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F8C3324" w14:textId="77777777" w:rsidR="00C00EAF" w:rsidRPr="009537ED" w:rsidRDefault="00C00EAF" w:rsidP="009643F7">
      <w:pPr>
        <w:pStyle w:val="FootnoteText"/>
        <w:widowControl w:val="0"/>
        <w:jc w:val="left"/>
        <w:rPr>
          <w:rFonts w:ascii="Times New Roman" w:hAnsi="Times New Roman"/>
          <w:lang w:val="en-GB"/>
        </w:rPr>
      </w:pPr>
      <w:bookmarkStart w:id="0" w:name="_Hlk135796302"/>
      <w:bookmarkEnd w:id="0"/>
    </w:p>
    <w:p w14:paraId="2B38CFD1" w14:textId="7FB9F9F3" w:rsidR="003E51AB" w:rsidRPr="009537ED" w:rsidRDefault="003E51AB" w:rsidP="003E51AB">
      <w:pPr>
        <w:pStyle w:val="TdocHeader2"/>
        <w:jc w:val="left"/>
        <w:rPr>
          <w:rFonts w:ascii="Times New Roman" w:hAnsi="Times New Roman"/>
          <w:sz w:val="20"/>
        </w:rPr>
      </w:pPr>
      <w:r w:rsidRPr="009537ED">
        <w:rPr>
          <w:rFonts w:ascii="Times New Roman" w:hAnsi="Times New Roman"/>
          <w:sz w:val="20"/>
        </w:rPr>
        <w:t>Source:</w:t>
      </w:r>
      <w:r w:rsidR="00233210" w:rsidRPr="009537ED">
        <w:rPr>
          <w:rFonts w:ascii="Times New Roman" w:hAnsi="Times New Roman"/>
          <w:sz w:val="20"/>
        </w:rPr>
        <w:t xml:space="preserve"> </w:t>
      </w:r>
      <w:r w:rsidRPr="009537ED">
        <w:rPr>
          <w:rFonts w:ascii="Times New Roman" w:hAnsi="Times New Roman"/>
          <w:sz w:val="20"/>
        </w:rPr>
        <w:tab/>
        <w:t>MCC</w:t>
      </w:r>
      <w:r w:rsidR="00233210" w:rsidRPr="009537ED">
        <w:rPr>
          <w:rFonts w:ascii="Times New Roman" w:hAnsi="Times New Roman"/>
          <w:sz w:val="20"/>
        </w:rPr>
        <w:t xml:space="preserve"> </w:t>
      </w:r>
      <w:r w:rsidRPr="009537ED">
        <w:rPr>
          <w:rFonts w:ascii="Times New Roman" w:hAnsi="Times New Roman"/>
          <w:sz w:val="20"/>
        </w:rPr>
        <w:t>Support</w:t>
      </w:r>
    </w:p>
    <w:p w14:paraId="3D895FF7" w14:textId="77777777" w:rsidR="003E51AB" w:rsidRPr="009537ED" w:rsidRDefault="003E51AB" w:rsidP="003E51AB">
      <w:pPr>
        <w:pStyle w:val="TdocHeader2"/>
        <w:jc w:val="left"/>
        <w:rPr>
          <w:rFonts w:ascii="Times New Roman" w:hAnsi="Times New Roman"/>
          <w:sz w:val="20"/>
        </w:rPr>
      </w:pPr>
    </w:p>
    <w:p w14:paraId="5A3354CE" w14:textId="1E6AD822" w:rsidR="003E51AB" w:rsidRPr="009537ED" w:rsidRDefault="003E51AB" w:rsidP="003E51AB">
      <w:pPr>
        <w:pStyle w:val="TdocHeader2"/>
        <w:jc w:val="left"/>
        <w:rPr>
          <w:rFonts w:ascii="Times New Roman" w:hAnsi="Times New Roman"/>
          <w:sz w:val="20"/>
        </w:rPr>
      </w:pPr>
      <w:r w:rsidRPr="009537ED">
        <w:rPr>
          <w:rFonts w:ascii="Times New Roman" w:hAnsi="Times New Roman"/>
          <w:sz w:val="20"/>
        </w:rPr>
        <w:t>Title:</w:t>
      </w:r>
      <w:bookmarkStart w:id="1" w:name="Title"/>
      <w:bookmarkEnd w:id="1"/>
      <w:r w:rsidRPr="009537ED">
        <w:rPr>
          <w:rFonts w:ascii="Times New Roman" w:hAnsi="Times New Roman"/>
          <w:sz w:val="20"/>
        </w:rPr>
        <w:tab/>
      </w:r>
      <w:r w:rsidR="00FD4932">
        <w:rPr>
          <w:rFonts w:ascii="Times New Roman" w:hAnsi="Times New Roman"/>
          <w:sz w:val="20"/>
        </w:rPr>
        <w:t>Final</w:t>
      </w:r>
      <w:r w:rsidR="00AB7397" w:rsidRPr="009537ED">
        <w:rPr>
          <w:rFonts w:ascii="Times New Roman" w:hAnsi="Times New Roman"/>
          <w:sz w:val="20"/>
        </w:rPr>
        <w:t xml:space="preserve"> </w:t>
      </w:r>
      <w:r w:rsidRPr="009537ED">
        <w:rPr>
          <w:rFonts w:ascii="Times New Roman" w:hAnsi="Times New Roman"/>
          <w:sz w:val="20"/>
        </w:rPr>
        <w:t>Report</w:t>
      </w:r>
      <w:r w:rsidR="00233210" w:rsidRPr="009537ED">
        <w:rPr>
          <w:rFonts w:ascii="Times New Roman" w:hAnsi="Times New Roman"/>
          <w:sz w:val="20"/>
        </w:rPr>
        <w:t xml:space="preserve"> </w:t>
      </w:r>
      <w:r w:rsidRPr="009537ED">
        <w:rPr>
          <w:rFonts w:ascii="Times New Roman" w:hAnsi="Times New Roman"/>
          <w:sz w:val="20"/>
        </w:rPr>
        <w:t>of</w:t>
      </w:r>
      <w:r w:rsidR="00233210" w:rsidRPr="009537ED">
        <w:rPr>
          <w:rFonts w:ascii="Times New Roman" w:hAnsi="Times New Roman"/>
          <w:sz w:val="20"/>
        </w:rPr>
        <w:t xml:space="preserve"> </w:t>
      </w:r>
      <w:r w:rsidRPr="009537ED">
        <w:rPr>
          <w:rFonts w:ascii="Times New Roman" w:hAnsi="Times New Roman"/>
          <w:sz w:val="20"/>
        </w:rPr>
        <w:t>3GPP</w:t>
      </w:r>
      <w:r w:rsidR="00233210" w:rsidRPr="009537ED">
        <w:rPr>
          <w:rFonts w:ascii="Times New Roman" w:hAnsi="Times New Roman"/>
          <w:sz w:val="20"/>
        </w:rPr>
        <w:t xml:space="preserve"> </w:t>
      </w:r>
      <w:r w:rsidRPr="009537ED">
        <w:rPr>
          <w:rFonts w:ascii="Times New Roman" w:hAnsi="Times New Roman"/>
          <w:sz w:val="20"/>
        </w:rPr>
        <w:t>TSG</w:t>
      </w:r>
      <w:r w:rsidR="00233210" w:rsidRPr="009537ED">
        <w:rPr>
          <w:rFonts w:ascii="Times New Roman" w:hAnsi="Times New Roman"/>
          <w:sz w:val="20"/>
        </w:rPr>
        <w:t xml:space="preserve"> </w:t>
      </w:r>
      <w:r w:rsidRPr="009537ED">
        <w:rPr>
          <w:rFonts w:ascii="Times New Roman" w:hAnsi="Times New Roman"/>
          <w:sz w:val="20"/>
        </w:rPr>
        <w:t>RAN</w:t>
      </w:r>
      <w:r w:rsidR="00233210" w:rsidRPr="009537ED">
        <w:rPr>
          <w:rFonts w:ascii="Times New Roman" w:hAnsi="Times New Roman"/>
          <w:sz w:val="20"/>
        </w:rPr>
        <w:t xml:space="preserve"> </w:t>
      </w:r>
      <w:r w:rsidRPr="009537ED">
        <w:rPr>
          <w:rFonts w:ascii="Times New Roman" w:hAnsi="Times New Roman"/>
          <w:sz w:val="20"/>
        </w:rPr>
        <w:t>WG1</w:t>
      </w:r>
      <w:r w:rsidR="00233210" w:rsidRPr="009537ED">
        <w:rPr>
          <w:rFonts w:ascii="Times New Roman" w:hAnsi="Times New Roman"/>
          <w:sz w:val="20"/>
        </w:rPr>
        <w:t xml:space="preserve"> </w:t>
      </w:r>
      <w:r w:rsidR="00B60F82" w:rsidRPr="009537ED">
        <w:rPr>
          <w:rFonts w:ascii="Times New Roman" w:hAnsi="Times New Roman"/>
          <w:sz w:val="20"/>
        </w:rPr>
        <w:t>#11</w:t>
      </w:r>
      <w:r w:rsidR="00B2372C" w:rsidRPr="009537ED">
        <w:rPr>
          <w:rFonts w:ascii="Times New Roman" w:hAnsi="Times New Roman"/>
          <w:sz w:val="20"/>
        </w:rPr>
        <w:t>5</w:t>
      </w:r>
      <w:r w:rsidR="00233210" w:rsidRPr="009537ED">
        <w:rPr>
          <w:rFonts w:ascii="Times New Roman" w:hAnsi="Times New Roman"/>
          <w:sz w:val="20"/>
        </w:rPr>
        <w:t xml:space="preserve"> </w:t>
      </w:r>
      <w:r w:rsidRPr="009537ED">
        <w:rPr>
          <w:rFonts w:ascii="Times New Roman" w:hAnsi="Times New Roman"/>
          <w:sz w:val="20"/>
        </w:rPr>
        <w:t>v</w:t>
      </w:r>
      <w:r w:rsidR="00FD4932">
        <w:rPr>
          <w:rFonts w:ascii="Times New Roman" w:hAnsi="Times New Roman"/>
          <w:sz w:val="20"/>
        </w:rPr>
        <w:t>1.0</w:t>
      </w:r>
      <w:r w:rsidR="00F63DFA" w:rsidRPr="009537ED">
        <w:rPr>
          <w:rFonts w:ascii="Times New Roman" w:hAnsi="Times New Roman"/>
          <w:sz w:val="20"/>
        </w:rPr>
        <w:t>.0</w:t>
      </w:r>
    </w:p>
    <w:p w14:paraId="7E494703" w14:textId="10AE1058" w:rsidR="003E51AB" w:rsidRPr="009537ED" w:rsidRDefault="003E51AB" w:rsidP="003E51AB">
      <w:pPr>
        <w:pStyle w:val="TdocHeader2"/>
        <w:jc w:val="left"/>
        <w:rPr>
          <w:rFonts w:ascii="Times New Roman" w:hAnsi="Times New Roman"/>
          <w:sz w:val="20"/>
        </w:rPr>
      </w:pPr>
      <w:r w:rsidRPr="009537ED">
        <w:rPr>
          <w:rFonts w:ascii="Times New Roman" w:hAnsi="Times New Roman"/>
          <w:sz w:val="20"/>
        </w:rPr>
        <w:tab/>
        <w:t>(</w:t>
      </w:r>
      <w:r w:rsidR="00B2372C" w:rsidRPr="009537ED">
        <w:rPr>
          <w:rFonts w:ascii="Times New Roman" w:hAnsi="Times New Roman"/>
          <w:sz w:val="20"/>
        </w:rPr>
        <w:t>Chicago</w:t>
      </w:r>
      <w:r w:rsidR="00522789" w:rsidRPr="009537ED">
        <w:rPr>
          <w:rFonts w:ascii="Times New Roman" w:hAnsi="Times New Roman"/>
          <w:sz w:val="20"/>
        </w:rPr>
        <w:t xml:space="preserve">, </w:t>
      </w:r>
      <w:r w:rsidR="00B2372C" w:rsidRPr="009537ED">
        <w:rPr>
          <w:rFonts w:ascii="Times New Roman" w:hAnsi="Times New Roman"/>
          <w:sz w:val="20"/>
        </w:rPr>
        <w:t>USA</w:t>
      </w:r>
      <w:r w:rsidR="0021536B" w:rsidRPr="009537ED">
        <w:rPr>
          <w:rFonts w:ascii="Times New Roman" w:hAnsi="Times New Roman"/>
          <w:sz w:val="20"/>
        </w:rPr>
        <w:t xml:space="preserve">, </w:t>
      </w:r>
      <w:r w:rsidR="00B2372C" w:rsidRPr="009537ED">
        <w:rPr>
          <w:rFonts w:ascii="Times New Roman" w:hAnsi="Times New Roman"/>
          <w:sz w:val="20"/>
        </w:rPr>
        <w:t>13</w:t>
      </w:r>
      <w:r w:rsidR="00283A2D" w:rsidRPr="009537ED">
        <w:rPr>
          <w:rFonts w:ascii="Times New Roman" w:hAnsi="Times New Roman"/>
          <w:sz w:val="20"/>
        </w:rPr>
        <w:t xml:space="preserve">th </w:t>
      </w:r>
      <w:r w:rsidR="00F358A8" w:rsidRPr="009537ED">
        <w:rPr>
          <w:rFonts w:ascii="Times New Roman" w:hAnsi="Times New Roman"/>
          <w:sz w:val="20"/>
        </w:rPr>
        <w:t xml:space="preserve">– </w:t>
      </w:r>
      <w:r w:rsidR="00283A2D" w:rsidRPr="009537ED">
        <w:rPr>
          <w:rFonts w:ascii="Times New Roman" w:hAnsi="Times New Roman"/>
          <w:sz w:val="20"/>
        </w:rPr>
        <w:t>1</w:t>
      </w:r>
      <w:r w:rsidR="00B2372C" w:rsidRPr="009537ED">
        <w:rPr>
          <w:rFonts w:ascii="Times New Roman" w:hAnsi="Times New Roman"/>
          <w:sz w:val="20"/>
        </w:rPr>
        <w:t>7</w:t>
      </w:r>
      <w:r w:rsidR="00DF73DC" w:rsidRPr="009537ED">
        <w:rPr>
          <w:rFonts w:ascii="Times New Roman" w:hAnsi="Times New Roman"/>
          <w:sz w:val="20"/>
        </w:rPr>
        <w:t xml:space="preserve">th </w:t>
      </w:r>
      <w:r w:rsidR="00B2372C" w:rsidRPr="009537ED">
        <w:rPr>
          <w:rFonts w:ascii="Times New Roman" w:hAnsi="Times New Roman"/>
          <w:sz w:val="20"/>
        </w:rPr>
        <w:t>Novem</w:t>
      </w:r>
      <w:r w:rsidR="00283A2D" w:rsidRPr="009537ED">
        <w:rPr>
          <w:rFonts w:ascii="Times New Roman" w:hAnsi="Times New Roman"/>
          <w:sz w:val="20"/>
        </w:rPr>
        <w:t>ber</w:t>
      </w:r>
      <w:r w:rsidR="001627B3" w:rsidRPr="009537ED">
        <w:rPr>
          <w:rFonts w:ascii="Times New Roman" w:hAnsi="Times New Roman"/>
          <w:sz w:val="20"/>
        </w:rPr>
        <w:t xml:space="preserve"> 2023</w:t>
      </w:r>
      <w:r w:rsidRPr="009537ED">
        <w:rPr>
          <w:rFonts w:ascii="Times New Roman" w:hAnsi="Times New Roman"/>
          <w:sz w:val="20"/>
        </w:rPr>
        <w:t>)</w:t>
      </w:r>
    </w:p>
    <w:p w14:paraId="5C3638AC" w14:textId="77777777" w:rsidR="003E51AB" w:rsidRPr="009537ED" w:rsidRDefault="003E51AB" w:rsidP="003E51AB">
      <w:pPr>
        <w:pStyle w:val="TdocHeader2"/>
        <w:jc w:val="left"/>
        <w:rPr>
          <w:rFonts w:ascii="Times New Roman" w:hAnsi="Times New Roman"/>
          <w:sz w:val="20"/>
        </w:rPr>
      </w:pPr>
    </w:p>
    <w:p w14:paraId="2728FE9F" w14:textId="00775815" w:rsidR="003E51AB" w:rsidRPr="009537ED" w:rsidRDefault="003E51AB" w:rsidP="003E51AB">
      <w:pPr>
        <w:pStyle w:val="TdocHeader2"/>
        <w:jc w:val="left"/>
        <w:rPr>
          <w:rFonts w:ascii="Times New Roman" w:hAnsi="Times New Roman"/>
          <w:sz w:val="20"/>
        </w:rPr>
      </w:pPr>
      <w:r w:rsidRPr="009537ED">
        <w:rPr>
          <w:rFonts w:ascii="Times New Roman" w:hAnsi="Times New Roman"/>
          <w:sz w:val="20"/>
        </w:rPr>
        <w:t>Document</w:t>
      </w:r>
      <w:r w:rsidR="00233210" w:rsidRPr="009537ED">
        <w:rPr>
          <w:rFonts w:ascii="Times New Roman" w:hAnsi="Times New Roman"/>
          <w:sz w:val="20"/>
        </w:rPr>
        <w:t xml:space="preserve"> </w:t>
      </w:r>
      <w:r w:rsidRPr="009537ED">
        <w:rPr>
          <w:rFonts w:ascii="Times New Roman" w:hAnsi="Times New Roman"/>
          <w:sz w:val="20"/>
        </w:rPr>
        <w:t>for:</w:t>
      </w:r>
      <w:r w:rsidRPr="009537ED">
        <w:rPr>
          <w:rFonts w:ascii="Times New Roman" w:hAnsi="Times New Roman"/>
          <w:sz w:val="20"/>
        </w:rPr>
        <w:tab/>
      </w:r>
      <w:bookmarkStart w:id="2" w:name="DocumentFor"/>
      <w:bookmarkEnd w:id="2"/>
      <w:r w:rsidR="00FD4932">
        <w:rPr>
          <w:rFonts w:ascii="Times New Roman" w:hAnsi="Times New Roman"/>
          <w:sz w:val="20"/>
        </w:rPr>
        <w:t>Approval</w:t>
      </w:r>
    </w:p>
    <w:p w14:paraId="73344C14" w14:textId="77777777" w:rsidR="00C00EAF" w:rsidRPr="009537ED" w:rsidRDefault="00C00EAF" w:rsidP="009643F7">
      <w:pPr>
        <w:pStyle w:val="TdocHeader2"/>
        <w:jc w:val="left"/>
        <w:rPr>
          <w:rFonts w:ascii="Times New Roman" w:hAnsi="Times New Roman"/>
          <w:b w:val="0"/>
          <w:sz w:val="20"/>
        </w:rPr>
      </w:pPr>
    </w:p>
    <w:p w14:paraId="5BB7F136" w14:textId="77777777" w:rsidR="003126B8" w:rsidRPr="009537ED" w:rsidRDefault="003126B8" w:rsidP="009643F7">
      <w:pPr>
        <w:pBdr>
          <w:bottom w:val="single" w:sz="12" w:space="1" w:color="auto"/>
        </w:pBdr>
        <w:rPr>
          <w:rFonts w:ascii="Times New Roman" w:hAnsi="Times New Roman"/>
          <w:bCs/>
          <w:szCs w:val="20"/>
        </w:rPr>
      </w:pPr>
    </w:p>
    <w:p w14:paraId="6445C93B" w14:textId="77777777" w:rsidR="00666408" w:rsidRPr="009537ED" w:rsidRDefault="00666408" w:rsidP="009643F7">
      <w:pPr>
        <w:tabs>
          <w:tab w:val="left" w:pos="1985"/>
        </w:tabs>
        <w:ind w:left="357" w:hanging="357"/>
        <w:rPr>
          <w:rFonts w:ascii="Times New Roman" w:hAnsi="Times New Roman"/>
          <w:szCs w:val="20"/>
        </w:rPr>
      </w:pPr>
    </w:p>
    <w:p w14:paraId="6445D4D7" w14:textId="77777777" w:rsidR="00666408" w:rsidRPr="009537ED" w:rsidRDefault="00C91E0B" w:rsidP="009643F7">
      <w:pPr>
        <w:rPr>
          <w:rFonts w:ascii="Times New Roman" w:hAnsi="Times New Roman"/>
          <w:szCs w:val="20"/>
        </w:rPr>
      </w:pPr>
      <w:r w:rsidRPr="009537ED">
        <w:rPr>
          <w:rFonts w:ascii="Times New Roman" w:hAnsi="Times New Roman"/>
          <w:noProof/>
          <w:szCs w:val="20"/>
          <w:highlight w:val="yellow"/>
          <w:lang w:eastAsia="en-GB"/>
        </w:rPr>
        <w:drawing>
          <wp:inline distT="0" distB="0" distL="0" distR="0" wp14:anchorId="62A300B6" wp14:editId="626C4092">
            <wp:extent cx="1485900" cy="866775"/>
            <wp:effectExtent l="0" t="0" r="0" b="0"/>
            <wp:docPr id="1" name="Picture 1" descr="3GPP_T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3GPP_TM"/>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485900" cy="866775"/>
                    </a:xfrm>
                    <a:prstGeom prst="rect">
                      <a:avLst/>
                    </a:prstGeom>
                    <a:noFill/>
                    <a:ln>
                      <a:noFill/>
                    </a:ln>
                  </pic:spPr>
                </pic:pic>
              </a:graphicData>
            </a:graphic>
          </wp:inline>
        </w:drawing>
      </w:r>
    </w:p>
    <w:p w14:paraId="66033856" w14:textId="77777777" w:rsidR="00666408" w:rsidRPr="009537ED" w:rsidRDefault="00666408" w:rsidP="009643F7">
      <w:pPr>
        <w:rPr>
          <w:rFonts w:ascii="Times New Roman" w:hAnsi="Times New Roman"/>
          <w:szCs w:val="20"/>
        </w:rPr>
      </w:pPr>
    </w:p>
    <w:p w14:paraId="24951B3A" w14:textId="23A5C663" w:rsidR="00666408" w:rsidRPr="009537ED" w:rsidRDefault="00666408" w:rsidP="009643F7">
      <w:pPr>
        <w:pBdr>
          <w:bottom w:val="single" w:sz="12" w:space="1" w:color="auto"/>
        </w:pBdr>
        <w:rPr>
          <w:rFonts w:ascii="Times New Roman" w:hAnsi="Times New Roman"/>
          <w:b/>
          <w:szCs w:val="20"/>
        </w:rPr>
      </w:pPr>
      <w:r w:rsidRPr="009537ED">
        <w:rPr>
          <w:rFonts w:ascii="Times New Roman" w:hAnsi="Times New Roman"/>
          <w:b/>
          <w:szCs w:val="20"/>
        </w:rPr>
        <w:br w:type="page"/>
      </w:r>
      <w:r w:rsidRPr="009537ED">
        <w:rPr>
          <w:rFonts w:ascii="Times New Roman" w:hAnsi="Times New Roman"/>
          <w:b/>
          <w:szCs w:val="20"/>
        </w:rPr>
        <w:lastRenderedPageBreak/>
        <w:t>Table</w:t>
      </w:r>
      <w:r w:rsidR="00233210" w:rsidRPr="009537ED">
        <w:rPr>
          <w:rFonts w:ascii="Times New Roman" w:hAnsi="Times New Roman"/>
          <w:b/>
          <w:szCs w:val="20"/>
        </w:rPr>
        <w:t xml:space="preserve"> </w:t>
      </w:r>
      <w:r w:rsidRPr="009537ED">
        <w:rPr>
          <w:rFonts w:ascii="Times New Roman" w:hAnsi="Times New Roman"/>
          <w:b/>
          <w:szCs w:val="20"/>
        </w:rPr>
        <w:t>of</w:t>
      </w:r>
      <w:r w:rsidR="00233210" w:rsidRPr="009537ED">
        <w:rPr>
          <w:rFonts w:ascii="Times New Roman" w:hAnsi="Times New Roman"/>
          <w:b/>
          <w:szCs w:val="20"/>
        </w:rPr>
        <w:t xml:space="preserve"> </w:t>
      </w:r>
      <w:r w:rsidRPr="009537ED">
        <w:rPr>
          <w:rFonts w:ascii="Times New Roman" w:hAnsi="Times New Roman"/>
          <w:b/>
          <w:szCs w:val="20"/>
        </w:rPr>
        <w:t>contents</w:t>
      </w:r>
    </w:p>
    <w:p w14:paraId="07424DB3" w14:textId="77777777" w:rsidR="00666408" w:rsidRPr="009537ED" w:rsidRDefault="00666408" w:rsidP="009643F7">
      <w:pPr>
        <w:rPr>
          <w:rFonts w:ascii="Times New Roman" w:hAnsi="Times New Roman"/>
          <w:szCs w:val="20"/>
        </w:rPr>
      </w:pPr>
    </w:p>
    <w:p w14:paraId="35FAFB28" w14:textId="756971DE" w:rsidR="005A18DC" w:rsidRDefault="00011381">
      <w:pPr>
        <w:pStyle w:val="TOC1"/>
        <w:tabs>
          <w:tab w:val="left" w:pos="400"/>
          <w:tab w:val="right" w:leader="dot" w:pos="10457"/>
        </w:tabs>
        <w:rPr>
          <w:rFonts w:eastAsiaTheme="minorEastAsia" w:cstheme="minorBidi"/>
          <w:b w:val="0"/>
          <w:bCs w:val="0"/>
          <w:caps w:val="0"/>
          <w:noProof/>
          <w:kern w:val="2"/>
          <w:sz w:val="22"/>
          <w:szCs w:val="22"/>
          <w:lang w:eastAsia="en-GB"/>
          <w14:ligatures w14:val="standardContextual"/>
        </w:rPr>
      </w:pPr>
      <w:r w:rsidRPr="009537ED">
        <w:rPr>
          <w:rFonts w:ascii="Times New Roman" w:hAnsi="Times New Roman"/>
          <w:b w:val="0"/>
          <w:bCs w:val="0"/>
          <w:caps w:val="0"/>
        </w:rPr>
        <w:fldChar w:fldCharType="begin"/>
      </w:r>
      <w:r w:rsidRPr="009537ED">
        <w:rPr>
          <w:rFonts w:ascii="Times New Roman" w:hAnsi="Times New Roman"/>
          <w:b w:val="0"/>
          <w:bCs w:val="0"/>
          <w:caps w:val="0"/>
        </w:rPr>
        <w:instrText xml:space="preserve"> TOC \o "1-5" \h \z \u </w:instrText>
      </w:r>
      <w:r w:rsidRPr="009537ED">
        <w:rPr>
          <w:rFonts w:ascii="Times New Roman" w:hAnsi="Times New Roman"/>
          <w:b w:val="0"/>
          <w:bCs w:val="0"/>
          <w:caps w:val="0"/>
        </w:rPr>
        <w:fldChar w:fldCharType="separate"/>
      </w:r>
      <w:hyperlink w:anchor="_Toc159250966" w:history="1">
        <w:r w:rsidR="005A18DC" w:rsidRPr="001B2BCE">
          <w:rPr>
            <w:rStyle w:val="Hyperlink"/>
            <w:noProof/>
          </w:rPr>
          <w:t>1</w:t>
        </w:r>
        <w:r w:rsidR="005A18DC">
          <w:rPr>
            <w:rFonts w:eastAsiaTheme="minorEastAsia" w:cstheme="minorBidi"/>
            <w:b w:val="0"/>
            <w:bCs w:val="0"/>
            <w:caps w:val="0"/>
            <w:noProof/>
            <w:kern w:val="2"/>
            <w:sz w:val="22"/>
            <w:szCs w:val="22"/>
            <w:lang w:eastAsia="en-GB"/>
            <w14:ligatures w14:val="standardContextual"/>
          </w:rPr>
          <w:tab/>
        </w:r>
        <w:r w:rsidR="005A18DC" w:rsidRPr="001B2BCE">
          <w:rPr>
            <w:rStyle w:val="Hyperlink"/>
            <w:noProof/>
          </w:rPr>
          <w:t>Opening of the meeting</w:t>
        </w:r>
        <w:r w:rsidR="005A18DC">
          <w:rPr>
            <w:noProof/>
            <w:webHidden/>
          </w:rPr>
          <w:tab/>
        </w:r>
        <w:r w:rsidR="005A18DC">
          <w:rPr>
            <w:noProof/>
            <w:webHidden/>
          </w:rPr>
          <w:fldChar w:fldCharType="begin"/>
        </w:r>
        <w:r w:rsidR="005A18DC">
          <w:rPr>
            <w:noProof/>
            <w:webHidden/>
          </w:rPr>
          <w:instrText xml:space="preserve"> PAGEREF _Toc159250966 \h </w:instrText>
        </w:r>
        <w:r w:rsidR="005A18DC">
          <w:rPr>
            <w:noProof/>
            <w:webHidden/>
          </w:rPr>
        </w:r>
        <w:r w:rsidR="005A18DC">
          <w:rPr>
            <w:noProof/>
            <w:webHidden/>
          </w:rPr>
          <w:fldChar w:fldCharType="separate"/>
        </w:r>
        <w:r w:rsidR="005A18DC">
          <w:rPr>
            <w:noProof/>
            <w:webHidden/>
          </w:rPr>
          <w:t>6</w:t>
        </w:r>
        <w:r w:rsidR="005A18DC">
          <w:rPr>
            <w:noProof/>
            <w:webHidden/>
          </w:rPr>
          <w:fldChar w:fldCharType="end"/>
        </w:r>
      </w:hyperlink>
    </w:p>
    <w:p w14:paraId="7882074B" w14:textId="19EEE670" w:rsidR="005A18DC" w:rsidRDefault="005A18DC">
      <w:pPr>
        <w:pStyle w:val="TOC2"/>
        <w:tabs>
          <w:tab w:val="left" w:pos="800"/>
          <w:tab w:val="right" w:leader="dot" w:pos="10457"/>
        </w:tabs>
        <w:rPr>
          <w:rFonts w:eastAsiaTheme="minorEastAsia" w:cstheme="minorBidi"/>
          <w:smallCaps w:val="0"/>
          <w:noProof/>
          <w:kern w:val="2"/>
          <w:sz w:val="22"/>
          <w:szCs w:val="22"/>
          <w:lang w:eastAsia="en-GB"/>
          <w14:ligatures w14:val="standardContextual"/>
        </w:rPr>
      </w:pPr>
      <w:hyperlink w:anchor="_Toc159250967" w:history="1">
        <w:r w:rsidRPr="001B2BCE">
          <w:rPr>
            <w:rStyle w:val="Hyperlink"/>
            <w:noProof/>
          </w:rPr>
          <w:t>1.1</w:t>
        </w:r>
        <w:r>
          <w:rPr>
            <w:rFonts w:eastAsiaTheme="minorEastAsia" w:cstheme="minorBidi"/>
            <w:smallCaps w:val="0"/>
            <w:noProof/>
            <w:kern w:val="2"/>
            <w:sz w:val="22"/>
            <w:szCs w:val="22"/>
            <w:lang w:eastAsia="en-GB"/>
            <w14:ligatures w14:val="standardContextual"/>
          </w:rPr>
          <w:tab/>
        </w:r>
        <w:r w:rsidRPr="001B2BCE">
          <w:rPr>
            <w:rStyle w:val="Hyperlink"/>
            <w:noProof/>
          </w:rPr>
          <w:t>Call for IPR</w:t>
        </w:r>
        <w:r>
          <w:rPr>
            <w:noProof/>
            <w:webHidden/>
          </w:rPr>
          <w:tab/>
        </w:r>
        <w:r>
          <w:rPr>
            <w:noProof/>
            <w:webHidden/>
          </w:rPr>
          <w:fldChar w:fldCharType="begin"/>
        </w:r>
        <w:r>
          <w:rPr>
            <w:noProof/>
            <w:webHidden/>
          </w:rPr>
          <w:instrText xml:space="preserve"> PAGEREF _Toc159250967 \h </w:instrText>
        </w:r>
        <w:r>
          <w:rPr>
            <w:noProof/>
            <w:webHidden/>
          </w:rPr>
        </w:r>
        <w:r>
          <w:rPr>
            <w:noProof/>
            <w:webHidden/>
          </w:rPr>
          <w:fldChar w:fldCharType="separate"/>
        </w:r>
        <w:r>
          <w:rPr>
            <w:noProof/>
            <w:webHidden/>
          </w:rPr>
          <w:t>6</w:t>
        </w:r>
        <w:r>
          <w:rPr>
            <w:noProof/>
            <w:webHidden/>
          </w:rPr>
          <w:fldChar w:fldCharType="end"/>
        </w:r>
      </w:hyperlink>
    </w:p>
    <w:p w14:paraId="2F5EB950" w14:textId="5DF18EA1" w:rsidR="005A18DC" w:rsidRDefault="005A18DC">
      <w:pPr>
        <w:pStyle w:val="TOC2"/>
        <w:tabs>
          <w:tab w:val="left" w:pos="800"/>
          <w:tab w:val="right" w:leader="dot" w:pos="10457"/>
        </w:tabs>
        <w:rPr>
          <w:rFonts w:eastAsiaTheme="minorEastAsia" w:cstheme="minorBidi"/>
          <w:smallCaps w:val="0"/>
          <w:noProof/>
          <w:kern w:val="2"/>
          <w:sz w:val="22"/>
          <w:szCs w:val="22"/>
          <w:lang w:eastAsia="en-GB"/>
          <w14:ligatures w14:val="standardContextual"/>
        </w:rPr>
      </w:pPr>
      <w:hyperlink w:anchor="_Toc159250968" w:history="1">
        <w:r w:rsidRPr="001B2BCE">
          <w:rPr>
            <w:rStyle w:val="Hyperlink"/>
            <w:noProof/>
          </w:rPr>
          <w:t>1.2</w:t>
        </w:r>
        <w:r>
          <w:rPr>
            <w:rFonts w:eastAsiaTheme="minorEastAsia" w:cstheme="minorBidi"/>
            <w:smallCaps w:val="0"/>
            <w:noProof/>
            <w:kern w:val="2"/>
            <w:sz w:val="22"/>
            <w:szCs w:val="22"/>
            <w:lang w:eastAsia="en-GB"/>
            <w14:ligatures w14:val="standardContextual"/>
          </w:rPr>
          <w:tab/>
        </w:r>
        <w:r w:rsidRPr="001B2BCE">
          <w:rPr>
            <w:rStyle w:val="Hyperlink"/>
            <w:noProof/>
          </w:rPr>
          <w:t>Competition law statement</w:t>
        </w:r>
        <w:r>
          <w:rPr>
            <w:noProof/>
            <w:webHidden/>
          </w:rPr>
          <w:tab/>
        </w:r>
        <w:r>
          <w:rPr>
            <w:noProof/>
            <w:webHidden/>
          </w:rPr>
          <w:fldChar w:fldCharType="begin"/>
        </w:r>
        <w:r>
          <w:rPr>
            <w:noProof/>
            <w:webHidden/>
          </w:rPr>
          <w:instrText xml:space="preserve"> PAGEREF _Toc159250968 \h </w:instrText>
        </w:r>
        <w:r>
          <w:rPr>
            <w:noProof/>
            <w:webHidden/>
          </w:rPr>
        </w:r>
        <w:r>
          <w:rPr>
            <w:noProof/>
            <w:webHidden/>
          </w:rPr>
          <w:fldChar w:fldCharType="separate"/>
        </w:r>
        <w:r>
          <w:rPr>
            <w:noProof/>
            <w:webHidden/>
          </w:rPr>
          <w:t>6</w:t>
        </w:r>
        <w:r>
          <w:rPr>
            <w:noProof/>
            <w:webHidden/>
          </w:rPr>
          <w:fldChar w:fldCharType="end"/>
        </w:r>
      </w:hyperlink>
    </w:p>
    <w:p w14:paraId="5FF80FA5" w14:textId="3EBB0490" w:rsidR="005A18DC" w:rsidRDefault="005A18DC">
      <w:pPr>
        <w:pStyle w:val="TOC2"/>
        <w:tabs>
          <w:tab w:val="left" w:pos="800"/>
          <w:tab w:val="right" w:leader="dot" w:pos="10457"/>
        </w:tabs>
        <w:rPr>
          <w:rFonts w:eastAsiaTheme="minorEastAsia" w:cstheme="minorBidi"/>
          <w:smallCaps w:val="0"/>
          <w:noProof/>
          <w:kern w:val="2"/>
          <w:sz w:val="22"/>
          <w:szCs w:val="22"/>
          <w:lang w:eastAsia="en-GB"/>
          <w14:ligatures w14:val="standardContextual"/>
        </w:rPr>
      </w:pPr>
      <w:hyperlink w:anchor="_Toc159250969" w:history="1">
        <w:r w:rsidRPr="001B2BCE">
          <w:rPr>
            <w:rStyle w:val="Hyperlink"/>
            <w:noProof/>
          </w:rPr>
          <w:t>1.3</w:t>
        </w:r>
        <w:r>
          <w:rPr>
            <w:rFonts w:eastAsiaTheme="minorEastAsia" w:cstheme="minorBidi"/>
            <w:smallCaps w:val="0"/>
            <w:noProof/>
            <w:kern w:val="2"/>
            <w:sz w:val="22"/>
            <w:szCs w:val="22"/>
            <w:lang w:eastAsia="en-GB"/>
            <w14:ligatures w14:val="standardContextual"/>
          </w:rPr>
          <w:tab/>
        </w:r>
        <w:r w:rsidRPr="001B2BCE">
          <w:rPr>
            <w:rStyle w:val="Hyperlink"/>
            <w:noProof/>
          </w:rPr>
          <w:t>Network usage conditions</w:t>
        </w:r>
        <w:r>
          <w:rPr>
            <w:noProof/>
            <w:webHidden/>
          </w:rPr>
          <w:tab/>
        </w:r>
        <w:r>
          <w:rPr>
            <w:noProof/>
            <w:webHidden/>
          </w:rPr>
          <w:fldChar w:fldCharType="begin"/>
        </w:r>
        <w:r>
          <w:rPr>
            <w:noProof/>
            <w:webHidden/>
          </w:rPr>
          <w:instrText xml:space="preserve"> PAGEREF _Toc159250969 \h </w:instrText>
        </w:r>
        <w:r>
          <w:rPr>
            <w:noProof/>
            <w:webHidden/>
          </w:rPr>
        </w:r>
        <w:r>
          <w:rPr>
            <w:noProof/>
            <w:webHidden/>
          </w:rPr>
          <w:fldChar w:fldCharType="separate"/>
        </w:r>
        <w:r>
          <w:rPr>
            <w:noProof/>
            <w:webHidden/>
          </w:rPr>
          <w:t>6</w:t>
        </w:r>
        <w:r>
          <w:rPr>
            <w:noProof/>
            <w:webHidden/>
          </w:rPr>
          <w:fldChar w:fldCharType="end"/>
        </w:r>
      </w:hyperlink>
    </w:p>
    <w:p w14:paraId="4A7D2820" w14:textId="5D10741F" w:rsidR="005A18DC" w:rsidRDefault="005A18DC">
      <w:pPr>
        <w:pStyle w:val="TOC2"/>
        <w:tabs>
          <w:tab w:val="left" w:pos="800"/>
          <w:tab w:val="right" w:leader="dot" w:pos="10457"/>
        </w:tabs>
        <w:rPr>
          <w:rFonts w:eastAsiaTheme="minorEastAsia" w:cstheme="minorBidi"/>
          <w:smallCaps w:val="0"/>
          <w:noProof/>
          <w:kern w:val="2"/>
          <w:sz w:val="22"/>
          <w:szCs w:val="22"/>
          <w:lang w:eastAsia="en-GB"/>
          <w14:ligatures w14:val="standardContextual"/>
        </w:rPr>
      </w:pPr>
      <w:hyperlink w:anchor="_Toc159250970" w:history="1">
        <w:r w:rsidRPr="001B2BCE">
          <w:rPr>
            <w:rStyle w:val="Hyperlink"/>
            <w:noProof/>
            <w:lang w:eastAsia="x-none"/>
          </w:rPr>
          <w:t>1.4</w:t>
        </w:r>
        <w:r>
          <w:rPr>
            <w:rFonts w:eastAsiaTheme="minorEastAsia" w:cstheme="minorBidi"/>
            <w:smallCaps w:val="0"/>
            <w:noProof/>
            <w:kern w:val="2"/>
            <w:sz w:val="22"/>
            <w:szCs w:val="22"/>
            <w:lang w:eastAsia="en-GB"/>
            <w14:ligatures w14:val="standardContextual"/>
          </w:rPr>
          <w:tab/>
        </w:r>
        <w:r w:rsidRPr="001B2BCE">
          <w:rPr>
            <w:rStyle w:val="Hyperlink"/>
            <w:noProof/>
          </w:rPr>
          <w:t>Check-in for Registered Delegates</w:t>
        </w:r>
        <w:r>
          <w:rPr>
            <w:noProof/>
            <w:webHidden/>
          </w:rPr>
          <w:tab/>
        </w:r>
        <w:r>
          <w:rPr>
            <w:noProof/>
            <w:webHidden/>
          </w:rPr>
          <w:fldChar w:fldCharType="begin"/>
        </w:r>
        <w:r>
          <w:rPr>
            <w:noProof/>
            <w:webHidden/>
          </w:rPr>
          <w:instrText xml:space="preserve"> PAGEREF _Toc159250970 \h </w:instrText>
        </w:r>
        <w:r>
          <w:rPr>
            <w:noProof/>
            <w:webHidden/>
          </w:rPr>
        </w:r>
        <w:r>
          <w:rPr>
            <w:noProof/>
            <w:webHidden/>
          </w:rPr>
          <w:fldChar w:fldCharType="separate"/>
        </w:r>
        <w:r>
          <w:rPr>
            <w:noProof/>
            <w:webHidden/>
          </w:rPr>
          <w:t>7</w:t>
        </w:r>
        <w:r>
          <w:rPr>
            <w:noProof/>
            <w:webHidden/>
          </w:rPr>
          <w:fldChar w:fldCharType="end"/>
        </w:r>
      </w:hyperlink>
    </w:p>
    <w:p w14:paraId="3E791EC7" w14:textId="02206B5F" w:rsidR="005A18DC" w:rsidRDefault="005A18DC">
      <w:pPr>
        <w:pStyle w:val="TOC2"/>
        <w:tabs>
          <w:tab w:val="left" w:pos="800"/>
          <w:tab w:val="right" w:leader="dot" w:pos="10457"/>
        </w:tabs>
        <w:rPr>
          <w:rFonts w:eastAsiaTheme="minorEastAsia" w:cstheme="minorBidi"/>
          <w:smallCaps w:val="0"/>
          <w:noProof/>
          <w:kern w:val="2"/>
          <w:sz w:val="22"/>
          <w:szCs w:val="22"/>
          <w:lang w:eastAsia="en-GB"/>
          <w14:ligatures w14:val="standardContextual"/>
        </w:rPr>
      </w:pPr>
      <w:hyperlink w:anchor="_Toc159250971" w:history="1">
        <w:r w:rsidRPr="001B2BCE">
          <w:rPr>
            <w:rStyle w:val="Hyperlink"/>
            <w:noProof/>
          </w:rPr>
          <w:t>1.5</w:t>
        </w:r>
        <w:r>
          <w:rPr>
            <w:rFonts w:eastAsiaTheme="minorEastAsia" w:cstheme="minorBidi"/>
            <w:smallCaps w:val="0"/>
            <w:noProof/>
            <w:kern w:val="2"/>
            <w:sz w:val="22"/>
            <w:szCs w:val="22"/>
            <w:lang w:eastAsia="en-GB"/>
            <w14:ligatures w14:val="standardContextual"/>
          </w:rPr>
          <w:tab/>
        </w:r>
        <w:r w:rsidRPr="001B2BCE">
          <w:rPr>
            <w:rStyle w:val="Hyperlink"/>
            <w:noProof/>
          </w:rPr>
          <w:t>Recording of RAN1 Meeting</w:t>
        </w:r>
        <w:r>
          <w:rPr>
            <w:noProof/>
            <w:webHidden/>
          </w:rPr>
          <w:tab/>
        </w:r>
        <w:r>
          <w:rPr>
            <w:noProof/>
            <w:webHidden/>
          </w:rPr>
          <w:fldChar w:fldCharType="begin"/>
        </w:r>
        <w:r>
          <w:rPr>
            <w:noProof/>
            <w:webHidden/>
          </w:rPr>
          <w:instrText xml:space="preserve"> PAGEREF _Toc159250971 \h </w:instrText>
        </w:r>
        <w:r>
          <w:rPr>
            <w:noProof/>
            <w:webHidden/>
          </w:rPr>
        </w:r>
        <w:r>
          <w:rPr>
            <w:noProof/>
            <w:webHidden/>
          </w:rPr>
          <w:fldChar w:fldCharType="separate"/>
        </w:r>
        <w:r>
          <w:rPr>
            <w:noProof/>
            <w:webHidden/>
          </w:rPr>
          <w:t>7</w:t>
        </w:r>
        <w:r>
          <w:rPr>
            <w:noProof/>
            <w:webHidden/>
          </w:rPr>
          <w:fldChar w:fldCharType="end"/>
        </w:r>
      </w:hyperlink>
    </w:p>
    <w:p w14:paraId="479E9940" w14:textId="3666E5DE" w:rsidR="005A18DC" w:rsidRDefault="005A18DC">
      <w:pPr>
        <w:pStyle w:val="TOC1"/>
        <w:tabs>
          <w:tab w:val="left" w:pos="400"/>
          <w:tab w:val="right" w:leader="dot" w:pos="10457"/>
        </w:tabs>
        <w:rPr>
          <w:rFonts w:eastAsiaTheme="minorEastAsia" w:cstheme="minorBidi"/>
          <w:b w:val="0"/>
          <w:bCs w:val="0"/>
          <w:caps w:val="0"/>
          <w:noProof/>
          <w:kern w:val="2"/>
          <w:sz w:val="22"/>
          <w:szCs w:val="22"/>
          <w:lang w:eastAsia="en-GB"/>
          <w14:ligatures w14:val="standardContextual"/>
        </w:rPr>
      </w:pPr>
      <w:hyperlink w:anchor="_Toc159250972" w:history="1">
        <w:r w:rsidRPr="001B2BCE">
          <w:rPr>
            <w:rStyle w:val="Hyperlink"/>
            <w:noProof/>
          </w:rPr>
          <w:t>2</w:t>
        </w:r>
        <w:r>
          <w:rPr>
            <w:rFonts w:eastAsiaTheme="minorEastAsia" w:cstheme="minorBidi"/>
            <w:b w:val="0"/>
            <w:bCs w:val="0"/>
            <w:caps w:val="0"/>
            <w:noProof/>
            <w:kern w:val="2"/>
            <w:sz w:val="22"/>
            <w:szCs w:val="22"/>
            <w:lang w:eastAsia="en-GB"/>
            <w14:ligatures w14:val="standardContextual"/>
          </w:rPr>
          <w:tab/>
        </w:r>
        <w:r w:rsidRPr="001B2BCE">
          <w:rPr>
            <w:rStyle w:val="Hyperlink"/>
            <w:noProof/>
          </w:rPr>
          <w:t>Approval of Agenda</w:t>
        </w:r>
        <w:r>
          <w:rPr>
            <w:noProof/>
            <w:webHidden/>
          </w:rPr>
          <w:tab/>
        </w:r>
        <w:r>
          <w:rPr>
            <w:noProof/>
            <w:webHidden/>
          </w:rPr>
          <w:fldChar w:fldCharType="begin"/>
        </w:r>
        <w:r>
          <w:rPr>
            <w:noProof/>
            <w:webHidden/>
          </w:rPr>
          <w:instrText xml:space="preserve"> PAGEREF _Toc159250972 \h </w:instrText>
        </w:r>
        <w:r>
          <w:rPr>
            <w:noProof/>
            <w:webHidden/>
          </w:rPr>
        </w:r>
        <w:r>
          <w:rPr>
            <w:noProof/>
            <w:webHidden/>
          </w:rPr>
          <w:fldChar w:fldCharType="separate"/>
        </w:r>
        <w:r>
          <w:rPr>
            <w:noProof/>
            <w:webHidden/>
          </w:rPr>
          <w:t>7</w:t>
        </w:r>
        <w:r>
          <w:rPr>
            <w:noProof/>
            <w:webHidden/>
          </w:rPr>
          <w:fldChar w:fldCharType="end"/>
        </w:r>
      </w:hyperlink>
    </w:p>
    <w:p w14:paraId="2A6A07BD" w14:textId="7C14DAED" w:rsidR="005A18DC" w:rsidRDefault="005A18DC">
      <w:pPr>
        <w:pStyle w:val="TOC1"/>
        <w:tabs>
          <w:tab w:val="left" w:pos="400"/>
          <w:tab w:val="right" w:leader="dot" w:pos="10457"/>
        </w:tabs>
        <w:rPr>
          <w:rFonts w:eastAsiaTheme="minorEastAsia" w:cstheme="minorBidi"/>
          <w:b w:val="0"/>
          <w:bCs w:val="0"/>
          <w:caps w:val="0"/>
          <w:noProof/>
          <w:kern w:val="2"/>
          <w:sz w:val="22"/>
          <w:szCs w:val="22"/>
          <w:lang w:eastAsia="en-GB"/>
          <w14:ligatures w14:val="standardContextual"/>
        </w:rPr>
      </w:pPr>
      <w:hyperlink w:anchor="_Toc159250973" w:history="1">
        <w:r w:rsidRPr="001B2BCE">
          <w:rPr>
            <w:rStyle w:val="Hyperlink"/>
            <w:noProof/>
          </w:rPr>
          <w:t>3</w:t>
        </w:r>
        <w:r>
          <w:rPr>
            <w:rFonts w:eastAsiaTheme="minorEastAsia" w:cstheme="minorBidi"/>
            <w:b w:val="0"/>
            <w:bCs w:val="0"/>
            <w:caps w:val="0"/>
            <w:noProof/>
            <w:kern w:val="2"/>
            <w:sz w:val="22"/>
            <w:szCs w:val="22"/>
            <w:lang w:eastAsia="en-GB"/>
            <w14:ligatures w14:val="standardContextual"/>
          </w:rPr>
          <w:tab/>
        </w:r>
        <w:r w:rsidRPr="001B2BCE">
          <w:rPr>
            <w:rStyle w:val="Hyperlink"/>
            <w:noProof/>
          </w:rPr>
          <w:t>Highlights from RAN plenary</w:t>
        </w:r>
        <w:r>
          <w:rPr>
            <w:noProof/>
            <w:webHidden/>
          </w:rPr>
          <w:tab/>
        </w:r>
        <w:r>
          <w:rPr>
            <w:noProof/>
            <w:webHidden/>
          </w:rPr>
          <w:fldChar w:fldCharType="begin"/>
        </w:r>
        <w:r>
          <w:rPr>
            <w:noProof/>
            <w:webHidden/>
          </w:rPr>
          <w:instrText xml:space="preserve"> PAGEREF _Toc159250973 \h </w:instrText>
        </w:r>
        <w:r>
          <w:rPr>
            <w:noProof/>
            <w:webHidden/>
          </w:rPr>
        </w:r>
        <w:r>
          <w:rPr>
            <w:noProof/>
            <w:webHidden/>
          </w:rPr>
          <w:fldChar w:fldCharType="separate"/>
        </w:r>
        <w:r>
          <w:rPr>
            <w:noProof/>
            <w:webHidden/>
          </w:rPr>
          <w:t>7</w:t>
        </w:r>
        <w:r>
          <w:rPr>
            <w:noProof/>
            <w:webHidden/>
          </w:rPr>
          <w:fldChar w:fldCharType="end"/>
        </w:r>
      </w:hyperlink>
    </w:p>
    <w:p w14:paraId="40B7AF2F" w14:textId="2C196E8C" w:rsidR="005A18DC" w:rsidRDefault="005A18DC">
      <w:pPr>
        <w:pStyle w:val="TOC1"/>
        <w:tabs>
          <w:tab w:val="left" w:pos="400"/>
          <w:tab w:val="right" w:leader="dot" w:pos="10457"/>
        </w:tabs>
        <w:rPr>
          <w:rFonts w:eastAsiaTheme="minorEastAsia" w:cstheme="minorBidi"/>
          <w:b w:val="0"/>
          <w:bCs w:val="0"/>
          <w:caps w:val="0"/>
          <w:noProof/>
          <w:kern w:val="2"/>
          <w:sz w:val="22"/>
          <w:szCs w:val="22"/>
          <w:lang w:eastAsia="en-GB"/>
          <w14:ligatures w14:val="standardContextual"/>
        </w:rPr>
      </w:pPr>
      <w:hyperlink w:anchor="_Toc159250974" w:history="1">
        <w:r w:rsidRPr="001B2BCE">
          <w:rPr>
            <w:rStyle w:val="Hyperlink"/>
            <w:noProof/>
          </w:rPr>
          <w:t>4</w:t>
        </w:r>
        <w:r>
          <w:rPr>
            <w:rFonts w:eastAsiaTheme="minorEastAsia" w:cstheme="minorBidi"/>
            <w:b w:val="0"/>
            <w:bCs w:val="0"/>
            <w:caps w:val="0"/>
            <w:noProof/>
            <w:kern w:val="2"/>
            <w:sz w:val="22"/>
            <w:szCs w:val="22"/>
            <w:lang w:eastAsia="en-GB"/>
            <w14:ligatures w14:val="standardContextual"/>
          </w:rPr>
          <w:tab/>
        </w:r>
        <w:r w:rsidRPr="001B2BCE">
          <w:rPr>
            <w:rStyle w:val="Hyperlink"/>
            <w:noProof/>
          </w:rPr>
          <w:t>Approval of Minutes from previous meeting</w:t>
        </w:r>
        <w:r>
          <w:rPr>
            <w:noProof/>
            <w:webHidden/>
          </w:rPr>
          <w:tab/>
        </w:r>
        <w:r>
          <w:rPr>
            <w:noProof/>
            <w:webHidden/>
          </w:rPr>
          <w:fldChar w:fldCharType="begin"/>
        </w:r>
        <w:r>
          <w:rPr>
            <w:noProof/>
            <w:webHidden/>
          </w:rPr>
          <w:instrText xml:space="preserve"> PAGEREF _Toc159250974 \h </w:instrText>
        </w:r>
        <w:r>
          <w:rPr>
            <w:noProof/>
            <w:webHidden/>
          </w:rPr>
        </w:r>
        <w:r>
          <w:rPr>
            <w:noProof/>
            <w:webHidden/>
          </w:rPr>
          <w:fldChar w:fldCharType="separate"/>
        </w:r>
        <w:r>
          <w:rPr>
            <w:noProof/>
            <w:webHidden/>
          </w:rPr>
          <w:t>7</w:t>
        </w:r>
        <w:r>
          <w:rPr>
            <w:noProof/>
            <w:webHidden/>
          </w:rPr>
          <w:fldChar w:fldCharType="end"/>
        </w:r>
      </w:hyperlink>
    </w:p>
    <w:p w14:paraId="61C86986" w14:textId="038C55D2" w:rsidR="005A18DC" w:rsidRDefault="005A18DC">
      <w:pPr>
        <w:pStyle w:val="TOC1"/>
        <w:tabs>
          <w:tab w:val="left" w:pos="400"/>
          <w:tab w:val="right" w:leader="dot" w:pos="10457"/>
        </w:tabs>
        <w:rPr>
          <w:rFonts w:eastAsiaTheme="minorEastAsia" w:cstheme="minorBidi"/>
          <w:b w:val="0"/>
          <w:bCs w:val="0"/>
          <w:caps w:val="0"/>
          <w:noProof/>
          <w:kern w:val="2"/>
          <w:sz w:val="22"/>
          <w:szCs w:val="22"/>
          <w:lang w:eastAsia="en-GB"/>
          <w14:ligatures w14:val="standardContextual"/>
        </w:rPr>
      </w:pPr>
      <w:hyperlink w:anchor="_Toc159250975" w:history="1">
        <w:r w:rsidRPr="001B2BCE">
          <w:rPr>
            <w:rStyle w:val="Hyperlink"/>
            <w:noProof/>
          </w:rPr>
          <w:t>5</w:t>
        </w:r>
        <w:r>
          <w:rPr>
            <w:rFonts w:eastAsiaTheme="minorEastAsia" w:cstheme="minorBidi"/>
            <w:b w:val="0"/>
            <w:bCs w:val="0"/>
            <w:caps w:val="0"/>
            <w:noProof/>
            <w:kern w:val="2"/>
            <w:sz w:val="22"/>
            <w:szCs w:val="22"/>
            <w:lang w:eastAsia="en-GB"/>
            <w14:ligatures w14:val="standardContextual"/>
          </w:rPr>
          <w:tab/>
        </w:r>
        <w:r w:rsidRPr="001B2BCE">
          <w:rPr>
            <w:rStyle w:val="Hyperlink"/>
            <w:noProof/>
          </w:rPr>
          <w:t>Incoming Liaison Statements</w:t>
        </w:r>
        <w:r>
          <w:rPr>
            <w:noProof/>
            <w:webHidden/>
          </w:rPr>
          <w:tab/>
        </w:r>
        <w:r>
          <w:rPr>
            <w:noProof/>
            <w:webHidden/>
          </w:rPr>
          <w:fldChar w:fldCharType="begin"/>
        </w:r>
        <w:r>
          <w:rPr>
            <w:noProof/>
            <w:webHidden/>
          </w:rPr>
          <w:instrText xml:space="preserve"> PAGEREF _Toc159250975 \h </w:instrText>
        </w:r>
        <w:r>
          <w:rPr>
            <w:noProof/>
            <w:webHidden/>
          </w:rPr>
        </w:r>
        <w:r>
          <w:rPr>
            <w:noProof/>
            <w:webHidden/>
          </w:rPr>
          <w:fldChar w:fldCharType="separate"/>
        </w:r>
        <w:r>
          <w:rPr>
            <w:noProof/>
            <w:webHidden/>
          </w:rPr>
          <w:t>7</w:t>
        </w:r>
        <w:r>
          <w:rPr>
            <w:noProof/>
            <w:webHidden/>
          </w:rPr>
          <w:fldChar w:fldCharType="end"/>
        </w:r>
      </w:hyperlink>
    </w:p>
    <w:p w14:paraId="60853682" w14:textId="5F318CA1" w:rsidR="005A18DC" w:rsidRDefault="005A18DC">
      <w:pPr>
        <w:pStyle w:val="TOC1"/>
        <w:tabs>
          <w:tab w:val="left" w:pos="400"/>
          <w:tab w:val="right" w:leader="dot" w:pos="10457"/>
        </w:tabs>
        <w:rPr>
          <w:rFonts w:eastAsiaTheme="minorEastAsia" w:cstheme="minorBidi"/>
          <w:b w:val="0"/>
          <w:bCs w:val="0"/>
          <w:caps w:val="0"/>
          <w:noProof/>
          <w:kern w:val="2"/>
          <w:sz w:val="22"/>
          <w:szCs w:val="22"/>
          <w:lang w:eastAsia="en-GB"/>
          <w14:ligatures w14:val="standardContextual"/>
        </w:rPr>
      </w:pPr>
      <w:hyperlink w:anchor="_Toc159250976" w:history="1">
        <w:r w:rsidRPr="001B2BCE">
          <w:rPr>
            <w:rStyle w:val="Hyperlink"/>
            <w:noProof/>
            <w:lang w:val="fr-FR"/>
          </w:rPr>
          <w:t>6</w:t>
        </w:r>
        <w:r>
          <w:rPr>
            <w:rFonts w:eastAsiaTheme="minorEastAsia" w:cstheme="minorBidi"/>
            <w:b w:val="0"/>
            <w:bCs w:val="0"/>
            <w:caps w:val="0"/>
            <w:noProof/>
            <w:kern w:val="2"/>
            <w:sz w:val="22"/>
            <w:szCs w:val="22"/>
            <w:lang w:eastAsia="en-GB"/>
            <w14:ligatures w14:val="standardContextual"/>
          </w:rPr>
          <w:tab/>
        </w:r>
        <w:r w:rsidRPr="001B2BCE">
          <w:rPr>
            <w:rStyle w:val="Hyperlink"/>
            <w:noProof/>
            <w:lang w:val="fr-FR"/>
          </w:rPr>
          <w:t>Pre-Rel-18 E-UTRA Maintenance</w:t>
        </w:r>
        <w:r>
          <w:rPr>
            <w:noProof/>
            <w:webHidden/>
          </w:rPr>
          <w:tab/>
        </w:r>
        <w:r>
          <w:rPr>
            <w:noProof/>
            <w:webHidden/>
          </w:rPr>
          <w:fldChar w:fldCharType="begin"/>
        </w:r>
        <w:r>
          <w:rPr>
            <w:noProof/>
            <w:webHidden/>
          </w:rPr>
          <w:instrText xml:space="preserve"> PAGEREF _Toc159250976 \h </w:instrText>
        </w:r>
        <w:r>
          <w:rPr>
            <w:noProof/>
            <w:webHidden/>
          </w:rPr>
        </w:r>
        <w:r>
          <w:rPr>
            <w:noProof/>
            <w:webHidden/>
          </w:rPr>
          <w:fldChar w:fldCharType="separate"/>
        </w:r>
        <w:r>
          <w:rPr>
            <w:noProof/>
            <w:webHidden/>
          </w:rPr>
          <w:t>16</w:t>
        </w:r>
        <w:r>
          <w:rPr>
            <w:noProof/>
            <w:webHidden/>
          </w:rPr>
          <w:fldChar w:fldCharType="end"/>
        </w:r>
      </w:hyperlink>
    </w:p>
    <w:p w14:paraId="71890A97" w14:textId="6F7C712B" w:rsidR="005A18DC" w:rsidRDefault="005A18DC">
      <w:pPr>
        <w:pStyle w:val="TOC1"/>
        <w:tabs>
          <w:tab w:val="left" w:pos="400"/>
          <w:tab w:val="right" w:leader="dot" w:pos="10457"/>
        </w:tabs>
        <w:rPr>
          <w:rFonts w:eastAsiaTheme="minorEastAsia" w:cstheme="minorBidi"/>
          <w:b w:val="0"/>
          <w:bCs w:val="0"/>
          <w:caps w:val="0"/>
          <w:noProof/>
          <w:kern w:val="2"/>
          <w:sz w:val="22"/>
          <w:szCs w:val="22"/>
          <w:lang w:eastAsia="en-GB"/>
          <w14:ligatures w14:val="standardContextual"/>
        </w:rPr>
      </w:pPr>
      <w:hyperlink w:anchor="_Toc159250977" w:history="1">
        <w:r w:rsidRPr="001B2BCE">
          <w:rPr>
            <w:rStyle w:val="Hyperlink"/>
            <w:noProof/>
          </w:rPr>
          <w:t>7</w:t>
        </w:r>
        <w:r>
          <w:rPr>
            <w:rFonts w:eastAsiaTheme="minorEastAsia" w:cstheme="minorBidi"/>
            <w:b w:val="0"/>
            <w:bCs w:val="0"/>
            <w:caps w:val="0"/>
            <w:noProof/>
            <w:kern w:val="2"/>
            <w:sz w:val="22"/>
            <w:szCs w:val="22"/>
            <w:lang w:eastAsia="en-GB"/>
            <w14:ligatures w14:val="standardContextual"/>
          </w:rPr>
          <w:tab/>
        </w:r>
        <w:r w:rsidRPr="001B2BCE">
          <w:rPr>
            <w:rStyle w:val="Hyperlink"/>
            <w:noProof/>
          </w:rPr>
          <w:t>Pre-Rel-18 NR Maintenance</w:t>
        </w:r>
        <w:r>
          <w:rPr>
            <w:noProof/>
            <w:webHidden/>
          </w:rPr>
          <w:tab/>
        </w:r>
        <w:r>
          <w:rPr>
            <w:noProof/>
            <w:webHidden/>
          </w:rPr>
          <w:fldChar w:fldCharType="begin"/>
        </w:r>
        <w:r>
          <w:rPr>
            <w:noProof/>
            <w:webHidden/>
          </w:rPr>
          <w:instrText xml:space="preserve"> PAGEREF _Toc159250977 \h </w:instrText>
        </w:r>
        <w:r>
          <w:rPr>
            <w:noProof/>
            <w:webHidden/>
          </w:rPr>
        </w:r>
        <w:r>
          <w:rPr>
            <w:noProof/>
            <w:webHidden/>
          </w:rPr>
          <w:fldChar w:fldCharType="separate"/>
        </w:r>
        <w:r>
          <w:rPr>
            <w:noProof/>
            <w:webHidden/>
          </w:rPr>
          <w:t>17</w:t>
        </w:r>
        <w:r>
          <w:rPr>
            <w:noProof/>
            <w:webHidden/>
          </w:rPr>
          <w:fldChar w:fldCharType="end"/>
        </w:r>
      </w:hyperlink>
    </w:p>
    <w:p w14:paraId="31683C3E" w14:textId="295083FF" w:rsidR="005A18DC" w:rsidRDefault="005A18DC">
      <w:pPr>
        <w:pStyle w:val="TOC2"/>
        <w:tabs>
          <w:tab w:val="left" w:pos="800"/>
          <w:tab w:val="right" w:leader="dot" w:pos="10457"/>
        </w:tabs>
        <w:rPr>
          <w:rFonts w:eastAsiaTheme="minorEastAsia" w:cstheme="minorBidi"/>
          <w:smallCaps w:val="0"/>
          <w:noProof/>
          <w:kern w:val="2"/>
          <w:sz w:val="22"/>
          <w:szCs w:val="22"/>
          <w:lang w:eastAsia="en-GB"/>
          <w14:ligatures w14:val="standardContextual"/>
        </w:rPr>
      </w:pPr>
      <w:hyperlink w:anchor="_Toc159250978" w:history="1">
        <w:r w:rsidRPr="001B2BCE">
          <w:rPr>
            <w:rStyle w:val="Hyperlink"/>
            <w:noProof/>
          </w:rPr>
          <w:t>7.1</w:t>
        </w:r>
        <w:r>
          <w:rPr>
            <w:rFonts w:eastAsiaTheme="minorEastAsia" w:cstheme="minorBidi"/>
            <w:smallCaps w:val="0"/>
            <w:noProof/>
            <w:kern w:val="2"/>
            <w:sz w:val="22"/>
            <w:szCs w:val="22"/>
            <w:lang w:eastAsia="en-GB"/>
            <w14:ligatures w14:val="standardContextual"/>
          </w:rPr>
          <w:tab/>
        </w:r>
        <w:r w:rsidRPr="001B2BCE">
          <w:rPr>
            <w:rStyle w:val="Hyperlink"/>
            <w:noProof/>
          </w:rPr>
          <w:t>Maintenance on NR Releases 15 – 16</w:t>
        </w:r>
        <w:r>
          <w:rPr>
            <w:noProof/>
            <w:webHidden/>
          </w:rPr>
          <w:tab/>
        </w:r>
        <w:r>
          <w:rPr>
            <w:noProof/>
            <w:webHidden/>
          </w:rPr>
          <w:fldChar w:fldCharType="begin"/>
        </w:r>
        <w:r>
          <w:rPr>
            <w:noProof/>
            <w:webHidden/>
          </w:rPr>
          <w:instrText xml:space="preserve"> PAGEREF _Toc159250978 \h </w:instrText>
        </w:r>
        <w:r>
          <w:rPr>
            <w:noProof/>
            <w:webHidden/>
          </w:rPr>
        </w:r>
        <w:r>
          <w:rPr>
            <w:noProof/>
            <w:webHidden/>
          </w:rPr>
          <w:fldChar w:fldCharType="separate"/>
        </w:r>
        <w:r>
          <w:rPr>
            <w:noProof/>
            <w:webHidden/>
          </w:rPr>
          <w:t>17</w:t>
        </w:r>
        <w:r>
          <w:rPr>
            <w:noProof/>
            <w:webHidden/>
          </w:rPr>
          <w:fldChar w:fldCharType="end"/>
        </w:r>
      </w:hyperlink>
    </w:p>
    <w:p w14:paraId="06DBD3E5" w14:textId="19EB4799" w:rsidR="005A18DC" w:rsidRDefault="005A18DC">
      <w:pPr>
        <w:pStyle w:val="TOC2"/>
        <w:tabs>
          <w:tab w:val="left" w:pos="800"/>
          <w:tab w:val="right" w:leader="dot" w:pos="10457"/>
        </w:tabs>
        <w:rPr>
          <w:rFonts w:eastAsiaTheme="minorEastAsia" w:cstheme="minorBidi"/>
          <w:smallCaps w:val="0"/>
          <w:noProof/>
          <w:kern w:val="2"/>
          <w:sz w:val="22"/>
          <w:szCs w:val="22"/>
          <w:lang w:eastAsia="en-GB"/>
          <w14:ligatures w14:val="standardContextual"/>
        </w:rPr>
      </w:pPr>
      <w:hyperlink w:anchor="_Toc159250979" w:history="1">
        <w:r w:rsidRPr="001B2BCE">
          <w:rPr>
            <w:rStyle w:val="Hyperlink"/>
            <w:noProof/>
          </w:rPr>
          <w:t>7.2</w:t>
        </w:r>
        <w:r>
          <w:rPr>
            <w:rFonts w:eastAsiaTheme="minorEastAsia" w:cstheme="minorBidi"/>
            <w:smallCaps w:val="0"/>
            <w:noProof/>
            <w:kern w:val="2"/>
            <w:sz w:val="22"/>
            <w:szCs w:val="22"/>
            <w:lang w:eastAsia="en-GB"/>
            <w14:ligatures w14:val="standardContextual"/>
          </w:rPr>
          <w:tab/>
        </w:r>
        <w:r w:rsidRPr="001B2BCE">
          <w:rPr>
            <w:rStyle w:val="Hyperlink"/>
            <w:noProof/>
          </w:rPr>
          <w:t>Maintenance on NR Release 17</w:t>
        </w:r>
        <w:r>
          <w:rPr>
            <w:noProof/>
            <w:webHidden/>
          </w:rPr>
          <w:tab/>
        </w:r>
        <w:r>
          <w:rPr>
            <w:noProof/>
            <w:webHidden/>
          </w:rPr>
          <w:fldChar w:fldCharType="begin"/>
        </w:r>
        <w:r>
          <w:rPr>
            <w:noProof/>
            <w:webHidden/>
          </w:rPr>
          <w:instrText xml:space="preserve"> PAGEREF _Toc159250979 \h </w:instrText>
        </w:r>
        <w:r>
          <w:rPr>
            <w:noProof/>
            <w:webHidden/>
          </w:rPr>
        </w:r>
        <w:r>
          <w:rPr>
            <w:noProof/>
            <w:webHidden/>
          </w:rPr>
          <w:fldChar w:fldCharType="separate"/>
        </w:r>
        <w:r>
          <w:rPr>
            <w:noProof/>
            <w:webHidden/>
          </w:rPr>
          <w:t>25</w:t>
        </w:r>
        <w:r>
          <w:rPr>
            <w:noProof/>
            <w:webHidden/>
          </w:rPr>
          <w:fldChar w:fldCharType="end"/>
        </w:r>
      </w:hyperlink>
    </w:p>
    <w:p w14:paraId="3A5CA29A" w14:textId="5971BC5E" w:rsidR="005A18DC" w:rsidRDefault="005A18DC">
      <w:pPr>
        <w:pStyle w:val="TOC1"/>
        <w:tabs>
          <w:tab w:val="left" w:pos="400"/>
          <w:tab w:val="right" w:leader="dot" w:pos="10457"/>
        </w:tabs>
        <w:rPr>
          <w:rFonts w:eastAsiaTheme="minorEastAsia" w:cstheme="minorBidi"/>
          <w:b w:val="0"/>
          <w:bCs w:val="0"/>
          <w:caps w:val="0"/>
          <w:noProof/>
          <w:kern w:val="2"/>
          <w:sz w:val="22"/>
          <w:szCs w:val="22"/>
          <w:lang w:eastAsia="en-GB"/>
          <w14:ligatures w14:val="standardContextual"/>
        </w:rPr>
      </w:pPr>
      <w:hyperlink w:anchor="_Toc159250980" w:history="1">
        <w:r w:rsidRPr="001B2BCE">
          <w:rPr>
            <w:rStyle w:val="Hyperlink"/>
            <w:noProof/>
          </w:rPr>
          <w:t>8</w:t>
        </w:r>
        <w:r>
          <w:rPr>
            <w:rFonts w:eastAsiaTheme="minorEastAsia" w:cstheme="minorBidi"/>
            <w:b w:val="0"/>
            <w:bCs w:val="0"/>
            <w:caps w:val="0"/>
            <w:noProof/>
            <w:kern w:val="2"/>
            <w:sz w:val="22"/>
            <w:szCs w:val="22"/>
            <w:lang w:eastAsia="en-GB"/>
            <w14:ligatures w14:val="standardContextual"/>
          </w:rPr>
          <w:tab/>
        </w:r>
        <w:r w:rsidRPr="001B2BCE">
          <w:rPr>
            <w:rStyle w:val="Hyperlink"/>
            <w:noProof/>
          </w:rPr>
          <w:t>Rel-18</w:t>
        </w:r>
        <w:r>
          <w:rPr>
            <w:noProof/>
            <w:webHidden/>
          </w:rPr>
          <w:tab/>
        </w:r>
        <w:r>
          <w:rPr>
            <w:noProof/>
            <w:webHidden/>
          </w:rPr>
          <w:fldChar w:fldCharType="begin"/>
        </w:r>
        <w:r>
          <w:rPr>
            <w:noProof/>
            <w:webHidden/>
          </w:rPr>
          <w:instrText xml:space="preserve"> PAGEREF _Toc159250980 \h </w:instrText>
        </w:r>
        <w:r>
          <w:rPr>
            <w:noProof/>
            <w:webHidden/>
          </w:rPr>
        </w:r>
        <w:r>
          <w:rPr>
            <w:noProof/>
            <w:webHidden/>
          </w:rPr>
          <w:fldChar w:fldCharType="separate"/>
        </w:r>
        <w:r>
          <w:rPr>
            <w:noProof/>
            <w:webHidden/>
          </w:rPr>
          <w:t>38</w:t>
        </w:r>
        <w:r>
          <w:rPr>
            <w:noProof/>
            <w:webHidden/>
          </w:rPr>
          <w:fldChar w:fldCharType="end"/>
        </w:r>
      </w:hyperlink>
    </w:p>
    <w:p w14:paraId="0ED6C072" w14:textId="625A2195" w:rsidR="005A18DC" w:rsidRDefault="005A18DC">
      <w:pPr>
        <w:pStyle w:val="TOC2"/>
        <w:tabs>
          <w:tab w:val="left" w:pos="800"/>
          <w:tab w:val="right" w:leader="dot" w:pos="10457"/>
        </w:tabs>
        <w:rPr>
          <w:rFonts w:eastAsiaTheme="minorEastAsia" w:cstheme="minorBidi"/>
          <w:smallCaps w:val="0"/>
          <w:noProof/>
          <w:kern w:val="2"/>
          <w:sz w:val="22"/>
          <w:szCs w:val="22"/>
          <w:lang w:eastAsia="en-GB"/>
          <w14:ligatures w14:val="standardContextual"/>
        </w:rPr>
      </w:pPr>
      <w:hyperlink w:anchor="_Toc159250981" w:history="1">
        <w:r w:rsidRPr="001B2BCE">
          <w:rPr>
            <w:rStyle w:val="Hyperlink"/>
            <w:noProof/>
          </w:rPr>
          <w:t>8.1</w:t>
        </w:r>
        <w:r>
          <w:rPr>
            <w:rFonts w:eastAsiaTheme="minorEastAsia" w:cstheme="minorBidi"/>
            <w:smallCaps w:val="0"/>
            <w:noProof/>
            <w:kern w:val="2"/>
            <w:sz w:val="22"/>
            <w:szCs w:val="22"/>
            <w:lang w:eastAsia="en-GB"/>
            <w14:ligatures w14:val="standardContextual"/>
          </w:rPr>
          <w:tab/>
        </w:r>
        <w:r w:rsidRPr="001B2BCE">
          <w:rPr>
            <w:rStyle w:val="Hyperlink"/>
            <w:noProof/>
          </w:rPr>
          <w:t>Maintenance on NR MIMO Evolution for Downlink and Uplink</w:t>
        </w:r>
        <w:r>
          <w:rPr>
            <w:noProof/>
            <w:webHidden/>
          </w:rPr>
          <w:tab/>
        </w:r>
        <w:r>
          <w:rPr>
            <w:noProof/>
            <w:webHidden/>
          </w:rPr>
          <w:fldChar w:fldCharType="begin"/>
        </w:r>
        <w:r>
          <w:rPr>
            <w:noProof/>
            <w:webHidden/>
          </w:rPr>
          <w:instrText xml:space="preserve"> PAGEREF _Toc159250981 \h </w:instrText>
        </w:r>
        <w:r>
          <w:rPr>
            <w:noProof/>
            <w:webHidden/>
          </w:rPr>
        </w:r>
        <w:r>
          <w:rPr>
            <w:noProof/>
            <w:webHidden/>
          </w:rPr>
          <w:fldChar w:fldCharType="separate"/>
        </w:r>
        <w:r>
          <w:rPr>
            <w:noProof/>
            <w:webHidden/>
          </w:rPr>
          <w:t>39</w:t>
        </w:r>
        <w:r>
          <w:rPr>
            <w:noProof/>
            <w:webHidden/>
          </w:rPr>
          <w:fldChar w:fldCharType="end"/>
        </w:r>
      </w:hyperlink>
    </w:p>
    <w:p w14:paraId="5FA1885D" w14:textId="1C07D834" w:rsidR="005A18DC" w:rsidRDefault="005A18DC">
      <w:pPr>
        <w:pStyle w:val="TOC3"/>
        <w:tabs>
          <w:tab w:val="left" w:pos="1200"/>
          <w:tab w:val="right" w:leader="dot" w:pos="10457"/>
        </w:tabs>
        <w:rPr>
          <w:rFonts w:eastAsiaTheme="minorEastAsia" w:cstheme="minorBidi"/>
          <w:i w:val="0"/>
          <w:iCs w:val="0"/>
          <w:noProof/>
          <w:kern w:val="2"/>
          <w:sz w:val="22"/>
          <w:szCs w:val="22"/>
          <w:lang w:eastAsia="en-GB"/>
          <w14:ligatures w14:val="standardContextual"/>
        </w:rPr>
      </w:pPr>
      <w:hyperlink w:anchor="_Toc159250982" w:history="1">
        <w:r w:rsidRPr="001B2BCE">
          <w:rPr>
            <w:rStyle w:val="Hyperlink"/>
            <w:noProof/>
          </w:rPr>
          <w:t>8.1.1</w:t>
        </w:r>
        <w:r>
          <w:rPr>
            <w:rFonts w:eastAsiaTheme="minorEastAsia" w:cstheme="minorBidi"/>
            <w:i w:val="0"/>
            <w:iCs w:val="0"/>
            <w:noProof/>
            <w:kern w:val="2"/>
            <w:sz w:val="22"/>
            <w:szCs w:val="22"/>
            <w:lang w:eastAsia="en-GB"/>
            <w14:ligatures w14:val="standardContextual"/>
          </w:rPr>
          <w:tab/>
        </w:r>
        <w:r w:rsidRPr="001B2BCE">
          <w:rPr>
            <w:rStyle w:val="Hyperlink"/>
            <w:noProof/>
          </w:rPr>
          <w:t>Multi-TRP enhancement</w:t>
        </w:r>
        <w:r>
          <w:rPr>
            <w:noProof/>
            <w:webHidden/>
          </w:rPr>
          <w:tab/>
        </w:r>
        <w:r>
          <w:rPr>
            <w:noProof/>
            <w:webHidden/>
          </w:rPr>
          <w:fldChar w:fldCharType="begin"/>
        </w:r>
        <w:r>
          <w:rPr>
            <w:noProof/>
            <w:webHidden/>
          </w:rPr>
          <w:instrText xml:space="preserve"> PAGEREF _Toc159250982 \h </w:instrText>
        </w:r>
        <w:r>
          <w:rPr>
            <w:noProof/>
            <w:webHidden/>
          </w:rPr>
        </w:r>
        <w:r>
          <w:rPr>
            <w:noProof/>
            <w:webHidden/>
          </w:rPr>
          <w:fldChar w:fldCharType="separate"/>
        </w:r>
        <w:r>
          <w:rPr>
            <w:noProof/>
            <w:webHidden/>
          </w:rPr>
          <w:t>39</w:t>
        </w:r>
        <w:r>
          <w:rPr>
            <w:noProof/>
            <w:webHidden/>
          </w:rPr>
          <w:fldChar w:fldCharType="end"/>
        </w:r>
      </w:hyperlink>
    </w:p>
    <w:p w14:paraId="52F94568" w14:textId="3C7A3EAD" w:rsidR="005A18DC" w:rsidRDefault="005A18DC">
      <w:pPr>
        <w:pStyle w:val="TOC4"/>
        <w:tabs>
          <w:tab w:val="left" w:pos="1400"/>
          <w:tab w:val="right" w:leader="dot" w:pos="10457"/>
        </w:tabs>
        <w:rPr>
          <w:rFonts w:eastAsiaTheme="minorEastAsia" w:cstheme="minorBidi"/>
          <w:noProof/>
          <w:kern w:val="2"/>
          <w:sz w:val="22"/>
          <w:szCs w:val="22"/>
          <w:lang w:eastAsia="en-GB"/>
          <w14:ligatures w14:val="standardContextual"/>
        </w:rPr>
      </w:pPr>
      <w:hyperlink w:anchor="_Toc159250983" w:history="1">
        <w:r w:rsidRPr="001B2BCE">
          <w:rPr>
            <w:rStyle w:val="Hyperlink"/>
            <w:noProof/>
          </w:rPr>
          <w:t>8.1.1.1</w:t>
        </w:r>
        <w:r>
          <w:rPr>
            <w:rFonts w:eastAsiaTheme="minorEastAsia" w:cstheme="minorBidi"/>
            <w:noProof/>
            <w:kern w:val="2"/>
            <w:sz w:val="22"/>
            <w:szCs w:val="22"/>
            <w:lang w:eastAsia="en-GB"/>
            <w14:ligatures w14:val="standardContextual"/>
          </w:rPr>
          <w:tab/>
        </w:r>
        <w:r w:rsidRPr="001B2BCE">
          <w:rPr>
            <w:rStyle w:val="Hyperlink"/>
            <w:noProof/>
          </w:rPr>
          <w:t>Unified TCI framework extension for multi-TRP</w:t>
        </w:r>
        <w:r>
          <w:rPr>
            <w:noProof/>
            <w:webHidden/>
          </w:rPr>
          <w:tab/>
        </w:r>
        <w:r>
          <w:rPr>
            <w:noProof/>
            <w:webHidden/>
          </w:rPr>
          <w:fldChar w:fldCharType="begin"/>
        </w:r>
        <w:r>
          <w:rPr>
            <w:noProof/>
            <w:webHidden/>
          </w:rPr>
          <w:instrText xml:space="preserve"> PAGEREF _Toc159250983 \h </w:instrText>
        </w:r>
        <w:r>
          <w:rPr>
            <w:noProof/>
            <w:webHidden/>
          </w:rPr>
        </w:r>
        <w:r>
          <w:rPr>
            <w:noProof/>
            <w:webHidden/>
          </w:rPr>
          <w:fldChar w:fldCharType="separate"/>
        </w:r>
        <w:r>
          <w:rPr>
            <w:noProof/>
            <w:webHidden/>
          </w:rPr>
          <w:t>39</w:t>
        </w:r>
        <w:r>
          <w:rPr>
            <w:noProof/>
            <w:webHidden/>
          </w:rPr>
          <w:fldChar w:fldCharType="end"/>
        </w:r>
      </w:hyperlink>
    </w:p>
    <w:p w14:paraId="3FE876A8" w14:textId="6373C358" w:rsidR="005A18DC" w:rsidRDefault="005A18DC">
      <w:pPr>
        <w:pStyle w:val="TOC4"/>
        <w:tabs>
          <w:tab w:val="left" w:pos="1400"/>
          <w:tab w:val="right" w:leader="dot" w:pos="10457"/>
        </w:tabs>
        <w:rPr>
          <w:rFonts w:eastAsiaTheme="minorEastAsia" w:cstheme="minorBidi"/>
          <w:noProof/>
          <w:kern w:val="2"/>
          <w:sz w:val="22"/>
          <w:szCs w:val="22"/>
          <w:lang w:eastAsia="en-GB"/>
          <w14:ligatures w14:val="standardContextual"/>
        </w:rPr>
      </w:pPr>
      <w:hyperlink w:anchor="_Toc159250984" w:history="1">
        <w:r w:rsidRPr="001B2BCE">
          <w:rPr>
            <w:rStyle w:val="Hyperlink"/>
            <w:noProof/>
          </w:rPr>
          <w:t>8.1.1.2</w:t>
        </w:r>
        <w:r>
          <w:rPr>
            <w:rFonts w:eastAsiaTheme="minorEastAsia" w:cstheme="minorBidi"/>
            <w:noProof/>
            <w:kern w:val="2"/>
            <w:sz w:val="22"/>
            <w:szCs w:val="22"/>
            <w:lang w:eastAsia="en-GB"/>
            <w14:ligatures w14:val="standardContextual"/>
          </w:rPr>
          <w:tab/>
        </w:r>
        <w:r w:rsidRPr="001B2BCE">
          <w:rPr>
            <w:rStyle w:val="Hyperlink"/>
            <w:noProof/>
          </w:rPr>
          <w:t>Two TAs for multi-DCI</w:t>
        </w:r>
        <w:r>
          <w:rPr>
            <w:noProof/>
            <w:webHidden/>
          </w:rPr>
          <w:tab/>
        </w:r>
        <w:r>
          <w:rPr>
            <w:noProof/>
            <w:webHidden/>
          </w:rPr>
          <w:fldChar w:fldCharType="begin"/>
        </w:r>
        <w:r>
          <w:rPr>
            <w:noProof/>
            <w:webHidden/>
          </w:rPr>
          <w:instrText xml:space="preserve"> PAGEREF _Toc159250984 \h </w:instrText>
        </w:r>
        <w:r>
          <w:rPr>
            <w:noProof/>
            <w:webHidden/>
          </w:rPr>
        </w:r>
        <w:r>
          <w:rPr>
            <w:noProof/>
            <w:webHidden/>
          </w:rPr>
          <w:fldChar w:fldCharType="separate"/>
        </w:r>
        <w:r>
          <w:rPr>
            <w:noProof/>
            <w:webHidden/>
          </w:rPr>
          <w:t>42</w:t>
        </w:r>
        <w:r>
          <w:rPr>
            <w:noProof/>
            <w:webHidden/>
          </w:rPr>
          <w:fldChar w:fldCharType="end"/>
        </w:r>
      </w:hyperlink>
    </w:p>
    <w:p w14:paraId="541CD6A2" w14:textId="43B016D6" w:rsidR="005A18DC" w:rsidRDefault="005A18DC">
      <w:pPr>
        <w:pStyle w:val="TOC3"/>
        <w:tabs>
          <w:tab w:val="left" w:pos="1200"/>
          <w:tab w:val="right" w:leader="dot" w:pos="10457"/>
        </w:tabs>
        <w:rPr>
          <w:rFonts w:eastAsiaTheme="minorEastAsia" w:cstheme="minorBidi"/>
          <w:i w:val="0"/>
          <w:iCs w:val="0"/>
          <w:noProof/>
          <w:kern w:val="2"/>
          <w:sz w:val="22"/>
          <w:szCs w:val="22"/>
          <w:lang w:eastAsia="en-GB"/>
          <w14:ligatures w14:val="standardContextual"/>
        </w:rPr>
      </w:pPr>
      <w:hyperlink w:anchor="_Toc159250985" w:history="1">
        <w:r w:rsidRPr="001B2BCE">
          <w:rPr>
            <w:rStyle w:val="Hyperlink"/>
            <w:noProof/>
          </w:rPr>
          <w:t>8.1.2</w:t>
        </w:r>
        <w:r>
          <w:rPr>
            <w:rFonts w:eastAsiaTheme="minorEastAsia" w:cstheme="minorBidi"/>
            <w:i w:val="0"/>
            <w:iCs w:val="0"/>
            <w:noProof/>
            <w:kern w:val="2"/>
            <w:sz w:val="22"/>
            <w:szCs w:val="22"/>
            <w:lang w:eastAsia="en-GB"/>
            <w14:ligatures w14:val="standardContextual"/>
          </w:rPr>
          <w:tab/>
        </w:r>
        <w:r w:rsidRPr="001B2BCE">
          <w:rPr>
            <w:rStyle w:val="Hyperlink"/>
            <w:noProof/>
          </w:rPr>
          <w:t>CSI enhancement</w:t>
        </w:r>
        <w:r>
          <w:rPr>
            <w:noProof/>
            <w:webHidden/>
          </w:rPr>
          <w:tab/>
        </w:r>
        <w:r>
          <w:rPr>
            <w:noProof/>
            <w:webHidden/>
          </w:rPr>
          <w:fldChar w:fldCharType="begin"/>
        </w:r>
        <w:r>
          <w:rPr>
            <w:noProof/>
            <w:webHidden/>
          </w:rPr>
          <w:instrText xml:space="preserve"> PAGEREF _Toc159250985 \h </w:instrText>
        </w:r>
        <w:r>
          <w:rPr>
            <w:noProof/>
            <w:webHidden/>
          </w:rPr>
        </w:r>
        <w:r>
          <w:rPr>
            <w:noProof/>
            <w:webHidden/>
          </w:rPr>
          <w:fldChar w:fldCharType="separate"/>
        </w:r>
        <w:r>
          <w:rPr>
            <w:noProof/>
            <w:webHidden/>
          </w:rPr>
          <w:t>43</w:t>
        </w:r>
        <w:r>
          <w:rPr>
            <w:noProof/>
            <w:webHidden/>
          </w:rPr>
          <w:fldChar w:fldCharType="end"/>
        </w:r>
      </w:hyperlink>
    </w:p>
    <w:p w14:paraId="7162E941" w14:textId="22655471" w:rsidR="005A18DC" w:rsidRDefault="005A18DC">
      <w:pPr>
        <w:pStyle w:val="TOC3"/>
        <w:tabs>
          <w:tab w:val="left" w:pos="1200"/>
          <w:tab w:val="right" w:leader="dot" w:pos="10457"/>
        </w:tabs>
        <w:rPr>
          <w:rFonts w:eastAsiaTheme="minorEastAsia" w:cstheme="minorBidi"/>
          <w:i w:val="0"/>
          <w:iCs w:val="0"/>
          <w:noProof/>
          <w:kern w:val="2"/>
          <w:sz w:val="22"/>
          <w:szCs w:val="22"/>
          <w:lang w:eastAsia="en-GB"/>
          <w14:ligatures w14:val="standardContextual"/>
        </w:rPr>
      </w:pPr>
      <w:hyperlink w:anchor="_Toc159250986" w:history="1">
        <w:r w:rsidRPr="001B2BCE">
          <w:rPr>
            <w:rStyle w:val="Hyperlink"/>
            <w:noProof/>
          </w:rPr>
          <w:t>8.1.3</w:t>
        </w:r>
        <w:r>
          <w:rPr>
            <w:rFonts w:eastAsiaTheme="minorEastAsia" w:cstheme="minorBidi"/>
            <w:i w:val="0"/>
            <w:iCs w:val="0"/>
            <w:noProof/>
            <w:kern w:val="2"/>
            <w:sz w:val="22"/>
            <w:szCs w:val="22"/>
            <w:lang w:eastAsia="en-GB"/>
            <w14:ligatures w14:val="standardContextual"/>
          </w:rPr>
          <w:tab/>
        </w:r>
        <w:r w:rsidRPr="001B2BCE">
          <w:rPr>
            <w:rStyle w:val="Hyperlink"/>
            <w:noProof/>
          </w:rPr>
          <w:t>Reference signal enhancement</w:t>
        </w:r>
        <w:r>
          <w:rPr>
            <w:noProof/>
            <w:webHidden/>
          </w:rPr>
          <w:tab/>
        </w:r>
        <w:r>
          <w:rPr>
            <w:noProof/>
            <w:webHidden/>
          </w:rPr>
          <w:fldChar w:fldCharType="begin"/>
        </w:r>
        <w:r>
          <w:rPr>
            <w:noProof/>
            <w:webHidden/>
          </w:rPr>
          <w:instrText xml:space="preserve"> PAGEREF _Toc159250986 \h </w:instrText>
        </w:r>
        <w:r>
          <w:rPr>
            <w:noProof/>
            <w:webHidden/>
          </w:rPr>
        </w:r>
        <w:r>
          <w:rPr>
            <w:noProof/>
            <w:webHidden/>
          </w:rPr>
          <w:fldChar w:fldCharType="separate"/>
        </w:r>
        <w:r>
          <w:rPr>
            <w:noProof/>
            <w:webHidden/>
          </w:rPr>
          <w:t>48</w:t>
        </w:r>
        <w:r>
          <w:rPr>
            <w:noProof/>
            <w:webHidden/>
          </w:rPr>
          <w:fldChar w:fldCharType="end"/>
        </w:r>
      </w:hyperlink>
    </w:p>
    <w:p w14:paraId="7A9B4BBC" w14:textId="407D05BB" w:rsidR="005A18DC" w:rsidRDefault="005A18DC">
      <w:pPr>
        <w:pStyle w:val="TOC4"/>
        <w:tabs>
          <w:tab w:val="left" w:pos="1400"/>
          <w:tab w:val="right" w:leader="dot" w:pos="10457"/>
        </w:tabs>
        <w:rPr>
          <w:rFonts w:eastAsiaTheme="minorEastAsia" w:cstheme="minorBidi"/>
          <w:noProof/>
          <w:kern w:val="2"/>
          <w:sz w:val="22"/>
          <w:szCs w:val="22"/>
          <w:lang w:eastAsia="en-GB"/>
          <w14:ligatures w14:val="standardContextual"/>
        </w:rPr>
      </w:pPr>
      <w:hyperlink w:anchor="_Toc159250987" w:history="1">
        <w:r w:rsidRPr="001B2BCE">
          <w:rPr>
            <w:rStyle w:val="Hyperlink"/>
            <w:noProof/>
          </w:rPr>
          <w:t>8.1.3.1</w:t>
        </w:r>
        <w:r>
          <w:rPr>
            <w:rFonts w:eastAsiaTheme="minorEastAsia" w:cstheme="minorBidi"/>
            <w:noProof/>
            <w:kern w:val="2"/>
            <w:sz w:val="22"/>
            <w:szCs w:val="22"/>
            <w:lang w:eastAsia="en-GB"/>
            <w14:ligatures w14:val="standardContextual"/>
          </w:rPr>
          <w:tab/>
        </w:r>
        <w:r w:rsidRPr="001B2BCE">
          <w:rPr>
            <w:rStyle w:val="Hyperlink"/>
            <w:noProof/>
          </w:rPr>
          <w:t>Increased number of orthogonal DMRS ports</w:t>
        </w:r>
        <w:r>
          <w:rPr>
            <w:noProof/>
            <w:webHidden/>
          </w:rPr>
          <w:tab/>
        </w:r>
        <w:r>
          <w:rPr>
            <w:noProof/>
            <w:webHidden/>
          </w:rPr>
          <w:fldChar w:fldCharType="begin"/>
        </w:r>
        <w:r>
          <w:rPr>
            <w:noProof/>
            <w:webHidden/>
          </w:rPr>
          <w:instrText xml:space="preserve"> PAGEREF _Toc159250987 \h </w:instrText>
        </w:r>
        <w:r>
          <w:rPr>
            <w:noProof/>
            <w:webHidden/>
          </w:rPr>
        </w:r>
        <w:r>
          <w:rPr>
            <w:noProof/>
            <w:webHidden/>
          </w:rPr>
          <w:fldChar w:fldCharType="separate"/>
        </w:r>
        <w:r>
          <w:rPr>
            <w:noProof/>
            <w:webHidden/>
          </w:rPr>
          <w:t>48</w:t>
        </w:r>
        <w:r>
          <w:rPr>
            <w:noProof/>
            <w:webHidden/>
          </w:rPr>
          <w:fldChar w:fldCharType="end"/>
        </w:r>
      </w:hyperlink>
    </w:p>
    <w:p w14:paraId="32B56582" w14:textId="26A00E81" w:rsidR="005A18DC" w:rsidRDefault="005A18DC">
      <w:pPr>
        <w:pStyle w:val="TOC4"/>
        <w:tabs>
          <w:tab w:val="left" w:pos="1400"/>
          <w:tab w:val="right" w:leader="dot" w:pos="10457"/>
        </w:tabs>
        <w:rPr>
          <w:rFonts w:eastAsiaTheme="minorEastAsia" w:cstheme="minorBidi"/>
          <w:noProof/>
          <w:kern w:val="2"/>
          <w:sz w:val="22"/>
          <w:szCs w:val="22"/>
          <w:lang w:eastAsia="en-GB"/>
          <w14:ligatures w14:val="standardContextual"/>
        </w:rPr>
      </w:pPr>
      <w:hyperlink w:anchor="_Toc159250988" w:history="1">
        <w:r w:rsidRPr="001B2BCE">
          <w:rPr>
            <w:rStyle w:val="Hyperlink"/>
            <w:noProof/>
          </w:rPr>
          <w:t>8.1.3.2</w:t>
        </w:r>
        <w:r>
          <w:rPr>
            <w:rFonts w:eastAsiaTheme="minorEastAsia" w:cstheme="minorBidi"/>
            <w:noProof/>
            <w:kern w:val="2"/>
            <w:sz w:val="22"/>
            <w:szCs w:val="22"/>
            <w:lang w:eastAsia="en-GB"/>
            <w14:ligatures w14:val="standardContextual"/>
          </w:rPr>
          <w:tab/>
        </w:r>
        <w:r w:rsidRPr="001B2BCE">
          <w:rPr>
            <w:rStyle w:val="Hyperlink"/>
            <w:noProof/>
          </w:rPr>
          <w:t>SRS enhancement targeting TDD CJT and 8 TX operation</w:t>
        </w:r>
        <w:r>
          <w:rPr>
            <w:noProof/>
            <w:webHidden/>
          </w:rPr>
          <w:tab/>
        </w:r>
        <w:r>
          <w:rPr>
            <w:noProof/>
            <w:webHidden/>
          </w:rPr>
          <w:fldChar w:fldCharType="begin"/>
        </w:r>
        <w:r>
          <w:rPr>
            <w:noProof/>
            <w:webHidden/>
          </w:rPr>
          <w:instrText xml:space="preserve"> PAGEREF _Toc159250988 \h </w:instrText>
        </w:r>
        <w:r>
          <w:rPr>
            <w:noProof/>
            <w:webHidden/>
          </w:rPr>
        </w:r>
        <w:r>
          <w:rPr>
            <w:noProof/>
            <w:webHidden/>
          </w:rPr>
          <w:fldChar w:fldCharType="separate"/>
        </w:r>
        <w:r>
          <w:rPr>
            <w:noProof/>
            <w:webHidden/>
          </w:rPr>
          <w:t>51</w:t>
        </w:r>
        <w:r>
          <w:rPr>
            <w:noProof/>
            <w:webHidden/>
          </w:rPr>
          <w:fldChar w:fldCharType="end"/>
        </w:r>
      </w:hyperlink>
    </w:p>
    <w:p w14:paraId="7403E997" w14:textId="113BB603" w:rsidR="005A18DC" w:rsidRDefault="005A18DC">
      <w:pPr>
        <w:pStyle w:val="TOC3"/>
        <w:tabs>
          <w:tab w:val="left" w:pos="1200"/>
          <w:tab w:val="right" w:leader="dot" w:pos="10457"/>
        </w:tabs>
        <w:rPr>
          <w:rFonts w:eastAsiaTheme="minorEastAsia" w:cstheme="minorBidi"/>
          <w:i w:val="0"/>
          <w:iCs w:val="0"/>
          <w:noProof/>
          <w:kern w:val="2"/>
          <w:sz w:val="22"/>
          <w:szCs w:val="22"/>
          <w:lang w:eastAsia="en-GB"/>
          <w14:ligatures w14:val="standardContextual"/>
        </w:rPr>
      </w:pPr>
      <w:hyperlink w:anchor="_Toc159250989" w:history="1">
        <w:r w:rsidRPr="001B2BCE">
          <w:rPr>
            <w:rStyle w:val="Hyperlink"/>
            <w:noProof/>
          </w:rPr>
          <w:t>8.1.4</w:t>
        </w:r>
        <w:r>
          <w:rPr>
            <w:rFonts w:eastAsiaTheme="minorEastAsia" w:cstheme="minorBidi"/>
            <w:i w:val="0"/>
            <w:iCs w:val="0"/>
            <w:noProof/>
            <w:kern w:val="2"/>
            <w:sz w:val="22"/>
            <w:szCs w:val="22"/>
            <w:lang w:eastAsia="en-GB"/>
            <w14:ligatures w14:val="standardContextual"/>
          </w:rPr>
          <w:tab/>
        </w:r>
        <w:r w:rsidRPr="001B2BCE">
          <w:rPr>
            <w:rStyle w:val="Hyperlink"/>
            <w:noProof/>
          </w:rPr>
          <w:t>Enhanced uplink transmission</w:t>
        </w:r>
        <w:r>
          <w:rPr>
            <w:noProof/>
            <w:webHidden/>
          </w:rPr>
          <w:tab/>
        </w:r>
        <w:r>
          <w:rPr>
            <w:noProof/>
            <w:webHidden/>
          </w:rPr>
          <w:fldChar w:fldCharType="begin"/>
        </w:r>
        <w:r>
          <w:rPr>
            <w:noProof/>
            <w:webHidden/>
          </w:rPr>
          <w:instrText xml:space="preserve"> PAGEREF _Toc159250989 \h </w:instrText>
        </w:r>
        <w:r>
          <w:rPr>
            <w:noProof/>
            <w:webHidden/>
          </w:rPr>
        </w:r>
        <w:r>
          <w:rPr>
            <w:noProof/>
            <w:webHidden/>
          </w:rPr>
          <w:fldChar w:fldCharType="separate"/>
        </w:r>
        <w:r>
          <w:rPr>
            <w:noProof/>
            <w:webHidden/>
          </w:rPr>
          <w:t>54</w:t>
        </w:r>
        <w:r>
          <w:rPr>
            <w:noProof/>
            <w:webHidden/>
          </w:rPr>
          <w:fldChar w:fldCharType="end"/>
        </w:r>
      </w:hyperlink>
    </w:p>
    <w:p w14:paraId="55253CFE" w14:textId="1AA885C1" w:rsidR="005A18DC" w:rsidRDefault="005A18DC">
      <w:pPr>
        <w:pStyle w:val="TOC4"/>
        <w:tabs>
          <w:tab w:val="left" w:pos="1400"/>
          <w:tab w:val="right" w:leader="dot" w:pos="10457"/>
        </w:tabs>
        <w:rPr>
          <w:rFonts w:eastAsiaTheme="minorEastAsia" w:cstheme="minorBidi"/>
          <w:noProof/>
          <w:kern w:val="2"/>
          <w:sz w:val="22"/>
          <w:szCs w:val="22"/>
          <w:lang w:eastAsia="en-GB"/>
          <w14:ligatures w14:val="standardContextual"/>
        </w:rPr>
      </w:pPr>
      <w:hyperlink w:anchor="_Toc159250990" w:history="1">
        <w:r w:rsidRPr="001B2BCE">
          <w:rPr>
            <w:rStyle w:val="Hyperlink"/>
            <w:noProof/>
          </w:rPr>
          <w:t>8.1.4.1</w:t>
        </w:r>
        <w:r>
          <w:rPr>
            <w:rFonts w:eastAsiaTheme="minorEastAsia" w:cstheme="minorBidi"/>
            <w:noProof/>
            <w:kern w:val="2"/>
            <w:sz w:val="22"/>
            <w:szCs w:val="22"/>
            <w:lang w:eastAsia="en-GB"/>
            <w14:ligatures w14:val="standardContextual"/>
          </w:rPr>
          <w:tab/>
        </w:r>
        <w:r w:rsidRPr="001B2BCE">
          <w:rPr>
            <w:rStyle w:val="Hyperlink"/>
            <w:noProof/>
          </w:rPr>
          <w:t>UL precoding indication for multi-panel transmission</w:t>
        </w:r>
        <w:r>
          <w:rPr>
            <w:noProof/>
            <w:webHidden/>
          </w:rPr>
          <w:tab/>
        </w:r>
        <w:r>
          <w:rPr>
            <w:noProof/>
            <w:webHidden/>
          </w:rPr>
          <w:fldChar w:fldCharType="begin"/>
        </w:r>
        <w:r>
          <w:rPr>
            <w:noProof/>
            <w:webHidden/>
          </w:rPr>
          <w:instrText xml:space="preserve"> PAGEREF _Toc159250990 \h </w:instrText>
        </w:r>
        <w:r>
          <w:rPr>
            <w:noProof/>
            <w:webHidden/>
          </w:rPr>
        </w:r>
        <w:r>
          <w:rPr>
            <w:noProof/>
            <w:webHidden/>
          </w:rPr>
          <w:fldChar w:fldCharType="separate"/>
        </w:r>
        <w:r>
          <w:rPr>
            <w:noProof/>
            <w:webHidden/>
          </w:rPr>
          <w:t>54</w:t>
        </w:r>
        <w:r>
          <w:rPr>
            <w:noProof/>
            <w:webHidden/>
          </w:rPr>
          <w:fldChar w:fldCharType="end"/>
        </w:r>
      </w:hyperlink>
    </w:p>
    <w:p w14:paraId="10A1AEEC" w14:textId="6489E776" w:rsidR="005A18DC" w:rsidRDefault="005A18DC">
      <w:pPr>
        <w:pStyle w:val="TOC4"/>
        <w:tabs>
          <w:tab w:val="left" w:pos="1400"/>
          <w:tab w:val="right" w:leader="dot" w:pos="10457"/>
        </w:tabs>
        <w:rPr>
          <w:rFonts w:eastAsiaTheme="minorEastAsia" w:cstheme="minorBidi"/>
          <w:noProof/>
          <w:kern w:val="2"/>
          <w:sz w:val="22"/>
          <w:szCs w:val="22"/>
          <w:lang w:eastAsia="en-GB"/>
          <w14:ligatures w14:val="standardContextual"/>
        </w:rPr>
      </w:pPr>
      <w:hyperlink w:anchor="_Toc159250991" w:history="1">
        <w:r w:rsidRPr="001B2BCE">
          <w:rPr>
            <w:rStyle w:val="Hyperlink"/>
            <w:noProof/>
          </w:rPr>
          <w:t>8.1.4.2</w:t>
        </w:r>
        <w:r>
          <w:rPr>
            <w:rFonts w:eastAsiaTheme="minorEastAsia" w:cstheme="minorBidi"/>
            <w:noProof/>
            <w:kern w:val="2"/>
            <w:sz w:val="22"/>
            <w:szCs w:val="22"/>
            <w:lang w:eastAsia="en-GB"/>
            <w14:ligatures w14:val="standardContextual"/>
          </w:rPr>
          <w:tab/>
        </w:r>
        <w:r w:rsidRPr="001B2BCE">
          <w:rPr>
            <w:rStyle w:val="Hyperlink"/>
            <w:noProof/>
          </w:rPr>
          <w:t>SRI/TPMI enhancement for enabling 8 TX UL transmission</w:t>
        </w:r>
        <w:r>
          <w:rPr>
            <w:noProof/>
            <w:webHidden/>
          </w:rPr>
          <w:tab/>
        </w:r>
        <w:r>
          <w:rPr>
            <w:noProof/>
            <w:webHidden/>
          </w:rPr>
          <w:fldChar w:fldCharType="begin"/>
        </w:r>
        <w:r>
          <w:rPr>
            <w:noProof/>
            <w:webHidden/>
          </w:rPr>
          <w:instrText xml:space="preserve"> PAGEREF _Toc159250991 \h </w:instrText>
        </w:r>
        <w:r>
          <w:rPr>
            <w:noProof/>
            <w:webHidden/>
          </w:rPr>
        </w:r>
        <w:r>
          <w:rPr>
            <w:noProof/>
            <w:webHidden/>
          </w:rPr>
          <w:fldChar w:fldCharType="separate"/>
        </w:r>
        <w:r>
          <w:rPr>
            <w:noProof/>
            <w:webHidden/>
          </w:rPr>
          <w:t>57</w:t>
        </w:r>
        <w:r>
          <w:rPr>
            <w:noProof/>
            <w:webHidden/>
          </w:rPr>
          <w:fldChar w:fldCharType="end"/>
        </w:r>
      </w:hyperlink>
    </w:p>
    <w:p w14:paraId="25C054A0" w14:textId="00DE8F1B" w:rsidR="005A18DC" w:rsidRDefault="005A18DC">
      <w:pPr>
        <w:pStyle w:val="TOC2"/>
        <w:tabs>
          <w:tab w:val="left" w:pos="800"/>
          <w:tab w:val="right" w:leader="dot" w:pos="10457"/>
        </w:tabs>
        <w:rPr>
          <w:rFonts w:eastAsiaTheme="minorEastAsia" w:cstheme="minorBidi"/>
          <w:smallCaps w:val="0"/>
          <w:noProof/>
          <w:kern w:val="2"/>
          <w:sz w:val="22"/>
          <w:szCs w:val="22"/>
          <w:lang w:eastAsia="en-GB"/>
          <w14:ligatures w14:val="standardContextual"/>
        </w:rPr>
      </w:pPr>
      <w:hyperlink w:anchor="_Toc159250992" w:history="1">
        <w:r w:rsidRPr="001B2BCE">
          <w:rPr>
            <w:rStyle w:val="Hyperlink"/>
            <w:noProof/>
          </w:rPr>
          <w:t>8.2</w:t>
        </w:r>
        <w:r>
          <w:rPr>
            <w:rFonts w:eastAsiaTheme="minorEastAsia" w:cstheme="minorBidi"/>
            <w:smallCaps w:val="0"/>
            <w:noProof/>
            <w:kern w:val="2"/>
            <w:sz w:val="22"/>
            <w:szCs w:val="22"/>
            <w:lang w:eastAsia="en-GB"/>
            <w14:ligatures w14:val="standardContextual"/>
          </w:rPr>
          <w:tab/>
        </w:r>
        <w:r w:rsidRPr="001B2BCE">
          <w:rPr>
            <w:rStyle w:val="Hyperlink"/>
            <w:noProof/>
          </w:rPr>
          <w:t>Maintenance on NR Sidelink Evolution</w:t>
        </w:r>
        <w:r>
          <w:rPr>
            <w:noProof/>
            <w:webHidden/>
          </w:rPr>
          <w:tab/>
        </w:r>
        <w:r>
          <w:rPr>
            <w:noProof/>
            <w:webHidden/>
          </w:rPr>
          <w:fldChar w:fldCharType="begin"/>
        </w:r>
        <w:r>
          <w:rPr>
            <w:noProof/>
            <w:webHidden/>
          </w:rPr>
          <w:instrText xml:space="preserve"> PAGEREF _Toc159250992 \h </w:instrText>
        </w:r>
        <w:r>
          <w:rPr>
            <w:noProof/>
            <w:webHidden/>
          </w:rPr>
        </w:r>
        <w:r>
          <w:rPr>
            <w:noProof/>
            <w:webHidden/>
          </w:rPr>
          <w:fldChar w:fldCharType="separate"/>
        </w:r>
        <w:r>
          <w:rPr>
            <w:noProof/>
            <w:webHidden/>
          </w:rPr>
          <w:t>62</w:t>
        </w:r>
        <w:r>
          <w:rPr>
            <w:noProof/>
            <w:webHidden/>
          </w:rPr>
          <w:fldChar w:fldCharType="end"/>
        </w:r>
      </w:hyperlink>
    </w:p>
    <w:p w14:paraId="5E7B3D23" w14:textId="0FEE3C3B" w:rsidR="005A18DC" w:rsidRDefault="005A18DC">
      <w:pPr>
        <w:pStyle w:val="TOC3"/>
        <w:tabs>
          <w:tab w:val="left" w:pos="1200"/>
          <w:tab w:val="right" w:leader="dot" w:pos="10457"/>
        </w:tabs>
        <w:rPr>
          <w:rFonts w:eastAsiaTheme="minorEastAsia" w:cstheme="minorBidi"/>
          <w:i w:val="0"/>
          <w:iCs w:val="0"/>
          <w:noProof/>
          <w:kern w:val="2"/>
          <w:sz w:val="22"/>
          <w:szCs w:val="22"/>
          <w:lang w:eastAsia="en-GB"/>
          <w14:ligatures w14:val="standardContextual"/>
        </w:rPr>
      </w:pPr>
      <w:hyperlink w:anchor="_Toc159250993" w:history="1">
        <w:r w:rsidRPr="001B2BCE">
          <w:rPr>
            <w:rStyle w:val="Hyperlink"/>
            <w:noProof/>
          </w:rPr>
          <w:t>8.2.1</w:t>
        </w:r>
        <w:r>
          <w:rPr>
            <w:rFonts w:eastAsiaTheme="minorEastAsia" w:cstheme="minorBidi"/>
            <w:i w:val="0"/>
            <w:iCs w:val="0"/>
            <w:noProof/>
            <w:kern w:val="2"/>
            <w:sz w:val="22"/>
            <w:szCs w:val="22"/>
            <w:lang w:eastAsia="en-GB"/>
            <w14:ligatures w14:val="standardContextual"/>
          </w:rPr>
          <w:tab/>
        </w:r>
        <w:r w:rsidRPr="001B2BCE">
          <w:rPr>
            <w:rStyle w:val="Hyperlink"/>
            <w:noProof/>
          </w:rPr>
          <w:t>Support of sidelink on unlicensed spectrum</w:t>
        </w:r>
        <w:r>
          <w:rPr>
            <w:noProof/>
            <w:webHidden/>
          </w:rPr>
          <w:tab/>
        </w:r>
        <w:r>
          <w:rPr>
            <w:noProof/>
            <w:webHidden/>
          </w:rPr>
          <w:fldChar w:fldCharType="begin"/>
        </w:r>
        <w:r>
          <w:rPr>
            <w:noProof/>
            <w:webHidden/>
          </w:rPr>
          <w:instrText xml:space="preserve"> PAGEREF _Toc159250993 \h </w:instrText>
        </w:r>
        <w:r>
          <w:rPr>
            <w:noProof/>
            <w:webHidden/>
          </w:rPr>
        </w:r>
        <w:r>
          <w:rPr>
            <w:noProof/>
            <w:webHidden/>
          </w:rPr>
          <w:fldChar w:fldCharType="separate"/>
        </w:r>
        <w:r>
          <w:rPr>
            <w:noProof/>
            <w:webHidden/>
          </w:rPr>
          <w:t>63</w:t>
        </w:r>
        <w:r>
          <w:rPr>
            <w:noProof/>
            <w:webHidden/>
          </w:rPr>
          <w:fldChar w:fldCharType="end"/>
        </w:r>
      </w:hyperlink>
    </w:p>
    <w:p w14:paraId="38E55EB4" w14:textId="690080CE" w:rsidR="005A18DC" w:rsidRDefault="005A18DC">
      <w:pPr>
        <w:pStyle w:val="TOC4"/>
        <w:tabs>
          <w:tab w:val="left" w:pos="1400"/>
          <w:tab w:val="right" w:leader="dot" w:pos="10457"/>
        </w:tabs>
        <w:rPr>
          <w:rFonts w:eastAsiaTheme="minorEastAsia" w:cstheme="minorBidi"/>
          <w:noProof/>
          <w:kern w:val="2"/>
          <w:sz w:val="22"/>
          <w:szCs w:val="22"/>
          <w:lang w:eastAsia="en-GB"/>
          <w14:ligatures w14:val="standardContextual"/>
        </w:rPr>
      </w:pPr>
      <w:hyperlink w:anchor="_Toc159250994" w:history="1">
        <w:r w:rsidRPr="001B2BCE">
          <w:rPr>
            <w:rStyle w:val="Hyperlink"/>
            <w:noProof/>
          </w:rPr>
          <w:t>8.2.1.1</w:t>
        </w:r>
        <w:r>
          <w:rPr>
            <w:rFonts w:eastAsiaTheme="minorEastAsia" w:cstheme="minorBidi"/>
            <w:noProof/>
            <w:kern w:val="2"/>
            <w:sz w:val="22"/>
            <w:szCs w:val="22"/>
            <w:lang w:eastAsia="en-GB"/>
            <w14:ligatures w14:val="standardContextual"/>
          </w:rPr>
          <w:tab/>
        </w:r>
        <w:r w:rsidRPr="001B2BCE">
          <w:rPr>
            <w:rStyle w:val="Hyperlink"/>
            <w:noProof/>
          </w:rPr>
          <w:t>Channel access mechanism</w:t>
        </w:r>
        <w:r>
          <w:rPr>
            <w:noProof/>
            <w:webHidden/>
          </w:rPr>
          <w:tab/>
        </w:r>
        <w:r>
          <w:rPr>
            <w:noProof/>
            <w:webHidden/>
          </w:rPr>
          <w:fldChar w:fldCharType="begin"/>
        </w:r>
        <w:r>
          <w:rPr>
            <w:noProof/>
            <w:webHidden/>
          </w:rPr>
          <w:instrText xml:space="preserve"> PAGEREF _Toc159250994 \h </w:instrText>
        </w:r>
        <w:r>
          <w:rPr>
            <w:noProof/>
            <w:webHidden/>
          </w:rPr>
        </w:r>
        <w:r>
          <w:rPr>
            <w:noProof/>
            <w:webHidden/>
          </w:rPr>
          <w:fldChar w:fldCharType="separate"/>
        </w:r>
        <w:r>
          <w:rPr>
            <w:noProof/>
            <w:webHidden/>
          </w:rPr>
          <w:t>63</w:t>
        </w:r>
        <w:r>
          <w:rPr>
            <w:noProof/>
            <w:webHidden/>
          </w:rPr>
          <w:fldChar w:fldCharType="end"/>
        </w:r>
      </w:hyperlink>
    </w:p>
    <w:p w14:paraId="526EE3F3" w14:textId="61CC5A97" w:rsidR="005A18DC" w:rsidRDefault="005A18DC">
      <w:pPr>
        <w:pStyle w:val="TOC4"/>
        <w:tabs>
          <w:tab w:val="left" w:pos="1400"/>
          <w:tab w:val="right" w:leader="dot" w:pos="10457"/>
        </w:tabs>
        <w:rPr>
          <w:rFonts w:eastAsiaTheme="minorEastAsia" w:cstheme="minorBidi"/>
          <w:noProof/>
          <w:kern w:val="2"/>
          <w:sz w:val="22"/>
          <w:szCs w:val="22"/>
          <w:lang w:eastAsia="en-GB"/>
          <w14:ligatures w14:val="standardContextual"/>
        </w:rPr>
      </w:pPr>
      <w:hyperlink w:anchor="_Toc159250995" w:history="1">
        <w:r w:rsidRPr="001B2BCE">
          <w:rPr>
            <w:rStyle w:val="Hyperlink"/>
            <w:noProof/>
          </w:rPr>
          <w:t>8.2.1.2</w:t>
        </w:r>
        <w:r>
          <w:rPr>
            <w:rFonts w:eastAsiaTheme="minorEastAsia" w:cstheme="minorBidi"/>
            <w:noProof/>
            <w:kern w:val="2"/>
            <w:sz w:val="22"/>
            <w:szCs w:val="22"/>
            <w:lang w:eastAsia="en-GB"/>
            <w14:ligatures w14:val="standardContextual"/>
          </w:rPr>
          <w:tab/>
        </w:r>
        <w:r w:rsidRPr="001B2BCE">
          <w:rPr>
            <w:rStyle w:val="Hyperlink"/>
            <w:noProof/>
          </w:rPr>
          <w:t>Physical channel design framework</w:t>
        </w:r>
        <w:r>
          <w:rPr>
            <w:noProof/>
            <w:webHidden/>
          </w:rPr>
          <w:tab/>
        </w:r>
        <w:r>
          <w:rPr>
            <w:noProof/>
            <w:webHidden/>
          </w:rPr>
          <w:fldChar w:fldCharType="begin"/>
        </w:r>
        <w:r>
          <w:rPr>
            <w:noProof/>
            <w:webHidden/>
          </w:rPr>
          <w:instrText xml:space="preserve"> PAGEREF _Toc159250995 \h </w:instrText>
        </w:r>
        <w:r>
          <w:rPr>
            <w:noProof/>
            <w:webHidden/>
          </w:rPr>
        </w:r>
        <w:r>
          <w:rPr>
            <w:noProof/>
            <w:webHidden/>
          </w:rPr>
          <w:fldChar w:fldCharType="separate"/>
        </w:r>
        <w:r>
          <w:rPr>
            <w:noProof/>
            <w:webHidden/>
          </w:rPr>
          <w:t>68</w:t>
        </w:r>
        <w:r>
          <w:rPr>
            <w:noProof/>
            <w:webHidden/>
          </w:rPr>
          <w:fldChar w:fldCharType="end"/>
        </w:r>
      </w:hyperlink>
    </w:p>
    <w:p w14:paraId="032BC2D7" w14:textId="5F284A09" w:rsidR="005A18DC" w:rsidRDefault="005A18DC">
      <w:pPr>
        <w:pStyle w:val="TOC3"/>
        <w:tabs>
          <w:tab w:val="left" w:pos="1200"/>
          <w:tab w:val="right" w:leader="dot" w:pos="10457"/>
        </w:tabs>
        <w:rPr>
          <w:rFonts w:eastAsiaTheme="minorEastAsia" w:cstheme="minorBidi"/>
          <w:i w:val="0"/>
          <w:iCs w:val="0"/>
          <w:noProof/>
          <w:kern w:val="2"/>
          <w:sz w:val="22"/>
          <w:szCs w:val="22"/>
          <w:lang w:eastAsia="en-GB"/>
          <w14:ligatures w14:val="standardContextual"/>
        </w:rPr>
      </w:pPr>
      <w:hyperlink w:anchor="_Toc159250996" w:history="1">
        <w:r w:rsidRPr="001B2BCE">
          <w:rPr>
            <w:rStyle w:val="Hyperlink"/>
            <w:noProof/>
          </w:rPr>
          <w:t>8.2.2</w:t>
        </w:r>
        <w:r>
          <w:rPr>
            <w:rFonts w:eastAsiaTheme="minorEastAsia" w:cstheme="minorBidi"/>
            <w:i w:val="0"/>
            <w:iCs w:val="0"/>
            <w:noProof/>
            <w:kern w:val="2"/>
            <w:sz w:val="22"/>
            <w:szCs w:val="22"/>
            <w:lang w:eastAsia="en-GB"/>
            <w14:ligatures w14:val="standardContextual"/>
          </w:rPr>
          <w:tab/>
        </w:r>
        <w:r w:rsidRPr="001B2BCE">
          <w:rPr>
            <w:rStyle w:val="Hyperlink"/>
            <w:noProof/>
          </w:rPr>
          <w:t>Co-channel coexistence for LTE sidelink and NR sidelink</w:t>
        </w:r>
        <w:r>
          <w:rPr>
            <w:noProof/>
            <w:webHidden/>
          </w:rPr>
          <w:tab/>
        </w:r>
        <w:r>
          <w:rPr>
            <w:noProof/>
            <w:webHidden/>
          </w:rPr>
          <w:fldChar w:fldCharType="begin"/>
        </w:r>
        <w:r>
          <w:rPr>
            <w:noProof/>
            <w:webHidden/>
          </w:rPr>
          <w:instrText xml:space="preserve"> PAGEREF _Toc159250996 \h </w:instrText>
        </w:r>
        <w:r>
          <w:rPr>
            <w:noProof/>
            <w:webHidden/>
          </w:rPr>
        </w:r>
        <w:r>
          <w:rPr>
            <w:noProof/>
            <w:webHidden/>
          </w:rPr>
          <w:fldChar w:fldCharType="separate"/>
        </w:r>
        <w:r>
          <w:rPr>
            <w:noProof/>
            <w:webHidden/>
          </w:rPr>
          <w:t>72</w:t>
        </w:r>
        <w:r>
          <w:rPr>
            <w:noProof/>
            <w:webHidden/>
          </w:rPr>
          <w:fldChar w:fldCharType="end"/>
        </w:r>
      </w:hyperlink>
    </w:p>
    <w:p w14:paraId="40DE5240" w14:textId="3E0A4F4A" w:rsidR="005A18DC" w:rsidRDefault="005A18DC">
      <w:pPr>
        <w:pStyle w:val="TOC3"/>
        <w:tabs>
          <w:tab w:val="left" w:pos="1200"/>
          <w:tab w:val="right" w:leader="dot" w:pos="10457"/>
        </w:tabs>
        <w:rPr>
          <w:rFonts w:eastAsiaTheme="minorEastAsia" w:cstheme="minorBidi"/>
          <w:i w:val="0"/>
          <w:iCs w:val="0"/>
          <w:noProof/>
          <w:kern w:val="2"/>
          <w:sz w:val="22"/>
          <w:szCs w:val="22"/>
          <w:lang w:eastAsia="en-GB"/>
          <w14:ligatures w14:val="standardContextual"/>
        </w:rPr>
      </w:pPr>
      <w:hyperlink w:anchor="_Toc159250997" w:history="1">
        <w:r w:rsidRPr="001B2BCE">
          <w:rPr>
            <w:rStyle w:val="Hyperlink"/>
            <w:noProof/>
          </w:rPr>
          <w:t>8.2.3</w:t>
        </w:r>
        <w:r>
          <w:rPr>
            <w:rFonts w:eastAsiaTheme="minorEastAsia" w:cstheme="minorBidi"/>
            <w:i w:val="0"/>
            <w:iCs w:val="0"/>
            <w:noProof/>
            <w:kern w:val="2"/>
            <w:sz w:val="22"/>
            <w:szCs w:val="22"/>
            <w:lang w:eastAsia="en-GB"/>
            <w14:ligatures w14:val="standardContextual"/>
          </w:rPr>
          <w:tab/>
        </w:r>
        <w:r w:rsidRPr="001B2BCE">
          <w:rPr>
            <w:rStyle w:val="Hyperlink"/>
            <w:noProof/>
          </w:rPr>
          <w:t>Sidelink CA operation</w:t>
        </w:r>
        <w:r>
          <w:rPr>
            <w:noProof/>
            <w:webHidden/>
          </w:rPr>
          <w:tab/>
        </w:r>
        <w:r>
          <w:rPr>
            <w:noProof/>
            <w:webHidden/>
          </w:rPr>
          <w:fldChar w:fldCharType="begin"/>
        </w:r>
        <w:r>
          <w:rPr>
            <w:noProof/>
            <w:webHidden/>
          </w:rPr>
          <w:instrText xml:space="preserve"> PAGEREF _Toc159250997 \h </w:instrText>
        </w:r>
        <w:r>
          <w:rPr>
            <w:noProof/>
            <w:webHidden/>
          </w:rPr>
        </w:r>
        <w:r>
          <w:rPr>
            <w:noProof/>
            <w:webHidden/>
          </w:rPr>
          <w:fldChar w:fldCharType="separate"/>
        </w:r>
        <w:r>
          <w:rPr>
            <w:noProof/>
            <w:webHidden/>
          </w:rPr>
          <w:t>73</w:t>
        </w:r>
        <w:r>
          <w:rPr>
            <w:noProof/>
            <w:webHidden/>
          </w:rPr>
          <w:fldChar w:fldCharType="end"/>
        </w:r>
      </w:hyperlink>
    </w:p>
    <w:p w14:paraId="2C06382C" w14:textId="62329231" w:rsidR="005A18DC" w:rsidRDefault="005A18DC">
      <w:pPr>
        <w:pStyle w:val="TOC2"/>
        <w:tabs>
          <w:tab w:val="left" w:pos="800"/>
          <w:tab w:val="right" w:leader="dot" w:pos="10457"/>
        </w:tabs>
        <w:rPr>
          <w:rFonts w:eastAsiaTheme="minorEastAsia" w:cstheme="minorBidi"/>
          <w:smallCaps w:val="0"/>
          <w:noProof/>
          <w:kern w:val="2"/>
          <w:sz w:val="22"/>
          <w:szCs w:val="22"/>
          <w:lang w:eastAsia="en-GB"/>
          <w14:ligatures w14:val="standardContextual"/>
        </w:rPr>
      </w:pPr>
      <w:hyperlink w:anchor="_Toc159250998" w:history="1">
        <w:r w:rsidRPr="001B2BCE">
          <w:rPr>
            <w:rStyle w:val="Hyperlink"/>
            <w:noProof/>
          </w:rPr>
          <w:t>8.3</w:t>
        </w:r>
        <w:r>
          <w:rPr>
            <w:rFonts w:eastAsiaTheme="minorEastAsia" w:cstheme="minorBidi"/>
            <w:smallCaps w:val="0"/>
            <w:noProof/>
            <w:kern w:val="2"/>
            <w:sz w:val="22"/>
            <w:szCs w:val="22"/>
            <w:lang w:eastAsia="en-GB"/>
            <w14:ligatures w14:val="standardContextual"/>
          </w:rPr>
          <w:tab/>
        </w:r>
        <w:r w:rsidRPr="001B2BCE">
          <w:rPr>
            <w:rStyle w:val="Hyperlink"/>
            <w:noProof/>
          </w:rPr>
          <w:t>Maintenance on Expanded and Improved NR Positioning</w:t>
        </w:r>
        <w:r>
          <w:rPr>
            <w:noProof/>
            <w:webHidden/>
          </w:rPr>
          <w:tab/>
        </w:r>
        <w:r>
          <w:rPr>
            <w:noProof/>
            <w:webHidden/>
          </w:rPr>
          <w:fldChar w:fldCharType="begin"/>
        </w:r>
        <w:r>
          <w:rPr>
            <w:noProof/>
            <w:webHidden/>
          </w:rPr>
          <w:instrText xml:space="preserve"> PAGEREF _Toc159250998 \h </w:instrText>
        </w:r>
        <w:r>
          <w:rPr>
            <w:noProof/>
            <w:webHidden/>
          </w:rPr>
        </w:r>
        <w:r>
          <w:rPr>
            <w:noProof/>
            <w:webHidden/>
          </w:rPr>
          <w:fldChar w:fldCharType="separate"/>
        </w:r>
        <w:r>
          <w:rPr>
            <w:noProof/>
            <w:webHidden/>
          </w:rPr>
          <w:t>74</w:t>
        </w:r>
        <w:r>
          <w:rPr>
            <w:noProof/>
            <w:webHidden/>
          </w:rPr>
          <w:fldChar w:fldCharType="end"/>
        </w:r>
      </w:hyperlink>
    </w:p>
    <w:p w14:paraId="05A5AF14" w14:textId="469ECBE8" w:rsidR="005A18DC" w:rsidRDefault="005A18DC">
      <w:pPr>
        <w:pStyle w:val="TOC3"/>
        <w:tabs>
          <w:tab w:val="left" w:pos="1200"/>
          <w:tab w:val="right" w:leader="dot" w:pos="10457"/>
        </w:tabs>
        <w:rPr>
          <w:rFonts w:eastAsiaTheme="minorEastAsia" w:cstheme="minorBidi"/>
          <w:i w:val="0"/>
          <w:iCs w:val="0"/>
          <w:noProof/>
          <w:kern w:val="2"/>
          <w:sz w:val="22"/>
          <w:szCs w:val="22"/>
          <w:lang w:eastAsia="en-GB"/>
          <w14:ligatures w14:val="standardContextual"/>
        </w:rPr>
      </w:pPr>
      <w:hyperlink w:anchor="_Toc159250999" w:history="1">
        <w:r w:rsidRPr="001B2BCE">
          <w:rPr>
            <w:rStyle w:val="Hyperlink"/>
            <w:noProof/>
          </w:rPr>
          <w:t>8.3.1</w:t>
        </w:r>
        <w:r>
          <w:rPr>
            <w:rFonts w:eastAsiaTheme="minorEastAsia" w:cstheme="minorBidi"/>
            <w:i w:val="0"/>
            <w:iCs w:val="0"/>
            <w:noProof/>
            <w:kern w:val="2"/>
            <w:sz w:val="22"/>
            <w:szCs w:val="22"/>
            <w:lang w:eastAsia="en-GB"/>
            <w14:ligatures w14:val="standardContextual"/>
          </w:rPr>
          <w:tab/>
        </w:r>
        <w:r w:rsidRPr="001B2BCE">
          <w:rPr>
            <w:rStyle w:val="Hyperlink"/>
            <w:noProof/>
          </w:rPr>
          <w:t>Sidelink positioning</w:t>
        </w:r>
        <w:r>
          <w:rPr>
            <w:noProof/>
            <w:webHidden/>
          </w:rPr>
          <w:tab/>
        </w:r>
        <w:r>
          <w:rPr>
            <w:noProof/>
            <w:webHidden/>
          </w:rPr>
          <w:fldChar w:fldCharType="begin"/>
        </w:r>
        <w:r>
          <w:rPr>
            <w:noProof/>
            <w:webHidden/>
          </w:rPr>
          <w:instrText xml:space="preserve"> PAGEREF _Toc159250999 \h </w:instrText>
        </w:r>
        <w:r>
          <w:rPr>
            <w:noProof/>
            <w:webHidden/>
          </w:rPr>
        </w:r>
        <w:r>
          <w:rPr>
            <w:noProof/>
            <w:webHidden/>
          </w:rPr>
          <w:fldChar w:fldCharType="separate"/>
        </w:r>
        <w:r>
          <w:rPr>
            <w:noProof/>
            <w:webHidden/>
          </w:rPr>
          <w:t>76</w:t>
        </w:r>
        <w:r>
          <w:rPr>
            <w:noProof/>
            <w:webHidden/>
          </w:rPr>
          <w:fldChar w:fldCharType="end"/>
        </w:r>
      </w:hyperlink>
    </w:p>
    <w:p w14:paraId="403A437E" w14:textId="3E87247F" w:rsidR="005A18DC" w:rsidRDefault="005A18DC">
      <w:pPr>
        <w:pStyle w:val="TOC4"/>
        <w:tabs>
          <w:tab w:val="left" w:pos="1400"/>
          <w:tab w:val="right" w:leader="dot" w:pos="10457"/>
        </w:tabs>
        <w:rPr>
          <w:rFonts w:eastAsiaTheme="minorEastAsia" w:cstheme="minorBidi"/>
          <w:noProof/>
          <w:kern w:val="2"/>
          <w:sz w:val="22"/>
          <w:szCs w:val="22"/>
          <w:lang w:eastAsia="en-GB"/>
          <w14:ligatures w14:val="standardContextual"/>
        </w:rPr>
      </w:pPr>
      <w:hyperlink w:anchor="_Toc159251000" w:history="1">
        <w:r w:rsidRPr="001B2BCE">
          <w:rPr>
            <w:rStyle w:val="Hyperlink"/>
            <w:noProof/>
          </w:rPr>
          <w:t>8.3.1.1</w:t>
        </w:r>
        <w:r>
          <w:rPr>
            <w:rFonts w:eastAsiaTheme="minorEastAsia" w:cstheme="minorBidi"/>
            <w:noProof/>
            <w:kern w:val="2"/>
            <w:sz w:val="22"/>
            <w:szCs w:val="22"/>
            <w:lang w:eastAsia="en-GB"/>
            <w14:ligatures w14:val="standardContextual"/>
          </w:rPr>
          <w:tab/>
        </w:r>
        <w:r w:rsidRPr="001B2BCE">
          <w:rPr>
            <w:rStyle w:val="Hyperlink"/>
            <w:noProof/>
          </w:rPr>
          <w:t>SL positioning reference signal</w:t>
        </w:r>
        <w:r>
          <w:rPr>
            <w:noProof/>
            <w:webHidden/>
          </w:rPr>
          <w:tab/>
        </w:r>
        <w:r>
          <w:rPr>
            <w:noProof/>
            <w:webHidden/>
          </w:rPr>
          <w:fldChar w:fldCharType="begin"/>
        </w:r>
        <w:r>
          <w:rPr>
            <w:noProof/>
            <w:webHidden/>
          </w:rPr>
          <w:instrText xml:space="preserve"> PAGEREF _Toc159251000 \h </w:instrText>
        </w:r>
        <w:r>
          <w:rPr>
            <w:noProof/>
            <w:webHidden/>
          </w:rPr>
        </w:r>
        <w:r>
          <w:rPr>
            <w:noProof/>
            <w:webHidden/>
          </w:rPr>
          <w:fldChar w:fldCharType="separate"/>
        </w:r>
        <w:r>
          <w:rPr>
            <w:noProof/>
            <w:webHidden/>
          </w:rPr>
          <w:t>76</w:t>
        </w:r>
        <w:r>
          <w:rPr>
            <w:noProof/>
            <w:webHidden/>
          </w:rPr>
          <w:fldChar w:fldCharType="end"/>
        </w:r>
      </w:hyperlink>
    </w:p>
    <w:p w14:paraId="163C1F94" w14:textId="3E181783" w:rsidR="005A18DC" w:rsidRDefault="005A18DC">
      <w:pPr>
        <w:pStyle w:val="TOC4"/>
        <w:tabs>
          <w:tab w:val="left" w:pos="1400"/>
          <w:tab w:val="right" w:leader="dot" w:pos="10457"/>
        </w:tabs>
        <w:rPr>
          <w:rFonts w:eastAsiaTheme="minorEastAsia" w:cstheme="minorBidi"/>
          <w:noProof/>
          <w:kern w:val="2"/>
          <w:sz w:val="22"/>
          <w:szCs w:val="22"/>
          <w:lang w:eastAsia="en-GB"/>
          <w14:ligatures w14:val="standardContextual"/>
        </w:rPr>
      </w:pPr>
      <w:hyperlink w:anchor="_Toc159251001" w:history="1">
        <w:r w:rsidRPr="001B2BCE">
          <w:rPr>
            <w:rStyle w:val="Hyperlink"/>
            <w:noProof/>
          </w:rPr>
          <w:t>8.3.1.2</w:t>
        </w:r>
        <w:r>
          <w:rPr>
            <w:rFonts w:eastAsiaTheme="minorEastAsia" w:cstheme="minorBidi"/>
            <w:noProof/>
            <w:kern w:val="2"/>
            <w:sz w:val="22"/>
            <w:szCs w:val="22"/>
            <w:lang w:eastAsia="en-GB"/>
            <w14:ligatures w14:val="standardContextual"/>
          </w:rPr>
          <w:tab/>
        </w:r>
        <w:r w:rsidRPr="001B2BCE">
          <w:rPr>
            <w:rStyle w:val="Hyperlink"/>
            <w:noProof/>
          </w:rPr>
          <w:t>Measurements and reporting for SL positioning</w:t>
        </w:r>
        <w:r>
          <w:rPr>
            <w:noProof/>
            <w:webHidden/>
          </w:rPr>
          <w:tab/>
        </w:r>
        <w:r>
          <w:rPr>
            <w:noProof/>
            <w:webHidden/>
          </w:rPr>
          <w:fldChar w:fldCharType="begin"/>
        </w:r>
        <w:r>
          <w:rPr>
            <w:noProof/>
            <w:webHidden/>
          </w:rPr>
          <w:instrText xml:space="preserve"> PAGEREF _Toc159251001 \h </w:instrText>
        </w:r>
        <w:r>
          <w:rPr>
            <w:noProof/>
            <w:webHidden/>
          </w:rPr>
        </w:r>
        <w:r>
          <w:rPr>
            <w:noProof/>
            <w:webHidden/>
          </w:rPr>
          <w:fldChar w:fldCharType="separate"/>
        </w:r>
        <w:r>
          <w:rPr>
            <w:noProof/>
            <w:webHidden/>
          </w:rPr>
          <w:t>77</w:t>
        </w:r>
        <w:r>
          <w:rPr>
            <w:noProof/>
            <w:webHidden/>
          </w:rPr>
          <w:fldChar w:fldCharType="end"/>
        </w:r>
      </w:hyperlink>
    </w:p>
    <w:p w14:paraId="1B942C56" w14:textId="505C8EFC" w:rsidR="005A18DC" w:rsidRDefault="005A18DC">
      <w:pPr>
        <w:pStyle w:val="TOC4"/>
        <w:tabs>
          <w:tab w:val="left" w:pos="1400"/>
          <w:tab w:val="right" w:leader="dot" w:pos="10457"/>
        </w:tabs>
        <w:rPr>
          <w:rFonts w:eastAsiaTheme="minorEastAsia" w:cstheme="minorBidi"/>
          <w:noProof/>
          <w:kern w:val="2"/>
          <w:sz w:val="22"/>
          <w:szCs w:val="22"/>
          <w:lang w:eastAsia="en-GB"/>
          <w14:ligatures w14:val="standardContextual"/>
        </w:rPr>
      </w:pPr>
      <w:hyperlink w:anchor="_Toc159251002" w:history="1">
        <w:r w:rsidRPr="001B2BCE">
          <w:rPr>
            <w:rStyle w:val="Hyperlink"/>
            <w:noProof/>
          </w:rPr>
          <w:t>8.3.1.3</w:t>
        </w:r>
        <w:r>
          <w:rPr>
            <w:rFonts w:eastAsiaTheme="minorEastAsia" w:cstheme="minorBidi"/>
            <w:noProof/>
            <w:kern w:val="2"/>
            <w:sz w:val="22"/>
            <w:szCs w:val="22"/>
            <w:lang w:eastAsia="en-GB"/>
            <w14:ligatures w14:val="standardContextual"/>
          </w:rPr>
          <w:tab/>
        </w:r>
        <w:r w:rsidRPr="001B2BCE">
          <w:rPr>
            <w:rStyle w:val="Hyperlink"/>
            <w:noProof/>
          </w:rPr>
          <w:t>Resource allocation for SL positioning reference signal</w:t>
        </w:r>
        <w:r>
          <w:rPr>
            <w:noProof/>
            <w:webHidden/>
          </w:rPr>
          <w:tab/>
        </w:r>
        <w:r>
          <w:rPr>
            <w:noProof/>
            <w:webHidden/>
          </w:rPr>
          <w:fldChar w:fldCharType="begin"/>
        </w:r>
        <w:r>
          <w:rPr>
            <w:noProof/>
            <w:webHidden/>
          </w:rPr>
          <w:instrText xml:space="preserve"> PAGEREF _Toc159251002 \h </w:instrText>
        </w:r>
        <w:r>
          <w:rPr>
            <w:noProof/>
            <w:webHidden/>
          </w:rPr>
        </w:r>
        <w:r>
          <w:rPr>
            <w:noProof/>
            <w:webHidden/>
          </w:rPr>
          <w:fldChar w:fldCharType="separate"/>
        </w:r>
        <w:r>
          <w:rPr>
            <w:noProof/>
            <w:webHidden/>
          </w:rPr>
          <w:t>79</w:t>
        </w:r>
        <w:r>
          <w:rPr>
            <w:noProof/>
            <w:webHidden/>
          </w:rPr>
          <w:fldChar w:fldCharType="end"/>
        </w:r>
      </w:hyperlink>
    </w:p>
    <w:p w14:paraId="1E75A23B" w14:textId="72A20833" w:rsidR="005A18DC" w:rsidRDefault="005A18DC">
      <w:pPr>
        <w:pStyle w:val="TOC3"/>
        <w:tabs>
          <w:tab w:val="left" w:pos="1200"/>
          <w:tab w:val="right" w:leader="dot" w:pos="10457"/>
        </w:tabs>
        <w:rPr>
          <w:rFonts w:eastAsiaTheme="minorEastAsia" w:cstheme="minorBidi"/>
          <w:i w:val="0"/>
          <w:iCs w:val="0"/>
          <w:noProof/>
          <w:kern w:val="2"/>
          <w:sz w:val="22"/>
          <w:szCs w:val="22"/>
          <w:lang w:eastAsia="en-GB"/>
          <w14:ligatures w14:val="standardContextual"/>
        </w:rPr>
      </w:pPr>
      <w:hyperlink w:anchor="_Toc159251003" w:history="1">
        <w:r w:rsidRPr="001B2BCE">
          <w:rPr>
            <w:rStyle w:val="Hyperlink"/>
            <w:noProof/>
          </w:rPr>
          <w:t>8.3.2</w:t>
        </w:r>
        <w:r>
          <w:rPr>
            <w:rFonts w:eastAsiaTheme="minorEastAsia" w:cstheme="minorBidi"/>
            <w:i w:val="0"/>
            <w:iCs w:val="0"/>
            <w:noProof/>
            <w:kern w:val="2"/>
            <w:sz w:val="22"/>
            <w:szCs w:val="22"/>
            <w:lang w:eastAsia="en-GB"/>
            <w14:ligatures w14:val="standardContextual"/>
          </w:rPr>
          <w:tab/>
        </w:r>
        <w:r w:rsidRPr="001B2BCE">
          <w:rPr>
            <w:rStyle w:val="Hyperlink"/>
            <w:noProof/>
          </w:rPr>
          <w:t>NR DL and UL carrier phase positioning</w:t>
        </w:r>
        <w:r>
          <w:rPr>
            <w:noProof/>
            <w:webHidden/>
          </w:rPr>
          <w:tab/>
        </w:r>
        <w:r>
          <w:rPr>
            <w:noProof/>
            <w:webHidden/>
          </w:rPr>
          <w:fldChar w:fldCharType="begin"/>
        </w:r>
        <w:r>
          <w:rPr>
            <w:noProof/>
            <w:webHidden/>
          </w:rPr>
          <w:instrText xml:space="preserve"> PAGEREF _Toc159251003 \h </w:instrText>
        </w:r>
        <w:r>
          <w:rPr>
            <w:noProof/>
            <w:webHidden/>
          </w:rPr>
        </w:r>
        <w:r>
          <w:rPr>
            <w:noProof/>
            <w:webHidden/>
          </w:rPr>
          <w:fldChar w:fldCharType="separate"/>
        </w:r>
        <w:r>
          <w:rPr>
            <w:noProof/>
            <w:webHidden/>
          </w:rPr>
          <w:t>83</w:t>
        </w:r>
        <w:r>
          <w:rPr>
            <w:noProof/>
            <w:webHidden/>
          </w:rPr>
          <w:fldChar w:fldCharType="end"/>
        </w:r>
      </w:hyperlink>
    </w:p>
    <w:p w14:paraId="21DD73BF" w14:textId="11712F5E" w:rsidR="005A18DC" w:rsidRDefault="005A18DC">
      <w:pPr>
        <w:pStyle w:val="TOC3"/>
        <w:tabs>
          <w:tab w:val="left" w:pos="1200"/>
          <w:tab w:val="right" w:leader="dot" w:pos="10457"/>
        </w:tabs>
        <w:rPr>
          <w:rFonts w:eastAsiaTheme="minorEastAsia" w:cstheme="minorBidi"/>
          <w:i w:val="0"/>
          <w:iCs w:val="0"/>
          <w:noProof/>
          <w:kern w:val="2"/>
          <w:sz w:val="22"/>
          <w:szCs w:val="22"/>
          <w:lang w:eastAsia="en-GB"/>
          <w14:ligatures w14:val="standardContextual"/>
        </w:rPr>
      </w:pPr>
      <w:hyperlink w:anchor="_Toc159251004" w:history="1">
        <w:r w:rsidRPr="001B2BCE">
          <w:rPr>
            <w:rStyle w:val="Hyperlink"/>
            <w:noProof/>
          </w:rPr>
          <w:t>8.3.3</w:t>
        </w:r>
        <w:r>
          <w:rPr>
            <w:rFonts w:eastAsiaTheme="minorEastAsia" w:cstheme="minorBidi"/>
            <w:i w:val="0"/>
            <w:iCs w:val="0"/>
            <w:noProof/>
            <w:kern w:val="2"/>
            <w:sz w:val="22"/>
            <w:szCs w:val="22"/>
            <w:lang w:eastAsia="en-GB"/>
            <w14:ligatures w14:val="standardContextual"/>
          </w:rPr>
          <w:tab/>
        </w:r>
        <w:r w:rsidRPr="001B2BCE">
          <w:rPr>
            <w:rStyle w:val="Hyperlink"/>
            <w:noProof/>
          </w:rPr>
          <w:t>LPHAP (Low Power High Accuracy Positioning)</w:t>
        </w:r>
        <w:r>
          <w:rPr>
            <w:noProof/>
            <w:webHidden/>
          </w:rPr>
          <w:tab/>
        </w:r>
        <w:r>
          <w:rPr>
            <w:noProof/>
            <w:webHidden/>
          </w:rPr>
          <w:fldChar w:fldCharType="begin"/>
        </w:r>
        <w:r>
          <w:rPr>
            <w:noProof/>
            <w:webHidden/>
          </w:rPr>
          <w:instrText xml:space="preserve"> PAGEREF _Toc159251004 \h </w:instrText>
        </w:r>
        <w:r>
          <w:rPr>
            <w:noProof/>
            <w:webHidden/>
          </w:rPr>
        </w:r>
        <w:r>
          <w:rPr>
            <w:noProof/>
            <w:webHidden/>
          </w:rPr>
          <w:fldChar w:fldCharType="separate"/>
        </w:r>
        <w:r>
          <w:rPr>
            <w:noProof/>
            <w:webHidden/>
          </w:rPr>
          <w:t>86</w:t>
        </w:r>
        <w:r>
          <w:rPr>
            <w:noProof/>
            <w:webHidden/>
          </w:rPr>
          <w:fldChar w:fldCharType="end"/>
        </w:r>
      </w:hyperlink>
    </w:p>
    <w:p w14:paraId="47AE36B6" w14:textId="1147F21A" w:rsidR="005A18DC" w:rsidRDefault="005A18DC">
      <w:pPr>
        <w:pStyle w:val="TOC3"/>
        <w:tabs>
          <w:tab w:val="left" w:pos="1200"/>
          <w:tab w:val="right" w:leader="dot" w:pos="10457"/>
        </w:tabs>
        <w:rPr>
          <w:rFonts w:eastAsiaTheme="minorEastAsia" w:cstheme="minorBidi"/>
          <w:i w:val="0"/>
          <w:iCs w:val="0"/>
          <w:noProof/>
          <w:kern w:val="2"/>
          <w:sz w:val="22"/>
          <w:szCs w:val="22"/>
          <w:lang w:eastAsia="en-GB"/>
          <w14:ligatures w14:val="standardContextual"/>
        </w:rPr>
      </w:pPr>
      <w:hyperlink w:anchor="_Toc159251005" w:history="1">
        <w:r w:rsidRPr="001B2BCE">
          <w:rPr>
            <w:rStyle w:val="Hyperlink"/>
            <w:noProof/>
          </w:rPr>
          <w:t>8.3.4</w:t>
        </w:r>
        <w:r>
          <w:rPr>
            <w:rFonts w:eastAsiaTheme="minorEastAsia" w:cstheme="minorBidi"/>
            <w:i w:val="0"/>
            <w:iCs w:val="0"/>
            <w:noProof/>
            <w:kern w:val="2"/>
            <w:sz w:val="22"/>
            <w:szCs w:val="22"/>
            <w:lang w:eastAsia="en-GB"/>
            <w14:ligatures w14:val="standardContextual"/>
          </w:rPr>
          <w:tab/>
        </w:r>
        <w:r w:rsidRPr="001B2BCE">
          <w:rPr>
            <w:rStyle w:val="Hyperlink"/>
            <w:noProof/>
          </w:rPr>
          <w:t>Bandwidth aggregation for positioning measurements</w:t>
        </w:r>
        <w:r>
          <w:rPr>
            <w:noProof/>
            <w:webHidden/>
          </w:rPr>
          <w:tab/>
        </w:r>
        <w:r>
          <w:rPr>
            <w:noProof/>
            <w:webHidden/>
          </w:rPr>
          <w:fldChar w:fldCharType="begin"/>
        </w:r>
        <w:r>
          <w:rPr>
            <w:noProof/>
            <w:webHidden/>
          </w:rPr>
          <w:instrText xml:space="preserve"> PAGEREF _Toc159251005 \h </w:instrText>
        </w:r>
        <w:r>
          <w:rPr>
            <w:noProof/>
            <w:webHidden/>
          </w:rPr>
        </w:r>
        <w:r>
          <w:rPr>
            <w:noProof/>
            <w:webHidden/>
          </w:rPr>
          <w:fldChar w:fldCharType="separate"/>
        </w:r>
        <w:r>
          <w:rPr>
            <w:noProof/>
            <w:webHidden/>
          </w:rPr>
          <w:t>87</w:t>
        </w:r>
        <w:r>
          <w:rPr>
            <w:noProof/>
            <w:webHidden/>
          </w:rPr>
          <w:fldChar w:fldCharType="end"/>
        </w:r>
      </w:hyperlink>
    </w:p>
    <w:p w14:paraId="0175B32C" w14:textId="4D22E918" w:rsidR="005A18DC" w:rsidRDefault="005A18DC">
      <w:pPr>
        <w:pStyle w:val="TOC3"/>
        <w:tabs>
          <w:tab w:val="left" w:pos="1200"/>
          <w:tab w:val="right" w:leader="dot" w:pos="10457"/>
        </w:tabs>
        <w:rPr>
          <w:rFonts w:eastAsiaTheme="minorEastAsia" w:cstheme="minorBidi"/>
          <w:i w:val="0"/>
          <w:iCs w:val="0"/>
          <w:noProof/>
          <w:kern w:val="2"/>
          <w:sz w:val="22"/>
          <w:szCs w:val="22"/>
          <w:lang w:eastAsia="en-GB"/>
          <w14:ligatures w14:val="standardContextual"/>
        </w:rPr>
      </w:pPr>
      <w:hyperlink w:anchor="_Toc159251006" w:history="1">
        <w:r w:rsidRPr="001B2BCE">
          <w:rPr>
            <w:rStyle w:val="Hyperlink"/>
            <w:noProof/>
          </w:rPr>
          <w:t>8.3.5</w:t>
        </w:r>
        <w:r>
          <w:rPr>
            <w:rFonts w:eastAsiaTheme="minorEastAsia" w:cstheme="minorBidi"/>
            <w:i w:val="0"/>
            <w:iCs w:val="0"/>
            <w:noProof/>
            <w:kern w:val="2"/>
            <w:sz w:val="22"/>
            <w:szCs w:val="22"/>
            <w:lang w:eastAsia="en-GB"/>
            <w14:ligatures w14:val="standardContextual"/>
          </w:rPr>
          <w:tab/>
        </w:r>
        <w:r w:rsidRPr="001B2BCE">
          <w:rPr>
            <w:rStyle w:val="Hyperlink"/>
            <w:noProof/>
          </w:rPr>
          <w:t>Positioning for RedCap UEs</w:t>
        </w:r>
        <w:r>
          <w:rPr>
            <w:noProof/>
            <w:webHidden/>
          </w:rPr>
          <w:tab/>
        </w:r>
        <w:r>
          <w:rPr>
            <w:noProof/>
            <w:webHidden/>
          </w:rPr>
          <w:fldChar w:fldCharType="begin"/>
        </w:r>
        <w:r>
          <w:rPr>
            <w:noProof/>
            <w:webHidden/>
          </w:rPr>
          <w:instrText xml:space="preserve"> PAGEREF _Toc159251006 \h </w:instrText>
        </w:r>
        <w:r>
          <w:rPr>
            <w:noProof/>
            <w:webHidden/>
          </w:rPr>
        </w:r>
        <w:r>
          <w:rPr>
            <w:noProof/>
            <w:webHidden/>
          </w:rPr>
          <w:fldChar w:fldCharType="separate"/>
        </w:r>
        <w:r>
          <w:rPr>
            <w:noProof/>
            <w:webHidden/>
          </w:rPr>
          <w:t>89</w:t>
        </w:r>
        <w:r>
          <w:rPr>
            <w:noProof/>
            <w:webHidden/>
          </w:rPr>
          <w:fldChar w:fldCharType="end"/>
        </w:r>
      </w:hyperlink>
    </w:p>
    <w:p w14:paraId="1B67444D" w14:textId="503D2AB9" w:rsidR="005A18DC" w:rsidRDefault="005A18DC">
      <w:pPr>
        <w:pStyle w:val="TOC2"/>
        <w:tabs>
          <w:tab w:val="left" w:pos="800"/>
          <w:tab w:val="right" w:leader="dot" w:pos="10457"/>
        </w:tabs>
        <w:rPr>
          <w:rFonts w:eastAsiaTheme="minorEastAsia" w:cstheme="minorBidi"/>
          <w:smallCaps w:val="0"/>
          <w:noProof/>
          <w:kern w:val="2"/>
          <w:sz w:val="22"/>
          <w:szCs w:val="22"/>
          <w:lang w:eastAsia="en-GB"/>
          <w14:ligatures w14:val="standardContextual"/>
        </w:rPr>
      </w:pPr>
      <w:hyperlink w:anchor="_Toc159251007" w:history="1">
        <w:r w:rsidRPr="001B2BCE">
          <w:rPr>
            <w:rStyle w:val="Hyperlink"/>
            <w:noProof/>
          </w:rPr>
          <w:t>8.4</w:t>
        </w:r>
        <w:r>
          <w:rPr>
            <w:rFonts w:eastAsiaTheme="minorEastAsia" w:cstheme="minorBidi"/>
            <w:smallCaps w:val="0"/>
            <w:noProof/>
            <w:kern w:val="2"/>
            <w:sz w:val="22"/>
            <w:szCs w:val="22"/>
            <w:lang w:eastAsia="en-GB"/>
            <w14:ligatures w14:val="standardContextual"/>
          </w:rPr>
          <w:tab/>
        </w:r>
        <w:r w:rsidRPr="001B2BCE">
          <w:rPr>
            <w:rStyle w:val="Hyperlink"/>
            <w:noProof/>
          </w:rPr>
          <w:t>Maintenance on Enhanced Support of Reduced Capability NR device</w:t>
        </w:r>
        <w:r>
          <w:rPr>
            <w:noProof/>
            <w:webHidden/>
          </w:rPr>
          <w:tab/>
        </w:r>
        <w:r>
          <w:rPr>
            <w:noProof/>
            <w:webHidden/>
          </w:rPr>
          <w:fldChar w:fldCharType="begin"/>
        </w:r>
        <w:r>
          <w:rPr>
            <w:noProof/>
            <w:webHidden/>
          </w:rPr>
          <w:instrText xml:space="preserve"> PAGEREF _Toc159251007 \h </w:instrText>
        </w:r>
        <w:r>
          <w:rPr>
            <w:noProof/>
            <w:webHidden/>
          </w:rPr>
        </w:r>
        <w:r>
          <w:rPr>
            <w:noProof/>
            <w:webHidden/>
          </w:rPr>
          <w:fldChar w:fldCharType="separate"/>
        </w:r>
        <w:r>
          <w:rPr>
            <w:noProof/>
            <w:webHidden/>
          </w:rPr>
          <w:t>91</w:t>
        </w:r>
        <w:r>
          <w:rPr>
            <w:noProof/>
            <w:webHidden/>
          </w:rPr>
          <w:fldChar w:fldCharType="end"/>
        </w:r>
      </w:hyperlink>
    </w:p>
    <w:p w14:paraId="63B402FB" w14:textId="267DBC11" w:rsidR="005A18DC" w:rsidRDefault="005A18DC">
      <w:pPr>
        <w:pStyle w:val="TOC3"/>
        <w:tabs>
          <w:tab w:val="left" w:pos="1200"/>
          <w:tab w:val="right" w:leader="dot" w:pos="10457"/>
        </w:tabs>
        <w:rPr>
          <w:rFonts w:eastAsiaTheme="minorEastAsia" w:cstheme="minorBidi"/>
          <w:i w:val="0"/>
          <w:iCs w:val="0"/>
          <w:noProof/>
          <w:kern w:val="2"/>
          <w:sz w:val="22"/>
          <w:szCs w:val="22"/>
          <w:lang w:eastAsia="en-GB"/>
          <w14:ligatures w14:val="standardContextual"/>
        </w:rPr>
      </w:pPr>
      <w:hyperlink w:anchor="_Toc159251008" w:history="1">
        <w:r w:rsidRPr="001B2BCE">
          <w:rPr>
            <w:rStyle w:val="Hyperlink"/>
            <w:noProof/>
          </w:rPr>
          <w:t>8.4.1</w:t>
        </w:r>
        <w:r>
          <w:rPr>
            <w:rFonts w:eastAsiaTheme="minorEastAsia" w:cstheme="minorBidi"/>
            <w:i w:val="0"/>
            <w:iCs w:val="0"/>
            <w:noProof/>
            <w:kern w:val="2"/>
            <w:sz w:val="22"/>
            <w:szCs w:val="22"/>
            <w:lang w:eastAsia="en-GB"/>
            <w14:ligatures w14:val="standardContextual"/>
          </w:rPr>
          <w:tab/>
        </w:r>
        <w:r w:rsidRPr="001B2BCE">
          <w:rPr>
            <w:rStyle w:val="Hyperlink"/>
            <w:noProof/>
          </w:rPr>
          <w:t>UE complexity reduction</w:t>
        </w:r>
        <w:r>
          <w:rPr>
            <w:noProof/>
            <w:webHidden/>
          </w:rPr>
          <w:tab/>
        </w:r>
        <w:r>
          <w:rPr>
            <w:noProof/>
            <w:webHidden/>
          </w:rPr>
          <w:fldChar w:fldCharType="begin"/>
        </w:r>
        <w:r>
          <w:rPr>
            <w:noProof/>
            <w:webHidden/>
          </w:rPr>
          <w:instrText xml:space="preserve"> PAGEREF _Toc159251008 \h </w:instrText>
        </w:r>
        <w:r>
          <w:rPr>
            <w:noProof/>
            <w:webHidden/>
          </w:rPr>
        </w:r>
        <w:r>
          <w:rPr>
            <w:noProof/>
            <w:webHidden/>
          </w:rPr>
          <w:fldChar w:fldCharType="separate"/>
        </w:r>
        <w:r>
          <w:rPr>
            <w:noProof/>
            <w:webHidden/>
          </w:rPr>
          <w:t>91</w:t>
        </w:r>
        <w:r>
          <w:rPr>
            <w:noProof/>
            <w:webHidden/>
          </w:rPr>
          <w:fldChar w:fldCharType="end"/>
        </w:r>
      </w:hyperlink>
    </w:p>
    <w:p w14:paraId="0BE347B1" w14:textId="3B0C7493" w:rsidR="005A18DC" w:rsidRDefault="005A18DC">
      <w:pPr>
        <w:pStyle w:val="TOC2"/>
        <w:tabs>
          <w:tab w:val="left" w:pos="800"/>
          <w:tab w:val="right" w:leader="dot" w:pos="10457"/>
        </w:tabs>
        <w:rPr>
          <w:rFonts w:eastAsiaTheme="minorEastAsia" w:cstheme="minorBidi"/>
          <w:smallCaps w:val="0"/>
          <w:noProof/>
          <w:kern w:val="2"/>
          <w:sz w:val="22"/>
          <w:szCs w:val="22"/>
          <w:lang w:eastAsia="en-GB"/>
          <w14:ligatures w14:val="standardContextual"/>
        </w:rPr>
      </w:pPr>
      <w:hyperlink w:anchor="_Toc159251009" w:history="1">
        <w:r w:rsidRPr="001B2BCE">
          <w:rPr>
            <w:rStyle w:val="Hyperlink"/>
            <w:noProof/>
          </w:rPr>
          <w:t>8.5</w:t>
        </w:r>
        <w:r>
          <w:rPr>
            <w:rFonts w:eastAsiaTheme="minorEastAsia" w:cstheme="minorBidi"/>
            <w:smallCaps w:val="0"/>
            <w:noProof/>
            <w:kern w:val="2"/>
            <w:sz w:val="22"/>
            <w:szCs w:val="22"/>
            <w:lang w:eastAsia="en-GB"/>
            <w14:ligatures w14:val="standardContextual"/>
          </w:rPr>
          <w:tab/>
        </w:r>
        <w:r w:rsidRPr="001B2BCE">
          <w:rPr>
            <w:rStyle w:val="Hyperlink"/>
            <w:noProof/>
          </w:rPr>
          <w:t>Maintenance on Network Energy Savings for NR</w:t>
        </w:r>
        <w:r>
          <w:rPr>
            <w:noProof/>
            <w:webHidden/>
          </w:rPr>
          <w:tab/>
        </w:r>
        <w:r>
          <w:rPr>
            <w:noProof/>
            <w:webHidden/>
          </w:rPr>
          <w:fldChar w:fldCharType="begin"/>
        </w:r>
        <w:r>
          <w:rPr>
            <w:noProof/>
            <w:webHidden/>
          </w:rPr>
          <w:instrText xml:space="preserve"> PAGEREF _Toc159251009 \h </w:instrText>
        </w:r>
        <w:r>
          <w:rPr>
            <w:noProof/>
            <w:webHidden/>
          </w:rPr>
        </w:r>
        <w:r>
          <w:rPr>
            <w:noProof/>
            <w:webHidden/>
          </w:rPr>
          <w:fldChar w:fldCharType="separate"/>
        </w:r>
        <w:r>
          <w:rPr>
            <w:noProof/>
            <w:webHidden/>
          </w:rPr>
          <w:t>92</w:t>
        </w:r>
        <w:r>
          <w:rPr>
            <w:noProof/>
            <w:webHidden/>
          </w:rPr>
          <w:fldChar w:fldCharType="end"/>
        </w:r>
      </w:hyperlink>
    </w:p>
    <w:p w14:paraId="29420DB2" w14:textId="33500453" w:rsidR="005A18DC" w:rsidRDefault="005A18DC">
      <w:pPr>
        <w:pStyle w:val="TOC3"/>
        <w:tabs>
          <w:tab w:val="left" w:pos="1200"/>
          <w:tab w:val="right" w:leader="dot" w:pos="10457"/>
        </w:tabs>
        <w:rPr>
          <w:rFonts w:eastAsiaTheme="minorEastAsia" w:cstheme="minorBidi"/>
          <w:i w:val="0"/>
          <w:iCs w:val="0"/>
          <w:noProof/>
          <w:kern w:val="2"/>
          <w:sz w:val="22"/>
          <w:szCs w:val="22"/>
          <w:lang w:eastAsia="en-GB"/>
          <w14:ligatures w14:val="standardContextual"/>
        </w:rPr>
      </w:pPr>
      <w:hyperlink w:anchor="_Toc159251010" w:history="1">
        <w:r w:rsidRPr="001B2BCE">
          <w:rPr>
            <w:rStyle w:val="Hyperlink"/>
            <w:noProof/>
          </w:rPr>
          <w:t>8.5.1</w:t>
        </w:r>
        <w:r>
          <w:rPr>
            <w:rFonts w:eastAsiaTheme="minorEastAsia" w:cstheme="minorBidi"/>
            <w:i w:val="0"/>
            <w:iCs w:val="0"/>
            <w:noProof/>
            <w:kern w:val="2"/>
            <w:sz w:val="22"/>
            <w:szCs w:val="22"/>
            <w:lang w:eastAsia="en-GB"/>
            <w14:ligatures w14:val="standardContextual"/>
          </w:rPr>
          <w:tab/>
        </w:r>
        <w:r w:rsidRPr="001B2BCE">
          <w:rPr>
            <w:rStyle w:val="Hyperlink"/>
            <w:noProof/>
          </w:rPr>
          <w:t>Techniques in spatial and power domains</w:t>
        </w:r>
        <w:r>
          <w:rPr>
            <w:noProof/>
            <w:webHidden/>
          </w:rPr>
          <w:tab/>
        </w:r>
        <w:r>
          <w:rPr>
            <w:noProof/>
            <w:webHidden/>
          </w:rPr>
          <w:fldChar w:fldCharType="begin"/>
        </w:r>
        <w:r>
          <w:rPr>
            <w:noProof/>
            <w:webHidden/>
          </w:rPr>
          <w:instrText xml:space="preserve"> PAGEREF _Toc159251010 \h </w:instrText>
        </w:r>
        <w:r>
          <w:rPr>
            <w:noProof/>
            <w:webHidden/>
          </w:rPr>
        </w:r>
        <w:r>
          <w:rPr>
            <w:noProof/>
            <w:webHidden/>
          </w:rPr>
          <w:fldChar w:fldCharType="separate"/>
        </w:r>
        <w:r>
          <w:rPr>
            <w:noProof/>
            <w:webHidden/>
          </w:rPr>
          <w:t>92</w:t>
        </w:r>
        <w:r>
          <w:rPr>
            <w:noProof/>
            <w:webHidden/>
          </w:rPr>
          <w:fldChar w:fldCharType="end"/>
        </w:r>
      </w:hyperlink>
    </w:p>
    <w:p w14:paraId="66142893" w14:textId="35703D12" w:rsidR="005A18DC" w:rsidRDefault="005A18DC">
      <w:pPr>
        <w:pStyle w:val="TOC3"/>
        <w:tabs>
          <w:tab w:val="left" w:pos="1200"/>
          <w:tab w:val="right" w:leader="dot" w:pos="10457"/>
        </w:tabs>
        <w:rPr>
          <w:rFonts w:eastAsiaTheme="minorEastAsia" w:cstheme="minorBidi"/>
          <w:i w:val="0"/>
          <w:iCs w:val="0"/>
          <w:noProof/>
          <w:kern w:val="2"/>
          <w:sz w:val="22"/>
          <w:szCs w:val="22"/>
          <w:lang w:eastAsia="en-GB"/>
          <w14:ligatures w14:val="standardContextual"/>
        </w:rPr>
      </w:pPr>
      <w:hyperlink w:anchor="_Toc159251011" w:history="1">
        <w:r w:rsidRPr="001B2BCE">
          <w:rPr>
            <w:rStyle w:val="Hyperlink"/>
            <w:noProof/>
          </w:rPr>
          <w:t>8.5.2</w:t>
        </w:r>
        <w:r>
          <w:rPr>
            <w:rFonts w:eastAsiaTheme="minorEastAsia" w:cstheme="minorBidi"/>
            <w:i w:val="0"/>
            <w:iCs w:val="0"/>
            <w:noProof/>
            <w:kern w:val="2"/>
            <w:sz w:val="22"/>
            <w:szCs w:val="22"/>
            <w:lang w:eastAsia="en-GB"/>
            <w14:ligatures w14:val="standardContextual"/>
          </w:rPr>
          <w:tab/>
        </w:r>
        <w:r w:rsidRPr="001B2BCE">
          <w:rPr>
            <w:rStyle w:val="Hyperlink"/>
            <w:noProof/>
          </w:rPr>
          <w:t>Enhancements on cell DTX/DRX mechanism</w:t>
        </w:r>
        <w:r>
          <w:rPr>
            <w:noProof/>
            <w:webHidden/>
          </w:rPr>
          <w:tab/>
        </w:r>
        <w:r>
          <w:rPr>
            <w:noProof/>
            <w:webHidden/>
          </w:rPr>
          <w:fldChar w:fldCharType="begin"/>
        </w:r>
        <w:r>
          <w:rPr>
            <w:noProof/>
            <w:webHidden/>
          </w:rPr>
          <w:instrText xml:space="preserve"> PAGEREF _Toc159251011 \h </w:instrText>
        </w:r>
        <w:r>
          <w:rPr>
            <w:noProof/>
            <w:webHidden/>
          </w:rPr>
        </w:r>
        <w:r>
          <w:rPr>
            <w:noProof/>
            <w:webHidden/>
          </w:rPr>
          <w:fldChar w:fldCharType="separate"/>
        </w:r>
        <w:r>
          <w:rPr>
            <w:noProof/>
            <w:webHidden/>
          </w:rPr>
          <w:t>97</w:t>
        </w:r>
        <w:r>
          <w:rPr>
            <w:noProof/>
            <w:webHidden/>
          </w:rPr>
          <w:fldChar w:fldCharType="end"/>
        </w:r>
      </w:hyperlink>
    </w:p>
    <w:p w14:paraId="2E65711C" w14:textId="60388AE4" w:rsidR="005A18DC" w:rsidRDefault="005A18DC">
      <w:pPr>
        <w:pStyle w:val="TOC2"/>
        <w:tabs>
          <w:tab w:val="left" w:pos="800"/>
          <w:tab w:val="right" w:leader="dot" w:pos="10457"/>
        </w:tabs>
        <w:rPr>
          <w:rFonts w:eastAsiaTheme="minorEastAsia" w:cstheme="minorBidi"/>
          <w:smallCaps w:val="0"/>
          <w:noProof/>
          <w:kern w:val="2"/>
          <w:sz w:val="22"/>
          <w:szCs w:val="22"/>
          <w:lang w:eastAsia="en-GB"/>
          <w14:ligatures w14:val="standardContextual"/>
        </w:rPr>
      </w:pPr>
      <w:hyperlink w:anchor="_Toc159251012" w:history="1">
        <w:r w:rsidRPr="001B2BCE">
          <w:rPr>
            <w:rStyle w:val="Hyperlink"/>
            <w:noProof/>
          </w:rPr>
          <w:t>8.6</w:t>
        </w:r>
        <w:r>
          <w:rPr>
            <w:rFonts w:eastAsiaTheme="minorEastAsia" w:cstheme="minorBidi"/>
            <w:smallCaps w:val="0"/>
            <w:noProof/>
            <w:kern w:val="2"/>
            <w:sz w:val="22"/>
            <w:szCs w:val="22"/>
            <w:lang w:eastAsia="en-GB"/>
            <w14:ligatures w14:val="standardContextual"/>
          </w:rPr>
          <w:tab/>
        </w:r>
        <w:r w:rsidRPr="001B2BCE">
          <w:rPr>
            <w:rStyle w:val="Hyperlink"/>
            <w:noProof/>
          </w:rPr>
          <w:t>Maintenance on XR Enhancements for NR</w:t>
        </w:r>
        <w:r>
          <w:rPr>
            <w:noProof/>
            <w:webHidden/>
          </w:rPr>
          <w:tab/>
        </w:r>
        <w:r>
          <w:rPr>
            <w:noProof/>
            <w:webHidden/>
          </w:rPr>
          <w:fldChar w:fldCharType="begin"/>
        </w:r>
        <w:r>
          <w:rPr>
            <w:noProof/>
            <w:webHidden/>
          </w:rPr>
          <w:instrText xml:space="preserve"> PAGEREF _Toc159251012 \h </w:instrText>
        </w:r>
        <w:r>
          <w:rPr>
            <w:noProof/>
            <w:webHidden/>
          </w:rPr>
        </w:r>
        <w:r>
          <w:rPr>
            <w:noProof/>
            <w:webHidden/>
          </w:rPr>
          <w:fldChar w:fldCharType="separate"/>
        </w:r>
        <w:r>
          <w:rPr>
            <w:noProof/>
            <w:webHidden/>
          </w:rPr>
          <w:t>102</w:t>
        </w:r>
        <w:r>
          <w:rPr>
            <w:noProof/>
            <w:webHidden/>
          </w:rPr>
          <w:fldChar w:fldCharType="end"/>
        </w:r>
      </w:hyperlink>
    </w:p>
    <w:p w14:paraId="04B1139F" w14:textId="2C81AA8C" w:rsidR="005A18DC" w:rsidRDefault="005A18DC">
      <w:pPr>
        <w:pStyle w:val="TOC3"/>
        <w:tabs>
          <w:tab w:val="left" w:pos="1200"/>
          <w:tab w:val="right" w:leader="dot" w:pos="10457"/>
        </w:tabs>
        <w:rPr>
          <w:rFonts w:eastAsiaTheme="minorEastAsia" w:cstheme="minorBidi"/>
          <w:i w:val="0"/>
          <w:iCs w:val="0"/>
          <w:noProof/>
          <w:kern w:val="2"/>
          <w:sz w:val="22"/>
          <w:szCs w:val="22"/>
          <w:lang w:eastAsia="en-GB"/>
          <w14:ligatures w14:val="standardContextual"/>
        </w:rPr>
      </w:pPr>
      <w:hyperlink w:anchor="_Toc159251013" w:history="1">
        <w:r w:rsidRPr="001B2BCE">
          <w:rPr>
            <w:rStyle w:val="Hyperlink"/>
            <w:noProof/>
          </w:rPr>
          <w:t>8.6.1</w:t>
        </w:r>
        <w:r>
          <w:rPr>
            <w:rFonts w:eastAsiaTheme="minorEastAsia" w:cstheme="minorBidi"/>
            <w:i w:val="0"/>
            <w:iCs w:val="0"/>
            <w:noProof/>
            <w:kern w:val="2"/>
            <w:sz w:val="22"/>
            <w:szCs w:val="22"/>
            <w:lang w:eastAsia="en-GB"/>
            <w14:ligatures w14:val="standardContextual"/>
          </w:rPr>
          <w:tab/>
        </w:r>
        <w:r w:rsidRPr="001B2BCE">
          <w:rPr>
            <w:rStyle w:val="Hyperlink"/>
            <w:noProof/>
          </w:rPr>
          <w:t>XR-specific capacity enhancements</w:t>
        </w:r>
        <w:r>
          <w:rPr>
            <w:noProof/>
            <w:webHidden/>
          </w:rPr>
          <w:tab/>
        </w:r>
        <w:r>
          <w:rPr>
            <w:noProof/>
            <w:webHidden/>
          </w:rPr>
          <w:fldChar w:fldCharType="begin"/>
        </w:r>
        <w:r>
          <w:rPr>
            <w:noProof/>
            <w:webHidden/>
          </w:rPr>
          <w:instrText xml:space="preserve"> PAGEREF _Toc159251013 \h </w:instrText>
        </w:r>
        <w:r>
          <w:rPr>
            <w:noProof/>
            <w:webHidden/>
          </w:rPr>
        </w:r>
        <w:r>
          <w:rPr>
            <w:noProof/>
            <w:webHidden/>
          </w:rPr>
          <w:fldChar w:fldCharType="separate"/>
        </w:r>
        <w:r>
          <w:rPr>
            <w:noProof/>
            <w:webHidden/>
          </w:rPr>
          <w:t>102</w:t>
        </w:r>
        <w:r>
          <w:rPr>
            <w:noProof/>
            <w:webHidden/>
          </w:rPr>
          <w:fldChar w:fldCharType="end"/>
        </w:r>
      </w:hyperlink>
    </w:p>
    <w:p w14:paraId="184A6313" w14:textId="21700C46" w:rsidR="005A18DC" w:rsidRDefault="005A18DC">
      <w:pPr>
        <w:pStyle w:val="TOC2"/>
        <w:tabs>
          <w:tab w:val="left" w:pos="800"/>
          <w:tab w:val="right" w:leader="dot" w:pos="10457"/>
        </w:tabs>
        <w:rPr>
          <w:rFonts w:eastAsiaTheme="minorEastAsia" w:cstheme="minorBidi"/>
          <w:smallCaps w:val="0"/>
          <w:noProof/>
          <w:kern w:val="2"/>
          <w:sz w:val="22"/>
          <w:szCs w:val="22"/>
          <w:lang w:eastAsia="en-GB"/>
          <w14:ligatures w14:val="standardContextual"/>
        </w:rPr>
      </w:pPr>
      <w:hyperlink w:anchor="_Toc159251014" w:history="1">
        <w:r w:rsidRPr="001B2BCE">
          <w:rPr>
            <w:rStyle w:val="Hyperlink"/>
            <w:noProof/>
          </w:rPr>
          <w:t>8.7</w:t>
        </w:r>
        <w:r>
          <w:rPr>
            <w:rFonts w:eastAsiaTheme="minorEastAsia" w:cstheme="minorBidi"/>
            <w:smallCaps w:val="0"/>
            <w:noProof/>
            <w:kern w:val="2"/>
            <w:sz w:val="22"/>
            <w:szCs w:val="22"/>
            <w:lang w:eastAsia="en-GB"/>
            <w14:ligatures w14:val="standardContextual"/>
          </w:rPr>
          <w:tab/>
        </w:r>
        <w:r w:rsidRPr="001B2BCE">
          <w:rPr>
            <w:rStyle w:val="Hyperlink"/>
            <w:noProof/>
          </w:rPr>
          <w:t>Maintenance on Further NR Mobility Enhancements</w:t>
        </w:r>
        <w:r>
          <w:rPr>
            <w:noProof/>
            <w:webHidden/>
          </w:rPr>
          <w:tab/>
        </w:r>
        <w:r>
          <w:rPr>
            <w:noProof/>
            <w:webHidden/>
          </w:rPr>
          <w:fldChar w:fldCharType="begin"/>
        </w:r>
        <w:r>
          <w:rPr>
            <w:noProof/>
            <w:webHidden/>
          </w:rPr>
          <w:instrText xml:space="preserve"> PAGEREF _Toc159251014 \h </w:instrText>
        </w:r>
        <w:r>
          <w:rPr>
            <w:noProof/>
            <w:webHidden/>
          </w:rPr>
        </w:r>
        <w:r>
          <w:rPr>
            <w:noProof/>
            <w:webHidden/>
          </w:rPr>
          <w:fldChar w:fldCharType="separate"/>
        </w:r>
        <w:r>
          <w:rPr>
            <w:noProof/>
            <w:webHidden/>
          </w:rPr>
          <w:t>104</w:t>
        </w:r>
        <w:r>
          <w:rPr>
            <w:noProof/>
            <w:webHidden/>
          </w:rPr>
          <w:fldChar w:fldCharType="end"/>
        </w:r>
      </w:hyperlink>
    </w:p>
    <w:p w14:paraId="78C79F19" w14:textId="5B690749" w:rsidR="005A18DC" w:rsidRDefault="005A18DC">
      <w:pPr>
        <w:pStyle w:val="TOC3"/>
        <w:tabs>
          <w:tab w:val="left" w:pos="1200"/>
          <w:tab w:val="right" w:leader="dot" w:pos="10457"/>
        </w:tabs>
        <w:rPr>
          <w:rFonts w:eastAsiaTheme="minorEastAsia" w:cstheme="minorBidi"/>
          <w:i w:val="0"/>
          <w:iCs w:val="0"/>
          <w:noProof/>
          <w:kern w:val="2"/>
          <w:sz w:val="22"/>
          <w:szCs w:val="22"/>
          <w:lang w:eastAsia="en-GB"/>
          <w14:ligatures w14:val="standardContextual"/>
        </w:rPr>
      </w:pPr>
      <w:hyperlink w:anchor="_Toc159251015" w:history="1">
        <w:r w:rsidRPr="001B2BCE">
          <w:rPr>
            <w:rStyle w:val="Hyperlink"/>
            <w:noProof/>
          </w:rPr>
          <w:t>8.7.1</w:t>
        </w:r>
        <w:r>
          <w:rPr>
            <w:rFonts w:eastAsiaTheme="minorEastAsia" w:cstheme="minorBidi"/>
            <w:i w:val="0"/>
            <w:iCs w:val="0"/>
            <w:noProof/>
            <w:kern w:val="2"/>
            <w:sz w:val="22"/>
            <w:szCs w:val="22"/>
            <w:lang w:eastAsia="en-GB"/>
            <w14:ligatures w14:val="standardContextual"/>
          </w:rPr>
          <w:tab/>
        </w:r>
        <w:r w:rsidRPr="001B2BCE">
          <w:rPr>
            <w:rStyle w:val="Hyperlink"/>
            <w:noProof/>
          </w:rPr>
          <w:t>L1 enhancements for inter-cell beam management</w:t>
        </w:r>
        <w:r>
          <w:rPr>
            <w:noProof/>
            <w:webHidden/>
          </w:rPr>
          <w:tab/>
        </w:r>
        <w:r>
          <w:rPr>
            <w:noProof/>
            <w:webHidden/>
          </w:rPr>
          <w:fldChar w:fldCharType="begin"/>
        </w:r>
        <w:r>
          <w:rPr>
            <w:noProof/>
            <w:webHidden/>
          </w:rPr>
          <w:instrText xml:space="preserve"> PAGEREF _Toc159251015 \h </w:instrText>
        </w:r>
        <w:r>
          <w:rPr>
            <w:noProof/>
            <w:webHidden/>
          </w:rPr>
        </w:r>
        <w:r>
          <w:rPr>
            <w:noProof/>
            <w:webHidden/>
          </w:rPr>
          <w:fldChar w:fldCharType="separate"/>
        </w:r>
        <w:r>
          <w:rPr>
            <w:noProof/>
            <w:webHidden/>
          </w:rPr>
          <w:t>108</w:t>
        </w:r>
        <w:r>
          <w:rPr>
            <w:noProof/>
            <w:webHidden/>
          </w:rPr>
          <w:fldChar w:fldCharType="end"/>
        </w:r>
      </w:hyperlink>
    </w:p>
    <w:p w14:paraId="1D2F8210" w14:textId="62A56A50" w:rsidR="005A18DC" w:rsidRDefault="005A18DC">
      <w:pPr>
        <w:pStyle w:val="TOC3"/>
        <w:tabs>
          <w:tab w:val="left" w:pos="1200"/>
          <w:tab w:val="right" w:leader="dot" w:pos="10457"/>
        </w:tabs>
        <w:rPr>
          <w:rFonts w:eastAsiaTheme="minorEastAsia" w:cstheme="minorBidi"/>
          <w:i w:val="0"/>
          <w:iCs w:val="0"/>
          <w:noProof/>
          <w:kern w:val="2"/>
          <w:sz w:val="22"/>
          <w:szCs w:val="22"/>
          <w:lang w:eastAsia="en-GB"/>
          <w14:ligatures w14:val="standardContextual"/>
        </w:rPr>
      </w:pPr>
      <w:hyperlink w:anchor="_Toc159251016" w:history="1">
        <w:r w:rsidRPr="001B2BCE">
          <w:rPr>
            <w:rStyle w:val="Hyperlink"/>
            <w:noProof/>
          </w:rPr>
          <w:t>8.7.2</w:t>
        </w:r>
        <w:r>
          <w:rPr>
            <w:rFonts w:eastAsiaTheme="minorEastAsia" w:cstheme="minorBidi"/>
            <w:i w:val="0"/>
            <w:iCs w:val="0"/>
            <w:noProof/>
            <w:kern w:val="2"/>
            <w:sz w:val="22"/>
            <w:szCs w:val="22"/>
            <w:lang w:eastAsia="en-GB"/>
            <w14:ligatures w14:val="standardContextual"/>
          </w:rPr>
          <w:tab/>
        </w:r>
        <w:r w:rsidRPr="001B2BCE">
          <w:rPr>
            <w:rStyle w:val="Hyperlink"/>
            <w:noProof/>
          </w:rPr>
          <w:t>Timing advance management to reduce latency</w:t>
        </w:r>
        <w:r>
          <w:rPr>
            <w:noProof/>
            <w:webHidden/>
          </w:rPr>
          <w:tab/>
        </w:r>
        <w:r>
          <w:rPr>
            <w:noProof/>
            <w:webHidden/>
          </w:rPr>
          <w:fldChar w:fldCharType="begin"/>
        </w:r>
        <w:r>
          <w:rPr>
            <w:noProof/>
            <w:webHidden/>
          </w:rPr>
          <w:instrText xml:space="preserve"> PAGEREF _Toc159251016 \h </w:instrText>
        </w:r>
        <w:r>
          <w:rPr>
            <w:noProof/>
            <w:webHidden/>
          </w:rPr>
        </w:r>
        <w:r>
          <w:rPr>
            <w:noProof/>
            <w:webHidden/>
          </w:rPr>
          <w:fldChar w:fldCharType="separate"/>
        </w:r>
        <w:r>
          <w:rPr>
            <w:noProof/>
            <w:webHidden/>
          </w:rPr>
          <w:t>110</w:t>
        </w:r>
        <w:r>
          <w:rPr>
            <w:noProof/>
            <w:webHidden/>
          </w:rPr>
          <w:fldChar w:fldCharType="end"/>
        </w:r>
      </w:hyperlink>
    </w:p>
    <w:p w14:paraId="429D5C94" w14:textId="34A36538" w:rsidR="005A18DC" w:rsidRDefault="005A18DC">
      <w:pPr>
        <w:pStyle w:val="TOC2"/>
        <w:tabs>
          <w:tab w:val="left" w:pos="800"/>
          <w:tab w:val="right" w:leader="dot" w:pos="10457"/>
        </w:tabs>
        <w:rPr>
          <w:rFonts w:eastAsiaTheme="minorEastAsia" w:cstheme="minorBidi"/>
          <w:smallCaps w:val="0"/>
          <w:noProof/>
          <w:kern w:val="2"/>
          <w:sz w:val="22"/>
          <w:szCs w:val="22"/>
          <w:lang w:eastAsia="en-GB"/>
          <w14:ligatures w14:val="standardContextual"/>
        </w:rPr>
      </w:pPr>
      <w:hyperlink w:anchor="_Toc159251017" w:history="1">
        <w:r w:rsidRPr="001B2BCE">
          <w:rPr>
            <w:rStyle w:val="Hyperlink"/>
            <w:noProof/>
          </w:rPr>
          <w:t>8.8</w:t>
        </w:r>
        <w:r>
          <w:rPr>
            <w:rFonts w:eastAsiaTheme="minorEastAsia" w:cstheme="minorBidi"/>
            <w:smallCaps w:val="0"/>
            <w:noProof/>
            <w:kern w:val="2"/>
            <w:sz w:val="22"/>
            <w:szCs w:val="22"/>
            <w:lang w:eastAsia="en-GB"/>
            <w14:ligatures w14:val="standardContextual"/>
          </w:rPr>
          <w:tab/>
        </w:r>
        <w:r w:rsidRPr="001B2BCE">
          <w:rPr>
            <w:rStyle w:val="Hyperlink"/>
            <w:noProof/>
          </w:rPr>
          <w:t>Maintenance on Further NR Coverage Enhancements</w:t>
        </w:r>
        <w:r>
          <w:rPr>
            <w:noProof/>
            <w:webHidden/>
          </w:rPr>
          <w:tab/>
        </w:r>
        <w:r>
          <w:rPr>
            <w:noProof/>
            <w:webHidden/>
          </w:rPr>
          <w:fldChar w:fldCharType="begin"/>
        </w:r>
        <w:r>
          <w:rPr>
            <w:noProof/>
            <w:webHidden/>
          </w:rPr>
          <w:instrText xml:space="preserve"> PAGEREF _Toc159251017 \h </w:instrText>
        </w:r>
        <w:r>
          <w:rPr>
            <w:noProof/>
            <w:webHidden/>
          </w:rPr>
        </w:r>
        <w:r>
          <w:rPr>
            <w:noProof/>
            <w:webHidden/>
          </w:rPr>
          <w:fldChar w:fldCharType="separate"/>
        </w:r>
        <w:r>
          <w:rPr>
            <w:noProof/>
            <w:webHidden/>
          </w:rPr>
          <w:t>112</w:t>
        </w:r>
        <w:r>
          <w:rPr>
            <w:noProof/>
            <w:webHidden/>
          </w:rPr>
          <w:fldChar w:fldCharType="end"/>
        </w:r>
      </w:hyperlink>
    </w:p>
    <w:p w14:paraId="29F57F85" w14:textId="1F66A6A5" w:rsidR="005A18DC" w:rsidRDefault="005A18DC">
      <w:pPr>
        <w:pStyle w:val="TOC3"/>
        <w:tabs>
          <w:tab w:val="left" w:pos="1200"/>
          <w:tab w:val="right" w:leader="dot" w:pos="10457"/>
        </w:tabs>
        <w:rPr>
          <w:rFonts w:eastAsiaTheme="minorEastAsia" w:cstheme="minorBidi"/>
          <w:i w:val="0"/>
          <w:iCs w:val="0"/>
          <w:noProof/>
          <w:kern w:val="2"/>
          <w:sz w:val="22"/>
          <w:szCs w:val="22"/>
          <w:lang w:eastAsia="en-GB"/>
          <w14:ligatures w14:val="standardContextual"/>
        </w:rPr>
      </w:pPr>
      <w:hyperlink w:anchor="_Toc159251018" w:history="1">
        <w:r w:rsidRPr="001B2BCE">
          <w:rPr>
            <w:rStyle w:val="Hyperlink"/>
            <w:noProof/>
            <w:lang w:eastAsia="zh-CN"/>
          </w:rPr>
          <w:t>8.8.1</w:t>
        </w:r>
        <w:r>
          <w:rPr>
            <w:rFonts w:eastAsiaTheme="minorEastAsia" w:cstheme="minorBidi"/>
            <w:i w:val="0"/>
            <w:iCs w:val="0"/>
            <w:noProof/>
            <w:kern w:val="2"/>
            <w:sz w:val="22"/>
            <w:szCs w:val="22"/>
            <w:lang w:eastAsia="en-GB"/>
            <w14:ligatures w14:val="standardContextual"/>
          </w:rPr>
          <w:tab/>
        </w:r>
        <w:r w:rsidRPr="001B2BCE">
          <w:rPr>
            <w:rStyle w:val="Hyperlink"/>
            <w:noProof/>
            <w:lang w:eastAsia="zh-CN"/>
          </w:rPr>
          <w:t>PRACH coverage enhancements</w:t>
        </w:r>
        <w:r>
          <w:rPr>
            <w:noProof/>
            <w:webHidden/>
          </w:rPr>
          <w:tab/>
        </w:r>
        <w:r>
          <w:rPr>
            <w:noProof/>
            <w:webHidden/>
          </w:rPr>
          <w:fldChar w:fldCharType="begin"/>
        </w:r>
        <w:r>
          <w:rPr>
            <w:noProof/>
            <w:webHidden/>
          </w:rPr>
          <w:instrText xml:space="preserve"> PAGEREF _Toc159251018 \h </w:instrText>
        </w:r>
        <w:r>
          <w:rPr>
            <w:noProof/>
            <w:webHidden/>
          </w:rPr>
        </w:r>
        <w:r>
          <w:rPr>
            <w:noProof/>
            <w:webHidden/>
          </w:rPr>
          <w:fldChar w:fldCharType="separate"/>
        </w:r>
        <w:r>
          <w:rPr>
            <w:noProof/>
            <w:webHidden/>
          </w:rPr>
          <w:t>112</w:t>
        </w:r>
        <w:r>
          <w:rPr>
            <w:noProof/>
            <w:webHidden/>
          </w:rPr>
          <w:fldChar w:fldCharType="end"/>
        </w:r>
      </w:hyperlink>
    </w:p>
    <w:p w14:paraId="4A29DE6B" w14:textId="0837A3AB" w:rsidR="005A18DC" w:rsidRDefault="005A18DC">
      <w:pPr>
        <w:pStyle w:val="TOC3"/>
        <w:tabs>
          <w:tab w:val="left" w:pos="1200"/>
          <w:tab w:val="right" w:leader="dot" w:pos="10457"/>
        </w:tabs>
        <w:rPr>
          <w:rFonts w:eastAsiaTheme="minorEastAsia" w:cstheme="minorBidi"/>
          <w:i w:val="0"/>
          <w:iCs w:val="0"/>
          <w:noProof/>
          <w:kern w:val="2"/>
          <w:sz w:val="22"/>
          <w:szCs w:val="22"/>
          <w:lang w:eastAsia="en-GB"/>
          <w14:ligatures w14:val="standardContextual"/>
        </w:rPr>
      </w:pPr>
      <w:hyperlink w:anchor="_Toc159251019" w:history="1">
        <w:r w:rsidRPr="001B2BCE">
          <w:rPr>
            <w:rStyle w:val="Hyperlink"/>
            <w:noProof/>
          </w:rPr>
          <w:t>8.8.2</w:t>
        </w:r>
        <w:r>
          <w:rPr>
            <w:rFonts w:eastAsiaTheme="minorEastAsia" w:cstheme="minorBidi"/>
            <w:i w:val="0"/>
            <w:iCs w:val="0"/>
            <w:noProof/>
            <w:kern w:val="2"/>
            <w:sz w:val="22"/>
            <w:szCs w:val="22"/>
            <w:lang w:eastAsia="en-GB"/>
            <w14:ligatures w14:val="standardContextual"/>
          </w:rPr>
          <w:tab/>
        </w:r>
        <w:r w:rsidRPr="001B2BCE">
          <w:rPr>
            <w:rStyle w:val="Hyperlink"/>
            <w:noProof/>
          </w:rPr>
          <w:t>Power domain enhancements</w:t>
        </w:r>
        <w:r>
          <w:rPr>
            <w:noProof/>
            <w:webHidden/>
          </w:rPr>
          <w:tab/>
        </w:r>
        <w:r>
          <w:rPr>
            <w:noProof/>
            <w:webHidden/>
          </w:rPr>
          <w:fldChar w:fldCharType="begin"/>
        </w:r>
        <w:r>
          <w:rPr>
            <w:noProof/>
            <w:webHidden/>
          </w:rPr>
          <w:instrText xml:space="preserve"> PAGEREF _Toc159251019 \h </w:instrText>
        </w:r>
        <w:r>
          <w:rPr>
            <w:noProof/>
            <w:webHidden/>
          </w:rPr>
        </w:r>
        <w:r>
          <w:rPr>
            <w:noProof/>
            <w:webHidden/>
          </w:rPr>
          <w:fldChar w:fldCharType="separate"/>
        </w:r>
        <w:r>
          <w:rPr>
            <w:noProof/>
            <w:webHidden/>
          </w:rPr>
          <w:t>115</w:t>
        </w:r>
        <w:r>
          <w:rPr>
            <w:noProof/>
            <w:webHidden/>
          </w:rPr>
          <w:fldChar w:fldCharType="end"/>
        </w:r>
      </w:hyperlink>
    </w:p>
    <w:p w14:paraId="43468530" w14:textId="599592CA" w:rsidR="005A18DC" w:rsidRDefault="005A18DC">
      <w:pPr>
        <w:pStyle w:val="TOC3"/>
        <w:tabs>
          <w:tab w:val="left" w:pos="1200"/>
          <w:tab w:val="right" w:leader="dot" w:pos="10457"/>
        </w:tabs>
        <w:rPr>
          <w:rFonts w:eastAsiaTheme="minorEastAsia" w:cstheme="minorBidi"/>
          <w:i w:val="0"/>
          <w:iCs w:val="0"/>
          <w:noProof/>
          <w:kern w:val="2"/>
          <w:sz w:val="22"/>
          <w:szCs w:val="22"/>
          <w:lang w:eastAsia="en-GB"/>
          <w14:ligatures w14:val="standardContextual"/>
        </w:rPr>
      </w:pPr>
      <w:hyperlink w:anchor="_Toc159251020" w:history="1">
        <w:r w:rsidRPr="001B2BCE">
          <w:rPr>
            <w:rStyle w:val="Hyperlink"/>
            <w:noProof/>
          </w:rPr>
          <w:t>8.8.3</w:t>
        </w:r>
        <w:r>
          <w:rPr>
            <w:rFonts w:eastAsiaTheme="minorEastAsia" w:cstheme="minorBidi"/>
            <w:i w:val="0"/>
            <w:iCs w:val="0"/>
            <w:noProof/>
            <w:kern w:val="2"/>
            <w:sz w:val="22"/>
            <w:szCs w:val="22"/>
            <w:lang w:eastAsia="en-GB"/>
            <w14:ligatures w14:val="standardContextual"/>
          </w:rPr>
          <w:tab/>
        </w:r>
        <w:r w:rsidRPr="001B2BCE">
          <w:rPr>
            <w:rStyle w:val="Hyperlink"/>
            <w:noProof/>
          </w:rPr>
          <w:t>Dynamic switching between DFT-</w:t>
        </w:r>
        <w:r w:rsidRPr="001B2BCE">
          <w:rPr>
            <w:rStyle w:val="Hyperlink"/>
            <w:noProof/>
            <w:lang w:eastAsia="zh-CN"/>
          </w:rPr>
          <w:t>S</w:t>
        </w:r>
        <w:r w:rsidRPr="001B2BCE">
          <w:rPr>
            <w:rStyle w:val="Hyperlink"/>
            <w:noProof/>
          </w:rPr>
          <w:t>-OFDM and CP-OFDM</w:t>
        </w:r>
        <w:r>
          <w:rPr>
            <w:noProof/>
            <w:webHidden/>
          </w:rPr>
          <w:tab/>
        </w:r>
        <w:r>
          <w:rPr>
            <w:noProof/>
            <w:webHidden/>
          </w:rPr>
          <w:fldChar w:fldCharType="begin"/>
        </w:r>
        <w:r>
          <w:rPr>
            <w:noProof/>
            <w:webHidden/>
          </w:rPr>
          <w:instrText xml:space="preserve"> PAGEREF _Toc159251020 \h </w:instrText>
        </w:r>
        <w:r>
          <w:rPr>
            <w:noProof/>
            <w:webHidden/>
          </w:rPr>
        </w:r>
        <w:r>
          <w:rPr>
            <w:noProof/>
            <w:webHidden/>
          </w:rPr>
          <w:fldChar w:fldCharType="separate"/>
        </w:r>
        <w:r>
          <w:rPr>
            <w:noProof/>
            <w:webHidden/>
          </w:rPr>
          <w:t>115</w:t>
        </w:r>
        <w:r>
          <w:rPr>
            <w:noProof/>
            <w:webHidden/>
          </w:rPr>
          <w:fldChar w:fldCharType="end"/>
        </w:r>
      </w:hyperlink>
    </w:p>
    <w:p w14:paraId="037065DF" w14:textId="5E97547F" w:rsidR="005A18DC" w:rsidRDefault="005A18DC">
      <w:pPr>
        <w:pStyle w:val="TOC2"/>
        <w:tabs>
          <w:tab w:val="left" w:pos="800"/>
          <w:tab w:val="right" w:leader="dot" w:pos="10457"/>
        </w:tabs>
        <w:rPr>
          <w:rFonts w:eastAsiaTheme="minorEastAsia" w:cstheme="minorBidi"/>
          <w:smallCaps w:val="0"/>
          <w:noProof/>
          <w:kern w:val="2"/>
          <w:sz w:val="22"/>
          <w:szCs w:val="22"/>
          <w:lang w:eastAsia="en-GB"/>
          <w14:ligatures w14:val="standardContextual"/>
        </w:rPr>
      </w:pPr>
      <w:hyperlink w:anchor="_Toc159251021" w:history="1">
        <w:r w:rsidRPr="001B2BCE">
          <w:rPr>
            <w:rStyle w:val="Hyperlink"/>
            <w:noProof/>
          </w:rPr>
          <w:t>8.9</w:t>
        </w:r>
        <w:r>
          <w:rPr>
            <w:rFonts w:eastAsiaTheme="minorEastAsia" w:cstheme="minorBidi"/>
            <w:smallCaps w:val="0"/>
            <w:noProof/>
            <w:kern w:val="2"/>
            <w:sz w:val="22"/>
            <w:szCs w:val="22"/>
            <w:lang w:eastAsia="en-GB"/>
            <w14:ligatures w14:val="standardContextual"/>
          </w:rPr>
          <w:tab/>
        </w:r>
        <w:r w:rsidRPr="001B2BCE">
          <w:rPr>
            <w:rStyle w:val="Hyperlink"/>
            <w:noProof/>
          </w:rPr>
          <w:t>Maintenance on NR Support for Dedicated Spectrum Less than 5MHz for FR1</w:t>
        </w:r>
        <w:r>
          <w:rPr>
            <w:noProof/>
            <w:webHidden/>
          </w:rPr>
          <w:tab/>
        </w:r>
        <w:r>
          <w:rPr>
            <w:noProof/>
            <w:webHidden/>
          </w:rPr>
          <w:fldChar w:fldCharType="begin"/>
        </w:r>
        <w:r>
          <w:rPr>
            <w:noProof/>
            <w:webHidden/>
          </w:rPr>
          <w:instrText xml:space="preserve"> PAGEREF _Toc159251021 \h </w:instrText>
        </w:r>
        <w:r>
          <w:rPr>
            <w:noProof/>
            <w:webHidden/>
          </w:rPr>
        </w:r>
        <w:r>
          <w:rPr>
            <w:noProof/>
            <w:webHidden/>
          </w:rPr>
          <w:fldChar w:fldCharType="separate"/>
        </w:r>
        <w:r>
          <w:rPr>
            <w:noProof/>
            <w:webHidden/>
          </w:rPr>
          <w:t>116</w:t>
        </w:r>
        <w:r>
          <w:rPr>
            <w:noProof/>
            <w:webHidden/>
          </w:rPr>
          <w:fldChar w:fldCharType="end"/>
        </w:r>
      </w:hyperlink>
    </w:p>
    <w:p w14:paraId="0A00D0EA" w14:textId="32382B94" w:rsidR="005A18DC" w:rsidRDefault="005A18DC">
      <w:pPr>
        <w:pStyle w:val="TOC3"/>
        <w:tabs>
          <w:tab w:val="left" w:pos="1200"/>
          <w:tab w:val="right" w:leader="dot" w:pos="10457"/>
        </w:tabs>
        <w:rPr>
          <w:rFonts w:eastAsiaTheme="minorEastAsia" w:cstheme="minorBidi"/>
          <w:i w:val="0"/>
          <w:iCs w:val="0"/>
          <w:noProof/>
          <w:kern w:val="2"/>
          <w:sz w:val="22"/>
          <w:szCs w:val="22"/>
          <w:lang w:eastAsia="en-GB"/>
          <w14:ligatures w14:val="standardContextual"/>
        </w:rPr>
      </w:pPr>
      <w:hyperlink w:anchor="_Toc159251022" w:history="1">
        <w:r w:rsidRPr="001B2BCE">
          <w:rPr>
            <w:rStyle w:val="Hyperlink"/>
            <w:noProof/>
          </w:rPr>
          <w:t>8.9.1</w:t>
        </w:r>
        <w:r>
          <w:rPr>
            <w:rFonts w:eastAsiaTheme="minorEastAsia" w:cstheme="minorBidi"/>
            <w:i w:val="0"/>
            <w:iCs w:val="0"/>
            <w:noProof/>
            <w:kern w:val="2"/>
            <w:sz w:val="22"/>
            <w:szCs w:val="22"/>
            <w:lang w:eastAsia="en-GB"/>
            <w14:ligatures w14:val="standardContextual"/>
          </w:rPr>
          <w:tab/>
        </w:r>
        <w:r w:rsidRPr="001B2BCE">
          <w:rPr>
            <w:rStyle w:val="Hyperlink"/>
            <w:noProof/>
          </w:rPr>
          <w:t>Enhancements to operate NR on dedicated spectrum less than 5 MHz</w:t>
        </w:r>
        <w:r>
          <w:rPr>
            <w:noProof/>
            <w:webHidden/>
          </w:rPr>
          <w:tab/>
        </w:r>
        <w:r>
          <w:rPr>
            <w:noProof/>
            <w:webHidden/>
          </w:rPr>
          <w:fldChar w:fldCharType="begin"/>
        </w:r>
        <w:r>
          <w:rPr>
            <w:noProof/>
            <w:webHidden/>
          </w:rPr>
          <w:instrText xml:space="preserve"> PAGEREF _Toc159251022 \h </w:instrText>
        </w:r>
        <w:r>
          <w:rPr>
            <w:noProof/>
            <w:webHidden/>
          </w:rPr>
        </w:r>
        <w:r>
          <w:rPr>
            <w:noProof/>
            <w:webHidden/>
          </w:rPr>
          <w:fldChar w:fldCharType="separate"/>
        </w:r>
        <w:r>
          <w:rPr>
            <w:noProof/>
            <w:webHidden/>
          </w:rPr>
          <w:t>117</w:t>
        </w:r>
        <w:r>
          <w:rPr>
            <w:noProof/>
            <w:webHidden/>
          </w:rPr>
          <w:fldChar w:fldCharType="end"/>
        </w:r>
      </w:hyperlink>
    </w:p>
    <w:p w14:paraId="5C5B5DA0" w14:textId="5797666B" w:rsidR="005A18DC" w:rsidRDefault="005A18DC">
      <w:pPr>
        <w:pStyle w:val="TOC2"/>
        <w:tabs>
          <w:tab w:val="left" w:pos="800"/>
          <w:tab w:val="right" w:leader="dot" w:pos="10457"/>
        </w:tabs>
        <w:rPr>
          <w:rFonts w:eastAsiaTheme="minorEastAsia" w:cstheme="minorBidi"/>
          <w:smallCaps w:val="0"/>
          <w:noProof/>
          <w:kern w:val="2"/>
          <w:sz w:val="22"/>
          <w:szCs w:val="22"/>
          <w:lang w:eastAsia="en-GB"/>
          <w14:ligatures w14:val="standardContextual"/>
        </w:rPr>
      </w:pPr>
      <w:hyperlink w:anchor="_Toc159251023" w:history="1">
        <w:r w:rsidRPr="001B2BCE">
          <w:rPr>
            <w:rStyle w:val="Hyperlink"/>
            <w:noProof/>
          </w:rPr>
          <w:t>8.10</w:t>
        </w:r>
        <w:r>
          <w:rPr>
            <w:rFonts w:eastAsiaTheme="minorEastAsia" w:cstheme="minorBidi"/>
            <w:smallCaps w:val="0"/>
            <w:noProof/>
            <w:kern w:val="2"/>
            <w:sz w:val="22"/>
            <w:szCs w:val="22"/>
            <w:lang w:eastAsia="en-GB"/>
            <w14:ligatures w14:val="standardContextual"/>
          </w:rPr>
          <w:tab/>
        </w:r>
        <w:r w:rsidRPr="001B2BCE">
          <w:rPr>
            <w:rStyle w:val="Hyperlink"/>
            <w:noProof/>
          </w:rPr>
          <w:t>Maintenance on Enhancement of NR Dynamic Spectrum Sharing (DSS)</w:t>
        </w:r>
        <w:r>
          <w:rPr>
            <w:noProof/>
            <w:webHidden/>
          </w:rPr>
          <w:tab/>
        </w:r>
        <w:r>
          <w:rPr>
            <w:noProof/>
            <w:webHidden/>
          </w:rPr>
          <w:fldChar w:fldCharType="begin"/>
        </w:r>
        <w:r>
          <w:rPr>
            <w:noProof/>
            <w:webHidden/>
          </w:rPr>
          <w:instrText xml:space="preserve"> PAGEREF _Toc159251023 \h </w:instrText>
        </w:r>
        <w:r>
          <w:rPr>
            <w:noProof/>
            <w:webHidden/>
          </w:rPr>
        </w:r>
        <w:r>
          <w:rPr>
            <w:noProof/>
            <w:webHidden/>
          </w:rPr>
          <w:fldChar w:fldCharType="separate"/>
        </w:r>
        <w:r>
          <w:rPr>
            <w:noProof/>
            <w:webHidden/>
          </w:rPr>
          <w:t>118</w:t>
        </w:r>
        <w:r>
          <w:rPr>
            <w:noProof/>
            <w:webHidden/>
          </w:rPr>
          <w:fldChar w:fldCharType="end"/>
        </w:r>
      </w:hyperlink>
    </w:p>
    <w:p w14:paraId="38239AF1" w14:textId="4F87F308" w:rsidR="005A18DC" w:rsidRDefault="005A18DC">
      <w:pPr>
        <w:pStyle w:val="TOC3"/>
        <w:tabs>
          <w:tab w:val="left" w:pos="1200"/>
          <w:tab w:val="right" w:leader="dot" w:pos="10457"/>
        </w:tabs>
        <w:rPr>
          <w:rFonts w:eastAsiaTheme="minorEastAsia" w:cstheme="minorBidi"/>
          <w:i w:val="0"/>
          <w:iCs w:val="0"/>
          <w:noProof/>
          <w:kern w:val="2"/>
          <w:sz w:val="22"/>
          <w:szCs w:val="22"/>
          <w:lang w:eastAsia="en-GB"/>
          <w14:ligatures w14:val="standardContextual"/>
        </w:rPr>
      </w:pPr>
      <w:hyperlink w:anchor="_Toc159251024" w:history="1">
        <w:r w:rsidRPr="001B2BCE">
          <w:rPr>
            <w:rStyle w:val="Hyperlink"/>
            <w:noProof/>
            <w:lang w:eastAsia="ja-JP"/>
          </w:rPr>
          <w:t>8.10.1</w:t>
        </w:r>
        <w:r>
          <w:rPr>
            <w:rFonts w:eastAsiaTheme="minorEastAsia" w:cstheme="minorBidi"/>
            <w:i w:val="0"/>
            <w:iCs w:val="0"/>
            <w:noProof/>
            <w:kern w:val="2"/>
            <w:sz w:val="22"/>
            <w:szCs w:val="22"/>
            <w:lang w:eastAsia="en-GB"/>
            <w14:ligatures w14:val="standardContextual"/>
          </w:rPr>
          <w:tab/>
        </w:r>
        <w:r w:rsidRPr="001B2BCE">
          <w:rPr>
            <w:rStyle w:val="Hyperlink"/>
            <w:noProof/>
            <w:lang w:eastAsia="ja-JP"/>
          </w:rPr>
          <w:t>NR PDCCH reception in symbols with LTE CRS REs</w:t>
        </w:r>
        <w:r>
          <w:rPr>
            <w:noProof/>
            <w:webHidden/>
          </w:rPr>
          <w:tab/>
        </w:r>
        <w:r>
          <w:rPr>
            <w:noProof/>
            <w:webHidden/>
          </w:rPr>
          <w:fldChar w:fldCharType="begin"/>
        </w:r>
        <w:r>
          <w:rPr>
            <w:noProof/>
            <w:webHidden/>
          </w:rPr>
          <w:instrText xml:space="preserve"> PAGEREF _Toc159251024 \h </w:instrText>
        </w:r>
        <w:r>
          <w:rPr>
            <w:noProof/>
            <w:webHidden/>
          </w:rPr>
        </w:r>
        <w:r>
          <w:rPr>
            <w:noProof/>
            <w:webHidden/>
          </w:rPr>
          <w:fldChar w:fldCharType="separate"/>
        </w:r>
        <w:r>
          <w:rPr>
            <w:noProof/>
            <w:webHidden/>
          </w:rPr>
          <w:t>118</w:t>
        </w:r>
        <w:r>
          <w:rPr>
            <w:noProof/>
            <w:webHidden/>
          </w:rPr>
          <w:fldChar w:fldCharType="end"/>
        </w:r>
      </w:hyperlink>
    </w:p>
    <w:p w14:paraId="48FBE4E5" w14:textId="5D0AD209" w:rsidR="005A18DC" w:rsidRDefault="005A18DC">
      <w:pPr>
        <w:pStyle w:val="TOC3"/>
        <w:tabs>
          <w:tab w:val="left" w:pos="1200"/>
          <w:tab w:val="right" w:leader="dot" w:pos="10457"/>
        </w:tabs>
        <w:rPr>
          <w:rFonts w:eastAsiaTheme="minorEastAsia" w:cstheme="minorBidi"/>
          <w:i w:val="0"/>
          <w:iCs w:val="0"/>
          <w:noProof/>
          <w:kern w:val="2"/>
          <w:sz w:val="22"/>
          <w:szCs w:val="22"/>
          <w:lang w:eastAsia="en-GB"/>
          <w14:ligatures w14:val="standardContextual"/>
        </w:rPr>
      </w:pPr>
      <w:hyperlink w:anchor="_Toc159251025" w:history="1">
        <w:r w:rsidRPr="001B2BCE">
          <w:rPr>
            <w:rStyle w:val="Hyperlink"/>
            <w:noProof/>
            <w:lang w:eastAsia="ja-JP"/>
          </w:rPr>
          <w:t>8.10.2</w:t>
        </w:r>
        <w:r>
          <w:rPr>
            <w:rFonts w:eastAsiaTheme="minorEastAsia" w:cstheme="minorBidi"/>
            <w:i w:val="0"/>
            <w:iCs w:val="0"/>
            <w:noProof/>
            <w:kern w:val="2"/>
            <w:sz w:val="22"/>
            <w:szCs w:val="22"/>
            <w:lang w:eastAsia="en-GB"/>
            <w14:ligatures w14:val="standardContextual"/>
          </w:rPr>
          <w:tab/>
        </w:r>
        <w:r w:rsidRPr="001B2BCE">
          <w:rPr>
            <w:rStyle w:val="Hyperlink"/>
            <w:noProof/>
            <w:lang w:eastAsia="ja-JP"/>
          </w:rPr>
          <w:t>UE support for two overlapping CRS rate matching patterns</w:t>
        </w:r>
        <w:r>
          <w:rPr>
            <w:noProof/>
            <w:webHidden/>
          </w:rPr>
          <w:tab/>
        </w:r>
        <w:r>
          <w:rPr>
            <w:noProof/>
            <w:webHidden/>
          </w:rPr>
          <w:fldChar w:fldCharType="begin"/>
        </w:r>
        <w:r>
          <w:rPr>
            <w:noProof/>
            <w:webHidden/>
          </w:rPr>
          <w:instrText xml:space="preserve"> PAGEREF _Toc159251025 \h </w:instrText>
        </w:r>
        <w:r>
          <w:rPr>
            <w:noProof/>
            <w:webHidden/>
          </w:rPr>
        </w:r>
        <w:r>
          <w:rPr>
            <w:noProof/>
            <w:webHidden/>
          </w:rPr>
          <w:fldChar w:fldCharType="separate"/>
        </w:r>
        <w:r>
          <w:rPr>
            <w:noProof/>
            <w:webHidden/>
          </w:rPr>
          <w:t>118</w:t>
        </w:r>
        <w:r>
          <w:rPr>
            <w:noProof/>
            <w:webHidden/>
          </w:rPr>
          <w:fldChar w:fldCharType="end"/>
        </w:r>
      </w:hyperlink>
    </w:p>
    <w:p w14:paraId="0288FAC3" w14:textId="0CBC6CD7" w:rsidR="005A18DC" w:rsidRDefault="005A18DC">
      <w:pPr>
        <w:pStyle w:val="TOC2"/>
        <w:tabs>
          <w:tab w:val="left" w:pos="800"/>
          <w:tab w:val="right" w:leader="dot" w:pos="10457"/>
        </w:tabs>
        <w:rPr>
          <w:rFonts w:eastAsiaTheme="minorEastAsia" w:cstheme="minorBidi"/>
          <w:smallCaps w:val="0"/>
          <w:noProof/>
          <w:kern w:val="2"/>
          <w:sz w:val="22"/>
          <w:szCs w:val="22"/>
          <w:lang w:eastAsia="en-GB"/>
          <w14:ligatures w14:val="standardContextual"/>
        </w:rPr>
      </w:pPr>
      <w:hyperlink w:anchor="_Toc159251026" w:history="1">
        <w:r w:rsidRPr="001B2BCE">
          <w:rPr>
            <w:rStyle w:val="Hyperlink"/>
            <w:noProof/>
          </w:rPr>
          <w:t>8.11</w:t>
        </w:r>
        <w:r>
          <w:rPr>
            <w:rFonts w:eastAsiaTheme="minorEastAsia" w:cstheme="minorBidi"/>
            <w:smallCaps w:val="0"/>
            <w:noProof/>
            <w:kern w:val="2"/>
            <w:sz w:val="22"/>
            <w:szCs w:val="22"/>
            <w:lang w:eastAsia="en-GB"/>
            <w14:ligatures w14:val="standardContextual"/>
          </w:rPr>
          <w:tab/>
        </w:r>
        <w:r w:rsidRPr="001B2BCE">
          <w:rPr>
            <w:rStyle w:val="Hyperlink"/>
            <w:noProof/>
          </w:rPr>
          <w:t>Maintenance on NR Network-Controlled Repeaters</w:t>
        </w:r>
        <w:r>
          <w:rPr>
            <w:noProof/>
            <w:webHidden/>
          </w:rPr>
          <w:tab/>
        </w:r>
        <w:r>
          <w:rPr>
            <w:noProof/>
            <w:webHidden/>
          </w:rPr>
          <w:fldChar w:fldCharType="begin"/>
        </w:r>
        <w:r>
          <w:rPr>
            <w:noProof/>
            <w:webHidden/>
          </w:rPr>
          <w:instrText xml:space="preserve"> PAGEREF _Toc159251026 \h </w:instrText>
        </w:r>
        <w:r>
          <w:rPr>
            <w:noProof/>
            <w:webHidden/>
          </w:rPr>
        </w:r>
        <w:r>
          <w:rPr>
            <w:noProof/>
            <w:webHidden/>
          </w:rPr>
          <w:fldChar w:fldCharType="separate"/>
        </w:r>
        <w:r>
          <w:rPr>
            <w:noProof/>
            <w:webHidden/>
          </w:rPr>
          <w:t>119</w:t>
        </w:r>
        <w:r>
          <w:rPr>
            <w:noProof/>
            <w:webHidden/>
          </w:rPr>
          <w:fldChar w:fldCharType="end"/>
        </w:r>
      </w:hyperlink>
    </w:p>
    <w:p w14:paraId="5C08CEF3" w14:textId="1EB2CE15" w:rsidR="005A18DC" w:rsidRDefault="005A18DC">
      <w:pPr>
        <w:pStyle w:val="TOC3"/>
        <w:tabs>
          <w:tab w:val="left" w:pos="1200"/>
          <w:tab w:val="right" w:leader="dot" w:pos="10457"/>
        </w:tabs>
        <w:rPr>
          <w:rFonts w:eastAsiaTheme="minorEastAsia" w:cstheme="minorBidi"/>
          <w:i w:val="0"/>
          <w:iCs w:val="0"/>
          <w:noProof/>
          <w:kern w:val="2"/>
          <w:sz w:val="22"/>
          <w:szCs w:val="22"/>
          <w:lang w:eastAsia="en-GB"/>
          <w14:ligatures w14:val="standardContextual"/>
        </w:rPr>
      </w:pPr>
      <w:hyperlink w:anchor="_Toc159251027" w:history="1">
        <w:r w:rsidRPr="001B2BCE">
          <w:rPr>
            <w:rStyle w:val="Hyperlink"/>
            <w:noProof/>
          </w:rPr>
          <w:t>8.11.1</w:t>
        </w:r>
        <w:r>
          <w:rPr>
            <w:rFonts w:eastAsiaTheme="minorEastAsia" w:cstheme="minorBidi"/>
            <w:i w:val="0"/>
            <w:iCs w:val="0"/>
            <w:noProof/>
            <w:kern w:val="2"/>
            <w:sz w:val="22"/>
            <w:szCs w:val="22"/>
            <w:lang w:eastAsia="en-GB"/>
            <w14:ligatures w14:val="standardContextual"/>
          </w:rPr>
          <w:tab/>
        </w:r>
        <w:r w:rsidRPr="001B2BCE">
          <w:rPr>
            <w:rStyle w:val="Hyperlink"/>
            <w:noProof/>
          </w:rPr>
          <w:t>Side control information and NCR behaviour</w:t>
        </w:r>
        <w:r>
          <w:rPr>
            <w:noProof/>
            <w:webHidden/>
          </w:rPr>
          <w:tab/>
        </w:r>
        <w:r>
          <w:rPr>
            <w:noProof/>
            <w:webHidden/>
          </w:rPr>
          <w:fldChar w:fldCharType="begin"/>
        </w:r>
        <w:r>
          <w:rPr>
            <w:noProof/>
            <w:webHidden/>
          </w:rPr>
          <w:instrText xml:space="preserve"> PAGEREF _Toc159251027 \h </w:instrText>
        </w:r>
        <w:r>
          <w:rPr>
            <w:noProof/>
            <w:webHidden/>
          </w:rPr>
        </w:r>
        <w:r>
          <w:rPr>
            <w:noProof/>
            <w:webHidden/>
          </w:rPr>
          <w:fldChar w:fldCharType="separate"/>
        </w:r>
        <w:r>
          <w:rPr>
            <w:noProof/>
            <w:webHidden/>
          </w:rPr>
          <w:t>119</w:t>
        </w:r>
        <w:r>
          <w:rPr>
            <w:noProof/>
            <w:webHidden/>
          </w:rPr>
          <w:fldChar w:fldCharType="end"/>
        </w:r>
      </w:hyperlink>
    </w:p>
    <w:p w14:paraId="58F81E63" w14:textId="58938022" w:rsidR="005A18DC" w:rsidRDefault="005A18DC">
      <w:pPr>
        <w:pStyle w:val="TOC3"/>
        <w:tabs>
          <w:tab w:val="left" w:pos="1200"/>
          <w:tab w:val="right" w:leader="dot" w:pos="10457"/>
        </w:tabs>
        <w:rPr>
          <w:rFonts w:eastAsiaTheme="minorEastAsia" w:cstheme="minorBidi"/>
          <w:i w:val="0"/>
          <w:iCs w:val="0"/>
          <w:noProof/>
          <w:kern w:val="2"/>
          <w:sz w:val="22"/>
          <w:szCs w:val="22"/>
          <w:lang w:eastAsia="en-GB"/>
          <w14:ligatures w14:val="standardContextual"/>
        </w:rPr>
      </w:pPr>
      <w:hyperlink w:anchor="_Toc159251028" w:history="1">
        <w:r w:rsidRPr="001B2BCE">
          <w:rPr>
            <w:rStyle w:val="Hyperlink"/>
            <w:noProof/>
          </w:rPr>
          <w:t>8.11.2</w:t>
        </w:r>
        <w:r>
          <w:rPr>
            <w:rFonts w:eastAsiaTheme="minorEastAsia" w:cstheme="minorBidi"/>
            <w:i w:val="0"/>
            <w:iCs w:val="0"/>
            <w:noProof/>
            <w:kern w:val="2"/>
            <w:sz w:val="22"/>
            <w:szCs w:val="22"/>
            <w:lang w:eastAsia="en-GB"/>
            <w14:ligatures w14:val="standardContextual"/>
          </w:rPr>
          <w:tab/>
        </w:r>
        <w:r w:rsidRPr="001B2BCE">
          <w:rPr>
            <w:rStyle w:val="Hyperlink"/>
            <w:noProof/>
          </w:rPr>
          <w:t>Other aspects including control plane signalling and procedures relevant to RAN1</w:t>
        </w:r>
        <w:r>
          <w:rPr>
            <w:noProof/>
            <w:webHidden/>
          </w:rPr>
          <w:tab/>
        </w:r>
        <w:r>
          <w:rPr>
            <w:noProof/>
            <w:webHidden/>
          </w:rPr>
          <w:fldChar w:fldCharType="begin"/>
        </w:r>
        <w:r>
          <w:rPr>
            <w:noProof/>
            <w:webHidden/>
          </w:rPr>
          <w:instrText xml:space="preserve"> PAGEREF _Toc159251028 \h </w:instrText>
        </w:r>
        <w:r>
          <w:rPr>
            <w:noProof/>
            <w:webHidden/>
          </w:rPr>
        </w:r>
        <w:r>
          <w:rPr>
            <w:noProof/>
            <w:webHidden/>
          </w:rPr>
          <w:fldChar w:fldCharType="separate"/>
        </w:r>
        <w:r>
          <w:rPr>
            <w:noProof/>
            <w:webHidden/>
          </w:rPr>
          <w:t>120</w:t>
        </w:r>
        <w:r>
          <w:rPr>
            <w:noProof/>
            <w:webHidden/>
          </w:rPr>
          <w:fldChar w:fldCharType="end"/>
        </w:r>
      </w:hyperlink>
    </w:p>
    <w:p w14:paraId="41B2B234" w14:textId="69449589" w:rsidR="005A18DC" w:rsidRDefault="005A18DC">
      <w:pPr>
        <w:pStyle w:val="TOC2"/>
        <w:tabs>
          <w:tab w:val="left" w:pos="800"/>
          <w:tab w:val="right" w:leader="dot" w:pos="10457"/>
        </w:tabs>
        <w:rPr>
          <w:rFonts w:eastAsiaTheme="minorEastAsia" w:cstheme="minorBidi"/>
          <w:smallCaps w:val="0"/>
          <w:noProof/>
          <w:kern w:val="2"/>
          <w:sz w:val="22"/>
          <w:szCs w:val="22"/>
          <w:lang w:eastAsia="en-GB"/>
          <w14:ligatures w14:val="standardContextual"/>
        </w:rPr>
      </w:pPr>
      <w:hyperlink w:anchor="_Toc159251029" w:history="1">
        <w:r w:rsidRPr="001B2BCE">
          <w:rPr>
            <w:rStyle w:val="Hyperlink"/>
            <w:noProof/>
          </w:rPr>
          <w:t>8.12</w:t>
        </w:r>
        <w:r>
          <w:rPr>
            <w:rFonts w:eastAsiaTheme="minorEastAsia" w:cstheme="minorBidi"/>
            <w:smallCaps w:val="0"/>
            <w:noProof/>
            <w:kern w:val="2"/>
            <w:sz w:val="22"/>
            <w:szCs w:val="22"/>
            <w:lang w:eastAsia="en-GB"/>
            <w14:ligatures w14:val="standardContextual"/>
          </w:rPr>
          <w:tab/>
        </w:r>
        <w:r w:rsidRPr="001B2BCE">
          <w:rPr>
            <w:rStyle w:val="Hyperlink"/>
            <w:noProof/>
          </w:rPr>
          <w:t>Maintenance on Multi-Carrier Enhancements for NR</w:t>
        </w:r>
        <w:r>
          <w:rPr>
            <w:noProof/>
            <w:webHidden/>
          </w:rPr>
          <w:tab/>
        </w:r>
        <w:r>
          <w:rPr>
            <w:noProof/>
            <w:webHidden/>
          </w:rPr>
          <w:fldChar w:fldCharType="begin"/>
        </w:r>
        <w:r>
          <w:rPr>
            <w:noProof/>
            <w:webHidden/>
          </w:rPr>
          <w:instrText xml:space="preserve"> PAGEREF _Toc159251029 \h </w:instrText>
        </w:r>
        <w:r>
          <w:rPr>
            <w:noProof/>
            <w:webHidden/>
          </w:rPr>
        </w:r>
        <w:r>
          <w:rPr>
            <w:noProof/>
            <w:webHidden/>
          </w:rPr>
          <w:fldChar w:fldCharType="separate"/>
        </w:r>
        <w:r>
          <w:rPr>
            <w:noProof/>
            <w:webHidden/>
          </w:rPr>
          <w:t>121</w:t>
        </w:r>
        <w:r>
          <w:rPr>
            <w:noProof/>
            <w:webHidden/>
          </w:rPr>
          <w:fldChar w:fldCharType="end"/>
        </w:r>
      </w:hyperlink>
    </w:p>
    <w:p w14:paraId="7F6B407D" w14:textId="191E2841" w:rsidR="005A18DC" w:rsidRDefault="005A18DC">
      <w:pPr>
        <w:pStyle w:val="TOC3"/>
        <w:tabs>
          <w:tab w:val="left" w:pos="1200"/>
          <w:tab w:val="right" w:leader="dot" w:pos="10457"/>
        </w:tabs>
        <w:rPr>
          <w:rFonts w:eastAsiaTheme="minorEastAsia" w:cstheme="minorBidi"/>
          <w:i w:val="0"/>
          <w:iCs w:val="0"/>
          <w:noProof/>
          <w:kern w:val="2"/>
          <w:sz w:val="22"/>
          <w:szCs w:val="22"/>
          <w:lang w:eastAsia="en-GB"/>
          <w14:ligatures w14:val="standardContextual"/>
        </w:rPr>
      </w:pPr>
      <w:hyperlink w:anchor="_Toc159251030" w:history="1">
        <w:r w:rsidRPr="001B2BCE">
          <w:rPr>
            <w:rStyle w:val="Hyperlink"/>
            <w:noProof/>
          </w:rPr>
          <w:t>8.12.1</w:t>
        </w:r>
        <w:r>
          <w:rPr>
            <w:rFonts w:eastAsiaTheme="minorEastAsia" w:cstheme="minorBidi"/>
            <w:i w:val="0"/>
            <w:iCs w:val="0"/>
            <w:noProof/>
            <w:kern w:val="2"/>
            <w:sz w:val="22"/>
            <w:szCs w:val="22"/>
            <w:lang w:eastAsia="en-GB"/>
            <w14:ligatures w14:val="standardContextual"/>
          </w:rPr>
          <w:tab/>
        </w:r>
        <w:r w:rsidRPr="001B2BCE">
          <w:rPr>
            <w:rStyle w:val="Hyperlink"/>
            <w:noProof/>
          </w:rPr>
          <w:t>Multi-cell PUSCH/PDSCH scheduling with a single DCI</w:t>
        </w:r>
        <w:r>
          <w:rPr>
            <w:noProof/>
            <w:webHidden/>
          </w:rPr>
          <w:tab/>
        </w:r>
        <w:r>
          <w:rPr>
            <w:noProof/>
            <w:webHidden/>
          </w:rPr>
          <w:fldChar w:fldCharType="begin"/>
        </w:r>
        <w:r>
          <w:rPr>
            <w:noProof/>
            <w:webHidden/>
          </w:rPr>
          <w:instrText xml:space="preserve"> PAGEREF _Toc159251030 \h </w:instrText>
        </w:r>
        <w:r>
          <w:rPr>
            <w:noProof/>
            <w:webHidden/>
          </w:rPr>
        </w:r>
        <w:r>
          <w:rPr>
            <w:noProof/>
            <w:webHidden/>
          </w:rPr>
          <w:fldChar w:fldCharType="separate"/>
        </w:r>
        <w:r>
          <w:rPr>
            <w:noProof/>
            <w:webHidden/>
          </w:rPr>
          <w:t>121</w:t>
        </w:r>
        <w:r>
          <w:rPr>
            <w:noProof/>
            <w:webHidden/>
          </w:rPr>
          <w:fldChar w:fldCharType="end"/>
        </w:r>
      </w:hyperlink>
    </w:p>
    <w:p w14:paraId="5096062D" w14:textId="3EB36C58" w:rsidR="005A18DC" w:rsidRDefault="005A18DC">
      <w:pPr>
        <w:pStyle w:val="TOC3"/>
        <w:tabs>
          <w:tab w:val="left" w:pos="1200"/>
          <w:tab w:val="right" w:leader="dot" w:pos="10457"/>
        </w:tabs>
        <w:rPr>
          <w:rFonts w:eastAsiaTheme="minorEastAsia" w:cstheme="minorBidi"/>
          <w:i w:val="0"/>
          <w:iCs w:val="0"/>
          <w:noProof/>
          <w:kern w:val="2"/>
          <w:sz w:val="22"/>
          <w:szCs w:val="22"/>
          <w:lang w:eastAsia="en-GB"/>
          <w14:ligatures w14:val="standardContextual"/>
        </w:rPr>
      </w:pPr>
      <w:hyperlink w:anchor="_Toc159251031" w:history="1">
        <w:r w:rsidRPr="001B2BCE">
          <w:rPr>
            <w:rStyle w:val="Hyperlink"/>
            <w:noProof/>
          </w:rPr>
          <w:t>8.12.2</w:t>
        </w:r>
        <w:r>
          <w:rPr>
            <w:rFonts w:eastAsiaTheme="minorEastAsia" w:cstheme="minorBidi"/>
            <w:i w:val="0"/>
            <w:iCs w:val="0"/>
            <w:noProof/>
            <w:kern w:val="2"/>
            <w:sz w:val="22"/>
            <w:szCs w:val="22"/>
            <w:lang w:eastAsia="en-GB"/>
            <w14:ligatures w14:val="standardContextual"/>
          </w:rPr>
          <w:tab/>
        </w:r>
        <w:r w:rsidRPr="001B2BCE">
          <w:rPr>
            <w:rStyle w:val="Hyperlink"/>
            <w:noProof/>
          </w:rPr>
          <w:t>Multi-carrier UL Tx switching scheme</w:t>
        </w:r>
        <w:r>
          <w:rPr>
            <w:noProof/>
            <w:webHidden/>
          </w:rPr>
          <w:tab/>
        </w:r>
        <w:r>
          <w:rPr>
            <w:noProof/>
            <w:webHidden/>
          </w:rPr>
          <w:fldChar w:fldCharType="begin"/>
        </w:r>
        <w:r>
          <w:rPr>
            <w:noProof/>
            <w:webHidden/>
          </w:rPr>
          <w:instrText xml:space="preserve"> PAGEREF _Toc159251031 \h </w:instrText>
        </w:r>
        <w:r>
          <w:rPr>
            <w:noProof/>
            <w:webHidden/>
          </w:rPr>
        </w:r>
        <w:r>
          <w:rPr>
            <w:noProof/>
            <w:webHidden/>
          </w:rPr>
          <w:fldChar w:fldCharType="separate"/>
        </w:r>
        <w:r>
          <w:rPr>
            <w:noProof/>
            <w:webHidden/>
          </w:rPr>
          <w:t>123</w:t>
        </w:r>
        <w:r>
          <w:rPr>
            <w:noProof/>
            <w:webHidden/>
          </w:rPr>
          <w:fldChar w:fldCharType="end"/>
        </w:r>
      </w:hyperlink>
    </w:p>
    <w:p w14:paraId="2677D579" w14:textId="712BE164" w:rsidR="005A18DC" w:rsidRDefault="005A18DC">
      <w:pPr>
        <w:pStyle w:val="TOC2"/>
        <w:tabs>
          <w:tab w:val="left" w:pos="800"/>
          <w:tab w:val="right" w:leader="dot" w:pos="10457"/>
        </w:tabs>
        <w:rPr>
          <w:rFonts w:eastAsiaTheme="minorEastAsia" w:cstheme="minorBidi"/>
          <w:smallCaps w:val="0"/>
          <w:noProof/>
          <w:kern w:val="2"/>
          <w:sz w:val="22"/>
          <w:szCs w:val="22"/>
          <w:lang w:eastAsia="en-GB"/>
          <w14:ligatures w14:val="standardContextual"/>
        </w:rPr>
      </w:pPr>
      <w:hyperlink w:anchor="_Toc159251032" w:history="1">
        <w:r w:rsidRPr="001B2BCE">
          <w:rPr>
            <w:rStyle w:val="Hyperlink"/>
            <w:noProof/>
          </w:rPr>
          <w:t>8.13</w:t>
        </w:r>
        <w:r>
          <w:rPr>
            <w:rFonts w:eastAsiaTheme="minorEastAsia" w:cstheme="minorBidi"/>
            <w:smallCaps w:val="0"/>
            <w:noProof/>
            <w:kern w:val="2"/>
            <w:sz w:val="22"/>
            <w:szCs w:val="22"/>
            <w:lang w:eastAsia="en-GB"/>
            <w14:ligatures w14:val="standardContextual"/>
          </w:rPr>
          <w:tab/>
        </w:r>
        <w:r w:rsidRPr="001B2BCE">
          <w:rPr>
            <w:rStyle w:val="Hyperlink"/>
            <w:noProof/>
          </w:rPr>
          <w:t>Maintenance on NTN (Non-Terrestrial Networks) Enhancements</w:t>
        </w:r>
        <w:r>
          <w:rPr>
            <w:noProof/>
            <w:webHidden/>
          </w:rPr>
          <w:tab/>
        </w:r>
        <w:r>
          <w:rPr>
            <w:noProof/>
            <w:webHidden/>
          </w:rPr>
          <w:fldChar w:fldCharType="begin"/>
        </w:r>
        <w:r>
          <w:rPr>
            <w:noProof/>
            <w:webHidden/>
          </w:rPr>
          <w:instrText xml:space="preserve"> PAGEREF _Toc159251032 \h </w:instrText>
        </w:r>
        <w:r>
          <w:rPr>
            <w:noProof/>
            <w:webHidden/>
          </w:rPr>
        </w:r>
        <w:r>
          <w:rPr>
            <w:noProof/>
            <w:webHidden/>
          </w:rPr>
          <w:fldChar w:fldCharType="separate"/>
        </w:r>
        <w:r>
          <w:rPr>
            <w:noProof/>
            <w:webHidden/>
          </w:rPr>
          <w:t>126</w:t>
        </w:r>
        <w:r>
          <w:rPr>
            <w:noProof/>
            <w:webHidden/>
          </w:rPr>
          <w:fldChar w:fldCharType="end"/>
        </w:r>
      </w:hyperlink>
    </w:p>
    <w:p w14:paraId="5E4556BA" w14:textId="11BF4D65" w:rsidR="005A18DC" w:rsidRDefault="005A18DC">
      <w:pPr>
        <w:pStyle w:val="TOC3"/>
        <w:tabs>
          <w:tab w:val="left" w:pos="1200"/>
          <w:tab w:val="right" w:leader="dot" w:pos="10457"/>
        </w:tabs>
        <w:rPr>
          <w:rFonts w:eastAsiaTheme="minorEastAsia" w:cstheme="minorBidi"/>
          <w:i w:val="0"/>
          <w:iCs w:val="0"/>
          <w:noProof/>
          <w:kern w:val="2"/>
          <w:sz w:val="22"/>
          <w:szCs w:val="22"/>
          <w:lang w:eastAsia="en-GB"/>
          <w14:ligatures w14:val="standardContextual"/>
        </w:rPr>
      </w:pPr>
      <w:hyperlink w:anchor="_Toc159251033" w:history="1">
        <w:r w:rsidRPr="001B2BCE">
          <w:rPr>
            <w:rStyle w:val="Hyperlink"/>
            <w:noProof/>
          </w:rPr>
          <w:t>8.13.1</w:t>
        </w:r>
        <w:r>
          <w:rPr>
            <w:rFonts w:eastAsiaTheme="minorEastAsia" w:cstheme="minorBidi"/>
            <w:i w:val="0"/>
            <w:iCs w:val="0"/>
            <w:noProof/>
            <w:kern w:val="2"/>
            <w:sz w:val="22"/>
            <w:szCs w:val="22"/>
            <w:lang w:eastAsia="en-GB"/>
            <w14:ligatures w14:val="standardContextual"/>
          </w:rPr>
          <w:tab/>
        </w:r>
        <w:r w:rsidRPr="001B2BCE">
          <w:rPr>
            <w:rStyle w:val="Hyperlink"/>
            <w:noProof/>
          </w:rPr>
          <w:t>Coverage enhancement for NR NTN</w:t>
        </w:r>
        <w:r>
          <w:rPr>
            <w:noProof/>
            <w:webHidden/>
          </w:rPr>
          <w:tab/>
        </w:r>
        <w:r>
          <w:rPr>
            <w:noProof/>
            <w:webHidden/>
          </w:rPr>
          <w:fldChar w:fldCharType="begin"/>
        </w:r>
        <w:r>
          <w:rPr>
            <w:noProof/>
            <w:webHidden/>
          </w:rPr>
          <w:instrText xml:space="preserve"> PAGEREF _Toc159251033 \h </w:instrText>
        </w:r>
        <w:r>
          <w:rPr>
            <w:noProof/>
            <w:webHidden/>
          </w:rPr>
        </w:r>
        <w:r>
          <w:rPr>
            <w:noProof/>
            <w:webHidden/>
          </w:rPr>
          <w:fldChar w:fldCharType="separate"/>
        </w:r>
        <w:r>
          <w:rPr>
            <w:noProof/>
            <w:webHidden/>
          </w:rPr>
          <w:t>128</w:t>
        </w:r>
        <w:r>
          <w:rPr>
            <w:noProof/>
            <w:webHidden/>
          </w:rPr>
          <w:fldChar w:fldCharType="end"/>
        </w:r>
      </w:hyperlink>
    </w:p>
    <w:p w14:paraId="251CFA42" w14:textId="266D6FFB" w:rsidR="005A18DC" w:rsidRDefault="005A18DC">
      <w:pPr>
        <w:pStyle w:val="TOC3"/>
        <w:tabs>
          <w:tab w:val="left" w:pos="1200"/>
          <w:tab w:val="right" w:leader="dot" w:pos="10457"/>
        </w:tabs>
        <w:rPr>
          <w:rFonts w:eastAsiaTheme="minorEastAsia" w:cstheme="minorBidi"/>
          <w:i w:val="0"/>
          <w:iCs w:val="0"/>
          <w:noProof/>
          <w:kern w:val="2"/>
          <w:sz w:val="22"/>
          <w:szCs w:val="22"/>
          <w:lang w:eastAsia="en-GB"/>
          <w14:ligatures w14:val="standardContextual"/>
        </w:rPr>
      </w:pPr>
      <w:hyperlink w:anchor="_Toc159251034" w:history="1">
        <w:r w:rsidRPr="001B2BCE">
          <w:rPr>
            <w:rStyle w:val="Hyperlink"/>
            <w:noProof/>
          </w:rPr>
          <w:t>8.13.2</w:t>
        </w:r>
        <w:r>
          <w:rPr>
            <w:rFonts w:eastAsiaTheme="minorEastAsia" w:cstheme="minorBidi"/>
            <w:i w:val="0"/>
            <w:iCs w:val="0"/>
            <w:noProof/>
            <w:kern w:val="2"/>
            <w:sz w:val="22"/>
            <w:szCs w:val="22"/>
            <w:lang w:eastAsia="en-GB"/>
            <w14:ligatures w14:val="standardContextual"/>
          </w:rPr>
          <w:tab/>
        </w:r>
        <w:r w:rsidRPr="001B2BCE">
          <w:rPr>
            <w:rStyle w:val="Hyperlink"/>
            <w:noProof/>
          </w:rPr>
          <w:t>Network verified UE location for NR NTN</w:t>
        </w:r>
        <w:r>
          <w:rPr>
            <w:noProof/>
            <w:webHidden/>
          </w:rPr>
          <w:tab/>
        </w:r>
        <w:r>
          <w:rPr>
            <w:noProof/>
            <w:webHidden/>
          </w:rPr>
          <w:fldChar w:fldCharType="begin"/>
        </w:r>
        <w:r>
          <w:rPr>
            <w:noProof/>
            <w:webHidden/>
          </w:rPr>
          <w:instrText xml:space="preserve"> PAGEREF _Toc159251034 \h </w:instrText>
        </w:r>
        <w:r>
          <w:rPr>
            <w:noProof/>
            <w:webHidden/>
          </w:rPr>
        </w:r>
        <w:r>
          <w:rPr>
            <w:noProof/>
            <w:webHidden/>
          </w:rPr>
          <w:fldChar w:fldCharType="separate"/>
        </w:r>
        <w:r>
          <w:rPr>
            <w:noProof/>
            <w:webHidden/>
          </w:rPr>
          <w:t>129</w:t>
        </w:r>
        <w:r>
          <w:rPr>
            <w:noProof/>
            <w:webHidden/>
          </w:rPr>
          <w:fldChar w:fldCharType="end"/>
        </w:r>
      </w:hyperlink>
    </w:p>
    <w:p w14:paraId="63B983E6" w14:textId="4146E541" w:rsidR="005A18DC" w:rsidRDefault="005A18DC">
      <w:pPr>
        <w:pStyle w:val="TOC3"/>
        <w:tabs>
          <w:tab w:val="left" w:pos="1200"/>
          <w:tab w:val="right" w:leader="dot" w:pos="10457"/>
        </w:tabs>
        <w:rPr>
          <w:rFonts w:eastAsiaTheme="minorEastAsia" w:cstheme="minorBidi"/>
          <w:i w:val="0"/>
          <w:iCs w:val="0"/>
          <w:noProof/>
          <w:kern w:val="2"/>
          <w:sz w:val="22"/>
          <w:szCs w:val="22"/>
          <w:lang w:eastAsia="en-GB"/>
          <w14:ligatures w14:val="standardContextual"/>
        </w:rPr>
      </w:pPr>
      <w:hyperlink w:anchor="_Toc159251035" w:history="1">
        <w:r w:rsidRPr="001B2BCE">
          <w:rPr>
            <w:rStyle w:val="Hyperlink"/>
            <w:noProof/>
          </w:rPr>
          <w:t>8.13.3</w:t>
        </w:r>
        <w:r>
          <w:rPr>
            <w:rFonts w:eastAsiaTheme="minorEastAsia" w:cstheme="minorBidi"/>
            <w:i w:val="0"/>
            <w:iCs w:val="0"/>
            <w:noProof/>
            <w:kern w:val="2"/>
            <w:sz w:val="22"/>
            <w:szCs w:val="22"/>
            <w:lang w:eastAsia="en-GB"/>
            <w14:ligatures w14:val="standardContextual"/>
          </w:rPr>
          <w:tab/>
        </w:r>
        <w:r w:rsidRPr="001B2BCE">
          <w:rPr>
            <w:rStyle w:val="Hyperlink"/>
            <w:noProof/>
          </w:rPr>
          <w:t>Disabling of HARQ feedback for IoT NTN</w:t>
        </w:r>
        <w:r>
          <w:rPr>
            <w:noProof/>
            <w:webHidden/>
          </w:rPr>
          <w:tab/>
        </w:r>
        <w:r>
          <w:rPr>
            <w:noProof/>
            <w:webHidden/>
          </w:rPr>
          <w:fldChar w:fldCharType="begin"/>
        </w:r>
        <w:r>
          <w:rPr>
            <w:noProof/>
            <w:webHidden/>
          </w:rPr>
          <w:instrText xml:space="preserve"> PAGEREF _Toc159251035 \h </w:instrText>
        </w:r>
        <w:r>
          <w:rPr>
            <w:noProof/>
            <w:webHidden/>
          </w:rPr>
        </w:r>
        <w:r>
          <w:rPr>
            <w:noProof/>
            <w:webHidden/>
          </w:rPr>
          <w:fldChar w:fldCharType="separate"/>
        </w:r>
        <w:r>
          <w:rPr>
            <w:noProof/>
            <w:webHidden/>
          </w:rPr>
          <w:t>130</w:t>
        </w:r>
        <w:r>
          <w:rPr>
            <w:noProof/>
            <w:webHidden/>
          </w:rPr>
          <w:fldChar w:fldCharType="end"/>
        </w:r>
      </w:hyperlink>
    </w:p>
    <w:p w14:paraId="5F060B29" w14:textId="0281B942" w:rsidR="005A18DC" w:rsidRDefault="005A18DC">
      <w:pPr>
        <w:pStyle w:val="TOC3"/>
        <w:tabs>
          <w:tab w:val="left" w:pos="1200"/>
          <w:tab w:val="right" w:leader="dot" w:pos="10457"/>
        </w:tabs>
        <w:rPr>
          <w:rFonts w:eastAsiaTheme="minorEastAsia" w:cstheme="minorBidi"/>
          <w:i w:val="0"/>
          <w:iCs w:val="0"/>
          <w:noProof/>
          <w:kern w:val="2"/>
          <w:sz w:val="22"/>
          <w:szCs w:val="22"/>
          <w:lang w:eastAsia="en-GB"/>
          <w14:ligatures w14:val="standardContextual"/>
        </w:rPr>
      </w:pPr>
      <w:hyperlink w:anchor="_Toc159251036" w:history="1">
        <w:r w:rsidRPr="001B2BCE">
          <w:rPr>
            <w:rStyle w:val="Hyperlink"/>
            <w:noProof/>
          </w:rPr>
          <w:t>8.13.4</w:t>
        </w:r>
        <w:r>
          <w:rPr>
            <w:rFonts w:eastAsiaTheme="minorEastAsia" w:cstheme="minorBidi"/>
            <w:i w:val="0"/>
            <w:iCs w:val="0"/>
            <w:noProof/>
            <w:kern w:val="2"/>
            <w:sz w:val="22"/>
            <w:szCs w:val="22"/>
            <w:lang w:eastAsia="en-GB"/>
            <w14:ligatures w14:val="standardContextual"/>
          </w:rPr>
          <w:tab/>
        </w:r>
        <w:r w:rsidRPr="001B2BCE">
          <w:rPr>
            <w:rStyle w:val="Hyperlink"/>
            <w:noProof/>
          </w:rPr>
          <w:t>Improved GNSS operations for IoT NTN</w:t>
        </w:r>
        <w:r>
          <w:rPr>
            <w:noProof/>
            <w:webHidden/>
          </w:rPr>
          <w:tab/>
        </w:r>
        <w:r>
          <w:rPr>
            <w:noProof/>
            <w:webHidden/>
          </w:rPr>
          <w:fldChar w:fldCharType="begin"/>
        </w:r>
        <w:r>
          <w:rPr>
            <w:noProof/>
            <w:webHidden/>
          </w:rPr>
          <w:instrText xml:space="preserve"> PAGEREF _Toc159251036 \h </w:instrText>
        </w:r>
        <w:r>
          <w:rPr>
            <w:noProof/>
            <w:webHidden/>
          </w:rPr>
        </w:r>
        <w:r>
          <w:rPr>
            <w:noProof/>
            <w:webHidden/>
          </w:rPr>
          <w:fldChar w:fldCharType="separate"/>
        </w:r>
        <w:r>
          <w:rPr>
            <w:noProof/>
            <w:webHidden/>
          </w:rPr>
          <w:t>131</w:t>
        </w:r>
        <w:r>
          <w:rPr>
            <w:noProof/>
            <w:webHidden/>
          </w:rPr>
          <w:fldChar w:fldCharType="end"/>
        </w:r>
      </w:hyperlink>
    </w:p>
    <w:p w14:paraId="05E7005C" w14:textId="1545C47A" w:rsidR="005A18DC" w:rsidRDefault="005A18DC">
      <w:pPr>
        <w:pStyle w:val="TOC2"/>
        <w:tabs>
          <w:tab w:val="left" w:pos="800"/>
          <w:tab w:val="right" w:leader="dot" w:pos="10457"/>
        </w:tabs>
        <w:rPr>
          <w:rFonts w:eastAsiaTheme="minorEastAsia" w:cstheme="minorBidi"/>
          <w:smallCaps w:val="0"/>
          <w:noProof/>
          <w:kern w:val="2"/>
          <w:sz w:val="22"/>
          <w:szCs w:val="22"/>
          <w:lang w:eastAsia="en-GB"/>
          <w14:ligatures w14:val="standardContextual"/>
        </w:rPr>
      </w:pPr>
      <w:hyperlink w:anchor="_Toc159251037" w:history="1">
        <w:r w:rsidRPr="001B2BCE">
          <w:rPr>
            <w:rStyle w:val="Hyperlink"/>
            <w:noProof/>
          </w:rPr>
          <w:t>8.14</w:t>
        </w:r>
        <w:r>
          <w:rPr>
            <w:rFonts w:eastAsiaTheme="minorEastAsia" w:cstheme="minorBidi"/>
            <w:smallCaps w:val="0"/>
            <w:noProof/>
            <w:kern w:val="2"/>
            <w:sz w:val="22"/>
            <w:szCs w:val="22"/>
            <w:lang w:eastAsia="en-GB"/>
            <w14:ligatures w14:val="standardContextual"/>
          </w:rPr>
          <w:tab/>
        </w:r>
        <w:r w:rsidRPr="001B2BCE">
          <w:rPr>
            <w:rStyle w:val="Hyperlink"/>
            <w:noProof/>
          </w:rPr>
          <w:t>Study on Artificial Intelligence (AI)/Machine Learning (ML) for NR Air Interface</w:t>
        </w:r>
        <w:r>
          <w:rPr>
            <w:noProof/>
            <w:webHidden/>
          </w:rPr>
          <w:tab/>
        </w:r>
        <w:r>
          <w:rPr>
            <w:noProof/>
            <w:webHidden/>
          </w:rPr>
          <w:fldChar w:fldCharType="begin"/>
        </w:r>
        <w:r>
          <w:rPr>
            <w:noProof/>
            <w:webHidden/>
          </w:rPr>
          <w:instrText xml:space="preserve"> PAGEREF _Toc159251037 \h </w:instrText>
        </w:r>
        <w:r>
          <w:rPr>
            <w:noProof/>
            <w:webHidden/>
          </w:rPr>
        </w:r>
        <w:r>
          <w:rPr>
            <w:noProof/>
            <w:webHidden/>
          </w:rPr>
          <w:fldChar w:fldCharType="separate"/>
        </w:r>
        <w:r>
          <w:rPr>
            <w:noProof/>
            <w:webHidden/>
          </w:rPr>
          <w:t>134</w:t>
        </w:r>
        <w:r>
          <w:rPr>
            <w:noProof/>
            <w:webHidden/>
          </w:rPr>
          <w:fldChar w:fldCharType="end"/>
        </w:r>
      </w:hyperlink>
    </w:p>
    <w:p w14:paraId="0A058272" w14:textId="3C3751CF" w:rsidR="005A18DC" w:rsidRDefault="005A18DC">
      <w:pPr>
        <w:pStyle w:val="TOC3"/>
        <w:tabs>
          <w:tab w:val="left" w:pos="1200"/>
          <w:tab w:val="right" w:leader="dot" w:pos="10457"/>
        </w:tabs>
        <w:rPr>
          <w:rFonts w:eastAsiaTheme="minorEastAsia" w:cstheme="minorBidi"/>
          <w:i w:val="0"/>
          <w:iCs w:val="0"/>
          <w:noProof/>
          <w:kern w:val="2"/>
          <w:sz w:val="22"/>
          <w:szCs w:val="22"/>
          <w:lang w:eastAsia="en-GB"/>
          <w14:ligatures w14:val="standardContextual"/>
        </w:rPr>
      </w:pPr>
      <w:hyperlink w:anchor="_Toc159251038" w:history="1">
        <w:r w:rsidRPr="001B2BCE">
          <w:rPr>
            <w:rStyle w:val="Hyperlink"/>
            <w:noProof/>
          </w:rPr>
          <w:t>8.14.1</w:t>
        </w:r>
        <w:r>
          <w:rPr>
            <w:rFonts w:eastAsiaTheme="minorEastAsia" w:cstheme="minorBidi"/>
            <w:i w:val="0"/>
            <w:iCs w:val="0"/>
            <w:noProof/>
            <w:kern w:val="2"/>
            <w:sz w:val="22"/>
            <w:szCs w:val="22"/>
            <w:lang w:eastAsia="en-GB"/>
            <w14:ligatures w14:val="standardContextual"/>
          </w:rPr>
          <w:tab/>
        </w:r>
        <w:r w:rsidRPr="001B2BCE">
          <w:rPr>
            <w:rStyle w:val="Hyperlink"/>
            <w:noProof/>
          </w:rPr>
          <w:t>General aspects of AI/ML framework</w:t>
        </w:r>
        <w:r>
          <w:rPr>
            <w:noProof/>
            <w:webHidden/>
          </w:rPr>
          <w:tab/>
        </w:r>
        <w:r>
          <w:rPr>
            <w:noProof/>
            <w:webHidden/>
          </w:rPr>
          <w:fldChar w:fldCharType="begin"/>
        </w:r>
        <w:r>
          <w:rPr>
            <w:noProof/>
            <w:webHidden/>
          </w:rPr>
          <w:instrText xml:space="preserve"> PAGEREF _Toc159251038 \h </w:instrText>
        </w:r>
        <w:r>
          <w:rPr>
            <w:noProof/>
            <w:webHidden/>
          </w:rPr>
        </w:r>
        <w:r>
          <w:rPr>
            <w:noProof/>
            <w:webHidden/>
          </w:rPr>
          <w:fldChar w:fldCharType="separate"/>
        </w:r>
        <w:r>
          <w:rPr>
            <w:noProof/>
            <w:webHidden/>
          </w:rPr>
          <w:t>134</w:t>
        </w:r>
        <w:r>
          <w:rPr>
            <w:noProof/>
            <w:webHidden/>
          </w:rPr>
          <w:fldChar w:fldCharType="end"/>
        </w:r>
      </w:hyperlink>
    </w:p>
    <w:p w14:paraId="106A0BA9" w14:textId="09DD4A4B" w:rsidR="005A18DC" w:rsidRDefault="005A18DC">
      <w:pPr>
        <w:pStyle w:val="TOC3"/>
        <w:tabs>
          <w:tab w:val="left" w:pos="1200"/>
          <w:tab w:val="right" w:leader="dot" w:pos="10457"/>
        </w:tabs>
        <w:rPr>
          <w:rFonts w:eastAsiaTheme="minorEastAsia" w:cstheme="minorBidi"/>
          <w:i w:val="0"/>
          <w:iCs w:val="0"/>
          <w:noProof/>
          <w:kern w:val="2"/>
          <w:sz w:val="22"/>
          <w:szCs w:val="22"/>
          <w:lang w:eastAsia="en-GB"/>
          <w14:ligatures w14:val="standardContextual"/>
        </w:rPr>
      </w:pPr>
      <w:hyperlink w:anchor="_Toc159251039" w:history="1">
        <w:r w:rsidRPr="001B2BCE">
          <w:rPr>
            <w:rStyle w:val="Hyperlink"/>
            <w:noProof/>
          </w:rPr>
          <w:t>8.14.2</w:t>
        </w:r>
        <w:r>
          <w:rPr>
            <w:rFonts w:eastAsiaTheme="minorEastAsia" w:cstheme="minorBidi"/>
            <w:i w:val="0"/>
            <w:iCs w:val="0"/>
            <w:noProof/>
            <w:kern w:val="2"/>
            <w:sz w:val="22"/>
            <w:szCs w:val="22"/>
            <w:lang w:eastAsia="en-GB"/>
            <w14:ligatures w14:val="standardContextual"/>
          </w:rPr>
          <w:tab/>
        </w:r>
        <w:r w:rsidRPr="001B2BCE">
          <w:rPr>
            <w:rStyle w:val="Hyperlink"/>
            <w:noProof/>
          </w:rPr>
          <w:t>Other aspects on AI/ML for CSI feedback enhancement</w:t>
        </w:r>
        <w:r>
          <w:rPr>
            <w:noProof/>
            <w:webHidden/>
          </w:rPr>
          <w:tab/>
        </w:r>
        <w:r>
          <w:rPr>
            <w:noProof/>
            <w:webHidden/>
          </w:rPr>
          <w:fldChar w:fldCharType="begin"/>
        </w:r>
        <w:r>
          <w:rPr>
            <w:noProof/>
            <w:webHidden/>
          </w:rPr>
          <w:instrText xml:space="preserve"> PAGEREF _Toc159251039 \h </w:instrText>
        </w:r>
        <w:r>
          <w:rPr>
            <w:noProof/>
            <w:webHidden/>
          </w:rPr>
        </w:r>
        <w:r>
          <w:rPr>
            <w:noProof/>
            <w:webHidden/>
          </w:rPr>
          <w:fldChar w:fldCharType="separate"/>
        </w:r>
        <w:r>
          <w:rPr>
            <w:noProof/>
            <w:webHidden/>
          </w:rPr>
          <w:t>136</w:t>
        </w:r>
        <w:r>
          <w:rPr>
            <w:noProof/>
            <w:webHidden/>
          </w:rPr>
          <w:fldChar w:fldCharType="end"/>
        </w:r>
      </w:hyperlink>
    </w:p>
    <w:p w14:paraId="4F4E075E" w14:textId="6960BDE3" w:rsidR="005A18DC" w:rsidRDefault="005A18DC">
      <w:pPr>
        <w:pStyle w:val="TOC3"/>
        <w:tabs>
          <w:tab w:val="left" w:pos="1200"/>
          <w:tab w:val="right" w:leader="dot" w:pos="10457"/>
        </w:tabs>
        <w:rPr>
          <w:rFonts w:eastAsiaTheme="minorEastAsia" w:cstheme="minorBidi"/>
          <w:i w:val="0"/>
          <w:iCs w:val="0"/>
          <w:noProof/>
          <w:kern w:val="2"/>
          <w:sz w:val="22"/>
          <w:szCs w:val="22"/>
          <w:lang w:eastAsia="en-GB"/>
          <w14:ligatures w14:val="standardContextual"/>
        </w:rPr>
      </w:pPr>
      <w:hyperlink w:anchor="_Toc159251040" w:history="1">
        <w:r w:rsidRPr="001B2BCE">
          <w:rPr>
            <w:rStyle w:val="Hyperlink"/>
            <w:noProof/>
          </w:rPr>
          <w:t>8.14.3</w:t>
        </w:r>
        <w:r>
          <w:rPr>
            <w:rFonts w:eastAsiaTheme="minorEastAsia" w:cstheme="minorBidi"/>
            <w:i w:val="0"/>
            <w:iCs w:val="0"/>
            <w:noProof/>
            <w:kern w:val="2"/>
            <w:sz w:val="22"/>
            <w:szCs w:val="22"/>
            <w:lang w:eastAsia="en-GB"/>
            <w14:ligatures w14:val="standardContextual"/>
          </w:rPr>
          <w:tab/>
        </w:r>
        <w:r w:rsidRPr="001B2BCE">
          <w:rPr>
            <w:rStyle w:val="Hyperlink"/>
            <w:noProof/>
          </w:rPr>
          <w:t>Remaining aspects on AI/ML</w:t>
        </w:r>
        <w:r>
          <w:rPr>
            <w:noProof/>
            <w:webHidden/>
          </w:rPr>
          <w:tab/>
        </w:r>
        <w:r>
          <w:rPr>
            <w:noProof/>
            <w:webHidden/>
          </w:rPr>
          <w:fldChar w:fldCharType="begin"/>
        </w:r>
        <w:r>
          <w:rPr>
            <w:noProof/>
            <w:webHidden/>
          </w:rPr>
          <w:instrText xml:space="preserve"> PAGEREF _Toc159251040 \h </w:instrText>
        </w:r>
        <w:r>
          <w:rPr>
            <w:noProof/>
            <w:webHidden/>
          </w:rPr>
        </w:r>
        <w:r>
          <w:rPr>
            <w:noProof/>
            <w:webHidden/>
          </w:rPr>
          <w:fldChar w:fldCharType="separate"/>
        </w:r>
        <w:r>
          <w:rPr>
            <w:noProof/>
            <w:webHidden/>
          </w:rPr>
          <w:t>141</w:t>
        </w:r>
        <w:r>
          <w:rPr>
            <w:noProof/>
            <w:webHidden/>
          </w:rPr>
          <w:fldChar w:fldCharType="end"/>
        </w:r>
      </w:hyperlink>
    </w:p>
    <w:p w14:paraId="7F7D8B18" w14:textId="24DA9DE8" w:rsidR="005A18DC" w:rsidRDefault="005A18DC">
      <w:pPr>
        <w:pStyle w:val="TOC2"/>
        <w:tabs>
          <w:tab w:val="left" w:pos="800"/>
          <w:tab w:val="right" w:leader="dot" w:pos="10457"/>
        </w:tabs>
        <w:rPr>
          <w:rFonts w:eastAsiaTheme="minorEastAsia" w:cstheme="minorBidi"/>
          <w:smallCaps w:val="0"/>
          <w:noProof/>
          <w:kern w:val="2"/>
          <w:sz w:val="22"/>
          <w:szCs w:val="22"/>
          <w:lang w:eastAsia="en-GB"/>
          <w14:ligatures w14:val="standardContextual"/>
        </w:rPr>
      </w:pPr>
      <w:hyperlink w:anchor="_Toc159251041" w:history="1">
        <w:r w:rsidRPr="001B2BCE">
          <w:rPr>
            <w:rStyle w:val="Hyperlink"/>
            <w:noProof/>
          </w:rPr>
          <w:t>8.15</w:t>
        </w:r>
        <w:r>
          <w:rPr>
            <w:rFonts w:eastAsiaTheme="minorEastAsia" w:cstheme="minorBidi"/>
            <w:smallCaps w:val="0"/>
            <w:noProof/>
            <w:kern w:val="2"/>
            <w:sz w:val="22"/>
            <w:szCs w:val="22"/>
            <w:lang w:eastAsia="en-GB"/>
            <w14:ligatures w14:val="standardContextual"/>
          </w:rPr>
          <w:tab/>
        </w:r>
        <w:r w:rsidRPr="001B2BCE">
          <w:rPr>
            <w:rStyle w:val="Hyperlink"/>
            <w:noProof/>
            <w:lang w:eastAsia="zh-CN"/>
          </w:rPr>
          <w:t>Study on Self-Evaluation towards the IMT-2020 Submission of the 3GPP Satellite Radio Interface Technology</w:t>
        </w:r>
        <w:r>
          <w:rPr>
            <w:noProof/>
            <w:webHidden/>
          </w:rPr>
          <w:tab/>
        </w:r>
        <w:r>
          <w:rPr>
            <w:noProof/>
            <w:webHidden/>
          </w:rPr>
          <w:fldChar w:fldCharType="begin"/>
        </w:r>
        <w:r>
          <w:rPr>
            <w:noProof/>
            <w:webHidden/>
          </w:rPr>
          <w:instrText xml:space="preserve"> PAGEREF _Toc159251041 \h </w:instrText>
        </w:r>
        <w:r>
          <w:rPr>
            <w:noProof/>
            <w:webHidden/>
          </w:rPr>
        </w:r>
        <w:r>
          <w:rPr>
            <w:noProof/>
            <w:webHidden/>
          </w:rPr>
          <w:fldChar w:fldCharType="separate"/>
        </w:r>
        <w:r>
          <w:rPr>
            <w:noProof/>
            <w:webHidden/>
          </w:rPr>
          <w:t>153</w:t>
        </w:r>
        <w:r>
          <w:rPr>
            <w:noProof/>
            <w:webHidden/>
          </w:rPr>
          <w:fldChar w:fldCharType="end"/>
        </w:r>
      </w:hyperlink>
    </w:p>
    <w:p w14:paraId="0E4E11C8" w14:textId="4C863424" w:rsidR="005A18DC" w:rsidRDefault="005A18DC">
      <w:pPr>
        <w:pStyle w:val="TOC3"/>
        <w:tabs>
          <w:tab w:val="left" w:pos="1200"/>
          <w:tab w:val="right" w:leader="dot" w:pos="10457"/>
        </w:tabs>
        <w:rPr>
          <w:rFonts w:eastAsiaTheme="minorEastAsia" w:cstheme="minorBidi"/>
          <w:i w:val="0"/>
          <w:iCs w:val="0"/>
          <w:noProof/>
          <w:kern w:val="2"/>
          <w:sz w:val="22"/>
          <w:szCs w:val="22"/>
          <w:lang w:eastAsia="en-GB"/>
          <w14:ligatures w14:val="standardContextual"/>
        </w:rPr>
      </w:pPr>
      <w:hyperlink w:anchor="_Toc159251042" w:history="1">
        <w:r w:rsidRPr="001B2BCE">
          <w:rPr>
            <w:rStyle w:val="Hyperlink"/>
            <w:noProof/>
          </w:rPr>
          <w:t>8.15.1</w:t>
        </w:r>
        <w:r>
          <w:rPr>
            <w:rFonts w:eastAsiaTheme="minorEastAsia" w:cstheme="minorBidi"/>
            <w:i w:val="0"/>
            <w:iCs w:val="0"/>
            <w:noProof/>
            <w:kern w:val="2"/>
            <w:sz w:val="22"/>
            <w:szCs w:val="22"/>
            <w:lang w:eastAsia="en-GB"/>
            <w14:ligatures w14:val="standardContextual"/>
          </w:rPr>
          <w:tab/>
        </w:r>
        <w:r w:rsidRPr="001B2BCE">
          <w:rPr>
            <w:rStyle w:val="Hyperlink"/>
            <w:noProof/>
          </w:rPr>
          <w:t>Evaluation methodology</w:t>
        </w:r>
        <w:r>
          <w:rPr>
            <w:noProof/>
            <w:webHidden/>
          </w:rPr>
          <w:tab/>
        </w:r>
        <w:r>
          <w:rPr>
            <w:noProof/>
            <w:webHidden/>
          </w:rPr>
          <w:fldChar w:fldCharType="begin"/>
        </w:r>
        <w:r>
          <w:rPr>
            <w:noProof/>
            <w:webHidden/>
          </w:rPr>
          <w:instrText xml:space="preserve"> PAGEREF _Toc159251042 \h </w:instrText>
        </w:r>
        <w:r>
          <w:rPr>
            <w:noProof/>
            <w:webHidden/>
          </w:rPr>
        </w:r>
        <w:r>
          <w:rPr>
            <w:noProof/>
            <w:webHidden/>
          </w:rPr>
          <w:fldChar w:fldCharType="separate"/>
        </w:r>
        <w:r>
          <w:rPr>
            <w:noProof/>
            <w:webHidden/>
          </w:rPr>
          <w:t>154</w:t>
        </w:r>
        <w:r>
          <w:rPr>
            <w:noProof/>
            <w:webHidden/>
          </w:rPr>
          <w:fldChar w:fldCharType="end"/>
        </w:r>
      </w:hyperlink>
    </w:p>
    <w:p w14:paraId="640CD516" w14:textId="0DCD99C3" w:rsidR="005A18DC" w:rsidRDefault="005A18DC">
      <w:pPr>
        <w:pStyle w:val="TOC3"/>
        <w:tabs>
          <w:tab w:val="left" w:pos="1200"/>
          <w:tab w:val="right" w:leader="dot" w:pos="10457"/>
        </w:tabs>
        <w:rPr>
          <w:rFonts w:eastAsiaTheme="minorEastAsia" w:cstheme="minorBidi"/>
          <w:i w:val="0"/>
          <w:iCs w:val="0"/>
          <w:noProof/>
          <w:kern w:val="2"/>
          <w:sz w:val="22"/>
          <w:szCs w:val="22"/>
          <w:lang w:eastAsia="en-GB"/>
          <w14:ligatures w14:val="standardContextual"/>
        </w:rPr>
      </w:pPr>
      <w:hyperlink w:anchor="_Toc159251043" w:history="1">
        <w:r w:rsidRPr="001B2BCE">
          <w:rPr>
            <w:rStyle w:val="Hyperlink"/>
            <w:noProof/>
          </w:rPr>
          <w:t>8.15.2</w:t>
        </w:r>
        <w:r>
          <w:rPr>
            <w:rFonts w:eastAsiaTheme="minorEastAsia" w:cstheme="minorBidi"/>
            <w:i w:val="0"/>
            <w:iCs w:val="0"/>
            <w:noProof/>
            <w:kern w:val="2"/>
            <w:sz w:val="22"/>
            <w:szCs w:val="22"/>
            <w:lang w:eastAsia="en-GB"/>
            <w14:ligatures w14:val="standardContextual"/>
          </w:rPr>
          <w:tab/>
        </w:r>
        <w:r w:rsidRPr="001B2BCE">
          <w:rPr>
            <w:rStyle w:val="Hyperlink"/>
            <w:noProof/>
          </w:rPr>
          <w:t>Self-evaluation results for NR NTN</w:t>
        </w:r>
        <w:r>
          <w:rPr>
            <w:noProof/>
            <w:webHidden/>
          </w:rPr>
          <w:tab/>
        </w:r>
        <w:r>
          <w:rPr>
            <w:noProof/>
            <w:webHidden/>
          </w:rPr>
          <w:fldChar w:fldCharType="begin"/>
        </w:r>
        <w:r>
          <w:rPr>
            <w:noProof/>
            <w:webHidden/>
          </w:rPr>
          <w:instrText xml:space="preserve"> PAGEREF _Toc159251043 \h </w:instrText>
        </w:r>
        <w:r>
          <w:rPr>
            <w:noProof/>
            <w:webHidden/>
          </w:rPr>
        </w:r>
        <w:r>
          <w:rPr>
            <w:noProof/>
            <w:webHidden/>
          </w:rPr>
          <w:fldChar w:fldCharType="separate"/>
        </w:r>
        <w:r>
          <w:rPr>
            <w:noProof/>
            <w:webHidden/>
          </w:rPr>
          <w:t>154</w:t>
        </w:r>
        <w:r>
          <w:rPr>
            <w:noProof/>
            <w:webHidden/>
          </w:rPr>
          <w:fldChar w:fldCharType="end"/>
        </w:r>
      </w:hyperlink>
    </w:p>
    <w:p w14:paraId="5B578601" w14:textId="4344719C" w:rsidR="005A18DC" w:rsidRDefault="005A18DC">
      <w:pPr>
        <w:pStyle w:val="TOC3"/>
        <w:tabs>
          <w:tab w:val="left" w:pos="1200"/>
          <w:tab w:val="right" w:leader="dot" w:pos="10457"/>
        </w:tabs>
        <w:rPr>
          <w:rFonts w:eastAsiaTheme="minorEastAsia" w:cstheme="minorBidi"/>
          <w:i w:val="0"/>
          <w:iCs w:val="0"/>
          <w:noProof/>
          <w:kern w:val="2"/>
          <w:sz w:val="22"/>
          <w:szCs w:val="22"/>
          <w:lang w:eastAsia="en-GB"/>
          <w14:ligatures w14:val="standardContextual"/>
        </w:rPr>
      </w:pPr>
      <w:hyperlink w:anchor="_Toc159251044" w:history="1">
        <w:r w:rsidRPr="001B2BCE">
          <w:rPr>
            <w:rStyle w:val="Hyperlink"/>
            <w:noProof/>
          </w:rPr>
          <w:t>8.15.3</w:t>
        </w:r>
        <w:r>
          <w:rPr>
            <w:rFonts w:eastAsiaTheme="minorEastAsia" w:cstheme="minorBidi"/>
            <w:i w:val="0"/>
            <w:iCs w:val="0"/>
            <w:noProof/>
            <w:kern w:val="2"/>
            <w:sz w:val="22"/>
            <w:szCs w:val="22"/>
            <w:lang w:eastAsia="en-GB"/>
            <w14:ligatures w14:val="standardContextual"/>
          </w:rPr>
          <w:tab/>
        </w:r>
        <w:r w:rsidRPr="001B2BCE">
          <w:rPr>
            <w:rStyle w:val="Hyperlink"/>
            <w:noProof/>
          </w:rPr>
          <w:t>Self-evaluation results for IoT NTN</w:t>
        </w:r>
        <w:r>
          <w:rPr>
            <w:noProof/>
            <w:webHidden/>
          </w:rPr>
          <w:tab/>
        </w:r>
        <w:r>
          <w:rPr>
            <w:noProof/>
            <w:webHidden/>
          </w:rPr>
          <w:fldChar w:fldCharType="begin"/>
        </w:r>
        <w:r>
          <w:rPr>
            <w:noProof/>
            <w:webHidden/>
          </w:rPr>
          <w:instrText xml:space="preserve"> PAGEREF _Toc159251044 \h </w:instrText>
        </w:r>
        <w:r>
          <w:rPr>
            <w:noProof/>
            <w:webHidden/>
          </w:rPr>
        </w:r>
        <w:r>
          <w:rPr>
            <w:noProof/>
            <w:webHidden/>
          </w:rPr>
          <w:fldChar w:fldCharType="separate"/>
        </w:r>
        <w:r>
          <w:rPr>
            <w:noProof/>
            <w:webHidden/>
          </w:rPr>
          <w:t>155</w:t>
        </w:r>
        <w:r>
          <w:rPr>
            <w:noProof/>
            <w:webHidden/>
          </w:rPr>
          <w:fldChar w:fldCharType="end"/>
        </w:r>
      </w:hyperlink>
    </w:p>
    <w:p w14:paraId="47BCCC79" w14:textId="70EFB42B" w:rsidR="005A18DC" w:rsidRDefault="005A18DC">
      <w:pPr>
        <w:pStyle w:val="TOC2"/>
        <w:tabs>
          <w:tab w:val="left" w:pos="800"/>
          <w:tab w:val="right" w:leader="dot" w:pos="10457"/>
        </w:tabs>
        <w:rPr>
          <w:rFonts w:eastAsiaTheme="minorEastAsia" w:cstheme="minorBidi"/>
          <w:smallCaps w:val="0"/>
          <w:noProof/>
          <w:kern w:val="2"/>
          <w:sz w:val="22"/>
          <w:szCs w:val="22"/>
          <w:lang w:eastAsia="en-GB"/>
          <w14:ligatures w14:val="standardContextual"/>
        </w:rPr>
      </w:pPr>
      <w:hyperlink w:anchor="_Toc159251045" w:history="1">
        <w:r w:rsidRPr="001B2BCE">
          <w:rPr>
            <w:rStyle w:val="Hyperlink"/>
            <w:noProof/>
          </w:rPr>
          <w:t>8.16</w:t>
        </w:r>
        <w:r>
          <w:rPr>
            <w:rFonts w:eastAsiaTheme="minorEastAsia" w:cstheme="minorBidi"/>
            <w:smallCaps w:val="0"/>
            <w:noProof/>
            <w:kern w:val="2"/>
            <w:sz w:val="22"/>
            <w:szCs w:val="22"/>
            <w:lang w:eastAsia="en-GB"/>
            <w14:ligatures w14:val="standardContextual"/>
          </w:rPr>
          <w:tab/>
        </w:r>
        <w:r w:rsidRPr="001B2BCE">
          <w:rPr>
            <w:rStyle w:val="Hyperlink"/>
            <w:noProof/>
          </w:rPr>
          <w:t>UE Features</w:t>
        </w:r>
        <w:r>
          <w:rPr>
            <w:noProof/>
            <w:webHidden/>
          </w:rPr>
          <w:tab/>
        </w:r>
        <w:r>
          <w:rPr>
            <w:noProof/>
            <w:webHidden/>
          </w:rPr>
          <w:fldChar w:fldCharType="begin"/>
        </w:r>
        <w:r>
          <w:rPr>
            <w:noProof/>
            <w:webHidden/>
          </w:rPr>
          <w:instrText xml:space="preserve"> PAGEREF _Toc159251045 \h </w:instrText>
        </w:r>
        <w:r>
          <w:rPr>
            <w:noProof/>
            <w:webHidden/>
          </w:rPr>
        </w:r>
        <w:r>
          <w:rPr>
            <w:noProof/>
            <w:webHidden/>
          </w:rPr>
          <w:fldChar w:fldCharType="separate"/>
        </w:r>
        <w:r>
          <w:rPr>
            <w:noProof/>
            <w:webHidden/>
          </w:rPr>
          <w:t>156</w:t>
        </w:r>
        <w:r>
          <w:rPr>
            <w:noProof/>
            <w:webHidden/>
          </w:rPr>
          <w:fldChar w:fldCharType="end"/>
        </w:r>
      </w:hyperlink>
    </w:p>
    <w:p w14:paraId="30FD1E51" w14:textId="16AA71C4" w:rsidR="005A18DC" w:rsidRDefault="005A18DC">
      <w:pPr>
        <w:pStyle w:val="TOC3"/>
        <w:tabs>
          <w:tab w:val="left" w:pos="1200"/>
          <w:tab w:val="right" w:leader="dot" w:pos="10457"/>
        </w:tabs>
        <w:rPr>
          <w:rFonts w:eastAsiaTheme="minorEastAsia" w:cstheme="minorBidi"/>
          <w:i w:val="0"/>
          <w:iCs w:val="0"/>
          <w:noProof/>
          <w:kern w:val="2"/>
          <w:sz w:val="22"/>
          <w:szCs w:val="22"/>
          <w:lang w:eastAsia="en-GB"/>
          <w14:ligatures w14:val="standardContextual"/>
        </w:rPr>
      </w:pPr>
      <w:hyperlink w:anchor="_Toc159251046" w:history="1">
        <w:r w:rsidRPr="001B2BCE">
          <w:rPr>
            <w:rStyle w:val="Hyperlink"/>
            <w:noProof/>
          </w:rPr>
          <w:t>8.16.1</w:t>
        </w:r>
        <w:r>
          <w:rPr>
            <w:rFonts w:eastAsiaTheme="minorEastAsia" w:cstheme="minorBidi"/>
            <w:i w:val="0"/>
            <w:iCs w:val="0"/>
            <w:noProof/>
            <w:kern w:val="2"/>
            <w:sz w:val="22"/>
            <w:szCs w:val="22"/>
            <w:lang w:eastAsia="en-GB"/>
            <w14:ligatures w14:val="standardContextual"/>
          </w:rPr>
          <w:tab/>
        </w:r>
        <w:r w:rsidRPr="001B2BCE">
          <w:rPr>
            <w:rStyle w:val="Hyperlink"/>
            <w:noProof/>
          </w:rPr>
          <w:t>UE features for NR MIMO evolution</w:t>
        </w:r>
        <w:r>
          <w:rPr>
            <w:noProof/>
            <w:webHidden/>
          </w:rPr>
          <w:tab/>
        </w:r>
        <w:r>
          <w:rPr>
            <w:noProof/>
            <w:webHidden/>
          </w:rPr>
          <w:fldChar w:fldCharType="begin"/>
        </w:r>
        <w:r>
          <w:rPr>
            <w:noProof/>
            <w:webHidden/>
          </w:rPr>
          <w:instrText xml:space="preserve"> PAGEREF _Toc159251046 \h </w:instrText>
        </w:r>
        <w:r>
          <w:rPr>
            <w:noProof/>
            <w:webHidden/>
          </w:rPr>
        </w:r>
        <w:r>
          <w:rPr>
            <w:noProof/>
            <w:webHidden/>
          </w:rPr>
          <w:fldChar w:fldCharType="separate"/>
        </w:r>
        <w:r>
          <w:rPr>
            <w:noProof/>
            <w:webHidden/>
          </w:rPr>
          <w:t>156</w:t>
        </w:r>
        <w:r>
          <w:rPr>
            <w:noProof/>
            <w:webHidden/>
          </w:rPr>
          <w:fldChar w:fldCharType="end"/>
        </w:r>
      </w:hyperlink>
    </w:p>
    <w:p w14:paraId="7980D387" w14:textId="26012392" w:rsidR="005A18DC" w:rsidRDefault="005A18DC">
      <w:pPr>
        <w:pStyle w:val="TOC3"/>
        <w:tabs>
          <w:tab w:val="left" w:pos="1200"/>
          <w:tab w:val="right" w:leader="dot" w:pos="10457"/>
        </w:tabs>
        <w:rPr>
          <w:rFonts w:eastAsiaTheme="minorEastAsia" w:cstheme="minorBidi"/>
          <w:i w:val="0"/>
          <w:iCs w:val="0"/>
          <w:noProof/>
          <w:kern w:val="2"/>
          <w:sz w:val="22"/>
          <w:szCs w:val="22"/>
          <w:lang w:eastAsia="en-GB"/>
          <w14:ligatures w14:val="standardContextual"/>
        </w:rPr>
      </w:pPr>
      <w:hyperlink w:anchor="_Toc159251047" w:history="1">
        <w:r w:rsidRPr="001B2BCE">
          <w:rPr>
            <w:rStyle w:val="Hyperlink"/>
            <w:noProof/>
          </w:rPr>
          <w:t>8.16.2</w:t>
        </w:r>
        <w:r>
          <w:rPr>
            <w:rFonts w:eastAsiaTheme="minorEastAsia" w:cstheme="minorBidi"/>
            <w:i w:val="0"/>
            <w:iCs w:val="0"/>
            <w:noProof/>
            <w:kern w:val="2"/>
            <w:sz w:val="22"/>
            <w:szCs w:val="22"/>
            <w:lang w:eastAsia="en-GB"/>
            <w14:ligatures w14:val="standardContextual"/>
          </w:rPr>
          <w:tab/>
        </w:r>
        <w:r w:rsidRPr="001B2BCE">
          <w:rPr>
            <w:rStyle w:val="Hyperlink"/>
            <w:noProof/>
          </w:rPr>
          <w:t>UE features for NR sidelink evolution</w:t>
        </w:r>
        <w:r>
          <w:rPr>
            <w:noProof/>
            <w:webHidden/>
          </w:rPr>
          <w:tab/>
        </w:r>
        <w:r>
          <w:rPr>
            <w:noProof/>
            <w:webHidden/>
          </w:rPr>
          <w:fldChar w:fldCharType="begin"/>
        </w:r>
        <w:r>
          <w:rPr>
            <w:noProof/>
            <w:webHidden/>
          </w:rPr>
          <w:instrText xml:space="preserve"> PAGEREF _Toc159251047 \h </w:instrText>
        </w:r>
        <w:r>
          <w:rPr>
            <w:noProof/>
            <w:webHidden/>
          </w:rPr>
        </w:r>
        <w:r>
          <w:rPr>
            <w:noProof/>
            <w:webHidden/>
          </w:rPr>
          <w:fldChar w:fldCharType="separate"/>
        </w:r>
        <w:r>
          <w:rPr>
            <w:noProof/>
            <w:webHidden/>
          </w:rPr>
          <w:t>157</w:t>
        </w:r>
        <w:r>
          <w:rPr>
            <w:noProof/>
            <w:webHidden/>
          </w:rPr>
          <w:fldChar w:fldCharType="end"/>
        </w:r>
      </w:hyperlink>
    </w:p>
    <w:p w14:paraId="5E3FD488" w14:textId="5EF51BC8" w:rsidR="005A18DC" w:rsidRDefault="005A18DC">
      <w:pPr>
        <w:pStyle w:val="TOC3"/>
        <w:tabs>
          <w:tab w:val="left" w:pos="1200"/>
          <w:tab w:val="right" w:leader="dot" w:pos="10457"/>
        </w:tabs>
        <w:rPr>
          <w:rFonts w:eastAsiaTheme="minorEastAsia" w:cstheme="minorBidi"/>
          <w:i w:val="0"/>
          <w:iCs w:val="0"/>
          <w:noProof/>
          <w:kern w:val="2"/>
          <w:sz w:val="22"/>
          <w:szCs w:val="22"/>
          <w:lang w:eastAsia="en-GB"/>
          <w14:ligatures w14:val="standardContextual"/>
        </w:rPr>
      </w:pPr>
      <w:hyperlink w:anchor="_Toc159251048" w:history="1">
        <w:r w:rsidRPr="001B2BCE">
          <w:rPr>
            <w:rStyle w:val="Hyperlink"/>
            <w:noProof/>
          </w:rPr>
          <w:t>8.16.3</w:t>
        </w:r>
        <w:r>
          <w:rPr>
            <w:rFonts w:eastAsiaTheme="minorEastAsia" w:cstheme="minorBidi"/>
            <w:i w:val="0"/>
            <w:iCs w:val="0"/>
            <w:noProof/>
            <w:kern w:val="2"/>
            <w:sz w:val="22"/>
            <w:szCs w:val="22"/>
            <w:lang w:eastAsia="en-GB"/>
            <w14:ligatures w14:val="standardContextual"/>
          </w:rPr>
          <w:tab/>
        </w:r>
        <w:r w:rsidRPr="001B2BCE">
          <w:rPr>
            <w:rStyle w:val="Hyperlink"/>
            <w:noProof/>
          </w:rPr>
          <w:t>UE features for expanded and improved NR positioning</w:t>
        </w:r>
        <w:r>
          <w:rPr>
            <w:noProof/>
            <w:webHidden/>
          </w:rPr>
          <w:tab/>
        </w:r>
        <w:r>
          <w:rPr>
            <w:noProof/>
            <w:webHidden/>
          </w:rPr>
          <w:fldChar w:fldCharType="begin"/>
        </w:r>
        <w:r>
          <w:rPr>
            <w:noProof/>
            <w:webHidden/>
          </w:rPr>
          <w:instrText xml:space="preserve"> PAGEREF _Toc159251048 \h </w:instrText>
        </w:r>
        <w:r>
          <w:rPr>
            <w:noProof/>
            <w:webHidden/>
          </w:rPr>
        </w:r>
        <w:r>
          <w:rPr>
            <w:noProof/>
            <w:webHidden/>
          </w:rPr>
          <w:fldChar w:fldCharType="separate"/>
        </w:r>
        <w:r>
          <w:rPr>
            <w:noProof/>
            <w:webHidden/>
          </w:rPr>
          <w:t>157</w:t>
        </w:r>
        <w:r>
          <w:rPr>
            <w:noProof/>
            <w:webHidden/>
          </w:rPr>
          <w:fldChar w:fldCharType="end"/>
        </w:r>
      </w:hyperlink>
    </w:p>
    <w:p w14:paraId="51C95439" w14:textId="544210E1" w:rsidR="005A18DC" w:rsidRDefault="005A18DC">
      <w:pPr>
        <w:pStyle w:val="TOC3"/>
        <w:tabs>
          <w:tab w:val="left" w:pos="1200"/>
          <w:tab w:val="right" w:leader="dot" w:pos="10457"/>
        </w:tabs>
        <w:rPr>
          <w:rFonts w:eastAsiaTheme="minorEastAsia" w:cstheme="minorBidi"/>
          <w:i w:val="0"/>
          <w:iCs w:val="0"/>
          <w:noProof/>
          <w:kern w:val="2"/>
          <w:sz w:val="22"/>
          <w:szCs w:val="22"/>
          <w:lang w:eastAsia="en-GB"/>
          <w14:ligatures w14:val="standardContextual"/>
        </w:rPr>
      </w:pPr>
      <w:hyperlink w:anchor="_Toc159251049" w:history="1">
        <w:r w:rsidRPr="001B2BCE">
          <w:rPr>
            <w:rStyle w:val="Hyperlink"/>
            <w:noProof/>
          </w:rPr>
          <w:t>8.16.4</w:t>
        </w:r>
        <w:r>
          <w:rPr>
            <w:rFonts w:eastAsiaTheme="minorEastAsia" w:cstheme="minorBidi"/>
            <w:i w:val="0"/>
            <w:iCs w:val="0"/>
            <w:noProof/>
            <w:kern w:val="2"/>
            <w:sz w:val="22"/>
            <w:szCs w:val="22"/>
            <w:lang w:eastAsia="en-GB"/>
            <w14:ligatures w14:val="standardContextual"/>
          </w:rPr>
          <w:tab/>
        </w:r>
        <w:r w:rsidRPr="001B2BCE">
          <w:rPr>
            <w:rStyle w:val="Hyperlink"/>
            <w:noProof/>
          </w:rPr>
          <w:t>UE features for eRedCap</w:t>
        </w:r>
        <w:r>
          <w:rPr>
            <w:noProof/>
            <w:webHidden/>
          </w:rPr>
          <w:tab/>
        </w:r>
        <w:r>
          <w:rPr>
            <w:noProof/>
            <w:webHidden/>
          </w:rPr>
          <w:fldChar w:fldCharType="begin"/>
        </w:r>
        <w:r>
          <w:rPr>
            <w:noProof/>
            <w:webHidden/>
          </w:rPr>
          <w:instrText xml:space="preserve"> PAGEREF _Toc159251049 \h </w:instrText>
        </w:r>
        <w:r>
          <w:rPr>
            <w:noProof/>
            <w:webHidden/>
          </w:rPr>
        </w:r>
        <w:r>
          <w:rPr>
            <w:noProof/>
            <w:webHidden/>
          </w:rPr>
          <w:fldChar w:fldCharType="separate"/>
        </w:r>
        <w:r>
          <w:rPr>
            <w:noProof/>
            <w:webHidden/>
          </w:rPr>
          <w:t>158</w:t>
        </w:r>
        <w:r>
          <w:rPr>
            <w:noProof/>
            <w:webHidden/>
          </w:rPr>
          <w:fldChar w:fldCharType="end"/>
        </w:r>
      </w:hyperlink>
    </w:p>
    <w:p w14:paraId="33B10159" w14:textId="405752A9" w:rsidR="005A18DC" w:rsidRDefault="005A18DC">
      <w:pPr>
        <w:pStyle w:val="TOC3"/>
        <w:tabs>
          <w:tab w:val="left" w:pos="1200"/>
          <w:tab w:val="right" w:leader="dot" w:pos="10457"/>
        </w:tabs>
        <w:rPr>
          <w:rFonts w:eastAsiaTheme="minorEastAsia" w:cstheme="minorBidi"/>
          <w:i w:val="0"/>
          <w:iCs w:val="0"/>
          <w:noProof/>
          <w:kern w:val="2"/>
          <w:sz w:val="22"/>
          <w:szCs w:val="22"/>
          <w:lang w:eastAsia="en-GB"/>
          <w14:ligatures w14:val="standardContextual"/>
        </w:rPr>
      </w:pPr>
      <w:hyperlink w:anchor="_Toc159251050" w:history="1">
        <w:r w:rsidRPr="001B2BCE">
          <w:rPr>
            <w:rStyle w:val="Hyperlink"/>
            <w:noProof/>
          </w:rPr>
          <w:t>8.16.5</w:t>
        </w:r>
        <w:r>
          <w:rPr>
            <w:rFonts w:eastAsiaTheme="minorEastAsia" w:cstheme="minorBidi"/>
            <w:i w:val="0"/>
            <w:iCs w:val="0"/>
            <w:noProof/>
            <w:kern w:val="2"/>
            <w:sz w:val="22"/>
            <w:szCs w:val="22"/>
            <w:lang w:eastAsia="en-GB"/>
            <w14:ligatures w14:val="standardContextual"/>
          </w:rPr>
          <w:tab/>
        </w:r>
        <w:r w:rsidRPr="001B2BCE">
          <w:rPr>
            <w:rStyle w:val="Hyperlink"/>
            <w:noProof/>
          </w:rPr>
          <w:t>UE features for NR network energy savings</w:t>
        </w:r>
        <w:r>
          <w:rPr>
            <w:noProof/>
            <w:webHidden/>
          </w:rPr>
          <w:tab/>
        </w:r>
        <w:r>
          <w:rPr>
            <w:noProof/>
            <w:webHidden/>
          </w:rPr>
          <w:fldChar w:fldCharType="begin"/>
        </w:r>
        <w:r>
          <w:rPr>
            <w:noProof/>
            <w:webHidden/>
          </w:rPr>
          <w:instrText xml:space="preserve"> PAGEREF _Toc159251050 \h </w:instrText>
        </w:r>
        <w:r>
          <w:rPr>
            <w:noProof/>
            <w:webHidden/>
          </w:rPr>
        </w:r>
        <w:r>
          <w:rPr>
            <w:noProof/>
            <w:webHidden/>
          </w:rPr>
          <w:fldChar w:fldCharType="separate"/>
        </w:r>
        <w:r>
          <w:rPr>
            <w:noProof/>
            <w:webHidden/>
          </w:rPr>
          <w:t>158</w:t>
        </w:r>
        <w:r>
          <w:rPr>
            <w:noProof/>
            <w:webHidden/>
          </w:rPr>
          <w:fldChar w:fldCharType="end"/>
        </w:r>
      </w:hyperlink>
    </w:p>
    <w:p w14:paraId="288D89BA" w14:textId="12CE8633" w:rsidR="005A18DC" w:rsidRDefault="005A18DC">
      <w:pPr>
        <w:pStyle w:val="TOC3"/>
        <w:tabs>
          <w:tab w:val="left" w:pos="1200"/>
          <w:tab w:val="right" w:leader="dot" w:pos="10457"/>
        </w:tabs>
        <w:rPr>
          <w:rFonts w:eastAsiaTheme="minorEastAsia" w:cstheme="minorBidi"/>
          <w:i w:val="0"/>
          <w:iCs w:val="0"/>
          <w:noProof/>
          <w:kern w:val="2"/>
          <w:sz w:val="22"/>
          <w:szCs w:val="22"/>
          <w:lang w:eastAsia="en-GB"/>
          <w14:ligatures w14:val="standardContextual"/>
        </w:rPr>
      </w:pPr>
      <w:hyperlink w:anchor="_Toc159251051" w:history="1">
        <w:r w:rsidRPr="001B2BCE">
          <w:rPr>
            <w:rStyle w:val="Hyperlink"/>
            <w:noProof/>
          </w:rPr>
          <w:t>8.16.6</w:t>
        </w:r>
        <w:r>
          <w:rPr>
            <w:rFonts w:eastAsiaTheme="minorEastAsia" w:cstheme="minorBidi"/>
            <w:i w:val="0"/>
            <w:iCs w:val="0"/>
            <w:noProof/>
            <w:kern w:val="2"/>
            <w:sz w:val="22"/>
            <w:szCs w:val="22"/>
            <w:lang w:eastAsia="en-GB"/>
            <w14:ligatures w14:val="standardContextual"/>
          </w:rPr>
          <w:tab/>
        </w:r>
        <w:r w:rsidRPr="001B2BCE">
          <w:rPr>
            <w:rStyle w:val="Hyperlink"/>
            <w:noProof/>
          </w:rPr>
          <w:t>UE features for XR enhancements</w:t>
        </w:r>
        <w:r>
          <w:rPr>
            <w:noProof/>
            <w:webHidden/>
          </w:rPr>
          <w:tab/>
        </w:r>
        <w:r>
          <w:rPr>
            <w:noProof/>
            <w:webHidden/>
          </w:rPr>
          <w:fldChar w:fldCharType="begin"/>
        </w:r>
        <w:r>
          <w:rPr>
            <w:noProof/>
            <w:webHidden/>
          </w:rPr>
          <w:instrText xml:space="preserve"> PAGEREF _Toc159251051 \h </w:instrText>
        </w:r>
        <w:r>
          <w:rPr>
            <w:noProof/>
            <w:webHidden/>
          </w:rPr>
        </w:r>
        <w:r>
          <w:rPr>
            <w:noProof/>
            <w:webHidden/>
          </w:rPr>
          <w:fldChar w:fldCharType="separate"/>
        </w:r>
        <w:r>
          <w:rPr>
            <w:noProof/>
            <w:webHidden/>
          </w:rPr>
          <w:t>158</w:t>
        </w:r>
        <w:r>
          <w:rPr>
            <w:noProof/>
            <w:webHidden/>
          </w:rPr>
          <w:fldChar w:fldCharType="end"/>
        </w:r>
      </w:hyperlink>
    </w:p>
    <w:p w14:paraId="58E9689B" w14:textId="1160EF28" w:rsidR="005A18DC" w:rsidRDefault="005A18DC">
      <w:pPr>
        <w:pStyle w:val="TOC3"/>
        <w:tabs>
          <w:tab w:val="left" w:pos="1200"/>
          <w:tab w:val="right" w:leader="dot" w:pos="10457"/>
        </w:tabs>
        <w:rPr>
          <w:rFonts w:eastAsiaTheme="minorEastAsia" w:cstheme="minorBidi"/>
          <w:i w:val="0"/>
          <w:iCs w:val="0"/>
          <w:noProof/>
          <w:kern w:val="2"/>
          <w:sz w:val="22"/>
          <w:szCs w:val="22"/>
          <w:lang w:eastAsia="en-GB"/>
          <w14:ligatures w14:val="standardContextual"/>
        </w:rPr>
      </w:pPr>
      <w:hyperlink w:anchor="_Toc159251052" w:history="1">
        <w:r w:rsidRPr="001B2BCE">
          <w:rPr>
            <w:rStyle w:val="Hyperlink"/>
            <w:noProof/>
          </w:rPr>
          <w:t>8.16.7</w:t>
        </w:r>
        <w:r>
          <w:rPr>
            <w:rFonts w:eastAsiaTheme="minorEastAsia" w:cstheme="minorBidi"/>
            <w:i w:val="0"/>
            <w:iCs w:val="0"/>
            <w:noProof/>
            <w:kern w:val="2"/>
            <w:sz w:val="22"/>
            <w:szCs w:val="22"/>
            <w:lang w:eastAsia="en-GB"/>
            <w14:ligatures w14:val="standardContextual"/>
          </w:rPr>
          <w:tab/>
        </w:r>
        <w:r w:rsidRPr="001B2BCE">
          <w:rPr>
            <w:rStyle w:val="Hyperlink"/>
            <w:noProof/>
          </w:rPr>
          <w:t>UE features for NR mobility enhancements</w:t>
        </w:r>
        <w:r>
          <w:rPr>
            <w:noProof/>
            <w:webHidden/>
          </w:rPr>
          <w:tab/>
        </w:r>
        <w:r>
          <w:rPr>
            <w:noProof/>
            <w:webHidden/>
          </w:rPr>
          <w:fldChar w:fldCharType="begin"/>
        </w:r>
        <w:r>
          <w:rPr>
            <w:noProof/>
            <w:webHidden/>
          </w:rPr>
          <w:instrText xml:space="preserve"> PAGEREF _Toc159251052 \h </w:instrText>
        </w:r>
        <w:r>
          <w:rPr>
            <w:noProof/>
            <w:webHidden/>
          </w:rPr>
        </w:r>
        <w:r>
          <w:rPr>
            <w:noProof/>
            <w:webHidden/>
          </w:rPr>
          <w:fldChar w:fldCharType="separate"/>
        </w:r>
        <w:r>
          <w:rPr>
            <w:noProof/>
            <w:webHidden/>
          </w:rPr>
          <w:t>159</w:t>
        </w:r>
        <w:r>
          <w:rPr>
            <w:noProof/>
            <w:webHidden/>
          </w:rPr>
          <w:fldChar w:fldCharType="end"/>
        </w:r>
      </w:hyperlink>
    </w:p>
    <w:p w14:paraId="0D5ED974" w14:textId="006D70D2" w:rsidR="005A18DC" w:rsidRDefault="005A18DC">
      <w:pPr>
        <w:pStyle w:val="TOC3"/>
        <w:tabs>
          <w:tab w:val="left" w:pos="1200"/>
          <w:tab w:val="right" w:leader="dot" w:pos="10457"/>
        </w:tabs>
        <w:rPr>
          <w:rFonts w:eastAsiaTheme="minorEastAsia" w:cstheme="minorBidi"/>
          <w:i w:val="0"/>
          <w:iCs w:val="0"/>
          <w:noProof/>
          <w:kern w:val="2"/>
          <w:sz w:val="22"/>
          <w:szCs w:val="22"/>
          <w:lang w:eastAsia="en-GB"/>
          <w14:ligatures w14:val="standardContextual"/>
        </w:rPr>
      </w:pPr>
      <w:hyperlink w:anchor="_Toc159251053" w:history="1">
        <w:r w:rsidRPr="001B2BCE">
          <w:rPr>
            <w:rStyle w:val="Hyperlink"/>
            <w:noProof/>
          </w:rPr>
          <w:t>8.16.8</w:t>
        </w:r>
        <w:r>
          <w:rPr>
            <w:rFonts w:eastAsiaTheme="minorEastAsia" w:cstheme="minorBidi"/>
            <w:i w:val="0"/>
            <w:iCs w:val="0"/>
            <w:noProof/>
            <w:kern w:val="2"/>
            <w:sz w:val="22"/>
            <w:szCs w:val="22"/>
            <w:lang w:eastAsia="en-GB"/>
            <w14:ligatures w14:val="standardContextual"/>
          </w:rPr>
          <w:tab/>
        </w:r>
        <w:r w:rsidRPr="001B2BCE">
          <w:rPr>
            <w:rStyle w:val="Hyperlink"/>
            <w:noProof/>
          </w:rPr>
          <w:t>UE features for coverage enhancements</w:t>
        </w:r>
        <w:r>
          <w:rPr>
            <w:noProof/>
            <w:webHidden/>
          </w:rPr>
          <w:tab/>
        </w:r>
        <w:r>
          <w:rPr>
            <w:noProof/>
            <w:webHidden/>
          </w:rPr>
          <w:fldChar w:fldCharType="begin"/>
        </w:r>
        <w:r>
          <w:rPr>
            <w:noProof/>
            <w:webHidden/>
          </w:rPr>
          <w:instrText xml:space="preserve"> PAGEREF _Toc159251053 \h </w:instrText>
        </w:r>
        <w:r>
          <w:rPr>
            <w:noProof/>
            <w:webHidden/>
          </w:rPr>
        </w:r>
        <w:r>
          <w:rPr>
            <w:noProof/>
            <w:webHidden/>
          </w:rPr>
          <w:fldChar w:fldCharType="separate"/>
        </w:r>
        <w:r>
          <w:rPr>
            <w:noProof/>
            <w:webHidden/>
          </w:rPr>
          <w:t>159</w:t>
        </w:r>
        <w:r>
          <w:rPr>
            <w:noProof/>
            <w:webHidden/>
          </w:rPr>
          <w:fldChar w:fldCharType="end"/>
        </w:r>
      </w:hyperlink>
    </w:p>
    <w:p w14:paraId="0AC8F423" w14:textId="5DDC6D16" w:rsidR="005A18DC" w:rsidRDefault="005A18DC">
      <w:pPr>
        <w:pStyle w:val="TOC3"/>
        <w:tabs>
          <w:tab w:val="left" w:pos="1200"/>
          <w:tab w:val="right" w:leader="dot" w:pos="10457"/>
        </w:tabs>
        <w:rPr>
          <w:rFonts w:eastAsiaTheme="minorEastAsia" w:cstheme="minorBidi"/>
          <w:i w:val="0"/>
          <w:iCs w:val="0"/>
          <w:noProof/>
          <w:kern w:val="2"/>
          <w:sz w:val="22"/>
          <w:szCs w:val="22"/>
          <w:lang w:eastAsia="en-GB"/>
          <w14:ligatures w14:val="standardContextual"/>
        </w:rPr>
      </w:pPr>
      <w:hyperlink w:anchor="_Toc159251054" w:history="1">
        <w:r w:rsidRPr="001B2BCE">
          <w:rPr>
            <w:rStyle w:val="Hyperlink"/>
            <w:noProof/>
          </w:rPr>
          <w:t>8.16.9</w:t>
        </w:r>
        <w:r>
          <w:rPr>
            <w:rFonts w:eastAsiaTheme="minorEastAsia" w:cstheme="minorBidi"/>
            <w:i w:val="0"/>
            <w:iCs w:val="0"/>
            <w:noProof/>
            <w:kern w:val="2"/>
            <w:sz w:val="22"/>
            <w:szCs w:val="22"/>
            <w:lang w:eastAsia="en-GB"/>
            <w14:ligatures w14:val="standardContextual"/>
          </w:rPr>
          <w:tab/>
        </w:r>
        <w:r w:rsidRPr="001B2BCE">
          <w:rPr>
            <w:rStyle w:val="Hyperlink"/>
            <w:noProof/>
          </w:rPr>
          <w:t>UE features for dedicated spectrum less than 5MHz</w:t>
        </w:r>
        <w:r>
          <w:rPr>
            <w:noProof/>
            <w:webHidden/>
          </w:rPr>
          <w:tab/>
        </w:r>
        <w:r>
          <w:rPr>
            <w:noProof/>
            <w:webHidden/>
          </w:rPr>
          <w:fldChar w:fldCharType="begin"/>
        </w:r>
        <w:r>
          <w:rPr>
            <w:noProof/>
            <w:webHidden/>
          </w:rPr>
          <w:instrText xml:space="preserve"> PAGEREF _Toc159251054 \h </w:instrText>
        </w:r>
        <w:r>
          <w:rPr>
            <w:noProof/>
            <w:webHidden/>
          </w:rPr>
        </w:r>
        <w:r>
          <w:rPr>
            <w:noProof/>
            <w:webHidden/>
          </w:rPr>
          <w:fldChar w:fldCharType="separate"/>
        </w:r>
        <w:r>
          <w:rPr>
            <w:noProof/>
            <w:webHidden/>
          </w:rPr>
          <w:t>160</w:t>
        </w:r>
        <w:r>
          <w:rPr>
            <w:noProof/>
            <w:webHidden/>
          </w:rPr>
          <w:fldChar w:fldCharType="end"/>
        </w:r>
      </w:hyperlink>
    </w:p>
    <w:p w14:paraId="5A4A90A5" w14:textId="38240F6C" w:rsidR="005A18DC" w:rsidRDefault="005A18DC">
      <w:pPr>
        <w:pStyle w:val="TOC3"/>
        <w:tabs>
          <w:tab w:val="left" w:pos="1400"/>
          <w:tab w:val="right" w:leader="dot" w:pos="10457"/>
        </w:tabs>
        <w:rPr>
          <w:rFonts w:eastAsiaTheme="minorEastAsia" w:cstheme="minorBidi"/>
          <w:i w:val="0"/>
          <w:iCs w:val="0"/>
          <w:noProof/>
          <w:kern w:val="2"/>
          <w:sz w:val="22"/>
          <w:szCs w:val="22"/>
          <w:lang w:eastAsia="en-GB"/>
          <w14:ligatures w14:val="standardContextual"/>
        </w:rPr>
      </w:pPr>
      <w:hyperlink w:anchor="_Toc159251055" w:history="1">
        <w:r w:rsidRPr="001B2BCE">
          <w:rPr>
            <w:rStyle w:val="Hyperlink"/>
            <w:noProof/>
          </w:rPr>
          <w:t>8.16.10</w:t>
        </w:r>
        <w:r>
          <w:rPr>
            <w:rFonts w:eastAsiaTheme="minorEastAsia" w:cstheme="minorBidi"/>
            <w:i w:val="0"/>
            <w:iCs w:val="0"/>
            <w:noProof/>
            <w:kern w:val="2"/>
            <w:sz w:val="22"/>
            <w:szCs w:val="22"/>
            <w:lang w:eastAsia="en-GB"/>
            <w14:ligatures w14:val="standardContextual"/>
          </w:rPr>
          <w:tab/>
        </w:r>
        <w:r w:rsidRPr="001B2BCE">
          <w:rPr>
            <w:rStyle w:val="Hyperlink"/>
            <w:noProof/>
          </w:rPr>
          <w:t>UE features for eDSS</w:t>
        </w:r>
        <w:r>
          <w:rPr>
            <w:noProof/>
            <w:webHidden/>
          </w:rPr>
          <w:tab/>
        </w:r>
        <w:r>
          <w:rPr>
            <w:noProof/>
            <w:webHidden/>
          </w:rPr>
          <w:fldChar w:fldCharType="begin"/>
        </w:r>
        <w:r>
          <w:rPr>
            <w:noProof/>
            <w:webHidden/>
          </w:rPr>
          <w:instrText xml:space="preserve"> PAGEREF _Toc159251055 \h </w:instrText>
        </w:r>
        <w:r>
          <w:rPr>
            <w:noProof/>
            <w:webHidden/>
          </w:rPr>
        </w:r>
        <w:r>
          <w:rPr>
            <w:noProof/>
            <w:webHidden/>
          </w:rPr>
          <w:fldChar w:fldCharType="separate"/>
        </w:r>
        <w:r>
          <w:rPr>
            <w:noProof/>
            <w:webHidden/>
          </w:rPr>
          <w:t>160</w:t>
        </w:r>
        <w:r>
          <w:rPr>
            <w:noProof/>
            <w:webHidden/>
          </w:rPr>
          <w:fldChar w:fldCharType="end"/>
        </w:r>
      </w:hyperlink>
    </w:p>
    <w:p w14:paraId="799BF10A" w14:textId="5B7B76BB" w:rsidR="005A18DC" w:rsidRDefault="005A18DC">
      <w:pPr>
        <w:pStyle w:val="TOC3"/>
        <w:tabs>
          <w:tab w:val="left" w:pos="1400"/>
          <w:tab w:val="right" w:leader="dot" w:pos="10457"/>
        </w:tabs>
        <w:rPr>
          <w:rFonts w:eastAsiaTheme="minorEastAsia" w:cstheme="minorBidi"/>
          <w:i w:val="0"/>
          <w:iCs w:val="0"/>
          <w:noProof/>
          <w:kern w:val="2"/>
          <w:sz w:val="22"/>
          <w:szCs w:val="22"/>
          <w:lang w:eastAsia="en-GB"/>
          <w14:ligatures w14:val="standardContextual"/>
        </w:rPr>
      </w:pPr>
      <w:hyperlink w:anchor="_Toc159251056" w:history="1">
        <w:r w:rsidRPr="001B2BCE">
          <w:rPr>
            <w:rStyle w:val="Hyperlink"/>
            <w:noProof/>
          </w:rPr>
          <w:t>8.16.11</w:t>
        </w:r>
        <w:r>
          <w:rPr>
            <w:rFonts w:eastAsiaTheme="minorEastAsia" w:cstheme="minorBidi"/>
            <w:i w:val="0"/>
            <w:iCs w:val="0"/>
            <w:noProof/>
            <w:kern w:val="2"/>
            <w:sz w:val="22"/>
            <w:szCs w:val="22"/>
            <w:lang w:eastAsia="en-GB"/>
            <w14:ligatures w14:val="standardContextual"/>
          </w:rPr>
          <w:tab/>
        </w:r>
        <w:r w:rsidRPr="001B2BCE">
          <w:rPr>
            <w:rStyle w:val="Hyperlink"/>
            <w:noProof/>
          </w:rPr>
          <w:t>UE features for NR NCR</w:t>
        </w:r>
        <w:r>
          <w:rPr>
            <w:noProof/>
            <w:webHidden/>
          </w:rPr>
          <w:tab/>
        </w:r>
        <w:r>
          <w:rPr>
            <w:noProof/>
            <w:webHidden/>
          </w:rPr>
          <w:fldChar w:fldCharType="begin"/>
        </w:r>
        <w:r>
          <w:rPr>
            <w:noProof/>
            <w:webHidden/>
          </w:rPr>
          <w:instrText xml:space="preserve"> PAGEREF _Toc159251056 \h </w:instrText>
        </w:r>
        <w:r>
          <w:rPr>
            <w:noProof/>
            <w:webHidden/>
          </w:rPr>
        </w:r>
        <w:r>
          <w:rPr>
            <w:noProof/>
            <w:webHidden/>
          </w:rPr>
          <w:fldChar w:fldCharType="separate"/>
        </w:r>
        <w:r>
          <w:rPr>
            <w:noProof/>
            <w:webHidden/>
          </w:rPr>
          <w:t>160</w:t>
        </w:r>
        <w:r>
          <w:rPr>
            <w:noProof/>
            <w:webHidden/>
          </w:rPr>
          <w:fldChar w:fldCharType="end"/>
        </w:r>
      </w:hyperlink>
    </w:p>
    <w:p w14:paraId="6E7B0A6F" w14:textId="37EA160F" w:rsidR="005A18DC" w:rsidRDefault="005A18DC">
      <w:pPr>
        <w:pStyle w:val="TOC3"/>
        <w:tabs>
          <w:tab w:val="left" w:pos="1400"/>
          <w:tab w:val="right" w:leader="dot" w:pos="10457"/>
        </w:tabs>
        <w:rPr>
          <w:rFonts w:eastAsiaTheme="minorEastAsia" w:cstheme="minorBidi"/>
          <w:i w:val="0"/>
          <w:iCs w:val="0"/>
          <w:noProof/>
          <w:kern w:val="2"/>
          <w:sz w:val="22"/>
          <w:szCs w:val="22"/>
          <w:lang w:eastAsia="en-GB"/>
          <w14:ligatures w14:val="standardContextual"/>
        </w:rPr>
      </w:pPr>
      <w:hyperlink w:anchor="_Toc159251057" w:history="1">
        <w:r w:rsidRPr="001B2BCE">
          <w:rPr>
            <w:rStyle w:val="Hyperlink"/>
            <w:noProof/>
          </w:rPr>
          <w:t>8.16.12</w:t>
        </w:r>
        <w:r>
          <w:rPr>
            <w:rFonts w:eastAsiaTheme="minorEastAsia" w:cstheme="minorBidi"/>
            <w:i w:val="0"/>
            <w:iCs w:val="0"/>
            <w:noProof/>
            <w:kern w:val="2"/>
            <w:sz w:val="22"/>
            <w:szCs w:val="22"/>
            <w:lang w:eastAsia="en-GB"/>
            <w14:ligatures w14:val="standardContextual"/>
          </w:rPr>
          <w:tab/>
        </w:r>
        <w:r w:rsidRPr="001B2BCE">
          <w:rPr>
            <w:rStyle w:val="Hyperlink"/>
            <w:noProof/>
          </w:rPr>
          <w:t>UE features for MC enhancements</w:t>
        </w:r>
        <w:r>
          <w:rPr>
            <w:noProof/>
            <w:webHidden/>
          </w:rPr>
          <w:tab/>
        </w:r>
        <w:r>
          <w:rPr>
            <w:noProof/>
            <w:webHidden/>
          </w:rPr>
          <w:fldChar w:fldCharType="begin"/>
        </w:r>
        <w:r>
          <w:rPr>
            <w:noProof/>
            <w:webHidden/>
          </w:rPr>
          <w:instrText xml:space="preserve"> PAGEREF _Toc159251057 \h </w:instrText>
        </w:r>
        <w:r>
          <w:rPr>
            <w:noProof/>
            <w:webHidden/>
          </w:rPr>
        </w:r>
        <w:r>
          <w:rPr>
            <w:noProof/>
            <w:webHidden/>
          </w:rPr>
          <w:fldChar w:fldCharType="separate"/>
        </w:r>
        <w:r>
          <w:rPr>
            <w:noProof/>
            <w:webHidden/>
          </w:rPr>
          <w:t>160</w:t>
        </w:r>
        <w:r>
          <w:rPr>
            <w:noProof/>
            <w:webHidden/>
          </w:rPr>
          <w:fldChar w:fldCharType="end"/>
        </w:r>
      </w:hyperlink>
    </w:p>
    <w:p w14:paraId="014C43A2" w14:textId="21285887" w:rsidR="005A18DC" w:rsidRDefault="005A18DC">
      <w:pPr>
        <w:pStyle w:val="TOC3"/>
        <w:tabs>
          <w:tab w:val="left" w:pos="1400"/>
          <w:tab w:val="right" w:leader="dot" w:pos="10457"/>
        </w:tabs>
        <w:rPr>
          <w:rFonts w:eastAsiaTheme="minorEastAsia" w:cstheme="minorBidi"/>
          <w:i w:val="0"/>
          <w:iCs w:val="0"/>
          <w:noProof/>
          <w:kern w:val="2"/>
          <w:sz w:val="22"/>
          <w:szCs w:val="22"/>
          <w:lang w:eastAsia="en-GB"/>
          <w14:ligatures w14:val="standardContextual"/>
        </w:rPr>
      </w:pPr>
      <w:hyperlink w:anchor="_Toc159251058" w:history="1">
        <w:r w:rsidRPr="001B2BCE">
          <w:rPr>
            <w:rStyle w:val="Hyperlink"/>
            <w:noProof/>
          </w:rPr>
          <w:t>8.16.13</w:t>
        </w:r>
        <w:r>
          <w:rPr>
            <w:rFonts w:eastAsiaTheme="minorEastAsia" w:cstheme="minorBidi"/>
            <w:i w:val="0"/>
            <w:iCs w:val="0"/>
            <w:noProof/>
            <w:kern w:val="2"/>
            <w:sz w:val="22"/>
            <w:szCs w:val="22"/>
            <w:lang w:eastAsia="en-GB"/>
            <w14:ligatures w14:val="standardContextual"/>
          </w:rPr>
          <w:tab/>
        </w:r>
        <w:r w:rsidRPr="001B2BCE">
          <w:rPr>
            <w:rStyle w:val="Hyperlink"/>
            <w:noProof/>
          </w:rPr>
          <w:t>UE features for IoT NTN enhancements</w:t>
        </w:r>
        <w:r>
          <w:rPr>
            <w:noProof/>
            <w:webHidden/>
          </w:rPr>
          <w:tab/>
        </w:r>
        <w:r>
          <w:rPr>
            <w:noProof/>
            <w:webHidden/>
          </w:rPr>
          <w:fldChar w:fldCharType="begin"/>
        </w:r>
        <w:r>
          <w:rPr>
            <w:noProof/>
            <w:webHidden/>
          </w:rPr>
          <w:instrText xml:space="preserve"> PAGEREF _Toc159251058 \h </w:instrText>
        </w:r>
        <w:r>
          <w:rPr>
            <w:noProof/>
            <w:webHidden/>
          </w:rPr>
        </w:r>
        <w:r>
          <w:rPr>
            <w:noProof/>
            <w:webHidden/>
          </w:rPr>
          <w:fldChar w:fldCharType="separate"/>
        </w:r>
        <w:r>
          <w:rPr>
            <w:noProof/>
            <w:webHidden/>
          </w:rPr>
          <w:t>161</w:t>
        </w:r>
        <w:r>
          <w:rPr>
            <w:noProof/>
            <w:webHidden/>
          </w:rPr>
          <w:fldChar w:fldCharType="end"/>
        </w:r>
      </w:hyperlink>
    </w:p>
    <w:p w14:paraId="65CB4257" w14:textId="5A130201" w:rsidR="005A18DC" w:rsidRDefault="005A18DC">
      <w:pPr>
        <w:pStyle w:val="TOC3"/>
        <w:tabs>
          <w:tab w:val="left" w:pos="1400"/>
          <w:tab w:val="right" w:leader="dot" w:pos="10457"/>
        </w:tabs>
        <w:rPr>
          <w:rFonts w:eastAsiaTheme="minorEastAsia" w:cstheme="minorBidi"/>
          <w:i w:val="0"/>
          <w:iCs w:val="0"/>
          <w:noProof/>
          <w:kern w:val="2"/>
          <w:sz w:val="22"/>
          <w:szCs w:val="22"/>
          <w:lang w:eastAsia="en-GB"/>
          <w14:ligatures w14:val="standardContextual"/>
        </w:rPr>
      </w:pPr>
      <w:hyperlink w:anchor="_Toc159251059" w:history="1">
        <w:r w:rsidRPr="001B2BCE">
          <w:rPr>
            <w:rStyle w:val="Hyperlink"/>
            <w:noProof/>
          </w:rPr>
          <w:t>8.16.14</w:t>
        </w:r>
        <w:r>
          <w:rPr>
            <w:rFonts w:eastAsiaTheme="minorEastAsia" w:cstheme="minorBidi"/>
            <w:i w:val="0"/>
            <w:iCs w:val="0"/>
            <w:noProof/>
            <w:kern w:val="2"/>
            <w:sz w:val="22"/>
            <w:szCs w:val="22"/>
            <w:lang w:eastAsia="en-GB"/>
            <w14:ligatures w14:val="standardContextual"/>
          </w:rPr>
          <w:tab/>
        </w:r>
        <w:r w:rsidRPr="001B2BCE">
          <w:rPr>
            <w:rStyle w:val="Hyperlink"/>
            <w:noProof/>
          </w:rPr>
          <w:t>UE features for NR NTN enhancements</w:t>
        </w:r>
        <w:r>
          <w:rPr>
            <w:noProof/>
            <w:webHidden/>
          </w:rPr>
          <w:tab/>
        </w:r>
        <w:r>
          <w:rPr>
            <w:noProof/>
            <w:webHidden/>
          </w:rPr>
          <w:fldChar w:fldCharType="begin"/>
        </w:r>
        <w:r>
          <w:rPr>
            <w:noProof/>
            <w:webHidden/>
          </w:rPr>
          <w:instrText xml:space="preserve"> PAGEREF _Toc159251059 \h </w:instrText>
        </w:r>
        <w:r>
          <w:rPr>
            <w:noProof/>
            <w:webHidden/>
          </w:rPr>
        </w:r>
        <w:r>
          <w:rPr>
            <w:noProof/>
            <w:webHidden/>
          </w:rPr>
          <w:fldChar w:fldCharType="separate"/>
        </w:r>
        <w:r>
          <w:rPr>
            <w:noProof/>
            <w:webHidden/>
          </w:rPr>
          <w:t>161</w:t>
        </w:r>
        <w:r>
          <w:rPr>
            <w:noProof/>
            <w:webHidden/>
          </w:rPr>
          <w:fldChar w:fldCharType="end"/>
        </w:r>
      </w:hyperlink>
    </w:p>
    <w:p w14:paraId="41BCEF0E" w14:textId="61994318" w:rsidR="005A18DC" w:rsidRDefault="005A18DC">
      <w:pPr>
        <w:pStyle w:val="TOC3"/>
        <w:tabs>
          <w:tab w:val="left" w:pos="1400"/>
          <w:tab w:val="right" w:leader="dot" w:pos="10457"/>
        </w:tabs>
        <w:rPr>
          <w:rFonts w:eastAsiaTheme="minorEastAsia" w:cstheme="minorBidi"/>
          <w:i w:val="0"/>
          <w:iCs w:val="0"/>
          <w:noProof/>
          <w:kern w:val="2"/>
          <w:sz w:val="22"/>
          <w:szCs w:val="22"/>
          <w:lang w:eastAsia="en-GB"/>
          <w14:ligatures w14:val="standardContextual"/>
        </w:rPr>
      </w:pPr>
      <w:hyperlink w:anchor="_Toc159251060" w:history="1">
        <w:r w:rsidRPr="001B2BCE">
          <w:rPr>
            <w:rStyle w:val="Hyperlink"/>
            <w:noProof/>
          </w:rPr>
          <w:t>8.16.15</w:t>
        </w:r>
        <w:r>
          <w:rPr>
            <w:rFonts w:eastAsiaTheme="minorEastAsia" w:cstheme="minorBidi"/>
            <w:i w:val="0"/>
            <w:iCs w:val="0"/>
            <w:noProof/>
            <w:kern w:val="2"/>
            <w:sz w:val="22"/>
            <w:szCs w:val="22"/>
            <w:lang w:eastAsia="en-GB"/>
            <w14:ligatures w14:val="standardContextual"/>
          </w:rPr>
          <w:tab/>
        </w:r>
        <w:r w:rsidRPr="001B2BCE">
          <w:rPr>
            <w:rStyle w:val="Hyperlink"/>
            <w:noProof/>
          </w:rPr>
          <w:t>UE features for BWP without restriction</w:t>
        </w:r>
        <w:r>
          <w:rPr>
            <w:noProof/>
            <w:webHidden/>
          </w:rPr>
          <w:tab/>
        </w:r>
        <w:r>
          <w:rPr>
            <w:noProof/>
            <w:webHidden/>
          </w:rPr>
          <w:fldChar w:fldCharType="begin"/>
        </w:r>
        <w:r>
          <w:rPr>
            <w:noProof/>
            <w:webHidden/>
          </w:rPr>
          <w:instrText xml:space="preserve"> PAGEREF _Toc159251060 \h </w:instrText>
        </w:r>
        <w:r>
          <w:rPr>
            <w:noProof/>
            <w:webHidden/>
          </w:rPr>
        </w:r>
        <w:r>
          <w:rPr>
            <w:noProof/>
            <w:webHidden/>
          </w:rPr>
          <w:fldChar w:fldCharType="separate"/>
        </w:r>
        <w:r>
          <w:rPr>
            <w:noProof/>
            <w:webHidden/>
          </w:rPr>
          <w:t>161</w:t>
        </w:r>
        <w:r>
          <w:rPr>
            <w:noProof/>
            <w:webHidden/>
          </w:rPr>
          <w:fldChar w:fldCharType="end"/>
        </w:r>
      </w:hyperlink>
    </w:p>
    <w:p w14:paraId="082BBD29" w14:textId="021DE113" w:rsidR="005A18DC" w:rsidRDefault="005A18DC">
      <w:pPr>
        <w:pStyle w:val="TOC3"/>
        <w:tabs>
          <w:tab w:val="left" w:pos="1400"/>
          <w:tab w:val="right" w:leader="dot" w:pos="10457"/>
        </w:tabs>
        <w:rPr>
          <w:rFonts w:eastAsiaTheme="minorEastAsia" w:cstheme="minorBidi"/>
          <w:i w:val="0"/>
          <w:iCs w:val="0"/>
          <w:noProof/>
          <w:kern w:val="2"/>
          <w:sz w:val="22"/>
          <w:szCs w:val="22"/>
          <w:lang w:eastAsia="en-GB"/>
          <w14:ligatures w14:val="standardContextual"/>
        </w:rPr>
      </w:pPr>
      <w:hyperlink w:anchor="_Toc159251061" w:history="1">
        <w:r w:rsidRPr="001B2BCE">
          <w:rPr>
            <w:rStyle w:val="Hyperlink"/>
            <w:noProof/>
          </w:rPr>
          <w:t>8.16.16</w:t>
        </w:r>
        <w:r>
          <w:rPr>
            <w:rFonts w:eastAsiaTheme="minorEastAsia" w:cstheme="minorBidi"/>
            <w:i w:val="0"/>
            <w:iCs w:val="0"/>
            <w:noProof/>
            <w:kern w:val="2"/>
            <w:sz w:val="22"/>
            <w:szCs w:val="22"/>
            <w:lang w:eastAsia="en-GB"/>
            <w14:ligatures w14:val="standardContextual"/>
          </w:rPr>
          <w:tab/>
        </w:r>
        <w:r w:rsidRPr="001B2BCE">
          <w:rPr>
            <w:rStyle w:val="Hyperlink"/>
            <w:noProof/>
          </w:rPr>
          <w:t>Other</w:t>
        </w:r>
        <w:r>
          <w:rPr>
            <w:noProof/>
            <w:webHidden/>
          </w:rPr>
          <w:tab/>
        </w:r>
        <w:r>
          <w:rPr>
            <w:noProof/>
            <w:webHidden/>
          </w:rPr>
          <w:fldChar w:fldCharType="begin"/>
        </w:r>
        <w:r>
          <w:rPr>
            <w:noProof/>
            <w:webHidden/>
          </w:rPr>
          <w:instrText xml:space="preserve"> PAGEREF _Toc159251061 \h </w:instrText>
        </w:r>
        <w:r>
          <w:rPr>
            <w:noProof/>
            <w:webHidden/>
          </w:rPr>
        </w:r>
        <w:r>
          <w:rPr>
            <w:noProof/>
            <w:webHidden/>
          </w:rPr>
          <w:fldChar w:fldCharType="separate"/>
        </w:r>
        <w:r>
          <w:rPr>
            <w:noProof/>
            <w:webHidden/>
          </w:rPr>
          <w:t>162</w:t>
        </w:r>
        <w:r>
          <w:rPr>
            <w:noProof/>
            <w:webHidden/>
          </w:rPr>
          <w:fldChar w:fldCharType="end"/>
        </w:r>
      </w:hyperlink>
    </w:p>
    <w:p w14:paraId="110495E7" w14:textId="5D22E885" w:rsidR="005A18DC" w:rsidRDefault="005A18DC">
      <w:pPr>
        <w:pStyle w:val="TOC2"/>
        <w:tabs>
          <w:tab w:val="left" w:pos="800"/>
          <w:tab w:val="right" w:leader="dot" w:pos="10457"/>
        </w:tabs>
        <w:rPr>
          <w:rFonts w:eastAsiaTheme="minorEastAsia" w:cstheme="minorBidi"/>
          <w:smallCaps w:val="0"/>
          <w:noProof/>
          <w:kern w:val="2"/>
          <w:sz w:val="22"/>
          <w:szCs w:val="22"/>
          <w:lang w:eastAsia="en-GB"/>
          <w14:ligatures w14:val="standardContextual"/>
        </w:rPr>
      </w:pPr>
      <w:hyperlink w:anchor="_Toc159251062" w:history="1">
        <w:r w:rsidRPr="001B2BCE">
          <w:rPr>
            <w:rStyle w:val="Hyperlink"/>
            <w:noProof/>
          </w:rPr>
          <w:t>8.17</w:t>
        </w:r>
        <w:r>
          <w:rPr>
            <w:rFonts w:eastAsiaTheme="minorEastAsia" w:cstheme="minorBidi"/>
            <w:smallCaps w:val="0"/>
            <w:noProof/>
            <w:kern w:val="2"/>
            <w:sz w:val="22"/>
            <w:szCs w:val="22"/>
            <w:lang w:eastAsia="en-GB"/>
            <w14:ligatures w14:val="standardContextual"/>
          </w:rPr>
          <w:tab/>
        </w:r>
        <w:r w:rsidRPr="001B2BCE">
          <w:rPr>
            <w:rStyle w:val="Hyperlink"/>
            <w:noProof/>
          </w:rPr>
          <w:t>Other</w:t>
        </w:r>
        <w:r>
          <w:rPr>
            <w:noProof/>
            <w:webHidden/>
          </w:rPr>
          <w:tab/>
        </w:r>
        <w:r>
          <w:rPr>
            <w:noProof/>
            <w:webHidden/>
          </w:rPr>
          <w:fldChar w:fldCharType="begin"/>
        </w:r>
        <w:r>
          <w:rPr>
            <w:noProof/>
            <w:webHidden/>
          </w:rPr>
          <w:instrText xml:space="preserve"> PAGEREF _Toc159251062 \h </w:instrText>
        </w:r>
        <w:r>
          <w:rPr>
            <w:noProof/>
            <w:webHidden/>
          </w:rPr>
        </w:r>
        <w:r>
          <w:rPr>
            <w:noProof/>
            <w:webHidden/>
          </w:rPr>
          <w:fldChar w:fldCharType="separate"/>
        </w:r>
        <w:r>
          <w:rPr>
            <w:noProof/>
            <w:webHidden/>
          </w:rPr>
          <w:t>162</w:t>
        </w:r>
        <w:r>
          <w:rPr>
            <w:noProof/>
            <w:webHidden/>
          </w:rPr>
          <w:fldChar w:fldCharType="end"/>
        </w:r>
      </w:hyperlink>
    </w:p>
    <w:p w14:paraId="77F787BF" w14:textId="1DA496E5" w:rsidR="005A18DC" w:rsidRDefault="005A18DC">
      <w:pPr>
        <w:pStyle w:val="TOC1"/>
        <w:tabs>
          <w:tab w:val="left" w:pos="400"/>
          <w:tab w:val="right" w:leader="dot" w:pos="10457"/>
        </w:tabs>
        <w:rPr>
          <w:rFonts w:eastAsiaTheme="minorEastAsia" w:cstheme="minorBidi"/>
          <w:b w:val="0"/>
          <w:bCs w:val="0"/>
          <w:caps w:val="0"/>
          <w:noProof/>
          <w:kern w:val="2"/>
          <w:sz w:val="22"/>
          <w:szCs w:val="22"/>
          <w:lang w:eastAsia="en-GB"/>
          <w14:ligatures w14:val="standardContextual"/>
        </w:rPr>
      </w:pPr>
      <w:hyperlink w:anchor="_Toc159251063" w:history="1">
        <w:r w:rsidRPr="001B2BCE">
          <w:rPr>
            <w:rStyle w:val="Hyperlink"/>
            <w:noProof/>
          </w:rPr>
          <w:t>9</w:t>
        </w:r>
        <w:r>
          <w:rPr>
            <w:rFonts w:eastAsiaTheme="minorEastAsia" w:cstheme="minorBidi"/>
            <w:b w:val="0"/>
            <w:bCs w:val="0"/>
            <w:caps w:val="0"/>
            <w:noProof/>
            <w:kern w:val="2"/>
            <w:sz w:val="22"/>
            <w:szCs w:val="22"/>
            <w:lang w:eastAsia="en-GB"/>
            <w14:ligatures w14:val="standardContextual"/>
          </w:rPr>
          <w:tab/>
        </w:r>
        <w:r w:rsidRPr="001B2BCE">
          <w:rPr>
            <w:rStyle w:val="Hyperlink"/>
            <w:noProof/>
          </w:rPr>
          <w:t>Closing of the meeting</w:t>
        </w:r>
        <w:r>
          <w:rPr>
            <w:noProof/>
            <w:webHidden/>
          </w:rPr>
          <w:tab/>
        </w:r>
        <w:r>
          <w:rPr>
            <w:noProof/>
            <w:webHidden/>
          </w:rPr>
          <w:fldChar w:fldCharType="begin"/>
        </w:r>
        <w:r>
          <w:rPr>
            <w:noProof/>
            <w:webHidden/>
          </w:rPr>
          <w:instrText xml:space="preserve"> PAGEREF _Toc159251063 \h </w:instrText>
        </w:r>
        <w:r>
          <w:rPr>
            <w:noProof/>
            <w:webHidden/>
          </w:rPr>
        </w:r>
        <w:r>
          <w:rPr>
            <w:noProof/>
            <w:webHidden/>
          </w:rPr>
          <w:fldChar w:fldCharType="separate"/>
        </w:r>
        <w:r>
          <w:rPr>
            <w:noProof/>
            <w:webHidden/>
          </w:rPr>
          <w:t>163</w:t>
        </w:r>
        <w:r>
          <w:rPr>
            <w:noProof/>
            <w:webHidden/>
          </w:rPr>
          <w:fldChar w:fldCharType="end"/>
        </w:r>
      </w:hyperlink>
    </w:p>
    <w:p w14:paraId="6E1F9981" w14:textId="022D6424" w:rsidR="005A18DC" w:rsidRDefault="005A18DC">
      <w:pPr>
        <w:pStyle w:val="TOC1"/>
        <w:tabs>
          <w:tab w:val="left" w:pos="1400"/>
          <w:tab w:val="right" w:leader="dot" w:pos="10457"/>
        </w:tabs>
        <w:rPr>
          <w:rFonts w:eastAsiaTheme="minorEastAsia" w:cstheme="minorBidi"/>
          <w:b w:val="0"/>
          <w:bCs w:val="0"/>
          <w:caps w:val="0"/>
          <w:noProof/>
          <w:kern w:val="2"/>
          <w:sz w:val="22"/>
          <w:szCs w:val="22"/>
          <w:lang w:eastAsia="en-GB"/>
          <w14:ligatures w14:val="standardContextual"/>
        </w:rPr>
      </w:pPr>
      <w:hyperlink w:anchor="_Toc159251064" w:history="1">
        <w:r w:rsidRPr="001B2BCE">
          <w:rPr>
            <w:rStyle w:val="Hyperlink"/>
            <w:rFonts w:ascii="Times New Roman" w:hAnsi="Times New Roman" w:cs="Times New Roman"/>
            <w:noProof/>
          </w:rPr>
          <w:t>Annex A-1:</w:t>
        </w:r>
        <w:r>
          <w:rPr>
            <w:rFonts w:eastAsiaTheme="minorEastAsia" w:cstheme="minorBidi"/>
            <w:b w:val="0"/>
            <w:bCs w:val="0"/>
            <w:caps w:val="0"/>
            <w:noProof/>
            <w:kern w:val="2"/>
            <w:sz w:val="22"/>
            <w:szCs w:val="22"/>
            <w:lang w:eastAsia="en-GB"/>
            <w14:ligatures w14:val="standardContextual"/>
          </w:rPr>
          <w:tab/>
        </w:r>
        <w:r w:rsidRPr="001B2BCE">
          <w:rPr>
            <w:rStyle w:val="Hyperlink"/>
            <w:rFonts w:ascii="Times New Roman" w:hAnsi="Times New Roman" w:cs="Times New Roman"/>
            <w:noProof/>
          </w:rPr>
          <w:t>List of Tdocs at RAN1 #115</w:t>
        </w:r>
        <w:r>
          <w:rPr>
            <w:noProof/>
            <w:webHidden/>
          </w:rPr>
          <w:tab/>
        </w:r>
        <w:r>
          <w:rPr>
            <w:noProof/>
            <w:webHidden/>
          </w:rPr>
          <w:fldChar w:fldCharType="begin"/>
        </w:r>
        <w:r>
          <w:rPr>
            <w:noProof/>
            <w:webHidden/>
          </w:rPr>
          <w:instrText xml:space="preserve"> PAGEREF _Toc159251064 \h </w:instrText>
        </w:r>
        <w:r>
          <w:rPr>
            <w:noProof/>
            <w:webHidden/>
          </w:rPr>
        </w:r>
        <w:r>
          <w:rPr>
            <w:noProof/>
            <w:webHidden/>
          </w:rPr>
          <w:fldChar w:fldCharType="separate"/>
        </w:r>
        <w:r>
          <w:rPr>
            <w:noProof/>
            <w:webHidden/>
          </w:rPr>
          <w:t>164</w:t>
        </w:r>
        <w:r>
          <w:rPr>
            <w:noProof/>
            <w:webHidden/>
          </w:rPr>
          <w:fldChar w:fldCharType="end"/>
        </w:r>
      </w:hyperlink>
    </w:p>
    <w:p w14:paraId="4D50D217" w14:textId="337D9851" w:rsidR="005A18DC" w:rsidRDefault="005A18DC">
      <w:pPr>
        <w:pStyle w:val="TOC1"/>
        <w:tabs>
          <w:tab w:val="left" w:pos="1400"/>
          <w:tab w:val="right" w:leader="dot" w:pos="10457"/>
        </w:tabs>
        <w:rPr>
          <w:rFonts w:eastAsiaTheme="minorEastAsia" w:cstheme="minorBidi"/>
          <w:b w:val="0"/>
          <w:bCs w:val="0"/>
          <w:caps w:val="0"/>
          <w:noProof/>
          <w:kern w:val="2"/>
          <w:sz w:val="22"/>
          <w:szCs w:val="22"/>
          <w:lang w:eastAsia="en-GB"/>
          <w14:ligatures w14:val="standardContextual"/>
        </w:rPr>
      </w:pPr>
      <w:hyperlink w:anchor="_Toc159251065" w:history="1">
        <w:r w:rsidRPr="001B2BCE">
          <w:rPr>
            <w:rStyle w:val="Hyperlink"/>
            <w:rFonts w:ascii="Times New Roman" w:hAnsi="Times New Roman" w:cs="Times New Roman"/>
            <w:noProof/>
          </w:rPr>
          <w:t>Annex A-2:</w:t>
        </w:r>
        <w:r>
          <w:rPr>
            <w:rFonts w:eastAsiaTheme="minorEastAsia" w:cstheme="minorBidi"/>
            <w:b w:val="0"/>
            <w:bCs w:val="0"/>
            <w:caps w:val="0"/>
            <w:noProof/>
            <w:kern w:val="2"/>
            <w:sz w:val="22"/>
            <w:szCs w:val="22"/>
            <w:lang w:eastAsia="en-GB"/>
            <w14:ligatures w14:val="standardContextual"/>
          </w:rPr>
          <w:tab/>
        </w:r>
        <w:r w:rsidRPr="001B2BCE">
          <w:rPr>
            <w:rStyle w:val="Hyperlink"/>
            <w:rFonts w:ascii="Times New Roman" w:hAnsi="Times New Roman" w:cs="Times New Roman"/>
            <w:noProof/>
          </w:rPr>
          <w:t>RAN1#115 Online Session Schedule</w:t>
        </w:r>
        <w:r>
          <w:rPr>
            <w:noProof/>
            <w:webHidden/>
          </w:rPr>
          <w:tab/>
        </w:r>
        <w:r>
          <w:rPr>
            <w:noProof/>
            <w:webHidden/>
          </w:rPr>
          <w:fldChar w:fldCharType="begin"/>
        </w:r>
        <w:r>
          <w:rPr>
            <w:noProof/>
            <w:webHidden/>
          </w:rPr>
          <w:instrText xml:space="preserve"> PAGEREF _Toc159251065 \h </w:instrText>
        </w:r>
        <w:r>
          <w:rPr>
            <w:noProof/>
            <w:webHidden/>
          </w:rPr>
        </w:r>
        <w:r>
          <w:rPr>
            <w:noProof/>
            <w:webHidden/>
          </w:rPr>
          <w:fldChar w:fldCharType="separate"/>
        </w:r>
        <w:r>
          <w:rPr>
            <w:noProof/>
            <w:webHidden/>
          </w:rPr>
          <w:t>165</w:t>
        </w:r>
        <w:r>
          <w:rPr>
            <w:noProof/>
            <w:webHidden/>
          </w:rPr>
          <w:fldChar w:fldCharType="end"/>
        </w:r>
      </w:hyperlink>
    </w:p>
    <w:p w14:paraId="3098894F" w14:textId="0E37D21C" w:rsidR="005A18DC" w:rsidRDefault="005A18DC">
      <w:pPr>
        <w:pStyle w:val="TOC1"/>
        <w:tabs>
          <w:tab w:val="left" w:pos="1200"/>
          <w:tab w:val="right" w:leader="dot" w:pos="10457"/>
        </w:tabs>
        <w:rPr>
          <w:rFonts w:eastAsiaTheme="minorEastAsia" w:cstheme="minorBidi"/>
          <w:b w:val="0"/>
          <w:bCs w:val="0"/>
          <w:caps w:val="0"/>
          <w:noProof/>
          <w:kern w:val="2"/>
          <w:sz w:val="22"/>
          <w:szCs w:val="22"/>
          <w:lang w:eastAsia="en-GB"/>
          <w14:ligatures w14:val="standardContextual"/>
        </w:rPr>
      </w:pPr>
      <w:hyperlink w:anchor="_Toc159251066" w:history="1">
        <w:r w:rsidRPr="001B2BCE">
          <w:rPr>
            <w:rStyle w:val="Hyperlink"/>
            <w:rFonts w:ascii="Times New Roman" w:hAnsi="Times New Roman" w:cs="Times New Roman"/>
            <w:noProof/>
          </w:rPr>
          <w:t>Annex B:</w:t>
        </w:r>
        <w:r>
          <w:rPr>
            <w:rFonts w:eastAsiaTheme="minorEastAsia" w:cstheme="minorBidi"/>
            <w:b w:val="0"/>
            <w:bCs w:val="0"/>
            <w:caps w:val="0"/>
            <w:noProof/>
            <w:kern w:val="2"/>
            <w:sz w:val="22"/>
            <w:szCs w:val="22"/>
            <w:lang w:eastAsia="en-GB"/>
            <w14:ligatures w14:val="standardContextual"/>
          </w:rPr>
          <w:tab/>
        </w:r>
        <w:r w:rsidRPr="001B2BCE">
          <w:rPr>
            <w:rStyle w:val="Hyperlink"/>
            <w:rFonts w:ascii="Times New Roman" w:hAnsi="Times New Roman" w:cs="Times New Roman"/>
            <w:noProof/>
          </w:rPr>
          <w:t>List of CRs agreed at RAN1 #115</w:t>
        </w:r>
        <w:r>
          <w:rPr>
            <w:noProof/>
            <w:webHidden/>
          </w:rPr>
          <w:tab/>
        </w:r>
        <w:r>
          <w:rPr>
            <w:noProof/>
            <w:webHidden/>
          </w:rPr>
          <w:fldChar w:fldCharType="begin"/>
        </w:r>
        <w:r>
          <w:rPr>
            <w:noProof/>
            <w:webHidden/>
          </w:rPr>
          <w:instrText xml:space="preserve"> PAGEREF _Toc159251066 \h </w:instrText>
        </w:r>
        <w:r>
          <w:rPr>
            <w:noProof/>
            <w:webHidden/>
          </w:rPr>
        </w:r>
        <w:r>
          <w:rPr>
            <w:noProof/>
            <w:webHidden/>
          </w:rPr>
          <w:fldChar w:fldCharType="separate"/>
        </w:r>
        <w:r>
          <w:rPr>
            <w:noProof/>
            <w:webHidden/>
          </w:rPr>
          <w:t>166</w:t>
        </w:r>
        <w:r>
          <w:rPr>
            <w:noProof/>
            <w:webHidden/>
          </w:rPr>
          <w:fldChar w:fldCharType="end"/>
        </w:r>
      </w:hyperlink>
    </w:p>
    <w:p w14:paraId="66D86414" w14:textId="66156963" w:rsidR="005A18DC" w:rsidRDefault="005A18DC">
      <w:pPr>
        <w:pStyle w:val="TOC1"/>
        <w:tabs>
          <w:tab w:val="left" w:pos="1400"/>
          <w:tab w:val="right" w:leader="dot" w:pos="10457"/>
        </w:tabs>
        <w:rPr>
          <w:rFonts w:eastAsiaTheme="minorEastAsia" w:cstheme="minorBidi"/>
          <w:b w:val="0"/>
          <w:bCs w:val="0"/>
          <w:caps w:val="0"/>
          <w:noProof/>
          <w:kern w:val="2"/>
          <w:sz w:val="22"/>
          <w:szCs w:val="22"/>
          <w:lang w:eastAsia="en-GB"/>
          <w14:ligatures w14:val="standardContextual"/>
        </w:rPr>
      </w:pPr>
      <w:hyperlink w:anchor="_Toc159251067" w:history="1">
        <w:r w:rsidRPr="001B2BCE">
          <w:rPr>
            <w:rStyle w:val="Hyperlink"/>
            <w:rFonts w:ascii="Times New Roman" w:hAnsi="Times New Roman" w:cs="Times New Roman"/>
            <w:noProof/>
          </w:rPr>
          <w:t>Annex C</w:t>
        </w:r>
        <w:r w:rsidRPr="001B2BCE">
          <w:rPr>
            <w:rStyle w:val="Hyperlink"/>
            <w:rFonts w:ascii="Times New Roman" w:eastAsia="MS Mincho" w:hAnsi="Times New Roman" w:cs="Times New Roman"/>
            <w:noProof/>
            <w:lang w:eastAsia="ja-JP"/>
          </w:rPr>
          <w:t>-1</w:t>
        </w:r>
        <w:r w:rsidRPr="001B2BCE">
          <w:rPr>
            <w:rStyle w:val="Hyperlink"/>
            <w:rFonts w:ascii="Times New Roman" w:hAnsi="Times New Roman" w:cs="Times New Roman"/>
            <w:noProof/>
          </w:rPr>
          <w:t>:</w:t>
        </w:r>
        <w:r>
          <w:rPr>
            <w:rFonts w:eastAsiaTheme="minorEastAsia" w:cstheme="minorBidi"/>
            <w:b w:val="0"/>
            <w:bCs w:val="0"/>
            <w:caps w:val="0"/>
            <w:noProof/>
            <w:kern w:val="2"/>
            <w:sz w:val="22"/>
            <w:szCs w:val="22"/>
            <w:lang w:eastAsia="en-GB"/>
            <w14:ligatures w14:val="standardContextual"/>
          </w:rPr>
          <w:tab/>
        </w:r>
        <w:r w:rsidRPr="001B2BCE">
          <w:rPr>
            <w:rStyle w:val="Hyperlink"/>
            <w:rFonts w:ascii="Times New Roman" w:hAnsi="Times New Roman" w:cs="Times New Roman"/>
            <w:noProof/>
          </w:rPr>
          <w:t>List of Outgoing LSs</w:t>
        </w:r>
        <w:r w:rsidRPr="001B2BCE">
          <w:rPr>
            <w:rStyle w:val="Hyperlink"/>
            <w:rFonts w:ascii="Times New Roman" w:eastAsia="MS Mincho" w:hAnsi="Times New Roman" w:cs="Times New Roman"/>
            <w:noProof/>
            <w:lang w:eastAsia="ja-JP"/>
          </w:rPr>
          <w:t xml:space="preserve"> from </w:t>
        </w:r>
        <w:r w:rsidRPr="001B2BCE">
          <w:rPr>
            <w:rStyle w:val="Hyperlink"/>
            <w:rFonts w:ascii="Times New Roman" w:hAnsi="Times New Roman" w:cs="Times New Roman"/>
            <w:noProof/>
          </w:rPr>
          <w:t>RAN1 #115</w:t>
        </w:r>
        <w:r>
          <w:rPr>
            <w:noProof/>
            <w:webHidden/>
          </w:rPr>
          <w:tab/>
        </w:r>
        <w:r>
          <w:rPr>
            <w:noProof/>
            <w:webHidden/>
          </w:rPr>
          <w:fldChar w:fldCharType="begin"/>
        </w:r>
        <w:r>
          <w:rPr>
            <w:noProof/>
            <w:webHidden/>
          </w:rPr>
          <w:instrText xml:space="preserve"> PAGEREF _Toc159251067 \h </w:instrText>
        </w:r>
        <w:r>
          <w:rPr>
            <w:noProof/>
            <w:webHidden/>
          </w:rPr>
        </w:r>
        <w:r>
          <w:rPr>
            <w:noProof/>
            <w:webHidden/>
          </w:rPr>
          <w:fldChar w:fldCharType="separate"/>
        </w:r>
        <w:r>
          <w:rPr>
            <w:noProof/>
            <w:webHidden/>
          </w:rPr>
          <w:t>171</w:t>
        </w:r>
        <w:r>
          <w:rPr>
            <w:noProof/>
            <w:webHidden/>
          </w:rPr>
          <w:fldChar w:fldCharType="end"/>
        </w:r>
      </w:hyperlink>
    </w:p>
    <w:p w14:paraId="16843EF1" w14:textId="1FADC5BF" w:rsidR="005A18DC" w:rsidRDefault="005A18DC">
      <w:pPr>
        <w:pStyle w:val="TOC1"/>
        <w:tabs>
          <w:tab w:val="left" w:pos="1400"/>
          <w:tab w:val="right" w:leader="dot" w:pos="10457"/>
        </w:tabs>
        <w:rPr>
          <w:rFonts w:eastAsiaTheme="minorEastAsia" w:cstheme="minorBidi"/>
          <w:b w:val="0"/>
          <w:bCs w:val="0"/>
          <w:caps w:val="0"/>
          <w:noProof/>
          <w:kern w:val="2"/>
          <w:sz w:val="22"/>
          <w:szCs w:val="22"/>
          <w:lang w:eastAsia="en-GB"/>
          <w14:ligatures w14:val="standardContextual"/>
        </w:rPr>
      </w:pPr>
      <w:hyperlink w:anchor="_Toc159251068" w:history="1">
        <w:r w:rsidRPr="001B2BCE">
          <w:rPr>
            <w:rStyle w:val="Hyperlink"/>
            <w:rFonts w:ascii="Times New Roman" w:hAnsi="Times New Roman" w:cs="Times New Roman"/>
            <w:noProof/>
          </w:rPr>
          <w:t xml:space="preserve">Annex </w:t>
        </w:r>
        <w:r w:rsidRPr="001B2BCE">
          <w:rPr>
            <w:rStyle w:val="Hyperlink"/>
            <w:rFonts w:ascii="Times New Roman" w:eastAsia="MS Mincho" w:hAnsi="Times New Roman" w:cs="Times New Roman"/>
            <w:noProof/>
            <w:lang w:eastAsia="ja-JP"/>
          </w:rPr>
          <w:t>C-2</w:t>
        </w:r>
        <w:r w:rsidRPr="001B2BCE">
          <w:rPr>
            <w:rStyle w:val="Hyperlink"/>
            <w:rFonts w:ascii="Times New Roman" w:hAnsi="Times New Roman" w:cs="Times New Roman"/>
            <w:noProof/>
          </w:rPr>
          <w:t>:</w:t>
        </w:r>
        <w:r>
          <w:rPr>
            <w:rFonts w:eastAsiaTheme="minorEastAsia" w:cstheme="minorBidi"/>
            <w:b w:val="0"/>
            <w:bCs w:val="0"/>
            <w:caps w:val="0"/>
            <w:noProof/>
            <w:kern w:val="2"/>
            <w:sz w:val="22"/>
            <w:szCs w:val="22"/>
            <w:lang w:eastAsia="en-GB"/>
            <w14:ligatures w14:val="standardContextual"/>
          </w:rPr>
          <w:tab/>
        </w:r>
        <w:r w:rsidRPr="001B2BCE">
          <w:rPr>
            <w:rStyle w:val="Hyperlink"/>
            <w:rFonts w:ascii="Times New Roman" w:hAnsi="Times New Roman" w:cs="Times New Roman"/>
            <w:noProof/>
          </w:rPr>
          <w:t>List of Incoming LSs</w:t>
        </w:r>
        <w:r w:rsidRPr="001B2BCE">
          <w:rPr>
            <w:rStyle w:val="Hyperlink"/>
            <w:rFonts w:ascii="Times New Roman" w:eastAsia="MS Mincho" w:hAnsi="Times New Roman" w:cs="Times New Roman"/>
            <w:noProof/>
            <w:lang w:eastAsia="ja-JP"/>
          </w:rPr>
          <w:t xml:space="preserve"> from </w:t>
        </w:r>
        <w:r w:rsidRPr="001B2BCE">
          <w:rPr>
            <w:rStyle w:val="Hyperlink"/>
            <w:rFonts w:ascii="Times New Roman" w:hAnsi="Times New Roman" w:cs="Times New Roman"/>
            <w:noProof/>
          </w:rPr>
          <w:t>RAN1 #115</w:t>
        </w:r>
        <w:r>
          <w:rPr>
            <w:noProof/>
            <w:webHidden/>
          </w:rPr>
          <w:tab/>
        </w:r>
        <w:r>
          <w:rPr>
            <w:noProof/>
            <w:webHidden/>
          </w:rPr>
          <w:fldChar w:fldCharType="begin"/>
        </w:r>
        <w:r>
          <w:rPr>
            <w:noProof/>
            <w:webHidden/>
          </w:rPr>
          <w:instrText xml:space="preserve"> PAGEREF _Toc159251068 \h </w:instrText>
        </w:r>
        <w:r>
          <w:rPr>
            <w:noProof/>
            <w:webHidden/>
          </w:rPr>
        </w:r>
        <w:r>
          <w:rPr>
            <w:noProof/>
            <w:webHidden/>
          </w:rPr>
          <w:fldChar w:fldCharType="separate"/>
        </w:r>
        <w:r>
          <w:rPr>
            <w:noProof/>
            <w:webHidden/>
          </w:rPr>
          <w:t>173</w:t>
        </w:r>
        <w:r>
          <w:rPr>
            <w:noProof/>
            <w:webHidden/>
          </w:rPr>
          <w:fldChar w:fldCharType="end"/>
        </w:r>
      </w:hyperlink>
    </w:p>
    <w:p w14:paraId="6A6F57B3" w14:textId="4F58D636" w:rsidR="005A18DC" w:rsidRDefault="005A18DC">
      <w:pPr>
        <w:pStyle w:val="TOC1"/>
        <w:tabs>
          <w:tab w:val="left" w:pos="1200"/>
          <w:tab w:val="right" w:leader="dot" w:pos="10457"/>
        </w:tabs>
        <w:rPr>
          <w:rFonts w:eastAsiaTheme="minorEastAsia" w:cstheme="minorBidi"/>
          <w:b w:val="0"/>
          <w:bCs w:val="0"/>
          <w:caps w:val="0"/>
          <w:noProof/>
          <w:kern w:val="2"/>
          <w:sz w:val="22"/>
          <w:szCs w:val="22"/>
          <w:lang w:eastAsia="en-GB"/>
          <w14:ligatures w14:val="standardContextual"/>
        </w:rPr>
      </w:pPr>
      <w:hyperlink w:anchor="_Toc159251069" w:history="1">
        <w:r w:rsidRPr="001B2BCE">
          <w:rPr>
            <w:rStyle w:val="Hyperlink"/>
            <w:rFonts w:ascii="Times New Roman" w:hAnsi="Times New Roman" w:cs="Times New Roman"/>
            <w:noProof/>
          </w:rPr>
          <w:t>Annex D:</w:t>
        </w:r>
        <w:r>
          <w:rPr>
            <w:rFonts w:eastAsiaTheme="minorEastAsia" w:cstheme="minorBidi"/>
            <w:b w:val="0"/>
            <w:bCs w:val="0"/>
            <w:caps w:val="0"/>
            <w:noProof/>
            <w:kern w:val="2"/>
            <w:sz w:val="22"/>
            <w:szCs w:val="22"/>
            <w:lang w:eastAsia="en-GB"/>
            <w14:ligatures w14:val="standardContextual"/>
          </w:rPr>
          <w:tab/>
        </w:r>
        <w:r w:rsidRPr="001B2BCE">
          <w:rPr>
            <w:rStyle w:val="Hyperlink"/>
            <w:rFonts w:ascii="Times New Roman" w:hAnsi="Times New Roman" w:cs="Times New Roman"/>
            <w:noProof/>
          </w:rPr>
          <w:t>List of Approved updated WIDs</w:t>
        </w:r>
        <w:r>
          <w:rPr>
            <w:noProof/>
            <w:webHidden/>
          </w:rPr>
          <w:tab/>
        </w:r>
        <w:r>
          <w:rPr>
            <w:noProof/>
            <w:webHidden/>
          </w:rPr>
          <w:fldChar w:fldCharType="begin"/>
        </w:r>
        <w:r>
          <w:rPr>
            <w:noProof/>
            <w:webHidden/>
          </w:rPr>
          <w:instrText xml:space="preserve"> PAGEREF _Toc159251069 \h </w:instrText>
        </w:r>
        <w:r>
          <w:rPr>
            <w:noProof/>
            <w:webHidden/>
          </w:rPr>
        </w:r>
        <w:r>
          <w:rPr>
            <w:noProof/>
            <w:webHidden/>
          </w:rPr>
          <w:fldChar w:fldCharType="separate"/>
        </w:r>
        <w:r>
          <w:rPr>
            <w:noProof/>
            <w:webHidden/>
          </w:rPr>
          <w:t>175</w:t>
        </w:r>
        <w:r>
          <w:rPr>
            <w:noProof/>
            <w:webHidden/>
          </w:rPr>
          <w:fldChar w:fldCharType="end"/>
        </w:r>
      </w:hyperlink>
    </w:p>
    <w:p w14:paraId="4C84580D" w14:textId="46D4E2C1" w:rsidR="005A18DC" w:rsidRDefault="005A18DC">
      <w:pPr>
        <w:pStyle w:val="TOC1"/>
        <w:tabs>
          <w:tab w:val="left" w:pos="1200"/>
          <w:tab w:val="right" w:leader="dot" w:pos="10457"/>
        </w:tabs>
        <w:rPr>
          <w:rFonts w:eastAsiaTheme="minorEastAsia" w:cstheme="minorBidi"/>
          <w:b w:val="0"/>
          <w:bCs w:val="0"/>
          <w:caps w:val="0"/>
          <w:noProof/>
          <w:kern w:val="2"/>
          <w:sz w:val="22"/>
          <w:szCs w:val="22"/>
          <w:lang w:eastAsia="en-GB"/>
          <w14:ligatures w14:val="standardContextual"/>
        </w:rPr>
      </w:pPr>
      <w:hyperlink w:anchor="_Toc159251070" w:history="1">
        <w:r w:rsidRPr="001B2BCE">
          <w:rPr>
            <w:rStyle w:val="Hyperlink"/>
            <w:rFonts w:ascii="Times New Roman" w:hAnsi="Times New Roman" w:cs="Times New Roman"/>
            <w:noProof/>
          </w:rPr>
          <w:t>Annex E:</w:t>
        </w:r>
        <w:r>
          <w:rPr>
            <w:rFonts w:eastAsiaTheme="minorEastAsia" w:cstheme="minorBidi"/>
            <w:b w:val="0"/>
            <w:bCs w:val="0"/>
            <w:caps w:val="0"/>
            <w:noProof/>
            <w:kern w:val="2"/>
            <w:sz w:val="22"/>
            <w:szCs w:val="22"/>
            <w:lang w:eastAsia="en-GB"/>
            <w14:ligatures w14:val="standardContextual"/>
          </w:rPr>
          <w:tab/>
        </w:r>
        <w:r w:rsidRPr="001B2BCE">
          <w:rPr>
            <w:rStyle w:val="Hyperlink"/>
            <w:rFonts w:ascii="Times New Roman" w:hAnsi="Times New Roman" w:cs="Times New Roman"/>
            <w:noProof/>
          </w:rPr>
          <w:t>List of draft TSs/TRs agreed at RAN1 #115</w:t>
        </w:r>
        <w:r>
          <w:rPr>
            <w:noProof/>
            <w:webHidden/>
          </w:rPr>
          <w:tab/>
        </w:r>
        <w:r>
          <w:rPr>
            <w:noProof/>
            <w:webHidden/>
          </w:rPr>
          <w:fldChar w:fldCharType="begin"/>
        </w:r>
        <w:r>
          <w:rPr>
            <w:noProof/>
            <w:webHidden/>
          </w:rPr>
          <w:instrText xml:space="preserve"> PAGEREF _Toc159251070 \h </w:instrText>
        </w:r>
        <w:r>
          <w:rPr>
            <w:noProof/>
            <w:webHidden/>
          </w:rPr>
        </w:r>
        <w:r>
          <w:rPr>
            <w:noProof/>
            <w:webHidden/>
          </w:rPr>
          <w:fldChar w:fldCharType="separate"/>
        </w:r>
        <w:r>
          <w:rPr>
            <w:noProof/>
            <w:webHidden/>
          </w:rPr>
          <w:t>176</w:t>
        </w:r>
        <w:r>
          <w:rPr>
            <w:noProof/>
            <w:webHidden/>
          </w:rPr>
          <w:fldChar w:fldCharType="end"/>
        </w:r>
      </w:hyperlink>
    </w:p>
    <w:p w14:paraId="0C32C564" w14:textId="644D647D" w:rsidR="005A18DC" w:rsidRDefault="005A18DC">
      <w:pPr>
        <w:pStyle w:val="TOC1"/>
        <w:tabs>
          <w:tab w:val="left" w:pos="1200"/>
          <w:tab w:val="right" w:leader="dot" w:pos="10457"/>
        </w:tabs>
        <w:rPr>
          <w:rFonts w:eastAsiaTheme="minorEastAsia" w:cstheme="minorBidi"/>
          <w:b w:val="0"/>
          <w:bCs w:val="0"/>
          <w:caps w:val="0"/>
          <w:noProof/>
          <w:kern w:val="2"/>
          <w:sz w:val="22"/>
          <w:szCs w:val="22"/>
          <w:lang w:eastAsia="en-GB"/>
          <w14:ligatures w14:val="standardContextual"/>
        </w:rPr>
      </w:pPr>
      <w:hyperlink w:anchor="_Toc159251071" w:history="1">
        <w:r w:rsidRPr="001B2BCE">
          <w:rPr>
            <w:rStyle w:val="Hyperlink"/>
            <w:rFonts w:ascii="Times New Roman" w:hAnsi="Times New Roman" w:cs="Times New Roman"/>
            <w:noProof/>
          </w:rPr>
          <w:t>Annex F:</w:t>
        </w:r>
        <w:r>
          <w:rPr>
            <w:rFonts w:eastAsiaTheme="minorEastAsia" w:cstheme="minorBidi"/>
            <w:b w:val="0"/>
            <w:bCs w:val="0"/>
            <w:caps w:val="0"/>
            <w:noProof/>
            <w:kern w:val="2"/>
            <w:sz w:val="22"/>
            <w:szCs w:val="22"/>
            <w:lang w:eastAsia="en-GB"/>
            <w14:ligatures w14:val="standardContextual"/>
          </w:rPr>
          <w:tab/>
        </w:r>
        <w:r w:rsidRPr="001B2BCE">
          <w:rPr>
            <w:rStyle w:val="Hyperlink"/>
            <w:rFonts w:ascii="Times New Roman" w:hAnsi="Times New Roman" w:cs="Times New Roman"/>
            <w:noProof/>
          </w:rPr>
          <w:t>List of actions</w:t>
        </w:r>
        <w:r>
          <w:rPr>
            <w:noProof/>
            <w:webHidden/>
          </w:rPr>
          <w:tab/>
        </w:r>
        <w:r>
          <w:rPr>
            <w:noProof/>
            <w:webHidden/>
          </w:rPr>
          <w:fldChar w:fldCharType="begin"/>
        </w:r>
        <w:r>
          <w:rPr>
            <w:noProof/>
            <w:webHidden/>
          </w:rPr>
          <w:instrText xml:space="preserve"> PAGEREF _Toc159251071 \h </w:instrText>
        </w:r>
        <w:r>
          <w:rPr>
            <w:noProof/>
            <w:webHidden/>
          </w:rPr>
        </w:r>
        <w:r>
          <w:rPr>
            <w:noProof/>
            <w:webHidden/>
          </w:rPr>
          <w:fldChar w:fldCharType="separate"/>
        </w:r>
        <w:r>
          <w:rPr>
            <w:noProof/>
            <w:webHidden/>
          </w:rPr>
          <w:t>177</w:t>
        </w:r>
        <w:r>
          <w:rPr>
            <w:noProof/>
            <w:webHidden/>
          </w:rPr>
          <w:fldChar w:fldCharType="end"/>
        </w:r>
      </w:hyperlink>
    </w:p>
    <w:p w14:paraId="12CB3891" w14:textId="608C5C3F" w:rsidR="005A18DC" w:rsidRDefault="005A18DC">
      <w:pPr>
        <w:pStyle w:val="TOC1"/>
        <w:tabs>
          <w:tab w:val="left" w:pos="1400"/>
          <w:tab w:val="right" w:leader="dot" w:pos="10457"/>
        </w:tabs>
        <w:rPr>
          <w:rFonts w:eastAsiaTheme="minorEastAsia" w:cstheme="minorBidi"/>
          <w:b w:val="0"/>
          <w:bCs w:val="0"/>
          <w:caps w:val="0"/>
          <w:noProof/>
          <w:kern w:val="2"/>
          <w:sz w:val="22"/>
          <w:szCs w:val="22"/>
          <w:lang w:eastAsia="en-GB"/>
          <w14:ligatures w14:val="standardContextual"/>
        </w:rPr>
      </w:pPr>
      <w:hyperlink w:anchor="_Toc159251072" w:history="1">
        <w:r w:rsidRPr="001B2BCE">
          <w:rPr>
            <w:rStyle w:val="Hyperlink"/>
            <w:rFonts w:ascii="Times New Roman" w:hAnsi="Times New Roman" w:cs="Times New Roman"/>
            <w:noProof/>
          </w:rPr>
          <w:t>Annex G:</w:t>
        </w:r>
        <w:r>
          <w:rPr>
            <w:rFonts w:eastAsiaTheme="minorEastAsia" w:cstheme="minorBidi"/>
            <w:b w:val="0"/>
            <w:bCs w:val="0"/>
            <w:caps w:val="0"/>
            <w:noProof/>
            <w:kern w:val="2"/>
            <w:sz w:val="22"/>
            <w:szCs w:val="22"/>
            <w:lang w:eastAsia="en-GB"/>
            <w14:ligatures w14:val="standardContextual"/>
          </w:rPr>
          <w:tab/>
        </w:r>
        <w:r w:rsidRPr="001B2BCE">
          <w:rPr>
            <w:rStyle w:val="Hyperlink"/>
            <w:rFonts w:ascii="Times New Roman" w:hAnsi="Times New Roman" w:cs="Times New Roman"/>
            <w:noProof/>
          </w:rPr>
          <w:t>List of participants at RAN1 #115</w:t>
        </w:r>
        <w:r>
          <w:rPr>
            <w:noProof/>
            <w:webHidden/>
          </w:rPr>
          <w:tab/>
        </w:r>
        <w:r>
          <w:rPr>
            <w:noProof/>
            <w:webHidden/>
          </w:rPr>
          <w:fldChar w:fldCharType="begin"/>
        </w:r>
        <w:r>
          <w:rPr>
            <w:noProof/>
            <w:webHidden/>
          </w:rPr>
          <w:instrText xml:space="preserve"> PAGEREF _Toc159251072 \h </w:instrText>
        </w:r>
        <w:r>
          <w:rPr>
            <w:noProof/>
            <w:webHidden/>
          </w:rPr>
        </w:r>
        <w:r>
          <w:rPr>
            <w:noProof/>
            <w:webHidden/>
          </w:rPr>
          <w:fldChar w:fldCharType="separate"/>
        </w:r>
        <w:r>
          <w:rPr>
            <w:noProof/>
            <w:webHidden/>
          </w:rPr>
          <w:t>185</w:t>
        </w:r>
        <w:r>
          <w:rPr>
            <w:noProof/>
            <w:webHidden/>
          </w:rPr>
          <w:fldChar w:fldCharType="end"/>
        </w:r>
      </w:hyperlink>
    </w:p>
    <w:p w14:paraId="1945BEBC" w14:textId="4E80FE6C" w:rsidR="005A18DC" w:rsidRDefault="005A18DC">
      <w:pPr>
        <w:pStyle w:val="TOC1"/>
        <w:tabs>
          <w:tab w:val="left" w:pos="1400"/>
          <w:tab w:val="right" w:leader="dot" w:pos="10457"/>
        </w:tabs>
        <w:rPr>
          <w:rFonts w:eastAsiaTheme="minorEastAsia" w:cstheme="minorBidi"/>
          <w:b w:val="0"/>
          <w:bCs w:val="0"/>
          <w:caps w:val="0"/>
          <w:noProof/>
          <w:kern w:val="2"/>
          <w:sz w:val="22"/>
          <w:szCs w:val="22"/>
          <w:lang w:eastAsia="en-GB"/>
          <w14:ligatures w14:val="standardContextual"/>
        </w:rPr>
      </w:pPr>
      <w:hyperlink w:anchor="_Toc159251073" w:history="1">
        <w:r w:rsidRPr="001B2BCE">
          <w:rPr>
            <w:rStyle w:val="Hyperlink"/>
            <w:rFonts w:ascii="Times New Roman" w:hAnsi="Times New Roman" w:cs="Times New Roman"/>
            <w:noProof/>
          </w:rPr>
          <w:t>Annex H:</w:t>
        </w:r>
        <w:r>
          <w:rPr>
            <w:rFonts w:eastAsiaTheme="minorEastAsia" w:cstheme="minorBidi"/>
            <w:b w:val="0"/>
            <w:bCs w:val="0"/>
            <w:caps w:val="0"/>
            <w:noProof/>
            <w:kern w:val="2"/>
            <w:sz w:val="22"/>
            <w:szCs w:val="22"/>
            <w:lang w:eastAsia="en-GB"/>
            <w14:ligatures w14:val="standardContextual"/>
          </w:rPr>
          <w:tab/>
        </w:r>
        <w:r w:rsidRPr="001B2BCE">
          <w:rPr>
            <w:rStyle w:val="Hyperlink"/>
            <w:rFonts w:ascii="Times New Roman" w:hAnsi="Times New Roman" w:cs="Times New Roman"/>
            <w:noProof/>
          </w:rPr>
          <w:t xml:space="preserve">TSG RAN WG1 meetings in </w:t>
        </w:r>
        <w:r w:rsidRPr="001B2BCE">
          <w:rPr>
            <w:rStyle w:val="Hyperlink"/>
            <w:rFonts w:ascii="Times New Roman" w:eastAsia="MS Mincho" w:hAnsi="Times New Roman" w:cs="Times New Roman"/>
            <w:noProof/>
            <w:lang w:eastAsia="ja-JP"/>
          </w:rPr>
          <w:t>2024 – 2025</w:t>
        </w:r>
        <w:r>
          <w:rPr>
            <w:noProof/>
            <w:webHidden/>
          </w:rPr>
          <w:tab/>
        </w:r>
        <w:r>
          <w:rPr>
            <w:noProof/>
            <w:webHidden/>
          </w:rPr>
          <w:fldChar w:fldCharType="begin"/>
        </w:r>
        <w:r>
          <w:rPr>
            <w:noProof/>
            <w:webHidden/>
          </w:rPr>
          <w:instrText xml:space="preserve"> PAGEREF _Toc159251073 \h </w:instrText>
        </w:r>
        <w:r>
          <w:rPr>
            <w:noProof/>
            <w:webHidden/>
          </w:rPr>
        </w:r>
        <w:r>
          <w:rPr>
            <w:noProof/>
            <w:webHidden/>
          </w:rPr>
          <w:fldChar w:fldCharType="separate"/>
        </w:r>
        <w:r>
          <w:rPr>
            <w:noProof/>
            <w:webHidden/>
          </w:rPr>
          <w:t>186</w:t>
        </w:r>
        <w:r>
          <w:rPr>
            <w:noProof/>
            <w:webHidden/>
          </w:rPr>
          <w:fldChar w:fldCharType="end"/>
        </w:r>
      </w:hyperlink>
    </w:p>
    <w:p w14:paraId="51C5874D" w14:textId="23B304A5" w:rsidR="00666408" w:rsidRPr="009537ED" w:rsidRDefault="00011381" w:rsidP="009643F7">
      <w:pPr>
        <w:rPr>
          <w:rFonts w:ascii="Times New Roman" w:hAnsi="Times New Roman"/>
          <w:szCs w:val="20"/>
        </w:rPr>
      </w:pPr>
      <w:r w:rsidRPr="009537ED">
        <w:rPr>
          <w:rFonts w:ascii="Times New Roman" w:hAnsi="Times New Roman" w:cstheme="minorHAnsi"/>
          <w:b/>
          <w:bCs/>
          <w:caps/>
          <w:szCs w:val="20"/>
        </w:rPr>
        <w:fldChar w:fldCharType="end"/>
      </w:r>
    </w:p>
    <w:p w14:paraId="21E4648C" w14:textId="167195EA" w:rsidR="005F6CF6" w:rsidRPr="009537ED" w:rsidRDefault="005F6CF6" w:rsidP="009643F7">
      <w:pPr>
        <w:pBdr>
          <w:bottom w:val="single" w:sz="12" w:space="1" w:color="auto"/>
        </w:pBdr>
        <w:rPr>
          <w:rFonts w:ascii="Times New Roman" w:hAnsi="Times New Roman"/>
          <w:b/>
          <w:szCs w:val="20"/>
        </w:rPr>
      </w:pPr>
      <w:r w:rsidRPr="009537ED">
        <w:rPr>
          <w:rFonts w:ascii="Times New Roman" w:hAnsi="Times New Roman"/>
          <w:b/>
          <w:szCs w:val="20"/>
        </w:rPr>
        <w:br w:type="page"/>
      </w:r>
      <w:r w:rsidRPr="009537ED">
        <w:rPr>
          <w:rFonts w:ascii="Times New Roman" w:hAnsi="Times New Roman"/>
          <w:b/>
          <w:szCs w:val="20"/>
        </w:rPr>
        <w:lastRenderedPageBreak/>
        <w:t>Main</w:t>
      </w:r>
      <w:r w:rsidR="00233210" w:rsidRPr="009537ED">
        <w:rPr>
          <w:rFonts w:ascii="Times New Roman" w:hAnsi="Times New Roman"/>
          <w:b/>
          <w:szCs w:val="20"/>
        </w:rPr>
        <w:t xml:space="preserve"> </w:t>
      </w:r>
      <w:r w:rsidRPr="009537ED">
        <w:rPr>
          <w:rFonts w:ascii="Times New Roman" w:hAnsi="Times New Roman"/>
          <w:b/>
          <w:szCs w:val="20"/>
        </w:rPr>
        <w:t>facts</w:t>
      </w:r>
      <w:r w:rsidR="00233210" w:rsidRPr="009537ED">
        <w:rPr>
          <w:rFonts w:ascii="Times New Roman" w:hAnsi="Times New Roman"/>
          <w:b/>
          <w:szCs w:val="20"/>
        </w:rPr>
        <w:t xml:space="preserve"> </w:t>
      </w:r>
      <w:r w:rsidRPr="009537ED">
        <w:rPr>
          <w:rFonts w:ascii="Times New Roman" w:hAnsi="Times New Roman"/>
          <w:b/>
          <w:szCs w:val="20"/>
        </w:rPr>
        <w:t>summary</w:t>
      </w:r>
    </w:p>
    <w:p w14:paraId="51F224F4" w14:textId="77777777" w:rsidR="005F6CF6" w:rsidRPr="009537ED" w:rsidRDefault="005F6CF6" w:rsidP="009643F7">
      <w:pPr>
        <w:rPr>
          <w:rFonts w:ascii="Times New Roman" w:eastAsia="SimSun" w:hAnsi="Times New Roman"/>
          <w:kern w:val="2"/>
          <w:szCs w:val="20"/>
        </w:rPr>
      </w:pPr>
    </w:p>
    <w:p w14:paraId="7AE1E8B6" w14:textId="3B057F70" w:rsidR="0062331D" w:rsidRPr="009537ED" w:rsidRDefault="0062331D" w:rsidP="0062331D">
      <w:pPr>
        <w:rPr>
          <w:rFonts w:ascii="Times New Roman" w:eastAsia="SimSun" w:hAnsi="Times New Roman"/>
          <w:kern w:val="2"/>
          <w:szCs w:val="20"/>
        </w:rPr>
      </w:pPr>
      <w:r w:rsidRPr="009537ED">
        <w:rPr>
          <w:rFonts w:ascii="Times New Roman" w:eastAsia="SimSun" w:hAnsi="Times New Roman"/>
          <w:kern w:val="2"/>
          <w:szCs w:val="20"/>
        </w:rPr>
        <w:t>The 3GPP TSG WG RAN1</w:t>
      </w:r>
      <w:r w:rsidR="00503C2A" w:rsidRPr="009537ED">
        <w:rPr>
          <w:rFonts w:ascii="Times New Roman" w:eastAsia="SimSun" w:hAnsi="Times New Roman"/>
          <w:kern w:val="2"/>
          <w:szCs w:val="20"/>
        </w:rPr>
        <w:t>#11</w:t>
      </w:r>
      <w:r w:rsidR="00721976" w:rsidRPr="009537ED">
        <w:rPr>
          <w:rFonts w:ascii="Times New Roman" w:eastAsia="SimSun" w:hAnsi="Times New Roman"/>
          <w:kern w:val="2"/>
          <w:szCs w:val="20"/>
        </w:rPr>
        <w:t>5</w:t>
      </w:r>
      <w:r w:rsidRPr="009537ED">
        <w:rPr>
          <w:rFonts w:ascii="Times New Roman" w:eastAsia="SimSun" w:hAnsi="Times New Roman"/>
          <w:kern w:val="2"/>
          <w:szCs w:val="20"/>
        </w:rPr>
        <w:t xml:space="preserve"> meeting, hosted by</w:t>
      </w:r>
      <w:r w:rsidR="00AE38CD" w:rsidRPr="009537ED">
        <w:rPr>
          <w:rFonts w:ascii="Times New Roman" w:eastAsia="SimSun" w:hAnsi="Times New Roman"/>
          <w:kern w:val="2"/>
          <w:szCs w:val="20"/>
        </w:rPr>
        <w:t xml:space="preserve"> ATIS</w:t>
      </w:r>
      <w:r w:rsidRPr="009537ED">
        <w:rPr>
          <w:rFonts w:ascii="Times New Roman" w:eastAsia="SimSun" w:hAnsi="Times New Roman"/>
          <w:kern w:val="2"/>
          <w:szCs w:val="20"/>
        </w:rPr>
        <w:t>, was held at the</w:t>
      </w:r>
      <w:r w:rsidR="003F7277" w:rsidRPr="009537ED">
        <w:rPr>
          <w:rFonts w:ascii="Times New Roman" w:eastAsia="SimSun" w:hAnsi="Times New Roman"/>
          <w:kern w:val="2"/>
          <w:szCs w:val="20"/>
        </w:rPr>
        <w:t xml:space="preserve"> </w:t>
      </w:r>
      <w:r w:rsidR="00AE38CD" w:rsidRPr="009537ED">
        <w:rPr>
          <w:rFonts w:ascii="Times New Roman" w:eastAsia="SimSun" w:hAnsi="Times New Roman"/>
          <w:kern w:val="2"/>
          <w:szCs w:val="20"/>
        </w:rPr>
        <w:t>Hilton Chicago</w:t>
      </w:r>
      <w:r w:rsidRPr="009537ED">
        <w:rPr>
          <w:rFonts w:ascii="Times New Roman" w:eastAsia="SimSun" w:hAnsi="Times New Roman"/>
          <w:kern w:val="2"/>
          <w:szCs w:val="20"/>
        </w:rPr>
        <w:t xml:space="preserve">, </w:t>
      </w:r>
      <w:r w:rsidR="00AE38CD" w:rsidRPr="009537ED">
        <w:rPr>
          <w:rFonts w:ascii="Times New Roman" w:eastAsia="SimSun" w:hAnsi="Times New Roman"/>
          <w:kern w:val="2"/>
          <w:szCs w:val="20"/>
        </w:rPr>
        <w:t>CHICAGO, ILLINOIS, USA</w:t>
      </w:r>
      <w:r w:rsidRPr="009537ED">
        <w:rPr>
          <w:rFonts w:ascii="Times New Roman" w:eastAsia="SimSun" w:hAnsi="Times New Roman"/>
          <w:kern w:val="2"/>
          <w:szCs w:val="20"/>
        </w:rPr>
        <w:t>.</w:t>
      </w:r>
    </w:p>
    <w:p w14:paraId="47A992E4" w14:textId="4B744185" w:rsidR="0062331D" w:rsidRPr="009537ED" w:rsidRDefault="0062331D" w:rsidP="0062331D">
      <w:pPr>
        <w:rPr>
          <w:kern w:val="2"/>
        </w:rPr>
      </w:pPr>
      <w:r w:rsidRPr="00C57DB8">
        <w:rPr>
          <w:rFonts w:ascii="Times New Roman" w:eastAsia="SimSun" w:hAnsi="Times New Roman"/>
          <w:kern w:val="2"/>
          <w:szCs w:val="20"/>
        </w:rPr>
        <w:t xml:space="preserve">The meeting started at 9:00 on Monday </w:t>
      </w:r>
      <w:r w:rsidR="00AE38CD" w:rsidRPr="00C57DB8">
        <w:rPr>
          <w:rFonts w:ascii="Times New Roman" w:eastAsia="SimSun" w:hAnsi="Times New Roman"/>
          <w:kern w:val="2"/>
          <w:szCs w:val="20"/>
        </w:rPr>
        <w:t>13</w:t>
      </w:r>
      <w:r w:rsidR="00FA08F9" w:rsidRPr="00C57DB8">
        <w:rPr>
          <w:rFonts w:ascii="Times New Roman" w:eastAsia="SimSun" w:hAnsi="Times New Roman"/>
          <w:kern w:val="2"/>
          <w:szCs w:val="20"/>
        </w:rPr>
        <w:t xml:space="preserve">th </w:t>
      </w:r>
      <w:r w:rsidR="00AE38CD" w:rsidRPr="00C57DB8">
        <w:rPr>
          <w:rFonts w:ascii="Times New Roman" w:eastAsia="SimSun" w:hAnsi="Times New Roman"/>
          <w:kern w:val="2"/>
          <w:szCs w:val="20"/>
        </w:rPr>
        <w:t>Novem</w:t>
      </w:r>
      <w:r w:rsidR="00FA08F9" w:rsidRPr="00C57DB8">
        <w:rPr>
          <w:rFonts w:ascii="Times New Roman" w:eastAsia="SimSun" w:hAnsi="Times New Roman"/>
          <w:kern w:val="2"/>
          <w:szCs w:val="20"/>
        </w:rPr>
        <w:t xml:space="preserve">ber </w:t>
      </w:r>
      <w:r w:rsidRPr="00C57DB8">
        <w:rPr>
          <w:rFonts w:ascii="Times New Roman" w:eastAsia="SimSun" w:hAnsi="Times New Roman"/>
          <w:kern w:val="2"/>
          <w:szCs w:val="20"/>
        </w:rPr>
        <w:t xml:space="preserve">and finished at </w:t>
      </w:r>
      <w:r w:rsidRPr="00C57DB8">
        <w:rPr>
          <w:kern w:val="2"/>
        </w:rPr>
        <w:t>1</w:t>
      </w:r>
      <w:r w:rsidR="00C57DB8" w:rsidRPr="00C57DB8">
        <w:rPr>
          <w:kern w:val="2"/>
        </w:rPr>
        <w:t>3</w:t>
      </w:r>
      <w:r w:rsidRPr="00C57DB8">
        <w:rPr>
          <w:kern w:val="2"/>
        </w:rPr>
        <w:t>:</w:t>
      </w:r>
      <w:r w:rsidR="00C57DB8" w:rsidRPr="00C57DB8">
        <w:rPr>
          <w:kern w:val="2"/>
        </w:rPr>
        <w:t>5</w:t>
      </w:r>
      <w:r w:rsidR="00274CF7" w:rsidRPr="00C57DB8">
        <w:rPr>
          <w:kern w:val="2"/>
        </w:rPr>
        <w:t>0</w:t>
      </w:r>
      <w:r w:rsidRPr="00C57DB8">
        <w:rPr>
          <w:kern w:val="2"/>
        </w:rPr>
        <w:t xml:space="preserve"> on Friday </w:t>
      </w:r>
      <w:r w:rsidR="00FA08F9" w:rsidRPr="00C57DB8">
        <w:rPr>
          <w:kern w:val="2"/>
        </w:rPr>
        <w:t>1</w:t>
      </w:r>
      <w:r w:rsidR="00AE38CD" w:rsidRPr="00C57DB8">
        <w:rPr>
          <w:kern w:val="2"/>
        </w:rPr>
        <w:t>7</w:t>
      </w:r>
      <w:r w:rsidR="00AF1852" w:rsidRPr="00C57DB8">
        <w:rPr>
          <w:kern w:val="2"/>
        </w:rPr>
        <w:t xml:space="preserve">th </w:t>
      </w:r>
      <w:r w:rsidR="00AE38CD" w:rsidRPr="00C57DB8">
        <w:rPr>
          <w:kern w:val="2"/>
        </w:rPr>
        <w:t>November</w:t>
      </w:r>
      <w:r w:rsidR="00AF1852" w:rsidRPr="00C57DB8">
        <w:rPr>
          <w:kern w:val="2"/>
        </w:rPr>
        <w:t xml:space="preserve"> </w:t>
      </w:r>
      <w:r w:rsidR="00E6735E" w:rsidRPr="00C57DB8">
        <w:rPr>
          <w:kern w:val="2"/>
        </w:rPr>
        <w:t>2023</w:t>
      </w:r>
      <w:r w:rsidRPr="00C57DB8">
        <w:rPr>
          <w:kern w:val="2"/>
        </w:rPr>
        <w:t>.</w:t>
      </w:r>
    </w:p>
    <w:p w14:paraId="4F750992" w14:textId="77777777" w:rsidR="0062331D" w:rsidRPr="009537ED" w:rsidRDefault="0062331D" w:rsidP="0062331D">
      <w:pPr>
        <w:rPr>
          <w:rFonts w:ascii="Times New Roman" w:eastAsia="SimSun" w:hAnsi="Times New Roman"/>
          <w:kern w:val="2"/>
          <w:szCs w:val="20"/>
        </w:rPr>
      </w:pPr>
    </w:p>
    <w:p w14:paraId="1197CF28" w14:textId="306C9E4C" w:rsidR="0062331D" w:rsidRPr="009537ED" w:rsidRDefault="0062331D" w:rsidP="0062331D">
      <w:pPr>
        <w:rPr>
          <w:rFonts w:ascii="Times New Roman" w:eastAsia="MS Mincho" w:hAnsi="Times New Roman"/>
          <w:szCs w:val="20"/>
          <w:lang w:eastAsia="ja-JP"/>
        </w:rPr>
      </w:pPr>
      <w:r w:rsidRPr="00C57DB8">
        <w:rPr>
          <w:rFonts w:ascii="Times New Roman" w:eastAsia="MS Mincho" w:hAnsi="Times New Roman"/>
          <w:szCs w:val="20"/>
          <w:lang w:eastAsia="ja-JP"/>
        </w:rPr>
        <w:t xml:space="preserve">The number of attending delegates, having confirmed their participation through the electronic check-in application, was </w:t>
      </w:r>
      <w:r w:rsidR="00C57DB8">
        <w:rPr>
          <w:rFonts w:ascii="Times New Roman" w:eastAsia="MS Mincho" w:hAnsi="Times New Roman"/>
          <w:b/>
          <w:bCs/>
          <w:szCs w:val="20"/>
          <w:lang w:eastAsia="ja-JP"/>
        </w:rPr>
        <w:t>492</w:t>
      </w:r>
      <w:r w:rsidRPr="00C57DB8">
        <w:rPr>
          <w:rFonts w:ascii="Times New Roman" w:eastAsia="MS Mincho" w:hAnsi="Times New Roman"/>
          <w:b/>
          <w:szCs w:val="20"/>
          <w:lang w:eastAsia="ja-JP"/>
        </w:rPr>
        <w:t>.</w:t>
      </w:r>
    </w:p>
    <w:p w14:paraId="07F2E037" w14:textId="51AF9A3A" w:rsidR="0062331D" w:rsidRPr="009537ED" w:rsidRDefault="0062331D" w:rsidP="0062331D">
      <w:pPr>
        <w:rPr>
          <w:rFonts w:ascii="Times New Roman" w:eastAsia="MS Mincho" w:hAnsi="Times New Roman"/>
          <w:szCs w:val="20"/>
          <w:lang w:eastAsia="ja-JP"/>
        </w:rPr>
      </w:pPr>
      <w:r w:rsidRPr="00C57DB8">
        <w:rPr>
          <w:rFonts w:ascii="Times New Roman" w:eastAsia="MS Mincho" w:hAnsi="Times New Roman"/>
          <w:szCs w:val="20"/>
          <w:lang w:eastAsia="ja-JP"/>
        </w:rPr>
        <w:t xml:space="preserve">Note that the number of registered (F2F) was </w:t>
      </w:r>
      <w:r w:rsidR="00274CF7" w:rsidRPr="00C57DB8">
        <w:rPr>
          <w:rFonts w:ascii="Times New Roman" w:eastAsia="MS Mincho" w:hAnsi="Times New Roman"/>
          <w:szCs w:val="20"/>
          <w:lang w:eastAsia="ja-JP"/>
        </w:rPr>
        <w:t>7</w:t>
      </w:r>
      <w:r w:rsidR="00C57DB8">
        <w:rPr>
          <w:rFonts w:ascii="Times New Roman" w:eastAsia="MS Mincho" w:hAnsi="Times New Roman"/>
          <w:szCs w:val="20"/>
          <w:lang w:eastAsia="ja-JP"/>
        </w:rPr>
        <w:t>11</w:t>
      </w:r>
      <w:r w:rsidRPr="00C57DB8">
        <w:rPr>
          <w:rFonts w:ascii="Times New Roman" w:eastAsia="MS Mincho" w:hAnsi="Times New Roman"/>
          <w:szCs w:val="20"/>
          <w:lang w:eastAsia="ja-JP"/>
        </w:rPr>
        <w:t xml:space="preserve">, and the number of registered (online participation) was </w:t>
      </w:r>
      <w:r w:rsidR="00AC3DA3" w:rsidRPr="00C57DB8">
        <w:rPr>
          <w:rFonts w:ascii="Times New Roman" w:eastAsia="MS Mincho" w:hAnsi="Times New Roman"/>
          <w:szCs w:val="20"/>
          <w:lang w:eastAsia="ja-JP"/>
        </w:rPr>
        <w:t>3</w:t>
      </w:r>
      <w:r w:rsidR="00C57DB8">
        <w:rPr>
          <w:rFonts w:ascii="Times New Roman" w:eastAsia="MS Mincho" w:hAnsi="Times New Roman"/>
          <w:szCs w:val="20"/>
          <w:lang w:eastAsia="ja-JP"/>
        </w:rPr>
        <w:t>41</w:t>
      </w:r>
      <w:r w:rsidRPr="00C57DB8">
        <w:rPr>
          <w:rFonts w:ascii="Times New Roman" w:eastAsia="MS Mincho" w:hAnsi="Times New Roman"/>
          <w:szCs w:val="20"/>
          <w:lang w:eastAsia="ja-JP"/>
        </w:rPr>
        <w:t>.</w:t>
      </w:r>
    </w:p>
    <w:p w14:paraId="013A776F" w14:textId="2D3D3386" w:rsidR="003665D0" w:rsidRPr="009537ED" w:rsidRDefault="003665D0" w:rsidP="003665D0">
      <w:pPr>
        <w:rPr>
          <w:rFonts w:ascii="Times New Roman" w:eastAsia="MS Mincho" w:hAnsi="Times New Roman"/>
          <w:szCs w:val="20"/>
          <w:lang w:eastAsia="ja-JP"/>
        </w:rPr>
      </w:pPr>
    </w:p>
    <w:p w14:paraId="1E792738" w14:textId="3B7E6B39" w:rsidR="00DD4558" w:rsidRPr="009537ED" w:rsidRDefault="00DD4558" w:rsidP="00DD4558">
      <w:pPr>
        <w:rPr>
          <w:rFonts w:ascii="Times New Roman" w:eastAsia="MS Mincho" w:hAnsi="Times New Roman"/>
          <w:szCs w:val="20"/>
          <w:lang w:eastAsia="ja-JP"/>
        </w:rPr>
      </w:pPr>
      <w:r w:rsidRPr="009537ED">
        <w:rPr>
          <w:rFonts w:ascii="Times New Roman" w:eastAsia="MS Mincho" w:hAnsi="Times New Roman"/>
          <w:szCs w:val="20"/>
          <w:lang w:eastAsia="ja-JP"/>
        </w:rPr>
        <w:t>As RAN1</w:t>
      </w:r>
      <w:r w:rsidR="00B60F82" w:rsidRPr="009537ED">
        <w:rPr>
          <w:rFonts w:ascii="Times New Roman" w:eastAsia="MS Mincho" w:hAnsi="Times New Roman"/>
          <w:szCs w:val="20"/>
          <w:lang w:eastAsia="ja-JP"/>
        </w:rPr>
        <w:t>#11</w:t>
      </w:r>
      <w:r w:rsidR="00AE38CD" w:rsidRPr="009537ED">
        <w:rPr>
          <w:rFonts w:ascii="Times New Roman" w:eastAsia="MS Mincho" w:hAnsi="Times New Roman"/>
          <w:szCs w:val="20"/>
          <w:lang w:eastAsia="ja-JP"/>
        </w:rPr>
        <w:t>5</w:t>
      </w:r>
      <w:r w:rsidRPr="009537ED">
        <w:rPr>
          <w:rFonts w:ascii="Times New Roman" w:eastAsia="MS Mincho" w:hAnsi="Times New Roman"/>
          <w:szCs w:val="20"/>
          <w:lang w:eastAsia="ja-JP"/>
        </w:rPr>
        <w:t xml:space="preserve"> was a Face-to-Face meeting with </w:t>
      </w:r>
      <w:r w:rsidR="00FA08F9" w:rsidRPr="009537ED">
        <w:rPr>
          <w:rFonts w:ascii="Times New Roman" w:eastAsia="MS Mincho" w:hAnsi="Times New Roman"/>
          <w:szCs w:val="20"/>
          <w:lang w:eastAsia="ja-JP"/>
        </w:rPr>
        <w:t>two</w:t>
      </w:r>
      <w:r w:rsidRPr="009537ED">
        <w:rPr>
          <w:rFonts w:ascii="Times New Roman" w:eastAsia="MS Mincho" w:hAnsi="Times New Roman"/>
          <w:szCs w:val="20"/>
          <w:lang w:eastAsia="ja-JP"/>
        </w:rPr>
        <w:t xml:space="preserve">-way remote participation, GoToWebinar (GTW - for the 3 online sessions) </w:t>
      </w:r>
      <w:r w:rsidR="00AF1852" w:rsidRPr="009537ED">
        <w:rPr>
          <w:rFonts w:ascii="Times New Roman" w:eastAsia="MS Mincho" w:hAnsi="Times New Roman"/>
          <w:szCs w:val="20"/>
          <w:lang w:eastAsia="ja-JP"/>
        </w:rPr>
        <w:t xml:space="preserve">and Teams (for the 2 offline sessions) </w:t>
      </w:r>
      <w:r w:rsidRPr="009537ED">
        <w:rPr>
          <w:rFonts w:ascii="Times New Roman" w:eastAsia="MS Mincho" w:hAnsi="Times New Roman"/>
          <w:szCs w:val="20"/>
          <w:lang w:eastAsia="ja-JP"/>
        </w:rPr>
        <w:t>conference calls were set-up for the full duration of the meeting.</w:t>
      </w:r>
    </w:p>
    <w:p w14:paraId="28E255A1" w14:textId="77777777" w:rsidR="00DD4558" w:rsidRPr="009537ED" w:rsidRDefault="00DD4558" w:rsidP="00DD4558">
      <w:pPr>
        <w:rPr>
          <w:rFonts w:ascii="Times New Roman" w:eastAsia="SimSun" w:hAnsi="Times New Roman"/>
          <w:kern w:val="2"/>
          <w:szCs w:val="20"/>
        </w:rPr>
      </w:pPr>
    </w:p>
    <w:p w14:paraId="0DFBC381" w14:textId="334F059D" w:rsidR="00DD4558" w:rsidRPr="009537ED" w:rsidRDefault="00DD4558" w:rsidP="00DD4558">
      <w:pPr>
        <w:rPr>
          <w:rFonts w:ascii="Times New Roman" w:eastAsia="SimSun" w:hAnsi="Times New Roman"/>
          <w:kern w:val="2"/>
          <w:szCs w:val="20"/>
        </w:rPr>
      </w:pPr>
      <w:r w:rsidRPr="009537ED">
        <w:rPr>
          <w:rFonts w:ascii="Times New Roman" w:eastAsia="SimSun" w:hAnsi="Times New Roman"/>
          <w:kern w:val="2"/>
          <w:szCs w:val="20"/>
        </w:rPr>
        <w:t>The schedule of the RAN1</w:t>
      </w:r>
      <w:r w:rsidR="00B60F82" w:rsidRPr="009537ED">
        <w:rPr>
          <w:rFonts w:ascii="Times New Roman" w:eastAsia="SimSun" w:hAnsi="Times New Roman"/>
          <w:kern w:val="2"/>
          <w:szCs w:val="20"/>
        </w:rPr>
        <w:t>#11</w:t>
      </w:r>
      <w:r w:rsidR="00AE38CD" w:rsidRPr="009537ED">
        <w:rPr>
          <w:rFonts w:ascii="Times New Roman" w:eastAsia="SimSun" w:hAnsi="Times New Roman"/>
          <w:kern w:val="2"/>
          <w:szCs w:val="20"/>
        </w:rPr>
        <w:t>5</w:t>
      </w:r>
      <w:r w:rsidR="00FA08F9" w:rsidRPr="009537ED">
        <w:rPr>
          <w:rFonts w:ascii="Times New Roman" w:eastAsia="SimSun" w:hAnsi="Times New Roman"/>
          <w:kern w:val="2"/>
          <w:szCs w:val="20"/>
        </w:rPr>
        <w:t xml:space="preserve"> </w:t>
      </w:r>
      <w:r w:rsidRPr="009537ED">
        <w:rPr>
          <w:rFonts w:ascii="Times New Roman" w:eastAsia="SimSun" w:hAnsi="Times New Roman"/>
          <w:kern w:val="2"/>
          <w:szCs w:val="20"/>
        </w:rPr>
        <w:t>Online Sessions is detailed in Annex A-2.</w:t>
      </w:r>
    </w:p>
    <w:p w14:paraId="090C549E" w14:textId="77777777" w:rsidR="00B67B40" w:rsidRPr="009537ED" w:rsidRDefault="00B67B40" w:rsidP="00DD4558">
      <w:pPr>
        <w:rPr>
          <w:rFonts w:ascii="Times New Roman" w:eastAsia="SimSun" w:hAnsi="Times New Roman"/>
          <w:kern w:val="2"/>
          <w:szCs w:val="20"/>
        </w:rPr>
      </w:pPr>
    </w:p>
    <w:p w14:paraId="1A9556D1" w14:textId="77777777" w:rsidR="00F34318" w:rsidRPr="009537ED" w:rsidRDefault="00F34318">
      <w:pPr>
        <w:rPr>
          <w:rFonts w:ascii="Times New Roman" w:eastAsia="SimSun" w:hAnsi="Times New Roman"/>
          <w:kern w:val="2"/>
          <w:szCs w:val="20"/>
        </w:rPr>
      </w:pPr>
    </w:p>
    <w:p w14:paraId="107ACE1B" w14:textId="1E9D90EF" w:rsidR="007A5AC0" w:rsidRPr="009537ED" w:rsidRDefault="007A5AC0" w:rsidP="009643F7">
      <w:pPr>
        <w:rPr>
          <w:rFonts w:ascii="Times New Roman" w:hAnsi="Times New Roman"/>
          <w:b/>
          <w:szCs w:val="20"/>
        </w:rPr>
      </w:pPr>
      <w:r w:rsidRPr="009537ED">
        <w:rPr>
          <w:rFonts w:ascii="Times New Roman" w:hAnsi="Times New Roman"/>
          <w:b/>
          <w:szCs w:val="20"/>
        </w:rPr>
        <w:t>The</w:t>
      </w:r>
      <w:r w:rsidR="00233210" w:rsidRPr="009537ED">
        <w:rPr>
          <w:rFonts w:ascii="Times New Roman" w:hAnsi="Times New Roman"/>
          <w:b/>
          <w:szCs w:val="20"/>
        </w:rPr>
        <w:t xml:space="preserve"> </w:t>
      </w:r>
      <w:r w:rsidRPr="009537ED">
        <w:rPr>
          <w:rFonts w:ascii="Times New Roman" w:hAnsi="Times New Roman"/>
          <w:b/>
          <w:szCs w:val="20"/>
        </w:rPr>
        <w:t>list</w:t>
      </w:r>
      <w:r w:rsidR="00233210" w:rsidRPr="009537ED">
        <w:rPr>
          <w:rFonts w:ascii="Times New Roman" w:hAnsi="Times New Roman"/>
          <w:b/>
          <w:szCs w:val="20"/>
        </w:rPr>
        <w:t xml:space="preserve"> </w:t>
      </w:r>
      <w:r w:rsidRPr="009537ED">
        <w:rPr>
          <w:rFonts w:ascii="Times New Roman" w:hAnsi="Times New Roman"/>
          <w:b/>
          <w:szCs w:val="20"/>
        </w:rPr>
        <w:t>of</w:t>
      </w:r>
      <w:r w:rsidR="00233210" w:rsidRPr="009537ED">
        <w:rPr>
          <w:rFonts w:ascii="Times New Roman" w:hAnsi="Times New Roman"/>
          <w:b/>
          <w:szCs w:val="20"/>
        </w:rPr>
        <w:t xml:space="preserve"> </w:t>
      </w:r>
      <w:r w:rsidRPr="009537ED">
        <w:rPr>
          <w:rFonts w:ascii="Times New Roman" w:hAnsi="Times New Roman"/>
          <w:b/>
          <w:szCs w:val="20"/>
        </w:rPr>
        <w:t>action</w:t>
      </w:r>
      <w:r w:rsidR="00233210" w:rsidRPr="009537ED">
        <w:rPr>
          <w:rFonts w:ascii="Times New Roman" w:hAnsi="Times New Roman"/>
          <w:b/>
          <w:szCs w:val="20"/>
        </w:rPr>
        <w:t xml:space="preserve"> </w:t>
      </w:r>
      <w:r w:rsidRPr="009537ED">
        <w:rPr>
          <w:rFonts w:ascii="Times New Roman" w:hAnsi="Times New Roman"/>
          <w:b/>
          <w:szCs w:val="20"/>
        </w:rPr>
        <w:t>points</w:t>
      </w:r>
      <w:r w:rsidR="00233210" w:rsidRPr="009537ED">
        <w:rPr>
          <w:rFonts w:ascii="Times New Roman" w:hAnsi="Times New Roman"/>
          <w:b/>
          <w:szCs w:val="20"/>
        </w:rPr>
        <w:t xml:space="preserve"> </w:t>
      </w:r>
      <w:r w:rsidRPr="009537ED">
        <w:rPr>
          <w:rFonts w:ascii="Times New Roman" w:hAnsi="Times New Roman"/>
          <w:b/>
          <w:szCs w:val="20"/>
        </w:rPr>
        <w:t>that</w:t>
      </w:r>
      <w:r w:rsidR="00233210" w:rsidRPr="009537ED">
        <w:rPr>
          <w:rFonts w:ascii="Times New Roman" w:hAnsi="Times New Roman"/>
          <w:b/>
          <w:szCs w:val="20"/>
        </w:rPr>
        <w:t xml:space="preserve"> </w:t>
      </w:r>
      <w:r w:rsidRPr="009537ED">
        <w:rPr>
          <w:rFonts w:ascii="Times New Roman" w:hAnsi="Times New Roman"/>
          <w:b/>
          <w:szCs w:val="20"/>
        </w:rPr>
        <w:t>require</w:t>
      </w:r>
      <w:r w:rsidR="00233210" w:rsidRPr="009537ED">
        <w:rPr>
          <w:rFonts w:ascii="Times New Roman" w:hAnsi="Times New Roman"/>
          <w:b/>
          <w:szCs w:val="20"/>
        </w:rPr>
        <w:t xml:space="preserve"> </w:t>
      </w:r>
      <w:r w:rsidRPr="009537ED">
        <w:rPr>
          <w:rFonts w:ascii="Times New Roman" w:hAnsi="Times New Roman"/>
          <w:b/>
          <w:szCs w:val="20"/>
        </w:rPr>
        <w:t>RAN1</w:t>
      </w:r>
      <w:r w:rsidR="00233210" w:rsidRPr="009537ED">
        <w:rPr>
          <w:rFonts w:ascii="Times New Roman" w:hAnsi="Times New Roman"/>
          <w:b/>
          <w:szCs w:val="20"/>
        </w:rPr>
        <w:t xml:space="preserve"> </w:t>
      </w:r>
      <w:r w:rsidR="006051A6" w:rsidRPr="009537ED">
        <w:rPr>
          <w:rFonts w:ascii="Times New Roman" w:hAnsi="Times New Roman"/>
          <w:b/>
          <w:szCs w:val="20"/>
        </w:rPr>
        <w:t>post</w:t>
      </w:r>
      <w:r w:rsidR="00233210" w:rsidRPr="009537ED">
        <w:rPr>
          <w:rFonts w:ascii="Times New Roman" w:hAnsi="Times New Roman"/>
          <w:b/>
          <w:szCs w:val="20"/>
        </w:rPr>
        <w:t xml:space="preserve"> </w:t>
      </w:r>
      <w:r w:rsidR="006051A6" w:rsidRPr="009537ED">
        <w:rPr>
          <w:rFonts w:ascii="Times New Roman" w:hAnsi="Times New Roman"/>
          <w:b/>
          <w:szCs w:val="20"/>
        </w:rPr>
        <w:t>meeting</w:t>
      </w:r>
      <w:r w:rsidR="00233210" w:rsidRPr="009537ED">
        <w:rPr>
          <w:rFonts w:ascii="Times New Roman" w:hAnsi="Times New Roman"/>
          <w:b/>
          <w:szCs w:val="20"/>
        </w:rPr>
        <w:t xml:space="preserve"> </w:t>
      </w:r>
      <w:r w:rsidR="006051A6" w:rsidRPr="009537ED">
        <w:rPr>
          <w:rFonts w:ascii="Times New Roman" w:hAnsi="Times New Roman"/>
          <w:b/>
          <w:szCs w:val="20"/>
        </w:rPr>
        <w:t>f</w:t>
      </w:r>
      <w:r w:rsidRPr="009537ED">
        <w:rPr>
          <w:rFonts w:ascii="Times New Roman" w:hAnsi="Times New Roman"/>
          <w:b/>
          <w:szCs w:val="20"/>
        </w:rPr>
        <w:t>ollow-up</w:t>
      </w:r>
      <w:r w:rsidR="00233210" w:rsidRPr="009537ED">
        <w:rPr>
          <w:rFonts w:ascii="Times New Roman" w:hAnsi="Times New Roman"/>
          <w:b/>
          <w:szCs w:val="20"/>
        </w:rPr>
        <w:t xml:space="preserve"> </w:t>
      </w:r>
      <w:r w:rsidRPr="009537ED">
        <w:rPr>
          <w:rFonts w:ascii="Times New Roman" w:hAnsi="Times New Roman"/>
          <w:b/>
          <w:szCs w:val="20"/>
        </w:rPr>
        <w:t>is</w:t>
      </w:r>
      <w:r w:rsidR="00233210" w:rsidRPr="009537ED">
        <w:rPr>
          <w:rFonts w:ascii="Times New Roman" w:hAnsi="Times New Roman"/>
          <w:b/>
          <w:szCs w:val="20"/>
        </w:rPr>
        <w:t xml:space="preserve"> </w:t>
      </w:r>
      <w:r w:rsidRPr="009537ED">
        <w:rPr>
          <w:rFonts w:ascii="Times New Roman" w:hAnsi="Times New Roman"/>
          <w:b/>
          <w:szCs w:val="20"/>
        </w:rPr>
        <w:t>listed</w:t>
      </w:r>
      <w:r w:rsidR="00233210" w:rsidRPr="009537ED">
        <w:rPr>
          <w:rFonts w:ascii="Times New Roman" w:hAnsi="Times New Roman"/>
          <w:b/>
          <w:szCs w:val="20"/>
        </w:rPr>
        <w:t xml:space="preserve"> </w:t>
      </w:r>
      <w:r w:rsidRPr="009537ED">
        <w:rPr>
          <w:rFonts w:ascii="Times New Roman" w:hAnsi="Times New Roman"/>
          <w:b/>
          <w:szCs w:val="20"/>
        </w:rPr>
        <w:t>in</w:t>
      </w:r>
      <w:r w:rsidR="00233210" w:rsidRPr="009537ED">
        <w:rPr>
          <w:rFonts w:ascii="Times New Roman" w:hAnsi="Times New Roman"/>
          <w:b/>
          <w:szCs w:val="20"/>
        </w:rPr>
        <w:t xml:space="preserve"> </w:t>
      </w:r>
      <w:r w:rsidRPr="009537ED">
        <w:rPr>
          <w:rFonts w:ascii="Times New Roman" w:hAnsi="Times New Roman"/>
          <w:b/>
          <w:szCs w:val="20"/>
        </w:rPr>
        <w:t>Annex</w:t>
      </w:r>
      <w:r w:rsidR="00233210" w:rsidRPr="009537ED">
        <w:rPr>
          <w:rFonts w:ascii="Times New Roman" w:hAnsi="Times New Roman"/>
          <w:b/>
          <w:szCs w:val="20"/>
        </w:rPr>
        <w:t xml:space="preserve"> </w:t>
      </w:r>
      <w:r w:rsidRPr="009537ED">
        <w:rPr>
          <w:rFonts w:ascii="Times New Roman" w:hAnsi="Times New Roman"/>
          <w:b/>
          <w:szCs w:val="20"/>
        </w:rPr>
        <w:t>F</w:t>
      </w:r>
      <w:r w:rsidR="00233210" w:rsidRPr="009537ED">
        <w:rPr>
          <w:rFonts w:ascii="Times New Roman" w:hAnsi="Times New Roman"/>
          <w:b/>
          <w:szCs w:val="20"/>
        </w:rPr>
        <w:t xml:space="preserve"> </w:t>
      </w:r>
      <w:r w:rsidRPr="009537ED">
        <w:rPr>
          <w:rFonts w:ascii="Times New Roman" w:hAnsi="Times New Roman"/>
          <w:b/>
          <w:szCs w:val="20"/>
        </w:rPr>
        <w:t>(end</w:t>
      </w:r>
      <w:r w:rsidR="00233210" w:rsidRPr="009537ED">
        <w:rPr>
          <w:rFonts w:ascii="Times New Roman" w:hAnsi="Times New Roman"/>
          <w:b/>
          <w:szCs w:val="20"/>
        </w:rPr>
        <w:t xml:space="preserve"> </w:t>
      </w:r>
      <w:r w:rsidRPr="009537ED">
        <w:rPr>
          <w:rFonts w:ascii="Times New Roman" w:hAnsi="Times New Roman"/>
          <w:b/>
          <w:szCs w:val="20"/>
        </w:rPr>
        <w:t>of</w:t>
      </w:r>
      <w:r w:rsidR="00233210" w:rsidRPr="009537ED">
        <w:rPr>
          <w:rFonts w:ascii="Times New Roman" w:hAnsi="Times New Roman"/>
          <w:b/>
          <w:szCs w:val="20"/>
        </w:rPr>
        <w:t xml:space="preserve"> </w:t>
      </w:r>
      <w:r w:rsidRPr="009537ED">
        <w:rPr>
          <w:rFonts w:ascii="Times New Roman" w:hAnsi="Times New Roman"/>
          <w:b/>
          <w:szCs w:val="20"/>
        </w:rPr>
        <w:t>document).</w:t>
      </w:r>
    </w:p>
    <w:p w14:paraId="5241944F" w14:textId="77777777" w:rsidR="007A5AC0" w:rsidRPr="009537ED" w:rsidRDefault="007A5AC0" w:rsidP="009643F7">
      <w:pPr>
        <w:rPr>
          <w:rFonts w:ascii="Times New Roman" w:eastAsia="SimSun" w:hAnsi="Times New Roman"/>
          <w:kern w:val="2"/>
          <w:szCs w:val="20"/>
          <w:highlight w:val="yellow"/>
        </w:rPr>
      </w:pPr>
    </w:p>
    <w:p w14:paraId="38E384E0" w14:textId="4C8B87CB" w:rsidR="007A5AC0" w:rsidRPr="009537ED" w:rsidRDefault="007A5AC0" w:rsidP="009643F7">
      <w:pPr>
        <w:rPr>
          <w:rFonts w:ascii="Times New Roman" w:eastAsia="SimSun" w:hAnsi="Times New Roman"/>
          <w:kern w:val="2"/>
          <w:szCs w:val="20"/>
        </w:rPr>
      </w:pPr>
      <w:r w:rsidRPr="00A6784C">
        <w:rPr>
          <w:rFonts w:ascii="Times New Roman" w:eastAsia="SimSun" w:hAnsi="Times New Roman"/>
          <w:kern w:val="2"/>
          <w:szCs w:val="20"/>
        </w:rPr>
        <w:t>The</w:t>
      </w:r>
      <w:r w:rsidR="00233210" w:rsidRPr="00A6784C">
        <w:rPr>
          <w:rFonts w:ascii="Times New Roman" w:eastAsia="SimSun" w:hAnsi="Times New Roman"/>
          <w:kern w:val="2"/>
          <w:szCs w:val="20"/>
        </w:rPr>
        <w:t xml:space="preserve"> </w:t>
      </w:r>
      <w:r w:rsidRPr="00A6784C">
        <w:rPr>
          <w:rFonts w:ascii="Times New Roman" w:eastAsia="SimSun" w:hAnsi="Times New Roman"/>
          <w:kern w:val="2"/>
          <w:szCs w:val="20"/>
        </w:rPr>
        <w:t>number</w:t>
      </w:r>
      <w:r w:rsidR="00233210" w:rsidRPr="00A6784C">
        <w:rPr>
          <w:rFonts w:ascii="Times New Roman" w:eastAsia="SimSun" w:hAnsi="Times New Roman"/>
          <w:kern w:val="2"/>
          <w:szCs w:val="20"/>
        </w:rPr>
        <w:t xml:space="preserve"> </w:t>
      </w:r>
      <w:r w:rsidRPr="00A6784C">
        <w:rPr>
          <w:rFonts w:ascii="Times New Roman" w:eastAsia="SimSun" w:hAnsi="Times New Roman"/>
          <w:kern w:val="2"/>
          <w:szCs w:val="20"/>
        </w:rPr>
        <w:t>of</w:t>
      </w:r>
      <w:r w:rsidR="00233210" w:rsidRPr="00A6784C">
        <w:rPr>
          <w:rFonts w:ascii="Times New Roman" w:eastAsia="SimSun" w:hAnsi="Times New Roman"/>
          <w:kern w:val="2"/>
          <w:szCs w:val="20"/>
        </w:rPr>
        <w:t xml:space="preserve"> </w:t>
      </w:r>
      <w:r w:rsidRPr="00A6784C">
        <w:rPr>
          <w:rFonts w:ascii="Times New Roman" w:eastAsia="SimSun" w:hAnsi="Times New Roman"/>
          <w:kern w:val="2"/>
          <w:szCs w:val="20"/>
        </w:rPr>
        <w:t>contribution</w:t>
      </w:r>
      <w:r w:rsidR="006762CB" w:rsidRPr="00A6784C">
        <w:rPr>
          <w:rFonts w:ascii="Times New Roman" w:eastAsia="SimSun" w:hAnsi="Times New Roman"/>
          <w:kern w:val="2"/>
          <w:szCs w:val="20"/>
        </w:rPr>
        <w:t>s</w:t>
      </w:r>
      <w:r w:rsidR="00233210" w:rsidRPr="00A6784C">
        <w:rPr>
          <w:rFonts w:ascii="Times New Roman" w:eastAsia="SimSun" w:hAnsi="Times New Roman"/>
          <w:kern w:val="2"/>
          <w:szCs w:val="20"/>
        </w:rPr>
        <w:t xml:space="preserve"> </w:t>
      </w:r>
      <w:r w:rsidRPr="00A6784C">
        <w:rPr>
          <w:rFonts w:ascii="Times New Roman" w:eastAsia="SimSun" w:hAnsi="Times New Roman"/>
          <w:kern w:val="2"/>
          <w:szCs w:val="20"/>
        </w:rPr>
        <w:t>for</w:t>
      </w:r>
      <w:r w:rsidR="00233210" w:rsidRPr="00A6784C">
        <w:rPr>
          <w:rFonts w:ascii="Times New Roman" w:eastAsia="SimSun" w:hAnsi="Times New Roman"/>
          <w:kern w:val="2"/>
          <w:szCs w:val="20"/>
        </w:rPr>
        <w:t xml:space="preserve"> </w:t>
      </w:r>
      <w:r w:rsidRPr="00A6784C">
        <w:rPr>
          <w:rFonts w:ascii="Times New Roman" w:eastAsia="SimSun" w:hAnsi="Times New Roman"/>
          <w:kern w:val="2"/>
          <w:szCs w:val="20"/>
        </w:rPr>
        <w:t>this</w:t>
      </w:r>
      <w:r w:rsidR="00233210" w:rsidRPr="00A6784C">
        <w:rPr>
          <w:rFonts w:ascii="Times New Roman" w:eastAsia="SimSun" w:hAnsi="Times New Roman"/>
          <w:kern w:val="2"/>
          <w:szCs w:val="20"/>
        </w:rPr>
        <w:t xml:space="preserve"> </w:t>
      </w:r>
      <w:r w:rsidRPr="00A6784C">
        <w:rPr>
          <w:rFonts w:ascii="Times New Roman" w:eastAsia="SimSun" w:hAnsi="Times New Roman"/>
          <w:kern w:val="2"/>
          <w:szCs w:val="20"/>
        </w:rPr>
        <w:t>meeting</w:t>
      </w:r>
      <w:r w:rsidR="00233210" w:rsidRPr="00A6784C">
        <w:rPr>
          <w:rFonts w:ascii="Times New Roman" w:eastAsia="SimSun" w:hAnsi="Times New Roman"/>
          <w:kern w:val="2"/>
          <w:szCs w:val="20"/>
        </w:rPr>
        <w:t xml:space="preserve"> </w:t>
      </w:r>
      <w:r w:rsidRPr="00A6784C">
        <w:rPr>
          <w:rFonts w:ascii="Times New Roman" w:eastAsia="SimSun" w:hAnsi="Times New Roman"/>
          <w:kern w:val="2"/>
          <w:szCs w:val="20"/>
        </w:rPr>
        <w:t>was</w:t>
      </w:r>
      <w:r w:rsidR="00233210" w:rsidRPr="00A6784C">
        <w:rPr>
          <w:rFonts w:ascii="Times New Roman" w:eastAsia="SimSun" w:hAnsi="Times New Roman"/>
          <w:kern w:val="2"/>
          <w:szCs w:val="20"/>
        </w:rPr>
        <w:t xml:space="preserve"> </w:t>
      </w:r>
      <w:r w:rsidR="00FD4932" w:rsidRPr="00A6784C">
        <w:rPr>
          <w:rFonts w:ascii="Times New Roman" w:eastAsia="SimSun" w:hAnsi="Times New Roman"/>
          <w:kern w:val="2"/>
          <w:szCs w:val="20"/>
        </w:rPr>
        <w:t>2018</w:t>
      </w:r>
      <w:r w:rsidR="008D5901" w:rsidRPr="00A6784C">
        <w:rPr>
          <w:rFonts w:ascii="Times New Roman" w:eastAsia="SimSun" w:hAnsi="Times New Roman"/>
          <w:kern w:val="2"/>
          <w:szCs w:val="20"/>
        </w:rPr>
        <w:t>.</w:t>
      </w:r>
    </w:p>
    <w:p w14:paraId="0DB4A2F7" w14:textId="77777777" w:rsidR="007A5AC0" w:rsidRPr="009537ED" w:rsidRDefault="007A5AC0" w:rsidP="009643F7">
      <w:pPr>
        <w:rPr>
          <w:rFonts w:ascii="Times New Roman" w:hAnsi="Times New Roman"/>
          <w:szCs w:val="20"/>
          <w:highlight w:val="yellow"/>
        </w:rPr>
      </w:pPr>
    </w:p>
    <w:p w14:paraId="57E9C4E0" w14:textId="2F9199BB" w:rsidR="00D016B6" w:rsidRPr="009537ED" w:rsidRDefault="007A5AC0" w:rsidP="009643F7">
      <w:pPr>
        <w:rPr>
          <w:rFonts w:ascii="Times New Roman" w:hAnsi="Times New Roman"/>
          <w:szCs w:val="20"/>
        </w:rPr>
      </w:pPr>
      <w:r w:rsidRPr="009537ED">
        <w:rPr>
          <w:rFonts w:ascii="Times New Roman" w:hAnsi="Times New Roman"/>
          <w:szCs w:val="20"/>
        </w:rPr>
        <w:t>Note:</w:t>
      </w:r>
      <w:r w:rsidR="00233210" w:rsidRPr="009537ED">
        <w:rPr>
          <w:rFonts w:ascii="Times New Roman" w:hAnsi="Times New Roman"/>
          <w:szCs w:val="20"/>
        </w:rPr>
        <w:t xml:space="preserve"> </w:t>
      </w:r>
      <w:r w:rsidRPr="009537ED">
        <w:rPr>
          <w:rFonts w:ascii="Times New Roman" w:hAnsi="Times New Roman"/>
          <w:szCs w:val="20"/>
        </w:rPr>
        <w:t>The</w:t>
      </w:r>
      <w:r w:rsidR="00233210" w:rsidRPr="009537ED">
        <w:rPr>
          <w:rFonts w:ascii="Times New Roman" w:hAnsi="Times New Roman"/>
          <w:szCs w:val="20"/>
        </w:rPr>
        <w:t xml:space="preserve"> </w:t>
      </w:r>
      <w:r w:rsidRPr="009537ED">
        <w:rPr>
          <w:rFonts w:ascii="Times New Roman" w:hAnsi="Times New Roman"/>
          <w:szCs w:val="20"/>
        </w:rPr>
        <w:t>amount</w:t>
      </w:r>
      <w:r w:rsidR="00233210" w:rsidRPr="009537ED">
        <w:rPr>
          <w:rFonts w:ascii="Times New Roman" w:hAnsi="Times New Roman"/>
          <w:szCs w:val="20"/>
        </w:rPr>
        <w:t xml:space="preserve"> </w:t>
      </w:r>
      <w:r w:rsidRPr="009537ED">
        <w:rPr>
          <w:rFonts w:ascii="Times New Roman" w:hAnsi="Times New Roman"/>
          <w:szCs w:val="20"/>
        </w:rPr>
        <w:t>of</w:t>
      </w:r>
      <w:r w:rsidR="00233210" w:rsidRPr="009537ED">
        <w:rPr>
          <w:rFonts w:ascii="Times New Roman" w:hAnsi="Times New Roman"/>
          <w:szCs w:val="20"/>
        </w:rPr>
        <w:t xml:space="preserve"> </w:t>
      </w:r>
      <w:r w:rsidRPr="009537ED">
        <w:rPr>
          <w:rFonts w:ascii="Times New Roman" w:hAnsi="Times New Roman"/>
          <w:szCs w:val="20"/>
        </w:rPr>
        <w:t>documents</w:t>
      </w:r>
      <w:r w:rsidR="00233210" w:rsidRPr="009537ED">
        <w:rPr>
          <w:rFonts w:ascii="Times New Roman" w:hAnsi="Times New Roman"/>
          <w:szCs w:val="20"/>
        </w:rPr>
        <w:t xml:space="preserve"> </w:t>
      </w:r>
      <w:r w:rsidRPr="009537ED">
        <w:rPr>
          <w:rFonts w:ascii="Times New Roman" w:hAnsi="Times New Roman"/>
          <w:szCs w:val="20"/>
        </w:rPr>
        <w:t>includes</w:t>
      </w:r>
      <w:r w:rsidR="00233210" w:rsidRPr="009537ED">
        <w:rPr>
          <w:rFonts w:ascii="Times New Roman" w:hAnsi="Times New Roman"/>
          <w:szCs w:val="20"/>
        </w:rPr>
        <w:t xml:space="preserve"> </w:t>
      </w:r>
      <w:r w:rsidRPr="009537ED">
        <w:rPr>
          <w:rFonts w:ascii="Times New Roman" w:hAnsi="Times New Roman"/>
          <w:szCs w:val="20"/>
        </w:rPr>
        <w:t>those</w:t>
      </w:r>
      <w:r w:rsidR="00233210" w:rsidRPr="009537ED">
        <w:rPr>
          <w:rFonts w:ascii="Times New Roman" w:hAnsi="Times New Roman"/>
          <w:szCs w:val="20"/>
        </w:rPr>
        <w:t xml:space="preserve"> </w:t>
      </w:r>
      <w:r w:rsidRPr="009537ED">
        <w:rPr>
          <w:rFonts w:ascii="Times New Roman" w:hAnsi="Times New Roman"/>
          <w:szCs w:val="20"/>
        </w:rPr>
        <w:t>discussed</w:t>
      </w:r>
      <w:r w:rsidR="00233210" w:rsidRPr="009537ED">
        <w:rPr>
          <w:rFonts w:ascii="Times New Roman" w:hAnsi="Times New Roman"/>
          <w:szCs w:val="20"/>
        </w:rPr>
        <w:t xml:space="preserve"> </w:t>
      </w:r>
      <w:r w:rsidRPr="009537ED">
        <w:rPr>
          <w:rFonts w:ascii="Times New Roman" w:hAnsi="Times New Roman"/>
          <w:szCs w:val="20"/>
        </w:rPr>
        <w:t>during</w:t>
      </w:r>
      <w:r w:rsidR="00233210" w:rsidRPr="009537ED">
        <w:rPr>
          <w:rFonts w:ascii="Times New Roman" w:hAnsi="Times New Roman"/>
          <w:szCs w:val="20"/>
        </w:rPr>
        <w:t xml:space="preserve"> </w:t>
      </w:r>
      <w:r w:rsidRPr="009537ED">
        <w:rPr>
          <w:rFonts w:ascii="Times New Roman" w:hAnsi="Times New Roman"/>
          <w:szCs w:val="20"/>
        </w:rPr>
        <w:t>the</w:t>
      </w:r>
      <w:r w:rsidR="00233210" w:rsidRPr="009537ED">
        <w:rPr>
          <w:rFonts w:ascii="Times New Roman" w:hAnsi="Times New Roman"/>
          <w:szCs w:val="20"/>
        </w:rPr>
        <w:t xml:space="preserve"> </w:t>
      </w:r>
      <w:r w:rsidRPr="009537ED">
        <w:rPr>
          <w:rFonts w:ascii="Times New Roman" w:hAnsi="Times New Roman"/>
          <w:szCs w:val="20"/>
        </w:rPr>
        <w:t>email</w:t>
      </w:r>
      <w:r w:rsidR="00233210" w:rsidRPr="009537ED">
        <w:rPr>
          <w:rFonts w:ascii="Times New Roman" w:hAnsi="Times New Roman"/>
          <w:szCs w:val="20"/>
        </w:rPr>
        <w:t xml:space="preserve"> </w:t>
      </w:r>
      <w:r w:rsidRPr="009537ED">
        <w:rPr>
          <w:rFonts w:ascii="Times New Roman" w:hAnsi="Times New Roman"/>
          <w:szCs w:val="20"/>
        </w:rPr>
        <w:t>discussion</w:t>
      </w:r>
      <w:r w:rsidR="00233210" w:rsidRPr="009537ED">
        <w:rPr>
          <w:rFonts w:ascii="Times New Roman" w:hAnsi="Times New Roman"/>
          <w:szCs w:val="20"/>
        </w:rPr>
        <w:t xml:space="preserve"> </w:t>
      </w:r>
      <w:r w:rsidRPr="009537ED">
        <w:rPr>
          <w:rFonts w:ascii="Times New Roman" w:hAnsi="Times New Roman"/>
          <w:szCs w:val="20"/>
        </w:rPr>
        <w:t>session</w:t>
      </w:r>
      <w:r w:rsidR="00233210" w:rsidRPr="009537ED">
        <w:rPr>
          <w:rFonts w:ascii="Times New Roman" w:hAnsi="Times New Roman"/>
          <w:szCs w:val="20"/>
        </w:rPr>
        <w:t xml:space="preserve"> </w:t>
      </w:r>
      <w:r w:rsidRPr="009537ED">
        <w:rPr>
          <w:rFonts w:ascii="Times New Roman" w:hAnsi="Times New Roman"/>
          <w:szCs w:val="20"/>
        </w:rPr>
        <w:t>post</w:t>
      </w:r>
      <w:r w:rsidR="00233210" w:rsidRPr="009537ED">
        <w:rPr>
          <w:rFonts w:ascii="Times New Roman" w:hAnsi="Times New Roman"/>
          <w:szCs w:val="20"/>
        </w:rPr>
        <w:t xml:space="preserve"> </w:t>
      </w:r>
      <w:r w:rsidRPr="009537ED">
        <w:rPr>
          <w:rFonts w:ascii="Times New Roman" w:hAnsi="Times New Roman"/>
          <w:szCs w:val="20"/>
        </w:rPr>
        <w:t>meeting.</w:t>
      </w:r>
    </w:p>
    <w:p w14:paraId="552EDAB3" w14:textId="77777777" w:rsidR="006762CB" w:rsidRPr="009537ED" w:rsidRDefault="006762CB" w:rsidP="009643F7">
      <w:pPr>
        <w:rPr>
          <w:rFonts w:ascii="Times New Roman" w:hAnsi="Times New Roman"/>
          <w:szCs w:val="20"/>
        </w:rPr>
      </w:pPr>
    </w:p>
    <w:tbl>
      <w:tblPr>
        <w:tblStyle w:val="TableGrid"/>
        <w:tblW w:w="0" w:type="auto"/>
        <w:tblLook w:val="04A0" w:firstRow="1" w:lastRow="0" w:firstColumn="1" w:lastColumn="0" w:noHBand="0" w:noVBand="1"/>
      </w:tblPr>
      <w:tblGrid>
        <w:gridCol w:w="1413"/>
        <w:gridCol w:w="7654"/>
      </w:tblGrid>
      <w:tr w:rsidR="006762CB" w:rsidRPr="009537ED" w14:paraId="6B1ED3FA" w14:textId="77777777" w:rsidTr="006762CB">
        <w:tc>
          <w:tcPr>
            <w:tcW w:w="1413" w:type="dxa"/>
            <w:shd w:val="clear" w:color="auto" w:fill="00FF00"/>
          </w:tcPr>
          <w:p w14:paraId="30F59098" w14:textId="77777777" w:rsidR="006762CB" w:rsidRPr="009537ED" w:rsidRDefault="006762CB" w:rsidP="009643F7">
            <w:pPr>
              <w:rPr>
                <w:rFonts w:ascii="Arial" w:hAnsi="Arial" w:cs="Arial"/>
                <w:sz w:val="16"/>
                <w:szCs w:val="16"/>
              </w:rPr>
            </w:pPr>
          </w:p>
        </w:tc>
        <w:tc>
          <w:tcPr>
            <w:tcW w:w="7654" w:type="dxa"/>
          </w:tcPr>
          <w:p w14:paraId="57B8E465" w14:textId="03AB5AE1" w:rsidR="006762CB" w:rsidRPr="009537ED" w:rsidRDefault="006762CB" w:rsidP="009643F7">
            <w:pPr>
              <w:rPr>
                <w:rFonts w:ascii="Arial" w:hAnsi="Arial" w:cs="Arial"/>
                <w:sz w:val="16"/>
                <w:szCs w:val="16"/>
              </w:rPr>
            </w:pPr>
            <w:r w:rsidRPr="009537ED">
              <w:rPr>
                <w:rFonts w:ascii="Arial" w:hAnsi="Arial" w:cs="Arial"/>
                <w:sz w:val="16"/>
                <w:szCs w:val="16"/>
              </w:rPr>
              <w:t>Contribution</w:t>
            </w:r>
            <w:r w:rsidR="00233210" w:rsidRPr="009537ED">
              <w:rPr>
                <w:rFonts w:ascii="Arial" w:hAnsi="Arial" w:cs="Arial"/>
                <w:sz w:val="16"/>
                <w:szCs w:val="16"/>
              </w:rPr>
              <w:t xml:space="preserve"> </w:t>
            </w:r>
            <w:r w:rsidRPr="009537ED">
              <w:rPr>
                <w:rFonts w:ascii="Arial" w:hAnsi="Arial" w:cs="Arial"/>
                <w:sz w:val="16"/>
                <w:szCs w:val="16"/>
              </w:rPr>
              <w:t>is</w:t>
            </w:r>
            <w:r w:rsidR="00233210" w:rsidRPr="009537ED">
              <w:rPr>
                <w:rFonts w:ascii="Arial" w:hAnsi="Arial" w:cs="Arial"/>
                <w:sz w:val="16"/>
                <w:szCs w:val="16"/>
              </w:rPr>
              <w:t xml:space="preserve"> </w:t>
            </w:r>
            <w:r w:rsidRPr="009537ED">
              <w:rPr>
                <w:rFonts w:ascii="Arial" w:hAnsi="Arial" w:cs="Arial"/>
                <w:sz w:val="16"/>
                <w:szCs w:val="16"/>
              </w:rPr>
              <w:t>agreed/approved</w:t>
            </w:r>
          </w:p>
        </w:tc>
      </w:tr>
      <w:tr w:rsidR="00673AAB" w:rsidRPr="009537ED" w14:paraId="4BD5D869" w14:textId="77777777" w:rsidTr="00673AAB">
        <w:tc>
          <w:tcPr>
            <w:tcW w:w="1413" w:type="dxa"/>
            <w:shd w:val="clear" w:color="auto" w:fill="FF0000"/>
          </w:tcPr>
          <w:p w14:paraId="7C1AAD37" w14:textId="77777777" w:rsidR="00673AAB" w:rsidRPr="009537ED" w:rsidRDefault="00673AAB" w:rsidP="009643F7">
            <w:pPr>
              <w:rPr>
                <w:rFonts w:ascii="Arial" w:hAnsi="Arial" w:cs="Arial"/>
                <w:sz w:val="16"/>
                <w:szCs w:val="16"/>
              </w:rPr>
            </w:pPr>
          </w:p>
        </w:tc>
        <w:tc>
          <w:tcPr>
            <w:tcW w:w="7654" w:type="dxa"/>
          </w:tcPr>
          <w:p w14:paraId="2674044E" w14:textId="776551D0" w:rsidR="00673AAB" w:rsidRPr="009537ED" w:rsidRDefault="00673AAB" w:rsidP="009643F7">
            <w:pPr>
              <w:rPr>
                <w:rFonts w:ascii="Arial" w:hAnsi="Arial" w:cs="Arial"/>
                <w:sz w:val="16"/>
                <w:szCs w:val="16"/>
              </w:rPr>
            </w:pPr>
            <w:r w:rsidRPr="009537ED">
              <w:rPr>
                <w:rFonts w:ascii="Arial" w:hAnsi="Arial" w:cs="Arial"/>
                <w:sz w:val="16"/>
                <w:szCs w:val="16"/>
              </w:rPr>
              <w:t>Contribution</w:t>
            </w:r>
            <w:r w:rsidR="00233210" w:rsidRPr="009537ED">
              <w:rPr>
                <w:rFonts w:ascii="Arial" w:hAnsi="Arial" w:cs="Arial"/>
                <w:sz w:val="16"/>
                <w:szCs w:val="16"/>
              </w:rPr>
              <w:t xml:space="preserve"> </w:t>
            </w:r>
            <w:r w:rsidRPr="009537ED">
              <w:rPr>
                <w:rFonts w:ascii="Arial" w:hAnsi="Arial" w:cs="Arial"/>
                <w:sz w:val="16"/>
                <w:szCs w:val="16"/>
              </w:rPr>
              <w:t>is</w:t>
            </w:r>
            <w:r w:rsidR="00233210" w:rsidRPr="009537ED">
              <w:rPr>
                <w:rFonts w:ascii="Arial" w:hAnsi="Arial" w:cs="Arial"/>
                <w:sz w:val="16"/>
                <w:szCs w:val="16"/>
              </w:rPr>
              <w:t xml:space="preserve"> </w:t>
            </w:r>
            <w:r w:rsidRPr="009537ED">
              <w:rPr>
                <w:rFonts w:ascii="Arial" w:hAnsi="Arial" w:cs="Arial"/>
                <w:sz w:val="16"/>
                <w:szCs w:val="16"/>
              </w:rPr>
              <w:t>not</w:t>
            </w:r>
            <w:r w:rsidR="00233210" w:rsidRPr="009537ED">
              <w:rPr>
                <w:rFonts w:ascii="Arial" w:hAnsi="Arial" w:cs="Arial"/>
                <w:sz w:val="16"/>
                <w:szCs w:val="16"/>
              </w:rPr>
              <w:t xml:space="preserve"> </w:t>
            </w:r>
            <w:r w:rsidRPr="009537ED">
              <w:rPr>
                <w:rFonts w:ascii="Arial" w:hAnsi="Arial" w:cs="Arial"/>
                <w:sz w:val="16"/>
                <w:szCs w:val="16"/>
              </w:rPr>
              <w:t>pursued</w:t>
            </w:r>
            <w:r w:rsidR="00233210" w:rsidRPr="009537ED">
              <w:rPr>
                <w:rFonts w:ascii="Arial" w:hAnsi="Arial" w:cs="Arial"/>
                <w:sz w:val="16"/>
                <w:szCs w:val="16"/>
              </w:rPr>
              <w:t xml:space="preserve"> </w:t>
            </w:r>
            <w:r w:rsidRPr="009537ED">
              <w:rPr>
                <w:rFonts w:ascii="Arial" w:hAnsi="Arial" w:cs="Arial"/>
                <w:sz w:val="16"/>
                <w:szCs w:val="16"/>
              </w:rPr>
              <w:t>(no</w:t>
            </w:r>
            <w:r w:rsidR="00233210" w:rsidRPr="009537ED">
              <w:rPr>
                <w:rFonts w:ascii="Arial" w:hAnsi="Arial" w:cs="Arial"/>
                <w:sz w:val="16"/>
                <w:szCs w:val="16"/>
              </w:rPr>
              <w:t xml:space="preserve"> </w:t>
            </w:r>
            <w:r w:rsidRPr="009537ED">
              <w:rPr>
                <w:rFonts w:ascii="Arial" w:hAnsi="Arial" w:cs="Arial"/>
                <w:sz w:val="16"/>
                <w:szCs w:val="16"/>
              </w:rPr>
              <w:t>consensus)</w:t>
            </w:r>
          </w:p>
        </w:tc>
      </w:tr>
      <w:tr w:rsidR="006762CB" w:rsidRPr="009537ED" w14:paraId="587FF795" w14:textId="77777777" w:rsidTr="006762CB">
        <w:tc>
          <w:tcPr>
            <w:tcW w:w="1413" w:type="dxa"/>
            <w:shd w:val="clear" w:color="auto" w:fill="FFFF00"/>
          </w:tcPr>
          <w:p w14:paraId="18B6FD22" w14:textId="77777777" w:rsidR="006762CB" w:rsidRPr="009537ED" w:rsidRDefault="006762CB" w:rsidP="009643F7">
            <w:pPr>
              <w:rPr>
                <w:rFonts w:ascii="Arial" w:hAnsi="Arial" w:cs="Arial"/>
                <w:sz w:val="16"/>
                <w:szCs w:val="16"/>
              </w:rPr>
            </w:pPr>
          </w:p>
        </w:tc>
        <w:tc>
          <w:tcPr>
            <w:tcW w:w="7654" w:type="dxa"/>
          </w:tcPr>
          <w:p w14:paraId="3F19B6A0" w14:textId="31163FD2" w:rsidR="006762CB" w:rsidRPr="009537ED" w:rsidRDefault="006762CB" w:rsidP="009643F7">
            <w:pPr>
              <w:rPr>
                <w:rFonts w:ascii="Arial" w:hAnsi="Arial" w:cs="Arial"/>
                <w:sz w:val="16"/>
                <w:szCs w:val="16"/>
              </w:rPr>
            </w:pPr>
            <w:r w:rsidRPr="009537ED">
              <w:rPr>
                <w:rFonts w:ascii="Arial" w:hAnsi="Arial" w:cs="Arial"/>
                <w:sz w:val="16"/>
                <w:szCs w:val="16"/>
              </w:rPr>
              <w:t>Further</w:t>
            </w:r>
            <w:r w:rsidR="00233210" w:rsidRPr="009537ED">
              <w:rPr>
                <w:rFonts w:ascii="Arial" w:hAnsi="Arial" w:cs="Arial"/>
                <w:sz w:val="16"/>
                <w:szCs w:val="16"/>
              </w:rPr>
              <w:t xml:space="preserve"> </w:t>
            </w:r>
            <w:r w:rsidRPr="009537ED">
              <w:rPr>
                <w:rFonts w:ascii="Arial" w:hAnsi="Arial" w:cs="Arial"/>
                <w:sz w:val="16"/>
                <w:szCs w:val="16"/>
              </w:rPr>
              <w:t>discussion</w:t>
            </w:r>
            <w:r w:rsidR="00233210" w:rsidRPr="009537ED">
              <w:rPr>
                <w:rFonts w:ascii="Arial" w:hAnsi="Arial" w:cs="Arial"/>
                <w:sz w:val="16"/>
                <w:szCs w:val="16"/>
              </w:rPr>
              <w:t xml:space="preserve"> </w:t>
            </w:r>
            <w:r w:rsidRPr="009537ED">
              <w:rPr>
                <w:rFonts w:ascii="Arial" w:hAnsi="Arial" w:cs="Arial"/>
                <w:sz w:val="16"/>
                <w:szCs w:val="16"/>
              </w:rPr>
              <w:t>is</w:t>
            </w:r>
            <w:r w:rsidR="00233210" w:rsidRPr="009537ED">
              <w:rPr>
                <w:rFonts w:ascii="Arial" w:hAnsi="Arial" w:cs="Arial"/>
                <w:sz w:val="16"/>
                <w:szCs w:val="16"/>
              </w:rPr>
              <w:t xml:space="preserve"> </w:t>
            </w:r>
            <w:r w:rsidRPr="009537ED">
              <w:rPr>
                <w:rFonts w:ascii="Arial" w:hAnsi="Arial" w:cs="Arial"/>
                <w:sz w:val="16"/>
                <w:szCs w:val="16"/>
              </w:rPr>
              <w:t>required</w:t>
            </w:r>
            <w:r w:rsidR="00233210" w:rsidRPr="009537ED">
              <w:rPr>
                <w:rFonts w:ascii="Arial" w:hAnsi="Arial" w:cs="Arial"/>
                <w:sz w:val="16"/>
                <w:szCs w:val="16"/>
              </w:rPr>
              <w:t xml:space="preserve"> </w:t>
            </w:r>
            <w:r w:rsidRPr="009537ED">
              <w:rPr>
                <w:rFonts w:ascii="Arial" w:hAnsi="Arial" w:cs="Arial"/>
                <w:sz w:val="16"/>
                <w:szCs w:val="16"/>
              </w:rPr>
              <w:t>–</w:t>
            </w:r>
            <w:r w:rsidR="00233210" w:rsidRPr="009537ED">
              <w:rPr>
                <w:rFonts w:ascii="Arial" w:hAnsi="Arial" w:cs="Arial"/>
                <w:sz w:val="16"/>
                <w:szCs w:val="16"/>
              </w:rPr>
              <w:t xml:space="preserve"> </w:t>
            </w:r>
            <w:r w:rsidRPr="009537ED">
              <w:rPr>
                <w:rFonts w:ascii="Arial" w:hAnsi="Arial" w:cs="Arial"/>
                <w:sz w:val="16"/>
                <w:szCs w:val="16"/>
              </w:rPr>
              <w:t>come-back</w:t>
            </w:r>
            <w:r w:rsidR="00233210" w:rsidRPr="009537ED">
              <w:rPr>
                <w:rFonts w:ascii="Arial" w:hAnsi="Arial" w:cs="Arial"/>
                <w:sz w:val="16"/>
                <w:szCs w:val="16"/>
              </w:rPr>
              <w:t xml:space="preserve"> </w:t>
            </w:r>
            <w:r w:rsidRPr="009537ED">
              <w:rPr>
                <w:rFonts w:ascii="Arial" w:hAnsi="Arial" w:cs="Arial"/>
                <w:sz w:val="16"/>
                <w:szCs w:val="16"/>
              </w:rPr>
              <w:t>needed</w:t>
            </w:r>
          </w:p>
        </w:tc>
      </w:tr>
      <w:tr w:rsidR="006762CB" w:rsidRPr="009537ED" w14:paraId="7FA66CA1" w14:textId="77777777" w:rsidTr="006762CB">
        <w:tc>
          <w:tcPr>
            <w:tcW w:w="1413" w:type="dxa"/>
            <w:shd w:val="clear" w:color="auto" w:fill="808000"/>
          </w:tcPr>
          <w:p w14:paraId="4049F8B4" w14:textId="77777777" w:rsidR="006762CB" w:rsidRPr="009537ED" w:rsidRDefault="006762CB" w:rsidP="009643F7">
            <w:pPr>
              <w:rPr>
                <w:rFonts w:ascii="Arial" w:hAnsi="Arial" w:cs="Arial"/>
                <w:sz w:val="16"/>
                <w:szCs w:val="16"/>
              </w:rPr>
            </w:pPr>
          </w:p>
        </w:tc>
        <w:tc>
          <w:tcPr>
            <w:tcW w:w="7654" w:type="dxa"/>
          </w:tcPr>
          <w:p w14:paraId="70D6E89B" w14:textId="06BF3FC0" w:rsidR="006762CB" w:rsidRPr="009537ED" w:rsidRDefault="006762CB" w:rsidP="009643F7">
            <w:pPr>
              <w:rPr>
                <w:rFonts w:ascii="Arial" w:hAnsi="Arial" w:cs="Arial"/>
                <w:sz w:val="16"/>
                <w:szCs w:val="16"/>
              </w:rPr>
            </w:pPr>
            <w:r w:rsidRPr="009537ED">
              <w:rPr>
                <w:rFonts w:ascii="Arial" w:hAnsi="Arial" w:cs="Arial"/>
                <w:sz w:val="16"/>
                <w:szCs w:val="16"/>
              </w:rPr>
              <w:t>Working</w:t>
            </w:r>
            <w:r w:rsidR="00233210" w:rsidRPr="009537ED">
              <w:rPr>
                <w:rFonts w:ascii="Arial" w:hAnsi="Arial" w:cs="Arial"/>
                <w:sz w:val="16"/>
                <w:szCs w:val="16"/>
              </w:rPr>
              <w:t xml:space="preserve"> </w:t>
            </w:r>
            <w:r w:rsidRPr="009537ED">
              <w:rPr>
                <w:rFonts w:ascii="Arial" w:hAnsi="Arial" w:cs="Arial"/>
                <w:sz w:val="16"/>
                <w:szCs w:val="16"/>
              </w:rPr>
              <w:t>assumption</w:t>
            </w:r>
          </w:p>
        </w:tc>
      </w:tr>
      <w:tr w:rsidR="006762CB" w:rsidRPr="009537ED" w14:paraId="4B9AEEB6" w14:textId="77777777" w:rsidTr="006762CB">
        <w:tc>
          <w:tcPr>
            <w:tcW w:w="1413" w:type="dxa"/>
            <w:shd w:val="clear" w:color="auto" w:fill="FF00FF"/>
          </w:tcPr>
          <w:p w14:paraId="2EA2531A" w14:textId="77777777" w:rsidR="006762CB" w:rsidRPr="009537ED" w:rsidRDefault="006762CB" w:rsidP="009643F7">
            <w:pPr>
              <w:rPr>
                <w:rFonts w:ascii="Arial" w:hAnsi="Arial" w:cs="Arial"/>
                <w:sz w:val="16"/>
                <w:szCs w:val="16"/>
              </w:rPr>
            </w:pPr>
          </w:p>
        </w:tc>
        <w:tc>
          <w:tcPr>
            <w:tcW w:w="7654" w:type="dxa"/>
          </w:tcPr>
          <w:p w14:paraId="245AD49A" w14:textId="480ABDAB" w:rsidR="006762CB" w:rsidRPr="009537ED" w:rsidRDefault="006762CB" w:rsidP="009643F7">
            <w:pPr>
              <w:rPr>
                <w:rFonts w:ascii="Arial" w:hAnsi="Arial" w:cs="Arial"/>
                <w:sz w:val="16"/>
                <w:szCs w:val="16"/>
              </w:rPr>
            </w:pPr>
            <w:r w:rsidRPr="009537ED">
              <w:rPr>
                <w:rFonts w:ascii="Arial" w:hAnsi="Arial" w:cs="Arial"/>
                <w:sz w:val="16"/>
                <w:szCs w:val="16"/>
              </w:rPr>
              <w:t>Specific</w:t>
            </w:r>
            <w:r w:rsidR="00233210" w:rsidRPr="009537ED">
              <w:rPr>
                <w:rFonts w:ascii="Arial" w:hAnsi="Arial" w:cs="Arial"/>
                <w:sz w:val="16"/>
                <w:szCs w:val="16"/>
              </w:rPr>
              <w:t xml:space="preserve"> </w:t>
            </w:r>
            <w:r w:rsidRPr="009537ED">
              <w:rPr>
                <w:rFonts w:ascii="Arial" w:hAnsi="Arial" w:cs="Arial"/>
                <w:sz w:val="16"/>
                <w:szCs w:val="16"/>
              </w:rPr>
              <w:t>action</w:t>
            </w:r>
            <w:r w:rsidR="00233210" w:rsidRPr="009537ED">
              <w:rPr>
                <w:rFonts w:ascii="Arial" w:hAnsi="Arial" w:cs="Arial"/>
                <w:sz w:val="16"/>
                <w:szCs w:val="16"/>
              </w:rPr>
              <w:t xml:space="preserve"> </w:t>
            </w:r>
            <w:r w:rsidRPr="009537ED">
              <w:rPr>
                <w:rFonts w:ascii="Arial" w:hAnsi="Arial" w:cs="Arial"/>
                <w:sz w:val="16"/>
                <w:szCs w:val="16"/>
              </w:rPr>
              <w:t>needed</w:t>
            </w:r>
            <w:r w:rsidR="00233210" w:rsidRPr="009537ED">
              <w:rPr>
                <w:rFonts w:ascii="Arial" w:hAnsi="Arial" w:cs="Arial"/>
                <w:sz w:val="16"/>
                <w:szCs w:val="16"/>
              </w:rPr>
              <w:t xml:space="preserve"> </w:t>
            </w:r>
            <w:r w:rsidRPr="009537ED">
              <w:rPr>
                <w:rFonts w:ascii="Arial" w:hAnsi="Arial" w:cs="Arial"/>
                <w:sz w:val="16"/>
                <w:szCs w:val="16"/>
              </w:rPr>
              <w:t>from</w:t>
            </w:r>
            <w:r w:rsidR="00233210" w:rsidRPr="009537ED">
              <w:rPr>
                <w:rFonts w:ascii="Arial" w:hAnsi="Arial" w:cs="Arial"/>
                <w:sz w:val="16"/>
                <w:szCs w:val="16"/>
              </w:rPr>
              <w:t xml:space="preserve"> </w:t>
            </w:r>
            <w:r w:rsidRPr="009537ED">
              <w:rPr>
                <w:rFonts w:ascii="Arial" w:hAnsi="Arial" w:cs="Arial"/>
                <w:sz w:val="16"/>
                <w:szCs w:val="16"/>
              </w:rPr>
              <w:t>MCC</w:t>
            </w:r>
          </w:p>
        </w:tc>
      </w:tr>
      <w:tr w:rsidR="006762CB" w:rsidRPr="009537ED" w14:paraId="3FBEB7FA" w14:textId="77777777" w:rsidTr="006762CB">
        <w:tc>
          <w:tcPr>
            <w:tcW w:w="1413" w:type="dxa"/>
            <w:shd w:val="clear" w:color="auto" w:fill="00FFFF"/>
          </w:tcPr>
          <w:p w14:paraId="1E474A0E" w14:textId="77777777" w:rsidR="006762CB" w:rsidRPr="009537ED" w:rsidRDefault="006762CB" w:rsidP="009643F7">
            <w:pPr>
              <w:rPr>
                <w:rFonts w:ascii="Arial" w:hAnsi="Arial" w:cs="Arial"/>
                <w:sz w:val="16"/>
                <w:szCs w:val="16"/>
              </w:rPr>
            </w:pPr>
          </w:p>
        </w:tc>
        <w:tc>
          <w:tcPr>
            <w:tcW w:w="7654" w:type="dxa"/>
          </w:tcPr>
          <w:p w14:paraId="2FF0B0E3" w14:textId="12A57BBE" w:rsidR="006762CB" w:rsidRPr="009537ED" w:rsidRDefault="006762CB" w:rsidP="009643F7">
            <w:pPr>
              <w:rPr>
                <w:rFonts w:ascii="Arial" w:hAnsi="Arial" w:cs="Arial"/>
                <w:sz w:val="16"/>
                <w:szCs w:val="16"/>
              </w:rPr>
            </w:pPr>
            <w:r w:rsidRPr="009537ED">
              <w:rPr>
                <w:rFonts w:ascii="Arial" w:hAnsi="Arial" w:cs="Arial"/>
                <w:sz w:val="16"/>
                <w:szCs w:val="16"/>
              </w:rPr>
              <w:t>Contribution</w:t>
            </w:r>
            <w:r w:rsidR="00233210" w:rsidRPr="009537ED">
              <w:rPr>
                <w:rFonts w:ascii="Arial" w:hAnsi="Arial" w:cs="Arial"/>
                <w:sz w:val="16"/>
                <w:szCs w:val="16"/>
              </w:rPr>
              <w:t xml:space="preserve"> </w:t>
            </w:r>
            <w:r w:rsidRPr="009537ED">
              <w:rPr>
                <w:rFonts w:ascii="Arial" w:hAnsi="Arial" w:cs="Arial"/>
                <w:sz w:val="16"/>
                <w:szCs w:val="16"/>
              </w:rPr>
              <w:t>is</w:t>
            </w:r>
            <w:r w:rsidR="00233210" w:rsidRPr="009537ED">
              <w:rPr>
                <w:rFonts w:ascii="Arial" w:hAnsi="Arial" w:cs="Arial"/>
                <w:sz w:val="16"/>
                <w:szCs w:val="16"/>
              </w:rPr>
              <w:t xml:space="preserve"> </w:t>
            </w:r>
            <w:r w:rsidRPr="009537ED">
              <w:rPr>
                <w:rFonts w:ascii="Arial" w:hAnsi="Arial" w:cs="Arial"/>
                <w:sz w:val="16"/>
                <w:szCs w:val="16"/>
              </w:rPr>
              <w:t>for</w:t>
            </w:r>
            <w:r w:rsidR="00233210" w:rsidRPr="009537ED">
              <w:rPr>
                <w:rFonts w:ascii="Arial" w:hAnsi="Arial" w:cs="Arial"/>
                <w:sz w:val="16"/>
                <w:szCs w:val="16"/>
              </w:rPr>
              <w:t xml:space="preserve"> </w:t>
            </w:r>
            <w:r w:rsidRPr="009537ED">
              <w:rPr>
                <w:rFonts w:ascii="Arial" w:hAnsi="Arial" w:cs="Arial"/>
                <w:sz w:val="16"/>
                <w:szCs w:val="16"/>
              </w:rPr>
              <w:t>email</w:t>
            </w:r>
            <w:r w:rsidR="00233210" w:rsidRPr="009537ED">
              <w:rPr>
                <w:rFonts w:ascii="Arial" w:hAnsi="Arial" w:cs="Arial"/>
                <w:sz w:val="16"/>
                <w:szCs w:val="16"/>
              </w:rPr>
              <w:t xml:space="preserve"> </w:t>
            </w:r>
            <w:r w:rsidRPr="009537ED">
              <w:rPr>
                <w:rFonts w:ascii="Arial" w:hAnsi="Arial" w:cs="Arial"/>
                <w:sz w:val="16"/>
                <w:szCs w:val="16"/>
              </w:rPr>
              <w:t>discussion/approval</w:t>
            </w:r>
          </w:p>
        </w:tc>
      </w:tr>
    </w:tbl>
    <w:p w14:paraId="6059D7E0" w14:textId="6DAB2E71" w:rsidR="0038212C" w:rsidRPr="009537ED" w:rsidRDefault="0038212C" w:rsidP="009643F7">
      <w:pPr>
        <w:rPr>
          <w:rFonts w:ascii="Times New Roman" w:hAnsi="Times New Roman"/>
          <w:szCs w:val="20"/>
        </w:rPr>
      </w:pPr>
      <w:r w:rsidRPr="009537ED">
        <w:rPr>
          <w:rFonts w:ascii="Times New Roman" w:hAnsi="Times New Roman"/>
          <w:szCs w:val="20"/>
        </w:rPr>
        <w:br w:type="page"/>
      </w:r>
    </w:p>
    <w:p w14:paraId="3E32AE33" w14:textId="28E6E48D" w:rsidR="007122C4" w:rsidRPr="009537ED" w:rsidRDefault="007122C4" w:rsidP="00F53049">
      <w:pPr>
        <w:pStyle w:val="Heading1"/>
      </w:pPr>
      <w:bookmarkStart w:id="3" w:name="_Toc159250966"/>
      <w:r w:rsidRPr="009537ED">
        <w:lastRenderedPageBreak/>
        <w:t>Opening</w:t>
      </w:r>
      <w:r w:rsidR="00233210" w:rsidRPr="009537ED">
        <w:t xml:space="preserve"> </w:t>
      </w:r>
      <w:r w:rsidRPr="009537ED">
        <w:t>of</w:t>
      </w:r>
      <w:r w:rsidR="00233210" w:rsidRPr="009537ED">
        <w:t xml:space="preserve"> </w:t>
      </w:r>
      <w:r w:rsidRPr="009537ED">
        <w:t>the</w:t>
      </w:r>
      <w:r w:rsidR="00233210" w:rsidRPr="009537ED">
        <w:t xml:space="preserve"> </w:t>
      </w:r>
      <w:r w:rsidRPr="009537ED">
        <w:t>meeting</w:t>
      </w:r>
      <w:bookmarkEnd w:id="3"/>
    </w:p>
    <w:p w14:paraId="2D443E10" w14:textId="4B040EF6" w:rsidR="002334DB" w:rsidRPr="009537ED" w:rsidRDefault="002334DB" w:rsidP="002334DB">
      <w:pPr>
        <w:rPr>
          <w:rFonts w:ascii="Times New Roman" w:eastAsia="SimSun" w:hAnsi="Times New Roman"/>
          <w:kern w:val="2"/>
          <w:szCs w:val="20"/>
        </w:rPr>
      </w:pPr>
      <w:r w:rsidRPr="009537ED">
        <w:rPr>
          <w:rFonts w:ascii="Times New Roman" w:eastAsia="SimSun" w:hAnsi="Times New Roman"/>
          <w:kern w:val="2"/>
          <w:szCs w:val="20"/>
        </w:rPr>
        <w:t xml:space="preserve">Mr Younsun Kim (RAN1 Chair) welcomed the participants of the RAN WG1 </w:t>
      </w:r>
      <w:r w:rsidR="00B60F82" w:rsidRPr="009537ED">
        <w:rPr>
          <w:rFonts w:ascii="Times New Roman" w:eastAsia="SimSun" w:hAnsi="Times New Roman"/>
          <w:kern w:val="2"/>
          <w:szCs w:val="20"/>
        </w:rPr>
        <w:t>#11</w:t>
      </w:r>
      <w:r w:rsidR="00721976" w:rsidRPr="009537ED">
        <w:rPr>
          <w:rFonts w:ascii="Times New Roman" w:eastAsia="SimSun" w:hAnsi="Times New Roman"/>
          <w:kern w:val="2"/>
          <w:szCs w:val="20"/>
        </w:rPr>
        <w:t>5</w:t>
      </w:r>
      <w:r w:rsidRPr="009537ED">
        <w:rPr>
          <w:rFonts w:ascii="Times New Roman" w:eastAsia="SimSun" w:hAnsi="Times New Roman"/>
          <w:kern w:val="2"/>
          <w:szCs w:val="20"/>
        </w:rPr>
        <w:t xml:space="preserve"> meeting and opened the meeting at 09:00.</w:t>
      </w:r>
    </w:p>
    <w:p w14:paraId="2E0DBBB0" w14:textId="77777777" w:rsidR="002334DB" w:rsidRPr="009537ED" w:rsidRDefault="002334DB" w:rsidP="002334DB">
      <w:pPr>
        <w:rPr>
          <w:rFonts w:ascii="Times New Roman" w:eastAsia="SimSun" w:hAnsi="Times New Roman"/>
          <w:kern w:val="2"/>
          <w:szCs w:val="20"/>
        </w:rPr>
      </w:pPr>
    </w:p>
    <w:p w14:paraId="517EBCE2" w14:textId="33EFBBC9" w:rsidR="00844732" w:rsidRPr="009537ED" w:rsidRDefault="00844732" w:rsidP="00721976">
      <w:pPr>
        <w:rPr>
          <w:rFonts w:ascii="Times New Roman" w:eastAsia="SimSun" w:hAnsi="Times New Roman"/>
          <w:kern w:val="2"/>
          <w:szCs w:val="20"/>
        </w:rPr>
      </w:pPr>
      <w:r w:rsidRPr="009537ED">
        <w:rPr>
          <w:rFonts w:ascii="Times New Roman" w:eastAsia="SimSun" w:hAnsi="Times New Roman"/>
          <w:kern w:val="2"/>
          <w:szCs w:val="20"/>
        </w:rPr>
        <w:t xml:space="preserve">Mr. </w:t>
      </w:r>
      <w:r w:rsidR="001A108C" w:rsidRPr="009537ED">
        <w:rPr>
          <w:rFonts w:ascii="Times New Roman" w:eastAsia="SimSun" w:hAnsi="Times New Roman"/>
          <w:kern w:val="2"/>
          <w:szCs w:val="20"/>
        </w:rPr>
        <w:t>Jerome Vogedes</w:t>
      </w:r>
      <w:r w:rsidR="00271C51" w:rsidRPr="009537ED">
        <w:rPr>
          <w:rFonts w:ascii="Times New Roman" w:eastAsia="SimSun" w:hAnsi="Times New Roman"/>
          <w:kern w:val="2"/>
          <w:szCs w:val="20"/>
        </w:rPr>
        <w:t xml:space="preserve"> </w:t>
      </w:r>
      <w:r w:rsidRPr="009537ED">
        <w:rPr>
          <w:rFonts w:ascii="Times New Roman" w:eastAsia="SimSun" w:hAnsi="Times New Roman"/>
          <w:kern w:val="2"/>
          <w:szCs w:val="20"/>
        </w:rPr>
        <w:t xml:space="preserve">from </w:t>
      </w:r>
      <w:r w:rsidR="001A108C" w:rsidRPr="009537ED">
        <w:rPr>
          <w:rFonts w:ascii="Times New Roman" w:eastAsia="SimSun" w:hAnsi="Times New Roman"/>
          <w:kern w:val="2"/>
          <w:szCs w:val="20"/>
        </w:rPr>
        <w:t>AT&amp;T</w:t>
      </w:r>
      <w:r w:rsidR="00421D71" w:rsidRPr="009537ED">
        <w:rPr>
          <w:rFonts w:ascii="Times New Roman" w:eastAsia="SimSun" w:hAnsi="Times New Roman"/>
          <w:kern w:val="2"/>
          <w:szCs w:val="20"/>
        </w:rPr>
        <w:t xml:space="preserve"> </w:t>
      </w:r>
      <w:r w:rsidRPr="009537ED">
        <w:rPr>
          <w:rFonts w:ascii="Times New Roman" w:eastAsia="SimSun" w:hAnsi="Times New Roman"/>
          <w:kern w:val="2"/>
          <w:szCs w:val="20"/>
        </w:rPr>
        <w:t xml:space="preserve">on behalf of </w:t>
      </w:r>
      <w:r w:rsidR="00721976" w:rsidRPr="009537ED">
        <w:rPr>
          <w:rFonts w:ascii="Times New Roman" w:eastAsia="SimSun" w:hAnsi="Times New Roman"/>
          <w:kern w:val="2"/>
          <w:szCs w:val="20"/>
        </w:rPr>
        <w:t xml:space="preserve">ATIS and </w:t>
      </w:r>
      <w:r w:rsidRPr="009537ED">
        <w:rPr>
          <w:rFonts w:ascii="Times New Roman" w:eastAsia="SimSun" w:hAnsi="Times New Roman"/>
          <w:kern w:val="2"/>
          <w:szCs w:val="20"/>
        </w:rPr>
        <w:t xml:space="preserve">the </w:t>
      </w:r>
      <w:r w:rsidR="00721976" w:rsidRPr="009537ED">
        <w:rPr>
          <w:rFonts w:ascii="Times New Roman" w:eastAsia="SimSun" w:hAnsi="Times New Roman"/>
          <w:kern w:val="2"/>
          <w:szCs w:val="20"/>
        </w:rPr>
        <w:t>hosting companies</w:t>
      </w:r>
      <w:r w:rsidR="001A108C" w:rsidRPr="009537ED">
        <w:rPr>
          <w:rFonts w:ascii="Times New Roman" w:eastAsia="SimSun" w:hAnsi="Times New Roman"/>
          <w:kern w:val="2"/>
          <w:szCs w:val="20"/>
        </w:rPr>
        <w:t>/sponsors</w:t>
      </w:r>
      <w:r w:rsidR="00721976" w:rsidRPr="009537ED">
        <w:rPr>
          <w:rFonts w:ascii="Times New Roman" w:eastAsia="SimSun" w:hAnsi="Times New Roman"/>
          <w:kern w:val="2"/>
          <w:szCs w:val="20"/>
        </w:rPr>
        <w:t>, AT&amp;T, Blackberry, Cisco, Comtech, DISH Network, Dolby Labs, Ericsson, 459 Consulting, FUTUREWEI Technologies, Intel, InterDigital Communications, Ligado Networks, Motorola Solutions, NextNav, Nokia, ONEMedia, Pivotal Commware, Qualcomm, Rogers Communications, Southern Linc, T-Mobile USA, Union Telephone Company, and Verizon Wireless</w:t>
      </w:r>
      <w:r w:rsidR="00363646" w:rsidRPr="009537ED">
        <w:rPr>
          <w:rFonts w:ascii="Times New Roman" w:eastAsia="SimSun" w:hAnsi="Times New Roman"/>
          <w:kern w:val="2"/>
          <w:szCs w:val="20"/>
        </w:rPr>
        <w:t xml:space="preserve">, </w:t>
      </w:r>
      <w:r w:rsidRPr="009537ED">
        <w:rPr>
          <w:rFonts w:ascii="Times New Roman" w:eastAsia="SimSun" w:hAnsi="Times New Roman"/>
          <w:kern w:val="2"/>
          <w:szCs w:val="20"/>
        </w:rPr>
        <w:t>welcomed the delegates, and detailed the domestic arrangements for the full week.</w:t>
      </w:r>
    </w:p>
    <w:p w14:paraId="7B80F839" w14:textId="2969505B" w:rsidR="00D20E30" w:rsidRPr="009537ED" w:rsidRDefault="00D20E30" w:rsidP="00F53049">
      <w:pPr>
        <w:pStyle w:val="Heading2"/>
      </w:pPr>
      <w:bookmarkStart w:id="4" w:name="_Toc159250967"/>
      <w:r w:rsidRPr="009537ED">
        <w:t>Call</w:t>
      </w:r>
      <w:r w:rsidR="00233210" w:rsidRPr="009537ED">
        <w:t xml:space="preserve"> </w:t>
      </w:r>
      <w:r w:rsidRPr="009537ED">
        <w:t>for</w:t>
      </w:r>
      <w:r w:rsidR="00233210" w:rsidRPr="009537ED">
        <w:t xml:space="preserve"> </w:t>
      </w:r>
      <w:r w:rsidRPr="009537ED">
        <w:t>IPR</w:t>
      </w:r>
      <w:bookmarkEnd w:id="4"/>
    </w:p>
    <w:p w14:paraId="11D7EB2E" w14:textId="54D67745" w:rsidR="00767A8D" w:rsidRPr="009537ED" w:rsidRDefault="00767A8D" w:rsidP="00767A8D">
      <w:pPr>
        <w:rPr>
          <w:rFonts w:ascii="Times New Roman" w:hAnsi="Times New Roman"/>
          <w:i/>
          <w:szCs w:val="20"/>
        </w:rPr>
      </w:pPr>
      <w:r w:rsidRPr="009537ED">
        <w:rPr>
          <w:rFonts w:ascii="Times New Roman" w:hAnsi="Times New Roman"/>
          <w:i/>
          <w:szCs w:val="20"/>
        </w:rPr>
        <w:t>The</w:t>
      </w:r>
      <w:r w:rsidR="00233210" w:rsidRPr="009537ED">
        <w:rPr>
          <w:rFonts w:ascii="Times New Roman" w:hAnsi="Times New Roman"/>
          <w:i/>
          <w:szCs w:val="20"/>
        </w:rPr>
        <w:t xml:space="preserve"> </w:t>
      </w:r>
      <w:r w:rsidRPr="009537ED">
        <w:rPr>
          <w:rFonts w:ascii="Times New Roman" w:hAnsi="Times New Roman"/>
          <w:i/>
          <w:szCs w:val="20"/>
        </w:rPr>
        <w:t>attention</w:t>
      </w:r>
      <w:r w:rsidR="00233210" w:rsidRPr="009537ED">
        <w:rPr>
          <w:rFonts w:ascii="Times New Roman" w:hAnsi="Times New Roman"/>
          <w:i/>
          <w:szCs w:val="20"/>
        </w:rPr>
        <w:t xml:space="preserve"> </w:t>
      </w:r>
      <w:r w:rsidRPr="009537ED">
        <w:rPr>
          <w:rFonts w:ascii="Times New Roman" w:hAnsi="Times New Roman"/>
          <w:i/>
          <w:szCs w:val="20"/>
        </w:rPr>
        <w:t>of</w:t>
      </w:r>
      <w:r w:rsidR="00233210" w:rsidRPr="009537ED">
        <w:rPr>
          <w:rFonts w:ascii="Times New Roman" w:hAnsi="Times New Roman"/>
          <w:i/>
          <w:szCs w:val="20"/>
        </w:rPr>
        <w:t xml:space="preserve"> </w:t>
      </w:r>
      <w:r w:rsidRPr="009537ED">
        <w:rPr>
          <w:rFonts w:ascii="Times New Roman" w:hAnsi="Times New Roman"/>
          <w:i/>
          <w:szCs w:val="20"/>
        </w:rPr>
        <w:t>the</w:t>
      </w:r>
      <w:r w:rsidR="00233210" w:rsidRPr="009537ED">
        <w:rPr>
          <w:rFonts w:ascii="Times New Roman" w:hAnsi="Times New Roman"/>
          <w:i/>
          <w:szCs w:val="20"/>
        </w:rPr>
        <w:t xml:space="preserve"> </w:t>
      </w:r>
      <w:r w:rsidR="00DC6325" w:rsidRPr="009537ED">
        <w:rPr>
          <w:rFonts w:ascii="Times New Roman" w:hAnsi="Times New Roman"/>
          <w:i/>
          <w:szCs w:val="20"/>
        </w:rPr>
        <w:t>delegates</w:t>
      </w:r>
      <w:r w:rsidR="00233210" w:rsidRPr="009537ED">
        <w:rPr>
          <w:rFonts w:ascii="Times New Roman" w:hAnsi="Times New Roman"/>
          <w:i/>
          <w:szCs w:val="20"/>
        </w:rPr>
        <w:t xml:space="preserve"> </w:t>
      </w:r>
      <w:r w:rsidR="00DC6325" w:rsidRPr="009537ED">
        <w:rPr>
          <w:rFonts w:ascii="Times New Roman" w:hAnsi="Times New Roman"/>
          <w:i/>
          <w:szCs w:val="20"/>
        </w:rPr>
        <w:t>to</w:t>
      </w:r>
      <w:r w:rsidR="00233210" w:rsidRPr="009537ED">
        <w:rPr>
          <w:rFonts w:ascii="Times New Roman" w:hAnsi="Times New Roman"/>
          <w:i/>
          <w:szCs w:val="20"/>
        </w:rPr>
        <w:t xml:space="preserve"> </w:t>
      </w:r>
      <w:r w:rsidR="00DC6325" w:rsidRPr="009537ED">
        <w:rPr>
          <w:rFonts w:ascii="Times New Roman" w:hAnsi="Times New Roman"/>
          <w:i/>
          <w:szCs w:val="20"/>
        </w:rPr>
        <w:t>the</w:t>
      </w:r>
      <w:r w:rsidR="00233210" w:rsidRPr="009537ED">
        <w:rPr>
          <w:rFonts w:ascii="Times New Roman" w:hAnsi="Times New Roman"/>
          <w:i/>
          <w:szCs w:val="20"/>
        </w:rPr>
        <w:t xml:space="preserve"> </w:t>
      </w:r>
      <w:r w:rsidR="00DC6325" w:rsidRPr="009537ED">
        <w:rPr>
          <w:rFonts w:ascii="Times New Roman" w:hAnsi="Times New Roman"/>
          <w:i/>
          <w:szCs w:val="20"/>
        </w:rPr>
        <w:t>meeting</w:t>
      </w:r>
      <w:r w:rsidR="00233210" w:rsidRPr="009537ED">
        <w:rPr>
          <w:rFonts w:ascii="Times New Roman" w:hAnsi="Times New Roman"/>
          <w:i/>
          <w:szCs w:val="20"/>
        </w:rPr>
        <w:t xml:space="preserve"> </w:t>
      </w:r>
      <w:r w:rsidRPr="009537ED">
        <w:rPr>
          <w:rFonts w:ascii="Times New Roman" w:hAnsi="Times New Roman"/>
          <w:i/>
          <w:szCs w:val="20"/>
        </w:rPr>
        <w:t>of</w:t>
      </w:r>
      <w:r w:rsidR="00233210" w:rsidRPr="009537ED">
        <w:rPr>
          <w:rFonts w:ascii="Times New Roman" w:hAnsi="Times New Roman"/>
          <w:i/>
          <w:szCs w:val="20"/>
        </w:rPr>
        <w:t xml:space="preserve"> </w:t>
      </w:r>
      <w:r w:rsidRPr="009537ED">
        <w:rPr>
          <w:rFonts w:ascii="Times New Roman" w:hAnsi="Times New Roman"/>
          <w:i/>
          <w:szCs w:val="20"/>
        </w:rPr>
        <w:t>this</w:t>
      </w:r>
      <w:r w:rsidR="00233210" w:rsidRPr="009537ED">
        <w:rPr>
          <w:rFonts w:ascii="Times New Roman" w:hAnsi="Times New Roman"/>
          <w:i/>
          <w:szCs w:val="20"/>
        </w:rPr>
        <w:t xml:space="preserve"> </w:t>
      </w:r>
      <w:r w:rsidRPr="009537ED">
        <w:rPr>
          <w:rFonts w:ascii="Times New Roman" w:hAnsi="Times New Roman"/>
          <w:i/>
          <w:szCs w:val="20"/>
        </w:rPr>
        <w:t>Technical</w:t>
      </w:r>
      <w:r w:rsidR="00233210" w:rsidRPr="009537ED">
        <w:rPr>
          <w:rFonts w:ascii="Times New Roman" w:hAnsi="Times New Roman"/>
          <w:i/>
          <w:szCs w:val="20"/>
        </w:rPr>
        <w:t xml:space="preserve"> </w:t>
      </w:r>
      <w:r w:rsidRPr="009537ED">
        <w:rPr>
          <w:rFonts w:ascii="Times New Roman" w:hAnsi="Times New Roman"/>
          <w:i/>
          <w:szCs w:val="20"/>
        </w:rPr>
        <w:t>Specification</w:t>
      </w:r>
      <w:r w:rsidR="00233210" w:rsidRPr="009537ED">
        <w:rPr>
          <w:rFonts w:ascii="Times New Roman" w:hAnsi="Times New Roman"/>
          <w:i/>
          <w:szCs w:val="20"/>
        </w:rPr>
        <w:t xml:space="preserve"> </w:t>
      </w:r>
      <w:r w:rsidRPr="009537ED">
        <w:rPr>
          <w:rFonts w:ascii="Times New Roman" w:hAnsi="Times New Roman"/>
          <w:i/>
          <w:szCs w:val="20"/>
        </w:rPr>
        <w:t>Group</w:t>
      </w:r>
      <w:r w:rsidR="00233210" w:rsidRPr="009537ED">
        <w:rPr>
          <w:rFonts w:ascii="Times New Roman" w:hAnsi="Times New Roman"/>
          <w:i/>
          <w:szCs w:val="20"/>
        </w:rPr>
        <w:t xml:space="preserve"> </w:t>
      </w:r>
      <w:r w:rsidRPr="009537ED">
        <w:rPr>
          <w:rFonts w:ascii="Times New Roman" w:hAnsi="Times New Roman"/>
          <w:i/>
          <w:szCs w:val="20"/>
        </w:rPr>
        <w:t>was</w:t>
      </w:r>
      <w:r w:rsidR="00233210" w:rsidRPr="009537ED">
        <w:rPr>
          <w:rFonts w:ascii="Times New Roman" w:hAnsi="Times New Roman"/>
          <w:i/>
          <w:szCs w:val="20"/>
        </w:rPr>
        <w:t xml:space="preserve"> </w:t>
      </w:r>
      <w:r w:rsidRPr="009537ED">
        <w:rPr>
          <w:rFonts w:ascii="Times New Roman" w:hAnsi="Times New Roman"/>
          <w:i/>
          <w:szCs w:val="20"/>
        </w:rPr>
        <w:t>drawn</w:t>
      </w:r>
      <w:r w:rsidR="00233210" w:rsidRPr="009537ED">
        <w:rPr>
          <w:rFonts w:ascii="Times New Roman" w:hAnsi="Times New Roman"/>
          <w:i/>
          <w:szCs w:val="20"/>
        </w:rPr>
        <w:t xml:space="preserve"> </w:t>
      </w:r>
      <w:r w:rsidRPr="009537ED">
        <w:rPr>
          <w:rFonts w:ascii="Times New Roman" w:hAnsi="Times New Roman"/>
          <w:i/>
          <w:szCs w:val="20"/>
        </w:rPr>
        <w:t>to</w:t>
      </w:r>
      <w:r w:rsidR="00233210" w:rsidRPr="009537ED">
        <w:rPr>
          <w:rFonts w:ascii="Times New Roman" w:hAnsi="Times New Roman"/>
          <w:i/>
          <w:szCs w:val="20"/>
        </w:rPr>
        <w:t xml:space="preserve"> </w:t>
      </w:r>
      <w:r w:rsidRPr="009537ED">
        <w:rPr>
          <w:rFonts w:ascii="Times New Roman" w:hAnsi="Times New Roman"/>
          <w:i/>
          <w:szCs w:val="20"/>
        </w:rPr>
        <w:t>the</w:t>
      </w:r>
      <w:r w:rsidR="00233210" w:rsidRPr="009537ED">
        <w:rPr>
          <w:rFonts w:ascii="Times New Roman" w:hAnsi="Times New Roman"/>
          <w:i/>
          <w:szCs w:val="20"/>
        </w:rPr>
        <w:t xml:space="preserve"> </w:t>
      </w:r>
      <w:r w:rsidRPr="009537ED">
        <w:rPr>
          <w:rFonts w:ascii="Times New Roman" w:hAnsi="Times New Roman"/>
          <w:i/>
          <w:szCs w:val="20"/>
        </w:rPr>
        <w:t>fact</w:t>
      </w:r>
      <w:r w:rsidR="00233210" w:rsidRPr="009537ED">
        <w:rPr>
          <w:rFonts w:ascii="Times New Roman" w:hAnsi="Times New Roman"/>
          <w:i/>
          <w:szCs w:val="20"/>
        </w:rPr>
        <w:t xml:space="preserve"> </w:t>
      </w:r>
      <w:r w:rsidRPr="009537ED">
        <w:rPr>
          <w:rFonts w:ascii="Times New Roman" w:hAnsi="Times New Roman"/>
          <w:b/>
          <w:bCs/>
          <w:i/>
          <w:szCs w:val="20"/>
        </w:rPr>
        <w:t>that</w:t>
      </w:r>
      <w:r w:rsidR="00233210" w:rsidRPr="009537ED">
        <w:rPr>
          <w:rFonts w:ascii="Times New Roman" w:hAnsi="Times New Roman"/>
          <w:b/>
          <w:bCs/>
          <w:i/>
          <w:szCs w:val="20"/>
        </w:rPr>
        <w:t xml:space="preserve"> </w:t>
      </w:r>
      <w:r w:rsidRPr="009537ED">
        <w:rPr>
          <w:rFonts w:ascii="Times New Roman" w:hAnsi="Times New Roman"/>
          <w:b/>
          <w:bCs/>
          <w:i/>
          <w:szCs w:val="20"/>
        </w:rPr>
        <w:t>3GPP</w:t>
      </w:r>
      <w:r w:rsidR="00233210" w:rsidRPr="009537ED">
        <w:rPr>
          <w:rFonts w:ascii="Times New Roman" w:hAnsi="Times New Roman"/>
          <w:b/>
          <w:bCs/>
          <w:i/>
          <w:szCs w:val="20"/>
        </w:rPr>
        <w:t xml:space="preserve"> </w:t>
      </w:r>
      <w:r w:rsidRPr="009537ED">
        <w:rPr>
          <w:rFonts w:ascii="Times New Roman" w:hAnsi="Times New Roman"/>
          <w:b/>
          <w:bCs/>
          <w:i/>
          <w:szCs w:val="20"/>
        </w:rPr>
        <w:t>Individual</w:t>
      </w:r>
      <w:r w:rsidR="00233210" w:rsidRPr="009537ED">
        <w:rPr>
          <w:rFonts w:ascii="Times New Roman" w:hAnsi="Times New Roman"/>
          <w:b/>
          <w:bCs/>
          <w:i/>
          <w:szCs w:val="20"/>
        </w:rPr>
        <w:t xml:space="preserve"> </w:t>
      </w:r>
      <w:r w:rsidRPr="009537ED">
        <w:rPr>
          <w:rFonts w:ascii="Times New Roman" w:hAnsi="Times New Roman"/>
          <w:b/>
          <w:bCs/>
          <w:i/>
          <w:szCs w:val="20"/>
        </w:rPr>
        <w:t>Members</w:t>
      </w:r>
      <w:r w:rsidR="00233210" w:rsidRPr="009537ED">
        <w:rPr>
          <w:rFonts w:ascii="Times New Roman" w:hAnsi="Times New Roman"/>
          <w:b/>
          <w:bCs/>
          <w:i/>
          <w:szCs w:val="20"/>
        </w:rPr>
        <w:t xml:space="preserve"> </w:t>
      </w:r>
      <w:r w:rsidRPr="009537ED">
        <w:rPr>
          <w:rFonts w:ascii="Times New Roman" w:hAnsi="Times New Roman"/>
          <w:b/>
          <w:bCs/>
          <w:i/>
          <w:szCs w:val="20"/>
        </w:rPr>
        <w:t>have</w:t>
      </w:r>
      <w:r w:rsidR="00233210" w:rsidRPr="009537ED">
        <w:rPr>
          <w:rFonts w:ascii="Times New Roman" w:hAnsi="Times New Roman"/>
          <w:b/>
          <w:bCs/>
          <w:i/>
          <w:szCs w:val="20"/>
        </w:rPr>
        <w:t xml:space="preserve"> </w:t>
      </w:r>
      <w:r w:rsidRPr="009537ED">
        <w:rPr>
          <w:rFonts w:ascii="Times New Roman" w:hAnsi="Times New Roman"/>
          <w:b/>
          <w:bCs/>
          <w:i/>
          <w:szCs w:val="20"/>
        </w:rPr>
        <w:t>the</w:t>
      </w:r>
      <w:r w:rsidR="00233210" w:rsidRPr="009537ED">
        <w:rPr>
          <w:rFonts w:ascii="Times New Roman" w:hAnsi="Times New Roman"/>
          <w:b/>
          <w:bCs/>
          <w:i/>
          <w:szCs w:val="20"/>
        </w:rPr>
        <w:t xml:space="preserve"> </w:t>
      </w:r>
      <w:r w:rsidRPr="009537ED">
        <w:rPr>
          <w:rFonts w:ascii="Times New Roman" w:hAnsi="Times New Roman"/>
          <w:b/>
          <w:bCs/>
          <w:i/>
          <w:szCs w:val="20"/>
        </w:rPr>
        <w:t>obligation</w:t>
      </w:r>
      <w:r w:rsidR="00233210" w:rsidRPr="009537ED">
        <w:rPr>
          <w:rFonts w:ascii="Times New Roman" w:hAnsi="Times New Roman"/>
          <w:i/>
          <w:szCs w:val="20"/>
        </w:rPr>
        <w:t xml:space="preserve"> </w:t>
      </w:r>
      <w:r w:rsidRPr="009537ED">
        <w:rPr>
          <w:rFonts w:ascii="Times New Roman" w:hAnsi="Times New Roman"/>
          <w:i/>
          <w:szCs w:val="20"/>
        </w:rPr>
        <w:t>under</w:t>
      </w:r>
      <w:r w:rsidR="00233210" w:rsidRPr="009537ED">
        <w:rPr>
          <w:rFonts w:ascii="Times New Roman" w:hAnsi="Times New Roman"/>
          <w:i/>
          <w:szCs w:val="20"/>
        </w:rPr>
        <w:t xml:space="preserve"> </w:t>
      </w:r>
      <w:r w:rsidRPr="009537ED">
        <w:rPr>
          <w:rFonts w:ascii="Times New Roman" w:hAnsi="Times New Roman"/>
          <w:i/>
          <w:szCs w:val="20"/>
        </w:rPr>
        <w:t>the</w:t>
      </w:r>
      <w:r w:rsidR="00233210" w:rsidRPr="009537ED">
        <w:rPr>
          <w:rFonts w:ascii="Times New Roman" w:hAnsi="Times New Roman"/>
          <w:i/>
          <w:szCs w:val="20"/>
        </w:rPr>
        <w:t xml:space="preserve"> </w:t>
      </w:r>
      <w:r w:rsidRPr="009537ED">
        <w:rPr>
          <w:rFonts w:ascii="Times New Roman" w:hAnsi="Times New Roman"/>
          <w:i/>
          <w:szCs w:val="20"/>
        </w:rPr>
        <w:t>IPR</w:t>
      </w:r>
      <w:r w:rsidR="00233210" w:rsidRPr="009537ED">
        <w:rPr>
          <w:rFonts w:ascii="Times New Roman" w:hAnsi="Times New Roman"/>
          <w:i/>
          <w:szCs w:val="20"/>
        </w:rPr>
        <w:t xml:space="preserve"> </w:t>
      </w:r>
      <w:r w:rsidRPr="009537ED">
        <w:rPr>
          <w:rFonts w:ascii="Times New Roman" w:hAnsi="Times New Roman"/>
          <w:i/>
          <w:szCs w:val="20"/>
        </w:rPr>
        <w:t>Policies</w:t>
      </w:r>
      <w:r w:rsidR="00233210" w:rsidRPr="009537ED">
        <w:rPr>
          <w:rFonts w:ascii="Times New Roman" w:hAnsi="Times New Roman"/>
          <w:i/>
          <w:szCs w:val="20"/>
        </w:rPr>
        <w:t xml:space="preserve"> </w:t>
      </w:r>
      <w:r w:rsidRPr="009537ED">
        <w:rPr>
          <w:rFonts w:ascii="Times New Roman" w:hAnsi="Times New Roman"/>
          <w:i/>
          <w:szCs w:val="20"/>
        </w:rPr>
        <w:t>of</w:t>
      </w:r>
      <w:r w:rsidR="00233210" w:rsidRPr="009537ED">
        <w:rPr>
          <w:rFonts w:ascii="Times New Roman" w:hAnsi="Times New Roman"/>
          <w:i/>
          <w:szCs w:val="20"/>
        </w:rPr>
        <w:t xml:space="preserve"> </w:t>
      </w:r>
      <w:r w:rsidRPr="009537ED">
        <w:rPr>
          <w:rFonts w:ascii="Times New Roman" w:hAnsi="Times New Roman"/>
          <w:i/>
          <w:szCs w:val="20"/>
        </w:rPr>
        <w:t>their</w:t>
      </w:r>
      <w:r w:rsidR="00233210" w:rsidRPr="009537ED">
        <w:rPr>
          <w:rFonts w:ascii="Times New Roman" w:hAnsi="Times New Roman"/>
          <w:i/>
          <w:szCs w:val="20"/>
        </w:rPr>
        <w:t xml:space="preserve"> </w:t>
      </w:r>
      <w:r w:rsidRPr="009537ED">
        <w:rPr>
          <w:rFonts w:ascii="Times New Roman" w:hAnsi="Times New Roman"/>
          <w:i/>
          <w:szCs w:val="20"/>
        </w:rPr>
        <w:t>respective</w:t>
      </w:r>
      <w:r w:rsidR="00233210" w:rsidRPr="009537ED">
        <w:rPr>
          <w:rFonts w:ascii="Times New Roman" w:hAnsi="Times New Roman"/>
          <w:i/>
          <w:szCs w:val="20"/>
        </w:rPr>
        <w:t xml:space="preserve"> </w:t>
      </w:r>
      <w:r w:rsidRPr="009537ED">
        <w:rPr>
          <w:rFonts w:ascii="Times New Roman" w:hAnsi="Times New Roman"/>
          <w:i/>
          <w:szCs w:val="20"/>
        </w:rPr>
        <w:t>Organizational</w:t>
      </w:r>
      <w:r w:rsidR="00233210" w:rsidRPr="009537ED">
        <w:rPr>
          <w:rFonts w:ascii="Times New Roman" w:hAnsi="Times New Roman"/>
          <w:i/>
          <w:szCs w:val="20"/>
        </w:rPr>
        <w:t xml:space="preserve"> </w:t>
      </w:r>
      <w:r w:rsidRPr="009537ED">
        <w:rPr>
          <w:rFonts w:ascii="Times New Roman" w:hAnsi="Times New Roman"/>
          <w:i/>
          <w:szCs w:val="20"/>
        </w:rPr>
        <w:t>Partners</w:t>
      </w:r>
      <w:r w:rsidR="00233210" w:rsidRPr="009537ED">
        <w:rPr>
          <w:rFonts w:ascii="Times New Roman" w:hAnsi="Times New Roman"/>
          <w:i/>
          <w:szCs w:val="20"/>
        </w:rPr>
        <w:t xml:space="preserve"> </w:t>
      </w:r>
      <w:r w:rsidRPr="009537ED">
        <w:rPr>
          <w:rFonts w:ascii="Times New Roman" w:hAnsi="Times New Roman"/>
          <w:i/>
          <w:szCs w:val="20"/>
        </w:rPr>
        <w:t>to</w:t>
      </w:r>
      <w:r w:rsidR="00233210" w:rsidRPr="009537ED">
        <w:rPr>
          <w:rFonts w:ascii="Times New Roman" w:hAnsi="Times New Roman"/>
          <w:b/>
          <w:bCs/>
          <w:i/>
          <w:szCs w:val="20"/>
        </w:rPr>
        <w:t xml:space="preserve"> </w:t>
      </w:r>
      <w:r w:rsidRPr="009537ED">
        <w:rPr>
          <w:rFonts w:ascii="Times New Roman" w:hAnsi="Times New Roman"/>
          <w:b/>
          <w:bCs/>
          <w:i/>
          <w:szCs w:val="20"/>
        </w:rPr>
        <w:t>inform</w:t>
      </w:r>
      <w:r w:rsidR="00233210" w:rsidRPr="009537ED">
        <w:rPr>
          <w:rFonts w:ascii="Times New Roman" w:hAnsi="Times New Roman"/>
          <w:b/>
          <w:bCs/>
          <w:i/>
          <w:szCs w:val="20"/>
        </w:rPr>
        <w:t xml:space="preserve"> </w:t>
      </w:r>
      <w:r w:rsidRPr="009537ED">
        <w:rPr>
          <w:rFonts w:ascii="Times New Roman" w:hAnsi="Times New Roman"/>
          <w:b/>
          <w:bCs/>
          <w:i/>
          <w:szCs w:val="20"/>
        </w:rPr>
        <w:t>their</w:t>
      </w:r>
      <w:r w:rsidR="00233210" w:rsidRPr="009537ED">
        <w:rPr>
          <w:rFonts w:ascii="Times New Roman" w:hAnsi="Times New Roman"/>
          <w:b/>
          <w:bCs/>
          <w:i/>
          <w:szCs w:val="20"/>
        </w:rPr>
        <w:t xml:space="preserve"> </w:t>
      </w:r>
      <w:r w:rsidRPr="009537ED">
        <w:rPr>
          <w:rFonts w:ascii="Times New Roman" w:hAnsi="Times New Roman"/>
          <w:b/>
          <w:bCs/>
          <w:i/>
          <w:szCs w:val="20"/>
        </w:rPr>
        <w:t>respective</w:t>
      </w:r>
      <w:r w:rsidR="00233210" w:rsidRPr="009537ED">
        <w:rPr>
          <w:rFonts w:ascii="Times New Roman" w:hAnsi="Times New Roman"/>
          <w:i/>
          <w:szCs w:val="20"/>
        </w:rPr>
        <w:t xml:space="preserve"> </w:t>
      </w:r>
      <w:r w:rsidRPr="009537ED">
        <w:rPr>
          <w:rFonts w:ascii="Times New Roman" w:hAnsi="Times New Roman"/>
          <w:i/>
          <w:szCs w:val="20"/>
        </w:rPr>
        <w:t>Organizational</w:t>
      </w:r>
      <w:r w:rsidR="00233210" w:rsidRPr="009537ED">
        <w:rPr>
          <w:rFonts w:ascii="Times New Roman" w:hAnsi="Times New Roman"/>
          <w:i/>
          <w:szCs w:val="20"/>
        </w:rPr>
        <w:t xml:space="preserve"> </w:t>
      </w:r>
      <w:r w:rsidRPr="009537ED">
        <w:rPr>
          <w:rFonts w:ascii="Times New Roman" w:hAnsi="Times New Roman"/>
          <w:i/>
          <w:szCs w:val="20"/>
        </w:rPr>
        <w:t>Partners</w:t>
      </w:r>
      <w:r w:rsidR="00233210" w:rsidRPr="009537ED">
        <w:rPr>
          <w:rFonts w:ascii="Times New Roman" w:hAnsi="Times New Roman"/>
          <w:i/>
          <w:szCs w:val="20"/>
        </w:rPr>
        <w:t xml:space="preserve"> </w:t>
      </w:r>
      <w:r w:rsidRPr="009537ED">
        <w:rPr>
          <w:rFonts w:ascii="Times New Roman" w:hAnsi="Times New Roman"/>
          <w:b/>
          <w:bCs/>
          <w:i/>
          <w:szCs w:val="20"/>
        </w:rPr>
        <w:t>of</w:t>
      </w:r>
      <w:r w:rsidR="00233210" w:rsidRPr="009537ED">
        <w:rPr>
          <w:rFonts w:ascii="Times New Roman" w:hAnsi="Times New Roman"/>
          <w:b/>
          <w:bCs/>
          <w:i/>
          <w:szCs w:val="20"/>
        </w:rPr>
        <w:t xml:space="preserve"> </w:t>
      </w:r>
      <w:r w:rsidRPr="009537ED">
        <w:rPr>
          <w:rFonts w:ascii="Times New Roman" w:hAnsi="Times New Roman"/>
          <w:b/>
          <w:bCs/>
          <w:i/>
          <w:szCs w:val="20"/>
        </w:rPr>
        <w:t>Essential</w:t>
      </w:r>
      <w:r w:rsidR="00233210" w:rsidRPr="009537ED">
        <w:rPr>
          <w:rFonts w:ascii="Times New Roman" w:hAnsi="Times New Roman"/>
          <w:b/>
          <w:bCs/>
          <w:i/>
          <w:szCs w:val="20"/>
        </w:rPr>
        <w:t xml:space="preserve"> </w:t>
      </w:r>
      <w:r w:rsidRPr="009537ED">
        <w:rPr>
          <w:rFonts w:ascii="Times New Roman" w:hAnsi="Times New Roman"/>
          <w:b/>
          <w:bCs/>
          <w:i/>
          <w:szCs w:val="20"/>
        </w:rPr>
        <w:t>IPRs</w:t>
      </w:r>
      <w:r w:rsidR="00233210" w:rsidRPr="009537ED">
        <w:rPr>
          <w:rFonts w:ascii="Times New Roman" w:hAnsi="Times New Roman"/>
          <w:b/>
          <w:bCs/>
          <w:i/>
          <w:szCs w:val="20"/>
        </w:rPr>
        <w:t xml:space="preserve"> </w:t>
      </w:r>
      <w:r w:rsidRPr="009537ED">
        <w:rPr>
          <w:rFonts w:ascii="Times New Roman" w:hAnsi="Times New Roman"/>
          <w:b/>
          <w:bCs/>
          <w:i/>
          <w:szCs w:val="20"/>
        </w:rPr>
        <w:t>they</w:t>
      </w:r>
      <w:r w:rsidR="00233210" w:rsidRPr="009537ED">
        <w:rPr>
          <w:rFonts w:ascii="Times New Roman" w:hAnsi="Times New Roman"/>
          <w:b/>
          <w:bCs/>
          <w:i/>
          <w:szCs w:val="20"/>
        </w:rPr>
        <w:t xml:space="preserve"> </w:t>
      </w:r>
      <w:r w:rsidRPr="009537ED">
        <w:rPr>
          <w:rFonts w:ascii="Times New Roman" w:hAnsi="Times New Roman"/>
          <w:b/>
          <w:bCs/>
          <w:i/>
          <w:szCs w:val="20"/>
        </w:rPr>
        <w:t>become</w:t>
      </w:r>
      <w:r w:rsidR="00233210" w:rsidRPr="009537ED">
        <w:rPr>
          <w:rFonts w:ascii="Times New Roman" w:hAnsi="Times New Roman"/>
          <w:b/>
          <w:bCs/>
          <w:i/>
          <w:szCs w:val="20"/>
        </w:rPr>
        <w:t xml:space="preserve"> </w:t>
      </w:r>
      <w:r w:rsidRPr="009537ED">
        <w:rPr>
          <w:rFonts w:ascii="Times New Roman" w:hAnsi="Times New Roman"/>
          <w:b/>
          <w:bCs/>
          <w:i/>
          <w:szCs w:val="20"/>
        </w:rPr>
        <w:t>aware</w:t>
      </w:r>
      <w:r w:rsidR="00233210" w:rsidRPr="009537ED">
        <w:rPr>
          <w:rFonts w:ascii="Times New Roman" w:hAnsi="Times New Roman"/>
          <w:b/>
          <w:bCs/>
          <w:i/>
          <w:szCs w:val="20"/>
        </w:rPr>
        <w:t xml:space="preserve"> </w:t>
      </w:r>
      <w:r w:rsidRPr="009537ED">
        <w:rPr>
          <w:rFonts w:ascii="Times New Roman" w:hAnsi="Times New Roman"/>
          <w:b/>
          <w:bCs/>
          <w:i/>
          <w:szCs w:val="20"/>
        </w:rPr>
        <w:t>of</w:t>
      </w:r>
      <w:r w:rsidRPr="009537ED">
        <w:rPr>
          <w:rFonts w:ascii="Times New Roman" w:hAnsi="Times New Roman"/>
          <w:i/>
          <w:szCs w:val="20"/>
        </w:rPr>
        <w:t>.</w:t>
      </w:r>
      <w:r w:rsidR="00233210" w:rsidRPr="009537ED">
        <w:rPr>
          <w:rFonts w:ascii="Times New Roman" w:hAnsi="Times New Roman"/>
          <w:i/>
          <w:szCs w:val="20"/>
        </w:rPr>
        <w:t xml:space="preserve"> </w:t>
      </w:r>
    </w:p>
    <w:p w14:paraId="47C43A08" w14:textId="780CFCED" w:rsidR="00767A8D" w:rsidRPr="009537ED" w:rsidRDefault="00767A8D" w:rsidP="002B3B14">
      <w:pPr>
        <w:spacing w:after="180"/>
        <w:rPr>
          <w:rFonts w:ascii="Times New Roman" w:hAnsi="Times New Roman"/>
          <w:i/>
          <w:szCs w:val="20"/>
        </w:rPr>
      </w:pPr>
      <w:r w:rsidRPr="009537ED">
        <w:rPr>
          <w:rFonts w:ascii="Times New Roman" w:hAnsi="Times New Roman"/>
          <w:i/>
          <w:szCs w:val="20"/>
        </w:rPr>
        <w:t>The</w:t>
      </w:r>
      <w:r w:rsidR="00233210" w:rsidRPr="009537ED">
        <w:rPr>
          <w:rFonts w:ascii="Times New Roman" w:hAnsi="Times New Roman"/>
          <w:i/>
          <w:szCs w:val="20"/>
        </w:rPr>
        <w:t xml:space="preserve"> </w:t>
      </w:r>
      <w:r w:rsidR="00DC6325" w:rsidRPr="009537ED">
        <w:rPr>
          <w:rFonts w:ascii="Times New Roman" w:hAnsi="Times New Roman"/>
          <w:i/>
          <w:szCs w:val="20"/>
        </w:rPr>
        <w:t>delegates</w:t>
      </w:r>
      <w:r w:rsidR="00233210" w:rsidRPr="009537ED">
        <w:rPr>
          <w:rFonts w:ascii="Times New Roman" w:hAnsi="Times New Roman"/>
          <w:i/>
          <w:szCs w:val="20"/>
        </w:rPr>
        <w:t xml:space="preserve"> </w:t>
      </w:r>
      <w:r w:rsidRPr="009537ED">
        <w:rPr>
          <w:rFonts w:ascii="Times New Roman" w:hAnsi="Times New Roman"/>
          <w:i/>
          <w:szCs w:val="20"/>
        </w:rPr>
        <w:t>take</w:t>
      </w:r>
      <w:r w:rsidR="00233210" w:rsidRPr="009537ED">
        <w:rPr>
          <w:rFonts w:ascii="Times New Roman" w:hAnsi="Times New Roman"/>
          <w:i/>
          <w:szCs w:val="20"/>
        </w:rPr>
        <w:t xml:space="preserve"> </w:t>
      </w:r>
      <w:r w:rsidRPr="009537ED">
        <w:rPr>
          <w:rFonts w:ascii="Times New Roman" w:hAnsi="Times New Roman"/>
          <w:i/>
          <w:szCs w:val="20"/>
        </w:rPr>
        <w:t>note</w:t>
      </w:r>
      <w:r w:rsidR="00233210" w:rsidRPr="009537ED">
        <w:rPr>
          <w:rFonts w:ascii="Times New Roman" w:hAnsi="Times New Roman"/>
          <w:i/>
          <w:szCs w:val="20"/>
        </w:rPr>
        <w:t xml:space="preserve"> </w:t>
      </w:r>
      <w:r w:rsidRPr="009537ED">
        <w:rPr>
          <w:rFonts w:ascii="Times New Roman" w:hAnsi="Times New Roman"/>
          <w:i/>
          <w:szCs w:val="20"/>
        </w:rPr>
        <w:t>that</w:t>
      </w:r>
      <w:r w:rsidR="00233210" w:rsidRPr="009537ED">
        <w:rPr>
          <w:rFonts w:ascii="Times New Roman" w:hAnsi="Times New Roman"/>
          <w:i/>
          <w:szCs w:val="20"/>
        </w:rPr>
        <w:t xml:space="preserve"> </w:t>
      </w:r>
      <w:r w:rsidRPr="009537ED">
        <w:rPr>
          <w:rFonts w:ascii="Times New Roman" w:hAnsi="Times New Roman"/>
          <w:i/>
          <w:szCs w:val="20"/>
        </w:rPr>
        <w:t>they</w:t>
      </w:r>
      <w:r w:rsidR="00233210" w:rsidRPr="009537ED">
        <w:rPr>
          <w:rFonts w:ascii="Times New Roman" w:hAnsi="Times New Roman"/>
          <w:i/>
          <w:szCs w:val="20"/>
        </w:rPr>
        <w:t xml:space="preserve"> </w:t>
      </w:r>
      <w:r w:rsidRPr="009537ED">
        <w:rPr>
          <w:rFonts w:ascii="Times New Roman" w:hAnsi="Times New Roman"/>
          <w:i/>
          <w:szCs w:val="20"/>
        </w:rPr>
        <w:t>are</w:t>
      </w:r>
      <w:r w:rsidR="00233210" w:rsidRPr="009537ED">
        <w:rPr>
          <w:rFonts w:ascii="Times New Roman" w:hAnsi="Times New Roman"/>
          <w:i/>
          <w:szCs w:val="20"/>
        </w:rPr>
        <w:t xml:space="preserve"> </w:t>
      </w:r>
      <w:r w:rsidRPr="009537ED">
        <w:rPr>
          <w:rFonts w:ascii="Times New Roman" w:hAnsi="Times New Roman"/>
          <w:i/>
          <w:szCs w:val="20"/>
        </w:rPr>
        <w:t>hereby</w:t>
      </w:r>
      <w:r w:rsidR="00233210" w:rsidRPr="009537ED">
        <w:rPr>
          <w:rFonts w:ascii="Times New Roman" w:hAnsi="Times New Roman"/>
          <w:i/>
          <w:szCs w:val="20"/>
        </w:rPr>
        <w:t xml:space="preserve"> </w:t>
      </w:r>
      <w:r w:rsidRPr="009537ED">
        <w:rPr>
          <w:rFonts w:ascii="Times New Roman" w:hAnsi="Times New Roman"/>
          <w:i/>
          <w:szCs w:val="20"/>
        </w:rPr>
        <w:t>invited:</w:t>
      </w:r>
    </w:p>
    <w:p w14:paraId="18E88833" w14:textId="52998718" w:rsidR="00767A8D" w:rsidRPr="009537ED" w:rsidRDefault="00767A8D" w:rsidP="00767A8D">
      <w:pPr>
        <w:pStyle w:val="B1"/>
        <w:rPr>
          <w:rFonts w:ascii="Times New Roman" w:hAnsi="Times New Roman"/>
          <w:i/>
          <w:lang w:val="en-GB"/>
        </w:rPr>
      </w:pPr>
      <w:r w:rsidRPr="009537ED">
        <w:rPr>
          <w:rFonts w:ascii="Times New Roman" w:hAnsi="Times New Roman"/>
          <w:i/>
          <w:lang w:val="en-GB"/>
        </w:rPr>
        <w:t>-</w:t>
      </w:r>
      <w:r w:rsidRPr="009537ED">
        <w:rPr>
          <w:rFonts w:ascii="Times New Roman" w:hAnsi="Times New Roman"/>
          <w:i/>
          <w:lang w:val="en-GB"/>
        </w:rPr>
        <w:tab/>
        <w:t>to</w:t>
      </w:r>
      <w:r w:rsidR="00233210" w:rsidRPr="009537ED">
        <w:rPr>
          <w:rFonts w:ascii="Times New Roman" w:hAnsi="Times New Roman"/>
          <w:i/>
          <w:lang w:val="en-GB"/>
        </w:rPr>
        <w:t xml:space="preserve"> </w:t>
      </w:r>
      <w:r w:rsidRPr="009537ED">
        <w:rPr>
          <w:rFonts w:ascii="Times New Roman" w:hAnsi="Times New Roman"/>
          <w:i/>
          <w:lang w:val="en-GB"/>
        </w:rPr>
        <w:t>investigate</w:t>
      </w:r>
      <w:r w:rsidR="00233210" w:rsidRPr="009537ED">
        <w:rPr>
          <w:rFonts w:ascii="Times New Roman" w:hAnsi="Times New Roman"/>
          <w:i/>
          <w:lang w:val="en-GB"/>
        </w:rPr>
        <w:t xml:space="preserve"> </w:t>
      </w:r>
      <w:r w:rsidRPr="009537ED">
        <w:rPr>
          <w:rFonts w:ascii="Times New Roman" w:hAnsi="Times New Roman"/>
          <w:i/>
          <w:lang w:val="en-GB"/>
        </w:rPr>
        <w:t>whether</w:t>
      </w:r>
      <w:r w:rsidR="00233210" w:rsidRPr="009537ED">
        <w:rPr>
          <w:rFonts w:ascii="Times New Roman" w:hAnsi="Times New Roman"/>
          <w:i/>
          <w:lang w:val="en-GB"/>
        </w:rPr>
        <w:t xml:space="preserve"> </w:t>
      </w:r>
      <w:r w:rsidRPr="009537ED">
        <w:rPr>
          <w:rFonts w:ascii="Times New Roman" w:hAnsi="Times New Roman"/>
          <w:i/>
          <w:lang w:val="en-GB"/>
        </w:rPr>
        <w:t>their</w:t>
      </w:r>
      <w:r w:rsidR="00233210" w:rsidRPr="009537ED">
        <w:rPr>
          <w:rFonts w:ascii="Times New Roman" w:hAnsi="Times New Roman"/>
          <w:i/>
          <w:lang w:val="en-GB"/>
        </w:rPr>
        <w:t xml:space="preserve"> </w:t>
      </w:r>
      <w:r w:rsidRPr="009537ED">
        <w:rPr>
          <w:rFonts w:ascii="Times New Roman" w:hAnsi="Times New Roman"/>
          <w:i/>
          <w:lang w:val="en-GB"/>
        </w:rPr>
        <w:t>organization</w:t>
      </w:r>
      <w:r w:rsidR="00233210" w:rsidRPr="009537ED">
        <w:rPr>
          <w:rFonts w:ascii="Times New Roman" w:hAnsi="Times New Roman"/>
          <w:i/>
          <w:lang w:val="en-GB"/>
        </w:rPr>
        <w:t xml:space="preserve"> </w:t>
      </w:r>
      <w:r w:rsidRPr="009537ED">
        <w:rPr>
          <w:rFonts w:ascii="Times New Roman" w:hAnsi="Times New Roman"/>
          <w:i/>
          <w:lang w:val="en-GB"/>
        </w:rPr>
        <w:t>or</w:t>
      </w:r>
      <w:r w:rsidR="00233210" w:rsidRPr="009537ED">
        <w:rPr>
          <w:rFonts w:ascii="Times New Roman" w:hAnsi="Times New Roman"/>
          <w:i/>
          <w:lang w:val="en-GB"/>
        </w:rPr>
        <w:t xml:space="preserve"> </w:t>
      </w:r>
      <w:r w:rsidRPr="009537ED">
        <w:rPr>
          <w:rFonts w:ascii="Times New Roman" w:hAnsi="Times New Roman"/>
          <w:i/>
          <w:lang w:val="en-GB"/>
        </w:rPr>
        <w:t>any</w:t>
      </w:r>
      <w:r w:rsidR="00233210" w:rsidRPr="009537ED">
        <w:rPr>
          <w:rFonts w:ascii="Times New Roman" w:hAnsi="Times New Roman"/>
          <w:i/>
          <w:lang w:val="en-GB"/>
        </w:rPr>
        <w:t xml:space="preserve"> </w:t>
      </w:r>
      <w:r w:rsidRPr="009537ED">
        <w:rPr>
          <w:rFonts w:ascii="Times New Roman" w:hAnsi="Times New Roman"/>
          <w:i/>
          <w:lang w:val="en-GB"/>
        </w:rPr>
        <w:t>other</w:t>
      </w:r>
      <w:r w:rsidR="00233210" w:rsidRPr="009537ED">
        <w:rPr>
          <w:rFonts w:ascii="Times New Roman" w:hAnsi="Times New Roman"/>
          <w:i/>
          <w:lang w:val="en-GB"/>
        </w:rPr>
        <w:t xml:space="preserve"> </w:t>
      </w:r>
      <w:r w:rsidRPr="009537ED">
        <w:rPr>
          <w:rFonts w:ascii="Times New Roman" w:hAnsi="Times New Roman"/>
          <w:i/>
          <w:lang w:val="en-GB"/>
        </w:rPr>
        <w:t>organization</w:t>
      </w:r>
      <w:r w:rsidR="00233210" w:rsidRPr="009537ED">
        <w:rPr>
          <w:rFonts w:ascii="Times New Roman" w:hAnsi="Times New Roman"/>
          <w:i/>
          <w:lang w:val="en-GB"/>
        </w:rPr>
        <w:t xml:space="preserve"> </w:t>
      </w:r>
      <w:r w:rsidRPr="009537ED">
        <w:rPr>
          <w:rFonts w:ascii="Times New Roman" w:hAnsi="Times New Roman"/>
          <w:i/>
          <w:lang w:val="en-GB"/>
        </w:rPr>
        <w:t>owns</w:t>
      </w:r>
      <w:r w:rsidR="00233210" w:rsidRPr="009537ED">
        <w:rPr>
          <w:rFonts w:ascii="Times New Roman" w:hAnsi="Times New Roman"/>
          <w:i/>
          <w:lang w:val="en-GB"/>
        </w:rPr>
        <w:t xml:space="preserve"> </w:t>
      </w:r>
      <w:r w:rsidRPr="009537ED">
        <w:rPr>
          <w:rFonts w:ascii="Times New Roman" w:hAnsi="Times New Roman"/>
          <w:i/>
          <w:lang w:val="en-GB"/>
        </w:rPr>
        <w:t>IPRs</w:t>
      </w:r>
      <w:r w:rsidR="00233210" w:rsidRPr="009537ED">
        <w:rPr>
          <w:rFonts w:ascii="Times New Roman" w:hAnsi="Times New Roman"/>
          <w:i/>
          <w:lang w:val="en-GB"/>
        </w:rPr>
        <w:t xml:space="preserve"> </w:t>
      </w:r>
      <w:r w:rsidRPr="009537ED">
        <w:rPr>
          <w:rFonts w:ascii="Times New Roman" w:hAnsi="Times New Roman"/>
          <w:i/>
          <w:lang w:val="en-GB"/>
        </w:rPr>
        <w:t>which</w:t>
      </w:r>
      <w:r w:rsidR="00233210" w:rsidRPr="009537ED">
        <w:rPr>
          <w:rFonts w:ascii="Times New Roman" w:hAnsi="Times New Roman"/>
          <w:i/>
          <w:lang w:val="en-GB"/>
        </w:rPr>
        <w:t xml:space="preserve"> </w:t>
      </w:r>
      <w:r w:rsidRPr="009537ED">
        <w:rPr>
          <w:rFonts w:ascii="Times New Roman" w:hAnsi="Times New Roman"/>
          <w:i/>
          <w:lang w:val="en-GB"/>
        </w:rPr>
        <w:t>were,</w:t>
      </w:r>
      <w:r w:rsidR="00233210" w:rsidRPr="009537ED">
        <w:rPr>
          <w:rFonts w:ascii="Times New Roman" w:hAnsi="Times New Roman"/>
          <w:i/>
          <w:lang w:val="en-GB"/>
        </w:rPr>
        <w:t xml:space="preserve"> </w:t>
      </w:r>
      <w:r w:rsidRPr="009537ED">
        <w:rPr>
          <w:rFonts w:ascii="Times New Roman" w:hAnsi="Times New Roman"/>
          <w:i/>
          <w:lang w:val="en-GB"/>
        </w:rPr>
        <w:t>or</w:t>
      </w:r>
      <w:r w:rsidR="00233210" w:rsidRPr="009537ED">
        <w:rPr>
          <w:rFonts w:ascii="Times New Roman" w:hAnsi="Times New Roman"/>
          <w:i/>
          <w:lang w:val="en-GB"/>
        </w:rPr>
        <w:t xml:space="preserve"> </w:t>
      </w:r>
      <w:r w:rsidRPr="009537ED">
        <w:rPr>
          <w:rFonts w:ascii="Times New Roman" w:hAnsi="Times New Roman"/>
          <w:i/>
          <w:lang w:val="en-GB"/>
        </w:rPr>
        <w:t>were</w:t>
      </w:r>
      <w:r w:rsidR="00233210" w:rsidRPr="009537ED">
        <w:rPr>
          <w:rFonts w:ascii="Times New Roman" w:hAnsi="Times New Roman"/>
          <w:i/>
          <w:lang w:val="en-GB"/>
        </w:rPr>
        <w:t xml:space="preserve"> </w:t>
      </w:r>
      <w:r w:rsidRPr="009537ED">
        <w:rPr>
          <w:rFonts w:ascii="Times New Roman" w:hAnsi="Times New Roman"/>
          <w:i/>
          <w:lang w:val="en-GB"/>
        </w:rPr>
        <w:t>likely</w:t>
      </w:r>
      <w:r w:rsidR="00233210" w:rsidRPr="009537ED">
        <w:rPr>
          <w:rFonts w:ascii="Times New Roman" w:hAnsi="Times New Roman"/>
          <w:i/>
          <w:lang w:val="en-GB"/>
        </w:rPr>
        <w:t xml:space="preserve"> </w:t>
      </w:r>
      <w:r w:rsidRPr="009537ED">
        <w:rPr>
          <w:rFonts w:ascii="Times New Roman" w:hAnsi="Times New Roman"/>
          <w:i/>
          <w:lang w:val="en-GB"/>
        </w:rPr>
        <w:t>to</w:t>
      </w:r>
      <w:r w:rsidR="00233210" w:rsidRPr="009537ED">
        <w:rPr>
          <w:rFonts w:ascii="Times New Roman" w:hAnsi="Times New Roman"/>
          <w:i/>
          <w:lang w:val="en-GB"/>
        </w:rPr>
        <w:t xml:space="preserve"> </w:t>
      </w:r>
      <w:r w:rsidRPr="009537ED">
        <w:rPr>
          <w:rFonts w:ascii="Times New Roman" w:hAnsi="Times New Roman"/>
          <w:i/>
          <w:lang w:val="en-GB"/>
        </w:rPr>
        <w:t>become</w:t>
      </w:r>
      <w:r w:rsidR="00233210" w:rsidRPr="009537ED">
        <w:rPr>
          <w:rFonts w:ascii="Times New Roman" w:hAnsi="Times New Roman"/>
          <w:i/>
          <w:lang w:val="en-GB"/>
        </w:rPr>
        <w:t xml:space="preserve"> </w:t>
      </w:r>
      <w:r w:rsidRPr="009537ED">
        <w:rPr>
          <w:rFonts w:ascii="Times New Roman" w:hAnsi="Times New Roman"/>
          <w:i/>
          <w:lang w:val="en-GB"/>
        </w:rPr>
        <w:t>Essential</w:t>
      </w:r>
      <w:r w:rsidR="00233210" w:rsidRPr="009537ED">
        <w:rPr>
          <w:rFonts w:ascii="Times New Roman" w:hAnsi="Times New Roman"/>
          <w:i/>
          <w:lang w:val="en-GB"/>
        </w:rPr>
        <w:t xml:space="preserve"> </w:t>
      </w:r>
      <w:r w:rsidRPr="009537ED">
        <w:rPr>
          <w:rFonts w:ascii="Times New Roman" w:hAnsi="Times New Roman"/>
          <w:i/>
          <w:lang w:val="en-GB"/>
        </w:rPr>
        <w:t>in</w:t>
      </w:r>
      <w:r w:rsidR="00233210" w:rsidRPr="009537ED">
        <w:rPr>
          <w:rFonts w:ascii="Times New Roman" w:hAnsi="Times New Roman"/>
          <w:i/>
          <w:lang w:val="en-GB"/>
        </w:rPr>
        <w:t xml:space="preserve"> </w:t>
      </w:r>
      <w:r w:rsidRPr="009537ED">
        <w:rPr>
          <w:rFonts w:ascii="Times New Roman" w:hAnsi="Times New Roman"/>
          <w:i/>
          <w:lang w:val="en-GB"/>
        </w:rPr>
        <w:t>respect</w:t>
      </w:r>
      <w:r w:rsidR="00233210" w:rsidRPr="009537ED">
        <w:rPr>
          <w:rFonts w:ascii="Times New Roman" w:hAnsi="Times New Roman"/>
          <w:i/>
          <w:lang w:val="en-GB"/>
        </w:rPr>
        <w:t xml:space="preserve"> </w:t>
      </w:r>
      <w:r w:rsidRPr="009537ED">
        <w:rPr>
          <w:rFonts w:ascii="Times New Roman" w:hAnsi="Times New Roman"/>
          <w:i/>
          <w:lang w:val="en-GB"/>
        </w:rPr>
        <w:t>of</w:t>
      </w:r>
      <w:r w:rsidR="00233210" w:rsidRPr="009537ED">
        <w:rPr>
          <w:rFonts w:ascii="Times New Roman" w:hAnsi="Times New Roman"/>
          <w:i/>
          <w:lang w:val="en-GB"/>
        </w:rPr>
        <w:t xml:space="preserve"> </w:t>
      </w:r>
      <w:r w:rsidRPr="009537ED">
        <w:rPr>
          <w:rFonts w:ascii="Times New Roman" w:hAnsi="Times New Roman"/>
          <w:i/>
          <w:lang w:val="en-GB"/>
        </w:rPr>
        <w:t>the</w:t>
      </w:r>
      <w:r w:rsidR="00233210" w:rsidRPr="009537ED">
        <w:rPr>
          <w:rFonts w:ascii="Times New Roman" w:hAnsi="Times New Roman"/>
          <w:i/>
          <w:lang w:val="en-GB"/>
        </w:rPr>
        <w:t xml:space="preserve"> </w:t>
      </w:r>
      <w:r w:rsidRPr="009537ED">
        <w:rPr>
          <w:rFonts w:ascii="Times New Roman" w:hAnsi="Times New Roman"/>
          <w:i/>
          <w:lang w:val="en-GB"/>
        </w:rPr>
        <w:t>work</w:t>
      </w:r>
      <w:r w:rsidR="00233210" w:rsidRPr="009537ED">
        <w:rPr>
          <w:rFonts w:ascii="Times New Roman" w:hAnsi="Times New Roman"/>
          <w:i/>
          <w:lang w:val="en-GB"/>
        </w:rPr>
        <w:t xml:space="preserve"> </w:t>
      </w:r>
      <w:r w:rsidRPr="009537ED">
        <w:rPr>
          <w:rFonts w:ascii="Times New Roman" w:hAnsi="Times New Roman"/>
          <w:i/>
          <w:lang w:val="en-GB"/>
        </w:rPr>
        <w:t>of</w:t>
      </w:r>
      <w:r w:rsidR="00233210" w:rsidRPr="009537ED">
        <w:rPr>
          <w:rFonts w:ascii="Times New Roman" w:hAnsi="Times New Roman"/>
          <w:i/>
          <w:lang w:val="en-GB"/>
        </w:rPr>
        <w:t xml:space="preserve"> </w:t>
      </w:r>
      <w:r w:rsidRPr="009537ED">
        <w:rPr>
          <w:rFonts w:ascii="Times New Roman" w:hAnsi="Times New Roman"/>
          <w:i/>
          <w:lang w:val="en-GB"/>
        </w:rPr>
        <w:t>3GPP.</w:t>
      </w:r>
    </w:p>
    <w:p w14:paraId="0137D8D5" w14:textId="4BF9E45F" w:rsidR="00DC6325" w:rsidRPr="009537ED" w:rsidRDefault="00767A8D" w:rsidP="00767A8D">
      <w:pPr>
        <w:pStyle w:val="B1"/>
        <w:rPr>
          <w:rFonts w:ascii="Times New Roman" w:hAnsi="Times New Roman"/>
          <w:i/>
          <w:lang w:val="en-GB"/>
        </w:rPr>
      </w:pPr>
      <w:r w:rsidRPr="009537ED">
        <w:rPr>
          <w:rFonts w:ascii="Times New Roman" w:hAnsi="Times New Roman"/>
          <w:i/>
          <w:lang w:val="en-GB"/>
        </w:rPr>
        <w:t>-</w:t>
      </w:r>
      <w:r w:rsidRPr="009537ED">
        <w:rPr>
          <w:rFonts w:ascii="Times New Roman" w:hAnsi="Times New Roman"/>
          <w:i/>
          <w:lang w:val="en-GB"/>
        </w:rPr>
        <w:tab/>
        <w:t>to</w:t>
      </w:r>
      <w:r w:rsidR="00233210" w:rsidRPr="009537ED">
        <w:rPr>
          <w:rFonts w:ascii="Times New Roman" w:hAnsi="Times New Roman"/>
          <w:i/>
          <w:lang w:val="en-GB"/>
        </w:rPr>
        <w:t xml:space="preserve"> </w:t>
      </w:r>
      <w:r w:rsidRPr="009537ED">
        <w:rPr>
          <w:rFonts w:ascii="Times New Roman" w:hAnsi="Times New Roman"/>
          <w:i/>
          <w:lang w:val="en-GB"/>
        </w:rPr>
        <w:t>notify</w:t>
      </w:r>
      <w:r w:rsidR="00233210" w:rsidRPr="009537ED">
        <w:rPr>
          <w:rFonts w:ascii="Times New Roman" w:hAnsi="Times New Roman"/>
          <w:i/>
          <w:lang w:val="en-GB"/>
        </w:rPr>
        <w:t xml:space="preserve"> </w:t>
      </w:r>
      <w:r w:rsidRPr="009537ED">
        <w:rPr>
          <w:rFonts w:ascii="Times New Roman" w:hAnsi="Times New Roman"/>
          <w:i/>
          <w:lang w:val="en-GB"/>
        </w:rPr>
        <w:t>their</w:t>
      </w:r>
      <w:r w:rsidR="00233210" w:rsidRPr="009537ED">
        <w:rPr>
          <w:rFonts w:ascii="Times New Roman" w:hAnsi="Times New Roman"/>
          <w:i/>
          <w:lang w:val="en-GB"/>
        </w:rPr>
        <w:t xml:space="preserve"> </w:t>
      </w:r>
      <w:r w:rsidRPr="009537ED">
        <w:rPr>
          <w:rFonts w:ascii="Times New Roman" w:hAnsi="Times New Roman"/>
          <w:i/>
          <w:lang w:val="en-GB"/>
        </w:rPr>
        <w:t>respective</w:t>
      </w:r>
      <w:r w:rsidR="00233210" w:rsidRPr="009537ED">
        <w:rPr>
          <w:rFonts w:ascii="Times New Roman" w:hAnsi="Times New Roman"/>
          <w:i/>
          <w:lang w:val="en-GB"/>
        </w:rPr>
        <w:t xml:space="preserve"> </w:t>
      </w:r>
      <w:r w:rsidRPr="009537ED">
        <w:rPr>
          <w:rFonts w:ascii="Times New Roman" w:hAnsi="Times New Roman"/>
          <w:i/>
          <w:lang w:val="en-GB"/>
        </w:rPr>
        <w:t>Organizational</w:t>
      </w:r>
      <w:r w:rsidR="00233210" w:rsidRPr="009537ED">
        <w:rPr>
          <w:rFonts w:ascii="Times New Roman" w:hAnsi="Times New Roman"/>
          <w:i/>
          <w:lang w:val="en-GB"/>
        </w:rPr>
        <w:t xml:space="preserve"> </w:t>
      </w:r>
      <w:r w:rsidRPr="009537ED">
        <w:rPr>
          <w:rFonts w:ascii="Times New Roman" w:hAnsi="Times New Roman"/>
          <w:i/>
          <w:lang w:val="en-GB"/>
        </w:rPr>
        <w:t>Partners</w:t>
      </w:r>
      <w:r w:rsidR="00233210" w:rsidRPr="009537ED">
        <w:rPr>
          <w:rFonts w:ascii="Times New Roman" w:hAnsi="Times New Roman"/>
          <w:i/>
          <w:lang w:val="en-GB"/>
        </w:rPr>
        <w:t xml:space="preserve"> </w:t>
      </w:r>
      <w:r w:rsidRPr="009537ED">
        <w:rPr>
          <w:rFonts w:ascii="Times New Roman" w:hAnsi="Times New Roman"/>
          <w:i/>
          <w:lang w:val="en-GB"/>
        </w:rPr>
        <w:t>of</w:t>
      </w:r>
      <w:r w:rsidR="00233210" w:rsidRPr="009537ED">
        <w:rPr>
          <w:rFonts w:ascii="Times New Roman" w:hAnsi="Times New Roman"/>
          <w:i/>
          <w:lang w:val="en-GB"/>
        </w:rPr>
        <w:t xml:space="preserve"> </w:t>
      </w:r>
      <w:r w:rsidRPr="009537ED">
        <w:rPr>
          <w:rFonts w:ascii="Times New Roman" w:hAnsi="Times New Roman"/>
          <w:i/>
          <w:lang w:val="en-GB"/>
        </w:rPr>
        <w:t>all</w:t>
      </w:r>
      <w:r w:rsidR="00233210" w:rsidRPr="009537ED">
        <w:rPr>
          <w:rFonts w:ascii="Times New Roman" w:hAnsi="Times New Roman"/>
          <w:i/>
          <w:lang w:val="en-GB"/>
        </w:rPr>
        <w:t xml:space="preserve"> </w:t>
      </w:r>
      <w:r w:rsidRPr="009537ED">
        <w:rPr>
          <w:rFonts w:ascii="Times New Roman" w:hAnsi="Times New Roman"/>
          <w:i/>
          <w:lang w:val="en-GB"/>
        </w:rPr>
        <w:t>potential</w:t>
      </w:r>
      <w:r w:rsidR="00233210" w:rsidRPr="009537ED">
        <w:rPr>
          <w:rFonts w:ascii="Times New Roman" w:hAnsi="Times New Roman"/>
          <w:i/>
          <w:lang w:val="en-GB"/>
        </w:rPr>
        <w:t xml:space="preserve"> </w:t>
      </w:r>
      <w:r w:rsidRPr="009537ED">
        <w:rPr>
          <w:rFonts w:ascii="Times New Roman" w:hAnsi="Times New Roman"/>
          <w:i/>
          <w:lang w:val="en-GB"/>
        </w:rPr>
        <w:t>IPRs,</w:t>
      </w:r>
      <w:r w:rsidR="00233210" w:rsidRPr="009537ED">
        <w:rPr>
          <w:rFonts w:ascii="Times New Roman" w:hAnsi="Times New Roman"/>
          <w:i/>
          <w:lang w:val="en-GB"/>
        </w:rPr>
        <w:t xml:space="preserve"> </w:t>
      </w:r>
      <w:r w:rsidRPr="009537ED">
        <w:rPr>
          <w:rFonts w:ascii="Times New Roman" w:hAnsi="Times New Roman"/>
          <w:i/>
          <w:lang w:val="en-GB"/>
        </w:rPr>
        <w:t>e.g.,</w:t>
      </w:r>
      <w:r w:rsidR="00233210" w:rsidRPr="009537ED">
        <w:rPr>
          <w:rFonts w:ascii="Times New Roman" w:hAnsi="Times New Roman"/>
          <w:i/>
          <w:lang w:val="en-GB"/>
        </w:rPr>
        <w:t xml:space="preserve"> </w:t>
      </w:r>
      <w:r w:rsidRPr="009537ED">
        <w:rPr>
          <w:rFonts w:ascii="Times New Roman" w:hAnsi="Times New Roman"/>
          <w:i/>
          <w:lang w:val="en-GB"/>
        </w:rPr>
        <w:t>for</w:t>
      </w:r>
      <w:r w:rsidR="00233210" w:rsidRPr="009537ED">
        <w:rPr>
          <w:rFonts w:ascii="Times New Roman" w:hAnsi="Times New Roman"/>
          <w:i/>
          <w:lang w:val="en-GB"/>
        </w:rPr>
        <w:t xml:space="preserve"> </w:t>
      </w:r>
      <w:r w:rsidRPr="009537ED">
        <w:rPr>
          <w:rFonts w:ascii="Times New Roman" w:hAnsi="Times New Roman"/>
          <w:i/>
          <w:lang w:val="en-GB"/>
        </w:rPr>
        <w:t>ETSI,</w:t>
      </w:r>
      <w:r w:rsidR="00233210" w:rsidRPr="009537ED">
        <w:rPr>
          <w:rFonts w:ascii="Times New Roman" w:hAnsi="Times New Roman"/>
          <w:i/>
          <w:lang w:val="en-GB"/>
        </w:rPr>
        <w:t xml:space="preserve"> </w:t>
      </w:r>
      <w:r w:rsidRPr="009537ED">
        <w:rPr>
          <w:rFonts w:ascii="Times New Roman" w:hAnsi="Times New Roman"/>
          <w:i/>
          <w:lang w:val="en-GB"/>
        </w:rPr>
        <w:t>by</w:t>
      </w:r>
      <w:r w:rsidR="00233210" w:rsidRPr="009537ED">
        <w:rPr>
          <w:rFonts w:ascii="Times New Roman" w:hAnsi="Times New Roman"/>
          <w:i/>
          <w:lang w:val="en-GB"/>
        </w:rPr>
        <w:t xml:space="preserve"> </w:t>
      </w:r>
      <w:r w:rsidRPr="009537ED">
        <w:rPr>
          <w:rFonts w:ascii="Times New Roman" w:hAnsi="Times New Roman"/>
          <w:i/>
          <w:lang w:val="en-GB"/>
        </w:rPr>
        <w:t>means</w:t>
      </w:r>
      <w:r w:rsidR="00233210" w:rsidRPr="009537ED">
        <w:rPr>
          <w:rFonts w:ascii="Times New Roman" w:hAnsi="Times New Roman"/>
          <w:i/>
          <w:lang w:val="en-GB"/>
        </w:rPr>
        <w:t xml:space="preserve"> </w:t>
      </w:r>
      <w:r w:rsidRPr="009537ED">
        <w:rPr>
          <w:rFonts w:ascii="Times New Roman" w:hAnsi="Times New Roman"/>
          <w:i/>
          <w:lang w:val="en-GB"/>
        </w:rPr>
        <w:t>of</w:t>
      </w:r>
      <w:r w:rsidR="00233210" w:rsidRPr="009537ED">
        <w:rPr>
          <w:rFonts w:ascii="Times New Roman" w:hAnsi="Times New Roman"/>
          <w:i/>
          <w:lang w:val="en-GB"/>
        </w:rPr>
        <w:t xml:space="preserve"> </w:t>
      </w:r>
      <w:r w:rsidRPr="009537ED">
        <w:rPr>
          <w:rFonts w:ascii="Times New Roman" w:hAnsi="Times New Roman"/>
          <w:i/>
          <w:lang w:val="en-GB"/>
        </w:rPr>
        <w:t>the</w:t>
      </w:r>
      <w:r w:rsidR="00233210" w:rsidRPr="009537ED">
        <w:rPr>
          <w:rFonts w:ascii="Times New Roman" w:hAnsi="Times New Roman"/>
          <w:i/>
          <w:lang w:val="en-GB"/>
        </w:rPr>
        <w:t xml:space="preserve"> </w:t>
      </w:r>
      <w:r w:rsidRPr="009537ED">
        <w:rPr>
          <w:rFonts w:ascii="Times New Roman" w:hAnsi="Times New Roman"/>
          <w:i/>
          <w:lang w:val="en-GB"/>
        </w:rPr>
        <w:t>IPR</w:t>
      </w:r>
      <w:r w:rsidR="00233210" w:rsidRPr="009537ED">
        <w:rPr>
          <w:rFonts w:ascii="Times New Roman" w:hAnsi="Times New Roman"/>
          <w:i/>
          <w:lang w:val="en-GB"/>
        </w:rPr>
        <w:t xml:space="preserve"> </w:t>
      </w:r>
      <w:r w:rsidRPr="009537ED">
        <w:rPr>
          <w:rFonts w:ascii="Times New Roman" w:hAnsi="Times New Roman"/>
          <w:i/>
          <w:lang w:val="en-GB"/>
        </w:rPr>
        <w:t>Information</w:t>
      </w:r>
      <w:r w:rsidR="00233210" w:rsidRPr="009537ED">
        <w:rPr>
          <w:rFonts w:ascii="Times New Roman" w:hAnsi="Times New Roman"/>
          <w:i/>
          <w:lang w:val="en-GB"/>
        </w:rPr>
        <w:t xml:space="preserve"> </w:t>
      </w:r>
      <w:r w:rsidRPr="009537ED">
        <w:rPr>
          <w:rFonts w:ascii="Times New Roman" w:hAnsi="Times New Roman"/>
          <w:i/>
          <w:lang w:val="en-GB"/>
        </w:rPr>
        <w:t>Statement</w:t>
      </w:r>
      <w:r w:rsidR="00233210" w:rsidRPr="009537ED">
        <w:rPr>
          <w:rFonts w:ascii="Times New Roman" w:hAnsi="Times New Roman"/>
          <w:i/>
          <w:lang w:val="en-GB"/>
        </w:rPr>
        <w:t xml:space="preserve"> </w:t>
      </w:r>
      <w:r w:rsidRPr="009537ED">
        <w:rPr>
          <w:rFonts w:ascii="Times New Roman" w:hAnsi="Times New Roman"/>
          <w:i/>
          <w:lang w:val="en-GB"/>
        </w:rPr>
        <w:t>and</w:t>
      </w:r>
      <w:r w:rsidR="00233210" w:rsidRPr="009537ED">
        <w:rPr>
          <w:rFonts w:ascii="Times New Roman" w:hAnsi="Times New Roman"/>
          <w:i/>
          <w:lang w:val="en-GB"/>
        </w:rPr>
        <w:t xml:space="preserve"> </w:t>
      </w:r>
      <w:r w:rsidRPr="009537ED">
        <w:rPr>
          <w:rFonts w:ascii="Times New Roman" w:hAnsi="Times New Roman"/>
          <w:i/>
          <w:lang w:val="en-GB"/>
        </w:rPr>
        <w:t>the</w:t>
      </w:r>
      <w:r w:rsidR="00233210" w:rsidRPr="009537ED">
        <w:rPr>
          <w:rFonts w:ascii="Times New Roman" w:hAnsi="Times New Roman"/>
          <w:i/>
          <w:lang w:val="en-GB"/>
        </w:rPr>
        <w:t xml:space="preserve"> </w:t>
      </w:r>
      <w:r w:rsidRPr="009537ED">
        <w:rPr>
          <w:rFonts w:ascii="Times New Roman" w:hAnsi="Times New Roman"/>
          <w:i/>
          <w:lang w:val="en-GB"/>
        </w:rPr>
        <w:t>Licensing</w:t>
      </w:r>
      <w:r w:rsidR="00233210" w:rsidRPr="009537ED">
        <w:rPr>
          <w:rFonts w:ascii="Times New Roman" w:hAnsi="Times New Roman"/>
          <w:i/>
          <w:lang w:val="en-GB"/>
        </w:rPr>
        <w:t xml:space="preserve"> </w:t>
      </w:r>
      <w:r w:rsidRPr="009537ED">
        <w:rPr>
          <w:rFonts w:ascii="Times New Roman" w:hAnsi="Times New Roman"/>
          <w:i/>
          <w:lang w:val="en-GB"/>
        </w:rPr>
        <w:t>declaration</w:t>
      </w:r>
      <w:r w:rsidR="00233210" w:rsidRPr="009537ED">
        <w:rPr>
          <w:rFonts w:ascii="Times New Roman" w:hAnsi="Times New Roman"/>
          <w:i/>
          <w:lang w:val="en-GB"/>
        </w:rPr>
        <w:t xml:space="preserve"> </w:t>
      </w:r>
      <w:r w:rsidRPr="009537ED">
        <w:rPr>
          <w:rFonts w:ascii="Times New Roman" w:hAnsi="Times New Roman"/>
          <w:i/>
          <w:lang w:val="en-GB"/>
        </w:rPr>
        <w:t>forms</w:t>
      </w:r>
      <w:r w:rsidR="00233210" w:rsidRPr="009537ED">
        <w:rPr>
          <w:rFonts w:ascii="Times New Roman" w:hAnsi="Times New Roman"/>
          <w:i/>
          <w:lang w:val="en-GB"/>
        </w:rPr>
        <w:t xml:space="preserve"> </w:t>
      </w:r>
      <w:r w:rsidRPr="009537ED">
        <w:rPr>
          <w:rFonts w:ascii="Times New Roman" w:hAnsi="Times New Roman"/>
          <w:i/>
          <w:lang w:val="en-GB"/>
        </w:rPr>
        <w:t>(e.g.</w:t>
      </w:r>
      <w:r w:rsidR="00233210" w:rsidRPr="009537ED">
        <w:rPr>
          <w:rFonts w:ascii="Times New Roman" w:hAnsi="Times New Roman"/>
          <w:i/>
          <w:lang w:val="en-GB"/>
        </w:rPr>
        <w:t xml:space="preserve"> </w:t>
      </w:r>
      <w:r w:rsidRPr="009537ED">
        <w:rPr>
          <w:rFonts w:ascii="Times New Roman" w:hAnsi="Times New Roman"/>
          <w:i/>
          <w:lang w:val="en-GB"/>
        </w:rPr>
        <w:t>see</w:t>
      </w:r>
      <w:r w:rsidR="00233210" w:rsidRPr="009537ED">
        <w:rPr>
          <w:rFonts w:ascii="Times New Roman" w:hAnsi="Times New Roman"/>
          <w:i/>
          <w:lang w:val="en-GB"/>
        </w:rPr>
        <w:t xml:space="preserve"> </w:t>
      </w:r>
      <w:r w:rsidRPr="009537ED">
        <w:rPr>
          <w:rFonts w:ascii="Times New Roman" w:hAnsi="Times New Roman"/>
          <w:i/>
          <w:lang w:val="en-GB"/>
        </w:rPr>
        <w:t>the</w:t>
      </w:r>
      <w:r w:rsidR="00233210" w:rsidRPr="009537ED">
        <w:rPr>
          <w:rFonts w:ascii="Times New Roman" w:hAnsi="Times New Roman"/>
          <w:i/>
          <w:lang w:val="en-GB"/>
        </w:rPr>
        <w:t xml:space="preserve"> </w:t>
      </w:r>
      <w:r w:rsidRPr="009537ED">
        <w:rPr>
          <w:rFonts w:ascii="Times New Roman" w:hAnsi="Times New Roman"/>
          <w:i/>
          <w:lang w:val="en-GB"/>
        </w:rPr>
        <w:t>ETSI</w:t>
      </w:r>
      <w:r w:rsidR="00233210" w:rsidRPr="009537ED">
        <w:rPr>
          <w:rFonts w:ascii="Times New Roman" w:hAnsi="Times New Roman"/>
          <w:i/>
          <w:lang w:val="en-GB"/>
        </w:rPr>
        <w:t xml:space="preserve"> </w:t>
      </w:r>
      <w:r w:rsidRPr="009537ED">
        <w:rPr>
          <w:rFonts w:ascii="Times New Roman" w:hAnsi="Times New Roman"/>
          <w:i/>
          <w:lang w:val="en-GB"/>
        </w:rPr>
        <w:t>IPR</w:t>
      </w:r>
      <w:r w:rsidR="00233210" w:rsidRPr="009537ED">
        <w:rPr>
          <w:rFonts w:ascii="Times New Roman" w:hAnsi="Times New Roman"/>
          <w:i/>
          <w:lang w:val="en-GB"/>
        </w:rPr>
        <w:t xml:space="preserve"> </w:t>
      </w:r>
      <w:r w:rsidRPr="009537ED">
        <w:rPr>
          <w:rFonts w:ascii="Times New Roman" w:hAnsi="Times New Roman"/>
          <w:i/>
          <w:lang w:val="en-GB"/>
        </w:rPr>
        <w:t>forms</w:t>
      </w:r>
      <w:r w:rsidR="00233210" w:rsidRPr="009537ED">
        <w:rPr>
          <w:rFonts w:ascii="Times New Roman" w:hAnsi="Times New Roman"/>
          <w:i/>
          <w:lang w:val="en-GB"/>
        </w:rPr>
        <w:t xml:space="preserve"> </w:t>
      </w:r>
      <w:hyperlink r:id="rId10" w:history="1">
        <w:r w:rsidR="00E568EA" w:rsidRPr="009537ED">
          <w:rPr>
            <w:rStyle w:val="Hyperlink"/>
            <w:rFonts w:ascii="Times New Roman" w:hAnsi="Times New Roman"/>
            <w:i/>
            <w:lang w:val="en-GB"/>
          </w:rPr>
          <w:t>https://www.etsi.org/intellectual-property-rights/ipr</w:t>
        </w:r>
      </w:hyperlink>
      <w:r w:rsidR="00233210" w:rsidRPr="009537ED">
        <w:rPr>
          <w:rFonts w:ascii="Times New Roman" w:hAnsi="Times New Roman"/>
          <w:i/>
          <w:lang w:val="en-GB"/>
        </w:rPr>
        <w:t xml:space="preserve"> </w:t>
      </w:r>
      <w:r w:rsidRPr="009537ED">
        <w:rPr>
          <w:rFonts w:ascii="Times New Roman" w:hAnsi="Times New Roman"/>
          <w:i/>
          <w:lang w:val="en-GB"/>
        </w:rPr>
        <w:t>).</w:t>
      </w:r>
    </w:p>
    <w:p w14:paraId="6B762099" w14:textId="1B80A988" w:rsidR="00951DA4" w:rsidRPr="009537ED" w:rsidRDefault="00951DA4" w:rsidP="00951DA4">
      <w:pPr>
        <w:rPr>
          <w:i/>
        </w:rPr>
      </w:pPr>
      <w:r w:rsidRPr="009537ED">
        <w:rPr>
          <w:i/>
        </w:rPr>
        <w:t>More</w:t>
      </w:r>
      <w:r w:rsidR="00233210" w:rsidRPr="009537ED">
        <w:rPr>
          <w:i/>
        </w:rPr>
        <w:t xml:space="preserve"> </w:t>
      </w:r>
      <w:r w:rsidRPr="009537ED">
        <w:rPr>
          <w:i/>
        </w:rPr>
        <w:t>information</w:t>
      </w:r>
      <w:r w:rsidR="00233210" w:rsidRPr="009537ED">
        <w:rPr>
          <w:i/>
        </w:rPr>
        <w:t xml:space="preserve"> </w:t>
      </w:r>
      <w:r w:rsidRPr="009537ED">
        <w:rPr>
          <w:i/>
        </w:rPr>
        <w:t>is</w:t>
      </w:r>
      <w:r w:rsidR="00233210" w:rsidRPr="009537ED">
        <w:rPr>
          <w:i/>
        </w:rPr>
        <w:t xml:space="preserve"> </w:t>
      </w:r>
      <w:r w:rsidRPr="009537ED">
        <w:rPr>
          <w:i/>
        </w:rPr>
        <w:t>available</w:t>
      </w:r>
      <w:r w:rsidR="00233210" w:rsidRPr="009537ED">
        <w:rPr>
          <w:i/>
        </w:rPr>
        <w:t xml:space="preserve"> </w:t>
      </w:r>
      <w:r w:rsidRPr="009537ED">
        <w:rPr>
          <w:i/>
        </w:rPr>
        <w:t>via</w:t>
      </w:r>
      <w:r w:rsidR="00233210" w:rsidRPr="009537ED">
        <w:rPr>
          <w:i/>
        </w:rPr>
        <w:t xml:space="preserve"> </w:t>
      </w:r>
      <w:r w:rsidRPr="009537ED">
        <w:rPr>
          <w:i/>
        </w:rPr>
        <w:t>the</w:t>
      </w:r>
      <w:r w:rsidR="00233210" w:rsidRPr="009537ED">
        <w:rPr>
          <w:i/>
        </w:rPr>
        <w:t xml:space="preserve"> </w:t>
      </w:r>
      <w:r w:rsidRPr="009537ED">
        <w:rPr>
          <w:i/>
        </w:rPr>
        <w:t>“Legal”</w:t>
      </w:r>
      <w:r w:rsidR="00233210" w:rsidRPr="009537ED">
        <w:rPr>
          <w:i/>
        </w:rPr>
        <w:t xml:space="preserve"> </w:t>
      </w:r>
      <w:r w:rsidRPr="009537ED">
        <w:rPr>
          <w:i/>
        </w:rPr>
        <w:t>page</w:t>
      </w:r>
      <w:r w:rsidR="00233210" w:rsidRPr="009537ED">
        <w:rPr>
          <w:i/>
        </w:rPr>
        <w:t xml:space="preserve"> </w:t>
      </w:r>
      <w:r w:rsidRPr="009537ED">
        <w:rPr>
          <w:i/>
        </w:rPr>
        <w:t>on</w:t>
      </w:r>
      <w:r w:rsidR="00233210" w:rsidRPr="009537ED">
        <w:rPr>
          <w:i/>
        </w:rPr>
        <w:t xml:space="preserve"> </w:t>
      </w:r>
      <w:r w:rsidRPr="009537ED">
        <w:rPr>
          <w:i/>
        </w:rPr>
        <w:t>the</w:t>
      </w:r>
      <w:r w:rsidR="00233210" w:rsidRPr="009537ED">
        <w:rPr>
          <w:i/>
        </w:rPr>
        <w:t xml:space="preserve"> </w:t>
      </w:r>
      <w:r w:rsidRPr="009537ED">
        <w:rPr>
          <w:i/>
        </w:rPr>
        <w:t>web</w:t>
      </w:r>
      <w:r w:rsidR="00233210" w:rsidRPr="009537ED">
        <w:rPr>
          <w:i/>
        </w:rPr>
        <w:t xml:space="preserve"> </w:t>
      </w:r>
      <w:r w:rsidRPr="009537ED">
        <w:rPr>
          <w:i/>
        </w:rPr>
        <w:t>site:</w:t>
      </w:r>
      <w:r w:rsidR="00233210" w:rsidRPr="009537ED">
        <w:rPr>
          <w:i/>
        </w:rPr>
        <w:t xml:space="preserve"> </w:t>
      </w:r>
      <w:hyperlink r:id="rId11" w:history="1">
        <w:r w:rsidRPr="009537ED">
          <w:rPr>
            <w:rStyle w:val="Hyperlink"/>
            <w:i/>
          </w:rPr>
          <w:t>https://www.3gpp.org/about-3gpp/legal-matters</w:t>
        </w:r>
      </w:hyperlink>
      <w:r w:rsidR="00233210" w:rsidRPr="009537ED">
        <w:rPr>
          <w:i/>
        </w:rPr>
        <w:t xml:space="preserve"> </w:t>
      </w:r>
      <w:r w:rsidRPr="009537ED">
        <w:rPr>
          <w:i/>
        </w:rPr>
        <w:t>.</w:t>
      </w:r>
    </w:p>
    <w:p w14:paraId="0CB454EC" w14:textId="51ED047F" w:rsidR="007440DD" w:rsidRPr="009537ED" w:rsidRDefault="007440DD" w:rsidP="00F53049">
      <w:pPr>
        <w:pStyle w:val="Heading2"/>
      </w:pPr>
      <w:bookmarkStart w:id="5" w:name="_Toc159250968"/>
      <w:r w:rsidRPr="009537ED">
        <w:t>Competition</w:t>
      </w:r>
      <w:r w:rsidR="00233210" w:rsidRPr="009537ED">
        <w:t xml:space="preserve"> </w:t>
      </w:r>
      <w:r w:rsidRPr="009537ED">
        <w:t>law</w:t>
      </w:r>
      <w:r w:rsidR="00233210" w:rsidRPr="009537ED">
        <w:t xml:space="preserve"> </w:t>
      </w:r>
      <w:r w:rsidRPr="009537ED">
        <w:t>statement</w:t>
      </w:r>
      <w:bookmarkEnd w:id="5"/>
    </w:p>
    <w:p w14:paraId="39E1506B" w14:textId="3F6D4098" w:rsidR="007440DD" w:rsidRPr="009537ED" w:rsidRDefault="007440DD" w:rsidP="007440DD">
      <w:pPr>
        <w:spacing w:line="270" w:lineRule="atLeast"/>
        <w:rPr>
          <w:rFonts w:ascii="Times New Roman" w:eastAsia="Times New Roman" w:hAnsi="Times New Roman"/>
          <w:i/>
          <w:kern w:val="2"/>
          <w:szCs w:val="20"/>
          <w:lang w:eastAsia="en-GB"/>
        </w:rPr>
      </w:pPr>
      <w:r w:rsidRPr="009537ED">
        <w:rPr>
          <w:rFonts w:ascii="Times New Roman" w:eastAsia="MS Mincho" w:hAnsi="Times New Roman"/>
          <w:i/>
          <w:kern w:val="2"/>
          <w:szCs w:val="20"/>
        </w:rPr>
        <w:t>The</w:t>
      </w:r>
      <w:r w:rsidR="00233210" w:rsidRPr="009537ED">
        <w:rPr>
          <w:rFonts w:ascii="Times New Roman" w:eastAsia="MS Mincho" w:hAnsi="Times New Roman"/>
          <w:i/>
          <w:kern w:val="2"/>
          <w:szCs w:val="20"/>
        </w:rPr>
        <w:t xml:space="preserve"> </w:t>
      </w:r>
      <w:r w:rsidR="00E757C7" w:rsidRPr="009537ED">
        <w:rPr>
          <w:rFonts w:ascii="Times New Roman" w:eastAsia="MS Mincho" w:hAnsi="Times New Roman"/>
          <w:i/>
          <w:kern w:val="2"/>
          <w:szCs w:val="20"/>
        </w:rPr>
        <w:t>Chair</w:t>
      </w:r>
      <w:r w:rsidR="00233210" w:rsidRPr="009537ED">
        <w:rPr>
          <w:rFonts w:ascii="Times New Roman" w:eastAsia="MS Mincho" w:hAnsi="Times New Roman"/>
          <w:i/>
          <w:kern w:val="2"/>
          <w:szCs w:val="20"/>
        </w:rPr>
        <w:t xml:space="preserve"> </w:t>
      </w:r>
      <w:r w:rsidRPr="009537ED">
        <w:rPr>
          <w:rFonts w:ascii="Times New Roman" w:eastAsia="MS Mincho" w:hAnsi="Times New Roman"/>
          <w:i/>
          <w:kern w:val="2"/>
          <w:szCs w:val="20"/>
        </w:rPr>
        <w:t>also</w:t>
      </w:r>
      <w:r w:rsidR="00233210" w:rsidRPr="009537ED">
        <w:rPr>
          <w:rFonts w:ascii="Times New Roman" w:eastAsia="MS Mincho" w:hAnsi="Times New Roman"/>
          <w:i/>
          <w:kern w:val="2"/>
          <w:szCs w:val="20"/>
        </w:rPr>
        <w:t xml:space="preserve"> </w:t>
      </w:r>
      <w:r w:rsidRPr="009537ED">
        <w:rPr>
          <w:rFonts w:ascii="Times New Roman" w:eastAsia="MS Mincho" w:hAnsi="Times New Roman"/>
          <w:i/>
          <w:kern w:val="2"/>
          <w:szCs w:val="20"/>
        </w:rPr>
        <w:t>drew</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Member’s</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attention</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to</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the</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fact</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that</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3GPP</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activities</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are</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subject</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to</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antitrust</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and</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competition</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laws</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and</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that</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compliance</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with</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said</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laws</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is</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therefore</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required</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of</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any</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participant</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of</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this</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WG</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meeting</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including</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the</w:t>
      </w:r>
      <w:r w:rsidR="00233210" w:rsidRPr="009537ED">
        <w:rPr>
          <w:rFonts w:ascii="Times New Roman" w:eastAsia="Times New Roman" w:hAnsi="Times New Roman"/>
          <w:i/>
          <w:kern w:val="2"/>
          <w:szCs w:val="20"/>
          <w:lang w:eastAsia="en-GB"/>
        </w:rPr>
        <w:t xml:space="preserve"> </w:t>
      </w:r>
      <w:r w:rsidR="00E757C7" w:rsidRPr="009537ED">
        <w:rPr>
          <w:rFonts w:ascii="Times New Roman" w:eastAsia="Times New Roman" w:hAnsi="Times New Roman"/>
          <w:i/>
          <w:kern w:val="2"/>
          <w:szCs w:val="20"/>
          <w:lang w:eastAsia="en-GB"/>
        </w:rPr>
        <w:t>Chair</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and</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Vice</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Chair</w:t>
      </w:r>
      <w:r w:rsidR="00E757C7" w:rsidRPr="009537ED">
        <w:rPr>
          <w:rFonts w:ascii="Times New Roman" w:eastAsia="Times New Roman" w:hAnsi="Times New Roman"/>
          <w:i/>
          <w:kern w:val="2"/>
          <w:szCs w:val="20"/>
          <w:lang w:eastAsia="en-GB"/>
        </w:rPr>
        <w:t>s</w:t>
      </w:r>
      <w:r w:rsidRPr="009537ED">
        <w:rPr>
          <w:rFonts w:ascii="Times New Roman" w:eastAsia="Times New Roman" w:hAnsi="Times New Roman"/>
          <w:i/>
          <w:kern w:val="2"/>
          <w:szCs w:val="20"/>
          <w:lang w:eastAsia="en-GB"/>
        </w:rPr>
        <w:t>.</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In</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case</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of</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question,</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please</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contact</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your</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legal</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counsel.</w:t>
      </w:r>
    </w:p>
    <w:p w14:paraId="13D6F8DB" w14:textId="3AE6BC16" w:rsidR="007440DD" w:rsidRPr="009537ED" w:rsidRDefault="007440DD" w:rsidP="007440DD">
      <w:pPr>
        <w:spacing w:line="270" w:lineRule="atLeast"/>
        <w:rPr>
          <w:rFonts w:ascii="Times New Roman" w:eastAsia="Times New Roman" w:hAnsi="Times New Roman"/>
          <w:i/>
          <w:kern w:val="2"/>
          <w:szCs w:val="20"/>
          <w:lang w:eastAsia="en-GB"/>
        </w:rPr>
      </w:pPr>
      <w:r w:rsidRPr="009537ED">
        <w:rPr>
          <w:rFonts w:ascii="Times New Roman" w:eastAsia="Times New Roman" w:hAnsi="Times New Roman"/>
          <w:i/>
          <w:kern w:val="2"/>
          <w:szCs w:val="20"/>
          <w:lang w:eastAsia="en-GB"/>
        </w:rPr>
        <w:t>The</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present</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meeting</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will</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be</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conducted</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with</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strict</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impartiality</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and</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in</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the</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interests</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of</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3GPP.</w:t>
      </w:r>
    </w:p>
    <w:p w14:paraId="7D2A9894" w14:textId="7F1A53A0" w:rsidR="007440DD" w:rsidRPr="009537ED" w:rsidRDefault="007440DD" w:rsidP="007440DD">
      <w:pPr>
        <w:spacing w:line="270" w:lineRule="atLeast"/>
        <w:rPr>
          <w:rFonts w:ascii="Times New Roman" w:eastAsia="Times New Roman" w:hAnsi="Times New Roman"/>
          <w:i/>
          <w:kern w:val="2"/>
          <w:szCs w:val="20"/>
          <w:lang w:eastAsia="en-GB"/>
        </w:rPr>
      </w:pPr>
      <w:r w:rsidRPr="009537ED">
        <w:rPr>
          <w:rFonts w:ascii="Times New Roman" w:eastAsia="Times New Roman" w:hAnsi="Times New Roman"/>
          <w:i/>
          <w:kern w:val="2"/>
          <w:szCs w:val="20"/>
          <w:lang w:eastAsia="en-GB"/>
        </w:rPr>
        <w:t>Furthermore,</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the</w:t>
      </w:r>
      <w:r w:rsidR="00233210" w:rsidRPr="009537ED">
        <w:rPr>
          <w:rFonts w:ascii="Times New Roman" w:eastAsia="Times New Roman" w:hAnsi="Times New Roman"/>
          <w:i/>
          <w:kern w:val="2"/>
          <w:szCs w:val="20"/>
          <w:lang w:eastAsia="en-GB"/>
        </w:rPr>
        <w:t xml:space="preserve"> </w:t>
      </w:r>
      <w:r w:rsidR="00E757C7" w:rsidRPr="009537ED">
        <w:rPr>
          <w:rFonts w:ascii="Times New Roman" w:eastAsia="Times New Roman" w:hAnsi="Times New Roman"/>
          <w:i/>
          <w:kern w:val="2"/>
          <w:szCs w:val="20"/>
          <w:lang w:eastAsia="en-GB"/>
        </w:rPr>
        <w:t>Chair</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reminded</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Members</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that</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timely</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submission</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of</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work</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items/contributions</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in</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advance</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of</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WG</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meetings</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is</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important</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to</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allow</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for</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full</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and</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fair</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consideration</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of</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such</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matters.</w:t>
      </w:r>
    </w:p>
    <w:p w14:paraId="3B15C2E9" w14:textId="61DF0AC2" w:rsidR="008F5AFB" w:rsidRPr="009537ED" w:rsidRDefault="008F5AFB" w:rsidP="00F53049">
      <w:pPr>
        <w:pStyle w:val="Heading2"/>
      </w:pPr>
      <w:bookmarkStart w:id="6" w:name="_Toc159250969"/>
      <w:r w:rsidRPr="009537ED">
        <w:t>Network</w:t>
      </w:r>
      <w:r w:rsidR="00233210" w:rsidRPr="009537ED">
        <w:t xml:space="preserve"> </w:t>
      </w:r>
      <w:r w:rsidRPr="009537ED">
        <w:t>usage</w:t>
      </w:r>
      <w:r w:rsidR="00233210" w:rsidRPr="009537ED">
        <w:t xml:space="preserve"> </w:t>
      </w:r>
      <w:r w:rsidRPr="009537ED">
        <w:t>conditions</w:t>
      </w:r>
      <w:bookmarkEnd w:id="6"/>
    </w:p>
    <w:p w14:paraId="4CE32994" w14:textId="3220595D" w:rsidR="00666408" w:rsidRPr="009537ED" w:rsidRDefault="00666408" w:rsidP="009643F7">
      <w:pPr>
        <w:rPr>
          <w:rFonts w:ascii="Times New Roman" w:eastAsia="SimSun" w:hAnsi="Times New Roman"/>
          <w:i/>
          <w:szCs w:val="20"/>
        </w:rPr>
      </w:pPr>
      <w:r w:rsidRPr="009537ED">
        <w:rPr>
          <w:rFonts w:ascii="Times New Roman" w:eastAsia="SimSun" w:hAnsi="Times New Roman"/>
          <w:i/>
          <w:szCs w:val="20"/>
        </w:rPr>
        <w:t>The</w:t>
      </w:r>
      <w:r w:rsidR="00233210" w:rsidRPr="009537ED">
        <w:rPr>
          <w:rFonts w:ascii="Times New Roman" w:eastAsia="SimSun" w:hAnsi="Times New Roman"/>
          <w:i/>
          <w:szCs w:val="20"/>
        </w:rPr>
        <w:t xml:space="preserve"> </w:t>
      </w:r>
      <w:r w:rsidRPr="009537ED">
        <w:rPr>
          <w:rFonts w:ascii="Times New Roman" w:eastAsia="SimSun" w:hAnsi="Times New Roman"/>
          <w:i/>
          <w:szCs w:val="20"/>
        </w:rPr>
        <w:t>PCG</w:t>
      </w:r>
      <w:r w:rsidR="00233210" w:rsidRPr="009537ED">
        <w:rPr>
          <w:rFonts w:ascii="Times New Roman" w:eastAsia="SimSun" w:hAnsi="Times New Roman"/>
          <w:i/>
          <w:szCs w:val="20"/>
        </w:rPr>
        <w:t xml:space="preserve"> </w:t>
      </w:r>
      <w:r w:rsidRPr="009537ED">
        <w:rPr>
          <w:rFonts w:ascii="Times New Roman" w:eastAsia="SimSun" w:hAnsi="Times New Roman"/>
          <w:i/>
          <w:szCs w:val="20"/>
        </w:rPr>
        <w:t>has</w:t>
      </w:r>
      <w:r w:rsidR="00233210" w:rsidRPr="009537ED">
        <w:rPr>
          <w:rFonts w:ascii="Times New Roman" w:eastAsia="SimSun" w:hAnsi="Times New Roman"/>
          <w:i/>
          <w:szCs w:val="20"/>
        </w:rPr>
        <w:t xml:space="preserve"> </w:t>
      </w:r>
      <w:r w:rsidRPr="009537ED">
        <w:rPr>
          <w:rFonts w:ascii="Times New Roman" w:eastAsia="SimSun" w:hAnsi="Times New Roman"/>
          <w:i/>
          <w:szCs w:val="20"/>
        </w:rPr>
        <w:t>laid</w:t>
      </w:r>
      <w:r w:rsidR="00233210" w:rsidRPr="009537ED">
        <w:rPr>
          <w:rFonts w:ascii="Times New Roman" w:eastAsia="SimSun" w:hAnsi="Times New Roman"/>
          <w:i/>
          <w:szCs w:val="20"/>
        </w:rPr>
        <w:t xml:space="preserve"> </w:t>
      </w:r>
      <w:r w:rsidRPr="009537ED">
        <w:rPr>
          <w:rFonts w:ascii="Times New Roman" w:eastAsia="SimSun" w:hAnsi="Times New Roman"/>
          <w:i/>
          <w:szCs w:val="20"/>
        </w:rPr>
        <w:t>down</w:t>
      </w:r>
      <w:r w:rsidR="00233210" w:rsidRPr="009537ED">
        <w:rPr>
          <w:rFonts w:ascii="Times New Roman" w:eastAsia="SimSun" w:hAnsi="Times New Roman"/>
          <w:i/>
          <w:szCs w:val="20"/>
        </w:rPr>
        <w:t xml:space="preserve"> </w:t>
      </w:r>
      <w:r w:rsidRPr="009537ED">
        <w:rPr>
          <w:rFonts w:ascii="Times New Roman" w:eastAsia="SimSun" w:hAnsi="Times New Roman"/>
          <w:i/>
          <w:szCs w:val="20"/>
        </w:rPr>
        <w:t>the</w:t>
      </w:r>
      <w:r w:rsidR="00233210" w:rsidRPr="009537ED">
        <w:rPr>
          <w:rFonts w:ascii="Times New Roman" w:eastAsia="SimSun" w:hAnsi="Times New Roman"/>
          <w:i/>
          <w:szCs w:val="20"/>
        </w:rPr>
        <w:t xml:space="preserve"> </w:t>
      </w:r>
      <w:r w:rsidRPr="009537ED">
        <w:rPr>
          <w:rFonts w:ascii="Times New Roman" w:eastAsia="SimSun" w:hAnsi="Times New Roman"/>
          <w:i/>
          <w:szCs w:val="20"/>
        </w:rPr>
        <w:t>following</w:t>
      </w:r>
      <w:r w:rsidR="00233210" w:rsidRPr="009537ED">
        <w:rPr>
          <w:rFonts w:ascii="Times New Roman" w:eastAsia="SimSun" w:hAnsi="Times New Roman"/>
          <w:i/>
          <w:szCs w:val="20"/>
        </w:rPr>
        <w:t xml:space="preserve"> </w:t>
      </w:r>
      <w:r w:rsidRPr="009537ED">
        <w:rPr>
          <w:rFonts w:ascii="Times New Roman" w:eastAsia="SimSun" w:hAnsi="Times New Roman"/>
          <w:i/>
          <w:szCs w:val="20"/>
        </w:rPr>
        <w:t>network</w:t>
      </w:r>
      <w:r w:rsidR="00233210" w:rsidRPr="009537ED">
        <w:rPr>
          <w:rFonts w:ascii="Times New Roman" w:eastAsia="SimSun" w:hAnsi="Times New Roman"/>
          <w:i/>
          <w:szCs w:val="20"/>
        </w:rPr>
        <w:t xml:space="preserve"> </w:t>
      </w:r>
      <w:r w:rsidRPr="009537ED">
        <w:rPr>
          <w:rFonts w:ascii="Times New Roman" w:eastAsia="SimSun" w:hAnsi="Times New Roman"/>
          <w:i/>
          <w:szCs w:val="20"/>
        </w:rPr>
        <w:t>usage</w:t>
      </w:r>
      <w:r w:rsidR="00233210" w:rsidRPr="009537ED">
        <w:rPr>
          <w:rFonts w:ascii="Times New Roman" w:eastAsia="SimSun" w:hAnsi="Times New Roman"/>
          <w:i/>
          <w:szCs w:val="20"/>
        </w:rPr>
        <w:t xml:space="preserve"> </w:t>
      </w:r>
      <w:r w:rsidRPr="009537ED">
        <w:rPr>
          <w:rFonts w:ascii="Times New Roman" w:eastAsia="SimSun" w:hAnsi="Times New Roman"/>
          <w:i/>
          <w:szCs w:val="20"/>
        </w:rPr>
        <w:t>conditions:</w:t>
      </w:r>
    </w:p>
    <w:p w14:paraId="41BEF0CD" w14:textId="77777777" w:rsidR="00666408" w:rsidRPr="009537ED" w:rsidRDefault="00666408" w:rsidP="009643F7">
      <w:pPr>
        <w:rPr>
          <w:rFonts w:ascii="Times New Roman" w:hAnsi="Times New Roman"/>
          <w:i/>
          <w:szCs w:val="20"/>
        </w:rPr>
      </w:pP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922"/>
      </w:tblGrid>
      <w:tr w:rsidR="00666408" w:rsidRPr="009537ED" w14:paraId="64A8B08A" w14:textId="77777777" w:rsidTr="00420234">
        <w:tc>
          <w:tcPr>
            <w:tcW w:w="9922" w:type="dxa"/>
            <w:shd w:val="clear" w:color="auto" w:fill="auto"/>
          </w:tcPr>
          <w:p w14:paraId="5528C0BD" w14:textId="7577432F" w:rsidR="00666408" w:rsidRPr="009537ED" w:rsidRDefault="00666408" w:rsidP="009643F7">
            <w:pPr>
              <w:widowControl w:val="0"/>
              <w:ind w:left="34"/>
              <w:rPr>
                <w:rFonts w:ascii="Times New Roman" w:hAnsi="Times New Roman"/>
                <w:szCs w:val="20"/>
              </w:rPr>
            </w:pPr>
            <w:r w:rsidRPr="009537ED">
              <w:rPr>
                <w:rFonts w:ascii="Times New Roman" w:hAnsi="Times New Roman"/>
                <w:b/>
                <w:szCs w:val="20"/>
              </w:rPr>
              <w:t>Users</w:t>
            </w:r>
            <w:r w:rsidR="00233210" w:rsidRPr="009537ED">
              <w:rPr>
                <w:rFonts w:ascii="Times New Roman" w:hAnsi="Times New Roman"/>
                <w:b/>
                <w:szCs w:val="20"/>
              </w:rPr>
              <w:t xml:space="preserve"> </w:t>
            </w:r>
            <w:r w:rsidRPr="009537ED">
              <w:rPr>
                <w:rFonts w:ascii="Times New Roman" w:hAnsi="Times New Roman"/>
                <w:b/>
                <w:szCs w:val="20"/>
              </w:rPr>
              <w:t>shall</w:t>
            </w:r>
            <w:r w:rsidR="00233210" w:rsidRPr="009537ED">
              <w:rPr>
                <w:rFonts w:ascii="Times New Roman" w:hAnsi="Times New Roman"/>
                <w:b/>
                <w:szCs w:val="20"/>
              </w:rPr>
              <w:t xml:space="preserve"> </w:t>
            </w:r>
            <w:r w:rsidRPr="009537ED">
              <w:rPr>
                <w:rFonts w:ascii="Times New Roman" w:hAnsi="Times New Roman"/>
                <w:b/>
                <w:szCs w:val="20"/>
              </w:rPr>
              <w:t>not</w:t>
            </w:r>
            <w:r w:rsidR="00233210" w:rsidRPr="009537ED">
              <w:rPr>
                <w:rFonts w:ascii="Times New Roman" w:hAnsi="Times New Roman"/>
                <w:b/>
                <w:szCs w:val="20"/>
              </w:rPr>
              <w:t xml:space="preserve"> </w:t>
            </w:r>
            <w:r w:rsidRPr="009537ED">
              <w:rPr>
                <w:rFonts w:ascii="Times New Roman" w:hAnsi="Times New Roman"/>
                <w:b/>
                <w:szCs w:val="20"/>
              </w:rPr>
              <w:t>use</w:t>
            </w:r>
            <w:r w:rsidR="00233210" w:rsidRPr="009537ED">
              <w:rPr>
                <w:rFonts w:ascii="Times New Roman" w:hAnsi="Times New Roman"/>
                <w:b/>
                <w:szCs w:val="20"/>
              </w:rPr>
              <w:t xml:space="preserve"> </w:t>
            </w:r>
            <w:r w:rsidRPr="009537ED">
              <w:rPr>
                <w:rFonts w:ascii="Times New Roman" w:hAnsi="Times New Roman"/>
                <w:b/>
                <w:szCs w:val="20"/>
              </w:rPr>
              <w:t>the</w:t>
            </w:r>
            <w:r w:rsidR="00233210" w:rsidRPr="009537ED">
              <w:rPr>
                <w:rFonts w:ascii="Times New Roman" w:hAnsi="Times New Roman"/>
                <w:b/>
                <w:szCs w:val="20"/>
              </w:rPr>
              <w:t xml:space="preserve"> </w:t>
            </w:r>
            <w:r w:rsidRPr="009537ED">
              <w:rPr>
                <w:rFonts w:ascii="Times New Roman" w:hAnsi="Times New Roman"/>
                <w:b/>
                <w:szCs w:val="20"/>
              </w:rPr>
              <w:t>network</w:t>
            </w:r>
            <w:r w:rsidR="00233210" w:rsidRPr="009537ED">
              <w:rPr>
                <w:rFonts w:ascii="Times New Roman" w:hAnsi="Times New Roman"/>
                <w:b/>
                <w:szCs w:val="20"/>
              </w:rPr>
              <w:t xml:space="preserve"> </w:t>
            </w:r>
            <w:r w:rsidRPr="009537ED">
              <w:rPr>
                <w:rFonts w:ascii="Times New Roman" w:hAnsi="Times New Roman"/>
                <w:b/>
                <w:szCs w:val="20"/>
              </w:rPr>
              <w:t>to</w:t>
            </w:r>
            <w:r w:rsidR="00233210" w:rsidRPr="009537ED">
              <w:rPr>
                <w:rFonts w:ascii="Times New Roman" w:hAnsi="Times New Roman"/>
                <w:b/>
                <w:szCs w:val="20"/>
              </w:rPr>
              <w:t xml:space="preserve"> </w:t>
            </w:r>
            <w:r w:rsidRPr="009537ED">
              <w:rPr>
                <w:rFonts w:ascii="Times New Roman" w:hAnsi="Times New Roman"/>
                <w:b/>
                <w:szCs w:val="20"/>
              </w:rPr>
              <w:t>engage</w:t>
            </w:r>
            <w:r w:rsidR="00233210" w:rsidRPr="009537ED">
              <w:rPr>
                <w:rFonts w:ascii="Times New Roman" w:hAnsi="Times New Roman"/>
                <w:b/>
                <w:szCs w:val="20"/>
              </w:rPr>
              <w:t xml:space="preserve"> </w:t>
            </w:r>
            <w:r w:rsidRPr="009537ED">
              <w:rPr>
                <w:rFonts w:ascii="Times New Roman" w:hAnsi="Times New Roman"/>
                <w:b/>
                <w:szCs w:val="20"/>
              </w:rPr>
              <w:t>in</w:t>
            </w:r>
            <w:r w:rsidR="00233210" w:rsidRPr="009537ED">
              <w:rPr>
                <w:rFonts w:ascii="Times New Roman" w:hAnsi="Times New Roman"/>
                <w:b/>
                <w:szCs w:val="20"/>
              </w:rPr>
              <w:t xml:space="preserve"> </w:t>
            </w:r>
            <w:r w:rsidRPr="009537ED">
              <w:rPr>
                <w:rFonts w:ascii="Times New Roman" w:hAnsi="Times New Roman"/>
                <w:b/>
                <w:szCs w:val="20"/>
              </w:rPr>
              <w:t>illegal</w:t>
            </w:r>
            <w:r w:rsidR="00233210" w:rsidRPr="009537ED">
              <w:rPr>
                <w:rFonts w:ascii="Times New Roman" w:hAnsi="Times New Roman"/>
                <w:b/>
                <w:szCs w:val="20"/>
              </w:rPr>
              <w:t xml:space="preserve"> </w:t>
            </w:r>
            <w:r w:rsidRPr="009537ED">
              <w:rPr>
                <w:rFonts w:ascii="Times New Roman" w:hAnsi="Times New Roman"/>
                <w:b/>
                <w:szCs w:val="20"/>
              </w:rPr>
              <w:t>activities.</w:t>
            </w:r>
            <w:r w:rsidR="00233210" w:rsidRPr="009537ED">
              <w:rPr>
                <w:rFonts w:ascii="Times New Roman" w:hAnsi="Times New Roman"/>
                <w:b/>
                <w:szCs w:val="20"/>
              </w:rPr>
              <w:t xml:space="preserve"> </w:t>
            </w:r>
            <w:r w:rsidRPr="009537ED">
              <w:rPr>
                <w:rFonts w:ascii="Times New Roman" w:hAnsi="Times New Roman"/>
                <w:b/>
                <w:szCs w:val="20"/>
              </w:rPr>
              <w:t>This</w:t>
            </w:r>
            <w:r w:rsidR="00233210" w:rsidRPr="009537ED">
              <w:rPr>
                <w:rFonts w:ascii="Times New Roman" w:hAnsi="Times New Roman"/>
                <w:b/>
                <w:szCs w:val="20"/>
              </w:rPr>
              <w:t xml:space="preserve"> </w:t>
            </w:r>
            <w:r w:rsidRPr="009537ED">
              <w:rPr>
                <w:rFonts w:ascii="Times New Roman" w:hAnsi="Times New Roman"/>
                <w:b/>
                <w:szCs w:val="20"/>
              </w:rPr>
              <w:t>includes</w:t>
            </w:r>
            <w:r w:rsidR="00233210" w:rsidRPr="009537ED">
              <w:rPr>
                <w:rFonts w:ascii="Times New Roman" w:hAnsi="Times New Roman"/>
                <w:b/>
                <w:szCs w:val="20"/>
              </w:rPr>
              <w:t xml:space="preserve"> </w:t>
            </w:r>
            <w:r w:rsidRPr="009537ED">
              <w:rPr>
                <w:rFonts w:ascii="Times New Roman" w:hAnsi="Times New Roman"/>
                <w:b/>
                <w:szCs w:val="20"/>
              </w:rPr>
              <w:t>activities</w:t>
            </w:r>
            <w:r w:rsidR="00233210" w:rsidRPr="009537ED">
              <w:rPr>
                <w:rFonts w:ascii="Times New Roman" w:hAnsi="Times New Roman"/>
                <w:b/>
                <w:szCs w:val="20"/>
              </w:rPr>
              <w:t xml:space="preserve"> </w:t>
            </w:r>
            <w:r w:rsidRPr="009537ED">
              <w:rPr>
                <w:rFonts w:ascii="Times New Roman" w:hAnsi="Times New Roman"/>
                <w:b/>
                <w:szCs w:val="20"/>
              </w:rPr>
              <w:t>such</w:t>
            </w:r>
            <w:r w:rsidR="00233210" w:rsidRPr="009537ED">
              <w:rPr>
                <w:rFonts w:ascii="Times New Roman" w:hAnsi="Times New Roman"/>
                <w:b/>
                <w:szCs w:val="20"/>
              </w:rPr>
              <w:t xml:space="preserve"> </w:t>
            </w:r>
            <w:r w:rsidRPr="009537ED">
              <w:rPr>
                <w:rFonts w:ascii="Times New Roman" w:hAnsi="Times New Roman"/>
                <w:b/>
                <w:szCs w:val="20"/>
              </w:rPr>
              <w:t>as</w:t>
            </w:r>
            <w:r w:rsidR="00233210" w:rsidRPr="009537ED">
              <w:rPr>
                <w:rFonts w:ascii="Times New Roman" w:hAnsi="Times New Roman"/>
                <w:b/>
                <w:szCs w:val="20"/>
              </w:rPr>
              <w:t xml:space="preserve"> </w:t>
            </w:r>
            <w:r w:rsidRPr="009537ED">
              <w:rPr>
                <w:rFonts w:ascii="Times New Roman" w:hAnsi="Times New Roman"/>
                <w:b/>
                <w:szCs w:val="20"/>
              </w:rPr>
              <w:t>copyright</w:t>
            </w:r>
            <w:r w:rsidR="00233210" w:rsidRPr="009537ED">
              <w:rPr>
                <w:rFonts w:ascii="Times New Roman" w:hAnsi="Times New Roman"/>
                <w:b/>
                <w:szCs w:val="20"/>
              </w:rPr>
              <w:t xml:space="preserve"> </w:t>
            </w:r>
            <w:r w:rsidRPr="009537ED">
              <w:rPr>
                <w:rFonts w:ascii="Times New Roman" w:hAnsi="Times New Roman"/>
                <w:b/>
                <w:szCs w:val="20"/>
              </w:rPr>
              <w:t>violation,</w:t>
            </w:r>
            <w:r w:rsidR="00233210" w:rsidRPr="009537ED">
              <w:rPr>
                <w:rFonts w:ascii="Times New Roman" w:hAnsi="Times New Roman"/>
                <w:b/>
                <w:szCs w:val="20"/>
              </w:rPr>
              <w:t xml:space="preserve"> </w:t>
            </w:r>
            <w:r w:rsidRPr="009537ED">
              <w:rPr>
                <w:rFonts w:ascii="Times New Roman" w:hAnsi="Times New Roman"/>
                <w:b/>
                <w:szCs w:val="20"/>
              </w:rPr>
              <w:t>hacking,</w:t>
            </w:r>
            <w:r w:rsidR="00233210" w:rsidRPr="009537ED">
              <w:rPr>
                <w:rFonts w:ascii="Times New Roman" w:hAnsi="Times New Roman"/>
                <w:b/>
                <w:szCs w:val="20"/>
              </w:rPr>
              <w:t xml:space="preserve"> </w:t>
            </w:r>
            <w:r w:rsidRPr="009537ED">
              <w:rPr>
                <w:rFonts w:ascii="Times New Roman" w:hAnsi="Times New Roman"/>
                <w:b/>
                <w:szCs w:val="20"/>
              </w:rPr>
              <w:t>espionage</w:t>
            </w:r>
            <w:r w:rsidR="00233210" w:rsidRPr="009537ED">
              <w:rPr>
                <w:rFonts w:ascii="Times New Roman" w:hAnsi="Times New Roman"/>
                <w:b/>
                <w:szCs w:val="20"/>
              </w:rPr>
              <w:t xml:space="preserve"> </w:t>
            </w:r>
            <w:r w:rsidRPr="009537ED">
              <w:rPr>
                <w:rFonts w:ascii="Times New Roman" w:hAnsi="Times New Roman"/>
                <w:b/>
                <w:szCs w:val="20"/>
              </w:rPr>
              <w:t>or</w:t>
            </w:r>
            <w:r w:rsidR="00233210" w:rsidRPr="009537ED">
              <w:rPr>
                <w:rFonts w:ascii="Times New Roman" w:hAnsi="Times New Roman"/>
                <w:b/>
                <w:szCs w:val="20"/>
              </w:rPr>
              <w:t xml:space="preserve"> </w:t>
            </w:r>
            <w:r w:rsidRPr="009537ED">
              <w:rPr>
                <w:rFonts w:ascii="Times New Roman" w:hAnsi="Times New Roman"/>
                <w:b/>
                <w:szCs w:val="20"/>
              </w:rPr>
              <w:t>any</w:t>
            </w:r>
            <w:r w:rsidR="00233210" w:rsidRPr="009537ED">
              <w:rPr>
                <w:rFonts w:ascii="Times New Roman" w:hAnsi="Times New Roman"/>
                <w:b/>
                <w:szCs w:val="20"/>
              </w:rPr>
              <w:t xml:space="preserve"> </w:t>
            </w:r>
            <w:r w:rsidRPr="009537ED">
              <w:rPr>
                <w:rFonts w:ascii="Times New Roman" w:hAnsi="Times New Roman"/>
                <w:b/>
                <w:szCs w:val="20"/>
              </w:rPr>
              <w:t>other</w:t>
            </w:r>
            <w:r w:rsidR="00233210" w:rsidRPr="009537ED">
              <w:rPr>
                <w:rFonts w:ascii="Times New Roman" w:hAnsi="Times New Roman"/>
                <w:b/>
                <w:szCs w:val="20"/>
              </w:rPr>
              <w:t xml:space="preserve"> </w:t>
            </w:r>
            <w:r w:rsidRPr="009537ED">
              <w:rPr>
                <w:rFonts w:ascii="Times New Roman" w:hAnsi="Times New Roman"/>
                <w:b/>
                <w:szCs w:val="20"/>
              </w:rPr>
              <w:t>activity</w:t>
            </w:r>
            <w:r w:rsidR="00233210" w:rsidRPr="009537ED">
              <w:rPr>
                <w:rFonts w:ascii="Times New Roman" w:hAnsi="Times New Roman"/>
                <w:b/>
                <w:szCs w:val="20"/>
              </w:rPr>
              <w:t xml:space="preserve"> </w:t>
            </w:r>
            <w:r w:rsidRPr="009537ED">
              <w:rPr>
                <w:rFonts w:ascii="Times New Roman" w:hAnsi="Times New Roman"/>
                <w:b/>
                <w:szCs w:val="20"/>
              </w:rPr>
              <w:t>that</w:t>
            </w:r>
            <w:r w:rsidR="00233210" w:rsidRPr="009537ED">
              <w:rPr>
                <w:rFonts w:ascii="Times New Roman" w:hAnsi="Times New Roman"/>
                <w:b/>
                <w:szCs w:val="20"/>
              </w:rPr>
              <w:t xml:space="preserve"> </w:t>
            </w:r>
            <w:r w:rsidRPr="009537ED">
              <w:rPr>
                <w:rFonts w:ascii="Times New Roman" w:hAnsi="Times New Roman"/>
                <w:b/>
                <w:szCs w:val="20"/>
              </w:rPr>
              <w:t>may</w:t>
            </w:r>
            <w:r w:rsidR="00233210" w:rsidRPr="009537ED">
              <w:rPr>
                <w:rFonts w:ascii="Times New Roman" w:hAnsi="Times New Roman"/>
                <w:b/>
                <w:szCs w:val="20"/>
              </w:rPr>
              <w:t xml:space="preserve"> </w:t>
            </w:r>
            <w:r w:rsidRPr="009537ED">
              <w:rPr>
                <w:rFonts w:ascii="Times New Roman" w:hAnsi="Times New Roman"/>
                <w:b/>
                <w:szCs w:val="20"/>
              </w:rPr>
              <w:t>be</w:t>
            </w:r>
            <w:r w:rsidR="00233210" w:rsidRPr="009537ED">
              <w:rPr>
                <w:rFonts w:ascii="Times New Roman" w:hAnsi="Times New Roman"/>
                <w:b/>
                <w:szCs w:val="20"/>
              </w:rPr>
              <w:t xml:space="preserve"> </w:t>
            </w:r>
            <w:r w:rsidRPr="009537ED">
              <w:rPr>
                <w:rFonts w:ascii="Times New Roman" w:hAnsi="Times New Roman"/>
                <w:b/>
                <w:szCs w:val="20"/>
              </w:rPr>
              <w:t>prohibited</w:t>
            </w:r>
            <w:r w:rsidR="00233210" w:rsidRPr="009537ED">
              <w:rPr>
                <w:rFonts w:ascii="Times New Roman" w:hAnsi="Times New Roman"/>
                <w:b/>
                <w:szCs w:val="20"/>
              </w:rPr>
              <w:t xml:space="preserve"> </w:t>
            </w:r>
            <w:r w:rsidRPr="009537ED">
              <w:rPr>
                <w:rFonts w:ascii="Times New Roman" w:hAnsi="Times New Roman"/>
                <w:b/>
                <w:szCs w:val="20"/>
              </w:rPr>
              <w:t>by</w:t>
            </w:r>
            <w:r w:rsidR="00233210" w:rsidRPr="009537ED">
              <w:rPr>
                <w:rFonts w:ascii="Times New Roman" w:hAnsi="Times New Roman"/>
                <w:b/>
                <w:szCs w:val="20"/>
              </w:rPr>
              <w:t xml:space="preserve"> </w:t>
            </w:r>
            <w:r w:rsidRPr="009537ED">
              <w:rPr>
                <w:rFonts w:ascii="Times New Roman" w:hAnsi="Times New Roman"/>
                <w:b/>
                <w:szCs w:val="20"/>
              </w:rPr>
              <w:t>local</w:t>
            </w:r>
            <w:r w:rsidR="00233210" w:rsidRPr="009537ED">
              <w:rPr>
                <w:rFonts w:ascii="Times New Roman" w:hAnsi="Times New Roman"/>
                <w:b/>
                <w:szCs w:val="20"/>
              </w:rPr>
              <w:t xml:space="preserve"> </w:t>
            </w:r>
            <w:r w:rsidRPr="009537ED">
              <w:rPr>
                <w:rFonts w:ascii="Times New Roman" w:hAnsi="Times New Roman"/>
                <w:b/>
                <w:szCs w:val="20"/>
              </w:rPr>
              <w:t>laws</w:t>
            </w:r>
            <w:r w:rsidRPr="009537ED">
              <w:rPr>
                <w:rFonts w:ascii="Times New Roman" w:hAnsi="Times New Roman"/>
                <w:szCs w:val="20"/>
              </w:rPr>
              <w:t>.</w:t>
            </w:r>
          </w:p>
          <w:p w14:paraId="1776EB74" w14:textId="77777777" w:rsidR="00666408" w:rsidRPr="009537ED" w:rsidRDefault="00666408" w:rsidP="009643F7">
            <w:pPr>
              <w:widowControl w:val="0"/>
              <w:ind w:left="34"/>
              <w:rPr>
                <w:rFonts w:ascii="Times New Roman" w:hAnsi="Times New Roman"/>
                <w:szCs w:val="20"/>
              </w:rPr>
            </w:pPr>
          </w:p>
          <w:p w14:paraId="48337DFB" w14:textId="73ADF7D4" w:rsidR="00666408" w:rsidRPr="009537ED" w:rsidRDefault="00666408" w:rsidP="009643F7">
            <w:pPr>
              <w:widowControl w:val="0"/>
              <w:ind w:left="34"/>
              <w:rPr>
                <w:rFonts w:ascii="Times New Roman" w:hAnsi="Times New Roman"/>
                <w:szCs w:val="20"/>
              </w:rPr>
            </w:pPr>
            <w:r w:rsidRPr="009537ED">
              <w:rPr>
                <w:rFonts w:ascii="Times New Roman" w:hAnsi="Times New Roman"/>
                <w:b/>
                <w:szCs w:val="20"/>
              </w:rPr>
              <w:t>Users</w:t>
            </w:r>
            <w:r w:rsidR="00233210" w:rsidRPr="009537ED">
              <w:rPr>
                <w:rFonts w:ascii="Times New Roman" w:hAnsi="Times New Roman"/>
                <w:b/>
                <w:szCs w:val="20"/>
              </w:rPr>
              <w:t xml:space="preserve"> </w:t>
            </w:r>
            <w:r w:rsidRPr="009537ED">
              <w:rPr>
                <w:rFonts w:ascii="Times New Roman" w:hAnsi="Times New Roman"/>
                <w:b/>
                <w:szCs w:val="20"/>
              </w:rPr>
              <w:t>shall</w:t>
            </w:r>
            <w:r w:rsidR="00233210" w:rsidRPr="009537ED">
              <w:rPr>
                <w:rFonts w:ascii="Times New Roman" w:hAnsi="Times New Roman"/>
                <w:b/>
                <w:szCs w:val="20"/>
              </w:rPr>
              <w:t xml:space="preserve"> </w:t>
            </w:r>
            <w:r w:rsidRPr="009537ED">
              <w:rPr>
                <w:rFonts w:ascii="Times New Roman" w:hAnsi="Times New Roman"/>
                <w:b/>
                <w:szCs w:val="20"/>
              </w:rPr>
              <w:t>not</w:t>
            </w:r>
            <w:r w:rsidR="00233210" w:rsidRPr="009537ED">
              <w:rPr>
                <w:rFonts w:ascii="Times New Roman" w:hAnsi="Times New Roman"/>
                <w:b/>
                <w:szCs w:val="20"/>
              </w:rPr>
              <w:t xml:space="preserve"> </w:t>
            </w:r>
            <w:r w:rsidRPr="009537ED">
              <w:rPr>
                <w:rFonts w:ascii="Times New Roman" w:hAnsi="Times New Roman"/>
                <w:b/>
                <w:szCs w:val="20"/>
              </w:rPr>
              <w:t>engage</w:t>
            </w:r>
            <w:r w:rsidR="00233210" w:rsidRPr="009537ED">
              <w:rPr>
                <w:rFonts w:ascii="Times New Roman" w:hAnsi="Times New Roman"/>
                <w:b/>
                <w:szCs w:val="20"/>
              </w:rPr>
              <w:t xml:space="preserve"> </w:t>
            </w:r>
            <w:r w:rsidRPr="009537ED">
              <w:rPr>
                <w:rFonts w:ascii="Times New Roman" w:hAnsi="Times New Roman"/>
                <w:b/>
                <w:szCs w:val="20"/>
              </w:rPr>
              <w:t>in</w:t>
            </w:r>
            <w:r w:rsidR="00233210" w:rsidRPr="009537ED">
              <w:rPr>
                <w:rFonts w:ascii="Times New Roman" w:hAnsi="Times New Roman"/>
                <w:b/>
                <w:szCs w:val="20"/>
              </w:rPr>
              <w:t xml:space="preserve"> </w:t>
            </w:r>
            <w:r w:rsidRPr="009537ED">
              <w:rPr>
                <w:rFonts w:ascii="Times New Roman" w:hAnsi="Times New Roman"/>
                <w:b/>
                <w:szCs w:val="20"/>
              </w:rPr>
              <w:t>non-work</w:t>
            </w:r>
            <w:r w:rsidR="00233210" w:rsidRPr="009537ED">
              <w:rPr>
                <w:rFonts w:ascii="Times New Roman" w:hAnsi="Times New Roman"/>
                <w:b/>
                <w:szCs w:val="20"/>
              </w:rPr>
              <w:t xml:space="preserve"> </w:t>
            </w:r>
            <w:r w:rsidRPr="009537ED">
              <w:rPr>
                <w:rFonts w:ascii="Times New Roman" w:hAnsi="Times New Roman"/>
                <w:b/>
                <w:szCs w:val="20"/>
              </w:rPr>
              <w:t>related</w:t>
            </w:r>
            <w:r w:rsidR="00233210" w:rsidRPr="009537ED">
              <w:rPr>
                <w:rFonts w:ascii="Times New Roman" w:hAnsi="Times New Roman"/>
                <w:b/>
                <w:szCs w:val="20"/>
              </w:rPr>
              <w:t xml:space="preserve"> </w:t>
            </w:r>
            <w:r w:rsidRPr="009537ED">
              <w:rPr>
                <w:rFonts w:ascii="Times New Roman" w:hAnsi="Times New Roman"/>
                <w:b/>
                <w:szCs w:val="20"/>
              </w:rPr>
              <w:t>activities</w:t>
            </w:r>
            <w:r w:rsidR="00233210" w:rsidRPr="009537ED">
              <w:rPr>
                <w:rFonts w:ascii="Times New Roman" w:hAnsi="Times New Roman"/>
                <w:b/>
                <w:szCs w:val="20"/>
              </w:rPr>
              <w:t xml:space="preserve"> </w:t>
            </w:r>
            <w:r w:rsidRPr="009537ED">
              <w:rPr>
                <w:rFonts w:ascii="Times New Roman" w:hAnsi="Times New Roman"/>
                <w:b/>
                <w:szCs w:val="20"/>
              </w:rPr>
              <w:t>that</w:t>
            </w:r>
            <w:r w:rsidR="00233210" w:rsidRPr="009537ED">
              <w:rPr>
                <w:rFonts w:ascii="Times New Roman" w:hAnsi="Times New Roman"/>
                <w:b/>
                <w:szCs w:val="20"/>
              </w:rPr>
              <w:t xml:space="preserve"> </w:t>
            </w:r>
            <w:r w:rsidRPr="009537ED">
              <w:rPr>
                <w:rFonts w:ascii="Times New Roman" w:hAnsi="Times New Roman"/>
                <w:b/>
                <w:szCs w:val="20"/>
              </w:rPr>
              <w:t>consume</w:t>
            </w:r>
            <w:r w:rsidR="00233210" w:rsidRPr="009537ED">
              <w:rPr>
                <w:rFonts w:ascii="Times New Roman" w:hAnsi="Times New Roman"/>
                <w:b/>
                <w:szCs w:val="20"/>
              </w:rPr>
              <w:t xml:space="preserve"> </w:t>
            </w:r>
            <w:r w:rsidRPr="009537ED">
              <w:rPr>
                <w:rFonts w:ascii="Times New Roman" w:hAnsi="Times New Roman"/>
                <w:b/>
                <w:szCs w:val="20"/>
              </w:rPr>
              <w:t>excessive</w:t>
            </w:r>
            <w:r w:rsidR="00233210" w:rsidRPr="009537ED">
              <w:rPr>
                <w:rFonts w:ascii="Times New Roman" w:hAnsi="Times New Roman"/>
                <w:b/>
                <w:szCs w:val="20"/>
              </w:rPr>
              <w:t xml:space="preserve"> </w:t>
            </w:r>
            <w:r w:rsidRPr="009537ED">
              <w:rPr>
                <w:rFonts w:ascii="Times New Roman" w:hAnsi="Times New Roman"/>
                <w:b/>
                <w:szCs w:val="20"/>
              </w:rPr>
              <w:t>bandwidth</w:t>
            </w:r>
            <w:r w:rsidR="00233210" w:rsidRPr="009537ED">
              <w:rPr>
                <w:rFonts w:ascii="Times New Roman" w:hAnsi="Times New Roman"/>
                <w:b/>
                <w:szCs w:val="20"/>
              </w:rPr>
              <w:t xml:space="preserve"> </w:t>
            </w:r>
            <w:r w:rsidRPr="009537ED">
              <w:rPr>
                <w:rFonts w:ascii="Times New Roman" w:hAnsi="Times New Roman"/>
                <w:szCs w:val="20"/>
              </w:rPr>
              <w:t>or</w:t>
            </w:r>
            <w:r w:rsidR="00233210" w:rsidRPr="009537ED">
              <w:rPr>
                <w:rFonts w:ascii="Times New Roman" w:hAnsi="Times New Roman"/>
                <w:szCs w:val="20"/>
              </w:rPr>
              <w:t xml:space="preserve"> </w:t>
            </w:r>
            <w:r w:rsidRPr="009537ED">
              <w:rPr>
                <w:rFonts w:ascii="Times New Roman" w:hAnsi="Times New Roman"/>
                <w:szCs w:val="20"/>
              </w:rPr>
              <w:t>cause</w:t>
            </w:r>
            <w:r w:rsidR="00233210" w:rsidRPr="009537ED">
              <w:rPr>
                <w:rFonts w:ascii="Times New Roman" w:hAnsi="Times New Roman"/>
                <w:szCs w:val="20"/>
              </w:rPr>
              <w:t xml:space="preserve"> </w:t>
            </w:r>
            <w:r w:rsidRPr="009537ED">
              <w:rPr>
                <w:rFonts w:ascii="Times New Roman" w:hAnsi="Times New Roman"/>
                <w:szCs w:val="20"/>
              </w:rPr>
              <w:t>significant</w:t>
            </w:r>
            <w:r w:rsidR="00233210" w:rsidRPr="009537ED">
              <w:rPr>
                <w:rFonts w:ascii="Times New Roman" w:hAnsi="Times New Roman"/>
                <w:szCs w:val="20"/>
              </w:rPr>
              <w:t xml:space="preserve"> </w:t>
            </w:r>
            <w:r w:rsidRPr="009537ED">
              <w:rPr>
                <w:rFonts w:ascii="Times New Roman" w:hAnsi="Times New Roman"/>
                <w:szCs w:val="20"/>
              </w:rPr>
              <w:t>degradation</w:t>
            </w:r>
            <w:r w:rsidR="00233210" w:rsidRPr="009537ED">
              <w:rPr>
                <w:rFonts w:ascii="Times New Roman" w:hAnsi="Times New Roman"/>
                <w:szCs w:val="20"/>
              </w:rPr>
              <w:t xml:space="preserve"> </w:t>
            </w:r>
            <w:r w:rsidRPr="009537ED">
              <w:rPr>
                <w:rFonts w:ascii="Times New Roman" w:hAnsi="Times New Roman"/>
                <w:szCs w:val="20"/>
              </w:rPr>
              <w:t>of</w:t>
            </w:r>
            <w:r w:rsidR="00233210" w:rsidRPr="009537ED">
              <w:rPr>
                <w:rFonts w:ascii="Times New Roman" w:hAnsi="Times New Roman"/>
                <w:szCs w:val="20"/>
              </w:rPr>
              <w:t xml:space="preserve"> </w:t>
            </w:r>
            <w:r w:rsidRPr="009537ED">
              <w:rPr>
                <w:rFonts w:ascii="Times New Roman" w:hAnsi="Times New Roman"/>
                <w:szCs w:val="20"/>
              </w:rPr>
              <w:t>the</w:t>
            </w:r>
            <w:r w:rsidR="00233210" w:rsidRPr="009537ED">
              <w:rPr>
                <w:rFonts w:ascii="Times New Roman" w:hAnsi="Times New Roman"/>
                <w:szCs w:val="20"/>
              </w:rPr>
              <w:t xml:space="preserve"> </w:t>
            </w:r>
            <w:r w:rsidRPr="009537ED">
              <w:rPr>
                <w:rFonts w:ascii="Times New Roman" w:hAnsi="Times New Roman"/>
                <w:szCs w:val="20"/>
              </w:rPr>
              <w:t>performance</w:t>
            </w:r>
            <w:r w:rsidR="00233210" w:rsidRPr="009537ED">
              <w:rPr>
                <w:rFonts w:ascii="Times New Roman" w:hAnsi="Times New Roman"/>
                <w:szCs w:val="20"/>
              </w:rPr>
              <w:t xml:space="preserve"> </w:t>
            </w:r>
            <w:r w:rsidRPr="009537ED">
              <w:rPr>
                <w:rFonts w:ascii="Times New Roman" w:hAnsi="Times New Roman"/>
                <w:szCs w:val="20"/>
              </w:rPr>
              <w:t>of</w:t>
            </w:r>
            <w:r w:rsidR="00233210" w:rsidRPr="009537ED">
              <w:rPr>
                <w:rFonts w:ascii="Times New Roman" w:hAnsi="Times New Roman"/>
                <w:szCs w:val="20"/>
              </w:rPr>
              <w:t xml:space="preserve"> </w:t>
            </w:r>
            <w:r w:rsidRPr="009537ED">
              <w:rPr>
                <w:rFonts w:ascii="Times New Roman" w:hAnsi="Times New Roman"/>
                <w:szCs w:val="20"/>
              </w:rPr>
              <w:t>the</w:t>
            </w:r>
            <w:r w:rsidR="00233210" w:rsidRPr="009537ED">
              <w:rPr>
                <w:rFonts w:ascii="Times New Roman" w:hAnsi="Times New Roman"/>
                <w:szCs w:val="20"/>
              </w:rPr>
              <w:t xml:space="preserve"> </w:t>
            </w:r>
            <w:r w:rsidRPr="009537ED">
              <w:rPr>
                <w:rFonts w:ascii="Times New Roman" w:hAnsi="Times New Roman"/>
                <w:szCs w:val="20"/>
              </w:rPr>
              <w:t>network.</w:t>
            </w:r>
          </w:p>
          <w:p w14:paraId="7A74F2E7" w14:textId="1ECF8BA9" w:rsidR="00666408" w:rsidRPr="009537ED" w:rsidRDefault="00666408" w:rsidP="009643F7">
            <w:pPr>
              <w:widowControl w:val="0"/>
              <w:ind w:left="34"/>
              <w:rPr>
                <w:rFonts w:ascii="Times New Roman" w:hAnsi="Times New Roman"/>
                <w:szCs w:val="20"/>
              </w:rPr>
            </w:pPr>
            <w:r w:rsidRPr="009537ED">
              <w:rPr>
                <w:rFonts w:ascii="Times New Roman" w:hAnsi="Times New Roman"/>
                <w:szCs w:val="20"/>
              </w:rPr>
              <w:t>Since</w:t>
            </w:r>
            <w:r w:rsidR="00233210" w:rsidRPr="009537ED">
              <w:rPr>
                <w:rFonts w:ascii="Times New Roman" w:hAnsi="Times New Roman"/>
                <w:szCs w:val="20"/>
              </w:rPr>
              <w:t xml:space="preserve"> </w:t>
            </w:r>
            <w:r w:rsidRPr="009537ED">
              <w:rPr>
                <w:rFonts w:ascii="Times New Roman" w:hAnsi="Times New Roman"/>
                <w:szCs w:val="20"/>
              </w:rPr>
              <w:t>the</w:t>
            </w:r>
            <w:r w:rsidR="00233210" w:rsidRPr="009537ED">
              <w:rPr>
                <w:rFonts w:ascii="Times New Roman" w:hAnsi="Times New Roman"/>
                <w:szCs w:val="20"/>
              </w:rPr>
              <w:t xml:space="preserve"> </w:t>
            </w:r>
            <w:r w:rsidRPr="009537ED">
              <w:rPr>
                <w:rFonts w:ascii="Times New Roman" w:hAnsi="Times New Roman"/>
                <w:b/>
                <w:szCs w:val="20"/>
              </w:rPr>
              <w:t>network</w:t>
            </w:r>
            <w:r w:rsidR="00233210" w:rsidRPr="009537ED">
              <w:rPr>
                <w:rFonts w:ascii="Times New Roman" w:hAnsi="Times New Roman"/>
                <w:b/>
                <w:szCs w:val="20"/>
              </w:rPr>
              <w:t xml:space="preserve"> </w:t>
            </w:r>
            <w:r w:rsidRPr="009537ED">
              <w:rPr>
                <w:rFonts w:ascii="Times New Roman" w:hAnsi="Times New Roman"/>
                <w:b/>
                <w:szCs w:val="20"/>
              </w:rPr>
              <w:t>is</w:t>
            </w:r>
            <w:r w:rsidR="00233210" w:rsidRPr="009537ED">
              <w:rPr>
                <w:rFonts w:ascii="Times New Roman" w:hAnsi="Times New Roman"/>
                <w:b/>
                <w:szCs w:val="20"/>
              </w:rPr>
              <w:t xml:space="preserve"> </w:t>
            </w:r>
            <w:r w:rsidRPr="009537ED">
              <w:rPr>
                <w:rFonts w:ascii="Times New Roman" w:hAnsi="Times New Roman"/>
                <w:b/>
                <w:szCs w:val="20"/>
              </w:rPr>
              <w:t>a</w:t>
            </w:r>
            <w:r w:rsidR="00233210" w:rsidRPr="009537ED">
              <w:rPr>
                <w:rFonts w:ascii="Times New Roman" w:hAnsi="Times New Roman"/>
                <w:b/>
                <w:szCs w:val="20"/>
              </w:rPr>
              <w:t xml:space="preserve"> </w:t>
            </w:r>
            <w:r w:rsidRPr="009537ED">
              <w:rPr>
                <w:rFonts w:ascii="Times New Roman" w:hAnsi="Times New Roman"/>
                <w:b/>
                <w:szCs w:val="20"/>
              </w:rPr>
              <w:t>shared</w:t>
            </w:r>
            <w:r w:rsidR="00233210" w:rsidRPr="009537ED">
              <w:rPr>
                <w:rFonts w:ascii="Times New Roman" w:hAnsi="Times New Roman"/>
                <w:b/>
                <w:szCs w:val="20"/>
              </w:rPr>
              <w:t xml:space="preserve"> </w:t>
            </w:r>
            <w:r w:rsidRPr="009537ED">
              <w:rPr>
                <w:rFonts w:ascii="Times New Roman" w:hAnsi="Times New Roman"/>
                <w:b/>
                <w:szCs w:val="20"/>
              </w:rPr>
              <w:t>resource</w:t>
            </w:r>
            <w:r w:rsidRPr="009537ED">
              <w:rPr>
                <w:rFonts w:ascii="Times New Roman" w:hAnsi="Times New Roman"/>
                <w:szCs w:val="20"/>
              </w:rPr>
              <w:t>,</w:t>
            </w:r>
            <w:r w:rsidR="00233210" w:rsidRPr="009537ED">
              <w:rPr>
                <w:rFonts w:ascii="Times New Roman" w:hAnsi="Times New Roman"/>
                <w:szCs w:val="20"/>
              </w:rPr>
              <w:t xml:space="preserve"> </w:t>
            </w:r>
            <w:r w:rsidRPr="009537ED">
              <w:rPr>
                <w:rFonts w:ascii="Times New Roman" w:hAnsi="Times New Roman"/>
                <w:szCs w:val="20"/>
              </w:rPr>
              <w:t>users</w:t>
            </w:r>
            <w:r w:rsidR="00233210" w:rsidRPr="009537ED">
              <w:rPr>
                <w:rFonts w:ascii="Times New Roman" w:hAnsi="Times New Roman"/>
                <w:szCs w:val="20"/>
              </w:rPr>
              <w:t xml:space="preserve"> </w:t>
            </w:r>
            <w:r w:rsidRPr="009537ED">
              <w:rPr>
                <w:rFonts w:ascii="Times New Roman" w:hAnsi="Times New Roman"/>
                <w:szCs w:val="20"/>
              </w:rPr>
              <w:t>should</w:t>
            </w:r>
            <w:r w:rsidR="00233210" w:rsidRPr="009537ED">
              <w:rPr>
                <w:rFonts w:ascii="Times New Roman" w:hAnsi="Times New Roman"/>
                <w:szCs w:val="20"/>
              </w:rPr>
              <w:t xml:space="preserve"> </w:t>
            </w:r>
            <w:r w:rsidRPr="009537ED">
              <w:rPr>
                <w:rFonts w:ascii="Times New Roman" w:hAnsi="Times New Roman"/>
                <w:szCs w:val="20"/>
              </w:rPr>
              <w:t>exercise</w:t>
            </w:r>
            <w:r w:rsidR="00233210" w:rsidRPr="009537ED">
              <w:rPr>
                <w:rFonts w:ascii="Times New Roman" w:hAnsi="Times New Roman"/>
                <w:szCs w:val="20"/>
              </w:rPr>
              <w:t xml:space="preserve"> </w:t>
            </w:r>
            <w:r w:rsidRPr="009537ED">
              <w:rPr>
                <w:rFonts w:ascii="Times New Roman" w:hAnsi="Times New Roman"/>
                <w:szCs w:val="20"/>
              </w:rPr>
              <w:t>some</w:t>
            </w:r>
            <w:r w:rsidR="00233210" w:rsidRPr="009537ED">
              <w:rPr>
                <w:rFonts w:ascii="Times New Roman" w:hAnsi="Times New Roman"/>
                <w:szCs w:val="20"/>
              </w:rPr>
              <w:t xml:space="preserve"> </w:t>
            </w:r>
            <w:r w:rsidRPr="009537ED">
              <w:rPr>
                <w:rFonts w:ascii="Times New Roman" w:hAnsi="Times New Roman"/>
                <w:szCs w:val="20"/>
              </w:rPr>
              <w:t>basic</w:t>
            </w:r>
            <w:r w:rsidR="00233210" w:rsidRPr="009537ED">
              <w:rPr>
                <w:rFonts w:ascii="Times New Roman" w:hAnsi="Times New Roman"/>
                <w:szCs w:val="20"/>
              </w:rPr>
              <w:t xml:space="preserve"> </w:t>
            </w:r>
            <w:r w:rsidRPr="009537ED">
              <w:rPr>
                <w:rFonts w:ascii="Times New Roman" w:hAnsi="Times New Roman"/>
                <w:szCs w:val="20"/>
              </w:rPr>
              <w:t>etiquette</w:t>
            </w:r>
            <w:r w:rsidR="00233210" w:rsidRPr="009537ED">
              <w:rPr>
                <w:rFonts w:ascii="Times New Roman" w:hAnsi="Times New Roman"/>
                <w:szCs w:val="20"/>
              </w:rPr>
              <w:t xml:space="preserve"> </w:t>
            </w:r>
            <w:r w:rsidRPr="009537ED">
              <w:rPr>
                <w:rFonts w:ascii="Times New Roman" w:hAnsi="Times New Roman"/>
                <w:szCs w:val="20"/>
              </w:rPr>
              <w:t>when</w:t>
            </w:r>
            <w:r w:rsidR="00233210" w:rsidRPr="009537ED">
              <w:rPr>
                <w:rFonts w:ascii="Times New Roman" w:hAnsi="Times New Roman"/>
                <w:szCs w:val="20"/>
              </w:rPr>
              <w:t xml:space="preserve"> </w:t>
            </w:r>
            <w:r w:rsidRPr="009537ED">
              <w:rPr>
                <w:rFonts w:ascii="Times New Roman" w:hAnsi="Times New Roman"/>
                <w:szCs w:val="20"/>
              </w:rPr>
              <w:t>using</w:t>
            </w:r>
            <w:r w:rsidR="00233210" w:rsidRPr="009537ED">
              <w:rPr>
                <w:rFonts w:ascii="Times New Roman" w:hAnsi="Times New Roman"/>
                <w:szCs w:val="20"/>
              </w:rPr>
              <w:t xml:space="preserve"> </w:t>
            </w:r>
            <w:r w:rsidRPr="009537ED">
              <w:rPr>
                <w:rFonts w:ascii="Times New Roman" w:hAnsi="Times New Roman"/>
                <w:szCs w:val="20"/>
              </w:rPr>
              <w:t>the</w:t>
            </w:r>
            <w:r w:rsidR="00233210" w:rsidRPr="009537ED">
              <w:rPr>
                <w:rFonts w:ascii="Times New Roman" w:hAnsi="Times New Roman"/>
                <w:szCs w:val="20"/>
              </w:rPr>
              <w:t xml:space="preserve"> </w:t>
            </w:r>
            <w:r w:rsidRPr="009537ED">
              <w:rPr>
                <w:rFonts w:ascii="Times New Roman" w:hAnsi="Times New Roman"/>
                <w:szCs w:val="20"/>
              </w:rPr>
              <w:t>3GPP</w:t>
            </w:r>
            <w:r w:rsidR="00233210" w:rsidRPr="009537ED">
              <w:rPr>
                <w:rFonts w:ascii="Times New Roman" w:hAnsi="Times New Roman"/>
                <w:szCs w:val="20"/>
              </w:rPr>
              <w:t xml:space="preserve"> </w:t>
            </w:r>
            <w:r w:rsidRPr="009537ED">
              <w:rPr>
                <w:rFonts w:ascii="Times New Roman" w:hAnsi="Times New Roman"/>
                <w:szCs w:val="20"/>
              </w:rPr>
              <w:t>network</w:t>
            </w:r>
            <w:r w:rsidR="00233210" w:rsidRPr="009537ED">
              <w:rPr>
                <w:rFonts w:ascii="Times New Roman" w:hAnsi="Times New Roman"/>
                <w:szCs w:val="20"/>
              </w:rPr>
              <w:t xml:space="preserve"> </w:t>
            </w:r>
            <w:r w:rsidRPr="009537ED">
              <w:rPr>
                <w:rFonts w:ascii="Times New Roman" w:hAnsi="Times New Roman"/>
                <w:szCs w:val="20"/>
              </w:rPr>
              <w:t>at</w:t>
            </w:r>
            <w:r w:rsidR="00233210" w:rsidRPr="009537ED">
              <w:rPr>
                <w:rFonts w:ascii="Times New Roman" w:hAnsi="Times New Roman"/>
                <w:szCs w:val="20"/>
              </w:rPr>
              <w:t xml:space="preserve"> </w:t>
            </w:r>
            <w:r w:rsidRPr="009537ED">
              <w:rPr>
                <w:rFonts w:ascii="Times New Roman" w:hAnsi="Times New Roman"/>
                <w:szCs w:val="20"/>
              </w:rPr>
              <w:t>a</w:t>
            </w:r>
            <w:r w:rsidR="00233210" w:rsidRPr="009537ED">
              <w:rPr>
                <w:rFonts w:ascii="Times New Roman" w:hAnsi="Times New Roman"/>
                <w:szCs w:val="20"/>
              </w:rPr>
              <w:t xml:space="preserve"> </w:t>
            </w:r>
            <w:r w:rsidRPr="009537ED">
              <w:rPr>
                <w:rFonts w:ascii="Times New Roman" w:hAnsi="Times New Roman"/>
                <w:szCs w:val="20"/>
              </w:rPr>
              <w:t>meeting.</w:t>
            </w:r>
            <w:r w:rsidR="00233210" w:rsidRPr="009537ED">
              <w:rPr>
                <w:rFonts w:ascii="Times New Roman" w:hAnsi="Times New Roman"/>
                <w:szCs w:val="20"/>
              </w:rPr>
              <w:t xml:space="preserve"> </w:t>
            </w:r>
            <w:r w:rsidRPr="009537ED">
              <w:rPr>
                <w:rFonts w:ascii="Times New Roman" w:hAnsi="Times New Roman"/>
                <w:szCs w:val="20"/>
              </w:rPr>
              <w:t>It</w:t>
            </w:r>
            <w:r w:rsidR="00233210" w:rsidRPr="009537ED">
              <w:rPr>
                <w:rFonts w:ascii="Times New Roman" w:hAnsi="Times New Roman"/>
                <w:szCs w:val="20"/>
              </w:rPr>
              <w:t xml:space="preserve"> </w:t>
            </w:r>
            <w:r w:rsidRPr="009537ED">
              <w:rPr>
                <w:rFonts w:ascii="Times New Roman" w:hAnsi="Times New Roman"/>
                <w:szCs w:val="20"/>
              </w:rPr>
              <w:t>is</w:t>
            </w:r>
            <w:r w:rsidR="00233210" w:rsidRPr="009537ED">
              <w:rPr>
                <w:rFonts w:ascii="Times New Roman" w:hAnsi="Times New Roman"/>
                <w:szCs w:val="20"/>
              </w:rPr>
              <w:t xml:space="preserve"> </w:t>
            </w:r>
            <w:r w:rsidRPr="009537ED">
              <w:rPr>
                <w:rFonts w:ascii="Times New Roman" w:hAnsi="Times New Roman"/>
                <w:szCs w:val="20"/>
              </w:rPr>
              <w:t>understood</w:t>
            </w:r>
            <w:r w:rsidR="00233210" w:rsidRPr="009537ED">
              <w:rPr>
                <w:rFonts w:ascii="Times New Roman" w:hAnsi="Times New Roman"/>
                <w:szCs w:val="20"/>
              </w:rPr>
              <w:t xml:space="preserve"> </w:t>
            </w:r>
            <w:r w:rsidRPr="009537ED">
              <w:rPr>
                <w:rFonts w:ascii="Times New Roman" w:hAnsi="Times New Roman"/>
                <w:szCs w:val="20"/>
              </w:rPr>
              <w:t>that</w:t>
            </w:r>
            <w:r w:rsidR="00233210" w:rsidRPr="009537ED">
              <w:rPr>
                <w:rFonts w:ascii="Times New Roman" w:hAnsi="Times New Roman"/>
                <w:szCs w:val="20"/>
              </w:rPr>
              <w:t xml:space="preserve"> </w:t>
            </w:r>
            <w:r w:rsidRPr="009537ED">
              <w:rPr>
                <w:rFonts w:ascii="Times New Roman" w:hAnsi="Times New Roman"/>
                <w:szCs w:val="20"/>
              </w:rPr>
              <w:t>high</w:t>
            </w:r>
            <w:r w:rsidR="00233210" w:rsidRPr="009537ED">
              <w:rPr>
                <w:rFonts w:ascii="Times New Roman" w:hAnsi="Times New Roman"/>
                <w:szCs w:val="20"/>
              </w:rPr>
              <w:t xml:space="preserve"> </w:t>
            </w:r>
            <w:r w:rsidRPr="009537ED">
              <w:rPr>
                <w:rFonts w:ascii="Times New Roman" w:hAnsi="Times New Roman"/>
                <w:szCs w:val="20"/>
              </w:rPr>
              <w:t>bandwidth</w:t>
            </w:r>
            <w:r w:rsidR="00233210" w:rsidRPr="009537ED">
              <w:rPr>
                <w:rFonts w:ascii="Times New Roman" w:hAnsi="Times New Roman"/>
                <w:szCs w:val="20"/>
              </w:rPr>
              <w:t xml:space="preserve"> </w:t>
            </w:r>
            <w:r w:rsidRPr="009537ED">
              <w:rPr>
                <w:rFonts w:ascii="Times New Roman" w:hAnsi="Times New Roman"/>
                <w:szCs w:val="20"/>
              </w:rPr>
              <w:t>applications</w:t>
            </w:r>
            <w:r w:rsidR="00233210" w:rsidRPr="009537ED">
              <w:rPr>
                <w:rFonts w:ascii="Times New Roman" w:hAnsi="Times New Roman"/>
                <w:szCs w:val="20"/>
              </w:rPr>
              <w:t xml:space="preserve"> </w:t>
            </w:r>
            <w:r w:rsidRPr="009537ED">
              <w:rPr>
                <w:rFonts w:ascii="Times New Roman" w:hAnsi="Times New Roman"/>
                <w:szCs w:val="20"/>
              </w:rPr>
              <w:t>such</w:t>
            </w:r>
            <w:r w:rsidR="00233210" w:rsidRPr="009537ED">
              <w:rPr>
                <w:rFonts w:ascii="Times New Roman" w:hAnsi="Times New Roman"/>
                <w:szCs w:val="20"/>
              </w:rPr>
              <w:t xml:space="preserve"> </w:t>
            </w:r>
            <w:r w:rsidRPr="009537ED">
              <w:rPr>
                <w:rFonts w:ascii="Times New Roman" w:hAnsi="Times New Roman"/>
                <w:szCs w:val="20"/>
              </w:rPr>
              <w:t>as</w:t>
            </w:r>
            <w:r w:rsidR="00233210" w:rsidRPr="009537ED">
              <w:rPr>
                <w:rFonts w:ascii="Times New Roman" w:hAnsi="Times New Roman"/>
                <w:szCs w:val="20"/>
              </w:rPr>
              <w:t xml:space="preserve"> </w:t>
            </w:r>
            <w:r w:rsidRPr="009537ED">
              <w:rPr>
                <w:rFonts w:ascii="Times New Roman" w:hAnsi="Times New Roman"/>
                <w:szCs w:val="20"/>
              </w:rPr>
              <w:t>downloading</w:t>
            </w:r>
            <w:r w:rsidR="00233210" w:rsidRPr="009537ED">
              <w:rPr>
                <w:rFonts w:ascii="Times New Roman" w:hAnsi="Times New Roman"/>
                <w:szCs w:val="20"/>
              </w:rPr>
              <w:t xml:space="preserve"> </w:t>
            </w:r>
            <w:r w:rsidRPr="009537ED">
              <w:rPr>
                <w:rFonts w:ascii="Times New Roman" w:hAnsi="Times New Roman"/>
                <w:szCs w:val="20"/>
              </w:rPr>
              <w:t>large</w:t>
            </w:r>
            <w:r w:rsidR="00233210" w:rsidRPr="009537ED">
              <w:rPr>
                <w:rFonts w:ascii="Times New Roman" w:hAnsi="Times New Roman"/>
                <w:szCs w:val="20"/>
              </w:rPr>
              <w:t xml:space="preserve"> </w:t>
            </w:r>
            <w:r w:rsidRPr="009537ED">
              <w:rPr>
                <w:rFonts w:ascii="Times New Roman" w:hAnsi="Times New Roman"/>
                <w:szCs w:val="20"/>
              </w:rPr>
              <w:t>files</w:t>
            </w:r>
            <w:r w:rsidR="00233210" w:rsidRPr="009537ED">
              <w:rPr>
                <w:rFonts w:ascii="Times New Roman" w:hAnsi="Times New Roman"/>
                <w:szCs w:val="20"/>
              </w:rPr>
              <w:t xml:space="preserve"> </w:t>
            </w:r>
            <w:r w:rsidRPr="009537ED">
              <w:rPr>
                <w:rFonts w:ascii="Times New Roman" w:hAnsi="Times New Roman"/>
                <w:szCs w:val="20"/>
              </w:rPr>
              <w:t>or</w:t>
            </w:r>
            <w:r w:rsidR="00233210" w:rsidRPr="009537ED">
              <w:rPr>
                <w:rFonts w:ascii="Times New Roman" w:hAnsi="Times New Roman"/>
                <w:szCs w:val="20"/>
              </w:rPr>
              <w:t xml:space="preserve"> </w:t>
            </w:r>
            <w:r w:rsidRPr="009537ED">
              <w:rPr>
                <w:rFonts w:ascii="Times New Roman" w:hAnsi="Times New Roman"/>
                <w:szCs w:val="20"/>
              </w:rPr>
              <w:t>video</w:t>
            </w:r>
            <w:r w:rsidR="00233210" w:rsidRPr="009537ED">
              <w:rPr>
                <w:rFonts w:ascii="Times New Roman" w:hAnsi="Times New Roman"/>
                <w:szCs w:val="20"/>
              </w:rPr>
              <w:t xml:space="preserve"> </w:t>
            </w:r>
            <w:r w:rsidRPr="009537ED">
              <w:rPr>
                <w:rFonts w:ascii="Times New Roman" w:hAnsi="Times New Roman"/>
                <w:szCs w:val="20"/>
              </w:rPr>
              <w:t>streaming</w:t>
            </w:r>
            <w:r w:rsidR="00233210" w:rsidRPr="009537ED">
              <w:rPr>
                <w:rFonts w:ascii="Times New Roman" w:hAnsi="Times New Roman"/>
                <w:szCs w:val="20"/>
              </w:rPr>
              <w:t xml:space="preserve"> </w:t>
            </w:r>
            <w:r w:rsidRPr="009537ED">
              <w:rPr>
                <w:rFonts w:ascii="Times New Roman" w:hAnsi="Times New Roman"/>
                <w:szCs w:val="20"/>
              </w:rPr>
              <w:t>might</w:t>
            </w:r>
            <w:r w:rsidR="00233210" w:rsidRPr="009537ED">
              <w:rPr>
                <w:rFonts w:ascii="Times New Roman" w:hAnsi="Times New Roman"/>
                <w:szCs w:val="20"/>
              </w:rPr>
              <w:t xml:space="preserve"> </w:t>
            </w:r>
            <w:r w:rsidRPr="009537ED">
              <w:rPr>
                <w:rFonts w:ascii="Times New Roman" w:hAnsi="Times New Roman"/>
                <w:szCs w:val="20"/>
              </w:rPr>
              <w:t>be</w:t>
            </w:r>
            <w:r w:rsidR="00233210" w:rsidRPr="009537ED">
              <w:rPr>
                <w:rFonts w:ascii="Times New Roman" w:hAnsi="Times New Roman"/>
                <w:szCs w:val="20"/>
              </w:rPr>
              <w:t xml:space="preserve"> </w:t>
            </w:r>
            <w:r w:rsidRPr="009537ED">
              <w:rPr>
                <w:rFonts w:ascii="Times New Roman" w:hAnsi="Times New Roman"/>
                <w:szCs w:val="20"/>
              </w:rPr>
              <w:t>required</w:t>
            </w:r>
            <w:r w:rsidR="00233210" w:rsidRPr="009537ED">
              <w:rPr>
                <w:rFonts w:ascii="Times New Roman" w:hAnsi="Times New Roman"/>
                <w:szCs w:val="20"/>
              </w:rPr>
              <w:t xml:space="preserve"> </w:t>
            </w:r>
            <w:r w:rsidRPr="009537ED">
              <w:rPr>
                <w:rFonts w:ascii="Times New Roman" w:hAnsi="Times New Roman"/>
                <w:szCs w:val="20"/>
              </w:rPr>
              <w:t>for</w:t>
            </w:r>
            <w:r w:rsidR="00233210" w:rsidRPr="009537ED">
              <w:rPr>
                <w:rFonts w:ascii="Times New Roman" w:hAnsi="Times New Roman"/>
                <w:szCs w:val="20"/>
              </w:rPr>
              <w:t xml:space="preserve"> </w:t>
            </w:r>
            <w:r w:rsidRPr="009537ED">
              <w:rPr>
                <w:rFonts w:ascii="Times New Roman" w:hAnsi="Times New Roman"/>
                <w:szCs w:val="20"/>
              </w:rPr>
              <w:t>business</w:t>
            </w:r>
            <w:r w:rsidR="00233210" w:rsidRPr="009537ED">
              <w:rPr>
                <w:rFonts w:ascii="Times New Roman" w:hAnsi="Times New Roman"/>
                <w:szCs w:val="20"/>
              </w:rPr>
              <w:t xml:space="preserve"> </w:t>
            </w:r>
            <w:r w:rsidRPr="009537ED">
              <w:rPr>
                <w:rFonts w:ascii="Times New Roman" w:hAnsi="Times New Roman"/>
                <w:szCs w:val="20"/>
              </w:rPr>
              <w:t>purposes,</w:t>
            </w:r>
            <w:r w:rsidR="00233210" w:rsidRPr="009537ED">
              <w:rPr>
                <w:rFonts w:ascii="Times New Roman" w:hAnsi="Times New Roman"/>
                <w:szCs w:val="20"/>
              </w:rPr>
              <w:t xml:space="preserve"> </w:t>
            </w:r>
            <w:r w:rsidRPr="009537ED">
              <w:rPr>
                <w:rFonts w:ascii="Times New Roman" w:hAnsi="Times New Roman"/>
                <w:szCs w:val="20"/>
              </w:rPr>
              <w:t>but</w:t>
            </w:r>
            <w:r w:rsidR="00233210" w:rsidRPr="009537ED">
              <w:rPr>
                <w:rFonts w:ascii="Times New Roman" w:hAnsi="Times New Roman"/>
                <w:szCs w:val="20"/>
              </w:rPr>
              <w:t xml:space="preserve"> </w:t>
            </w:r>
            <w:r w:rsidRPr="009537ED">
              <w:rPr>
                <w:rFonts w:ascii="Times New Roman" w:hAnsi="Times New Roman"/>
                <w:szCs w:val="20"/>
              </w:rPr>
              <w:t>delegates</w:t>
            </w:r>
            <w:r w:rsidR="00233210" w:rsidRPr="009537ED">
              <w:rPr>
                <w:rFonts w:ascii="Times New Roman" w:hAnsi="Times New Roman"/>
                <w:szCs w:val="20"/>
              </w:rPr>
              <w:t xml:space="preserve"> </w:t>
            </w:r>
            <w:r w:rsidRPr="009537ED">
              <w:rPr>
                <w:rFonts w:ascii="Times New Roman" w:hAnsi="Times New Roman"/>
                <w:szCs w:val="20"/>
              </w:rPr>
              <w:t>should</w:t>
            </w:r>
            <w:r w:rsidR="00233210" w:rsidRPr="009537ED">
              <w:rPr>
                <w:rFonts w:ascii="Times New Roman" w:hAnsi="Times New Roman"/>
                <w:szCs w:val="20"/>
              </w:rPr>
              <w:t xml:space="preserve"> </w:t>
            </w:r>
            <w:r w:rsidRPr="009537ED">
              <w:rPr>
                <w:rFonts w:ascii="Times New Roman" w:hAnsi="Times New Roman"/>
                <w:szCs w:val="20"/>
              </w:rPr>
              <w:t>be</w:t>
            </w:r>
            <w:r w:rsidR="00233210" w:rsidRPr="009537ED">
              <w:rPr>
                <w:rFonts w:ascii="Times New Roman" w:hAnsi="Times New Roman"/>
                <w:szCs w:val="20"/>
              </w:rPr>
              <w:t xml:space="preserve"> </w:t>
            </w:r>
            <w:r w:rsidRPr="009537ED">
              <w:rPr>
                <w:rFonts w:ascii="Times New Roman" w:hAnsi="Times New Roman"/>
                <w:szCs w:val="20"/>
              </w:rPr>
              <w:t>strongly</w:t>
            </w:r>
            <w:r w:rsidR="00233210" w:rsidRPr="009537ED">
              <w:rPr>
                <w:rFonts w:ascii="Times New Roman" w:hAnsi="Times New Roman"/>
                <w:szCs w:val="20"/>
              </w:rPr>
              <w:t xml:space="preserve"> </w:t>
            </w:r>
            <w:r w:rsidRPr="009537ED">
              <w:rPr>
                <w:rFonts w:ascii="Times New Roman" w:hAnsi="Times New Roman"/>
                <w:szCs w:val="20"/>
              </w:rPr>
              <w:t>discouraged</w:t>
            </w:r>
            <w:r w:rsidR="00233210" w:rsidRPr="009537ED">
              <w:rPr>
                <w:rFonts w:ascii="Times New Roman" w:hAnsi="Times New Roman"/>
                <w:szCs w:val="20"/>
              </w:rPr>
              <w:t xml:space="preserve"> </w:t>
            </w:r>
            <w:r w:rsidRPr="009537ED">
              <w:rPr>
                <w:rFonts w:ascii="Times New Roman" w:hAnsi="Times New Roman"/>
                <w:szCs w:val="20"/>
              </w:rPr>
              <w:t>in</w:t>
            </w:r>
            <w:r w:rsidR="00233210" w:rsidRPr="009537ED">
              <w:rPr>
                <w:rFonts w:ascii="Times New Roman" w:hAnsi="Times New Roman"/>
                <w:szCs w:val="20"/>
              </w:rPr>
              <w:t xml:space="preserve"> </w:t>
            </w:r>
            <w:r w:rsidRPr="009537ED">
              <w:rPr>
                <w:rFonts w:ascii="Times New Roman" w:hAnsi="Times New Roman"/>
                <w:szCs w:val="20"/>
              </w:rPr>
              <w:t>performing</w:t>
            </w:r>
            <w:r w:rsidR="00233210" w:rsidRPr="009537ED">
              <w:rPr>
                <w:rFonts w:ascii="Times New Roman" w:hAnsi="Times New Roman"/>
                <w:szCs w:val="20"/>
              </w:rPr>
              <w:t xml:space="preserve"> </w:t>
            </w:r>
            <w:r w:rsidRPr="009537ED">
              <w:rPr>
                <w:rFonts w:ascii="Times New Roman" w:hAnsi="Times New Roman"/>
                <w:szCs w:val="20"/>
              </w:rPr>
              <w:t>these</w:t>
            </w:r>
            <w:r w:rsidR="00233210" w:rsidRPr="009537ED">
              <w:rPr>
                <w:rFonts w:ascii="Times New Roman" w:hAnsi="Times New Roman"/>
                <w:szCs w:val="20"/>
              </w:rPr>
              <w:t xml:space="preserve"> </w:t>
            </w:r>
            <w:r w:rsidRPr="009537ED">
              <w:rPr>
                <w:rFonts w:ascii="Times New Roman" w:hAnsi="Times New Roman"/>
                <w:szCs w:val="20"/>
              </w:rPr>
              <w:t>activities</w:t>
            </w:r>
            <w:r w:rsidR="00233210" w:rsidRPr="009537ED">
              <w:rPr>
                <w:rFonts w:ascii="Times New Roman" w:hAnsi="Times New Roman"/>
                <w:szCs w:val="20"/>
              </w:rPr>
              <w:t xml:space="preserve"> </w:t>
            </w:r>
            <w:r w:rsidRPr="009537ED">
              <w:rPr>
                <w:rFonts w:ascii="Times New Roman" w:hAnsi="Times New Roman"/>
                <w:szCs w:val="20"/>
              </w:rPr>
              <w:t>for</w:t>
            </w:r>
            <w:r w:rsidR="00233210" w:rsidRPr="009537ED">
              <w:rPr>
                <w:rFonts w:ascii="Times New Roman" w:hAnsi="Times New Roman"/>
                <w:szCs w:val="20"/>
              </w:rPr>
              <w:t xml:space="preserve"> </w:t>
            </w:r>
            <w:r w:rsidRPr="009537ED">
              <w:rPr>
                <w:rFonts w:ascii="Times New Roman" w:hAnsi="Times New Roman"/>
                <w:szCs w:val="20"/>
              </w:rPr>
              <w:t>personal</w:t>
            </w:r>
            <w:r w:rsidR="00233210" w:rsidRPr="009537ED">
              <w:rPr>
                <w:rFonts w:ascii="Times New Roman" w:hAnsi="Times New Roman"/>
                <w:szCs w:val="20"/>
              </w:rPr>
              <w:t xml:space="preserve"> </w:t>
            </w:r>
            <w:r w:rsidRPr="009537ED">
              <w:rPr>
                <w:rFonts w:ascii="Times New Roman" w:hAnsi="Times New Roman"/>
                <w:szCs w:val="20"/>
              </w:rPr>
              <w:t>use.</w:t>
            </w:r>
            <w:r w:rsidR="00233210" w:rsidRPr="009537ED">
              <w:rPr>
                <w:rFonts w:ascii="Times New Roman" w:hAnsi="Times New Roman"/>
                <w:szCs w:val="20"/>
              </w:rPr>
              <w:t xml:space="preserve"> </w:t>
            </w:r>
            <w:r w:rsidRPr="009537ED">
              <w:rPr>
                <w:rFonts w:ascii="Times New Roman" w:hAnsi="Times New Roman"/>
                <w:szCs w:val="20"/>
              </w:rPr>
              <w:t>Downloading</w:t>
            </w:r>
            <w:r w:rsidR="00233210" w:rsidRPr="009537ED">
              <w:rPr>
                <w:rFonts w:ascii="Times New Roman" w:hAnsi="Times New Roman"/>
                <w:szCs w:val="20"/>
              </w:rPr>
              <w:t xml:space="preserve"> </w:t>
            </w:r>
            <w:r w:rsidRPr="009537ED">
              <w:rPr>
                <w:rFonts w:ascii="Times New Roman" w:hAnsi="Times New Roman"/>
                <w:szCs w:val="20"/>
              </w:rPr>
              <w:t>a</w:t>
            </w:r>
            <w:r w:rsidR="00233210" w:rsidRPr="009537ED">
              <w:rPr>
                <w:rFonts w:ascii="Times New Roman" w:hAnsi="Times New Roman"/>
                <w:szCs w:val="20"/>
              </w:rPr>
              <w:t xml:space="preserve"> </w:t>
            </w:r>
            <w:r w:rsidRPr="009537ED">
              <w:rPr>
                <w:rFonts w:ascii="Times New Roman" w:hAnsi="Times New Roman"/>
                <w:szCs w:val="20"/>
              </w:rPr>
              <w:t>movie</w:t>
            </w:r>
            <w:r w:rsidR="00233210" w:rsidRPr="009537ED">
              <w:rPr>
                <w:rFonts w:ascii="Times New Roman" w:hAnsi="Times New Roman"/>
                <w:szCs w:val="20"/>
              </w:rPr>
              <w:t xml:space="preserve"> </w:t>
            </w:r>
            <w:r w:rsidRPr="009537ED">
              <w:rPr>
                <w:rFonts w:ascii="Times New Roman" w:hAnsi="Times New Roman"/>
                <w:szCs w:val="20"/>
              </w:rPr>
              <w:t>or</w:t>
            </w:r>
            <w:r w:rsidR="00233210" w:rsidRPr="009537ED">
              <w:rPr>
                <w:rFonts w:ascii="Times New Roman" w:hAnsi="Times New Roman"/>
                <w:szCs w:val="20"/>
              </w:rPr>
              <w:t xml:space="preserve"> </w:t>
            </w:r>
            <w:r w:rsidRPr="009537ED">
              <w:rPr>
                <w:rFonts w:ascii="Times New Roman" w:hAnsi="Times New Roman"/>
                <w:szCs w:val="20"/>
              </w:rPr>
              <w:t>doing</w:t>
            </w:r>
            <w:r w:rsidR="00233210" w:rsidRPr="009537ED">
              <w:rPr>
                <w:rFonts w:ascii="Times New Roman" w:hAnsi="Times New Roman"/>
                <w:szCs w:val="20"/>
              </w:rPr>
              <w:t xml:space="preserve"> </w:t>
            </w:r>
            <w:r w:rsidRPr="009537ED">
              <w:rPr>
                <w:rFonts w:ascii="Times New Roman" w:hAnsi="Times New Roman"/>
                <w:szCs w:val="20"/>
              </w:rPr>
              <w:t>something</w:t>
            </w:r>
            <w:r w:rsidR="00233210" w:rsidRPr="009537ED">
              <w:rPr>
                <w:rFonts w:ascii="Times New Roman" w:hAnsi="Times New Roman"/>
                <w:szCs w:val="20"/>
              </w:rPr>
              <w:t xml:space="preserve"> </w:t>
            </w:r>
            <w:r w:rsidRPr="009537ED">
              <w:rPr>
                <w:rFonts w:ascii="Times New Roman" w:hAnsi="Times New Roman"/>
                <w:szCs w:val="20"/>
              </w:rPr>
              <w:t>in</w:t>
            </w:r>
            <w:r w:rsidR="00233210" w:rsidRPr="009537ED">
              <w:rPr>
                <w:rFonts w:ascii="Times New Roman" w:hAnsi="Times New Roman"/>
                <w:szCs w:val="20"/>
              </w:rPr>
              <w:t xml:space="preserve"> </w:t>
            </w:r>
            <w:r w:rsidRPr="009537ED">
              <w:rPr>
                <w:rFonts w:ascii="Times New Roman" w:hAnsi="Times New Roman"/>
                <w:szCs w:val="20"/>
              </w:rPr>
              <w:t>an</w:t>
            </w:r>
            <w:r w:rsidR="00233210" w:rsidRPr="009537ED">
              <w:rPr>
                <w:rFonts w:ascii="Times New Roman" w:hAnsi="Times New Roman"/>
                <w:szCs w:val="20"/>
              </w:rPr>
              <w:t xml:space="preserve"> </w:t>
            </w:r>
            <w:r w:rsidRPr="009537ED">
              <w:rPr>
                <w:rFonts w:ascii="Times New Roman" w:hAnsi="Times New Roman"/>
                <w:szCs w:val="20"/>
              </w:rPr>
              <w:t>interactive</w:t>
            </w:r>
            <w:r w:rsidR="00233210" w:rsidRPr="009537ED">
              <w:rPr>
                <w:rFonts w:ascii="Times New Roman" w:hAnsi="Times New Roman"/>
                <w:szCs w:val="20"/>
              </w:rPr>
              <w:t xml:space="preserve"> </w:t>
            </w:r>
            <w:r w:rsidRPr="009537ED">
              <w:rPr>
                <w:rFonts w:ascii="Times New Roman" w:hAnsi="Times New Roman"/>
                <w:szCs w:val="20"/>
              </w:rPr>
              <w:t>environment</w:t>
            </w:r>
            <w:r w:rsidR="00233210" w:rsidRPr="009537ED">
              <w:rPr>
                <w:rFonts w:ascii="Times New Roman" w:hAnsi="Times New Roman"/>
                <w:szCs w:val="20"/>
              </w:rPr>
              <w:t xml:space="preserve"> </w:t>
            </w:r>
            <w:r w:rsidRPr="009537ED">
              <w:rPr>
                <w:rFonts w:ascii="Times New Roman" w:hAnsi="Times New Roman"/>
                <w:szCs w:val="20"/>
              </w:rPr>
              <w:t>for</w:t>
            </w:r>
            <w:r w:rsidR="00233210" w:rsidRPr="009537ED">
              <w:rPr>
                <w:rFonts w:ascii="Times New Roman" w:hAnsi="Times New Roman"/>
                <w:szCs w:val="20"/>
              </w:rPr>
              <w:t xml:space="preserve"> </w:t>
            </w:r>
            <w:r w:rsidRPr="009537ED">
              <w:rPr>
                <w:rFonts w:ascii="Times New Roman" w:hAnsi="Times New Roman"/>
                <w:szCs w:val="20"/>
              </w:rPr>
              <w:t>personal</w:t>
            </w:r>
            <w:r w:rsidR="00233210" w:rsidRPr="009537ED">
              <w:rPr>
                <w:rFonts w:ascii="Times New Roman" w:hAnsi="Times New Roman"/>
                <w:szCs w:val="20"/>
              </w:rPr>
              <w:t xml:space="preserve"> </w:t>
            </w:r>
            <w:r w:rsidRPr="009537ED">
              <w:rPr>
                <w:rFonts w:ascii="Times New Roman" w:hAnsi="Times New Roman"/>
                <w:szCs w:val="20"/>
              </w:rPr>
              <w:t>use</w:t>
            </w:r>
            <w:r w:rsidR="00233210" w:rsidRPr="009537ED">
              <w:rPr>
                <w:rFonts w:ascii="Times New Roman" w:hAnsi="Times New Roman"/>
                <w:szCs w:val="20"/>
              </w:rPr>
              <w:t xml:space="preserve"> </w:t>
            </w:r>
            <w:r w:rsidRPr="009537ED">
              <w:rPr>
                <w:rFonts w:ascii="Times New Roman" w:hAnsi="Times New Roman"/>
                <w:szCs w:val="20"/>
              </w:rPr>
              <w:t>essentially</w:t>
            </w:r>
            <w:r w:rsidR="00233210" w:rsidRPr="009537ED">
              <w:rPr>
                <w:rFonts w:ascii="Times New Roman" w:hAnsi="Times New Roman"/>
                <w:szCs w:val="20"/>
              </w:rPr>
              <w:t xml:space="preserve"> </w:t>
            </w:r>
            <w:r w:rsidRPr="009537ED">
              <w:rPr>
                <w:rFonts w:ascii="Times New Roman" w:hAnsi="Times New Roman"/>
                <w:szCs w:val="20"/>
              </w:rPr>
              <w:t>wastes</w:t>
            </w:r>
            <w:r w:rsidR="00233210" w:rsidRPr="009537ED">
              <w:rPr>
                <w:rFonts w:ascii="Times New Roman" w:hAnsi="Times New Roman"/>
                <w:szCs w:val="20"/>
              </w:rPr>
              <w:t xml:space="preserve"> </w:t>
            </w:r>
            <w:r w:rsidRPr="009537ED">
              <w:rPr>
                <w:rFonts w:ascii="Times New Roman" w:hAnsi="Times New Roman"/>
                <w:szCs w:val="20"/>
              </w:rPr>
              <w:t>bandwidth</w:t>
            </w:r>
            <w:r w:rsidR="00233210" w:rsidRPr="009537ED">
              <w:rPr>
                <w:rFonts w:ascii="Times New Roman" w:hAnsi="Times New Roman"/>
                <w:szCs w:val="20"/>
              </w:rPr>
              <w:t xml:space="preserve"> </w:t>
            </w:r>
            <w:r w:rsidRPr="009537ED">
              <w:rPr>
                <w:rFonts w:ascii="Times New Roman" w:hAnsi="Times New Roman"/>
                <w:szCs w:val="20"/>
              </w:rPr>
              <w:t>that</w:t>
            </w:r>
            <w:r w:rsidR="00233210" w:rsidRPr="009537ED">
              <w:rPr>
                <w:rFonts w:ascii="Times New Roman" w:hAnsi="Times New Roman"/>
                <w:szCs w:val="20"/>
              </w:rPr>
              <w:t xml:space="preserve"> </w:t>
            </w:r>
            <w:r w:rsidRPr="009537ED">
              <w:rPr>
                <w:rFonts w:ascii="Times New Roman" w:hAnsi="Times New Roman"/>
                <w:szCs w:val="20"/>
              </w:rPr>
              <w:t>others</w:t>
            </w:r>
            <w:r w:rsidR="00233210" w:rsidRPr="009537ED">
              <w:rPr>
                <w:rFonts w:ascii="Times New Roman" w:hAnsi="Times New Roman"/>
                <w:szCs w:val="20"/>
              </w:rPr>
              <w:t xml:space="preserve"> </w:t>
            </w:r>
            <w:r w:rsidRPr="009537ED">
              <w:rPr>
                <w:rFonts w:ascii="Times New Roman" w:hAnsi="Times New Roman"/>
                <w:szCs w:val="20"/>
              </w:rPr>
              <w:t>need</w:t>
            </w:r>
            <w:r w:rsidR="00233210" w:rsidRPr="009537ED">
              <w:rPr>
                <w:rFonts w:ascii="Times New Roman" w:hAnsi="Times New Roman"/>
                <w:szCs w:val="20"/>
              </w:rPr>
              <w:t xml:space="preserve"> </w:t>
            </w:r>
            <w:r w:rsidRPr="009537ED">
              <w:rPr>
                <w:rFonts w:ascii="Times New Roman" w:hAnsi="Times New Roman"/>
                <w:szCs w:val="20"/>
              </w:rPr>
              <w:t>to</w:t>
            </w:r>
            <w:r w:rsidR="00233210" w:rsidRPr="009537ED">
              <w:rPr>
                <w:rFonts w:ascii="Times New Roman" w:hAnsi="Times New Roman"/>
                <w:szCs w:val="20"/>
              </w:rPr>
              <w:t xml:space="preserve"> </w:t>
            </w:r>
            <w:r w:rsidRPr="009537ED">
              <w:rPr>
                <w:rFonts w:ascii="Times New Roman" w:hAnsi="Times New Roman"/>
                <w:szCs w:val="20"/>
              </w:rPr>
              <w:t>make</w:t>
            </w:r>
            <w:r w:rsidR="00233210" w:rsidRPr="009537ED">
              <w:rPr>
                <w:rFonts w:ascii="Times New Roman" w:hAnsi="Times New Roman"/>
                <w:szCs w:val="20"/>
              </w:rPr>
              <w:t xml:space="preserve"> </w:t>
            </w:r>
            <w:r w:rsidRPr="009537ED">
              <w:rPr>
                <w:rFonts w:ascii="Times New Roman" w:hAnsi="Times New Roman"/>
                <w:szCs w:val="20"/>
              </w:rPr>
              <w:t>the</w:t>
            </w:r>
            <w:r w:rsidR="00233210" w:rsidRPr="009537ED">
              <w:rPr>
                <w:rFonts w:ascii="Times New Roman" w:hAnsi="Times New Roman"/>
                <w:szCs w:val="20"/>
              </w:rPr>
              <w:t xml:space="preserve"> </w:t>
            </w:r>
            <w:r w:rsidRPr="009537ED">
              <w:rPr>
                <w:rFonts w:ascii="Times New Roman" w:hAnsi="Times New Roman"/>
                <w:szCs w:val="20"/>
              </w:rPr>
              <w:t>meeting</w:t>
            </w:r>
            <w:r w:rsidR="00233210" w:rsidRPr="009537ED">
              <w:rPr>
                <w:rFonts w:ascii="Times New Roman" w:hAnsi="Times New Roman"/>
                <w:szCs w:val="20"/>
              </w:rPr>
              <w:t xml:space="preserve"> </w:t>
            </w:r>
            <w:r w:rsidRPr="009537ED">
              <w:rPr>
                <w:rFonts w:ascii="Times New Roman" w:hAnsi="Times New Roman"/>
                <w:szCs w:val="20"/>
              </w:rPr>
              <w:t>effective.</w:t>
            </w:r>
            <w:r w:rsidR="00233210" w:rsidRPr="009537ED">
              <w:rPr>
                <w:rFonts w:ascii="Times New Roman" w:hAnsi="Times New Roman"/>
                <w:szCs w:val="20"/>
              </w:rPr>
              <w:t xml:space="preserve"> </w:t>
            </w:r>
            <w:r w:rsidRPr="009537ED">
              <w:rPr>
                <w:rFonts w:ascii="Times New Roman" w:hAnsi="Times New Roman"/>
                <w:szCs w:val="20"/>
              </w:rPr>
              <w:t>The</w:t>
            </w:r>
            <w:r w:rsidR="00233210" w:rsidRPr="009537ED">
              <w:rPr>
                <w:rFonts w:ascii="Times New Roman" w:hAnsi="Times New Roman"/>
                <w:szCs w:val="20"/>
              </w:rPr>
              <w:t xml:space="preserve"> </w:t>
            </w:r>
            <w:r w:rsidRPr="009537ED">
              <w:rPr>
                <w:rFonts w:ascii="Times New Roman" w:hAnsi="Times New Roman"/>
                <w:szCs w:val="20"/>
              </w:rPr>
              <w:t>meeting</w:t>
            </w:r>
            <w:r w:rsidR="00233210" w:rsidRPr="009537ED">
              <w:rPr>
                <w:rFonts w:ascii="Times New Roman" w:hAnsi="Times New Roman"/>
                <w:szCs w:val="20"/>
              </w:rPr>
              <w:t xml:space="preserve"> </w:t>
            </w:r>
            <w:r w:rsidR="00E757C7" w:rsidRPr="009537ED">
              <w:rPr>
                <w:rFonts w:ascii="Times New Roman" w:hAnsi="Times New Roman"/>
                <w:szCs w:val="20"/>
              </w:rPr>
              <w:t>Chair</w:t>
            </w:r>
            <w:r w:rsidR="00233210" w:rsidRPr="009537ED">
              <w:rPr>
                <w:rFonts w:ascii="Times New Roman" w:hAnsi="Times New Roman"/>
                <w:szCs w:val="20"/>
              </w:rPr>
              <w:t xml:space="preserve"> </w:t>
            </w:r>
            <w:r w:rsidRPr="009537ED">
              <w:rPr>
                <w:rFonts w:ascii="Times New Roman" w:hAnsi="Times New Roman"/>
                <w:szCs w:val="20"/>
              </w:rPr>
              <w:t>should</w:t>
            </w:r>
            <w:r w:rsidR="00233210" w:rsidRPr="009537ED">
              <w:rPr>
                <w:rFonts w:ascii="Times New Roman" w:hAnsi="Times New Roman"/>
                <w:szCs w:val="20"/>
              </w:rPr>
              <w:t xml:space="preserve"> </w:t>
            </w:r>
            <w:r w:rsidRPr="009537ED">
              <w:rPr>
                <w:rFonts w:ascii="Times New Roman" w:hAnsi="Times New Roman"/>
                <w:szCs w:val="20"/>
              </w:rPr>
              <w:t>remind</w:t>
            </w:r>
            <w:r w:rsidR="00233210" w:rsidRPr="009537ED">
              <w:rPr>
                <w:rFonts w:ascii="Times New Roman" w:hAnsi="Times New Roman"/>
                <w:szCs w:val="20"/>
              </w:rPr>
              <w:t xml:space="preserve"> </w:t>
            </w:r>
            <w:r w:rsidRPr="009537ED">
              <w:rPr>
                <w:rFonts w:ascii="Times New Roman" w:hAnsi="Times New Roman"/>
                <w:szCs w:val="20"/>
              </w:rPr>
              <w:t>end</w:t>
            </w:r>
            <w:r w:rsidR="00233210" w:rsidRPr="009537ED">
              <w:rPr>
                <w:rFonts w:ascii="Times New Roman" w:hAnsi="Times New Roman"/>
                <w:szCs w:val="20"/>
              </w:rPr>
              <w:t xml:space="preserve"> </w:t>
            </w:r>
            <w:r w:rsidRPr="009537ED">
              <w:rPr>
                <w:rFonts w:ascii="Times New Roman" w:hAnsi="Times New Roman"/>
                <w:szCs w:val="20"/>
              </w:rPr>
              <w:t>users</w:t>
            </w:r>
            <w:r w:rsidR="00233210" w:rsidRPr="009537ED">
              <w:rPr>
                <w:rFonts w:ascii="Times New Roman" w:hAnsi="Times New Roman"/>
                <w:szCs w:val="20"/>
              </w:rPr>
              <w:t xml:space="preserve"> </w:t>
            </w:r>
            <w:r w:rsidRPr="009537ED">
              <w:rPr>
                <w:rFonts w:ascii="Times New Roman" w:hAnsi="Times New Roman"/>
                <w:szCs w:val="20"/>
              </w:rPr>
              <w:t>that</w:t>
            </w:r>
            <w:r w:rsidR="00233210" w:rsidRPr="009537ED">
              <w:rPr>
                <w:rFonts w:ascii="Times New Roman" w:hAnsi="Times New Roman"/>
                <w:szCs w:val="20"/>
              </w:rPr>
              <w:t xml:space="preserve"> </w:t>
            </w:r>
            <w:r w:rsidRPr="009537ED">
              <w:rPr>
                <w:rFonts w:ascii="Times New Roman" w:hAnsi="Times New Roman"/>
                <w:szCs w:val="20"/>
              </w:rPr>
              <w:t>the</w:t>
            </w:r>
            <w:r w:rsidR="00233210" w:rsidRPr="009537ED">
              <w:rPr>
                <w:rFonts w:ascii="Times New Roman" w:hAnsi="Times New Roman"/>
                <w:szCs w:val="20"/>
              </w:rPr>
              <w:t xml:space="preserve"> </w:t>
            </w:r>
            <w:r w:rsidRPr="009537ED">
              <w:rPr>
                <w:rFonts w:ascii="Times New Roman" w:hAnsi="Times New Roman"/>
                <w:szCs w:val="20"/>
              </w:rPr>
              <w:t>network</w:t>
            </w:r>
            <w:r w:rsidR="00233210" w:rsidRPr="009537ED">
              <w:rPr>
                <w:rFonts w:ascii="Times New Roman" w:hAnsi="Times New Roman"/>
                <w:szCs w:val="20"/>
              </w:rPr>
              <w:t xml:space="preserve"> </w:t>
            </w:r>
            <w:r w:rsidRPr="009537ED">
              <w:rPr>
                <w:rFonts w:ascii="Times New Roman" w:hAnsi="Times New Roman"/>
                <w:szCs w:val="20"/>
              </w:rPr>
              <w:t>is</w:t>
            </w:r>
            <w:r w:rsidR="00233210" w:rsidRPr="009537ED">
              <w:rPr>
                <w:rFonts w:ascii="Times New Roman" w:hAnsi="Times New Roman"/>
                <w:szCs w:val="20"/>
              </w:rPr>
              <w:t xml:space="preserve"> </w:t>
            </w:r>
            <w:r w:rsidRPr="009537ED">
              <w:rPr>
                <w:rFonts w:ascii="Times New Roman" w:hAnsi="Times New Roman"/>
                <w:szCs w:val="20"/>
              </w:rPr>
              <w:t>a</w:t>
            </w:r>
            <w:r w:rsidR="00233210" w:rsidRPr="009537ED">
              <w:rPr>
                <w:rFonts w:ascii="Times New Roman" w:hAnsi="Times New Roman"/>
                <w:szCs w:val="20"/>
              </w:rPr>
              <w:t xml:space="preserve"> </w:t>
            </w:r>
            <w:r w:rsidRPr="009537ED">
              <w:rPr>
                <w:rFonts w:ascii="Times New Roman" w:hAnsi="Times New Roman"/>
                <w:szCs w:val="20"/>
              </w:rPr>
              <w:t>shared</w:t>
            </w:r>
            <w:r w:rsidR="00233210" w:rsidRPr="009537ED">
              <w:rPr>
                <w:rFonts w:ascii="Times New Roman" w:hAnsi="Times New Roman"/>
                <w:szCs w:val="20"/>
              </w:rPr>
              <w:t xml:space="preserve"> </w:t>
            </w:r>
            <w:r w:rsidRPr="009537ED">
              <w:rPr>
                <w:rFonts w:ascii="Times New Roman" w:hAnsi="Times New Roman"/>
                <w:szCs w:val="20"/>
              </w:rPr>
              <w:t>resource;</w:t>
            </w:r>
            <w:r w:rsidR="00233210" w:rsidRPr="009537ED">
              <w:rPr>
                <w:rFonts w:ascii="Times New Roman" w:hAnsi="Times New Roman"/>
                <w:szCs w:val="20"/>
              </w:rPr>
              <w:t xml:space="preserve"> </w:t>
            </w:r>
            <w:r w:rsidRPr="009537ED">
              <w:rPr>
                <w:rFonts w:ascii="Times New Roman" w:hAnsi="Times New Roman"/>
                <w:szCs w:val="20"/>
              </w:rPr>
              <w:t>the</w:t>
            </w:r>
            <w:r w:rsidR="00233210" w:rsidRPr="009537ED">
              <w:rPr>
                <w:rFonts w:ascii="Times New Roman" w:hAnsi="Times New Roman"/>
                <w:szCs w:val="20"/>
              </w:rPr>
              <w:t xml:space="preserve"> </w:t>
            </w:r>
            <w:r w:rsidRPr="009537ED">
              <w:rPr>
                <w:rFonts w:ascii="Times New Roman" w:hAnsi="Times New Roman"/>
                <w:szCs w:val="20"/>
              </w:rPr>
              <w:t>more</w:t>
            </w:r>
            <w:r w:rsidR="00233210" w:rsidRPr="009537ED">
              <w:rPr>
                <w:rFonts w:ascii="Times New Roman" w:hAnsi="Times New Roman"/>
                <w:szCs w:val="20"/>
              </w:rPr>
              <w:t xml:space="preserve"> </w:t>
            </w:r>
            <w:r w:rsidRPr="009537ED">
              <w:rPr>
                <w:rFonts w:ascii="Times New Roman" w:hAnsi="Times New Roman"/>
                <w:szCs w:val="20"/>
              </w:rPr>
              <w:t>one</w:t>
            </w:r>
            <w:r w:rsidR="00233210" w:rsidRPr="009537ED">
              <w:rPr>
                <w:rFonts w:ascii="Times New Roman" w:hAnsi="Times New Roman"/>
                <w:szCs w:val="20"/>
              </w:rPr>
              <w:t xml:space="preserve"> </w:t>
            </w:r>
            <w:r w:rsidRPr="009537ED">
              <w:rPr>
                <w:rFonts w:ascii="Times New Roman" w:hAnsi="Times New Roman"/>
                <w:szCs w:val="20"/>
              </w:rPr>
              <w:t>user</w:t>
            </w:r>
            <w:r w:rsidR="00233210" w:rsidRPr="009537ED">
              <w:rPr>
                <w:rFonts w:ascii="Times New Roman" w:hAnsi="Times New Roman"/>
                <w:szCs w:val="20"/>
              </w:rPr>
              <w:t xml:space="preserve"> </w:t>
            </w:r>
            <w:r w:rsidRPr="009537ED">
              <w:rPr>
                <w:rFonts w:ascii="Times New Roman" w:hAnsi="Times New Roman"/>
                <w:szCs w:val="20"/>
              </w:rPr>
              <w:t>grabs,</w:t>
            </w:r>
            <w:r w:rsidR="00233210" w:rsidRPr="009537ED">
              <w:rPr>
                <w:rFonts w:ascii="Times New Roman" w:hAnsi="Times New Roman"/>
                <w:szCs w:val="20"/>
              </w:rPr>
              <w:t xml:space="preserve"> </w:t>
            </w:r>
            <w:r w:rsidRPr="009537ED">
              <w:rPr>
                <w:rFonts w:ascii="Times New Roman" w:hAnsi="Times New Roman"/>
                <w:szCs w:val="20"/>
              </w:rPr>
              <w:t>the</w:t>
            </w:r>
            <w:r w:rsidR="00233210" w:rsidRPr="009537ED">
              <w:rPr>
                <w:rFonts w:ascii="Times New Roman" w:hAnsi="Times New Roman"/>
                <w:szCs w:val="20"/>
              </w:rPr>
              <w:t xml:space="preserve"> </w:t>
            </w:r>
            <w:r w:rsidRPr="009537ED">
              <w:rPr>
                <w:rFonts w:ascii="Times New Roman" w:hAnsi="Times New Roman"/>
                <w:szCs w:val="20"/>
              </w:rPr>
              <w:t>less</w:t>
            </w:r>
            <w:r w:rsidR="00233210" w:rsidRPr="009537ED">
              <w:rPr>
                <w:rFonts w:ascii="Times New Roman" w:hAnsi="Times New Roman"/>
                <w:szCs w:val="20"/>
              </w:rPr>
              <w:t xml:space="preserve"> </w:t>
            </w:r>
            <w:r w:rsidRPr="009537ED">
              <w:rPr>
                <w:rFonts w:ascii="Times New Roman" w:hAnsi="Times New Roman"/>
                <w:szCs w:val="20"/>
              </w:rPr>
              <w:t>there</w:t>
            </w:r>
            <w:r w:rsidR="00233210" w:rsidRPr="009537ED">
              <w:rPr>
                <w:rFonts w:ascii="Times New Roman" w:hAnsi="Times New Roman"/>
                <w:szCs w:val="20"/>
              </w:rPr>
              <w:t xml:space="preserve"> </w:t>
            </w:r>
            <w:r w:rsidRPr="009537ED">
              <w:rPr>
                <w:rFonts w:ascii="Times New Roman" w:hAnsi="Times New Roman"/>
                <w:szCs w:val="20"/>
              </w:rPr>
              <w:t>is</w:t>
            </w:r>
            <w:r w:rsidR="00233210" w:rsidRPr="009537ED">
              <w:rPr>
                <w:rFonts w:ascii="Times New Roman" w:hAnsi="Times New Roman"/>
                <w:szCs w:val="20"/>
              </w:rPr>
              <w:t xml:space="preserve"> </w:t>
            </w:r>
            <w:r w:rsidRPr="009537ED">
              <w:rPr>
                <w:rFonts w:ascii="Times New Roman" w:hAnsi="Times New Roman"/>
                <w:szCs w:val="20"/>
              </w:rPr>
              <w:t>for</w:t>
            </w:r>
            <w:r w:rsidR="00233210" w:rsidRPr="009537ED">
              <w:rPr>
                <w:rFonts w:ascii="Times New Roman" w:hAnsi="Times New Roman"/>
                <w:szCs w:val="20"/>
              </w:rPr>
              <w:t xml:space="preserve"> </w:t>
            </w:r>
            <w:r w:rsidRPr="009537ED">
              <w:rPr>
                <w:rFonts w:ascii="Times New Roman" w:hAnsi="Times New Roman"/>
                <w:szCs w:val="20"/>
              </w:rPr>
              <w:t>another.</w:t>
            </w:r>
            <w:r w:rsidR="00233210" w:rsidRPr="009537ED">
              <w:rPr>
                <w:rFonts w:ascii="Times New Roman" w:hAnsi="Times New Roman"/>
                <w:szCs w:val="20"/>
              </w:rPr>
              <w:t xml:space="preserve"> </w:t>
            </w:r>
            <w:r w:rsidRPr="009537ED">
              <w:rPr>
                <w:rFonts w:ascii="Times New Roman" w:hAnsi="Times New Roman"/>
                <w:szCs w:val="20"/>
              </w:rPr>
              <w:t>Email</w:t>
            </w:r>
            <w:r w:rsidR="00233210" w:rsidRPr="009537ED">
              <w:rPr>
                <w:rFonts w:ascii="Times New Roman" w:hAnsi="Times New Roman"/>
                <w:szCs w:val="20"/>
              </w:rPr>
              <w:t xml:space="preserve"> </w:t>
            </w:r>
            <w:r w:rsidRPr="009537ED">
              <w:rPr>
                <w:rFonts w:ascii="Times New Roman" w:hAnsi="Times New Roman"/>
                <w:szCs w:val="20"/>
              </w:rPr>
              <w:t>and</w:t>
            </w:r>
            <w:r w:rsidR="00233210" w:rsidRPr="009537ED">
              <w:rPr>
                <w:rFonts w:ascii="Times New Roman" w:hAnsi="Times New Roman"/>
                <w:szCs w:val="20"/>
              </w:rPr>
              <w:t xml:space="preserve"> </w:t>
            </w:r>
            <w:r w:rsidRPr="009537ED">
              <w:rPr>
                <w:rFonts w:ascii="Times New Roman" w:hAnsi="Times New Roman"/>
                <w:szCs w:val="20"/>
              </w:rPr>
              <w:t>its</w:t>
            </w:r>
            <w:r w:rsidR="00233210" w:rsidRPr="009537ED">
              <w:rPr>
                <w:rFonts w:ascii="Times New Roman" w:hAnsi="Times New Roman"/>
                <w:szCs w:val="20"/>
              </w:rPr>
              <w:t xml:space="preserve"> </w:t>
            </w:r>
            <w:r w:rsidRPr="009537ED">
              <w:rPr>
                <w:rFonts w:ascii="Times New Roman" w:hAnsi="Times New Roman"/>
                <w:szCs w:val="20"/>
              </w:rPr>
              <w:t>attachments</w:t>
            </w:r>
            <w:r w:rsidR="00233210" w:rsidRPr="009537ED">
              <w:rPr>
                <w:rFonts w:ascii="Times New Roman" w:hAnsi="Times New Roman"/>
                <w:szCs w:val="20"/>
              </w:rPr>
              <w:t xml:space="preserve"> </w:t>
            </w:r>
            <w:r w:rsidRPr="009537ED">
              <w:rPr>
                <w:rFonts w:ascii="Times New Roman" w:hAnsi="Times New Roman"/>
                <w:szCs w:val="20"/>
              </w:rPr>
              <w:t>already</w:t>
            </w:r>
            <w:r w:rsidR="00233210" w:rsidRPr="009537ED">
              <w:rPr>
                <w:rFonts w:ascii="Times New Roman" w:hAnsi="Times New Roman"/>
                <w:szCs w:val="20"/>
              </w:rPr>
              <w:t xml:space="preserve"> </w:t>
            </w:r>
            <w:r w:rsidRPr="009537ED">
              <w:rPr>
                <w:rFonts w:ascii="Times New Roman" w:hAnsi="Times New Roman"/>
                <w:szCs w:val="20"/>
              </w:rPr>
              <w:t>take</w:t>
            </w:r>
            <w:r w:rsidR="00233210" w:rsidRPr="009537ED">
              <w:rPr>
                <w:rFonts w:ascii="Times New Roman" w:hAnsi="Times New Roman"/>
                <w:szCs w:val="20"/>
              </w:rPr>
              <w:t xml:space="preserve"> </w:t>
            </w:r>
            <w:r w:rsidRPr="009537ED">
              <w:rPr>
                <w:rFonts w:ascii="Times New Roman" w:hAnsi="Times New Roman"/>
                <w:szCs w:val="20"/>
              </w:rPr>
              <w:t>up</w:t>
            </w:r>
            <w:r w:rsidR="00233210" w:rsidRPr="009537ED">
              <w:rPr>
                <w:rFonts w:ascii="Times New Roman" w:hAnsi="Times New Roman"/>
                <w:szCs w:val="20"/>
              </w:rPr>
              <w:t xml:space="preserve"> </w:t>
            </w:r>
            <w:r w:rsidRPr="009537ED">
              <w:rPr>
                <w:rFonts w:ascii="Times New Roman" w:hAnsi="Times New Roman"/>
                <w:szCs w:val="20"/>
              </w:rPr>
              <w:t>significant</w:t>
            </w:r>
            <w:r w:rsidR="00233210" w:rsidRPr="009537ED">
              <w:rPr>
                <w:rFonts w:ascii="Times New Roman" w:hAnsi="Times New Roman"/>
                <w:szCs w:val="20"/>
              </w:rPr>
              <w:t xml:space="preserve"> </w:t>
            </w:r>
            <w:r w:rsidRPr="009537ED">
              <w:rPr>
                <w:rFonts w:ascii="Times New Roman" w:hAnsi="Times New Roman"/>
                <w:szCs w:val="20"/>
              </w:rPr>
              <w:t>bandwidth</w:t>
            </w:r>
            <w:r w:rsidR="00233210" w:rsidRPr="009537ED">
              <w:rPr>
                <w:rFonts w:ascii="Times New Roman" w:hAnsi="Times New Roman"/>
                <w:szCs w:val="20"/>
              </w:rPr>
              <w:t xml:space="preserve"> </w:t>
            </w:r>
            <w:r w:rsidRPr="009537ED">
              <w:rPr>
                <w:rFonts w:ascii="Times New Roman" w:hAnsi="Times New Roman"/>
                <w:szCs w:val="20"/>
              </w:rPr>
              <w:t>(certain</w:t>
            </w:r>
            <w:r w:rsidR="00233210" w:rsidRPr="009537ED">
              <w:rPr>
                <w:rFonts w:ascii="Times New Roman" w:hAnsi="Times New Roman"/>
                <w:szCs w:val="20"/>
              </w:rPr>
              <w:t xml:space="preserve"> </w:t>
            </w:r>
            <w:r w:rsidRPr="009537ED">
              <w:rPr>
                <w:rFonts w:ascii="Times New Roman" w:hAnsi="Times New Roman"/>
                <w:szCs w:val="20"/>
              </w:rPr>
              <w:t>email</w:t>
            </w:r>
            <w:r w:rsidR="00233210" w:rsidRPr="009537ED">
              <w:rPr>
                <w:rFonts w:ascii="Times New Roman" w:hAnsi="Times New Roman"/>
                <w:szCs w:val="20"/>
              </w:rPr>
              <w:t xml:space="preserve"> </w:t>
            </w:r>
            <w:r w:rsidRPr="009537ED">
              <w:rPr>
                <w:rFonts w:ascii="Times New Roman" w:hAnsi="Times New Roman"/>
                <w:szCs w:val="20"/>
              </w:rPr>
              <w:t>programs</w:t>
            </w:r>
            <w:r w:rsidR="00233210" w:rsidRPr="009537ED">
              <w:rPr>
                <w:rFonts w:ascii="Times New Roman" w:hAnsi="Times New Roman"/>
                <w:szCs w:val="20"/>
              </w:rPr>
              <w:t xml:space="preserve"> </w:t>
            </w:r>
            <w:r w:rsidRPr="009537ED">
              <w:rPr>
                <w:rFonts w:ascii="Times New Roman" w:hAnsi="Times New Roman"/>
                <w:szCs w:val="20"/>
              </w:rPr>
              <w:t>are</w:t>
            </w:r>
            <w:r w:rsidR="00233210" w:rsidRPr="009537ED">
              <w:rPr>
                <w:rFonts w:ascii="Times New Roman" w:hAnsi="Times New Roman"/>
                <w:szCs w:val="20"/>
              </w:rPr>
              <w:t xml:space="preserve"> </w:t>
            </w:r>
            <w:r w:rsidRPr="009537ED">
              <w:rPr>
                <w:rFonts w:ascii="Times New Roman" w:hAnsi="Times New Roman"/>
                <w:szCs w:val="20"/>
              </w:rPr>
              <w:t>not</w:t>
            </w:r>
            <w:r w:rsidR="00233210" w:rsidRPr="009537ED">
              <w:rPr>
                <w:rFonts w:ascii="Times New Roman" w:hAnsi="Times New Roman"/>
                <w:szCs w:val="20"/>
              </w:rPr>
              <w:t xml:space="preserve"> </w:t>
            </w:r>
            <w:r w:rsidRPr="009537ED">
              <w:rPr>
                <w:rFonts w:ascii="Times New Roman" w:hAnsi="Times New Roman"/>
                <w:szCs w:val="20"/>
              </w:rPr>
              <w:t>very</w:t>
            </w:r>
            <w:r w:rsidR="00233210" w:rsidRPr="009537ED">
              <w:rPr>
                <w:rFonts w:ascii="Times New Roman" w:hAnsi="Times New Roman"/>
                <w:szCs w:val="20"/>
              </w:rPr>
              <w:t xml:space="preserve"> </w:t>
            </w:r>
            <w:r w:rsidRPr="009537ED">
              <w:rPr>
                <w:rFonts w:ascii="Times New Roman" w:hAnsi="Times New Roman"/>
                <w:szCs w:val="20"/>
              </w:rPr>
              <w:t>bandwidth</w:t>
            </w:r>
            <w:r w:rsidR="00233210" w:rsidRPr="009537ED">
              <w:rPr>
                <w:rFonts w:ascii="Times New Roman" w:hAnsi="Times New Roman"/>
                <w:szCs w:val="20"/>
              </w:rPr>
              <w:t xml:space="preserve"> </w:t>
            </w:r>
            <w:r w:rsidRPr="009537ED">
              <w:rPr>
                <w:rFonts w:ascii="Times New Roman" w:hAnsi="Times New Roman"/>
                <w:szCs w:val="20"/>
              </w:rPr>
              <w:t>efficient).</w:t>
            </w:r>
            <w:r w:rsidR="00233210" w:rsidRPr="009537ED">
              <w:rPr>
                <w:rFonts w:ascii="Times New Roman" w:hAnsi="Times New Roman"/>
                <w:szCs w:val="20"/>
              </w:rPr>
              <w:t xml:space="preserve"> </w:t>
            </w:r>
            <w:r w:rsidRPr="009537ED">
              <w:rPr>
                <w:rFonts w:ascii="Times New Roman" w:hAnsi="Times New Roman"/>
                <w:szCs w:val="20"/>
              </w:rPr>
              <w:t>In</w:t>
            </w:r>
            <w:r w:rsidR="00233210" w:rsidRPr="009537ED">
              <w:rPr>
                <w:rFonts w:ascii="Times New Roman" w:hAnsi="Times New Roman"/>
                <w:szCs w:val="20"/>
              </w:rPr>
              <w:t xml:space="preserve"> </w:t>
            </w:r>
            <w:r w:rsidRPr="009537ED">
              <w:rPr>
                <w:rFonts w:ascii="Times New Roman" w:hAnsi="Times New Roman"/>
                <w:szCs w:val="20"/>
              </w:rPr>
              <w:t>case</w:t>
            </w:r>
            <w:r w:rsidR="00233210" w:rsidRPr="009537ED">
              <w:rPr>
                <w:rFonts w:ascii="Times New Roman" w:hAnsi="Times New Roman"/>
                <w:szCs w:val="20"/>
              </w:rPr>
              <w:t xml:space="preserve"> </w:t>
            </w:r>
            <w:r w:rsidRPr="009537ED">
              <w:rPr>
                <w:rFonts w:ascii="Times New Roman" w:hAnsi="Times New Roman"/>
                <w:szCs w:val="20"/>
              </w:rPr>
              <w:t>of</w:t>
            </w:r>
            <w:r w:rsidR="00233210" w:rsidRPr="009537ED">
              <w:rPr>
                <w:rFonts w:ascii="Times New Roman" w:hAnsi="Times New Roman"/>
                <w:szCs w:val="20"/>
              </w:rPr>
              <w:t xml:space="preserve"> </w:t>
            </w:r>
            <w:r w:rsidRPr="009537ED">
              <w:rPr>
                <w:rFonts w:ascii="Times New Roman" w:hAnsi="Times New Roman"/>
                <w:szCs w:val="20"/>
              </w:rPr>
              <w:t>need</w:t>
            </w:r>
            <w:r w:rsidR="00233210" w:rsidRPr="009537ED">
              <w:rPr>
                <w:rFonts w:ascii="Times New Roman" w:hAnsi="Times New Roman"/>
                <w:szCs w:val="20"/>
              </w:rPr>
              <w:t xml:space="preserve"> </w:t>
            </w:r>
            <w:r w:rsidRPr="009537ED">
              <w:rPr>
                <w:rFonts w:ascii="Times New Roman" w:hAnsi="Times New Roman"/>
                <w:szCs w:val="20"/>
              </w:rPr>
              <w:t>the</w:t>
            </w:r>
            <w:r w:rsidR="00233210" w:rsidRPr="009537ED">
              <w:rPr>
                <w:rFonts w:ascii="Times New Roman" w:hAnsi="Times New Roman"/>
                <w:szCs w:val="20"/>
              </w:rPr>
              <w:t xml:space="preserve"> </w:t>
            </w:r>
            <w:r w:rsidRPr="009537ED">
              <w:rPr>
                <w:rFonts w:ascii="Times New Roman" w:hAnsi="Times New Roman"/>
                <w:szCs w:val="20"/>
              </w:rPr>
              <w:t>chair</w:t>
            </w:r>
            <w:r w:rsidR="00233210" w:rsidRPr="009537ED">
              <w:rPr>
                <w:rFonts w:ascii="Times New Roman" w:hAnsi="Times New Roman"/>
                <w:szCs w:val="20"/>
              </w:rPr>
              <w:t xml:space="preserve"> </w:t>
            </w:r>
            <w:r w:rsidRPr="009537ED">
              <w:rPr>
                <w:rFonts w:ascii="Times New Roman" w:hAnsi="Times New Roman"/>
                <w:szCs w:val="20"/>
              </w:rPr>
              <w:t>can</w:t>
            </w:r>
            <w:r w:rsidR="00233210" w:rsidRPr="009537ED">
              <w:rPr>
                <w:rFonts w:ascii="Times New Roman" w:hAnsi="Times New Roman"/>
                <w:szCs w:val="20"/>
              </w:rPr>
              <w:t xml:space="preserve"> </w:t>
            </w:r>
            <w:r w:rsidRPr="009537ED">
              <w:rPr>
                <w:rFonts w:ascii="Times New Roman" w:hAnsi="Times New Roman"/>
                <w:szCs w:val="20"/>
              </w:rPr>
              <w:t>ask</w:t>
            </w:r>
            <w:r w:rsidR="00233210" w:rsidRPr="009537ED">
              <w:rPr>
                <w:rFonts w:ascii="Times New Roman" w:hAnsi="Times New Roman"/>
                <w:szCs w:val="20"/>
              </w:rPr>
              <w:t xml:space="preserve"> </w:t>
            </w:r>
            <w:r w:rsidRPr="009537ED">
              <w:rPr>
                <w:rFonts w:ascii="Times New Roman" w:hAnsi="Times New Roman"/>
                <w:szCs w:val="20"/>
              </w:rPr>
              <w:t>the</w:t>
            </w:r>
            <w:r w:rsidR="00233210" w:rsidRPr="009537ED">
              <w:rPr>
                <w:rFonts w:ascii="Times New Roman" w:hAnsi="Times New Roman"/>
                <w:szCs w:val="20"/>
              </w:rPr>
              <w:t xml:space="preserve"> </w:t>
            </w:r>
            <w:r w:rsidRPr="009537ED">
              <w:rPr>
                <w:rFonts w:ascii="Times New Roman" w:hAnsi="Times New Roman"/>
                <w:szCs w:val="20"/>
              </w:rPr>
              <w:t>delegates</w:t>
            </w:r>
            <w:r w:rsidR="00233210" w:rsidRPr="009537ED">
              <w:rPr>
                <w:rFonts w:ascii="Times New Roman" w:hAnsi="Times New Roman"/>
                <w:szCs w:val="20"/>
              </w:rPr>
              <w:t xml:space="preserve"> </w:t>
            </w:r>
            <w:r w:rsidRPr="009537ED">
              <w:rPr>
                <w:rFonts w:ascii="Times New Roman" w:hAnsi="Times New Roman"/>
                <w:szCs w:val="20"/>
              </w:rPr>
              <w:t>to</w:t>
            </w:r>
            <w:r w:rsidR="00233210" w:rsidRPr="009537ED">
              <w:rPr>
                <w:rFonts w:ascii="Times New Roman" w:hAnsi="Times New Roman"/>
                <w:szCs w:val="20"/>
              </w:rPr>
              <w:t xml:space="preserve"> </w:t>
            </w:r>
            <w:r w:rsidRPr="009537ED">
              <w:rPr>
                <w:rFonts w:ascii="Times New Roman" w:hAnsi="Times New Roman"/>
                <w:szCs w:val="20"/>
              </w:rPr>
              <w:t>restrict</w:t>
            </w:r>
            <w:r w:rsidR="00233210" w:rsidRPr="009537ED">
              <w:rPr>
                <w:rFonts w:ascii="Times New Roman" w:hAnsi="Times New Roman"/>
                <w:szCs w:val="20"/>
              </w:rPr>
              <w:t xml:space="preserve"> </w:t>
            </w:r>
            <w:r w:rsidRPr="009537ED">
              <w:rPr>
                <w:rFonts w:ascii="Times New Roman" w:hAnsi="Times New Roman"/>
                <w:szCs w:val="20"/>
              </w:rPr>
              <w:t>IT</w:t>
            </w:r>
            <w:r w:rsidR="00233210" w:rsidRPr="009537ED">
              <w:rPr>
                <w:rFonts w:ascii="Times New Roman" w:hAnsi="Times New Roman"/>
                <w:szCs w:val="20"/>
              </w:rPr>
              <w:t xml:space="preserve"> </w:t>
            </w:r>
            <w:r w:rsidRPr="009537ED">
              <w:rPr>
                <w:rFonts w:ascii="Times New Roman" w:hAnsi="Times New Roman"/>
                <w:szCs w:val="20"/>
              </w:rPr>
              <w:t>usage</w:t>
            </w:r>
            <w:r w:rsidR="00233210" w:rsidRPr="009537ED">
              <w:rPr>
                <w:rFonts w:ascii="Times New Roman" w:hAnsi="Times New Roman"/>
                <w:szCs w:val="20"/>
              </w:rPr>
              <w:t xml:space="preserve"> </w:t>
            </w:r>
            <w:r w:rsidRPr="009537ED">
              <w:rPr>
                <w:rFonts w:ascii="Times New Roman" w:hAnsi="Times New Roman"/>
                <w:szCs w:val="20"/>
              </w:rPr>
              <w:t>to</w:t>
            </w:r>
            <w:r w:rsidR="00233210" w:rsidRPr="009537ED">
              <w:rPr>
                <w:rFonts w:ascii="Times New Roman" w:hAnsi="Times New Roman"/>
                <w:szCs w:val="20"/>
              </w:rPr>
              <w:t xml:space="preserve"> </w:t>
            </w:r>
            <w:r w:rsidRPr="009537ED">
              <w:rPr>
                <w:rFonts w:ascii="Times New Roman" w:hAnsi="Times New Roman"/>
                <w:szCs w:val="20"/>
              </w:rPr>
              <w:t>things</w:t>
            </w:r>
            <w:r w:rsidR="00233210" w:rsidRPr="009537ED">
              <w:rPr>
                <w:rFonts w:ascii="Times New Roman" w:hAnsi="Times New Roman"/>
                <w:szCs w:val="20"/>
              </w:rPr>
              <w:t xml:space="preserve"> </w:t>
            </w:r>
            <w:r w:rsidRPr="009537ED">
              <w:rPr>
                <w:rFonts w:ascii="Times New Roman" w:hAnsi="Times New Roman"/>
                <w:szCs w:val="20"/>
              </w:rPr>
              <w:t>that</w:t>
            </w:r>
            <w:r w:rsidR="00233210" w:rsidRPr="009537ED">
              <w:rPr>
                <w:rFonts w:ascii="Times New Roman" w:hAnsi="Times New Roman"/>
                <w:szCs w:val="20"/>
              </w:rPr>
              <w:t xml:space="preserve"> </w:t>
            </w:r>
            <w:r w:rsidRPr="009537ED">
              <w:rPr>
                <w:rFonts w:ascii="Times New Roman" w:hAnsi="Times New Roman"/>
                <w:szCs w:val="20"/>
              </w:rPr>
              <w:t>are</w:t>
            </w:r>
            <w:r w:rsidR="00233210" w:rsidRPr="009537ED">
              <w:rPr>
                <w:rFonts w:ascii="Times New Roman" w:hAnsi="Times New Roman"/>
                <w:szCs w:val="20"/>
              </w:rPr>
              <w:t xml:space="preserve"> </w:t>
            </w:r>
            <w:r w:rsidRPr="009537ED">
              <w:rPr>
                <w:rFonts w:ascii="Times New Roman" w:hAnsi="Times New Roman"/>
                <w:szCs w:val="20"/>
              </w:rPr>
              <w:t>essential</w:t>
            </w:r>
            <w:r w:rsidR="00233210" w:rsidRPr="009537ED">
              <w:rPr>
                <w:rFonts w:ascii="Times New Roman" w:hAnsi="Times New Roman"/>
                <w:szCs w:val="20"/>
              </w:rPr>
              <w:t xml:space="preserve"> </w:t>
            </w:r>
            <w:r w:rsidRPr="009537ED">
              <w:rPr>
                <w:rFonts w:ascii="Times New Roman" w:hAnsi="Times New Roman"/>
                <w:szCs w:val="20"/>
              </w:rPr>
              <w:t>for</w:t>
            </w:r>
            <w:r w:rsidR="00233210" w:rsidRPr="009537ED">
              <w:rPr>
                <w:rFonts w:ascii="Times New Roman" w:hAnsi="Times New Roman"/>
                <w:szCs w:val="20"/>
              </w:rPr>
              <w:t xml:space="preserve"> </w:t>
            </w:r>
            <w:r w:rsidRPr="009537ED">
              <w:rPr>
                <w:rFonts w:ascii="Times New Roman" w:hAnsi="Times New Roman"/>
                <w:szCs w:val="20"/>
              </w:rPr>
              <w:t>the</w:t>
            </w:r>
            <w:r w:rsidR="00233210" w:rsidRPr="009537ED">
              <w:rPr>
                <w:rFonts w:ascii="Times New Roman" w:hAnsi="Times New Roman"/>
                <w:szCs w:val="20"/>
              </w:rPr>
              <w:t xml:space="preserve"> </w:t>
            </w:r>
            <w:r w:rsidRPr="009537ED">
              <w:rPr>
                <w:rFonts w:ascii="Times New Roman" w:hAnsi="Times New Roman"/>
                <w:szCs w:val="20"/>
              </w:rPr>
              <w:t>meeting</w:t>
            </w:r>
            <w:r w:rsidR="00233210" w:rsidRPr="009537ED">
              <w:rPr>
                <w:rFonts w:ascii="Times New Roman" w:hAnsi="Times New Roman"/>
                <w:szCs w:val="20"/>
              </w:rPr>
              <w:t xml:space="preserve"> </w:t>
            </w:r>
            <w:r w:rsidRPr="009537ED">
              <w:rPr>
                <w:rFonts w:ascii="Times New Roman" w:hAnsi="Times New Roman"/>
                <w:szCs w:val="20"/>
              </w:rPr>
              <w:t>itself.</w:t>
            </w:r>
          </w:p>
          <w:p w14:paraId="73977742" w14:textId="77777777" w:rsidR="00666408" w:rsidRPr="009537ED" w:rsidRDefault="00666408" w:rsidP="009643F7">
            <w:pPr>
              <w:widowControl w:val="0"/>
              <w:ind w:left="34"/>
              <w:rPr>
                <w:rFonts w:ascii="Times New Roman" w:hAnsi="Times New Roman"/>
                <w:szCs w:val="20"/>
              </w:rPr>
            </w:pPr>
          </w:p>
          <w:p w14:paraId="14C71C2F" w14:textId="7B3D43F5" w:rsidR="00666408" w:rsidRPr="009537ED" w:rsidRDefault="00666408" w:rsidP="009643F7">
            <w:pPr>
              <w:widowControl w:val="0"/>
              <w:ind w:left="34"/>
              <w:rPr>
                <w:rFonts w:ascii="Times New Roman" w:hAnsi="Times New Roman"/>
                <w:b/>
                <w:szCs w:val="20"/>
              </w:rPr>
            </w:pPr>
            <w:r w:rsidRPr="009537ED">
              <w:rPr>
                <w:rFonts w:ascii="Times New Roman" w:hAnsi="Times New Roman"/>
                <w:b/>
                <w:szCs w:val="20"/>
              </w:rPr>
              <w:t>1.</w:t>
            </w:r>
            <w:r w:rsidR="00233210" w:rsidRPr="009537ED">
              <w:rPr>
                <w:rFonts w:ascii="Times New Roman" w:hAnsi="Times New Roman"/>
                <w:b/>
                <w:szCs w:val="20"/>
              </w:rPr>
              <w:t xml:space="preserve"> </w:t>
            </w:r>
            <w:r w:rsidRPr="009537ED">
              <w:rPr>
                <w:rFonts w:ascii="Times New Roman" w:hAnsi="Times New Roman"/>
                <w:b/>
                <w:szCs w:val="20"/>
              </w:rPr>
              <w:t>DON’T</w:t>
            </w:r>
            <w:r w:rsidR="00233210" w:rsidRPr="009537ED">
              <w:rPr>
                <w:rFonts w:ascii="Times New Roman" w:hAnsi="Times New Roman"/>
                <w:b/>
                <w:szCs w:val="20"/>
              </w:rPr>
              <w:t xml:space="preserve"> </w:t>
            </w:r>
            <w:r w:rsidRPr="009537ED">
              <w:rPr>
                <w:rFonts w:ascii="Times New Roman" w:hAnsi="Times New Roman"/>
                <w:b/>
                <w:szCs w:val="20"/>
              </w:rPr>
              <w:t>place</w:t>
            </w:r>
            <w:r w:rsidR="00233210" w:rsidRPr="009537ED">
              <w:rPr>
                <w:rFonts w:ascii="Times New Roman" w:hAnsi="Times New Roman"/>
                <w:b/>
                <w:szCs w:val="20"/>
              </w:rPr>
              <w:t xml:space="preserve"> </w:t>
            </w:r>
            <w:r w:rsidRPr="009537ED">
              <w:rPr>
                <w:rFonts w:ascii="Times New Roman" w:hAnsi="Times New Roman"/>
                <w:b/>
                <w:szCs w:val="20"/>
              </w:rPr>
              <w:t>your</w:t>
            </w:r>
            <w:r w:rsidR="00233210" w:rsidRPr="009537ED">
              <w:rPr>
                <w:rFonts w:ascii="Times New Roman" w:hAnsi="Times New Roman"/>
                <w:b/>
                <w:szCs w:val="20"/>
              </w:rPr>
              <w:t xml:space="preserve"> </w:t>
            </w:r>
            <w:r w:rsidRPr="009537ED">
              <w:rPr>
                <w:rFonts w:ascii="Times New Roman" w:hAnsi="Times New Roman"/>
                <w:b/>
                <w:szCs w:val="20"/>
              </w:rPr>
              <w:t>WiFi</w:t>
            </w:r>
            <w:r w:rsidR="00233210" w:rsidRPr="009537ED">
              <w:rPr>
                <w:rFonts w:ascii="Times New Roman" w:hAnsi="Times New Roman"/>
                <w:b/>
                <w:szCs w:val="20"/>
              </w:rPr>
              <w:t xml:space="preserve"> </w:t>
            </w:r>
            <w:r w:rsidRPr="009537ED">
              <w:rPr>
                <w:rFonts w:ascii="Times New Roman" w:hAnsi="Times New Roman"/>
                <w:b/>
                <w:szCs w:val="20"/>
              </w:rPr>
              <w:t>device</w:t>
            </w:r>
            <w:r w:rsidR="00233210" w:rsidRPr="009537ED">
              <w:rPr>
                <w:rFonts w:ascii="Times New Roman" w:hAnsi="Times New Roman"/>
                <w:b/>
                <w:szCs w:val="20"/>
              </w:rPr>
              <w:t xml:space="preserve"> </w:t>
            </w:r>
            <w:r w:rsidRPr="009537ED">
              <w:rPr>
                <w:rFonts w:ascii="Times New Roman" w:hAnsi="Times New Roman"/>
                <w:b/>
                <w:szCs w:val="20"/>
              </w:rPr>
              <w:t>in</w:t>
            </w:r>
            <w:r w:rsidR="00233210" w:rsidRPr="009537ED">
              <w:rPr>
                <w:rFonts w:ascii="Times New Roman" w:hAnsi="Times New Roman"/>
                <w:b/>
                <w:szCs w:val="20"/>
              </w:rPr>
              <w:t xml:space="preserve"> </w:t>
            </w:r>
            <w:r w:rsidRPr="009537ED">
              <w:rPr>
                <w:rFonts w:ascii="Times New Roman" w:hAnsi="Times New Roman"/>
                <w:b/>
                <w:szCs w:val="20"/>
              </w:rPr>
              <w:t>ad-hoc</w:t>
            </w:r>
            <w:r w:rsidR="00233210" w:rsidRPr="009537ED">
              <w:rPr>
                <w:rFonts w:ascii="Times New Roman" w:hAnsi="Times New Roman"/>
                <w:b/>
                <w:szCs w:val="20"/>
              </w:rPr>
              <w:t xml:space="preserve"> </w:t>
            </w:r>
            <w:r w:rsidRPr="009537ED">
              <w:rPr>
                <w:rFonts w:ascii="Times New Roman" w:hAnsi="Times New Roman"/>
                <w:b/>
                <w:szCs w:val="20"/>
              </w:rPr>
              <w:t>mode</w:t>
            </w:r>
            <w:r w:rsidR="00233210" w:rsidRPr="009537ED">
              <w:rPr>
                <w:rFonts w:ascii="Times New Roman" w:hAnsi="Times New Roman"/>
                <w:b/>
                <w:szCs w:val="20"/>
              </w:rPr>
              <w:t xml:space="preserve"> </w:t>
            </w:r>
          </w:p>
          <w:p w14:paraId="3590FEA2" w14:textId="06B9EC54" w:rsidR="00666408" w:rsidRPr="009537ED" w:rsidRDefault="00666408" w:rsidP="009643F7">
            <w:pPr>
              <w:widowControl w:val="0"/>
              <w:ind w:left="34"/>
              <w:rPr>
                <w:rFonts w:ascii="Times New Roman" w:hAnsi="Times New Roman"/>
                <w:b/>
                <w:szCs w:val="20"/>
              </w:rPr>
            </w:pPr>
            <w:r w:rsidRPr="009537ED">
              <w:rPr>
                <w:rFonts w:ascii="Times New Roman" w:hAnsi="Times New Roman"/>
                <w:b/>
                <w:szCs w:val="20"/>
              </w:rPr>
              <w:t>2.</w:t>
            </w:r>
            <w:r w:rsidR="00233210" w:rsidRPr="009537ED">
              <w:rPr>
                <w:rFonts w:ascii="Times New Roman" w:hAnsi="Times New Roman"/>
                <w:b/>
                <w:szCs w:val="20"/>
              </w:rPr>
              <w:t xml:space="preserve"> </w:t>
            </w:r>
            <w:r w:rsidRPr="009537ED">
              <w:rPr>
                <w:rFonts w:ascii="Times New Roman" w:hAnsi="Times New Roman"/>
                <w:b/>
                <w:szCs w:val="20"/>
              </w:rPr>
              <w:t>DON’T</w:t>
            </w:r>
            <w:r w:rsidR="00233210" w:rsidRPr="009537ED">
              <w:rPr>
                <w:rFonts w:ascii="Times New Roman" w:hAnsi="Times New Roman"/>
                <w:b/>
                <w:szCs w:val="20"/>
              </w:rPr>
              <w:t xml:space="preserve"> </w:t>
            </w:r>
            <w:r w:rsidRPr="009537ED">
              <w:rPr>
                <w:rFonts w:ascii="Times New Roman" w:hAnsi="Times New Roman"/>
                <w:b/>
                <w:szCs w:val="20"/>
              </w:rPr>
              <w:t>set</w:t>
            </w:r>
            <w:r w:rsidR="00233210" w:rsidRPr="009537ED">
              <w:rPr>
                <w:rFonts w:ascii="Times New Roman" w:hAnsi="Times New Roman"/>
                <w:b/>
                <w:szCs w:val="20"/>
              </w:rPr>
              <w:t xml:space="preserve"> </w:t>
            </w:r>
            <w:r w:rsidRPr="009537ED">
              <w:rPr>
                <w:rFonts w:ascii="Times New Roman" w:hAnsi="Times New Roman"/>
                <w:b/>
                <w:szCs w:val="20"/>
              </w:rPr>
              <w:t>up</w:t>
            </w:r>
            <w:r w:rsidR="00233210" w:rsidRPr="009537ED">
              <w:rPr>
                <w:rFonts w:ascii="Times New Roman" w:hAnsi="Times New Roman"/>
                <w:b/>
                <w:szCs w:val="20"/>
              </w:rPr>
              <w:t xml:space="preserve"> </w:t>
            </w:r>
            <w:r w:rsidRPr="009537ED">
              <w:rPr>
                <w:rFonts w:ascii="Times New Roman" w:hAnsi="Times New Roman"/>
                <w:b/>
                <w:szCs w:val="20"/>
              </w:rPr>
              <w:t>a</w:t>
            </w:r>
            <w:r w:rsidR="00233210" w:rsidRPr="009537ED">
              <w:rPr>
                <w:rFonts w:ascii="Times New Roman" w:hAnsi="Times New Roman"/>
                <w:b/>
                <w:szCs w:val="20"/>
              </w:rPr>
              <w:t xml:space="preserve"> </w:t>
            </w:r>
            <w:r w:rsidRPr="009537ED">
              <w:rPr>
                <w:rFonts w:ascii="Times New Roman" w:hAnsi="Times New Roman"/>
                <w:b/>
                <w:szCs w:val="20"/>
              </w:rPr>
              <w:t>personal</w:t>
            </w:r>
            <w:r w:rsidR="00233210" w:rsidRPr="009537ED">
              <w:rPr>
                <w:rFonts w:ascii="Times New Roman" w:hAnsi="Times New Roman"/>
                <w:b/>
                <w:szCs w:val="20"/>
              </w:rPr>
              <w:t xml:space="preserve"> </w:t>
            </w:r>
            <w:r w:rsidRPr="009537ED">
              <w:rPr>
                <w:rFonts w:ascii="Times New Roman" w:hAnsi="Times New Roman"/>
                <w:b/>
                <w:szCs w:val="20"/>
              </w:rPr>
              <w:t>hotspot</w:t>
            </w:r>
            <w:r w:rsidR="00233210" w:rsidRPr="009537ED">
              <w:rPr>
                <w:rFonts w:ascii="Times New Roman" w:hAnsi="Times New Roman"/>
                <w:b/>
                <w:szCs w:val="20"/>
              </w:rPr>
              <w:t xml:space="preserve"> </w:t>
            </w:r>
            <w:r w:rsidRPr="009537ED">
              <w:rPr>
                <w:rFonts w:ascii="Times New Roman" w:hAnsi="Times New Roman"/>
                <w:b/>
                <w:szCs w:val="20"/>
              </w:rPr>
              <w:t>in</w:t>
            </w:r>
            <w:r w:rsidR="00233210" w:rsidRPr="009537ED">
              <w:rPr>
                <w:rFonts w:ascii="Times New Roman" w:hAnsi="Times New Roman"/>
                <w:b/>
                <w:szCs w:val="20"/>
              </w:rPr>
              <w:t xml:space="preserve"> </w:t>
            </w:r>
            <w:r w:rsidRPr="009537ED">
              <w:rPr>
                <w:rFonts w:ascii="Times New Roman" w:hAnsi="Times New Roman"/>
                <w:b/>
                <w:szCs w:val="20"/>
              </w:rPr>
              <w:t>the</w:t>
            </w:r>
            <w:r w:rsidR="00233210" w:rsidRPr="009537ED">
              <w:rPr>
                <w:rFonts w:ascii="Times New Roman" w:hAnsi="Times New Roman"/>
                <w:b/>
                <w:szCs w:val="20"/>
              </w:rPr>
              <w:t xml:space="preserve"> </w:t>
            </w:r>
            <w:r w:rsidRPr="009537ED">
              <w:rPr>
                <w:rFonts w:ascii="Times New Roman" w:hAnsi="Times New Roman"/>
                <w:b/>
                <w:szCs w:val="20"/>
              </w:rPr>
              <w:t>meeting</w:t>
            </w:r>
            <w:r w:rsidR="00233210" w:rsidRPr="009537ED">
              <w:rPr>
                <w:rFonts w:ascii="Times New Roman" w:hAnsi="Times New Roman"/>
                <w:b/>
                <w:szCs w:val="20"/>
              </w:rPr>
              <w:t xml:space="preserve"> </w:t>
            </w:r>
            <w:r w:rsidRPr="009537ED">
              <w:rPr>
                <w:rFonts w:ascii="Times New Roman" w:hAnsi="Times New Roman"/>
                <w:b/>
                <w:szCs w:val="20"/>
              </w:rPr>
              <w:t>room</w:t>
            </w:r>
            <w:r w:rsidR="00233210" w:rsidRPr="009537ED">
              <w:rPr>
                <w:rFonts w:ascii="Times New Roman" w:hAnsi="Times New Roman"/>
                <w:b/>
                <w:szCs w:val="20"/>
              </w:rPr>
              <w:t xml:space="preserve"> </w:t>
            </w:r>
          </w:p>
          <w:p w14:paraId="1685523D" w14:textId="55A29A6C" w:rsidR="00666408" w:rsidRPr="009537ED" w:rsidRDefault="00666408" w:rsidP="009643F7">
            <w:pPr>
              <w:widowControl w:val="0"/>
              <w:ind w:left="34"/>
              <w:rPr>
                <w:rFonts w:ascii="Times New Roman" w:hAnsi="Times New Roman"/>
                <w:b/>
                <w:szCs w:val="20"/>
              </w:rPr>
            </w:pPr>
            <w:r w:rsidRPr="009537ED">
              <w:rPr>
                <w:rFonts w:ascii="Times New Roman" w:hAnsi="Times New Roman"/>
                <w:b/>
                <w:szCs w:val="20"/>
              </w:rPr>
              <w:t>3.</w:t>
            </w:r>
            <w:r w:rsidR="00233210" w:rsidRPr="009537ED">
              <w:rPr>
                <w:rFonts w:ascii="Times New Roman" w:hAnsi="Times New Roman"/>
                <w:b/>
                <w:szCs w:val="20"/>
              </w:rPr>
              <w:t xml:space="preserve"> </w:t>
            </w:r>
            <w:r w:rsidRPr="009537ED">
              <w:rPr>
                <w:rFonts w:ascii="Times New Roman" w:hAnsi="Times New Roman"/>
                <w:b/>
                <w:szCs w:val="20"/>
              </w:rPr>
              <w:t>DO</w:t>
            </w:r>
            <w:r w:rsidR="00233210" w:rsidRPr="009537ED">
              <w:rPr>
                <w:rFonts w:ascii="Times New Roman" w:hAnsi="Times New Roman"/>
                <w:b/>
                <w:szCs w:val="20"/>
              </w:rPr>
              <w:t xml:space="preserve"> </w:t>
            </w:r>
            <w:r w:rsidRPr="009537ED">
              <w:rPr>
                <w:rFonts w:ascii="Times New Roman" w:hAnsi="Times New Roman"/>
                <w:b/>
                <w:szCs w:val="20"/>
              </w:rPr>
              <w:t>try</w:t>
            </w:r>
            <w:r w:rsidR="00233210" w:rsidRPr="009537ED">
              <w:rPr>
                <w:rFonts w:ascii="Times New Roman" w:hAnsi="Times New Roman"/>
                <w:b/>
                <w:szCs w:val="20"/>
              </w:rPr>
              <w:t xml:space="preserve"> </w:t>
            </w:r>
            <w:r w:rsidRPr="009537ED">
              <w:rPr>
                <w:rFonts w:ascii="Times New Roman" w:hAnsi="Times New Roman"/>
                <w:b/>
                <w:szCs w:val="20"/>
              </w:rPr>
              <w:t>802.11a</w:t>
            </w:r>
            <w:r w:rsidR="00233210" w:rsidRPr="009537ED">
              <w:rPr>
                <w:rFonts w:ascii="Times New Roman" w:hAnsi="Times New Roman"/>
                <w:b/>
                <w:szCs w:val="20"/>
              </w:rPr>
              <w:t xml:space="preserve"> </w:t>
            </w:r>
            <w:r w:rsidRPr="009537ED">
              <w:rPr>
                <w:rFonts w:ascii="Times New Roman" w:hAnsi="Times New Roman"/>
                <w:b/>
                <w:szCs w:val="20"/>
              </w:rPr>
              <w:t>if</w:t>
            </w:r>
            <w:r w:rsidR="00233210" w:rsidRPr="009537ED">
              <w:rPr>
                <w:rFonts w:ascii="Times New Roman" w:hAnsi="Times New Roman"/>
                <w:b/>
                <w:szCs w:val="20"/>
              </w:rPr>
              <w:t xml:space="preserve"> </w:t>
            </w:r>
            <w:r w:rsidRPr="009537ED">
              <w:rPr>
                <w:rFonts w:ascii="Times New Roman" w:hAnsi="Times New Roman"/>
                <w:b/>
                <w:szCs w:val="20"/>
              </w:rPr>
              <w:t>your</w:t>
            </w:r>
            <w:r w:rsidR="00233210" w:rsidRPr="009537ED">
              <w:rPr>
                <w:rFonts w:ascii="Times New Roman" w:hAnsi="Times New Roman"/>
                <w:b/>
                <w:szCs w:val="20"/>
              </w:rPr>
              <w:t xml:space="preserve"> </w:t>
            </w:r>
            <w:r w:rsidRPr="009537ED">
              <w:rPr>
                <w:rFonts w:ascii="Times New Roman" w:hAnsi="Times New Roman"/>
                <w:b/>
                <w:szCs w:val="20"/>
              </w:rPr>
              <w:t>WiFi</w:t>
            </w:r>
            <w:r w:rsidR="00233210" w:rsidRPr="009537ED">
              <w:rPr>
                <w:rFonts w:ascii="Times New Roman" w:hAnsi="Times New Roman"/>
                <w:b/>
                <w:szCs w:val="20"/>
              </w:rPr>
              <w:t xml:space="preserve"> </w:t>
            </w:r>
            <w:r w:rsidRPr="009537ED">
              <w:rPr>
                <w:rFonts w:ascii="Times New Roman" w:hAnsi="Times New Roman"/>
                <w:b/>
                <w:szCs w:val="20"/>
              </w:rPr>
              <w:t>device</w:t>
            </w:r>
            <w:r w:rsidR="00233210" w:rsidRPr="009537ED">
              <w:rPr>
                <w:rFonts w:ascii="Times New Roman" w:hAnsi="Times New Roman"/>
                <w:b/>
                <w:szCs w:val="20"/>
              </w:rPr>
              <w:t xml:space="preserve"> </w:t>
            </w:r>
            <w:r w:rsidRPr="009537ED">
              <w:rPr>
                <w:rFonts w:ascii="Times New Roman" w:hAnsi="Times New Roman"/>
                <w:b/>
                <w:szCs w:val="20"/>
              </w:rPr>
              <w:t>supports</w:t>
            </w:r>
            <w:r w:rsidR="00233210" w:rsidRPr="009537ED">
              <w:rPr>
                <w:rFonts w:ascii="Times New Roman" w:hAnsi="Times New Roman"/>
                <w:b/>
                <w:szCs w:val="20"/>
              </w:rPr>
              <w:t xml:space="preserve"> </w:t>
            </w:r>
            <w:r w:rsidRPr="009537ED">
              <w:rPr>
                <w:rFonts w:ascii="Times New Roman" w:hAnsi="Times New Roman"/>
                <w:b/>
                <w:szCs w:val="20"/>
              </w:rPr>
              <w:t>it</w:t>
            </w:r>
            <w:r w:rsidR="00233210" w:rsidRPr="009537ED">
              <w:rPr>
                <w:rFonts w:ascii="Times New Roman" w:hAnsi="Times New Roman"/>
                <w:b/>
                <w:szCs w:val="20"/>
              </w:rPr>
              <w:t xml:space="preserve"> </w:t>
            </w:r>
          </w:p>
          <w:p w14:paraId="13B0A948" w14:textId="410939EC" w:rsidR="00666408" w:rsidRPr="009537ED" w:rsidRDefault="00666408" w:rsidP="009643F7">
            <w:pPr>
              <w:widowControl w:val="0"/>
              <w:ind w:left="34"/>
              <w:rPr>
                <w:rFonts w:ascii="Times New Roman" w:hAnsi="Times New Roman"/>
                <w:b/>
                <w:szCs w:val="20"/>
              </w:rPr>
            </w:pPr>
            <w:r w:rsidRPr="009537ED">
              <w:rPr>
                <w:rFonts w:ascii="Times New Roman" w:hAnsi="Times New Roman"/>
                <w:b/>
                <w:szCs w:val="20"/>
              </w:rPr>
              <w:t>4.</w:t>
            </w:r>
            <w:r w:rsidR="00233210" w:rsidRPr="009537ED">
              <w:rPr>
                <w:rFonts w:ascii="Times New Roman" w:hAnsi="Times New Roman"/>
                <w:b/>
                <w:szCs w:val="20"/>
              </w:rPr>
              <w:t xml:space="preserve"> </w:t>
            </w:r>
            <w:r w:rsidRPr="009537ED">
              <w:rPr>
                <w:rFonts w:ascii="Times New Roman" w:hAnsi="Times New Roman"/>
                <w:b/>
                <w:szCs w:val="20"/>
              </w:rPr>
              <w:t>DON’T</w:t>
            </w:r>
            <w:r w:rsidR="00233210" w:rsidRPr="009537ED">
              <w:rPr>
                <w:rFonts w:ascii="Times New Roman" w:hAnsi="Times New Roman"/>
                <w:b/>
                <w:szCs w:val="20"/>
              </w:rPr>
              <w:t xml:space="preserve"> </w:t>
            </w:r>
            <w:r w:rsidRPr="009537ED">
              <w:rPr>
                <w:rFonts w:ascii="Times New Roman" w:hAnsi="Times New Roman"/>
                <w:b/>
                <w:szCs w:val="20"/>
              </w:rPr>
              <w:t>manually</w:t>
            </w:r>
            <w:r w:rsidR="00233210" w:rsidRPr="009537ED">
              <w:rPr>
                <w:rFonts w:ascii="Times New Roman" w:hAnsi="Times New Roman"/>
                <w:b/>
                <w:szCs w:val="20"/>
              </w:rPr>
              <w:t xml:space="preserve"> </w:t>
            </w:r>
            <w:r w:rsidRPr="009537ED">
              <w:rPr>
                <w:rFonts w:ascii="Times New Roman" w:hAnsi="Times New Roman"/>
                <w:b/>
                <w:szCs w:val="20"/>
              </w:rPr>
              <w:t>allocate</w:t>
            </w:r>
            <w:r w:rsidR="00233210" w:rsidRPr="009537ED">
              <w:rPr>
                <w:rFonts w:ascii="Times New Roman" w:hAnsi="Times New Roman"/>
                <w:b/>
                <w:szCs w:val="20"/>
              </w:rPr>
              <w:t xml:space="preserve"> </w:t>
            </w:r>
            <w:r w:rsidRPr="009537ED">
              <w:rPr>
                <w:rFonts w:ascii="Times New Roman" w:hAnsi="Times New Roman"/>
                <w:b/>
                <w:szCs w:val="20"/>
              </w:rPr>
              <w:t>an</w:t>
            </w:r>
            <w:r w:rsidR="00233210" w:rsidRPr="009537ED">
              <w:rPr>
                <w:rFonts w:ascii="Times New Roman" w:hAnsi="Times New Roman"/>
                <w:b/>
                <w:szCs w:val="20"/>
              </w:rPr>
              <w:t xml:space="preserve"> </w:t>
            </w:r>
            <w:r w:rsidRPr="009537ED">
              <w:rPr>
                <w:rFonts w:ascii="Times New Roman" w:hAnsi="Times New Roman"/>
                <w:b/>
                <w:szCs w:val="20"/>
              </w:rPr>
              <w:t>IP</w:t>
            </w:r>
            <w:r w:rsidR="00233210" w:rsidRPr="009537ED">
              <w:rPr>
                <w:rFonts w:ascii="Times New Roman" w:hAnsi="Times New Roman"/>
                <w:b/>
                <w:szCs w:val="20"/>
              </w:rPr>
              <w:t xml:space="preserve"> </w:t>
            </w:r>
            <w:r w:rsidRPr="009537ED">
              <w:rPr>
                <w:rFonts w:ascii="Times New Roman" w:hAnsi="Times New Roman"/>
                <w:b/>
                <w:szCs w:val="20"/>
              </w:rPr>
              <w:t>address</w:t>
            </w:r>
            <w:r w:rsidR="00233210" w:rsidRPr="009537ED">
              <w:rPr>
                <w:rFonts w:ascii="Times New Roman" w:hAnsi="Times New Roman"/>
                <w:b/>
                <w:szCs w:val="20"/>
              </w:rPr>
              <w:t xml:space="preserve"> </w:t>
            </w:r>
          </w:p>
          <w:p w14:paraId="7B5AEEB1" w14:textId="109FA5E0" w:rsidR="00666408" w:rsidRPr="009537ED" w:rsidRDefault="00666408" w:rsidP="009643F7">
            <w:pPr>
              <w:widowControl w:val="0"/>
              <w:ind w:left="34"/>
              <w:rPr>
                <w:rFonts w:ascii="Times New Roman" w:hAnsi="Times New Roman"/>
                <w:b/>
                <w:szCs w:val="20"/>
              </w:rPr>
            </w:pPr>
            <w:r w:rsidRPr="009537ED">
              <w:rPr>
                <w:rFonts w:ascii="Times New Roman" w:hAnsi="Times New Roman"/>
                <w:b/>
                <w:szCs w:val="20"/>
              </w:rPr>
              <w:t>5.</w:t>
            </w:r>
            <w:r w:rsidR="00233210" w:rsidRPr="009537ED">
              <w:rPr>
                <w:rFonts w:ascii="Times New Roman" w:hAnsi="Times New Roman"/>
                <w:b/>
                <w:szCs w:val="20"/>
              </w:rPr>
              <w:t xml:space="preserve"> </w:t>
            </w:r>
            <w:r w:rsidRPr="009537ED">
              <w:rPr>
                <w:rFonts w:ascii="Times New Roman" w:hAnsi="Times New Roman"/>
                <w:b/>
                <w:szCs w:val="20"/>
              </w:rPr>
              <w:t>DON’T</w:t>
            </w:r>
            <w:r w:rsidR="00233210" w:rsidRPr="009537ED">
              <w:rPr>
                <w:rFonts w:ascii="Times New Roman" w:hAnsi="Times New Roman"/>
                <w:b/>
                <w:szCs w:val="20"/>
              </w:rPr>
              <w:t xml:space="preserve"> </w:t>
            </w:r>
            <w:r w:rsidRPr="009537ED">
              <w:rPr>
                <w:rFonts w:ascii="Times New Roman" w:hAnsi="Times New Roman"/>
                <w:b/>
                <w:szCs w:val="20"/>
              </w:rPr>
              <w:t>be</w:t>
            </w:r>
            <w:r w:rsidR="00233210" w:rsidRPr="009537ED">
              <w:rPr>
                <w:rFonts w:ascii="Times New Roman" w:hAnsi="Times New Roman"/>
                <w:b/>
                <w:szCs w:val="20"/>
              </w:rPr>
              <w:t xml:space="preserve"> </w:t>
            </w:r>
            <w:r w:rsidRPr="009537ED">
              <w:rPr>
                <w:rFonts w:ascii="Times New Roman" w:hAnsi="Times New Roman"/>
                <w:b/>
                <w:szCs w:val="20"/>
              </w:rPr>
              <w:t>a</w:t>
            </w:r>
            <w:r w:rsidR="00233210" w:rsidRPr="009537ED">
              <w:rPr>
                <w:rFonts w:ascii="Times New Roman" w:hAnsi="Times New Roman"/>
                <w:b/>
                <w:szCs w:val="20"/>
              </w:rPr>
              <w:t xml:space="preserve"> </w:t>
            </w:r>
            <w:r w:rsidRPr="009537ED">
              <w:rPr>
                <w:rFonts w:ascii="Times New Roman" w:hAnsi="Times New Roman"/>
                <w:b/>
                <w:szCs w:val="20"/>
              </w:rPr>
              <w:t>bandwidth</w:t>
            </w:r>
            <w:r w:rsidR="00233210" w:rsidRPr="009537ED">
              <w:rPr>
                <w:rFonts w:ascii="Times New Roman" w:hAnsi="Times New Roman"/>
                <w:b/>
                <w:szCs w:val="20"/>
              </w:rPr>
              <w:t xml:space="preserve"> </w:t>
            </w:r>
            <w:r w:rsidRPr="009537ED">
              <w:rPr>
                <w:rFonts w:ascii="Times New Roman" w:hAnsi="Times New Roman"/>
                <w:b/>
                <w:szCs w:val="20"/>
              </w:rPr>
              <w:t>hog</w:t>
            </w:r>
            <w:r w:rsidR="00233210" w:rsidRPr="009537ED">
              <w:rPr>
                <w:rFonts w:ascii="Times New Roman" w:hAnsi="Times New Roman"/>
                <w:b/>
                <w:szCs w:val="20"/>
              </w:rPr>
              <w:t xml:space="preserve"> </w:t>
            </w:r>
            <w:r w:rsidRPr="009537ED">
              <w:rPr>
                <w:rFonts w:ascii="Times New Roman" w:hAnsi="Times New Roman"/>
                <w:b/>
                <w:szCs w:val="20"/>
              </w:rPr>
              <w:t>by</w:t>
            </w:r>
            <w:r w:rsidR="00233210" w:rsidRPr="009537ED">
              <w:rPr>
                <w:rFonts w:ascii="Times New Roman" w:hAnsi="Times New Roman"/>
                <w:b/>
                <w:szCs w:val="20"/>
              </w:rPr>
              <w:t xml:space="preserve"> </w:t>
            </w:r>
            <w:r w:rsidRPr="009537ED">
              <w:rPr>
                <w:rFonts w:ascii="Times New Roman" w:hAnsi="Times New Roman"/>
                <w:b/>
                <w:szCs w:val="20"/>
              </w:rPr>
              <w:t>streaming</w:t>
            </w:r>
            <w:r w:rsidR="00233210" w:rsidRPr="009537ED">
              <w:rPr>
                <w:rFonts w:ascii="Times New Roman" w:hAnsi="Times New Roman"/>
                <w:b/>
                <w:szCs w:val="20"/>
              </w:rPr>
              <w:t xml:space="preserve"> </w:t>
            </w:r>
            <w:r w:rsidRPr="009537ED">
              <w:rPr>
                <w:rFonts w:ascii="Times New Roman" w:hAnsi="Times New Roman"/>
                <w:b/>
                <w:szCs w:val="20"/>
              </w:rPr>
              <w:t>video,</w:t>
            </w:r>
            <w:r w:rsidR="00233210" w:rsidRPr="009537ED">
              <w:rPr>
                <w:rFonts w:ascii="Times New Roman" w:hAnsi="Times New Roman"/>
                <w:b/>
                <w:szCs w:val="20"/>
              </w:rPr>
              <w:t xml:space="preserve"> </w:t>
            </w:r>
            <w:r w:rsidRPr="009537ED">
              <w:rPr>
                <w:rFonts w:ascii="Times New Roman" w:hAnsi="Times New Roman"/>
                <w:b/>
                <w:szCs w:val="20"/>
              </w:rPr>
              <w:t>playing</w:t>
            </w:r>
            <w:r w:rsidR="00233210" w:rsidRPr="009537ED">
              <w:rPr>
                <w:rFonts w:ascii="Times New Roman" w:hAnsi="Times New Roman"/>
                <w:b/>
                <w:szCs w:val="20"/>
              </w:rPr>
              <w:t xml:space="preserve"> </w:t>
            </w:r>
            <w:r w:rsidRPr="009537ED">
              <w:rPr>
                <w:rFonts w:ascii="Times New Roman" w:hAnsi="Times New Roman"/>
                <w:b/>
                <w:szCs w:val="20"/>
              </w:rPr>
              <w:t>online</w:t>
            </w:r>
            <w:r w:rsidR="00233210" w:rsidRPr="009537ED">
              <w:rPr>
                <w:rFonts w:ascii="Times New Roman" w:hAnsi="Times New Roman"/>
                <w:b/>
                <w:szCs w:val="20"/>
              </w:rPr>
              <w:t xml:space="preserve"> </w:t>
            </w:r>
            <w:r w:rsidRPr="009537ED">
              <w:rPr>
                <w:rFonts w:ascii="Times New Roman" w:hAnsi="Times New Roman"/>
                <w:b/>
                <w:szCs w:val="20"/>
              </w:rPr>
              <w:t>games,</w:t>
            </w:r>
            <w:r w:rsidR="00233210" w:rsidRPr="009537ED">
              <w:rPr>
                <w:rFonts w:ascii="Times New Roman" w:hAnsi="Times New Roman"/>
                <w:b/>
                <w:szCs w:val="20"/>
              </w:rPr>
              <w:t xml:space="preserve"> </w:t>
            </w:r>
            <w:r w:rsidRPr="009537ED">
              <w:rPr>
                <w:rFonts w:ascii="Times New Roman" w:hAnsi="Times New Roman"/>
                <w:b/>
                <w:szCs w:val="20"/>
              </w:rPr>
              <w:t>or</w:t>
            </w:r>
            <w:r w:rsidR="00233210" w:rsidRPr="009537ED">
              <w:rPr>
                <w:rFonts w:ascii="Times New Roman" w:hAnsi="Times New Roman"/>
                <w:b/>
                <w:szCs w:val="20"/>
              </w:rPr>
              <w:t xml:space="preserve"> </w:t>
            </w:r>
            <w:r w:rsidRPr="009537ED">
              <w:rPr>
                <w:rFonts w:ascii="Times New Roman" w:hAnsi="Times New Roman"/>
                <w:b/>
                <w:szCs w:val="20"/>
              </w:rPr>
              <w:t>downloading</w:t>
            </w:r>
            <w:r w:rsidR="00233210" w:rsidRPr="009537ED">
              <w:rPr>
                <w:rFonts w:ascii="Times New Roman" w:hAnsi="Times New Roman"/>
                <w:b/>
                <w:szCs w:val="20"/>
              </w:rPr>
              <w:t xml:space="preserve"> </w:t>
            </w:r>
            <w:r w:rsidRPr="009537ED">
              <w:rPr>
                <w:rFonts w:ascii="Times New Roman" w:hAnsi="Times New Roman"/>
                <w:b/>
                <w:szCs w:val="20"/>
              </w:rPr>
              <w:t>huge</w:t>
            </w:r>
            <w:r w:rsidR="00233210" w:rsidRPr="009537ED">
              <w:rPr>
                <w:rFonts w:ascii="Times New Roman" w:hAnsi="Times New Roman"/>
                <w:b/>
                <w:szCs w:val="20"/>
              </w:rPr>
              <w:t xml:space="preserve"> </w:t>
            </w:r>
            <w:r w:rsidRPr="009537ED">
              <w:rPr>
                <w:rFonts w:ascii="Times New Roman" w:hAnsi="Times New Roman"/>
                <w:b/>
                <w:szCs w:val="20"/>
              </w:rPr>
              <w:t>files</w:t>
            </w:r>
            <w:r w:rsidR="00233210" w:rsidRPr="009537ED">
              <w:rPr>
                <w:rFonts w:ascii="Times New Roman" w:hAnsi="Times New Roman"/>
                <w:b/>
                <w:szCs w:val="20"/>
              </w:rPr>
              <w:t xml:space="preserve"> </w:t>
            </w:r>
          </w:p>
          <w:p w14:paraId="6A83FDB3" w14:textId="1C4267E8" w:rsidR="00666408" w:rsidRPr="009537ED" w:rsidRDefault="00666408" w:rsidP="009643F7">
            <w:pPr>
              <w:widowControl w:val="0"/>
              <w:ind w:left="34"/>
              <w:rPr>
                <w:rFonts w:ascii="Times New Roman" w:hAnsi="Times New Roman"/>
                <w:szCs w:val="20"/>
              </w:rPr>
            </w:pPr>
            <w:r w:rsidRPr="009537ED">
              <w:rPr>
                <w:rFonts w:ascii="Times New Roman" w:hAnsi="Times New Roman"/>
                <w:b/>
                <w:szCs w:val="20"/>
              </w:rPr>
              <w:t>6.</w:t>
            </w:r>
            <w:r w:rsidR="00233210" w:rsidRPr="009537ED">
              <w:rPr>
                <w:rFonts w:ascii="Times New Roman" w:hAnsi="Times New Roman"/>
                <w:b/>
                <w:szCs w:val="20"/>
              </w:rPr>
              <w:t xml:space="preserve"> </w:t>
            </w:r>
            <w:r w:rsidRPr="009537ED">
              <w:rPr>
                <w:rFonts w:ascii="Times New Roman" w:hAnsi="Times New Roman"/>
                <w:b/>
                <w:szCs w:val="20"/>
              </w:rPr>
              <w:t>DON’T</w:t>
            </w:r>
            <w:r w:rsidR="00233210" w:rsidRPr="009537ED">
              <w:rPr>
                <w:rFonts w:ascii="Times New Roman" w:hAnsi="Times New Roman"/>
                <w:b/>
                <w:szCs w:val="20"/>
              </w:rPr>
              <w:t xml:space="preserve"> </w:t>
            </w:r>
            <w:r w:rsidRPr="009537ED">
              <w:rPr>
                <w:rFonts w:ascii="Times New Roman" w:hAnsi="Times New Roman"/>
                <w:b/>
                <w:szCs w:val="20"/>
              </w:rPr>
              <w:t>use</w:t>
            </w:r>
            <w:r w:rsidR="00233210" w:rsidRPr="009537ED">
              <w:rPr>
                <w:rFonts w:ascii="Times New Roman" w:hAnsi="Times New Roman"/>
                <w:b/>
                <w:szCs w:val="20"/>
              </w:rPr>
              <w:t xml:space="preserve"> </w:t>
            </w:r>
            <w:r w:rsidRPr="009537ED">
              <w:rPr>
                <w:rFonts w:ascii="Times New Roman" w:hAnsi="Times New Roman"/>
                <w:b/>
                <w:szCs w:val="20"/>
              </w:rPr>
              <w:t>packet</w:t>
            </w:r>
            <w:r w:rsidR="00233210" w:rsidRPr="009537ED">
              <w:rPr>
                <w:rFonts w:ascii="Times New Roman" w:hAnsi="Times New Roman"/>
                <w:b/>
                <w:szCs w:val="20"/>
              </w:rPr>
              <w:t xml:space="preserve"> </w:t>
            </w:r>
            <w:r w:rsidRPr="009537ED">
              <w:rPr>
                <w:rFonts w:ascii="Times New Roman" w:hAnsi="Times New Roman"/>
                <w:b/>
                <w:szCs w:val="20"/>
              </w:rPr>
              <w:t>probing</w:t>
            </w:r>
            <w:r w:rsidR="00233210" w:rsidRPr="009537ED">
              <w:rPr>
                <w:rFonts w:ascii="Times New Roman" w:hAnsi="Times New Roman"/>
                <w:b/>
                <w:szCs w:val="20"/>
              </w:rPr>
              <w:t xml:space="preserve"> </w:t>
            </w:r>
            <w:r w:rsidRPr="009537ED">
              <w:rPr>
                <w:rFonts w:ascii="Times New Roman" w:hAnsi="Times New Roman"/>
                <w:b/>
                <w:szCs w:val="20"/>
              </w:rPr>
              <w:t>software</w:t>
            </w:r>
            <w:r w:rsidR="00233210" w:rsidRPr="009537ED">
              <w:rPr>
                <w:rFonts w:ascii="Times New Roman" w:hAnsi="Times New Roman"/>
                <w:b/>
                <w:szCs w:val="20"/>
              </w:rPr>
              <w:t xml:space="preserve"> </w:t>
            </w:r>
            <w:r w:rsidRPr="009537ED">
              <w:rPr>
                <w:rFonts w:ascii="Times New Roman" w:hAnsi="Times New Roman"/>
                <w:b/>
                <w:szCs w:val="20"/>
              </w:rPr>
              <w:t>which</w:t>
            </w:r>
            <w:r w:rsidR="00233210" w:rsidRPr="009537ED">
              <w:rPr>
                <w:rFonts w:ascii="Times New Roman" w:hAnsi="Times New Roman"/>
                <w:b/>
                <w:szCs w:val="20"/>
              </w:rPr>
              <w:t xml:space="preserve"> </w:t>
            </w:r>
            <w:r w:rsidRPr="009537ED">
              <w:rPr>
                <w:rFonts w:ascii="Times New Roman" w:hAnsi="Times New Roman"/>
                <w:b/>
                <w:szCs w:val="20"/>
              </w:rPr>
              <w:t>clogs</w:t>
            </w:r>
            <w:r w:rsidR="00233210" w:rsidRPr="009537ED">
              <w:rPr>
                <w:rFonts w:ascii="Times New Roman" w:hAnsi="Times New Roman"/>
                <w:b/>
                <w:szCs w:val="20"/>
              </w:rPr>
              <w:t xml:space="preserve"> </w:t>
            </w:r>
            <w:r w:rsidRPr="009537ED">
              <w:rPr>
                <w:rFonts w:ascii="Times New Roman" w:hAnsi="Times New Roman"/>
                <w:b/>
                <w:szCs w:val="20"/>
              </w:rPr>
              <w:t>the</w:t>
            </w:r>
            <w:r w:rsidR="00233210" w:rsidRPr="009537ED">
              <w:rPr>
                <w:rFonts w:ascii="Times New Roman" w:hAnsi="Times New Roman"/>
                <w:b/>
                <w:szCs w:val="20"/>
              </w:rPr>
              <w:t xml:space="preserve"> </w:t>
            </w:r>
            <w:r w:rsidRPr="009537ED">
              <w:rPr>
                <w:rFonts w:ascii="Times New Roman" w:hAnsi="Times New Roman"/>
                <w:b/>
                <w:szCs w:val="20"/>
              </w:rPr>
              <w:t>local</w:t>
            </w:r>
            <w:r w:rsidR="00233210" w:rsidRPr="009537ED">
              <w:rPr>
                <w:rFonts w:ascii="Times New Roman" w:hAnsi="Times New Roman"/>
                <w:b/>
                <w:szCs w:val="20"/>
              </w:rPr>
              <w:t xml:space="preserve"> </w:t>
            </w:r>
            <w:r w:rsidRPr="009537ED">
              <w:rPr>
                <w:rFonts w:ascii="Times New Roman" w:hAnsi="Times New Roman"/>
                <w:b/>
                <w:szCs w:val="20"/>
              </w:rPr>
              <w:t>network</w:t>
            </w:r>
            <w:r w:rsidR="00233210" w:rsidRPr="009537ED">
              <w:rPr>
                <w:rFonts w:ascii="Times New Roman" w:hAnsi="Times New Roman"/>
                <w:b/>
                <w:szCs w:val="20"/>
              </w:rPr>
              <w:t xml:space="preserve"> </w:t>
            </w:r>
            <w:r w:rsidRPr="009537ED">
              <w:rPr>
                <w:rFonts w:ascii="Times New Roman" w:hAnsi="Times New Roman"/>
                <w:b/>
                <w:szCs w:val="20"/>
              </w:rPr>
              <w:t>(e.g.,</w:t>
            </w:r>
            <w:r w:rsidR="00233210" w:rsidRPr="009537ED">
              <w:rPr>
                <w:rFonts w:ascii="Times New Roman" w:hAnsi="Times New Roman"/>
                <w:b/>
                <w:szCs w:val="20"/>
              </w:rPr>
              <w:t xml:space="preserve"> </w:t>
            </w:r>
            <w:r w:rsidRPr="009537ED">
              <w:rPr>
                <w:rFonts w:ascii="Times New Roman" w:hAnsi="Times New Roman"/>
                <w:b/>
                <w:szCs w:val="20"/>
              </w:rPr>
              <w:t>packet</w:t>
            </w:r>
            <w:r w:rsidR="00233210" w:rsidRPr="009537ED">
              <w:rPr>
                <w:rFonts w:ascii="Times New Roman" w:hAnsi="Times New Roman"/>
                <w:b/>
                <w:szCs w:val="20"/>
              </w:rPr>
              <w:t xml:space="preserve"> </w:t>
            </w:r>
            <w:r w:rsidRPr="009537ED">
              <w:rPr>
                <w:rFonts w:ascii="Times New Roman" w:hAnsi="Times New Roman"/>
                <w:b/>
                <w:szCs w:val="20"/>
              </w:rPr>
              <w:t>sniffers</w:t>
            </w:r>
            <w:r w:rsidR="00233210" w:rsidRPr="009537ED">
              <w:rPr>
                <w:rFonts w:ascii="Times New Roman" w:hAnsi="Times New Roman"/>
                <w:b/>
                <w:szCs w:val="20"/>
              </w:rPr>
              <w:t xml:space="preserve"> </w:t>
            </w:r>
            <w:r w:rsidRPr="009537ED">
              <w:rPr>
                <w:rFonts w:ascii="Times New Roman" w:hAnsi="Times New Roman"/>
                <w:b/>
                <w:szCs w:val="20"/>
              </w:rPr>
              <w:t>or</w:t>
            </w:r>
            <w:r w:rsidR="00233210" w:rsidRPr="009537ED">
              <w:rPr>
                <w:rFonts w:ascii="Times New Roman" w:hAnsi="Times New Roman"/>
                <w:b/>
                <w:szCs w:val="20"/>
              </w:rPr>
              <w:t xml:space="preserve"> </w:t>
            </w:r>
            <w:r w:rsidRPr="009537ED">
              <w:rPr>
                <w:rFonts w:ascii="Times New Roman" w:hAnsi="Times New Roman"/>
                <w:b/>
                <w:szCs w:val="20"/>
              </w:rPr>
              <w:t>port</w:t>
            </w:r>
            <w:r w:rsidR="00233210" w:rsidRPr="009537ED">
              <w:rPr>
                <w:rFonts w:ascii="Times New Roman" w:hAnsi="Times New Roman"/>
                <w:b/>
                <w:szCs w:val="20"/>
              </w:rPr>
              <w:t xml:space="preserve"> </w:t>
            </w:r>
            <w:r w:rsidRPr="009537ED">
              <w:rPr>
                <w:rFonts w:ascii="Times New Roman" w:hAnsi="Times New Roman"/>
                <w:b/>
                <w:szCs w:val="20"/>
              </w:rPr>
              <w:t>scanners)</w:t>
            </w:r>
          </w:p>
        </w:tc>
      </w:tr>
    </w:tbl>
    <w:p w14:paraId="5213F987" w14:textId="77777777" w:rsidR="00CC70B4" w:rsidRPr="009537ED" w:rsidRDefault="00CC70B4" w:rsidP="00CC70B4">
      <w:pPr>
        <w:rPr>
          <w:rFonts w:eastAsia="MS Mincho"/>
          <w:lang w:eastAsia="ja-JP"/>
        </w:rPr>
      </w:pPr>
    </w:p>
    <w:p w14:paraId="635890EC" w14:textId="71D94243" w:rsidR="00CC70B4" w:rsidRPr="009537ED" w:rsidRDefault="00CC70B4" w:rsidP="00CC70B4">
      <w:pPr>
        <w:pStyle w:val="Heading2"/>
        <w:rPr>
          <w:lang w:eastAsia="x-none"/>
        </w:rPr>
      </w:pPr>
      <w:bookmarkStart w:id="7" w:name="_Toc490832500"/>
      <w:bookmarkStart w:id="8" w:name="_Toc159250970"/>
      <w:r w:rsidRPr="009537ED">
        <w:lastRenderedPageBreak/>
        <w:t>Check-in</w:t>
      </w:r>
      <w:r w:rsidR="00233210" w:rsidRPr="009537ED">
        <w:t xml:space="preserve"> </w:t>
      </w:r>
      <w:r w:rsidRPr="009537ED">
        <w:t>for</w:t>
      </w:r>
      <w:r w:rsidR="00233210" w:rsidRPr="009537ED">
        <w:t xml:space="preserve"> </w:t>
      </w:r>
      <w:r w:rsidRPr="009537ED">
        <w:t>Registered</w:t>
      </w:r>
      <w:r w:rsidR="00233210" w:rsidRPr="009537ED">
        <w:t xml:space="preserve"> </w:t>
      </w:r>
      <w:r w:rsidRPr="009537ED">
        <w:t>Delegates</w:t>
      </w:r>
      <w:bookmarkEnd w:id="7"/>
      <w:bookmarkEnd w:id="8"/>
    </w:p>
    <w:p w14:paraId="78D5D0D8" w14:textId="35CAAA34" w:rsidR="00A47EC5" w:rsidRPr="009537ED" w:rsidRDefault="00CC70B4" w:rsidP="002803EC">
      <w:pPr>
        <w:rPr>
          <w:rFonts w:ascii="Times New Roman" w:eastAsia="SimSun" w:hAnsi="Times New Roman"/>
          <w:i/>
          <w:color w:val="493118"/>
          <w:sz w:val="18"/>
          <w:szCs w:val="18"/>
          <w:lang w:eastAsia="zh-CN"/>
        </w:rPr>
      </w:pPr>
      <w:r w:rsidRPr="009537ED">
        <w:rPr>
          <w:rFonts w:ascii="Times New Roman" w:eastAsia="SimSun" w:hAnsi="Times New Roman"/>
          <w:i/>
          <w:color w:val="493118"/>
          <w:sz w:val="18"/>
          <w:szCs w:val="18"/>
          <w:lang w:eastAsia="zh-CN"/>
        </w:rPr>
        <w:t>The</w:t>
      </w:r>
      <w:r w:rsidR="00233210" w:rsidRPr="009537ED">
        <w:rPr>
          <w:rFonts w:ascii="Times New Roman" w:eastAsia="SimSun" w:hAnsi="Times New Roman"/>
          <w:i/>
          <w:color w:val="493118"/>
          <w:sz w:val="18"/>
          <w:szCs w:val="18"/>
          <w:lang w:eastAsia="zh-CN"/>
        </w:rPr>
        <w:t xml:space="preserve"> </w:t>
      </w:r>
      <w:r w:rsidRPr="009537ED">
        <w:rPr>
          <w:rFonts w:ascii="Times New Roman" w:eastAsia="SimSun" w:hAnsi="Times New Roman"/>
          <w:i/>
          <w:color w:val="493118"/>
          <w:sz w:val="18"/>
          <w:szCs w:val="18"/>
          <w:lang w:eastAsia="zh-CN"/>
        </w:rPr>
        <w:t>attention</w:t>
      </w:r>
      <w:r w:rsidR="00233210" w:rsidRPr="009537ED">
        <w:rPr>
          <w:rFonts w:ascii="Times New Roman" w:eastAsia="SimSun" w:hAnsi="Times New Roman"/>
          <w:i/>
          <w:color w:val="493118"/>
          <w:sz w:val="18"/>
          <w:szCs w:val="18"/>
          <w:lang w:eastAsia="zh-CN"/>
        </w:rPr>
        <w:t xml:space="preserve"> </w:t>
      </w:r>
      <w:r w:rsidRPr="009537ED">
        <w:rPr>
          <w:rFonts w:ascii="Times New Roman" w:eastAsia="SimSun" w:hAnsi="Times New Roman"/>
          <w:i/>
          <w:color w:val="493118"/>
          <w:sz w:val="18"/>
          <w:szCs w:val="18"/>
          <w:lang w:eastAsia="zh-CN"/>
        </w:rPr>
        <w:t>of</w:t>
      </w:r>
      <w:r w:rsidR="00233210" w:rsidRPr="009537ED">
        <w:rPr>
          <w:rFonts w:ascii="Times New Roman" w:eastAsia="SimSun" w:hAnsi="Times New Roman"/>
          <w:i/>
          <w:color w:val="493118"/>
          <w:sz w:val="18"/>
          <w:szCs w:val="18"/>
          <w:lang w:eastAsia="zh-CN"/>
        </w:rPr>
        <w:t xml:space="preserve"> </w:t>
      </w:r>
      <w:r w:rsidRPr="009537ED">
        <w:rPr>
          <w:rFonts w:ascii="Times New Roman" w:eastAsia="SimSun" w:hAnsi="Times New Roman"/>
          <w:i/>
          <w:color w:val="493118"/>
          <w:sz w:val="18"/>
          <w:szCs w:val="18"/>
          <w:lang w:eastAsia="zh-CN"/>
        </w:rPr>
        <w:t>the</w:t>
      </w:r>
      <w:r w:rsidR="00233210" w:rsidRPr="009537ED">
        <w:rPr>
          <w:rFonts w:ascii="Times New Roman" w:eastAsia="SimSun" w:hAnsi="Times New Roman"/>
          <w:i/>
          <w:color w:val="493118"/>
          <w:sz w:val="18"/>
          <w:szCs w:val="18"/>
          <w:lang w:eastAsia="zh-CN"/>
        </w:rPr>
        <w:t xml:space="preserve"> </w:t>
      </w:r>
      <w:r w:rsidRPr="009537ED">
        <w:rPr>
          <w:rFonts w:ascii="Times New Roman" w:eastAsia="SimSun" w:hAnsi="Times New Roman"/>
          <w:i/>
          <w:color w:val="493118"/>
          <w:sz w:val="18"/>
          <w:szCs w:val="18"/>
          <w:lang w:eastAsia="zh-CN"/>
        </w:rPr>
        <w:t>delegates</w:t>
      </w:r>
      <w:r w:rsidR="00233210" w:rsidRPr="009537ED">
        <w:rPr>
          <w:rFonts w:ascii="Times New Roman" w:eastAsia="SimSun" w:hAnsi="Times New Roman"/>
          <w:i/>
          <w:color w:val="493118"/>
          <w:sz w:val="18"/>
          <w:szCs w:val="18"/>
          <w:lang w:eastAsia="zh-CN"/>
        </w:rPr>
        <w:t xml:space="preserve"> </w:t>
      </w:r>
      <w:r w:rsidRPr="009537ED">
        <w:rPr>
          <w:rFonts w:ascii="Times New Roman" w:eastAsia="SimSun" w:hAnsi="Times New Roman"/>
          <w:i/>
          <w:color w:val="493118"/>
          <w:sz w:val="18"/>
          <w:szCs w:val="18"/>
          <w:lang w:eastAsia="zh-CN"/>
        </w:rPr>
        <w:t>to</w:t>
      </w:r>
      <w:r w:rsidR="00233210" w:rsidRPr="009537ED">
        <w:rPr>
          <w:rFonts w:ascii="Times New Roman" w:eastAsia="SimSun" w:hAnsi="Times New Roman"/>
          <w:i/>
          <w:color w:val="493118"/>
          <w:sz w:val="18"/>
          <w:szCs w:val="18"/>
          <w:lang w:eastAsia="zh-CN"/>
        </w:rPr>
        <w:t xml:space="preserve"> </w:t>
      </w:r>
      <w:r w:rsidRPr="009537ED">
        <w:rPr>
          <w:rFonts w:ascii="Times New Roman" w:eastAsia="SimSun" w:hAnsi="Times New Roman"/>
          <w:i/>
          <w:color w:val="493118"/>
          <w:sz w:val="18"/>
          <w:szCs w:val="18"/>
          <w:lang w:eastAsia="zh-CN"/>
        </w:rPr>
        <w:t>this</w:t>
      </w:r>
      <w:r w:rsidR="00233210" w:rsidRPr="009537ED">
        <w:rPr>
          <w:rFonts w:ascii="Times New Roman" w:eastAsia="SimSun" w:hAnsi="Times New Roman"/>
          <w:i/>
          <w:color w:val="493118"/>
          <w:sz w:val="18"/>
          <w:szCs w:val="18"/>
          <w:lang w:eastAsia="zh-CN"/>
        </w:rPr>
        <w:t xml:space="preserve"> </w:t>
      </w:r>
      <w:r w:rsidRPr="009537ED">
        <w:rPr>
          <w:rFonts w:ascii="Times New Roman" w:eastAsia="SimSun" w:hAnsi="Times New Roman"/>
          <w:i/>
          <w:color w:val="493118"/>
          <w:sz w:val="18"/>
          <w:szCs w:val="18"/>
          <w:lang w:eastAsia="zh-CN"/>
        </w:rPr>
        <w:t>meeting</w:t>
      </w:r>
      <w:r w:rsidR="00233210" w:rsidRPr="009537ED">
        <w:rPr>
          <w:rFonts w:ascii="Times New Roman" w:eastAsia="SimSun" w:hAnsi="Times New Roman"/>
          <w:i/>
          <w:color w:val="493118"/>
          <w:sz w:val="18"/>
          <w:szCs w:val="18"/>
          <w:lang w:eastAsia="zh-CN"/>
        </w:rPr>
        <w:t xml:space="preserve"> </w:t>
      </w:r>
      <w:r w:rsidRPr="009537ED">
        <w:rPr>
          <w:rFonts w:ascii="Times New Roman" w:eastAsia="SimSun" w:hAnsi="Times New Roman"/>
          <w:i/>
          <w:color w:val="493118"/>
          <w:sz w:val="18"/>
          <w:szCs w:val="18"/>
          <w:lang w:eastAsia="zh-CN"/>
        </w:rPr>
        <w:t>was</w:t>
      </w:r>
      <w:r w:rsidR="00233210" w:rsidRPr="009537ED">
        <w:rPr>
          <w:rFonts w:ascii="Times New Roman" w:eastAsia="SimSun" w:hAnsi="Times New Roman"/>
          <w:i/>
          <w:color w:val="493118"/>
          <w:sz w:val="18"/>
          <w:szCs w:val="18"/>
          <w:lang w:eastAsia="zh-CN"/>
        </w:rPr>
        <w:t xml:space="preserve"> </w:t>
      </w:r>
      <w:r w:rsidRPr="009537ED">
        <w:rPr>
          <w:rFonts w:ascii="Times New Roman" w:eastAsia="SimSun" w:hAnsi="Times New Roman"/>
          <w:i/>
          <w:color w:val="493118"/>
          <w:sz w:val="18"/>
          <w:szCs w:val="18"/>
          <w:lang w:eastAsia="zh-CN"/>
        </w:rPr>
        <w:t>drawn</w:t>
      </w:r>
      <w:r w:rsidR="00233210" w:rsidRPr="009537ED">
        <w:rPr>
          <w:rFonts w:ascii="Times New Roman" w:eastAsia="SimSun" w:hAnsi="Times New Roman"/>
          <w:i/>
          <w:color w:val="493118"/>
          <w:sz w:val="18"/>
          <w:szCs w:val="18"/>
          <w:lang w:eastAsia="zh-CN"/>
        </w:rPr>
        <w:t xml:space="preserve"> </w:t>
      </w:r>
      <w:r w:rsidRPr="009537ED">
        <w:rPr>
          <w:rFonts w:ascii="Times New Roman" w:eastAsia="SimSun" w:hAnsi="Times New Roman"/>
          <w:i/>
          <w:color w:val="493118"/>
          <w:sz w:val="18"/>
          <w:szCs w:val="18"/>
          <w:lang w:eastAsia="zh-CN"/>
        </w:rPr>
        <w:t>to</w:t>
      </w:r>
      <w:r w:rsidR="00233210" w:rsidRPr="009537ED">
        <w:rPr>
          <w:rFonts w:ascii="Times New Roman" w:eastAsia="SimSun" w:hAnsi="Times New Roman"/>
          <w:i/>
          <w:color w:val="493118"/>
          <w:sz w:val="18"/>
          <w:szCs w:val="18"/>
          <w:lang w:eastAsia="zh-CN"/>
        </w:rPr>
        <w:t xml:space="preserve"> </w:t>
      </w:r>
      <w:r w:rsidRPr="009537ED">
        <w:rPr>
          <w:rFonts w:ascii="Times New Roman" w:eastAsia="SimSun" w:hAnsi="Times New Roman"/>
          <w:i/>
          <w:color w:val="493118"/>
          <w:sz w:val="18"/>
          <w:szCs w:val="18"/>
          <w:lang w:eastAsia="zh-CN"/>
        </w:rPr>
        <w:t>the</w:t>
      </w:r>
      <w:r w:rsidR="00233210" w:rsidRPr="009537ED">
        <w:rPr>
          <w:rFonts w:ascii="Times New Roman" w:eastAsia="SimSun" w:hAnsi="Times New Roman"/>
          <w:i/>
          <w:color w:val="493118"/>
          <w:sz w:val="18"/>
          <w:szCs w:val="18"/>
          <w:lang w:eastAsia="zh-CN"/>
        </w:rPr>
        <w:t xml:space="preserve"> </w:t>
      </w:r>
      <w:r w:rsidRPr="009537ED">
        <w:rPr>
          <w:rFonts w:ascii="Times New Roman" w:eastAsia="SimSun" w:hAnsi="Times New Roman"/>
          <w:i/>
          <w:color w:val="493118"/>
          <w:sz w:val="18"/>
          <w:szCs w:val="18"/>
          <w:lang w:eastAsia="zh-CN"/>
        </w:rPr>
        <w:t>fact</w:t>
      </w:r>
      <w:r w:rsidR="00233210" w:rsidRPr="009537ED">
        <w:rPr>
          <w:rFonts w:ascii="Times New Roman" w:eastAsia="SimSun" w:hAnsi="Times New Roman"/>
          <w:i/>
          <w:color w:val="493118"/>
          <w:sz w:val="18"/>
          <w:szCs w:val="18"/>
          <w:lang w:eastAsia="zh-CN"/>
        </w:rPr>
        <w:t xml:space="preserve"> </w:t>
      </w:r>
      <w:r w:rsidRPr="009537ED">
        <w:rPr>
          <w:rFonts w:ascii="Times New Roman" w:eastAsia="SimSun" w:hAnsi="Times New Roman"/>
          <w:i/>
          <w:color w:val="493118"/>
          <w:sz w:val="18"/>
          <w:szCs w:val="18"/>
          <w:lang w:eastAsia="zh-CN"/>
        </w:rPr>
        <w:t>that</w:t>
      </w:r>
      <w:r w:rsidR="00233210" w:rsidRPr="009537ED">
        <w:rPr>
          <w:rFonts w:ascii="Times New Roman" w:eastAsia="SimSun" w:hAnsi="Times New Roman"/>
          <w:i/>
          <w:color w:val="493118"/>
          <w:sz w:val="18"/>
          <w:szCs w:val="18"/>
          <w:lang w:eastAsia="zh-CN"/>
        </w:rPr>
        <w:t xml:space="preserve"> </w:t>
      </w:r>
      <w:r w:rsidRPr="009537ED">
        <w:rPr>
          <w:rFonts w:ascii="Times New Roman" w:eastAsia="SimSun" w:hAnsi="Times New Roman"/>
          <w:i/>
          <w:color w:val="493118"/>
          <w:sz w:val="18"/>
          <w:szCs w:val="18"/>
          <w:lang w:eastAsia="zh-CN"/>
        </w:rPr>
        <w:t>it</w:t>
      </w:r>
      <w:r w:rsidR="00233210" w:rsidRPr="009537ED">
        <w:rPr>
          <w:rFonts w:ascii="Times New Roman" w:eastAsia="SimSun" w:hAnsi="Times New Roman"/>
          <w:i/>
          <w:color w:val="493118"/>
          <w:sz w:val="18"/>
          <w:szCs w:val="18"/>
          <w:lang w:eastAsia="zh-CN"/>
        </w:rPr>
        <w:t xml:space="preserve"> </w:t>
      </w:r>
      <w:r w:rsidRPr="009537ED">
        <w:rPr>
          <w:rFonts w:ascii="Times New Roman" w:eastAsia="SimSun" w:hAnsi="Times New Roman"/>
          <w:i/>
          <w:color w:val="493118"/>
          <w:sz w:val="18"/>
          <w:szCs w:val="18"/>
          <w:lang w:eastAsia="zh-CN"/>
        </w:rPr>
        <w:t>is</w:t>
      </w:r>
      <w:r w:rsidR="00233210" w:rsidRPr="009537ED">
        <w:rPr>
          <w:rFonts w:ascii="Times New Roman" w:eastAsia="SimSun" w:hAnsi="Times New Roman"/>
          <w:i/>
          <w:color w:val="493118"/>
          <w:sz w:val="18"/>
          <w:szCs w:val="18"/>
          <w:lang w:eastAsia="zh-CN"/>
        </w:rPr>
        <w:t xml:space="preserve"> </w:t>
      </w:r>
      <w:r w:rsidRPr="009537ED">
        <w:rPr>
          <w:rFonts w:ascii="Times New Roman" w:eastAsia="SimSun" w:hAnsi="Times New Roman"/>
          <w:i/>
          <w:color w:val="493118"/>
          <w:sz w:val="18"/>
          <w:szCs w:val="18"/>
          <w:lang w:eastAsia="zh-CN"/>
        </w:rPr>
        <w:t>not</w:t>
      </w:r>
      <w:r w:rsidR="00233210" w:rsidRPr="009537ED">
        <w:rPr>
          <w:rFonts w:ascii="Times New Roman" w:eastAsia="SimSun" w:hAnsi="Times New Roman"/>
          <w:i/>
          <w:color w:val="493118"/>
          <w:sz w:val="18"/>
          <w:szCs w:val="18"/>
          <w:lang w:eastAsia="zh-CN"/>
        </w:rPr>
        <w:t xml:space="preserve"> </w:t>
      </w:r>
      <w:r w:rsidRPr="009537ED">
        <w:rPr>
          <w:rFonts w:ascii="Times New Roman" w:eastAsia="SimSun" w:hAnsi="Times New Roman"/>
          <w:i/>
          <w:color w:val="493118"/>
          <w:sz w:val="18"/>
          <w:szCs w:val="18"/>
          <w:lang w:eastAsia="zh-CN"/>
        </w:rPr>
        <w:t>permitted</w:t>
      </w:r>
      <w:r w:rsidR="00233210" w:rsidRPr="009537ED">
        <w:rPr>
          <w:rFonts w:ascii="Times New Roman" w:eastAsia="SimSun" w:hAnsi="Times New Roman"/>
          <w:i/>
          <w:color w:val="493118"/>
          <w:sz w:val="18"/>
          <w:szCs w:val="18"/>
          <w:lang w:eastAsia="zh-CN"/>
        </w:rPr>
        <w:t xml:space="preserve"> </w:t>
      </w:r>
      <w:r w:rsidRPr="009537ED">
        <w:rPr>
          <w:rFonts w:ascii="Times New Roman" w:eastAsia="SimSun" w:hAnsi="Times New Roman"/>
          <w:i/>
          <w:color w:val="493118"/>
          <w:sz w:val="18"/>
          <w:szCs w:val="18"/>
          <w:lang w:eastAsia="zh-CN"/>
        </w:rPr>
        <w:t>to</w:t>
      </w:r>
      <w:r w:rsidR="00233210" w:rsidRPr="009537ED">
        <w:rPr>
          <w:rFonts w:ascii="Times New Roman" w:eastAsia="SimSun" w:hAnsi="Times New Roman"/>
          <w:i/>
          <w:color w:val="493118"/>
          <w:sz w:val="18"/>
          <w:szCs w:val="18"/>
          <w:lang w:eastAsia="zh-CN"/>
        </w:rPr>
        <w:t xml:space="preserve"> </w:t>
      </w:r>
      <w:r w:rsidRPr="009537ED">
        <w:rPr>
          <w:rFonts w:ascii="Times New Roman" w:eastAsia="SimSun" w:hAnsi="Times New Roman"/>
          <w:i/>
          <w:color w:val="493118"/>
          <w:sz w:val="18"/>
          <w:szCs w:val="18"/>
          <w:lang w:eastAsia="zh-CN"/>
        </w:rPr>
        <w:t>check</w:t>
      </w:r>
      <w:r w:rsidR="00233210" w:rsidRPr="009537ED">
        <w:rPr>
          <w:rFonts w:ascii="Times New Roman" w:eastAsia="SimSun" w:hAnsi="Times New Roman"/>
          <w:i/>
          <w:color w:val="493118"/>
          <w:sz w:val="18"/>
          <w:szCs w:val="18"/>
          <w:lang w:eastAsia="zh-CN"/>
        </w:rPr>
        <w:t xml:space="preserve"> </w:t>
      </w:r>
      <w:r w:rsidRPr="009537ED">
        <w:rPr>
          <w:rFonts w:ascii="Times New Roman" w:eastAsia="SimSun" w:hAnsi="Times New Roman"/>
          <w:i/>
          <w:color w:val="493118"/>
          <w:sz w:val="18"/>
          <w:szCs w:val="18"/>
          <w:lang w:eastAsia="zh-CN"/>
        </w:rPr>
        <w:t>in</w:t>
      </w:r>
      <w:r w:rsidR="00233210" w:rsidRPr="009537ED">
        <w:rPr>
          <w:rFonts w:ascii="Times New Roman" w:eastAsia="SimSun" w:hAnsi="Times New Roman"/>
          <w:i/>
          <w:color w:val="493118"/>
          <w:sz w:val="18"/>
          <w:szCs w:val="18"/>
          <w:lang w:eastAsia="zh-CN"/>
        </w:rPr>
        <w:t xml:space="preserve"> </w:t>
      </w:r>
      <w:r w:rsidRPr="009537ED">
        <w:rPr>
          <w:rFonts w:ascii="Times New Roman" w:eastAsia="SimSun" w:hAnsi="Times New Roman"/>
          <w:i/>
          <w:color w:val="493118"/>
          <w:sz w:val="18"/>
          <w:szCs w:val="18"/>
          <w:lang w:eastAsia="zh-CN"/>
        </w:rPr>
        <w:t>other</w:t>
      </w:r>
      <w:r w:rsidR="00233210" w:rsidRPr="009537ED">
        <w:rPr>
          <w:rFonts w:ascii="Times New Roman" w:eastAsia="SimSun" w:hAnsi="Times New Roman"/>
          <w:i/>
          <w:color w:val="493118"/>
          <w:sz w:val="18"/>
          <w:szCs w:val="18"/>
          <w:lang w:eastAsia="zh-CN"/>
        </w:rPr>
        <w:t xml:space="preserve"> </w:t>
      </w:r>
      <w:r w:rsidRPr="009537ED">
        <w:rPr>
          <w:rFonts w:ascii="Times New Roman" w:eastAsia="SimSun" w:hAnsi="Times New Roman"/>
          <w:i/>
          <w:color w:val="493118"/>
          <w:sz w:val="18"/>
          <w:szCs w:val="18"/>
          <w:lang w:eastAsia="zh-CN"/>
        </w:rPr>
        <w:t>delegates</w:t>
      </w:r>
      <w:r w:rsidR="00233210" w:rsidRPr="009537ED">
        <w:rPr>
          <w:rFonts w:ascii="Times New Roman" w:eastAsia="SimSun" w:hAnsi="Times New Roman"/>
          <w:i/>
          <w:color w:val="493118"/>
          <w:sz w:val="18"/>
          <w:szCs w:val="18"/>
          <w:lang w:eastAsia="zh-CN"/>
        </w:rPr>
        <w:t xml:space="preserve"> </w:t>
      </w:r>
      <w:r w:rsidRPr="009537ED">
        <w:rPr>
          <w:rFonts w:ascii="Times New Roman" w:eastAsia="SimSun" w:hAnsi="Times New Roman"/>
          <w:i/>
          <w:color w:val="493118"/>
          <w:sz w:val="18"/>
          <w:szCs w:val="18"/>
          <w:lang w:eastAsia="zh-CN"/>
        </w:rPr>
        <w:t>on</w:t>
      </w:r>
      <w:r w:rsidR="00233210" w:rsidRPr="009537ED">
        <w:rPr>
          <w:rFonts w:ascii="Times New Roman" w:eastAsia="SimSun" w:hAnsi="Times New Roman"/>
          <w:i/>
          <w:color w:val="493118"/>
          <w:sz w:val="18"/>
          <w:szCs w:val="18"/>
          <w:lang w:eastAsia="zh-CN"/>
        </w:rPr>
        <w:t xml:space="preserve"> </w:t>
      </w:r>
      <w:r w:rsidRPr="009537ED">
        <w:rPr>
          <w:rFonts w:ascii="Times New Roman" w:eastAsia="SimSun" w:hAnsi="Times New Roman"/>
          <w:i/>
          <w:color w:val="493118"/>
          <w:sz w:val="18"/>
          <w:szCs w:val="18"/>
          <w:lang w:eastAsia="zh-CN"/>
        </w:rPr>
        <w:t>their</w:t>
      </w:r>
      <w:r w:rsidR="00233210" w:rsidRPr="009537ED">
        <w:rPr>
          <w:rFonts w:ascii="Times New Roman" w:eastAsia="SimSun" w:hAnsi="Times New Roman"/>
          <w:i/>
          <w:color w:val="493118"/>
          <w:sz w:val="18"/>
          <w:szCs w:val="18"/>
          <w:lang w:eastAsia="zh-CN"/>
        </w:rPr>
        <w:t xml:space="preserve"> </w:t>
      </w:r>
      <w:r w:rsidRPr="009537ED">
        <w:rPr>
          <w:rFonts w:ascii="Times New Roman" w:eastAsia="SimSun" w:hAnsi="Times New Roman"/>
          <w:i/>
          <w:color w:val="493118"/>
          <w:sz w:val="18"/>
          <w:szCs w:val="18"/>
          <w:lang w:eastAsia="zh-CN"/>
        </w:rPr>
        <w:t>behalf.</w:t>
      </w:r>
      <w:r w:rsidR="00233210" w:rsidRPr="009537ED">
        <w:rPr>
          <w:rFonts w:ascii="Times New Roman" w:eastAsia="SimSun" w:hAnsi="Times New Roman"/>
          <w:i/>
          <w:color w:val="493118"/>
          <w:sz w:val="18"/>
          <w:szCs w:val="18"/>
          <w:lang w:eastAsia="zh-CN"/>
        </w:rPr>
        <w:t xml:space="preserve"> </w:t>
      </w:r>
      <w:r w:rsidRPr="009537ED">
        <w:rPr>
          <w:rFonts w:ascii="Times New Roman" w:eastAsia="SimSun" w:hAnsi="Times New Roman"/>
          <w:i/>
          <w:color w:val="493118"/>
          <w:sz w:val="18"/>
          <w:szCs w:val="18"/>
          <w:lang w:eastAsia="zh-CN"/>
        </w:rPr>
        <w:t>In</w:t>
      </w:r>
      <w:r w:rsidR="00233210" w:rsidRPr="009537ED">
        <w:rPr>
          <w:rFonts w:ascii="Times New Roman" w:eastAsia="SimSun" w:hAnsi="Times New Roman"/>
          <w:i/>
          <w:color w:val="493118"/>
          <w:sz w:val="18"/>
          <w:szCs w:val="18"/>
          <w:lang w:eastAsia="zh-CN"/>
        </w:rPr>
        <w:t xml:space="preserve"> </w:t>
      </w:r>
      <w:r w:rsidRPr="009537ED">
        <w:rPr>
          <w:rFonts w:ascii="Times New Roman" w:eastAsia="SimSun" w:hAnsi="Times New Roman"/>
          <w:i/>
          <w:color w:val="493118"/>
          <w:sz w:val="18"/>
          <w:szCs w:val="18"/>
          <w:lang w:eastAsia="zh-CN"/>
        </w:rPr>
        <w:t>the</w:t>
      </w:r>
      <w:r w:rsidR="00233210" w:rsidRPr="009537ED">
        <w:rPr>
          <w:rFonts w:ascii="Times New Roman" w:eastAsia="SimSun" w:hAnsi="Times New Roman"/>
          <w:i/>
          <w:color w:val="493118"/>
          <w:sz w:val="18"/>
          <w:szCs w:val="18"/>
          <w:lang w:eastAsia="zh-CN"/>
        </w:rPr>
        <w:t xml:space="preserve"> </w:t>
      </w:r>
      <w:r w:rsidRPr="009537ED">
        <w:rPr>
          <w:rFonts w:ascii="Times New Roman" w:eastAsia="SimSun" w:hAnsi="Times New Roman"/>
          <w:i/>
          <w:color w:val="493118"/>
          <w:sz w:val="18"/>
          <w:szCs w:val="18"/>
          <w:lang w:eastAsia="zh-CN"/>
        </w:rPr>
        <w:t>event</w:t>
      </w:r>
      <w:r w:rsidR="00233210" w:rsidRPr="009537ED">
        <w:rPr>
          <w:rFonts w:ascii="Times New Roman" w:eastAsia="SimSun" w:hAnsi="Times New Roman"/>
          <w:i/>
          <w:color w:val="493118"/>
          <w:sz w:val="18"/>
          <w:szCs w:val="18"/>
          <w:lang w:eastAsia="zh-CN"/>
        </w:rPr>
        <w:t xml:space="preserve"> </w:t>
      </w:r>
      <w:r w:rsidRPr="009537ED">
        <w:rPr>
          <w:rFonts w:ascii="Times New Roman" w:eastAsia="SimSun" w:hAnsi="Times New Roman"/>
          <w:i/>
          <w:color w:val="493118"/>
          <w:sz w:val="18"/>
          <w:szCs w:val="18"/>
          <w:lang w:eastAsia="zh-CN"/>
        </w:rPr>
        <w:t>of</w:t>
      </w:r>
      <w:r w:rsidR="00233210" w:rsidRPr="009537ED">
        <w:rPr>
          <w:rFonts w:ascii="Times New Roman" w:eastAsia="SimSun" w:hAnsi="Times New Roman"/>
          <w:i/>
          <w:color w:val="493118"/>
          <w:sz w:val="18"/>
          <w:szCs w:val="18"/>
          <w:lang w:eastAsia="zh-CN"/>
        </w:rPr>
        <w:t xml:space="preserve"> </w:t>
      </w:r>
      <w:r w:rsidRPr="009537ED">
        <w:rPr>
          <w:rFonts w:ascii="Times New Roman" w:eastAsia="SimSun" w:hAnsi="Times New Roman"/>
          <w:i/>
          <w:color w:val="493118"/>
          <w:sz w:val="18"/>
          <w:szCs w:val="18"/>
          <w:lang w:eastAsia="zh-CN"/>
        </w:rPr>
        <w:t>technical</w:t>
      </w:r>
      <w:r w:rsidR="00233210" w:rsidRPr="009537ED">
        <w:rPr>
          <w:rFonts w:ascii="Times New Roman" w:eastAsia="SimSun" w:hAnsi="Times New Roman"/>
          <w:i/>
          <w:color w:val="493118"/>
          <w:sz w:val="18"/>
          <w:szCs w:val="18"/>
          <w:lang w:eastAsia="zh-CN"/>
        </w:rPr>
        <w:t xml:space="preserve"> </w:t>
      </w:r>
      <w:r w:rsidRPr="009537ED">
        <w:rPr>
          <w:rFonts w:ascii="Times New Roman" w:eastAsia="SimSun" w:hAnsi="Times New Roman"/>
          <w:i/>
          <w:color w:val="493118"/>
          <w:sz w:val="18"/>
          <w:szCs w:val="18"/>
          <w:lang w:eastAsia="zh-CN"/>
        </w:rPr>
        <w:t>difficulties</w:t>
      </w:r>
      <w:r w:rsidR="00233210" w:rsidRPr="009537ED">
        <w:rPr>
          <w:rFonts w:ascii="Times New Roman" w:eastAsia="SimSun" w:hAnsi="Times New Roman"/>
          <w:i/>
          <w:color w:val="493118"/>
          <w:sz w:val="18"/>
          <w:szCs w:val="18"/>
          <w:lang w:eastAsia="zh-CN"/>
        </w:rPr>
        <w:t xml:space="preserve"> </w:t>
      </w:r>
      <w:r w:rsidRPr="009537ED">
        <w:rPr>
          <w:rFonts w:ascii="Times New Roman" w:eastAsia="SimSun" w:hAnsi="Times New Roman"/>
          <w:i/>
          <w:color w:val="493118"/>
          <w:sz w:val="18"/>
          <w:szCs w:val="18"/>
          <w:lang w:eastAsia="zh-CN"/>
        </w:rPr>
        <w:t>preventing</w:t>
      </w:r>
      <w:r w:rsidR="00233210" w:rsidRPr="009537ED">
        <w:rPr>
          <w:rFonts w:ascii="Times New Roman" w:eastAsia="SimSun" w:hAnsi="Times New Roman"/>
          <w:i/>
          <w:color w:val="493118"/>
          <w:sz w:val="18"/>
          <w:szCs w:val="18"/>
          <w:lang w:eastAsia="zh-CN"/>
        </w:rPr>
        <w:t xml:space="preserve"> </w:t>
      </w:r>
      <w:r w:rsidRPr="009537ED">
        <w:rPr>
          <w:rFonts w:ascii="Times New Roman" w:eastAsia="SimSun" w:hAnsi="Times New Roman"/>
          <w:i/>
          <w:color w:val="493118"/>
          <w:sz w:val="18"/>
          <w:szCs w:val="18"/>
          <w:lang w:eastAsia="zh-CN"/>
        </w:rPr>
        <w:t>check-in,</w:t>
      </w:r>
      <w:r w:rsidR="00233210" w:rsidRPr="009537ED">
        <w:rPr>
          <w:rFonts w:ascii="Times New Roman" w:eastAsia="SimSun" w:hAnsi="Times New Roman"/>
          <w:i/>
          <w:color w:val="493118"/>
          <w:sz w:val="18"/>
          <w:szCs w:val="18"/>
          <w:lang w:eastAsia="zh-CN"/>
        </w:rPr>
        <w:t xml:space="preserve"> </w:t>
      </w:r>
      <w:r w:rsidRPr="009537ED">
        <w:rPr>
          <w:rFonts w:ascii="Times New Roman" w:eastAsia="SimSun" w:hAnsi="Times New Roman"/>
          <w:i/>
          <w:color w:val="493118"/>
          <w:sz w:val="18"/>
          <w:szCs w:val="18"/>
          <w:lang w:eastAsia="zh-CN"/>
        </w:rPr>
        <w:t>delegates</w:t>
      </w:r>
      <w:r w:rsidR="00233210" w:rsidRPr="009537ED">
        <w:rPr>
          <w:rFonts w:ascii="Times New Roman" w:eastAsia="SimSun" w:hAnsi="Times New Roman"/>
          <w:i/>
          <w:color w:val="493118"/>
          <w:sz w:val="18"/>
          <w:szCs w:val="18"/>
          <w:lang w:eastAsia="zh-CN"/>
        </w:rPr>
        <w:t xml:space="preserve"> </w:t>
      </w:r>
      <w:r w:rsidRPr="009537ED">
        <w:rPr>
          <w:rFonts w:ascii="Times New Roman" w:eastAsia="SimSun" w:hAnsi="Times New Roman"/>
          <w:i/>
          <w:color w:val="493118"/>
          <w:sz w:val="18"/>
          <w:szCs w:val="18"/>
          <w:lang w:eastAsia="zh-CN"/>
        </w:rPr>
        <w:t>should</w:t>
      </w:r>
      <w:r w:rsidR="00233210" w:rsidRPr="009537ED">
        <w:rPr>
          <w:rFonts w:ascii="Times New Roman" w:eastAsia="SimSun" w:hAnsi="Times New Roman"/>
          <w:i/>
          <w:color w:val="493118"/>
          <w:sz w:val="18"/>
          <w:szCs w:val="18"/>
          <w:lang w:eastAsia="zh-CN"/>
        </w:rPr>
        <w:t xml:space="preserve"> </w:t>
      </w:r>
      <w:r w:rsidRPr="009537ED">
        <w:rPr>
          <w:rFonts w:ascii="Times New Roman" w:eastAsia="SimSun" w:hAnsi="Times New Roman"/>
          <w:i/>
          <w:color w:val="493118"/>
          <w:sz w:val="18"/>
          <w:szCs w:val="18"/>
          <w:lang w:eastAsia="zh-CN"/>
        </w:rPr>
        <w:t>present</w:t>
      </w:r>
      <w:r w:rsidR="00233210" w:rsidRPr="009537ED">
        <w:rPr>
          <w:rFonts w:ascii="Times New Roman" w:eastAsia="SimSun" w:hAnsi="Times New Roman"/>
          <w:i/>
          <w:color w:val="493118"/>
          <w:sz w:val="18"/>
          <w:szCs w:val="18"/>
          <w:lang w:eastAsia="zh-CN"/>
        </w:rPr>
        <w:t xml:space="preserve"> </w:t>
      </w:r>
      <w:r w:rsidRPr="009537ED">
        <w:rPr>
          <w:rFonts w:ascii="Times New Roman" w:eastAsia="SimSun" w:hAnsi="Times New Roman"/>
          <w:i/>
          <w:color w:val="493118"/>
          <w:sz w:val="18"/>
          <w:szCs w:val="18"/>
          <w:lang w:eastAsia="zh-CN"/>
        </w:rPr>
        <w:t>themselves</w:t>
      </w:r>
      <w:r w:rsidR="00233210" w:rsidRPr="009537ED">
        <w:rPr>
          <w:rFonts w:ascii="Times New Roman" w:eastAsia="SimSun" w:hAnsi="Times New Roman"/>
          <w:i/>
          <w:color w:val="493118"/>
          <w:sz w:val="18"/>
          <w:szCs w:val="18"/>
          <w:lang w:eastAsia="zh-CN"/>
        </w:rPr>
        <w:t xml:space="preserve"> </w:t>
      </w:r>
      <w:r w:rsidRPr="009537ED">
        <w:rPr>
          <w:rFonts w:ascii="Times New Roman" w:eastAsia="SimSun" w:hAnsi="Times New Roman"/>
          <w:i/>
          <w:color w:val="493118"/>
          <w:sz w:val="18"/>
          <w:szCs w:val="18"/>
          <w:lang w:eastAsia="zh-CN"/>
        </w:rPr>
        <w:t>in</w:t>
      </w:r>
      <w:r w:rsidR="00233210" w:rsidRPr="009537ED">
        <w:rPr>
          <w:rFonts w:ascii="Times New Roman" w:eastAsia="SimSun" w:hAnsi="Times New Roman"/>
          <w:i/>
          <w:color w:val="493118"/>
          <w:sz w:val="18"/>
          <w:szCs w:val="18"/>
          <w:lang w:eastAsia="zh-CN"/>
        </w:rPr>
        <w:t xml:space="preserve"> </w:t>
      </w:r>
      <w:r w:rsidRPr="009537ED">
        <w:rPr>
          <w:rFonts w:ascii="Times New Roman" w:eastAsia="SimSun" w:hAnsi="Times New Roman"/>
          <w:i/>
          <w:color w:val="493118"/>
          <w:sz w:val="18"/>
          <w:szCs w:val="18"/>
          <w:lang w:eastAsia="zh-CN"/>
        </w:rPr>
        <w:t>person</w:t>
      </w:r>
      <w:r w:rsidR="00233210" w:rsidRPr="009537ED">
        <w:rPr>
          <w:rFonts w:ascii="Times New Roman" w:eastAsia="SimSun" w:hAnsi="Times New Roman"/>
          <w:i/>
          <w:color w:val="493118"/>
          <w:sz w:val="18"/>
          <w:szCs w:val="18"/>
          <w:lang w:eastAsia="zh-CN"/>
        </w:rPr>
        <w:t xml:space="preserve"> </w:t>
      </w:r>
      <w:r w:rsidRPr="009537ED">
        <w:rPr>
          <w:rFonts w:ascii="Times New Roman" w:eastAsia="SimSun" w:hAnsi="Times New Roman"/>
          <w:i/>
          <w:color w:val="493118"/>
          <w:sz w:val="18"/>
          <w:szCs w:val="18"/>
          <w:lang w:eastAsia="zh-CN"/>
        </w:rPr>
        <w:t>to</w:t>
      </w:r>
      <w:r w:rsidR="00233210" w:rsidRPr="009537ED">
        <w:rPr>
          <w:rFonts w:ascii="Times New Roman" w:eastAsia="SimSun" w:hAnsi="Times New Roman"/>
          <w:i/>
          <w:color w:val="493118"/>
          <w:sz w:val="18"/>
          <w:szCs w:val="18"/>
          <w:lang w:eastAsia="zh-CN"/>
        </w:rPr>
        <w:t xml:space="preserve"> </w:t>
      </w:r>
      <w:r w:rsidRPr="009537ED">
        <w:rPr>
          <w:rFonts w:ascii="Times New Roman" w:eastAsia="SimSun" w:hAnsi="Times New Roman"/>
          <w:i/>
          <w:color w:val="493118"/>
          <w:sz w:val="18"/>
          <w:szCs w:val="18"/>
          <w:lang w:eastAsia="zh-CN"/>
        </w:rPr>
        <w:t>the</w:t>
      </w:r>
      <w:r w:rsidR="00233210" w:rsidRPr="009537ED">
        <w:rPr>
          <w:rFonts w:ascii="Times New Roman" w:eastAsia="SimSun" w:hAnsi="Times New Roman"/>
          <w:i/>
          <w:color w:val="493118"/>
          <w:sz w:val="18"/>
          <w:szCs w:val="18"/>
          <w:lang w:eastAsia="zh-CN"/>
        </w:rPr>
        <w:t xml:space="preserve"> </w:t>
      </w:r>
      <w:r w:rsidRPr="009537ED">
        <w:rPr>
          <w:rFonts w:ascii="Times New Roman" w:eastAsia="SimSun" w:hAnsi="Times New Roman"/>
          <w:i/>
          <w:color w:val="493118"/>
          <w:sz w:val="18"/>
          <w:szCs w:val="18"/>
          <w:lang w:eastAsia="zh-CN"/>
        </w:rPr>
        <w:t>Secretary.</w:t>
      </w:r>
    </w:p>
    <w:p w14:paraId="48BA562A" w14:textId="77777777" w:rsidR="00F97C21" w:rsidRPr="009537ED" w:rsidRDefault="00F97C21" w:rsidP="00F97C21">
      <w:pPr>
        <w:pStyle w:val="Heading2"/>
      </w:pPr>
      <w:bookmarkStart w:id="9" w:name="_Toc95921357"/>
      <w:bookmarkStart w:id="10" w:name="_Toc159250971"/>
      <w:r w:rsidRPr="009537ED">
        <w:t>Recording of RAN1 Meeting</w:t>
      </w:r>
      <w:bookmarkEnd w:id="9"/>
      <w:bookmarkEnd w:id="10"/>
    </w:p>
    <w:p w14:paraId="425818C0" w14:textId="1F6668AA" w:rsidR="00F97C21" w:rsidRPr="009537ED" w:rsidRDefault="00F97C21" w:rsidP="002803EC">
      <w:pPr>
        <w:rPr>
          <w:sz w:val="18"/>
        </w:rPr>
      </w:pPr>
      <w:r w:rsidRPr="009537ED">
        <w:rPr>
          <w:b/>
          <w:sz w:val="18"/>
        </w:rPr>
        <w:t>Recording of the GoToWebinar sessions of the present meeting is strictly prohibited.</w:t>
      </w:r>
      <w:r w:rsidRPr="009537ED">
        <w:rPr>
          <w:sz w:val="18"/>
        </w:rPr>
        <w:t xml:space="preserve"> No individual or entity - including the speakers and/or the authors - may electronically record any portion of the meeting without prior written consent of the Chair and all the RAN1 meeting participants.</w:t>
      </w:r>
    </w:p>
    <w:p w14:paraId="2D179E03" w14:textId="77777777" w:rsidR="00D515F8" w:rsidRPr="009537ED" w:rsidRDefault="00D515F8" w:rsidP="00D515F8">
      <w:pPr>
        <w:pStyle w:val="Heading1"/>
      </w:pPr>
      <w:bookmarkStart w:id="11" w:name="_Toc159250972"/>
      <w:r w:rsidRPr="009537ED">
        <w:t>Approval of Agenda</w:t>
      </w:r>
      <w:bookmarkEnd w:id="11"/>
    </w:p>
    <w:p w14:paraId="6528FA99" w14:textId="257D0C0B" w:rsidR="00F74A6F" w:rsidRPr="009537ED" w:rsidRDefault="005A18DC" w:rsidP="00F74A6F">
      <w:pPr>
        <w:rPr>
          <w:b/>
          <w:bCs/>
          <w:lang w:eastAsia="x-none"/>
        </w:rPr>
      </w:pPr>
      <w:hyperlink r:id="rId12" w:history="1">
        <w:r w:rsidR="00AF7253">
          <w:rPr>
            <w:rStyle w:val="Hyperlink"/>
            <w:b/>
            <w:bCs/>
            <w:highlight w:val="green"/>
            <w:lang w:eastAsia="x-none"/>
          </w:rPr>
          <w:t>R1-2310780</w:t>
        </w:r>
      </w:hyperlink>
      <w:r w:rsidR="00F74A6F" w:rsidRPr="009537ED">
        <w:rPr>
          <w:b/>
          <w:bCs/>
          <w:lang w:eastAsia="x-none"/>
        </w:rPr>
        <w:tab/>
        <w:t>Draft Agenda of RAN1#115 meeting</w:t>
      </w:r>
      <w:r w:rsidR="00F74A6F" w:rsidRPr="009537ED">
        <w:rPr>
          <w:b/>
          <w:bCs/>
          <w:lang w:eastAsia="x-none"/>
        </w:rPr>
        <w:tab/>
        <w:t>RAN1 Chair</w:t>
      </w:r>
    </w:p>
    <w:p w14:paraId="1CA17E22" w14:textId="77777777" w:rsidR="00D515F8" w:rsidRPr="009537ED" w:rsidRDefault="00D515F8" w:rsidP="00D515F8">
      <w:pPr>
        <w:rPr>
          <w:lang w:eastAsia="x-none"/>
        </w:rPr>
      </w:pPr>
      <w:r w:rsidRPr="009537ED">
        <w:rPr>
          <w:b/>
          <w:bCs/>
          <w:lang w:eastAsia="x-none"/>
        </w:rPr>
        <w:t>Decision:</w:t>
      </w:r>
      <w:r w:rsidRPr="009537ED">
        <w:rPr>
          <w:lang w:eastAsia="x-none"/>
        </w:rPr>
        <w:t xml:space="preserve"> No comments, the agenda is approved.</w:t>
      </w:r>
    </w:p>
    <w:p w14:paraId="7A70A528" w14:textId="77777777" w:rsidR="00D515F8" w:rsidRPr="009537ED" w:rsidRDefault="00D515F8" w:rsidP="00D515F8">
      <w:pPr>
        <w:rPr>
          <w:lang w:eastAsia="x-none"/>
        </w:rPr>
      </w:pPr>
    </w:p>
    <w:p w14:paraId="4E7CE252" w14:textId="77777777" w:rsidR="00D515F8" w:rsidRPr="009537ED" w:rsidRDefault="00D515F8" w:rsidP="00D515F8">
      <w:pPr>
        <w:rPr>
          <w:lang w:eastAsia="x-none"/>
        </w:rPr>
      </w:pPr>
    </w:p>
    <w:p w14:paraId="2803481F" w14:textId="77777777" w:rsidR="00D515F8" w:rsidRPr="009537ED" w:rsidRDefault="00D515F8" w:rsidP="00D515F8">
      <w:pPr>
        <w:rPr>
          <w:lang w:eastAsia="x-none"/>
        </w:rPr>
      </w:pPr>
      <w:r w:rsidRPr="009537ED">
        <w:rPr>
          <w:lang w:eastAsia="x-none"/>
        </w:rPr>
        <w:t>In addition to the agenda, the following additional guidance is provided.</w:t>
      </w:r>
    </w:p>
    <w:p w14:paraId="7E278A94" w14:textId="5B6C83D0" w:rsidR="00F74A6F" w:rsidRPr="009537ED" w:rsidRDefault="005A18DC" w:rsidP="00F74A6F">
      <w:pPr>
        <w:rPr>
          <w:b/>
          <w:bCs/>
          <w:lang w:eastAsia="x-none"/>
        </w:rPr>
      </w:pPr>
      <w:hyperlink r:id="rId13" w:history="1">
        <w:r w:rsidR="00AF7253">
          <w:rPr>
            <w:rStyle w:val="Hyperlink"/>
            <w:b/>
            <w:bCs/>
            <w:lang w:eastAsia="x-none"/>
          </w:rPr>
          <w:t>R1-2310782</w:t>
        </w:r>
      </w:hyperlink>
      <w:r w:rsidR="00F74A6F" w:rsidRPr="009537ED">
        <w:rPr>
          <w:b/>
          <w:bCs/>
          <w:lang w:eastAsia="x-none"/>
        </w:rPr>
        <w:tab/>
        <w:t>RAN1#115 Meeting Timelines, Scope, Process</w:t>
      </w:r>
      <w:r w:rsidR="00F74A6F" w:rsidRPr="009537ED">
        <w:rPr>
          <w:b/>
          <w:bCs/>
          <w:lang w:eastAsia="x-none"/>
        </w:rPr>
        <w:tab/>
        <w:t>RAN1 Chair, ETSI MCC</w:t>
      </w:r>
    </w:p>
    <w:p w14:paraId="3D3ECBA7" w14:textId="25F8D5F6" w:rsidR="00D515F8" w:rsidRPr="009537ED" w:rsidRDefault="00D515F8" w:rsidP="002803EC">
      <w:pPr>
        <w:rPr>
          <w:szCs w:val="20"/>
        </w:rPr>
      </w:pPr>
      <w:r w:rsidRPr="009537ED">
        <w:rPr>
          <w:b/>
          <w:szCs w:val="20"/>
        </w:rPr>
        <w:t xml:space="preserve">Decision: </w:t>
      </w:r>
      <w:r w:rsidRPr="009537ED">
        <w:rPr>
          <w:szCs w:val="20"/>
        </w:rPr>
        <w:t>The document is noted for information.</w:t>
      </w:r>
    </w:p>
    <w:p w14:paraId="734DB425" w14:textId="3227E4CD" w:rsidR="00A90C29" w:rsidRPr="009537ED" w:rsidRDefault="00A90C29" w:rsidP="00CF357B">
      <w:pPr>
        <w:pStyle w:val="Heading1"/>
      </w:pPr>
      <w:bookmarkStart w:id="12" w:name="_Toc529013627"/>
      <w:bookmarkStart w:id="13" w:name="_Toc159250973"/>
      <w:r w:rsidRPr="009537ED">
        <w:t>Highlights</w:t>
      </w:r>
      <w:r w:rsidR="00233210" w:rsidRPr="009537ED">
        <w:t xml:space="preserve"> </w:t>
      </w:r>
      <w:r w:rsidRPr="009537ED">
        <w:t>from</w:t>
      </w:r>
      <w:r w:rsidR="00233210" w:rsidRPr="009537ED">
        <w:t xml:space="preserve"> </w:t>
      </w:r>
      <w:r w:rsidRPr="009537ED">
        <w:t>RAN</w:t>
      </w:r>
      <w:r w:rsidR="00233210" w:rsidRPr="009537ED">
        <w:t xml:space="preserve"> </w:t>
      </w:r>
      <w:r w:rsidRPr="009537ED">
        <w:t>plenary</w:t>
      </w:r>
      <w:bookmarkEnd w:id="12"/>
      <w:bookmarkEnd w:id="13"/>
    </w:p>
    <w:p w14:paraId="639A6E94" w14:textId="62AD1341" w:rsidR="00F74A6F" w:rsidRPr="009537ED" w:rsidRDefault="00F74A6F" w:rsidP="00F74A6F">
      <w:r w:rsidRPr="009537ED">
        <w:t>N</w:t>
      </w:r>
      <w:r w:rsidR="00835CB1" w:rsidRPr="009537ED">
        <w:t>ot applicable</w:t>
      </w:r>
      <w:r w:rsidRPr="009537ED">
        <w:t>.</w:t>
      </w:r>
    </w:p>
    <w:p w14:paraId="44C78E44" w14:textId="5F119850" w:rsidR="00D41604" w:rsidRPr="009537ED" w:rsidRDefault="00D41604" w:rsidP="00EC117B">
      <w:pPr>
        <w:pStyle w:val="Heading1"/>
      </w:pPr>
      <w:bookmarkStart w:id="14" w:name="_Toc525997442"/>
      <w:bookmarkStart w:id="15" w:name="_Toc159250974"/>
      <w:r w:rsidRPr="009537ED">
        <w:t>Approval</w:t>
      </w:r>
      <w:r w:rsidR="00233210" w:rsidRPr="009537ED">
        <w:t xml:space="preserve"> </w:t>
      </w:r>
      <w:r w:rsidRPr="009537ED">
        <w:t>of</w:t>
      </w:r>
      <w:r w:rsidR="00233210" w:rsidRPr="009537ED">
        <w:t xml:space="preserve"> </w:t>
      </w:r>
      <w:r w:rsidRPr="009537ED">
        <w:t>Minutes</w:t>
      </w:r>
      <w:r w:rsidR="00233210" w:rsidRPr="009537ED">
        <w:t xml:space="preserve"> </w:t>
      </w:r>
      <w:r w:rsidRPr="009537ED">
        <w:t>from</w:t>
      </w:r>
      <w:r w:rsidR="00233210" w:rsidRPr="009537ED">
        <w:t xml:space="preserve"> </w:t>
      </w:r>
      <w:r w:rsidRPr="009537ED">
        <w:t>previous</w:t>
      </w:r>
      <w:r w:rsidR="00233210" w:rsidRPr="009537ED">
        <w:t xml:space="preserve"> </w:t>
      </w:r>
      <w:r w:rsidRPr="009537ED">
        <w:t>meeting</w:t>
      </w:r>
      <w:bookmarkEnd w:id="14"/>
      <w:bookmarkEnd w:id="15"/>
    </w:p>
    <w:bookmarkStart w:id="16" w:name="_Toc529013629"/>
    <w:p w14:paraId="34CC6851" w14:textId="7B5D0767" w:rsidR="00F74A6F" w:rsidRPr="009537ED" w:rsidRDefault="00AF7253" w:rsidP="00F74A6F">
      <w:pPr>
        <w:rPr>
          <w:b/>
          <w:bCs/>
          <w:lang w:eastAsia="x-none"/>
        </w:rPr>
      </w:pPr>
      <w:r>
        <w:rPr>
          <w:b/>
          <w:bCs/>
          <w:highlight w:val="green"/>
          <w:lang w:eastAsia="x-none"/>
        </w:rPr>
        <w:fldChar w:fldCharType="begin"/>
      </w:r>
      <w:r>
        <w:rPr>
          <w:b/>
          <w:bCs/>
          <w:highlight w:val="green"/>
          <w:lang w:eastAsia="x-none"/>
        </w:rPr>
        <w:instrText>HYPERLINK "../Docs/R1-2310781.zip"</w:instrText>
      </w:r>
      <w:r>
        <w:rPr>
          <w:b/>
          <w:bCs/>
          <w:highlight w:val="green"/>
          <w:lang w:eastAsia="x-none"/>
        </w:rPr>
      </w:r>
      <w:r>
        <w:rPr>
          <w:b/>
          <w:bCs/>
          <w:highlight w:val="green"/>
          <w:lang w:eastAsia="x-none"/>
        </w:rPr>
        <w:fldChar w:fldCharType="separate"/>
      </w:r>
      <w:r>
        <w:rPr>
          <w:rStyle w:val="Hyperlink"/>
          <w:b/>
          <w:bCs/>
          <w:highlight w:val="green"/>
          <w:lang w:eastAsia="x-none"/>
        </w:rPr>
        <w:t>R1-2310781</w:t>
      </w:r>
      <w:r>
        <w:rPr>
          <w:b/>
          <w:bCs/>
          <w:highlight w:val="green"/>
          <w:lang w:eastAsia="x-none"/>
        </w:rPr>
        <w:fldChar w:fldCharType="end"/>
      </w:r>
      <w:r w:rsidR="00F74A6F" w:rsidRPr="009537ED">
        <w:rPr>
          <w:b/>
          <w:bCs/>
          <w:lang w:eastAsia="x-none"/>
        </w:rPr>
        <w:tab/>
        <w:t>Report of RAN1#114bis meeting</w:t>
      </w:r>
      <w:r w:rsidR="00F74A6F" w:rsidRPr="009537ED">
        <w:rPr>
          <w:b/>
          <w:bCs/>
          <w:lang w:eastAsia="x-none"/>
        </w:rPr>
        <w:tab/>
        <w:t>ETSI MCC</w:t>
      </w:r>
    </w:p>
    <w:p w14:paraId="25753A5D" w14:textId="2241CF40" w:rsidR="0040637E" w:rsidRPr="009537ED" w:rsidRDefault="00B73E09" w:rsidP="0040637E">
      <w:pPr>
        <w:rPr>
          <w:rFonts w:ascii="Times New Roman" w:eastAsia="SimSun" w:hAnsi="Times New Roman"/>
          <w:kern w:val="2"/>
          <w:szCs w:val="20"/>
        </w:rPr>
      </w:pPr>
      <w:r w:rsidRPr="009537ED">
        <w:rPr>
          <w:rFonts w:ascii="Times New Roman" w:eastAsia="SimSun" w:hAnsi="Times New Roman"/>
          <w:kern w:val="2"/>
          <w:szCs w:val="20"/>
        </w:rPr>
        <w:t>The</w:t>
      </w:r>
      <w:r w:rsidR="00233210" w:rsidRPr="009537ED">
        <w:rPr>
          <w:rFonts w:ascii="Times New Roman" w:eastAsia="SimSun" w:hAnsi="Times New Roman"/>
          <w:kern w:val="2"/>
          <w:szCs w:val="20"/>
        </w:rPr>
        <w:t xml:space="preserve"> </w:t>
      </w:r>
      <w:r w:rsidRPr="009537ED">
        <w:rPr>
          <w:rFonts w:ascii="Times New Roman" w:eastAsia="SimSun" w:hAnsi="Times New Roman"/>
          <w:kern w:val="2"/>
          <w:szCs w:val="20"/>
        </w:rPr>
        <w:t>document</w:t>
      </w:r>
      <w:r w:rsidR="00233210" w:rsidRPr="009537ED">
        <w:rPr>
          <w:rFonts w:ascii="Times New Roman" w:eastAsia="SimSun" w:hAnsi="Times New Roman"/>
          <w:kern w:val="2"/>
          <w:szCs w:val="20"/>
        </w:rPr>
        <w:t xml:space="preserve"> </w:t>
      </w:r>
      <w:r w:rsidRPr="009537ED">
        <w:rPr>
          <w:rFonts w:ascii="Times New Roman" w:eastAsia="SimSun" w:hAnsi="Times New Roman"/>
          <w:kern w:val="2"/>
          <w:szCs w:val="20"/>
        </w:rPr>
        <w:t>was</w:t>
      </w:r>
      <w:r w:rsidR="00233210" w:rsidRPr="009537ED">
        <w:rPr>
          <w:rFonts w:ascii="Times New Roman" w:eastAsia="SimSun" w:hAnsi="Times New Roman"/>
          <w:kern w:val="2"/>
          <w:szCs w:val="20"/>
        </w:rPr>
        <w:t xml:space="preserve"> </w:t>
      </w:r>
      <w:r w:rsidRPr="009537ED">
        <w:rPr>
          <w:rFonts w:ascii="Times New Roman" w:eastAsia="SimSun" w:hAnsi="Times New Roman"/>
          <w:kern w:val="2"/>
          <w:szCs w:val="20"/>
        </w:rPr>
        <w:t>p</w:t>
      </w:r>
      <w:r w:rsidR="0031490D" w:rsidRPr="009537ED">
        <w:rPr>
          <w:rFonts w:ascii="Times New Roman" w:eastAsia="SimSun" w:hAnsi="Times New Roman"/>
          <w:kern w:val="2"/>
          <w:szCs w:val="20"/>
        </w:rPr>
        <w:t xml:space="preserve">resented </w:t>
      </w:r>
      <w:r w:rsidRPr="009537ED">
        <w:rPr>
          <w:rFonts w:ascii="Times New Roman" w:eastAsia="SimSun" w:hAnsi="Times New Roman"/>
          <w:kern w:val="2"/>
          <w:szCs w:val="20"/>
        </w:rPr>
        <w:t>by</w:t>
      </w:r>
      <w:r w:rsidR="00233210" w:rsidRPr="009537ED">
        <w:rPr>
          <w:rFonts w:ascii="Times New Roman" w:eastAsia="SimSun" w:hAnsi="Times New Roman"/>
          <w:kern w:val="2"/>
          <w:szCs w:val="20"/>
        </w:rPr>
        <w:t xml:space="preserve"> </w:t>
      </w:r>
      <w:r w:rsidRPr="009537ED">
        <w:rPr>
          <w:rFonts w:ascii="Times New Roman" w:eastAsia="SimSun" w:hAnsi="Times New Roman"/>
          <w:kern w:val="2"/>
          <w:szCs w:val="20"/>
        </w:rPr>
        <w:t>Patrick</w:t>
      </w:r>
      <w:r w:rsidR="00233210" w:rsidRPr="009537ED">
        <w:rPr>
          <w:rFonts w:ascii="Times New Roman" w:eastAsia="SimSun" w:hAnsi="Times New Roman"/>
          <w:kern w:val="2"/>
          <w:szCs w:val="20"/>
        </w:rPr>
        <w:t xml:space="preserve"> </w:t>
      </w:r>
      <w:r w:rsidRPr="009537ED">
        <w:rPr>
          <w:rFonts w:ascii="Times New Roman" w:eastAsia="SimSun" w:hAnsi="Times New Roman"/>
          <w:kern w:val="2"/>
          <w:szCs w:val="20"/>
        </w:rPr>
        <w:t>Merias</w:t>
      </w:r>
      <w:r w:rsidR="00233210" w:rsidRPr="009537ED">
        <w:rPr>
          <w:rFonts w:ascii="Times New Roman" w:eastAsia="SimSun" w:hAnsi="Times New Roman"/>
          <w:kern w:val="2"/>
          <w:szCs w:val="20"/>
        </w:rPr>
        <w:t xml:space="preserve"> </w:t>
      </w:r>
      <w:r w:rsidR="006519AD" w:rsidRPr="009537ED">
        <w:rPr>
          <w:rFonts w:ascii="Times New Roman" w:eastAsia="SimSun" w:hAnsi="Times New Roman"/>
          <w:kern w:val="2"/>
          <w:szCs w:val="20"/>
        </w:rPr>
        <w:t>-</w:t>
      </w:r>
      <w:r w:rsidR="00233210" w:rsidRPr="009537ED">
        <w:rPr>
          <w:rFonts w:ascii="Times New Roman" w:eastAsia="SimSun" w:hAnsi="Times New Roman"/>
          <w:kern w:val="2"/>
          <w:szCs w:val="20"/>
        </w:rPr>
        <w:t xml:space="preserve"> </w:t>
      </w:r>
      <w:r w:rsidRPr="009537ED">
        <w:rPr>
          <w:rFonts w:ascii="Times New Roman" w:eastAsia="SimSun" w:hAnsi="Times New Roman"/>
          <w:kern w:val="2"/>
          <w:szCs w:val="20"/>
        </w:rPr>
        <w:t>MCC</w:t>
      </w:r>
      <w:r w:rsidR="00233210" w:rsidRPr="009537ED">
        <w:rPr>
          <w:rFonts w:ascii="Times New Roman" w:eastAsia="SimSun" w:hAnsi="Times New Roman"/>
          <w:kern w:val="2"/>
          <w:szCs w:val="20"/>
        </w:rPr>
        <w:t xml:space="preserve"> </w:t>
      </w:r>
      <w:r w:rsidRPr="009537ED">
        <w:rPr>
          <w:rFonts w:ascii="Times New Roman" w:eastAsia="SimSun" w:hAnsi="Times New Roman"/>
          <w:kern w:val="2"/>
          <w:szCs w:val="20"/>
        </w:rPr>
        <w:t>(ETSI</w:t>
      </w:r>
      <w:r w:rsidR="00233210" w:rsidRPr="009537ED">
        <w:rPr>
          <w:rFonts w:ascii="Times New Roman" w:eastAsia="SimSun" w:hAnsi="Times New Roman"/>
          <w:kern w:val="2"/>
          <w:szCs w:val="20"/>
        </w:rPr>
        <w:t xml:space="preserve"> </w:t>
      </w:r>
      <w:r w:rsidRPr="009537ED">
        <w:rPr>
          <w:rFonts w:ascii="Times New Roman" w:eastAsia="SimSun" w:hAnsi="Times New Roman"/>
          <w:kern w:val="2"/>
          <w:szCs w:val="20"/>
        </w:rPr>
        <w:t>Mobile</w:t>
      </w:r>
      <w:r w:rsidR="00233210" w:rsidRPr="009537ED">
        <w:rPr>
          <w:rFonts w:ascii="Times New Roman" w:eastAsia="SimSun" w:hAnsi="Times New Roman"/>
          <w:kern w:val="2"/>
          <w:szCs w:val="20"/>
        </w:rPr>
        <w:t xml:space="preserve"> </w:t>
      </w:r>
      <w:r w:rsidRPr="009537ED">
        <w:rPr>
          <w:rFonts w:ascii="Times New Roman" w:eastAsia="SimSun" w:hAnsi="Times New Roman"/>
          <w:kern w:val="2"/>
          <w:szCs w:val="20"/>
        </w:rPr>
        <w:t>Competence</w:t>
      </w:r>
      <w:r w:rsidR="00233210" w:rsidRPr="009537ED">
        <w:rPr>
          <w:rFonts w:ascii="Times New Roman" w:eastAsia="SimSun" w:hAnsi="Times New Roman"/>
          <w:kern w:val="2"/>
          <w:szCs w:val="20"/>
        </w:rPr>
        <w:t xml:space="preserve"> </w:t>
      </w:r>
      <w:r w:rsidRPr="009537ED">
        <w:rPr>
          <w:rFonts w:ascii="Times New Roman" w:eastAsia="SimSun" w:hAnsi="Times New Roman"/>
          <w:kern w:val="2"/>
          <w:szCs w:val="20"/>
        </w:rPr>
        <w:t>Center)</w:t>
      </w:r>
      <w:r w:rsidR="00233210" w:rsidRPr="009537ED">
        <w:rPr>
          <w:rFonts w:ascii="Times New Roman" w:eastAsia="SimSun" w:hAnsi="Times New Roman"/>
          <w:kern w:val="2"/>
          <w:szCs w:val="20"/>
        </w:rPr>
        <w:t xml:space="preserve"> </w:t>
      </w:r>
      <w:r w:rsidRPr="009537ED">
        <w:rPr>
          <w:rFonts w:ascii="Times New Roman" w:eastAsia="SimSun" w:hAnsi="Times New Roman"/>
          <w:kern w:val="2"/>
          <w:szCs w:val="20"/>
        </w:rPr>
        <w:t>and</w:t>
      </w:r>
      <w:r w:rsidR="00233210" w:rsidRPr="009537ED">
        <w:rPr>
          <w:rFonts w:ascii="Times New Roman" w:eastAsia="SimSun" w:hAnsi="Times New Roman"/>
          <w:kern w:val="2"/>
          <w:szCs w:val="20"/>
        </w:rPr>
        <w:t xml:space="preserve"> </w:t>
      </w:r>
      <w:r w:rsidR="0040637E" w:rsidRPr="009537ED">
        <w:rPr>
          <w:rFonts w:ascii="Times New Roman" w:eastAsia="SimSun" w:hAnsi="Times New Roman"/>
          <w:kern w:val="2"/>
          <w:szCs w:val="20"/>
        </w:rPr>
        <w:t>provides</w:t>
      </w:r>
      <w:r w:rsidR="00233210" w:rsidRPr="009537ED">
        <w:rPr>
          <w:rFonts w:ascii="Times New Roman" w:eastAsia="SimSun" w:hAnsi="Times New Roman"/>
          <w:kern w:val="2"/>
          <w:szCs w:val="20"/>
        </w:rPr>
        <w:t xml:space="preserve"> </w:t>
      </w:r>
      <w:r w:rsidR="0040637E" w:rsidRPr="009537ED">
        <w:rPr>
          <w:rFonts w:ascii="Times New Roman" w:eastAsia="SimSun" w:hAnsi="Times New Roman"/>
          <w:kern w:val="2"/>
          <w:szCs w:val="20"/>
        </w:rPr>
        <w:t>the</w:t>
      </w:r>
      <w:r w:rsidR="00233210" w:rsidRPr="009537ED">
        <w:rPr>
          <w:rFonts w:ascii="Times New Roman" w:eastAsia="SimSun" w:hAnsi="Times New Roman"/>
          <w:kern w:val="2"/>
          <w:szCs w:val="20"/>
        </w:rPr>
        <w:t xml:space="preserve"> </w:t>
      </w:r>
      <w:r w:rsidR="0040637E" w:rsidRPr="009537ED">
        <w:rPr>
          <w:rFonts w:ascii="Times New Roman" w:eastAsia="SimSun" w:hAnsi="Times New Roman"/>
          <w:kern w:val="2"/>
          <w:szCs w:val="20"/>
        </w:rPr>
        <w:t>report</w:t>
      </w:r>
      <w:r w:rsidR="00233210" w:rsidRPr="009537ED">
        <w:rPr>
          <w:rFonts w:ascii="Times New Roman" w:eastAsia="SimSun" w:hAnsi="Times New Roman"/>
          <w:kern w:val="2"/>
          <w:szCs w:val="20"/>
        </w:rPr>
        <w:t xml:space="preserve"> </w:t>
      </w:r>
      <w:r w:rsidR="0040637E" w:rsidRPr="009537ED">
        <w:rPr>
          <w:rFonts w:ascii="Times New Roman" w:eastAsia="SimSun" w:hAnsi="Times New Roman"/>
          <w:kern w:val="2"/>
          <w:szCs w:val="20"/>
        </w:rPr>
        <w:t>from</w:t>
      </w:r>
      <w:r w:rsidR="00233210" w:rsidRPr="009537ED">
        <w:rPr>
          <w:rFonts w:ascii="Times New Roman" w:eastAsia="SimSun" w:hAnsi="Times New Roman"/>
          <w:kern w:val="2"/>
          <w:szCs w:val="20"/>
        </w:rPr>
        <w:t xml:space="preserve"> </w:t>
      </w:r>
      <w:r w:rsidR="0040637E" w:rsidRPr="009537ED">
        <w:rPr>
          <w:rFonts w:ascii="Times New Roman" w:eastAsia="SimSun" w:hAnsi="Times New Roman"/>
          <w:kern w:val="2"/>
          <w:szCs w:val="20"/>
        </w:rPr>
        <w:t>RAN1</w:t>
      </w:r>
      <w:r w:rsidR="00AE38CD" w:rsidRPr="009537ED">
        <w:rPr>
          <w:rFonts w:ascii="Times New Roman" w:eastAsia="SimSun" w:hAnsi="Times New Roman"/>
          <w:kern w:val="2"/>
          <w:szCs w:val="20"/>
        </w:rPr>
        <w:t>#11</w:t>
      </w:r>
      <w:r w:rsidR="00F74A6F" w:rsidRPr="009537ED">
        <w:rPr>
          <w:rFonts w:ascii="Times New Roman" w:eastAsia="SimSun" w:hAnsi="Times New Roman"/>
          <w:kern w:val="2"/>
          <w:szCs w:val="20"/>
        </w:rPr>
        <w:t>4bis</w:t>
      </w:r>
      <w:r w:rsidR="004B1399" w:rsidRPr="009537ED">
        <w:rPr>
          <w:rFonts w:ascii="Times New Roman" w:eastAsia="SimSun" w:hAnsi="Times New Roman"/>
          <w:kern w:val="2"/>
          <w:szCs w:val="20"/>
        </w:rPr>
        <w:t xml:space="preserve"> </w:t>
      </w:r>
      <w:r w:rsidR="0040637E" w:rsidRPr="009537ED">
        <w:rPr>
          <w:rFonts w:ascii="Times New Roman" w:eastAsia="SimSun" w:hAnsi="Times New Roman"/>
          <w:kern w:val="2"/>
          <w:szCs w:val="20"/>
        </w:rPr>
        <w:t>meeting</w:t>
      </w:r>
      <w:r w:rsidR="00D87748" w:rsidRPr="009537ED">
        <w:rPr>
          <w:rFonts w:ascii="Times New Roman" w:eastAsia="SimSun" w:hAnsi="Times New Roman"/>
          <w:kern w:val="2"/>
          <w:szCs w:val="20"/>
        </w:rPr>
        <w:t xml:space="preserve"> in </w:t>
      </w:r>
      <w:r w:rsidR="00F74A6F" w:rsidRPr="009537ED">
        <w:rPr>
          <w:rFonts w:ascii="Times New Roman" w:eastAsia="SimSun" w:hAnsi="Times New Roman"/>
          <w:kern w:val="2"/>
          <w:szCs w:val="20"/>
        </w:rPr>
        <w:t>Xiamen</w:t>
      </w:r>
      <w:r w:rsidR="0040637E" w:rsidRPr="009537ED">
        <w:rPr>
          <w:rFonts w:ascii="Times New Roman" w:eastAsia="SimSun" w:hAnsi="Times New Roman"/>
          <w:kern w:val="2"/>
          <w:szCs w:val="20"/>
        </w:rPr>
        <w:t>.</w:t>
      </w:r>
    </w:p>
    <w:p w14:paraId="007BBA9A" w14:textId="4953315F" w:rsidR="004B1399" w:rsidRPr="009537ED" w:rsidRDefault="004B1399" w:rsidP="004B1399">
      <w:pPr>
        <w:rPr>
          <w:lang w:eastAsia="x-none"/>
        </w:rPr>
      </w:pPr>
      <w:r w:rsidRPr="009537ED">
        <w:rPr>
          <w:b/>
          <w:bCs/>
          <w:lang w:eastAsia="x-none"/>
        </w:rPr>
        <w:t>Decision:</w:t>
      </w:r>
      <w:r w:rsidRPr="009537ED">
        <w:rPr>
          <w:lang w:eastAsia="x-none"/>
        </w:rPr>
        <w:t xml:space="preserve"> No comments, the </w:t>
      </w:r>
      <w:r w:rsidR="00503C2A" w:rsidRPr="009537ED">
        <w:rPr>
          <w:lang w:eastAsia="x-none"/>
        </w:rPr>
        <w:t>report</w:t>
      </w:r>
      <w:r w:rsidRPr="009537ED">
        <w:rPr>
          <w:lang w:eastAsia="x-none"/>
        </w:rPr>
        <w:t xml:space="preserve"> is approved.</w:t>
      </w:r>
    </w:p>
    <w:p w14:paraId="7DEEE286" w14:textId="4F81B62D" w:rsidR="005E5BE4" w:rsidRPr="009537ED" w:rsidRDefault="005E5BE4" w:rsidP="005C677F">
      <w:pPr>
        <w:pStyle w:val="Heading1"/>
      </w:pPr>
      <w:bookmarkStart w:id="17" w:name="_Toc159250975"/>
      <w:r w:rsidRPr="009537ED">
        <w:t>Incoming</w:t>
      </w:r>
      <w:r w:rsidR="00233210" w:rsidRPr="009537ED">
        <w:t xml:space="preserve"> </w:t>
      </w:r>
      <w:r w:rsidRPr="009537ED">
        <w:t>Liaison</w:t>
      </w:r>
      <w:r w:rsidR="00233210" w:rsidRPr="009537ED">
        <w:t xml:space="preserve"> </w:t>
      </w:r>
      <w:r w:rsidRPr="009537ED">
        <w:t>Statements</w:t>
      </w:r>
      <w:bookmarkEnd w:id="16"/>
      <w:bookmarkEnd w:id="17"/>
    </w:p>
    <w:p w14:paraId="3D9B18E1" w14:textId="005496B2" w:rsidR="00835CB1" w:rsidRPr="00C93C68" w:rsidRDefault="00F74A6F" w:rsidP="00F74A6F">
      <w:pPr>
        <w:rPr>
          <w:lang w:eastAsia="x-none"/>
        </w:rPr>
      </w:pPr>
      <w:bookmarkStart w:id="18" w:name="_Toc101357132"/>
      <w:r w:rsidRPr="00C93C68">
        <w:rPr>
          <w:lang w:eastAsia="x-none"/>
        </w:rPr>
        <w:t>[115-Incoming_LSs]</w:t>
      </w:r>
      <w:r w:rsidR="00835CB1" w:rsidRPr="00C93C68">
        <w:rPr>
          <w:lang w:eastAsia="x-none"/>
        </w:rPr>
        <w:t xml:space="preserve"> – RAN1 Chair</w:t>
      </w:r>
    </w:p>
    <w:p w14:paraId="2E05F92C" w14:textId="7A7D5356" w:rsidR="00F74A6F" w:rsidRPr="00C93C68" w:rsidRDefault="00F74A6F" w:rsidP="00F74A6F">
      <w:pPr>
        <w:rPr>
          <w:lang w:eastAsia="x-none"/>
        </w:rPr>
      </w:pPr>
      <w:r w:rsidRPr="00C93C68">
        <w:rPr>
          <w:lang w:eastAsia="x-none"/>
        </w:rPr>
        <w:t>Email discussion on handling of incoming LSs</w:t>
      </w:r>
    </w:p>
    <w:p w14:paraId="3634E7CC" w14:textId="77777777" w:rsidR="00F74A6F" w:rsidRPr="00C93C68" w:rsidRDefault="00F74A6F" w:rsidP="00F74A6F">
      <w:pPr>
        <w:numPr>
          <w:ilvl w:val="0"/>
          <w:numId w:val="69"/>
        </w:numPr>
        <w:rPr>
          <w:lang w:eastAsia="x-none"/>
        </w:rPr>
      </w:pPr>
      <w:r w:rsidRPr="00C93C68">
        <w:rPr>
          <w:lang w:eastAsia="x-none"/>
        </w:rPr>
        <w:t xml:space="preserve">To be used for sharing updates on online/offline schedule, details on what is to be discussed in online/offline sessions, tdoc number of the moderator summary for online session, etc </w:t>
      </w:r>
    </w:p>
    <w:p w14:paraId="26AD5CA5" w14:textId="77777777" w:rsidR="00F74A6F" w:rsidRPr="009537ED" w:rsidRDefault="00F74A6F" w:rsidP="00F74A6F">
      <w:pPr>
        <w:rPr>
          <w:lang w:eastAsia="x-none"/>
        </w:rPr>
      </w:pPr>
    </w:p>
    <w:p w14:paraId="63C7F01E" w14:textId="77777777" w:rsidR="00F74A6F" w:rsidRPr="009537ED" w:rsidRDefault="00F74A6F" w:rsidP="00F74A6F">
      <w:pPr>
        <w:rPr>
          <w:lang w:eastAsia="x-none"/>
        </w:rPr>
      </w:pPr>
    </w:p>
    <w:p w14:paraId="04E89421" w14:textId="77777777" w:rsidR="00835CB1" w:rsidRPr="009537ED" w:rsidRDefault="00835CB1" w:rsidP="00835CB1">
      <w:pPr>
        <w:rPr>
          <w:b/>
          <w:lang w:eastAsia="x-none"/>
        </w:rPr>
      </w:pPr>
      <w:r w:rsidRPr="009537ED">
        <w:rPr>
          <w:b/>
          <w:lang w:eastAsia="ko-KR"/>
        </w:rPr>
        <w:t xml:space="preserve">Rel-18 IMT2020 NTN self evaluation </w:t>
      </w:r>
    </w:p>
    <w:p w14:paraId="6987711B" w14:textId="6E71A244" w:rsidR="00835CB1" w:rsidRPr="009537ED" w:rsidRDefault="005A18DC" w:rsidP="00835CB1">
      <w:pPr>
        <w:rPr>
          <w:b/>
          <w:bCs/>
          <w:lang w:eastAsia="x-none"/>
        </w:rPr>
      </w:pPr>
      <w:hyperlink r:id="rId14" w:history="1">
        <w:r w:rsidR="00AF7253">
          <w:rPr>
            <w:rStyle w:val="Hyperlink"/>
            <w:b/>
            <w:bCs/>
            <w:lang w:eastAsia="x-none"/>
          </w:rPr>
          <w:t>R1-2310784</w:t>
        </w:r>
      </w:hyperlink>
      <w:r w:rsidR="00835CB1" w:rsidRPr="009537ED">
        <w:rPr>
          <w:b/>
          <w:bCs/>
          <w:lang w:eastAsia="x-none"/>
        </w:rPr>
        <w:tab/>
        <w:t>LS to RAN1 on RAN2 progress of NTN Self Evaluation</w:t>
      </w:r>
      <w:r w:rsidR="00835CB1" w:rsidRPr="009537ED">
        <w:rPr>
          <w:b/>
          <w:bCs/>
          <w:lang w:eastAsia="x-none"/>
        </w:rPr>
        <w:tab/>
        <w:t>RAN2, Ericsson</w:t>
      </w:r>
    </w:p>
    <w:p w14:paraId="1CDA6728" w14:textId="77777777" w:rsidR="00835CB1" w:rsidRPr="009537ED" w:rsidRDefault="00835CB1" w:rsidP="00835CB1">
      <w:pPr>
        <w:rPr>
          <w:b/>
          <w:lang w:eastAsia="x-none"/>
        </w:rPr>
      </w:pPr>
      <w:r w:rsidRPr="009537ED">
        <w:rPr>
          <w:b/>
          <w:lang w:eastAsia="x-none"/>
        </w:rPr>
        <w:t>Relevant tdocs:</w:t>
      </w:r>
    </w:p>
    <w:p w14:paraId="01B4379C" w14:textId="26338F51" w:rsidR="00835CB1" w:rsidRPr="009537ED" w:rsidRDefault="005A18DC" w:rsidP="00835CB1">
      <w:pPr>
        <w:rPr>
          <w:lang w:eastAsia="x-none"/>
        </w:rPr>
      </w:pPr>
      <w:hyperlink r:id="rId15" w:history="1">
        <w:r w:rsidR="00AF7253">
          <w:rPr>
            <w:rStyle w:val="Hyperlink"/>
            <w:lang w:eastAsia="x-none"/>
          </w:rPr>
          <w:t>R1-2311260</w:t>
        </w:r>
      </w:hyperlink>
      <w:r w:rsidR="00835CB1" w:rsidRPr="009537ED">
        <w:rPr>
          <w:lang w:eastAsia="x-none"/>
        </w:rPr>
        <w:tab/>
        <w:t>Discussion on RAN2 LS on NTN Self Evaluation</w:t>
      </w:r>
      <w:r w:rsidR="00835CB1" w:rsidRPr="009537ED">
        <w:rPr>
          <w:lang w:eastAsia="x-none"/>
        </w:rPr>
        <w:tab/>
        <w:t>OPPO</w:t>
      </w:r>
    </w:p>
    <w:p w14:paraId="79C6197C" w14:textId="65FD0F79" w:rsidR="00835CB1" w:rsidRPr="009537ED" w:rsidRDefault="005A18DC" w:rsidP="00835CB1">
      <w:pPr>
        <w:rPr>
          <w:lang w:eastAsia="x-none"/>
        </w:rPr>
      </w:pPr>
      <w:hyperlink r:id="rId16" w:history="1">
        <w:r w:rsidR="00AF7253">
          <w:rPr>
            <w:rStyle w:val="Hyperlink"/>
            <w:lang w:eastAsia="x-none"/>
          </w:rPr>
          <w:t>R1-2311261</w:t>
        </w:r>
      </w:hyperlink>
      <w:r w:rsidR="00835CB1" w:rsidRPr="009537ED">
        <w:rPr>
          <w:lang w:eastAsia="x-none"/>
        </w:rPr>
        <w:tab/>
        <w:t>Draft reply LS on NTN Self Evaluation</w:t>
      </w:r>
      <w:r w:rsidR="00835CB1" w:rsidRPr="009537ED">
        <w:rPr>
          <w:lang w:eastAsia="x-none"/>
        </w:rPr>
        <w:tab/>
        <w:t>OPPO</w:t>
      </w:r>
    </w:p>
    <w:p w14:paraId="3FCCA4A2" w14:textId="6E583625" w:rsidR="00835CB1" w:rsidRPr="009537ED" w:rsidRDefault="005A18DC" w:rsidP="00835CB1">
      <w:pPr>
        <w:rPr>
          <w:lang w:eastAsia="x-none"/>
        </w:rPr>
      </w:pPr>
      <w:hyperlink r:id="rId17" w:history="1">
        <w:r w:rsidR="00AF7253">
          <w:rPr>
            <w:rStyle w:val="Hyperlink"/>
            <w:lang w:eastAsia="x-none"/>
          </w:rPr>
          <w:t>R1-2312175</w:t>
        </w:r>
      </w:hyperlink>
      <w:r w:rsidR="00835CB1" w:rsidRPr="009537ED">
        <w:rPr>
          <w:lang w:eastAsia="x-none"/>
        </w:rPr>
        <w:tab/>
        <w:t>[Draft] Reply LS on RAN2 progress of NTN Self Evaluation</w:t>
      </w:r>
      <w:r w:rsidR="00835CB1" w:rsidRPr="009537ED">
        <w:rPr>
          <w:lang w:eastAsia="x-none"/>
        </w:rPr>
        <w:tab/>
        <w:t>Ericsson</w:t>
      </w:r>
    </w:p>
    <w:p w14:paraId="099FF3FF" w14:textId="08E700FE" w:rsidR="002300A1" w:rsidRPr="00CA2BAF" w:rsidRDefault="002300A1" w:rsidP="002300A1">
      <w:pPr>
        <w:rPr>
          <w:lang w:eastAsia="x-none"/>
        </w:rPr>
      </w:pPr>
      <w:r w:rsidRPr="009537ED">
        <w:rPr>
          <w:b/>
          <w:bCs/>
          <w:lang w:eastAsia="x-none"/>
        </w:rPr>
        <w:t>Decision:</w:t>
      </w:r>
      <w:r w:rsidRPr="009537ED">
        <w:rPr>
          <w:lang w:eastAsia="x-none"/>
        </w:rPr>
        <w:t xml:space="preserve"> RAN2 has shared their text proposal for TR37.911. Check if there are any issues. To be handled in agenda item 8.15. </w:t>
      </w:r>
      <w:r w:rsidRPr="00CA2BAF">
        <w:rPr>
          <w:lang w:eastAsia="x-none"/>
        </w:rPr>
        <w:t>To be moderated by Asbjorn (Ericsson).</w:t>
      </w:r>
    </w:p>
    <w:p w14:paraId="58279315" w14:textId="77777777" w:rsidR="002300A1" w:rsidRPr="009537ED" w:rsidRDefault="002300A1" w:rsidP="00835CB1">
      <w:pPr>
        <w:rPr>
          <w:lang w:eastAsia="x-none"/>
        </w:rPr>
      </w:pPr>
    </w:p>
    <w:p w14:paraId="01CBCB7F" w14:textId="49E24306" w:rsidR="00835CB1" w:rsidRPr="009537ED" w:rsidRDefault="002300A1" w:rsidP="00835CB1">
      <w:pPr>
        <w:rPr>
          <w:lang w:eastAsia="x-none"/>
        </w:rPr>
      </w:pPr>
      <w:r w:rsidRPr="009537ED">
        <w:rPr>
          <w:lang w:eastAsia="x-none"/>
        </w:rPr>
        <w:t>-----------------------</w:t>
      </w:r>
    </w:p>
    <w:p w14:paraId="024A75F9" w14:textId="77777777" w:rsidR="00835CB1" w:rsidRPr="009537ED" w:rsidRDefault="00835CB1" w:rsidP="00835CB1">
      <w:pPr>
        <w:rPr>
          <w:b/>
          <w:lang w:eastAsia="x-none"/>
        </w:rPr>
      </w:pPr>
      <w:r w:rsidRPr="009537ED">
        <w:rPr>
          <w:b/>
          <w:lang w:eastAsia="x-none"/>
        </w:rPr>
        <w:t>Rel-18 Positioning</w:t>
      </w:r>
    </w:p>
    <w:p w14:paraId="7D9C72B9" w14:textId="79395200" w:rsidR="00835CB1" w:rsidRPr="009537ED" w:rsidRDefault="005A18DC" w:rsidP="00835CB1">
      <w:pPr>
        <w:rPr>
          <w:b/>
          <w:bCs/>
          <w:lang w:eastAsia="x-none"/>
        </w:rPr>
      </w:pPr>
      <w:hyperlink r:id="rId18" w:history="1">
        <w:r w:rsidR="00AF7253">
          <w:rPr>
            <w:rStyle w:val="Hyperlink"/>
            <w:b/>
            <w:bCs/>
            <w:lang w:eastAsia="x-none"/>
          </w:rPr>
          <w:t>R1-2310785</w:t>
        </w:r>
      </w:hyperlink>
      <w:r w:rsidR="00835CB1" w:rsidRPr="009537ED">
        <w:rPr>
          <w:b/>
          <w:bCs/>
          <w:lang w:eastAsia="x-none"/>
        </w:rPr>
        <w:tab/>
        <w:t>LS on extended PRS and SRS periodicity</w:t>
      </w:r>
      <w:r w:rsidR="00835CB1" w:rsidRPr="009537ED">
        <w:rPr>
          <w:b/>
          <w:bCs/>
          <w:lang w:eastAsia="x-none"/>
        </w:rPr>
        <w:tab/>
        <w:t>RAN2, Huawei</w:t>
      </w:r>
    </w:p>
    <w:p w14:paraId="590B460D" w14:textId="77777777" w:rsidR="0033475B" w:rsidRPr="009537ED" w:rsidRDefault="0033475B" w:rsidP="0033475B">
      <w:pPr>
        <w:rPr>
          <w:b/>
          <w:lang w:eastAsia="x-none"/>
        </w:rPr>
      </w:pPr>
      <w:r w:rsidRPr="009537ED">
        <w:rPr>
          <w:b/>
          <w:lang w:eastAsia="x-none"/>
        </w:rPr>
        <w:t>Relevant tdocs:</w:t>
      </w:r>
    </w:p>
    <w:p w14:paraId="4C549408" w14:textId="67790895" w:rsidR="0033475B" w:rsidRPr="009537ED" w:rsidRDefault="005A18DC" w:rsidP="0033475B">
      <w:pPr>
        <w:rPr>
          <w:lang w:eastAsia="x-none"/>
        </w:rPr>
      </w:pPr>
      <w:hyperlink r:id="rId19" w:history="1">
        <w:r w:rsidR="00AF7253">
          <w:rPr>
            <w:rStyle w:val="Hyperlink"/>
            <w:lang w:eastAsia="x-none"/>
          </w:rPr>
          <w:t>R1-2312146</w:t>
        </w:r>
      </w:hyperlink>
      <w:r w:rsidR="0033475B" w:rsidRPr="009537ED">
        <w:rPr>
          <w:lang w:eastAsia="x-none"/>
        </w:rPr>
        <w:tab/>
        <w:t>Discussion on PRS/SRS periodicity larger than 10.24s</w:t>
      </w:r>
      <w:r w:rsidR="0033475B" w:rsidRPr="009537ED">
        <w:rPr>
          <w:lang w:eastAsia="x-none"/>
        </w:rPr>
        <w:tab/>
        <w:t>Huawei, HiSilicon</w:t>
      </w:r>
    </w:p>
    <w:p w14:paraId="63BFE7E5" w14:textId="1F6A5468" w:rsidR="0033475B" w:rsidRPr="009537ED" w:rsidRDefault="005A18DC" w:rsidP="0033475B">
      <w:pPr>
        <w:rPr>
          <w:lang w:eastAsia="x-none"/>
        </w:rPr>
      </w:pPr>
      <w:hyperlink r:id="rId20" w:history="1">
        <w:r w:rsidR="00AF7253">
          <w:rPr>
            <w:rStyle w:val="Hyperlink"/>
            <w:lang w:eastAsia="x-none"/>
          </w:rPr>
          <w:t>R1-2312182</w:t>
        </w:r>
      </w:hyperlink>
      <w:r w:rsidR="0033475B" w:rsidRPr="009537ED">
        <w:rPr>
          <w:lang w:eastAsia="x-none"/>
        </w:rPr>
        <w:tab/>
        <w:t>Discussion on LS on extended PRS and SRS periodicity</w:t>
      </w:r>
      <w:r w:rsidR="0033475B" w:rsidRPr="009537ED">
        <w:rPr>
          <w:lang w:eastAsia="x-none"/>
        </w:rPr>
        <w:tab/>
        <w:t>Ericsson</w:t>
      </w:r>
    </w:p>
    <w:p w14:paraId="75EA2CEB" w14:textId="0F9A212F" w:rsidR="00835CB1" w:rsidRPr="009537ED" w:rsidRDefault="002300A1" w:rsidP="00835CB1">
      <w:pPr>
        <w:rPr>
          <w:lang w:eastAsia="x-none"/>
        </w:rPr>
      </w:pPr>
      <w:r w:rsidRPr="009537ED">
        <w:rPr>
          <w:b/>
          <w:bCs/>
          <w:lang w:eastAsia="x-none"/>
        </w:rPr>
        <w:t>Decision:</w:t>
      </w:r>
      <w:r w:rsidRPr="009537ED">
        <w:rPr>
          <w:lang w:eastAsia="x-none"/>
        </w:rPr>
        <w:t xml:space="preserve"> </w:t>
      </w:r>
      <w:r w:rsidR="00835CB1" w:rsidRPr="009537ED">
        <w:rPr>
          <w:lang w:eastAsia="x-none"/>
        </w:rPr>
        <w:t>RAN2 response to RAN1 LS (</w:t>
      </w:r>
      <w:hyperlink r:id="rId21" w:history="1">
        <w:r w:rsidR="00AF7253">
          <w:rPr>
            <w:rStyle w:val="Hyperlink"/>
            <w:lang w:eastAsia="x-none"/>
          </w:rPr>
          <w:t>R1-2308571</w:t>
        </w:r>
      </w:hyperlink>
      <w:r w:rsidR="00835CB1" w:rsidRPr="009537ED">
        <w:rPr>
          <w:lang w:eastAsia="x-none"/>
        </w:rPr>
        <w:t>) from RAN1#114. To be taken into account as part of discussions in agenda item 8.3.</w:t>
      </w:r>
    </w:p>
    <w:p w14:paraId="33CA2689" w14:textId="77777777" w:rsidR="00835CB1" w:rsidRPr="009537ED" w:rsidRDefault="00835CB1" w:rsidP="00835CB1">
      <w:pPr>
        <w:rPr>
          <w:lang w:eastAsia="x-none"/>
        </w:rPr>
      </w:pPr>
    </w:p>
    <w:p w14:paraId="63489ED8" w14:textId="77777777" w:rsidR="002300A1" w:rsidRPr="009537ED" w:rsidRDefault="002300A1" w:rsidP="00835CB1">
      <w:pPr>
        <w:rPr>
          <w:lang w:eastAsia="x-none"/>
        </w:rPr>
      </w:pPr>
    </w:p>
    <w:p w14:paraId="6D3536A6" w14:textId="117C7C27" w:rsidR="00835CB1" w:rsidRPr="009537ED" w:rsidRDefault="005A18DC" w:rsidP="00835CB1">
      <w:pPr>
        <w:rPr>
          <w:b/>
          <w:bCs/>
          <w:lang w:eastAsia="x-none"/>
        </w:rPr>
      </w:pPr>
      <w:hyperlink r:id="rId22" w:history="1">
        <w:r w:rsidR="00AF7253">
          <w:rPr>
            <w:rStyle w:val="Hyperlink"/>
            <w:b/>
            <w:bCs/>
            <w:lang w:eastAsia="x-none"/>
          </w:rPr>
          <w:t>R1-2310786</w:t>
        </w:r>
      </w:hyperlink>
      <w:r w:rsidR="00835CB1" w:rsidRPr="009537ED">
        <w:rPr>
          <w:b/>
          <w:bCs/>
          <w:lang w:eastAsia="x-none"/>
        </w:rPr>
        <w:tab/>
        <w:t>Reply LS on the resource selection window for Scheme 2 in a dedicated resource pool for positioning</w:t>
      </w:r>
      <w:r w:rsidR="00835CB1" w:rsidRPr="009537ED">
        <w:rPr>
          <w:b/>
          <w:bCs/>
          <w:lang w:eastAsia="x-none"/>
        </w:rPr>
        <w:tab/>
        <w:t>RAN2, Qualcomm</w:t>
      </w:r>
    </w:p>
    <w:p w14:paraId="2D7E7930" w14:textId="4225B592" w:rsidR="00835CB1" w:rsidRPr="009537ED" w:rsidRDefault="001058C5" w:rsidP="00835CB1">
      <w:pPr>
        <w:rPr>
          <w:lang w:eastAsia="x-none"/>
        </w:rPr>
      </w:pPr>
      <w:r w:rsidRPr="009537ED">
        <w:rPr>
          <w:b/>
          <w:bCs/>
          <w:lang w:eastAsia="x-none"/>
        </w:rPr>
        <w:lastRenderedPageBreak/>
        <w:t>Decision:</w:t>
      </w:r>
      <w:r w:rsidRPr="009537ED">
        <w:rPr>
          <w:lang w:eastAsia="x-none"/>
        </w:rPr>
        <w:t xml:space="preserve"> </w:t>
      </w:r>
      <w:r w:rsidR="00835CB1" w:rsidRPr="009537ED">
        <w:rPr>
          <w:lang w:eastAsia="x-none"/>
        </w:rPr>
        <w:t>RAN2 response to RAN1 LS (</w:t>
      </w:r>
      <w:hyperlink r:id="rId23" w:history="1">
        <w:r w:rsidR="00AF7253">
          <w:rPr>
            <w:rStyle w:val="Hyperlink"/>
            <w:lang w:eastAsia="x-none"/>
          </w:rPr>
          <w:t>R1-2308651</w:t>
        </w:r>
      </w:hyperlink>
      <w:r w:rsidR="00835CB1" w:rsidRPr="009537ED">
        <w:rPr>
          <w:lang w:eastAsia="x-none"/>
        </w:rPr>
        <w:t>) from RAN1#114. To be taken into account as part of discussions in agenda item 8.3.</w:t>
      </w:r>
    </w:p>
    <w:p w14:paraId="67FBFC14" w14:textId="77777777" w:rsidR="00835CB1" w:rsidRPr="009537ED" w:rsidRDefault="00835CB1" w:rsidP="00835CB1">
      <w:pPr>
        <w:rPr>
          <w:lang w:eastAsia="x-none"/>
        </w:rPr>
      </w:pPr>
    </w:p>
    <w:p w14:paraId="54B7521A" w14:textId="77777777" w:rsidR="001058C5" w:rsidRPr="009537ED" w:rsidRDefault="001058C5" w:rsidP="00835CB1">
      <w:pPr>
        <w:rPr>
          <w:lang w:eastAsia="x-none"/>
        </w:rPr>
      </w:pPr>
    </w:p>
    <w:p w14:paraId="49027CB5" w14:textId="4434DEAC" w:rsidR="00835CB1" w:rsidRPr="009537ED" w:rsidRDefault="005A18DC" w:rsidP="00835CB1">
      <w:pPr>
        <w:rPr>
          <w:b/>
          <w:bCs/>
          <w:lang w:eastAsia="x-none"/>
        </w:rPr>
      </w:pPr>
      <w:hyperlink r:id="rId24" w:history="1">
        <w:r w:rsidR="00AF7253">
          <w:rPr>
            <w:rStyle w:val="Hyperlink"/>
            <w:b/>
            <w:bCs/>
            <w:lang w:eastAsia="x-none"/>
          </w:rPr>
          <w:t>R1-2310787</w:t>
        </w:r>
      </w:hyperlink>
      <w:r w:rsidR="00835CB1" w:rsidRPr="009537ED">
        <w:rPr>
          <w:b/>
          <w:bCs/>
          <w:lang w:eastAsia="x-none"/>
        </w:rPr>
        <w:tab/>
        <w:t>LS on request for clarifications on RedCap positioning, carrier phase positioning, and bandwidth aggregation for positioning</w:t>
      </w:r>
      <w:r w:rsidR="00835CB1" w:rsidRPr="009537ED">
        <w:rPr>
          <w:b/>
          <w:bCs/>
          <w:lang w:eastAsia="x-none"/>
        </w:rPr>
        <w:tab/>
        <w:t>RAN2, Nokia</w:t>
      </w:r>
    </w:p>
    <w:p w14:paraId="142429A3" w14:textId="77777777" w:rsidR="00835CB1" w:rsidRPr="009537ED" w:rsidRDefault="00835CB1" w:rsidP="00835CB1">
      <w:pPr>
        <w:rPr>
          <w:b/>
          <w:lang w:eastAsia="x-none"/>
        </w:rPr>
      </w:pPr>
      <w:r w:rsidRPr="009537ED">
        <w:rPr>
          <w:b/>
          <w:lang w:eastAsia="x-none"/>
        </w:rPr>
        <w:t>Relevant tdocs:</w:t>
      </w:r>
    </w:p>
    <w:p w14:paraId="4A5DFD00" w14:textId="78DA51C2" w:rsidR="00835CB1" w:rsidRPr="009537ED" w:rsidRDefault="005A18DC" w:rsidP="00835CB1">
      <w:pPr>
        <w:rPr>
          <w:lang w:eastAsia="x-none"/>
        </w:rPr>
      </w:pPr>
      <w:hyperlink r:id="rId25" w:history="1">
        <w:r w:rsidR="00AF7253">
          <w:rPr>
            <w:rStyle w:val="Hyperlink"/>
            <w:lang w:eastAsia="x-none"/>
          </w:rPr>
          <w:t>R1-2310982</w:t>
        </w:r>
      </w:hyperlink>
      <w:r w:rsidR="00835CB1" w:rsidRPr="009537ED">
        <w:rPr>
          <w:lang w:eastAsia="x-none"/>
        </w:rPr>
        <w:tab/>
        <w:t>Draft Reply LS on request for clarifications on RedCap positioning, carrier phase positioning, and bandwidth aggregation for positioning</w:t>
      </w:r>
      <w:r w:rsidR="00835CB1" w:rsidRPr="009537ED">
        <w:rPr>
          <w:lang w:eastAsia="x-none"/>
        </w:rPr>
        <w:tab/>
        <w:t>Nokia, Nokia Shanghai Bell</w:t>
      </w:r>
    </w:p>
    <w:p w14:paraId="12BFB7FA" w14:textId="4F71443B" w:rsidR="00835CB1" w:rsidRPr="009537ED" w:rsidRDefault="005A18DC" w:rsidP="00835CB1">
      <w:pPr>
        <w:rPr>
          <w:lang w:eastAsia="x-none"/>
        </w:rPr>
      </w:pPr>
      <w:hyperlink r:id="rId26" w:history="1">
        <w:r w:rsidR="00AF7253">
          <w:rPr>
            <w:rStyle w:val="Hyperlink"/>
            <w:lang w:eastAsia="x-none"/>
          </w:rPr>
          <w:t>R1-2311061</w:t>
        </w:r>
      </w:hyperlink>
      <w:r w:rsidR="00835CB1" w:rsidRPr="009537ED">
        <w:rPr>
          <w:lang w:eastAsia="x-none"/>
        </w:rPr>
        <w:tab/>
        <w:t>Draft reply LS on clarifications on RedCap positioning, carrier phase positioning, and bandwidth aggregation for positioning</w:t>
      </w:r>
      <w:r w:rsidR="00835CB1" w:rsidRPr="009537ED">
        <w:rPr>
          <w:lang w:eastAsia="x-none"/>
        </w:rPr>
        <w:tab/>
        <w:t>vivo</w:t>
      </w:r>
    </w:p>
    <w:p w14:paraId="6001B687" w14:textId="7DE4F976" w:rsidR="00835CB1" w:rsidRPr="009537ED" w:rsidRDefault="005A18DC" w:rsidP="00835CB1">
      <w:pPr>
        <w:rPr>
          <w:lang w:eastAsia="x-none"/>
        </w:rPr>
      </w:pPr>
      <w:hyperlink r:id="rId27" w:history="1">
        <w:r w:rsidR="00AF7253">
          <w:rPr>
            <w:rStyle w:val="Hyperlink"/>
            <w:lang w:eastAsia="x-none"/>
          </w:rPr>
          <w:t>R1-2311132</w:t>
        </w:r>
      </w:hyperlink>
      <w:r w:rsidR="00835CB1" w:rsidRPr="009537ED">
        <w:rPr>
          <w:lang w:eastAsia="x-none"/>
        </w:rPr>
        <w:tab/>
        <w:t>DRAFT Reply LS on request for clarifications on RedCap positioning, carrier phase positioning, and bandwidth aggregation for positioning</w:t>
      </w:r>
      <w:r w:rsidR="00835CB1" w:rsidRPr="009537ED">
        <w:rPr>
          <w:lang w:eastAsia="x-none"/>
        </w:rPr>
        <w:tab/>
        <w:t>Intel Corporation</w:t>
      </w:r>
    </w:p>
    <w:p w14:paraId="3CC44889" w14:textId="5F5234C4" w:rsidR="00835CB1" w:rsidRPr="009537ED" w:rsidRDefault="005A18DC" w:rsidP="00835CB1">
      <w:pPr>
        <w:rPr>
          <w:lang w:eastAsia="x-none"/>
        </w:rPr>
      </w:pPr>
      <w:hyperlink r:id="rId28" w:history="1">
        <w:r w:rsidR="00AF7253">
          <w:rPr>
            <w:rStyle w:val="Hyperlink"/>
            <w:lang w:eastAsia="x-none"/>
          </w:rPr>
          <w:t>R1-2311153</w:t>
        </w:r>
      </w:hyperlink>
      <w:r w:rsidR="00835CB1" w:rsidRPr="009537ED">
        <w:rPr>
          <w:lang w:eastAsia="x-none"/>
        </w:rPr>
        <w:tab/>
        <w:t>Discussion on LS on request for clarifications on RedCap positioning, carrier phase positioning, and bandwidth aggregation for positioning</w:t>
      </w:r>
      <w:r w:rsidR="00835CB1" w:rsidRPr="009537ED">
        <w:rPr>
          <w:lang w:eastAsia="x-none"/>
        </w:rPr>
        <w:tab/>
        <w:t>Spreadtrum Communications</w:t>
      </w:r>
    </w:p>
    <w:p w14:paraId="511F9466" w14:textId="3EBACAFC" w:rsidR="00835CB1" w:rsidRPr="009537ED" w:rsidRDefault="005A18DC" w:rsidP="00835CB1">
      <w:pPr>
        <w:rPr>
          <w:lang w:eastAsia="x-none"/>
        </w:rPr>
      </w:pPr>
      <w:hyperlink r:id="rId29" w:history="1">
        <w:r w:rsidR="00AF7253">
          <w:rPr>
            <w:rStyle w:val="Hyperlink"/>
            <w:lang w:eastAsia="x-none"/>
          </w:rPr>
          <w:t>R1-2311228</w:t>
        </w:r>
      </w:hyperlink>
      <w:r w:rsidR="00835CB1" w:rsidRPr="009537ED">
        <w:rPr>
          <w:lang w:eastAsia="x-none"/>
        </w:rPr>
        <w:tab/>
        <w:t>Discussion on request for clarifications on carrier phase positioning and bandwidth aggregation for positioning</w:t>
      </w:r>
      <w:r w:rsidR="00835CB1" w:rsidRPr="009537ED">
        <w:rPr>
          <w:lang w:eastAsia="x-none"/>
        </w:rPr>
        <w:tab/>
        <w:t>OPPO</w:t>
      </w:r>
    </w:p>
    <w:p w14:paraId="438CE4B9" w14:textId="12E647EA" w:rsidR="00835CB1" w:rsidRPr="009537ED" w:rsidRDefault="005A18DC" w:rsidP="00835CB1">
      <w:pPr>
        <w:rPr>
          <w:lang w:eastAsia="x-none"/>
        </w:rPr>
      </w:pPr>
      <w:hyperlink r:id="rId30" w:history="1">
        <w:r w:rsidR="00AF7253">
          <w:rPr>
            <w:rStyle w:val="Hyperlink"/>
            <w:lang w:eastAsia="x-none"/>
          </w:rPr>
          <w:t>R1-2311229</w:t>
        </w:r>
      </w:hyperlink>
      <w:r w:rsidR="00835CB1" w:rsidRPr="009537ED">
        <w:rPr>
          <w:lang w:eastAsia="x-none"/>
        </w:rPr>
        <w:tab/>
        <w:t>Discussion on request for clarifications on RedCap UE positioning</w:t>
      </w:r>
      <w:r w:rsidR="00835CB1" w:rsidRPr="009537ED">
        <w:rPr>
          <w:lang w:eastAsia="x-none"/>
        </w:rPr>
        <w:tab/>
        <w:t>OPPO</w:t>
      </w:r>
    </w:p>
    <w:p w14:paraId="0F2F549E" w14:textId="42EE51CC" w:rsidR="00835CB1" w:rsidRPr="009537ED" w:rsidRDefault="005A18DC" w:rsidP="00835CB1">
      <w:pPr>
        <w:rPr>
          <w:lang w:eastAsia="x-none"/>
        </w:rPr>
      </w:pPr>
      <w:hyperlink r:id="rId31" w:history="1">
        <w:r w:rsidR="00AF7253">
          <w:rPr>
            <w:rStyle w:val="Hyperlink"/>
            <w:lang w:eastAsia="x-none"/>
          </w:rPr>
          <w:t>R1-2311285</w:t>
        </w:r>
      </w:hyperlink>
      <w:r w:rsidR="00835CB1" w:rsidRPr="009537ED">
        <w:rPr>
          <w:lang w:eastAsia="x-none"/>
        </w:rPr>
        <w:tab/>
        <w:t>Discussion on request for clarifications on RedCap positioning, carrier phase positioning, and bandwidth aggregation for positioning</w:t>
      </w:r>
      <w:r w:rsidR="00835CB1" w:rsidRPr="009537ED">
        <w:rPr>
          <w:lang w:eastAsia="x-none"/>
        </w:rPr>
        <w:tab/>
        <w:t>CATT</w:t>
      </w:r>
    </w:p>
    <w:p w14:paraId="25CDE8D9" w14:textId="173A4D0C" w:rsidR="00835CB1" w:rsidRPr="009537ED" w:rsidRDefault="005A18DC" w:rsidP="00835CB1">
      <w:pPr>
        <w:rPr>
          <w:lang w:eastAsia="x-none"/>
        </w:rPr>
      </w:pPr>
      <w:hyperlink r:id="rId32" w:history="1">
        <w:r w:rsidR="00AF7253">
          <w:rPr>
            <w:rStyle w:val="Hyperlink"/>
            <w:lang w:eastAsia="x-none"/>
          </w:rPr>
          <w:t>R1-2311286</w:t>
        </w:r>
      </w:hyperlink>
      <w:r w:rsidR="00835CB1" w:rsidRPr="009537ED">
        <w:rPr>
          <w:lang w:eastAsia="x-none"/>
        </w:rPr>
        <w:tab/>
        <w:t>Draft reply LS on request for clarifications on RedCap positioning, carrier phase positioning, and bandwidth aggregation for positioning</w:t>
      </w:r>
      <w:r w:rsidR="00835CB1" w:rsidRPr="009537ED">
        <w:rPr>
          <w:lang w:eastAsia="x-none"/>
        </w:rPr>
        <w:tab/>
        <w:t>CATT</w:t>
      </w:r>
    </w:p>
    <w:p w14:paraId="676A9031" w14:textId="1C81EF31" w:rsidR="00835CB1" w:rsidRPr="009537ED" w:rsidRDefault="005A18DC" w:rsidP="00835CB1">
      <w:pPr>
        <w:rPr>
          <w:lang w:eastAsia="x-none"/>
        </w:rPr>
      </w:pPr>
      <w:hyperlink r:id="rId33" w:history="1">
        <w:r w:rsidR="00AF7253">
          <w:rPr>
            <w:rStyle w:val="Hyperlink"/>
            <w:lang w:eastAsia="x-none"/>
          </w:rPr>
          <w:t>R1-2311376</w:t>
        </w:r>
      </w:hyperlink>
      <w:r w:rsidR="00835CB1" w:rsidRPr="009537ED">
        <w:rPr>
          <w:lang w:eastAsia="x-none"/>
        </w:rPr>
        <w:tab/>
        <w:t>Draft reply LS for clarifications on  RedCap positioning, carrier phase positioning and bandwidth aggregation for positioning</w:t>
      </w:r>
      <w:r w:rsidR="00835CB1" w:rsidRPr="009537ED">
        <w:rPr>
          <w:lang w:eastAsia="x-none"/>
        </w:rPr>
        <w:tab/>
        <w:t>xiaomi</w:t>
      </w:r>
    </w:p>
    <w:p w14:paraId="7E2A8CF3" w14:textId="41C21273" w:rsidR="00835CB1" w:rsidRPr="009537ED" w:rsidRDefault="005A18DC" w:rsidP="00835CB1">
      <w:pPr>
        <w:rPr>
          <w:lang w:eastAsia="x-none"/>
        </w:rPr>
      </w:pPr>
      <w:hyperlink r:id="rId34" w:history="1">
        <w:r w:rsidR="00AF7253">
          <w:rPr>
            <w:rStyle w:val="Hyperlink"/>
            <w:lang w:eastAsia="x-none"/>
          </w:rPr>
          <w:t>R1-2311454</w:t>
        </w:r>
      </w:hyperlink>
      <w:r w:rsidR="00835CB1" w:rsidRPr="009537ED">
        <w:rPr>
          <w:lang w:eastAsia="x-none"/>
        </w:rPr>
        <w:tab/>
        <w:t>Draft reply LS on clarifications for RedCap positioning, carrier phase positioning, and bandwidth aggregation for positioning</w:t>
      </w:r>
      <w:r w:rsidR="00835CB1" w:rsidRPr="009537ED">
        <w:rPr>
          <w:lang w:eastAsia="x-none"/>
        </w:rPr>
        <w:tab/>
        <w:t>ZTE</w:t>
      </w:r>
    </w:p>
    <w:p w14:paraId="416E4EB9" w14:textId="6507E782" w:rsidR="00835CB1" w:rsidRPr="009537ED" w:rsidRDefault="005A18DC" w:rsidP="00835CB1">
      <w:pPr>
        <w:rPr>
          <w:lang w:eastAsia="x-none"/>
        </w:rPr>
      </w:pPr>
      <w:hyperlink r:id="rId35" w:history="1">
        <w:r w:rsidR="00AF7253">
          <w:rPr>
            <w:rStyle w:val="Hyperlink"/>
            <w:lang w:eastAsia="x-none"/>
          </w:rPr>
          <w:t>R1-2311455</w:t>
        </w:r>
      </w:hyperlink>
      <w:r w:rsidR="00835CB1" w:rsidRPr="009537ED">
        <w:rPr>
          <w:lang w:eastAsia="x-none"/>
        </w:rPr>
        <w:tab/>
        <w:t xml:space="preserve">Discussion on issues of CPP and bandwidth aggregation positioning for RAN2 LS </w:t>
      </w:r>
      <w:hyperlink r:id="rId36" w:history="1">
        <w:r w:rsidR="00AF7253">
          <w:rPr>
            <w:rStyle w:val="Hyperlink"/>
            <w:lang w:eastAsia="x-none"/>
          </w:rPr>
          <w:t>R1-2310787</w:t>
        </w:r>
      </w:hyperlink>
      <w:r w:rsidR="00835CB1" w:rsidRPr="009537ED">
        <w:rPr>
          <w:lang w:eastAsia="x-none"/>
        </w:rPr>
        <w:tab/>
        <w:t>ZTE</w:t>
      </w:r>
    </w:p>
    <w:p w14:paraId="3FCEE034" w14:textId="05629122" w:rsidR="00835CB1" w:rsidRPr="009537ED" w:rsidRDefault="005A18DC" w:rsidP="00835CB1">
      <w:pPr>
        <w:rPr>
          <w:lang w:eastAsia="x-none"/>
        </w:rPr>
      </w:pPr>
      <w:hyperlink r:id="rId37" w:history="1">
        <w:r w:rsidR="00AF7253">
          <w:rPr>
            <w:rStyle w:val="Hyperlink"/>
            <w:lang w:eastAsia="x-none"/>
          </w:rPr>
          <w:t>R1-2311471</w:t>
        </w:r>
      </w:hyperlink>
      <w:r w:rsidR="00835CB1" w:rsidRPr="009537ED">
        <w:rPr>
          <w:lang w:eastAsia="x-none"/>
        </w:rPr>
        <w:tab/>
        <w:t>Discussion on RAN2 LS for clarifications on positioning</w:t>
      </w:r>
      <w:r w:rsidR="00835CB1" w:rsidRPr="009537ED">
        <w:rPr>
          <w:lang w:eastAsia="x-none"/>
        </w:rPr>
        <w:tab/>
        <w:t>CMCC</w:t>
      </w:r>
    </w:p>
    <w:p w14:paraId="7E7C124A" w14:textId="60AE2174" w:rsidR="00835CB1" w:rsidRPr="009537ED" w:rsidRDefault="005A18DC" w:rsidP="00835CB1">
      <w:pPr>
        <w:rPr>
          <w:lang w:eastAsia="x-none"/>
        </w:rPr>
      </w:pPr>
      <w:hyperlink r:id="rId38" w:history="1">
        <w:r w:rsidR="00AF7253">
          <w:rPr>
            <w:rStyle w:val="Hyperlink"/>
            <w:lang w:eastAsia="x-none"/>
          </w:rPr>
          <w:t>R1-2311594</w:t>
        </w:r>
      </w:hyperlink>
      <w:r w:rsidR="00835CB1" w:rsidRPr="009537ED">
        <w:rPr>
          <w:lang w:eastAsia="x-none"/>
        </w:rPr>
        <w:tab/>
        <w:t>Discussion on LS reply for clarifications on RedCap positioning, carrier phase positioning, and bandwidth aggregation for positioning</w:t>
      </w:r>
      <w:r w:rsidR="00835CB1" w:rsidRPr="009537ED">
        <w:rPr>
          <w:lang w:eastAsia="x-none"/>
        </w:rPr>
        <w:tab/>
        <w:t>InterDigital, Inc.</w:t>
      </w:r>
    </w:p>
    <w:p w14:paraId="78D69432" w14:textId="10CA4431" w:rsidR="00835CB1" w:rsidRPr="009537ED" w:rsidRDefault="005A18DC" w:rsidP="00835CB1">
      <w:pPr>
        <w:rPr>
          <w:lang w:eastAsia="x-none"/>
        </w:rPr>
      </w:pPr>
      <w:hyperlink r:id="rId39" w:history="1">
        <w:r w:rsidR="00AF7253">
          <w:rPr>
            <w:rStyle w:val="Hyperlink"/>
            <w:lang w:eastAsia="x-none"/>
          </w:rPr>
          <w:t>R1-2311604</w:t>
        </w:r>
      </w:hyperlink>
      <w:r w:rsidR="00835CB1" w:rsidRPr="009537ED">
        <w:rPr>
          <w:lang w:eastAsia="x-none"/>
        </w:rPr>
        <w:tab/>
        <w:t>Discussion on reply LS on request for clarifications on RedCap positioning, carrier phase positioning, and bandwidth aggregation for positioning</w:t>
      </w:r>
      <w:r w:rsidR="00835CB1" w:rsidRPr="009537ED">
        <w:rPr>
          <w:lang w:eastAsia="x-none"/>
        </w:rPr>
        <w:tab/>
        <w:t>NTT DOCOMO, INC.</w:t>
      </w:r>
    </w:p>
    <w:p w14:paraId="5B0030FB" w14:textId="34FD7277" w:rsidR="00835CB1" w:rsidRPr="009537ED" w:rsidRDefault="005A18DC" w:rsidP="00835CB1">
      <w:pPr>
        <w:rPr>
          <w:lang w:eastAsia="x-none"/>
        </w:rPr>
      </w:pPr>
      <w:hyperlink r:id="rId40" w:history="1">
        <w:r w:rsidR="00AF7253">
          <w:rPr>
            <w:rStyle w:val="Hyperlink"/>
            <w:lang w:eastAsia="x-none"/>
          </w:rPr>
          <w:t>R1-2311808</w:t>
        </w:r>
      </w:hyperlink>
      <w:r w:rsidR="00835CB1" w:rsidRPr="009537ED">
        <w:rPr>
          <w:lang w:eastAsia="x-none"/>
        </w:rPr>
        <w:tab/>
        <w:t>Draft reply LS on request for clarifications on RedCap positioning, carrier phase positioning, and bandwidth aggregation for positioning</w:t>
      </w:r>
      <w:r w:rsidR="00835CB1" w:rsidRPr="009537ED">
        <w:rPr>
          <w:lang w:eastAsia="x-none"/>
        </w:rPr>
        <w:tab/>
        <w:t>Samsung</w:t>
      </w:r>
    </w:p>
    <w:p w14:paraId="3163FFE6" w14:textId="4DAE77D9" w:rsidR="00835CB1" w:rsidRPr="009537ED" w:rsidRDefault="005A18DC" w:rsidP="00835CB1">
      <w:pPr>
        <w:rPr>
          <w:lang w:eastAsia="x-none"/>
        </w:rPr>
      </w:pPr>
      <w:hyperlink r:id="rId41" w:history="1">
        <w:r w:rsidR="00AF7253">
          <w:rPr>
            <w:rStyle w:val="Hyperlink"/>
            <w:lang w:eastAsia="x-none"/>
          </w:rPr>
          <w:t>R1-2312130</w:t>
        </w:r>
      </w:hyperlink>
      <w:r w:rsidR="00835CB1" w:rsidRPr="009537ED">
        <w:rPr>
          <w:lang w:eastAsia="x-none"/>
        </w:rPr>
        <w:tab/>
        <w:t>Discussion on LS on request for clarifications on RedCap positioning, carrier phase positioning, and bandwidth aggregation for positioning</w:t>
      </w:r>
      <w:r w:rsidR="00835CB1" w:rsidRPr="009537ED">
        <w:rPr>
          <w:lang w:eastAsia="x-none"/>
        </w:rPr>
        <w:tab/>
        <w:t>LG Electronics</w:t>
      </w:r>
    </w:p>
    <w:p w14:paraId="645CF7EA" w14:textId="7870C537" w:rsidR="00835CB1" w:rsidRPr="009537ED" w:rsidRDefault="005A18DC" w:rsidP="00835CB1">
      <w:pPr>
        <w:rPr>
          <w:lang w:eastAsia="x-none"/>
        </w:rPr>
      </w:pPr>
      <w:hyperlink r:id="rId42" w:history="1">
        <w:r w:rsidR="00AF7253">
          <w:rPr>
            <w:rStyle w:val="Hyperlink"/>
            <w:lang w:eastAsia="x-none"/>
          </w:rPr>
          <w:t>R1-2312183</w:t>
        </w:r>
      </w:hyperlink>
      <w:r w:rsidR="00835CB1" w:rsidRPr="009537ED">
        <w:rPr>
          <w:lang w:eastAsia="x-none"/>
        </w:rPr>
        <w:tab/>
        <w:t>Discussion on LS on request for clarifications on RedCap</w:t>
      </w:r>
      <w:r w:rsidR="00835CB1" w:rsidRPr="009537ED">
        <w:rPr>
          <w:lang w:eastAsia="x-none"/>
        </w:rPr>
        <w:tab/>
        <w:t>Ericsson</w:t>
      </w:r>
    </w:p>
    <w:p w14:paraId="5D9FB249" w14:textId="772A2FC1" w:rsidR="00835CB1" w:rsidRPr="009537ED" w:rsidRDefault="005A18DC" w:rsidP="00835CB1">
      <w:pPr>
        <w:rPr>
          <w:lang w:eastAsia="x-none"/>
        </w:rPr>
      </w:pPr>
      <w:hyperlink r:id="rId43" w:history="1">
        <w:r w:rsidR="00AF7253">
          <w:rPr>
            <w:rStyle w:val="Hyperlink"/>
            <w:lang w:eastAsia="x-none"/>
          </w:rPr>
          <w:t>R1-2312230</w:t>
        </w:r>
      </w:hyperlink>
      <w:r w:rsidR="00835CB1" w:rsidRPr="009537ED">
        <w:rPr>
          <w:lang w:eastAsia="x-none"/>
        </w:rPr>
        <w:tab/>
        <w:t>Discussion on request for clarifications on RedCap positioning, carrier phase positioning, and bandwidth aggregation for positioning</w:t>
      </w:r>
      <w:r w:rsidR="00835CB1" w:rsidRPr="009537ED">
        <w:rPr>
          <w:lang w:eastAsia="x-none"/>
        </w:rPr>
        <w:tab/>
        <w:t>Huawei, HiSilicon</w:t>
      </w:r>
    </w:p>
    <w:p w14:paraId="2DACA58E" w14:textId="77777777" w:rsidR="001058C5" w:rsidRPr="009537ED" w:rsidRDefault="001058C5" w:rsidP="001058C5">
      <w:pPr>
        <w:rPr>
          <w:lang w:eastAsia="x-none"/>
        </w:rPr>
      </w:pPr>
      <w:r w:rsidRPr="00C93C68">
        <w:rPr>
          <w:b/>
          <w:bCs/>
          <w:lang w:eastAsia="x-none"/>
        </w:rPr>
        <w:t>Decision:</w:t>
      </w:r>
      <w:r w:rsidRPr="00C93C68">
        <w:rPr>
          <w:lang w:eastAsia="x-none"/>
        </w:rPr>
        <w:t xml:space="preserve"> RAN2 is requesting RAN1 input on RedCap positioning, carrier phase positioning, and bandwidth aggregation for positioning. RAN1 response needed. To be handled in agenda item 8.3. To be moderated by Hyunsu (Nokia).</w:t>
      </w:r>
    </w:p>
    <w:p w14:paraId="52877209" w14:textId="77777777" w:rsidR="00835CB1" w:rsidRPr="009537ED" w:rsidRDefault="00835CB1" w:rsidP="00835CB1">
      <w:pPr>
        <w:rPr>
          <w:lang w:eastAsia="x-none"/>
        </w:rPr>
      </w:pPr>
    </w:p>
    <w:p w14:paraId="7A3224AB" w14:textId="77777777" w:rsidR="001058C5" w:rsidRPr="009537ED" w:rsidRDefault="001058C5" w:rsidP="00835CB1">
      <w:pPr>
        <w:rPr>
          <w:lang w:eastAsia="x-none"/>
        </w:rPr>
      </w:pPr>
    </w:p>
    <w:p w14:paraId="312EA31B" w14:textId="391181C8" w:rsidR="00835CB1" w:rsidRPr="009537ED" w:rsidRDefault="005A18DC" w:rsidP="00835CB1">
      <w:pPr>
        <w:rPr>
          <w:b/>
          <w:bCs/>
          <w:lang w:eastAsia="x-none"/>
        </w:rPr>
      </w:pPr>
      <w:hyperlink r:id="rId44" w:history="1">
        <w:r w:rsidR="00AF7253">
          <w:rPr>
            <w:rStyle w:val="Hyperlink"/>
            <w:b/>
            <w:bCs/>
            <w:lang w:eastAsia="x-none"/>
          </w:rPr>
          <w:t>R1-2310789</w:t>
        </w:r>
      </w:hyperlink>
      <w:r w:rsidR="00835CB1" w:rsidRPr="009537ED">
        <w:rPr>
          <w:b/>
          <w:bCs/>
          <w:lang w:eastAsia="x-none"/>
        </w:rPr>
        <w:tab/>
        <w:t xml:space="preserve">Reply LS on </w:t>
      </w:r>
      <w:hyperlink r:id="rId45" w:history="1">
        <w:r w:rsidR="00AF7253">
          <w:rPr>
            <w:rStyle w:val="Hyperlink"/>
            <w:b/>
            <w:bCs/>
            <w:lang w:eastAsia="x-none"/>
          </w:rPr>
          <w:t>R1-2308644</w:t>
        </w:r>
      </w:hyperlink>
      <w:r w:rsidR="00835CB1" w:rsidRPr="009537ED">
        <w:rPr>
          <w:b/>
          <w:bCs/>
          <w:lang w:eastAsia="x-none"/>
        </w:rPr>
        <w:t xml:space="preserve"> for CPP</w:t>
      </w:r>
      <w:r w:rsidR="00835CB1" w:rsidRPr="009537ED">
        <w:rPr>
          <w:b/>
          <w:bCs/>
          <w:lang w:eastAsia="x-none"/>
        </w:rPr>
        <w:tab/>
        <w:t>RAN2, CATT</w:t>
      </w:r>
    </w:p>
    <w:p w14:paraId="1750AB1D" w14:textId="77777777" w:rsidR="00835CB1" w:rsidRPr="009537ED" w:rsidRDefault="00835CB1" w:rsidP="00835CB1">
      <w:pPr>
        <w:rPr>
          <w:b/>
          <w:lang w:eastAsia="x-none"/>
        </w:rPr>
      </w:pPr>
      <w:r w:rsidRPr="009537ED">
        <w:rPr>
          <w:b/>
          <w:lang w:eastAsia="x-none"/>
        </w:rPr>
        <w:t>Relevant tdocs:</w:t>
      </w:r>
    </w:p>
    <w:p w14:paraId="0CC13D5F" w14:textId="0FF335DC" w:rsidR="00835CB1" w:rsidRPr="009537ED" w:rsidRDefault="005A18DC" w:rsidP="00835CB1">
      <w:pPr>
        <w:rPr>
          <w:lang w:eastAsia="x-none"/>
        </w:rPr>
      </w:pPr>
      <w:hyperlink r:id="rId46" w:history="1">
        <w:r w:rsidR="00AF7253">
          <w:rPr>
            <w:rStyle w:val="Hyperlink"/>
            <w:lang w:eastAsia="x-none"/>
          </w:rPr>
          <w:t>R1-2311062</w:t>
        </w:r>
      </w:hyperlink>
      <w:r w:rsidR="00835CB1" w:rsidRPr="009537ED">
        <w:rPr>
          <w:lang w:eastAsia="x-none"/>
        </w:rPr>
        <w:tab/>
        <w:t>Draft reply LS on CPP related issues</w:t>
      </w:r>
      <w:r w:rsidR="00835CB1" w:rsidRPr="009537ED">
        <w:rPr>
          <w:lang w:eastAsia="x-none"/>
        </w:rPr>
        <w:tab/>
        <w:t>vivo</w:t>
      </w:r>
    </w:p>
    <w:p w14:paraId="6C5C2413" w14:textId="476F9C66" w:rsidR="00835CB1" w:rsidRPr="009537ED" w:rsidRDefault="005A18DC" w:rsidP="00835CB1">
      <w:pPr>
        <w:rPr>
          <w:lang w:eastAsia="x-none"/>
        </w:rPr>
      </w:pPr>
      <w:hyperlink r:id="rId47" w:history="1">
        <w:r w:rsidR="00AF7253">
          <w:rPr>
            <w:rStyle w:val="Hyperlink"/>
            <w:lang w:eastAsia="x-none"/>
          </w:rPr>
          <w:t>R1-2311130</w:t>
        </w:r>
      </w:hyperlink>
      <w:r w:rsidR="00835CB1" w:rsidRPr="009537ED">
        <w:rPr>
          <w:lang w:eastAsia="x-none"/>
        </w:rPr>
        <w:tab/>
        <w:t>Draft Reply LS on clarification on Carrier Phase Positioning</w:t>
      </w:r>
      <w:r w:rsidR="00835CB1" w:rsidRPr="009537ED">
        <w:rPr>
          <w:lang w:eastAsia="x-none"/>
        </w:rPr>
        <w:tab/>
        <w:t>Nokia, Nokia Shanghai Bell</w:t>
      </w:r>
    </w:p>
    <w:p w14:paraId="25E0E072" w14:textId="153ABE9E" w:rsidR="00835CB1" w:rsidRPr="009537ED" w:rsidRDefault="005A18DC" w:rsidP="00835CB1">
      <w:pPr>
        <w:rPr>
          <w:lang w:eastAsia="x-none"/>
        </w:rPr>
      </w:pPr>
      <w:hyperlink r:id="rId48" w:history="1">
        <w:r w:rsidR="00AF7253">
          <w:rPr>
            <w:rStyle w:val="Hyperlink"/>
            <w:lang w:eastAsia="x-none"/>
          </w:rPr>
          <w:t>R1-2311133</w:t>
        </w:r>
      </w:hyperlink>
      <w:r w:rsidR="00835CB1" w:rsidRPr="009537ED">
        <w:rPr>
          <w:lang w:eastAsia="x-none"/>
        </w:rPr>
        <w:tab/>
        <w:t>DRAFT Reply LS on RAN2 questions for CPP</w:t>
      </w:r>
      <w:r w:rsidR="00835CB1" w:rsidRPr="009537ED">
        <w:rPr>
          <w:lang w:eastAsia="x-none"/>
        </w:rPr>
        <w:tab/>
        <w:t>Intel Corporation</w:t>
      </w:r>
    </w:p>
    <w:p w14:paraId="3F0F2C7D" w14:textId="5160BD50" w:rsidR="00835CB1" w:rsidRPr="009537ED" w:rsidRDefault="005A18DC" w:rsidP="00835CB1">
      <w:pPr>
        <w:rPr>
          <w:lang w:eastAsia="x-none"/>
        </w:rPr>
      </w:pPr>
      <w:hyperlink r:id="rId49" w:history="1">
        <w:r w:rsidR="00AF7253">
          <w:rPr>
            <w:rStyle w:val="Hyperlink"/>
            <w:lang w:eastAsia="x-none"/>
          </w:rPr>
          <w:t>R1-2311154</w:t>
        </w:r>
      </w:hyperlink>
      <w:r w:rsidR="00835CB1" w:rsidRPr="009537ED">
        <w:rPr>
          <w:lang w:eastAsia="x-none"/>
        </w:rPr>
        <w:tab/>
        <w:t xml:space="preserve">Discussion on Reply LS on </w:t>
      </w:r>
      <w:hyperlink r:id="rId50" w:history="1">
        <w:r w:rsidR="00AF7253">
          <w:rPr>
            <w:rStyle w:val="Hyperlink"/>
            <w:lang w:eastAsia="x-none"/>
          </w:rPr>
          <w:t>R1-2308644</w:t>
        </w:r>
      </w:hyperlink>
      <w:r w:rsidR="00835CB1" w:rsidRPr="009537ED">
        <w:rPr>
          <w:lang w:eastAsia="x-none"/>
        </w:rPr>
        <w:t xml:space="preserve"> for CPP</w:t>
      </w:r>
      <w:r w:rsidR="00835CB1" w:rsidRPr="009537ED">
        <w:rPr>
          <w:lang w:eastAsia="x-none"/>
        </w:rPr>
        <w:tab/>
        <w:t>Spreadtrum Communications</w:t>
      </w:r>
    </w:p>
    <w:p w14:paraId="442A7E4B" w14:textId="61561860" w:rsidR="00835CB1" w:rsidRPr="009537ED" w:rsidRDefault="005A18DC" w:rsidP="00835CB1">
      <w:pPr>
        <w:rPr>
          <w:lang w:eastAsia="x-none"/>
        </w:rPr>
      </w:pPr>
      <w:hyperlink r:id="rId51" w:history="1">
        <w:r w:rsidR="00AF7253">
          <w:rPr>
            <w:rStyle w:val="Hyperlink"/>
            <w:lang w:eastAsia="x-none"/>
          </w:rPr>
          <w:t>R1-2311287</w:t>
        </w:r>
      </w:hyperlink>
      <w:r w:rsidR="00835CB1" w:rsidRPr="009537ED">
        <w:rPr>
          <w:lang w:eastAsia="x-none"/>
        </w:rPr>
        <w:tab/>
        <w:t>Discussion on RAN2 LS on CPP</w:t>
      </w:r>
      <w:r w:rsidR="00835CB1" w:rsidRPr="009537ED">
        <w:rPr>
          <w:lang w:eastAsia="x-none"/>
        </w:rPr>
        <w:tab/>
        <w:t>CATT</w:t>
      </w:r>
    </w:p>
    <w:p w14:paraId="2D3BD6A5" w14:textId="4FE32D63" w:rsidR="00835CB1" w:rsidRPr="009537ED" w:rsidRDefault="005A18DC" w:rsidP="00835CB1">
      <w:pPr>
        <w:rPr>
          <w:lang w:eastAsia="x-none"/>
        </w:rPr>
      </w:pPr>
      <w:hyperlink r:id="rId52" w:history="1">
        <w:r w:rsidR="00AF7253">
          <w:rPr>
            <w:rStyle w:val="Hyperlink"/>
            <w:lang w:eastAsia="x-none"/>
          </w:rPr>
          <w:t>R1-2311288</w:t>
        </w:r>
      </w:hyperlink>
      <w:r w:rsidR="00835CB1" w:rsidRPr="009537ED">
        <w:rPr>
          <w:lang w:eastAsia="x-none"/>
        </w:rPr>
        <w:tab/>
        <w:t>Draft reply LS on R2-2311565 for CPP</w:t>
      </w:r>
      <w:r w:rsidR="00835CB1" w:rsidRPr="009537ED">
        <w:rPr>
          <w:lang w:eastAsia="x-none"/>
        </w:rPr>
        <w:tab/>
        <w:t>CATT</w:t>
      </w:r>
    </w:p>
    <w:p w14:paraId="6BA631C9" w14:textId="3403A015" w:rsidR="00835CB1" w:rsidRPr="009537ED" w:rsidRDefault="005A18DC" w:rsidP="00835CB1">
      <w:pPr>
        <w:rPr>
          <w:lang w:eastAsia="x-none"/>
        </w:rPr>
      </w:pPr>
      <w:hyperlink r:id="rId53" w:history="1">
        <w:r w:rsidR="00AF7253">
          <w:rPr>
            <w:rStyle w:val="Hyperlink"/>
            <w:lang w:eastAsia="x-none"/>
          </w:rPr>
          <w:t>R1-2311375</w:t>
        </w:r>
      </w:hyperlink>
      <w:r w:rsidR="00835CB1" w:rsidRPr="009537ED">
        <w:rPr>
          <w:lang w:eastAsia="x-none"/>
        </w:rPr>
        <w:tab/>
        <w:t>Draft reply LS for CPP</w:t>
      </w:r>
      <w:r w:rsidR="00835CB1" w:rsidRPr="009537ED">
        <w:rPr>
          <w:lang w:eastAsia="x-none"/>
        </w:rPr>
        <w:tab/>
        <w:t>xiaomi</w:t>
      </w:r>
    </w:p>
    <w:p w14:paraId="61D0CE8C" w14:textId="05FC315E" w:rsidR="00835CB1" w:rsidRPr="009537ED" w:rsidRDefault="005A18DC" w:rsidP="00835CB1">
      <w:pPr>
        <w:rPr>
          <w:lang w:eastAsia="x-none"/>
        </w:rPr>
      </w:pPr>
      <w:hyperlink r:id="rId54" w:history="1">
        <w:r w:rsidR="00AF7253">
          <w:rPr>
            <w:rStyle w:val="Hyperlink"/>
            <w:lang w:eastAsia="x-none"/>
          </w:rPr>
          <w:t>R1-2311452</w:t>
        </w:r>
      </w:hyperlink>
      <w:r w:rsidR="00835CB1" w:rsidRPr="009537ED">
        <w:rPr>
          <w:lang w:eastAsia="x-none"/>
        </w:rPr>
        <w:tab/>
        <w:t>Draft reply LS for CPP</w:t>
      </w:r>
      <w:r w:rsidR="00835CB1" w:rsidRPr="009537ED">
        <w:rPr>
          <w:lang w:eastAsia="x-none"/>
        </w:rPr>
        <w:tab/>
        <w:t>ZTE</w:t>
      </w:r>
    </w:p>
    <w:p w14:paraId="2290CBAB" w14:textId="1D6921F6" w:rsidR="00835CB1" w:rsidRPr="009537ED" w:rsidRDefault="005A18DC" w:rsidP="00835CB1">
      <w:pPr>
        <w:rPr>
          <w:lang w:eastAsia="x-none"/>
        </w:rPr>
      </w:pPr>
      <w:hyperlink r:id="rId55" w:history="1">
        <w:r w:rsidR="00AF7253">
          <w:rPr>
            <w:rStyle w:val="Hyperlink"/>
            <w:lang w:eastAsia="x-none"/>
          </w:rPr>
          <w:t>R1-2311453</w:t>
        </w:r>
      </w:hyperlink>
      <w:r w:rsidR="00835CB1" w:rsidRPr="009537ED">
        <w:rPr>
          <w:lang w:eastAsia="x-none"/>
        </w:rPr>
        <w:tab/>
        <w:t xml:space="preserve">Discussion on CPP issues for RAN2 reply LS </w:t>
      </w:r>
      <w:hyperlink r:id="rId56" w:history="1">
        <w:r w:rsidR="00AF7253">
          <w:rPr>
            <w:rStyle w:val="Hyperlink"/>
            <w:lang w:eastAsia="x-none"/>
          </w:rPr>
          <w:t>R1-2310789</w:t>
        </w:r>
      </w:hyperlink>
      <w:r w:rsidR="00835CB1" w:rsidRPr="009537ED">
        <w:rPr>
          <w:lang w:eastAsia="x-none"/>
        </w:rPr>
        <w:tab/>
        <w:t>ZTE</w:t>
      </w:r>
    </w:p>
    <w:p w14:paraId="27E22DCC" w14:textId="23E45BBE" w:rsidR="00835CB1" w:rsidRPr="009537ED" w:rsidRDefault="005A18DC" w:rsidP="00835CB1">
      <w:pPr>
        <w:rPr>
          <w:lang w:eastAsia="x-none"/>
        </w:rPr>
      </w:pPr>
      <w:hyperlink r:id="rId57" w:history="1">
        <w:r w:rsidR="00AF7253">
          <w:rPr>
            <w:rStyle w:val="Hyperlink"/>
            <w:lang w:eastAsia="x-none"/>
          </w:rPr>
          <w:t>R1-2311605</w:t>
        </w:r>
      </w:hyperlink>
      <w:r w:rsidR="00835CB1" w:rsidRPr="009537ED">
        <w:rPr>
          <w:lang w:eastAsia="x-none"/>
        </w:rPr>
        <w:tab/>
        <w:t>Discussion on reply LS on RAN2 questions about RSCP/RSCPD</w:t>
      </w:r>
      <w:r w:rsidR="00835CB1" w:rsidRPr="009537ED">
        <w:rPr>
          <w:lang w:eastAsia="x-none"/>
        </w:rPr>
        <w:tab/>
        <w:t>NTT DOCOMO, INC.</w:t>
      </w:r>
    </w:p>
    <w:p w14:paraId="2B03BA4F" w14:textId="08F30D16" w:rsidR="00835CB1" w:rsidRPr="009537ED" w:rsidRDefault="005A18DC" w:rsidP="00835CB1">
      <w:pPr>
        <w:rPr>
          <w:lang w:eastAsia="x-none"/>
        </w:rPr>
      </w:pPr>
      <w:hyperlink r:id="rId58" w:history="1">
        <w:r w:rsidR="00AF7253">
          <w:rPr>
            <w:rStyle w:val="Hyperlink"/>
            <w:lang w:eastAsia="x-none"/>
          </w:rPr>
          <w:t>R1-2311809</w:t>
        </w:r>
      </w:hyperlink>
      <w:r w:rsidR="00835CB1" w:rsidRPr="009537ED">
        <w:rPr>
          <w:lang w:eastAsia="x-none"/>
        </w:rPr>
        <w:tab/>
        <w:t>Draft reply LS on CPP</w:t>
      </w:r>
      <w:r w:rsidR="00835CB1" w:rsidRPr="009537ED">
        <w:rPr>
          <w:lang w:eastAsia="x-none"/>
        </w:rPr>
        <w:tab/>
        <w:t>Samsung</w:t>
      </w:r>
    </w:p>
    <w:p w14:paraId="490F4250" w14:textId="687CE62C" w:rsidR="00835CB1" w:rsidRPr="009537ED" w:rsidRDefault="005A18DC" w:rsidP="00835CB1">
      <w:pPr>
        <w:rPr>
          <w:lang w:eastAsia="x-none"/>
        </w:rPr>
      </w:pPr>
      <w:hyperlink r:id="rId59" w:history="1">
        <w:r w:rsidR="00AF7253">
          <w:rPr>
            <w:rStyle w:val="Hyperlink"/>
            <w:lang w:eastAsia="x-none"/>
          </w:rPr>
          <w:t>R1-2312131</w:t>
        </w:r>
      </w:hyperlink>
      <w:r w:rsidR="00835CB1" w:rsidRPr="009537ED">
        <w:rPr>
          <w:lang w:eastAsia="x-none"/>
        </w:rPr>
        <w:tab/>
        <w:t xml:space="preserve">Discussion on Reply LS on </w:t>
      </w:r>
      <w:hyperlink r:id="rId60" w:history="1">
        <w:r w:rsidR="00AF7253">
          <w:rPr>
            <w:rStyle w:val="Hyperlink"/>
            <w:lang w:eastAsia="x-none"/>
          </w:rPr>
          <w:t>R1-2308644</w:t>
        </w:r>
      </w:hyperlink>
      <w:r w:rsidR="00835CB1" w:rsidRPr="009537ED">
        <w:rPr>
          <w:lang w:eastAsia="x-none"/>
        </w:rPr>
        <w:t xml:space="preserve"> for CPP</w:t>
      </w:r>
      <w:r w:rsidR="00835CB1" w:rsidRPr="009537ED">
        <w:rPr>
          <w:lang w:eastAsia="x-none"/>
        </w:rPr>
        <w:tab/>
        <w:t>LG Electronics</w:t>
      </w:r>
    </w:p>
    <w:p w14:paraId="696FDA31" w14:textId="7C2C0E03" w:rsidR="00835CB1" w:rsidRPr="009537ED" w:rsidRDefault="005A18DC" w:rsidP="00835CB1">
      <w:pPr>
        <w:rPr>
          <w:lang w:eastAsia="x-none"/>
        </w:rPr>
      </w:pPr>
      <w:hyperlink r:id="rId61" w:history="1">
        <w:r w:rsidR="00AF7253">
          <w:rPr>
            <w:rStyle w:val="Hyperlink"/>
            <w:lang w:eastAsia="x-none"/>
          </w:rPr>
          <w:t>R1-2312147</w:t>
        </w:r>
      </w:hyperlink>
      <w:r w:rsidR="00835CB1" w:rsidRPr="009537ED">
        <w:rPr>
          <w:lang w:eastAsia="x-none"/>
        </w:rPr>
        <w:tab/>
        <w:t>Discussion on RAN2 LS for CPP</w:t>
      </w:r>
      <w:r w:rsidR="00835CB1" w:rsidRPr="009537ED">
        <w:rPr>
          <w:lang w:eastAsia="x-none"/>
        </w:rPr>
        <w:tab/>
        <w:t>Huawei, HiSilicon</w:t>
      </w:r>
    </w:p>
    <w:p w14:paraId="03126F8F" w14:textId="2A5E1B2F" w:rsidR="00835CB1" w:rsidRPr="009537ED" w:rsidRDefault="005A18DC" w:rsidP="00835CB1">
      <w:pPr>
        <w:rPr>
          <w:lang w:eastAsia="x-none"/>
        </w:rPr>
      </w:pPr>
      <w:hyperlink r:id="rId62" w:history="1">
        <w:r w:rsidR="00AF7253">
          <w:rPr>
            <w:rStyle w:val="Hyperlink"/>
            <w:lang w:eastAsia="x-none"/>
          </w:rPr>
          <w:t>R1-2312184</w:t>
        </w:r>
      </w:hyperlink>
      <w:r w:rsidR="00835CB1" w:rsidRPr="009537ED">
        <w:rPr>
          <w:lang w:eastAsia="x-none"/>
        </w:rPr>
        <w:tab/>
        <w:t>Discussion on Reply LS for CPP</w:t>
      </w:r>
      <w:r w:rsidR="00835CB1" w:rsidRPr="009537ED">
        <w:rPr>
          <w:lang w:eastAsia="x-none"/>
        </w:rPr>
        <w:tab/>
        <w:t>Ericsson</w:t>
      </w:r>
    </w:p>
    <w:p w14:paraId="754E67AF" w14:textId="52473D66" w:rsidR="00835CB1" w:rsidRPr="009537ED" w:rsidRDefault="005A18DC" w:rsidP="00835CB1">
      <w:pPr>
        <w:rPr>
          <w:lang w:eastAsia="x-none"/>
        </w:rPr>
      </w:pPr>
      <w:hyperlink r:id="rId63" w:history="1">
        <w:r w:rsidR="00AF7253">
          <w:rPr>
            <w:rStyle w:val="Hyperlink"/>
            <w:lang w:eastAsia="x-none"/>
          </w:rPr>
          <w:t>R1-2312213</w:t>
        </w:r>
      </w:hyperlink>
      <w:r w:rsidR="00835CB1" w:rsidRPr="009537ED">
        <w:rPr>
          <w:lang w:eastAsia="x-none"/>
        </w:rPr>
        <w:tab/>
        <w:t>Discussion on RSCP/RSCPD quality</w:t>
      </w:r>
      <w:r w:rsidR="00835CB1" w:rsidRPr="009537ED">
        <w:rPr>
          <w:lang w:eastAsia="x-none"/>
        </w:rPr>
        <w:tab/>
        <w:t>Huawei, HiSilicon</w:t>
      </w:r>
    </w:p>
    <w:p w14:paraId="1079C6DA" w14:textId="5ED2AED8" w:rsidR="002A6210" w:rsidRPr="009537ED" w:rsidRDefault="001058C5" w:rsidP="002A6210">
      <w:pPr>
        <w:rPr>
          <w:lang w:eastAsia="x-none"/>
        </w:rPr>
      </w:pPr>
      <w:r w:rsidRPr="00C93C68">
        <w:rPr>
          <w:b/>
          <w:bCs/>
          <w:lang w:eastAsia="x-none"/>
        </w:rPr>
        <w:lastRenderedPageBreak/>
        <w:t>Decision:</w:t>
      </w:r>
      <w:r w:rsidRPr="00C93C68">
        <w:rPr>
          <w:lang w:eastAsia="x-none"/>
        </w:rPr>
        <w:t xml:space="preserve"> RAN2 is requesting additional RAN1 input on CPP. RAN1 response needed. To be handled in agenda item 8.3</w:t>
      </w:r>
      <w:r w:rsidR="00DF1ADD">
        <w:rPr>
          <w:lang w:eastAsia="x-none"/>
        </w:rPr>
        <w:t>.2</w:t>
      </w:r>
      <w:r w:rsidRPr="00C93C68">
        <w:rPr>
          <w:lang w:eastAsia="x-none"/>
        </w:rPr>
        <w:t>.</w:t>
      </w:r>
      <w:r w:rsidR="002A6210" w:rsidRPr="00C93C68">
        <w:rPr>
          <w:lang w:eastAsia="x-none"/>
        </w:rPr>
        <w:t xml:space="preserve"> To be moderated by Ren Da (CATT).</w:t>
      </w:r>
    </w:p>
    <w:p w14:paraId="5BECA142" w14:textId="77777777" w:rsidR="00835CB1" w:rsidRPr="009537ED" w:rsidRDefault="00835CB1" w:rsidP="00835CB1">
      <w:pPr>
        <w:rPr>
          <w:lang w:eastAsia="x-none"/>
        </w:rPr>
      </w:pPr>
    </w:p>
    <w:p w14:paraId="723E0E7F" w14:textId="77777777" w:rsidR="001058C5" w:rsidRPr="009537ED" w:rsidRDefault="001058C5" w:rsidP="00835CB1">
      <w:pPr>
        <w:rPr>
          <w:lang w:eastAsia="x-none"/>
        </w:rPr>
      </w:pPr>
    </w:p>
    <w:p w14:paraId="1FF33520" w14:textId="3D23739E" w:rsidR="00835CB1" w:rsidRPr="009537ED" w:rsidRDefault="005A18DC" w:rsidP="00835CB1">
      <w:pPr>
        <w:rPr>
          <w:b/>
          <w:bCs/>
          <w:lang w:eastAsia="x-none"/>
        </w:rPr>
      </w:pPr>
      <w:hyperlink r:id="rId64" w:history="1">
        <w:r w:rsidR="00AF7253">
          <w:rPr>
            <w:rStyle w:val="Hyperlink"/>
            <w:b/>
            <w:bCs/>
            <w:lang w:eastAsia="x-none"/>
          </w:rPr>
          <w:t>R1-2310790</w:t>
        </w:r>
      </w:hyperlink>
      <w:r w:rsidR="00835CB1" w:rsidRPr="009537ED">
        <w:rPr>
          <w:b/>
          <w:bCs/>
          <w:lang w:eastAsia="x-none"/>
        </w:rPr>
        <w:tab/>
        <w:t>LS on TA validation for LPHAP</w:t>
      </w:r>
      <w:r w:rsidR="00835CB1" w:rsidRPr="009537ED">
        <w:rPr>
          <w:b/>
          <w:bCs/>
          <w:lang w:eastAsia="x-none"/>
        </w:rPr>
        <w:tab/>
        <w:t>RAN2, Huawei</w:t>
      </w:r>
    </w:p>
    <w:p w14:paraId="636171F7" w14:textId="70608BC3" w:rsidR="00533664" w:rsidRPr="009537ED" w:rsidRDefault="00533664" w:rsidP="00533664">
      <w:pPr>
        <w:rPr>
          <w:lang w:eastAsia="x-none"/>
        </w:rPr>
      </w:pPr>
      <w:r w:rsidRPr="009537ED">
        <w:rPr>
          <w:b/>
          <w:bCs/>
          <w:lang w:eastAsia="x-none"/>
        </w:rPr>
        <w:t xml:space="preserve">Decision: </w:t>
      </w:r>
      <w:r w:rsidRPr="009537ED">
        <w:rPr>
          <w:lang w:eastAsia="x-none"/>
        </w:rPr>
        <w:t>RAN2 response to RAN1 LS (</w:t>
      </w:r>
      <w:hyperlink r:id="rId65" w:history="1">
        <w:r w:rsidR="00AF7253">
          <w:rPr>
            <w:rStyle w:val="Hyperlink"/>
            <w:lang w:eastAsia="x-none"/>
          </w:rPr>
          <w:t>R1-2308649</w:t>
        </w:r>
      </w:hyperlink>
      <w:r w:rsidRPr="009537ED">
        <w:rPr>
          <w:lang w:eastAsia="x-none"/>
        </w:rPr>
        <w:t>) from RAN1#114. To be taken into account as part of discussions in agenda item 8.3.</w:t>
      </w:r>
    </w:p>
    <w:p w14:paraId="1D6D079B" w14:textId="77777777" w:rsidR="00835CB1" w:rsidRPr="009537ED" w:rsidRDefault="00835CB1" w:rsidP="00835CB1">
      <w:pPr>
        <w:rPr>
          <w:lang w:eastAsia="x-none"/>
        </w:rPr>
      </w:pPr>
    </w:p>
    <w:p w14:paraId="2CD1141F" w14:textId="77777777" w:rsidR="00533664" w:rsidRPr="009537ED" w:rsidRDefault="00533664" w:rsidP="00835CB1">
      <w:pPr>
        <w:rPr>
          <w:lang w:eastAsia="x-none"/>
        </w:rPr>
      </w:pPr>
    </w:p>
    <w:p w14:paraId="7AC98B10" w14:textId="6C32A3DF" w:rsidR="00835CB1" w:rsidRPr="009537ED" w:rsidRDefault="005A18DC" w:rsidP="00835CB1">
      <w:pPr>
        <w:rPr>
          <w:b/>
          <w:bCs/>
          <w:lang w:eastAsia="x-none"/>
        </w:rPr>
      </w:pPr>
      <w:hyperlink r:id="rId66" w:history="1">
        <w:r w:rsidR="00AF7253">
          <w:rPr>
            <w:rStyle w:val="Hyperlink"/>
            <w:b/>
            <w:bCs/>
            <w:lang w:eastAsia="x-none"/>
          </w:rPr>
          <w:t>R1-2310796</w:t>
        </w:r>
      </w:hyperlink>
      <w:r w:rsidR="00835CB1" w:rsidRPr="009537ED">
        <w:rPr>
          <w:b/>
          <w:bCs/>
          <w:lang w:eastAsia="x-none"/>
        </w:rPr>
        <w:tab/>
        <w:t>Reply LS on determination of UL timing to transmit SRS for positioning by UEs in RRC_INACTIVE states</w:t>
      </w:r>
      <w:r w:rsidR="00835CB1" w:rsidRPr="009537ED">
        <w:rPr>
          <w:b/>
          <w:bCs/>
          <w:lang w:eastAsia="x-none"/>
        </w:rPr>
        <w:tab/>
        <w:t>RAN4, CMCC</w:t>
      </w:r>
    </w:p>
    <w:p w14:paraId="20E8E923" w14:textId="6D1970C5" w:rsidR="00835CB1" w:rsidRPr="009537ED" w:rsidRDefault="00533664" w:rsidP="00835CB1">
      <w:pPr>
        <w:rPr>
          <w:lang w:eastAsia="x-none"/>
        </w:rPr>
      </w:pPr>
      <w:r w:rsidRPr="009537ED">
        <w:rPr>
          <w:b/>
          <w:bCs/>
          <w:lang w:eastAsia="x-none"/>
        </w:rPr>
        <w:t>Decision:</w:t>
      </w:r>
      <w:r w:rsidRPr="009537ED">
        <w:rPr>
          <w:lang w:eastAsia="x-none"/>
        </w:rPr>
        <w:t xml:space="preserve"> </w:t>
      </w:r>
      <w:r w:rsidR="00835CB1" w:rsidRPr="009537ED">
        <w:rPr>
          <w:lang w:eastAsia="x-none"/>
        </w:rPr>
        <w:t>RAN4 is providing additional information on determination of UL timing to transmit SRS for positioning by UEs in RRC_INACTIVE states. To be taken into account as part of discussions in agenda item 8.3.</w:t>
      </w:r>
    </w:p>
    <w:p w14:paraId="2244B52A" w14:textId="77777777" w:rsidR="00835CB1" w:rsidRPr="009537ED" w:rsidRDefault="00835CB1" w:rsidP="00835CB1">
      <w:pPr>
        <w:rPr>
          <w:lang w:eastAsia="x-none"/>
        </w:rPr>
      </w:pPr>
    </w:p>
    <w:p w14:paraId="46F89B49" w14:textId="77777777" w:rsidR="00533664" w:rsidRPr="009537ED" w:rsidRDefault="00533664" w:rsidP="00835CB1">
      <w:pPr>
        <w:rPr>
          <w:lang w:eastAsia="x-none"/>
        </w:rPr>
      </w:pPr>
    </w:p>
    <w:p w14:paraId="40E6D0BE" w14:textId="5A7077AF" w:rsidR="00835CB1" w:rsidRPr="009537ED" w:rsidRDefault="005A18DC" w:rsidP="00835CB1">
      <w:pPr>
        <w:rPr>
          <w:b/>
          <w:bCs/>
          <w:lang w:eastAsia="x-none"/>
        </w:rPr>
      </w:pPr>
      <w:hyperlink r:id="rId67" w:history="1">
        <w:r w:rsidR="00AF7253">
          <w:rPr>
            <w:rStyle w:val="Hyperlink"/>
            <w:b/>
            <w:bCs/>
            <w:lang w:eastAsia="x-none"/>
          </w:rPr>
          <w:t>R1-2310797</w:t>
        </w:r>
      </w:hyperlink>
      <w:r w:rsidR="00835CB1" w:rsidRPr="009537ED">
        <w:rPr>
          <w:b/>
          <w:bCs/>
          <w:lang w:eastAsia="x-none"/>
        </w:rPr>
        <w:tab/>
        <w:t>Reply LS to RAN1 on SRS and PRS bandwidth aggregation for positioning</w:t>
      </w:r>
      <w:r w:rsidR="00835CB1" w:rsidRPr="009537ED">
        <w:rPr>
          <w:b/>
          <w:bCs/>
          <w:lang w:eastAsia="x-none"/>
        </w:rPr>
        <w:tab/>
        <w:t>RAN4, ZTE Corporation</w:t>
      </w:r>
    </w:p>
    <w:p w14:paraId="2842C8AA" w14:textId="77777777" w:rsidR="00835CB1" w:rsidRPr="009537ED" w:rsidRDefault="00835CB1" w:rsidP="00835CB1">
      <w:pPr>
        <w:rPr>
          <w:b/>
          <w:lang w:eastAsia="x-none"/>
        </w:rPr>
      </w:pPr>
      <w:r w:rsidRPr="009537ED">
        <w:rPr>
          <w:b/>
          <w:lang w:eastAsia="x-none"/>
        </w:rPr>
        <w:t>Relevant tdoc:</w:t>
      </w:r>
    </w:p>
    <w:p w14:paraId="2518F84D" w14:textId="282E6397" w:rsidR="00835CB1" w:rsidRPr="009537ED" w:rsidRDefault="005A18DC" w:rsidP="00835CB1">
      <w:pPr>
        <w:rPr>
          <w:lang w:eastAsia="x-none"/>
        </w:rPr>
      </w:pPr>
      <w:hyperlink r:id="rId68" w:history="1">
        <w:r w:rsidR="00AF7253">
          <w:rPr>
            <w:rStyle w:val="Hyperlink"/>
            <w:lang w:eastAsia="x-none"/>
          </w:rPr>
          <w:t>R1-2312145</w:t>
        </w:r>
      </w:hyperlink>
      <w:r w:rsidR="00835CB1" w:rsidRPr="009537ED">
        <w:rPr>
          <w:lang w:eastAsia="x-none"/>
        </w:rPr>
        <w:tab/>
        <w:t>Discussion on additional k values for BW aggregation</w:t>
      </w:r>
      <w:r w:rsidR="00835CB1" w:rsidRPr="009537ED">
        <w:rPr>
          <w:lang w:eastAsia="x-none"/>
        </w:rPr>
        <w:tab/>
        <w:t>Huawei, HiSilicon</w:t>
      </w:r>
    </w:p>
    <w:p w14:paraId="0D1794BE" w14:textId="2593D9C0" w:rsidR="00533664" w:rsidRPr="009537ED" w:rsidRDefault="00533664" w:rsidP="00533664">
      <w:pPr>
        <w:rPr>
          <w:lang w:eastAsia="x-none"/>
        </w:rPr>
      </w:pPr>
      <w:r w:rsidRPr="009537ED">
        <w:rPr>
          <w:b/>
          <w:bCs/>
          <w:lang w:eastAsia="x-none"/>
        </w:rPr>
        <w:t>Decision:</w:t>
      </w:r>
      <w:r w:rsidRPr="009537ED">
        <w:rPr>
          <w:lang w:eastAsia="x-none"/>
        </w:rPr>
        <w:t xml:space="preserve"> RAN4 response to RAN1 LS (</w:t>
      </w:r>
      <w:hyperlink r:id="rId69" w:history="1">
        <w:r w:rsidR="00AF7253">
          <w:rPr>
            <w:rStyle w:val="Hyperlink"/>
            <w:lang w:eastAsia="x-none"/>
          </w:rPr>
          <w:t>R1-2306216</w:t>
        </w:r>
      </w:hyperlink>
      <w:r w:rsidRPr="009537ED">
        <w:rPr>
          <w:lang w:eastAsia="x-none"/>
        </w:rPr>
        <w:t>) from RAN1#113. To be taken into account as part of discussions in agenda item 8.3.</w:t>
      </w:r>
    </w:p>
    <w:p w14:paraId="49FA73F2" w14:textId="77777777" w:rsidR="00835CB1" w:rsidRPr="009537ED" w:rsidRDefault="00835CB1" w:rsidP="00835CB1">
      <w:pPr>
        <w:rPr>
          <w:lang w:eastAsia="x-none"/>
        </w:rPr>
      </w:pPr>
    </w:p>
    <w:p w14:paraId="311C5368" w14:textId="77777777" w:rsidR="00533664" w:rsidRPr="009537ED" w:rsidRDefault="00533664" w:rsidP="00835CB1">
      <w:pPr>
        <w:rPr>
          <w:lang w:eastAsia="x-none"/>
        </w:rPr>
      </w:pPr>
    </w:p>
    <w:p w14:paraId="283ED9D1" w14:textId="5924C0A4" w:rsidR="00835CB1" w:rsidRPr="009537ED" w:rsidRDefault="005A18DC" w:rsidP="00835CB1">
      <w:pPr>
        <w:rPr>
          <w:b/>
          <w:bCs/>
          <w:lang w:eastAsia="x-none"/>
        </w:rPr>
      </w:pPr>
      <w:hyperlink r:id="rId70" w:history="1">
        <w:r w:rsidR="00AF7253">
          <w:rPr>
            <w:rStyle w:val="Hyperlink"/>
            <w:b/>
            <w:bCs/>
            <w:lang w:eastAsia="x-none"/>
          </w:rPr>
          <w:t>R1-2310798</w:t>
        </w:r>
      </w:hyperlink>
      <w:r w:rsidR="00835CB1" w:rsidRPr="009537ED">
        <w:rPr>
          <w:b/>
          <w:bCs/>
          <w:lang w:eastAsia="x-none"/>
        </w:rPr>
        <w:tab/>
        <w:t>LS on SL positioning and carrier phase positioning measurements</w:t>
      </w:r>
      <w:r w:rsidR="00835CB1" w:rsidRPr="009537ED">
        <w:rPr>
          <w:b/>
          <w:bCs/>
          <w:lang w:eastAsia="x-none"/>
        </w:rPr>
        <w:tab/>
        <w:t>RAN4, CATT</w:t>
      </w:r>
    </w:p>
    <w:p w14:paraId="0E36E4AC" w14:textId="10971909" w:rsidR="00835CB1" w:rsidRPr="009537ED" w:rsidRDefault="00533664" w:rsidP="00835CB1">
      <w:pPr>
        <w:rPr>
          <w:lang w:eastAsia="x-none"/>
        </w:rPr>
      </w:pPr>
      <w:r w:rsidRPr="009537ED">
        <w:rPr>
          <w:b/>
          <w:bCs/>
          <w:lang w:eastAsia="x-none"/>
        </w:rPr>
        <w:t>Decision:</w:t>
      </w:r>
      <w:r w:rsidRPr="009537ED">
        <w:rPr>
          <w:lang w:eastAsia="x-none"/>
        </w:rPr>
        <w:t xml:space="preserve"> </w:t>
      </w:r>
      <w:r w:rsidR="00835CB1" w:rsidRPr="009537ED">
        <w:rPr>
          <w:lang w:eastAsia="x-none"/>
        </w:rPr>
        <w:t>RAN4 is providing information on carrier phase positioning measurements. To be taken into account as part of discussions in agenda item 8.3.</w:t>
      </w:r>
    </w:p>
    <w:p w14:paraId="6AEF415F" w14:textId="77777777" w:rsidR="00835CB1" w:rsidRPr="009537ED" w:rsidRDefault="00835CB1" w:rsidP="00835CB1">
      <w:pPr>
        <w:rPr>
          <w:lang w:eastAsia="x-none"/>
        </w:rPr>
      </w:pPr>
    </w:p>
    <w:p w14:paraId="3FB912D8" w14:textId="77777777" w:rsidR="00533664" w:rsidRPr="009537ED" w:rsidRDefault="00533664" w:rsidP="00835CB1">
      <w:pPr>
        <w:rPr>
          <w:lang w:eastAsia="x-none"/>
        </w:rPr>
      </w:pPr>
    </w:p>
    <w:p w14:paraId="77ABBDC3" w14:textId="68A46654" w:rsidR="00835CB1" w:rsidRPr="009537ED" w:rsidRDefault="005A18DC" w:rsidP="00835CB1">
      <w:pPr>
        <w:rPr>
          <w:b/>
          <w:bCs/>
          <w:lang w:eastAsia="x-none"/>
        </w:rPr>
      </w:pPr>
      <w:hyperlink r:id="rId71" w:history="1">
        <w:r w:rsidR="00AF7253">
          <w:rPr>
            <w:rStyle w:val="Hyperlink"/>
            <w:b/>
            <w:bCs/>
            <w:lang w:eastAsia="x-none"/>
          </w:rPr>
          <w:t>R1-2311003</w:t>
        </w:r>
      </w:hyperlink>
      <w:r w:rsidR="00835CB1" w:rsidRPr="009537ED">
        <w:rPr>
          <w:b/>
          <w:bCs/>
          <w:lang w:eastAsia="x-none"/>
        </w:rPr>
        <w:tab/>
        <w:t>Reply LS on Priority Handling for SL Positioning</w:t>
      </w:r>
      <w:r w:rsidR="00835CB1" w:rsidRPr="009537ED">
        <w:rPr>
          <w:b/>
          <w:bCs/>
          <w:lang w:eastAsia="x-none"/>
        </w:rPr>
        <w:tab/>
        <w:t>RAN2, Intel Corporation</w:t>
      </w:r>
    </w:p>
    <w:p w14:paraId="01750F29" w14:textId="77777777" w:rsidR="00835CB1" w:rsidRPr="009537ED" w:rsidRDefault="00835CB1" w:rsidP="00835CB1">
      <w:pPr>
        <w:rPr>
          <w:b/>
          <w:lang w:eastAsia="x-none"/>
        </w:rPr>
      </w:pPr>
      <w:r w:rsidRPr="009537ED">
        <w:rPr>
          <w:b/>
          <w:lang w:eastAsia="x-none"/>
        </w:rPr>
        <w:t>Relevant tdoc:</w:t>
      </w:r>
    </w:p>
    <w:p w14:paraId="02D34C33" w14:textId="126CED3E" w:rsidR="00835CB1" w:rsidRPr="009537ED" w:rsidRDefault="005A18DC" w:rsidP="00835CB1">
      <w:pPr>
        <w:rPr>
          <w:lang w:eastAsia="x-none"/>
        </w:rPr>
      </w:pPr>
      <w:hyperlink r:id="rId72" w:history="1">
        <w:r w:rsidR="00AF7253">
          <w:rPr>
            <w:rStyle w:val="Hyperlink"/>
            <w:lang w:eastAsia="x-none"/>
          </w:rPr>
          <w:t>R1-2312216</w:t>
        </w:r>
      </w:hyperlink>
      <w:r w:rsidR="00835CB1" w:rsidRPr="009537ED">
        <w:rPr>
          <w:lang w:eastAsia="x-none"/>
        </w:rPr>
        <w:tab/>
        <w:t>Discussion on SL positioning MAC agreements</w:t>
      </w:r>
      <w:r w:rsidR="00835CB1" w:rsidRPr="009537ED">
        <w:rPr>
          <w:lang w:eastAsia="x-none"/>
        </w:rPr>
        <w:tab/>
        <w:t>Huawei, HiSilicon</w:t>
      </w:r>
    </w:p>
    <w:p w14:paraId="41F0A959" w14:textId="47FBCA14" w:rsidR="00533664" w:rsidRPr="009537ED" w:rsidRDefault="00533664" w:rsidP="00533664">
      <w:pPr>
        <w:rPr>
          <w:lang w:eastAsia="x-none"/>
        </w:rPr>
      </w:pPr>
      <w:r w:rsidRPr="009537ED">
        <w:rPr>
          <w:b/>
          <w:bCs/>
          <w:lang w:eastAsia="x-none"/>
        </w:rPr>
        <w:t>Decision:</w:t>
      </w:r>
      <w:r w:rsidRPr="009537ED">
        <w:rPr>
          <w:lang w:eastAsia="x-none"/>
        </w:rPr>
        <w:t xml:space="preserve"> RAN2 response to RAN1 LS (</w:t>
      </w:r>
      <w:hyperlink r:id="rId73" w:history="1">
        <w:r w:rsidR="00AF7253">
          <w:rPr>
            <w:rStyle w:val="Hyperlink"/>
            <w:lang w:eastAsia="x-none"/>
          </w:rPr>
          <w:t>R1-2308559</w:t>
        </w:r>
      </w:hyperlink>
      <w:r w:rsidRPr="009537ED">
        <w:rPr>
          <w:lang w:eastAsia="x-none"/>
        </w:rPr>
        <w:t>) from RAN1#114. To be taken into account as part of discussions in agenda item 8.3.</w:t>
      </w:r>
    </w:p>
    <w:p w14:paraId="7F1EEBC2" w14:textId="77777777" w:rsidR="00835CB1" w:rsidRPr="009537ED" w:rsidRDefault="00835CB1" w:rsidP="00835CB1">
      <w:pPr>
        <w:rPr>
          <w:lang w:eastAsia="x-none"/>
        </w:rPr>
      </w:pPr>
    </w:p>
    <w:p w14:paraId="3B2B7603" w14:textId="77777777" w:rsidR="001058C5" w:rsidRPr="00F91255" w:rsidRDefault="001058C5" w:rsidP="001058C5">
      <w:pPr>
        <w:rPr>
          <w:lang w:val="fr-FR" w:eastAsia="x-none"/>
        </w:rPr>
      </w:pPr>
      <w:r w:rsidRPr="00F91255">
        <w:rPr>
          <w:lang w:val="fr-FR" w:eastAsia="x-none"/>
        </w:rPr>
        <w:t>-----------------------</w:t>
      </w:r>
    </w:p>
    <w:p w14:paraId="307D83F2" w14:textId="77777777" w:rsidR="00835CB1" w:rsidRPr="00F91255" w:rsidRDefault="00835CB1" w:rsidP="00835CB1">
      <w:pPr>
        <w:rPr>
          <w:b/>
          <w:lang w:val="fr-FR" w:eastAsia="x-none"/>
        </w:rPr>
      </w:pPr>
      <w:r w:rsidRPr="00F91255">
        <w:rPr>
          <w:b/>
          <w:lang w:val="fr-FR" w:eastAsia="x-none"/>
        </w:rPr>
        <w:t>Rel-18 AI/ML</w:t>
      </w:r>
    </w:p>
    <w:p w14:paraId="5A3BA70A" w14:textId="0BC59C1C" w:rsidR="00835CB1" w:rsidRPr="00F91255" w:rsidRDefault="005A18DC" w:rsidP="00835CB1">
      <w:pPr>
        <w:rPr>
          <w:b/>
          <w:bCs/>
          <w:lang w:val="fr-FR" w:eastAsia="x-none"/>
        </w:rPr>
      </w:pPr>
      <w:hyperlink r:id="rId74" w:history="1">
        <w:r w:rsidR="00AF7253">
          <w:rPr>
            <w:rStyle w:val="Hyperlink"/>
            <w:b/>
            <w:bCs/>
            <w:lang w:val="fr-FR" w:eastAsia="x-none"/>
          </w:rPr>
          <w:t>R1-2310808</w:t>
        </w:r>
      </w:hyperlink>
      <w:r w:rsidR="00835CB1" w:rsidRPr="00F91255">
        <w:rPr>
          <w:b/>
          <w:bCs/>
          <w:lang w:val="fr-FR" w:eastAsia="x-none"/>
        </w:rPr>
        <w:tab/>
        <w:t>LS on AI/ML Core Network enhancements</w:t>
      </w:r>
      <w:r w:rsidR="00835CB1" w:rsidRPr="00F91255">
        <w:rPr>
          <w:b/>
          <w:bCs/>
          <w:lang w:val="fr-FR" w:eastAsia="x-none"/>
        </w:rPr>
        <w:tab/>
        <w:t>SA2, Qualcomm</w:t>
      </w:r>
    </w:p>
    <w:p w14:paraId="0FD1436C" w14:textId="77777777" w:rsidR="00835CB1" w:rsidRPr="00F91255" w:rsidRDefault="00835CB1" w:rsidP="00835CB1">
      <w:pPr>
        <w:rPr>
          <w:b/>
          <w:lang w:val="fr-FR" w:eastAsia="x-none"/>
        </w:rPr>
      </w:pPr>
      <w:r w:rsidRPr="00F91255">
        <w:rPr>
          <w:b/>
          <w:lang w:val="fr-FR" w:eastAsia="x-none"/>
        </w:rPr>
        <w:t>Relevant tdocs:</w:t>
      </w:r>
    </w:p>
    <w:p w14:paraId="6A143643" w14:textId="035C3A36" w:rsidR="00835CB1" w:rsidRPr="00F91255" w:rsidRDefault="005A18DC" w:rsidP="00835CB1">
      <w:pPr>
        <w:rPr>
          <w:lang w:val="fr-FR" w:eastAsia="x-none"/>
        </w:rPr>
      </w:pPr>
      <w:hyperlink r:id="rId75" w:history="1">
        <w:r w:rsidR="00AF7253">
          <w:rPr>
            <w:rStyle w:val="Hyperlink"/>
            <w:lang w:val="fr-FR" w:eastAsia="x-none"/>
          </w:rPr>
          <w:t>R1-2310905</w:t>
        </w:r>
      </w:hyperlink>
      <w:r w:rsidR="00835CB1" w:rsidRPr="00F91255">
        <w:rPr>
          <w:lang w:val="fr-FR" w:eastAsia="x-none"/>
        </w:rPr>
        <w:tab/>
        <w:t>Discussion of SA2 LS on AI/ML Core Network Enhancements</w:t>
      </w:r>
      <w:r w:rsidR="00835CB1" w:rsidRPr="00F91255">
        <w:rPr>
          <w:lang w:val="fr-FR" w:eastAsia="x-none"/>
        </w:rPr>
        <w:tab/>
        <w:t>Ericsson</w:t>
      </w:r>
    </w:p>
    <w:p w14:paraId="247292BD" w14:textId="67985FB6" w:rsidR="00835CB1" w:rsidRPr="00F91255" w:rsidRDefault="005A18DC" w:rsidP="00835CB1">
      <w:pPr>
        <w:rPr>
          <w:lang w:val="fr-FR" w:eastAsia="x-none"/>
        </w:rPr>
      </w:pPr>
      <w:hyperlink r:id="rId76" w:history="1">
        <w:r w:rsidR="00AF7253">
          <w:rPr>
            <w:rStyle w:val="Hyperlink"/>
            <w:lang w:val="fr-FR" w:eastAsia="x-none"/>
          </w:rPr>
          <w:t>R1-2311063</w:t>
        </w:r>
      </w:hyperlink>
      <w:r w:rsidR="00835CB1" w:rsidRPr="00F91255">
        <w:rPr>
          <w:lang w:val="fr-FR" w:eastAsia="x-none"/>
        </w:rPr>
        <w:tab/>
        <w:t>Discussion on reply LS to SA2 on AI/ML Core Network enhancements</w:t>
      </w:r>
      <w:r w:rsidR="00835CB1" w:rsidRPr="00F91255">
        <w:rPr>
          <w:lang w:val="fr-FR" w:eastAsia="x-none"/>
        </w:rPr>
        <w:tab/>
        <w:t>vivo</w:t>
      </w:r>
    </w:p>
    <w:p w14:paraId="5A7433CD" w14:textId="03438115" w:rsidR="00835CB1" w:rsidRPr="00F91255" w:rsidRDefault="005A18DC" w:rsidP="00835CB1">
      <w:pPr>
        <w:rPr>
          <w:lang w:val="fr-FR" w:eastAsia="x-none"/>
        </w:rPr>
      </w:pPr>
      <w:hyperlink r:id="rId77" w:history="1">
        <w:r w:rsidR="00AF7253">
          <w:rPr>
            <w:rStyle w:val="Hyperlink"/>
            <w:lang w:val="fr-FR" w:eastAsia="x-none"/>
          </w:rPr>
          <w:t>R1-2311272</w:t>
        </w:r>
      </w:hyperlink>
      <w:r w:rsidR="00835CB1" w:rsidRPr="00F91255">
        <w:rPr>
          <w:lang w:val="fr-FR" w:eastAsia="x-none"/>
        </w:rPr>
        <w:tab/>
        <w:t>Discussion on SA2 LS “LS on AI/ML Core Network enhancements”</w:t>
      </w:r>
      <w:r w:rsidR="00835CB1" w:rsidRPr="00F91255">
        <w:rPr>
          <w:lang w:val="fr-FR" w:eastAsia="x-none"/>
        </w:rPr>
        <w:tab/>
        <w:t>OPPO</w:t>
      </w:r>
    </w:p>
    <w:p w14:paraId="36F422D4" w14:textId="22222712" w:rsidR="00835CB1" w:rsidRPr="00F91255" w:rsidRDefault="005A18DC" w:rsidP="00835CB1">
      <w:pPr>
        <w:rPr>
          <w:lang w:val="fr-FR" w:eastAsia="x-none"/>
        </w:rPr>
      </w:pPr>
      <w:hyperlink r:id="rId78" w:history="1">
        <w:r w:rsidR="00AF7253">
          <w:rPr>
            <w:rStyle w:val="Hyperlink"/>
            <w:lang w:val="fr-FR" w:eastAsia="x-none"/>
          </w:rPr>
          <w:t>R1-2311313</w:t>
        </w:r>
      </w:hyperlink>
      <w:r w:rsidR="00835CB1" w:rsidRPr="00F91255">
        <w:rPr>
          <w:lang w:val="fr-FR" w:eastAsia="x-none"/>
        </w:rPr>
        <w:tab/>
        <w:t>Discussion on reply LS to SA2 on AI/ML Core Network enhancements</w:t>
      </w:r>
      <w:r w:rsidR="00835CB1" w:rsidRPr="00F91255">
        <w:rPr>
          <w:lang w:val="fr-FR" w:eastAsia="x-none"/>
        </w:rPr>
        <w:tab/>
        <w:t>CATT</w:t>
      </w:r>
    </w:p>
    <w:p w14:paraId="4EE8F34F" w14:textId="38F82DBE" w:rsidR="00835CB1" w:rsidRPr="00F91255" w:rsidRDefault="005A18DC" w:rsidP="00835CB1">
      <w:pPr>
        <w:rPr>
          <w:lang w:val="fr-FR" w:eastAsia="x-none"/>
        </w:rPr>
      </w:pPr>
      <w:hyperlink r:id="rId79" w:history="1">
        <w:r w:rsidR="00AF7253">
          <w:rPr>
            <w:rStyle w:val="Hyperlink"/>
            <w:lang w:val="fr-FR" w:eastAsia="x-none"/>
          </w:rPr>
          <w:t>R1-2311377</w:t>
        </w:r>
      </w:hyperlink>
      <w:r w:rsidR="00835CB1" w:rsidRPr="00F91255">
        <w:rPr>
          <w:lang w:val="fr-FR" w:eastAsia="x-none"/>
        </w:rPr>
        <w:tab/>
        <w:t>Discussion on SA LS on AI/ML Core Network enhancements</w:t>
      </w:r>
      <w:r w:rsidR="00835CB1" w:rsidRPr="00F91255">
        <w:rPr>
          <w:lang w:val="fr-FR" w:eastAsia="x-none"/>
        </w:rPr>
        <w:tab/>
        <w:t>xiaomi</w:t>
      </w:r>
    </w:p>
    <w:p w14:paraId="59CB04CD" w14:textId="426A3872" w:rsidR="00835CB1" w:rsidRPr="00F91255" w:rsidRDefault="005A18DC" w:rsidP="00835CB1">
      <w:pPr>
        <w:rPr>
          <w:lang w:val="fr-FR" w:eastAsia="x-none"/>
        </w:rPr>
      </w:pPr>
      <w:hyperlink r:id="rId80" w:history="1">
        <w:r w:rsidR="00AF7253">
          <w:rPr>
            <w:rStyle w:val="Hyperlink"/>
            <w:lang w:val="fr-FR" w:eastAsia="x-none"/>
          </w:rPr>
          <w:t>R1-2311561</w:t>
        </w:r>
      </w:hyperlink>
      <w:r w:rsidR="00835CB1" w:rsidRPr="00F91255">
        <w:rPr>
          <w:lang w:val="fr-FR" w:eastAsia="x-none"/>
        </w:rPr>
        <w:tab/>
        <w:t>Discussion of SA2 LS on AI/ML Core Network Enhancements</w:t>
      </w:r>
      <w:r w:rsidR="00835CB1" w:rsidRPr="00F91255">
        <w:rPr>
          <w:lang w:val="fr-FR" w:eastAsia="x-none"/>
        </w:rPr>
        <w:tab/>
        <w:t>ZTE</w:t>
      </w:r>
    </w:p>
    <w:p w14:paraId="5C8403EA" w14:textId="76B05161" w:rsidR="00835CB1" w:rsidRPr="009537ED" w:rsidRDefault="005A18DC" w:rsidP="00835CB1">
      <w:pPr>
        <w:rPr>
          <w:lang w:eastAsia="x-none"/>
        </w:rPr>
      </w:pPr>
      <w:hyperlink r:id="rId81" w:history="1">
        <w:r w:rsidR="00AF7253">
          <w:rPr>
            <w:rStyle w:val="Hyperlink"/>
            <w:lang w:eastAsia="x-none"/>
          </w:rPr>
          <w:t>R1-2311606</w:t>
        </w:r>
      </w:hyperlink>
      <w:r w:rsidR="00835CB1" w:rsidRPr="009537ED">
        <w:rPr>
          <w:lang w:eastAsia="x-none"/>
        </w:rPr>
        <w:tab/>
        <w:t>Discussion on LS from SA2 on Rel-18 AI/ML for air interface</w:t>
      </w:r>
      <w:r w:rsidR="00835CB1" w:rsidRPr="009537ED">
        <w:rPr>
          <w:lang w:eastAsia="x-none"/>
        </w:rPr>
        <w:tab/>
        <w:t>NTT DOCOMO, INC.</w:t>
      </w:r>
    </w:p>
    <w:p w14:paraId="4F9700DF" w14:textId="4F0045BA" w:rsidR="00835CB1" w:rsidRPr="009537ED" w:rsidRDefault="005A18DC" w:rsidP="00835CB1">
      <w:pPr>
        <w:rPr>
          <w:lang w:eastAsia="x-none"/>
        </w:rPr>
      </w:pPr>
      <w:hyperlink r:id="rId82" w:history="1">
        <w:r w:rsidR="00AF7253">
          <w:rPr>
            <w:rStyle w:val="Hyperlink"/>
            <w:lang w:eastAsia="x-none"/>
          </w:rPr>
          <w:t>R1-2311665</w:t>
        </w:r>
      </w:hyperlink>
      <w:r w:rsidR="00835CB1" w:rsidRPr="009537ED">
        <w:rPr>
          <w:lang w:eastAsia="x-none"/>
        </w:rPr>
        <w:tab/>
        <w:t>Reply LS on requirement for SA2 to support AI/ML for air interface</w:t>
      </w:r>
      <w:r w:rsidR="00835CB1" w:rsidRPr="009537ED">
        <w:rPr>
          <w:lang w:eastAsia="x-none"/>
        </w:rPr>
        <w:tab/>
        <w:t>Apple</w:t>
      </w:r>
    </w:p>
    <w:p w14:paraId="6F09552F" w14:textId="7246D1BA" w:rsidR="00835CB1" w:rsidRPr="009537ED" w:rsidRDefault="005A18DC" w:rsidP="00835CB1">
      <w:pPr>
        <w:rPr>
          <w:lang w:eastAsia="x-none"/>
        </w:rPr>
      </w:pPr>
      <w:hyperlink r:id="rId83" w:history="1">
        <w:r w:rsidR="00AF7253">
          <w:rPr>
            <w:rStyle w:val="Hyperlink"/>
            <w:lang w:eastAsia="x-none"/>
          </w:rPr>
          <w:t>R1-2311810</w:t>
        </w:r>
      </w:hyperlink>
      <w:r w:rsidR="00835CB1" w:rsidRPr="009537ED">
        <w:rPr>
          <w:lang w:eastAsia="x-none"/>
        </w:rPr>
        <w:tab/>
        <w:t>Discussion on SA2's LS on AI/ML Core Network enhancements</w:t>
      </w:r>
      <w:r w:rsidR="00835CB1" w:rsidRPr="009537ED">
        <w:rPr>
          <w:lang w:eastAsia="x-none"/>
        </w:rPr>
        <w:tab/>
        <w:t>Samsung</w:t>
      </w:r>
    </w:p>
    <w:p w14:paraId="5415D4AC" w14:textId="6457954F" w:rsidR="00835CB1" w:rsidRPr="009537ED" w:rsidRDefault="005A18DC" w:rsidP="00835CB1">
      <w:pPr>
        <w:rPr>
          <w:lang w:eastAsia="x-none"/>
        </w:rPr>
      </w:pPr>
      <w:hyperlink r:id="rId84" w:history="1">
        <w:r w:rsidR="00AF7253">
          <w:rPr>
            <w:rStyle w:val="Hyperlink"/>
            <w:lang w:eastAsia="x-none"/>
          </w:rPr>
          <w:t>R1-2312013</w:t>
        </w:r>
      </w:hyperlink>
      <w:r w:rsidR="00835CB1" w:rsidRPr="009537ED">
        <w:rPr>
          <w:lang w:eastAsia="x-none"/>
        </w:rPr>
        <w:tab/>
        <w:t>Discussion of SA2 LS on AI/ML Core Network enhancements</w:t>
      </w:r>
      <w:r w:rsidR="00835CB1" w:rsidRPr="009537ED">
        <w:rPr>
          <w:lang w:eastAsia="x-none"/>
        </w:rPr>
        <w:tab/>
        <w:t>Qualcomm Incorporated</w:t>
      </w:r>
    </w:p>
    <w:p w14:paraId="648CBA33" w14:textId="2BD0098C" w:rsidR="00835CB1" w:rsidRPr="009537ED" w:rsidRDefault="005A18DC" w:rsidP="00835CB1">
      <w:pPr>
        <w:rPr>
          <w:lang w:eastAsia="x-none"/>
        </w:rPr>
      </w:pPr>
      <w:hyperlink r:id="rId85" w:history="1">
        <w:r w:rsidR="00AF7253">
          <w:rPr>
            <w:rStyle w:val="Hyperlink"/>
            <w:lang w:eastAsia="x-none"/>
          </w:rPr>
          <w:t>R1-2312229</w:t>
        </w:r>
      </w:hyperlink>
      <w:r w:rsidR="00835CB1" w:rsidRPr="009537ED">
        <w:rPr>
          <w:lang w:eastAsia="x-none"/>
        </w:rPr>
        <w:tab/>
        <w:t>Discussion on LS reply to SA2 on air interface AI/ML</w:t>
      </w:r>
      <w:r w:rsidR="00835CB1" w:rsidRPr="009537ED">
        <w:rPr>
          <w:lang w:eastAsia="x-none"/>
        </w:rPr>
        <w:tab/>
        <w:t>Huawei, HiSilicon</w:t>
      </w:r>
    </w:p>
    <w:p w14:paraId="41539F52" w14:textId="77777777" w:rsidR="00533664" w:rsidRPr="00DF1ADD" w:rsidRDefault="00533664" w:rsidP="00533664">
      <w:pPr>
        <w:rPr>
          <w:lang w:eastAsia="x-none"/>
        </w:rPr>
      </w:pPr>
      <w:r w:rsidRPr="00DF1ADD">
        <w:rPr>
          <w:b/>
          <w:bCs/>
          <w:lang w:eastAsia="x-none"/>
        </w:rPr>
        <w:t xml:space="preserve">Decision: </w:t>
      </w:r>
      <w:r w:rsidRPr="00DF1ADD">
        <w:rPr>
          <w:lang w:eastAsia="x-none"/>
        </w:rPr>
        <w:t>SA2 is requesting input from RAN and RAN WGs on whether there is any requirement for SA2 to support AI/ML for air interface and NG-RAN in RAN. To be handled in agenda item 8.14. To be moderated by Taesang (Qualcomm).</w:t>
      </w:r>
    </w:p>
    <w:p w14:paraId="19AD8485" w14:textId="52573686" w:rsidR="00030A34" w:rsidRPr="009537ED" w:rsidRDefault="007C7A6F" w:rsidP="00835CB1">
      <w:pPr>
        <w:rPr>
          <w:lang w:eastAsia="x-none"/>
        </w:rPr>
      </w:pPr>
      <w:r w:rsidRPr="009537ED">
        <w:rPr>
          <w:b/>
          <w:bCs/>
          <w:lang w:eastAsia="x-none"/>
        </w:rPr>
        <w:t>Monday session:</w:t>
      </w:r>
      <w:r w:rsidRPr="009537ED">
        <w:rPr>
          <w:lang w:eastAsia="x-none"/>
        </w:rPr>
        <w:t xml:space="preserve"> </w:t>
      </w:r>
      <w:r w:rsidR="00030A34" w:rsidRPr="009537ED">
        <w:rPr>
          <w:lang w:eastAsia="x-none"/>
        </w:rPr>
        <w:t>Several companies expressed their views for handling it in Dec RAN meeting.</w:t>
      </w:r>
      <w:r w:rsidRPr="009537ED">
        <w:rPr>
          <w:lang w:eastAsia="x-none"/>
        </w:rPr>
        <w:t xml:space="preserve"> RAN1 Chair confirmed that </w:t>
      </w:r>
      <w:r w:rsidR="00030A34" w:rsidRPr="009537ED">
        <w:rPr>
          <w:lang w:eastAsia="x-none"/>
        </w:rPr>
        <w:t>RAN1 highest priority for this meeting is to get the AIML study complete</w:t>
      </w:r>
      <w:r w:rsidRPr="009537ED">
        <w:rPr>
          <w:lang w:eastAsia="x-none"/>
        </w:rPr>
        <w:t xml:space="preserve"> anyway.</w:t>
      </w:r>
    </w:p>
    <w:p w14:paraId="568A5CF1" w14:textId="77777777" w:rsidR="00533664" w:rsidRPr="009537ED" w:rsidRDefault="00533664" w:rsidP="00835CB1">
      <w:pPr>
        <w:rPr>
          <w:lang w:eastAsia="x-none"/>
        </w:rPr>
      </w:pPr>
    </w:p>
    <w:p w14:paraId="2EDD710C" w14:textId="77777777" w:rsidR="00030A34" w:rsidRPr="009537ED" w:rsidRDefault="00030A34" w:rsidP="00030A34">
      <w:pPr>
        <w:rPr>
          <w:lang w:eastAsia="x-none"/>
        </w:rPr>
      </w:pPr>
      <w:r w:rsidRPr="009537ED">
        <w:rPr>
          <w:lang w:eastAsia="x-none"/>
        </w:rPr>
        <w:t>-----------------------</w:t>
      </w:r>
    </w:p>
    <w:p w14:paraId="44C1C46E" w14:textId="77777777" w:rsidR="00835CB1" w:rsidRPr="009537ED" w:rsidRDefault="00835CB1" w:rsidP="00835CB1">
      <w:pPr>
        <w:rPr>
          <w:b/>
          <w:lang w:eastAsia="x-none"/>
        </w:rPr>
      </w:pPr>
      <w:r w:rsidRPr="009537ED">
        <w:rPr>
          <w:b/>
          <w:lang w:eastAsia="x-none"/>
        </w:rPr>
        <w:t>Rel-18 NES</w:t>
      </w:r>
    </w:p>
    <w:p w14:paraId="58998335" w14:textId="7DC08F02" w:rsidR="00835CB1" w:rsidRPr="009537ED" w:rsidRDefault="005A18DC" w:rsidP="00835CB1">
      <w:pPr>
        <w:rPr>
          <w:b/>
          <w:bCs/>
          <w:lang w:eastAsia="x-none"/>
        </w:rPr>
      </w:pPr>
      <w:hyperlink r:id="rId86" w:history="1">
        <w:r w:rsidR="00AF7253">
          <w:rPr>
            <w:rStyle w:val="Hyperlink"/>
            <w:b/>
            <w:bCs/>
            <w:lang w:eastAsia="x-none"/>
          </w:rPr>
          <w:t>R1-2311002</w:t>
        </w:r>
      </w:hyperlink>
      <w:r w:rsidR="00835CB1" w:rsidRPr="009537ED">
        <w:rPr>
          <w:b/>
          <w:bCs/>
          <w:lang w:eastAsia="x-none"/>
        </w:rPr>
        <w:tab/>
        <w:t>LS on NES CHO</w:t>
      </w:r>
      <w:r w:rsidR="00835CB1" w:rsidRPr="009537ED">
        <w:rPr>
          <w:b/>
          <w:bCs/>
          <w:lang w:eastAsia="x-none"/>
        </w:rPr>
        <w:tab/>
        <w:t>RAN2, Apple</w:t>
      </w:r>
    </w:p>
    <w:p w14:paraId="29DCB174" w14:textId="77777777" w:rsidR="00835CB1" w:rsidRPr="009537ED" w:rsidRDefault="00835CB1" w:rsidP="00835CB1">
      <w:pPr>
        <w:rPr>
          <w:b/>
          <w:lang w:eastAsia="x-none"/>
        </w:rPr>
      </w:pPr>
      <w:r w:rsidRPr="009537ED">
        <w:rPr>
          <w:b/>
          <w:lang w:eastAsia="x-none"/>
        </w:rPr>
        <w:t>Relevant tdocs:</w:t>
      </w:r>
    </w:p>
    <w:p w14:paraId="129082C4" w14:textId="3E7D5D5F" w:rsidR="00835CB1" w:rsidRPr="009537ED" w:rsidRDefault="005A18DC" w:rsidP="00835CB1">
      <w:pPr>
        <w:rPr>
          <w:lang w:eastAsia="x-none"/>
        </w:rPr>
      </w:pPr>
      <w:hyperlink r:id="rId87" w:history="1">
        <w:r w:rsidR="00AF7253">
          <w:rPr>
            <w:rStyle w:val="Hyperlink"/>
            <w:lang w:eastAsia="x-none"/>
          </w:rPr>
          <w:t>R1-2311071</w:t>
        </w:r>
      </w:hyperlink>
      <w:r w:rsidR="00835CB1" w:rsidRPr="009537ED">
        <w:rPr>
          <w:lang w:eastAsia="x-none"/>
        </w:rPr>
        <w:tab/>
        <w:t>Draft reply LS on NES CHO</w:t>
      </w:r>
      <w:r w:rsidR="00835CB1" w:rsidRPr="009537ED">
        <w:rPr>
          <w:lang w:eastAsia="x-none"/>
        </w:rPr>
        <w:tab/>
        <w:t>vivo</w:t>
      </w:r>
    </w:p>
    <w:p w14:paraId="4CF54197" w14:textId="1B2274E6" w:rsidR="00835CB1" w:rsidRPr="009537ED" w:rsidRDefault="005A18DC" w:rsidP="00835CB1">
      <w:pPr>
        <w:rPr>
          <w:lang w:eastAsia="x-none"/>
        </w:rPr>
      </w:pPr>
      <w:hyperlink r:id="rId88" w:history="1">
        <w:r w:rsidR="00AF7253">
          <w:rPr>
            <w:rStyle w:val="Hyperlink"/>
            <w:lang w:eastAsia="x-none"/>
          </w:rPr>
          <w:t>R1-2311251</w:t>
        </w:r>
      </w:hyperlink>
      <w:r w:rsidR="00835CB1" w:rsidRPr="009537ED">
        <w:rPr>
          <w:lang w:eastAsia="x-none"/>
        </w:rPr>
        <w:tab/>
        <w:t>Discussion on LS on NES CHO</w:t>
      </w:r>
      <w:r w:rsidR="00835CB1" w:rsidRPr="009537ED">
        <w:rPr>
          <w:lang w:eastAsia="x-none"/>
        </w:rPr>
        <w:tab/>
        <w:t>OPPO</w:t>
      </w:r>
    </w:p>
    <w:p w14:paraId="77E21405" w14:textId="63BA05E5" w:rsidR="00835CB1" w:rsidRPr="009537ED" w:rsidRDefault="005A18DC" w:rsidP="00835CB1">
      <w:pPr>
        <w:rPr>
          <w:lang w:eastAsia="x-none"/>
        </w:rPr>
      </w:pPr>
      <w:hyperlink r:id="rId89" w:history="1">
        <w:r w:rsidR="00AF7253">
          <w:rPr>
            <w:rStyle w:val="Hyperlink"/>
            <w:lang w:eastAsia="x-none"/>
          </w:rPr>
          <w:t>R1-2311252</w:t>
        </w:r>
      </w:hyperlink>
      <w:r w:rsidR="00835CB1" w:rsidRPr="009537ED">
        <w:rPr>
          <w:lang w:eastAsia="x-none"/>
        </w:rPr>
        <w:tab/>
        <w:t>Draft reply LS on NES CHO</w:t>
      </w:r>
      <w:r w:rsidR="00835CB1" w:rsidRPr="009537ED">
        <w:rPr>
          <w:lang w:eastAsia="x-none"/>
        </w:rPr>
        <w:tab/>
        <w:t>OPPO</w:t>
      </w:r>
    </w:p>
    <w:p w14:paraId="3726FFAC" w14:textId="38AD88B9" w:rsidR="00835CB1" w:rsidRPr="009537ED" w:rsidRDefault="005A18DC" w:rsidP="00835CB1">
      <w:pPr>
        <w:rPr>
          <w:lang w:eastAsia="x-none"/>
        </w:rPr>
      </w:pPr>
      <w:hyperlink r:id="rId90" w:history="1">
        <w:r w:rsidR="00AF7253">
          <w:rPr>
            <w:rStyle w:val="Hyperlink"/>
            <w:lang w:eastAsia="x-none"/>
          </w:rPr>
          <w:t>R1-2311451</w:t>
        </w:r>
      </w:hyperlink>
      <w:r w:rsidR="00835CB1" w:rsidRPr="009537ED">
        <w:rPr>
          <w:lang w:eastAsia="x-none"/>
        </w:rPr>
        <w:tab/>
        <w:t>Discussion on NES CHO</w:t>
      </w:r>
      <w:r w:rsidR="00835CB1" w:rsidRPr="009537ED">
        <w:rPr>
          <w:lang w:eastAsia="x-none"/>
        </w:rPr>
        <w:tab/>
        <w:t>ZTE, Sanechips</w:t>
      </w:r>
    </w:p>
    <w:p w14:paraId="6E2B4D10" w14:textId="7C2A09A4" w:rsidR="00835CB1" w:rsidRPr="009537ED" w:rsidRDefault="005A18DC" w:rsidP="00835CB1">
      <w:pPr>
        <w:rPr>
          <w:lang w:eastAsia="x-none"/>
        </w:rPr>
      </w:pPr>
      <w:hyperlink r:id="rId91" w:history="1">
        <w:r w:rsidR="00AF7253">
          <w:rPr>
            <w:rStyle w:val="Hyperlink"/>
            <w:lang w:eastAsia="x-none"/>
          </w:rPr>
          <w:t>R1-2311469</w:t>
        </w:r>
      </w:hyperlink>
      <w:r w:rsidR="00835CB1" w:rsidRPr="009537ED">
        <w:rPr>
          <w:lang w:eastAsia="x-none"/>
        </w:rPr>
        <w:tab/>
        <w:t>Discussion on signaling design for CHO enhancement in DCI format 2_9</w:t>
      </w:r>
      <w:r w:rsidR="00835CB1" w:rsidRPr="009537ED">
        <w:rPr>
          <w:lang w:eastAsia="x-none"/>
        </w:rPr>
        <w:tab/>
        <w:t>CMCC</w:t>
      </w:r>
    </w:p>
    <w:p w14:paraId="0E384804" w14:textId="5EF40FA3" w:rsidR="00835CB1" w:rsidRPr="009537ED" w:rsidRDefault="005A18DC" w:rsidP="00835CB1">
      <w:pPr>
        <w:rPr>
          <w:lang w:eastAsia="x-none"/>
        </w:rPr>
      </w:pPr>
      <w:hyperlink r:id="rId92" w:history="1">
        <w:r w:rsidR="00AF7253">
          <w:rPr>
            <w:rStyle w:val="Hyperlink"/>
            <w:lang w:eastAsia="x-none"/>
          </w:rPr>
          <w:t>R1-2311663</w:t>
        </w:r>
      </w:hyperlink>
      <w:r w:rsidR="00835CB1" w:rsidRPr="009537ED">
        <w:rPr>
          <w:lang w:eastAsia="x-none"/>
        </w:rPr>
        <w:tab/>
        <w:t>Discussion on RAN2 LS on NES CHO</w:t>
      </w:r>
      <w:r w:rsidR="00835CB1" w:rsidRPr="009537ED">
        <w:rPr>
          <w:lang w:eastAsia="x-none"/>
        </w:rPr>
        <w:tab/>
        <w:t>Apple</w:t>
      </w:r>
    </w:p>
    <w:p w14:paraId="202F75D5" w14:textId="3E3F3E4A" w:rsidR="00835CB1" w:rsidRPr="009537ED" w:rsidRDefault="005A18DC" w:rsidP="00835CB1">
      <w:pPr>
        <w:rPr>
          <w:lang w:eastAsia="x-none"/>
        </w:rPr>
      </w:pPr>
      <w:hyperlink r:id="rId93" w:history="1">
        <w:r w:rsidR="00AF7253">
          <w:rPr>
            <w:rStyle w:val="Hyperlink"/>
            <w:lang w:eastAsia="x-none"/>
          </w:rPr>
          <w:t>R1-2311800</w:t>
        </w:r>
      </w:hyperlink>
      <w:r w:rsidR="00835CB1" w:rsidRPr="009537ED">
        <w:rPr>
          <w:lang w:eastAsia="x-none"/>
        </w:rPr>
        <w:tab/>
        <w:t>Discussion on LS on NES CHO</w:t>
      </w:r>
      <w:r w:rsidR="00835CB1" w:rsidRPr="009537ED">
        <w:rPr>
          <w:lang w:eastAsia="x-none"/>
        </w:rPr>
        <w:tab/>
        <w:t>Nokia, Nokia Shanghai Bell</w:t>
      </w:r>
    </w:p>
    <w:p w14:paraId="57C81E94" w14:textId="657C0A4A" w:rsidR="00835CB1" w:rsidRPr="009537ED" w:rsidRDefault="005A18DC" w:rsidP="00835CB1">
      <w:pPr>
        <w:rPr>
          <w:lang w:eastAsia="x-none"/>
        </w:rPr>
      </w:pPr>
      <w:hyperlink r:id="rId94" w:history="1">
        <w:r w:rsidR="00AF7253">
          <w:rPr>
            <w:rStyle w:val="Hyperlink"/>
            <w:lang w:eastAsia="x-none"/>
          </w:rPr>
          <w:t>R1-2311801</w:t>
        </w:r>
      </w:hyperlink>
      <w:r w:rsidR="00835CB1" w:rsidRPr="009537ED">
        <w:rPr>
          <w:lang w:eastAsia="x-none"/>
        </w:rPr>
        <w:tab/>
        <w:t>Draft reply LS on NES CHO</w:t>
      </w:r>
      <w:r w:rsidR="00835CB1" w:rsidRPr="009537ED">
        <w:rPr>
          <w:lang w:eastAsia="x-none"/>
        </w:rPr>
        <w:tab/>
        <w:t>Nokia, Nokia Shanghai Bell</w:t>
      </w:r>
    </w:p>
    <w:p w14:paraId="334A086E" w14:textId="4AAC717E" w:rsidR="00835CB1" w:rsidRPr="009537ED" w:rsidRDefault="005A18DC" w:rsidP="00835CB1">
      <w:pPr>
        <w:rPr>
          <w:lang w:eastAsia="x-none"/>
        </w:rPr>
      </w:pPr>
      <w:hyperlink r:id="rId95" w:history="1">
        <w:r w:rsidR="00AF7253">
          <w:rPr>
            <w:rStyle w:val="Hyperlink"/>
            <w:lang w:eastAsia="x-none"/>
          </w:rPr>
          <w:t>R1-2311937</w:t>
        </w:r>
      </w:hyperlink>
      <w:r w:rsidR="00835CB1" w:rsidRPr="009537ED">
        <w:rPr>
          <w:lang w:eastAsia="x-none"/>
        </w:rPr>
        <w:tab/>
        <w:t>Discussion on RAN2 LS on NES CHO</w:t>
      </w:r>
      <w:r w:rsidR="00835CB1" w:rsidRPr="009537ED">
        <w:rPr>
          <w:lang w:eastAsia="x-none"/>
        </w:rPr>
        <w:tab/>
        <w:t>Lenovo</w:t>
      </w:r>
    </w:p>
    <w:p w14:paraId="33689F6E" w14:textId="2BCA7829" w:rsidR="00835CB1" w:rsidRPr="009537ED" w:rsidRDefault="005A18DC" w:rsidP="00835CB1">
      <w:pPr>
        <w:rPr>
          <w:lang w:eastAsia="x-none"/>
        </w:rPr>
      </w:pPr>
      <w:hyperlink r:id="rId96" w:history="1">
        <w:r w:rsidR="00AF7253">
          <w:rPr>
            <w:rStyle w:val="Hyperlink"/>
            <w:lang w:eastAsia="x-none"/>
          </w:rPr>
          <w:t>R1-2312110</w:t>
        </w:r>
      </w:hyperlink>
      <w:r w:rsidR="00835CB1" w:rsidRPr="009537ED">
        <w:rPr>
          <w:lang w:eastAsia="x-none"/>
        </w:rPr>
        <w:tab/>
        <w:t>Impact on DCI format_2_9 regarding NES-specific CHO</w:t>
      </w:r>
      <w:r w:rsidR="00835CB1" w:rsidRPr="009537ED">
        <w:rPr>
          <w:lang w:eastAsia="x-none"/>
        </w:rPr>
        <w:tab/>
        <w:t>ASUSTeK</w:t>
      </w:r>
    </w:p>
    <w:p w14:paraId="4FB92038" w14:textId="3BC9607E" w:rsidR="00835CB1" w:rsidRPr="009537ED" w:rsidRDefault="005A18DC" w:rsidP="00835CB1">
      <w:pPr>
        <w:rPr>
          <w:lang w:eastAsia="x-none"/>
        </w:rPr>
      </w:pPr>
      <w:hyperlink r:id="rId97" w:history="1">
        <w:r w:rsidR="00AF7253">
          <w:rPr>
            <w:rStyle w:val="Hyperlink"/>
            <w:lang w:eastAsia="x-none"/>
          </w:rPr>
          <w:t>R1-2312114</w:t>
        </w:r>
      </w:hyperlink>
      <w:r w:rsidR="00835CB1" w:rsidRPr="009537ED">
        <w:rPr>
          <w:lang w:eastAsia="x-none"/>
        </w:rPr>
        <w:tab/>
        <w:t>Discussion on LS on NES CHO</w:t>
      </w:r>
      <w:r w:rsidR="00835CB1" w:rsidRPr="009537ED">
        <w:rPr>
          <w:lang w:eastAsia="x-none"/>
        </w:rPr>
        <w:tab/>
        <w:t>FGI</w:t>
      </w:r>
    </w:p>
    <w:p w14:paraId="0C15D558" w14:textId="3C2FDBDF" w:rsidR="00835CB1" w:rsidRPr="009537ED" w:rsidRDefault="005A18DC" w:rsidP="00835CB1">
      <w:pPr>
        <w:rPr>
          <w:lang w:eastAsia="x-none"/>
        </w:rPr>
      </w:pPr>
      <w:hyperlink r:id="rId98" w:history="1">
        <w:r w:rsidR="00AF7253">
          <w:rPr>
            <w:rStyle w:val="Hyperlink"/>
            <w:lang w:eastAsia="x-none"/>
          </w:rPr>
          <w:t>R1-2312156</w:t>
        </w:r>
      </w:hyperlink>
      <w:r w:rsidR="00835CB1" w:rsidRPr="009537ED">
        <w:rPr>
          <w:lang w:eastAsia="x-none"/>
        </w:rPr>
        <w:tab/>
        <w:t>Discussion on LS on NES CHO</w:t>
      </w:r>
      <w:r w:rsidR="00835CB1" w:rsidRPr="009537ED">
        <w:rPr>
          <w:lang w:eastAsia="x-none"/>
        </w:rPr>
        <w:tab/>
        <w:t>Huawei, HiSilicon</w:t>
      </w:r>
    </w:p>
    <w:p w14:paraId="0C73D0EB" w14:textId="0E377ADF" w:rsidR="00030A34" w:rsidRPr="00DF1ADD" w:rsidRDefault="00030A34" w:rsidP="00030A34">
      <w:pPr>
        <w:rPr>
          <w:lang w:eastAsia="x-none"/>
        </w:rPr>
      </w:pPr>
      <w:r w:rsidRPr="009537ED">
        <w:rPr>
          <w:b/>
          <w:bCs/>
          <w:lang w:eastAsia="x-none"/>
        </w:rPr>
        <w:t xml:space="preserve">Decision: </w:t>
      </w:r>
      <w:r w:rsidRPr="009537ED">
        <w:rPr>
          <w:lang w:eastAsia="x-none"/>
        </w:rPr>
        <w:t xml:space="preserve">RAN2 is requesting RAN1 to specify an additional bit in DCI format 2-9 to trigger both use cases of Cell DTX/DRX </w:t>
      </w:r>
      <w:r w:rsidRPr="00DF1ADD">
        <w:rPr>
          <w:lang w:eastAsia="x-none"/>
        </w:rPr>
        <w:t>activation and cell turning off. To be handled in agenda item 8.5. To be moderated by Daewon (Intel).</w:t>
      </w:r>
    </w:p>
    <w:p w14:paraId="3CA65202" w14:textId="77777777" w:rsidR="00835CB1" w:rsidRPr="009537ED" w:rsidRDefault="00835CB1" w:rsidP="00835CB1">
      <w:pPr>
        <w:rPr>
          <w:lang w:eastAsia="x-none"/>
        </w:rPr>
      </w:pPr>
    </w:p>
    <w:p w14:paraId="00507277" w14:textId="77777777" w:rsidR="00030A34" w:rsidRPr="009537ED" w:rsidRDefault="00030A34" w:rsidP="00030A34">
      <w:pPr>
        <w:rPr>
          <w:lang w:eastAsia="x-none"/>
        </w:rPr>
      </w:pPr>
      <w:r w:rsidRPr="009537ED">
        <w:rPr>
          <w:lang w:eastAsia="x-none"/>
        </w:rPr>
        <w:t>-----------------------</w:t>
      </w:r>
    </w:p>
    <w:p w14:paraId="53A4E3AD" w14:textId="77777777" w:rsidR="00835CB1" w:rsidRPr="009537ED" w:rsidRDefault="00835CB1" w:rsidP="00835CB1">
      <w:pPr>
        <w:rPr>
          <w:b/>
          <w:lang w:eastAsia="x-none"/>
        </w:rPr>
      </w:pPr>
      <w:r w:rsidRPr="009537ED">
        <w:rPr>
          <w:b/>
          <w:lang w:eastAsia="x-none"/>
        </w:rPr>
        <w:t>Rel-18 Mobility</w:t>
      </w:r>
    </w:p>
    <w:p w14:paraId="77BF5297" w14:textId="169551F3" w:rsidR="00835CB1" w:rsidRPr="009537ED" w:rsidRDefault="005A18DC" w:rsidP="00835CB1">
      <w:pPr>
        <w:rPr>
          <w:b/>
          <w:bCs/>
          <w:lang w:eastAsia="x-none"/>
        </w:rPr>
      </w:pPr>
      <w:hyperlink r:id="rId99" w:history="1">
        <w:r w:rsidR="00AF7253">
          <w:rPr>
            <w:rStyle w:val="Hyperlink"/>
            <w:b/>
            <w:bCs/>
            <w:lang w:eastAsia="x-none"/>
          </w:rPr>
          <w:t>R1-2310795</w:t>
        </w:r>
      </w:hyperlink>
      <w:r w:rsidR="00835CB1" w:rsidRPr="009537ED">
        <w:rPr>
          <w:b/>
          <w:bCs/>
          <w:lang w:eastAsia="x-none"/>
        </w:rPr>
        <w:tab/>
        <w:t>Reply LS on beam application time for LTM</w:t>
      </w:r>
      <w:r w:rsidR="00835CB1" w:rsidRPr="009537ED">
        <w:rPr>
          <w:b/>
          <w:bCs/>
          <w:lang w:eastAsia="x-none"/>
        </w:rPr>
        <w:tab/>
        <w:t>RAN4, Ericsson</w:t>
      </w:r>
    </w:p>
    <w:p w14:paraId="309453A2" w14:textId="77777777" w:rsidR="00835CB1" w:rsidRPr="009537ED" w:rsidRDefault="00835CB1" w:rsidP="00835CB1">
      <w:pPr>
        <w:rPr>
          <w:b/>
          <w:lang w:eastAsia="x-none"/>
        </w:rPr>
      </w:pPr>
      <w:r w:rsidRPr="009537ED">
        <w:rPr>
          <w:b/>
          <w:lang w:eastAsia="x-none"/>
        </w:rPr>
        <w:t>Relevant tdocs:</w:t>
      </w:r>
    </w:p>
    <w:p w14:paraId="4559387C" w14:textId="25C3D33A" w:rsidR="00835CB1" w:rsidRPr="009537ED" w:rsidRDefault="005A18DC" w:rsidP="00835CB1">
      <w:pPr>
        <w:rPr>
          <w:lang w:eastAsia="x-none"/>
        </w:rPr>
      </w:pPr>
      <w:hyperlink r:id="rId100" w:history="1">
        <w:r w:rsidR="00AF7253">
          <w:rPr>
            <w:rStyle w:val="Hyperlink"/>
            <w:lang w:eastAsia="x-none"/>
          </w:rPr>
          <w:t>R1-2311055</w:t>
        </w:r>
      </w:hyperlink>
      <w:r w:rsidR="00835CB1" w:rsidRPr="009537ED">
        <w:rPr>
          <w:lang w:eastAsia="x-none"/>
        </w:rPr>
        <w:tab/>
        <w:t>Discussion on beam application time for L1/L2-Triggered Mobility</w:t>
      </w:r>
      <w:r w:rsidR="00835CB1" w:rsidRPr="009537ED">
        <w:rPr>
          <w:lang w:eastAsia="x-none"/>
        </w:rPr>
        <w:tab/>
        <w:t>vivo</w:t>
      </w:r>
    </w:p>
    <w:p w14:paraId="0AD8B43B" w14:textId="1CD30E72" w:rsidR="00835CB1" w:rsidRPr="009537ED" w:rsidRDefault="005A18DC" w:rsidP="00835CB1">
      <w:pPr>
        <w:rPr>
          <w:lang w:eastAsia="x-none"/>
        </w:rPr>
      </w:pPr>
      <w:hyperlink r:id="rId101" w:history="1">
        <w:r w:rsidR="00AF7253">
          <w:rPr>
            <w:rStyle w:val="Hyperlink"/>
            <w:lang w:eastAsia="x-none"/>
          </w:rPr>
          <w:t>R1-2311234</w:t>
        </w:r>
      </w:hyperlink>
      <w:r w:rsidR="00835CB1" w:rsidRPr="009537ED">
        <w:rPr>
          <w:lang w:eastAsia="x-none"/>
        </w:rPr>
        <w:tab/>
        <w:t>Discussion on Reply LS on beam application time for LTM</w:t>
      </w:r>
      <w:r w:rsidR="00835CB1" w:rsidRPr="009537ED">
        <w:rPr>
          <w:lang w:eastAsia="x-none"/>
        </w:rPr>
        <w:tab/>
        <w:t>OPPO</w:t>
      </w:r>
    </w:p>
    <w:p w14:paraId="36870457" w14:textId="7ABE9E76" w:rsidR="00835CB1" w:rsidRPr="009537ED" w:rsidRDefault="005A18DC" w:rsidP="00835CB1">
      <w:pPr>
        <w:rPr>
          <w:lang w:eastAsia="x-none"/>
        </w:rPr>
      </w:pPr>
      <w:hyperlink r:id="rId102" w:history="1">
        <w:r w:rsidR="00AF7253">
          <w:rPr>
            <w:rStyle w:val="Hyperlink"/>
            <w:lang w:eastAsia="x-none"/>
          </w:rPr>
          <w:t>R1-2311892</w:t>
        </w:r>
      </w:hyperlink>
      <w:r w:rsidR="00835CB1" w:rsidRPr="009537ED">
        <w:rPr>
          <w:lang w:eastAsia="x-none"/>
        </w:rPr>
        <w:tab/>
        <w:t>Discussion on Reply LS on Beam Application Time for LTM</w:t>
      </w:r>
      <w:r w:rsidR="00835CB1" w:rsidRPr="009537ED">
        <w:rPr>
          <w:lang w:eastAsia="x-none"/>
        </w:rPr>
        <w:tab/>
        <w:t>Nokia, Nokia Shanghai Bell</w:t>
      </w:r>
    </w:p>
    <w:p w14:paraId="7DB2F66C" w14:textId="78673777" w:rsidR="00233467" w:rsidRPr="009537ED" w:rsidRDefault="00233467" w:rsidP="00233467">
      <w:pPr>
        <w:rPr>
          <w:lang w:eastAsia="x-none"/>
        </w:rPr>
      </w:pPr>
      <w:r w:rsidRPr="009537ED">
        <w:rPr>
          <w:b/>
          <w:bCs/>
          <w:lang w:eastAsia="x-none"/>
        </w:rPr>
        <w:t xml:space="preserve">Decision: </w:t>
      </w:r>
      <w:r w:rsidRPr="009537ED">
        <w:rPr>
          <w:lang w:eastAsia="x-none"/>
        </w:rPr>
        <w:t>RAN4 response to RAN1 LS (</w:t>
      </w:r>
      <w:hyperlink r:id="rId103" w:history="1">
        <w:r w:rsidR="00AF7253">
          <w:rPr>
            <w:rStyle w:val="Hyperlink"/>
            <w:lang w:eastAsia="x-none"/>
          </w:rPr>
          <w:t>R1-2306259</w:t>
        </w:r>
      </w:hyperlink>
      <w:r w:rsidRPr="009537ED">
        <w:rPr>
          <w:lang w:eastAsia="x-none"/>
        </w:rPr>
        <w:t>) from RAN1#113. To be taken into account as part of discussions in agenda item 8.7.</w:t>
      </w:r>
    </w:p>
    <w:p w14:paraId="74BE4D54" w14:textId="55A4777B" w:rsidR="00835CB1" w:rsidRPr="009537ED" w:rsidRDefault="00835CB1" w:rsidP="00835CB1">
      <w:pPr>
        <w:rPr>
          <w:lang w:eastAsia="x-none"/>
        </w:rPr>
      </w:pPr>
    </w:p>
    <w:p w14:paraId="7E0FC3A8" w14:textId="77777777" w:rsidR="00233467" w:rsidRPr="009537ED" w:rsidRDefault="00233467" w:rsidP="00835CB1">
      <w:pPr>
        <w:rPr>
          <w:lang w:eastAsia="x-none"/>
        </w:rPr>
      </w:pPr>
    </w:p>
    <w:p w14:paraId="43A9738C" w14:textId="0E976E8D" w:rsidR="00835CB1" w:rsidRPr="009537ED" w:rsidRDefault="005A18DC" w:rsidP="00835CB1">
      <w:pPr>
        <w:rPr>
          <w:b/>
          <w:bCs/>
          <w:lang w:eastAsia="x-none"/>
        </w:rPr>
      </w:pPr>
      <w:hyperlink r:id="rId104" w:history="1">
        <w:r w:rsidR="00AF7253">
          <w:rPr>
            <w:rStyle w:val="Hyperlink"/>
            <w:b/>
            <w:bCs/>
            <w:lang w:eastAsia="x-none"/>
          </w:rPr>
          <w:t>R1-2310809</w:t>
        </w:r>
      </w:hyperlink>
      <w:r w:rsidR="00835CB1" w:rsidRPr="009537ED">
        <w:rPr>
          <w:b/>
          <w:bCs/>
          <w:lang w:eastAsia="x-none"/>
        </w:rPr>
        <w:tab/>
        <w:t>LS on L1 measurements for LTM</w:t>
      </w:r>
      <w:r w:rsidR="00835CB1" w:rsidRPr="009537ED">
        <w:rPr>
          <w:b/>
          <w:bCs/>
          <w:lang w:eastAsia="x-none"/>
        </w:rPr>
        <w:tab/>
        <w:t>RAN2, Ericsson</w:t>
      </w:r>
    </w:p>
    <w:p w14:paraId="7FF09552" w14:textId="77777777" w:rsidR="00835CB1" w:rsidRPr="009537ED" w:rsidRDefault="00835CB1" w:rsidP="00835CB1">
      <w:pPr>
        <w:rPr>
          <w:b/>
          <w:lang w:eastAsia="x-none"/>
        </w:rPr>
      </w:pPr>
      <w:r w:rsidRPr="009537ED">
        <w:rPr>
          <w:b/>
          <w:lang w:eastAsia="x-none"/>
        </w:rPr>
        <w:t>Relevant tdocs:</w:t>
      </w:r>
    </w:p>
    <w:p w14:paraId="4B9D67D8" w14:textId="00FEA8E9" w:rsidR="00835CB1" w:rsidRPr="009537ED" w:rsidRDefault="005A18DC" w:rsidP="00835CB1">
      <w:pPr>
        <w:rPr>
          <w:lang w:eastAsia="x-none"/>
        </w:rPr>
      </w:pPr>
      <w:hyperlink r:id="rId105" w:history="1">
        <w:r w:rsidR="00AF7253">
          <w:rPr>
            <w:rStyle w:val="Hyperlink"/>
            <w:lang w:eastAsia="x-none"/>
          </w:rPr>
          <w:t>R1-2310959</w:t>
        </w:r>
      </w:hyperlink>
      <w:r w:rsidR="00835CB1" w:rsidRPr="009537ED">
        <w:rPr>
          <w:lang w:eastAsia="x-none"/>
        </w:rPr>
        <w:tab/>
        <w:t>Discussion on L1 measurements for LTM</w:t>
      </w:r>
      <w:r w:rsidR="00835CB1" w:rsidRPr="009537ED">
        <w:rPr>
          <w:lang w:eastAsia="x-none"/>
        </w:rPr>
        <w:tab/>
        <w:t>ZTE</w:t>
      </w:r>
    </w:p>
    <w:p w14:paraId="70A5A973" w14:textId="04C1666D" w:rsidR="00835CB1" w:rsidRPr="009537ED" w:rsidRDefault="005A18DC" w:rsidP="00835CB1">
      <w:pPr>
        <w:rPr>
          <w:lang w:eastAsia="x-none"/>
        </w:rPr>
      </w:pPr>
      <w:hyperlink r:id="rId106" w:history="1">
        <w:r w:rsidR="00AF7253">
          <w:rPr>
            <w:rStyle w:val="Hyperlink"/>
            <w:lang w:eastAsia="x-none"/>
          </w:rPr>
          <w:t>R1-2310975</w:t>
        </w:r>
      </w:hyperlink>
      <w:r w:rsidR="00835CB1" w:rsidRPr="009537ED">
        <w:rPr>
          <w:lang w:eastAsia="x-none"/>
        </w:rPr>
        <w:tab/>
        <w:t>Discussion on LS on L1 measurements</w:t>
      </w:r>
      <w:r w:rsidR="00835CB1" w:rsidRPr="009537ED">
        <w:rPr>
          <w:lang w:eastAsia="x-none"/>
        </w:rPr>
        <w:tab/>
        <w:t>Ericsson</w:t>
      </w:r>
    </w:p>
    <w:p w14:paraId="1E6294C5" w14:textId="2B3DD676" w:rsidR="00835CB1" w:rsidRPr="009537ED" w:rsidRDefault="005A18DC" w:rsidP="00835CB1">
      <w:pPr>
        <w:rPr>
          <w:lang w:eastAsia="x-none"/>
        </w:rPr>
      </w:pPr>
      <w:hyperlink r:id="rId107" w:history="1">
        <w:r w:rsidR="00AF7253">
          <w:rPr>
            <w:rStyle w:val="Hyperlink"/>
            <w:lang w:eastAsia="x-none"/>
          </w:rPr>
          <w:t>R1-2311056</w:t>
        </w:r>
      </w:hyperlink>
      <w:r w:rsidR="00835CB1" w:rsidRPr="009537ED">
        <w:rPr>
          <w:lang w:eastAsia="x-none"/>
        </w:rPr>
        <w:tab/>
        <w:t>Draft reply LS on L1 measurements for LTM</w:t>
      </w:r>
      <w:r w:rsidR="00835CB1" w:rsidRPr="009537ED">
        <w:rPr>
          <w:lang w:eastAsia="x-none"/>
        </w:rPr>
        <w:tab/>
        <w:t>vivo</w:t>
      </w:r>
    </w:p>
    <w:p w14:paraId="46F203EF" w14:textId="6C36D52A" w:rsidR="00835CB1" w:rsidRPr="009537ED" w:rsidRDefault="005A18DC" w:rsidP="00835CB1">
      <w:pPr>
        <w:rPr>
          <w:lang w:eastAsia="x-none"/>
        </w:rPr>
      </w:pPr>
      <w:hyperlink r:id="rId108" w:history="1">
        <w:r w:rsidR="00AF7253">
          <w:rPr>
            <w:rStyle w:val="Hyperlink"/>
            <w:lang w:eastAsia="x-none"/>
          </w:rPr>
          <w:t>R1-2311233</w:t>
        </w:r>
      </w:hyperlink>
      <w:r w:rsidR="00835CB1" w:rsidRPr="009537ED">
        <w:rPr>
          <w:lang w:eastAsia="x-none"/>
        </w:rPr>
        <w:tab/>
        <w:t>Discussion on LS on L1 measurements for LTM</w:t>
      </w:r>
      <w:r w:rsidR="00835CB1" w:rsidRPr="009537ED">
        <w:rPr>
          <w:lang w:eastAsia="x-none"/>
        </w:rPr>
        <w:tab/>
        <w:t>OPPO</w:t>
      </w:r>
    </w:p>
    <w:p w14:paraId="4D8DD4C5" w14:textId="1B8F5378" w:rsidR="00835CB1" w:rsidRPr="009537ED" w:rsidRDefault="005A18DC" w:rsidP="00835CB1">
      <w:pPr>
        <w:rPr>
          <w:lang w:eastAsia="x-none"/>
        </w:rPr>
      </w:pPr>
      <w:hyperlink r:id="rId109" w:history="1">
        <w:r w:rsidR="00AF7253">
          <w:rPr>
            <w:rStyle w:val="Hyperlink"/>
            <w:lang w:eastAsia="x-none"/>
          </w:rPr>
          <w:t>R1-2311370</w:t>
        </w:r>
      </w:hyperlink>
      <w:r w:rsidR="00835CB1" w:rsidRPr="009537ED">
        <w:rPr>
          <w:lang w:eastAsia="x-none"/>
        </w:rPr>
        <w:tab/>
        <w:t>Draft reply LS on L1 measurements for LTM</w:t>
      </w:r>
      <w:r w:rsidR="00835CB1" w:rsidRPr="009537ED">
        <w:rPr>
          <w:lang w:eastAsia="x-none"/>
        </w:rPr>
        <w:tab/>
        <w:t>Lenovo</w:t>
      </w:r>
    </w:p>
    <w:p w14:paraId="55286773" w14:textId="5BEB33E1" w:rsidR="00835CB1" w:rsidRPr="009537ED" w:rsidRDefault="005A18DC" w:rsidP="00835CB1">
      <w:pPr>
        <w:rPr>
          <w:lang w:eastAsia="x-none"/>
        </w:rPr>
      </w:pPr>
      <w:hyperlink r:id="rId110" w:history="1">
        <w:r w:rsidR="00AF7253">
          <w:rPr>
            <w:rStyle w:val="Hyperlink"/>
            <w:lang w:eastAsia="x-none"/>
          </w:rPr>
          <w:t>R1-2311470</w:t>
        </w:r>
      </w:hyperlink>
      <w:r w:rsidR="00835CB1" w:rsidRPr="009537ED">
        <w:rPr>
          <w:lang w:eastAsia="x-none"/>
        </w:rPr>
        <w:tab/>
        <w:t>Discussion on the LS on L1 measurement for LTM</w:t>
      </w:r>
      <w:r w:rsidR="00835CB1" w:rsidRPr="009537ED">
        <w:rPr>
          <w:lang w:eastAsia="x-none"/>
        </w:rPr>
        <w:tab/>
        <w:t>CMCC</w:t>
      </w:r>
    </w:p>
    <w:p w14:paraId="0A159779" w14:textId="7C29BE52" w:rsidR="00835CB1" w:rsidRPr="009537ED" w:rsidRDefault="005A18DC" w:rsidP="00835CB1">
      <w:pPr>
        <w:rPr>
          <w:lang w:eastAsia="x-none"/>
        </w:rPr>
      </w:pPr>
      <w:hyperlink r:id="rId111" w:history="1">
        <w:r w:rsidR="00AF7253">
          <w:rPr>
            <w:rStyle w:val="Hyperlink"/>
            <w:lang w:eastAsia="x-none"/>
          </w:rPr>
          <w:t>R1-2311660</w:t>
        </w:r>
      </w:hyperlink>
      <w:r w:rsidR="00835CB1" w:rsidRPr="009537ED">
        <w:rPr>
          <w:lang w:eastAsia="x-none"/>
        </w:rPr>
        <w:tab/>
        <w:t>[Draft] Reply LS on L1 measurements for LTM</w:t>
      </w:r>
      <w:r w:rsidR="00835CB1" w:rsidRPr="009537ED">
        <w:rPr>
          <w:lang w:eastAsia="x-none"/>
        </w:rPr>
        <w:tab/>
        <w:t>Apple</w:t>
      </w:r>
    </w:p>
    <w:p w14:paraId="7960B79F" w14:textId="0932BE50" w:rsidR="00835CB1" w:rsidRPr="009537ED" w:rsidRDefault="005A18DC" w:rsidP="00835CB1">
      <w:pPr>
        <w:rPr>
          <w:lang w:eastAsia="x-none"/>
        </w:rPr>
      </w:pPr>
      <w:hyperlink r:id="rId112" w:history="1">
        <w:r w:rsidR="00AF7253">
          <w:rPr>
            <w:rStyle w:val="Hyperlink"/>
            <w:lang w:eastAsia="x-none"/>
          </w:rPr>
          <w:t>R1-2311661</w:t>
        </w:r>
      </w:hyperlink>
      <w:r w:rsidR="00835CB1" w:rsidRPr="009537ED">
        <w:rPr>
          <w:lang w:eastAsia="x-none"/>
        </w:rPr>
        <w:tab/>
        <w:t>Discussion on RAN2 LS on L1 measurements for LTM</w:t>
      </w:r>
      <w:r w:rsidR="00835CB1" w:rsidRPr="009537ED">
        <w:rPr>
          <w:lang w:eastAsia="x-none"/>
        </w:rPr>
        <w:tab/>
        <w:t>Apple</w:t>
      </w:r>
    </w:p>
    <w:p w14:paraId="0E715796" w14:textId="125F72CD" w:rsidR="00835CB1" w:rsidRPr="009537ED" w:rsidRDefault="005A18DC" w:rsidP="00835CB1">
      <w:pPr>
        <w:rPr>
          <w:lang w:eastAsia="x-none"/>
        </w:rPr>
      </w:pPr>
      <w:hyperlink r:id="rId113" w:history="1">
        <w:r w:rsidR="00AF7253">
          <w:rPr>
            <w:rStyle w:val="Hyperlink"/>
            <w:lang w:eastAsia="x-none"/>
          </w:rPr>
          <w:t>R1-2311807</w:t>
        </w:r>
      </w:hyperlink>
      <w:r w:rsidR="00835CB1" w:rsidRPr="009537ED">
        <w:rPr>
          <w:lang w:eastAsia="x-none"/>
        </w:rPr>
        <w:tab/>
        <w:t>Draft reply LS on L1 measurements for LTM</w:t>
      </w:r>
      <w:r w:rsidR="00835CB1" w:rsidRPr="009537ED">
        <w:rPr>
          <w:lang w:eastAsia="x-none"/>
        </w:rPr>
        <w:tab/>
        <w:t>Samsung</w:t>
      </w:r>
    </w:p>
    <w:p w14:paraId="2D39BCAE" w14:textId="5114DFB6" w:rsidR="00835CB1" w:rsidRPr="009537ED" w:rsidRDefault="005A18DC" w:rsidP="00835CB1">
      <w:pPr>
        <w:rPr>
          <w:lang w:eastAsia="x-none"/>
        </w:rPr>
      </w:pPr>
      <w:hyperlink r:id="rId114" w:history="1">
        <w:r w:rsidR="00AF7253">
          <w:rPr>
            <w:rStyle w:val="Hyperlink"/>
            <w:lang w:eastAsia="x-none"/>
          </w:rPr>
          <w:t>R1-2311891</w:t>
        </w:r>
      </w:hyperlink>
      <w:r w:rsidR="00835CB1" w:rsidRPr="009537ED">
        <w:rPr>
          <w:lang w:eastAsia="x-none"/>
        </w:rPr>
        <w:tab/>
        <w:t>Draft Reply LS on L1 Measurements for LTM</w:t>
      </w:r>
      <w:r w:rsidR="00835CB1" w:rsidRPr="009537ED">
        <w:rPr>
          <w:lang w:eastAsia="x-none"/>
        </w:rPr>
        <w:tab/>
        <w:t>Nokia, Nokia Shanghai Bell</w:t>
      </w:r>
    </w:p>
    <w:p w14:paraId="1B0838FA" w14:textId="5E032177" w:rsidR="00835CB1" w:rsidRPr="009537ED" w:rsidRDefault="005A18DC" w:rsidP="00835CB1">
      <w:pPr>
        <w:rPr>
          <w:lang w:eastAsia="x-none"/>
        </w:rPr>
      </w:pPr>
      <w:hyperlink r:id="rId115" w:history="1">
        <w:r w:rsidR="00AF7253">
          <w:rPr>
            <w:rStyle w:val="Hyperlink"/>
            <w:lang w:eastAsia="x-none"/>
          </w:rPr>
          <w:t>R1-2312223</w:t>
        </w:r>
      </w:hyperlink>
      <w:r w:rsidR="00835CB1" w:rsidRPr="009537ED">
        <w:rPr>
          <w:lang w:eastAsia="x-none"/>
        </w:rPr>
        <w:tab/>
        <w:t>Discussion on the RAN2 LS on L1 measurements for LTM</w:t>
      </w:r>
      <w:r w:rsidR="00835CB1" w:rsidRPr="009537ED">
        <w:rPr>
          <w:lang w:eastAsia="x-none"/>
        </w:rPr>
        <w:tab/>
        <w:t>Huawei, HiSilicon</w:t>
      </w:r>
    </w:p>
    <w:p w14:paraId="4A9AF4BE" w14:textId="1FC16E2B" w:rsidR="00233467" w:rsidRPr="00C54505" w:rsidRDefault="00233467" w:rsidP="00233467">
      <w:pPr>
        <w:rPr>
          <w:lang w:eastAsia="x-none"/>
        </w:rPr>
      </w:pPr>
      <w:r w:rsidRPr="009537ED">
        <w:rPr>
          <w:b/>
          <w:bCs/>
          <w:lang w:eastAsia="x-none"/>
        </w:rPr>
        <w:t xml:space="preserve">Decision: </w:t>
      </w:r>
      <w:r w:rsidRPr="009537ED">
        <w:rPr>
          <w:lang w:eastAsia="x-none"/>
        </w:rPr>
        <w:t xml:space="preserve">RAN2 is requesting RAN1 input on L1 measurements for LTM. RAN1 response needed. To be handled in agenda item </w:t>
      </w:r>
      <w:r w:rsidRPr="00C54505">
        <w:rPr>
          <w:lang w:eastAsia="x-none"/>
        </w:rPr>
        <w:t>8.7.</w:t>
      </w:r>
      <w:r w:rsidR="00C54505" w:rsidRPr="00C54505">
        <w:rPr>
          <w:lang w:eastAsia="x-none"/>
        </w:rPr>
        <w:t>1</w:t>
      </w:r>
      <w:r w:rsidRPr="00C54505">
        <w:rPr>
          <w:lang w:eastAsia="x-none"/>
        </w:rPr>
        <w:t xml:space="preserve"> To be moderated by Claes (Ericsson).</w:t>
      </w:r>
    </w:p>
    <w:p w14:paraId="257E9987" w14:textId="77777777" w:rsidR="00835CB1" w:rsidRPr="009537ED" w:rsidRDefault="00835CB1" w:rsidP="00835CB1">
      <w:pPr>
        <w:rPr>
          <w:lang w:eastAsia="x-none"/>
        </w:rPr>
      </w:pPr>
    </w:p>
    <w:p w14:paraId="5D8FAEC2" w14:textId="77777777" w:rsidR="00832D5B" w:rsidRPr="009537ED" w:rsidRDefault="00832D5B" w:rsidP="00832D5B">
      <w:pPr>
        <w:rPr>
          <w:lang w:eastAsia="x-none"/>
        </w:rPr>
      </w:pPr>
      <w:r w:rsidRPr="009537ED">
        <w:rPr>
          <w:lang w:eastAsia="x-none"/>
        </w:rPr>
        <w:t>-----------------------</w:t>
      </w:r>
    </w:p>
    <w:p w14:paraId="685330A6" w14:textId="77777777" w:rsidR="00835CB1" w:rsidRPr="009537ED" w:rsidRDefault="00835CB1" w:rsidP="00835CB1">
      <w:pPr>
        <w:rPr>
          <w:b/>
          <w:lang w:eastAsia="x-none"/>
        </w:rPr>
      </w:pPr>
      <w:r w:rsidRPr="009537ED">
        <w:rPr>
          <w:b/>
          <w:lang w:eastAsia="x-none"/>
        </w:rPr>
        <w:t>Rel-18 BWP operation without restriction</w:t>
      </w:r>
    </w:p>
    <w:p w14:paraId="5A7E45F1" w14:textId="1D6BC637" w:rsidR="00835CB1" w:rsidRPr="009537ED" w:rsidRDefault="005A18DC" w:rsidP="00835CB1">
      <w:pPr>
        <w:rPr>
          <w:b/>
          <w:bCs/>
          <w:lang w:eastAsia="x-none"/>
        </w:rPr>
      </w:pPr>
      <w:hyperlink r:id="rId116" w:history="1">
        <w:r w:rsidR="00AF7253">
          <w:rPr>
            <w:rStyle w:val="Hyperlink"/>
            <w:b/>
            <w:bCs/>
            <w:lang w:eastAsia="x-none"/>
          </w:rPr>
          <w:t>R1-2310799</w:t>
        </w:r>
      </w:hyperlink>
      <w:r w:rsidR="00835CB1" w:rsidRPr="009537ED">
        <w:rPr>
          <w:b/>
          <w:bCs/>
          <w:lang w:eastAsia="x-none"/>
        </w:rPr>
        <w:tab/>
        <w:t>LS on conclusions on BWP operation without restriction</w:t>
      </w:r>
      <w:r w:rsidR="00835CB1" w:rsidRPr="009537ED">
        <w:rPr>
          <w:b/>
          <w:bCs/>
          <w:lang w:eastAsia="x-none"/>
        </w:rPr>
        <w:tab/>
        <w:t>RAN4, vivo, Vodafone</w:t>
      </w:r>
    </w:p>
    <w:p w14:paraId="394E0F22" w14:textId="290C70BE" w:rsidR="00835CB1" w:rsidRPr="009537ED" w:rsidRDefault="00233467" w:rsidP="00835CB1">
      <w:pPr>
        <w:rPr>
          <w:lang w:eastAsia="x-none"/>
        </w:rPr>
      </w:pPr>
      <w:r w:rsidRPr="009537ED">
        <w:rPr>
          <w:b/>
          <w:bCs/>
          <w:lang w:eastAsia="x-none"/>
        </w:rPr>
        <w:t xml:space="preserve">Decision: </w:t>
      </w:r>
      <w:r w:rsidR="00835CB1" w:rsidRPr="009537ED">
        <w:rPr>
          <w:lang w:eastAsia="x-none"/>
        </w:rPr>
        <w:t>RAN4 is informing</w:t>
      </w:r>
      <w:r w:rsidR="00835CB1" w:rsidRPr="009537ED">
        <w:t xml:space="preserve"> RAN1 of </w:t>
      </w:r>
      <w:r w:rsidR="00835CB1" w:rsidRPr="009537ED">
        <w:rPr>
          <w:lang w:eastAsia="x-none"/>
        </w:rPr>
        <w:t>their conclusions on RRM impact of options for BWP operation without restriction. To be considered as part of maintenance work on Rel-18 BWP operation without restriction.</w:t>
      </w:r>
    </w:p>
    <w:p w14:paraId="02A76A5D" w14:textId="77777777" w:rsidR="00835CB1" w:rsidRPr="009537ED" w:rsidRDefault="00835CB1" w:rsidP="00835CB1">
      <w:pPr>
        <w:rPr>
          <w:lang w:eastAsia="x-none"/>
        </w:rPr>
      </w:pPr>
    </w:p>
    <w:p w14:paraId="0DF2C223" w14:textId="77777777" w:rsidR="00832D5B" w:rsidRPr="009537ED" w:rsidRDefault="00832D5B" w:rsidP="00832D5B">
      <w:pPr>
        <w:rPr>
          <w:lang w:eastAsia="x-none"/>
        </w:rPr>
      </w:pPr>
      <w:r w:rsidRPr="009537ED">
        <w:rPr>
          <w:lang w:eastAsia="x-none"/>
        </w:rPr>
        <w:t>-----------------------</w:t>
      </w:r>
    </w:p>
    <w:p w14:paraId="6BA8318C" w14:textId="77777777" w:rsidR="00835CB1" w:rsidRPr="009537ED" w:rsidRDefault="00835CB1" w:rsidP="00835CB1">
      <w:pPr>
        <w:rPr>
          <w:b/>
          <w:lang w:eastAsia="x-none"/>
        </w:rPr>
      </w:pPr>
      <w:r w:rsidRPr="009537ED">
        <w:rPr>
          <w:b/>
          <w:lang w:eastAsia="x-none"/>
        </w:rPr>
        <w:t>Rel-18 Coverage enhancement</w:t>
      </w:r>
    </w:p>
    <w:p w14:paraId="2E81B7CE" w14:textId="52A4BF37" w:rsidR="00835CB1" w:rsidRPr="009537ED" w:rsidRDefault="005A18DC" w:rsidP="00835CB1">
      <w:pPr>
        <w:rPr>
          <w:b/>
          <w:bCs/>
          <w:lang w:eastAsia="x-none"/>
        </w:rPr>
      </w:pPr>
      <w:hyperlink r:id="rId117" w:history="1">
        <w:r w:rsidR="00AF7253">
          <w:rPr>
            <w:rStyle w:val="Hyperlink"/>
            <w:b/>
            <w:bCs/>
            <w:lang w:eastAsia="x-none"/>
          </w:rPr>
          <w:t>R1-2310800</w:t>
        </w:r>
      </w:hyperlink>
      <w:r w:rsidR="00835CB1" w:rsidRPr="009537ED">
        <w:rPr>
          <w:b/>
          <w:bCs/>
          <w:lang w:eastAsia="x-none"/>
        </w:rPr>
        <w:tab/>
        <w:t>LS reply on further clarifications on enhancements to realize increasing UE power high limit for CA and DC</w:t>
      </w:r>
      <w:r w:rsidR="00835CB1" w:rsidRPr="009537ED">
        <w:rPr>
          <w:b/>
          <w:bCs/>
          <w:lang w:eastAsia="x-none"/>
        </w:rPr>
        <w:tab/>
        <w:t>RAN4, Huawei</w:t>
      </w:r>
    </w:p>
    <w:p w14:paraId="48240754" w14:textId="77777777" w:rsidR="00835CB1" w:rsidRPr="009537ED" w:rsidRDefault="00835CB1" w:rsidP="00835CB1">
      <w:pPr>
        <w:rPr>
          <w:b/>
          <w:lang w:eastAsia="x-none"/>
        </w:rPr>
      </w:pPr>
      <w:r w:rsidRPr="009537ED">
        <w:rPr>
          <w:b/>
          <w:lang w:eastAsia="x-none"/>
        </w:rPr>
        <w:t>Relevant tdoc:</w:t>
      </w:r>
    </w:p>
    <w:p w14:paraId="293A0E3D" w14:textId="2710C821" w:rsidR="00835CB1" w:rsidRPr="009537ED" w:rsidRDefault="005A18DC" w:rsidP="00835CB1">
      <w:pPr>
        <w:rPr>
          <w:lang w:eastAsia="x-none"/>
        </w:rPr>
      </w:pPr>
      <w:hyperlink r:id="rId118" w:history="1">
        <w:r w:rsidR="00AF7253">
          <w:rPr>
            <w:rStyle w:val="Hyperlink"/>
            <w:lang w:eastAsia="x-none"/>
          </w:rPr>
          <w:t>R1-2311924</w:t>
        </w:r>
      </w:hyperlink>
      <w:r w:rsidR="00835CB1" w:rsidRPr="009537ED">
        <w:rPr>
          <w:lang w:eastAsia="x-none"/>
        </w:rPr>
        <w:tab/>
        <w:t>Draft reply LS on RAN1 impacts concerning enhancements to realize increasing UE power high limit for CA and DC for coverage enhancement</w:t>
      </w:r>
      <w:r w:rsidR="00835CB1" w:rsidRPr="009537ED">
        <w:rPr>
          <w:lang w:eastAsia="x-none"/>
        </w:rPr>
        <w:tab/>
        <w:t>Nokia, Nokia Shanghai Bell</w:t>
      </w:r>
    </w:p>
    <w:p w14:paraId="1EF40770" w14:textId="2FAF1CFA" w:rsidR="00233467" w:rsidRPr="009537ED" w:rsidRDefault="00233467" w:rsidP="00233467">
      <w:pPr>
        <w:rPr>
          <w:lang w:eastAsia="x-none"/>
        </w:rPr>
      </w:pPr>
      <w:r w:rsidRPr="009537ED">
        <w:rPr>
          <w:b/>
          <w:bCs/>
          <w:lang w:eastAsia="x-none"/>
        </w:rPr>
        <w:t xml:space="preserve">Decision: </w:t>
      </w:r>
      <w:r w:rsidRPr="009537ED">
        <w:rPr>
          <w:lang w:eastAsia="x-none"/>
        </w:rPr>
        <w:t xml:space="preserve">RAN4’s response to RAN1’s questions in </w:t>
      </w:r>
      <w:hyperlink r:id="rId119" w:history="1">
        <w:r w:rsidR="00AF7253">
          <w:rPr>
            <w:rStyle w:val="Hyperlink"/>
            <w:lang w:eastAsia="x-none"/>
          </w:rPr>
          <w:t>R1-2308561</w:t>
        </w:r>
      </w:hyperlink>
      <w:r w:rsidRPr="009537ED">
        <w:rPr>
          <w:lang w:eastAsia="x-none"/>
        </w:rPr>
        <w:t xml:space="preserve"> from RAN1#114. To be taken into account in agenda item 8.8.</w:t>
      </w:r>
    </w:p>
    <w:p w14:paraId="33410324" w14:textId="77777777" w:rsidR="00835CB1" w:rsidRPr="009537ED" w:rsidRDefault="00835CB1" w:rsidP="00835CB1">
      <w:pPr>
        <w:rPr>
          <w:lang w:eastAsia="x-none"/>
        </w:rPr>
      </w:pPr>
    </w:p>
    <w:p w14:paraId="05D2FDFA" w14:textId="77777777" w:rsidR="00233467" w:rsidRPr="009537ED" w:rsidRDefault="00233467" w:rsidP="00835CB1">
      <w:pPr>
        <w:rPr>
          <w:lang w:eastAsia="x-none"/>
        </w:rPr>
      </w:pPr>
    </w:p>
    <w:p w14:paraId="602252C5" w14:textId="67D79F8C" w:rsidR="00835CB1" w:rsidRPr="009537ED" w:rsidRDefault="005A18DC" w:rsidP="00835CB1">
      <w:pPr>
        <w:rPr>
          <w:b/>
          <w:bCs/>
          <w:lang w:eastAsia="x-none"/>
        </w:rPr>
      </w:pPr>
      <w:hyperlink r:id="rId120" w:history="1">
        <w:r w:rsidR="00AF7253">
          <w:rPr>
            <w:rStyle w:val="Hyperlink"/>
            <w:b/>
            <w:bCs/>
            <w:lang w:eastAsia="x-none"/>
          </w:rPr>
          <w:t>R1-2311005</w:t>
        </w:r>
      </w:hyperlink>
      <w:r w:rsidR="00835CB1" w:rsidRPr="009537ED">
        <w:rPr>
          <w:b/>
          <w:bCs/>
          <w:lang w:eastAsia="x-none"/>
        </w:rPr>
        <w:tab/>
        <w:t>LS to RAN1 on PHR reporting</w:t>
      </w:r>
      <w:r w:rsidR="00835CB1" w:rsidRPr="009537ED">
        <w:rPr>
          <w:b/>
          <w:bCs/>
          <w:lang w:eastAsia="x-none"/>
        </w:rPr>
        <w:tab/>
        <w:t>RAN2, InterDigital</w:t>
      </w:r>
    </w:p>
    <w:p w14:paraId="440021FA" w14:textId="77777777" w:rsidR="00835CB1" w:rsidRPr="009537ED" w:rsidRDefault="00835CB1" w:rsidP="00835CB1">
      <w:pPr>
        <w:rPr>
          <w:b/>
          <w:lang w:eastAsia="x-none"/>
        </w:rPr>
      </w:pPr>
      <w:r w:rsidRPr="009537ED">
        <w:rPr>
          <w:b/>
          <w:lang w:eastAsia="x-none"/>
        </w:rPr>
        <w:t>Relevant tdocs:</w:t>
      </w:r>
    </w:p>
    <w:p w14:paraId="542458AC" w14:textId="1589BFB2" w:rsidR="00835CB1" w:rsidRPr="009537ED" w:rsidRDefault="005A18DC" w:rsidP="00835CB1">
      <w:pPr>
        <w:rPr>
          <w:lang w:eastAsia="x-none"/>
        </w:rPr>
      </w:pPr>
      <w:hyperlink r:id="rId121" w:history="1">
        <w:r w:rsidR="00AF7253">
          <w:rPr>
            <w:rStyle w:val="Hyperlink"/>
            <w:lang w:eastAsia="x-none"/>
          </w:rPr>
          <w:t>R1-2311068</w:t>
        </w:r>
      </w:hyperlink>
      <w:r w:rsidR="00835CB1" w:rsidRPr="009537ED">
        <w:rPr>
          <w:lang w:eastAsia="x-none"/>
        </w:rPr>
        <w:tab/>
        <w:t>Draft reply LS to RAN2 on PHR reporting</w:t>
      </w:r>
      <w:r w:rsidR="00835CB1" w:rsidRPr="009537ED">
        <w:rPr>
          <w:lang w:eastAsia="x-none"/>
        </w:rPr>
        <w:tab/>
        <w:t>vivo</w:t>
      </w:r>
    </w:p>
    <w:p w14:paraId="116AAB0F" w14:textId="383BA734" w:rsidR="00835CB1" w:rsidRPr="009537ED" w:rsidRDefault="005A18DC" w:rsidP="00835CB1">
      <w:pPr>
        <w:rPr>
          <w:lang w:eastAsia="x-none"/>
        </w:rPr>
      </w:pPr>
      <w:hyperlink r:id="rId122" w:history="1">
        <w:r w:rsidR="00AF7253">
          <w:rPr>
            <w:rStyle w:val="Hyperlink"/>
            <w:lang w:eastAsia="x-none"/>
          </w:rPr>
          <w:t>R1-2311531</w:t>
        </w:r>
      </w:hyperlink>
      <w:r w:rsidR="00835CB1" w:rsidRPr="009537ED">
        <w:rPr>
          <w:lang w:eastAsia="x-none"/>
        </w:rPr>
        <w:tab/>
        <w:t>Draft Reply LS on PHR reporting</w:t>
      </w:r>
      <w:r w:rsidR="00835CB1" w:rsidRPr="009537ED">
        <w:rPr>
          <w:lang w:eastAsia="x-none"/>
        </w:rPr>
        <w:tab/>
        <w:t>InterDigital, Inc.</w:t>
      </w:r>
    </w:p>
    <w:p w14:paraId="4431197E" w14:textId="48FECA58" w:rsidR="00835CB1" w:rsidRPr="009537ED" w:rsidRDefault="005A18DC" w:rsidP="00835CB1">
      <w:pPr>
        <w:rPr>
          <w:lang w:eastAsia="x-none"/>
        </w:rPr>
      </w:pPr>
      <w:hyperlink r:id="rId123" w:history="1">
        <w:r w:rsidR="00AF7253">
          <w:rPr>
            <w:rStyle w:val="Hyperlink"/>
            <w:lang w:eastAsia="x-none"/>
          </w:rPr>
          <w:t>R1-2311722</w:t>
        </w:r>
      </w:hyperlink>
      <w:r w:rsidR="00835CB1" w:rsidRPr="009537ED">
        <w:rPr>
          <w:lang w:eastAsia="x-none"/>
        </w:rPr>
        <w:tab/>
        <w:t>Draft Reply LS on PHR reporting</w:t>
      </w:r>
      <w:r w:rsidR="00835CB1" w:rsidRPr="009537ED">
        <w:rPr>
          <w:lang w:eastAsia="x-none"/>
        </w:rPr>
        <w:tab/>
        <w:t>Lenovo</w:t>
      </w:r>
    </w:p>
    <w:p w14:paraId="2AABD5B6" w14:textId="3020F79E" w:rsidR="00835CB1" w:rsidRPr="009537ED" w:rsidRDefault="005A18DC" w:rsidP="00835CB1">
      <w:pPr>
        <w:rPr>
          <w:lang w:eastAsia="x-none"/>
        </w:rPr>
      </w:pPr>
      <w:hyperlink r:id="rId124" w:history="1">
        <w:r w:rsidR="00AF7253">
          <w:rPr>
            <w:rStyle w:val="Hyperlink"/>
            <w:lang w:eastAsia="x-none"/>
          </w:rPr>
          <w:t>R1-2311812</w:t>
        </w:r>
      </w:hyperlink>
      <w:r w:rsidR="00835CB1" w:rsidRPr="009537ED">
        <w:rPr>
          <w:lang w:eastAsia="x-none"/>
        </w:rPr>
        <w:tab/>
        <w:t>Draft reply LS on PHR reporting</w:t>
      </w:r>
      <w:r w:rsidR="00835CB1" w:rsidRPr="009537ED">
        <w:rPr>
          <w:lang w:eastAsia="x-none"/>
        </w:rPr>
        <w:tab/>
        <w:t>Samsung</w:t>
      </w:r>
    </w:p>
    <w:p w14:paraId="1D325FEA" w14:textId="45B25150" w:rsidR="00835CB1" w:rsidRPr="009537ED" w:rsidRDefault="005A18DC" w:rsidP="00835CB1">
      <w:pPr>
        <w:rPr>
          <w:lang w:eastAsia="x-none"/>
        </w:rPr>
      </w:pPr>
      <w:hyperlink r:id="rId125" w:history="1">
        <w:r w:rsidR="00AF7253">
          <w:rPr>
            <w:rStyle w:val="Hyperlink"/>
            <w:lang w:eastAsia="x-none"/>
          </w:rPr>
          <w:t>R1-2312116</w:t>
        </w:r>
      </w:hyperlink>
      <w:r w:rsidR="00835CB1" w:rsidRPr="009537ED">
        <w:rPr>
          <w:lang w:eastAsia="x-none"/>
        </w:rPr>
        <w:tab/>
        <w:t>Draft reply LS on PHR reporting for dynamic waveform switching</w:t>
      </w:r>
      <w:r w:rsidR="00835CB1" w:rsidRPr="009537ED">
        <w:rPr>
          <w:lang w:eastAsia="x-none"/>
        </w:rPr>
        <w:tab/>
        <w:t>ZTE</w:t>
      </w:r>
    </w:p>
    <w:p w14:paraId="309661B6" w14:textId="1D3009A9" w:rsidR="00835CB1" w:rsidRPr="009537ED" w:rsidRDefault="005A18DC" w:rsidP="00835CB1">
      <w:pPr>
        <w:rPr>
          <w:lang w:eastAsia="x-none"/>
        </w:rPr>
      </w:pPr>
      <w:hyperlink r:id="rId126" w:history="1">
        <w:r w:rsidR="00AF7253">
          <w:rPr>
            <w:rStyle w:val="Hyperlink"/>
            <w:lang w:eastAsia="x-none"/>
          </w:rPr>
          <w:t>R1-2312231</w:t>
        </w:r>
      </w:hyperlink>
      <w:r w:rsidR="00835CB1" w:rsidRPr="009537ED">
        <w:rPr>
          <w:lang w:eastAsia="x-none"/>
        </w:rPr>
        <w:tab/>
        <w:t>Discussion on PHR reporting of CA/DC for Rel-18 dynamic waveform switching</w:t>
      </w:r>
      <w:r w:rsidR="00835CB1" w:rsidRPr="009537ED">
        <w:rPr>
          <w:lang w:eastAsia="x-none"/>
        </w:rPr>
        <w:tab/>
        <w:t>Huawei, HiSilicon</w:t>
      </w:r>
    </w:p>
    <w:p w14:paraId="142F4475" w14:textId="4C5C9A23" w:rsidR="00835CB1" w:rsidRPr="009537ED" w:rsidRDefault="005A18DC" w:rsidP="00835CB1">
      <w:pPr>
        <w:rPr>
          <w:lang w:eastAsia="x-none"/>
        </w:rPr>
      </w:pPr>
      <w:hyperlink r:id="rId127" w:history="1">
        <w:r w:rsidR="00AF7253">
          <w:rPr>
            <w:rStyle w:val="Hyperlink"/>
            <w:lang w:eastAsia="x-none"/>
          </w:rPr>
          <w:t>R1-2311268</w:t>
        </w:r>
      </w:hyperlink>
      <w:r w:rsidR="00835CB1" w:rsidRPr="009537ED">
        <w:rPr>
          <w:lang w:eastAsia="x-none"/>
        </w:rPr>
        <w:tab/>
        <w:t>Discussion on reply LS for UE reporting PCMAX for actual and assumed PUSCH</w:t>
      </w:r>
      <w:r w:rsidR="00835CB1" w:rsidRPr="009537ED">
        <w:rPr>
          <w:lang w:eastAsia="x-none"/>
        </w:rPr>
        <w:tab/>
        <w:t>OPPO</w:t>
      </w:r>
    </w:p>
    <w:p w14:paraId="7461FEF6" w14:textId="28ADD782" w:rsidR="00835CB1" w:rsidRPr="009537ED" w:rsidRDefault="005A18DC" w:rsidP="00835CB1">
      <w:pPr>
        <w:rPr>
          <w:lang w:eastAsia="x-none"/>
        </w:rPr>
      </w:pPr>
      <w:hyperlink r:id="rId128" w:history="1">
        <w:r w:rsidR="00AF7253">
          <w:rPr>
            <w:rStyle w:val="Hyperlink"/>
            <w:lang w:eastAsia="x-none"/>
          </w:rPr>
          <w:t>R1-2311543</w:t>
        </w:r>
      </w:hyperlink>
      <w:r w:rsidR="00835CB1" w:rsidRPr="009537ED">
        <w:rPr>
          <w:lang w:eastAsia="x-none"/>
        </w:rPr>
        <w:tab/>
        <w:t>Discussion on RAN2 Reply LS of reporting PCMAX for assumed PUSCH transmissions in CA/DC scenario</w:t>
      </w:r>
      <w:r w:rsidR="00835CB1" w:rsidRPr="009537ED">
        <w:rPr>
          <w:lang w:eastAsia="x-none"/>
        </w:rPr>
        <w:tab/>
        <w:t>China Telecom</w:t>
      </w:r>
    </w:p>
    <w:p w14:paraId="6E7F27FD" w14:textId="3CB0418B" w:rsidR="00835CB1" w:rsidRPr="009537ED" w:rsidRDefault="005A18DC" w:rsidP="00835CB1">
      <w:pPr>
        <w:rPr>
          <w:lang w:eastAsia="x-none"/>
        </w:rPr>
      </w:pPr>
      <w:hyperlink r:id="rId129" w:history="1">
        <w:r w:rsidR="00AF7253">
          <w:rPr>
            <w:rStyle w:val="Hyperlink"/>
            <w:lang w:eastAsia="x-none"/>
          </w:rPr>
          <w:t>R1-2311914</w:t>
        </w:r>
      </w:hyperlink>
      <w:r w:rsidR="00835CB1" w:rsidRPr="009537ED">
        <w:rPr>
          <w:lang w:eastAsia="x-none"/>
        </w:rPr>
        <w:tab/>
        <w:t>Discussion on RAN2 LS on DWS MAC CE for reporting PHR in CA/DC</w:t>
      </w:r>
      <w:r w:rsidR="00835CB1" w:rsidRPr="009537ED">
        <w:rPr>
          <w:lang w:eastAsia="x-none"/>
        </w:rPr>
        <w:tab/>
        <w:t>LG Electronics</w:t>
      </w:r>
    </w:p>
    <w:p w14:paraId="1F2E023C" w14:textId="2D41EC6B" w:rsidR="00835CB1" w:rsidRPr="009537ED" w:rsidRDefault="005A18DC" w:rsidP="00835CB1">
      <w:pPr>
        <w:rPr>
          <w:lang w:eastAsia="x-none"/>
        </w:rPr>
      </w:pPr>
      <w:hyperlink r:id="rId130" w:history="1">
        <w:r w:rsidR="00AF7253">
          <w:rPr>
            <w:rStyle w:val="Hyperlink"/>
            <w:lang w:eastAsia="x-none"/>
          </w:rPr>
          <w:t>R1-2311923</w:t>
        </w:r>
      </w:hyperlink>
      <w:r w:rsidR="00835CB1" w:rsidRPr="009537ED">
        <w:rPr>
          <w:lang w:eastAsia="x-none"/>
        </w:rPr>
        <w:tab/>
        <w:t>Draft reply LS on RAN1 impacts concerning PHR reporting for actual and assumed PUSCH for coverage enhancement</w:t>
      </w:r>
      <w:r w:rsidR="00835CB1" w:rsidRPr="009537ED">
        <w:rPr>
          <w:lang w:eastAsia="x-none"/>
        </w:rPr>
        <w:tab/>
        <w:t>Nokia, Nokia Shanghai Bell</w:t>
      </w:r>
    </w:p>
    <w:p w14:paraId="43186BDF" w14:textId="1071881C" w:rsidR="00835CB1" w:rsidRPr="009537ED" w:rsidRDefault="005A18DC" w:rsidP="00835CB1">
      <w:pPr>
        <w:rPr>
          <w:lang w:eastAsia="x-none"/>
        </w:rPr>
      </w:pPr>
      <w:hyperlink r:id="rId131" w:history="1">
        <w:r w:rsidR="00AF7253">
          <w:rPr>
            <w:rStyle w:val="Hyperlink"/>
            <w:lang w:eastAsia="x-none"/>
          </w:rPr>
          <w:t>R1-2312197</w:t>
        </w:r>
      </w:hyperlink>
      <w:r w:rsidR="00835CB1" w:rsidRPr="009537ED">
        <w:rPr>
          <w:lang w:eastAsia="x-none"/>
        </w:rPr>
        <w:tab/>
        <w:t>Draft reply LS on RAN1 impacts of enhancements to realize increasing UE power high limit for CA and DC</w:t>
      </w:r>
      <w:r w:rsidR="00835CB1" w:rsidRPr="009537ED">
        <w:rPr>
          <w:lang w:eastAsia="x-none"/>
        </w:rPr>
        <w:tab/>
        <w:t>Ericsson</w:t>
      </w:r>
    </w:p>
    <w:p w14:paraId="1AEF2D12" w14:textId="473558DB" w:rsidR="00835CB1" w:rsidRPr="009537ED" w:rsidRDefault="005A18DC" w:rsidP="00835CB1">
      <w:pPr>
        <w:rPr>
          <w:lang w:eastAsia="x-none"/>
        </w:rPr>
      </w:pPr>
      <w:hyperlink r:id="rId132" w:history="1">
        <w:r w:rsidR="00AF7253">
          <w:rPr>
            <w:rStyle w:val="Hyperlink"/>
            <w:lang w:eastAsia="x-none"/>
          </w:rPr>
          <w:t>R1-2312198</w:t>
        </w:r>
      </w:hyperlink>
      <w:r w:rsidR="00835CB1" w:rsidRPr="009537ED">
        <w:rPr>
          <w:lang w:eastAsia="x-none"/>
        </w:rPr>
        <w:tab/>
        <w:t>Draft Reply LS on RAN1 impacts of PHR reporting for DC/CA scenario</w:t>
      </w:r>
      <w:r w:rsidR="00835CB1" w:rsidRPr="009537ED">
        <w:rPr>
          <w:lang w:eastAsia="x-none"/>
        </w:rPr>
        <w:tab/>
        <w:t>Ericsson</w:t>
      </w:r>
    </w:p>
    <w:p w14:paraId="075E4F0A" w14:textId="44810CB4" w:rsidR="00233467" w:rsidRPr="008772F6" w:rsidRDefault="00233467" w:rsidP="00233467">
      <w:pPr>
        <w:rPr>
          <w:lang w:eastAsia="x-none"/>
        </w:rPr>
      </w:pPr>
      <w:r w:rsidRPr="009537ED">
        <w:rPr>
          <w:b/>
          <w:bCs/>
          <w:lang w:eastAsia="x-none"/>
        </w:rPr>
        <w:t xml:space="preserve">Decision: </w:t>
      </w:r>
      <w:r w:rsidRPr="009537ED">
        <w:rPr>
          <w:lang w:eastAsia="x-none"/>
        </w:rPr>
        <w:t xml:space="preserve">RAN2 is informing RAN1 of the outcome of their discussion on reporting P_CMAX for assumed PUSCH transmissions. RAN2 is also requesting RAN1 input on whether there is any RAN1 impact. RAN1 response needed. To be handled in agenda </w:t>
      </w:r>
      <w:r w:rsidRPr="008772F6">
        <w:rPr>
          <w:lang w:eastAsia="x-none"/>
        </w:rPr>
        <w:t>item 8.8.</w:t>
      </w:r>
      <w:r w:rsidR="008772F6">
        <w:rPr>
          <w:lang w:eastAsia="x-none"/>
        </w:rPr>
        <w:t>3.</w:t>
      </w:r>
      <w:r w:rsidRPr="008772F6">
        <w:rPr>
          <w:lang w:eastAsia="x-none"/>
        </w:rPr>
        <w:t xml:space="preserve"> To be moderated by Paul (InterDigital).</w:t>
      </w:r>
    </w:p>
    <w:p w14:paraId="64A0C3F5" w14:textId="77777777" w:rsidR="00835CB1" w:rsidRPr="009537ED" w:rsidRDefault="00835CB1" w:rsidP="00835CB1">
      <w:pPr>
        <w:rPr>
          <w:lang w:eastAsia="x-none"/>
        </w:rPr>
      </w:pPr>
    </w:p>
    <w:p w14:paraId="350E67EC" w14:textId="77777777" w:rsidR="00832D5B" w:rsidRPr="009537ED" w:rsidRDefault="00832D5B" w:rsidP="00832D5B">
      <w:pPr>
        <w:rPr>
          <w:lang w:eastAsia="x-none"/>
        </w:rPr>
      </w:pPr>
      <w:r w:rsidRPr="009537ED">
        <w:rPr>
          <w:lang w:eastAsia="x-none"/>
        </w:rPr>
        <w:t>-----------------------</w:t>
      </w:r>
    </w:p>
    <w:p w14:paraId="0B33C7CD" w14:textId="77777777" w:rsidR="00835CB1" w:rsidRPr="009537ED" w:rsidRDefault="00835CB1" w:rsidP="00835CB1">
      <w:pPr>
        <w:rPr>
          <w:b/>
          <w:lang w:eastAsia="x-none"/>
        </w:rPr>
      </w:pPr>
      <w:r w:rsidRPr="009537ED">
        <w:rPr>
          <w:b/>
          <w:lang w:eastAsia="x-none"/>
        </w:rPr>
        <w:t>Rel-18 MIMO</w:t>
      </w:r>
    </w:p>
    <w:p w14:paraId="5C84C40F" w14:textId="77B66CDB" w:rsidR="00835CB1" w:rsidRPr="009537ED" w:rsidRDefault="005A18DC" w:rsidP="00835CB1">
      <w:pPr>
        <w:rPr>
          <w:b/>
          <w:bCs/>
          <w:lang w:eastAsia="x-none"/>
        </w:rPr>
      </w:pPr>
      <w:hyperlink r:id="rId133" w:history="1">
        <w:r w:rsidR="00AF7253">
          <w:rPr>
            <w:rStyle w:val="Hyperlink"/>
            <w:b/>
            <w:bCs/>
            <w:lang w:eastAsia="x-none"/>
          </w:rPr>
          <w:t>R1-2311001</w:t>
        </w:r>
      </w:hyperlink>
      <w:r w:rsidR="00835CB1" w:rsidRPr="009537ED">
        <w:rPr>
          <w:b/>
          <w:bCs/>
          <w:lang w:eastAsia="x-none"/>
        </w:rPr>
        <w:tab/>
        <w:t>LS on Stage-2 CR for MIMO evolution</w:t>
      </w:r>
      <w:r w:rsidR="00835CB1" w:rsidRPr="009537ED">
        <w:rPr>
          <w:b/>
          <w:bCs/>
          <w:lang w:eastAsia="x-none"/>
        </w:rPr>
        <w:tab/>
        <w:t>RAN2, NTT DOCOMO</w:t>
      </w:r>
    </w:p>
    <w:p w14:paraId="1588FB89" w14:textId="77777777" w:rsidR="00835CB1" w:rsidRPr="009537ED" w:rsidRDefault="00835CB1" w:rsidP="00835CB1">
      <w:pPr>
        <w:rPr>
          <w:b/>
          <w:lang w:eastAsia="x-none"/>
        </w:rPr>
      </w:pPr>
      <w:r w:rsidRPr="009537ED">
        <w:rPr>
          <w:b/>
          <w:lang w:eastAsia="x-none"/>
        </w:rPr>
        <w:t>Relevant tdocs:</w:t>
      </w:r>
    </w:p>
    <w:p w14:paraId="361CA9A9" w14:textId="45BF192F" w:rsidR="00835CB1" w:rsidRPr="009537ED" w:rsidRDefault="005A18DC" w:rsidP="00835CB1">
      <w:pPr>
        <w:rPr>
          <w:lang w:eastAsia="x-none"/>
        </w:rPr>
      </w:pPr>
      <w:hyperlink r:id="rId134" w:history="1">
        <w:r w:rsidR="00AF7253">
          <w:rPr>
            <w:rStyle w:val="Hyperlink"/>
            <w:lang w:eastAsia="x-none"/>
          </w:rPr>
          <w:t>R1-2311069</w:t>
        </w:r>
      </w:hyperlink>
      <w:r w:rsidR="00835CB1" w:rsidRPr="009537ED">
        <w:rPr>
          <w:lang w:eastAsia="x-none"/>
        </w:rPr>
        <w:tab/>
        <w:t>Draft reply LS on Stage-2 CR for MIMO evolution</w:t>
      </w:r>
      <w:r w:rsidR="00835CB1" w:rsidRPr="009537ED">
        <w:rPr>
          <w:lang w:eastAsia="x-none"/>
        </w:rPr>
        <w:tab/>
        <w:t>vivo</w:t>
      </w:r>
    </w:p>
    <w:p w14:paraId="04A5849A" w14:textId="2AF2A65D" w:rsidR="00835CB1" w:rsidRPr="009537ED" w:rsidRDefault="005A18DC" w:rsidP="00835CB1">
      <w:pPr>
        <w:rPr>
          <w:lang w:eastAsia="x-none"/>
        </w:rPr>
      </w:pPr>
      <w:hyperlink r:id="rId135" w:history="1">
        <w:r w:rsidR="00AF7253">
          <w:rPr>
            <w:rStyle w:val="Hyperlink"/>
            <w:lang w:eastAsia="x-none"/>
          </w:rPr>
          <w:t>R1-2311209</w:t>
        </w:r>
      </w:hyperlink>
      <w:r w:rsidR="00835CB1" w:rsidRPr="009537ED">
        <w:rPr>
          <w:lang w:eastAsia="x-none"/>
        </w:rPr>
        <w:tab/>
        <w:t>Draft reply LS to RAN2 on Stage-2 CR for MIMO evolution</w:t>
      </w:r>
      <w:r w:rsidR="00835CB1" w:rsidRPr="009537ED">
        <w:rPr>
          <w:lang w:eastAsia="x-none"/>
        </w:rPr>
        <w:tab/>
        <w:t>ZTE</w:t>
      </w:r>
    </w:p>
    <w:p w14:paraId="5CDCB101" w14:textId="11793F00" w:rsidR="00835CB1" w:rsidRPr="009537ED" w:rsidRDefault="005A18DC" w:rsidP="00835CB1">
      <w:pPr>
        <w:rPr>
          <w:lang w:eastAsia="x-none"/>
        </w:rPr>
      </w:pPr>
      <w:hyperlink r:id="rId136" w:history="1">
        <w:r w:rsidR="00AF7253">
          <w:rPr>
            <w:rStyle w:val="Hyperlink"/>
            <w:lang w:eastAsia="x-none"/>
          </w:rPr>
          <w:t>R1-2311222</w:t>
        </w:r>
      </w:hyperlink>
      <w:r w:rsidR="00835CB1" w:rsidRPr="009537ED">
        <w:rPr>
          <w:lang w:eastAsia="x-none"/>
        </w:rPr>
        <w:tab/>
        <w:t>Discussion on LS on Stage-2 CR for MIMO evolution</w:t>
      </w:r>
      <w:r w:rsidR="00835CB1" w:rsidRPr="009537ED">
        <w:rPr>
          <w:lang w:eastAsia="x-none"/>
        </w:rPr>
        <w:tab/>
        <w:t>OPPO</w:t>
      </w:r>
    </w:p>
    <w:p w14:paraId="197F61E3" w14:textId="6DF83A6C" w:rsidR="00835CB1" w:rsidRPr="009537ED" w:rsidRDefault="005A18DC" w:rsidP="00835CB1">
      <w:pPr>
        <w:rPr>
          <w:lang w:eastAsia="x-none"/>
        </w:rPr>
      </w:pPr>
      <w:hyperlink r:id="rId137" w:history="1">
        <w:r w:rsidR="00AF7253">
          <w:rPr>
            <w:rStyle w:val="Hyperlink"/>
            <w:lang w:eastAsia="x-none"/>
          </w:rPr>
          <w:t>R1-2311371</w:t>
        </w:r>
      </w:hyperlink>
      <w:r w:rsidR="00835CB1" w:rsidRPr="009537ED">
        <w:rPr>
          <w:lang w:eastAsia="x-none"/>
        </w:rPr>
        <w:tab/>
        <w:t>Draft Reply LS on Stage-2 CR for MIMO evolution</w:t>
      </w:r>
      <w:r w:rsidR="00835CB1" w:rsidRPr="009537ED">
        <w:rPr>
          <w:lang w:eastAsia="x-none"/>
        </w:rPr>
        <w:tab/>
        <w:t>Lenovo</w:t>
      </w:r>
    </w:p>
    <w:p w14:paraId="46DAF1DE" w14:textId="32B7BAF0" w:rsidR="00835CB1" w:rsidRPr="009537ED" w:rsidRDefault="005A18DC" w:rsidP="00835CB1">
      <w:pPr>
        <w:rPr>
          <w:lang w:eastAsia="x-none"/>
        </w:rPr>
      </w:pPr>
      <w:hyperlink r:id="rId138" w:history="1">
        <w:r w:rsidR="00AF7253">
          <w:rPr>
            <w:rStyle w:val="Hyperlink"/>
            <w:lang w:eastAsia="x-none"/>
          </w:rPr>
          <w:t>R1-2311524</w:t>
        </w:r>
      </w:hyperlink>
      <w:r w:rsidR="00835CB1" w:rsidRPr="009537ED">
        <w:rPr>
          <w:lang w:eastAsia="x-none"/>
        </w:rPr>
        <w:tab/>
        <w:t>Discussion on LS on Stage-2 CR for MIMO evolution</w:t>
      </w:r>
      <w:r w:rsidR="00835CB1" w:rsidRPr="009537ED">
        <w:rPr>
          <w:lang w:eastAsia="x-none"/>
        </w:rPr>
        <w:tab/>
        <w:t>Ericsson</w:t>
      </w:r>
    </w:p>
    <w:p w14:paraId="587DB886" w14:textId="53E928F0" w:rsidR="00835CB1" w:rsidRPr="009537ED" w:rsidRDefault="005A18DC" w:rsidP="00835CB1">
      <w:pPr>
        <w:rPr>
          <w:lang w:eastAsia="x-none"/>
        </w:rPr>
      </w:pPr>
      <w:hyperlink r:id="rId139" w:history="1">
        <w:r w:rsidR="00AF7253">
          <w:rPr>
            <w:rStyle w:val="Hyperlink"/>
            <w:lang w:eastAsia="x-none"/>
          </w:rPr>
          <w:t>R1-2311584</w:t>
        </w:r>
      </w:hyperlink>
      <w:r w:rsidR="00835CB1" w:rsidRPr="009537ED">
        <w:rPr>
          <w:lang w:eastAsia="x-none"/>
        </w:rPr>
        <w:tab/>
        <w:t>Draft Reply LS on MIMO Evolution</w:t>
      </w:r>
      <w:r w:rsidR="00835CB1" w:rsidRPr="009537ED">
        <w:rPr>
          <w:lang w:eastAsia="x-none"/>
        </w:rPr>
        <w:tab/>
        <w:t>Google</w:t>
      </w:r>
    </w:p>
    <w:p w14:paraId="6A1CD594" w14:textId="7528461B" w:rsidR="00835CB1" w:rsidRPr="009537ED" w:rsidRDefault="005A18DC" w:rsidP="00835CB1">
      <w:pPr>
        <w:rPr>
          <w:lang w:eastAsia="x-none"/>
        </w:rPr>
      </w:pPr>
      <w:hyperlink r:id="rId140" w:history="1">
        <w:r w:rsidR="00AF7253">
          <w:rPr>
            <w:rStyle w:val="Hyperlink"/>
            <w:lang w:eastAsia="x-none"/>
          </w:rPr>
          <w:t>R1-2311603</w:t>
        </w:r>
      </w:hyperlink>
      <w:r w:rsidR="00835CB1" w:rsidRPr="009537ED">
        <w:rPr>
          <w:lang w:eastAsia="x-none"/>
        </w:rPr>
        <w:tab/>
        <w:t>Draft reply LS on Stage-2 CR for MIMO evolution</w:t>
      </w:r>
      <w:r w:rsidR="00835CB1" w:rsidRPr="009537ED">
        <w:rPr>
          <w:lang w:eastAsia="x-none"/>
        </w:rPr>
        <w:tab/>
        <w:t>NTT DOCOMO, INC.</w:t>
      </w:r>
    </w:p>
    <w:p w14:paraId="6F3A73FE" w14:textId="6D677CF0" w:rsidR="00835CB1" w:rsidRPr="009537ED" w:rsidRDefault="005A18DC" w:rsidP="00835CB1">
      <w:pPr>
        <w:rPr>
          <w:lang w:eastAsia="x-none"/>
        </w:rPr>
      </w:pPr>
      <w:hyperlink r:id="rId141" w:history="1">
        <w:r w:rsidR="00AF7253">
          <w:rPr>
            <w:rStyle w:val="Hyperlink"/>
            <w:lang w:eastAsia="x-none"/>
          </w:rPr>
          <w:t>R1-2311736</w:t>
        </w:r>
      </w:hyperlink>
      <w:r w:rsidR="00835CB1" w:rsidRPr="009537ED">
        <w:rPr>
          <w:lang w:eastAsia="x-none"/>
        </w:rPr>
        <w:tab/>
        <w:t>Discussion on the LS reply on Stage-2 CR for MIMO evolution</w:t>
      </w:r>
      <w:r w:rsidR="00835CB1" w:rsidRPr="009537ED">
        <w:rPr>
          <w:lang w:eastAsia="x-none"/>
        </w:rPr>
        <w:tab/>
        <w:t>Nokia, Nokia Shanghai Bell</w:t>
      </w:r>
    </w:p>
    <w:p w14:paraId="3080C053" w14:textId="69BCE77A" w:rsidR="00835CB1" w:rsidRPr="009537ED" w:rsidRDefault="005A18DC" w:rsidP="00835CB1">
      <w:pPr>
        <w:rPr>
          <w:lang w:eastAsia="x-none"/>
        </w:rPr>
      </w:pPr>
      <w:hyperlink r:id="rId142" w:history="1">
        <w:r w:rsidR="00AF7253">
          <w:rPr>
            <w:rStyle w:val="Hyperlink"/>
            <w:lang w:eastAsia="x-none"/>
          </w:rPr>
          <w:t>R1-2311737</w:t>
        </w:r>
      </w:hyperlink>
      <w:r w:rsidR="00835CB1" w:rsidRPr="009537ED">
        <w:rPr>
          <w:lang w:eastAsia="x-none"/>
        </w:rPr>
        <w:tab/>
        <w:t>Draft LS reply on Stage-2 CR for MIMO evolution</w:t>
      </w:r>
      <w:r w:rsidR="00835CB1" w:rsidRPr="009537ED">
        <w:rPr>
          <w:lang w:eastAsia="x-none"/>
        </w:rPr>
        <w:tab/>
        <w:t>Nokia, Nokia Shanghai Bell</w:t>
      </w:r>
    </w:p>
    <w:p w14:paraId="565EFD1A" w14:textId="5304AE7B" w:rsidR="00835CB1" w:rsidRPr="009537ED" w:rsidRDefault="005A18DC" w:rsidP="00835CB1">
      <w:pPr>
        <w:rPr>
          <w:lang w:eastAsia="x-none"/>
        </w:rPr>
      </w:pPr>
      <w:hyperlink r:id="rId143" w:history="1">
        <w:r w:rsidR="00AF7253">
          <w:rPr>
            <w:rStyle w:val="Hyperlink"/>
            <w:lang w:eastAsia="x-none"/>
          </w:rPr>
          <w:t>R1-2311813</w:t>
        </w:r>
      </w:hyperlink>
      <w:r w:rsidR="00835CB1" w:rsidRPr="009537ED">
        <w:rPr>
          <w:lang w:eastAsia="x-none"/>
        </w:rPr>
        <w:tab/>
        <w:t>Draft reply LS on Stage-2 CR for MIMO evolution</w:t>
      </w:r>
      <w:r w:rsidR="00835CB1" w:rsidRPr="009537ED">
        <w:rPr>
          <w:lang w:eastAsia="x-none"/>
        </w:rPr>
        <w:tab/>
        <w:t>Samsung</w:t>
      </w:r>
    </w:p>
    <w:p w14:paraId="1520BD31" w14:textId="3D8633B5" w:rsidR="00835CB1" w:rsidRPr="009537ED" w:rsidRDefault="005A18DC" w:rsidP="00835CB1">
      <w:pPr>
        <w:rPr>
          <w:lang w:eastAsia="x-none"/>
        </w:rPr>
      </w:pPr>
      <w:hyperlink r:id="rId144" w:history="1">
        <w:r w:rsidR="00AF7253">
          <w:rPr>
            <w:rStyle w:val="Hyperlink"/>
            <w:lang w:eastAsia="x-none"/>
          </w:rPr>
          <w:t>R1-2312108</w:t>
        </w:r>
      </w:hyperlink>
      <w:r w:rsidR="00835CB1" w:rsidRPr="009537ED">
        <w:rPr>
          <w:lang w:eastAsia="x-none"/>
        </w:rPr>
        <w:tab/>
        <w:t>TP for TS 38.300 regarding 8Tx UL</w:t>
      </w:r>
      <w:r w:rsidR="00835CB1" w:rsidRPr="009537ED">
        <w:rPr>
          <w:lang w:eastAsia="x-none"/>
        </w:rPr>
        <w:tab/>
        <w:t>ASUSTeK</w:t>
      </w:r>
    </w:p>
    <w:p w14:paraId="2406C61D" w14:textId="13C6ED08" w:rsidR="00835CB1" w:rsidRPr="009537ED" w:rsidRDefault="005A18DC" w:rsidP="00835CB1">
      <w:pPr>
        <w:rPr>
          <w:lang w:eastAsia="x-none"/>
        </w:rPr>
      </w:pPr>
      <w:hyperlink r:id="rId145" w:history="1">
        <w:r w:rsidR="00AF7253">
          <w:rPr>
            <w:rStyle w:val="Hyperlink"/>
            <w:lang w:eastAsia="x-none"/>
          </w:rPr>
          <w:t>R1-2312237</w:t>
        </w:r>
      </w:hyperlink>
      <w:r w:rsidR="00835CB1" w:rsidRPr="009537ED">
        <w:rPr>
          <w:lang w:eastAsia="x-none"/>
        </w:rPr>
        <w:tab/>
        <w:t>Discussion of LS on Stage-2 CR for MIMO evolution</w:t>
      </w:r>
      <w:r w:rsidR="00835CB1" w:rsidRPr="009537ED">
        <w:rPr>
          <w:lang w:eastAsia="x-none"/>
        </w:rPr>
        <w:tab/>
        <w:t>Huawei, HiSilicon</w:t>
      </w:r>
    </w:p>
    <w:p w14:paraId="092144CE" w14:textId="77777777" w:rsidR="00D35BC3" w:rsidRPr="009537ED" w:rsidRDefault="00D35BC3" w:rsidP="00D35BC3">
      <w:pPr>
        <w:rPr>
          <w:lang w:eastAsia="x-none"/>
        </w:rPr>
      </w:pPr>
      <w:r w:rsidRPr="009537ED">
        <w:rPr>
          <w:b/>
          <w:bCs/>
          <w:lang w:eastAsia="x-none"/>
        </w:rPr>
        <w:t xml:space="preserve">Decision: </w:t>
      </w:r>
      <w:r w:rsidRPr="009537ED">
        <w:rPr>
          <w:lang w:eastAsia="x-none"/>
        </w:rPr>
        <w:t xml:space="preserve">RAN2 is requesting RAN1 to check their </w:t>
      </w:r>
      <w:r w:rsidRPr="009537ED">
        <w:rPr>
          <w:lang w:eastAsia="ja-JP"/>
        </w:rPr>
        <w:t xml:space="preserve">38.300 </w:t>
      </w:r>
      <w:r w:rsidRPr="009537ED">
        <w:rPr>
          <w:lang w:eastAsia="x-none"/>
        </w:rPr>
        <w:t xml:space="preserve">CR on </w:t>
      </w:r>
      <w:r w:rsidRPr="009537ED">
        <w:rPr>
          <w:lang w:eastAsia="ja-JP"/>
        </w:rPr>
        <w:t xml:space="preserve">two TAs for multi-DCI. In addition, discuss any updates to </w:t>
      </w:r>
      <w:r w:rsidRPr="00F63D15">
        <w:rPr>
          <w:lang w:eastAsia="ja-JP"/>
        </w:rPr>
        <w:t xml:space="preserve">38.300 related to other Rel-18 MIMO features. </w:t>
      </w:r>
      <w:r w:rsidRPr="00F63D15">
        <w:rPr>
          <w:lang w:eastAsia="x-none"/>
        </w:rPr>
        <w:t>To be handled in agenda item 8.1. To be moderated by Eko (Samsung).</w:t>
      </w:r>
    </w:p>
    <w:p w14:paraId="32EAFAB0" w14:textId="77777777" w:rsidR="00835CB1" w:rsidRPr="009537ED" w:rsidRDefault="00835CB1" w:rsidP="00835CB1">
      <w:pPr>
        <w:rPr>
          <w:lang w:eastAsia="x-none"/>
        </w:rPr>
      </w:pPr>
    </w:p>
    <w:p w14:paraId="026344CB" w14:textId="77777777" w:rsidR="00D35BC3" w:rsidRPr="009537ED" w:rsidRDefault="00D35BC3" w:rsidP="00835CB1">
      <w:pPr>
        <w:rPr>
          <w:lang w:eastAsia="x-none"/>
        </w:rPr>
      </w:pPr>
    </w:p>
    <w:p w14:paraId="7B9FF598" w14:textId="26FC0996" w:rsidR="00835CB1" w:rsidRPr="009537ED" w:rsidRDefault="005A18DC" w:rsidP="00835CB1">
      <w:pPr>
        <w:rPr>
          <w:b/>
          <w:bCs/>
          <w:lang w:eastAsia="x-none"/>
        </w:rPr>
      </w:pPr>
      <w:hyperlink r:id="rId146" w:history="1">
        <w:r w:rsidR="00AF7253">
          <w:rPr>
            <w:rStyle w:val="Hyperlink"/>
            <w:b/>
            <w:bCs/>
            <w:lang w:eastAsia="x-none"/>
          </w:rPr>
          <w:t>R1-2311004</w:t>
        </w:r>
      </w:hyperlink>
      <w:r w:rsidR="00835CB1" w:rsidRPr="009537ED">
        <w:rPr>
          <w:b/>
          <w:bCs/>
          <w:lang w:eastAsia="x-none"/>
        </w:rPr>
        <w:tab/>
        <w:t>LS on MIMOevo</w:t>
      </w:r>
      <w:r w:rsidR="00835CB1" w:rsidRPr="009537ED">
        <w:rPr>
          <w:b/>
          <w:bCs/>
          <w:lang w:eastAsia="x-none"/>
        </w:rPr>
        <w:tab/>
        <w:t>RAN2, Ericsson</w:t>
      </w:r>
    </w:p>
    <w:p w14:paraId="3A3E47A2" w14:textId="77777777" w:rsidR="00835CB1" w:rsidRPr="009537ED" w:rsidRDefault="00835CB1" w:rsidP="00835CB1">
      <w:pPr>
        <w:rPr>
          <w:b/>
          <w:lang w:eastAsia="x-none"/>
        </w:rPr>
      </w:pPr>
      <w:r w:rsidRPr="009537ED">
        <w:rPr>
          <w:b/>
          <w:lang w:eastAsia="x-none"/>
        </w:rPr>
        <w:t>Relevant tdocs:</w:t>
      </w:r>
    </w:p>
    <w:p w14:paraId="024EF237" w14:textId="20D7EDBE" w:rsidR="00835CB1" w:rsidRPr="009537ED" w:rsidRDefault="005A18DC" w:rsidP="00835CB1">
      <w:pPr>
        <w:rPr>
          <w:lang w:eastAsia="x-none"/>
        </w:rPr>
      </w:pPr>
      <w:hyperlink r:id="rId147" w:history="1">
        <w:r w:rsidR="00AF7253">
          <w:rPr>
            <w:rStyle w:val="Hyperlink"/>
            <w:lang w:eastAsia="x-none"/>
          </w:rPr>
          <w:t>R1-2310976</w:t>
        </w:r>
      </w:hyperlink>
      <w:r w:rsidR="00835CB1" w:rsidRPr="009537ED">
        <w:rPr>
          <w:lang w:eastAsia="x-none"/>
        </w:rPr>
        <w:tab/>
        <w:t>Discussion on LS on MIMOevo</w:t>
      </w:r>
      <w:r w:rsidR="00835CB1" w:rsidRPr="009537ED">
        <w:rPr>
          <w:lang w:eastAsia="x-none"/>
        </w:rPr>
        <w:tab/>
        <w:t>Ericsson</w:t>
      </w:r>
    </w:p>
    <w:p w14:paraId="29AECBB9" w14:textId="17E0B24A" w:rsidR="00835CB1" w:rsidRPr="009537ED" w:rsidRDefault="005A18DC" w:rsidP="00835CB1">
      <w:pPr>
        <w:rPr>
          <w:lang w:eastAsia="x-none"/>
        </w:rPr>
      </w:pPr>
      <w:hyperlink r:id="rId148" w:history="1">
        <w:r w:rsidR="00AF7253">
          <w:rPr>
            <w:rStyle w:val="Hyperlink"/>
            <w:lang w:eastAsia="x-none"/>
          </w:rPr>
          <w:t>R1-2311004</w:t>
        </w:r>
      </w:hyperlink>
      <w:r w:rsidR="00835CB1" w:rsidRPr="009537ED">
        <w:rPr>
          <w:lang w:eastAsia="x-none"/>
        </w:rPr>
        <w:tab/>
        <w:t>LS on MIMOevo</w:t>
      </w:r>
      <w:r w:rsidR="00835CB1" w:rsidRPr="009537ED">
        <w:rPr>
          <w:lang w:eastAsia="x-none"/>
        </w:rPr>
        <w:tab/>
        <w:t>RAN2, Ericsson</w:t>
      </w:r>
    </w:p>
    <w:p w14:paraId="31CA4456" w14:textId="35F3F0F8" w:rsidR="00835CB1" w:rsidRPr="009537ED" w:rsidRDefault="005A18DC" w:rsidP="00835CB1">
      <w:pPr>
        <w:rPr>
          <w:lang w:eastAsia="x-none"/>
        </w:rPr>
      </w:pPr>
      <w:hyperlink r:id="rId149" w:history="1">
        <w:r w:rsidR="00AF7253">
          <w:rPr>
            <w:rStyle w:val="Hyperlink"/>
            <w:lang w:eastAsia="x-none"/>
          </w:rPr>
          <w:t>R1-2311070</w:t>
        </w:r>
      </w:hyperlink>
      <w:r w:rsidR="00835CB1" w:rsidRPr="009537ED">
        <w:rPr>
          <w:lang w:eastAsia="x-none"/>
        </w:rPr>
        <w:tab/>
        <w:t>Draft reply LS on MIMOevo</w:t>
      </w:r>
      <w:r w:rsidR="00835CB1" w:rsidRPr="009537ED">
        <w:rPr>
          <w:lang w:eastAsia="x-none"/>
        </w:rPr>
        <w:tab/>
        <w:t>vivo</w:t>
      </w:r>
    </w:p>
    <w:p w14:paraId="37AC76B4" w14:textId="76D8F0F5" w:rsidR="00835CB1" w:rsidRPr="009537ED" w:rsidRDefault="005A18DC" w:rsidP="00835CB1">
      <w:pPr>
        <w:rPr>
          <w:lang w:eastAsia="x-none"/>
        </w:rPr>
      </w:pPr>
      <w:hyperlink r:id="rId150" w:history="1">
        <w:r w:rsidR="00AF7253">
          <w:rPr>
            <w:rStyle w:val="Hyperlink"/>
            <w:lang w:eastAsia="x-none"/>
          </w:rPr>
          <w:t>R1-2311210</w:t>
        </w:r>
      </w:hyperlink>
      <w:r w:rsidR="00835CB1" w:rsidRPr="009537ED">
        <w:rPr>
          <w:lang w:eastAsia="x-none"/>
        </w:rPr>
        <w:tab/>
        <w:t>Draft reply LS to RAN2 on MIMOevo</w:t>
      </w:r>
      <w:r w:rsidR="00835CB1" w:rsidRPr="009537ED">
        <w:rPr>
          <w:lang w:eastAsia="x-none"/>
        </w:rPr>
        <w:tab/>
        <w:t>ZTE</w:t>
      </w:r>
    </w:p>
    <w:p w14:paraId="6E529A99" w14:textId="18EFB810" w:rsidR="00835CB1" w:rsidRPr="009537ED" w:rsidRDefault="005A18DC" w:rsidP="00835CB1">
      <w:pPr>
        <w:rPr>
          <w:lang w:eastAsia="x-none"/>
        </w:rPr>
      </w:pPr>
      <w:hyperlink r:id="rId151" w:history="1">
        <w:r w:rsidR="00AF7253">
          <w:rPr>
            <w:rStyle w:val="Hyperlink"/>
            <w:lang w:eastAsia="x-none"/>
          </w:rPr>
          <w:t>R1-2311223</w:t>
        </w:r>
      </w:hyperlink>
      <w:r w:rsidR="00835CB1" w:rsidRPr="009537ED">
        <w:rPr>
          <w:lang w:eastAsia="x-none"/>
        </w:rPr>
        <w:tab/>
        <w:t>Discussion on LS on RRC parameters for MIMOevo</w:t>
      </w:r>
      <w:r w:rsidR="00835CB1" w:rsidRPr="009537ED">
        <w:rPr>
          <w:lang w:eastAsia="x-none"/>
        </w:rPr>
        <w:tab/>
        <w:t>OPPO</w:t>
      </w:r>
    </w:p>
    <w:p w14:paraId="7201DD29" w14:textId="48A91FE8" w:rsidR="00835CB1" w:rsidRPr="009537ED" w:rsidRDefault="005A18DC" w:rsidP="00835CB1">
      <w:pPr>
        <w:rPr>
          <w:lang w:eastAsia="x-none"/>
        </w:rPr>
      </w:pPr>
      <w:hyperlink r:id="rId152" w:history="1">
        <w:r w:rsidR="00AF7253">
          <w:rPr>
            <w:rStyle w:val="Hyperlink"/>
            <w:lang w:eastAsia="x-none"/>
          </w:rPr>
          <w:t>R1-2311372</w:t>
        </w:r>
      </w:hyperlink>
      <w:r w:rsidR="00835CB1" w:rsidRPr="009537ED">
        <w:rPr>
          <w:lang w:eastAsia="x-none"/>
        </w:rPr>
        <w:tab/>
        <w:t>Draft Reply LS on MIMOevo</w:t>
      </w:r>
      <w:r w:rsidR="00835CB1" w:rsidRPr="009537ED">
        <w:rPr>
          <w:lang w:eastAsia="x-none"/>
        </w:rPr>
        <w:tab/>
        <w:t>Lenovo</w:t>
      </w:r>
    </w:p>
    <w:p w14:paraId="4C8E5838" w14:textId="62E75C66" w:rsidR="00835CB1" w:rsidRPr="009537ED" w:rsidRDefault="005A18DC" w:rsidP="00835CB1">
      <w:pPr>
        <w:rPr>
          <w:lang w:eastAsia="x-none"/>
        </w:rPr>
      </w:pPr>
      <w:hyperlink r:id="rId153" w:history="1">
        <w:r w:rsidR="00AF7253">
          <w:rPr>
            <w:rStyle w:val="Hyperlink"/>
            <w:lang w:eastAsia="x-none"/>
          </w:rPr>
          <w:t>R1-2311373</w:t>
        </w:r>
      </w:hyperlink>
      <w:r w:rsidR="00835CB1" w:rsidRPr="009537ED">
        <w:rPr>
          <w:lang w:eastAsia="x-none"/>
        </w:rPr>
        <w:tab/>
        <w:t>Draft reply LS on MIMOevo</w:t>
      </w:r>
      <w:r w:rsidR="00835CB1" w:rsidRPr="009537ED">
        <w:rPr>
          <w:lang w:eastAsia="x-none"/>
        </w:rPr>
        <w:tab/>
        <w:t>CATT</w:t>
      </w:r>
    </w:p>
    <w:p w14:paraId="0BDB2C98" w14:textId="6DF9587B" w:rsidR="00835CB1" w:rsidRPr="009537ED" w:rsidRDefault="005A18DC" w:rsidP="00835CB1">
      <w:pPr>
        <w:rPr>
          <w:lang w:eastAsia="x-none"/>
        </w:rPr>
      </w:pPr>
      <w:hyperlink r:id="rId154" w:history="1">
        <w:r w:rsidR="00AF7253">
          <w:rPr>
            <w:rStyle w:val="Hyperlink"/>
            <w:lang w:eastAsia="x-none"/>
          </w:rPr>
          <w:t>R1-2311738</w:t>
        </w:r>
      </w:hyperlink>
      <w:r w:rsidR="00835CB1" w:rsidRPr="009537ED">
        <w:rPr>
          <w:lang w:eastAsia="x-none"/>
        </w:rPr>
        <w:tab/>
        <w:t>Draft LS reply on MIMOevo</w:t>
      </w:r>
      <w:r w:rsidR="00835CB1" w:rsidRPr="009537ED">
        <w:rPr>
          <w:lang w:eastAsia="x-none"/>
        </w:rPr>
        <w:tab/>
        <w:t>Nokia, Nokia Shanghai Bell</w:t>
      </w:r>
    </w:p>
    <w:p w14:paraId="724A8B4C" w14:textId="7E8CE2C0" w:rsidR="00835CB1" w:rsidRPr="009537ED" w:rsidRDefault="005A18DC" w:rsidP="00835CB1">
      <w:pPr>
        <w:rPr>
          <w:lang w:eastAsia="x-none"/>
        </w:rPr>
      </w:pPr>
      <w:hyperlink r:id="rId155" w:history="1">
        <w:r w:rsidR="00AF7253">
          <w:rPr>
            <w:rStyle w:val="Hyperlink"/>
            <w:lang w:eastAsia="x-none"/>
          </w:rPr>
          <w:t>R1-2311802</w:t>
        </w:r>
      </w:hyperlink>
      <w:r w:rsidR="00835CB1" w:rsidRPr="009537ED">
        <w:rPr>
          <w:lang w:eastAsia="x-none"/>
        </w:rPr>
        <w:tab/>
        <w:t>Draft reply LS on MIMOevo</w:t>
      </w:r>
      <w:r w:rsidR="00835CB1" w:rsidRPr="009537ED">
        <w:rPr>
          <w:lang w:eastAsia="x-none"/>
        </w:rPr>
        <w:tab/>
        <w:t>Samsung</w:t>
      </w:r>
    </w:p>
    <w:p w14:paraId="30CED8C6" w14:textId="043FF2FF" w:rsidR="00835CB1" w:rsidRPr="009537ED" w:rsidRDefault="005A18DC" w:rsidP="00835CB1">
      <w:pPr>
        <w:rPr>
          <w:lang w:eastAsia="x-none"/>
        </w:rPr>
      </w:pPr>
      <w:hyperlink r:id="rId156" w:history="1">
        <w:r w:rsidR="00AF7253">
          <w:rPr>
            <w:rStyle w:val="Hyperlink"/>
            <w:lang w:eastAsia="x-none"/>
          </w:rPr>
          <w:t>R1-2311958</w:t>
        </w:r>
      </w:hyperlink>
      <w:r w:rsidR="00835CB1" w:rsidRPr="009537ED">
        <w:rPr>
          <w:lang w:eastAsia="x-none"/>
        </w:rPr>
        <w:tab/>
        <w:t>Draft reply LS on MIMOevo</w:t>
      </w:r>
      <w:r w:rsidR="00835CB1" w:rsidRPr="009537ED">
        <w:rPr>
          <w:lang w:eastAsia="x-none"/>
        </w:rPr>
        <w:tab/>
        <w:t>MediaTek Inc.</w:t>
      </w:r>
    </w:p>
    <w:p w14:paraId="0A5EE8A4" w14:textId="38C639A1" w:rsidR="00835CB1" w:rsidRPr="009537ED" w:rsidRDefault="005A18DC" w:rsidP="00835CB1">
      <w:pPr>
        <w:rPr>
          <w:lang w:eastAsia="x-none"/>
        </w:rPr>
      </w:pPr>
      <w:hyperlink r:id="rId157" w:history="1">
        <w:r w:rsidR="00AF7253">
          <w:rPr>
            <w:rStyle w:val="Hyperlink"/>
            <w:lang w:eastAsia="x-none"/>
          </w:rPr>
          <w:t>R1-2312238</w:t>
        </w:r>
      </w:hyperlink>
      <w:r w:rsidR="00835CB1" w:rsidRPr="009537ED">
        <w:rPr>
          <w:lang w:eastAsia="x-none"/>
        </w:rPr>
        <w:tab/>
        <w:t>Discussion of LS on MIMOevo RRC parameters</w:t>
      </w:r>
      <w:r w:rsidR="00835CB1" w:rsidRPr="009537ED">
        <w:rPr>
          <w:lang w:eastAsia="x-none"/>
        </w:rPr>
        <w:tab/>
        <w:t>Huawei, HiSilicon</w:t>
      </w:r>
    </w:p>
    <w:p w14:paraId="6A5B00AB" w14:textId="77777777" w:rsidR="00D35BC3" w:rsidRPr="00F63D15" w:rsidRDefault="00D35BC3" w:rsidP="00D35BC3">
      <w:pPr>
        <w:rPr>
          <w:lang w:eastAsia="x-none"/>
        </w:rPr>
      </w:pPr>
      <w:r w:rsidRPr="00F63D15">
        <w:rPr>
          <w:b/>
          <w:bCs/>
          <w:lang w:eastAsia="x-none"/>
        </w:rPr>
        <w:t xml:space="preserve">Decision: </w:t>
      </w:r>
      <w:r w:rsidRPr="00F63D15">
        <w:rPr>
          <w:lang w:eastAsia="x-none"/>
        </w:rPr>
        <w:t>RAN2 is requesting RAN1 input on RRC signalling related to Rel-18 MIMO. To be handled in agenda item 8.1. To be moderated by Eko (Samsung).</w:t>
      </w:r>
    </w:p>
    <w:p w14:paraId="760FA4B5" w14:textId="77777777" w:rsidR="00835CB1" w:rsidRPr="009537ED" w:rsidRDefault="00835CB1" w:rsidP="00835CB1">
      <w:pPr>
        <w:rPr>
          <w:lang w:eastAsia="x-none"/>
        </w:rPr>
      </w:pPr>
    </w:p>
    <w:p w14:paraId="04B58CD9" w14:textId="77777777" w:rsidR="00832D5B" w:rsidRPr="009537ED" w:rsidRDefault="00832D5B" w:rsidP="00832D5B">
      <w:pPr>
        <w:rPr>
          <w:lang w:eastAsia="x-none"/>
        </w:rPr>
      </w:pPr>
      <w:r w:rsidRPr="009537ED">
        <w:rPr>
          <w:lang w:eastAsia="x-none"/>
        </w:rPr>
        <w:t>-----------------------</w:t>
      </w:r>
    </w:p>
    <w:p w14:paraId="0398BF59" w14:textId="77777777" w:rsidR="00835CB1" w:rsidRPr="009537ED" w:rsidRDefault="00835CB1" w:rsidP="00835CB1">
      <w:pPr>
        <w:rPr>
          <w:b/>
          <w:lang w:eastAsia="x-none"/>
        </w:rPr>
      </w:pPr>
      <w:r w:rsidRPr="009537ED">
        <w:rPr>
          <w:b/>
          <w:lang w:eastAsia="x-none"/>
        </w:rPr>
        <w:t>Rel-18 MBS</w:t>
      </w:r>
    </w:p>
    <w:p w14:paraId="15F16159" w14:textId="4356E370" w:rsidR="00835CB1" w:rsidRPr="009537ED" w:rsidRDefault="005A18DC" w:rsidP="00835CB1">
      <w:pPr>
        <w:rPr>
          <w:b/>
          <w:bCs/>
          <w:lang w:eastAsia="x-none"/>
        </w:rPr>
      </w:pPr>
      <w:hyperlink r:id="rId158" w:history="1">
        <w:r w:rsidR="00AF7253">
          <w:rPr>
            <w:rStyle w:val="Hyperlink"/>
            <w:b/>
            <w:bCs/>
            <w:lang w:eastAsia="x-none"/>
          </w:rPr>
          <w:t>R1-2310788</w:t>
        </w:r>
      </w:hyperlink>
      <w:r w:rsidR="00835CB1" w:rsidRPr="009537ED">
        <w:rPr>
          <w:b/>
          <w:bCs/>
          <w:lang w:eastAsia="x-none"/>
        </w:rPr>
        <w:tab/>
        <w:t>LS on UE Capability of Multicast Reception in RRC_INACTIVE</w:t>
      </w:r>
      <w:r w:rsidR="00835CB1" w:rsidRPr="009537ED">
        <w:rPr>
          <w:b/>
          <w:bCs/>
          <w:lang w:eastAsia="x-none"/>
        </w:rPr>
        <w:tab/>
        <w:t>RAN2, vivo</w:t>
      </w:r>
    </w:p>
    <w:p w14:paraId="1F138522" w14:textId="77777777" w:rsidR="00835CB1" w:rsidRPr="009537ED" w:rsidRDefault="00835CB1" w:rsidP="00835CB1">
      <w:pPr>
        <w:rPr>
          <w:b/>
          <w:lang w:eastAsia="x-none"/>
        </w:rPr>
      </w:pPr>
      <w:r w:rsidRPr="009537ED">
        <w:rPr>
          <w:b/>
          <w:lang w:eastAsia="x-none"/>
        </w:rPr>
        <w:t>Relevant tdocs:</w:t>
      </w:r>
    </w:p>
    <w:p w14:paraId="2074B53D" w14:textId="560601B1" w:rsidR="00835CB1" w:rsidRPr="009537ED" w:rsidRDefault="005A18DC" w:rsidP="00835CB1">
      <w:pPr>
        <w:rPr>
          <w:lang w:eastAsia="x-none"/>
        </w:rPr>
      </w:pPr>
      <w:hyperlink r:id="rId159" w:history="1">
        <w:r w:rsidR="00AF7253">
          <w:rPr>
            <w:rStyle w:val="Hyperlink"/>
            <w:lang w:eastAsia="x-none"/>
          </w:rPr>
          <w:t>R1-2310833</w:t>
        </w:r>
      </w:hyperlink>
      <w:r w:rsidR="00835CB1" w:rsidRPr="009537ED">
        <w:rPr>
          <w:lang w:eastAsia="x-none"/>
        </w:rPr>
        <w:tab/>
        <w:t>Discussion on simultaneous reception for Rel-18 MBS</w:t>
      </w:r>
      <w:r w:rsidR="00835CB1" w:rsidRPr="009537ED">
        <w:rPr>
          <w:lang w:eastAsia="x-none"/>
        </w:rPr>
        <w:tab/>
        <w:t>Huawei, HiSilicon, CBN</w:t>
      </w:r>
    </w:p>
    <w:p w14:paraId="3859B7F5" w14:textId="79147926" w:rsidR="00835CB1" w:rsidRPr="009537ED" w:rsidRDefault="005A18DC" w:rsidP="00835CB1">
      <w:pPr>
        <w:rPr>
          <w:lang w:eastAsia="x-none"/>
        </w:rPr>
      </w:pPr>
      <w:hyperlink r:id="rId160" w:history="1">
        <w:r w:rsidR="00AF7253">
          <w:rPr>
            <w:rStyle w:val="Hyperlink"/>
            <w:lang w:eastAsia="x-none"/>
          </w:rPr>
          <w:t>R1-2311007</w:t>
        </w:r>
      </w:hyperlink>
      <w:r w:rsidR="00835CB1" w:rsidRPr="009537ED">
        <w:rPr>
          <w:lang w:eastAsia="x-none"/>
        </w:rPr>
        <w:tab/>
        <w:t>[Draft] Reply LS on UE Capability of Multicast Reception in RRC_INACTIVE</w:t>
      </w:r>
      <w:r w:rsidR="00835CB1" w:rsidRPr="009537ED">
        <w:rPr>
          <w:lang w:eastAsia="x-none"/>
        </w:rPr>
        <w:tab/>
        <w:t>ZTE, CBN</w:t>
      </w:r>
    </w:p>
    <w:p w14:paraId="64F300D4" w14:textId="10982E95" w:rsidR="00835CB1" w:rsidRPr="009537ED" w:rsidRDefault="005A18DC" w:rsidP="00835CB1">
      <w:pPr>
        <w:rPr>
          <w:lang w:eastAsia="x-none"/>
        </w:rPr>
      </w:pPr>
      <w:hyperlink r:id="rId161" w:history="1">
        <w:r w:rsidR="00AF7253">
          <w:rPr>
            <w:rStyle w:val="Hyperlink"/>
            <w:lang w:eastAsia="x-none"/>
          </w:rPr>
          <w:t>R1-2311066</w:t>
        </w:r>
      </w:hyperlink>
      <w:r w:rsidR="00835CB1" w:rsidRPr="009537ED">
        <w:rPr>
          <w:lang w:eastAsia="x-none"/>
        </w:rPr>
        <w:tab/>
        <w:t>Draft reply LS on UE Capability of Multicast Reception in RRC_INACTIVE</w:t>
      </w:r>
      <w:r w:rsidR="00835CB1" w:rsidRPr="009537ED">
        <w:rPr>
          <w:lang w:eastAsia="x-none"/>
        </w:rPr>
        <w:tab/>
        <w:t>vivo</w:t>
      </w:r>
    </w:p>
    <w:p w14:paraId="5973A226" w14:textId="134EAE0C" w:rsidR="00835CB1" w:rsidRPr="009537ED" w:rsidRDefault="005A18DC" w:rsidP="00835CB1">
      <w:pPr>
        <w:rPr>
          <w:lang w:eastAsia="x-none"/>
        </w:rPr>
      </w:pPr>
      <w:hyperlink r:id="rId162" w:history="1">
        <w:r w:rsidR="00AF7253">
          <w:rPr>
            <w:rStyle w:val="Hyperlink"/>
            <w:lang w:eastAsia="x-none"/>
          </w:rPr>
          <w:t>R1-2311067</w:t>
        </w:r>
      </w:hyperlink>
      <w:r w:rsidR="00835CB1" w:rsidRPr="009537ED">
        <w:rPr>
          <w:lang w:eastAsia="x-none"/>
        </w:rPr>
        <w:tab/>
        <w:t>Draft TPs for UE supporting FDMed multicast MCCH and PBCH in a slot for multicast reception in RRC_INACTIVE</w:t>
      </w:r>
      <w:r w:rsidR="00835CB1" w:rsidRPr="009537ED">
        <w:rPr>
          <w:lang w:eastAsia="x-none"/>
        </w:rPr>
        <w:tab/>
        <w:t>vivo</w:t>
      </w:r>
    </w:p>
    <w:p w14:paraId="4420838A" w14:textId="3130700B" w:rsidR="00835CB1" w:rsidRPr="009537ED" w:rsidRDefault="005A18DC" w:rsidP="00835CB1">
      <w:pPr>
        <w:rPr>
          <w:lang w:eastAsia="x-none"/>
        </w:rPr>
      </w:pPr>
      <w:hyperlink r:id="rId163" w:history="1">
        <w:r w:rsidR="00AF7253">
          <w:rPr>
            <w:rStyle w:val="Hyperlink"/>
            <w:lang w:eastAsia="x-none"/>
          </w:rPr>
          <w:t>R1-2311283</w:t>
        </w:r>
      </w:hyperlink>
      <w:r w:rsidR="00835CB1" w:rsidRPr="009537ED">
        <w:rPr>
          <w:lang w:eastAsia="x-none"/>
        </w:rPr>
        <w:tab/>
        <w:t>Discussion on RAN2 LS on UE capability for multicast reception in RRC_INACTIVE</w:t>
      </w:r>
      <w:r w:rsidR="00835CB1" w:rsidRPr="009537ED">
        <w:rPr>
          <w:lang w:eastAsia="x-none"/>
        </w:rPr>
        <w:tab/>
        <w:t>CATT, CBN</w:t>
      </w:r>
    </w:p>
    <w:p w14:paraId="2E632903" w14:textId="6E35393D" w:rsidR="00835CB1" w:rsidRPr="009537ED" w:rsidRDefault="005A18DC" w:rsidP="00835CB1">
      <w:pPr>
        <w:rPr>
          <w:lang w:eastAsia="x-none"/>
        </w:rPr>
      </w:pPr>
      <w:hyperlink r:id="rId164" w:history="1">
        <w:r w:rsidR="00AF7253">
          <w:rPr>
            <w:rStyle w:val="Hyperlink"/>
            <w:lang w:eastAsia="x-none"/>
          </w:rPr>
          <w:t>R1-2311468</w:t>
        </w:r>
      </w:hyperlink>
      <w:r w:rsidR="00835CB1" w:rsidRPr="009537ED">
        <w:rPr>
          <w:lang w:eastAsia="x-none"/>
        </w:rPr>
        <w:tab/>
        <w:t>Discussion on LS on UE Capability of Multicast Reception in RRC_INACTIVE</w:t>
      </w:r>
      <w:r w:rsidR="00835CB1" w:rsidRPr="009537ED">
        <w:rPr>
          <w:lang w:eastAsia="x-none"/>
        </w:rPr>
        <w:tab/>
        <w:t>CMCC</w:t>
      </w:r>
    </w:p>
    <w:p w14:paraId="2D2936CD" w14:textId="4B0AD20A" w:rsidR="00835CB1" w:rsidRPr="009537ED" w:rsidRDefault="005A18DC" w:rsidP="00835CB1">
      <w:pPr>
        <w:rPr>
          <w:lang w:eastAsia="x-none"/>
        </w:rPr>
      </w:pPr>
      <w:hyperlink r:id="rId165" w:history="1">
        <w:r w:rsidR="00AF7253">
          <w:rPr>
            <w:rStyle w:val="Hyperlink"/>
            <w:lang w:eastAsia="x-none"/>
          </w:rPr>
          <w:t>R1-2311658</w:t>
        </w:r>
      </w:hyperlink>
      <w:r w:rsidR="00835CB1" w:rsidRPr="009537ED">
        <w:rPr>
          <w:lang w:eastAsia="x-none"/>
        </w:rPr>
        <w:tab/>
        <w:t>Draft reply LS on UE Capability of Multicast Reception in RRC_INACTIVE</w:t>
      </w:r>
      <w:r w:rsidR="00835CB1" w:rsidRPr="009537ED">
        <w:rPr>
          <w:lang w:eastAsia="x-none"/>
        </w:rPr>
        <w:tab/>
        <w:t>Apple</w:t>
      </w:r>
    </w:p>
    <w:p w14:paraId="212820BB" w14:textId="18C0B63E" w:rsidR="00835CB1" w:rsidRPr="009537ED" w:rsidRDefault="005A18DC" w:rsidP="00835CB1">
      <w:pPr>
        <w:rPr>
          <w:lang w:eastAsia="x-none"/>
        </w:rPr>
      </w:pPr>
      <w:hyperlink r:id="rId166" w:history="1">
        <w:r w:rsidR="00AF7253">
          <w:rPr>
            <w:rStyle w:val="Hyperlink"/>
            <w:lang w:eastAsia="x-none"/>
          </w:rPr>
          <w:t>R1-2311788</w:t>
        </w:r>
      </w:hyperlink>
      <w:r w:rsidR="00835CB1" w:rsidRPr="009537ED">
        <w:rPr>
          <w:lang w:eastAsia="x-none"/>
        </w:rPr>
        <w:tab/>
        <w:t>[Draft] Reply LS on UE Capability of Multicast Reception in RRC_INACTIVE</w:t>
      </w:r>
      <w:r w:rsidR="00835CB1" w:rsidRPr="009537ED">
        <w:rPr>
          <w:lang w:eastAsia="x-none"/>
        </w:rPr>
        <w:tab/>
        <w:t>Nokia, Nokia Shanghai Bell</w:t>
      </w:r>
    </w:p>
    <w:p w14:paraId="1B7C59A3" w14:textId="674359A5" w:rsidR="00835CB1" w:rsidRPr="009537ED" w:rsidRDefault="005A18DC" w:rsidP="00835CB1">
      <w:pPr>
        <w:rPr>
          <w:lang w:eastAsia="x-none"/>
        </w:rPr>
      </w:pPr>
      <w:hyperlink r:id="rId167" w:history="1">
        <w:r w:rsidR="00AF7253">
          <w:rPr>
            <w:rStyle w:val="Hyperlink"/>
            <w:lang w:eastAsia="x-none"/>
          </w:rPr>
          <w:t>R1-2311811</w:t>
        </w:r>
      </w:hyperlink>
      <w:r w:rsidR="00835CB1" w:rsidRPr="009537ED">
        <w:rPr>
          <w:lang w:eastAsia="x-none"/>
        </w:rPr>
        <w:tab/>
        <w:t>Draft reply LS on UE Capability of FDMed between Multicast MCCH and PBCH</w:t>
      </w:r>
      <w:r w:rsidR="00835CB1" w:rsidRPr="009537ED">
        <w:rPr>
          <w:lang w:eastAsia="x-none"/>
        </w:rPr>
        <w:tab/>
        <w:t>Samsung</w:t>
      </w:r>
    </w:p>
    <w:p w14:paraId="0C87826F" w14:textId="0AA37BAE" w:rsidR="00835CB1" w:rsidRPr="009537ED" w:rsidRDefault="005A18DC" w:rsidP="00835CB1">
      <w:pPr>
        <w:rPr>
          <w:lang w:eastAsia="x-none"/>
        </w:rPr>
      </w:pPr>
      <w:hyperlink r:id="rId168" w:history="1">
        <w:r w:rsidR="00AF7253">
          <w:rPr>
            <w:rStyle w:val="Hyperlink"/>
            <w:lang w:eastAsia="x-none"/>
          </w:rPr>
          <w:t>R1-2311957</w:t>
        </w:r>
      </w:hyperlink>
      <w:r w:rsidR="00835CB1" w:rsidRPr="009537ED">
        <w:rPr>
          <w:lang w:eastAsia="x-none"/>
        </w:rPr>
        <w:tab/>
        <w:t>Draft LS reply on UE Capability of Multicast Reception in RRC_INACTIVE</w:t>
      </w:r>
      <w:r w:rsidR="00835CB1" w:rsidRPr="009537ED">
        <w:rPr>
          <w:lang w:eastAsia="x-none"/>
        </w:rPr>
        <w:tab/>
        <w:t>MediaTek Inc.</w:t>
      </w:r>
    </w:p>
    <w:p w14:paraId="45A382FD" w14:textId="6E9312F8" w:rsidR="00835CB1" w:rsidRPr="009537ED" w:rsidRDefault="005A18DC" w:rsidP="00835CB1">
      <w:pPr>
        <w:rPr>
          <w:lang w:eastAsia="x-none"/>
        </w:rPr>
      </w:pPr>
      <w:hyperlink r:id="rId169" w:history="1">
        <w:r w:rsidR="00AF7253">
          <w:rPr>
            <w:rStyle w:val="Hyperlink"/>
            <w:lang w:eastAsia="x-none"/>
          </w:rPr>
          <w:t>R1-2312012</w:t>
        </w:r>
      </w:hyperlink>
      <w:r w:rsidR="00835CB1" w:rsidRPr="009537ED">
        <w:rPr>
          <w:lang w:eastAsia="x-none"/>
        </w:rPr>
        <w:tab/>
        <w:t>Discussion of RAN2 LS on the UE Capability of Multicast Reception in RRC_INACTIVE</w:t>
      </w:r>
      <w:r w:rsidR="00835CB1" w:rsidRPr="009537ED">
        <w:rPr>
          <w:lang w:eastAsia="x-none"/>
        </w:rPr>
        <w:tab/>
        <w:t>Qualcomm Incorporated</w:t>
      </w:r>
    </w:p>
    <w:p w14:paraId="2CE4F343" w14:textId="068A97B3" w:rsidR="00835CB1" w:rsidRPr="009537ED" w:rsidRDefault="005A18DC" w:rsidP="00835CB1">
      <w:pPr>
        <w:rPr>
          <w:lang w:eastAsia="x-none"/>
        </w:rPr>
      </w:pPr>
      <w:hyperlink r:id="rId170" w:history="1">
        <w:r w:rsidR="00AF7253">
          <w:rPr>
            <w:rStyle w:val="Hyperlink"/>
            <w:lang w:eastAsia="x-none"/>
          </w:rPr>
          <w:t>R1-2312193</w:t>
        </w:r>
      </w:hyperlink>
      <w:r w:rsidR="00835CB1" w:rsidRPr="009537ED">
        <w:rPr>
          <w:lang w:eastAsia="x-none"/>
        </w:rPr>
        <w:tab/>
        <w:t>Discussion on LS on UE capability of multicast reception in RRC_INACTIVE</w:t>
      </w:r>
      <w:r w:rsidR="00835CB1" w:rsidRPr="009537ED">
        <w:rPr>
          <w:lang w:eastAsia="x-none"/>
        </w:rPr>
        <w:tab/>
        <w:t>Ericsson</w:t>
      </w:r>
    </w:p>
    <w:p w14:paraId="6035BAD6" w14:textId="00D77516" w:rsidR="00832D5B" w:rsidRPr="00C93C68" w:rsidRDefault="00832D5B" w:rsidP="00832D5B">
      <w:pPr>
        <w:rPr>
          <w:lang w:eastAsia="x-none"/>
        </w:rPr>
      </w:pPr>
      <w:r w:rsidRPr="009537ED">
        <w:rPr>
          <w:b/>
          <w:bCs/>
          <w:lang w:eastAsia="x-none"/>
        </w:rPr>
        <w:t xml:space="preserve">Decision: </w:t>
      </w:r>
      <w:r w:rsidRPr="009537ED">
        <w:rPr>
          <w:lang w:eastAsia="x-none"/>
        </w:rPr>
        <w:t xml:space="preserve">RAN2 is requesting RAN1 input on UE capability for multicast reception in RRC_INACTIVE. RAN1 response needed. </w:t>
      </w:r>
      <w:r w:rsidRPr="00C93C68">
        <w:rPr>
          <w:lang w:eastAsia="x-none"/>
        </w:rPr>
        <w:t xml:space="preserve">To be handled in agenda item 5. Comeback on Wednesday. To be moderated by </w:t>
      </w:r>
      <w:r w:rsidR="00D35BC3" w:rsidRPr="00C93C68">
        <w:rPr>
          <w:lang w:eastAsia="x-none"/>
        </w:rPr>
        <w:t>Qu Xin</w:t>
      </w:r>
      <w:r w:rsidRPr="00C93C68">
        <w:rPr>
          <w:lang w:eastAsia="x-none"/>
        </w:rPr>
        <w:t xml:space="preserve"> (vivo).</w:t>
      </w:r>
    </w:p>
    <w:p w14:paraId="66551287" w14:textId="4031866E" w:rsidR="00835CB1" w:rsidRPr="00C93C68" w:rsidRDefault="005A18DC" w:rsidP="00835CB1">
      <w:pPr>
        <w:rPr>
          <w:b/>
          <w:bCs/>
          <w:lang w:eastAsia="x-none"/>
        </w:rPr>
      </w:pPr>
      <w:hyperlink r:id="rId171" w:history="1">
        <w:r w:rsidR="00AF7253">
          <w:rPr>
            <w:rStyle w:val="Hyperlink"/>
            <w:b/>
            <w:bCs/>
            <w:lang w:eastAsia="x-none"/>
          </w:rPr>
          <w:t>R1-2312497</w:t>
        </w:r>
      </w:hyperlink>
      <w:r w:rsidR="00C93C68" w:rsidRPr="00C93C68">
        <w:rPr>
          <w:b/>
          <w:bCs/>
          <w:lang w:eastAsia="x-none"/>
        </w:rPr>
        <w:tab/>
        <w:t>Summary on replying LS on UE Capability of Multicast Reception in RRC_INACTIVE</w:t>
      </w:r>
      <w:r w:rsidR="00C93C68" w:rsidRPr="00C93C68">
        <w:rPr>
          <w:b/>
          <w:bCs/>
          <w:lang w:eastAsia="x-none"/>
        </w:rPr>
        <w:tab/>
        <w:t>Moderator (vivo)</w:t>
      </w:r>
    </w:p>
    <w:p w14:paraId="53012097" w14:textId="1B078881" w:rsidR="00C93C68" w:rsidRDefault="00C93C68" w:rsidP="00835CB1">
      <w:pPr>
        <w:rPr>
          <w:lang w:eastAsia="x-none"/>
        </w:rPr>
      </w:pPr>
      <w:r>
        <w:rPr>
          <w:lang w:eastAsia="x-none"/>
        </w:rPr>
        <w:t>From Wednesday session</w:t>
      </w:r>
    </w:p>
    <w:p w14:paraId="0A179915" w14:textId="52D7DCA4" w:rsidR="00C93C68" w:rsidRDefault="00C93C68" w:rsidP="00C93C68">
      <w:pPr>
        <w:rPr>
          <w:highlight w:val="green"/>
        </w:rPr>
      </w:pPr>
      <w:r>
        <w:rPr>
          <w:highlight w:val="green"/>
        </w:rPr>
        <w:t>Agreement:</w:t>
      </w:r>
    </w:p>
    <w:p w14:paraId="46587992" w14:textId="77777777" w:rsidR="00C93C68" w:rsidRDefault="00C93C68" w:rsidP="00C93C68">
      <w:pPr>
        <w:rPr>
          <w:rFonts w:eastAsia="DengXian"/>
        </w:rPr>
      </w:pPr>
      <w:r>
        <w:t>RAN1 confirms the RAN2 assumption that the UE in RRC_INACTIVE state is not required to support FDMed multicast MCCH PDSCH or MTCH PDSCH with DL channels other than FDMed multicast MCCH PDSCH and PBCH in a slot in Pcell . Specifically, from RAN 1’ perspective, the UE in RRC_INACTIVE state</w:t>
      </w:r>
      <w:r>
        <w:rPr>
          <w:rFonts w:eastAsia="Times New Roman"/>
          <w:bCs/>
          <w:color w:val="000000"/>
          <w:kern w:val="2"/>
        </w:rPr>
        <w:t xml:space="preserve"> is not expected to support reception of</w:t>
      </w:r>
    </w:p>
    <w:p w14:paraId="4B3C9FB1" w14:textId="77777777" w:rsidR="00C93C68" w:rsidRPr="00C93C68" w:rsidRDefault="00C93C68" w:rsidP="00A67145">
      <w:pPr>
        <w:pStyle w:val="ListParagraph"/>
        <w:numPr>
          <w:ilvl w:val="0"/>
          <w:numId w:val="174"/>
        </w:numPr>
        <w:rPr>
          <w:rFonts w:eastAsia="MS Mincho"/>
          <w:bCs/>
        </w:rPr>
      </w:pPr>
      <w:r w:rsidRPr="00C93C68">
        <w:rPr>
          <w:rFonts w:eastAsia="MS Mincho"/>
          <w:bCs/>
        </w:rPr>
        <w:t xml:space="preserve">FDMed multicast MTCH PDSCH and PBCH </w:t>
      </w:r>
    </w:p>
    <w:p w14:paraId="6FC73858" w14:textId="77777777" w:rsidR="00C93C68" w:rsidRPr="00C93C68" w:rsidRDefault="00C93C68" w:rsidP="00A67145">
      <w:pPr>
        <w:pStyle w:val="ListParagraph"/>
        <w:numPr>
          <w:ilvl w:val="0"/>
          <w:numId w:val="174"/>
        </w:numPr>
        <w:rPr>
          <w:rFonts w:eastAsia="MS Mincho"/>
          <w:bCs/>
        </w:rPr>
      </w:pPr>
      <w:r w:rsidRPr="00C93C68">
        <w:rPr>
          <w:rFonts w:eastAsia="MS Mincho"/>
          <w:bCs/>
        </w:rPr>
        <w:t>FDMed multicast MCCH PDSCH and multicast MTCH PDSCH</w:t>
      </w:r>
      <w:r w:rsidRPr="00C93C68">
        <w:rPr>
          <w:rFonts w:eastAsia="MS Mincho"/>
          <w:bCs/>
          <w:strike/>
          <w:color w:val="FF0000"/>
        </w:rPr>
        <w:t xml:space="preserve"> </w:t>
      </w:r>
    </w:p>
    <w:p w14:paraId="48C96927" w14:textId="77777777" w:rsidR="00C93C68" w:rsidRPr="00C93C68" w:rsidRDefault="00C93C68" w:rsidP="00A67145">
      <w:pPr>
        <w:pStyle w:val="ListParagraph"/>
        <w:numPr>
          <w:ilvl w:val="0"/>
          <w:numId w:val="174"/>
        </w:numPr>
        <w:rPr>
          <w:rFonts w:eastAsia="MS Mincho"/>
          <w:bCs/>
        </w:rPr>
      </w:pPr>
      <w:r w:rsidRPr="00C93C68">
        <w:rPr>
          <w:rFonts w:eastAsia="MS Mincho"/>
          <w:bCs/>
        </w:rPr>
        <w:t>FDMed multiple multicast MTCH PDSCHs</w:t>
      </w:r>
    </w:p>
    <w:p w14:paraId="71D3C745" w14:textId="77777777" w:rsidR="00C93C68" w:rsidRPr="00C93C68" w:rsidRDefault="00C93C68" w:rsidP="00A67145">
      <w:pPr>
        <w:pStyle w:val="ListParagraph"/>
        <w:numPr>
          <w:ilvl w:val="0"/>
          <w:numId w:val="174"/>
        </w:numPr>
        <w:rPr>
          <w:rFonts w:eastAsia="MS Mincho"/>
          <w:bCs/>
        </w:rPr>
      </w:pPr>
      <w:r w:rsidRPr="00C93C68">
        <w:rPr>
          <w:rFonts w:eastAsia="MS Mincho"/>
          <w:bCs/>
        </w:rPr>
        <w:t xml:space="preserve">FDMed multicast MCCH/multicast MTCH PDSCH and SIB PDSCH </w:t>
      </w:r>
    </w:p>
    <w:p w14:paraId="6490948E" w14:textId="77777777" w:rsidR="00C93C68" w:rsidRPr="00C93C68" w:rsidRDefault="00C93C68" w:rsidP="00A67145">
      <w:pPr>
        <w:pStyle w:val="ListParagraph"/>
        <w:numPr>
          <w:ilvl w:val="0"/>
          <w:numId w:val="174"/>
        </w:numPr>
        <w:rPr>
          <w:rFonts w:eastAsia="MS Mincho"/>
          <w:bCs/>
        </w:rPr>
      </w:pPr>
      <w:r w:rsidRPr="00C93C68">
        <w:rPr>
          <w:rFonts w:eastAsia="MS Mincho"/>
          <w:bCs/>
        </w:rPr>
        <w:t xml:space="preserve">FDMed multicast MCCH/multicast MTCH PDSCH and Paging PDSCH </w:t>
      </w:r>
    </w:p>
    <w:p w14:paraId="199FFA68" w14:textId="77777777" w:rsidR="00C93C68" w:rsidRPr="00C93C68" w:rsidRDefault="00C93C68" w:rsidP="00A67145">
      <w:pPr>
        <w:pStyle w:val="ListParagraph"/>
        <w:numPr>
          <w:ilvl w:val="0"/>
          <w:numId w:val="174"/>
        </w:numPr>
        <w:rPr>
          <w:rFonts w:eastAsia="MS Mincho"/>
        </w:rPr>
      </w:pPr>
      <w:r w:rsidRPr="00C93C68">
        <w:rPr>
          <w:rFonts w:eastAsia="MS Mincho"/>
          <w:bCs/>
        </w:rPr>
        <w:t>FDMed multicast MCCH/multicast MTCH and RAR PDSCH</w:t>
      </w:r>
    </w:p>
    <w:p w14:paraId="2956340F" w14:textId="77777777" w:rsidR="00C93C68" w:rsidRPr="00C93C68" w:rsidRDefault="00C93C68" w:rsidP="00A67145">
      <w:pPr>
        <w:pStyle w:val="ListParagraph"/>
        <w:numPr>
          <w:ilvl w:val="0"/>
          <w:numId w:val="174"/>
        </w:numPr>
        <w:rPr>
          <w:rFonts w:eastAsia="MS Mincho"/>
          <w:bCs/>
        </w:rPr>
      </w:pPr>
      <w:r w:rsidRPr="00C93C68">
        <w:rPr>
          <w:rFonts w:eastAsia="MS Mincho"/>
          <w:bCs/>
        </w:rPr>
        <w:t xml:space="preserve">FDMed multicast MCCH/MTCH and broadcast MCCH/MTCH </w:t>
      </w:r>
    </w:p>
    <w:p w14:paraId="12F92D7A" w14:textId="77777777" w:rsidR="00C93C68" w:rsidRDefault="00C93C68" w:rsidP="00C93C68">
      <w:pPr>
        <w:rPr>
          <w:highlight w:val="green"/>
        </w:rPr>
      </w:pPr>
      <w:r>
        <w:rPr>
          <w:highlight w:val="green"/>
        </w:rPr>
        <w:t>Agreement:</w:t>
      </w:r>
    </w:p>
    <w:p w14:paraId="4FCE94B8" w14:textId="77777777" w:rsidR="00C93C68" w:rsidRDefault="00C93C68" w:rsidP="00C93C68">
      <w:pPr>
        <w:rPr>
          <w:bCs/>
        </w:rPr>
      </w:pPr>
      <w:r>
        <w:rPr>
          <w:bCs/>
        </w:rPr>
        <w:t xml:space="preserve">FG 33-3-2 and FG 33-3-3 do not apply to the UE multicast reception in RRC INACTIVE state. </w:t>
      </w:r>
    </w:p>
    <w:p w14:paraId="432C2B23" w14:textId="77777777" w:rsidR="00C93C68" w:rsidRDefault="00C93C68" w:rsidP="00C93C68">
      <w:pPr>
        <w:rPr>
          <w:bCs/>
        </w:rPr>
      </w:pPr>
    </w:p>
    <w:p w14:paraId="7C525F22" w14:textId="77777777" w:rsidR="00C93C68" w:rsidRDefault="00C93C68" w:rsidP="00C93C68">
      <w:pPr>
        <w:rPr>
          <w:highlight w:val="green"/>
        </w:rPr>
      </w:pPr>
      <w:r>
        <w:rPr>
          <w:highlight w:val="green"/>
        </w:rPr>
        <w:t>Agreement:</w:t>
      </w:r>
    </w:p>
    <w:p w14:paraId="10AE5D5F" w14:textId="77777777" w:rsidR="00C93C68" w:rsidRDefault="00C93C68" w:rsidP="00C93C68">
      <w:pPr>
        <w:rPr>
          <w:bCs/>
        </w:rPr>
      </w:pPr>
      <w:r>
        <w:rPr>
          <w:bCs/>
        </w:rPr>
        <w:t xml:space="preserve">From RAN1 perspective, </w:t>
      </w:r>
    </w:p>
    <w:p w14:paraId="0C40B804" w14:textId="77777777" w:rsidR="00C93C68" w:rsidRPr="00C93C68" w:rsidRDefault="00C93C68" w:rsidP="00A67145">
      <w:pPr>
        <w:pStyle w:val="ListParagraph"/>
        <w:numPr>
          <w:ilvl w:val="0"/>
          <w:numId w:val="175"/>
        </w:numPr>
        <w:rPr>
          <w:bCs/>
          <w:szCs w:val="24"/>
        </w:rPr>
      </w:pPr>
      <w:r w:rsidRPr="00C93C68">
        <w:rPr>
          <w:bCs/>
        </w:rPr>
        <w:t>a new FG for the support of FDMed any combinations of unicast/broadcast/multicast PDSCHs in RRC_INACTIVE state is not needed.</w:t>
      </w:r>
    </w:p>
    <w:p w14:paraId="29E03544" w14:textId="77777777" w:rsidR="00C93C68" w:rsidRPr="00C93C68" w:rsidRDefault="00C93C68" w:rsidP="00A67145">
      <w:pPr>
        <w:pStyle w:val="ListParagraph"/>
        <w:numPr>
          <w:ilvl w:val="0"/>
          <w:numId w:val="175"/>
        </w:numPr>
        <w:rPr>
          <w:bCs/>
        </w:rPr>
      </w:pPr>
      <w:r w:rsidRPr="00C93C68">
        <w:rPr>
          <w:bCs/>
        </w:rPr>
        <w:t>whether a new FG for the support of intra-slot TDMed unicast/broadcast/ multicast PDSCHs in RRC_INACTIVE state is introduced is up to RAN2.</w:t>
      </w:r>
    </w:p>
    <w:p w14:paraId="196833F1" w14:textId="68B39A3F" w:rsidR="00C93C68" w:rsidRDefault="00C93C68" w:rsidP="00C93C68">
      <w:pPr>
        <w:rPr>
          <w:lang w:eastAsia="x-none"/>
        </w:rPr>
      </w:pPr>
      <w:r>
        <w:rPr>
          <w:lang w:eastAsia="x-none"/>
        </w:rPr>
        <w:t xml:space="preserve">LS to RAN2 is </w:t>
      </w:r>
      <w:r w:rsidR="00B052FE">
        <w:rPr>
          <w:lang w:eastAsia="x-none"/>
        </w:rPr>
        <w:t xml:space="preserve">approved </w:t>
      </w:r>
      <w:r>
        <w:rPr>
          <w:lang w:eastAsia="x-none"/>
        </w:rPr>
        <w:t>in</w:t>
      </w:r>
      <w:r w:rsidR="00B052FE">
        <w:rPr>
          <w:lang w:eastAsia="x-none"/>
        </w:rPr>
        <w:t>:</w:t>
      </w:r>
    </w:p>
    <w:p w14:paraId="4D9D6DE8" w14:textId="3BEEAD78" w:rsidR="00C93C68" w:rsidRPr="00B052FE" w:rsidRDefault="005A18DC" w:rsidP="00C93C68">
      <w:pPr>
        <w:rPr>
          <w:b/>
          <w:bCs/>
          <w:lang w:eastAsia="x-none"/>
        </w:rPr>
      </w:pPr>
      <w:hyperlink r:id="rId172" w:history="1">
        <w:r w:rsidR="00AF7253">
          <w:rPr>
            <w:rStyle w:val="Hyperlink"/>
            <w:b/>
            <w:bCs/>
            <w:highlight w:val="green"/>
            <w:lang w:eastAsia="x-none"/>
          </w:rPr>
          <w:t>R1-2312641</w:t>
        </w:r>
      </w:hyperlink>
      <w:r w:rsidR="00B052FE" w:rsidRPr="00D44D88">
        <w:rPr>
          <w:b/>
          <w:bCs/>
          <w:lang w:eastAsia="x-none"/>
        </w:rPr>
        <w:tab/>
        <w:t>Reply LS on UE Capability of Multicast Reception in RRC_INACTIVE</w:t>
      </w:r>
      <w:r w:rsidR="00B052FE" w:rsidRPr="00D44D88">
        <w:rPr>
          <w:b/>
          <w:bCs/>
          <w:lang w:eastAsia="x-none"/>
        </w:rPr>
        <w:tab/>
        <w:t>RAN1, vivo</w:t>
      </w:r>
    </w:p>
    <w:p w14:paraId="6976F19F" w14:textId="77777777" w:rsidR="00C93C68" w:rsidRPr="009537ED" w:rsidRDefault="00C93C68" w:rsidP="00835CB1">
      <w:pPr>
        <w:rPr>
          <w:lang w:eastAsia="x-none"/>
        </w:rPr>
      </w:pPr>
    </w:p>
    <w:p w14:paraId="69B2034C" w14:textId="77777777" w:rsidR="00832D5B" w:rsidRPr="009537ED" w:rsidRDefault="00832D5B" w:rsidP="00832D5B">
      <w:pPr>
        <w:rPr>
          <w:lang w:eastAsia="x-none"/>
        </w:rPr>
      </w:pPr>
      <w:r w:rsidRPr="009537ED">
        <w:rPr>
          <w:lang w:eastAsia="x-none"/>
        </w:rPr>
        <w:t>-----------------------</w:t>
      </w:r>
    </w:p>
    <w:p w14:paraId="68B49FEE" w14:textId="77777777" w:rsidR="00835CB1" w:rsidRPr="009537ED" w:rsidRDefault="00835CB1" w:rsidP="00835CB1">
      <w:pPr>
        <w:rPr>
          <w:b/>
          <w:lang w:eastAsia="x-none"/>
        </w:rPr>
      </w:pPr>
      <w:r w:rsidRPr="009537ED">
        <w:rPr>
          <w:b/>
          <w:lang w:eastAsia="x-none"/>
        </w:rPr>
        <w:t>Rel-18 Demodulation Performance Enh.</w:t>
      </w:r>
    </w:p>
    <w:p w14:paraId="746853F6" w14:textId="157FDC5F" w:rsidR="00835CB1" w:rsidRPr="009537ED" w:rsidRDefault="005A18DC" w:rsidP="00835CB1">
      <w:pPr>
        <w:rPr>
          <w:b/>
          <w:bCs/>
          <w:lang w:eastAsia="x-none"/>
        </w:rPr>
      </w:pPr>
      <w:hyperlink r:id="rId173" w:history="1">
        <w:r w:rsidR="00AF7253">
          <w:rPr>
            <w:rStyle w:val="Hyperlink"/>
            <w:b/>
            <w:bCs/>
            <w:lang w:eastAsia="x-none"/>
          </w:rPr>
          <w:t>R1-2310794</w:t>
        </w:r>
      </w:hyperlink>
      <w:r w:rsidR="00835CB1" w:rsidRPr="009537ED">
        <w:rPr>
          <w:b/>
          <w:bCs/>
          <w:lang w:eastAsia="x-none"/>
        </w:rPr>
        <w:tab/>
        <w:t>Reply LS on required DCI signalling for advanced receiver on MU-MIMO scenario</w:t>
      </w:r>
      <w:r w:rsidR="00835CB1" w:rsidRPr="009537ED">
        <w:rPr>
          <w:b/>
          <w:bCs/>
          <w:lang w:eastAsia="x-none"/>
        </w:rPr>
        <w:tab/>
        <w:t>RAN4, HiSilicon, Apple, China Telecom</w:t>
      </w:r>
    </w:p>
    <w:p w14:paraId="384748EE" w14:textId="77777777" w:rsidR="00835CB1" w:rsidRPr="009537ED" w:rsidRDefault="00835CB1" w:rsidP="00835CB1">
      <w:pPr>
        <w:rPr>
          <w:b/>
          <w:lang w:eastAsia="x-none"/>
        </w:rPr>
      </w:pPr>
      <w:r w:rsidRPr="009537ED">
        <w:rPr>
          <w:b/>
          <w:lang w:eastAsia="x-none"/>
        </w:rPr>
        <w:t>Relevant tdocs:</w:t>
      </w:r>
    </w:p>
    <w:p w14:paraId="21C59A3F" w14:textId="3265A60A" w:rsidR="00835CB1" w:rsidRPr="009537ED" w:rsidRDefault="005A18DC" w:rsidP="00835CB1">
      <w:pPr>
        <w:rPr>
          <w:lang w:eastAsia="x-none"/>
        </w:rPr>
      </w:pPr>
      <w:hyperlink r:id="rId174" w:history="1">
        <w:r w:rsidR="00AF7253">
          <w:rPr>
            <w:rStyle w:val="Hyperlink"/>
            <w:lang w:eastAsia="x-none"/>
          </w:rPr>
          <w:t>R1-2310909</w:t>
        </w:r>
      </w:hyperlink>
      <w:r w:rsidR="00835CB1" w:rsidRPr="009537ED">
        <w:rPr>
          <w:lang w:eastAsia="x-none"/>
        </w:rPr>
        <w:tab/>
        <w:t>Discussion on RAN4 LS on required DCI signalling for advanced MU-MIMO receiver</w:t>
      </w:r>
      <w:r w:rsidR="00835CB1" w:rsidRPr="009537ED">
        <w:rPr>
          <w:lang w:eastAsia="x-none"/>
        </w:rPr>
        <w:tab/>
        <w:t>Ericsson</w:t>
      </w:r>
    </w:p>
    <w:p w14:paraId="34BB16D0" w14:textId="241604CA" w:rsidR="00835CB1" w:rsidRPr="009537ED" w:rsidRDefault="005A18DC" w:rsidP="00835CB1">
      <w:pPr>
        <w:rPr>
          <w:lang w:eastAsia="x-none"/>
        </w:rPr>
      </w:pPr>
      <w:hyperlink r:id="rId175" w:history="1">
        <w:r w:rsidR="00AF7253">
          <w:rPr>
            <w:rStyle w:val="Hyperlink"/>
            <w:lang w:eastAsia="x-none"/>
          </w:rPr>
          <w:t>R1-2310958</w:t>
        </w:r>
      </w:hyperlink>
      <w:r w:rsidR="00835CB1" w:rsidRPr="009537ED">
        <w:rPr>
          <w:lang w:eastAsia="x-none"/>
        </w:rPr>
        <w:tab/>
        <w:t>Discussion on required DCI signalling for advanced receiver on MU-MIMO scenario</w:t>
      </w:r>
      <w:r w:rsidR="00835CB1" w:rsidRPr="009537ED">
        <w:rPr>
          <w:lang w:eastAsia="x-none"/>
        </w:rPr>
        <w:tab/>
        <w:t>ZTE</w:t>
      </w:r>
    </w:p>
    <w:p w14:paraId="0866FEAF" w14:textId="79CB4CF3" w:rsidR="00835CB1" w:rsidRPr="009537ED" w:rsidRDefault="005A18DC" w:rsidP="00835CB1">
      <w:pPr>
        <w:rPr>
          <w:lang w:eastAsia="x-none"/>
        </w:rPr>
      </w:pPr>
      <w:hyperlink r:id="rId176" w:history="1">
        <w:r w:rsidR="00AF7253">
          <w:rPr>
            <w:rStyle w:val="Hyperlink"/>
            <w:lang w:eastAsia="x-none"/>
          </w:rPr>
          <w:t>R1-2311057</w:t>
        </w:r>
      </w:hyperlink>
      <w:r w:rsidR="00835CB1" w:rsidRPr="009537ED">
        <w:rPr>
          <w:lang w:eastAsia="x-none"/>
        </w:rPr>
        <w:tab/>
        <w:t>Discussion on required DCI signalling for advanced receiver on MU-MIMO scenario</w:t>
      </w:r>
      <w:r w:rsidR="00835CB1" w:rsidRPr="009537ED">
        <w:rPr>
          <w:lang w:eastAsia="x-none"/>
        </w:rPr>
        <w:tab/>
        <w:t>vivo</w:t>
      </w:r>
    </w:p>
    <w:p w14:paraId="7245403C" w14:textId="3494DA0D" w:rsidR="00835CB1" w:rsidRPr="009537ED" w:rsidRDefault="005A18DC" w:rsidP="00835CB1">
      <w:pPr>
        <w:rPr>
          <w:lang w:eastAsia="x-none"/>
        </w:rPr>
      </w:pPr>
      <w:hyperlink r:id="rId177" w:history="1">
        <w:r w:rsidR="00AF7253">
          <w:rPr>
            <w:rStyle w:val="Hyperlink"/>
            <w:lang w:eastAsia="x-none"/>
          </w:rPr>
          <w:t>R1-2311542</w:t>
        </w:r>
      </w:hyperlink>
      <w:r w:rsidR="00835CB1" w:rsidRPr="009537ED">
        <w:rPr>
          <w:lang w:eastAsia="x-none"/>
        </w:rPr>
        <w:tab/>
        <w:t>Discussion on RAN4 Reply LS of advanced receiver for MU-MIMO</w:t>
      </w:r>
      <w:r w:rsidR="00835CB1" w:rsidRPr="009537ED">
        <w:rPr>
          <w:lang w:eastAsia="x-none"/>
        </w:rPr>
        <w:tab/>
        <w:t>China Telecom</w:t>
      </w:r>
    </w:p>
    <w:p w14:paraId="65BE34A2" w14:textId="4E6AF87B" w:rsidR="00835CB1" w:rsidRPr="009537ED" w:rsidRDefault="005A18DC" w:rsidP="00835CB1">
      <w:pPr>
        <w:rPr>
          <w:lang w:eastAsia="x-none"/>
        </w:rPr>
      </w:pPr>
      <w:hyperlink r:id="rId178" w:history="1">
        <w:r w:rsidR="00AF7253">
          <w:rPr>
            <w:rStyle w:val="Hyperlink"/>
            <w:lang w:eastAsia="x-none"/>
          </w:rPr>
          <w:t>R1-2311803</w:t>
        </w:r>
      </w:hyperlink>
      <w:r w:rsidR="00835CB1" w:rsidRPr="009537ED">
        <w:rPr>
          <w:lang w:eastAsia="x-none"/>
        </w:rPr>
        <w:tab/>
        <w:t>Discussion on RAN4 LS on required DCI signalling for advanced receiver on MU-MIMO scenario</w:t>
      </w:r>
      <w:r w:rsidR="00835CB1" w:rsidRPr="009537ED">
        <w:rPr>
          <w:lang w:eastAsia="x-none"/>
        </w:rPr>
        <w:tab/>
        <w:t>Samsung</w:t>
      </w:r>
    </w:p>
    <w:p w14:paraId="4CF607FD" w14:textId="2BA7CE1F" w:rsidR="00835CB1" w:rsidRPr="009537ED" w:rsidRDefault="005A18DC" w:rsidP="00835CB1">
      <w:pPr>
        <w:rPr>
          <w:lang w:eastAsia="x-none"/>
        </w:rPr>
      </w:pPr>
      <w:hyperlink r:id="rId179" w:history="1">
        <w:r w:rsidR="00AF7253">
          <w:rPr>
            <w:rStyle w:val="Hyperlink"/>
            <w:lang w:eastAsia="x-none"/>
          </w:rPr>
          <w:t>R1-2311956</w:t>
        </w:r>
      </w:hyperlink>
      <w:r w:rsidR="00835CB1" w:rsidRPr="009537ED">
        <w:rPr>
          <w:lang w:eastAsia="x-none"/>
        </w:rPr>
        <w:tab/>
        <w:t>Discussion on RAN4 reply LS on DCI for MU-MIMO advanced receiver</w:t>
      </w:r>
      <w:r w:rsidR="00835CB1" w:rsidRPr="009537ED">
        <w:rPr>
          <w:lang w:eastAsia="x-none"/>
        </w:rPr>
        <w:tab/>
        <w:t>MediaTek Inc.</w:t>
      </w:r>
    </w:p>
    <w:p w14:paraId="159D4649" w14:textId="7CD45FF0" w:rsidR="00835CB1" w:rsidRPr="009537ED" w:rsidRDefault="005A18DC" w:rsidP="00835CB1">
      <w:pPr>
        <w:rPr>
          <w:lang w:eastAsia="x-none"/>
        </w:rPr>
      </w:pPr>
      <w:hyperlink r:id="rId180" w:history="1">
        <w:r w:rsidR="00AF7253">
          <w:rPr>
            <w:rStyle w:val="Hyperlink"/>
            <w:lang w:eastAsia="x-none"/>
          </w:rPr>
          <w:t>R1-2312199</w:t>
        </w:r>
      </w:hyperlink>
      <w:r w:rsidR="00835CB1" w:rsidRPr="009537ED">
        <w:rPr>
          <w:lang w:eastAsia="x-none"/>
        </w:rPr>
        <w:tab/>
        <w:t>DCI signalling for advanced receiver on MU-MIMO scenario</w:t>
      </w:r>
      <w:r w:rsidR="00835CB1" w:rsidRPr="009537ED">
        <w:rPr>
          <w:lang w:eastAsia="x-none"/>
        </w:rPr>
        <w:tab/>
        <w:t>Nokia, Nokia Shanghai Bell</w:t>
      </w:r>
    </w:p>
    <w:p w14:paraId="4D9E1C09" w14:textId="57D7D9A7" w:rsidR="00835CB1" w:rsidRPr="009537ED" w:rsidRDefault="005A18DC" w:rsidP="00835CB1">
      <w:pPr>
        <w:rPr>
          <w:lang w:eastAsia="x-none"/>
        </w:rPr>
      </w:pPr>
      <w:hyperlink r:id="rId181" w:history="1">
        <w:r w:rsidR="00AF7253">
          <w:rPr>
            <w:rStyle w:val="Hyperlink"/>
            <w:lang w:eastAsia="x-none"/>
          </w:rPr>
          <w:t>R1-2312239</w:t>
        </w:r>
      </w:hyperlink>
      <w:r w:rsidR="00835CB1" w:rsidRPr="009537ED">
        <w:rPr>
          <w:lang w:eastAsia="x-none"/>
        </w:rPr>
        <w:tab/>
        <w:t>Discussion on required DCI signalling for advanced receiver on MU-MIMO scenario</w:t>
      </w:r>
      <w:r w:rsidR="00835CB1" w:rsidRPr="009537ED">
        <w:rPr>
          <w:lang w:eastAsia="x-none"/>
        </w:rPr>
        <w:tab/>
        <w:t>Huawei, HiSilicon</w:t>
      </w:r>
    </w:p>
    <w:p w14:paraId="42B5D1A4" w14:textId="635D18CE" w:rsidR="00D27B6F" w:rsidRPr="009B4AEB" w:rsidRDefault="00D27B6F" w:rsidP="00D27B6F">
      <w:pPr>
        <w:rPr>
          <w:lang w:eastAsia="x-none"/>
        </w:rPr>
      </w:pPr>
      <w:r w:rsidRPr="009537ED">
        <w:rPr>
          <w:b/>
          <w:bCs/>
          <w:lang w:eastAsia="x-none"/>
        </w:rPr>
        <w:t xml:space="preserve">Decision: </w:t>
      </w:r>
      <w:r w:rsidRPr="009537ED">
        <w:rPr>
          <w:lang w:eastAsia="x-none"/>
        </w:rPr>
        <w:t xml:space="preserve">RAN4’s response to RAN1’s questions in </w:t>
      </w:r>
      <w:hyperlink r:id="rId182" w:history="1">
        <w:r w:rsidR="00AF7253">
          <w:rPr>
            <w:rStyle w:val="Hyperlink"/>
            <w:lang w:eastAsia="x-none"/>
          </w:rPr>
          <w:t>R1-2308598</w:t>
        </w:r>
      </w:hyperlink>
      <w:r w:rsidRPr="009537ED">
        <w:rPr>
          <w:lang w:eastAsia="x-none"/>
        </w:rPr>
        <w:t xml:space="preserve"> from RAN1#114. Proceed with RAN1 discussions on necessary </w:t>
      </w:r>
      <w:r w:rsidRPr="009B4AEB">
        <w:rPr>
          <w:lang w:eastAsia="x-none"/>
        </w:rPr>
        <w:t>RAN1 specification changes. To be handled in agenda item 5. Comeback on Wednesday. To be moderated by Yi (Qualcomm).</w:t>
      </w:r>
    </w:p>
    <w:p w14:paraId="45A663FB" w14:textId="1889A7DB" w:rsidR="00835CB1" w:rsidRPr="009B4AEB" w:rsidRDefault="005A18DC" w:rsidP="00835CB1">
      <w:pPr>
        <w:rPr>
          <w:b/>
          <w:bCs/>
          <w:lang w:eastAsia="x-none"/>
        </w:rPr>
      </w:pPr>
      <w:hyperlink r:id="rId183" w:history="1">
        <w:r w:rsidR="00AF7253">
          <w:rPr>
            <w:rStyle w:val="Hyperlink"/>
            <w:b/>
            <w:bCs/>
            <w:lang w:eastAsia="x-none"/>
          </w:rPr>
          <w:t>R1-2312340</w:t>
        </w:r>
      </w:hyperlink>
      <w:r w:rsidR="009B4AEB" w:rsidRPr="009B4AEB">
        <w:rPr>
          <w:b/>
          <w:bCs/>
          <w:lang w:eastAsia="x-none"/>
        </w:rPr>
        <w:tab/>
        <w:t>Moderator summary #1 of discussion of Reply LS on required DCI signalling for advanced receiver on MU-MIMO scenario</w:t>
      </w:r>
      <w:r w:rsidR="009B4AEB" w:rsidRPr="009B4AEB">
        <w:rPr>
          <w:b/>
          <w:bCs/>
          <w:lang w:eastAsia="x-none"/>
        </w:rPr>
        <w:tab/>
        <w:t>Moderator (Qualcomm)</w:t>
      </w:r>
    </w:p>
    <w:p w14:paraId="77B59D39" w14:textId="77777777" w:rsidR="009B4AEB" w:rsidRDefault="009B4AEB" w:rsidP="009B4AEB">
      <w:pPr>
        <w:rPr>
          <w:lang w:eastAsia="x-none"/>
        </w:rPr>
      </w:pPr>
      <w:r>
        <w:rPr>
          <w:lang w:eastAsia="x-none"/>
        </w:rPr>
        <w:t>From Wednesday session</w:t>
      </w:r>
    </w:p>
    <w:p w14:paraId="12CA51CA" w14:textId="77777777" w:rsidR="009B4AEB" w:rsidRPr="009B4AEB" w:rsidRDefault="009B4AEB" w:rsidP="009B4AEB">
      <w:pPr>
        <w:rPr>
          <w:u w:val="single"/>
        </w:rPr>
      </w:pPr>
      <w:r w:rsidRPr="009B4AEB">
        <w:rPr>
          <w:u w:val="single"/>
        </w:rPr>
        <w:lastRenderedPageBreak/>
        <w:t>Conclusion</w:t>
      </w:r>
    </w:p>
    <w:p w14:paraId="76B064F5" w14:textId="7759D61D" w:rsidR="009B4AEB" w:rsidRDefault="009B4AEB" w:rsidP="009B4AEB">
      <w:r>
        <w:t>There is no consensus to support this new signaling in DCI format 1_2 for advanced receiver on MU-MIMO scenario in Rel-18.</w:t>
      </w:r>
    </w:p>
    <w:p w14:paraId="681DFC25" w14:textId="77777777" w:rsidR="009B4AEB" w:rsidRDefault="009B4AEB" w:rsidP="009B4AEB"/>
    <w:p w14:paraId="615EFC12" w14:textId="77777777" w:rsidR="009B4AEB" w:rsidRPr="009B4AEB" w:rsidRDefault="009B4AEB" w:rsidP="009B4AEB">
      <w:pPr>
        <w:rPr>
          <w:u w:val="single"/>
        </w:rPr>
      </w:pPr>
      <w:r w:rsidRPr="009B4AEB">
        <w:rPr>
          <w:u w:val="single"/>
        </w:rPr>
        <w:t>Conclusion</w:t>
      </w:r>
    </w:p>
    <w:p w14:paraId="13F91635" w14:textId="77777777" w:rsidR="009B4AEB" w:rsidRDefault="009B4AEB" w:rsidP="009B4AEB">
      <w:r>
        <w:t>There is no consensus to support this new DCI signaling when M-TRP scheme is switched to S-TRP scheme dynamically via DCI.</w:t>
      </w:r>
    </w:p>
    <w:p w14:paraId="55D5B6A9" w14:textId="77777777" w:rsidR="009B4AEB" w:rsidRDefault="009B4AEB" w:rsidP="009B4AEB"/>
    <w:p w14:paraId="02CD4F35" w14:textId="77777777" w:rsidR="009B4AEB" w:rsidRDefault="009B4AEB" w:rsidP="009B4AEB">
      <w:pPr>
        <w:rPr>
          <w:highlight w:val="green"/>
        </w:rPr>
      </w:pPr>
      <w:r>
        <w:rPr>
          <w:highlight w:val="green"/>
        </w:rPr>
        <w:t>Agreement</w:t>
      </w:r>
    </w:p>
    <w:p w14:paraId="1964679E" w14:textId="77777777" w:rsidR="009B4AEB" w:rsidRDefault="009B4AEB" w:rsidP="009B4AEB">
      <w:r>
        <w:t xml:space="preserve">The “Co-scheduled UE information” field in a DCI is reserved if 2 codewords are scheduled with the DCI. </w:t>
      </w:r>
    </w:p>
    <w:p w14:paraId="3BE7D731" w14:textId="77777777" w:rsidR="009B4AEB" w:rsidRDefault="009B4AEB" w:rsidP="009B4AEB"/>
    <w:p w14:paraId="48374585" w14:textId="77777777" w:rsidR="009B4AEB" w:rsidRPr="009B4AEB" w:rsidRDefault="009B4AEB" w:rsidP="009B4AEB">
      <w:pPr>
        <w:rPr>
          <w:u w:val="single"/>
        </w:rPr>
      </w:pPr>
      <w:r w:rsidRPr="009B4AEB">
        <w:rPr>
          <w:u w:val="single"/>
        </w:rPr>
        <w:t>Conclusion</w:t>
      </w:r>
    </w:p>
    <w:p w14:paraId="0B72ED8A" w14:textId="4C780FFE" w:rsidR="009B4AEB" w:rsidRDefault="009B4AEB" w:rsidP="009B4AEB">
      <w:r>
        <w:t xml:space="preserve">There is no consensus to support the new signaling in DCI when the RRC </w:t>
      </w:r>
      <w:r>
        <w:rPr>
          <w:i/>
          <w:iCs/>
        </w:rPr>
        <w:t>codeBlockGroupTransmission</w:t>
      </w:r>
      <w:r>
        <w:t xml:space="preserve"> is configured.</w:t>
      </w:r>
    </w:p>
    <w:p w14:paraId="6EF249AA" w14:textId="77777777" w:rsidR="009B4AEB" w:rsidRDefault="009B4AEB" w:rsidP="009B4AEB"/>
    <w:p w14:paraId="20FFD804" w14:textId="77777777" w:rsidR="009B4AEB" w:rsidRDefault="009B4AEB" w:rsidP="009B4AEB">
      <w:pPr>
        <w:rPr>
          <w:lang w:eastAsia="x-none"/>
        </w:rPr>
      </w:pPr>
    </w:p>
    <w:p w14:paraId="6B4EA781" w14:textId="77777777" w:rsidR="00832D5B" w:rsidRPr="009537ED" w:rsidRDefault="00832D5B" w:rsidP="00832D5B">
      <w:pPr>
        <w:rPr>
          <w:lang w:eastAsia="x-none"/>
        </w:rPr>
      </w:pPr>
      <w:r w:rsidRPr="009537ED">
        <w:rPr>
          <w:lang w:eastAsia="x-none"/>
        </w:rPr>
        <w:t>-----------------------</w:t>
      </w:r>
    </w:p>
    <w:p w14:paraId="1B565E71" w14:textId="77777777" w:rsidR="00835CB1" w:rsidRPr="009537ED" w:rsidRDefault="00835CB1" w:rsidP="00835CB1">
      <w:pPr>
        <w:rPr>
          <w:b/>
          <w:lang w:eastAsia="x-none"/>
        </w:rPr>
      </w:pPr>
      <w:r w:rsidRPr="009537ED">
        <w:rPr>
          <w:b/>
          <w:lang w:eastAsia="x-none"/>
        </w:rPr>
        <w:t>Rel-18 TEI</w:t>
      </w:r>
    </w:p>
    <w:p w14:paraId="5B71C8C0" w14:textId="5BE5E15E" w:rsidR="00835CB1" w:rsidRPr="009537ED" w:rsidRDefault="005A18DC" w:rsidP="00835CB1">
      <w:pPr>
        <w:rPr>
          <w:b/>
          <w:bCs/>
          <w:lang w:eastAsia="x-none"/>
        </w:rPr>
      </w:pPr>
      <w:hyperlink r:id="rId184" w:history="1">
        <w:r w:rsidR="00AF7253">
          <w:rPr>
            <w:rStyle w:val="Hyperlink"/>
            <w:b/>
            <w:bCs/>
            <w:lang w:eastAsia="x-none"/>
          </w:rPr>
          <w:t>R1-2310791</w:t>
        </w:r>
      </w:hyperlink>
      <w:r w:rsidR="00835CB1" w:rsidRPr="009537ED">
        <w:rPr>
          <w:b/>
          <w:bCs/>
          <w:lang w:eastAsia="x-none"/>
        </w:rPr>
        <w:tab/>
        <w:t>LS on extended CG-SDT periodicities</w:t>
      </w:r>
      <w:r w:rsidR="00835CB1" w:rsidRPr="009537ED">
        <w:rPr>
          <w:b/>
          <w:bCs/>
          <w:lang w:eastAsia="x-none"/>
        </w:rPr>
        <w:tab/>
        <w:t>RAN2, Ericsson</w:t>
      </w:r>
    </w:p>
    <w:p w14:paraId="2DC2E78B" w14:textId="77777777" w:rsidR="00835CB1" w:rsidRPr="009537ED" w:rsidRDefault="00835CB1" w:rsidP="00835CB1">
      <w:pPr>
        <w:rPr>
          <w:b/>
          <w:lang w:eastAsia="x-none"/>
        </w:rPr>
      </w:pPr>
      <w:r w:rsidRPr="009537ED">
        <w:rPr>
          <w:b/>
          <w:lang w:eastAsia="x-none"/>
        </w:rPr>
        <w:t>Relevant tdocs:</w:t>
      </w:r>
    </w:p>
    <w:p w14:paraId="29398ED9" w14:textId="7790FB1B" w:rsidR="00835CB1" w:rsidRPr="009537ED" w:rsidRDefault="005A18DC" w:rsidP="00835CB1">
      <w:pPr>
        <w:rPr>
          <w:lang w:eastAsia="x-none"/>
        </w:rPr>
      </w:pPr>
      <w:hyperlink r:id="rId185" w:history="1">
        <w:r w:rsidR="00AF7253">
          <w:rPr>
            <w:rStyle w:val="Hyperlink"/>
            <w:lang w:eastAsia="x-none"/>
          </w:rPr>
          <w:t>R1-2311060</w:t>
        </w:r>
      </w:hyperlink>
      <w:r w:rsidR="00835CB1" w:rsidRPr="009537ED">
        <w:rPr>
          <w:lang w:eastAsia="x-none"/>
        </w:rPr>
        <w:tab/>
        <w:t>Discu</w:t>
      </w:r>
      <w:r w:rsidR="004A01D9" w:rsidRPr="009537ED">
        <w:rPr>
          <w:lang w:eastAsia="x-none"/>
        </w:rPr>
        <w:t>s</w:t>
      </w:r>
      <w:r w:rsidR="00835CB1" w:rsidRPr="009537ED">
        <w:rPr>
          <w:lang w:eastAsia="x-none"/>
        </w:rPr>
        <w:t>sion of LS on extended CG-SDT periodicities</w:t>
      </w:r>
      <w:r w:rsidR="00835CB1" w:rsidRPr="009537ED">
        <w:rPr>
          <w:lang w:eastAsia="x-none"/>
        </w:rPr>
        <w:tab/>
        <w:t>vivo</w:t>
      </w:r>
    </w:p>
    <w:p w14:paraId="2029DC06" w14:textId="6298113E" w:rsidR="00835CB1" w:rsidRPr="009537ED" w:rsidRDefault="005A18DC" w:rsidP="00835CB1">
      <w:pPr>
        <w:rPr>
          <w:lang w:eastAsia="x-none"/>
        </w:rPr>
      </w:pPr>
      <w:hyperlink r:id="rId186" w:history="1">
        <w:r w:rsidR="00AF7253">
          <w:rPr>
            <w:rStyle w:val="Hyperlink"/>
            <w:lang w:eastAsia="x-none"/>
          </w:rPr>
          <w:t>R1-2311131</w:t>
        </w:r>
      </w:hyperlink>
      <w:r w:rsidR="00835CB1" w:rsidRPr="009537ED">
        <w:rPr>
          <w:lang w:eastAsia="x-none"/>
        </w:rPr>
        <w:tab/>
        <w:t>Discussion on LS for extended CG-SDT periodicities for SDT operation</w:t>
      </w:r>
      <w:r w:rsidR="00835CB1" w:rsidRPr="009537ED">
        <w:rPr>
          <w:lang w:eastAsia="x-none"/>
        </w:rPr>
        <w:tab/>
        <w:t>Intel Corporation</w:t>
      </w:r>
    </w:p>
    <w:p w14:paraId="00EA86B5" w14:textId="0E13DBBF" w:rsidR="00835CB1" w:rsidRPr="009537ED" w:rsidRDefault="005A18DC" w:rsidP="00835CB1">
      <w:pPr>
        <w:rPr>
          <w:lang w:eastAsia="x-none"/>
        </w:rPr>
      </w:pPr>
      <w:hyperlink r:id="rId187" w:history="1">
        <w:r w:rsidR="00AF7253">
          <w:rPr>
            <w:rStyle w:val="Hyperlink"/>
            <w:lang w:eastAsia="x-none"/>
          </w:rPr>
          <w:t>R1-2311195</w:t>
        </w:r>
      </w:hyperlink>
      <w:r w:rsidR="00835CB1" w:rsidRPr="009537ED">
        <w:rPr>
          <w:lang w:eastAsia="x-none"/>
        </w:rPr>
        <w:tab/>
        <w:t>Discussion on LS on longer CG-SDT periodicities</w:t>
      </w:r>
      <w:r w:rsidR="00835CB1" w:rsidRPr="009537ED">
        <w:rPr>
          <w:lang w:eastAsia="x-none"/>
        </w:rPr>
        <w:tab/>
        <w:t>ZTE</w:t>
      </w:r>
    </w:p>
    <w:p w14:paraId="403E8DE5" w14:textId="34CE519B" w:rsidR="00835CB1" w:rsidRPr="009537ED" w:rsidRDefault="005A18DC" w:rsidP="00835CB1">
      <w:pPr>
        <w:rPr>
          <w:lang w:eastAsia="x-none"/>
        </w:rPr>
      </w:pPr>
      <w:hyperlink r:id="rId188" w:history="1">
        <w:r w:rsidR="00AF7253">
          <w:rPr>
            <w:rStyle w:val="Hyperlink"/>
            <w:lang w:eastAsia="x-none"/>
          </w:rPr>
          <w:t>R1-2311378</w:t>
        </w:r>
      </w:hyperlink>
      <w:r w:rsidR="00835CB1" w:rsidRPr="009537ED">
        <w:rPr>
          <w:lang w:eastAsia="x-none"/>
        </w:rPr>
        <w:tab/>
        <w:t>Discussion on extended CG-SDT periodicities</w:t>
      </w:r>
      <w:r w:rsidR="00835CB1" w:rsidRPr="009537ED">
        <w:rPr>
          <w:lang w:eastAsia="x-none"/>
        </w:rPr>
        <w:tab/>
        <w:t>xiaomi</w:t>
      </w:r>
    </w:p>
    <w:p w14:paraId="3AD65040" w14:textId="2B37AA93" w:rsidR="00835CB1" w:rsidRPr="009537ED" w:rsidRDefault="005A18DC" w:rsidP="00835CB1">
      <w:pPr>
        <w:rPr>
          <w:lang w:eastAsia="x-none"/>
        </w:rPr>
      </w:pPr>
      <w:hyperlink r:id="rId189" w:history="1">
        <w:r w:rsidR="00AF7253">
          <w:rPr>
            <w:rStyle w:val="Hyperlink"/>
            <w:lang w:eastAsia="x-none"/>
          </w:rPr>
          <w:t>R1-2311424</w:t>
        </w:r>
      </w:hyperlink>
      <w:r w:rsidR="00835CB1" w:rsidRPr="009537ED">
        <w:rPr>
          <w:lang w:eastAsia="x-none"/>
        </w:rPr>
        <w:tab/>
        <w:t>Discussion the impact of longer CG-SDT periodicities</w:t>
      </w:r>
      <w:r w:rsidR="00835CB1" w:rsidRPr="009537ED">
        <w:rPr>
          <w:lang w:eastAsia="x-none"/>
        </w:rPr>
        <w:tab/>
        <w:t>NEC</w:t>
      </w:r>
    </w:p>
    <w:p w14:paraId="4AD1862F" w14:textId="5D6161B3" w:rsidR="00835CB1" w:rsidRPr="009537ED" w:rsidRDefault="005A18DC" w:rsidP="00835CB1">
      <w:pPr>
        <w:rPr>
          <w:lang w:eastAsia="x-none"/>
        </w:rPr>
      </w:pPr>
      <w:hyperlink r:id="rId190" w:history="1">
        <w:r w:rsidR="00AF7253">
          <w:rPr>
            <w:rStyle w:val="Hyperlink"/>
            <w:lang w:eastAsia="x-none"/>
          </w:rPr>
          <w:t>R1-2311662</w:t>
        </w:r>
      </w:hyperlink>
      <w:r w:rsidR="00835CB1" w:rsidRPr="009537ED">
        <w:rPr>
          <w:lang w:eastAsia="x-none"/>
        </w:rPr>
        <w:tab/>
        <w:t>Discussion on RAN2 LS on extended CG-SDT periodicities</w:t>
      </w:r>
      <w:r w:rsidR="00835CB1" w:rsidRPr="009537ED">
        <w:rPr>
          <w:lang w:eastAsia="x-none"/>
        </w:rPr>
        <w:tab/>
        <w:t>Apple</w:t>
      </w:r>
    </w:p>
    <w:p w14:paraId="6315983B" w14:textId="577E4229" w:rsidR="00835CB1" w:rsidRPr="009537ED" w:rsidRDefault="005A18DC" w:rsidP="00835CB1">
      <w:pPr>
        <w:rPr>
          <w:lang w:eastAsia="x-none"/>
        </w:rPr>
      </w:pPr>
      <w:hyperlink r:id="rId191" w:history="1">
        <w:r w:rsidR="00AF7253">
          <w:rPr>
            <w:rStyle w:val="Hyperlink"/>
            <w:lang w:eastAsia="x-none"/>
          </w:rPr>
          <w:t>R1-2311729</w:t>
        </w:r>
      </w:hyperlink>
      <w:r w:rsidR="00835CB1" w:rsidRPr="009537ED">
        <w:rPr>
          <w:lang w:eastAsia="x-none"/>
        </w:rPr>
        <w:tab/>
        <w:t>Extended CG-SDT periodicities introduction to TS38.213</w:t>
      </w:r>
      <w:r w:rsidR="00835CB1" w:rsidRPr="009537ED">
        <w:rPr>
          <w:lang w:eastAsia="x-none"/>
        </w:rPr>
        <w:tab/>
        <w:t>Nokia, Nokia Shanghai Bell</w:t>
      </w:r>
    </w:p>
    <w:p w14:paraId="4E7E037F" w14:textId="1641A543" w:rsidR="00835CB1" w:rsidRPr="009537ED" w:rsidRDefault="005A18DC" w:rsidP="00835CB1">
      <w:pPr>
        <w:rPr>
          <w:lang w:eastAsia="x-none"/>
        </w:rPr>
      </w:pPr>
      <w:hyperlink r:id="rId192" w:history="1">
        <w:r w:rsidR="00AF7253">
          <w:rPr>
            <w:rStyle w:val="Hyperlink"/>
            <w:lang w:eastAsia="x-none"/>
          </w:rPr>
          <w:t>R1-2311820</w:t>
        </w:r>
      </w:hyperlink>
      <w:r w:rsidR="00835CB1" w:rsidRPr="009537ED">
        <w:rPr>
          <w:lang w:eastAsia="x-none"/>
        </w:rPr>
        <w:tab/>
        <w:t>Draft CR on SSB to CG PUSCH mapping in CG-SDT</w:t>
      </w:r>
      <w:r w:rsidR="00835CB1" w:rsidRPr="009537ED">
        <w:rPr>
          <w:lang w:eastAsia="x-none"/>
        </w:rPr>
        <w:tab/>
        <w:t>Samsung</w:t>
      </w:r>
    </w:p>
    <w:p w14:paraId="535906D6" w14:textId="50A22E0F" w:rsidR="00835CB1" w:rsidRPr="009537ED" w:rsidRDefault="005A18DC" w:rsidP="00835CB1">
      <w:pPr>
        <w:rPr>
          <w:lang w:eastAsia="x-none"/>
        </w:rPr>
      </w:pPr>
      <w:hyperlink r:id="rId193" w:history="1">
        <w:r w:rsidR="00AF7253">
          <w:rPr>
            <w:rStyle w:val="Hyperlink"/>
            <w:lang w:eastAsia="x-none"/>
          </w:rPr>
          <w:t>R1-2311821</w:t>
        </w:r>
      </w:hyperlink>
      <w:r w:rsidR="00835CB1" w:rsidRPr="009537ED">
        <w:rPr>
          <w:lang w:eastAsia="x-none"/>
        </w:rPr>
        <w:tab/>
        <w:t>Discussion on SSB to CG PUSCH mapping in CG-SDT</w:t>
      </w:r>
      <w:r w:rsidR="00835CB1" w:rsidRPr="009537ED">
        <w:rPr>
          <w:lang w:eastAsia="x-none"/>
        </w:rPr>
        <w:tab/>
        <w:t>Samsung</w:t>
      </w:r>
    </w:p>
    <w:p w14:paraId="19682892" w14:textId="0841CE29" w:rsidR="00835CB1" w:rsidRPr="009537ED" w:rsidRDefault="005A18DC" w:rsidP="00835CB1">
      <w:pPr>
        <w:rPr>
          <w:lang w:eastAsia="x-none"/>
        </w:rPr>
      </w:pPr>
      <w:hyperlink r:id="rId194" w:history="1">
        <w:r w:rsidR="00AF7253">
          <w:rPr>
            <w:rStyle w:val="Hyperlink"/>
            <w:lang w:eastAsia="x-none"/>
          </w:rPr>
          <w:t>R1-2311959</w:t>
        </w:r>
      </w:hyperlink>
      <w:r w:rsidR="00835CB1" w:rsidRPr="009537ED">
        <w:rPr>
          <w:lang w:eastAsia="x-none"/>
        </w:rPr>
        <w:tab/>
        <w:t>Discussion on RAN2 LS on extended CG-SDT periodicities</w:t>
      </w:r>
      <w:r w:rsidR="00835CB1" w:rsidRPr="009537ED">
        <w:rPr>
          <w:lang w:eastAsia="x-none"/>
        </w:rPr>
        <w:tab/>
        <w:t>MediaTek Inc.</w:t>
      </w:r>
    </w:p>
    <w:p w14:paraId="4BE920EF" w14:textId="041690A2" w:rsidR="00835CB1" w:rsidRPr="009537ED" w:rsidRDefault="005A18DC" w:rsidP="00835CB1">
      <w:pPr>
        <w:rPr>
          <w:lang w:eastAsia="x-none"/>
        </w:rPr>
      </w:pPr>
      <w:hyperlink r:id="rId195" w:history="1">
        <w:r w:rsidR="00AF7253">
          <w:rPr>
            <w:rStyle w:val="Hyperlink"/>
            <w:lang w:eastAsia="x-none"/>
          </w:rPr>
          <w:t>R1-2312154</w:t>
        </w:r>
      </w:hyperlink>
      <w:r w:rsidR="00835CB1" w:rsidRPr="009537ED">
        <w:rPr>
          <w:lang w:eastAsia="x-none"/>
        </w:rPr>
        <w:tab/>
        <w:t>Discussion on longer CG-SDT periodicities</w:t>
      </w:r>
      <w:r w:rsidR="00835CB1" w:rsidRPr="009537ED">
        <w:rPr>
          <w:lang w:eastAsia="x-none"/>
        </w:rPr>
        <w:tab/>
        <w:t>Huawei, HiSilicon</w:t>
      </w:r>
    </w:p>
    <w:p w14:paraId="49A15DFF" w14:textId="03E8AA1A" w:rsidR="00835CB1" w:rsidRPr="009537ED" w:rsidRDefault="005A18DC" w:rsidP="00835CB1">
      <w:pPr>
        <w:rPr>
          <w:lang w:eastAsia="x-none"/>
        </w:rPr>
      </w:pPr>
      <w:hyperlink r:id="rId196" w:history="1">
        <w:r w:rsidR="00AF7253">
          <w:rPr>
            <w:rStyle w:val="Hyperlink"/>
            <w:lang w:eastAsia="x-none"/>
          </w:rPr>
          <w:t>R1-2312164</w:t>
        </w:r>
      </w:hyperlink>
      <w:r w:rsidR="00835CB1" w:rsidRPr="009537ED">
        <w:rPr>
          <w:lang w:eastAsia="x-none"/>
        </w:rPr>
        <w:tab/>
        <w:t>On extended CG-SDT periodicities</w:t>
      </w:r>
      <w:r w:rsidR="00835CB1" w:rsidRPr="009537ED">
        <w:rPr>
          <w:lang w:eastAsia="x-none"/>
        </w:rPr>
        <w:tab/>
        <w:t>Ericsson</w:t>
      </w:r>
    </w:p>
    <w:p w14:paraId="4E9FCC10" w14:textId="68BE5311" w:rsidR="00835CB1" w:rsidRPr="009537ED" w:rsidRDefault="005A18DC" w:rsidP="00835CB1">
      <w:pPr>
        <w:rPr>
          <w:lang w:eastAsia="x-none"/>
        </w:rPr>
      </w:pPr>
      <w:hyperlink r:id="rId197" w:history="1">
        <w:r w:rsidR="00AF7253">
          <w:rPr>
            <w:rStyle w:val="Hyperlink"/>
            <w:lang w:eastAsia="x-none"/>
          </w:rPr>
          <w:t>R1-2312165</w:t>
        </w:r>
      </w:hyperlink>
      <w:r w:rsidR="00835CB1" w:rsidRPr="009537ED">
        <w:rPr>
          <w:lang w:eastAsia="x-none"/>
        </w:rPr>
        <w:tab/>
        <w:t>Introduction of extended CG-SDT periodicities</w:t>
      </w:r>
      <w:r w:rsidR="00835CB1" w:rsidRPr="009537ED">
        <w:rPr>
          <w:lang w:eastAsia="x-none"/>
        </w:rPr>
        <w:tab/>
        <w:t>Ericsson</w:t>
      </w:r>
    </w:p>
    <w:p w14:paraId="1D612995" w14:textId="4F52F671" w:rsidR="00D35BC3" w:rsidRPr="000D6E86" w:rsidRDefault="00D35BC3" w:rsidP="00D35BC3">
      <w:pPr>
        <w:rPr>
          <w:lang w:eastAsia="x-none"/>
        </w:rPr>
      </w:pPr>
      <w:r w:rsidRPr="009537ED">
        <w:rPr>
          <w:b/>
          <w:bCs/>
          <w:lang w:eastAsia="x-none"/>
        </w:rPr>
        <w:t xml:space="preserve">Decision: </w:t>
      </w:r>
      <w:r w:rsidRPr="009537ED">
        <w:rPr>
          <w:lang w:eastAsia="x-none"/>
        </w:rPr>
        <w:t xml:space="preserve">RAN2 is informing RAN1 of their intention to extend the CG-SDT periodicities. RAN2 is requesting RAN1 to make </w:t>
      </w:r>
      <w:r w:rsidRPr="000D6E86">
        <w:rPr>
          <w:lang w:eastAsia="x-none"/>
        </w:rPr>
        <w:t>necessary specification changes. To be handled in agenda item 5. Comeback on Wednesday. To be moderated by Sandeep (Ericsson).</w:t>
      </w:r>
    </w:p>
    <w:p w14:paraId="11901C7B" w14:textId="50B5981E" w:rsidR="001B19F9" w:rsidRDefault="005A18DC" w:rsidP="001B19F9">
      <w:pPr>
        <w:rPr>
          <w:lang w:eastAsia="x-none"/>
        </w:rPr>
      </w:pPr>
      <w:hyperlink r:id="rId198" w:history="1">
        <w:r w:rsidR="00AF7253">
          <w:rPr>
            <w:rStyle w:val="Hyperlink"/>
            <w:lang w:eastAsia="x-none"/>
          </w:rPr>
          <w:t>R1-2312448</w:t>
        </w:r>
      </w:hyperlink>
      <w:r w:rsidR="001B19F9">
        <w:rPr>
          <w:lang w:eastAsia="x-none"/>
        </w:rPr>
        <w:tab/>
        <w:t>Moderator summary for LS on extended CG-SDT periodicities</w:t>
      </w:r>
      <w:r w:rsidR="001B19F9">
        <w:rPr>
          <w:lang w:eastAsia="x-none"/>
        </w:rPr>
        <w:tab/>
        <w:t>Moderator (Ericsson)</w:t>
      </w:r>
    </w:p>
    <w:p w14:paraId="63646624" w14:textId="0AEFEE09" w:rsidR="00835CB1" w:rsidRPr="001B19F9" w:rsidRDefault="005A18DC" w:rsidP="001B19F9">
      <w:pPr>
        <w:rPr>
          <w:b/>
          <w:bCs/>
          <w:lang w:eastAsia="x-none"/>
        </w:rPr>
      </w:pPr>
      <w:hyperlink r:id="rId199" w:history="1">
        <w:r w:rsidR="00AF7253">
          <w:rPr>
            <w:rStyle w:val="Hyperlink"/>
            <w:b/>
            <w:bCs/>
            <w:lang w:eastAsia="x-none"/>
          </w:rPr>
          <w:t>R1-2312534</w:t>
        </w:r>
      </w:hyperlink>
      <w:r w:rsidR="001B19F9" w:rsidRPr="001B19F9">
        <w:rPr>
          <w:b/>
          <w:bCs/>
          <w:lang w:eastAsia="x-none"/>
        </w:rPr>
        <w:tab/>
        <w:t>Moderator summary#2 for LS on extended CG-SDT periodicities</w:t>
      </w:r>
      <w:r w:rsidR="001B19F9" w:rsidRPr="001B19F9">
        <w:rPr>
          <w:b/>
          <w:bCs/>
          <w:lang w:eastAsia="x-none"/>
        </w:rPr>
        <w:tab/>
        <w:t>Moderator (Ericsson)</w:t>
      </w:r>
    </w:p>
    <w:p w14:paraId="28B83BCE" w14:textId="114F7173" w:rsidR="001B19F9" w:rsidRDefault="001B19F9" w:rsidP="001B19F9">
      <w:pPr>
        <w:rPr>
          <w:lang w:eastAsia="x-none"/>
        </w:rPr>
      </w:pPr>
      <w:r>
        <w:rPr>
          <w:lang w:eastAsia="x-none"/>
        </w:rPr>
        <w:t>From Wednesday session</w:t>
      </w:r>
    </w:p>
    <w:p w14:paraId="4685D33E" w14:textId="07240870" w:rsidR="0028459F" w:rsidRDefault="0028459F" w:rsidP="001B19F9">
      <w:pPr>
        <w:rPr>
          <w:lang w:eastAsia="x-none"/>
        </w:rPr>
      </w:pPr>
      <w:r w:rsidRPr="0028459F">
        <w:rPr>
          <w:highlight w:val="green"/>
          <w:lang w:eastAsia="x-none"/>
        </w:rPr>
        <w:t>Agreement</w:t>
      </w:r>
    </w:p>
    <w:p w14:paraId="4E481FD4" w14:textId="2BD2CD5D" w:rsidR="0028459F" w:rsidRDefault="0028459F" w:rsidP="0028459F">
      <w:pPr>
        <w:rPr>
          <w:lang w:val="en-US"/>
        </w:rPr>
      </w:pPr>
      <w:r>
        <w:rPr>
          <w:lang w:val="en-US"/>
        </w:rPr>
        <w:t>Update Table 19.1-1 in TS 38.213 clause 19.1 as follows for Rel-18</w:t>
      </w:r>
      <w:r w:rsidR="000D6E86">
        <w:rPr>
          <w:lang w:val="en-US"/>
        </w:rPr>
        <w:t>.</w:t>
      </w:r>
    </w:p>
    <w:p w14:paraId="3FF9E467" w14:textId="77777777" w:rsidR="0028459F" w:rsidRPr="000D6E86" w:rsidRDefault="0028459F" w:rsidP="0028459F">
      <w:pPr>
        <w:keepNext/>
        <w:keepLines/>
        <w:spacing w:before="60"/>
        <w:jc w:val="center"/>
        <w:rPr>
          <w:rFonts w:ascii="Arial" w:eastAsia="SimSun" w:hAnsi="Arial"/>
          <w:b/>
          <w:bCs/>
          <w:sz w:val="16"/>
          <w:szCs w:val="16"/>
        </w:rPr>
      </w:pPr>
      <w:r w:rsidRPr="000D6E86">
        <w:rPr>
          <w:rFonts w:ascii="Arial" w:eastAsia="SimSun" w:hAnsi="Arial"/>
          <w:b/>
          <w:sz w:val="16"/>
          <w:szCs w:val="16"/>
        </w:rPr>
        <w:lastRenderedPageBreak/>
        <w:t xml:space="preserve">Table </w:t>
      </w:r>
      <w:r w:rsidRPr="000D6E86">
        <w:rPr>
          <w:rFonts w:ascii="Arial" w:eastAsia="SimSun" w:hAnsi="Arial"/>
          <w:b/>
          <w:sz w:val="16"/>
          <w:szCs w:val="16"/>
          <w:lang w:eastAsia="zh-CN"/>
        </w:rPr>
        <w:t>19.1-1</w:t>
      </w:r>
      <w:r w:rsidRPr="000D6E86">
        <w:rPr>
          <w:rFonts w:ascii="Arial" w:eastAsia="SimSun" w:hAnsi="Arial"/>
          <w:b/>
          <w:sz w:val="16"/>
          <w:szCs w:val="16"/>
        </w:rPr>
        <w:t xml:space="preserve">: Mapping between </w:t>
      </w:r>
      <w:r w:rsidRPr="000D6E86">
        <w:rPr>
          <w:rFonts w:ascii="Arial" w:eastAsia="SimSun" w:hAnsi="Arial"/>
          <w:b/>
          <w:sz w:val="16"/>
          <w:szCs w:val="16"/>
          <w:lang w:eastAsia="zh-CN"/>
        </w:rPr>
        <w:t>PUSCH configuration</w:t>
      </w:r>
      <w:r w:rsidRPr="000D6E86">
        <w:rPr>
          <w:rFonts w:ascii="Arial" w:eastAsia="SimSun" w:hAnsi="Arial"/>
          <w:b/>
          <w:sz w:val="16"/>
          <w:szCs w:val="16"/>
        </w:rPr>
        <w:t xml:space="preserve"> period and SS/PBCH block to </w:t>
      </w:r>
      <w:r w:rsidRPr="000D6E86">
        <w:rPr>
          <w:rFonts w:ascii="Arial" w:eastAsia="SimSun" w:hAnsi="Arial"/>
          <w:b/>
          <w:sz w:val="16"/>
          <w:szCs w:val="16"/>
          <w:lang w:eastAsia="zh-CN"/>
        </w:rPr>
        <w:t>configured</w:t>
      </w:r>
      <w:r w:rsidRPr="000D6E86">
        <w:rPr>
          <w:rFonts w:ascii="Arial" w:eastAsia="SimSun" w:hAnsi="Arial"/>
          <w:b/>
          <w:sz w:val="16"/>
          <w:szCs w:val="16"/>
        </w:rPr>
        <w:t xml:space="preserve"> PUSCH resource association period</w:t>
      </w:r>
    </w:p>
    <w:tbl>
      <w:tblPr>
        <w:tblW w:w="0" w:type="auto"/>
        <w:jc w:val="center"/>
        <w:tblCellMar>
          <w:left w:w="0" w:type="dxa"/>
          <w:right w:w="0" w:type="dxa"/>
        </w:tblCellMar>
        <w:tblLook w:val="04A0" w:firstRow="1" w:lastRow="0" w:firstColumn="1" w:lastColumn="0" w:noHBand="0" w:noVBand="1"/>
      </w:tblPr>
      <w:tblGrid>
        <w:gridCol w:w="3325"/>
        <w:gridCol w:w="4495"/>
      </w:tblGrid>
      <w:tr w:rsidR="0028459F" w14:paraId="2A2563D9" w14:textId="77777777" w:rsidTr="0028459F">
        <w:trPr>
          <w:jc w:val="center"/>
        </w:trPr>
        <w:tc>
          <w:tcPr>
            <w:tcW w:w="3325" w:type="dxa"/>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hideMark/>
          </w:tcPr>
          <w:p w14:paraId="70BC1BD5" w14:textId="77777777" w:rsidR="0028459F" w:rsidRPr="0028459F" w:rsidRDefault="0028459F">
            <w:pPr>
              <w:keepNext/>
              <w:keepLines/>
              <w:jc w:val="center"/>
              <w:rPr>
                <w:rFonts w:ascii="Arial" w:eastAsia="SimSun" w:hAnsi="Arial" w:cs="Arial"/>
                <w:b/>
                <w:sz w:val="16"/>
                <w:szCs w:val="16"/>
              </w:rPr>
            </w:pPr>
            <w:r w:rsidRPr="0028459F">
              <w:rPr>
                <w:rFonts w:ascii="Arial" w:eastAsia="SimSun" w:hAnsi="Arial" w:cs="Arial"/>
                <w:b/>
                <w:sz w:val="16"/>
                <w:szCs w:val="16"/>
                <w:lang w:eastAsia="zh-CN"/>
              </w:rPr>
              <w:t>PUSCH configuration</w:t>
            </w:r>
            <w:r w:rsidRPr="0028459F">
              <w:rPr>
                <w:rFonts w:ascii="Arial" w:eastAsia="SimSun" w:hAnsi="Arial" w:cs="Arial"/>
                <w:b/>
                <w:sz w:val="16"/>
                <w:szCs w:val="16"/>
              </w:rPr>
              <w:t xml:space="preserve"> period </w:t>
            </w:r>
            <w:r w:rsidRPr="0028459F">
              <w:rPr>
                <w:rFonts w:ascii="Arial" w:eastAsia="SimSun" w:hAnsi="Arial" w:cs="Arial"/>
                <w:b/>
                <w:sz w:val="16"/>
                <w:szCs w:val="16"/>
              </w:rPr>
              <w:fldChar w:fldCharType="begin"/>
            </w:r>
            <w:r w:rsidRPr="0028459F">
              <w:rPr>
                <w:rFonts w:ascii="Arial" w:eastAsia="SimSun" w:hAnsi="Arial" w:cs="Arial"/>
                <w:b/>
                <w:sz w:val="16"/>
                <w:szCs w:val="16"/>
              </w:rPr>
              <w:instrText xml:space="preserve"> QUOTE </w:instrText>
            </w:r>
            <w:r w:rsidR="00A6784C">
              <w:rPr>
                <w:rFonts w:ascii="Arial" w:hAnsi="Arial" w:cs="Arial"/>
                <w:position w:val="-8"/>
                <w:sz w:val="16"/>
                <w:szCs w:val="16"/>
              </w:rPr>
              <w:pict w14:anchorId="23A4815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5pt;height:13.5pt" equationxml="&lt;">
                  <v:imagedata r:id="rId200" o:title="" chromakey="white"/>
                </v:shape>
              </w:pict>
            </w:r>
            <w:r w:rsidRPr="0028459F">
              <w:rPr>
                <w:rFonts w:ascii="Arial" w:eastAsia="SimSun" w:hAnsi="Arial" w:cs="Arial"/>
                <w:b/>
                <w:sz w:val="16"/>
                <w:szCs w:val="16"/>
              </w:rPr>
              <w:instrText xml:space="preserve"> </w:instrText>
            </w:r>
            <w:r w:rsidRPr="0028459F">
              <w:rPr>
                <w:rFonts w:ascii="Arial" w:eastAsia="SimSun" w:hAnsi="Arial" w:cs="Arial"/>
                <w:b/>
                <w:sz w:val="16"/>
                <w:szCs w:val="16"/>
              </w:rPr>
              <w:fldChar w:fldCharType="separate"/>
            </w:r>
            <w:r w:rsidR="00A6784C">
              <w:rPr>
                <w:rFonts w:ascii="Arial" w:hAnsi="Arial" w:cs="Arial"/>
                <w:position w:val="-8"/>
                <w:sz w:val="16"/>
                <w:szCs w:val="16"/>
              </w:rPr>
              <w:pict w14:anchorId="7901C222">
                <v:shape id="_x0000_i1026" type="#_x0000_t75" style="width:15pt;height:13.5pt" equationxml="&lt;">
                  <v:imagedata r:id="rId200" o:title="" chromakey="white"/>
                </v:shape>
              </w:pict>
            </w:r>
            <w:r w:rsidRPr="0028459F">
              <w:rPr>
                <w:rFonts w:ascii="Arial" w:eastAsia="SimSun" w:hAnsi="Arial" w:cs="Arial"/>
                <w:b/>
                <w:sz w:val="16"/>
                <w:szCs w:val="16"/>
              </w:rPr>
              <w:fldChar w:fldCharType="end"/>
            </w:r>
            <w:r w:rsidRPr="0028459F">
              <w:rPr>
                <w:rFonts w:ascii="Arial" w:eastAsia="SimSun" w:hAnsi="Arial" w:cs="Arial"/>
                <w:b/>
                <w:sz w:val="16"/>
                <w:szCs w:val="16"/>
              </w:rPr>
              <w:t xml:space="preserve"> (msec)</w:t>
            </w:r>
          </w:p>
        </w:tc>
        <w:tc>
          <w:tcPr>
            <w:tcW w:w="4495" w:type="dxa"/>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7B84A11A" w14:textId="77777777" w:rsidR="0028459F" w:rsidRPr="0028459F" w:rsidRDefault="0028459F">
            <w:pPr>
              <w:keepNext/>
              <w:keepLines/>
              <w:jc w:val="center"/>
              <w:rPr>
                <w:rFonts w:ascii="Arial" w:eastAsia="SimSun" w:hAnsi="Arial" w:cs="Arial"/>
                <w:b/>
                <w:sz w:val="16"/>
                <w:szCs w:val="16"/>
              </w:rPr>
            </w:pPr>
            <w:r w:rsidRPr="0028459F">
              <w:rPr>
                <w:rFonts w:ascii="Arial" w:eastAsia="SimSun" w:hAnsi="Arial" w:cs="Arial"/>
                <w:b/>
                <w:sz w:val="16"/>
                <w:szCs w:val="16"/>
              </w:rPr>
              <w:t xml:space="preserve">Association period (number of </w:t>
            </w:r>
            <w:r w:rsidRPr="0028459F">
              <w:rPr>
                <w:rFonts w:ascii="Arial" w:eastAsia="SimSun" w:hAnsi="Arial" w:cs="Arial"/>
                <w:b/>
                <w:sz w:val="16"/>
                <w:szCs w:val="16"/>
                <w:lang w:eastAsia="zh-CN"/>
              </w:rPr>
              <w:t xml:space="preserve">PUSCH configuration </w:t>
            </w:r>
            <w:r w:rsidRPr="0028459F">
              <w:rPr>
                <w:rFonts w:ascii="Arial" w:eastAsia="SimSun" w:hAnsi="Arial" w:cs="Arial"/>
                <w:b/>
                <w:sz w:val="16"/>
                <w:szCs w:val="16"/>
              </w:rPr>
              <w:t>periods)</w:t>
            </w:r>
          </w:p>
        </w:tc>
      </w:tr>
      <w:tr w:rsidR="0028459F" w14:paraId="17D74621" w14:textId="77777777" w:rsidTr="0028459F">
        <w:trPr>
          <w:jc w:val="center"/>
        </w:trPr>
        <w:tc>
          <w:tcPr>
            <w:tcW w:w="332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77449FB" w14:textId="77777777" w:rsidR="0028459F" w:rsidRPr="0028459F" w:rsidRDefault="0028459F">
            <w:pPr>
              <w:keepNext/>
              <w:keepLines/>
              <w:jc w:val="center"/>
              <w:rPr>
                <w:rFonts w:ascii="Arial" w:eastAsia="SimSun" w:hAnsi="Arial" w:cs="Arial"/>
                <w:sz w:val="16"/>
                <w:szCs w:val="16"/>
              </w:rPr>
            </w:pPr>
            <w:r w:rsidRPr="0028459F">
              <w:rPr>
                <w:rFonts w:ascii="Arial" w:eastAsia="SimSun" w:hAnsi="Arial" w:cs="Arial"/>
                <w:sz w:val="16"/>
                <w:szCs w:val="16"/>
              </w:rPr>
              <w:t>5</w:t>
            </w:r>
          </w:p>
        </w:tc>
        <w:tc>
          <w:tcPr>
            <w:tcW w:w="449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3470D55" w14:textId="77777777" w:rsidR="0028459F" w:rsidRPr="0028459F" w:rsidRDefault="0028459F">
            <w:pPr>
              <w:keepNext/>
              <w:keepLines/>
              <w:jc w:val="center"/>
              <w:rPr>
                <w:rFonts w:ascii="Arial" w:eastAsia="SimSun" w:hAnsi="Arial" w:cs="Arial"/>
                <w:sz w:val="16"/>
                <w:szCs w:val="16"/>
              </w:rPr>
            </w:pPr>
            <w:r w:rsidRPr="0028459F">
              <w:rPr>
                <w:rFonts w:ascii="Arial" w:eastAsia="SimSun" w:hAnsi="Arial" w:cs="Arial"/>
                <w:sz w:val="16"/>
                <w:szCs w:val="16"/>
              </w:rPr>
              <w:t>{1, 2, 4, 8,16, 32, 64, 128}</w:t>
            </w:r>
          </w:p>
        </w:tc>
      </w:tr>
      <w:tr w:rsidR="0028459F" w14:paraId="3229703E" w14:textId="77777777" w:rsidTr="0028459F">
        <w:trPr>
          <w:jc w:val="center"/>
        </w:trPr>
        <w:tc>
          <w:tcPr>
            <w:tcW w:w="332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8AA2812" w14:textId="77777777" w:rsidR="0028459F" w:rsidRPr="0028459F" w:rsidRDefault="0028459F">
            <w:pPr>
              <w:keepNext/>
              <w:keepLines/>
              <w:jc w:val="center"/>
              <w:rPr>
                <w:rFonts w:ascii="Arial" w:eastAsia="SimSun" w:hAnsi="Arial" w:cs="Arial"/>
                <w:sz w:val="16"/>
                <w:szCs w:val="16"/>
              </w:rPr>
            </w:pPr>
            <w:r w:rsidRPr="0028459F">
              <w:rPr>
                <w:rFonts w:ascii="Arial" w:eastAsia="SimSun" w:hAnsi="Arial" w:cs="Arial"/>
                <w:sz w:val="16"/>
                <w:szCs w:val="16"/>
              </w:rPr>
              <w:t>8</w:t>
            </w:r>
          </w:p>
        </w:tc>
        <w:tc>
          <w:tcPr>
            <w:tcW w:w="449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2D00A56" w14:textId="77777777" w:rsidR="0028459F" w:rsidRPr="0028459F" w:rsidRDefault="0028459F">
            <w:pPr>
              <w:keepNext/>
              <w:keepLines/>
              <w:jc w:val="center"/>
              <w:rPr>
                <w:rFonts w:ascii="Arial" w:eastAsia="SimSun" w:hAnsi="Arial" w:cs="Arial"/>
                <w:sz w:val="16"/>
                <w:szCs w:val="16"/>
              </w:rPr>
            </w:pPr>
            <w:r w:rsidRPr="0028459F">
              <w:rPr>
                <w:rFonts w:ascii="Arial" w:eastAsia="SimSun" w:hAnsi="Arial" w:cs="Arial"/>
                <w:sz w:val="16"/>
                <w:szCs w:val="16"/>
              </w:rPr>
              <w:t>{1, 2, 4, 5, 8, 10, 16, 20, 40, 80}</w:t>
            </w:r>
          </w:p>
        </w:tc>
      </w:tr>
      <w:tr w:rsidR="0028459F" w14:paraId="70D73D97" w14:textId="77777777" w:rsidTr="0028459F">
        <w:trPr>
          <w:jc w:val="center"/>
        </w:trPr>
        <w:tc>
          <w:tcPr>
            <w:tcW w:w="332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AC3BCAF" w14:textId="77777777" w:rsidR="0028459F" w:rsidRPr="0028459F" w:rsidRDefault="0028459F">
            <w:pPr>
              <w:keepNext/>
              <w:keepLines/>
              <w:jc w:val="center"/>
              <w:rPr>
                <w:rFonts w:ascii="Arial" w:eastAsia="SimSun" w:hAnsi="Arial" w:cs="Arial"/>
                <w:sz w:val="16"/>
                <w:szCs w:val="16"/>
              </w:rPr>
            </w:pPr>
            <w:r w:rsidRPr="0028459F">
              <w:rPr>
                <w:rFonts w:ascii="Arial" w:eastAsia="SimSun" w:hAnsi="Arial" w:cs="Arial"/>
                <w:sz w:val="16"/>
                <w:szCs w:val="16"/>
              </w:rPr>
              <w:t>10</w:t>
            </w:r>
          </w:p>
        </w:tc>
        <w:tc>
          <w:tcPr>
            <w:tcW w:w="449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22A6E53" w14:textId="77777777" w:rsidR="0028459F" w:rsidRPr="0028459F" w:rsidRDefault="0028459F">
            <w:pPr>
              <w:keepNext/>
              <w:keepLines/>
              <w:jc w:val="center"/>
              <w:rPr>
                <w:rFonts w:ascii="Arial" w:eastAsia="SimSun" w:hAnsi="Arial" w:cs="Arial"/>
                <w:sz w:val="16"/>
                <w:szCs w:val="16"/>
              </w:rPr>
            </w:pPr>
            <w:r w:rsidRPr="0028459F">
              <w:rPr>
                <w:rFonts w:ascii="Arial" w:eastAsia="SimSun" w:hAnsi="Arial" w:cs="Arial"/>
                <w:sz w:val="16"/>
                <w:szCs w:val="16"/>
              </w:rPr>
              <w:t>{1, 2, 4, 8,16, 32, 64}</w:t>
            </w:r>
          </w:p>
        </w:tc>
      </w:tr>
      <w:tr w:rsidR="0028459F" w14:paraId="7135A4D0" w14:textId="77777777" w:rsidTr="0028459F">
        <w:trPr>
          <w:jc w:val="center"/>
        </w:trPr>
        <w:tc>
          <w:tcPr>
            <w:tcW w:w="332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C62C916" w14:textId="77777777" w:rsidR="0028459F" w:rsidRPr="0028459F" w:rsidRDefault="0028459F">
            <w:pPr>
              <w:keepNext/>
              <w:keepLines/>
              <w:jc w:val="center"/>
              <w:rPr>
                <w:rFonts w:ascii="Arial" w:eastAsia="SimSun" w:hAnsi="Arial" w:cs="Arial"/>
                <w:sz w:val="16"/>
                <w:szCs w:val="16"/>
              </w:rPr>
            </w:pPr>
            <w:r w:rsidRPr="0028459F">
              <w:rPr>
                <w:rFonts w:ascii="Arial" w:eastAsia="SimSun" w:hAnsi="Arial" w:cs="Arial"/>
                <w:sz w:val="16"/>
                <w:szCs w:val="16"/>
              </w:rPr>
              <w:t>16</w:t>
            </w:r>
          </w:p>
        </w:tc>
        <w:tc>
          <w:tcPr>
            <w:tcW w:w="449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4C914F4" w14:textId="77777777" w:rsidR="0028459F" w:rsidRPr="0028459F" w:rsidRDefault="0028459F">
            <w:pPr>
              <w:keepNext/>
              <w:keepLines/>
              <w:jc w:val="center"/>
              <w:rPr>
                <w:rFonts w:ascii="Arial" w:eastAsia="SimSun" w:hAnsi="Arial" w:cs="Arial"/>
                <w:sz w:val="16"/>
                <w:szCs w:val="16"/>
              </w:rPr>
            </w:pPr>
            <w:r w:rsidRPr="0028459F">
              <w:rPr>
                <w:rFonts w:ascii="Arial" w:eastAsia="SimSun" w:hAnsi="Arial" w:cs="Arial"/>
                <w:sz w:val="16"/>
                <w:szCs w:val="16"/>
              </w:rPr>
              <w:t>{1, 2, 4, 5, 8,10,20,40}</w:t>
            </w:r>
          </w:p>
        </w:tc>
      </w:tr>
      <w:tr w:rsidR="0028459F" w14:paraId="667931B7" w14:textId="77777777" w:rsidTr="0028459F">
        <w:trPr>
          <w:jc w:val="center"/>
        </w:trPr>
        <w:tc>
          <w:tcPr>
            <w:tcW w:w="332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200A70A" w14:textId="77777777" w:rsidR="0028459F" w:rsidRPr="0028459F" w:rsidRDefault="0028459F">
            <w:pPr>
              <w:keepNext/>
              <w:keepLines/>
              <w:jc w:val="center"/>
              <w:rPr>
                <w:rFonts w:ascii="Arial" w:eastAsia="SimSun" w:hAnsi="Arial" w:cs="Arial"/>
                <w:sz w:val="16"/>
                <w:szCs w:val="16"/>
              </w:rPr>
            </w:pPr>
            <w:r w:rsidRPr="0028459F">
              <w:rPr>
                <w:rFonts w:ascii="Arial" w:eastAsia="SimSun" w:hAnsi="Arial" w:cs="Arial"/>
                <w:sz w:val="16"/>
                <w:szCs w:val="16"/>
              </w:rPr>
              <w:t>20</w:t>
            </w:r>
          </w:p>
        </w:tc>
        <w:tc>
          <w:tcPr>
            <w:tcW w:w="449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E14FEA0" w14:textId="77777777" w:rsidR="0028459F" w:rsidRPr="0028459F" w:rsidRDefault="0028459F">
            <w:pPr>
              <w:keepNext/>
              <w:keepLines/>
              <w:jc w:val="center"/>
              <w:rPr>
                <w:rFonts w:ascii="Arial" w:eastAsia="SimSun" w:hAnsi="Arial" w:cs="Arial"/>
                <w:sz w:val="16"/>
                <w:szCs w:val="16"/>
              </w:rPr>
            </w:pPr>
            <w:r w:rsidRPr="0028459F">
              <w:rPr>
                <w:rFonts w:ascii="Arial" w:eastAsia="SimSun" w:hAnsi="Arial" w:cs="Arial"/>
                <w:sz w:val="16"/>
                <w:szCs w:val="16"/>
              </w:rPr>
              <w:t>{1, 2, 4, 8,16, 32}</w:t>
            </w:r>
          </w:p>
        </w:tc>
      </w:tr>
      <w:tr w:rsidR="0028459F" w14:paraId="02E805B5" w14:textId="77777777" w:rsidTr="0028459F">
        <w:trPr>
          <w:jc w:val="center"/>
        </w:trPr>
        <w:tc>
          <w:tcPr>
            <w:tcW w:w="332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2752168" w14:textId="77777777" w:rsidR="0028459F" w:rsidRPr="0028459F" w:rsidRDefault="0028459F">
            <w:pPr>
              <w:keepNext/>
              <w:keepLines/>
              <w:jc w:val="center"/>
              <w:rPr>
                <w:rFonts w:ascii="Arial" w:eastAsia="SimSun" w:hAnsi="Arial" w:cs="Arial"/>
                <w:sz w:val="16"/>
                <w:szCs w:val="16"/>
              </w:rPr>
            </w:pPr>
            <w:r w:rsidRPr="0028459F">
              <w:rPr>
                <w:rFonts w:ascii="Arial" w:eastAsia="SimSun" w:hAnsi="Arial" w:cs="Arial"/>
                <w:sz w:val="16"/>
                <w:szCs w:val="16"/>
              </w:rPr>
              <w:t>32</w:t>
            </w:r>
          </w:p>
        </w:tc>
        <w:tc>
          <w:tcPr>
            <w:tcW w:w="449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28F6A25" w14:textId="77777777" w:rsidR="0028459F" w:rsidRPr="0028459F" w:rsidRDefault="0028459F">
            <w:pPr>
              <w:keepNext/>
              <w:keepLines/>
              <w:jc w:val="center"/>
              <w:rPr>
                <w:rFonts w:ascii="Arial" w:eastAsia="SimSun" w:hAnsi="Arial" w:cs="Arial"/>
                <w:sz w:val="16"/>
                <w:szCs w:val="16"/>
              </w:rPr>
            </w:pPr>
            <w:r w:rsidRPr="0028459F">
              <w:rPr>
                <w:rFonts w:ascii="Arial" w:eastAsia="SimSun" w:hAnsi="Arial" w:cs="Arial"/>
                <w:sz w:val="16"/>
                <w:szCs w:val="16"/>
              </w:rPr>
              <w:t>{1, 2, 4, 5, 10, 20}</w:t>
            </w:r>
          </w:p>
        </w:tc>
      </w:tr>
      <w:tr w:rsidR="0028459F" w14:paraId="3B0AB339" w14:textId="77777777" w:rsidTr="0028459F">
        <w:trPr>
          <w:jc w:val="center"/>
        </w:trPr>
        <w:tc>
          <w:tcPr>
            <w:tcW w:w="332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A2F9266" w14:textId="77777777" w:rsidR="0028459F" w:rsidRPr="0028459F" w:rsidRDefault="0028459F">
            <w:pPr>
              <w:keepNext/>
              <w:keepLines/>
              <w:jc w:val="center"/>
              <w:rPr>
                <w:rFonts w:ascii="Arial" w:eastAsia="SimSun" w:hAnsi="Arial" w:cs="Arial"/>
                <w:sz w:val="16"/>
                <w:szCs w:val="16"/>
              </w:rPr>
            </w:pPr>
            <w:r w:rsidRPr="0028459F">
              <w:rPr>
                <w:rFonts w:ascii="Arial" w:eastAsia="SimSun" w:hAnsi="Arial" w:cs="Arial"/>
                <w:sz w:val="16"/>
                <w:szCs w:val="16"/>
              </w:rPr>
              <w:t>40</w:t>
            </w:r>
          </w:p>
        </w:tc>
        <w:tc>
          <w:tcPr>
            <w:tcW w:w="449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E101BE4" w14:textId="77777777" w:rsidR="0028459F" w:rsidRPr="0028459F" w:rsidRDefault="0028459F">
            <w:pPr>
              <w:keepNext/>
              <w:keepLines/>
              <w:jc w:val="center"/>
              <w:rPr>
                <w:rFonts w:ascii="Arial" w:eastAsia="SimSun" w:hAnsi="Arial" w:cs="Arial"/>
                <w:sz w:val="16"/>
                <w:szCs w:val="16"/>
              </w:rPr>
            </w:pPr>
            <w:r w:rsidRPr="0028459F">
              <w:rPr>
                <w:rFonts w:ascii="Arial" w:eastAsia="SimSun" w:hAnsi="Arial" w:cs="Arial"/>
                <w:sz w:val="16"/>
                <w:szCs w:val="16"/>
              </w:rPr>
              <w:t>{1, 2, 4, 8, 16}</w:t>
            </w:r>
          </w:p>
        </w:tc>
      </w:tr>
      <w:tr w:rsidR="0028459F" w14:paraId="589E4E24" w14:textId="77777777" w:rsidTr="0028459F">
        <w:trPr>
          <w:jc w:val="center"/>
        </w:trPr>
        <w:tc>
          <w:tcPr>
            <w:tcW w:w="332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48A70CB" w14:textId="77777777" w:rsidR="0028459F" w:rsidRPr="0028459F" w:rsidRDefault="0028459F">
            <w:pPr>
              <w:keepNext/>
              <w:keepLines/>
              <w:jc w:val="center"/>
              <w:rPr>
                <w:rFonts w:ascii="Arial" w:eastAsia="SimSun" w:hAnsi="Arial" w:cs="Arial"/>
                <w:sz w:val="16"/>
                <w:szCs w:val="16"/>
              </w:rPr>
            </w:pPr>
            <w:r w:rsidRPr="0028459F">
              <w:rPr>
                <w:rFonts w:ascii="Arial" w:eastAsia="SimSun" w:hAnsi="Arial" w:cs="Arial"/>
                <w:sz w:val="16"/>
                <w:szCs w:val="16"/>
              </w:rPr>
              <w:t>64</w:t>
            </w:r>
          </w:p>
        </w:tc>
        <w:tc>
          <w:tcPr>
            <w:tcW w:w="449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E15E27A" w14:textId="77777777" w:rsidR="0028459F" w:rsidRPr="0028459F" w:rsidRDefault="0028459F">
            <w:pPr>
              <w:keepNext/>
              <w:keepLines/>
              <w:jc w:val="center"/>
              <w:rPr>
                <w:rFonts w:ascii="Arial" w:eastAsia="SimSun" w:hAnsi="Arial" w:cs="Arial"/>
                <w:sz w:val="16"/>
                <w:szCs w:val="16"/>
              </w:rPr>
            </w:pPr>
            <w:r w:rsidRPr="0028459F">
              <w:rPr>
                <w:rFonts w:ascii="Arial" w:eastAsia="SimSun" w:hAnsi="Arial" w:cs="Arial"/>
                <w:sz w:val="16"/>
                <w:szCs w:val="16"/>
              </w:rPr>
              <w:t>{1, 2, 5, 10}</w:t>
            </w:r>
          </w:p>
        </w:tc>
      </w:tr>
      <w:tr w:rsidR="0028459F" w14:paraId="37E10AF5" w14:textId="77777777" w:rsidTr="0028459F">
        <w:trPr>
          <w:jc w:val="center"/>
        </w:trPr>
        <w:tc>
          <w:tcPr>
            <w:tcW w:w="332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C28A39A" w14:textId="77777777" w:rsidR="0028459F" w:rsidRPr="0028459F" w:rsidRDefault="0028459F">
            <w:pPr>
              <w:keepNext/>
              <w:keepLines/>
              <w:jc w:val="center"/>
              <w:rPr>
                <w:rFonts w:ascii="Arial" w:eastAsia="SimSun" w:hAnsi="Arial" w:cs="Arial"/>
                <w:sz w:val="16"/>
                <w:szCs w:val="16"/>
              </w:rPr>
            </w:pPr>
            <w:r w:rsidRPr="0028459F">
              <w:rPr>
                <w:rFonts w:ascii="Arial" w:eastAsia="SimSun" w:hAnsi="Arial" w:cs="Arial"/>
                <w:sz w:val="16"/>
                <w:szCs w:val="16"/>
              </w:rPr>
              <w:t>80</w:t>
            </w:r>
          </w:p>
        </w:tc>
        <w:tc>
          <w:tcPr>
            <w:tcW w:w="449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E1933B2" w14:textId="77777777" w:rsidR="0028459F" w:rsidRPr="0028459F" w:rsidRDefault="0028459F">
            <w:pPr>
              <w:keepNext/>
              <w:keepLines/>
              <w:jc w:val="center"/>
              <w:rPr>
                <w:rFonts w:ascii="Arial" w:eastAsia="SimSun" w:hAnsi="Arial" w:cs="Arial"/>
                <w:sz w:val="16"/>
                <w:szCs w:val="16"/>
              </w:rPr>
            </w:pPr>
            <w:r w:rsidRPr="0028459F">
              <w:rPr>
                <w:rFonts w:ascii="Arial" w:eastAsia="SimSun" w:hAnsi="Arial" w:cs="Arial"/>
                <w:sz w:val="16"/>
                <w:szCs w:val="16"/>
              </w:rPr>
              <w:t>{1, 2, 4, 8}</w:t>
            </w:r>
          </w:p>
        </w:tc>
      </w:tr>
      <w:tr w:rsidR="0028459F" w14:paraId="7D4FA039" w14:textId="77777777" w:rsidTr="0028459F">
        <w:trPr>
          <w:jc w:val="center"/>
        </w:trPr>
        <w:tc>
          <w:tcPr>
            <w:tcW w:w="332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F6E23EE" w14:textId="77777777" w:rsidR="0028459F" w:rsidRPr="0028459F" w:rsidRDefault="0028459F">
            <w:pPr>
              <w:keepNext/>
              <w:keepLines/>
              <w:jc w:val="center"/>
              <w:rPr>
                <w:rFonts w:ascii="Arial" w:eastAsia="SimSun" w:hAnsi="Arial" w:cs="Arial"/>
                <w:sz w:val="16"/>
                <w:szCs w:val="16"/>
              </w:rPr>
            </w:pPr>
            <w:r w:rsidRPr="0028459F">
              <w:rPr>
                <w:rFonts w:ascii="Arial" w:eastAsia="SimSun" w:hAnsi="Arial" w:cs="Arial"/>
                <w:sz w:val="16"/>
                <w:szCs w:val="16"/>
              </w:rPr>
              <w:t>128</w:t>
            </w:r>
          </w:p>
        </w:tc>
        <w:tc>
          <w:tcPr>
            <w:tcW w:w="449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F6553E0" w14:textId="77777777" w:rsidR="0028459F" w:rsidRPr="0028459F" w:rsidRDefault="0028459F">
            <w:pPr>
              <w:keepNext/>
              <w:keepLines/>
              <w:jc w:val="center"/>
              <w:rPr>
                <w:rFonts w:ascii="Arial" w:eastAsia="SimSun" w:hAnsi="Arial" w:cs="Arial"/>
                <w:sz w:val="16"/>
                <w:szCs w:val="16"/>
              </w:rPr>
            </w:pPr>
            <w:r w:rsidRPr="0028459F">
              <w:rPr>
                <w:rFonts w:ascii="Arial" w:eastAsia="SimSun" w:hAnsi="Arial" w:cs="Arial"/>
                <w:sz w:val="16"/>
                <w:szCs w:val="16"/>
              </w:rPr>
              <w:t>{1, 5}</w:t>
            </w:r>
          </w:p>
        </w:tc>
      </w:tr>
      <w:tr w:rsidR="0028459F" w14:paraId="730C8489" w14:textId="77777777" w:rsidTr="0028459F">
        <w:trPr>
          <w:jc w:val="center"/>
        </w:trPr>
        <w:tc>
          <w:tcPr>
            <w:tcW w:w="332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2C2A177" w14:textId="77777777" w:rsidR="0028459F" w:rsidRPr="0028459F" w:rsidRDefault="0028459F">
            <w:pPr>
              <w:keepNext/>
              <w:keepLines/>
              <w:jc w:val="center"/>
              <w:rPr>
                <w:rFonts w:ascii="Arial" w:eastAsia="SimSun" w:hAnsi="Arial" w:cs="Arial"/>
                <w:sz w:val="16"/>
                <w:szCs w:val="16"/>
              </w:rPr>
            </w:pPr>
            <w:r w:rsidRPr="0028459F">
              <w:rPr>
                <w:rFonts w:ascii="Arial" w:eastAsia="SimSun" w:hAnsi="Arial" w:cs="Arial"/>
                <w:sz w:val="16"/>
                <w:szCs w:val="16"/>
              </w:rPr>
              <w:t>160</w:t>
            </w:r>
          </w:p>
        </w:tc>
        <w:tc>
          <w:tcPr>
            <w:tcW w:w="449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FB94EB0" w14:textId="77777777" w:rsidR="0028459F" w:rsidRPr="0028459F" w:rsidRDefault="0028459F">
            <w:pPr>
              <w:keepNext/>
              <w:keepLines/>
              <w:jc w:val="center"/>
              <w:rPr>
                <w:rFonts w:ascii="Arial" w:eastAsia="SimSun" w:hAnsi="Arial" w:cs="Arial"/>
                <w:sz w:val="16"/>
                <w:szCs w:val="16"/>
              </w:rPr>
            </w:pPr>
            <w:r w:rsidRPr="0028459F">
              <w:rPr>
                <w:rFonts w:ascii="Arial" w:eastAsia="SimSun" w:hAnsi="Arial" w:cs="Arial"/>
                <w:sz w:val="16"/>
                <w:szCs w:val="16"/>
              </w:rPr>
              <w:t>{1, 2, 4}</w:t>
            </w:r>
          </w:p>
        </w:tc>
      </w:tr>
      <w:tr w:rsidR="0028459F" w14:paraId="4C0D8412" w14:textId="77777777" w:rsidTr="0028459F">
        <w:trPr>
          <w:jc w:val="center"/>
        </w:trPr>
        <w:tc>
          <w:tcPr>
            <w:tcW w:w="332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2456A5D" w14:textId="77777777" w:rsidR="0028459F" w:rsidRPr="0028459F" w:rsidRDefault="0028459F">
            <w:pPr>
              <w:keepNext/>
              <w:keepLines/>
              <w:jc w:val="center"/>
              <w:rPr>
                <w:rFonts w:ascii="Arial" w:eastAsia="SimSun" w:hAnsi="Arial" w:cs="Arial"/>
                <w:sz w:val="16"/>
                <w:szCs w:val="16"/>
              </w:rPr>
            </w:pPr>
            <w:r w:rsidRPr="0028459F">
              <w:rPr>
                <w:rFonts w:ascii="Arial" w:eastAsia="SimSun" w:hAnsi="Arial" w:cs="Arial"/>
                <w:sz w:val="16"/>
                <w:szCs w:val="16"/>
              </w:rPr>
              <w:t>320</w:t>
            </w:r>
          </w:p>
        </w:tc>
        <w:tc>
          <w:tcPr>
            <w:tcW w:w="449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C0E4F84" w14:textId="77777777" w:rsidR="0028459F" w:rsidRPr="0028459F" w:rsidRDefault="0028459F">
            <w:pPr>
              <w:keepNext/>
              <w:keepLines/>
              <w:jc w:val="center"/>
              <w:rPr>
                <w:rFonts w:ascii="Arial" w:eastAsia="SimSun" w:hAnsi="Arial" w:cs="Arial"/>
                <w:sz w:val="16"/>
                <w:szCs w:val="16"/>
              </w:rPr>
            </w:pPr>
            <w:r w:rsidRPr="0028459F">
              <w:rPr>
                <w:rFonts w:ascii="Arial" w:eastAsia="SimSun" w:hAnsi="Arial" w:cs="Arial"/>
                <w:sz w:val="16"/>
                <w:szCs w:val="16"/>
              </w:rPr>
              <w:t>{1, 2}</w:t>
            </w:r>
          </w:p>
        </w:tc>
      </w:tr>
      <w:tr w:rsidR="0028459F" w14:paraId="21A5FF4B" w14:textId="77777777" w:rsidTr="0028459F">
        <w:trPr>
          <w:jc w:val="center"/>
        </w:trPr>
        <w:tc>
          <w:tcPr>
            <w:tcW w:w="3325"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D908FF7" w14:textId="77777777" w:rsidR="0028459F" w:rsidRPr="0028459F" w:rsidRDefault="0028459F">
            <w:pPr>
              <w:keepNext/>
              <w:keepLines/>
              <w:jc w:val="center"/>
              <w:rPr>
                <w:rFonts w:ascii="Arial" w:eastAsia="SimSun" w:hAnsi="Arial" w:cs="Arial"/>
                <w:sz w:val="16"/>
                <w:szCs w:val="16"/>
              </w:rPr>
            </w:pPr>
            <w:r w:rsidRPr="0028459F">
              <w:rPr>
                <w:rFonts w:ascii="Arial" w:eastAsia="SimSun" w:hAnsi="Arial" w:cs="Arial"/>
                <w:sz w:val="16"/>
                <w:szCs w:val="16"/>
              </w:rPr>
              <w:t>640</w:t>
            </w:r>
          </w:p>
        </w:tc>
        <w:tc>
          <w:tcPr>
            <w:tcW w:w="4495"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DEFC002" w14:textId="77777777" w:rsidR="0028459F" w:rsidRPr="0028459F" w:rsidRDefault="0028459F">
            <w:pPr>
              <w:keepNext/>
              <w:keepLines/>
              <w:jc w:val="center"/>
              <w:rPr>
                <w:rFonts w:ascii="Arial" w:eastAsia="SimSun" w:hAnsi="Arial" w:cs="Arial"/>
                <w:sz w:val="16"/>
                <w:szCs w:val="16"/>
              </w:rPr>
            </w:pPr>
            <w:r w:rsidRPr="0028459F">
              <w:rPr>
                <w:rFonts w:ascii="Arial" w:eastAsia="SimSun" w:hAnsi="Arial" w:cs="Arial"/>
                <w:sz w:val="16"/>
                <w:szCs w:val="16"/>
              </w:rPr>
              <w:t>{1}</w:t>
            </w:r>
          </w:p>
        </w:tc>
      </w:tr>
      <w:tr w:rsidR="0028459F" w14:paraId="1EB4D13D" w14:textId="77777777" w:rsidTr="0028459F">
        <w:trPr>
          <w:jc w:val="center"/>
        </w:trPr>
        <w:tc>
          <w:tcPr>
            <w:tcW w:w="3325"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83FAFBE" w14:textId="77777777" w:rsidR="0028459F" w:rsidRPr="0028459F" w:rsidRDefault="0028459F">
            <w:pPr>
              <w:keepNext/>
              <w:keepLines/>
              <w:jc w:val="center"/>
              <w:rPr>
                <w:rFonts w:ascii="Arial" w:eastAsia="SimSun" w:hAnsi="Arial" w:cs="Arial"/>
                <w:color w:val="FF0000"/>
                <w:sz w:val="16"/>
                <w:szCs w:val="16"/>
              </w:rPr>
            </w:pPr>
            <w:r w:rsidRPr="0028459F">
              <w:rPr>
                <w:rFonts w:ascii="Arial" w:eastAsia="SimSun" w:hAnsi="Arial" w:cs="Arial"/>
                <w:color w:val="FF0000"/>
                <w:sz w:val="16"/>
                <w:szCs w:val="16"/>
              </w:rPr>
              <w:t>1280</w:t>
            </w:r>
          </w:p>
        </w:tc>
        <w:tc>
          <w:tcPr>
            <w:tcW w:w="4495"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E460183" w14:textId="77777777" w:rsidR="0028459F" w:rsidRPr="0028459F" w:rsidRDefault="0028459F">
            <w:pPr>
              <w:keepNext/>
              <w:keepLines/>
              <w:jc w:val="center"/>
              <w:rPr>
                <w:rFonts w:ascii="Arial" w:eastAsia="SimSun" w:hAnsi="Arial" w:cs="Arial"/>
                <w:color w:val="FF0000"/>
                <w:sz w:val="16"/>
                <w:szCs w:val="16"/>
              </w:rPr>
            </w:pPr>
            <w:r w:rsidRPr="0028459F">
              <w:rPr>
                <w:rFonts w:ascii="Arial" w:eastAsia="SimSun" w:hAnsi="Arial" w:cs="Arial"/>
                <w:color w:val="FF0000"/>
                <w:sz w:val="16"/>
                <w:szCs w:val="16"/>
              </w:rPr>
              <w:t>{1}</w:t>
            </w:r>
          </w:p>
        </w:tc>
      </w:tr>
      <w:tr w:rsidR="0028459F" w14:paraId="06D75249" w14:textId="77777777" w:rsidTr="0028459F">
        <w:trPr>
          <w:jc w:val="center"/>
        </w:trPr>
        <w:tc>
          <w:tcPr>
            <w:tcW w:w="3325"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9CBD20D" w14:textId="77777777" w:rsidR="0028459F" w:rsidRPr="0028459F" w:rsidRDefault="0028459F">
            <w:pPr>
              <w:keepNext/>
              <w:keepLines/>
              <w:jc w:val="center"/>
              <w:rPr>
                <w:rFonts w:ascii="Arial" w:eastAsia="SimSun" w:hAnsi="Arial" w:cs="Arial"/>
                <w:color w:val="FF0000"/>
                <w:sz w:val="16"/>
                <w:szCs w:val="16"/>
                <w:lang w:val="en-US" w:eastAsia="zh-CN"/>
              </w:rPr>
            </w:pPr>
            <w:r w:rsidRPr="0028459F">
              <w:rPr>
                <w:rFonts w:ascii="Arial" w:eastAsia="SimSun" w:hAnsi="Arial" w:cs="Arial"/>
                <w:color w:val="FF0000"/>
                <w:sz w:val="16"/>
                <w:szCs w:val="16"/>
                <w:lang w:val="en-US" w:eastAsia="zh-CN"/>
              </w:rPr>
              <w:t>2560</w:t>
            </w:r>
          </w:p>
        </w:tc>
        <w:tc>
          <w:tcPr>
            <w:tcW w:w="4495"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B45FBBD" w14:textId="77777777" w:rsidR="0028459F" w:rsidRPr="0028459F" w:rsidRDefault="0028459F">
            <w:pPr>
              <w:keepNext/>
              <w:keepLines/>
              <w:jc w:val="center"/>
              <w:rPr>
                <w:rFonts w:ascii="Arial" w:eastAsia="SimSun" w:hAnsi="Arial" w:cs="Arial"/>
                <w:color w:val="FF0000"/>
                <w:sz w:val="16"/>
                <w:szCs w:val="16"/>
              </w:rPr>
            </w:pPr>
            <w:r w:rsidRPr="0028459F">
              <w:rPr>
                <w:rFonts w:ascii="Arial" w:eastAsia="SimSun" w:hAnsi="Arial" w:cs="Arial"/>
                <w:color w:val="FF0000"/>
                <w:sz w:val="16"/>
                <w:szCs w:val="16"/>
              </w:rPr>
              <w:t>{1}</w:t>
            </w:r>
          </w:p>
        </w:tc>
      </w:tr>
      <w:tr w:rsidR="0028459F" w14:paraId="0CB37C2A" w14:textId="77777777" w:rsidTr="0028459F">
        <w:trPr>
          <w:jc w:val="center"/>
        </w:trPr>
        <w:tc>
          <w:tcPr>
            <w:tcW w:w="3325"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D7C7F15" w14:textId="77777777" w:rsidR="0028459F" w:rsidRPr="0028459F" w:rsidRDefault="0028459F">
            <w:pPr>
              <w:keepNext/>
              <w:keepLines/>
              <w:jc w:val="center"/>
              <w:rPr>
                <w:rFonts w:ascii="Arial" w:eastAsia="SimSun" w:hAnsi="Arial" w:cs="Arial"/>
                <w:color w:val="FF0000"/>
                <w:sz w:val="16"/>
                <w:szCs w:val="16"/>
                <w:lang w:val="en-US" w:eastAsia="zh-CN"/>
              </w:rPr>
            </w:pPr>
            <w:r w:rsidRPr="0028459F">
              <w:rPr>
                <w:rFonts w:ascii="Arial" w:eastAsia="SimSun" w:hAnsi="Arial" w:cs="Arial"/>
                <w:color w:val="FF0000"/>
                <w:sz w:val="16"/>
                <w:szCs w:val="16"/>
                <w:lang w:val="en-US" w:eastAsia="zh-CN"/>
              </w:rPr>
              <w:t>5120</w:t>
            </w:r>
          </w:p>
        </w:tc>
        <w:tc>
          <w:tcPr>
            <w:tcW w:w="4495"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C2403D2" w14:textId="77777777" w:rsidR="0028459F" w:rsidRPr="0028459F" w:rsidRDefault="0028459F">
            <w:pPr>
              <w:keepNext/>
              <w:keepLines/>
              <w:jc w:val="center"/>
              <w:rPr>
                <w:rFonts w:ascii="Arial" w:eastAsia="SimSun" w:hAnsi="Arial" w:cs="Arial"/>
                <w:color w:val="FF0000"/>
                <w:sz w:val="16"/>
                <w:szCs w:val="16"/>
              </w:rPr>
            </w:pPr>
            <w:r w:rsidRPr="0028459F">
              <w:rPr>
                <w:rFonts w:ascii="Arial" w:eastAsia="SimSun" w:hAnsi="Arial" w:cs="Arial"/>
                <w:color w:val="FF0000"/>
                <w:sz w:val="16"/>
                <w:szCs w:val="16"/>
              </w:rPr>
              <w:t>{1}</w:t>
            </w:r>
          </w:p>
        </w:tc>
      </w:tr>
      <w:tr w:rsidR="0028459F" w14:paraId="26010EA4" w14:textId="77777777" w:rsidTr="0028459F">
        <w:trPr>
          <w:jc w:val="center"/>
        </w:trPr>
        <w:tc>
          <w:tcPr>
            <w:tcW w:w="3325"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CAF07E3" w14:textId="77777777" w:rsidR="0028459F" w:rsidRPr="0028459F" w:rsidRDefault="0028459F">
            <w:pPr>
              <w:keepNext/>
              <w:keepLines/>
              <w:jc w:val="center"/>
              <w:rPr>
                <w:rFonts w:ascii="Arial" w:eastAsia="SimSun" w:hAnsi="Arial" w:cs="Arial"/>
                <w:color w:val="FF0000"/>
                <w:sz w:val="16"/>
                <w:szCs w:val="16"/>
                <w:lang w:val="en-US" w:eastAsia="zh-CN"/>
              </w:rPr>
            </w:pPr>
            <w:r w:rsidRPr="0028459F">
              <w:rPr>
                <w:rFonts w:ascii="Arial" w:eastAsia="SimSun" w:hAnsi="Arial" w:cs="Arial"/>
                <w:color w:val="FF0000"/>
                <w:sz w:val="16"/>
                <w:szCs w:val="16"/>
                <w:lang w:val="en-US" w:eastAsia="zh-CN"/>
              </w:rPr>
              <w:t>10240</w:t>
            </w:r>
          </w:p>
        </w:tc>
        <w:tc>
          <w:tcPr>
            <w:tcW w:w="4495"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1CE64E2" w14:textId="77777777" w:rsidR="0028459F" w:rsidRPr="0028459F" w:rsidRDefault="0028459F">
            <w:pPr>
              <w:keepNext/>
              <w:keepLines/>
              <w:jc w:val="center"/>
              <w:rPr>
                <w:rFonts w:ascii="Arial" w:eastAsia="SimSun" w:hAnsi="Arial" w:cs="Arial"/>
                <w:color w:val="FF0000"/>
                <w:sz w:val="16"/>
                <w:szCs w:val="16"/>
              </w:rPr>
            </w:pPr>
            <w:r w:rsidRPr="0028459F">
              <w:rPr>
                <w:rFonts w:ascii="Arial" w:eastAsia="SimSun" w:hAnsi="Arial" w:cs="Arial"/>
                <w:color w:val="FF0000"/>
                <w:sz w:val="16"/>
                <w:szCs w:val="16"/>
              </w:rPr>
              <w:t>{1}</w:t>
            </w:r>
          </w:p>
        </w:tc>
      </w:tr>
      <w:tr w:rsidR="0028459F" w14:paraId="7FE5069A" w14:textId="77777777" w:rsidTr="0028459F">
        <w:trPr>
          <w:jc w:val="center"/>
        </w:trPr>
        <w:tc>
          <w:tcPr>
            <w:tcW w:w="3325"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19B6992" w14:textId="77777777" w:rsidR="0028459F" w:rsidRPr="0028459F" w:rsidRDefault="0028459F">
            <w:pPr>
              <w:keepNext/>
              <w:keepLines/>
              <w:jc w:val="center"/>
              <w:rPr>
                <w:rFonts w:ascii="Arial" w:eastAsia="SimSun" w:hAnsi="Arial" w:cs="Arial"/>
                <w:color w:val="FF0000"/>
                <w:sz w:val="16"/>
                <w:szCs w:val="16"/>
                <w:lang w:val="en-US" w:eastAsia="zh-CN"/>
              </w:rPr>
            </w:pPr>
            <w:r w:rsidRPr="0028459F">
              <w:rPr>
                <w:rFonts w:ascii="Arial" w:eastAsia="SimSun" w:hAnsi="Arial" w:cs="Arial"/>
                <w:color w:val="FF0000"/>
                <w:sz w:val="16"/>
                <w:szCs w:val="16"/>
                <w:lang w:val="en-US" w:eastAsia="zh-CN"/>
              </w:rPr>
              <w:t>61440</w:t>
            </w:r>
          </w:p>
        </w:tc>
        <w:tc>
          <w:tcPr>
            <w:tcW w:w="4495"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22DBE2A" w14:textId="77777777" w:rsidR="0028459F" w:rsidRPr="0028459F" w:rsidRDefault="0028459F">
            <w:pPr>
              <w:keepNext/>
              <w:keepLines/>
              <w:jc w:val="center"/>
              <w:rPr>
                <w:rFonts w:ascii="Arial" w:eastAsia="SimSun" w:hAnsi="Arial" w:cs="Arial"/>
                <w:color w:val="FF0000"/>
                <w:sz w:val="16"/>
                <w:szCs w:val="16"/>
              </w:rPr>
            </w:pPr>
            <w:r w:rsidRPr="0028459F">
              <w:rPr>
                <w:rFonts w:ascii="Arial" w:eastAsia="SimSun" w:hAnsi="Arial" w:cs="Arial"/>
                <w:color w:val="FF0000"/>
                <w:sz w:val="16"/>
                <w:szCs w:val="16"/>
              </w:rPr>
              <w:t>{1}</w:t>
            </w:r>
          </w:p>
        </w:tc>
      </w:tr>
      <w:tr w:rsidR="0028459F" w14:paraId="4AC3E836" w14:textId="77777777" w:rsidTr="0028459F">
        <w:trPr>
          <w:jc w:val="center"/>
        </w:trPr>
        <w:tc>
          <w:tcPr>
            <w:tcW w:w="3325"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03B4EBD" w14:textId="77777777" w:rsidR="0028459F" w:rsidRPr="0028459F" w:rsidRDefault="0028459F">
            <w:pPr>
              <w:keepNext/>
              <w:keepLines/>
              <w:jc w:val="center"/>
              <w:rPr>
                <w:rFonts w:ascii="Arial" w:eastAsia="SimSun" w:hAnsi="Arial" w:cs="Arial"/>
                <w:color w:val="FF0000"/>
                <w:sz w:val="16"/>
                <w:szCs w:val="16"/>
                <w:lang w:val="en-US" w:eastAsia="zh-CN"/>
              </w:rPr>
            </w:pPr>
            <w:r w:rsidRPr="0028459F">
              <w:rPr>
                <w:rFonts w:ascii="Arial" w:eastAsia="SimSun" w:hAnsi="Arial" w:cs="Arial"/>
                <w:color w:val="FF0000"/>
                <w:sz w:val="16"/>
                <w:szCs w:val="16"/>
                <w:lang w:val="en-US" w:eastAsia="zh-CN"/>
              </w:rPr>
              <w:t>122880</w:t>
            </w:r>
          </w:p>
        </w:tc>
        <w:tc>
          <w:tcPr>
            <w:tcW w:w="4495"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E4867D3" w14:textId="77777777" w:rsidR="0028459F" w:rsidRPr="0028459F" w:rsidRDefault="0028459F">
            <w:pPr>
              <w:keepNext/>
              <w:keepLines/>
              <w:jc w:val="center"/>
              <w:rPr>
                <w:rFonts w:ascii="Arial" w:eastAsia="SimSun" w:hAnsi="Arial" w:cs="Arial"/>
                <w:color w:val="FF0000"/>
                <w:sz w:val="16"/>
                <w:szCs w:val="16"/>
              </w:rPr>
            </w:pPr>
            <w:r w:rsidRPr="0028459F">
              <w:rPr>
                <w:rFonts w:ascii="Arial" w:eastAsia="SimSun" w:hAnsi="Arial" w:cs="Arial"/>
                <w:color w:val="FF0000"/>
                <w:sz w:val="16"/>
                <w:szCs w:val="16"/>
              </w:rPr>
              <w:t>{1}</w:t>
            </w:r>
          </w:p>
        </w:tc>
      </w:tr>
      <w:tr w:rsidR="0028459F" w14:paraId="0E5CD9D7" w14:textId="77777777" w:rsidTr="0028459F">
        <w:trPr>
          <w:jc w:val="center"/>
        </w:trPr>
        <w:tc>
          <w:tcPr>
            <w:tcW w:w="3325"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8B0424C" w14:textId="77777777" w:rsidR="0028459F" w:rsidRPr="0028459F" w:rsidRDefault="0028459F">
            <w:pPr>
              <w:keepNext/>
              <w:keepLines/>
              <w:jc w:val="center"/>
              <w:rPr>
                <w:rFonts w:ascii="Arial" w:eastAsia="SimSun" w:hAnsi="Arial" w:cs="Arial"/>
                <w:color w:val="FF0000"/>
                <w:sz w:val="16"/>
                <w:szCs w:val="16"/>
                <w:lang w:val="en-US" w:eastAsia="zh-CN"/>
              </w:rPr>
            </w:pPr>
            <w:r w:rsidRPr="0028459F">
              <w:rPr>
                <w:rFonts w:ascii="Arial" w:eastAsia="SimSun" w:hAnsi="Arial" w:cs="Arial"/>
                <w:color w:val="FF0000"/>
                <w:sz w:val="16"/>
                <w:szCs w:val="16"/>
                <w:lang w:val="en-US" w:eastAsia="zh-CN"/>
              </w:rPr>
              <w:t>307200</w:t>
            </w:r>
          </w:p>
        </w:tc>
        <w:tc>
          <w:tcPr>
            <w:tcW w:w="4495"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CEC3FE9" w14:textId="77777777" w:rsidR="0028459F" w:rsidRPr="0028459F" w:rsidRDefault="0028459F">
            <w:pPr>
              <w:keepNext/>
              <w:keepLines/>
              <w:jc w:val="center"/>
              <w:rPr>
                <w:rFonts w:ascii="Arial" w:eastAsia="SimSun" w:hAnsi="Arial" w:cs="Arial"/>
                <w:color w:val="FF0000"/>
                <w:sz w:val="16"/>
                <w:szCs w:val="16"/>
              </w:rPr>
            </w:pPr>
            <w:r w:rsidRPr="0028459F">
              <w:rPr>
                <w:rFonts w:ascii="Arial" w:eastAsia="SimSun" w:hAnsi="Arial" w:cs="Arial"/>
                <w:color w:val="FF0000"/>
                <w:sz w:val="16"/>
                <w:szCs w:val="16"/>
              </w:rPr>
              <w:t>{1}</w:t>
            </w:r>
          </w:p>
        </w:tc>
      </w:tr>
      <w:tr w:rsidR="0028459F" w14:paraId="72A2532B" w14:textId="77777777" w:rsidTr="0028459F">
        <w:trPr>
          <w:jc w:val="center"/>
        </w:trPr>
        <w:tc>
          <w:tcPr>
            <w:tcW w:w="3325"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B1DBAE4" w14:textId="77777777" w:rsidR="0028459F" w:rsidRPr="0028459F" w:rsidRDefault="0028459F">
            <w:pPr>
              <w:keepNext/>
              <w:keepLines/>
              <w:jc w:val="center"/>
              <w:rPr>
                <w:rFonts w:ascii="Arial" w:eastAsia="SimSun" w:hAnsi="Arial" w:cs="Arial"/>
                <w:color w:val="FF0000"/>
                <w:sz w:val="16"/>
                <w:szCs w:val="16"/>
                <w:lang w:val="en-US" w:eastAsia="zh-CN"/>
              </w:rPr>
            </w:pPr>
            <w:r w:rsidRPr="0028459F">
              <w:rPr>
                <w:rFonts w:ascii="Arial" w:eastAsia="SimSun" w:hAnsi="Arial" w:cs="Arial"/>
                <w:color w:val="FF0000"/>
                <w:sz w:val="16"/>
                <w:szCs w:val="16"/>
              </w:rPr>
              <w:t>604160</w:t>
            </w:r>
          </w:p>
        </w:tc>
        <w:tc>
          <w:tcPr>
            <w:tcW w:w="4495"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E976FA1" w14:textId="77777777" w:rsidR="0028459F" w:rsidRPr="0028459F" w:rsidRDefault="0028459F">
            <w:pPr>
              <w:keepNext/>
              <w:keepLines/>
              <w:jc w:val="center"/>
              <w:rPr>
                <w:rFonts w:ascii="Arial" w:eastAsia="SimSun" w:hAnsi="Arial" w:cs="Arial"/>
                <w:color w:val="FF0000"/>
                <w:sz w:val="16"/>
                <w:szCs w:val="16"/>
              </w:rPr>
            </w:pPr>
            <w:r w:rsidRPr="0028459F">
              <w:rPr>
                <w:rFonts w:ascii="Arial" w:eastAsia="SimSun" w:hAnsi="Arial" w:cs="Arial"/>
                <w:color w:val="FF0000"/>
                <w:sz w:val="16"/>
                <w:szCs w:val="16"/>
              </w:rPr>
              <w:t>{1}</w:t>
            </w:r>
          </w:p>
        </w:tc>
      </w:tr>
      <w:tr w:rsidR="0028459F" w14:paraId="0D3ECE0F" w14:textId="77777777" w:rsidTr="0028459F">
        <w:trPr>
          <w:jc w:val="center"/>
        </w:trPr>
        <w:tc>
          <w:tcPr>
            <w:tcW w:w="3325"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85D9719" w14:textId="77777777" w:rsidR="0028459F" w:rsidRPr="0028459F" w:rsidRDefault="0028459F">
            <w:pPr>
              <w:keepNext/>
              <w:keepLines/>
              <w:jc w:val="center"/>
              <w:rPr>
                <w:rFonts w:ascii="Arial" w:eastAsia="SimSun" w:hAnsi="Arial" w:cs="Arial"/>
                <w:color w:val="FF0000"/>
                <w:sz w:val="16"/>
                <w:szCs w:val="16"/>
                <w:lang w:val="en-US" w:eastAsia="zh-CN"/>
              </w:rPr>
            </w:pPr>
            <w:r w:rsidRPr="0028459F">
              <w:rPr>
                <w:rFonts w:ascii="Arial" w:eastAsia="SimSun" w:hAnsi="Arial" w:cs="Arial"/>
                <w:color w:val="FF0000"/>
                <w:sz w:val="16"/>
                <w:szCs w:val="16"/>
              </w:rPr>
              <w:t>1208320</w:t>
            </w:r>
          </w:p>
        </w:tc>
        <w:tc>
          <w:tcPr>
            <w:tcW w:w="4495"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97A8B4D" w14:textId="77777777" w:rsidR="0028459F" w:rsidRPr="0028459F" w:rsidRDefault="0028459F">
            <w:pPr>
              <w:keepNext/>
              <w:keepLines/>
              <w:jc w:val="center"/>
              <w:rPr>
                <w:rFonts w:ascii="Arial" w:eastAsia="SimSun" w:hAnsi="Arial" w:cs="Arial"/>
                <w:color w:val="FF0000"/>
                <w:sz w:val="16"/>
                <w:szCs w:val="16"/>
              </w:rPr>
            </w:pPr>
            <w:r w:rsidRPr="0028459F">
              <w:rPr>
                <w:rFonts w:ascii="Arial" w:eastAsia="SimSun" w:hAnsi="Arial" w:cs="Arial"/>
                <w:color w:val="FF0000"/>
                <w:sz w:val="16"/>
                <w:szCs w:val="16"/>
              </w:rPr>
              <w:t>{1}</w:t>
            </w:r>
          </w:p>
        </w:tc>
      </w:tr>
      <w:tr w:rsidR="0028459F" w14:paraId="5977617F" w14:textId="77777777" w:rsidTr="0028459F">
        <w:trPr>
          <w:jc w:val="center"/>
        </w:trPr>
        <w:tc>
          <w:tcPr>
            <w:tcW w:w="3325"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D73DB0F" w14:textId="77777777" w:rsidR="0028459F" w:rsidRPr="0028459F" w:rsidRDefault="0028459F">
            <w:pPr>
              <w:keepNext/>
              <w:keepLines/>
              <w:jc w:val="center"/>
              <w:rPr>
                <w:rFonts w:ascii="Arial" w:eastAsia="SimSun" w:hAnsi="Arial" w:cs="Arial"/>
                <w:color w:val="FF0000"/>
                <w:sz w:val="16"/>
                <w:szCs w:val="16"/>
                <w:lang w:val="en-US" w:eastAsia="zh-CN"/>
              </w:rPr>
            </w:pPr>
            <w:r w:rsidRPr="0028459F">
              <w:rPr>
                <w:rFonts w:ascii="Arial" w:eastAsia="SimSun" w:hAnsi="Arial" w:cs="Arial"/>
                <w:color w:val="FF0000"/>
                <w:sz w:val="16"/>
                <w:szCs w:val="16"/>
              </w:rPr>
              <w:t>1802240</w:t>
            </w:r>
          </w:p>
        </w:tc>
        <w:tc>
          <w:tcPr>
            <w:tcW w:w="4495"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0A79E7A" w14:textId="77777777" w:rsidR="0028459F" w:rsidRPr="0028459F" w:rsidRDefault="0028459F">
            <w:pPr>
              <w:keepNext/>
              <w:keepLines/>
              <w:jc w:val="center"/>
              <w:rPr>
                <w:rFonts w:ascii="Arial" w:eastAsia="SimSun" w:hAnsi="Arial" w:cs="Arial"/>
                <w:color w:val="FF0000"/>
                <w:sz w:val="16"/>
                <w:szCs w:val="16"/>
              </w:rPr>
            </w:pPr>
            <w:r w:rsidRPr="0028459F">
              <w:rPr>
                <w:rFonts w:ascii="Arial" w:eastAsia="SimSun" w:hAnsi="Arial" w:cs="Arial"/>
                <w:color w:val="FF0000"/>
                <w:sz w:val="16"/>
                <w:szCs w:val="16"/>
              </w:rPr>
              <w:t>{1}</w:t>
            </w:r>
          </w:p>
        </w:tc>
      </w:tr>
      <w:tr w:rsidR="0028459F" w14:paraId="77DC43C5" w14:textId="77777777" w:rsidTr="0028459F">
        <w:trPr>
          <w:jc w:val="center"/>
        </w:trPr>
        <w:tc>
          <w:tcPr>
            <w:tcW w:w="3325"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3E4214C" w14:textId="77777777" w:rsidR="0028459F" w:rsidRPr="0028459F" w:rsidRDefault="0028459F">
            <w:pPr>
              <w:keepNext/>
              <w:keepLines/>
              <w:jc w:val="center"/>
              <w:rPr>
                <w:rFonts w:ascii="Arial" w:eastAsia="SimSun" w:hAnsi="Arial" w:cs="Arial"/>
                <w:color w:val="FF0000"/>
                <w:sz w:val="16"/>
                <w:szCs w:val="16"/>
              </w:rPr>
            </w:pPr>
            <w:r w:rsidRPr="0028459F">
              <w:rPr>
                <w:rFonts w:ascii="Arial" w:eastAsia="SimSun" w:hAnsi="Arial" w:cs="Arial"/>
                <w:color w:val="FF0000"/>
                <w:sz w:val="16"/>
                <w:szCs w:val="16"/>
              </w:rPr>
              <w:t>3604480</w:t>
            </w:r>
          </w:p>
        </w:tc>
        <w:tc>
          <w:tcPr>
            <w:tcW w:w="4495"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1DE4A7B" w14:textId="77777777" w:rsidR="0028459F" w:rsidRPr="0028459F" w:rsidRDefault="0028459F">
            <w:pPr>
              <w:keepNext/>
              <w:keepLines/>
              <w:jc w:val="center"/>
              <w:rPr>
                <w:rFonts w:ascii="Arial" w:eastAsia="SimSun" w:hAnsi="Arial" w:cs="Arial"/>
                <w:color w:val="FF0000"/>
                <w:sz w:val="16"/>
                <w:szCs w:val="16"/>
              </w:rPr>
            </w:pPr>
            <w:r w:rsidRPr="0028459F">
              <w:rPr>
                <w:rFonts w:ascii="Arial" w:eastAsia="SimSun" w:hAnsi="Arial" w:cs="Arial"/>
                <w:color w:val="FF0000"/>
                <w:sz w:val="16"/>
                <w:szCs w:val="16"/>
              </w:rPr>
              <w:t>{1}</w:t>
            </w:r>
          </w:p>
        </w:tc>
      </w:tr>
    </w:tbl>
    <w:p w14:paraId="5820DCC4" w14:textId="77777777" w:rsidR="0028459F" w:rsidRDefault="0028459F" w:rsidP="0028459F">
      <w:pPr>
        <w:rPr>
          <w:highlight w:val="yellow"/>
          <w:lang w:val="en-US"/>
        </w:rPr>
      </w:pPr>
    </w:p>
    <w:p w14:paraId="7FC2434F" w14:textId="77777777" w:rsidR="0028459F" w:rsidRDefault="0028459F" w:rsidP="0028459F">
      <w:pPr>
        <w:rPr>
          <w:rFonts w:eastAsia="Malgun Gothic"/>
          <w:lang w:val="en-US" w:eastAsia="zh-CN"/>
        </w:rPr>
      </w:pPr>
      <w:r>
        <w:rPr>
          <w:bCs/>
          <w:lang w:val="en-US"/>
        </w:rPr>
        <w:t xml:space="preserve">Adopt the following TP for TS 38.213 clause 19.1 for Rel-18. </w:t>
      </w:r>
    </w:p>
    <w:tbl>
      <w:tblPr>
        <w:tblW w:w="5000" w:type="pct"/>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0683"/>
      </w:tblGrid>
      <w:tr w:rsidR="0028459F" w14:paraId="0BFCAE8A" w14:textId="77777777" w:rsidTr="0028459F">
        <w:tc>
          <w:tcPr>
            <w:tcW w:w="5000" w:type="pct"/>
            <w:tcBorders>
              <w:top w:val="double" w:sz="4" w:space="0" w:color="A5A5A5"/>
              <w:left w:val="double" w:sz="4" w:space="0" w:color="A5A5A5"/>
              <w:bottom w:val="double" w:sz="4" w:space="0" w:color="A5A5A5"/>
              <w:right w:val="double" w:sz="4" w:space="0" w:color="A5A5A5"/>
            </w:tcBorders>
            <w:hideMark/>
          </w:tcPr>
          <w:p w14:paraId="5A9D346B" w14:textId="77777777" w:rsidR="0028459F" w:rsidRPr="0028459F" w:rsidRDefault="0028459F" w:rsidP="0028459F">
            <w:pPr>
              <w:widowControl w:val="0"/>
              <w:jc w:val="center"/>
              <w:rPr>
                <w:rFonts w:ascii="Arial" w:eastAsia="Times New Roman" w:hAnsi="Arial" w:cs="Arial"/>
                <w:sz w:val="16"/>
                <w:szCs w:val="16"/>
                <w:lang w:val="en-US"/>
              </w:rPr>
            </w:pPr>
            <w:r w:rsidRPr="0028459F">
              <w:rPr>
                <w:rFonts w:ascii="Arial" w:eastAsia="Times New Roman" w:hAnsi="Arial" w:cs="Arial"/>
                <w:b/>
                <w:bCs/>
                <w:color w:val="FF0000"/>
                <w:sz w:val="16"/>
                <w:szCs w:val="16"/>
                <w:lang w:eastAsia="zh-CN"/>
              </w:rPr>
              <w:t>&lt; Unchanged text omitted &gt;</w:t>
            </w:r>
          </w:p>
          <w:p w14:paraId="5BF0DD7D" w14:textId="77777777" w:rsidR="0028459F" w:rsidRPr="0028459F" w:rsidRDefault="0028459F" w:rsidP="0028459F">
            <w:pPr>
              <w:rPr>
                <w:rFonts w:ascii="Arial" w:eastAsia="SimSun" w:hAnsi="Arial" w:cs="Arial"/>
                <w:sz w:val="16"/>
                <w:szCs w:val="16"/>
              </w:rPr>
            </w:pPr>
            <w:r w:rsidRPr="0028459F">
              <w:rPr>
                <w:rFonts w:ascii="Arial" w:eastAsia="SimSun" w:hAnsi="Arial" w:cs="Arial"/>
                <w:sz w:val="16"/>
                <w:szCs w:val="16"/>
              </w:rPr>
              <w:t xml:space="preserve">An association period, starting from frame with SFN 0 </w:t>
            </w:r>
            <w:r w:rsidRPr="0028459F">
              <w:rPr>
                <w:rFonts w:ascii="Arial" w:eastAsia="SimSun" w:hAnsi="Arial" w:cs="Arial"/>
                <w:color w:val="FF0000"/>
                <w:sz w:val="16"/>
                <w:szCs w:val="16"/>
                <w:lang w:val="en-US" w:eastAsia="zh-CN"/>
              </w:rPr>
              <w:t>and hyper frame with hyper SFN 0</w:t>
            </w:r>
            <w:r w:rsidRPr="0028459F">
              <w:rPr>
                <w:rFonts w:ascii="Arial" w:eastAsia="SimSun" w:hAnsi="Arial" w:cs="Arial"/>
                <w:sz w:val="16"/>
                <w:szCs w:val="16"/>
              </w:rPr>
              <w:t xml:space="preserve">, for mapping </w:t>
            </w:r>
            <w:r w:rsidRPr="0028459F">
              <w:rPr>
                <w:rFonts w:ascii="Arial" w:eastAsia="SimSun" w:hAnsi="Arial" w:cs="Arial"/>
                <w:sz w:val="16"/>
                <w:szCs w:val="16"/>
              </w:rPr>
              <w:fldChar w:fldCharType="begin"/>
            </w:r>
            <w:r w:rsidRPr="0028459F">
              <w:rPr>
                <w:rFonts w:ascii="Arial" w:eastAsia="SimSun" w:hAnsi="Arial" w:cs="Arial"/>
                <w:sz w:val="16"/>
                <w:szCs w:val="16"/>
              </w:rPr>
              <w:instrText xml:space="preserve"> QUOTE </w:instrText>
            </w:r>
            <w:r w:rsidR="00A6784C">
              <w:rPr>
                <w:rFonts w:ascii="Arial" w:hAnsi="Arial" w:cs="Arial"/>
                <w:position w:val="-6"/>
                <w:sz w:val="16"/>
                <w:szCs w:val="16"/>
              </w:rPr>
              <w:pict w14:anchorId="53819E04">
                <v:shape id="_x0000_i1027" type="#_x0000_t75" style="width:38.25pt;height:14.25pt" equationxml="&lt;">
                  <v:imagedata r:id="rId201" o:title="" chromakey="white"/>
                </v:shape>
              </w:pict>
            </w:r>
            <w:r w:rsidRPr="0028459F">
              <w:rPr>
                <w:rFonts w:ascii="Arial" w:eastAsia="SimSun" w:hAnsi="Arial" w:cs="Arial"/>
                <w:sz w:val="16"/>
                <w:szCs w:val="16"/>
              </w:rPr>
              <w:instrText xml:space="preserve"> </w:instrText>
            </w:r>
            <w:r w:rsidRPr="0028459F">
              <w:rPr>
                <w:rFonts w:ascii="Arial" w:eastAsia="SimSun" w:hAnsi="Arial" w:cs="Arial"/>
                <w:sz w:val="16"/>
                <w:szCs w:val="16"/>
              </w:rPr>
              <w:fldChar w:fldCharType="separate"/>
            </w:r>
            <w:r w:rsidR="00A6784C">
              <w:rPr>
                <w:rFonts w:ascii="Arial" w:hAnsi="Arial" w:cs="Arial"/>
                <w:position w:val="-6"/>
                <w:sz w:val="16"/>
                <w:szCs w:val="16"/>
              </w:rPr>
              <w:pict w14:anchorId="2E97EF79">
                <v:shape id="_x0000_i1028" type="#_x0000_t75" style="width:38.25pt;height:14.25pt" equationxml="&lt;">
                  <v:imagedata r:id="rId201" o:title="" chromakey="white"/>
                </v:shape>
              </w:pict>
            </w:r>
            <w:r w:rsidRPr="0028459F">
              <w:rPr>
                <w:rFonts w:ascii="Arial" w:eastAsia="SimSun" w:hAnsi="Arial" w:cs="Arial"/>
                <w:sz w:val="16"/>
                <w:szCs w:val="16"/>
              </w:rPr>
              <w:fldChar w:fldCharType="end"/>
            </w:r>
            <w:r w:rsidRPr="0028459F">
              <w:rPr>
                <w:rFonts w:ascii="Arial" w:eastAsia="SimSun" w:hAnsi="Arial" w:cs="Arial"/>
                <w:sz w:val="16"/>
                <w:szCs w:val="16"/>
              </w:rPr>
              <w:t xml:space="preserve"> SS/PBCH block indexes, from the number of SS/PBCH block indexes, to valid PUSCH occasions and associated DM-RS resources is the smallest value in the set </w:t>
            </w:r>
            <w:r w:rsidRPr="0028459F">
              <w:rPr>
                <w:rFonts w:ascii="Arial" w:eastAsia="SimSun" w:hAnsi="Arial" w:cs="Arial"/>
                <w:sz w:val="16"/>
                <w:szCs w:val="16"/>
                <w:lang w:eastAsia="zh-CN"/>
              </w:rPr>
              <w:t xml:space="preserve">determined by the PUSCH configuration period provided by </w:t>
            </w:r>
            <w:r w:rsidRPr="0028459F">
              <w:rPr>
                <w:rFonts w:ascii="Arial" w:eastAsia="SimSun" w:hAnsi="Arial" w:cs="Arial"/>
                <w:i/>
                <w:iCs/>
                <w:sz w:val="16"/>
                <w:szCs w:val="16"/>
                <w:lang w:eastAsia="zh-CN"/>
              </w:rPr>
              <w:t>periodicity</w:t>
            </w:r>
            <w:r w:rsidRPr="0028459F">
              <w:rPr>
                <w:rFonts w:ascii="Arial" w:eastAsia="SimSun" w:hAnsi="Arial" w:cs="Arial"/>
                <w:sz w:val="16"/>
                <w:szCs w:val="16"/>
                <w:lang w:eastAsia="zh-CN"/>
              </w:rPr>
              <w:t xml:space="preserve"> in </w:t>
            </w:r>
            <w:r w:rsidRPr="0028459F">
              <w:rPr>
                <w:rFonts w:ascii="Arial" w:eastAsia="SimSun" w:hAnsi="Arial" w:cs="Arial"/>
                <w:i/>
                <w:iCs/>
                <w:sz w:val="16"/>
                <w:szCs w:val="16"/>
                <w:lang w:eastAsia="zh-CN"/>
              </w:rPr>
              <w:t xml:space="preserve">ConfiguredGrantConfig </w:t>
            </w:r>
            <w:r w:rsidRPr="0028459F">
              <w:rPr>
                <w:rFonts w:ascii="Arial" w:eastAsia="SimSun" w:hAnsi="Arial" w:cs="Arial"/>
                <w:sz w:val="16"/>
                <w:szCs w:val="16"/>
                <w:lang w:eastAsia="zh-CN"/>
              </w:rPr>
              <w:t>according to Table</w:t>
            </w:r>
            <w:r w:rsidRPr="0028459F">
              <w:rPr>
                <w:rFonts w:ascii="Arial" w:eastAsia="SimSun" w:hAnsi="Arial" w:cs="Arial"/>
                <w:sz w:val="16"/>
                <w:szCs w:val="16"/>
              </w:rPr>
              <w:t xml:space="preserve"> 19.1-1 such that </w:t>
            </w:r>
            <w:r w:rsidRPr="0028459F">
              <w:rPr>
                <w:rFonts w:ascii="Arial" w:eastAsia="SimSun" w:hAnsi="Arial" w:cs="Arial"/>
                <w:sz w:val="16"/>
                <w:szCs w:val="16"/>
              </w:rPr>
              <w:fldChar w:fldCharType="begin"/>
            </w:r>
            <w:r w:rsidRPr="0028459F">
              <w:rPr>
                <w:rFonts w:ascii="Arial" w:eastAsia="SimSun" w:hAnsi="Arial" w:cs="Arial"/>
                <w:sz w:val="16"/>
                <w:szCs w:val="16"/>
              </w:rPr>
              <w:instrText xml:space="preserve"> QUOTE </w:instrText>
            </w:r>
            <w:r w:rsidR="00A6784C">
              <w:rPr>
                <w:rFonts w:ascii="Arial" w:hAnsi="Arial" w:cs="Arial"/>
                <w:position w:val="-6"/>
                <w:sz w:val="16"/>
                <w:szCs w:val="16"/>
              </w:rPr>
              <w:pict w14:anchorId="15CABDA4">
                <v:shape id="_x0000_i1029" type="#_x0000_t75" style="width:38.25pt;height:14.25pt" equationxml="&lt;">
                  <v:imagedata r:id="rId201" o:title="" chromakey="white"/>
                </v:shape>
              </w:pict>
            </w:r>
            <w:r w:rsidRPr="0028459F">
              <w:rPr>
                <w:rFonts w:ascii="Arial" w:eastAsia="SimSun" w:hAnsi="Arial" w:cs="Arial"/>
                <w:sz w:val="16"/>
                <w:szCs w:val="16"/>
              </w:rPr>
              <w:instrText xml:space="preserve"> </w:instrText>
            </w:r>
            <w:r w:rsidRPr="0028459F">
              <w:rPr>
                <w:rFonts w:ascii="Arial" w:eastAsia="SimSun" w:hAnsi="Arial" w:cs="Arial"/>
                <w:sz w:val="16"/>
                <w:szCs w:val="16"/>
              </w:rPr>
              <w:fldChar w:fldCharType="separate"/>
            </w:r>
            <w:r w:rsidR="00A6784C">
              <w:rPr>
                <w:rFonts w:ascii="Arial" w:hAnsi="Arial" w:cs="Arial"/>
                <w:position w:val="-6"/>
                <w:sz w:val="16"/>
                <w:szCs w:val="16"/>
              </w:rPr>
              <w:pict w14:anchorId="1DD9F766">
                <v:shape id="_x0000_i1030" type="#_x0000_t75" style="width:38.25pt;height:14.25pt" equationxml="&lt;">
                  <v:imagedata r:id="rId201" o:title="" chromakey="white"/>
                </v:shape>
              </w:pict>
            </w:r>
            <w:r w:rsidRPr="0028459F">
              <w:rPr>
                <w:rFonts w:ascii="Arial" w:eastAsia="SimSun" w:hAnsi="Arial" w:cs="Arial"/>
                <w:sz w:val="16"/>
                <w:szCs w:val="16"/>
              </w:rPr>
              <w:fldChar w:fldCharType="end"/>
            </w:r>
            <w:r w:rsidRPr="0028459F">
              <w:rPr>
                <w:rFonts w:ascii="Arial" w:eastAsia="SimSun" w:hAnsi="Arial" w:cs="Arial"/>
                <w:sz w:val="16"/>
                <w:szCs w:val="16"/>
              </w:rPr>
              <w:t xml:space="preserve"> SS/PBCH block indexes are mapped at least once to valid PUSCH occasions and associated DM-RS resources within the association period. A UE is provided a number of SS/PBCH block indexes associated with a PUSCH occasion and a DM-RS resource by </w:t>
            </w:r>
            <w:r w:rsidRPr="0028459F">
              <w:rPr>
                <w:rFonts w:ascii="Arial" w:eastAsia="SimSun" w:hAnsi="Arial" w:cs="Arial"/>
                <w:i/>
                <w:iCs/>
                <w:sz w:val="16"/>
                <w:szCs w:val="16"/>
              </w:rPr>
              <w:t>sdt-SSB-PerCG-PUSCH</w:t>
            </w:r>
            <w:r w:rsidRPr="0028459F">
              <w:rPr>
                <w:rFonts w:ascii="Arial" w:eastAsia="SimSun" w:hAnsi="Arial" w:cs="Arial"/>
                <w:sz w:val="16"/>
                <w:szCs w:val="16"/>
              </w:rPr>
              <w:t xml:space="preserve">. If after an integer number of SS/PBCH block indexes to </w:t>
            </w:r>
            <w:r w:rsidRPr="0028459F">
              <w:rPr>
                <w:rFonts w:ascii="Arial" w:eastAsia="SimSun" w:hAnsi="Arial" w:cs="Arial"/>
                <w:sz w:val="16"/>
                <w:szCs w:val="16"/>
                <w:lang w:eastAsia="zh-CN"/>
              </w:rPr>
              <w:t>PUSCH</w:t>
            </w:r>
            <w:r w:rsidRPr="0028459F">
              <w:rPr>
                <w:rFonts w:ascii="Arial" w:eastAsia="SimSun" w:hAnsi="Arial" w:cs="Arial"/>
                <w:sz w:val="16"/>
                <w:szCs w:val="16"/>
              </w:rPr>
              <w:t xml:space="preserve"> occasions and associated DMRS resources mapping cycles within the association period there is a set of</w:t>
            </w:r>
            <w:r w:rsidRPr="0028459F">
              <w:rPr>
                <w:rFonts w:ascii="Arial" w:eastAsia="SimSun" w:hAnsi="Arial" w:cs="Arial"/>
                <w:sz w:val="16"/>
                <w:szCs w:val="16"/>
                <w:lang w:eastAsia="zh-CN"/>
              </w:rPr>
              <w:t xml:space="preserve"> PUSCH</w:t>
            </w:r>
            <w:r w:rsidRPr="0028459F">
              <w:rPr>
                <w:rFonts w:ascii="Arial" w:eastAsia="SimSun" w:hAnsi="Arial" w:cs="Arial"/>
                <w:sz w:val="16"/>
                <w:szCs w:val="16"/>
              </w:rPr>
              <w:t xml:space="preserve"> occasions and associated DMRS resources that are not mapped to </w:t>
            </w:r>
            <w:r w:rsidRPr="0028459F">
              <w:rPr>
                <w:rFonts w:ascii="Arial" w:eastAsia="SimSun" w:hAnsi="Arial" w:cs="Arial"/>
                <w:sz w:val="16"/>
                <w:szCs w:val="16"/>
              </w:rPr>
              <w:fldChar w:fldCharType="begin"/>
            </w:r>
            <w:r w:rsidRPr="0028459F">
              <w:rPr>
                <w:rFonts w:ascii="Arial" w:eastAsia="SimSun" w:hAnsi="Arial" w:cs="Arial"/>
                <w:sz w:val="16"/>
                <w:szCs w:val="16"/>
              </w:rPr>
              <w:instrText xml:space="preserve"> QUOTE </w:instrText>
            </w:r>
            <w:r w:rsidR="00A6784C">
              <w:rPr>
                <w:rFonts w:ascii="Arial" w:hAnsi="Arial" w:cs="Arial"/>
                <w:position w:val="-6"/>
                <w:sz w:val="16"/>
                <w:szCs w:val="16"/>
              </w:rPr>
              <w:pict w14:anchorId="4DF4CE15">
                <v:shape id="_x0000_i1031" type="#_x0000_t75" style="width:38.25pt;height:14.25pt" equationxml="&lt;">
                  <v:imagedata r:id="rId201" o:title="" chromakey="white"/>
                </v:shape>
              </w:pict>
            </w:r>
            <w:r w:rsidRPr="0028459F">
              <w:rPr>
                <w:rFonts w:ascii="Arial" w:eastAsia="SimSun" w:hAnsi="Arial" w:cs="Arial"/>
                <w:sz w:val="16"/>
                <w:szCs w:val="16"/>
              </w:rPr>
              <w:instrText xml:space="preserve"> </w:instrText>
            </w:r>
            <w:r w:rsidRPr="0028459F">
              <w:rPr>
                <w:rFonts w:ascii="Arial" w:eastAsia="SimSun" w:hAnsi="Arial" w:cs="Arial"/>
                <w:sz w:val="16"/>
                <w:szCs w:val="16"/>
              </w:rPr>
              <w:fldChar w:fldCharType="separate"/>
            </w:r>
            <w:r w:rsidR="00A6784C">
              <w:rPr>
                <w:rFonts w:ascii="Arial" w:hAnsi="Arial" w:cs="Arial"/>
                <w:position w:val="-6"/>
                <w:sz w:val="16"/>
                <w:szCs w:val="16"/>
              </w:rPr>
              <w:pict w14:anchorId="4392E727">
                <v:shape id="_x0000_i1032" type="#_x0000_t75" style="width:38.25pt;height:14.25pt" equationxml="&lt;">
                  <v:imagedata r:id="rId201" o:title="" chromakey="white"/>
                </v:shape>
              </w:pict>
            </w:r>
            <w:r w:rsidRPr="0028459F">
              <w:rPr>
                <w:rFonts w:ascii="Arial" w:eastAsia="SimSun" w:hAnsi="Arial" w:cs="Arial"/>
                <w:sz w:val="16"/>
                <w:szCs w:val="16"/>
              </w:rPr>
              <w:fldChar w:fldCharType="end"/>
            </w:r>
            <w:r w:rsidRPr="0028459F">
              <w:rPr>
                <w:rFonts w:ascii="Arial" w:eastAsia="SimSun" w:hAnsi="Arial" w:cs="Arial"/>
                <w:sz w:val="16"/>
                <w:szCs w:val="16"/>
              </w:rPr>
              <w:t xml:space="preserve"> SS/PBCH block indexes, no SS/PBCH block indexes are mapped to the set of</w:t>
            </w:r>
            <w:r w:rsidRPr="0028459F">
              <w:rPr>
                <w:rFonts w:ascii="Arial" w:eastAsia="SimSun" w:hAnsi="Arial" w:cs="Arial"/>
                <w:sz w:val="16"/>
                <w:szCs w:val="16"/>
                <w:lang w:eastAsia="zh-CN"/>
              </w:rPr>
              <w:t xml:space="preserve"> PUSCH</w:t>
            </w:r>
            <w:r w:rsidRPr="0028459F">
              <w:rPr>
                <w:rFonts w:ascii="Arial" w:eastAsia="SimSun" w:hAnsi="Arial" w:cs="Arial"/>
                <w:sz w:val="16"/>
                <w:szCs w:val="16"/>
              </w:rPr>
              <w:t xml:space="preserve"> occasions and associated DMRS resources. An association pattern period includes one or more association periods and is determined so that a pattern between </w:t>
            </w:r>
            <w:r w:rsidRPr="0028459F">
              <w:rPr>
                <w:rFonts w:ascii="Arial" w:eastAsia="SimSun" w:hAnsi="Arial" w:cs="Arial"/>
                <w:sz w:val="16"/>
                <w:szCs w:val="16"/>
                <w:lang w:eastAsia="zh-CN"/>
              </w:rPr>
              <w:t>PUSCH</w:t>
            </w:r>
            <w:r w:rsidRPr="0028459F">
              <w:rPr>
                <w:rFonts w:ascii="Arial" w:eastAsia="SimSun" w:hAnsi="Arial" w:cs="Arial"/>
                <w:sz w:val="16"/>
                <w:szCs w:val="16"/>
              </w:rPr>
              <w:t xml:space="preserve"> occasions with associated DMRS resources and SS/PBCH block indexes repeats at most every 640 msec. </w:t>
            </w:r>
            <w:r w:rsidRPr="0028459F">
              <w:rPr>
                <w:rFonts w:ascii="Arial" w:eastAsia="SimSun" w:hAnsi="Arial" w:cs="Arial"/>
                <w:sz w:val="16"/>
                <w:szCs w:val="16"/>
                <w:lang w:eastAsia="zh-CN"/>
              </w:rPr>
              <w:t>PUSCH</w:t>
            </w:r>
            <w:r w:rsidRPr="0028459F">
              <w:rPr>
                <w:rFonts w:ascii="Arial" w:eastAsia="SimSun" w:hAnsi="Arial" w:cs="Arial"/>
                <w:sz w:val="16"/>
                <w:szCs w:val="16"/>
              </w:rPr>
              <w:t xml:space="preserve"> occasions and associated DMRS resources not associated with SS/PBCH block indexes after an integer number of association periods, if any, are not used for </w:t>
            </w:r>
            <w:r w:rsidRPr="0028459F">
              <w:rPr>
                <w:rFonts w:ascii="Arial" w:eastAsia="SimSun" w:hAnsi="Arial" w:cs="Arial"/>
                <w:sz w:val="16"/>
                <w:szCs w:val="16"/>
                <w:lang w:eastAsia="zh-CN"/>
              </w:rPr>
              <w:t>PUSCH</w:t>
            </w:r>
            <w:r w:rsidRPr="0028459F">
              <w:rPr>
                <w:rFonts w:ascii="Arial" w:eastAsia="SimSun" w:hAnsi="Arial" w:cs="Arial"/>
                <w:sz w:val="16"/>
                <w:szCs w:val="16"/>
              </w:rPr>
              <w:t xml:space="preserve"> transmissions.</w:t>
            </w:r>
          </w:p>
          <w:p w14:paraId="426DDE79" w14:textId="77777777" w:rsidR="0028459F" w:rsidRPr="0028459F" w:rsidRDefault="0028459F" w:rsidP="0028459F">
            <w:pPr>
              <w:widowControl w:val="0"/>
              <w:jc w:val="center"/>
              <w:rPr>
                <w:rFonts w:ascii="Arial" w:hAnsi="Arial" w:cs="Arial"/>
                <w:sz w:val="16"/>
                <w:szCs w:val="16"/>
              </w:rPr>
            </w:pPr>
            <w:r w:rsidRPr="0028459F">
              <w:rPr>
                <w:rFonts w:ascii="Arial" w:hAnsi="Arial" w:cs="Arial"/>
                <w:b/>
                <w:bCs/>
                <w:color w:val="FF0000"/>
                <w:sz w:val="16"/>
                <w:szCs w:val="16"/>
                <w:lang w:eastAsia="zh-CN"/>
              </w:rPr>
              <w:t>&lt; Unchanged text omitted &gt;</w:t>
            </w:r>
          </w:p>
        </w:tc>
      </w:tr>
    </w:tbl>
    <w:p w14:paraId="77C08ACB" w14:textId="77777777" w:rsidR="0028459F" w:rsidRPr="0028459F" w:rsidRDefault="0028459F" w:rsidP="0028459F">
      <w:pPr>
        <w:rPr>
          <w:lang w:val="en-US"/>
        </w:rPr>
      </w:pPr>
    </w:p>
    <w:p w14:paraId="30998376" w14:textId="77777777" w:rsidR="0028459F" w:rsidRPr="0028459F" w:rsidRDefault="0028459F" w:rsidP="0028459F">
      <w:pPr>
        <w:rPr>
          <w:lang w:val="en-US"/>
        </w:rPr>
      </w:pPr>
      <w:r w:rsidRPr="0028459F">
        <w:rPr>
          <w:lang w:val="en-US"/>
        </w:rPr>
        <w:t>Adopt the following TP for TS 38.213 clause 19.1:</w:t>
      </w:r>
    </w:p>
    <w:tbl>
      <w:tblPr>
        <w:tblW w:w="5000" w:type="pct"/>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0683"/>
      </w:tblGrid>
      <w:tr w:rsidR="0028459F" w14:paraId="79047FA0" w14:textId="77777777" w:rsidTr="0028459F">
        <w:tc>
          <w:tcPr>
            <w:tcW w:w="5000" w:type="pct"/>
            <w:tcBorders>
              <w:top w:val="double" w:sz="4" w:space="0" w:color="A5A5A5"/>
              <w:left w:val="double" w:sz="4" w:space="0" w:color="A5A5A5"/>
              <w:bottom w:val="double" w:sz="4" w:space="0" w:color="A5A5A5"/>
              <w:right w:val="double" w:sz="4" w:space="0" w:color="A5A5A5"/>
            </w:tcBorders>
            <w:hideMark/>
          </w:tcPr>
          <w:p w14:paraId="0C550722" w14:textId="77777777" w:rsidR="0028459F" w:rsidRPr="0028459F" w:rsidRDefault="0028459F" w:rsidP="0028459F">
            <w:pPr>
              <w:widowControl w:val="0"/>
              <w:jc w:val="center"/>
              <w:rPr>
                <w:rFonts w:ascii="Arial" w:eastAsia="Times New Roman" w:hAnsi="Arial" w:cs="Arial"/>
                <w:sz w:val="16"/>
                <w:szCs w:val="16"/>
                <w:lang w:val="en-US"/>
              </w:rPr>
            </w:pPr>
            <w:r w:rsidRPr="0028459F">
              <w:rPr>
                <w:rFonts w:ascii="Arial" w:eastAsia="Times New Roman" w:hAnsi="Arial" w:cs="Arial"/>
                <w:b/>
                <w:bCs/>
                <w:color w:val="FF0000"/>
                <w:sz w:val="16"/>
                <w:szCs w:val="16"/>
                <w:lang w:eastAsia="zh-CN"/>
              </w:rPr>
              <w:t>&lt; Unchanged text omitted &gt;</w:t>
            </w:r>
          </w:p>
          <w:p w14:paraId="34FF5ED8" w14:textId="77777777" w:rsidR="0028459F" w:rsidRPr="0028459F" w:rsidRDefault="0028459F" w:rsidP="0028459F">
            <w:pPr>
              <w:rPr>
                <w:rFonts w:ascii="Arial" w:eastAsia="SimSun" w:hAnsi="Arial" w:cs="Arial"/>
                <w:sz w:val="16"/>
                <w:szCs w:val="16"/>
              </w:rPr>
            </w:pPr>
            <w:r w:rsidRPr="0028459F">
              <w:rPr>
                <w:rFonts w:ascii="Arial" w:eastAsia="SimSun" w:hAnsi="Arial" w:cs="Arial"/>
                <w:sz w:val="16"/>
                <w:szCs w:val="16"/>
              </w:rPr>
              <w:t xml:space="preserve">An association period, starting from frame with SFN 0, for mapping </w:t>
            </w:r>
            <w:r w:rsidRPr="0028459F">
              <w:rPr>
                <w:rFonts w:ascii="Arial" w:eastAsia="SimSun" w:hAnsi="Arial" w:cs="Arial"/>
                <w:sz w:val="16"/>
                <w:szCs w:val="16"/>
              </w:rPr>
              <w:fldChar w:fldCharType="begin"/>
            </w:r>
            <w:r w:rsidRPr="0028459F">
              <w:rPr>
                <w:rFonts w:ascii="Arial" w:eastAsia="SimSun" w:hAnsi="Arial" w:cs="Arial"/>
                <w:sz w:val="16"/>
                <w:szCs w:val="16"/>
              </w:rPr>
              <w:instrText xml:space="preserve"> QUOTE </w:instrText>
            </w:r>
            <w:r w:rsidR="00A6784C">
              <w:rPr>
                <w:rFonts w:ascii="Arial" w:hAnsi="Arial" w:cs="Arial"/>
                <w:position w:val="-6"/>
                <w:sz w:val="16"/>
                <w:szCs w:val="16"/>
              </w:rPr>
              <w:pict w14:anchorId="75BA8FBE">
                <v:shape id="_x0000_i1033" type="#_x0000_t75" style="width:38.25pt;height:14.25pt" equationxml="&lt;">
                  <v:imagedata r:id="rId201" o:title="" chromakey="white"/>
                </v:shape>
              </w:pict>
            </w:r>
            <w:r w:rsidRPr="0028459F">
              <w:rPr>
                <w:rFonts w:ascii="Arial" w:eastAsia="SimSun" w:hAnsi="Arial" w:cs="Arial"/>
                <w:sz w:val="16"/>
                <w:szCs w:val="16"/>
              </w:rPr>
              <w:instrText xml:space="preserve"> </w:instrText>
            </w:r>
            <w:r w:rsidRPr="0028459F">
              <w:rPr>
                <w:rFonts w:ascii="Arial" w:eastAsia="SimSun" w:hAnsi="Arial" w:cs="Arial"/>
                <w:sz w:val="16"/>
                <w:szCs w:val="16"/>
              </w:rPr>
              <w:fldChar w:fldCharType="separate"/>
            </w:r>
            <w:r w:rsidR="00A6784C">
              <w:rPr>
                <w:rFonts w:ascii="Arial" w:hAnsi="Arial" w:cs="Arial"/>
                <w:position w:val="-6"/>
                <w:sz w:val="16"/>
                <w:szCs w:val="16"/>
              </w:rPr>
              <w:pict w14:anchorId="11295E4B">
                <v:shape id="_x0000_i1034" type="#_x0000_t75" style="width:38.25pt;height:14.25pt" equationxml="&lt;">
                  <v:imagedata r:id="rId201" o:title="" chromakey="white"/>
                </v:shape>
              </w:pict>
            </w:r>
            <w:r w:rsidRPr="0028459F">
              <w:rPr>
                <w:rFonts w:ascii="Arial" w:eastAsia="SimSun" w:hAnsi="Arial" w:cs="Arial"/>
                <w:sz w:val="16"/>
                <w:szCs w:val="16"/>
              </w:rPr>
              <w:fldChar w:fldCharType="end"/>
            </w:r>
            <w:r w:rsidRPr="0028459F">
              <w:rPr>
                <w:rFonts w:ascii="Arial" w:eastAsia="SimSun" w:hAnsi="Arial" w:cs="Arial"/>
                <w:sz w:val="16"/>
                <w:szCs w:val="16"/>
              </w:rPr>
              <w:t xml:space="preserve"> SS/PBCH block indexes, from the number of SS/PBCH block indexes, to valid PUSCH occasions and associated DM-RS resources is the smallest value in the set </w:t>
            </w:r>
            <w:r w:rsidRPr="0028459F">
              <w:rPr>
                <w:rFonts w:ascii="Arial" w:eastAsia="SimSun" w:hAnsi="Arial" w:cs="Arial"/>
                <w:sz w:val="16"/>
                <w:szCs w:val="16"/>
                <w:lang w:eastAsia="zh-CN"/>
              </w:rPr>
              <w:t xml:space="preserve">determined by the PUSCH configuration period provided by </w:t>
            </w:r>
            <w:r w:rsidRPr="0028459F">
              <w:rPr>
                <w:rFonts w:ascii="Arial" w:eastAsia="SimSun" w:hAnsi="Arial" w:cs="Arial"/>
                <w:i/>
                <w:iCs/>
                <w:sz w:val="16"/>
                <w:szCs w:val="16"/>
                <w:lang w:eastAsia="zh-CN"/>
              </w:rPr>
              <w:t>periodicity</w:t>
            </w:r>
            <w:r w:rsidRPr="0028459F">
              <w:rPr>
                <w:rFonts w:ascii="Arial" w:eastAsia="SimSun" w:hAnsi="Arial" w:cs="Arial"/>
                <w:sz w:val="16"/>
                <w:szCs w:val="16"/>
                <w:lang w:eastAsia="zh-CN"/>
              </w:rPr>
              <w:t xml:space="preserve"> in </w:t>
            </w:r>
            <w:r w:rsidRPr="0028459F">
              <w:rPr>
                <w:rFonts w:ascii="Arial" w:eastAsia="SimSun" w:hAnsi="Arial" w:cs="Arial"/>
                <w:i/>
                <w:iCs/>
                <w:sz w:val="16"/>
                <w:szCs w:val="16"/>
                <w:lang w:eastAsia="zh-CN"/>
              </w:rPr>
              <w:t xml:space="preserve">ConfiguredGrantConfig </w:t>
            </w:r>
            <w:r w:rsidRPr="0028459F">
              <w:rPr>
                <w:rFonts w:ascii="Arial" w:eastAsia="SimSun" w:hAnsi="Arial" w:cs="Arial"/>
                <w:sz w:val="16"/>
                <w:szCs w:val="16"/>
                <w:lang w:eastAsia="zh-CN"/>
              </w:rPr>
              <w:t>according to Table</w:t>
            </w:r>
            <w:r w:rsidRPr="0028459F">
              <w:rPr>
                <w:rFonts w:ascii="Arial" w:eastAsia="SimSun" w:hAnsi="Arial" w:cs="Arial"/>
                <w:sz w:val="16"/>
                <w:szCs w:val="16"/>
              </w:rPr>
              <w:t xml:space="preserve"> 19.1-1 such that </w:t>
            </w:r>
            <w:r w:rsidRPr="0028459F">
              <w:rPr>
                <w:rFonts w:ascii="Arial" w:eastAsia="SimSun" w:hAnsi="Arial" w:cs="Arial"/>
                <w:sz w:val="16"/>
                <w:szCs w:val="16"/>
              </w:rPr>
              <w:fldChar w:fldCharType="begin"/>
            </w:r>
            <w:r w:rsidRPr="0028459F">
              <w:rPr>
                <w:rFonts w:ascii="Arial" w:eastAsia="SimSun" w:hAnsi="Arial" w:cs="Arial"/>
                <w:sz w:val="16"/>
                <w:szCs w:val="16"/>
              </w:rPr>
              <w:instrText xml:space="preserve"> QUOTE </w:instrText>
            </w:r>
            <w:r w:rsidR="00A6784C">
              <w:rPr>
                <w:rFonts w:ascii="Arial" w:hAnsi="Arial" w:cs="Arial"/>
                <w:position w:val="-6"/>
                <w:sz w:val="16"/>
                <w:szCs w:val="16"/>
              </w:rPr>
              <w:pict w14:anchorId="7B1316DE">
                <v:shape id="_x0000_i1035" type="#_x0000_t75" style="width:38.25pt;height:14.25pt" equationxml="&lt;">
                  <v:imagedata r:id="rId201" o:title="" chromakey="white"/>
                </v:shape>
              </w:pict>
            </w:r>
            <w:r w:rsidRPr="0028459F">
              <w:rPr>
                <w:rFonts w:ascii="Arial" w:eastAsia="SimSun" w:hAnsi="Arial" w:cs="Arial"/>
                <w:sz w:val="16"/>
                <w:szCs w:val="16"/>
              </w:rPr>
              <w:instrText xml:space="preserve"> </w:instrText>
            </w:r>
            <w:r w:rsidRPr="0028459F">
              <w:rPr>
                <w:rFonts w:ascii="Arial" w:eastAsia="SimSun" w:hAnsi="Arial" w:cs="Arial"/>
                <w:sz w:val="16"/>
                <w:szCs w:val="16"/>
              </w:rPr>
              <w:fldChar w:fldCharType="separate"/>
            </w:r>
            <w:r w:rsidR="00A6784C">
              <w:rPr>
                <w:rFonts w:ascii="Arial" w:hAnsi="Arial" w:cs="Arial"/>
                <w:position w:val="-6"/>
                <w:sz w:val="16"/>
                <w:szCs w:val="16"/>
              </w:rPr>
              <w:pict w14:anchorId="2661489F">
                <v:shape id="_x0000_i1036" type="#_x0000_t75" style="width:38.25pt;height:14.25pt" equationxml="&lt;">
                  <v:imagedata r:id="rId201" o:title="" chromakey="white"/>
                </v:shape>
              </w:pict>
            </w:r>
            <w:r w:rsidRPr="0028459F">
              <w:rPr>
                <w:rFonts w:ascii="Arial" w:eastAsia="SimSun" w:hAnsi="Arial" w:cs="Arial"/>
                <w:sz w:val="16"/>
                <w:szCs w:val="16"/>
              </w:rPr>
              <w:fldChar w:fldCharType="end"/>
            </w:r>
            <w:r w:rsidRPr="0028459F">
              <w:rPr>
                <w:rFonts w:ascii="Arial" w:eastAsia="SimSun" w:hAnsi="Arial" w:cs="Arial"/>
                <w:sz w:val="16"/>
                <w:szCs w:val="16"/>
              </w:rPr>
              <w:t xml:space="preserve"> SS/PBCH block indexes are mapped at least once to valid PUSCH occasions and associated DM-RS resources within the association period. A UE is provided a number of SS/PBCH block indexes associated with a PUSCH occasion and a DM-RS resource by </w:t>
            </w:r>
            <w:r w:rsidRPr="0028459F">
              <w:rPr>
                <w:rFonts w:ascii="Arial" w:eastAsia="SimSun" w:hAnsi="Arial" w:cs="Arial"/>
                <w:i/>
                <w:iCs/>
                <w:sz w:val="16"/>
                <w:szCs w:val="16"/>
              </w:rPr>
              <w:t>sdt-SSB-PerCG-PUSCH</w:t>
            </w:r>
            <w:r w:rsidRPr="0028459F">
              <w:rPr>
                <w:rFonts w:ascii="Arial" w:eastAsia="SimSun" w:hAnsi="Arial" w:cs="Arial"/>
                <w:sz w:val="16"/>
                <w:szCs w:val="16"/>
              </w:rPr>
              <w:t xml:space="preserve">. If after an integer number of SS/PBCH block indexes to </w:t>
            </w:r>
            <w:r w:rsidRPr="0028459F">
              <w:rPr>
                <w:rFonts w:ascii="Arial" w:eastAsia="SimSun" w:hAnsi="Arial" w:cs="Arial"/>
                <w:sz w:val="16"/>
                <w:szCs w:val="16"/>
                <w:lang w:eastAsia="zh-CN"/>
              </w:rPr>
              <w:t>PUSCH</w:t>
            </w:r>
            <w:r w:rsidRPr="0028459F">
              <w:rPr>
                <w:rFonts w:ascii="Arial" w:eastAsia="SimSun" w:hAnsi="Arial" w:cs="Arial"/>
                <w:sz w:val="16"/>
                <w:szCs w:val="16"/>
              </w:rPr>
              <w:t xml:space="preserve"> occasions and associated DMRS resources mapping cycles within the association period there is a set of</w:t>
            </w:r>
            <w:r w:rsidRPr="0028459F">
              <w:rPr>
                <w:rFonts w:ascii="Arial" w:eastAsia="SimSun" w:hAnsi="Arial" w:cs="Arial"/>
                <w:sz w:val="16"/>
                <w:szCs w:val="16"/>
                <w:lang w:eastAsia="zh-CN"/>
              </w:rPr>
              <w:t xml:space="preserve"> PUSCH</w:t>
            </w:r>
            <w:r w:rsidRPr="0028459F">
              <w:rPr>
                <w:rFonts w:ascii="Arial" w:eastAsia="SimSun" w:hAnsi="Arial" w:cs="Arial"/>
                <w:sz w:val="16"/>
                <w:szCs w:val="16"/>
              </w:rPr>
              <w:t xml:space="preserve"> occasions and associated DMRS resources that are not mapped to </w:t>
            </w:r>
            <w:r w:rsidRPr="0028459F">
              <w:rPr>
                <w:rFonts w:ascii="Arial" w:eastAsia="SimSun" w:hAnsi="Arial" w:cs="Arial"/>
                <w:sz w:val="16"/>
                <w:szCs w:val="16"/>
              </w:rPr>
              <w:fldChar w:fldCharType="begin"/>
            </w:r>
            <w:r w:rsidRPr="0028459F">
              <w:rPr>
                <w:rFonts w:ascii="Arial" w:eastAsia="SimSun" w:hAnsi="Arial" w:cs="Arial"/>
                <w:sz w:val="16"/>
                <w:szCs w:val="16"/>
              </w:rPr>
              <w:instrText xml:space="preserve"> QUOTE </w:instrText>
            </w:r>
            <w:r w:rsidR="00A6784C">
              <w:rPr>
                <w:rFonts w:ascii="Arial" w:hAnsi="Arial" w:cs="Arial"/>
                <w:position w:val="-6"/>
                <w:sz w:val="16"/>
                <w:szCs w:val="16"/>
              </w:rPr>
              <w:pict w14:anchorId="7D2BCCE8">
                <v:shape id="_x0000_i1037" type="#_x0000_t75" style="width:38.25pt;height:14.25pt" equationxml="&lt;">
                  <v:imagedata r:id="rId201" o:title="" chromakey="white"/>
                </v:shape>
              </w:pict>
            </w:r>
            <w:r w:rsidRPr="0028459F">
              <w:rPr>
                <w:rFonts w:ascii="Arial" w:eastAsia="SimSun" w:hAnsi="Arial" w:cs="Arial"/>
                <w:sz w:val="16"/>
                <w:szCs w:val="16"/>
              </w:rPr>
              <w:instrText xml:space="preserve"> </w:instrText>
            </w:r>
            <w:r w:rsidRPr="0028459F">
              <w:rPr>
                <w:rFonts w:ascii="Arial" w:eastAsia="SimSun" w:hAnsi="Arial" w:cs="Arial"/>
                <w:sz w:val="16"/>
                <w:szCs w:val="16"/>
              </w:rPr>
              <w:fldChar w:fldCharType="separate"/>
            </w:r>
            <w:r w:rsidR="00A6784C">
              <w:rPr>
                <w:rFonts w:ascii="Arial" w:hAnsi="Arial" w:cs="Arial"/>
                <w:position w:val="-6"/>
                <w:sz w:val="16"/>
                <w:szCs w:val="16"/>
              </w:rPr>
              <w:pict w14:anchorId="1460D59F">
                <v:shape id="_x0000_i1038" type="#_x0000_t75" style="width:38.25pt;height:14.25pt" equationxml="&lt;">
                  <v:imagedata r:id="rId201" o:title="" chromakey="white"/>
                </v:shape>
              </w:pict>
            </w:r>
            <w:r w:rsidRPr="0028459F">
              <w:rPr>
                <w:rFonts w:ascii="Arial" w:eastAsia="SimSun" w:hAnsi="Arial" w:cs="Arial"/>
                <w:sz w:val="16"/>
                <w:szCs w:val="16"/>
              </w:rPr>
              <w:fldChar w:fldCharType="end"/>
            </w:r>
            <w:r w:rsidRPr="0028459F">
              <w:rPr>
                <w:rFonts w:ascii="Arial" w:eastAsia="SimSun" w:hAnsi="Arial" w:cs="Arial"/>
                <w:sz w:val="16"/>
                <w:szCs w:val="16"/>
              </w:rPr>
              <w:t xml:space="preserve"> SS/PBCH block indexes, no SS/PBCH block indexes are mapped to the set of</w:t>
            </w:r>
            <w:r w:rsidRPr="0028459F">
              <w:rPr>
                <w:rFonts w:ascii="Arial" w:eastAsia="SimSun" w:hAnsi="Arial" w:cs="Arial"/>
                <w:sz w:val="16"/>
                <w:szCs w:val="16"/>
                <w:lang w:eastAsia="zh-CN"/>
              </w:rPr>
              <w:t xml:space="preserve"> PUSCH</w:t>
            </w:r>
            <w:r w:rsidRPr="0028459F">
              <w:rPr>
                <w:rFonts w:ascii="Arial" w:eastAsia="SimSun" w:hAnsi="Arial" w:cs="Arial"/>
                <w:sz w:val="16"/>
                <w:szCs w:val="16"/>
              </w:rPr>
              <w:t xml:space="preserve"> occasions and associated DMRS resources. An association pattern period</w:t>
            </w:r>
            <w:r w:rsidRPr="0028459F">
              <w:rPr>
                <w:rFonts w:ascii="Arial" w:eastAsia="SimSun" w:hAnsi="Arial" w:cs="Arial"/>
                <w:color w:val="FF0000"/>
                <w:sz w:val="16"/>
                <w:szCs w:val="16"/>
              </w:rPr>
              <w:t>,</w:t>
            </w:r>
            <w:r w:rsidRPr="0028459F">
              <w:rPr>
                <w:rFonts w:ascii="Arial" w:eastAsia="SimSun" w:hAnsi="Arial" w:cs="Arial"/>
                <w:color w:val="FF0000"/>
                <w:sz w:val="16"/>
                <w:szCs w:val="16"/>
                <w:lang w:val="en-US" w:eastAsia="zh-CN"/>
              </w:rPr>
              <w:t xml:space="preserve"> when </w:t>
            </w:r>
            <w:r w:rsidRPr="0028459F">
              <w:rPr>
                <w:rFonts w:ascii="Arial" w:hAnsi="Arial" w:cs="Arial"/>
                <w:color w:val="FF0000"/>
                <w:sz w:val="16"/>
                <w:szCs w:val="16"/>
                <w:lang w:eastAsia="zh-CN"/>
              </w:rPr>
              <w:t>PUSCH configuration</w:t>
            </w:r>
            <w:r w:rsidRPr="0028459F">
              <w:rPr>
                <w:rFonts w:ascii="Arial" w:hAnsi="Arial" w:cs="Arial"/>
                <w:color w:val="FF0000"/>
                <w:sz w:val="16"/>
                <w:szCs w:val="16"/>
              </w:rPr>
              <w:t xml:space="preserve"> period</w:t>
            </w:r>
            <w:r w:rsidRPr="0028459F">
              <w:rPr>
                <w:rFonts w:ascii="Arial" w:eastAsia="SimSun" w:hAnsi="Arial" w:cs="Arial"/>
                <w:color w:val="FF0000"/>
                <w:sz w:val="16"/>
                <w:szCs w:val="16"/>
                <w:lang w:val="en-US" w:eastAsia="zh-CN"/>
              </w:rPr>
              <w:t xml:space="preserve"> is no longer than 640 msec,</w:t>
            </w:r>
            <w:r w:rsidRPr="0028459F">
              <w:rPr>
                <w:rFonts w:ascii="Arial" w:eastAsia="SimSun" w:hAnsi="Arial" w:cs="Arial"/>
                <w:sz w:val="16"/>
                <w:szCs w:val="16"/>
              </w:rPr>
              <w:t xml:space="preserve"> includes one or more association periods and is determined so that a pattern between </w:t>
            </w:r>
            <w:r w:rsidRPr="0028459F">
              <w:rPr>
                <w:rFonts w:ascii="Arial" w:eastAsia="SimSun" w:hAnsi="Arial" w:cs="Arial"/>
                <w:sz w:val="16"/>
                <w:szCs w:val="16"/>
                <w:lang w:eastAsia="zh-CN"/>
              </w:rPr>
              <w:t>PUSCH</w:t>
            </w:r>
            <w:r w:rsidRPr="0028459F">
              <w:rPr>
                <w:rFonts w:ascii="Arial" w:eastAsia="SimSun" w:hAnsi="Arial" w:cs="Arial"/>
                <w:sz w:val="16"/>
                <w:szCs w:val="16"/>
              </w:rPr>
              <w:t xml:space="preserve"> occasions with associated DMRS resources and SS/PBCH block indexes repeats at most every 640 msec. </w:t>
            </w:r>
            <w:r w:rsidRPr="0028459F">
              <w:rPr>
                <w:rFonts w:ascii="Arial" w:eastAsia="SimSun" w:hAnsi="Arial" w:cs="Arial"/>
                <w:sz w:val="16"/>
                <w:szCs w:val="16"/>
                <w:lang w:eastAsia="zh-CN"/>
              </w:rPr>
              <w:t>PUSCH</w:t>
            </w:r>
            <w:r w:rsidRPr="0028459F">
              <w:rPr>
                <w:rFonts w:ascii="Arial" w:eastAsia="SimSun" w:hAnsi="Arial" w:cs="Arial"/>
                <w:sz w:val="16"/>
                <w:szCs w:val="16"/>
              </w:rPr>
              <w:t xml:space="preserve"> occasions and associated DMRS resources not associated with SS/PBCH block indexes after an integer number of association periods, if any, are not used for </w:t>
            </w:r>
            <w:r w:rsidRPr="0028459F">
              <w:rPr>
                <w:rFonts w:ascii="Arial" w:eastAsia="SimSun" w:hAnsi="Arial" w:cs="Arial"/>
                <w:sz w:val="16"/>
                <w:szCs w:val="16"/>
                <w:lang w:eastAsia="zh-CN"/>
              </w:rPr>
              <w:t>PUSCH</w:t>
            </w:r>
            <w:r w:rsidRPr="0028459F">
              <w:rPr>
                <w:rFonts w:ascii="Arial" w:eastAsia="SimSun" w:hAnsi="Arial" w:cs="Arial"/>
                <w:sz w:val="16"/>
                <w:szCs w:val="16"/>
              </w:rPr>
              <w:t xml:space="preserve"> transmissions.</w:t>
            </w:r>
          </w:p>
          <w:p w14:paraId="43E666DA" w14:textId="77777777" w:rsidR="0028459F" w:rsidRPr="0028459F" w:rsidRDefault="0028459F" w:rsidP="0028459F">
            <w:pPr>
              <w:widowControl w:val="0"/>
              <w:jc w:val="center"/>
              <w:rPr>
                <w:rFonts w:ascii="Arial" w:eastAsia="Times New Roman" w:hAnsi="Arial" w:cs="Arial"/>
                <w:sz w:val="16"/>
                <w:szCs w:val="16"/>
                <w:lang w:val="en-US"/>
              </w:rPr>
            </w:pPr>
            <w:r w:rsidRPr="0028459F">
              <w:rPr>
                <w:rFonts w:ascii="Arial" w:eastAsia="Times New Roman" w:hAnsi="Arial" w:cs="Arial"/>
                <w:b/>
                <w:bCs/>
                <w:color w:val="FF0000"/>
                <w:sz w:val="16"/>
                <w:szCs w:val="16"/>
                <w:lang w:eastAsia="zh-CN"/>
              </w:rPr>
              <w:t>&lt; Unchanged text omitted &gt;</w:t>
            </w:r>
          </w:p>
        </w:tc>
      </w:tr>
    </w:tbl>
    <w:p w14:paraId="1DD545E4" w14:textId="2F8623EF" w:rsidR="000D6E86" w:rsidRPr="000D6E86" w:rsidRDefault="005A18DC" w:rsidP="000D6E86">
      <w:pPr>
        <w:rPr>
          <w:b/>
          <w:bCs/>
          <w:lang w:eastAsia="x-none"/>
        </w:rPr>
      </w:pPr>
      <w:hyperlink r:id="rId202" w:history="1">
        <w:r w:rsidR="00AF7253">
          <w:rPr>
            <w:rStyle w:val="Hyperlink"/>
            <w:b/>
            <w:bCs/>
            <w:lang w:eastAsia="x-none"/>
          </w:rPr>
          <w:t>R1-2312449</w:t>
        </w:r>
      </w:hyperlink>
      <w:r w:rsidR="000D6E86" w:rsidRPr="000D6E86">
        <w:rPr>
          <w:b/>
          <w:bCs/>
          <w:lang w:eastAsia="x-none"/>
        </w:rPr>
        <w:tab/>
        <w:t>Introduction of extended CG-SDT periodicities</w:t>
      </w:r>
      <w:r w:rsidR="000D6E86" w:rsidRPr="000D6E86">
        <w:rPr>
          <w:b/>
          <w:bCs/>
          <w:lang w:eastAsia="x-none"/>
        </w:rPr>
        <w:tab/>
        <w:t>Moderator (Ericsson), ZTE, Samsung, Ericsson</w:t>
      </w:r>
    </w:p>
    <w:p w14:paraId="1E4ADA0D" w14:textId="77777777" w:rsidR="000D6E86" w:rsidRPr="000D6E86" w:rsidRDefault="0028459F" w:rsidP="0028459F">
      <w:pPr>
        <w:rPr>
          <w:lang w:val="en-US"/>
        </w:rPr>
      </w:pPr>
      <w:r w:rsidRPr="000D6E86">
        <w:rPr>
          <w:lang w:val="en-US"/>
        </w:rPr>
        <w:t>Final CR in</w:t>
      </w:r>
    </w:p>
    <w:p w14:paraId="06341A55" w14:textId="11C06E7D" w:rsidR="000D6E86" w:rsidRPr="000D6E86" w:rsidRDefault="005A18DC" w:rsidP="001B19F9">
      <w:pPr>
        <w:rPr>
          <w:b/>
          <w:bCs/>
          <w:lang w:val="en-US"/>
        </w:rPr>
      </w:pPr>
      <w:hyperlink r:id="rId203" w:history="1">
        <w:r w:rsidR="00AF7253">
          <w:rPr>
            <w:rStyle w:val="Hyperlink"/>
            <w:b/>
            <w:bCs/>
            <w:highlight w:val="green"/>
            <w:lang w:val="en-US"/>
          </w:rPr>
          <w:t>R1-2312658</w:t>
        </w:r>
      </w:hyperlink>
      <w:r w:rsidR="000D6E86" w:rsidRPr="000D6E86">
        <w:rPr>
          <w:b/>
          <w:bCs/>
          <w:lang w:val="en-US"/>
        </w:rPr>
        <w:tab/>
        <w:t>Introduction of extended CG-SDT periodicities [CG-SDT-Enh]</w:t>
      </w:r>
      <w:r w:rsidR="000D6E86" w:rsidRPr="000D6E86">
        <w:rPr>
          <w:b/>
          <w:bCs/>
          <w:lang w:val="en-US"/>
        </w:rPr>
        <w:tab/>
        <w:t>Moderator (Ericsson), ZTE, Samsung, xiaomi, Ericsson</w:t>
      </w:r>
    </w:p>
    <w:p w14:paraId="74329BB2" w14:textId="376D5577" w:rsidR="001B19F9" w:rsidRDefault="000D6E86" w:rsidP="001B19F9">
      <w:pPr>
        <w:rPr>
          <w:lang w:val="en-US"/>
        </w:rPr>
      </w:pPr>
      <w:r>
        <w:rPr>
          <w:lang w:val="en-US"/>
        </w:rPr>
        <w:t>(</w:t>
      </w:r>
      <w:r w:rsidRPr="000D6E86">
        <w:rPr>
          <w:lang w:val="en-US"/>
        </w:rPr>
        <w:t>Rel-18</w:t>
      </w:r>
      <w:r>
        <w:rPr>
          <w:lang w:val="en-US"/>
        </w:rPr>
        <w:t xml:space="preserve">, </w:t>
      </w:r>
      <w:r w:rsidRPr="000D6E86">
        <w:rPr>
          <w:lang w:val="en-US"/>
        </w:rPr>
        <w:t>38.213</w:t>
      </w:r>
      <w:r>
        <w:rPr>
          <w:lang w:val="en-US"/>
        </w:rPr>
        <w:t xml:space="preserve">, </w:t>
      </w:r>
      <w:r w:rsidRPr="000D6E86">
        <w:rPr>
          <w:lang w:val="en-US"/>
        </w:rPr>
        <w:t>TEI18</w:t>
      </w:r>
      <w:r>
        <w:rPr>
          <w:lang w:val="en-US"/>
        </w:rPr>
        <w:t>, CR</w:t>
      </w:r>
      <w:r w:rsidRPr="000D6E86">
        <w:rPr>
          <w:lang w:val="en-US"/>
        </w:rPr>
        <w:t>0562</w:t>
      </w:r>
      <w:r>
        <w:rPr>
          <w:lang w:val="en-US"/>
        </w:rPr>
        <w:t>, Cat B) is agreed.</w:t>
      </w:r>
    </w:p>
    <w:p w14:paraId="2827327A" w14:textId="77777777" w:rsidR="000D6E86" w:rsidRPr="0028459F" w:rsidRDefault="000D6E86" w:rsidP="001B19F9">
      <w:pPr>
        <w:rPr>
          <w:lang w:val="en-US" w:eastAsia="x-none"/>
        </w:rPr>
      </w:pPr>
    </w:p>
    <w:p w14:paraId="718A0ED3" w14:textId="77777777" w:rsidR="00D35BC3" w:rsidRPr="009537ED" w:rsidRDefault="00D35BC3" w:rsidP="00D35BC3">
      <w:pPr>
        <w:rPr>
          <w:lang w:eastAsia="x-none"/>
        </w:rPr>
      </w:pPr>
      <w:r w:rsidRPr="009537ED">
        <w:rPr>
          <w:lang w:eastAsia="x-none"/>
        </w:rPr>
        <w:t>-----------------------</w:t>
      </w:r>
    </w:p>
    <w:p w14:paraId="1DAF553D" w14:textId="1C6D4D62" w:rsidR="00835CB1" w:rsidRPr="009537ED" w:rsidRDefault="00835CB1" w:rsidP="00835CB1">
      <w:pPr>
        <w:rPr>
          <w:b/>
          <w:lang w:eastAsia="x-none"/>
        </w:rPr>
      </w:pPr>
      <w:r w:rsidRPr="009537ED">
        <w:rPr>
          <w:b/>
          <w:lang w:eastAsia="x-none"/>
        </w:rPr>
        <w:t>Follow up discussion on</w:t>
      </w:r>
      <w:r w:rsidRPr="009537ED">
        <w:rPr>
          <w:b/>
        </w:rPr>
        <w:t xml:space="preserve"> </w:t>
      </w:r>
      <w:hyperlink r:id="rId204" w:history="1">
        <w:r w:rsidR="00AF7253">
          <w:rPr>
            <w:rStyle w:val="Hyperlink"/>
            <w:b/>
          </w:rPr>
          <w:t>R1-2308806</w:t>
        </w:r>
      </w:hyperlink>
      <w:r w:rsidRPr="009537ED">
        <w:rPr>
          <w:b/>
          <w:lang w:eastAsia="x-none"/>
        </w:rPr>
        <w:t xml:space="preserve"> from RAN1#114bis</w:t>
      </w:r>
    </w:p>
    <w:p w14:paraId="6A65B6AF" w14:textId="4BD5F844" w:rsidR="00835CB1" w:rsidRPr="009537ED" w:rsidRDefault="005A18DC" w:rsidP="00835CB1">
      <w:pPr>
        <w:rPr>
          <w:lang w:eastAsia="x-none"/>
        </w:rPr>
      </w:pPr>
      <w:hyperlink r:id="rId205" w:history="1">
        <w:r w:rsidR="00AF7253">
          <w:rPr>
            <w:rStyle w:val="Hyperlink"/>
            <w:lang w:eastAsia="x-none"/>
          </w:rPr>
          <w:t>R1-2311804</w:t>
        </w:r>
      </w:hyperlink>
      <w:r w:rsidR="00835CB1" w:rsidRPr="009537ED">
        <w:rPr>
          <w:lang w:eastAsia="x-none"/>
        </w:rPr>
        <w:tab/>
        <w:t>Discussion on report quantity parameter setting for CQI reporting with 1Tx</w:t>
      </w:r>
      <w:r w:rsidR="00835CB1" w:rsidRPr="009537ED">
        <w:rPr>
          <w:lang w:eastAsia="x-none"/>
        </w:rPr>
        <w:tab/>
        <w:t>Samsung</w:t>
      </w:r>
    </w:p>
    <w:p w14:paraId="5B1E5A3F" w14:textId="77777777" w:rsidR="00835CB1" w:rsidRPr="009537ED" w:rsidRDefault="00835CB1" w:rsidP="00835CB1">
      <w:pPr>
        <w:rPr>
          <w:lang w:eastAsia="x-none"/>
        </w:rPr>
      </w:pPr>
      <w:r w:rsidRPr="009537ED">
        <w:rPr>
          <w:lang w:eastAsia="x-none"/>
        </w:rPr>
        <w:lastRenderedPageBreak/>
        <w:t>Moved to agenda item 7.1.</w:t>
      </w:r>
    </w:p>
    <w:p w14:paraId="36791AB3" w14:textId="77777777" w:rsidR="00835CB1" w:rsidRPr="009537ED" w:rsidRDefault="00835CB1" w:rsidP="00835CB1">
      <w:pPr>
        <w:rPr>
          <w:lang w:eastAsia="x-none"/>
        </w:rPr>
      </w:pPr>
    </w:p>
    <w:p w14:paraId="2339C070" w14:textId="77777777" w:rsidR="004A01D9" w:rsidRPr="009537ED" w:rsidRDefault="004A01D9" w:rsidP="004A01D9">
      <w:pPr>
        <w:rPr>
          <w:lang w:eastAsia="x-none"/>
        </w:rPr>
      </w:pPr>
      <w:r w:rsidRPr="009537ED">
        <w:rPr>
          <w:lang w:eastAsia="x-none"/>
        </w:rPr>
        <w:t>-----------------------</w:t>
      </w:r>
    </w:p>
    <w:p w14:paraId="5F020983" w14:textId="41FEEE74" w:rsidR="00835CB1" w:rsidRPr="009537ED" w:rsidRDefault="00835CB1" w:rsidP="00835CB1">
      <w:pPr>
        <w:rPr>
          <w:b/>
          <w:lang w:eastAsia="x-none"/>
        </w:rPr>
      </w:pPr>
      <w:r w:rsidRPr="009537ED">
        <w:rPr>
          <w:b/>
          <w:lang w:eastAsia="x-none"/>
        </w:rPr>
        <w:t>Follow up discussion on</w:t>
      </w:r>
      <w:r w:rsidRPr="009537ED">
        <w:rPr>
          <w:b/>
        </w:rPr>
        <w:t xml:space="preserve"> </w:t>
      </w:r>
      <w:hyperlink r:id="rId206" w:history="1">
        <w:r w:rsidR="00AF7253">
          <w:rPr>
            <w:rStyle w:val="Hyperlink"/>
            <w:b/>
          </w:rPr>
          <w:t>R1-2308910</w:t>
        </w:r>
      </w:hyperlink>
      <w:r w:rsidRPr="009537ED">
        <w:rPr>
          <w:b/>
          <w:lang w:eastAsia="x-none"/>
        </w:rPr>
        <w:t xml:space="preserve"> from RAN1#114</w:t>
      </w:r>
    </w:p>
    <w:p w14:paraId="6C33C12D" w14:textId="4125B9C7" w:rsidR="00835CB1" w:rsidRPr="009537ED" w:rsidRDefault="005A18DC" w:rsidP="00835CB1">
      <w:pPr>
        <w:rPr>
          <w:lang w:eastAsia="x-none"/>
        </w:rPr>
      </w:pPr>
      <w:hyperlink r:id="rId207" w:history="1">
        <w:r w:rsidR="00AF7253">
          <w:rPr>
            <w:rStyle w:val="Hyperlink"/>
            <w:lang w:eastAsia="x-none"/>
          </w:rPr>
          <w:t>R1-2310876</w:t>
        </w:r>
      </w:hyperlink>
      <w:r w:rsidR="00835CB1" w:rsidRPr="009537ED">
        <w:rPr>
          <w:lang w:eastAsia="x-none"/>
        </w:rPr>
        <w:tab/>
        <w:t>Further discussion on LS for RACH-less handover</w:t>
      </w:r>
      <w:r w:rsidR="00835CB1" w:rsidRPr="009537ED">
        <w:rPr>
          <w:lang w:eastAsia="x-none"/>
        </w:rPr>
        <w:tab/>
        <w:t>Huawei, HiSilicon</w:t>
      </w:r>
    </w:p>
    <w:p w14:paraId="1886CC58" w14:textId="533064EF" w:rsidR="00835CB1" w:rsidRPr="009537ED" w:rsidRDefault="005A18DC" w:rsidP="00835CB1">
      <w:pPr>
        <w:rPr>
          <w:lang w:eastAsia="x-none"/>
        </w:rPr>
      </w:pPr>
      <w:hyperlink r:id="rId208" w:history="1">
        <w:r w:rsidR="00AF7253">
          <w:rPr>
            <w:rStyle w:val="Hyperlink"/>
            <w:lang w:eastAsia="x-none"/>
          </w:rPr>
          <w:t>R1-2311064</w:t>
        </w:r>
      </w:hyperlink>
      <w:r w:rsidR="00835CB1" w:rsidRPr="009537ED">
        <w:rPr>
          <w:lang w:eastAsia="x-none"/>
        </w:rPr>
        <w:tab/>
        <w:t>Discussions on RAN2 LS on RACH-less Handover</w:t>
      </w:r>
      <w:r w:rsidR="00835CB1" w:rsidRPr="009537ED">
        <w:rPr>
          <w:lang w:eastAsia="x-none"/>
        </w:rPr>
        <w:tab/>
        <w:t>vivo</w:t>
      </w:r>
    </w:p>
    <w:p w14:paraId="0659FC27" w14:textId="50B672D5" w:rsidR="00835CB1" w:rsidRPr="009537ED" w:rsidRDefault="005A18DC" w:rsidP="00835CB1">
      <w:pPr>
        <w:rPr>
          <w:lang w:eastAsia="x-none"/>
        </w:rPr>
      </w:pPr>
      <w:hyperlink r:id="rId209" w:history="1">
        <w:r w:rsidR="00AF7253">
          <w:rPr>
            <w:rStyle w:val="Hyperlink"/>
            <w:lang w:eastAsia="x-none"/>
          </w:rPr>
          <w:t>R1-2311211</w:t>
        </w:r>
      </w:hyperlink>
      <w:r w:rsidR="00835CB1" w:rsidRPr="009537ED">
        <w:rPr>
          <w:lang w:eastAsia="x-none"/>
        </w:rPr>
        <w:tab/>
        <w:t>Discussion on RAN2 LS on RACH-less Handover</w:t>
      </w:r>
      <w:r w:rsidR="00835CB1" w:rsidRPr="009537ED">
        <w:rPr>
          <w:lang w:eastAsia="x-none"/>
        </w:rPr>
        <w:tab/>
        <w:t>ZTE</w:t>
      </w:r>
    </w:p>
    <w:p w14:paraId="452B0FC7" w14:textId="08CD798A" w:rsidR="00835CB1" w:rsidRPr="009537ED" w:rsidRDefault="005A18DC" w:rsidP="00835CB1">
      <w:pPr>
        <w:rPr>
          <w:lang w:eastAsia="x-none"/>
        </w:rPr>
      </w:pPr>
      <w:hyperlink r:id="rId210" w:history="1">
        <w:r w:rsidR="00AF7253">
          <w:rPr>
            <w:rStyle w:val="Hyperlink"/>
            <w:lang w:eastAsia="x-none"/>
          </w:rPr>
          <w:t>R1-2311249</w:t>
        </w:r>
      </w:hyperlink>
      <w:r w:rsidR="00835CB1" w:rsidRPr="009537ED">
        <w:rPr>
          <w:lang w:eastAsia="x-none"/>
        </w:rPr>
        <w:tab/>
        <w:t>Discussion on remaining issue for RACH less handover for NR NTN</w:t>
      </w:r>
      <w:r w:rsidR="00835CB1" w:rsidRPr="009537ED">
        <w:rPr>
          <w:lang w:eastAsia="x-none"/>
        </w:rPr>
        <w:tab/>
        <w:t>OPPO</w:t>
      </w:r>
    </w:p>
    <w:p w14:paraId="20091432" w14:textId="0D934667" w:rsidR="00835CB1" w:rsidRPr="009537ED" w:rsidRDefault="005A18DC" w:rsidP="00835CB1">
      <w:pPr>
        <w:rPr>
          <w:lang w:eastAsia="x-none"/>
        </w:rPr>
      </w:pPr>
      <w:hyperlink r:id="rId211" w:history="1">
        <w:r w:rsidR="00AF7253">
          <w:rPr>
            <w:rStyle w:val="Hyperlink"/>
            <w:lang w:eastAsia="x-none"/>
          </w:rPr>
          <w:t>R1-2311281</w:t>
        </w:r>
      </w:hyperlink>
      <w:r w:rsidR="00835CB1" w:rsidRPr="009537ED">
        <w:rPr>
          <w:lang w:eastAsia="x-none"/>
        </w:rPr>
        <w:tab/>
        <w:t>Discussion on RAN2 LS on RACH-less handover</w:t>
      </w:r>
      <w:r w:rsidR="00835CB1" w:rsidRPr="009537ED">
        <w:rPr>
          <w:lang w:eastAsia="x-none"/>
        </w:rPr>
        <w:tab/>
        <w:t>Ericsson</w:t>
      </w:r>
    </w:p>
    <w:p w14:paraId="17587FE8" w14:textId="50316C38" w:rsidR="00835CB1" w:rsidRPr="009537ED" w:rsidRDefault="005A18DC" w:rsidP="00835CB1">
      <w:pPr>
        <w:rPr>
          <w:lang w:eastAsia="x-none"/>
        </w:rPr>
      </w:pPr>
      <w:hyperlink r:id="rId212" w:history="1">
        <w:r w:rsidR="00AF7253">
          <w:rPr>
            <w:rStyle w:val="Hyperlink"/>
            <w:lang w:eastAsia="x-none"/>
          </w:rPr>
          <w:t>R1-2311664</w:t>
        </w:r>
      </w:hyperlink>
      <w:r w:rsidR="00835CB1" w:rsidRPr="009537ED">
        <w:rPr>
          <w:lang w:eastAsia="x-none"/>
        </w:rPr>
        <w:tab/>
        <w:t>Discussion on RAN2 LS on RACH-less Handover</w:t>
      </w:r>
      <w:r w:rsidR="00835CB1" w:rsidRPr="009537ED">
        <w:rPr>
          <w:lang w:eastAsia="x-none"/>
        </w:rPr>
        <w:tab/>
        <w:t>Apple</w:t>
      </w:r>
    </w:p>
    <w:p w14:paraId="392FB488" w14:textId="76ECA13D" w:rsidR="00835CB1" w:rsidRPr="009537ED" w:rsidRDefault="005A18DC" w:rsidP="00835CB1">
      <w:pPr>
        <w:rPr>
          <w:lang w:eastAsia="x-none"/>
        </w:rPr>
      </w:pPr>
      <w:hyperlink r:id="rId213" w:history="1">
        <w:r w:rsidR="00AF7253">
          <w:rPr>
            <w:rStyle w:val="Hyperlink"/>
            <w:lang w:eastAsia="x-none"/>
          </w:rPr>
          <w:t>R1-2311805</w:t>
        </w:r>
      </w:hyperlink>
      <w:r w:rsidR="00835CB1" w:rsidRPr="009537ED">
        <w:rPr>
          <w:lang w:eastAsia="x-none"/>
        </w:rPr>
        <w:tab/>
        <w:t>Discussion on RAN2 LS on RACH-less handover</w:t>
      </w:r>
      <w:r w:rsidR="00835CB1" w:rsidRPr="009537ED">
        <w:rPr>
          <w:lang w:eastAsia="x-none"/>
        </w:rPr>
        <w:tab/>
        <w:t>Samsung</w:t>
      </w:r>
    </w:p>
    <w:p w14:paraId="762DA9A8" w14:textId="59D27170" w:rsidR="00835CB1" w:rsidRPr="009537ED" w:rsidRDefault="005A18DC" w:rsidP="00835CB1">
      <w:pPr>
        <w:rPr>
          <w:lang w:eastAsia="x-none"/>
        </w:rPr>
      </w:pPr>
      <w:hyperlink r:id="rId214" w:history="1">
        <w:r w:rsidR="00AF7253">
          <w:rPr>
            <w:rStyle w:val="Hyperlink"/>
            <w:lang w:eastAsia="x-none"/>
          </w:rPr>
          <w:t>R1-2312176</w:t>
        </w:r>
      </w:hyperlink>
      <w:r w:rsidR="00835CB1" w:rsidRPr="009537ED">
        <w:rPr>
          <w:lang w:eastAsia="x-none"/>
        </w:rPr>
        <w:tab/>
        <w:t>Discussions on RAN2 LS on RACH-less Handover</w:t>
      </w:r>
      <w:r w:rsidR="00835CB1" w:rsidRPr="009537ED">
        <w:rPr>
          <w:lang w:eastAsia="x-none"/>
        </w:rPr>
        <w:tab/>
        <w:t>CATT</w:t>
      </w:r>
    </w:p>
    <w:p w14:paraId="50D29395" w14:textId="77777777" w:rsidR="00835CB1" w:rsidRPr="009537ED" w:rsidRDefault="00835CB1" w:rsidP="00835CB1">
      <w:pPr>
        <w:rPr>
          <w:lang w:eastAsia="x-none"/>
        </w:rPr>
      </w:pPr>
      <w:r w:rsidRPr="009537ED">
        <w:rPr>
          <w:lang w:eastAsia="x-none"/>
        </w:rPr>
        <w:t>Continue discussions in agenda item 8.13.</w:t>
      </w:r>
    </w:p>
    <w:p w14:paraId="39749737" w14:textId="77777777" w:rsidR="00835CB1" w:rsidRPr="009537ED" w:rsidRDefault="00835CB1" w:rsidP="00835CB1">
      <w:pPr>
        <w:rPr>
          <w:lang w:eastAsia="x-none"/>
        </w:rPr>
      </w:pPr>
    </w:p>
    <w:p w14:paraId="345A793C" w14:textId="77777777" w:rsidR="004A01D9" w:rsidRPr="009537ED" w:rsidRDefault="004A01D9" w:rsidP="004A01D9">
      <w:pPr>
        <w:rPr>
          <w:lang w:eastAsia="x-none"/>
        </w:rPr>
      </w:pPr>
      <w:r w:rsidRPr="009537ED">
        <w:rPr>
          <w:lang w:eastAsia="x-none"/>
        </w:rPr>
        <w:t>-----------------------</w:t>
      </w:r>
    </w:p>
    <w:p w14:paraId="48D9FBE3" w14:textId="0B72921C" w:rsidR="00835CB1" w:rsidRPr="009537ED" w:rsidRDefault="00835CB1" w:rsidP="00835CB1">
      <w:pPr>
        <w:rPr>
          <w:lang w:eastAsia="x-none"/>
        </w:rPr>
      </w:pPr>
      <w:r w:rsidRPr="009537ED">
        <w:rPr>
          <w:rFonts w:eastAsia="Malgun Gothic" w:cs="Times"/>
          <w:b/>
          <w:bCs/>
          <w:color w:val="000000"/>
          <w:szCs w:val="20"/>
          <w:bdr w:val="none" w:sz="0" w:space="0" w:color="auto" w:frame="1"/>
          <w:shd w:val="clear" w:color="auto" w:fill="FFFFFF"/>
        </w:rPr>
        <w:t>Follow up discussion</w:t>
      </w:r>
      <w:r w:rsidR="004A01D9" w:rsidRPr="009537ED">
        <w:rPr>
          <w:rFonts w:eastAsia="Malgun Gothic" w:cs="Times"/>
          <w:b/>
          <w:bCs/>
          <w:color w:val="000000"/>
          <w:szCs w:val="20"/>
          <w:bdr w:val="none" w:sz="0" w:space="0" w:color="auto" w:frame="1"/>
          <w:shd w:val="clear" w:color="auto" w:fill="FFFFFF"/>
        </w:rPr>
        <w:t xml:space="preserve"> </w:t>
      </w:r>
      <w:r w:rsidRPr="009537ED">
        <w:rPr>
          <w:rFonts w:eastAsia="Malgun Gothic" w:cs="Times"/>
          <w:b/>
          <w:bCs/>
          <w:color w:val="000000"/>
          <w:szCs w:val="20"/>
          <w:bdr w:val="none" w:sz="0" w:space="0" w:color="auto" w:frame="1"/>
          <w:shd w:val="clear" w:color="auto" w:fill="FFFFFF"/>
        </w:rPr>
        <w:t>on</w:t>
      </w:r>
      <w:r w:rsidR="004A01D9" w:rsidRPr="009537ED">
        <w:rPr>
          <w:rFonts w:eastAsia="Malgun Gothic" w:cs="Times"/>
          <w:b/>
          <w:bCs/>
          <w:color w:val="000000"/>
          <w:szCs w:val="20"/>
          <w:bdr w:val="none" w:sz="0" w:space="0" w:color="auto" w:frame="1"/>
          <w:shd w:val="clear" w:color="auto" w:fill="FFFFFF"/>
        </w:rPr>
        <w:t xml:space="preserve"> </w:t>
      </w:r>
      <w:hyperlink r:id="rId215" w:history="1">
        <w:r w:rsidR="00AF7253">
          <w:rPr>
            <w:rStyle w:val="Hyperlink"/>
            <w:rFonts w:eastAsia="Malgun Gothic" w:cs="Times"/>
            <w:b/>
            <w:bCs/>
            <w:szCs w:val="20"/>
            <w:bdr w:val="none" w:sz="0" w:space="0" w:color="auto" w:frame="1"/>
            <w:shd w:val="clear" w:color="auto" w:fill="FFFFFF"/>
          </w:rPr>
          <w:t>R1-2304309</w:t>
        </w:r>
      </w:hyperlink>
      <w:r w:rsidRPr="009537ED">
        <w:rPr>
          <w:rFonts w:eastAsia="Malgun Gothic" w:cs="Times"/>
          <w:b/>
          <w:bCs/>
          <w:color w:val="000000"/>
          <w:szCs w:val="20"/>
          <w:bdr w:val="none" w:sz="0" w:space="0" w:color="auto" w:frame="1"/>
          <w:shd w:val="clear" w:color="auto" w:fill="FFFFFF"/>
        </w:rPr>
        <w:t xml:space="preserve"> from RAN1#113</w:t>
      </w:r>
    </w:p>
    <w:p w14:paraId="6DA1044F" w14:textId="4D5C4798" w:rsidR="00835CB1" w:rsidRPr="009537ED" w:rsidRDefault="005A18DC" w:rsidP="00835CB1">
      <w:pPr>
        <w:rPr>
          <w:lang w:eastAsia="x-none"/>
        </w:rPr>
      </w:pPr>
      <w:hyperlink r:id="rId216" w:history="1">
        <w:r w:rsidR="00AF7253">
          <w:rPr>
            <w:rStyle w:val="Hyperlink"/>
            <w:lang w:eastAsia="x-none"/>
          </w:rPr>
          <w:t>R1-2311065</w:t>
        </w:r>
      </w:hyperlink>
      <w:r w:rsidR="00835CB1" w:rsidRPr="009537ED">
        <w:rPr>
          <w:lang w:eastAsia="x-none"/>
        </w:rPr>
        <w:tab/>
        <w:t>Discu</w:t>
      </w:r>
      <w:r w:rsidR="00D35BC3" w:rsidRPr="009537ED">
        <w:rPr>
          <w:lang w:eastAsia="x-none"/>
        </w:rPr>
        <w:t>s</w:t>
      </w:r>
      <w:r w:rsidR="00835CB1" w:rsidRPr="009537ED">
        <w:rPr>
          <w:lang w:eastAsia="x-none"/>
        </w:rPr>
        <w:t>sion of the LS on the system parameters for NTN above 10 GHz</w:t>
      </w:r>
      <w:r w:rsidR="00835CB1" w:rsidRPr="009537ED">
        <w:rPr>
          <w:lang w:eastAsia="x-none"/>
        </w:rPr>
        <w:tab/>
        <w:t>vivo</w:t>
      </w:r>
    </w:p>
    <w:p w14:paraId="552F4A87" w14:textId="3D34B706" w:rsidR="00835CB1" w:rsidRPr="009537ED" w:rsidRDefault="005A18DC" w:rsidP="00835CB1">
      <w:pPr>
        <w:rPr>
          <w:lang w:eastAsia="x-none"/>
        </w:rPr>
      </w:pPr>
      <w:hyperlink r:id="rId217" w:history="1">
        <w:r w:rsidR="00AF7253">
          <w:rPr>
            <w:rStyle w:val="Hyperlink"/>
            <w:lang w:eastAsia="x-none"/>
          </w:rPr>
          <w:t>R1-2311250</w:t>
        </w:r>
      </w:hyperlink>
      <w:r w:rsidR="00835CB1" w:rsidRPr="009537ED">
        <w:rPr>
          <w:lang w:eastAsia="x-none"/>
        </w:rPr>
        <w:tab/>
        <w:t>Discussion on remaining issue for FR2-NTN</w:t>
      </w:r>
      <w:r w:rsidR="00835CB1" w:rsidRPr="009537ED">
        <w:rPr>
          <w:lang w:eastAsia="x-none"/>
        </w:rPr>
        <w:tab/>
        <w:t>OPPO</w:t>
      </w:r>
    </w:p>
    <w:p w14:paraId="124AF264" w14:textId="56003D8D" w:rsidR="00835CB1" w:rsidRPr="009537ED" w:rsidRDefault="005A18DC" w:rsidP="00835CB1">
      <w:pPr>
        <w:rPr>
          <w:lang w:eastAsia="x-none"/>
        </w:rPr>
      </w:pPr>
      <w:hyperlink r:id="rId218" w:history="1">
        <w:r w:rsidR="00AF7253">
          <w:rPr>
            <w:rStyle w:val="Hyperlink"/>
            <w:lang w:eastAsia="x-none"/>
          </w:rPr>
          <w:t>R1-2311806</w:t>
        </w:r>
      </w:hyperlink>
      <w:r w:rsidR="00835CB1" w:rsidRPr="009537ED">
        <w:rPr>
          <w:lang w:eastAsia="x-none"/>
        </w:rPr>
        <w:tab/>
        <w:t>Discussion on RAN4 LS on system parameters for NTN above 10 GHz</w:t>
      </w:r>
      <w:r w:rsidR="00835CB1" w:rsidRPr="009537ED">
        <w:rPr>
          <w:lang w:eastAsia="x-none"/>
        </w:rPr>
        <w:tab/>
        <w:t>Samsung</w:t>
      </w:r>
    </w:p>
    <w:p w14:paraId="60419588" w14:textId="77777777" w:rsidR="00835CB1" w:rsidRPr="009537ED" w:rsidRDefault="00835CB1" w:rsidP="00835CB1">
      <w:pPr>
        <w:rPr>
          <w:lang w:eastAsia="x-none"/>
        </w:rPr>
      </w:pPr>
      <w:r w:rsidRPr="009537ED">
        <w:rPr>
          <w:lang w:eastAsia="x-none"/>
        </w:rPr>
        <w:t>Continue discussions in agenda item 8.13.</w:t>
      </w:r>
    </w:p>
    <w:p w14:paraId="4F126CE1" w14:textId="77777777" w:rsidR="00835CB1" w:rsidRPr="009537ED" w:rsidRDefault="00835CB1" w:rsidP="00835CB1">
      <w:pPr>
        <w:rPr>
          <w:highlight w:val="yellow"/>
          <w:lang w:eastAsia="x-none"/>
        </w:rPr>
      </w:pPr>
    </w:p>
    <w:p w14:paraId="5CC2F51D" w14:textId="77777777" w:rsidR="004A01D9" w:rsidRPr="009537ED" w:rsidRDefault="004A01D9" w:rsidP="004A01D9">
      <w:pPr>
        <w:rPr>
          <w:lang w:eastAsia="x-none"/>
        </w:rPr>
      </w:pPr>
      <w:r w:rsidRPr="009537ED">
        <w:rPr>
          <w:lang w:eastAsia="x-none"/>
        </w:rPr>
        <w:t>-----------------------</w:t>
      </w:r>
    </w:p>
    <w:p w14:paraId="10E7D1DA" w14:textId="71A23581" w:rsidR="00835CB1" w:rsidRPr="009537ED" w:rsidRDefault="00835CB1" w:rsidP="00835CB1">
      <w:pPr>
        <w:rPr>
          <w:b/>
          <w:lang w:eastAsia="x-none"/>
        </w:rPr>
      </w:pPr>
      <w:r w:rsidRPr="009537ED">
        <w:rPr>
          <w:b/>
          <w:lang w:eastAsia="x-none"/>
        </w:rPr>
        <w:t>Follow up discussion on TP for</w:t>
      </w:r>
      <w:r w:rsidRPr="009537ED">
        <w:rPr>
          <w:b/>
        </w:rPr>
        <w:t xml:space="preserve"> multicast reception in RRC_INACTIVE (triggered by </w:t>
      </w:r>
      <w:hyperlink r:id="rId219" w:history="1">
        <w:r w:rsidR="00AF7253">
          <w:rPr>
            <w:rStyle w:val="Hyperlink"/>
            <w:b/>
          </w:rPr>
          <w:t>R1-2304325</w:t>
        </w:r>
      </w:hyperlink>
      <w:r w:rsidRPr="009537ED">
        <w:rPr>
          <w:b/>
        </w:rPr>
        <w:t>)</w:t>
      </w:r>
    </w:p>
    <w:p w14:paraId="286A5111" w14:textId="701C6FFE" w:rsidR="00835CB1" w:rsidRPr="009537ED" w:rsidRDefault="005A18DC" w:rsidP="00835CB1">
      <w:pPr>
        <w:rPr>
          <w:lang w:eastAsia="x-none"/>
        </w:rPr>
      </w:pPr>
      <w:hyperlink r:id="rId220" w:history="1">
        <w:r w:rsidR="00AF7253">
          <w:rPr>
            <w:rStyle w:val="Hyperlink"/>
            <w:lang w:eastAsia="x-none"/>
          </w:rPr>
          <w:t>R1-2311008</w:t>
        </w:r>
      </w:hyperlink>
      <w:r w:rsidR="00835CB1" w:rsidRPr="009537ED">
        <w:rPr>
          <w:lang w:eastAsia="x-none"/>
        </w:rPr>
        <w:tab/>
        <w:t>Discussion on multicast reception in RRC_INACTIVE</w:t>
      </w:r>
      <w:r w:rsidR="00835CB1" w:rsidRPr="009537ED">
        <w:rPr>
          <w:lang w:eastAsia="x-none"/>
        </w:rPr>
        <w:tab/>
        <w:t>ZTE, CBN</w:t>
      </w:r>
    </w:p>
    <w:p w14:paraId="11B4CDD9" w14:textId="2EFF48CE" w:rsidR="00835CB1" w:rsidRPr="009537ED" w:rsidRDefault="005A18DC" w:rsidP="00835CB1">
      <w:pPr>
        <w:rPr>
          <w:lang w:eastAsia="x-none"/>
        </w:rPr>
      </w:pPr>
      <w:hyperlink r:id="rId221" w:history="1">
        <w:r w:rsidR="00AF7253">
          <w:rPr>
            <w:rStyle w:val="Hyperlink"/>
            <w:lang w:eastAsia="x-none"/>
          </w:rPr>
          <w:t>R1-2311467</w:t>
        </w:r>
      </w:hyperlink>
      <w:r w:rsidR="00835CB1" w:rsidRPr="009537ED">
        <w:rPr>
          <w:lang w:eastAsia="x-none"/>
        </w:rPr>
        <w:tab/>
        <w:t>Discussion on multicast reception in RRC_INACTIVE</w:t>
      </w:r>
      <w:r w:rsidR="00835CB1" w:rsidRPr="009537ED">
        <w:rPr>
          <w:lang w:eastAsia="x-none"/>
        </w:rPr>
        <w:tab/>
        <w:t>CMCC</w:t>
      </w:r>
    </w:p>
    <w:p w14:paraId="6049BB0C" w14:textId="58D409AC" w:rsidR="00835CB1" w:rsidRPr="009537ED" w:rsidRDefault="005A18DC" w:rsidP="00835CB1">
      <w:pPr>
        <w:rPr>
          <w:lang w:eastAsia="x-none"/>
        </w:rPr>
      </w:pPr>
      <w:hyperlink r:id="rId222" w:history="1">
        <w:r w:rsidR="00AF7253">
          <w:rPr>
            <w:rStyle w:val="Hyperlink"/>
            <w:lang w:eastAsia="x-none"/>
          </w:rPr>
          <w:t>R1-2311659</w:t>
        </w:r>
      </w:hyperlink>
      <w:r w:rsidR="00835CB1" w:rsidRPr="009537ED">
        <w:rPr>
          <w:lang w:eastAsia="x-none"/>
        </w:rPr>
        <w:tab/>
        <w:t>Maintenance of multicast reception in RRC_INACTIVE</w:t>
      </w:r>
      <w:r w:rsidR="00835CB1" w:rsidRPr="009537ED">
        <w:rPr>
          <w:lang w:eastAsia="x-none"/>
        </w:rPr>
        <w:tab/>
        <w:t>Apple</w:t>
      </w:r>
    </w:p>
    <w:p w14:paraId="0799A490" w14:textId="4C4F44EA" w:rsidR="00835CB1" w:rsidRPr="009537ED" w:rsidRDefault="005A18DC" w:rsidP="00835CB1">
      <w:pPr>
        <w:rPr>
          <w:lang w:eastAsia="x-none"/>
        </w:rPr>
      </w:pPr>
      <w:hyperlink r:id="rId223" w:history="1">
        <w:r w:rsidR="00AF7253">
          <w:rPr>
            <w:rStyle w:val="Hyperlink"/>
            <w:lang w:eastAsia="x-none"/>
          </w:rPr>
          <w:t>R1-2311787</w:t>
        </w:r>
      </w:hyperlink>
      <w:r w:rsidR="00835CB1" w:rsidRPr="009537ED">
        <w:rPr>
          <w:lang w:eastAsia="x-none"/>
        </w:rPr>
        <w:tab/>
        <w:t>Discussion on multicast reception in RRC_INACTIVE</w:t>
      </w:r>
      <w:r w:rsidR="00835CB1" w:rsidRPr="009537ED">
        <w:rPr>
          <w:lang w:eastAsia="x-none"/>
        </w:rPr>
        <w:tab/>
        <w:t>Nokia, Nokia Shanghai Bell</w:t>
      </w:r>
    </w:p>
    <w:p w14:paraId="2C4ADCB0" w14:textId="34ED4C9B" w:rsidR="00835CB1" w:rsidRPr="009537ED" w:rsidRDefault="005A18DC" w:rsidP="00835CB1">
      <w:pPr>
        <w:rPr>
          <w:lang w:eastAsia="x-none"/>
        </w:rPr>
      </w:pPr>
      <w:hyperlink r:id="rId224" w:history="1">
        <w:r w:rsidR="00AF7253">
          <w:rPr>
            <w:rStyle w:val="Hyperlink"/>
            <w:lang w:eastAsia="x-none"/>
          </w:rPr>
          <w:t>R1-2312011</w:t>
        </w:r>
      </w:hyperlink>
      <w:r w:rsidR="00835CB1" w:rsidRPr="009537ED">
        <w:rPr>
          <w:lang w:eastAsia="x-none"/>
        </w:rPr>
        <w:tab/>
        <w:t>Discussion on the RAN1 spec impact to support multicast reception in RRC_INACTIVE</w:t>
      </w:r>
      <w:r w:rsidR="00835CB1" w:rsidRPr="009537ED">
        <w:rPr>
          <w:lang w:eastAsia="x-none"/>
        </w:rPr>
        <w:tab/>
        <w:t>Qualcomm Incorporated</w:t>
      </w:r>
    </w:p>
    <w:p w14:paraId="4F012481" w14:textId="46E4FAB1" w:rsidR="00835CB1" w:rsidRPr="009537ED" w:rsidRDefault="005A18DC" w:rsidP="00835CB1">
      <w:pPr>
        <w:rPr>
          <w:lang w:eastAsia="x-none"/>
        </w:rPr>
      </w:pPr>
      <w:hyperlink r:id="rId225" w:history="1">
        <w:r w:rsidR="00AF7253">
          <w:rPr>
            <w:rStyle w:val="Hyperlink"/>
            <w:lang w:eastAsia="x-none"/>
          </w:rPr>
          <w:t>R1-2312207</w:t>
        </w:r>
      </w:hyperlink>
      <w:r w:rsidR="00835CB1" w:rsidRPr="009537ED">
        <w:rPr>
          <w:lang w:eastAsia="x-none"/>
        </w:rPr>
        <w:tab/>
        <w:t>Text proposal for Rel-18 MBS</w:t>
      </w:r>
      <w:r w:rsidR="00835CB1" w:rsidRPr="009537ED">
        <w:rPr>
          <w:lang w:eastAsia="x-none"/>
        </w:rPr>
        <w:tab/>
        <w:t>Huawei, HiSilicon, CBN</w:t>
      </w:r>
    </w:p>
    <w:p w14:paraId="79E23729" w14:textId="2217701F" w:rsidR="00835CB1" w:rsidRPr="009537ED" w:rsidRDefault="00DC423F" w:rsidP="00835CB1">
      <w:pPr>
        <w:rPr>
          <w:lang w:eastAsia="x-none"/>
        </w:rPr>
      </w:pPr>
      <w:r w:rsidRPr="003949BD">
        <w:rPr>
          <w:b/>
          <w:bCs/>
          <w:lang w:eastAsia="x-none"/>
        </w:rPr>
        <w:t>Monday decision:</w:t>
      </w:r>
      <w:r w:rsidRPr="003949BD">
        <w:rPr>
          <w:lang w:eastAsia="x-none"/>
        </w:rPr>
        <w:t xml:space="preserve"> </w:t>
      </w:r>
      <w:r w:rsidR="00835CB1" w:rsidRPr="003949BD">
        <w:rPr>
          <w:lang w:eastAsia="x-none"/>
        </w:rPr>
        <w:t>Comeback on Wednesday. To be moderated by Chunhai (Apple).</w:t>
      </w:r>
    </w:p>
    <w:p w14:paraId="766B18FA" w14:textId="66511BB8" w:rsidR="00835CB1" w:rsidRPr="003949BD" w:rsidRDefault="005A18DC" w:rsidP="00835CB1">
      <w:pPr>
        <w:rPr>
          <w:b/>
          <w:bCs/>
          <w:lang w:eastAsia="x-none"/>
        </w:rPr>
      </w:pPr>
      <w:hyperlink r:id="rId226" w:history="1">
        <w:r w:rsidR="00AF7253">
          <w:rPr>
            <w:rStyle w:val="Hyperlink"/>
            <w:b/>
            <w:bCs/>
            <w:lang w:eastAsia="x-none"/>
          </w:rPr>
          <w:t>R1-2312427</w:t>
        </w:r>
      </w:hyperlink>
      <w:r w:rsidR="003949BD" w:rsidRPr="003949BD">
        <w:rPr>
          <w:b/>
          <w:bCs/>
          <w:lang w:eastAsia="x-none"/>
        </w:rPr>
        <w:tab/>
        <w:t>Summary of TPs for multicast reception in RRC_INACTIVE</w:t>
      </w:r>
      <w:r w:rsidR="003949BD" w:rsidRPr="003949BD">
        <w:rPr>
          <w:b/>
          <w:bCs/>
          <w:lang w:eastAsia="x-none"/>
        </w:rPr>
        <w:tab/>
        <w:t>Moderator (Apple)</w:t>
      </w:r>
    </w:p>
    <w:p w14:paraId="2B239AEE" w14:textId="0A4C5467" w:rsidR="003949BD" w:rsidRDefault="003949BD" w:rsidP="00835CB1">
      <w:pPr>
        <w:rPr>
          <w:lang w:eastAsia="x-none"/>
        </w:rPr>
      </w:pPr>
      <w:r>
        <w:rPr>
          <w:lang w:eastAsia="x-none"/>
        </w:rPr>
        <w:t>From Wednesday session</w:t>
      </w:r>
    </w:p>
    <w:p w14:paraId="25A41767" w14:textId="77777777" w:rsidR="003949BD" w:rsidRDefault="003949BD" w:rsidP="003949BD">
      <w:pPr>
        <w:rPr>
          <w:highlight w:val="green"/>
          <w:lang w:eastAsia="x-none"/>
        </w:rPr>
      </w:pPr>
      <w:r>
        <w:rPr>
          <w:highlight w:val="green"/>
          <w:lang w:eastAsia="x-none"/>
        </w:rPr>
        <w:t>Agreement</w:t>
      </w:r>
    </w:p>
    <w:p w14:paraId="232294E6" w14:textId="77777777" w:rsidR="003949BD" w:rsidRDefault="003949BD" w:rsidP="003949BD">
      <w:pPr>
        <w:rPr>
          <w:lang w:eastAsia="x-none"/>
        </w:rPr>
      </w:pPr>
      <w:r>
        <w:rPr>
          <w:lang w:eastAsia="x-none"/>
        </w:rPr>
        <w:t>The TP in section 3.1 (Proposal 1 v1: Adopt the TP1 for TS38.211 to support multicast reception in RRC_INACTIVE state.) is agreed for Rel-18.</w:t>
      </w:r>
    </w:p>
    <w:p w14:paraId="10A5485A" w14:textId="77777777" w:rsidR="00B052FE" w:rsidRDefault="00B052FE" w:rsidP="00A67145">
      <w:pPr>
        <w:pStyle w:val="ListParagraph"/>
        <w:numPr>
          <w:ilvl w:val="0"/>
          <w:numId w:val="223"/>
        </w:numPr>
      </w:pPr>
      <w:r>
        <w:t>Final CR to be drafted by the 38.211 editor.</w:t>
      </w:r>
    </w:p>
    <w:p w14:paraId="6C77C752" w14:textId="77777777" w:rsidR="003949BD" w:rsidRDefault="003949BD" w:rsidP="003949BD">
      <w:pPr>
        <w:rPr>
          <w:highlight w:val="green"/>
          <w:lang w:eastAsia="x-none"/>
        </w:rPr>
      </w:pPr>
      <w:r>
        <w:rPr>
          <w:highlight w:val="green"/>
          <w:lang w:eastAsia="x-none"/>
        </w:rPr>
        <w:t>Agreement</w:t>
      </w:r>
    </w:p>
    <w:p w14:paraId="4A268B70" w14:textId="77777777" w:rsidR="003949BD" w:rsidRDefault="003949BD" w:rsidP="003949BD">
      <w:pPr>
        <w:rPr>
          <w:lang w:eastAsia="x-none"/>
        </w:rPr>
      </w:pPr>
      <w:r>
        <w:rPr>
          <w:lang w:eastAsia="x-none"/>
        </w:rPr>
        <w:t>The TP in section 3.2 (Proposal 2 v1: Adopt the TP2 for TS38.212 to support multicast reception in RRC_INACTIVE state.) is agreed for Rel-18.</w:t>
      </w:r>
    </w:p>
    <w:p w14:paraId="28EBD25C" w14:textId="4DC99BCF" w:rsidR="00B052FE" w:rsidRDefault="00B052FE" w:rsidP="00A67145">
      <w:pPr>
        <w:pStyle w:val="ListParagraph"/>
        <w:numPr>
          <w:ilvl w:val="0"/>
          <w:numId w:val="223"/>
        </w:numPr>
      </w:pPr>
      <w:r>
        <w:t>Final CR to be drafted by the 38.212 editor.</w:t>
      </w:r>
    </w:p>
    <w:p w14:paraId="754FD7A7" w14:textId="77777777" w:rsidR="003949BD" w:rsidRDefault="003949BD" w:rsidP="003949BD">
      <w:pPr>
        <w:rPr>
          <w:highlight w:val="green"/>
          <w:lang w:eastAsia="x-none"/>
        </w:rPr>
      </w:pPr>
      <w:r>
        <w:rPr>
          <w:highlight w:val="green"/>
          <w:lang w:eastAsia="x-none"/>
        </w:rPr>
        <w:t>Agreement</w:t>
      </w:r>
    </w:p>
    <w:p w14:paraId="1311089F" w14:textId="77777777" w:rsidR="003949BD" w:rsidRDefault="003949BD" w:rsidP="003949BD">
      <w:pPr>
        <w:rPr>
          <w:lang w:eastAsia="x-none"/>
        </w:rPr>
      </w:pPr>
      <w:r>
        <w:rPr>
          <w:lang w:eastAsia="x-none"/>
        </w:rPr>
        <w:t>The TP in section 3.3 (Proposal 3 v1: Adopt the TP3 for TS38.213 to support multicast reception in RRC_INACTIVE state.) is agreed for Rel-18.</w:t>
      </w:r>
    </w:p>
    <w:p w14:paraId="4A6B366E" w14:textId="2F3D687B" w:rsidR="00B052FE" w:rsidRDefault="00B052FE" w:rsidP="00A67145">
      <w:pPr>
        <w:pStyle w:val="ListParagraph"/>
        <w:numPr>
          <w:ilvl w:val="0"/>
          <w:numId w:val="223"/>
        </w:numPr>
      </w:pPr>
      <w:r>
        <w:t>Final CR to be drafted by the 38.213 editor.</w:t>
      </w:r>
    </w:p>
    <w:p w14:paraId="39476410" w14:textId="5E89E28B" w:rsidR="003949BD" w:rsidRPr="00B04BD4" w:rsidRDefault="00B052FE" w:rsidP="00835CB1">
      <w:pPr>
        <w:rPr>
          <w:lang w:eastAsia="x-none"/>
        </w:rPr>
      </w:pPr>
      <w:r w:rsidRPr="00B04BD4">
        <w:rPr>
          <w:lang w:eastAsia="x-none"/>
        </w:rPr>
        <w:t>From Thursday session</w:t>
      </w:r>
    </w:p>
    <w:p w14:paraId="54066B61" w14:textId="77777777" w:rsidR="00B052FE" w:rsidRPr="00B052FE" w:rsidRDefault="00B052FE" w:rsidP="00B052FE">
      <w:pPr>
        <w:rPr>
          <w:highlight w:val="green"/>
          <w:lang w:eastAsia="x-none"/>
        </w:rPr>
      </w:pPr>
      <w:r w:rsidRPr="00B052FE">
        <w:rPr>
          <w:highlight w:val="green"/>
          <w:lang w:eastAsia="x-none"/>
        </w:rPr>
        <w:t>Agreement</w:t>
      </w:r>
    </w:p>
    <w:p w14:paraId="15524381" w14:textId="77777777" w:rsidR="00B052FE" w:rsidRDefault="00B052FE" w:rsidP="00B052FE">
      <w:pPr>
        <w:rPr>
          <w:lang w:eastAsia="x-none"/>
        </w:rPr>
      </w:pPr>
      <w:r>
        <w:rPr>
          <w:lang w:eastAsia="x-none"/>
        </w:rPr>
        <w:t xml:space="preserve">The TP in section 2.4 </w:t>
      </w:r>
      <w:r w:rsidRPr="00B04BD4">
        <w:rPr>
          <w:lang w:eastAsia="x-none"/>
        </w:rPr>
        <w:t>(</w:t>
      </w:r>
      <w:r w:rsidRPr="00B04BD4">
        <w:rPr>
          <w:szCs w:val="20"/>
        </w:rPr>
        <w:t>Proposal 4: Adopt the TP4 for TS38.214 to support multicast reception in RRC_INACTIVE state.</w:t>
      </w:r>
      <w:r w:rsidRPr="00B04BD4">
        <w:rPr>
          <w:lang w:eastAsia="x-none"/>
        </w:rPr>
        <w:t xml:space="preserve">) </w:t>
      </w:r>
      <w:r>
        <w:rPr>
          <w:lang w:eastAsia="x-none"/>
        </w:rPr>
        <w:t xml:space="preserve">is agreed for Rel-18 </w:t>
      </w:r>
      <w:r>
        <w:rPr>
          <w:b/>
          <w:bCs/>
          <w:color w:val="FF0000"/>
          <w:lang w:eastAsia="x-none"/>
        </w:rPr>
        <w:t>without the following change</w:t>
      </w:r>
    </w:p>
    <w:p w14:paraId="0FF4687C" w14:textId="77777777" w:rsidR="00B052FE" w:rsidRDefault="00B052FE" w:rsidP="00A67145">
      <w:pPr>
        <w:pStyle w:val="ListParagraph"/>
        <w:numPr>
          <w:ilvl w:val="0"/>
          <w:numId w:val="223"/>
        </w:numPr>
      </w:pPr>
      <w:r>
        <w:t>Final CR to be drafted by the 38.214 editor.</w:t>
      </w:r>
    </w:p>
    <w:p w14:paraId="298E19D8" w14:textId="77777777" w:rsidR="00B052FE" w:rsidRPr="00B052FE" w:rsidRDefault="00B052FE" w:rsidP="00B052FE">
      <w:pPr>
        <w:spacing w:before="120" w:after="120"/>
        <w:rPr>
          <w:rFonts w:ascii="Arial" w:hAnsi="Arial" w:cs="Arial"/>
          <w:color w:val="000000"/>
          <w:kern w:val="2"/>
          <w:sz w:val="16"/>
          <w:szCs w:val="16"/>
        </w:rPr>
      </w:pPr>
      <w:r w:rsidRPr="00B052FE">
        <w:rPr>
          <w:rFonts w:ascii="Arial" w:hAnsi="Arial" w:cs="Arial"/>
          <w:color w:val="000000"/>
          <w:kern w:val="2"/>
          <w:sz w:val="16"/>
          <w:szCs w:val="16"/>
        </w:rPr>
        <w:t>The UE is not expected to decode a PDSCH in a serving cell scheduled by a PDCCH with C-RNTI, CS-RNTI, MCS-C-RNTI,</w:t>
      </w:r>
      <w:r w:rsidRPr="00B052FE">
        <w:rPr>
          <w:rFonts w:ascii="Arial" w:hAnsi="Arial" w:cs="Arial"/>
          <w:kern w:val="2"/>
          <w:sz w:val="16"/>
          <w:szCs w:val="16"/>
          <w:lang w:eastAsia="ja-JP"/>
        </w:rPr>
        <w:t xml:space="preserve"> G-RNTI, G-CS-RNTI</w:t>
      </w:r>
      <w:del w:id="19" w:author="CMCC" w:date="2023-10-23T15:45:00Z">
        <w:r w:rsidRPr="00B052FE">
          <w:rPr>
            <w:rFonts w:ascii="Arial" w:hAnsi="Arial" w:cs="Arial"/>
            <w:kern w:val="2"/>
            <w:sz w:val="16"/>
            <w:szCs w:val="16"/>
            <w:lang w:eastAsia="ja-JP"/>
          </w:rPr>
          <w:delText xml:space="preserve"> or</w:delText>
        </w:r>
      </w:del>
      <w:ins w:id="20" w:author="CMCC" w:date="2023-10-23T15:45:00Z">
        <w:r w:rsidRPr="00B052FE">
          <w:rPr>
            <w:rFonts w:ascii="Arial" w:hAnsi="Arial" w:cs="Arial"/>
            <w:kern w:val="2"/>
            <w:sz w:val="16"/>
            <w:szCs w:val="16"/>
            <w:lang w:eastAsia="ja-JP"/>
          </w:rPr>
          <w:t>,</w:t>
        </w:r>
      </w:ins>
      <w:r w:rsidRPr="00B052FE">
        <w:rPr>
          <w:rFonts w:ascii="Arial" w:hAnsi="Arial" w:cs="Arial"/>
          <w:kern w:val="2"/>
          <w:sz w:val="16"/>
          <w:szCs w:val="16"/>
          <w:lang w:eastAsia="ja-JP"/>
        </w:rPr>
        <w:t xml:space="preserve"> MCCH-RNTI</w:t>
      </w:r>
      <w:r w:rsidRPr="00B052FE">
        <w:rPr>
          <w:rFonts w:ascii="Arial" w:hAnsi="Arial" w:cs="Arial"/>
          <w:color w:val="000000"/>
          <w:kern w:val="2"/>
          <w:sz w:val="16"/>
          <w:szCs w:val="16"/>
        </w:rPr>
        <w:t xml:space="preserve"> </w:t>
      </w:r>
      <w:ins w:id="21" w:author="CMCC" w:date="2023-10-23T15:44:00Z">
        <w:r w:rsidRPr="00B052FE">
          <w:rPr>
            <w:rFonts w:ascii="Arial" w:hAnsi="Arial" w:cs="Arial"/>
            <w:color w:val="000000"/>
            <w:kern w:val="2"/>
            <w:sz w:val="16"/>
            <w:szCs w:val="16"/>
          </w:rPr>
          <w:t>or m</w:t>
        </w:r>
      </w:ins>
      <w:ins w:id="22" w:author="CMCC" w:date="2023-10-23T15:45:00Z">
        <w:r w:rsidRPr="00B052FE">
          <w:rPr>
            <w:rFonts w:ascii="Arial" w:hAnsi="Arial" w:cs="Arial"/>
            <w:color w:val="000000"/>
            <w:kern w:val="2"/>
            <w:sz w:val="16"/>
            <w:szCs w:val="16"/>
          </w:rPr>
          <w:t xml:space="preserve">ulticast-MCCH-RNTI </w:t>
        </w:r>
      </w:ins>
      <w:r w:rsidRPr="00B052FE">
        <w:rPr>
          <w:rFonts w:ascii="Arial" w:hAnsi="Arial" w:cs="Arial"/>
          <w:color w:val="000000"/>
          <w:kern w:val="2"/>
          <w:sz w:val="16"/>
          <w:szCs w:val="16"/>
        </w:rPr>
        <w:t>and one or multiple PDSCH(s) required to be received according to this Clause in the same serving cell without a corresponding PDCCH transmission if the PDSCHs partially or fully overlap in time except if the PDCCH scheduling the PDSCH ends at least 14</w:t>
      </w:r>
      <w:r w:rsidRPr="00B052FE">
        <w:rPr>
          <w:rFonts w:ascii="Arial" w:hAnsi="Arial" w:cs="Arial"/>
          <w:color w:val="000000"/>
          <w:kern w:val="2"/>
          <w:sz w:val="16"/>
          <w:szCs w:val="16"/>
        </w:rPr>
        <w:fldChar w:fldCharType="begin"/>
      </w:r>
      <w:r w:rsidRPr="00B052FE">
        <w:rPr>
          <w:rFonts w:ascii="Arial" w:hAnsi="Arial" w:cs="Arial"/>
          <w:color w:val="000000"/>
          <w:kern w:val="2"/>
          <w:sz w:val="16"/>
          <w:szCs w:val="16"/>
        </w:rPr>
        <w:instrText xml:space="preserve"> QUOTE </w:instrText>
      </w:r>
      <w:r w:rsidR="00A6784C">
        <w:rPr>
          <w:rFonts w:ascii="Arial" w:hAnsi="Arial" w:cs="Arial"/>
          <w:position w:val="-4"/>
          <w:sz w:val="16"/>
          <w:szCs w:val="16"/>
        </w:rPr>
        <w:pict w14:anchorId="3A9BDDA7">
          <v:shape id="_x0000_i1039" type="#_x0000_t75" style="width:51.75pt;height:12pt" equationxml="&lt;">
            <v:imagedata r:id="rId227" o:title="" chromakey="white"/>
          </v:shape>
        </w:pict>
      </w:r>
      <w:r w:rsidRPr="00B052FE">
        <w:rPr>
          <w:rFonts w:ascii="Arial" w:hAnsi="Arial" w:cs="Arial"/>
          <w:color w:val="000000"/>
          <w:kern w:val="2"/>
          <w:sz w:val="16"/>
          <w:szCs w:val="16"/>
        </w:rPr>
        <w:instrText xml:space="preserve"> </w:instrText>
      </w:r>
      <w:r w:rsidRPr="00B052FE">
        <w:rPr>
          <w:rFonts w:ascii="Arial" w:hAnsi="Arial" w:cs="Arial"/>
          <w:color w:val="000000"/>
          <w:kern w:val="2"/>
          <w:sz w:val="16"/>
          <w:szCs w:val="16"/>
        </w:rPr>
        <w:fldChar w:fldCharType="separate"/>
      </w:r>
      <w:r w:rsidR="00A6784C">
        <w:rPr>
          <w:rFonts w:ascii="Arial" w:hAnsi="Arial" w:cs="Arial"/>
          <w:position w:val="-4"/>
          <w:sz w:val="16"/>
          <w:szCs w:val="16"/>
        </w:rPr>
        <w:pict w14:anchorId="0893356D">
          <v:shape id="_x0000_i1040" type="#_x0000_t75" style="width:51.75pt;height:12pt" equationxml="&lt;">
            <v:imagedata r:id="rId227" o:title="" chromakey="white"/>
          </v:shape>
        </w:pict>
      </w:r>
      <w:r w:rsidRPr="00B052FE">
        <w:rPr>
          <w:rFonts w:ascii="Arial" w:hAnsi="Arial" w:cs="Arial"/>
          <w:color w:val="000000"/>
          <w:kern w:val="2"/>
          <w:sz w:val="16"/>
          <w:szCs w:val="16"/>
        </w:rPr>
        <w:fldChar w:fldCharType="end"/>
      </w:r>
      <w:r w:rsidRPr="00B052FE">
        <w:rPr>
          <w:rFonts w:ascii="Arial" w:hAnsi="Arial" w:cs="Arial"/>
          <w:color w:val="000000"/>
          <w:kern w:val="2"/>
          <w:sz w:val="16"/>
          <w:szCs w:val="16"/>
        </w:rPr>
        <w:t xml:space="preserve"> symbols before the earliest starting symbol of the PDSCH(s) without the corresponding PDCCH transmission, where</w:t>
      </w:r>
      <w:r w:rsidRPr="00B052FE">
        <w:rPr>
          <w:rFonts w:ascii="Arial" w:eastAsia="Symbol" w:hAnsi="Arial" w:cs="Arial"/>
          <w:i/>
          <w:color w:val="000000"/>
          <w:sz w:val="16"/>
          <w:szCs w:val="16"/>
        </w:rPr>
        <w:t xml:space="preserve"> m</w:t>
      </w:r>
      <w:r w:rsidRPr="00B052FE">
        <w:rPr>
          <w:rFonts w:ascii="Arial" w:eastAsia="DengXian" w:hAnsi="Arial" w:cs="Arial"/>
          <w:i/>
          <w:color w:val="000000"/>
          <w:sz w:val="16"/>
          <w:szCs w:val="16"/>
        </w:rPr>
        <w:t xml:space="preserve"> </w:t>
      </w:r>
      <w:r w:rsidRPr="00B052FE">
        <w:rPr>
          <w:rFonts w:ascii="Arial" w:eastAsia="DengXian" w:hAnsi="Arial" w:cs="Arial"/>
          <w:color w:val="000000"/>
          <w:sz w:val="16"/>
          <w:szCs w:val="16"/>
        </w:rPr>
        <w:t>and</w:t>
      </w:r>
      <w:r w:rsidRPr="00B052FE">
        <w:rPr>
          <w:rFonts w:ascii="Arial" w:hAnsi="Arial" w:cs="Arial"/>
          <w:color w:val="000000"/>
          <w:kern w:val="2"/>
          <w:sz w:val="16"/>
          <w:szCs w:val="16"/>
        </w:rPr>
        <w:t xml:space="preserve"> the symbol duration are based on the smallest numerology between the scheduling PDCCH and the PDSCH, in which case the UE shall decode the PDSCH scheduled by the PDCCH. </w:t>
      </w:r>
      <w:r w:rsidRPr="00B052FE">
        <w:rPr>
          <w:rFonts w:ascii="Arial" w:hAnsi="Arial" w:cs="Arial"/>
          <w:color w:val="000000"/>
          <w:sz w:val="16"/>
          <w:szCs w:val="16"/>
          <w:lang w:eastAsia="ko-KR"/>
        </w:rPr>
        <w:t>When the PDCCH reception incudes two PDCCH candidates from two respective search space sets, as described in clause 10 of [6, TS 38.213], for the purpose of determining the </w:t>
      </w:r>
      <w:r w:rsidRPr="00B052FE">
        <w:rPr>
          <w:rFonts w:ascii="Arial" w:hAnsi="Arial" w:cs="Arial"/>
          <w:color w:val="000000"/>
          <w:sz w:val="16"/>
          <w:szCs w:val="16"/>
          <w:lang w:val="en-AU" w:eastAsia="ko-KR"/>
        </w:rPr>
        <w:t xml:space="preserve">PDCCH with C-RNTI, CS-RNTI or MCS-C-RNTI scheduling the PDSCH </w:t>
      </w:r>
      <w:r w:rsidRPr="00B052FE">
        <w:rPr>
          <w:rFonts w:ascii="Arial" w:hAnsi="Arial" w:cs="Arial"/>
          <w:color w:val="000000"/>
          <w:sz w:val="16"/>
          <w:szCs w:val="16"/>
          <w:lang w:eastAsia="ko-KR"/>
        </w:rPr>
        <w:lastRenderedPageBreak/>
        <w:t>ends at least 14</w:t>
      </w:r>
      <w:r w:rsidRPr="00B052FE">
        <w:rPr>
          <w:rFonts w:ascii="Arial" w:hAnsi="Arial" w:cs="Arial"/>
          <w:color w:val="000000"/>
          <w:sz w:val="16"/>
          <w:szCs w:val="16"/>
          <w:lang w:eastAsia="ko-KR"/>
        </w:rPr>
        <w:fldChar w:fldCharType="begin"/>
      </w:r>
      <w:r w:rsidRPr="00B052FE">
        <w:rPr>
          <w:rFonts w:ascii="Arial" w:hAnsi="Arial" w:cs="Arial"/>
          <w:color w:val="000000"/>
          <w:sz w:val="16"/>
          <w:szCs w:val="16"/>
          <w:lang w:eastAsia="ko-KR"/>
        </w:rPr>
        <w:instrText xml:space="preserve"> QUOTE </w:instrText>
      </w:r>
      <w:r w:rsidR="00A6784C">
        <w:rPr>
          <w:rFonts w:ascii="Arial" w:hAnsi="Arial" w:cs="Arial"/>
          <w:position w:val="-4"/>
          <w:sz w:val="16"/>
          <w:szCs w:val="16"/>
        </w:rPr>
        <w:pict w14:anchorId="12753D57">
          <v:shape id="_x0000_i1041" type="#_x0000_t75" style="width:51.75pt;height:12pt" equationxml="&lt;">
            <v:imagedata r:id="rId227" o:title="" chromakey="white"/>
          </v:shape>
        </w:pict>
      </w:r>
      <w:r w:rsidRPr="00B052FE">
        <w:rPr>
          <w:rFonts w:ascii="Arial" w:hAnsi="Arial" w:cs="Arial"/>
          <w:color w:val="000000"/>
          <w:sz w:val="16"/>
          <w:szCs w:val="16"/>
          <w:lang w:eastAsia="ko-KR"/>
        </w:rPr>
        <w:instrText xml:space="preserve"> </w:instrText>
      </w:r>
      <w:r w:rsidRPr="00B052FE">
        <w:rPr>
          <w:rFonts w:ascii="Arial" w:hAnsi="Arial" w:cs="Arial"/>
          <w:color w:val="000000"/>
          <w:sz w:val="16"/>
          <w:szCs w:val="16"/>
          <w:lang w:eastAsia="ko-KR"/>
        </w:rPr>
        <w:fldChar w:fldCharType="separate"/>
      </w:r>
      <w:r w:rsidR="00A6784C">
        <w:rPr>
          <w:rFonts w:ascii="Arial" w:hAnsi="Arial" w:cs="Arial"/>
          <w:position w:val="-4"/>
          <w:sz w:val="16"/>
          <w:szCs w:val="16"/>
        </w:rPr>
        <w:pict w14:anchorId="36BEE28F">
          <v:shape id="_x0000_i1042" type="#_x0000_t75" style="width:51.75pt;height:12pt" equationxml="&lt;">
            <v:imagedata r:id="rId227" o:title="" chromakey="white"/>
          </v:shape>
        </w:pict>
      </w:r>
      <w:r w:rsidRPr="00B052FE">
        <w:rPr>
          <w:rFonts w:ascii="Arial" w:hAnsi="Arial" w:cs="Arial"/>
          <w:color w:val="000000"/>
          <w:sz w:val="16"/>
          <w:szCs w:val="16"/>
          <w:lang w:eastAsia="ko-KR"/>
        </w:rPr>
        <w:fldChar w:fldCharType="end"/>
      </w:r>
      <w:r w:rsidRPr="00B052FE">
        <w:rPr>
          <w:rFonts w:ascii="Arial" w:hAnsi="Arial" w:cs="Arial"/>
          <w:color w:val="000000"/>
          <w:sz w:val="16"/>
          <w:szCs w:val="16"/>
          <w:lang w:eastAsia="ko-KR"/>
        </w:rPr>
        <w:t xml:space="preserve"> symbols before the earliest starting symbol of the PDSCH(s) without the corresponding PDCCH transmission, the PDCCH candidate that ends later in time is used.</w:t>
      </w:r>
    </w:p>
    <w:p w14:paraId="4B824909" w14:textId="77777777" w:rsidR="00B052FE" w:rsidRDefault="00B052FE" w:rsidP="00B052FE">
      <w:pPr>
        <w:rPr>
          <w:highlight w:val="yellow"/>
          <w:lang w:eastAsia="x-none"/>
        </w:rPr>
      </w:pPr>
    </w:p>
    <w:p w14:paraId="6038C8BE" w14:textId="77777777" w:rsidR="00B052FE" w:rsidRPr="00B052FE" w:rsidRDefault="00B052FE" w:rsidP="00B052FE">
      <w:pPr>
        <w:rPr>
          <w:highlight w:val="green"/>
          <w:lang w:eastAsia="x-none"/>
        </w:rPr>
      </w:pPr>
      <w:r w:rsidRPr="00B052FE">
        <w:rPr>
          <w:highlight w:val="green"/>
          <w:lang w:eastAsia="x-none"/>
        </w:rPr>
        <w:t>Agreement</w:t>
      </w:r>
    </w:p>
    <w:p w14:paraId="7D79FF21" w14:textId="77777777" w:rsidR="00B052FE" w:rsidRDefault="00B052FE" w:rsidP="00B052FE">
      <w:pPr>
        <w:rPr>
          <w:lang w:eastAsia="x-none"/>
        </w:rPr>
      </w:pPr>
      <w:r>
        <w:rPr>
          <w:lang w:eastAsia="x-none"/>
        </w:rPr>
        <w:t>The TP in section 3.5 (Proposal 6 v1: Adopt the TP6 for TS38.202 to support multicast reception in RRC_INACTIVE state.) is agreed for Rel-18.</w:t>
      </w:r>
    </w:p>
    <w:p w14:paraId="456935CD" w14:textId="56D6F3A2" w:rsidR="00B052FE" w:rsidRDefault="00B052FE" w:rsidP="00A67145">
      <w:pPr>
        <w:pStyle w:val="ListParagraph"/>
        <w:numPr>
          <w:ilvl w:val="0"/>
          <w:numId w:val="223"/>
        </w:numPr>
      </w:pPr>
      <w:r>
        <w:t>Final CR to be drafted by the 38.2</w:t>
      </w:r>
      <w:r w:rsidR="003D0087">
        <w:t>0</w:t>
      </w:r>
      <w:r>
        <w:t>2 editor.</w:t>
      </w:r>
    </w:p>
    <w:p w14:paraId="1E346FA7" w14:textId="77777777" w:rsidR="00B052FE" w:rsidRPr="009537ED" w:rsidRDefault="00B052FE" w:rsidP="00835CB1">
      <w:pPr>
        <w:rPr>
          <w:highlight w:val="yellow"/>
          <w:lang w:eastAsia="x-none"/>
        </w:rPr>
      </w:pPr>
    </w:p>
    <w:p w14:paraId="49BB308B" w14:textId="77777777" w:rsidR="004A01D9" w:rsidRPr="009537ED" w:rsidRDefault="004A01D9" w:rsidP="004A01D9">
      <w:pPr>
        <w:rPr>
          <w:lang w:eastAsia="x-none"/>
        </w:rPr>
      </w:pPr>
      <w:r w:rsidRPr="009537ED">
        <w:rPr>
          <w:lang w:eastAsia="x-none"/>
        </w:rPr>
        <w:t>-----------------------</w:t>
      </w:r>
    </w:p>
    <w:p w14:paraId="05AA1D0B" w14:textId="77777777" w:rsidR="00835CB1" w:rsidRPr="009537ED" w:rsidRDefault="00835CB1" w:rsidP="00835CB1">
      <w:pPr>
        <w:rPr>
          <w:b/>
          <w:lang w:eastAsia="x-none"/>
        </w:rPr>
      </w:pPr>
      <w:r w:rsidRPr="009537ED">
        <w:rPr>
          <w:b/>
          <w:lang w:eastAsia="x-none"/>
        </w:rPr>
        <w:t>Follow up discussion on collision handling between paging occasions and CG SDT for HD-FDD UEs</w:t>
      </w:r>
    </w:p>
    <w:p w14:paraId="6A28E9F6" w14:textId="6E18FFCC" w:rsidR="00835CB1" w:rsidRPr="009537ED" w:rsidRDefault="005A18DC" w:rsidP="00835CB1">
      <w:pPr>
        <w:rPr>
          <w:lang w:eastAsia="x-none"/>
        </w:rPr>
      </w:pPr>
      <w:hyperlink r:id="rId228" w:history="1">
        <w:r w:rsidR="00AF7253">
          <w:rPr>
            <w:rStyle w:val="Hyperlink"/>
            <w:lang w:eastAsia="x-none"/>
          </w:rPr>
          <w:t>R1-2311058</w:t>
        </w:r>
      </w:hyperlink>
      <w:r w:rsidR="00835CB1" w:rsidRPr="009537ED">
        <w:rPr>
          <w:lang w:eastAsia="x-none"/>
        </w:rPr>
        <w:tab/>
        <w:t>Discussion on collision handling between paging occasions and CG SDT for HD-FDD U</w:t>
      </w:r>
      <w:r w:rsidR="00DC423F" w:rsidRPr="009537ED">
        <w:rPr>
          <w:lang w:eastAsia="x-none"/>
        </w:rPr>
        <w:t>E</w:t>
      </w:r>
      <w:r w:rsidR="00835CB1" w:rsidRPr="009537ED">
        <w:rPr>
          <w:lang w:eastAsia="x-none"/>
        </w:rPr>
        <w:t>s</w:t>
      </w:r>
      <w:r w:rsidR="00835CB1" w:rsidRPr="009537ED">
        <w:rPr>
          <w:lang w:eastAsia="x-none"/>
        </w:rPr>
        <w:tab/>
        <w:t>vivo</w:t>
      </w:r>
    </w:p>
    <w:p w14:paraId="3EA480B2" w14:textId="581E6F2D" w:rsidR="00835CB1" w:rsidRPr="009537ED" w:rsidRDefault="005A18DC" w:rsidP="00835CB1">
      <w:pPr>
        <w:rPr>
          <w:lang w:eastAsia="x-none"/>
        </w:rPr>
      </w:pPr>
      <w:hyperlink r:id="rId229" w:history="1">
        <w:r w:rsidR="00AF7253">
          <w:rPr>
            <w:rStyle w:val="Hyperlink"/>
            <w:lang w:eastAsia="x-none"/>
          </w:rPr>
          <w:t>R1-2311059</w:t>
        </w:r>
      </w:hyperlink>
      <w:r w:rsidR="00835CB1" w:rsidRPr="009537ED">
        <w:rPr>
          <w:lang w:eastAsia="x-none"/>
        </w:rPr>
        <w:tab/>
        <w:t>Draft reply LS on monitoring of paging occasions for CG-SDT with HD-FDD Redcap U</w:t>
      </w:r>
      <w:r w:rsidR="00DC423F" w:rsidRPr="009537ED">
        <w:rPr>
          <w:lang w:eastAsia="x-none"/>
        </w:rPr>
        <w:t>E</w:t>
      </w:r>
      <w:r w:rsidR="00835CB1" w:rsidRPr="009537ED">
        <w:rPr>
          <w:lang w:eastAsia="x-none"/>
        </w:rPr>
        <w:t>s</w:t>
      </w:r>
      <w:r w:rsidR="00835CB1" w:rsidRPr="009537ED">
        <w:rPr>
          <w:lang w:eastAsia="x-none"/>
        </w:rPr>
        <w:tab/>
        <w:t>vivo</w:t>
      </w:r>
    </w:p>
    <w:p w14:paraId="47EA0FF2" w14:textId="25F27A60" w:rsidR="00835CB1" w:rsidRPr="009537ED" w:rsidRDefault="005A18DC" w:rsidP="00835CB1">
      <w:pPr>
        <w:rPr>
          <w:lang w:eastAsia="x-none"/>
        </w:rPr>
      </w:pPr>
      <w:hyperlink r:id="rId230" w:history="1">
        <w:r w:rsidR="00AF7253">
          <w:rPr>
            <w:rStyle w:val="Hyperlink"/>
            <w:lang w:eastAsia="x-none"/>
          </w:rPr>
          <w:t>R1-2311507</w:t>
        </w:r>
      </w:hyperlink>
      <w:r w:rsidR="00835CB1" w:rsidRPr="009537ED">
        <w:rPr>
          <w:lang w:eastAsia="x-none"/>
        </w:rPr>
        <w:tab/>
        <w:t>Discussion on reply LS on paging overlapping with CG-SDT for HD-FDD RedCap UE</w:t>
      </w:r>
      <w:r w:rsidR="00835CB1" w:rsidRPr="009537ED">
        <w:rPr>
          <w:lang w:eastAsia="x-none"/>
        </w:rPr>
        <w:tab/>
        <w:t>ZTE</w:t>
      </w:r>
    </w:p>
    <w:p w14:paraId="7972843D" w14:textId="577AB6E6" w:rsidR="00835CB1" w:rsidRPr="009537ED" w:rsidRDefault="005A18DC" w:rsidP="00835CB1">
      <w:pPr>
        <w:rPr>
          <w:lang w:eastAsia="x-none"/>
        </w:rPr>
      </w:pPr>
      <w:hyperlink r:id="rId231" w:history="1">
        <w:r w:rsidR="00AF7253">
          <w:rPr>
            <w:rStyle w:val="Hyperlink"/>
            <w:lang w:eastAsia="x-none"/>
          </w:rPr>
          <w:t>R1-2311508</w:t>
        </w:r>
      </w:hyperlink>
      <w:r w:rsidR="00835CB1" w:rsidRPr="009537ED">
        <w:rPr>
          <w:lang w:eastAsia="x-none"/>
        </w:rPr>
        <w:tab/>
        <w:t>Draft reply LS on paging and CG-SDT conflicting issue for HD-FDD RedCap UE</w:t>
      </w:r>
      <w:r w:rsidR="00835CB1" w:rsidRPr="009537ED">
        <w:rPr>
          <w:lang w:eastAsia="x-none"/>
        </w:rPr>
        <w:tab/>
        <w:t>ZTE</w:t>
      </w:r>
    </w:p>
    <w:p w14:paraId="39480362" w14:textId="67973F52" w:rsidR="00835CB1" w:rsidRPr="009537ED" w:rsidRDefault="005A18DC" w:rsidP="00835CB1">
      <w:pPr>
        <w:rPr>
          <w:lang w:eastAsia="x-none"/>
        </w:rPr>
      </w:pPr>
      <w:hyperlink r:id="rId232" w:history="1">
        <w:r w:rsidR="00AF7253">
          <w:rPr>
            <w:rStyle w:val="Hyperlink"/>
            <w:lang w:eastAsia="x-none"/>
          </w:rPr>
          <w:t>R1-2312163</w:t>
        </w:r>
      </w:hyperlink>
      <w:r w:rsidR="00835CB1" w:rsidRPr="009537ED">
        <w:rPr>
          <w:lang w:eastAsia="x-none"/>
        </w:rPr>
        <w:tab/>
        <w:t>Monitoring of paging occasions for CG-SDT with HD-FDD RedCap UEs</w:t>
      </w:r>
      <w:r w:rsidR="00835CB1" w:rsidRPr="009537ED">
        <w:rPr>
          <w:lang w:eastAsia="x-none"/>
        </w:rPr>
        <w:tab/>
        <w:t>Ericsson</w:t>
      </w:r>
    </w:p>
    <w:p w14:paraId="1AB69DBF" w14:textId="32F9C82F" w:rsidR="00835CB1" w:rsidRPr="00B47080" w:rsidRDefault="00DC423F" w:rsidP="00835CB1">
      <w:pPr>
        <w:rPr>
          <w:lang w:eastAsia="x-none"/>
        </w:rPr>
      </w:pPr>
      <w:r w:rsidRPr="00B47080">
        <w:rPr>
          <w:b/>
          <w:bCs/>
          <w:lang w:eastAsia="x-none"/>
        </w:rPr>
        <w:t>Monday decision:</w:t>
      </w:r>
      <w:r w:rsidRPr="00B47080">
        <w:rPr>
          <w:lang w:eastAsia="x-none"/>
        </w:rPr>
        <w:t xml:space="preserve"> </w:t>
      </w:r>
      <w:r w:rsidR="00835CB1" w:rsidRPr="00B47080">
        <w:rPr>
          <w:lang w:eastAsia="x-none"/>
        </w:rPr>
        <w:t>Continue discussions under agenda item 7.2 (RedCap).</w:t>
      </w:r>
    </w:p>
    <w:p w14:paraId="6ACE6560" w14:textId="77777777" w:rsidR="00835CB1" w:rsidRPr="009537ED" w:rsidRDefault="00835CB1" w:rsidP="00835CB1">
      <w:pPr>
        <w:rPr>
          <w:highlight w:val="yellow"/>
          <w:lang w:eastAsia="x-none"/>
        </w:rPr>
      </w:pPr>
    </w:p>
    <w:p w14:paraId="5B6A43A3" w14:textId="609E1A4F" w:rsidR="00030A34" w:rsidRPr="009537ED" w:rsidRDefault="004A01D9" w:rsidP="00835CB1">
      <w:pPr>
        <w:rPr>
          <w:lang w:eastAsia="x-none"/>
        </w:rPr>
      </w:pPr>
      <w:r w:rsidRPr="009537ED">
        <w:rPr>
          <w:lang w:eastAsia="x-none"/>
        </w:rPr>
        <w:t>==============</w:t>
      </w:r>
    </w:p>
    <w:p w14:paraId="0B140E89" w14:textId="77777777" w:rsidR="00835CB1" w:rsidRPr="009537ED" w:rsidRDefault="00835CB1" w:rsidP="00835CB1">
      <w:pPr>
        <w:rPr>
          <w:b/>
          <w:lang w:eastAsia="x-none"/>
        </w:rPr>
      </w:pPr>
      <w:r w:rsidRPr="009537ED">
        <w:rPr>
          <w:b/>
          <w:lang w:eastAsia="x-none"/>
        </w:rPr>
        <w:t>For the following incoming LSs, RAN1 is cc-ed (no RAN1 action necessary)</w:t>
      </w:r>
    </w:p>
    <w:p w14:paraId="1B7E5E96" w14:textId="4C612C0D" w:rsidR="00835CB1" w:rsidRPr="009537ED" w:rsidRDefault="005A18DC" w:rsidP="00835CB1">
      <w:pPr>
        <w:rPr>
          <w:lang w:eastAsia="x-none"/>
        </w:rPr>
      </w:pPr>
      <w:hyperlink r:id="rId233" w:history="1">
        <w:r w:rsidR="00AF7253">
          <w:rPr>
            <w:rStyle w:val="Hyperlink"/>
            <w:lang w:eastAsia="x-none"/>
          </w:rPr>
          <w:t>R1-2310792</w:t>
        </w:r>
      </w:hyperlink>
      <w:r w:rsidR="00835CB1" w:rsidRPr="009537ED">
        <w:rPr>
          <w:lang w:eastAsia="x-none"/>
        </w:rPr>
        <w:tab/>
        <w:t>Reply LS on monitoring of paging occasions for CG-SDT with HD-FDD Redcap UEs</w:t>
      </w:r>
      <w:r w:rsidR="00835CB1" w:rsidRPr="009537ED">
        <w:rPr>
          <w:lang w:eastAsia="x-none"/>
        </w:rPr>
        <w:tab/>
        <w:t>RAN2, MediaTek</w:t>
      </w:r>
    </w:p>
    <w:p w14:paraId="59FF588A" w14:textId="77777777" w:rsidR="00835CB1" w:rsidRPr="009537ED" w:rsidRDefault="00835CB1" w:rsidP="00835CB1">
      <w:pPr>
        <w:rPr>
          <w:lang w:eastAsia="x-none"/>
        </w:rPr>
      </w:pPr>
    </w:p>
    <w:p w14:paraId="33F47AE1" w14:textId="43763DC8" w:rsidR="00835CB1" w:rsidRPr="009537ED" w:rsidRDefault="005A18DC" w:rsidP="00835CB1">
      <w:pPr>
        <w:rPr>
          <w:b/>
          <w:bCs/>
          <w:lang w:eastAsia="x-none"/>
        </w:rPr>
      </w:pPr>
      <w:hyperlink r:id="rId234" w:history="1">
        <w:r w:rsidR="00AF7253">
          <w:rPr>
            <w:rStyle w:val="Hyperlink"/>
            <w:b/>
            <w:bCs/>
            <w:lang w:eastAsia="x-none"/>
          </w:rPr>
          <w:t>R1-2310804</w:t>
        </w:r>
      </w:hyperlink>
      <w:r w:rsidR="00835CB1" w:rsidRPr="009537ED">
        <w:rPr>
          <w:b/>
          <w:bCs/>
          <w:lang w:eastAsia="x-none"/>
        </w:rPr>
        <w:tab/>
        <w:t>LS on Rel-18 UL Tx switching for parallel switching on four bands</w:t>
      </w:r>
      <w:r w:rsidR="00835CB1" w:rsidRPr="009537ED">
        <w:rPr>
          <w:b/>
          <w:bCs/>
          <w:lang w:eastAsia="x-none"/>
        </w:rPr>
        <w:tab/>
        <w:t>RAN4, MediaTek</w:t>
      </w:r>
    </w:p>
    <w:p w14:paraId="451ACDEC" w14:textId="77777777" w:rsidR="00835CB1" w:rsidRPr="009537ED" w:rsidRDefault="00835CB1" w:rsidP="00835CB1">
      <w:pPr>
        <w:rPr>
          <w:b/>
          <w:lang w:eastAsia="x-none"/>
        </w:rPr>
      </w:pPr>
      <w:r w:rsidRPr="009537ED">
        <w:rPr>
          <w:b/>
          <w:lang w:eastAsia="x-none"/>
        </w:rPr>
        <w:t>Relevant tdoc:</w:t>
      </w:r>
    </w:p>
    <w:p w14:paraId="305ABBD0" w14:textId="7D986785" w:rsidR="00835CB1" w:rsidRPr="009537ED" w:rsidRDefault="005A18DC" w:rsidP="00835CB1">
      <w:pPr>
        <w:rPr>
          <w:lang w:eastAsia="x-none"/>
        </w:rPr>
      </w:pPr>
      <w:hyperlink r:id="rId235" w:history="1">
        <w:r w:rsidR="00AF7253">
          <w:rPr>
            <w:rStyle w:val="Hyperlink"/>
            <w:lang w:eastAsia="x-none"/>
          </w:rPr>
          <w:t>R1-2311777</w:t>
        </w:r>
      </w:hyperlink>
      <w:r w:rsidR="00835CB1" w:rsidRPr="009537ED">
        <w:rPr>
          <w:lang w:eastAsia="x-none"/>
        </w:rPr>
        <w:tab/>
        <w:t>Discussion on Rel-18 UL Tx switching for parallel switching on four bands</w:t>
      </w:r>
      <w:r w:rsidR="00835CB1" w:rsidRPr="009537ED">
        <w:rPr>
          <w:lang w:eastAsia="x-none"/>
        </w:rPr>
        <w:tab/>
        <w:t>ZTE</w:t>
      </w:r>
    </w:p>
    <w:p w14:paraId="23E3F5AD" w14:textId="77777777" w:rsidR="00835CB1" w:rsidRPr="009537ED" w:rsidRDefault="00835CB1" w:rsidP="00835CB1">
      <w:pPr>
        <w:rPr>
          <w:lang w:eastAsia="x-none"/>
        </w:rPr>
      </w:pPr>
    </w:p>
    <w:p w14:paraId="7B54C2E3" w14:textId="6487C4D7" w:rsidR="00835CB1" w:rsidRPr="009537ED" w:rsidRDefault="005A18DC" w:rsidP="00835CB1">
      <w:pPr>
        <w:rPr>
          <w:lang w:eastAsia="x-none"/>
        </w:rPr>
      </w:pPr>
      <w:hyperlink r:id="rId236" w:history="1">
        <w:r w:rsidR="00AF7253">
          <w:rPr>
            <w:rStyle w:val="Hyperlink"/>
            <w:lang w:eastAsia="x-none"/>
          </w:rPr>
          <w:t>R1-2310793</w:t>
        </w:r>
      </w:hyperlink>
      <w:r w:rsidR="00835CB1" w:rsidRPr="009537ED">
        <w:rPr>
          <w:lang w:eastAsia="x-none"/>
        </w:rPr>
        <w:tab/>
        <w:t>LS reply to RAN4 LS R4-2314351</w:t>
      </w:r>
      <w:r w:rsidR="00835CB1" w:rsidRPr="009537ED">
        <w:rPr>
          <w:lang w:eastAsia="x-none"/>
        </w:rPr>
        <w:tab/>
        <w:t>RAN2, Ericsson</w:t>
      </w:r>
    </w:p>
    <w:p w14:paraId="7DC584E2" w14:textId="03D99AC9" w:rsidR="00835CB1" w:rsidRPr="009537ED" w:rsidRDefault="005A18DC" w:rsidP="00835CB1">
      <w:pPr>
        <w:rPr>
          <w:b/>
          <w:bCs/>
          <w:lang w:eastAsia="x-none"/>
        </w:rPr>
      </w:pPr>
      <w:hyperlink r:id="rId237" w:history="1">
        <w:r w:rsidR="00AF7253">
          <w:rPr>
            <w:rStyle w:val="Hyperlink"/>
            <w:b/>
            <w:bCs/>
            <w:lang w:eastAsia="x-none"/>
          </w:rPr>
          <w:t>R1-2310801</w:t>
        </w:r>
      </w:hyperlink>
      <w:r w:rsidR="00835CB1" w:rsidRPr="009537ED">
        <w:rPr>
          <w:b/>
          <w:bCs/>
          <w:lang w:eastAsia="x-none"/>
        </w:rPr>
        <w:tab/>
        <w:t>LS on network assistant signalling for advanced receivers</w:t>
      </w:r>
      <w:r w:rsidR="00835CB1" w:rsidRPr="009537ED">
        <w:rPr>
          <w:b/>
          <w:bCs/>
          <w:lang w:eastAsia="x-none"/>
        </w:rPr>
        <w:tab/>
        <w:t>RAN4, Nokia</w:t>
      </w:r>
    </w:p>
    <w:p w14:paraId="532648E7" w14:textId="77777777" w:rsidR="00915A90" w:rsidRPr="009537ED" w:rsidRDefault="00915A90" w:rsidP="00915A90">
      <w:pPr>
        <w:rPr>
          <w:bCs/>
          <w:lang w:eastAsia="x-none"/>
        </w:rPr>
      </w:pPr>
    </w:p>
    <w:p w14:paraId="1D87CD36" w14:textId="74B81640" w:rsidR="00835CB1" w:rsidRPr="009537ED" w:rsidRDefault="005A18DC" w:rsidP="00835CB1">
      <w:pPr>
        <w:rPr>
          <w:lang w:eastAsia="x-none"/>
        </w:rPr>
      </w:pPr>
      <w:hyperlink r:id="rId238" w:history="1">
        <w:r w:rsidR="00AF7253">
          <w:rPr>
            <w:rStyle w:val="Hyperlink"/>
            <w:lang w:eastAsia="x-none"/>
          </w:rPr>
          <w:t>R1-2310802</w:t>
        </w:r>
      </w:hyperlink>
      <w:r w:rsidR="00835CB1" w:rsidRPr="009537ED">
        <w:rPr>
          <w:lang w:eastAsia="x-none"/>
        </w:rPr>
        <w:tab/>
        <w:t>LS on SSB-less operation for Rel-18 NES</w:t>
      </w:r>
      <w:r w:rsidR="00835CB1" w:rsidRPr="009537ED">
        <w:rPr>
          <w:lang w:eastAsia="x-none"/>
        </w:rPr>
        <w:tab/>
        <w:t>RAN4, Huawei</w:t>
      </w:r>
    </w:p>
    <w:p w14:paraId="030AD111" w14:textId="77777777" w:rsidR="00915A90" w:rsidRPr="009537ED" w:rsidRDefault="00915A90" w:rsidP="00915A90">
      <w:pPr>
        <w:rPr>
          <w:b/>
          <w:lang w:eastAsia="x-none"/>
        </w:rPr>
      </w:pPr>
      <w:r w:rsidRPr="009537ED">
        <w:rPr>
          <w:b/>
          <w:lang w:eastAsia="x-none"/>
        </w:rPr>
        <w:t>Relevant tdoc:</w:t>
      </w:r>
    </w:p>
    <w:p w14:paraId="510324DC" w14:textId="4B28A4AC" w:rsidR="00915A90" w:rsidRPr="009537ED" w:rsidRDefault="005A18DC" w:rsidP="00915A90">
      <w:pPr>
        <w:rPr>
          <w:lang w:eastAsia="x-none"/>
        </w:rPr>
      </w:pPr>
      <w:hyperlink r:id="rId239" w:history="1">
        <w:r w:rsidR="00AF7253">
          <w:rPr>
            <w:rStyle w:val="Hyperlink"/>
            <w:lang w:eastAsia="x-none"/>
          </w:rPr>
          <w:t>R1-2312096</w:t>
        </w:r>
      </w:hyperlink>
      <w:r w:rsidR="00915A90" w:rsidRPr="009537ED">
        <w:rPr>
          <w:lang w:eastAsia="x-none"/>
        </w:rPr>
        <w:tab/>
        <w:t>Discussion related to RAN4 LS on inter-band SSB-less SCell</w:t>
      </w:r>
      <w:r w:rsidR="00915A90" w:rsidRPr="009537ED">
        <w:rPr>
          <w:lang w:eastAsia="x-none"/>
        </w:rPr>
        <w:tab/>
        <w:t>Ericsson</w:t>
      </w:r>
    </w:p>
    <w:p w14:paraId="1047F95F" w14:textId="77777777" w:rsidR="00915A90" w:rsidRPr="009537ED" w:rsidRDefault="00915A90" w:rsidP="00915A90">
      <w:pPr>
        <w:rPr>
          <w:lang w:eastAsia="x-none"/>
        </w:rPr>
      </w:pPr>
    </w:p>
    <w:p w14:paraId="7DD854E0" w14:textId="0B53B8B5" w:rsidR="00835CB1" w:rsidRPr="009537ED" w:rsidRDefault="005A18DC" w:rsidP="00835CB1">
      <w:pPr>
        <w:rPr>
          <w:lang w:eastAsia="x-none"/>
        </w:rPr>
      </w:pPr>
      <w:hyperlink r:id="rId240" w:history="1">
        <w:r w:rsidR="00AF7253">
          <w:rPr>
            <w:rStyle w:val="Hyperlink"/>
            <w:lang w:eastAsia="x-none"/>
          </w:rPr>
          <w:t>R1-2310803</w:t>
        </w:r>
      </w:hyperlink>
      <w:r w:rsidR="00835CB1" w:rsidRPr="009537ED">
        <w:rPr>
          <w:lang w:eastAsia="x-none"/>
        </w:rPr>
        <w:tab/>
        <w:t>LS on report mapping for positioning measurements with PRS_SRS bandwidth aggregation</w:t>
      </w:r>
      <w:r w:rsidR="00835CB1" w:rsidRPr="009537ED">
        <w:rPr>
          <w:lang w:eastAsia="x-none"/>
        </w:rPr>
        <w:tab/>
        <w:t>RAN4, Ericsson</w:t>
      </w:r>
    </w:p>
    <w:p w14:paraId="6F3D016B" w14:textId="41AFAE3E" w:rsidR="00835CB1" w:rsidRPr="009537ED" w:rsidRDefault="005A18DC" w:rsidP="00835CB1">
      <w:pPr>
        <w:rPr>
          <w:lang w:eastAsia="x-none"/>
        </w:rPr>
      </w:pPr>
      <w:hyperlink r:id="rId241" w:history="1">
        <w:r w:rsidR="00AF7253">
          <w:rPr>
            <w:rStyle w:val="Hyperlink"/>
            <w:lang w:eastAsia="x-none"/>
          </w:rPr>
          <w:t>R1-2310805</w:t>
        </w:r>
      </w:hyperlink>
      <w:r w:rsidR="00835CB1" w:rsidRPr="009537ED">
        <w:rPr>
          <w:lang w:eastAsia="x-none"/>
        </w:rPr>
        <w:tab/>
        <w:t>LS on unaffected band case for UL Tx switching</w:t>
      </w:r>
      <w:r w:rsidR="00835CB1" w:rsidRPr="009537ED">
        <w:rPr>
          <w:lang w:eastAsia="x-none"/>
        </w:rPr>
        <w:tab/>
        <w:t>RAN4, vivo</w:t>
      </w:r>
    </w:p>
    <w:p w14:paraId="126C6361" w14:textId="41E8719E" w:rsidR="00835CB1" w:rsidRPr="009537ED" w:rsidRDefault="005A18DC" w:rsidP="00835CB1">
      <w:pPr>
        <w:rPr>
          <w:lang w:eastAsia="x-none"/>
        </w:rPr>
      </w:pPr>
      <w:hyperlink r:id="rId242" w:history="1">
        <w:r w:rsidR="00AF7253">
          <w:rPr>
            <w:rStyle w:val="Hyperlink"/>
            <w:lang w:eastAsia="x-none"/>
          </w:rPr>
          <w:t>R1-2310806</w:t>
        </w:r>
      </w:hyperlink>
      <w:r w:rsidR="00835CB1" w:rsidRPr="009537ED">
        <w:rPr>
          <w:lang w:eastAsia="x-none"/>
        </w:rPr>
        <w:tab/>
        <w:t>LS on a capability of UE power class and IE on PEMAX,CA for SL CA</w:t>
      </w:r>
      <w:r w:rsidR="00835CB1" w:rsidRPr="009537ED">
        <w:rPr>
          <w:lang w:eastAsia="x-none"/>
        </w:rPr>
        <w:tab/>
        <w:t>RAN4, LG Electronics, OPPO</w:t>
      </w:r>
    </w:p>
    <w:p w14:paraId="632D3D4E" w14:textId="58DDE5EA" w:rsidR="00835CB1" w:rsidRPr="009537ED" w:rsidRDefault="005A18DC" w:rsidP="00835CB1">
      <w:pPr>
        <w:rPr>
          <w:lang w:eastAsia="x-none"/>
        </w:rPr>
      </w:pPr>
      <w:hyperlink r:id="rId243" w:history="1">
        <w:r w:rsidR="00AF7253">
          <w:rPr>
            <w:rStyle w:val="Hyperlink"/>
            <w:lang w:eastAsia="x-none"/>
          </w:rPr>
          <w:t>R1-2310807</w:t>
        </w:r>
      </w:hyperlink>
      <w:r w:rsidR="00835CB1" w:rsidRPr="009537ED">
        <w:rPr>
          <w:lang w:eastAsia="x-none"/>
        </w:rPr>
        <w:tab/>
        <w:t>LS on Rel-18 Tx switching enhancement</w:t>
      </w:r>
      <w:r w:rsidR="00835CB1" w:rsidRPr="009537ED">
        <w:rPr>
          <w:lang w:eastAsia="x-none"/>
        </w:rPr>
        <w:tab/>
        <w:t>RAN4, Huawei</w:t>
      </w:r>
    </w:p>
    <w:p w14:paraId="5995B499" w14:textId="779D0B1B" w:rsidR="00835CB1" w:rsidRPr="009537ED" w:rsidRDefault="005A18DC" w:rsidP="00835CB1">
      <w:pPr>
        <w:rPr>
          <w:lang w:eastAsia="x-none"/>
        </w:rPr>
      </w:pPr>
      <w:hyperlink r:id="rId244" w:history="1">
        <w:r w:rsidR="00AF7253">
          <w:rPr>
            <w:rStyle w:val="Hyperlink"/>
            <w:lang w:eastAsia="x-none"/>
          </w:rPr>
          <w:t>R1-2310810</w:t>
        </w:r>
      </w:hyperlink>
      <w:r w:rsidR="00835CB1" w:rsidRPr="009537ED">
        <w:rPr>
          <w:lang w:eastAsia="x-none"/>
        </w:rPr>
        <w:tab/>
        <w:t>Reply LS to SA2 on reporting positioning measurements taken in RRC_IDLE</w:t>
      </w:r>
      <w:r w:rsidR="00835CB1" w:rsidRPr="009537ED">
        <w:rPr>
          <w:lang w:eastAsia="x-none"/>
        </w:rPr>
        <w:tab/>
        <w:t>RAN2, CATT</w:t>
      </w:r>
    </w:p>
    <w:p w14:paraId="22146374" w14:textId="252283B1" w:rsidR="00030A34" w:rsidRDefault="005A18DC" w:rsidP="00F74A6F">
      <w:pPr>
        <w:rPr>
          <w:lang w:eastAsia="x-none"/>
        </w:rPr>
      </w:pPr>
      <w:hyperlink r:id="rId245" w:history="1">
        <w:r w:rsidR="00AF7253">
          <w:rPr>
            <w:rStyle w:val="Hyperlink"/>
            <w:lang w:eastAsia="x-none"/>
          </w:rPr>
          <w:t>R1-2311006</w:t>
        </w:r>
      </w:hyperlink>
      <w:r w:rsidR="00835CB1" w:rsidRPr="009537ED">
        <w:rPr>
          <w:lang w:eastAsia="x-none"/>
        </w:rPr>
        <w:tab/>
        <w:t>Reply LS on delta power class</w:t>
      </w:r>
      <w:r w:rsidR="00835CB1" w:rsidRPr="009537ED">
        <w:rPr>
          <w:lang w:eastAsia="x-none"/>
        </w:rPr>
        <w:tab/>
        <w:t>RAN2, Nokia</w:t>
      </w:r>
    </w:p>
    <w:p w14:paraId="0A58A6D3" w14:textId="77777777" w:rsidR="00AD125A" w:rsidRDefault="00AD125A" w:rsidP="00F74A6F">
      <w:pPr>
        <w:rPr>
          <w:lang w:eastAsia="x-none"/>
        </w:rPr>
      </w:pPr>
    </w:p>
    <w:p w14:paraId="562C5F85" w14:textId="77777777" w:rsidR="00AD125A" w:rsidRPr="009537ED" w:rsidRDefault="00AD125A" w:rsidP="00AD125A">
      <w:pPr>
        <w:rPr>
          <w:lang w:eastAsia="x-none"/>
        </w:rPr>
      </w:pPr>
      <w:r w:rsidRPr="009537ED">
        <w:rPr>
          <w:lang w:eastAsia="x-none"/>
        </w:rPr>
        <w:t>==============</w:t>
      </w:r>
    </w:p>
    <w:p w14:paraId="684D2FF6" w14:textId="77777777" w:rsidR="00AD125A" w:rsidRDefault="00AD125A" w:rsidP="00AD125A">
      <w:pPr>
        <w:rPr>
          <w:b/>
          <w:lang w:eastAsia="x-none"/>
        </w:rPr>
      </w:pPr>
      <w:r>
        <w:rPr>
          <w:b/>
          <w:lang w:eastAsia="x-none"/>
        </w:rPr>
        <w:t>T</w:t>
      </w:r>
      <w:r w:rsidRPr="009537ED">
        <w:rPr>
          <w:b/>
          <w:lang w:eastAsia="x-none"/>
        </w:rPr>
        <w:t>he following incoming LSs</w:t>
      </w:r>
      <w:r>
        <w:rPr>
          <w:b/>
          <w:lang w:eastAsia="x-none"/>
        </w:rPr>
        <w:t xml:space="preserve"> were received in the course of RAN1#115.</w:t>
      </w:r>
    </w:p>
    <w:p w14:paraId="2C2B37CF" w14:textId="4C7416BF" w:rsidR="00AD125A" w:rsidRPr="00AD125A" w:rsidRDefault="005A18DC" w:rsidP="00F74A6F">
      <w:pPr>
        <w:rPr>
          <w:b/>
          <w:bCs/>
          <w:lang w:eastAsia="x-none"/>
        </w:rPr>
      </w:pPr>
      <w:hyperlink r:id="rId246" w:history="1">
        <w:r w:rsidR="00AF7253">
          <w:rPr>
            <w:rStyle w:val="Hyperlink"/>
            <w:b/>
            <w:bCs/>
            <w:lang w:eastAsia="x-none"/>
          </w:rPr>
          <w:t>R1-2312494</w:t>
        </w:r>
      </w:hyperlink>
      <w:r w:rsidR="00AD125A" w:rsidRPr="00AD125A">
        <w:rPr>
          <w:b/>
          <w:bCs/>
          <w:lang w:eastAsia="x-none"/>
        </w:rPr>
        <w:tab/>
        <w:t>LS on Sidelink CSI Reporting MAC-CE for SL-CA</w:t>
      </w:r>
      <w:r w:rsidR="00AD125A" w:rsidRPr="00AD125A">
        <w:rPr>
          <w:b/>
          <w:bCs/>
          <w:lang w:eastAsia="x-none"/>
        </w:rPr>
        <w:tab/>
        <w:t>RAN2, OPPO</w:t>
      </w:r>
    </w:p>
    <w:p w14:paraId="69BFDED5" w14:textId="0F4D7F25" w:rsidR="00AD125A" w:rsidRDefault="00AD125A" w:rsidP="00F74A6F">
      <w:pPr>
        <w:rPr>
          <w:lang w:eastAsia="x-none"/>
        </w:rPr>
      </w:pPr>
      <w:r w:rsidRPr="009537ED">
        <w:rPr>
          <w:b/>
          <w:bCs/>
          <w:lang w:eastAsia="x-none"/>
        </w:rPr>
        <w:t>Decision:</w:t>
      </w:r>
      <w:r w:rsidRPr="009537ED">
        <w:rPr>
          <w:lang w:eastAsia="x-none"/>
        </w:rPr>
        <w:t xml:space="preserve"> To be taken into account as part of discussions in agenda item 8.</w:t>
      </w:r>
      <w:r>
        <w:rPr>
          <w:lang w:eastAsia="x-none"/>
        </w:rPr>
        <w:t>2</w:t>
      </w:r>
      <w:r w:rsidRPr="009537ED">
        <w:rPr>
          <w:lang w:eastAsia="x-none"/>
        </w:rPr>
        <w:t>.</w:t>
      </w:r>
      <w:r w:rsidR="00980CAF">
        <w:rPr>
          <w:lang w:eastAsia="x-none"/>
        </w:rPr>
        <w:t>3.</w:t>
      </w:r>
    </w:p>
    <w:p w14:paraId="1220AE0A" w14:textId="77777777" w:rsidR="00D74BF6" w:rsidRDefault="00D74BF6" w:rsidP="00F74A6F">
      <w:pPr>
        <w:rPr>
          <w:lang w:eastAsia="x-none"/>
        </w:rPr>
      </w:pPr>
    </w:p>
    <w:p w14:paraId="3AFDF0EB" w14:textId="0445581E" w:rsidR="00D74BF6" w:rsidRPr="00D74BF6" w:rsidRDefault="005A18DC" w:rsidP="00F74A6F">
      <w:pPr>
        <w:rPr>
          <w:b/>
          <w:bCs/>
          <w:lang w:eastAsia="x-none"/>
        </w:rPr>
      </w:pPr>
      <w:hyperlink r:id="rId247" w:history="1">
        <w:r w:rsidR="00D74BF6">
          <w:rPr>
            <w:rStyle w:val="Hyperlink"/>
            <w:b/>
            <w:bCs/>
            <w:lang w:eastAsia="x-none"/>
          </w:rPr>
          <w:t>R1-2312765</w:t>
        </w:r>
      </w:hyperlink>
      <w:r w:rsidR="00D74BF6" w:rsidRPr="00D74BF6">
        <w:rPr>
          <w:b/>
          <w:bCs/>
          <w:lang w:eastAsia="x-none"/>
        </w:rPr>
        <w:tab/>
        <w:t>RAN2 input to TR 38.843</w:t>
      </w:r>
      <w:r w:rsidR="00D74BF6" w:rsidRPr="00D74BF6">
        <w:rPr>
          <w:b/>
          <w:bCs/>
          <w:lang w:eastAsia="x-none"/>
        </w:rPr>
        <w:tab/>
        <w:t>RAN2, Ericsson</w:t>
      </w:r>
    </w:p>
    <w:p w14:paraId="6A5D2B21" w14:textId="513C427C" w:rsidR="00D74BF6" w:rsidRPr="009537ED" w:rsidRDefault="00D74BF6" w:rsidP="00F74A6F">
      <w:pPr>
        <w:rPr>
          <w:lang w:eastAsia="x-none"/>
        </w:rPr>
      </w:pPr>
      <w:r w:rsidRPr="009537ED">
        <w:rPr>
          <w:b/>
          <w:bCs/>
          <w:lang w:eastAsia="x-none"/>
        </w:rPr>
        <w:t>Decision:</w:t>
      </w:r>
      <w:r w:rsidRPr="009537ED">
        <w:rPr>
          <w:lang w:eastAsia="x-none"/>
        </w:rPr>
        <w:t xml:space="preserve"> To be taken into account as part of </w:t>
      </w:r>
      <w:r>
        <w:rPr>
          <w:lang w:eastAsia="x-none"/>
        </w:rPr>
        <w:t xml:space="preserve">TR endorsement </w:t>
      </w:r>
      <w:r w:rsidRPr="00D74BF6">
        <w:rPr>
          <w:rFonts w:ascii="Times New Roman" w:hAnsi="Times New Roman"/>
          <w:szCs w:val="20"/>
          <w:lang w:eastAsia="x-none"/>
        </w:rPr>
        <w:t>[Post-115-TR-AI/ML]</w:t>
      </w:r>
      <w:r>
        <w:rPr>
          <w:lang w:eastAsia="x-none"/>
        </w:rPr>
        <w:t>.</w:t>
      </w:r>
    </w:p>
    <w:p w14:paraId="25A1A996" w14:textId="77777777" w:rsidR="00F74A6F" w:rsidRPr="003D0087" w:rsidRDefault="00F74A6F" w:rsidP="00F74A6F">
      <w:pPr>
        <w:pStyle w:val="Heading1"/>
        <w:rPr>
          <w:lang w:val="fr-FR"/>
        </w:rPr>
      </w:pPr>
      <w:bookmarkStart w:id="23" w:name="_Toc150174434"/>
      <w:bookmarkStart w:id="24" w:name="_Toc159250976"/>
      <w:r w:rsidRPr="003D0087">
        <w:rPr>
          <w:lang w:val="fr-FR"/>
        </w:rPr>
        <w:t>Pre-Rel-18 E-UTRA Maintenance</w:t>
      </w:r>
      <w:bookmarkEnd w:id="23"/>
      <w:bookmarkEnd w:id="24"/>
    </w:p>
    <w:p w14:paraId="0836A129" w14:textId="064AC19A" w:rsidR="00EA1434" w:rsidRPr="00EA1434" w:rsidRDefault="005A18DC" w:rsidP="00EA1434">
      <w:pPr>
        <w:rPr>
          <w:b/>
          <w:bCs/>
        </w:rPr>
      </w:pPr>
      <w:hyperlink r:id="rId248" w:history="1">
        <w:r w:rsidR="00AF7253">
          <w:rPr>
            <w:rStyle w:val="Hyperlink"/>
            <w:b/>
            <w:bCs/>
          </w:rPr>
          <w:t>R1-2312568</w:t>
        </w:r>
      </w:hyperlink>
      <w:r w:rsidR="00EA1434" w:rsidRPr="00EA1434">
        <w:rPr>
          <w:b/>
          <w:bCs/>
        </w:rPr>
        <w:tab/>
        <w:t>Session notes for 6 (Pre-Rel-18 E-UTRA Maintenance)</w:t>
      </w:r>
      <w:r w:rsidR="00EA1434" w:rsidRPr="00EA1434">
        <w:rPr>
          <w:b/>
          <w:bCs/>
        </w:rPr>
        <w:tab/>
        <w:t>Ad-Hoc Chair (Huawei)</w:t>
      </w:r>
    </w:p>
    <w:p w14:paraId="53344217" w14:textId="77777777" w:rsidR="00EA1434" w:rsidRPr="00D96FAE" w:rsidRDefault="00EA1434" w:rsidP="00EA1434">
      <w:pPr>
        <w:rPr>
          <w:lang w:eastAsia="x-none"/>
        </w:rPr>
      </w:pPr>
      <w:r w:rsidRPr="00F05EFE">
        <w:rPr>
          <w:b/>
          <w:bCs/>
        </w:rPr>
        <w:t>Friday decision:</w:t>
      </w:r>
      <w:r>
        <w:t xml:space="preserve"> The </w:t>
      </w:r>
      <w:r>
        <w:rPr>
          <w:lang w:val="en-US" w:eastAsia="x-none"/>
        </w:rPr>
        <w:t>s</w:t>
      </w:r>
      <w:r w:rsidRPr="00663F3A">
        <w:rPr>
          <w:lang w:val="en-US" w:eastAsia="x-none"/>
        </w:rPr>
        <w:t>ession notes</w:t>
      </w:r>
      <w:r>
        <w:rPr>
          <w:lang w:val="en-US" w:eastAsia="x-none"/>
        </w:rPr>
        <w:t xml:space="preserve"> are </w:t>
      </w:r>
      <w:r>
        <w:rPr>
          <w:highlight w:val="green"/>
          <w:lang w:eastAsia="x-none"/>
        </w:rPr>
        <w:t>e</w:t>
      </w:r>
      <w:r w:rsidRPr="00D96FAE">
        <w:rPr>
          <w:highlight w:val="green"/>
          <w:lang w:eastAsia="x-none"/>
        </w:rPr>
        <w:t xml:space="preserve">ndorsed </w:t>
      </w:r>
      <w:r w:rsidRPr="00D96FAE">
        <w:rPr>
          <w:lang w:eastAsia="x-none"/>
        </w:rPr>
        <w:t>and contents reflected below.</w:t>
      </w:r>
    </w:p>
    <w:p w14:paraId="2ACC8CC8" w14:textId="77777777" w:rsidR="00EA1434" w:rsidRPr="00EA1434" w:rsidRDefault="00EA1434" w:rsidP="00EA1434"/>
    <w:p w14:paraId="1B60C2FD" w14:textId="77777777" w:rsidR="00835CB1" w:rsidRPr="009537ED" w:rsidRDefault="00F74A6F" w:rsidP="00F74A6F">
      <w:pPr>
        <w:rPr>
          <w:lang w:eastAsia="x-none"/>
        </w:rPr>
      </w:pPr>
      <w:r w:rsidRPr="009537ED">
        <w:rPr>
          <w:lang w:eastAsia="x-none"/>
        </w:rPr>
        <w:t xml:space="preserve">[115-LTE-CRs] </w:t>
      </w:r>
      <w:r w:rsidR="00835CB1" w:rsidRPr="009537ED">
        <w:rPr>
          <w:lang w:eastAsia="x-none"/>
        </w:rPr>
        <w:t>– RAN1 Chair</w:t>
      </w:r>
    </w:p>
    <w:p w14:paraId="3C1A7070" w14:textId="67EA1CD3" w:rsidR="00F74A6F" w:rsidRPr="009537ED" w:rsidRDefault="00F74A6F" w:rsidP="00F74A6F">
      <w:pPr>
        <w:rPr>
          <w:lang w:eastAsia="x-none"/>
        </w:rPr>
      </w:pPr>
      <w:r w:rsidRPr="009537ED">
        <w:rPr>
          <w:lang w:eastAsia="x-none"/>
        </w:rPr>
        <w:t>To be used for sharing updates on online/offline schedule, details on what is to be discussed in online/offline sessions, tdoc number of the moderator summary for online session, etc</w:t>
      </w:r>
    </w:p>
    <w:p w14:paraId="5D583DC5" w14:textId="77777777" w:rsidR="00F74A6F" w:rsidRPr="009537ED" w:rsidRDefault="00F74A6F" w:rsidP="00F74A6F">
      <w:pPr>
        <w:rPr>
          <w:lang w:eastAsia="x-none"/>
        </w:rPr>
      </w:pPr>
    </w:p>
    <w:p w14:paraId="1D469A8A" w14:textId="2C5CB496" w:rsidR="00F74A6F" w:rsidRPr="009537ED" w:rsidRDefault="005A18DC" w:rsidP="00F74A6F">
      <w:pPr>
        <w:rPr>
          <w:lang w:eastAsia="x-none"/>
        </w:rPr>
      </w:pPr>
      <w:hyperlink r:id="rId249" w:history="1">
        <w:r w:rsidR="00AF7253">
          <w:rPr>
            <w:rStyle w:val="Hyperlink"/>
            <w:b/>
            <w:bCs/>
            <w:lang w:eastAsia="x-none"/>
          </w:rPr>
          <w:t>R1-2312308</w:t>
        </w:r>
      </w:hyperlink>
      <w:r w:rsidR="00C94180" w:rsidRPr="009537ED">
        <w:rPr>
          <w:b/>
          <w:bCs/>
          <w:lang w:eastAsia="x-none"/>
        </w:rPr>
        <w:tab/>
        <w:t>Correction on Koffset during random access procedure</w:t>
      </w:r>
      <w:r w:rsidR="00C94180" w:rsidRPr="009537ED">
        <w:rPr>
          <w:b/>
          <w:bCs/>
          <w:lang w:eastAsia="x-none"/>
        </w:rPr>
        <w:tab/>
        <w:t>Qualcomm Incorporated</w:t>
      </w:r>
      <w:r w:rsidR="00C94180" w:rsidRPr="009537ED">
        <w:rPr>
          <w:lang w:eastAsia="x-none"/>
        </w:rPr>
        <w:tab/>
        <w:t xml:space="preserve">(rev of </w:t>
      </w:r>
      <w:hyperlink r:id="rId250" w:history="1">
        <w:r w:rsidR="00AF7253">
          <w:rPr>
            <w:rStyle w:val="Hyperlink"/>
            <w:lang w:eastAsia="x-none"/>
          </w:rPr>
          <w:t>R1-2312014</w:t>
        </w:r>
      </w:hyperlink>
      <w:r w:rsidR="00C94180" w:rsidRPr="009537ED">
        <w:rPr>
          <w:lang w:eastAsia="x-none"/>
        </w:rPr>
        <w:t>)</w:t>
      </w:r>
    </w:p>
    <w:p w14:paraId="0AE1D02F" w14:textId="3CBAD779" w:rsidR="00835CB1" w:rsidRDefault="00112405" w:rsidP="00835CB1">
      <w:pPr>
        <w:rPr>
          <w:lang w:eastAsia="x-none"/>
        </w:rPr>
      </w:pPr>
      <w:r w:rsidRPr="00EA1434">
        <w:rPr>
          <w:b/>
          <w:bCs/>
          <w:lang w:eastAsia="x-none"/>
        </w:rPr>
        <w:t>Monday decision:</w:t>
      </w:r>
      <w:r w:rsidRPr="00EA1434">
        <w:rPr>
          <w:lang w:eastAsia="x-none"/>
        </w:rPr>
        <w:t xml:space="preserve"> </w:t>
      </w:r>
      <w:r w:rsidR="00835CB1" w:rsidRPr="00EA1434">
        <w:rPr>
          <w:lang w:eastAsia="x-none"/>
        </w:rPr>
        <w:t>Comeback on Tuesday.</w:t>
      </w:r>
      <w:r w:rsidRPr="00EA1434">
        <w:rPr>
          <w:lang w:eastAsia="x-none"/>
        </w:rPr>
        <w:t xml:space="preserve"> To be moderated by Alberto (Qualcomm).</w:t>
      </w:r>
    </w:p>
    <w:p w14:paraId="0DBAB4EA" w14:textId="0E48F162" w:rsidR="006268B0" w:rsidRPr="006268B0" w:rsidRDefault="005A18DC" w:rsidP="00835CB1">
      <w:pPr>
        <w:rPr>
          <w:b/>
          <w:bCs/>
          <w:lang w:eastAsia="x-none"/>
        </w:rPr>
      </w:pPr>
      <w:hyperlink r:id="rId251" w:history="1">
        <w:r w:rsidR="00AF7253">
          <w:rPr>
            <w:rStyle w:val="Hyperlink"/>
            <w:b/>
            <w:bCs/>
            <w:lang w:eastAsia="x-none"/>
          </w:rPr>
          <w:t>R1-2312390</w:t>
        </w:r>
      </w:hyperlink>
      <w:r w:rsidR="006268B0" w:rsidRPr="006268B0">
        <w:rPr>
          <w:b/>
          <w:bCs/>
          <w:lang w:eastAsia="x-none"/>
        </w:rPr>
        <w:tab/>
        <w:t xml:space="preserve">Discussion on </w:t>
      </w:r>
      <w:hyperlink r:id="rId252" w:history="1">
        <w:r w:rsidR="00AF7253">
          <w:rPr>
            <w:rStyle w:val="Hyperlink"/>
            <w:b/>
            <w:bCs/>
            <w:lang w:eastAsia="x-none"/>
          </w:rPr>
          <w:t>R1-2312308</w:t>
        </w:r>
      </w:hyperlink>
      <w:r w:rsidR="006268B0" w:rsidRPr="006268B0">
        <w:rPr>
          <w:b/>
          <w:bCs/>
          <w:lang w:eastAsia="x-none"/>
        </w:rPr>
        <w:t xml:space="preserve"> - Correction on Koffset during random access procedure</w:t>
      </w:r>
      <w:r w:rsidR="006268B0" w:rsidRPr="006268B0">
        <w:rPr>
          <w:b/>
          <w:bCs/>
          <w:lang w:eastAsia="x-none"/>
        </w:rPr>
        <w:tab/>
        <w:t>Moderator (Qualcomm Incorporated)</w:t>
      </w:r>
    </w:p>
    <w:p w14:paraId="5D860D7B" w14:textId="48B97498" w:rsidR="00A90D06" w:rsidRPr="00EA1434" w:rsidRDefault="00A90D06" w:rsidP="00835CB1">
      <w:pPr>
        <w:rPr>
          <w:lang w:eastAsia="x-none"/>
        </w:rPr>
      </w:pPr>
      <w:r>
        <w:rPr>
          <w:lang w:eastAsia="x-none"/>
        </w:rPr>
        <w:t>From Wednesday session</w:t>
      </w:r>
    </w:p>
    <w:p w14:paraId="11D8CF25" w14:textId="77777777" w:rsidR="00EA1434" w:rsidRDefault="00EA1434" w:rsidP="00EA1434">
      <w:pPr>
        <w:rPr>
          <w:lang w:eastAsia="x-none"/>
        </w:rPr>
      </w:pPr>
      <w:r w:rsidRPr="001939BD">
        <w:rPr>
          <w:highlight w:val="green"/>
          <w:lang w:eastAsia="x-none"/>
        </w:rPr>
        <w:t>Agreement</w:t>
      </w:r>
    </w:p>
    <w:p w14:paraId="4D323CE9" w14:textId="0A0D6413" w:rsidR="00EA1434" w:rsidRPr="00EA1434" w:rsidRDefault="00EA1434" w:rsidP="00A67145">
      <w:pPr>
        <w:pStyle w:val="ListParagraph"/>
        <w:numPr>
          <w:ilvl w:val="0"/>
          <w:numId w:val="223"/>
        </w:numPr>
        <w:rPr>
          <w:bCs/>
          <w:lang w:eastAsia="x-none"/>
        </w:rPr>
      </w:pPr>
      <w:r w:rsidRPr="00EA1434">
        <w:rPr>
          <w:bCs/>
          <w:lang w:eastAsia="x-none"/>
        </w:rPr>
        <w:t xml:space="preserve">The draft CR in </w:t>
      </w:r>
      <w:hyperlink r:id="rId253" w:history="1">
        <w:r w:rsidR="00AF7253">
          <w:rPr>
            <w:rStyle w:val="Hyperlink"/>
            <w:bCs/>
            <w:lang w:eastAsia="x-none"/>
          </w:rPr>
          <w:t>R1-2312308</w:t>
        </w:r>
      </w:hyperlink>
      <w:r w:rsidRPr="00EA1434">
        <w:rPr>
          <w:bCs/>
          <w:lang w:eastAsia="x-none"/>
        </w:rPr>
        <w:t xml:space="preserve"> is endorsed. </w:t>
      </w:r>
    </w:p>
    <w:p w14:paraId="26647417" w14:textId="77777777" w:rsidR="00A90D06" w:rsidRDefault="00EA1434" w:rsidP="00EA1434">
      <w:pPr>
        <w:rPr>
          <w:bCs/>
          <w:lang w:eastAsia="x-none"/>
        </w:rPr>
      </w:pPr>
      <w:r w:rsidRPr="001939BD">
        <w:rPr>
          <w:bCs/>
          <w:lang w:eastAsia="x-none"/>
        </w:rPr>
        <w:t>Final CRs in</w:t>
      </w:r>
      <w:r w:rsidR="00A90D06">
        <w:rPr>
          <w:bCs/>
          <w:lang w:eastAsia="x-none"/>
        </w:rPr>
        <w:t>:</w:t>
      </w:r>
    </w:p>
    <w:p w14:paraId="477AA62C" w14:textId="68E5AE1E" w:rsidR="00782B38" w:rsidRPr="00A90D06" w:rsidRDefault="005A18DC" w:rsidP="00782B38">
      <w:pPr>
        <w:rPr>
          <w:b/>
          <w:bCs/>
          <w:lang w:eastAsia="x-none"/>
        </w:rPr>
      </w:pPr>
      <w:hyperlink r:id="rId254" w:history="1">
        <w:r w:rsidR="00AF7253">
          <w:rPr>
            <w:rStyle w:val="Hyperlink"/>
            <w:b/>
            <w:bCs/>
            <w:highlight w:val="green"/>
            <w:lang w:eastAsia="x-none"/>
          </w:rPr>
          <w:t>R1-2312490</w:t>
        </w:r>
      </w:hyperlink>
      <w:r w:rsidR="00782B38" w:rsidRPr="00A90D06">
        <w:rPr>
          <w:b/>
          <w:bCs/>
          <w:lang w:eastAsia="x-none"/>
        </w:rPr>
        <w:tab/>
        <w:t>Correction on Koffset during random access procedure</w:t>
      </w:r>
      <w:r w:rsidR="00782B38" w:rsidRPr="00A90D06">
        <w:rPr>
          <w:b/>
          <w:bCs/>
          <w:lang w:eastAsia="x-none"/>
        </w:rPr>
        <w:tab/>
        <w:t>Qualcomm Incorporated</w:t>
      </w:r>
    </w:p>
    <w:p w14:paraId="11B82C1A" w14:textId="322933BA" w:rsidR="00782B38" w:rsidRPr="004B3090" w:rsidRDefault="00782B38" w:rsidP="00782B38">
      <w:pPr>
        <w:rPr>
          <w:lang w:eastAsia="x-none"/>
        </w:rPr>
      </w:pPr>
      <w:r w:rsidRPr="004B3090">
        <w:rPr>
          <w:lang w:eastAsia="x-none"/>
        </w:rPr>
        <w:t xml:space="preserve">(Rel-17, </w:t>
      </w:r>
      <w:r w:rsidRPr="004B3090">
        <w:rPr>
          <w:lang w:eastAsia="x-none"/>
        </w:rPr>
        <w:tab/>
      </w:r>
      <w:r w:rsidR="00BD4CF7" w:rsidRPr="004B3090">
        <w:rPr>
          <w:lang w:eastAsia="x-none"/>
        </w:rPr>
        <w:t xml:space="preserve">TS </w:t>
      </w:r>
      <w:r w:rsidRPr="004B3090">
        <w:rPr>
          <w:lang w:eastAsia="x-none"/>
        </w:rPr>
        <w:t>36.213</w:t>
      </w:r>
      <w:r w:rsidR="00BD4CF7" w:rsidRPr="004B3090">
        <w:rPr>
          <w:lang w:eastAsia="x-none"/>
        </w:rPr>
        <w:t xml:space="preserve">, </w:t>
      </w:r>
      <w:r w:rsidRPr="004B3090">
        <w:rPr>
          <w:lang w:eastAsia="x-none"/>
        </w:rPr>
        <w:t>LTE_NBIOT_eMTC_NTN-Core</w:t>
      </w:r>
      <w:r w:rsidRPr="004B3090">
        <w:rPr>
          <w:lang w:eastAsia="x-none"/>
        </w:rPr>
        <w:tab/>
      </w:r>
      <w:r w:rsidR="00BD4CF7" w:rsidRPr="004B3090">
        <w:rPr>
          <w:lang w:eastAsia="x-none"/>
        </w:rPr>
        <w:t>, CR</w:t>
      </w:r>
      <w:r w:rsidRPr="004B3090">
        <w:rPr>
          <w:lang w:eastAsia="x-none"/>
        </w:rPr>
        <w:t>1440</w:t>
      </w:r>
      <w:r w:rsidR="00BD4CF7" w:rsidRPr="004B3090">
        <w:rPr>
          <w:lang w:eastAsia="x-none"/>
        </w:rPr>
        <w:t>, Cat F)</w:t>
      </w:r>
      <w:r w:rsidR="00A90D06">
        <w:rPr>
          <w:lang w:eastAsia="x-none"/>
        </w:rPr>
        <w:t xml:space="preserve"> is agreed.</w:t>
      </w:r>
    </w:p>
    <w:p w14:paraId="10A584C1" w14:textId="3F46D6FE" w:rsidR="00BD4CF7" w:rsidRPr="00A90D06" w:rsidRDefault="005A18DC" w:rsidP="00782B38">
      <w:pPr>
        <w:rPr>
          <w:b/>
          <w:bCs/>
          <w:lang w:eastAsia="x-none"/>
        </w:rPr>
      </w:pPr>
      <w:hyperlink r:id="rId255" w:history="1">
        <w:r w:rsidR="00AF7253">
          <w:rPr>
            <w:rStyle w:val="Hyperlink"/>
            <w:b/>
            <w:bCs/>
            <w:highlight w:val="green"/>
            <w:lang w:eastAsia="x-none"/>
          </w:rPr>
          <w:t>R1-2312491</w:t>
        </w:r>
      </w:hyperlink>
      <w:r w:rsidR="00782B38" w:rsidRPr="00A90D06">
        <w:rPr>
          <w:b/>
          <w:bCs/>
          <w:lang w:eastAsia="x-none"/>
        </w:rPr>
        <w:tab/>
        <w:t>Correction on Koffset during random access procedure</w:t>
      </w:r>
      <w:r w:rsidR="00782B38" w:rsidRPr="00A90D06">
        <w:rPr>
          <w:b/>
          <w:bCs/>
          <w:lang w:eastAsia="x-none"/>
        </w:rPr>
        <w:tab/>
        <w:t>Qualcomm Incorporated</w:t>
      </w:r>
    </w:p>
    <w:p w14:paraId="69DFBB85" w14:textId="07C328DC" w:rsidR="00BD4CF7" w:rsidRDefault="00BD4CF7" w:rsidP="00782B38">
      <w:pPr>
        <w:rPr>
          <w:lang w:eastAsia="x-none"/>
        </w:rPr>
      </w:pPr>
      <w:r w:rsidRPr="00A90D06">
        <w:rPr>
          <w:lang w:eastAsia="x-none"/>
        </w:rPr>
        <w:t xml:space="preserve">(Rel-18, </w:t>
      </w:r>
      <w:r w:rsidRPr="00A90D06">
        <w:rPr>
          <w:lang w:eastAsia="x-none"/>
        </w:rPr>
        <w:tab/>
        <w:t>TS 36.213, LTE_NBIOT_eMTC_NTN-Core</w:t>
      </w:r>
      <w:r w:rsidRPr="00A90D06">
        <w:rPr>
          <w:lang w:eastAsia="x-none"/>
        </w:rPr>
        <w:tab/>
        <w:t>, CR1441, Cat A)</w:t>
      </w:r>
      <w:r w:rsidR="00A90D06" w:rsidRPr="00A90D06">
        <w:rPr>
          <w:lang w:eastAsia="x-none"/>
        </w:rPr>
        <w:t xml:space="preserve"> i</w:t>
      </w:r>
      <w:r w:rsidR="00A90D06">
        <w:rPr>
          <w:lang w:eastAsia="x-none"/>
        </w:rPr>
        <w:t>s agreed.</w:t>
      </w:r>
    </w:p>
    <w:p w14:paraId="38A37028" w14:textId="77777777" w:rsidR="00F74A6F" w:rsidRPr="009537ED" w:rsidRDefault="00F74A6F" w:rsidP="00F74A6F">
      <w:pPr>
        <w:pStyle w:val="Heading1"/>
      </w:pPr>
      <w:bookmarkStart w:id="25" w:name="_Toc95481737"/>
      <w:bookmarkStart w:id="26" w:name="_Toc150174435"/>
      <w:bookmarkStart w:id="27" w:name="_Toc159250977"/>
      <w:r w:rsidRPr="009537ED">
        <w:t>Pre-Rel-18 NR Maintenance</w:t>
      </w:r>
      <w:bookmarkEnd w:id="25"/>
      <w:bookmarkEnd w:id="26"/>
      <w:bookmarkEnd w:id="27"/>
    </w:p>
    <w:p w14:paraId="53359C76" w14:textId="77777777" w:rsidR="00F74A6F" w:rsidRPr="009537ED" w:rsidRDefault="00F74A6F" w:rsidP="00F74A6F">
      <w:pPr>
        <w:pStyle w:val="Heading2"/>
      </w:pPr>
      <w:bookmarkStart w:id="28" w:name="_Toc150174436"/>
      <w:bookmarkStart w:id="29" w:name="_Toc159250978"/>
      <w:r w:rsidRPr="009537ED">
        <w:t>Maintenance on NR Releases 15 – 16</w:t>
      </w:r>
      <w:bookmarkEnd w:id="28"/>
      <w:bookmarkEnd w:id="29"/>
    </w:p>
    <w:p w14:paraId="19C06497" w14:textId="77777777" w:rsidR="00835CB1" w:rsidRPr="009537ED" w:rsidRDefault="00F74A6F" w:rsidP="00F74A6F">
      <w:pPr>
        <w:rPr>
          <w:lang w:eastAsia="x-none"/>
        </w:rPr>
      </w:pPr>
      <w:r w:rsidRPr="009537ED">
        <w:rPr>
          <w:lang w:eastAsia="x-none"/>
        </w:rPr>
        <w:t>[115-R15/R16-NR]</w:t>
      </w:r>
      <w:r w:rsidR="00835CB1" w:rsidRPr="009537ED">
        <w:rPr>
          <w:lang w:eastAsia="x-none"/>
        </w:rPr>
        <w:t xml:space="preserve"> – RAN1 Chair</w:t>
      </w:r>
    </w:p>
    <w:p w14:paraId="4A81F7A0" w14:textId="0EFF7584" w:rsidR="00F74A6F" w:rsidRPr="009537ED" w:rsidRDefault="00F74A6F" w:rsidP="00F74A6F">
      <w:pPr>
        <w:rPr>
          <w:lang w:eastAsia="x-none"/>
        </w:rPr>
      </w:pPr>
      <w:r w:rsidRPr="009537ED">
        <w:rPr>
          <w:lang w:eastAsia="x-none"/>
        </w:rPr>
        <w:t>To be used for sharing updates on online/offline schedule, details on what is to be discussed in online/offline sessions, tdoc number of the moderator summary for online session, etc</w:t>
      </w:r>
    </w:p>
    <w:p w14:paraId="770587D8" w14:textId="77777777" w:rsidR="00F74A6F" w:rsidRDefault="00F74A6F" w:rsidP="00F74A6F">
      <w:pPr>
        <w:rPr>
          <w:lang w:eastAsia="x-none"/>
        </w:rPr>
      </w:pPr>
    </w:p>
    <w:p w14:paraId="796FD8DD" w14:textId="77777777" w:rsidR="00EE260D" w:rsidRPr="009537ED" w:rsidRDefault="00EE260D" w:rsidP="00F74A6F">
      <w:pPr>
        <w:rPr>
          <w:lang w:eastAsia="x-none"/>
        </w:rPr>
      </w:pPr>
    </w:p>
    <w:bookmarkStart w:id="30" w:name="_Toc150174437"/>
    <w:p w14:paraId="145B0808" w14:textId="09E9ECFF" w:rsidR="00835CB1" w:rsidRPr="009537ED" w:rsidRDefault="00AF7253" w:rsidP="00835CB1">
      <w:pPr>
        <w:rPr>
          <w:b/>
          <w:bCs/>
          <w:lang w:eastAsia="x-none"/>
        </w:rPr>
      </w:pPr>
      <w:r>
        <w:rPr>
          <w:b/>
          <w:bCs/>
          <w:lang w:eastAsia="x-none"/>
        </w:rPr>
        <w:fldChar w:fldCharType="begin"/>
      </w:r>
      <w:r>
        <w:rPr>
          <w:b/>
          <w:bCs/>
          <w:lang w:eastAsia="x-none"/>
        </w:rPr>
        <w:instrText>HYPERLINK "../Docs/R1-2310944.zip"</w:instrText>
      </w:r>
      <w:r>
        <w:rPr>
          <w:b/>
          <w:bCs/>
          <w:lang w:eastAsia="x-none"/>
        </w:rPr>
      </w:r>
      <w:r>
        <w:rPr>
          <w:b/>
          <w:bCs/>
          <w:lang w:eastAsia="x-none"/>
        </w:rPr>
        <w:fldChar w:fldCharType="separate"/>
      </w:r>
      <w:r>
        <w:rPr>
          <w:rStyle w:val="Hyperlink"/>
          <w:b/>
          <w:bCs/>
          <w:lang w:eastAsia="x-none"/>
        </w:rPr>
        <w:t>R1-2310944</w:t>
      </w:r>
      <w:r>
        <w:rPr>
          <w:b/>
          <w:bCs/>
          <w:lang w:eastAsia="x-none"/>
        </w:rPr>
        <w:fldChar w:fldCharType="end"/>
      </w:r>
      <w:r w:rsidR="00835CB1" w:rsidRPr="009537ED">
        <w:rPr>
          <w:b/>
          <w:bCs/>
          <w:lang w:eastAsia="x-none"/>
        </w:rPr>
        <w:tab/>
        <w:t>Draft CR correcting power allocation reference in 38.211</w:t>
      </w:r>
      <w:r w:rsidR="00835CB1" w:rsidRPr="009537ED">
        <w:rPr>
          <w:b/>
          <w:bCs/>
          <w:lang w:eastAsia="x-none"/>
        </w:rPr>
        <w:tab/>
        <w:t>Ericsson</w:t>
      </w:r>
    </w:p>
    <w:p w14:paraId="034FE2EB" w14:textId="1B15222C" w:rsidR="00835CB1" w:rsidRPr="009537ED" w:rsidRDefault="00B14ACC" w:rsidP="00835CB1">
      <w:pPr>
        <w:rPr>
          <w:lang w:eastAsia="x-none"/>
        </w:rPr>
      </w:pPr>
      <w:r w:rsidRPr="00A65B1B">
        <w:rPr>
          <w:b/>
          <w:bCs/>
          <w:lang w:eastAsia="x-none"/>
        </w:rPr>
        <w:t>Monday session:</w:t>
      </w:r>
      <w:r w:rsidRPr="00A65B1B">
        <w:rPr>
          <w:lang w:eastAsia="x-none"/>
        </w:rPr>
        <w:t xml:space="preserve"> Comeback and d</w:t>
      </w:r>
      <w:r w:rsidR="00835CB1" w:rsidRPr="00A65B1B">
        <w:rPr>
          <w:lang w:eastAsia="x-none"/>
        </w:rPr>
        <w:t>ecide whether to adopt the proposed spec change.</w:t>
      </w:r>
    </w:p>
    <w:p w14:paraId="2AC0F3D7" w14:textId="36021495" w:rsidR="00835CB1" w:rsidRDefault="00A65B1B" w:rsidP="00835CB1">
      <w:pPr>
        <w:rPr>
          <w:lang w:eastAsia="x-none"/>
        </w:rPr>
      </w:pPr>
      <w:r w:rsidRPr="007A6C02">
        <w:rPr>
          <w:lang w:eastAsia="x-none"/>
        </w:rPr>
        <w:t xml:space="preserve">Draft CR in </w:t>
      </w:r>
      <w:hyperlink r:id="rId256" w:history="1">
        <w:r w:rsidR="00AF7253">
          <w:rPr>
            <w:rStyle w:val="Hyperlink"/>
            <w:lang w:eastAsia="x-none"/>
          </w:rPr>
          <w:t>R1-2310944</w:t>
        </w:r>
      </w:hyperlink>
      <w:r w:rsidRPr="007A6C02">
        <w:rPr>
          <w:lang w:eastAsia="x-none"/>
        </w:rPr>
        <w:t xml:space="preserve"> is not pursued.</w:t>
      </w:r>
    </w:p>
    <w:p w14:paraId="08EB387F" w14:textId="77777777" w:rsidR="00A65B1B" w:rsidRPr="009537ED" w:rsidRDefault="00A65B1B" w:rsidP="00835CB1">
      <w:pPr>
        <w:rPr>
          <w:lang w:eastAsia="x-none"/>
        </w:rPr>
      </w:pPr>
    </w:p>
    <w:p w14:paraId="37BCAE4F" w14:textId="77777777" w:rsidR="00D25D6B" w:rsidRPr="009537ED" w:rsidRDefault="00D25D6B" w:rsidP="00D25D6B">
      <w:pPr>
        <w:rPr>
          <w:lang w:eastAsia="x-none"/>
        </w:rPr>
      </w:pPr>
      <w:r w:rsidRPr="009537ED">
        <w:rPr>
          <w:lang w:eastAsia="x-none"/>
        </w:rPr>
        <w:t>-----------------------</w:t>
      </w:r>
    </w:p>
    <w:p w14:paraId="475747DD" w14:textId="7273C8B7" w:rsidR="00835CB1" w:rsidRPr="009537ED" w:rsidRDefault="005A18DC" w:rsidP="00835CB1">
      <w:pPr>
        <w:rPr>
          <w:b/>
          <w:bCs/>
          <w:lang w:eastAsia="x-none"/>
        </w:rPr>
      </w:pPr>
      <w:hyperlink r:id="rId257" w:history="1">
        <w:r w:rsidR="00AF7253">
          <w:rPr>
            <w:rStyle w:val="Hyperlink"/>
            <w:b/>
            <w:bCs/>
            <w:lang w:eastAsia="x-none"/>
          </w:rPr>
          <w:t>R1-2312178</w:t>
        </w:r>
      </w:hyperlink>
      <w:r w:rsidR="00835CB1" w:rsidRPr="009537ED">
        <w:rPr>
          <w:b/>
          <w:bCs/>
          <w:lang w:eastAsia="x-none"/>
        </w:rPr>
        <w:tab/>
        <w:t>Correction on NR Sidelink</w:t>
      </w:r>
      <w:r w:rsidR="00835CB1" w:rsidRPr="009537ED">
        <w:rPr>
          <w:b/>
          <w:bCs/>
          <w:lang w:eastAsia="x-none"/>
        </w:rPr>
        <w:tab/>
        <w:t>Philips International B.V.</w:t>
      </w:r>
    </w:p>
    <w:p w14:paraId="7A6CC212" w14:textId="79DC5525" w:rsidR="00835CB1" w:rsidRPr="009537ED" w:rsidRDefault="005A18DC" w:rsidP="00835CB1">
      <w:pPr>
        <w:rPr>
          <w:lang w:eastAsia="x-none"/>
        </w:rPr>
      </w:pPr>
      <w:hyperlink r:id="rId258" w:history="1">
        <w:r w:rsidR="00AF7253">
          <w:rPr>
            <w:rStyle w:val="Hyperlink"/>
            <w:lang w:eastAsia="x-none"/>
          </w:rPr>
          <w:t>R1-2312179</w:t>
        </w:r>
      </w:hyperlink>
      <w:r w:rsidR="00835CB1" w:rsidRPr="009537ED">
        <w:rPr>
          <w:lang w:eastAsia="x-none"/>
        </w:rPr>
        <w:tab/>
        <w:t>Correction on NR Sidelink</w:t>
      </w:r>
      <w:r w:rsidR="00835CB1" w:rsidRPr="009537ED">
        <w:rPr>
          <w:lang w:eastAsia="x-none"/>
        </w:rPr>
        <w:tab/>
        <w:t>Philips International B.V.</w:t>
      </w:r>
    </w:p>
    <w:p w14:paraId="395E361C" w14:textId="49489A73" w:rsidR="00835CB1" w:rsidRPr="009537ED" w:rsidRDefault="005A18DC" w:rsidP="00835CB1">
      <w:pPr>
        <w:rPr>
          <w:lang w:eastAsia="x-none"/>
        </w:rPr>
      </w:pPr>
      <w:hyperlink r:id="rId259" w:history="1">
        <w:r w:rsidR="00AF7253">
          <w:rPr>
            <w:rStyle w:val="Hyperlink"/>
            <w:lang w:eastAsia="x-none"/>
          </w:rPr>
          <w:t>R1-2312181</w:t>
        </w:r>
      </w:hyperlink>
      <w:r w:rsidR="00835CB1" w:rsidRPr="009537ED">
        <w:rPr>
          <w:lang w:eastAsia="x-none"/>
        </w:rPr>
        <w:tab/>
        <w:t>Correction on NR Sidelink</w:t>
      </w:r>
      <w:r w:rsidR="00835CB1" w:rsidRPr="009537ED">
        <w:rPr>
          <w:lang w:eastAsia="x-none"/>
        </w:rPr>
        <w:tab/>
        <w:t>Philips International B.V.</w:t>
      </w:r>
    </w:p>
    <w:p w14:paraId="1559DCCE" w14:textId="67EED451" w:rsidR="00B14ACC" w:rsidRPr="009537ED" w:rsidRDefault="00B14ACC" w:rsidP="00835CB1">
      <w:pPr>
        <w:rPr>
          <w:lang w:eastAsia="x-none"/>
        </w:rPr>
      </w:pPr>
      <w:r w:rsidRPr="009537ED">
        <w:rPr>
          <w:lang w:eastAsia="x-none"/>
        </w:rPr>
        <w:t>Document type to be used should be "draftCR" to avoid 3GU automatic allocation of CR#.</w:t>
      </w:r>
    </w:p>
    <w:p w14:paraId="72BACBA3" w14:textId="19760CED" w:rsidR="00B14ACC" w:rsidRPr="009537ED" w:rsidRDefault="00B14ACC" w:rsidP="00B14ACC">
      <w:pPr>
        <w:rPr>
          <w:lang w:eastAsia="x-none"/>
        </w:rPr>
      </w:pPr>
      <w:r w:rsidRPr="009537ED">
        <w:rPr>
          <w:b/>
          <w:bCs/>
          <w:lang w:eastAsia="x-none"/>
        </w:rPr>
        <w:t>Monday session</w:t>
      </w:r>
      <w:r w:rsidR="00295AA7" w:rsidRPr="009537ED">
        <w:rPr>
          <w:b/>
          <w:bCs/>
          <w:lang w:eastAsia="x-none"/>
        </w:rPr>
        <w:t xml:space="preserve">: </w:t>
      </w:r>
      <w:r w:rsidRPr="009537ED">
        <w:rPr>
          <w:highlight w:val="green"/>
          <w:lang w:eastAsia="x-none"/>
        </w:rPr>
        <w:t>Endorsed in principle</w:t>
      </w:r>
      <w:r w:rsidRPr="009537ED">
        <w:rPr>
          <w:lang w:eastAsia="x-none"/>
        </w:rPr>
        <w:t xml:space="preserve"> for Rel-16, Rel-17, Rel-18 with rephrasing the consequences if not approved. </w:t>
      </w:r>
    </w:p>
    <w:p w14:paraId="57909555" w14:textId="778CD9B1" w:rsidR="00B14ACC" w:rsidRPr="009537ED" w:rsidRDefault="00B14ACC" w:rsidP="00B14ACC">
      <w:pPr>
        <w:rPr>
          <w:lang w:eastAsia="x-none"/>
        </w:rPr>
      </w:pPr>
      <w:r w:rsidRPr="009537ED">
        <w:rPr>
          <w:lang w:eastAsia="x-none"/>
        </w:rPr>
        <w:t>Final CRs in</w:t>
      </w:r>
      <w:r w:rsidR="00E660D9">
        <w:rPr>
          <w:lang w:eastAsia="x-none"/>
        </w:rPr>
        <w:t>:</w:t>
      </w:r>
    </w:p>
    <w:p w14:paraId="30AE01E6" w14:textId="0F111D49" w:rsidR="00E660D9" w:rsidRPr="00E660D9" w:rsidRDefault="005A18DC" w:rsidP="00E660D9">
      <w:pPr>
        <w:rPr>
          <w:b/>
          <w:bCs/>
          <w:lang w:eastAsia="x-none"/>
        </w:rPr>
      </w:pPr>
      <w:hyperlink r:id="rId260" w:history="1">
        <w:r w:rsidR="00AF7253">
          <w:rPr>
            <w:rStyle w:val="Hyperlink"/>
            <w:b/>
            <w:bCs/>
            <w:highlight w:val="green"/>
            <w:lang w:eastAsia="x-none"/>
          </w:rPr>
          <w:t>R1-2312523</w:t>
        </w:r>
      </w:hyperlink>
      <w:r w:rsidR="00E660D9" w:rsidRPr="00E660D9">
        <w:rPr>
          <w:b/>
          <w:bCs/>
          <w:lang w:eastAsia="x-none"/>
        </w:rPr>
        <w:tab/>
        <w:t>Correction on NR Sidelink</w:t>
      </w:r>
      <w:r w:rsidR="00E660D9" w:rsidRPr="00E660D9">
        <w:rPr>
          <w:b/>
          <w:bCs/>
          <w:lang w:eastAsia="x-none"/>
        </w:rPr>
        <w:tab/>
        <w:t>Philips International B.V., Huawei, HiSilicon</w:t>
      </w:r>
    </w:p>
    <w:p w14:paraId="18270D1E" w14:textId="4A3C84BB" w:rsidR="00E660D9" w:rsidRDefault="00E660D9" w:rsidP="00E660D9">
      <w:pPr>
        <w:rPr>
          <w:lang w:eastAsia="x-none"/>
        </w:rPr>
      </w:pPr>
      <w:r>
        <w:rPr>
          <w:lang w:eastAsia="x-none"/>
        </w:rPr>
        <w:t>(Rel-16, 38.202, CR0029rev1, Cat F) is agreed.</w:t>
      </w:r>
    </w:p>
    <w:p w14:paraId="7FCCC54D" w14:textId="707AAFFC" w:rsidR="00E660D9" w:rsidRPr="00E660D9" w:rsidRDefault="005A18DC" w:rsidP="00E660D9">
      <w:pPr>
        <w:rPr>
          <w:b/>
          <w:bCs/>
          <w:lang w:eastAsia="x-none"/>
        </w:rPr>
      </w:pPr>
      <w:hyperlink r:id="rId261" w:history="1">
        <w:r w:rsidR="00AF7253">
          <w:rPr>
            <w:rStyle w:val="Hyperlink"/>
            <w:b/>
            <w:bCs/>
            <w:highlight w:val="green"/>
            <w:lang w:eastAsia="x-none"/>
          </w:rPr>
          <w:t>R1-2312524</w:t>
        </w:r>
      </w:hyperlink>
      <w:r w:rsidR="00E660D9" w:rsidRPr="00E660D9">
        <w:rPr>
          <w:b/>
          <w:bCs/>
          <w:lang w:eastAsia="x-none"/>
        </w:rPr>
        <w:tab/>
        <w:t>Correction on NR Sidelink</w:t>
      </w:r>
      <w:r w:rsidR="00E660D9" w:rsidRPr="00E660D9">
        <w:rPr>
          <w:b/>
          <w:bCs/>
          <w:lang w:eastAsia="x-none"/>
        </w:rPr>
        <w:tab/>
        <w:t>Philips International B.V., Huawei, HiSilicon</w:t>
      </w:r>
    </w:p>
    <w:p w14:paraId="4339F46E" w14:textId="1A6685D7" w:rsidR="00E660D9" w:rsidRDefault="00E660D9" w:rsidP="00E660D9">
      <w:pPr>
        <w:rPr>
          <w:lang w:eastAsia="x-none"/>
        </w:rPr>
      </w:pPr>
      <w:r>
        <w:rPr>
          <w:lang w:eastAsia="x-none"/>
        </w:rPr>
        <w:t>(Rel-17, 38.202, CR0030rev1, Cat A) is agreed.</w:t>
      </w:r>
    </w:p>
    <w:p w14:paraId="6C86459C" w14:textId="6C7D72B4" w:rsidR="00E660D9" w:rsidRPr="00E660D9" w:rsidRDefault="005A18DC" w:rsidP="00E660D9">
      <w:pPr>
        <w:rPr>
          <w:b/>
          <w:bCs/>
          <w:lang w:eastAsia="x-none"/>
        </w:rPr>
      </w:pPr>
      <w:hyperlink r:id="rId262" w:history="1">
        <w:r w:rsidR="00AF7253">
          <w:rPr>
            <w:rStyle w:val="Hyperlink"/>
            <w:b/>
            <w:bCs/>
            <w:highlight w:val="green"/>
            <w:lang w:eastAsia="x-none"/>
          </w:rPr>
          <w:t>R1-2312525</w:t>
        </w:r>
      </w:hyperlink>
      <w:r w:rsidR="00E660D9" w:rsidRPr="00E660D9">
        <w:rPr>
          <w:b/>
          <w:bCs/>
          <w:lang w:eastAsia="x-none"/>
        </w:rPr>
        <w:tab/>
        <w:t>Correction on NR Sidelink</w:t>
      </w:r>
      <w:r w:rsidR="00E660D9" w:rsidRPr="00E660D9">
        <w:rPr>
          <w:b/>
          <w:bCs/>
          <w:lang w:eastAsia="x-none"/>
        </w:rPr>
        <w:tab/>
        <w:t>Philips International B.V., Huawei, HiSilicon</w:t>
      </w:r>
    </w:p>
    <w:p w14:paraId="415C898F" w14:textId="038C0935" w:rsidR="00E660D9" w:rsidRDefault="00E660D9" w:rsidP="00E660D9">
      <w:pPr>
        <w:rPr>
          <w:lang w:eastAsia="x-none"/>
        </w:rPr>
      </w:pPr>
      <w:r>
        <w:rPr>
          <w:lang w:eastAsia="x-none"/>
        </w:rPr>
        <w:t>(Rel-18, 38.202, CR0031rev1, Cat A) is agreed.</w:t>
      </w:r>
    </w:p>
    <w:p w14:paraId="57F1A863" w14:textId="4052605E" w:rsidR="00835CB1" w:rsidRPr="009537ED" w:rsidRDefault="00835CB1" w:rsidP="00E660D9">
      <w:pPr>
        <w:rPr>
          <w:lang w:eastAsia="x-none"/>
        </w:rPr>
      </w:pPr>
    </w:p>
    <w:p w14:paraId="5C77EDBB" w14:textId="77777777" w:rsidR="00D25D6B" w:rsidRPr="009537ED" w:rsidRDefault="00D25D6B" w:rsidP="00D25D6B">
      <w:pPr>
        <w:rPr>
          <w:lang w:eastAsia="x-none"/>
        </w:rPr>
      </w:pPr>
      <w:r w:rsidRPr="009537ED">
        <w:rPr>
          <w:lang w:eastAsia="x-none"/>
        </w:rPr>
        <w:t>-----------------------</w:t>
      </w:r>
    </w:p>
    <w:p w14:paraId="6CD5B4CE" w14:textId="7B2D19F9" w:rsidR="00835CB1" w:rsidRPr="009537ED" w:rsidRDefault="005A18DC" w:rsidP="00835CB1">
      <w:pPr>
        <w:rPr>
          <w:b/>
          <w:bCs/>
          <w:lang w:eastAsia="x-none"/>
        </w:rPr>
      </w:pPr>
      <w:hyperlink r:id="rId263" w:history="1">
        <w:r w:rsidR="00AF7253">
          <w:rPr>
            <w:rStyle w:val="Hyperlink"/>
            <w:b/>
            <w:bCs/>
            <w:lang w:eastAsia="x-none"/>
          </w:rPr>
          <w:t>R1-2312021</w:t>
        </w:r>
      </w:hyperlink>
      <w:r w:rsidR="00835CB1" w:rsidRPr="009537ED">
        <w:rPr>
          <w:b/>
          <w:bCs/>
          <w:lang w:eastAsia="x-none"/>
        </w:rPr>
        <w:tab/>
        <w:t>Clarification on CSI dropping with UCI multiplexing on PUSCH</w:t>
      </w:r>
      <w:r w:rsidR="00835CB1" w:rsidRPr="009537ED">
        <w:rPr>
          <w:b/>
          <w:bCs/>
          <w:lang w:eastAsia="x-none"/>
        </w:rPr>
        <w:tab/>
        <w:t>Qualcomm Incorporated</w:t>
      </w:r>
    </w:p>
    <w:p w14:paraId="5D8630AE" w14:textId="77777777" w:rsidR="00835CB1" w:rsidRPr="009537ED" w:rsidRDefault="00835CB1" w:rsidP="00835CB1">
      <w:pPr>
        <w:rPr>
          <w:lang w:eastAsia="x-none"/>
        </w:rPr>
      </w:pPr>
      <w:r w:rsidRPr="009537ED">
        <w:rPr>
          <w:lang w:eastAsia="x-none"/>
        </w:rPr>
        <w:t>Decide on Monday whether any RAN1 conclusion is necessary.</w:t>
      </w:r>
    </w:p>
    <w:p w14:paraId="00066825" w14:textId="2FD91925" w:rsidR="00835CB1" w:rsidRPr="009537ED" w:rsidRDefault="00B14ACC" w:rsidP="00835CB1">
      <w:pPr>
        <w:rPr>
          <w:b/>
          <w:bCs/>
          <w:lang w:eastAsia="x-none"/>
        </w:rPr>
      </w:pPr>
      <w:r w:rsidRPr="009537ED">
        <w:rPr>
          <w:b/>
          <w:bCs/>
          <w:lang w:eastAsia="x-none"/>
        </w:rPr>
        <w:t>Monday session</w:t>
      </w:r>
    </w:p>
    <w:p w14:paraId="1DF8A5D3" w14:textId="77777777" w:rsidR="00B14ACC" w:rsidRPr="009537ED" w:rsidRDefault="00B14ACC" w:rsidP="00B14ACC">
      <w:pPr>
        <w:rPr>
          <w:rFonts w:eastAsia="Microsoft YaHei"/>
          <w:color w:val="000000"/>
        </w:rPr>
      </w:pPr>
      <w:r w:rsidRPr="00A65B1B">
        <w:rPr>
          <w:rFonts w:eastAsia="Microsoft YaHei"/>
          <w:color w:val="000000"/>
          <w:u w:val="single"/>
        </w:rPr>
        <w:t>Proposed conclusion</w:t>
      </w:r>
      <w:r w:rsidRPr="00A65B1B">
        <w:rPr>
          <w:rFonts w:eastAsia="Microsoft YaHei"/>
          <w:color w:val="000000"/>
        </w:rPr>
        <w:t>:</w:t>
      </w:r>
      <w:r w:rsidRPr="009537ED">
        <w:rPr>
          <w:rFonts w:eastAsia="Microsoft YaHei"/>
          <w:color w:val="000000"/>
        </w:rPr>
        <w:t xml:space="preserve"> </w:t>
      </w:r>
    </w:p>
    <w:p w14:paraId="66FE5243" w14:textId="77777777" w:rsidR="00B14ACC" w:rsidRPr="009537ED" w:rsidRDefault="00B14ACC" w:rsidP="00B14ACC">
      <w:pPr>
        <w:rPr>
          <w:highlight w:val="yellow"/>
          <w:lang w:eastAsia="x-none"/>
        </w:rPr>
      </w:pPr>
      <w:r w:rsidRPr="009537ED">
        <w:rPr>
          <w:rFonts w:eastAsia="Microsoft YaHei"/>
          <w:color w:val="000000"/>
        </w:rPr>
        <w:t>It is clarified that when UCI is multiplexed on a PUSCH, the UCI dropping rules defined for UCI transmission on PUCCH (in TS 38.213 section 9.2.5.1 and 9.2.5.2) do not apply.</w:t>
      </w:r>
    </w:p>
    <w:p w14:paraId="2C3507C0" w14:textId="3D914C84" w:rsidR="00B14ACC" w:rsidRPr="00F737A8" w:rsidRDefault="005A18DC" w:rsidP="00835CB1">
      <w:pPr>
        <w:rPr>
          <w:b/>
          <w:bCs/>
          <w:lang w:eastAsia="x-none"/>
        </w:rPr>
      </w:pPr>
      <w:hyperlink r:id="rId264" w:history="1">
        <w:r w:rsidR="00AF7253">
          <w:rPr>
            <w:rStyle w:val="Hyperlink"/>
            <w:b/>
            <w:bCs/>
            <w:lang w:eastAsia="x-none"/>
          </w:rPr>
          <w:t>R1-2312440</w:t>
        </w:r>
      </w:hyperlink>
      <w:r w:rsidR="00F737A8" w:rsidRPr="00F737A8">
        <w:rPr>
          <w:b/>
          <w:bCs/>
          <w:lang w:eastAsia="x-none"/>
        </w:rPr>
        <w:tab/>
        <w:t>Moderator summary #1 on clarification on CSI dropping with UCI multiplexing on PUSCH</w:t>
      </w:r>
      <w:r w:rsidR="00F737A8" w:rsidRPr="00F737A8">
        <w:rPr>
          <w:b/>
          <w:bCs/>
          <w:lang w:eastAsia="x-none"/>
        </w:rPr>
        <w:tab/>
        <w:t>Moderator (Qualcomm)</w:t>
      </w:r>
    </w:p>
    <w:p w14:paraId="69AE7541" w14:textId="4AF288DC" w:rsidR="00F737A8" w:rsidRDefault="00A65B1B" w:rsidP="00835CB1">
      <w:pPr>
        <w:rPr>
          <w:lang w:eastAsia="x-none"/>
        </w:rPr>
      </w:pPr>
      <w:r>
        <w:rPr>
          <w:lang w:eastAsia="x-none"/>
        </w:rPr>
        <w:t>No consensus on any decision/conclusion.</w:t>
      </w:r>
    </w:p>
    <w:p w14:paraId="28C62733" w14:textId="77777777" w:rsidR="00A65B1B" w:rsidRPr="009537ED" w:rsidRDefault="00A65B1B" w:rsidP="00835CB1">
      <w:pPr>
        <w:rPr>
          <w:lang w:eastAsia="x-none"/>
        </w:rPr>
      </w:pPr>
    </w:p>
    <w:p w14:paraId="08FC9FD7" w14:textId="77777777" w:rsidR="00D25D6B" w:rsidRPr="009537ED" w:rsidRDefault="00D25D6B" w:rsidP="00D25D6B">
      <w:pPr>
        <w:rPr>
          <w:lang w:eastAsia="x-none"/>
        </w:rPr>
      </w:pPr>
      <w:r w:rsidRPr="009537ED">
        <w:rPr>
          <w:lang w:eastAsia="x-none"/>
        </w:rPr>
        <w:t>-----------------------</w:t>
      </w:r>
    </w:p>
    <w:p w14:paraId="10D5FA42" w14:textId="77777777" w:rsidR="00835CB1" w:rsidRPr="009537ED" w:rsidRDefault="00835CB1" w:rsidP="00835CB1">
      <w:pPr>
        <w:rPr>
          <w:b/>
          <w:lang w:eastAsia="x-none"/>
        </w:rPr>
      </w:pPr>
      <w:r w:rsidRPr="009537ED">
        <w:rPr>
          <w:b/>
          <w:lang w:eastAsia="x-none"/>
        </w:rPr>
        <w:t>Follow up discussion on collision between NR PDSCH DMRS and LTE-CRS from RAN1#114</w:t>
      </w:r>
    </w:p>
    <w:p w14:paraId="7BEE6CE6" w14:textId="719E49CD" w:rsidR="00835CB1" w:rsidRPr="009537ED" w:rsidRDefault="005A18DC" w:rsidP="00835CB1">
      <w:pPr>
        <w:rPr>
          <w:b/>
          <w:bCs/>
          <w:lang w:eastAsia="x-none"/>
        </w:rPr>
      </w:pPr>
      <w:hyperlink r:id="rId265" w:history="1">
        <w:r w:rsidR="00AF7253">
          <w:rPr>
            <w:rStyle w:val="Hyperlink"/>
            <w:b/>
            <w:bCs/>
            <w:lang w:eastAsia="x-none"/>
          </w:rPr>
          <w:t>R1-2310918</w:t>
        </w:r>
      </w:hyperlink>
      <w:r w:rsidR="00835CB1" w:rsidRPr="009537ED">
        <w:rPr>
          <w:b/>
          <w:bCs/>
          <w:lang w:eastAsia="x-none"/>
        </w:rPr>
        <w:tab/>
        <w:t>Correction on collision between NR PDSCH DMRS and LTE-CRS</w:t>
      </w:r>
      <w:r w:rsidR="00835CB1" w:rsidRPr="009537ED">
        <w:rPr>
          <w:b/>
          <w:bCs/>
          <w:lang w:eastAsia="x-none"/>
        </w:rPr>
        <w:tab/>
        <w:t>Huawei, HiSilicon</w:t>
      </w:r>
    </w:p>
    <w:p w14:paraId="04D4A086" w14:textId="53972905" w:rsidR="00835CB1" w:rsidRPr="00A65B1B" w:rsidRDefault="005A18DC" w:rsidP="00835CB1">
      <w:pPr>
        <w:rPr>
          <w:b/>
          <w:bCs/>
          <w:lang w:eastAsia="x-none"/>
        </w:rPr>
      </w:pPr>
      <w:hyperlink r:id="rId266" w:history="1">
        <w:r w:rsidR="00AF7253">
          <w:rPr>
            <w:rStyle w:val="Hyperlink"/>
            <w:b/>
            <w:bCs/>
            <w:lang w:eastAsia="x-none"/>
          </w:rPr>
          <w:t>R1-2311360</w:t>
        </w:r>
      </w:hyperlink>
      <w:r w:rsidR="00835CB1" w:rsidRPr="00A65B1B">
        <w:rPr>
          <w:b/>
          <w:bCs/>
          <w:lang w:eastAsia="x-none"/>
        </w:rPr>
        <w:tab/>
        <w:t>On the collision between NR PDSCH DMRS and LTE-CRS</w:t>
      </w:r>
      <w:r w:rsidR="00835CB1" w:rsidRPr="00A65B1B">
        <w:rPr>
          <w:b/>
          <w:bCs/>
          <w:lang w:eastAsia="x-none"/>
        </w:rPr>
        <w:tab/>
        <w:t>Ericsson</w:t>
      </w:r>
    </w:p>
    <w:p w14:paraId="6C1EE468" w14:textId="77777777" w:rsidR="00835CB1" w:rsidRPr="009537ED" w:rsidRDefault="00835CB1" w:rsidP="00835CB1">
      <w:pPr>
        <w:rPr>
          <w:lang w:eastAsia="x-none"/>
        </w:rPr>
      </w:pPr>
      <w:r w:rsidRPr="009537ED">
        <w:rPr>
          <w:lang w:eastAsia="x-none"/>
        </w:rPr>
        <w:t>Decide whether to have any spec change to reflect the outcome from RAN1#114bis on Monday.</w:t>
      </w:r>
    </w:p>
    <w:p w14:paraId="3BAFC7D6" w14:textId="77777777" w:rsidR="00295AA7" w:rsidRPr="009537ED" w:rsidRDefault="00295AA7" w:rsidP="00295AA7">
      <w:pPr>
        <w:rPr>
          <w:b/>
          <w:bCs/>
          <w:lang w:eastAsia="x-none"/>
        </w:rPr>
      </w:pPr>
      <w:r w:rsidRPr="009537ED">
        <w:rPr>
          <w:b/>
          <w:bCs/>
          <w:lang w:eastAsia="x-none"/>
        </w:rPr>
        <w:t>Monday session</w:t>
      </w:r>
    </w:p>
    <w:p w14:paraId="3508D9B6" w14:textId="04964AB6" w:rsidR="00295AA7" w:rsidRPr="009537ED" w:rsidRDefault="00295AA7" w:rsidP="00295AA7">
      <w:pPr>
        <w:rPr>
          <w:lang w:eastAsia="x-none"/>
        </w:rPr>
      </w:pPr>
      <w:r w:rsidRPr="009537ED">
        <w:rPr>
          <w:u w:val="single"/>
          <w:lang w:eastAsia="x-none"/>
        </w:rPr>
        <w:t>Conclusion</w:t>
      </w:r>
      <w:r w:rsidRPr="009537ED">
        <w:rPr>
          <w:lang w:eastAsia="x-none"/>
        </w:rPr>
        <w:t xml:space="preserve">: There is no consensus to make changes proposed in </w:t>
      </w:r>
      <w:hyperlink r:id="rId267" w:history="1">
        <w:r w:rsidR="00AF7253">
          <w:rPr>
            <w:rStyle w:val="Hyperlink"/>
            <w:lang w:eastAsia="x-none"/>
          </w:rPr>
          <w:t>R1-2310918</w:t>
        </w:r>
      </w:hyperlink>
      <w:r w:rsidRPr="009537ED">
        <w:rPr>
          <w:lang w:eastAsia="x-none"/>
        </w:rPr>
        <w:t xml:space="preserve">. Draft CR in </w:t>
      </w:r>
      <w:hyperlink r:id="rId268" w:history="1">
        <w:r w:rsidR="00AF7253">
          <w:rPr>
            <w:rStyle w:val="Hyperlink"/>
            <w:lang w:eastAsia="x-none"/>
          </w:rPr>
          <w:t>R1-2310918</w:t>
        </w:r>
      </w:hyperlink>
      <w:r w:rsidRPr="009537ED">
        <w:rPr>
          <w:lang w:eastAsia="x-none"/>
        </w:rPr>
        <w:t xml:space="preserve"> is not pursued.</w:t>
      </w:r>
    </w:p>
    <w:p w14:paraId="782D5EAB" w14:textId="77777777" w:rsidR="00835CB1" w:rsidRPr="009537ED" w:rsidRDefault="00835CB1" w:rsidP="00835CB1">
      <w:pPr>
        <w:rPr>
          <w:lang w:eastAsia="x-none"/>
        </w:rPr>
      </w:pPr>
    </w:p>
    <w:p w14:paraId="0B11270B" w14:textId="77777777" w:rsidR="00D25D6B" w:rsidRPr="009537ED" w:rsidRDefault="00D25D6B" w:rsidP="00835CB1">
      <w:pPr>
        <w:rPr>
          <w:lang w:eastAsia="x-none"/>
        </w:rPr>
      </w:pPr>
    </w:p>
    <w:p w14:paraId="7F95ADBE" w14:textId="334E246F" w:rsidR="00835CB1" w:rsidRPr="009537ED" w:rsidRDefault="005A18DC" w:rsidP="00835CB1">
      <w:pPr>
        <w:rPr>
          <w:b/>
          <w:bCs/>
          <w:lang w:eastAsia="x-none"/>
        </w:rPr>
      </w:pPr>
      <w:hyperlink r:id="rId269" w:history="1">
        <w:r w:rsidR="00AF7253">
          <w:rPr>
            <w:rStyle w:val="Hyperlink"/>
            <w:b/>
            <w:bCs/>
            <w:lang w:eastAsia="x-none"/>
          </w:rPr>
          <w:t>R1-2311072</w:t>
        </w:r>
      </w:hyperlink>
      <w:r w:rsidR="00835CB1" w:rsidRPr="009537ED">
        <w:rPr>
          <w:b/>
          <w:bCs/>
          <w:lang w:eastAsia="x-none"/>
        </w:rPr>
        <w:tab/>
        <w:t>Discussion on SRS transmission occasion</w:t>
      </w:r>
      <w:r w:rsidR="00835CB1" w:rsidRPr="009537ED">
        <w:rPr>
          <w:b/>
          <w:bCs/>
          <w:lang w:eastAsia="x-none"/>
        </w:rPr>
        <w:tab/>
        <w:t>vivo</w:t>
      </w:r>
    </w:p>
    <w:p w14:paraId="2C375A52" w14:textId="44A78DEF" w:rsidR="00835CB1" w:rsidRPr="002B528D" w:rsidRDefault="00295AA7" w:rsidP="00835CB1">
      <w:pPr>
        <w:rPr>
          <w:lang w:eastAsia="x-none"/>
        </w:rPr>
      </w:pPr>
      <w:r w:rsidRPr="002B528D">
        <w:rPr>
          <w:b/>
          <w:bCs/>
          <w:lang w:eastAsia="x-none"/>
        </w:rPr>
        <w:lastRenderedPageBreak/>
        <w:t>Monday session:</w:t>
      </w:r>
      <w:r w:rsidRPr="002B528D">
        <w:rPr>
          <w:lang w:eastAsia="x-none"/>
        </w:rPr>
        <w:t xml:space="preserve"> Comeback on Tuesday. </w:t>
      </w:r>
      <w:r w:rsidR="00835CB1" w:rsidRPr="002B528D">
        <w:rPr>
          <w:lang w:eastAsia="x-none"/>
        </w:rPr>
        <w:t>To be moderated by Rakesh (vivo).</w:t>
      </w:r>
    </w:p>
    <w:p w14:paraId="57AC4282" w14:textId="63C8841C" w:rsidR="002B528D" w:rsidRPr="002B528D" w:rsidRDefault="005A18DC" w:rsidP="002B528D">
      <w:pPr>
        <w:rPr>
          <w:b/>
          <w:bCs/>
          <w:lang w:eastAsia="x-none"/>
        </w:rPr>
      </w:pPr>
      <w:hyperlink r:id="rId270" w:history="1">
        <w:r w:rsidR="00AF7253">
          <w:rPr>
            <w:rStyle w:val="Hyperlink"/>
            <w:b/>
            <w:bCs/>
            <w:lang w:eastAsia="x-none"/>
          </w:rPr>
          <w:t>R1-2312430</w:t>
        </w:r>
      </w:hyperlink>
      <w:r w:rsidR="002B528D" w:rsidRPr="002B528D">
        <w:rPr>
          <w:b/>
          <w:bCs/>
          <w:lang w:eastAsia="x-none"/>
        </w:rPr>
        <w:tab/>
        <w:t>Summary of discussion on SRS transmission occasion</w:t>
      </w:r>
      <w:r w:rsidR="002B528D" w:rsidRPr="002B528D">
        <w:rPr>
          <w:b/>
          <w:bCs/>
          <w:lang w:eastAsia="x-none"/>
        </w:rPr>
        <w:tab/>
        <w:t>Moderator (vivo)</w:t>
      </w:r>
    </w:p>
    <w:p w14:paraId="6290BED9" w14:textId="34FD1101" w:rsidR="00835CB1" w:rsidRPr="002B528D" w:rsidRDefault="005A18DC" w:rsidP="002B528D">
      <w:pPr>
        <w:rPr>
          <w:b/>
          <w:bCs/>
          <w:lang w:eastAsia="x-none"/>
        </w:rPr>
      </w:pPr>
      <w:hyperlink r:id="rId271" w:history="1">
        <w:r w:rsidR="00AF7253">
          <w:rPr>
            <w:rStyle w:val="Hyperlink"/>
            <w:b/>
            <w:bCs/>
            <w:lang w:eastAsia="x-none"/>
          </w:rPr>
          <w:t>R1-2312619</w:t>
        </w:r>
      </w:hyperlink>
      <w:r w:rsidR="002B528D" w:rsidRPr="002B528D">
        <w:rPr>
          <w:b/>
          <w:bCs/>
          <w:lang w:eastAsia="x-none"/>
        </w:rPr>
        <w:tab/>
        <w:t>Summary#2 of discussion on SRS transmission occasion</w:t>
      </w:r>
      <w:r w:rsidR="002B528D" w:rsidRPr="002B528D">
        <w:rPr>
          <w:b/>
          <w:bCs/>
          <w:lang w:eastAsia="x-none"/>
        </w:rPr>
        <w:tab/>
        <w:t>Moderator (vivo)</w:t>
      </w:r>
    </w:p>
    <w:p w14:paraId="20D6203B" w14:textId="60DF598E" w:rsidR="002B528D" w:rsidRPr="002B528D" w:rsidRDefault="002B528D" w:rsidP="002B528D">
      <w:pPr>
        <w:rPr>
          <w:rFonts w:ascii="Times New Roman" w:eastAsia="SimSun" w:hAnsi="Times New Roman"/>
          <w:szCs w:val="20"/>
          <w:lang w:eastAsia="zh-CN"/>
        </w:rPr>
      </w:pPr>
      <w:r w:rsidRPr="002B528D">
        <w:rPr>
          <w:rFonts w:ascii="Times New Roman" w:eastAsia="SimSun" w:hAnsi="Times New Roman"/>
          <w:szCs w:val="20"/>
          <w:lang w:eastAsia="zh-CN"/>
        </w:rPr>
        <w:t xml:space="preserve">For further discussion in RAN1#116, companies to consider the observation made in </w:t>
      </w:r>
      <w:r>
        <w:rPr>
          <w:rFonts w:ascii="Times New Roman" w:eastAsia="SimSun" w:hAnsi="Times New Roman"/>
          <w:szCs w:val="20"/>
          <w:lang w:eastAsia="zh-CN"/>
        </w:rPr>
        <w:t>x</w:t>
      </w:r>
      <w:r w:rsidRPr="002B528D">
        <w:rPr>
          <w:rFonts w:ascii="Times New Roman" w:eastAsia="SimSun" w:hAnsi="Times New Roman"/>
          <w:szCs w:val="20"/>
          <w:lang w:eastAsia="zh-CN"/>
        </w:rPr>
        <w:t>2619</w:t>
      </w:r>
      <w:r>
        <w:rPr>
          <w:rFonts w:ascii="Times New Roman" w:eastAsia="SimSun" w:hAnsi="Times New Roman"/>
          <w:szCs w:val="20"/>
          <w:lang w:eastAsia="zh-CN"/>
        </w:rPr>
        <w:t>.</w:t>
      </w:r>
    </w:p>
    <w:p w14:paraId="4B046D27" w14:textId="77777777" w:rsidR="008C2F09" w:rsidRDefault="008C2F09" w:rsidP="00835CB1">
      <w:pPr>
        <w:rPr>
          <w:lang w:eastAsia="x-none"/>
        </w:rPr>
      </w:pPr>
    </w:p>
    <w:p w14:paraId="5E10E12D" w14:textId="77777777" w:rsidR="002B528D" w:rsidRPr="009537ED" w:rsidRDefault="002B528D" w:rsidP="00835CB1">
      <w:pPr>
        <w:rPr>
          <w:lang w:eastAsia="x-none"/>
        </w:rPr>
      </w:pPr>
    </w:p>
    <w:p w14:paraId="65F67A79" w14:textId="5A3CB2E2" w:rsidR="00835CB1" w:rsidRPr="009537ED" w:rsidRDefault="005A18DC" w:rsidP="00835CB1">
      <w:pPr>
        <w:rPr>
          <w:b/>
          <w:bCs/>
          <w:lang w:eastAsia="x-none"/>
        </w:rPr>
      </w:pPr>
      <w:hyperlink r:id="rId272" w:history="1">
        <w:r w:rsidR="00AF7253">
          <w:rPr>
            <w:rStyle w:val="Hyperlink"/>
            <w:b/>
            <w:bCs/>
            <w:lang w:eastAsia="x-none"/>
          </w:rPr>
          <w:t>R1-2311448</w:t>
        </w:r>
      </w:hyperlink>
      <w:r w:rsidR="00835CB1" w:rsidRPr="009537ED">
        <w:rPr>
          <w:b/>
          <w:bCs/>
          <w:lang w:eastAsia="x-none"/>
        </w:rPr>
        <w:tab/>
        <w:t>Correction on PHR reporting for overlapping PUSCHs</w:t>
      </w:r>
      <w:r w:rsidR="00835CB1" w:rsidRPr="009537ED">
        <w:rPr>
          <w:b/>
          <w:bCs/>
          <w:lang w:eastAsia="x-none"/>
        </w:rPr>
        <w:tab/>
        <w:t>CATT</w:t>
      </w:r>
    </w:p>
    <w:p w14:paraId="3BC56686" w14:textId="11EFF2C8" w:rsidR="00835CB1" w:rsidRPr="009537ED" w:rsidRDefault="00295AA7" w:rsidP="00835CB1">
      <w:pPr>
        <w:rPr>
          <w:lang w:eastAsia="x-none"/>
        </w:rPr>
      </w:pPr>
      <w:r w:rsidRPr="002B528D">
        <w:rPr>
          <w:b/>
          <w:bCs/>
          <w:lang w:eastAsia="x-none"/>
        </w:rPr>
        <w:t>Monday session:</w:t>
      </w:r>
      <w:r w:rsidRPr="002B528D">
        <w:rPr>
          <w:lang w:eastAsia="x-none"/>
        </w:rPr>
        <w:t xml:space="preserve"> Comeback on Tuesday. </w:t>
      </w:r>
      <w:r w:rsidR="00835CB1" w:rsidRPr="002B528D">
        <w:rPr>
          <w:lang w:eastAsia="x-none"/>
        </w:rPr>
        <w:t>To be moderated by Yanping (CATT).</w:t>
      </w:r>
    </w:p>
    <w:p w14:paraId="1EFAF21B" w14:textId="0F71AEFE" w:rsidR="00835CB1" w:rsidRPr="002B528D" w:rsidRDefault="005A18DC" w:rsidP="00835CB1">
      <w:pPr>
        <w:rPr>
          <w:b/>
          <w:bCs/>
          <w:lang w:eastAsia="x-none"/>
        </w:rPr>
      </w:pPr>
      <w:hyperlink r:id="rId273" w:history="1">
        <w:r w:rsidR="00AF7253">
          <w:rPr>
            <w:rStyle w:val="Hyperlink"/>
            <w:b/>
            <w:bCs/>
            <w:lang w:eastAsia="x-none"/>
          </w:rPr>
          <w:t>R1-2312437</w:t>
        </w:r>
      </w:hyperlink>
      <w:r w:rsidR="002B528D" w:rsidRPr="002B528D">
        <w:rPr>
          <w:b/>
          <w:bCs/>
          <w:lang w:eastAsia="x-none"/>
        </w:rPr>
        <w:tab/>
        <w:t>Summary of PHR reporting for overlapping PUSCHs</w:t>
      </w:r>
      <w:r w:rsidR="002B528D" w:rsidRPr="002B528D">
        <w:rPr>
          <w:b/>
          <w:bCs/>
          <w:lang w:eastAsia="x-none"/>
        </w:rPr>
        <w:tab/>
        <w:t>Moderator (CATT)</w:t>
      </w:r>
    </w:p>
    <w:p w14:paraId="12123B99" w14:textId="17A92CE4" w:rsidR="002B528D" w:rsidRPr="002B528D" w:rsidRDefault="002B528D" w:rsidP="002B528D">
      <w:pPr>
        <w:spacing w:afterLines="50" w:after="120"/>
        <w:rPr>
          <w:rFonts w:ascii="Times New Roman" w:eastAsia="SimSun" w:hAnsi="Times New Roman"/>
          <w:szCs w:val="20"/>
          <w:lang w:val="x-none" w:eastAsia="zh-CN"/>
        </w:rPr>
      </w:pPr>
      <w:r w:rsidRPr="002B528D">
        <w:rPr>
          <w:rFonts w:ascii="Times New Roman" w:eastAsia="SimSun" w:hAnsi="Times New Roman"/>
          <w:szCs w:val="20"/>
          <w:lang w:val="x-none" w:eastAsia="zh-CN"/>
        </w:rPr>
        <w:t>Based on the limited inputs, companies have different understandings on the current spec and the intended U</w:t>
      </w:r>
      <w:r w:rsidRPr="002B528D">
        <w:rPr>
          <w:rFonts w:ascii="Times New Roman" w:eastAsia="SimSun" w:hAnsi="Times New Roman" w:hint="eastAsia"/>
          <w:szCs w:val="20"/>
          <w:lang w:val="x-none" w:eastAsia="zh-CN"/>
        </w:rPr>
        <w:t>E</w:t>
      </w:r>
      <w:r w:rsidRPr="002B528D">
        <w:rPr>
          <w:rFonts w:ascii="Times New Roman" w:eastAsia="SimSun" w:hAnsi="Times New Roman"/>
          <w:szCs w:val="20"/>
          <w:lang w:val="x-none" w:eastAsia="zh-CN"/>
        </w:rPr>
        <w:t xml:space="preserve"> behavior. </w:t>
      </w:r>
      <w:r>
        <w:rPr>
          <w:rFonts w:ascii="Times New Roman" w:eastAsia="SimSun" w:hAnsi="Times New Roman"/>
          <w:szCs w:val="20"/>
          <w:lang w:eastAsia="zh-CN"/>
        </w:rPr>
        <w:t>C</w:t>
      </w:r>
      <w:r w:rsidR="0065186F">
        <w:rPr>
          <w:rFonts w:ascii="Times New Roman" w:eastAsia="SimSun" w:hAnsi="Times New Roman"/>
          <w:szCs w:val="20"/>
          <w:lang w:eastAsia="zh-CN"/>
        </w:rPr>
        <w:t>ontinue</w:t>
      </w:r>
      <w:r w:rsidRPr="002B528D">
        <w:rPr>
          <w:rFonts w:ascii="Times New Roman" w:eastAsia="SimSun" w:hAnsi="Times New Roman"/>
          <w:szCs w:val="20"/>
          <w:lang w:val="x-none" w:eastAsia="zh-CN"/>
        </w:rPr>
        <w:t xml:space="preserve"> the discussion in future meetings.</w:t>
      </w:r>
    </w:p>
    <w:p w14:paraId="27B2A399" w14:textId="77777777" w:rsidR="004A4E8B" w:rsidRPr="002B528D" w:rsidRDefault="004A4E8B" w:rsidP="00835CB1">
      <w:pPr>
        <w:rPr>
          <w:lang w:val="x-none" w:eastAsia="x-none"/>
        </w:rPr>
      </w:pPr>
    </w:p>
    <w:p w14:paraId="7A739AAC" w14:textId="77777777" w:rsidR="002B528D" w:rsidRPr="009537ED" w:rsidRDefault="002B528D" w:rsidP="00835CB1">
      <w:pPr>
        <w:rPr>
          <w:lang w:eastAsia="x-none"/>
        </w:rPr>
      </w:pPr>
    </w:p>
    <w:p w14:paraId="1C26BDF8" w14:textId="738055E9" w:rsidR="00835CB1" w:rsidRPr="009537ED" w:rsidRDefault="005A18DC" w:rsidP="00835CB1">
      <w:pPr>
        <w:rPr>
          <w:b/>
          <w:bCs/>
          <w:lang w:eastAsia="x-none"/>
        </w:rPr>
      </w:pPr>
      <w:hyperlink r:id="rId274" w:history="1">
        <w:r w:rsidR="00AF7253">
          <w:rPr>
            <w:rStyle w:val="Hyperlink"/>
            <w:b/>
            <w:bCs/>
            <w:lang w:eastAsia="x-none"/>
          </w:rPr>
          <w:t>R1-2311578</w:t>
        </w:r>
      </w:hyperlink>
      <w:r w:rsidR="00835CB1" w:rsidRPr="009537ED">
        <w:rPr>
          <w:b/>
          <w:bCs/>
          <w:lang w:eastAsia="x-none"/>
        </w:rPr>
        <w:tab/>
        <w:t>Discussion on default pathloss reference signal for SRS and PUCCH</w:t>
      </w:r>
      <w:r w:rsidR="00835CB1" w:rsidRPr="009537ED">
        <w:rPr>
          <w:b/>
          <w:bCs/>
          <w:lang w:eastAsia="x-none"/>
        </w:rPr>
        <w:tab/>
        <w:t>Google</w:t>
      </w:r>
    </w:p>
    <w:p w14:paraId="15528380" w14:textId="64D33ACB" w:rsidR="00835CB1" w:rsidRPr="009537ED" w:rsidRDefault="005A18DC" w:rsidP="00835CB1">
      <w:pPr>
        <w:rPr>
          <w:lang w:eastAsia="x-none"/>
        </w:rPr>
      </w:pPr>
      <w:hyperlink r:id="rId275" w:history="1">
        <w:r w:rsidR="00AF7253">
          <w:rPr>
            <w:rStyle w:val="Hyperlink"/>
            <w:lang w:eastAsia="x-none"/>
          </w:rPr>
          <w:t>R1-2311579</w:t>
        </w:r>
      </w:hyperlink>
      <w:r w:rsidR="00835CB1" w:rsidRPr="009537ED">
        <w:rPr>
          <w:lang w:eastAsia="x-none"/>
        </w:rPr>
        <w:tab/>
        <w:t>Draft CR on default pathloss reference signal for SRS and PUCCH</w:t>
      </w:r>
      <w:r w:rsidR="00835CB1" w:rsidRPr="009537ED">
        <w:rPr>
          <w:lang w:eastAsia="x-none"/>
        </w:rPr>
        <w:tab/>
        <w:t>Google</w:t>
      </w:r>
    </w:p>
    <w:p w14:paraId="198B8604" w14:textId="021AEC30" w:rsidR="00835CB1" w:rsidRPr="009537ED" w:rsidRDefault="00295AA7" w:rsidP="00835CB1">
      <w:pPr>
        <w:rPr>
          <w:lang w:eastAsia="x-none"/>
        </w:rPr>
      </w:pPr>
      <w:r w:rsidRPr="0065186F">
        <w:rPr>
          <w:b/>
          <w:bCs/>
          <w:lang w:eastAsia="x-none"/>
        </w:rPr>
        <w:t>Monday session:</w:t>
      </w:r>
      <w:r w:rsidRPr="0065186F">
        <w:rPr>
          <w:lang w:eastAsia="x-none"/>
        </w:rPr>
        <w:t xml:space="preserve"> Comeback on Tuesday. </w:t>
      </w:r>
      <w:r w:rsidR="00835CB1" w:rsidRPr="0065186F">
        <w:rPr>
          <w:lang w:eastAsia="x-none"/>
        </w:rPr>
        <w:t>To be moderated by Yushu (Google).</w:t>
      </w:r>
    </w:p>
    <w:p w14:paraId="18A109FE" w14:textId="6DD0FE13" w:rsidR="00835CB1" w:rsidRPr="0065186F" w:rsidRDefault="005A18DC" w:rsidP="00835CB1">
      <w:pPr>
        <w:rPr>
          <w:b/>
          <w:bCs/>
          <w:lang w:eastAsia="x-none"/>
        </w:rPr>
      </w:pPr>
      <w:hyperlink r:id="rId276" w:history="1">
        <w:r w:rsidR="00AF7253">
          <w:rPr>
            <w:rStyle w:val="Hyperlink"/>
            <w:b/>
            <w:bCs/>
            <w:lang w:eastAsia="x-none"/>
          </w:rPr>
          <w:t>R1-2312441</w:t>
        </w:r>
      </w:hyperlink>
      <w:r w:rsidR="0065186F" w:rsidRPr="0065186F">
        <w:rPr>
          <w:b/>
          <w:bCs/>
          <w:lang w:eastAsia="x-none"/>
        </w:rPr>
        <w:tab/>
        <w:t>Summary on default pathloss reference signal for SRS and PUCCH</w:t>
      </w:r>
      <w:r w:rsidR="0065186F" w:rsidRPr="0065186F">
        <w:rPr>
          <w:b/>
          <w:bCs/>
          <w:lang w:eastAsia="x-none"/>
        </w:rPr>
        <w:tab/>
        <w:t>Moderator (Google)</w:t>
      </w:r>
    </w:p>
    <w:p w14:paraId="5C41ECC0" w14:textId="77777777" w:rsidR="0065186F" w:rsidRPr="0065186F" w:rsidRDefault="0065186F" w:rsidP="0065186F">
      <w:pPr>
        <w:rPr>
          <w:highlight w:val="green"/>
          <w:lang w:eastAsia="x-none"/>
        </w:rPr>
      </w:pPr>
      <w:r w:rsidRPr="0065186F">
        <w:rPr>
          <w:highlight w:val="green"/>
          <w:lang w:eastAsia="x-none"/>
        </w:rPr>
        <w:t>Agreement</w:t>
      </w:r>
    </w:p>
    <w:p w14:paraId="68246434" w14:textId="438DC97F" w:rsidR="0065186F" w:rsidRPr="0065186F" w:rsidRDefault="0065186F" w:rsidP="0065186F">
      <w:pPr>
        <w:rPr>
          <w:lang w:eastAsia="x-none"/>
        </w:rPr>
      </w:pPr>
      <w:r w:rsidRPr="0065186F">
        <w:rPr>
          <w:lang w:eastAsia="x-none"/>
        </w:rPr>
        <w:t>The following TPs for default pathloss RS for PUCCH and SRS is agreed for Rel-16 38.213.</w:t>
      </w:r>
    </w:p>
    <w:tbl>
      <w:tblPr>
        <w:tblW w:w="5000" w:type="pct"/>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0683"/>
      </w:tblGrid>
      <w:tr w:rsidR="0065186F" w:rsidRPr="0065186F" w14:paraId="158FFBC2" w14:textId="77777777" w:rsidTr="0065186F">
        <w:tc>
          <w:tcPr>
            <w:tcW w:w="5000" w:type="pct"/>
            <w:shd w:val="clear" w:color="auto" w:fill="auto"/>
          </w:tcPr>
          <w:p w14:paraId="572512A7" w14:textId="77777777" w:rsidR="0065186F" w:rsidRPr="0065186F" w:rsidRDefault="0065186F" w:rsidP="0065186F">
            <w:pPr>
              <w:rPr>
                <w:rFonts w:ascii="Arial" w:hAnsi="Arial" w:cs="Arial"/>
                <w:b/>
                <w:bCs/>
                <w:sz w:val="16"/>
                <w:szCs w:val="16"/>
              </w:rPr>
            </w:pPr>
            <w:bookmarkStart w:id="31" w:name="_Toc12021448"/>
            <w:bookmarkStart w:id="32" w:name="_Toc20311560"/>
            <w:bookmarkStart w:id="33" w:name="_Toc26719385"/>
            <w:bookmarkStart w:id="34" w:name="_Toc29894816"/>
            <w:bookmarkStart w:id="35" w:name="_Toc29899115"/>
            <w:bookmarkStart w:id="36" w:name="_Toc29899533"/>
            <w:bookmarkStart w:id="37" w:name="_Toc29917270"/>
            <w:bookmarkStart w:id="38" w:name="_Toc36498144"/>
            <w:bookmarkStart w:id="39" w:name="_Toc45699170"/>
            <w:bookmarkStart w:id="40" w:name="_Toc114234325"/>
            <w:r w:rsidRPr="0065186F">
              <w:rPr>
                <w:rFonts w:ascii="Arial" w:hAnsi="Arial" w:cs="Arial"/>
                <w:b/>
                <w:bCs/>
                <w:sz w:val="16"/>
                <w:szCs w:val="16"/>
              </w:rPr>
              <w:t>7.2.1</w:t>
            </w:r>
            <w:r w:rsidRPr="0065186F">
              <w:rPr>
                <w:rFonts w:ascii="Arial" w:hAnsi="Arial" w:cs="Arial"/>
                <w:b/>
                <w:bCs/>
                <w:sz w:val="16"/>
                <w:szCs w:val="16"/>
              </w:rPr>
              <w:tab/>
              <w:t>UE behaviour</w:t>
            </w:r>
            <w:bookmarkEnd w:id="31"/>
            <w:bookmarkEnd w:id="32"/>
            <w:bookmarkEnd w:id="33"/>
            <w:bookmarkEnd w:id="34"/>
            <w:bookmarkEnd w:id="35"/>
            <w:bookmarkEnd w:id="36"/>
            <w:bookmarkEnd w:id="37"/>
            <w:bookmarkEnd w:id="38"/>
            <w:bookmarkEnd w:id="39"/>
            <w:bookmarkEnd w:id="40"/>
          </w:p>
          <w:p w14:paraId="444982DC" w14:textId="77777777" w:rsidR="0065186F" w:rsidRPr="0065186F" w:rsidRDefault="0065186F" w:rsidP="0065186F">
            <w:pPr>
              <w:ind w:left="568"/>
              <w:jc w:val="center"/>
              <w:rPr>
                <w:rFonts w:ascii="Arial" w:eastAsia="MS Mincho" w:hAnsi="Arial" w:cs="Arial"/>
                <w:color w:val="FF0000"/>
                <w:sz w:val="16"/>
                <w:szCs w:val="16"/>
                <w:lang w:val="en-US"/>
              </w:rPr>
            </w:pPr>
            <w:r w:rsidRPr="0065186F">
              <w:rPr>
                <w:rFonts w:ascii="Arial" w:eastAsia="MS Mincho" w:hAnsi="Arial" w:cs="Arial"/>
                <w:color w:val="FF0000"/>
                <w:sz w:val="16"/>
                <w:szCs w:val="16"/>
                <w:lang w:val="en-US"/>
              </w:rPr>
              <w:t>&lt;omitted text&gt;</w:t>
            </w:r>
          </w:p>
          <w:p w14:paraId="532E04DE" w14:textId="2A66C43D" w:rsidR="0065186F" w:rsidRPr="0065186F" w:rsidRDefault="0065186F" w:rsidP="0065186F">
            <w:pPr>
              <w:pStyle w:val="ListParagraph"/>
              <w:numPr>
                <w:ilvl w:val="0"/>
                <w:numId w:val="69"/>
              </w:numPr>
              <w:spacing w:after="0"/>
              <w:rPr>
                <w:rFonts w:ascii="Arial" w:hAnsi="Arial" w:cs="Arial"/>
                <w:sz w:val="16"/>
                <w:szCs w:val="16"/>
                <w:lang w:val="en-US"/>
              </w:rPr>
            </w:pPr>
            <w:r w:rsidRPr="0065186F">
              <w:rPr>
                <w:rFonts w:ascii="Arial" w:hAnsi="Arial" w:cs="Arial"/>
                <w:noProof/>
                <w:position w:val="-12"/>
                <w:sz w:val="16"/>
                <w:szCs w:val="16"/>
              </w:rPr>
              <w:drawing>
                <wp:inline distT="0" distB="0" distL="0" distR="0" wp14:anchorId="6CF41DFB" wp14:editId="02BA5382">
                  <wp:extent cx="638175" cy="180975"/>
                  <wp:effectExtent l="0" t="0" r="0" b="0"/>
                  <wp:docPr id="286403541" name="Picture 1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127"/>
                          <pic:cNvPicPr>
                            <a:picLocks noChangeArrowheads="1"/>
                          </pic:cNvPicPr>
                        </pic:nvPicPr>
                        <pic:blipFill>
                          <a:blip r:embed="rId277" cstate="print">
                            <a:extLst>
                              <a:ext uri="{28A0092B-C50C-407E-A947-70E740481C1C}">
                                <a14:useLocalDpi xmlns:a14="http://schemas.microsoft.com/office/drawing/2010/main" val="0"/>
                              </a:ext>
                            </a:extLst>
                          </a:blip>
                          <a:srcRect/>
                          <a:stretch>
                            <a:fillRect/>
                          </a:stretch>
                        </pic:blipFill>
                        <pic:spPr bwMode="auto">
                          <a:xfrm>
                            <a:off x="0" y="0"/>
                            <a:ext cx="638175" cy="180975"/>
                          </a:xfrm>
                          <a:prstGeom prst="rect">
                            <a:avLst/>
                          </a:prstGeom>
                          <a:noFill/>
                          <a:ln>
                            <a:noFill/>
                          </a:ln>
                        </pic:spPr>
                      </pic:pic>
                    </a:graphicData>
                  </a:graphic>
                </wp:inline>
              </w:drawing>
            </w:r>
            <w:r w:rsidRPr="0065186F">
              <w:rPr>
                <w:rFonts w:ascii="Arial" w:hAnsi="Arial" w:cs="Arial"/>
                <w:sz w:val="16"/>
                <w:szCs w:val="16"/>
              </w:rPr>
              <w:t xml:space="preserve">is </w:t>
            </w:r>
            <w:r w:rsidRPr="0065186F">
              <w:rPr>
                <w:rFonts w:ascii="Arial" w:hAnsi="Arial" w:cs="Arial"/>
                <w:sz w:val="16"/>
                <w:szCs w:val="16"/>
                <w:lang w:val="en-US"/>
              </w:rPr>
              <w:t>a</w:t>
            </w:r>
            <w:r w:rsidRPr="0065186F">
              <w:rPr>
                <w:rFonts w:ascii="Arial" w:hAnsi="Arial" w:cs="Arial"/>
                <w:sz w:val="16"/>
                <w:szCs w:val="16"/>
              </w:rPr>
              <w:t xml:space="preserve"> downlink pathloss estimate in dB calculated </w:t>
            </w:r>
            <w:r w:rsidRPr="0065186F">
              <w:rPr>
                <w:rFonts w:ascii="Arial" w:hAnsi="Arial" w:cs="Arial"/>
                <w:sz w:val="16"/>
                <w:szCs w:val="16"/>
                <w:lang w:val="en-US"/>
              </w:rPr>
              <w:t>by</w:t>
            </w:r>
            <w:r w:rsidRPr="0065186F">
              <w:rPr>
                <w:rFonts w:ascii="Arial" w:hAnsi="Arial" w:cs="Arial"/>
                <w:sz w:val="16"/>
                <w:szCs w:val="16"/>
              </w:rPr>
              <w:t xml:space="preserve"> the UE</w:t>
            </w:r>
            <w:r w:rsidRPr="0065186F">
              <w:rPr>
                <w:rFonts w:ascii="Arial" w:hAnsi="Arial" w:cs="Arial"/>
                <w:sz w:val="16"/>
                <w:szCs w:val="16"/>
                <w:lang w:val="en-US"/>
              </w:rPr>
              <w:t xml:space="preserve"> using RS resource index </w:t>
            </w:r>
            <w:r w:rsidRPr="0065186F">
              <w:rPr>
                <w:rFonts w:ascii="Arial" w:hAnsi="Arial" w:cs="Arial"/>
                <w:noProof/>
                <w:position w:val="-10"/>
                <w:sz w:val="16"/>
                <w:szCs w:val="16"/>
              </w:rPr>
              <w:drawing>
                <wp:inline distT="0" distB="0" distL="0" distR="0" wp14:anchorId="6C2F0ACF" wp14:editId="54958192">
                  <wp:extent cx="180975" cy="200025"/>
                  <wp:effectExtent l="0" t="0" r="0" b="0"/>
                  <wp:docPr id="1692817849" name="Picture 1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126"/>
                          <pic:cNvPicPr>
                            <a:picLocks noChangeArrowheads="1"/>
                          </pic:cNvPicPr>
                        </pic:nvPicPr>
                        <pic:blipFill>
                          <a:blip r:embed="rId278" cstate="print">
                            <a:extLst>
                              <a:ext uri="{28A0092B-C50C-407E-A947-70E740481C1C}">
                                <a14:useLocalDpi xmlns:a14="http://schemas.microsoft.com/office/drawing/2010/main" val="0"/>
                              </a:ext>
                            </a:extLst>
                          </a:blip>
                          <a:srcRect/>
                          <a:stretch>
                            <a:fillRect/>
                          </a:stretch>
                        </pic:blipFill>
                        <pic:spPr bwMode="auto">
                          <a:xfrm>
                            <a:off x="0" y="0"/>
                            <a:ext cx="180975" cy="200025"/>
                          </a:xfrm>
                          <a:prstGeom prst="rect">
                            <a:avLst/>
                          </a:prstGeom>
                          <a:noFill/>
                          <a:ln>
                            <a:noFill/>
                          </a:ln>
                        </pic:spPr>
                      </pic:pic>
                    </a:graphicData>
                  </a:graphic>
                </wp:inline>
              </w:drawing>
            </w:r>
            <w:r w:rsidRPr="0065186F">
              <w:rPr>
                <w:rFonts w:ascii="Arial" w:hAnsi="Arial" w:cs="Arial"/>
                <w:sz w:val="16"/>
                <w:szCs w:val="16"/>
                <w:lang w:val="en-US"/>
              </w:rPr>
              <w:t xml:space="preserve"> as described in clause 7.1.1 </w:t>
            </w:r>
            <w:r w:rsidRPr="0065186F">
              <w:rPr>
                <w:rFonts w:ascii="Arial" w:hAnsi="Arial" w:cs="Arial"/>
                <w:sz w:val="16"/>
                <w:szCs w:val="16"/>
              </w:rPr>
              <w:t xml:space="preserve">for </w:t>
            </w:r>
            <w:r w:rsidRPr="0065186F">
              <w:rPr>
                <w:rFonts w:ascii="Arial" w:hAnsi="Arial" w:cs="Arial"/>
                <w:sz w:val="16"/>
                <w:szCs w:val="16"/>
                <w:lang w:val="en-US"/>
              </w:rPr>
              <w:t xml:space="preserve">the active DL BWP </w:t>
            </w:r>
            <w:r w:rsidRPr="0065186F">
              <w:rPr>
                <w:rFonts w:ascii="Arial" w:hAnsi="Arial" w:cs="Arial"/>
                <w:noProof/>
                <w:position w:val="-6"/>
                <w:sz w:val="16"/>
                <w:szCs w:val="16"/>
              </w:rPr>
              <w:drawing>
                <wp:inline distT="0" distB="0" distL="0" distR="0" wp14:anchorId="63BEA54D" wp14:editId="3A06C78E">
                  <wp:extent cx="95250" cy="180975"/>
                  <wp:effectExtent l="0" t="0" r="0" b="0"/>
                  <wp:docPr id="665736641" name="Picture 1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125"/>
                          <pic:cNvPicPr>
                            <a:picLocks noChangeArrowheads="1"/>
                          </pic:cNvPicPr>
                        </pic:nvPicPr>
                        <pic:blipFill>
                          <a:blip r:embed="rId279"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65186F">
              <w:rPr>
                <w:rFonts w:ascii="Arial" w:hAnsi="Arial" w:cs="Arial"/>
                <w:iCs/>
                <w:sz w:val="16"/>
                <w:szCs w:val="16"/>
                <w:lang w:val="en-US"/>
              </w:rPr>
              <w:t xml:space="preserve"> </w:t>
            </w:r>
            <w:r w:rsidRPr="0065186F">
              <w:rPr>
                <w:rFonts w:ascii="Arial" w:hAnsi="Arial" w:cs="Arial"/>
                <w:sz w:val="16"/>
                <w:szCs w:val="16"/>
                <w:lang w:val="en-US"/>
              </w:rPr>
              <w:t>of</w:t>
            </w:r>
            <w:r w:rsidRPr="0065186F">
              <w:rPr>
                <w:rFonts w:ascii="Arial" w:hAnsi="Arial" w:cs="Arial"/>
                <w:sz w:val="16"/>
                <w:szCs w:val="16"/>
              </w:rPr>
              <w:t xml:space="preserve"> </w:t>
            </w:r>
            <w:r w:rsidRPr="0065186F">
              <w:rPr>
                <w:rFonts w:ascii="Arial" w:hAnsi="Arial" w:cs="Arial"/>
                <w:sz w:val="16"/>
                <w:szCs w:val="16"/>
                <w:lang w:val="en-US"/>
              </w:rPr>
              <w:t xml:space="preserve">carrier </w:t>
            </w:r>
            <w:r w:rsidRPr="0065186F">
              <w:rPr>
                <w:rFonts w:ascii="Arial" w:hAnsi="Arial" w:cs="Arial"/>
                <w:noProof/>
                <w:position w:val="-10"/>
                <w:sz w:val="16"/>
                <w:szCs w:val="16"/>
              </w:rPr>
              <w:drawing>
                <wp:inline distT="0" distB="0" distL="0" distR="0" wp14:anchorId="23D86FCA" wp14:editId="25AE23C8">
                  <wp:extent cx="180975" cy="180975"/>
                  <wp:effectExtent l="0" t="0" r="0" b="0"/>
                  <wp:docPr id="2042719498" name="Picture 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124"/>
                          <pic:cNvPicPr>
                            <a:picLocks noChangeArrowheads="1"/>
                          </pic:cNvPicPr>
                        </pic:nvPicPr>
                        <pic:blipFill>
                          <a:blip r:embed="rId280"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65186F">
              <w:rPr>
                <w:rFonts w:ascii="Arial" w:hAnsi="Arial" w:cs="Arial"/>
                <w:iCs/>
                <w:sz w:val="16"/>
                <w:szCs w:val="16"/>
                <w:lang w:val="en-US"/>
              </w:rPr>
              <w:t xml:space="preserve"> </w:t>
            </w:r>
            <w:r w:rsidRPr="0065186F">
              <w:rPr>
                <w:rFonts w:ascii="Arial" w:hAnsi="Arial" w:cs="Arial"/>
                <w:sz w:val="16"/>
                <w:szCs w:val="16"/>
                <w:lang w:val="en-US"/>
              </w:rPr>
              <w:t>of</w:t>
            </w:r>
            <w:r w:rsidRPr="0065186F">
              <w:rPr>
                <w:rFonts w:ascii="Arial" w:hAnsi="Arial" w:cs="Arial"/>
                <w:sz w:val="16"/>
                <w:szCs w:val="16"/>
              </w:rPr>
              <w:t xml:space="preserve"> the primary cell </w:t>
            </w:r>
            <w:r w:rsidRPr="0065186F">
              <w:rPr>
                <w:rFonts w:ascii="Arial" w:hAnsi="Arial" w:cs="Arial"/>
                <w:noProof/>
                <w:position w:val="-6"/>
                <w:sz w:val="16"/>
                <w:szCs w:val="16"/>
              </w:rPr>
              <w:drawing>
                <wp:inline distT="0" distB="0" distL="0" distR="0" wp14:anchorId="414552AD" wp14:editId="6B8D4277">
                  <wp:extent cx="114300" cy="161925"/>
                  <wp:effectExtent l="0" t="0" r="0" b="0"/>
                  <wp:docPr id="1054255864" name="Picture 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123"/>
                          <pic:cNvPicPr>
                            <a:picLocks noChangeArrowheads="1"/>
                          </pic:cNvPicPr>
                        </pic:nvPicPr>
                        <pic:blipFill>
                          <a:blip r:embed="rId281" cstate="print">
                            <a:extLst>
                              <a:ext uri="{28A0092B-C50C-407E-A947-70E740481C1C}">
                                <a14:useLocalDpi xmlns:a14="http://schemas.microsoft.com/office/drawing/2010/main" val="0"/>
                              </a:ext>
                            </a:extLst>
                          </a:blip>
                          <a:srcRect/>
                          <a:stretch>
                            <a:fillRect/>
                          </a:stretch>
                        </pic:blipFill>
                        <pic:spPr bwMode="auto">
                          <a:xfrm>
                            <a:off x="0" y="0"/>
                            <a:ext cx="114300" cy="161925"/>
                          </a:xfrm>
                          <a:prstGeom prst="rect">
                            <a:avLst/>
                          </a:prstGeom>
                          <a:noFill/>
                          <a:ln>
                            <a:noFill/>
                          </a:ln>
                        </pic:spPr>
                      </pic:pic>
                    </a:graphicData>
                  </a:graphic>
                </wp:inline>
              </w:drawing>
            </w:r>
            <w:r w:rsidRPr="0065186F">
              <w:rPr>
                <w:rFonts w:ascii="Arial" w:hAnsi="Arial" w:cs="Arial"/>
                <w:sz w:val="16"/>
                <w:szCs w:val="16"/>
                <w:lang w:val="en-US"/>
              </w:rPr>
              <w:t xml:space="preserve"> as described in clause 12</w:t>
            </w:r>
          </w:p>
          <w:p w14:paraId="277D9569" w14:textId="70112170" w:rsidR="0065186F" w:rsidRPr="0065186F" w:rsidRDefault="0065186F" w:rsidP="0065186F">
            <w:pPr>
              <w:pStyle w:val="ListParagraph"/>
              <w:numPr>
                <w:ilvl w:val="1"/>
                <w:numId w:val="69"/>
              </w:numPr>
              <w:spacing w:after="0"/>
              <w:rPr>
                <w:rFonts w:ascii="Arial" w:hAnsi="Arial" w:cs="Arial"/>
                <w:sz w:val="16"/>
                <w:szCs w:val="16"/>
              </w:rPr>
            </w:pPr>
            <w:r w:rsidRPr="0065186F">
              <w:rPr>
                <w:rFonts w:ascii="Arial" w:hAnsi="Arial" w:cs="Arial"/>
                <w:sz w:val="16"/>
                <w:szCs w:val="16"/>
              </w:rPr>
              <w:t xml:space="preserve">If the UE is not provided </w:t>
            </w:r>
            <w:r w:rsidRPr="0065186F">
              <w:rPr>
                <w:rFonts w:ascii="Arial" w:hAnsi="Arial" w:cs="Arial"/>
                <w:i/>
                <w:sz w:val="16"/>
                <w:szCs w:val="16"/>
              </w:rPr>
              <w:t>pathlossReferenceRSs</w:t>
            </w:r>
            <w:r w:rsidRPr="0065186F">
              <w:rPr>
                <w:rFonts w:ascii="Arial" w:hAnsi="Arial" w:cs="Arial"/>
                <w:sz w:val="16"/>
                <w:szCs w:val="16"/>
              </w:rPr>
              <w:t xml:space="preserve"> </w:t>
            </w:r>
            <w:ins w:id="41" w:author="Yushu Zhang" w:date="2023-10-30T11:33:00Z">
              <w:r w:rsidRPr="0065186F">
                <w:rPr>
                  <w:rFonts w:ascii="Arial" w:hAnsi="Arial" w:cs="Arial"/>
                  <w:sz w:val="16"/>
                  <w:szCs w:val="16"/>
                </w:rPr>
                <w:t xml:space="preserve">and </w:t>
              </w:r>
              <w:r w:rsidRPr="0065186F">
                <w:rPr>
                  <w:rFonts w:ascii="Arial" w:hAnsi="Arial" w:cs="Arial"/>
                  <w:i/>
                  <w:sz w:val="16"/>
                  <w:szCs w:val="16"/>
                  <w:lang w:val="en-US"/>
                </w:rPr>
                <w:t>enableDefaultBeamPL-ForPUCCH</w:t>
              </w:r>
            </w:ins>
            <w:ins w:id="42" w:author="Yushu Zhang" w:date="2023-11-13T11:42:00Z">
              <w:r w:rsidRPr="0065186F">
                <w:rPr>
                  <w:rFonts w:ascii="Arial" w:hAnsi="Arial" w:cs="Arial"/>
                  <w:i/>
                  <w:sz w:val="16"/>
                  <w:szCs w:val="16"/>
                  <w:lang w:val="en-US"/>
                </w:rPr>
                <w:t>,</w:t>
              </w:r>
            </w:ins>
            <w:ins w:id="43" w:author="Yushu Zhang" w:date="2023-10-30T11:33:00Z">
              <w:r w:rsidRPr="0065186F">
                <w:rPr>
                  <w:rFonts w:ascii="Arial" w:hAnsi="Arial" w:cs="Arial"/>
                  <w:sz w:val="16"/>
                  <w:szCs w:val="16"/>
                  <w:lang w:val="en-US"/>
                </w:rPr>
                <w:t xml:space="preserve"> </w:t>
              </w:r>
            </w:ins>
            <w:r w:rsidRPr="0065186F">
              <w:rPr>
                <w:rFonts w:ascii="Arial" w:hAnsi="Arial" w:cs="Arial"/>
                <w:sz w:val="16"/>
                <w:szCs w:val="16"/>
                <w:lang w:val="en-US"/>
              </w:rPr>
              <w:t>or</w:t>
            </w:r>
            <w:r w:rsidRPr="0065186F">
              <w:rPr>
                <w:rFonts w:ascii="Arial" w:hAnsi="Arial" w:cs="Arial"/>
                <w:sz w:val="16"/>
                <w:szCs w:val="16"/>
              </w:rPr>
              <w:t xml:space="preserve"> before the UE is provided dedicated higher layer parameters</w:t>
            </w:r>
            <w:r w:rsidRPr="0065186F">
              <w:rPr>
                <w:rFonts w:ascii="Arial" w:hAnsi="Arial" w:cs="Arial"/>
                <w:iCs/>
                <w:sz w:val="16"/>
                <w:szCs w:val="16"/>
              </w:rPr>
              <w:t xml:space="preserve">, the UE calculates </w:t>
            </w:r>
            <w:r w:rsidRPr="0065186F">
              <w:rPr>
                <w:rFonts w:ascii="Arial" w:hAnsi="Arial" w:cs="Arial"/>
                <w:noProof/>
                <w:position w:val="-12"/>
                <w:sz w:val="16"/>
                <w:szCs w:val="16"/>
              </w:rPr>
              <w:drawing>
                <wp:inline distT="0" distB="0" distL="0" distR="0" wp14:anchorId="1B819CD4" wp14:editId="094E4985">
                  <wp:extent cx="638175" cy="190500"/>
                  <wp:effectExtent l="0" t="0" r="0" b="0"/>
                  <wp:docPr id="1618103086" name="Picture 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757093653"/>
                          <pic:cNvPicPr>
                            <a:picLocks noChangeArrowheads="1"/>
                          </pic:cNvPicPr>
                        </pic:nvPicPr>
                        <pic:blipFill>
                          <a:blip r:embed="rId277" cstate="print">
                            <a:extLst>
                              <a:ext uri="{28A0092B-C50C-407E-A947-70E740481C1C}">
                                <a14:useLocalDpi xmlns:a14="http://schemas.microsoft.com/office/drawing/2010/main" val="0"/>
                              </a:ext>
                            </a:extLst>
                          </a:blip>
                          <a:srcRect/>
                          <a:stretch>
                            <a:fillRect/>
                          </a:stretch>
                        </pic:blipFill>
                        <pic:spPr bwMode="auto">
                          <a:xfrm>
                            <a:off x="0" y="0"/>
                            <a:ext cx="638175" cy="190500"/>
                          </a:xfrm>
                          <a:prstGeom prst="rect">
                            <a:avLst/>
                          </a:prstGeom>
                          <a:noFill/>
                          <a:ln>
                            <a:noFill/>
                          </a:ln>
                        </pic:spPr>
                      </pic:pic>
                    </a:graphicData>
                  </a:graphic>
                </wp:inline>
              </w:drawing>
            </w:r>
            <w:r w:rsidRPr="0065186F">
              <w:rPr>
                <w:rFonts w:ascii="Arial" w:hAnsi="Arial" w:cs="Arial"/>
                <w:sz w:val="16"/>
                <w:szCs w:val="16"/>
              </w:rPr>
              <w:t xml:space="preserve"> using </w:t>
            </w:r>
            <w:r w:rsidRPr="0065186F">
              <w:rPr>
                <w:rFonts w:ascii="Arial" w:hAnsi="Arial" w:cs="Arial"/>
                <w:iCs/>
                <w:sz w:val="16"/>
                <w:szCs w:val="16"/>
              </w:rPr>
              <w:t xml:space="preserve">a RS resource obtained from </w:t>
            </w:r>
            <w:r w:rsidRPr="0065186F">
              <w:rPr>
                <w:rFonts w:ascii="Arial" w:hAnsi="Arial" w:cs="Arial"/>
                <w:iCs/>
                <w:sz w:val="16"/>
                <w:szCs w:val="16"/>
                <w:lang w:val="en-US"/>
              </w:rPr>
              <w:t>an</w:t>
            </w:r>
            <w:r w:rsidRPr="0065186F">
              <w:rPr>
                <w:rFonts w:ascii="Arial" w:hAnsi="Arial" w:cs="Arial"/>
                <w:iCs/>
                <w:sz w:val="16"/>
                <w:szCs w:val="16"/>
              </w:rPr>
              <w:t xml:space="preserve"> SS/PBCH block </w:t>
            </w:r>
            <w:r w:rsidRPr="0065186F">
              <w:rPr>
                <w:rFonts w:ascii="Arial" w:hAnsi="Arial" w:cs="Arial"/>
                <w:sz w:val="16"/>
                <w:szCs w:val="16"/>
              </w:rPr>
              <w:t>with same SS/PBCH block index as the one</w:t>
            </w:r>
            <w:r w:rsidRPr="0065186F">
              <w:rPr>
                <w:rFonts w:ascii="Arial" w:hAnsi="Arial" w:cs="Arial"/>
                <w:iCs/>
                <w:sz w:val="16"/>
                <w:szCs w:val="16"/>
              </w:rPr>
              <w:t xml:space="preserve"> the UE </w:t>
            </w:r>
            <w:r w:rsidRPr="0065186F">
              <w:rPr>
                <w:rFonts w:ascii="Arial" w:hAnsi="Arial" w:cs="Arial"/>
                <w:iCs/>
                <w:sz w:val="16"/>
                <w:szCs w:val="16"/>
                <w:lang w:val="en-US"/>
              </w:rPr>
              <w:t xml:space="preserve">uses to </w:t>
            </w:r>
            <w:r w:rsidRPr="0065186F">
              <w:rPr>
                <w:rFonts w:ascii="Arial" w:hAnsi="Arial" w:cs="Arial"/>
                <w:iCs/>
                <w:sz w:val="16"/>
                <w:szCs w:val="16"/>
              </w:rPr>
              <w:t xml:space="preserve">obtain </w:t>
            </w:r>
            <w:r w:rsidRPr="0065186F">
              <w:rPr>
                <w:rFonts w:ascii="Arial" w:hAnsi="Arial" w:cs="Arial"/>
                <w:i/>
                <w:sz w:val="16"/>
                <w:szCs w:val="16"/>
                <w:lang w:val="en-US"/>
              </w:rPr>
              <w:t>MIB</w:t>
            </w:r>
          </w:p>
          <w:p w14:paraId="17D9B20B" w14:textId="548596E2" w:rsidR="0065186F" w:rsidRPr="0065186F" w:rsidRDefault="0065186F" w:rsidP="0065186F">
            <w:pPr>
              <w:ind w:left="568"/>
              <w:jc w:val="center"/>
              <w:rPr>
                <w:rFonts w:ascii="Arial" w:eastAsia="MS Mincho" w:hAnsi="Arial" w:cs="Arial"/>
                <w:color w:val="FF0000"/>
                <w:sz w:val="16"/>
                <w:szCs w:val="16"/>
                <w:lang w:val="en-US"/>
              </w:rPr>
            </w:pPr>
            <w:r w:rsidRPr="0065186F">
              <w:rPr>
                <w:rFonts w:ascii="Arial" w:eastAsia="MS Mincho" w:hAnsi="Arial" w:cs="Arial"/>
                <w:color w:val="FF0000"/>
                <w:sz w:val="16"/>
                <w:szCs w:val="16"/>
                <w:lang w:val="en-US"/>
              </w:rPr>
              <w:t>&lt;omitted text&gt;</w:t>
            </w:r>
          </w:p>
        </w:tc>
      </w:tr>
    </w:tbl>
    <w:p w14:paraId="4FB9F7F3" w14:textId="77777777" w:rsidR="0065186F" w:rsidRPr="0065186F" w:rsidRDefault="0065186F" w:rsidP="0065186F">
      <w:pPr>
        <w:jc w:val="both"/>
        <w:rPr>
          <w:rFonts w:ascii="Times New Roman" w:eastAsia="Malgun Gothic" w:hAnsi="Times New Roman"/>
          <w:szCs w:val="20"/>
          <w:lang w:val="en-US" w:eastAsia="zh-CN"/>
        </w:rPr>
      </w:pPr>
    </w:p>
    <w:tbl>
      <w:tblPr>
        <w:tblW w:w="5000" w:type="pct"/>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0683"/>
      </w:tblGrid>
      <w:tr w:rsidR="0065186F" w:rsidRPr="0065186F" w14:paraId="7A043A40" w14:textId="77777777" w:rsidTr="0065186F">
        <w:tc>
          <w:tcPr>
            <w:tcW w:w="5000" w:type="pct"/>
            <w:shd w:val="clear" w:color="auto" w:fill="auto"/>
          </w:tcPr>
          <w:p w14:paraId="2C6A0124" w14:textId="77777777" w:rsidR="0065186F" w:rsidRPr="0065186F" w:rsidRDefault="0065186F" w:rsidP="0065186F">
            <w:pPr>
              <w:rPr>
                <w:rFonts w:ascii="Arial" w:hAnsi="Arial" w:cs="Arial"/>
                <w:b/>
                <w:bCs/>
                <w:sz w:val="16"/>
                <w:szCs w:val="16"/>
              </w:rPr>
            </w:pPr>
            <w:bookmarkStart w:id="44" w:name="_Ref500079796"/>
            <w:bookmarkStart w:id="45" w:name="_Toc12021450"/>
            <w:bookmarkStart w:id="46" w:name="_Toc20311562"/>
            <w:bookmarkStart w:id="47" w:name="_Toc26719387"/>
            <w:bookmarkStart w:id="48" w:name="_Toc29894818"/>
            <w:bookmarkStart w:id="49" w:name="_Toc29899117"/>
            <w:bookmarkStart w:id="50" w:name="_Toc29899535"/>
            <w:bookmarkStart w:id="51" w:name="_Toc29917272"/>
            <w:bookmarkStart w:id="52" w:name="_Toc36498146"/>
            <w:bookmarkStart w:id="53" w:name="_Toc45699172"/>
            <w:bookmarkStart w:id="54" w:name="_Toc137056366"/>
            <w:r w:rsidRPr="0065186F">
              <w:rPr>
                <w:rFonts w:ascii="Arial" w:hAnsi="Arial" w:cs="Arial"/>
                <w:b/>
                <w:bCs/>
                <w:sz w:val="16"/>
                <w:szCs w:val="16"/>
              </w:rPr>
              <w:t>7.3.1</w:t>
            </w:r>
            <w:r w:rsidRPr="0065186F">
              <w:rPr>
                <w:rFonts w:ascii="Arial" w:hAnsi="Arial" w:cs="Arial"/>
                <w:b/>
                <w:bCs/>
                <w:sz w:val="16"/>
                <w:szCs w:val="16"/>
              </w:rPr>
              <w:tab/>
              <w:t>UE behaviour</w:t>
            </w:r>
            <w:bookmarkEnd w:id="44"/>
            <w:bookmarkEnd w:id="45"/>
            <w:bookmarkEnd w:id="46"/>
            <w:bookmarkEnd w:id="47"/>
            <w:bookmarkEnd w:id="48"/>
            <w:bookmarkEnd w:id="49"/>
            <w:bookmarkEnd w:id="50"/>
            <w:bookmarkEnd w:id="51"/>
            <w:bookmarkEnd w:id="52"/>
            <w:bookmarkEnd w:id="53"/>
            <w:bookmarkEnd w:id="54"/>
          </w:p>
          <w:p w14:paraId="23FA32A5" w14:textId="77777777" w:rsidR="0065186F" w:rsidRPr="0065186F" w:rsidRDefault="0065186F" w:rsidP="0065186F">
            <w:pPr>
              <w:ind w:left="568"/>
              <w:jc w:val="center"/>
              <w:rPr>
                <w:rFonts w:ascii="Arial" w:eastAsia="MS Mincho" w:hAnsi="Arial" w:cs="Arial"/>
                <w:color w:val="FF0000"/>
                <w:sz w:val="16"/>
                <w:szCs w:val="16"/>
                <w:lang w:val="en-US"/>
              </w:rPr>
            </w:pPr>
            <w:r w:rsidRPr="0065186F">
              <w:rPr>
                <w:rFonts w:ascii="Arial" w:eastAsia="MS Mincho" w:hAnsi="Arial" w:cs="Arial"/>
                <w:color w:val="FF0000"/>
                <w:sz w:val="16"/>
                <w:szCs w:val="16"/>
                <w:lang w:val="en-US"/>
              </w:rPr>
              <w:t>&lt;omitted text&gt;</w:t>
            </w:r>
          </w:p>
          <w:p w14:paraId="05362C7B" w14:textId="6DB1F6A7" w:rsidR="0065186F" w:rsidRPr="0065186F" w:rsidRDefault="005A18DC" w:rsidP="0065186F">
            <w:pPr>
              <w:pStyle w:val="ListParagraph"/>
              <w:numPr>
                <w:ilvl w:val="0"/>
                <w:numId w:val="69"/>
              </w:numPr>
              <w:spacing w:after="0"/>
              <w:rPr>
                <w:rFonts w:ascii="Arial" w:hAnsi="Arial" w:cs="Arial"/>
                <w:sz w:val="16"/>
                <w:szCs w:val="16"/>
                <w:lang w:val="en-US"/>
              </w:rPr>
            </w:pPr>
            <m:oMath>
              <m:sSub>
                <m:sSubPr>
                  <m:ctrlPr>
                    <w:rPr>
                      <w:rFonts w:ascii="Cambria Math" w:hAnsi="Cambria Math" w:cs="Arial"/>
                      <w:iCs/>
                      <w:sz w:val="16"/>
                      <w:szCs w:val="16"/>
                    </w:rPr>
                  </m:ctrlPr>
                </m:sSubPr>
                <m:e>
                  <m:r>
                    <w:rPr>
                      <w:rFonts w:ascii="Cambria Math" w:hAnsi="Cambria Math" w:cs="Arial"/>
                      <w:sz w:val="16"/>
                      <w:szCs w:val="16"/>
                    </w:rPr>
                    <m:t>PL</m:t>
                  </m:r>
                </m:e>
                <m:sub>
                  <m:r>
                    <w:rPr>
                      <w:rFonts w:ascii="Cambria Math" w:hAnsi="Cambria Math" w:cs="Arial"/>
                      <w:sz w:val="16"/>
                      <w:szCs w:val="16"/>
                    </w:rPr>
                    <m:t>b</m:t>
                  </m:r>
                  <m:r>
                    <m:rPr>
                      <m:sty m:val="p"/>
                    </m:rPr>
                    <w:rPr>
                      <w:rFonts w:ascii="Cambria Math" w:hAnsi="Cambria Math" w:cs="Arial"/>
                      <w:sz w:val="16"/>
                      <w:szCs w:val="16"/>
                    </w:rPr>
                    <m:t>,</m:t>
                  </m:r>
                  <m:r>
                    <w:rPr>
                      <w:rFonts w:ascii="Cambria Math" w:hAnsi="Cambria Math" w:cs="Arial"/>
                      <w:sz w:val="16"/>
                      <w:szCs w:val="16"/>
                    </w:rPr>
                    <m:t>f</m:t>
                  </m:r>
                  <m:r>
                    <m:rPr>
                      <m:sty m:val="p"/>
                    </m:rPr>
                    <w:rPr>
                      <w:rFonts w:ascii="Cambria Math" w:hAnsi="Cambria Math" w:cs="Arial"/>
                      <w:sz w:val="16"/>
                      <w:szCs w:val="16"/>
                    </w:rPr>
                    <m:t>,</m:t>
                  </m:r>
                  <m:r>
                    <w:rPr>
                      <w:rFonts w:ascii="Cambria Math" w:hAnsi="Cambria Math" w:cs="Arial"/>
                      <w:sz w:val="16"/>
                      <w:szCs w:val="16"/>
                    </w:rPr>
                    <m:t>c</m:t>
                  </m:r>
                </m:sub>
              </m:sSub>
              <m:r>
                <m:rPr>
                  <m:sty m:val="p"/>
                </m:rPr>
                <w:rPr>
                  <w:rFonts w:ascii="Cambria Math" w:hAnsi="Cambria Math" w:cs="Arial"/>
                  <w:sz w:val="16"/>
                  <w:szCs w:val="16"/>
                </w:rPr>
                <m:t>(</m:t>
              </m:r>
              <m:sSub>
                <m:sSubPr>
                  <m:ctrlPr>
                    <w:rPr>
                      <w:rFonts w:ascii="Cambria Math" w:hAnsi="Cambria Math" w:cs="Arial"/>
                      <w:iCs/>
                      <w:sz w:val="16"/>
                      <w:szCs w:val="16"/>
                    </w:rPr>
                  </m:ctrlPr>
                </m:sSubPr>
                <m:e>
                  <m:r>
                    <w:rPr>
                      <w:rFonts w:ascii="Cambria Math" w:hAnsi="Cambria Math" w:cs="Arial"/>
                      <w:sz w:val="16"/>
                      <w:szCs w:val="16"/>
                    </w:rPr>
                    <m:t>q</m:t>
                  </m:r>
                </m:e>
                <m:sub>
                  <m:r>
                    <w:rPr>
                      <w:rFonts w:ascii="Cambria Math" w:hAnsi="Cambria Math" w:cs="Arial"/>
                      <w:sz w:val="16"/>
                      <w:szCs w:val="16"/>
                    </w:rPr>
                    <m:t>d</m:t>
                  </m:r>
                </m:sub>
              </m:sSub>
              <m:r>
                <m:rPr>
                  <m:sty m:val="p"/>
                </m:rPr>
                <w:rPr>
                  <w:rFonts w:ascii="Cambria Math" w:hAnsi="Cambria Math" w:cs="Arial"/>
                  <w:sz w:val="16"/>
                  <w:szCs w:val="16"/>
                </w:rPr>
                <m:t>)</m:t>
              </m:r>
            </m:oMath>
            <w:r w:rsidR="0065186F" w:rsidRPr="0065186F">
              <w:rPr>
                <w:rFonts w:ascii="Arial" w:hAnsi="Arial" w:cs="Arial"/>
                <w:sz w:val="16"/>
                <w:szCs w:val="16"/>
                <w:lang w:val="en-US"/>
              </w:rPr>
              <w:t xml:space="preserve"> </w:t>
            </w:r>
            <w:r w:rsidR="0065186F" w:rsidRPr="0065186F">
              <w:rPr>
                <w:rFonts w:ascii="Arial" w:hAnsi="Arial" w:cs="Arial"/>
                <w:sz w:val="16"/>
                <w:szCs w:val="16"/>
              </w:rPr>
              <w:t xml:space="preserve">is </w:t>
            </w:r>
            <w:r w:rsidR="0065186F" w:rsidRPr="0065186F">
              <w:rPr>
                <w:rFonts w:ascii="Arial" w:hAnsi="Arial" w:cs="Arial"/>
                <w:sz w:val="16"/>
                <w:szCs w:val="16"/>
                <w:lang w:val="en-US"/>
              </w:rPr>
              <w:t>a</w:t>
            </w:r>
            <w:r w:rsidR="0065186F" w:rsidRPr="0065186F">
              <w:rPr>
                <w:rFonts w:ascii="Arial" w:hAnsi="Arial" w:cs="Arial"/>
                <w:sz w:val="16"/>
                <w:szCs w:val="16"/>
              </w:rPr>
              <w:t xml:space="preserve"> downlink pathloss estimate in dB calculated </w:t>
            </w:r>
            <w:r w:rsidR="0065186F" w:rsidRPr="0065186F">
              <w:rPr>
                <w:rFonts w:ascii="Arial" w:hAnsi="Arial" w:cs="Arial"/>
                <w:sz w:val="16"/>
                <w:szCs w:val="16"/>
                <w:lang w:val="en-US"/>
              </w:rPr>
              <w:t>by</w:t>
            </w:r>
            <w:r w:rsidR="0065186F" w:rsidRPr="0065186F">
              <w:rPr>
                <w:rFonts w:ascii="Arial" w:hAnsi="Arial" w:cs="Arial"/>
                <w:sz w:val="16"/>
                <w:szCs w:val="16"/>
              </w:rPr>
              <w:t xml:space="preserve"> the UE </w:t>
            </w:r>
            <w:r w:rsidR="0065186F" w:rsidRPr="0065186F">
              <w:rPr>
                <w:rFonts w:ascii="Arial" w:hAnsi="Arial" w:cs="Arial"/>
                <w:sz w:val="16"/>
                <w:szCs w:val="16"/>
                <w:lang w:val="en-US"/>
              </w:rPr>
              <w:t xml:space="preserve">using RS resource index </w:t>
            </w:r>
            <m:oMath>
              <m:sSub>
                <m:sSubPr>
                  <m:ctrlPr>
                    <w:rPr>
                      <w:rFonts w:ascii="Cambria Math" w:hAnsi="Cambria Math" w:cs="Arial"/>
                      <w:i/>
                      <w:sz w:val="16"/>
                      <w:szCs w:val="16"/>
                    </w:rPr>
                  </m:ctrlPr>
                </m:sSubPr>
                <m:e>
                  <m:r>
                    <w:rPr>
                      <w:rFonts w:ascii="Cambria Math" w:hAnsi="Cambria Math" w:cs="Arial"/>
                      <w:sz w:val="16"/>
                      <w:szCs w:val="16"/>
                    </w:rPr>
                    <m:t>q</m:t>
                  </m:r>
                </m:e>
                <m:sub>
                  <m:r>
                    <w:rPr>
                      <w:rFonts w:ascii="Cambria Math" w:hAnsi="Cambria Math" w:cs="Arial"/>
                      <w:sz w:val="16"/>
                      <w:szCs w:val="16"/>
                    </w:rPr>
                    <m:t>d</m:t>
                  </m:r>
                </m:sub>
              </m:sSub>
            </m:oMath>
            <w:r w:rsidR="0065186F" w:rsidRPr="0065186F">
              <w:rPr>
                <w:rFonts w:ascii="Arial" w:hAnsi="Arial" w:cs="Arial"/>
                <w:iCs/>
                <w:sz w:val="16"/>
                <w:szCs w:val="16"/>
                <w:lang w:val="en-US"/>
              </w:rPr>
              <w:t xml:space="preserve"> </w:t>
            </w:r>
            <w:r w:rsidR="0065186F" w:rsidRPr="0065186F">
              <w:rPr>
                <w:rFonts w:ascii="Arial" w:hAnsi="Arial" w:cs="Arial"/>
                <w:sz w:val="16"/>
                <w:szCs w:val="16"/>
                <w:lang w:val="en-US"/>
              </w:rPr>
              <w:t xml:space="preserve">as described in clause 7.1.1 </w:t>
            </w:r>
            <w:r w:rsidR="0065186F" w:rsidRPr="0065186F">
              <w:rPr>
                <w:rFonts w:ascii="Arial" w:hAnsi="Arial" w:cs="Arial"/>
                <w:sz w:val="16"/>
                <w:szCs w:val="16"/>
              </w:rPr>
              <w:t xml:space="preserve">for </w:t>
            </w:r>
            <w:r w:rsidR="0065186F" w:rsidRPr="0065186F">
              <w:rPr>
                <w:rFonts w:ascii="Arial" w:hAnsi="Arial" w:cs="Arial"/>
                <w:sz w:val="16"/>
                <w:szCs w:val="16"/>
                <w:lang w:val="en-US"/>
              </w:rPr>
              <w:t xml:space="preserve">the active DL BWP </w:t>
            </w:r>
            <w:r w:rsidR="0065186F" w:rsidRPr="0065186F">
              <w:rPr>
                <w:rFonts w:ascii="Arial" w:hAnsi="Arial" w:cs="Arial"/>
                <w:iCs/>
                <w:sz w:val="16"/>
                <w:szCs w:val="16"/>
              </w:rPr>
              <w:t>of</w:t>
            </w:r>
            <w:r w:rsidR="0065186F" w:rsidRPr="0065186F">
              <w:rPr>
                <w:rFonts w:ascii="Arial" w:hAnsi="Arial" w:cs="Arial"/>
                <w:sz w:val="16"/>
                <w:szCs w:val="16"/>
                <w:lang w:val="en-US"/>
              </w:rPr>
              <w:t xml:space="preserve"> serving</w:t>
            </w:r>
            <w:r w:rsidR="0065186F" w:rsidRPr="0065186F">
              <w:rPr>
                <w:rFonts w:ascii="Arial" w:hAnsi="Arial" w:cs="Arial"/>
                <w:sz w:val="16"/>
                <w:szCs w:val="16"/>
              </w:rPr>
              <w:t xml:space="preserve"> cell </w:t>
            </w:r>
            <m:oMath>
              <m:r>
                <w:rPr>
                  <w:rFonts w:ascii="Cambria Math" w:hAnsi="Cambria Math" w:cs="Arial"/>
                  <w:sz w:val="16"/>
                  <w:szCs w:val="16"/>
                </w:rPr>
                <m:t>c</m:t>
              </m:r>
            </m:oMath>
            <w:r w:rsidR="0065186F" w:rsidRPr="0065186F">
              <w:rPr>
                <w:rFonts w:ascii="Arial" w:hAnsi="Arial" w:cs="Arial"/>
                <w:sz w:val="16"/>
                <w:szCs w:val="16"/>
                <w:lang w:val="en-US"/>
              </w:rPr>
              <w:t xml:space="preserve"> and SRS resource set </w:t>
            </w:r>
            <m:oMath>
              <m:sSub>
                <m:sSubPr>
                  <m:ctrlPr>
                    <w:rPr>
                      <w:rFonts w:ascii="Cambria Math" w:hAnsi="Cambria Math" w:cs="Arial"/>
                      <w:i/>
                      <w:sz w:val="16"/>
                      <w:szCs w:val="16"/>
                    </w:rPr>
                  </m:ctrlPr>
                </m:sSubPr>
                <m:e>
                  <m:r>
                    <w:rPr>
                      <w:rFonts w:ascii="Cambria Math" w:hAnsi="Cambria Math" w:cs="Arial"/>
                      <w:sz w:val="16"/>
                      <w:szCs w:val="16"/>
                    </w:rPr>
                    <m:t>q</m:t>
                  </m:r>
                </m:e>
                <m:sub>
                  <m:r>
                    <w:rPr>
                      <w:rFonts w:ascii="Cambria Math" w:hAnsi="Cambria Math" w:cs="Arial"/>
                      <w:sz w:val="16"/>
                      <w:szCs w:val="16"/>
                    </w:rPr>
                    <m:t>s</m:t>
                  </m:r>
                </m:sub>
              </m:sSub>
            </m:oMath>
            <w:r w:rsidR="0065186F" w:rsidRPr="0065186F">
              <w:rPr>
                <w:rFonts w:ascii="Arial" w:hAnsi="Arial" w:cs="Arial"/>
                <w:sz w:val="16"/>
                <w:szCs w:val="16"/>
                <w:lang w:val="en-US"/>
              </w:rPr>
              <w:t xml:space="preserve"> </w:t>
            </w:r>
            <w:r w:rsidR="0065186F" w:rsidRPr="0065186F">
              <w:rPr>
                <w:rFonts w:ascii="Arial" w:hAnsi="Arial" w:cs="Arial"/>
                <w:sz w:val="16"/>
                <w:szCs w:val="16"/>
              </w:rPr>
              <w:t>[</w:t>
            </w:r>
            <w:r w:rsidR="0065186F" w:rsidRPr="0065186F">
              <w:rPr>
                <w:rFonts w:ascii="Arial" w:hAnsi="Arial" w:cs="Arial"/>
                <w:sz w:val="16"/>
                <w:szCs w:val="16"/>
                <w:lang w:val="en-US"/>
              </w:rPr>
              <w:t>6</w:t>
            </w:r>
            <w:r w:rsidR="0065186F" w:rsidRPr="0065186F">
              <w:rPr>
                <w:rFonts w:ascii="Arial" w:hAnsi="Arial" w:cs="Arial"/>
                <w:sz w:val="16"/>
                <w:szCs w:val="16"/>
              </w:rPr>
              <w:t>, TS 38.214]</w:t>
            </w:r>
            <w:r w:rsidR="0065186F" w:rsidRPr="0065186F">
              <w:rPr>
                <w:rFonts w:ascii="Arial" w:hAnsi="Arial" w:cs="Arial"/>
                <w:sz w:val="16"/>
                <w:szCs w:val="16"/>
                <w:lang w:val="en-US"/>
              </w:rPr>
              <w:t xml:space="preserve">. The RS resource index </w:t>
            </w:r>
            <m:oMath>
              <m:sSub>
                <m:sSubPr>
                  <m:ctrlPr>
                    <w:rPr>
                      <w:rFonts w:ascii="Cambria Math" w:hAnsi="Cambria Math" w:cs="Arial"/>
                      <w:i/>
                      <w:sz w:val="16"/>
                      <w:szCs w:val="16"/>
                    </w:rPr>
                  </m:ctrlPr>
                </m:sSubPr>
                <m:e>
                  <m:r>
                    <w:rPr>
                      <w:rFonts w:ascii="Cambria Math" w:hAnsi="Cambria Math" w:cs="Arial"/>
                      <w:sz w:val="16"/>
                      <w:szCs w:val="16"/>
                    </w:rPr>
                    <m:t>q</m:t>
                  </m:r>
                </m:e>
                <m:sub>
                  <m:r>
                    <w:rPr>
                      <w:rFonts w:ascii="Cambria Math" w:hAnsi="Cambria Math" w:cs="Arial"/>
                      <w:sz w:val="16"/>
                      <w:szCs w:val="16"/>
                    </w:rPr>
                    <m:t>d</m:t>
                  </m:r>
                </m:sub>
              </m:sSub>
            </m:oMath>
            <w:r w:rsidR="0065186F" w:rsidRPr="0065186F">
              <w:rPr>
                <w:rFonts w:ascii="Arial" w:hAnsi="Arial" w:cs="Arial"/>
                <w:sz w:val="16"/>
                <w:szCs w:val="16"/>
                <w:lang w:val="en-US"/>
              </w:rPr>
              <w:t xml:space="preserve"> is provided by </w:t>
            </w:r>
            <w:r w:rsidR="0065186F" w:rsidRPr="0065186F">
              <w:rPr>
                <w:rFonts w:ascii="Arial" w:hAnsi="Arial" w:cs="Arial"/>
                <w:i/>
                <w:sz w:val="16"/>
                <w:szCs w:val="16"/>
              </w:rPr>
              <w:t>pathlossReferenceRS</w:t>
            </w:r>
            <w:r w:rsidR="0065186F" w:rsidRPr="0065186F">
              <w:rPr>
                <w:rFonts w:ascii="Arial" w:hAnsi="Arial" w:cs="Arial"/>
                <w:sz w:val="16"/>
                <w:szCs w:val="16"/>
                <w:lang w:val="en-US"/>
              </w:rPr>
              <w:t xml:space="preserve"> associated with the SRS resource set </w:t>
            </w:r>
            <m:oMath>
              <m:sSub>
                <m:sSubPr>
                  <m:ctrlPr>
                    <w:rPr>
                      <w:rFonts w:ascii="Cambria Math" w:hAnsi="Cambria Math" w:cs="Arial"/>
                      <w:i/>
                      <w:sz w:val="16"/>
                      <w:szCs w:val="16"/>
                    </w:rPr>
                  </m:ctrlPr>
                </m:sSubPr>
                <m:e>
                  <m:r>
                    <w:rPr>
                      <w:rFonts w:ascii="Cambria Math" w:hAnsi="Cambria Math" w:cs="Arial"/>
                      <w:sz w:val="16"/>
                      <w:szCs w:val="16"/>
                    </w:rPr>
                    <m:t>q</m:t>
                  </m:r>
                </m:e>
                <m:sub>
                  <m:r>
                    <w:rPr>
                      <w:rFonts w:ascii="Cambria Math" w:hAnsi="Cambria Math" w:cs="Arial"/>
                      <w:sz w:val="16"/>
                      <w:szCs w:val="16"/>
                    </w:rPr>
                    <m:t>s</m:t>
                  </m:r>
                </m:sub>
              </m:sSub>
            </m:oMath>
            <w:r w:rsidR="0065186F" w:rsidRPr="0065186F">
              <w:rPr>
                <w:rFonts w:ascii="Arial" w:hAnsi="Arial" w:cs="Arial"/>
                <w:sz w:val="16"/>
                <w:szCs w:val="16"/>
                <w:lang w:val="en-US"/>
              </w:rPr>
              <w:t xml:space="preserve"> and is either an </w:t>
            </w:r>
            <w:r w:rsidR="0065186F" w:rsidRPr="0065186F">
              <w:rPr>
                <w:rFonts w:ascii="Arial" w:hAnsi="Arial" w:cs="Arial"/>
                <w:i/>
                <w:sz w:val="16"/>
                <w:szCs w:val="16"/>
              </w:rPr>
              <w:t>ssb-Index</w:t>
            </w:r>
            <w:r w:rsidR="0065186F" w:rsidRPr="0065186F">
              <w:rPr>
                <w:rFonts w:ascii="Arial" w:hAnsi="Arial" w:cs="Arial"/>
                <w:sz w:val="16"/>
                <w:szCs w:val="16"/>
                <w:lang w:val="en-US"/>
              </w:rPr>
              <w:t xml:space="preserve"> providing a SS/PBCH block index or a </w:t>
            </w:r>
            <w:r w:rsidR="0065186F" w:rsidRPr="0065186F">
              <w:rPr>
                <w:rFonts w:ascii="Arial" w:hAnsi="Arial" w:cs="Arial"/>
                <w:i/>
                <w:sz w:val="16"/>
                <w:szCs w:val="16"/>
              </w:rPr>
              <w:t>csi-RS-Index</w:t>
            </w:r>
            <w:r w:rsidR="0065186F" w:rsidRPr="0065186F">
              <w:rPr>
                <w:rFonts w:ascii="Arial" w:hAnsi="Arial" w:cs="Arial"/>
                <w:sz w:val="16"/>
                <w:szCs w:val="16"/>
                <w:lang w:val="en-US"/>
              </w:rPr>
              <w:t xml:space="preserve"> providing a CSI-RS resource index. If the UE is provided </w:t>
            </w:r>
            <w:r w:rsidR="0065186F" w:rsidRPr="0065186F">
              <w:rPr>
                <w:rFonts w:ascii="Arial" w:hAnsi="Arial" w:cs="Arial"/>
                <w:bCs/>
                <w:i/>
                <w:iCs/>
                <w:sz w:val="16"/>
                <w:szCs w:val="16"/>
              </w:rPr>
              <w:t>enablePL</w:t>
            </w:r>
            <w:r w:rsidR="0065186F" w:rsidRPr="0065186F">
              <w:rPr>
                <w:rFonts w:ascii="Arial" w:hAnsi="Arial" w:cs="Arial"/>
                <w:bCs/>
                <w:i/>
                <w:iCs/>
                <w:sz w:val="16"/>
                <w:szCs w:val="16"/>
                <w:lang w:val="en-US"/>
              </w:rPr>
              <w:t>-</w:t>
            </w:r>
            <w:r w:rsidR="0065186F" w:rsidRPr="0065186F">
              <w:rPr>
                <w:rFonts w:ascii="Arial" w:hAnsi="Arial" w:cs="Arial"/>
                <w:bCs/>
                <w:i/>
                <w:iCs/>
                <w:sz w:val="16"/>
                <w:szCs w:val="16"/>
              </w:rPr>
              <w:t>RS</w:t>
            </w:r>
            <w:r w:rsidR="0065186F" w:rsidRPr="0065186F">
              <w:rPr>
                <w:rFonts w:ascii="Arial" w:hAnsi="Arial" w:cs="Arial"/>
                <w:bCs/>
                <w:i/>
                <w:iCs/>
                <w:sz w:val="16"/>
                <w:szCs w:val="16"/>
                <w:lang w:val="en-US"/>
              </w:rPr>
              <w:t>-U</w:t>
            </w:r>
            <w:r w:rsidR="0065186F" w:rsidRPr="0065186F">
              <w:rPr>
                <w:rFonts w:ascii="Arial" w:hAnsi="Arial" w:cs="Arial"/>
                <w:bCs/>
                <w:i/>
                <w:iCs/>
                <w:sz w:val="16"/>
                <w:szCs w:val="16"/>
              </w:rPr>
              <w:t>pdateForPUSCH</w:t>
            </w:r>
            <w:r w:rsidR="0065186F" w:rsidRPr="0065186F">
              <w:rPr>
                <w:rFonts w:ascii="Arial" w:hAnsi="Arial" w:cs="Arial"/>
                <w:bCs/>
                <w:i/>
                <w:iCs/>
                <w:sz w:val="16"/>
                <w:szCs w:val="16"/>
                <w:lang w:val="en-US"/>
              </w:rPr>
              <w:t>-</w:t>
            </w:r>
            <w:r w:rsidR="0065186F" w:rsidRPr="0065186F">
              <w:rPr>
                <w:rFonts w:ascii="Arial" w:hAnsi="Arial" w:cs="Arial"/>
                <w:bCs/>
                <w:i/>
                <w:iCs/>
                <w:sz w:val="16"/>
                <w:szCs w:val="16"/>
              </w:rPr>
              <w:t>SRS</w:t>
            </w:r>
            <w:r w:rsidR="0065186F" w:rsidRPr="0065186F">
              <w:rPr>
                <w:rFonts w:ascii="Arial" w:hAnsi="Arial" w:cs="Arial"/>
                <w:sz w:val="16"/>
                <w:szCs w:val="16"/>
                <w:lang w:eastAsia="ko-KR"/>
              </w:rPr>
              <w:t xml:space="preserve">, a MAC CE [11, TS 38.321] can provide by </w:t>
            </w:r>
            <w:r w:rsidR="0065186F" w:rsidRPr="0065186F">
              <w:rPr>
                <w:rFonts w:ascii="Arial" w:hAnsi="Arial" w:cs="Arial"/>
                <w:i/>
                <w:iCs/>
                <w:sz w:val="16"/>
                <w:szCs w:val="16"/>
                <w:lang w:eastAsia="ko-KR"/>
              </w:rPr>
              <w:t>SRS-PathlossReferenceRS-Id</w:t>
            </w:r>
            <w:r w:rsidR="0065186F" w:rsidRPr="0065186F">
              <w:rPr>
                <w:rFonts w:ascii="Arial" w:hAnsi="Arial" w:cs="Arial"/>
                <w:sz w:val="16"/>
                <w:szCs w:val="16"/>
                <w:lang w:eastAsia="ko-KR"/>
              </w:rPr>
              <w:t xml:space="preserve"> a corresponding RS resource index </w:t>
            </w:r>
            <m:oMath>
              <m:sSub>
                <m:sSubPr>
                  <m:ctrlPr>
                    <w:rPr>
                      <w:rFonts w:ascii="Cambria Math" w:hAnsi="Cambria Math" w:cs="Arial"/>
                      <w:i/>
                      <w:sz w:val="16"/>
                      <w:szCs w:val="16"/>
                    </w:rPr>
                  </m:ctrlPr>
                </m:sSubPr>
                <m:e>
                  <m:r>
                    <w:rPr>
                      <w:rFonts w:ascii="Cambria Math" w:hAnsi="Cambria Math" w:cs="Arial"/>
                      <w:sz w:val="16"/>
                      <w:szCs w:val="16"/>
                    </w:rPr>
                    <m:t>q</m:t>
                  </m:r>
                </m:e>
                <m:sub>
                  <m:r>
                    <w:rPr>
                      <w:rFonts w:ascii="Cambria Math" w:hAnsi="Cambria Math" w:cs="Arial"/>
                      <w:sz w:val="16"/>
                      <w:szCs w:val="16"/>
                    </w:rPr>
                    <m:t>d</m:t>
                  </m:r>
                </m:sub>
              </m:sSub>
            </m:oMath>
            <w:r w:rsidR="0065186F" w:rsidRPr="0065186F">
              <w:rPr>
                <w:rFonts w:ascii="Arial" w:hAnsi="Arial" w:cs="Arial"/>
                <w:sz w:val="16"/>
                <w:szCs w:val="16"/>
              </w:rPr>
              <w:t xml:space="preserve"> for aperiodic or semi-persistent SRS resource set </w:t>
            </w:r>
            <m:oMath>
              <m:sSub>
                <m:sSubPr>
                  <m:ctrlPr>
                    <w:rPr>
                      <w:rFonts w:ascii="Cambria Math" w:hAnsi="Cambria Math" w:cs="Arial"/>
                      <w:i/>
                      <w:sz w:val="16"/>
                      <w:szCs w:val="16"/>
                    </w:rPr>
                  </m:ctrlPr>
                </m:sSubPr>
                <m:e>
                  <m:r>
                    <w:rPr>
                      <w:rFonts w:ascii="Cambria Math" w:hAnsi="Cambria Math" w:cs="Arial"/>
                      <w:sz w:val="16"/>
                      <w:szCs w:val="16"/>
                    </w:rPr>
                    <m:t>q</m:t>
                  </m:r>
                </m:e>
                <m:sub>
                  <m:r>
                    <w:rPr>
                      <w:rFonts w:ascii="Cambria Math" w:hAnsi="Cambria Math" w:cs="Arial"/>
                      <w:sz w:val="16"/>
                      <w:szCs w:val="16"/>
                    </w:rPr>
                    <m:t>s</m:t>
                  </m:r>
                </m:sub>
              </m:sSub>
            </m:oMath>
          </w:p>
          <w:p w14:paraId="0A551CAA" w14:textId="60742153" w:rsidR="0065186F" w:rsidRPr="0065186F" w:rsidRDefault="0065186F" w:rsidP="0065186F">
            <w:pPr>
              <w:pStyle w:val="ListParagraph"/>
              <w:numPr>
                <w:ilvl w:val="1"/>
                <w:numId w:val="69"/>
              </w:numPr>
              <w:spacing w:after="0"/>
              <w:rPr>
                <w:rFonts w:ascii="Arial" w:hAnsi="Arial" w:cs="Arial"/>
                <w:sz w:val="16"/>
                <w:szCs w:val="16"/>
                <w:lang w:val="en-US"/>
              </w:rPr>
            </w:pPr>
            <w:r w:rsidRPr="0065186F">
              <w:rPr>
                <w:rFonts w:ascii="Arial" w:hAnsi="Arial" w:cs="Arial"/>
                <w:sz w:val="16"/>
                <w:szCs w:val="16"/>
              </w:rPr>
              <w:t xml:space="preserve">If the UE is not provided </w:t>
            </w:r>
            <w:r w:rsidRPr="0065186F">
              <w:rPr>
                <w:rFonts w:ascii="Arial" w:hAnsi="Arial" w:cs="Arial"/>
                <w:i/>
                <w:sz w:val="16"/>
                <w:szCs w:val="16"/>
              </w:rPr>
              <w:t>pathlossReferenceRS</w:t>
            </w:r>
            <w:r w:rsidRPr="0065186F">
              <w:rPr>
                <w:rFonts w:ascii="Arial" w:hAnsi="Arial" w:cs="Arial"/>
                <w:sz w:val="16"/>
                <w:szCs w:val="16"/>
              </w:rPr>
              <w:t xml:space="preserve"> or </w:t>
            </w:r>
            <w:r w:rsidRPr="0065186F">
              <w:rPr>
                <w:rFonts w:ascii="Arial" w:hAnsi="Arial" w:cs="Arial"/>
                <w:i/>
                <w:iCs/>
                <w:sz w:val="16"/>
                <w:szCs w:val="16"/>
                <w:lang w:eastAsia="ko-KR"/>
              </w:rPr>
              <w:t>SRS-PathlossReferenceRS</w:t>
            </w:r>
            <w:r w:rsidRPr="0065186F">
              <w:rPr>
                <w:rFonts w:ascii="Arial" w:hAnsi="Arial" w:cs="Arial"/>
                <w:i/>
                <w:iCs/>
                <w:sz w:val="16"/>
                <w:szCs w:val="16"/>
                <w:lang w:val="en-US" w:eastAsia="ko-KR"/>
              </w:rPr>
              <w:t>-Id</w:t>
            </w:r>
            <w:ins w:id="55" w:author="Yushu Zhang" w:date="2023-09-20T13:07:00Z">
              <w:r w:rsidRPr="0065186F">
                <w:rPr>
                  <w:rFonts w:ascii="Arial" w:hAnsi="Arial" w:cs="Arial"/>
                  <w:i/>
                  <w:iCs/>
                  <w:sz w:val="16"/>
                  <w:szCs w:val="16"/>
                  <w:lang w:val="en-US" w:eastAsia="ko-KR"/>
                </w:rPr>
                <w:t xml:space="preserve"> </w:t>
              </w:r>
              <w:r w:rsidRPr="0065186F">
                <w:rPr>
                  <w:rFonts w:ascii="Arial" w:hAnsi="Arial" w:cs="Arial"/>
                  <w:sz w:val="16"/>
                  <w:szCs w:val="16"/>
                  <w:lang w:val="en-US"/>
                </w:rPr>
                <w:t>and</w:t>
              </w:r>
            </w:ins>
            <w:ins w:id="56" w:author="Yushu Zhang" w:date="2023-11-13T11:28:00Z">
              <w:r w:rsidRPr="0065186F">
                <w:rPr>
                  <w:rFonts w:ascii="Arial" w:hAnsi="Arial" w:cs="Arial"/>
                  <w:sz w:val="16"/>
                  <w:szCs w:val="16"/>
                  <w:lang w:val="en-US"/>
                </w:rPr>
                <w:t xml:space="preserve"> </w:t>
              </w:r>
              <w:r w:rsidRPr="0065186F">
                <w:rPr>
                  <w:rFonts w:ascii="Arial" w:hAnsi="Arial" w:cs="Arial"/>
                  <w:sz w:val="16"/>
                  <w:szCs w:val="16"/>
                  <w:lang w:val="en-US" w:eastAsia="zh-CN"/>
                </w:rPr>
                <w:t>if the UE is not provided</w:t>
              </w:r>
            </w:ins>
            <w:ins w:id="57" w:author="Yushu Zhang" w:date="2023-09-20T13:07:00Z">
              <w:r w:rsidRPr="0065186F">
                <w:rPr>
                  <w:rFonts w:ascii="Arial" w:hAnsi="Arial" w:cs="Arial"/>
                  <w:sz w:val="16"/>
                  <w:szCs w:val="16"/>
                  <w:lang w:eastAsia="zh-CN"/>
                </w:rPr>
                <w:t xml:space="preserve"> </w:t>
              </w:r>
              <w:r w:rsidRPr="0065186F">
                <w:rPr>
                  <w:rFonts w:ascii="Arial" w:hAnsi="Arial" w:cs="Arial"/>
                  <w:i/>
                  <w:iCs/>
                  <w:sz w:val="16"/>
                  <w:szCs w:val="16"/>
                </w:rPr>
                <w:t>enableDefaultBeamP</w:t>
              </w:r>
              <w:r w:rsidRPr="0065186F">
                <w:rPr>
                  <w:rFonts w:ascii="Arial" w:hAnsi="Arial" w:cs="Arial"/>
                  <w:i/>
                  <w:iCs/>
                  <w:sz w:val="16"/>
                  <w:szCs w:val="16"/>
                  <w:lang w:val="en-US"/>
                </w:rPr>
                <w:t>L-</w:t>
              </w:r>
              <w:r w:rsidRPr="0065186F">
                <w:rPr>
                  <w:rFonts w:ascii="Arial" w:hAnsi="Arial" w:cs="Arial"/>
                  <w:i/>
                  <w:iCs/>
                  <w:sz w:val="16"/>
                  <w:szCs w:val="16"/>
                </w:rPr>
                <w:t>ForSRS</w:t>
              </w:r>
            </w:ins>
            <w:r w:rsidRPr="0065186F">
              <w:rPr>
                <w:rFonts w:ascii="Arial" w:hAnsi="Arial" w:cs="Arial"/>
                <w:sz w:val="16"/>
                <w:szCs w:val="16"/>
                <w:lang w:eastAsia="ko-KR"/>
              </w:rPr>
              <w:t xml:space="preserve">, </w:t>
            </w:r>
            <w:r w:rsidRPr="0065186F">
              <w:rPr>
                <w:rFonts w:ascii="Arial" w:hAnsi="Arial" w:cs="Arial"/>
                <w:sz w:val="16"/>
                <w:szCs w:val="16"/>
                <w:lang w:val="en-US"/>
              </w:rPr>
              <w:t>or</w:t>
            </w:r>
            <w:r w:rsidRPr="0065186F">
              <w:rPr>
                <w:rFonts w:ascii="Arial" w:hAnsi="Arial" w:cs="Arial"/>
                <w:sz w:val="16"/>
                <w:szCs w:val="16"/>
              </w:rPr>
              <w:t xml:space="preserve"> before the UE is provided dedicated higher layer parameters</w:t>
            </w:r>
            <w:r w:rsidRPr="0065186F">
              <w:rPr>
                <w:rFonts w:ascii="Arial" w:hAnsi="Arial" w:cs="Arial"/>
                <w:iCs/>
                <w:sz w:val="16"/>
                <w:szCs w:val="16"/>
              </w:rPr>
              <w:t xml:space="preserve">, the UE calculates </w:t>
            </w:r>
            <m:oMath>
              <m:sSub>
                <m:sSubPr>
                  <m:ctrlPr>
                    <w:rPr>
                      <w:rFonts w:ascii="Cambria Math" w:hAnsi="Cambria Math" w:cs="Arial"/>
                      <w:iCs/>
                      <w:sz w:val="16"/>
                      <w:szCs w:val="16"/>
                    </w:rPr>
                  </m:ctrlPr>
                </m:sSubPr>
                <m:e>
                  <m:r>
                    <w:rPr>
                      <w:rFonts w:ascii="Cambria Math" w:hAnsi="Cambria Math" w:cs="Arial"/>
                      <w:sz w:val="16"/>
                      <w:szCs w:val="16"/>
                    </w:rPr>
                    <m:t>PL</m:t>
                  </m:r>
                </m:e>
                <m:sub>
                  <m:r>
                    <w:rPr>
                      <w:rFonts w:ascii="Cambria Math" w:hAnsi="Cambria Math" w:cs="Arial"/>
                      <w:sz w:val="16"/>
                      <w:szCs w:val="16"/>
                    </w:rPr>
                    <m:t>b</m:t>
                  </m:r>
                  <m:r>
                    <m:rPr>
                      <m:sty m:val="p"/>
                    </m:rPr>
                    <w:rPr>
                      <w:rFonts w:ascii="Cambria Math" w:hAnsi="Cambria Math" w:cs="Arial"/>
                      <w:sz w:val="16"/>
                      <w:szCs w:val="16"/>
                    </w:rPr>
                    <m:t>,</m:t>
                  </m:r>
                  <m:r>
                    <w:rPr>
                      <w:rFonts w:ascii="Cambria Math" w:hAnsi="Cambria Math" w:cs="Arial"/>
                      <w:sz w:val="16"/>
                      <w:szCs w:val="16"/>
                    </w:rPr>
                    <m:t>f</m:t>
                  </m:r>
                  <m:r>
                    <m:rPr>
                      <m:sty m:val="p"/>
                    </m:rPr>
                    <w:rPr>
                      <w:rFonts w:ascii="Cambria Math" w:hAnsi="Cambria Math" w:cs="Arial"/>
                      <w:sz w:val="16"/>
                      <w:szCs w:val="16"/>
                    </w:rPr>
                    <m:t>,</m:t>
                  </m:r>
                  <m:r>
                    <w:rPr>
                      <w:rFonts w:ascii="Cambria Math" w:hAnsi="Cambria Math" w:cs="Arial"/>
                      <w:sz w:val="16"/>
                      <w:szCs w:val="16"/>
                    </w:rPr>
                    <m:t>c</m:t>
                  </m:r>
                </m:sub>
              </m:sSub>
              <m:r>
                <m:rPr>
                  <m:sty m:val="p"/>
                </m:rPr>
                <w:rPr>
                  <w:rFonts w:ascii="Cambria Math" w:hAnsi="Cambria Math" w:cs="Arial"/>
                  <w:sz w:val="16"/>
                  <w:szCs w:val="16"/>
                </w:rPr>
                <m:t>(</m:t>
              </m:r>
              <m:sSub>
                <m:sSubPr>
                  <m:ctrlPr>
                    <w:rPr>
                      <w:rFonts w:ascii="Cambria Math" w:hAnsi="Cambria Math" w:cs="Arial"/>
                      <w:iCs/>
                      <w:sz w:val="16"/>
                      <w:szCs w:val="16"/>
                    </w:rPr>
                  </m:ctrlPr>
                </m:sSubPr>
                <m:e>
                  <m:r>
                    <w:rPr>
                      <w:rFonts w:ascii="Cambria Math" w:hAnsi="Cambria Math" w:cs="Arial"/>
                      <w:sz w:val="16"/>
                      <w:szCs w:val="16"/>
                    </w:rPr>
                    <m:t>q</m:t>
                  </m:r>
                </m:e>
                <m:sub>
                  <m:r>
                    <w:rPr>
                      <w:rFonts w:ascii="Cambria Math" w:hAnsi="Cambria Math" w:cs="Arial"/>
                      <w:sz w:val="16"/>
                      <w:szCs w:val="16"/>
                    </w:rPr>
                    <m:t>d</m:t>
                  </m:r>
                </m:sub>
              </m:sSub>
              <m:r>
                <m:rPr>
                  <m:sty m:val="p"/>
                </m:rPr>
                <w:rPr>
                  <w:rFonts w:ascii="Cambria Math" w:hAnsi="Cambria Math" w:cs="Arial"/>
                  <w:sz w:val="16"/>
                  <w:szCs w:val="16"/>
                </w:rPr>
                <m:t>)</m:t>
              </m:r>
            </m:oMath>
            <w:r w:rsidRPr="0065186F">
              <w:rPr>
                <w:rFonts w:ascii="Arial" w:hAnsi="Arial" w:cs="Arial"/>
                <w:sz w:val="16"/>
                <w:szCs w:val="16"/>
              </w:rPr>
              <w:t xml:space="preserve"> using </w:t>
            </w:r>
            <w:r w:rsidRPr="0065186F">
              <w:rPr>
                <w:rFonts w:ascii="Arial" w:hAnsi="Arial" w:cs="Arial"/>
                <w:iCs/>
                <w:sz w:val="16"/>
                <w:szCs w:val="16"/>
              </w:rPr>
              <w:t xml:space="preserve">a RS resource obtained from </w:t>
            </w:r>
            <w:r w:rsidRPr="0065186F">
              <w:rPr>
                <w:rFonts w:ascii="Arial" w:hAnsi="Arial" w:cs="Arial"/>
                <w:iCs/>
                <w:sz w:val="16"/>
                <w:szCs w:val="16"/>
                <w:lang w:val="en-US"/>
              </w:rPr>
              <w:t>an</w:t>
            </w:r>
            <w:r w:rsidRPr="0065186F">
              <w:rPr>
                <w:rFonts w:ascii="Arial" w:hAnsi="Arial" w:cs="Arial"/>
                <w:iCs/>
                <w:sz w:val="16"/>
                <w:szCs w:val="16"/>
              </w:rPr>
              <w:t xml:space="preserve"> SS/PBCH block </w:t>
            </w:r>
            <w:r w:rsidRPr="0065186F">
              <w:rPr>
                <w:rFonts w:ascii="Arial" w:hAnsi="Arial" w:cs="Arial"/>
                <w:sz w:val="16"/>
                <w:szCs w:val="16"/>
              </w:rPr>
              <w:t>with same SS/PBCH block index as the one</w:t>
            </w:r>
            <w:r w:rsidRPr="0065186F">
              <w:rPr>
                <w:rFonts w:ascii="Arial" w:hAnsi="Arial" w:cs="Arial"/>
                <w:iCs/>
                <w:sz w:val="16"/>
                <w:szCs w:val="16"/>
              </w:rPr>
              <w:t xml:space="preserve"> the UE </w:t>
            </w:r>
            <w:r w:rsidRPr="0065186F">
              <w:rPr>
                <w:rFonts w:ascii="Arial" w:hAnsi="Arial" w:cs="Arial"/>
                <w:iCs/>
                <w:sz w:val="16"/>
                <w:szCs w:val="16"/>
                <w:lang w:val="en-US"/>
              </w:rPr>
              <w:t xml:space="preserve">uses to </w:t>
            </w:r>
            <w:r w:rsidRPr="0065186F">
              <w:rPr>
                <w:rFonts w:ascii="Arial" w:hAnsi="Arial" w:cs="Arial"/>
                <w:iCs/>
                <w:sz w:val="16"/>
                <w:szCs w:val="16"/>
              </w:rPr>
              <w:t xml:space="preserve">obtain </w:t>
            </w:r>
            <w:r w:rsidRPr="0065186F">
              <w:rPr>
                <w:rFonts w:ascii="Arial" w:hAnsi="Arial" w:cs="Arial"/>
                <w:i/>
                <w:sz w:val="16"/>
                <w:szCs w:val="16"/>
                <w:lang w:val="en-US"/>
              </w:rPr>
              <w:t>MIB</w:t>
            </w:r>
          </w:p>
          <w:p w14:paraId="7E395F26" w14:textId="34B9C863" w:rsidR="0065186F" w:rsidRPr="0065186F" w:rsidRDefault="0065186F" w:rsidP="0065186F">
            <w:pPr>
              <w:ind w:left="568"/>
              <w:jc w:val="center"/>
              <w:rPr>
                <w:rFonts w:ascii="Arial" w:eastAsia="MS Mincho" w:hAnsi="Arial" w:cs="Arial"/>
                <w:color w:val="FF0000"/>
                <w:sz w:val="16"/>
                <w:szCs w:val="16"/>
                <w:lang w:val="en-US"/>
              </w:rPr>
            </w:pPr>
            <w:r w:rsidRPr="0065186F">
              <w:rPr>
                <w:rFonts w:ascii="Arial" w:eastAsia="MS Mincho" w:hAnsi="Arial" w:cs="Arial"/>
                <w:color w:val="FF0000"/>
                <w:sz w:val="16"/>
                <w:szCs w:val="16"/>
                <w:lang w:val="en-US"/>
              </w:rPr>
              <w:t>&lt;omitted text&gt;</w:t>
            </w:r>
          </w:p>
        </w:tc>
      </w:tr>
    </w:tbl>
    <w:p w14:paraId="6F39DE2F" w14:textId="14BA2AF7" w:rsidR="004A4E8B" w:rsidRDefault="0065186F" w:rsidP="00835CB1">
      <w:pPr>
        <w:rPr>
          <w:lang w:eastAsia="x-none"/>
        </w:rPr>
      </w:pPr>
      <w:r w:rsidRPr="0065186F">
        <w:rPr>
          <w:lang w:eastAsia="x-none"/>
        </w:rPr>
        <w:t>Final CRs in</w:t>
      </w:r>
      <w:r>
        <w:rPr>
          <w:lang w:eastAsia="x-none"/>
        </w:rPr>
        <w:t>:</w:t>
      </w:r>
    </w:p>
    <w:p w14:paraId="16B0F80C" w14:textId="46313CA8" w:rsidR="0065186F" w:rsidRPr="0065186F" w:rsidRDefault="005A18DC" w:rsidP="0065186F">
      <w:pPr>
        <w:rPr>
          <w:b/>
          <w:bCs/>
          <w:lang w:eastAsia="x-none"/>
        </w:rPr>
      </w:pPr>
      <w:hyperlink r:id="rId282" w:history="1">
        <w:r w:rsidR="00AF7253">
          <w:rPr>
            <w:rStyle w:val="Hyperlink"/>
            <w:b/>
            <w:bCs/>
            <w:highlight w:val="green"/>
            <w:lang w:eastAsia="x-none"/>
          </w:rPr>
          <w:t>R1-2312483</w:t>
        </w:r>
      </w:hyperlink>
      <w:r w:rsidR="0065186F" w:rsidRPr="0065186F">
        <w:rPr>
          <w:b/>
          <w:bCs/>
          <w:lang w:eastAsia="x-none"/>
        </w:rPr>
        <w:tab/>
        <w:t>CR on default pathloss reference signal for SRS and PUCCH</w:t>
      </w:r>
      <w:r w:rsidR="0065186F" w:rsidRPr="0065186F">
        <w:rPr>
          <w:b/>
          <w:bCs/>
          <w:lang w:eastAsia="x-none"/>
        </w:rPr>
        <w:tab/>
        <w:t>Moderator (Google), Google, Ericsson</w:t>
      </w:r>
    </w:p>
    <w:p w14:paraId="4E8FB594" w14:textId="77777777" w:rsidR="0065186F" w:rsidRDefault="0065186F" w:rsidP="0065186F">
      <w:pPr>
        <w:rPr>
          <w:lang w:eastAsia="x-none"/>
        </w:rPr>
      </w:pPr>
      <w:r>
        <w:rPr>
          <w:lang w:eastAsia="x-none"/>
        </w:rPr>
        <w:t>(Rel-16, 38.213, CR0546, Cat F) is agreed.</w:t>
      </w:r>
    </w:p>
    <w:p w14:paraId="7ABFC69A" w14:textId="166A345D" w:rsidR="0065186F" w:rsidRPr="0065186F" w:rsidRDefault="005A18DC" w:rsidP="0065186F">
      <w:pPr>
        <w:rPr>
          <w:b/>
          <w:bCs/>
          <w:lang w:eastAsia="x-none"/>
        </w:rPr>
      </w:pPr>
      <w:hyperlink r:id="rId283" w:history="1">
        <w:r w:rsidR="00AF7253">
          <w:rPr>
            <w:rStyle w:val="Hyperlink"/>
            <w:b/>
            <w:bCs/>
            <w:highlight w:val="green"/>
            <w:lang w:eastAsia="x-none"/>
          </w:rPr>
          <w:t>R1-2312484</w:t>
        </w:r>
      </w:hyperlink>
      <w:r w:rsidR="0065186F" w:rsidRPr="0065186F">
        <w:rPr>
          <w:b/>
          <w:bCs/>
          <w:lang w:eastAsia="x-none"/>
        </w:rPr>
        <w:tab/>
        <w:t>CR on default pathloss reference signal for SRS and PUCCH</w:t>
      </w:r>
      <w:r w:rsidR="0065186F" w:rsidRPr="0065186F">
        <w:rPr>
          <w:b/>
          <w:bCs/>
          <w:lang w:eastAsia="x-none"/>
        </w:rPr>
        <w:tab/>
        <w:t>Moderator (Google), Google, Ericsson</w:t>
      </w:r>
    </w:p>
    <w:p w14:paraId="702BE86B" w14:textId="2F3E92DD" w:rsidR="0065186F" w:rsidRDefault="0065186F" w:rsidP="0065186F">
      <w:pPr>
        <w:rPr>
          <w:lang w:eastAsia="x-none"/>
        </w:rPr>
      </w:pPr>
      <w:r>
        <w:rPr>
          <w:lang w:eastAsia="x-none"/>
        </w:rPr>
        <w:t>(Rel-17, 38.213, CR0547, Cat A) is agreed.</w:t>
      </w:r>
    </w:p>
    <w:p w14:paraId="03856E10" w14:textId="1D0EC8F1" w:rsidR="0065186F" w:rsidRPr="0065186F" w:rsidRDefault="005A18DC" w:rsidP="0065186F">
      <w:pPr>
        <w:rPr>
          <w:b/>
          <w:bCs/>
          <w:lang w:eastAsia="x-none"/>
        </w:rPr>
      </w:pPr>
      <w:hyperlink r:id="rId284" w:history="1">
        <w:r w:rsidR="00AF7253">
          <w:rPr>
            <w:rStyle w:val="Hyperlink"/>
            <w:b/>
            <w:bCs/>
            <w:highlight w:val="green"/>
            <w:lang w:eastAsia="x-none"/>
          </w:rPr>
          <w:t>R1-2312485</w:t>
        </w:r>
      </w:hyperlink>
      <w:r w:rsidR="0065186F" w:rsidRPr="0065186F">
        <w:rPr>
          <w:b/>
          <w:bCs/>
          <w:lang w:eastAsia="x-none"/>
        </w:rPr>
        <w:tab/>
        <w:t>CR on default pathloss reference signal for SRS and PUCCH</w:t>
      </w:r>
      <w:r w:rsidR="0065186F" w:rsidRPr="0065186F">
        <w:rPr>
          <w:b/>
          <w:bCs/>
          <w:lang w:eastAsia="x-none"/>
        </w:rPr>
        <w:tab/>
        <w:t>Moderator (Google), Google, Ericsson</w:t>
      </w:r>
    </w:p>
    <w:p w14:paraId="16506D19" w14:textId="6E66CAA0" w:rsidR="0065186F" w:rsidRDefault="0065186F" w:rsidP="0065186F">
      <w:pPr>
        <w:rPr>
          <w:lang w:eastAsia="x-none"/>
        </w:rPr>
      </w:pPr>
      <w:r>
        <w:rPr>
          <w:lang w:eastAsia="x-none"/>
        </w:rPr>
        <w:t>(Rel-18, 38.213, CR0548, Cat A) is agreed.</w:t>
      </w:r>
    </w:p>
    <w:p w14:paraId="04A8228B" w14:textId="77777777" w:rsidR="0065186F" w:rsidRDefault="0065186F" w:rsidP="0065186F">
      <w:pPr>
        <w:rPr>
          <w:lang w:eastAsia="x-none"/>
        </w:rPr>
      </w:pPr>
    </w:p>
    <w:p w14:paraId="7F8BAA25" w14:textId="77777777" w:rsidR="0065186F" w:rsidRPr="009537ED" w:rsidRDefault="0065186F" w:rsidP="00835CB1">
      <w:pPr>
        <w:rPr>
          <w:lang w:eastAsia="x-none"/>
        </w:rPr>
      </w:pPr>
    </w:p>
    <w:p w14:paraId="75091423" w14:textId="63AB9106" w:rsidR="00835CB1" w:rsidRPr="009537ED" w:rsidRDefault="005A18DC" w:rsidP="00835CB1">
      <w:pPr>
        <w:rPr>
          <w:b/>
          <w:bCs/>
          <w:lang w:eastAsia="x-none"/>
        </w:rPr>
      </w:pPr>
      <w:hyperlink r:id="rId285" w:history="1">
        <w:r w:rsidR="00AF7253">
          <w:rPr>
            <w:rStyle w:val="Hyperlink"/>
            <w:b/>
            <w:bCs/>
            <w:lang w:eastAsia="x-none"/>
          </w:rPr>
          <w:t>R1-2311671</w:t>
        </w:r>
      </w:hyperlink>
      <w:r w:rsidR="00835CB1" w:rsidRPr="009537ED">
        <w:rPr>
          <w:b/>
          <w:bCs/>
          <w:lang w:eastAsia="x-none"/>
        </w:rPr>
        <w:tab/>
        <w:t>Clarification of serving cell index in CSI priority calculation</w:t>
      </w:r>
      <w:r w:rsidR="00835CB1" w:rsidRPr="009537ED">
        <w:rPr>
          <w:b/>
          <w:bCs/>
          <w:lang w:eastAsia="x-none"/>
        </w:rPr>
        <w:tab/>
        <w:t>Apple</w:t>
      </w:r>
    </w:p>
    <w:p w14:paraId="39D4FF3E" w14:textId="77777777" w:rsidR="00A8512A" w:rsidRPr="00AF7E6D" w:rsidRDefault="00A8512A" w:rsidP="00A8512A">
      <w:pPr>
        <w:rPr>
          <w:lang w:eastAsia="x-none"/>
        </w:rPr>
      </w:pPr>
      <w:r w:rsidRPr="00AF7E6D">
        <w:rPr>
          <w:b/>
          <w:bCs/>
          <w:lang w:eastAsia="x-none"/>
        </w:rPr>
        <w:t xml:space="preserve">Monday session: </w:t>
      </w:r>
      <w:r w:rsidRPr="00AF7E6D">
        <w:rPr>
          <w:lang w:eastAsia="x-none"/>
        </w:rPr>
        <w:t xml:space="preserve">Comeback on Tuesday. To be moderated by Haitong (Apple). </w:t>
      </w:r>
    </w:p>
    <w:p w14:paraId="3AC3BCE7" w14:textId="77777777" w:rsidR="00A8512A" w:rsidRPr="00AF7E6D" w:rsidRDefault="00A8512A" w:rsidP="00A8512A">
      <w:pPr>
        <w:spacing w:after="120"/>
        <w:contextualSpacing/>
        <w:jc w:val="both"/>
        <w:rPr>
          <w:rFonts w:ascii="Times New Roman" w:eastAsia="Malgun Gothic" w:hAnsi="Times New Roman"/>
          <w:bCs/>
          <w:iCs/>
          <w:szCs w:val="20"/>
          <w:u w:val="single"/>
        </w:rPr>
      </w:pPr>
      <w:r w:rsidRPr="00AF7E6D">
        <w:rPr>
          <w:rFonts w:ascii="Times New Roman" w:eastAsia="Malgun Gothic" w:hAnsi="Times New Roman"/>
          <w:bCs/>
          <w:iCs/>
          <w:szCs w:val="20"/>
          <w:u w:val="single"/>
        </w:rPr>
        <w:t xml:space="preserve">Conclusion </w:t>
      </w:r>
    </w:p>
    <w:p w14:paraId="01588BD9" w14:textId="77777777" w:rsidR="00AF7E6D" w:rsidRPr="00AF7E6D" w:rsidRDefault="00AF7E6D" w:rsidP="00AF7E6D">
      <w:pPr>
        <w:rPr>
          <w:lang w:val="en-US"/>
        </w:rPr>
      </w:pPr>
      <w:r w:rsidRPr="00AF7E6D">
        <w:rPr>
          <w:lang w:val="en-US"/>
        </w:rPr>
        <w:t>For the interpretation of serving cell index in CSI report priority calculation in TS38.214 Clause 5.2.5, the following is RAN1’s common understanding.</w:t>
      </w:r>
    </w:p>
    <w:p w14:paraId="3CF9B177" w14:textId="77777777" w:rsidR="00AF7E6D" w:rsidRPr="00AF7E6D" w:rsidRDefault="00AF7E6D" w:rsidP="00A67145">
      <w:pPr>
        <w:pStyle w:val="ListParagraph"/>
        <w:numPr>
          <w:ilvl w:val="0"/>
          <w:numId w:val="243"/>
        </w:numPr>
        <w:rPr>
          <w:lang w:val="en-US"/>
        </w:rPr>
      </w:pPr>
      <w:r w:rsidRPr="00AF7E6D">
        <w:t>Interpretation 1: The serving cell index indicates the serving cell that contains the DL reference signal for CSI measurement.</w:t>
      </w:r>
    </w:p>
    <w:p w14:paraId="16742F4A" w14:textId="77777777" w:rsidR="004A4E8B" w:rsidRPr="009537ED" w:rsidRDefault="004A4E8B" w:rsidP="00835CB1">
      <w:pPr>
        <w:rPr>
          <w:lang w:eastAsia="x-none"/>
        </w:rPr>
      </w:pPr>
    </w:p>
    <w:p w14:paraId="59C5C5FC" w14:textId="07356DF2" w:rsidR="00835CB1" w:rsidRPr="009537ED" w:rsidRDefault="005A18DC" w:rsidP="00835CB1">
      <w:pPr>
        <w:rPr>
          <w:b/>
          <w:bCs/>
          <w:lang w:eastAsia="x-none"/>
        </w:rPr>
      </w:pPr>
      <w:hyperlink r:id="rId286" w:history="1">
        <w:r w:rsidR="00AF7253">
          <w:rPr>
            <w:rStyle w:val="Hyperlink"/>
            <w:b/>
            <w:bCs/>
            <w:lang w:eastAsia="x-none"/>
          </w:rPr>
          <w:t>R1-2311670</w:t>
        </w:r>
      </w:hyperlink>
      <w:r w:rsidR="00835CB1" w:rsidRPr="009537ED">
        <w:rPr>
          <w:b/>
          <w:bCs/>
          <w:lang w:eastAsia="x-none"/>
        </w:rPr>
        <w:tab/>
        <w:t>On memory issues associated to slot offset determination for A-CSI on PUSCH without data</w:t>
      </w:r>
      <w:r w:rsidR="00835CB1" w:rsidRPr="009537ED">
        <w:rPr>
          <w:b/>
          <w:bCs/>
          <w:lang w:eastAsia="x-none"/>
        </w:rPr>
        <w:tab/>
        <w:t>Apple</w:t>
      </w:r>
    </w:p>
    <w:p w14:paraId="0B3FC856" w14:textId="06A79724" w:rsidR="00A500C1" w:rsidRPr="009537ED" w:rsidRDefault="00A500C1" w:rsidP="00A500C1">
      <w:pPr>
        <w:rPr>
          <w:lang w:eastAsia="x-none"/>
        </w:rPr>
      </w:pPr>
      <w:r w:rsidRPr="00AF7E6D">
        <w:rPr>
          <w:b/>
          <w:bCs/>
          <w:lang w:eastAsia="x-none"/>
        </w:rPr>
        <w:t xml:space="preserve">Monday session: </w:t>
      </w:r>
      <w:r w:rsidRPr="00AF7E6D">
        <w:rPr>
          <w:lang w:eastAsia="x-none"/>
        </w:rPr>
        <w:t>Comeback on Tuesday. To be moderated by Ali (Apple).</w:t>
      </w:r>
    </w:p>
    <w:p w14:paraId="4F30D1E9" w14:textId="5701E0EE" w:rsidR="00AF7E6D" w:rsidRPr="00AF7E6D" w:rsidRDefault="005A18DC" w:rsidP="00AF7E6D">
      <w:pPr>
        <w:rPr>
          <w:b/>
          <w:bCs/>
          <w:lang w:eastAsia="x-none"/>
        </w:rPr>
      </w:pPr>
      <w:hyperlink r:id="rId287" w:history="1">
        <w:r w:rsidR="00AF7253">
          <w:rPr>
            <w:rStyle w:val="Hyperlink"/>
            <w:b/>
            <w:bCs/>
            <w:lang w:eastAsia="x-none"/>
          </w:rPr>
          <w:t>R1-2312435</w:t>
        </w:r>
      </w:hyperlink>
      <w:r w:rsidR="00AF7E6D" w:rsidRPr="00AF7E6D">
        <w:rPr>
          <w:b/>
          <w:bCs/>
          <w:lang w:eastAsia="x-none"/>
        </w:rPr>
        <w:tab/>
        <w:t>FL summary on memory for slot offset for ACSI without data</w:t>
      </w:r>
      <w:r w:rsidR="00AF7E6D" w:rsidRPr="00AF7E6D">
        <w:rPr>
          <w:b/>
          <w:bCs/>
          <w:lang w:eastAsia="x-none"/>
        </w:rPr>
        <w:tab/>
        <w:t>Moderator (Apple)</w:t>
      </w:r>
    </w:p>
    <w:p w14:paraId="3C26B1B5" w14:textId="77777777" w:rsidR="00AF7E6D" w:rsidRPr="00AF7E6D" w:rsidRDefault="00AF7E6D" w:rsidP="00AF7E6D">
      <w:pPr>
        <w:rPr>
          <w:highlight w:val="green"/>
        </w:rPr>
      </w:pPr>
      <w:r w:rsidRPr="00AF7E6D">
        <w:rPr>
          <w:highlight w:val="green"/>
        </w:rPr>
        <w:t>Agreement</w:t>
      </w:r>
    </w:p>
    <w:p w14:paraId="337C3C7B" w14:textId="77777777" w:rsidR="00AF7E6D" w:rsidRPr="00AF7E6D" w:rsidRDefault="00AF7E6D" w:rsidP="00AF7E6D">
      <w:r w:rsidRPr="00AF7E6D">
        <w:lastRenderedPageBreak/>
        <w:t xml:space="preserve">When the UE is scheduled to transmit a PUSCH with no transport block and with a CSI report(s) by a 'CSI request' field on a DCI, UE does not expect that 'Time domain resource assignment' field value </w:t>
      </w:r>
      <w:r w:rsidRPr="00AF7E6D">
        <w:rPr>
          <w:i/>
          <w:iCs/>
        </w:rPr>
        <w:t>m</w:t>
      </w:r>
      <w:r w:rsidRPr="00AF7E6D">
        <w:t xml:space="preserve"> of the DCI is 16 or larger.</w:t>
      </w:r>
    </w:p>
    <w:p w14:paraId="4028F85A" w14:textId="079166EC" w:rsidR="00AF7E6D" w:rsidRPr="00677539" w:rsidRDefault="00AF7E6D" w:rsidP="004825B2">
      <w:pPr>
        <w:pStyle w:val="ListParagraph"/>
        <w:numPr>
          <w:ilvl w:val="0"/>
          <w:numId w:val="245"/>
        </w:numPr>
        <w:rPr>
          <w:lang w:val="en-US"/>
        </w:rPr>
      </w:pPr>
      <w:r w:rsidRPr="00677539">
        <w:rPr>
          <w:lang w:val="en-US"/>
        </w:rPr>
        <w:t xml:space="preserve">The following TP to capture the above discussion for Rel-16 TS 38.214 is </w:t>
      </w:r>
      <w:r w:rsidRPr="00677539">
        <w:rPr>
          <w:highlight w:val="green"/>
          <w:lang w:val="en-US"/>
        </w:rPr>
        <w:t>agreed</w:t>
      </w:r>
      <w:r w:rsidRPr="00677539">
        <w:rPr>
          <w:lang w:val="en-US"/>
        </w:rPr>
        <w:t>.</w:t>
      </w:r>
    </w:p>
    <w:tbl>
      <w:tblPr>
        <w:tblpPr w:leftFromText="180" w:rightFromText="180" w:vertAnchor="text" w:horzAnchor="margin" w:tblpY="128"/>
        <w:tblW w:w="5000" w:type="pct"/>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0683"/>
      </w:tblGrid>
      <w:tr w:rsidR="00AF7E6D" w:rsidRPr="00AF7E6D" w14:paraId="551ABFE3" w14:textId="77777777" w:rsidTr="00AF7E6D">
        <w:tc>
          <w:tcPr>
            <w:tcW w:w="5000" w:type="pct"/>
            <w:shd w:val="clear" w:color="auto" w:fill="auto"/>
          </w:tcPr>
          <w:p w14:paraId="7ECC5AF9" w14:textId="77777777" w:rsidR="00AF7E6D" w:rsidRPr="00677539" w:rsidRDefault="00AF7E6D" w:rsidP="00677539">
            <w:pPr>
              <w:rPr>
                <w:rFonts w:ascii="Arial" w:hAnsi="Arial" w:cs="Arial"/>
                <w:b/>
                <w:bCs/>
                <w:sz w:val="16"/>
                <w:szCs w:val="16"/>
              </w:rPr>
            </w:pPr>
            <w:r w:rsidRPr="00677539">
              <w:rPr>
                <w:rFonts w:ascii="Arial" w:hAnsi="Arial" w:cs="Arial"/>
                <w:b/>
                <w:bCs/>
                <w:sz w:val="16"/>
                <w:szCs w:val="16"/>
              </w:rPr>
              <w:t>6.1.2.1</w:t>
            </w:r>
            <w:r w:rsidRPr="00677539">
              <w:rPr>
                <w:rFonts w:ascii="Arial" w:hAnsi="Arial" w:cs="Arial"/>
                <w:b/>
                <w:bCs/>
                <w:sz w:val="16"/>
                <w:szCs w:val="16"/>
              </w:rPr>
              <w:tab/>
              <w:t>Resource allocation in time domain</w:t>
            </w:r>
          </w:p>
          <w:p w14:paraId="00CB1133" w14:textId="77777777" w:rsidR="00AF7E6D" w:rsidRPr="00AF7E6D" w:rsidRDefault="00AF7E6D" w:rsidP="00AF7E6D">
            <w:pPr>
              <w:jc w:val="center"/>
              <w:rPr>
                <w:rFonts w:ascii="Arial" w:eastAsia="SimSun" w:hAnsi="Arial" w:cs="Arial"/>
                <w:b/>
                <w:iCs/>
                <w:color w:val="FF0000"/>
                <w:sz w:val="16"/>
                <w:szCs w:val="16"/>
                <w:lang w:val="en-US" w:eastAsia="zh-CN"/>
              </w:rPr>
            </w:pPr>
            <w:r w:rsidRPr="00AF7E6D">
              <w:rPr>
                <w:rFonts w:ascii="Arial" w:eastAsia="SimSun" w:hAnsi="Arial" w:cs="Arial"/>
                <w:b/>
                <w:iCs/>
                <w:color w:val="FF0000"/>
                <w:sz w:val="16"/>
                <w:szCs w:val="16"/>
                <w:lang w:val="en-US" w:eastAsia="zh-CN"/>
              </w:rPr>
              <w:t>&lt;Unchanged parts are omitted&gt;</w:t>
            </w:r>
          </w:p>
          <w:p w14:paraId="30A6873A" w14:textId="77777777" w:rsidR="00AF7E6D" w:rsidRPr="00AF7E6D" w:rsidRDefault="00AF7E6D" w:rsidP="00AF7E6D">
            <w:pPr>
              <w:rPr>
                <w:rFonts w:ascii="Arial" w:hAnsi="Arial" w:cs="Arial"/>
                <w:sz w:val="16"/>
                <w:szCs w:val="16"/>
              </w:rPr>
            </w:pPr>
            <w:r w:rsidRPr="00AF7E6D">
              <w:rPr>
                <w:rFonts w:ascii="Arial" w:hAnsi="Arial" w:cs="Arial"/>
                <w:sz w:val="16"/>
                <w:szCs w:val="16"/>
              </w:rPr>
              <w:t>When the UE is scheduled to transmit a PUSCH with no transport block and with a CSI report(s) by a ‘</w:t>
            </w:r>
            <w:r w:rsidRPr="00AF7E6D">
              <w:rPr>
                <w:rFonts w:ascii="Arial" w:hAnsi="Arial" w:cs="Arial"/>
                <w:i/>
                <w:sz w:val="16"/>
                <w:szCs w:val="16"/>
              </w:rPr>
              <w:t>CSI request’</w:t>
            </w:r>
            <w:r w:rsidRPr="00AF7E6D">
              <w:rPr>
                <w:rFonts w:ascii="Arial" w:hAnsi="Arial" w:cs="Arial"/>
                <w:sz w:val="16"/>
                <w:szCs w:val="16"/>
              </w:rPr>
              <w:t xml:space="preserve"> field on a DCI, the ‘</w:t>
            </w:r>
            <w:r w:rsidRPr="00AF7E6D">
              <w:rPr>
                <w:rFonts w:ascii="Arial" w:hAnsi="Arial" w:cs="Arial"/>
                <w:i/>
                <w:sz w:val="16"/>
                <w:szCs w:val="16"/>
              </w:rPr>
              <w:t>Time domain resource assignment’</w:t>
            </w:r>
            <w:r w:rsidRPr="00AF7E6D">
              <w:rPr>
                <w:rFonts w:ascii="Arial" w:hAnsi="Arial" w:cs="Arial"/>
                <w:sz w:val="16"/>
                <w:szCs w:val="16"/>
              </w:rPr>
              <w:t xml:space="preserve"> field value </w:t>
            </w:r>
            <w:r w:rsidRPr="00AF7E6D">
              <w:rPr>
                <w:rFonts w:ascii="Arial" w:hAnsi="Arial" w:cs="Arial"/>
                <w:i/>
                <w:sz w:val="16"/>
                <w:szCs w:val="16"/>
              </w:rPr>
              <w:t>m</w:t>
            </w:r>
            <w:r w:rsidRPr="00AF7E6D">
              <w:rPr>
                <w:rFonts w:ascii="Arial" w:hAnsi="Arial" w:cs="Arial"/>
                <w:sz w:val="16"/>
                <w:szCs w:val="16"/>
              </w:rPr>
              <w:t xml:space="preserve"> of the DCI provides a row index </w:t>
            </w:r>
            <w:r w:rsidRPr="00AF7E6D">
              <w:rPr>
                <w:rFonts w:ascii="Arial" w:hAnsi="Arial" w:cs="Arial"/>
                <w:i/>
                <w:sz w:val="16"/>
                <w:szCs w:val="16"/>
              </w:rPr>
              <w:t xml:space="preserve">m </w:t>
            </w:r>
            <w:r w:rsidRPr="00AF7E6D">
              <w:rPr>
                <w:rFonts w:ascii="Arial" w:hAnsi="Arial" w:cs="Arial"/>
                <w:sz w:val="16"/>
                <w:szCs w:val="16"/>
              </w:rPr>
              <w:t>+ 1</w:t>
            </w:r>
            <w:r w:rsidRPr="00AF7E6D">
              <w:rPr>
                <w:rFonts w:ascii="Arial" w:hAnsi="Arial" w:cs="Arial"/>
                <w:i/>
                <w:sz w:val="16"/>
                <w:szCs w:val="16"/>
              </w:rPr>
              <w:t xml:space="preserve"> </w:t>
            </w:r>
            <w:r w:rsidRPr="00AF7E6D">
              <w:rPr>
                <w:rFonts w:ascii="Arial" w:hAnsi="Arial" w:cs="Arial"/>
                <w:sz w:val="16"/>
                <w:szCs w:val="16"/>
              </w:rPr>
              <w:t xml:space="preserve">to the allocated table as defined in Clause 6.1.2.1.1. The indexed row defines the start and length indicator SLIV, or directly the start symbol </w:t>
            </w:r>
            <w:r w:rsidRPr="00AF7E6D">
              <w:rPr>
                <w:rFonts w:ascii="Arial" w:hAnsi="Arial" w:cs="Arial"/>
                <w:i/>
                <w:iCs/>
                <w:sz w:val="16"/>
                <w:szCs w:val="16"/>
              </w:rPr>
              <w:t>S</w:t>
            </w:r>
            <w:r w:rsidRPr="00AF7E6D">
              <w:rPr>
                <w:rFonts w:ascii="Arial" w:hAnsi="Arial" w:cs="Arial"/>
                <w:sz w:val="16"/>
                <w:szCs w:val="16"/>
              </w:rPr>
              <w:t xml:space="preserve"> and the allocation length </w:t>
            </w:r>
            <w:r w:rsidRPr="00AF7E6D">
              <w:rPr>
                <w:rFonts w:ascii="Arial" w:hAnsi="Arial" w:cs="Arial"/>
                <w:i/>
                <w:iCs/>
                <w:sz w:val="16"/>
                <w:szCs w:val="16"/>
              </w:rPr>
              <w:t>L</w:t>
            </w:r>
            <w:r w:rsidRPr="00AF7E6D">
              <w:rPr>
                <w:rFonts w:ascii="Arial" w:hAnsi="Arial" w:cs="Arial"/>
                <w:sz w:val="16"/>
                <w:szCs w:val="16"/>
              </w:rPr>
              <w:t xml:space="preserve">, and the PUSCH mapping type to be applied in the PUSCH transmission and the </w:t>
            </w:r>
            <w:r w:rsidRPr="00AF7E6D">
              <w:rPr>
                <w:rFonts w:ascii="Arial" w:hAnsi="Arial" w:cs="Arial"/>
                <w:i/>
                <w:sz w:val="16"/>
                <w:szCs w:val="16"/>
              </w:rPr>
              <w:t>K</w:t>
            </w:r>
            <w:r w:rsidRPr="00AF7E6D">
              <w:rPr>
                <w:rFonts w:ascii="Arial" w:hAnsi="Arial" w:cs="Arial"/>
                <w:i/>
                <w:sz w:val="16"/>
                <w:szCs w:val="16"/>
                <w:vertAlign w:val="subscript"/>
              </w:rPr>
              <w:t>2</w:t>
            </w:r>
            <w:r w:rsidRPr="00AF7E6D">
              <w:rPr>
                <w:rFonts w:ascii="Arial" w:hAnsi="Arial" w:cs="Arial"/>
                <w:sz w:val="16"/>
                <w:szCs w:val="16"/>
              </w:rPr>
              <w:t xml:space="preserve"> value is determined as </w:t>
            </w:r>
            <w:r w:rsidRPr="00AF7E6D">
              <w:rPr>
                <w:rFonts w:ascii="Arial" w:hAnsi="Arial" w:cs="Arial"/>
                <w:noProof/>
                <w:position w:val="-20"/>
                <w:sz w:val="16"/>
                <w:szCs w:val="16"/>
              </w:rPr>
              <w:object w:dxaOrig="1605" w:dyaOrig="435" w14:anchorId="26A6A703">
                <v:shape id="_x0000_i1043" type="#_x0000_t75" style="width:81pt;height:21pt" o:ole="">
                  <v:imagedata r:id="rId288" o:title=""/>
                </v:shape>
                <o:OLEObject Type="Embed" ProgID="Equation.DSMT4" ShapeID="_x0000_i1043" DrawAspect="Content" ObjectID="_1769863803" r:id="rId289"/>
              </w:object>
            </w:r>
            <w:r w:rsidRPr="00AF7E6D">
              <w:rPr>
                <w:rFonts w:ascii="Arial" w:hAnsi="Arial" w:cs="Arial"/>
                <w:sz w:val="16"/>
                <w:szCs w:val="16"/>
              </w:rPr>
              <w:t xml:space="preserve">, where </w:t>
            </w:r>
            <w:r w:rsidRPr="00AF7E6D">
              <w:rPr>
                <w:rFonts w:ascii="Arial" w:hAnsi="Arial" w:cs="Arial"/>
                <w:noProof/>
                <w:position w:val="-14"/>
                <w:sz w:val="16"/>
                <w:szCs w:val="16"/>
              </w:rPr>
              <w:object w:dxaOrig="1725" w:dyaOrig="285" w14:anchorId="6261D89B">
                <v:shape id="_x0000_i1044" type="#_x0000_t75" style="width:86.25pt;height:14.25pt" o:ole="">
                  <v:imagedata r:id="rId290" o:title=""/>
                </v:shape>
                <o:OLEObject Type="Embed" ProgID="Equation.3" ShapeID="_x0000_i1044" DrawAspect="Content" ObjectID="_1769863804" r:id="rId291"/>
              </w:object>
            </w:r>
            <w:r w:rsidRPr="00AF7E6D">
              <w:rPr>
                <w:rFonts w:ascii="Arial" w:hAnsi="Arial" w:cs="Arial"/>
                <w:sz w:val="16"/>
                <w:szCs w:val="16"/>
              </w:rPr>
              <w:t xml:space="preserve"> are the corresponding list entries of the higher layer parameter</w:t>
            </w:r>
          </w:p>
          <w:p w14:paraId="7F9E8DA0" w14:textId="4F1E7AEC" w:rsidR="00AF7E6D" w:rsidRPr="00AF7E6D" w:rsidRDefault="00AF7E6D" w:rsidP="00A67145">
            <w:pPr>
              <w:pStyle w:val="ListParagraph"/>
              <w:numPr>
                <w:ilvl w:val="0"/>
                <w:numId w:val="244"/>
              </w:numPr>
              <w:spacing w:after="0"/>
              <w:rPr>
                <w:rFonts w:ascii="Arial" w:eastAsia="MS Mincho" w:hAnsi="Arial" w:cs="Arial"/>
                <w:sz w:val="16"/>
                <w:szCs w:val="16"/>
              </w:rPr>
            </w:pPr>
            <w:r w:rsidRPr="00AF7E6D">
              <w:rPr>
                <w:rFonts w:ascii="Arial" w:eastAsia="MS Mincho" w:hAnsi="Arial" w:cs="Arial"/>
                <w:i/>
                <w:iCs/>
                <w:sz w:val="16"/>
                <w:szCs w:val="16"/>
              </w:rPr>
              <w:t>reportSlotOffsetListDCI-0-2</w:t>
            </w:r>
            <w:r w:rsidRPr="00AF7E6D">
              <w:rPr>
                <w:rFonts w:ascii="Arial" w:eastAsia="MS Mincho" w:hAnsi="Arial" w:cs="Arial"/>
                <w:sz w:val="16"/>
                <w:szCs w:val="16"/>
              </w:rPr>
              <w:t xml:space="preserve">, if PUSCH is scheduled by DCI format 0_2 and </w:t>
            </w:r>
            <w:r w:rsidRPr="00AF7E6D">
              <w:rPr>
                <w:rFonts w:ascii="Arial" w:eastAsia="MS Mincho" w:hAnsi="Arial" w:cs="Arial"/>
                <w:i/>
                <w:iCs/>
                <w:sz w:val="16"/>
                <w:szCs w:val="16"/>
              </w:rPr>
              <w:t xml:space="preserve">reportSlotOffsetListDCI-0-2 </w:t>
            </w:r>
            <w:r w:rsidRPr="00AF7E6D">
              <w:rPr>
                <w:rFonts w:ascii="Arial" w:eastAsia="MS Mincho" w:hAnsi="Arial" w:cs="Arial"/>
                <w:sz w:val="16"/>
                <w:szCs w:val="16"/>
              </w:rPr>
              <w:t>is configured;</w:t>
            </w:r>
          </w:p>
          <w:p w14:paraId="00AC3B9C" w14:textId="3AFDBD33" w:rsidR="00AF7E6D" w:rsidRPr="00AF7E6D" w:rsidRDefault="00AF7E6D" w:rsidP="00A67145">
            <w:pPr>
              <w:pStyle w:val="ListParagraph"/>
              <w:numPr>
                <w:ilvl w:val="0"/>
                <w:numId w:val="244"/>
              </w:numPr>
              <w:spacing w:after="0"/>
              <w:rPr>
                <w:rFonts w:ascii="Arial" w:eastAsia="MS Mincho" w:hAnsi="Arial" w:cs="Arial"/>
                <w:sz w:val="16"/>
                <w:szCs w:val="16"/>
              </w:rPr>
            </w:pPr>
            <w:r w:rsidRPr="00AF7E6D">
              <w:rPr>
                <w:rFonts w:ascii="Arial" w:eastAsia="MS Mincho" w:hAnsi="Arial" w:cs="Arial"/>
                <w:i/>
                <w:iCs/>
                <w:sz w:val="16"/>
                <w:szCs w:val="16"/>
              </w:rPr>
              <w:t>reportSlotOffsetListDCI-0-1</w:t>
            </w:r>
            <w:r w:rsidRPr="00AF7E6D">
              <w:rPr>
                <w:rFonts w:ascii="Arial" w:eastAsia="MS Mincho" w:hAnsi="Arial" w:cs="Arial"/>
                <w:sz w:val="16"/>
                <w:szCs w:val="16"/>
              </w:rPr>
              <w:t xml:space="preserve">, if PUSCH is scheduled by DCI format 0_1 and </w:t>
            </w:r>
            <w:r w:rsidRPr="00AF7E6D">
              <w:rPr>
                <w:rFonts w:ascii="Arial" w:eastAsia="MS Mincho" w:hAnsi="Arial" w:cs="Arial"/>
                <w:i/>
                <w:iCs/>
                <w:sz w:val="16"/>
                <w:szCs w:val="16"/>
              </w:rPr>
              <w:t>reportSlotOffsetListDCI-0-1</w:t>
            </w:r>
            <w:r w:rsidRPr="00AF7E6D">
              <w:rPr>
                <w:rFonts w:ascii="Arial" w:eastAsia="MS Mincho" w:hAnsi="Arial" w:cs="Arial"/>
                <w:sz w:val="16"/>
                <w:szCs w:val="16"/>
              </w:rPr>
              <w:t xml:space="preserve"> is configured;</w:t>
            </w:r>
          </w:p>
          <w:p w14:paraId="6A7790EF" w14:textId="40E4747E" w:rsidR="00AF7E6D" w:rsidRPr="00AF7E6D" w:rsidRDefault="00AF7E6D" w:rsidP="00A67145">
            <w:pPr>
              <w:pStyle w:val="ListParagraph"/>
              <w:numPr>
                <w:ilvl w:val="0"/>
                <w:numId w:val="244"/>
              </w:numPr>
              <w:spacing w:after="0"/>
              <w:rPr>
                <w:rFonts w:ascii="Arial" w:eastAsia="MS Mincho" w:hAnsi="Arial" w:cs="Arial"/>
                <w:sz w:val="16"/>
                <w:szCs w:val="16"/>
              </w:rPr>
            </w:pPr>
            <w:r w:rsidRPr="00AF7E6D">
              <w:rPr>
                <w:rFonts w:ascii="Arial" w:eastAsia="MS Mincho" w:hAnsi="Arial" w:cs="Arial"/>
                <w:i/>
                <w:sz w:val="16"/>
                <w:szCs w:val="16"/>
              </w:rPr>
              <w:t>reportSlotOffsetList</w:t>
            </w:r>
            <w:r w:rsidRPr="00AF7E6D">
              <w:rPr>
                <w:rFonts w:ascii="Arial" w:eastAsia="MS Mincho" w:hAnsi="Arial" w:cs="Arial"/>
                <w:sz w:val="16"/>
                <w:szCs w:val="16"/>
              </w:rPr>
              <w:t>, otherwise;</w:t>
            </w:r>
          </w:p>
          <w:p w14:paraId="02415C86" w14:textId="77777777" w:rsidR="00AF7E6D" w:rsidRPr="00AF7E6D" w:rsidRDefault="00AF7E6D" w:rsidP="00AF7E6D">
            <w:pPr>
              <w:rPr>
                <w:rFonts w:ascii="Arial" w:hAnsi="Arial" w:cs="Arial"/>
                <w:sz w:val="16"/>
                <w:szCs w:val="16"/>
              </w:rPr>
            </w:pPr>
            <w:r w:rsidRPr="00AF7E6D">
              <w:rPr>
                <w:rFonts w:ascii="Arial" w:hAnsi="Arial" w:cs="Arial"/>
                <w:sz w:val="16"/>
                <w:szCs w:val="16"/>
              </w:rPr>
              <w:t>in</w:t>
            </w:r>
            <w:r w:rsidRPr="00AF7E6D">
              <w:rPr>
                <w:rFonts w:ascii="Arial" w:hAnsi="Arial" w:cs="Arial"/>
                <w:i/>
                <w:sz w:val="16"/>
                <w:szCs w:val="16"/>
              </w:rPr>
              <w:t xml:space="preserve"> CSI-ReportConfig</w:t>
            </w:r>
            <w:r w:rsidRPr="00AF7E6D">
              <w:rPr>
                <w:rFonts w:ascii="Arial" w:hAnsi="Arial" w:cs="Arial"/>
                <w:sz w:val="16"/>
                <w:szCs w:val="16"/>
              </w:rPr>
              <w:t xml:space="preserve"> for the </w:t>
            </w:r>
            <w:r w:rsidRPr="00AF7E6D">
              <w:rPr>
                <w:rFonts w:ascii="Arial" w:hAnsi="Arial" w:cs="Arial"/>
                <w:noProof/>
                <w:position w:val="-14"/>
                <w:sz w:val="16"/>
                <w:szCs w:val="16"/>
              </w:rPr>
              <w:object w:dxaOrig="420" w:dyaOrig="285" w14:anchorId="5EBFAD30">
                <v:shape id="_x0000_i1045" type="#_x0000_t75" style="width:21pt;height:14.25pt" o:ole="">
                  <v:imagedata r:id="rId292" o:title=""/>
                </v:shape>
                <o:OLEObject Type="Embed" ProgID="Equation.3" ShapeID="_x0000_i1045" DrawAspect="Content" ObjectID="_1769863805" r:id="rId293"/>
              </w:object>
            </w:r>
            <w:r w:rsidRPr="00AF7E6D">
              <w:rPr>
                <w:rFonts w:ascii="Arial" w:hAnsi="Arial" w:cs="Arial"/>
                <w:sz w:val="16"/>
                <w:szCs w:val="16"/>
              </w:rPr>
              <w:t xml:space="preserve"> triggered CSI Reporting Settings and </w:t>
            </w:r>
            <w:r w:rsidRPr="00AF7E6D">
              <w:rPr>
                <w:rFonts w:ascii="Arial" w:hAnsi="Arial" w:cs="Arial"/>
                <w:noProof/>
                <w:position w:val="-12"/>
                <w:sz w:val="16"/>
                <w:szCs w:val="16"/>
              </w:rPr>
              <w:object w:dxaOrig="870" w:dyaOrig="285" w14:anchorId="7A640671">
                <v:shape id="_x0000_i1046" type="#_x0000_t75" style="width:44.25pt;height:14.25pt" o:ole="">
                  <v:imagedata r:id="rId294" o:title=""/>
                </v:shape>
                <o:OLEObject Type="Embed" ProgID="Equation.DSMT4" ShapeID="_x0000_i1046" DrawAspect="Content" ObjectID="_1769863806" r:id="rId295"/>
              </w:object>
            </w:r>
            <w:r w:rsidRPr="00AF7E6D">
              <w:rPr>
                <w:rFonts w:ascii="Arial" w:hAnsi="Arial" w:cs="Arial"/>
                <w:sz w:val="16"/>
                <w:szCs w:val="16"/>
              </w:rPr>
              <w:t xml:space="preserve"> is the </w:t>
            </w:r>
            <w:r w:rsidRPr="00AF7E6D">
              <w:rPr>
                <w:rFonts w:ascii="Arial" w:hAnsi="Arial" w:cs="Arial"/>
                <w:i/>
                <w:sz w:val="16"/>
                <w:szCs w:val="16"/>
              </w:rPr>
              <w:t>(m+1)</w:t>
            </w:r>
            <w:r w:rsidRPr="00AF7E6D">
              <w:rPr>
                <w:rFonts w:ascii="Arial" w:hAnsi="Arial" w:cs="Arial"/>
                <w:sz w:val="16"/>
                <w:szCs w:val="16"/>
              </w:rPr>
              <w:t xml:space="preserve">th entry of </w:t>
            </w:r>
            <w:r w:rsidRPr="00AF7E6D">
              <w:rPr>
                <w:rFonts w:ascii="Arial" w:hAnsi="Arial" w:cs="Arial"/>
                <w:noProof/>
                <w:position w:val="-14"/>
                <w:sz w:val="16"/>
                <w:szCs w:val="16"/>
              </w:rPr>
              <w:object w:dxaOrig="285" w:dyaOrig="285" w14:anchorId="6A580E7D">
                <v:shape id="_x0000_i1047" type="#_x0000_t75" style="width:14.25pt;height:14.25pt" o:ole="">
                  <v:imagedata r:id="rId296" o:title=""/>
                </v:shape>
                <o:OLEObject Type="Embed" ProgID="Equation.3" ShapeID="_x0000_i1047" DrawAspect="Content" ObjectID="_1769863807" r:id="rId297"/>
              </w:object>
            </w:r>
            <w:r w:rsidRPr="00AF7E6D">
              <w:rPr>
                <w:rFonts w:ascii="Arial" w:hAnsi="Arial" w:cs="Arial"/>
                <w:color w:val="FF0000"/>
                <w:sz w:val="16"/>
                <w:szCs w:val="16"/>
              </w:rPr>
              <w:t xml:space="preserve">, where the UE does not expect that </w:t>
            </w:r>
            <w:r w:rsidRPr="00AF7E6D">
              <w:rPr>
                <w:rFonts w:ascii="Arial" w:hAnsi="Arial" w:cs="Arial"/>
                <w:i/>
                <w:iCs/>
                <w:color w:val="FF0000"/>
                <w:sz w:val="16"/>
                <w:szCs w:val="16"/>
              </w:rPr>
              <w:t>(m+1)</w:t>
            </w:r>
            <w:r w:rsidRPr="00AF7E6D">
              <w:rPr>
                <w:rFonts w:ascii="Arial" w:hAnsi="Arial" w:cs="Arial"/>
                <w:color w:val="FF0000"/>
                <w:sz w:val="16"/>
                <w:szCs w:val="16"/>
              </w:rPr>
              <w:t xml:space="preserve"> is larger than 16</w:t>
            </w:r>
            <w:r w:rsidRPr="00AF7E6D">
              <w:rPr>
                <w:rFonts w:ascii="Arial" w:hAnsi="Arial" w:cs="Arial"/>
                <w:sz w:val="16"/>
                <w:szCs w:val="16"/>
              </w:rPr>
              <w:t>.</w:t>
            </w:r>
          </w:p>
          <w:p w14:paraId="09DBECDE" w14:textId="177E91D8" w:rsidR="00AF7E6D" w:rsidRPr="00AF7E6D" w:rsidRDefault="00AF7E6D" w:rsidP="00AF7E6D">
            <w:pPr>
              <w:jc w:val="center"/>
              <w:rPr>
                <w:rFonts w:ascii="Arial" w:eastAsia="SimSun" w:hAnsi="Arial" w:cs="Arial"/>
                <w:b/>
                <w:iCs/>
                <w:color w:val="FF0000"/>
                <w:sz w:val="16"/>
                <w:szCs w:val="16"/>
                <w:lang w:val="en-US" w:eastAsia="zh-CN"/>
              </w:rPr>
            </w:pPr>
            <w:r w:rsidRPr="00AF7E6D">
              <w:rPr>
                <w:rFonts w:ascii="Arial" w:eastAsia="SimSun" w:hAnsi="Arial" w:cs="Arial"/>
                <w:b/>
                <w:iCs/>
                <w:color w:val="FF0000"/>
                <w:sz w:val="16"/>
                <w:szCs w:val="16"/>
                <w:lang w:val="en-US" w:eastAsia="zh-CN"/>
              </w:rPr>
              <w:t>&lt;Unchanged parts are omitted&gt;</w:t>
            </w:r>
          </w:p>
        </w:tc>
      </w:tr>
    </w:tbl>
    <w:p w14:paraId="7E404CFD" w14:textId="2572694F" w:rsidR="00AF7E6D" w:rsidRPr="00AF7E6D" w:rsidRDefault="00AF7E6D" w:rsidP="00AF7E6D">
      <w:pPr>
        <w:rPr>
          <w:lang w:eastAsia="x-none"/>
        </w:rPr>
      </w:pPr>
      <w:r w:rsidRPr="00AF7E6D">
        <w:rPr>
          <w:lang w:val="en-US"/>
        </w:rPr>
        <w:t>Final CR</w:t>
      </w:r>
      <w:r>
        <w:rPr>
          <w:lang w:val="en-US"/>
        </w:rPr>
        <w:t>s</w:t>
      </w:r>
      <w:r w:rsidRPr="00AF7E6D">
        <w:rPr>
          <w:lang w:val="en-US"/>
        </w:rPr>
        <w:t xml:space="preserve"> in</w:t>
      </w:r>
      <w:r>
        <w:rPr>
          <w:lang w:val="en-US"/>
        </w:rPr>
        <w:t>:</w:t>
      </w:r>
    </w:p>
    <w:p w14:paraId="51F4C7EB" w14:textId="2ABC660F" w:rsidR="00AF7E6D" w:rsidRPr="00AF7E6D" w:rsidRDefault="005A18DC" w:rsidP="00AF7E6D">
      <w:pPr>
        <w:rPr>
          <w:b/>
          <w:bCs/>
          <w:lang w:eastAsia="x-none"/>
        </w:rPr>
      </w:pPr>
      <w:hyperlink r:id="rId298" w:history="1">
        <w:r w:rsidR="00AF7253">
          <w:rPr>
            <w:rStyle w:val="Hyperlink"/>
            <w:b/>
            <w:bCs/>
            <w:highlight w:val="green"/>
            <w:lang w:eastAsia="x-none"/>
          </w:rPr>
          <w:t>R1-2312599</w:t>
        </w:r>
      </w:hyperlink>
      <w:r w:rsidR="00AF7E6D" w:rsidRPr="00AF7E6D">
        <w:rPr>
          <w:b/>
          <w:bCs/>
          <w:lang w:eastAsia="x-none"/>
        </w:rPr>
        <w:tab/>
        <w:t>CR on Memory issue associated to slot offset determination for A-CSI without data</w:t>
      </w:r>
      <w:r w:rsidR="00AF7E6D" w:rsidRPr="00AF7E6D">
        <w:rPr>
          <w:b/>
          <w:bCs/>
          <w:lang w:eastAsia="x-none"/>
        </w:rPr>
        <w:tab/>
        <w:t>Moderator (Apple), Nokia, Nokia Shanghai Bell, Samsung</w:t>
      </w:r>
    </w:p>
    <w:p w14:paraId="0CF16D84" w14:textId="5617E5F1" w:rsidR="00AF7E6D" w:rsidRPr="00AF7E6D" w:rsidRDefault="00AF7E6D" w:rsidP="00AF7E6D">
      <w:pPr>
        <w:rPr>
          <w:lang w:eastAsia="x-none"/>
        </w:rPr>
      </w:pPr>
      <w:r w:rsidRPr="00AF7E6D">
        <w:rPr>
          <w:lang w:eastAsia="x-none"/>
        </w:rPr>
        <w:t>(Rel-16, 38.214, CR0471, Cat F</w:t>
      </w:r>
      <w:r>
        <w:rPr>
          <w:lang w:eastAsia="x-none"/>
        </w:rPr>
        <w:t>) is agreed.</w:t>
      </w:r>
    </w:p>
    <w:p w14:paraId="58D650D3" w14:textId="250DD81A" w:rsidR="00AF7E6D" w:rsidRPr="00AF7E6D" w:rsidRDefault="005A18DC" w:rsidP="00AF7E6D">
      <w:pPr>
        <w:rPr>
          <w:b/>
          <w:bCs/>
          <w:lang w:eastAsia="x-none"/>
        </w:rPr>
      </w:pPr>
      <w:hyperlink r:id="rId299" w:history="1">
        <w:r w:rsidR="00AF7253">
          <w:rPr>
            <w:rStyle w:val="Hyperlink"/>
            <w:b/>
            <w:bCs/>
            <w:highlight w:val="green"/>
            <w:lang w:eastAsia="x-none"/>
          </w:rPr>
          <w:t>R1-2312600</w:t>
        </w:r>
      </w:hyperlink>
      <w:r w:rsidR="00AF7E6D" w:rsidRPr="00AF7E6D">
        <w:rPr>
          <w:b/>
          <w:bCs/>
          <w:lang w:eastAsia="x-none"/>
        </w:rPr>
        <w:tab/>
        <w:t>CR on Memory issue associated to slot offset determination for A-CSI without data</w:t>
      </w:r>
      <w:r w:rsidR="00AF7E6D" w:rsidRPr="00AF7E6D">
        <w:rPr>
          <w:b/>
          <w:bCs/>
          <w:lang w:eastAsia="x-none"/>
        </w:rPr>
        <w:tab/>
        <w:t>Moderator (Apple), Nokia, Nokia Shanghai Bell, Samsung</w:t>
      </w:r>
    </w:p>
    <w:p w14:paraId="2B4EDE3F" w14:textId="54563CFA" w:rsidR="00AF7E6D" w:rsidRPr="00AF7E6D" w:rsidRDefault="00AF7E6D" w:rsidP="00AF7E6D">
      <w:pPr>
        <w:rPr>
          <w:lang w:eastAsia="x-none"/>
        </w:rPr>
      </w:pPr>
      <w:r w:rsidRPr="00AF7E6D">
        <w:rPr>
          <w:lang w:eastAsia="x-none"/>
        </w:rPr>
        <w:t>(Rel-1</w:t>
      </w:r>
      <w:r>
        <w:rPr>
          <w:lang w:eastAsia="x-none"/>
        </w:rPr>
        <w:t>7</w:t>
      </w:r>
      <w:r w:rsidRPr="00AF7E6D">
        <w:rPr>
          <w:lang w:eastAsia="x-none"/>
        </w:rPr>
        <w:t>, 38.214, CR047</w:t>
      </w:r>
      <w:r>
        <w:rPr>
          <w:lang w:eastAsia="x-none"/>
        </w:rPr>
        <w:t>2</w:t>
      </w:r>
      <w:r w:rsidRPr="00AF7E6D">
        <w:rPr>
          <w:lang w:eastAsia="x-none"/>
        </w:rPr>
        <w:t xml:space="preserve">, Cat </w:t>
      </w:r>
      <w:r>
        <w:rPr>
          <w:lang w:eastAsia="x-none"/>
        </w:rPr>
        <w:t>A) is agreed.</w:t>
      </w:r>
    </w:p>
    <w:p w14:paraId="1DCAE459" w14:textId="44A295FE" w:rsidR="00AF7E6D" w:rsidRPr="00AF7E6D" w:rsidRDefault="005A18DC" w:rsidP="00AF7E6D">
      <w:pPr>
        <w:rPr>
          <w:b/>
          <w:bCs/>
          <w:lang w:eastAsia="x-none"/>
        </w:rPr>
      </w:pPr>
      <w:hyperlink r:id="rId300" w:history="1">
        <w:r w:rsidR="00AF7253">
          <w:rPr>
            <w:rStyle w:val="Hyperlink"/>
            <w:b/>
            <w:bCs/>
            <w:highlight w:val="green"/>
            <w:lang w:eastAsia="x-none"/>
          </w:rPr>
          <w:t>R1-2312601</w:t>
        </w:r>
      </w:hyperlink>
      <w:r w:rsidR="00AF7E6D" w:rsidRPr="00AF7E6D">
        <w:rPr>
          <w:b/>
          <w:bCs/>
          <w:lang w:eastAsia="x-none"/>
        </w:rPr>
        <w:tab/>
        <w:t>CR on Memory issue associated to slot offset determination for A-CSI without data</w:t>
      </w:r>
      <w:r w:rsidR="00AF7E6D" w:rsidRPr="00AF7E6D">
        <w:rPr>
          <w:b/>
          <w:bCs/>
          <w:lang w:eastAsia="x-none"/>
        </w:rPr>
        <w:tab/>
        <w:t>Moderator (Apple), Nokia, Nokia Shanghai Bell, Samsung</w:t>
      </w:r>
    </w:p>
    <w:p w14:paraId="21CF7BB2" w14:textId="742DF1F2" w:rsidR="00AF7E6D" w:rsidRPr="00AF7E6D" w:rsidRDefault="00AF7E6D" w:rsidP="00AF7E6D">
      <w:pPr>
        <w:rPr>
          <w:lang w:eastAsia="x-none"/>
        </w:rPr>
      </w:pPr>
      <w:r w:rsidRPr="00AF7E6D">
        <w:rPr>
          <w:lang w:eastAsia="x-none"/>
        </w:rPr>
        <w:t>(Rel-1</w:t>
      </w:r>
      <w:r>
        <w:rPr>
          <w:lang w:eastAsia="x-none"/>
        </w:rPr>
        <w:t>8</w:t>
      </w:r>
      <w:r w:rsidRPr="00AF7E6D">
        <w:rPr>
          <w:lang w:eastAsia="x-none"/>
        </w:rPr>
        <w:t>, 38.214, CR047</w:t>
      </w:r>
      <w:r>
        <w:rPr>
          <w:lang w:eastAsia="x-none"/>
        </w:rPr>
        <w:t>3</w:t>
      </w:r>
      <w:r w:rsidRPr="00AF7E6D">
        <w:rPr>
          <w:lang w:eastAsia="x-none"/>
        </w:rPr>
        <w:t xml:space="preserve">, Cat </w:t>
      </w:r>
      <w:r>
        <w:rPr>
          <w:lang w:eastAsia="x-none"/>
        </w:rPr>
        <w:t>A) is agreed.</w:t>
      </w:r>
    </w:p>
    <w:p w14:paraId="1ED9BA5E" w14:textId="77777777" w:rsidR="00AF7E6D" w:rsidRDefault="00AF7E6D" w:rsidP="00AF7E6D">
      <w:pPr>
        <w:rPr>
          <w:lang w:eastAsia="x-none"/>
        </w:rPr>
      </w:pPr>
    </w:p>
    <w:p w14:paraId="747911D9" w14:textId="77777777" w:rsidR="00AF7E6D" w:rsidRPr="009537ED" w:rsidRDefault="00AF7E6D" w:rsidP="00835CB1">
      <w:pPr>
        <w:rPr>
          <w:lang w:eastAsia="x-none"/>
        </w:rPr>
      </w:pPr>
    </w:p>
    <w:p w14:paraId="13494731" w14:textId="3E5804D9" w:rsidR="00835CB1" w:rsidRPr="009537ED" w:rsidRDefault="005A18DC" w:rsidP="00835CB1">
      <w:pPr>
        <w:rPr>
          <w:b/>
          <w:bCs/>
          <w:lang w:eastAsia="x-none"/>
        </w:rPr>
      </w:pPr>
      <w:hyperlink r:id="rId301" w:history="1">
        <w:r w:rsidR="00AF7253">
          <w:rPr>
            <w:rStyle w:val="Hyperlink"/>
            <w:b/>
            <w:bCs/>
            <w:lang w:eastAsia="x-none"/>
          </w:rPr>
          <w:t>R1-2311672</w:t>
        </w:r>
      </w:hyperlink>
      <w:r w:rsidR="00835CB1" w:rsidRPr="009537ED">
        <w:rPr>
          <w:b/>
          <w:bCs/>
          <w:lang w:eastAsia="x-none"/>
        </w:rPr>
        <w:tab/>
        <w:t>Clarification of slot offset calculation for PUSCH carrying aperiodic CSI with no transport block</w:t>
      </w:r>
      <w:r w:rsidR="00835CB1" w:rsidRPr="009537ED">
        <w:rPr>
          <w:b/>
          <w:bCs/>
          <w:lang w:eastAsia="x-none"/>
        </w:rPr>
        <w:tab/>
        <w:t>Apple, Nokia, Nokia Shanghai Bell, Ericsson</w:t>
      </w:r>
    </w:p>
    <w:p w14:paraId="7EF15DB0" w14:textId="77777777" w:rsidR="00A500C1" w:rsidRPr="009537ED" w:rsidRDefault="00A500C1" w:rsidP="00A500C1">
      <w:pPr>
        <w:rPr>
          <w:lang w:eastAsia="x-none"/>
        </w:rPr>
      </w:pPr>
      <w:r w:rsidRPr="00677539">
        <w:rPr>
          <w:b/>
          <w:bCs/>
          <w:lang w:eastAsia="x-none"/>
        </w:rPr>
        <w:t xml:space="preserve">Monday session: </w:t>
      </w:r>
      <w:r w:rsidRPr="00677539">
        <w:rPr>
          <w:lang w:eastAsia="x-none"/>
        </w:rPr>
        <w:t>Comeback on Tuesday. If there is no consensus to make spec change, just take the proposed conclusion.</w:t>
      </w:r>
    </w:p>
    <w:p w14:paraId="712C7A3D" w14:textId="0F40D6D9" w:rsidR="00847C5D" w:rsidRPr="00847C5D" w:rsidRDefault="005A18DC" w:rsidP="00847C5D">
      <w:pPr>
        <w:rPr>
          <w:b/>
          <w:bCs/>
          <w:lang w:eastAsia="x-none"/>
        </w:rPr>
      </w:pPr>
      <w:hyperlink r:id="rId302" w:history="1">
        <w:r w:rsidR="00AF7253">
          <w:rPr>
            <w:rStyle w:val="Hyperlink"/>
            <w:b/>
            <w:bCs/>
            <w:lang w:eastAsia="x-none"/>
          </w:rPr>
          <w:t>R1-2312366</w:t>
        </w:r>
      </w:hyperlink>
      <w:r w:rsidR="00847C5D" w:rsidRPr="00847C5D">
        <w:rPr>
          <w:b/>
          <w:bCs/>
          <w:lang w:eastAsia="x-none"/>
        </w:rPr>
        <w:tab/>
        <w:t>Summary of discussion on slot offset calculation for PUSCH carrying AP CSI without UL TB</w:t>
      </w:r>
      <w:r w:rsidR="00847C5D" w:rsidRPr="00847C5D">
        <w:rPr>
          <w:b/>
          <w:bCs/>
          <w:lang w:eastAsia="x-none"/>
        </w:rPr>
        <w:tab/>
        <w:t>Moderator (Apple Inc.)</w:t>
      </w:r>
    </w:p>
    <w:p w14:paraId="73B51CF1" w14:textId="77777777" w:rsidR="00847C5D" w:rsidRPr="00847C5D" w:rsidRDefault="00847C5D" w:rsidP="00847C5D">
      <w:pPr>
        <w:spacing w:after="120"/>
        <w:contextualSpacing/>
        <w:jc w:val="both"/>
        <w:rPr>
          <w:rFonts w:ascii="Times New Roman" w:eastAsia="Malgun Gothic" w:hAnsi="Times New Roman"/>
          <w:szCs w:val="20"/>
          <w:highlight w:val="green"/>
          <w:lang w:val="en-US"/>
        </w:rPr>
      </w:pPr>
      <w:r w:rsidRPr="00847C5D">
        <w:rPr>
          <w:rFonts w:ascii="Times New Roman" w:eastAsia="Malgun Gothic" w:hAnsi="Times New Roman"/>
          <w:szCs w:val="20"/>
          <w:highlight w:val="green"/>
          <w:lang w:val="en-US"/>
        </w:rPr>
        <w:t>Agreement</w:t>
      </w:r>
    </w:p>
    <w:p w14:paraId="06244A95" w14:textId="2033060F" w:rsidR="00847C5D" w:rsidRPr="00847C5D" w:rsidRDefault="00847C5D" w:rsidP="00677539">
      <w:pPr>
        <w:rPr>
          <w:lang w:val="en-US"/>
        </w:rPr>
      </w:pPr>
      <w:r w:rsidRPr="00847C5D">
        <w:rPr>
          <w:lang w:val="en-US"/>
        </w:rPr>
        <w:t xml:space="preserve">When the UE is scheduled to transmit a PUSCH with no transport block and with a CSI report(s) by a 'CSI request' field on a DCI, the slot offset, i.e., </w:t>
      </w:r>
      <m:oMath>
        <m:sSub>
          <m:sSubPr>
            <m:ctrlPr>
              <w:rPr>
                <w:rFonts w:ascii="Cambria Math" w:hAnsi="Cambria Math"/>
                <w:lang w:val="en-US" w:eastAsia="zh-CN"/>
              </w:rPr>
            </m:ctrlPr>
          </m:sSubPr>
          <m:e>
            <m:r>
              <m:rPr>
                <m:sty m:val="p"/>
              </m:rPr>
              <w:rPr>
                <w:rFonts w:ascii="Cambria Math" w:hAnsi="Cambria Math"/>
              </w:rPr>
              <m:t>K</m:t>
            </m:r>
          </m:e>
          <m:sub>
            <m:r>
              <m:rPr>
                <m:sty m:val="p"/>
              </m:rPr>
              <w:rPr>
                <w:rFonts w:ascii="Cambria Math" w:hAnsi="Cambria Math"/>
              </w:rPr>
              <m:t>2</m:t>
            </m:r>
          </m:sub>
        </m:sSub>
      </m:oMath>
      <w:r w:rsidRPr="00847C5D">
        <w:rPr>
          <w:lang w:val="en-US"/>
        </w:rPr>
        <w:t>, is determined over all the triggered aperiodic CSI reports irrespective of whether the corresponding aperiodic CSI report is omitted or not.</w:t>
      </w:r>
    </w:p>
    <w:p w14:paraId="394DE183" w14:textId="6C3EA00F" w:rsidR="00847C5D" w:rsidRPr="00677539" w:rsidRDefault="00847C5D" w:rsidP="004825B2">
      <w:pPr>
        <w:pStyle w:val="ListParagraph"/>
        <w:numPr>
          <w:ilvl w:val="0"/>
          <w:numId w:val="246"/>
        </w:numPr>
        <w:rPr>
          <w:lang w:val="en-US"/>
        </w:rPr>
      </w:pPr>
      <w:r w:rsidRPr="00677539">
        <w:rPr>
          <w:lang w:val="en-US"/>
        </w:rPr>
        <w:t>Adopt the following text specification change to TS38.214 from Rel-16.</w:t>
      </w:r>
    </w:p>
    <w:tbl>
      <w:tblPr>
        <w:tblW w:w="5000" w:type="pct"/>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0683"/>
      </w:tblGrid>
      <w:tr w:rsidR="00847C5D" w:rsidRPr="00847C5D" w14:paraId="148A4232" w14:textId="77777777" w:rsidTr="00677539">
        <w:tc>
          <w:tcPr>
            <w:tcW w:w="5000" w:type="pct"/>
            <w:shd w:val="clear" w:color="auto" w:fill="auto"/>
          </w:tcPr>
          <w:p w14:paraId="2568BA62" w14:textId="13FD1989" w:rsidR="00847C5D" w:rsidRPr="00677539" w:rsidRDefault="00847C5D" w:rsidP="00677539">
            <w:pPr>
              <w:rPr>
                <w:rFonts w:ascii="Arial" w:hAnsi="Arial" w:cs="Arial"/>
                <w:b/>
                <w:bCs/>
                <w:sz w:val="16"/>
                <w:szCs w:val="16"/>
              </w:rPr>
            </w:pPr>
            <w:r w:rsidRPr="00677539">
              <w:rPr>
                <w:rFonts w:ascii="Arial" w:hAnsi="Arial" w:cs="Arial"/>
                <w:b/>
                <w:bCs/>
                <w:sz w:val="16"/>
                <w:szCs w:val="16"/>
              </w:rPr>
              <w:t>6.1.2</w:t>
            </w:r>
            <w:r w:rsidRPr="00677539">
              <w:rPr>
                <w:rFonts w:ascii="Arial" w:hAnsi="Arial" w:cs="Arial"/>
                <w:b/>
                <w:bCs/>
                <w:sz w:val="16"/>
                <w:szCs w:val="16"/>
              </w:rPr>
              <w:tab/>
              <w:t>Resource allocation</w:t>
            </w:r>
          </w:p>
          <w:p w14:paraId="3DC30DCE" w14:textId="77777777" w:rsidR="00847C5D" w:rsidRPr="00677539" w:rsidRDefault="00847C5D" w:rsidP="00677539">
            <w:pPr>
              <w:rPr>
                <w:rFonts w:ascii="Arial" w:hAnsi="Arial" w:cs="Arial"/>
                <w:b/>
                <w:bCs/>
                <w:sz w:val="16"/>
                <w:szCs w:val="16"/>
              </w:rPr>
            </w:pPr>
            <w:r w:rsidRPr="00677539">
              <w:rPr>
                <w:rFonts w:ascii="Arial" w:hAnsi="Arial" w:cs="Arial"/>
                <w:b/>
                <w:bCs/>
                <w:sz w:val="16"/>
                <w:szCs w:val="16"/>
              </w:rPr>
              <w:t>6.1.2.1</w:t>
            </w:r>
            <w:r w:rsidRPr="00677539">
              <w:rPr>
                <w:rFonts w:ascii="Arial" w:hAnsi="Arial" w:cs="Arial"/>
                <w:b/>
                <w:bCs/>
                <w:sz w:val="16"/>
                <w:szCs w:val="16"/>
              </w:rPr>
              <w:tab/>
              <w:t>Resource allocation in time domain</w:t>
            </w:r>
          </w:p>
          <w:p w14:paraId="7EF56742" w14:textId="77777777" w:rsidR="00847C5D" w:rsidRPr="00847C5D" w:rsidRDefault="00847C5D" w:rsidP="00677539">
            <w:pPr>
              <w:rPr>
                <w:rFonts w:ascii="Arial" w:hAnsi="Arial" w:cs="Arial"/>
                <w:sz w:val="16"/>
                <w:szCs w:val="16"/>
              </w:rPr>
            </w:pPr>
            <w:r w:rsidRPr="00847C5D">
              <w:rPr>
                <w:rFonts w:ascii="Arial" w:hAnsi="Arial" w:cs="Arial"/>
                <w:sz w:val="16"/>
                <w:szCs w:val="16"/>
              </w:rPr>
              <w:t xml:space="preserve">When the UE is scheduled to transmit a transport block and no CSI report </w:t>
            </w:r>
            <w:r w:rsidRPr="00847C5D">
              <w:rPr>
                <w:rFonts w:ascii="Arial" w:eastAsia="Yu Mincho" w:hAnsi="Arial" w:cs="Arial"/>
                <w:sz w:val="16"/>
                <w:szCs w:val="16"/>
              </w:rPr>
              <w:t>by a DCI or by a RAR UL grant or fallbackRAR UL grant</w:t>
            </w:r>
            <w:r w:rsidRPr="00847C5D">
              <w:rPr>
                <w:rFonts w:ascii="Arial" w:hAnsi="Arial" w:cs="Arial"/>
                <w:sz w:val="16"/>
                <w:szCs w:val="16"/>
              </w:rPr>
              <w:t xml:space="preserve">, or the UE is scheduled to transmit a transport block and a CSI report(s) on PUSCH by a DCI, the 'Time domain resource assignment' field value m of the DCI </w:t>
            </w:r>
            <w:r w:rsidRPr="00847C5D">
              <w:rPr>
                <w:rFonts w:ascii="Arial" w:eastAsia="Yu Mincho" w:hAnsi="Arial" w:cs="Arial"/>
                <w:sz w:val="16"/>
                <w:szCs w:val="16"/>
              </w:rPr>
              <w:t xml:space="preserve">or the PUSCH time resource allocation field value m of the RAR UL grant or of the fallbackRAR UL grant </w:t>
            </w:r>
            <w:r w:rsidRPr="00847C5D">
              <w:rPr>
                <w:rFonts w:ascii="Arial" w:hAnsi="Arial" w:cs="Arial"/>
                <w:sz w:val="16"/>
                <w:szCs w:val="16"/>
              </w:rPr>
              <w:t>provides a row index m + 1 to an allocated table. The determination of the used resource allocation table is defined in Clause 6.1.2.1.1. The indexed row defines the slot offset K</w:t>
            </w:r>
            <w:r w:rsidRPr="00847C5D">
              <w:rPr>
                <w:rFonts w:ascii="Arial" w:hAnsi="Arial" w:cs="Arial"/>
                <w:sz w:val="16"/>
                <w:szCs w:val="16"/>
                <w:vertAlign w:val="subscript"/>
              </w:rPr>
              <w:t>2</w:t>
            </w:r>
            <w:r w:rsidRPr="00847C5D">
              <w:rPr>
                <w:rFonts w:ascii="Arial" w:hAnsi="Arial" w:cs="Arial"/>
                <w:sz w:val="16"/>
                <w:szCs w:val="16"/>
              </w:rPr>
              <w:t>, the start and length indicator SLIV, or directly the start symbol S and the allocation length L, the PUSCH mapping type, and the number of repetitions (if numberOfRepetitions is present in the resource allocation table) to be applied in the PUSCH transmission.</w:t>
            </w:r>
          </w:p>
          <w:p w14:paraId="27873D7F" w14:textId="77777777" w:rsidR="00847C5D" w:rsidRPr="00847C5D" w:rsidRDefault="00847C5D" w:rsidP="00677539">
            <w:pPr>
              <w:rPr>
                <w:rFonts w:ascii="Arial" w:hAnsi="Arial" w:cs="Arial"/>
                <w:sz w:val="16"/>
                <w:szCs w:val="16"/>
              </w:rPr>
            </w:pPr>
            <w:r w:rsidRPr="00847C5D">
              <w:rPr>
                <w:rFonts w:ascii="Arial" w:hAnsi="Arial" w:cs="Arial"/>
                <w:sz w:val="16"/>
                <w:szCs w:val="16"/>
              </w:rPr>
              <w:t>When the UE is scheduled to transmit a PUSCH with no transport block and with a CSI report</w:t>
            </w:r>
            <w:r w:rsidRPr="00847C5D">
              <w:rPr>
                <w:rFonts w:ascii="Arial" w:hAnsi="Arial" w:cs="Arial"/>
                <w:color w:val="000000"/>
                <w:sz w:val="16"/>
                <w:szCs w:val="16"/>
              </w:rPr>
              <w:t>(s)</w:t>
            </w:r>
            <w:r w:rsidRPr="00847C5D">
              <w:rPr>
                <w:rFonts w:ascii="Arial" w:hAnsi="Arial" w:cs="Arial"/>
                <w:sz w:val="16"/>
                <w:szCs w:val="16"/>
              </w:rPr>
              <w:t xml:space="preserve"> by a 'CSI request' field on a DCI, the 'Time domain resource assignment' field value m of the DCI provides a row index m + 1 to the allocated table as defined in Clause 6.1.2.1.1. The indexed row defines the start and length indicator SLIV, or directly the start symbol S and the allocation length L, and the PUSCH mapping type to be applied in the PUSCH transmission and the K</w:t>
            </w:r>
            <w:r w:rsidRPr="00847C5D">
              <w:rPr>
                <w:rFonts w:ascii="Arial" w:hAnsi="Arial" w:cs="Arial"/>
                <w:sz w:val="16"/>
                <w:szCs w:val="16"/>
                <w:vertAlign w:val="subscript"/>
              </w:rPr>
              <w:t>2</w:t>
            </w:r>
            <w:r w:rsidRPr="00847C5D">
              <w:rPr>
                <w:rFonts w:ascii="Arial" w:hAnsi="Arial" w:cs="Arial"/>
                <w:sz w:val="16"/>
                <w:szCs w:val="16"/>
              </w:rPr>
              <w:t xml:space="preserve"> value is determined as </w:t>
            </w:r>
            <w:r w:rsidRPr="00847C5D">
              <w:rPr>
                <w:rFonts w:ascii="Arial" w:hAnsi="Arial" w:cs="Arial"/>
                <w:noProof/>
                <w:position w:val="-20"/>
                <w:sz w:val="16"/>
                <w:szCs w:val="16"/>
              </w:rPr>
              <w:object w:dxaOrig="1640" w:dyaOrig="420" w14:anchorId="22D7E670">
                <v:shape id="_x0000_i1048" type="#_x0000_t75" style="width:78.75pt;height:21.75pt" o:ole="">
                  <v:imagedata r:id="rId288" o:title=""/>
                </v:shape>
                <o:OLEObject Type="Embed" ProgID="Equation.DSMT4" ShapeID="_x0000_i1048" DrawAspect="Content" ObjectID="_1769863808" r:id="rId303"/>
              </w:object>
            </w:r>
            <w:r w:rsidRPr="00847C5D">
              <w:rPr>
                <w:rFonts w:ascii="Arial" w:hAnsi="Arial" w:cs="Arial"/>
                <w:sz w:val="16"/>
                <w:szCs w:val="16"/>
              </w:rPr>
              <w:t xml:space="preserve">, where </w:t>
            </w:r>
            <w:r w:rsidRPr="00847C5D">
              <w:rPr>
                <w:rFonts w:ascii="Arial" w:hAnsi="Arial" w:cs="Arial"/>
                <w:noProof/>
                <w:position w:val="-14"/>
                <w:sz w:val="16"/>
                <w:szCs w:val="16"/>
              </w:rPr>
              <w:object w:dxaOrig="1700" w:dyaOrig="340" w14:anchorId="4FB0249D">
                <v:shape id="_x0000_i1049" type="#_x0000_t75" style="width:86.25pt;height:14.25pt" o:ole="">
                  <v:imagedata r:id="rId290" o:title=""/>
                </v:shape>
                <o:OLEObject Type="Embed" ProgID="Equation.3" ShapeID="_x0000_i1049" DrawAspect="Content" ObjectID="_1769863809" r:id="rId304"/>
              </w:object>
            </w:r>
            <w:r w:rsidRPr="00847C5D">
              <w:rPr>
                <w:rFonts w:ascii="Arial" w:hAnsi="Arial" w:cs="Arial"/>
                <w:sz w:val="16"/>
                <w:szCs w:val="16"/>
              </w:rPr>
              <w:t xml:space="preserve"> are the corresponding list entries of the higher layer parameter</w:t>
            </w:r>
          </w:p>
          <w:p w14:paraId="0A4F07FB" w14:textId="18B8B8CE" w:rsidR="00847C5D" w:rsidRPr="00677539" w:rsidRDefault="00847C5D" w:rsidP="00677539">
            <w:pPr>
              <w:pStyle w:val="ListParagraph"/>
              <w:numPr>
                <w:ilvl w:val="0"/>
                <w:numId w:val="69"/>
              </w:numPr>
              <w:rPr>
                <w:rFonts w:ascii="Arial" w:hAnsi="Arial" w:cs="Arial"/>
                <w:sz w:val="16"/>
                <w:szCs w:val="16"/>
              </w:rPr>
            </w:pPr>
            <w:r w:rsidRPr="00677539">
              <w:rPr>
                <w:rFonts w:ascii="Arial" w:hAnsi="Arial" w:cs="Arial"/>
                <w:i/>
                <w:iCs/>
                <w:sz w:val="16"/>
                <w:szCs w:val="16"/>
              </w:rPr>
              <w:t>reportSlotOffsetListDCI-0-2</w:t>
            </w:r>
            <w:r w:rsidRPr="00677539">
              <w:rPr>
                <w:rFonts w:ascii="Arial" w:hAnsi="Arial" w:cs="Arial"/>
                <w:sz w:val="16"/>
                <w:szCs w:val="16"/>
              </w:rPr>
              <w:t xml:space="preserve">, if PUSCH is scheduled by DCI format 0_2 and </w:t>
            </w:r>
            <w:r w:rsidRPr="00677539">
              <w:rPr>
                <w:rFonts w:ascii="Arial" w:hAnsi="Arial" w:cs="Arial"/>
                <w:i/>
                <w:iCs/>
                <w:sz w:val="16"/>
                <w:szCs w:val="16"/>
              </w:rPr>
              <w:t xml:space="preserve">reportSlotOffsetListDCI-0-2 </w:t>
            </w:r>
            <w:r w:rsidRPr="00677539">
              <w:rPr>
                <w:rFonts w:ascii="Arial" w:hAnsi="Arial" w:cs="Arial"/>
                <w:sz w:val="16"/>
                <w:szCs w:val="16"/>
              </w:rPr>
              <w:t>is configured;</w:t>
            </w:r>
          </w:p>
          <w:p w14:paraId="14F1EFAB" w14:textId="0711A44C" w:rsidR="00847C5D" w:rsidRPr="00677539" w:rsidRDefault="00847C5D" w:rsidP="00677539">
            <w:pPr>
              <w:pStyle w:val="ListParagraph"/>
              <w:numPr>
                <w:ilvl w:val="0"/>
                <w:numId w:val="69"/>
              </w:numPr>
              <w:rPr>
                <w:rFonts w:ascii="Arial" w:hAnsi="Arial" w:cs="Arial"/>
                <w:sz w:val="16"/>
                <w:szCs w:val="16"/>
              </w:rPr>
            </w:pPr>
            <w:r w:rsidRPr="00677539">
              <w:rPr>
                <w:rFonts w:ascii="Arial" w:hAnsi="Arial" w:cs="Arial"/>
                <w:sz w:val="16"/>
                <w:szCs w:val="16"/>
              </w:rPr>
              <w:t>reportSlotOffsetListDCI-0-1, if PUSCH is scheduled by DCI format 0_1 and reportSlotOffsetListDCI-0-1 is configured;</w:t>
            </w:r>
          </w:p>
          <w:p w14:paraId="2084318A" w14:textId="3ED24D59" w:rsidR="00847C5D" w:rsidRPr="00677539" w:rsidRDefault="00847C5D" w:rsidP="00677539">
            <w:pPr>
              <w:pStyle w:val="ListParagraph"/>
              <w:numPr>
                <w:ilvl w:val="0"/>
                <w:numId w:val="69"/>
              </w:numPr>
              <w:rPr>
                <w:rFonts w:ascii="Arial" w:hAnsi="Arial" w:cs="Arial"/>
                <w:sz w:val="16"/>
                <w:szCs w:val="16"/>
              </w:rPr>
            </w:pPr>
            <w:r w:rsidRPr="00677539">
              <w:rPr>
                <w:rFonts w:ascii="Arial" w:hAnsi="Arial" w:cs="Arial"/>
                <w:sz w:val="16"/>
                <w:szCs w:val="16"/>
              </w:rPr>
              <w:t>reportSlotOffsetList, otherwise;</w:t>
            </w:r>
          </w:p>
          <w:p w14:paraId="0A6D3A60" w14:textId="77777777" w:rsidR="00847C5D" w:rsidRPr="00847C5D" w:rsidRDefault="00847C5D" w:rsidP="00677539">
            <w:pPr>
              <w:rPr>
                <w:rFonts w:ascii="Arial" w:hAnsi="Arial" w:cs="Arial"/>
                <w:color w:val="000000"/>
                <w:sz w:val="16"/>
                <w:szCs w:val="16"/>
              </w:rPr>
            </w:pPr>
            <w:r w:rsidRPr="00847C5D">
              <w:rPr>
                <w:rFonts w:ascii="Arial" w:hAnsi="Arial" w:cs="Arial"/>
                <w:sz w:val="16"/>
                <w:szCs w:val="16"/>
              </w:rPr>
              <w:t xml:space="preserve">in CSI-ReportConfig for the </w:t>
            </w:r>
            <w:r w:rsidRPr="00847C5D">
              <w:rPr>
                <w:rFonts w:ascii="Arial" w:hAnsi="Arial" w:cs="Arial"/>
                <w:noProof/>
                <w:position w:val="-14"/>
                <w:sz w:val="16"/>
                <w:szCs w:val="16"/>
              </w:rPr>
              <w:object w:dxaOrig="460" w:dyaOrig="340" w14:anchorId="33797147">
                <v:shape id="_x0000_i1050" type="#_x0000_t75" style="width:21.75pt;height:14.25pt" o:ole="">
                  <v:imagedata r:id="rId292" o:title=""/>
                </v:shape>
                <o:OLEObject Type="Embed" ProgID="Equation.3" ShapeID="_x0000_i1050" DrawAspect="Content" ObjectID="_1769863810" r:id="rId305"/>
              </w:object>
            </w:r>
            <w:r w:rsidRPr="00847C5D">
              <w:rPr>
                <w:rFonts w:ascii="Arial" w:hAnsi="Arial" w:cs="Arial"/>
                <w:sz w:val="16"/>
                <w:szCs w:val="16"/>
              </w:rPr>
              <w:t xml:space="preserve"> triggered CSI Reporting Settings and </w:t>
            </w:r>
            <w:r w:rsidRPr="00847C5D">
              <w:rPr>
                <w:rFonts w:ascii="Arial" w:hAnsi="Arial" w:cs="Arial"/>
                <w:noProof/>
                <w:position w:val="-12"/>
                <w:sz w:val="16"/>
                <w:szCs w:val="16"/>
              </w:rPr>
              <w:object w:dxaOrig="820" w:dyaOrig="340" w14:anchorId="54FB8D41">
                <v:shape id="_x0000_i1051" type="#_x0000_t75" style="width:42pt;height:14.25pt" o:ole="">
                  <v:imagedata r:id="rId294" o:title=""/>
                </v:shape>
                <o:OLEObject Type="Embed" ProgID="Equation.DSMT4" ShapeID="_x0000_i1051" DrawAspect="Content" ObjectID="_1769863811" r:id="rId306"/>
              </w:object>
            </w:r>
            <w:r w:rsidRPr="00847C5D">
              <w:rPr>
                <w:rFonts w:ascii="Arial" w:hAnsi="Arial" w:cs="Arial"/>
                <w:sz w:val="16"/>
                <w:szCs w:val="16"/>
              </w:rPr>
              <w:t xml:space="preserve"> is the (m+1)th entry of </w:t>
            </w:r>
            <w:r w:rsidRPr="00847C5D">
              <w:rPr>
                <w:rFonts w:ascii="Arial" w:hAnsi="Arial" w:cs="Arial"/>
                <w:noProof/>
                <w:position w:val="-14"/>
                <w:sz w:val="16"/>
                <w:szCs w:val="16"/>
              </w:rPr>
              <w:object w:dxaOrig="260" w:dyaOrig="340" w14:anchorId="5166D5FF">
                <v:shape id="_x0000_i1052" type="#_x0000_t75" style="width:14.25pt;height:14.25pt" o:ole="">
                  <v:imagedata r:id="rId296" o:title=""/>
                </v:shape>
                <o:OLEObject Type="Embed" ProgID="Equation.3" ShapeID="_x0000_i1052" DrawAspect="Content" ObjectID="_1769863812" r:id="rId307"/>
              </w:object>
            </w:r>
            <w:ins w:id="58" w:author="Apple" w:date="2023-10-26T19:57:00Z">
              <w:r w:rsidRPr="00847C5D">
                <w:rPr>
                  <w:rFonts w:ascii="Arial" w:hAnsi="Arial" w:cs="Arial"/>
                  <w:sz w:val="16"/>
                  <w:szCs w:val="16"/>
                </w:rPr>
                <w:t xml:space="preserve"> including the omitted CSI Reporting Settings triggered for non-active DL BWPs</w:t>
              </w:r>
            </w:ins>
            <w:r w:rsidRPr="00847C5D">
              <w:rPr>
                <w:rFonts w:ascii="Arial" w:hAnsi="Arial" w:cs="Arial"/>
                <w:sz w:val="16"/>
                <w:szCs w:val="16"/>
              </w:rPr>
              <w:t>.</w:t>
            </w:r>
          </w:p>
          <w:p w14:paraId="1B65340B" w14:textId="19B979D0" w:rsidR="00847C5D" w:rsidRPr="00847C5D" w:rsidRDefault="00677539" w:rsidP="00677539">
            <w:pPr>
              <w:jc w:val="center"/>
              <w:rPr>
                <w:rFonts w:ascii="Arial" w:hAnsi="Arial" w:cs="Arial"/>
                <w:b/>
                <w:bCs/>
                <w:i/>
                <w:color w:val="FF0000"/>
                <w:sz w:val="16"/>
                <w:szCs w:val="16"/>
                <w:lang w:eastAsia="x-none"/>
              </w:rPr>
            </w:pPr>
            <w:r w:rsidRPr="00AF7E6D">
              <w:rPr>
                <w:rFonts w:ascii="Arial" w:eastAsia="SimSun" w:hAnsi="Arial" w:cs="Arial"/>
                <w:b/>
                <w:iCs/>
                <w:color w:val="FF0000"/>
                <w:sz w:val="16"/>
                <w:szCs w:val="16"/>
                <w:lang w:val="en-US" w:eastAsia="zh-CN"/>
              </w:rPr>
              <w:t>&lt;Unchanged parts are omitted&gt;</w:t>
            </w:r>
          </w:p>
        </w:tc>
      </w:tr>
    </w:tbl>
    <w:p w14:paraId="2170F96A" w14:textId="3B053D45" w:rsidR="00835CB1" w:rsidRDefault="00677539" w:rsidP="00835CB1">
      <w:pPr>
        <w:rPr>
          <w:lang w:val="en-US"/>
        </w:rPr>
      </w:pPr>
      <w:r w:rsidRPr="00677539">
        <w:rPr>
          <w:lang w:val="en-US"/>
        </w:rPr>
        <w:t>Final CRs in</w:t>
      </w:r>
      <w:r>
        <w:rPr>
          <w:lang w:val="en-US"/>
        </w:rPr>
        <w:t>:</w:t>
      </w:r>
    </w:p>
    <w:p w14:paraId="1B4F518D" w14:textId="61FAA161" w:rsidR="00677539" w:rsidRPr="00EC728E" w:rsidRDefault="005A18DC" w:rsidP="00677539">
      <w:pPr>
        <w:rPr>
          <w:b/>
          <w:bCs/>
          <w:lang w:eastAsia="x-none"/>
        </w:rPr>
      </w:pPr>
      <w:hyperlink r:id="rId308" w:history="1">
        <w:r w:rsidR="00AF7253">
          <w:rPr>
            <w:rStyle w:val="Hyperlink"/>
            <w:b/>
            <w:bCs/>
            <w:highlight w:val="green"/>
            <w:lang w:eastAsia="x-none"/>
          </w:rPr>
          <w:t>R1-2312528</w:t>
        </w:r>
      </w:hyperlink>
      <w:r w:rsidR="00677539" w:rsidRPr="00EC728E">
        <w:rPr>
          <w:b/>
          <w:bCs/>
          <w:lang w:eastAsia="x-none"/>
        </w:rPr>
        <w:tab/>
        <w:t>CR on slot offset calculation for PUSCH carrying aperiodic CSI with no transport block</w:t>
      </w:r>
      <w:r w:rsidR="00677539" w:rsidRPr="00EC728E">
        <w:rPr>
          <w:b/>
          <w:bCs/>
          <w:lang w:eastAsia="x-none"/>
        </w:rPr>
        <w:tab/>
        <w:t>Moderator (Apple), Nokia, Nokia Shanghai Bell, Ericsson, Samsung</w:t>
      </w:r>
    </w:p>
    <w:p w14:paraId="6EE25E1E" w14:textId="77777777" w:rsidR="00EC728E" w:rsidRDefault="00677539" w:rsidP="00677539">
      <w:pPr>
        <w:rPr>
          <w:lang w:eastAsia="x-none"/>
        </w:rPr>
      </w:pPr>
      <w:r>
        <w:rPr>
          <w:lang w:eastAsia="x-none"/>
        </w:rPr>
        <w:lastRenderedPageBreak/>
        <w:t>(Rel-16, 38.214</w:t>
      </w:r>
      <w:r w:rsidR="00EC728E">
        <w:rPr>
          <w:lang w:eastAsia="x-none"/>
        </w:rPr>
        <w:t>, CR</w:t>
      </w:r>
      <w:r>
        <w:rPr>
          <w:lang w:eastAsia="x-none"/>
        </w:rPr>
        <w:t>0462</w:t>
      </w:r>
      <w:r w:rsidR="00EC728E">
        <w:rPr>
          <w:lang w:eastAsia="x-none"/>
        </w:rPr>
        <w:t>, Cat F) is agreed.</w:t>
      </w:r>
    </w:p>
    <w:p w14:paraId="589BBCE2" w14:textId="6189D33C" w:rsidR="00EC728E" w:rsidRPr="00EC728E" w:rsidRDefault="005A18DC" w:rsidP="00677539">
      <w:pPr>
        <w:rPr>
          <w:b/>
          <w:bCs/>
          <w:lang w:eastAsia="x-none"/>
        </w:rPr>
      </w:pPr>
      <w:hyperlink r:id="rId309" w:history="1">
        <w:r w:rsidR="00AF7253">
          <w:rPr>
            <w:rStyle w:val="Hyperlink"/>
            <w:b/>
            <w:bCs/>
            <w:highlight w:val="green"/>
            <w:lang w:eastAsia="x-none"/>
          </w:rPr>
          <w:t>R1-2312529</w:t>
        </w:r>
      </w:hyperlink>
      <w:r w:rsidR="00677539" w:rsidRPr="00EC728E">
        <w:rPr>
          <w:b/>
          <w:bCs/>
          <w:lang w:eastAsia="x-none"/>
        </w:rPr>
        <w:tab/>
        <w:t>CR on slot offset calculation for PUSCH carrying aperiodic CSI with no transport block</w:t>
      </w:r>
      <w:r w:rsidR="00677539" w:rsidRPr="00EC728E">
        <w:rPr>
          <w:b/>
          <w:bCs/>
          <w:lang w:eastAsia="x-none"/>
        </w:rPr>
        <w:tab/>
        <w:t>Moderator (Apple), Nokia, Nokia Shanghai Bell, Ericsson, Samsung</w:t>
      </w:r>
    </w:p>
    <w:p w14:paraId="24103C9E" w14:textId="35D5BAB8" w:rsidR="00EC728E" w:rsidRDefault="00EC728E" w:rsidP="00EC728E">
      <w:pPr>
        <w:rPr>
          <w:lang w:eastAsia="x-none"/>
        </w:rPr>
      </w:pPr>
      <w:r>
        <w:rPr>
          <w:lang w:eastAsia="x-none"/>
        </w:rPr>
        <w:t>(Rel-17, 38.214, CR0463, Cat A) is agreed.</w:t>
      </w:r>
    </w:p>
    <w:p w14:paraId="4E444E24" w14:textId="768A1AE3" w:rsidR="00EC728E" w:rsidRPr="00EC728E" w:rsidRDefault="005A18DC" w:rsidP="00677539">
      <w:pPr>
        <w:rPr>
          <w:b/>
          <w:bCs/>
          <w:lang w:eastAsia="x-none"/>
        </w:rPr>
      </w:pPr>
      <w:hyperlink r:id="rId310" w:history="1">
        <w:r w:rsidR="00AF7253">
          <w:rPr>
            <w:rStyle w:val="Hyperlink"/>
            <w:b/>
            <w:bCs/>
            <w:highlight w:val="green"/>
            <w:lang w:eastAsia="x-none"/>
          </w:rPr>
          <w:t>R1-2312530</w:t>
        </w:r>
      </w:hyperlink>
      <w:r w:rsidR="00677539" w:rsidRPr="00EC728E">
        <w:rPr>
          <w:b/>
          <w:bCs/>
          <w:lang w:eastAsia="x-none"/>
        </w:rPr>
        <w:tab/>
        <w:t>CR on slot offset calculation for PUSCH carrying aperiodic CSI with no transport block</w:t>
      </w:r>
      <w:r w:rsidR="00677539" w:rsidRPr="00EC728E">
        <w:rPr>
          <w:b/>
          <w:bCs/>
          <w:lang w:eastAsia="x-none"/>
        </w:rPr>
        <w:tab/>
        <w:t>Moderator (Apple), Nokia, Nokia Shanghai Bell, Ericsson, Samsung</w:t>
      </w:r>
    </w:p>
    <w:p w14:paraId="542086C5" w14:textId="57FAC389" w:rsidR="00EC728E" w:rsidRDefault="00EC728E" w:rsidP="00EC728E">
      <w:pPr>
        <w:rPr>
          <w:lang w:eastAsia="x-none"/>
        </w:rPr>
      </w:pPr>
      <w:r>
        <w:rPr>
          <w:lang w:eastAsia="x-none"/>
        </w:rPr>
        <w:t>(Rel-18, 38.214, CR0464, Cat A) is agreed.</w:t>
      </w:r>
    </w:p>
    <w:p w14:paraId="3B9771E3" w14:textId="77777777" w:rsidR="00EC728E" w:rsidRDefault="00EC728E" w:rsidP="00677539">
      <w:pPr>
        <w:rPr>
          <w:lang w:eastAsia="x-none"/>
        </w:rPr>
      </w:pPr>
    </w:p>
    <w:p w14:paraId="410E8F7D" w14:textId="77777777" w:rsidR="004A4E8B" w:rsidRPr="009537ED" w:rsidRDefault="004A4E8B" w:rsidP="00835CB1">
      <w:pPr>
        <w:rPr>
          <w:lang w:eastAsia="x-none"/>
        </w:rPr>
      </w:pPr>
    </w:p>
    <w:p w14:paraId="061D2EA7" w14:textId="09219C73" w:rsidR="00835CB1" w:rsidRPr="009537ED" w:rsidRDefault="005A18DC" w:rsidP="00835CB1">
      <w:pPr>
        <w:rPr>
          <w:lang w:eastAsia="x-none"/>
        </w:rPr>
      </w:pPr>
      <w:hyperlink r:id="rId311" w:history="1">
        <w:r w:rsidR="00AF7253">
          <w:rPr>
            <w:rStyle w:val="Hyperlink"/>
            <w:highlight w:val="red"/>
            <w:lang w:eastAsia="x-none"/>
          </w:rPr>
          <w:t>R1-2311815</w:t>
        </w:r>
      </w:hyperlink>
      <w:r w:rsidR="00835CB1" w:rsidRPr="009537ED">
        <w:rPr>
          <w:lang w:eastAsia="x-none"/>
        </w:rPr>
        <w:tab/>
        <w:t>Draft CR on default beam for cross carrier scheduling</w:t>
      </w:r>
      <w:r w:rsidR="00835CB1" w:rsidRPr="009537ED">
        <w:rPr>
          <w:lang w:eastAsia="x-none"/>
        </w:rPr>
        <w:tab/>
        <w:t>Samsung</w:t>
      </w:r>
    </w:p>
    <w:p w14:paraId="289379A9" w14:textId="3A39B158" w:rsidR="00835CB1" w:rsidRPr="009537ED" w:rsidRDefault="005A18DC" w:rsidP="00835CB1">
      <w:pPr>
        <w:rPr>
          <w:b/>
          <w:bCs/>
          <w:lang w:eastAsia="x-none"/>
        </w:rPr>
      </w:pPr>
      <w:hyperlink r:id="rId312" w:history="1">
        <w:r w:rsidR="00AF7253">
          <w:rPr>
            <w:rStyle w:val="Hyperlink"/>
            <w:b/>
            <w:bCs/>
            <w:lang w:eastAsia="x-none"/>
          </w:rPr>
          <w:t>R1-2311816</w:t>
        </w:r>
      </w:hyperlink>
      <w:r w:rsidR="00835CB1" w:rsidRPr="009537ED">
        <w:rPr>
          <w:b/>
          <w:bCs/>
          <w:lang w:eastAsia="x-none"/>
        </w:rPr>
        <w:tab/>
        <w:t>Discussion on default beam for cross carrier scheduling</w:t>
      </w:r>
      <w:r w:rsidR="00835CB1" w:rsidRPr="009537ED">
        <w:rPr>
          <w:b/>
          <w:bCs/>
          <w:lang w:eastAsia="x-none"/>
        </w:rPr>
        <w:tab/>
        <w:t>Samsung</w:t>
      </w:r>
    </w:p>
    <w:p w14:paraId="3CAF1CB0" w14:textId="6F524A4E" w:rsidR="00835CB1" w:rsidRPr="009537ED" w:rsidRDefault="00A500C1" w:rsidP="00835CB1">
      <w:pPr>
        <w:rPr>
          <w:lang w:eastAsia="x-none"/>
        </w:rPr>
      </w:pPr>
      <w:r w:rsidRPr="00377062">
        <w:rPr>
          <w:b/>
          <w:bCs/>
          <w:lang w:eastAsia="x-none"/>
        </w:rPr>
        <w:t xml:space="preserve">Monday session: </w:t>
      </w:r>
      <w:r w:rsidRPr="00377062">
        <w:rPr>
          <w:lang w:eastAsia="x-none"/>
        </w:rPr>
        <w:t xml:space="preserve">Comeback on Tuesday. </w:t>
      </w:r>
      <w:r w:rsidR="00835CB1" w:rsidRPr="00377062">
        <w:rPr>
          <w:lang w:eastAsia="x-none"/>
        </w:rPr>
        <w:t>To be moderated by Youngrok (Samsung).</w:t>
      </w:r>
    </w:p>
    <w:p w14:paraId="56B14B7E" w14:textId="73F59B9D" w:rsidR="00377062" w:rsidRPr="00377062" w:rsidRDefault="005A18DC" w:rsidP="00377062">
      <w:pPr>
        <w:rPr>
          <w:b/>
          <w:bCs/>
          <w:lang w:eastAsia="x-none"/>
        </w:rPr>
      </w:pPr>
      <w:hyperlink r:id="rId313" w:history="1">
        <w:r w:rsidR="00AF7253">
          <w:rPr>
            <w:rStyle w:val="Hyperlink"/>
            <w:b/>
            <w:bCs/>
            <w:lang w:eastAsia="x-none"/>
          </w:rPr>
          <w:t>R1-2312372</w:t>
        </w:r>
      </w:hyperlink>
      <w:r w:rsidR="00377062" w:rsidRPr="00377062">
        <w:rPr>
          <w:b/>
          <w:bCs/>
          <w:lang w:eastAsia="x-none"/>
        </w:rPr>
        <w:tab/>
        <w:t>Summary of discussion on default beam for cross-carrier scheduling</w:t>
      </w:r>
      <w:r w:rsidR="00377062" w:rsidRPr="00377062">
        <w:rPr>
          <w:b/>
          <w:bCs/>
          <w:lang w:eastAsia="x-none"/>
        </w:rPr>
        <w:tab/>
        <w:t>Moderator (Samsung)</w:t>
      </w:r>
    </w:p>
    <w:p w14:paraId="24EC730A" w14:textId="7522669F" w:rsidR="00835CB1" w:rsidRDefault="00377062" w:rsidP="00835CB1">
      <w:pPr>
        <w:rPr>
          <w:lang w:eastAsia="x-none"/>
        </w:rPr>
      </w:pPr>
      <w:r>
        <w:rPr>
          <w:lang w:eastAsia="x-none"/>
        </w:rPr>
        <w:t>T</w:t>
      </w:r>
      <w:r w:rsidRPr="00377062">
        <w:rPr>
          <w:lang w:eastAsia="x-none"/>
        </w:rPr>
        <w:t xml:space="preserve">ext proposal for Clause 5.2.1.5.1 suggested in </w:t>
      </w:r>
      <w:hyperlink r:id="rId314" w:history="1">
        <w:r w:rsidR="00AF7253">
          <w:rPr>
            <w:rStyle w:val="Hyperlink"/>
            <w:lang w:eastAsia="x-none"/>
          </w:rPr>
          <w:t>R1-2311815</w:t>
        </w:r>
      </w:hyperlink>
      <w:r>
        <w:rPr>
          <w:lang w:eastAsia="x-none"/>
        </w:rPr>
        <w:t xml:space="preserve"> is not needed. The draft CR is not pursued.</w:t>
      </w:r>
    </w:p>
    <w:p w14:paraId="6A94FB8E" w14:textId="77777777" w:rsidR="00377062" w:rsidRPr="009537ED" w:rsidRDefault="00377062" w:rsidP="00835CB1">
      <w:pPr>
        <w:rPr>
          <w:lang w:eastAsia="x-none"/>
        </w:rPr>
      </w:pPr>
    </w:p>
    <w:p w14:paraId="2AFC78E5" w14:textId="77777777" w:rsidR="004A4E8B" w:rsidRPr="009537ED" w:rsidRDefault="004A4E8B" w:rsidP="00835CB1">
      <w:pPr>
        <w:rPr>
          <w:lang w:eastAsia="x-none"/>
        </w:rPr>
      </w:pPr>
    </w:p>
    <w:p w14:paraId="1E061E14" w14:textId="746468D5" w:rsidR="00835CB1" w:rsidRPr="009537ED" w:rsidRDefault="005A18DC" w:rsidP="00835CB1">
      <w:pPr>
        <w:rPr>
          <w:b/>
          <w:bCs/>
          <w:lang w:eastAsia="x-none"/>
        </w:rPr>
      </w:pPr>
      <w:hyperlink r:id="rId315" w:history="1">
        <w:r w:rsidR="00AF7253">
          <w:rPr>
            <w:rStyle w:val="Hyperlink"/>
            <w:b/>
            <w:bCs/>
            <w:lang w:eastAsia="x-none"/>
          </w:rPr>
          <w:t>R1-2312075</w:t>
        </w:r>
      </w:hyperlink>
      <w:r w:rsidR="00835CB1" w:rsidRPr="009537ED">
        <w:rPr>
          <w:b/>
          <w:bCs/>
          <w:lang w:eastAsia="x-none"/>
        </w:rPr>
        <w:tab/>
        <w:t>Correction on fallback Type-1 HARQ-ACK codebook</w:t>
      </w:r>
      <w:r w:rsidR="00835CB1" w:rsidRPr="009537ED">
        <w:rPr>
          <w:b/>
          <w:bCs/>
          <w:lang w:eastAsia="x-none"/>
        </w:rPr>
        <w:tab/>
        <w:t>CATT</w:t>
      </w:r>
    </w:p>
    <w:p w14:paraId="6BBC97C4" w14:textId="525097C8" w:rsidR="00835CB1" w:rsidRPr="009537ED" w:rsidRDefault="00355D7A" w:rsidP="00835CB1">
      <w:pPr>
        <w:rPr>
          <w:lang w:eastAsia="x-none"/>
        </w:rPr>
      </w:pPr>
      <w:r w:rsidRPr="009537ED">
        <w:rPr>
          <w:b/>
          <w:bCs/>
          <w:lang w:eastAsia="x-none"/>
        </w:rPr>
        <w:t>Decision:</w:t>
      </w:r>
      <w:r w:rsidRPr="009537ED">
        <w:rPr>
          <w:lang w:eastAsia="x-none"/>
        </w:rPr>
        <w:t xml:space="preserve"> </w:t>
      </w:r>
      <w:r w:rsidR="00D650E4">
        <w:rPr>
          <w:lang w:eastAsia="x-none"/>
        </w:rPr>
        <w:t>Rel-17 correction m</w:t>
      </w:r>
      <w:r w:rsidR="00835CB1" w:rsidRPr="009537ED">
        <w:rPr>
          <w:lang w:eastAsia="x-none"/>
        </w:rPr>
        <w:t>oved to agenda item 7.2 (MBS)</w:t>
      </w:r>
      <w:r w:rsidR="00D650E4">
        <w:rPr>
          <w:lang w:eastAsia="x-none"/>
        </w:rPr>
        <w:t>.</w:t>
      </w:r>
    </w:p>
    <w:p w14:paraId="3BDB5F8D" w14:textId="37D67752" w:rsidR="00835CB1" w:rsidRPr="009537ED" w:rsidRDefault="005A18DC" w:rsidP="00835CB1">
      <w:pPr>
        <w:rPr>
          <w:b/>
          <w:bCs/>
          <w:lang w:eastAsia="x-none"/>
        </w:rPr>
      </w:pPr>
      <w:hyperlink r:id="rId316" w:history="1">
        <w:r w:rsidR="00AF7253">
          <w:rPr>
            <w:rStyle w:val="Hyperlink"/>
            <w:b/>
            <w:bCs/>
            <w:lang w:eastAsia="x-none"/>
          </w:rPr>
          <w:t>R1-2312077</w:t>
        </w:r>
      </w:hyperlink>
      <w:r w:rsidR="00835CB1" w:rsidRPr="009537ED">
        <w:rPr>
          <w:b/>
          <w:bCs/>
          <w:lang w:eastAsia="x-none"/>
        </w:rPr>
        <w:tab/>
        <w:t>Correction on fallback Type-1 HARQ-ACK codebook</w:t>
      </w:r>
      <w:r w:rsidR="00835CB1" w:rsidRPr="009537ED">
        <w:rPr>
          <w:b/>
          <w:bCs/>
          <w:lang w:eastAsia="x-none"/>
        </w:rPr>
        <w:tab/>
        <w:t>CATT</w:t>
      </w:r>
    </w:p>
    <w:p w14:paraId="1F7AF94C" w14:textId="1D70C043" w:rsidR="007218B7" w:rsidRDefault="007218B7" w:rsidP="007218B7">
      <w:pPr>
        <w:rPr>
          <w:lang w:eastAsia="x-none"/>
        </w:rPr>
      </w:pPr>
      <w:r w:rsidRPr="009537ED">
        <w:rPr>
          <w:b/>
          <w:bCs/>
          <w:lang w:eastAsia="x-none"/>
        </w:rPr>
        <w:t xml:space="preserve">Monday session: </w:t>
      </w:r>
      <w:r w:rsidRPr="009537ED">
        <w:rPr>
          <w:highlight w:val="green"/>
          <w:lang w:eastAsia="x-none"/>
        </w:rPr>
        <w:t>Endorsed</w:t>
      </w:r>
      <w:r w:rsidRPr="009537ED">
        <w:rPr>
          <w:lang w:eastAsia="x-none"/>
        </w:rPr>
        <w:t xml:space="preserve"> in principle. Work offline on the coversheet.</w:t>
      </w:r>
    </w:p>
    <w:p w14:paraId="522B5067" w14:textId="7F052815" w:rsidR="00D650E4" w:rsidRPr="00D650E4" w:rsidRDefault="005A18DC" w:rsidP="00D650E4">
      <w:pPr>
        <w:rPr>
          <w:b/>
          <w:bCs/>
          <w:lang w:eastAsia="x-none"/>
        </w:rPr>
      </w:pPr>
      <w:hyperlink r:id="rId317" w:history="1">
        <w:r w:rsidR="00AF7253">
          <w:rPr>
            <w:rStyle w:val="Hyperlink"/>
            <w:b/>
            <w:bCs/>
            <w:lang w:eastAsia="x-none"/>
          </w:rPr>
          <w:t>R1-2312438</w:t>
        </w:r>
      </w:hyperlink>
      <w:r w:rsidR="00D650E4" w:rsidRPr="00D650E4">
        <w:rPr>
          <w:b/>
          <w:bCs/>
          <w:lang w:eastAsia="x-none"/>
        </w:rPr>
        <w:tab/>
        <w:t>Summary of fallback Type-1 HARQ-ACK codebook</w:t>
      </w:r>
      <w:r w:rsidR="00D650E4" w:rsidRPr="00D650E4">
        <w:rPr>
          <w:b/>
          <w:bCs/>
          <w:lang w:eastAsia="x-none"/>
        </w:rPr>
        <w:tab/>
        <w:t>Moderator (CATT)</w:t>
      </w:r>
    </w:p>
    <w:p w14:paraId="369457F4" w14:textId="081F3E5B" w:rsidR="00D650E4" w:rsidRPr="00826DB4" w:rsidRDefault="00D650E4" w:rsidP="00D650E4">
      <w:pPr>
        <w:rPr>
          <w:lang w:eastAsia="x-none"/>
        </w:rPr>
      </w:pPr>
      <w:r>
        <w:rPr>
          <w:lang w:eastAsia="x-none"/>
        </w:rPr>
        <w:t>T</w:t>
      </w:r>
      <w:r w:rsidRPr="00826DB4">
        <w:rPr>
          <w:lang w:eastAsia="x-none"/>
        </w:rPr>
        <w:t xml:space="preserve">he issue involves MBS in Rel-17 and CR for Rel-17 </w:t>
      </w:r>
      <w:r>
        <w:rPr>
          <w:lang w:eastAsia="x-none"/>
        </w:rPr>
        <w:t>is</w:t>
      </w:r>
      <w:r w:rsidRPr="00826DB4">
        <w:rPr>
          <w:lang w:eastAsia="x-none"/>
        </w:rPr>
        <w:t xml:space="preserve"> endorsed in R17 MBS session, not considered as shadow CR of</w:t>
      </w:r>
      <w:r>
        <w:rPr>
          <w:lang w:eastAsia="x-none"/>
        </w:rPr>
        <w:t>:</w:t>
      </w:r>
    </w:p>
    <w:p w14:paraId="57F9CB7B" w14:textId="3A4648B9" w:rsidR="00D650E4" w:rsidRPr="00D650E4" w:rsidRDefault="005A18DC" w:rsidP="00D650E4">
      <w:pPr>
        <w:rPr>
          <w:b/>
          <w:bCs/>
          <w:lang w:eastAsia="x-none"/>
        </w:rPr>
      </w:pPr>
      <w:hyperlink r:id="rId318" w:history="1">
        <w:r w:rsidR="00AF7253">
          <w:rPr>
            <w:rStyle w:val="Hyperlink"/>
            <w:b/>
            <w:bCs/>
            <w:highlight w:val="green"/>
            <w:lang w:eastAsia="x-none"/>
          </w:rPr>
          <w:t>R1-2312512</w:t>
        </w:r>
      </w:hyperlink>
      <w:r w:rsidR="00D650E4" w:rsidRPr="00D650E4">
        <w:rPr>
          <w:b/>
          <w:bCs/>
          <w:lang w:eastAsia="x-none"/>
        </w:rPr>
        <w:tab/>
        <w:t>Correction on fallback Type-1 HARQ-ACK codebook</w:t>
      </w:r>
      <w:r w:rsidR="00D650E4" w:rsidRPr="00D650E4">
        <w:rPr>
          <w:b/>
          <w:bCs/>
          <w:lang w:eastAsia="x-none"/>
        </w:rPr>
        <w:tab/>
        <w:t>CATT, Samsung, New H3C</w:t>
      </w:r>
    </w:p>
    <w:p w14:paraId="20A38243" w14:textId="3BC90E72" w:rsidR="00D650E4" w:rsidRDefault="00D650E4" w:rsidP="00D650E4">
      <w:pPr>
        <w:rPr>
          <w:lang w:eastAsia="x-none"/>
        </w:rPr>
      </w:pPr>
      <w:r>
        <w:rPr>
          <w:lang w:eastAsia="x-none"/>
        </w:rPr>
        <w:t>(Rel-16, 38.213, CR0549, Cat F) is agreed.</w:t>
      </w:r>
    </w:p>
    <w:p w14:paraId="106BF9FF" w14:textId="77777777" w:rsidR="007218B7" w:rsidRPr="009537ED" w:rsidRDefault="007218B7" w:rsidP="00835CB1">
      <w:pPr>
        <w:rPr>
          <w:lang w:eastAsia="x-none"/>
        </w:rPr>
      </w:pPr>
    </w:p>
    <w:p w14:paraId="2A55BC8D" w14:textId="77777777" w:rsidR="00355D7A" w:rsidRPr="009537ED" w:rsidRDefault="00355D7A" w:rsidP="00835CB1">
      <w:pPr>
        <w:rPr>
          <w:lang w:eastAsia="x-none"/>
        </w:rPr>
      </w:pPr>
    </w:p>
    <w:p w14:paraId="005FCF54" w14:textId="67D87FCB" w:rsidR="00835CB1" w:rsidRPr="009537ED" w:rsidRDefault="005A18DC" w:rsidP="00835CB1">
      <w:pPr>
        <w:rPr>
          <w:b/>
          <w:bCs/>
          <w:lang w:eastAsia="x-none"/>
        </w:rPr>
      </w:pPr>
      <w:hyperlink r:id="rId319" w:history="1">
        <w:r w:rsidR="00AF7253">
          <w:rPr>
            <w:rStyle w:val="Hyperlink"/>
            <w:b/>
            <w:bCs/>
            <w:lang w:eastAsia="x-none"/>
          </w:rPr>
          <w:t>R1-2312206</w:t>
        </w:r>
      </w:hyperlink>
      <w:r w:rsidR="00835CB1" w:rsidRPr="009537ED">
        <w:rPr>
          <w:b/>
          <w:bCs/>
          <w:lang w:eastAsia="x-none"/>
        </w:rPr>
        <w:tab/>
        <w:t>Removal of TBS limitation for HARQ retransmissions with reserved MCS</w:t>
      </w:r>
      <w:r w:rsidR="00835CB1" w:rsidRPr="009537ED">
        <w:rPr>
          <w:b/>
          <w:bCs/>
          <w:lang w:eastAsia="x-none"/>
        </w:rPr>
        <w:tab/>
        <w:t>Nokia, Nokia Shanghai Bell</w:t>
      </w:r>
    </w:p>
    <w:p w14:paraId="501588B9" w14:textId="3925E3F2" w:rsidR="007218B7" w:rsidRPr="009537ED" w:rsidRDefault="007218B7" w:rsidP="007218B7">
      <w:pPr>
        <w:rPr>
          <w:lang w:eastAsia="x-none"/>
        </w:rPr>
      </w:pPr>
      <w:r w:rsidRPr="00534ABD">
        <w:rPr>
          <w:b/>
          <w:bCs/>
          <w:lang w:eastAsia="x-none"/>
        </w:rPr>
        <w:t xml:space="preserve">Monday session: </w:t>
      </w:r>
      <w:r w:rsidRPr="00534ABD">
        <w:rPr>
          <w:lang w:eastAsia="x-none"/>
        </w:rPr>
        <w:t>Comeback on Tuesday. To be moderated by Karri (Nokia).</w:t>
      </w:r>
    </w:p>
    <w:p w14:paraId="2925D1E7" w14:textId="72DA4AFF" w:rsidR="00835CB1" w:rsidRPr="00534ABD" w:rsidRDefault="005A18DC" w:rsidP="00835CB1">
      <w:pPr>
        <w:rPr>
          <w:b/>
          <w:bCs/>
          <w:lang w:eastAsia="x-none"/>
        </w:rPr>
      </w:pPr>
      <w:hyperlink r:id="rId320" w:history="1">
        <w:r w:rsidR="00AF7253">
          <w:rPr>
            <w:rStyle w:val="Hyperlink"/>
            <w:b/>
            <w:bCs/>
            <w:lang w:eastAsia="x-none"/>
          </w:rPr>
          <w:t>R1-2312465</w:t>
        </w:r>
      </w:hyperlink>
      <w:r w:rsidR="00534ABD" w:rsidRPr="00534ABD">
        <w:rPr>
          <w:b/>
          <w:bCs/>
          <w:lang w:eastAsia="x-none"/>
        </w:rPr>
        <w:tab/>
        <w:t>[115-R15/R16-NR] Removal of TBS limitation for HARQ retransmissions with reserved MCS</w:t>
      </w:r>
      <w:r w:rsidR="00534ABD" w:rsidRPr="00534ABD">
        <w:rPr>
          <w:b/>
          <w:bCs/>
          <w:lang w:eastAsia="x-none"/>
        </w:rPr>
        <w:tab/>
        <w:t>Moderator (Nokia)</w:t>
      </w:r>
    </w:p>
    <w:p w14:paraId="2943953F" w14:textId="6AB6B804" w:rsidR="00534ABD" w:rsidRDefault="00702C59" w:rsidP="00835CB1">
      <w:pPr>
        <w:rPr>
          <w:lang w:eastAsia="x-none"/>
        </w:rPr>
      </w:pPr>
      <w:r>
        <w:rPr>
          <w:lang w:eastAsia="x-none"/>
        </w:rPr>
        <w:t>No consensus to adopt the proposal.</w:t>
      </w:r>
    </w:p>
    <w:p w14:paraId="6732B8B5" w14:textId="77777777" w:rsidR="00702C59" w:rsidRPr="009537ED" w:rsidRDefault="00702C59" w:rsidP="00835CB1">
      <w:pPr>
        <w:rPr>
          <w:lang w:eastAsia="x-none"/>
        </w:rPr>
      </w:pPr>
    </w:p>
    <w:p w14:paraId="2B46D765" w14:textId="77777777" w:rsidR="00355D7A" w:rsidRPr="009537ED" w:rsidRDefault="00355D7A" w:rsidP="00835CB1">
      <w:pPr>
        <w:rPr>
          <w:lang w:eastAsia="x-none"/>
        </w:rPr>
      </w:pPr>
    </w:p>
    <w:p w14:paraId="2AF24716" w14:textId="11415E53" w:rsidR="00835CB1" w:rsidRPr="009537ED" w:rsidRDefault="005A18DC" w:rsidP="00835CB1">
      <w:pPr>
        <w:rPr>
          <w:b/>
          <w:bCs/>
          <w:lang w:eastAsia="x-none"/>
        </w:rPr>
      </w:pPr>
      <w:hyperlink r:id="rId321" w:history="1">
        <w:r w:rsidR="00AF7253">
          <w:rPr>
            <w:rStyle w:val="Hyperlink"/>
            <w:b/>
            <w:bCs/>
            <w:lang w:eastAsia="x-none"/>
          </w:rPr>
          <w:t>R1-2312218</w:t>
        </w:r>
      </w:hyperlink>
      <w:r w:rsidR="00835CB1" w:rsidRPr="009537ED">
        <w:rPr>
          <w:b/>
          <w:bCs/>
          <w:lang w:eastAsia="x-none"/>
        </w:rPr>
        <w:tab/>
        <w:t>CR on Inter-RAT case for SL measurements</w:t>
      </w:r>
      <w:r w:rsidR="00835CB1" w:rsidRPr="009537ED">
        <w:rPr>
          <w:b/>
          <w:bCs/>
          <w:lang w:eastAsia="x-none"/>
        </w:rPr>
        <w:tab/>
        <w:t>Huawei, HiSilicon</w:t>
      </w:r>
    </w:p>
    <w:p w14:paraId="76E56CFA" w14:textId="32429092" w:rsidR="007218B7" w:rsidRPr="009537ED" w:rsidRDefault="007218B7" w:rsidP="007218B7">
      <w:pPr>
        <w:rPr>
          <w:lang w:eastAsia="x-none"/>
        </w:rPr>
      </w:pPr>
      <w:r w:rsidRPr="00702C59">
        <w:rPr>
          <w:b/>
          <w:bCs/>
          <w:lang w:eastAsia="x-none"/>
        </w:rPr>
        <w:t xml:space="preserve">Monday session: </w:t>
      </w:r>
      <w:r w:rsidRPr="00702C59">
        <w:rPr>
          <w:lang w:eastAsia="x-none"/>
        </w:rPr>
        <w:t>Comeback on Tuesday. To be moderated by Matthew (Huawei).</w:t>
      </w:r>
    </w:p>
    <w:p w14:paraId="481FCCC3" w14:textId="7E5FCCCD" w:rsidR="00702C59" w:rsidRPr="00702C59" w:rsidRDefault="005A18DC" w:rsidP="00702C59">
      <w:pPr>
        <w:rPr>
          <w:b/>
          <w:bCs/>
          <w:lang w:eastAsia="x-none"/>
        </w:rPr>
      </w:pPr>
      <w:hyperlink r:id="rId322" w:history="1">
        <w:r w:rsidR="00AF7253">
          <w:rPr>
            <w:rStyle w:val="Hyperlink"/>
            <w:b/>
            <w:bCs/>
            <w:lang w:eastAsia="x-none"/>
          </w:rPr>
          <w:t>R1-2312552</w:t>
        </w:r>
      </w:hyperlink>
      <w:r w:rsidR="00702C59" w:rsidRPr="00702C59">
        <w:rPr>
          <w:b/>
          <w:bCs/>
          <w:lang w:eastAsia="x-none"/>
        </w:rPr>
        <w:tab/>
        <w:t>Summary of Discussion on inter-RAT sidelink measurements</w:t>
      </w:r>
      <w:r w:rsidR="00702C59" w:rsidRPr="00702C59">
        <w:rPr>
          <w:b/>
          <w:bCs/>
          <w:lang w:eastAsia="x-none"/>
        </w:rPr>
        <w:tab/>
        <w:t>Moderator (Huawei)</w:t>
      </w:r>
    </w:p>
    <w:p w14:paraId="042AB7DB" w14:textId="487F5F9F" w:rsidR="00702C59" w:rsidRPr="00702C59" w:rsidRDefault="00702C59" w:rsidP="00702C59">
      <w:pPr>
        <w:rPr>
          <w:highlight w:val="green"/>
          <w:lang w:eastAsia="x-none"/>
        </w:rPr>
      </w:pPr>
      <w:r w:rsidRPr="00702C59">
        <w:rPr>
          <w:highlight w:val="green"/>
          <w:lang w:eastAsia="x-none"/>
        </w:rPr>
        <w:t>Agreement</w:t>
      </w:r>
    </w:p>
    <w:p w14:paraId="5BD8FAEA" w14:textId="36BE722B" w:rsidR="00702C59" w:rsidRDefault="00702C59" w:rsidP="004825B2">
      <w:pPr>
        <w:pStyle w:val="ListParagraph"/>
        <w:numPr>
          <w:ilvl w:val="0"/>
          <w:numId w:val="247"/>
        </w:numPr>
        <w:rPr>
          <w:lang w:eastAsia="x-none"/>
        </w:rPr>
      </w:pPr>
      <w:r w:rsidRPr="0095197D">
        <w:rPr>
          <w:lang w:eastAsia="x-none"/>
        </w:rPr>
        <w:t xml:space="preserve">The TP in </w:t>
      </w:r>
      <w:hyperlink r:id="rId323" w:history="1">
        <w:r w:rsidR="00AF7253">
          <w:rPr>
            <w:rStyle w:val="Hyperlink"/>
            <w:lang w:eastAsia="x-none"/>
          </w:rPr>
          <w:t>R1-2312552</w:t>
        </w:r>
      </w:hyperlink>
      <w:r w:rsidRPr="0095197D">
        <w:rPr>
          <w:lang w:eastAsia="x-none"/>
        </w:rPr>
        <w:t xml:space="preserve"> Annex B with deletion of “is indicated” is agreed. </w:t>
      </w:r>
    </w:p>
    <w:p w14:paraId="1444E795" w14:textId="6A7F2CB1" w:rsidR="00702C59" w:rsidRPr="0095197D" w:rsidRDefault="00702C59" w:rsidP="00702C59">
      <w:pPr>
        <w:rPr>
          <w:lang w:eastAsia="x-none"/>
        </w:rPr>
      </w:pPr>
      <w:r>
        <w:t>Final CRs in:</w:t>
      </w:r>
    </w:p>
    <w:p w14:paraId="6DAB34FE" w14:textId="6FD6442C" w:rsidR="00702C59" w:rsidRPr="00702C59" w:rsidRDefault="005A18DC" w:rsidP="00702C59">
      <w:pPr>
        <w:rPr>
          <w:b/>
          <w:bCs/>
          <w:lang w:eastAsia="x-none"/>
        </w:rPr>
      </w:pPr>
      <w:hyperlink r:id="rId324" w:history="1">
        <w:r w:rsidR="00AF7253">
          <w:rPr>
            <w:rStyle w:val="Hyperlink"/>
            <w:b/>
            <w:bCs/>
            <w:highlight w:val="green"/>
            <w:lang w:eastAsia="x-none"/>
          </w:rPr>
          <w:t>R1-2312691</w:t>
        </w:r>
      </w:hyperlink>
      <w:r w:rsidR="00702C59" w:rsidRPr="00702C59">
        <w:rPr>
          <w:b/>
          <w:bCs/>
          <w:lang w:eastAsia="x-none"/>
        </w:rPr>
        <w:tab/>
        <w:t>CR on applicability of sidelink measurements</w:t>
      </w:r>
      <w:r w:rsidR="00702C59" w:rsidRPr="00702C59">
        <w:rPr>
          <w:b/>
          <w:bCs/>
          <w:lang w:eastAsia="x-none"/>
        </w:rPr>
        <w:tab/>
        <w:t>Huawei, HiSilicon, Qualcomm, Nokia, Nokia Shanghai Bell, Samsung</w:t>
      </w:r>
    </w:p>
    <w:p w14:paraId="555BC263" w14:textId="77777777" w:rsidR="00702C59" w:rsidRDefault="00702C59" w:rsidP="00702C59">
      <w:pPr>
        <w:rPr>
          <w:lang w:eastAsia="x-none"/>
        </w:rPr>
      </w:pPr>
      <w:r>
        <w:rPr>
          <w:lang w:eastAsia="x-none"/>
        </w:rPr>
        <w:t>(Rel-16, 38.215, CR0057, Cat F) is agreed.</w:t>
      </w:r>
    </w:p>
    <w:p w14:paraId="104EA2F6" w14:textId="638E59E1" w:rsidR="00702C59" w:rsidRPr="00702C59" w:rsidRDefault="005A18DC" w:rsidP="00702C59">
      <w:pPr>
        <w:rPr>
          <w:b/>
          <w:bCs/>
          <w:lang w:eastAsia="x-none"/>
        </w:rPr>
      </w:pPr>
      <w:hyperlink r:id="rId325" w:history="1">
        <w:r w:rsidR="00AF7253">
          <w:rPr>
            <w:rStyle w:val="Hyperlink"/>
            <w:b/>
            <w:bCs/>
            <w:highlight w:val="green"/>
            <w:lang w:eastAsia="x-none"/>
          </w:rPr>
          <w:t>R1-2312692</w:t>
        </w:r>
      </w:hyperlink>
      <w:r w:rsidR="00702C59" w:rsidRPr="00702C59">
        <w:rPr>
          <w:b/>
          <w:bCs/>
          <w:lang w:eastAsia="x-none"/>
        </w:rPr>
        <w:tab/>
        <w:t>CR on applicability of sidelink measurements</w:t>
      </w:r>
      <w:r w:rsidR="00702C59" w:rsidRPr="00702C59">
        <w:rPr>
          <w:b/>
          <w:bCs/>
          <w:lang w:eastAsia="x-none"/>
        </w:rPr>
        <w:tab/>
        <w:t>Huawei, HiSilicon, Qualcomm, Nokia, Nokia Shanghai Bell, Samsung</w:t>
      </w:r>
    </w:p>
    <w:p w14:paraId="5B27C272" w14:textId="57084A97" w:rsidR="00702C59" w:rsidRDefault="00702C59" w:rsidP="00702C59">
      <w:pPr>
        <w:rPr>
          <w:lang w:eastAsia="x-none"/>
        </w:rPr>
      </w:pPr>
      <w:r>
        <w:rPr>
          <w:lang w:eastAsia="x-none"/>
        </w:rPr>
        <w:t>(Rel-17, 38.215, CR0058, Cat A) is agreed.</w:t>
      </w:r>
    </w:p>
    <w:p w14:paraId="68CEA1DB" w14:textId="6229E8A7" w:rsidR="00702C59" w:rsidRPr="00702C59" w:rsidRDefault="005A18DC" w:rsidP="00702C59">
      <w:pPr>
        <w:rPr>
          <w:b/>
          <w:bCs/>
          <w:lang w:eastAsia="x-none"/>
        </w:rPr>
      </w:pPr>
      <w:hyperlink r:id="rId326" w:history="1">
        <w:r w:rsidR="00AF7253">
          <w:rPr>
            <w:rStyle w:val="Hyperlink"/>
            <w:b/>
            <w:bCs/>
            <w:highlight w:val="green"/>
            <w:lang w:eastAsia="x-none"/>
          </w:rPr>
          <w:t>R1-2312693</w:t>
        </w:r>
      </w:hyperlink>
      <w:r w:rsidR="00702C59" w:rsidRPr="00702C59">
        <w:rPr>
          <w:b/>
          <w:bCs/>
          <w:lang w:eastAsia="x-none"/>
        </w:rPr>
        <w:tab/>
        <w:t>CR on applicability of sidelink measurements</w:t>
      </w:r>
      <w:r w:rsidR="00702C59" w:rsidRPr="00702C59">
        <w:rPr>
          <w:b/>
          <w:bCs/>
          <w:lang w:eastAsia="x-none"/>
        </w:rPr>
        <w:tab/>
        <w:t>Huawei, HiSilicon, Qualcomm, Nokia, Nokia Shanghai Bell, Samsung</w:t>
      </w:r>
    </w:p>
    <w:p w14:paraId="588E9BB6" w14:textId="0FE7B510" w:rsidR="00702C59" w:rsidRDefault="00702C59" w:rsidP="00702C59">
      <w:pPr>
        <w:rPr>
          <w:lang w:eastAsia="x-none"/>
        </w:rPr>
      </w:pPr>
      <w:r>
        <w:rPr>
          <w:lang w:eastAsia="x-none"/>
        </w:rPr>
        <w:t>(Rel-18, 38.215, CR0059, Cat A) is agreed.</w:t>
      </w:r>
    </w:p>
    <w:p w14:paraId="3A4B0A6A" w14:textId="7E5C6E3F" w:rsidR="00702C59" w:rsidRDefault="0069534D" w:rsidP="00702C59">
      <w:pPr>
        <w:rPr>
          <w:lang w:eastAsia="x-none"/>
        </w:rPr>
      </w:pPr>
      <w:r w:rsidRPr="0069534D">
        <w:rPr>
          <w:highlight w:val="magenta"/>
          <w:lang w:eastAsia="x-none"/>
        </w:rPr>
        <w:t>MCC note:</w:t>
      </w:r>
      <w:r>
        <w:rPr>
          <w:lang w:eastAsia="x-none"/>
        </w:rPr>
        <w:t xml:space="preserve"> The CRs</w:t>
      </w:r>
      <w:r w:rsidRPr="0069534D">
        <w:rPr>
          <w:lang w:eastAsia="x-none"/>
        </w:rPr>
        <w:t xml:space="preserve"> replace text added by</w:t>
      </w:r>
      <w:r>
        <w:rPr>
          <w:lang w:eastAsia="x-none"/>
        </w:rPr>
        <w:t xml:space="preserve"> RAN1#</w:t>
      </w:r>
      <w:r w:rsidRPr="0069534D">
        <w:rPr>
          <w:lang w:eastAsia="x-none"/>
        </w:rPr>
        <w:t>114bis CR set {</w:t>
      </w:r>
      <w:hyperlink r:id="rId327" w:history="1">
        <w:r w:rsidR="00AF7253">
          <w:rPr>
            <w:rStyle w:val="Hyperlink"/>
            <w:lang w:eastAsia="x-none"/>
          </w:rPr>
          <w:t>R1-2310659</w:t>
        </w:r>
      </w:hyperlink>
      <w:r w:rsidRPr="0069534D">
        <w:rPr>
          <w:lang w:eastAsia="x-none"/>
        </w:rPr>
        <w:t xml:space="preserve">, </w:t>
      </w:r>
      <w:hyperlink r:id="rId328" w:history="1">
        <w:r w:rsidR="00AF7253">
          <w:rPr>
            <w:rStyle w:val="Hyperlink"/>
            <w:lang w:eastAsia="x-none"/>
          </w:rPr>
          <w:t>R1-2310660</w:t>
        </w:r>
      </w:hyperlink>
      <w:r w:rsidRPr="0069534D">
        <w:rPr>
          <w:lang w:eastAsia="x-none"/>
        </w:rPr>
        <w:t>, R1.-2310661}</w:t>
      </w:r>
      <w:r>
        <w:rPr>
          <w:lang w:eastAsia="x-none"/>
        </w:rPr>
        <w:t>.</w:t>
      </w:r>
    </w:p>
    <w:p w14:paraId="611EA4B8" w14:textId="583DCE1B" w:rsidR="006B7AD9" w:rsidRDefault="00266C9B" w:rsidP="00835CB1">
      <w:pPr>
        <w:rPr>
          <w:lang w:eastAsia="x-none"/>
        </w:rPr>
      </w:pPr>
      <w:r>
        <w:rPr>
          <w:lang w:eastAsia="x-none"/>
        </w:rPr>
        <w:t xml:space="preserve">Final summary in </w:t>
      </w:r>
      <w:hyperlink r:id="rId329" w:history="1">
        <w:r w:rsidR="00AF7253">
          <w:rPr>
            <w:rStyle w:val="Hyperlink"/>
            <w:lang w:eastAsia="x-none"/>
          </w:rPr>
          <w:t>R1-2312689</w:t>
        </w:r>
      </w:hyperlink>
      <w:r>
        <w:rPr>
          <w:lang w:eastAsia="x-none"/>
        </w:rPr>
        <w:t>.</w:t>
      </w:r>
    </w:p>
    <w:p w14:paraId="71F20059" w14:textId="77777777" w:rsidR="0069534D" w:rsidRDefault="0069534D" w:rsidP="00835CB1">
      <w:pPr>
        <w:rPr>
          <w:lang w:eastAsia="x-none"/>
        </w:rPr>
      </w:pPr>
    </w:p>
    <w:p w14:paraId="0676D750" w14:textId="77777777" w:rsidR="00266C9B" w:rsidRPr="009537ED" w:rsidRDefault="00266C9B" w:rsidP="00835CB1">
      <w:pPr>
        <w:rPr>
          <w:lang w:eastAsia="x-none"/>
        </w:rPr>
      </w:pPr>
    </w:p>
    <w:p w14:paraId="171E3211" w14:textId="4771A559" w:rsidR="006B7AD9" w:rsidRPr="009537ED" w:rsidRDefault="005A18DC" w:rsidP="006B7AD9">
      <w:pPr>
        <w:rPr>
          <w:lang w:eastAsia="x-none"/>
        </w:rPr>
      </w:pPr>
      <w:hyperlink r:id="rId330" w:history="1">
        <w:r w:rsidR="00AF7253">
          <w:rPr>
            <w:rStyle w:val="Hyperlink"/>
            <w:lang w:eastAsia="x-none"/>
          </w:rPr>
          <w:t>R1-2312235</w:t>
        </w:r>
      </w:hyperlink>
      <w:r w:rsidR="006B7AD9" w:rsidRPr="009537ED">
        <w:rPr>
          <w:lang w:eastAsia="x-none"/>
        </w:rPr>
        <w:tab/>
        <w:t>Correction on the order of SRS transmissions on multiple uplinks triggered by DCI 2_3 for SRS carrier switching</w:t>
      </w:r>
      <w:r w:rsidR="006B7AD9" w:rsidRPr="009537ED">
        <w:rPr>
          <w:lang w:eastAsia="x-none"/>
        </w:rPr>
        <w:tab/>
        <w:t>Huawei, HiSilicon</w:t>
      </w:r>
    </w:p>
    <w:p w14:paraId="7C737FC1" w14:textId="3DF28460" w:rsidR="006B7AD9" w:rsidRPr="009537ED" w:rsidRDefault="005A18DC" w:rsidP="006B7AD9">
      <w:pPr>
        <w:rPr>
          <w:b/>
          <w:bCs/>
          <w:lang w:eastAsia="x-none"/>
        </w:rPr>
      </w:pPr>
      <w:hyperlink r:id="rId331" w:history="1">
        <w:r w:rsidR="00AF7253">
          <w:rPr>
            <w:rStyle w:val="Hyperlink"/>
            <w:b/>
            <w:bCs/>
            <w:lang w:eastAsia="x-none"/>
          </w:rPr>
          <w:t>R1-2312236</w:t>
        </w:r>
      </w:hyperlink>
      <w:r w:rsidR="006B7AD9" w:rsidRPr="009537ED">
        <w:rPr>
          <w:b/>
          <w:bCs/>
          <w:lang w:eastAsia="x-none"/>
        </w:rPr>
        <w:tab/>
        <w:t>Discussion on the order of SRS transmissions on multiple uplinks triggered by DCI 2_3 for SRS carrier switching</w:t>
      </w:r>
      <w:r w:rsidR="006B7AD9" w:rsidRPr="009537ED">
        <w:rPr>
          <w:b/>
          <w:bCs/>
          <w:lang w:eastAsia="x-none"/>
        </w:rPr>
        <w:tab/>
        <w:t>Huawei, HiSilicon</w:t>
      </w:r>
    </w:p>
    <w:p w14:paraId="27717337" w14:textId="49214FBB" w:rsidR="006B7AD9" w:rsidRPr="009537ED" w:rsidRDefault="006B7AD9" w:rsidP="006B7AD9">
      <w:pPr>
        <w:rPr>
          <w:lang w:eastAsia="x-none"/>
        </w:rPr>
      </w:pPr>
      <w:r w:rsidRPr="009537ED">
        <w:rPr>
          <w:b/>
          <w:bCs/>
          <w:lang w:eastAsia="x-none"/>
        </w:rPr>
        <w:t xml:space="preserve">Monday session: </w:t>
      </w:r>
      <w:r w:rsidRPr="009537ED">
        <w:rPr>
          <w:highlight w:val="green"/>
          <w:lang w:eastAsia="x-none"/>
        </w:rPr>
        <w:t>Endorsed</w:t>
      </w:r>
      <w:r w:rsidRPr="009537ED">
        <w:rPr>
          <w:lang w:eastAsia="x-none"/>
        </w:rPr>
        <w:t xml:space="preserve"> in principle for Rel-17.</w:t>
      </w:r>
    </w:p>
    <w:p w14:paraId="1A7F9C19" w14:textId="63F79FF0" w:rsidR="00266C9B" w:rsidRPr="00266C9B" w:rsidRDefault="005A18DC" w:rsidP="00266C9B">
      <w:pPr>
        <w:rPr>
          <w:b/>
          <w:bCs/>
          <w:lang w:eastAsia="x-none"/>
        </w:rPr>
      </w:pPr>
      <w:hyperlink r:id="rId332" w:history="1">
        <w:r w:rsidR="00AF7253">
          <w:rPr>
            <w:rStyle w:val="Hyperlink"/>
            <w:b/>
            <w:bCs/>
            <w:lang w:eastAsia="x-none"/>
          </w:rPr>
          <w:t>R1-2312363</w:t>
        </w:r>
      </w:hyperlink>
      <w:r w:rsidR="00266C9B" w:rsidRPr="00266C9B">
        <w:rPr>
          <w:b/>
          <w:bCs/>
          <w:lang w:eastAsia="x-none"/>
        </w:rPr>
        <w:tab/>
        <w:t>Correction on the order of SRS transmissions on multiple uplinks triggered by DCI 2_3 for SRS carrier switching</w:t>
      </w:r>
      <w:r w:rsidR="00266C9B" w:rsidRPr="00266C9B">
        <w:rPr>
          <w:b/>
          <w:bCs/>
          <w:lang w:eastAsia="x-none"/>
        </w:rPr>
        <w:tab/>
        <w:t>Huawei, HiSilicon, Samsung</w:t>
      </w:r>
    </w:p>
    <w:p w14:paraId="036CC00E" w14:textId="25EE29AD" w:rsidR="00266C9B" w:rsidRDefault="00266C9B" w:rsidP="00266C9B">
      <w:pPr>
        <w:rPr>
          <w:lang w:eastAsia="x-none"/>
        </w:rPr>
      </w:pPr>
      <w:r>
        <w:rPr>
          <w:lang w:eastAsia="x-none"/>
        </w:rPr>
        <w:lastRenderedPageBreak/>
        <w:t>Draft CR toRel-17 is endorsed. Final CRs in:</w:t>
      </w:r>
    </w:p>
    <w:p w14:paraId="5A6373B3" w14:textId="35D0DD19" w:rsidR="00266C9B" w:rsidRPr="00266C9B" w:rsidRDefault="005A18DC" w:rsidP="00266C9B">
      <w:pPr>
        <w:rPr>
          <w:b/>
          <w:bCs/>
          <w:lang w:eastAsia="x-none"/>
        </w:rPr>
      </w:pPr>
      <w:hyperlink r:id="rId333" w:history="1">
        <w:r w:rsidR="00AF7253">
          <w:rPr>
            <w:rStyle w:val="Hyperlink"/>
            <w:b/>
            <w:bCs/>
            <w:highlight w:val="green"/>
            <w:lang w:eastAsia="x-none"/>
          </w:rPr>
          <w:t>R1-2312364</w:t>
        </w:r>
      </w:hyperlink>
      <w:r w:rsidR="00266C9B" w:rsidRPr="00266C9B">
        <w:rPr>
          <w:b/>
          <w:bCs/>
          <w:lang w:eastAsia="x-none"/>
        </w:rPr>
        <w:tab/>
        <w:t>Correction on the order of SRS transmissions on multiple uplinks triggered by DCI 2_3 for SRS carrier switching</w:t>
      </w:r>
      <w:r w:rsidR="00266C9B" w:rsidRPr="00266C9B">
        <w:rPr>
          <w:b/>
          <w:bCs/>
          <w:lang w:eastAsia="x-none"/>
        </w:rPr>
        <w:tab/>
        <w:t>Huawei, HiSilicon, Samsung</w:t>
      </w:r>
    </w:p>
    <w:p w14:paraId="1BB87D42" w14:textId="77777777" w:rsidR="00266C9B" w:rsidRDefault="00266C9B" w:rsidP="00266C9B">
      <w:pPr>
        <w:rPr>
          <w:lang w:eastAsia="x-none"/>
        </w:rPr>
      </w:pPr>
      <w:r>
        <w:rPr>
          <w:lang w:eastAsia="x-none"/>
        </w:rPr>
        <w:t>(Rel-17, 38.214, CR0458, Cat F) is agreed.</w:t>
      </w:r>
    </w:p>
    <w:p w14:paraId="0AA35400" w14:textId="3A58D6B0" w:rsidR="00266C9B" w:rsidRPr="00266C9B" w:rsidRDefault="005A18DC" w:rsidP="00266C9B">
      <w:pPr>
        <w:rPr>
          <w:b/>
          <w:bCs/>
          <w:lang w:eastAsia="x-none"/>
        </w:rPr>
      </w:pPr>
      <w:hyperlink r:id="rId334" w:history="1">
        <w:r w:rsidR="00AF7253">
          <w:rPr>
            <w:rStyle w:val="Hyperlink"/>
            <w:b/>
            <w:bCs/>
            <w:highlight w:val="green"/>
            <w:lang w:eastAsia="x-none"/>
          </w:rPr>
          <w:t>R1-2312365</w:t>
        </w:r>
      </w:hyperlink>
      <w:r w:rsidR="00266C9B" w:rsidRPr="00266C9B">
        <w:rPr>
          <w:b/>
          <w:bCs/>
          <w:lang w:eastAsia="x-none"/>
        </w:rPr>
        <w:tab/>
        <w:t>Correction on the order of SRS transmissions on multiple uplinks triggered by DCI 2_3 for SRS carrier switching</w:t>
      </w:r>
      <w:r w:rsidR="00266C9B" w:rsidRPr="00266C9B">
        <w:rPr>
          <w:b/>
          <w:bCs/>
          <w:lang w:eastAsia="x-none"/>
        </w:rPr>
        <w:tab/>
        <w:t>Huawei, HiSilicon, Samsung</w:t>
      </w:r>
    </w:p>
    <w:p w14:paraId="0B2FDB75" w14:textId="5E417840" w:rsidR="00266C9B" w:rsidRDefault="00266C9B" w:rsidP="00266C9B">
      <w:pPr>
        <w:rPr>
          <w:lang w:eastAsia="x-none"/>
        </w:rPr>
      </w:pPr>
      <w:r>
        <w:rPr>
          <w:lang w:eastAsia="x-none"/>
        </w:rPr>
        <w:t>(Rel-18, 38.214, CR0459, Cat A) is agreed.</w:t>
      </w:r>
    </w:p>
    <w:p w14:paraId="6899C7A9" w14:textId="77777777" w:rsidR="00266C9B" w:rsidRPr="009537ED" w:rsidRDefault="00266C9B" w:rsidP="00266C9B">
      <w:pPr>
        <w:rPr>
          <w:lang w:eastAsia="x-none"/>
        </w:rPr>
      </w:pPr>
    </w:p>
    <w:p w14:paraId="5E8CAEA8" w14:textId="77777777" w:rsidR="00D25D6B" w:rsidRPr="009537ED" w:rsidRDefault="00D25D6B" w:rsidP="00D25D6B">
      <w:pPr>
        <w:rPr>
          <w:lang w:eastAsia="x-none"/>
        </w:rPr>
      </w:pPr>
      <w:r w:rsidRPr="009537ED">
        <w:rPr>
          <w:lang w:eastAsia="x-none"/>
        </w:rPr>
        <w:t>-----------------------</w:t>
      </w:r>
    </w:p>
    <w:p w14:paraId="6C269C16" w14:textId="77777777" w:rsidR="006B7AD9" w:rsidRPr="009537ED" w:rsidRDefault="006B7AD9" w:rsidP="006B7AD9">
      <w:pPr>
        <w:rPr>
          <w:b/>
          <w:lang w:eastAsia="x-none"/>
        </w:rPr>
      </w:pPr>
      <w:r w:rsidRPr="009537ED">
        <w:rPr>
          <w:b/>
          <w:lang w:eastAsia="x-none"/>
        </w:rPr>
        <w:t>Follow up discussion on scheduling issue for TDD-FDD UL CA from RAN1#114bis</w:t>
      </w:r>
    </w:p>
    <w:p w14:paraId="203EF4FA" w14:textId="33D84E2F" w:rsidR="006B7AD9" w:rsidRPr="009537ED" w:rsidRDefault="005A18DC" w:rsidP="006B7AD9">
      <w:pPr>
        <w:rPr>
          <w:lang w:eastAsia="x-none"/>
        </w:rPr>
      </w:pPr>
      <w:hyperlink r:id="rId335" w:history="1">
        <w:r w:rsidR="00AF7253">
          <w:rPr>
            <w:rStyle w:val="Hyperlink"/>
            <w:lang w:eastAsia="x-none"/>
          </w:rPr>
          <w:t>R1-2311009</w:t>
        </w:r>
      </w:hyperlink>
      <w:r w:rsidR="006B7AD9" w:rsidRPr="009537ED">
        <w:rPr>
          <w:lang w:eastAsia="x-none"/>
        </w:rPr>
        <w:tab/>
        <w:t>Discussion of scheduling restriction for FDD-TDD UL CA</w:t>
      </w:r>
      <w:r w:rsidR="006B7AD9" w:rsidRPr="009537ED">
        <w:rPr>
          <w:lang w:eastAsia="x-none"/>
        </w:rPr>
        <w:tab/>
        <w:t>ZTE</w:t>
      </w:r>
    </w:p>
    <w:p w14:paraId="2A48CD66" w14:textId="7C445877" w:rsidR="006B7AD9" w:rsidRPr="009537ED" w:rsidRDefault="005A18DC" w:rsidP="006B7AD9">
      <w:pPr>
        <w:rPr>
          <w:lang w:eastAsia="x-none"/>
        </w:rPr>
      </w:pPr>
      <w:hyperlink r:id="rId336" w:history="1">
        <w:r w:rsidR="00AF7253">
          <w:rPr>
            <w:rStyle w:val="Hyperlink"/>
            <w:lang w:eastAsia="x-none"/>
          </w:rPr>
          <w:t>R1-2311074</w:t>
        </w:r>
      </w:hyperlink>
      <w:r w:rsidR="006B7AD9" w:rsidRPr="009537ED">
        <w:rPr>
          <w:lang w:eastAsia="x-none"/>
        </w:rPr>
        <w:tab/>
        <w:t>Discussion on scheduling issue for TDD-FDD UL CA</w:t>
      </w:r>
      <w:r w:rsidR="006B7AD9" w:rsidRPr="009537ED">
        <w:rPr>
          <w:lang w:eastAsia="x-none"/>
        </w:rPr>
        <w:tab/>
        <w:t>vivo</w:t>
      </w:r>
    </w:p>
    <w:p w14:paraId="45FC8CD5" w14:textId="7DD561C2" w:rsidR="006B7AD9" w:rsidRPr="009537ED" w:rsidRDefault="005A18DC" w:rsidP="006B7AD9">
      <w:pPr>
        <w:rPr>
          <w:lang w:eastAsia="x-none"/>
        </w:rPr>
      </w:pPr>
      <w:hyperlink r:id="rId337" w:history="1">
        <w:r w:rsidR="00AF7253">
          <w:rPr>
            <w:rStyle w:val="Hyperlink"/>
            <w:lang w:eastAsia="x-none"/>
          </w:rPr>
          <w:t>R1-2311602</w:t>
        </w:r>
      </w:hyperlink>
      <w:r w:rsidR="006B7AD9" w:rsidRPr="009537ED">
        <w:rPr>
          <w:lang w:eastAsia="x-none"/>
        </w:rPr>
        <w:tab/>
        <w:t>HARQ-ACK feedback enhancements for CA</w:t>
      </w:r>
      <w:r w:rsidR="006B7AD9" w:rsidRPr="009537ED">
        <w:rPr>
          <w:lang w:eastAsia="x-none"/>
        </w:rPr>
        <w:tab/>
        <w:t>CATT, CMCC</w:t>
      </w:r>
    </w:p>
    <w:p w14:paraId="04B3ABDD" w14:textId="3F58FB25" w:rsidR="006B7AD9" w:rsidRPr="009537ED" w:rsidRDefault="005A18DC" w:rsidP="006B7AD9">
      <w:pPr>
        <w:rPr>
          <w:lang w:eastAsia="x-none"/>
        </w:rPr>
      </w:pPr>
      <w:hyperlink r:id="rId338" w:history="1">
        <w:r w:rsidR="00AF7253">
          <w:rPr>
            <w:rStyle w:val="Hyperlink"/>
            <w:lang w:eastAsia="x-none"/>
          </w:rPr>
          <w:t>R1-2311817</w:t>
        </w:r>
      </w:hyperlink>
      <w:r w:rsidR="006B7AD9" w:rsidRPr="009537ED">
        <w:rPr>
          <w:lang w:eastAsia="x-none"/>
        </w:rPr>
        <w:tab/>
        <w:t>Discussion on scheduling issue for TDD-FDD CA</w:t>
      </w:r>
      <w:r w:rsidR="006B7AD9" w:rsidRPr="009537ED">
        <w:rPr>
          <w:lang w:eastAsia="x-none"/>
        </w:rPr>
        <w:tab/>
        <w:t>Samsung, Verizon</w:t>
      </w:r>
    </w:p>
    <w:p w14:paraId="7BD4E0A6" w14:textId="771160D3" w:rsidR="006B7AD9" w:rsidRPr="001E74B6" w:rsidRDefault="005A18DC" w:rsidP="006B7AD9">
      <w:pPr>
        <w:rPr>
          <w:b/>
          <w:bCs/>
          <w:lang w:eastAsia="x-none"/>
        </w:rPr>
      </w:pPr>
      <w:hyperlink r:id="rId339" w:history="1">
        <w:r w:rsidR="00AF7253">
          <w:rPr>
            <w:rStyle w:val="Hyperlink"/>
            <w:b/>
            <w:bCs/>
            <w:lang w:eastAsia="x-none"/>
          </w:rPr>
          <w:t>R1-2311904</w:t>
        </w:r>
      </w:hyperlink>
      <w:r w:rsidR="006B7AD9" w:rsidRPr="001E74B6">
        <w:rPr>
          <w:b/>
          <w:bCs/>
          <w:lang w:eastAsia="x-none"/>
        </w:rPr>
        <w:tab/>
        <w:t>Scheduling restriction for FDD-TDD UL CA</w:t>
      </w:r>
      <w:r w:rsidR="006B7AD9" w:rsidRPr="001E74B6">
        <w:rPr>
          <w:b/>
          <w:bCs/>
          <w:lang w:eastAsia="x-none"/>
        </w:rPr>
        <w:tab/>
        <w:t>Ericsson, Verizon, Nokia, Nokia Shanghai Bell, Samsung</w:t>
      </w:r>
    </w:p>
    <w:p w14:paraId="30BB3651" w14:textId="1D258C92" w:rsidR="006B7AD9" w:rsidRPr="009537ED" w:rsidRDefault="005A18DC" w:rsidP="006B7AD9">
      <w:pPr>
        <w:rPr>
          <w:lang w:eastAsia="x-none"/>
        </w:rPr>
      </w:pPr>
      <w:hyperlink r:id="rId340" w:history="1">
        <w:r w:rsidR="00AF7253">
          <w:rPr>
            <w:rStyle w:val="Hyperlink"/>
            <w:lang w:eastAsia="x-none"/>
          </w:rPr>
          <w:t>R1-2311960</w:t>
        </w:r>
      </w:hyperlink>
      <w:r w:rsidR="006B7AD9" w:rsidRPr="009537ED">
        <w:rPr>
          <w:lang w:eastAsia="x-none"/>
        </w:rPr>
        <w:tab/>
        <w:t>On scheduling issue for TDD-FDD UL CA</w:t>
      </w:r>
      <w:r w:rsidR="006B7AD9" w:rsidRPr="009537ED">
        <w:rPr>
          <w:lang w:eastAsia="x-none"/>
        </w:rPr>
        <w:tab/>
        <w:t>MediaTek Inc.</w:t>
      </w:r>
    </w:p>
    <w:p w14:paraId="191F9E90" w14:textId="64C46744" w:rsidR="006B7AD9" w:rsidRPr="009537ED" w:rsidRDefault="005A18DC" w:rsidP="006B7AD9">
      <w:pPr>
        <w:rPr>
          <w:lang w:eastAsia="x-none"/>
        </w:rPr>
      </w:pPr>
      <w:hyperlink r:id="rId341" w:history="1">
        <w:r w:rsidR="00AF7253">
          <w:rPr>
            <w:rStyle w:val="Hyperlink"/>
            <w:lang w:eastAsia="x-none"/>
          </w:rPr>
          <w:t>R1-2312019</w:t>
        </w:r>
      </w:hyperlink>
      <w:r w:rsidR="006B7AD9" w:rsidRPr="009537ED">
        <w:rPr>
          <w:lang w:eastAsia="x-none"/>
        </w:rPr>
        <w:tab/>
        <w:t>Discussion on scheduling issue for TDD-FDD UL CA</w:t>
      </w:r>
      <w:r w:rsidR="006B7AD9" w:rsidRPr="009537ED">
        <w:rPr>
          <w:lang w:eastAsia="x-none"/>
        </w:rPr>
        <w:tab/>
        <w:t>Qualcomm Incorporated</w:t>
      </w:r>
    </w:p>
    <w:p w14:paraId="6D12CBAF" w14:textId="73ADFFAD" w:rsidR="006B7AD9" w:rsidRPr="009537ED" w:rsidRDefault="005A18DC" w:rsidP="006B7AD9">
      <w:pPr>
        <w:rPr>
          <w:lang w:eastAsia="x-none"/>
        </w:rPr>
      </w:pPr>
      <w:hyperlink r:id="rId342" w:history="1">
        <w:r w:rsidR="00AF7253">
          <w:rPr>
            <w:rStyle w:val="Hyperlink"/>
            <w:lang w:eastAsia="x-none"/>
          </w:rPr>
          <w:t>R1-2312226</w:t>
        </w:r>
      </w:hyperlink>
      <w:r w:rsidR="006B7AD9" w:rsidRPr="009537ED">
        <w:rPr>
          <w:lang w:eastAsia="x-none"/>
        </w:rPr>
        <w:tab/>
        <w:t>Clarification on HARQ feedback for TDD-FDD UL CA</w:t>
      </w:r>
      <w:r w:rsidR="006B7AD9" w:rsidRPr="009537ED">
        <w:rPr>
          <w:lang w:eastAsia="x-none"/>
        </w:rPr>
        <w:tab/>
        <w:t>Huawei, HiSilicon</w:t>
      </w:r>
    </w:p>
    <w:p w14:paraId="051CDC75" w14:textId="1DC475F9" w:rsidR="006B7AD9" w:rsidRPr="001E74B6" w:rsidRDefault="006B7AD9" w:rsidP="006B7AD9">
      <w:pPr>
        <w:rPr>
          <w:lang w:eastAsia="x-none"/>
        </w:rPr>
      </w:pPr>
      <w:r w:rsidRPr="001E74B6">
        <w:rPr>
          <w:b/>
          <w:bCs/>
          <w:lang w:eastAsia="x-none"/>
        </w:rPr>
        <w:t>Monday session:</w:t>
      </w:r>
      <w:r w:rsidRPr="001E74B6">
        <w:rPr>
          <w:lang w:eastAsia="x-none"/>
        </w:rPr>
        <w:t xml:space="preserve"> To be moderated by Sungjin (Samsung). Check status on Thursday.</w:t>
      </w:r>
    </w:p>
    <w:p w14:paraId="5CC41FA6" w14:textId="496D3125" w:rsidR="001E74B6" w:rsidRPr="001E74B6" w:rsidRDefault="005A18DC" w:rsidP="006B7AD9">
      <w:pPr>
        <w:rPr>
          <w:b/>
          <w:bCs/>
          <w:lang w:eastAsia="x-none"/>
        </w:rPr>
      </w:pPr>
      <w:hyperlink r:id="rId343" w:history="1">
        <w:r w:rsidR="00AF7253">
          <w:rPr>
            <w:rStyle w:val="Hyperlink"/>
            <w:b/>
            <w:bCs/>
            <w:lang w:eastAsia="x-none"/>
          </w:rPr>
          <w:t>R1-2312376</w:t>
        </w:r>
      </w:hyperlink>
      <w:r w:rsidR="001E74B6" w:rsidRPr="001E74B6">
        <w:rPr>
          <w:b/>
          <w:bCs/>
          <w:lang w:eastAsia="x-none"/>
        </w:rPr>
        <w:tab/>
        <w:t>Summary of discussion on scheduling issue for TDD-FDD UL CA</w:t>
      </w:r>
      <w:r w:rsidR="001E74B6" w:rsidRPr="001E74B6">
        <w:rPr>
          <w:b/>
          <w:bCs/>
          <w:lang w:eastAsia="x-none"/>
        </w:rPr>
        <w:tab/>
        <w:t>Moderator (Samsung)</w:t>
      </w:r>
    </w:p>
    <w:p w14:paraId="0F7A7C00" w14:textId="77777777" w:rsidR="001E74B6" w:rsidRPr="001E74B6" w:rsidRDefault="001E74B6" w:rsidP="001E74B6">
      <w:pPr>
        <w:rPr>
          <w:highlight w:val="green"/>
        </w:rPr>
      </w:pPr>
      <w:r w:rsidRPr="001E74B6">
        <w:rPr>
          <w:highlight w:val="green"/>
        </w:rPr>
        <w:t>Agreement</w:t>
      </w:r>
    </w:p>
    <w:p w14:paraId="68F3B4AF" w14:textId="77777777" w:rsidR="001E74B6" w:rsidRPr="00E05434" w:rsidRDefault="001E74B6" w:rsidP="001E74B6">
      <w:pPr>
        <w:contextualSpacing/>
        <w:jc w:val="both"/>
      </w:pPr>
      <w:r w:rsidRPr="00E05434">
        <w:t xml:space="preserve">Simultaneous PUSCH and PUCCH transmissions of same priority on different inter-band cells is supported. </w:t>
      </w:r>
    </w:p>
    <w:p w14:paraId="68678F9D" w14:textId="77777777" w:rsidR="001E74B6" w:rsidRPr="00DD1FD6" w:rsidRDefault="001E74B6" w:rsidP="001E74B6">
      <w:pPr>
        <w:numPr>
          <w:ilvl w:val="0"/>
          <w:numId w:val="79"/>
        </w:numPr>
        <w:snapToGrid w:val="0"/>
        <w:rPr>
          <w:rFonts w:cs="Times"/>
          <w:szCs w:val="20"/>
        </w:rPr>
      </w:pPr>
      <w:r w:rsidRPr="00DD1FD6">
        <w:rPr>
          <w:rFonts w:cs="Times"/>
          <w:szCs w:val="20"/>
        </w:rPr>
        <w:t xml:space="preserve">Note 1: Above applies since Rel-17. </w:t>
      </w:r>
    </w:p>
    <w:p w14:paraId="67FD6568" w14:textId="77777777" w:rsidR="001E74B6" w:rsidRPr="00DD1FD6" w:rsidRDefault="001E74B6" w:rsidP="001E74B6">
      <w:pPr>
        <w:numPr>
          <w:ilvl w:val="0"/>
          <w:numId w:val="79"/>
        </w:numPr>
        <w:snapToGrid w:val="0"/>
        <w:rPr>
          <w:rFonts w:cs="Times"/>
          <w:szCs w:val="20"/>
        </w:rPr>
      </w:pPr>
      <w:r w:rsidRPr="00DD1FD6">
        <w:rPr>
          <w:rFonts w:cs="Times"/>
          <w:szCs w:val="20"/>
        </w:rPr>
        <w:t>Note 2: Above applies only for inter-band CA</w:t>
      </w:r>
    </w:p>
    <w:p w14:paraId="7F282BC8" w14:textId="77777777" w:rsidR="001E74B6" w:rsidRPr="00DD1FD6" w:rsidRDefault="001E74B6" w:rsidP="001E74B6">
      <w:pPr>
        <w:numPr>
          <w:ilvl w:val="0"/>
          <w:numId w:val="79"/>
        </w:numPr>
        <w:snapToGrid w:val="0"/>
        <w:rPr>
          <w:rFonts w:cs="Times"/>
          <w:szCs w:val="20"/>
        </w:rPr>
      </w:pPr>
      <w:r w:rsidRPr="00DD1FD6">
        <w:rPr>
          <w:rFonts w:cs="Times"/>
          <w:szCs w:val="20"/>
        </w:rPr>
        <w:t xml:space="preserve">Note 3: Above is subject to one new RRC parameter and one new UE capability (per BC). When the new RRC parameter is provided, simultaneous PUSCH and PUCCH transmission of same priority is always applied on different cells belonging to different bands. </w:t>
      </w:r>
    </w:p>
    <w:p w14:paraId="4324922A" w14:textId="7CE4D5B3" w:rsidR="001E74B6" w:rsidRDefault="001E74B6" w:rsidP="001E74B6">
      <w:pPr>
        <w:rPr>
          <w:lang w:eastAsia="x-none"/>
        </w:rPr>
      </w:pPr>
      <w:r w:rsidRPr="00A01C9D">
        <w:rPr>
          <w:lang w:eastAsia="x-none"/>
        </w:rPr>
        <w:t>Send an LS to RAN2 to inform them of the above agreement.</w:t>
      </w:r>
    </w:p>
    <w:p w14:paraId="6D082E7F" w14:textId="77777777" w:rsidR="001E74B6" w:rsidRDefault="001E74B6" w:rsidP="001E74B6">
      <w:pPr>
        <w:rPr>
          <w:lang w:eastAsia="x-none"/>
        </w:rPr>
      </w:pPr>
    </w:p>
    <w:p w14:paraId="6DECA4C9" w14:textId="7279C272" w:rsidR="001E74B6" w:rsidRPr="00A01C9D" w:rsidRDefault="005A18DC" w:rsidP="001E74B6">
      <w:pPr>
        <w:rPr>
          <w:b/>
          <w:bCs/>
          <w:lang w:eastAsia="x-none"/>
        </w:rPr>
      </w:pPr>
      <w:hyperlink r:id="rId344" w:history="1">
        <w:r w:rsidR="00AF7253">
          <w:rPr>
            <w:rStyle w:val="Hyperlink"/>
            <w:b/>
            <w:bCs/>
            <w:lang w:eastAsia="x-none"/>
          </w:rPr>
          <w:t>R1-2312446</w:t>
        </w:r>
      </w:hyperlink>
      <w:r w:rsidR="001E74B6" w:rsidRPr="00A01C9D">
        <w:rPr>
          <w:b/>
          <w:bCs/>
          <w:lang w:eastAsia="x-none"/>
        </w:rPr>
        <w:tab/>
        <w:t>Draft LS to RAN2 on introduction of simultaneous PUCCH and PUSCH transmission with same priority</w:t>
      </w:r>
      <w:r w:rsidR="001E74B6" w:rsidRPr="00A01C9D">
        <w:rPr>
          <w:b/>
          <w:bCs/>
          <w:lang w:eastAsia="x-none"/>
        </w:rPr>
        <w:tab/>
        <w:t>Samsung</w:t>
      </w:r>
    </w:p>
    <w:p w14:paraId="2A7AAD87" w14:textId="422D2988" w:rsidR="001E74B6" w:rsidRDefault="00A01C9D" w:rsidP="001E74B6">
      <w:pPr>
        <w:rPr>
          <w:lang w:eastAsia="x-none"/>
        </w:rPr>
      </w:pPr>
      <w:r w:rsidRPr="00A01C9D">
        <w:rPr>
          <w:b/>
          <w:bCs/>
          <w:lang w:eastAsia="x-none"/>
        </w:rPr>
        <w:t>Decision:</w:t>
      </w:r>
      <w:r>
        <w:rPr>
          <w:lang w:eastAsia="x-none"/>
        </w:rPr>
        <w:t xml:space="preserve"> The draft LS is endors</w:t>
      </w:r>
      <w:r w:rsidRPr="00A01C9D">
        <w:rPr>
          <w:lang w:eastAsia="x-none"/>
        </w:rPr>
        <w:t xml:space="preserve">ed. Final LS is </w:t>
      </w:r>
      <w:r>
        <w:rPr>
          <w:highlight w:val="green"/>
          <w:lang w:eastAsia="x-none"/>
        </w:rPr>
        <w:t xml:space="preserve">approved </w:t>
      </w:r>
      <w:r w:rsidRPr="00E519FA">
        <w:rPr>
          <w:highlight w:val="green"/>
          <w:lang w:eastAsia="x-none"/>
        </w:rPr>
        <w:t xml:space="preserve">in </w:t>
      </w:r>
      <w:hyperlink r:id="rId345" w:history="1">
        <w:r w:rsidR="00AF7253">
          <w:rPr>
            <w:rStyle w:val="Hyperlink"/>
            <w:highlight w:val="green"/>
            <w:lang w:eastAsia="x-none"/>
          </w:rPr>
          <w:t>R1-2312456</w:t>
        </w:r>
      </w:hyperlink>
      <w:r w:rsidRPr="00E519FA">
        <w:rPr>
          <w:highlight w:val="green"/>
          <w:lang w:eastAsia="x-none"/>
        </w:rPr>
        <w:t>.</w:t>
      </w:r>
    </w:p>
    <w:p w14:paraId="13929BD3" w14:textId="77777777" w:rsidR="00A01C9D" w:rsidRDefault="00A01C9D" w:rsidP="001E74B6">
      <w:pPr>
        <w:rPr>
          <w:lang w:eastAsia="x-none"/>
        </w:rPr>
      </w:pPr>
    </w:p>
    <w:p w14:paraId="747ACD60" w14:textId="41ACD3B9" w:rsidR="00A01C9D" w:rsidRPr="00A01C9D" w:rsidRDefault="005A18DC" w:rsidP="00A01C9D">
      <w:pPr>
        <w:rPr>
          <w:b/>
          <w:bCs/>
          <w:lang w:eastAsia="x-none"/>
        </w:rPr>
      </w:pPr>
      <w:hyperlink r:id="rId346" w:history="1">
        <w:r w:rsidR="00AF7253">
          <w:rPr>
            <w:rStyle w:val="Hyperlink"/>
            <w:b/>
            <w:bCs/>
            <w:lang w:eastAsia="x-none"/>
          </w:rPr>
          <w:t>R1-2312450</w:t>
        </w:r>
      </w:hyperlink>
      <w:r w:rsidR="00A01C9D" w:rsidRPr="00A01C9D">
        <w:rPr>
          <w:b/>
          <w:bCs/>
          <w:lang w:eastAsia="x-none"/>
        </w:rPr>
        <w:tab/>
        <w:t>Draft CR on Simultaneous PUCCH and PUSCH transmission with same priority in UL CA</w:t>
      </w:r>
      <w:r w:rsidR="00A01C9D" w:rsidRPr="00A01C9D">
        <w:rPr>
          <w:b/>
          <w:bCs/>
          <w:lang w:eastAsia="x-none"/>
        </w:rPr>
        <w:tab/>
        <w:t>Moderator (Samsung), Ericsson, Verizon</w:t>
      </w:r>
    </w:p>
    <w:p w14:paraId="3F5FED48" w14:textId="77777777" w:rsidR="001E74B6" w:rsidRPr="00A01C9D" w:rsidRDefault="001E74B6" w:rsidP="001E74B6">
      <w:pPr>
        <w:rPr>
          <w:highlight w:val="green"/>
          <w:lang w:eastAsia="x-none"/>
        </w:rPr>
      </w:pPr>
      <w:r w:rsidRPr="00A01C9D">
        <w:rPr>
          <w:highlight w:val="green"/>
          <w:lang w:eastAsia="x-none"/>
        </w:rPr>
        <w:t>Agreement</w:t>
      </w:r>
    </w:p>
    <w:p w14:paraId="5E1EC9CE" w14:textId="70A58FFF" w:rsidR="001E74B6" w:rsidRPr="00A01C9D" w:rsidRDefault="001E74B6" w:rsidP="004825B2">
      <w:pPr>
        <w:pStyle w:val="ListParagraph"/>
        <w:numPr>
          <w:ilvl w:val="0"/>
          <w:numId w:val="247"/>
        </w:numPr>
        <w:rPr>
          <w:lang w:eastAsia="x-none"/>
        </w:rPr>
      </w:pPr>
      <w:r w:rsidRPr="00A01C9D">
        <w:rPr>
          <w:lang w:eastAsia="x-none"/>
        </w:rPr>
        <w:t xml:space="preserve">The TP in </w:t>
      </w:r>
      <w:hyperlink r:id="rId347" w:history="1">
        <w:r w:rsidR="00AF7253">
          <w:rPr>
            <w:rStyle w:val="Hyperlink"/>
            <w:lang w:eastAsia="x-none"/>
          </w:rPr>
          <w:t>R1-2312450</w:t>
        </w:r>
      </w:hyperlink>
      <w:r w:rsidRPr="00A01C9D">
        <w:rPr>
          <w:lang w:eastAsia="x-none"/>
        </w:rPr>
        <w:t xml:space="preserve"> is agreed in principle for Rel-17.</w:t>
      </w:r>
    </w:p>
    <w:p w14:paraId="13C8EF65" w14:textId="49558414" w:rsidR="001E74B6" w:rsidRDefault="005A18DC" w:rsidP="001E74B6">
      <w:pPr>
        <w:rPr>
          <w:lang w:eastAsia="x-none"/>
        </w:rPr>
      </w:pPr>
      <w:hyperlink r:id="rId348" w:history="1">
        <w:r w:rsidR="00AF7253">
          <w:rPr>
            <w:rStyle w:val="Hyperlink"/>
            <w:b/>
            <w:bCs/>
            <w:lang w:eastAsia="x-none"/>
          </w:rPr>
          <w:t>R1-2312628</w:t>
        </w:r>
      </w:hyperlink>
      <w:r w:rsidR="001E74B6" w:rsidRPr="00A01C9D">
        <w:rPr>
          <w:b/>
          <w:bCs/>
          <w:lang w:eastAsia="x-none"/>
        </w:rPr>
        <w:tab/>
        <w:t>Draft CR on Simultaneous PUCCH and PUSCH transmission with same priority in UL CA</w:t>
      </w:r>
      <w:r w:rsidR="001E74B6" w:rsidRPr="00A01C9D">
        <w:rPr>
          <w:b/>
          <w:bCs/>
          <w:lang w:eastAsia="x-none"/>
        </w:rPr>
        <w:tab/>
      </w:r>
      <w:r w:rsidR="00A01C9D" w:rsidRPr="00A01C9D">
        <w:rPr>
          <w:b/>
          <w:bCs/>
          <w:lang w:eastAsia="x-none"/>
        </w:rPr>
        <w:t>Samsung, Ericsson, Verizon, Nokia, Nokia Shanghai Bell</w:t>
      </w:r>
      <w:r w:rsidR="00A01C9D">
        <w:rPr>
          <w:lang w:eastAsia="x-none"/>
        </w:rPr>
        <w:tab/>
        <w:t xml:space="preserve">(rev of </w:t>
      </w:r>
      <w:hyperlink r:id="rId349" w:history="1">
        <w:r w:rsidR="00AF7253">
          <w:rPr>
            <w:rStyle w:val="Hyperlink"/>
            <w:lang w:eastAsia="x-none"/>
          </w:rPr>
          <w:t>R1-2312450</w:t>
        </w:r>
      </w:hyperlink>
      <w:r w:rsidR="00A01C9D">
        <w:rPr>
          <w:lang w:eastAsia="x-none"/>
        </w:rPr>
        <w:t>)</w:t>
      </w:r>
    </w:p>
    <w:p w14:paraId="6FA5DC3D" w14:textId="53D20ED0" w:rsidR="00A01C9D" w:rsidRDefault="005A18DC" w:rsidP="00A01C9D">
      <w:pPr>
        <w:rPr>
          <w:lang w:eastAsia="x-none"/>
        </w:rPr>
      </w:pPr>
      <w:hyperlink r:id="rId350" w:history="1">
        <w:r w:rsidR="00AF7253">
          <w:rPr>
            <w:rStyle w:val="Hyperlink"/>
            <w:lang w:eastAsia="x-none"/>
          </w:rPr>
          <w:t>R1-2312451</w:t>
        </w:r>
      </w:hyperlink>
      <w:r w:rsidR="00A01C9D">
        <w:rPr>
          <w:lang w:eastAsia="x-none"/>
        </w:rPr>
        <w:tab/>
        <w:t>Draft CR on Simultaneous PUCCH and PUSCH transmission with same priority in UL CA</w:t>
      </w:r>
      <w:r w:rsidR="00A01C9D">
        <w:rPr>
          <w:lang w:eastAsia="x-none"/>
        </w:rPr>
        <w:tab/>
      </w:r>
      <w:r w:rsidR="00A01C9D" w:rsidRPr="00A01C9D">
        <w:rPr>
          <w:lang w:eastAsia="x-none"/>
        </w:rPr>
        <w:t>Moderator (Samsung), Ericsson, Verizon</w:t>
      </w:r>
    </w:p>
    <w:p w14:paraId="656844DC" w14:textId="7AB29A26" w:rsidR="006B7AD9" w:rsidRDefault="00A01C9D" w:rsidP="00D25D6B">
      <w:pPr>
        <w:rPr>
          <w:lang w:eastAsia="x-none"/>
        </w:rPr>
      </w:pPr>
      <w:r w:rsidRPr="00A01C9D">
        <w:rPr>
          <w:lang w:eastAsia="x-none"/>
        </w:rPr>
        <w:t>Final CR</w:t>
      </w:r>
      <w:r>
        <w:rPr>
          <w:lang w:eastAsia="x-none"/>
        </w:rPr>
        <w:t>s in:</w:t>
      </w:r>
    </w:p>
    <w:p w14:paraId="50C3205E" w14:textId="7CD8F017" w:rsidR="00A01C9D" w:rsidRPr="00510C32" w:rsidRDefault="005A18DC" w:rsidP="00A01C9D">
      <w:pPr>
        <w:rPr>
          <w:b/>
          <w:bCs/>
          <w:lang w:eastAsia="x-none"/>
        </w:rPr>
      </w:pPr>
      <w:hyperlink r:id="rId351" w:history="1">
        <w:r w:rsidR="00AF7253">
          <w:rPr>
            <w:rStyle w:val="Hyperlink"/>
            <w:b/>
            <w:bCs/>
            <w:highlight w:val="green"/>
            <w:lang w:eastAsia="x-none"/>
          </w:rPr>
          <w:t>R1-2312626</w:t>
        </w:r>
      </w:hyperlink>
      <w:r w:rsidR="00A01C9D" w:rsidRPr="00510C32">
        <w:rPr>
          <w:b/>
          <w:bCs/>
          <w:lang w:eastAsia="x-none"/>
        </w:rPr>
        <w:tab/>
        <w:t>CR on Simultaneous PUCCH and PUSCH transmission with same priority in UL CA</w:t>
      </w:r>
      <w:r w:rsidR="00A01C9D" w:rsidRPr="00510C32">
        <w:rPr>
          <w:b/>
          <w:bCs/>
          <w:lang w:eastAsia="x-none"/>
        </w:rPr>
        <w:tab/>
      </w:r>
      <w:r w:rsidR="00DB3E3C" w:rsidRPr="00DB3E3C">
        <w:rPr>
          <w:b/>
          <w:bCs/>
          <w:lang w:eastAsia="x-none"/>
        </w:rPr>
        <w:t>Samsung, Ericsson, Verizon, Nokia, Nokia Shanghai Bell, ZTE</w:t>
      </w:r>
    </w:p>
    <w:p w14:paraId="78403F1E" w14:textId="37828DDC" w:rsidR="00A01C9D" w:rsidRDefault="00A01C9D" w:rsidP="00A01C9D">
      <w:pPr>
        <w:rPr>
          <w:lang w:eastAsia="x-none"/>
        </w:rPr>
      </w:pPr>
      <w:r>
        <w:rPr>
          <w:lang w:eastAsia="x-none"/>
        </w:rPr>
        <w:t>(Rel-17</w:t>
      </w:r>
      <w:r w:rsidR="00510C32">
        <w:rPr>
          <w:lang w:eastAsia="x-none"/>
        </w:rPr>
        <w:t xml:space="preserve">, </w:t>
      </w:r>
      <w:r>
        <w:rPr>
          <w:lang w:eastAsia="x-none"/>
        </w:rPr>
        <w:t>38.213</w:t>
      </w:r>
      <w:r w:rsidR="00510C32">
        <w:rPr>
          <w:lang w:eastAsia="x-none"/>
        </w:rPr>
        <w:t>, CR</w:t>
      </w:r>
      <w:r>
        <w:rPr>
          <w:lang w:eastAsia="x-none"/>
        </w:rPr>
        <w:t>0556</w:t>
      </w:r>
      <w:r w:rsidR="00510C32">
        <w:rPr>
          <w:lang w:eastAsia="x-none"/>
        </w:rPr>
        <w:t>, Cat F) is agreed.</w:t>
      </w:r>
    </w:p>
    <w:p w14:paraId="11727875" w14:textId="23AFC927" w:rsidR="00510C32" w:rsidRPr="00510C32" w:rsidRDefault="005A18DC" w:rsidP="00A01C9D">
      <w:pPr>
        <w:rPr>
          <w:b/>
          <w:bCs/>
          <w:lang w:eastAsia="x-none"/>
        </w:rPr>
      </w:pPr>
      <w:hyperlink r:id="rId352" w:history="1">
        <w:r w:rsidR="00AF7253">
          <w:rPr>
            <w:rStyle w:val="Hyperlink"/>
            <w:b/>
            <w:bCs/>
            <w:highlight w:val="green"/>
            <w:lang w:eastAsia="x-none"/>
          </w:rPr>
          <w:t>R1-2312627</w:t>
        </w:r>
      </w:hyperlink>
      <w:r w:rsidR="00A01C9D" w:rsidRPr="00510C32">
        <w:rPr>
          <w:b/>
          <w:bCs/>
          <w:lang w:eastAsia="x-none"/>
        </w:rPr>
        <w:tab/>
        <w:t>CR on Simultaneous PUCCH and PUSCH transmission with same priority in UL CA</w:t>
      </w:r>
      <w:r w:rsidR="00A01C9D" w:rsidRPr="00510C32">
        <w:rPr>
          <w:b/>
          <w:bCs/>
          <w:lang w:eastAsia="x-none"/>
        </w:rPr>
        <w:tab/>
        <w:t>Samsung, Ericsson, Verizon, Nokia, Nokia Shanghai Bell</w:t>
      </w:r>
      <w:r w:rsidR="00DB3E3C">
        <w:rPr>
          <w:b/>
          <w:bCs/>
          <w:lang w:eastAsia="x-none"/>
        </w:rPr>
        <w:t>, ZTE</w:t>
      </w:r>
    </w:p>
    <w:p w14:paraId="49936B27" w14:textId="29B25C19" w:rsidR="00510C32" w:rsidRDefault="00510C32" w:rsidP="00510C32">
      <w:pPr>
        <w:rPr>
          <w:lang w:eastAsia="x-none"/>
        </w:rPr>
      </w:pPr>
      <w:r>
        <w:rPr>
          <w:lang w:eastAsia="x-none"/>
        </w:rPr>
        <w:t>(Rel-18, 38.213, CR0557, Cat A) is agreed.</w:t>
      </w:r>
    </w:p>
    <w:p w14:paraId="3247F4C0" w14:textId="77777777" w:rsidR="00510C32" w:rsidRDefault="00510C32" w:rsidP="00A01C9D">
      <w:pPr>
        <w:rPr>
          <w:lang w:eastAsia="x-none"/>
        </w:rPr>
      </w:pPr>
    </w:p>
    <w:p w14:paraId="752BE8E0" w14:textId="77777777" w:rsidR="001E74B6" w:rsidRPr="009537ED" w:rsidRDefault="001E74B6" w:rsidP="001E74B6">
      <w:pPr>
        <w:rPr>
          <w:lang w:eastAsia="x-none"/>
        </w:rPr>
      </w:pPr>
      <w:r w:rsidRPr="009537ED">
        <w:rPr>
          <w:lang w:eastAsia="x-none"/>
        </w:rPr>
        <w:t>-----------------------</w:t>
      </w:r>
    </w:p>
    <w:p w14:paraId="1F3578F6" w14:textId="77777777" w:rsidR="00835CB1" w:rsidRPr="009537ED" w:rsidRDefault="00835CB1" w:rsidP="00835CB1">
      <w:pPr>
        <w:rPr>
          <w:b/>
          <w:lang w:eastAsia="x-none"/>
        </w:rPr>
      </w:pPr>
      <w:r w:rsidRPr="009537ED">
        <w:rPr>
          <w:b/>
          <w:lang w:eastAsia="x-none"/>
        </w:rPr>
        <w:t>Follow up discussion on CSI feedback with SUL from RAN1#114bis</w:t>
      </w:r>
    </w:p>
    <w:p w14:paraId="616E35A7" w14:textId="5BF772C0" w:rsidR="00835CB1" w:rsidRPr="009537ED" w:rsidRDefault="005A18DC" w:rsidP="00835CB1">
      <w:pPr>
        <w:rPr>
          <w:lang w:eastAsia="x-none"/>
        </w:rPr>
      </w:pPr>
      <w:hyperlink r:id="rId353" w:history="1">
        <w:r w:rsidR="00AF7253">
          <w:rPr>
            <w:rStyle w:val="Hyperlink"/>
            <w:lang w:eastAsia="x-none"/>
          </w:rPr>
          <w:t>R1-2311010</w:t>
        </w:r>
      </w:hyperlink>
      <w:r w:rsidR="00835CB1" w:rsidRPr="009537ED">
        <w:rPr>
          <w:lang w:eastAsia="x-none"/>
        </w:rPr>
        <w:tab/>
        <w:t>Discussion of SUL indicator in case pucch-Config not configured</w:t>
      </w:r>
      <w:r w:rsidR="00835CB1" w:rsidRPr="009537ED">
        <w:rPr>
          <w:lang w:eastAsia="x-none"/>
        </w:rPr>
        <w:tab/>
        <w:t>ZTE</w:t>
      </w:r>
    </w:p>
    <w:p w14:paraId="5C0D4206" w14:textId="2733BC95" w:rsidR="00835CB1" w:rsidRPr="009537ED" w:rsidRDefault="005A18DC" w:rsidP="00835CB1">
      <w:pPr>
        <w:rPr>
          <w:lang w:eastAsia="x-none"/>
        </w:rPr>
      </w:pPr>
      <w:hyperlink r:id="rId354" w:history="1">
        <w:r w:rsidR="00AF7253">
          <w:rPr>
            <w:rStyle w:val="Hyperlink"/>
            <w:lang w:eastAsia="x-none"/>
          </w:rPr>
          <w:t>R1-2311962</w:t>
        </w:r>
      </w:hyperlink>
      <w:r w:rsidR="00835CB1" w:rsidRPr="009537ED">
        <w:rPr>
          <w:lang w:eastAsia="x-none"/>
        </w:rPr>
        <w:tab/>
        <w:t>On common PUCCH/PUSCH configuration and SUL in DCI 0_0/0_1/0_2</w:t>
      </w:r>
      <w:r w:rsidR="00835CB1" w:rsidRPr="009537ED">
        <w:rPr>
          <w:lang w:eastAsia="x-none"/>
        </w:rPr>
        <w:tab/>
        <w:t>MediaTek Inc.</w:t>
      </w:r>
    </w:p>
    <w:p w14:paraId="03AAD1C6" w14:textId="4A35E334" w:rsidR="00835CB1" w:rsidRPr="009537ED" w:rsidRDefault="005A18DC" w:rsidP="00835CB1">
      <w:pPr>
        <w:rPr>
          <w:lang w:eastAsia="x-none"/>
        </w:rPr>
      </w:pPr>
      <w:hyperlink r:id="rId355" w:history="1">
        <w:r w:rsidR="00AF7253">
          <w:rPr>
            <w:rStyle w:val="Hyperlink"/>
            <w:lang w:eastAsia="x-none"/>
          </w:rPr>
          <w:t>R1-2311963</w:t>
        </w:r>
      </w:hyperlink>
      <w:r w:rsidR="00835CB1" w:rsidRPr="009537ED">
        <w:rPr>
          <w:lang w:eastAsia="x-none"/>
        </w:rPr>
        <w:tab/>
        <w:t>[R16] Draft 38.212 CR on common PUCCH/PUSCH configuration and SUL in DCI 0_0/0_1/0_2</w:t>
      </w:r>
      <w:r w:rsidR="00835CB1" w:rsidRPr="009537ED">
        <w:rPr>
          <w:lang w:eastAsia="x-none"/>
        </w:rPr>
        <w:tab/>
        <w:t>MediaTek Inc.</w:t>
      </w:r>
    </w:p>
    <w:p w14:paraId="4B3E5A7E" w14:textId="161795C1" w:rsidR="00835CB1" w:rsidRPr="009537ED" w:rsidRDefault="005A18DC" w:rsidP="00835CB1">
      <w:pPr>
        <w:rPr>
          <w:lang w:eastAsia="x-none"/>
        </w:rPr>
      </w:pPr>
      <w:hyperlink r:id="rId356" w:history="1">
        <w:r w:rsidR="00AF7253">
          <w:rPr>
            <w:rStyle w:val="Hyperlink"/>
            <w:lang w:eastAsia="x-none"/>
          </w:rPr>
          <w:t>R1-2311964</w:t>
        </w:r>
      </w:hyperlink>
      <w:r w:rsidR="00835CB1" w:rsidRPr="009537ED">
        <w:rPr>
          <w:lang w:eastAsia="x-none"/>
        </w:rPr>
        <w:tab/>
        <w:t>[R17] Draft 38.212 CR on common PUCCH/PUSCH configuration and SUL in DCI 0_0/0_1/0_2</w:t>
      </w:r>
      <w:r w:rsidR="00835CB1" w:rsidRPr="009537ED">
        <w:rPr>
          <w:lang w:eastAsia="x-none"/>
        </w:rPr>
        <w:tab/>
        <w:t>MediaTek Inc.</w:t>
      </w:r>
    </w:p>
    <w:p w14:paraId="32226B24" w14:textId="56FEFAB9" w:rsidR="00835CB1" w:rsidRPr="009537ED" w:rsidRDefault="005A18DC" w:rsidP="00835CB1">
      <w:pPr>
        <w:rPr>
          <w:lang w:eastAsia="x-none"/>
        </w:rPr>
      </w:pPr>
      <w:hyperlink r:id="rId357" w:history="1">
        <w:r w:rsidR="00AF7253">
          <w:rPr>
            <w:rStyle w:val="Hyperlink"/>
            <w:lang w:eastAsia="x-none"/>
          </w:rPr>
          <w:t>R1-2311965</w:t>
        </w:r>
      </w:hyperlink>
      <w:r w:rsidR="00835CB1" w:rsidRPr="009537ED">
        <w:rPr>
          <w:lang w:eastAsia="x-none"/>
        </w:rPr>
        <w:tab/>
        <w:t>[R18] Draft 38.212 CR on common PUCCH/PUSCH configuration and SUL in DCI 0_0/0_1/0_2</w:t>
      </w:r>
      <w:r w:rsidR="00835CB1" w:rsidRPr="009537ED">
        <w:rPr>
          <w:lang w:eastAsia="x-none"/>
        </w:rPr>
        <w:tab/>
        <w:t>MediaTek Inc.</w:t>
      </w:r>
    </w:p>
    <w:p w14:paraId="6D7515F9" w14:textId="31E94237" w:rsidR="00835CB1" w:rsidRPr="009537ED" w:rsidRDefault="005A18DC" w:rsidP="00835CB1">
      <w:pPr>
        <w:rPr>
          <w:lang w:eastAsia="x-none"/>
        </w:rPr>
      </w:pPr>
      <w:hyperlink r:id="rId358" w:history="1">
        <w:r w:rsidR="00AF7253">
          <w:rPr>
            <w:rStyle w:val="Hyperlink"/>
            <w:lang w:eastAsia="x-none"/>
          </w:rPr>
          <w:t>R1-2312016</w:t>
        </w:r>
      </w:hyperlink>
      <w:r w:rsidR="00835CB1" w:rsidRPr="009537ED">
        <w:rPr>
          <w:lang w:eastAsia="x-none"/>
        </w:rPr>
        <w:tab/>
        <w:t>Clarify CSI feedback with SUL</w:t>
      </w:r>
      <w:r w:rsidR="00835CB1" w:rsidRPr="009537ED">
        <w:rPr>
          <w:lang w:eastAsia="x-none"/>
        </w:rPr>
        <w:tab/>
        <w:t>Qualcomm Incorporated</w:t>
      </w:r>
    </w:p>
    <w:p w14:paraId="3FD8DFC0" w14:textId="76E3670C" w:rsidR="00835CB1" w:rsidRPr="009537ED" w:rsidRDefault="005A18DC" w:rsidP="00835CB1">
      <w:pPr>
        <w:rPr>
          <w:lang w:eastAsia="x-none"/>
        </w:rPr>
      </w:pPr>
      <w:hyperlink r:id="rId359" w:history="1">
        <w:r w:rsidR="00AF7253">
          <w:rPr>
            <w:rStyle w:val="Hyperlink"/>
            <w:lang w:eastAsia="x-none"/>
          </w:rPr>
          <w:t>R1-2312017</w:t>
        </w:r>
      </w:hyperlink>
      <w:r w:rsidR="00835CB1" w:rsidRPr="009537ED">
        <w:rPr>
          <w:lang w:eastAsia="x-none"/>
        </w:rPr>
        <w:tab/>
        <w:t>Clarification on presence of SUL bit in DCI</w:t>
      </w:r>
      <w:r w:rsidR="00835CB1" w:rsidRPr="009537ED">
        <w:rPr>
          <w:lang w:eastAsia="x-none"/>
        </w:rPr>
        <w:tab/>
        <w:t>Qualcomm Incorporated</w:t>
      </w:r>
    </w:p>
    <w:p w14:paraId="7E0CB0F9" w14:textId="76C66D3A" w:rsidR="00835CB1" w:rsidRPr="009537ED" w:rsidRDefault="005A18DC" w:rsidP="00835CB1">
      <w:pPr>
        <w:rPr>
          <w:lang w:eastAsia="x-none"/>
        </w:rPr>
      </w:pPr>
      <w:hyperlink r:id="rId360" w:history="1">
        <w:r w:rsidR="00AF7253">
          <w:rPr>
            <w:rStyle w:val="Hyperlink"/>
            <w:lang w:eastAsia="x-none"/>
          </w:rPr>
          <w:t>R1-2312170</w:t>
        </w:r>
      </w:hyperlink>
      <w:r w:rsidR="00835CB1" w:rsidRPr="009537ED">
        <w:rPr>
          <w:lang w:eastAsia="x-none"/>
        </w:rPr>
        <w:tab/>
        <w:t>Continuation on RAN1#114bis discussion on CSI feedback with SUL</w:t>
      </w:r>
      <w:r w:rsidR="00835CB1" w:rsidRPr="009537ED">
        <w:rPr>
          <w:lang w:eastAsia="x-none"/>
        </w:rPr>
        <w:tab/>
        <w:t>Nokia, Nokia Shanghai Bell</w:t>
      </w:r>
    </w:p>
    <w:p w14:paraId="47EE33B2" w14:textId="38024431" w:rsidR="00835CB1" w:rsidRPr="0028014B" w:rsidRDefault="006B7AD9" w:rsidP="00835CB1">
      <w:pPr>
        <w:rPr>
          <w:lang w:eastAsia="x-none"/>
        </w:rPr>
      </w:pPr>
      <w:r w:rsidRPr="0028014B">
        <w:rPr>
          <w:b/>
          <w:bCs/>
          <w:lang w:eastAsia="x-none"/>
        </w:rPr>
        <w:t xml:space="preserve">Monday session: </w:t>
      </w:r>
      <w:r w:rsidR="00835CB1" w:rsidRPr="0028014B">
        <w:rPr>
          <w:lang w:eastAsia="x-none"/>
        </w:rPr>
        <w:t>To be moderated by Yi (Qualcomm). Check status on Thursday.</w:t>
      </w:r>
    </w:p>
    <w:p w14:paraId="3BF83150" w14:textId="1A89CE81" w:rsidR="0028014B" w:rsidRPr="0028014B" w:rsidRDefault="005A18DC" w:rsidP="0028014B">
      <w:pPr>
        <w:rPr>
          <w:b/>
          <w:bCs/>
          <w:lang w:eastAsia="x-none"/>
        </w:rPr>
      </w:pPr>
      <w:hyperlink r:id="rId361" w:history="1">
        <w:r w:rsidR="00AF7253">
          <w:rPr>
            <w:rStyle w:val="Hyperlink"/>
            <w:b/>
            <w:bCs/>
            <w:lang w:eastAsia="x-none"/>
          </w:rPr>
          <w:t>R1-2312592</w:t>
        </w:r>
      </w:hyperlink>
      <w:r w:rsidR="0028014B" w:rsidRPr="0028014B">
        <w:rPr>
          <w:b/>
          <w:bCs/>
          <w:lang w:eastAsia="x-none"/>
        </w:rPr>
        <w:tab/>
        <w:t>FL summary on Clarification on SUL</w:t>
      </w:r>
      <w:r w:rsidR="0028014B" w:rsidRPr="0028014B">
        <w:rPr>
          <w:b/>
          <w:bCs/>
          <w:lang w:eastAsia="x-none"/>
        </w:rPr>
        <w:tab/>
        <w:t>Moderator (Qualcomm)</w:t>
      </w:r>
    </w:p>
    <w:p w14:paraId="4873563E" w14:textId="23818738" w:rsidR="007A5682" w:rsidRDefault="007A5682" w:rsidP="007A5682">
      <w:pPr>
        <w:rPr>
          <w:lang w:eastAsia="x-none"/>
        </w:rPr>
      </w:pPr>
      <w:r>
        <w:rPr>
          <w:lang w:eastAsia="x-none"/>
        </w:rPr>
        <w:t>No consensus. Dicsussion may continue in the next meeting.</w:t>
      </w:r>
    </w:p>
    <w:p w14:paraId="18421B98" w14:textId="77777777" w:rsidR="00835CB1" w:rsidRPr="009537ED" w:rsidRDefault="00835CB1" w:rsidP="00835CB1">
      <w:pPr>
        <w:rPr>
          <w:lang w:eastAsia="x-none"/>
        </w:rPr>
      </w:pPr>
    </w:p>
    <w:p w14:paraId="3091DB27" w14:textId="77777777" w:rsidR="001E74B6" w:rsidRPr="009537ED" w:rsidRDefault="001E74B6" w:rsidP="001E74B6">
      <w:pPr>
        <w:rPr>
          <w:lang w:eastAsia="x-none"/>
        </w:rPr>
      </w:pPr>
      <w:r w:rsidRPr="009537ED">
        <w:rPr>
          <w:lang w:eastAsia="x-none"/>
        </w:rPr>
        <w:t>-----------------------</w:t>
      </w:r>
    </w:p>
    <w:p w14:paraId="3B294739" w14:textId="77777777" w:rsidR="00835CB1" w:rsidRPr="009537ED" w:rsidRDefault="00835CB1" w:rsidP="00835CB1">
      <w:pPr>
        <w:rPr>
          <w:b/>
          <w:lang w:eastAsia="x-none"/>
        </w:rPr>
      </w:pPr>
      <w:r w:rsidRPr="009537ED">
        <w:rPr>
          <w:b/>
          <w:lang w:eastAsia="x-none"/>
        </w:rPr>
        <w:t>Follow up discussion on PUSCH selection rule for UCI multiplexing from RAN1#114</w:t>
      </w:r>
    </w:p>
    <w:p w14:paraId="399E279B" w14:textId="336CB9FD" w:rsidR="00835CB1" w:rsidRPr="009537ED" w:rsidRDefault="005A18DC" w:rsidP="00835CB1">
      <w:pPr>
        <w:rPr>
          <w:lang w:eastAsia="x-none"/>
        </w:rPr>
      </w:pPr>
      <w:hyperlink r:id="rId362" w:history="1">
        <w:r w:rsidR="00AF7253">
          <w:rPr>
            <w:rStyle w:val="Hyperlink"/>
            <w:lang w:eastAsia="x-none"/>
          </w:rPr>
          <w:t>R1-2311075</w:t>
        </w:r>
      </w:hyperlink>
      <w:r w:rsidR="00835CB1" w:rsidRPr="009537ED">
        <w:rPr>
          <w:lang w:eastAsia="x-none"/>
        </w:rPr>
        <w:tab/>
        <w:t>Draft CR on PUSCH selection rule for UCI multiplexing</w:t>
      </w:r>
      <w:r w:rsidR="00835CB1" w:rsidRPr="009537ED">
        <w:rPr>
          <w:lang w:eastAsia="x-none"/>
        </w:rPr>
        <w:tab/>
        <w:t>vivo</w:t>
      </w:r>
    </w:p>
    <w:p w14:paraId="03622D3E" w14:textId="7A963024" w:rsidR="00835CB1" w:rsidRPr="009537ED" w:rsidRDefault="005A18DC" w:rsidP="00835CB1">
      <w:pPr>
        <w:rPr>
          <w:lang w:eastAsia="x-none"/>
        </w:rPr>
      </w:pPr>
      <w:hyperlink r:id="rId363" w:history="1">
        <w:r w:rsidR="00AF7253">
          <w:rPr>
            <w:rStyle w:val="Hyperlink"/>
            <w:lang w:eastAsia="x-none"/>
          </w:rPr>
          <w:t>R1-2311076</w:t>
        </w:r>
      </w:hyperlink>
      <w:r w:rsidR="00835CB1" w:rsidRPr="009537ED">
        <w:rPr>
          <w:lang w:eastAsia="x-none"/>
        </w:rPr>
        <w:tab/>
        <w:t>Discussion on PUSCH selection rule for UCI multiplexing</w:t>
      </w:r>
      <w:r w:rsidR="00835CB1" w:rsidRPr="009537ED">
        <w:rPr>
          <w:lang w:eastAsia="x-none"/>
        </w:rPr>
        <w:tab/>
        <w:t>vivo</w:t>
      </w:r>
    </w:p>
    <w:p w14:paraId="686E6562" w14:textId="022E6C0F" w:rsidR="00835CB1" w:rsidRPr="009537ED" w:rsidRDefault="005A18DC" w:rsidP="00835CB1">
      <w:pPr>
        <w:rPr>
          <w:lang w:eastAsia="x-none"/>
        </w:rPr>
      </w:pPr>
      <w:hyperlink r:id="rId364" w:history="1">
        <w:r w:rsidR="00AF7253">
          <w:rPr>
            <w:rStyle w:val="Hyperlink"/>
            <w:lang w:eastAsia="x-none"/>
          </w:rPr>
          <w:t>R1-2312020</w:t>
        </w:r>
      </w:hyperlink>
      <w:r w:rsidR="00835CB1" w:rsidRPr="009537ED">
        <w:rPr>
          <w:lang w:eastAsia="x-none"/>
        </w:rPr>
        <w:tab/>
        <w:t>Discussion on PUSCH selection rule for UCI multiplexing</w:t>
      </w:r>
      <w:r w:rsidR="00835CB1" w:rsidRPr="009537ED">
        <w:rPr>
          <w:lang w:eastAsia="x-none"/>
        </w:rPr>
        <w:tab/>
        <w:t>Qualcomm Incorporated</w:t>
      </w:r>
    </w:p>
    <w:p w14:paraId="6E3453D7" w14:textId="5FBDDA7D" w:rsidR="00835CB1" w:rsidRPr="009537ED" w:rsidRDefault="005A18DC" w:rsidP="00835CB1">
      <w:pPr>
        <w:rPr>
          <w:lang w:eastAsia="x-none"/>
        </w:rPr>
      </w:pPr>
      <w:hyperlink r:id="rId365" w:history="1">
        <w:r w:rsidR="00AF7253">
          <w:rPr>
            <w:rStyle w:val="Hyperlink"/>
            <w:lang w:eastAsia="x-none"/>
          </w:rPr>
          <w:t>R1-2312202</w:t>
        </w:r>
      </w:hyperlink>
      <w:r w:rsidR="00835CB1" w:rsidRPr="009537ED">
        <w:rPr>
          <w:lang w:eastAsia="x-none"/>
        </w:rPr>
        <w:tab/>
        <w:t>On PUSCH selection rule for UCI multiplexing</w:t>
      </w:r>
      <w:r w:rsidR="00835CB1" w:rsidRPr="009537ED">
        <w:rPr>
          <w:lang w:eastAsia="x-none"/>
        </w:rPr>
        <w:tab/>
        <w:t>Nokia, Nokia Shanghai Bell</w:t>
      </w:r>
    </w:p>
    <w:p w14:paraId="688146E1" w14:textId="366BBB22" w:rsidR="00835CB1" w:rsidRPr="009537ED" w:rsidRDefault="005A18DC" w:rsidP="00835CB1">
      <w:pPr>
        <w:rPr>
          <w:lang w:eastAsia="x-none"/>
        </w:rPr>
      </w:pPr>
      <w:hyperlink r:id="rId366" w:history="1">
        <w:r w:rsidR="00AF7253">
          <w:rPr>
            <w:rStyle w:val="Hyperlink"/>
            <w:lang w:eastAsia="x-none"/>
          </w:rPr>
          <w:t>R1-2312225</w:t>
        </w:r>
      </w:hyperlink>
      <w:r w:rsidR="00835CB1" w:rsidRPr="009537ED">
        <w:rPr>
          <w:lang w:eastAsia="x-none"/>
        </w:rPr>
        <w:tab/>
        <w:t>Discussion on PUSCH selection rule for UCI multiplexing</w:t>
      </w:r>
      <w:r w:rsidR="00835CB1" w:rsidRPr="009537ED">
        <w:rPr>
          <w:lang w:eastAsia="x-none"/>
        </w:rPr>
        <w:tab/>
        <w:t>Huawei, HiSilicon</w:t>
      </w:r>
    </w:p>
    <w:p w14:paraId="4289159B" w14:textId="0AD7AEC0" w:rsidR="00835CB1" w:rsidRPr="009537ED" w:rsidRDefault="005A18DC" w:rsidP="00835CB1">
      <w:pPr>
        <w:rPr>
          <w:lang w:eastAsia="x-none"/>
        </w:rPr>
      </w:pPr>
      <w:hyperlink r:id="rId367" w:history="1">
        <w:r w:rsidR="00AF7253">
          <w:rPr>
            <w:rStyle w:val="Hyperlink"/>
            <w:lang w:eastAsia="x-none"/>
          </w:rPr>
          <w:t>R1-2312242</w:t>
        </w:r>
      </w:hyperlink>
      <w:r w:rsidR="00835CB1" w:rsidRPr="009537ED">
        <w:rPr>
          <w:lang w:eastAsia="x-none"/>
        </w:rPr>
        <w:tab/>
        <w:t>Discussion on PUSCH selection rule for UCI multiplexing</w:t>
      </w:r>
      <w:r w:rsidR="00835CB1" w:rsidRPr="009537ED">
        <w:rPr>
          <w:lang w:eastAsia="x-none"/>
        </w:rPr>
        <w:tab/>
        <w:t>Ericsson</w:t>
      </w:r>
    </w:p>
    <w:p w14:paraId="200EBC6B" w14:textId="3BAD8469" w:rsidR="00835CB1" w:rsidRPr="0028014B" w:rsidRDefault="006B7AD9" w:rsidP="00835CB1">
      <w:pPr>
        <w:rPr>
          <w:lang w:eastAsia="x-none"/>
        </w:rPr>
      </w:pPr>
      <w:r w:rsidRPr="0028014B">
        <w:rPr>
          <w:b/>
          <w:bCs/>
          <w:lang w:eastAsia="x-none"/>
        </w:rPr>
        <w:t xml:space="preserve">Monday session: </w:t>
      </w:r>
      <w:r w:rsidR="00835CB1" w:rsidRPr="0028014B">
        <w:rPr>
          <w:lang w:eastAsia="x-none"/>
        </w:rPr>
        <w:t>To be moderated by Li Na (vivo). Check status on Thursday.</w:t>
      </w:r>
    </w:p>
    <w:p w14:paraId="4F7B56B5" w14:textId="424FF8D9" w:rsidR="0028014B" w:rsidRPr="0028014B" w:rsidRDefault="005A18DC" w:rsidP="0028014B">
      <w:pPr>
        <w:rPr>
          <w:b/>
          <w:bCs/>
          <w:lang w:eastAsia="x-none"/>
        </w:rPr>
      </w:pPr>
      <w:hyperlink r:id="rId368" w:history="1">
        <w:r w:rsidR="00AF7253">
          <w:rPr>
            <w:rStyle w:val="Hyperlink"/>
            <w:b/>
            <w:bCs/>
            <w:lang w:eastAsia="x-none"/>
          </w:rPr>
          <w:t>R1-2312352</w:t>
        </w:r>
      </w:hyperlink>
      <w:r w:rsidR="0028014B" w:rsidRPr="0028014B">
        <w:rPr>
          <w:b/>
          <w:bCs/>
          <w:lang w:eastAsia="x-none"/>
        </w:rPr>
        <w:tab/>
        <w:t>Summary of discussion on PUSCH selection rule for UCI multiplexing</w:t>
      </w:r>
      <w:r w:rsidR="0028014B" w:rsidRPr="0028014B">
        <w:rPr>
          <w:b/>
          <w:bCs/>
          <w:lang w:eastAsia="x-none"/>
        </w:rPr>
        <w:tab/>
        <w:t>Moderator (vivo)</w:t>
      </w:r>
    </w:p>
    <w:p w14:paraId="07E5348A" w14:textId="77777777" w:rsidR="0028014B" w:rsidRPr="0028014B" w:rsidRDefault="0028014B" w:rsidP="0028014B">
      <w:pPr>
        <w:adjustRightInd w:val="0"/>
        <w:snapToGrid w:val="0"/>
        <w:rPr>
          <w:rFonts w:ascii="Times New Roman" w:hAnsi="Times New Roman"/>
          <w:bCs/>
          <w:szCs w:val="20"/>
          <w:u w:val="single"/>
        </w:rPr>
      </w:pPr>
      <w:r w:rsidRPr="0028014B">
        <w:rPr>
          <w:rFonts w:ascii="Times New Roman" w:hAnsi="Times New Roman"/>
          <w:bCs/>
          <w:szCs w:val="20"/>
          <w:u w:val="single"/>
        </w:rPr>
        <w:t>Conclusion</w:t>
      </w:r>
    </w:p>
    <w:p w14:paraId="7F1D59C3" w14:textId="77777777" w:rsidR="0028014B" w:rsidRPr="0028014B" w:rsidRDefault="0028014B" w:rsidP="004825B2">
      <w:pPr>
        <w:pStyle w:val="ListParagraph"/>
        <w:numPr>
          <w:ilvl w:val="0"/>
          <w:numId w:val="247"/>
        </w:numPr>
      </w:pPr>
      <w:r w:rsidRPr="0028014B">
        <w:t>The selected PUSCH for UCI multiplexing can be different in some cases based on the procedures in the current specifications as compared to the Conclusion in RAN1#97.</w:t>
      </w:r>
    </w:p>
    <w:p w14:paraId="2409808F" w14:textId="77777777" w:rsidR="0028014B" w:rsidRPr="0028014B" w:rsidRDefault="0028014B" w:rsidP="004825B2">
      <w:pPr>
        <w:pStyle w:val="ListParagraph"/>
        <w:numPr>
          <w:ilvl w:val="0"/>
          <w:numId w:val="247"/>
        </w:numPr>
      </w:pPr>
      <w:r w:rsidRPr="0028014B">
        <w:t>There are implementations according to the current specifications as well as the Conclusion in RAN1#97.</w:t>
      </w:r>
    </w:p>
    <w:p w14:paraId="1B95A506" w14:textId="77777777" w:rsidR="0028014B" w:rsidRPr="0028014B" w:rsidRDefault="0028014B" w:rsidP="004825B2">
      <w:pPr>
        <w:pStyle w:val="ListParagraph"/>
        <w:numPr>
          <w:ilvl w:val="0"/>
          <w:numId w:val="247"/>
        </w:numPr>
      </w:pPr>
      <w:r w:rsidRPr="0028014B">
        <w:t>It is recommended that any new implementation since Rel-17 to follow the procedures in the specifications.</w:t>
      </w:r>
    </w:p>
    <w:p w14:paraId="56E89E10" w14:textId="77777777" w:rsidR="0028014B" w:rsidRPr="0028014B" w:rsidRDefault="0028014B" w:rsidP="004825B2">
      <w:pPr>
        <w:pStyle w:val="ListParagraph"/>
        <w:numPr>
          <w:ilvl w:val="1"/>
          <w:numId w:val="247"/>
        </w:numPr>
      </w:pPr>
      <w:r w:rsidRPr="0028014B">
        <w:t>Note: this does not imply that the same principle can automatically be applied to any previous conclusions.</w:t>
      </w:r>
    </w:p>
    <w:p w14:paraId="705F17EE" w14:textId="77777777" w:rsidR="00835CB1" w:rsidRPr="009537ED" w:rsidRDefault="00835CB1" w:rsidP="00835CB1">
      <w:pPr>
        <w:rPr>
          <w:lang w:eastAsia="x-none"/>
        </w:rPr>
      </w:pPr>
    </w:p>
    <w:p w14:paraId="669131B8" w14:textId="77777777" w:rsidR="001E74B6" w:rsidRPr="009537ED" w:rsidRDefault="001E74B6" w:rsidP="001E74B6">
      <w:pPr>
        <w:rPr>
          <w:lang w:eastAsia="x-none"/>
        </w:rPr>
      </w:pPr>
      <w:r w:rsidRPr="009537ED">
        <w:rPr>
          <w:lang w:eastAsia="x-none"/>
        </w:rPr>
        <w:t>-----------------------</w:t>
      </w:r>
    </w:p>
    <w:p w14:paraId="0B25F51C" w14:textId="77777777" w:rsidR="00835CB1" w:rsidRPr="009537ED" w:rsidRDefault="00835CB1" w:rsidP="00835CB1">
      <w:pPr>
        <w:rPr>
          <w:b/>
          <w:lang w:eastAsia="x-none"/>
        </w:rPr>
      </w:pPr>
      <w:r w:rsidRPr="009537ED">
        <w:rPr>
          <w:b/>
          <w:lang w:eastAsia="x-none"/>
        </w:rPr>
        <w:t xml:space="preserve">Follow up discussion on UE behaviour when </w:t>
      </w:r>
      <w:r w:rsidRPr="009537ED">
        <w:rPr>
          <w:b/>
          <w:i/>
          <w:lang w:eastAsia="zh-CN"/>
        </w:rPr>
        <w:t>multi-CSI-PUCCH-ResourceList</w:t>
      </w:r>
      <w:r w:rsidRPr="009537ED">
        <w:rPr>
          <w:b/>
          <w:lang w:eastAsia="zh-CN"/>
        </w:rPr>
        <w:t xml:space="preserve"> is not provided from RAN1#114</w:t>
      </w:r>
    </w:p>
    <w:p w14:paraId="4A38D929" w14:textId="36A228E9" w:rsidR="00835CB1" w:rsidRPr="009537ED" w:rsidRDefault="005A18DC" w:rsidP="00835CB1">
      <w:pPr>
        <w:rPr>
          <w:lang w:eastAsia="x-none"/>
        </w:rPr>
      </w:pPr>
      <w:hyperlink r:id="rId369" w:history="1">
        <w:r w:rsidR="00AF7253">
          <w:rPr>
            <w:rStyle w:val="Hyperlink"/>
            <w:lang w:eastAsia="x-none"/>
          </w:rPr>
          <w:t>R1-2311012</w:t>
        </w:r>
      </w:hyperlink>
      <w:r w:rsidR="00835CB1" w:rsidRPr="009537ED">
        <w:rPr>
          <w:lang w:eastAsia="x-none"/>
        </w:rPr>
        <w:tab/>
        <w:t>Discussion on CSI multiplexing behavior when multi-CSI-PUCCH-ResourceList is not provided</w:t>
      </w:r>
      <w:r w:rsidR="00835CB1" w:rsidRPr="009537ED">
        <w:rPr>
          <w:lang w:eastAsia="x-none"/>
        </w:rPr>
        <w:tab/>
        <w:t>ZTE</w:t>
      </w:r>
    </w:p>
    <w:p w14:paraId="01EFD742" w14:textId="758B8113" w:rsidR="00835CB1" w:rsidRPr="009537ED" w:rsidRDefault="005A18DC" w:rsidP="00835CB1">
      <w:pPr>
        <w:rPr>
          <w:lang w:eastAsia="x-none"/>
        </w:rPr>
      </w:pPr>
      <w:hyperlink r:id="rId370" w:history="1">
        <w:r w:rsidR="00AF7253">
          <w:rPr>
            <w:rStyle w:val="Hyperlink"/>
            <w:lang w:eastAsia="x-none"/>
          </w:rPr>
          <w:t>R1-2312117</w:t>
        </w:r>
      </w:hyperlink>
      <w:r w:rsidR="00835CB1" w:rsidRPr="009537ED">
        <w:rPr>
          <w:lang w:eastAsia="x-none"/>
        </w:rPr>
        <w:tab/>
        <w:t>On CSI multiplexing in absence of multi-CSI-PUCCH-ResourceList</w:t>
      </w:r>
      <w:r w:rsidR="00835CB1" w:rsidRPr="009537ED">
        <w:rPr>
          <w:lang w:eastAsia="x-none"/>
        </w:rPr>
        <w:tab/>
        <w:t>Nokia, Nokia Shanghai Bell</w:t>
      </w:r>
    </w:p>
    <w:p w14:paraId="6921BEE3" w14:textId="06082A16" w:rsidR="00835CB1" w:rsidRPr="009537ED" w:rsidRDefault="005A18DC" w:rsidP="00835CB1">
      <w:pPr>
        <w:rPr>
          <w:lang w:eastAsia="x-none"/>
        </w:rPr>
      </w:pPr>
      <w:hyperlink r:id="rId371" w:history="1">
        <w:r w:rsidR="00AF7253">
          <w:rPr>
            <w:rStyle w:val="Hyperlink"/>
            <w:lang w:eastAsia="x-none"/>
          </w:rPr>
          <w:t>R1-2312118</w:t>
        </w:r>
      </w:hyperlink>
      <w:r w:rsidR="00835CB1" w:rsidRPr="009537ED">
        <w:rPr>
          <w:lang w:eastAsia="x-none"/>
        </w:rPr>
        <w:tab/>
        <w:t>Clarification to multi-CSI-PUCCH-ResourceList</w:t>
      </w:r>
      <w:r w:rsidR="00835CB1" w:rsidRPr="009537ED">
        <w:rPr>
          <w:lang w:eastAsia="x-none"/>
        </w:rPr>
        <w:tab/>
        <w:t>Nokia, Nokia Shanghai Bell, Qualcomm Inc.</w:t>
      </w:r>
    </w:p>
    <w:p w14:paraId="4EA50859" w14:textId="1ECC13DE" w:rsidR="00835CB1" w:rsidRPr="00EE5A73" w:rsidRDefault="006B7AD9" w:rsidP="00835CB1">
      <w:pPr>
        <w:rPr>
          <w:lang w:eastAsia="x-none"/>
        </w:rPr>
      </w:pPr>
      <w:r w:rsidRPr="00EE5A73">
        <w:rPr>
          <w:b/>
          <w:bCs/>
          <w:lang w:eastAsia="x-none"/>
        </w:rPr>
        <w:t xml:space="preserve">Monday session: </w:t>
      </w:r>
      <w:r w:rsidR="00835CB1" w:rsidRPr="00EE5A73">
        <w:rPr>
          <w:lang w:eastAsia="x-none"/>
        </w:rPr>
        <w:t>To be moderated by Karri (Nokia). Check status on Thursday.</w:t>
      </w:r>
    </w:p>
    <w:p w14:paraId="2C3E0ECE" w14:textId="411BB97C" w:rsidR="00835CB1" w:rsidRPr="00EE5A73" w:rsidRDefault="005A18DC" w:rsidP="00835CB1">
      <w:pPr>
        <w:rPr>
          <w:b/>
          <w:bCs/>
          <w:lang w:eastAsia="x-none"/>
        </w:rPr>
      </w:pPr>
      <w:hyperlink r:id="rId372" w:history="1">
        <w:r w:rsidR="00AF7253">
          <w:rPr>
            <w:rStyle w:val="Hyperlink"/>
            <w:b/>
            <w:bCs/>
            <w:lang w:eastAsia="x-none"/>
          </w:rPr>
          <w:t>R1-2312464</w:t>
        </w:r>
      </w:hyperlink>
      <w:r w:rsidR="00EE5A73" w:rsidRPr="00EE5A73">
        <w:rPr>
          <w:b/>
          <w:bCs/>
          <w:lang w:eastAsia="x-none"/>
        </w:rPr>
        <w:tab/>
        <w:t>[115-R15/16-NR] Summary on Clarification to multi-CSI-PUCCH-ResourceList</w:t>
      </w:r>
      <w:r w:rsidR="00EE5A73" w:rsidRPr="00EE5A73">
        <w:rPr>
          <w:b/>
          <w:bCs/>
          <w:lang w:eastAsia="x-none"/>
        </w:rPr>
        <w:tab/>
        <w:t>Moderator (Nokia)</w:t>
      </w:r>
    </w:p>
    <w:p w14:paraId="05381E50" w14:textId="77777777" w:rsidR="00EE5A73" w:rsidRDefault="00EE5A73" w:rsidP="00EE5A73">
      <w:pPr>
        <w:rPr>
          <w:lang w:eastAsia="x-none"/>
        </w:rPr>
      </w:pPr>
      <w:r>
        <w:rPr>
          <w:lang w:eastAsia="x-none"/>
        </w:rPr>
        <w:t>No consensus. Dicsussion may continue in the next meeting.</w:t>
      </w:r>
    </w:p>
    <w:p w14:paraId="7737255D" w14:textId="77777777" w:rsidR="00EE5A73" w:rsidRPr="009537ED" w:rsidRDefault="00EE5A73" w:rsidP="00835CB1">
      <w:pPr>
        <w:rPr>
          <w:lang w:eastAsia="x-none"/>
        </w:rPr>
      </w:pPr>
    </w:p>
    <w:p w14:paraId="6B2D55C7" w14:textId="77777777" w:rsidR="001E74B6" w:rsidRPr="009537ED" w:rsidRDefault="001E74B6" w:rsidP="001E74B6">
      <w:pPr>
        <w:rPr>
          <w:lang w:eastAsia="x-none"/>
        </w:rPr>
      </w:pPr>
      <w:r w:rsidRPr="009537ED">
        <w:rPr>
          <w:lang w:eastAsia="x-none"/>
        </w:rPr>
        <w:t>-----------------------</w:t>
      </w:r>
    </w:p>
    <w:p w14:paraId="63CAD1D2" w14:textId="77777777" w:rsidR="00835CB1" w:rsidRPr="009537ED" w:rsidRDefault="00835CB1" w:rsidP="00835CB1">
      <w:pPr>
        <w:rPr>
          <w:b/>
          <w:lang w:eastAsia="x-none"/>
        </w:rPr>
      </w:pPr>
      <w:r w:rsidRPr="009537ED">
        <w:rPr>
          <w:b/>
          <w:lang w:eastAsia="x-none"/>
        </w:rPr>
        <w:t>Follow up discussion on SCell Type 1 virtual PHR reporting in UL CA from RAN1#114bis</w:t>
      </w:r>
    </w:p>
    <w:p w14:paraId="76E04F16" w14:textId="6FDD5DE3" w:rsidR="00835CB1" w:rsidRPr="009537ED" w:rsidRDefault="005A18DC" w:rsidP="00835CB1">
      <w:pPr>
        <w:rPr>
          <w:lang w:eastAsia="x-none"/>
        </w:rPr>
      </w:pPr>
      <w:hyperlink r:id="rId373" w:history="1">
        <w:r w:rsidR="00AF7253">
          <w:rPr>
            <w:rStyle w:val="Hyperlink"/>
            <w:lang w:eastAsia="x-none"/>
          </w:rPr>
          <w:t>R1-2310962</w:t>
        </w:r>
      </w:hyperlink>
      <w:r w:rsidR="00835CB1" w:rsidRPr="009537ED">
        <w:rPr>
          <w:lang w:eastAsia="x-none"/>
        </w:rPr>
        <w:tab/>
        <w:t>Discussion on SCell Type 1 virtual PHR reporting in UL CA</w:t>
      </w:r>
      <w:r w:rsidR="00835CB1" w:rsidRPr="009537ED">
        <w:rPr>
          <w:lang w:eastAsia="x-none"/>
        </w:rPr>
        <w:tab/>
        <w:t>ZTE</w:t>
      </w:r>
    </w:p>
    <w:p w14:paraId="1646EB1E" w14:textId="36E63F78" w:rsidR="00835CB1" w:rsidRPr="009537ED" w:rsidRDefault="005A18DC" w:rsidP="00835CB1">
      <w:pPr>
        <w:rPr>
          <w:lang w:eastAsia="x-none"/>
        </w:rPr>
      </w:pPr>
      <w:hyperlink r:id="rId374" w:history="1">
        <w:r w:rsidR="00AF7253">
          <w:rPr>
            <w:rStyle w:val="Hyperlink"/>
            <w:lang w:eastAsia="x-none"/>
          </w:rPr>
          <w:t>R1-2311730</w:t>
        </w:r>
      </w:hyperlink>
      <w:r w:rsidR="00835CB1" w:rsidRPr="009537ED">
        <w:rPr>
          <w:lang w:eastAsia="x-none"/>
        </w:rPr>
        <w:tab/>
        <w:t>On SCell Type 1 virtual PHR reporting in UL CA</w:t>
      </w:r>
      <w:r w:rsidR="00835CB1" w:rsidRPr="009537ED">
        <w:rPr>
          <w:lang w:eastAsia="x-none"/>
        </w:rPr>
        <w:tab/>
        <w:t>Nokia, Nokia Shanghai Bell</w:t>
      </w:r>
    </w:p>
    <w:p w14:paraId="39B69592" w14:textId="7025057E" w:rsidR="00835CB1" w:rsidRPr="009537ED" w:rsidRDefault="005A18DC" w:rsidP="00835CB1">
      <w:pPr>
        <w:rPr>
          <w:lang w:eastAsia="x-none"/>
        </w:rPr>
      </w:pPr>
      <w:hyperlink r:id="rId375" w:history="1">
        <w:r w:rsidR="00AF7253">
          <w:rPr>
            <w:rStyle w:val="Hyperlink"/>
            <w:lang w:eastAsia="x-none"/>
          </w:rPr>
          <w:t>R1-2311731</w:t>
        </w:r>
      </w:hyperlink>
      <w:r w:rsidR="00835CB1" w:rsidRPr="009537ED">
        <w:rPr>
          <w:lang w:eastAsia="x-none"/>
        </w:rPr>
        <w:tab/>
        <w:t>Clarification on SCell Type 1 virtual PHR reporting in UL CA</w:t>
      </w:r>
      <w:r w:rsidR="00835CB1" w:rsidRPr="009537ED">
        <w:rPr>
          <w:lang w:eastAsia="x-none"/>
        </w:rPr>
        <w:tab/>
        <w:t>Nokia, Nokia Shanghai Bell</w:t>
      </w:r>
    </w:p>
    <w:p w14:paraId="2C94DA4E" w14:textId="36B70B9E" w:rsidR="00835CB1" w:rsidRPr="009537ED" w:rsidRDefault="005A18DC" w:rsidP="00835CB1">
      <w:pPr>
        <w:rPr>
          <w:lang w:eastAsia="x-none"/>
        </w:rPr>
      </w:pPr>
      <w:hyperlink r:id="rId376" w:history="1">
        <w:r w:rsidR="00AF7253">
          <w:rPr>
            <w:rStyle w:val="Hyperlink"/>
            <w:lang w:eastAsia="x-none"/>
          </w:rPr>
          <w:t>R1-2312233</w:t>
        </w:r>
      </w:hyperlink>
      <w:r w:rsidR="00835CB1" w:rsidRPr="009537ED">
        <w:rPr>
          <w:lang w:eastAsia="x-none"/>
        </w:rPr>
        <w:tab/>
        <w:t>Draft CR on power control parameters for PHR of SCell</w:t>
      </w:r>
      <w:r w:rsidR="00835CB1" w:rsidRPr="009537ED">
        <w:rPr>
          <w:lang w:eastAsia="x-none"/>
        </w:rPr>
        <w:tab/>
        <w:t>Huawei, HiSilicon</w:t>
      </w:r>
    </w:p>
    <w:p w14:paraId="6587BB20" w14:textId="12378EB8" w:rsidR="00835CB1" w:rsidRPr="009537ED" w:rsidRDefault="005A18DC" w:rsidP="00835CB1">
      <w:pPr>
        <w:rPr>
          <w:lang w:eastAsia="x-none"/>
        </w:rPr>
      </w:pPr>
      <w:hyperlink r:id="rId377" w:history="1">
        <w:r w:rsidR="00AF7253">
          <w:rPr>
            <w:rStyle w:val="Hyperlink"/>
            <w:lang w:eastAsia="x-none"/>
          </w:rPr>
          <w:t>R1-2312234</w:t>
        </w:r>
      </w:hyperlink>
      <w:r w:rsidR="00835CB1" w:rsidRPr="009537ED">
        <w:rPr>
          <w:lang w:eastAsia="x-none"/>
        </w:rPr>
        <w:tab/>
        <w:t>Discussion on power control parameters for PHR of SCell</w:t>
      </w:r>
      <w:r w:rsidR="00835CB1" w:rsidRPr="009537ED">
        <w:rPr>
          <w:lang w:eastAsia="x-none"/>
        </w:rPr>
        <w:tab/>
        <w:t>Huawei, HiSilicon</w:t>
      </w:r>
    </w:p>
    <w:p w14:paraId="23229DD5" w14:textId="2DF94CAA" w:rsidR="00835CB1" w:rsidRPr="00EE5A73" w:rsidRDefault="006B7AD9" w:rsidP="00835CB1">
      <w:pPr>
        <w:rPr>
          <w:lang w:eastAsia="x-none"/>
        </w:rPr>
      </w:pPr>
      <w:r w:rsidRPr="00EE5A73">
        <w:rPr>
          <w:b/>
          <w:bCs/>
          <w:lang w:eastAsia="x-none"/>
        </w:rPr>
        <w:t xml:space="preserve">Monday session: </w:t>
      </w:r>
      <w:r w:rsidR="00835CB1" w:rsidRPr="00EE5A73">
        <w:rPr>
          <w:lang w:eastAsia="x-none"/>
        </w:rPr>
        <w:t>To be moderated by Karri (Nokia). Check status on Thursday.</w:t>
      </w:r>
    </w:p>
    <w:p w14:paraId="6BA3AAA4" w14:textId="46AA69D9" w:rsidR="00EE5A73" w:rsidRPr="00EE5A73" w:rsidRDefault="005A18DC" w:rsidP="00EE5A73">
      <w:pPr>
        <w:rPr>
          <w:b/>
          <w:bCs/>
          <w:lang w:eastAsia="x-none"/>
        </w:rPr>
      </w:pPr>
      <w:hyperlink r:id="rId378" w:history="1">
        <w:r w:rsidR="00AF7253">
          <w:rPr>
            <w:rStyle w:val="Hyperlink"/>
            <w:b/>
            <w:bCs/>
            <w:lang w:eastAsia="x-none"/>
          </w:rPr>
          <w:t>R1-2312463</w:t>
        </w:r>
      </w:hyperlink>
      <w:r w:rsidR="00EE5A73" w:rsidRPr="00EE5A73">
        <w:rPr>
          <w:b/>
          <w:bCs/>
          <w:lang w:eastAsia="x-none"/>
        </w:rPr>
        <w:tab/>
        <w:t>[115-R15/16-NR] Summary on SCell Type 1 virtual PHR report derivation</w:t>
      </w:r>
      <w:r w:rsidR="00EE5A73" w:rsidRPr="00EE5A73">
        <w:rPr>
          <w:b/>
          <w:bCs/>
          <w:lang w:eastAsia="x-none"/>
        </w:rPr>
        <w:tab/>
        <w:t>Moderator (Nokia)</w:t>
      </w:r>
    </w:p>
    <w:p w14:paraId="381EBCFE" w14:textId="77777777" w:rsidR="00EE5A73" w:rsidRPr="00EE5A73" w:rsidRDefault="00EE5A73" w:rsidP="00EE5A73">
      <w:pPr>
        <w:jc w:val="both"/>
        <w:rPr>
          <w:b/>
          <w:bCs/>
          <w:lang w:eastAsia="x-none"/>
        </w:rPr>
      </w:pPr>
      <w:r w:rsidRPr="00EE5A73">
        <w:rPr>
          <w:b/>
          <w:bCs/>
          <w:lang w:eastAsia="x-none"/>
        </w:rPr>
        <w:t>Companies to check the following for final decision in RAN1#116:</w:t>
      </w:r>
    </w:p>
    <w:p w14:paraId="0E452DA6" w14:textId="77777777" w:rsidR="00EE5A73" w:rsidRPr="00EE5A73" w:rsidRDefault="00EE5A73" w:rsidP="004825B2">
      <w:pPr>
        <w:pStyle w:val="ListParagraph"/>
        <w:numPr>
          <w:ilvl w:val="0"/>
          <w:numId w:val="249"/>
        </w:numPr>
        <w:jc w:val="both"/>
        <w:rPr>
          <w:lang w:eastAsia="x-none"/>
        </w:rPr>
      </w:pPr>
      <w:r w:rsidRPr="00EE5A73">
        <w:rPr>
          <w:lang w:eastAsia="x-none"/>
        </w:rPr>
        <w:t>Adopt a clarification to TS 38.213 subclause 7.7.1 either based on the proposal in [5]</w:t>
      </w:r>
    </w:p>
    <w:tbl>
      <w:tblPr>
        <w:tblW w:w="5000" w:type="pct"/>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829"/>
        <w:gridCol w:w="9854"/>
      </w:tblGrid>
      <w:tr w:rsidR="00EE5A73" w:rsidRPr="00EE5A73" w14:paraId="191AD487" w14:textId="77777777" w:rsidTr="00EE5A73">
        <w:tc>
          <w:tcPr>
            <w:tcW w:w="388" w:type="pct"/>
            <w:shd w:val="clear" w:color="auto" w:fill="D9D9D9"/>
          </w:tcPr>
          <w:p w14:paraId="0EF5024A" w14:textId="77777777" w:rsidR="00EE5A73" w:rsidRPr="00EE5A73" w:rsidRDefault="00EE5A73" w:rsidP="00EE5A73">
            <w:pPr>
              <w:spacing w:line="259" w:lineRule="auto"/>
              <w:jc w:val="center"/>
              <w:rPr>
                <w:rFonts w:ascii="Arial" w:eastAsia="SimSun" w:hAnsi="Arial" w:cs="Arial"/>
                <w:b/>
                <w:bCs/>
                <w:iCs/>
                <w:noProof/>
                <w:sz w:val="16"/>
                <w:szCs w:val="16"/>
                <w:lang w:eastAsia="ko-KR"/>
              </w:rPr>
            </w:pPr>
            <w:r w:rsidRPr="00EE5A73">
              <w:rPr>
                <w:rFonts w:ascii="Arial" w:eastAsia="SimSun" w:hAnsi="Arial" w:cs="Arial"/>
                <w:b/>
                <w:bCs/>
                <w:iCs/>
                <w:noProof/>
                <w:sz w:val="16"/>
                <w:szCs w:val="16"/>
                <w:lang w:eastAsia="ko-KR"/>
              </w:rPr>
              <w:t>Ref</w:t>
            </w:r>
          </w:p>
        </w:tc>
        <w:tc>
          <w:tcPr>
            <w:tcW w:w="4612" w:type="pct"/>
            <w:shd w:val="clear" w:color="auto" w:fill="D9D9D9"/>
          </w:tcPr>
          <w:p w14:paraId="68658136" w14:textId="77777777" w:rsidR="00EE5A73" w:rsidRPr="00EE5A73" w:rsidRDefault="00EE5A73" w:rsidP="00EE5A73">
            <w:pPr>
              <w:spacing w:line="259" w:lineRule="auto"/>
              <w:jc w:val="center"/>
              <w:rPr>
                <w:rFonts w:ascii="Arial" w:eastAsia="SimSun" w:hAnsi="Arial" w:cs="Arial"/>
                <w:b/>
                <w:bCs/>
                <w:iCs/>
                <w:noProof/>
                <w:sz w:val="16"/>
                <w:szCs w:val="16"/>
                <w:lang w:eastAsia="ko-KR"/>
              </w:rPr>
            </w:pPr>
            <w:r w:rsidRPr="00EE5A73">
              <w:rPr>
                <w:rFonts w:ascii="Arial" w:eastAsia="SimSun" w:hAnsi="Arial" w:cs="Arial"/>
                <w:b/>
                <w:bCs/>
                <w:iCs/>
                <w:noProof/>
                <w:sz w:val="16"/>
                <w:szCs w:val="16"/>
                <w:lang w:eastAsia="ko-KR"/>
              </w:rPr>
              <w:t>Proposal</w:t>
            </w:r>
          </w:p>
        </w:tc>
      </w:tr>
      <w:tr w:rsidR="00EE5A73" w:rsidRPr="00EE5A73" w14:paraId="76930C4E" w14:textId="77777777" w:rsidTr="00EE5A73">
        <w:tc>
          <w:tcPr>
            <w:tcW w:w="388" w:type="pct"/>
            <w:shd w:val="clear" w:color="auto" w:fill="auto"/>
          </w:tcPr>
          <w:p w14:paraId="355805B4" w14:textId="77777777" w:rsidR="00EE5A73" w:rsidRPr="00EE5A73" w:rsidRDefault="00EE5A73" w:rsidP="00EE5A73">
            <w:pPr>
              <w:spacing w:line="259" w:lineRule="auto"/>
              <w:jc w:val="both"/>
              <w:rPr>
                <w:rFonts w:ascii="Arial" w:eastAsia="SimSun" w:hAnsi="Arial" w:cs="Arial"/>
                <w:iCs/>
                <w:noProof/>
                <w:sz w:val="16"/>
                <w:szCs w:val="16"/>
                <w:lang w:eastAsia="ko-KR"/>
              </w:rPr>
            </w:pPr>
            <w:r w:rsidRPr="00EE5A73">
              <w:rPr>
                <w:rFonts w:ascii="Arial" w:eastAsia="SimSun" w:hAnsi="Arial" w:cs="Arial"/>
                <w:iCs/>
                <w:noProof/>
                <w:sz w:val="16"/>
                <w:szCs w:val="16"/>
                <w:lang w:eastAsia="ko-KR"/>
              </w:rPr>
              <w:t>[5]</w:t>
            </w:r>
          </w:p>
        </w:tc>
        <w:tc>
          <w:tcPr>
            <w:tcW w:w="4612" w:type="pct"/>
            <w:shd w:val="clear" w:color="auto" w:fill="auto"/>
          </w:tcPr>
          <w:p w14:paraId="0CDF88E2" w14:textId="77777777" w:rsidR="00EE5A73" w:rsidRPr="00EE5A73" w:rsidRDefault="00EE5A73" w:rsidP="00EE5A73">
            <w:pPr>
              <w:spacing w:line="259" w:lineRule="auto"/>
              <w:jc w:val="both"/>
              <w:rPr>
                <w:rFonts w:ascii="Arial" w:eastAsia="SimSun" w:hAnsi="Arial" w:cs="Arial"/>
                <w:iCs/>
                <w:noProof/>
                <w:sz w:val="16"/>
                <w:szCs w:val="16"/>
                <w:u w:val="single"/>
                <w:lang w:eastAsia="ko-KR"/>
              </w:rPr>
            </w:pPr>
            <w:r w:rsidRPr="00EE5A73">
              <w:rPr>
                <w:rFonts w:ascii="Arial" w:eastAsia="SimSun" w:hAnsi="Arial" w:cs="Arial"/>
                <w:color w:val="FF0000"/>
                <w:sz w:val="16"/>
                <w:szCs w:val="16"/>
                <w:u w:val="single"/>
                <w:lang w:val="en-US" w:eastAsia="ko-KR"/>
              </w:rPr>
              <w:t xml:space="preserve">If the activated serving cell is an SCell and parameter </w:t>
            </w:r>
            <w:r w:rsidRPr="00EE5A73">
              <w:rPr>
                <w:rFonts w:ascii="Arial" w:eastAsia="SimSun" w:hAnsi="Arial" w:cs="Arial"/>
                <w:i/>
                <w:color w:val="FF0000"/>
                <w:sz w:val="16"/>
                <w:szCs w:val="16"/>
                <w:u w:val="single"/>
                <w:lang w:val="en-US" w:eastAsia="ko-KR"/>
              </w:rPr>
              <w:t>preambleReceivedTargetPower</w:t>
            </w:r>
            <w:r w:rsidRPr="00EE5A73">
              <w:rPr>
                <w:rFonts w:ascii="Arial" w:eastAsia="SimSun" w:hAnsi="Arial" w:cs="Arial"/>
                <w:color w:val="FF0000"/>
                <w:sz w:val="16"/>
                <w:szCs w:val="16"/>
                <w:u w:val="single"/>
                <w:lang w:val="en-US" w:eastAsia="ko-KR"/>
              </w:rPr>
              <w:t xml:space="preserve"> is not configured for the cell, then the parameter </w:t>
            </w:r>
            <w:r w:rsidRPr="00EE5A73">
              <w:rPr>
                <w:rFonts w:ascii="Arial" w:eastAsia="SimSun" w:hAnsi="Arial" w:cs="Arial"/>
                <w:i/>
                <w:color w:val="FF0000"/>
                <w:sz w:val="16"/>
                <w:szCs w:val="16"/>
                <w:u w:val="single"/>
                <w:lang w:val="en-US" w:eastAsia="ko-KR"/>
              </w:rPr>
              <w:t>preambleReceivedTargetPower</w:t>
            </w:r>
            <w:r w:rsidRPr="00EE5A73">
              <w:rPr>
                <w:rFonts w:ascii="Arial" w:eastAsia="SimSun" w:hAnsi="Arial" w:cs="Arial"/>
                <w:color w:val="FF0000"/>
                <w:sz w:val="16"/>
                <w:szCs w:val="16"/>
                <w:u w:val="single"/>
                <w:lang w:val="en-US" w:eastAsia="ko-KR"/>
              </w:rPr>
              <w:t xml:space="preserve"> configured for the primary cell is applied, where the parameter refers to the one configured for the non-supplementary uplink carrier if the primary cell is configured with two uplink carriers.</w:t>
            </w:r>
          </w:p>
        </w:tc>
      </w:tr>
    </w:tbl>
    <w:p w14:paraId="020DBABE" w14:textId="77777777" w:rsidR="00835CB1" w:rsidRPr="009537ED" w:rsidRDefault="00835CB1" w:rsidP="00835CB1">
      <w:pPr>
        <w:rPr>
          <w:lang w:eastAsia="x-none"/>
        </w:rPr>
      </w:pPr>
    </w:p>
    <w:p w14:paraId="4540AFC0" w14:textId="77777777" w:rsidR="001E74B6" w:rsidRPr="009537ED" w:rsidRDefault="001E74B6" w:rsidP="001E74B6">
      <w:pPr>
        <w:rPr>
          <w:lang w:eastAsia="x-none"/>
        </w:rPr>
      </w:pPr>
      <w:r w:rsidRPr="009537ED">
        <w:rPr>
          <w:lang w:eastAsia="x-none"/>
        </w:rPr>
        <w:t>-----------------------</w:t>
      </w:r>
    </w:p>
    <w:p w14:paraId="63C1ADA3" w14:textId="77777777" w:rsidR="00835CB1" w:rsidRPr="009537ED" w:rsidRDefault="00835CB1" w:rsidP="00835CB1">
      <w:pPr>
        <w:rPr>
          <w:b/>
          <w:lang w:eastAsia="x-none"/>
        </w:rPr>
      </w:pPr>
      <w:r w:rsidRPr="009537ED">
        <w:rPr>
          <w:b/>
          <w:lang w:eastAsia="x-none"/>
        </w:rPr>
        <w:t>Follow up discussion on remaining ambiguities with type 2 CG-PUSCH from RAN1#114</w:t>
      </w:r>
    </w:p>
    <w:p w14:paraId="182F4346" w14:textId="6C6BBC7C" w:rsidR="00835CB1" w:rsidRPr="009537ED" w:rsidRDefault="005A18DC" w:rsidP="00835CB1">
      <w:pPr>
        <w:rPr>
          <w:lang w:eastAsia="x-none"/>
        </w:rPr>
      </w:pPr>
      <w:hyperlink r:id="rId379" w:history="1">
        <w:r w:rsidR="00AF7253">
          <w:rPr>
            <w:rStyle w:val="Hyperlink"/>
            <w:lang w:eastAsia="x-none"/>
          </w:rPr>
          <w:t>R1-2310912</w:t>
        </w:r>
      </w:hyperlink>
      <w:r w:rsidR="00835CB1" w:rsidRPr="009537ED">
        <w:rPr>
          <w:lang w:eastAsia="x-none"/>
        </w:rPr>
        <w:tab/>
        <w:t>Discussion on issues with type 2 CG-PUSCH</w:t>
      </w:r>
      <w:r w:rsidR="00835CB1" w:rsidRPr="009537ED">
        <w:rPr>
          <w:lang w:eastAsia="x-none"/>
        </w:rPr>
        <w:tab/>
        <w:t>Ericsson</w:t>
      </w:r>
    </w:p>
    <w:p w14:paraId="6834A4FA" w14:textId="5ABE0B33" w:rsidR="00835CB1" w:rsidRPr="009537ED" w:rsidRDefault="005A18DC" w:rsidP="00835CB1">
      <w:pPr>
        <w:rPr>
          <w:lang w:eastAsia="x-none"/>
        </w:rPr>
      </w:pPr>
      <w:hyperlink r:id="rId380" w:history="1">
        <w:r w:rsidR="00AF7253">
          <w:rPr>
            <w:rStyle w:val="Hyperlink"/>
            <w:lang w:eastAsia="x-none"/>
          </w:rPr>
          <w:t>R1-2311011</w:t>
        </w:r>
      </w:hyperlink>
      <w:r w:rsidR="00835CB1" w:rsidRPr="009537ED">
        <w:rPr>
          <w:lang w:eastAsia="x-none"/>
        </w:rPr>
        <w:tab/>
        <w:t>Discussion on several ambiguities with type 2 CG PUSCH</w:t>
      </w:r>
      <w:r w:rsidR="00835CB1" w:rsidRPr="009537ED">
        <w:rPr>
          <w:lang w:eastAsia="x-none"/>
        </w:rPr>
        <w:tab/>
        <w:t>ZTE</w:t>
      </w:r>
    </w:p>
    <w:p w14:paraId="46A9EEC6" w14:textId="2ADF2651" w:rsidR="00835CB1" w:rsidRPr="009537ED" w:rsidRDefault="005A18DC" w:rsidP="00835CB1">
      <w:pPr>
        <w:rPr>
          <w:lang w:eastAsia="x-none"/>
        </w:rPr>
      </w:pPr>
      <w:hyperlink r:id="rId381" w:history="1">
        <w:r w:rsidR="00AF7253">
          <w:rPr>
            <w:rStyle w:val="Hyperlink"/>
            <w:lang w:eastAsia="x-none"/>
          </w:rPr>
          <w:t>R1-2311073</w:t>
        </w:r>
      </w:hyperlink>
      <w:r w:rsidR="00835CB1" w:rsidRPr="009537ED">
        <w:rPr>
          <w:lang w:eastAsia="x-none"/>
        </w:rPr>
        <w:tab/>
        <w:t>Clarifying several ambiguities with type 2 CG-PUSCH</w:t>
      </w:r>
      <w:r w:rsidR="00835CB1" w:rsidRPr="009537ED">
        <w:rPr>
          <w:lang w:eastAsia="x-none"/>
        </w:rPr>
        <w:tab/>
        <w:t>vivo</w:t>
      </w:r>
    </w:p>
    <w:p w14:paraId="003A079D" w14:textId="4B4BAE38" w:rsidR="00835CB1" w:rsidRPr="009537ED" w:rsidRDefault="005A18DC" w:rsidP="00835CB1">
      <w:pPr>
        <w:rPr>
          <w:lang w:eastAsia="x-none"/>
        </w:rPr>
      </w:pPr>
      <w:hyperlink r:id="rId382" w:history="1">
        <w:r w:rsidR="00AF7253">
          <w:rPr>
            <w:rStyle w:val="Hyperlink"/>
            <w:lang w:eastAsia="x-none"/>
          </w:rPr>
          <w:t>R1-2311667</w:t>
        </w:r>
      </w:hyperlink>
      <w:r w:rsidR="00835CB1" w:rsidRPr="009537ED">
        <w:rPr>
          <w:lang w:eastAsia="x-none"/>
        </w:rPr>
        <w:tab/>
        <w:t>Remaining ambiguity issues on the 1st Type-2 CG PUSCH</w:t>
      </w:r>
      <w:r w:rsidR="00835CB1" w:rsidRPr="009537ED">
        <w:rPr>
          <w:lang w:eastAsia="x-none"/>
        </w:rPr>
        <w:tab/>
        <w:t>Apple</w:t>
      </w:r>
    </w:p>
    <w:p w14:paraId="4D42B1CE" w14:textId="50136398" w:rsidR="00835CB1" w:rsidRPr="009537ED" w:rsidRDefault="005A18DC" w:rsidP="00835CB1">
      <w:pPr>
        <w:rPr>
          <w:lang w:eastAsia="x-none"/>
        </w:rPr>
      </w:pPr>
      <w:hyperlink r:id="rId383" w:history="1">
        <w:r w:rsidR="00AF7253">
          <w:rPr>
            <w:rStyle w:val="Hyperlink"/>
            <w:lang w:eastAsia="x-none"/>
          </w:rPr>
          <w:t>R1-2311818</w:t>
        </w:r>
      </w:hyperlink>
      <w:r w:rsidR="00835CB1" w:rsidRPr="009537ED">
        <w:rPr>
          <w:lang w:eastAsia="x-none"/>
        </w:rPr>
        <w:tab/>
        <w:t>Discussion on the remaining ambiguities with type 2 CG-PUSCH</w:t>
      </w:r>
      <w:r w:rsidR="00835CB1" w:rsidRPr="009537ED">
        <w:rPr>
          <w:lang w:eastAsia="x-none"/>
        </w:rPr>
        <w:tab/>
        <w:t>Samsung</w:t>
      </w:r>
    </w:p>
    <w:p w14:paraId="12AC0647" w14:textId="19C14307" w:rsidR="00835CB1" w:rsidRPr="009537ED" w:rsidRDefault="005A18DC" w:rsidP="00835CB1">
      <w:pPr>
        <w:rPr>
          <w:lang w:eastAsia="x-none"/>
        </w:rPr>
      </w:pPr>
      <w:hyperlink r:id="rId384" w:history="1">
        <w:r w:rsidR="00AF7253">
          <w:rPr>
            <w:rStyle w:val="Hyperlink"/>
            <w:lang w:eastAsia="x-none"/>
          </w:rPr>
          <w:t>R1-2311961</w:t>
        </w:r>
      </w:hyperlink>
      <w:r w:rsidR="00835CB1" w:rsidRPr="009537ED">
        <w:rPr>
          <w:lang w:eastAsia="x-none"/>
        </w:rPr>
        <w:tab/>
        <w:t>Clarifying ambiguities with type 2 CG-PUSCH</w:t>
      </w:r>
      <w:r w:rsidR="00835CB1" w:rsidRPr="009537ED">
        <w:rPr>
          <w:lang w:eastAsia="x-none"/>
        </w:rPr>
        <w:tab/>
        <w:t>MediaTek Inc.</w:t>
      </w:r>
    </w:p>
    <w:p w14:paraId="6C799CDE" w14:textId="6272E88C" w:rsidR="00835CB1" w:rsidRPr="009537ED" w:rsidRDefault="005A18DC" w:rsidP="00835CB1">
      <w:pPr>
        <w:rPr>
          <w:lang w:eastAsia="x-none"/>
        </w:rPr>
      </w:pPr>
      <w:hyperlink r:id="rId385" w:history="1">
        <w:r w:rsidR="00AF7253">
          <w:rPr>
            <w:rStyle w:val="Hyperlink"/>
            <w:lang w:eastAsia="x-none"/>
          </w:rPr>
          <w:t>R1-2312015</w:t>
        </w:r>
      </w:hyperlink>
      <w:r w:rsidR="00835CB1" w:rsidRPr="009537ED">
        <w:rPr>
          <w:lang w:eastAsia="x-none"/>
        </w:rPr>
        <w:tab/>
        <w:t>Clarify several ambiguities with type 2 CG-PUSCH</w:t>
      </w:r>
      <w:r w:rsidR="00835CB1" w:rsidRPr="009537ED">
        <w:rPr>
          <w:lang w:eastAsia="x-none"/>
        </w:rPr>
        <w:tab/>
        <w:t>Qualcomm Incorporated</w:t>
      </w:r>
    </w:p>
    <w:p w14:paraId="1083F101" w14:textId="673454BB" w:rsidR="00835CB1" w:rsidRPr="009537ED" w:rsidRDefault="005A18DC" w:rsidP="00835CB1">
      <w:pPr>
        <w:rPr>
          <w:lang w:eastAsia="x-none"/>
        </w:rPr>
      </w:pPr>
      <w:hyperlink r:id="rId386" w:history="1">
        <w:r w:rsidR="00AF7253">
          <w:rPr>
            <w:rStyle w:val="Hyperlink"/>
            <w:lang w:eastAsia="x-none"/>
          </w:rPr>
          <w:t>R1-2312201</w:t>
        </w:r>
      </w:hyperlink>
      <w:r w:rsidR="00835CB1" w:rsidRPr="009537ED">
        <w:rPr>
          <w:lang w:eastAsia="x-none"/>
        </w:rPr>
        <w:tab/>
        <w:t>On CG-PUSCH ambiguities</w:t>
      </w:r>
      <w:r w:rsidR="00835CB1" w:rsidRPr="009537ED">
        <w:rPr>
          <w:lang w:eastAsia="x-none"/>
        </w:rPr>
        <w:tab/>
        <w:t>Nokia, Nokia Shanghai Bell</w:t>
      </w:r>
    </w:p>
    <w:p w14:paraId="30C16CAF" w14:textId="21EC7069" w:rsidR="00835CB1" w:rsidRPr="009537ED" w:rsidRDefault="005A18DC" w:rsidP="00835CB1">
      <w:pPr>
        <w:rPr>
          <w:lang w:eastAsia="x-none"/>
        </w:rPr>
      </w:pPr>
      <w:hyperlink r:id="rId387" w:history="1">
        <w:r w:rsidR="00AF7253">
          <w:rPr>
            <w:rStyle w:val="Hyperlink"/>
            <w:lang w:eastAsia="x-none"/>
          </w:rPr>
          <w:t>R1-2312224</w:t>
        </w:r>
      </w:hyperlink>
      <w:r w:rsidR="00835CB1" w:rsidRPr="009537ED">
        <w:rPr>
          <w:lang w:eastAsia="x-none"/>
        </w:rPr>
        <w:tab/>
        <w:t>Clarifications relating to type 2 CG-PUSCH</w:t>
      </w:r>
      <w:r w:rsidR="00835CB1" w:rsidRPr="009537ED">
        <w:rPr>
          <w:lang w:eastAsia="x-none"/>
        </w:rPr>
        <w:tab/>
        <w:t>Huawei, HiSilicon</w:t>
      </w:r>
    </w:p>
    <w:p w14:paraId="07734DB2" w14:textId="598CA23A" w:rsidR="00835CB1" w:rsidRPr="00EE5A73" w:rsidRDefault="006B7AD9" w:rsidP="00835CB1">
      <w:pPr>
        <w:rPr>
          <w:lang w:eastAsia="x-none"/>
        </w:rPr>
      </w:pPr>
      <w:r w:rsidRPr="00EE5A73">
        <w:rPr>
          <w:b/>
          <w:bCs/>
          <w:lang w:eastAsia="x-none"/>
        </w:rPr>
        <w:t xml:space="preserve">Monday session: </w:t>
      </w:r>
      <w:r w:rsidR="00835CB1" w:rsidRPr="00EE5A73">
        <w:rPr>
          <w:lang w:eastAsia="x-none"/>
        </w:rPr>
        <w:t>To be moderated by Yi (Qualcomm). Check status on Thursday.</w:t>
      </w:r>
    </w:p>
    <w:p w14:paraId="1E3A827C" w14:textId="37DA6C1D" w:rsidR="00EE5A73" w:rsidRPr="00EE5A73" w:rsidRDefault="005A18DC" w:rsidP="00EE5A73">
      <w:pPr>
        <w:rPr>
          <w:b/>
          <w:bCs/>
          <w:lang w:eastAsia="x-none"/>
        </w:rPr>
      </w:pPr>
      <w:hyperlink r:id="rId388" w:history="1">
        <w:r w:rsidR="00AF7253">
          <w:rPr>
            <w:rStyle w:val="Hyperlink"/>
            <w:b/>
            <w:bCs/>
            <w:lang w:eastAsia="x-none"/>
          </w:rPr>
          <w:t>R1-2312341</w:t>
        </w:r>
      </w:hyperlink>
      <w:r w:rsidR="00EE5A73" w:rsidRPr="00EE5A73">
        <w:rPr>
          <w:b/>
          <w:bCs/>
          <w:lang w:eastAsia="x-none"/>
        </w:rPr>
        <w:tab/>
        <w:t>Moderator summary #1 of clarifying several ambiguities with type 2 CG-PUSCH</w:t>
      </w:r>
      <w:r w:rsidR="00EE5A73" w:rsidRPr="00EE5A73">
        <w:rPr>
          <w:b/>
          <w:bCs/>
          <w:lang w:eastAsia="x-none"/>
        </w:rPr>
        <w:tab/>
        <w:t>Moderator (Qualcomm)</w:t>
      </w:r>
    </w:p>
    <w:p w14:paraId="091D5D91" w14:textId="77777777" w:rsidR="00EE5A73" w:rsidRPr="00EE5A73" w:rsidRDefault="00EE5A73" w:rsidP="00EE5A73">
      <w:pPr>
        <w:rPr>
          <w:rFonts w:ascii="Times New Roman" w:hAnsi="Times New Roman"/>
          <w:u w:val="single"/>
        </w:rPr>
      </w:pPr>
      <w:r w:rsidRPr="00EE5A73">
        <w:rPr>
          <w:rFonts w:ascii="Times New Roman" w:hAnsi="Times New Roman"/>
          <w:u w:val="single"/>
        </w:rPr>
        <w:t>Conclusion</w:t>
      </w:r>
    </w:p>
    <w:p w14:paraId="469B3AAC" w14:textId="74C14BE4" w:rsidR="00EE5A73" w:rsidRPr="00EE5A73" w:rsidRDefault="00EE5A73" w:rsidP="00EE5A73">
      <w:pPr>
        <w:rPr>
          <w:rFonts w:ascii="Times New Roman" w:hAnsi="Times New Roman"/>
        </w:rPr>
      </w:pPr>
      <w:r w:rsidRPr="00EE5A73">
        <w:rPr>
          <w:rFonts w:ascii="Times New Roman" w:hAnsi="Times New Roman"/>
        </w:rPr>
        <w:t>The first type 2 CG-PUSCH transmission after associated activation DCI is treated as a CG-PUSCH in PUSCH candidate selection for UCI multiplexing.</w:t>
      </w:r>
    </w:p>
    <w:p w14:paraId="75D4A318" w14:textId="77777777" w:rsidR="00EE5A73" w:rsidRPr="00EE5A73" w:rsidRDefault="00EE5A73" w:rsidP="00EE5A73">
      <w:pPr>
        <w:rPr>
          <w:rFonts w:ascii="Times New Roman" w:hAnsi="Times New Roman"/>
        </w:rPr>
      </w:pPr>
    </w:p>
    <w:p w14:paraId="0571165C" w14:textId="77777777" w:rsidR="00EE5A73" w:rsidRPr="00EE5A73" w:rsidRDefault="00EE5A73" w:rsidP="00EE5A73">
      <w:pPr>
        <w:rPr>
          <w:rFonts w:ascii="Times New Roman" w:hAnsi="Times New Roman"/>
          <w:highlight w:val="green"/>
          <w:lang w:eastAsia="x-none"/>
        </w:rPr>
      </w:pPr>
      <w:r w:rsidRPr="00EE5A73">
        <w:rPr>
          <w:rFonts w:ascii="Times New Roman" w:hAnsi="Times New Roman"/>
          <w:highlight w:val="green"/>
          <w:lang w:eastAsia="x-none"/>
        </w:rPr>
        <w:t>Agreement</w:t>
      </w:r>
    </w:p>
    <w:p w14:paraId="5E7380E4" w14:textId="77777777" w:rsidR="00EE5A73" w:rsidRPr="00EE5A73" w:rsidRDefault="00EE5A73" w:rsidP="00EE5A73">
      <w:pPr>
        <w:rPr>
          <w:rFonts w:ascii="Times New Roman" w:hAnsi="Times New Roman"/>
        </w:rPr>
      </w:pPr>
      <w:r w:rsidRPr="00EE5A73">
        <w:rPr>
          <w:rFonts w:ascii="Times New Roman" w:hAnsi="Times New Roman"/>
        </w:rPr>
        <w:t>For Rel 15/16/17, it is up to UE implementation to ignore or follow the “Downlink assignment index” field in DCI format 0_1, 0_2 associated with the first CG PUSCH transmission.</w:t>
      </w:r>
    </w:p>
    <w:p w14:paraId="102490E2" w14:textId="77777777" w:rsidR="00EE5A73" w:rsidRPr="00EE5A73" w:rsidRDefault="00EE5A73" w:rsidP="004825B2">
      <w:pPr>
        <w:numPr>
          <w:ilvl w:val="0"/>
          <w:numId w:val="250"/>
        </w:numPr>
        <w:snapToGrid w:val="0"/>
        <w:jc w:val="both"/>
        <w:rPr>
          <w:rFonts w:ascii="Times New Roman" w:hAnsi="Times New Roman"/>
          <w:szCs w:val="20"/>
          <w:lang w:eastAsia="x-none"/>
        </w:rPr>
      </w:pPr>
      <w:r w:rsidRPr="00EE5A73">
        <w:rPr>
          <w:rFonts w:ascii="Times New Roman" w:hAnsi="Times New Roman"/>
          <w:szCs w:val="20"/>
          <w:lang w:eastAsia="x-none"/>
        </w:rPr>
        <w:t xml:space="preserve">When a UE ignores “Downlink assignment index” field in DCI format 0_1, 0_2, it follows the “Downlink assignment index” in DCI format 1_0, 1_1, 1_2, if applicable. </w:t>
      </w:r>
    </w:p>
    <w:p w14:paraId="65D6F0B6" w14:textId="77777777" w:rsidR="00EE5A73" w:rsidRPr="00EE5A73" w:rsidRDefault="00EE5A73" w:rsidP="004825B2">
      <w:pPr>
        <w:numPr>
          <w:ilvl w:val="0"/>
          <w:numId w:val="250"/>
        </w:numPr>
        <w:snapToGrid w:val="0"/>
        <w:rPr>
          <w:rFonts w:ascii="Times New Roman" w:eastAsia="Malgun Gothic" w:hAnsi="Times New Roman"/>
          <w:szCs w:val="20"/>
          <w:lang w:eastAsia="zh-CN"/>
        </w:rPr>
      </w:pPr>
      <w:r w:rsidRPr="00EE5A73">
        <w:rPr>
          <w:rFonts w:ascii="Times New Roman" w:eastAsia="Malgun Gothic" w:hAnsi="Times New Roman"/>
          <w:szCs w:val="20"/>
          <w:lang w:eastAsia="zh-CN"/>
        </w:rPr>
        <w:t>When</w:t>
      </w:r>
      <w:r w:rsidRPr="00EE5A73">
        <w:rPr>
          <w:rFonts w:ascii="Times New Roman" w:hAnsi="Times New Roman"/>
          <w:szCs w:val="20"/>
          <w:lang w:eastAsia="x-none"/>
        </w:rPr>
        <w:t xml:space="preserve"> a UE follows “Downlink assignment index” field in DCI format 0_1, 0_2, 1_0, 1_1, or 1_2, it applies the field only once (to the first CG-PUSCH transmission instance, if applicable).</w:t>
      </w:r>
    </w:p>
    <w:p w14:paraId="01DD6251" w14:textId="7743A312" w:rsidR="00EE5A73" w:rsidRPr="00EE5A73" w:rsidRDefault="00EE5A73" w:rsidP="00EE5A73">
      <w:pPr>
        <w:rPr>
          <w:rFonts w:ascii="Times New Roman" w:hAnsi="Times New Roman"/>
          <w:lang w:eastAsia="x-none"/>
        </w:rPr>
      </w:pPr>
      <w:r w:rsidRPr="00EE5A73">
        <w:rPr>
          <w:rFonts w:ascii="Times New Roman" w:hAnsi="Times New Roman"/>
        </w:rPr>
        <w:t xml:space="preserve">For Rel </w:t>
      </w:r>
      <w:r w:rsidRPr="00EE5A73">
        <w:rPr>
          <w:rFonts w:ascii="Times New Roman" w:hAnsi="Times New Roman"/>
          <w:color w:val="FF0000"/>
        </w:rPr>
        <w:t xml:space="preserve">18 </w:t>
      </w:r>
      <w:r w:rsidRPr="00EE5A73">
        <w:rPr>
          <w:rFonts w:ascii="Times New Roman" w:hAnsi="Times New Roman"/>
        </w:rPr>
        <w:t>and beyond, decide between the following options in RAN1#116:</w:t>
      </w:r>
    </w:p>
    <w:p w14:paraId="25117BFE" w14:textId="77777777" w:rsidR="00EE5A73" w:rsidRPr="00EE5A73" w:rsidRDefault="00EE5A73" w:rsidP="004825B2">
      <w:pPr>
        <w:numPr>
          <w:ilvl w:val="0"/>
          <w:numId w:val="250"/>
        </w:numPr>
        <w:snapToGrid w:val="0"/>
        <w:jc w:val="both"/>
        <w:rPr>
          <w:rFonts w:ascii="Times New Roman" w:hAnsi="Times New Roman"/>
          <w:szCs w:val="20"/>
          <w:lang w:eastAsia="x-none"/>
        </w:rPr>
      </w:pPr>
      <w:r w:rsidRPr="00EE5A73">
        <w:rPr>
          <w:rFonts w:ascii="Times New Roman" w:hAnsi="Times New Roman"/>
          <w:szCs w:val="20"/>
          <w:lang w:eastAsia="x-none"/>
        </w:rPr>
        <w:t>Option 1: A UE shall ignore this field in the activation DCI.</w:t>
      </w:r>
    </w:p>
    <w:p w14:paraId="2ACE8C74" w14:textId="4CCD33A8" w:rsidR="00EE5A73" w:rsidRPr="00EE5A73" w:rsidRDefault="00EE5A73" w:rsidP="004825B2">
      <w:pPr>
        <w:numPr>
          <w:ilvl w:val="0"/>
          <w:numId w:val="250"/>
        </w:numPr>
        <w:snapToGrid w:val="0"/>
        <w:jc w:val="both"/>
        <w:rPr>
          <w:rFonts w:ascii="Times New Roman" w:hAnsi="Times New Roman"/>
          <w:szCs w:val="20"/>
          <w:lang w:eastAsia="x-none"/>
        </w:rPr>
      </w:pPr>
      <w:r w:rsidRPr="00EE5A73">
        <w:rPr>
          <w:rFonts w:ascii="Times New Roman" w:hAnsi="Times New Roman"/>
          <w:szCs w:val="20"/>
          <w:lang w:eastAsia="x-none"/>
        </w:rPr>
        <w:t>Option 2: A UE follows this field, if exists. It applies only once to the first CG-PUSCH transmission instance.</w:t>
      </w:r>
    </w:p>
    <w:p w14:paraId="50EF0C11" w14:textId="77777777" w:rsidR="00EE5A73" w:rsidRPr="00EE5A73" w:rsidRDefault="00EE5A73" w:rsidP="00EE5A73">
      <w:pPr>
        <w:rPr>
          <w:rFonts w:ascii="Times New Roman" w:hAnsi="Times New Roman"/>
          <w:bCs/>
          <w:lang w:eastAsia="x-none"/>
        </w:rPr>
      </w:pPr>
    </w:p>
    <w:p w14:paraId="7DAEBE6A" w14:textId="77777777" w:rsidR="00EE5A73" w:rsidRPr="00EE5A73" w:rsidRDefault="00EE5A73" w:rsidP="00EE5A73">
      <w:pPr>
        <w:rPr>
          <w:rFonts w:ascii="Times New Roman" w:hAnsi="Times New Roman"/>
          <w:b/>
          <w:lang w:eastAsia="x-none"/>
        </w:rPr>
      </w:pPr>
      <w:r w:rsidRPr="00EE5A73">
        <w:rPr>
          <w:rFonts w:ascii="Times New Roman" w:hAnsi="Times New Roman"/>
          <w:b/>
          <w:lang w:eastAsia="x-none"/>
        </w:rPr>
        <w:t>For RAN1#116:</w:t>
      </w:r>
    </w:p>
    <w:p w14:paraId="33CBEB55" w14:textId="36894FF5" w:rsidR="00EE5A73" w:rsidRPr="00EE5A73" w:rsidRDefault="00EE5A73" w:rsidP="00EE5A73">
      <w:pPr>
        <w:rPr>
          <w:rFonts w:ascii="Times New Roman" w:hAnsi="Times New Roman"/>
        </w:rPr>
      </w:pPr>
      <w:r w:rsidRPr="00EE5A73">
        <w:rPr>
          <w:rFonts w:ascii="Times New Roman" w:hAnsi="Times New Roman"/>
        </w:rPr>
        <w:t>Check at least the RRC IEs listed below and identify the RRC parameters inside those RRC IEs that UE does not expect NW to reconfigure during an ongoing Type 2 CG-PUSCH transmission.</w:t>
      </w:r>
    </w:p>
    <w:p w14:paraId="310FFB6A" w14:textId="77777777" w:rsidR="00EE5A73" w:rsidRPr="00EE5A73" w:rsidRDefault="00EE5A73" w:rsidP="004825B2">
      <w:pPr>
        <w:numPr>
          <w:ilvl w:val="0"/>
          <w:numId w:val="250"/>
        </w:numPr>
        <w:spacing w:line="280" w:lineRule="atLeast"/>
        <w:rPr>
          <w:rFonts w:ascii="Times New Roman" w:hAnsi="Times New Roman"/>
          <w:i/>
          <w:iCs/>
          <w:szCs w:val="20"/>
          <w:lang w:eastAsia="x-none"/>
        </w:rPr>
      </w:pPr>
      <w:r w:rsidRPr="00EE5A73">
        <w:rPr>
          <w:rFonts w:ascii="Times New Roman" w:hAnsi="Times New Roman"/>
          <w:i/>
          <w:iCs/>
          <w:szCs w:val="20"/>
          <w:lang w:eastAsia="x-none"/>
        </w:rPr>
        <w:t>pusch-Config</w:t>
      </w:r>
    </w:p>
    <w:p w14:paraId="4D2CDBB0" w14:textId="77777777" w:rsidR="00EE5A73" w:rsidRPr="00EE5A73" w:rsidRDefault="00EE5A73" w:rsidP="004825B2">
      <w:pPr>
        <w:numPr>
          <w:ilvl w:val="0"/>
          <w:numId w:val="250"/>
        </w:numPr>
        <w:spacing w:line="280" w:lineRule="atLeast"/>
        <w:rPr>
          <w:rFonts w:ascii="Times New Roman" w:hAnsi="Times New Roman"/>
          <w:i/>
          <w:iCs/>
          <w:szCs w:val="20"/>
          <w:lang w:eastAsia="x-none"/>
        </w:rPr>
      </w:pPr>
      <w:r w:rsidRPr="00EE5A73">
        <w:rPr>
          <w:rFonts w:ascii="Times New Roman" w:hAnsi="Times New Roman"/>
          <w:i/>
          <w:iCs/>
          <w:szCs w:val="20"/>
          <w:lang w:eastAsia="x-none"/>
        </w:rPr>
        <w:t>configuredGrantConfig</w:t>
      </w:r>
    </w:p>
    <w:p w14:paraId="4CF4C208" w14:textId="77777777" w:rsidR="00EE5A73" w:rsidRPr="00EE5A73" w:rsidRDefault="00EE5A73" w:rsidP="004825B2">
      <w:pPr>
        <w:numPr>
          <w:ilvl w:val="0"/>
          <w:numId w:val="250"/>
        </w:numPr>
        <w:spacing w:line="280" w:lineRule="atLeast"/>
        <w:jc w:val="both"/>
        <w:rPr>
          <w:rFonts w:ascii="Times New Roman" w:hAnsi="Times New Roman"/>
          <w:i/>
          <w:iCs/>
          <w:szCs w:val="20"/>
          <w:lang w:eastAsia="x-none"/>
        </w:rPr>
      </w:pPr>
      <w:r w:rsidRPr="00EE5A73">
        <w:rPr>
          <w:rFonts w:ascii="Times New Roman" w:hAnsi="Times New Roman"/>
          <w:i/>
          <w:iCs/>
          <w:szCs w:val="20"/>
          <w:lang w:eastAsia="x-none"/>
        </w:rPr>
        <w:t>srs-Config</w:t>
      </w:r>
    </w:p>
    <w:p w14:paraId="64C4979A" w14:textId="77777777" w:rsidR="00EE5A73" w:rsidRPr="00EE5A73" w:rsidRDefault="00EE5A73" w:rsidP="004825B2">
      <w:pPr>
        <w:numPr>
          <w:ilvl w:val="0"/>
          <w:numId w:val="250"/>
        </w:numPr>
        <w:spacing w:line="280" w:lineRule="atLeast"/>
        <w:jc w:val="both"/>
        <w:rPr>
          <w:rFonts w:ascii="Times New Roman" w:hAnsi="Times New Roman"/>
          <w:i/>
          <w:iCs/>
          <w:szCs w:val="20"/>
          <w:lang w:eastAsia="x-none"/>
        </w:rPr>
      </w:pPr>
      <w:r w:rsidRPr="00EE5A73">
        <w:rPr>
          <w:rFonts w:ascii="Times New Roman" w:hAnsi="Times New Roman"/>
          <w:i/>
          <w:iCs/>
          <w:szCs w:val="20"/>
          <w:lang w:eastAsia="x-none"/>
        </w:rPr>
        <w:t>useInterlacePUCCH-PUSCH-r16</w:t>
      </w:r>
    </w:p>
    <w:p w14:paraId="64F8E1F5" w14:textId="77777777" w:rsidR="00EE5A73" w:rsidRPr="00EE5A73" w:rsidRDefault="00EE5A73" w:rsidP="004825B2">
      <w:pPr>
        <w:numPr>
          <w:ilvl w:val="0"/>
          <w:numId w:val="250"/>
        </w:numPr>
        <w:spacing w:line="280" w:lineRule="atLeast"/>
        <w:jc w:val="both"/>
        <w:rPr>
          <w:rFonts w:ascii="Times New Roman" w:hAnsi="Times New Roman"/>
          <w:i/>
          <w:iCs/>
          <w:szCs w:val="20"/>
          <w:lang w:eastAsia="x-none"/>
        </w:rPr>
      </w:pPr>
      <w:r w:rsidRPr="00EE5A73">
        <w:rPr>
          <w:rFonts w:ascii="Times New Roman" w:hAnsi="Times New Roman"/>
          <w:i/>
          <w:iCs/>
          <w:szCs w:val="20"/>
          <w:lang w:eastAsia="x-none"/>
        </w:rPr>
        <w:t>configuredGrantConfigToAddModList-r16</w:t>
      </w:r>
    </w:p>
    <w:p w14:paraId="3B016D3D" w14:textId="77777777" w:rsidR="00EE5A73" w:rsidRPr="00EE5A73" w:rsidRDefault="00EE5A73" w:rsidP="004825B2">
      <w:pPr>
        <w:numPr>
          <w:ilvl w:val="0"/>
          <w:numId w:val="250"/>
        </w:numPr>
        <w:spacing w:line="280" w:lineRule="atLeast"/>
        <w:jc w:val="both"/>
        <w:rPr>
          <w:rFonts w:ascii="Times New Roman" w:hAnsi="Times New Roman"/>
          <w:i/>
          <w:iCs/>
          <w:szCs w:val="20"/>
          <w:lang w:eastAsia="x-none"/>
        </w:rPr>
      </w:pPr>
      <w:r w:rsidRPr="00EE5A73">
        <w:rPr>
          <w:rFonts w:ascii="Times New Roman" w:hAnsi="Times New Roman"/>
          <w:i/>
          <w:iCs/>
          <w:szCs w:val="20"/>
          <w:lang w:eastAsia="x-none"/>
        </w:rPr>
        <w:t>configuredGrantConfigToReleaseList-r16</w:t>
      </w:r>
    </w:p>
    <w:p w14:paraId="40C892F4" w14:textId="77777777" w:rsidR="00EE5A73" w:rsidRPr="00EE5A73" w:rsidRDefault="00EE5A73" w:rsidP="004825B2">
      <w:pPr>
        <w:numPr>
          <w:ilvl w:val="0"/>
          <w:numId w:val="250"/>
        </w:numPr>
        <w:spacing w:line="280" w:lineRule="atLeast"/>
        <w:jc w:val="both"/>
        <w:rPr>
          <w:rFonts w:ascii="Times New Roman" w:hAnsi="Times New Roman"/>
          <w:i/>
          <w:iCs/>
          <w:szCs w:val="20"/>
          <w:lang w:eastAsia="x-none"/>
        </w:rPr>
      </w:pPr>
      <w:r w:rsidRPr="00EE5A73">
        <w:rPr>
          <w:rFonts w:ascii="Times New Roman" w:hAnsi="Times New Roman"/>
          <w:i/>
          <w:iCs/>
          <w:szCs w:val="20"/>
          <w:lang w:eastAsia="x-none"/>
        </w:rPr>
        <w:t>configuredGrantConfigType2DeactivationStateList-r16</w:t>
      </w:r>
    </w:p>
    <w:p w14:paraId="69BA73A7" w14:textId="77777777" w:rsidR="00EE5A73" w:rsidRPr="00EE5A73" w:rsidRDefault="00EE5A73" w:rsidP="004825B2">
      <w:pPr>
        <w:numPr>
          <w:ilvl w:val="0"/>
          <w:numId w:val="250"/>
        </w:numPr>
        <w:spacing w:line="280" w:lineRule="atLeast"/>
        <w:jc w:val="both"/>
        <w:rPr>
          <w:rFonts w:ascii="Times New Roman" w:hAnsi="Times New Roman"/>
          <w:i/>
          <w:iCs/>
          <w:szCs w:val="20"/>
          <w:lang w:eastAsia="x-none"/>
        </w:rPr>
      </w:pPr>
      <w:r w:rsidRPr="00EE5A73">
        <w:rPr>
          <w:rFonts w:ascii="Times New Roman" w:hAnsi="Times New Roman"/>
          <w:i/>
          <w:iCs/>
          <w:szCs w:val="20"/>
          <w:lang w:eastAsia="x-none"/>
        </w:rPr>
        <w:t>ul-TCI-StateList-r17</w:t>
      </w:r>
    </w:p>
    <w:p w14:paraId="30F3C5C7" w14:textId="77777777" w:rsidR="00EE5A73" w:rsidRPr="00EE5A73" w:rsidRDefault="00EE5A73" w:rsidP="004825B2">
      <w:pPr>
        <w:numPr>
          <w:ilvl w:val="0"/>
          <w:numId w:val="250"/>
        </w:numPr>
        <w:spacing w:line="280" w:lineRule="atLeast"/>
        <w:jc w:val="both"/>
        <w:rPr>
          <w:rFonts w:ascii="Times New Roman" w:hAnsi="Times New Roman"/>
          <w:i/>
          <w:iCs/>
          <w:szCs w:val="20"/>
          <w:lang w:eastAsia="x-none"/>
        </w:rPr>
      </w:pPr>
      <w:r w:rsidRPr="00EE5A73">
        <w:rPr>
          <w:rFonts w:ascii="Times New Roman" w:hAnsi="Times New Roman"/>
          <w:i/>
          <w:iCs/>
          <w:szCs w:val="20"/>
          <w:lang w:eastAsia="x-none"/>
        </w:rPr>
        <w:t>ul-powerControl-r17</w:t>
      </w:r>
    </w:p>
    <w:p w14:paraId="12F743A7" w14:textId="77777777" w:rsidR="00EE5A73" w:rsidRPr="00EE5A73" w:rsidRDefault="00EE5A73" w:rsidP="004825B2">
      <w:pPr>
        <w:numPr>
          <w:ilvl w:val="0"/>
          <w:numId w:val="250"/>
        </w:numPr>
        <w:spacing w:line="280" w:lineRule="atLeast"/>
        <w:jc w:val="both"/>
        <w:rPr>
          <w:rFonts w:ascii="Times New Roman" w:hAnsi="Times New Roman"/>
          <w:i/>
          <w:iCs/>
          <w:szCs w:val="20"/>
          <w:lang w:eastAsia="x-none"/>
        </w:rPr>
      </w:pPr>
      <w:r w:rsidRPr="00EE5A73">
        <w:rPr>
          <w:rFonts w:ascii="Times New Roman" w:hAnsi="Times New Roman"/>
          <w:i/>
          <w:iCs/>
          <w:szCs w:val="20"/>
          <w:lang w:eastAsia="x-none"/>
        </w:rPr>
        <w:t>pathlossReferenceRSToAddModList-r17</w:t>
      </w:r>
    </w:p>
    <w:p w14:paraId="32EB27C6" w14:textId="77777777" w:rsidR="00EE5A73" w:rsidRPr="00EE5A73" w:rsidRDefault="00EE5A73" w:rsidP="004825B2">
      <w:pPr>
        <w:numPr>
          <w:ilvl w:val="0"/>
          <w:numId w:val="250"/>
        </w:numPr>
        <w:spacing w:line="280" w:lineRule="atLeast"/>
        <w:jc w:val="both"/>
        <w:rPr>
          <w:rFonts w:ascii="Times New Roman" w:hAnsi="Times New Roman"/>
          <w:i/>
          <w:iCs/>
          <w:szCs w:val="20"/>
          <w:lang w:eastAsia="x-none"/>
        </w:rPr>
      </w:pPr>
      <w:r w:rsidRPr="00EE5A73">
        <w:rPr>
          <w:rFonts w:ascii="Times New Roman" w:hAnsi="Times New Roman"/>
          <w:i/>
          <w:iCs/>
          <w:szCs w:val="20"/>
          <w:lang w:eastAsia="x-none"/>
        </w:rPr>
        <w:t>pathlossReferenceRSToReleaseList-r17</w:t>
      </w:r>
    </w:p>
    <w:p w14:paraId="0261A310" w14:textId="77777777" w:rsidR="00EE5A73" w:rsidRPr="00EE5A73" w:rsidRDefault="00EE5A73" w:rsidP="00EE5A73">
      <w:pPr>
        <w:rPr>
          <w:rFonts w:ascii="Times New Roman" w:hAnsi="Times New Roman"/>
          <w:lang w:eastAsia="zh-CN"/>
        </w:rPr>
      </w:pPr>
      <w:r w:rsidRPr="00EE5A73">
        <w:rPr>
          <w:rFonts w:ascii="Times New Roman" w:hAnsi="Times New Roman"/>
          <w:lang w:eastAsia="zh-CN"/>
        </w:rPr>
        <w:t xml:space="preserve">Note1: other RRC IEs are not excluded. </w:t>
      </w:r>
    </w:p>
    <w:p w14:paraId="76B93EE7" w14:textId="77777777" w:rsidR="00EE5A73" w:rsidRPr="00EE5A73" w:rsidRDefault="00EE5A73" w:rsidP="00EE5A73">
      <w:pPr>
        <w:rPr>
          <w:rFonts w:ascii="Times New Roman" w:hAnsi="Times New Roman"/>
          <w:bCs/>
          <w:lang w:eastAsia="x-none"/>
        </w:rPr>
      </w:pPr>
      <w:r w:rsidRPr="00EE5A73">
        <w:rPr>
          <w:rFonts w:ascii="Times New Roman" w:hAnsi="Times New Roman"/>
          <w:bCs/>
          <w:lang w:eastAsia="x-none"/>
        </w:rPr>
        <w:t xml:space="preserve">Note2: </w:t>
      </w:r>
      <w:r w:rsidRPr="00EE5A73">
        <w:rPr>
          <w:rFonts w:ascii="Times New Roman" w:hAnsi="Times New Roman"/>
          <w:bCs/>
          <w:i/>
          <w:iCs/>
          <w:lang w:eastAsia="x-none"/>
        </w:rPr>
        <w:t>ConfiguredGrantConfig</w:t>
      </w:r>
      <w:r w:rsidRPr="00EE5A73">
        <w:rPr>
          <w:rFonts w:ascii="Times New Roman" w:hAnsi="Times New Roman"/>
          <w:bCs/>
          <w:lang w:eastAsia="x-none"/>
        </w:rPr>
        <w:t xml:space="preserve"> is not reconfigured for an ongoing Type 2 CG-PUSCH per RAN2 specification.</w:t>
      </w:r>
    </w:p>
    <w:p w14:paraId="6D784A27" w14:textId="77777777" w:rsidR="00835CB1" w:rsidRPr="00EE5A73" w:rsidRDefault="00835CB1" w:rsidP="00835CB1">
      <w:pPr>
        <w:rPr>
          <w:rFonts w:ascii="Times New Roman" w:hAnsi="Times New Roman"/>
          <w:lang w:eastAsia="x-none"/>
        </w:rPr>
      </w:pPr>
    </w:p>
    <w:p w14:paraId="5DA32759" w14:textId="77777777" w:rsidR="001E74B6" w:rsidRPr="009537ED" w:rsidRDefault="001E74B6" w:rsidP="001E74B6">
      <w:pPr>
        <w:rPr>
          <w:lang w:eastAsia="x-none"/>
        </w:rPr>
      </w:pPr>
      <w:r w:rsidRPr="009537ED">
        <w:rPr>
          <w:lang w:eastAsia="x-none"/>
        </w:rPr>
        <w:t>-----------------------</w:t>
      </w:r>
    </w:p>
    <w:p w14:paraId="05605537" w14:textId="77777777" w:rsidR="00835CB1" w:rsidRPr="009537ED" w:rsidRDefault="00835CB1" w:rsidP="00835CB1">
      <w:pPr>
        <w:rPr>
          <w:b/>
          <w:lang w:eastAsia="x-none"/>
        </w:rPr>
      </w:pPr>
      <w:r w:rsidRPr="009537ED">
        <w:rPr>
          <w:b/>
          <w:lang w:eastAsia="x-none"/>
        </w:rPr>
        <w:t>Follow up discussion on aperiodic triggering support for SRS carrier switching from RAN1#114</w:t>
      </w:r>
    </w:p>
    <w:p w14:paraId="5BB1CA23" w14:textId="40892463" w:rsidR="00835CB1" w:rsidRPr="009537ED" w:rsidRDefault="005A18DC" w:rsidP="00835CB1">
      <w:pPr>
        <w:rPr>
          <w:lang w:eastAsia="x-none"/>
        </w:rPr>
      </w:pPr>
      <w:hyperlink r:id="rId389" w:history="1">
        <w:r w:rsidR="00AF7253">
          <w:rPr>
            <w:rStyle w:val="Hyperlink"/>
            <w:lang w:eastAsia="x-none"/>
          </w:rPr>
          <w:t>R1-2310929</w:t>
        </w:r>
      </w:hyperlink>
      <w:r w:rsidR="00835CB1" w:rsidRPr="009537ED">
        <w:rPr>
          <w:lang w:eastAsia="x-none"/>
        </w:rPr>
        <w:tab/>
        <w:t>Correction for SRS carrier switching for DCI formats 1_1 and 1_2</w:t>
      </w:r>
      <w:r w:rsidR="00835CB1" w:rsidRPr="009537ED">
        <w:rPr>
          <w:lang w:eastAsia="x-none"/>
        </w:rPr>
        <w:tab/>
        <w:t>Ericsson, T-Mobile USA, Verizon</w:t>
      </w:r>
    </w:p>
    <w:p w14:paraId="4EA49288" w14:textId="3D3F9730" w:rsidR="00835CB1" w:rsidRPr="009537ED" w:rsidRDefault="005A18DC" w:rsidP="00835CB1">
      <w:pPr>
        <w:rPr>
          <w:lang w:eastAsia="x-none"/>
        </w:rPr>
      </w:pPr>
      <w:hyperlink r:id="rId390" w:history="1">
        <w:r w:rsidR="00AF7253">
          <w:rPr>
            <w:rStyle w:val="Hyperlink"/>
            <w:lang w:eastAsia="x-none"/>
          </w:rPr>
          <w:t>R1-2310960</w:t>
        </w:r>
      </w:hyperlink>
      <w:r w:rsidR="00835CB1" w:rsidRPr="009537ED">
        <w:rPr>
          <w:lang w:eastAsia="x-none"/>
        </w:rPr>
        <w:tab/>
        <w:t>Discussion on aperiodic triggering support for SRS carrier switching</w:t>
      </w:r>
      <w:r w:rsidR="00835CB1" w:rsidRPr="009537ED">
        <w:rPr>
          <w:lang w:eastAsia="x-none"/>
        </w:rPr>
        <w:tab/>
        <w:t>ZTE</w:t>
      </w:r>
    </w:p>
    <w:p w14:paraId="1A9641E0" w14:textId="3C4B90F7" w:rsidR="00835CB1" w:rsidRPr="009537ED" w:rsidRDefault="005A18DC" w:rsidP="00835CB1">
      <w:pPr>
        <w:rPr>
          <w:lang w:eastAsia="x-none"/>
        </w:rPr>
      </w:pPr>
      <w:hyperlink r:id="rId391" w:history="1">
        <w:r w:rsidR="00AF7253">
          <w:rPr>
            <w:rStyle w:val="Hyperlink"/>
            <w:lang w:eastAsia="x-none"/>
          </w:rPr>
          <w:t>R1-2311039</w:t>
        </w:r>
      </w:hyperlink>
      <w:r w:rsidR="00835CB1" w:rsidRPr="009537ED">
        <w:rPr>
          <w:lang w:eastAsia="x-none"/>
        </w:rPr>
        <w:tab/>
        <w:t>Discussion on aperiodic triggering of SRS carrier switching</w:t>
      </w:r>
      <w:r w:rsidR="00835CB1" w:rsidRPr="009537ED">
        <w:rPr>
          <w:lang w:eastAsia="x-none"/>
        </w:rPr>
        <w:tab/>
        <w:t>Fujitsu</w:t>
      </w:r>
    </w:p>
    <w:p w14:paraId="1169F962" w14:textId="4D6E08BD" w:rsidR="00835CB1" w:rsidRPr="009537ED" w:rsidRDefault="005A18DC" w:rsidP="00835CB1">
      <w:pPr>
        <w:rPr>
          <w:lang w:eastAsia="x-none"/>
        </w:rPr>
      </w:pPr>
      <w:hyperlink r:id="rId392" w:history="1">
        <w:r w:rsidR="00AF7253">
          <w:rPr>
            <w:rStyle w:val="Hyperlink"/>
            <w:lang w:eastAsia="x-none"/>
          </w:rPr>
          <w:t>R1-2311221</w:t>
        </w:r>
      </w:hyperlink>
      <w:r w:rsidR="00835CB1" w:rsidRPr="009537ED">
        <w:rPr>
          <w:lang w:eastAsia="x-none"/>
        </w:rPr>
        <w:tab/>
        <w:t>Discussion on aperiodic triggering support for SRS carrier switching</w:t>
      </w:r>
      <w:r w:rsidR="00835CB1" w:rsidRPr="009537ED">
        <w:rPr>
          <w:lang w:eastAsia="x-none"/>
        </w:rPr>
        <w:tab/>
        <w:t>OPPO</w:t>
      </w:r>
    </w:p>
    <w:p w14:paraId="2990D143" w14:textId="5A590209" w:rsidR="00835CB1" w:rsidRPr="009537ED" w:rsidRDefault="005A18DC" w:rsidP="00835CB1">
      <w:pPr>
        <w:rPr>
          <w:lang w:eastAsia="x-none"/>
        </w:rPr>
      </w:pPr>
      <w:hyperlink r:id="rId393" w:history="1">
        <w:r w:rsidR="00AF7253">
          <w:rPr>
            <w:rStyle w:val="Hyperlink"/>
            <w:lang w:eastAsia="x-none"/>
          </w:rPr>
          <w:t>R1-2311666</w:t>
        </w:r>
      </w:hyperlink>
      <w:r w:rsidR="00835CB1" w:rsidRPr="009537ED">
        <w:rPr>
          <w:lang w:eastAsia="x-none"/>
        </w:rPr>
        <w:tab/>
        <w:t>On triggering A-SRS for carrier-based switching by a UE specific DCI</w:t>
      </w:r>
      <w:r w:rsidR="00835CB1" w:rsidRPr="009537ED">
        <w:rPr>
          <w:lang w:eastAsia="x-none"/>
        </w:rPr>
        <w:tab/>
        <w:t>Apple</w:t>
      </w:r>
    </w:p>
    <w:p w14:paraId="33B8B4B5" w14:textId="4A966837" w:rsidR="00835CB1" w:rsidRPr="009537ED" w:rsidRDefault="005A18DC" w:rsidP="00835CB1">
      <w:pPr>
        <w:rPr>
          <w:lang w:eastAsia="x-none"/>
        </w:rPr>
      </w:pPr>
      <w:hyperlink r:id="rId394" w:history="1">
        <w:r w:rsidR="00AF7253">
          <w:rPr>
            <w:rStyle w:val="Hyperlink"/>
            <w:lang w:eastAsia="x-none"/>
          </w:rPr>
          <w:t>R1-2311814</w:t>
        </w:r>
      </w:hyperlink>
      <w:r w:rsidR="00835CB1" w:rsidRPr="009537ED">
        <w:rPr>
          <w:lang w:eastAsia="x-none"/>
        </w:rPr>
        <w:tab/>
        <w:t>Discussion on aperiodic triggering for SRS carrier switching</w:t>
      </w:r>
      <w:r w:rsidR="00835CB1" w:rsidRPr="009537ED">
        <w:rPr>
          <w:lang w:eastAsia="x-none"/>
        </w:rPr>
        <w:tab/>
        <w:t>Samsung</w:t>
      </w:r>
    </w:p>
    <w:p w14:paraId="4FF95487" w14:textId="7C2F336E" w:rsidR="00835CB1" w:rsidRPr="009537ED" w:rsidRDefault="005A18DC" w:rsidP="00835CB1">
      <w:pPr>
        <w:rPr>
          <w:lang w:eastAsia="x-none"/>
        </w:rPr>
      </w:pPr>
      <w:hyperlink r:id="rId395" w:history="1">
        <w:r w:rsidR="00AF7253">
          <w:rPr>
            <w:rStyle w:val="Hyperlink"/>
            <w:lang w:eastAsia="x-none"/>
          </w:rPr>
          <w:t>R1-2312018</w:t>
        </w:r>
      </w:hyperlink>
      <w:r w:rsidR="00835CB1" w:rsidRPr="009537ED">
        <w:rPr>
          <w:lang w:eastAsia="x-none"/>
        </w:rPr>
        <w:tab/>
        <w:t>Issues on SRS carrier switching</w:t>
      </w:r>
      <w:r w:rsidR="00835CB1" w:rsidRPr="009537ED">
        <w:rPr>
          <w:lang w:eastAsia="x-none"/>
        </w:rPr>
        <w:tab/>
        <w:t>Qualcomm Incorporated</w:t>
      </w:r>
    </w:p>
    <w:p w14:paraId="2B2C918A" w14:textId="597D31EB" w:rsidR="00835CB1" w:rsidRPr="009537ED" w:rsidRDefault="005A18DC" w:rsidP="00835CB1">
      <w:pPr>
        <w:rPr>
          <w:lang w:eastAsia="x-none"/>
        </w:rPr>
      </w:pPr>
      <w:hyperlink r:id="rId396" w:history="1">
        <w:r w:rsidR="00AF7253">
          <w:rPr>
            <w:rStyle w:val="Hyperlink"/>
            <w:lang w:eastAsia="x-none"/>
          </w:rPr>
          <w:t>R1-2312196</w:t>
        </w:r>
      </w:hyperlink>
      <w:r w:rsidR="00835CB1" w:rsidRPr="009537ED">
        <w:rPr>
          <w:lang w:eastAsia="x-none"/>
        </w:rPr>
        <w:tab/>
        <w:t>SRS Carrier Switching with DL DCI formats</w:t>
      </w:r>
      <w:r w:rsidR="00835CB1" w:rsidRPr="009537ED">
        <w:rPr>
          <w:lang w:eastAsia="x-none"/>
        </w:rPr>
        <w:tab/>
        <w:t>Ericsson, T-Mobile USA, Verizon</w:t>
      </w:r>
    </w:p>
    <w:p w14:paraId="67D83472" w14:textId="454D9CD9" w:rsidR="00835CB1" w:rsidRPr="009537ED" w:rsidRDefault="005A18DC" w:rsidP="00835CB1">
      <w:pPr>
        <w:rPr>
          <w:lang w:eastAsia="x-none"/>
        </w:rPr>
      </w:pPr>
      <w:hyperlink r:id="rId397" w:history="1">
        <w:r w:rsidR="00AF7253">
          <w:rPr>
            <w:rStyle w:val="Hyperlink"/>
            <w:lang w:eastAsia="x-none"/>
          </w:rPr>
          <w:t>R1-2312200</w:t>
        </w:r>
      </w:hyperlink>
      <w:r w:rsidR="00835CB1" w:rsidRPr="009537ED">
        <w:rPr>
          <w:lang w:eastAsia="x-none"/>
        </w:rPr>
        <w:tab/>
        <w:t>On aperiodic triggering support for SRS carrier switching</w:t>
      </w:r>
      <w:r w:rsidR="00835CB1" w:rsidRPr="009537ED">
        <w:rPr>
          <w:lang w:eastAsia="x-none"/>
        </w:rPr>
        <w:tab/>
        <w:t>Nokia, Nokia Shanghai Bell</w:t>
      </w:r>
    </w:p>
    <w:p w14:paraId="6C60E708" w14:textId="28DA95DA" w:rsidR="00835CB1" w:rsidRPr="009537ED" w:rsidRDefault="005A18DC" w:rsidP="00835CB1">
      <w:pPr>
        <w:rPr>
          <w:lang w:eastAsia="x-none"/>
        </w:rPr>
      </w:pPr>
      <w:hyperlink r:id="rId398" w:history="1">
        <w:r w:rsidR="00AF7253">
          <w:rPr>
            <w:rStyle w:val="Hyperlink"/>
            <w:lang w:eastAsia="x-none"/>
          </w:rPr>
          <w:t>R1-2312228</w:t>
        </w:r>
      </w:hyperlink>
      <w:r w:rsidR="00835CB1" w:rsidRPr="009537ED">
        <w:rPr>
          <w:lang w:eastAsia="x-none"/>
        </w:rPr>
        <w:tab/>
        <w:t>Discussion on DL DCI triggering for SRS carrier switching</w:t>
      </w:r>
      <w:r w:rsidR="00835CB1" w:rsidRPr="009537ED">
        <w:rPr>
          <w:lang w:eastAsia="x-none"/>
        </w:rPr>
        <w:tab/>
        <w:t>Huawei, HiSilicon</w:t>
      </w:r>
    </w:p>
    <w:p w14:paraId="2A679925" w14:textId="03386F1B" w:rsidR="00835CB1" w:rsidRPr="004825B2" w:rsidRDefault="006B7AD9" w:rsidP="00835CB1">
      <w:pPr>
        <w:rPr>
          <w:lang w:eastAsia="x-none"/>
        </w:rPr>
      </w:pPr>
      <w:r w:rsidRPr="004825B2">
        <w:rPr>
          <w:b/>
          <w:bCs/>
          <w:lang w:eastAsia="x-none"/>
        </w:rPr>
        <w:t xml:space="preserve">Monday session: </w:t>
      </w:r>
      <w:r w:rsidR="00835CB1" w:rsidRPr="004825B2">
        <w:rPr>
          <w:lang w:eastAsia="x-none"/>
        </w:rPr>
        <w:t>To be moderated by Mark (Ericsson). Check status on Thursday.</w:t>
      </w:r>
    </w:p>
    <w:p w14:paraId="692C7597" w14:textId="113B352F" w:rsidR="004825B2" w:rsidRPr="0046648D" w:rsidRDefault="005A18DC" w:rsidP="004825B2">
      <w:pPr>
        <w:rPr>
          <w:b/>
          <w:bCs/>
          <w:lang w:eastAsia="x-none"/>
        </w:rPr>
      </w:pPr>
      <w:hyperlink r:id="rId399" w:history="1">
        <w:r w:rsidR="00AF7253">
          <w:rPr>
            <w:rStyle w:val="Hyperlink"/>
            <w:b/>
            <w:bCs/>
            <w:lang w:eastAsia="x-none"/>
          </w:rPr>
          <w:t>R1-2312459</w:t>
        </w:r>
      </w:hyperlink>
      <w:r w:rsidR="004825B2" w:rsidRPr="0046648D">
        <w:rPr>
          <w:b/>
          <w:bCs/>
          <w:lang w:eastAsia="x-none"/>
        </w:rPr>
        <w:tab/>
        <w:t>Summary of NR Rel-15/16 maintenance discussion for aperiodic triggering support for SRS carrier switching</w:t>
      </w:r>
      <w:r w:rsidR="004825B2" w:rsidRPr="0046648D">
        <w:rPr>
          <w:b/>
          <w:bCs/>
          <w:lang w:eastAsia="x-none"/>
        </w:rPr>
        <w:tab/>
        <w:t>Moderator (Ericsson)</w:t>
      </w:r>
    </w:p>
    <w:p w14:paraId="71FBAD72" w14:textId="77777777" w:rsidR="004825B2" w:rsidRPr="0046648D" w:rsidRDefault="004825B2" w:rsidP="004825B2">
      <w:pPr>
        <w:rPr>
          <w:rFonts w:eastAsia="Calibri"/>
          <w:u w:val="single"/>
        </w:rPr>
      </w:pPr>
      <w:r w:rsidRPr="0046648D">
        <w:rPr>
          <w:rFonts w:eastAsia="Calibri"/>
          <w:u w:val="single"/>
        </w:rPr>
        <w:t>Conclusion</w:t>
      </w:r>
    </w:p>
    <w:p w14:paraId="5F39EB9E" w14:textId="77777777" w:rsidR="004825B2" w:rsidRPr="00B90CB2" w:rsidRDefault="004825B2" w:rsidP="004825B2">
      <w:pPr>
        <w:rPr>
          <w:rFonts w:eastAsia="Calibri"/>
        </w:rPr>
      </w:pPr>
      <w:r w:rsidRPr="00B90CB2">
        <w:rPr>
          <w:rFonts w:eastAsia="Calibri"/>
        </w:rPr>
        <w:t>Minimum support for aperiodic SRS carrier switching triggered by DCI 1_1/1_2 requires the capabilities</w:t>
      </w:r>
    </w:p>
    <w:p w14:paraId="4C10FA51" w14:textId="2941682D" w:rsidR="004825B2" w:rsidRPr="00B90CB2" w:rsidRDefault="004825B2" w:rsidP="004825B2">
      <w:pPr>
        <w:numPr>
          <w:ilvl w:val="0"/>
          <w:numId w:val="251"/>
        </w:numPr>
        <w:rPr>
          <w:rFonts w:eastAsia="Times New Roman" w:cs="Times"/>
        </w:rPr>
      </w:pPr>
      <w:r w:rsidRPr="00B90CB2">
        <w:rPr>
          <w:rFonts w:eastAsia="Times New Roman" w:cs="Times"/>
          <w:i/>
          <w:iCs/>
          <w:szCs w:val="20"/>
        </w:rPr>
        <w:t>srs-CarrierSwitch</w:t>
      </w:r>
      <w:r w:rsidRPr="00B90CB2">
        <w:rPr>
          <w:rFonts w:eastAsia="Times New Roman" w:cs="Times"/>
          <w:szCs w:val="20"/>
        </w:rPr>
        <w:t> (feature group 2-56) and its prerequisite(s) as specified in 38.306.</w:t>
      </w:r>
    </w:p>
    <w:p w14:paraId="425FE12C" w14:textId="4D465F5D" w:rsidR="004825B2" w:rsidRPr="00B90CB2" w:rsidRDefault="004825B2" w:rsidP="004825B2">
      <w:pPr>
        <w:numPr>
          <w:ilvl w:val="0"/>
          <w:numId w:val="251"/>
        </w:numPr>
        <w:rPr>
          <w:rFonts w:eastAsia="Times New Roman" w:cs="Times"/>
        </w:rPr>
      </w:pPr>
      <w:r w:rsidRPr="00B90CB2">
        <w:rPr>
          <w:rFonts w:eastAsia="Times New Roman" w:cs="Times"/>
          <w:szCs w:val="20"/>
        </w:rPr>
        <w:t>Basic DL NR-NR CA operation, </w:t>
      </w:r>
      <w:r w:rsidRPr="00B90CB2">
        <w:rPr>
          <w:rFonts w:eastAsia="Times New Roman" w:cs="Times"/>
          <w:i/>
          <w:iCs/>
          <w:szCs w:val="20"/>
        </w:rPr>
        <w:t xml:space="preserve">supportedBandCombinationList </w:t>
      </w:r>
      <w:r w:rsidRPr="00B90CB2">
        <w:rPr>
          <w:rFonts w:eastAsia="Times New Roman" w:cs="Times"/>
          <w:szCs w:val="20"/>
        </w:rPr>
        <w:t> (FG 6-5), e.g. since 38.214 section 6.2.1.3 requires switching among carriers of serving cells</w:t>
      </w:r>
      <w:r w:rsidR="0046648D">
        <w:rPr>
          <w:rFonts w:eastAsia="Times New Roman" w:cs="Times"/>
          <w:szCs w:val="20"/>
        </w:rPr>
        <w:t>.</w:t>
      </w:r>
    </w:p>
    <w:p w14:paraId="734E3677" w14:textId="1FC54489" w:rsidR="004825B2" w:rsidRPr="00B90CB2" w:rsidRDefault="004825B2" w:rsidP="004825B2">
      <w:pPr>
        <w:numPr>
          <w:ilvl w:val="0"/>
          <w:numId w:val="251"/>
        </w:numPr>
        <w:rPr>
          <w:rFonts w:eastAsia="Times New Roman" w:cs="Times"/>
        </w:rPr>
      </w:pPr>
      <w:r w:rsidRPr="00B90CB2">
        <w:rPr>
          <w:rFonts w:eastAsia="Times New Roman" w:cs="Times"/>
          <w:szCs w:val="20"/>
        </w:rPr>
        <w:lastRenderedPageBreak/>
        <w:t>srs-TxSwitch (FG 2-55), as inferred by the similar requirement for format 2_3 in 38.214 section 6.1.2.3</w:t>
      </w:r>
      <w:r w:rsidR="0046648D">
        <w:rPr>
          <w:rFonts w:eastAsia="Times New Roman" w:cs="Times"/>
          <w:szCs w:val="20"/>
        </w:rPr>
        <w:t>.</w:t>
      </w:r>
    </w:p>
    <w:p w14:paraId="1A8C5923" w14:textId="77777777" w:rsidR="004825B2" w:rsidRPr="00B90CB2" w:rsidRDefault="004825B2" w:rsidP="004825B2">
      <w:pPr>
        <w:rPr>
          <w:rFonts w:eastAsia="Calibri"/>
        </w:rPr>
      </w:pPr>
      <w:r w:rsidRPr="00B90CB2">
        <w:rPr>
          <w:rFonts w:eastAsia="Calibri"/>
        </w:rPr>
        <w:t>If cross carrier scheduling is to be used for SRS carrier switching triggered by DCI 1_1/1_2, the additional capability is needed:</w:t>
      </w:r>
    </w:p>
    <w:p w14:paraId="15444864" w14:textId="77777777" w:rsidR="004825B2" w:rsidRPr="00B90CB2" w:rsidRDefault="004825B2" w:rsidP="0046648D">
      <w:pPr>
        <w:pStyle w:val="ListParagraph"/>
        <w:numPr>
          <w:ilvl w:val="0"/>
          <w:numId w:val="249"/>
        </w:numPr>
      </w:pPr>
      <w:r w:rsidRPr="0046648D">
        <w:rPr>
          <w:i/>
          <w:iCs/>
        </w:rPr>
        <w:t>crossCarrierScheduling-SameSCS</w:t>
      </w:r>
      <w:r w:rsidRPr="00B90CB2">
        <w:t xml:space="preserve"> (FG 6-10) if triggering cell and target cell for A-SRS CS are not the same.</w:t>
      </w:r>
    </w:p>
    <w:p w14:paraId="67F53D98" w14:textId="77777777" w:rsidR="004825B2" w:rsidRPr="0046648D" w:rsidRDefault="004825B2" w:rsidP="004825B2">
      <w:pPr>
        <w:wordWrap w:val="0"/>
        <w:rPr>
          <w:rFonts w:eastAsia="Calibri"/>
          <w:highlight w:val="green"/>
        </w:rPr>
      </w:pPr>
      <w:r w:rsidRPr="0046648D">
        <w:rPr>
          <w:rFonts w:eastAsia="Calibri"/>
          <w:highlight w:val="green"/>
        </w:rPr>
        <w:t>Agreement</w:t>
      </w:r>
    </w:p>
    <w:p w14:paraId="4648EAE0" w14:textId="1B85BC74" w:rsidR="004825B2" w:rsidRPr="00B90CB2" w:rsidRDefault="004825B2" w:rsidP="0046648D">
      <w:r w:rsidRPr="00B90CB2">
        <w:t>Alt 1 from RAN#114,</w:t>
      </w:r>
      <w:r w:rsidR="0046648D">
        <w:t xml:space="preserve"> </w:t>
      </w:r>
      <w:r w:rsidRPr="00B90CB2">
        <w:t>“RAN1 concludes that DCI 1_1 and 1_2 triggering are supported,</w:t>
      </w:r>
      <w:r w:rsidR="0046648D">
        <w:t xml:space="preserve"> </w:t>
      </w:r>
      <w:r w:rsidRPr="00B90CB2">
        <w:rPr>
          <w:color w:val="FF0000"/>
          <w:u w:val="single"/>
        </w:rPr>
        <w:t>subject to existing UE capabilities,</w:t>
      </w:r>
      <w:r w:rsidR="0046648D">
        <w:rPr>
          <w:color w:val="FF0000"/>
        </w:rPr>
        <w:t xml:space="preserve"> </w:t>
      </w:r>
      <w:r w:rsidRPr="00B90CB2">
        <w:t>for aperiodic SRS carrier switching in Rel-15” is agreed as</w:t>
      </w:r>
      <w:r w:rsidR="0046648D">
        <w:t xml:space="preserve"> </w:t>
      </w:r>
      <w:r w:rsidRPr="00B90CB2">
        <w:rPr>
          <w:color w:val="FF0000"/>
          <w:u w:val="single"/>
        </w:rPr>
        <w:t>updated</w:t>
      </w:r>
      <w:r w:rsidRPr="00B90CB2">
        <w:t>, and no new UE capability is defined for the support of DCI 1_1 and 1_2 triggering for aperiodic SRS carrier switching in the case where SRS is triggered by a single DCI.</w:t>
      </w:r>
    </w:p>
    <w:p w14:paraId="76677A79" w14:textId="77777777" w:rsidR="004825B2" w:rsidRPr="00B90CB2" w:rsidRDefault="004825B2" w:rsidP="0046648D">
      <w:pPr>
        <w:pStyle w:val="ListParagraph"/>
        <w:numPr>
          <w:ilvl w:val="0"/>
          <w:numId w:val="249"/>
        </w:numPr>
      </w:pPr>
      <w:r w:rsidRPr="00B90CB2">
        <w:t>FG 22-8, if indicated, also applies to SRS carrier switching (according to current specifications)</w:t>
      </w:r>
    </w:p>
    <w:p w14:paraId="76631EC7" w14:textId="77777777" w:rsidR="004825B2" w:rsidRPr="0046648D" w:rsidRDefault="004825B2" w:rsidP="004825B2">
      <w:pPr>
        <w:wordWrap w:val="0"/>
        <w:rPr>
          <w:rFonts w:eastAsia="Calibri"/>
          <w:highlight w:val="green"/>
        </w:rPr>
      </w:pPr>
      <w:r w:rsidRPr="0046648D">
        <w:rPr>
          <w:rFonts w:eastAsia="Calibri"/>
          <w:highlight w:val="green"/>
        </w:rPr>
        <w:t>Agreement</w:t>
      </w:r>
    </w:p>
    <w:p w14:paraId="53A0A982" w14:textId="77777777" w:rsidR="004825B2" w:rsidRPr="00062C3D" w:rsidRDefault="004825B2" w:rsidP="004825B2">
      <w:pPr>
        <w:rPr>
          <w:rFonts w:eastAsia="Times New Roman" w:cs="Times"/>
          <w:szCs w:val="20"/>
          <w:lang w:val="x-none"/>
        </w:rPr>
      </w:pPr>
      <w:r w:rsidRPr="00062C3D">
        <w:rPr>
          <w:rFonts w:eastAsia="Times New Roman" w:cs="Times"/>
          <w:szCs w:val="20"/>
          <w:lang w:val="x-none"/>
        </w:rPr>
        <w:t>Change 38.214 section 6.2.1.3 in a Rel-17/18 CR as follows</w:t>
      </w:r>
    </w:p>
    <w:p w14:paraId="5593CBBF" w14:textId="77777777" w:rsidR="004825B2" w:rsidRPr="00062C3D" w:rsidRDefault="004825B2" w:rsidP="0046648D">
      <w:pPr>
        <w:pStyle w:val="ListParagraph"/>
        <w:numPr>
          <w:ilvl w:val="0"/>
          <w:numId w:val="249"/>
        </w:numPr>
      </w:pPr>
      <w:r w:rsidRPr="00062C3D">
        <w:t>Capture on the cover sheet of the CR: “This CR can be implemented in earlier releases than the CR without causing interoperability issues”</w:t>
      </w:r>
    </w:p>
    <w:tbl>
      <w:tblPr>
        <w:tblW w:w="5000" w:type="pct"/>
        <w:tblCellMar>
          <w:left w:w="0" w:type="dxa"/>
          <w:right w:w="0" w:type="dxa"/>
        </w:tblCellMar>
        <w:tblLook w:val="04A0" w:firstRow="1" w:lastRow="0" w:firstColumn="1" w:lastColumn="0" w:noHBand="0" w:noVBand="1"/>
      </w:tblPr>
      <w:tblGrid>
        <w:gridCol w:w="10683"/>
      </w:tblGrid>
      <w:tr w:rsidR="004825B2" w:rsidRPr="00CB1A74" w14:paraId="6CB298A8" w14:textId="77777777" w:rsidTr="0046648D">
        <w:tc>
          <w:tcPr>
            <w:tcW w:w="500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1FC5154" w14:textId="77777777" w:rsidR="004825B2" w:rsidRPr="00CB1A74" w:rsidRDefault="004825B2" w:rsidP="00CB1A74">
            <w:pPr>
              <w:rPr>
                <w:rFonts w:ascii="Arial" w:eastAsia="Calibri" w:hAnsi="Arial" w:cs="Arial"/>
                <w:color w:val="FF0000"/>
                <w:sz w:val="16"/>
                <w:szCs w:val="16"/>
                <w:u w:val="single"/>
                <w:lang w:val="de-DE"/>
              </w:rPr>
            </w:pPr>
            <w:r w:rsidRPr="00CB1A74">
              <w:rPr>
                <w:rFonts w:ascii="Arial" w:eastAsia="Calibri" w:hAnsi="Arial" w:cs="Arial"/>
                <w:color w:val="000000"/>
                <w:sz w:val="16"/>
                <w:szCs w:val="16"/>
                <w:lang w:val="de-DE"/>
              </w:rPr>
              <w:t xml:space="preserve">For an aperiodic SRS triggered in DCI format 2_3 and if the UE is configured with higher layer parameter </w:t>
            </w:r>
            <w:r w:rsidRPr="00CB1A74">
              <w:rPr>
                <w:rFonts w:ascii="Arial" w:eastAsia="Calibri" w:hAnsi="Arial" w:cs="Arial"/>
                <w:i/>
                <w:iCs/>
                <w:sz w:val="16"/>
                <w:szCs w:val="16"/>
              </w:rPr>
              <w:t>srs-TPC-PDCCH-Group</w:t>
            </w:r>
            <w:r w:rsidRPr="00CB1A74">
              <w:rPr>
                <w:rFonts w:ascii="Arial" w:eastAsia="Calibri" w:hAnsi="Arial" w:cs="Arial"/>
                <w:color w:val="000000"/>
                <w:sz w:val="16"/>
                <w:szCs w:val="16"/>
                <w:lang w:val="de-DE"/>
              </w:rPr>
              <w:t xml:space="preserve"> set to 'typeB' without PUSCH/PUCCH transmission, the order of the triggered SRS transmission on the serving cells follow the order of the serving cells with aperiodic SRS triggered in the DCI, and the UE in each serving cell transmits the configured one or two SRS resource set(s) from </w:t>
            </w:r>
            <w:r w:rsidRPr="00CB1A74">
              <w:rPr>
                <w:rFonts w:ascii="Arial" w:eastAsia="Calibri" w:hAnsi="Arial" w:cs="Arial"/>
                <w:i/>
                <w:iCs/>
                <w:color w:val="000000"/>
                <w:sz w:val="16"/>
                <w:szCs w:val="16"/>
                <w:lang w:val="de-DE"/>
              </w:rPr>
              <w:t>srs-ResourceSetToAddModList</w:t>
            </w:r>
            <w:r w:rsidRPr="00CB1A74">
              <w:rPr>
                <w:rFonts w:ascii="Arial" w:eastAsia="Calibri" w:hAnsi="Arial" w:cs="Arial"/>
                <w:color w:val="000000"/>
                <w:sz w:val="16"/>
                <w:szCs w:val="16"/>
                <w:lang w:val="de-DE"/>
              </w:rPr>
              <w:t xml:space="preserve"> with higher layer parameter </w:t>
            </w:r>
            <w:r w:rsidRPr="00CB1A74">
              <w:rPr>
                <w:rFonts w:ascii="Arial" w:eastAsia="Calibri" w:hAnsi="Arial" w:cs="Arial"/>
                <w:i/>
                <w:iCs/>
                <w:color w:val="000000"/>
                <w:sz w:val="16"/>
                <w:szCs w:val="16"/>
                <w:lang w:val="de-DE"/>
              </w:rPr>
              <w:t>usage</w:t>
            </w:r>
            <w:r w:rsidRPr="00CB1A74">
              <w:rPr>
                <w:rFonts w:ascii="Arial" w:eastAsia="Calibri" w:hAnsi="Arial" w:cs="Arial"/>
                <w:color w:val="000000"/>
                <w:sz w:val="16"/>
                <w:szCs w:val="16"/>
                <w:lang w:val="de-DE"/>
              </w:rPr>
              <w:t xml:space="preserve"> set to 'antennaSwitching' and higher layer parameter </w:t>
            </w:r>
            <w:r w:rsidRPr="00CB1A74">
              <w:rPr>
                <w:rFonts w:ascii="Arial" w:eastAsia="Calibri" w:hAnsi="Arial" w:cs="Arial"/>
                <w:i/>
                <w:iCs/>
                <w:color w:val="000000"/>
                <w:sz w:val="16"/>
                <w:szCs w:val="16"/>
                <w:lang w:val="de-DE"/>
              </w:rPr>
              <w:t>resourceType</w:t>
            </w:r>
            <w:r w:rsidRPr="00CB1A74">
              <w:rPr>
                <w:rFonts w:ascii="Arial" w:eastAsia="Calibri" w:hAnsi="Arial" w:cs="Arial"/>
                <w:color w:val="000000"/>
                <w:sz w:val="16"/>
                <w:szCs w:val="16"/>
                <w:lang w:val="de-DE"/>
              </w:rPr>
              <w:t xml:space="preserve"> in </w:t>
            </w:r>
            <w:r w:rsidRPr="00CB1A74">
              <w:rPr>
                <w:rFonts w:ascii="Arial" w:eastAsia="Calibri" w:hAnsi="Arial" w:cs="Arial"/>
                <w:i/>
                <w:iCs/>
                <w:color w:val="000000"/>
                <w:sz w:val="16"/>
                <w:szCs w:val="16"/>
                <w:lang w:val="de-DE"/>
              </w:rPr>
              <w:t>SRS-ResourceSet</w:t>
            </w:r>
            <w:r w:rsidRPr="00CB1A74">
              <w:rPr>
                <w:rFonts w:ascii="Arial" w:eastAsia="Calibri" w:hAnsi="Arial" w:cs="Arial"/>
                <w:color w:val="000000"/>
                <w:sz w:val="16"/>
                <w:szCs w:val="16"/>
                <w:lang w:val="de-DE"/>
              </w:rPr>
              <w:t xml:space="preserve"> set to 'aperiodic'.</w:t>
            </w:r>
          </w:p>
          <w:p w14:paraId="67C8CF6A" w14:textId="77777777" w:rsidR="004825B2" w:rsidRPr="00CB1A74" w:rsidRDefault="004825B2" w:rsidP="00CB1A74">
            <w:pPr>
              <w:rPr>
                <w:rFonts w:ascii="Arial" w:eastAsia="Calibri" w:hAnsi="Arial" w:cs="Arial"/>
                <w:color w:val="FF0000"/>
                <w:sz w:val="16"/>
                <w:szCs w:val="16"/>
                <w:lang w:val="de-DE" w:eastAsia="en-GB"/>
              </w:rPr>
            </w:pPr>
            <w:r w:rsidRPr="00CB1A74">
              <w:rPr>
                <w:rFonts w:ascii="Arial" w:eastAsia="Calibri" w:hAnsi="Arial" w:cs="Arial"/>
                <w:color w:val="FF0000"/>
                <w:sz w:val="16"/>
                <w:szCs w:val="16"/>
                <w:u w:val="single"/>
                <w:lang w:val="de-DE" w:eastAsia="en-GB"/>
              </w:rPr>
              <w:t xml:space="preserve">For an aperiodic SRS triggered in DCI format 1_1 or 1_2, if </w:t>
            </w:r>
            <w:r w:rsidRPr="00CB1A74">
              <w:rPr>
                <w:rFonts w:ascii="Arial" w:eastAsia="Calibri" w:hAnsi="Arial" w:cs="Arial"/>
                <w:color w:val="FF0000"/>
                <w:sz w:val="16"/>
                <w:szCs w:val="16"/>
                <w:u w:val="single"/>
                <w:lang w:eastAsia="en-GB"/>
              </w:rPr>
              <w:t>the UE</w:t>
            </w:r>
            <w:r w:rsidRPr="00CB1A74">
              <w:rPr>
                <w:rFonts w:ascii="Arial" w:eastAsia="Calibri" w:hAnsi="Arial" w:cs="Arial"/>
                <w:color w:val="FF0000"/>
                <w:sz w:val="16"/>
                <w:szCs w:val="16"/>
                <w:u w:val="single"/>
                <w:lang w:val="de-DE" w:eastAsia="en-GB"/>
              </w:rPr>
              <w:t xml:space="preserve"> is configured by </w:t>
            </w:r>
            <w:r w:rsidRPr="00CB1A74">
              <w:rPr>
                <w:rFonts w:ascii="Arial" w:eastAsia="Calibri" w:hAnsi="Arial" w:cs="Arial"/>
                <w:i/>
                <w:iCs/>
                <w:color w:val="FF0000"/>
                <w:sz w:val="16"/>
                <w:szCs w:val="16"/>
                <w:u w:val="single"/>
                <w:lang w:val="de-DE" w:eastAsia="en-GB"/>
              </w:rPr>
              <w:t>SRS-CarrierSwitching</w:t>
            </w:r>
            <w:r w:rsidRPr="00CB1A74">
              <w:rPr>
                <w:rFonts w:ascii="Arial" w:eastAsia="Calibri" w:hAnsi="Arial" w:cs="Arial"/>
                <w:color w:val="FF0000"/>
                <w:sz w:val="16"/>
                <w:szCs w:val="16"/>
                <w:u w:val="single"/>
                <w:lang w:val="de-DE" w:eastAsia="en-GB"/>
              </w:rPr>
              <w:t xml:space="preserve">, </w:t>
            </w:r>
            <w:r w:rsidRPr="00CB1A74">
              <w:rPr>
                <w:rFonts w:ascii="Arial" w:eastAsia="Calibri" w:hAnsi="Arial" w:cs="Arial"/>
                <w:color w:val="FF0000"/>
                <w:sz w:val="16"/>
                <w:szCs w:val="16"/>
                <w:u w:val="single"/>
                <w:lang w:eastAsia="en-GB"/>
              </w:rPr>
              <w:t xml:space="preserve">it </w:t>
            </w:r>
            <w:r w:rsidRPr="00CB1A74">
              <w:rPr>
                <w:rFonts w:ascii="Arial" w:eastAsia="Calibri" w:hAnsi="Arial" w:cs="Arial"/>
                <w:color w:val="FF0000"/>
                <w:sz w:val="16"/>
                <w:szCs w:val="16"/>
                <w:u w:val="single"/>
                <w:lang w:val="de-DE" w:eastAsia="en-GB"/>
              </w:rPr>
              <w:t xml:space="preserve">transmits SRS on one serving cell not configured for PUSCH/PUCCH transmission scheduled by the DCI and the UE in the serving cell transmits the configured one or two SRS resource set(s) with higher layer parameter usage set to ‘antennaSwitching’ and higher layer parameter </w:t>
            </w:r>
            <w:r w:rsidRPr="00CB1A74">
              <w:rPr>
                <w:rFonts w:ascii="Arial" w:eastAsia="Calibri" w:hAnsi="Arial" w:cs="Arial"/>
                <w:i/>
                <w:iCs/>
                <w:color w:val="FF0000"/>
                <w:sz w:val="16"/>
                <w:szCs w:val="16"/>
                <w:u w:val="single"/>
                <w:lang w:val="de-DE" w:eastAsia="en-GB"/>
              </w:rPr>
              <w:t>resourceType</w:t>
            </w:r>
            <w:r w:rsidRPr="00CB1A74">
              <w:rPr>
                <w:rFonts w:ascii="Arial" w:eastAsia="Calibri" w:hAnsi="Arial" w:cs="Arial"/>
                <w:color w:val="FF0000"/>
                <w:sz w:val="16"/>
                <w:szCs w:val="16"/>
                <w:u w:val="single"/>
                <w:lang w:val="de-DE" w:eastAsia="en-GB"/>
              </w:rPr>
              <w:t xml:space="preserve"> in </w:t>
            </w:r>
            <w:r w:rsidRPr="00CB1A74">
              <w:rPr>
                <w:rFonts w:ascii="Arial" w:eastAsia="Calibri" w:hAnsi="Arial" w:cs="Arial"/>
                <w:i/>
                <w:iCs/>
                <w:color w:val="FF0000"/>
                <w:sz w:val="16"/>
                <w:szCs w:val="16"/>
                <w:u w:val="single"/>
                <w:lang w:val="de-DE" w:eastAsia="en-GB"/>
              </w:rPr>
              <w:t>SRS-ResourceSet</w:t>
            </w:r>
            <w:r w:rsidRPr="00CB1A74">
              <w:rPr>
                <w:rFonts w:ascii="Arial" w:eastAsia="Calibri" w:hAnsi="Arial" w:cs="Arial"/>
                <w:color w:val="FF0000"/>
                <w:sz w:val="16"/>
                <w:szCs w:val="16"/>
                <w:u w:val="single"/>
                <w:lang w:val="de-DE" w:eastAsia="en-GB"/>
              </w:rPr>
              <w:t xml:space="preserve"> set to ‘aperiodic’.</w:t>
            </w:r>
          </w:p>
          <w:p w14:paraId="1DCA15CA" w14:textId="77777777" w:rsidR="004825B2" w:rsidRPr="00CB1A74" w:rsidRDefault="004825B2" w:rsidP="00CB1A74">
            <w:pPr>
              <w:autoSpaceDN w:val="0"/>
              <w:rPr>
                <w:rFonts w:ascii="Arial" w:eastAsia="Calibri" w:hAnsi="Arial" w:cs="Arial"/>
                <w:sz w:val="16"/>
                <w:szCs w:val="16"/>
                <w:lang w:eastAsia="en-GB"/>
              </w:rPr>
            </w:pPr>
            <w:r w:rsidRPr="00CB1A74">
              <w:rPr>
                <w:rFonts w:ascii="Arial" w:eastAsia="Calibri" w:hAnsi="Arial" w:cs="Arial"/>
                <w:color w:val="000000"/>
                <w:sz w:val="16"/>
                <w:szCs w:val="16"/>
                <w:lang w:val="de-DE" w:eastAsia="en-GB"/>
              </w:rPr>
              <w:t>If the UE is not configured for PUSCH/PUCCH transmission on carrier</w:t>
            </w:r>
            <w:r w:rsidRPr="00CB1A74">
              <w:rPr>
                <w:rFonts w:ascii="Arial" w:eastAsia="Calibri" w:hAnsi="Arial" w:cs="Arial"/>
                <w:i/>
                <w:iCs/>
                <w:color w:val="000000"/>
                <w:sz w:val="16"/>
                <w:szCs w:val="16"/>
                <w:lang w:val="de-DE" w:eastAsia="en-GB"/>
              </w:rPr>
              <w:t xml:space="preserve"> c</w:t>
            </w:r>
            <w:r w:rsidRPr="00CB1A74">
              <w:rPr>
                <w:rFonts w:ascii="Arial" w:eastAsia="Calibri" w:hAnsi="Arial" w:cs="Arial"/>
                <w:i/>
                <w:iCs/>
                <w:color w:val="000000"/>
                <w:sz w:val="16"/>
                <w:szCs w:val="16"/>
                <w:vertAlign w:val="subscript"/>
                <w:lang w:val="de-DE" w:eastAsia="en-GB"/>
              </w:rPr>
              <w:t xml:space="preserve">1 </w:t>
            </w:r>
            <w:r w:rsidRPr="00CB1A74">
              <w:rPr>
                <w:rFonts w:ascii="Arial" w:eastAsia="Calibri" w:hAnsi="Arial" w:cs="Arial"/>
                <w:color w:val="000000"/>
                <w:sz w:val="16"/>
                <w:szCs w:val="16"/>
                <w:lang w:val="de-DE" w:eastAsia="en-GB"/>
              </w:rPr>
              <w:t xml:space="preserve">with slot formats comprised of DL and UL symbols, and if the UE is not capable of simultaneous reception and transmission on carrier </w:t>
            </w:r>
            <w:r w:rsidRPr="00CB1A74">
              <w:rPr>
                <w:rFonts w:ascii="Arial" w:eastAsia="Calibri" w:hAnsi="Arial" w:cs="Arial"/>
                <w:i/>
                <w:iCs/>
                <w:color w:val="000000"/>
                <w:sz w:val="16"/>
                <w:szCs w:val="16"/>
                <w:lang w:val="de-DE" w:eastAsia="en-GB"/>
              </w:rPr>
              <w:t>c</w:t>
            </w:r>
            <w:r w:rsidRPr="00CB1A74">
              <w:rPr>
                <w:rFonts w:ascii="Arial" w:eastAsia="Calibri" w:hAnsi="Arial" w:cs="Arial"/>
                <w:i/>
                <w:iCs/>
                <w:color w:val="000000"/>
                <w:sz w:val="16"/>
                <w:szCs w:val="16"/>
                <w:vertAlign w:val="subscript"/>
                <w:lang w:val="de-DE" w:eastAsia="en-GB"/>
              </w:rPr>
              <w:t>1</w:t>
            </w:r>
            <w:r w:rsidRPr="00CB1A74">
              <w:rPr>
                <w:rFonts w:ascii="Arial" w:eastAsia="Calibri" w:hAnsi="Arial" w:cs="Arial"/>
                <w:color w:val="000000"/>
                <w:sz w:val="16"/>
                <w:szCs w:val="16"/>
                <w:vertAlign w:val="subscript"/>
                <w:lang w:val="de-DE" w:eastAsia="en-GB"/>
              </w:rPr>
              <w:t xml:space="preserve"> </w:t>
            </w:r>
            <w:r w:rsidRPr="00CB1A74">
              <w:rPr>
                <w:rFonts w:ascii="Arial" w:eastAsia="Calibri" w:hAnsi="Arial" w:cs="Arial"/>
                <w:color w:val="000000"/>
                <w:sz w:val="16"/>
                <w:szCs w:val="16"/>
                <w:lang w:val="de-DE" w:eastAsia="en-GB"/>
              </w:rPr>
              <w:t>and serving cell</w:t>
            </w:r>
            <w:r w:rsidRPr="00CB1A74">
              <w:rPr>
                <w:rFonts w:ascii="Arial" w:eastAsia="Calibri" w:hAnsi="Arial" w:cs="Arial"/>
                <w:i/>
                <w:iCs/>
                <w:color w:val="000000"/>
                <w:sz w:val="16"/>
                <w:szCs w:val="16"/>
                <w:lang w:val="de-DE" w:eastAsia="en-GB"/>
              </w:rPr>
              <w:t xml:space="preserve"> c</w:t>
            </w:r>
            <w:r w:rsidRPr="00CB1A74">
              <w:rPr>
                <w:rFonts w:ascii="Arial" w:eastAsia="Calibri" w:hAnsi="Arial" w:cs="Arial"/>
                <w:i/>
                <w:iCs/>
                <w:color w:val="000000"/>
                <w:sz w:val="16"/>
                <w:szCs w:val="16"/>
                <w:vertAlign w:val="subscript"/>
                <w:lang w:val="de-DE" w:eastAsia="en-GB"/>
              </w:rPr>
              <w:t>2</w:t>
            </w:r>
            <w:r w:rsidRPr="00CB1A74">
              <w:rPr>
                <w:rFonts w:ascii="Arial" w:eastAsia="Calibri" w:hAnsi="Arial" w:cs="Arial"/>
                <w:color w:val="000000"/>
                <w:sz w:val="16"/>
                <w:szCs w:val="16"/>
                <w:lang w:val="de-DE" w:eastAsia="en-GB"/>
              </w:rPr>
              <w:t>, the UE is not expected to be configured or indicated with SRS resource(s) such that SRS transmission on carrier</w:t>
            </w:r>
            <w:r w:rsidRPr="00CB1A74">
              <w:rPr>
                <w:rFonts w:ascii="Arial" w:eastAsia="Calibri" w:hAnsi="Arial" w:cs="Arial"/>
                <w:i/>
                <w:iCs/>
                <w:color w:val="000000"/>
                <w:sz w:val="16"/>
                <w:szCs w:val="16"/>
                <w:lang w:val="de-DE" w:eastAsia="en-GB"/>
              </w:rPr>
              <w:t xml:space="preserve"> c</w:t>
            </w:r>
            <w:r w:rsidRPr="00CB1A74">
              <w:rPr>
                <w:rFonts w:ascii="Arial" w:eastAsia="Calibri" w:hAnsi="Arial" w:cs="Arial"/>
                <w:i/>
                <w:iCs/>
                <w:color w:val="000000"/>
                <w:sz w:val="16"/>
                <w:szCs w:val="16"/>
                <w:vertAlign w:val="subscript"/>
                <w:lang w:val="de-DE" w:eastAsia="en-GB"/>
              </w:rPr>
              <w:t>1</w:t>
            </w:r>
            <w:r w:rsidRPr="00CB1A74">
              <w:rPr>
                <w:rFonts w:ascii="Arial" w:eastAsia="Calibri" w:hAnsi="Arial" w:cs="Arial"/>
                <w:color w:val="000000"/>
                <w:sz w:val="16"/>
                <w:szCs w:val="16"/>
                <w:lang w:val="de-DE" w:eastAsia="en-GB"/>
              </w:rPr>
              <w:t xml:space="preserve"> (including any interruption due to uplink or downlink RF retuning time [11, TS 38.133] as defined by higher layer parameters </w:t>
            </w:r>
            <w:r w:rsidRPr="00CB1A74">
              <w:rPr>
                <w:rFonts w:ascii="Arial" w:eastAsia="Calibri" w:hAnsi="Arial" w:cs="Arial"/>
                <w:i/>
                <w:iCs/>
                <w:sz w:val="16"/>
                <w:szCs w:val="16"/>
                <w:lang w:eastAsia="en-GB"/>
              </w:rPr>
              <w:t>switchingTimeUL</w:t>
            </w:r>
            <w:r w:rsidRPr="00CB1A74">
              <w:rPr>
                <w:rFonts w:ascii="Arial" w:eastAsia="Calibri" w:hAnsi="Arial" w:cs="Arial"/>
                <w:color w:val="000000"/>
                <w:sz w:val="16"/>
                <w:szCs w:val="16"/>
                <w:lang w:eastAsia="en-GB"/>
              </w:rPr>
              <w:t xml:space="preserve"> and </w:t>
            </w:r>
            <w:r w:rsidRPr="00CB1A74">
              <w:rPr>
                <w:rFonts w:ascii="Arial" w:eastAsia="Calibri" w:hAnsi="Arial" w:cs="Arial"/>
                <w:i/>
                <w:iCs/>
                <w:sz w:val="16"/>
                <w:szCs w:val="16"/>
                <w:lang w:eastAsia="en-GB"/>
              </w:rPr>
              <w:t>switchingTimeDL</w:t>
            </w:r>
            <w:r w:rsidRPr="00CB1A74">
              <w:rPr>
                <w:rFonts w:ascii="Arial" w:eastAsia="Calibri" w:hAnsi="Arial" w:cs="Arial"/>
                <w:color w:val="000000"/>
                <w:sz w:val="16"/>
                <w:szCs w:val="16"/>
                <w:lang w:eastAsia="en-GB"/>
              </w:rPr>
              <w:t xml:space="preserve"> of </w:t>
            </w:r>
            <w:r w:rsidRPr="00CB1A74">
              <w:rPr>
                <w:rFonts w:ascii="Arial" w:eastAsia="Calibri" w:hAnsi="Arial" w:cs="Arial"/>
                <w:i/>
                <w:iCs/>
                <w:color w:val="000000"/>
                <w:sz w:val="16"/>
                <w:szCs w:val="16"/>
                <w:lang w:eastAsia="en-GB"/>
              </w:rPr>
              <w:t>SRS-SwitchingTimeNR</w:t>
            </w:r>
            <w:r w:rsidRPr="00CB1A74">
              <w:rPr>
                <w:rFonts w:ascii="Arial" w:eastAsia="Calibri" w:hAnsi="Arial" w:cs="Arial"/>
                <w:color w:val="000000"/>
                <w:sz w:val="16"/>
                <w:szCs w:val="16"/>
                <w:lang w:val="de-DE" w:eastAsia="en-GB"/>
              </w:rPr>
              <w:t xml:space="preserve">) would collide with the REs corresponding to the SS/PBCH blocks configured for the UE or the slots belonging to a control resource set indicated by </w:t>
            </w:r>
            <w:r w:rsidRPr="00CB1A74">
              <w:rPr>
                <w:rFonts w:ascii="Arial" w:eastAsia="Calibri" w:hAnsi="Arial" w:cs="Arial"/>
                <w:i/>
                <w:iCs/>
                <w:sz w:val="16"/>
                <w:szCs w:val="16"/>
                <w:lang w:eastAsia="en-GB"/>
              </w:rPr>
              <w:t>MIB</w:t>
            </w:r>
            <w:r w:rsidRPr="00CB1A74">
              <w:rPr>
                <w:rFonts w:ascii="Arial" w:eastAsia="Calibri" w:hAnsi="Arial" w:cs="Arial"/>
                <w:color w:val="000000"/>
                <w:sz w:val="16"/>
                <w:szCs w:val="16"/>
                <w:lang w:val="de-DE" w:eastAsia="en-GB"/>
              </w:rPr>
              <w:t xml:space="preserve"> or </w:t>
            </w:r>
            <w:r w:rsidRPr="00CB1A74">
              <w:rPr>
                <w:rFonts w:ascii="Arial" w:eastAsia="Calibri" w:hAnsi="Arial" w:cs="Arial"/>
                <w:i/>
                <w:iCs/>
                <w:sz w:val="16"/>
                <w:szCs w:val="16"/>
                <w:lang w:eastAsia="en-GB"/>
              </w:rPr>
              <w:t>SIB1</w:t>
            </w:r>
            <w:r w:rsidRPr="00CB1A74">
              <w:rPr>
                <w:rFonts w:ascii="Arial" w:eastAsia="Calibri" w:hAnsi="Arial" w:cs="Arial"/>
                <w:color w:val="000000"/>
                <w:sz w:val="16"/>
                <w:szCs w:val="16"/>
                <w:lang w:val="de-DE" w:eastAsia="en-GB"/>
              </w:rPr>
              <w:t xml:space="preserve"> on serving cell</w:t>
            </w:r>
            <w:r w:rsidRPr="00CB1A74">
              <w:rPr>
                <w:rFonts w:ascii="Arial" w:eastAsia="Calibri" w:hAnsi="Arial" w:cs="Arial"/>
                <w:i/>
                <w:iCs/>
                <w:color w:val="000000"/>
                <w:sz w:val="16"/>
                <w:szCs w:val="16"/>
                <w:lang w:val="de-DE" w:eastAsia="en-GB"/>
              </w:rPr>
              <w:t xml:space="preserve"> c</w:t>
            </w:r>
            <w:r w:rsidRPr="00CB1A74">
              <w:rPr>
                <w:rFonts w:ascii="Arial" w:eastAsia="Calibri" w:hAnsi="Arial" w:cs="Arial"/>
                <w:i/>
                <w:iCs/>
                <w:color w:val="000000"/>
                <w:sz w:val="16"/>
                <w:szCs w:val="16"/>
                <w:vertAlign w:val="subscript"/>
                <w:lang w:val="de-DE" w:eastAsia="en-GB"/>
              </w:rPr>
              <w:t>2</w:t>
            </w:r>
            <w:r w:rsidRPr="00CB1A74">
              <w:rPr>
                <w:rFonts w:ascii="Arial" w:eastAsia="Calibri" w:hAnsi="Arial" w:cs="Arial"/>
                <w:color w:val="000000"/>
                <w:sz w:val="16"/>
                <w:szCs w:val="16"/>
                <w:lang w:val="de-DE" w:eastAsia="en-GB"/>
              </w:rPr>
              <w:t>.</w:t>
            </w:r>
          </w:p>
        </w:tc>
      </w:tr>
    </w:tbl>
    <w:p w14:paraId="1A9760AA" w14:textId="77777777" w:rsidR="004825B2" w:rsidRPr="00062C3D" w:rsidRDefault="004825B2" w:rsidP="00CB1A74">
      <w:pPr>
        <w:pStyle w:val="ListParagraph"/>
        <w:numPr>
          <w:ilvl w:val="0"/>
          <w:numId w:val="249"/>
        </w:numPr>
      </w:pPr>
      <w:r w:rsidRPr="00062C3D">
        <w:t>Given the support of cross carrier scheduling for SRS carrier switching, it is noted that the following conclusion can also apply to DCI format 1_2 </w:t>
      </w:r>
    </w:p>
    <w:tbl>
      <w:tblPr>
        <w:tblW w:w="5000" w:type="pct"/>
        <w:tblCellMar>
          <w:left w:w="0" w:type="dxa"/>
          <w:right w:w="0" w:type="dxa"/>
        </w:tblCellMar>
        <w:tblLook w:val="04A0" w:firstRow="1" w:lastRow="0" w:firstColumn="1" w:lastColumn="0" w:noHBand="0" w:noVBand="1"/>
      </w:tblPr>
      <w:tblGrid>
        <w:gridCol w:w="10497"/>
      </w:tblGrid>
      <w:tr w:rsidR="004825B2" w:rsidRPr="00CB1A74" w14:paraId="176E6795" w14:textId="77777777" w:rsidTr="00CB1A74">
        <w:tc>
          <w:tcPr>
            <w:tcW w:w="5000" w:type="pct"/>
            <w:tcBorders>
              <w:top w:val="single" w:sz="8" w:space="0" w:color="000000"/>
              <w:left w:val="single" w:sz="8" w:space="0" w:color="000000"/>
              <w:bottom w:val="single" w:sz="8" w:space="0" w:color="000000"/>
              <w:right w:val="single" w:sz="8" w:space="0" w:color="000000"/>
            </w:tcBorders>
            <w:tcMar>
              <w:top w:w="15" w:type="dxa"/>
              <w:left w:w="15" w:type="dxa"/>
              <w:bottom w:w="15" w:type="dxa"/>
              <w:right w:w="15" w:type="dxa"/>
            </w:tcMar>
            <w:hideMark/>
          </w:tcPr>
          <w:p w14:paraId="3C642882" w14:textId="77777777" w:rsidR="004825B2" w:rsidRPr="00CB1A74" w:rsidRDefault="004825B2" w:rsidP="009F368E">
            <w:pPr>
              <w:rPr>
                <w:rFonts w:ascii="Arial" w:hAnsi="Arial" w:cs="Arial"/>
                <w:sz w:val="16"/>
                <w:szCs w:val="16"/>
              </w:rPr>
            </w:pPr>
            <w:r w:rsidRPr="00CB1A74">
              <w:rPr>
                <w:rFonts w:ascii="Arial" w:eastAsia="Gulim" w:hAnsi="Arial" w:cs="Arial"/>
                <w:b/>
                <w:bCs/>
                <w:sz w:val="16"/>
                <w:szCs w:val="16"/>
                <w:lang w:eastAsia="zh-CN"/>
              </w:rPr>
              <w:t>Conclusion (RAN1#99)</w:t>
            </w:r>
          </w:p>
          <w:p w14:paraId="6972D964" w14:textId="77777777" w:rsidR="004825B2" w:rsidRPr="00CB1A74" w:rsidRDefault="004825B2" w:rsidP="009F368E">
            <w:pPr>
              <w:rPr>
                <w:rFonts w:ascii="Arial" w:eastAsia="SimSun" w:hAnsi="Arial" w:cs="Arial"/>
                <w:color w:val="493118"/>
                <w:sz w:val="16"/>
                <w:szCs w:val="16"/>
                <w:lang w:eastAsia="zh-CN"/>
              </w:rPr>
            </w:pPr>
            <w:r w:rsidRPr="00CB1A74">
              <w:rPr>
                <w:rFonts w:ascii="Arial" w:eastAsia="SimSun" w:hAnsi="Arial" w:cs="Arial"/>
                <w:color w:val="493118"/>
                <w:sz w:val="16"/>
                <w:szCs w:val="16"/>
                <w:lang w:eastAsia="zh-CN"/>
              </w:rPr>
              <w:t>If the UE is configured with a carrier indicator field by CrossCarrierSchedulingConfig , the serving cell of triggered SRS is indicated by the carrier indicator field,  as defined in Subclause 10.1 of [5, TS 38.213].</w:t>
            </w:r>
          </w:p>
          <w:p w14:paraId="760ACD2E" w14:textId="77777777" w:rsidR="004825B2" w:rsidRPr="00CB1A74" w:rsidRDefault="004825B2" w:rsidP="009F368E">
            <w:pPr>
              <w:rPr>
                <w:rFonts w:ascii="Arial" w:hAnsi="Arial" w:cs="Arial"/>
                <w:color w:val="FF0000"/>
                <w:sz w:val="16"/>
                <w:szCs w:val="16"/>
              </w:rPr>
            </w:pPr>
            <w:r w:rsidRPr="00CB1A74">
              <w:rPr>
                <w:rFonts w:ascii="Arial" w:hAnsi="Arial" w:cs="Arial"/>
                <w:color w:val="FF0000"/>
                <w:sz w:val="16"/>
                <w:szCs w:val="16"/>
              </w:rPr>
              <w:t>Applies only for DCI format 0_1 and 1_1</w:t>
            </w:r>
          </w:p>
        </w:tc>
      </w:tr>
    </w:tbl>
    <w:p w14:paraId="30FFD026" w14:textId="77777777" w:rsidR="00CB1A74" w:rsidRDefault="00CB1A74" w:rsidP="004825B2">
      <w:pPr>
        <w:rPr>
          <w:rFonts w:eastAsia="Times New Roman" w:cs="Times"/>
          <w:szCs w:val="20"/>
        </w:rPr>
      </w:pPr>
    </w:p>
    <w:p w14:paraId="4BCA52B0" w14:textId="3E6142EF" w:rsidR="00CB1A74" w:rsidRPr="00CB1A74" w:rsidRDefault="005A18DC" w:rsidP="00CB1A74">
      <w:pPr>
        <w:rPr>
          <w:b/>
          <w:bCs/>
          <w:lang w:eastAsia="x-none"/>
        </w:rPr>
      </w:pPr>
      <w:hyperlink r:id="rId400" w:history="1">
        <w:r w:rsidR="00AF7253">
          <w:rPr>
            <w:rStyle w:val="Hyperlink"/>
            <w:b/>
            <w:bCs/>
            <w:lang w:eastAsia="x-none"/>
          </w:rPr>
          <w:t>R1-2310929</w:t>
        </w:r>
      </w:hyperlink>
      <w:r w:rsidR="00CB1A74" w:rsidRPr="00CB1A74">
        <w:rPr>
          <w:b/>
          <w:bCs/>
          <w:lang w:eastAsia="x-none"/>
        </w:rPr>
        <w:tab/>
        <w:t>Correction for SRS carrier switching for DCI formats 1_1 and 1_2</w:t>
      </w:r>
      <w:r w:rsidR="00CB1A74" w:rsidRPr="00CB1A74">
        <w:rPr>
          <w:b/>
          <w:bCs/>
          <w:lang w:eastAsia="x-none"/>
        </w:rPr>
        <w:tab/>
        <w:t>Ericsson, T-Mobile USA, Verizon</w:t>
      </w:r>
    </w:p>
    <w:p w14:paraId="2684C72B" w14:textId="390E96AE" w:rsidR="00CB1A74" w:rsidRPr="0083368E" w:rsidRDefault="00CB1A74" w:rsidP="00CB1A74">
      <w:pPr>
        <w:rPr>
          <w:rFonts w:eastAsia="Times New Roman" w:cs="Times"/>
          <w:szCs w:val="20"/>
        </w:rPr>
      </w:pPr>
      <w:r>
        <w:rPr>
          <w:lang w:eastAsia="x-none"/>
        </w:rPr>
        <w:t xml:space="preserve">Draft CR is endorsed. </w:t>
      </w:r>
      <w:r w:rsidRPr="0083368E">
        <w:rPr>
          <w:rFonts w:eastAsia="Times New Roman" w:cs="Times"/>
          <w:szCs w:val="20"/>
        </w:rPr>
        <w:t>Final CR</w:t>
      </w:r>
      <w:r>
        <w:rPr>
          <w:rFonts w:eastAsia="Times New Roman" w:cs="Times"/>
          <w:szCs w:val="20"/>
        </w:rPr>
        <w:t>s</w:t>
      </w:r>
      <w:r w:rsidRPr="0083368E">
        <w:rPr>
          <w:rFonts w:eastAsia="Times New Roman" w:cs="Times"/>
          <w:szCs w:val="20"/>
        </w:rPr>
        <w:t xml:space="preserve"> </w:t>
      </w:r>
      <w:r>
        <w:rPr>
          <w:rFonts w:eastAsia="Times New Roman" w:cs="Times"/>
          <w:szCs w:val="20"/>
        </w:rPr>
        <w:t>in:</w:t>
      </w:r>
    </w:p>
    <w:p w14:paraId="3A50865F" w14:textId="5C0F02C8" w:rsidR="00CB1A74" w:rsidRPr="00CB1A74" w:rsidRDefault="005A18DC" w:rsidP="00CB1A74">
      <w:pPr>
        <w:rPr>
          <w:b/>
          <w:bCs/>
          <w:lang w:eastAsia="x-none"/>
        </w:rPr>
      </w:pPr>
      <w:hyperlink r:id="rId401" w:history="1">
        <w:r w:rsidR="00AF7253">
          <w:rPr>
            <w:rStyle w:val="Hyperlink"/>
            <w:b/>
            <w:bCs/>
            <w:highlight w:val="green"/>
            <w:lang w:eastAsia="x-none"/>
          </w:rPr>
          <w:t>R1-2312673</w:t>
        </w:r>
      </w:hyperlink>
      <w:r w:rsidR="00CB1A74" w:rsidRPr="00CB1A74">
        <w:rPr>
          <w:b/>
          <w:bCs/>
          <w:lang w:eastAsia="x-none"/>
        </w:rPr>
        <w:tab/>
        <w:t>Correction for SRS carrier switching for DCI formats 1_1 and 1_2</w:t>
      </w:r>
      <w:r w:rsidR="00CB1A74" w:rsidRPr="00CB1A74">
        <w:rPr>
          <w:b/>
          <w:bCs/>
          <w:lang w:eastAsia="x-none"/>
        </w:rPr>
        <w:tab/>
        <w:t>Ericsson, T-Mobile USA, Verizon, Samsung</w:t>
      </w:r>
    </w:p>
    <w:p w14:paraId="0BF14C1D" w14:textId="77777777" w:rsidR="00CB1A74" w:rsidRDefault="00CB1A74" w:rsidP="00CB1A74">
      <w:pPr>
        <w:rPr>
          <w:lang w:eastAsia="x-none"/>
        </w:rPr>
      </w:pPr>
      <w:r w:rsidRPr="00CB1A74">
        <w:rPr>
          <w:lang w:eastAsia="x-none"/>
        </w:rPr>
        <w:t>(Rel-17, 38.214, CR0476, Cat F) is ag</w:t>
      </w:r>
      <w:r>
        <w:rPr>
          <w:lang w:eastAsia="x-none"/>
        </w:rPr>
        <w:t>reed.</w:t>
      </w:r>
    </w:p>
    <w:p w14:paraId="3240E522" w14:textId="7F0AECC7" w:rsidR="00CB1A74" w:rsidRPr="00CB1A74" w:rsidRDefault="005A18DC" w:rsidP="00CB1A74">
      <w:pPr>
        <w:rPr>
          <w:b/>
          <w:bCs/>
          <w:lang w:eastAsia="x-none"/>
        </w:rPr>
      </w:pPr>
      <w:hyperlink r:id="rId402" w:history="1">
        <w:r w:rsidR="00AF7253">
          <w:rPr>
            <w:rStyle w:val="Hyperlink"/>
            <w:b/>
            <w:bCs/>
            <w:highlight w:val="green"/>
            <w:lang w:eastAsia="x-none"/>
          </w:rPr>
          <w:t>R1-2312674</w:t>
        </w:r>
      </w:hyperlink>
      <w:r w:rsidR="00CB1A74" w:rsidRPr="00CB1A74">
        <w:rPr>
          <w:b/>
          <w:bCs/>
          <w:lang w:eastAsia="x-none"/>
        </w:rPr>
        <w:tab/>
        <w:t>Correction for SRS carrier switching for DCI formats 1_1 and 1_2</w:t>
      </w:r>
      <w:r w:rsidR="00CB1A74" w:rsidRPr="00CB1A74">
        <w:rPr>
          <w:b/>
          <w:bCs/>
          <w:lang w:eastAsia="x-none"/>
        </w:rPr>
        <w:tab/>
        <w:t>Ericsson, T-Mobile USA, Verizon, Samsung</w:t>
      </w:r>
    </w:p>
    <w:p w14:paraId="41E4FF22" w14:textId="69E64F6D" w:rsidR="00CB1A74" w:rsidRDefault="00CB1A74" w:rsidP="00CB1A74">
      <w:pPr>
        <w:rPr>
          <w:lang w:eastAsia="x-none"/>
        </w:rPr>
      </w:pPr>
      <w:r w:rsidRPr="00CB1A74">
        <w:rPr>
          <w:lang w:eastAsia="x-none"/>
        </w:rPr>
        <w:t>(Rel-1</w:t>
      </w:r>
      <w:r>
        <w:rPr>
          <w:lang w:eastAsia="x-none"/>
        </w:rPr>
        <w:t>8</w:t>
      </w:r>
      <w:r w:rsidRPr="00CB1A74">
        <w:rPr>
          <w:lang w:eastAsia="x-none"/>
        </w:rPr>
        <w:t>, 38.214, CR047</w:t>
      </w:r>
      <w:r>
        <w:rPr>
          <w:lang w:eastAsia="x-none"/>
        </w:rPr>
        <w:t>7</w:t>
      </w:r>
      <w:r w:rsidRPr="00CB1A74">
        <w:rPr>
          <w:lang w:eastAsia="x-none"/>
        </w:rPr>
        <w:t xml:space="preserve">, Cat </w:t>
      </w:r>
      <w:r>
        <w:rPr>
          <w:lang w:eastAsia="x-none"/>
        </w:rPr>
        <w:t>A</w:t>
      </w:r>
      <w:r w:rsidRPr="00CB1A74">
        <w:rPr>
          <w:lang w:eastAsia="x-none"/>
        </w:rPr>
        <w:t>) is ag</w:t>
      </w:r>
      <w:r>
        <w:rPr>
          <w:lang w:eastAsia="x-none"/>
        </w:rPr>
        <w:t>reed.</w:t>
      </w:r>
    </w:p>
    <w:p w14:paraId="54FA479B" w14:textId="77777777" w:rsidR="00CB1A74" w:rsidRPr="009537ED" w:rsidRDefault="00CB1A74" w:rsidP="00CB1A74">
      <w:pPr>
        <w:rPr>
          <w:highlight w:val="yellow"/>
          <w:lang w:eastAsia="x-none"/>
        </w:rPr>
      </w:pPr>
    </w:p>
    <w:p w14:paraId="57296FED" w14:textId="77777777" w:rsidR="001E74B6" w:rsidRPr="009537ED" w:rsidRDefault="001E74B6" w:rsidP="001E74B6">
      <w:pPr>
        <w:rPr>
          <w:lang w:eastAsia="x-none"/>
        </w:rPr>
      </w:pPr>
      <w:r w:rsidRPr="009537ED">
        <w:rPr>
          <w:lang w:eastAsia="x-none"/>
        </w:rPr>
        <w:t>-----------------------</w:t>
      </w:r>
    </w:p>
    <w:p w14:paraId="155EE3E4" w14:textId="77777777" w:rsidR="00835CB1" w:rsidRPr="009537ED" w:rsidRDefault="00835CB1" w:rsidP="00835CB1">
      <w:pPr>
        <w:rPr>
          <w:b/>
          <w:lang w:eastAsia="x-none"/>
        </w:rPr>
      </w:pPr>
      <w:r w:rsidRPr="009537ED">
        <w:rPr>
          <w:b/>
          <w:lang w:eastAsia="x-none"/>
        </w:rPr>
        <w:t>Follow up discussion on first SPS PDSCH and Type2 CG PUSCH from RAN1#114</w:t>
      </w:r>
    </w:p>
    <w:p w14:paraId="7459511B" w14:textId="5B19BBAF" w:rsidR="00835CB1" w:rsidRPr="009537ED" w:rsidRDefault="005A18DC" w:rsidP="00835CB1">
      <w:pPr>
        <w:rPr>
          <w:lang w:eastAsia="x-none"/>
        </w:rPr>
      </w:pPr>
      <w:hyperlink r:id="rId403" w:history="1">
        <w:r w:rsidR="00AF7253">
          <w:rPr>
            <w:rStyle w:val="Hyperlink"/>
            <w:lang w:eastAsia="x-none"/>
          </w:rPr>
          <w:t>R1-2311289</w:t>
        </w:r>
      </w:hyperlink>
      <w:r w:rsidR="00835CB1" w:rsidRPr="009537ED">
        <w:rPr>
          <w:lang w:eastAsia="x-none"/>
        </w:rPr>
        <w:tab/>
        <w:t>Clarification on the first SPS PDSCH and Type2 CG PUSCH</w:t>
      </w:r>
      <w:r w:rsidR="00835CB1" w:rsidRPr="009537ED">
        <w:rPr>
          <w:lang w:eastAsia="x-none"/>
        </w:rPr>
        <w:tab/>
        <w:t>CATT, Apple</w:t>
      </w:r>
    </w:p>
    <w:p w14:paraId="21896A41" w14:textId="441DD081" w:rsidR="00835CB1" w:rsidRPr="009537ED" w:rsidRDefault="005A18DC" w:rsidP="00835CB1">
      <w:pPr>
        <w:rPr>
          <w:lang w:eastAsia="x-none"/>
        </w:rPr>
      </w:pPr>
      <w:hyperlink r:id="rId404" w:history="1">
        <w:r w:rsidR="00AF7253">
          <w:rPr>
            <w:rStyle w:val="Hyperlink"/>
            <w:lang w:eastAsia="x-none"/>
          </w:rPr>
          <w:t>R1-2311669</w:t>
        </w:r>
      </w:hyperlink>
      <w:r w:rsidR="00835CB1" w:rsidRPr="009537ED">
        <w:rPr>
          <w:lang w:eastAsia="x-none"/>
        </w:rPr>
        <w:tab/>
        <w:t>Discussion on UCI processing for the first SPS PDSCH</w:t>
      </w:r>
      <w:r w:rsidR="00835CB1" w:rsidRPr="009537ED">
        <w:rPr>
          <w:lang w:eastAsia="x-none"/>
        </w:rPr>
        <w:tab/>
        <w:t>Apple</w:t>
      </w:r>
    </w:p>
    <w:p w14:paraId="2FBDF364" w14:textId="3FDE956F" w:rsidR="00835CB1" w:rsidRPr="009537ED" w:rsidRDefault="005A18DC" w:rsidP="00835CB1">
      <w:pPr>
        <w:rPr>
          <w:lang w:eastAsia="x-none"/>
        </w:rPr>
      </w:pPr>
      <w:hyperlink r:id="rId405" w:history="1">
        <w:r w:rsidR="00AF7253">
          <w:rPr>
            <w:rStyle w:val="Hyperlink"/>
            <w:lang w:eastAsia="x-none"/>
          </w:rPr>
          <w:t>R1-2312243</w:t>
        </w:r>
      </w:hyperlink>
      <w:r w:rsidR="00835CB1" w:rsidRPr="009537ED">
        <w:rPr>
          <w:lang w:eastAsia="x-none"/>
        </w:rPr>
        <w:tab/>
        <w:t>Discussion on first SPS PDSCH and multiplexing timeline</w:t>
      </w:r>
      <w:r w:rsidR="00835CB1" w:rsidRPr="009537ED">
        <w:rPr>
          <w:lang w:eastAsia="x-none"/>
        </w:rPr>
        <w:tab/>
        <w:t>Ericsson</w:t>
      </w:r>
    </w:p>
    <w:p w14:paraId="252F0A83" w14:textId="4DB2EEBB" w:rsidR="00835CB1" w:rsidRPr="00EF6C8A" w:rsidRDefault="006B7AD9" w:rsidP="00835CB1">
      <w:pPr>
        <w:rPr>
          <w:lang w:eastAsia="x-none"/>
        </w:rPr>
      </w:pPr>
      <w:r w:rsidRPr="00EF6C8A">
        <w:rPr>
          <w:b/>
          <w:bCs/>
          <w:lang w:eastAsia="x-none"/>
        </w:rPr>
        <w:t xml:space="preserve">Monday session: </w:t>
      </w:r>
      <w:r w:rsidR="00835CB1" w:rsidRPr="00EF6C8A">
        <w:rPr>
          <w:lang w:eastAsia="x-none"/>
        </w:rPr>
        <w:t>To be moderated by Yanping (CATT). Check status on Thursday.</w:t>
      </w:r>
    </w:p>
    <w:p w14:paraId="77EA33E9" w14:textId="466469C5" w:rsidR="00EF6C8A" w:rsidRPr="00EF6C8A" w:rsidRDefault="005A18DC" w:rsidP="00EF6C8A">
      <w:pPr>
        <w:rPr>
          <w:b/>
          <w:bCs/>
          <w:lang w:eastAsia="x-none"/>
        </w:rPr>
      </w:pPr>
      <w:hyperlink r:id="rId406" w:history="1">
        <w:r w:rsidR="00AF7253">
          <w:rPr>
            <w:rStyle w:val="Hyperlink"/>
            <w:b/>
            <w:bCs/>
            <w:lang w:eastAsia="x-none"/>
          </w:rPr>
          <w:t>R1-2312439</w:t>
        </w:r>
      </w:hyperlink>
      <w:r w:rsidR="00EF6C8A" w:rsidRPr="00EF6C8A">
        <w:rPr>
          <w:b/>
          <w:bCs/>
          <w:lang w:eastAsia="x-none"/>
        </w:rPr>
        <w:tab/>
        <w:t>Summary of clarification on the first SPS PDSCH and Type2 CG PUSCH</w:t>
      </w:r>
      <w:r w:rsidR="00EF6C8A" w:rsidRPr="00EF6C8A">
        <w:rPr>
          <w:b/>
          <w:bCs/>
          <w:lang w:eastAsia="x-none"/>
        </w:rPr>
        <w:tab/>
        <w:t>Moderator (CATT)</w:t>
      </w:r>
    </w:p>
    <w:p w14:paraId="644A69FD" w14:textId="0F34F45C" w:rsidR="004825B2" w:rsidRPr="00EF6C8A" w:rsidRDefault="005A18DC" w:rsidP="004825B2">
      <w:pPr>
        <w:rPr>
          <w:b/>
          <w:bCs/>
          <w:lang w:eastAsia="x-none"/>
        </w:rPr>
      </w:pPr>
      <w:hyperlink r:id="rId407" w:history="1">
        <w:r w:rsidR="00AF7253">
          <w:rPr>
            <w:rStyle w:val="Hyperlink"/>
            <w:b/>
            <w:bCs/>
            <w:lang w:eastAsia="x-none"/>
          </w:rPr>
          <w:t>R1-2312598</w:t>
        </w:r>
      </w:hyperlink>
      <w:r w:rsidR="004825B2" w:rsidRPr="00EF6C8A">
        <w:rPr>
          <w:b/>
          <w:bCs/>
          <w:lang w:eastAsia="x-none"/>
        </w:rPr>
        <w:tab/>
        <w:t>Clarification on the first SPS PDSCH and Type2 CG PUSCH</w:t>
      </w:r>
      <w:r w:rsidR="004825B2" w:rsidRPr="00EF6C8A">
        <w:rPr>
          <w:b/>
          <w:bCs/>
          <w:lang w:eastAsia="x-none"/>
        </w:rPr>
        <w:tab/>
        <w:t>CATT, Apple</w:t>
      </w:r>
    </w:p>
    <w:p w14:paraId="0B4FB5FC" w14:textId="77777777" w:rsidR="004825B2" w:rsidRPr="00EF6C8A" w:rsidRDefault="004825B2" w:rsidP="004825B2">
      <w:pPr>
        <w:rPr>
          <w:highlight w:val="green"/>
          <w:lang w:eastAsia="x-none"/>
        </w:rPr>
      </w:pPr>
      <w:r w:rsidRPr="00EF6C8A">
        <w:rPr>
          <w:highlight w:val="green"/>
          <w:lang w:eastAsia="x-none"/>
        </w:rPr>
        <w:t>Agreement</w:t>
      </w:r>
    </w:p>
    <w:p w14:paraId="0C053DA5" w14:textId="1EA0F47B" w:rsidR="004825B2" w:rsidRPr="0083368E" w:rsidRDefault="004825B2" w:rsidP="00EF6C8A">
      <w:pPr>
        <w:pStyle w:val="ListParagraph"/>
        <w:numPr>
          <w:ilvl w:val="0"/>
          <w:numId w:val="249"/>
        </w:numPr>
        <w:rPr>
          <w:lang w:eastAsia="x-none"/>
        </w:rPr>
      </w:pPr>
      <w:r w:rsidRPr="0083368E">
        <w:rPr>
          <w:lang w:eastAsia="x-none"/>
        </w:rPr>
        <w:t xml:space="preserve">The TP in </w:t>
      </w:r>
      <w:hyperlink r:id="rId408" w:history="1">
        <w:r w:rsidR="00AF7253">
          <w:rPr>
            <w:rStyle w:val="Hyperlink"/>
            <w:lang w:eastAsia="x-none"/>
          </w:rPr>
          <w:t>R1-2312598</w:t>
        </w:r>
      </w:hyperlink>
      <w:r w:rsidRPr="0083368E">
        <w:rPr>
          <w:lang w:eastAsia="x-none"/>
        </w:rPr>
        <w:t xml:space="preserve"> is endorsed For Rel-17. Final CRs in</w:t>
      </w:r>
      <w:r w:rsidR="00EF6C8A">
        <w:rPr>
          <w:lang w:eastAsia="x-none"/>
        </w:rPr>
        <w:t>:</w:t>
      </w:r>
    </w:p>
    <w:p w14:paraId="75E8BF4B" w14:textId="6BEBA899" w:rsidR="00EF6C8A" w:rsidRPr="00EF6C8A" w:rsidRDefault="005A18DC" w:rsidP="00EF6C8A">
      <w:pPr>
        <w:rPr>
          <w:b/>
          <w:bCs/>
          <w:lang w:eastAsia="x-none"/>
        </w:rPr>
      </w:pPr>
      <w:hyperlink r:id="rId409" w:history="1">
        <w:r w:rsidR="00AF7253">
          <w:rPr>
            <w:rStyle w:val="Hyperlink"/>
            <w:b/>
            <w:bCs/>
            <w:highlight w:val="green"/>
            <w:lang w:eastAsia="x-none"/>
          </w:rPr>
          <w:t>R1-2312634</w:t>
        </w:r>
      </w:hyperlink>
      <w:r w:rsidR="00EF6C8A" w:rsidRPr="00EF6C8A">
        <w:rPr>
          <w:b/>
          <w:bCs/>
          <w:lang w:eastAsia="x-none"/>
        </w:rPr>
        <w:tab/>
        <w:t>Clarification on the first SPS PDSCH and Type2 CG PUSCH</w:t>
      </w:r>
      <w:r w:rsidR="00EF6C8A" w:rsidRPr="00EF6C8A">
        <w:rPr>
          <w:b/>
          <w:bCs/>
          <w:lang w:eastAsia="x-none"/>
        </w:rPr>
        <w:tab/>
        <w:t>CATT, Apple, Ericsson</w:t>
      </w:r>
    </w:p>
    <w:p w14:paraId="58F54579" w14:textId="77777777" w:rsidR="00EF6C8A" w:rsidRDefault="00EF6C8A" w:rsidP="00EF6C8A">
      <w:pPr>
        <w:rPr>
          <w:lang w:eastAsia="x-none"/>
        </w:rPr>
      </w:pPr>
      <w:r>
        <w:rPr>
          <w:lang w:eastAsia="x-none"/>
        </w:rPr>
        <w:t>(Rel-17, 38.213, CR0558, Cat F) is agreed.</w:t>
      </w:r>
    </w:p>
    <w:p w14:paraId="7A7FAE3F" w14:textId="0CE87CD5" w:rsidR="00EF6C8A" w:rsidRPr="00EF6C8A" w:rsidRDefault="005A18DC" w:rsidP="00EF6C8A">
      <w:pPr>
        <w:rPr>
          <w:b/>
          <w:bCs/>
          <w:lang w:eastAsia="x-none"/>
        </w:rPr>
      </w:pPr>
      <w:hyperlink r:id="rId410" w:history="1">
        <w:r w:rsidR="00AF7253">
          <w:rPr>
            <w:rStyle w:val="Hyperlink"/>
            <w:b/>
            <w:bCs/>
            <w:highlight w:val="green"/>
            <w:lang w:eastAsia="x-none"/>
          </w:rPr>
          <w:t>R1-2312635</w:t>
        </w:r>
      </w:hyperlink>
      <w:r w:rsidR="00EF6C8A" w:rsidRPr="00EF6C8A">
        <w:rPr>
          <w:b/>
          <w:bCs/>
          <w:lang w:eastAsia="x-none"/>
        </w:rPr>
        <w:tab/>
        <w:t>Clarification on the first SPS PDSCH and Type2 CG PUSCH</w:t>
      </w:r>
      <w:r w:rsidR="00EF6C8A" w:rsidRPr="00EF6C8A">
        <w:rPr>
          <w:b/>
          <w:bCs/>
          <w:lang w:eastAsia="x-none"/>
        </w:rPr>
        <w:tab/>
        <w:t>CATT, Apple, Ericsson</w:t>
      </w:r>
    </w:p>
    <w:p w14:paraId="4C9EB708" w14:textId="3A76C98D" w:rsidR="00EF6C8A" w:rsidRDefault="00EF6C8A" w:rsidP="00EF6C8A">
      <w:pPr>
        <w:rPr>
          <w:lang w:eastAsia="x-none"/>
        </w:rPr>
      </w:pPr>
      <w:r>
        <w:rPr>
          <w:lang w:eastAsia="x-none"/>
        </w:rPr>
        <w:t>(Rel-18, 38.213, CR0559, Cat A) is agreed.</w:t>
      </w:r>
    </w:p>
    <w:p w14:paraId="0941C88A" w14:textId="77777777" w:rsidR="00EF6C8A" w:rsidRPr="009537ED" w:rsidRDefault="00EF6C8A" w:rsidP="00EF6C8A">
      <w:pPr>
        <w:rPr>
          <w:lang w:eastAsia="x-none"/>
        </w:rPr>
      </w:pPr>
    </w:p>
    <w:p w14:paraId="6BB7B4D5" w14:textId="77777777" w:rsidR="001E74B6" w:rsidRPr="009537ED" w:rsidRDefault="001E74B6" w:rsidP="001E74B6">
      <w:pPr>
        <w:rPr>
          <w:lang w:eastAsia="x-none"/>
        </w:rPr>
      </w:pPr>
      <w:r w:rsidRPr="009537ED">
        <w:rPr>
          <w:lang w:eastAsia="x-none"/>
        </w:rPr>
        <w:t>-----------------------</w:t>
      </w:r>
    </w:p>
    <w:p w14:paraId="27F333DD" w14:textId="77777777" w:rsidR="00835CB1" w:rsidRPr="009537ED" w:rsidRDefault="00835CB1" w:rsidP="00835CB1">
      <w:pPr>
        <w:rPr>
          <w:b/>
          <w:lang w:eastAsia="x-none"/>
        </w:rPr>
      </w:pPr>
      <w:r w:rsidRPr="009537ED">
        <w:rPr>
          <w:b/>
          <w:lang w:eastAsia="x-none"/>
        </w:rPr>
        <w:t>Follow up discussion on HARQ-ACK multiplexing on PUSCH repetition or multi-PUSCH from RAN1#114</w:t>
      </w:r>
    </w:p>
    <w:p w14:paraId="381962F4" w14:textId="7F1CAA46" w:rsidR="00835CB1" w:rsidRPr="009537ED" w:rsidRDefault="005A18DC" w:rsidP="00835CB1">
      <w:pPr>
        <w:rPr>
          <w:lang w:eastAsia="x-none"/>
        </w:rPr>
      </w:pPr>
      <w:hyperlink r:id="rId411" w:history="1">
        <w:r w:rsidR="00AF7253">
          <w:rPr>
            <w:rStyle w:val="Hyperlink"/>
            <w:lang w:eastAsia="x-none"/>
          </w:rPr>
          <w:t>R1-2311668</w:t>
        </w:r>
      </w:hyperlink>
      <w:r w:rsidR="00835CB1" w:rsidRPr="009537ED">
        <w:rPr>
          <w:lang w:eastAsia="x-none"/>
        </w:rPr>
        <w:tab/>
        <w:t>Discussion on PUSCH with repetitions or multi-PUSCHs with an UL DAI</w:t>
      </w:r>
      <w:r w:rsidR="00835CB1" w:rsidRPr="009537ED">
        <w:rPr>
          <w:lang w:eastAsia="x-none"/>
        </w:rPr>
        <w:tab/>
        <w:t>Apple</w:t>
      </w:r>
    </w:p>
    <w:p w14:paraId="40F5F0EC" w14:textId="39D1422B" w:rsidR="00835CB1" w:rsidRPr="009537ED" w:rsidRDefault="005A18DC" w:rsidP="00835CB1">
      <w:pPr>
        <w:rPr>
          <w:lang w:eastAsia="x-none"/>
        </w:rPr>
      </w:pPr>
      <w:hyperlink r:id="rId412" w:history="1">
        <w:r w:rsidR="00AF7253">
          <w:rPr>
            <w:rStyle w:val="Hyperlink"/>
            <w:lang w:eastAsia="x-none"/>
          </w:rPr>
          <w:t>R1-2312222</w:t>
        </w:r>
      </w:hyperlink>
      <w:r w:rsidR="00835CB1" w:rsidRPr="009537ED">
        <w:rPr>
          <w:lang w:eastAsia="x-none"/>
        </w:rPr>
        <w:tab/>
        <w:t>Discussion on the HARQ-ACK Multiplexing in Multi-PUSCH scheduling</w:t>
      </w:r>
      <w:r w:rsidR="00835CB1" w:rsidRPr="009537ED">
        <w:rPr>
          <w:lang w:eastAsia="x-none"/>
        </w:rPr>
        <w:tab/>
        <w:t>Huawei, HiSilicon</w:t>
      </w:r>
    </w:p>
    <w:p w14:paraId="3628761C" w14:textId="1162456E" w:rsidR="00835CB1" w:rsidRPr="00EF6C8A" w:rsidRDefault="006B7AD9" w:rsidP="00835CB1">
      <w:pPr>
        <w:rPr>
          <w:lang w:eastAsia="x-none"/>
        </w:rPr>
      </w:pPr>
      <w:r w:rsidRPr="00EF6C8A">
        <w:rPr>
          <w:b/>
          <w:bCs/>
          <w:lang w:eastAsia="x-none"/>
        </w:rPr>
        <w:t xml:space="preserve">Monday session: </w:t>
      </w:r>
      <w:r w:rsidR="00835CB1" w:rsidRPr="00EF6C8A">
        <w:rPr>
          <w:lang w:eastAsia="x-none"/>
        </w:rPr>
        <w:t>To be moderated by TBD (Huawei). Check status on Thursday.</w:t>
      </w:r>
    </w:p>
    <w:p w14:paraId="7C5122AF" w14:textId="529C4932" w:rsidR="004825B2" w:rsidRPr="00EF6C8A" w:rsidRDefault="005A18DC" w:rsidP="004825B2">
      <w:pPr>
        <w:rPr>
          <w:b/>
          <w:bCs/>
          <w:lang w:eastAsia="x-none"/>
        </w:rPr>
      </w:pPr>
      <w:hyperlink r:id="rId413" w:history="1">
        <w:r w:rsidR="00AF7253">
          <w:rPr>
            <w:rStyle w:val="Hyperlink"/>
            <w:b/>
            <w:bCs/>
            <w:lang w:eastAsia="x-none"/>
          </w:rPr>
          <w:t>R1-2312493</w:t>
        </w:r>
      </w:hyperlink>
      <w:r w:rsidR="004825B2" w:rsidRPr="00EF6C8A">
        <w:rPr>
          <w:b/>
          <w:bCs/>
          <w:lang w:eastAsia="x-none"/>
        </w:rPr>
        <w:tab/>
        <w:t>Summary of discussion on the HARQ-ACK Multiplexing in Multi-PUSCH scheduling</w:t>
      </w:r>
      <w:r w:rsidR="004825B2" w:rsidRPr="00EF6C8A">
        <w:rPr>
          <w:b/>
          <w:bCs/>
          <w:lang w:eastAsia="x-none"/>
        </w:rPr>
        <w:tab/>
        <w:t>Moderator (Huawei)</w:t>
      </w:r>
    </w:p>
    <w:p w14:paraId="79938EB5" w14:textId="668D1A46" w:rsidR="004825B2" w:rsidRPr="00EF6C8A" w:rsidRDefault="004825B2" w:rsidP="004825B2">
      <w:pPr>
        <w:rPr>
          <w:lang w:eastAsia="x-none"/>
        </w:rPr>
      </w:pPr>
      <w:r w:rsidRPr="00EF6C8A">
        <w:rPr>
          <w:highlight w:val="green"/>
          <w:lang w:eastAsia="x-none"/>
        </w:rPr>
        <w:t>For the</w:t>
      </w:r>
      <w:r w:rsidR="00EF6C8A" w:rsidRPr="00EF6C8A">
        <w:rPr>
          <w:highlight w:val="green"/>
          <w:lang w:eastAsia="x-none"/>
        </w:rPr>
        <w:t xml:space="preserve"> 38.213</w:t>
      </w:r>
      <w:r w:rsidRPr="00EF6C8A">
        <w:rPr>
          <w:highlight w:val="green"/>
          <w:lang w:eastAsia="x-none"/>
        </w:rPr>
        <w:t xml:space="preserve"> editor</w:t>
      </w:r>
    </w:p>
    <w:p w14:paraId="2CD6B189" w14:textId="77777777" w:rsidR="004825B2" w:rsidRPr="00C85222" w:rsidRDefault="004825B2" w:rsidP="00EF6C8A">
      <w:r w:rsidRPr="00C85222">
        <w:t>Alignment CR for Rel-17 TS38.213</w:t>
      </w:r>
    </w:p>
    <w:p w14:paraId="4365B14E" w14:textId="77777777" w:rsidR="004825B2" w:rsidRPr="00EF6C8A" w:rsidRDefault="004825B2" w:rsidP="004825B2">
      <w:pPr>
        <w:rPr>
          <w:color w:val="FF0000"/>
          <w:lang w:eastAsia="zh-CN"/>
        </w:rPr>
      </w:pPr>
      <w:r w:rsidRPr="00EF6C8A">
        <w:rPr>
          <w:rFonts w:hint="eastAsia"/>
          <w:color w:val="FF0000"/>
          <w:lang w:eastAsia="zh-CN"/>
        </w:rPr>
        <w:t>-</w:t>
      </w:r>
      <w:r w:rsidRPr="00EF6C8A">
        <w:rPr>
          <w:color w:val="FF0000"/>
          <w:lang w:eastAsia="zh-CN"/>
        </w:rPr>
        <w:t>----------------------------------------------start of TP#3c-------------------------------------------------------------------</w:t>
      </w:r>
    </w:p>
    <w:p w14:paraId="2F4FE3B0" w14:textId="77777777" w:rsidR="004825B2" w:rsidRPr="00EF6C8A" w:rsidRDefault="004825B2" w:rsidP="004825B2">
      <w:pPr>
        <w:rPr>
          <w:rFonts w:ascii="Arial" w:hAnsi="Arial" w:cs="Arial"/>
          <w:b/>
          <w:sz w:val="16"/>
          <w:szCs w:val="16"/>
        </w:rPr>
      </w:pPr>
      <w:r w:rsidRPr="00EF6C8A">
        <w:rPr>
          <w:rFonts w:ascii="Arial" w:hAnsi="Arial" w:cs="Arial"/>
          <w:b/>
          <w:sz w:val="16"/>
          <w:szCs w:val="16"/>
        </w:rPr>
        <w:t>9</w:t>
      </w:r>
      <w:r w:rsidRPr="00EF6C8A">
        <w:rPr>
          <w:rFonts w:ascii="Arial" w:hAnsi="Arial" w:cs="Arial"/>
          <w:b/>
          <w:sz w:val="16"/>
          <w:szCs w:val="16"/>
        </w:rPr>
        <w:tab/>
        <w:t>UE procedure for reporting control information</w:t>
      </w:r>
    </w:p>
    <w:p w14:paraId="26DEB56D" w14:textId="77777777" w:rsidR="004825B2" w:rsidRPr="00EF6C8A" w:rsidRDefault="004825B2" w:rsidP="004825B2">
      <w:pPr>
        <w:jc w:val="center"/>
        <w:rPr>
          <w:rFonts w:ascii="Arial" w:hAnsi="Arial" w:cs="Arial"/>
          <w:noProof/>
          <w:color w:val="FF0000"/>
          <w:sz w:val="16"/>
          <w:szCs w:val="16"/>
          <w:lang w:eastAsia="zh-CN"/>
        </w:rPr>
      </w:pPr>
      <w:r w:rsidRPr="00EF6C8A">
        <w:rPr>
          <w:rFonts w:ascii="Arial" w:hAnsi="Arial" w:cs="Arial"/>
          <w:noProof/>
          <w:color w:val="FF0000"/>
          <w:sz w:val="16"/>
          <w:szCs w:val="16"/>
          <w:lang w:eastAsia="zh-CN"/>
        </w:rPr>
        <w:t>*** Unchanged text is omitted ***</w:t>
      </w:r>
    </w:p>
    <w:p w14:paraId="48E2CBF2" w14:textId="77777777" w:rsidR="004825B2" w:rsidRPr="00EF6C8A" w:rsidRDefault="004825B2" w:rsidP="004825B2">
      <w:pPr>
        <w:rPr>
          <w:rFonts w:ascii="Arial" w:hAnsi="Arial" w:cs="Arial"/>
          <w:sz w:val="16"/>
          <w:szCs w:val="16"/>
          <w:lang w:val="en-AU"/>
        </w:rPr>
      </w:pPr>
      <w:r w:rsidRPr="00EF6C8A">
        <w:rPr>
          <w:rFonts w:ascii="Arial" w:hAnsi="Arial" w:cs="Arial"/>
          <w:sz w:val="16"/>
          <w:szCs w:val="16"/>
          <w:lang w:val="en-AU"/>
        </w:rPr>
        <w:t xml:space="preserve">If a UE transmits a PUSCH </w:t>
      </w:r>
      <w:ins w:id="59" w:author="Zhangjiayin" w:date="2023-11-17T08:11:00Z">
        <w:r w:rsidRPr="00EF6C8A">
          <w:rPr>
            <w:rFonts w:ascii="Arial" w:hAnsi="Arial" w:cs="Arial"/>
            <w:sz w:val="16"/>
            <w:szCs w:val="16"/>
            <w:lang w:val="en-AU"/>
          </w:rPr>
          <w:t xml:space="preserve">with repetitions </w:t>
        </w:r>
      </w:ins>
      <w:r w:rsidRPr="00EF6C8A">
        <w:rPr>
          <w:rFonts w:ascii="Arial" w:hAnsi="Arial" w:cs="Arial"/>
          <w:sz w:val="16"/>
          <w:szCs w:val="16"/>
          <w:lang w:val="en-AU"/>
        </w:rPr>
        <w:t xml:space="preserve">over </w:t>
      </w:r>
      <w:ins w:id="60" w:author="Zhangjiayin" w:date="2023-11-16T20:31:00Z">
        <w:r w:rsidRPr="00EF6C8A">
          <w:rPr>
            <w:rFonts w:ascii="Arial" w:hAnsi="Arial" w:cs="Arial"/>
            <w:sz w:val="16"/>
            <w:szCs w:val="16"/>
            <w:lang w:val="en-AU"/>
          </w:rPr>
          <w:t>one</w:t>
        </w:r>
      </w:ins>
      <w:ins w:id="61" w:author="Zhangjiayin" w:date="2023-11-16T20:32:00Z">
        <w:r w:rsidRPr="00EF6C8A">
          <w:rPr>
            <w:rFonts w:ascii="Arial" w:hAnsi="Arial" w:cs="Arial"/>
            <w:sz w:val="16"/>
            <w:szCs w:val="16"/>
            <w:lang w:val="en-AU"/>
          </w:rPr>
          <w:t xml:space="preserve"> or more</w:t>
        </w:r>
      </w:ins>
      <w:del w:id="62" w:author="Zhangjiayin" w:date="2023-11-16T20:32:00Z">
        <w:r w:rsidRPr="00EF6C8A" w:rsidDel="00C42933">
          <w:rPr>
            <w:rFonts w:ascii="Arial" w:hAnsi="Arial" w:cs="Arial"/>
            <w:sz w:val="16"/>
            <w:szCs w:val="16"/>
            <w:lang w:val="en-AU"/>
          </w:rPr>
          <w:delText>multiple</w:delText>
        </w:r>
      </w:del>
      <w:r w:rsidRPr="00EF6C8A">
        <w:rPr>
          <w:rFonts w:ascii="Arial" w:hAnsi="Arial" w:cs="Arial"/>
          <w:sz w:val="16"/>
          <w:szCs w:val="16"/>
          <w:lang w:val="en-AU"/>
        </w:rPr>
        <w:t xml:space="preserve"> slots </w:t>
      </w:r>
      <w:r w:rsidRPr="00EF6C8A">
        <w:rPr>
          <w:rFonts w:ascii="Arial" w:hAnsi="Arial" w:cs="Arial"/>
          <w:sz w:val="16"/>
          <w:szCs w:val="16"/>
          <w:lang w:eastAsia="zh-CN"/>
        </w:rPr>
        <w:t xml:space="preserve">or </w:t>
      </w:r>
      <w:r w:rsidRPr="00EF6C8A">
        <w:rPr>
          <w:rFonts w:ascii="Arial" w:hAnsi="Arial" w:cs="Arial"/>
          <w:sz w:val="16"/>
          <w:szCs w:val="16"/>
        </w:rPr>
        <w:t xml:space="preserve">multiple PUSCHs </w:t>
      </w:r>
      <w:r w:rsidRPr="00EF6C8A">
        <w:rPr>
          <w:rFonts w:ascii="Arial" w:hAnsi="Arial" w:cs="Arial"/>
          <w:sz w:val="16"/>
          <w:szCs w:val="16"/>
          <w:lang w:eastAsia="zh-CN"/>
        </w:rPr>
        <w:t xml:space="preserve">over </w:t>
      </w:r>
      <w:ins w:id="63" w:author="Zhangjiayin" w:date="2023-11-16T20:32:00Z">
        <w:r w:rsidRPr="00EF6C8A">
          <w:rPr>
            <w:rFonts w:ascii="Arial" w:hAnsi="Arial" w:cs="Arial"/>
            <w:sz w:val="16"/>
            <w:szCs w:val="16"/>
            <w:lang w:eastAsia="zh-CN"/>
          </w:rPr>
          <w:t>one or more</w:t>
        </w:r>
      </w:ins>
      <w:del w:id="64" w:author="Zhangjiayin" w:date="2023-11-16T20:32:00Z">
        <w:r w:rsidRPr="00EF6C8A" w:rsidDel="00C42933">
          <w:rPr>
            <w:rFonts w:ascii="Arial" w:hAnsi="Arial" w:cs="Arial"/>
            <w:sz w:val="16"/>
            <w:szCs w:val="16"/>
            <w:lang w:eastAsia="zh-CN"/>
          </w:rPr>
          <w:delText>multiple</w:delText>
        </w:r>
      </w:del>
      <w:r w:rsidRPr="00EF6C8A">
        <w:rPr>
          <w:rFonts w:ascii="Arial" w:hAnsi="Arial" w:cs="Arial"/>
          <w:sz w:val="16"/>
          <w:szCs w:val="16"/>
          <w:lang w:eastAsia="zh-CN"/>
        </w:rPr>
        <w:t xml:space="preserve"> slots</w:t>
      </w:r>
      <w:r w:rsidRPr="00EF6C8A">
        <w:rPr>
          <w:rFonts w:ascii="Arial" w:hAnsi="Arial" w:cs="Arial"/>
          <w:sz w:val="16"/>
          <w:szCs w:val="16"/>
        </w:rPr>
        <w:t xml:space="preserve"> that are scheduled by a DCI format</w:t>
      </w:r>
      <w:del w:id="65" w:author="Zhangjiayin" w:date="2023-11-17T04:41:00Z">
        <w:r w:rsidRPr="00EF6C8A" w:rsidDel="00B80A32">
          <w:rPr>
            <w:rFonts w:ascii="Arial" w:hAnsi="Arial" w:cs="Arial"/>
            <w:sz w:val="16"/>
            <w:szCs w:val="16"/>
          </w:rPr>
          <w:delText xml:space="preserve"> 0_1</w:delText>
        </w:r>
      </w:del>
      <w:r w:rsidRPr="00EF6C8A">
        <w:rPr>
          <w:rFonts w:ascii="Arial" w:hAnsi="Arial" w:cs="Arial"/>
          <w:sz w:val="16"/>
          <w:szCs w:val="16"/>
        </w:rPr>
        <w:t xml:space="preserve">, </w:t>
      </w:r>
      <w:r w:rsidRPr="00EF6C8A">
        <w:rPr>
          <w:rFonts w:ascii="Arial" w:hAnsi="Arial" w:cs="Arial"/>
          <w:sz w:val="16"/>
          <w:szCs w:val="16"/>
          <w:lang w:val="en-AU"/>
        </w:rPr>
        <w:t xml:space="preserve">and the UE would transmit a PUCCH with HARQ-ACK and/or CSI information over a single slot that overlaps with the PUSCH transmission in </w:t>
      </w:r>
      <w:ins w:id="66" w:author="Zhangjiayin" w:date="2023-11-17T04:40:00Z">
        <w:r w:rsidRPr="00EF6C8A">
          <w:rPr>
            <w:rFonts w:ascii="Arial" w:hAnsi="Arial" w:cs="Arial"/>
            <w:sz w:val="16"/>
            <w:szCs w:val="16"/>
            <w:lang w:val="en-AU"/>
          </w:rPr>
          <w:t xml:space="preserve">the </w:t>
        </w:r>
      </w:ins>
      <w:r w:rsidRPr="00EF6C8A">
        <w:rPr>
          <w:rFonts w:ascii="Arial" w:hAnsi="Arial" w:cs="Arial"/>
          <w:sz w:val="16"/>
          <w:szCs w:val="16"/>
          <w:lang w:val="en-AU"/>
        </w:rPr>
        <w:t>one or more slots</w:t>
      </w:r>
      <w:del w:id="67" w:author="Zhangjiayin" w:date="2023-11-16T20:32:00Z">
        <w:r w:rsidRPr="00EF6C8A" w:rsidDel="00C42933">
          <w:rPr>
            <w:rFonts w:ascii="Arial" w:hAnsi="Arial" w:cs="Arial"/>
            <w:sz w:val="16"/>
            <w:szCs w:val="16"/>
            <w:lang w:val="en-AU"/>
          </w:rPr>
          <w:delText xml:space="preserve"> of the multiple slots</w:delText>
        </w:r>
      </w:del>
      <w:r w:rsidRPr="00EF6C8A">
        <w:rPr>
          <w:rFonts w:ascii="Arial" w:hAnsi="Arial" w:cs="Arial"/>
          <w:sz w:val="16"/>
          <w:szCs w:val="16"/>
          <w:lang w:val="en-AU"/>
        </w:rPr>
        <w:t xml:space="preserve">, </w:t>
      </w:r>
      <w:r w:rsidRPr="00EF6C8A">
        <w:rPr>
          <w:rFonts w:ascii="Arial" w:hAnsi="Arial" w:cs="Arial"/>
          <w:sz w:val="16"/>
          <w:szCs w:val="16"/>
        </w:rPr>
        <w:t xml:space="preserve">and the PUSCH transmission in the one or more slots fulfills the conditions in clause 9.2.5 for multiplexing the HARQ-ACK </w:t>
      </w:r>
      <w:r w:rsidRPr="00EF6C8A">
        <w:rPr>
          <w:rFonts w:ascii="Arial" w:hAnsi="Arial" w:cs="Arial"/>
          <w:sz w:val="16"/>
          <w:szCs w:val="16"/>
          <w:lang w:val="en-AU"/>
        </w:rPr>
        <w:t xml:space="preserve">and/or CSI </w:t>
      </w:r>
      <w:r w:rsidRPr="00EF6C8A">
        <w:rPr>
          <w:rFonts w:ascii="Arial" w:hAnsi="Arial" w:cs="Arial"/>
          <w:sz w:val="16"/>
          <w:szCs w:val="16"/>
        </w:rPr>
        <w:t xml:space="preserve">information, </w:t>
      </w:r>
      <w:r w:rsidRPr="00EF6C8A">
        <w:rPr>
          <w:rFonts w:ascii="Arial" w:hAnsi="Arial" w:cs="Arial"/>
          <w:sz w:val="16"/>
          <w:szCs w:val="16"/>
          <w:lang w:val="en-AU"/>
        </w:rPr>
        <w:t xml:space="preserve">the UE multiplexes the HARQ-ACK and/or CSI information in the PUSCH transmission in the one or more slots. The UE does not multiplex HARQ-ACK and/or CSI information in the PUSCH transmission in a slot from the </w:t>
      </w:r>
      <w:ins w:id="68" w:author="Zhangjiayin" w:date="2023-11-16T20:33:00Z">
        <w:r w:rsidRPr="00EF6C8A">
          <w:rPr>
            <w:rFonts w:ascii="Arial" w:hAnsi="Arial" w:cs="Arial"/>
            <w:sz w:val="16"/>
            <w:szCs w:val="16"/>
            <w:lang w:val="en-AU"/>
          </w:rPr>
          <w:t xml:space="preserve">one or </w:t>
        </w:r>
        <w:r w:rsidRPr="00EF6C8A">
          <w:rPr>
            <w:rFonts w:ascii="Arial" w:hAnsi="Arial" w:cs="Arial"/>
            <w:sz w:val="16"/>
            <w:szCs w:val="16"/>
            <w:lang w:val="en-AU" w:eastAsia="zh-CN"/>
          </w:rPr>
          <w:t>more</w:t>
        </w:r>
      </w:ins>
      <w:del w:id="69" w:author="Zhangjiayin" w:date="2023-11-16T20:33:00Z">
        <w:r w:rsidRPr="00EF6C8A" w:rsidDel="00C42933">
          <w:rPr>
            <w:rFonts w:ascii="Arial" w:hAnsi="Arial" w:cs="Arial"/>
            <w:sz w:val="16"/>
            <w:szCs w:val="16"/>
            <w:lang w:val="en-AU"/>
          </w:rPr>
          <w:delText>multiple</w:delText>
        </w:r>
      </w:del>
      <w:r w:rsidRPr="00EF6C8A">
        <w:rPr>
          <w:rFonts w:ascii="Arial" w:hAnsi="Arial" w:cs="Arial"/>
          <w:sz w:val="16"/>
          <w:szCs w:val="16"/>
          <w:lang w:val="en-AU"/>
        </w:rPr>
        <w:t xml:space="preserve"> slots if the UE would not transmit a single-slot PUCCH with HARQ-ACK and/or CSI information in the slot in case the PUSCH transmission was absent.</w:t>
      </w:r>
    </w:p>
    <w:p w14:paraId="3FB6E957" w14:textId="77777777" w:rsidR="004825B2" w:rsidRPr="00EF6C8A" w:rsidRDefault="004825B2" w:rsidP="004825B2">
      <w:pPr>
        <w:rPr>
          <w:rFonts w:ascii="Arial" w:hAnsi="Arial" w:cs="Arial"/>
          <w:sz w:val="16"/>
          <w:szCs w:val="16"/>
          <w:lang w:val="en-AU"/>
        </w:rPr>
      </w:pPr>
      <w:r w:rsidRPr="00EF6C8A">
        <w:rPr>
          <w:rFonts w:ascii="Arial" w:hAnsi="Arial" w:cs="Arial"/>
          <w:sz w:val="16"/>
          <w:szCs w:val="16"/>
          <w:lang w:val="en-AU"/>
        </w:rPr>
        <w:t xml:space="preserve">If a UE transmits a PUSCH with repetition Type B and the UE would transmit a PUCCH with HARQ-ACK and/or CSI information over a single slot that overlaps with the PUSCH transmission in one or more slots, the UE expects all actual repetitions of the PUSCH transmission [6, TS 38.214] that would overlap with the PUCCH transmission to </w:t>
      </w:r>
      <w:r w:rsidRPr="00EF6C8A">
        <w:rPr>
          <w:rFonts w:ascii="Arial" w:hAnsi="Arial" w:cs="Arial"/>
          <w:sz w:val="16"/>
          <w:szCs w:val="16"/>
        </w:rPr>
        <w:t xml:space="preserve">fulfill the conditions in clause 9.2.5 for multiplexing the HARQ-ACK </w:t>
      </w:r>
      <w:r w:rsidRPr="00EF6C8A">
        <w:rPr>
          <w:rFonts w:ascii="Arial" w:hAnsi="Arial" w:cs="Arial"/>
          <w:sz w:val="16"/>
          <w:szCs w:val="16"/>
          <w:lang w:val="en-AU"/>
        </w:rPr>
        <w:t>and/or CSI information</w:t>
      </w:r>
      <w:r w:rsidRPr="00EF6C8A">
        <w:rPr>
          <w:rFonts w:ascii="Arial" w:hAnsi="Arial" w:cs="Arial"/>
          <w:sz w:val="16"/>
          <w:szCs w:val="16"/>
        </w:rPr>
        <w:t xml:space="preserve">, and the UE multiplexes </w:t>
      </w:r>
      <w:r w:rsidRPr="00EF6C8A">
        <w:rPr>
          <w:rFonts w:ascii="Arial" w:hAnsi="Arial" w:cs="Arial"/>
          <w:sz w:val="16"/>
          <w:szCs w:val="16"/>
          <w:lang w:val="en-AU"/>
        </w:rPr>
        <w:t>the HARQ-ACK and/or CSI information in the earliest actual PUSCH repetition of the PUSCH transmission that would overlap with the PUCCH transmission and includes more than one symbol.</w:t>
      </w:r>
      <w:r w:rsidRPr="00EF6C8A">
        <w:rPr>
          <w:rFonts w:ascii="Arial" w:hAnsi="Arial" w:cs="Arial"/>
          <w:sz w:val="16"/>
          <w:szCs w:val="16"/>
        </w:rPr>
        <w:t xml:space="preserve"> </w:t>
      </w:r>
      <w:r w:rsidRPr="00EF6C8A">
        <w:rPr>
          <w:rFonts w:ascii="Arial" w:hAnsi="Arial" w:cs="Arial"/>
          <w:sz w:val="16"/>
          <w:szCs w:val="16"/>
          <w:lang w:val="en-AU"/>
        </w:rPr>
        <w:t>The UE does not expect that all actual repetitions that would overlap with the PUCCH transmission do not include more than one symbol.</w:t>
      </w:r>
    </w:p>
    <w:p w14:paraId="6722940E" w14:textId="77777777" w:rsidR="004825B2" w:rsidRPr="00EF6C8A" w:rsidRDefault="004825B2" w:rsidP="004825B2">
      <w:pPr>
        <w:rPr>
          <w:rFonts w:ascii="Arial" w:hAnsi="Arial" w:cs="Arial"/>
          <w:sz w:val="16"/>
          <w:szCs w:val="16"/>
          <w:lang w:val="en-AU"/>
        </w:rPr>
      </w:pPr>
      <w:r w:rsidRPr="00EF6C8A">
        <w:rPr>
          <w:rFonts w:ascii="Arial" w:hAnsi="Arial" w:cs="Arial"/>
          <w:sz w:val="16"/>
          <w:szCs w:val="16"/>
          <w:lang w:val="en-AU"/>
        </w:rPr>
        <w:t xml:space="preserve">If the PUSCH </w:t>
      </w:r>
      <w:r w:rsidRPr="00EF6C8A">
        <w:rPr>
          <w:rFonts w:ascii="Arial" w:hAnsi="Arial" w:cs="Arial"/>
          <w:strike/>
          <w:sz w:val="16"/>
          <w:szCs w:val="16"/>
          <w:lang w:val="en-AU"/>
        </w:rPr>
        <w:t xml:space="preserve">transmission </w:t>
      </w:r>
      <w:ins w:id="70" w:author="Zhangjiayin" w:date="2023-11-17T06:35:00Z">
        <w:r w:rsidRPr="00EF6C8A">
          <w:rPr>
            <w:rFonts w:ascii="Arial" w:hAnsi="Arial" w:cs="Arial"/>
            <w:sz w:val="16"/>
            <w:szCs w:val="16"/>
            <w:lang w:val="en-AU"/>
          </w:rPr>
          <w:t>repetition</w:t>
        </w:r>
      </w:ins>
      <w:ins w:id="71" w:author="Zhangjiayin" w:date="2023-11-17T07:25:00Z">
        <w:r w:rsidRPr="00EF6C8A">
          <w:rPr>
            <w:rFonts w:ascii="Arial" w:hAnsi="Arial" w:cs="Arial"/>
            <w:sz w:val="16"/>
            <w:szCs w:val="16"/>
            <w:lang w:val="en-AU"/>
          </w:rPr>
          <w:t>s</w:t>
        </w:r>
      </w:ins>
      <w:ins w:id="72" w:author="Zhangjiayin" w:date="2023-11-17T06:35:00Z">
        <w:r w:rsidRPr="00EF6C8A">
          <w:rPr>
            <w:rFonts w:ascii="Arial" w:hAnsi="Arial" w:cs="Arial"/>
            <w:sz w:val="16"/>
            <w:szCs w:val="16"/>
            <w:lang w:val="en-AU"/>
          </w:rPr>
          <w:t xml:space="preserve"> </w:t>
        </w:r>
      </w:ins>
      <w:r w:rsidRPr="00EF6C8A">
        <w:rPr>
          <w:rFonts w:ascii="Arial" w:hAnsi="Arial" w:cs="Arial"/>
          <w:sz w:val="16"/>
          <w:szCs w:val="16"/>
          <w:lang w:val="en-AU"/>
        </w:rPr>
        <w:t xml:space="preserve">over the </w:t>
      </w:r>
      <w:ins w:id="73" w:author="Zhangjiayin" w:date="2023-11-16T20:33:00Z">
        <w:r w:rsidRPr="00EF6C8A">
          <w:rPr>
            <w:rFonts w:ascii="Arial" w:hAnsi="Arial" w:cs="Arial"/>
            <w:sz w:val="16"/>
            <w:szCs w:val="16"/>
            <w:lang w:val="en-AU"/>
          </w:rPr>
          <w:t>one or more</w:t>
        </w:r>
      </w:ins>
      <w:del w:id="74" w:author="Zhangjiayin" w:date="2023-11-16T20:33:00Z">
        <w:r w:rsidRPr="00EF6C8A" w:rsidDel="00C42933">
          <w:rPr>
            <w:rFonts w:ascii="Arial" w:hAnsi="Arial" w:cs="Arial"/>
            <w:sz w:val="16"/>
            <w:szCs w:val="16"/>
            <w:lang w:val="en-AU"/>
          </w:rPr>
          <w:delText xml:space="preserve">multiple </w:delText>
        </w:r>
      </w:del>
      <w:r w:rsidRPr="00EF6C8A">
        <w:rPr>
          <w:rFonts w:ascii="Arial" w:hAnsi="Arial" w:cs="Arial"/>
          <w:sz w:val="16"/>
          <w:szCs w:val="16"/>
          <w:lang w:val="en-AU"/>
        </w:rPr>
        <w:t xml:space="preserve">slots </w:t>
      </w:r>
      <w:r w:rsidRPr="00EF6C8A">
        <w:rPr>
          <w:rFonts w:ascii="Arial" w:hAnsi="Arial" w:cs="Arial"/>
          <w:strike/>
          <w:color w:val="FF0000"/>
          <w:sz w:val="16"/>
          <w:szCs w:val="16"/>
          <w:lang w:val="en-AU"/>
        </w:rPr>
        <w:t>is</w:t>
      </w:r>
      <w:r w:rsidRPr="00EF6C8A">
        <w:rPr>
          <w:rFonts w:ascii="Arial" w:hAnsi="Arial" w:cs="Arial"/>
          <w:color w:val="FF0000"/>
          <w:sz w:val="16"/>
          <w:szCs w:val="16"/>
          <w:lang w:val="en-AU"/>
        </w:rPr>
        <w:t>are</w:t>
      </w:r>
      <w:r w:rsidRPr="00EF6C8A">
        <w:rPr>
          <w:rFonts w:ascii="Arial" w:hAnsi="Arial" w:cs="Arial"/>
          <w:sz w:val="16"/>
          <w:szCs w:val="16"/>
          <w:lang w:val="en-AU"/>
        </w:rPr>
        <w:t xml:space="preserve"> scheduled by a DCI format that includes a DAI field, </w:t>
      </w:r>
      <w:r w:rsidRPr="00EF6C8A">
        <w:rPr>
          <w:rFonts w:ascii="Arial" w:hAnsi="Arial" w:cs="Arial"/>
          <w:color w:val="FF0000"/>
          <w:sz w:val="16"/>
          <w:szCs w:val="16"/>
          <w:lang w:val="en-AU"/>
        </w:rPr>
        <w:t xml:space="preserve">or if the </w:t>
      </w:r>
      <w:r w:rsidRPr="00EF6C8A">
        <w:rPr>
          <w:rFonts w:ascii="Arial" w:hAnsi="Arial" w:cs="Arial"/>
          <w:color w:val="FF0000"/>
          <w:sz w:val="16"/>
          <w:szCs w:val="16"/>
        </w:rPr>
        <w:t xml:space="preserve">multiple PUSCH transmissions </w:t>
      </w:r>
      <w:r w:rsidRPr="00EF6C8A">
        <w:rPr>
          <w:rFonts w:ascii="Arial" w:hAnsi="Arial" w:cs="Arial"/>
          <w:color w:val="FF0000"/>
          <w:sz w:val="16"/>
          <w:szCs w:val="16"/>
          <w:lang w:eastAsia="zh-CN"/>
        </w:rPr>
        <w:t>over the</w:t>
      </w:r>
      <w:ins w:id="75" w:author="Zhangjiayin" w:date="2023-11-16T20:33:00Z">
        <w:r w:rsidRPr="00EF6C8A">
          <w:rPr>
            <w:rFonts w:ascii="Arial" w:hAnsi="Arial" w:cs="Arial"/>
            <w:color w:val="FF0000"/>
            <w:sz w:val="16"/>
            <w:szCs w:val="16"/>
            <w:lang w:eastAsia="zh-CN"/>
          </w:rPr>
          <w:t xml:space="preserve"> one or more</w:t>
        </w:r>
      </w:ins>
      <w:r w:rsidRPr="00EF6C8A">
        <w:rPr>
          <w:rFonts w:ascii="Arial" w:hAnsi="Arial" w:cs="Arial"/>
          <w:color w:val="FF0000"/>
          <w:sz w:val="16"/>
          <w:szCs w:val="16"/>
          <w:lang w:eastAsia="zh-CN"/>
        </w:rPr>
        <w:t xml:space="preserve"> </w:t>
      </w:r>
      <w:del w:id="76" w:author="Zhangjiayin" w:date="2023-11-16T20:33:00Z">
        <w:r w:rsidRPr="00EF6C8A" w:rsidDel="00C42933">
          <w:rPr>
            <w:rFonts w:ascii="Arial" w:hAnsi="Arial" w:cs="Arial"/>
            <w:color w:val="FF0000"/>
            <w:sz w:val="16"/>
            <w:szCs w:val="16"/>
            <w:lang w:eastAsia="zh-CN"/>
          </w:rPr>
          <w:delText xml:space="preserve">multiple </w:delText>
        </w:r>
      </w:del>
      <w:r w:rsidRPr="00EF6C8A">
        <w:rPr>
          <w:rFonts w:ascii="Arial" w:hAnsi="Arial" w:cs="Arial"/>
          <w:color w:val="FF0000"/>
          <w:sz w:val="16"/>
          <w:szCs w:val="16"/>
          <w:lang w:eastAsia="zh-CN"/>
        </w:rPr>
        <w:t>slots</w:t>
      </w:r>
      <w:r w:rsidRPr="00EF6C8A">
        <w:rPr>
          <w:rFonts w:ascii="Arial" w:hAnsi="Arial" w:cs="Arial"/>
          <w:color w:val="FF0000"/>
          <w:sz w:val="16"/>
          <w:szCs w:val="16"/>
        </w:rPr>
        <w:t xml:space="preserve"> are</w:t>
      </w:r>
      <w:r w:rsidRPr="00EF6C8A">
        <w:rPr>
          <w:rFonts w:ascii="Arial" w:hAnsi="Arial" w:cs="Arial"/>
          <w:color w:val="FF0000"/>
          <w:sz w:val="16"/>
          <w:szCs w:val="16"/>
          <w:lang w:val="en-AU"/>
        </w:rPr>
        <w:t xml:space="preserve"> scheduled by a DCI format that includes a DAI field</w:t>
      </w:r>
      <w:r w:rsidRPr="00EF6C8A">
        <w:rPr>
          <w:rFonts w:ascii="Arial" w:hAnsi="Arial" w:cs="Arial"/>
          <w:sz w:val="16"/>
          <w:szCs w:val="16"/>
          <w:lang w:val="en-AU"/>
        </w:rPr>
        <w:t xml:space="preserve">, the value of the DAI field is </w:t>
      </w:r>
      <w:ins w:id="77" w:author="Zhangjiayin" w:date="2023-11-17T08:11:00Z">
        <w:r w:rsidRPr="00EF6C8A">
          <w:rPr>
            <w:rFonts w:ascii="Arial" w:hAnsi="Arial" w:cs="Arial"/>
            <w:sz w:val="16"/>
            <w:szCs w:val="16"/>
            <w:lang w:val="en-AU"/>
          </w:rPr>
          <w:t xml:space="preserve">separately </w:t>
        </w:r>
      </w:ins>
      <w:r w:rsidRPr="00EF6C8A">
        <w:rPr>
          <w:rFonts w:ascii="Arial" w:hAnsi="Arial" w:cs="Arial"/>
          <w:sz w:val="16"/>
          <w:szCs w:val="16"/>
          <w:lang w:val="en-AU"/>
        </w:rPr>
        <w:t xml:space="preserve">applicable for multiplexing HARQ-ACK information in </w:t>
      </w:r>
      <w:del w:id="78" w:author="Zhangjiayin" w:date="2023-11-16T20:47:00Z">
        <w:r w:rsidRPr="00EF6C8A" w:rsidDel="005F5062">
          <w:rPr>
            <w:rFonts w:ascii="Arial" w:hAnsi="Arial" w:cs="Arial"/>
            <w:sz w:val="16"/>
            <w:szCs w:val="16"/>
            <w:lang w:val="en-AU"/>
          </w:rPr>
          <w:delText xml:space="preserve">the </w:delText>
        </w:r>
      </w:del>
      <w:ins w:id="79" w:author="Zhangjiayin" w:date="2023-11-16T20:47:00Z">
        <w:r w:rsidRPr="00EF6C8A">
          <w:rPr>
            <w:rFonts w:ascii="Arial" w:hAnsi="Arial" w:cs="Arial"/>
            <w:sz w:val="16"/>
            <w:szCs w:val="16"/>
            <w:lang w:val="en-AU"/>
          </w:rPr>
          <w:t xml:space="preserve">any </w:t>
        </w:r>
      </w:ins>
      <w:r w:rsidRPr="00EF6C8A">
        <w:rPr>
          <w:rFonts w:ascii="Arial" w:hAnsi="Arial" w:cs="Arial"/>
          <w:sz w:val="16"/>
          <w:szCs w:val="16"/>
          <w:lang w:val="en-AU"/>
        </w:rPr>
        <w:t xml:space="preserve">PUSCH </w:t>
      </w:r>
      <w:ins w:id="80" w:author="Zhangjiayin" w:date="2023-11-16T20:34:00Z">
        <w:r w:rsidRPr="00EF6C8A">
          <w:rPr>
            <w:rFonts w:ascii="Arial" w:hAnsi="Arial" w:cs="Arial"/>
            <w:sz w:val="16"/>
            <w:szCs w:val="16"/>
            <w:lang w:val="en-AU"/>
          </w:rPr>
          <w:t xml:space="preserve">repetition or </w:t>
        </w:r>
      </w:ins>
      <w:r w:rsidRPr="00EF6C8A">
        <w:rPr>
          <w:rFonts w:ascii="Arial" w:hAnsi="Arial" w:cs="Arial"/>
          <w:sz w:val="16"/>
          <w:szCs w:val="16"/>
          <w:lang w:val="en-AU"/>
        </w:rPr>
        <w:t>transmission</w:t>
      </w:r>
      <w:ins w:id="81" w:author="Zhangjiayin" w:date="2023-11-17T06:35:00Z">
        <w:r w:rsidRPr="00EF6C8A">
          <w:rPr>
            <w:rFonts w:ascii="Arial" w:hAnsi="Arial" w:cs="Arial"/>
            <w:sz w:val="16"/>
            <w:szCs w:val="16"/>
            <w:lang w:val="en-AU"/>
          </w:rPr>
          <w:t>, respectively,</w:t>
        </w:r>
      </w:ins>
      <w:r w:rsidRPr="00EF6C8A">
        <w:rPr>
          <w:rFonts w:ascii="Arial" w:hAnsi="Arial" w:cs="Arial"/>
          <w:sz w:val="16"/>
          <w:szCs w:val="16"/>
          <w:lang w:val="en-AU"/>
        </w:rPr>
        <w:t xml:space="preserve"> in any slot from the </w:t>
      </w:r>
      <w:ins w:id="82" w:author="Zhangjiayin" w:date="2023-11-16T20:34:00Z">
        <w:r w:rsidRPr="00EF6C8A">
          <w:rPr>
            <w:rFonts w:ascii="Arial" w:hAnsi="Arial" w:cs="Arial"/>
            <w:sz w:val="16"/>
            <w:szCs w:val="16"/>
            <w:lang w:val="en-AU"/>
          </w:rPr>
          <w:t>one or more</w:t>
        </w:r>
      </w:ins>
      <w:del w:id="83" w:author="Zhangjiayin" w:date="2023-11-16T20:34:00Z">
        <w:r w:rsidRPr="00EF6C8A" w:rsidDel="00C42933">
          <w:rPr>
            <w:rFonts w:ascii="Arial" w:hAnsi="Arial" w:cs="Arial"/>
            <w:sz w:val="16"/>
            <w:szCs w:val="16"/>
            <w:lang w:val="en-AU"/>
          </w:rPr>
          <w:delText xml:space="preserve">multiple </w:delText>
        </w:r>
      </w:del>
      <w:ins w:id="84" w:author="Zhangjiayin" w:date="2023-11-16T20:34:00Z">
        <w:r w:rsidRPr="00EF6C8A">
          <w:rPr>
            <w:rFonts w:ascii="Arial" w:hAnsi="Arial" w:cs="Arial"/>
            <w:sz w:val="16"/>
            <w:szCs w:val="16"/>
            <w:lang w:val="en-AU"/>
          </w:rPr>
          <w:t xml:space="preserve"> </w:t>
        </w:r>
      </w:ins>
      <w:r w:rsidRPr="00EF6C8A">
        <w:rPr>
          <w:rFonts w:ascii="Arial" w:hAnsi="Arial" w:cs="Arial"/>
          <w:sz w:val="16"/>
          <w:szCs w:val="16"/>
          <w:lang w:val="en-AU"/>
        </w:rPr>
        <w:t>slots where the UE multiplexes HARQ-ACK information.</w:t>
      </w:r>
    </w:p>
    <w:p w14:paraId="3496DB0B" w14:textId="77777777" w:rsidR="004825B2" w:rsidRPr="00EF6C8A" w:rsidRDefault="004825B2" w:rsidP="004825B2">
      <w:pPr>
        <w:jc w:val="center"/>
        <w:rPr>
          <w:rFonts w:ascii="Arial" w:hAnsi="Arial" w:cs="Arial"/>
          <w:noProof/>
          <w:color w:val="FF0000"/>
          <w:sz w:val="16"/>
          <w:szCs w:val="16"/>
          <w:lang w:eastAsia="zh-CN"/>
        </w:rPr>
      </w:pPr>
      <w:r w:rsidRPr="00EF6C8A">
        <w:rPr>
          <w:rFonts w:ascii="Arial" w:hAnsi="Arial" w:cs="Arial"/>
          <w:noProof/>
          <w:color w:val="FF0000"/>
          <w:sz w:val="16"/>
          <w:szCs w:val="16"/>
          <w:lang w:eastAsia="zh-CN"/>
        </w:rPr>
        <w:t>*** Unchanged text is omitted ***</w:t>
      </w:r>
    </w:p>
    <w:p w14:paraId="1A5DF570" w14:textId="77777777" w:rsidR="004825B2" w:rsidRPr="00EF6C8A" w:rsidRDefault="004825B2" w:rsidP="004825B2">
      <w:pPr>
        <w:rPr>
          <w:color w:val="FF0000"/>
          <w:lang w:eastAsia="zh-CN"/>
        </w:rPr>
      </w:pPr>
      <w:r w:rsidRPr="00EF6C8A">
        <w:rPr>
          <w:rFonts w:hint="eastAsia"/>
          <w:color w:val="FF0000"/>
          <w:lang w:eastAsia="zh-CN"/>
        </w:rPr>
        <w:t>-</w:t>
      </w:r>
      <w:r w:rsidRPr="00EF6C8A">
        <w:rPr>
          <w:color w:val="FF0000"/>
          <w:lang w:eastAsia="zh-CN"/>
        </w:rPr>
        <w:t>------------------------------------------------------end of TP#3c------------------------------------------------------------</w:t>
      </w:r>
    </w:p>
    <w:p w14:paraId="4947EAFC" w14:textId="77777777" w:rsidR="00835CB1" w:rsidRDefault="00835CB1" w:rsidP="00835CB1">
      <w:pPr>
        <w:rPr>
          <w:lang w:eastAsia="x-none"/>
        </w:rPr>
      </w:pPr>
    </w:p>
    <w:p w14:paraId="677EE317" w14:textId="2E02FFA8" w:rsidR="004E6367" w:rsidRDefault="004E6367" w:rsidP="00835CB1">
      <w:pPr>
        <w:rPr>
          <w:lang w:eastAsia="x-none"/>
        </w:rPr>
      </w:pPr>
      <w:r>
        <w:rPr>
          <w:lang w:eastAsia="x-none"/>
        </w:rPr>
        <w:t xml:space="preserve">Final summary in </w:t>
      </w:r>
      <w:hyperlink r:id="rId414" w:history="1">
        <w:r w:rsidR="00AF7253">
          <w:rPr>
            <w:rStyle w:val="Hyperlink"/>
            <w:lang w:eastAsia="x-none"/>
          </w:rPr>
          <w:t>R1-2312665</w:t>
        </w:r>
      </w:hyperlink>
      <w:r>
        <w:rPr>
          <w:lang w:eastAsia="x-none"/>
        </w:rPr>
        <w:t>.</w:t>
      </w:r>
    </w:p>
    <w:p w14:paraId="2E336524" w14:textId="77777777" w:rsidR="004E6367" w:rsidRDefault="004E6367" w:rsidP="00835CB1">
      <w:pPr>
        <w:rPr>
          <w:lang w:eastAsia="x-none"/>
        </w:rPr>
      </w:pPr>
    </w:p>
    <w:p w14:paraId="01A13223" w14:textId="77777777" w:rsidR="001E74B6" w:rsidRPr="009537ED" w:rsidRDefault="001E74B6" w:rsidP="001E74B6">
      <w:pPr>
        <w:rPr>
          <w:lang w:eastAsia="x-none"/>
        </w:rPr>
      </w:pPr>
      <w:r w:rsidRPr="009537ED">
        <w:rPr>
          <w:lang w:eastAsia="x-none"/>
        </w:rPr>
        <w:t>-----------------------</w:t>
      </w:r>
    </w:p>
    <w:p w14:paraId="670EA514" w14:textId="77777777" w:rsidR="00835CB1" w:rsidRPr="009537ED" w:rsidRDefault="00835CB1" w:rsidP="00835CB1">
      <w:pPr>
        <w:rPr>
          <w:b/>
          <w:lang w:eastAsia="x-none"/>
        </w:rPr>
      </w:pPr>
      <w:r w:rsidRPr="009537ED">
        <w:rPr>
          <w:b/>
          <w:lang w:eastAsia="x-none"/>
        </w:rPr>
        <w:t>Follow up discussion on CSI reporting for 1 CSI-RS port from RAN1#114bis</w:t>
      </w:r>
    </w:p>
    <w:p w14:paraId="37DFE0CF" w14:textId="34E41336" w:rsidR="00835CB1" w:rsidRPr="009537ED" w:rsidRDefault="005A18DC" w:rsidP="00835CB1">
      <w:pPr>
        <w:rPr>
          <w:lang w:eastAsia="x-none"/>
        </w:rPr>
      </w:pPr>
      <w:hyperlink r:id="rId415" w:history="1">
        <w:r w:rsidR="00AF7253">
          <w:rPr>
            <w:rStyle w:val="Hyperlink"/>
            <w:lang w:eastAsia="x-none"/>
          </w:rPr>
          <w:t>R1-2311804</w:t>
        </w:r>
      </w:hyperlink>
      <w:r w:rsidR="00835CB1" w:rsidRPr="009537ED">
        <w:rPr>
          <w:lang w:eastAsia="x-none"/>
        </w:rPr>
        <w:tab/>
        <w:t>Discussion on report quantity parameter setting for CQI reporting with 1Tx</w:t>
      </w:r>
      <w:r w:rsidR="00835CB1" w:rsidRPr="009537ED">
        <w:rPr>
          <w:lang w:eastAsia="x-none"/>
        </w:rPr>
        <w:tab/>
        <w:t>Samsung</w:t>
      </w:r>
    </w:p>
    <w:p w14:paraId="22C0384C" w14:textId="77777777" w:rsidR="00835CB1" w:rsidRPr="009537ED" w:rsidRDefault="00835CB1" w:rsidP="00835CB1">
      <w:pPr>
        <w:rPr>
          <w:lang w:eastAsia="x-none"/>
        </w:rPr>
      </w:pPr>
      <w:r w:rsidRPr="009537ED">
        <w:rPr>
          <w:lang w:eastAsia="x-none"/>
        </w:rPr>
        <w:t>Moved from agenda item 5.</w:t>
      </w:r>
    </w:p>
    <w:p w14:paraId="433C7FF2" w14:textId="3DEDA93D" w:rsidR="00835CB1" w:rsidRPr="009420D3" w:rsidRDefault="005A18DC" w:rsidP="00835CB1">
      <w:pPr>
        <w:rPr>
          <w:b/>
          <w:bCs/>
          <w:lang w:eastAsia="x-none"/>
        </w:rPr>
      </w:pPr>
      <w:hyperlink r:id="rId416" w:history="1">
        <w:r w:rsidR="00AF7253">
          <w:rPr>
            <w:rStyle w:val="Hyperlink"/>
            <w:b/>
            <w:bCs/>
            <w:lang w:eastAsia="x-none"/>
          </w:rPr>
          <w:t>R1-2310872</w:t>
        </w:r>
      </w:hyperlink>
      <w:r w:rsidR="00835CB1" w:rsidRPr="009420D3">
        <w:rPr>
          <w:b/>
          <w:bCs/>
          <w:lang w:eastAsia="x-none"/>
        </w:rPr>
        <w:tab/>
        <w:t>Correction on CSI reporting for 1 CSI-RS port</w:t>
      </w:r>
      <w:r w:rsidR="00835CB1" w:rsidRPr="009420D3">
        <w:rPr>
          <w:b/>
          <w:bCs/>
          <w:lang w:eastAsia="x-none"/>
        </w:rPr>
        <w:tab/>
        <w:t>Huawei, HiSilicon</w:t>
      </w:r>
    </w:p>
    <w:p w14:paraId="03053392" w14:textId="2B2CCDD5" w:rsidR="00835CB1" w:rsidRPr="009537ED" w:rsidRDefault="005A18DC" w:rsidP="00835CB1">
      <w:pPr>
        <w:rPr>
          <w:lang w:eastAsia="x-none"/>
        </w:rPr>
      </w:pPr>
      <w:hyperlink r:id="rId417" w:history="1">
        <w:r w:rsidR="00AF7253">
          <w:rPr>
            <w:rStyle w:val="Hyperlink"/>
            <w:lang w:eastAsia="x-none"/>
          </w:rPr>
          <w:t>R1-2310961</w:t>
        </w:r>
      </w:hyperlink>
      <w:r w:rsidR="00835CB1" w:rsidRPr="009537ED">
        <w:rPr>
          <w:lang w:eastAsia="x-none"/>
        </w:rPr>
        <w:tab/>
        <w:t>Draft CR on CQI reporting with 1Tx on PUSCH in TS 38.212</w:t>
      </w:r>
      <w:r w:rsidR="00835CB1" w:rsidRPr="009537ED">
        <w:rPr>
          <w:lang w:eastAsia="x-none"/>
        </w:rPr>
        <w:tab/>
        <w:t>ZTE</w:t>
      </w:r>
    </w:p>
    <w:p w14:paraId="7998148B" w14:textId="2D2FE026" w:rsidR="00835CB1" w:rsidRPr="009420D3" w:rsidRDefault="006B7AD9" w:rsidP="00835CB1">
      <w:pPr>
        <w:rPr>
          <w:lang w:eastAsia="x-none"/>
        </w:rPr>
      </w:pPr>
      <w:r w:rsidRPr="009420D3">
        <w:rPr>
          <w:b/>
          <w:bCs/>
          <w:lang w:eastAsia="x-none"/>
        </w:rPr>
        <w:t xml:space="preserve">Monday session: </w:t>
      </w:r>
      <w:r w:rsidR="00835CB1" w:rsidRPr="009420D3">
        <w:rPr>
          <w:lang w:eastAsia="x-none"/>
        </w:rPr>
        <w:t>To be moderated by Bo (ZTE). Check status on Thursday.</w:t>
      </w:r>
    </w:p>
    <w:p w14:paraId="23143091" w14:textId="4C265093" w:rsidR="004825B2" w:rsidRPr="009420D3" w:rsidRDefault="005A18DC" w:rsidP="004825B2">
      <w:pPr>
        <w:rPr>
          <w:b/>
          <w:bCs/>
          <w:lang w:eastAsia="x-none"/>
        </w:rPr>
      </w:pPr>
      <w:hyperlink r:id="rId418" w:history="1">
        <w:r w:rsidR="00AF7253">
          <w:rPr>
            <w:rStyle w:val="Hyperlink"/>
            <w:b/>
            <w:bCs/>
            <w:lang w:eastAsia="x-none"/>
          </w:rPr>
          <w:t>R1-2312353</w:t>
        </w:r>
      </w:hyperlink>
      <w:r w:rsidR="004825B2" w:rsidRPr="009420D3">
        <w:rPr>
          <w:b/>
          <w:bCs/>
          <w:lang w:eastAsia="x-none"/>
        </w:rPr>
        <w:tab/>
        <w:t>Summary on CSI reporting for 1 CSI-RS port on PUSCH</w:t>
      </w:r>
      <w:r w:rsidR="004825B2" w:rsidRPr="009420D3">
        <w:rPr>
          <w:b/>
          <w:bCs/>
          <w:lang w:eastAsia="x-none"/>
        </w:rPr>
        <w:tab/>
        <w:t>Moderator (ZTE)</w:t>
      </w:r>
    </w:p>
    <w:p w14:paraId="56C1DDDD" w14:textId="77777777" w:rsidR="004825B2" w:rsidRPr="009420D3" w:rsidRDefault="004825B2" w:rsidP="004825B2">
      <w:pPr>
        <w:rPr>
          <w:highlight w:val="green"/>
          <w:lang w:eastAsia="x-none"/>
        </w:rPr>
      </w:pPr>
      <w:r w:rsidRPr="009420D3">
        <w:rPr>
          <w:highlight w:val="green"/>
          <w:lang w:eastAsia="x-none"/>
        </w:rPr>
        <w:t>Agreement</w:t>
      </w:r>
    </w:p>
    <w:p w14:paraId="6669434C" w14:textId="71BD595B" w:rsidR="004825B2" w:rsidRPr="004915D5" w:rsidRDefault="004825B2" w:rsidP="004825B2">
      <w:pPr>
        <w:rPr>
          <w:lang w:eastAsia="x-none"/>
        </w:rPr>
      </w:pPr>
      <w:r w:rsidRPr="004915D5">
        <w:rPr>
          <w:lang w:eastAsia="x-none"/>
        </w:rPr>
        <w:t>Draft CR (</w:t>
      </w:r>
      <w:hyperlink r:id="rId419" w:history="1">
        <w:r w:rsidR="00AF7253">
          <w:rPr>
            <w:rStyle w:val="Hyperlink"/>
            <w:lang w:eastAsia="x-none"/>
          </w:rPr>
          <w:t>R1-2310872</w:t>
        </w:r>
      </w:hyperlink>
      <w:r w:rsidRPr="004915D5">
        <w:rPr>
          <w:lang w:eastAsia="x-none"/>
        </w:rPr>
        <w:t>) is endorsed for Rel-17 in principle.</w:t>
      </w:r>
    </w:p>
    <w:p w14:paraId="6F47968B" w14:textId="77777777" w:rsidR="004825B2" w:rsidRPr="004915D5" w:rsidRDefault="004825B2" w:rsidP="009420D3">
      <w:pPr>
        <w:pStyle w:val="ListParagraph"/>
        <w:numPr>
          <w:ilvl w:val="0"/>
          <w:numId w:val="249"/>
        </w:numPr>
      </w:pPr>
      <w:r w:rsidRPr="004915D5">
        <w:t>Add a “magic” sentence in cover page of the CR to accommodate earlier implementation: “The Rel-17 CR does not prevent early implementation of the functionality introduced by this CR on a pre-Rel-17 UE/gNB”.</w:t>
      </w:r>
    </w:p>
    <w:p w14:paraId="28674DD4" w14:textId="3745AA20" w:rsidR="004825B2" w:rsidRPr="005A50A1" w:rsidRDefault="004825B2" w:rsidP="004825B2">
      <w:pPr>
        <w:rPr>
          <w:lang w:eastAsia="x-none"/>
        </w:rPr>
      </w:pPr>
      <w:r w:rsidRPr="005A50A1">
        <w:rPr>
          <w:lang w:eastAsia="x-none"/>
        </w:rPr>
        <w:t>Final CR</w:t>
      </w:r>
      <w:r w:rsidR="009420D3">
        <w:rPr>
          <w:lang w:eastAsia="x-none"/>
        </w:rPr>
        <w:t>s</w:t>
      </w:r>
      <w:r w:rsidRPr="005A50A1">
        <w:rPr>
          <w:lang w:eastAsia="x-none"/>
        </w:rPr>
        <w:t xml:space="preserve"> in</w:t>
      </w:r>
      <w:r w:rsidR="009420D3">
        <w:rPr>
          <w:lang w:eastAsia="x-none"/>
        </w:rPr>
        <w:t>:</w:t>
      </w:r>
    </w:p>
    <w:p w14:paraId="3AB580D5" w14:textId="4FD3900B" w:rsidR="009420D3" w:rsidRPr="006E5707" w:rsidRDefault="005A18DC" w:rsidP="009420D3">
      <w:pPr>
        <w:rPr>
          <w:b/>
          <w:bCs/>
          <w:lang w:eastAsia="x-none"/>
        </w:rPr>
      </w:pPr>
      <w:hyperlink r:id="rId420" w:history="1">
        <w:r w:rsidR="00AF7253">
          <w:rPr>
            <w:rStyle w:val="Hyperlink"/>
            <w:b/>
            <w:bCs/>
            <w:highlight w:val="green"/>
            <w:lang w:eastAsia="x-none"/>
          </w:rPr>
          <w:t>R1-2312675</w:t>
        </w:r>
      </w:hyperlink>
      <w:r w:rsidR="009420D3" w:rsidRPr="006E5707">
        <w:rPr>
          <w:b/>
          <w:bCs/>
          <w:lang w:eastAsia="x-none"/>
        </w:rPr>
        <w:tab/>
        <w:t>Correction on CSI reporting for 1 CSI-RS port</w:t>
      </w:r>
      <w:r w:rsidR="009420D3" w:rsidRPr="006E5707">
        <w:rPr>
          <w:b/>
          <w:bCs/>
          <w:lang w:eastAsia="x-none"/>
        </w:rPr>
        <w:tab/>
        <w:t>ZTE, Huawei, HiSilicon, Ericsson, Samsung</w:t>
      </w:r>
    </w:p>
    <w:p w14:paraId="60405FF3" w14:textId="77777777" w:rsidR="009420D3" w:rsidRDefault="009420D3" w:rsidP="009420D3">
      <w:pPr>
        <w:rPr>
          <w:lang w:eastAsia="x-none"/>
        </w:rPr>
      </w:pPr>
      <w:r>
        <w:rPr>
          <w:lang w:eastAsia="x-none"/>
        </w:rPr>
        <w:t>(Rel-17, 38.212, CR0159, Cat F) is agreed.</w:t>
      </w:r>
    </w:p>
    <w:p w14:paraId="7F1CC4E0" w14:textId="3AD0F134" w:rsidR="006E5707" w:rsidRPr="006E5707" w:rsidRDefault="005A18DC" w:rsidP="009420D3">
      <w:pPr>
        <w:rPr>
          <w:b/>
          <w:bCs/>
          <w:lang w:eastAsia="x-none"/>
        </w:rPr>
      </w:pPr>
      <w:hyperlink r:id="rId421" w:history="1">
        <w:r w:rsidR="00AF7253">
          <w:rPr>
            <w:rStyle w:val="Hyperlink"/>
            <w:b/>
            <w:bCs/>
            <w:highlight w:val="green"/>
            <w:lang w:eastAsia="x-none"/>
          </w:rPr>
          <w:t>R1-2312676</w:t>
        </w:r>
      </w:hyperlink>
      <w:r w:rsidR="009420D3" w:rsidRPr="006E5707">
        <w:rPr>
          <w:b/>
          <w:bCs/>
          <w:lang w:eastAsia="x-none"/>
        </w:rPr>
        <w:tab/>
        <w:t>Correction on CSI reporting for 1 CSI-RS port</w:t>
      </w:r>
      <w:r w:rsidR="009420D3" w:rsidRPr="006E5707">
        <w:rPr>
          <w:b/>
          <w:bCs/>
          <w:lang w:eastAsia="x-none"/>
        </w:rPr>
        <w:tab/>
        <w:t>ZTE, Huawei, HiSilicon, Ericsson, Samsung</w:t>
      </w:r>
    </w:p>
    <w:p w14:paraId="7F1C828F" w14:textId="05322E87" w:rsidR="006E5707" w:rsidRDefault="006E5707" w:rsidP="006E5707">
      <w:pPr>
        <w:rPr>
          <w:lang w:eastAsia="x-none"/>
        </w:rPr>
      </w:pPr>
      <w:r>
        <w:rPr>
          <w:lang w:eastAsia="x-none"/>
        </w:rPr>
        <w:t>(Rel-18, 38.212, CR0160, Cat A) is agreed.</w:t>
      </w:r>
    </w:p>
    <w:p w14:paraId="4CC02A0C" w14:textId="77777777" w:rsidR="00F74A6F" w:rsidRDefault="00F74A6F" w:rsidP="00F74A6F">
      <w:pPr>
        <w:pStyle w:val="Heading2"/>
      </w:pPr>
      <w:bookmarkStart w:id="85" w:name="_Toc159250979"/>
      <w:r w:rsidRPr="009537ED">
        <w:t>Maintenance on NR Release 17</w:t>
      </w:r>
      <w:bookmarkEnd w:id="30"/>
      <w:bookmarkEnd w:id="85"/>
    </w:p>
    <w:p w14:paraId="2BC55D05" w14:textId="77777777" w:rsidR="00835CB1" w:rsidRPr="009537ED" w:rsidRDefault="00F74A6F" w:rsidP="00F74A6F">
      <w:pPr>
        <w:rPr>
          <w:lang w:eastAsia="x-none"/>
        </w:rPr>
      </w:pPr>
      <w:r w:rsidRPr="009537ED">
        <w:rPr>
          <w:lang w:eastAsia="x-none"/>
        </w:rPr>
        <w:t xml:space="preserve">[115-R15/R16-NR] </w:t>
      </w:r>
      <w:r w:rsidR="00835CB1" w:rsidRPr="009537ED">
        <w:rPr>
          <w:lang w:eastAsia="x-none"/>
        </w:rPr>
        <w:t>– RAN1 Chair</w:t>
      </w:r>
    </w:p>
    <w:p w14:paraId="14FBF20C" w14:textId="713F7DAD" w:rsidR="00F74A6F" w:rsidRPr="009537ED" w:rsidRDefault="00F74A6F" w:rsidP="00F74A6F">
      <w:pPr>
        <w:rPr>
          <w:lang w:eastAsia="x-none"/>
        </w:rPr>
      </w:pPr>
      <w:r w:rsidRPr="009537ED">
        <w:rPr>
          <w:lang w:eastAsia="x-none"/>
        </w:rPr>
        <w:t>To be used for sharing updates on online/offline schedule, details on what is to be discussed in online/offline sessions, tdoc number of the moderator summary for online session, etc</w:t>
      </w:r>
    </w:p>
    <w:p w14:paraId="208165A5" w14:textId="77777777" w:rsidR="00F74A6F" w:rsidRPr="009537ED" w:rsidRDefault="00F74A6F" w:rsidP="00F74A6F">
      <w:pPr>
        <w:rPr>
          <w:bCs/>
          <w:lang w:eastAsia="x-none"/>
        </w:rPr>
      </w:pPr>
    </w:p>
    <w:p w14:paraId="0D8351CC" w14:textId="77777777" w:rsidR="00835CB1" w:rsidRPr="009537ED" w:rsidRDefault="00835CB1" w:rsidP="00835CB1">
      <w:pPr>
        <w:rPr>
          <w:b/>
          <w:lang w:eastAsia="x-none"/>
        </w:rPr>
      </w:pPr>
      <w:bookmarkStart w:id="86" w:name="_Toc150174438"/>
      <w:r w:rsidRPr="009537ED">
        <w:rPr>
          <w:b/>
          <w:lang w:eastAsia="x-none"/>
        </w:rPr>
        <w:t>MIMO</w:t>
      </w:r>
    </w:p>
    <w:p w14:paraId="57D75470" w14:textId="3B662D73" w:rsidR="00774823" w:rsidRPr="009537ED" w:rsidRDefault="005A18DC" w:rsidP="00774823">
      <w:pPr>
        <w:rPr>
          <w:b/>
          <w:bCs/>
          <w:lang w:eastAsia="x-none"/>
        </w:rPr>
      </w:pPr>
      <w:hyperlink r:id="rId422" w:history="1">
        <w:r w:rsidR="00AF7253">
          <w:rPr>
            <w:rStyle w:val="Hyperlink"/>
            <w:b/>
            <w:bCs/>
            <w:lang w:eastAsia="x-none"/>
          </w:rPr>
          <w:t>R1-2311293</w:t>
        </w:r>
      </w:hyperlink>
      <w:r w:rsidR="00774823" w:rsidRPr="009537ED">
        <w:rPr>
          <w:b/>
          <w:bCs/>
          <w:lang w:eastAsia="x-none"/>
        </w:rPr>
        <w:tab/>
        <w:t>Draft CR on determining p0 for multi-TRP PUSCH transmission</w:t>
      </w:r>
      <w:r w:rsidR="00774823" w:rsidRPr="009537ED">
        <w:rPr>
          <w:b/>
          <w:bCs/>
          <w:lang w:eastAsia="x-none"/>
        </w:rPr>
        <w:tab/>
        <w:t>CATT</w:t>
      </w:r>
    </w:p>
    <w:p w14:paraId="7ACF3728" w14:textId="5F06DFAE" w:rsidR="00774823" w:rsidRPr="009537ED" w:rsidRDefault="005A18DC" w:rsidP="00774823">
      <w:pPr>
        <w:rPr>
          <w:b/>
          <w:bCs/>
          <w:lang w:eastAsia="x-none"/>
        </w:rPr>
      </w:pPr>
      <w:hyperlink r:id="rId423" w:history="1">
        <w:r w:rsidR="00AF7253">
          <w:rPr>
            <w:rStyle w:val="Hyperlink"/>
            <w:b/>
            <w:bCs/>
            <w:lang w:eastAsia="x-none"/>
          </w:rPr>
          <w:t>R1-2311294</w:t>
        </w:r>
      </w:hyperlink>
      <w:r w:rsidR="00774823" w:rsidRPr="009537ED">
        <w:rPr>
          <w:b/>
          <w:bCs/>
          <w:lang w:eastAsia="x-none"/>
        </w:rPr>
        <w:tab/>
        <w:t>Draft CR on determining p0 for PUSCH transmission</w:t>
      </w:r>
      <w:r w:rsidR="00774823" w:rsidRPr="009537ED">
        <w:rPr>
          <w:b/>
          <w:bCs/>
          <w:lang w:eastAsia="x-none"/>
        </w:rPr>
        <w:tab/>
        <w:t>CATT</w:t>
      </w:r>
    </w:p>
    <w:p w14:paraId="7A83FE00" w14:textId="604A13B9" w:rsidR="00774823" w:rsidRPr="009537ED" w:rsidRDefault="005A18DC" w:rsidP="00774823">
      <w:pPr>
        <w:rPr>
          <w:b/>
          <w:bCs/>
          <w:lang w:eastAsia="x-none"/>
        </w:rPr>
      </w:pPr>
      <w:hyperlink r:id="rId424" w:history="1">
        <w:r w:rsidR="00AF7253">
          <w:rPr>
            <w:rStyle w:val="Hyperlink"/>
            <w:b/>
            <w:bCs/>
            <w:highlight w:val="red"/>
            <w:lang w:eastAsia="x-none"/>
          </w:rPr>
          <w:t>R1-2311295</w:t>
        </w:r>
      </w:hyperlink>
      <w:r w:rsidR="00774823" w:rsidRPr="009537ED">
        <w:rPr>
          <w:b/>
          <w:bCs/>
          <w:lang w:eastAsia="x-none"/>
        </w:rPr>
        <w:tab/>
        <w:t>Draft CR on determining power control adjustment state for PUSCH transmission</w:t>
      </w:r>
      <w:r w:rsidR="00774823" w:rsidRPr="009537ED">
        <w:rPr>
          <w:b/>
          <w:bCs/>
          <w:lang w:eastAsia="x-none"/>
        </w:rPr>
        <w:tab/>
        <w:t>CATT</w:t>
      </w:r>
    </w:p>
    <w:p w14:paraId="34B44B99" w14:textId="7689205E" w:rsidR="00774823" w:rsidRPr="009537ED" w:rsidRDefault="005A18DC" w:rsidP="00774823">
      <w:pPr>
        <w:rPr>
          <w:b/>
          <w:bCs/>
          <w:lang w:eastAsia="x-none"/>
        </w:rPr>
      </w:pPr>
      <w:hyperlink r:id="rId425" w:history="1">
        <w:r w:rsidR="00AF7253">
          <w:rPr>
            <w:rStyle w:val="Hyperlink"/>
            <w:b/>
            <w:bCs/>
            <w:highlight w:val="red"/>
            <w:lang w:eastAsia="x-none"/>
          </w:rPr>
          <w:t>R1-2311296</w:t>
        </w:r>
      </w:hyperlink>
      <w:r w:rsidR="00774823" w:rsidRPr="009537ED">
        <w:rPr>
          <w:b/>
          <w:bCs/>
          <w:lang w:eastAsia="x-none"/>
        </w:rPr>
        <w:tab/>
        <w:t>Draft CR on power control for multi-TRP PUSCH transmission</w:t>
      </w:r>
      <w:r w:rsidR="00774823" w:rsidRPr="009537ED">
        <w:rPr>
          <w:b/>
          <w:bCs/>
          <w:lang w:eastAsia="x-none"/>
        </w:rPr>
        <w:tab/>
        <w:t>CATT</w:t>
      </w:r>
    </w:p>
    <w:p w14:paraId="07EB197F" w14:textId="6C9942AA" w:rsidR="00774823" w:rsidRPr="009537ED" w:rsidRDefault="005A18DC" w:rsidP="00774823">
      <w:pPr>
        <w:rPr>
          <w:b/>
          <w:lang w:eastAsia="x-none"/>
        </w:rPr>
      </w:pPr>
      <w:hyperlink r:id="rId426" w:history="1">
        <w:r w:rsidR="00AF7253">
          <w:rPr>
            <w:rStyle w:val="Hyperlink"/>
            <w:b/>
            <w:lang w:eastAsia="x-none"/>
          </w:rPr>
          <w:t>R1-2312357</w:t>
        </w:r>
      </w:hyperlink>
      <w:r w:rsidR="00774823" w:rsidRPr="009537ED">
        <w:rPr>
          <w:b/>
          <w:lang w:eastAsia="x-none"/>
        </w:rPr>
        <w:tab/>
        <w:t>Summary for Rel.17 NR FeMIMO maintenance: mTRP UL</w:t>
      </w:r>
      <w:r w:rsidR="00774823" w:rsidRPr="009537ED">
        <w:rPr>
          <w:b/>
          <w:lang w:eastAsia="x-none"/>
        </w:rPr>
        <w:tab/>
        <w:t>Moderator (Nokia)</w:t>
      </w:r>
    </w:p>
    <w:p w14:paraId="37D0B7B4" w14:textId="02486969" w:rsidR="00774823" w:rsidRPr="009537ED" w:rsidRDefault="00774823" w:rsidP="00835CB1">
      <w:r w:rsidRPr="009537ED">
        <w:t>From Monday session</w:t>
      </w:r>
    </w:p>
    <w:p w14:paraId="63EC1873" w14:textId="1DE23CCF" w:rsidR="006978EA" w:rsidRPr="009537ED" w:rsidRDefault="006978EA" w:rsidP="006978EA">
      <w:r w:rsidRPr="009537ED">
        <w:rPr>
          <w:b/>
          <w:bCs/>
        </w:rPr>
        <w:t>Decision:</w:t>
      </w:r>
      <w:r w:rsidRPr="009537ED">
        <w:t xml:space="preserve"> Draft CRs in </w:t>
      </w:r>
      <w:hyperlink r:id="rId427" w:history="1">
        <w:r w:rsidR="00AF7253">
          <w:rPr>
            <w:rStyle w:val="Hyperlink"/>
          </w:rPr>
          <w:t>R1-2311295</w:t>
        </w:r>
      </w:hyperlink>
      <w:r w:rsidRPr="009537ED">
        <w:rPr>
          <w:lang w:eastAsia="x-none"/>
        </w:rPr>
        <w:t xml:space="preserve"> and in </w:t>
      </w:r>
      <w:hyperlink r:id="rId428" w:history="1">
        <w:r w:rsidR="00AF7253">
          <w:rPr>
            <w:rStyle w:val="Hyperlink"/>
            <w:lang w:eastAsia="x-none"/>
          </w:rPr>
          <w:t>R1-2311296</w:t>
        </w:r>
      </w:hyperlink>
      <w:r w:rsidRPr="009537ED">
        <w:rPr>
          <w:rStyle w:val="Hyperlink"/>
          <w:color w:val="auto"/>
          <w:u w:val="none"/>
          <w:lang w:eastAsia="x-none"/>
        </w:rPr>
        <w:t xml:space="preserve"> are not pursued.</w:t>
      </w:r>
    </w:p>
    <w:p w14:paraId="1D653D28" w14:textId="0D53A732" w:rsidR="006978EA" w:rsidRPr="009537ED" w:rsidRDefault="006978EA" w:rsidP="006978EA">
      <w:pPr>
        <w:rPr>
          <w:szCs w:val="20"/>
          <w:lang w:eastAsia="zh-CN"/>
        </w:rPr>
      </w:pPr>
      <w:r w:rsidRPr="009537ED">
        <w:rPr>
          <w:szCs w:val="20"/>
          <w:highlight w:val="green"/>
          <w:lang w:eastAsia="zh-CN"/>
        </w:rPr>
        <w:t>For the 38.213 editor</w:t>
      </w:r>
    </w:p>
    <w:p w14:paraId="62C31F3B" w14:textId="62D04C7E" w:rsidR="00774823" w:rsidRPr="009537ED" w:rsidRDefault="00774823" w:rsidP="00BC5BE9">
      <w:pPr>
        <w:numPr>
          <w:ilvl w:val="0"/>
          <w:numId w:val="79"/>
        </w:numPr>
        <w:snapToGrid w:val="0"/>
        <w:rPr>
          <w:rFonts w:cs="Times"/>
          <w:szCs w:val="20"/>
        </w:rPr>
      </w:pPr>
      <w:r w:rsidRPr="009537ED">
        <w:rPr>
          <w:rFonts w:cs="Times"/>
          <w:szCs w:val="20"/>
        </w:rPr>
        <w:lastRenderedPageBreak/>
        <w:t xml:space="preserve">The text proposal in </w:t>
      </w:r>
      <w:hyperlink r:id="rId429" w:history="1">
        <w:r w:rsidR="00AF7253">
          <w:rPr>
            <w:rStyle w:val="Hyperlink"/>
            <w:rFonts w:cs="Times"/>
            <w:szCs w:val="20"/>
          </w:rPr>
          <w:t>R1-2311293</w:t>
        </w:r>
      </w:hyperlink>
      <w:r w:rsidRPr="009537ED">
        <w:rPr>
          <w:szCs w:val="20"/>
          <w:lang w:eastAsia="zh-CN"/>
        </w:rPr>
        <w:t xml:space="preserve"> </w:t>
      </w:r>
      <w:r w:rsidRPr="009537ED">
        <w:rPr>
          <w:rFonts w:cs="Times"/>
          <w:szCs w:val="20"/>
        </w:rPr>
        <w:t>is provided to improve the clarity of the RAN1 specifications. Please include it in the Rel-17 alignment CR (TS38.21</w:t>
      </w:r>
      <w:r w:rsidRPr="009537ED">
        <w:rPr>
          <w:rFonts w:cs="Times"/>
          <w:szCs w:val="20"/>
          <w:lang w:eastAsia="zh-CN"/>
        </w:rPr>
        <w:t>3</w:t>
      </w:r>
      <w:r w:rsidRPr="009537ED">
        <w:rPr>
          <w:rFonts w:cs="Times"/>
          <w:szCs w:val="20"/>
        </w:rPr>
        <w:t>).</w:t>
      </w:r>
    </w:p>
    <w:p w14:paraId="72920E0C" w14:textId="3D4D01F1" w:rsidR="00774823" w:rsidRPr="009537ED" w:rsidRDefault="00774823" w:rsidP="00BC5BE9">
      <w:pPr>
        <w:numPr>
          <w:ilvl w:val="0"/>
          <w:numId w:val="79"/>
        </w:numPr>
        <w:snapToGrid w:val="0"/>
        <w:rPr>
          <w:rFonts w:cs="Times"/>
          <w:szCs w:val="20"/>
        </w:rPr>
      </w:pPr>
      <w:r w:rsidRPr="009537ED">
        <w:rPr>
          <w:rFonts w:cs="Times"/>
          <w:szCs w:val="20"/>
        </w:rPr>
        <w:t xml:space="preserve">The text proposal in </w:t>
      </w:r>
      <w:hyperlink r:id="rId430" w:history="1">
        <w:r w:rsidR="00AF7253">
          <w:rPr>
            <w:rStyle w:val="Hyperlink"/>
            <w:rFonts w:cs="Times"/>
            <w:szCs w:val="20"/>
          </w:rPr>
          <w:t>R1-2311294</w:t>
        </w:r>
      </w:hyperlink>
      <w:r w:rsidRPr="009537ED">
        <w:rPr>
          <w:rFonts w:cs="Times"/>
          <w:szCs w:val="20"/>
        </w:rPr>
        <w:t xml:space="preserve"> is provided to improve the clarity of the RAN1 specifications. Please include it in the Rel-17 alignment CR (TS38.213).</w:t>
      </w:r>
    </w:p>
    <w:p w14:paraId="46BC6DA1" w14:textId="77777777" w:rsidR="00774823" w:rsidRPr="009537ED" w:rsidRDefault="00774823" w:rsidP="00835CB1"/>
    <w:p w14:paraId="722AFDA3" w14:textId="77777777" w:rsidR="00774823" w:rsidRPr="009537ED" w:rsidRDefault="00774823" w:rsidP="00774823"/>
    <w:p w14:paraId="2149DCB8" w14:textId="003EDDC6" w:rsidR="00774823" w:rsidRDefault="005A18DC" w:rsidP="00774823">
      <w:pPr>
        <w:rPr>
          <w:lang w:eastAsia="x-none"/>
        </w:rPr>
      </w:pPr>
      <w:hyperlink r:id="rId431" w:history="1">
        <w:r w:rsidR="00AF7253">
          <w:rPr>
            <w:rStyle w:val="Hyperlink"/>
            <w:lang w:eastAsia="x-none"/>
          </w:rPr>
          <w:t>R1-2311580</w:t>
        </w:r>
      </w:hyperlink>
      <w:r w:rsidR="00774823" w:rsidRPr="009537ED">
        <w:rPr>
          <w:lang w:eastAsia="x-none"/>
        </w:rPr>
        <w:tab/>
        <w:t>Draft CR on UL beam after 2-step RACH</w:t>
      </w:r>
      <w:r w:rsidR="00774823" w:rsidRPr="009537ED">
        <w:rPr>
          <w:lang w:eastAsia="x-none"/>
        </w:rPr>
        <w:tab/>
        <w:t>Google</w:t>
      </w:r>
    </w:p>
    <w:p w14:paraId="2661B724" w14:textId="605666C3" w:rsidR="00EA0702" w:rsidRPr="00EA0702" w:rsidRDefault="005A18DC" w:rsidP="00EA0702">
      <w:pPr>
        <w:rPr>
          <w:b/>
          <w:bCs/>
          <w:lang w:eastAsia="x-none"/>
        </w:rPr>
      </w:pPr>
      <w:hyperlink r:id="rId432" w:history="1">
        <w:r w:rsidR="00AF7253">
          <w:rPr>
            <w:rStyle w:val="Hyperlink"/>
            <w:b/>
            <w:bCs/>
            <w:lang w:eastAsia="x-none"/>
          </w:rPr>
          <w:t>R1-2311581</w:t>
        </w:r>
      </w:hyperlink>
      <w:r w:rsidR="00EA0702" w:rsidRPr="00EA0702">
        <w:rPr>
          <w:b/>
          <w:bCs/>
          <w:lang w:eastAsia="x-none"/>
        </w:rPr>
        <w:tab/>
        <w:t>Discussion on default beam and pathloss reference signal based on unified TCI framework</w:t>
      </w:r>
      <w:r w:rsidR="00EA0702" w:rsidRPr="00EA0702">
        <w:rPr>
          <w:b/>
          <w:bCs/>
          <w:lang w:eastAsia="x-none"/>
        </w:rPr>
        <w:tab/>
        <w:t>Google</w:t>
      </w:r>
    </w:p>
    <w:p w14:paraId="7B8808E3" w14:textId="24105843" w:rsidR="00774823" w:rsidRPr="009537ED" w:rsidRDefault="005A18DC" w:rsidP="00774823">
      <w:pPr>
        <w:rPr>
          <w:lang w:eastAsia="x-none"/>
        </w:rPr>
      </w:pPr>
      <w:hyperlink r:id="rId433" w:history="1">
        <w:r w:rsidR="00AF7253">
          <w:rPr>
            <w:rStyle w:val="Hyperlink"/>
            <w:lang w:eastAsia="x-none"/>
          </w:rPr>
          <w:t>R1-2311582</w:t>
        </w:r>
      </w:hyperlink>
      <w:r w:rsidR="00774823" w:rsidRPr="009537ED">
        <w:rPr>
          <w:lang w:eastAsia="x-none"/>
        </w:rPr>
        <w:tab/>
        <w:t>Draft CR on default pathloss reference signal based on unified TCI framework</w:t>
      </w:r>
      <w:r w:rsidR="00774823" w:rsidRPr="009537ED">
        <w:rPr>
          <w:lang w:eastAsia="x-none"/>
        </w:rPr>
        <w:tab/>
        <w:t>Google</w:t>
      </w:r>
    </w:p>
    <w:p w14:paraId="2CC9D5E4" w14:textId="7D6238DF" w:rsidR="00774823" w:rsidRPr="009537ED" w:rsidRDefault="005A18DC" w:rsidP="00774823">
      <w:pPr>
        <w:rPr>
          <w:lang w:eastAsia="x-none"/>
        </w:rPr>
      </w:pPr>
      <w:hyperlink r:id="rId434" w:history="1">
        <w:r w:rsidR="00AF7253">
          <w:rPr>
            <w:rStyle w:val="Hyperlink"/>
            <w:lang w:eastAsia="x-none"/>
          </w:rPr>
          <w:t>R1-2311583</w:t>
        </w:r>
      </w:hyperlink>
      <w:r w:rsidR="00774823" w:rsidRPr="009537ED">
        <w:rPr>
          <w:lang w:eastAsia="x-none"/>
        </w:rPr>
        <w:tab/>
        <w:t>Draft CR on default beam based on unified TCI framework</w:t>
      </w:r>
      <w:r w:rsidR="00774823" w:rsidRPr="009537ED">
        <w:rPr>
          <w:lang w:eastAsia="x-none"/>
        </w:rPr>
        <w:tab/>
        <w:t>Google</w:t>
      </w:r>
    </w:p>
    <w:p w14:paraId="5B4C3BDE" w14:textId="33275692" w:rsidR="00774823" w:rsidRPr="009537ED" w:rsidRDefault="005A18DC" w:rsidP="00774823">
      <w:pPr>
        <w:rPr>
          <w:lang w:eastAsia="x-none"/>
        </w:rPr>
      </w:pPr>
      <w:hyperlink r:id="rId435" w:history="1">
        <w:r w:rsidR="00AF7253">
          <w:rPr>
            <w:rStyle w:val="Hyperlink"/>
            <w:lang w:eastAsia="x-none"/>
          </w:rPr>
          <w:t>R1-2311780</w:t>
        </w:r>
      </w:hyperlink>
      <w:r w:rsidR="00774823" w:rsidRPr="009537ED">
        <w:rPr>
          <w:lang w:eastAsia="x-none"/>
        </w:rPr>
        <w:tab/>
        <w:t>Draft CR on spatial relation configuration for SRS</w:t>
      </w:r>
      <w:r w:rsidR="00774823" w:rsidRPr="009537ED">
        <w:rPr>
          <w:lang w:eastAsia="x-none"/>
        </w:rPr>
        <w:tab/>
        <w:t>CATT</w:t>
      </w:r>
    </w:p>
    <w:p w14:paraId="16A18A91" w14:textId="03F000B3" w:rsidR="00774823" w:rsidRPr="006102AE" w:rsidRDefault="005A18DC" w:rsidP="00774823">
      <w:pPr>
        <w:rPr>
          <w:b/>
          <w:bCs/>
          <w:lang w:eastAsia="x-none"/>
        </w:rPr>
      </w:pPr>
      <w:hyperlink r:id="rId436" w:history="1">
        <w:r w:rsidR="00AF7253">
          <w:rPr>
            <w:rStyle w:val="Hyperlink"/>
            <w:b/>
            <w:bCs/>
            <w:lang w:eastAsia="x-none"/>
          </w:rPr>
          <w:t>R1-2311819</w:t>
        </w:r>
      </w:hyperlink>
      <w:r w:rsidR="00774823" w:rsidRPr="006102AE">
        <w:rPr>
          <w:b/>
          <w:bCs/>
          <w:lang w:eastAsia="x-none"/>
        </w:rPr>
        <w:tab/>
        <w:t>Draft CR on unified TCI state indication via DCI format 1_2</w:t>
      </w:r>
      <w:r w:rsidR="00774823" w:rsidRPr="006102AE">
        <w:rPr>
          <w:b/>
          <w:bCs/>
          <w:lang w:eastAsia="x-none"/>
        </w:rPr>
        <w:tab/>
        <w:t>Samsung</w:t>
      </w:r>
    </w:p>
    <w:p w14:paraId="4E4DAB20" w14:textId="79FF69B1" w:rsidR="00774823" w:rsidRPr="009537ED" w:rsidRDefault="005A18DC" w:rsidP="00774823">
      <w:pPr>
        <w:rPr>
          <w:lang w:eastAsia="x-none"/>
        </w:rPr>
      </w:pPr>
      <w:hyperlink r:id="rId437" w:history="1">
        <w:r w:rsidR="00AF7253">
          <w:rPr>
            <w:rStyle w:val="Hyperlink"/>
            <w:lang w:eastAsia="x-none"/>
          </w:rPr>
          <w:t>R1-2312076</w:t>
        </w:r>
      </w:hyperlink>
      <w:r w:rsidR="00774823" w:rsidRPr="009537ED">
        <w:rPr>
          <w:lang w:eastAsia="x-none"/>
        </w:rPr>
        <w:tab/>
        <w:t>Correction on HARQ feedback for TCI state update indication</w:t>
      </w:r>
      <w:r w:rsidR="00774823" w:rsidRPr="009537ED">
        <w:rPr>
          <w:lang w:eastAsia="x-none"/>
        </w:rPr>
        <w:tab/>
        <w:t>CATT</w:t>
      </w:r>
    </w:p>
    <w:p w14:paraId="1E644716" w14:textId="15E4986F" w:rsidR="00774823" w:rsidRPr="009537ED" w:rsidRDefault="005A18DC" w:rsidP="00774823">
      <w:pPr>
        <w:rPr>
          <w:b/>
          <w:lang w:eastAsia="x-none"/>
        </w:rPr>
      </w:pPr>
      <w:hyperlink r:id="rId438" w:history="1">
        <w:r w:rsidR="00AF7253">
          <w:rPr>
            <w:rStyle w:val="Hyperlink"/>
            <w:b/>
            <w:lang w:eastAsia="x-none"/>
          </w:rPr>
          <w:t>R1-2312354</w:t>
        </w:r>
      </w:hyperlink>
      <w:r w:rsidR="00774823" w:rsidRPr="009537ED">
        <w:rPr>
          <w:b/>
          <w:lang w:eastAsia="x-none"/>
        </w:rPr>
        <w:tab/>
        <w:t>Moderator Summary</w:t>
      </w:r>
      <w:r w:rsidR="004E38C1" w:rsidRPr="009537ED">
        <w:rPr>
          <w:b/>
          <w:lang w:eastAsia="x-none"/>
        </w:rPr>
        <w:t xml:space="preserve"> </w:t>
      </w:r>
      <w:r w:rsidR="00774823" w:rsidRPr="009537ED">
        <w:rPr>
          <w:b/>
          <w:lang w:eastAsia="x-none"/>
        </w:rPr>
        <w:t>#1 for Maintenance on Rel-17 Multi-Beam</w:t>
      </w:r>
      <w:r w:rsidR="00774823" w:rsidRPr="009537ED">
        <w:rPr>
          <w:b/>
          <w:lang w:eastAsia="x-none"/>
        </w:rPr>
        <w:tab/>
        <w:t>Moderator (ZTE)</w:t>
      </w:r>
    </w:p>
    <w:p w14:paraId="366FBDB6" w14:textId="77777777" w:rsidR="00774823" w:rsidRPr="009537ED" w:rsidRDefault="00774823" w:rsidP="00774823">
      <w:r w:rsidRPr="009537ED">
        <w:t>From Monday session</w:t>
      </w:r>
    </w:p>
    <w:p w14:paraId="0F8881B5" w14:textId="77777777" w:rsidR="006102AE" w:rsidRDefault="006102AE" w:rsidP="006102AE">
      <w:pPr>
        <w:rPr>
          <w:szCs w:val="20"/>
          <w:lang w:eastAsia="zh-CN"/>
        </w:rPr>
      </w:pPr>
      <w:r w:rsidRPr="009537ED">
        <w:rPr>
          <w:szCs w:val="20"/>
          <w:highlight w:val="green"/>
          <w:lang w:eastAsia="zh-CN"/>
        </w:rPr>
        <w:t>For the 38.214 editor</w:t>
      </w:r>
    </w:p>
    <w:p w14:paraId="0F0753A6" w14:textId="300C6CB0" w:rsidR="006102AE" w:rsidRPr="009537ED" w:rsidRDefault="006102AE" w:rsidP="006102AE">
      <w:pPr>
        <w:pStyle w:val="ListParagraph"/>
        <w:numPr>
          <w:ilvl w:val="0"/>
          <w:numId w:val="80"/>
        </w:numPr>
        <w:snapToGrid w:val="0"/>
        <w:rPr>
          <w:rFonts w:cs="Times"/>
        </w:rPr>
      </w:pPr>
      <w:r w:rsidRPr="009537ED">
        <w:rPr>
          <w:rFonts w:cs="Times"/>
        </w:rPr>
        <w:t xml:space="preserve">The text proposal in </w:t>
      </w:r>
      <w:hyperlink r:id="rId439" w:history="1">
        <w:r w:rsidR="00AF7253">
          <w:rPr>
            <w:rStyle w:val="Hyperlink"/>
            <w:rFonts w:cs="Times"/>
          </w:rPr>
          <w:t>R1-2311819</w:t>
        </w:r>
      </w:hyperlink>
      <w:r w:rsidRPr="006102AE">
        <w:rPr>
          <w:rStyle w:val="Hyperlink"/>
          <w:u w:val="none"/>
        </w:rPr>
        <w:t xml:space="preserve"> </w:t>
      </w:r>
      <w:r w:rsidRPr="006102AE">
        <w:rPr>
          <w:rFonts w:cs="Times"/>
        </w:rPr>
        <w:t>i</w:t>
      </w:r>
      <w:r w:rsidRPr="009537ED">
        <w:rPr>
          <w:rFonts w:cs="Times"/>
        </w:rPr>
        <w:t>s provided to improve the clarity of the RAN1 specifications. Please include it in the Rel-17 alignment CR (TS38.21</w:t>
      </w:r>
      <w:r w:rsidRPr="009537ED">
        <w:t>4</w:t>
      </w:r>
      <w:r w:rsidRPr="009537ED">
        <w:rPr>
          <w:rFonts w:cs="Times"/>
        </w:rPr>
        <w:t>).</w:t>
      </w:r>
    </w:p>
    <w:p w14:paraId="4061B2E5" w14:textId="06EA9801" w:rsidR="00214D6F" w:rsidRPr="006D2F4E" w:rsidRDefault="005A18DC" w:rsidP="00214D6F">
      <w:pPr>
        <w:rPr>
          <w:b/>
          <w:bCs/>
          <w:lang w:val="en-US" w:eastAsia="x-none"/>
        </w:rPr>
      </w:pPr>
      <w:hyperlink r:id="rId440" w:history="1">
        <w:r w:rsidR="00AF7253">
          <w:rPr>
            <w:rStyle w:val="Hyperlink"/>
            <w:b/>
            <w:bCs/>
            <w:lang w:val="en-US" w:eastAsia="x-none"/>
          </w:rPr>
          <w:t>R1-2312452</w:t>
        </w:r>
      </w:hyperlink>
      <w:r w:rsidR="00214D6F" w:rsidRPr="006D2F4E">
        <w:rPr>
          <w:b/>
          <w:bCs/>
          <w:lang w:val="en-US" w:eastAsia="x-none"/>
        </w:rPr>
        <w:tab/>
        <w:t>Moderator Summary</w:t>
      </w:r>
      <w:r w:rsidR="00214D6F">
        <w:rPr>
          <w:b/>
          <w:bCs/>
          <w:lang w:val="en-US" w:eastAsia="x-none"/>
        </w:rPr>
        <w:t xml:space="preserve"> </w:t>
      </w:r>
      <w:r w:rsidR="00214D6F" w:rsidRPr="006D2F4E">
        <w:rPr>
          <w:b/>
          <w:bCs/>
          <w:lang w:val="en-US" w:eastAsia="x-none"/>
        </w:rPr>
        <w:t>#2 for Maintenance on Rel-17 Multi-Beam</w:t>
      </w:r>
      <w:r w:rsidR="00214D6F" w:rsidRPr="006D2F4E">
        <w:rPr>
          <w:b/>
          <w:bCs/>
          <w:lang w:val="en-US" w:eastAsia="x-none"/>
        </w:rPr>
        <w:tab/>
        <w:t>Moderator (ZTE)</w:t>
      </w:r>
    </w:p>
    <w:p w14:paraId="05348A44" w14:textId="3A7E997F" w:rsidR="006102AE" w:rsidRPr="009537ED" w:rsidRDefault="006102AE" w:rsidP="006102AE">
      <w:r w:rsidRPr="009537ED">
        <w:t xml:space="preserve">From </w:t>
      </w:r>
      <w:r>
        <w:t>Thursday</w:t>
      </w:r>
      <w:r w:rsidRPr="009537ED">
        <w:t xml:space="preserve"> session</w:t>
      </w:r>
    </w:p>
    <w:p w14:paraId="3BD8CE62" w14:textId="35171598" w:rsidR="006102AE" w:rsidRPr="006102AE" w:rsidRDefault="005A18DC" w:rsidP="006102AE">
      <w:pPr>
        <w:rPr>
          <w:b/>
          <w:bCs/>
          <w:lang w:eastAsia="x-none"/>
        </w:rPr>
      </w:pPr>
      <w:hyperlink r:id="rId441" w:history="1">
        <w:r w:rsidR="00AF7253">
          <w:rPr>
            <w:rStyle w:val="Hyperlink"/>
            <w:b/>
            <w:bCs/>
            <w:lang w:eastAsia="x-none"/>
          </w:rPr>
          <w:t>R1-2312076</w:t>
        </w:r>
      </w:hyperlink>
      <w:r w:rsidR="006102AE" w:rsidRPr="006102AE">
        <w:rPr>
          <w:b/>
          <w:bCs/>
          <w:lang w:eastAsia="x-none"/>
        </w:rPr>
        <w:tab/>
        <w:t>Correction on HARQ feedback for TCI state update indication</w:t>
      </w:r>
      <w:r w:rsidR="006102AE" w:rsidRPr="006102AE">
        <w:rPr>
          <w:b/>
          <w:bCs/>
          <w:lang w:eastAsia="x-none"/>
        </w:rPr>
        <w:tab/>
        <w:t>CATT</w:t>
      </w:r>
    </w:p>
    <w:p w14:paraId="26A27F28" w14:textId="5218A25E" w:rsidR="00774823" w:rsidRDefault="006102AE" w:rsidP="00835CB1">
      <w:pPr>
        <w:rPr>
          <w:rFonts w:ascii="Times New Roman" w:eastAsia="SimSun" w:hAnsi="Times New Roman"/>
          <w:szCs w:val="20"/>
          <w:lang w:eastAsia="ja-JP"/>
        </w:rPr>
      </w:pPr>
      <w:r w:rsidRPr="006102AE">
        <w:rPr>
          <w:rFonts w:ascii="Times New Roman" w:eastAsia="SimSun" w:hAnsi="Times New Roman"/>
          <w:b/>
          <w:bCs/>
          <w:szCs w:val="20"/>
          <w:lang w:eastAsia="ja-JP"/>
        </w:rPr>
        <w:t>Decision:</w:t>
      </w:r>
      <w:r>
        <w:rPr>
          <w:rFonts w:ascii="Times New Roman" w:eastAsia="SimSun" w:hAnsi="Times New Roman"/>
          <w:szCs w:val="20"/>
          <w:lang w:eastAsia="ja-JP"/>
        </w:rPr>
        <w:t xml:space="preserve"> The draft CR is endorsed in principle. Final CRs in:</w:t>
      </w:r>
    </w:p>
    <w:p w14:paraId="27F8F7EE" w14:textId="42E09D00" w:rsidR="009772D2" w:rsidRPr="009772D2" w:rsidRDefault="005A18DC" w:rsidP="006102AE">
      <w:pPr>
        <w:rPr>
          <w:rFonts w:ascii="Times New Roman" w:eastAsia="SimSun" w:hAnsi="Times New Roman"/>
          <w:b/>
          <w:bCs/>
          <w:szCs w:val="20"/>
          <w:lang w:eastAsia="ja-JP"/>
        </w:rPr>
      </w:pPr>
      <w:hyperlink r:id="rId442" w:history="1">
        <w:r w:rsidR="00AF7253">
          <w:rPr>
            <w:rStyle w:val="Hyperlink"/>
            <w:rFonts w:ascii="Times New Roman" w:eastAsia="SimSun" w:hAnsi="Times New Roman"/>
            <w:b/>
            <w:bCs/>
            <w:szCs w:val="20"/>
            <w:highlight w:val="green"/>
            <w:lang w:eastAsia="ja-JP"/>
          </w:rPr>
          <w:t>R1-2312453</w:t>
        </w:r>
      </w:hyperlink>
      <w:r w:rsidR="006102AE" w:rsidRPr="009772D2">
        <w:rPr>
          <w:rFonts w:ascii="Times New Roman" w:eastAsia="SimSun" w:hAnsi="Times New Roman"/>
          <w:b/>
          <w:bCs/>
          <w:szCs w:val="20"/>
          <w:lang w:eastAsia="ja-JP"/>
        </w:rPr>
        <w:tab/>
        <w:t>Correction on HARQ feedback for TCI state update indication</w:t>
      </w:r>
      <w:r w:rsidR="006102AE" w:rsidRPr="009772D2">
        <w:rPr>
          <w:rFonts w:ascii="Times New Roman" w:eastAsia="SimSun" w:hAnsi="Times New Roman"/>
          <w:b/>
          <w:bCs/>
          <w:szCs w:val="20"/>
          <w:lang w:eastAsia="ja-JP"/>
        </w:rPr>
        <w:tab/>
        <w:t>Moderator (ZTE), CATT, Samsung</w:t>
      </w:r>
    </w:p>
    <w:p w14:paraId="14D84B2E" w14:textId="77777777" w:rsidR="009772D2" w:rsidRDefault="009772D2" w:rsidP="006102AE">
      <w:pPr>
        <w:rPr>
          <w:rFonts w:ascii="Times New Roman" w:eastAsia="SimSun" w:hAnsi="Times New Roman"/>
          <w:szCs w:val="20"/>
          <w:lang w:eastAsia="ja-JP"/>
        </w:rPr>
      </w:pPr>
      <w:r>
        <w:rPr>
          <w:rFonts w:ascii="Times New Roman" w:eastAsia="SimSun" w:hAnsi="Times New Roman"/>
          <w:szCs w:val="20"/>
          <w:lang w:eastAsia="ja-JP"/>
        </w:rPr>
        <w:t>(</w:t>
      </w:r>
      <w:r w:rsidR="006102AE" w:rsidRPr="006102AE">
        <w:rPr>
          <w:rFonts w:ascii="Times New Roman" w:eastAsia="SimSun" w:hAnsi="Times New Roman"/>
          <w:szCs w:val="20"/>
          <w:lang w:eastAsia="ja-JP"/>
        </w:rPr>
        <w:t>Rel-17</w:t>
      </w:r>
      <w:r>
        <w:rPr>
          <w:rFonts w:ascii="Times New Roman" w:eastAsia="SimSun" w:hAnsi="Times New Roman"/>
          <w:szCs w:val="20"/>
          <w:lang w:eastAsia="ja-JP"/>
        </w:rPr>
        <w:t xml:space="preserve">, </w:t>
      </w:r>
      <w:r w:rsidR="006102AE" w:rsidRPr="006102AE">
        <w:rPr>
          <w:rFonts w:ascii="Times New Roman" w:eastAsia="SimSun" w:hAnsi="Times New Roman"/>
          <w:szCs w:val="20"/>
          <w:lang w:eastAsia="ja-JP"/>
        </w:rPr>
        <w:t>38.213</w:t>
      </w:r>
      <w:r>
        <w:rPr>
          <w:rFonts w:ascii="Times New Roman" w:eastAsia="SimSun" w:hAnsi="Times New Roman"/>
          <w:szCs w:val="20"/>
          <w:lang w:eastAsia="ja-JP"/>
        </w:rPr>
        <w:t>, CR</w:t>
      </w:r>
      <w:r w:rsidR="006102AE" w:rsidRPr="006102AE">
        <w:rPr>
          <w:rFonts w:ascii="Times New Roman" w:eastAsia="SimSun" w:hAnsi="Times New Roman"/>
          <w:szCs w:val="20"/>
          <w:lang w:eastAsia="ja-JP"/>
        </w:rPr>
        <w:t>0540</w:t>
      </w:r>
      <w:r>
        <w:rPr>
          <w:rFonts w:ascii="Times New Roman" w:eastAsia="SimSun" w:hAnsi="Times New Roman"/>
          <w:szCs w:val="20"/>
          <w:lang w:eastAsia="ja-JP"/>
        </w:rPr>
        <w:t>, Cat F) is agreed.</w:t>
      </w:r>
    </w:p>
    <w:p w14:paraId="5F04DACD" w14:textId="7C64F83D" w:rsidR="009772D2" w:rsidRPr="009772D2" w:rsidRDefault="005A18DC" w:rsidP="006102AE">
      <w:pPr>
        <w:rPr>
          <w:rFonts w:ascii="Times New Roman" w:eastAsia="SimSun" w:hAnsi="Times New Roman"/>
          <w:b/>
          <w:bCs/>
          <w:szCs w:val="20"/>
          <w:lang w:eastAsia="ja-JP"/>
        </w:rPr>
      </w:pPr>
      <w:hyperlink r:id="rId443" w:history="1">
        <w:r w:rsidR="00AF7253">
          <w:rPr>
            <w:rStyle w:val="Hyperlink"/>
            <w:rFonts w:ascii="Times New Roman" w:eastAsia="SimSun" w:hAnsi="Times New Roman"/>
            <w:b/>
            <w:bCs/>
            <w:szCs w:val="20"/>
            <w:highlight w:val="green"/>
            <w:lang w:eastAsia="ja-JP"/>
          </w:rPr>
          <w:t>R1-2312454</w:t>
        </w:r>
      </w:hyperlink>
      <w:r w:rsidR="006102AE" w:rsidRPr="009772D2">
        <w:rPr>
          <w:rFonts w:ascii="Times New Roman" w:eastAsia="SimSun" w:hAnsi="Times New Roman"/>
          <w:b/>
          <w:bCs/>
          <w:szCs w:val="20"/>
          <w:lang w:eastAsia="ja-JP"/>
        </w:rPr>
        <w:tab/>
        <w:t>Correction on HARQ feedback for TCI state update indication</w:t>
      </w:r>
      <w:r w:rsidR="006102AE" w:rsidRPr="009772D2">
        <w:rPr>
          <w:rFonts w:ascii="Times New Roman" w:eastAsia="SimSun" w:hAnsi="Times New Roman"/>
          <w:b/>
          <w:bCs/>
          <w:szCs w:val="20"/>
          <w:lang w:eastAsia="ja-JP"/>
        </w:rPr>
        <w:tab/>
        <w:t>Moderator (ZTE), CATT, Samsung</w:t>
      </w:r>
    </w:p>
    <w:p w14:paraId="64FFC5E6" w14:textId="26AF74E8" w:rsidR="009772D2" w:rsidRDefault="009772D2" w:rsidP="009772D2">
      <w:pPr>
        <w:rPr>
          <w:rFonts w:ascii="Times New Roman" w:eastAsia="SimSun" w:hAnsi="Times New Roman"/>
          <w:szCs w:val="20"/>
          <w:lang w:eastAsia="ja-JP"/>
        </w:rPr>
      </w:pPr>
      <w:r>
        <w:rPr>
          <w:rFonts w:ascii="Times New Roman" w:eastAsia="SimSun" w:hAnsi="Times New Roman"/>
          <w:szCs w:val="20"/>
          <w:lang w:eastAsia="ja-JP"/>
        </w:rPr>
        <w:t>(</w:t>
      </w:r>
      <w:r w:rsidRPr="006102AE">
        <w:rPr>
          <w:rFonts w:ascii="Times New Roman" w:eastAsia="SimSun" w:hAnsi="Times New Roman"/>
          <w:szCs w:val="20"/>
          <w:lang w:eastAsia="ja-JP"/>
        </w:rPr>
        <w:t>Rel-1</w:t>
      </w:r>
      <w:r>
        <w:rPr>
          <w:rFonts w:ascii="Times New Roman" w:eastAsia="SimSun" w:hAnsi="Times New Roman"/>
          <w:szCs w:val="20"/>
          <w:lang w:eastAsia="ja-JP"/>
        </w:rPr>
        <w:t xml:space="preserve">8, </w:t>
      </w:r>
      <w:r w:rsidRPr="006102AE">
        <w:rPr>
          <w:rFonts w:ascii="Times New Roman" w:eastAsia="SimSun" w:hAnsi="Times New Roman"/>
          <w:szCs w:val="20"/>
          <w:lang w:eastAsia="ja-JP"/>
        </w:rPr>
        <w:t>38.213</w:t>
      </w:r>
      <w:r>
        <w:rPr>
          <w:rFonts w:ascii="Times New Roman" w:eastAsia="SimSun" w:hAnsi="Times New Roman"/>
          <w:szCs w:val="20"/>
          <w:lang w:eastAsia="ja-JP"/>
        </w:rPr>
        <w:t>, CR</w:t>
      </w:r>
      <w:r w:rsidRPr="006102AE">
        <w:rPr>
          <w:rFonts w:ascii="Times New Roman" w:eastAsia="SimSun" w:hAnsi="Times New Roman"/>
          <w:szCs w:val="20"/>
          <w:lang w:eastAsia="ja-JP"/>
        </w:rPr>
        <w:t>054</w:t>
      </w:r>
      <w:r>
        <w:rPr>
          <w:rFonts w:ascii="Times New Roman" w:eastAsia="SimSun" w:hAnsi="Times New Roman"/>
          <w:szCs w:val="20"/>
          <w:lang w:eastAsia="ja-JP"/>
        </w:rPr>
        <w:t>1, Cat A) is agreed.</w:t>
      </w:r>
    </w:p>
    <w:p w14:paraId="0DB60DC9" w14:textId="77777777" w:rsidR="006102AE" w:rsidRDefault="006102AE" w:rsidP="006102AE">
      <w:pPr>
        <w:rPr>
          <w:rFonts w:ascii="Times New Roman" w:eastAsia="SimSun" w:hAnsi="Times New Roman"/>
          <w:szCs w:val="20"/>
          <w:lang w:eastAsia="ja-JP"/>
        </w:rPr>
      </w:pPr>
    </w:p>
    <w:p w14:paraId="7D02625C" w14:textId="7B21E62E" w:rsidR="00214D6F" w:rsidRPr="00214D6F" w:rsidRDefault="005A18DC" w:rsidP="00214D6F">
      <w:pPr>
        <w:rPr>
          <w:b/>
          <w:bCs/>
          <w:lang w:eastAsia="x-none"/>
        </w:rPr>
      </w:pPr>
      <w:hyperlink r:id="rId444" w:history="1">
        <w:r w:rsidR="00AF7253">
          <w:rPr>
            <w:rStyle w:val="Hyperlink"/>
            <w:b/>
            <w:bCs/>
            <w:lang w:eastAsia="x-none"/>
          </w:rPr>
          <w:t>R1-2311580</w:t>
        </w:r>
      </w:hyperlink>
      <w:r w:rsidR="00214D6F" w:rsidRPr="00214D6F">
        <w:rPr>
          <w:b/>
          <w:bCs/>
          <w:lang w:eastAsia="x-none"/>
        </w:rPr>
        <w:tab/>
        <w:t>Draft CR on UL beam after 2-step RACH</w:t>
      </w:r>
      <w:r w:rsidR="00214D6F" w:rsidRPr="00214D6F">
        <w:rPr>
          <w:b/>
          <w:bCs/>
          <w:lang w:eastAsia="x-none"/>
        </w:rPr>
        <w:tab/>
        <w:t>Google</w:t>
      </w:r>
    </w:p>
    <w:p w14:paraId="7199095B" w14:textId="77777777" w:rsidR="00214D6F" w:rsidRDefault="00214D6F" w:rsidP="00214D6F">
      <w:pPr>
        <w:rPr>
          <w:rFonts w:ascii="Times New Roman" w:eastAsia="SimSun" w:hAnsi="Times New Roman"/>
          <w:szCs w:val="20"/>
          <w:lang w:eastAsia="ja-JP"/>
        </w:rPr>
      </w:pPr>
      <w:r w:rsidRPr="006102AE">
        <w:rPr>
          <w:rFonts w:ascii="Times New Roman" w:eastAsia="SimSun" w:hAnsi="Times New Roman"/>
          <w:b/>
          <w:bCs/>
          <w:szCs w:val="20"/>
          <w:lang w:eastAsia="ja-JP"/>
        </w:rPr>
        <w:t>Decision:</w:t>
      </w:r>
      <w:r>
        <w:rPr>
          <w:rFonts w:ascii="Times New Roman" w:eastAsia="SimSun" w:hAnsi="Times New Roman"/>
          <w:szCs w:val="20"/>
          <w:lang w:eastAsia="ja-JP"/>
        </w:rPr>
        <w:t xml:space="preserve"> The draft CR is endorsed in principle. Final CRs in:</w:t>
      </w:r>
    </w:p>
    <w:p w14:paraId="5206AC99" w14:textId="3B6BEFB0" w:rsidR="00214D6F" w:rsidRPr="00214D6F" w:rsidRDefault="005A18DC" w:rsidP="00214D6F">
      <w:pPr>
        <w:rPr>
          <w:b/>
          <w:bCs/>
          <w:lang w:val="en-US" w:eastAsia="x-none"/>
        </w:rPr>
      </w:pPr>
      <w:hyperlink r:id="rId445" w:history="1">
        <w:r w:rsidR="00AF7253">
          <w:rPr>
            <w:rStyle w:val="Hyperlink"/>
            <w:b/>
            <w:bCs/>
            <w:highlight w:val="green"/>
            <w:lang w:val="en-US" w:eastAsia="x-none"/>
          </w:rPr>
          <w:t>R1-2312548</w:t>
        </w:r>
      </w:hyperlink>
      <w:r w:rsidR="00214D6F" w:rsidRPr="00214D6F">
        <w:rPr>
          <w:b/>
          <w:bCs/>
          <w:lang w:val="en-US" w:eastAsia="x-none"/>
        </w:rPr>
        <w:tab/>
        <w:t>CR on UL beam after 2-step RACH</w:t>
      </w:r>
      <w:r w:rsidR="00214D6F" w:rsidRPr="00214D6F">
        <w:rPr>
          <w:b/>
          <w:bCs/>
          <w:lang w:val="en-US" w:eastAsia="x-none"/>
        </w:rPr>
        <w:tab/>
        <w:t>Moderator (ZTE), Google, Samsung, ZTE</w:t>
      </w:r>
    </w:p>
    <w:p w14:paraId="2BFDF63A" w14:textId="77777777" w:rsidR="00214D6F" w:rsidRDefault="00214D6F" w:rsidP="00214D6F">
      <w:pPr>
        <w:rPr>
          <w:lang w:val="en-US" w:eastAsia="x-none"/>
        </w:rPr>
      </w:pPr>
      <w:r>
        <w:rPr>
          <w:lang w:val="en-US" w:eastAsia="x-none"/>
        </w:rPr>
        <w:t>(</w:t>
      </w:r>
      <w:r w:rsidRPr="00214D6F">
        <w:rPr>
          <w:lang w:val="en-US" w:eastAsia="x-none"/>
        </w:rPr>
        <w:t>Rel-17</w:t>
      </w:r>
      <w:r>
        <w:rPr>
          <w:lang w:val="en-US" w:eastAsia="x-none"/>
        </w:rPr>
        <w:t xml:space="preserve">, </w:t>
      </w:r>
      <w:r w:rsidRPr="00214D6F">
        <w:rPr>
          <w:lang w:val="en-US" w:eastAsia="x-none"/>
        </w:rPr>
        <w:t>38.214</w:t>
      </w:r>
      <w:r>
        <w:rPr>
          <w:lang w:val="en-US" w:eastAsia="x-none"/>
        </w:rPr>
        <w:t>,CR</w:t>
      </w:r>
      <w:r w:rsidRPr="00214D6F">
        <w:rPr>
          <w:lang w:val="en-US" w:eastAsia="x-none"/>
        </w:rPr>
        <w:t>0465</w:t>
      </w:r>
      <w:r>
        <w:rPr>
          <w:lang w:val="en-US" w:eastAsia="x-none"/>
        </w:rPr>
        <w:t xml:space="preserve">, Cat </w:t>
      </w:r>
      <w:r w:rsidRPr="00214D6F">
        <w:rPr>
          <w:lang w:val="en-US" w:eastAsia="x-none"/>
        </w:rPr>
        <w:t>F</w:t>
      </w:r>
      <w:r>
        <w:rPr>
          <w:lang w:val="en-US" w:eastAsia="x-none"/>
        </w:rPr>
        <w:t>) is agreed.</w:t>
      </w:r>
    </w:p>
    <w:p w14:paraId="366C30DD" w14:textId="2EDF8F12" w:rsidR="00214D6F" w:rsidRPr="00214D6F" w:rsidRDefault="005A18DC" w:rsidP="00214D6F">
      <w:pPr>
        <w:rPr>
          <w:b/>
          <w:bCs/>
          <w:lang w:val="en-US" w:eastAsia="x-none"/>
        </w:rPr>
      </w:pPr>
      <w:hyperlink r:id="rId446" w:history="1">
        <w:r w:rsidR="00AF7253">
          <w:rPr>
            <w:rStyle w:val="Hyperlink"/>
            <w:b/>
            <w:bCs/>
            <w:highlight w:val="green"/>
            <w:lang w:val="en-US" w:eastAsia="x-none"/>
          </w:rPr>
          <w:t>R1-2312549</w:t>
        </w:r>
      </w:hyperlink>
      <w:r w:rsidR="00214D6F" w:rsidRPr="00214D6F">
        <w:rPr>
          <w:b/>
          <w:bCs/>
          <w:lang w:val="en-US" w:eastAsia="x-none"/>
        </w:rPr>
        <w:tab/>
        <w:t>CR on UL beam after 2-step RACH</w:t>
      </w:r>
      <w:r w:rsidR="00214D6F" w:rsidRPr="00214D6F">
        <w:rPr>
          <w:b/>
          <w:bCs/>
          <w:lang w:val="en-US" w:eastAsia="x-none"/>
        </w:rPr>
        <w:tab/>
        <w:t>Moderator (ZTE), Google, Samsung, ZTE</w:t>
      </w:r>
    </w:p>
    <w:p w14:paraId="589F36A8" w14:textId="1580FB65" w:rsidR="00214D6F" w:rsidRDefault="00214D6F" w:rsidP="00214D6F">
      <w:pPr>
        <w:rPr>
          <w:lang w:val="en-US" w:eastAsia="x-none"/>
        </w:rPr>
      </w:pPr>
      <w:r>
        <w:rPr>
          <w:lang w:val="en-US" w:eastAsia="x-none"/>
        </w:rPr>
        <w:t>(</w:t>
      </w:r>
      <w:r w:rsidRPr="00214D6F">
        <w:rPr>
          <w:lang w:val="en-US" w:eastAsia="x-none"/>
        </w:rPr>
        <w:t>Rel-1</w:t>
      </w:r>
      <w:r>
        <w:rPr>
          <w:lang w:val="en-US" w:eastAsia="x-none"/>
        </w:rPr>
        <w:t xml:space="preserve">8, </w:t>
      </w:r>
      <w:r w:rsidRPr="00214D6F">
        <w:rPr>
          <w:lang w:val="en-US" w:eastAsia="x-none"/>
        </w:rPr>
        <w:t>38.214</w:t>
      </w:r>
      <w:r>
        <w:rPr>
          <w:lang w:val="en-US" w:eastAsia="x-none"/>
        </w:rPr>
        <w:t>,CR</w:t>
      </w:r>
      <w:r w:rsidRPr="00214D6F">
        <w:rPr>
          <w:lang w:val="en-US" w:eastAsia="x-none"/>
        </w:rPr>
        <w:t>046</w:t>
      </w:r>
      <w:r>
        <w:rPr>
          <w:lang w:val="en-US" w:eastAsia="x-none"/>
        </w:rPr>
        <w:t>6, Cat A) is agreed.</w:t>
      </w:r>
    </w:p>
    <w:p w14:paraId="348F6C7C" w14:textId="77777777" w:rsidR="00214D6F" w:rsidRPr="00214D6F" w:rsidRDefault="00214D6F" w:rsidP="00214D6F">
      <w:pPr>
        <w:rPr>
          <w:lang w:val="en-US" w:eastAsia="x-none"/>
        </w:rPr>
      </w:pPr>
    </w:p>
    <w:p w14:paraId="3D7784A5" w14:textId="77777777" w:rsidR="006D2F4E" w:rsidRPr="006D2F4E" w:rsidRDefault="006D2F4E" w:rsidP="006D2F4E">
      <w:pPr>
        <w:rPr>
          <w:highlight w:val="green"/>
          <w:lang w:val="en-US" w:eastAsia="x-none"/>
        </w:rPr>
      </w:pPr>
      <w:r w:rsidRPr="006D2F4E">
        <w:rPr>
          <w:highlight w:val="green"/>
          <w:lang w:val="en-US" w:eastAsia="x-none"/>
        </w:rPr>
        <w:t>Agreement</w:t>
      </w:r>
    </w:p>
    <w:p w14:paraId="2D287520" w14:textId="24627F48" w:rsidR="006D2F4E" w:rsidRPr="006D2F4E" w:rsidRDefault="006D2F4E" w:rsidP="006D2F4E">
      <w:pPr>
        <w:rPr>
          <w:lang w:val="en-US" w:eastAsia="x-none"/>
        </w:rPr>
      </w:pPr>
      <w:r w:rsidRPr="006D2F4E">
        <w:rPr>
          <w:lang w:val="en-US" w:eastAsia="x-none"/>
        </w:rPr>
        <w:t>The following TP is agreed for TS38.214.</w:t>
      </w:r>
    </w:p>
    <w:p w14:paraId="0531DACA" w14:textId="77777777" w:rsidR="00EA0702" w:rsidRDefault="00EA0702" w:rsidP="00EA0702">
      <w:pPr>
        <w:snapToGrid w:val="0"/>
        <w:jc w:val="both"/>
        <w:rPr>
          <w:szCs w:val="20"/>
        </w:rPr>
      </w:pPr>
      <w:r w:rsidRPr="006E356F">
        <w:rPr>
          <w:color w:val="FF0000"/>
          <w:szCs w:val="20"/>
        </w:rPr>
        <w:t>---- start TP ----</w:t>
      </w:r>
    </w:p>
    <w:p w14:paraId="2AA0D222" w14:textId="77777777" w:rsidR="006D2F4E" w:rsidRPr="006D2F4E" w:rsidRDefault="006D2F4E" w:rsidP="006D2F4E">
      <w:pPr>
        <w:numPr>
          <w:ilvl w:val="0"/>
          <w:numId w:val="254"/>
        </w:numPr>
        <w:snapToGrid w:val="0"/>
        <w:spacing w:after="60" w:line="288" w:lineRule="auto"/>
        <w:jc w:val="both"/>
        <w:rPr>
          <w:rFonts w:ascii="Arial" w:hAnsi="Arial" w:cs="Arial"/>
          <w:color w:val="3333FF"/>
          <w:sz w:val="16"/>
          <w:szCs w:val="16"/>
          <w:lang w:eastAsia="zh-CN"/>
        </w:rPr>
      </w:pPr>
      <w:r w:rsidRPr="006D2F4E">
        <w:rPr>
          <w:rFonts w:ascii="Arial" w:hAnsi="Arial" w:cs="Arial"/>
          <w:color w:val="3333FF"/>
          <w:sz w:val="16"/>
          <w:szCs w:val="16"/>
          <w:lang w:eastAsia="zh-CN"/>
        </w:rPr>
        <w:t xml:space="preserve">… </w:t>
      </w:r>
      <w:r w:rsidRPr="006D2F4E">
        <w:rPr>
          <w:rFonts w:ascii="Arial" w:hAnsi="Arial" w:cs="Arial"/>
          <w:sz w:val="16"/>
          <w:szCs w:val="16"/>
          <w:lang w:eastAsia="x-none"/>
        </w:rPr>
        <w:t xml:space="preserve">and if the higher layer parameter </w:t>
      </w:r>
      <w:r w:rsidRPr="006D2F4E">
        <w:rPr>
          <w:rFonts w:ascii="Arial" w:hAnsi="Arial" w:cs="Arial"/>
          <w:i/>
          <w:sz w:val="16"/>
          <w:szCs w:val="16"/>
          <w:lang w:eastAsia="x-none"/>
        </w:rPr>
        <w:t>spatialRelationInfo</w:t>
      </w:r>
      <w:r w:rsidRPr="006D2F4E">
        <w:rPr>
          <w:rFonts w:ascii="Arial" w:hAnsi="Arial" w:cs="Arial"/>
          <w:sz w:val="16"/>
          <w:szCs w:val="16"/>
          <w:lang w:eastAsia="x-none"/>
        </w:rPr>
        <w:t xml:space="preserve"> for the SRS resource, except for the SRS resource with the higher layer parameter </w:t>
      </w:r>
      <w:r w:rsidRPr="006D2F4E">
        <w:rPr>
          <w:rFonts w:ascii="Arial" w:hAnsi="Arial" w:cs="Arial"/>
          <w:i/>
          <w:sz w:val="16"/>
          <w:szCs w:val="16"/>
          <w:lang w:eastAsia="x-none"/>
        </w:rPr>
        <w:t>usage</w:t>
      </w:r>
      <w:r w:rsidRPr="006D2F4E">
        <w:rPr>
          <w:rFonts w:ascii="Arial" w:hAnsi="Arial" w:cs="Arial"/>
          <w:sz w:val="16"/>
          <w:szCs w:val="16"/>
          <w:lang w:eastAsia="x-none"/>
        </w:rPr>
        <w:t xml:space="preserve"> in SRS-ResourceSet set to 'beamManagement' or for the SRS resource with the higher layer parameter </w:t>
      </w:r>
      <w:r w:rsidRPr="006D2F4E">
        <w:rPr>
          <w:rFonts w:ascii="Arial" w:hAnsi="Arial" w:cs="Arial"/>
          <w:i/>
          <w:sz w:val="16"/>
          <w:szCs w:val="16"/>
          <w:lang w:eastAsia="x-none"/>
        </w:rPr>
        <w:t>usage</w:t>
      </w:r>
      <w:r w:rsidRPr="006D2F4E">
        <w:rPr>
          <w:rFonts w:ascii="Arial" w:hAnsi="Arial" w:cs="Arial"/>
          <w:sz w:val="16"/>
          <w:szCs w:val="16"/>
          <w:lang w:eastAsia="x-none"/>
        </w:rPr>
        <w:t xml:space="preserve"> in SRS-ResourceSet set to 'nonCodebook' with configuration of </w:t>
      </w:r>
      <w:r w:rsidRPr="006D2F4E">
        <w:rPr>
          <w:rFonts w:ascii="Arial" w:hAnsi="Arial" w:cs="Arial"/>
          <w:i/>
          <w:sz w:val="16"/>
          <w:szCs w:val="16"/>
          <w:lang w:eastAsia="x-none"/>
        </w:rPr>
        <w:t>associatedCSI-RS</w:t>
      </w:r>
      <w:r w:rsidRPr="006D2F4E">
        <w:rPr>
          <w:rFonts w:ascii="Arial" w:hAnsi="Arial" w:cs="Arial"/>
          <w:sz w:val="16"/>
          <w:szCs w:val="16"/>
          <w:lang w:eastAsia="x-none"/>
        </w:rPr>
        <w:t xml:space="preserve"> or for the SRS resource configured by the higher layer parameter </w:t>
      </w:r>
      <w:r w:rsidRPr="006D2F4E">
        <w:rPr>
          <w:rFonts w:ascii="Arial" w:hAnsi="Arial" w:cs="Arial"/>
          <w:i/>
          <w:color w:val="000000"/>
          <w:sz w:val="16"/>
          <w:szCs w:val="16"/>
          <w:lang w:eastAsia="x-none"/>
        </w:rPr>
        <w:t>SRS-PosResourceSet</w:t>
      </w:r>
      <w:r w:rsidRPr="006D2F4E">
        <w:rPr>
          <w:rFonts w:ascii="Arial" w:hAnsi="Arial" w:cs="Arial"/>
          <w:sz w:val="16"/>
          <w:szCs w:val="16"/>
          <w:lang w:eastAsia="x-none"/>
        </w:rPr>
        <w:t xml:space="preserve">, </w:t>
      </w:r>
      <w:r w:rsidRPr="006D2F4E">
        <w:rPr>
          <w:rFonts w:ascii="Arial" w:hAnsi="Arial" w:cs="Arial"/>
          <w:color w:val="FF0000"/>
          <w:sz w:val="16"/>
          <w:szCs w:val="16"/>
          <w:lang w:eastAsia="x-none"/>
        </w:rPr>
        <w:t xml:space="preserve">or </w:t>
      </w:r>
      <w:r w:rsidRPr="006D2F4E">
        <w:rPr>
          <w:rFonts w:ascii="Arial" w:hAnsi="Arial" w:cs="Arial"/>
          <w:i/>
          <w:color w:val="FF0000"/>
          <w:sz w:val="16"/>
          <w:szCs w:val="16"/>
          <w:lang w:eastAsia="zh-CN"/>
        </w:rPr>
        <w:t>dl-OrJointTCI-StateList</w:t>
      </w:r>
      <w:r w:rsidRPr="006D2F4E">
        <w:rPr>
          <w:rFonts w:ascii="Arial" w:hAnsi="Arial" w:cs="Arial"/>
          <w:iCs/>
          <w:color w:val="FF0000"/>
          <w:sz w:val="16"/>
          <w:szCs w:val="16"/>
          <w:lang w:eastAsia="zh-CN"/>
        </w:rPr>
        <w:t xml:space="preserve"> or</w:t>
      </w:r>
      <w:r w:rsidRPr="006D2F4E">
        <w:rPr>
          <w:rFonts w:ascii="Arial" w:hAnsi="Arial" w:cs="Arial"/>
          <w:color w:val="FF0000"/>
          <w:sz w:val="16"/>
          <w:szCs w:val="16"/>
          <w:lang w:eastAsia="x-none"/>
        </w:rPr>
        <w:t xml:space="preserve"> </w:t>
      </w:r>
      <w:r w:rsidRPr="006D2F4E">
        <w:rPr>
          <w:rFonts w:ascii="Arial" w:hAnsi="Arial" w:cs="Arial"/>
          <w:i/>
          <w:iCs/>
          <w:color w:val="FF0000"/>
          <w:sz w:val="16"/>
          <w:szCs w:val="16"/>
          <w:lang w:eastAsia="zh-CN"/>
        </w:rPr>
        <w:t>ul</w:t>
      </w:r>
      <w:r w:rsidRPr="006D2F4E">
        <w:rPr>
          <w:rFonts w:ascii="Arial" w:hAnsi="Arial" w:cs="Arial"/>
          <w:i/>
          <w:iCs/>
          <w:color w:val="FF0000"/>
          <w:sz w:val="16"/>
          <w:szCs w:val="16"/>
          <w:lang w:eastAsia="x-none"/>
        </w:rPr>
        <w:t>-TCI-StateList</w:t>
      </w:r>
      <w:r w:rsidRPr="006D2F4E">
        <w:rPr>
          <w:rFonts w:ascii="Arial" w:hAnsi="Arial" w:cs="Arial"/>
          <w:sz w:val="16"/>
          <w:szCs w:val="16"/>
          <w:lang w:eastAsia="x-none"/>
        </w:rPr>
        <w:t xml:space="preserve"> is not configured in FR2…</w:t>
      </w:r>
    </w:p>
    <w:p w14:paraId="64A339D8" w14:textId="7B2E308D" w:rsidR="00EA0702" w:rsidRDefault="00EA0702" w:rsidP="00EA0702">
      <w:pPr>
        <w:snapToGrid w:val="0"/>
        <w:jc w:val="both"/>
        <w:rPr>
          <w:szCs w:val="20"/>
        </w:rPr>
      </w:pPr>
      <w:r w:rsidRPr="006E356F">
        <w:rPr>
          <w:color w:val="FF0000"/>
          <w:szCs w:val="20"/>
        </w:rPr>
        <w:t xml:space="preserve">---- </w:t>
      </w:r>
      <w:r>
        <w:rPr>
          <w:color w:val="FF0000"/>
          <w:szCs w:val="20"/>
        </w:rPr>
        <w:t>end</w:t>
      </w:r>
      <w:r w:rsidRPr="006E356F">
        <w:rPr>
          <w:color w:val="FF0000"/>
          <w:szCs w:val="20"/>
        </w:rPr>
        <w:t xml:space="preserve"> TP ----</w:t>
      </w:r>
    </w:p>
    <w:p w14:paraId="7C6CF61F" w14:textId="77777777" w:rsidR="00EA0702" w:rsidRDefault="00EA0702" w:rsidP="006D2F4E">
      <w:pPr>
        <w:rPr>
          <w:lang w:val="en-US" w:eastAsia="x-none"/>
        </w:rPr>
      </w:pPr>
      <w:r w:rsidRPr="006D2F4E">
        <w:rPr>
          <w:lang w:val="en-US" w:eastAsia="x-none"/>
        </w:rPr>
        <w:t>Final CRs in</w:t>
      </w:r>
      <w:r>
        <w:rPr>
          <w:lang w:val="en-US" w:eastAsia="x-none"/>
        </w:rPr>
        <w:t>:</w:t>
      </w:r>
    </w:p>
    <w:p w14:paraId="4DBB7E66" w14:textId="5F5FF585" w:rsidR="00EA0702" w:rsidRPr="00044675" w:rsidRDefault="005A18DC" w:rsidP="00EA0702">
      <w:pPr>
        <w:rPr>
          <w:b/>
          <w:bCs/>
          <w:lang w:val="en-US" w:eastAsia="x-none"/>
        </w:rPr>
      </w:pPr>
      <w:hyperlink r:id="rId447" w:history="1">
        <w:r w:rsidR="00AF7253">
          <w:rPr>
            <w:rStyle w:val="Hyperlink"/>
            <w:b/>
            <w:bCs/>
            <w:highlight w:val="green"/>
            <w:lang w:val="en-US" w:eastAsia="x-none"/>
          </w:rPr>
          <w:t>R1-2312550</w:t>
        </w:r>
      </w:hyperlink>
      <w:r w:rsidR="00EA0702" w:rsidRPr="00044675">
        <w:rPr>
          <w:b/>
          <w:bCs/>
          <w:lang w:val="en-US" w:eastAsia="x-none"/>
        </w:rPr>
        <w:tab/>
        <w:t>CR on default beam based on unified TCI framework</w:t>
      </w:r>
      <w:r w:rsidR="00EA0702" w:rsidRPr="00044675">
        <w:rPr>
          <w:b/>
          <w:bCs/>
          <w:lang w:val="en-US" w:eastAsia="x-none"/>
        </w:rPr>
        <w:tab/>
        <w:t>Moderator (ZTE), Google, Samsung, ZTE</w:t>
      </w:r>
    </w:p>
    <w:p w14:paraId="2A51F477" w14:textId="77777777" w:rsidR="00EA0702" w:rsidRDefault="00EA0702" w:rsidP="00EA0702">
      <w:pPr>
        <w:rPr>
          <w:lang w:val="en-US" w:eastAsia="x-none"/>
        </w:rPr>
      </w:pPr>
      <w:r>
        <w:rPr>
          <w:lang w:val="en-US" w:eastAsia="x-none"/>
        </w:rPr>
        <w:t>(</w:t>
      </w:r>
      <w:r w:rsidRPr="00EA0702">
        <w:rPr>
          <w:lang w:val="en-US" w:eastAsia="x-none"/>
        </w:rPr>
        <w:t>Rel-17</w:t>
      </w:r>
      <w:r>
        <w:rPr>
          <w:lang w:val="en-US" w:eastAsia="x-none"/>
        </w:rPr>
        <w:t xml:space="preserve">, </w:t>
      </w:r>
      <w:r w:rsidRPr="00EA0702">
        <w:rPr>
          <w:lang w:val="en-US" w:eastAsia="x-none"/>
        </w:rPr>
        <w:t>38.214</w:t>
      </w:r>
      <w:r>
        <w:rPr>
          <w:lang w:val="en-US" w:eastAsia="x-none"/>
        </w:rPr>
        <w:t>, CR</w:t>
      </w:r>
      <w:r w:rsidRPr="00EA0702">
        <w:rPr>
          <w:lang w:val="en-US" w:eastAsia="x-none"/>
        </w:rPr>
        <w:t>0467</w:t>
      </w:r>
      <w:r>
        <w:rPr>
          <w:lang w:val="en-US" w:eastAsia="x-none"/>
        </w:rPr>
        <w:t>, Cat F) is agreed.</w:t>
      </w:r>
    </w:p>
    <w:p w14:paraId="18E17D91" w14:textId="2957B9B4" w:rsidR="00EA0702" w:rsidRPr="00044675" w:rsidRDefault="005A18DC" w:rsidP="00EA0702">
      <w:pPr>
        <w:rPr>
          <w:b/>
          <w:bCs/>
          <w:lang w:val="en-US" w:eastAsia="x-none"/>
        </w:rPr>
      </w:pPr>
      <w:hyperlink r:id="rId448" w:history="1">
        <w:r w:rsidR="00AF7253">
          <w:rPr>
            <w:rStyle w:val="Hyperlink"/>
            <w:b/>
            <w:bCs/>
            <w:highlight w:val="green"/>
            <w:lang w:val="en-US" w:eastAsia="x-none"/>
          </w:rPr>
          <w:t>R1-2312551</w:t>
        </w:r>
      </w:hyperlink>
      <w:r w:rsidR="00EA0702" w:rsidRPr="00044675">
        <w:rPr>
          <w:b/>
          <w:bCs/>
          <w:lang w:val="en-US" w:eastAsia="x-none"/>
        </w:rPr>
        <w:tab/>
        <w:t>CR on default beam based on unified TCI framework</w:t>
      </w:r>
      <w:r w:rsidR="00EA0702" w:rsidRPr="00044675">
        <w:rPr>
          <w:b/>
          <w:bCs/>
          <w:lang w:val="en-US" w:eastAsia="x-none"/>
        </w:rPr>
        <w:tab/>
        <w:t>Moderator (ZTE), Google, Samsung, ZTE</w:t>
      </w:r>
    </w:p>
    <w:p w14:paraId="46D77750" w14:textId="6D651B75" w:rsidR="00EA0702" w:rsidRDefault="00EA0702" w:rsidP="00EA0702">
      <w:pPr>
        <w:rPr>
          <w:lang w:val="en-US" w:eastAsia="x-none"/>
        </w:rPr>
      </w:pPr>
      <w:r>
        <w:rPr>
          <w:lang w:val="en-US" w:eastAsia="x-none"/>
        </w:rPr>
        <w:t>(</w:t>
      </w:r>
      <w:r w:rsidRPr="00EA0702">
        <w:rPr>
          <w:lang w:val="en-US" w:eastAsia="x-none"/>
        </w:rPr>
        <w:t>Rel-1</w:t>
      </w:r>
      <w:r>
        <w:rPr>
          <w:lang w:val="en-US" w:eastAsia="x-none"/>
        </w:rPr>
        <w:t xml:space="preserve">8, </w:t>
      </w:r>
      <w:r w:rsidRPr="00EA0702">
        <w:rPr>
          <w:lang w:val="en-US" w:eastAsia="x-none"/>
        </w:rPr>
        <w:t>38.214</w:t>
      </w:r>
      <w:r>
        <w:rPr>
          <w:lang w:val="en-US" w:eastAsia="x-none"/>
        </w:rPr>
        <w:t>, CR</w:t>
      </w:r>
      <w:r w:rsidRPr="00EA0702">
        <w:rPr>
          <w:lang w:val="en-US" w:eastAsia="x-none"/>
        </w:rPr>
        <w:t>046</w:t>
      </w:r>
      <w:r w:rsidR="00044675">
        <w:rPr>
          <w:lang w:val="en-US" w:eastAsia="x-none"/>
        </w:rPr>
        <w:t>8</w:t>
      </w:r>
      <w:r>
        <w:rPr>
          <w:lang w:val="en-US" w:eastAsia="x-none"/>
        </w:rPr>
        <w:t xml:space="preserve">, Cat </w:t>
      </w:r>
      <w:r w:rsidR="00044675">
        <w:rPr>
          <w:lang w:val="en-US" w:eastAsia="x-none"/>
        </w:rPr>
        <w:t>A</w:t>
      </w:r>
      <w:r>
        <w:rPr>
          <w:lang w:val="en-US" w:eastAsia="x-none"/>
        </w:rPr>
        <w:t>) is agreed.</w:t>
      </w:r>
    </w:p>
    <w:p w14:paraId="264F1B95" w14:textId="77777777" w:rsidR="00EA0702" w:rsidRPr="00EA0702" w:rsidRDefault="00EA0702" w:rsidP="00EA0702">
      <w:pPr>
        <w:rPr>
          <w:lang w:val="en-US" w:eastAsia="x-none"/>
        </w:rPr>
      </w:pPr>
    </w:p>
    <w:p w14:paraId="31244795" w14:textId="77777777" w:rsidR="00EA0702" w:rsidRPr="006D2F4E" w:rsidRDefault="00EA0702" w:rsidP="00EA0702">
      <w:pPr>
        <w:rPr>
          <w:u w:val="single"/>
          <w:lang w:val="en-US" w:eastAsia="x-none"/>
        </w:rPr>
      </w:pPr>
      <w:r w:rsidRPr="006D2F4E">
        <w:rPr>
          <w:u w:val="single"/>
          <w:lang w:val="en-US" w:eastAsia="x-none"/>
        </w:rPr>
        <w:t>Conclusion</w:t>
      </w:r>
    </w:p>
    <w:p w14:paraId="57DADC45" w14:textId="77777777" w:rsidR="00EA0702" w:rsidRPr="006D2F4E" w:rsidRDefault="00EA0702" w:rsidP="00EA0702">
      <w:pPr>
        <w:rPr>
          <w:lang w:val="en-US" w:eastAsia="x-none"/>
        </w:rPr>
      </w:pPr>
      <w:r w:rsidRPr="006D2F4E">
        <w:rPr>
          <w:lang w:val="en-US" w:eastAsia="x-none"/>
        </w:rPr>
        <w:t>It is RAN1 common understanding that, Rel.17 unified TCI framework and R16 default beam/PL mechanism CANNOT be configured simultaneously.</w:t>
      </w:r>
    </w:p>
    <w:p w14:paraId="49432D0E" w14:textId="77777777" w:rsidR="00EA0702" w:rsidRPr="006D2F4E" w:rsidRDefault="00EA0702" w:rsidP="006D2F4E">
      <w:pPr>
        <w:rPr>
          <w:lang w:val="en-US" w:eastAsia="x-none"/>
        </w:rPr>
      </w:pPr>
    </w:p>
    <w:p w14:paraId="1155DCD2" w14:textId="77777777" w:rsidR="006102AE" w:rsidRPr="009537ED" w:rsidRDefault="006102AE" w:rsidP="00835CB1">
      <w:pPr>
        <w:rPr>
          <w:lang w:eastAsia="x-none"/>
        </w:rPr>
      </w:pPr>
    </w:p>
    <w:p w14:paraId="0F1E99B2" w14:textId="5A224F52" w:rsidR="00774823" w:rsidRPr="009537ED" w:rsidRDefault="005A18DC" w:rsidP="00774823">
      <w:pPr>
        <w:rPr>
          <w:lang w:eastAsia="x-none"/>
        </w:rPr>
      </w:pPr>
      <w:hyperlink r:id="rId449" w:history="1">
        <w:r w:rsidR="00AF7253">
          <w:rPr>
            <w:rStyle w:val="Hyperlink"/>
            <w:lang w:eastAsia="x-none"/>
          </w:rPr>
          <w:t>R1-2310873</w:t>
        </w:r>
      </w:hyperlink>
      <w:r w:rsidR="00774823" w:rsidRPr="009537ED">
        <w:rPr>
          <w:lang w:eastAsia="x-none"/>
        </w:rPr>
        <w:tab/>
        <w:t>Correction on SRS antenna switching configuration</w:t>
      </w:r>
      <w:r w:rsidR="00774823" w:rsidRPr="009537ED">
        <w:rPr>
          <w:lang w:eastAsia="x-none"/>
        </w:rPr>
        <w:tab/>
        <w:t>Huawei, HiSilicon</w:t>
      </w:r>
    </w:p>
    <w:p w14:paraId="23FB0AF2" w14:textId="3FB801C2" w:rsidR="00774823" w:rsidRPr="009537ED" w:rsidRDefault="005A18DC" w:rsidP="00774823">
      <w:pPr>
        <w:rPr>
          <w:b/>
          <w:bCs/>
          <w:lang w:eastAsia="x-none"/>
        </w:rPr>
      </w:pPr>
      <w:hyperlink r:id="rId450" w:history="1">
        <w:r w:rsidR="00AF7253">
          <w:rPr>
            <w:rStyle w:val="Hyperlink"/>
            <w:b/>
            <w:bCs/>
            <w:lang w:eastAsia="x-none"/>
          </w:rPr>
          <w:t>R1-2310963</w:t>
        </w:r>
      </w:hyperlink>
      <w:r w:rsidR="00774823" w:rsidRPr="009537ED">
        <w:rPr>
          <w:b/>
          <w:bCs/>
          <w:lang w:eastAsia="x-none"/>
        </w:rPr>
        <w:tab/>
        <w:t>Draft CR on SRS for antenna switching</w:t>
      </w:r>
      <w:r w:rsidR="00774823" w:rsidRPr="009537ED">
        <w:rPr>
          <w:b/>
          <w:bCs/>
          <w:lang w:eastAsia="x-none"/>
        </w:rPr>
        <w:tab/>
        <w:t>ZTE</w:t>
      </w:r>
    </w:p>
    <w:p w14:paraId="2FD713DA" w14:textId="03DDACED" w:rsidR="006978EA" w:rsidRPr="009537ED" w:rsidRDefault="005A18DC" w:rsidP="006978EA">
      <w:pPr>
        <w:rPr>
          <w:b/>
          <w:lang w:eastAsia="x-none"/>
        </w:rPr>
      </w:pPr>
      <w:hyperlink r:id="rId451" w:history="1">
        <w:r w:rsidR="00AF7253">
          <w:rPr>
            <w:rStyle w:val="Hyperlink"/>
            <w:b/>
            <w:lang w:eastAsia="x-none"/>
          </w:rPr>
          <w:t>R1-2312350</w:t>
        </w:r>
      </w:hyperlink>
      <w:r w:rsidR="006978EA" w:rsidRPr="009537ED">
        <w:rPr>
          <w:b/>
          <w:lang w:eastAsia="x-none"/>
        </w:rPr>
        <w:tab/>
        <w:t>Moderator Summary#1 of Maintenance on</w:t>
      </w:r>
      <w:r w:rsidR="004E38C1" w:rsidRPr="009537ED">
        <w:rPr>
          <w:b/>
          <w:lang w:eastAsia="x-none"/>
        </w:rPr>
        <w:t xml:space="preserve"> </w:t>
      </w:r>
      <w:r w:rsidR="006978EA" w:rsidRPr="009537ED">
        <w:rPr>
          <w:b/>
          <w:lang w:eastAsia="x-none"/>
        </w:rPr>
        <w:t>Rel-17 SRS</w:t>
      </w:r>
      <w:r w:rsidR="006978EA" w:rsidRPr="009537ED">
        <w:rPr>
          <w:b/>
          <w:lang w:eastAsia="x-none"/>
        </w:rPr>
        <w:tab/>
        <w:t>Moderator (ZTE)</w:t>
      </w:r>
    </w:p>
    <w:p w14:paraId="3F434FE7" w14:textId="77777777" w:rsidR="006978EA" w:rsidRPr="009537ED" w:rsidRDefault="006978EA" w:rsidP="006978EA">
      <w:r w:rsidRPr="009537ED">
        <w:t>From Monday session</w:t>
      </w:r>
    </w:p>
    <w:p w14:paraId="7553147F" w14:textId="5A70AACE" w:rsidR="006978EA" w:rsidRPr="009537ED" w:rsidRDefault="006978EA" w:rsidP="006978EA">
      <w:pPr>
        <w:rPr>
          <w:szCs w:val="20"/>
          <w:lang w:eastAsia="zh-CN"/>
        </w:rPr>
      </w:pPr>
      <w:r w:rsidRPr="009537ED">
        <w:rPr>
          <w:szCs w:val="20"/>
          <w:highlight w:val="green"/>
          <w:lang w:eastAsia="zh-CN"/>
        </w:rPr>
        <w:t>For the 38.214 editor</w:t>
      </w:r>
    </w:p>
    <w:p w14:paraId="0F463411" w14:textId="14AE2E83" w:rsidR="006978EA" w:rsidRPr="009537ED" w:rsidRDefault="006978EA" w:rsidP="00BC5BE9">
      <w:pPr>
        <w:pStyle w:val="ListParagraph"/>
        <w:numPr>
          <w:ilvl w:val="0"/>
          <w:numId w:val="80"/>
        </w:numPr>
        <w:snapToGrid w:val="0"/>
        <w:rPr>
          <w:rFonts w:cs="Times"/>
        </w:rPr>
      </w:pPr>
      <w:r w:rsidRPr="009537ED">
        <w:rPr>
          <w:rFonts w:cs="Times"/>
        </w:rPr>
        <w:lastRenderedPageBreak/>
        <w:t xml:space="preserve">The text proposal in </w:t>
      </w:r>
      <w:hyperlink r:id="rId452" w:history="1">
        <w:r w:rsidR="00AF7253">
          <w:rPr>
            <w:rStyle w:val="Hyperlink"/>
            <w:rFonts w:cs="Times"/>
          </w:rPr>
          <w:t>R1-2310963</w:t>
        </w:r>
      </w:hyperlink>
      <w:r w:rsidRPr="009537ED">
        <w:t xml:space="preserve"> </w:t>
      </w:r>
      <w:r w:rsidRPr="009537ED">
        <w:rPr>
          <w:rFonts w:cs="Times"/>
        </w:rPr>
        <w:t>is provided to improve the clarity of the RAN1 specifications. Please include it in the Rel-17 alignment CR (TS38.21</w:t>
      </w:r>
      <w:r w:rsidRPr="009537ED">
        <w:t>4</w:t>
      </w:r>
      <w:r w:rsidRPr="009537ED">
        <w:rPr>
          <w:rFonts w:cs="Times"/>
        </w:rPr>
        <w:t>).</w:t>
      </w:r>
    </w:p>
    <w:p w14:paraId="6889F5DD" w14:textId="77777777" w:rsidR="006978EA" w:rsidRPr="009537ED" w:rsidRDefault="006978EA" w:rsidP="00774823">
      <w:pPr>
        <w:rPr>
          <w:lang w:eastAsia="x-none"/>
        </w:rPr>
      </w:pPr>
    </w:p>
    <w:p w14:paraId="50C0F852" w14:textId="20A14E5F" w:rsidR="00774823" w:rsidRPr="009537ED" w:rsidRDefault="005A18DC" w:rsidP="00774823">
      <w:pPr>
        <w:rPr>
          <w:lang w:eastAsia="x-none"/>
        </w:rPr>
      </w:pPr>
      <w:hyperlink r:id="rId453" w:history="1">
        <w:r w:rsidR="00AF7253">
          <w:rPr>
            <w:rStyle w:val="Hyperlink"/>
            <w:lang w:eastAsia="x-none"/>
          </w:rPr>
          <w:t>R1-2311611</w:t>
        </w:r>
      </w:hyperlink>
      <w:r w:rsidR="00774823" w:rsidRPr="009537ED">
        <w:rPr>
          <w:lang w:eastAsia="x-none"/>
        </w:rPr>
        <w:tab/>
        <w:t>Discussion on NCJT CMR restriction</w:t>
      </w:r>
      <w:r w:rsidR="00774823" w:rsidRPr="009537ED">
        <w:rPr>
          <w:lang w:eastAsia="x-none"/>
        </w:rPr>
        <w:tab/>
        <w:t>NTT DOCOMO, INC.</w:t>
      </w:r>
    </w:p>
    <w:p w14:paraId="182CBD78" w14:textId="1FAA329D" w:rsidR="00774823" w:rsidRPr="009537ED" w:rsidRDefault="005A18DC" w:rsidP="00774823">
      <w:pPr>
        <w:rPr>
          <w:lang w:eastAsia="x-none"/>
        </w:rPr>
      </w:pPr>
      <w:hyperlink r:id="rId454" w:history="1">
        <w:r w:rsidR="00AF7253">
          <w:rPr>
            <w:rStyle w:val="Hyperlink"/>
            <w:lang w:eastAsia="x-none"/>
          </w:rPr>
          <w:t>R1-2312240</w:t>
        </w:r>
      </w:hyperlink>
      <w:r w:rsidR="00774823" w:rsidRPr="009537ED">
        <w:rPr>
          <w:lang w:eastAsia="x-none"/>
        </w:rPr>
        <w:tab/>
        <w:t>Discussion on NCJT CMR restriction</w:t>
      </w:r>
      <w:r w:rsidR="00774823" w:rsidRPr="009537ED">
        <w:rPr>
          <w:lang w:eastAsia="x-none"/>
        </w:rPr>
        <w:tab/>
        <w:t>Huawei, HiSilicon</w:t>
      </w:r>
    </w:p>
    <w:p w14:paraId="25BE430A" w14:textId="3666E61D" w:rsidR="00774823" w:rsidRPr="009772D2" w:rsidRDefault="005A18DC" w:rsidP="00835CB1">
      <w:pPr>
        <w:rPr>
          <w:b/>
          <w:bCs/>
          <w:lang w:eastAsia="x-none"/>
        </w:rPr>
      </w:pPr>
      <w:hyperlink r:id="rId455" w:history="1">
        <w:r w:rsidR="00AF7253">
          <w:rPr>
            <w:rStyle w:val="Hyperlink"/>
            <w:b/>
            <w:bCs/>
            <w:lang w:eastAsia="x-none"/>
          </w:rPr>
          <w:t>R1-2312436</w:t>
        </w:r>
      </w:hyperlink>
      <w:r w:rsidR="009772D2" w:rsidRPr="009772D2">
        <w:rPr>
          <w:b/>
          <w:bCs/>
          <w:lang w:eastAsia="x-none"/>
        </w:rPr>
        <w:tab/>
        <w:t>Moderator Summary for Rel.17 NR FeMIMO maintenance CSI enhancement</w:t>
      </w:r>
      <w:r w:rsidR="009772D2" w:rsidRPr="009772D2">
        <w:rPr>
          <w:b/>
          <w:bCs/>
          <w:lang w:eastAsia="x-none"/>
        </w:rPr>
        <w:tab/>
        <w:t>Moderator (Huawei)</w:t>
      </w:r>
    </w:p>
    <w:p w14:paraId="12E40294" w14:textId="77777777" w:rsidR="009772D2" w:rsidRPr="009537ED" w:rsidRDefault="009772D2" w:rsidP="009772D2">
      <w:r w:rsidRPr="009537ED">
        <w:t xml:space="preserve">From </w:t>
      </w:r>
      <w:r>
        <w:t>Thursday</w:t>
      </w:r>
      <w:r w:rsidRPr="009537ED">
        <w:t xml:space="preserve"> session</w:t>
      </w:r>
    </w:p>
    <w:p w14:paraId="26D45198" w14:textId="77777777" w:rsidR="006D2F4E" w:rsidRPr="006D2F4E" w:rsidRDefault="006D2F4E" w:rsidP="006D2F4E">
      <w:pPr>
        <w:rPr>
          <w:highlight w:val="green"/>
          <w:lang w:val="en-US" w:eastAsia="x-none"/>
        </w:rPr>
      </w:pPr>
      <w:r w:rsidRPr="006D2F4E">
        <w:rPr>
          <w:highlight w:val="green"/>
          <w:lang w:val="en-US" w:eastAsia="x-none"/>
        </w:rPr>
        <w:t>Agreement</w:t>
      </w:r>
    </w:p>
    <w:p w14:paraId="3A4B0631" w14:textId="4132C5D3" w:rsidR="006D2F4E" w:rsidRDefault="006D2F4E" w:rsidP="006D2F4E">
      <w:pPr>
        <w:snapToGrid w:val="0"/>
        <w:jc w:val="both"/>
        <w:rPr>
          <w:color w:val="000000"/>
          <w:szCs w:val="20"/>
        </w:rPr>
      </w:pPr>
      <w:r>
        <w:rPr>
          <w:color w:val="000000"/>
          <w:szCs w:val="20"/>
        </w:rPr>
        <w:t xml:space="preserve">Following TP for 38.214 </w:t>
      </w:r>
      <w:r w:rsidRPr="00ED4FFC">
        <w:rPr>
          <w:color w:val="000000"/>
          <w:szCs w:val="20"/>
        </w:rPr>
        <w:t xml:space="preserve">is </w:t>
      </w:r>
      <w:r w:rsidRPr="00C85222">
        <w:rPr>
          <w:color w:val="000000"/>
          <w:szCs w:val="20"/>
        </w:rPr>
        <w:t>endorsed.</w:t>
      </w:r>
    </w:p>
    <w:p w14:paraId="6B3954B3" w14:textId="77777777" w:rsidR="006D2F4E" w:rsidRDefault="006D2F4E" w:rsidP="006D2F4E">
      <w:pPr>
        <w:snapToGrid w:val="0"/>
        <w:jc w:val="both"/>
        <w:rPr>
          <w:szCs w:val="20"/>
        </w:rPr>
      </w:pPr>
      <w:r w:rsidRPr="006E356F">
        <w:rPr>
          <w:color w:val="FF0000"/>
          <w:szCs w:val="20"/>
        </w:rPr>
        <w:t>---- start TP ----</w:t>
      </w:r>
    </w:p>
    <w:p w14:paraId="11733B22" w14:textId="77777777" w:rsidR="006D2F4E" w:rsidRPr="006D2F4E" w:rsidRDefault="006D2F4E" w:rsidP="006D2F4E">
      <w:pPr>
        <w:rPr>
          <w:rFonts w:ascii="Arial" w:eastAsia="SimSun" w:hAnsi="Arial" w:cs="Arial"/>
          <w:color w:val="000000"/>
          <w:sz w:val="16"/>
          <w:szCs w:val="16"/>
        </w:rPr>
      </w:pPr>
      <w:r w:rsidRPr="006D2F4E">
        <w:rPr>
          <w:rFonts w:ascii="Arial" w:eastAsia="SimSun" w:hAnsi="Arial" w:cs="Arial"/>
          <w:color w:val="000000"/>
          <w:sz w:val="16"/>
          <w:szCs w:val="16"/>
        </w:rPr>
        <w:t>After the CSI report (re)configuration, serving cell activation, BWP change, or activation of SP-CSI, the UE reports a CSI report only after receiving at least one CSI-RS transmission occasion for channel measurement and CSI-RS and/or CSI-IM occasion for interference measurement no later than CSI reference resource and drops the report otherwise.</w:t>
      </w:r>
    </w:p>
    <w:p w14:paraId="0CB0549B" w14:textId="363FD76F" w:rsidR="006D2F4E" w:rsidRPr="006D2F4E" w:rsidRDefault="006D2F4E" w:rsidP="006D2F4E">
      <w:pPr>
        <w:rPr>
          <w:rFonts w:ascii="Arial" w:eastAsia="SimSun" w:hAnsi="Arial" w:cs="Arial"/>
          <w:color w:val="000000"/>
          <w:sz w:val="16"/>
          <w:szCs w:val="16"/>
        </w:rPr>
      </w:pPr>
      <w:ins w:id="87" w:author="만든 이" w:date="2023-11-13T16:37:00Z">
        <w:r w:rsidRPr="006D2F4E">
          <w:rPr>
            <w:rFonts w:ascii="Arial" w:eastAsia="SimSun" w:hAnsi="Arial" w:cs="Arial"/>
            <w:color w:val="000000"/>
            <w:sz w:val="16"/>
            <w:szCs w:val="16"/>
          </w:rPr>
          <w:t xml:space="preserve">For a </w:t>
        </w:r>
        <w:r w:rsidRPr="006D2F4E">
          <w:rPr>
            <w:rFonts w:ascii="Arial" w:eastAsia="SimSun" w:hAnsi="Arial" w:cs="Arial"/>
            <w:i/>
            <w:iCs/>
            <w:color w:val="000000"/>
            <w:sz w:val="16"/>
            <w:szCs w:val="16"/>
          </w:rPr>
          <w:t>CSI-ReportConfig</w:t>
        </w:r>
        <w:r w:rsidRPr="006D2F4E">
          <w:rPr>
            <w:rFonts w:ascii="Arial" w:eastAsia="SimSun" w:hAnsi="Arial" w:cs="Arial"/>
            <w:color w:val="000000"/>
            <w:sz w:val="16"/>
            <w:szCs w:val="16"/>
          </w:rPr>
          <w:t xml:space="preserve"> configured with two Resource Groups and </w:t>
        </w:r>
      </w:ins>
      <m:oMath>
        <m:r>
          <w:ins w:id="88" w:author="만든 이" w:date="2023-11-13T16:37:00Z">
            <w:rPr>
              <w:rFonts w:ascii="Cambria Math" w:eastAsia="SimSun" w:hAnsi="Cambria Math" w:cs="Arial"/>
              <w:color w:val="000000"/>
              <w:sz w:val="16"/>
              <w:szCs w:val="16"/>
            </w:rPr>
            <m:t>N</m:t>
          </w:ins>
        </m:r>
      </m:oMath>
      <w:ins w:id="89" w:author="만든 이" w:date="2023-11-13T16:37:00Z">
        <w:r w:rsidRPr="006D2F4E">
          <w:rPr>
            <w:rFonts w:ascii="Arial" w:eastAsia="SimSun" w:hAnsi="Arial" w:cs="Arial"/>
            <w:color w:val="000000"/>
            <w:sz w:val="16"/>
            <w:szCs w:val="16"/>
          </w:rPr>
          <w:t xml:space="preserve"> Resource Pairs for channel measurement in the corresponding CSI-RS Resource Set, as described in clause 5.2.1.4.1, after the CSI report (re)configuration, serving cell activation, BWP change, or activation of SP-CSI, the UE reports a CSI report only after receiving at least one CSI-RS transmission occasion for each of the CSI-RS resources in the corresponding CSI-RS Resource Set for channel measurement no later than the CSI reference resource and within the same DRX Active Time when DRX is configured, and drops the report otherwise.</w:t>
        </w:r>
      </w:ins>
    </w:p>
    <w:p w14:paraId="3DB2F43C" w14:textId="77777777" w:rsidR="006D2F4E" w:rsidRPr="006D2F4E" w:rsidRDefault="006D2F4E" w:rsidP="006D2F4E">
      <w:pPr>
        <w:spacing w:line="259" w:lineRule="auto"/>
        <w:rPr>
          <w:rFonts w:ascii="Arial" w:hAnsi="Arial" w:cs="Arial"/>
          <w:sz w:val="16"/>
          <w:szCs w:val="16"/>
        </w:rPr>
      </w:pPr>
      <w:r w:rsidRPr="006D2F4E">
        <w:rPr>
          <w:rFonts w:ascii="Arial" w:eastAsia="SimSun" w:hAnsi="Arial" w:cs="Arial"/>
          <w:color w:val="000000"/>
          <w:sz w:val="16"/>
          <w:szCs w:val="16"/>
        </w:rPr>
        <w:t>When DRX is configured, the UE reports a CSI report only if receiving at least one CSI-RS transmission occasion for channel measurement and CSI-RS and/or CSI-IM occasion for interference measurement in DRX Active Time no later than CSI reference resource and drops the report otherwise.</w:t>
      </w:r>
      <w:del w:id="90" w:author="만든 이" w:date="2023-11-13T16:38:00Z">
        <w:r w:rsidRPr="006D2F4E" w:rsidDel="006E356F">
          <w:rPr>
            <w:rFonts w:ascii="Arial" w:eastAsia="SimSun" w:hAnsi="Arial" w:cs="Arial"/>
            <w:color w:val="000000"/>
            <w:sz w:val="16"/>
            <w:szCs w:val="16"/>
          </w:rPr>
          <w:delText xml:space="preserve"> When DRX is configured and the CSI-RS Resource Set for channel measurement corresponding to a CSI report is configured with two Resource Groups and </w:delText>
        </w:r>
      </w:del>
      <m:oMath>
        <m:r>
          <w:del w:id="91" w:author="만든 이" w:date="2023-11-13T16:38:00Z">
            <w:rPr>
              <w:rFonts w:ascii="Cambria Math" w:eastAsia="SimSun" w:hAnsi="Cambria Math" w:cs="Arial"/>
              <w:color w:val="000000"/>
              <w:sz w:val="16"/>
              <w:szCs w:val="16"/>
            </w:rPr>
            <m:t>N</m:t>
          </w:del>
        </m:r>
      </m:oMath>
      <w:del w:id="92" w:author="만든 이" w:date="2023-11-13T16:38:00Z">
        <w:r w:rsidRPr="006D2F4E" w:rsidDel="006E356F">
          <w:rPr>
            <w:rFonts w:ascii="Arial" w:eastAsia="SimSun" w:hAnsi="Arial" w:cs="Arial"/>
            <w:color w:val="000000"/>
            <w:sz w:val="16"/>
            <w:szCs w:val="16"/>
          </w:rPr>
          <w:delText xml:space="preserve"> Resource Pairs, as described in clause 5.2.1.4.1, the UE reports a CSI report only if receiving at least one CSI-RS transmission occasion for each CSI-RS resource in a Resource Pair within the same DRX Active Time no later than CSI reference resource and drops the report otherwise.</w:delText>
        </w:r>
      </w:del>
      <w:r w:rsidRPr="006D2F4E">
        <w:rPr>
          <w:rFonts w:ascii="Arial" w:hAnsi="Arial" w:cs="Arial"/>
          <w:sz w:val="16"/>
          <w:szCs w:val="16"/>
        </w:rPr>
        <w:t xml:space="preserve"> </w:t>
      </w:r>
    </w:p>
    <w:p w14:paraId="63AA7C33" w14:textId="393191CB" w:rsidR="006D2F4E" w:rsidRDefault="006D2F4E" w:rsidP="006D2F4E">
      <w:pPr>
        <w:spacing w:after="160" w:line="259" w:lineRule="auto"/>
        <w:rPr>
          <w:color w:val="FF0000"/>
          <w:szCs w:val="20"/>
        </w:rPr>
      </w:pPr>
      <w:r w:rsidRPr="006E356F">
        <w:rPr>
          <w:color w:val="FF0000"/>
          <w:szCs w:val="20"/>
        </w:rPr>
        <w:t xml:space="preserve">---- </w:t>
      </w:r>
      <w:r>
        <w:rPr>
          <w:color w:val="FF0000"/>
          <w:szCs w:val="20"/>
        </w:rPr>
        <w:t>end</w:t>
      </w:r>
      <w:r w:rsidRPr="006E356F">
        <w:rPr>
          <w:color w:val="FF0000"/>
          <w:szCs w:val="20"/>
        </w:rPr>
        <w:t xml:space="preserve"> TP ----</w:t>
      </w:r>
    </w:p>
    <w:p w14:paraId="703C7B10" w14:textId="77777777" w:rsidR="006D2F4E" w:rsidRDefault="006D2F4E" w:rsidP="00835CB1">
      <w:pPr>
        <w:rPr>
          <w:color w:val="000000"/>
          <w:szCs w:val="20"/>
        </w:rPr>
      </w:pPr>
      <w:r w:rsidRPr="00C85222">
        <w:rPr>
          <w:color w:val="000000"/>
          <w:szCs w:val="20"/>
        </w:rPr>
        <w:t>Final CRs in</w:t>
      </w:r>
      <w:r>
        <w:rPr>
          <w:color w:val="000000"/>
          <w:szCs w:val="20"/>
        </w:rPr>
        <w:t>:</w:t>
      </w:r>
    </w:p>
    <w:p w14:paraId="2DE133B2" w14:textId="67E5E929" w:rsidR="006D2F4E" w:rsidRPr="006D2F4E" w:rsidRDefault="005A18DC" w:rsidP="006D2F4E">
      <w:pPr>
        <w:rPr>
          <w:b/>
          <w:bCs/>
          <w:lang w:eastAsia="x-none"/>
        </w:rPr>
      </w:pPr>
      <w:hyperlink r:id="rId456" w:history="1">
        <w:r w:rsidR="00AF7253">
          <w:rPr>
            <w:rStyle w:val="Hyperlink"/>
            <w:b/>
            <w:bCs/>
            <w:highlight w:val="green"/>
            <w:lang w:eastAsia="x-none"/>
          </w:rPr>
          <w:t>R1-2312631</w:t>
        </w:r>
      </w:hyperlink>
      <w:r w:rsidR="006D2F4E" w:rsidRPr="006D2F4E">
        <w:rPr>
          <w:b/>
          <w:bCs/>
          <w:lang w:eastAsia="x-none"/>
        </w:rPr>
        <w:tab/>
        <w:t>CR on clarification of CSI-RS transmission occasion for NCJT CSI</w:t>
      </w:r>
      <w:r w:rsidR="006D2F4E" w:rsidRPr="006D2F4E">
        <w:rPr>
          <w:b/>
          <w:bCs/>
          <w:lang w:eastAsia="x-none"/>
        </w:rPr>
        <w:tab/>
        <w:t>Moderator (Huawei), NTT DOCOMO, Nokia, Samsung</w:t>
      </w:r>
    </w:p>
    <w:p w14:paraId="7618C9BE" w14:textId="77777777" w:rsidR="006D2F4E" w:rsidRDefault="006D2F4E" w:rsidP="006D2F4E">
      <w:pPr>
        <w:rPr>
          <w:lang w:eastAsia="x-none"/>
        </w:rPr>
      </w:pPr>
      <w:r>
        <w:rPr>
          <w:lang w:eastAsia="x-none"/>
        </w:rPr>
        <w:t>(Rel-17, 38.214, CR0474,Cat F) is agreed.</w:t>
      </w:r>
    </w:p>
    <w:p w14:paraId="1E9B215F" w14:textId="65B1DE0A" w:rsidR="006D2F4E" w:rsidRPr="006D2F4E" w:rsidRDefault="005A18DC" w:rsidP="006D2F4E">
      <w:pPr>
        <w:rPr>
          <w:b/>
          <w:bCs/>
          <w:lang w:eastAsia="x-none"/>
        </w:rPr>
      </w:pPr>
      <w:hyperlink r:id="rId457" w:history="1">
        <w:r w:rsidR="00AF7253">
          <w:rPr>
            <w:rStyle w:val="Hyperlink"/>
            <w:b/>
            <w:bCs/>
            <w:highlight w:val="green"/>
            <w:lang w:eastAsia="x-none"/>
          </w:rPr>
          <w:t>R1-2312632</w:t>
        </w:r>
      </w:hyperlink>
      <w:r w:rsidR="006D2F4E" w:rsidRPr="006D2F4E">
        <w:rPr>
          <w:b/>
          <w:bCs/>
          <w:lang w:eastAsia="x-none"/>
        </w:rPr>
        <w:tab/>
        <w:t>CR on clarification of CSI-RS transmission occasion for NCJT CSI</w:t>
      </w:r>
      <w:r w:rsidR="006D2F4E" w:rsidRPr="006D2F4E">
        <w:rPr>
          <w:b/>
          <w:bCs/>
          <w:lang w:eastAsia="x-none"/>
        </w:rPr>
        <w:tab/>
        <w:t>Moderator (Huawei), NTT DOCOMO, Nokia, Samsung</w:t>
      </w:r>
    </w:p>
    <w:p w14:paraId="4EB44E5E" w14:textId="01FD6B06" w:rsidR="006D2F4E" w:rsidRDefault="006D2F4E" w:rsidP="006D2F4E">
      <w:pPr>
        <w:rPr>
          <w:lang w:eastAsia="x-none"/>
        </w:rPr>
      </w:pPr>
      <w:r>
        <w:rPr>
          <w:lang w:eastAsia="x-none"/>
        </w:rPr>
        <w:t>(Rel-18, 38.214, CR0475,Cat A) is agreed.</w:t>
      </w:r>
    </w:p>
    <w:p w14:paraId="469AC47F" w14:textId="77777777" w:rsidR="00EA0702" w:rsidRDefault="00EA0702" w:rsidP="009772D2">
      <w:pPr>
        <w:rPr>
          <w:lang w:val="en-US" w:eastAsia="x-none"/>
        </w:rPr>
      </w:pPr>
    </w:p>
    <w:p w14:paraId="1A6650AF" w14:textId="77777777" w:rsidR="00EA0702" w:rsidRPr="00EA0702" w:rsidRDefault="00EA0702" w:rsidP="009772D2">
      <w:pPr>
        <w:rPr>
          <w:lang w:val="en-US" w:eastAsia="x-none"/>
        </w:rPr>
      </w:pPr>
    </w:p>
    <w:p w14:paraId="52351925" w14:textId="7B4629B8" w:rsidR="009772D2" w:rsidRPr="009537ED" w:rsidRDefault="005A18DC" w:rsidP="009772D2">
      <w:pPr>
        <w:rPr>
          <w:lang w:eastAsia="x-none"/>
        </w:rPr>
      </w:pPr>
      <w:hyperlink r:id="rId458" w:history="1">
        <w:r w:rsidR="00AF7253">
          <w:rPr>
            <w:rStyle w:val="Hyperlink"/>
            <w:lang w:eastAsia="x-none"/>
          </w:rPr>
          <w:t>R1-2311765</w:t>
        </w:r>
      </w:hyperlink>
      <w:r w:rsidR="009772D2" w:rsidRPr="009537ED">
        <w:rPr>
          <w:lang w:eastAsia="x-none"/>
        </w:rPr>
        <w:tab/>
        <w:t>Corrections on RRC parameter names for feMIMO in TS38.212</w:t>
      </w:r>
      <w:r w:rsidR="009772D2" w:rsidRPr="009537ED">
        <w:rPr>
          <w:lang w:eastAsia="x-none"/>
        </w:rPr>
        <w:tab/>
        <w:t>Sharp</w:t>
      </w:r>
    </w:p>
    <w:p w14:paraId="33125619" w14:textId="77777777" w:rsidR="009772D2" w:rsidRPr="009537ED" w:rsidRDefault="009772D2" w:rsidP="00835CB1">
      <w:pPr>
        <w:rPr>
          <w:lang w:eastAsia="x-none"/>
        </w:rPr>
      </w:pPr>
    </w:p>
    <w:p w14:paraId="0ACCA5B6" w14:textId="161CC1CE" w:rsidR="00774823" w:rsidRPr="009537ED" w:rsidRDefault="00774823" w:rsidP="00835CB1">
      <w:pPr>
        <w:rPr>
          <w:lang w:eastAsia="x-none"/>
        </w:rPr>
      </w:pPr>
      <w:r w:rsidRPr="009537ED">
        <w:rPr>
          <w:lang w:eastAsia="x-none"/>
        </w:rPr>
        <w:t>-----------------------------------------------------------------------------</w:t>
      </w:r>
    </w:p>
    <w:p w14:paraId="199CC008" w14:textId="77777777" w:rsidR="00835CB1" w:rsidRPr="009537ED" w:rsidRDefault="00835CB1" w:rsidP="00835CB1">
      <w:pPr>
        <w:rPr>
          <w:b/>
          <w:lang w:eastAsia="x-none"/>
        </w:rPr>
      </w:pPr>
      <w:r w:rsidRPr="009537ED">
        <w:rPr>
          <w:b/>
          <w:lang w:eastAsia="x-none"/>
        </w:rPr>
        <w:t>IIoT &amp; URLLC Enhancement</w:t>
      </w:r>
    </w:p>
    <w:p w14:paraId="2D7FA0C4" w14:textId="105ED310" w:rsidR="00835CB1" w:rsidRPr="00A760F0" w:rsidRDefault="005A18DC" w:rsidP="00835CB1">
      <w:pPr>
        <w:rPr>
          <w:b/>
          <w:bCs/>
          <w:lang w:eastAsia="x-none"/>
        </w:rPr>
      </w:pPr>
      <w:hyperlink r:id="rId459" w:history="1">
        <w:r w:rsidR="00AF7253">
          <w:rPr>
            <w:rStyle w:val="Hyperlink"/>
            <w:b/>
            <w:bCs/>
            <w:highlight w:val="red"/>
            <w:lang w:eastAsia="x-none"/>
          </w:rPr>
          <w:t>R1-2311081</w:t>
        </w:r>
      </w:hyperlink>
      <w:r w:rsidR="00835CB1" w:rsidRPr="00A760F0">
        <w:rPr>
          <w:b/>
          <w:bCs/>
          <w:lang w:eastAsia="x-none"/>
        </w:rPr>
        <w:tab/>
        <w:t>Discussion on DCI indication for HARQ-ACK retransmission and SCell dormancy</w:t>
      </w:r>
      <w:r w:rsidR="00835CB1" w:rsidRPr="00A760F0">
        <w:rPr>
          <w:b/>
          <w:bCs/>
          <w:lang w:eastAsia="x-none"/>
        </w:rPr>
        <w:tab/>
        <w:t>vivo</w:t>
      </w:r>
    </w:p>
    <w:p w14:paraId="144738FA" w14:textId="1CD98C00" w:rsidR="00835CB1" w:rsidRPr="00A760F0" w:rsidRDefault="005A18DC" w:rsidP="00835CB1">
      <w:pPr>
        <w:rPr>
          <w:b/>
          <w:bCs/>
          <w:lang w:eastAsia="x-none"/>
        </w:rPr>
      </w:pPr>
      <w:hyperlink r:id="rId460" w:history="1">
        <w:r w:rsidR="00AF7253">
          <w:rPr>
            <w:rStyle w:val="Hyperlink"/>
            <w:b/>
            <w:bCs/>
            <w:highlight w:val="red"/>
            <w:lang w:eastAsia="x-none"/>
          </w:rPr>
          <w:t>R1-2311082</w:t>
        </w:r>
      </w:hyperlink>
      <w:r w:rsidR="00835CB1" w:rsidRPr="00A760F0">
        <w:rPr>
          <w:b/>
          <w:bCs/>
          <w:lang w:eastAsia="x-none"/>
        </w:rPr>
        <w:tab/>
        <w:t>Draft CR on DCI indication for HARQ-ACK retransmission and SCell dormancy</w:t>
      </w:r>
      <w:r w:rsidR="00835CB1" w:rsidRPr="00A760F0">
        <w:rPr>
          <w:b/>
          <w:bCs/>
          <w:lang w:eastAsia="x-none"/>
        </w:rPr>
        <w:tab/>
        <w:t>vivo</w:t>
      </w:r>
    </w:p>
    <w:p w14:paraId="0B618406" w14:textId="535A5260" w:rsidR="00835CB1" w:rsidRPr="00A760F0" w:rsidRDefault="005A18DC" w:rsidP="00835CB1">
      <w:pPr>
        <w:rPr>
          <w:b/>
          <w:bCs/>
          <w:lang w:eastAsia="x-none"/>
        </w:rPr>
      </w:pPr>
      <w:hyperlink r:id="rId461" w:history="1">
        <w:r w:rsidR="00AF7253">
          <w:rPr>
            <w:rStyle w:val="Hyperlink"/>
            <w:b/>
            <w:bCs/>
            <w:highlight w:val="red"/>
            <w:lang w:eastAsia="x-none"/>
          </w:rPr>
          <w:t>R1-2311673</w:t>
        </w:r>
      </w:hyperlink>
      <w:r w:rsidR="00835CB1" w:rsidRPr="00A760F0">
        <w:rPr>
          <w:b/>
          <w:bCs/>
          <w:lang w:eastAsia="x-none"/>
        </w:rPr>
        <w:tab/>
        <w:t>Discussion on PUCCH power control</w:t>
      </w:r>
      <w:r w:rsidR="00835CB1" w:rsidRPr="00A760F0">
        <w:rPr>
          <w:b/>
          <w:bCs/>
          <w:lang w:eastAsia="x-none"/>
        </w:rPr>
        <w:tab/>
        <w:t>Apple</w:t>
      </w:r>
    </w:p>
    <w:p w14:paraId="37128C4F" w14:textId="6883DD82" w:rsidR="00835CB1" w:rsidRPr="009537ED" w:rsidRDefault="005A18DC" w:rsidP="00835CB1">
      <w:pPr>
        <w:rPr>
          <w:lang w:eastAsia="x-none"/>
        </w:rPr>
      </w:pPr>
      <w:hyperlink r:id="rId462" w:history="1">
        <w:r w:rsidR="00AF7253">
          <w:rPr>
            <w:rStyle w:val="Hyperlink"/>
            <w:lang w:eastAsia="x-none"/>
          </w:rPr>
          <w:t>R1-2311954</w:t>
        </w:r>
      </w:hyperlink>
      <w:r w:rsidR="00835CB1" w:rsidRPr="009537ED">
        <w:rPr>
          <w:lang w:eastAsia="x-none"/>
        </w:rPr>
        <w:tab/>
        <w:t>Discussion on the conditions and behaviors for CG-UCI and HARQ-ACK dropping and multiplexing in 38.213</w:t>
      </w:r>
      <w:r w:rsidR="00835CB1" w:rsidRPr="009537ED">
        <w:rPr>
          <w:lang w:eastAsia="x-none"/>
        </w:rPr>
        <w:tab/>
        <w:t>Sharp</w:t>
      </w:r>
    </w:p>
    <w:p w14:paraId="5D9D7A08" w14:textId="45775719" w:rsidR="00835CB1" w:rsidRPr="009537ED" w:rsidRDefault="005A18DC" w:rsidP="00835CB1">
      <w:pPr>
        <w:rPr>
          <w:lang w:eastAsia="x-none"/>
        </w:rPr>
      </w:pPr>
      <w:hyperlink r:id="rId463" w:history="1">
        <w:r w:rsidR="00AF7253">
          <w:rPr>
            <w:rStyle w:val="Hyperlink"/>
            <w:lang w:eastAsia="x-none"/>
          </w:rPr>
          <w:t>R1-2311955</w:t>
        </w:r>
      </w:hyperlink>
      <w:r w:rsidR="00835CB1" w:rsidRPr="009537ED">
        <w:rPr>
          <w:lang w:eastAsia="x-none"/>
        </w:rPr>
        <w:tab/>
        <w:t>Adding conditions on CG-UCI and HARQ-ACK dropping procedures in 38.213</w:t>
      </w:r>
      <w:r w:rsidR="00835CB1" w:rsidRPr="009537ED">
        <w:rPr>
          <w:lang w:eastAsia="x-none"/>
        </w:rPr>
        <w:tab/>
        <w:t>Sharp</w:t>
      </w:r>
    </w:p>
    <w:p w14:paraId="7D5F5BBF" w14:textId="2905AA0B" w:rsidR="00835CB1" w:rsidRPr="009537ED" w:rsidRDefault="005A18DC" w:rsidP="00835CB1">
      <w:pPr>
        <w:rPr>
          <w:lang w:eastAsia="x-none"/>
        </w:rPr>
      </w:pPr>
      <w:hyperlink r:id="rId464" w:history="1">
        <w:r w:rsidR="00AF7253">
          <w:rPr>
            <w:rStyle w:val="Hyperlink"/>
            <w:lang w:eastAsia="x-none"/>
          </w:rPr>
          <w:t>R1-2312078</w:t>
        </w:r>
      </w:hyperlink>
      <w:r w:rsidR="00835CB1" w:rsidRPr="009537ED">
        <w:rPr>
          <w:lang w:eastAsia="x-none"/>
        </w:rPr>
        <w:tab/>
        <w:t>Correction on PUCCH power control parameter determination</w:t>
      </w:r>
      <w:r w:rsidR="00835CB1" w:rsidRPr="009537ED">
        <w:rPr>
          <w:lang w:eastAsia="x-none"/>
        </w:rPr>
        <w:tab/>
        <w:t>CATT, Nokia, Nokia Shanghai Bell, Samsung, Apple, Huawei</w:t>
      </w:r>
    </w:p>
    <w:p w14:paraId="5F29685C" w14:textId="24946336" w:rsidR="00835CB1" w:rsidRPr="003B69FB" w:rsidRDefault="005A18DC" w:rsidP="00835CB1">
      <w:pPr>
        <w:rPr>
          <w:b/>
          <w:bCs/>
          <w:lang w:eastAsia="x-none"/>
        </w:rPr>
      </w:pPr>
      <w:hyperlink r:id="rId465" w:history="1">
        <w:r w:rsidR="00AF7253">
          <w:rPr>
            <w:rStyle w:val="Hyperlink"/>
            <w:b/>
            <w:bCs/>
            <w:lang w:eastAsia="x-none"/>
          </w:rPr>
          <w:t>R1-2312330</w:t>
        </w:r>
      </w:hyperlink>
      <w:r w:rsidR="003B69FB" w:rsidRPr="003B69FB">
        <w:rPr>
          <w:b/>
          <w:bCs/>
          <w:lang w:eastAsia="x-none"/>
        </w:rPr>
        <w:tab/>
        <w:t>Moderator summary#1 of Rel-17 URLLC &amp; IIoT maintenance</w:t>
      </w:r>
      <w:r w:rsidR="003B69FB" w:rsidRPr="003B69FB">
        <w:rPr>
          <w:b/>
          <w:bCs/>
          <w:lang w:eastAsia="x-none"/>
        </w:rPr>
        <w:tab/>
        <w:t>Moderator (Nokia)</w:t>
      </w:r>
    </w:p>
    <w:p w14:paraId="74EFB0FD" w14:textId="77777777" w:rsidR="003B69FB" w:rsidRPr="009537ED" w:rsidRDefault="003B69FB" w:rsidP="003B69FB">
      <w:r w:rsidRPr="009537ED">
        <w:t>From Monday session</w:t>
      </w:r>
    </w:p>
    <w:p w14:paraId="2A65E26E" w14:textId="209E1C21" w:rsidR="003B69FB" w:rsidRPr="009537ED" w:rsidRDefault="003B69FB" w:rsidP="003B69FB">
      <w:r w:rsidRPr="009537ED">
        <w:rPr>
          <w:b/>
          <w:bCs/>
        </w:rPr>
        <w:t>Decision:</w:t>
      </w:r>
      <w:r w:rsidRPr="009537ED">
        <w:t xml:space="preserve"> Draft CRs in </w:t>
      </w:r>
      <w:hyperlink r:id="rId466" w:history="1">
        <w:r w:rsidR="00AF7253">
          <w:rPr>
            <w:rStyle w:val="Hyperlink"/>
          </w:rPr>
          <w:t>R1-2311081</w:t>
        </w:r>
      </w:hyperlink>
      <w:r>
        <w:t xml:space="preserve">, </w:t>
      </w:r>
      <w:hyperlink r:id="rId467" w:history="1">
        <w:r w:rsidR="00AF7253">
          <w:rPr>
            <w:rStyle w:val="Hyperlink"/>
          </w:rPr>
          <w:t>R1-2311082</w:t>
        </w:r>
      </w:hyperlink>
      <w:r>
        <w:t xml:space="preserve"> </w:t>
      </w:r>
      <w:r w:rsidRPr="009537ED">
        <w:rPr>
          <w:lang w:eastAsia="x-none"/>
        </w:rPr>
        <w:t xml:space="preserve">and in </w:t>
      </w:r>
      <w:hyperlink r:id="rId468" w:history="1">
        <w:r w:rsidR="00AF7253">
          <w:rPr>
            <w:rStyle w:val="Hyperlink"/>
            <w:lang w:eastAsia="x-none"/>
          </w:rPr>
          <w:t>R1-2311673</w:t>
        </w:r>
      </w:hyperlink>
      <w:r w:rsidRPr="009537ED">
        <w:rPr>
          <w:rStyle w:val="Hyperlink"/>
          <w:color w:val="auto"/>
          <w:u w:val="none"/>
          <w:lang w:eastAsia="x-none"/>
        </w:rPr>
        <w:t xml:space="preserve"> are not pursued.</w:t>
      </w:r>
    </w:p>
    <w:p w14:paraId="6754FBD8" w14:textId="77777777" w:rsidR="003B69FB" w:rsidRDefault="003B69FB" w:rsidP="00835CB1">
      <w:pPr>
        <w:rPr>
          <w:lang w:eastAsia="x-none"/>
        </w:rPr>
      </w:pPr>
    </w:p>
    <w:p w14:paraId="781C4F80" w14:textId="21B95C0A" w:rsidR="003B69FB" w:rsidRPr="003B69FB" w:rsidRDefault="005A18DC" w:rsidP="00835CB1">
      <w:pPr>
        <w:rPr>
          <w:lang w:eastAsia="x-none"/>
        </w:rPr>
      </w:pPr>
      <w:hyperlink r:id="rId469" w:history="1">
        <w:r w:rsidR="00AF7253">
          <w:rPr>
            <w:rStyle w:val="Hyperlink"/>
            <w:b/>
            <w:bCs/>
            <w:lang w:eastAsia="x-none"/>
          </w:rPr>
          <w:t>R1-2312323</w:t>
        </w:r>
      </w:hyperlink>
      <w:r w:rsidR="003B69FB" w:rsidRPr="003B69FB">
        <w:rPr>
          <w:b/>
          <w:bCs/>
          <w:lang w:eastAsia="x-none"/>
        </w:rPr>
        <w:tab/>
        <w:t>Correction on PUCCH power control parameter determination</w:t>
      </w:r>
      <w:r w:rsidR="003B69FB" w:rsidRPr="003B69FB">
        <w:rPr>
          <w:b/>
          <w:bCs/>
          <w:lang w:eastAsia="x-none"/>
        </w:rPr>
        <w:tab/>
        <w:t>CATT, Nokia, Nokia Shanghai Bell, Samsung, Apple, Huawei, Ericsson, vivo</w:t>
      </w:r>
      <w:r w:rsidR="003B69FB" w:rsidRPr="003B69FB">
        <w:rPr>
          <w:lang w:eastAsia="x-none"/>
        </w:rPr>
        <w:tab/>
        <w:t xml:space="preserve">(rev of </w:t>
      </w:r>
      <w:hyperlink r:id="rId470" w:history="1">
        <w:r w:rsidR="00AF7253">
          <w:rPr>
            <w:rStyle w:val="Hyperlink"/>
            <w:lang w:eastAsia="x-none"/>
          </w:rPr>
          <w:t>R1-2312078</w:t>
        </w:r>
      </w:hyperlink>
      <w:r w:rsidR="003B69FB" w:rsidRPr="003B69FB">
        <w:rPr>
          <w:lang w:eastAsia="x-none"/>
        </w:rPr>
        <w:t>)</w:t>
      </w:r>
    </w:p>
    <w:p w14:paraId="07346C26" w14:textId="6416F1F7" w:rsidR="003B69FB" w:rsidRDefault="003B69FB" w:rsidP="003B69FB">
      <w:pPr>
        <w:rPr>
          <w:lang w:eastAsia="x-none"/>
        </w:rPr>
      </w:pPr>
      <w:r w:rsidRPr="003B69FB">
        <w:rPr>
          <w:b/>
          <w:bCs/>
          <w:lang w:eastAsia="x-none"/>
        </w:rPr>
        <w:t>Decision:</w:t>
      </w:r>
      <w:r>
        <w:rPr>
          <w:lang w:eastAsia="x-none"/>
        </w:rPr>
        <w:t xml:space="preserve"> </w:t>
      </w:r>
      <w:r w:rsidRPr="00EE4654">
        <w:rPr>
          <w:lang w:eastAsia="x-none"/>
        </w:rPr>
        <w:t xml:space="preserve">Endorse the draft CR to 38.213 in </w:t>
      </w:r>
      <w:hyperlink r:id="rId471" w:history="1">
        <w:r w:rsidR="00AF7253">
          <w:rPr>
            <w:rStyle w:val="Hyperlink"/>
            <w:lang w:eastAsia="x-none"/>
          </w:rPr>
          <w:t>R1-2312323</w:t>
        </w:r>
      </w:hyperlink>
      <w:r w:rsidRPr="00EE4654">
        <w:rPr>
          <w:lang w:eastAsia="x-none"/>
        </w:rPr>
        <w:t>. Final CRs</w:t>
      </w:r>
      <w:r>
        <w:rPr>
          <w:lang w:eastAsia="x-none"/>
        </w:rPr>
        <w:t xml:space="preserve"> in:</w:t>
      </w:r>
    </w:p>
    <w:p w14:paraId="1D3F5603" w14:textId="5804ACA9" w:rsidR="003B69FB" w:rsidRPr="003D6E20" w:rsidRDefault="005A18DC" w:rsidP="003B69FB">
      <w:pPr>
        <w:rPr>
          <w:b/>
          <w:bCs/>
          <w:lang w:eastAsia="x-none"/>
        </w:rPr>
      </w:pPr>
      <w:hyperlink r:id="rId472" w:history="1">
        <w:r w:rsidR="00AF7253">
          <w:rPr>
            <w:rStyle w:val="Hyperlink"/>
            <w:b/>
            <w:bCs/>
            <w:highlight w:val="green"/>
            <w:lang w:eastAsia="x-none"/>
          </w:rPr>
          <w:t>R1-2312378</w:t>
        </w:r>
      </w:hyperlink>
      <w:r w:rsidR="003B69FB" w:rsidRPr="003D6E20">
        <w:rPr>
          <w:b/>
          <w:bCs/>
          <w:lang w:eastAsia="x-none"/>
        </w:rPr>
        <w:tab/>
        <w:t>Correction on PUCCH power control parameter determination</w:t>
      </w:r>
      <w:r w:rsidR="003B69FB" w:rsidRPr="003D6E20">
        <w:rPr>
          <w:b/>
          <w:bCs/>
          <w:lang w:eastAsia="x-none"/>
        </w:rPr>
        <w:tab/>
        <w:t>CATT, Nokia, Nokia Shanghai Bell, Samsung, Apple, Huawei, Ericsson, vivo</w:t>
      </w:r>
    </w:p>
    <w:p w14:paraId="02EF862C" w14:textId="774B98D4" w:rsidR="003D6E20" w:rsidRPr="009537ED" w:rsidRDefault="003D6E20" w:rsidP="003B69FB">
      <w:pPr>
        <w:rPr>
          <w:bCs/>
          <w:lang w:eastAsia="x-none"/>
        </w:rPr>
      </w:pPr>
      <w:r>
        <w:rPr>
          <w:bCs/>
          <w:lang w:eastAsia="x-none"/>
        </w:rPr>
        <w:t>(Rel-17, 38.213, CR0538, Cat F)is agreed.</w:t>
      </w:r>
    </w:p>
    <w:p w14:paraId="21D368D7" w14:textId="47F7DA4E" w:rsidR="003B69FB" w:rsidRPr="003D6E20" w:rsidRDefault="005A18DC" w:rsidP="003B69FB">
      <w:pPr>
        <w:rPr>
          <w:b/>
          <w:bCs/>
          <w:lang w:eastAsia="x-none"/>
        </w:rPr>
      </w:pPr>
      <w:hyperlink r:id="rId473" w:history="1">
        <w:r w:rsidR="00AF7253">
          <w:rPr>
            <w:rStyle w:val="Hyperlink"/>
            <w:b/>
            <w:bCs/>
            <w:highlight w:val="green"/>
            <w:lang w:eastAsia="x-none"/>
          </w:rPr>
          <w:t>R1-2312379</w:t>
        </w:r>
      </w:hyperlink>
      <w:r w:rsidR="003B69FB" w:rsidRPr="003D6E20">
        <w:rPr>
          <w:b/>
          <w:bCs/>
          <w:lang w:eastAsia="x-none"/>
        </w:rPr>
        <w:tab/>
        <w:t>Correction on PUCCH power control parameter determination</w:t>
      </w:r>
      <w:r w:rsidR="003B69FB" w:rsidRPr="003D6E20">
        <w:rPr>
          <w:b/>
          <w:bCs/>
          <w:lang w:eastAsia="x-none"/>
        </w:rPr>
        <w:tab/>
        <w:t>CATT, Nokia, Nokia Shanghai Bell, Samsung, Apple, Huawei, Ericsson, vivo</w:t>
      </w:r>
    </w:p>
    <w:p w14:paraId="7D9CC7F4" w14:textId="0BEFFD85" w:rsidR="003D6E20" w:rsidRPr="009537ED" w:rsidRDefault="003D6E20" w:rsidP="003D6E20">
      <w:pPr>
        <w:rPr>
          <w:bCs/>
          <w:lang w:eastAsia="x-none"/>
        </w:rPr>
      </w:pPr>
      <w:r>
        <w:rPr>
          <w:bCs/>
          <w:lang w:eastAsia="x-none"/>
        </w:rPr>
        <w:t>(Rel-18, 38.213, CR0539, Cat A) is agreed.</w:t>
      </w:r>
    </w:p>
    <w:p w14:paraId="571CF981" w14:textId="77777777" w:rsidR="003B69FB" w:rsidRDefault="003B69FB" w:rsidP="00835CB1">
      <w:pPr>
        <w:rPr>
          <w:lang w:eastAsia="x-none"/>
        </w:rPr>
      </w:pPr>
    </w:p>
    <w:p w14:paraId="2F6ADF61" w14:textId="6048F71A" w:rsidR="003D6E20" w:rsidRPr="003D6E20" w:rsidRDefault="005A18DC" w:rsidP="003D6E20">
      <w:pPr>
        <w:rPr>
          <w:b/>
          <w:bCs/>
          <w:lang w:eastAsia="x-none"/>
        </w:rPr>
      </w:pPr>
      <w:hyperlink r:id="rId474" w:history="1">
        <w:r w:rsidR="00AF7253">
          <w:rPr>
            <w:rStyle w:val="Hyperlink"/>
            <w:b/>
            <w:bCs/>
            <w:lang w:eastAsia="x-none"/>
          </w:rPr>
          <w:t>R1-2312428</w:t>
        </w:r>
      </w:hyperlink>
      <w:r w:rsidR="003D6E20" w:rsidRPr="003D6E20">
        <w:rPr>
          <w:b/>
          <w:bCs/>
          <w:lang w:eastAsia="x-none"/>
        </w:rPr>
        <w:tab/>
        <w:t>Moderator summary#2 of Rel-17 URLLC &amp; IIoT maintenance</w:t>
      </w:r>
      <w:r w:rsidR="003D6E20" w:rsidRPr="003D6E20">
        <w:rPr>
          <w:b/>
          <w:bCs/>
          <w:lang w:eastAsia="x-none"/>
        </w:rPr>
        <w:tab/>
        <w:t>Moderator (Nokia)</w:t>
      </w:r>
    </w:p>
    <w:p w14:paraId="0E55D242" w14:textId="34DF5D6C" w:rsidR="003D6E20" w:rsidRPr="009537ED" w:rsidRDefault="003D6E20" w:rsidP="003D6E20">
      <w:r w:rsidRPr="009537ED">
        <w:lastRenderedPageBreak/>
        <w:t xml:space="preserve">From </w:t>
      </w:r>
      <w:r>
        <w:t>Thursday</w:t>
      </w:r>
      <w:r w:rsidRPr="009537ED">
        <w:t xml:space="preserve"> session</w:t>
      </w:r>
    </w:p>
    <w:p w14:paraId="50E55672" w14:textId="56853BBB" w:rsidR="003D6E20" w:rsidRPr="003D6E20" w:rsidRDefault="003D6E20" w:rsidP="003D6E20">
      <w:pPr>
        <w:rPr>
          <w:rFonts w:ascii="Times New Roman" w:hAnsi="Times New Roman"/>
          <w:szCs w:val="20"/>
          <w:lang w:eastAsia="x-none"/>
        </w:rPr>
      </w:pPr>
      <w:r w:rsidRPr="003D6E20">
        <w:rPr>
          <w:rFonts w:ascii="Times New Roman" w:hAnsi="Times New Roman"/>
          <w:szCs w:val="20"/>
          <w:highlight w:val="green"/>
          <w:lang w:eastAsia="x-none"/>
        </w:rPr>
        <w:t>For the 38.213 editor</w:t>
      </w:r>
    </w:p>
    <w:p w14:paraId="09323E1E" w14:textId="50515597" w:rsidR="003D6E20" w:rsidRDefault="003D6E20" w:rsidP="003D6E20">
      <w:pPr>
        <w:rPr>
          <w:rFonts w:ascii="Times New Roman" w:hAnsi="Times New Roman"/>
          <w:szCs w:val="20"/>
          <w:lang w:eastAsia="x-none"/>
        </w:rPr>
      </w:pPr>
      <w:r w:rsidRPr="003D6E20">
        <w:rPr>
          <w:rFonts w:ascii="Times New Roman" w:hAnsi="Times New Roman"/>
          <w:szCs w:val="20"/>
          <w:lang w:eastAsia="x-none"/>
        </w:rPr>
        <w:t>The following TP is provided for alignment CR on 38.213</w:t>
      </w:r>
      <w:r>
        <w:rPr>
          <w:rFonts w:ascii="Times New Roman" w:hAnsi="Times New Roman"/>
          <w:szCs w:val="20"/>
          <w:lang w:eastAsia="x-none"/>
        </w:rPr>
        <w:t>.</w:t>
      </w:r>
    </w:p>
    <w:p w14:paraId="1053D6EE" w14:textId="77777777" w:rsidR="003D6E20" w:rsidRDefault="003D6E20" w:rsidP="003D6E20">
      <w:pPr>
        <w:snapToGrid w:val="0"/>
        <w:jc w:val="both"/>
        <w:rPr>
          <w:szCs w:val="20"/>
        </w:rPr>
      </w:pPr>
      <w:r w:rsidRPr="006E356F">
        <w:rPr>
          <w:color w:val="FF0000"/>
          <w:szCs w:val="20"/>
        </w:rPr>
        <w:t>---- start TP ----</w:t>
      </w:r>
    </w:p>
    <w:p w14:paraId="6785AB2F" w14:textId="77777777" w:rsidR="003D6E20" w:rsidRPr="003D6E20" w:rsidRDefault="003D6E20" w:rsidP="003D6E20">
      <w:pPr>
        <w:rPr>
          <w:rFonts w:ascii="Arial" w:hAnsi="Arial" w:cs="Arial"/>
          <w:b/>
          <w:bCs/>
          <w:sz w:val="16"/>
          <w:szCs w:val="16"/>
          <w:lang w:eastAsia="x-none"/>
        </w:rPr>
      </w:pPr>
      <w:r w:rsidRPr="003D6E20">
        <w:rPr>
          <w:rFonts w:ascii="Arial" w:hAnsi="Arial" w:cs="Arial"/>
          <w:b/>
          <w:bCs/>
          <w:sz w:val="16"/>
          <w:szCs w:val="16"/>
          <w:lang w:eastAsia="x-none"/>
        </w:rPr>
        <w:t>9.3</w:t>
      </w:r>
      <w:r w:rsidRPr="003D6E20">
        <w:rPr>
          <w:rFonts w:ascii="Arial" w:hAnsi="Arial" w:cs="Arial"/>
          <w:b/>
          <w:bCs/>
          <w:sz w:val="16"/>
          <w:szCs w:val="16"/>
          <w:lang w:eastAsia="x-none"/>
        </w:rPr>
        <w:tab/>
        <w:t>UCI reporting in physical uplink shared channel</w:t>
      </w:r>
    </w:p>
    <w:p w14:paraId="0E052350" w14:textId="77777777" w:rsidR="003D6E20" w:rsidRPr="003D6E20" w:rsidRDefault="003D6E20" w:rsidP="003D6E20">
      <w:pPr>
        <w:ind w:left="6"/>
        <w:jc w:val="center"/>
        <w:rPr>
          <w:rFonts w:ascii="Arial" w:hAnsi="Arial" w:cs="Arial"/>
          <w:b/>
          <w:iCs/>
          <w:color w:val="FF0000"/>
          <w:sz w:val="16"/>
          <w:szCs w:val="16"/>
          <w:lang w:val="en-US" w:eastAsia="zh-CN"/>
        </w:rPr>
      </w:pPr>
      <w:r w:rsidRPr="003D6E20">
        <w:rPr>
          <w:rFonts w:ascii="Arial" w:hAnsi="Arial" w:cs="Arial"/>
          <w:b/>
          <w:iCs/>
          <w:color w:val="FF0000"/>
          <w:sz w:val="16"/>
          <w:szCs w:val="16"/>
          <w:lang w:val="en-US" w:eastAsia="zh-CN"/>
        </w:rPr>
        <w:t>&lt;Unchanged parts are omitted&gt;</w:t>
      </w:r>
    </w:p>
    <w:p w14:paraId="7628637D" w14:textId="5110CD25" w:rsidR="003D6E20" w:rsidRPr="003D6E20" w:rsidRDefault="003D6E20" w:rsidP="003D6E20">
      <w:pPr>
        <w:rPr>
          <w:rFonts w:ascii="Arial" w:hAnsi="Arial" w:cs="Arial"/>
          <w:sz w:val="16"/>
          <w:szCs w:val="16"/>
          <w:lang w:eastAsia="zh-CN"/>
        </w:rPr>
      </w:pPr>
      <w:r w:rsidRPr="003D6E20">
        <w:rPr>
          <w:rFonts w:ascii="Arial" w:hAnsi="Arial" w:cs="Arial"/>
          <w:sz w:val="16"/>
          <w:szCs w:val="16"/>
        </w:rPr>
        <w:t xml:space="preserve">For a PUSCH transmission that is configured by a </w:t>
      </w:r>
      <w:r w:rsidRPr="003D6E20">
        <w:rPr>
          <w:rFonts w:ascii="Arial" w:hAnsi="Arial" w:cs="Arial"/>
          <w:i/>
          <w:iCs/>
          <w:sz w:val="16"/>
          <w:szCs w:val="16"/>
        </w:rPr>
        <w:t>ConfiguredGrantConfig</w:t>
      </w:r>
      <w:r w:rsidRPr="003D6E20">
        <w:rPr>
          <w:rFonts w:ascii="Arial" w:hAnsi="Arial" w:cs="Arial"/>
          <w:sz w:val="16"/>
          <w:szCs w:val="16"/>
        </w:rPr>
        <w:t xml:space="preserve"> and includes CG-UCI, the UE multiplexes CG-UCI in the PUSCH transmission </w:t>
      </w:r>
      <w:r w:rsidRPr="003D6E20">
        <w:rPr>
          <w:rFonts w:ascii="Arial" w:hAnsi="Arial" w:cs="Arial"/>
          <w:color w:val="FF0000"/>
          <w:sz w:val="16"/>
          <w:szCs w:val="16"/>
        </w:rPr>
        <w:t xml:space="preserve">using a </w:t>
      </w:r>
      <m:oMath>
        <m:sSubSup>
          <m:sSubSupPr>
            <m:ctrlPr>
              <w:rPr>
                <w:rFonts w:ascii="Cambria Math" w:hAnsi="Cambria Math" w:cs="Arial"/>
                <w:i/>
                <w:color w:val="FF0000"/>
                <w:sz w:val="16"/>
                <w:szCs w:val="16"/>
                <w:highlight w:val="yellow"/>
              </w:rPr>
            </m:ctrlPr>
          </m:sSubSupPr>
          <m:e>
            <m:r>
              <w:rPr>
                <w:rFonts w:ascii="Cambria Math" w:hAnsi="Cambria Math" w:cs="Arial"/>
                <w:color w:val="FF0000"/>
                <w:sz w:val="16"/>
                <w:szCs w:val="16"/>
                <w:highlight w:val="yellow"/>
              </w:rPr>
              <m:t>I</m:t>
            </m:r>
          </m:e>
          <m:sub>
            <m:r>
              <m:rPr>
                <m:nor/>
              </m:rPr>
              <w:rPr>
                <w:rFonts w:ascii="Arial" w:hAnsi="Arial" w:cs="Arial"/>
                <w:color w:val="FF0000"/>
                <w:sz w:val="16"/>
                <w:szCs w:val="16"/>
                <w:highlight w:val="yellow"/>
              </w:rPr>
              <m:t>offset</m:t>
            </m:r>
            <m:ctrlPr>
              <w:rPr>
                <w:rFonts w:ascii="Cambria Math" w:hAnsi="Cambria Math" w:cs="Arial"/>
                <w:color w:val="FF0000"/>
                <w:sz w:val="16"/>
                <w:szCs w:val="16"/>
                <w:highlight w:val="yellow"/>
              </w:rPr>
            </m:ctrlPr>
          </m:sub>
          <m:sup>
            <m:r>
              <m:rPr>
                <m:nor/>
              </m:rPr>
              <w:rPr>
                <w:rFonts w:ascii="Arial" w:hAnsi="Arial" w:cs="Arial"/>
                <w:color w:val="FF0000"/>
                <w:sz w:val="16"/>
                <w:szCs w:val="16"/>
                <w:highlight w:val="yellow"/>
              </w:rPr>
              <m:t>CG-UCI</m:t>
            </m:r>
            <m:ctrlPr>
              <w:rPr>
                <w:rFonts w:ascii="Cambria Math" w:hAnsi="Cambria Math" w:cs="Arial"/>
                <w:color w:val="FF0000"/>
                <w:sz w:val="16"/>
                <w:szCs w:val="16"/>
                <w:highlight w:val="yellow"/>
              </w:rPr>
            </m:ctrlPr>
          </m:sup>
        </m:sSubSup>
      </m:oMath>
      <w:r w:rsidRPr="003D6E20">
        <w:rPr>
          <w:rFonts w:ascii="Arial" w:hAnsi="Arial" w:cs="Arial"/>
          <w:color w:val="FF0000"/>
          <w:sz w:val="16"/>
          <w:szCs w:val="16"/>
        </w:rPr>
        <w:t xml:space="preserve"> value </w:t>
      </w:r>
      <w:r w:rsidRPr="003D6E20">
        <w:rPr>
          <w:rFonts w:ascii="Arial" w:hAnsi="Arial" w:cs="Arial"/>
          <w:strike/>
          <w:color w:val="FF0000"/>
          <w:sz w:val="16"/>
          <w:szCs w:val="16"/>
        </w:rPr>
        <w:t>if the UE is</w:t>
      </w:r>
      <w:r w:rsidRPr="003D6E20">
        <w:rPr>
          <w:rFonts w:ascii="Arial" w:hAnsi="Arial" w:cs="Arial"/>
          <w:color w:val="FF0000"/>
          <w:sz w:val="16"/>
          <w:szCs w:val="16"/>
        </w:rPr>
        <w:t xml:space="preserve"> </w:t>
      </w:r>
      <w:r w:rsidRPr="003D6E20">
        <w:rPr>
          <w:rFonts w:ascii="Arial" w:hAnsi="Arial" w:cs="Arial"/>
          <w:sz w:val="16"/>
          <w:szCs w:val="16"/>
        </w:rPr>
        <w:t xml:space="preserve">provided by </w:t>
      </w:r>
      <w:r w:rsidRPr="003D6E20">
        <w:rPr>
          <w:rFonts w:ascii="Arial" w:hAnsi="Arial" w:cs="Arial"/>
          <w:i/>
          <w:iCs/>
          <w:color w:val="000000"/>
          <w:sz w:val="16"/>
          <w:szCs w:val="16"/>
        </w:rPr>
        <w:t>betaOffsetCG-UCI</w:t>
      </w:r>
      <w:r w:rsidRPr="003D6E20">
        <w:rPr>
          <w:rFonts w:ascii="Arial" w:hAnsi="Arial" w:cs="Arial"/>
          <w:sz w:val="16"/>
          <w:szCs w:val="16"/>
        </w:rPr>
        <w:t xml:space="preserve"> </w:t>
      </w:r>
      <w:r w:rsidRPr="003D6E20">
        <w:rPr>
          <w:rFonts w:ascii="Arial" w:hAnsi="Arial" w:cs="Arial"/>
          <w:strike/>
          <w:color w:val="FF0000"/>
          <w:sz w:val="16"/>
          <w:szCs w:val="16"/>
        </w:rPr>
        <w:t xml:space="preserve">a </w:t>
      </w:r>
      <m:oMath>
        <m:sSubSup>
          <m:sSubSupPr>
            <m:ctrlPr>
              <w:rPr>
                <w:rFonts w:ascii="Cambria Math" w:hAnsi="Cambria Math" w:cs="Arial"/>
                <w:i/>
                <w:strike/>
                <w:color w:val="FF0000"/>
                <w:sz w:val="16"/>
                <w:szCs w:val="16"/>
                <w:highlight w:val="yellow"/>
              </w:rPr>
            </m:ctrlPr>
          </m:sSubSupPr>
          <m:e>
            <m:r>
              <w:rPr>
                <w:rFonts w:ascii="Cambria Math" w:hAnsi="Cambria Math" w:cs="Arial"/>
                <w:strike/>
                <w:color w:val="FF0000"/>
                <w:sz w:val="16"/>
                <w:szCs w:val="16"/>
                <w:highlight w:val="yellow"/>
              </w:rPr>
              <m:t>I</m:t>
            </m:r>
          </m:e>
          <m:sub>
            <m:r>
              <m:rPr>
                <m:nor/>
              </m:rPr>
              <w:rPr>
                <w:rFonts w:ascii="Arial" w:hAnsi="Arial" w:cs="Arial"/>
                <w:strike/>
                <w:color w:val="FF0000"/>
                <w:sz w:val="16"/>
                <w:szCs w:val="16"/>
                <w:highlight w:val="yellow"/>
              </w:rPr>
              <m:t>offset</m:t>
            </m:r>
            <m:ctrlPr>
              <w:rPr>
                <w:rFonts w:ascii="Cambria Math" w:hAnsi="Cambria Math" w:cs="Arial"/>
                <w:strike/>
                <w:color w:val="FF0000"/>
                <w:sz w:val="16"/>
                <w:szCs w:val="16"/>
                <w:highlight w:val="yellow"/>
              </w:rPr>
            </m:ctrlPr>
          </m:sub>
          <m:sup>
            <m:r>
              <m:rPr>
                <m:nor/>
              </m:rPr>
              <w:rPr>
                <w:rFonts w:ascii="Arial" w:hAnsi="Arial" w:cs="Arial"/>
                <w:strike/>
                <w:color w:val="FF0000"/>
                <w:sz w:val="16"/>
                <w:szCs w:val="16"/>
                <w:highlight w:val="yellow"/>
              </w:rPr>
              <m:t>CG-UCI</m:t>
            </m:r>
            <m:ctrlPr>
              <w:rPr>
                <w:rFonts w:ascii="Cambria Math" w:hAnsi="Cambria Math" w:cs="Arial"/>
                <w:strike/>
                <w:color w:val="FF0000"/>
                <w:sz w:val="16"/>
                <w:szCs w:val="16"/>
                <w:highlight w:val="yellow"/>
              </w:rPr>
            </m:ctrlPr>
          </m:sup>
        </m:sSubSup>
      </m:oMath>
      <w:r w:rsidRPr="003D6E20">
        <w:rPr>
          <w:rFonts w:ascii="Arial" w:hAnsi="Arial" w:cs="Arial"/>
          <w:strike/>
          <w:color w:val="FF0000"/>
          <w:sz w:val="16"/>
          <w:szCs w:val="16"/>
        </w:rPr>
        <w:t xml:space="preserve"> value, from a set of values,</w:t>
      </w:r>
      <w:r w:rsidRPr="003D6E20">
        <w:rPr>
          <w:rFonts w:ascii="Arial" w:hAnsi="Arial" w:cs="Arial"/>
          <w:sz w:val="16"/>
          <w:szCs w:val="16"/>
        </w:rPr>
        <w:t xml:space="preserve"> with the mapping defined in Table 9.3-1. </w:t>
      </w:r>
      <w:r w:rsidRPr="003D6E20">
        <w:rPr>
          <w:rFonts w:ascii="Arial" w:hAnsi="Arial" w:cs="Arial"/>
          <w:color w:val="FF0000"/>
          <w:sz w:val="16"/>
          <w:szCs w:val="16"/>
          <w:u w:val="single"/>
        </w:rPr>
        <w:t>The CG-UCI has same priority value as the PUSCH.</w:t>
      </w:r>
      <w:r w:rsidRPr="003D6E20">
        <w:rPr>
          <w:rFonts w:ascii="Arial" w:hAnsi="Arial" w:cs="Arial"/>
          <w:sz w:val="16"/>
          <w:szCs w:val="16"/>
        </w:rPr>
        <w:t xml:space="preserve"> If the UE is provided </w:t>
      </w:r>
      <w:r w:rsidRPr="003D6E20">
        <w:rPr>
          <w:rFonts w:ascii="Arial" w:hAnsi="Arial" w:cs="Arial"/>
          <w:i/>
          <w:iCs/>
          <w:sz w:val="16"/>
          <w:szCs w:val="16"/>
        </w:rPr>
        <w:t>cg-UCI-Multiplexing</w:t>
      </w:r>
      <w:r w:rsidRPr="003D6E20">
        <w:rPr>
          <w:rFonts w:ascii="Arial" w:hAnsi="Arial" w:cs="Arial"/>
          <w:sz w:val="16"/>
          <w:szCs w:val="16"/>
        </w:rPr>
        <w:t xml:space="preserve"> and multiplexes HARQ-ACK information </w:t>
      </w:r>
      <w:r w:rsidRPr="003D6E20">
        <w:rPr>
          <w:rFonts w:ascii="Arial" w:hAnsi="Arial" w:cs="Arial"/>
          <w:color w:val="FF0000"/>
          <w:sz w:val="16"/>
          <w:szCs w:val="16"/>
          <w:u w:val="single"/>
        </w:rPr>
        <w:t>of same priority value as the CG-UCI</w:t>
      </w:r>
      <w:r w:rsidRPr="003D6E20">
        <w:rPr>
          <w:rFonts w:ascii="Arial" w:hAnsi="Arial" w:cs="Arial"/>
          <w:color w:val="FF0000"/>
          <w:sz w:val="16"/>
          <w:szCs w:val="16"/>
        </w:rPr>
        <w:t xml:space="preserve"> </w:t>
      </w:r>
      <w:r w:rsidRPr="003D6E20">
        <w:rPr>
          <w:rFonts w:ascii="Arial" w:hAnsi="Arial" w:cs="Arial"/>
          <w:sz w:val="16"/>
          <w:szCs w:val="16"/>
        </w:rPr>
        <w:t xml:space="preserve">in the PUSCH transmission, as described in clauses 9 and 9.2.5, the UE jointly encodes the HARQ-ACK information and the CG-UCI [5, TS 38.212] and determines a number of resources for multiplexing the combined information in a PUSCH using </w:t>
      </w:r>
      <m:oMath>
        <m:sSubSup>
          <m:sSubSupPr>
            <m:ctrlPr>
              <w:rPr>
                <w:rFonts w:ascii="Cambria Math" w:hAnsi="Cambria Math" w:cs="Arial"/>
                <w:i/>
                <w:sz w:val="16"/>
                <w:szCs w:val="16"/>
              </w:rPr>
            </m:ctrlPr>
          </m:sSubSupPr>
          <m:e>
            <m:r>
              <w:rPr>
                <w:rFonts w:ascii="Cambria Math" w:hAnsi="Cambria Math" w:cs="Arial"/>
                <w:sz w:val="16"/>
                <w:szCs w:val="16"/>
              </w:rPr>
              <m:t>β</m:t>
            </m:r>
          </m:e>
          <m:sub>
            <m:r>
              <m:rPr>
                <m:sty m:val="p"/>
              </m:rPr>
              <w:rPr>
                <w:rFonts w:ascii="Cambria Math" w:hAnsi="Cambria Math" w:cs="Arial"/>
                <w:sz w:val="16"/>
                <w:szCs w:val="16"/>
              </w:rPr>
              <m:t>offset</m:t>
            </m:r>
          </m:sub>
          <m:sup>
            <m:r>
              <m:rPr>
                <m:sty m:val="p"/>
              </m:rPr>
              <w:rPr>
                <w:rFonts w:ascii="Cambria Math" w:hAnsi="Cambria Math" w:cs="Arial"/>
                <w:sz w:val="16"/>
                <w:szCs w:val="16"/>
              </w:rPr>
              <m:t>HARQ-ACK</m:t>
            </m:r>
          </m:sup>
        </m:sSubSup>
      </m:oMath>
      <w:r w:rsidRPr="003D6E20">
        <w:rPr>
          <w:rFonts w:ascii="Arial" w:eastAsia="Malgun Gothic" w:hAnsi="Arial" w:cs="Arial"/>
          <w:sz w:val="16"/>
          <w:szCs w:val="16"/>
          <w:lang w:eastAsia="ko-KR"/>
        </w:rPr>
        <w:t xml:space="preserve"> which provides indexes </w:t>
      </w:r>
      <m:oMath>
        <m:sSubSup>
          <m:sSubSupPr>
            <m:ctrlPr>
              <w:rPr>
                <w:rFonts w:ascii="Cambria Math" w:eastAsia="Gulim" w:hAnsi="Cambria Math" w:cs="Arial"/>
                <w:i/>
                <w:iCs/>
                <w:sz w:val="16"/>
                <w:szCs w:val="16"/>
              </w:rPr>
            </m:ctrlPr>
          </m:sSubSupPr>
          <m:e>
            <m:r>
              <w:rPr>
                <w:rFonts w:ascii="Cambria Math" w:hAnsi="Cambria Math" w:cs="Arial"/>
                <w:sz w:val="16"/>
                <w:szCs w:val="16"/>
              </w:rPr>
              <m:t>I</m:t>
            </m:r>
          </m:e>
          <m:sub>
            <m:r>
              <m:rPr>
                <m:sty m:val="p"/>
              </m:rPr>
              <w:rPr>
                <w:rFonts w:ascii="Cambria Math" w:hAnsi="Cambria Math" w:cs="Arial"/>
                <w:sz w:val="16"/>
                <w:szCs w:val="16"/>
              </w:rPr>
              <m:t>offset,1</m:t>
            </m:r>
          </m:sub>
          <m:sup>
            <m:r>
              <m:rPr>
                <m:sty m:val="p"/>
              </m:rPr>
              <w:rPr>
                <w:rFonts w:ascii="Cambria Math" w:hAnsi="Cambria Math" w:cs="Arial"/>
                <w:sz w:val="16"/>
                <w:szCs w:val="16"/>
              </w:rPr>
              <m:t>HARQ-ACK</m:t>
            </m:r>
          </m:sup>
        </m:sSubSup>
      </m:oMath>
      <w:r w:rsidRPr="003D6E20">
        <w:rPr>
          <w:rFonts w:ascii="Arial" w:eastAsia="Malgun Gothic" w:hAnsi="Arial" w:cs="Arial"/>
          <w:sz w:val="16"/>
          <w:szCs w:val="16"/>
        </w:rPr>
        <w:t xml:space="preserve"> and </w:t>
      </w:r>
      <m:oMath>
        <m:sSubSup>
          <m:sSubSupPr>
            <m:ctrlPr>
              <w:rPr>
                <w:rFonts w:ascii="Cambria Math" w:eastAsia="Gulim" w:hAnsi="Cambria Math" w:cs="Arial"/>
                <w:i/>
                <w:iCs/>
                <w:sz w:val="16"/>
                <w:szCs w:val="16"/>
              </w:rPr>
            </m:ctrlPr>
          </m:sSubSupPr>
          <m:e>
            <m:r>
              <w:rPr>
                <w:rFonts w:ascii="Cambria Math" w:hAnsi="Cambria Math" w:cs="Arial"/>
                <w:sz w:val="16"/>
                <w:szCs w:val="16"/>
              </w:rPr>
              <m:t>I</m:t>
            </m:r>
          </m:e>
          <m:sub>
            <m:r>
              <m:rPr>
                <m:sty m:val="p"/>
              </m:rPr>
              <w:rPr>
                <w:rFonts w:ascii="Cambria Math" w:hAnsi="Cambria Math" w:cs="Arial"/>
                <w:sz w:val="16"/>
                <w:szCs w:val="16"/>
              </w:rPr>
              <m:t>offset,2</m:t>
            </m:r>
          </m:sub>
          <m:sup>
            <m:r>
              <m:rPr>
                <m:sty m:val="p"/>
              </m:rPr>
              <w:rPr>
                <w:rFonts w:ascii="Cambria Math" w:hAnsi="Cambria Math" w:cs="Arial"/>
                <w:sz w:val="16"/>
                <w:szCs w:val="16"/>
              </w:rPr>
              <m:t>HARQ-ACK</m:t>
            </m:r>
          </m:sup>
        </m:sSubSup>
      </m:oMath>
      <w:r w:rsidRPr="003D6E20">
        <w:rPr>
          <w:rFonts w:ascii="Arial" w:eastAsia="Malgun Gothic" w:hAnsi="Arial" w:cs="Arial"/>
          <w:sz w:val="16"/>
          <w:szCs w:val="16"/>
        </w:rPr>
        <w:t xml:space="preserve"> for the UE to use if the UE multiplexes </w:t>
      </w:r>
      <w:r w:rsidRPr="003D6E20">
        <w:rPr>
          <w:rFonts w:ascii="Arial" w:eastAsia="Malgun Gothic" w:hAnsi="Arial" w:cs="Arial"/>
          <w:sz w:val="16"/>
          <w:szCs w:val="16"/>
          <w:lang w:eastAsia="ko-KR"/>
        </w:rPr>
        <w:t>up to 11, and more than 11 combined information bits, respectively</w:t>
      </w:r>
      <w:r w:rsidRPr="003D6E20">
        <w:rPr>
          <w:rFonts w:ascii="Arial" w:hAnsi="Arial" w:cs="Arial"/>
          <w:sz w:val="16"/>
          <w:szCs w:val="16"/>
        </w:rPr>
        <w:t>.</w:t>
      </w:r>
    </w:p>
    <w:p w14:paraId="067DB1CB" w14:textId="77777777" w:rsidR="003D6E20" w:rsidRPr="003D6E20" w:rsidRDefault="003D6E20" w:rsidP="003D6E20">
      <w:pPr>
        <w:ind w:left="6"/>
        <w:jc w:val="center"/>
        <w:rPr>
          <w:rFonts w:ascii="Arial" w:hAnsi="Arial" w:cs="Arial"/>
          <w:b/>
          <w:iCs/>
          <w:color w:val="FF0000"/>
          <w:sz w:val="16"/>
          <w:szCs w:val="16"/>
          <w:lang w:val="en-US" w:eastAsia="zh-CN"/>
        </w:rPr>
      </w:pPr>
      <w:r w:rsidRPr="003D6E20">
        <w:rPr>
          <w:rFonts w:ascii="Arial" w:hAnsi="Arial" w:cs="Arial"/>
          <w:b/>
          <w:iCs/>
          <w:color w:val="FF0000"/>
          <w:sz w:val="16"/>
          <w:szCs w:val="16"/>
          <w:lang w:val="en-US" w:eastAsia="zh-CN"/>
        </w:rPr>
        <w:t>&lt;Unchanged parts are omitted&gt;</w:t>
      </w:r>
    </w:p>
    <w:p w14:paraId="7B6912CB" w14:textId="78BB0A9D" w:rsidR="003D6E20" w:rsidRDefault="003D6E20" w:rsidP="003D6E20">
      <w:pPr>
        <w:snapToGrid w:val="0"/>
        <w:jc w:val="both"/>
        <w:rPr>
          <w:color w:val="FF0000"/>
          <w:szCs w:val="20"/>
        </w:rPr>
      </w:pPr>
      <w:r w:rsidRPr="006E356F">
        <w:rPr>
          <w:color w:val="FF0000"/>
          <w:szCs w:val="20"/>
        </w:rPr>
        <w:t xml:space="preserve">---- </w:t>
      </w:r>
      <w:r>
        <w:rPr>
          <w:color w:val="FF0000"/>
          <w:szCs w:val="20"/>
        </w:rPr>
        <w:t>end</w:t>
      </w:r>
      <w:r w:rsidRPr="006E356F">
        <w:rPr>
          <w:color w:val="FF0000"/>
          <w:szCs w:val="20"/>
        </w:rPr>
        <w:t xml:space="preserve"> TP ----</w:t>
      </w:r>
    </w:p>
    <w:p w14:paraId="31CF1D7A" w14:textId="77777777" w:rsidR="003D6E20" w:rsidRDefault="003D6E20" w:rsidP="003D6E20">
      <w:pPr>
        <w:snapToGrid w:val="0"/>
        <w:jc w:val="both"/>
        <w:rPr>
          <w:szCs w:val="20"/>
        </w:rPr>
      </w:pPr>
    </w:p>
    <w:p w14:paraId="38BD8BDE" w14:textId="0F142254" w:rsidR="003D6E20" w:rsidRPr="003D6E20" w:rsidRDefault="005A18DC" w:rsidP="003D6E20">
      <w:pPr>
        <w:rPr>
          <w:b/>
          <w:bCs/>
          <w:lang w:eastAsia="x-none"/>
        </w:rPr>
      </w:pPr>
      <w:hyperlink r:id="rId475" w:history="1">
        <w:r w:rsidR="00AF7253">
          <w:rPr>
            <w:rStyle w:val="Hyperlink"/>
            <w:b/>
            <w:bCs/>
            <w:lang w:eastAsia="x-none"/>
          </w:rPr>
          <w:t>R1-2312597</w:t>
        </w:r>
      </w:hyperlink>
      <w:r w:rsidR="003D6E20" w:rsidRPr="003D6E20">
        <w:rPr>
          <w:b/>
          <w:bCs/>
          <w:lang w:eastAsia="x-none"/>
        </w:rPr>
        <w:tab/>
        <w:t>[Draft] LS on Rel-17 URLLC/IIoT required RRC parameter description change in 38.331</w:t>
      </w:r>
      <w:r w:rsidR="003D6E20" w:rsidRPr="003D6E20">
        <w:rPr>
          <w:b/>
          <w:bCs/>
          <w:lang w:eastAsia="x-none"/>
        </w:rPr>
        <w:tab/>
        <w:t>Moderator (Nokia)</w:t>
      </w:r>
    </w:p>
    <w:p w14:paraId="5636BC61" w14:textId="245BFB70" w:rsidR="003D6E20" w:rsidRPr="003D6E20" w:rsidRDefault="003D6E20" w:rsidP="003D6E20">
      <w:pPr>
        <w:rPr>
          <w:rFonts w:ascii="Times New Roman" w:hAnsi="Times New Roman"/>
          <w:szCs w:val="20"/>
          <w:lang w:eastAsia="zh-CN"/>
        </w:rPr>
      </w:pPr>
      <w:r w:rsidRPr="003D6E20">
        <w:rPr>
          <w:rFonts w:ascii="Times New Roman" w:hAnsi="Times New Roman"/>
          <w:b/>
          <w:bCs/>
          <w:szCs w:val="20"/>
          <w:lang w:eastAsia="zh-CN"/>
        </w:rPr>
        <w:t>Decision:</w:t>
      </w:r>
      <w:r>
        <w:rPr>
          <w:rFonts w:ascii="Times New Roman" w:hAnsi="Times New Roman"/>
          <w:szCs w:val="20"/>
          <w:lang w:eastAsia="zh-CN"/>
        </w:rPr>
        <w:t xml:space="preserve"> The draft </w:t>
      </w:r>
      <w:r w:rsidRPr="003D6E20">
        <w:rPr>
          <w:rFonts w:ascii="Times New Roman" w:hAnsi="Times New Roman"/>
          <w:szCs w:val="20"/>
          <w:lang w:eastAsia="zh-CN"/>
        </w:rPr>
        <w:t xml:space="preserve">LS on Rel-17 URLLC/IIoT required RRC parameter description change in 38.331 is </w:t>
      </w:r>
      <w:r>
        <w:rPr>
          <w:rFonts w:ascii="Times New Roman" w:hAnsi="Times New Roman"/>
          <w:szCs w:val="20"/>
          <w:lang w:eastAsia="zh-CN"/>
        </w:rPr>
        <w:t xml:space="preserve">endorsed. Final LS is </w:t>
      </w:r>
      <w:r w:rsidRPr="003D6E20">
        <w:rPr>
          <w:rFonts w:ascii="Times New Roman" w:hAnsi="Times New Roman"/>
          <w:szCs w:val="20"/>
          <w:highlight w:val="green"/>
          <w:lang w:eastAsia="zh-CN"/>
        </w:rPr>
        <w:t xml:space="preserve">approved in </w:t>
      </w:r>
      <w:hyperlink r:id="rId476" w:history="1">
        <w:r w:rsidR="00AF7253">
          <w:rPr>
            <w:rStyle w:val="Hyperlink"/>
            <w:rFonts w:ascii="Times New Roman" w:hAnsi="Times New Roman"/>
            <w:szCs w:val="20"/>
            <w:highlight w:val="green"/>
            <w:lang w:eastAsia="zh-CN"/>
          </w:rPr>
          <w:t>R1-2312621</w:t>
        </w:r>
      </w:hyperlink>
      <w:r w:rsidRPr="003D6E20">
        <w:rPr>
          <w:rFonts w:ascii="Times New Roman" w:hAnsi="Times New Roman"/>
          <w:szCs w:val="20"/>
          <w:lang w:eastAsia="zh-CN"/>
        </w:rPr>
        <w:t>.</w:t>
      </w:r>
    </w:p>
    <w:p w14:paraId="0ABE8E77" w14:textId="77777777" w:rsidR="003D6E20" w:rsidRDefault="003D6E20" w:rsidP="003D6E20">
      <w:pPr>
        <w:rPr>
          <w:lang w:eastAsia="x-none"/>
        </w:rPr>
      </w:pPr>
    </w:p>
    <w:p w14:paraId="32085D89" w14:textId="75B393E5" w:rsidR="003D6E20" w:rsidRDefault="003D6E20" w:rsidP="003D6E20">
      <w:pPr>
        <w:rPr>
          <w:lang w:eastAsia="x-none"/>
        </w:rPr>
      </w:pPr>
      <w:r>
        <w:rPr>
          <w:lang w:eastAsia="x-none"/>
        </w:rPr>
        <w:t xml:space="preserve">Final summary in </w:t>
      </w:r>
      <w:hyperlink r:id="rId477" w:history="1">
        <w:r w:rsidR="00AF7253">
          <w:rPr>
            <w:rStyle w:val="Hyperlink"/>
            <w:lang w:eastAsia="x-none"/>
          </w:rPr>
          <w:t>R1-2312596</w:t>
        </w:r>
      </w:hyperlink>
      <w:r>
        <w:rPr>
          <w:lang w:eastAsia="x-none"/>
        </w:rPr>
        <w:t>.</w:t>
      </w:r>
    </w:p>
    <w:p w14:paraId="1321C8F7" w14:textId="77777777" w:rsidR="003D6E20" w:rsidRPr="009537ED" w:rsidRDefault="003D6E20" w:rsidP="003D6E20">
      <w:pPr>
        <w:rPr>
          <w:lang w:eastAsia="x-none"/>
        </w:rPr>
      </w:pPr>
    </w:p>
    <w:p w14:paraId="5FEE2C1B" w14:textId="77777777" w:rsidR="009172B3" w:rsidRPr="009537ED" w:rsidRDefault="009172B3" w:rsidP="009172B3">
      <w:pPr>
        <w:rPr>
          <w:lang w:eastAsia="x-none"/>
        </w:rPr>
      </w:pPr>
      <w:r w:rsidRPr="009537ED">
        <w:rPr>
          <w:lang w:eastAsia="x-none"/>
        </w:rPr>
        <w:t>-----------------------------------------------------------------------------</w:t>
      </w:r>
    </w:p>
    <w:p w14:paraId="529584F6" w14:textId="77777777" w:rsidR="00835CB1" w:rsidRPr="009537ED" w:rsidRDefault="00835CB1" w:rsidP="00835CB1">
      <w:pPr>
        <w:rPr>
          <w:b/>
          <w:lang w:eastAsia="x-none"/>
        </w:rPr>
      </w:pPr>
      <w:r w:rsidRPr="009537ED">
        <w:rPr>
          <w:b/>
          <w:lang w:eastAsia="x-none"/>
        </w:rPr>
        <w:t>Coverage Enhancement</w:t>
      </w:r>
    </w:p>
    <w:p w14:paraId="4D1AAEA7" w14:textId="5BF9F8F5" w:rsidR="00835CB1" w:rsidRPr="00D01741" w:rsidRDefault="005A18DC" w:rsidP="00835CB1">
      <w:pPr>
        <w:rPr>
          <w:b/>
          <w:bCs/>
          <w:lang w:eastAsia="x-none"/>
        </w:rPr>
      </w:pPr>
      <w:hyperlink r:id="rId478" w:history="1">
        <w:r w:rsidR="00AF7253">
          <w:rPr>
            <w:rStyle w:val="Hyperlink"/>
            <w:b/>
            <w:bCs/>
            <w:lang w:eastAsia="x-none"/>
          </w:rPr>
          <w:t>R1-2312232</w:t>
        </w:r>
      </w:hyperlink>
      <w:r w:rsidR="00835CB1" w:rsidRPr="00D01741">
        <w:rPr>
          <w:b/>
          <w:bCs/>
          <w:lang w:eastAsia="x-none"/>
        </w:rPr>
        <w:tab/>
        <w:t>Discussion on skipping UL transmission for Rel-17 TBoMS</w:t>
      </w:r>
      <w:r w:rsidR="00835CB1" w:rsidRPr="00D01741">
        <w:rPr>
          <w:b/>
          <w:bCs/>
          <w:lang w:eastAsia="x-none"/>
        </w:rPr>
        <w:tab/>
        <w:t>Huawei, HiSilicon</w:t>
      </w:r>
    </w:p>
    <w:p w14:paraId="48C77891" w14:textId="47A26CA8" w:rsidR="00D01741" w:rsidRPr="00D01741" w:rsidRDefault="005A18DC" w:rsidP="00D01741">
      <w:pPr>
        <w:rPr>
          <w:b/>
          <w:bCs/>
          <w:lang w:eastAsia="x-none"/>
        </w:rPr>
      </w:pPr>
      <w:hyperlink r:id="rId479" w:history="1">
        <w:r w:rsidR="00AF7253">
          <w:rPr>
            <w:rStyle w:val="Hyperlink"/>
            <w:b/>
            <w:bCs/>
            <w:lang w:eastAsia="x-none"/>
          </w:rPr>
          <w:t>R1-2312533</w:t>
        </w:r>
      </w:hyperlink>
      <w:r w:rsidR="00D01741" w:rsidRPr="00D01741">
        <w:rPr>
          <w:b/>
          <w:bCs/>
          <w:lang w:eastAsia="x-none"/>
        </w:rPr>
        <w:tab/>
        <w:t>Summary of discussions on skipping UL transmission and R17 TBoMS</w:t>
      </w:r>
      <w:r w:rsidR="00D01741" w:rsidRPr="00D01741">
        <w:rPr>
          <w:b/>
          <w:bCs/>
          <w:lang w:eastAsia="x-none"/>
        </w:rPr>
        <w:tab/>
        <w:t>Moderator (Huawei)</w:t>
      </w:r>
    </w:p>
    <w:p w14:paraId="0919F2EA" w14:textId="77777777" w:rsidR="00D01741" w:rsidRPr="00D01741" w:rsidRDefault="00D01741" w:rsidP="00D01741">
      <w:pPr>
        <w:rPr>
          <w:bCs/>
          <w:iCs/>
          <w:highlight w:val="green"/>
          <w:lang w:eastAsia="zh-CN"/>
        </w:rPr>
      </w:pPr>
      <w:r w:rsidRPr="00D01741">
        <w:rPr>
          <w:bCs/>
          <w:iCs/>
          <w:highlight w:val="green"/>
          <w:lang w:eastAsia="zh-CN"/>
        </w:rPr>
        <w:t>Agreement</w:t>
      </w:r>
    </w:p>
    <w:p w14:paraId="4388A438" w14:textId="77777777" w:rsidR="00D01741" w:rsidRPr="00D01741" w:rsidRDefault="00D01741" w:rsidP="00D01741">
      <w:pPr>
        <w:rPr>
          <w:iCs/>
          <w:lang w:eastAsia="zh-CN"/>
        </w:rPr>
      </w:pPr>
      <w:r w:rsidRPr="00D01741">
        <w:rPr>
          <w:iCs/>
          <w:lang w:eastAsia="zh-CN"/>
        </w:rPr>
        <w:t xml:space="preserve">The case where both Rel-16 skipping UL transmission and Rel-17 TBoMS is enabled to a UE is not supported in Rel-17. </w:t>
      </w:r>
    </w:p>
    <w:p w14:paraId="6C10CE6F" w14:textId="77777777" w:rsidR="00D01741" w:rsidRPr="00D01741" w:rsidRDefault="00D01741" w:rsidP="00D01741">
      <w:pPr>
        <w:rPr>
          <w:iCs/>
          <w:lang w:eastAsia="zh-CN"/>
        </w:rPr>
      </w:pPr>
      <w:r w:rsidRPr="00D01741">
        <w:rPr>
          <w:iCs/>
          <w:lang w:eastAsia="zh-CN"/>
        </w:rPr>
        <w:t>With respect to potential specification impact</w:t>
      </w:r>
    </w:p>
    <w:p w14:paraId="5BCC6D36" w14:textId="77777777" w:rsidR="00D01741" w:rsidRPr="00D01741" w:rsidRDefault="00D01741" w:rsidP="00D01741">
      <w:pPr>
        <w:pStyle w:val="ListParagraph"/>
        <w:numPr>
          <w:ilvl w:val="0"/>
          <w:numId w:val="80"/>
        </w:numPr>
        <w:rPr>
          <w:lang w:eastAsia="zh-CN"/>
        </w:rPr>
      </w:pPr>
      <w:r w:rsidRPr="00D01741">
        <w:rPr>
          <w:rFonts w:hint="eastAsia"/>
          <w:lang w:eastAsia="zh-CN"/>
        </w:rPr>
        <w:t>A</w:t>
      </w:r>
      <w:r w:rsidRPr="00D01741">
        <w:rPr>
          <w:lang w:eastAsia="zh-CN"/>
        </w:rPr>
        <w:t>lt 1: The two features are not configured at the same time to a UE.</w:t>
      </w:r>
    </w:p>
    <w:p w14:paraId="4C86983E" w14:textId="77777777" w:rsidR="00D01741" w:rsidRPr="00D01741" w:rsidRDefault="00D01741" w:rsidP="00D01741">
      <w:pPr>
        <w:pStyle w:val="ListParagraph"/>
        <w:numPr>
          <w:ilvl w:val="0"/>
          <w:numId w:val="80"/>
        </w:numPr>
        <w:rPr>
          <w:lang w:eastAsia="zh-CN"/>
        </w:rPr>
      </w:pPr>
      <w:r w:rsidRPr="00D01741">
        <w:rPr>
          <w:lang w:eastAsia="zh-CN"/>
        </w:rPr>
        <w:t>Send a LS to RAN2 requesting the following</w:t>
      </w:r>
    </w:p>
    <w:p w14:paraId="628B6461" w14:textId="77777777" w:rsidR="00D01741" w:rsidRPr="00D01741" w:rsidRDefault="00D01741" w:rsidP="00D01741">
      <w:pPr>
        <w:pStyle w:val="ListParagraph"/>
        <w:numPr>
          <w:ilvl w:val="1"/>
          <w:numId w:val="80"/>
        </w:numPr>
        <w:rPr>
          <w:lang w:eastAsia="zh-CN"/>
        </w:rPr>
      </w:pPr>
      <w:r w:rsidRPr="00D01741">
        <w:rPr>
          <w:lang w:eastAsia="zh-CN"/>
        </w:rPr>
        <w:t>Check if there is any issue identified from RAN2 point of view on Alt1</w:t>
      </w:r>
    </w:p>
    <w:p w14:paraId="1896BF9F" w14:textId="77777777" w:rsidR="00D01741" w:rsidRPr="00D01741" w:rsidRDefault="00D01741" w:rsidP="00D01741">
      <w:pPr>
        <w:pStyle w:val="ListParagraph"/>
        <w:numPr>
          <w:ilvl w:val="1"/>
          <w:numId w:val="80"/>
        </w:numPr>
        <w:rPr>
          <w:lang w:eastAsia="zh-CN"/>
        </w:rPr>
      </w:pPr>
      <w:r w:rsidRPr="00D01741">
        <w:rPr>
          <w:lang w:eastAsia="zh-CN"/>
        </w:rPr>
        <w:t>Clarification on the relationship between the higher layer parameter REPETITION_NUMBER specified in clause 5.4.2.1 of TS 38.321 and the number of slots scheduled for a TBoMS PUSCH specified in clause 6.1.2.1 of TS 38.214.</w:t>
      </w:r>
    </w:p>
    <w:p w14:paraId="5D9E261B" w14:textId="2B5EDBE0" w:rsidR="00D01741" w:rsidRPr="00D01741" w:rsidRDefault="005A18DC" w:rsidP="00D01741">
      <w:pPr>
        <w:rPr>
          <w:b/>
          <w:bCs/>
          <w:lang w:eastAsia="x-none"/>
        </w:rPr>
      </w:pPr>
      <w:hyperlink r:id="rId480" w:history="1">
        <w:r w:rsidR="00AF7253">
          <w:rPr>
            <w:rStyle w:val="Hyperlink"/>
            <w:b/>
            <w:bCs/>
            <w:lang w:eastAsia="x-none"/>
          </w:rPr>
          <w:t>R1-2312650</w:t>
        </w:r>
      </w:hyperlink>
      <w:r w:rsidR="00D01741" w:rsidRPr="00D01741">
        <w:rPr>
          <w:b/>
          <w:bCs/>
          <w:lang w:eastAsia="x-none"/>
        </w:rPr>
        <w:tab/>
        <w:t>[Draft] LS on skipping UL transmission and R17 TBoMS</w:t>
      </w:r>
      <w:r w:rsidR="00D01741" w:rsidRPr="00D01741">
        <w:rPr>
          <w:b/>
          <w:bCs/>
          <w:lang w:eastAsia="x-none"/>
        </w:rPr>
        <w:tab/>
        <w:t>Huawei</w:t>
      </w:r>
    </w:p>
    <w:p w14:paraId="44101EA2" w14:textId="2E01A837" w:rsidR="00D01741" w:rsidRPr="003D6E20" w:rsidRDefault="00D01741" w:rsidP="00D01741">
      <w:pPr>
        <w:rPr>
          <w:rFonts w:ascii="Times New Roman" w:hAnsi="Times New Roman"/>
          <w:szCs w:val="20"/>
          <w:lang w:eastAsia="zh-CN"/>
        </w:rPr>
      </w:pPr>
      <w:r w:rsidRPr="003D6E20">
        <w:rPr>
          <w:rFonts w:ascii="Times New Roman" w:hAnsi="Times New Roman"/>
          <w:b/>
          <w:bCs/>
          <w:szCs w:val="20"/>
          <w:lang w:eastAsia="zh-CN"/>
        </w:rPr>
        <w:t>Decision:</w:t>
      </w:r>
      <w:r>
        <w:rPr>
          <w:rFonts w:ascii="Times New Roman" w:hAnsi="Times New Roman"/>
          <w:szCs w:val="20"/>
          <w:lang w:eastAsia="zh-CN"/>
        </w:rPr>
        <w:t xml:space="preserve"> The draft </w:t>
      </w:r>
      <w:r w:rsidRPr="003D6E20">
        <w:rPr>
          <w:rFonts w:ascii="Times New Roman" w:hAnsi="Times New Roman"/>
          <w:szCs w:val="20"/>
          <w:lang w:eastAsia="zh-CN"/>
        </w:rPr>
        <w:t xml:space="preserve">LS </w:t>
      </w:r>
      <w:r>
        <w:rPr>
          <w:rFonts w:ascii="Times New Roman" w:hAnsi="Times New Roman"/>
          <w:szCs w:val="20"/>
          <w:lang w:eastAsia="zh-CN"/>
        </w:rPr>
        <w:t xml:space="preserve">to RAN2 </w:t>
      </w:r>
      <w:r w:rsidRPr="003D6E20">
        <w:rPr>
          <w:rFonts w:ascii="Times New Roman" w:hAnsi="Times New Roman"/>
          <w:szCs w:val="20"/>
          <w:lang w:eastAsia="zh-CN"/>
        </w:rPr>
        <w:t xml:space="preserve">is </w:t>
      </w:r>
      <w:r>
        <w:rPr>
          <w:rFonts w:ascii="Times New Roman" w:hAnsi="Times New Roman"/>
          <w:szCs w:val="20"/>
          <w:lang w:eastAsia="zh-CN"/>
        </w:rPr>
        <w:t xml:space="preserve">endorsed. Final LS is </w:t>
      </w:r>
      <w:r w:rsidRPr="003D6E20">
        <w:rPr>
          <w:rFonts w:ascii="Times New Roman" w:hAnsi="Times New Roman"/>
          <w:szCs w:val="20"/>
          <w:highlight w:val="green"/>
          <w:lang w:eastAsia="zh-CN"/>
        </w:rPr>
        <w:t xml:space="preserve">approved in </w:t>
      </w:r>
      <w:hyperlink r:id="rId481" w:history="1">
        <w:r w:rsidR="00AF7253">
          <w:rPr>
            <w:rStyle w:val="Hyperlink"/>
            <w:rFonts w:ascii="Times New Roman" w:hAnsi="Times New Roman"/>
            <w:szCs w:val="20"/>
            <w:highlight w:val="green"/>
            <w:lang w:eastAsia="zh-CN"/>
          </w:rPr>
          <w:t>R1-2312651</w:t>
        </w:r>
      </w:hyperlink>
      <w:r w:rsidRPr="003D6E20">
        <w:rPr>
          <w:rFonts w:ascii="Times New Roman" w:hAnsi="Times New Roman"/>
          <w:szCs w:val="20"/>
          <w:lang w:eastAsia="zh-CN"/>
        </w:rPr>
        <w:t>.</w:t>
      </w:r>
    </w:p>
    <w:p w14:paraId="39740C76" w14:textId="77777777" w:rsidR="00D01741" w:rsidRDefault="00D01741" w:rsidP="00D01741">
      <w:pPr>
        <w:rPr>
          <w:lang w:eastAsia="x-none"/>
        </w:rPr>
      </w:pPr>
    </w:p>
    <w:p w14:paraId="6607A266" w14:textId="67C5F0FF" w:rsidR="00D01741" w:rsidRPr="00D01741" w:rsidRDefault="00D01741" w:rsidP="00D01741">
      <w:pPr>
        <w:rPr>
          <w:lang w:eastAsia="x-none"/>
        </w:rPr>
      </w:pPr>
      <w:r w:rsidRPr="00D01741">
        <w:rPr>
          <w:lang w:eastAsia="x-none"/>
        </w:rPr>
        <w:t xml:space="preserve">Final summary in </w:t>
      </w:r>
      <w:hyperlink r:id="rId482" w:history="1">
        <w:r w:rsidR="00AF7253">
          <w:rPr>
            <w:rStyle w:val="Hyperlink"/>
            <w:lang w:eastAsia="x-none"/>
          </w:rPr>
          <w:t>R1-2312605</w:t>
        </w:r>
      </w:hyperlink>
      <w:r w:rsidRPr="00D01741">
        <w:rPr>
          <w:lang w:eastAsia="x-none"/>
        </w:rPr>
        <w:t>.</w:t>
      </w:r>
    </w:p>
    <w:p w14:paraId="265D2176" w14:textId="77777777" w:rsidR="00835CB1" w:rsidRPr="009537ED" w:rsidRDefault="00835CB1" w:rsidP="00835CB1">
      <w:pPr>
        <w:rPr>
          <w:lang w:eastAsia="x-none"/>
        </w:rPr>
      </w:pPr>
    </w:p>
    <w:p w14:paraId="52A579A0" w14:textId="77777777" w:rsidR="00A760F0" w:rsidRPr="009537ED" w:rsidRDefault="00A760F0" w:rsidP="00A760F0">
      <w:pPr>
        <w:rPr>
          <w:lang w:eastAsia="x-none"/>
        </w:rPr>
      </w:pPr>
      <w:r w:rsidRPr="009537ED">
        <w:rPr>
          <w:lang w:eastAsia="x-none"/>
        </w:rPr>
        <w:t>-----------------------------------------------------------------------------</w:t>
      </w:r>
    </w:p>
    <w:p w14:paraId="5DD964F6" w14:textId="77777777" w:rsidR="00835CB1" w:rsidRPr="009537ED" w:rsidRDefault="00835CB1" w:rsidP="00835CB1">
      <w:pPr>
        <w:rPr>
          <w:b/>
          <w:lang w:eastAsia="x-none"/>
        </w:rPr>
      </w:pPr>
      <w:r w:rsidRPr="009537ED">
        <w:rPr>
          <w:b/>
          <w:lang w:eastAsia="x-none"/>
        </w:rPr>
        <w:t>UE Power Saving</w:t>
      </w:r>
    </w:p>
    <w:p w14:paraId="78031AF0" w14:textId="307AB2BC" w:rsidR="00835CB1" w:rsidRPr="009537ED" w:rsidRDefault="005A18DC" w:rsidP="00835CB1">
      <w:pPr>
        <w:rPr>
          <w:lang w:eastAsia="x-none"/>
        </w:rPr>
      </w:pPr>
      <w:hyperlink r:id="rId483" w:history="1">
        <w:r w:rsidR="00AF7253">
          <w:rPr>
            <w:rStyle w:val="Hyperlink"/>
            <w:lang w:eastAsia="x-none"/>
          </w:rPr>
          <w:t>R1-2311909</w:t>
        </w:r>
      </w:hyperlink>
      <w:r w:rsidR="00835CB1" w:rsidRPr="009537ED">
        <w:rPr>
          <w:lang w:eastAsia="x-none"/>
        </w:rPr>
        <w:tab/>
        <w:t>Maintenance of PDCCH monitoring adaptation for UE power saving</w:t>
      </w:r>
      <w:r w:rsidR="00835CB1" w:rsidRPr="009537ED">
        <w:rPr>
          <w:lang w:eastAsia="x-none"/>
        </w:rPr>
        <w:tab/>
        <w:t>Nokia, Nokia Shanghai Bell</w:t>
      </w:r>
    </w:p>
    <w:p w14:paraId="2A2D66C5" w14:textId="3A14C4E8" w:rsidR="00835CB1" w:rsidRPr="009537ED" w:rsidRDefault="005A18DC" w:rsidP="00835CB1">
      <w:pPr>
        <w:rPr>
          <w:lang w:eastAsia="x-none"/>
        </w:rPr>
      </w:pPr>
      <w:hyperlink r:id="rId484" w:history="1">
        <w:r w:rsidR="00AF7253">
          <w:rPr>
            <w:rStyle w:val="Hyperlink"/>
            <w:lang w:eastAsia="x-none"/>
          </w:rPr>
          <w:t>R1-2311910</w:t>
        </w:r>
      </w:hyperlink>
      <w:r w:rsidR="00835CB1" w:rsidRPr="009537ED">
        <w:rPr>
          <w:lang w:eastAsia="x-none"/>
        </w:rPr>
        <w:tab/>
        <w:t>Correction of PDCCH monitoring adaptation behaviour for DRX groups</w:t>
      </w:r>
      <w:r w:rsidR="00835CB1" w:rsidRPr="009537ED">
        <w:rPr>
          <w:lang w:eastAsia="x-none"/>
        </w:rPr>
        <w:tab/>
        <w:t>Nokia, Nokia Shanghai Bell</w:t>
      </w:r>
    </w:p>
    <w:p w14:paraId="2ACC5787" w14:textId="651265E0" w:rsidR="00835CB1" w:rsidRPr="009537ED" w:rsidRDefault="005A18DC" w:rsidP="00835CB1">
      <w:pPr>
        <w:rPr>
          <w:lang w:eastAsia="x-none"/>
        </w:rPr>
      </w:pPr>
      <w:hyperlink r:id="rId485" w:history="1">
        <w:r w:rsidR="00AF7253">
          <w:rPr>
            <w:rStyle w:val="Hyperlink"/>
            <w:lang w:eastAsia="x-none"/>
          </w:rPr>
          <w:t>R1-2311966</w:t>
        </w:r>
      </w:hyperlink>
      <w:r w:rsidR="00835CB1" w:rsidRPr="009537ED">
        <w:rPr>
          <w:lang w:eastAsia="x-none"/>
        </w:rPr>
        <w:tab/>
        <w:t>On</w:t>
      </w:r>
      <w:r w:rsidR="003E0EBD" w:rsidRPr="009537ED">
        <w:rPr>
          <w:lang w:eastAsia="x-none"/>
        </w:rPr>
        <w:t xml:space="preserve"> </w:t>
      </w:r>
      <w:r w:rsidR="00835CB1" w:rsidRPr="009537ED">
        <w:rPr>
          <w:i/>
          <w:iCs/>
          <w:lang w:eastAsia="x-none"/>
        </w:rPr>
        <w:t>frequencyDomainAllocation</w:t>
      </w:r>
      <w:r w:rsidR="003E0EBD" w:rsidRPr="009537ED">
        <w:rPr>
          <w:lang w:eastAsia="x-none"/>
        </w:rPr>
        <w:t xml:space="preserve"> </w:t>
      </w:r>
      <w:r w:rsidR="00835CB1" w:rsidRPr="009537ED">
        <w:rPr>
          <w:lang w:eastAsia="x-none"/>
        </w:rPr>
        <w:t>for R17 Idle mode TRS in R17 UE power saving</w:t>
      </w:r>
      <w:r w:rsidR="00835CB1" w:rsidRPr="009537ED">
        <w:rPr>
          <w:lang w:eastAsia="x-none"/>
        </w:rPr>
        <w:tab/>
        <w:t>MediaTek Inc.</w:t>
      </w:r>
    </w:p>
    <w:p w14:paraId="7C46A636" w14:textId="28EAFE72" w:rsidR="00835CB1" w:rsidRPr="009537ED" w:rsidRDefault="005A18DC" w:rsidP="00835CB1">
      <w:pPr>
        <w:rPr>
          <w:lang w:eastAsia="x-none"/>
        </w:rPr>
      </w:pPr>
      <w:hyperlink r:id="rId486" w:history="1">
        <w:r w:rsidR="00AF7253">
          <w:rPr>
            <w:rStyle w:val="Hyperlink"/>
            <w:lang w:eastAsia="x-none"/>
          </w:rPr>
          <w:t>R1-2312099</w:t>
        </w:r>
      </w:hyperlink>
      <w:r w:rsidR="00835CB1" w:rsidRPr="009537ED">
        <w:rPr>
          <w:lang w:eastAsia="x-none"/>
        </w:rPr>
        <w:tab/>
        <w:t>Correction related to periodicity of TRS occasions</w:t>
      </w:r>
      <w:r w:rsidR="00835CB1" w:rsidRPr="009537ED">
        <w:rPr>
          <w:lang w:eastAsia="x-none"/>
        </w:rPr>
        <w:tab/>
        <w:t>Ericsson</w:t>
      </w:r>
    </w:p>
    <w:p w14:paraId="120F9798" w14:textId="7288EC2D" w:rsidR="003B69FB" w:rsidRPr="003B69FB" w:rsidRDefault="005A18DC" w:rsidP="003B69FB">
      <w:pPr>
        <w:rPr>
          <w:b/>
          <w:bCs/>
          <w:lang w:eastAsia="x-none"/>
        </w:rPr>
      </w:pPr>
      <w:hyperlink r:id="rId487" w:history="1">
        <w:r w:rsidR="00AF7253">
          <w:rPr>
            <w:rStyle w:val="Hyperlink"/>
            <w:b/>
            <w:bCs/>
            <w:lang w:eastAsia="x-none"/>
          </w:rPr>
          <w:t>R1-2312356</w:t>
        </w:r>
      </w:hyperlink>
      <w:r w:rsidR="003B69FB" w:rsidRPr="003B69FB">
        <w:rPr>
          <w:b/>
          <w:bCs/>
          <w:lang w:eastAsia="x-none"/>
        </w:rPr>
        <w:tab/>
        <w:t>Summary for maintenance on UE power saving enhancements</w:t>
      </w:r>
      <w:r w:rsidR="003B69FB" w:rsidRPr="003B69FB">
        <w:rPr>
          <w:b/>
          <w:bCs/>
          <w:lang w:eastAsia="x-none"/>
        </w:rPr>
        <w:tab/>
        <w:t>Moderators (Ericsson, MediaTek, Nokia)</w:t>
      </w:r>
    </w:p>
    <w:p w14:paraId="15E383A3" w14:textId="77777777" w:rsidR="003B69FB" w:rsidRPr="009537ED" w:rsidRDefault="003B69FB" w:rsidP="003B69FB">
      <w:r w:rsidRPr="009537ED">
        <w:t>From Monday session</w:t>
      </w:r>
    </w:p>
    <w:p w14:paraId="7FB12E76" w14:textId="2B224176" w:rsidR="000E6B73" w:rsidRPr="000E6B73" w:rsidRDefault="000E6B73" w:rsidP="000E6B73">
      <w:pPr>
        <w:rPr>
          <w:lang w:eastAsia="x-none"/>
        </w:rPr>
      </w:pPr>
      <w:r w:rsidRPr="000E6B73">
        <w:rPr>
          <w:lang w:eastAsia="x-none"/>
        </w:rPr>
        <w:t>Conclusion</w:t>
      </w:r>
      <w:r>
        <w:rPr>
          <w:lang w:eastAsia="x-none"/>
        </w:rPr>
        <w:t xml:space="preserve"> (refined on Wed)</w:t>
      </w:r>
    </w:p>
    <w:p w14:paraId="4B5067B1" w14:textId="77777777" w:rsidR="000E6B73" w:rsidRPr="000E6B73" w:rsidRDefault="000E6B73" w:rsidP="000E6B73">
      <w:pPr>
        <w:rPr>
          <w:szCs w:val="20"/>
          <w:lang w:eastAsia="x-none"/>
        </w:rPr>
      </w:pPr>
      <w:r w:rsidRPr="000E6B73">
        <w:rPr>
          <w:szCs w:val="20"/>
          <w:lang w:eastAsia="x-none"/>
        </w:rPr>
        <w:t xml:space="preserve">The </w:t>
      </w:r>
      <w:r w:rsidRPr="000E6B73">
        <w:rPr>
          <w:rFonts w:eastAsia="SimSun"/>
          <w:szCs w:val="20"/>
          <w:lang w:eastAsia="zh-CN"/>
        </w:rPr>
        <w:t xml:space="preserve">interpretation of </w:t>
      </w:r>
      <w:r w:rsidRPr="000E6B73">
        <w:rPr>
          <w:rFonts w:eastAsia="PMingLiU"/>
          <w:i/>
          <w:iCs/>
          <w:szCs w:val="20"/>
          <w:lang w:val="en-US" w:eastAsia="zh-TW"/>
        </w:rPr>
        <w:t>frequencyDomainAllocation</w:t>
      </w:r>
      <w:r w:rsidRPr="000E6B73">
        <w:rPr>
          <w:rFonts w:eastAsia="PMingLiU"/>
          <w:iCs/>
          <w:szCs w:val="20"/>
          <w:lang w:val="en-US" w:eastAsia="zh-TW"/>
        </w:rPr>
        <w:t xml:space="preserve"> </w:t>
      </w:r>
      <w:r w:rsidRPr="000E6B73">
        <w:rPr>
          <w:szCs w:val="20"/>
          <w:lang w:eastAsia="x-none"/>
        </w:rPr>
        <w:t xml:space="preserve">under </w:t>
      </w:r>
      <w:r w:rsidRPr="000E6B73">
        <w:rPr>
          <w:i/>
          <w:iCs/>
          <w:szCs w:val="20"/>
          <w:lang w:eastAsia="x-none"/>
        </w:rPr>
        <w:t>TRS-ResourceSet-r17</w:t>
      </w:r>
      <w:r w:rsidRPr="000E6B73">
        <w:rPr>
          <w:szCs w:val="20"/>
          <w:lang w:eastAsia="x-none"/>
        </w:rPr>
        <w:t xml:space="preserve"> (Idle mode TRS) </w:t>
      </w:r>
      <w:r w:rsidRPr="000E6B73">
        <w:rPr>
          <w:color w:val="FF0000"/>
          <w:szCs w:val="20"/>
          <w:lang w:eastAsia="x-none"/>
        </w:rPr>
        <w:t>follows</w:t>
      </w:r>
      <w:r w:rsidRPr="000E6B73">
        <w:rPr>
          <w:szCs w:val="20"/>
          <w:lang w:eastAsia="x-none"/>
        </w:rPr>
        <w:t xml:space="preserve"> the same behaviour in TS38.211 as </w:t>
      </w:r>
      <w:r w:rsidRPr="000E6B73">
        <w:rPr>
          <w:color w:val="7030A0"/>
          <w:szCs w:val="20"/>
          <w:lang w:eastAsia="x-none"/>
        </w:rPr>
        <w:t>row1</w:t>
      </w:r>
      <w:r w:rsidRPr="000E6B73">
        <w:rPr>
          <w:i/>
          <w:iCs/>
          <w:szCs w:val="20"/>
          <w:lang w:eastAsia="x-none"/>
        </w:rPr>
        <w:t xml:space="preserve"> </w:t>
      </w:r>
      <w:r w:rsidRPr="000E6B73">
        <w:rPr>
          <w:iCs/>
          <w:color w:val="7030A0"/>
          <w:szCs w:val="20"/>
          <w:lang w:eastAsia="x-none"/>
        </w:rPr>
        <w:t xml:space="preserve">in </w:t>
      </w:r>
      <w:r w:rsidRPr="000E6B73">
        <w:rPr>
          <w:i/>
          <w:iCs/>
          <w:szCs w:val="20"/>
          <w:lang w:eastAsia="x-none"/>
        </w:rPr>
        <w:t>frequencyDomainAllocation</w:t>
      </w:r>
      <w:r w:rsidRPr="000E6B73">
        <w:rPr>
          <w:szCs w:val="20"/>
          <w:lang w:eastAsia="x-none"/>
        </w:rPr>
        <w:t xml:space="preserve"> under </w:t>
      </w:r>
      <w:r w:rsidRPr="000E6B73">
        <w:rPr>
          <w:i/>
          <w:iCs/>
          <w:szCs w:val="20"/>
          <w:lang w:eastAsia="x-none"/>
        </w:rPr>
        <w:t>CSI-RS-ResourceMapping</w:t>
      </w:r>
      <w:r w:rsidRPr="000E6B73">
        <w:rPr>
          <w:szCs w:val="20"/>
          <w:lang w:eastAsia="x-none"/>
        </w:rPr>
        <w:t xml:space="preserve"> (CSI-RS for tracking).</w:t>
      </w:r>
    </w:p>
    <w:p w14:paraId="66A6D0D5" w14:textId="77777777" w:rsidR="000E6B73" w:rsidRPr="000E6B73" w:rsidRDefault="000E6B73" w:rsidP="000E6B73">
      <w:pPr>
        <w:pStyle w:val="ListParagraph"/>
        <w:numPr>
          <w:ilvl w:val="0"/>
          <w:numId w:val="257"/>
        </w:numPr>
      </w:pPr>
      <w:r w:rsidRPr="000E6B73">
        <w:t xml:space="preserve">It is up to RAN2 </w:t>
      </w:r>
      <w:r w:rsidRPr="000E6B73">
        <w:rPr>
          <w:color w:val="FF0000"/>
        </w:rPr>
        <w:t xml:space="preserve">to decide </w:t>
      </w:r>
      <w:r w:rsidRPr="000E6B73">
        <w:t xml:space="preserve">whether to clarify the field description of </w:t>
      </w:r>
      <w:r w:rsidRPr="000E6B73">
        <w:rPr>
          <w:rFonts w:eastAsia="PMingLiU"/>
          <w:i/>
          <w:iCs/>
          <w:lang w:val="en-US" w:eastAsia="zh-TW"/>
        </w:rPr>
        <w:t>frequencyDomainAllocation</w:t>
      </w:r>
      <w:r w:rsidRPr="000E6B73">
        <w:rPr>
          <w:rFonts w:eastAsia="PMingLiU"/>
          <w:iCs/>
          <w:lang w:val="en-US" w:eastAsia="zh-TW"/>
        </w:rPr>
        <w:t xml:space="preserve"> </w:t>
      </w:r>
      <w:r w:rsidRPr="000E6B73">
        <w:t xml:space="preserve">in </w:t>
      </w:r>
      <w:r w:rsidRPr="000E6B73">
        <w:rPr>
          <w:i/>
          <w:iCs/>
        </w:rPr>
        <w:t>TRS-ResourceSet-r17</w:t>
      </w:r>
      <w:r w:rsidRPr="000E6B73">
        <w:t xml:space="preserve"> </w:t>
      </w:r>
      <w:r w:rsidRPr="000E6B73">
        <w:rPr>
          <w:rFonts w:eastAsia="Malgun Gothic"/>
          <w:lang w:eastAsia="zh-TW"/>
        </w:rPr>
        <w:t>in specifications”</w:t>
      </w:r>
    </w:p>
    <w:p w14:paraId="1F283235" w14:textId="2FB6428B" w:rsidR="000E6B73" w:rsidRPr="000E6B73" w:rsidRDefault="005A18DC" w:rsidP="000E6B73">
      <w:pPr>
        <w:rPr>
          <w:b/>
          <w:bCs/>
          <w:lang w:eastAsia="x-none"/>
        </w:rPr>
      </w:pPr>
      <w:hyperlink r:id="rId488" w:history="1">
        <w:r w:rsidR="00AF7253">
          <w:rPr>
            <w:rStyle w:val="Hyperlink"/>
            <w:b/>
            <w:bCs/>
            <w:lang w:eastAsia="x-none"/>
          </w:rPr>
          <w:t>R1-2312489</w:t>
        </w:r>
      </w:hyperlink>
      <w:r w:rsidR="000E6B73" w:rsidRPr="000E6B73">
        <w:rPr>
          <w:b/>
          <w:bCs/>
          <w:lang w:eastAsia="x-none"/>
        </w:rPr>
        <w:tab/>
        <w:t>Summary#2 for maintenance on UE power saving enhancements</w:t>
      </w:r>
      <w:r w:rsidR="000E6B73" w:rsidRPr="000E6B73">
        <w:rPr>
          <w:b/>
          <w:bCs/>
          <w:lang w:eastAsia="x-none"/>
        </w:rPr>
        <w:tab/>
        <w:t>Moderators (Ericsson, MediaTek, Nokia)</w:t>
      </w:r>
    </w:p>
    <w:p w14:paraId="74C9FE79" w14:textId="77777777" w:rsidR="000E6B73" w:rsidRPr="000E6B73" w:rsidRDefault="000E6B73" w:rsidP="000E6B73">
      <w:pPr>
        <w:rPr>
          <w:szCs w:val="20"/>
          <w:highlight w:val="green"/>
          <w:lang w:val="en-US"/>
        </w:rPr>
      </w:pPr>
      <w:r w:rsidRPr="000E6B73">
        <w:rPr>
          <w:szCs w:val="20"/>
          <w:highlight w:val="green"/>
          <w:lang w:val="en-US"/>
        </w:rPr>
        <w:t>Agreement</w:t>
      </w:r>
    </w:p>
    <w:p w14:paraId="043451E9" w14:textId="77777777" w:rsidR="000E6B73" w:rsidRPr="000E6B73" w:rsidRDefault="000E6B73" w:rsidP="000E6B73">
      <w:pPr>
        <w:rPr>
          <w:szCs w:val="20"/>
          <w:lang w:val="en-US"/>
        </w:rPr>
      </w:pPr>
      <w:r w:rsidRPr="000E6B73">
        <w:rPr>
          <w:szCs w:val="20"/>
          <w:lang w:val="en-US"/>
        </w:rPr>
        <w:t>Adopt the following TP to Section 10.4 of TS38.213:</w:t>
      </w:r>
      <w:r w:rsidRPr="000E6B73">
        <w:rPr>
          <w:rFonts w:eastAsia="SimSun"/>
          <w:sz w:val="18"/>
          <w:szCs w:val="18"/>
          <w:lang w:eastAsia="zh-CN"/>
        </w:rPr>
        <w:t xml:space="preserve"> </w:t>
      </w:r>
    </w:p>
    <w:tbl>
      <w:tblPr>
        <w:tblW w:w="5000" w:type="pct"/>
        <w:jc w:val="cente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0683"/>
      </w:tblGrid>
      <w:tr w:rsidR="000E6B73" w:rsidRPr="000E6B73" w14:paraId="03B7D686" w14:textId="77777777" w:rsidTr="000E6B73">
        <w:trPr>
          <w:jc w:val="center"/>
        </w:trPr>
        <w:tc>
          <w:tcPr>
            <w:tcW w:w="5000" w:type="pct"/>
            <w:shd w:val="clear" w:color="auto" w:fill="auto"/>
          </w:tcPr>
          <w:tbl>
            <w:tblPr>
              <w:tblW w:w="9640" w:type="dxa"/>
              <w:tblInd w:w="42" w:type="dxa"/>
              <w:tblCellMar>
                <w:left w:w="42" w:type="dxa"/>
                <w:right w:w="42" w:type="dxa"/>
              </w:tblCellMar>
              <w:tblLook w:val="0000" w:firstRow="0" w:lastRow="0" w:firstColumn="0" w:lastColumn="0" w:noHBand="0" w:noVBand="0"/>
            </w:tblPr>
            <w:tblGrid>
              <w:gridCol w:w="2694"/>
              <w:gridCol w:w="6946"/>
            </w:tblGrid>
            <w:tr w:rsidR="000E6B73" w:rsidRPr="000E6B73" w14:paraId="6CA49AFB" w14:textId="77777777" w:rsidTr="003E25EF">
              <w:tc>
                <w:tcPr>
                  <w:tcW w:w="2694" w:type="dxa"/>
                  <w:tcBorders>
                    <w:top w:val="single" w:sz="4" w:space="0" w:color="auto"/>
                    <w:left w:val="single" w:sz="4" w:space="0" w:color="auto"/>
                  </w:tcBorders>
                </w:tcPr>
                <w:p w14:paraId="66370520" w14:textId="77777777" w:rsidR="000E6B73" w:rsidRPr="000E6B73" w:rsidRDefault="000E6B73" w:rsidP="000E6B73">
                  <w:pPr>
                    <w:tabs>
                      <w:tab w:val="right" w:pos="2184"/>
                    </w:tabs>
                    <w:spacing w:line="259" w:lineRule="auto"/>
                    <w:rPr>
                      <w:rFonts w:ascii="Arial" w:eastAsia="SimSun" w:hAnsi="Arial" w:cs="Arial"/>
                      <w:b/>
                      <w:i/>
                      <w:noProof/>
                      <w:sz w:val="16"/>
                      <w:szCs w:val="16"/>
                      <w:lang w:eastAsia="ko-KR"/>
                    </w:rPr>
                  </w:pPr>
                  <w:r w:rsidRPr="000E6B73">
                    <w:rPr>
                      <w:rFonts w:ascii="Arial" w:eastAsia="SimSun" w:hAnsi="Arial" w:cs="Arial"/>
                      <w:b/>
                      <w:i/>
                      <w:noProof/>
                      <w:sz w:val="16"/>
                      <w:szCs w:val="16"/>
                      <w:lang w:eastAsia="ko-KR"/>
                    </w:rPr>
                    <w:t>Reason for change:</w:t>
                  </w:r>
                </w:p>
              </w:tc>
              <w:tc>
                <w:tcPr>
                  <w:tcW w:w="6946" w:type="dxa"/>
                  <w:tcBorders>
                    <w:top w:val="single" w:sz="4" w:space="0" w:color="auto"/>
                    <w:right w:val="single" w:sz="4" w:space="0" w:color="auto"/>
                  </w:tcBorders>
                  <w:shd w:val="pct30" w:color="FFFF00" w:fill="auto"/>
                </w:tcPr>
                <w:p w14:paraId="67CC8047" w14:textId="77777777" w:rsidR="000E6B73" w:rsidRPr="000E6B73" w:rsidRDefault="000E6B73" w:rsidP="000E6B73">
                  <w:pPr>
                    <w:spacing w:line="259" w:lineRule="auto"/>
                    <w:ind w:left="100"/>
                    <w:jc w:val="both"/>
                    <w:rPr>
                      <w:rFonts w:ascii="Arial" w:eastAsia="SimSun" w:hAnsi="Arial" w:cs="Arial"/>
                      <w:noProof/>
                      <w:sz w:val="16"/>
                      <w:szCs w:val="16"/>
                      <w:lang w:eastAsia="ko-KR"/>
                    </w:rPr>
                  </w:pPr>
                  <w:r w:rsidRPr="000E6B73">
                    <w:rPr>
                      <w:rFonts w:ascii="Arial" w:eastAsia="SimSun" w:hAnsi="Arial" w:cs="Arial"/>
                      <w:noProof/>
                      <w:sz w:val="16"/>
                      <w:szCs w:val="16"/>
                      <w:lang w:eastAsia="ko-KR"/>
                    </w:rPr>
                    <w:t xml:space="preserve">Based on the spesification text the UE behaviour with PDCCH skipping at the end of DRX </w:t>
                  </w:r>
                  <w:r w:rsidRPr="000E6B73">
                    <w:rPr>
                      <w:rFonts w:ascii="Arial" w:eastAsia="SimSun" w:hAnsi="Arial" w:cs="Arial"/>
                      <w:noProof/>
                      <w:sz w:val="16"/>
                      <w:szCs w:val="16"/>
                      <w:lang w:eastAsia="ko-KR"/>
                    </w:rPr>
                    <w:lastRenderedPageBreak/>
                    <w:t>active time appears to assumes that DRX group is always configured. However, RRC configuration of DRX group is not mandatory.</w:t>
                  </w:r>
                </w:p>
                <w:p w14:paraId="2B6213F6" w14:textId="77777777" w:rsidR="000E6B73" w:rsidRPr="000E6B73" w:rsidRDefault="000E6B73" w:rsidP="000E6B73">
                  <w:pPr>
                    <w:spacing w:line="259" w:lineRule="auto"/>
                    <w:ind w:left="100" w:firstLine="400"/>
                    <w:jc w:val="both"/>
                    <w:rPr>
                      <w:rFonts w:ascii="Arial" w:eastAsia="SimSun" w:hAnsi="Arial" w:cs="Arial"/>
                      <w:noProof/>
                      <w:sz w:val="16"/>
                      <w:szCs w:val="16"/>
                      <w:lang w:eastAsia="ko-KR"/>
                    </w:rPr>
                  </w:pPr>
                </w:p>
              </w:tc>
            </w:tr>
            <w:tr w:rsidR="000E6B73" w:rsidRPr="000E6B73" w14:paraId="64DE21CA" w14:textId="77777777" w:rsidTr="003E25EF">
              <w:tc>
                <w:tcPr>
                  <w:tcW w:w="2694" w:type="dxa"/>
                  <w:tcBorders>
                    <w:left w:val="single" w:sz="4" w:space="0" w:color="auto"/>
                  </w:tcBorders>
                </w:tcPr>
                <w:p w14:paraId="01DA8E7E" w14:textId="77777777" w:rsidR="000E6B73" w:rsidRPr="000E6B73" w:rsidRDefault="000E6B73" w:rsidP="000E6B73">
                  <w:pPr>
                    <w:spacing w:line="259" w:lineRule="auto"/>
                    <w:ind w:firstLine="160"/>
                    <w:rPr>
                      <w:rFonts w:ascii="Arial" w:eastAsia="SimSun" w:hAnsi="Arial" w:cs="Arial"/>
                      <w:b/>
                      <w:i/>
                      <w:noProof/>
                      <w:sz w:val="16"/>
                      <w:szCs w:val="16"/>
                      <w:lang w:eastAsia="ko-KR"/>
                    </w:rPr>
                  </w:pPr>
                </w:p>
              </w:tc>
              <w:tc>
                <w:tcPr>
                  <w:tcW w:w="6946" w:type="dxa"/>
                  <w:tcBorders>
                    <w:right w:val="single" w:sz="4" w:space="0" w:color="auto"/>
                  </w:tcBorders>
                </w:tcPr>
                <w:p w14:paraId="38991C44" w14:textId="77777777" w:rsidR="000E6B73" w:rsidRPr="000E6B73" w:rsidRDefault="000E6B73" w:rsidP="000E6B73">
                  <w:pPr>
                    <w:spacing w:line="259" w:lineRule="auto"/>
                    <w:ind w:firstLine="160"/>
                    <w:jc w:val="both"/>
                    <w:rPr>
                      <w:rFonts w:ascii="Arial" w:eastAsia="SimSun" w:hAnsi="Arial" w:cs="Arial"/>
                      <w:noProof/>
                      <w:sz w:val="16"/>
                      <w:szCs w:val="16"/>
                      <w:lang w:eastAsia="ko-KR"/>
                    </w:rPr>
                  </w:pPr>
                </w:p>
              </w:tc>
            </w:tr>
            <w:tr w:rsidR="000E6B73" w:rsidRPr="000E6B73" w14:paraId="0E901896" w14:textId="77777777" w:rsidTr="003E25EF">
              <w:tc>
                <w:tcPr>
                  <w:tcW w:w="2694" w:type="dxa"/>
                  <w:tcBorders>
                    <w:left w:val="single" w:sz="4" w:space="0" w:color="auto"/>
                  </w:tcBorders>
                </w:tcPr>
                <w:p w14:paraId="38C31EFF" w14:textId="77777777" w:rsidR="000E6B73" w:rsidRPr="000E6B73" w:rsidRDefault="000E6B73" w:rsidP="000E6B73">
                  <w:pPr>
                    <w:tabs>
                      <w:tab w:val="right" w:pos="2184"/>
                    </w:tabs>
                    <w:spacing w:line="259" w:lineRule="auto"/>
                    <w:rPr>
                      <w:rFonts w:ascii="Arial" w:eastAsia="SimSun" w:hAnsi="Arial" w:cs="Arial"/>
                      <w:b/>
                      <w:i/>
                      <w:noProof/>
                      <w:sz w:val="16"/>
                      <w:szCs w:val="16"/>
                      <w:lang w:eastAsia="ko-KR"/>
                    </w:rPr>
                  </w:pPr>
                  <w:r w:rsidRPr="000E6B73">
                    <w:rPr>
                      <w:rFonts w:ascii="Arial" w:eastAsia="SimSun" w:hAnsi="Arial" w:cs="Arial"/>
                      <w:b/>
                      <w:i/>
                      <w:noProof/>
                      <w:sz w:val="16"/>
                      <w:szCs w:val="16"/>
                      <w:lang w:eastAsia="ko-KR"/>
                    </w:rPr>
                    <w:t>Summary of change:</w:t>
                  </w:r>
                </w:p>
              </w:tc>
              <w:tc>
                <w:tcPr>
                  <w:tcW w:w="6946" w:type="dxa"/>
                  <w:tcBorders>
                    <w:right w:val="single" w:sz="4" w:space="0" w:color="auto"/>
                  </w:tcBorders>
                  <w:shd w:val="pct30" w:color="FFFF00" w:fill="auto"/>
                </w:tcPr>
                <w:p w14:paraId="3088E398" w14:textId="77777777" w:rsidR="000E6B73" w:rsidRPr="000E6B73" w:rsidRDefault="000E6B73" w:rsidP="000E6B73">
                  <w:pPr>
                    <w:spacing w:line="259" w:lineRule="auto"/>
                    <w:ind w:left="100"/>
                    <w:jc w:val="both"/>
                    <w:rPr>
                      <w:rFonts w:ascii="Arial" w:eastAsia="SimSun" w:hAnsi="Arial" w:cs="Arial"/>
                      <w:noProof/>
                      <w:sz w:val="16"/>
                      <w:szCs w:val="16"/>
                      <w:lang w:eastAsia="ko-KR"/>
                    </w:rPr>
                  </w:pPr>
                  <w:r w:rsidRPr="000E6B73">
                    <w:rPr>
                      <w:rFonts w:ascii="Arial" w:eastAsia="SimSun" w:hAnsi="Arial" w:cs="Arial"/>
                      <w:sz w:val="16"/>
                      <w:szCs w:val="16"/>
                      <w:lang w:eastAsia="ko-KR"/>
                    </w:rPr>
                    <w:t>Correct the specification by removing the dependency on RRC configuration of DRX group for the serving cell.</w:t>
                  </w:r>
                </w:p>
              </w:tc>
            </w:tr>
            <w:tr w:rsidR="000E6B73" w:rsidRPr="000E6B73" w14:paraId="513C9D50" w14:textId="77777777" w:rsidTr="003E25EF">
              <w:tc>
                <w:tcPr>
                  <w:tcW w:w="2694" w:type="dxa"/>
                  <w:tcBorders>
                    <w:left w:val="single" w:sz="4" w:space="0" w:color="auto"/>
                  </w:tcBorders>
                </w:tcPr>
                <w:p w14:paraId="490BE837" w14:textId="77777777" w:rsidR="000E6B73" w:rsidRPr="000E6B73" w:rsidRDefault="000E6B73" w:rsidP="000E6B73">
                  <w:pPr>
                    <w:spacing w:line="259" w:lineRule="auto"/>
                    <w:ind w:firstLine="160"/>
                    <w:rPr>
                      <w:rFonts w:ascii="Arial" w:eastAsia="SimSun" w:hAnsi="Arial" w:cs="Arial"/>
                      <w:b/>
                      <w:i/>
                      <w:noProof/>
                      <w:sz w:val="16"/>
                      <w:szCs w:val="16"/>
                      <w:lang w:eastAsia="ko-KR"/>
                    </w:rPr>
                  </w:pPr>
                </w:p>
              </w:tc>
              <w:tc>
                <w:tcPr>
                  <w:tcW w:w="6946" w:type="dxa"/>
                  <w:tcBorders>
                    <w:right w:val="single" w:sz="4" w:space="0" w:color="auto"/>
                  </w:tcBorders>
                </w:tcPr>
                <w:p w14:paraId="68D868E2" w14:textId="77777777" w:rsidR="000E6B73" w:rsidRPr="000E6B73" w:rsidRDefault="000E6B73" w:rsidP="000E6B73">
                  <w:pPr>
                    <w:spacing w:line="259" w:lineRule="auto"/>
                    <w:ind w:firstLine="160"/>
                    <w:jc w:val="both"/>
                    <w:rPr>
                      <w:rFonts w:ascii="Arial" w:eastAsia="SimSun" w:hAnsi="Arial" w:cs="Arial"/>
                      <w:noProof/>
                      <w:sz w:val="16"/>
                      <w:szCs w:val="16"/>
                      <w:lang w:eastAsia="ko-KR"/>
                    </w:rPr>
                  </w:pPr>
                </w:p>
              </w:tc>
            </w:tr>
            <w:tr w:rsidR="000E6B73" w:rsidRPr="000E6B73" w14:paraId="7CCDD2CA" w14:textId="77777777" w:rsidTr="003E25EF">
              <w:tc>
                <w:tcPr>
                  <w:tcW w:w="2694" w:type="dxa"/>
                  <w:tcBorders>
                    <w:left w:val="single" w:sz="4" w:space="0" w:color="auto"/>
                    <w:bottom w:val="single" w:sz="4" w:space="0" w:color="auto"/>
                  </w:tcBorders>
                </w:tcPr>
                <w:p w14:paraId="1D6BDF88" w14:textId="77777777" w:rsidR="000E6B73" w:rsidRPr="000E6B73" w:rsidRDefault="000E6B73" w:rsidP="000E6B73">
                  <w:pPr>
                    <w:tabs>
                      <w:tab w:val="right" w:pos="2184"/>
                    </w:tabs>
                    <w:spacing w:line="259" w:lineRule="auto"/>
                    <w:rPr>
                      <w:rFonts w:ascii="Arial" w:eastAsia="SimSun" w:hAnsi="Arial" w:cs="Arial"/>
                      <w:b/>
                      <w:i/>
                      <w:noProof/>
                      <w:sz w:val="16"/>
                      <w:szCs w:val="16"/>
                      <w:lang w:eastAsia="ko-KR"/>
                    </w:rPr>
                  </w:pPr>
                  <w:r w:rsidRPr="000E6B73">
                    <w:rPr>
                      <w:rFonts w:ascii="Arial" w:eastAsia="SimSun" w:hAnsi="Arial" w:cs="Arial"/>
                      <w:b/>
                      <w:i/>
                      <w:noProof/>
                      <w:sz w:val="16"/>
                      <w:szCs w:val="16"/>
                      <w:lang w:eastAsia="ko-KR"/>
                    </w:rPr>
                    <w:t>Consequences if not approved:</w:t>
                  </w:r>
                </w:p>
              </w:tc>
              <w:tc>
                <w:tcPr>
                  <w:tcW w:w="6946" w:type="dxa"/>
                  <w:tcBorders>
                    <w:bottom w:val="single" w:sz="4" w:space="0" w:color="auto"/>
                    <w:right w:val="single" w:sz="4" w:space="0" w:color="auto"/>
                  </w:tcBorders>
                  <w:shd w:val="pct30" w:color="FFFF00" w:fill="auto"/>
                </w:tcPr>
                <w:p w14:paraId="4E6B133C" w14:textId="77777777" w:rsidR="000E6B73" w:rsidRPr="000E6B73" w:rsidRDefault="000E6B73" w:rsidP="000E6B73">
                  <w:pPr>
                    <w:spacing w:line="259" w:lineRule="auto"/>
                    <w:jc w:val="both"/>
                    <w:rPr>
                      <w:rFonts w:ascii="Arial" w:eastAsia="SimSun" w:hAnsi="Arial" w:cs="Arial"/>
                      <w:noProof/>
                      <w:sz w:val="16"/>
                      <w:szCs w:val="16"/>
                      <w:lang w:eastAsia="ko-KR"/>
                    </w:rPr>
                  </w:pPr>
                  <w:r w:rsidRPr="000E6B73">
                    <w:rPr>
                      <w:rFonts w:ascii="Arial" w:eastAsia="SimSun" w:hAnsi="Arial" w:cs="Arial"/>
                      <w:noProof/>
                      <w:sz w:val="16"/>
                      <w:szCs w:val="16"/>
                      <w:lang w:eastAsia="ko-KR"/>
                    </w:rPr>
                    <w:t>Possible incorrect behaviour.</w:t>
                  </w:r>
                </w:p>
              </w:tc>
            </w:tr>
          </w:tbl>
          <w:p w14:paraId="7F1C8218" w14:textId="77777777" w:rsidR="000E6B73" w:rsidRPr="000E6B73" w:rsidRDefault="000E6B73" w:rsidP="000E6B73">
            <w:pPr>
              <w:keepNext/>
              <w:keepLines/>
              <w:outlineLvl w:val="1"/>
              <w:rPr>
                <w:rFonts w:ascii="Arial" w:eastAsia="SimSun" w:hAnsi="Arial" w:cs="Arial"/>
                <w:sz w:val="16"/>
                <w:szCs w:val="16"/>
              </w:rPr>
            </w:pPr>
          </w:p>
        </w:tc>
      </w:tr>
      <w:tr w:rsidR="000E6B73" w:rsidRPr="000E6B73" w14:paraId="2FA4EC5E" w14:textId="77777777" w:rsidTr="000E6B73">
        <w:trPr>
          <w:jc w:val="center"/>
        </w:trPr>
        <w:tc>
          <w:tcPr>
            <w:tcW w:w="5000" w:type="pct"/>
            <w:shd w:val="clear" w:color="auto" w:fill="auto"/>
          </w:tcPr>
          <w:p w14:paraId="3EAD7346" w14:textId="77777777" w:rsidR="000E6B73" w:rsidRPr="000E6B73" w:rsidRDefault="000E6B73" w:rsidP="000E6B73">
            <w:pPr>
              <w:rPr>
                <w:rFonts w:ascii="Arial" w:hAnsi="Arial" w:cs="Arial"/>
                <w:b/>
                <w:bCs/>
                <w:sz w:val="16"/>
                <w:szCs w:val="16"/>
              </w:rPr>
            </w:pPr>
            <w:r w:rsidRPr="000E6B73">
              <w:rPr>
                <w:rFonts w:ascii="Arial" w:hAnsi="Arial" w:cs="Arial"/>
                <w:b/>
                <w:bCs/>
                <w:sz w:val="16"/>
                <w:szCs w:val="16"/>
              </w:rPr>
              <w:lastRenderedPageBreak/>
              <w:t>10.4</w:t>
            </w:r>
            <w:r w:rsidRPr="000E6B73">
              <w:rPr>
                <w:rFonts w:ascii="Arial" w:hAnsi="Arial" w:cs="Arial"/>
                <w:b/>
                <w:bCs/>
                <w:sz w:val="16"/>
                <w:szCs w:val="16"/>
              </w:rPr>
              <w:tab/>
              <w:t>Search space set group switching and skipping of PDCCH monitoring</w:t>
            </w:r>
          </w:p>
          <w:p w14:paraId="1F2C1ECC" w14:textId="77777777" w:rsidR="000E6B73" w:rsidRPr="000E6B73" w:rsidRDefault="000E6B73" w:rsidP="000E6B73">
            <w:pPr>
              <w:jc w:val="center"/>
              <w:rPr>
                <w:rFonts w:ascii="Arial" w:eastAsia="SimSun" w:hAnsi="Arial" w:cs="Arial"/>
                <w:color w:val="FF0000"/>
                <w:sz w:val="16"/>
                <w:szCs w:val="16"/>
                <w:lang w:val="en-US"/>
              </w:rPr>
            </w:pPr>
            <w:r w:rsidRPr="000E6B73">
              <w:rPr>
                <w:rFonts w:ascii="Arial" w:eastAsia="SimSun" w:hAnsi="Arial" w:cs="Arial"/>
                <w:color w:val="FF0000"/>
                <w:sz w:val="16"/>
                <w:szCs w:val="16"/>
                <w:lang w:val="en-US"/>
              </w:rPr>
              <w:t>[Omitted text]</w:t>
            </w:r>
          </w:p>
          <w:p w14:paraId="7AA62DD4" w14:textId="77777777" w:rsidR="000E6B73" w:rsidRPr="000E6B73" w:rsidRDefault="000E6B73" w:rsidP="000E6B73">
            <w:pPr>
              <w:rPr>
                <w:rFonts w:ascii="Arial" w:eastAsia="SimSun" w:hAnsi="Arial" w:cs="Arial"/>
                <w:sz w:val="16"/>
                <w:szCs w:val="16"/>
                <w:lang w:val="en-US"/>
              </w:rPr>
            </w:pPr>
            <w:r w:rsidRPr="000E6B73">
              <w:rPr>
                <w:rFonts w:ascii="Arial" w:eastAsia="SimSun" w:hAnsi="Arial" w:cs="Arial"/>
                <w:sz w:val="16"/>
                <w:szCs w:val="16"/>
                <w:lang w:val="en-US"/>
              </w:rPr>
              <w:t xml:space="preserve">After the UE detects a DCI format providing the </w:t>
            </w:r>
            <w:r w:rsidRPr="000E6B73">
              <w:rPr>
                <w:rFonts w:ascii="Arial" w:eastAsia="SimSun" w:hAnsi="Arial" w:cs="Arial"/>
                <w:sz w:val="16"/>
                <w:szCs w:val="16"/>
                <w:lang w:val="en-US" w:eastAsia="zh-CN"/>
              </w:rPr>
              <w:t>PDCCH monitoring adaptation field</w:t>
            </w:r>
            <w:r w:rsidRPr="000E6B73">
              <w:rPr>
                <w:rFonts w:ascii="Arial" w:eastAsia="SimSun" w:hAnsi="Arial" w:cs="Arial"/>
                <w:sz w:val="16"/>
                <w:szCs w:val="16"/>
                <w:lang w:val="en-US"/>
              </w:rPr>
              <w:t xml:space="preserve"> </w:t>
            </w:r>
            <w:r w:rsidRPr="000E6B73">
              <w:rPr>
                <w:rFonts w:ascii="Arial" w:eastAsia="SimSun" w:hAnsi="Arial" w:cs="Arial"/>
                <w:sz w:val="16"/>
                <w:szCs w:val="16"/>
                <w:lang w:val="en-US" w:eastAsia="zh-CN"/>
              </w:rPr>
              <w:t>indicating to the</w:t>
            </w:r>
            <w:r w:rsidRPr="000E6B73">
              <w:rPr>
                <w:rFonts w:ascii="Arial" w:eastAsia="SimSun" w:hAnsi="Arial" w:cs="Arial"/>
                <w:sz w:val="16"/>
                <w:szCs w:val="16"/>
                <w:lang w:val="en-US"/>
              </w:rPr>
              <w:t xml:space="preserve"> UE to </w:t>
            </w:r>
            <w:r w:rsidRPr="000E6B73">
              <w:rPr>
                <w:rFonts w:ascii="Arial" w:eastAsia="SimSun" w:hAnsi="Arial" w:cs="Arial"/>
                <w:sz w:val="16"/>
                <w:szCs w:val="16"/>
              </w:rPr>
              <w:t>skip PDCCH monitoring for the duration on the active DL BWP of a serving cell, when a pending SR is cancelled [1</w:t>
            </w:r>
            <w:r w:rsidRPr="000E6B73">
              <w:rPr>
                <w:rFonts w:ascii="Arial" w:eastAsia="SimSun" w:hAnsi="Arial" w:cs="Arial"/>
                <w:sz w:val="16"/>
                <w:szCs w:val="16"/>
                <w:lang w:val="en-US"/>
              </w:rPr>
              <w:t>1</w:t>
            </w:r>
            <w:r w:rsidRPr="000E6B73">
              <w:rPr>
                <w:rFonts w:ascii="Arial" w:eastAsia="SimSun" w:hAnsi="Arial" w:cs="Arial"/>
                <w:sz w:val="16"/>
                <w:szCs w:val="16"/>
              </w:rPr>
              <w:t xml:space="preserve">, TS 38.321], the UE resumes PDCCH monitoring in all serving cells of the corresponding Cell Group. If UE transmits a RACH due to positive SR, the UE shall not skip PDCCH monitoring on any serving cell of the corresponding Cell Group during the time of </w:t>
            </w:r>
            <w:r w:rsidRPr="000E6B73">
              <w:rPr>
                <w:rFonts w:ascii="Arial" w:eastAsia="SimSun" w:hAnsi="Arial" w:cs="Arial"/>
                <w:i/>
                <w:iCs/>
                <w:sz w:val="16"/>
                <w:szCs w:val="16"/>
              </w:rPr>
              <w:t>ra-ResponseWindow</w:t>
            </w:r>
            <w:r w:rsidRPr="000E6B73">
              <w:rPr>
                <w:rFonts w:ascii="Arial" w:eastAsia="SimSun" w:hAnsi="Arial" w:cs="Arial"/>
                <w:sz w:val="16"/>
                <w:szCs w:val="16"/>
              </w:rPr>
              <w:t xml:space="preserve"> or </w:t>
            </w:r>
            <w:r w:rsidRPr="000E6B73">
              <w:rPr>
                <w:rFonts w:ascii="Arial" w:eastAsia="SimSun" w:hAnsi="Arial" w:cs="Arial"/>
                <w:i/>
                <w:iCs/>
                <w:sz w:val="16"/>
                <w:szCs w:val="16"/>
              </w:rPr>
              <w:t>msgB-ResponseWindow</w:t>
            </w:r>
            <w:r w:rsidRPr="000E6B73">
              <w:rPr>
                <w:rFonts w:ascii="Arial" w:eastAsia="SimSun" w:hAnsi="Arial" w:cs="Arial"/>
                <w:sz w:val="16"/>
                <w:szCs w:val="16"/>
              </w:rPr>
              <w:t xml:space="preserve"> or the duration where </w:t>
            </w:r>
            <w:r w:rsidRPr="000E6B73">
              <w:rPr>
                <w:rFonts w:ascii="Arial" w:eastAsia="SimSun" w:hAnsi="Arial" w:cs="Arial"/>
                <w:i/>
                <w:iCs/>
                <w:sz w:val="16"/>
                <w:szCs w:val="16"/>
              </w:rPr>
              <w:t>ra-ContentionResolutionTimer</w:t>
            </w:r>
            <w:r w:rsidRPr="000E6B73">
              <w:rPr>
                <w:rFonts w:ascii="Arial" w:eastAsia="SimSun" w:hAnsi="Arial" w:cs="Arial"/>
                <w:sz w:val="16"/>
                <w:szCs w:val="16"/>
              </w:rPr>
              <w:t xml:space="preserve"> is running. If </w:t>
            </w:r>
            <w:bookmarkStart w:id="93" w:name="_Hlk150960575"/>
            <w:r w:rsidRPr="000E6B73">
              <w:rPr>
                <w:rFonts w:ascii="Arial" w:eastAsia="SimSun" w:hAnsi="Arial" w:cs="Arial"/>
                <w:color w:val="FF0000"/>
                <w:sz w:val="16"/>
                <w:szCs w:val="16"/>
                <w:u w:val="single"/>
              </w:rPr>
              <w:t xml:space="preserve">DRX is configured and </w:t>
            </w:r>
            <w:bookmarkEnd w:id="93"/>
            <w:r w:rsidRPr="000E6B73">
              <w:rPr>
                <w:rFonts w:ascii="Arial" w:eastAsia="SimSun" w:hAnsi="Arial" w:cs="Arial"/>
                <w:sz w:val="16"/>
                <w:szCs w:val="16"/>
              </w:rPr>
              <w:t xml:space="preserve">the DRX group of the serving cell </w:t>
            </w:r>
            <w:r w:rsidRPr="000E6B73">
              <w:rPr>
                <w:rFonts w:ascii="Arial" w:eastAsia="SimSun" w:hAnsi="Arial" w:cs="Arial"/>
                <w:strike/>
                <w:color w:val="FF0000"/>
                <w:sz w:val="16"/>
                <w:szCs w:val="16"/>
              </w:rPr>
              <w:t>is configured and</w:t>
            </w:r>
            <w:r w:rsidRPr="000E6B73">
              <w:rPr>
                <w:rFonts w:ascii="Arial" w:eastAsia="SimSun" w:hAnsi="Arial" w:cs="Arial"/>
                <w:sz w:val="16"/>
                <w:szCs w:val="16"/>
              </w:rPr>
              <w:t xml:space="preserve"> enters outside Active Time, the UE terminates PDCCH skipping for the serving cell.</w:t>
            </w:r>
          </w:p>
          <w:p w14:paraId="54392749" w14:textId="77777777" w:rsidR="000E6B73" w:rsidRPr="000E6B73" w:rsidRDefault="000E6B73" w:rsidP="000E6B73">
            <w:pPr>
              <w:jc w:val="center"/>
              <w:rPr>
                <w:rFonts w:ascii="Arial" w:eastAsia="SimSun" w:hAnsi="Arial" w:cs="Arial"/>
                <w:color w:val="FF0000"/>
                <w:sz w:val="16"/>
                <w:szCs w:val="16"/>
                <w:lang w:val="en-US"/>
              </w:rPr>
            </w:pPr>
            <w:r w:rsidRPr="000E6B73">
              <w:rPr>
                <w:rFonts w:ascii="Arial" w:eastAsia="SimSun" w:hAnsi="Arial" w:cs="Arial"/>
                <w:color w:val="FF0000"/>
                <w:sz w:val="16"/>
                <w:szCs w:val="16"/>
                <w:lang w:val="en-US"/>
              </w:rPr>
              <w:t>[Omitted text]</w:t>
            </w:r>
          </w:p>
        </w:tc>
      </w:tr>
    </w:tbl>
    <w:p w14:paraId="5DCC30E9" w14:textId="244F4428" w:rsidR="00140A39" w:rsidRPr="00140A39" w:rsidRDefault="005A18DC" w:rsidP="00140A39">
      <w:pPr>
        <w:rPr>
          <w:b/>
          <w:bCs/>
          <w:lang w:eastAsia="x-none"/>
        </w:rPr>
      </w:pPr>
      <w:hyperlink r:id="rId489" w:history="1">
        <w:r w:rsidR="00AF7253">
          <w:rPr>
            <w:rStyle w:val="Hyperlink"/>
            <w:b/>
            <w:bCs/>
            <w:lang w:eastAsia="x-none"/>
          </w:rPr>
          <w:t>R1-2312492</w:t>
        </w:r>
      </w:hyperlink>
      <w:r w:rsidR="00140A39" w:rsidRPr="00140A39">
        <w:rPr>
          <w:b/>
          <w:bCs/>
          <w:lang w:eastAsia="x-none"/>
        </w:rPr>
        <w:tab/>
        <w:t>Correction of PDCCH monitoring adaptation behaviour for DRX groups</w:t>
      </w:r>
      <w:r w:rsidR="00140A39" w:rsidRPr="00140A39">
        <w:rPr>
          <w:b/>
          <w:bCs/>
          <w:lang w:eastAsia="x-none"/>
        </w:rPr>
        <w:tab/>
        <w:t>Nokia, Nokia Shanghai Bell, MediaTek</w:t>
      </w:r>
    </w:p>
    <w:p w14:paraId="1B1792A8" w14:textId="77777777" w:rsidR="00140A39" w:rsidRDefault="00140A39" w:rsidP="000E6B73">
      <w:pPr>
        <w:rPr>
          <w:szCs w:val="20"/>
          <w:lang w:val="en-US"/>
        </w:rPr>
      </w:pPr>
      <w:r w:rsidRPr="00140A39">
        <w:rPr>
          <w:b/>
          <w:bCs/>
          <w:szCs w:val="20"/>
        </w:rPr>
        <w:t>Decision:</w:t>
      </w:r>
      <w:r>
        <w:rPr>
          <w:szCs w:val="20"/>
        </w:rPr>
        <w:t xml:space="preserve"> The corresponding </w:t>
      </w:r>
      <w:r w:rsidR="000E6B73" w:rsidRPr="000E6B73">
        <w:rPr>
          <w:szCs w:val="20"/>
          <w:lang w:val="en-US"/>
        </w:rPr>
        <w:t xml:space="preserve">draft CR </w:t>
      </w:r>
      <w:r>
        <w:rPr>
          <w:szCs w:val="20"/>
          <w:lang w:val="en-US"/>
        </w:rPr>
        <w:t>is endorsed. Final CRs in:</w:t>
      </w:r>
    </w:p>
    <w:p w14:paraId="48DE3CB4" w14:textId="00B3AF1D" w:rsidR="00140A39" w:rsidRDefault="005A18DC" w:rsidP="00140A39">
      <w:pPr>
        <w:rPr>
          <w:b/>
          <w:bCs/>
          <w:lang w:eastAsia="x-none"/>
        </w:rPr>
      </w:pPr>
      <w:hyperlink r:id="rId490" w:history="1">
        <w:r w:rsidR="00AF7253">
          <w:rPr>
            <w:rStyle w:val="Hyperlink"/>
            <w:b/>
            <w:bCs/>
            <w:highlight w:val="green"/>
            <w:lang w:eastAsia="x-none"/>
          </w:rPr>
          <w:t>R1-2312544</w:t>
        </w:r>
      </w:hyperlink>
      <w:r w:rsidR="00140A39" w:rsidRPr="00140A39">
        <w:rPr>
          <w:b/>
          <w:bCs/>
          <w:lang w:eastAsia="x-none"/>
        </w:rPr>
        <w:tab/>
        <w:t>Correction of PDCCH monitoring adaptation behaviour for DRX groups</w:t>
      </w:r>
      <w:r w:rsidR="00140A39" w:rsidRPr="00140A39">
        <w:rPr>
          <w:b/>
          <w:bCs/>
          <w:lang w:eastAsia="x-none"/>
        </w:rPr>
        <w:tab/>
        <w:t>Nokia, Nokia Shanghai Bell, MediaTek, Ericsson</w:t>
      </w:r>
    </w:p>
    <w:p w14:paraId="17155DB4" w14:textId="7B14D8A9" w:rsidR="00140A39" w:rsidRPr="00140A39" w:rsidRDefault="00140A39" w:rsidP="00140A39">
      <w:pPr>
        <w:rPr>
          <w:lang w:eastAsia="x-none"/>
        </w:rPr>
      </w:pPr>
      <w:r w:rsidRPr="00140A39">
        <w:rPr>
          <w:lang w:eastAsia="x-none"/>
        </w:rPr>
        <w:t>(Rel-17, 38.213, CR0550, Cat F) is agreed.</w:t>
      </w:r>
    </w:p>
    <w:p w14:paraId="10CBA1A1" w14:textId="48E1EC8F" w:rsidR="00140A39" w:rsidRPr="00140A39" w:rsidRDefault="005A18DC" w:rsidP="00140A39">
      <w:pPr>
        <w:rPr>
          <w:b/>
          <w:bCs/>
          <w:lang w:eastAsia="x-none"/>
        </w:rPr>
      </w:pPr>
      <w:hyperlink r:id="rId491" w:history="1">
        <w:r w:rsidR="00AF7253">
          <w:rPr>
            <w:rStyle w:val="Hyperlink"/>
            <w:b/>
            <w:bCs/>
            <w:highlight w:val="green"/>
            <w:lang w:eastAsia="x-none"/>
          </w:rPr>
          <w:t>R1-2312545</w:t>
        </w:r>
      </w:hyperlink>
      <w:r w:rsidR="00140A39" w:rsidRPr="00140A39">
        <w:rPr>
          <w:b/>
          <w:bCs/>
          <w:lang w:eastAsia="x-none"/>
        </w:rPr>
        <w:tab/>
        <w:t>Correction of PDCCH monitoring adaptation behaviour for DRX groups</w:t>
      </w:r>
      <w:r w:rsidR="00140A39" w:rsidRPr="00140A39">
        <w:rPr>
          <w:b/>
          <w:bCs/>
          <w:lang w:eastAsia="x-none"/>
        </w:rPr>
        <w:tab/>
        <w:t>Nokia, Nokia Shanghai Bell, MediaTek, Ericsson</w:t>
      </w:r>
    </w:p>
    <w:p w14:paraId="5560138A" w14:textId="30C710B9" w:rsidR="00140A39" w:rsidRPr="00140A39" w:rsidRDefault="00140A39" w:rsidP="00140A39">
      <w:pPr>
        <w:rPr>
          <w:lang w:eastAsia="x-none"/>
        </w:rPr>
      </w:pPr>
      <w:r w:rsidRPr="00140A39">
        <w:rPr>
          <w:lang w:eastAsia="x-none"/>
        </w:rPr>
        <w:t>(Rel-1</w:t>
      </w:r>
      <w:r>
        <w:rPr>
          <w:lang w:eastAsia="x-none"/>
        </w:rPr>
        <w:t>8</w:t>
      </w:r>
      <w:r w:rsidRPr="00140A39">
        <w:rPr>
          <w:lang w:eastAsia="x-none"/>
        </w:rPr>
        <w:t>, 38.213, CR055</w:t>
      </w:r>
      <w:r>
        <w:rPr>
          <w:lang w:eastAsia="x-none"/>
        </w:rPr>
        <w:t>1</w:t>
      </w:r>
      <w:r w:rsidRPr="00140A39">
        <w:rPr>
          <w:lang w:eastAsia="x-none"/>
        </w:rPr>
        <w:t xml:space="preserve">, Cat </w:t>
      </w:r>
      <w:r>
        <w:rPr>
          <w:lang w:eastAsia="x-none"/>
        </w:rPr>
        <w:t>A</w:t>
      </w:r>
      <w:r w:rsidRPr="00140A39">
        <w:rPr>
          <w:lang w:eastAsia="x-none"/>
        </w:rPr>
        <w:t>) is agreed.</w:t>
      </w:r>
    </w:p>
    <w:p w14:paraId="32207B3B" w14:textId="77777777" w:rsidR="000E6B73" w:rsidRPr="000E6B73" w:rsidRDefault="000E6B73" w:rsidP="000E6B73">
      <w:pPr>
        <w:rPr>
          <w:lang w:eastAsia="x-none"/>
        </w:rPr>
      </w:pPr>
    </w:p>
    <w:p w14:paraId="23244E11" w14:textId="77777777" w:rsidR="000E6B73" w:rsidRPr="000E6B73" w:rsidRDefault="000E6B73" w:rsidP="000E6B73">
      <w:pPr>
        <w:rPr>
          <w:szCs w:val="20"/>
          <w:highlight w:val="green"/>
        </w:rPr>
      </w:pPr>
      <w:bookmarkStart w:id="94" w:name="_Hlk150982229"/>
      <w:r w:rsidRPr="000E6B73">
        <w:rPr>
          <w:szCs w:val="20"/>
          <w:highlight w:val="green"/>
        </w:rPr>
        <w:t>Agreement</w:t>
      </w:r>
    </w:p>
    <w:p w14:paraId="42D3AE87" w14:textId="77777777" w:rsidR="000E6B73" w:rsidRPr="000E6B73" w:rsidRDefault="000E6B73" w:rsidP="000E6B73">
      <w:pPr>
        <w:rPr>
          <w:szCs w:val="20"/>
        </w:rPr>
      </w:pPr>
      <w:r w:rsidRPr="000E6B73">
        <w:rPr>
          <w:szCs w:val="20"/>
        </w:rPr>
        <w:t xml:space="preserve">RAN1 confirms that the intended periodicity in </w:t>
      </w:r>
      <w:r w:rsidRPr="000E6B73">
        <w:rPr>
          <w:i/>
          <w:iCs/>
          <w:szCs w:val="20"/>
        </w:rPr>
        <w:t>periodicityAndOffset</w:t>
      </w:r>
      <w:r w:rsidRPr="000E6B73">
        <w:rPr>
          <w:rFonts w:eastAsia="PMingLiU"/>
          <w:i/>
          <w:iCs/>
          <w:szCs w:val="20"/>
          <w:lang w:val="en-US" w:eastAsia="zh-TW"/>
        </w:rPr>
        <w:t xml:space="preserve"> </w:t>
      </w:r>
      <w:r w:rsidRPr="000E6B73">
        <w:rPr>
          <w:rFonts w:eastAsia="PMingLiU"/>
          <w:szCs w:val="20"/>
          <w:lang w:val="en-US" w:eastAsia="zh-TW"/>
        </w:rPr>
        <w:t xml:space="preserve">under </w:t>
      </w:r>
      <w:r w:rsidRPr="000E6B73">
        <w:rPr>
          <w:rFonts w:eastAsia="PMingLiU"/>
          <w:i/>
          <w:iCs/>
          <w:szCs w:val="20"/>
          <w:lang w:val="en-US" w:eastAsia="zh-TW"/>
        </w:rPr>
        <w:t>TRS-ResourceSet-r17</w:t>
      </w:r>
      <w:r w:rsidRPr="000E6B73">
        <w:rPr>
          <w:szCs w:val="20"/>
        </w:rPr>
        <w:t xml:space="preserve"> range was 10, 20, 40 or 80ms as agreed RAN1#105-e and sends LS to RAN2 to update, if feasible, the </w:t>
      </w:r>
      <w:r w:rsidRPr="000E6B73">
        <w:rPr>
          <w:i/>
          <w:iCs/>
          <w:szCs w:val="20"/>
        </w:rPr>
        <w:t>periodicityAndOffset</w:t>
      </w:r>
      <w:r w:rsidRPr="000E6B73">
        <w:rPr>
          <w:szCs w:val="20"/>
        </w:rPr>
        <w:t xml:space="preserve"> to cover these periodicities for </w:t>
      </w:r>
      <w:r w:rsidRPr="000E6B73">
        <w:rPr>
          <w:b/>
          <w:bCs/>
          <w:color w:val="FF0000"/>
          <w:szCs w:val="20"/>
        </w:rPr>
        <w:t>Rel-18</w:t>
      </w:r>
    </w:p>
    <w:bookmarkEnd w:id="94"/>
    <w:p w14:paraId="4DDB4E67" w14:textId="77777777" w:rsidR="000E6B73" w:rsidRPr="000E6B73" w:rsidRDefault="000E6B73" w:rsidP="00140A39">
      <w:pPr>
        <w:pStyle w:val="ListParagraph"/>
        <w:numPr>
          <w:ilvl w:val="0"/>
          <w:numId w:val="257"/>
        </w:numPr>
      </w:pPr>
      <w:r w:rsidRPr="000E6B73">
        <w:t>Also add the other RAN2 related agreement on UE power saving to the LS</w:t>
      </w:r>
    </w:p>
    <w:p w14:paraId="715BABB1" w14:textId="77777777" w:rsidR="000E6B73" w:rsidRPr="000E6B73" w:rsidRDefault="000E6B73" w:rsidP="00140A39">
      <w:pPr>
        <w:pStyle w:val="ListParagraph"/>
        <w:numPr>
          <w:ilvl w:val="0"/>
          <w:numId w:val="257"/>
        </w:numPr>
      </w:pPr>
      <w:r w:rsidRPr="000E6B73">
        <w:t>Also indicate that RAN2 avoid potential NBC impact for Rel-17 UEs</w:t>
      </w:r>
    </w:p>
    <w:p w14:paraId="6C68DD8D" w14:textId="604A6D83" w:rsidR="00140A39" w:rsidRPr="00140A39" w:rsidRDefault="005A18DC" w:rsidP="00140A39">
      <w:pPr>
        <w:rPr>
          <w:b/>
          <w:bCs/>
          <w:lang w:eastAsia="x-none"/>
        </w:rPr>
      </w:pPr>
      <w:hyperlink r:id="rId492" w:history="1">
        <w:r w:rsidR="00AF7253">
          <w:rPr>
            <w:rStyle w:val="Hyperlink"/>
            <w:b/>
            <w:bCs/>
            <w:lang w:eastAsia="x-none"/>
          </w:rPr>
          <w:t>R1-2312591</w:t>
        </w:r>
      </w:hyperlink>
      <w:r w:rsidR="00140A39" w:rsidRPr="00140A39">
        <w:rPr>
          <w:b/>
          <w:bCs/>
          <w:lang w:eastAsia="x-none"/>
        </w:rPr>
        <w:tab/>
        <w:t>Draft LS on periodicity of TRS resources for idle/inactive UEs</w:t>
      </w:r>
      <w:r w:rsidR="00140A39" w:rsidRPr="00140A39">
        <w:rPr>
          <w:b/>
          <w:bCs/>
          <w:lang w:eastAsia="x-none"/>
        </w:rPr>
        <w:tab/>
        <w:t>Ericsson</w:t>
      </w:r>
    </w:p>
    <w:p w14:paraId="770B24E7" w14:textId="3181C477" w:rsidR="00140A39" w:rsidRPr="000E6B73" w:rsidRDefault="00140A39" w:rsidP="00140A39">
      <w:pPr>
        <w:rPr>
          <w:szCs w:val="20"/>
          <w:lang w:eastAsia="x-none"/>
        </w:rPr>
      </w:pPr>
      <w:r w:rsidRPr="00140A39">
        <w:rPr>
          <w:b/>
          <w:bCs/>
          <w:szCs w:val="20"/>
        </w:rPr>
        <w:t>Decision:</w:t>
      </w:r>
      <w:r>
        <w:rPr>
          <w:szCs w:val="20"/>
        </w:rPr>
        <w:t xml:space="preserve"> The</w:t>
      </w:r>
      <w:r w:rsidRPr="000E6B73">
        <w:rPr>
          <w:szCs w:val="20"/>
          <w:lang w:eastAsia="x-none"/>
        </w:rPr>
        <w:t xml:space="preserve"> </w:t>
      </w:r>
      <w:r>
        <w:rPr>
          <w:szCs w:val="20"/>
          <w:lang w:eastAsia="x-none"/>
        </w:rPr>
        <w:t xml:space="preserve">draft </w:t>
      </w:r>
      <w:r w:rsidRPr="000E6B73">
        <w:rPr>
          <w:szCs w:val="20"/>
          <w:lang w:eastAsia="x-none"/>
        </w:rPr>
        <w:t>LS on periodicity of TRS resources for idle/inactive UEs (without the first bullet) is</w:t>
      </w:r>
      <w:r>
        <w:rPr>
          <w:szCs w:val="20"/>
          <w:lang w:eastAsia="x-none"/>
        </w:rPr>
        <w:t xml:space="preserve"> endorsed. Final LS is</w:t>
      </w:r>
      <w:r w:rsidRPr="000E6B73">
        <w:rPr>
          <w:szCs w:val="20"/>
          <w:lang w:eastAsia="x-none"/>
        </w:rPr>
        <w:t xml:space="preserve"> </w:t>
      </w:r>
      <w:r>
        <w:rPr>
          <w:szCs w:val="20"/>
          <w:highlight w:val="green"/>
          <w:lang w:eastAsia="x-none"/>
        </w:rPr>
        <w:t>approved</w:t>
      </w:r>
      <w:r w:rsidRPr="000E6B73">
        <w:rPr>
          <w:szCs w:val="20"/>
          <w:highlight w:val="green"/>
          <w:lang w:eastAsia="x-none"/>
        </w:rPr>
        <w:t xml:space="preserve"> in </w:t>
      </w:r>
      <w:hyperlink r:id="rId493" w:history="1">
        <w:r w:rsidR="00AF7253">
          <w:rPr>
            <w:rStyle w:val="Hyperlink"/>
            <w:szCs w:val="20"/>
            <w:highlight w:val="green"/>
            <w:lang w:eastAsia="x-none"/>
          </w:rPr>
          <w:t>R1-2312620</w:t>
        </w:r>
      </w:hyperlink>
      <w:r w:rsidRPr="000E6B73">
        <w:rPr>
          <w:szCs w:val="20"/>
          <w:lang w:eastAsia="x-none"/>
        </w:rPr>
        <w:t>.</w:t>
      </w:r>
    </w:p>
    <w:p w14:paraId="509201E9" w14:textId="77777777" w:rsidR="00140A39" w:rsidRPr="009537ED" w:rsidRDefault="00140A39" w:rsidP="00140A39">
      <w:pPr>
        <w:rPr>
          <w:lang w:eastAsia="x-none"/>
        </w:rPr>
      </w:pPr>
    </w:p>
    <w:p w14:paraId="3137D554" w14:textId="77777777" w:rsidR="00A760F0" w:rsidRPr="009537ED" w:rsidRDefault="00A760F0" w:rsidP="00A760F0">
      <w:pPr>
        <w:rPr>
          <w:lang w:eastAsia="x-none"/>
        </w:rPr>
      </w:pPr>
      <w:r w:rsidRPr="009537ED">
        <w:rPr>
          <w:lang w:eastAsia="x-none"/>
        </w:rPr>
        <w:t>-----------------------------------------------------------------------------</w:t>
      </w:r>
    </w:p>
    <w:p w14:paraId="62CBB0BA" w14:textId="77777777" w:rsidR="00835CB1" w:rsidRPr="009537ED" w:rsidRDefault="00835CB1" w:rsidP="00835CB1">
      <w:pPr>
        <w:rPr>
          <w:b/>
          <w:lang w:eastAsia="x-none"/>
        </w:rPr>
      </w:pPr>
      <w:r w:rsidRPr="009537ED">
        <w:rPr>
          <w:b/>
          <w:lang w:eastAsia="x-none"/>
        </w:rPr>
        <w:t>Scaling of angles for CDL models in TR38.901</w:t>
      </w:r>
    </w:p>
    <w:p w14:paraId="3B47B77F" w14:textId="02188E5F" w:rsidR="00835CB1" w:rsidRPr="009537ED" w:rsidRDefault="005A18DC" w:rsidP="00835CB1">
      <w:pPr>
        <w:rPr>
          <w:lang w:eastAsia="x-none"/>
        </w:rPr>
      </w:pPr>
      <w:hyperlink r:id="rId494" w:history="1">
        <w:r w:rsidR="00AF7253">
          <w:rPr>
            <w:rStyle w:val="Hyperlink"/>
            <w:lang w:eastAsia="x-none"/>
          </w:rPr>
          <w:t>R1-2310910</w:t>
        </w:r>
      </w:hyperlink>
      <w:r w:rsidR="00835CB1" w:rsidRPr="009537ED">
        <w:rPr>
          <w:lang w:eastAsia="x-none"/>
        </w:rPr>
        <w:tab/>
        <w:t>Discussion on scaling of angles for CDL models</w:t>
      </w:r>
      <w:r w:rsidR="00835CB1" w:rsidRPr="009537ED">
        <w:rPr>
          <w:lang w:eastAsia="x-none"/>
        </w:rPr>
        <w:tab/>
        <w:t>Ericsson</w:t>
      </w:r>
    </w:p>
    <w:p w14:paraId="49575A81" w14:textId="66FE81D5" w:rsidR="00835CB1" w:rsidRPr="009537ED" w:rsidRDefault="005A18DC" w:rsidP="00835CB1">
      <w:pPr>
        <w:rPr>
          <w:lang w:eastAsia="x-none"/>
        </w:rPr>
      </w:pPr>
      <w:hyperlink r:id="rId495" w:history="1">
        <w:r w:rsidR="00AF7253">
          <w:rPr>
            <w:rStyle w:val="Hyperlink"/>
            <w:lang w:eastAsia="x-none"/>
          </w:rPr>
          <w:t>R1-2310945</w:t>
        </w:r>
      </w:hyperlink>
      <w:r w:rsidR="00835CB1" w:rsidRPr="009537ED">
        <w:rPr>
          <w:lang w:eastAsia="x-none"/>
        </w:rPr>
        <w:tab/>
        <w:t>Draft CR on scaling of angles for CDL models</w:t>
      </w:r>
      <w:r w:rsidR="00835CB1" w:rsidRPr="009537ED">
        <w:rPr>
          <w:lang w:eastAsia="x-none"/>
        </w:rPr>
        <w:tab/>
        <w:t>Ericsson</w:t>
      </w:r>
    </w:p>
    <w:p w14:paraId="3737D8C3" w14:textId="0CF17531" w:rsidR="00835CB1" w:rsidRPr="009537ED" w:rsidRDefault="005A18DC" w:rsidP="00835CB1">
      <w:pPr>
        <w:rPr>
          <w:lang w:eastAsia="x-none"/>
        </w:rPr>
      </w:pPr>
      <w:hyperlink r:id="rId496" w:history="1">
        <w:r w:rsidR="00AF7253">
          <w:rPr>
            <w:rStyle w:val="Hyperlink"/>
            <w:lang w:eastAsia="x-none"/>
          </w:rPr>
          <w:t>R1-2310946</w:t>
        </w:r>
      </w:hyperlink>
      <w:r w:rsidR="00835CB1" w:rsidRPr="009537ED">
        <w:rPr>
          <w:lang w:eastAsia="x-none"/>
        </w:rPr>
        <w:tab/>
        <w:t>Draft CR correcting reference to a figure in 38.901</w:t>
      </w:r>
      <w:r w:rsidR="00835CB1" w:rsidRPr="009537ED">
        <w:rPr>
          <w:lang w:eastAsia="x-none"/>
        </w:rPr>
        <w:tab/>
        <w:t>Ericsson</w:t>
      </w:r>
    </w:p>
    <w:p w14:paraId="748378C5" w14:textId="64B64600" w:rsidR="00835CB1" w:rsidRPr="009537ED" w:rsidRDefault="005A18DC" w:rsidP="00835CB1">
      <w:pPr>
        <w:rPr>
          <w:lang w:eastAsia="x-none"/>
        </w:rPr>
      </w:pPr>
      <w:hyperlink r:id="rId497" w:history="1">
        <w:r w:rsidR="00AF7253">
          <w:rPr>
            <w:rStyle w:val="Hyperlink"/>
            <w:lang w:eastAsia="x-none"/>
          </w:rPr>
          <w:t>R1-2311538</w:t>
        </w:r>
      </w:hyperlink>
      <w:r w:rsidR="00835CB1" w:rsidRPr="009537ED">
        <w:rPr>
          <w:lang w:eastAsia="x-none"/>
        </w:rPr>
        <w:tab/>
        <w:t>Draft Correction of angle scaling procedure for CDL channel in TR38.901</w:t>
      </w:r>
      <w:r w:rsidR="00835CB1" w:rsidRPr="009537ED">
        <w:rPr>
          <w:lang w:eastAsia="x-none"/>
        </w:rPr>
        <w:tab/>
        <w:t>Intel Corporation</w:t>
      </w:r>
    </w:p>
    <w:p w14:paraId="72BD05CA" w14:textId="6F602536" w:rsidR="00835CB1" w:rsidRPr="009537ED" w:rsidRDefault="005A18DC" w:rsidP="00835CB1">
      <w:pPr>
        <w:rPr>
          <w:lang w:eastAsia="x-none"/>
        </w:rPr>
      </w:pPr>
      <w:hyperlink r:id="rId498" w:history="1">
        <w:r w:rsidR="00AF7253">
          <w:rPr>
            <w:rStyle w:val="Hyperlink"/>
            <w:lang w:eastAsia="x-none"/>
          </w:rPr>
          <w:t>R1-2311824</w:t>
        </w:r>
      </w:hyperlink>
      <w:r w:rsidR="00835CB1" w:rsidRPr="009537ED">
        <w:rPr>
          <w:lang w:eastAsia="x-none"/>
        </w:rPr>
        <w:tab/>
        <w:t>Discussion on angle scaling for CDL channel in TR38.901</w:t>
      </w:r>
      <w:r w:rsidR="00835CB1" w:rsidRPr="009537ED">
        <w:rPr>
          <w:lang w:eastAsia="x-none"/>
        </w:rPr>
        <w:tab/>
        <w:t>Samsung</w:t>
      </w:r>
    </w:p>
    <w:p w14:paraId="589409B2" w14:textId="5447B95C" w:rsidR="00835CB1" w:rsidRPr="009537ED" w:rsidRDefault="005A18DC" w:rsidP="00835CB1">
      <w:pPr>
        <w:rPr>
          <w:lang w:eastAsia="x-none"/>
        </w:rPr>
      </w:pPr>
      <w:hyperlink r:id="rId499" w:history="1">
        <w:r w:rsidR="00AF7253">
          <w:rPr>
            <w:rStyle w:val="Hyperlink"/>
            <w:lang w:eastAsia="x-none"/>
          </w:rPr>
          <w:t>R1-2312241</w:t>
        </w:r>
      </w:hyperlink>
      <w:r w:rsidR="00835CB1" w:rsidRPr="009537ED">
        <w:rPr>
          <w:lang w:eastAsia="x-none"/>
        </w:rPr>
        <w:tab/>
        <w:t>Discussion on scaling of angles for CDL channel model in TR38.901</w:t>
      </w:r>
      <w:r w:rsidR="00835CB1" w:rsidRPr="009537ED">
        <w:rPr>
          <w:lang w:eastAsia="x-none"/>
        </w:rPr>
        <w:tab/>
        <w:t>Huawei, HiSilicon</w:t>
      </w:r>
    </w:p>
    <w:p w14:paraId="4244E07C" w14:textId="0D12B14F" w:rsidR="00835CB1" w:rsidRPr="009537ED" w:rsidRDefault="005A18DC" w:rsidP="00835CB1">
      <w:pPr>
        <w:rPr>
          <w:lang w:eastAsia="x-none"/>
        </w:rPr>
      </w:pPr>
      <w:hyperlink r:id="rId500" w:history="1">
        <w:r w:rsidR="00AF7253">
          <w:rPr>
            <w:rStyle w:val="Hyperlink"/>
            <w:lang w:eastAsia="x-none"/>
          </w:rPr>
          <w:t>R1-2311196</w:t>
        </w:r>
      </w:hyperlink>
      <w:r w:rsidR="00835CB1" w:rsidRPr="009537ED">
        <w:rPr>
          <w:lang w:eastAsia="x-none"/>
        </w:rPr>
        <w:tab/>
        <w:t>Discussion on angle scaling for CDL model</w:t>
      </w:r>
      <w:r w:rsidR="00835CB1" w:rsidRPr="009537ED">
        <w:rPr>
          <w:lang w:eastAsia="x-none"/>
        </w:rPr>
        <w:tab/>
        <w:t>ZTE</w:t>
      </w:r>
    </w:p>
    <w:p w14:paraId="6764C152" w14:textId="4BCBD48F" w:rsidR="00835CB1" w:rsidRPr="009537ED" w:rsidRDefault="005A18DC" w:rsidP="00835CB1">
      <w:pPr>
        <w:rPr>
          <w:lang w:eastAsia="x-none"/>
        </w:rPr>
      </w:pPr>
      <w:hyperlink r:id="rId501" w:history="1">
        <w:r w:rsidR="00AF7253">
          <w:rPr>
            <w:rStyle w:val="Hyperlink"/>
            <w:lang w:eastAsia="x-none"/>
          </w:rPr>
          <w:t>R1-2311537</w:t>
        </w:r>
      </w:hyperlink>
      <w:r w:rsidR="00835CB1" w:rsidRPr="009537ED">
        <w:rPr>
          <w:lang w:eastAsia="x-none"/>
        </w:rPr>
        <w:tab/>
        <w:t>Discussion on angle scaling procedure for CDL channel in TR38.901</w:t>
      </w:r>
      <w:r w:rsidR="00835CB1" w:rsidRPr="009537ED">
        <w:rPr>
          <w:lang w:eastAsia="x-none"/>
        </w:rPr>
        <w:tab/>
        <w:t>Intel Corporation</w:t>
      </w:r>
    </w:p>
    <w:p w14:paraId="1F59638C" w14:textId="19815E68" w:rsidR="00835CB1" w:rsidRPr="009537ED" w:rsidRDefault="005A18DC" w:rsidP="00835CB1">
      <w:pPr>
        <w:rPr>
          <w:lang w:eastAsia="x-none"/>
        </w:rPr>
      </w:pPr>
      <w:hyperlink r:id="rId502" w:history="1">
        <w:r w:rsidR="00AF7253">
          <w:rPr>
            <w:rStyle w:val="Hyperlink"/>
            <w:lang w:eastAsia="x-none"/>
          </w:rPr>
          <w:t>R1-2312160</w:t>
        </w:r>
      </w:hyperlink>
      <w:r w:rsidR="00835CB1" w:rsidRPr="009537ED">
        <w:rPr>
          <w:lang w:eastAsia="x-none"/>
        </w:rPr>
        <w:tab/>
        <w:t>Discussion on Issues with Scaling of Angles with TR 38.901 CDL Channel Model</w:t>
      </w:r>
      <w:r w:rsidR="00835CB1" w:rsidRPr="009537ED">
        <w:rPr>
          <w:lang w:eastAsia="x-none"/>
        </w:rPr>
        <w:tab/>
        <w:t>Nokia, Nokia Shanghai Bell</w:t>
      </w:r>
    </w:p>
    <w:p w14:paraId="434CB5E5" w14:textId="77777777" w:rsidR="00835CB1" w:rsidRPr="00066528" w:rsidRDefault="00835CB1" w:rsidP="00835CB1">
      <w:pPr>
        <w:rPr>
          <w:lang w:eastAsia="x-none"/>
        </w:rPr>
      </w:pPr>
      <w:r w:rsidRPr="00066528">
        <w:rPr>
          <w:lang w:eastAsia="x-none"/>
        </w:rPr>
        <w:t>To be moderated by Jianwei (Ericsson).</w:t>
      </w:r>
    </w:p>
    <w:p w14:paraId="63114835" w14:textId="5E81FB00" w:rsidR="003D6E20" w:rsidRDefault="005A18DC" w:rsidP="003D6E20">
      <w:pPr>
        <w:rPr>
          <w:b/>
          <w:lang w:eastAsia="x-none"/>
        </w:rPr>
      </w:pPr>
      <w:hyperlink r:id="rId503" w:history="1">
        <w:r w:rsidR="00AF7253">
          <w:rPr>
            <w:rStyle w:val="Hyperlink"/>
            <w:b/>
            <w:lang w:eastAsia="x-none"/>
          </w:rPr>
          <w:t>R1-2312310</w:t>
        </w:r>
      </w:hyperlink>
      <w:r w:rsidR="003D6E20" w:rsidRPr="00BB666C">
        <w:rPr>
          <w:b/>
          <w:lang w:eastAsia="x-none"/>
        </w:rPr>
        <w:tab/>
        <w:t>Summary #1 of discussion on scaling of angles for CDL models</w:t>
      </w:r>
      <w:r w:rsidR="003D6E20" w:rsidRPr="00BB666C">
        <w:rPr>
          <w:b/>
          <w:lang w:eastAsia="x-none"/>
        </w:rPr>
        <w:tab/>
        <w:t>Moderator (Ericsson)</w:t>
      </w:r>
    </w:p>
    <w:p w14:paraId="494494EB" w14:textId="09106BCF" w:rsidR="00BB666C" w:rsidRDefault="00BB666C" w:rsidP="003D6E20">
      <w:pPr>
        <w:rPr>
          <w:bCs/>
          <w:lang w:eastAsia="x-none"/>
        </w:rPr>
      </w:pPr>
      <w:r>
        <w:rPr>
          <w:bCs/>
          <w:lang w:eastAsia="x-none"/>
        </w:rPr>
        <w:t>From Wednesday session</w:t>
      </w:r>
    </w:p>
    <w:p w14:paraId="6E5B9A97" w14:textId="77777777" w:rsidR="00BB666C" w:rsidRPr="00BB666C" w:rsidRDefault="00BB666C" w:rsidP="00BB666C">
      <w:pPr>
        <w:rPr>
          <w:highlight w:val="green"/>
          <w:lang w:eastAsia="x-none"/>
        </w:rPr>
      </w:pPr>
      <w:r w:rsidRPr="00BB666C">
        <w:rPr>
          <w:highlight w:val="green"/>
          <w:lang w:eastAsia="x-none"/>
        </w:rPr>
        <w:t>Agreement.</w:t>
      </w:r>
    </w:p>
    <w:p w14:paraId="4B467D7A" w14:textId="6A780442" w:rsidR="00BB666C" w:rsidRDefault="00BB666C" w:rsidP="00BB666C">
      <w:pPr>
        <w:rPr>
          <w:lang w:eastAsia="x-none"/>
        </w:rPr>
      </w:pPr>
      <w:r w:rsidRPr="00BB666C">
        <w:rPr>
          <w:lang w:eastAsia="x-none"/>
        </w:rPr>
        <w:t>The following TP is agreed for TR38.901</w:t>
      </w:r>
      <w:r>
        <w:rPr>
          <w:lang w:eastAsia="x-none"/>
        </w:rPr>
        <w:t>.</w:t>
      </w:r>
    </w:p>
    <w:p w14:paraId="2DD1B490" w14:textId="34813EB8" w:rsidR="00BB666C" w:rsidRDefault="00BB666C" w:rsidP="00BB666C">
      <w:pPr>
        <w:snapToGrid w:val="0"/>
        <w:jc w:val="both"/>
        <w:rPr>
          <w:color w:val="FF0000"/>
          <w:szCs w:val="20"/>
        </w:rPr>
      </w:pPr>
      <w:r w:rsidRPr="006E356F">
        <w:rPr>
          <w:color w:val="FF0000"/>
          <w:szCs w:val="20"/>
        </w:rPr>
        <w:t xml:space="preserve">---- </w:t>
      </w:r>
      <w:r>
        <w:rPr>
          <w:color w:val="FF0000"/>
          <w:szCs w:val="20"/>
        </w:rPr>
        <w:t>start</w:t>
      </w:r>
      <w:r w:rsidRPr="006E356F">
        <w:rPr>
          <w:color w:val="FF0000"/>
          <w:szCs w:val="20"/>
        </w:rPr>
        <w:t xml:space="preserve"> TP ----</w:t>
      </w:r>
    </w:p>
    <w:p w14:paraId="6A489D71" w14:textId="77777777" w:rsidR="00BB666C" w:rsidRPr="00BB666C" w:rsidRDefault="00BB666C" w:rsidP="00BB666C">
      <w:pPr>
        <w:rPr>
          <w:rFonts w:ascii="Arial" w:hAnsi="Arial" w:cs="Arial"/>
          <w:b/>
          <w:bCs/>
          <w:sz w:val="16"/>
          <w:szCs w:val="16"/>
          <w:lang w:eastAsia="x-none"/>
        </w:rPr>
      </w:pPr>
      <w:r w:rsidRPr="00BB666C">
        <w:rPr>
          <w:rFonts w:ascii="Arial" w:hAnsi="Arial" w:cs="Arial"/>
          <w:b/>
          <w:bCs/>
          <w:sz w:val="16"/>
          <w:szCs w:val="16"/>
          <w:lang w:eastAsia="x-none"/>
        </w:rPr>
        <w:t>7.5</w:t>
      </w:r>
      <w:r w:rsidRPr="00BB666C">
        <w:rPr>
          <w:rFonts w:ascii="Arial" w:hAnsi="Arial" w:cs="Arial"/>
          <w:b/>
          <w:bCs/>
          <w:sz w:val="16"/>
          <w:szCs w:val="16"/>
          <w:lang w:eastAsia="x-none"/>
        </w:rPr>
        <w:tab/>
        <w:t>Fast fading model</w:t>
      </w:r>
    </w:p>
    <w:p w14:paraId="133B0264" w14:textId="77777777" w:rsidR="00BB666C" w:rsidRPr="00BB666C" w:rsidRDefault="00BB666C" w:rsidP="00BB666C">
      <w:pPr>
        <w:jc w:val="center"/>
        <w:rPr>
          <w:rFonts w:ascii="Arial" w:hAnsi="Arial" w:cs="Arial"/>
          <w:color w:val="FF0000"/>
          <w:sz w:val="16"/>
          <w:szCs w:val="16"/>
        </w:rPr>
      </w:pPr>
      <w:r w:rsidRPr="00BB666C">
        <w:rPr>
          <w:rFonts w:ascii="Arial" w:hAnsi="Arial" w:cs="Arial"/>
          <w:color w:val="FF0000"/>
          <w:sz w:val="16"/>
          <w:szCs w:val="16"/>
          <w:lang w:eastAsia="zh-CN"/>
        </w:rPr>
        <w:t xml:space="preserve">&lt; </w:t>
      </w:r>
      <w:r w:rsidRPr="00BB666C">
        <w:rPr>
          <w:rFonts w:ascii="Arial" w:hAnsi="Arial" w:cs="Arial"/>
          <w:color w:val="FF0000"/>
          <w:sz w:val="16"/>
          <w:szCs w:val="16"/>
        </w:rPr>
        <w:t>Unchanged parts are omitted</w:t>
      </w:r>
      <w:r w:rsidRPr="00BB666C">
        <w:rPr>
          <w:rFonts w:ascii="Arial" w:hAnsi="Arial" w:cs="Arial"/>
          <w:color w:val="FF0000"/>
          <w:sz w:val="16"/>
          <w:szCs w:val="16"/>
          <w:lang w:eastAsia="zh-CN"/>
        </w:rPr>
        <w:t xml:space="preserve"> &gt;</w:t>
      </w:r>
    </w:p>
    <w:p w14:paraId="59D76CF3" w14:textId="77777777" w:rsidR="00BB666C" w:rsidRPr="00BB666C" w:rsidRDefault="00BB666C" w:rsidP="00BB666C">
      <w:pPr>
        <w:rPr>
          <w:rFonts w:ascii="Arial" w:hAnsi="Arial" w:cs="Arial"/>
          <w:sz w:val="16"/>
          <w:szCs w:val="16"/>
        </w:rPr>
      </w:pPr>
      <w:r w:rsidRPr="00BB666C">
        <w:rPr>
          <w:rFonts w:ascii="Arial" w:hAnsi="Arial" w:cs="Arial"/>
          <w:sz w:val="16"/>
          <w:szCs w:val="16"/>
          <w:u w:val="single"/>
        </w:rPr>
        <w:t>Step 1</w:t>
      </w:r>
      <w:r w:rsidRPr="00BB666C">
        <w:rPr>
          <w:rFonts w:ascii="Arial" w:hAnsi="Arial" w:cs="Arial"/>
          <w:sz w:val="16"/>
          <w:szCs w:val="16"/>
        </w:rPr>
        <w:t>: Set environment, network layout, and antenna array parameters</w:t>
      </w:r>
    </w:p>
    <w:p w14:paraId="387B9014" w14:textId="71308771" w:rsidR="00BB666C" w:rsidRPr="00BB666C" w:rsidRDefault="00BB666C" w:rsidP="00BB666C">
      <w:pPr>
        <w:pStyle w:val="B1"/>
        <w:spacing w:after="0"/>
        <w:rPr>
          <w:rFonts w:ascii="Arial" w:hAnsi="Arial"/>
          <w:sz w:val="16"/>
        </w:rPr>
      </w:pPr>
      <w:r w:rsidRPr="00BB666C">
        <w:rPr>
          <w:rFonts w:ascii="Arial" w:hAnsi="Arial"/>
          <w:sz w:val="16"/>
        </w:rPr>
        <w:t>a)</w:t>
      </w:r>
      <w:r w:rsidRPr="00BB666C">
        <w:rPr>
          <w:rFonts w:ascii="Arial" w:hAnsi="Arial"/>
          <w:sz w:val="16"/>
        </w:rPr>
        <w:tab/>
        <w:t>Choose one of the scenarios (e.g. UMa, UMi-Street Canyon</w:t>
      </w:r>
      <w:r w:rsidRPr="00BB666C">
        <w:rPr>
          <w:rFonts w:ascii="Arial" w:hAnsi="Arial"/>
          <w:sz w:val="16"/>
          <w:lang w:eastAsia="ko-KR"/>
        </w:rPr>
        <w:t>, RMa</w:t>
      </w:r>
      <w:r w:rsidRPr="00BB666C">
        <w:rPr>
          <w:rFonts w:ascii="Arial" w:hAnsi="Arial"/>
          <w:sz w:val="16"/>
        </w:rPr>
        <w:t xml:space="preserve">, InH-Office or InF). Choose a global coordinate system and define zenith angle </w:t>
      </w:r>
      <w:r w:rsidRPr="00BB666C">
        <w:rPr>
          <w:rFonts w:ascii="Arial" w:hAnsi="Arial"/>
          <w:i/>
          <w:sz w:val="16"/>
        </w:rPr>
        <w:t>θ</w:t>
      </w:r>
      <w:r w:rsidRPr="00BB666C">
        <w:rPr>
          <w:rFonts w:ascii="Arial" w:hAnsi="Arial"/>
          <w:sz w:val="16"/>
        </w:rPr>
        <w:t xml:space="preserve">, azimuth angle </w:t>
      </w:r>
      <w:r w:rsidRPr="00BB666C">
        <w:rPr>
          <w:rFonts w:ascii="Arial" w:hAnsi="Arial"/>
          <w:i/>
          <w:sz w:val="16"/>
        </w:rPr>
        <w:t>ϕ</w:t>
      </w:r>
      <w:r w:rsidRPr="00BB666C">
        <w:rPr>
          <w:rFonts w:ascii="Arial" w:hAnsi="Arial"/>
          <w:sz w:val="16"/>
        </w:rPr>
        <w:t xml:space="preserve">, and spherical basis vectors </w:t>
      </w:r>
      <w:r w:rsidRPr="00BB666C">
        <w:rPr>
          <w:rFonts w:ascii="Arial" w:hAnsi="Arial"/>
          <w:position w:val="-6"/>
          <w:sz w:val="16"/>
          <w:lang w:eastAsia="zh-CN"/>
        </w:rPr>
        <w:object w:dxaOrig="184" w:dyaOrig="286" w14:anchorId="1681071F">
          <v:shape id="_x0000_i1053" type="#_x0000_t75" style="width:9pt;height:14.25pt" o:ole="" fillcolor="#bbe0e3">
            <v:imagedata r:id="rId504" o:title=""/>
          </v:shape>
          <o:OLEObject Type="Embed" ProgID="Equation.3" ShapeID="_x0000_i1053" DrawAspect="Content" ObjectID="_1769863813" r:id="rId505"/>
        </w:object>
      </w:r>
      <w:r w:rsidRPr="00BB666C">
        <w:rPr>
          <w:rFonts w:ascii="Arial" w:hAnsi="Arial"/>
          <w:sz w:val="16"/>
        </w:rPr>
        <w:t xml:space="preserve">, </w:t>
      </w:r>
      <w:r w:rsidRPr="00BB666C">
        <w:rPr>
          <w:rFonts w:ascii="Arial" w:hAnsi="Arial"/>
          <w:position w:val="-10"/>
          <w:sz w:val="16"/>
          <w:lang w:eastAsia="zh-CN"/>
        </w:rPr>
        <w:object w:dxaOrig="177" w:dyaOrig="340" w14:anchorId="6EFADC51">
          <v:shape id="_x0000_i1054" type="#_x0000_t75" style="width:9pt;height:16.5pt" o:ole="" fillcolor="#bbe0e3">
            <v:imagedata r:id="rId506" o:title=""/>
          </v:shape>
          <o:OLEObject Type="Embed" ProgID="Equation.3" ShapeID="_x0000_i1054" DrawAspect="Content" ObjectID="_1769863814" r:id="rId507"/>
        </w:object>
      </w:r>
      <w:r w:rsidRPr="00BB666C">
        <w:rPr>
          <w:rFonts w:ascii="Arial" w:hAnsi="Arial"/>
          <w:sz w:val="16"/>
        </w:rPr>
        <w:t xml:space="preserve"> as shown in </w:t>
      </w:r>
      <w:del w:id="95" w:author="Author">
        <w:r w:rsidRPr="00BB666C">
          <w:rPr>
            <w:rFonts w:ascii="Arial" w:hAnsi="Arial"/>
            <w:sz w:val="16"/>
          </w:rPr>
          <w:delText>Figure 7.3-2</w:delText>
        </w:r>
      </w:del>
      <w:ins w:id="96" w:author="Author">
        <w:r w:rsidRPr="00BB666C">
          <w:rPr>
            <w:rFonts w:ascii="Arial" w:hAnsi="Arial"/>
            <w:sz w:val="16"/>
          </w:rPr>
          <w:t>Figure 7.5-2</w:t>
        </w:r>
      </w:ins>
      <w:r w:rsidRPr="00BB666C">
        <w:rPr>
          <w:rFonts w:ascii="Arial" w:hAnsi="Arial"/>
          <w:sz w:val="16"/>
        </w:rPr>
        <w:t>. Note: Scenario RMa is for up to 7GHz while others are for up to 100GHz</w:t>
      </w:r>
    </w:p>
    <w:p w14:paraId="77531505" w14:textId="53E8DF42" w:rsidR="00BB666C" w:rsidRPr="00BB666C" w:rsidRDefault="00BB666C" w:rsidP="00BB666C">
      <w:pPr>
        <w:pStyle w:val="B1"/>
        <w:spacing w:after="0"/>
        <w:rPr>
          <w:rFonts w:ascii="Arial" w:hAnsi="Arial"/>
          <w:sz w:val="16"/>
        </w:rPr>
      </w:pPr>
      <w:r w:rsidRPr="00BB666C">
        <w:rPr>
          <w:rFonts w:ascii="Arial" w:hAnsi="Arial"/>
          <w:sz w:val="16"/>
        </w:rPr>
        <w:t>b)</w:t>
      </w:r>
      <w:r w:rsidRPr="00BB666C">
        <w:rPr>
          <w:rFonts w:ascii="Arial" w:hAnsi="Arial"/>
          <w:sz w:val="16"/>
        </w:rPr>
        <w:tab/>
        <w:t>Give number of BS and UT</w:t>
      </w:r>
    </w:p>
    <w:p w14:paraId="495A6524" w14:textId="3E8BB384" w:rsidR="00BB666C" w:rsidRPr="00BB666C" w:rsidRDefault="00BB666C" w:rsidP="00BB666C">
      <w:pPr>
        <w:pStyle w:val="B1"/>
        <w:spacing w:after="0"/>
        <w:rPr>
          <w:rFonts w:ascii="Arial" w:hAnsi="Arial"/>
          <w:sz w:val="16"/>
        </w:rPr>
      </w:pPr>
      <w:r w:rsidRPr="00BB666C">
        <w:rPr>
          <w:rFonts w:ascii="Arial" w:hAnsi="Arial"/>
          <w:sz w:val="16"/>
        </w:rPr>
        <w:t>c)</w:t>
      </w:r>
      <w:r w:rsidRPr="00BB666C">
        <w:rPr>
          <w:rFonts w:ascii="Arial" w:hAnsi="Arial"/>
          <w:sz w:val="16"/>
        </w:rPr>
        <w:tab/>
        <w:t>Give 3D locations of BS and UT, and determine LOS AOD (</w:t>
      </w:r>
      <w:r w:rsidRPr="00BB666C">
        <w:rPr>
          <w:rFonts w:ascii="Arial" w:hAnsi="Arial"/>
          <w:i/>
          <w:sz w:val="16"/>
        </w:rPr>
        <w:t>ϕ</w:t>
      </w:r>
      <w:r w:rsidRPr="00BB666C">
        <w:rPr>
          <w:rFonts w:ascii="Arial" w:hAnsi="Arial"/>
          <w:i/>
          <w:sz w:val="16"/>
          <w:vertAlign w:val="subscript"/>
        </w:rPr>
        <w:t>LOS,AOD</w:t>
      </w:r>
      <w:r w:rsidRPr="00BB666C">
        <w:rPr>
          <w:rFonts w:ascii="Arial" w:hAnsi="Arial"/>
          <w:sz w:val="16"/>
        </w:rPr>
        <w:t>), LOS ZOD (</w:t>
      </w:r>
      <w:r w:rsidRPr="00BB666C">
        <w:rPr>
          <w:rFonts w:ascii="Arial" w:hAnsi="Arial"/>
          <w:i/>
          <w:sz w:val="16"/>
        </w:rPr>
        <w:t>θ</w:t>
      </w:r>
      <w:r w:rsidRPr="00BB666C">
        <w:rPr>
          <w:rFonts w:ascii="Arial" w:hAnsi="Arial"/>
          <w:i/>
          <w:sz w:val="16"/>
          <w:vertAlign w:val="subscript"/>
        </w:rPr>
        <w:t>LOS,ZOD</w:t>
      </w:r>
      <w:r w:rsidRPr="00BB666C">
        <w:rPr>
          <w:rFonts w:ascii="Arial" w:hAnsi="Arial"/>
          <w:sz w:val="16"/>
        </w:rPr>
        <w:t>), LOS AOA (</w:t>
      </w:r>
      <w:r w:rsidRPr="00BB666C">
        <w:rPr>
          <w:rFonts w:ascii="Arial" w:hAnsi="Arial"/>
          <w:i/>
          <w:sz w:val="16"/>
        </w:rPr>
        <w:t>ϕ</w:t>
      </w:r>
      <w:r w:rsidRPr="00BB666C">
        <w:rPr>
          <w:rFonts w:ascii="Arial" w:hAnsi="Arial"/>
          <w:i/>
          <w:sz w:val="16"/>
          <w:vertAlign w:val="subscript"/>
        </w:rPr>
        <w:t>LOS,AOA</w:t>
      </w:r>
      <w:r w:rsidRPr="00BB666C">
        <w:rPr>
          <w:rFonts w:ascii="Arial" w:hAnsi="Arial"/>
          <w:sz w:val="16"/>
        </w:rPr>
        <w:t>), and LOS ZOA (</w:t>
      </w:r>
      <w:r w:rsidRPr="00BB666C">
        <w:rPr>
          <w:rFonts w:ascii="Arial" w:hAnsi="Arial"/>
          <w:i/>
          <w:sz w:val="16"/>
        </w:rPr>
        <w:t>θ</w:t>
      </w:r>
      <w:r w:rsidRPr="00BB666C">
        <w:rPr>
          <w:rFonts w:ascii="Arial" w:hAnsi="Arial"/>
          <w:i/>
          <w:sz w:val="16"/>
          <w:vertAlign w:val="subscript"/>
        </w:rPr>
        <w:t>LOS,ZOA</w:t>
      </w:r>
      <w:r w:rsidRPr="00BB666C">
        <w:rPr>
          <w:rFonts w:ascii="Arial" w:hAnsi="Arial"/>
          <w:sz w:val="16"/>
        </w:rPr>
        <w:t>) of each BS and UT in the global coordinate system</w:t>
      </w:r>
    </w:p>
    <w:p w14:paraId="2BE6E787" w14:textId="79F2B629" w:rsidR="00BB666C" w:rsidRPr="00BB666C" w:rsidRDefault="00BB666C" w:rsidP="00BB666C">
      <w:pPr>
        <w:pStyle w:val="B1"/>
        <w:spacing w:after="0"/>
        <w:rPr>
          <w:rFonts w:ascii="Arial" w:hAnsi="Arial"/>
          <w:sz w:val="16"/>
        </w:rPr>
      </w:pPr>
      <w:r w:rsidRPr="00BB666C">
        <w:rPr>
          <w:rFonts w:ascii="Arial" w:hAnsi="Arial"/>
          <w:sz w:val="16"/>
        </w:rPr>
        <w:lastRenderedPageBreak/>
        <w:t>d)</w:t>
      </w:r>
      <w:r w:rsidRPr="00BB666C">
        <w:rPr>
          <w:rFonts w:ascii="Arial" w:hAnsi="Arial"/>
          <w:sz w:val="16"/>
        </w:rPr>
        <w:tab/>
        <w:t xml:space="preserve">Give BS and UT antenna field patterns </w:t>
      </w:r>
      <w:r w:rsidRPr="00BB666C">
        <w:rPr>
          <w:rFonts w:ascii="Arial" w:hAnsi="Arial"/>
          <w:i/>
          <w:sz w:val="16"/>
        </w:rPr>
        <w:t>F</w:t>
      </w:r>
      <w:r w:rsidRPr="00BB666C">
        <w:rPr>
          <w:rFonts w:ascii="Arial" w:hAnsi="Arial"/>
          <w:i/>
          <w:sz w:val="16"/>
          <w:vertAlign w:val="subscript"/>
        </w:rPr>
        <w:t>rx</w:t>
      </w:r>
      <w:r w:rsidRPr="00BB666C">
        <w:rPr>
          <w:rFonts w:ascii="Arial" w:hAnsi="Arial"/>
          <w:sz w:val="16"/>
        </w:rPr>
        <w:t xml:space="preserve"> and </w:t>
      </w:r>
      <w:r w:rsidRPr="00BB666C">
        <w:rPr>
          <w:rFonts w:ascii="Arial" w:hAnsi="Arial"/>
          <w:i/>
          <w:sz w:val="16"/>
        </w:rPr>
        <w:t>F</w:t>
      </w:r>
      <w:r w:rsidRPr="00BB666C">
        <w:rPr>
          <w:rFonts w:ascii="Arial" w:hAnsi="Arial"/>
          <w:i/>
          <w:sz w:val="16"/>
          <w:vertAlign w:val="subscript"/>
        </w:rPr>
        <w:t>tx</w:t>
      </w:r>
      <w:r w:rsidRPr="00BB666C">
        <w:rPr>
          <w:rFonts w:ascii="Arial" w:hAnsi="Arial"/>
          <w:sz w:val="16"/>
        </w:rPr>
        <w:t xml:space="preserve"> in the global coordinate system and array geometries</w:t>
      </w:r>
    </w:p>
    <w:p w14:paraId="544CEA87" w14:textId="6B600737" w:rsidR="00BB666C" w:rsidRPr="00BB666C" w:rsidRDefault="00BB666C" w:rsidP="00BB666C">
      <w:pPr>
        <w:pStyle w:val="B1"/>
        <w:spacing w:after="0"/>
        <w:rPr>
          <w:rFonts w:ascii="Arial" w:hAnsi="Arial"/>
          <w:sz w:val="16"/>
        </w:rPr>
      </w:pPr>
      <w:r w:rsidRPr="00BB666C">
        <w:rPr>
          <w:rFonts w:ascii="Arial" w:hAnsi="Arial"/>
          <w:sz w:val="16"/>
        </w:rPr>
        <w:t>e)</w:t>
      </w:r>
      <w:r w:rsidRPr="00BB666C">
        <w:rPr>
          <w:rFonts w:ascii="Arial" w:hAnsi="Arial"/>
          <w:sz w:val="16"/>
        </w:rPr>
        <w:tab/>
        <w:t>Give BS and UT array orientations with respect to the global coordinate system. BS array orientation is defined by three angles Ω</w:t>
      </w:r>
      <w:r w:rsidRPr="00BB666C">
        <w:rPr>
          <w:rFonts w:ascii="Arial" w:hAnsi="Arial"/>
          <w:i/>
          <w:sz w:val="16"/>
          <w:vertAlign w:val="subscript"/>
        </w:rPr>
        <w:t>BS,α</w:t>
      </w:r>
      <w:r w:rsidRPr="00BB666C">
        <w:rPr>
          <w:rFonts w:ascii="Arial" w:hAnsi="Arial"/>
          <w:sz w:val="16"/>
        </w:rPr>
        <w:t xml:space="preserve"> (BS bearing angle), Ω</w:t>
      </w:r>
      <w:r w:rsidRPr="00BB666C">
        <w:rPr>
          <w:rFonts w:ascii="Arial" w:hAnsi="Arial"/>
          <w:i/>
          <w:sz w:val="16"/>
          <w:vertAlign w:val="subscript"/>
        </w:rPr>
        <w:t>BS,β</w:t>
      </w:r>
      <w:r w:rsidRPr="00BB666C">
        <w:rPr>
          <w:rFonts w:ascii="Arial" w:hAnsi="Arial"/>
          <w:sz w:val="16"/>
        </w:rPr>
        <w:t xml:space="preserve"> (BS downtilt angle) and Ω</w:t>
      </w:r>
      <w:r w:rsidRPr="00BB666C">
        <w:rPr>
          <w:rFonts w:ascii="Arial" w:hAnsi="Arial"/>
          <w:i/>
          <w:sz w:val="16"/>
          <w:vertAlign w:val="subscript"/>
        </w:rPr>
        <w:t>BS,γ</w:t>
      </w:r>
      <w:r w:rsidRPr="00BB666C">
        <w:rPr>
          <w:rFonts w:ascii="Arial" w:hAnsi="Arial"/>
          <w:sz w:val="16"/>
        </w:rPr>
        <w:t xml:space="preserve"> (BS slant angle). UT array orientation is defined by three angles Ω</w:t>
      </w:r>
      <w:r w:rsidRPr="00BB666C">
        <w:rPr>
          <w:rFonts w:ascii="Arial" w:hAnsi="Arial"/>
          <w:i/>
          <w:sz w:val="16"/>
          <w:vertAlign w:val="subscript"/>
        </w:rPr>
        <w:t>UT,α</w:t>
      </w:r>
      <w:r w:rsidRPr="00BB666C">
        <w:rPr>
          <w:rFonts w:ascii="Arial" w:hAnsi="Arial"/>
          <w:sz w:val="16"/>
        </w:rPr>
        <w:t xml:space="preserve"> (UT bearing angle), Ω</w:t>
      </w:r>
      <w:r w:rsidRPr="00BB666C">
        <w:rPr>
          <w:rFonts w:ascii="Arial" w:hAnsi="Arial"/>
          <w:i/>
          <w:sz w:val="16"/>
          <w:vertAlign w:val="subscript"/>
        </w:rPr>
        <w:t>UT,β</w:t>
      </w:r>
      <w:r w:rsidRPr="00BB666C">
        <w:rPr>
          <w:rFonts w:ascii="Arial" w:hAnsi="Arial"/>
          <w:sz w:val="16"/>
        </w:rPr>
        <w:t xml:space="preserve"> (UT downtilt angle) and Ω</w:t>
      </w:r>
      <w:r w:rsidRPr="00BB666C">
        <w:rPr>
          <w:rFonts w:ascii="Arial" w:hAnsi="Arial"/>
          <w:i/>
          <w:sz w:val="16"/>
          <w:vertAlign w:val="subscript"/>
        </w:rPr>
        <w:t>UT,γ</w:t>
      </w:r>
      <w:r w:rsidRPr="00BB666C">
        <w:rPr>
          <w:rFonts w:ascii="Arial" w:hAnsi="Arial"/>
          <w:sz w:val="16"/>
        </w:rPr>
        <w:t xml:space="preserve"> (UT slant angle).</w:t>
      </w:r>
    </w:p>
    <w:p w14:paraId="25CE17A2" w14:textId="4114C43C" w:rsidR="00BB666C" w:rsidRPr="00BB666C" w:rsidRDefault="00BB666C" w:rsidP="00BB666C">
      <w:pPr>
        <w:pStyle w:val="B1"/>
        <w:spacing w:after="0"/>
        <w:rPr>
          <w:rFonts w:ascii="Arial" w:hAnsi="Arial"/>
          <w:sz w:val="16"/>
        </w:rPr>
      </w:pPr>
      <w:r w:rsidRPr="00BB666C">
        <w:rPr>
          <w:rFonts w:ascii="Arial" w:hAnsi="Arial"/>
          <w:sz w:val="16"/>
        </w:rPr>
        <w:t>f)</w:t>
      </w:r>
      <w:r w:rsidRPr="00BB666C">
        <w:rPr>
          <w:rFonts w:ascii="Arial" w:hAnsi="Arial"/>
          <w:sz w:val="16"/>
        </w:rPr>
        <w:tab/>
        <w:t>Give speed and direction of motion of UT in the global coordinate system</w:t>
      </w:r>
    </w:p>
    <w:p w14:paraId="6E6D6C7A" w14:textId="546C22CA" w:rsidR="00BB666C" w:rsidRPr="00BB666C" w:rsidRDefault="00BB666C" w:rsidP="00BB666C">
      <w:pPr>
        <w:pStyle w:val="B1"/>
        <w:spacing w:after="0"/>
        <w:rPr>
          <w:rFonts w:ascii="Arial" w:hAnsi="Arial"/>
          <w:sz w:val="16"/>
        </w:rPr>
      </w:pPr>
      <w:r w:rsidRPr="00BB666C">
        <w:rPr>
          <w:rFonts w:ascii="Arial" w:hAnsi="Arial"/>
          <w:sz w:val="16"/>
        </w:rPr>
        <w:t>g)</w:t>
      </w:r>
      <w:r w:rsidRPr="00BB666C">
        <w:rPr>
          <w:rFonts w:ascii="Arial" w:hAnsi="Arial"/>
          <w:sz w:val="16"/>
        </w:rPr>
        <w:tab/>
        <w:t xml:space="preserve">Specify system centre frequency </w:t>
      </w:r>
      <w:r w:rsidRPr="00BB666C">
        <w:rPr>
          <w:rFonts w:ascii="Arial" w:hAnsi="Arial"/>
          <w:position w:val="-12"/>
          <w:sz w:val="16"/>
          <w:lang w:eastAsia="zh-CN"/>
        </w:rPr>
        <w:object w:dxaOrig="286" w:dyaOrig="378" w14:anchorId="28E30823">
          <v:shape id="_x0000_i1055" type="#_x0000_t75" style="width:14.25pt;height:18.75pt" o:ole="">
            <v:imagedata r:id="rId508" o:title=""/>
          </v:shape>
          <o:OLEObject Type="Embed" ProgID="Equation.3" ShapeID="_x0000_i1055" DrawAspect="Content" ObjectID="_1769863815" r:id="rId509"/>
        </w:object>
      </w:r>
      <w:r w:rsidRPr="00BB666C">
        <w:rPr>
          <w:rFonts w:ascii="Arial" w:hAnsi="Arial"/>
          <w:sz w:val="16"/>
        </w:rPr>
        <w:t xml:space="preserve"> and bandwidth </w:t>
      </w:r>
      <w:r w:rsidRPr="00BB666C">
        <w:rPr>
          <w:rFonts w:ascii="Arial" w:hAnsi="Arial"/>
          <w:position w:val="-4"/>
          <w:sz w:val="16"/>
          <w:lang w:eastAsia="zh-CN"/>
        </w:rPr>
        <w:object w:dxaOrig="225" w:dyaOrig="286" w14:anchorId="28BBF22B">
          <v:shape id="_x0000_i1056" type="#_x0000_t75" style="width:11.25pt;height:14.25pt" o:ole="">
            <v:imagedata r:id="rId510" o:title=""/>
          </v:shape>
          <o:OLEObject Type="Embed" ProgID="Equation.3" ShapeID="_x0000_i1056" DrawAspect="Content" ObjectID="_1769863816" r:id="rId511"/>
        </w:object>
      </w:r>
    </w:p>
    <w:p w14:paraId="76E78139" w14:textId="77777777" w:rsidR="00BB666C" w:rsidRPr="00BB666C" w:rsidRDefault="00BB666C" w:rsidP="00BB666C">
      <w:pPr>
        <w:rPr>
          <w:rFonts w:ascii="Arial" w:hAnsi="Arial" w:cs="Arial"/>
          <w:sz w:val="16"/>
          <w:szCs w:val="16"/>
        </w:rPr>
      </w:pPr>
      <w:r w:rsidRPr="00BB666C">
        <w:rPr>
          <w:rFonts w:ascii="Arial" w:hAnsi="Arial" w:cs="Arial"/>
          <w:sz w:val="16"/>
          <w:szCs w:val="16"/>
        </w:rPr>
        <w:t>Note:</w:t>
      </w:r>
      <w:r w:rsidRPr="00BB666C">
        <w:rPr>
          <w:rFonts w:ascii="Arial" w:hAnsi="Arial" w:cs="Arial"/>
          <w:sz w:val="16"/>
          <w:szCs w:val="16"/>
        </w:rPr>
        <w:tab/>
        <w:t>In case wrapping is used, each wrapping copy of a BS or site should be treated as a separate BS/site considering channel generation.</w:t>
      </w:r>
    </w:p>
    <w:p w14:paraId="67D9030E" w14:textId="77777777" w:rsidR="00BB666C" w:rsidRPr="00BB666C" w:rsidRDefault="00BB666C" w:rsidP="00BB666C">
      <w:pPr>
        <w:jc w:val="center"/>
        <w:rPr>
          <w:rFonts w:ascii="Arial" w:hAnsi="Arial" w:cs="Arial"/>
          <w:color w:val="FF0000"/>
          <w:sz w:val="16"/>
          <w:szCs w:val="16"/>
        </w:rPr>
      </w:pPr>
      <w:r w:rsidRPr="00BB666C">
        <w:rPr>
          <w:rFonts w:ascii="Arial" w:hAnsi="Arial" w:cs="Arial"/>
          <w:color w:val="FF0000"/>
          <w:sz w:val="16"/>
          <w:szCs w:val="16"/>
          <w:lang w:eastAsia="zh-CN"/>
        </w:rPr>
        <w:t xml:space="preserve">&lt; </w:t>
      </w:r>
      <w:r w:rsidRPr="00BB666C">
        <w:rPr>
          <w:rFonts w:ascii="Arial" w:hAnsi="Arial" w:cs="Arial"/>
          <w:color w:val="FF0000"/>
          <w:sz w:val="16"/>
          <w:szCs w:val="16"/>
        </w:rPr>
        <w:t>Unchanged parts are omitted</w:t>
      </w:r>
      <w:r w:rsidRPr="00BB666C">
        <w:rPr>
          <w:rFonts w:ascii="Arial" w:hAnsi="Arial" w:cs="Arial"/>
          <w:color w:val="FF0000"/>
          <w:sz w:val="16"/>
          <w:szCs w:val="16"/>
          <w:lang w:eastAsia="zh-CN"/>
        </w:rPr>
        <w:t xml:space="preserve"> &gt;</w:t>
      </w:r>
    </w:p>
    <w:p w14:paraId="6108D034" w14:textId="77777777" w:rsidR="00BB666C" w:rsidRDefault="00BB666C" w:rsidP="00BB666C">
      <w:pPr>
        <w:snapToGrid w:val="0"/>
        <w:jc w:val="both"/>
        <w:rPr>
          <w:color w:val="FF0000"/>
          <w:szCs w:val="20"/>
        </w:rPr>
      </w:pPr>
      <w:r w:rsidRPr="006E356F">
        <w:rPr>
          <w:color w:val="FF0000"/>
          <w:szCs w:val="20"/>
        </w:rPr>
        <w:t xml:space="preserve">---- </w:t>
      </w:r>
      <w:r>
        <w:rPr>
          <w:color w:val="FF0000"/>
          <w:szCs w:val="20"/>
        </w:rPr>
        <w:t>end</w:t>
      </w:r>
      <w:r w:rsidRPr="006E356F">
        <w:rPr>
          <w:color w:val="FF0000"/>
          <w:szCs w:val="20"/>
        </w:rPr>
        <w:t xml:space="preserve"> TP ----</w:t>
      </w:r>
    </w:p>
    <w:p w14:paraId="63DA9756" w14:textId="77777777" w:rsidR="00BB666C" w:rsidRDefault="00BB666C" w:rsidP="00BB666C">
      <w:pPr>
        <w:rPr>
          <w:lang w:eastAsia="x-none"/>
        </w:rPr>
      </w:pPr>
    </w:p>
    <w:p w14:paraId="4CC03217" w14:textId="4B9A4146" w:rsidR="00BB666C" w:rsidRDefault="00BB666C" w:rsidP="00BB666C">
      <w:pPr>
        <w:rPr>
          <w:bCs/>
          <w:lang w:eastAsia="x-none"/>
        </w:rPr>
      </w:pPr>
      <w:r>
        <w:rPr>
          <w:bCs/>
          <w:lang w:eastAsia="x-none"/>
        </w:rPr>
        <w:t>From Thursday session</w:t>
      </w:r>
    </w:p>
    <w:p w14:paraId="0B571FF5" w14:textId="53ECA917" w:rsidR="00BB666C" w:rsidRPr="00BB666C" w:rsidRDefault="00BB666C" w:rsidP="00BB666C">
      <w:pPr>
        <w:rPr>
          <w:lang w:eastAsia="x-none"/>
        </w:rPr>
      </w:pPr>
      <w:r w:rsidRPr="00BB666C">
        <w:rPr>
          <w:lang w:eastAsia="x-none"/>
        </w:rPr>
        <w:t>The following TP is agreed for TR38.901:</w:t>
      </w:r>
    </w:p>
    <w:p w14:paraId="29954A36" w14:textId="77777777" w:rsidR="00BB666C" w:rsidRDefault="00BB666C" w:rsidP="00BB666C">
      <w:pPr>
        <w:snapToGrid w:val="0"/>
        <w:jc w:val="both"/>
        <w:rPr>
          <w:color w:val="FF0000"/>
          <w:szCs w:val="20"/>
        </w:rPr>
      </w:pPr>
      <w:r w:rsidRPr="006E356F">
        <w:rPr>
          <w:color w:val="FF0000"/>
          <w:szCs w:val="20"/>
        </w:rPr>
        <w:t xml:space="preserve">---- </w:t>
      </w:r>
      <w:r>
        <w:rPr>
          <w:color w:val="FF0000"/>
          <w:szCs w:val="20"/>
        </w:rPr>
        <w:t>start</w:t>
      </w:r>
      <w:r w:rsidRPr="006E356F">
        <w:rPr>
          <w:color w:val="FF0000"/>
          <w:szCs w:val="20"/>
        </w:rPr>
        <w:t xml:space="preserve"> TP ----</w:t>
      </w:r>
    </w:p>
    <w:p w14:paraId="2D2FECD0" w14:textId="77777777" w:rsidR="00BB666C" w:rsidRPr="00BB666C" w:rsidRDefault="00BB666C" w:rsidP="00BB666C">
      <w:pPr>
        <w:rPr>
          <w:rFonts w:ascii="Arial" w:hAnsi="Arial" w:cs="Arial"/>
          <w:b/>
          <w:bCs/>
          <w:sz w:val="16"/>
          <w:szCs w:val="16"/>
          <w:lang w:eastAsia="x-none"/>
        </w:rPr>
      </w:pPr>
      <w:r w:rsidRPr="00BB666C">
        <w:rPr>
          <w:rFonts w:ascii="Arial" w:hAnsi="Arial" w:cs="Arial"/>
          <w:b/>
          <w:bCs/>
          <w:sz w:val="16"/>
          <w:szCs w:val="16"/>
          <w:lang w:eastAsia="x-none"/>
        </w:rPr>
        <w:t>7.7.5.1</w:t>
      </w:r>
      <w:r w:rsidRPr="00BB666C">
        <w:rPr>
          <w:rFonts w:ascii="Arial" w:hAnsi="Arial" w:cs="Arial"/>
          <w:b/>
          <w:bCs/>
          <w:sz w:val="16"/>
          <w:szCs w:val="16"/>
          <w:lang w:eastAsia="x-none"/>
        </w:rPr>
        <w:tab/>
        <w:t>CDL extension: Scaling of angles</w:t>
      </w:r>
    </w:p>
    <w:p w14:paraId="229CB0D8" w14:textId="77777777" w:rsidR="00BB666C" w:rsidRPr="00BB666C" w:rsidRDefault="00BB666C" w:rsidP="00BB666C">
      <w:pPr>
        <w:autoSpaceDE w:val="0"/>
        <w:autoSpaceDN w:val="0"/>
        <w:adjustRightInd w:val="0"/>
        <w:snapToGrid w:val="0"/>
        <w:jc w:val="both"/>
        <w:rPr>
          <w:rFonts w:ascii="Arial" w:hAnsi="Arial" w:cs="Arial"/>
          <w:sz w:val="16"/>
          <w:szCs w:val="16"/>
        </w:rPr>
      </w:pPr>
      <w:r w:rsidRPr="00BB666C">
        <w:rPr>
          <w:rFonts w:ascii="Arial" w:hAnsi="Arial" w:cs="Arial"/>
          <w:sz w:val="16"/>
          <w:szCs w:val="16"/>
        </w:rPr>
        <w:t>The angle values of CDL models are fixed, which is not very suitable for MIMO simulations for several reasons;</w:t>
      </w:r>
      <w:r w:rsidRPr="00BB666C">
        <w:rPr>
          <w:rFonts w:ascii="Arial" w:hAnsi="Arial" w:cs="Arial"/>
          <w:sz w:val="16"/>
          <w:szCs w:val="16"/>
          <w:lang w:eastAsia="ko-KR"/>
        </w:rPr>
        <w:t xml:space="preserve"> </w:t>
      </w:r>
      <w:r w:rsidRPr="00BB666C">
        <w:rPr>
          <w:rFonts w:ascii="Arial" w:hAnsi="Arial" w:cs="Arial"/>
          <w:sz w:val="16"/>
          <w:szCs w:val="16"/>
        </w:rPr>
        <w:t>The PMI statistics can become biased, and</w:t>
      </w:r>
      <w:r w:rsidRPr="00BB666C">
        <w:rPr>
          <w:rFonts w:ascii="Arial" w:hAnsi="Arial" w:cs="Arial"/>
          <w:sz w:val="16"/>
          <w:szCs w:val="16"/>
          <w:lang w:eastAsia="ko-KR"/>
        </w:rPr>
        <w:t xml:space="preserve"> </w:t>
      </w:r>
      <w:r w:rsidRPr="00BB666C">
        <w:rPr>
          <w:rFonts w:ascii="Arial" w:hAnsi="Arial" w:cs="Arial"/>
          <w:sz w:val="16"/>
          <w:szCs w:val="16"/>
        </w:rPr>
        <w:t xml:space="preserve">a fixed precoder may perform better than open-loop and on par with closed-loop or reciprocity </w:t>
      </w:r>
      <w:r w:rsidRPr="00BB666C">
        <w:rPr>
          <w:rFonts w:ascii="Arial" w:hAnsi="Arial" w:cs="Arial"/>
          <w:sz w:val="16"/>
          <w:szCs w:val="16"/>
          <w:lang w:eastAsia="ko-KR"/>
        </w:rPr>
        <w:t>beamforming</w:t>
      </w:r>
      <w:r w:rsidRPr="00BB666C">
        <w:rPr>
          <w:rFonts w:ascii="Arial" w:hAnsi="Arial" w:cs="Arial"/>
          <w:sz w:val="16"/>
          <w:szCs w:val="16"/>
        </w:rPr>
        <w:t>. Furthermore,</w:t>
      </w:r>
      <w:r w:rsidRPr="00BB666C">
        <w:rPr>
          <w:rFonts w:ascii="Arial" w:hAnsi="Arial" w:cs="Arial"/>
          <w:sz w:val="16"/>
          <w:szCs w:val="16"/>
          <w:lang w:eastAsia="ko-KR"/>
        </w:rPr>
        <w:t xml:space="preserve"> </w:t>
      </w:r>
      <w:r w:rsidRPr="00BB666C">
        <w:rPr>
          <w:rFonts w:ascii="Arial" w:hAnsi="Arial" w:cs="Arial"/>
          <w:sz w:val="16"/>
          <w:szCs w:val="16"/>
        </w:rPr>
        <w:t>a CDL only represents a single channel realization. The predefined angle values in the CDL models can be generalized by</w:t>
      </w:r>
      <w:r w:rsidRPr="00BB666C">
        <w:rPr>
          <w:rFonts w:ascii="Arial" w:hAnsi="Arial" w:cs="Arial"/>
          <w:sz w:val="16"/>
          <w:szCs w:val="16"/>
          <w:lang w:eastAsia="ko-KR"/>
        </w:rPr>
        <w:t xml:space="preserve"> introducing angular translation and scaling. By translation, mean angle can be changed to </w:t>
      </w:r>
      <w:r w:rsidRPr="00BB666C">
        <w:rPr>
          <w:rFonts w:ascii="Arial" w:hAnsi="Arial" w:cs="Arial"/>
          <w:position w:val="-12"/>
          <w:sz w:val="16"/>
          <w:szCs w:val="16"/>
        </w:rPr>
        <w:object w:dxaOrig="720" w:dyaOrig="290" w14:anchorId="4D463216">
          <v:shape id="_x0000_i1057" type="#_x0000_t75" style="width:36pt;height:14.25pt" o:ole="">
            <v:imagedata r:id="rId512" o:title=""/>
          </v:shape>
          <o:OLEObject Type="Embed" ProgID="Equation.3" ShapeID="_x0000_i1057" DrawAspect="Content" ObjectID="_1769863817" r:id="rId513"/>
        </w:object>
      </w:r>
      <w:r w:rsidRPr="00BB666C">
        <w:rPr>
          <w:rFonts w:ascii="Arial" w:hAnsi="Arial" w:cs="Arial"/>
          <w:sz w:val="16"/>
          <w:szCs w:val="16"/>
          <w:lang w:eastAsia="ko-KR"/>
        </w:rPr>
        <w:t xml:space="preserve"> and angular spread can be changed by scaling. </w:t>
      </w:r>
      <w:r w:rsidRPr="00BB666C">
        <w:rPr>
          <w:rFonts w:ascii="Arial" w:hAnsi="Arial" w:cs="Arial"/>
          <w:sz w:val="16"/>
          <w:szCs w:val="16"/>
        </w:rPr>
        <w:t>The translated and scaled ray angles can be obtained according to the following equation:</w:t>
      </w:r>
    </w:p>
    <w:p w14:paraId="70391AAB" w14:textId="77777777" w:rsidR="00BB666C" w:rsidRPr="00BB666C" w:rsidRDefault="00BB666C" w:rsidP="00BB666C">
      <w:pPr>
        <w:keepLines/>
        <w:tabs>
          <w:tab w:val="center" w:pos="4820"/>
          <w:tab w:val="right" w:pos="9072"/>
        </w:tabs>
        <w:rPr>
          <w:rFonts w:ascii="Arial" w:eastAsia="Times New Roman" w:hAnsi="Arial" w:cs="Arial"/>
          <w:noProof/>
          <w:sz w:val="16"/>
          <w:szCs w:val="16"/>
          <w:lang w:eastAsia="ko-KR"/>
        </w:rPr>
      </w:pPr>
      <w:r w:rsidRPr="00BB666C">
        <w:rPr>
          <w:rFonts w:ascii="Arial" w:eastAsia="Times New Roman" w:hAnsi="Arial" w:cs="Arial"/>
          <w:noProof/>
          <w:sz w:val="16"/>
          <w:szCs w:val="16"/>
          <w:lang w:eastAsia="ko-KR"/>
        </w:rPr>
        <w:tab/>
      </w:r>
      <w:r w:rsidRPr="00BB666C">
        <w:rPr>
          <w:rFonts w:ascii="Arial" w:eastAsia="Times New Roman" w:hAnsi="Arial" w:cs="Arial"/>
          <w:noProof/>
          <w:position w:val="-30"/>
          <w:sz w:val="16"/>
          <w:szCs w:val="16"/>
          <w:lang w:eastAsia="ko-KR"/>
        </w:rPr>
        <w:object w:dxaOrig="4180" w:dyaOrig="720" w14:anchorId="18FC675D">
          <v:shape id="_x0000_i1058" type="#_x0000_t75" style="width:209.25pt;height:36pt" o:ole="">
            <v:imagedata r:id="rId514" o:title=""/>
          </v:shape>
          <o:OLEObject Type="Embed" ProgID="Equation.3" ShapeID="_x0000_i1058" DrawAspect="Content" ObjectID="_1769863818" r:id="rId515"/>
        </w:object>
      </w:r>
      <w:r w:rsidRPr="00BB666C">
        <w:rPr>
          <w:rFonts w:ascii="Arial" w:eastAsia="Times New Roman" w:hAnsi="Arial" w:cs="Arial"/>
          <w:noProof/>
          <w:sz w:val="16"/>
          <w:szCs w:val="16"/>
          <w:lang w:eastAsia="ko-KR"/>
        </w:rPr>
        <w:tab/>
        <w:t>(7.7-5)</w:t>
      </w:r>
    </w:p>
    <w:p w14:paraId="59C107E8" w14:textId="77777777" w:rsidR="00BB666C" w:rsidRPr="00BB666C" w:rsidRDefault="00BB666C" w:rsidP="00BB666C">
      <w:pPr>
        <w:autoSpaceDE w:val="0"/>
        <w:autoSpaceDN w:val="0"/>
        <w:adjustRightInd w:val="0"/>
        <w:snapToGrid w:val="0"/>
        <w:jc w:val="both"/>
        <w:rPr>
          <w:rFonts w:ascii="Arial" w:hAnsi="Arial" w:cs="Arial"/>
          <w:sz w:val="16"/>
          <w:szCs w:val="16"/>
          <w:lang w:eastAsia="ko-KR"/>
        </w:rPr>
      </w:pPr>
      <w:r w:rsidRPr="00BB666C">
        <w:rPr>
          <w:rFonts w:ascii="Arial" w:hAnsi="Arial" w:cs="Arial"/>
          <w:sz w:val="16"/>
          <w:szCs w:val="16"/>
          <w:lang w:eastAsia="ko-KR"/>
        </w:rPr>
        <w:t>in which:</w:t>
      </w:r>
    </w:p>
    <w:p w14:paraId="5D593DCD" w14:textId="77777777" w:rsidR="00BB666C" w:rsidRPr="00BB666C" w:rsidRDefault="00BB666C" w:rsidP="00AA4527">
      <w:pPr>
        <w:ind w:left="568"/>
        <w:rPr>
          <w:rFonts w:ascii="Arial" w:eastAsia="MS Mincho" w:hAnsi="Arial" w:cs="Arial"/>
          <w:sz w:val="16"/>
          <w:szCs w:val="16"/>
          <w:lang w:eastAsia="ko-KR"/>
        </w:rPr>
      </w:pPr>
      <w:r w:rsidRPr="00BB666C">
        <w:rPr>
          <w:rFonts w:ascii="Arial" w:eastAsia="MS Mincho" w:hAnsi="Arial" w:cs="Arial"/>
          <w:position w:val="-14"/>
          <w:sz w:val="16"/>
          <w:szCs w:val="16"/>
          <w:lang w:eastAsia="zh-CN"/>
        </w:rPr>
        <w:object w:dxaOrig="590" w:dyaOrig="440" w14:anchorId="26160772">
          <v:shape id="_x0000_i1059" type="#_x0000_t75" style="width:29.25pt;height:21.75pt" o:ole="">
            <v:imagedata r:id="rId516" o:title=""/>
          </v:shape>
          <o:OLEObject Type="Embed" ProgID="Equation.3" ShapeID="_x0000_i1059" DrawAspect="Content" ObjectID="_1769863819" r:id="rId517"/>
        </w:object>
      </w:r>
      <w:r w:rsidRPr="00BB666C">
        <w:rPr>
          <w:rFonts w:ascii="Arial" w:eastAsia="MS Mincho" w:hAnsi="Arial" w:cs="Arial"/>
          <w:sz w:val="16"/>
          <w:szCs w:val="16"/>
          <w:lang w:eastAsia="ko-KR"/>
        </w:rPr>
        <w:fldChar w:fldCharType="begin"/>
      </w:r>
      <w:r w:rsidRPr="00BB666C">
        <w:rPr>
          <w:rFonts w:ascii="Arial" w:eastAsia="MS Mincho" w:hAnsi="Arial" w:cs="Arial"/>
          <w:sz w:val="16"/>
          <w:szCs w:val="16"/>
          <w:lang w:eastAsia="ko-KR"/>
        </w:rPr>
        <w:instrText xml:space="preserve"> QUOTE </w:instrText>
      </w:r>
      <w:r w:rsidR="00A6784C">
        <w:rPr>
          <w:rFonts w:ascii="Arial" w:eastAsia="MS Mincho" w:hAnsi="Arial" w:cs="Arial"/>
          <w:sz w:val="16"/>
          <w:szCs w:val="16"/>
          <w:lang w:eastAsia="ko-KR"/>
        </w:rPr>
        <w:pict w14:anchorId="36285DC8">
          <v:shape id="_x0000_i1060" type="#_x0000_t75" style="width:21.75pt;height:14.25pt" equationxml="&lt;">
            <v:imagedata r:id="rId518" o:title="" chromakey="white"/>
          </v:shape>
        </w:pict>
      </w:r>
      <w:r w:rsidRPr="00BB666C">
        <w:rPr>
          <w:rFonts w:ascii="Arial" w:eastAsia="MS Mincho" w:hAnsi="Arial" w:cs="Arial"/>
          <w:sz w:val="16"/>
          <w:szCs w:val="16"/>
          <w:lang w:eastAsia="ko-KR"/>
        </w:rPr>
        <w:instrText xml:space="preserve"> </w:instrText>
      </w:r>
      <w:r w:rsidRPr="00BB666C">
        <w:rPr>
          <w:rFonts w:ascii="Arial" w:eastAsia="MS Mincho" w:hAnsi="Arial" w:cs="Arial"/>
          <w:sz w:val="16"/>
          <w:szCs w:val="16"/>
          <w:lang w:eastAsia="ko-KR"/>
        </w:rPr>
        <w:fldChar w:fldCharType="end"/>
      </w:r>
      <w:r w:rsidRPr="00BB666C">
        <w:rPr>
          <w:rFonts w:ascii="Arial" w:eastAsia="MS Mincho" w:hAnsi="Arial" w:cs="Arial"/>
          <w:sz w:val="16"/>
          <w:szCs w:val="16"/>
          <w:lang w:eastAsia="ko-KR"/>
        </w:rPr>
        <w:tab/>
        <w:t xml:space="preserve">is the tabulated CDL </w:t>
      </w:r>
      <w:r w:rsidRPr="00BB666C">
        <w:rPr>
          <w:rFonts w:ascii="Arial" w:eastAsia="MS Mincho" w:hAnsi="Arial" w:cs="Arial"/>
          <w:sz w:val="16"/>
          <w:szCs w:val="16"/>
        </w:rPr>
        <w:t xml:space="preserve">ray </w:t>
      </w:r>
      <w:r w:rsidRPr="00BB666C">
        <w:rPr>
          <w:rFonts w:ascii="Arial" w:eastAsia="MS Mincho" w:hAnsi="Arial" w:cs="Arial"/>
          <w:sz w:val="16"/>
          <w:szCs w:val="16"/>
          <w:lang w:eastAsia="ko-KR"/>
        </w:rPr>
        <w:t>angle</w:t>
      </w:r>
    </w:p>
    <w:p w14:paraId="43A4B83D" w14:textId="77777777" w:rsidR="00BB666C" w:rsidRPr="00BB666C" w:rsidRDefault="00BB666C" w:rsidP="00AA4527">
      <w:pPr>
        <w:ind w:left="568"/>
        <w:rPr>
          <w:rFonts w:ascii="Arial" w:eastAsia="MS Mincho" w:hAnsi="Arial" w:cs="Arial"/>
          <w:sz w:val="16"/>
          <w:szCs w:val="16"/>
          <w:lang w:eastAsia="ko-KR"/>
        </w:rPr>
      </w:pPr>
      <w:r w:rsidRPr="00BB666C">
        <w:rPr>
          <w:rFonts w:ascii="Arial" w:eastAsia="MS Mincho" w:hAnsi="Arial" w:cs="Arial"/>
          <w:position w:val="-12"/>
          <w:sz w:val="16"/>
          <w:szCs w:val="16"/>
          <w:lang w:eastAsia="zh-CN"/>
        </w:rPr>
        <w:object w:dxaOrig="720" w:dyaOrig="430" w14:anchorId="45A2926E">
          <v:shape id="_x0000_i1061" type="#_x0000_t75" style="width:36pt;height:21.75pt" o:ole="">
            <v:imagedata r:id="rId519" o:title=""/>
          </v:shape>
          <o:OLEObject Type="Embed" ProgID="Equation.3" ShapeID="_x0000_i1061" DrawAspect="Content" ObjectID="_1769863820" r:id="rId520"/>
        </w:object>
      </w:r>
      <w:r w:rsidRPr="00BB666C">
        <w:rPr>
          <w:rFonts w:ascii="Arial" w:eastAsia="MS Mincho" w:hAnsi="Arial" w:cs="Arial"/>
          <w:sz w:val="16"/>
          <w:szCs w:val="16"/>
          <w:lang w:eastAsia="ko-KR"/>
        </w:rPr>
        <w:fldChar w:fldCharType="begin"/>
      </w:r>
      <w:r w:rsidRPr="00BB666C">
        <w:rPr>
          <w:rFonts w:ascii="Arial" w:eastAsia="MS Mincho" w:hAnsi="Arial" w:cs="Arial"/>
          <w:sz w:val="16"/>
          <w:szCs w:val="16"/>
          <w:lang w:eastAsia="ko-KR"/>
        </w:rPr>
        <w:instrText xml:space="preserve"> QUOTE </w:instrText>
      </w:r>
      <w:r w:rsidR="00A6784C">
        <w:rPr>
          <w:rFonts w:ascii="Arial" w:eastAsia="MS Mincho" w:hAnsi="Arial" w:cs="Arial"/>
          <w:sz w:val="16"/>
          <w:szCs w:val="16"/>
          <w:lang w:eastAsia="ko-KR"/>
        </w:rPr>
        <w:pict w14:anchorId="08D85876">
          <v:shape id="_x0000_i1062" type="#_x0000_t75" style="width:21.75pt;height:14.25pt" equationxml="&lt;">
            <v:imagedata r:id="rId521" o:title="" chromakey="white"/>
          </v:shape>
        </w:pict>
      </w:r>
      <w:r w:rsidRPr="00BB666C">
        <w:rPr>
          <w:rFonts w:ascii="Arial" w:eastAsia="MS Mincho" w:hAnsi="Arial" w:cs="Arial"/>
          <w:sz w:val="16"/>
          <w:szCs w:val="16"/>
          <w:lang w:eastAsia="ko-KR"/>
        </w:rPr>
        <w:instrText xml:space="preserve"> </w:instrText>
      </w:r>
      <w:r w:rsidRPr="00BB666C">
        <w:rPr>
          <w:rFonts w:ascii="Arial" w:eastAsia="MS Mincho" w:hAnsi="Arial" w:cs="Arial"/>
          <w:sz w:val="16"/>
          <w:szCs w:val="16"/>
          <w:lang w:eastAsia="ko-KR"/>
        </w:rPr>
        <w:fldChar w:fldCharType="end"/>
      </w:r>
      <w:r w:rsidRPr="00BB666C">
        <w:rPr>
          <w:rFonts w:ascii="Arial" w:eastAsia="MS Mincho" w:hAnsi="Arial" w:cs="Arial"/>
          <w:sz w:val="16"/>
          <w:szCs w:val="16"/>
          <w:lang w:eastAsia="ko-KR"/>
        </w:rPr>
        <w:tab/>
        <w:t>is the rms angular spread of the tabulated CDL including the offset ray angles, calculated using the angular spread definition in Annex A</w:t>
      </w:r>
    </w:p>
    <w:p w14:paraId="213CE30A" w14:textId="77777777" w:rsidR="00BB666C" w:rsidRPr="00BB666C" w:rsidRDefault="00BB666C" w:rsidP="00AA4527">
      <w:pPr>
        <w:ind w:left="568"/>
        <w:rPr>
          <w:rFonts w:ascii="Arial" w:eastAsia="MS Mincho" w:hAnsi="Arial" w:cs="Arial"/>
          <w:sz w:val="16"/>
          <w:szCs w:val="16"/>
          <w:lang w:eastAsia="ko-KR"/>
        </w:rPr>
      </w:pPr>
      <w:r w:rsidRPr="00BB666C">
        <w:rPr>
          <w:rFonts w:ascii="Arial" w:eastAsia="MS Mincho" w:hAnsi="Arial" w:cs="Arial"/>
          <w:position w:val="-14"/>
          <w:sz w:val="16"/>
          <w:szCs w:val="16"/>
          <w:lang w:eastAsia="zh-CN"/>
        </w:rPr>
        <w:object w:dxaOrig="720" w:dyaOrig="440" w14:anchorId="6EC659D1">
          <v:shape id="_x0000_i1063" type="#_x0000_t75" style="width:36pt;height:21.75pt" o:ole="">
            <v:imagedata r:id="rId522" o:title=""/>
          </v:shape>
          <o:OLEObject Type="Embed" ProgID="Equation.3" ShapeID="_x0000_i1063" DrawAspect="Content" ObjectID="_1769863821" r:id="rId523"/>
        </w:object>
      </w:r>
      <w:r w:rsidRPr="00BB666C">
        <w:rPr>
          <w:rFonts w:ascii="Arial" w:eastAsia="MS Mincho" w:hAnsi="Arial" w:cs="Arial"/>
          <w:sz w:val="16"/>
          <w:szCs w:val="16"/>
          <w:lang w:eastAsia="ko-KR"/>
        </w:rPr>
        <w:fldChar w:fldCharType="begin"/>
      </w:r>
      <w:r w:rsidRPr="00BB666C">
        <w:rPr>
          <w:rFonts w:ascii="Arial" w:eastAsia="MS Mincho" w:hAnsi="Arial" w:cs="Arial"/>
          <w:sz w:val="16"/>
          <w:szCs w:val="16"/>
          <w:lang w:eastAsia="ko-KR"/>
        </w:rPr>
        <w:instrText xml:space="preserve"> QUOTE </w:instrText>
      </w:r>
      <w:r w:rsidR="00A6784C">
        <w:rPr>
          <w:rFonts w:ascii="Arial" w:eastAsia="MS Mincho" w:hAnsi="Arial" w:cs="Arial"/>
          <w:sz w:val="16"/>
          <w:szCs w:val="16"/>
          <w:lang w:eastAsia="ko-KR"/>
        </w:rPr>
        <w:pict w14:anchorId="4A70948C">
          <v:shape id="_x0000_i1064" type="#_x0000_t75" style="width:21.75pt;height:14.25pt" equationxml="&lt;">
            <v:imagedata r:id="rId524" o:title="" chromakey="white"/>
          </v:shape>
        </w:pict>
      </w:r>
      <w:r w:rsidRPr="00BB666C">
        <w:rPr>
          <w:rFonts w:ascii="Arial" w:eastAsia="MS Mincho" w:hAnsi="Arial" w:cs="Arial"/>
          <w:sz w:val="16"/>
          <w:szCs w:val="16"/>
          <w:lang w:eastAsia="ko-KR"/>
        </w:rPr>
        <w:instrText xml:space="preserve"> </w:instrText>
      </w:r>
      <w:r w:rsidRPr="00BB666C">
        <w:rPr>
          <w:rFonts w:ascii="Arial" w:eastAsia="MS Mincho" w:hAnsi="Arial" w:cs="Arial"/>
          <w:sz w:val="16"/>
          <w:szCs w:val="16"/>
          <w:lang w:eastAsia="ko-KR"/>
        </w:rPr>
        <w:fldChar w:fldCharType="end"/>
      </w:r>
      <w:r w:rsidRPr="00BB666C">
        <w:rPr>
          <w:rFonts w:ascii="Arial" w:eastAsia="MS Mincho" w:hAnsi="Arial" w:cs="Arial"/>
          <w:sz w:val="16"/>
          <w:szCs w:val="16"/>
          <w:lang w:eastAsia="ko-KR"/>
        </w:rPr>
        <w:tab/>
        <w:t>is the mean angle of the tabulated CDL, calculated using the definition in Annex A</w:t>
      </w:r>
    </w:p>
    <w:p w14:paraId="37DEB92C" w14:textId="77777777" w:rsidR="00BB666C" w:rsidRPr="00BB666C" w:rsidRDefault="00BB666C" w:rsidP="00AA4527">
      <w:pPr>
        <w:ind w:left="568"/>
        <w:rPr>
          <w:rFonts w:ascii="Arial" w:eastAsia="MS Mincho" w:hAnsi="Arial" w:cs="Arial"/>
          <w:sz w:val="16"/>
          <w:szCs w:val="16"/>
          <w:lang w:eastAsia="ko-KR"/>
        </w:rPr>
      </w:pPr>
      <w:r w:rsidRPr="00BB666C">
        <w:rPr>
          <w:rFonts w:ascii="Arial" w:eastAsia="MS Mincho" w:hAnsi="Arial" w:cs="Arial"/>
          <w:position w:val="-14"/>
          <w:sz w:val="16"/>
          <w:szCs w:val="16"/>
          <w:lang w:eastAsia="zh-CN"/>
        </w:rPr>
        <w:object w:dxaOrig="720" w:dyaOrig="440" w14:anchorId="5BFF8ECE">
          <v:shape id="_x0000_i1065" type="#_x0000_t75" style="width:36pt;height:21.75pt" o:ole="">
            <v:imagedata r:id="rId525" o:title=""/>
          </v:shape>
          <o:OLEObject Type="Embed" ProgID="Equation.3" ShapeID="_x0000_i1065" DrawAspect="Content" ObjectID="_1769863822" r:id="rId526"/>
        </w:object>
      </w:r>
      <w:r w:rsidRPr="00BB666C">
        <w:rPr>
          <w:rFonts w:ascii="Arial" w:eastAsia="MS Mincho" w:hAnsi="Arial" w:cs="Arial"/>
          <w:sz w:val="16"/>
          <w:szCs w:val="16"/>
          <w:lang w:eastAsia="ko-KR"/>
        </w:rPr>
        <w:fldChar w:fldCharType="begin"/>
      </w:r>
      <w:r w:rsidRPr="00BB666C">
        <w:rPr>
          <w:rFonts w:ascii="Arial" w:eastAsia="MS Mincho" w:hAnsi="Arial" w:cs="Arial"/>
          <w:sz w:val="16"/>
          <w:szCs w:val="16"/>
          <w:lang w:eastAsia="ko-KR"/>
        </w:rPr>
        <w:instrText xml:space="preserve"> QUOTE </w:instrText>
      </w:r>
      <w:r w:rsidR="00A6784C">
        <w:rPr>
          <w:rFonts w:ascii="Arial" w:eastAsia="MS Mincho" w:hAnsi="Arial" w:cs="Arial"/>
          <w:sz w:val="16"/>
          <w:szCs w:val="16"/>
          <w:lang w:eastAsia="ko-KR"/>
        </w:rPr>
        <w:pict w14:anchorId="76166DC4">
          <v:shape id="_x0000_i1066" type="#_x0000_t75" style="width:14.25pt;height:14.25pt" equationxml="&lt;">
            <v:imagedata r:id="rId527" o:title="" chromakey="white"/>
          </v:shape>
        </w:pict>
      </w:r>
      <w:r w:rsidRPr="00BB666C">
        <w:rPr>
          <w:rFonts w:ascii="Arial" w:eastAsia="MS Mincho" w:hAnsi="Arial" w:cs="Arial"/>
          <w:sz w:val="16"/>
          <w:szCs w:val="16"/>
          <w:lang w:eastAsia="ko-KR"/>
        </w:rPr>
        <w:instrText xml:space="preserve"> </w:instrText>
      </w:r>
      <w:r w:rsidRPr="00BB666C">
        <w:rPr>
          <w:rFonts w:ascii="Arial" w:eastAsia="MS Mincho" w:hAnsi="Arial" w:cs="Arial"/>
          <w:sz w:val="16"/>
          <w:szCs w:val="16"/>
          <w:lang w:eastAsia="ko-KR"/>
        </w:rPr>
        <w:fldChar w:fldCharType="end"/>
      </w:r>
      <w:r w:rsidRPr="00BB666C">
        <w:rPr>
          <w:rFonts w:ascii="Arial" w:eastAsia="MS Mincho" w:hAnsi="Arial" w:cs="Arial"/>
          <w:sz w:val="16"/>
          <w:szCs w:val="16"/>
          <w:lang w:eastAsia="ko-KR"/>
        </w:rPr>
        <w:tab/>
        <w:t>is the desired mean angle</w:t>
      </w:r>
    </w:p>
    <w:p w14:paraId="76728BD9" w14:textId="77777777" w:rsidR="00BB666C" w:rsidRPr="00BB666C" w:rsidRDefault="00BB666C" w:rsidP="00AA4527">
      <w:pPr>
        <w:ind w:left="568"/>
        <w:rPr>
          <w:rFonts w:ascii="Arial" w:eastAsia="MS Mincho" w:hAnsi="Arial" w:cs="Arial"/>
          <w:sz w:val="16"/>
          <w:szCs w:val="16"/>
          <w:lang w:eastAsia="ko-KR"/>
        </w:rPr>
      </w:pPr>
      <w:r w:rsidRPr="00BB666C">
        <w:rPr>
          <w:rFonts w:ascii="Arial" w:eastAsia="MS Mincho" w:hAnsi="Arial" w:cs="Arial"/>
          <w:position w:val="-12"/>
          <w:sz w:val="16"/>
          <w:szCs w:val="16"/>
          <w:lang w:eastAsia="zh-CN"/>
        </w:rPr>
        <w:object w:dxaOrig="850" w:dyaOrig="430" w14:anchorId="557DFED9">
          <v:shape id="_x0000_i1067" type="#_x0000_t75" style="width:42.75pt;height:21.75pt" o:ole="">
            <v:imagedata r:id="rId528" o:title=""/>
          </v:shape>
          <o:OLEObject Type="Embed" ProgID="Equation.3" ShapeID="_x0000_i1067" DrawAspect="Content" ObjectID="_1769863823" r:id="rId529"/>
        </w:object>
      </w:r>
      <w:r w:rsidRPr="00BB666C">
        <w:rPr>
          <w:rFonts w:ascii="Arial" w:eastAsia="MS Mincho" w:hAnsi="Arial" w:cs="Arial"/>
          <w:sz w:val="16"/>
          <w:szCs w:val="16"/>
          <w:lang w:eastAsia="ko-KR"/>
        </w:rPr>
        <w:fldChar w:fldCharType="begin"/>
      </w:r>
      <w:r w:rsidRPr="00BB666C">
        <w:rPr>
          <w:rFonts w:ascii="Arial" w:eastAsia="MS Mincho" w:hAnsi="Arial" w:cs="Arial"/>
          <w:sz w:val="16"/>
          <w:szCs w:val="16"/>
          <w:lang w:eastAsia="ko-KR"/>
        </w:rPr>
        <w:instrText xml:space="preserve"> QUOTE </w:instrText>
      </w:r>
      <w:r w:rsidR="00A6784C">
        <w:rPr>
          <w:rFonts w:ascii="Arial" w:eastAsia="MS Mincho" w:hAnsi="Arial" w:cs="Arial"/>
          <w:sz w:val="16"/>
          <w:szCs w:val="16"/>
          <w:lang w:eastAsia="ko-KR"/>
        </w:rPr>
        <w:pict w14:anchorId="5DA6B468">
          <v:shape id="_x0000_i1068" type="#_x0000_t75" style="width:14.25pt;height:14.25pt" equationxml="&lt;">
            <v:imagedata r:id="rId530" o:title="" chromakey="white"/>
          </v:shape>
        </w:pict>
      </w:r>
      <w:r w:rsidRPr="00BB666C">
        <w:rPr>
          <w:rFonts w:ascii="Arial" w:eastAsia="MS Mincho" w:hAnsi="Arial" w:cs="Arial"/>
          <w:sz w:val="16"/>
          <w:szCs w:val="16"/>
          <w:lang w:eastAsia="ko-KR"/>
        </w:rPr>
        <w:instrText xml:space="preserve"> </w:instrText>
      </w:r>
      <w:r w:rsidRPr="00BB666C">
        <w:rPr>
          <w:rFonts w:ascii="Arial" w:eastAsia="MS Mincho" w:hAnsi="Arial" w:cs="Arial"/>
          <w:sz w:val="16"/>
          <w:szCs w:val="16"/>
          <w:lang w:eastAsia="ko-KR"/>
        </w:rPr>
        <w:fldChar w:fldCharType="end"/>
      </w:r>
      <w:r w:rsidRPr="00BB666C">
        <w:rPr>
          <w:rFonts w:ascii="Arial" w:eastAsia="MS Mincho" w:hAnsi="Arial" w:cs="Arial"/>
          <w:sz w:val="16"/>
          <w:szCs w:val="16"/>
          <w:lang w:eastAsia="ko-KR"/>
        </w:rPr>
        <w:tab/>
        <w:t>is the desired rms angular spread</w:t>
      </w:r>
    </w:p>
    <w:p w14:paraId="236BECE2" w14:textId="77777777" w:rsidR="00BB666C" w:rsidRPr="00BB666C" w:rsidRDefault="00BB666C" w:rsidP="00AA4527">
      <w:pPr>
        <w:ind w:left="568"/>
        <w:rPr>
          <w:rFonts w:ascii="Arial" w:eastAsia="MS Mincho" w:hAnsi="Arial" w:cs="Arial"/>
          <w:sz w:val="16"/>
          <w:szCs w:val="16"/>
          <w:lang w:eastAsia="ko-KR"/>
        </w:rPr>
      </w:pPr>
      <w:r w:rsidRPr="00BB666C">
        <w:rPr>
          <w:rFonts w:ascii="Arial" w:eastAsia="MS Mincho" w:hAnsi="Arial" w:cs="Arial"/>
          <w:position w:val="-14"/>
          <w:sz w:val="16"/>
          <w:szCs w:val="16"/>
          <w:lang w:eastAsia="zh-CN"/>
        </w:rPr>
        <w:object w:dxaOrig="590" w:dyaOrig="440" w14:anchorId="5F63D0FF">
          <v:shape id="_x0000_i1069" type="#_x0000_t75" style="width:29.25pt;height:21.75pt" o:ole="">
            <v:imagedata r:id="rId531" o:title=""/>
          </v:shape>
          <o:OLEObject Type="Embed" ProgID="Equation.3" ShapeID="_x0000_i1069" DrawAspect="Content" ObjectID="_1769863824" r:id="rId532"/>
        </w:object>
      </w:r>
      <w:r w:rsidRPr="00BB666C">
        <w:rPr>
          <w:rFonts w:ascii="Arial" w:eastAsia="MS Mincho" w:hAnsi="Arial" w:cs="Arial"/>
          <w:sz w:val="16"/>
          <w:szCs w:val="16"/>
          <w:lang w:eastAsia="ko-KR"/>
        </w:rPr>
        <w:fldChar w:fldCharType="begin"/>
      </w:r>
      <w:r w:rsidRPr="00BB666C">
        <w:rPr>
          <w:rFonts w:ascii="Arial" w:eastAsia="MS Mincho" w:hAnsi="Arial" w:cs="Arial"/>
          <w:sz w:val="16"/>
          <w:szCs w:val="16"/>
          <w:lang w:eastAsia="ko-KR"/>
        </w:rPr>
        <w:instrText xml:space="preserve"> QUOTE </w:instrText>
      </w:r>
      <w:r w:rsidR="005A18DC">
        <w:rPr>
          <w:rFonts w:ascii="Arial" w:eastAsia="MS Mincho" w:hAnsi="Arial" w:cs="Arial"/>
          <w:sz w:val="16"/>
          <w:szCs w:val="16"/>
          <w:lang w:eastAsia="ko-KR"/>
        </w:rPr>
        <w:pict w14:anchorId="1355B0F7">
          <v:shape id="_x0000_i1070" type="#_x0000_t75" style="width:14.25pt;height:14.25pt" equationxml="&lt;">
            <v:imagedata r:id="rId533" o:title="" chromakey="white"/>
          </v:shape>
        </w:pict>
      </w:r>
      <w:r w:rsidRPr="00BB666C">
        <w:rPr>
          <w:rFonts w:ascii="Arial" w:eastAsia="MS Mincho" w:hAnsi="Arial" w:cs="Arial"/>
          <w:sz w:val="16"/>
          <w:szCs w:val="16"/>
          <w:lang w:eastAsia="ko-KR"/>
        </w:rPr>
        <w:instrText xml:space="preserve"> </w:instrText>
      </w:r>
      <w:r w:rsidRPr="00BB666C">
        <w:rPr>
          <w:rFonts w:ascii="Arial" w:eastAsia="MS Mincho" w:hAnsi="Arial" w:cs="Arial"/>
          <w:sz w:val="16"/>
          <w:szCs w:val="16"/>
          <w:lang w:eastAsia="ko-KR"/>
        </w:rPr>
        <w:fldChar w:fldCharType="end"/>
      </w:r>
      <w:r w:rsidRPr="00BB666C">
        <w:rPr>
          <w:rFonts w:ascii="Arial" w:eastAsia="MS Mincho" w:hAnsi="Arial" w:cs="Arial"/>
          <w:sz w:val="16"/>
          <w:szCs w:val="16"/>
          <w:lang w:eastAsia="ko-KR"/>
        </w:rPr>
        <w:tab/>
        <w:t>is the resulting scaled ray angle.</w:t>
      </w:r>
    </w:p>
    <w:p w14:paraId="7E6B670D" w14:textId="77777777" w:rsidR="00BB666C" w:rsidRPr="00BB666C" w:rsidRDefault="00BB666C" w:rsidP="00BB666C">
      <w:pPr>
        <w:autoSpaceDE w:val="0"/>
        <w:autoSpaceDN w:val="0"/>
        <w:adjustRightInd w:val="0"/>
        <w:snapToGrid w:val="0"/>
        <w:jc w:val="both"/>
        <w:rPr>
          <w:rFonts w:ascii="Arial" w:hAnsi="Arial" w:cs="Arial"/>
          <w:sz w:val="16"/>
          <w:szCs w:val="16"/>
          <w:lang w:eastAsia="ko-KR"/>
        </w:rPr>
      </w:pPr>
      <w:r w:rsidRPr="00BB666C">
        <w:rPr>
          <w:rFonts w:ascii="Arial" w:hAnsi="Arial" w:cs="Arial"/>
          <w:sz w:val="16"/>
          <w:szCs w:val="16"/>
          <w:lang w:eastAsia="ko-KR"/>
        </w:rPr>
        <w:t>The angular scaling is applied on the ray angles including offsets from the tabulated cluster angles. Typical angular spreads for different scenarios can be obtained from the system-level model.</w:t>
      </w:r>
    </w:p>
    <w:p w14:paraId="795D4C77" w14:textId="77777777" w:rsidR="00BB666C" w:rsidRPr="00BB666C" w:rsidRDefault="00BB666C" w:rsidP="00BB666C">
      <w:pPr>
        <w:autoSpaceDE w:val="0"/>
        <w:autoSpaceDN w:val="0"/>
        <w:adjustRightInd w:val="0"/>
        <w:snapToGrid w:val="0"/>
        <w:jc w:val="both"/>
        <w:rPr>
          <w:rFonts w:ascii="Arial" w:hAnsi="Arial" w:cs="Arial"/>
          <w:sz w:val="16"/>
          <w:szCs w:val="16"/>
          <w:lang w:eastAsia="ko-KR"/>
        </w:rPr>
      </w:pPr>
      <w:r w:rsidRPr="00BB666C">
        <w:rPr>
          <w:rFonts w:ascii="Arial" w:hAnsi="Arial" w:cs="Arial"/>
          <w:sz w:val="16"/>
          <w:szCs w:val="16"/>
          <w:lang w:eastAsia="ko-KR"/>
        </w:rPr>
        <w:t xml:space="preserve">Example scaling values are: </w:t>
      </w:r>
    </w:p>
    <w:p w14:paraId="0B4B5D0E" w14:textId="77777777" w:rsidR="00BB666C" w:rsidRPr="00BB666C" w:rsidRDefault="00BB666C" w:rsidP="00AA4527">
      <w:pPr>
        <w:ind w:left="568"/>
        <w:rPr>
          <w:rFonts w:ascii="Arial" w:eastAsia="MS Mincho" w:hAnsi="Arial" w:cs="Arial"/>
          <w:sz w:val="16"/>
          <w:szCs w:val="16"/>
          <w:lang w:eastAsia="ko-KR"/>
        </w:rPr>
      </w:pPr>
      <w:r w:rsidRPr="00BB666C">
        <w:rPr>
          <w:rFonts w:ascii="Arial" w:eastAsia="MS Mincho" w:hAnsi="Arial" w:cs="Arial"/>
          <w:sz w:val="16"/>
          <w:szCs w:val="16"/>
          <w:lang w:eastAsia="ko-KR"/>
        </w:rPr>
        <w:t>-</w:t>
      </w:r>
      <w:r w:rsidRPr="00BB666C">
        <w:rPr>
          <w:rFonts w:ascii="Arial" w:eastAsia="MS Mincho" w:hAnsi="Arial" w:cs="Arial"/>
          <w:sz w:val="16"/>
          <w:szCs w:val="16"/>
          <w:lang w:eastAsia="ko-KR"/>
        </w:rPr>
        <w:tab/>
        <w:t xml:space="preserve">AOD spread (ASD) for each CDL model: {5, 10, 15, 25} degrees. </w:t>
      </w:r>
    </w:p>
    <w:p w14:paraId="653DA43F" w14:textId="77777777" w:rsidR="00BB666C" w:rsidRPr="00BB666C" w:rsidRDefault="00BB666C" w:rsidP="00AA4527">
      <w:pPr>
        <w:ind w:left="568"/>
        <w:rPr>
          <w:rFonts w:ascii="Arial" w:eastAsia="MS Mincho" w:hAnsi="Arial" w:cs="Arial"/>
          <w:sz w:val="16"/>
          <w:szCs w:val="16"/>
          <w:lang w:eastAsia="ko-KR"/>
        </w:rPr>
      </w:pPr>
      <w:r w:rsidRPr="00BB666C">
        <w:rPr>
          <w:rFonts w:ascii="Arial" w:eastAsia="MS Mincho" w:hAnsi="Arial" w:cs="Arial"/>
          <w:sz w:val="16"/>
          <w:szCs w:val="16"/>
          <w:lang w:eastAsia="ko-KR"/>
        </w:rPr>
        <w:t>-</w:t>
      </w:r>
      <w:r w:rsidRPr="00BB666C">
        <w:rPr>
          <w:rFonts w:ascii="Arial" w:eastAsia="MS Mincho" w:hAnsi="Arial" w:cs="Arial"/>
          <w:sz w:val="16"/>
          <w:szCs w:val="16"/>
          <w:lang w:eastAsia="ko-KR"/>
        </w:rPr>
        <w:tab/>
        <w:t xml:space="preserve">AOA spread (ASA) for each CDL model: {30, 45, 60} degrees. </w:t>
      </w:r>
    </w:p>
    <w:p w14:paraId="08D2EDA4" w14:textId="77777777" w:rsidR="00BB666C" w:rsidRPr="00BB666C" w:rsidRDefault="00BB666C" w:rsidP="00AA4527">
      <w:pPr>
        <w:ind w:left="568"/>
        <w:rPr>
          <w:rFonts w:ascii="Arial" w:eastAsia="MS Mincho" w:hAnsi="Arial" w:cs="Arial"/>
          <w:sz w:val="16"/>
          <w:szCs w:val="16"/>
          <w:lang w:eastAsia="ko-KR"/>
        </w:rPr>
      </w:pPr>
      <w:r w:rsidRPr="00BB666C">
        <w:rPr>
          <w:rFonts w:ascii="Arial" w:eastAsia="MS Mincho" w:hAnsi="Arial" w:cs="Arial"/>
          <w:sz w:val="16"/>
          <w:szCs w:val="16"/>
          <w:lang w:eastAsia="ko-KR"/>
        </w:rPr>
        <w:t>-</w:t>
      </w:r>
      <w:r w:rsidRPr="00BB666C">
        <w:rPr>
          <w:rFonts w:ascii="Arial" w:eastAsia="MS Mincho" w:hAnsi="Arial" w:cs="Arial"/>
          <w:sz w:val="16"/>
          <w:szCs w:val="16"/>
          <w:lang w:eastAsia="ko-KR"/>
        </w:rPr>
        <w:tab/>
        <w:t>ZOA spread (ZSA) for each CDL model: {5, 10, 15} degrees.</w:t>
      </w:r>
    </w:p>
    <w:p w14:paraId="1EF35D82" w14:textId="77777777" w:rsidR="00BB666C" w:rsidRPr="00BB666C" w:rsidRDefault="00BB666C" w:rsidP="00AA4527">
      <w:pPr>
        <w:ind w:left="568"/>
        <w:rPr>
          <w:rFonts w:ascii="Arial" w:eastAsia="MS Mincho" w:hAnsi="Arial" w:cs="Arial"/>
          <w:sz w:val="16"/>
          <w:szCs w:val="16"/>
          <w:lang w:eastAsia="ko-KR"/>
        </w:rPr>
      </w:pPr>
      <w:r w:rsidRPr="00BB666C">
        <w:rPr>
          <w:rFonts w:ascii="Arial" w:eastAsia="MS Mincho" w:hAnsi="Arial" w:cs="Arial"/>
          <w:sz w:val="16"/>
          <w:szCs w:val="16"/>
          <w:lang w:eastAsia="ko-KR"/>
        </w:rPr>
        <w:t>-</w:t>
      </w:r>
      <w:r w:rsidRPr="00BB666C">
        <w:rPr>
          <w:rFonts w:ascii="Arial" w:eastAsia="MS Mincho" w:hAnsi="Arial" w:cs="Arial"/>
          <w:sz w:val="16"/>
          <w:szCs w:val="16"/>
          <w:lang w:eastAsia="ko-KR"/>
        </w:rPr>
        <w:tab/>
        <w:t>ZOD spread (ZSD) for each CDL model: {1, 3, 5} degrees.</w:t>
      </w:r>
    </w:p>
    <w:p w14:paraId="79570F27" w14:textId="77777777" w:rsidR="00BB666C" w:rsidRPr="00BB666C" w:rsidRDefault="00BB666C" w:rsidP="00BB666C">
      <w:pPr>
        <w:autoSpaceDE w:val="0"/>
        <w:autoSpaceDN w:val="0"/>
        <w:adjustRightInd w:val="0"/>
        <w:snapToGrid w:val="0"/>
        <w:jc w:val="both"/>
        <w:rPr>
          <w:ins w:id="97" w:author="Author" w:date="2023-11-16T09:34:00Z"/>
          <w:rFonts w:ascii="Arial" w:hAnsi="Arial" w:cs="Arial"/>
          <w:sz w:val="16"/>
          <w:szCs w:val="16"/>
          <w:lang w:eastAsia="ko-KR"/>
        </w:rPr>
      </w:pPr>
      <w:r w:rsidRPr="00BB666C">
        <w:rPr>
          <w:rFonts w:ascii="Arial" w:hAnsi="Arial" w:cs="Arial"/>
          <w:sz w:val="16"/>
          <w:szCs w:val="16"/>
          <w:lang w:eastAsia="ko-KR"/>
        </w:rPr>
        <w:t>The angular scaling and translation can be applied to some or all of the azimuth and zenith angles of departure and arrival.</w:t>
      </w:r>
    </w:p>
    <w:p w14:paraId="1BED3D96" w14:textId="6763ED77" w:rsidR="00BB666C" w:rsidRPr="00BB666C" w:rsidRDefault="00BB666C" w:rsidP="00BB666C">
      <w:pPr>
        <w:autoSpaceDE w:val="0"/>
        <w:autoSpaceDN w:val="0"/>
        <w:adjustRightInd w:val="0"/>
        <w:snapToGrid w:val="0"/>
        <w:jc w:val="both"/>
        <w:rPr>
          <w:rFonts w:ascii="Arial" w:hAnsi="Arial" w:cs="Arial"/>
          <w:sz w:val="16"/>
          <w:szCs w:val="16"/>
          <w:lang w:eastAsia="ko-KR"/>
        </w:rPr>
      </w:pPr>
      <w:ins w:id="98" w:author="Author" w:date="2023-11-16T09:35:00Z">
        <w:r w:rsidRPr="00BB666C">
          <w:rPr>
            <w:rFonts w:ascii="Arial" w:hAnsi="Arial" w:cs="Arial"/>
            <w:sz w:val="16"/>
            <w:szCs w:val="16"/>
            <w:lang w:eastAsia="ko-KR"/>
          </w:rPr>
          <w:t xml:space="preserve">Note: </w:t>
        </w:r>
        <w:r w:rsidRPr="00BB666C">
          <w:rPr>
            <w:rFonts w:ascii="Arial" w:hAnsi="Arial" w:cs="Arial"/>
            <w:color w:val="000000"/>
            <w:sz w:val="16"/>
            <w:szCs w:val="16"/>
            <w:lang w:eastAsia="ja-JP"/>
          </w:rPr>
          <w:t>The azimuth angles of</w:t>
        </w:r>
        <w:r w:rsidRPr="00BB666C">
          <w:rPr>
            <w:rFonts w:ascii="Arial" w:hAnsi="Arial" w:cs="Arial"/>
            <w:color w:val="000000"/>
            <w:sz w:val="16"/>
            <w:szCs w:val="16"/>
            <w:lang w:eastAsia="ko-KR"/>
          </w:rPr>
          <w:t xml:space="preserve"> </w:t>
        </w:r>
      </w:ins>
      <m:oMath>
        <m:d>
          <m:dPr>
            <m:ctrlPr>
              <w:ins w:id="99" w:author="Author" w:date="2023-11-16T09:35:00Z">
                <w:rPr>
                  <w:rFonts w:ascii="Cambria Math" w:hAnsi="Cambria Math" w:cs="Arial"/>
                  <w:i/>
                  <w:color w:val="000000"/>
                  <w:sz w:val="16"/>
                  <w:szCs w:val="16"/>
                </w:rPr>
              </w:ins>
            </m:ctrlPr>
          </m:dPr>
          <m:e>
            <m:sSub>
              <m:sSubPr>
                <m:ctrlPr>
                  <w:ins w:id="100" w:author="Author" w:date="2023-11-16T09:35:00Z">
                    <w:rPr>
                      <w:rFonts w:ascii="Cambria Math" w:hAnsi="Cambria Math" w:cs="Arial"/>
                      <w:i/>
                      <w:color w:val="000000"/>
                      <w:sz w:val="16"/>
                      <w:szCs w:val="16"/>
                    </w:rPr>
                  </w:ins>
                </m:ctrlPr>
              </m:sSubPr>
              <m:e>
                <m:r>
                  <w:ins w:id="101" w:author="Author" w:date="2023-11-16T09:35:00Z">
                    <w:rPr>
                      <w:rFonts w:ascii="Cambria Math" w:hAnsi="Cambria Math" w:cs="Arial"/>
                      <w:color w:val="000000"/>
                      <w:sz w:val="16"/>
                      <w:szCs w:val="16"/>
                    </w:rPr>
                    <m:t>ϕ</m:t>
                  </w:ins>
                </m:r>
              </m:e>
              <m:sub>
                <m:r>
                  <w:ins w:id="102" w:author="Author" w:date="2023-11-16T09:35:00Z">
                    <w:rPr>
                      <w:rFonts w:ascii="Cambria Math" w:hAnsi="Cambria Math" w:cs="Arial"/>
                      <w:color w:val="000000"/>
                      <w:sz w:val="16"/>
                      <w:szCs w:val="16"/>
                    </w:rPr>
                    <m:t>n,model</m:t>
                  </w:ins>
                </m:r>
              </m:sub>
            </m:sSub>
            <m:r>
              <w:ins w:id="103" w:author="Author" w:date="2023-11-16T09:35:00Z">
                <w:rPr>
                  <w:rFonts w:ascii="Cambria Math" w:hAnsi="Cambria Math" w:cs="Arial"/>
                  <w:color w:val="000000"/>
                  <w:sz w:val="16"/>
                  <w:szCs w:val="16"/>
                </w:rPr>
                <m:t>-</m:t>
              </w:ins>
            </m:r>
            <m:sSub>
              <m:sSubPr>
                <m:ctrlPr>
                  <w:ins w:id="104" w:author="Author" w:date="2023-11-16T09:35:00Z">
                    <w:rPr>
                      <w:rFonts w:ascii="Cambria Math" w:hAnsi="Cambria Math" w:cs="Arial"/>
                      <w:i/>
                      <w:color w:val="000000"/>
                      <w:sz w:val="16"/>
                      <w:szCs w:val="16"/>
                    </w:rPr>
                  </w:ins>
                </m:ctrlPr>
              </m:sSubPr>
              <m:e>
                <m:r>
                  <w:ins w:id="105" w:author="Author" w:date="2023-11-16T09:35:00Z">
                    <w:rPr>
                      <w:rFonts w:ascii="Cambria Math" w:hAnsi="Cambria Math" w:cs="Arial"/>
                      <w:color w:val="000000"/>
                      <w:sz w:val="16"/>
                      <w:szCs w:val="16"/>
                    </w:rPr>
                    <m:t>μ</m:t>
                  </w:ins>
                </m:r>
              </m:e>
              <m:sub>
                <m:r>
                  <w:ins w:id="106" w:author="Author" w:date="2023-11-16T09:35:00Z">
                    <w:rPr>
                      <w:rFonts w:ascii="Cambria Math" w:hAnsi="Cambria Math" w:cs="Arial"/>
                      <w:color w:val="000000"/>
                      <w:sz w:val="16"/>
                      <w:szCs w:val="16"/>
                    </w:rPr>
                    <m:t>ϕ,model</m:t>
                  </w:ins>
                </m:r>
              </m:sub>
            </m:sSub>
          </m:e>
        </m:d>
        <m:r>
          <w:ins w:id="107" w:author="Author" w:date="2023-11-16T09:35:00Z">
            <w:rPr>
              <w:rFonts w:ascii="Cambria Math" w:hAnsi="Cambria Math" w:cs="Arial"/>
              <w:color w:val="000000"/>
              <w:sz w:val="16"/>
              <w:szCs w:val="16"/>
            </w:rPr>
            <m:t xml:space="preserve"> </m:t>
          </w:ins>
        </m:r>
      </m:oMath>
      <w:ins w:id="108" w:author="Author" w:date="2023-11-16T09:35:00Z">
        <w:r w:rsidRPr="00BB666C">
          <w:rPr>
            <w:rFonts w:ascii="Arial" w:hAnsi="Arial" w:cs="Arial"/>
            <w:color w:val="000000"/>
            <w:sz w:val="16"/>
            <w:szCs w:val="16"/>
            <w:lang w:eastAsia="ko-KR"/>
          </w:rPr>
          <w:t>should be wrapped around to be within [-180, 180] degrees.</w:t>
        </w:r>
      </w:ins>
    </w:p>
    <w:p w14:paraId="7760650D" w14:textId="77777777" w:rsidR="00BB666C" w:rsidRPr="00BB666C" w:rsidRDefault="00BB666C" w:rsidP="00BB666C">
      <w:pPr>
        <w:autoSpaceDE w:val="0"/>
        <w:autoSpaceDN w:val="0"/>
        <w:adjustRightInd w:val="0"/>
        <w:snapToGrid w:val="0"/>
        <w:jc w:val="both"/>
        <w:rPr>
          <w:rFonts w:ascii="Arial" w:hAnsi="Arial" w:cs="Arial"/>
          <w:sz w:val="16"/>
          <w:szCs w:val="16"/>
          <w:lang w:eastAsia="ko-KR"/>
        </w:rPr>
      </w:pPr>
      <w:r w:rsidRPr="00BB666C">
        <w:rPr>
          <w:rFonts w:ascii="Arial" w:hAnsi="Arial" w:cs="Arial"/>
          <w:sz w:val="16"/>
          <w:szCs w:val="16"/>
          <w:lang w:eastAsia="ko-KR"/>
        </w:rPr>
        <w:t xml:space="preserve">Note: The azimuth angles may need to be wrapped around to be within [0, 360] degrees, while the zenith angles may need to be clipped to be within [0, 180] degrees. </w:t>
      </w:r>
    </w:p>
    <w:p w14:paraId="4811A174" w14:textId="77777777" w:rsidR="00BB666C" w:rsidRPr="00BB666C" w:rsidRDefault="00BB666C" w:rsidP="00BB666C">
      <w:pPr>
        <w:autoSpaceDE w:val="0"/>
        <w:autoSpaceDN w:val="0"/>
        <w:adjustRightInd w:val="0"/>
        <w:snapToGrid w:val="0"/>
        <w:jc w:val="both"/>
        <w:rPr>
          <w:rFonts w:ascii="Arial" w:hAnsi="Arial" w:cs="Arial"/>
          <w:color w:val="FF0000"/>
          <w:sz w:val="16"/>
          <w:szCs w:val="16"/>
          <w:lang w:eastAsia="ko-KR"/>
        </w:rPr>
      </w:pPr>
      <w:r w:rsidRPr="00BB666C">
        <w:rPr>
          <w:rFonts w:ascii="Arial" w:hAnsi="Arial" w:cs="Arial"/>
          <w:color w:val="FF0000"/>
          <w:sz w:val="16"/>
          <w:szCs w:val="16"/>
          <w:lang w:eastAsia="ja-JP"/>
        </w:rPr>
        <w:t>Note: The resulting scaled ray angle may or may not achieve the desired angle mean and the desired rms angle spread.</w:t>
      </w:r>
    </w:p>
    <w:p w14:paraId="6D383054" w14:textId="77777777" w:rsidR="00BB666C" w:rsidRDefault="00BB666C" w:rsidP="00BB666C">
      <w:pPr>
        <w:snapToGrid w:val="0"/>
        <w:jc w:val="both"/>
        <w:rPr>
          <w:color w:val="FF0000"/>
          <w:szCs w:val="20"/>
        </w:rPr>
      </w:pPr>
      <w:r w:rsidRPr="006E356F">
        <w:rPr>
          <w:color w:val="FF0000"/>
          <w:szCs w:val="20"/>
        </w:rPr>
        <w:t xml:space="preserve">---- </w:t>
      </w:r>
      <w:r>
        <w:rPr>
          <w:color w:val="FF0000"/>
          <w:szCs w:val="20"/>
        </w:rPr>
        <w:t>end</w:t>
      </w:r>
      <w:r w:rsidRPr="006E356F">
        <w:rPr>
          <w:color w:val="FF0000"/>
          <w:szCs w:val="20"/>
        </w:rPr>
        <w:t xml:space="preserve"> TP ----</w:t>
      </w:r>
    </w:p>
    <w:p w14:paraId="4AFDE155" w14:textId="77777777" w:rsidR="00BB666C" w:rsidRDefault="00BB666C" w:rsidP="00BB666C">
      <w:pPr>
        <w:rPr>
          <w:lang w:eastAsia="x-none"/>
        </w:rPr>
      </w:pPr>
    </w:p>
    <w:p w14:paraId="676BB12F" w14:textId="088114B4" w:rsidR="00BB666C" w:rsidRPr="00BB666C" w:rsidRDefault="00BB666C" w:rsidP="00BB666C">
      <w:pPr>
        <w:rPr>
          <w:lang w:eastAsia="x-none"/>
        </w:rPr>
      </w:pPr>
      <w:r w:rsidRPr="00BB666C">
        <w:rPr>
          <w:lang w:eastAsia="x-none"/>
        </w:rPr>
        <w:t>Final CR in</w:t>
      </w:r>
      <w:r w:rsidR="00066528">
        <w:rPr>
          <w:lang w:eastAsia="x-none"/>
        </w:rPr>
        <w:t>:</w:t>
      </w:r>
    </w:p>
    <w:p w14:paraId="428F770F" w14:textId="7AC1B5D9" w:rsidR="00066528" w:rsidRPr="00066528" w:rsidRDefault="005A18DC" w:rsidP="00BB666C">
      <w:pPr>
        <w:rPr>
          <w:b/>
          <w:bCs/>
          <w:lang w:eastAsia="x-none"/>
        </w:rPr>
      </w:pPr>
      <w:hyperlink r:id="rId534" w:history="1">
        <w:r w:rsidR="00AF7253">
          <w:rPr>
            <w:rStyle w:val="Hyperlink"/>
            <w:b/>
            <w:bCs/>
            <w:highlight w:val="green"/>
            <w:lang w:eastAsia="x-none"/>
          </w:rPr>
          <w:t>R1-2312559</w:t>
        </w:r>
      </w:hyperlink>
      <w:r w:rsidR="00066528" w:rsidRPr="00066528">
        <w:rPr>
          <w:b/>
          <w:bCs/>
          <w:lang w:eastAsia="x-none"/>
        </w:rPr>
        <w:tab/>
        <w:t>CR correcting scaling of angles for CDL model and a figure reference</w:t>
      </w:r>
      <w:r w:rsidR="00066528" w:rsidRPr="00066528">
        <w:rPr>
          <w:b/>
          <w:bCs/>
          <w:lang w:eastAsia="x-none"/>
        </w:rPr>
        <w:tab/>
        <w:t>Ericsson, Samsung, Intel, Nokia, Nokia Shanghai Bell, ZTE</w:t>
      </w:r>
    </w:p>
    <w:p w14:paraId="6381010E" w14:textId="77777777" w:rsidR="00066528" w:rsidRDefault="00066528" w:rsidP="00BB666C">
      <w:pPr>
        <w:rPr>
          <w:lang w:eastAsia="x-none"/>
        </w:rPr>
      </w:pPr>
      <w:r>
        <w:rPr>
          <w:lang w:eastAsia="x-none"/>
        </w:rPr>
        <w:t>(</w:t>
      </w:r>
      <w:r w:rsidRPr="00066528">
        <w:rPr>
          <w:lang w:eastAsia="x-none"/>
        </w:rPr>
        <w:t>Rel-17</w:t>
      </w:r>
      <w:r>
        <w:rPr>
          <w:lang w:eastAsia="x-none"/>
        </w:rPr>
        <w:t xml:space="preserve">, </w:t>
      </w:r>
      <w:r w:rsidRPr="00066528">
        <w:rPr>
          <w:lang w:eastAsia="x-none"/>
        </w:rPr>
        <w:t>38.901</w:t>
      </w:r>
      <w:r>
        <w:rPr>
          <w:lang w:eastAsia="x-none"/>
        </w:rPr>
        <w:t xml:space="preserve">, </w:t>
      </w:r>
      <w:r w:rsidRPr="00066528">
        <w:rPr>
          <w:lang w:eastAsia="x-none"/>
        </w:rPr>
        <w:t>NR_newRAT-Core, TEI17</w:t>
      </w:r>
      <w:r>
        <w:rPr>
          <w:lang w:eastAsia="x-none"/>
        </w:rPr>
        <w:t>, CR</w:t>
      </w:r>
      <w:r w:rsidRPr="00066528">
        <w:rPr>
          <w:lang w:eastAsia="x-none"/>
        </w:rPr>
        <w:t>0025</w:t>
      </w:r>
      <w:r>
        <w:rPr>
          <w:lang w:eastAsia="x-none"/>
        </w:rPr>
        <w:t>, Cat F) is agreed.</w:t>
      </w:r>
    </w:p>
    <w:p w14:paraId="0B2FC305" w14:textId="77777777" w:rsidR="00BB666C" w:rsidRPr="00BB666C" w:rsidRDefault="00BB666C" w:rsidP="003D6E20">
      <w:pPr>
        <w:rPr>
          <w:bCs/>
          <w:lang w:eastAsia="x-none"/>
        </w:rPr>
      </w:pPr>
    </w:p>
    <w:p w14:paraId="70EAE955" w14:textId="6D4DF877" w:rsidR="00835CB1" w:rsidRPr="00066528" w:rsidRDefault="00066528" w:rsidP="00835CB1">
      <w:pPr>
        <w:rPr>
          <w:bCs/>
          <w:lang w:eastAsia="x-none"/>
        </w:rPr>
      </w:pPr>
      <w:r>
        <w:rPr>
          <w:bCs/>
          <w:lang w:eastAsia="x-none"/>
        </w:rPr>
        <w:t xml:space="preserve">Final summary in </w:t>
      </w:r>
      <w:hyperlink r:id="rId535" w:history="1">
        <w:r w:rsidR="00AF7253">
          <w:rPr>
            <w:rStyle w:val="Hyperlink"/>
            <w:bCs/>
            <w:lang w:eastAsia="x-none"/>
          </w:rPr>
          <w:t>R1-2312311</w:t>
        </w:r>
      </w:hyperlink>
      <w:r>
        <w:rPr>
          <w:bCs/>
          <w:lang w:eastAsia="x-none"/>
        </w:rPr>
        <w:t>.</w:t>
      </w:r>
    </w:p>
    <w:p w14:paraId="56B5CD56" w14:textId="77777777" w:rsidR="00B32D2F" w:rsidRDefault="00B32D2F" w:rsidP="00B32D2F">
      <w:pPr>
        <w:pBdr>
          <w:bottom w:val="double" w:sz="6" w:space="1" w:color="auto"/>
        </w:pBdr>
        <w:rPr>
          <w:lang w:eastAsia="x-none"/>
        </w:rPr>
      </w:pPr>
    </w:p>
    <w:p w14:paraId="4C1BF83B" w14:textId="733F4AD0" w:rsidR="00B32D2F" w:rsidRPr="004B3090" w:rsidRDefault="005A18DC" w:rsidP="00B32D2F">
      <w:pPr>
        <w:rPr>
          <w:b/>
          <w:bCs/>
        </w:rPr>
      </w:pPr>
      <w:hyperlink r:id="rId536" w:history="1">
        <w:r w:rsidR="00AF7253">
          <w:rPr>
            <w:rStyle w:val="Hyperlink"/>
            <w:b/>
            <w:bCs/>
          </w:rPr>
          <w:t>R1-2312499</w:t>
        </w:r>
      </w:hyperlink>
      <w:r w:rsidR="00B32D2F" w:rsidRPr="004B3090">
        <w:rPr>
          <w:b/>
          <w:bCs/>
        </w:rPr>
        <w:tab/>
        <w:t>Session notes for 7.2 (Maintenance on NR Multicast and Broadcast Services)</w:t>
      </w:r>
      <w:r w:rsidR="00B32D2F" w:rsidRPr="004B3090">
        <w:rPr>
          <w:b/>
          <w:bCs/>
        </w:rPr>
        <w:tab/>
        <w:t>Ad-Hoc Chair (Huawei)</w:t>
      </w:r>
    </w:p>
    <w:p w14:paraId="680ED842" w14:textId="77777777" w:rsidR="00B32D2F" w:rsidRPr="00D96FAE" w:rsidRDefault="00B32D2F" w:rsidP="00B32D2F">
      <w:pPr>
        <w:rPr>
          <w:lang w:eastAsia="x-none"/>
        </w:rPr>
      </w:pPr>
      <w:r w:rsidRPr="00F05EFE">
        <w:rPr>
          <w:b/>
          <w:bCs/>
        </w:rPr>
        <w:t>Friday decision:</w:t>
      </w:r>
      <w:r>
        <w:t xml:space="preserve"> The </w:t>
      </w:r>
      <w:r>
        <w:rPr>
          <w:lang w:val="en-US" w:eastAsia="x-none"/>
        </w:rPr>
        <w:t>s</w:t>
      </w:r>
      <w:r w:rsidRPr="00663F3A">
        <w:rPr>
          <w:lang w:val="en-US" w:eastAsia="x-none"/>
        </w:rPr>
        <w:t>ession notes</w:t>
      </w:r>
      <w:r>
        <w:rPr>
          <w:lang w:val="en-US" w:eastAsia="x-none"/>
        </w:rPr>
        <w:t xml:space="preserve"> are </w:t>
      </w:r>
      <w:r>
        <w:rPr>
          <w:highlight w:val="green"/>
          <w:lang w:eastAsia="x-none"/>
        </w:rPr>
        <w:t>e</w:t>
      </w:r>
      <w:r w:rsidRPr="00D96FAE">
        <w:rPr>
          <w:highlight w:val="green"/>
          <w:lang w:eastAsia="x-none"/>
        </w:rPr>
        <w:t xml:space="preserve">ndorsed </w:t>
      </w:r>
      <w:r w:rsidRPr="00D96FAE">
        <w:rPr>
          <w:lang w:eastAsia="x-none"/>
        </w:rPr>
        <w:t>and contents reflected below.</w:t>
      </w:r>
    </w:p>
    <w:p w14:paraId="79BD97D9" w14:textId="77777777" w:rsidR="00B32D2F" w:rsidRPr="009537ED" w:rsidRDefault="00B32D2F" w:rsidP="00835CB1">
      <w:pPr>
        <w:rPr>
          <w:lang w:eastAsia="x-none"/>
        </w:rPr>
      </w:pPr>
    </w:p>
    <w:p w14:paraId="0807A39A" w14:textId="77777777" w:rsidR="00835CB1" w:rsidRPr="009537ED" w:rsidRDefault="00835CB1" w:rsidP="00835CB1">
      <w:pPr>
        <w:rPr>
          <w:b/>
          <w:lang w:eastAsia="x-none"/>
        </w:rPr>
      </w:pPr>
      <w:r w:rsidRPr="009537ED">
        <w:rPr>
          <w:b/>
          <w:lang w:eastAsia="x-none"/>
        </w:rPr>
        <w:t>MBS</w:t>
      </w:r>
    </w:p>
    <w:p w14:paraId="08F9406D" w14:textId="36CE5C55" w:rsidR="00A36874" w:rsidRPr="00A36874" w:rsidRDefault="005A18DC" w:rsidP="00A36874">
      <w:pPr>
        <w:rPr>
          <w:b/>
          <w:lang w:eastAsia="x-none"/>
        </w:rPr>
      </w:pPr>
      <w:hyperlink r:id="rId537" w:history="1">
        <w:r w:rsidR="00AF7253">
          <w:rPr>
            <w:rStyle w:val="Hyperlink"/>
            <w:b/>
            <w:lang w:eastAsia="x-none"/>
          </w:rPr>
          <w:t>R1-2312285</w:t>
        </w:r>
      </w:hyperlink>
      <w:r w:rsidR="00A36874" w:rsidRPr="00A36874">
        <w:rPr>
          <w:b/>
          <w:lang w:eastAsia="x-none"/>
        </w:rPr>
        <w:tab/>
        <w:t>FLS#1 on the maintenance issues for Rel-17 NR MBS</w:t>
      </w:r>
      <w:r w:rsidR="00A36874" w:rsidRPr="00A36874">
        <w:rPr>
          <w:b/>
          <w:lang w:eastAsia="x-none"/>
        </w:rPr>
        <w:tab/>
        <w:t>Moderator (Huawei)</w:t>
      </w:r>
    </w:p>
    <w:p w14:paraId="5D293B5C" w14:textId="1A72AFBF" w:rsidR="00A36874" w:rsidRPr="00A36874" w:rsidRDefault="005A18DC" w:rsidP="00A36874">
      <w:pPr>
        <w:rPr>
          <w:b/>
          <w:bCs/>
          <w:lang w:eastAsia="x-none"/>
        </w:rPr>
      </w:pPr>
      <w:hyperlink r:id="rId538" w:history="1">
        <w:r w:rsidR="00AF7253">
          <w:rPr>
            <w:rStyle w:val="Hyperlink"/>
            <w:b/>
            <w:bCs/>
            <w:lang w:eastAsia="x-none"/>
          </w:rPr>
          <w:t>R1-2312286</w:t>
        </w:r>
      </w:hyperlink>
      <w:r w:rsidR="00A36874" w:rsidRPr="00A36874">
        <w:rPr>
          <w:b/>
          <w:bCs/>
          <w:lang w:eastAsia="x-none"/>
        </w:rPr>
        <w:tab/>
        <w:t>FLS#2 on the maintenance issues for Rel-17 NR MBS</w:t>
      </w:r>
      <w:r w:rsidR="00A36874" w:rsidRPr="00A36874">
        <w:rPr>
          <w:b/>
          <w:bCs/>
          <w:lang w:eastAsia="x-none"/>
        </w:rPr>
        <w:tab/>
        <w:t>Moderator (Huawei)</w:t>
      </w:r>
    </w:p>
    <w:p w14:paraId="11D7273E" w14:textId="7710C342" w:rsidR="00A36874" w:rsidRPr="0042366C" w:rsidRDefault="005A18DC" w:rsidP="00A36874">
      <w:pPr>
        <w:rPr>
          <w:b/>
          <w:bCs/>
          <w:lang w:eastAsia="x-none"/>
        </w:rPr>
      </w:pPr>
      <w:hyperlink r:id="rId539" w:history="1">
        <w:r w:rsidR="00AF7253">
          <w:rPr>
            <w:rStyle w:val="Hyperlink"/>
            <w:b/>
            <w:bCs/>
            <w:lang w:eastAsia="x-none"/>
          </w:rPr>
          <w:t>R1-2312287</w:t>
        </w:r>
      </w:hyperlink>
      <w:r w:rsidR="00A36874" w:rsidRPr="0042366C">
        <w:rPr>
          <w:b/>
          <w:bCs/>
          <w:lang w:eastAsia="x-none"/>
        </w:rPr>
        <w:tab/>
        <w:t>FLS#3 on the maintenance issues for Rel-17 NR MBS</w:t>
      </w:r>
      <w:r w:rsidR="00A36874" w:rsidRPr="0042366C">
        <w:rPr>
          <w:b/>
          <w:bCs/>
          <w:lang w:eastAsia="x-none"/>
        </w:rPr>
        <w:tab/>
        <w:t>Moderator (Huawei)</w:t>
      </w:r>
    </w:p>
    <w:p w14:paraId="2C2E2BDE" w14:textId="77777777" w:rsidR="00A36874" w:rsidRPr="00A36874" w:rsidRDefault="00A36874" w:rsidP="00A36874">
      <w:pPr>
        <w:rPr>
          <w:highlight w:val="yellow"/>
          <w:lang w:eastAsia="x-none"/>
        </w:rPr>
      </w:pPr>
    </w:p>
    <w:p w14:paraId="0255A7B0" w14:textId="77777777" w:rsidR="00A36874" w:rsidRPr="00A36874" w:rsidRDefault="00A36874" w:rsidP="00A36874">
      <w:pPr>
        <w:rPr>
          <w:b/>
          <w:u w:val="single"/>
          <w:lang w:eastAsia="x-none"/>
        </w:rPr>
      </w:pPr>
      <w:r w:rsidRPr="00A36874">
        <w:rPr>
          <w:b/>
          <w:u w:val="single"/>
          <w:lang w:eastAsia="x-none"/>
        </w:rPr>
        <w:t xml:space="preserve">Maintenance of HARQ-ACK related issues </w:t>
      </w:r>
    </w:p>
    <w:p w14:paraId="2B0EBBB8" w14:textId="77777777" w:rsidR="00A36874" w:rsidRPr="00A36874" w:rsidRDefault="00A36874" w:rsidP="00A36874">
      <w:pPr>
        <w:rPr>
          <w:b/>
          <w:lang w:eastAsia="x-none"/>
        </w:rPr>
      </w:pPr>
      <w:r w:rsidRPr="00A36874">
        <w:rPr>
          <w:b/>
          <w:lang w:eastAsia="x-none"/>
        </w:rPr>
        <w:t>Issue (1-1) Type-1 CB on PUSCH</w:t>
      </w:r>
    </w:p>
    <w:p w14:paraId="6F443ED6" w14:textId="18D61850" w:rsidR="00A36874" w:rsidRPr="00A36874" w:rsidRDefault="005A18DC" w:rsidP="00A36874">
      <w:pPr>
        <w:rPr>
          <w:lang w:eastAsia="x-none"/>
        </w:rPr>
      </w:pPr>
      <w:hyperlink r:id="rId540" w:history="1">
        <w:r w:rsidR="00AF7253">
          <w:rPr>
            <w:rStyle w:val="Hyperlink"/>
            <w:lang w:eastAsia="x-none"/>
          </w:rPr>
          <w:t>R1-2311014</w:t>
        </w:r>
      </w:hyperlink>
      <w:r w:rsidR="00A36874" w:rsidRPr="00A36874">
        <w:rPr>
          <w:lang w:eastAsia="x-none"/>
        </w:rPr>
        <w:tab/>
        <w:t>Draft CR on the type 1 HARQ-ACK codebook in PUSCH</w:t>
      </w:r>
      <w:r w:rsidR="00A36874" w:rsidRPr="00A36874">
        <w:rPr>
          <w:lang w:eastAsia="x-none"/>
        </w:rPr>
        <w:tab/>
        <w:t>ZTE, CBN</w:t>
      </w:r>
    </w:p>
    <w:p w14:paraId="282B830B" w14:textId="5B35EC13" w:rsidR="00A36874" w:rsidRPr="00A36874" w:rsidRDefault="005A18DC" w:rsidP="00A36874">
      <w:pPr>
        <w:rPr>
          <w:lang w:eastAsia="x-none"/>
        </w:rPr>
      </w:pPr>
      <w:hyperlink r:id="rId541" w:history="1">
        <w:r w:rsidR="00AF7253">
          <w:rPr>
            <w:rStyle w:val="Hyperlink"/>
            <w:lang w:eastAsia="x-none"/>
          </w:rPr>
          <w:t>R1-2310835</w:t>
        </w:r>
      </w:hyperlink>
      <w:r w:rsidR="00A36874" w:rsidRPr="00A36874">
        <w:rPr>
          <w:lang w:eastAsia="x-none"/>
        </w:rPr>
        <w:tab/>
        <w:t>Draft CR on fallback Type-1 HARQ codebook</w:t>
      </w:r>
      <w:r w:rsidR="00A36874" w:rsidRPr="00A36874">
        <w:rPr>
          <w:lang w:eastAsia="x-none"/>
        </w:rPr>
        <w:tab/>
        <w:t>Huawei, HiSilicon, CBN</w:t>
      </w:r>
    </w:p>
    <w:p w14:paraId="284EF4AB" w14:textId="67746AA2" w:rsidR="00A36874" w:rsidRPr="00A36874" w:rsidRDefault="005A18DC" w:rsidP="00A36874">
      <w:pPr>
        <w:rPr>
          <w:lang w:eastAsia="x-none"/>
        </w:rPr>
      </w:pPr>
      <w:hyperlink r:id="rId542" w:history="1">
        <w:r w:rsidR="00AF7253">
          <w:rPr>
            <w:rStyle w:val="Hyperlink"/>
            <w:lang w:eastAsia="x-none"/>
          </w:rPr>
          <w:t>R1-2312212</w:t>
        </w:r>
      </w:hyperlink>
      <w:r w:rsidR="00A36874" w:rsidRPr="00A36874">
        <w:rPr>
          <w:lang w:eastAsia="x-none"/>
        </w:rPr>
        <w:tab/>
        <w:t>Discussion on the maintenance issues for Rel-17 MBS</w:t>
      </w:r>
      <w:r w:rsidR="00A36874" w:rsidRPr="00A36874">
        <w:rPr>
          <w:lang w:eastAsia="x-none"/>
        </w:rPr>
        <w:tab/>
        <w:t>Huawei, HiSilicon, CBN</w:t>
      </w:r>
    </w:p>
    <w:p w14:paraId="780D1C62" w14:textId="03FC6868" w:rsidR="00A36874" w:rsidRPr="00A36874" w:rsidRDefault="005A18DC" w:rsidP="00A36874">
      <w:pPr>
        <w:rPr>
          <w:lang w:eastAsia="x-none"/>
        </w:rPr>
      </w:pPr>
      <w:hyperlink r:id="rId543" w:history="1">
        <w:r w:rsidR="00AF7253">
          <w:rPr>
            <w:rStyle w:val="Hyperlink"/>
            <w:lang w:eastAsia="x-none"/>
          </w:rPr>
          <w:t>R1-2311079</w:t>
        </w:r>
      </w:hyperlink>
      <w:r w:rsidR="00A36874" w:rsidRPr="00A36874">
        <w:rPr>
          <w:lang w:eastAsia="x-none"/>
        </w:rPr>
        <w:tab/>
        <w:t>Draft CR on type 1 codebook on PUSCH with fallback operation</w:t>
      </w:r>
      <w:r w:rsidR="00A36874" w:rsidRPr="00A36874">
        <w:rPr>
          <w:lang w:eastAsia="x-none"/>
        </w:rPr>
        <w:tab/>
        <w:t>vivo</w:t>
      </w:r>
    </w:p>
    <w:p w14:paraId="2A06DAC2" w14:textId="62AD7551" w:rsidR="00A36874" w:rsidRPr="00A36874" w:rsidRDefault="005A18DC" w:rsidP="00A36874">
      <w:pPr>
        <w:rPr>
          <w:lang w:eastAsia="x-none"/>
        </w:rPr>
      </w:pPr>
      <w:hyperlink r:id="rId544" w:history="1">
        <w:r w:rsidR="00AF7253">
          <w:rPr>
            <w:rStyle w:val="Hyperlink"/>
            <w:lang w:eastAsia="x-none"/>
          </w:rPr>
          <w:t>R1-2311827</w:t>
        </w:r>
      </w:hyperlink>
      <w:r w:rsidR="00A36874" w:rsidRPr="00A36874">
        <w:rPr>
          <w:lang w:eastAsia="x-none"/>
        </w:rPr>
        <w:tab/>
        <w:t>Correction on Type-1 HARQ-ACK fallback operation in PUSCH</w:t>
      </w:r>
      <w:r w:rsidR="00A36874" w:rsidRPr="00A36874">
        <w:rPr>
          <w:lang w:eastAsia="x-none"/>
        </w:rPr>
        <w:tab/>
        <w:t>Samsung</w:t>
      </w:r>
    </w:p>
    <w:p w14:paraId="64030164" w14:textId="3D74DB73" w:rsidR="00A36874" w:rsidRPr="00A36874" w:rsidRDefault="005A18DC" w:rsidP="00A36874">
      <w:pPr>
        <w:rPr>
          <w:lang w:eastAsia="x-none"/>
        </w:rPr>
      </w:pPr>
      <w:hyperlink r:id="rId545" w:history="1">
        <w:r w:rsidR="00AF7253">
          <w:rPr>
            <w:rStyle w:val="Hyperlink"/>
            <w:lang w:eastAsia="x-none"/>
          </w:rPr>
          <w:t>R1-2311299</w:t>
        </w:r>
      </w:hyperlink>
      <w:r w:rsidR="00A36874" w:rsidRPr="00A36874">
        <w:rPr>
          <w:lang w:eastAsia="x-none"/>
        </w:rPr>
        <w:tab/>
        <w:t>Draft CR on fallback Type-1 HARQ-ACK codebook on PUSCH without UL DAI field</w:t>
      </w:r>
      <w:r w:rsidR="00A36874" w:rsidRPr="00A36874">
        <w:rPr>
          <w:lang w:eastAsia="x-none"/>
        </w:rPr>
        <w:tab/>
        <w:t>CATT, CBN</w:t>
      </w:r>
    </w:p>
    <w:p w14:paraId="62594D04" w14:textId="694272B5" w:rsidR="00A36874" w:rsidRPr="00A36874" w:rsidRDefault="005A18DC" w:rsidP="00A36874">
      <w:pPr>
        <w:rPr>
          <w:lang w:eastAsia="x-none"/>
        </w:rPr>
      </w:pPr>
      <w:hyperlink r:id="rId546" w:history="1">
        <w:r w:rsidR="00AF7253">
          <w:rPr>
            <w:rStyle w:val="Hyperlink"/>
            <w:lang w:eastAsia="x-none"/>
          </w:rPr>
          <w:t>R1-2311300</w:t>
        </w:r>
      </w:hyperlink>
      <w:r w:rsidR="00A36874" w:rsidRPr="00A36874">
        <w:rPr>
          <w:lang w:eastAsia="x-none"/>
        </w:rPr>
        <w:tab/>
        <w:t>Draft CR on fallback Type-1 HARQ-ACK codebook on PUSCH with a UL DAI field</w:t>
      </w:r>
      <w:r w:rsidR="00A36874" w:rsidRPr="00A36874">
        <w:rPr>
          <w:lang w:eastAsia="x-none"/>
        </w:rPr>
        <w:tab/>
        <w:t>CATT, CBN</w:t>
      </w:r>
    </w:p>
    <w:p w14:paraId="16EC7DAE" w14:textId="4B50F3BF" w:rsidR="00A36874" w:rsidRPr="00A36874" w:rsidRDefault="005A18DC" w:rsidP="00A36874">
      <w:pPr>
        <w:rPr>
          <w:lang w:eastAsia="x-none"/>
        </w:rPr>
      </w:pPr>
      <w:hyperlink r:id="rId547" w:history="1">
        <w:r w:rsidR="00AF7253">
          <w:rPr>
            <w:rStyle w:val="Hyperlink"/>
            <w:lang w:eastAsia="x-none"/>
          </w:rPr>
          <w:t>R1-2311301</w:t>
        </w:r>
      </w:hyperlink>
      <w:r w:rsidR="00A36874" w:rsidRPr="00A36874">
        <w:rPr>
          <w:lang w:eastAsia="x-none"/>
        </w:rPr>
        <w:tab/>
        <w:t>Discussion on fallback Type-1 CB on PUSCH with two UL DAI fields</w:t>
      </w:r>
      <w:r w:rsidR="00A36874" w:rsidRPr="00A36874">
        <w:rPr>
          <w:lang w:eastAsia="x-none"/>
        </w:rPr>
        <w:tab/>
        <w:t>CATT, CBN</w:t>
      </w:r>
    </w:p>
    <w:p w14:paraId="099E2CEB" w14:textId="5C94B9F7" w:rsidR="00A36874" w:rsidRPr="00A36874" w:rsidRDefault="005A18DC" w:rsidP="00A36874">
      <w:pPr>
        <w:rPr>
          <w:lang w:eastAsia="x-none"/>
        </w:rPr>
      </w:pPr>
      <w:hyperlink r:id="rId548" w:history="1">
        <w:r w:rsidR="00AF7253">
          <w:rPr>
            <w:rStyle w:val="Hyperlink"/>
            <w:lang w:eastAsia="x-none"/>
          </w:rPr>
          <w:t>R1-2311302</w:t>
        </w:r>
      </w:hyperlink>
      <w:r w:rsidR="00A36874" w:rsidRPr="00A36874">
        <w:rPr>
          <w:lang w:eastAsia="x-none"/>
        </w:rPr>
        <w:tab/>
        <w:t>Draft CR on fallback Type-1 CB on PUSCH with two UL DAI fields</w:t>
      </w:r>
      <w:r w:rsidR="00A36874" w:rsidRPr="00A36874">
        <w:rPr>
          <w:lang w:eastAsia="x-none"/>
        </w:rPr>
        <w:tab/>
        <w:t>CATT, CBN</w:t>
      </w:r>
    </w:p>
    <w:p w14:paraId="142DE966" w14:textId="2D5854C2" w:rsidR="00A36874" w:rsidRPr="00A36874" w:rsidRDefault="005A18DC" w:rsidP="00A36874">
      <w:pPr>
        <w:rPr>
          <w:lang w:eastAsia="x-none"/>
        </w:rPr>
      </w:pPr>
      <w:hyperlink r:id="rId549" w:history="1">
        <w:r w:rsidR="00AF7253">
          <w:rPr>
            <w:rStyle w:val="Hyperlink"/>
            <w:lang w:eastAsia="x-none"/>
          </w:rPr>
          <w:t>R1-2312075</w:t>
        </w:r>
      </w:hyperlink>
      <w:r w:rsidR="00A36874" w:rsidRPr="00A36874">
        <w:rPr>
          <w:lang w:eastAsia="x-none"/>
        </w:rPr>
        <w:tab/>
        <w:t>Correction on fallback Type-1 HARQ-ACK codebook</w:t>
      </w:r>
      <w:r w:rsidR="00A36874" w:rsidRPr="00A36874">
        <w:rPr>
          <w:lang w:eastAsia="x-none"/>
        </w:rPr>
        <w:tab/>
        <w:t>CATT</w:t>
      </w:r>
    </w:p>
    <w:p w14:paraId="405FA01B" w14:textId="77777777" w:rsidR="00A36874" w:rsidRPr="00A36874" w:rsidRDefault="00A36874" w:rsidP="00A36874">
      <w:pPr>
        <w:rPr>
          <w:lang w:eastAsia="x-none"/>
        </w:rPr>
      </w:pPr>
      <w:r w:rsidRPr="00A36874">
        <w:rPr>
          <w:lang w:eastAsia="x-none"/>
        </w:rPr>
        <w:t>Moved from agenda item 7.1.</w:t>
      </w:r>
    </w:p>
    <w:p w14:paraId="2F8E1289" w14:textId="77777777" w:rsidR="00A36874" w:rsidRPr="00A36874" w:rsidRDefault="00A36874" w:rsidP="00A36874">
      <w:pPr>
        <w:rPr>
          <w:lang w:eastAsia="x-none"/>
        </w:rPr>
      </w:pPr>
    </w:p>
    <w:p w14:paraId="12ABAF68" w14:textId="72097124" w:rsidR="00A36874" w:rsidRDefault="005A18DC" w:rsidP="00A36874">
      <w:pPr>
        <w:rPr>
          <w:b/>
        </w:rPr>
      </w:pPr>
      <w:hyperlink r:id="rId550" w:history="1">
        <w:r w:rsidR="00AF7253">
          <w:rPr>
            <w:rStyle w:val="Hyperlink"/>
            <w:b/>
          </w:rPr>
          <w:t>R1-2312289</w:t>
        </w:r>
      </w:hyperlink>
      <w:r w:rsidR="00A36874" w:rsidRPr="00A36874">
        <w:rPr>
          <w:b/>
        </w:rPr>
        <w:tab/>
        <w:t>Draft CR on Type-1 HARQ-ACK codebook on PUSCH</w:t>
      </w:r>
      <w:r w:rsidR="00A36874" w:rsidRPr="00A36874">
        <w:rPr>
          <w:b/>
        </w:rPr>
        <w:tab/>
        <w:t>Moderator (Huawei), [Samsung, CATT, vivo, ZTE]</w:t>
      </w:r>
    </w:p>
    <w:p w14:paraId="5F74EACB" w14:textId="77777777" w:rsidR="00A36874" w:rsidRPr="00A36874" w:rsidRDefault="00A36874" w:rsidP="00A36874">
      <w:pPr>
        <w:rPr>
          <w:bCs/>
        </w:rPr>
      </w:pPr>
      <w:r w:rsidRPr="00A36874">
        <w:rPr>
          <w:bCs/>
          <w:highlight w:val="green"/>
        </w:rPr>
        <w:t>Agreement</w:t>
      </w:r>
    </w:p>
    <w:p w14:paraId="23604890" w14:textId="2E76C934" w:rsidR="00A36874" w:rsidRPr="00A36874" w:rsidRDefault="00A36874" w:rsidP="00A36874">
      <w:r w:rsidRPr="00A36874">
        <w:t xml:space="preserve">The moderator draft CR for issue 1-1 (to be </w:t>
      </w:r>
      <w:hyperlink r:id="rId551" w:history="1">
        <w:r w:rsidR="00AF7253">
          <w:rPr>
            <w:rStyle w:val="Hyperlink"/>
          </w:rPr>
          <w:t>R1-2312289</w:t>
        </w:r>
      </w:hyperlink>
      <w:r w:rsidRPr="00A36874">
        <w:t>) is endorsed with the following addition of (s):</w:t>
      </w:r>
    </w:p>
    <w:p w14:paraId="3FCC757C" w14:textId="77777777" w:rsidR="00A36874" w:rsidRPr="00A36874" w:rsidRDefault="00A36874" w:rsidP="00A36874">
      <w:pPr>
        <w:pStyle w:val="ListParagraph"/>
        <w:numPr>
          <w:ilvl w:val="0"/>
          <w:numId w:val="80"/>
        </w:numPr>
        <w:rPr>
          <w:ins w:id="109" w:author="Moderator(Huawei)" w:date="2023-11-10T12:15:00Z"/>
        </w:rPr>
      </w:pPr>
      <w:bookmarkStart w:id="110" w:name="_Hlk150877461"/>
      <w:del w:id="111" w:author="Moderator(Huawei)" w:date="2023-11-10T12:24:00Z">
        <w:r w:rsidRPr="00A36874" w:rsidDel="00485CC0">
          <w:delText xml:space="preserve">only </w:delText>
        </w:r>
      </w:del>
      <w:r w:rsidRPr="00A36874">
        <w:t>SPS PDSCH</w:t>
      </w:r>
      <w:ins w:id="112" w:author="David mazzarese" w:date="2023-11-14T18:03:00Z">
        <w:r w:rsidRPr="00A36874">
          <w:t>(s)</w:t>
        </w:r>
      </w:ins>
      <w:r w:rsidRPr="00A36874">
        <w:t xml:space="preserve"> </w:t>
      </w:r>
      <w:del w:id="113" w:author="Moderator(Huawei)" w:date="2023-11-10T12:18:00Z">
        <w:r w:rsidRPr="00A36874" w:rsidDel="00485CC0">
          <w:delText>receptions</w:delText>
        </w:r>
      </w:del>
      <w:ins w:id="114" w:author="Moderator(Huawei)" w:date="2023-11-07T17:54:00Z">
        <w:r w:rsidRPr="00A36874">
          <w:rPr>
            <w:lang w:val="en-US"/>
          </w:rPr>
          <w:t>with transport blocks having enabled HARQ-ACK information report</w:t>
        </w:r>
      </w:ins>
      <w:r w:rsidRPr="00A36874">
        <w:t>,</w:t>
      </w:r>
      <w:r w:rsidRPr="00A36874">
        <w:rPr>
          <w:lang w:eastAsia="zh-CN"/>
        </w:rPr>
        <w:t xml:space="preserve"> or</w:t>
      </w:r>
      <w:r w:rsidRPr="00A36874">
        <w:rPr>
          <w:lang w:val="en-US" w:eastAsia="zh-CN"/>
        </w:rPr>
        <w:t xml:space="preserve"> </w:t>
      </w:r>
    </w:p>
    <w:bookmarkEnd w:id="110"/>
    <w:p w14:paraId="767F1B0E" w14:textId="77777777" w:rsidR="00A91E45" w:rsidRPr="00A91E45" w:rsidRDefault="00A36874" w:rsidP="00A36874">
      <w:pPr>
        <w:rPr>
          <w:lang w:eastAsia="x-none"/>
        </w:rPr>
      </w:pPr>
      <w:r w:rsidRPr="00A91E45">
        <w:rPr>
          <w:lang w:eastAsia="x-none"/>
        </w:rPr>
        <w:t xml:space="preserve">Final </w:t>
      </w:r>
      <w:r w:rsidR="00A91E45" w:rsidRPr="00A91E45">
        <w:rPr>
          <w:lang w:eastAsia="x-none"/>
        </w:rPr>
        <w:t>CRs in:</w:t>
      </w:r>
    </w:p>
    <w:p w14:paraId="074A30DA" w14:textId="6C50E445" w:rsidR="00A36874" w:rsidRPr="00A91E45" w:rsidRDefault="005A18DC" w:rsidP="00A36874">
      <w:pPr>
        <w:rPr>
          <w:b/>
          <w:bCs/>
          <w:lang w:eastAsia="x-none"/>
        </w:rPr>
      </w:pPr>
      <w:hyperlink r:id="rId552" w:history="1">
        <w:r w:rsidR="00AF7253">
          <w:rPr>
            <w:rStyle w:val="Hyperlink"/>
            <w:b/>
            <w:bCs/>
            <w:highlight w:val="green"/>
            <w:lang w:eastAsia="x-none"/>
          </w:rPr>
          <w:t>R1-2312555</w:t>
        </w:r>
      </w:hyperlink>
      <w:r w:rsidR="00A36874" w:rsidRPr="00A91E45">
        <w:rPr>
          <w:b/>
          <w:bCs/>
          <w:lang w:eastAsia="x-none"/>
        </w:rPr>
        <w:tab/>
        <w:t>CR on Type-1 HARQ-ACK codebook on PUSCH</w:t>
      </w:r>
      <w:r w:rsidR="00A36874" w:rsidRPr="00A91E45">
        <w:rPr>
          <w:b/>
          <w:bCs/>
          <w:lang w:eastAsia="x-none"/>
        </w:rPr>
        <w:tab/>
        <w:t>Moderator (Huawei), Samsung, CATT, vivo, ZTE</w:t>
      </w:r>
    </w:p>
    <w:p w14:paraId="696150B8" w14:textId="5EE2D186" w:rsidR="00A36874" w:rsidRDefault="00A36874" w:rsidP="00A36874">
      <w:pPr>
        <w:rPr>
          <w:lang w:eastAsia="x-none"/>
        </w:rPr>
      </w:pPr>
      <w:r w:rsidRPr="00A91E45">
        <w:rPr>
          <w:b/>
          <w:bCs/>
          <w:lang w:eastAsia="x-none"/>
        </w:rPr>
        <w:t>Tuesday decision:</w:t>
      </w:r>
      <w:r>
        <w:rPr>
          <w:lang w:eastAsia="x-none"/>
        </w:rPr>
        <w:t xml:space="preserve"> (Rel-17, TS 38.213</w:t>
      </w:r>
      <w:r w:rsidR="00A91E45">
        <w:rPr>
          <w:lang w:eastAsia="x-none"/>
        </w:rPr>
        <w:t>, CR</w:t>
      </w:r>
      <w:r>
        <w:rPr>
          <w:lang w:eastAsia="x-none"/>
        </w:rPr>
        <w:t>0552</w:t>
      </w:r>
      <w:r w:rsidR="00A91E45">
        <w:rPr>
          <w:lang w:eastAsia="x-none"/>
        </w:rPr>
        <w:t xml:space="preserve">, Cat </w:t>
      </w:r>
      <w:r>
        <w:rPr>
          <w:lang w:eastAsia="x-none"/>
        </w:rPr>
        <w:t>F</w:t>
      </w:r>
      <w:r w:rsidR="00A91E45">
        <w:rPr>
          <w:lang w:eastAsia="x-none"/>
        </w:rPr>
        <w:t>) is agreed.</w:t>
      </w:r>
    </w:p>
    <w:p w14:paraId="3E833B55" w14:textId="3E4BC721" w:rsidR="00A91E45" w:rsidRPr="00A91E45" w:rsidRDefault="005A18DC" w:rsidP="00A36874">
      <w:pPr>
        <w:rPr>
          <w:b/>
          <w:bCs/>
          <w:lang w:eastAsia="x-none"/>
        </w:rPr>
      </w:pPr>
      <w:hyperlink r:id="rId553" w:history="1">
        <w:r w:rsidR="00AF7253">
          <w:rPr>
            <w:rStyle w:val="Hyperlink"/>
            <w:b/>
            <w:bCs/>
            <w:highlight w:val="green"/>
            <w:lang w:eastAsia="x-none"/>
          </w:rPr>
          <w:t>R1-2312556</w:t>
        </w:r>
      </w:hyperlink>
      <w:r w:rsidR="00A36874" w:rsidRPr="00A91E45">
        <w:rPr>
          <w:b/>
          <w:bCs/>
          <w:lang w:eastAsia="x-none"/>
        </w:rPr>
        <w:tab/>
        <w:t>CR on Type-1 HARQ-ACK codebook on PUSCH</w:t>
      </w:r>
      <w:r w:rsidR="00A36874" w:rsidRPr="00A91E45">
        <w:rPr>
          <w:b/>
          <w:bCs/>
          <w:lang w:eastAsia="x-none"/>
        </w:rPr>
        <w:tab/>
        <w:t>Moderator (Huawei), Samsung, CATT, vivo, ZTE</w:t>
      </w:r>
    </w:p>
    <w:p w14:paraId="38FEEE19" w14:textId="6DCB38A6" w:rsidR="00A91E45" w:rsidRDefault="00A91E45" w:rsidP="00A91E45">
      <w:pPr>
        <w:rPr>
          <w:lang w:eastAsia="x-none"/>
        </w:rPr>
      </w:pPr>
      <w:r w:rsidRPr="00A91E45">
        <w:rPr>
          <w:b/>
          <w:bCs/>
          <w:lang w:eastAsia="x-none"/>
        </w:rPr>
        <w:t>Tuesday decision:</w:t>
      </w:r>
      <w:r>
        <w:rPr>
          <w:lang w:eastAsia="x-none"/>
        </w:rPr>
        <w:t xml:space="preserve"> (Rel-18, TS 38.213, CR0553, Cat A) is agreed.</w:t>
      </w:r>
    </w:p>
    <w:p w14:paraId="727DE42A" w14:textId="7C1FD999" w:rsidR="00A36874" w:rsidRPr="00A36874" w:rsidRDefault="00A36874" w:rsidP="00A36874">
      <w:pPr>
        <w:rPr>
          <w:lang w:eastAsia="x-none"/>
        </w:rPr>
      </w:pPr>
    </w:p>
    <w:p w14:paraId="62A709F4" w14:textId="77777777" w:rsidR="00A36874" w:rsidRPr="00A36874" w:rsidRDefault="00A36874" w:rsidP="00A36874">
      <w:pPr>
        <w:rPr>
          <w:lang w:eastAsia="x-none"/>
        </w:rPr>
      </w:pPr>
    </w:p>
    <w:p w14:paraId="3D35C8A8" w14:textId="77777777" w:rsidR="00A36874" w:rsidRPr="00A36874" w:rsidRDefault="00A36874" w:rsidP="00A36874">
      <w:pPr>
        <w:rPr>
          <w:b/>
          <w:lang w:eastAsia="x-none"/>
        </w:rPr>
      </w:pPr>
      <w:r w:rsidRPr="00A36874">
        <w:rPr>
          <w:b/>
          <w:lang w:eastAsia="x-none"/>
        </w:rPr>
        <w:t>Issue (1-2) Type-1 CB on PUCCH</w:t>
      </w:r>
    </w:p>
    <w:p w14:paraId="535FA7E7" w14:textId="0BB6C77A" w:rsidR="00A36874" w:rsidRPr="00A36874" w:rsidRDefault="005A18DC" w:rsidP="00A36874">
      <w:pPr>
        <w:rPr>
          <w:lang w:eastAsia="x-none"/>
        </w:rPr>
      </w:pPr>
      <w:hyperlink r:id="rId554" w:history="1">
        <w:r w:rsidR="00AF7253">
          <w:rPr>
            <w:rStyle w:val="Hyperlink"/>
            <w:lang w:eastAsia="x-none"/>
          </w:rPr>
          <w:t>R1-2311013</w:t>
        </w:r>
      </w:hyperlink>
      <w:r w:rsidR="00A36874" w:rsidRPr="00A36874">
        <w:rPr>
          <w:lang w:eastAsia="x-none"/>
        </w:rPr>
        <w:tab/>
        <w:t>Draft CR on Type-1 HARQ-ACK codebook for MBS</w:t>
      </w:r>
      <w:r w:rsidR="00A36874" w:rsidRPr="00A36874">
        <w:rPr>
          <w:lang w:eastAsia="x-none"/>
        </w:rPr>
        <w:tab/>
        <w:t>ZTE, CBN</w:t>
      </w:r>
    </w:p>
    <w:p w14:paraId="17B91EB7" w14:textId="35D61851" w:rsidR="00A36874" w:rsidRPr="00A36874" w:rsidRDefault="005A18DC" w:rsidP="00A36874">
      <w:pPr>
        <w:rPr>
          <w:lang w:eastAsia="x-none"/>
        </w:rPr>
      </w:pPr>
      <w:hyperlink r:id="rId555" w:history="1">
        <w:r w:rsidR="00AF7253">
          <w:rPr>
            <w:rStyle w:val="Hyperlink"/>
            <w:lang w:eastAsia="x-none"/>
          </w:rPr>
          <w:t>R1-2310834</w:t>
        </w:r>
      </w:hyperlink>
      <w:r w:rsidR="00A36874" w:rsidRPr="00A36874">
        <w:rPr>
          <w:lang w:eastAsia="x-none"/>
        </w:rPr>
        <w:tab/>
        <w:t>Draft CR on Type-1 HARQ-ACK codebook on PUCCH</w:t>
      </w:r>
      <w:r w:rsidR="00A36874" w:rsidRPr="00A36874">
        <w:rPr>
          <w:lang w:eastAsia="x-none"/>
        </w:rPr>
        <w:tab/>
        <w:t>Huawei, HiSilicon, CBN</w:t>
      </w:r>
    </w:p>
    <w:p w14:paraId="33DC0522" w14:textId="36D9DBBC" w:rsidR="00A36874" w:rsidRPr="00A36874" w:rsidRDefault="005A18DC" w:rsidP="00A36874">
      <w:pPr>
        <w:rPr>
          <w:lang w:eastAsia="x-none"/>
        </w:rPr>
      </w:pPr>
      <w:hyperlink r:id="rId556" w:history="1">
        <w:r w:rsidR="00AF7253">
          <w:rPr>
            <w:rStyle w:val="Hyperlink"/>
            <w:lang w:eastAsia="x-none"/>
          </w:rPr>
          <w:t>R1-2311080</w:t>
        </w:r>
      </w:hyperlink>
      <w:r w:rsidR="00A36874" w:rsidRPr="00A36874">
        <w:rPr>
          <w:lang w:eastAsia="x-none"/>
        </w:rPr>
        <w:tab/>
        <w:t>Draft CR on type 1 codebook with MBS PDSCH repetition</w:t>
      </w:r>
      <w:r w:rsidR="00A36874" w:rsidRPr="00A36874">
        <w:rPr>
          <w:lang w:eastAsia="x-none"/>
        </w:rPr>
        <w:tab/>
        <w:t>vivo</w:t>
      </w:r>
    </w:p>
    <w:p w14:paraId="1ABDBB1A" w14:textId="59FAFCF2" w:rsidR="00A36874" w:rsidRPr="00A36874" w:rsidRDefault="005A18DC" w:rsidP="00A36874">
      <w:pPr>
        <w:rPr>
          <w:lang w:eastAsia="x-none"/>
        </w:rPr>
      </w:pPr>
      <w:hyperlink r:id="rId557" w:history="1">
        <w:r w:rsidR="00AF7253">
          <w:rPr>
            <w:rStyle w:val="Hyperlink"/>
            <w:lang w:eastAsia="x-none"/>
          </w:rPr>
          <w:t>R1-2311791</w:t>
        </w:r>
      </w:hyperlink>
      <w:r w:rsidR="00A36874" w:rsidRPr="00A36874">
        <w:rPr>
          <w:lang w:eastAsia="x-none"/>
        </w:rPr>
        <w:tab/>
        <w:t>Draft CR on Type-1 HARQ-ACK Codebook with Repetitions</w:t>
      </w:r>
      <w:r w:rsidR="00A36874" w:rsidRPr="00A36874">
        <w:rPr>
          <w:lang w:eastAsia="x-none"/>
        </w:rPr>
        <w:tab/>
        <w:t>Nokia, Nokia Shanghai Bell</w:t>
      </w:r>
    </w:p>
    <w:p w14:paraId="7BBF8E70" w14:textId="6D19DA21" w:rsidR="00A36874" w:rsidRPr="00A36874" w:rsidRDefault="005A18DC" w:rsidP="00A36874">
      <w:pPr>
        <w:rPr>
          <w:lang w:eastAsia="x-none"/>
        </w:rPr>
      </w:pPr>
      <w:hyperlink r:id="rId558" w:history="1">
        <w:r w:rsidR="00AF7253">
          <w:rPr>
            <w:rStyle w:val="Hyperlink"/>
            <w:lang w:eastAsia="x-none"/>
          </w:rPr>
          <w:t>R1-2312022</w:t>
        </w:r>
      </w:hyperlink>
      <w:r w:rsidR="00A36874" w:rsidRPr="00A36874">
        <w:rPr>
          <w:lang w:eastAsia="x-none"/>
        </w:rPr>
        <w:tab/>
        <w:t>Draft CR on multicast repetition number for Type-1 HARQ-ACK codebook</w:t>
      </w:r>
      <w:r w:rsidR="00A36874" w:rsidRPr="00A36874">
        <w:rPr>
          <w:lang w:eastAsia="x-none"/>
        </w:rPr>
        <w:tab/>
        <w:t>Qualcomm Incorporated</w:t>
      </w:r>
    </w:p>
    <w:p w14:paraId="7EC84F27" w14:textId="09A41DE8" w:rsidR="00A36874" w:rsidRDefault="005A18DC" w:rsidP="00A36874">
      <w:pPr>
        <w:rPr>
          <w:lang w:eastAsia="x-none"/>
        </w:rPr>
      </w:pPr>
      <w:hyperlink r:id="rId559" w:history="1">
        <w:r w:rsidR="00AF7253">
          <w:rPr>
            <w:rStyle w:val="Hyperlink"/>
            <w:lang w:eastAsia="x-none"/>
          </w:rPr>
          <w:t>R1-2311825</w:t>
        </w:r>
      </w:hyperlink>
      <w:r w:rsidR="00A36874" w:rsidRPr="00A36874">
        <w:rPr>
          <w:lang w:eastAsia="x-none"/>
        </w:rPr>
        <w:tab/>
        <w:t>Discussion on pending draft CRs on MBS from RAN1#114bis</w:t>
      </w:r>
      <w:r w:rsidR="00A36874" w:rsidRPr="00A36874">
        <w:rPr>
          <w:lang w:eastAsia="x-none"/>
        </w:rPr>
        <w:tab/>
        <w:t>Samsung</w:t>
      </w:r>
    </w:p>
    <w:p w14:paraId="054A36FB" w14:textId="77777777" w:rsidR="00392172" w:rsidRPr="00A36874" w:rsidRDefault="00392172" w:rsidP="00A36874">
      <w:pPr>
        <w:rPr>
          <w:lang w:eastAsia="x-none"/>
        </w:rPr>
      </w:pPr>
    </w:p>
    <w:p w14:paraId="068A6E3C" w14:textId="08533547" w:rsidR="00A134C7" w:rsidRPr="00A36874" w:rsidRDefault="005A18DC" w:rsidP="00A134C7">
      <w:pPr>
        <w:rPr>
          <w:lang w:eastAsia="x-none"/>
        </w:rPr>
      </w:pPr>
      <w:hyperlink r:id="rId560" w:history="1">
        <w:r w:rsidR="00AF7253">
          <w:rPr>
            <w:rStyle w:val="Hyperlink"/>
            <w:lang w:eastAsia="x-none"/>
          </w:rPr>
          <w:t>R1-2312290</w:t>
        </w:r>
      </w:hyperlink>
      <w:r w:rsidR="00A134C7" w:rsidRPr="00A134C7">
        <w:rPr>
          <w:lang w:eastAsia="x-none"/>
        </w:rPr>
        <w:tab/>
        <w:t>Draft CR on Type-1 HARQ-ACK codebook on PUCCH</w:t>
      </w:r>
      <w:r w:rsidR="00A134C7" w:rsidRPr="00A134C7">
        <w:rPr>
          <w:lang w:eastAsia="x-none"/>
        </w:rPr>
        <w:tab/>
        <w:t>Moderator</w:t>
      </w:r>
      <w:r w:rsidR="00A134C7">
        <w:rPr>
          <w:lang w:eastAsia="x-none"/>
        </w:rPr>
        <w:t xml:space="preserve"> </w:t>
      </w:r>
      <w:r w:rsidR="00A134C7" w:rsidRPr="00A134C7">
        <w:rPr>
          <w:lang w:eastAsia="x-none"/>
        </w:rPr>
        <w:t>(Huawei), Samsung</w:t>
      </w:r>
    </w:p>
    <w:p w14:paraId="65917DBB" w14:textId="5FE8B0FA" w:rsidR="00A36874" w:rsidRDefault="00FA40A4" w:rsidP="00A36874">
      <w:pPr>
        <w:rPr>
          <w:lang w:eastAsia="x-none"/>
        </w:rPr>
      </w:pPr>
      <w:r>
        <w:rPr>
          <w:lang w:eastAsia="x-none"/>
        </w:rPr>
        <w:t>No consensus to adopt the proposed draft CR.</w:t>
      </w:r>
    </w:p>
    <w:p w14:paraId="5B964913" w14:textId="77777777" w:rsidR="00FA40A4" w:rsidRDefault="00FA40A4" w:rsidP="00A36874">
      <w:pPr>
        <w:rPr>
          <w:lang w:eastAsia="x-none"/>
        </w:rPr>
      </w:pPr>
    </w:p>
    <w:p w14:paraId="70B055EC" w14:textId="77777777" w:rsidR="00A91E45" w:rsidRPr="00A36874" w:rsidRDefault="00A91E45" w:rsidP="00A36874">
      <w:pPr>
        <w:rPr>
          <w:lang w:eastAsia="x-none"/>
        </w:rPr>
      </w:pPr>
    </w:p>
    <w:p w14:paraId="199164CC" w14:textId="77777777" w:rsidR="00A36874" w:rsidRPr="00A36874" w:rsidRDefault="00A36874" w:rsidP="00A36874">
      <w:pPr>
        <w:rPr>
          <w:b/>
          <w:lang w:eastAsia="x-none"/>
        </w:rPr>
      </w:pPr>
      <w:r w:rsidRPr="00A36874">
        <w:rPr>
          <w:b/>
          <w:lang w:eastAsia="x-none"/>
        </w:rPr>
        <w:t>Issue (1-3) On nHARQ-ACK value</w:t>
      </w:r>
    </w:p>
    <w:p w14:paraId="79D4B53B" w14:textId="13EB45DB" w:rsidR="00A36874" w:rsidRPr="00A36874" w:rsidRDefault="005A18DC" w:rsidP="00A36874">
      <w:pPr>
        <w:rPr>
          <w:b/>
          <w:bCs/>
          <w:lang w:eastAsia="x-none"/>
        </w:rPr>
      </w:pPr>
      <w:hyperlink r:id="rId561" w:history="1">
        <w:r w:rsidR="00AF7253">
          <w:rPr>
            <w:rStyle w:val="Hyperlink"/>
            <w:b/>
            <w:bCs/>
            <w:highlight w:val="red"/>
            <w:lang w:eastAsia="x-none"/>
          </w:rPr>
          <w:t>R1-2311304</w:t>
        </w:r>
      </w:hyperlink>
      <w:r w:rsidR="00A36874" w:rsidRPr="00A36874">
        <w:rPr>
          <w:b/>
          <w:bCs/>
          <w:lang w:eastAsia="x-none"/>
        </w:rPr>
        <w:tab/>
        <w:t>Draft CR on not supporting enhanced Type-2 HARQ codebook for multicast</w:t>
      </w:r>
      <w:r w:rsidR="00A36874" w:rsidRPr="00A36874">
        <w:rPr>
          <w:b/>
          <w:bCs/>
          <w:lang w:eastAsia="x-none"/>
        </w:rPr>
        <w:tab/>
        <w:t>CATT, CBN</w:t>
      </w:r>
    </w:p>
    <w:p w14:paraId="70399171" w14:textId="3A4BABF3" w:rsidR="00A36874" w:rsidRPr="00A36874" w:rsidRDefault="005A18DC" w:rsidP="00A36874">
      <w:pPr>
        <w:rPr>
          <w:lang w:eastAsia="x-none"/>
        </w:rPr>
      </w:pPr>
      <w:hyperlink r:id="rId562" w:history="1">
        <w:r w:rsidR="00AF7253">
          <w:rPr>
            <w:rStyle w:val="Hyperlink"/>
            <w:lang w:eastAsia="x-none"/>
          </w:rPr>
          <w:t>R1-2311305</w:t>
        </w:r>
      </w:hyperlink>
      <w:r w:rsidR="00A36874" w:rsidRPr="00A36874">
        <w:rPr>
          <w:lang w:eastAsia="x-none"/>
        </w:rPr>
        <w:tab/>
        <w:t>Draft CR on n_harq-ack value determination when only one of unicast or multicast with Type-1 HARQ-ACK  CB</w:t>
      </w:r>
      <w:r w:rsidR="00A36874" w:rsidRPr="00A36874">
        <w:rPr>
          <w:lang w:eastAsia="x-none"/>
        </w:rPr>
        <w:tab/>
        <w:t>CATT, CBN</w:t>
      </w:r>
    </w:p>
    <w:p w14:paraId="6B8D8360" w14:textId="79772715" w:rsidR="00A36874" w:rsidRPr="00A36874" w:rsidRDefault="005A18DC" w:rsidP="00A36874">
      <w:pPr>
        <w:rPr>
          <w:lang w:eastAsia="x-none"/>
        </w:rPr>
      </w:pPr>
      <w:hyperlink r:id="rId563" w:history="1">
        <w:r w:rsidR="00AF7253">
          <w:rPr>
            <w:rStyle w:val="Hyperlink"/>
            <w:lang w:eastAsia="x-none"/>
          </w:rPr>
          <w:t>R1-2311306</w:t>
        </w:r>
      </w:hyperlink>
      <w:r w:rsidR="00A36874" w:rsidRPr="00A36874">
        <w:rPr>
          <w:lang w:eastAsia="x-none"/>
        </w:rPr>
        <w:tab/>
        <w:t>Draft CR on n_harq-ack value determination when unicast with enhanced Type-2 HARQ-ACK CB</w:t>
      </w:r>
      <w:r w:rsidR="00A36874" w:rsidRPr="00A36874">
        <w:rPr>
          <w:lang w:eastAsia="x-none"/>
        </w:rPr>
        <w:tab/>
        <w:t>CATT, CBN</w:t>
      </w:r>
    </w:p>
    <w:p w14:paraId="2EF5E64C" w14:textId="35F9F924" w:rsidR="00A36874" w:rsidRPr="00A36874" w:rsidRDefault="005A18DC" w:rsidP="00A36874">
      <w:pPr>
        <w:rPr>
          <w:lang w:eastAsia="x-none"/>
        </w:rPr>
      </w:pPr>
      <w:hyperlink r:id="rId564" w:history="1">
        <w:r w:rsidR="00AF7253">
          <w:rPr>
            <w:rStyle w:val="Hyperlink"/>
            <w:lang w:eastAsia="x-none"/>
          </w:rPr>
          <w:t>R1-2311374</w:t>
        </w:r>
      </w:hyperlink>
      <w:r w:rsidR="00A36874" w:rsidRPr="00A36874">
        <w:rPr>
          <w:lang w:eastAsia="x-none"/>
        </w:rPr>
        <w:tab/>
        <w:t>Discussion on the enhanced Type-2 HARQ-ACK codebook</w:t>
      </w:r>
      <w:r w:rsidR="00A36874" w:rsidRPr="00A36874">
        <w:rPr>
          <w:lang w:eastAsia="x-none"/>
        </w:rPr>
        <w:tab/>
        <w:t>CATT, CBN</w:t>
      </w:r>
    </w:p>
    <w:p w14:paraId="2A90C528" w14:textId="77777777" w:rsidR="00A36874" w:rsidRPr="00A36874" w:rsidRDefault="00A36874" w:rsidP="00A36874">
      <w:pPr>
        <w:rPr>
          <w:lang w:eastAsia="x-none"/>
        </w:rPr>
      </w:pPr>
    </w:p>
    <w:p w14:paraId="354C36F9" w14:textId="708C651F" w:rsidR="00A91E45" w:rsidRDefault="005A18DC" w:rsidP="00A36874">
      <w:pPr>
        <w:rPr>
          <w:rFonts w:eastAsia="Times New Roman"/>
          <w:b/>
        </w:rPr>
      </w:pPr>
      <w:hyperlink r:id="rId565" w:history="1">
        <w:r w:rsidR="00AF7253">
          <w:rPr>
            <w:rStyle w:val="Hyperlink"/>
            <w:rFonts w:eastAsia="Times New Roman"/>
            <w:b/>
          </w:rPr>
          <w:t>R1-2312291</w:t>
        </w:r>
      </w:hyperlink>
      <w:r w:rsidR="00A91E45" w:rsidRPr="00A91E45">
        <w:rPr>
          <w:rFonts w:eastAsia="Times New Roman"/>
          <w:b/>
        </w:rPr>
        <w:tab/>
        <w:t>Draft CR on multiplexing enhanced Type-2 and Type-2 HARQ-ACK codebook</w:t>
      </w:r>
      <w:r w:rsidR="00A91E45" w:rsidRPr="00A91E45">
        <w:rPr>
          <w:rFonts w:eastAsia="Times New Roman"/>
          <w:b/>
        </w:rPr>
        <w:tab/>
        <w:t>Moderator (Huawei), [CATT]</w:t>
      </w:r>
    </w:p>
    <w:p w14:paraId="026A725B" w14:textId="69E29A74" w:rsidR="00A36874" w:rsidRPr="00A36874" w:rsidRDefault="00A36874" w:rsidP="00A36874">
      <w:pPr>
        <w:rPr>
          <w:lang w:eastAsia="x-none"/>
        </w:rPr>
      </w:pPr>
      <w:r w:rsidRPr="00A36874">
        <w:rPr>
          <w:highlight w:val="green"/>
          <w:lang w:eastAsia="x-none"/>
        </w:rPr>
        <w:t>Agreement</w:t>
      </w:r>
    </w:p>
    <w:p w14:paraId="48B1BBD0" w14:textId="7FA22671" w:rsidR="00A36874" w:rsidRPr="00A91E45" w:rsidRDefault="00A36874" w:rsidP="00A91E45">
      <w:pPr>
        <w:pStyle w:val="ListParagraph"/>
        <w:numPr>
          <w:ilvl w:val="0"/>
          <w:numId w:val="80"/>
        </w:numPr>
        <w:rPr>
          <w:rFonts w:eastAsia="Times New Roman"/>
        </w:rPr>
      </w:pPr>
      <w:r w:rsidRPr="00A91E45">
        <w:rPr>
          <w:rFonts w:eastAsia="Times New Roman"/>
        </w:rPr>
        <w:t xml:space="preserve">The moderator draft CR for issue 1-3 </w:t>
      </w:r>
      <w:r w:rsidR="00A91E45" w:rsidRPr="00A91E45">
        <w:rPr>
          <w:rFonts w:eastAsia="Times New Roman"/>
        </w:rPr>
        <w:t xml:space="preserve">in </w:t>
      </w:r>
      <w:hyperlink r:id="rId566" w:history="1">
        <w:r w:rsidR="00AF7253">
          <w:rPr>
            <w:rStyle w:val="Hyperlink"/>
            <w:rFonts w:eastAsia="Times New Roman"/>
          </w:rPr>
          <w:t>R1-2312291</w:t>
        </w:r>
      </w:hyperlink>
      <w:r w:rsidRPr="00A91E45">
        <w:rPr>
          <w:rFonts w:eastAsia="Times New Roman"/>
        </w:rPr>
        <w:t xml:space="preserve"> is endorsed for alignment CR to </w:t>
      </w:r>
      <w:r w:rsidRPr="00A91E45">
        <w:rPr>
          <w:rFonts w:eastAsia="Times New Roman" w:hint="eastAsia"/>
        </w:rPr>
        <w:t>TS</w:t>
      </w:r>
      <w:r w:rsidRPr="00A91E45">
        <w:rPr>
          <w:rFonts w:eastAsia="Times New Roman"/>
        </w:rPr>
        <w:t>38.213.</w:t>
      </w:r>
    </w:p>
    <w:p w14:paraId="546CE555" w14:textId="77777777" w:rsidR="00A36874" w:rsidRPr="00A36874" w:rsidRDefault="00A36874" w:rsidP="00A36874">
      <w:pPr>
        <w:rPr>
          <w:bCs/>
          <w:u w:val="single"/>
          <w:lang w:eastAsia="x-none"/>
        </w:rPr>
      </w:pPr>
      <w:r w:rsidRPr="00A36874">
        <w:rPr>
          <w:bCs/>
          <w:u w:val="single"/>
          <w:lang w:eastAsia="x-none"/>
        </w:rPr>
        <w:t>Conclusion</w:t>
      </w:r>
    </w:p>
    <w:p w14:paraId="70A6C1CC" w14:textId="57F9FE92" w:rsidR="00A36874" w:rsidRPr="00A36874" w:rsidRDefault="00A36874" w:rsidP="00A36874">
      <w:pPr>
        <w:rPr>
          <w:rFonts w:eastAsia="Times New Roman"/>
        </w:rPr>
      </w:pPr>
      <w:r w:rsidRPr="00A36874">
        <w:rPr>
          <w:rFonts w:eastAsia="Times New Roman" w:hint="eastAsia"/>
        </w:rPr>
        <w:t>T</w:t>
      </w:r>
      <w:r w:rsidRPr="00A36874">
        <w:rPr>
          <w:rFonts w:eastAsia="Times New Roman"/>
        </w:rPr>
        <w:t xml:space="preserve">he draft CR in </w:t>
      </w:r>
      <w:hyperlink r:id="rId567" w:history="1">
        <w:r w:rsidR="00AF7253">
          <w:rPr>
            <w:rStyle w:val="Hyperlink"/>
            <w:rFonts w:eastAsia="Times New Roman"/>
          </w:rPr>
          <w:t>R1-2311304</w:t>
        </w:r>
      </w:hyperlink>
      <w:r w:rsidRPr="00A36874">
        <w:rPr>
          <w:rFonts w:eastAsia="Times New Roman"/>
        </w:rPr>
        <w:t xml:space="preserve"> is not pursued in Rel-17.</w:t>
      </w:r>
    </w:p>
    <w:p w14:paraId="486599BB" w14:textId="77777777" w:rsidR="00A36874" w:rsidRDefault="00A36874" w:rsidP="00A36874">
      <w:pPr>
        <w:rPr>
          <w:lang w:eastAsia="x-none"/>
        </w:rPr>
      </w:pPr>
    </w:p>
    <w:p w14:paraId="6597DE93" w14:textId="77777777" w:rsidR="00A91E45" w:rsidRPr="00A36874" w:rsidRDefault="00A91E45" w:rsidP="00A36874">
      <w:pPr>
        <w:rPr>
          <w:lang w:eastAsia="x-none"/>
        </w:rPr>
      </w:pPr>
    </w:p>
    <w:p w14:paraId="7CC7870D" w14:textId="77777777" w:rsidR="00A36874" w:rsidRPr="00A36874" w:rsidRDefault="00A36874" w:rsidP="00A36874">
      <w:pPr>
        <w:rPr>
          <w:b/>
          <w:lang w:eastAsia="x-none"/>
        </w:rPr>
      </w:pPr>
      <w:r w:rsidRPr="00A36874">
        <w:rPr>
          <w:b/>
          <w:lang w:eastAsia="x-none"/>
        </w:rPr>
        <w:t>Issue (1-4) Last DCI for PUCCH</w:t>
      </w:r>
    </w:p>
    <w:p w14:paraId="0D95020D" w14:textId="393C11F7" w:rsidR="00A36874" w:rsidRPr="00A36874" w:rsidRDefault="005A18DC" w:rsidP="00A36874">
      <w:pPr>
        <w:rPr>
          <w:lang w:eastAsia="x-none"/>
        </w:rPr>
      </w:pPr>
      <w:hyperlink r:id="rId568" w:history="1">
        <w:r w:rsidR="00AF7253">
          <w:rPr>
            <w:rStyle w:val="Hyperlink"/>
            <w:lang w:eastAsia="x-none"/>
          </w:rPr>
          <w:t>R1-2311017</w:t>
        </w:r>
      </w:hyperlink>
      <w:r w:rsidR="00A36874" w:rsidRPr="00A36874">
        <w:rPr>
          <w:lang w:eastAsia="x-none"/>
        </w:rPr>
        <w:tab/>
        <w:t>Draft CR on the last multicast DCI for PUCCH resource determination</w:t>
      </w:r>
      <w:r w:rsidR="00A36874" w:rsidRPr="00A36874">
        <w:rPr>
          <w:lang w:eastAsia="x-none"/>
        </w:rPr>
        <w:tab/>
        <w:t>ZTE, CBN</w:t>
      </w:r>
    </w:p>
    <w:p w14:paraId="1A04B07D" w14:textId="77777777" w:rsidR="00FA40A4" w:rsidRDefault="00FA40A4" w:rsidP="00FA40A4">
      <w:pPr>
        <w:rPr>
          <w:lang w:eastAsia="x-none"/>
        </w:rPr>
      </w:pPr>
      <w:r>
        <w:rPr>
          <w:lang w:eastAsia="x-none"/>
        </w:rPr>
        <w:t>No consensus to adopt the proposed draft CR.</w:t>
      </w:r>
    </w:p>
    <w:p w14:paraId="287C57CF" w14:textId="77777777" w:rsidR="00A36874" w:rsidRDefault="00A36874" w:rsidP="00A36874">
      <w:pPr>
        <w:rPr>
          <w:lang w:eastAsia="x-none"/>
        </w:rPr>
      </w:pPr>
    </w:p>
    <w:p w14:paraId="3D415327" w14:textId="77777777" w:rsidR="001B58AB" w:rsidRPr="00A36874" w:rsidRDefault="001B58AB" w:rsidP="00A36874">
      <w:pPr>
        <w:rPr>
          <w:lang w:eastAsia="x-none"/>
        </w:rPr>
      </w:pPr>
    </w:p>
    <w:p w14:paraId="454164AF" w14:textId="77777777" w:rsidR="00A36874" w:rsidRPr="00A36874" w:rsidRDefault="00A36874" w:rsidP="00A36874">
      <w:pPr>
        <w:rPr>
          <w:b/>
          <w:lang w:eastAsia="x-none"/>
        </w:rPr>
      </w:pPr>
      <w:r w:rsidRPr="00A36874">
        <w:rPr>
          <w:b/>
          <w:lang w:eastAsia="x-none"/>
        </w:rPr>
        <w:t>Issue (1-5) Different CB types</w:t>
      </w:r>
    </w:p>
    <w:p w14:paraId="78C06829" w14:textId="2F013819" w:rsidR="00A36874" w:rsidRPr="00A36874" w:rsidRDefault="005A18DC" w:rsidP="00A36874">
      <w:pPr>
        <w:rPr>
          <w:lang w:eastAsia="x-none"/>
        </w:rPr>
      </w:pPr>
      <w:hyperlink r:id="rId569" w:history="1">
        <w:r w:rsidR="00AF7253">
          <w:rPr>
            <w:rStyle w:val="Hyperlink"/>
            <w:lang w:eastAsia="x-none"/>
          </w:rPr>
          <w:t>R1-2312089</w:t>
        </w:r>
      </w:hyperlink>
      <w:r w:rsidR="00A36874" w:rsidRPr="00A36874">
        <w:rPr>
          <w:lang w:eastAsia="x-none"/>
        </w:rPr>
        <w:tab/>
        <w:t>Draft CR on HARQ-ACK codebook generation for multicast and unicast with different codebook types</w:t>
      </w:r>
      <w:r w:rsidR="00A36874" w:rsidRPr="00A36874">
        <w:rPr>
          <w:lang w:eastAsia="x-none"/>
        </w:rPr>
        <w:tab/>
        <w:t>ZTE, CBN</w:t>
      </w:r>
    </w:p>
    <w:p w14:paraId="0868DDE4" w14:textId="07F048F2" w:rsidR="00A36874" w:rsidRPr="00A36874" w:rsidRDefault="005A18DC" w:rsidP="00A36874">
      <w:pPr>
        <w:rPr>
          <w:lang w:eastAsia="x-none"/>
        </w:rPr>
      </w:pPr>
      <w:hyperlink r:id="rId570" w:history="1">
        <w:r w:rsidR="00AF7253">
          <w:rPr>
            <w:rStyle w:val="Hyperlink"/>
            <w:lang w:eastAsia="x-none"/>
          </w:rPr>
          <w:t>R1-2311015</w:t>
        </w:r>
      </w:hyperlink>
      <w:r w:rsidR="00A36874" w:rsidRPr="00A36874">
        <w:rPr>
          <w:lang w:eastAsia="x-none"/>
        </w:rPr>
        <w:tab/>
        <w:t>Discussion on the HARQ-ACK multiplexing for MBS and unicast</w:t>
      </w:r>
      <w:r w:rsidR="00A36874" w:rsidRPr="00A36874">
        <w:rPr>
          <w:lang w:eastAsia="x-none"/>
        </w:rPr>
        <w:tab/>
        <w:t>ZTE, CBN</w:t>
      </w:r>
    </w:p>
    <w:p w14:paraId="3A152402" w14:textId="24CBA866" w:rsidR="00A36874" w:rsidRPr="00A36874" w:rsidRDefault="005A18DC" w:rsidP="00A36874">
      <w:pPr>
        <w:rPr>
          <w:lang w:eastAsia="x-none"/>
        </w:rPr>
      </w:pPr>
      <w:hyperlink r:id="rId571" w:history="1">
        <w:r w:rsidR="00AF7253">
          <w:rPr>
            <w:rStyle w:val="Hyperlink"/>
            <w:lang w:eastAsia="x-none"/>
          </w:rPr>
          <w:t>R1-2311303</w:t>
        </w:r>
      </w:hyperlink>
      <w:r w:rsidR="00A36874" w:rsidRPr="00A36874">
        <w:rPr>
          <w:lang w:eastAsia="x-none"/>
        </w:rPr>
        <w:tab/>
        <w:t>Draft CR on Type-2 HARQ-ACK codebook determination for only one of unicast or multicast</w:t>
      </w:r>
      <w:r w:rsidR="00A36874" w:rsidRPr="00A36874">
        <w:rPr>
          <w:lang w:eastAsia="x-none"/>
        </w:rPr>
        <w:tab/>
        <w:t>CATT, CBN</w:t>
      </w:r>
    </w:p>
    <w:p w14:paraId="581332B2" w14:textId="77777777" w:rsidR="00A36874" w:rsidRDefault="00A36874" w:rsidP="00A36874">
      <w:pPr>
        <w:rPr>
          <w:lang w:eastAsia="x-none"/>
        </w:rPr>
      </w:pPr>
    </w:p>
    <w:p w14:paraId="3542BA8A" w14:textId="779361F7" w:rsidR="00BA3DBB" w:rsidRPr="00BA3DBB" w:rsidRDefault="005A18DC" w:rsidP="00711588">
      <w:pPr>
        <w:rPr>
          <w:b/>
          <w:bCs/>
          <w:lang w:eastAsia="x-none"/>
        </w:rPr>
      </w:pPr>
      <w:hyperlink r:id="rId572" w:history="1">
        <w:r w:rsidR="00AF7253">
          <w:rPr>
            <w:rStyle w:val="Hyperlink"/>
            <w:b/>
            <w:bCs/>
            <w:lang w:eastAsia="x-none"/>
          </w:rPr>
          <w:t>R1-2312562</w:t>
        </w:r>
      </w:hyperlink>
      <w:r w:rsidR="00711588" w:rsidRPr="00BA3DBB">
        <w:rPr>
          <w:b/>
          <w:bCs/>
          <w:lang w:eastAsia="x-none"/>
        </w:rPr>
        <w:tab/>
        <w:t>Draft CR on HARQ-ACK for SPS PDSCH</w:t>
      </w:r>
      <w:r w:rsidR="00711588" w:rsidRPr="00BA3DBB">
        <w:rPr>
          <w:b/>
          <w:bCs/>
          <w:lang w:eastAsia="x-none"/>
        </w:rPr>
        <w:tab/>
        <w:t>Moderator (Huawei)</w:t>
      </w:r>
    </w:p>
    <w:p w14:paraId="435665A4" w14:textId="77777777" w:rsidR="00BA3DBB" w:rsidRPr="004144CD" w:rsidRDefault="00BA3DBB" w:rsidP="00BA3DBB">
      <w:pPr>
        <w:rPr>
          <w:lang w:eastAsia="x-none"/>
        </w:rPr>
      </w:pPr>
      <w:r w:rsidRPr="004144CD">
        <w:rPr>
          <w:highlight w:val="green"/>
          <w:lang w:eastAsia="x-none"/>
        </w:rPr>
        <w:t>Agreement</w:t>
      </w:r>
    </w:p>
    <w:p w14:paraId="4C669C74" w14:textId="69064E46" w:rsidR="00BA3DBB" w:rsidRDefault="00BA3DBB" w:rsidP="00BA3DBB">
      <w:pPr>
        <w:rPr>
          <w:lang w:eastAsia="x-none"/>
        </w:rPr>
      </w:pPr>
      <w:r w:rsidRPr="004144CD">
        <w:rPr>
          <w:lang w:eastAsia="x-none"/>
        </w:rPr>
        <w:t xml:space="preserve">The moderator draft CR for issue 1-5 </w:t>
      </w:r>
      <w:r>
        <w:rPr>
          <w:lang w:eastAsia="x-none"/>
        </w:rPr>
        <w:t>in</w:t>
      </w:r>
      <w:r w:rsidRPr="004144CD">
        <w:rPr>
          <w:lang w:eastAsia="x-none"/>
        </w:rPr>
        <w:t xml:space="preserve"> </w:t>
      </w:r>
      <w:hyperlink r:id="rId573" w:history="1">
        <w:r w:rsidR="00AF7253">
          <w:rPr>
            <w:rStyle w:val="Hyperlink"/>
            <w:lang w:eastAsia="x-none"/>
          </w:rPr>
          <w:t>R1-2312562</w:t>
        </w:r>
      </w:hyperlink>
      <w:r w:rsidRPr="004144CD">
        <w:rPr>
          <w:lang w:eastAsia="x-none"/>
        </w:rPr>
        <w:t xml:space="preserve"> is endorsed.</w:t>
      </w:r>
      <w:r>
        <w:rPr>
          <w:lang w:eastAsia="x-none"/>
        </w:rPr>
        <w:t xml:space="preserve"> </w:t>
      </w:r>
      <w:r w:rsidRPr="00CA628B">
        <w:rPr>
          <w:lang w:eastAsia="x-none"/>
        </w:rPr>
        <w:t xml:space="preserve">Final </w:t>
      </w:r>
      <w:r>
        <w:rPr>
          <w:lang w:eastAsia="x-none"/>
        </w:rPr>
        <w:t>CRs in:</w:t>
      </w:r>
    </w:p>
    <w:p w14:paraId="44A6109B" w14:textId="020556E1" w:rsidR="00BA3DBB" w:rsidRPr="00BA3DBB" w:rsidRDefault="005A18DC" w:rsidP="00711588">
      <w:pPr>
        <w:rPr>
          <w:b/>
          <w:bCs/>
          <w:lang w:eastAsia="x-none"/>
        </w:rPr>
      </w:pPr>
      <w:hyperlink r:id="rId574" w:history="1">
        <w:r w:rsidR="00AF7253">
          <w:rPr>
            <w:rStyle w:val="Hyperlink"/>
            <w:b/>
            <w:bCs/>
            <w:highlight w:val="green"/>
            <w:lang w:eastAsia="x-none"/>
          </w:rPr>
          <w:t>R1-2312636</w:t>
        </w:r>
      </w:hyperlink>
      <w:r w:rsidR="00711588" w:rsidRPr="00BA3DBB">
        <w:rPr>
          <w:b/>
          <w:bCs/>
          <w:lang w:eastAsia="x-none"/>
        </w:rPr>
        <w:tab/>
        <w:t>CR on HARQ-ACK for SPS PDSCH</w:t>
      </w:r>
      <w:r w:rsidR="00711588" w:rsidRPr="00BA3DBB">
        <w:rPr>
          <w:b/>
          <w:bCs/>
          <w:lang w:eastAsia="x-none"/>
        </w:rPr>
        <w:tab/>
      </w:r>
      <w:r w:rsidR="00BA3DBB" w:rsidRPr="00BA3DBB">
        <w:rPr>
          <w:b/>
          <w:bCs/>
          <w:lang w:eastAsia="x-none"/>
        </w:rPr>
        <w:t>Moderator (Huawei), CATT, ZTE, Samsung, Qualcomm</w:t>
      </w:r>
    </w:p>
    <w:p w14:paraId="47A2E3F4" w14:textId="77777777" w:rsidR="00BA3DBB" w:rsidRDefault="00BA3DBB" w:rsidP="00711588">
      <w:pPr>
        <w:rPr>
          <w:lang w:eastAsia="x-none"/>
        </w:rPr>
      </w:pPr>
      <w:r>
        <w:rPr>
          <w:lang w:eastAsia="x-none"/>
        </w:rPr>
        <w:t>(</w:t>
      </w:r>
      <w:r w:rsidR="00711588">
        <w:rPr>
          <w:lang w:eastAsia="x-none"/>
        </w:rPr>
        <w:t>Rel-17</w:t>
      </w:r>
      <w:r>
        <w:rPr>
          <w:lang w:eastAsia="x-none"/>
        </w:rPr>
        <w:t xml:space="preserve">, </w:t>
      </w:r>
      <w:r w:rsidR="00711588">
        <w:rPr>
          <w:lang w:eastAsia="x-none"/>
        </w:rPr>
        <w:t>38.213</w:t>
      </w:r>
      <w:r>
        <w:rPr>
          <w:lang w:eastAsia="x-none"/>
        </w:rPr>
        <w:t>, CR</w:t>
      </w:r>
      <w:r w:rsidR="00711588">
        <w:rPr>
          <w:lang w:eastAsia="x-none"/>
        </w:rPr>
        <w:t>0560</w:t>
      </w:r>
      <w:r>
        <w:rPr>
          <w:lang w:eastAsia="x-none"/>
        </w:rPr>
        <w:t xml:space="preserve">, Cat </w:t>
      </w:r>
      <w:r w:rsidR="00711588">
        <w:rPr>
          <w:lang w:eastAsia="x-none"/>
        </w:rPr>
        <w:t>F</w:t>
      </w:r>
      <w:r>
        <w:rPr>
          <w:lang w:eastAsia="x-none"/>
        </w:rPr>
        <w:t>) is agreed.</w:t>
      </w:r>
    </w:p>
    <w:p w14:paraId="7CF0B3C1" w14:textId="53FC9592" w:rsidR="00BA3DBB" w:rsidRPr="00BA3DBB" w:rsidRDefault="005A18DC" w:rsidP="00711588">
      <w:pPr>
        <w:rPr>
          <w:b/>
          <w:bCs/>
          <w:lang w:eastAsia="x-none"/>
        </w:rPr>
      </w:pPr>
      <w:hyperlink r:id="rId575" w:history="1">
        <w:r w:rsidR="00AF7253">
          <w:rPr>
            <w:rStyle w:val="Hyperlink"/>
            <w:b/>
            <w:bCs/>
            <w:highlight w:val="green"/>
            <w:lang w:eastAsia="x-none"/>
          </w:rPr>
          <w:t>R1-2312637</w:t>
        </w:r>
      </w:hyperlink>
      <w:r w:rsidR="00711588" w:rsidRPr="00BA3DBB">
        <w:rPr>
          <w:b/>
          <w:bCs/>
          <w:lang w:eastAsia="x-none"/>
        </w:rPr>
        <w:tab/>
        <w:t>CR on HARQ-ACK for SPS PDSCH</w:t>
      </w:r>
      <w:r w:rsidR="00711588" w:rsidRPr="00BA3DBB">
        <w:rPr>
          <w:b/>
          <w:bCs/>
          <w:lang w:eastAsia="x-none"/>
        </w:rPr>
        <w:tab/>
      </w:r>
      <w:r w:rsidR="00BA3DBB" w:rsidRPr="00BA3DBB">
        <w:rPr>
          <w:b/>
          <w:bCs/>
          <w:lang w:eastAsia="x-none"/>
        </w:rPr>
        <w:t>Moderator (Huawei), CATT, ZTE, Samsung, Qualcomm</w:t>
      </w:r>
    </w:p>
    <w:p w14:paraId="392CFA49" w14:textId="72876998" w:rsidR="00BA3DBB" w:rsidRDefault="00BA3DBB" w:rsidP="00BA3DBB">
      <w:pPr>
        <w:rPr>
          <w:lang w:eastAsia="x-none"/>
        </w:rPr>
      </w:pPr>
      <w:r>
        <w:rPr>
          <w:lang w:eastAsia="x-none"/>
        </w:rPr>
        <w:t>(Rel-18, 38.213, CR0561, Cat A) is agreed.</w:t>
      </w:r>
    </w:p>
    <w:p w14:paraId="74373187" w14:textId="77777777" w:rsidR="001B58AB" w:rsidRDefault="001B58AB" w:rsidP="00A36874">
      <w:pPr>
        <w:rPr>
          <w:lang w:eastAsia="x-none"/>
        </w:rPr>
      </w:pPr>
    </w:p>
    <w:p w14:paraId="7ECB079A" w14:textId="77777777" w:rsidR="00BA3DBB" w:rsidRPr="00A36874" w:rsidRDefault="00BA3DBB" w:rsidP="00A36874">
      <w:pPr>
        <w:rPr>
          <w:lang w:eastAsia="x-none"/>
        </w:rPr>
      </w:pPr>
    </w:p>
    <w:p w14:paraId="738CCBED" w14:textId="77777777" w:rsidR="00A36874" w:rsidRPr="00A36874" w:rsidRDefault="00A36874" w:rsidP="00A36874">
      <w:pPr>
        <w:rPr>
          <w:b/>
          <w:lang w:eastAsia="x-none"/>
        </w:rPr>
      </w:pPr>
      <w:r w:rsidRPr="00A36874">
        <w:rPr>
          <w:b/>
          <w:lang w:eastAsia="x-none"/>
        </w:rPr>
        <w:t>Issue (1-6) Type-3 CB</w:t>
      </w:r>
    </w:p>
    <w:p w14:paraId="7B782733" w14:textId="4A6A59DB" w:rsidR="00A36874" w:rsidRPr="00A36874" w:rsidRDefault="005A18DC" w:rsidP="00A36874">
      <w:pPr>
        <w:rPr>
          <w:b/>
          <w:lang w:eastAsia="x-none"/>
        </w:rPr>
      </w:pPr>
      <w:hyperlink r:id="rId576" w:history="1">
        <w:r w:rsidR="00AF7253">
          <w:rPr>
            <w:rStyle w:val="Hyperlink"/>
            <w:b/>
            <w:highlight w:val="red"/>
            <w:lang w:eastAsia="x-none"/>
          </w:rPr>
          <w:t>R1-2311307</w:t>
        </w:r>
      </w:hyperlink>
      <w:r w:rsidR="00A36874" w:rsidRPr="00A36874">
        <w:rPr>
          <w:b/>
          <w:lang w:eastAsia="x-none"/>
        </w:rPr>
        <w:tab/>
        <w:t>Draft CR on multicast disabled HARQ-ACK information in Type-3 HARQ codebook</w:t>
      </w:r>
      <w:r w:rsidR="00A36874" w:rsidRPr="00A36874">
        <w:rPr>
          <w:b/>
          <w:lang w:eastAsia="x-none"/>
        </w:rPr>
        <w:tab/>
        <w:t>CATT, CBN</w:t>
      </w:r>
    </w:p>
    <w:p w14:paraId="3F3F2068" w14:textId="77777777" w:rsidR="00A36874" w:rsidRPr="00A36874" w:rsidRDefault="00A36874" w:rsidP="00A36874">
      <w:pPr>
        <w:rPr>
          <w:bCs/>
          <w:u w:val="single"/>
          <w:lang w:eastAsia="x-none"/>
        </w:rPr>
      </w:pPr>
      <w:r w:rsidRPr="00A36874">
        <w:rPr>
          <w:bCs/>
          <w:u w:val="single"/>
          <w:lang w:eastAsia="x-none"/>
        </w:rPr>
        <w:t>Conclusion</w:t>
      </w:r>
    </w:p>
    <w:p w14:paraId="73CB17EF" w14:textId="1C40FC4A" w:rsidR="00A36874" w:rsidRPr="00A36874" w:rsidRDefault="00A36874" w:rsidP="00A36874">
      <w:pPr>
        <w:rPr>
          <w:lang w:eastAsia="x-none"/>
        </w:rPr>
      </w:pPr>
      <w:r w:rsidRPr="00A36874">
        <w:rPr>
          <w:lang w:eastAsia="x-none"/>
        </w:rPr>
        <w:t xml:space="preserve">The draft CR in </w:t>
      </w:r>
      <w:hyperlink r:id="rId577" w:history="1">
        <w:r w:rsidR="00AF7253">
          <w:rPr>
            <w:rStyle w:val="Hyperlink"/>
            <w:lang w:eastAsia="x-none"/>
          </w:rPr>
          <w:t>R1-2311307</w:t>
        </w:r>
      </w:hyperlink>
      <w:r w:rsidRPr="00A36874">
        <w:rPr>
          <w:lang w:eastAsia="x-none"/>
        </w:rPr>
        <w:t xml:space="preserve"> is not pursued in Rel-17.</w:t>
      </w:r>
    </w:p>
    <w:p w14:paraId="51622A14" w14:textId="77777777" w:rsidR="00A36874" w:rsidRDefault="00A36874" w:rsidP="00A36874">
      <w:pPr>
        <w:rPr>
          <w:lang w:eastAsia="x-none"/>
        </w:rPr>
      </w:pPr>
    </w:p>
    <w:p w14:paraId="72870964" w14:textId="77777777" w:rsidR="001B58AB" w:rsidRPr="00A36874" w:rsidRDefault="001B58AB" w:rsidP="00A36874">
      <w:pPr>
        <w:rPr>
          <w:lang w:eastAsia="x-none"/>
        </w:rPr>
      </w:pPr>
    </w:p>
    <w:p w14:paraId="3DF51DA7" w14:textId="77777777" w:rsidR="00A36874" w:rsidRPr="00A36874" w:rsidRDefault="00A36874" w:rsidP="00A36874">
      <w:pPr>
        <w:rPr>
          <w:b/>
          <w:lang w:eastAsia="x-none"/>
        </w:rPr>
      </w:pPr>
      <w:r w:rsidRPr="00A36874">
        <w:rPr>
          <w:b/>
          <w:lang w:eastAsia="x-none"/>
        </w:rPr>
        <w:t>Issue (1-7) Intra-UE HARQ-ACK multiplexing</w:t>
      </w:r>
    </w:p>
    <w:p w14:paraId="7F7F6814" w14:textId="55575F48" w:rsidR="00A36874" w:rsidRPr="00A36874" w:rsidRDefault="005A18DC" w:rsidP="00A36874">
      <w:pPr>
        <w:rPr>
          <w:lang w:eastAsia="x-none"/>
        </w:rPr>
      </w:pPr>
      <w:hyperlink r:id="rId578" w:history="1">
        <w:r w:rsidR="00AF7253">
          <w:rPr>
            <w:rStyle w:val="Hyperlink"/>
            <w:lang w:eastAsia="x-none"/>
          </w:rPr>
          <w:t>R1-2311789</w:t>
        </w:r>
      </w:hyperlink>
      <w:r w:rsidR="00A36874" w:rsidRPr="00A36874">
        <w:rPr>
          <w:lang w:eastAsia="x-none"/>
        </w:rPr>
        <w:tab/>
        <w:t>Remaining Rel-17 issues for MBS</w:t>
      </w:r>
      <w:r w:rsidR="00A36874" w:rsidRPr="00A36874">
        <w:rPr>
          <w:lang w:eastAsia="x-none"/>
        </w:rPr>
        <w:tab/>
        <w:t>Nokia, Nokia Shanghai Bell</w:t>
      </w:r>
    </w:p>
    <w:p w14:paraId="55C8D45B" w14:textId="6C011584" w:rsidR="00A36874" w:rsidRPr="00A36874" w:rsidRDefault="005A18DC" w:rsidP="00A36874">
      <w:pPr>
        <w:rPr>
          <w:b/>
          <w:lang w:eastAsia="x-none"/>
        </w:rPr>
      </w:pPr>
      <w:hyperlink r:id="rId579" w:history="1">
        <w:r w:rsidR="00AF7253">
          <w:rPr>
            <w:rStyle w:val="Hyperlink"/>
            <w:b/>
            <w:highlight w:val="red"/>
            <w:lang w:eastAsia="x-none"/>
          </w:rPr>
          <w:t>R1-2311790</w:t>
        </w:r>
      </w:hyperlink>
      <w:r w:rsidR="00A36874" w:rsidRPr="00A36874">
        <w:rPr>
          <w:b/>
          <w:lang w:eastAsia="x-none"/>
        </w:rPr>
        <w:tab/>
        <w:t>Draft CR on intra-UE multiplexing for multicast</w:t>
      </w:r>
      <w:r w:rsidR="00A36874" w:rsidRPr="00A36874">
        <w:rPr>
          <w:b/>
          <w:lang w:eastAsia="x-none"/>
        </w:rPr>
        <w:tab/>
        <w:t>Nokia, Nokia Shanghai Bell</w:t>
      </w:r>
    </w:p>
    <w:p w14:paraId="707E6ECD" w14:textId="77777777" w:rsidR="001B58AB" w:rsidRPr="00A36874" w:rsidRDefault="001B58AB" w:rsidP="001B58AB">
      <w:pPr>
        <w:rPr>
          <w:bCs/>
          <w:u w:val="single"/>
          <w:lang w:eastAsia="x-none"/>
        </w:rPr>
      </w:pPr>
      <w:r w:rsidRPr="00A36874">
        <w:rPr>
          <w:bCs/>
          <w:u w:val="single"/>
          <w:lang w:eastAsia="x-none"/>
        </w:rPr>
        <w:t>Conclusion</w:t>
      </w:r>
    </w:p>
    <w:p w14:paraId="0C632DB7" w14:textId="28BE00B8" w:rsidR="00A36874" w:rsidRPr="00A36874" w:rsidRDefault="00A36874" w:rsidP="00A36874">
      <w:pPr>
        <w:rPr>
          <w:lang w:eastAsia="x-none"/>
        </w:rPr>
      </w:pPr>
      <w:r w:rsidRPr="00A36874">
        <w:rPr>
          <w:lang w:eastAsia="x-none"/>
        </w:rPr>
        <w:t xml:space="preserve">The draft CR in </w:t>
      </w:r>
      <w:hyperlink r:id="rId580" w:history="1">
        <w:r w:rsidR="00AF7253">
          <w:rPr>
            <w:rStyle w:val="Hyperlink"/>
            <w:lang w:eastAsia="x-none"/>
          </w:rPr>
          <w:t>R1-2311790</w:t>
        </w:r>
      </w:hyperlink>
      <w:r w:rsidRPr="00A36874">
        <w:rPr>
          <w:lang w:eastAsia="x-none"/>
        </w:rPr>
        <w:t xml:space="preserve"> is not pursued in Rel-17.</w:t>
      </w:r>
    </w:p>
    <w:p w14:paraId="53DD7356" w14:textId="77777777" w:rsidR="00A36874" w:rsidRDefault="00A36874" w:rsidP="00A36874">
      <w:pPr>
        <w:rPr>
          <w:lang w:eastAsia="x-none"/>
        </w:rPr>
      </w:pPr>
    </w:p>
    <w:p w14:paraId="34CD096B" w14:textId="77777777" w:rsidR="001B58AB" w:rsidRPr="00A36874" w:rsidRDefault="001B58AB" w:rsidP="00A36874">
      <w:pPr>
        <w:rPr>
          <w:lang w:eastAsia="x-none"/>
        </w:rPr>
      </w:pPr>
    </w:p>
    <w:p w14:paraId="53D548C8" w14:textId="77777777" w:rsidR="00A36874" w:rsidRPr="00A36874" w:rsidRDefault="00A36874" w:rsidP="00A36874">
      <w:pPr>
        <w:rPr>
          <w:b/>
          <w:lang w:eastAsia="x-none"/>
        </w:rPr>
      </w:pPr>
      <w:r w:rsidRPr="00A36874">
        <w:rPr>
          <w:b/>
          <w:lang w:eastAsia="x-none"/>
        </w:rPr>
        <w:t>Issue (1-8) DCI fields assumption for disabled HARQ</w:t>
      </w:r>
    </w:p>
    <w:p w14:paraId="3856159F" w14:textId="7EB02DB8" w:rsidR="00A36874" w:rsidRPr="00A36874" w:rsidRDefault="005A18DC" w:rsidP="00A36874">
      <w:pPr>
        <w:rPr>
          <w:lang w:eastAsia="x-none"/>
        </w:rPr>
      </w:pPr>
      <w:hyperlink r:id="rId581" w:history="1">
        <w:r w:rsidR="00AF7253">
          <w:rPr>
            <w:rStyle w:val="Hyperlink"/>
            <w:lang w:eastAsia="x-none"/>
          </w:rPr>
          <w:t>R1-2311016</w:t>
        </w:r>
      </w:hyperlink>
      <w:r w:rsidR="00A36874" w:rsidRPr="00A36874">
        <w:rPr>
          <w:lang w:eastAsia="x-none"/>
        </w:rPr>
        <w:tab/>
        <w:t>Draft CR on DCI fields assumption with disabled HARQ-ACK information</w:t>
      </w:r>
      <w:r w:rsidR="00A36874" w:rsidRPr="00A36874">
        <w:rPr>
          <w:lang w:eastAsia="x-none"/>
        </w:rPr>
        <w:tab/>
        <w:t>ZTE, CBN</w:t>
      </w:r>
    </w:p>
    <w:p w14:paraId="51FDAD64" w14:textId="77777777" w:rsidR="00A75B41" w:rsidRDefault="00A75B41" w:rsidP="00A75B41">
      <w:pPr>
        <w:rPr>
          <w:lang w:eastAsia="x-none"/>
        </w:rPr>
      </w:pPr>
      <w:r>
        <w:rPr>
          <w:lang w:eastAsia="x-none"/>
        </w:rPr>
        <w:t>No consensus to adopt the proposed draft CR.</w:t>
      </w:r>
    </w:p>
    <w:p w14:paraId="59883CFE" w14:textId="77777777" w:rsidR="00A36874" w:rsidRDefault="00A36874" w:rsidP="00A36874">
      <w:pPr>
        <w:rPr>
          <w:lang w:eastAsia="x-none"/>
        </w:rPr>
      </w:pPr>
    </w:p>
    <w:p w14:paraId="49DBE267" w14:textId="77777777" w:rsidR="001B58AB" w:rsidRPr="00A36874" w:rsidRDefault="001B58AB" w:rsidP="00A36874">
      <w:pPr>
        <w:rPr>
          <w:lang w:eastAsia="x-none"/>
        </w:rPr>
      </w:pPr>
    </w:p>
    <w:p w14:paraId="5A98BA02" w14:textId="77777777" w:rsidR="00A36874" w:rsidRPr="00A36874" w:rsidRDefault="00A36874" w:rsidP="00A36874">
      <w:pPr>
        <w:rPr>
          <w:b/>
          <w:lang w:eastAsia="x-none"/>
        </w:rPr>
      </w:pPr>
      <w:r w:rsidRPr="00A36874">
        <w:rPr>
          <w:b/>
          <w:lang w:eastAsia="x-none"/>
        </w:rPr>
        <w:t>Issue (1-9) 1-bit NACK-only</w:t>
      </w:r>
    </w:p>
    <w:p w14:paraId="3024C17C" w14:textId="3EBE0026" w:rsidR="00A36874" w:rsidRPr="00A36874" w:rsidRDefault="005A18DC" w:rsidP="00A36874">
      <w:pPr>
        <w:rPr>
          <w:b/>
          <w:bCs/>
          <w:lang w:eastAsia="x-none"/>
        </w:rPr>
      </w:pPr>
      <w:hyperlink r:id="rId582" w:history="1">
        <w:r w:rsidR="00AF7253">
          <w:rPr>
            <w:rStyle w:val="Hyperlink"/>
            <w:b/>
            <w:bCs/>
            <w:highlight w:val="red"/>
            <w:lang w:eastAsia="x-none"/>
          </w:rPr>
          <w:t>R1-2311967</w:t>
        </w:r>
      </w:hyperlink>
      <w:r w:rsidR="00A36874" w:rsidRPr="00A36874">
        <w:rPr>
          <w:b/>
          <w:bCs/>
          <w:lang w:eastAsia="x-none"/>
        </w:rPr>
        <w:tab/>
        <w:t>Draft CR for PUCCH resource determination for NACK-only mode 1 with one bit HARQ-ACK</w:t>
      </w:r>
      <w:r w:rsidR="00A36874" w:rsidRPr="00A36874">
        <w:rPr>
          <w:b/>
          <w:bCs/>
          <w:lang w:eastAsia="x-none"/>
        </w:rPr>
        <w:tab/>
        <w:t>MediaTek Inc.</w:t>
      </w:r>
    </w:p>
    <w:p w14:paraId="16C622C4" w14:textId="77777777" w:rsidR="001B58AB" w:rsidRPr="00A36874" w:rsidRDefault="001B58AB" w:rsidP="001B58AB">
      <w:pPr>
        <w:rPr>
          <w:bCs/>
          <w:u w:val="single"/>
          <w:lang w:eastAsia="x-none"/>
        </w:rPr>
      </w:pPr>
      <w:r w:rsidRPr="00A36874">
        <w:rPr>
          <w:bCs/>
          <w:u w:val="single"/>
          <w:lang w:eastAsia="x-none"/>
        </w:rPr>
        <w:t>Conclusion</w:t>
      </w:r>
    </w:p>
    <w:p w14:paraId="6B12668F" w14:textId="4A307A64" w:rsidR="00A36874" w:rsidRPr="00A36874" w:rsidRDefault="00A36874" w:rsidP="00A36874">
      <w:pPr>
        <w:rPr>
          <w:rFonts w:eastAsia="Times New Roman"/>
          <w:iCs/>
        </w:rPr>
      </w:pPr>
      <w:r w:rsidRPr="00A36874">
        <w:rPr>
          <w:rFonts w:eastAsia="Times New Roman" w:hint="eastAsia"/>
          <w:iCs/>
        </w:rPr>
        <w:t>T</w:t>
      </w:r>
      <w:r w:rsidRPr="00A36874">
        <w:rPr>
          <w:rFonts w:eastAsia="Times New Roman"/>
          <w:iCs/>
        </w:rPr>
        <w:t>he draft CR in R-2311967 is not pursued in Rel-17.</w:t>
      </w:r>
    </w:p>
    <w:p w14:paraId="3BF570FD" w14:textId="77777777" w:rsidR="00A36874" w:rsidRPr="00A36874" w:rsidRDefault="00A36874" w:rsidP="00A36874">
      <w:pPr>
        <w:rPr>
          <w:lang w:eastAsia="x-none"/>
        </w:rPr>
      </w:pPr>
    </w:p>
    <w:p w14:paraId="51FC6942" w14:textId="77777777" w:rsidR="00A36874" w:rsidRPr="00A36874" w:rsidRDefault="00A36874" w:rsidP="00A36874">
      <w:pPr>
        <w:rPr>
          <w:lang w:eastAsia="x-none"/>
        </w:rPr>
      </w:pPr>
    </w:p>
    <w:p w14:paraId="5B5EF087" w14:textId="77777777" w:rsidR="00A36874" w:rsidRPr="00A36874" w:rsidRDefault="00A36874" w:rsidP="00A36874">
      <w:pPr>
        <w:rPr>
          <w:b/>
          <w:u w:val="single"/>
          <w:lang w:eastAsia="x-none"/>
        </w:rPr>
      </w:pPr>
      <w:r w:rsidRPr="00A36874">
        <w:rPr>
          <w:b/>
          <w:u w:val="single"/>
          <w:lang w:eastAsia="x-none"/>
        </w:rPr>
        <w:t>Maintenance of Scheduling related issues</w:t>
      </w:r>
    </w:p>
    <w:p w14:paraId="643E45EE" w14:textId="77777777" w:rsidR="00A36874" w:rsidRPr="00A36874" w:rsidRDefault="00A36874" w:rsidP="00A36874">
      <w:pPr>
        <w:rPr>
          <w:b/>
          <w:lang w:eastAsia="x-none"/>
        </w:rPr>
      </w:pPr>
      <w:r w:rsidRPr="00A36874">
        <w:rPr>
          <w:b/>
          <w:lang w:eastAsia="x-none"/>
        </w:rPr>
        <w:t>Issue (2-1) PDSCH processing timeline</w:t>
      </w:r>
    </w:p>
    <w:p w14:paraId="440DA1F7" w14:textId="6DE877F9" w:rsidR="00A36874" w:rsidRPr="00A36874" w:rsidRDefault="005A18DC" w:rsidP="00A36874">
      <w:pPr>
        <w:rPr>
          <w:lang w:eastAsia="x-none"/>
        </w:rPr>
      </w:pPr>
      <w:hyperlink r:id="rId583" w:history="1">
        <w:r w:rsidR="00AF7253">
          <w:rPr>
            <w:rStyle w:val="Hyperlink"/>
            <w:lang w:eastAsia="x-none"/>
          </w:rPr>
          <w:t>R1-2311078</w:t>
        </w:r>
      </w:hyperlink>
      <w:r w:rsidR="00A36874" w:rsidRPr="00A36874">
        <w:rPr>
          <w:lang w:eastAsia="x-none"/>
        </w:rPr>
        <w:tab/>
        <w:t>Draft CR on processing time for MBS PDSCH without HARQ-ACK feedback</w:t>
      </w:r>
      <w:r w:rsidR="00A36874" w:rsidRPr="00A36874">
        <w:rPr>
          <w:lang w:eastAsia="x-none"/>
        </w:rPr>
        <w:tab/>
        <w:t>vivo</w:t>
      </w:r>
    </w:p>
    <w:p w14:paraId="5A0B46CA" w14:textId="25DF4CBD" w:rsidR="00A36874" w:rsidRPr="00A36874" w:rsidRDefault="005A18DC" w:rsidP="00A36874">
      <w:pPr>
        <w:rPr>
          <w:lang w:eastAsia="x-none"/>
        </w:rPr>
      </w:pPr>
      <w:hyperlink r:id="rId584" w:history="1">
        <w:r w:rsidR="00AF7253">
          <w:rPr>
            <w:rStyle w:val="Hyperlink"/>
            <w:lang w:eastAsia="x-none"/>
          </w:rPr>
          <w:t>R1-2311472</w:t>
        </w:r>
      </w:hyperlink>
      <w:r w:rsidR="00A36874" w:rsidRPr="00A36874">
        <w:rPr>
          <w:lang w:eastAsia="x-none"/>
        </w:rPr>
        <w:tab/>
        <w:t>Draft CR on PDSCH processing timeline without HARQ feedback</w:t>
      </w:r>
      <w:r w:rsidR="00A36874" w:rsidRPr="00A36874">
        <w:rPr>
          <w:lang w:eastAsia="x-none"/>
        </w:rPr>
        <w:tab/>
        <w:t>CMCC</w:t>
      </w:r>
    </w:p>
    <w:p w14:paraId="7DA786D9" w14:textId="7996BF66" w:rsidR="00A36874" w:rsidRPr="00A36874" w:rsidRDefault="005A18DC" w:rsidP="00A36874">
      <w:pPr>
        <w:rPr>
          <w:lang w:eastAsia="x-none"/>
        </w:rPr>
      </w:pPr>
      <w:hyperlink r:id="rId585" w:history="1">
        <w:r w:rsidR="00AF7253">
          <w:rPr>
            <w:rStyle w:val="Hyperlink"/>
            <w:lang w:eastAsia="x-none"/>
          </w:rPr>
          <w:t>R1-2311776</w:t>
        </w:r>
      </w:hyperlink>
      <w:r w:rsidR="00A36874" w:rsidRPr="00A36874">
        <w:rPr>
          <w:lang w:eastAsia="x-none"/>
        </w:rPr>
        <w:tab/>
        <w:t>Draft CR on determination of processing time for MBS PDSCH without feedback</w:t>
      </w:r>
      <w:r w:rsidR="00A36874" w:rsidRPr="00A36874">
        <w:rPr>
          <w:lang w:eastAsia="x-none"/>
        </w:rPr>
        <w:tab/>
        <w:t>NTT DOCOMO, INC.</w:t>
      </w:r>
    </w:p>
    <w:p w14:paraId="1EED4060" w14:textId="4313C2D2" w:rsidR="00A36874" w:rsidRPr="00A36874" w:rsidRDefault="005A18DC" w:rsidP="00A36874">
      <w:pPr>
        <w:rPr>
          <w:lang w:eastAsia="x-none"/>
        </w:rPr>
      </w:pPr>
      <w:hyperlink r:id="rId586" w:history="1">
        <w:r w:rsidR="00AF7253">
          <w:rPr>
            <w:rStyle w:val="Hyperlink"/>
            <w:lang w:eastAsia="x-none"/>
          </w:rPr>
          <w:t>R1-2311826</w:t>
        </w:r>
      </w:hyperlink>
      <w:r w:rsidR="00A36874" w:rsidRPr="00A36874">
        <w:rPr>
          <w:lang w:eastAsia="x-none"/>
        </w:rPr>
        <w:tab/>
        <w:t>Correction on processing time for multicast PDSCH without HARQ-ACK report</w:t>
      </w:r>
      <w:r w:rsidR="00A36874" w:rsidRPr="00A36874">
        <w:rPr>
          <w:lang w:eastAsia="x-none"/>
        </w:rPr>
        <w:tab/>
        <w:t>Samsung</w:t>
      </w:r>
    </w:p>
    <w:p w14:paraId="0ECB5B00" w14:textId="1D0EC9FB" w:rsidR="00A36874" w:rsidRPr="00A36874" w:rsidRDefault="005A18DC" w:rsidP="00A36874">
      <w:pPr>
        <w:rPr>
          <w:lang w:eastAsia="x-none"/>
        </w:rPr>
      </w:pPr>
      <w:hyperlink r:id="rId587" w:history="1">
        <w:r w:rsidR="00AF7253">
          <w:rPr>
            <w:rStyle w:val="Hyperlink"/>
            <w:lang w:eastAsia="x-none"/>
          </w:rPr>
          <w:t>R1-2312144</w:t>
        </w:r>
      </w:hyperlink>
      <w:r w:rsidR="00A36874" w:rsidRPr="00A36874">
        <w:rPr>
          <w:lang w:eastAsia="x-none"/>
        </w:rPr>
        <w:tab/>
        <w:t>Draft CR on PDSCH processing timeline</w:t>
      </w:r>
      <w:r w:rsidR="00A36874" w:rsidRPr="00A36874">
        <w:rPr>
          <w:lang w:eastAsia="x-none"/>
        </w:rPr>
        <w:tab/>
        <w:t>Huawei, HiSilicon, CBN</w:t>
      </w:r>
    </w:p>
    <w:p w14:paraId="2A6EC45A" w14:textId="2A89791E" w:rsidR="00A36874" w:rsidRPr="00A36874" w:rsidRDefault="005A18DC" w:rsidP="00A36874">
      <w:pPr>
        <w:rPr>
          <w:lang w:eastAsia="x-none"/>
        </w:rPr>
      </w:pPr>
      <w:hyperlink r:id="rId588" w:history="1">
        <w:r w:rsidR="00AF7253">
          <w:rPr>
            <w:rStyle w:val="Hyperlink"/>
            <w:lang w:eastAsia="x-none"/>
          </w:rPr>
          <w:t>R1-2312212</w:t>
        </w:r>
      </w:hyperlink>
      <w:r w:rsidR="00A36874" w:rsidRPr="00A36874">
        <w:rPr>
          <w:lang w:eastAsia="x-none"/>
        </w:rPr>
        <w:tab/>
        <w:t>Discussion on the maintenance issues for Rel-17 MBS</w:t>
      </w:r>
      <w:r w:rsidR="00A36874" w:rsidRPr="00A36874">
        <w:rPr>
          <w:lang w:eastAsia="x-none"/>
        </w:rPr>
        <w:tab/>
        <w:t>Huawei, HiSilicon, CBN</w:t>
      </w:r>
    </w:p>
    <w:p w14:paraId="766F70C2" w14:textId="77777777" w:rsidR="00A36874" w:rsidRDefault="00A36874" w:rsidP="00A36874">
      <w:pPr>
        <w:rPr>
          <w:lang w:eastAsia="x-none"/>
        </w:rPr>
      </w:pPr>
    </w:p>
    <w:p w14:paraId="219CECF4" w14:textId="3F13DE28" w:rsidR="004C5FD4" w:rsidRDefault="005A18DC" w:rsidP="00A36874">
      <w:pPr>
        <w:rPr>
          <w:lang w:eastAsia="x-none"/>
        </w:rPr>
      </w:pPr>
      <w:hyperlink r:id="rId589" w:history="1">
        <w:r w:rsidR="00AF7253">
          <w:rPr>
            <w:rStyle w:val="Hyperlink"/>
            <w:lang w:eastAsia="x-none"/>
          </w:rPr>
          <w:t>R1-2312292</w:t>
        </w:r>
      </w:hyperlink>
      <w:r w:rsidR="004C5FD4" w:rsidRPr="004C5FD4">
        <w:rPr>
          <w:lang w:eastAsia="x-none"/>
        </w:rPr>
        <w:tab/>
        <w:t>Draft CR on PDSCH processing timeline</w:t>
      </w:r>
      <w:r w:rsidR="004C5FD4" w:rsidRPr="004C5FD4">
        <w:rPr>
          <w:lang w:eastAsia="x-none"/>
        </w:rPr>
        <w:tab/>
        <w:t>Moderator</w:t>
      </w:r>
      <w:r w:rsidR="004C5FD4">
        <w:rPr>
          <w:lang w:eastAsia="x-none"/>
        </w:rPr>
        <w:t xml:space="preserve"> </w:t>
      </w:r>
      <w:r w:rsidR="004C5FD4" w:rsidRPr="004C5FD4">
        <w:rPr>
          <w:lang w:eastAsia="x-none"/>
        </w:rPr>
        <w:t>(Huawei)</w:t>
      </w:r>
    </w:p>
    <w:p w14:paraId="37D6F770" w14:textId="77777777" w:rsidR="004C5FD4" w:rsidRDefault="004C5FD4" w:rsidP="004C5FD4">
      <w:pPr>
        <w:rPr>
          <w:lang w:eastAsia="x-none"/>
        </w:rPr>
      </w:pPr>
      <w:r>
        <w:rPr>
          <w:lang w:eastAsia="x-none"/>
        </w:rPr>
        <w:t>No consensus to adopt the proposed draft CR.</w:t>
      </w:r>
    </w:p>
    <w:p w14:paraId="263E097C" w14:textId="77777777" w:rsidR="001B58AB" w:rsidRDefault="001B58AB" w:rsidP="00A36874">
      <w:pPr>
        <w:rPr>
          <w:lang w:eastAsia="x-none"/>
        </w:rPr>
      </w:pPr>
    </w:p>
    <w:p w14:paraId="2D39B691" w14:textId="77777777" w:rsidR="004C5FD4" w:rsidRPr="00A36874" w:rsidRDefault="004C5FD4" w:rsidP="00A36874">
      <w:pPr>
        <w:rPr>
          <w:lang w:eastAsia="x-none"/>
        </w:rPr>
      </w:pPr>
    </w:p>
    <w:p w14:paraId="2C45A7EE" w14:textId="77777777" w:rsidR="00A36874" w:rsidRPr="00A36874" w:rsidRDefault="00A36874" w:rsidP="00A36874">
      <w:pPr>
        <w:rPr>
          <w:b/>
          <w:lang w:eastAsia="x-none"/>
        </w:rPr>
      </w:pPr>
      <w:r w:rsidRPr="00A36874">
        <w:rPr>
          <w:b/>
          <w:lang w:eastAsia="x-none"/>
        </w:rPr>
        <w:t>Issue (2-2) Receiving both unicast and broadcast</w:t>
      </w:r>
    </w:p>
    <w:p w14:paraId="07482D35" w14:textId="1DC5E4AE" w:rsidR="00A36874" w:rsidRPr="00A75B41" w:rsidRDefault="005A18DC" w:rsidP="00A36874">
      <w:pPr>
        <w:rPr>
          <w:b/>
          <w:bCs/>
          <w:lang w:eastAsia="x-none"/>
        </w:rPr>
      </w:pPr>
      <w:hyperlink r:id="rId590" w:history="1">
        <w:r w:rsidR="00AF7253">
          <w:rPr>
            <w:rStyle w:val="Hyperlink"/>
            <w:b/>
            <w:bCs/>
            <w:lang w:eastAsia="x-none"/>
          </w:rPr>
          <w:t>R1-2312143</w:t>
        </w:r>
      </w:hyperlink>
      <w:r w:rsidR="00A36874" w:rsidRPr="00A75B41">
        <w:rPr>
          <w:b/>
          <w:bCs/>
          <w:lang w:eastAsia="x-none"/>
        </w:rPr>
        <w:tab/>
        <w:t>Draft CR on UE receiving both unicast and MBS broadcast</w:t>
      </w:r>
      <w:r w:rsidR="00A36874" w:rsidRPr="00A75B41">
        <w:rPr>
          <w:b/>
          <w:bCs/>
          <w:lang w:eastAsia="x-none"/>
        </w:rPr>
        <w:tab/>
        <w:t>Huawei, HiSilicon, CMCC, CBN</w:t>
      </w:r>
    </w:p>
    <w:p w14:paraId="76FAF243" w14:textId="2FF21308" w:rsidR="00A36874" w:rsidRPr="00A36874" w:rsidRDefault="005A18DC" w:rsidP="00A36874">
      <w:pPr>
        <w:rPr>
          <w:lang w:eastAsia="x-none"/>
        </w:rPr>
      </w:pPr>
      <w:hyperlink r:id="rId591" w:history="1">
        <w:r w:rsidR="00AF7253">
          <w:rPr>
            <w:rStyle w:val="Hyperlink"/>
            <w:lang w:eastAsia="x-none"/>
          </w:rPr>
          <w:t>R1-2312212</w:t>
        </w:r>
      </w:hyperlink>
      <w:r w:rsidR="00A36874" w:rsidRPr="00A36874">
        <w:rPr>
          <w:lang w:eastAsia="x-none"/>
        </w:rPr>
        <w:tab/>
        <w:t>Discussion on the maintenance issues for Rel-17 MBS</w:t>
      </w:r>
      <w:r w:rsidR="00A36874" w:rsidRPr="00A36874">
        <w:rPr>
          <w:lang w:eastAsia="x-none"/>
        </w:rPr>
        <w:tab/>
        <w:t>Huawei, HiSilicon, CBN</w:t>
      </w:r>
    </w:p>
    <w:p w14:paraId="548317A4" w14:textId="77777777" w:rsidR="00A75B41" w:rsidRDefault="00A75B41" w:rsidP="00A75B41">
      <w:pPr>
        <w:rPr>
          <w:lang w:eastAsia="x-none"/>
        </w:rPr>
      </w:pPr>
      <w:r>
        <w:rPr>
          <w:lang w:eastAsia="x-none"/>
        </w:rPr>
        <w:t>No consensus to adopt the proposed draft CR.</w:t>
      </w:r>
    </w:p>
    <w:p w14:paraId="142CF465" w14:textId="77777777" w:rsidR="00A36874" w:rsidRDefault="00A36874" w:rsidP="00A36874">
      <w:pPr>
        <w:rPr>
          <w:lang w:eastAsia="x-none"/>
        </w:rPr>
      </w:pPr>
    </w:p>
    <w:p w14:paraId="2750FF48" w14:textId="77777777" w:rsidR="001B58AB" w:rsidRPr="00A36874" w:rsidRDefault="001B58AB" w:rsidP="00A36874">
      <w:pPr>
        <w:rPr>
          <w:lang w:eastAsia="x-none"/>
        </w:rPr>
      </w:pPr>
    </w:p>
    <w:p w14:paraId="1BA88A81" w14:textId="77777777" w:rsidR="00A36874" w:rsidRPr="00A36874" w:rsidRDefault="00A36874" w:rsidP="00A36874">
      <w:pPr>
        <w:rPr>
          <w:b/>
          <w:lang w:eastAsia="x-none"/>
        </w:rPr>
      </w:pPr>
      <w:r w:rsidRPr="00A36874">
        <w:rPr>
          <w:b/>
          <w:lang w:eastAsia="x-none"/>
        </w:rPr>
        <w:lastRenderedPageBreak/>
        <w:t>Issue (2-3) RV for PDSCH repetition</w:t>
      </w:r>
    </w:p>
    <w:p w14:paraId="2BD6391A" w14:textId="51255E98" w:rsidR="00A36874" w:rsidRPr="00A36874" w:rsidRDefault="005A18DC" w:rsidP="00A36874">
      <w:pPr>
        <w:rPr>
          <w:b/>
          <w:lang w:eastAsia="x-none"/>
        </w:rPr>
      </w:pPr>
      <w:hyperlink r:id="rId592" w:history="1">
        <w:r w:rsidR="00AF7253">
          <w:rPr>
            <w:rStyle w:val="Hyperlink"/>
            <w:b/>
            <w:lang w:eastAsia="x-none"/>
          </w:rPr>
          <w:t>R1-2311018</w:t>
        </w:r>
      </w:hyperlink>
      <w:r w:rsidR="00A36874" w:rsidRPr="00A36874">
        <w:rPr>
          <w:b/>
          <w:lang w:eastAsia="x-none"/>
        </w:rPr>
        <w:tab/>
        <w:t>Draft CR on RV determination for PDSCH repetitions for MBS</w:t>
      </w:r>
      <w:r w:rsidR="00A36874" w:rsidRPr="00A36874">
        <w:rPr>
          <w:b/>
          <w:lang w:eastAsia="x-none"/>
        </w:rPr>
        <w:tab/>
        <w:t>ZTE, CBN</w:t>
      </w:r>
    </w:p>
    <w:p w14:paraId="045682A6" w14:textId="77777777" w:rsidR="00A36874" w:rsidRPr="00A36874" w:rsidRDefault="00A36874" w:rsidP="00A36874">
      <w:pPr>
        <w:rPr>
          <w:lang w:eastAsia="x-none"/>
        </w:rPr>
      </w:pPr>
      <w:r w:rsidRPr="00A36874">
        <w:rPr>
          <w:highlight w:val="green"/>
          <w:lang w:eastAsia="x-none"/>
        </w:rPr>
        <w:t>Agreement</w:t>
      </w:r>
    </w:p>
    <w:p w14:paraId="05DEBF40" w14:textId="343ABDDF" w:rsidR="00A36874" w:rsidRPr="001B58AB" w:rsidRDefault="00A36874" w:rsidP="001B58AB">
      <w:pPr>
        <w:pStyle w:val="ListParagraph"/>
        <w:numPr>
          <w:ilvl w:val="0"/>
          <w:numId w:val="80"/>
        </w:numPr>
        <w:rPr>
          <w:rFonts w:eastAsia="Times New Roman"/>
        </w:rPr>
      </w:pPr>
      <w:r w:rsidRPr="001B58AB">
        <w:rPr>
          <w:rFonts w:eastAsia="Times New Roman" w:hint="eastAsia"/>
        </w:rPr>
        <w:t>T</w:t>
      </w:r>
      <w:r w:rsidRPr="001B58AB">
        <w:rPr>
          <w:rFonts w:eastAsia="Times New Roman"/>
        </w:rPr>
        <w:t xml:space="preserve">he draft CR in </w:t>
      </w:r>
      <w:hyperlink r:id="rId593" w:history="1">
        <w:r w:rsidR="00AF7253">
          <w:rPr>
            <w:rStyle w:val="Hyperlink"/>
            <w:rFonts w:eastAsia="Times New Roman"/>
          </w:rPr>
          <w:t>R1-2311018</w:t>
        </w:r>
      </w:hyperlink>
      <w:r w:rsidRPr="001B58AB">
        <w:rPr>
          <w:rFonts w:eastAsia="Times New Roman"/>
        </w:rPr>
        <w:t xml:space="preserve"> is endorsed for alignment CR for TS38.214. </w:t>
      </w:r>
    </w:p>
    <w:p w14:paraId="4E8C881E" w14:textId="77777777" w:rsidR="00A36874" w:rsidRPr="00A36874" w:rsidRDefault="00A36874" w:rsidP="00A36874">
      <w:pPr>
        <w:rPr>
          <w:lang w:eastAsia="x-none"/>
        </w:rPr>
      </w:pPr>
    </w:p>
    <w:p w14:paraId="004EB92D" w14:textId="77777777" w:rsidR="00A36874" w:rsidRPr="00A36874" w:rsidRDefault="00A36874" w:rsidP="00A36874">
      <w:pPr>
        <w:rPr>
          <w:b/>
          <w:lang w:eastAsia="x-none"/>
        </w:rPr>
      </w:pPr>
      <w:r w:rsidRPr="00A36874">
        <w:rPr>
          <w:b/>
          <w:lang w:eastAsia="x-none"/>
        </w:rPr>
        <w:t>Issue (2-4) Type0B for HD-FDD redcap</w:t>
      </w:r>
    </w:p>
    <w:p w14:paraId="67229164" w14:textId="1A84C31A" w:rsidR="00A36874" w:rsidRPr="00A36874" w:rsidRDefault="005A18DC" w:rsidP="00A36874">
      <w:pPr>
        <w:rPr>
          <w:b/>
          <w:lang w:eastAsia="x-none"/>
        </w:rPr>
      </w:pPr>
      <w:hyperlink r:id="rId594" w:history="1">
        <w:r w:rsidR="00AF7253">
          <w:rPr>
            <w:rStyle w:val="Hyperlink"/>
            <w:b/>
            <w:lang w:eastAsia="x-none"/>
          </w:rPr>
          <w:t>R1-2312023</w:t>
        </w:r>
      </w:hyperlink>
      <w:r w:rsidR="00A36874" w:rsidRPr="00A36874">
        <w:rPr>
          <w:b/>
          <w:lang w:eastAsia="x-none"/>
        </w:rPr>
        <w:tab/>
        <w:t>Draft CR on collision avoidance between PDCCH in Type0/0B CSS and dedicated RRC scheduled UL for HD-FDD RedCap UEs</w:t>
      </w:r>
      <w:r w:rsidR="00A36874" w:rsidRPr="00A36874">
        <w:rPr>
          <w:b/>
          <w:lang w:eastAsia="x-none"/>
        </w:rPr>
        <w:tab/>
        <w:t>Qualcomm Incorporated</w:t>
      </w:r>
    </w:p>
    <w:p w14:paraId="48F61133" w14:textId="77777777" w:rsidR="00A36874" w:rsidRPr="00A36874" w:rsidRDefault="00A36874" w:rsidP="00A36874">
      <w:pPr>
        <w:rPr>
          <w:lang w:eastAsia="x-none"/>
        </w:rPr>
      </w:pPr>
      <w:r w:rsidRPr="00A36874">
        <w:rPr>
          <w:highlight w:val="green"/>
          <w:lang w:eastAsia="x-none"/>
        </w:rPr>
        <w:t>Agreement</w:t>
      </w:r>
    </w:p>
    <w:p w14:paraId="22FEA2E7" w14:textId="4E7EE718" w:rsidR="00A36874" w:rsidRPr="00A36874" w:rsidRDefault="00A36874" w:rsidP="001B58AB">
      <w:pPr>
        <w:pStyle w:val="ListParagraph"/>
        <w:numPr>
          <w:ilvl w:val="0"/>
          <w:numId w:val="80"/>
        </w:numPr>
        <w:rPr>
          <w:lang w:eastAsia="x-none"/>
        </w:rPr>
      </w:pPr>
      <w:r w:rsidRPr="00A36874">
        <w:rPr>
          <w:lang w:eastAsia="x-none"/>
        </w:rPr>
        <w:t xml:space="preserve">The draft CR in </w:t>
      </w:r>
      <w:hyperlink r:id="rId595" w:history="1">
        <w:r w:rsidR="00AF7253">
          <w:rPr>
            <w:rStyle w:val="Hyperlink"/>
            <w:lang w:eastAsia="x-none"/>
          </w:rPr>
          <w:t>R1-2312023</w:t>
        </w:r>
      </w:hyperlink>
      <w:r w:rsidRPr="00A36874">
        <w:rPr>
          <w:lang w:eastAsia="x-none"/>
        </w:rPr>
        <w:t xml:space="preserve"> is endorsed.</w:t>
      </w:r>
    </w:p>
    <w:p w14:paraId="1DBC3570" w14:textId="780F2F38" w:rsidR="00A36874" w:rsidRPr="00A36874" w:rsidRDefault="00A36874" w:rsidP="00A36874">
      <w:pPr>
        <w:rPr>
          <w:lang w:eastAsia="x-none"/>
        </w:rPr>
      </w:pPr>
      <w:r w:rsidRPr="00AF5ABD">
        <w:rPr>
          <w:lang w:eastAsia="x-none"/>
        </w:rPr>
        <w:t>Final CR</w:t>
      </w:r>
      <w:r w:rsidR="001B58AB" w:rsidRPr="00AF5ABD">
        <w:rPr>
          <w:lang w:eastAsia="x-none"/>
        </w:rPr>
        <w:t>s</w:t>
      </w:r>
      <w:r w:rsidRPr="00AF5ABD">
        <w:rPr>
          <w:lang w:eastAsia="x-none"/>
        </w:rPr>
        <w:t xml:space="preserve"> in</w:t>
      </w:r>
      <w:r w:rsidR="00AF5ABD" w:rsidRPr="00AF5ABD">
        <w:rPr>
          <w:lang w:eastAsia="x-none"/>
        </w:rPr>
        <w:t>:</w:t>
      </w:r>
    </w:p>
    <w:p w14:paraId="22231210" w14:textId="34C37C57" w:rsidR="0054499D" w:rsidRPr="0054499D" w:rsidRDefault="005A18DC" w:rsidP="0054499D">
      <w:pPr>
        <w:rPr>
          <w:b/>
          <w:bCs/>
          <w:lang w:eastAsia="x-none"/>
        </w:rPr>
      </w:pPr>
      <w:hyperlink r:id="rId596" w:history="1">
        <w:r w:rsidR="00AF7253">
          <w:rPr>
            <w:rStyle w:val="Hyperlink"/>
            <w:b/>
            <w:bCs/>
            <w:highlight w:val="green"/>
            <w:lang w:eastAsia="x-none"/>
          </w:rPr>
          <w:t>R1-2312557</w:t>
        </w:r>
      </w:hyperlink>
      <w:r w:rsidR="0054499D" w:rsidRPr="0054499D">
        <w:rPr>
          <w:b/>
          <w:bCs/>
          <w:lang w:eastAsia="x-none"/>
        </w:rPr>
        <w:tab/>
        <w:t>CR on PDCCH monitoring in Type0B CSS for HD-FDD RedCap UEs</w:t>
      </w:r>
      <w:r w:rsidR="0054499D" w:rsidRPr="0054499D">
        <w:rPr>
          <w:b/>
          <w:bCs/>
          <w:lang w:eastAsia="x-none"/>
        </w:rPr>
        <w:tab/>
        <w:t>Moderator (Huawei), Qualcomm</w:t>
      </w:r>
    </w:p>
    <w:p w14:paraId="72C43FB7" w14:textId="77777777" w:rsidR="0054499D" w:rsidRDefault="0054499D" w:rsidP="0054499D">
      <w:pPr>
        <w:rPr>
          <w:lang w:eastAsia="x-none"/>
        </w:rPr>
      </w:pPr>
      <w:r>
        <w:rPr>
          <w:lang w:eastAsia="x-none"/>
        </w:rPr>
        <w:t>(Rel-17, 38.213, CR0554, Cat F) is agreed.</w:t>
      </w:r>
    </w:p>
    <w:p w14:paraId="77460C07" w14:textId="431B7A58" w:rsidR="0054499D" w:rsidRPr="0054499D" w:rsidRDefault="005A18DC" w:rsidP="0054499D">
      <w:pPr>
        <w:rPr>
          <w:b/>
          <w:bCs/>
          <w:lang w:eastAsia="x-none"/>
        </w:rPr>
      </w:pPr>
      <w:hyperlink r:id="rId597" w:history="1">
        <w:r w:rsidR="00AF7253">
          <w:rPr>
            <w:rStyle w:val="Hyperlink"/>
            <w:b/>
            <w:bCs/>
            <w:highlight w:val="green"/>
            <w:lang w:eastAsia="x-none"/>
          </w:rPr>
          <w:t>R1-2312558</w:t>
        </w:r>
      </w:hyperlink>
      <w:r w:rsidR="0054499D" w:rsidRPr="0054499D">
        <w:rPr>
          <w:b/>
          <w:bCs/>
          <w:lang w:eastAsia="x-none"/>
        </w:rPr>
        <w:tab/>
        <w:t>CR on PDCCH monitoring in Type0B CSS for HD-FDD RedCap UEs</w:t>
      </w:r>
      <w:r w:rsidR="0054499D" w:rsidRPr="0054499D">
        <w:rPr>
          <w:b/>
          <w:bCs/>
          <w:lang w:eastAsia="x-none"/>
        </w:rPr>
        <w:tab/>
        <w:t>Moderator (Huawei), Qualcomm</w:t>
      </w:r>
    </w:p>
    <w:p w14:paraId="535D965C" w14:textId="4254221B" w:rsidR="0054499D" w:rsidRDefault="0054499D" w:rsidP="0054499D">
      <w:pPr>
        <w:rPr>
          <w:lang w:eastAsia="x-none"/>
        </w:rPr>
      </w:pPr>
      <w:r>
        <w:rPr>
          <w:lang w:eastAsia="x-none"/>
        </w:rPr>
        <w:t>(Rel-18, 38.213, CR055</w:t>
      </w:r>
      <w:r w:rsidR="00AF5ABD">
        <w:rPr>
          <w:lang w:eastAsia="x-none"/>
        </w:rPr>
        <w:t>5</w:t>
      </w:r>
      <w:r>
        <w:rPr>
          <w:lang w:eastAsia="x-none"/>
        </w:rPr>
        <w:t xml:space="preserve">, Cat </w:t>
      </w:r>
      <w:r w:rsidR="00AF5ABD">
        <w:rPr>
          <w:lang w:eastAsia="x-none"/>
        </w:rPr>
        <w:t>A</w:t>
      </w:r>
      <w:r>
        <w:rPr>
          <w:lang w:eastAsia="x-none"/>
        </w:rPr>
        <w:t>) is agreed.</w:t>
      </w:r>
    </w:p>
    <w:p w14:paraId="3F4419C5" w14:textId="77777777" w:rsidR="001B58AB" w:rsidRDefault="001B58AB" w:rsidP="00A36874">
      <w:pPr>
        <w:rPr>
          <w:lang w:eastAsia="x-none"/>
        </w:rPr>
      </w:pPr>
    </w:p>
    <w:p w14:paraId="03414008" w14:textId="77777777" w:rsidR="00AF5ABD" w:rsidRPr="00A36874" w:rsidRDefault="00AF5ABD" w:rsidP="00A36874">
      <w:pPr>
        <w:rPr>
          <w:lang w:eastAsia="x-none"/>
        </w:rPr>
      </w:pPr>
    </w:p>
    <w:p w14:paraId="2CD29D86" w14:textId="77777777" w:rsidR="00A36874" w:rsidRPr="00A36874" w:rsidRDefault="00A36874" w:rsidP="00A36874">
      <w:pPr>
        <w:rPr>
          <w:b/>
          <w:lang w:eastAsia="x-none"/>
        </w:rPr>
      </w:pPr>
      <w:r w:rsidRPr="00A36874">
        <w:rPr>
          <w:b/>
          <w:lang w:eastAsia="x-none"/>
        </w:rPr>
        <w:t>Issue (2-5) Editorial1: parameter correction</w:t>
      </w:r>
    </w:p>
    <w:p w14:paraId="26F1F7BF" w14:textId="664AAD89" w:rsidR="00A36874" w:rsidRPr="00A36874" w:rsidRDefault="005A18DC" w:rsidP="00A36874">
      <w:pPr>
        <w:rPr>
          <w:b/>
          <w:lang w:eastAsia="x-none"/>
        </w:rPr>
      </w:pPr>
      <w:hyperlink r:id="rId598" w:history="1">
        <w:r w:rsidR="00AF7253">
          <w:rPr>
            <w:rStyle w:val="Hyperlink"/>
            <w:b/>
            <w:lang w:eastAsia="x-none"/>
          </w:rPr>
          <w:t>R1-2312024</w:t>
        </w:r>
      </w:hyperlink>
      <w:r w:rsidR="00A36874" w:rsidRPr="00A36874">
        <w:rPr>
          <w:b/>
          <w:lang w:eastAsia="x-none"/>
        </w:rPr>
        <w:tab/>
        <w:t>Draft CR on PDSCH configuration for MBS broadcast</w:t>
      </w:r>
      <w:r w:rsidR="00A36874" w:rsidRPr="00A36874">
        <w:rPr>
          <w:b/>
          <w:lang w:eastAsia="x-none"/>
        </w:rPr>
        <w:tab/>
        <w:t>Qualcomm Incorporated</w:t>
      </w:r>
    </w:p>
    <w:p w14:paraId="1D9B52F9" w14:textId="77777777" w:rsidR="00A36874" w:rsidRPr="00A36874" w:rsidRDefault="00A36874" w:rsidP="00A36874">
      <w:pPr>
        <w:rPr>
          <w:lang w:eastAsia="x-none"/>
        </w:rPr>
      </w:pPr>
      <w:r w:rsidRPr="00A36874">
        <w:rPr>
          <w:highlight w:val="green"/>
          <w:lang w:eastAsia="x-none"/>
        </w:rPr>
        <w:t>Agreement</w:t>
      </w:r>
    </w:p>
    <w:p w14:paraId="6ACAE9CE" w14:textId="5FB5C1A7" w:rsidR="00A36874" w:rsidRPr="007A42F2" w:rsidRDefault="00A36874" w:rsidP="007A42F2">
      <w:pPr>
        <w:pStyle w:val="ListParagraph"/>
        <w:numPr>
          <w:ilvl w:val="0"/>
          <w:numId w:val="80"/>
        </w:numPr>
        <w:rPr>
          <w:rFonts w:eastAsia="Times New Roman"/>
        </w:rPr>
      </w:pPr>
      <w:r w:rsidRPr="007A42F2">
        <w:rPr>
          <w:rFonts w:eastAsia="Times New Roman" w:hint="eastAsia"/>
        </w:rPr>
        <w:t>T</w:t>
      </w:r>
      <w:r w:rsidRPr="007A42F2">
        <w:rPr>
          <w:rFonts w:eastAsia="Times New Roman"/>
        </w:rPr>
        <w:t xml:space="preserve">he draft CR in </w:t>
      </w:r>
      <w:hyperlink r:id="rId599" w:history="1">
        <w:r w:rsidR="00AF7253">
          <w:rPr>
            <w:rStyle w:val="Hyperlink"/>
            <w:rFonts w:eastAsia="Times New Roman"/>
          </w:rPr>
          <w:t>R1-2312024</w:t>
        </w:r>
      </w:hyperlink>
      <w:r w:rsidRPr="007A42F2">
        <w:rPr>
          <w:rFonts w:eastAsia="Times New Roman"/>
        </w:rPr>
        <w:t xml:space="preserve"> is endorsed for alignment CR to TS38.213. </w:t>
      </w:r>
    </w:p>
    <w:p w14:paraId="05786B64" w14:textId="77777777" w:rsidR="00A36874" w:rsidRPr="00A36874" w:rsidRDefault="00A36874" w:rsidP="00A36874">
      <w:pPr>
        <w:rPr>
          <w:lang w:eastAsia="x-none"/>
        </w:rPr>
      </w:pPr>
    </w:p>
    <w:p w14:paraId="77BC9000" w14:textId="77777777" w:rsidR="00A36874" w:rsidRPr="00A36874" w:rsidRDefault="00A36874" w:rsidP="00A36874">
      <w:pPr>
        <w:rPr>
          <w:lang w:eastAsia="x-none"/>
        </w:rPr>
      </w:pPr>
    </w:p>
    <w:p w14:paraId="17ED4471" w14:textId="77777777" w:rsidR="00A36874" w:rsidRPr="00A36874" w:rsidRDefault="00A36874" w:rsidP="00A36874">
      <w:pPr>
        <w:rPr>
          <w:b/>
          <w:lang w:eastAsia="x-none"/>
        </w:rPr>
      </w:pPr>
      <w:r w:rsidRPr="00A36874">
        <w:rPr>
          <w:b/>
          <w:lang w:eastAsia="x-none"/>
        </w:rPr>
        <w:t>Issue (2-6) Editorial2: multicast for G-RNTI</w:t>
      </w:r>
    </w:p>
    <w:p w14:paraId="04676105" w14:textId="6827C636" w:rsidR="00A36874" w:rsidRPr="00A36874" w:rsidRDefault="005A18DC" w:rsidP="00A36874">
      <w:pPr>
        <w:rPr>
          <w:b/>
          <w:lang w:eastAsia="x-none"/>
        </w:rPr>
      </w:pPr>
      <w:hyperlink r:id="rId600" w:history="1">
        <w:r w:rsidR="00AF7253">
          <w:rPr>
            <w:rStyle w:val="Hyperlink"/>
            <w:b/>
            <w:lang w:eastAsia="x-none"/>
          </w:rPr>
          <w:t>R1-2311308</w:t>
        </w:r>
      </w:hyperlink>
      <w:r w:rsidR="00A36874" w:rsidRPr="00A36874">
        <w:rPr>
          <w:b/>
          <w:lang w:eastAsia="x-none"/>
        </w:rPr>
        <w:tab/>
        <w:t>Draft CR on DCI scrambled with G-RNTI for multicast to 38.213</w:t>
      </w:r>
      <w:r w:rsidR="00A36874" w:rsidRPr="00A36874">
        <w:rPr>
          <w:b/>
          <w:lang w:eastAsia="x-none"/>
        </w:rPr>
        <w:tab/>
        <w:t>CATT, CBN</w:t>
      </w:r>
    </w:p>
    <w:p w14:paraId="0D01B89D" w14:textId="15FBCF69" w:rsidR="00A36874" w:rsidRPr="00A36874" w:rsidRDefault="005A18DC" w:rsidP="00A36874">
      <w:pPr>
        <w:rPr>
          <w:b/>
          <w:lang w:eastAsia="x-none"/>
        </w:rPr>
      </w:pPr>
      <w:hyperlink r:id="rId601" w:history="1">
        <w:r w:rsidR="00AF7253">
          <w:rPr>
            <w:rStyle w:val="Hyperlink"/>
            <w:b/>
            <w:highlight w:val="red"/>
            <w:lang w:eastAsia="x-none"/>
          </w:rPr>
          <w:t>R1-2311309</w:t>
        </w:r>
      </w:hyperlink>
      <w:r w:rsidR="00A36874" w:rsidRPr="00A36874">
        <w:rPr>
          <w:b/>
          <w:lang w:eastAsia="x-none"/>
        </w:rPr>
        <w:tab/>
        <w:t>Draft CR on DCI scrambled with G-RNTI for multicast to 38.214</w:t>
      </w:r>
      <w:r w:rsidR="00A36874" w:rsidRPr="00A36874">
        <w:rPr>
          <w:b/>
          <w:lang w:eastAsia="x-none"/>
        </w:rPr>
        <w:tab/>
        <w:t>CATT, CBN</w:t>
      </w:r>
    </w:p>
    <w:p w14:paraId="1ACC40A0" w14:textId="77777777" w:rsidR="00A36874" w:rsidRPr="00A36874" w:rsidRDefault="00A36874" w:rsidP="00A36874">
      <w:pPr>
        <w:rPr>
          <w:lang w:eastAsia="x-none"/>
        </w:rPr>
      </w:pPr>
      <w:r w:rsidRPr="00A36874">
        <w:rPr>
          <w:highlight w:val="green"/>
          <w:lang w:eastAsia="x-none"/>
        </w:rPr>
        <w:t>Agreement</w:t>
      </w:r>
    </w:p>
    <w:p w14:paraId="28D80B93" w14:textId="51EB75FA" w:rsidR="00A36874" w:rsidRPr="00A36874" w:rsidRDefault="00A36874" w:rsidP="007A42F2">
      <w:pPr>
        <w:pStyle w:val="ListParagraph"/>
        <w:numPr>
          <w:ilvl w:val="0"/>
          <w:numId w:val="80"/>
        </w:numPr>
        <w:rPr>
          <w:lang w:eastAsia="x-none"/>
        </w:rPr>
      </w:pPr>
      <w:r w:rsidRPr="00A36874">
        <w:rPr>
          <w:lang w:eastAsia="x-none"/>
        </w:rPr>
        <w:t xml:space="preserve">The draft CR in </w:t>
      </w:r>
      <w:hyperlink r:id="rId602" w:history="1">
        <w:r w:rsidR="00AF7253">
          <w:rPr>
            <w:rStyle w:val="Hyperlink"/>
            <w:lang w:eastAsia="x-none"/>
          </w:rPr>
          <w:t>R1-2311308</w:t>
        </w:r>
      </w:hyperlink>
      <w:r w:rsidRPr="00A36874">
        <w:rPr>
          <w:lang w:eastAsia="x-none"/>
        </w:rPr>
        <w:t xml:space="preserve"> is endorsed for alignment CR to TS38.213.</w:t>
      </w:r>
    </w:p>
    <w:p w14:paraId="67B4410D" w14:textId="77777777" w:rsidR="00A36874" w:rsidRPr="00A36874" w:rsidRDefault="00A36874" w:rsidP="00A36874">
      <w:pPr>
        <w:rPr>
          <w:bCs/>
          <w:u w:val="single"/>
          <w:lang w:eastAsia="x-none"/>
        </w:rPr>
      </w:pPr>
      <w:r w:rsidRPr="00A36874">
        <w:rPr>
          <w:bCs/>
          <w:u w:val="single"/>
          <w:lang w:eastAsia="x-none"/>
        </w:rPr>
        <w:t>Conclusion</w:t>
      </w:r>
    </w:p>
    <w:p w14:paraId="093080B8" w14:textId="0524234C" w:rsidR="00A36874" w:rsidRPr="00A36874" w:rsidRDefault="00A36874" w:rsidP="00A36874">
      <w:pPr>
        <w:rPr>
          <w:highlight w:val="yellow"/>
          <w:lang w:eastAsia="x-none"/>
        </w:rPr>
      </w:pPr>
      <w:r w:rsidRPr="00A36874">
        <w:rPr>
          <w:lang w:eastAsia="x-none"/>
        </w:rPr>
        <w:t xml:space="preserve">The draft CR in </w:t>
      </w:r>
      <w:hyperlink r:id="rId603" w:history="1">
        <w:r w:rsidR="00AF7253">
          <w:rPr>
            <w:rStyle w:val="Hyperlink"/>
            <w:lang w:eastAsia="x-none"/>
          </w:rPr>
          <w:t>R1-2311309</w:t>
        </w:r>
      </w:hyperlink>
      <w:r w:rsidRPr="00A36874">
        <w:rPr>
          <w:lang w:eastAsia="x-none"/>
        </w:rPr>
        <w:t xml:space="preserve"> is not pursued in Rel-17.</w:t>
      </w:r>
    </w:p>
    <w:p w14:paraId="5183CA49" w14:textId="77777777" w:rsidR="00835CB1" w:rsidRDefault="00835CB1" w:rsidP="00835CB1">
      <w:pPr>
        <w:rPr>
          <w:lang w:eastAsia="x-none"/>
        </w:rPr>
      </w:pPr>
    </w:p>
    <w:p w14:paraId="69D050AC" w14:textId="77777777" w:rsidR="0042366C" w:rsidRDefault="0042366C" w:rsidP="00835CB1">
      <w:pPr>
        <w:rPr>
          <w:lang w:eastAsia="x-none"/>
        </w:rPr>
      </w:pPr>
    </w:p>
    <w:p w14:paraId="4873D8CB" w14:textId="0E8D28B9" w:rsidR="0042366C" w:rsidRPr="0042366C" w:rsidRDefault="0042366C" w:rsidP="00835CB1">
      <w:pPr>
        <w:rPr>
          <w:highlight w:val="yellow"/>
          <w:lang w:eastAsia="x-none"/>
        </w:rPr>
      </w:pPr>
      <w:r>
        <w:rPr>
          <w:lang w:eastAsia="x-none"/>
        </w:rPr>
        <w:t xml:space="preserve">Final summary in </w:t>
      </w:r>
      <w:hyperlink r:id="rId604" w:history="1">
        <w:r w:rsidR="00AF7253">
          <w:rPr>
            <w:rStyle w:val="Hyperlink"/>
            <w:lang w:eastAsia="x-none"/>
          </w:rPr>
          <w:t>R1-2312288</w:t>
        </w:r>
      </w:hyperlink>
      <w:r>
        <w:rPr>
          <w:lang w:eastAsia="x-none"/>
        </w:rPr>
        <w:t>.</w:t>
      </w:r>
    </w:p>
    <w:p w14:paraId="7911EB02" w14:textId="77777777" w:rsidR="00B32D2F" w:rsidRDefault="00B32D2F" w:rsidP="00B32D2F">
      <w:pPr>
        <w:pBdr>
          <w:bottom w:val="double" w:sz="6" w:space="1" w:color="auto"/>
        </w:pBdr>
        <w:rPr>
          <w:lang w:eastAsia="x-none"/>
        </w:rPr>
      </w:pPr>
    </w:p>
    <w:p w14:paraId="60C9CD51" w14:textId="5F06A06B" w:rsidR="00B32D2F" w:rsidRPr="004B3090" w:rsidRDefault="005A18DC" w:rsidP="00B32D2F">
      <w:pPr>
        <w:rPr>
          <w:b/>
          <w:bCs/>
        </w:rPr>
      </w:pPr>
      <w:hyperlink r:id="rId605" w:history="1">
        <w:r w:rsidR="00AF7253">
          <w:rPr>
            <w:rStyle w:val="Hyperlink"/>
            <w:b/>
            <w:bCs/>
          </w:rPr>
          <w:t>R1-2312498</w:t>
        </w:r>
      </w:hyperlink>
      <w:r w:rsidR="00B32D2F" w:rsidRPr="004B3090">
        <w:rPr>
          <w:b/>
          <w:bCs/>
        </w:rPr>
        <w:tab/>
        <w:t>Session notes for 7.2 (Maintenance on supporting NR from 52.6GHz to 71 GHz)</w:t>
      </w:r>
      <w:r w:rsidR="00B32D2F" w:rsidRPr="004B3090">
        <w:rPr>
          <w:b/>
          <w:bCs/>
        </w:rPr>
        <w:tab/>
        <w:t>Ad-Hoc Chair (Huawei)</w:t>
      </w:r>
    </w:p>
    <w:p w14:paraId="38D68421" w14:textId="77777777" w:rsidR="00B32D2F" w:rsidRPr="00D96FAE" w:rsidRDefault="00B32D2F" w:rsidP="00B32D2F">
      <w:pPr>
        <w:rPr>
          <w:lang w:eastAsia="x-none"/>
        </w:rPr>
      </w:pPr>
      <w:r w:rsidRPr="00F05EFE">
        <w:rPr>
          <w:b/>
          <w:bCs/>
        </w:rPr>
        <w:t>Friday decision:</w:t>
      </w:r>
      <w:r>
        <w:t xml:space="preserve"> The </w:t>
      </w:r>
      <w:r>
        <w:rPr>
          <w:lang w:val="en-US" w:eastAsia="x-none"/>
        </w:rPr>
        <w:t>s</w:t>
      </w:r>
      <w:r w:rsidRPr="00663F3A">
        <w:rPr>
          <w:lang w:val="en-US" w:eastAsia="x-none"/>
        </w:rPr>
        <w:t>ession notes</w:t>
      </w:r>
      <w:r>
        <w:rPr>
          <w:lang w:val="en-US" w:eastAsia="x-none"/>
        </w:rPr>
        <w:t xml:space="preserve"> are </w:t>
      </w:r>
      <w:r>
        <w:rPr>
          <w:highlight w:val="green"/>
          <w:lang w:eastAsia="x-none"/>
        </w:rPr>
        <w:t>e</w:t>
      </w:r>
      <w:r w:rsidRPr="00D96FAE">
        <w:rPr>
          <w:highlight w:val="green"/>
          <w:lang w:eastAsia="x-none"/>
        </w:rPr>
        <w:t xml:space="preserve">ndorsed </w:t>
      </w:r>
      <w:r w:rsidRPr="00D96FAE">
        <w:rPr>
          <w:lang w:eastAsia="x-none"/>
        </w:rPr>
        <w:t>and contents reflected below.</w:t>
      </w:r>
    </w:p>
    <w:p w14:paraId="3F71B3A6" w14:textId="77777777" w:rsidR="00B32D2F" w:rsidRDefault="00B32D2F" w:rsidP="00B32D2F">
      <w:pPr>
        <w:rPr>
          <w:lang w:eastAsia="x-none"/>
        </w:rPr>
      </w:pPr>
    </w:p>
    <w:p w14:paraId="47F423AB" w14:textId="77777777" w:rsidR="00835CB1" w:rsidRPr="009537ED" w:rsidRDefault="00835CB1" w:rsidP="00835CB1">
      <w:pPr>
        <w:rPr>
          <w:b/>
          <w:lang w:eastAsia="x-none"/>
        </w:rPr>
      </w:pPr>
      <w:r w:rsidRPr="009537ED">
        <w:rPr>
          <w:b/>
          <w:lang w:eastAsia="x-none"/>
        </w:rPr>
        <w:t>NR Extension to 71GHz</w:t>
      </w:r>
    </w:p>
    <w:p w14:paraId="4E93051C" w14:textId="6BB006D3" w:rsidR="00AF5ABD" w:rsidRPr="00AF5ABD" w:rsidRDefault="005A18DC" w:rsidP="00AF5ABD">
      <w:pPr>
        <w:rPr>
          <w:b/>
          <w:lang w:eastAsia="x-none"/>
        </w:rPr>
      </w:pPr>
      <w:hyperlink r:id="rId606" w:history="1">
        <w:r w:rsidR="00AF7253">
          <w:rPr>
            <w:rStyle w:val="Hyperlink"/>
            <w:b/>
            <w:lang w:eastAsia="x-none"/>
          </w:rPr>
          <w:t>R1-2312351</w:t>
        </w:r>
      </w:hyperlink>
      <w:r w:rsidR="00AF5ABD" w:rsidRPr="00AF5ABD">
        <w:rPr>
          <w:b/>
          <w:lang w:eastAsia="x-none"/>
        </w:rPr>
        <w:tab/>
      </w:r>
      <w:bookmarkStart w:id="115" w:name="_Hlk147503452"/>
      <w:r w:rsidR="00AF5ABD" w:rsidRPr="00AF5ABD">
        <w:rPr>
          <w:b/>
          <w:lang w:eastAsia="x-none"/>
        </w:rPr>
        <w:t>Summary #1 of FR2-2 maintenance</w:t>
      </w:r>
      <w:bookmarkEnd w:id="115"/>
      <w:r w:rsidR="00AF5ABD" w:rsidRPr="00AF5ABD">
        <w:rPr>
          <w:b/>
          <w:lang w:eastAsia="x-none"/>
        </w:rPr>
        <w:tab/>
        <w:t>Moderator (LG Electronics)</w:t>
      </w:r>
    </w:p>
    <w:p w14:paraId="6E6F4DFC" w14:textId="77777777" w:rsidR="00AF5ABD" w:rsidRPr="00AF5ABD" w:rsidRDefault="00AF5ABD" w:rsidP="00AF5ABD">
      <w:pPr>
        <w:rPr>
          <w:highlight w:val="yellow"/>
          <w:lang w:eastAsia="x-none"/>
        </w:rPr>
      </w:pPr>
    </w:p>
    <w:p w14:paraId="3F0FB4CF" w14:textId="77777777" w:rsidR="00AF5ABD" w:rsidRPr="00AF5ABD" w:rsidRDefault="00AF5ABD" w:rsidP="00AF5ABD">
      <w:pPr>
        <w:rPr>
          <w:b/>
        </w:rPr>
      </w:pPr>
      <w:r w:rsidRPr="00AF5ABD">
        <w:rPr>
          <w:b/>
        </w:rPr>
        <w:t>Issue#1: CSI related timeline for 480/960 kHz</w:t>
      </w:r>
    </w:p>
    <w:p w14:paraId="1D7D8FF5" w14:textId="681AABD6" w:rsidR="00AF5ABD" w:rsidRPr="009537ED" w:rsidRDefault="005A18DC" w:rsidP="00AF5ABD">
      <w:pPr>
        <w:rPr>
          <w:lang w:eastAsia="x-none"/>
        </w:rPr>
      </w:pPr>
      <w:hyperlink r:id="rId607" w:history="1">
        <w:r w:rsidR="00AF7253">
          <w:rPr>
            <w:rStyle w:val="Hyperlink"/>
            <w:lang w:eastAsia="x-none"/>
          </w:rPr>
          <w:t>R1-2311310</w:t>
        </w:r>
      </w:hyperlink>
      <w:r w:rsidR="00AF5ABD" w:rsidRPr="009537ED">
        <w:rPr>
          <w:lang w:eastAsia="x-none"/>
        </w:rPr>
        <w:tab/>
        <w:t>Discussion on issues of  CSI related timeline for 480/960 kHz</w:t>
      </w:r>
      <w:r w:rsidR="00AF5ABD" w:rsidRPr="009537ED">
        <w:rPr>
          <w:lang w:eastAsia="x-none"/>
        </w:rPr>
        <w:tab/>
        <w:t>CATT</w:t>
      </w:r>
    </w:p>
    <w:p w14:paraId="612219ED" w14:textId="6AC46769" w:rsidR="00AF5ABD" w:rsidRPr="009537ED" w:rsidRDefault="005A18DC" w:rsidP="00AF5ABD">
      <w:pPr>
        <w:rPr>
          <w:lang w:eastAsia="x-none"/>
        </w:rPr>
      </w:pPr>
      <w:hyperlink r:id="rId608" w:history="1">
        <w:r w:rsidR="00AF7253">
          <w:rPr>
            <w:rStyle w:val="Hyperlink"/>
            <w:lang w:eastAsia="x-none"/>
          </w:rPr>
          <w:t>R1-2311893</w:t>
        </w:r>
      </w:hyperlink>
      <w:r w:rsidR="00AF5ABD" w:rsidRPr="009537ED">
        <w:rPr>
          <w:lang w:eastAsia="x-none"/>
        </w:rPr>
        <w:tab/>
        <w:t>Discussion on CSI related timeline for 480/960 kHz</w:t>
      </w:r>
      <w:r w:rsidR="00AF5ABD" w:rsidRPr="009537ED">
        <w:rPr>
          <w:lang w:eastAsia="x-none"/>
        </w:rPr>
        <w:tab/>
        <w:t>LG Electronics</w:t>
      </w:r>
    </w:p>
    <w:p w14:paraId="1EAE88DA" w14:textId="3E7A9A93" w:rsidR="00AF5ABD" w:rsidRPr="009537ED" w:rsidRDefault="005A18DC" w:rsidP="00AF5ABD">
      <w:pPr>
        <w:rPr>
          <w:lang w:eastAsia="x-none"/>
        </w:rPr>
      </w:pPr>
      <w:hyperlink r:id="rId609" w:history="1">
        <w:r w:rsidR="00AF7253">
          <w:rPr>
            <w:rStyle w:val="Hyperlink"/>
            <w:lang w:eastAsia="x-none"/>
          </w:rPr>
          <w:t>R1-2312097</w:t>
        </w:r>
      </w:hyperlink>
      <w:r w:rsidR="00AF5ABD" w:rsidRPr="009537ED">
        <w:rPr>
          <w:lang w:eastAsia="x-none"/>
        </w:rPr>
        <w:tab/>
        <w:t>Discussion on CSI related timeline for 480/960 kHz</w:t>
      </w:r>
      <w:r w:rsidR="00AF5ABD" w:rsidRPr="009537ED">
        <w:rPr>
          <w:lang w:eastAsia="x-none"/>
        </w:rPr>
        <w:tab/>
        <w:t>Ericsson</w:t>
      </w:r>
    </w:p>
    <w:p w14:paraId="7CB37210" w14:textId="56D04FAD" w:rsidR="00AF5ABD" w:rsidRPr="009537ED" w:rsidRDefault="005A18DC" w:rsidP="00AF5ABD">
      <w:pPr>
        <w:rPr>
          <w:lang w:eastAsia="x-none"/>
        </w:rPr>
      </w:pPr>
      <w:hyperlink r:id="rId610" w:history="1">
        <w:r w:rsidR="00AF7253">
          <w:rPr>
            <w:rStyle w:val="Hyperlink"/>
            <w:lang w:eastAsia="x-none"/>
          </w:rPr>
          <w:t>R1-2312220</w:t>
        </w:r>
      </w:hyperlink>
      <w:r w:rsidR="00AF5ABD" w:rsidRPr="009537ED">
        <w:rPr>
          <w:lang w:eastAsia="x-none"/>
        </w:rPr>
        <w:tab/>
        <w:t>Discussion on the CSI related timeline for 480 and 960 kHz SCS in FR2-2</w:t>
      </w:r>
      <w:r w:rsidR="00AF5ABD" w:rsidRPr="009537ED">
        <w:rPr>
          <w:lang w:eastAsia="x-none"/>
        </w:rPr>
        <w:tab/>
        <w:t>Huawei, HiSilicon</w:t>
      </w:r>
    </w:p>
    <w:p w14:paraId="6453D630" w14:textId="77777777" w:rsidR="00AF5ABD" w:rsidRPr="00AF5ABD" w:rsidRDefault="00AF5ABD" w:rsidP="00AF5ABD">
      <w:pPr>
        <w:rPr>
          <w:highlight w:val="yellow"/>
          <w:lang w:eastAsia="x-none"/>
        </w:rPr>
      </w:pPr>
    </w:p>
    <w:p w14:paraId="7F4CE944" w14:textId="77777777" w:rsidR="00AF5ABD" w:rsidRPr="00AF5ABD" w:rsidRDefault="00AF5ABD" w:rsidP="00AF5ABD">
      <w:pPr>
        <w:jc w:val="both"/>
        <w:rPr>
          <w:bCs/>
          <w:lang w:eastAsia="ko-KR"/>
        </w:rPr>
      </w:pPr>
      <w:r w:rsidRPr="00AF5ABD">
        <w:rPr>
          <w:bCs/>
          <w:highlight w:val="green"/>
          <w:lang w:eastAsia="ko-KR"/>
        </w:rPr>
        <w:t>Agreement</w:t>
      </w:r>
    </w:p>
    <w:p w14:paraId="449DE33E" w14:textId="3A901D52" w:rsidR="00AF5ABD" w:rsidRPr="00AF5ABD" w:rsidRDefault="00AF5ABD" w:rsidP="00AF5ABD">
      <w:pPr>
        <w:jc w:val="both"/>
        <w:rPr>
          <w:lang w:val="en-US" w:eastAsia="ko-KR"/>
        </w:rPr>
      </w:pPr>
      <w:r w:rsidRPr="00AF5ABD">
        <w:rPr>
          <w:bCs/>
          <w:lang w:eastAsia="ko-KR"/>
        </w:rPr>
        <w:t xml:space="preserve">For 480/960 kHz SCS, the value of </w:t>
      </w:r>
      <m:oMath>
        <m:r>
          <w:rPr>
            <w:rFonts w:ascii="Cambria Math" w:hAnsi="Cambria Math"/>
            <w:lang w:val="zh-CN" w:eastAsia="ko-KR"/>
          </w:rPr>
          <m:t>d</m:t>
        </m:r>
      </m:oMath>
      <w:r w:rsidRPr="00AF5ABD">
        <w:rPr>
          <w:bCs/>
          <w:lang w:eastAsia="ko-KR"/>
        </w:rPr>
        <w:t xml:space="preserve"> in </w:t>
      </w:r>
      <m:oMath>
        <m:sSubSup>
          <m:sSubSupPr>
            <m:ctrlPr>
              <w:rPr>
                <w:rFonts w:ascii="Cambria Math" w:hAnsi="Cambria Math"/>
                <w:bCs/>
                <w:i/>
                <w:lang w:val="zh-CN" w:eastAsia="ko-KR"/>
              </w:rPr>
            </m:ctrlPr>
          </m:sSubSupPr>
          <m:e>
            <m:r>
              <w:rPr>
                <w:rFonts w:ascii="Cambria Math" w:hAnsi="Cambria Math"/>
                <w:lang w:val="zh-CN" w:eastAsia="ko-KR"/>
              </w:rPr>
              <m:t>T</m:t>
            </m:r>
          </m:e>
          <m:sub>
            <m:r>
              <w:rPr>
                <w:rFonts w:ascii="Cambria Math" w:hAnsi="Cambria Math"/>
                <w:lang w:val="zh-CN" w:eastAsia="ko-KR"/>
              </w:rPr>
              <m:t>proc</m:t>
            </m:r>
            <m:r>
              <w:rPr>
                <w:rFonts w:ascii="Cambria Math" w:hAnsi="Cambria Math"/>
                <w:lang w:val="en-US" w:eastAsia="ko-KR"/>
              </w:rPr>
              <m:t>,</m:t>
            </m:r>
            <m:r>
              <w:rPr>
                <w:rFonts w:ascii="Cambria Math" w:hAnsi="Cambria Math"/>
                <w:lang w:val="zh-CN" w:eastAsia="ko-KR"/>
              </w:rPr>
              <m:t>CSI</m:t>
            </m:r>
          </m:sub>
          <m:sup>
            <m:r>
              <w:rPr>
                <w:rFonts w:ascii="Cambria Math" w:hAnsi="Cambria Math"/>
                <w:lang w:val="zh-CN" w:eastAsia="ko-KR"/>
              </w:rPr>
              <m:t>mux</m:t>
            </m:r>
          </m:sup>
        </m:sSubSup>
      </m:oMath>
      <w:r w:rsidRPr="00AF5ABD">
        <w:rPr>
          <w:rFonts w:hint="eastAsia"/>
          <w:bCs/>
          <w:lang w:val="en-US" w:eastAsia="ko-KR"/>
        </w:rPr>
        <w:t xml:space="preserve"> </w:t>
      </w:r>
      <w:r w:rsidRPr="00AF5ABD">
        <w:rPr>
          <w:bCs/>
          <w:lang w:val="en-US" w:eastAsia="ko-KR"/>
        </w:rPr>
        <w:t xml:space="preserve">and </w:t>
      </w:r>
      <m:oMath>
        <m:sSubSup>
          <m:sSubSupPr>
            <m:ctrlPr>
              <w:rPr>
                <w:rFonts w:ascii="Cambria Math" w:hAnsi="Cambria Math"/>
                <w:bCs/>
                <w:i/>
                <w:lang w:eastAsia="ko-KR"/>
              </w:rPr>
            </m:ctrlPr>
          </m:sSubSupPr>
          <m:e>
            <m:r>
              <w:rPr>
                <w:rFonts w:ascii="Cambria Math" w:hAnsi="Cambria Math"/>
                <w:lang w:eastAsia="ko-KR"/>
              </w:rPr>
              <m:t>Z'</m:t>
            </m:r>
          </m:e>
          <m:sub>
            <m:r>
              <m:rPr>
                <m:sty m:val="p"/>
              </m:rPr>
              <w:rPr>
                <w:rFonts w:ascii="Cambria Math" w:hAnsi="Cambria Math"/>
                <w:lang w:eastAsia="ko-KR"/>
              </w:rPr>
              <m:t>proc,CSI</m:t>
            </m:r>
          </m:sub>
          <m:sup>
            <m:r>
              <w:rPr>
                <w:rFonts w:ascii="Cambria Math" w:hAnsi="Cambria Math"/>
                <w:lang w:eastAsia="ko-KR"/>
              </w:rPr>
              <m:t xml:space="preserve"> </m:t>
            </m:r>
            <m:r>
              <m:rPr>
                <m:sty m:val="p"/>
              </m:rPr>
              <w:rPr>
                <w:rFonts w:ascii="Cambria Math" w:hAnsi="Cambria Math"/>
                <w:lang w:eastAsia="ko-KR"/>
              </w:rPr>
              <m:t>mux</m:t>
            </m:r>
          </m:sup>
        </m:sSubSup>
      </m:oMath>
      <w:r w:rsidRPr="00AF5ABD">
        <w:rPr>
          <w:rFonts w:hint="eastAsia"/>
          <w:bCs/>
          <w:lang w:eastAsia="ko-KR"/>
        </w:rPr>
        <w:t xml:space="preserve"> </w:t>
      </w:r>
      <w:r w:rsidRPr="00AF5ABD">
        <w:rPr>
          <w:rFonts w:cs="Times"/>
          <w:szCs w:val="20"/>
          <w:lang w:eastAsia="ko-KR"/>
        </w:rPr>
        <w:t xml:space="preserve">in TS 38.213 </w:t>
      </w:r>
      <w:r w:rsidRPr="00AF5ABD">
        <w:rPr>
          <w:bCs/>
          <w:lang w:eastAsia="ko-KR"/>
        </w:rPr>
        <w:t>is defined as follows.</w:t>
      </w:r>
    </w:p>
    <w:p w14:paraId="7823A001" w14:textId="1BEE3B62" w:rsidR="00AF5ABD" w:rsidRPr="00AF5ABD" w:rsidRDefault="00AF5ABD" w:rsidP="00AF5ABD">
      <w:pPr>
        <w:numPr>
          <w:ilvl w:val="0"/>
          <w:numId w:val="259"/>
        </w:numPr>
        <w:jc w:val="both"/>
        <w:rPr>
          <w:rFonts w:eastAsia="MS Mincho"/>
          <w:bCs/>
          <w:noProof/>
          <w:lang w:eastAsia="ja-JP"/>
        </w:rPr>
      </w:pPr>
      <m:oMath>
        <m:r>
          <w:rPr>
            <w:rFonts w:ascii="Cambria Math" w:hAnsi="Cambria Math"/>
            <w:lang w:val="zh-CN" w:eastAsia="ko-KR"/>
          </w:rPr>
          <m:t>d</m:t>
        </m:r>
      </m:oMath>
      <w:r w:rsidRPr="00AF5ABD">
        <w:rPr>
          <w:bCs/>
          <w:lang w:eastAsia="ko-KR"/>
        </w:rPr>
        <w:t>=4 for both 480 kHz and 960 kHz</w:t>
      </w:r>
    </w:p>
    <w:p w14:paraId="09BE4871" w14:textId="5C590D74" w:rsidR="00AF5ABD" w:rsidRPr="00AF5ABD" w:rsidRDefault="00AF5ABD" w:rsidP="00AF5ABD">
      <w:pPr>
        <w:numPr>
          <w:ilvl w:val="0"/>
          <w:numId w:val="259"/>
        </w:numPr>
        <w:jc w:val="both"/>
        <w:rPr>
          <w:rFonts w:eastAsia="MS Mincho"/>
          <w:bCs/>
          <w:noProof/>
          <w:lang w:eastAsia="ja-JP"/>
        </w:rPr>
      </w:pPr>
      <w:r w:rsidRPr="00AF5ABD">
        <w:rPr>
          <w:rFonts w:eastAsia="MS Mincho"/>
          <w:bCs/>
          <w:noProof/>
          <w:lang w:eastAsia="ja-JP"/>
        </w:rPr>
        <w:t xml:space="preserve">TP#C in this document (i.e., </w:t>
      </w:r>
      <w:hyperlink r:id="rId611" w:history="1">
        <w:r w:rsidR="00AF7253">
          <w:rPr>
            <w:rStyle w:val="Hyperlink"/>
            <w:rFonts w:eastAsia="MS Mincho"/>
            <w:bCs/>
            <w:noProof/>
            <w:lang w:eastAsia="ja-JP"/>
          </w:rPr>
          <w:t>R1-2312351</w:t>
        </w:r>
      </w:hyperlink>
      <w:r w:rsidRPr="00AF5ABD">
        <w:rPr>
          <w:rFonts w:eastAsia="MS Mincho"/>
          <w:bCs/>
          <w:noProof/>
          <w:lang w:eastAsia="ja-JP"/>
        </w:rPr>
        <w:t>) is endorsed.</w:t>
      </w:r>
    </w:p>
    <w:p w14:paraId="63EDD71D" w14:textId="77777777" w:rsidR="00AF5ABD" w:rsidRPr="00AF5ABD" w:rsidRDefault="00AF5ABD" w:rsidP="00AF5ABD">
      <w:pPr>
        <w:rPr>
          <w:highlight w:val="yellow"/>
          <w:lang w:eastAsia="x-none"/>
        </w:rPr>
      </w:pPr>
    </w:p>
    <w:p w14:paraId="4AB0F69D" w14:textId="1FA77FD1" w:rsidR="00EE6AB6" w:rsidRPr="0050290D" w:rsidRDefault="005A18DC" w:rsidP="00EE6AB6">
      <w:pPr>
        <w:rPr>
          <w:b/>
          <w:bCs/>
          <w:lang w:eastAsia="x-none"/>
        </w:rPr>
      </w:pPr>
      <w:hyperlink r:id="rId612" w:history="1">
        <w:r w:rsidR="00AF7253">
          <w:rPr>
            <w:rStyle w:val="Hyperlink"/>
            <w:b/>
            <w:bCs/>
            <w:lang w:eastAsia="x-none"/>
          </w:rPr>
          <w:t>R1-2312475</w:t>
        </w:r>
      </w:hyperlink>
      <w:r w:rsidR="00EE6AB6" w:rsidRPr="0050290D">
        <w:rPr>
          <w:b/>
          <w:bCs/>
          <w:lang w:eastAsia="x-none"/>
        </w:rPr>
        <w:tab/>
        <w:t>Correction on CSI related timeline for 480/960 kHz</w:t>
      </w:r>
      <w:r w:rsidR="00EE6AB6" w:rsidRPr="0050290D">
        <w:rPr>
          <w:b/>
          <w:bCs/>
          <w:lang w:eastAsia="x-none"/>
        </w:rPr>
        <w:tab/>
        <w:t>Moderator (LG Electronics), NTT DOCOMO, INC., Samsung, ZTE, Sanechips, Huawei, HiSilicon, Ericsson</w:t>
      </w:r>
    </w:p>
    <w:p w14:paraId="73985B67" w14:textId="240B71AC" w:rsidR="00EE6AB6" w:rsidRDefault="00EE6AB6" w:rsidP="00EE6AB6">
      <w:pPr>
        <w:rPr>
          <w:lang w:eastAsia="x-none"/>
        </w:rPr>
      </w:pPr>
      <w:r w:rsidRPr="0050290D">
        <w:rPr>
          <w:b/>
          <w:bCs/>
          <w:lang w:eastAsia="x-none"/>
        </w:rPr>
        <w:lastRenderedPageBreak/>
        <w:t>Decision:</w:t>
      </w:r>
      <w:r>
        <w:rPr>
          <w:lang w:eastAsia="x-none"/>
        </w:rPr>
        <w:t xml:space="preserve"> </w:t>
      </w:r>
      <w:r w:rsidRPr="00AF5ABD">
        <w:rPr>
          <w:lang w:eastAsia="x-none"/>
        </w:rPr>
        <w:t xml:space="preserve">Rel-17 draft CR in </w:t>
      </w:r>
      <w:hyperlink r:id="rId613" w:history="1">
        <w:r w:rsidR="00AF7253">
          <w:rPr>
            <w:rStyle w:val="Hyperlink"/>
            <w:lang w:eastAsia="x-none"/>
          </w:rPr>
          <w:t>R1-2312475</w:t>
        </w:r>
      </w:hyperlink>
      <w:r>
        <w:rPr>
          <w:lang w:eastAsia="x-none"/>
        </w:rPr>
        <w:t xml:space="preserve"> is endorsed. Final CR </w:t>
      </w:r>
      <w:r w:rsidRPr="0050290D">
        <w:rPr>
          <w:highlight w:val="green"/>
          <w:lang w:eastAsia="x-none"/>
        </w:rPr>
        <w:t xml:space="preserve">(Rel-17, 38.213, </w:t>
      </w:r>
      <w:r w:rsidR="0050290D" w:rsidRPr="0050290D">
        <w:rPr>
          <w:highlight w:val="green"/>
          <w:lang w:eastAsia="x-none"/>
        </w:rPr>
        <w:t xml:space="preserve">CR0544, Cat F) is agreed in </w:t>
      </w:r>
      <w:hyperlink r:id="rId614" w:history="1">
        <w:r w:rsidR="00AF7253">
          <w:rPr>
            <w:rStyle w:val="Hyperlink"/>
            <w:highlight w:val="green"/>
            <w:lang w:eastAsia="x-none"/>
          </w:rPr>
          <w:t>R1-2312477</w:t>
        </w:r>
      </w:hyperlink>
      <w:r w:rsidR="0050290D">
        <w:rPr>
          <w:lang w:eastAsia="x-none"/>
        </w:rPr>
        <w:t>.</w:t>
      </w:r>
    </w:p>
    <w:p w14:paraId="7DFCB0C1" w14:textId="546B59FD" w:rsidR="00EE6AB6" w:rsidRPr="0050290D" w:rsidRDefault="005A18DC" w:rsidP="00EE6AB6">
      <w:pPr>
        <w:rPr>
          <w:b/>
          <w:bCs/>
          <w:lang w:eastAsia="ja-JP"/>
        </w:rPr>
      </w:pPr>
      <w:hyperlink r:id="rId615" w:history="1">
        <w:r w:rsidR="00AF7253">
          <w:rPr>
            <w:rStyle w:val="Hyperlink"/>
            <w:b/>
            <w:bCs/>
            <w:lang w:eastAsia="x-none"/>
          </w:rPr>
          <w:t>R1-2312476</w:t>
        </w:r>
      </w:hyperlink>
      <w:r w:rsidR="00EE6AB6" w:rsidRPr="0050290D">
        <w:rPr>
          <w:b/>
          <w:bCs/>
          <w:lang w:eastAsia="x-none"/>
        </w:rPr>
        <w:tab/>
        <w:t>Correction on CSI related timeline for 480/960 kHz</w:t>
      </w:r>
      <w:r w:rsidR="00EE6AB6" w:rsidRPr="0050290D">
        <w:rPr>
          <w:b/>
          <w:bCs/>
          <w:lang w:eastAsia="x-none"/>
        </w:rPr>
        <w:tab/>
      </w:r>
      <w:r w:rsidR="00EE6AB6" w:rsidRPr="0050290D">
        <w:rPr>
          <w:b/>
          <w:bCs/>
          <w:lang w:eastAsia="zh-TW"/>
        </w:rPr>
        <w:t xml:space="preserve">Moderator (LG Electronics), </w:t>
      </w:r>
      <w:r w:rsidR="00EE6AB6" w:rsidRPr="0050290D">
        <w:rPr>
          <w:b/>
          <w:bCs/>
          <w:lang w:eastAsia="ja-JP"/>
        </w:rPr>
        <w:t>NTT DOCOMO, INC., Samsung, ZTE, Sanechips, Huawei, HiSilicon, Ericsson</w:t>
      </w:r>
    </w:p>
    <w:p w14:paraId="57FB9DEC" w14:textId="78B4C5D7" w:rsidR="0050290D" w:rsidRDefault="0050290D" w:rsidP="0050290D">
      <w:pPr>
        <w:rPr>
          <w:lang w:eastAsia="x-none"/>
        </w:rPr>
      </w:pPr>
      <w:r w:rsidRPr="0050290D">
        <w:rPr>
          <w:b/>
          <w:bCs/>
          <w:lang w:eastAsia="x-none"/>
        </w:rPr>
        <w:t>Decision:</w:t>
      </w:r>
      <w:r>
        <w:rPr>
          <w:lang w:eastAsia="x-none"/>
        </w:rPr>
        <w:t xml:space="preserve"> </w:t>
      </w:r>
      <w:r w:rsidRPr="00AF5ABD">
        <w:rPr>
          <w:lang w:eastAsia="x-none"/>
        </w:rPr>
        <w:t>Rel-1</w:t>
      </w:r>
      <w:r>
        <w:rPr>
          <w:lang w:eastAsia="x-none"/>
        </w:rPr>
        <w:t>8</w:t>
      </w:r>
      <w:r w:rsidRPr="00AF5ABD">
        <w:rPr>
          <w:lang w:eastAsia="x-none"/>
        </w:rPr>
        <w:t xml:space="preserve"> draft CR in </w:t>
      </w:r>
      <w:hyperlink r:id="rId616" w:history="1">
        <w:r w:rsidR="00AF7253">
          <w:rPr>
            <w:rStyle w:val="Hyperlink"/>
            <w:lang w:eastAsia="x-none"/>
          </w:rPr>
          <w:t>R1-2312476</w:t>
        </w:r>
      </w:hyperlink>
      <w:r>
        <w:rPr>
          <w:lang w:eastAsia="x-none"/>
        </w:rPr>
        <w:t xml:space="preserve"> is endorsed. Final CR </w:t>
      </w:r>
      <w:r w:rsidRPr="0050290D">
        <w:rPr>
          <w:highlight w:val="green"/>
          <w:lang w:eastAsia="x-none"/>
        </w:rPr>
        <w:t>(Rel-1</w:t>
      </w:r>
      <w:r>
        <w:rPr>
          <w:highlight w:val="green"/>
          <w:lang w:eastAsia="x-none"/>
        </w:rPr>
        <w:t>8</w:t>
      </w:r>
      <w:r w:rsidRPr="0050290D">
        <w:rPr>
          <w:highlight w:val="green"/>
          <w:lang w:eastAsia="x-none"/>
        </w:rPr>
        <w:t>, 38.213, CR054</w:t>
      </w:r>
      <w:r>
        <w:rPr>
          <w:highlight w:val="green"/>
          <w:lang w:eastAsia="x-none"/>
        </w:rPr>
        <w:t>5</w:t>
      </w:r>
      <w:r w:rsidRPr="0050290D">
        <w:rPr>
          <w:highlight w:val="green"/>
          <w:lang w:eastAsia="x-none"/>
        </w:rPr>
        <w:t xml:space="preserve">, Cat </w:t>
      </w:r>
      <w:r>
        <w:rPr>
          <w:highlight w:val="green"/>
          <w:lang w:eastAsia="x-none"/>
        </w:rPr>
        <w:t>A</w:t>
      </w:r>
      <w:r w:rsidRPr="0050290D">
        <w:rPr>
          <w:highlight w:val="green"/>
          <w:lang w:eastAsia="x-none"/>
        </w:rPr>
        <w:t xml:space="preserve">) is agreed in </w:t>
      </w:r>
      <w:hyperlink r:id="rId617" w:history="1">
        <w:r w:rsidR="00AF7253">
          <w:rPr>
            <w:rStyle w:val="Hyperlink"/>
            <w:highlight w:val="green"/>
            <w:lang w:eastAsia="x-none"/>
          </w:rPr>
          <w:t>R1-2312478</w:t>
        </w:r>
      </w:hyperlink>
      <w:r>
        <w:rPr>
          <w:lang w:eastAsia="x-none"/>
        </w:rPr>
        <w:t>.</w:t>
      </w:r>
    </w:p>
    <w:p w14:paraId="41649724" w14:textId="77777777" w:rsidR="00EE6AB6" w:rsidRPr="00AF5ABD" w:rsidRDefault="00EE6AB6" w:rsidP="00EE6AB6">
      <w:pPr>
        <w:rPr>
          <w:highlight w:val="yellow"/>
          <w:lang w:eastAsia="x-none"/>
        </w:rPr>
      </w:pPr>
    </w:p>
    <w:p w14:paraId="73198057" w14:textId="77777777" w:rsidR="00AF5ABD" w:rsidRPr="00AF5ABD" w:rsidRDefault="00AF5ABD" w:rsidP="00AF5ABD">
      <w:pPr>
        <w:rPr>
          <w:highlight w:val="yellow"/>
          <w:lang w:eastAsia="x-none"/>
        </w:rPr>
      </w:pPr>
    </w:p>
    <w:p w14:paraId="345D7953" w14:textId="77777777" w:rsidR="00AF5ABD" w:rsidRPr="00AF5ABD" w:rsidRDefault="00AF5ABD" w:rsidP="00AF5ABD">
      <w:pPr>
        <w:rPr>
          <w:b/>
        </w:rPr>
      </w:pPr>
      <w:r w:rsidRPr="00AF5ABD">
        <w:rPr>
          <w:b/>
        </w:rPr>
        <w:t>Issue#2: NDI/RV for scheduled PXSCHs with BWP switching</w:t>
      </w:r>
    </w:p>
    <w:p w14:paraId="7D518315" w14:textId="4EB836DA" w:rsidR="00AF5ABD" w:rsidRPr="009537ED" w:rsidRDefault="005A18DC" w:rsidP="00AF5ABD">
      <w:pPr>
        <w:rPr>
          <w:lang w:eastAsia="x-none"/>
        </w:rPr>
      </w:pPr>
      <w:hyperlink r:id="rId618" w:history="1">
        <w:r w:rsidR="00AF7253">
          <w:rPr>
            <w:rStyle w:val="Hyperlink"/>
            <w:lang w:eastAsia="x-none"/>
          </w:rPr>
          <w:t>R1-2311609</w:t>
        </w:r>
      </w:hyperlink>
      <w:r w:rsidR="00AF5ABD" w:rsidRPr="009537ED">
        <w:rPr>
          <w:lang w:eastAsia="x-none"/>
        </w:rPr>
        <w:tab/>
        <w:t>Discussion on NDI and RV for the scheduled PXSCHs when BWP switching is indicated</w:t>
      </w:r>
      <w:r w:rsidR="00AF5ABD" w:rsidRPr="009537ED">
        <w:rPr>
          <w:lang w:eastAsia="x-none"/>
        </w:rPr>
        <w:tab/>
        <w:t>NTT DOCOMO, INC.</w:t>
      </w:r>
    </w:p>
    <w:p w14:paraId="3B1EB87D" w14:textId="7F052E06" w:rsidR="00AF5ABD" w:rsidRPr="009537ED" w:rsidRDefault="005A18DC" w:rsidP="00AF5ABD">
      <w:pPr>
        <w:rPr>
          <w:lang w:eastAsia="x-none"/>
        </w:rPr>
      </w:pPr>
      <w:hyperlink r:id="rId619" w:history="1">
        <w:r w:rsidR="00AF7253">
          <w:rPr>
            <w:rStyle w:val="Hyperlink"/>
            <w:lang w:eastAsia="x-none"/>
          </w:rPr>
          <w:t>R1-2311610</w:t>
        </w:r>
      </w:hyperlink>
      <w:r w:rsidR="00AF5ABD" w:rsidRPr="009537ED">
        <w:rPr>
          <w:lang w:eastAsia="x-none"/>
        </w:rPr>
        <w:tab/>
        <w:t>Draft CR on NDI/RV for the scheduled PXSCHs when BWP switching is indicated</w:t>
      </w:r>
      <w:r w:rsidR="00AF5ABD" w:rsidRPr="009537ED">
        <w:rPr>
          <w:lang w:eastAsia="x-none"/>
        </w:rPr>
        <w:tab/>
        <w:t>NTT DOCOMO, INC.</w:t>
      </w:r>
    </w:p>
    <w:p w14:paraId="432094B0" w14:textId="35B719A1" w:rsidR="00AF5ABD" w:rsidRPr="009537ED" w:rsidRDefault="005A18DC" w:rsidP="00AF5ABD">
      <w:pPr>
        <w:rPr>
          <w:lang w:eastAsia="x-none"/>
        </w:rPr>
      </w:pPr>
      <w:hyperlink r:id="rId620" w:history="1">
        <w:r w:rsidR="00AF7253">
          <w:rPr>
            <w:rStyle w:val="Hyperlink"/>
            <w:lang w:eastAsia="x-none"/>
          </w:rPr>
          <w:t>R1-2312098</w:t>
        </w:r>
      </w:hyperlink>
      <w:r w:rsidR="00AF5ABD" w:rsidRPr="009537ED">
        <w:rPr>
          <w:lang w:eastAsia="x-none"/>
        </w:rPr>
        <w:tab/>
        <w:t>Discussion on NDI/RV for scheduled PxSCHs when BWP switching is indicated</w:t>
      </w:r>
      <w:r w:rsidR="00AF5ABD" w:rsidRPr="009537ED">
        <w:rPr>
          <w:lang w:eastAsia="x-none"/>
        </w:rPr>
        <w:tab/>
        <w:t>Ericsson</w:t>
      </w:r>
    </w:p>
    <w:p w14:paraId="53F4F156" w14:textId="61F5BD71" w:rsidR="00AF5ABD" w:rsidRPr="009537ED" w:rsidRDefault="005A18DC" w:rsidP="00AF5ABD">
      <w:pPr>
        <w:rPr>
          <w:lang w:eastAsia="x-none"/>
        </w:rPr>
      </w:pPr>
      <w:hyperlink r:id="rId621" w:history="1">
        <w:r w:rsidR="00AF7253">
          <w:rPr>
            <w:rStyle w:val="Hyperlink"/>
            <w:lang w:eastAsia="x-none"/>
          </w:rPr>
          <w:t>R1-2312221</w:t>
        </w:r>
      </w:hyperlink>
      <w:r w:rsidR="00AF5ABD" w:rsidRPr="009537ED">
        <w:rPr>
          <w:lang w:eastAsia="x-none"/>
        </w:rPr>
        <w:tab/>
        <w:t>Discussion on the NDI and RV fields in PDCCH scheduling multiple PxSCH during BWP switching</w:t>
      </w:r>
      <w:r w:rsidR="00AF5ABD" w:rsidRPr="009537ED">
        <w:rPr>
          <w:lang w:eastAsia="x-none"/>
        </w:rPr>
        <w:tab/>
        <w:t>Huawei, HiSilicon</w:t>
      </w:r>
    </w:p>
    <w:p w14:paraId="135321B5" w14:textId="77777777" w:rsidR="00AF5ABD" w:rsidRPr="00AF5ABD" w:rsidRDefault="00AF5ABD" w:rsidP="00AF5ABD">
      <w:pPr>
        <w:rPr>
          <w:bCs/>
          <w:highlight w:val="yellow"/>
          <w:lang w:eastAsia="x-none"/>
        </w:rPr>
      </w:pPr>
    </w:p>
    <w:p w14:paraId="7740DCAA" w14:textId="77777777" w:rsidR="00AF5ABD" w:rsidRPr="00AF5ABD" w:rsidRDefault="00AF5ABD" w:rsidP="00AF5ABD">
      <w:pPr>
        <w:rPr>
          <w:bCs/>
          <w:u w:val="single"/>
          <w:lang w:eastAsia="x-none"/>
        </w:rPr>
      </w:pPr>
      <w:r w:rsidRPr="00AF5ABD">
        <w:rPr>
          <w:bCs/>
          <w:u w:val="single"/>
          <w:lang w:eastAsia="x-none"/>
        </w:rPr>
        <w:t>Conclusion</w:t>
      </w:r>
    </w:p>
    <w:p w14:paraId="0E5E63A4" w14:textId="77777777" w:rsidR="00AF5ABD" w:rsidRPr="00AF5ABD" w:rsidRDefault="00AF5ABD" w:rsidP="00AF5ABD">
      <w:pPr>
        <w:jc w:val="both"/>
        <w:rPr>
          <w:lang w:eastAsia="zh-CN"/>
        </w:rPr>
      </w:pPr>
      <w:r w:rsidRPr="00AF5ABD">
        <w:rPr>
          <w:iCs/>
          <w:lang w:val="en-US" w:eastAsia="ko-KR"/>
        </w:rPr>
        <w:t xml:space="preserve">If a bandwidth part indicator field is configured in a DCI format and it indicates a BWP different from the active BWP, and if the UE is configured with multi-PUSCH (or multi-PDSCH) scheduling in both the active BWP and the BWP different from the active BWP, and if the </w:t>
      </w:r>
      <w:r w:rsidRPr="00AF5ABD">
        <w:rPr>
          <w:lang w:eastAsia="ko-KR"/>
        </w:rPr>
        <w:t xml:space="preserve">UE prepends zero(s) </w:t>
      </w:r>
      <w:r w:rsidRPr="00AF5ABD">
        <w:rPr>
          <w:iCs/>
          <w:lang w:val="en-US" w:eastAsia="ko-KR"/>
        </w:rPr>
        <w:t>to the NDI and RV fields according to 38.213 Section 12:</w:t>
      </w:r>
    </w:p>
    <w:p w14:paraId="5621440C" w14:textId="77777777" w:rsidR="00AF5ABD" w:rsidRPr="00AF5ABD" w:rsidRDefault="00AF5ABD" w:rsidP="0050290D">
      <w:pPr>
        <w:pStyle w:val="ListParagraph"/>
        <w:numPr>
          <w:ilvl w:val="0"/>
          <w:numId w:val="80"/>
        </w:numPr>
        <w:rPr>
          <w:noProof/>
        </w:rPr>
      </w:pPr>
      <w:r w:rsidRPr="00AF5ABD">
        <w:rPr>
          <w:noProof/>
        </w:rPr>
        <w:t>It is clarified that the UE interprets zero(s) in the NDI/RV fields based on current specifications.</w:t>
      </w:r>
    </w:p>
    <w:p w14:paraId="0931B31F" w14:textId="77777777" w:rsidR="00AF5ABD" w:rsidRPr="00AF5ABD" w:rsidRDefault="00AF5ABD" w:rsidP="00AF5ABD">
      <w:pPr>
        <w:rPr>
          <w:highlight w:val="yellow"/>
          <w:lang w:eastAsia="x-none"/>
        </w:rPr>
      </w:pPr>
    </w:p>
    <w:p w14:paraId="52B17218" w14:textId="77777777" w:rsidR="00AF5ABD" w:rsidRPr="00AF5ABD" w:rsidRDefault="00AF5ABD" w:rsidP="00AF5ABD">
      <w:pPr>
        <w:rPr>
          <w:b/>
          <w:noProof/>
        </w:rPr>
      </w:pPr>
      <w:r w:rsidRPr="00AF5ABD">
        <w:rPr>
          <w:b/>
        </w:rPr>
        <w:t xml:space="preserve">Issue#3: </w:t>
      </w:r>
      <w:r w:rsidRPr="00AF5ABD">
        <w:rPr>
          <w:b/>
          <w:noProof/>
        </w:rPr>
        <w:t>RA in time domain for multi-PXSCH scheduling</w:t>
      </w:r>
    </w:p>
    <w:p w14:paraId="0D2C373F" w14:textId="2E14D4E3" w:rsidR="00AF5ABD" w:rsidRPr="00AF5ABD" w:rsidRDefault="005A18DC" w:rsidP="00AF5ABD">
      <w:pPr>
        <w:rPr>
          <w:b/>
          <w:bCs/>
          <w:lang w:eastAsia="x-none"/>
        </w:rPr>
      </w:pPr>
      <w:hyperlink r:id="rId622" w:history="1">
        <w:r w:rsidR="00AF7253">
          <w:rPr>
            <w:rStyle w:val="Hyperlink"/>
            <w:b/>
            <w:bCs/>
            <w:lang w:eastAsia="x-none"/>
          </w:rPr>
          <w:t>R1-2311778</w:t>
        </w:r>
      </w:hyperlink>
      <w:r w:rsidR="00AF5ABD" w:rsidRPr="00AF5ABD">
        <w:rPr>
          <w:b/>
          <w:bCs/>
          <w:lang w:eastAsia="x-none"/>
        </w:rPr>
        <w:tab/>
        <w:t>Draft CR on resource allocation in time domain for multi-PXSCH scheduling</w:t>
      </w:r>
      <w:r w:rsidR="00AF5ABD" w:rsidRPr="00AF5ABD">
        <w:rPr>
          <w:b/>
          <w:bCs/>
          <w:lang w:eastAsia="x-none"/>
        </w:rPr>
        <w:tab/>
        <w:t>vivo</w:t>
      </w:r>
    </w:p>
    <w:p w14:paraId="733F841E" w14:textId="77777777" w:rsidR="00AF5ABD" w:rsidRPr="00AF5ABD" w:rsidRDefault="00AF5ABD" w:rsidP="00AF5ABD">
      <w:pPr>
        <w:rPr>
          <w:highlight w:val="green"/>
          <w:lang w:eastAsia="x-none"/>
        </w:rPr>
      </w:pPr>
      <w:r w:rsidRPr="00AF5ABD">
        <w:rPr>
          <w:highlight w:val="green"/>
          <w:lang w:eastAsia="x-none"/>
        </w:rPr>
        <w:t>Agreement</w:t>
      </w:r>
    </w:p>
    <w:p w14:paraId="66BC6024" w14:textId="689F3CA4" w:rsidR="00AF5ABD" w:rsidRPr="00AF5ABD" w:rsidRDefault="00AF5ABD" w:rsidP="00AF5ABD">
      <w:pPr>
        <w:jc w:val="both"/>
        <w:rPr>
          <w:lang w:eastAsia="zh-CN"/>
        </w:rPr>
      </w:pPr>
      <w:r w:rsidRPr="00AF5ABD">
        <w:rPr>
          <w:lang w:eastAsia="zh-CN"/>
        </w:rPr>
        <w:t xml:space="preserve">The draft CR in </w:t>
      </w:r>
      <w:hyperlink r:id="rId623" w:history="1">
        <w:r w:rsidR="00AF7253">
          <w:rPr>
            <w:rStyle w:val="Hyperlink"/>
            <w:lang w:eastAsia="zh-CN"/>
          </w:rPr>
          <w:t>R1-2311778</w:t>
        </w:r>
      </w:hyperlink>
      <w:r w:rsidRPr="00AF5ABD">
        <w:rPr>
          <w:lang w:eastAsia="zh-CN"/>
        </w:rPr>
        <w:t xml:space="preserve"> is endorsed, with the following revisions:</w:t>
      </w:r>
    </w:p>
    <w:p w14:paraId="249CD6F8" w14:textId="77777777" w:rsidR="00AF5ABD" w:rsidRDefault="00AF5ABD" w:rsidP="00AF5ABD">
      <w:pPr>
        <w:snapToGrid w:val="0"/>
        <w:jc w:val="both"/>
        <w:rPr>
          <w:color w:val="FF0000"/>
          <w:szCs w:val="20"/>
        </w:rPr>
      </w:pPr>
      <w:r w:rsidRPr="006E356F">
        <w:rPr>
          <w:color w:val="FF0000"/>
          <w:szCs w:val="20"/>
        </w:rPr>
        <w:t xml:space="preserve">---- </w:t>
      </w:r>
      <w:r>
        <w:rPr>
          <w:color w:val="FF0000"/>
          <w:szCs w:val="20"/>
        </w:rPr>
        <w:t>start</w:t>
      </w:r>
      <w:r w:rsidRPr="006E356F">
        <w:rPr>
          <w:color w:val="FF0000"/>
          <w:szCs w:val="20"/>
        </w:rPr>
        <w:t xml:space="preserve"> TP ----</w:t>
      </w:r>
    </w:p>
    <w:p w14:paraId="42575B97" w14:textId="77777777" w:rsidR="00AF5ABD" w:rsidRPr="00AF5ABD" w:rsidRDefault="00AF5ABD" w:rsidP="00353B17">
      <w:pPr>
        <w:ind w:left="799"/>
        <w:jc w:val="center"/>
        <w:rPr>
          <w:rFonts w:ascii="Arial" w:hAnsi="Arial" w:cs="Arial"/>
          <w:color w:val="FF0000"/>
          <w:sz w:val="16"/>
          <w:szCs w:val="16"/>
          <w:lang w:eastAsia="x-none"/>
        </w:rPr>
      </w:pPr>
      <w:r w:rsidRPr="00AF5ABD">
        <w:rPr>
          <w:rFonts w:ascii="Arial" w:hAnsi="Arial" w:cs="Arial"/>
          <w:color w:val="FF0000"/>
          <w:sz w:val="16"/>
          <w:szCs w:val="16"/>
          <w:lang w:eastAsia="x-none"/>
        </w:rPr>
        <w:t>*** Unchanged text omitted ***</w:t>
      </w:r>
    </w:p>
    <w:p w14:paraId="2C6184FA" w14:textId="77777777" w:rsidR="00AF5ABD" w:rsidRPr="00353B17" w:rsidRDefault="00AF5ABD" w:rsidP="00353B17">
      <w:pPr>
        <w:rPr>
          <w:rFonts w:ascii="Arial" w:hAnsi="Arial" w:cs="Arial"/>
          <w:b/>
          <w:bCs/>
          <w:sz w:val="16"/>
          <w:szCs w:val="16"/>
        </w:rPr>
      </w:pPr>
      <w:bookmarkStart w:id="116" w:name="_Toc11352084"/>
      <w:bookmarkStart w:id="117" w:name="_Toc20317974"/>
      <w:bookmarkStart w:id="118" w:name="_Toc27299872"/>
      <w:bookmarkStart w:id="119" w:name="_Toc29673137"/>
      <w:bookmarkStart w:id="120" w:name="_Toc29673278"/>
      <w:bookmarkStart w:id="121" w:name="_Toc29674271"/>
      <w:bookmarkStart w:id="122" w:name="_Toc36645501"/>
      <w:bookmarkStart w:id="123" w:name="_Toc45810546"/>
      <w:bookmarkStart w:id="124" w:name="_Toc145348676"/>
      <w:r w:rsidRPr="00353B17">
        <w:rPr>
          <w:rFonts w:ascii="Arial" w:hAnsi="Arial" w:cs="Arial"/>
          <w:b/>
          <w:bCs/>
          <w:sz w:val="16"/>
          <w:szCs w:val="16"/>
        </w:rPr>
        <w:t>5.1.2.1</w:t>
      </w:r>
      <w:r w:rsidRPr="00353B17">
        <w:rPr>
          <w:rFonts w:ascii="Arial" w:hAnsi="Arial" w:cs="Arial"/>
          <w:b/>
          <w:bCs/>
          <w:sz w:val="16"/>
          <w:szCs w:val="16"/>
        </w:rPr>
        <w:tab/>
        <w:t>Resource allocation in time domain</w:t>
      </w:r>
      <w:bookmarkEnd w:id="116"/>
      <w:bookmarkEnd w:id="117"/>
      <w:bookmarkEnd w:id="118"/>
      <w:bookmarkEnd w:id="119"/>
      <w:bookmarkEnd w:id="120"/>
      <w:bookmarkEnd w:id="121"/>
      <w:bookmarkEnd w:id="122"/>
      <w:bookmarkEnd w:id="123"/>
      <w:bookmarkEnd w:id="124"/>
    </w:p>
    <w:p w14:paraId="34372B7C" w14:textId="77777777" w:rsidR="00AF5ABD" w:rsidRPr="00AF5ABD" w:rsidRDefault="00AF5ABD" w:rsidP="00353B17">
      <w:pPr>
        <w:ind w:left="799"/>
        <w:jc w:val="center"/>
        <w:rPr>
          <w:rFonts w:ascii="Arial" w:hAnsi="Arial" w:cs="Arial"/>
          <w:color w:val="FF0000"/>
          <w:sz w:val="16"/>
          <w:szCs w:val="16"/>
          <w:lang w:eastAsia="x-none"/>
        </w:rPr>
      </w:pPr>
      <w:bookmarkStart w:id="125" w:name="_Toc29894846"/>
      <w:bookmarkStart w:id="126" w:name="_Toc29899145"/>
      <w:bookmarkStart w:id="127" w:name="_Toc29899563"/>
      <w:bookmarkStart w:id="128" w:name="_Toc29917300"/>
      <w:bookmarkStart w:id="129" w:name="_Toc36498174"/>
      <w:bookmarkStart w:id="130" w:name="_Toc45699200"/>
      <w:bookmarkStart w:id="131" w:name="_Toc114216073"/>
      <w:bookmarkStart w:id="132" w:name="_Toc106629431"/>
      <w:r w:rsidRPr="00AF5ABD">
        <w:rPr>
          <w:rFonts w:ascii="Arial" w:hAnsi="Arial" w:cs="Arial"/>
          <w:color w:val="FF0000"/>
          <w:sz w:val="16"/>
          <w:szCs w:val="16"/>
          <w:lang w:eastAsia="x-none"/>
        </w:rPr>
        <w:t>*** Unchanged text omitted ***</w:t>
      </w:r>
    </w:p>
    <w:p w14:paraId="438C0485" w14:textId="77777777" w:rsidR="00AF5ABD" w:rsidRPr="00AF5ABD" w:rsidRDefault="00AF5ABD" w:rsidP="00353B17">
      <w:pPr>
        <w:ind w:left="799"/>
        <w:rPr>
          <w:rFonts w:ascii="Arial" w:eastAsia="SimSun" w:hAnsi="Arial" w:cs="Arial"/>
          <w:sz w:val="16"/>
          <w:szCs w:val="16"/>
        </w:rPr>
      </w:pPr>
      <w:r w:rsidRPr="00AF5ABD">
        <w:rPr>
          <w:rFonts w:ascii="Arial" w:eastAsia="SimSun" w:hAnsi="Arial" w:cs="Arial"/>
          <w:color w:val="000000"/>
          <w:sz w:val="16"/>
          <w:szCs w:val="16"/>
        </w:rPr>
        <w:t xml:space="preserve">For </w:t>
      </w:r>
      <w:r w:rsidRPr="00AF5ABD">
        <w:rPr>
          <w:rFonts w:ascii="Arial" w:eastAsia="SimSun" w:hAnsi="Arial" w:cs="Arial"/>
          <w:i/>
          <w:sz w:val="16"/>
          <w:szCs w:val="16"/>
        </w:rPr>
        <w:t>pdsch-TimeDomainAllocationListForMultiPDSCH</w:t>
      </w:r>
      <w:r w:rsidRPr="00AF5ABD">
        <w:rPr>
          <w:rFonts w:ascii="Arial" w:eastAsia="SimSun" w:hAnsi="Arial" w:cs="Arial"/>
          <w:sz w:val="16"/>
          <w:szCs w:val="16"/>
        </w:rPr>
        <w:t xml:space="preserve"> in </w:t>
      </w:r>
      <w:r w:rsidRPr="00AF5ABD">
        <w:rPr>
          <w:rFonts w:ascii="Arial" w:eastAsia="SimSun" w:hAnsi="Arial" w:cs="Arial"/>
          <w:i/>
          <w:sz w:val="16"/>
          <w:szCs w:val="16"/>
        </w:rPr>
        <w:t>pdsch-Config</w:t>
      </w:r>
      <w:r w:rsidRPr="00AF5ABD">
        <w:rPr>
          <w:rFonts w:ascii="Arial" w:eastAsia="SimSun" w:hAnsi="Arial" w:cs="Arial"/>
          <w:color w:val="000000"/>
          <w:sz w:val="16"/>
          <w:szCs w:val="16"/>
        </w:rPr>
        <w:t xml:space="preserve"> each PDSCH </w:t>
      </w:r>
      <w:r w:rsidRPr="00AF5ABD">
        <w:rPr>
          <w:rFonts w:ascii="Arial" w:eastAsia="SimSun" w:hAnsi="Arial" w:cs="Arial"/>
          <w:sz w:val="16"/>
          <w:szCs w:val="16"/>
        </w:rPr>
        <w:t xml:space="preserve">has a separate SLIV, mapping type and </w:t>
      </w:r>
      <w:r w:rsidRPr="00AF5ABD">
        <w:rPr>
          <w:rFonts w:ascii="Arial" w:eastAsia="SimSun" w:hAnsi="Arial" w:cs="Arial"/>
          <w:i/>
          <w:color w:val="000000"/>
          <w:sz w:val="16"/>
          <w:szCs w:val="16"/>
        </w:rPr>
        <w:t>K</w:t>
      </w:r>
      <w:r w:rsidRPr="00AF5ABD">
        <w:rPr>
          <w:rFonts w:ascii="Arial" w:eastAsia="SimSun" w:hAnsi="Arial" w:cs="Arial"/>
          <w:i/>
          <w:color w:val="000000"/>
          <w:sz w:val="16"/>
          <w:szCs w:val="16"/>
          <w:vertAlign w:val="subscript"/>
        </w:rPr>
        <w:t>0</w:t>
      </w:r>
      <w:r w:rsidRPr="00AF5ABD">
        <w:rPr>
          <w:rFonts w:ascii="Arial" w:eastAsia="SimSun" w:hAnsi="Arial" w:cs="Arial"/>
          <w:sz w:val="16"/>
          <w:szCs w:val="16"/>
        </w:rPr>
        <w:t xml:space="preserve">. The number of scheduled PDSCHs is signalled by the number of indicated SLIVs in the row of the </w:t>
      </w:r>
      <w:r w:rsidRPr="00AF5ABD">
        <w:rPr>
          <w:rFonts w:ascii="Arial" w:eastAsia="SimSun" w:hAnsi="Arial" w:cs="Arial"/>
          <w:i/>
          <w:sz w:val="16"/>
          <w:szCs w:val="16"/>
        </w:rPr>
        <w:t>pdsch-TimeDomainAllocationListForMultiPDSCH</w:t>
      </w:r>
      <w:r w:rsidRPr="00AF5ABD">
        <w:rPr>
          <w:rFonts w:ascii="Arial" w:eastAsia="SimSun" w:hAnsi="Arial" w:cs="Arial"/>
          <w:sz w:val="16"/>
          <w:szCs w:val="16"/>
        </w:rPr>
        <w:t xml:space="preserve"> signalled in DCI format 1_1.</w:t>
      </w:r>
    </w:p>
    <w:p w14:paraId="6D963F4D" w14:textId="77777777" w:rsidR="00AF5ABD" w:rsidRPr="00AF5ABD" w:rsidRDefault="00AF5ABD" w:rsidP="00353B17">
      <w:pPr>
        <w:ind w:left="799"/>
        <w:rPr>
          <w:ins w:id="133" w:author="vivo" w:date="2023-11-02T10:42:00Z"/>
          <w:rFonts w:ascii="Arial" w:eastAsia="SimSun" w:hAnsi="Arial" w:cs="Arial"/>
          <w:sz w:val="16"/>
          <w:szCs w:val="16"/>
        </w:rPr>
      </w:pPr>
      <w:r w:rsidRPr="00AF5ABD">
        <w:rPr>
          <w:rFonts w:ascii="Arial" w:eastAsia="SimSun" w:hAnsi="Arial" w:cs="Arial"/>
          <w:color w:val="000000"/>
          <w:sz w:val="16"/>
          <w:szCs w:val="16"/>
        </w:rPr>
        <w:t xml:space="preserve">If a UE is configured with </w:t>
      </w:r>
      <w:r w:rsidRPr="00AF5ABD">
        <w:rPr>
          <w:rFonts w:ascii="Arial" w:eastAsia="SimSun" w:hAnsi="Arial" w:cs="Arial"/>
          <w:i/>
          <w:iCs/>
          <w:color w:val="000000"/>
          <w:sz w:val="16"/>
          <w:szCs w:val="16"/>
        </w:rPr>
        <w:t xml:space="preserve">pdsch-TimeDomainAllocationListForMultiPDSCH </w:t>
      </w:r>
      <w:r w:rsidRPr="00AF5ABD">
        <w:rPr>
          <w:rFonts w:ascii="Arial" w:eastAsia="SimSun" w:hAnsi="Arial" w:cs="Arial"/>
          <w:color w:val="000000"/>
          <w:sz w:val="16"/>
          <w:szCs w:val="16"/>
        </w:rPr>
        <w:t xml:space="preserve">in which one or more rows contain multiple </w:t>
      </w:r>
      <w:r w:rsidRPr="00AF5ABD">
        <w:rPr>
          <w:rFonts w:ascii="Arial" w:eastAsia="SimSun" w:hAnsi="Arial" w:cs="Arial"/>
          <w:i/>
          <w:iCs/>
          <w:color w:val="000000"/>
          <w:sz w:val="16"/>
          <w:szCs w:val="16"/>
        </w:rPr>
        <w:t>SLIV</w:t>
      </w:r>
      <w:r w:rsidRPr="00AF5ABD">
        <w:rPr>
          <w:rFonts w:ascii="Arial" w:eastAsia="SimSun" w:hAnsi="Arial" w:cs="Arial"/>
          <w:color w:val="000000"/>
          <w:sz w:val="16"/>
          <w:szCs w:val="16"/>
        </w:rPr>
        <w:t>s for PDSCH on a DL BWP of a serving cell</w:t>
      </w:r>
      <w:r w:rsidRPr="00AF5ABD">
        <w:rPr>
          <w:rFonts w:ascii="Arial" w:eastAsia="SimSun" w:hAnsi="Arial" w:cs="Arial"/>
          <w:color w:val="000000"/>
          <w:sz w:val="16"/>
          <w:szCs w:val="16"/>
          <w:lang w:val="x-none"/>
        </w:rPr>
        <w:t xml:space="preserve">, and the UE is indicated </w:t>
      </w:r>
      <w:r w:rsidRPr="00AF5ABD">
        <w:rPr>
          <w:rFonts w:ascii="Arial" w:eastAsia="SimSun" w:hAnsi="Arial" w:cs="Arial"/>
          <w:sz w:val="16"/>
          <w:szCs w:val="16"/>
        </w:rPr>
        <w:t xml:space="preserve">re-transmission of PDSCH corresponding to a DL SPS by DCI format 1_1, the UE does not expect that the number of indicated </w:t>
      </w:r>
      <w:r w:rsidRPr="00AF5ABD">
        <w:rPr>
          <w:rFonts w:ascii="Arial" w:eastAsia="SimSun" w:hAnsi="Arial" w:cs="Arial"/>
          <w:i/>
          <w:iCs/>
          <w:sz w:val="16"/>
          <w:szCs w:val="16"/>
        </w:rPr>
        <w:t>SLIV</w:t>
      </w:r>
      <w:r w:rsidRPr="00AF5ABD">
        <w:rPr>
          <w:rFonts w:ascii="Arial" w:eastAsia="SimSun" w:hAnsi="Arial" w:cs="Arial"/>
          <w:sz w:val="16"/>
          <w:szCs w:val="16"/>
        </w:rPr>
        <w:t xml:space="preserve">s in the row of </w:t>
      </w:r>
      <w:r w:rsidRPr="00AF5ABD">
        <w:rPr>
          <w:rFonts w:ascii="Arial" w:hAnsi="Arial" w:cs="Arial"/>
          <w:bCs/>
          <w:sz w:val="16"/>
          <w:szCs w:val="16"/>
          <w:lang w:eastAsia="x-none"/>
        </w:rPr>
        <w:t xml:space="preserve">the </w:t>
      </w:r>
      <w:r w:rsidRPr="00AF5ABD">
        <w:rPr>
          <w:rFonts w:ascii="Arial" w:eastAsia="SimSun" w:hAnsi="Arial" w:cs="Arial"/>
          <w:i/>
          <w:sz w:val="16"/>
          <w:szCs w:val="16"/>
        </w:rPr>
        <w:t xml:space="preserve">pdsch-TimeDomainAllocationListForMultiPDSCH </w:t>
      </w:r>
      <w:r w:rsidRPr="00AF5ABD">
        <w:rPr>
          <w:rFonts w:ascii="Arial" w:eastAsia="SimSun" w:hAnsi="Arial" w:cs="Arial"/>
          <w:iCs/>
          <w:sz w:val="16"/>
          <w:szCs w:val="16"/>
        </w:rPr>
        <w:t>by the DCI</w:t>
      </w:r>
      <w:r w:rsidRPr="00AF5ABD">
        <w:rPr>
          <w:rFonts w:ascii="Arial" w:eastAsia="SimSun" w:hAnsi="Arial" w:cs="Arial"/>
          <w:sz w:val="16"/>
          <w:szCs w:val="16"/>
        </w:rPr>
        <w:t xml:space="preserve"> </w:t>
      </w:r>
      <w:r w:rsidRPr="00AF5ABD">
        <w:rPr>
          <w:rFonts w:ascii="Arial" w:hAnsi="Arial" w:cs="Arial"/>
          <w:bCs/>
          <w:sz w:val="16"/>
          <w:szCs w:val="16"/>
          <w:lang w:eastAsia="x-none"/>
        </w:rPr>
        <w:t xml:space="preserve">is </w:t>
      </w:r>
      <w:r w:rsidRPr="00AF5ABD">
        <w:rPr>
          <w:rFonts w:ascii="Arial" w:eastAsia="SimSun" w:hAnsi="Arial" w:cs="Arial"/>
          <w:sz w:val="16"/>
          <w:szCs w:val="16"/>
        </w:rPr>
        <w:t>more than one.</w:t>
      </w:r>
    </w:p>
    <w:p w14:paraId="380756C6" w14:textId="77777777" w:rsidR="00AF5ABD" w:rsidRPr="00AF5ABD" w:rsidRDefault="00AF5ABD" w:rsidP="00353B17">
      <w:pPr>
        <w:ind w:left="799"/>
        <w:rPr>
          <w:rFonts w:ascii="Arial" w:eastAsia="SimSun" w:hAnsi="Arial" w:cs="Arial"/>
          <w:color w:val="000000"/>
          <w:sz w:val="16"/>
          <w:szCs w:val="16"/>
        </w:rPr>
      </w:pPr>
      <w:ins w:id="134" w:author="vivo" w:date="2023-11-02T10:42:00Z">
        <w:r w:rsidRPr="00AF5ABD">
          <w:rPr>
            <w:rFonts w:ascii="Arial" w:eastAsia="SimSun" w:hAnsi="Arial" w:cs="Arial"/>
            <w:color w:val="000000"/>
            <w:sz w:val="16"/>
            <w:szCs w:val="16"/>
          </w:rPr>
          <w:t xml:space="preserve">If a UE is configured with </w:t>
        </w:r>
        <w:r w:rsidRPr="00AF5ABD">
          <w:rPr>
            <w:rFonts w:ascii="Arial" w:eastAsia="SimSun" w:hAnsi="Arial" w:cs="Arial"/>
            <w:i/>
            <w:iCs/>
            <w:color w:val="000000"/>
            <w:sz w:val="16"/>
            <w:szCs w:val="16"/>
          </w:rPr>
          <w:t xml:space="preserve">pdsch-TimeDomainAllocationListForMultiPDSCH </w:t>
        </w:r>
        <w:r w:rsidRPr="00AF5ABD">
          <w:rPr>
            <w:rFonts w:ascii="Arial" w:eastAsia="SimSun" w:hAnsi="Arial" w:cs="Arial"/>
            <w:color w:val="000000"/>
            <w:sz w:val="16"/>
            <w:szCs w:val="16"/>
          </w:rPr>
          <w:t xml:space="preserve">in which one or more rows contain multiple </w:t>
        </w:r>
        <w:r w:rsidRPr="00AF5ABD">
          <w:rPr>
            <w:rFonts w:ascii="Arial" w:eastAsia="SimSun" w:hAnsi="Arial" w:cs="Arial"/>
            <w:i/>
            <w:iCs/>
            <w:color w:val="000000"/>
            <w:sz w:val="16"/>
            <w:szCs w:val="16"/>
          </w:rPr>
          <w:t>SLIV</w:t>
        </w:r>
        <w:r w:rsidRPr="00AF5ABD">
          <w:rPr>
            <w:rFonts w:ascii="Arial" w:eastAsia="SimSun" w:hAnsi="Arial" w:cs="Arial"/>
            <w:color w:val="000000"/>
            <w:sz w:val="16"/>
            <w:szCs w:val="16"/>
          </w:rPr>
          <w:t>s for PDSCH on a DL BWP of a serving cell</w:t>
        </w:r>
        <w:r w:rsidRPr="00AF5ABD">
          <w:rPr>
            <w:rFonts w:ascii="Arial" w:eastAsia="SimSun" w:hAnsi="Arial" w:cs="Arial"/>
            <w:color w:val="000000"/>
            <w:sz w:val="16"/>
            <w:szCs w:val="16"/>
            <w:lang w:val="x-none"/>
          </w:rPr>
          <w:t xml:space="preserve">, </w:t>
        </w:r>
        <w:r w:rsidRPr="00AF5ABD">
          <w:rPr>
            <w:rFonts w:ascii="Arial" w:eastAsia="SimSun" w:hAnsi="Arial" w:cs="Arial"/>
            <w:sz w:val="16"/>
            <w:szCs w:val="16"/>
          </w:rPr>
          <w:t xml:space="preserve">the UE does not expect </w:t>
        </w:r>
      </w:ins>
      <w:ins w:id="135" w:author="vivo" w:date="2023-11-02T10:45:00Z">
        <w:r w:rsidRPr="00AF5ABD">
          <w:rPr>
            <w:rFonts w:ascii="Arial" w:eastAsia="SimSun" w:hAnsi="Arial" w:cs="Arial"/>
            <w:sz w:val="16"/>
            <w:szCs w:val="16"/>
          </w:rPr>
          <w:t xml:space="preserve">to be scheduled </w:t>
        </w:r>
      </w:ins>
      <w:ins w:id="136" w:author="vivo" w:date="2023-11-02T10:47:00Z">
        <w:r w:rsidRPr="00AF5ABD">
          <w:rPr>
            <w:rFonts w:ascii="Arial" w:eastAsia="SimSun" w:hAnsi="Arial" w:cs="Arial"/>
            <w:sz w:val="16"/>
            <w:szCs w:val="16"/>
          </w:rPr>
          <w:t xml:space="preserve">with </w:t>
        </w:r>
      </w:ins>
      <w:ins w:id="137" w:author="David mazzarese" w:date="2023-11-14T17:26:00Z">
        <w:r w:rsidRPr="00AF5ABD">
          <w:rPr>
            <w:rFonts w:ascii="Arial" w:eastAsia="SimSun" w:hAnsi="Arial" w:cs="Arial"/>
            <w:sz w:val="16"/>
            <w:szCs w:val="16"/>
            <w:highlight w:val="yellow"/>
          </w:rPr>
          <w:t>one or</w:t>
        </w:r>
        <w:r w:rsidRPr="00AF5ABD">
          <w:rPr>
            <w:rFonts w:ascii="Arial" w:eastAsia="SimSun" w:hAnsi="Arial" w:cs="Arial"/>
            <w:sz w:val="16"/>
            <w:szCs w:val="16"/>
          </w:rPr>
          <w:t xml:space="preserve"> </w:t>
        </w:r>
      </w:ins>
      <w:ins w:id="138" w:author="vivo" w:date="2023-11-02T10:47:00Z">
        <w:r w:rsidRPr="00AF5ABD">
          <w:rPr>
            <w:rFonts w:ascii="Arial" w:eastAsia="SimSun" w:hAnsi="Arial" w:cs="Arial"/>
            <w:sz w:val="16"/>
            <w:szCs w:val="16"/>
          </w:rPr>
          <w:t xml:space="preserve">multiple PDSCH receptions by a single DCI format 1_1, where </w:t>
        </w:r>
      </w:ins>
      <w:ins w:id="139" w:author="vivo" w:date="2023-11-02T10:50:00Z">
        <w:r w:rsidRPr="00AF5ABD">
          <w:rPr>
            <w:rFonts w:ascii="Arial" w:eastAsia="SimSun" w:hAnsi="Arial" w:cs="Arial"/>
            <w:sz w:val="16"/>
            <w:szCs w:val="16"/>
          </w:rPr>
          <w:t>each PDSCH reception</w:t>
        </w:r>
      </w:ins>
      <w:ins w:id="140" w:author="vivo" w:date="2023-11-02T10:52:00Z">
        <w:r w:rsidRPr="00AF5ABD">
          <w:rPr>
            <w:rFonts w:ascii="Arial" w:eastAsia="SimSun" w:hAnsi="Arial" w:cs="Arial"/>
            <w:sz w:val="16"/>
            <w:szCs w:val="16"/>
          </w:rPr>
          <w:t xml:space="preserve"> </w:t>
        </w:r>
        <w:r w:rsidRPr="00AF5ABD">
          <w:rPr>
            <w:rFonts w:ascii="Arial" w:hAnsi="Arial" w:cs="Arial"/>
            <w:sz w:val="16"/>
            <w:szCs w:val="16"/>
          </w:rPr>
          <w:t xml:space="preserve">overlaps with a UL symbol indicated by </w:t>
        </w:r>
        <w:r w:rsidRPr="00AF5ABD">
          <w:rPr>
            <w:rFonts w:ascii="Arial" w:hAnsi="Arial" w:cs="Arial"/>
            <w:i/>
            <w:sz w:val="16"/>
            <w:szCs w:val="16"/>
          </w:rPr>
          <w:t>tdd-UL-DL-ConfigurationCommon</w:t>
        </w:r>
        <w:r w:rsidRPr="00AF5ABD">
          <w:rPr>
            <w:rFonts w:ascii="Arial" w:hAnsi="Arial" w:cs="Arial"/>
            <w:sz w:val="16"/>
            <w:szCs w:val="16"/>
          </w:rPr>
          <w:t xml:space="preserve"> or </w:t>
        </w:r>
        <w:r w:rsidRPr="00AF5ABD">
          <w:rPr>
            <w:rFonts w:ascii="Arial" w:hAnsi="Arial" w:cs="Arial"/>
            <w:i/>
            <w:sz w:val="16"/>
            <w:szCs w:val="16"/>
          </w:rPr>
          <w:t>tdd-UL-DL-ConfigurationDedicated</w:t>
        </w:r>
        <w:r w:rsidRPr="00AF5ABD">
          <w:rPr>
            <w:rFonts w:ascii="Arial" w:hAnsi="Arial" w:cs="Arial"/>
            <w:sz w:val="16"/>
            <w:szCs w:val="16"/>
          </w:rPr>
          <w:t xml:space="preserve"> if provided.</w:t>
        </w:r>
      </w:ins>
    </w:p>
    <w:bookmarkEnd w:id="125"/>
    <w:bookmarkEnd w:id="126"/>
    <w:bookmarkEnd w:id="127"/>
    <w:bookmarkEnd w:id="128"/>
    <w:bookmarkEnd w:id="129"/>
    <w:bookmarkEnd w:id="130"/>
    <w:bookmarkEnd w:id="131"/>
    <w:bookmarkEnd w:id="132"/>
    <w:p w14:paraId="0C98AFB1" w14:textId="77777777" w:rsidR="00AF5ABD" w:rsidRPr="00AF5ABD" w:rsidRDefault="00AF5ABD" w:rsidP="00353B17">
      <w:pPr>
        <w:ind w:left="799"/>
        <w:jc w:val="center"/>
        <w:rPr>
          <w:rFonts w:ascii="Arial" w:hAnsi="Arial" w:cs="Arial"/>
          <w:color w:val="FF0000"/>
          <w:sz w:val="16"/>
          <w:szCs w:val="16"/>
          <w:lang w:eastAsia="x-none"/>
        </w:rPr>
      </w:pPr>
      <w:r w:rsidRPr="00AF5ABD">
        <w:rPr>
          <w:rFonts w:ascii="Arial" w:hAnsi="Arial" w:cs="Arial"/>
          <w:color w:val="FF0000"/>
          <w:sz w:val="16"/>
          <w:szCs w:val="16"/>
          <w:lang w:eastAsia="x-none"/>
        </w:rPr>
        <w:t>*** Unchanged text omitted ***</w:t>
      </w:r>
    </w:p>
    <w:p w14:paraId="5898D0E5" w14:textId="77777777" w:rsidR="00AF5ABD" w:rsidRPr="00353B17" w:rsidRDefault="00AF5ABD" w:rsidP="00353B17">
      <w:pPr>
        <w:rPr>
          <w:rFonts w:ascii="Arial" w:hAnsi="Arial" w:cs="Arial"/>
          <w:b/>
          <w:bCs/>
          <w:sz w:val="16"/>
          <w:szCs w:val="16"/>
        </w:rPr>
      </w:pPr>
      <w:bookmarkStart w:id="141" w:name="_Toc11352143"/>
      <w:bookmarkStart w:id="142" w:name="_Toc20318033"/>
      <w:bookmarkStart w:id="143" w:name="_Toc27299931"/>
      <w:bookmarkStart w:id="144" w:name="_Toc29673204"/>
      <w:bookmarkStart w:id="145" w:name="_Toc29673345"/>
      <w:bookmarkStart w:id="146" w:name="_Toc29674338"/>
      <w:bookmarkStart w:id="147" w:name="_Toc36645568"/>
      <w:bookmarkStart w:id="148" w:name="_Toc45810613"/>
      <w:bookmarkStart w:id="149" w:name="_Toc145348746"/>
      <w:bookmarkStart w:id="150" w:name="_Toc136943280"/>
      <w:r w:rsidRPr="00353B17">
        <w:rPr>
          <w:rFonts w:ascii="Arial" w:hAnsi="Arial" w:cs="Arial"/>
          <w:b/>
          <w:bCs/>
          <w:sz w:val="16"/>
          <w:szCs w:val="16"/>
        </w:rPr>
        <w:t>6.1.2.1</w:t>
      </w:r>
      <w:r w:rsidRPr="00353B17">
        <w:rPr>
          <w:rFonts w:ascii="Arial" w:hAnsi="Arial" w:cs="Arial"/>
          <w:b/>
          <w:bCs/>
          <w:sz w:val="16"/>
          <w:szCs w:val="16"/>
        </w:rPr>
        <w:tab/>
        <w:t>Resource allocation in time domain</w:t>
      </w:r>
      <w:bookmarkEnd w:id="141"/>
      <w:bookmarkEnd w:id="142"/>
      <w:bookmarkEnd w:id="143"/>
      <w:bookmarkEnd w:id="144"/>
      <w:bookmarkEnd w:id="145"/>
      <w:bookmarkEnd w:id="146"/>
      <w:bookmarkEnd w:id="147"/>
      <w:bookmarkEnd w:id="148"/>
      <w:bookmarkEnd w:id="149"/>
      <w:bookmarkEnd w:id="150"/>
    </w:p>
    <w:p w14:paraId="7992D8D9" w14:textId="77777777" w:rsidR="00AF5ABD" w:rsidRPr="00AF5ABD" w:rsidRDefault="00AF5ABD" w:rsidP="00353B17">
      <w:pPr>
        <w:ind w:left="799"/>
        <w:jc w:val="center"/>
        <w:rPr>
          <w:rFonts w:ascii="Arial" w:hAnsi="Arial" w:cs="Arial"/>
          <w:color w:val="FF0000"/>
          <w:sz w:val="16"/>
          <w:szCs w:val="16"/>
          <w:lang w:eastAsia="x-none"/>
        </w:rPr>
      </w:pPr>
      <w:r w:rsidRPr="00AF5ABD">
        <w:rPr>
          <w:rFonts w:ascii="Arial" w:hAnsi="Arial" w:cs="Arial"/>
          <w:color w:val="FF0000"/>
          <w:sz w:val="16"/>
          <w:szCs w:val="16"/>
          <w:lang w:eastAsia="x-none"/>
        </w:rPr>
        <w:t>*** Unchanged text omitted ***</w:t>
      </w:r>
    </w:p>
    <w:p w14:paraId="1196001C" w14:textId="77777777" w:rsidR="00AF5ABD" w:rsidRPr="00AF5ABD" w:rsidRDefault="00AF5ABD" w:rsidP="00353B17">
      <w:pPr>
        <w:ind w:left="799"/>
        <w:rPr>
          <w:rFonts w:ascii="Arial" w:eastAsia="SimSun" w:hAnsi="Arial" w:cs="Arial"/>
          <w:color w:val="000000"/>
          <w:sz w:val="16"/>
          <w:szCs w:val="16"/>
        </w:rPr>
      </w:pPr>
      <w:r w:rsidRPr="00AF5ABD">
        <w:rPr>
          <w:rFonts w:ascii="Arial" w:eastAsia="SimSun" w:hAnsi="Arial" w:cs="Arial"/>
          <w:color w:val="000000"/>
          <w:sz w:val="16"/>
          <w:szCs w:val="16"/>
        </w:rPr>
        <w:t xml:space="preserve">For </w:t>
      </w:r>
      <w:r w:rsidRPr="00AF5ABD">
        <w:rPr>
          <w:rFonts w:ascii="Arial" w:eastAsia="SimSun" w:hAnsi="Arial" w:cs="Arial"/>
          <w:i/>
          <w:sz w:val="16"/>
          <w:szCs w:val="16"/>
        </w:rPr>
        <w:t>pusch-TimeDomainAllocationListForMultiPUSCH</w:t>
      </w:r>
      <w:r w:rsidRPr="00AF5ABD">
        <w:rPr>
          <w:rFonts w:ascii="Arial" w:eastAsia="SimSun" w:hAnsi="Arial" w:cs="Arial"/>
          <w:sz w:val="16"/>
          <w:szCs w:val="16"/>
        </w:rPr>
        <w:t xml:space="preserve"> in </w:t>
      </w:r>
      <w:r w:rsidRPr="00AF5ABD">
        <w:rPr>
          <w:rFonts w:ascii="Arial" w:eastAsia="SimSun" w:hAnsi="Arial" w:cs="Arial"/>
          <w:i/>
          <w:sz w:val="16"/>
          <w:szCs w:val="16"/>
        </w:rPr>
        <w:t>pusch-Config</w:t>
      </w:r>
      <w:r w:rsidRPr="00AF5ABD">
        <w:rPr>
          <w:rFonts w:ascii="Arial" w:eastAsia="SimSun" w:hAnsi="Arial" w:cs="Arial"/>
          <w:iCs/>
          <w:sz w:val="16"/>
          <w:szCs w:val="16"/>
        </w:rPr>
        <w:t>,</w:t>
      </w:r>
      <w:r w:rsidRPr="00AF5ABD">
        <w:rPr>
          <w:rFonts w:ascii="Arial" w:eastAsia="SimSun" w:hAnsi="Arial" w:cs="Arial"/>
          <w:iCs/>
          <w:color w:val="000000"/>
          <w:sz w:val="16"/>
          <w:szCs w:val="16"/>
        </w:rPr>
        <w:t xml:space="preserve"> if a</w:t>
      </w:r>
      <w:r w:rsidRPr="00AF5ABD">
        <w:rPr>
          <w:rFonts w:ascii="Arial" w:eastAsia="SimSun" w:hAnsi="Arial" w:cs="Arial"/>
          <w:color w:val="000000"/>
          <w:sz w:val="16"/>
          <w:szCs w:val="16"/>
        </w:rPr>
        <w:t xml:space="preserve"> </w:t>
      </w:r>
      <w:r w:rsidRPr="00AF5ABD">
        <w:rPr>
          <w:rFonts w:ascii="Arial" w:eastAsia="SimSun" w:hAnsi="Arial" w:cs="Arial"/>
          <w:sz w:val="16"/>
          <w:szCs w:val="16"/>
        </w:rPr>
        <w:t>row</w:t>
      </w:r>
      <w:r w:rsidRPr="00AF5ABD">
        <w:rPr>
          <w:rFonts w:ascii="Arial" w:eastAsia="SimSun" w:hAnsi="Arial" w:cs="Arial"/>
          <w:color w:val="000000"/>
          <w:sz w:val="16"/>
          <w:szCs w:val="16"/>
        </w:rPr>
        <w:t xml:space="preserve"> indicates resource allocation for two to eight contiguous PUSCHs and </w:t>
      </w:r>
      <w:r w:rsidRPr="00AF5ABD">
        <w:rPr>
          <w:rFonts w:ascii="Arial" w:eastAsia="SimSun" w:hAnsi="Arial" w:cs="Arial"/>
          <w:i/>
          <w:iCs/>
          <w:color w:val="000000"/>
          <w:sz w:val="16"/>
          <w:szCs w:val="16"/>
        </w:rPr>
        <w:t>extendedK2</w:t>
      </w:r>
      <w:r w:rsidRPr="00AF5ABD">
        <w:rPr>
          <w:rFonts w:ascii="Arial" w:eastAsia="SimSun" w:hAnsi="Arial" w:cs="Arial"/>
          <w:color w:val="000000"/>
          <w:sz w:val="16"/>
          <w:szCs w:val="16"/>
        </w:rPr>
        <w:t xml:space="preserve"> is not configured, </w:t>
      </w:r>
      <w:r w:rsidRPr="00AF5ABD">
        <w:rPr>
          <w:rFonts w:ascii="Arial" w:eastAsia="SimSun" w:hAnsi="Arial" w:cs="Arial"/>
          <w:i/>
          <w:color w:val="000000"/>
          <w:sz w:val="16"/>
          <w:szCs w:val="16"/>
        </w:rPr>
        <w:t>K</w:t>
      </w:r>
      <w:r w:rsidRPr="00AF5ABD">
        <w:rPr>
          <w:rFonts w:ascii="Arial" w:eastAsia="SimSun" w:hAnsi="Arial" w:cs="Arial"/>
          <w:i/>
          <w:color w:val="000000"/>
          <w:sz w:val="16"/>
          <w:szCs w:val="16"/>
          <w:vertAlign w:val="subscript"/>
        </w:rPr>
        <w:t>2</w:t>
      </w:r>
      <w:r w:rsidRPr="00AF5ABD">
        <w:rPr>
          <w:rFonts w:ascii="Arial" w:eastAsia="SimSun" w:hAnsi="Arial" w:cs="Arial"/>
          <w:color w:val="000000"/>
          <w:sz w:val="16"/>
          <w:szCs w:val="16"/>
        </w:rPr>
        <w:t xml:space="preserve"> given by </w:t>
      </w:r>
      <w:r w:rsidRPr="00AF5ABD">
        <w:rPr>
          <w:rFonts w:ascii="Arial" w:eastAsia="SimSun" w:hAnsi="Arial" w:cs="Arial"/>
          <w:i/>
          <w:sz w:val="16"/>
          <w:szCs w:val="16"/>
        </w:rPr>
        <w:t xml:space="preserve">k2-r16 </w:t>
      </w:r>
      <w:r w:rsidRPr="00AF5ABD">
        <w:rPr>
          <w:rFonts w:ascii="Arial" w:eastAsia="SimSun" w:hAnsi="Arial" w:cs="Arial"/>
          <w:color w:val="000000"/>
          <w:sz w:val="16"/>
          <w:szCs w:val="16"/>
        </w:rPr>
        <w:t xml:space="preserve">indicates the slot where UE shall transmit the first PUSCH of the multiple PUSCHs. </w:t>
      </w:r>
      <w:r w:rsidRPr="00AF5ABD">
        <w:rPr>
          <w:rFonts w:ascii="Arial" w:hAnsi="Arial" w:cs="Arial"/>
          <w:bCs/>
          <w:sz w:val="16"/>
          <w:szCs w:val="16"/>
          <w:lang w:eastAsia="x-none"/>
        </w:rPr>
        <w:t xml:space="preserve">Each PUSCH has a separate SLIV and mapping type. The number of scheduled PUSCHs is signalled by the number of indicated valid SLIVs in the row of the </w:t>
      </w:r>
      <w:r w:rsidRPr="00AF5ABD">
        <w:rPr>
          <w:rFonts w:ascii="Arial" w:eastAsia="SimSun" w:hAnsi="Arial" w:cs="Arial"/>
          <w:i/>
          <w:sz w:val="16"/>
          <w:szCs w:val="16"/>
        </w:rPr>
        <w:t>pusch-TimeDomainAllocationListForMultiPUSCH</w:t>
      </w:r>
      <w:r w:rsidRPr="00AF5ABD">
        <w:rPr>
          <w:rFonts w:ascii="Arial" w:eastAsia="SimSun" w:hAnsi="Arial" w:cs="Arial"/>
          <w:sz w:val="16"/>
          <w:szCs w:val="16"/>
        </w:rPr>
        <w:t xml:space="preserve"> </w:t>
      </w:r>
      <w:r w:rsidRPr="00AF5ABD">
        <w:rPr>
          <w:rFonts w:ascii="Arial" w:hAnsi="Arial" w:cs="Arial"/>
          <w:bCs/>
          <w:sz w:val="16"/>
          <w:szCs w:val="16"/>
          <w:lang w:eastAsia="x-none"/>
        </w:rPr>
        <w:t>signalled in DCI format 0_1.</w:t>
      </w:r>
      <w:r w:rsidRPr="00AF5ABD">
        <w:rPr>
          <w:rFonts w:ascii="Arial" w:eastAsia="SimSun" w:hAnsi="Arial" w:cs="Arial"/>
          <w:color w:val="000000"/>
          <w:sz w:val="16"/>
          <w:szCs w:val="16"/>
        </w:rPr>
        <w:t xml:space="preserve"> </w:t>
      </w:r>
    </w:p>
    <w:p w14:paraId="428EEEA4" w14:textId="77777777" w:rsidR="00AF5ABD" w:rsidRPr="00AF5ABD" w:rsidRDefault="00AF5ABD" w:rsidP="00353B17">
      <w:pPr>
        <w:ind w:left="799"/>
        <w:rPr>
          <w:rFonts w:ascii="Arial" w:eastAsia="SimSun" w:hAnsi="Arial" w:cs="Arial"/>
          <w:color w:val="000000"/>
          <w:sz w:val="16"/>
          <w:szCs w:val="16"/>
        </w:rPr>
      </w:pPr>
      <w:r w:rsidRPr="00AF5ABD">
        <w:rPr>
          <w:rFonts w:ascii="Arial" w:eastAsia="SimSun" w:hAnsi="Arial" w:cs="Arial"/>
          <w:color w:val="000000"/>
          <w:sz w:val="16"/>
          <w:szCs w:val="16"/>
        </w:rPr>
        <w:t xml:space="preserve">For </w:t>
      </w:r>
      <w:r w:rsidRPr="00AF5ABD">
        <w:rPr>
          <w:rFonts w:ascii="Arial" w:eastAsia="SimSun" w:hAnsi="Arial" w:cs="Arial"/>
          <w:i/>
          <w:sz w:val="16"/>
          <w:szCs w:val="16"/>
        </w:rPr>
        <w:t>pusch-TimeDomainAllocationListForMultiPUSCH</w:t>
      </w:r>
      <w:r w:rsidRPr="00AF5ABD">
        <w:rPr>
          <w:rFonts w:ascii="Arial" w:eastAsia="SimSun" w:hAnsi="Arial" w:cs="Arial"/>
          <w:sz w:val="16"/>
          <w:szCs w:val="16"/>
        </w:rPr>
        <w:t xml:space="preserve"> in </w:t>
      </w:r>
      <w:r w:rsidRPr="00AF5ABD">
        <w:rPr>
          <w:rFonts w:ascii="Arial" w:eastAsia="SimSun" w:hAnsi="Arial" w:cs="Arial"/>
          <w:i/>
          <w:sz w:val="16"/>
          <w:szCs w:val="16"/>
        </w:rPr>
        <w:t>pusch-Config,</w:t>
      </w:r>
      <w:r w:rsidRPr="00AF5ABD">
        <w:rPr>
          <w:rFonts w:ascii="Arial" w:eastAsia="SimSun" w:hAnsi="Arial" w:cs="Arial"/>
          <w:color w:val="000000"/>
          <w:sz w:val="16"/>
          <w:szCs w:val="16"/>
        </w:rPr>
        <w:t xml:space="preserve"> </w:t>
      </w:r>
      <w:r w:rsidRPr="00AF5ABD">
        <w:rPr>
          <w:rFonts w:ascii="Arial" w:eastAsia="SimSun" w:hAnsi="Arial" w:cs="Arial"/>
          <w:iCs/>
          <w:sz w:val="16"/>
          <w:szCs w:val="16"/>
        </w:rPr>
        <w:t xml:space="preserve">if a row indicates resource allocation of more than one PUSCH and </w:t>
      </w:r>
      <w:r w:rsidRPr="00AF5ABD">
        <w:rPr>
          <w:rFonts w:ascii="Arial" w:eastAsia="SimSun" w:hAnsi="Arial" w:cs="Arial"/>
          <w:i/>
          <w:sz w:val="16"/>
          <w:szCs w:val="16"/>
        </w:rPr>
        <w:t>extendedK2</w:t>
      </w:r>
      <w:r w:rsidRPr="00AF5ABD">
        <w:rPr>
          <w:rFonts w:ascii="Arial" w:eastAsia="SimSun" w:hAnsi="Arial" w:cs="Arial"/>
          <w:iCs/>
          <w:sz w:val="16"/>
          <w:szCs w:val="16"/>
        </w:rPr>
        <w:t xml:space="preserve"> is configured,</w:t>
      </w:r>
      <w:r w:rsidRPr="00AF5ABD">
        <w:rPr>
          <w:rFonts w:ascii="Arial" w:eastAsia="SimSun" w:hAnsi="Arial" w:cs="Arial"/>
          <w:color w:val="000000"/>
          <w:sz w:val="16"/>
          <w:szCs w:val="16"/>
        </w:rPr>
        <w:t xml:space="preserve"> e</w:t>
      </w:r>
      <w:r w:rsidRPr="00AF5ABD">
        <w:rPr>
          <w:rFonts w:ascii="Arial" w:hAnsi="Arial" w:cs="Arial"/>
          <w:bCs/>
          <w:sz w:val="16"/>
          <w:szCs w:val="16"/>
          <w:lang w:eastAsia="x-none"/>
        </w:rPr>
        <w:t xml:space="preserve">ach PUSCH has a separate SLIV, mapping type and </w:t>
      </w:r>
      <w:r w:rsidRPr="00AF5ABD">
        <w:rPr>
          <w:rFonts w:ascii="Arial" w:eastAsia="SimSun" w:hAnsi="Arial" w:cs="Arial"/>
          <w:i/>
          <w:color w:val="000000"/>
          <w:sz w:val="16"/>
          <w:szCs w:val="16"/>
        </w:rPr>
        <w:t>K</w:t>
      </w:r>
      <w:r w:rsidRPr="00AF5ABD">
        <w:rPr>
          <w:rFonts w:ascii="Arial" w:eastAsia="SimSun" w:hAnsi="Arial" w:cs="Arial"/>
          <w:i/>
          <w:color w:val="000000"/>
          <w:sz w:val="16"/>
          <w:szCs w:val="16"/>
          <w:vertAlign w:val="subscript"/>
        </w:rPr>
        <w:t xml:space="preserve">2 </w:t>
      </w:r>
      <w:r w:rsidRPr="00AF5ABD">
        <w:rPr>
          <w:rFonts w:ascii="Arial" w:eastAsia="SimSun" w:hAnsi="Arial" w:cs="Arial"/>
          <w:color w:val="000000"/>
          <w:sz w:val="16"/>
          <w:szCs w:val="16"/>
        </w:rPr>
        <w:t xml:space="preserve">given by </w:t>
      </w:r>
      <w:r w:rsidRPr="00AF5ABD">
        <w:rPr>
          <w:rFonts w:ascii="Arial" w:eastAsia="SimSun" w:hAnsi="Arial" w:cs="Arial"/>
          <w:i/>
          <w:color w:val="000000"/>
          <w:sz w:val="16"/>
          <w:szCs w:val="16"/>
        </w:rPr>
        <w:t>extendedK2</w:t>
      </w:r>
      <w:r w:rsidRPr="00AF5ABD">
        <w:rPr>
          <w:rFonts w:ascii="Arial" w:hAnsi="Arial" w:cs="Arial"/>
          <w:bCs/>
          <w:sz w:val="16"/>
          <w:szCs w:val="16"/>
          <w:lang w:eastAsia="x-none"/>
        </w:rPr>
        <w:t xml:space="preserve">. </w:t>
      </w:r>
      <w:r w:rsidRPr="00AF5ABD">
        <w:rPr>
          <w:rFonts w:ascii="Arial" w:eastAsia="SimSun" w:hAnsi="Arial" w:cs="Arial"/>
          <w:bCs/>
          <w:sz w:val="16"/>
          <w:szCs w:val="16"/>
          <w:lang w:eastAsia="x-none"/>
        </w:rPr>
        <w:t xml:space="preserve">If a row indicates resource allocation of a single PUSCH, the PUSCH has a single SLIV, mapping type, and </w:t>
      </w:r>
      <w:r w:rsidRPr="00AF5ABD">
        <w:rPr>
          <w:rFonts w:ascii="Arial" w:eastAsia="SimSun" w:hAnsi="Arial" w:cs="Arial"/>
          <w:i/>
          <w:color w:val="000000"/>
          <w:sz w:val="16"/>
          <w:szCs w:val="16"/>
        </w:rPr>
        <w:t>K</w:t>
      </w:r>
      <w:r w:rsidRPr="00AF5ABD">
        <w:rPr>
          <w:rFonts w:ascii="Arial" w:eastAsia="SimSun" w:hAnsi="Arial" w:cs="Arial"/>
          <w:i/>
          <w:color w:val="000000"/>
          <w:sz w:val="16"/>
          <w:szCs w:val="16"/>
          <w:vertAlign w:val="subscript"/>
        </w:rPr>
        <w:t>2</w:t>
      </w:r>
      <w:r w:rsidRPr="00AF5ABD">
        <w:rPr>
          <w:rFonts w:ascii="Arial" w:eastAsia="SimSun" w:hAnsi="Arial" w:cs="Arial"/>
          <w:bCs/>
          <w:sz w:val="16"/>
          <w:szCs w:val="16"/>
          <w:lang w:eastAsia="x-none"/>
        </w:rPr>
        <w:t xml:space="preserve">, where </w:t>
      </w:r>
      <w:r w:rsidRPr="00AF5ABD">
        <w:rPr>
          <w:rFonts w:ascii="Arial" w:eastAsia="SimSun" w:hAnsi="Arial" w:cs="Arial"/>
          <w:i/>
          <w:color w:val="000000"/>
          <w:sz w:val="16"/>
          <w:szCs w:val="16"/>
        </w:rPr>
        <w:t>K</w:t>
      </w:r>
      <w:r w:rsidRPr="00AF5ABD">
        <w:rPr>
          <w:rFonts w:ascii="Arial" w:eastAsia="SimSun" w:hAnsi="Arial" w:cs="Arial"/>
          <w:i/>
          <w:color w:val="000000"/>
          <w:sz w:val="16"/>
          <w:szCs w:val="16"/>
          <w:vertAlign w:val="subscript"/>
        </w:rPr>
        <w:t>2</w:t>
      </w:r>
      <w:r w:rsidRPr="00AF5ABD">
        <w:rPr>
          <w:rFonts w:ascii="Arial" w:eastAsia="SimSun" w:hAnsi="Arial" w:cs="Arial"/>
          <w:bCs/>
          <w:sz w:val="16"/>
          <w:szCs w:val="16"/>
          <w:lang w:eastAsia="x-none"/>
        </w:rPr>
        <w:t xml:space="preserve"> is given by </w:t>
      </w:r>
      <w:r w:rsidRPr="00AF5ABD">
        <w:rPr>
          <w:rFonts w:ascii="Arial" w:eastAsia="SimSun" w:hAnsi="Arial" w:cs="Arial"/>
          <w:bCs/>
          <w:i/>
          <w:iCs/>
          <w:sz w:val="16"/>
          <w:szCs w:val="16"/>
          <w:lang w:eastAsia="x-none"/>
        </w:rPr>
        <w:t>extendedK2</w:t>
      </w:r>
      <w:r w:rsidRPr="00AF5ABD">
        <w:rPr>
          <w:rFonts w:ascii="Arial" w:eastAsia="SimSun" w:hAnsi="Arial" w:cs="Arial"/>
          <w:bCs/>
          <w:sz w:val="16"/>
          <w:szCs w:val="16"/>
          <w:lang w:eastAsia="x-none"/>
        </w:rPr>
        <w:t xml:space="preserve">, if configured, otherwise </w:t>
      </w:r>
      <w:r w:rsidRPr="00AF5ABD">
        <w:rPr>
          <w:rFonts w:ascii="Arial" w:eastAsia="SimSun" w:hAnsi="Arial" w:cs="Arial"/>
          <w:i/>
          <w:color w:val="000000"/>
          <w:sz w:val="16"/>
          <w:szCs w:val="16"/>
        </w:rPr>
        <w:t>K</w:t>
      </w:r>
      <w:r w:rsidRPr="00AF5ABD">
        <w:rPr>
          <w:rFonts w:ascii="Arial" w:eastAsia="SimSun" w:hAnsi="Arial" w:cs="Arial"/>
          <w:i/>
          <w:color w:val="000000"/>
          <w:sz w:val="16"/>
          <w:szCs w:val="16"/>
          <w:vertAlign w:val="subscript"/>
        </w:rPr>
        <w:t>2</w:t>
      </w:r>
      <w:r w:rsidRPr="00AF5ABD">
        <w:rPr>
          <w:rFonts w:ascii="Arial" w:eastAsia="SimSun" w:hAnsi="Arial" w:cs="Arial"/>
          <w:bCs/>
          <w:sz w:val="16"/>
          <w:szCs w:val="16"/>
          <w:lang w:eastAsia="x-none"/>
        </w:rPr>
        <w:t xml:space="preserve"> is given by </w:t>
      </w:r>
      <w:r w:rsidRPr="00AF5ABD">
        <w:rPr>
          <w:rFonts w:ascii="Arial" w:eastAsia="SimSun" w:hAnsi="Arial" w:cs="Arial"/>
          <w:bCs/>
          <w:i/>
          <w:iCs/>
          <w:sz w:val="16"/>
          <w:szCs w:val="16"/>
          <w:lang w:eastAsia="x-none"/>
        </w:rPr>
        <w:t>k2-r16</w:t>
      </w:r>
      <w:r w:rsidRPr="00AF5ABD">
        <w:rPr>
          <w:rFonts w:ascii="Arial" w:eastAsia="SimSun" w:hAnsi="Arial" w:cs="Arial"/>
          <w:bCs/>
          <w:sz w:val="16"/>
          <w:szCs w:val="16"/>
          <w:lang w:eastAsia="x-none"/>
        </w:rPr>
        <w:t xml:space="preserve">. </w:t>
      </w:r>
      <w:r w:rsidRPr="00AF5ABD">
        <w:rPr>
          <w:rFonts w:ascii="Arial" w:hAnsi="Arial" w:cs="Arial"/>
          <w:bCs/>
          <w:sz w:val="16"/>
          <w:szCs w:val="16"/>
          <w:lang w:eastAsia="x-none"/>
        </w:rPr>
        <w:t xml:space="preserve">The number of scheduled PUSCHs is signalled by the number of indicated SLIVs in the row of the </w:t>
      </w:r>
      <w:r w:rsidRPr="00AF5ABD">
        <w:rPr>
          <w:rFonts w:ascii="Arial" w:eastAsia="SimSun" w:hAnsi="Arial" w:cs="Arial"/>
          <w:i/>
          <w:sz w:val="16"/>
          <w:szCs w:val="16"/>
        </w:rPr>
        <w:t>pusch-TimeDomainAllocationListForMultiPUSCH</w:t>
      </w:r>
      <w:r w:rsidRPr="00AF5ABD">
        <w:rPr>
          <w:rFonts w:ascii="Arial" w:eastAsia="SimSun" w:hAnsi="Arial" w:cs="Arial"/>
          <w:sz w:val="16"/>
          <w:szCs w:val="16"/>
        </w:rPr>
        <w:t xml:space="preserve"> </w:t>
      </w:r>
      <w:r w:rsidRPr="00AF5ABD">
        <w:rPr>
          <w:rFonts w:ascii="Arial" w:hAnsi="Arial" w:cs="Arial"/>
          <w:bCs/>
          <w:sz w:val="16"/>
          <w:szCs w:val="16"/>
          <w:lang w:eastAsia="x-none"/>
        </w:rPr>
        <w:t>signalled in DCI format 0_1.</w:t>
      </w:r>
      <w:r w:rsidRPr="00AF5ABD">
        <w:rPr>
          <w:rFonts w:ascii="Arial" w:eastAsia="SimSun" w:hAnsi="Arial" w:cs="Arial"/>
          <w:color w:val="000000"/>
          <w:sz w:val="16"/>
          <w:szCs w:val="16"/>
        </w:rPr>
        <w:t xml:space="preserve"> </w:t>
      </w:r>
    </w:p>
    <w:p w14:paraId="0065D376" w14:textId="77777777" w:rsidR="00AF5ABD" w:rsidRPr="00AF5ABD" w:rsidRDefault="00AF5ABD" w:rsidP="00353B17">
      <w:pPr>
        <w:ind w:left="799"/>
        <w:rPr>
          <w:ins w:id="151" w:author="vivo" w:date="2023-11-02T11:02:00Z"/>
          <w:rFonts w:ascii="Arial" w:eastAsia="SimSun" w:hAnsi="Arial" w:cs="Arial"/>
          <w:sz w:val="16"/>
          <w:szCs w:val="16"/>
        </w:rPr>
      </w:pPr>
      <w:r w:rsidRPr="00AF5ABD">
        <w:rPr>
          <w:rFonts w:ascii="Arial" w:eastAsia="SimSun" w:hAnsi="Arial" w:cs="Arial"/>
          <w:color w:val="000000"/>
          <w:sz w:val="16"/>
          <w:szCs w:val="16"/>
        </w:rPr>
        <w:t>If a UE is configured with</w:t>
      </w:r>
      <w:r w:rsidRPr="00AF5ABD">
        <w:rPr>
          <w:rFonts w:ascii="Arial" w:eastAsia="SimSun" w:hAnsi="Arial" w:cs="Arial"/>
          <w:i/>
          <w:color w:val="000000"/>
          <w:sz w:val="16"/>
          <w:szCs w:val="16"/>
        </w:rPr>
        <w:t xml:space="preserve"> extendedK2</w:t>
      </w:r>
      <w:r w:rsidRPr="00AF5ABD">
        <w:rPr>
          <w:rFonts w:ascii="Arial" w:eastAsia="SimSun" w:hAnsi="Arial" w:cs="Arial"/>
          <w:i/>
          <w:iCs/>
          <w:color w:val="000000"/>
          <w:sz w:val="16"/>
          <w:szCs w:val="16"/>
        </w:rPr>
        <w:t xml:space="preserve"> </w:t>
      </w:r>
      <w:r w:rsidRPr="00AF5ABD">
        <w:rPr>
          <w:rFonts w:ascii="Arial" w:eastAsia="SimSun" w:hAnsi="Arial" w:cs="Arial"/>
          <w:iCs/>
          <w:color w:val="000000"/>
          <w:sz w:val="16"/>
          <w:szCs w:val="16"/>
        </w:rPr>
        <w:t>in</w:t>
      </w:r>
      <w:r w:rsidRPr="00AF5ABD">
        <w:rPr>
          <w:rFonts w:ascii="Arial" w:eastAsia="SimSun" w:hAnsi="Arial" w:cs="Arial"/>
          <w:color w:val="000000"/>
          <w:sz w:val="16"/>
          <w:szCs w:val="16"/>
        </w:rPr>
        <w:t xml:space="preserve"> </w:t>
      </w:r>
      <w:r w:rsidRPr="00AF5ABD">
        <w:rPr>
          <w:rFonts w:ascii="Arial" w:eastAsia="SimSun" w:hAnsi="Arial" w:cs="Arial"/>
          <w:i/>
          <w:iCs/>
          <w:color w:val="000000"/>
          <w:sz w:val="16"/>
          <w:szCs w:val="16"/>
        </w:rPr>
        <w:t xml:space="preserve">pusch-TimeDomainAllocationListForMultiPUSCH </w:t>
      </w:r>
      <w:r w:rsidRPr="00AF5ABD">
        <w:rPr>
          <w:rFonts w:ascii="Arial" w:eastAsia="SimSun" w:hAnsi="Arial" w:cs="Arial"/>
          <w:color w:val="000000"/>
          <w:sz w:val="16"/>
          <w:szCs w:val="16"/>
        </w:rPr>
        <w:t xml:space="preserve">in which one or more rows contain multiple </w:t>
      </w:r>
      <w:r w:rsidRPr="00AF5ABD">
        <w:rPr>
          <w:rFonts w:ascii="Arial" w:eastAsia="SimSun" w:hAnsi="Arial" w:cs="Arial"/>
          <w:i/>
          <w:iCs/>
          <w:color w:val="000000"/>
          <w:sz w:val="16"/>
          <w:szCs w:val="16"/>
        </w:rPr>
        <w:t>SLIV</w:t>
      </w:r>
      <w:r w:rsidRPr="00AF5ABD">
        <w:rPr>
          <w:rFonts w:ascii="Arial" w:eastAsia="SimSun" w:hAnsi="Arial" w:cs="Arial"/>
          <w:color w:val="000000"/>
          <w:sz w:val="16"/>
          <w:szCs w:val="16"/>
        </w:rPr>
        <w:t>s for PUSCH on a UL BWP of a serving cell</w:t>
      </w:r>
      <w:r w:rsidRPr="00AF5ABD">
        <w:rPr>
          <w:rFonts w:ascii="Arial" w:eastAsia="SimSun" w:hAnsi="Arial" w:cs="Arial"/>
          <w:color w:val="000000"/>
          <w:sz w:val="16"/>
          <w:szCs w:val="16"/>
          <w:lang w:val="x-none"/>
        </w:rPr>
        <w:t xml:space="preserve">, and the UE is indicated </w:t>
      </w:r>
      <w:r w:rsidRPr="00AF5ABD">
        <w:rPr>
          <w:rFonts w:ascii="Arial" w:eastAsia="SimSun" w:hAnsi="Arial" w:cs="Arial"/>
          <w:sz w:val="16"/>
          <w:szCs w:val="16"/>
        </w:rPr>
        <w:t xml:space="preserve">re-transmission of PUSCH by DCI format 0_1, where the PUSCH is correspond to a configured grant Type 1 or Type 2, the UE does not expect that the number of indicated </w:t>
      </w:r>
      <w:r w:rsidRPr="00AF5ABD">
        <w:rPr>
          <w:rFonts w:ascii="Arial" w:eastAsia="SimSun" w:hAnsi="Arial" w:cs="Arial"/>
          <w:i/>
          <w:iCs/>
          <w:sz w:val="16"/>
          <w:szCs w:val="16"/>
        </w:rPr>
        <w:t>SLIV</w:t>
      </w:r>
      <w:r w:rsidRPr="00AF5ABD">
        <w:rPr>
          <w:rFonts w:ascii="Arial" w:eastAsia="SimSun" w:hAnsi="Arial" w:cs="Arial"/>
          <w:sz w:val="16"/>
          <w:szCs w:val="16"/>
        </w:rPr>
        <w:t xml:space="preserve">s in the row of </w:t>
      </w:r>
      <w:r w:rsidRPr="00AF5ABD">
        <w:rPr>
          <w:rFonts w:ascii="Arial" w:hAnsi="Arial" w:cs="Arial"/>
          <w:bCs/>
          <w:sz w:val="16"/>
          <w:szCs w:val="16"/>
          <w:lang w:eastAsia="x-none"/>
        </w:rPr>
        <w:t xml:space="preserve">the </w:t>
      </w:r>
      <w:r w:rsidRPr="00AF5ABD">
        <w:rPr>
          <w:rFonts w:ascii="Arial" w:eastAsia="SimSun" w:hAnsi="Arial" w:cs="Arial"/>
          <w:i/>
          <w:sz w:val="16"/>
          <w:szCs w:val="16"/>
        </w:rPr>
        <w:t>pusch-TimeDomainAllocationListForMultiPUSCH</w:t>
      </w:r>
      <w:r w:rsidRPr="00AF5ABD">
        <w:rPr>
          <w:rFonts w:ascii="Arial" w:eastAsia="SimSun" w:hAnsi="Arial" w:cs="Arial"/>
          <w:sz w:val="16"/>
          <w:szCs w:val="16"/>
        </w:rPr>
        <w:t xml:space="preserve"> by the DCI </w:t>
      </w:r>
      <w:r w:rsidRPr="00AF5ABD">
        <w:rPr>
          <w:rFonts w:ascii="Arial" w:hAnsi="Arial" w:cs="Arial"/>
          <w:bCs/>
          <w:sz w:val="16"/>
          <w:szCs w:val="16"/>
          <w:lang w:eastAsia="x-none"/>
        </w:rPr>
        <w:t xml:space="preserve">is </w:t>
      </w:r>
      <w:r w:rsidRPr="00AF5ABD">
        <w:rPr>
          <w:rFonts w:ascii="Arial" w:eastAsia="SimSun" w:hAnsi="Arial" w:cs="Arial"/>
          <w:sz w:val="16"/>
          <w:szCs w:val="16"/>
        </w:rPr>
        <w:t>more than one.</w:t>
      </w:r>
    </w:p>
    <w:p w14:paraId="5D6E0D16" w14:textId="77777777" w:rsidR="00AF5ABD" w:rsidRPr="00AF5ABD" w:rsidRDefault="00AF5ABD" w:rsidP="00353B17">
      <w:pPr>
        <w:ind w:left="799"/>
        <w:rPr>
          <w:rFonts w:ascii="Arial" w:eastAsia="SimSun" w:hAnsi="Arial" w:cs="Arial"/>
          <w:color w:val="000000"/>
          <w:sz w:val="16"/>
          <w:szCs w:val="16"/>
        </w:rPr>
      </w:pPr>
      <w:ins w:id="152" w:author="vivo" w:date="2023-11-02T11:03:00Z">
        <w:r w:rsidRPr="00AF5ABD">
          <w:rPr>
            <w:rFonts w:ascii="Arial" w:eastAsia="SimSun" w:hAnsi="Arial" w:cs="Arial"/>
            <w:color w:val="000000"/>
            <w:sz w:val="16"/>
            <w:szCs w:val="16"/>
          </w:rPr>
          <w:t>If a UE is configured with</w:t>
        </w:r>
        <w:r w:rsidRPr="00AF5ABD">
          <w:rPr>
            <w:rFonts w:ascii="Arial" w:eastAsia="SimSun" w:hAnsi="Arial" w:cs="Arial"/>
            <w:i/>
            <w:color w:val="000000"/>
            <w:sz w:val="16"/>
            <w:szCs w:val="16"/>
          </w:rPr>
          <w:t xml:space="preserve"> </w:t>
        </w:r>
        <w:r w:rsidRPr="00AF5ABD">
          <w:rPr>
            <w:rFonts w:ascii="Arial" w:eastAsia="SimSun" w:hAnsi="Arial" w:cs="Arial"/>
            <w:i/>
            <w:strike/>
            <w:color w:val="FF0000"/>
            <w:sz w:val="16"/>
            <w:szCs w:val="16"/>
            <w:highlight w:val="yellow"/>
          </w:rPr>
          <w:t>extendedK2</w:t>
        </w:r>
        <w:r w:rsidRPr="00AF5ABD">
          <w:rPr>
            <w:rFonts w:ascii="Arial" w:eastAsia="SimSun" w:hAnsi="Arial" w:cs="Arial"/>
            <w:i/>
            <w:iCs/>
            <w:strike/>
            <w:color w:val="FF0000"/>
            <w:sz w:val="16"/>
            <w:szCs w:val="16"/>
            <w:highlight w:val="yellow"/>
          </w:rPr>
          <w:t xml:space="preserve"> </w:t>
        </w:r>
        <w:r w:rsidRPr="00AF5ABD">
          <w:rPr>
            <w:rFonts w:ascii="Arial" w:eastAsia="SimSun" w:hAnsi="Arial" w:cs="Arial"/>
            <w:iCs/>
            <w:strike/>
            <w:color w:val="FF0000"/>
            <w:sz w:val="16"/>
            <w:szCs w:val="16"/>
            <w:highlight w:val="yellow"/>
          </w:rPr>
          <w:t>in</w:t>
        </w:r>
        <w:r w:rsidRPr="00AF5ABD">
          <w:rPr>
            <w:rFonts w:ascii="Arial" w:eastAsia="SimSun" w:hAnsi="Arial" w:cs="Arial"/>
            <w:color w:val="FF0000"/>
            <w:sz w:val="16"/>
            <w:szCs w:val="16"/>
          </w:rPr>
          <w:t xml:space="preserve"> </w:t>
        </w:r>
        <w:r w:rsidRPr="00AF5ABD">
          <w:rPr>
            <w:rFonts w:ascii="Arial" w:eastAsia="SimSun" w:hAnsi="Arial" w:cs="Arial"/>
            <w:i/>
            <w:iCs/>
            <w:color w:val="000000"/>
            <w:sz w:val="16"/>
            <w:szCs w:val="16"/>
          </w:rPr>
          <w:t xml:space="preserve">pusch-TimeDomainAllocationListForMultiPUSCH </w:t>
        </w:r>
        <w:r w:rsidRPr="00AF5ABD">
          <w:rPr>
            <w:rFonts w:ascii="Arial" w:eastAsia="SimSun" w:hAnsi="Arial" w:cs="Arial"/>
            <w:color w:val="000000"/>
            <w:sz w:val="16"/>
            <w:szCs w:val="16"/>
          </w:rPr>
          <w:t xml:space="preserve">in which one or more rows contain multiple </w:t>
        </w:r>
        <w:r w:rsidRPr="00AF5ABD">
          <w:rPr>
            <w:rFonts w:ascii="Arial" w:eastAsia="SimSun" w:hAnsi="Arial" w:cs="Arial"/>
            <w:i/>
            <w:iCs/>
            <w:color w:val="000000"/>
            <w:sz w:val="16"/>
            <w:szCs w:val="16"/>
          </w:rPr>
          <w:t>SLIV</w:t>
        </w:r>
        <w:r w:rsidRPr="00AF5ABD">
          <w:rPr>
            <w:rFonts w:ascii="Arial" w:eastAsia="SimSun" w:hAnsi="Arial" w:cs="Arial"/>
            <w:color w:val="000000"/>
            <w:sz w:val="16"/>
            <w:szCs w:val="16"/>
          </w:rPr>
          <w:t>s for PUSCH on a UL BWP of a serving cell</w:t>
        </w:r>
        <w:r w:rsidRPr="00AF5ABD">
          <w:rPr>
            <w:rFonts w:ascii="Arial" w:eastAsia="SimSun" w:hAnsi="Arial" w:cs="Arial"/>
            <w:color w:val="000000"/>
            <w:sz w:val="16"/>
            <w:szCs w:val="16"/>
            <w:lang w:val="x-none"/>
          </w:rPr>
          <w:t>,</w:t>
        </w:r>
      </w:ins>
      <w:ins w:id="153" w:author="vivo" w:date="2023-11-02T11:02:00Z">
        <w:r w:rsidRPr="00AF5ABD">
          <w:rPr>
            <w:rFonts w:ascii="Arial" w:eastAsia="SimSun" w:hAnsi="Arial" w:cs="Arial"/>
            <w:color w:val="000000"/>
            <w:sz w:val="16"/>
            <w:szCs w:val="16"/>
            <w:lang w:val="x-none"/>
          </w:rPr>
          <w:t xml:space="preserve"> </w:t>
        </w:r>
        <w:r w:rsidRPr="00AF5ABD">
          <w:rPr>
            <w:rFonts w:ascii="Arial" w:eastAsia="SimSun" w:hAnsi="Arial" w:cs="Arial"/>
            <w:sz w:val="16"/>
            <w:szCs w:val="16"/>
          </w:rPr>
          <w:t xml:space="preserve">the UE does not expect to be scheduled with </w:t>
        </w:r>
      </w:ins>
      <w:ins w:id="154" w:author="David mazzarese" w:date="2023-11-14T17:26:00Z">
        <w:r w:rsidRPr="00AF5ABD">
          <w:rPr>
            <w:rFonts w:ascii="Arial" w:eastAsia="SimSun" w:hAnsi="Arial" w:cs="Arial"/>
            <w:sz w:val="16"/>
            <w:szCs w:val="16"/>
            <w:highlight w:val="yellow"/>
          </w:rPr>
          <w:t>one or</w:t>
        </w:r>
        <w:r w:rsidRPr="00AF5ABD">
          <w:rPr>
            <w:rFonts w:ascii="Arial" w:eastAsia="SimSun" w:hAnsi="Arial" w:cs="Arial"/>
            <w:sz w:val="16"/>
            <w:szCs w:val="16"/>
          </w:rPr>
          <w:t xml:space="preserve"> </w:t>
        </w:r>
      </w:ins>
      <w:ins w:id="155" w:author="vivo" w:date="2023-11-02T11:02:00Z">
        <w:r w:rsidRPr="00AF5ABD">
          <w:rPr>
            <w:rFonts w:ascii="Arial" w:eastAsia="SimSun" w:hAnsi="Arial" w:cs="Arial"/>
            <w:sz w:val="16"/>
            <w:szCs w:val="16"/>
          </w:rPr>
          <w:t>multiple P</w:t>
        </w:r>
      </w:ins>
      <w:ins w:id="156" w:author="vivo" w:date="2023-11-02T11:04:00Z">
        <w:r w:rsidRPr="00AF5ABD">
          <w:rPr>
            <w:rFonts w:ascii="Arial" w:eastAsia="SimSun" w:hAnsi="Arial" w:cs="Arial"/>
            <w:sz w:val="16"/>
            <w:szCs w:val="16"/>
          </w:rPr>
          <w:t>U</w:t>
        </w:r>
      </w:ins>
      <w:ins w:id="157" w:author="vivo" w:date="2023-11-02T11:02:00Z">
        <w:r w:rsidRPr="00AF5ABD">
          <w:rPr>
            <w:rFonts w:ascii="Arial" w:eastAsia="SimSun" w:hAnsi="Arial" w:cs="Arial"/>
            <w:sz w:val="16"/>
            <w:szCs w:val="16"/>
          </w:rPr>
          <w:t xml:space="preserve">SCH </w:t>
        </w:r>
      </w:ins>
      <w:ins w:id="158" w:author="vivo" w:date="2023-11-02T11:04:00Z">
        <w:r w:rsidRPr="00AF5ABD">
          <w:rPr>
            <w:rFonts w:ascii="Arial" w:eastAsia="SimSun" w:hAnsi="Arial" w:cs="Arial"/>
            <w:sz w:val="16"/>
            <w:szCs w:val="16"/>
          </w:rPr>
          <w:t>transmissions</w:t>
        </w:r>
      </w:ins>
      <w:ins w:id="159" w:author="vivo" w:date="2023-11-02T11:02:00Z">
        <w:r w:rsidRPr="00AF5ABD">
          <w:rPr>
            <w:rFonts w:ascii="Arial" w:eastAsia="SimSun" w:hAnsi="Arial" w:cs="Arial"/>
            <w:sz w:val="16"/>
            <w:szCs w:val="16"/>
          </w:rPr>
          <w:t xml:space="preserve"> by a single DCI format </w:t>
        </w:r>
      </w:ins>
      <w:ins w:id="160" w:author="vivo" w:date="2023-11-02T11:04:00Z">
        <w:r w:rsidRPr="00AF5ABD">
          <w:rPr>
            <w:rFonts w:ascii="Arial" w:eastAsia="SimSun" w:hAnsi="Arial" w:cs="Arial"/>
            <w:sz w:val="16"/>
            <w:szCs w:val="16"/>
          </w:rPr>
          <w:t>0</w:t>
        </w:r>
      </w:ins>
      <w:ins w:id="161" w:author="vivo" w:date="2023-11-02T11:02:00Z">
        <w:r w:rsidRPr="00AF5ABD">
          <w:rPr>
            <w:rFonts w:ascii="Arial" w:eastAsia="SimSun" w:hAnsi="Arial" w:cs="Arial"/>
            <w:sz w:val="16"/>
            <w:szCs w:val="16"/>
          </w:rPr>
          <w:t>_1, where each P</w:t>
        </w:r>
      </w:ins>
      <w:ins w:id="162" w:author="vivo" w:date="2023-11-02T11:04:00Z">
        <w:r w:rsidRPr="00AF5ABD">
          <w:rPr>
            <w:rFonts w:ascii="Arial" w:eastAsia="SimSun" w:hAnsi="Arial" w:cs="Arial"/>
            <w:sz w:val="16"/>
            <w:szCs w:val="16"/>
          </w:rPr>
          <w:t>U</w:t>
        </w:r>
      </w:ins>
      <w:ins w:id="163" w:author="vivo" w:date="2023-11-02T11:02:00Z">
        <w:r w:rsidRPr="00AF5ABD">
          <w:rPr>
            <w:rFonts w:ascii="Arial" w:eastAsia="SimSun" w:hAnsi="Arial" w:cs="Arial"/>
            <w:sz w:val="16"/>
            <w:szCs w:val="16"/>
          </w:rPr>
          <w:t xml:space="preserve">SCH </w:t>
        </w:r>
      </w:ins>
      <w:ins w:id="164" w:author="vivo" w:date="2023-11-02T11:04:00Z">
        <w:r w:rsidRPr="00AF5ABD">
          <w:rPr>
            <w:rFonts w:ascii="Arial" w:eastAsia="SimSun" w:hAnsi="Arial" w:cs="Arial"/>
            <w:sz w:val="16"/>
            <w:szCs w:val="16"/>
          </w:rPr>
          <w:t>transmission</w:t>
        </w:r>
      </w:ins>
      <w:ins w:id="165" w:author="vivo" w:date="2023-11-02T11:02:00Z">
        <w:r w:rsidRPr="00AF5ABD">
          <w:rPr>
            <w:rFonts w:ascii="Arial" w:eastAsia="SimSun" w:hAnsi="Arial" w:cs="Arial"/>
            <w:sz w:val="16"/>
            <w:szCs w:val="16"/>
          </w:rPr>
          <w:t xml:space="preserve"> </w:t>
        </w:r>
      </w:ins>
      <w:ins w:id="166" w:author="vivo" w:date="2023-11-02T11:05:00Z">
        <w:r w:rsidRPr="00AF5ABD">
          <w:rPr>
            <w:rFonts w:ascii="Arial" w:eastAsia="SimSun" w:hAnsi="Arial" w:cs="Arial"/>
            <w:color w:val="000000"/>
            <w:sz w:val="16"/>
            <w:szCs w:val="16"/>
          </w:rPr>
          <w:t xml:space="preserve">overlaps with a DL symbol indicated by </w:t>
        </w:r>
        <w:r w:rsidRPr="00AF5ABD">
          <w:rPr>
            <w:rFonts w:ascii="Arial" w:eastAsia="SimSun" w:hAnsi="Arial" w:cs="Arial"/>
            <w:i/>
            <w:iCs/>
            <w:color w:val="000000"/>
            <w:sz w:val="16"/>
            <w:szCs w:val="16"/>
          </w:rPr>
          <w:t>tdd-UL-DL-ConfigurationCommon</w:t>
        </w:r>
        <w:r w:rsidRPr="00AF5ABD">
          <w:rPr>
            <w:rFonts w:ascii="Arial" w:eastAsia="SimSun" w:hAnsi="Arial" w:cs="Arial"/>
            <w:color w:val="000000"/>
            <w:sz w:val="16"/>
            <w:szCs w:val="16"/>
          </w:rPr>
          <w:t xml:space="preserve"> or </w:t>
        </w:r>
        <w:r w:rsidRPr="00AF5ABD">
          <w:rPr>
            <w:rFonts w:ascii="Arial" w:eastAsia="SimSun" w:hAnsi="Arial" w:cs="Arial"/>
            <w:i/>
            <w:iCs/>
            <w:color w:val="000000"/>
            <w:sz w:val="16"/>
            <w:szCs w:val="16"/>
          </w:rPr>
          <w:t xml:space="preserve">tdd-UL-DL-ConfigurationDedicated </w:t>
        </w:r>
        <w:r w:rsidRPr="00AF5ABD">
          <w:rPr>
            <w:rFonts w:ascii="Arial" w:eastAsia="SimSun" w:hAnsi="Arial" w:cs="Arial"/>
            <w:color w:val="000000"/>
            <w:sz w:val="16"/>
            <w:szCs w:val="16"/>
          </w:rPr>
          <w:t xml:space="preserve">if provided, or a symbol of an SS/PBCH block with index provided by </w:t>
        </w:r>
        <w:r w:rsidRPr="00AF5ABD">
          <w:rPr>
            <w:rFonts w:ascii="Arial" w:eastAsia="SimSun" w:hAnsi="Arial" w:cs="Arial"/>
            <w:i/>
            <w:iCs/>
            <w:color w:val="000000"/>
            <w:sz w:val="16"/>
            <w:szCs w:val="16"/>
          </w:rPr>
          <w:t>ssb-PositionsInBurst</w:t>
        </w:r>
        <w:r w:rsidRPr="00AF5ABD">
          <w:rPr>
            <w:rFonts w:ascii="Arial" w:eastAsia="SimSun" w:hAnsi="Arial" w:cs="Arial"/>
            <w:color w:val="000000"/>
            <w:sz w:val="16"/>
            <w:szCs w:val="16"/>
          </w:rPr>
          <w:t>.</w:t>
        </w:r>
      </w:ins>
    </w:p>
    <w:p w14:paraId="61F9002D" w14:textId="77777777" w:rsidR="00AF5ABD" w:rsidRPr="00AF5ABD" w:rsidRDefault="00AF5ABD" w:rsidP="00353B17">
      <w:pPr>
        <w:ind w:left="799"/>
        <w:jc w:val="center"/>
        <w:rPr>
          <w:rFonts w:ascii="Arial" w:eastAsia="Times New Roman" w:hAnsi="Arial" w:cs="Arial"/>
          <w:color w:val="FF0000"/>
          <w:sz w:val="16"/>
          <w:szCs w:val="16"/>
          <w:lang w:eastAsia="x-none"/>
        </w:rPr>
      </w:pPr>
      <w:r w:rsidRPr="00AF5ABD">
        <w:rPr>
          <w:rFonts w:ascii="Arial" w:hAnsi="Arial" w:cs="Arial"/>
          <w:color w:val="FF0000"/>
          <w:sz w:val="16"/>
          <w:szCs w:val="16"/>
          <w:lang w:eastAsia="x-none"/>
        </w:rPr>
        <w:t>*** Unchanged text omitted ***</w:t>
      </w:r>
    </w:p>
    <w:p w14:paraId="12554AC7" w14:textId="460B03D9" w:rsidR="00353B17" w:rsidRDefault="00353B17" w:rsidP="00353B17">
      <w:pPr>
        <w:snapToGrid w:val="0"/>
        <w:jc w:val="both"/>
        <w:rPr>
          <w:color w:val="FF0000"/>
          <w:szCs w:val="20"/>
        </w:rPr>
      </w:pPr>
      <w:r w:rsidRPr="006E356F">
        <w:rPr>
          <w:color w:val="FF0000"/>
          <w:szCs w:val="20"/>
        </w:rPr>
        <w:t xml:space="preserve">---- </w:t>
      </w:r>
      <w:r>
        <w:rPr>
          <w:color w:val="FF0000"/>
          <w:szCs w:val="20"/>
        </w:rPr>
        <w:t>end</w:t>
      </w:r>
      <w:r w:rsidRPr="006E356F">
        <w:rPr>
          <w:color w:val="FF0000"/>
          <w:szCs w:val="20"/>
        </w:rPr>
        <w:t xml:space="preserve"> TP ----</w:t>
      </w:r>
    </w:p>
    <w:p w14:paraId="761FC198" w14:textId="067F73E4" w:rsidR="0050290D" w:rsidRPr="0050290D" w:rsidRDefault="005A18DC" w:rsidP="0050290D">
      <w:pPr>
        <w:rPr>
          <w:b/>
          <w:bCs/>
          <w:lang w:eastAsia="x-none"/>
        </w:rPr>
      </w:pPr>
      <w:hyperlink r:id="rId624" w:history="1">
        <w:r w:rsidR="00AF7253">
          <w:rPr>
            <w:rStyle w:val="Hyperlink"/>
            <w:b/>
            <w:bCs/>
            <w:lang w:eastAsia="x-none"/>
          </w:rPr>
          <w:t>R1-2312479</w:t>
        </w:r>
      </w:hyperlink>
      <w:r w:rsidR="0050290D" w:rsidRPr="0050290D">
        <w:rPr>
          <w:b/>
          <w:bCs/>
          <w:lang w:eastAsia="x-none"/>
        </w:rPr>
        <w:tab/>
        <w:t>CR on resource allocation in time domain for multi-PXSCH scheduling</w:t>
      </w:r>
      <w:r w:rsidR="0050290D" w:rsidRPr="0050290D">
        <w:rPr>
          <w:b/>
          <w:bCs/>
          <w:lang w:eastAsia="x-none"/>
        </w:rPr>
        <w:tab/>
        <w:t>Moderator (LG Electronics), vivo, Ericsson, NTT DOCOMO, INC., Samsung, ZTE, Sanechips, Huawei, HiSilicon</w:t>
      </w:r>
    </w:p>
    <w:p w14:paraId="75CCD815" w14:textId="614D887B" w:rsidR="0050290D" w:rsidRDefault="0050290D" w:rsidP="0050290D">
      <w:pPr>
        <w:rPr>
          <w:lang w:eastAsia="x-none"/>
        </w:rPr>
      </w:pPr>
      <w:r w:rsidRPr="007C134C">
        <w:rPr>
          <w:b/>
          <w:bCs/>
          <w:lang w:eastAsia="x-none"/>
        </w:rPr>
        <w:t>Decision:</w:t>
      </w:r>
      <w:r>
        <w:rPr>
          <w:lang w:eastAsia="x-none"/>
        </w:rPr>
        <w:t xml:space="preserve"> </w:t>
      </w:r>
      <w:r w:rsidRPr="00AF5ABD">
        <w:rPr>
          <w:lang w:eastAsia="x-none"/>
        </w:rPr>
        <w:t xml:space="preserve">Rel-17 draft CR in </w:t>
      </w:r>
      <w:hyperlink r:id="rId625" w:history="1">
        <w:r w:rsidR="00AF7253">
          <w:rPr>
            <w:rStyle w:val="Hyperlink"/>
            <w:lang w:eastAsia="x-none"/>
          </w:rPr>
          <w:t>R1-2312479</w:t>
        </w:r>
      </w:hyperlink>
      <w:r w:rsidR="007C134C">
        <w:rPr>
          <w:lang w:eastAsia="x-none"/>
        </w:rPr>
        <w:t xml:space="preserve"> is endorsed. Final CR </w:t>
      </w:r>
      <w:r w:rsidR="007C134C" w:rsidRPr="007C134C">
        <w:rPr>
          <w:highlight w:val="green"/>
          <w:lang w:eastAsia="x-none"/>
        </w:rPr>
        <w:t xml:space="preserve">(Rel-17, 38.214, CR0460,Cat F) is agreed in </w:t>
      </w:r>
      <w:hyperlink r:id="rId626" w:history="1">
        <w:r w:rsidR="00AF7253">
          <w:rPr>
            <w:rStyle w:val="Hyperlink"/>
            <w:highlight w:val="green"/>
            <w:lang w:eastAsia="x-none"/>
          </w:rPr>
          <w:t>R1-2312481</w:t>
        </w:r>
      </w:hyperlink>
      <w:r w:rsidR="007C134C">
        <w:rPr>
          <w:lang w:eastAsia="x-none"/>
        </w:rPr>
        <w:t>.</w:t>
      </w:r>
    </w:p>
    <w:p w14:paraId="3CEA98A0" w14:textId="5C5947DC" w:rsidR="007C134C" w:rsidRPr="007C134C" w:rsidRDefault="005A18DC" w:rsidP="0050290D">
      <w:pPr>
        <w:rPr>
          <w:b/>
          <w:bCs/>
          <w:lang w:eastAsia="x-none"/>
        </w:rPr>
      </w:pPr>
      <w:hyperlink r:id="rId627" w:history="1">
        <w:r w:rsidR="00AF7253">
          <w:rPr>
            <w:rStyle w:val="Hyperlink"/>
            <w:b/>
            <w:bCs/>
            <w:lang w:eastAsia="x-none"/>
          </w:rPr>
          <w:t>R1-2312480</w:t>
        </w:r>
      </w:hyperlink>
      <w:r w:rsidR="0050290D" w:rsidRPr="007C134C">
        <w:rPr>
          <w:b/>
          <w:bCs/>
          <w:lang w:eastAsia="x-none"/>
        </w:rPr>
        <w:tab/>
        <w:t>CR on resource allocation in time domain for multi-PXSCH scheduling</w:t>
      </w:r>
      <w:r w:rsidR="0050290D" w:rsidRPr="007C134C">
        <w:rPr>
          <w:b/>
          <w:bCs/>
          <w:lang w:eastAsia="x-none"/>
        </w:rPr>
        <w:tab/>
      </w:r>
      <w:r w:rsidR="007C134C" w:rsidRPr="0050290D">
        <w:rPr>
          <w:b/>
          <w:bCs/>
          <w:lang w:eastAsia="x-none"/>
        </w:rPr>
        <w:t>Moderator (LG Electronics), vivo, Ericsson, NTT DOCOMO, INC., Samsung, ZTE, Sanechips, Huawei, HiSilicon</w:t>
      </w:r>
    </w:p>
    <w:p w14:paraId="554168A1" w14:textId="6CE7020D" w:rsidR="007C134C" w:rsidRDefault="007C134C" w:rsidP="007C134C">
      <w:pPr>
        <w:rPr>
          <w:lang w:eastAsia="x-none"/>
        </w:rPr>
      </w:pPr>
      <w:r w:rsidRPr="007C134C">
        <w:rPr>
          <w:b/>
          <w:bCs/>
          <w:lang w:eastAsia="x-none"/>
        </w:rPr>
        <w:t>Decision:</w:t>
      </w:r>
      <w:r>
        <w:rPr>
          <w:lang w:eastAsia="x-none"/>
        </w:rPr>
        <w:t xml:space="preserve"> </w:t>
      </w:r>
      <w:r w:rsidRPr="00AF5ABD">
        <w:rPr>
          <w:lang w:eastAsia="x-none"/>
        </w:rPr>
        <w:t>Rel-1</w:t>
      </w:r>
      <w:r>
        <w:rPr>
          <w:lang w:eastAsia="x-none"/>
        </w:rPr>
        <w:t>8</w:t>
      </w:r>
      <w:r w:rsidRPr="00AF5ABD">
        <w:rPr>
          <w:lang w:eastAsia="x-none"/>
        </w:rPr>
        <w:t xml:space="preserve"> draft CR in </w:t>
      </w:r>
      <w:hyperlink r:id="rId628" w:history="1">
        <w:r w:rsidR="00AF7253">
          <w:rPr>
            <w:rStyle w:val="Hyperlink"/>
            <w:lang w:eastAsia="x-none"/>
          </w:rPr>
          <w:t>R1-2312480</w:t>
        </w:r>
      </w:hyperlink>
      <w:r>
        <w:rPr>
          <w:lang w:eastAsia="x-none"/>
        </w:rPr>
        <w:t xml:space="preserve"> is endorsed. Final CR </w:t>
      </w:r>
      <w:r w:rsidRPr="007C134C">
        <w:rPr>
          <w:highlight w:val="green"/>
          <w:lang w:eastAsia="x-none"/>
        </w:rPr>
        <w:t>(Rel-1</w:t>
      </w:r>
      <w:r>
        <w:rPr>
          <w:highlight w:val="green"/>
          <w:lang w:eastAsia="x-none"/>
        </w:rPr>
        <w:t>8</w:t>
      </w:r>
      <w:r w:rsidRPr="007C134C">
        <w:rPr>
          <w:highlight w:val="green"/>
          <w:lang w:eastAsia="x-none"/>
        </w:rPr>
        <w:t>, 38.214, CR046</w:t>
      </w:r>
      <w:r>
        <w:rPr>
          <w:highlight w:val="green"/>
          <w:lang w:eastAsia="x-none"/>
        </w:rPr>
        <w:t>1</w:t>
      </w:r>
      <w:r w:rsidRPr="007C134C">
        <w:rPr>
          <w:highlight w:val="green"/>
          <w:lang w:eastAsia="x-none"/>
        </w:rPr>
        <w:t xml:space="preserve">,Cat </w:t>
      </w:r>
      <w:r>
        <w:rPr>
          <w:highlight w:val="green"/>
          <w:lang w:eastAsia="x-none"/>
        </w:rPr>
        <w:t>A</w:t>
      </w:r>
      <w:r w:rsidRPr="007C134C">
        <w:rPr>
          <w:highlight w:val="green"/>
          <w:lang w:eastAsia="x-none"/>
        </w:rPr>
        <w:t xml:space="preserve">) is agreed in </w:t>
      </w:r>
      <w:hyperlink r:id="rId629" w:history="1">
        <w:r w:rsidR="00AF7253">
          <w:rPr>
            <w:rStyle w:val="Hyperlink"/>
            <w:highlight w:val="green"/>
            <w:lang w:eastAsia="x-none"/>
          </w:rPr>
          <w:t>R1-2312482</w:t>
        </w:r>
      </w:hyperlink>
      <w:r>
        <w:rPr>
          <w:lang w:eastAsia="x-none"/>
        </w:rPr>
        <w:t>.</w:t>
      </w:r>
    </w:p>
    <w:p w14:paraId="5EA6C4E2" w14:textId="77777777" w:rsidR="007C134C" w:rsidRDefault="007C134C" w:rsidP="0050290D">
      <w:pPr>
        <w:rPr>
          <w:lang w:eastAsia="x-none"/>
        </w:rPr>
      </w:pPr>
    </w:p>
    <w:p w14:paraId="329B0DE4" w14:textId="77777777" w:rsidR="00AF5ABD" w:rsidRPr="00AF5ABD" w:rsidRDefault="00AF5ABD" w:rsidP="00AF5ABD">
      <w:pPr>
        <w:rPr>
          <w:highlight w:val="yellow"/>
          <w:lang w:eastAsia="x-none"/>
        </w:rPr>
      </w:pPr>
    </w:p>
    <w:p w14:paraId="0170C431" w14:textId="77777777" w:rsidR="00AF5ABD" w:rsidRPr="00AF5ABD" w:rsidRDefault="00AF5ABD" w:rsidP="00AF5ABD">
      <w:pPr>
        <w:rPr>
          <w:b/>
          <w:noProof/>
        </w:rPr>
      </w:pPr>
      <w:r w:rsidRPr="00AF5ABD">
        <w:rPr>
          <w:b/>
        </w:rPr>
        <w:t xml:space="preserve">Issue#4: </w:t>
      </w:r>
      <w:r w:rsidRPr="00AF5ABD">
        <w:rPr>
          <w:b/>
          <w:noProof/>
        </w:rPr>
        <w:t>Type-2 HARQ-ACK CB for multi-PDSCH scheduling</w:t>
      </w:r>
    </w:p>
    <w:p w14:paraId="4CE7ED76" w14:textId="6FE2F847" w:rsidR="00AF5ABD" w:rsidRPr="00AF5ABD" w:rsidRDefault="005A18DC" w:rsidP="00AF5ABD">
      <w:pPr>
        <w:rPr>
          <w:b/>
          <w:bCs/>
          <w:lang w:eastAsia="x-none"/>
        </w:rPr>
      </w:pPr>
      <w:hyperlink r:id="rId630" w:history="1">
        <w:r w:rsidR="00AF7253">
          <w:rPr>
            <w:rStyle w:val="Hyperlink"/>
            <w:b/>
            <w:bCs/>
            <w:lang w:eastAsia="x-none"/>
          </w:rPr>
          <w:t>R1-2311779</w:t>
        </w:r>
      </w:hyperlink>
      <w:r w:rsidR="00AF5ABD" w:rsidRPr="00AF5ABD">
        <w:rPr>
          <w:b/>
          <w:bCs/>
          <w:lang w:eastAsia="x-none"/>
        </w:rPr>
        <w:tab/>
        <w:t>Draft CR on Type-2 HARQ-ACK codebook for multi-PDSCH scheduling</w:t>
      </w:r>
      <w:r w:rsidR="00AF5ABD" w:rsidRPr="00AF5ABD">
        <w:rPr>
          <w:b/>
          <w:bCs/>
          <w:lang w:eastAsia="x-none"/>
        </w:rPr>
        <w:tab/>
        <w:t>vivo</w:t>
      </w:r>
    </w:p>
    <w:p w14:paraId="686ED50B" w14:textId="77777777" w:rsidR="00AF5ABD" w:rsidRPr="00AF5ABD" w:rsidRDefault="00AF5ABD" w:rsidP="00AF5ABD">
      <w:pPr>
        <w:rPr>
          <w:highlight w:val="green"/>
          <w:lang w:eastAsia="x-none"/>
        </w:rPr>
      </w:pPr>
      <w:r w:rsidRPr="00AF5ABD">
        <w:rPr>
          <w:highlight w:val="green"/>
          <w:lang w:eastAsia="x-none"/>
        </w:rPr>
        <w:t>Agreement</w:t>
      </w:r>
    </w:p>
    <w:p w14:paraId="7EEFF19E" w14:textId="26D8A715" w:rsidR="00AF5ABD" w:rsidRDefault="00AF5ABD" w:rsidP="0038097A">
      <w:pPr>
        <w:pStyle w:val="ListParagraph"/>
        <w:numPr>
          <w:ilvl w:val="0"/>
          <w:numId w:val="80"/>
        </w:numPr>
        <w:rPr>
          <w:lang w:eastAsia="zh-CN"/>
        </w:rPr>
      </w:pPr>
      <w:r w:rsidRPr="00AF5ABD">
        <w:rPr>
          <w:lang w:eastAsia="zh-CN"/>
        </w:rPr>
        <w:t xml:space="preserve">TP#E in </w:t>
      </w:r>
      <w:hyperlink r:id="rId631" w:history="1">
        <w:r w:rsidR="00AF7253">
          <w:rPr>
            <w:rStyle w:val="Hyperlink"/>
            <w:lang w:eastAsia="zh-CN"/>
          </w:rPr>
          <w:t>R1-2312351</w:t>
        </w:r>
      </w:hyperlink>
      <w:r w:rsidRPr="00AF5ABD">
        <w:rPr>
          <w:lang w:eastAsia="zh-CN"/>
        </w:rPr>
        <w:t xml:space="preserve"> is endorsed for a revision of CR agreed at RAN1#114bis in </w:t>
      </w:r>
      <w:hyperlink r:id="rId632" w:history="1">
        <w:r w:rsidR="00AF7253">
          <w:rPr>
            <w:rStyle w:val="Hyperlink"/>
            <w:lang w:eastAsia="zh-CN"/>
          </w:rPr>
          <w:t>R1-2310606</w:t>
        </w:r>
      </w:hyperlink>
      <w:r w:rsidRPr="00AF5ABD">
        <w:rPr>
          <w:lang w:eastAsia="zh-CN"/>
        </w:rPr>
        <w:t>.</w:t>
      </w:r>
    </w:p>
    <w:p w14:paraId="39A3B17D" w14:textId="77777777" w:rsidR="0038097A" w:rsidRDefault="0038097A" w:rsidP="00AF5ABD">
      <w:pPr>
        <w:rPr>
          <w:lang w:eastAsia="x-none"/>
        </w:rPr>
      </w:pPr>
      <w:r>
        <w:rPr>
          <w:lang w:eastAsia="x-none"/>
        </w:rPr>
        <w:t>Final CRs in:</w:t>
      </w:r>
    </w:p>
    <w:p w14:paraId="21858312" w14:textId="51945B4F" w:rsidR="0038097A" w:rsidRPr="0038097A" w:rsidRDefault="005A18DC" w:rsidP="0038097A">
      <w:pPr>
        <w:rPr>
          <w:b/>
          <w:bCs/>
          <w:lang w:eastAsia="x-none"/>
        </w:rPr>
      </w:pPr>
      <w:hyperlink r:id="rId633" w:history="1">
        <w:r w:rsidR="00AF7253">
          <w:rPr>
            <w:rStyle w:val="Hyperlink"/>
            <w:b/>
            <w:bCs/>
            <w:highlight w:val="green"/>
            <w:lang w:eastAsia="x-none"/>
          </w:rPr>
          <w:t>R1-2312470</w:t>
        </w:r>
      </w:hyperlink>
      <w:r w:rsidR="0038097A" w:rsidRPr="0038097A">
        <w:rPr>
          <w:b/>
          <w:bCs/>
          <w:lang w:eastAsia="x-none"/>
        </w:rPr>
        <w:tab/>
        <w:t>Correction on Type-2 HARQ-ACK codebook for multi-slot scheduling</w:t>
      </w:r>
      <w:r w:rsidR="0038097A" w:rsidRPr="0038097A">
        <w:rPr>
          <w:b/>
          <w:bCs/>
          <w:lang w:eastAsia="x-none"/>
        </w:rPr>
        <w:tab/>
        <w:t>Moderator (LG Electronics), Samsung, Ericsson, vivo, NTT DOCOMO, INC., ZTE, Sanechips, Huawei, HiSilicon</w:t>
      </w:r>
    </w:p>
    <w:p w14:paraId="1B747FC2" w14:textId="21648193" w:rsidR="0038097A" w:rsidRDefault="0038097A" w:rsidP="0038097A">
      <w:pPr>
        <w:rPr>
          <w:lang w:eastAsia="x-none"/>
        </w:rPr>
      </w:pPr>
      <w:r>
        <w:rPr>
          <w:lang w:eastAsia="x-none"/>
        </w:rPr>
        <w:t xml:space="preserve">(Rev of </w:t>
      </w:r>
      <w:hyperlink r:id="rId634" w:history="1">
        <w:r w:rsidR="00AF7253">
          <w:rPr>
            <w:rStyle w:val="Hyperlink"/>
            <w:lang w:eastAsia="x-none"/>
          </w:rPr>
          <w:t>R1-2310606</w:t>
        </w:r>
      </w:hyperlink>
      <w:r>
        <w:rPr>
          <w:lang w:eastAsia="x-none"/>
        </w:rPr>
        <w:t>, Rel-17, 38.213,CR0521rev1, Cat F) is agreed.</w:t>
      </w:r>
    </w:p>
    <w:p w14:paraId="022F1844" w14:textId="7D254CDE" w:rsidR="0038097A" w:rsidRPr="0038097A" w:rsidRDefault="005A18DC" w:rsidP="0038097A">
      <w:pPr>
        <w:rPr>
          <w:b/>
          <w:bCs/>
          <w:lang w:eastAsia="x-none"/>
        </w:rPr>
      </w:pPr>
      <w:hyperlink r:id="rId635" w:history="1">
        <w:r w:rsidR="00AF7253">
          <w:rPr>
            <w:rStyle w:val="Hyperlink"/>
            <w:b/>
            <w:bCs/>
            <w:highlight w:val="green"/>
            <w:lang w:eastAsia="x-none"/>
          </w:rPr>
          <w:t>R1-2312471</w:t>
        </w:r>
      </w:hyperlink>
      <w:r w:rsidR="0038097A" w:rsidRPr="0038097A">
        <w:rPr>
          <w:b/>
          <w:bCs/>
          <w:lang w:eastAsia="x-none"/>
        </w:rPr>
        <w:tab/>
        <w:t>Correction on Type-2 HARQ-ACK codebook for multi-slot scheduling</w:t>
      </w:r>
      <w:r w:rsidR="0038097A" w:rsidRPr="0038097A">
        <w:rPr>
          <w:b/>
          <w:bCs/>
          <w:lang w:eastAsia="x-none"/>
        </w:rPr>
        <w:tab/>
        <w:t>Moderator (LG Electronics), Samsung, Ericsson, vivo, NTT DOCOMO, INC., ZTE, Sanechips, Huawei, HiSilicon</w:t>
      </w:r>
    </w:p>
    <w:p w14:paraId="5BAE3133" w14:textId="3547DC41" w:rsidR="0038097A" w:rsidRDefault="0038097A" w:rsidP="0038097A">
      <w:pPr>
        <w:rPr>
          <w:lang w:eastAsia="x-none"/>
        </w:rPr>
      </w:pPr>
      <w:r>
        <w:rPr>
          <w:lang w:eastAsia="x-none"/>
        </w:rPr>
        <w:t xml:space="preserve">(Rev of </w:t>
      </w:r>
      <w:hyperlink r:id="rId636" w:history="1">
        <w:r w:rsidR="00AF7253">
          <w:rPr>
            <w:rStyle w:val="Hyperlink"/>
            <w:lang w:eastAsia="x-none"/>
          </w:rPr>
          <w:t>R1-2310607</w:t>
        </w:r>
      </w:hyperlink>
      <w:r>
        <w:rPr>
          <w:lang w:eastAsia="x-none"/>
        </w:rPr>
        <w:t>, Rel-18, 38.213,CR0522rev1, Cat A) is agreed.</w:t>
      </w:r>
    </w:p>
    <w:p w14:paraId="48B376EB" w14:textId="77777777" w:rsidR="00137D20" w:rsidRDefault="00137D20" w:rsidP="0038097A">
      <w:pPr>
        <w:rPr>
          <w:lang w:eastAsia="x-none"/>
        </w:rPr>
      </w:pPr>
    </w:p>
    <w:p w14:paraId="3BDA337F" w14:textId="77777777" w:rsidR="00137D20" w:rsidRDefault="00137D20" w:rsidP="0038097A">
      <w:pPr>
        <w:rPr>
          <w:lang w:eastAsia="x-none"/>
        </w:rPr>
      </w:pPr>
    </w:p>
    <w:p w14:paraId="0AC488E1" w14:textId="6AF0D061" w:rsidR="00137D20" w:rsidRPr="00AF5ABD" w:rsidRDefault="00137D20" w:rsidP="00137D20">
      <w:pPr>
        <w:rPr>
          <w:lang w:eastAsia="x-none"/>
        </w:rPr>
      </w:pPr>
      <w:r>
        <w:rPr>
          <w:lang w:eastAsia="x-none"/>
        </w:rPr>
        <w:t xml:space="preserve">Final summary in </w:t>
      </w:r>
      <w:hyperlink r:id="rId637" w:history="1">
        <w:r w:rsidR="00AF7253">
          <w:rPr>
            <w:rStyle w:val="Hyperlink"/>
            <w:lang w:eastAsia="x-none"/>
          </w:rPr>
          <w:t>R1-2312474</w:t>
        </w:r>
      </w:hyperlink>
      <w:r>
        <w:rPr>
          <w:lang w:eastAsia="x-none"/>
        </w:rPr>
        <w:t>.</w:t>
      </w:r>
    </w:p>
    <w:p w14:paraId="0805ADF7" w14:textId="77777777" w:rsidR="00B32D2F" w:rsidRDefault="00B32D2F" w:rsidP="00B32D2F">
      <w:pPr>
        <w:pBdr>
          <w:bottom w:val="double" w:sz="6" w:space="1" w:color="auto"/>
        </w:pBdr>
        <w:rPr>
          <w:lang w:eastAsia="x-none"/>
        </w:rPr>
      </w:pPr>
    </w:p>
    <w:p w14:paraId="72DFBBA6" w14:textId="63D1C442" w:rsidR="00B32D2F" w:rsidRPr="004B3090" w:rsidRDefault="005A18DC" w:rsidP="00B32D2F">
      <w:pPr>
        <w:rPr>
          <w:b/>
          <w:bCs/>
        </w:rPr>
      </w:pPr>
      <w:hyperlink r:id="rId638" w:history="1">
        <w:r w:rsidR="00AF7253">
          <w:rPr>
            <w:rStyle w:val="Hyperlink"/>
            <w:b/>
            <w:bCs/>
          </w:rPr>
          <w:t>R1-2312500</w:t>
        </w:r>
      </w:hyperlink>
      <w:r w:rsidR="00B32D2F" w:rsidRPr="004B3090">
        <w:rPr>
          <w:b/>
          <w:bCs/>
        </w:rPr>
        <w:tab/>
        <w:t>Session notes for 7.2 (Maintenance on Solutions for NR to support non-terrestrial networks)</w:t>
      </w:r>
      <w:r w:rsidR="00B32D2F" w:rsidRPr="004B3090">
        <w:rPr>
          <w:b/>
          <w:bCs/>
        </w:rPr>
        <w:tab/>
        <w:t>Ad-Hoc Chair (Huawei)</w:t>
      </w:r>
    </w:p>
    <w:p w14:paraId="0C2EB177" w14:textId="77777777" w:rsidR="00B32D2F" w:rsidRPr="00D96FAE" w:rsidRDefault="00B32D2F" w:rsidP="00B32D2F">
      <w:pPr>
        <w:rPr>
          <w:lang w:eastAsia="x-none"/>
        </w:rPr>
      </w:pPr>
      <w:r w:rsidRPr="00F05EFE">
        <w:rPr>
          <w:b/>
          <w:bCs/>
        </w:rPr>
        <w:t>Friday decision:</w:t>
      </w:r>
      <w:r>
        <w:t xml:space="preserve"> The </w:t>
      </w:r>
      <w:r>
        <w:rPr>
          <w:lang w:val="en-US" w:eastAsia="x-none"/>
        </w:rPr>
        <w:t>s</w:t>
      </w:r>
      <w:r w:rsidRPr="00663F3A">
        <w:rPr>
          <w:lang w:val="en-US" w:eastAsia="x-none"/>
        </w:rPr>
        <w:t>ession notes</w:t>
      </w:r>
      <w:r>
        <w:rPr>
          <w:lang w:val="en-US" w:eastAsia="x-none"/>
        </w:rPr>
        <w:t xml:space="preserve"> are </w:t>
      </w:r>
      <w:r>
        <w:rPr>
          <w:highlight w:val="green"/>
          <w:lang w:eastAsia="x-none"/>
        </w:rPr>
        <w:t>e</w:t>
      </w:r>
      <w:r w:rsidRPr="00D96FAE">
        <w:rPr>
          <w:highlight w:val="green"/>
          <w:lang w:eastAsia="x-none"/>
        </w:rPr>
        <w:t xml:space="preserve">ndorsed </w:t>
      </w:r>
      <w:r w:rsidRPr="00D96FAE">
        <w:rPr>
          <w:lang w:eastAsia="x-none"/>
        </w:rPr>
        <w:t>and contents reflected below.</w:t>
      </w:r>
    </w:p>
    <w:p w14:paraId="5CEF9B38" w14:textId="77777777" w:rsidR="00B32D2F" w:rsidRDefault="00B32D2F" w:rsidP="00B32D2F">
      <w:pPr>
        <w:rPr>
          <w:lang w:eastAsia="x-none"/>
        </w:rPr>
      </w:pPr>
    </w:p>
    <w:p w14:paraId="316B7A47" w14:textId="77777777" w:rsidR="00835CB1" w:rsidRPr="009537ED" w:rsidRDefault="00835CB1" w:rsidP="00835CB1">
      <w:pPr>
        <w:rPr>
          <w:b/>
          <w:lang w:eastAsia="x-none"/>
        </w:rPr>
      </w:pPr>
      <w:r w:rsidRPr="009537ED">
        <w:rPr>
          <w:b/>
          <w:lang w:eastAsia="x-none"/>
        </w:rPr>
        <w:t>NR-NTN</w:t>
      </w:r>
    </w:p>
    <w:p w14:paraId="033ECAB1" w14:textId="011733C7" w:rsidR="00835CB1" w:rsidRPr="00FD3DF9" w:rsidRDefault="005A18DC" w:rsidP="00835CB1">
      <w:pPr>
        <w:rPr>
          <w:b/>
          <w:bCs/>
          <w:lang w:eastAsia="x-none"/>
        </w:rPr>
      </w:pPr>
      <w:hyperlink r:id="rId639" w:history="1">
        <w:r w:rsidR="00AF7253">
          <w:rPr>
            <w:rStyle w:val="Hyperlink"/>
            <w:b/>
            <w:bCs/>
            <w:lang w:eastAsia="x-none"/>
          </w:rPr>
          <w:t>R1-2311253</w:t>
        </w:r>
      </w:hyperlink>
      <w:r w:rsidR="00835CB1" w:rsidRPr="00FD3DF9">
        <w:rPr>
          <w:b/>
          <w:bCs/>
          <w:lang w:eastAsia="x-none"/>
        </w:rPr>
        <w:tab/>
        <w:t>Draft CR on transmission timing adjustments for Rel-17 NR-NTN</w:t>
      </w:r>
      <w:r w:rsidR="00835CB1" w:rsidRPr="00FD3DF9">
        <w:rPr>
          <w:b/>
          <w:bCs/>
          <w:lang w:eastAsia="x-none"/>
        </w:rPr>
        <w:tab/>
        <w:t>OPPO</w:t>
      </w:r>
    </w:p>
    <w:p w14:paraId="5F051DD0" w14:textId="77777777" w:rsidR="00FD3DF9" w:rsidRPr="00C676DE" w:rsidRDefault="00FD3DF9" w:rsidP="00FD3DF9">
      <w:pPr>
        <w:rPr>
          <w:highlight w:val="green"/>
          <w:lang w:eastAsia="x-none"/>
        </w:rPr>
      </w:pPr>
      <w:r w:rsidRPr="00C676DE">
        <w:rPr>
          <w:highlight w:val="green"/>
          <w:lang w:eastAsia="x-none"/>
        </w:rPr>
        <w:t>Agreement</w:t>
      </w:r>
    </w:p>
    <w:p w14:paraId="62559704" w14:textId="50BFD286" w:rsidR="00FD3DF9" w:rsidRDefault="00FD3DF9" w:rsidP="00137D20">
      <w:pPr>
        <w:pStyle w:val="ListParagraph"/>
        <w:numPr>
          <w:ilvl w:val="0"/>
          <w:numId w:val="80"/>
        </w:numPr>
        <w:rPr>
          <w:lang w:eastAsia="x-none"/>
        </w:rPr>
      </w:pPr>
      <w:r w:rsidRPr="00C676DE">
        <w:rPr>
          <w:lang w:eastAsia="x-none"/>
        </w:rPr>
        <w:t xml:space="preserve">The draft CR in </w:t>
      </w:r>
      <w:hyperlink r:id="rId640" w:history="1">
        <w:r w:rsidR="00AF7253">
          <w:rPr>
            <w:rStyle w:val="Hyperlink"/>
            <w:lang w:eastAsia="x-none"/>
          </w:rPr>
          <w:t>R1-2311253</w:t>
        </w:r>
      </w:hyperlink>
      <w:r w:rsidRPr="00C676DE">
        <w:rPr>
          <w:lang w:eastAsia="x-none"/>
        </w:rPr>
        <w:t xml:space="preserve"> is endorsed.</w:t>
      </w:r>
    </w:p>
    <w:p w14:paraId="493805B7" w14:textId="77777777" w:rsidR="00137D20" w:rsidRPr="00137D20" w:rsidRDefault="00FD3DF9" w:rsidP="00FD3DF9">
      <w:pPr>
        <w:rPr>
          <w:lang w:eastAsia="x-none"/>
        </w:rPr>
      </w:pPr>
      <w:r w:rsidRPr="00137D20">
        <w:rPr>
          <w:lang w:eastAsia="x-none"/>
        </w:rPr>
        <w:t>Final CR</w:t>
      </w:r>
      <w:r w:rsidR="00137D20" w:rsidRPr="00137D20">
        <w:rPr>
          <w:lang w:eastAsia="x-none"/>
        </w:rPr>
        <w:t>s in:</w:t>
      </w:r>
    </w:p>
    <w:p w14:paraId="657D4C09" w14:textId="4A54A5C1" w:rsidR="00137D20" w:rsidRPr="00137D20" w:rsidRDefault="005A18DC" w:rsidP="00137D20">
      <w:pPr>
        <w:rPr>
          <w:b/>
          <w:bCs/>
          <w:lang w:eastAsia="x-none"/>
        </w:rPr>
      </w:pPr>
      <w:hyperlink r:id="rId641" w:history="1">
        <w:r w:rsidR="00AF7253">
          <w:rPr>
            <w:rStyle w:val="Hyperlink"/>
            <w:b/>
            <w:bCs/>
            <w:highlight w:val="green"/>
            <w:lang w:eastAsia="x-none"/>
          </w:rPr>
          <w:t>R1-2312461</w:t>
        </w:r>
      </w:hyperlink>
      <w:r w:rsidR="00137D20" w:rsidRPr="00137D20">
        <w:rPr>
          <w:b/>
          <w:bCs/>
          <w:lang w:eastAsia="x-none"/>
        </w:rPr>
        <w:tab/>
        <w:t>CR on transmission timing adjustments for Rel-17 NR-NTN</w:t>
      </w:r>
      <w:r w:rsidR="00137D20" w:rsidRPr="00137D20">
        <w:rPr>
          <w:b/>
          <w:bCs/>
          <w:lang w:eastAsia="x-none"/>
        </w:rPr>
        <w:tab/>
        <w:t>OPPO, THALES, ZTE</w:t>
      </w:r>
    </w:p>
    <w:p w14:paraId="5870572D" w14:textId="77777777" w:rsidR="00137D20" w:rsidRDefault="00137D20" w:rsidP="00137D20">
      <w:pPr>
        <w:rPr>
          <w:lang w:eastAsia="x-none"/>
        </w:rPr>
      </w:pPr>
      <w:r>
        <w:rPr>
          <w:lang w:eastAsia="x-none"/>
        </w:rPr>
        <w:t>(Rel-17, 38.213, CR0542, Cat F) is agreed.</w:t>
      </w:r>
    </w:p>
    <w:p w14:paraId="0797EB64" w14:textId="7E79A2C4" w:rsidR="00137D20" w:rsidRPr="00137D20" w:rsidRDefault="005A18DC" w:rsidP="00137D20">
      <w:pPr>
        <w:rPr>
          <w:b/>
          <w:bCs/>
          <w:lang w:eastAsia="x-none"/>
        </w:rPr>
      </w:pPr>
      <w:hyperlink r:id="rId642" w:history="1">
        <w:r w:rsidR="00AF7253">
          <w:rPr>
            <w:rStyle w:val="Hyperlink"/>
            <w:b/>
            <w:bCs/>
            <w:highlight w:val="green"/>
            <w:lang w:eastAsia="x-none"/>
          </w:rPr>
          <w:t>R1-2312462</w:t>
        </w:r>
      </w:hyperlink>
      <w:r w:rsidR="00137D20" w:rsidRPr="00137D20">
        <w:rPr>
          <w:b/>
          <w:bCs/>
          <w:lang w:eastAsia="x-none"/>
        </w:rPr>
        <w:tab/>
        <w:t>CR on transmission timing adjustments for Rel-17 NR-NTN</w:t>
      </w:r>
      <w:r w:rsidR="00137D20" w:rsidRPr="00137D20">
        <w:rPr>
          <w:b/>
          <w:bCs/>
          <w:lang w:eastAsia="x-none"/>
        </w:rPr>
        <w:tab/>
        <w:t>OPPO, THALES, ZTE</w:t>
      </w:r>
    </w:p>
    <w:p w14:paraId="2214F6EA" w14:textId="068150F6" w:rsidR="00137D20" w:rsidRDefault="00137D20" w:rsidP="00137D20">
      <w:pPr>
        <w:rPr>
          <w:lang w:eastAsia="x-none"/>
        </w:rPr>
      </w:pPr>
      <w:r>
        <w:rPr>
          <w:lang w:eastAsia="x-none"/>
        </w:rPr>
        <w:t>(Rel-18, 38.213, CR0543, Cat A) is agreed.</w:t>
      </w:r>
    </w:p>
    <w:p w14:paraId="6F229FEA" w14:textId="77777777" w:rsidR="00B32D2F" w:rsidRDefault="00B32D2F" w:rsidP="00B32D2F">
      <w:pPr>
        <w:pBdr>
          <w:bottom w:val="double" w:sz="6" w:space="1" w:color="auto"/>
        </w:pBdr>
        <w:rPr>
          <w:lang w:eastAsia="x-none"/>
        </w:rPr>
      </w:pPr>
    </w:p>
    <w:p w14:paraId="13113D8C" w14:textId="00A8B4B7" w:rsidR="00B32D2F" w:rsidRPr="004B3090" w:rsidRDefault="005A18DC" w:rsidP="00B32D2F">
      <w:pPr>
        <w:rPr>
          <w:b/>
          <w:bCs/>
        </w:rPr>
      </w:pPr>
      <w:hyperlink r:id="rId643" w:history="1">
        <w:r w:rsidR="00AF7253">
          <w:rPr>
            <w:rStyle w:val="Hyperlink"/>
            <w:b/>
            <w:bCs/>
          </w:rPr>
          <w:t>R1-2312502</w:t>
        </w:r>
      </w:hyperlink>
      <w:r w:rsidR="00B32D2F" w:rsidRPr="004B3090">
        <w:rPr>
          <w:b/>
          <w:bCs/>
        </w:rPr>
        <w:tab/>
        <w:t>Session notes for 7.2 (Maintenance on NR positioning enhancements)</w:t>
      </w:r>
      <w:r w:rsidR="00B32D2F" w:rsidRPr="004B3090">
        <w:rPr>
          <w:b/>
          <w:bCs/>
        </w:rPr>
        <w:tab/>
        <w:t>Ad-Hoc Chair (Huawei)</w:t>
      </w:r>
    </w:p>
    <w:p w14:paraId="1772D40B" w14:textId="77777777" w:rsidR="00B32D2F" w:rsidRPr="00D96FAE" w:rsidRDefault="00B32D2F" w:rsidP="00B32D2F">
      <w:pPr>
        <w:rPr>
          <w:lang w:eastAsia="x-none"/>
        </w:rPr>
      </w:pPr>
      <w:r w:rsidRPr="00F05EFE">
        <w:rPr>
          <w:b/>
          <w:bCs/>
        </w:rPr>
        <w:t>Friday decision:</w:t>
      </w:r>
      <w:r>
        <w:t xml:space="preserve"> The </w:t>
      </w:r>
      <w:r>
        <w:rPr>
          <w:lang w:val="en-US" w:eastAsia="x-none"/>
        </w:rPr>
        <w:t>s</w:t>
      </w:r>
      <w:r w:rsidRPr="00663F3A">
        <w:rPr>
          <w:lang w:val="en-US" w:eastAsia="x-none"/>
        </w:rPr>
        <w:t>ession notes</w:t>
      </w:r>
      <w:r>
        <w:rPr>
          <w:lang w:val="en-US" w:eastAsia="x-none"/>
        </w:rPr>
        <w:t xml:space="preserve"> are </w:t>
      </w:r>
      <w:r>
        <w:rPr>
          <w:highlight w:val="green"/>
          <w:lang w:eastAsia="x-none"/>
        </w:rPr>
        <w:t>e</w:t>
      </w:r>
      <w:r w:rsidRPr="00D96FAE">
        <w:rPr>
          <w:highlight w:val="green"/>
          <w:lang w:eastAsia="x-none"/>
        </w:rPr>
        <w:t xml:space="preserve">ndorsed </w:t>
      </w:r>
      <w:r w:rsidRPr="00D96FAE">
        <w:rPr>
          <w:lang w:eastAsia="x-none"/>
        </w:rPr>
        <w:t>and contents reflected below.</w:t>
      </w:r>
    </w:p>
    <w:p w14:paraId="1E5DB56B" w14:textId="77777777" w:rsidR="00B32D2F" w:rsidRDefault="00B32D2F" w:rsidP="00B32D2F">
      <w:pPr>
        <w:rPr>
          <w:lang w:eastAsia="x-none"/>
        </w:rPr>
      </w:pPr>
    </w:p>
    <w:p w14:paraId="59774362" w14:textId="77777777" w:rsidR="00835CB1" w:rsidRDefault="00835CB1" w:rsidP="00835CB1">
      <w:pPr>
        <w:rPr>
          <w:b/>
          <w:lang w:eastAsia="x-none"/>
        </w:rPr>
      </w:pPr>
      <w:r w:rsidRPr="009537ED">
        <w:rPr>
          <w:b/>
          <w:lang w:eastAsia="x-none"/>
        </w:rPr>
        <w:t>Positioning</w:t>
      </w:r>
    </w:p>
    <w:p w14:paraId="526A8F29" w14:textId="4F790AE1" w:rsidR="007A42F2" w:rsidRPr="009537ED" w:rsidRDefault="005A18DC" w:rsidP="007A42F2">
      <w:pPr>
        <w:rPr>
          <w:lang w:eastAsia="x-none"/>
        </w:rPr>
      </w:pPr>
      <w:hyperlink r:id="rId644" w:history="1">
        <w:r w:rsidR="00AF7253">
          <w:rPr>
            <w:rStyle w:val="Hyperlink"/>
            <w:lang w:eastAsia="x-none"/>
          </w:rPr>
          <w:t>R1-2311822</w:t>
        </w:r>
      </w:hyperlink>
      <w:r w:rsidR="007A42F2" w:rsidRPr="009537ED">
        <w:rPr>
          <w:lang w:eastAsia="x-none"/>
        </w:rPr>
        <w:tab/>
        <w:t>Discussion on colliding SRS transmission symbol drop</w:t>
      </w:r>
      <w:r w:rsidR="007A42F2" w:rsidRPr="009537ED">
        <w:rPr>
          <w:lang w:eastAsia="x-none"/>
        </w:rPr>
        <w:tab/>
        <w:t>Samsung</w:t>
      </w:r>
    </w:p>
    <w:p w14:paraId="5D03000B" w14:textId="5AD5FB04" w:rsidR="007A42F2" w:rsidRPr="009537ED" w:rsidRDefault="005A18DC" w:rsidP="007A42F2">
      <w:pPr>
        <w:rPr>
          <w:lang w:eastAsia="x-none"/>
        </w:rPr>
      </w:pPr>
      <w:hyperlink r:id="rId645" w:history="1">
        <w:r w:rsidR="00AF7253">
          <w:rPr>
            <w:rStyle w:val="Hyperlink"/>
            <w:lang w:eastAsia="x-none"/>
          </w:rPr>
          <w:t>R1-2311823</w:t>
        </w:r>
      </w:hyperlink>
      <w:r w:rsidR="007A42F2" w:rsidRPr="009537ED">
        <w:rPr>
          <w:lang w:eastAsia="x-none"/>
        </w:rPr>
        <w:tab/>
        <w:t>Draft CR on</w:t>
      </w:r>
      <w:r w:rsidR="007A42F2">
        <w:rPr>
          <w:lang w:eastAsia="x-none"/>
        </w:rPr>
        <w:t xml:space="preserve"> </w:t>
      </w:r>
      <w:r w:rsidR="007A42F2" w:rsidRPr="009537ED">
        <w:rPr>
          <w:lang w:eastAsia="x-none"/>
        </w:rPr>
        <w:t>colliding SRS transmission symbol drop</w:t>
      </w:r>
      <w:r w:rsidR="007A42F2" w:rsidRPr="009537ED">
        <w:rPr>
          <w:lang w:eastAsia="x-none"/>
        </w:rPr>
        <w:tab/>
        <w:t>Samsung</w:t>
      </w:r>
    </w:p>
    <w:p w14:paraId="78AD7DB4" w14:textId="01CD861C" w:rsidR="007F55FB" w:rsidRDefault="005A18DC" w:rsidP="007F55FB">
      <w:pPr>
        <w:rPr>
          <w:lang w:eastAsia="x-none"/>
        </w:rPr>
      </w:pPr>
      <w:hyperlink r:id="rId646" w:history="1">
        <w:r w:rsidR="00AF7253">
          <w:rPr>
            <w:rStyle w:val="Hyperlink"/>
            <w:lang w:eastAsia="x-none"/>
          </w:rPr>
          <w:t>R1-2312455</w:t>
        </w:r>
      </w:hyperlink>
      <w:r w:rsidR="007F55FB">
        <w:rPr>
          <w:lang w:eastAsia="x-none"/>
        </w:rPr>
        <w:tab/>
        <w:t>FLS#1 on colliding SRS transmission symbol drop</w:t>
      </w:r>
      <w:r w:rsidR="007F55FB">
        <w:rPr>
          <w:lang w:eastAsia="x-none"/>
        </w:rPr>
        <w:tab/>
        <w:t>Moderator (Samsung)</w:t>
      </w:r>
    </w:p>
    <w:p w14:paraId="32BC58B4" w14:textId="5820A3D4" w:rsidR="007F55FB" w:rsidRPr="007F55FB" w:rsidRDefault="005A18DC" w:rsidP="007F55FB">
      <w:pPr>
        <w:rPr>
          <w:b/>
          <w:bCs/>
          <w:lang w:eastAsia="x-none"/>
        </w:rPr>
      </w:pPr>
      <w:hyperlink r:id="rId647" w:history="1">
        <w:r w:rsidR="00AF7253">
          <w:rPr>
            <w:rStyle w:val="Hyperlink"/>
            <w:b/>
            <w:bCs/>
            <w:lang w:eastAsia="x-none"/>
          </w:rPr>
          <w:t>R1-2312527</w:t>
        </w:r>
      </w:hyperlink>
      <w:r w:rsidR="007F55FB" w:rsidRPr="007F55FB">
        <w:rPr>
          <w:b/>
          <w:bCs/>
          <w:lang w:eastAsia="x-none"/>
        </w:rPr>
        <w:tab/>
        <w:t>FLS#2 on colliding SRS transmission symbol drop</w:t>
      </w:r>
      <w:r w:rsidR="007F55FB" w:rsidRPr="007F55FB">
        <w:rPr>
          <w:b/>
          <w:bCs/>
          <w:lang w:eastAsia="x-none"/>
        </w:rPr>
        <w:tab/>
        <w:t>Moderator (Samsung)</w:t>
      </w:r>
    </w:p>
    <w:p w14:paraId="6BA47485" w14:textId="77777777" w:rsidR="007F55FB" w:rsidRPr="00C676DE" w:rsidRDefault="007F55FB" w:rsidP="007F55FB">
      <w:pPr>
        <w:rPr>
          <w:highlight w:val="green"/>
          <w:lang w:eastAsia="x-none"/>
        </w:rPr>
      </w:pPr>
      <w:r w:rsidRPr="00C676DE">
        <w:rPr>
          <w:highlight w:val="green"/>
          <w:lang w:eastAsia="x-none"/>
        </w:rPr>
        <w:t>Agreement</w:t>
      </w:r>
    </w:p>
    <w:p w14:paraId="655486F2" w14:textId="1280BDF8" w:rsidR="007A42F2" w:rsidRPr="007A42F2" w:rsidRDefault="007A42F2" w:rsidP="007F55FB">
      <w:pPr>
        <w:pStyle w:val="ListParagraph"/>
        <w:numPr>
          <w:ilvl w:val="0"/>
          <w:numId w:val="80"/>
        </w:numPr>
        <w:rPr>
          <w:lang w:eastAsia="x-none"/>
        </w:rPr>
      </w:pPr>
      <w:r w:rsidRPr="007A42F2">
        <w:rPr>
          <w:lang w:eastAsia="x-none"/>
        </w:rPr>
        <w:t xml:space="preserve">The TP in section 2.2 of </w:t>
      </w:r>
      <w:hyperlink r:id="rId648" w:history="1">
        <w:r w:rsidR="00AF7253">
          <w:rPr>
            <w:rStyle w:val="Hyperlink"/>
            <w:lang w:eastAsia="x-none"/>
          </w:rPr>
          <w:t>R1-2312527</w:t>
        </w:r>
      </w:hyperlink>
      <w:r w:rsidRPr="007A42F2">
        <w:rPr>
          <w:lang w:eastAsia="x-none"/>
        </w:rPr>
        <w:t xml:space="preserve"> is endorsed.</w:t>
      </w:r>
    </w:p>
    <w:p w14:paraId="384C8942" w14:textId="77DA568C" w:rsidR="007A42F2" w:rsidRDefault="00085A6C" w:rsidP="007A42F2">
      <w:pPr>
        <w:rPr>
          <w:lang w:eastAsia="x-none"/>
        </w:rPr>
      </w:pPr>
      <w:r w:rsidRPr="00085A6C">
        <w:rPr>
          <w:lang w:eastAsia="x-none"/>
        </w:rPr>
        <w:t>From</w:t>
      </w:r>
      <w:r>
        <w:rPr>
          <w:lang w:eastAsia="x-none"/>
        </w:rPr>
        <w:t xml:space="preserve"> </w:t>
      </w:r>
      <w:r w:rsidR="007A42F2" w:rsidRPr="00085A6C">
        <w:rPr>
          <w:lang w:eastAsia="x-none"/>
        </w:rPr>
        <w:t>Thursday</w:t>
      </w:r>
      <w:r w:rsidRPr="00085A6C">
        <w:rPr>
          <w:lang w:eastAsia="x-none"/>
        </w:rPr>
        <w:t xml:space="preserve"> session</w:t>
      </w:r>
    </w:p>
    <w:p w14:paraId="32AF5DC8" w14:textId="6671E5F4" w:rsidR="007F55FB" w:rsidRPr="00085A6C" w:rsidRDefault="005A18DC" w:rsidP="007F55FB">
      <w:pPr>
        <w:rPr>
          <w:b/>
          <w:bCs/>
          <w:lang w:eastAsia="x-none"/>
        </w:rPr>
      </w:pPr>
      <w:hyperlink r:id="rId649" w:history="1">
        <w:r w:rsidR="00AF7253">
          <w:rPr>
            <w:rStyle w:val="Hyperlink"/>
            <w:b/>
            <w:bCs/>
            <w:lang w:eastAsia="x-none"/>
          </w:rPr>
          <w:t>R1-2312593</w:t>
        </w:r>
      </w:hyperlink>
      <w:r w:rsidR="007F55FB" w:rsidRPr="00085A6C">
        <w:rPr>
          <w:b/>
          <w:bCs/>
          <w:lang w:eastAsia="x-none"/>
        </w:rPr>
        <w:tab/>
        <w:t>Correction to   the SRS transmission collision</w:t>
      </w:r>
      <w:r w:rsidR="007F55FB" w:rsidRPr="00085A6C">
        <w:rPr>
          <w:b/>
          <w:bCs/>
          <w:lang w:eastAsia="x-none"/>
        </w:rPr>
        <w:tab/>
        <w:t>Moderator (Samsung)</w:t>
      </w:r>
    </w:p>
    <w:p w14:paraId="7EC3BDAC" w14:textId="77777777" w:rsidR="00085A6C" w:rsidRPr="00085A6C" w:rsidRDefault="00085A6C" w:rsidP="00085A6C">
      <w:pPr>
        <w:rPr>
          <w:lang w:eastAsia="x-none"/>
        </w:rPr>
      </w:pPr>
      <w:r w:rsidRPr="00085A6C">
        <w:rPr>
          <w:highlight w:val="green"/>
          <w:lang w:eastAsia="x-none"/>
        </w:rPr>
        <w:t>Agreement</w:t>
      </w:r>
    </w:p>
    <w:p w14:paraId="36506499" w14:textId="2D6388FC" w:rsidR="00085A6C" w:rsidRPr="00085A6C" w:rsidRDefault="00085A6C" w:rsidP="00085A6C">
      <w:pPr>
        <w:rPr>
          <w:lang w:eastAsia="x-none"/>
        </w:rPr>
      </w:pPr>
      <w:r w:rsidRPr="00085A6C">
        <w:rPr>
          <w:lang w:eastAsia="x-none"/>
        </w:rPr>
        <w:t xml:space="preserve">The draft CR in </w:t>
      </w:r>
      <w:hyperlink r:id="rId650" w:history="1">
        <w:r w:rsidR="00AF7253">
          <w:rPr>
            <w:rStyle w:val="Hyperlink"/>
            <w:lang w:eastAsia="x-none"/>
          </w:rPr>
          <w:t>R1-2312593</w:t>
        </w:r>
      </w:hyperlink>
      <w:r w:rsidRPr="00085A6C">
        <w:rPr>
          <w:lang w:eastAsia="x-none"/>
        </w:rPr>
        <w:t xml:space="preserve"> is endorsed, with ticking the ME box, and with revisions for the following typos:</w:t>
      </w:r>
    </w:p>
    <w:tbl>
      <w:tblPr>
        <w:tblW w:w="5000" w:type="pct"/>
        <w:tblCellMar>
          <w:left w:w="42" w:type="dxa"/>
          <w:right w:w="42" w:type="dxa"/>
        </w:tblCellMar>
        <w:tblLook w:val="0000" w:firstRow="0" w:lastRow="0" w:firstColumn="0" w:lastColumn="0" w:noHBand="0" w:noVBand="0"/>
      </w:tblPr>
      <w:tblGrid>
        <w:gridCol w:w="2577"/>
        <w:gridCol w:w="7974"/>
      </w:tblGrid>
      <w:tr w:rsidR="00085A6C" w:rsidRPr="00085A6C" w14:paraId="7CFAC428" w14:textId="77777777" w:rsidTr="00085A6C">
        <w:tc>
          <w:tcPr>
            <w:tcW w:w="1221" w:type="pct"/>
            <w:tcBorders>
              <w:top w:val="single" w:sz="4" w:space="0" w:color="auto"/>
              <w:left w:val="single" w:sz="4" w:space="0" w:color="auto"/>
            </w:tcBorders>
          </w:tcPr>
          <w:p w14:paraId="610ED61D" w14:textId="77777777" w:rsidR="00085A6C" w:rsidRPr="00085A6C" w:rsidRDefault="00085A6C" w:rsidP="00085A6C">
            <w:pPr>
              <w:tabs>
                <w:tab w:val="right" w:pos="2184"/>
              </w:tabs>
              <w:rPr>
                <w:rFonts w:ascii="Arial" w:eastAsia="MS Mincho" w:hAnsi="Arial"/>
                <w:b/>
                <w:i/>
                <w:noProof/>
                <w:sz w:val="16"/>
                <w:szCs w:val="16"/>
              </w:rPr>
            </w:pPr>
            <w:r w:rsidRPr="00085A6C">
              <w:rPr>
                <w:rFonts w:ascii="Arial" w:eastAsia="MS Mincho" w:hAnsi="Arial"/>
                <w:b/>
                <w:i/>
                <w:noProof/>
                <w:sz w:val="16"/>
                <w:szCs w:val="16"/>
              </w:rPr>
              <w:t>Reason for change:</w:t>
            </w:r>
          </w:p>
        </w:tc>
        <w:tc>
          <w:tcPr>
            <w:tcW w:w="3779" w:type="pct"/>
            <w:tcBorders>
              <w:top w:val="single" w:sz="4" w:space="0" w:color="auto"/>
              <w:right w:val="single" w:sz="4" w:space="0" w:color="auto"/>
            </w:tcBorders>
            <w:shd w:val="pct30" w:color="FFFF00" w:fill="auto"/>
          </w:tcPr>
          <w:p w14:paraId="1138F5EC" w14:textId="77777777" w:rsidR="00085A6C" w:rsidRPr="00085A6C" w:rsidRDefault="00085A6C" w:rsidP="00085A6C">
            <w:pPr>
              <w:ind w:left="100"/>
              <w:rPr>
                <w:rFonts w:ascii="Arial" w:eastAsia="MS Mincho" w:hAnsi="Arial"/>
                <w:noProof/>
                <w:sz w:val="16"/>
                <w:szCs w:val="16"/>
              </w:rPr>
            </w:pPr>
            <w:r w:rsidRPr="00085A6C">
              <w:rPr>
                <w:rFonts w:ascii="Arial" w:eastAsia="MS Mincho" w:hAnsi="Arial"/>
                <w:noProof/>
                <w:sz w:val="16"/>
                <w:szCs w:val="16"/>
              </w:rPr>
              <w:t xml:space="preserve">The collision determination between SRS transmission (with switching time) and the other UL signals/channels are actually impacting each of the SRS transmission symbol, instead of the symbol group (if the SRS transmission has </w:t>
            </w:r>
            <w:r w:rsidRPr="00085A6C">
              <w:rPr>
                <w:rFonts w:ascii="Arial" w:eastAsia="MS Mincho" w:hAnsi="Arial"/>
                <w:noProof/>
                <w:color w:val="FF0000"/>
                <w:sz w:val="16"/>
                <w:szCs w:val="16"/>
              </w:rPr>
              <w:t xml:space="preserve">mulitple </w:t>
            </w:r>
            <w:r w:rsidRPr="00085A6C">
              <w:rPr>
                <w:rFonts w:ascii="Arial" w:eastAsia="MS Mincho" w:hAnsi="Arial"/>
                <w:noProof/>
                <w:sz w:val="16"/>
                <w:szCs w:val="16"/>
              </w:rPr>
              <w:t xml:space="preserve">consecutive symbols). </w:t>
            </w:r>
          </w:p>
          <w:p w14:paraId="513F1AFA" w14:textId="77777777" w:rsidR="00085A6C" w:rsidRPr="00085A6C" w:rsidRDefault="00085A6C" w:rsidP="00085A6C">
            <w:pPr>
              <w:ind w:left="100"/>
              <w:rPr>
                <w:rFonts w:ascii="Arial" w:eastAsia="MS Mincho" w:hAnsi="Arial"/>
                <w:noProof/>
                <w:sz w:val="16"/>
                <w:szCs w:val="16"/>
              </w:rPr>
            </w:pPr>
            <w:r w:rsidRPr="00085A6C">
              <w:rPr>
                <w:rFonts w:ascii="Arial" w:eastAsia="MS Mincho" w:hAnsi="Arial"/>
                <w:noProof/>
                <w:sz w:val="16"/>
                <w:szCs w:val="16"/>
              </w:rPr>
              <w:t xml:space="preserve">In </w:t>
            </w:r>
            <w:r w:rsidRPr="00085A6C">
              <w:rPr>
                <w:rFonts w:ascii="Arial" w:eastAsia="MS Mincho" w:hAnsi="Arial"/>
                <w:noProof/>
                <w:color w:val="FF0000"/>
                <w:sz w:val="16"/>
                <w:szCs w:val="16"/>
              </w:rPr>
              <w:t>addtion</w:t>
            </w:r>
            <w:r w:rsidRPr="00085A6C">
              <w:rPr>
                <w:rFonts w:ascii="Arial" w:eastAsia="MS Mincho" w:hAnsi="Arial"/>
                <w:noProof/>
                <w:sz w:val="16"/>
                <w:szCs w:val="16"/>
              </w:rPr>
              <w:t>, in some cases, the colliding symbol is the symbol for switching time, but the RAN1 intention is to drop the related SRS symbol instead of the switching time symbol.</w:t>
            </w:r>
          </w:p>
        </w:tc>
      </w:tr>
      <w:tr w:rsidR="00085A6C" w:rsidRPr="00085A6C" w14:paraId="4E6E14B2" w14:textId="77777777" w:rsidTr="00085A6C">
        <w:tc>
          <w:tcPr>
            <w:tcW w:w="1221" w:type="pct"/>
            <w:tcBorders>
              <w:left w:val="single" w:sz="4" w:space="0" w:color="auto"/>
            </w:tcBorders>
          </w:tcPr>
          <w:p w14:paraId="3B441C7B" w14:textId="77777777" w:rsidR="00085A6C" w:rsidRPr="00085A6C" w:rsidRDefault="00085A6C" w:rsidP="00085A6C">
            <w:pPr>
              <w:rPr>
                <w:rFonts w:ascii="Arial" w:eastAsia="MS Mincho" w:hAnsi="Arial"/>
                <w:b/>
                <w:i/>
                <w:noProof/>
                <w:sz w:val="16"/>
                <w:szCs w:val="16"/>
              </w:rPr>
            </w:pPr>
          </w:p>
        </w:tc>
        <w:tc>
          <w:tcPr>
            <w:tcW w:w="3779" w:type="pct"/>
            <w:tcBorders>
              <w:right w:val="single" w:sz="4" w:space="0" w:color="auto"/>
            </w:tcBorders>
          </w:tcPr>
          <w:p w14:paraId="3F056E87" w14:textId="77777777" w:rsidR="00085A6C" w:rsidRPr="00085A6C" w:rsidRDefault="00085A6C" w:rsidP="00085A6C">
            <w:pPr>
              <w:rPr>
                <w:rFonts w:ascii="Arial" w:eastAsia="MS Mincho" w:hAnsi="Arial"/>
                <w:noProof/>
                <w:sz w:val="16"/>
                <w:szCs w:val="16"/>
              </w:rPr>
            </w:pPr>
          </w:p>
        </w:tc>
      </w:tr>
      <w:tr w:rsidR="00085A6C" w:rsidRPr="00085A6C" w14:paraId="17270C94" w14:textId="77777777" w:rsidTr="00085A6C">
        <w:tc>
          <w:tcPr>
            <w:tcW w:w="1221" w:type="pct"/>
            <w:tcBorders>
              <w:left w:val="single" w:sz="4" w:space="0" w:color="auto"/>
            </w:tcBorders>
          </w:tcPr>
          <w:p w14:paraId="701CE0D4" w14:textId="77777777" w:rsidR="00085A6C" w:rsidRPr="00085A6C" w:rsidRDefault="00085A6C" w:rsidP="00085A6C">
            <w:pPr>
              <w:tabs>
                <w:tab w:val="right" w:pos="2184"/>
              </w:tabs>
              <w:rPr>
                <w:rFonts w:ascii="Arial" w:eastAsia="MS Mincho" w:hAnsi="Arial"/>
                <w:b/>
                <w:i/>
                <w:noProof/>
                <w:sz w:val="16"/>
                <w:szCs w:val="16"/>
              </w:rPr>
            </w:pPr>
            <w:r w:rsidRPr="00085A6C">
              <w:rPr>
                <w:rFonts w:ascii="Arial" w:eastAsia="MS Mincho" w:hAnsi="Arial"/>
                <w:b/>
                <w:i/>
                <w:noProof/>
                <w:sz w:val="16"/>
                <w:szCs w:val="16"/>
              </w:rPr>
              <w:t>Summary of change:</w:t>
            </w:r>
          </w:p>
        </w:tc>
        <w:tc>
          <w:tcPr>
            <w:tcW w:w="3779" w:type="pct"/>
            <w:tcBorders>
              <w:right w:val="single" w:sz="4" w:space="0" w:color="auto"/>
            </w:tcBorders>
            <w:shd w:val="pct30" w:color="FFFF00" w:fill="auto"/>
          </w:tcPr>
          <w:p w14:paraId="1EEA2200" w14:textId="77777777" w:rsidR="00085A6C" w:rsidRPr="00085A6C" w:rsidRDefault="00085A6C" w:rsidP="00085A6C">
            <w:pPr>
              <w:ind w:left="100"/>
              <w:rPr>
                <w:rFonts w:ascii="Arial" w:eastAsia="MS Mincho" w:hAnsi="Arial"/>
                <w:noProof/>
                <w:sz w:val="16"/>
                <w:szCs w:val="16"/>
              </w:rPr>
            </w:pPr>
            <w:r w:rsidRPr="00085A6C">
              <w:rPr>
                <w:rFonts w:ascii="Arial" w:eastAsia="MS Mincho" w:hAnsi="Arial"/>
                <w:noProof/>
                <w:sz w:val="16"/>
                <w:szCs w:val="16"/>
              </w:rPr>
              <w:t xml:space="preserve">Correct the dropping description is per symbol basis. No intended change of the UE </w:t>
            </w:r>
            <w:r w:rsidRPr="00085A6C">
              <w:rPr>
                <w:rFonts w:ascii="Arial" w:eastAsia="MS Mincho" w:hAnsi="Arial"/>
                <w:noProof/>
                <w:color w:val="FF0000"/>
                <w:sz w:val="16"/>
                <w:szCs w:val="16"/>
              </w:rPr>
              <w:t>behaivor</w:t>
            </w:r>
            <w:r w:rsidRPr="00085A6C">
              <w:rPr>
                <w:rFonts w:ascii="Arial" w:eastAsia="MS Mincho" w:hAnsi="Arial"/>
                <w:noProof/>
                <w:sz w:val="16"/>
                <w:szCs w:val="16"/>
              </w:rPr>
              <w:t xml:space="preserve">.  </w:t>
            </w:r>
          </w:p>
        </w:tc>
      </w:tr>
      <w:tr w:rsidR="00085A6C" w:rsidRPr="00085A6C" w14:paraId="78720C8C" w14:textId="77777777" w:rsidTr="00085A6C">
        <w:tc>
          <w:tcPr>
            <w:tcW w:w="1221" w:type="pct"/>
            <w:tcBorders>
              <w:left w:val="single" w:sz="4" w:space="0" w:color="auto"/>
            </w:tcBorders>
          </w:tcPr>
          <w:p w14:paraId="501A548B" w14:textId="77777777" w:rsidR="00085A6C" w:rsidRPr="00085A6C" w:rsidRDefault="00085A6C" w:rsidP="00085A6C">
            <w:pPr>
              <w:rPr>
                <w:rFonts w:ascii="Arial" w:eastAsia="MS Mincho" w:hAnsi="Arial"/>
                <w:b/>
                <w:i/>
                <w:noProof/>
                <w:sz w:val="16"/>
                <w:szCs w:val="16"/>
              </w:rPr>
            </w:pPr>
          </w:p>
        </w:tc>
        <w:tc>
          <w:tcPr>
            <w:tcW w:w="3779" w:type="pct"/>
            <w:tcBorders>
              <w:right w:val="single" w:sz="4" w:space="0" w:color="auto"/>
            </w:tcBorders>
          </w:tcPr>
          <w:p w14:paraId="1D2A3CFA" w14:textId="77777777" w:rsidR="00085A6C" w:rsidRPr="00085A6C" w:rsidRDefault="00085A6C" w:rsidP="00085A6C">
            <w:pPr>
              <w:rPr>
                <w:rFonts w:ascii="Arial" w:eastAsia="MS Mincho" w:hAnsi="Arial"/>
                <w:noProof/>
                <w:sz w:val="16"/>
                <w:szCs w:val="16"/>
              </w:rPr>
            </w:pPr>
          </w:p>
        </w:tc>
      </w:tr>
      <w:tr w:rsidR="00085A6C" w:rsidRPr="00085A6C" w14:paraId="1D02572E" w14:textId="77777777" w:rsidTr="00085A6C">
        <w:tc>
          <w:tcPr>
            <w:tcW w:w="1221" w:type="pct"/>
            <w:tcBorders>
              <w:left w:val="single" w:sz="4" w:space="0" w:color="auto"/>
              <w:bottom w:val="single" w:sz="4" w:space="0" w:color="auto"/>
            </w:tcBorders>
          </w:tcPr>
          <w:p w14:paraId="4A584CDF" w14:textId="77777777" w:rsidR="00085A6C" w:rsidRPr="00085A6C" w:rsidRDefault="00085A6C" w:rsidP="00085A6C">
            <w:pPr>
              <w:tabs>
                <w:tab w:val="right" w:pos="2184"/>
              </w:tabs>
              <w:rPr>
                <w:rFonts w:ascii="Arial" w:eastAsia="MS Mincho" w:hAnsi="Arial"/>
                <w:b/>
                <w:i/>
                <w:noProof/>
                <w:sz w:val="16"/>
                <w:szCs w:val="16"/>
              </w:rPr>
            </w:pPr>
            <w:r w:rsidRPr="00085A6C">
              <w:rPr>
                <w:rFonts w:ascii="Arial" w:eastAsia="MS Mincho" w:hAnsi="Arial"/>
                <w:b/>
                <w:i/>
                <w:noProof/>
                <w:sz w:val="16"/>
                <w:szCs w:val="16"/>
              </w:rPr>
              <w:t>Consequences if not approved:</w:t>
            </w:r>
          </w:p>
        </w:tc>
        <w:tc>
          <w:tcPr>
            <w:tcW w:w="3779" w:type="pct"/>
            <w:tcBorders>
              <w:bottom w:val="single" w:sz="4" w:space="0" w:color="auto"/>
              <w:right w:val="single" w:sz="4" w:space="0" w:color="auto"/>
            </w:tcBorders>
            <w:shd w:val="pct30" w:color="FFFF00" w:fill="auto"/>
          </w:tcPr>
          <w:p w14:paraId="3889E426" w14:textId="77777777" w:rsidR="00085A6C" w:rsidRPr="00085A6C" w:rsidRDefault="00085A6C" w:rsidP="00085A6C">
            <w:pPr>
              <w:ind w:left="100"/>
              <w:rPr>
                <w:rFonts w:ascii="Arial" w:eastAsia="MS Mincho" w:hAnsi="Arial"/>
                <w:noProof/>
                <w:sz w:val="16"/>
                <w:szCs w:val="16"/>
              </w:rPr>
            </w:pPr>
            <w:r w:rsidRPr="00085A6C">
              <w:rPr>
                <w:rFonts w:ascii="Arial" w:eastAsia="MS Mincho" w:hAnsi="Arial"/>
                <w:noProof/>
                <w:color w:val="FF0000"/>
                <w:sz w:val="16"/>
                <w:szCs w:val="16"/>
              </w:rPr>
              <w:t xml:space="preserve">Amgulity </w:t>
            </w:r>
            <w:r w:rsidRPr="00085A6C">
              <w:rPr>
                <w:rFonts w:ascii="Arial" w:eastAsia="MS Mincho" w:hAnsi="Arial"/>
                <w:noProof/>
                <w:sz w:val="16"/>
                <w:szCs w:val="16"/>
              </w:rPr>
              <w:t>on which symbol(s) to be dropped when the collision happened.</w:t>
            </w:r>
          </w:p>
        </w:tc>
      </w:tr>
    </w:tbl>
    <w:p w14:paraId="7DD73D39" w14:textId="284C148C" w:rsidR="00085A6C" w:rsidRDefault="00085A6C" w:rsidP="00085A6C">
      <w:pPr>
        <w:rPr>
          <w:lang w:eastAsia="x-none"/>
        </w:rPr>
      </w:pPr>
      <w:r>
        <w:rPr>
          <w:lang w:eastAsia="x-none"/>
        </w:rPr>
        <w:t>Final CRs in:</w:t>
      </w:r>
    </w:p>
    <w:p w14:paraId="0CAD9C19" w14:textId="2EF160FF" w:rsidR="007F55FB" w:rsidRPr="00085A6C" w:rsidRDefault="005A18DC" w:rsidP="007F55FB">
      <w:pPr>
        <w:rPr>
          <w:b/>
          <w:bCs/>
          <w:lang w:eastAsia="x-none"/>
        </w:rPr>
      </w:pPr>
      <w:hyperlink r:id="rId651" w:history="1">
        <w:r w:rsidR="00AF7253">
          <w:rPr>
            <w:rStyle w:val="Hyperlink"/>
            <w:b/>
            <w:bCs/>
            <w:highlight w:val="green"/>
            <w:lang w:eastAsia="x-none"/>
          </w:rPr>
          <w:t>R1-2312594</w:t>
        </w:r>
      </w:hyperlink>
      <w:r w:rsidR="007F55FB" w:rsidRPr="00085A6C">
        <w:rPr>
          <w:b/>
          <w:bCs/>
          <w:lang w:eastAsia="x-none"/>
        </w:rPr>
        <w:tab/>
        <w:t>Correction to   the SRS transmission collision</w:t>
      </w:r>
      <w:r w:rsidR="007F55FB" w:rsidRPr="00085A6C">
        <w:rPr>
          <w:b/>
          <w:bCs/>
          <w:lang w:eastAsia="x-none"/>
        </w:rPr>
        <w:tab/>
        <w:t>Moderator (Samsung)</w:t>
      </w:r>
    </w:p>
    <w:p w14:paraId="27FB48E8" w14:textId="01FD518E" w:rsidR="00085A6C" w:rsidRDefault="00085A6C" w:rsidP="007F55FB">
      <w:pPr>
        <w:rPr>
          <w:lang w:eastAsia="x-none"/>
        </w:rPr>
      </w:pPr>
      <w:r>
        <w:rPr>
          <w:lang w:eastAsia="x-none"/>
        </w:rPr>
        <w:t>(Rel-17, 38.214, CR0469, Cat F) is agreed.</w:t>
      </w:r>
    </w:p>
    <w:p w14:paraId="7B4A27C5" w14:textId="2947EC6E" w:rsidR="007F55FB" w:rsidRPr="00085A6C" w:rsidRDefault="005A18DC" w:rsidP="007F55FB">
      <w:pPr>
        <w:rPr>
          <w:b/>
          <w:bCs/>
          <w:highlight w:val="yellow"/>
          <w:lang w:eastAsia="x-none"/>
        </w:rPr>
      </w:pPr>
      <w:hyperlink r:id="rId652" w:history="1">
        <w:r w:rsidR="00AF7253">
          <w:rPr>
            <w:rStyle w:val="Hyperlink"/>
            <w:b/>
            <w:bCs/>
            <w:highlight w:val="green"/>
            <w:lang w:eastAsia="x-none"/>
          </w:rPr>
          <w:t>R1-2312595</w:t>
        </w:r>
      </w:hyperlink>
      <w:r w:rsidR="007F55FB" w:rsidRPr="00085A6C">
        <w:rPr>
          <w:b/>
          <w:bCs/>
          <w:lang w:eastAsia="x-none"/>
        </w:rPr>
        <w:tab/>
        <w:t>Correction to   the SRS transmission collision</w:t>
      </w:r>
      <w:r w:rsidR="007F55FB" w:rsidRPr="00085A6C">
        <w:rPr>
          <w:b/>
          <w:bCs/>
          <w:lang w:eastAsia="x-none"/>
        </w:rPr>
        <w:tab/>
        <w:t>Moderator (Samsung)</w:t>
      </w:r>
    </w:p>
    <w:p w14:paraId="05ED98E5" w14:textId="4C7A775E" w:rsidR="00085A6C" w:rsidRDefault="00085A6C" w:rsidP="00085A6C">
      <w:pPr>
        <w:rPr>
          <w:lang w:eastAsia="x-none"/>
        </w:rPr>
      </w:pPr>
      <w:r>
        <w:rPr>
          <w:lang w:eastAsia="x-none"/>
        </w:rPr>
        <w:t>(Rel-18, 38.214, CR0470, Cat A) is agreed.</w:t>
      </w:r>
    </w:p>
    <w:p w14:paraId="6B3A79F9" w14:textId="77777777" w:rsidR="007A42F2" w:rsidRDefault="007A42F2" w:rsidP="007A42F2">
      <w:pPr>
        <w:rPr>
          <w:lang w:eastAsia="x-none"/>
        </w:rPr>
      </w:pPr>
    </w:p>
    <w:p w14:paraId="7B269BA6" w14:textId="77777777" w:rsidR="007A42F2" w:rsidRPr="007A42F2" w:rsidRDefault="007A42F2" w:rsidP="007A42F2">
      <w:pPr>
        <w:rPr>
          <w:lang w:eastAsia="x-none"/>
        </w:rPr>
      </w:pPr>
    </w:p>
    <w:p w14:paraId="35F0C34D" w14:textId="1A4AE19A" w:rsidR="007A42F2" w:rsidRPr="009537ED" w:rsidRDefault="005A18DC" w:rsidP="007A42F2">
      <w:pPr>
        <w:rPr>
          <w:lang w:eastAsia="x-none"/>
        </w:rPr>
      </w:pPr>
      <w:hyperlink r:id="rId653" w:history="1">
        <w:r w:rsidR="00AF7253">
          <w:rPr>
            <w:rStyle w:val="Hyperlink"/>
            <w:lang w:eastAsia="x-none"/>
          </w:rPr>
          <w:t>R1-2312214</w:t>
        </w:r>
      </w:hyperlink>
      <w:r w:rsidR="007A42F2" w:rsidRPr="009537ED">
        <w:rPr>
          <w:lang w:eastAsia="x-none"/>
        </w:rPr>
        <w:tab/>
        <w:t>Discussion on SRS spatial relation</w:t>
      </w:r>
      <w:r w:rsidR="007A42F2" w:rsidRPr="009537ED">
        <w:rPr>
          <w:lang w:eastAsia="x-none"/>
        </w:rPr>
        <w:tab/>
        <w:t>Huawei, HiSilicon</w:t>
      </w:r>
    </w:p>
    <w:p w14:paraId="70813710" w14:textId="4F6C6BEA" w:rsidR="007A42F2" w:rsidRDefault="005A18DC" w:rsidP="007A42F2">
      <w:pPr>
        <w:rPr>
          <w:lang w:eastAsia="x-none"/>
        </w:rPr>
      </w:pPr>
      <w:hyperlink r:id="rId654" w:history="1">
        <w:r w:rsidR="00AF7253">
          <w:rPr>
            <w:rStyle w:val="Hyperlink"/>
            <w:lang w:eastAsia="x-none"/>
          </w:rPr>
          <w:t>R1-2312215</w:t>
        </w:r>
      </w:hyperlink>
      <w:r w:rsidR="007A42F2" w:rsidRPr="009537ED">
        <w:rPr>
          <w:lang w:eastAsia="x-none"/>
        </w:rPr>
        <w:tab/>
        <w:t>Correction to SRS spatial relation</w:t>
      </w:r>
      <w:r w:rsidR="007A42F2" w:rsidRPr="009537ED">
        <w:rPr>
          <w:lang w:eastAsia="x-none"/>
        </w:rPr>
        <w:tab/>
        <w:t>Huawei, HiSilicon</w:t>
      </w:r>
    </w:p>
    <w:p w14:paraId="500BB916" w14:textId="2ABC4BDA" w:rsidR="007F55FB" w:rsidRDefault="005A18DC" w:rsidP="007F55FB">
      <w:pPr>
        <w:rPr>
          <w:lang w:eastAsia="x-none"/>
        </w:rPr>
      </w:pPr>
      <w:hyperlink r:id="rId655" w:history="1">
        <w:r w:rsidR="00AF7253">
          <w:rPr>
            <w:rStyle w:val="Hyperlink"/>
            <w:lang w:eastAsia="x-none"/>
          </w:rPr>
          <w:t>R1-2312421</w:t>
        </w:r>
      </w:hyperlink>
      <w:r w:rsidR="007F55FB">
        <w:rPr>
          <w:lang w:eastAsia="x-none"/>
        </w:rPr>
        <w:tab/>
        <w:t>FLS#1 on positioning SRS spatial relation</w:t>
      </w:r>
      <w:r w:rsidR="007F55FB">
        <w:rPr>
          <w:lang w:eastAsia="x-none"/>
        </w:rPr>
        <w:tab/>
        <w:t>Moderator (Huawei)</w:t>
      </w:r>
    </w:p>
    <w:p w14:paraId="6CC85E93" w14:textId="39CAA341" w:rsidR="007F55FB" w:rsidRPr="007F55FB" w:rsidRDefault="005A18DC" w:rsidP="007F55FB">
      <w:pPr>
        <w:rPr>
          <w:b/>
          <w:bCs/>
          <w:lang w:eastAsia="x-none"/>
        </w:rPr>
      </w:pPr>
      <w:hyperlink r:id="rId656" w:history="1">
        <w:r w:rsidR="00AF7253">
          <w:rPr>
            <w:rStyle w:val="Hyperlink"/>
            <w:b/>
            <w:bCs/>
            <w:lang w:eastAsia="x-none"/>
          </w:rPr>
          <w:t>R1-2312422</w:t>
        </w:r>
      </w:hyperlink>
      <w:r w:rsidR="007F55FB" w:rsidRPr="007F55FB">
        <w:rPr>
          <w:b/>
          <w:bCs/>
          <w:lang w:eastAsia="x-none"/>
        </w:rPr>
        <w:tab/>
        <w:t>FLS#2 on positioning SRS spatial relation</w:t>
      </w:r>
      <w:r w:rsidR="007F55FB" w:rsidRPr="007F55FB">
        <w:rPr>
          <w:b/>
          <w:bCs/>
          <w:lang w:eastAsia="x-none"/>
        </w:rPr>
        <w:tab/>
        <w:t>Moderator (Huawei)</w:t>
      </w:r>
    </w:p>
    <w:p w14:paraId="3910AEB9" w14:textId="77777777" w:rsidR="007F55FB" w:rsidRDefault="007F55FB" w:rsidP="007A42F2">
      <w:pPr>
        <w:rPr>
          <w:lang w:eastAsia="x-none"/>
        </w:rPr>
      </w:pPr>
    </w:p>
    <w:p w14:paraId="53F6B3D3" w14:textId="6F31CE0A" w:rsidR="00C9119E" w:rsidRPr="007F55FB" w:rsidRDefault="005A18DC" w:rsidP="00C9119E">
      <w:pPr>
        <w:rPr>
          <w:b/>
          <w:bCs/>
          <w:lang w:eastAsia="x-none"/>
        </w:rPr>
      </w:pPr>
      <w:hyperlink r:id="rId657" w:history="1">
        <w:r w:rsidR="00AF7253">
          <w:rPr>
            <w:rStyle w:val="Hyperlink"/>
            <w:b/>
            <w:bCs/>
            <w:lang w:eastAsia="x-none"/>
          </w:rPr>
          <w:t>R1-2312554</w:t>
        </w:r>
      </w:hyperlink>
      <w:r w:rsidR="00C9119E" w:rsidRPr="007F55FB">
        <w:rPr>
          <w:b/>
          <w:bCs/>
          <w:lang w:eastAsia="x-none"/>
        </w:rPr>
        <w:tab/>
        <w:t>FLS#</w:t>
      </w:r>
      <w:r w:rsidR="00C9119E">
        <w:rPr>
          <w:b/>
          <w:bCs/>
          <w:lang w:eastAsia="x-none"/>
        </w:rPr>
        <w:t>3</w:t>
      </w:r>
      <w:r w:rsidR="00C9119E" w:rsidRPr="007F55FB">
        <w:rPr>
          <w:b/>
          <w:bCs/>
          <w:lang w:eastAsia="x-none"/>
        </w:rPr>
        <w:t xml:space="preserve"> on positioning SRS spatial relation</w:t>
      </w:r>
      <w:r w:rsidR="00C9119E" w:rsidRPr="007F55FB">
        <w:rPr>
          <w:b/>
          <w:bCs/>
          <w:lang w:eastAsia="x-none"/>
        </w:rPr>
        <w:tab/>
        <w:t>Moderator (Huawei)</w:t>
      </w:r>
    </w:p>
    <w:p w14:paraId="4C63FF4D" w14:textId="77777777" w:rsidR="00C9119E" w:rsidRPr="00C9119E" w:rsidRDefault="00C9119E" w:rsidP="00C9119E">
      <w:pPr>
        <w:rPr>
          <w:bCs/>
          <w:lang w:eastAsia="x-none"/>
        </w:rPr>
      </w:pPr>
      <w:r w:rsidRPr="00C9119E">
        <w:rPr>
          <w:bCs/>
          <w:lang w:eastAsia="x-none"/>
        </w:rPr>
        <w:t>Conclusion</w:t>
      </w:r>
    </w:p>
    <w:p w14:paraId="33461054" w14:textId="7A7CE5D8" w:rsidR="00C9119E" w:rsidRDefault="00C9119E" w:rsidP="00C9119E">
      <w:pPr>
        <w:rPr>
          <w:lang w:eastAsia="x-none"/>
        </w:rPr>
      </w:pPr>
      <w:r>
        <w:rPr>
          <w:lang w:eastAsia="x-none"/>
        </w:rPr>
        <w:t>The proposal in x2554 can be discussed at a future meeting as a TEI proposal.</w:t>
      </w:r>
    </w:p>
    <w:p w14:paraId="0FC3573F" w14:textId="77777777" w:rsidR="00C9119E" w:rsidRDefault="00C9119E" w:rsidP="007A42F2">
      <w:pPr>
        <w:rPr>
          <w:lang w:eastAsia="x-none"/>
        </w:rPr>
      </w:pPr>
    </w:p>
    <w:p w14:paraId="768A498D" w14:textId="77777777" w:rsidR="00C9119E" w:rsidRDefault="00C9119E" w:rsidP="00B32D2F">
      <w:pPr>
        <w:rPr>
          <w:lang w:eastAsia="x-none"/>
        </w:rPr>
      </w:pPr>
    </w:p>
    <w:p w14:paraId="2E0738E7" w14:textId="64FB5CDA" w:rsidR="00B32D2F" w:rsidRPr="009537ED" w:rsidRDefault="005A18DC" w:rsidP="00B32D2F">
      <w:pPr>
        <w:rPr>
          <w:color w:val="FF0000"/>
          <w:lang w:eastAsia="x-none"/>
        </w:rPr>
      </w:pPr>
      <w:hyperlink r:id="rId658" w:history="1">
        <w:r w:rsidR="00AF7253">
          <w:rPr>
            <w:rStyle w:val="Hyperlink"/>
            <w:lang w:eastAsia="x-none"/>
          </w:rPr>
          <w:t>R1-2310983</w:t>
        </w:r>
      </w:hyperlink>
      <w:r w:rsidR="00B32D2F" w:rsidRPr="009537ED">
        <w:rPr>
          <w:color w:val="FF0000"/>
          <w:lang w:eastAsia="x-none"/>
        </w:rPr>
        <w:tab/>
        <w:t>Correction on SRS transmission outside initial UL BWP in RRC_INACTIVE mode</w:t>
      </w:r>
      <w:r w:rsidR="00B32D2F" w:rsidRPr="009537ED">
        <w:rPr>
          <w:color w:val="FF0000"/>
          <w:lang w:eastAsia="x-none"/>
        </w:rPr>
        <w:tab/>
        <w:t>Nokia, Nokia Shanghai Bell</w:t>
      </w:r>
      <w:r w:rsidR="00B32D2F">
        <w:rPr>
          <w:color w:val="FF0000"/>
          <w:lang w:eastAsia="x-none"/>
        </w:rPr>
        <w:tab/>
      </w:r>
      <w:r w:rsidR="00B32D2F" w:rsidRPr="009537ED">
        <w:rPr>
          <w:color w:val="FF0000"/>
          <w:lang w:eastAsia="x-none"/>
        </w:rPr>
        <w:t>Late submission</w:t>
      </w:r>
    </w:p>
    <w:p w14:paraId="21BF9ED2" w14:textId="77777777" w:rsidR="00835CB1" w:rsidRDefault="00835CB1" w:rsidP="00835CB1">
      <w:pPr>
        <w:pBdr>
          <w:bottom w:val="double" w:sz="6" w:space="1" w:color="auto"/>
        </w:pBdr>
        <w:rPr>
          <w:lang w:eastAsia="x-none"/>
        </w:rPr>
      </w:pPr>
    </w:p>
    <w:p w14:paraId="0E375395" w14:textId="3FB800BA" w:rsidR="00A123DF" w:rsidRPr="004B3090" w:rsidRDefault="005A18DC" w:rsidP="00A123DF">
      <w:pPr>
        <w:rPr>
          <w:b/>
          <w:bCs/>
        </w:rPr>
      </w:pPr>
      <w:hyperlink r:id="rId659" w:history="1">
        <w:r w:rsidR="00AF7253">
          <w:rPr>
            <w:rStyle w:val="Hyperlink"/>
            <w:b/>
            <w:bCs/>
          </w:rPr>
          <w:t>R1-2312501</w:t>
        </w:r>
      </w:hyperlink>
      <w:r w:rsidR="00A123DF" w:rsidRPr="004B3090">
        <w:rPr>
          <w:b/>
          <w:bCs/>
        </w:rPr>
        <w:tab/>
        <w:t>Session notes for 7.2 (Maintenance on Support of reduced capability NR devices)</w:t>
      </w:r>
      <w:r w:rsidR="00A123DF" w:rsidRPr="004B3090">
        <w:rPr>
          <w:b/>
          <w:bCs/>
        </w:rPr>
        <w:tab/>
        <w:t>Ad-Hoc Chair (Huawei)</w:t>
      </w:r>
    </w:p>
    <w:p w14:paraId="7B8E2755" w14:textId="74D7205B" w:rsidR="00A123DF" w:rsidRPr="00D96FAE" w:rsidRDefault="00A123DF" w:rsidP="00A123DF">
      <w:pPr>
        <w:rPr>
          <w:lang w:eastAsia="x-none"/>
        </w:rPr>
      </w:pPr>
      <w:r w:rsidRPr="00F05EFE">
        <w:rPr>
          <w:b/>
          <w:bCs/>
        </w:rPr>
        <w:t>Friday decision:</w:t>
      </w:r>
      <w:r>
        <w:t xml:space="preserve"> The </w:t>
      </w:r>
      <w:r>
        <w:rPr>
          <w:lang w:val="en-US" w:eastAsia="x-none"/>
        </w:rPr>
        <w:t>s</w:t>
      </w:r>
      <w:r w:rsidRPr="00663F3A">
        <w:rPr>
          <w:lang w:val="en-US" w:eastAsia="x-none"/>
        </w:rPr>
        <w:t>ession notes</w:t>
      </w:r>
      <w:r>
        <w:rPr>
          <w:lang w:val="en-US" w:eastAsia="x-none"/>
        </w:rPr>
        <w:t xml:space="preserve"> are </w:t>
      </w:r>
      <w:r>
        <w:rPr>
          <w:highlight w:val="green"/>
          <w:lang w:eastAsia="x-none"/>
        </w:rPr>
        <w:t>e</w:t>
      </w:r>
      <w:r w:rsidRPr="00D96FAE">
        <w:rPr>
          <w:highlight w:val="green"/>
          <w:lang w:eastAsia="x-none"/>
        </w:rPr>
        <w:t xml:space="preserve">ndorsed </w:t>
      </w:r>
      <w:r w:rsidRPr="00D96FAE">
        <w:rPr>
          <w:lang w:eastAsia="x-none"/>
        </w:rPr>
        <w:t xml:space="preserve">and contents </w:t>
      </w:r>
      <w:r w:rsidR="00C9119E">
        <w:rPr>
          <w:lang w:eastAsia="x-none"/>
        </w:rPr>
        <w:t xml:space="preserve">(with revisions) </w:t>
      </w:r>
      <w:r w:rsidRPr="00D96FAE">
        <w:rPr>
          <w:lang w:eastAsia="x-none"/>
        </w:rPr>
        <w:t>reflected below.</w:t>
      </w:r>
    </w:p>
    <w:p w14:paraId="4ED2F615" w14:textId="77777777" w:rsidR="00A123DF" w:rsidRPr="009537ED" w:rsidRDefault="00A123DF" w:rsidP="00835CB1">
      <w:pPr>
        <w:rPr>
          <w:lang w:eastAsia="x-none"/>
        </w:rPr>
      </w:pPr>
    </w:p>
    <w:p w14:paraId="4F3CA745" w14:textId="77777777" w:rsidR="00835CB1" w:rsidRPr="009537ED" w:rsidRDefault="00835CB1" w:rsidP="00835CB1">
      <w:pPr>
        <w:rPr>
          <w:b/>
          <w:lang w:eastAsia="x-none"/>
        </w:rPr>
      </w:pPr>
      <w:r w:rsidRPr="009537ED">
        <w:rPr>
          <w:b/>
          <w:lang w:eastAsia="x-none"/>
        </w:rPr>
        <w:t>RedCap</w:t>
      </w:r>
    </w:p>
    <w:p w14:paraId="5F7C608D" w14:textId="02039C9E" w:rsidR="00A123DF" w:rsidRPr="00A123DF" w:rsidRDefault="005A18DC" w:rsidP="00A123DF">
      <w:pPr>
        <w:rPr>
          <w:b/>
          <w:lang w:eastAsia="x-none"/>
        </w:rPr>
      </w:pPr>
      <w:hyperlink r:id="rId660" w:history="1">
        <w:r w:rsidR="00AF7253">
          <w:rPr>
            <w:rStyle w:val="Hyperlink"/>
            <w:b/>
            <w:lang w:eastAsia="x-none"/>
          </w:rPr>
          <w:t>R1-2312276</w:t>
        </w:r>
      </w:hyperlink>
      <w:r w:rsidR="00A123DF" w:rsidRPr="00A123DF">
        <w:rPr>
          <w:b/>
          <w:lang w:eastAsia="x-none"/>
        </w:rPr>
        <w:tab/>
        <w:t>FL summary #1 on Rel-17 RedCap maintenance</w:t>
      </w:r>
      <w:r w:rsidR="00A123DF" w:rsidRPr="00A123DF">
        <w:rPr>
          <w:b/>
          <w:lang w:eastAsia="x-none"/>
        </w:rPr>
        <w:tab/>
        <w:t>Moderator (Ericsson)</w:t>
      </w:r>
    </w:p>
    <w:p w14:paraId="6761E007" w14:textId="1D39164C" w:rsidR="00A123DF" w:rsidRDefault="00A123DF" w:rsidP="00A123DF">
      <w:pPr>
        <w:rPr>
          <w:lang w:eastAsia="x-none"/>
        </w:rPr>
      </w:pPr>
      <w:r>
        <w:rPr>
          <w:lang w:eastAsia="x-none"/>
        </w:rPr>
        <w:t>From Tuesday session</w:t>
      </w:r>
    </w:p>
    <w:p w14:paraId="51C8724F" w14:textId="77777777" w:rsidR="00A123DF" w:rsidRDefault="00A123DF" w:rsidP="00A123DF">
      <w:pPr>
        <w:rPr>
          <w:b/>
          <w:lang w:eastAsia="x-none"/>
        </w:rPr>
      </w:pPr>
      <w:r w:rsidRPr="00A123DF">
        <w:rPr>
          <w:b/>
          <w:lang w:eastAsia="x-none"/>
        </w:rPr>
        <w:t>Issue #6: Information in PBCH payload of NCD-SSB</w:t>
      </w:r>
    </w:p>
    <w:p w14:paraId="7A87283D" w14:textId="71B3A550" w:rsidR="00831CFB" w:rsidRPr="009537ED" w:rsidRDefault="005A18DC" w:rsidP="00831CFB">
      <w:pPr>
        <w:rPr>
          <w:lang w:eastAsia="x-none"/>
        </w:rPr>
      </w:pPr>
      <w:hyperlink r:id="rId661" w:history="1">
        <w:r w:rsidR="00AF7253">
          <w:rPr>
            <w:rStyle w:val="Hyperlink"/>
            <w:lang w:eastAsia="x-none"/>
          </w:rPr>
          <w:t>R1-2310990</w:t>
        </w:r>
      </w:hyperlink>
      <w:r w:rsidR="00831CFB" w:rsidRPr="009537ED">
        <w:rPr>
          <w:lang w:eastAsia="x-none"/>
        </w:rPr>
        <w:tab/>
        <w:t>Rel-17 RedCap maintenance issues</w:t>
      </w:r>
      <w:r w:rsidR="00831CFB" w:rsidRPr="009537ED">
        <w:rPr>
          <w:lang w:eastAsia="x-none"/>
        </w:rPr>
        <w:tab/>
        <w:t>ZTE, Sanechips</w:t>
      </w:r>
    </w:p>
    <w:p w14:paraId="4418E3D5" w14:textId="441650D5" w:rsidR="00831CFB" w:rsidRPr="009537ED" w:rsidRDefault="005A18DC" w:rsidP="00831CFB">
      <w:pPr>
        <w:rPr>
          <w:lang w:eastAsia="x-none"/>
        </w:rPr>
      </w:pPr>
      <w:hyperlink r:id="rId662" w:history="1">
        <w:r w:rsidR="00AF7253">
          <w:rPr>
            <w:rStyle w:val="Hyperlink"/>
            <w:lang w:eastAsia="x-none"/>
          </w:rPr>
          <w:t>R1-2311077</w:t>
        </w:r>
      </w:hyperlink>
      <w:r w:rsidR="00831CFB" w:rsidRPr="009537ED">
        <w:rPr>
          <w:lang w:eastAsia="x-none"/>
        </w:rPr>
        <w:tab/>
        <w:t>Maintenance for Rel-17 RedCap</w:t>
      </w:r>
      <w:r w:rsidR="00831CFB" w:rsidRPr="009537ED">
        <w:rPr>
          <w:lang w:eastAsia="x-none"/>
        </w:rPr>
        <w:tab/>
        <w:t>vivo</w:t>
      </w:r>
    </w:p>
    <w:p w14:paraId="656EAE3A" w14:textId="32EDBD90" w:rsidR="00831CFB" w:rsidRPr="009537ED" w:rsidRDefault="005A18DC" w:rsidP="00831CFB">
      <w:pPr>
        <w:rPr>
          <w:lang w:eastAsia="x-none"/>
        </w:rPr>
      </w:pPr>
      <w:hyperlink r:id="rId663" w:history="1">
        <w:r w:rsidR="00AF7253">
          <w:rPr>
            <w:rStyle w:val="Hyperlink"/>
            <w:lang w:eastAsia="x-none"/>
          </w:rPr>
          <w:t>R1-2311292</w:t>
        </w:r>
      </w:hyperlink>
      <w:r w:rsidR="00831CFB" w:rsidRPr="009537ED">
        <w:rPr>
          <w:lang w:eastAsia="x-none"/>
        </w:rPr>
        <w:tab/>
        <w:t>Remaining issues of Rel-17 RedCap</w:t>
      </w:r>
      <w:r w:rsidR="00831CFB" w:rsidRPr="009537ED">
        <w:rPr>
          <w:lang w:eastAsia="x-none"/>
        </w:rPr>
        <w:tab/>
        <w:t>CATT</w:t>
      </w:r>
    </w:p>
    <w:p w14:paraId="46A6E4C1" w14:textId="0DFC2979" w:rsidR="00831CFB" w:rsidRPr="009537ED" w:rsidRDefault="005A18DC" w:rsidP="00831CFB">
      <w:pPr>
        <w:rPr>
          <w:lang w:eastAsia="x-none"/>
        </w:rPr>
      </w:pPr>
      <w:hyperlink r:id="rId664" w:history="1">
        <w:r w:rsidR="00AF7253">
          <w:rPr>
            <w:rStyle w:val="Hyperlink"/>
            <w:lang w:eastAsia="x-none"/>
          </w:rPr>
          <w:t>R1-2311379</w:t>
        </w:r>
      </w:hyperlink>
      <w:r w:rsidR="00831CFB" w:rsidRPr="009537ED">
        <w:rPr>
          <w:lang w:eastAsia="x-none"/>
        </w:rPr>
        <w:tab/>
        <w:t>Discussion on remaining issues for RedCap</w:t>
      </w:r>
      <w:r w:rsidR="00831CFB" w:rsidRPr="009537ED">
        <w:rPr>
          <w:lang w:eastAsia="x-none"/>
        </w:rPr>
        <w:tab/>
        <w:t>xiaomi</w:t>
      </w:r>
    </w:p>
    <w:p w14:paraId="2E22B57C" w14:textId="0A4FB2DF" w:rsidR="00B47080" w:rsidRPr="009537ED" w:rsidRDefault="005A18DC" w:rsidP="00B47080">
      <w:pPr>
        <w:rPr>
          <w:lang w:eastAsia="x-none"/>
        </w:rPr>
      </w:pPr>
      <w:hyperlink r:id="rId665" w:history="1">
        <w:r w:rsidR="00AF7253">
          <w:rPr>
            <w:rStyle w:val="Hyperlink"/>
            <w:lang w:eastAsia="x-none"/>
          </w:rPr>
          <w:t>R1-2311785</w:t>
        </w:r>
      </w:hyperlink>
      <w:r w:rsidR="00B47080" w:rsidRPr="009537ED">
        <w:rPr>
          <w:lang w:eastAsia="x-none"/>
        </w:rPr>
        <w:tab/>
        <w:t>Maintenance issues for Rel-17 NR RedCap</w:t>
      </w:r>
      <w:r w:rsidR="00B47080" w:rsidRPr="009537ED">
        <w:rPr>
          <w:lang w:eastAsia="x-none"/>
        </w:rPr>
        <w:tab/>
        <w:t>Nokia, Nokia Shanghai Bell</w:t>
      </w:r>
    </w:p>
    <w:p w14:paraId="28A05C00" w14:textId="3722AFBA" w:rsidR="00831CFB" w:rsidRDefault="005A18DC" w:rsidP="00831CFB">
      <w:pPr>
        <w:rPr>
          <w:lang w:eastAsia="x-none"/>
        </w:rPr>
      </w:pPr>
      <w:hyperlink r:id="rId666" w:history="1">
        <w:r w:rsidR="00AF7253">
          <w:rPr>
            <w:rStyle w:val="Hyperlink"/>
            <w:lang w:eastAsia="x-none"/>
          </w:rPr>
          <w:t>R1-2312166</w:t>
        </w:r>
      </w:hyperlink>
      <w:r w:rsidR="00831CFB" w:rsidRPr="009537ED">
        <w:rPr>
          <w:lang w:eastAsia="x-none"/>
        </w:rPr>
        <w:tab/>
        <w:t>On the PBCH payload of NCD-SSB</w:t>
      </w:r>
      <w:r w:rsidR="00831CFB" w:rsidRPr="009537ED">
        <w:rPr>
          <w:lang w:eastAsia="x-none"/>
        </w:rPr>
        <w:tab/>
        <w:t>Ericsson</w:t>
      </w:r>
    </w:p>
    <w:p w14:paraId="6BD4E92C" w14:textId="77777777" w:rsidR="00B47080" w:rsidRPr="009537ED" w:rsidRDefault="00B47080" w:rsidP="00831CFB">
      <w:pPr>
        <w:rPr>
          <w:lang w:eastAsia="x-none"/>
        </w:rPr>
      </w:pPr>
    </w:p>
    <w:p w14:paraId="72F751F6" w14:textId="77777777" w:rsidR="00A123DF" w:rsidRPr="00A123DF" w:rsidRDefault="00A123DF" w:rsidP="00A123DF">
      <w:pPr>
        <w:rPr>
          <w:bCs/>
          <w:lang w:val="en-US"/>
        </w:rPr>
      </w:pPr>
      <w:r w:rsidRPr="00A123DF">
        <w:rPr>
          <w:bCs/>
          <w:highlight w:val="green"/>
          <w:lang w:val="en-US"/>
        </w:rPr>
        <w:t>Agreement</w:t>
      </w:r>
    </w:p>
    <w:p w14:paraId="15102FC0" w14:textId="77777777" w:rsidR="00A123DF" w:rsidRPr="00A123DF" w:rsidRDefault="00A123DF" w:rsidP="00A123DF">
      <w:pPr>
        <w:rPr>
          <w:lang w:val="en-US"/>
        </w:rPr>
      </w:pPr>
      <w:r w:rsidRPr="00A123DF">
        <w:rPr>
          <w:lang w:val="en-US"/>
        </w:rPr>
        <w:t>Regarding the RAN1#114bis agreement that “The PBCH payload of the NCD-SSB indicates the frame boundary and frame number of the NCD-SSB”,</w:t>
      </w:r>
    </w:p>
    <w:p w14:paraId="29048316" w14:textId="77777777" w:rsidR="00A123DF" w:rsidRPr="00A123DF" w:rsidRDefault="00A123DF" w:rsidP="00A123DF">
      <w:pPr>
        <w:pStyle w:val="ListParagraph"/>
        <w:numPr>
          <w:ilvl w:val="0"/>
          <w:numId w:val="80"/>
        </w:numPr>
        <w:rPr>
          <w:lang w:val="en-US"/>
        </w:rPr>
      </w:pPr>
      <w:r w:rsidRPr="00A123DF">
        <w:rPr>
          <w:lang w:val="en-US"/>
        </w:rPr>
        <w:t>No RAN1 specification change is needed.</w:t>
      </w:r>
    </w:p>
    <w:p w14:paraId="2D25AE85" w14:textId="77777777" w:rsidR="00A123DF" w:rsidRPr="00A123DF" w:rsidRDefault="00A123DF" w:rsidP="00A123DF">
      <w:pPr>
        <w:pStyle w:val="ListParagraph"/>
        <w:numPr>
          <w:ilvl w:val="0"/>
          <w:numId w:val="80"/>
        </w:numPr>
        <w:rPr>
          <w:lang w:val="en-US"/>
        </w:rPr>
      </w:pPr>
      <w:r w:rsidRPr="00A123DF">
        <w:rPr>
          <w:lang w:val="en-US"/>
        </w:rPr>
        <w:t>Send an LS to RAN2 to ask them to take the agreement into account and, if needed, update their specifications.</w:t>
      </w:r>
    </w:p>
    <w:p w14:paraId="0D680EA3" w14:textId="55499B88" w:rsidR="00B32D2F" w:rsidRDefault="005A18DC" w:rsidP="00B32D2F">
      <w:pPr>
        <w:rPr>
          <w:b/>
          <w:lang w:eastAsia="x-none"/>
        </w:rPr>
      </w:pPr>
      <w:hyperlink r:id="rId667" w:history="1">
        <w:r w:rsidR="00AF7253">
          <w:rPr>
            <w:rStyle w:val="Hyperlink"/>
            <w:b/>
            <w:lang w:eastAsia="x-none"/>
          </w:rPr>
          <w:t>R1-2312519</w:t>
        </w:r>
      </w:hyperlink>
      <w:r w:rsidR="00B32D2F" w:rsidRPr="00B32D2F">
        <w:rPr>
          <w:b/>
          <w:lang w:eastAsia="x-none"/>
        </w:rPr>
        <w:tab/>
        <w:t>Draft LS on PBCH payload of NCD-SSB</w:t>
      </w:r>
      <w:r w:rsidR="00B32D2F" w:rsidRPr="00B32D2F">
        <w:rPr>
          <w:b/>
          <w:lang w:eastAsia="x-none"/>
        </w:rPr>
        <w:tab/>
        <w:t>Ericsson</w:t>
      </w:r>
    </w:p>
    <w:p w14:paraId="2AE44219" w14:textId="6566347C" w:rsidR="00A123DF" w:rsidRPr="00A123DF" w:rsidRDefault="00B32D2F" w:rsidP="00A123DF">
      <w:pPr>
        <w:rPr>
          <w:lang w:eastAsia="x-none"/>
        </w:rPr>
      </w:pPr>
      <w:r>
        <w:rPr>
          <w:b/>
          <w:lang w:eastAsia="x-none"/>
        </w:rPr>
        <w:t xml:space="preserve">Wednesday decision: </w:t>
      </w:r>
      <w:r w:rsidR="00A123DF" w:rsidRPr="00A123DF">
        <w:rPr>
          <w:lang w:eastAsia="x-none"/>
        </w:rPr>
        <w:t xml:space="preserve">The </w:t>
      </w:r>
      <w:r>
        <w:rPr>
          <w:lang w:eastAsia="x-none"/>
        </w:rPr>
        <w:t>d</w:t>
      </w:r>
      <w:r w:rsidR="00A123DF" w:rsidRPr="00A123DF">
        <w:rPr>
          <w:lang w:eastAsia="x-none"/>
        </w:rPr>
        <w:t xml:space="preserve">raft LS to RAN2 in </w:t>
      </w:r>
      <w:hyperlink r:id="rId668" w:history="1">
        <w:r w:rsidR="00AF7253">
          <w:rPr>
            <w:rStyle w:val="Hyperlink"/>
            <w:lang w:eastAsia="x-none"/>
          </w:rPr>
          <w:t>R1-2312519</w:t>
        </w:r>
      </w:hyperlink>
      <w:r w:rsidR="00A123DF" w:rsidRPr="00A123DF">
        <w:rPr>
          <w:lang w:eastAsia="x-none"/>
        </w:rPr>
        <w:t xml:space="preserve"> is endorsed. Final LS is </w:t>
      </w:r>
      <w:r w:rsidR="00A123DF" w:rsidRPr="00A123DF">
        <w:rPr>
          <w:highlight w:val="green"/>
          <w:lang w:eastAsia="x-none"/>
        </w:rPr>
        <w:t>a</w:t>
      </w:r>
      <w:r w:rsidRPr="00B32D2F">
        <w:rPr>
          <w:highlight w:val="green"/>
          <w:lang w:eastAsia="x-none"/>
        </w:rPr>
        <w:t xml:space="preserve">pproved </w:t>
      </w:r>
      <w:r w:rsidR="00A123DF" w:rsidRPr="00A123DF">
        <w:rPr>
          <w:highlight w:val="green"/>
          <w:lang w:eastAsia="x-none"/>
        </w:rPr>
        <w:t xml:space="preserve">in </w:t>
      </w:r>
      <w:hyperlink r:id="rId669" w:history="1">
        <w:r w:rsidR="00AF7253">
          <w:rPr>
            <w:rStyle w:val="Hyperlink"/>
            <w:highlight w:val="green"/>
            <w:lang w:eastAsia="x-none"/>
          </w:rPr>
          <w:t>R1-2312520</w:t>
        </w:r>
      </w:hyperlink>
      <w:r w:rsidR="00A123DF" w:rsidRPr="00A123DF">
        <w:rPr>
          <w:lang w:eastAsia="x-none"/>
        </w:rPr>
        <w:t>.</w:t>
      </w:r>
    </w:p>
    <w:p w14:paraId="4810B1B5" w14:textId="77777777" w:rsidR="00A123DF" w:rsidRPr="00A123DF" w:rsidRDefault="00A123DF" w:rsidP="00A123DF">
      <w:pPr>
        <w:rPr>
          <w:lang w:eastAsia="x-none"/>
        </w:rPr>
      </w:pPr>
    </w:p>
    <w:p w14:paraId="068FE713" w14:textId="77777777" w:rsidR="00A123DF" w:rsidRPr="00A123DF" w:rsidRDefault="00A123DF" w:rsidP="00A123DF">
      <w:pPr>
        <w:rPr>
          <w:lang w:eastAsia="x-none"/>
        </w:rPr>
      </w:pPr>
    </w:p>
    <w:p w14:paraId="4190E374" w14:textId="00D01374" w:rsidR="00A123DF" w:rsidRPr="00A123DF" w:rsidRDefault="005A18DC" w:rsidP="00A123DF">
      <w:pPr>
        <w:rPr>
          <w:b/>
          <w:lang w:eastAsia="x-none"/>
        </w:rPr>
      </w:pPr>
      <w:hyperlink r:id="rId670" w:history="1">
        <w:r w:rsidR="00AF7253">
          <w:rPr>
            <w:rStyle w:val="Hyperlink"/>
            <w:b/>
            <w:lang w:eastAsia="x-none"/>
          </w:rPr>
          <w:t>R1-2312277</w:t>
        </w:r>
      </w:hyperlink>
      <w:r w:rsidR="00A123DF" w:rsidRPr="00A123DF">
        <w:rPr>
          <w:b/>
          <w:lang w:eastAsia="x-none"/>
        </w:rPr>
        <w:tab/>
        <w:t>FL summary #2 on Rel-17 RedCap maintenance</w:t>
      </w:r>
      <w:r w:rsidR="00A123DF" w:rsidRPr="00A123DF">
        <w:rPr>
          <w:b/>
          <w:lang w:eastAsia="x-none"/>
        </w:rPr>
        <w:tab/>
        <w:t>Moderator (Ericsson)</w:t>
      </w:r>
    </w:p>
    <w:p w14:paraId="58A9109A" w14:textId="2C1D34D2" w:rsidR="00940515" w:rsidRPr="00940515" w:rsidRDefault="005A18DC" w:rsidP="00940515">
      <w:pPr>
        <w:rPr>
          <w:b/>
          <w:lang w:eastAsia="x-none"/>
        </w:rPr>
      </w:pPr>
      <w:hyperlink r:id="rId671" w:history="1">
        <w:r w:rsidR="00AF7253">
          <w:rPr>
            <w:rStyle w:val="Hyperlink"/>
            <w:b/>
            <w:lang w:eastAsia="x-none"/>
          </w:rPr>
          <w:t>R1-2312278</w:t>
        </w:r>
      </w:hyperlink>
      <w:r w:rsidR="00940515" w:rsidRPr="00940515">
        <w:rPr>
          <w:b/>
          <w:lang w:eastAsia="x-none"/>
        </w:rPr>
        <w:tab/>
        <w:t>FL summary #3 on Rel-17 RedCap maintenance</w:t>
      </w:r>
      <w:r w:rsidR="00940515" w:rsidRPr="00940515">
        <w:rPr>
          <w:b/>
          <w:lang w:eastAsia="x-none"/>
        </w:rPr>
        <w:tab/>
        <w:t>Moderator (Ericsson)</w:t>
      </w:r>
    </w:p>
    <w:p w14:paraId="2C18A0FE" w14:textId="77777777" w:rsidR="00940515" w:rsidRPr="00940515" w:rsidRDefault="00940515" w:rsidP="00A123DF">
      <w:pPr>
        <w:rPr>
          <w:bCs/>
        </w:rPr>
      </w:pPr>
    </w:p>
    <w:p w14:paraId="08B919B3" w14:textId="68EECC18" w:rsidR="00A123DF" w:rsidRDefault="00A123DF" w:rsidP="00A123DF">
      <w:pPr>
        <w:rPr>
          <w:b/>
          <w:lang w:val="en-US"/>
        </w:rPr>
      </w:pPr>
      <w:r w:rsidRPr="00A123DF">
        <w:rPr>
          <w:b/>
          <w:lang w:val="en-US"/>
        </w:rPr>
        <w:t>Issue #1: LS on paging occasions for CG-SDT with HD-FDD</w:t>
      </w:r>
    </w:p>
    <w:p w14:paraId="5E0D4C63" w14:textId="3541FF69" w:rsidR="00B47080" w:rsidRPr="00B47080" w:rsidRDefault="00B47080" w:rsidP="00A123DF">
      <w:pPr>
        <w:rPr>
          <w:bCs/>
          <w:lang w:val="en-US"/>
        </w:rPr>
      </w:pPr>
      <w:r w:rsidRPr="00B47080">
        <w:rPr>
          <w:bCs/>
          <w:lang w:val="en-US"/>
        </w:rPr>
        <w:t>From AI 5</w:t>
      </w:r>
    </w:p>
    <w:p w14:paraId="7B82F9B8" w14:textId="0E957494" w:rsidR="00B47080" w:rsidRPr="009537ED" w:rsidRDefault="005A18DC" w:rsidP="00B47080">
      <w:pPr>
        <w:rPr>
          <w:lang w:eastAsia="x-none"/>
        </w:rPr>
      </w:pPr>
      <w:hyperlink r:id="rId672" w:history="1">
        <w:r w:rsidR="00AF7253">
          <w:rPr>
            <w:rStyle w:val="Hyperlink"/>
            <w:lang w:eastAsia="x-none"/>
          </w:rPr>
          <w:t>R1-2311058</w:t>
        </w:r>
      </w:hyperlink>
      <w:r w:rsidR="00B47080" w:rsidRPr="009537ED">
        <w:rPr>
          <w:lang w:eastAsia="x-none"/>
        </w:rPr>
        <w:tab/>
        <w:t>Discussion on collision handling between paging occasions and CG SDT for HD-FDD UEs</w:t>
      </w:r>
      <w:r w:rsidR="00B47080" w:rsidRPr="009537ED">
        <w:rPr>
          <w:lang w:eastAsia="x-none"/>
        </w:rPr>
        <w:tab/>
        <w:t>vivo</w:t>
      </w:r>
    </w:p>
    <w:p w14:paraId="6AB2F7B6" w14:textId="0E2A9DEA" w:rsidR="00B47080" w:rsidRPr="009537ED" w:rsidRDefault="005A18DC" w:rsidP="00B47080">
      <w:pPr>
        <w:rPr>
          <w:lang w:eastAsia="x-none"/>
        </w:rPr>
      </w:pPr>
      <w:hyperlink r:id="rId673" w:history="1">
        <w:r w:rsidR="00AF7253">
          <w:rPr>
            <w:rStyle w:val="Hyperlink"/>
            <w:lang w:eastAsia="x-none"/>
          </w:rPr>
          <w:t>R1-2311059</w:t>
        </w:r>
      </w:hyperlink>
      <w:r w:rsidR="00B47080" w:rsidRPr="009537ED">
        <w:rPr>
          <w:lang w:eastAsia="x-none"/>
        </w:rPr>
        <w:tab/>
        <w:t>Draft reply LS on monitoring of paging occasions for CG-SDT with HD-FDD Redcap UEs</w:t>
      </w:r>
      <w:r w:rsidR="00B47080" w:rsidRPr="009537ED">
        <w:rPr>
          <w:lang w:eastAsia="x-none"/>
        </w:rPr>
        <w:tab/>
        <w:t>vivo</w:t>
      </w:r>
    </w:p>
    <w:p w14:paraId="6ED5E24C" w14:textId="2EB43C75" w:rsidR="00B47080" w:rsidRPr="009537ED" w:rsidRDefault="005A18DC" w:rsidP="00B47080">
      <w:pPr>
        <w:rPr>
          <w:lang w:eastAsia="x-none"/>
        </w:rPr>
      </w:pPr>
      <w:hyperlink r:id="rId674" w:history="1">
        <w:r w:rsidR="00AF7253">
          <w:rPr>
            <w:rStyle w:val="Hyperlink"/>
            <w:lang w:eastAsia="x-none"/>
          </w:rPr>
          <w:t>R1-2311507</w:t>
        </w:r>
      </w:hyperlink>
      <w:r w:rsidR="00B47080" w:rsidRPr="009537ED">
        <w:rPr>
          <w:lang w:eastAsia="x-none"/>
        </w:rPr>
        <w:tab/>
        <w:t>Discussion on reply LS on paging overlapping with CG-SDT for HD-FDD RedCap UE</w:t>
      </w:r>
      <w:r w:rsidR="00B47080" w:rsidRPr="009537ED">
        <w:rPr>
          <w:lang w:eastAsia="x-none"/>
        </w:rPr>
        <w:tab/>
        <w:t>ZTE</w:t>
      </w:r>
    </w:p>
    <w:p w14:paraId="1E576E01" w14:textId="0958CBDB" w:rsidR="00B47080" w:rsidRPr="009537ED" w:rsidRDefault="005A18DC" w:rsidP="00B47080">
      <w:pPr>
        <w:rPr>
          <w:lang w:eastAsia="x-none"/>
        </w:rPr>
      </w:pPr>
      <w:hyperlink r:id="rId675" w:history="1">
        <w:r w:rsidR="00AF7253">
          <w:rPr>
            <w:rStyle w:val="Hyperlink"/>
            <w:lang w:eastAsia="x-none"/>
          </w:rPr>
          <w:t>R1-2311508</w:t>
        </w:r>
      </w:hyperlink>
      <w:r w:rsidR="00B47080" w:rsidRPr="009537ED">
        <w:rPr>
          <w:lang w:eastAsia="x-none"/>
        </w:rPr>
        <w:tab/>
        <w:t>Draft reply LS on paging and CG-SDT conflicting issue for HD-FDD RedCap UE</w:t>
      </w:r>
      <w:r w:rsidR="00B47080" w:rsidRPr="009537ED">
        <w:rPr>
          <w:lang w:eastAsia="x-none"/>
        </w:rPr>
        <w:tab/>
        <w:t>ZTE</w:t>
      </w:r>
    </w:p>
    <w:p w14:paraId="1B23E186" w14:textId="5898CE72" w:rsidR="00B47080" w:rsidRPr="009537ED" w:rsidRDefault="005A18DC" w:rsidP="00B47080">
      <w:pPr>
        <w:rPr>
          <w:lang w:eastAsia="x-none"/>
        </w:rPr>
      </w:pPr>
      <w:hyperlink r:id="rId676" w:history="1">
        <w:r w:rsidR="00AF7253">
          <w:rPr>
            <w:rStyle w:val="Hyperlink"/>
            <w:lang w:eastAsia="x-none"/>
          </w:rPr>
          <w:t>R1-2312163</w:t>
        </w:r>
      </w:hyperlink>
      <w:r w:rsidR="00B47080" w:rsidRPr="009537ED">
        <w:rPr>
          <w:lang w:eastAsia="x-none"/>
        </w:rPr>
        <w:tab/>
        <w:t>Monitoring of paging occasions for CG-SDT with HD-FDD RedCap UEs</w:t>
      </w:r>
      <w:r w:rsidR="00B47080" w:rsidRPr="009537ED">
        <w:rPr>
          <w:lang w:eastAsia="x-none"/>
        </w:rPr>
        <w:tab/>
        <w:t>Ericsson</w:t>
      </w:r>
    </w:p>
    <w:p w14:paraId="7A2F169A" w14:textId="77777777" w:rsidR="00B47080" w:rsidRPr="00B47080" w:rsidRDefault="00B47080" w:rsidP="00A123DF">
      <w:pPr>
        <w:rPr>
          <w:bCs/>
        </w:rPr>
      </w:pPr>
    </w:p>
    <w:p w14:paraId="44CF32A7" w14:textId="4C6E7130" w:rsidR="00B47080" w:rsidRPr="009537ED" w:rsidRDefault="005A18DC" w:rsidP="00B47080">
      <w:pPr>
        <w:rPr>
          <w:lang w:eastAsia="x-none"/>
        </w:rPr>
      </w:pPr>
      <w:hyperlink r:id="rId677" w:history="1">
        <w:r w:rsidR="00AF7253">
          <w:rPr>
            <w:rStyle w:val="Hyperlink"/>
            <w:lang w:eastAsia="x-none"/>
          </w:rPr>
          <w:t>R1-2311292</w:t>
        </w:r>
      </w:hyperlink>
      <w:r w:rsidR="00B47080" w:rsidRPr="009537ED">
        <w:rPr>
          <w:lang w:eastAsia="x-none"/>
        </w:rPr>
        <w:tab/>
        <w:t>Remaining issues of Rel-17 RedCap</w:t>
      </w:r>
      <w:r w:rsidR="00B47080" w:rsidRPr="009537ED">
        <w:rPr>
          <w:lang w:eastAsia="x-none"/>
        </w:rPr>
        <w:tab/>
        <w:t>CATT</w:t>
      </w:r>
    </w:p>
    <w:p w14:paraId="5BD7094F" w14:textId="319CC300" w:rsidR="00B47080" w:rsidRPr="009537ED" w:rsidRDefault="005A18DC" w:rsidP="00B47080">
      <w:pPr>
        <w:rPr>
          <w:lang w:eastAsia="x-none"/>
        </w:rPr>
      </w:pPr>
      <w:hyperlink r:id="rId678" w:history="1">
        <w:r w:rsidR="00AF7253">
          <w:rPr>
            <w:rStyle w:val="Hyperlink"/>
            <w:lang w:eastAsia="x-none"/>
          </w:rPr>
          <w:t>R1-2311379</w:t>
        </w:r>
      </w:hyperlink>
      <w:r w:rsidR="00B47080" w:rsidRPr="009537ED">
        <w:rPr>
          <w:lang w:eastAsia="x-none"/>
        </w:rPr>
        <w:tab/>
        <w:t>Discussion on remaining issues for RedCap</w:t>
      </w:r>
      <w:r w:rsidR="00B47080" w:rsidRPr="009537ED">
        <w:rPr>
          <w:lang w:eastAsia="x-none"/>
        </w:rPr>
        <w:tab/>
        <w:t>xiaomi</w:t>
      </w:r>
    </w:p>
    <w:p w14:paraId="5A1496B5" w14:textId="0393EAFA" w:rsidR="00B47080" w:rsidRPr="009537ED" w:rsidRDefault="005A18DC" w:rsidP="00B47080">
      <w:pPr>
        <w:rPr>
          <w:lang w:eastAsia="x-none"/>
        </w:rPr>
      </w:pPr>
      <w:hyperlink r:id="rId679" w:history="1">
        <w:r w:rsidR="00AF7253">
          <w:rPr>
            <w:rStyle w:val="Hyperlink"/>
            <w:lang w:eastAsia="x-none"/>
          </w:rPr>
          <w:t>R1-2311607</w:t>
        </w:r>
      </w:hyperlink>
      <w:r w:rsidR="00B47080" w:rsidRPr="009537ED">
        <w:rPr>
          <w:lang w:eastAsia="x-none"/>
        </w:rPr>
        <w:tab/>
        <w:t>Discussion on remaining issues for RedCap UE</w:t>
      </w:r>
      <w:r w:rsidR="00B47080" w:rsidRPr="009537ED">
        <w:rPr>
          <w:lang w:eastAsia="x-none"/>
        </w:rPr>
        <w:tab/>
        <w:t>NTT DOCOMO, INC.</w:t>
      </w:r>
    </w:p>
    <w:p w14:paraId="62E684EE" w14:textId="224AB7E9" w:rsidR="00B47080" w:rsidRPr="009537ED" w:rsidRDefault="005A18DC" w:rsidP="00B47080">
      <w:pPr>
        <w:rPr>
          <w:lang w:eastAsia="x-none"/>
        </w:rPr>
      </w:pPr>
      <w:hyperlink r:id="rId680" w:history="1">
        <w:r w:rsidR="00AF7253">
          <w:rPr>
            <w:rStyle w:val="Hyperlink"/>
            <w:lang w:eastAsia="x-none"/>
          </w:rPr>
          <w:t>R1-2311608</w:t>
        </w:r>
      </w:hyperlink>
      <w:r w:rsidR="00B47080" w:rsidRPr="009537ED">
        <w:rPr>
          <w:lang w:eastAsia="x-none"/>
        </w:rPr>
        <w:tab/>
        <w:t>Draft CR on paging occasions and CG-SDT for HD-FDD RedCap</w:t>
      </w:r>
      <w:r w:rsidR="00B47080" w:rsidRPr="009537ED">
        <w:rPr>
          <w:lang w:eastAsia="x-none"/>
        </w:rPr>
        <w:tab/>
        <w:t>NTT DOCOMO, INC.</w:t>
      </w:r>
    </w:p>
    <w:p w14:paraId="3477A0FE" w14:textId="15D5A0E5" w:rsidR="00B47080" w:rsidRPr="009537ED" w:rsidRDefault="005A18DC" w:rsidP="00B47080">
      <w:pPr>
        <w:rPr>
          <w:lang w:eastAsia="x-none"/>
        </w:rPr>
      </w:pPr>
      <w:hyperlink r:id="rId681" w:history="1">
        <w:r w:rsidR="00AF7253">
          <w:rPr>
            <w:rStyle w:val="Hyperlink"/>
            <w:lang w:eastAsia="x-none"/>
          </w:rPr>
          <w:t>R1-2311785</w:t>
        </w:r>
      </w:hyperlink>
      <w:r w:rsidR="00B47080" w:rsidRPr="009537ED">
        <w:rPr>
          <w:lang w:eastAsia="x-none"/>
        </w:rPr>
        <w:tab/>
        <w:t>Maintenance issues for Rel-17 NR RedCap</w:t>
      </w:r>
      <w:r w:rsidR="00B47080" w:rsidRPr="009537ED">
        <w:rPr>
          <w:lang w:eastAsia="x-none"/>
        </w:rPr>
        <w:tab/>
        <w:t>Nokia, Nokia Shanghai Bell</w:t>
      </w:r>
    </w:p>
    <w:p w14:paraId="6F5849E1" w14:textId="5A2685BD" w:rsidR="00B47080" w:rsidRPr="009537ED" w:rsidRDefault="005A18DC" w:rsidP="00B47080">
      <w:pPr>
        <w:rPr>
          <w:lang w:eastAsia="x-none"/>
        </w:rPr>
      </w:pPr>
      <w:hyperlink r:id="rId682" w:history="1">
        <w:r w:rsidR="00AF7253">
          <w:rPr>
            <w:rStyle w:val="Hyperlink"/>
            <w:lang w:eastAsia="x-none"/>
          </w:rPr>
          <w:t>R1-2311970</w:t>
        </w:r>
      </w:hyperlink>
      <w:r w:rsidR="00B47080" w:rsidRPr="009537ED">
        <w:rPr>
          <w:lang w:eastAsia="x-none"/>
        </w:rPr>
        <w:tab/>
        <w:t>RedCap remaining issues with CG-SDT</w:t>
      </w:r>
      <w:r w:rsidR="00B47080" w:rsidRPr="009537ED">
        <w:rPr>
          <w:lang w:eastAsia="x-none"/>
        </w:rPr>
        <w:tab/>
        <w:t>MediaTek Inc.</w:t>
      </w:r>
    </w:p>
    <w:p w14:paraId="65968260" w14:textId="77777777" w:rsidR="00B47080" w:rsidRPr="00B47080" w:rsidRDefault="00B47080" w:rsidP="00A123DF">
      <w:pPr>
        <w:rPr>
          <w:bCs/>
        </w:rPr>
      </w:pPr>
    </w:p>
    <w:p w14:paraId="6DD51036" w14:textId="77777777" w:rsidR="006A227C" w:rsidRPr="006A227C" w:rsidRDefault="006A227C" w:rsidP="006A227C">
      <w:pPr>
        <w:rPr>
          <w:lang w:val="en-US"/>
        </w:rPr>
      </w:pPr>
      <w:r w:rsidRPr="006A227C">
        <w:rPr>
          <w:highlight w:val="green"/>
          <w:lang w:val="en-US"/>
        </w:rPr>
        <w:t>Agreement</w:t>
      </w:r>
    </w:p>
    <w:p w14:paraId="21DBD756" w14:textId="77777777" w:rsidR="006A227C" w:rsidRPr="006A227C" w:rsidRDefault="006A227C" w:rsidP="006A227C">
      <w:pPr>
        <w:numPr>
          <w:ilvl w:val="0"/>
          <w:numId w:val="178"/>
        </w:numPr>
        <w:spacing w:after="180" w:line="252" w:lineRule="auto"/>
        <w:contextualSpacing/>
        <w:rPr>
          <w:rFonts w:ascii="Times New Roman" w:hAnsi="Times New Roman"/>
          <w:szCs w:val="20"/>
          <w:lang w:val="en-US" w:eastAsia="x-none"/>
        </w:rPr>
      </w:pPr>
      <w:r w:rsidRPr="006A227C">
        <w:rPr>
          <w:rFonts w:ascii="Times New Roman" w:hAnsi="Times New Roman"/>
          <w:szCs w:val="20"/>
          <w:lang w:val="en-US" w:eastAsia="x-none"/>
        </w:rPr>
        <w:t>Reply to RAN2 and RAN4 that:</w:t>
      </w:r>
    </w:p>
    <w:p w14:paraId="09E0D17E" w14:textId="77777777" w:rsidR="006A227C" w:rsidRPr="006A227C" w:rsidRDefault="006A227C" w:rsidP="006A227C">
      <w:pPr>
        <w:numPr>
          <w:ilvl w:val="1"/>
          <w:numId w:val="178"/>
        </w:numPr>
        <w:spacing w:after="180" w:line="252" w:lineRule="auto"/>
        <w:contextualSpacing/>
        <w:rPr>
          <w:rFonts w:ascii="Times New Roman" w:hAnsi="Times New Roman"/>
          <w:szCs w:val="20"/>
          <w:lang w:val="en-US" w:eastAsia="x-none"/>
        </w:rPr>
      </w:pPr>
      <w:r w:rsidRPr="006A227C">
        <w:rPr>
          <w:rFonts w:ascii="Times New Roman" w:hAnsi="Times New Roman"/>
          <w:szCs w:val="20"/>
          <w:lang w:val="en-US" w:eastAsia="x-none"/>
        </w:rPr>
        <w:lastRenderedPageBreak/>
        <w:t>RAN1 confirms RAN2’s understanding that there is no need to specify restrictions on gNB configuration to avoid partial overlap between PO and CG-SDT transmission for HD-UE.</w:t>
      </w:r>
    </w:p>
    <w:p w14:paraId="10D17AAF" w14:textId="77777777" w:rsidR="006A227C" w:rsidRPr="006A227C" w:rsidRDefault="006A227C" w:rsidP="006A227C">
      <w:pPr>
        <w:numPr>
          <w:ilvl w:val="1"/>
          <w:numId w:val="178"/>
        </w:numPr>
        <w:spacing w:after="180" w:line="252" w:lineRule="auto"/>
        <w:contextualSpacing/>
        <w:rPr>
          <w:rFonts w:ascii="Times New Roman" w:hAnsi="Times New Roman"/>
          <w:szCs w:val="20"/>
          <w:lang w:val="en-US" w:eastAsia="x-none"/>
        </w:rPr>
      </w:pPr>
      <w:r w:rsidRPr="006A227C">
        <w:rPr>
          <w:rFonts w:ascii="Times New Roman" w:hAnsi="Times New Roman"/>
          <w:szCs w:val="20"/>
          <w:lang w:val="en-US" w:eastAsia="x-none"/>
        </w:rPr>
        <w:t>RAN1 confirms that there is no need to specify RAN4 requirements for the case with full overlap between PO and CG-SDT transmission within the SI modification period for HD-UE.</w:t>
      </w:r>
    </w:p>
    <w:p w14:paraId="4F5C4FFC" w14:textId="77777777" w:rsidR="006A227C" w:rsidRPr="006A227C" w:rsidRDefault="006A227C" w:rsidP="006A227C">
      <w:pPr>
        <w:numPr>
          <w:ilvl w:val="1"/>
          <w:numId w:val="178"/>
        </w:numPr>
        <w:spacing w:after="180" w:line="252" w:lineRule="auto"/>
        <w:contextualSpacing/>
        <w:rPr>
          <w:rFonts w:ascii="Times New Roman" w:hAnsi="Times New Roman"/>
          <w:szCs w:val="20"/>
          <w:lang w:val="en-US" w:eastAsia="x-none"/>
        </w:rPr>
      </w:pPr>
      <w:r w:rsidRPr="006A227C">
        <w:rPr>
          <w:rFonts w:ascii="Times New Roman" w:hAnsi="Times New Roman"/>
          <w:szCs w:val="20"/>
          <w:lang w:val="en-US" w:eastAsia="x-none"/>
        </w:rPr>
        <w:t>This means that it is up to gNB responsibility to leave at least one PO for SI update monitoring in modification window.</w:t>
      </w:r>
    </w:p>
    <w:p w14:paraId="23754A2B" w14:textId="77777777" w:rsidR="006A227C" w:rsidRPr="006A227C" w:rsidRDefault="006A227C" w:rsidP="006A227C">
      <w:pPr>
        <w:numPr>
          <w:ilvl w:val="0"/>
          <w:numId w:val="178"/>
        </w:numPr>
        <w:spacing w:after="180" w:line="252" w:lineRule="auto"/>
        <w:contextualSpacing/>
        <w:rPr>
          <w:rFonts w:ascii="Times New Roman" w:hAnsi="Times New Roman"/>
          <w:szCs w:val="20"/>
          <w:lang w:val="en-US" w:eastAsia="x-none"/>
        </w:rPr>
      </w:pPr>
      <w:r w:rsidRPr="006A227C">
        <w:rPr>
          <w:rFonts w:ascii="Times New Roman" w:hAnsi="Times New Roman"/>
          <w:szCs w:val="20"/>
          <w:lang w:val="en-US" w:eastAsia="x-none"/>
        </w:rPr>
        <w:t>Adopt the following TP for 38.213 clause 17.2:</w:t>
      </w:r>
    </w:p>
    <w:tbl>
      <w:tblPr>
        <w:tblW w:w="5000" w:type="pct"/>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0683"/>
      </w:tblGrid>
      <w:tr w:rsidR="006A227C" w:rsidRPr="006A227C" w14:paraId="71526CAD" w14:textId="77777777" w:rsidTr="006A227C">
        <w:tc>
          <w:tcPr>
            <w:tcW w:w="5000" w:type="pct"/>
            <w:shd w:val="clear" w:color="auto" w:fill="auto"/>
          </w:tcPr>
          <w:p w14:paraId="65AB225E" w14:textId="77777777" w:rsidR="006A227C" w:rsidRPr="006A227C" w:rsidRDefault="006A227C" w:rsidP="006A227C">
            <w:pPr>
              <w:rPr>
                <w:rFonts w:ascii="Arial" w:hAnsi="Arial" w:cs="Arial"/>
                <w:bCs/>
                <w:sz w:val="16"/>
                <w:szCs w:val="16"/>
                <w:lang w:val="en-US"/>
              </w:rPr>
            </w:pPr>
            <w:r w:rsidRPr="006A227C">
              <w:rPr>
                <w:rFonts w:ascii="Arial" w:eastAsia="Times New Roman" w:hAnsi="Arial" w:cs="Arial"/>
                <w:sz w:val="16"/>
                <w:szCs w:val="16"/>
                <w:lang w:val="en-US" w:eastAsia="zh-CN"/>
              </w:rPr>
              <w:t>A HD-UE does not expect to receive both dedicated higher layer parameters configuring transmission in a set of symbols and dedicated higher layer parameters configuring reception in the set of symbols. A HD-UE does not expect to receive both a Type-0/0A/1/2-PDCCH CSS set configuration for PDCCH reception in a set of symbols and dedicated higher layer parameters configuring transmission in the set of symbols</w:t>
            </w:r>
            <w:r w:rsidRPr="006A227C">
              <w:rPr>
                <w:rFonts w:ascii="Arial" w:eastAsia="Times New Roman" w:hAnsi="Arial" w:cs="Arial"/>
                <w:color w:val="C00000"/>
                <w:sz w:val="16"/>
                <w:szCs w:val="16"/>
                <w:u w:val="single"/>
                <w:lang w:val="en-US" w:eastAsia="zh-CN"/>
              </w:rPr>
              <w:t>, except Type-2-PDCCH CSS set configuration for PDCCH reception in a set of symbols and configured-grant based PUSCH transmission as described in clause 19.1 in the set of symbols for which case the UE follows the procedure as in clause 5.1B.2.6 in [10, TS 38.133]</w:t>
            </w:r>
            <w:r w:rsidRPr="006A227C">
              <w:rPr>
                <w:rFonts w:ascii="Arial" w:eastAsia="Times New Roman" w:hAnsi="Arial" w:cs="Arial"/>
                <w:sz w:val="16"/>
                <w:szCs w:val="16"/>
                <w:lang w:val="en-US" w:eastAsia="zh-CN"/>
              </w:rPr>
              <w:t>.</w:t>
            </w:r>
            <w:ins w:id="167" w:author="David mazzarese" w:date="2023-11-16T14:55:00Z">
              <w:r w:rsidRPr="006A227C">
                <w:rPr>
                  <w:rFonts w:ascii="Arial" w:eastAsia="Times New Roman" w:hAnsi="Arial" w:cs="Arial"/>
                  <w:sz w:val="16"/>
                  <w:szCs w:val="16"/>
                  <w:lang w:val="en-US" w:eastAsia="zh-CN"/>
                </w:rPr>
                <w:t xml:space="preserve"> The UE expect</w:t>
              </w:r>
            </w:ins>
            <w:ins w:id="168" w:author="David mazzarese" w:date="2023-11-16T15:00:00Z">
              <w:r w:rsidRPr="006A227C">
                <w:rPr>
                  <w:rFonts w:ascii="Arial" w:eastAsia="Times New Roman" w:hAnsi="Arial" w:cs="Arial"/>
                  <w:sz w:val="16"/>
                  <w:szCs w:val="16"/>
                  <w:lang w:val="en-US" w:eastAsia="zh-CN"/>
                </w:rPr>
                <w:t>s</w:t>
              </w:r>
            </w:ins>
            <w:ins w:id="169" w:author="David mazzarese" w:date="2023-11-16T14:55:00Z">
              <w:r w:rsidRPr="006A227C">
                <w:rPr>
                  <w:rFonts w:ascii="Arial" w:eastAsia="Times New Roman" w:hAnsi="Arial" w:cs="Arial"/>
                  <w:sz w:val="16"/>
                  <w:szCs w:val="16"/>
                  <w:lang w:val="en-US" w:eastAsia="zh-CN"/>
                </w:rPr>
                <w:t xml:space="preserve"> to be configured</w:t>
              </w:r>
            </w:ins>
            <w:ins w:id="170" w:author="David mazzarese" w:date="2023-11-16T14:59:00Z">
              <w:r w:rsidRPr="006A227C">
                <w:rPr>
                  <w:rFonts w:ascii="Arial" w:eastAsia="Times New Roman" w:hAnsi="Arial" w:cs="Arial"/>
                  <w:sz w:val="16"/>
                  <w:szCs w:val="16"/>
                  <w:lang w:val="en-US" w:eastAsia="zh-CN"/>
                </w:rPr>
                <w:t xml:space="preserve"> with</w:t>
              </w:r>
            </w:ins>
            <w:ins w:id="171" w:author="David mazzarese" w:date="2023-11-16T15:03:00Z">
              <w:r w:rsidRPr="006A227C">
                <w:rPr>
                  <w:rFonts w:ascii="Arial" w:eastAsia="Times New Roman" w:hAnsi="Arial" w:cs="Arial"/>
                  <w:sz w:val="16"/>
                  <w:szCs w:val="16"/>
                  <w:lang w:val="en-US" w:eastAsia="zh-CN"/>
                </w:rPr>
                <w:t xml:space="preserve"> a</w:t>
              </w:r>
            </w:ins>
            <w:ins w:id="172" w:author="David mazzarese" w:date="2023-11-16T14:55:00Z">
              <w:r w:rsidRPr="006A227C">
                <w:rPr>
                  <w:rFonts w:ascii="Arial" w:eastAsia="Times New Roman" w:hAnsi="Arial" w:cs="Arial"/>
                  <w:sz w:val="16"/>
                  <w:szCs w:val="16"/>
                  <w:lang w:val="en-US" w:eastAsia="zh-CN"/>
                </w:rPr>
                <w:t xml:space="preserve"> </w:t>
              </w:r>
            </w:ins>
            <w:ins w:id="173" w:author="David mazzarese" w:date="2023-11-16T14:59:00Z">
              <w:r w:rsidRPr="006A227C">
                <w:rPr>
                  <w:rFonts w:ascii="Arial" w:eastAsia="Times New Roman" w:hAnsi="Arial" w:cs="Arial"/>
                  <w:color w:val="C00000"/>
                  <w:sz w:val="16"/>
                  <w:szCs w:val="16"/>
                  <w:u w:val="single"/>
                  <w:lang w:val="en-US" w:eastAsia="zh-CN"/>
                </w:rPr>
                <w:t xml:space="preserve">Type-2-PDCCH CSS set configuration </w:t>
              </w:r>
            </w:ins>
            <w:ins w:id="174" w:author="David mazzarese" w:date="2023-11-16T14:55:00Z">
              <w:r w:rsidRPr="006A227C">
                <w:rPr>
                  <w:rFonts w:ascii="Arial" w:eastAsia="Times New Roman" w:hAnsi="Arial" w:cs="Arial"/>
                  <w:sz w:val="16"/>
                  <w:szCs w:val="16"/>
                  <w:lang w:val="en-US" w:eastAsia="zh-CN"/>
                </w:rPr>
                <w:t xml:space="preserve">for PDCCH reception </w:t>
              </w:r>
            </w:ins>
            <w:ins w:id="175" w:author="David mazzarese" w:date="2023-11-16T15:00:00Z">
              <w:r w:rsidRPr="006A227C">
                <w:rPr>
                  <w:rFonts w:ascii="Arial" w:eastAsia="Times New Roman" w:hAnsi="Arial" w:cs="Arial"/>
                  <w:sz w:val="16"/>
                  <w:szCs w:val="16"/>
                  <w:lang w:val="en-US" w:eastAsia="zh-CN"/>
                </w:rPr>
                <w:t>such that</w:t>
              </w:r>
            </w:ins>
            <w:ins w:id="176" w:author="David mazzarese" w:date="2023-11-16T14:55:00Z">
              <w:r w:rsidRPr="006A227C">
                <w:rPr>
                  <w:rFonts w:ascii="Arial" w:eastAsia="Times New Roman" w:hAnsi="Arial" w:cs="Arial"/>
                  <w:sz w:val="16"/>
                  <w:szCs w:val="16"/>
                  <w:lang w:val="en-US" w:eastAsia="zh-CN"/>
                </w:rPr>
                <w:t xml:space="preserve"> there is </w:t>
              </w:r>
            </w:ins>
            <w:ins w:id="177" w:author="David mazzarese" w:date="2023-11-16T14:58:00Z">
              <w:r w:rsidRPr="006A227C">
                <w:rPr>
                  <w:rFonts w:ascii="Arial" w:eastAsia="Times New Roman" w:hAnsi="Arial" w:cs="Arial"/>
                  <w:sz w:val="16"/>
                  <w:szCs w:val="16"/>
                  <w:lang w:val="en-US" w:eastAsia="zh-CN"/>
                </w:rPr>
                <w:t>at least one</w:t>
              </w:r>
            </w:ins>
            <w:ins w:id="178" w:author="David mazzarese" w:date="2023-11-16T14:55:00Z">
              <w:r w:rsidRPr="006A227C">
                <w:rPr>
                  <w:rFonts w:ascii="Arial" w:eastAsia="Times New Roman" w:hAnsi="Arial" w:cs="Arial"/>
                  <w:sz w:val="16"/>
                  <w:szCs w:val="16"/>
                  <w:lang w:val="en-US" w:eastAsia="zh-CN"/>
                </w:rPr>
                <w:t xml:space="preserve"> </w:t>
              </w:r>
            </w:ins>
            <w:ins w:id="179" w:author="David mazzarese" w:date="2023-11-16T14:57:00Z">
              <w:r w:rsidRPr="006A227C">
                <w:rPr>
                  <w:rFonts w:ascii="Arial" w:hAnsi="Arial" w:cs="Arial"/>
                  <w:sz w:val="16"/>
                  <w:szCs w:val="16"/>
                  <w:lang w:eastAsia="zh-CN"/>
                </w:rPr>
                <w:t xml:space="preserve">paging occasion </w:t>
              </w:r>
            </w:ins>
            <w:ins w:id="180" w:author="David mazzarese" w:date="2023-11-16T14:58:00Z">
              <w:r w:rsidRPr="006A227C">
                <w:rPr>
                  <w:rFonts w:ascii="Arial" w:hAnsi="Arial" w:cs="Arial"/>
                  <w:sz w:val="16"/>
                  <w:szCs w:val="16"/>
                  <w:lang w:eastAsia="zh-CN"/>
                </w:rPr>
                <w:t xml:space="preserve">that does not overlap </w:t>
              </w:r>
            </w:ins>
            <w:ins w:id="181" w:author="David mazzarese" w:date="2023-11-16T14:57:00Z">
              <w:r w:rsidRPr="006A227C">
                <w:rPr>
                  <w:rFonts w:ascii="Arial" w:hAnsi="Arial" w:cs="Arial"/>
                  <w:sz w:val="16"/>
                  <w:szCs w:val="16"/>
                  <w:lang w:eastAsia="zh-CN"/>
                </w:rPr>
                <w:t xml:space="preserve">with </w:t>
              </w:r>
            </w:ins>
            <w:ins w:id="182" w:author="David mazzarese" w:date="2023-11-16T14:59:00Z">
              <w:r w:rsidRPr="006A227C">
                <w:rPr>
                  <w:rFonts w:ascii="Arial" w:eastAsia="Times New Roman" w:hAnsi="Arial" w:cs="Arial"/>
                  <w:color w:val="C00000"/>
                  <w:sz w:val="16"/>
                  <w:szCs w:val="16"/>
                  <w:u w:val="single"/>
                  <w:lang w:val="en-US" w:eastAsia="zh-CN"/>
                </w:rPr>
                <w:t>configured-grant based PUSCH transmission</w:t>
              </w:r>
            </w:ins>
            <w:ins w:id="183" w:author="David mazzarese" w:date="2023-11-16T15:01:00Z">
              <w:r w:rsidRPr="006A227C">
                <w:rPr>
                  <w:rFonts w:ascii="Arial" w:eastAsia="Times New Roman" w:hAnsi="Arial" w:cs="Arial"/>
                  <w:color w:val="C00000"/>
                  <w:sz w:val="16"/>
                  <w:szCs w:val="16"/>
                  <w:u w:val="single"/>
                  <w:lang w:val="en-US" w:eastAsia="zh-CN"/>
                </w:rPr>
                <w:t xml:space="preserve"> as described in clause 19.1 </w:t>
              </w:r>
            </w:ins>
            <w:ins w:id="184" w:author="David mazzarese" w:date="2023-11-16T14:58:00Z">
              <w:r w:rsidRPr="006A227C">
                <w:rPr>
                  <w:rFonts w:ascii="Arial" w:hAnsi="Arial" w:cs="Arial"/>
                  <w:sz w:val="16"/>
                  <w:szCs w:val="16"/>
                  <w:lang w:eastAsia="ja-JP"/>
                </w:rPr>
                <w:t xml:space="preserve">per </w:t>
              </w:r>
            </w:ins>
            <w:ins w:id="185" w:author="David mazzarese" w:date="2023-11-16T15:02:00Z">
              <w:r w:rsidRPr="006A227C">
                <w:rPr>
                  <w:rFonts w:ascii="Arial" w:hAnsi="Arial" w:cs="Arial"/>
                  <w:sz w:val="16"/>
                  <w:szCs w:val="16"/>
                  <w:lang w:eastAsia="ja-JP"/>
                </w:rPr>
                <w:t xml:space="preserve">SI </w:t>
              </w:r>
            </w:ins>
            <w:ins w:id="186" w:author="David mazzarese" w:date="2023-11-16T14:58:00Z">
              <w:r w:rsidRPr="006A227C">
                <w:rPr>
                  <w:rFonts w:ascii="Arial" w:hAnsi="Arial" w:cs="Arial"/>
                  <w:sz w:val="16"/>
                  <w:szCs w:val="16"/>
                  <w:lang w:eastAsia="ja-JP"/>
                </w:rPr>
                <w:t>modification period.</w:t>
              </w:r>
            </w:ins>
          </w:p>
        </w:tc>
      </w:tr>
    </w:tbl>
    <w:p w14:paraId="022024B5" w14:textId="77777777" w:rsidR="006A227C" w:rsidRPr="006A227C" w:rsidRDefault="006A227C" w:rsidP="006A227C">
      <w:pPr>
        <w:rPr>
          <w:lang w:eastAsia="x-none"/>
        </w:rPr>
      </w:pPr>
    </w:p>
    <w:p w14:paraId="262CF0F9" w14:textId="75E1DE5B" w:rsidR="006A227C" w:rsidRPr="006A227C" w:rsidRDefault="005A18DC" w:rsidP="006A227C">
      <w:pPr>
        <w:rPr>
          <w:b/>
          <w:lang w:eastAsia="x-none"/>
        </w:rPr>
      </w:pPr>
      <w:hyperlink r:id="rId683" w:history="1">
        <w:r w:rsidR="00AF7253">
          <w:rPr>
            <w:rStyle w:val="Hyperlink"/>
            <w:b/>
            <w:lang w:eastAsia="x-none"/>
          </w:rPr>
          <w:t>R1-2312521</w:t>
        </w:r>
      </w:hyperlink>
      <w:r w:rsidR="006A227C" w:rsidRPr="006A227C">
        <w:rPr>
          <w:b/>
          <w:lang w:eastAsia="x-none"/>
        </w:rPr>
        <w:tab/>
        <w:t>Draft Reply LS on monitoring of paging occasions for CG-SDT with HD-FDD RedCap UEs</w:t>
      </w:r>
      <w:r w:rsidR="006A227C" w:rsidRPr="006A227C">
        <w:rPr>
          <w:b/>
          <w:lang w:eastAsia="x-none"/>
        </w:rPr>
        <w:tab/>
        <w:t>Ericsson</w:t>
      </w:r>
    </w:p>
    <w:p w14:paraId="24CD4B0B" w14:textId="39BF8E6C" w:rsidR="004A7826" w:rsidRPr="00A123DF" w:rsidRDefault="004A7826" w:rsidP="004A7826">
      <w:pPr>
        <w:rPr>
          <w:lang w:eastAsia="x-none"/>
        </w:rPr>
      </w:pPr>
      <w:r>
        <w:rPr>
          <w:b/>
          <w:lang w:eastAsia="x-none"/>
        </w:rPr>
        <w:t xml:space="preserve">Decision: </w:t>
      </w:r>
      <w:r w:rsidRPr="006A227C">
        <w:rPr>
          <w:lang w:eastAsia="x-none"/>
        </w:rPr>
        <w:t xml:space="preserve">The draft </w:t>
      </w:r>
      <w:r>
        <w:rPr>
          <w:lang w:eastAsia="x-none"/>
        </w:rPr>
        <w:t>r</w:t>
      </w:r>
      <w:r w:rsidRPr="006A227C">
        <w:rPr>
          <w:lang w:eastAsia="x-none"/>
        </w:rPr>
        <w:t xml:space="preserve">eply LS is endorsed in </w:t>
      </w:r>
      <w:hyperlink r:id="rId684" w:history="1">
        <w:r w:rsidR="00AF7253">
          <w:rPr>
            <w:rStyle w:val="Hyperlink"/>
            <w:lang w:eastAsia="x-none"/>
          </w:rPr>
          <w:t>R1-2312521</w:t>
        </w:r>
      </w:hyperlink>
      <w:r w:rsidRPr="00A123DF">
        <w:rPr>
          <w:lang w:eastAsia="x-none"/>
        </w:rPr>
        <w:t xml:space="preserve">. Final LS is </w:t>
      </w:r>
      <w:r w:rsidRPr="00A123DF">
        <w:rPr>
          <w:highlight w:val="green"/>
          <w:lang w:eastAsia="x-none"/>
        </w:rPr>
        <w:t>a</w:t>
      </w:r>
      <w:r w:rsidRPr="00B32D2F">
        <w:rPr>
          <w:highlight w:val="green"/>
          <w:lang w:eastAsia="x-none"/>
        </w:rPr>
        <w:t xml:space="preserve">pproved </w:t>
      </w:r>
      <w:r w:rsidRPr="00A123DF">
        <w:rPr>
          <w:highlight w:val="green"/>
          <w:lang w:eastAsia="x-none"/>
        </w:rPr>
        <w:t xml:space="preserve">in </w:t>
      </w:r>
      <w:hyperlink r:id="rId685" w:history="1">
        <w:r w:rsidR="00AF7253">
          <w:rPr>
            <w:rStyle w:val="Hyperlink"/>
            <w:highlight w:val="green"/>
            <w:lang w:eastAsia="x-none"/>
          </w:rPr>
          <w:t>R1-2312522</w:t>
        </w:r>
      </w:hyperlink>
      <w:r w:rsidRPr="00A123DF">
        <w:rPr>
          <w:lang w:eastAsia="x-none"/>
        </w:rPr>
        <w:t>.</w:t>
      </w:r>
    </w:p>
    <w:p w14:paraId="5AAD8BB5" w14:textId="77777777" w:rsidR="006A227C" w:rsidRDefault="006A227C" w:rsidP="006A227C">
      <w:pPr>
        <w:rPr>
          <w:lang w:eastAsia="x-none"/>
        </w:rPr>
      </w:pPr>
    </w:p>
    <w:p w14:paraId="56CB8CC2" w14:textId="32F6FA40" w:rsidR="004A7826" w:rsidRPr="004A7826" w:rsidRDefault="005A18DC" w:rsidP="004A7826">
      <w:pPr>
        <w:rPr>
          <w:b/>
          <w:bCs/>
          <w:lang w:val="en-US"/>
        </w:rPr>
      </w:pPr>
      <w:hyperlink r:id="rId686" w:history="1">
        <w:r w:rsidR="00AF7253">
          <w:rPr>
            <w:rStyle w:val="Hyperlink"/>
            <w:b/>
            <w:bCs/>
            <w:lang w:val="en-US"/>
          </w:rPr>
          <w:t>R1-2312644</w:t>
        </w:r>
      </w:hyperlink>
      <w:r w:rsidR="004A7826" w:rsidRPr="004A7826">
        <w:rPr>
          <w:b/>
          <w:bCs/>
          <w:lang w:val="en-US"/>
        </w:rPr>
        <w:tab/>
        <w:t>Correction of monitoring of paging occasions for CG-SDT with HD-FDD RedCap UEs</w:t>
      </w:r>
      <w:r w:rsidR="004A7826" w:rsidRPr="004A7826">
        <w:rPr>
          <w:b/>
          <w:bCs/>
          <w:lang w:val="en-US"/>
        </w:rPr>
        <w:tab/>
        <w:t>Moderator (Ericsson)</w:t>
      </w:r>
    </w:p>
    <w:p w14:paraId="7F483D6B" w14:textId="27920284" w:rsidR="004A7826" w:rsidRPr="004A7826" w:rsidRDefault="005A18DC" w:rsidP="004A7826">
      <w:pPr>
        <w:rPr>
          <w:b/>
          <w:bCs/>
          <w:lang w:val="en-US"/>
        </w:rPr>
      </w:pPr>
      <w:hyperlink r:id="rId687" w:history="1">
        <w:r w:rsidR="00AF7253">
          <w:rPr>
            <w:rStyle w:val="Hyperlink"/>
            <w:b/>
            <w:bCs/>
            <w:lang w:val="en-US"/>
          </w:rPr>
          <w:t>R1-2312647</w:t>
        </w:r>
      </w:hyperlink>
      <w:r w:rsidR="004A7826" w:rsidRPr="004A7826">
        <w:rPr>
          <w:b/>
          <w:bCs/>
          <w:lang w:val="en-US"/>
        </w:rPr>
        <w:tab/>
        <w:t>Correction of monitoring of paging occasions for CG-SDT with HD-FDD RedCap UEs</w:t>
      </w:r>
      <w:r w:rsidR="004A7826" w:rsidRPr="004A7826">
        <w:rPr>
          <w:b/>
          <w:bCs/>
          <w:lang w:val="en-US"/>
        </w:rPr>
        <w:tab/>
        <w:t>Moderator (Ericsson)</w:t>
      </w:r>
    </w:p>
    <w:p w14:paraId="0547EA8F" w14:textId="77777777" w:rsidR="004A7826" w:rsidRPr="006A227C" w:rsidRDefault="004A7826" w:rsidP="004A7826">
      <w:pPr>
        <w:rPr>
          <w:lang w:eastAsia="x-none"/>
        </w:rPr>
      </w:pPr>
      <w:r w:rsidRPr="006A227C">
        <w:rPr>
          <w:highlight w:val="green"/>
          <w:lang w:eastAsia="x-none"/>
        </w:rPr>
        <w:t>Agreement</w:t>
      </w:r>
    </w:p>
    <w:p w14:paraId="32FE24DA" w14:textId="00C05959" w:rsidR="004A7826" w:rsidRPr="006A227C" w:rsidRDefault="004A7826" w:rsidP="004A7826">
      <w:pPr>
        <w:rPr>
          <w:lang w:eastAsia="x-none"/>
        </w:rPr>
      </w:pPr>
      <w:r w:rsidRPr="006A227C">
        <w:rPr>
          <w:lang w:eastAsia="x-none"/>
        </w:rPr>
        <w:t xml:space="preserve">The Rel-17 draft CR in </w:t>
      </w:r>
      <w:hyperlink r:id="rId688" w:history="1">
        <w:r w:rsidR="00AF7253">
          <w:rPr>
            <w:rStyle w:val="Hyperlink"/>
            <w:lang w:eastAsia="x-none"/>
          </w:rPr>
          <w:t>R1-2312644</w:t>
        </w:r>
      </w:hyperlink>
      <w:r w:rsidRPr="006A227C">
        <w:rPr>
          <w:lang w:eastAsia="x-none"/>
        </w:rPr>
        <w:t xml:space="preserve"> and the Rel-18 shadow draft CR in </w:t>
      </w:r>
      <w:hyperlink r:id="rId689" w:history="1">
        <w:r w:rsidR="00AF7253">
          <w:rPr>
            <w:rStyle w:val="Hyperlink"/>
            <w:lang w:eastAsia="x-none"/>
          </w:rPr>
          <w:t>R1-2312647</w:t>
        </w:r>
      </w:hyperlink>
      <w:r w:rsidRPr="006A227C">
        <w:rPr>
          <w:lang w:eastAsia="x-none"/>
        </w:rPr>
        <w:t xml:space="preserve"> are endorsed.</w:t>
      </w:r>
    </w:p>
    <w:p w14:paraId="0BE97245" w14:textId="0F487324" w:rsidR="004A7826" w:rsidRPr="004A7826" w:rsidRDefault="004A7826" w:rsidP="004A7826">
      <w:r>
        <w:t>Final CRs in:</w:t>
      </w:r>
    </w:p>
    <w:p w14:paraId="6B2D8F53" w14:textId="65C960FA" w:rsidR="004A7826" w:rsidRPr="004A7826" w:rsidRDefault="005A18DC" w:rsidP="004A7826">
      <w:pPr>
        <w:rPr>
          <w:b/>
          <w:bCs/>
          <w:lang w:val="en-US"/>
        </w:rPr>
      </w:pPr>
      <w:hyperlink r:id="rId690" w:history="1">
        <w:r w:rsidR="00AF7253">
          <w:rPr>
            <w:rStyle w:val="Hyperlink"/>
            <w:b/>
            <w:bCs/>
            <w:highlight w:val="green"/>
            <w:lang w:val="en-US"/>
          </w:rPr>
          <w:t>R1-2312682</w:t>
        </w:r>
      </w:hyperlink>
      <w:r w:rsidR="004A7826" w:rsidRPr="004A7826">
        <w:rPr>
          <w:b/>
          <w:bCs/>
          <w:lang w:val="en-US"/>
        </w:rPr>
        <w:tab/>
        <w:t>Correction of monitoring of paging occasions for CG-SDT with HD-FDD RedCap UEs</w:t>
      </w:r>
      <w:r w:rsidR="004A7826" w:rsidRPr="004A7826">
        <w:rPr>
          <w:b/>
          <w:bCs/>
          <w:lang w:val="en-US"/>
        </w:rPr>
        <w:tab/>
        <w:t>Moderator (Ericsson), NTT DOCOMO, ZTE, Ericsson</w:t>
      </w:r>
    </w:p>
    <w:p w14:paraId="1E1ABC64" w14:textId="77777777" w:rsidR="004A7826" w:rsidRDefault="004A7826" w:rsidP="004A7826">
      <w:pPr>
        <w:rPr>
          <w:lang w:val="en-US"/>
        </w:rPr>
      </w:pPr>
      <w:r>
        <w:rPr>
          <w:lang w:val="en-US"/>
        </w:rPr>
        <w:t>(</w:t>
      </w:r>
      <w:r w:rsidRPr="004A7826">
        <w:rPr>
          <w:lang w:val="en-US"/>
        </w:rPr>
        <w:t>Rel-17</w:t>
      </w:r>
      <w:r>
        <w:rPr>
          <w:lang w:val="en-US"/>
        </w:rPr>
        <w:t xml:space="preserve">, </w:t>
      </w:r>
      <w:r w:rsidRPr="004A7826">
        <w:rPr>
          <w:lang w:val="en-US"/>
        </w:rPr>
        <w:t>38.213</w:t>
      </w:r>
      <w:r>
        <w:rPr>
          <w:lang w:val="en-US"/>
        </w:rPr>
        <w:t>, CR</w:t>
      </w:r>
      <w:r w:rsidRPr="004A7826">
        <w:rPr>
          <w:lang w:val="en-US"/>
        </w:rPr>
        <w:t>0563</w:t>
      </w:r>
      <w:r>
        <w:rPr>
          <w:lang w:val="en-US"/>
        </w:rPr>
        <w:t xml:space="preserve">,Cat </w:t>
      </w:r>
      <w:r w:rsidRPr="004A7826">
        <w:rPr>
          <w:lang w:val="en-US"/>
        </w:rPr>
        <w:t>F</w:t>
      </w:r>
      <w:r>
        <w:rPr>
          <w:lang w:val="en-US"/>
        </w:rPr>
        <w:t>) is agreed.</w:t>
      </w:r>
    </w:p>
    <w:p w14:paraId="056286D0" w14:textId="0D230043" w:rsidR="004A7826" w:rsidRPr="004A7826" w:rsidRDefault="005A18DC" w:rsidP="004A7826">
      <w:pPr>
        <w:rPr>
          <w:b/>
          <w:bCs/>
          <w:lang w:val="en-US"/>
        </w:rPr>
      </w:pPr>
      <w:hyperlink r:id="rId691" w:history="1">
        <w:r w:rsidR="00AF7253">
          <w:rPr>
            <w:rStyle w:val="Hyperlink"/>
            <w:b/>
            <w:bCs/>
            <w:highlight w:val="green"/>
            <w:lang w:val="en-US"/>
          </w:rPr>
          <w:t>R1-2312683</w:t>
        </w:r>
      </w:hyperlink>
      <w:r w:rsidR="004A7826" w:rsidRPr="004A7826">
        <w:rPr>
          <w:b/>
          <w:bCs/>
          <w:lang w:val="en-US"/>
        </w:rPr>
        <w:tab/>
        <w:t>Correction of monitoring of paging occasions for CG-SDT with HD-FDD RedCap UEs</w:t>
      </w:r>
      <w:r w:rsidR="004A7826" w:rsidRPr="004A7826">
        <w:rPr>
          <w:b/>
          <w:bCs/>
          <w:lang w:val="en-US"/>
        </w:rPr>
        <w:tab/>
        <w:t>Moderator (Ericsson), NTT DOCOMO, ZTE, Ericsson</w:t>
      </w:r>
    </w:p>
    <w:p w14:paraId="7F0D2A0C" w14:textId="17F7C111" w:rsidR="004A7826" w:rsidRDefault="004A7826" w:rsidP="004A7826">
      <w:pPr>
        <w:rPr>
          <w:lang w:val="en-US"/>
        </w:rPr>
      </w:pPr>
      <w:r>
        <w:rPr>
          <w:lang w:val="en-US"/>
        </w:rPr>
        <w:t>(</w:t>
      </w:r>
      <w:r w:rsidRPr="004A7826">
        <w:rPr>
          <w:lang w:val="en-US"/>
        </w:rPr>
        <w:t>Rel-1</w:t>
      </w:r>
      <w:r>
        <w:rPr>
          <w:lang w:val="en-US"/>
        </w:rPr>
        <w:t xml:space="preserve">8, </w:t>
      </w:r>
      <w:r w:rsidRPr="004A7826">
        <w:rPr>
          <w:lang w:val="en-US"/>
        </w:rPr>
        <w:t>38.213</w:t>
      </w:r>
      <w:r>
        <w:rPr>
          <w:lang w:val="en-US"/>
        </w:rPr>
        <w:t>, CR</w:t>
      </w:r>
      <w:r w:rsidRPr="004A7826">
        <w:rPr>
          <w:lang w:val="en-US"/>
        </w:rPr>
        <w:t>056</w:t>
      </w:r>
      <w:r>
        <w:rPr>
          <w:lang w:val="en-US"/>
        </w:rPr>
        <w:t>4,Cat A) is agreed.</w:t>
      </w:r>
    </w:p>
    <w:p w14:paraId="6B900AC3" w14:textId="77777777" w:rsidR="004A7826" w:rsidRDefault="004A7826" w:rsidP="004A7826">
      <w:pPr>
        <w:rPr>
          <w:lang w:val="en-US"/>
        </w:rPr>
      </w:pPr>
    </w:p>
    <w:p w14:paraId="22EBE514" w14:textId="77777777" w:rsidR="00A123DF" w:rsidRPr="00A123DF" w:rsidRDefault="00A123DF" w:rsidP="00A123DF">
      <w:pPr>
        <w:rPr>
          <w:lang w:eastAsia="x-none"/>
        </w:rPr>
      </w:pPr>
    </w:p>
    <w:p w14:paraId="4EC00589" w14:textId="77777777" w:rsidR="00A123DF" w:rsidRPr="00A123DF" w:rsidRDefault="00A123DF" w:rsidP="00A123DF">
      <w:pPr>
        <w:rPr>
          <w:b/>
          <w:lang w:eastAsia="x-none"/>
        </w:rPr>
      </w:pPr>
      <w:r w:rsidRPr="00A123DF">
        <w:rPr>
          <w:b/>
          <w:lang w:eastAsia="x-none"/>
        </w:rPr>
        <w:t>Issue #2: NCD-SSB time offset restriction in TDD</w:t>
      </w:r>
    </w:p>
    <w:p w14:paraId="22623DD5" w14:textId="74E231F9" w:rsidR="00831CFB" w:rsidRDefault="005A18DC" w:rsidP="00831CFB">
      <w:pPr>
        <w:rPr>
          <w:lang w:eastAsia="x-none"/>
        </w:rPr>
      </w:pPr>
      <w:hyperlink r:id="rId692" w:history="1">
        <w:r w:rsidR="00AF7253">
          <w:rPr>
            <w:rStyle w:val="Hyperlink"/>
            <w:lang w:eastAsia="x-none"/>
          </w:rPr>
          <w:t>R1-2311785</w:t>
        </w:r>
      </w:hyperlink>
      <w:r w:rsidR="00831CFB" w:rsidRPr="009537ED">
        <w:rPr>
          <w:lang w:eastAsia="x-none"/>
        </w:rPr>
        <w:tab/>
        <w:t>Maintenance issues for Rel-17 NR RedCap</w:t>
      </w:r>
      <w:r w:rsidR="00831CFB" w:rsidRPr="009537ED">
        <w:rPr>
          <w:lang w:eastAsia="x-none"/>
        </w:rPr>
        <w:tab/>
        <w:t>Nokia, Nokia Shanghai Bell</w:t>
      </w:r>
    </w:p>
    <w:p w14:paraId="0DCCAC7F" w14:textId="77777777" w:rsidR="00AA76CD" w:rsidRPr="009537ED" w:rsidRDefault="00AA76CD" w:rsidP="00831CFB">
      <w:pPr>
        <w:rPr>
          <w:lang w:eastAsia="x-none"/>
        </w:rPr>
      </w:pPr>
    </w:p>
    <w:p w14:paraId="37A1275F" w14:textId="0BC97457" w:rsidR="00A123DF" w:rsidRPr="00831CFB" w:rsidRDefault="00831CFB" w:rsidP="00A123DF">
      <w:pPr>
        <w:rPr>
          <w:lang w:val="en-US"/>
        </w:rPr>
      </w:pPr>
      <w:r w:rsidRPr="00831CFB">
        <w:rPr>
          <w:u w:val="single"/>
          <w:lang w:val="en-US"/>
        </w:rPr>
        <w:t>Conclusion</w:t>
      </w:r>
      <w:r w:rsidRPr="00831CFB">
        <w:rPr>
          <w:lang w:val="en-US"/>
        </w:rPr>
        <w:t xml:space="preserve"> (confirmed as such on Friday)</w:t>
      </w:r>
    </w:p>
    <w:p w14:paraId="4BB0FEA3" w14:textId="77777777" w:rsidR="00831CFB" w:rsidRPr="00655B9D" w:rsidRDefault="00831CFB" w:rsidP="00831CFB">
      <w:pPr>
        <w:rPr>
          <w:lang w:eastAsia="x-none"/>
        </w:rPr>
      </w:pPr>
      <w:r w:rsidRPr="00831CFB">
        <w:rPr>
          <w:lang w:eastAsia="x-none"/>
        </w:rPr>
        <w:t>This issue (whether to revert the earlier RAN1 agreement on NCD-SSB time offset restriction in TDD) can be re-discussed in RAN1 if a request is received from RAN4.</w:t>
      </w:r>
    </w:p>
    <w:p w14:paraId="007506D6" w14:textId="77777777" w:rsidR="00A123DF" w:rsidRPr="00831CFB" w:rsidRDefault="00A123DF" w:rsidP="00A123DF">
      <w:pPr>
        <w:spacing w:after="180"/>
        <w:contextualSpacing/>
        <w:rPr>
          <w:rFonts w:eastAsia="Times New Roman"/>
          <w:bCs/>
          <w:szCs w:val="22"/>
          <w:lang w:eastAsia="zh-CN"/>
        </w:rPr>
      </w:pPr>
    </w:p>
    <w:p w14:paraId="2493EBF4" w14:textId="77777777" w:rsidR="00A123DF" w:rsidRPr="00A123DF" w:rsidRDefault="00A123DF" w:rsidP="00A123DF">
      <w:pPr>
        <w:rPr>
          <w:lang w:eastAsia="x-none"/>
        </w:rPr>
      </w:pPr>
    </w:p>
    <w:p w14:paraId="59CFA98F" w14:textId="77777777" w:rsidR="00A123DF" w:rsidRDefault="00A123DF" w:rsidP="00A123DF">
      <w:pPr>
        <w:rPr>
          <w:b/>
          <w:lang w:eastAsia="x-none"/>
        </w:rPr>
      </w:pPr>
      <w:r w:rsidRPr="00A123DF">
        <w:rPr>
          <w:b/>
          <w:lang w:eastAsia="x-none"/>
        </w:rPr>
        <w:t>Issue #3: TDD PUCCH validation in BWP with NCD-SSB</w:t>
      </w:r>
    </w:p>
    <w:p w14:paraId="2B3C6477" w14:textId="5D085C57" w:rsidR="00831CFB" w:rsidRPr="009537ED" w:rsidRDefault="005A18DC" w:rsidP="00831CFB">
      <w:pPr>
        <w:rPr>
          <w:lang w:eastAsia="x-none"/>
        </w:rPr>
      </w:pPr>
      <w:hyperlink r:id="rId693" w:history="1">
        <w:r w:rsidR="00AF7253">
          <w:rPr>
            <w:rStyle w:val="Hyperlink"/>
            <w:lang w:eastAsia="x-none"/>
          </w:rPr>
          <w:t>R1-2310990</w:t>
        </w:r>
      </w:hyperlink>
      <w:r w:rsidR="00831CFB" w:rsidRPr="009537ED">
        <w:rPr>
          <w:lang w:eastAsia="x-none"/>
        </w:rPr>
        <w:tab/>
        <w:t>Rel-17 RedCap maintenance issues</w:t>
      </w:r>
      <w:r w:rsidR="00831CFB" w:rsidRPr="009537ED">
        <w:rPr>
          <w:lang w:eastAsia="x-none"/>
        </w:rPr>
        <w:tab/>
        <w:t>ZTE, Sanechips</w:t>
      </w:r>
    </w:p>
    <w:p w14:paraId="46E6EE9D" w14:textId="5A0E4ADC" w:rsidR="00831CFB" w:rsidRPr="009537ED" w:rsidRDefault="005A18DC" w:rsidP="00831CFB">
      <w:pPr>
        <w:rPr>
          <w:lang w:eastAsia="x-none"/>
        </w:rPr>
      </w:pPr>
      <w:hyperlink r:id="rId694" w:history="1">
        <w:r w:rsidR="00AF7253">
          <w:rPr>
            <w:rStyle w:val="Hyperlink"/>
            <w:lang w:eastAsia="x-none"/>
          </w:rPr>
          <w:t>R1-2311077</w:t>
        </w:r>
      </w:hyperlink>
      <w:r w:rsidR="00831CFB" w:rsidRPr="009537ED">
        <w:rPr>
          <w:lang w:eastAsia="x-none"/>
        </w:rPr>
        <w:tab/>
        <w:t>Maintenance for Rel-17 RedCap</w:t>
      </w:r>
      <w:r w:rsidR="00831CFB" w:rsidRPr="009537ED">
        <w:rPr>
          <w:lang w:eastAsia="x-none"/>
        </w:rPr>
        <w:tab/>
        <w:t>vivo</w:t>
      </w:r>
    </w:p>
    <w:p w14:paraId="245CDE85" w14:textId="438711D5" w:rsidR="00831CFB" w:rsidRPr="009537ED" w:rsidRDefault="005A18DC" w:rsidP="00831CFB">
      <w:pPr>
        <w:rPr>
          <w:lang w:eastAsia="x-none"/>
        </w:rPr>
      </w:pPr>
      <w:hyperlink r:id="rId695" w:history="1">
        <w:r w:rsidR="00AF7253">
          <w:rPr>
            <w:rStyle w:val="Hyperlink"/>
            <w:lang w:eastAsia="x-none"/>
          </w:rPr>
          <w:t>R1-2311473</w:t>
        </w:r>
      </w:hyperlink>
      <w:r w:rsidR="00831CFB" w:rsidRPr="009537ED">
        <w:rPr>
          <w:lang w:eastAsia="x-none"/>
        </w:rPr>
        <w:tab/>
        <w:t>Draft CR on PUCCH repetition for RedCap</w:t>
      </w:r>
      <w:r w:rsidR="00831CFB" w:rsidRPr="009537ED">
        <w:rPr>
          <w:lang w:eastAsia="x-none"/>
        </w:rPr>
        <w:tab/>
        <w:t>CMCC</w:t>
      </w:r>
    </w:p>
    <w:p w14:paraId="19D153DC" w14:textId="31C972D8" w:rsidR="00831CFB" w:rsidRDefault="005A18DC" w:rsidP="00831CFB">
      <w:pPr>
        <w:rPr>
          <w:lang w:eastAsia="x-none"/>
        </w:rPr>
      </w:pPr>
      <w:hyperlink r:id="rId696" w:history="1">
        <w:r w:rsidR="00AF7253">
          <w:rPr>
            <w:rStyle w:val="Hyperlink"/>
            <w:lang w:eastAsia="x-none"/>
          </w:rPr>
          <w:t>R1-2311968</w:t>
        </w:r>
      </w:hyperlink>
      <w:r w:rsidR="00831CFB" w:rsidRPr="009537ED">
        <w:rPr>
          <w:lang w:eastAsia="x-none"/>
        </w:rPr>
        <w:tab/>
        <w:t>Draft CR for 38.213 on UL resource counting with SSB in unpaired spectrum</w:t>
      </w:r>
      <w:r w:rsidR="00831CFB" w:rsidRPr="009537ED">
        <w:rPr>
          <w:lang w:eastAsia="x-none"/>
        </w:rPr>
        <w:tab/>
        <w:t>MediaTek Inc.</w:t>
      </w:r>
    </w:p>
    <w:p w14:paraId="738ECC00" w14:textId="77777777" w:rsidR="00AA76CD" w:rsidRPr="009537ED" w:rsidRDefault="00AA76CD" w:rsidP="00831CFB">
      <w:pPr>
        <w:rPr>
          <w:lang w:eastAsia="x-none"/>
        </w:rPr>
      </w:pPr>
    </w:p>
    <w:p w14:paraId="41649A7E" w14:textId="77777777" w:rsidR="00831CFB" w:rsidRPr="00AA76CD" w:rsidRDefault="00831CFB" w:rsidP="00831CFB">
      <w:pPr>
        <w:rPr>
          <w:bCs/>
          <w:lang w:val="en-US"/>
        </w:rPr>
      </w:pPr>
      <w:r w:rsidRPr="00AA76CD">
        <w:rPr>
          <w:bCs/>
          <w:highlight w:val="green"/>
          <w:lang w:val="en-US"/>
        </w:rPr>
        <w:t>Agreement</w:t>
      </w:r>
    </w:p>
    <w:p w14:paraId="4B87A4EC" w14:textId="77777777" w:rsidR="00831CFB" w:rsidRPr="00AA76CD" w:rsidRDefault="00831CFB" w:rsidP="00831CFB">
      <w:pPr>
        <w:rPr>
          <w:bCs/>
          <w:lang w:val="en-US"/>
        </w:rPr>
      </w:pPr>
      <w:r w:rsidRPr="00AA76CD">
        <w:rPr>
          <w:bCs/>
          <w:lang w:val="en-US"/>
        </w:rPr>
        <w:t>The following TP for 38.213 clause 9.2.6 is endorsed.</w:t>
      </w:r>
    </w:p>
    <w:tbl>
      <w:tblPr>
        <w:tblW w:w="5000" w:type="pct"/>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0683"/>
      </w:tblGrid>
      <w:tr w:rsidR="00831CFB" w:rsidRPr="00AA76CD" w14:paraId="6FC3CAD3" w14:textId="77777777" w:rsidTr="00AA76CD">
        <w:tc>
          <w:tcPr>
            <w:tcW w:w="5000" w:type="pct"/>
            <w:shd w:val="clear" w:color="auto" w:fill="auto"/>
          </w:tcPr>
          <w:p w14:paraId="2DCEC0B6" w14:textId="77777777" w:rsidR="00831CFB" w:rsidRPr="00AA76CD" w:rsidRDefault="00831CFB" w:rsidP="00831CFB">
            <w:pPr>
              <w:rPr>
                <w:rFonts w:ascii="Arial" w:hAnsi="Arial" w:cs="Arial"/>
                <w:sz w:val="16"/>
                <w:szCs w:val="16"/>
                <w:lang w:val="en-US"/>
              </w:rPr>
            </w:pPr>
            <w:r w:rsidRPr="00AA76CD">
              <w:rPr>
                <w:rFonts w:ascii="Arial" w:hAnsi="Arial" w:cs="Arial"/>
                <w:sz w:val="16"/>
                <w:szCs w:val="16"/>
                <w:lang w:val="en-US"/>
              </w:rPr>
              <w:t xml:space="preserve">A SS/PBCH block symbol is a symbol of an SS/PBCH block with </w:t>
            </w:r>
            <w:r w:rsidRPr="00AA76CD">
              <w:rPr>
                <w:rFonts w:ascii="Arial" w:eastAsia="DengXian" w:hAnsi="Arial" w:cs="Arial"/>
                <w:sz w:val="16"/>
                <w:szCs w:val="16"/>
              </w:rPr>
              <w:t xml:space="preserve">candidate SS/PBCH block index corresponding to the SS/PBCH block </w:t>
            </w:r>
            <w:r w:rsidRPr="00AA76CD">
              <w:rPr>
                <w:rFonts w:ascii="Arial" w:hAnsi="Arial" w:cs="Arial"/>
                <w:sz w:val="16"/>
                <w:szCs w:val="16"/>
                <w:lang w:val="en-US"/>
              </w:rPr>
              <w:t xml:space="preserve">index indicated to a UE by </w:t>
            </w:r>
            <w:r w:rsidRPr="00AA76CD">
              <w:rPr>
                <w:rFonts w:ascii="Arial" w:hAnsi="Arial" w:cs="Arial"/>
                <w:i/>
                <w:sz w:val="16"/>
                <w:szCs w:val="16"/>
                <w:lang w:val="en-US"/>
              </w:rPr>
              <w:t>ssb-PositionsInBurst</w:t>
            </w:r>
            <w:r w:rsidRPr="00AA76CD">
              <w:rPr>
                <w:rFonts w:ascii="Arial" w:hAnsi="Arial" w:cs="Arial"/>
                <w:sz w:val="16"/>
                <w:szCs w:val="16"/>
                <w:lang w:val="en-US"/>
              </w:rPr>
              <w:t xml:space="preserve"> in </w:t>
            </w:r>
            <w:r w:rsidRPr="00AA76CD">
              <w:rPr>
                <w:rFonts w:ascii="Arial" w:hAnsi="Arial" w:cs="Arial"/>
                <w:i/>
                <w:sz w:val="16"/>
                <w:szCs w:val="16"/>
                <w:lang w:val="en-US"/>
              </w:rPr>
              <w:t>SIB1</w:t>
            </w:r>
            <w:r w:rsidRPr="00AA76CD">
              <w:rPr>
                <w:rFonts w:ascii="Arial" w:hAnsi="Arial" w:cs="Arial"/>
                <w:sz w:val="16"/>
                <w:szCs w:val="16"/>
                <w:lang w:val="en-US"/>
              </w:rPr>
              <w:t xml:space="preserve"> or </w:t>
            </w:r>
            <w:r w:rsidRPr="00AA76CD">
              <w:rPr>
                <w:rFonts w:ascii="Arial" w:hAnsi="Arial" w:cs="Arial"/>
                <w:i/>
                <w:sz w:val="16"/>
                <w:szCs w:val="16"/>
                <w:lang w:val="en-US"/>
              </w:rPr>
              <w:t>ssb-PositionsInBurst</w:t>
            </w:r>
            <w:r w:rsidRPr="00AA76CD">
              <w:rPr>
                <w:rFonts w:ascii="Arial" w:hAnsi="Arial" w:cs="Arial"/>
                <w:sz w:val="16"/>
                <w:szCs w:val="16"/>
                <w:lang w:val="en-US"/>
              </w:rPr>
              <w:t xml:space="preserve"> in </w:t>
            </w:r>
            <w:r w:rsidRPr="00AA76CD">
              <w:rPr>
                <w:rFonts w:ascii="Arial" w:hAnsi="Arial" w:cs="Arial"/>
                <w:i/>
                <w:sz w:val="16"/>
                <w:szCs w:val="16"/>
                <w:lang w:val="en-US"/>
              </w:rPr>
              <w:t>ServingCellConfigCommon</w:t>
            </w:r>
            <w:r w:rsidRPr="00AA76CD">
              <w:rPr>
                <w:rFonts w:ascii="Arial" w:hAnsi="Arial" w:cs="Arial"/>
                <w:iCs/>
                <w:strike/>
                <w:color w:val="C00000"/>
                <w:sz w:val="16"/>
                <w:szCs w:val="16"/>
                <w:lang w:val="en-US"/>
              </w:rPr>
              <w:t xml:space="preserve"> </w:t>
            </w:r>
            <w:r w:rsidRPr="00AA76CD">
              <w:rPr>
                <w:rFonts w:ascii="Arial" w:hAnsi="Arial" w:cs="Arial"/>
                <w:strike/>
                <w:color w:val="C00000"/>
                <w:sz w:val="16"/>
                <w:szCs w:val="16"/>
              </w:rPr>
              <w:t>or by</w:t>
            </w:r>
            <w:r w:rsidRPr="00AA76CD">
              <w:rPr>
                <w:rFonts w:ascii="Arial" w:hAnsi="Arial" w:cs="Arial"/>
                <w:i/>
                <w:strike/>
                <w:color w:val="C00000"/>
                <w:sz w:val="16"/>
                <w:szCs w:val="16"/>
              </w:rPr>
              <w:t xml:space="preserve"> NonCellDefiningSSB</w:t>
            </w:r>
            <w:r w:rsidRPr="00AA76CD">
              <w:rPr>
                <w:rFonts w:ascii="Arial" w:hAnsi="Arial" w:cs="Arial"/>
                <w:iCs/>
                <w:strike/>
                <w:color w:val="C00000"/>
                <w:sz w:val="16"/>
                <w:szCs w:val="16"/>
                <w:lang w:val="en-US"/>
              </w:rPr>
              <w:t xml:space="preserve"> if </w:t>
            </w:r>
            <w:r w:rsidRPr="00AA76CD">
              <w:rPr>
                <w:rFonts w:ascii="Arial" w:hAnsi="Arial" w:cs="Arial"/>
                <w:strike/>
                <w:color w:val="C00000"/>
                <w:sz w:val="16"/>
                <w:szCs w:val="16"/>
                <w:lang w:val="en-US" w:eastAsia="zh-CN"/>
              </w:rPr>
              <w:t>provided</w:t>
            </w:r>
            <w:r w:rsidRPr="00AA76CD">
              <w:rPr>
                <w:rFonts w:ascii="Arial" w:hAnsi="Arial" w:cs="Arial"/>
                <w:sz w:val="16"/>
                <w:szCs w:val="16"/>
                <w:lang w:val="en-US"/>
              </w:rPr>
              <w:t xml:space="preserve"> </w:t>
            </w:r>
            <w:r w:rsidRPr="00AA76CD">
              <w:rPr>
                <w:rFonts w:ascii="Arial" w:hAnsi="Arial" w:cs="Arial"/>
                <w:sz w:val="16"/>
                <w:szCs w:val="16"/>
              </w:rPr>
              <w:t xml:space="preserve">or, if the UE is not provided </w:t>
            </w:r>
            <w:r w:rsidRPr="00AA76CD">
              <w:rPr>
                <w:rFonts w:ascii="Arial" w:hAnsi="Arial" w:cs="Arial"/>
                <w:i/>
                <w:sz w:val="16"/>
                <w:szCs w:val="16"/>
                <w:lang w:eastAsia="zh-CN"/>
              </w:rPr>
              <w:t>dl-OrJointTCI-StateList</w:t>
            </w:r>
            <w:r w:rsidRPr="00AA76CD">
              <w:rPr>
                <w:rFonts w:ascii="Arial" w:hAnsi="Arial" w:cs="Arial"/>
                <w:sz w:val="16"/>
                <w:szCs w:val="16"/>
              </w:rPr>
              <w:t xml:space="preserve">, by </w:t>
            </w:r>
            <w:r w:rsidRPr="00AA76CD">
              <w:rPr>
                <w:rFonts w:ascii="Arial" w:hAnsi="Arial" w:cs="Arial"/>
                <w:i/>
                <w:sz w:val="16"/>
                <w:szCs w:val="16"/>
              </w:rPr>
              <w:t>ssb-PositionsInBurst</w:t>
            </w:r>
            <w:r w:rsidRPr="00AA76CD">
              <w:rPr>
                <w:rFonts w:ascii="Arial" w:hAnsi="Arial" w:cs="Arial"/>
                <w:sz w:val="16"/>
                <w:szCs w:val="16"/>
              </w:rPr>
              <w:t xml:space="preserve"> </w:t>
            </w:r>
            <w:r w:rsidRPr="00AA76CD">
              <w:rPr>
                <w:rFonts w:ascii="Arial" w:hAnsi="Arial" w:cs="Arial"/>
                <w:sz w:val="16"/>
                <w:szCs w:val="16"/>
                <w:lang w:val="en-US"/>
              </w:rPr>
              <w:t xml:space="preserve">in </w:t>
            </w:r>
            <w:r w:rsidRPr="00AA76CD">
              <w:rPr>
                <w:rFonts w:ascii="Arial" w:hAnsi="Arial" w:cs="Arial"/>
                <w:i/>
                <w:iCs/>
                <w:sz w:val="16"/>
                <w:szCs w:val="16"/>
                <w:lang w:val="en-US"/>
              </w:rPr>
              <w:t>SSB-MTCAdditionalPCI</w:t>
            </w:r>
            <w:r w:rsidRPr="00AA76CD">
              <w:rPr>
                <w:rFonts w:ascii="Arial" w:hAnsi="Arial" w:cs="Arial"/>
                <w:sz w:val="16"/>
                <w:szCs w:val="16"/>
              </w:rPr>
              <w:t xml:space="preserve"> associated to physical cell ID with active TCI states for PDCCH or PDSCH, or for a set of symbols of a slot corresponding to SS/PBCH blocks configured for L1 beam measurement/reporting</w:t>
            </w:r>
            <w:r w:rsidRPr="00AA76CD">
              <w:rPr>
                <w:rFonts w:ascii="Arial" w:hAnsi="Arial" w:cs="Arial"/>
                <w:sz w:val="16"/>
                <w:szCs w:val="16"/>
                <w:lang w:val="en-US"/>
              </w:rPr>
              <w:t>.</w:t>
            </w:r>
          </w:p>
        </w:tc>
      </w:tr>
    </w:tbl>
    <w:p w14:paraId="4548F025" w14:textId="77777777" w:rsidR="00831CFB" w:rsidRPr="00831CFB" w:rsidRDefault="00831CFB" w:rsidP="00831CFB">
      <w:pPr>
        <w:rPr>
          <w:lang w:eastAsia="x-none"/>
        </w:rPr>
      </w:pPr>
    </w:p>
    <w:p w14:paraId="7830F0CE" w14:textId="6436D710" w:rsidR="00AA76CD" w:rsidRPr="00AA76CD" w:rsidRDefault="005A18DC" w:rsidP="00AA76CD">
      <w:pPr>
        <w:rPr>
          <w:b/>
          <w:bCs/>
          <w:lang w:eastAsia="x-none"/>
        </w:rPr>
      </w:pPr>
      <w:hyperlink r:id="rId697" w:history="1">
        <w:r w:rsidR="00AF7253">
          <w:rPr>
            <w:rStyle w:val="Hyperlink"/>
            <w:b/>
            <w:bCs/>
            <w:lang w:eastAsia="x-none"/>
          </w:rPr>
          <w:t>R1-2312645</w:t>
        </w:r>
      </w:hyperlink>
      <w:r w:rsidR="00AA76CD" w:rsidRPr="00AA76CD">
        <w:rPr>
          <w:b/>
          <w:bCs/>
          <w:lang w:eastAsia="x-none"/>
        </w:rPr>
        <w:tab/>
        <w:t>Correction of PUCCH repetition for RedCap UE with NCD-SSB in TDD</w:t>
      </w:r>
      <w:r w:rsidR="00AA76CD" w:rsidRPr="00AA76CD">
        <w:rPr>
          <w:b/>
          <w:bCs/>
          <w:lang w:eastAsia="x-none"/>
        </w:rPr>
        <w:tab/>
        <w:t>Moderator (Ericsson)</w:t>
      </w:r>
    </w:p>
    <w:p w14:paraId="1DC2E491" w14:textId="0C71C251" w:rsidR="00AA76CD" w:rsidRPr="00AA76CD" w:rsidRDefault="005A18DC" w:rsidP="00AA76CD">
      <w:pPr>
        <w:rPr>
          <w:b/>
          <w:bCs/>
          <w:lang w:eastAsia="x-none"/>
        </w:rPr>
      </w:pPr>
      <w:hyperlink r:id="rId698" w:history="1">
        <w:r w:rsidR="00AF7253">
          <w:rPr>
            <w:rStyle w:val="Hyperlink"/>
            <w:b/>
            <w:bCs/>
            <w:lang w:eastAsia="x-none"/>
          </w:rPr>
          <w:t>R1-2312648</w:t>
        </w:r>
      </w:hyperlink>
      <w:r w:rsidR="00AA76CD" w:rsidRPr="00AA76CD">
        <w:rPr>
          <w:b/>
          <w:bCs/>
          <w:lang w:eastAsia="x-none"/>
        </w:rPr>
        <w:tab/>
        <w:t>Correction of PUCCH repetition for RedCap UE with NCD-SSB in TDD</w:t>
      </w:r>
      <w:r w:rsidR="00AA76CD" w:rsidRPr="00AA76CD">
        <w:rPr>
          <w:b/>
          <w:bCs/>
          <w:lang w:eastAsia="x-none"/>
        </w:rPr>
        <w:tab/>
        <w:t>Moderator (Ericsson)</w:t>
      </w:r>
    </w:p>
    <w:p w14:paraId="028BF7A0" w14:textId="77777777" w:rsidR="00AA76CD" w:rsidRPr="00831CFB" w:rsidRDefault="00AA76CD" w:rsidP="00AA76CD">
      <w:pPr>
        <w:rPr>
          <w:lang w:eastAsia="x-none"/>
        </w:rPr>
      </w:pPr>
      <w:r w:rsidRPr="00831CFB">
        <w:rPr>
          <w:highlight w:val="green"/>
          <w:lang w:eastAsia="x-none"/>
        </w:rPr>
        <w:t>Agreement</w:t>
      </w:r>
    </w:p>
    <w:p w14:paraId="4EA7556B" w14:textId="4BC01B43" w:rsidR="00AA76CD" w:rsidRPr="00831CFB" w:rsidRDefault="00AA76CD" w:rsidP="00AA76CD">
      <w:pPr>
        <w:rPr>
          <w:lang w:eastAsia="x-none"/>
        </w:rPr>
      </w:pPr>
      <w:r w:rsidRPr="00831CFB">
        <w:rPr>
          <w:lang w:eastAsia="x-none"/>
        </w:rPr>
        <w:t xml:space="preserve">The Rel-17 draft CR in </w:t>
      </w:r>
      <w:hyperlink r:id="rId699" w:history="1">
        <w:r w:rsidR="00AF7253">
          <w:rPr>
            <w:rStyle w:val="Hyperlink"/>
            <w:lang w:eastAsia="x-none"/>
          </w:rPr>
          <w:t>R1-2312645</w:t>
        </w:r>
      </w:hyperlink>
      <w:r w:rsidRPr="00831CFB">
        <w:rPr>
          <w:lang w:eastAsia="x-none"/>
        </w:rPr>
        <w:t xml:space="preserve"> and the Rel-18 shadow draft CR in </w:t>
      </w:r>
      <w:hyperlink r:id="rId700" w:history="1">
        <w:r w:rsidR="00AF7253">
          <w:rPr>
            <w:rStyle w:val="Hyperlink"/>
            <w:lang w:eastAsia="x-none"/>
          </w:rPr>
          <w:t>R1-2312648</w:t>
        </w:r>
      </w:hyperlink>
      <w:r w:rsidRPr="00831CFB">
        <w:rPr>
          <w:lang w:eastAsia="x-none"/>
        </w:rPr>
        <w:t xml:space="preserve"> are endorsed.</w:t>
      </w:r>
    </w:p>
    <w:p w14:paraId="75FB92C7" w14:textId="77777777" w:rsidR="00AA76CD" w:rsidRPr="004A7826" w:rsidRDefault="00AA76CD" w:rsidP="00AA76CD">
      <w:r>
        <w:t>Final CRs in:</w:t>
      </w:r>
    </w:p>
    <w:p w14:paraId="1FF04879" w14:textId="4D18C48B" w:rsidR="00AA76CD" w:rsidRDefault="005A18DC" w:rsidP="00AA76CD">
      <w:pPr>
        <w:rPr>
          <w:lang w:eastAsia="x-none"/>
        </w:rPr>
      </w:pPr>
      <w:hyperlink r:id="rId701" w:history="1">
        <w:r w:rsidR="00AF7253">
          <w:rPr>
            <w:rStyle w:val="Hyperlink"/>
            <w:b/>
            <w:bCs/>
            <w:highlight w:val="green"/>
            <w:lang w:eastAsia="x-none"/>
          </w:rPr>
          <w:t>R1-2312699</w:t>
        </w:r>
      </w:hyperlink>
      <w:r w:rsidR="00AA76CD" w:rsidRPr="00F32731">
        <w:rPr>
          <w:b/>
          <w:bCs/>
          <w:lang w:eastAsia="x-none"/>
        </w:rPr>
        <w:tab/>
        <w:t>Correction of PUCCH repetition for RedCap UE with NCD-SSB in TDD</w:t>
      </w:r>
      <w:r w:rsidR="00AA76CD" w:rsidRPr="00F32731">
        <w:rPr>
          <w:b/>
          <w:bCs/>
          <w:lang w:eastAsia="x-none"/>
        </w:rPr>
        <w:tab/>
        <w:t>Moderator (Ericsson), Xiaomi, MediaTek, Ericsson</w:t>
      </w:r>
      <w:r w:rsidR="00AA76CD">
        <w:rPr>
          <w:lang w:eastAsia="x-none"/>
        </w:rPr>
        <w:tab/>
        <w:t xml:space="preserve">(rev of </w:t>
      </w:r>
      <w:hyperlink r:id="rId702" w:history="1">
        <w:r w:rsidR="00AF7253">
          <w:rPr>
            <w:rStyle w:val="Hyperlink"/>
            <w:lang w:eastAsia="x-none"/>
          </w:rPr>
          <w:t>R1-2312684</w:t>
        </w:r>
      </w:hyperlink>
      <w:r w:rsidR="00AA76CD">
        <w:rPr>
          <w:lang w:eastAsia="x-none"/>
        </w:rPr>
        <w:t>)</w:t>
      </w:r>
    </w:p>
    <w:p w14:paraId="7097C24A" w14:textId="77777777" w:rsidR="00AA76CD" w:rsidRDefault="00AA76CD" w:rsidP="00AA76CD">
      <w:pPr>
        <w:rPr>
          <w:lang w:eastAsia="x-none"/>
        </w:rPr>
      </w:pPr>
      <w:r>
        <w:rPr>
          <w:lang w:eastAsia="x-none"/>
        </w:rPr>
        <w:t>(Rel-17, 38.213, CR0565rev1, Cat F) is agreed.</w:t>
      </w:r>
    </w:p>
    <w:p w14:paraId="32968D9B" w14:textId="11FAED74" w:rsidR="00AA76CD" w:rsidRDefault="005A18DC" w:rsidP="00AA76CD">
      <w:pPr>
        <w:rPr>
          <w:lang w:eastAsia="x-none"/>
        </w:rPr>
      </w:pPr>
      <w:hyperlink r:id="rId703" w:history="1">
        <w:r w:rsidR="00AF7253">
          <w:rPr>
            <w:rStyle w:val="Hyperlink"/>
            <w:b/>
            <w:bCs/>
            <w:highlight w:val="green"/>
            <w:lang w:eastAsia="x-none"/>
          </w:rPr>
          <w:t>R1-2312700</w:t>
        </w:r>
      </w:hyperlink>
      <w:r w:rsidR="00AA76CD" w:rsidRPr="00F32731">
        <w:rPr>
          <w:b/>
          <w:bCs/>
          <w:lang w:eastAsia="x-none"/>
        </w:rPr>
        <w:tab/>
        <w:t>Correction of PUCCH repetition for RedCap UE with NCD-SSB in TDD</w:t>
      </w:r>
      <w:r w:rsidR="00AA76CD" w:rsidRPr="00F32731">
        <w:rPr>
          <w:b/>
          <w:bCs/>
          <w:lang w:eastAsia="x-none"/>
        </w:rPr>
        <w:tab/>
        <w:t>Moderator (Ericsson), Xiaomi, MediaTek, Ericsson</w:t>
      </w:r>
      <w:r w:rsidR="00F32731">
        <w:rPr>
          <w:lang w:eastAsia="x-none"/>
        </w:rPr>
        <w:tab/>
        <w:t>(rev of</w:t>
      </w:r>
      <w:hyperlink r:id="rId704" w:history="1">
        <w:r w:rsidR="00AF7253">
          <w:rPr>
            <w:rStyle w:val="Hyperlink"/>
            <w:lang w:eastAsia="x-none"/>
          </w:rPr>
          <w:t>R1-2312685</w:t>
        </w:r>
      </w:hyperlink>
      <w:r w:rsidR="00F32731">
        <w:rPr>
          <w:lang w:eastAsia="x-none"/>
        </w:rPr>
        <w:t>)</w:t>
      </w:r>
    </w:p>
    <w:p w14:paraId="7AD0CF46" w14:textId="26AB8FB8" w:rsidR="00AA76CD" w:rsidRDefault="00AA76CD" w:rsidP="00AA76CD">
      <w:pPr>
        <w:rPr>
          <w:lang w:eastAsia="x-none"/>
        </w:rPr>
      </w:pPr>
      <w:r>
        <w:rPr>
          <w:lang w:eastAsia="x-none"/>
        </w:rPr>
        <w:t>(Rel-18, 38.213, CR0566rev1, Cat A) is agreed.</w:t>
      </w:r>
    </w:p>
    <w:p w14:paraId="5F20CE44" w14:textId="77777777" w:rsidR="00AA76CD" w:rsidRDefault="00AA76CD" w:rsidP="00AA76CD">
      <w:pPr>
        <w:rPr>
          <w:lang w:eastAsia="x-none"/>
        </w:rPr>
      </w:pPr>
    </w:p>
    <w:p w14:paraId="389635DA" w14:textId="77777777" w:rsidR="00AA76CD" w:rsidRPr="00831CFB" w:rsidRDefault="00AA76CD" w:rsidP="00831CFB">
      <w:pPr>
        <w:rPr>
          <w:lang w:eastAsia="x-none"/>
        </w:rPr>
      </w:pPr>
    </w:p>
    <w:p w14:paraId="5453913A" w14:textId="77777777" w:rsidR="00831CFB" w:rsidRPr="00831CFB" w:rsidRDefault="00831CFB" w:rsidP="00831CFB">
      <w:pPr>
        <w:rPr>
          <w:b/>
          <w:lang w:eastAsia="x-none"/>
        </w:rPr>
      </w:pPr>
      <w:r w:rsidRPr="00831CFB">
        <w:rPr>
          <w:b/>
          <w:lang w:eastAsia="x-none"/>
        </w:rPr>
        <w:t>Issue #4: TDD PUSCH validation in BWP with NCD-SSB</w:t>
      </w:r>
    </w:p>
    <w:p w14:paraId="586FC6F1" w14:textId="13B6DDD0" w:rsidR="00B47080" w:rsidRPr="009537ED" w:rsidRDefault="005A18DC" w:rsidP="00B47080">
      <w:pPr>
        <w:rPr>
          <w:lang w:eastAsia="x-none"/>
        </w:rPr>
      </w:pPr>
      <w:hyperlink r:id="rId705" w:history="1">
        <w:r w:rsidR="00AF7253">
          <w:rPr>
            <w:rStyle w:val="Hyperlink"/>
            <w:lang w:eastAsia="x-none"/>
          </w:rPr>
          <w:t>R1-2310990</w:t>
        </w:r>
      </w:hyperlink>
      <w:r w:rsidR="00B47080" w:rsidRPr="009537ED">
        <w:rPr>
          <w:lang w:eastAsia="x-none"/>
        </w:rPr>
        <w:tab/>
        <w:t>Rel-17 RedCap maintenance issues</w:t>
      </w:r>
      <w:r w:rsidR="00B47080" w:rsidRPr="009537ED">
        <w:rPr>
          <w:lang w:eastAsia="x-none"/>
        </w:rPr>
        <w:tab/>
        <w:t>ZTE, Sanechips</w:t>
      </w:r>
    </w:p>
    <w:p w14:paraId="743D5C54" w14:textId="5897EBE0" w:rsidR="00B47080" w:rsidRDefault="005A18DC" w:rsidP="00B47080">
      <w:pPr>
        <w:rPr>
          <w:lang w:eastAsia="x-none"/>
        </w:rPr>
      </w:pPr>
      <w:hyperlink r:id="rId706" w:history="1">
        <w:r w:rsidR="00AF7253">
          <w:rPr>
            <w:rStyle w:val="Hyperlink"/>
            <w:lang w:eastAsia="x-none"/>
          </w:rPr>
          <w:t>R1-2311969</w:t>
        </w:r>
      </w:hyperlink>
      <w:r w:rsidR="00B47080" w:rsidRPr="009537ED">
        <w:rPr>
          <w:lang w:eastAsia="x-none"/>
        </w:rPr>
        <w:tab/>
        <w:t>Draft CR for 38.214 on UL resource counting with SSB in unpaired spectrum</w:t>
      </w:r>
      <w:r w:rsidR="00B47080" w:rsidRPr="009537ED">
        <w:rPr>
          <w:lang w:eastAsia="x-none"/>
        </w:rPr>
        <w:tab/>
        <w:t>MediaTek Inc.</w:t>
      </w:r>
    </w:p>
    <w:p w14:paraId="2DC82A84" w14:textId="77777777" w:rsidR="005471A0" w:rsidRPr="009537ED" w:rsidRDefault="005471A0" w:rsidP="00B47080">
      <w:pPr>
        <w:rPr>
          <w:lang w:eastAsia="x-none"/>
        </w:rPr>
      </w:pPr>
    </w:p>
    <w:p w14:paraId="3BB590FB" w14:textId="77777777" w:rsidR="00831CFB" w:rsidRPr="005471A0" w:rsidRDefault="00831CFB" w:rsidP="00831CFB">
      <w:pPr>
        <w:rPr>
          <w:bCs/>
          <w:lang w:val="en-US"/>
        </w:rPr>
      </w:pPr>
      <w:r w:rsidRPr="005471A0">
        <w:rPr>
          <w:bCs/>
          <w:highlight w:val="green"/>
          <w:lang w:val="en-US"/>
        </w:rPr>
        <w:t>Agreement</w:t>
      </w:r>
    </w:p>
    <w:p w14:paraId="3F87BC75" w14:textId="77777777" w:rsidR="00831CFB" w:rsidRPr="005471A0" w:rsidRDefault="00831CFB" w:rsidP="00831CFB">
      <w:pPr>
        <w:rPr>
          <w:bCs/>
          <w:lang w:val="en-US"/>
        </w:rPr>
      </w:pPr>
      <w:r w:rsidRPr="005471A0">
        <w:rPr>
          <w:bCs/>
          <w:lang w:val="en-US"/>
        </w:rPr>
        <w:t>The following TP for 38.214 clause 6.1.2.1 is endorsed.</w:t>
      </w:r>
    </w:p>
    <w:tbl>
      <w:tblPr>
        <w:tblW w:w="5000" w:type="pct"/>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0683"/>
      </w:tblGrid>
      <w:tr w:rsidR="00831CFB" w:rsidRPr="005471A0" w14:paraId="5410EC00" w14:textId="77777777" w:rsidTr="005471A0">
        <w:tc>
          <w:tcPr>
            <w:tcW w:w="5000" w:type="pct"/>
            <w:shd w:val="clear" w:color="auto" w:fill="auto"/>
          </w:tcPr>
          <w:p w14:paraId="5555B516" w14:textId="77777777" w:rsidR="00831CFB" w:rsidRPr="005471A0" w:rsidRDefault="00831CFB" w:rsidP="005471A0">
            <w:pPr>
              <w:rPr>
                <w:rFonts w:ascii="Arial" w:hAnsi="Arial" w:cs="Arial"/>
                <w:sz w:val="16"/>
                <w:szCs w:val="16"/>
              </w:rPr>
            </w:pPr>
            <w:r w:rsidRPr="005471A0">
              <w:rPr>
                <w:rFonts w:ascii="Arial" w:hAnsi="Arial" w:cs="Arial"/>
                <w:sz w:val="16"/>
                <w:szCs w:val="16"/>
                <w:lang w:val="en-US"/>
              </w:rPr>
              <w:t>-</w:t>
            </w:r>
            <w:r w:rsidRPr="005471A0">
              <w:rPr>
                <w:rFonts w:ascii="Arial" w:hAnsi="Arial" w:cs="Arial"/>
                <w:sz w:val="16"/>
                <w:szCs w:val="16"/>
                <w:lang w:val="en-US"/>
              </w:rPr>
              <w:tab/>
            </w:r>
            <w:r w:rsidRPr="005471A0">
              <w:rPr>
                <w:rFonts w:ascii="Arial" w:hAnsi="Arial" w:cs="Arial"/>
                <w:sz w:val="16"/>
                <w:szCs w:val="16"/>
              </w:rPr>
              <w:t xml:space="preserve">For operation in unpaired spectrum, symbols indicated by </w:t>
            </w:r>
            <w:r w:rsidRPr="005471A0">
              <w:rPr>
                <w:rFonts w:ascii="Arial" w:hAnsi="Arial" w:cs="Arial"/>
                <w:i/>
                <w:iCs/>
                <w:sz w:val="16"/>
                <w:szCs w:val="16"/>
              </w:rPr>
              <w:t>ssb-PositionsInBurst</w:t>
            </w:r>
            <w:r w:rsidRPr="005471A0">
              <w:rPr>
                <w:rFonts w:ascii="Arial" w:hAnsi="Arial" w:cs="Arial"/>
                <w:sz w:val="16"/>
                <w:szCs w:val="16"/>
              </w:rPr>
              <w:t xml:space="preserve"> in SIB1 or </w:t>
            </w:r>
            <w:r w:rsidRPr="005471A0">
              <w:rPr>
                <w:rFonts w:ascii="Arial" w:hAnsi="Arial" w:cs="Arial"/>
                <w:i/>
                <w:iCs/>
                <w:sz w:val="16"/>
                <w:szCs w:val="16"/>
              </w:rPr>
              <w:t>ssb-PositionsInBurst</w:t>
            </w:r>
            <w:r w:rsidRPr="005471A0">
              <w:rPr>
                <w:rFonts w:ascii="Arial" w:hAnsi="Arial" w:cs="Arial"/>
                <w:sz w:val="16"/>
                <w:szCs w:val="16"/>
              </w:rPr>
              <w:t xml:space="preserve"> in </w:t>
            </w:r>
            <w:r w:rsidRPr="005471A0">
              <w:rPr>
                <w:rFonts w:ascii="Arial" w:hAnsi="Arial" w:cs="Arial"/>
                <w:i/>
                <w:iCs/>
                <w:sz w:val="16"/>
                <w:szCs w:val="16"/>
              </w:rPr>
              <w:t>ServingCellConfigCommon</w:t>
            </w:r>
            <w:r w:rsidRPr="005471A0">
              <w:rPr>
                <w:rFonts w:ascii="Arial" w:hAnsi="Arial" w:cs="Arial"/>
                <w:strike/>
                <w:color w:val="C00000"/>
                <w:sz w:val="16"/>
                <w:szCs w:val="16"/>
              </w:rPr>
              <w:t xml:space="preserve"> or by</w:t>
            </w:r>
            <w:r w:rsidRPr="005471A0">
              <w:rPr>
                <w:rFonts w:ascii="Arial" w:hAnsi="Arial" w:cs="Arial"/>
                <w:i/>
                <w:strike/>
                <w:color w:val="C00000"/>
                <w:sz w:val="16"/>
                <w:szCs w:val="16"/>
              </w:rPr>
              <w:t xml:space="preserve"> NonCellDefiningSSB</w:t>
            </w:r>
            <w:r w:rsidRPr="005471A0">
              <w:rPr>
                <w:rFonts w:ascii="Arial" w:hAnsi="Arial" w:cs="Arial"/>
                <w:sz w:val="16"/>
                <w:szCs w:val="16"/>
              </w:rPr>
              <w:t xml:space="preserve"> for reception of SS/PBCH blocks are considered as invalid symbols for PUSCH repetition Type B transmission.</w:t>
            </w:r>
          </w:p>
        </w:tc>
      </w:tr>
    </w:tbl>
    <w:p w14:paraId="283AA221" w14:textId="77777777" w:rsidR="00831CFB" w:rsidRPr="00831CFB" w:rsidRDefault="00831CFB" w:rsidP="00831CFB">
      <w:pPr>
        <w:rPr>
          <w:lang w:eastAsia="x-none"/>
        </w:rPr>
      </w:pPr>
    </w:p>
    <w:p w14:paraId="4BB1864E" w14:textId="33758882" w:rsidR="005471A0" w:rsidRPr="005471A0" w:rsidRDefault="005A18DC" w:rsidP="005471A0">
      <w:pPr>
        <w:rPr>
          <w:b/>
          <w:bCs/>
          <w:lang w:eastAsia="x-none"/>
        </w:rPr>
      </w:pPr>
      <w:hyperlink r:id="rId707" w:history="1">
        <w:r w:rsidR="00AF7253">
          <w:rPr>
            <w:rStyle w:val="Hyperlink"/>
            <w:b/>
            <w:bCs/>
            <w:lang w:eastAsia="x-none"/>
          </w:rPr>
          <w:t>R1-2312646</w:t>
        </w:r>
      </w:hyperlink>
      <w:r w:rsidR="005471A0" w:rsidRPr="005471A0">
        <w:rPr>
          <w:b/>
          <w:bCs/>
          <w:lang w:eastAsia="x-none"/>
        </w:rPr>
        <w:tab/>
        <w:t>Correction of PUSCH repetition for RedCap UE with NCD-SSB in TDD</w:t>
      </w:r>
      <w:r w:rsidR="005471A0" w:rsidRPr="005471A0">
        <w:rPr>
          <w:b/>
          <w:bCs/>
          <w:lang w:eastAsia="x-none"/>
        </w:rPr>
        <w:tab/>
        <w:t>Moderator (Ericsson)</w:t>
      </w:r>
    </w:p>
    <w:p w14:paraId="7DABB60D" w14:textId="41A29882" w:rsidR="005471A0" w:rsidRPr="005471A0" w:rsidRDefault="005A18DC" w:rsidP="005471A0">
      <w:pPr>
        <w:rPr>
          <w:b/>
          <w:bCs/>
          <w:lang w:eastAsia="x-none"/>
        </w:rPr>
      </w:pPr>
      <w:hyperlink r:id="rId708" w:history="1">
        <w:r w:rsidR="00AF7253">
          <w:rPr>
            <w:rStyle w:val="Hyperlink"/>
            <w:b/>
            <w:bCs/>
            <w:lang w:eastAsia="x-none"/>
          </w:rPr>
          <w:t>R1-2312649</w:t>
        </w:r>
      </w:hyperlink>
      <w:r w:rsidR="005471A0" w:rsidRPr="005471A0">
        <w:rPr>
          <w:b/>
          <w:bCs/>
          <w:lang w:eastAsia="x-none"/>
        </w:rPr>
        <w:tab/>
        <w:t>Correction of PUSCH repetition for RedCap UE with NCD-SSB in TDD</w:t>
      </w:r>
      <w:r w:rsidR="005471A0" w:rsidRPr="005471A0">
        <w:rPr>
          <w:b/>
          <w:bCs/>
          <w:lang w:eastAsia="x-none"/>
        </w:rPr>
        <w:tab/>
        <w:t>Moderator (Ericsson)</w:t>
      </w:r>
    </w:p>
    <w:p w14:paraId="5DBDB796" w14:textId="77777777" w:rsidR="005471A0" w:rsidRPr="00831CFB" w:rsidRDefault="005471A0" w:rsidP="005471A0">
      <w:pPr>
        <w:rPr>
          <w:lang w:eastAsia="x-none"/>
        </w:rPr>
      </w:pPr>
      <w:r w:rsidRPr="00831CFB">
        <w:rPr>
          <w:highlight w:val="green"/>
          <w:lang w:eastAsia="x-none"/>
        </w:rPr>
        <w:t>Agreement</w:t>
      </w:r>
    </w:p>
    <w:p w14:paraId="5238D147" w14:textId="799945D9" w:rsidR="005471A0" w:rsidRPr="00831CFB" w:rsidRDefault="005471A0" w:rsidP="005471A0">
      <w:pPr>
        <w:rPr>
          <w:lang w:eastAsia="x-none"/>
        </w:rPr>
      </w:pPr>
      <w:r w:rsidRPr="00831CFB">
        <w:rPr>
          <w:lang w:eastAsia="x-none"/>
        </w:rPr>
        <w:t xml:space="preserve">The Rel-17 draft CR in </w:t>
      </w:r>
      <w:hyperlink r:id="rId709" w:history="1">
        <w:r w:rsidR="00AF7253">
          <w:rPr>
            <w:rStyle w:val="Hyperlink"/>
            <w:lang w:eastAsia="x-none"/>
          </w:rPr>
          <w:t>R1-2312646</w:t>
        </w:r>
      </w:hyperlink>
      <w:r w:rsidRPr="00831CFB">
        <w:rPr>
          <w:lang w:eastAsia="x-none"/>
        </w:rPr>
        <w:t xml:space="preserve"> and the Rel-18 shadow draft CR in </w:t>
      </w:r>
      <w:hyperlink r:id="rId710" w:history="1">
        <w:r w:rsidR="00AF7253">
          <w:rPr>
            <w:rStyle w:val="Hyperlink"/>
            <w:lang w:eastAsia="x-none"/>
          </w:rPr>
          <w:t>R1-2312649</w:t>
        </w:r>
      </w:hyperlink>
      <w:r w:rsidRPr="00831CFB">
        <w:rPr>
          <w:lang w:eastAsia="x-none"/>
        </w:rPr>
        <w:t xml:space="preserve"> are endorsed.</w:t>
      </w:r>
    </w:p>
    <w:p w14:paraId="6212D8C5" w14:textId="77777777" w:rsidR="005471A0" w:rsidRPr="004A7826" w:rsidRDefault="005471A0" w:rsidP="005471A0">
      <w:r>
        <w:t>Final CRs in:</w:t>
      </w:r>
    </w:p>
    <w:p w14:paraId="5596A5AF" w14:textId="04569B95" w:rsidR="005471A0" w:rsidRDefault="005A18DC" w:rsidP="005471A0">
      <w:pPr>
        <w:rPr>
          <w:lang w:eastAsia="x-none"/>
        </w:rPr>
      </w:pPr>
      <w:hyperlink r:id="rId711" w:history="1">
        <w:r w:rsidR="00AF7253">
          <w:rPr>
            <w:rStyle w:val="Hyperlink"/>
            <w:b/>
            <w:bCs/>
            <w:highlight w:val="green"/>
            <w:lang w:eastAsia="x-none"/>
          </w:rPr>
          <w:t>R1-2312701</w:t>
        </w:r>
      </w:hyperlink>
      <w:r w:rsidR="005471A0" w:rsidRPr="005471A0">
        <w:rPr>
          <w:b/>
          <w:bCs/>
          <w:lang w:eastAsia="x-none"/>
        </w:rPr>
        <w:tab/>
        <w:t>Correction of PUSCH repetition for RedCap UE with NCD-SSB in TDD</w:t>
      </w:r>
      <w:r w:rsidR="005471A0" w:rsidRPr="005471A0">
        <w:rPr>
          <w:b/>
          <w:bCs/>
          <w:lang w:eastAsia="x-none"/>
        </w:rPr>
        <w:tab/>
        <w:t>Moderator (Ericsson), Xiaomi, MediaTek, Ericsson</w:t>
      </w:r>
      <w:r w:rsidR="005471A0">
        <w:rPr>
          <w:lang w:eastAsia="x-none"/>
        </w:rPr>
        <w:tab/>
        <w:t xml:space="preserve">(rev of </w:t>
      </w:r>
      <w:hyperlink r:id="rId712" w:history="1">
        <w:r w:rsidR="00AF7253">
          <w:rPr>
            <w:rStyle w:val="Hyperlink"/>
            <w:lang w:eastAsia="x-none"/>
          </w:rPr>
          <w:t>R1-2312686</w:t>
        </w:r>
      </w:hyperlink>
      <w:r w:rsidR="005471A0">
        <w:rPr>
          <w:lang w:eastAsia="x-none"/>
        </w:rPr>
        <w:t>)</w:t>
      </w:r>
    </w:p>
    <w:p w14:paraId="265D91B8" w14:textId="77777777" w:rsidR="005471A0" w:rsidRDefault="005471A0" w:rsidP="005471A0">
      <w:pPr>
        <w:rPr>
          <w:lang w:eastAsia="x-none"/>
        </w:rPr>
      </w:pPr>
      <w:r>
        <w:rPr>
          <w:lang w:eastAsia="x-none"/>
        </w:rPr>
        <w:t>(Rel-17, 38.214, CR0478rev1, Cat F) is agreed.</w:t>
      </w:r>
    </w:p>
    <w:p w14:paraId="58B03F48" w14:textId="6B547E7B" w:rsidR="005471A0" w:rsidRDefault="005A18DC" w:rsidP="005471A0">
      <w:pPr>
        <w:rPr>
          <w:lang w:eastAsia="x-none"/>
        </w:rPr>
      </w:pPr>
      <w:hyperlink r:id="rId713" w:history="1">
        <w:r w:rsidR="00AF7253">
          <w:rPr>
            <w:rStyle w:val="Hyperlink"/>
            <w:b/>
            <w:bCs/>
            <w:highlight w:val="green"/>
            <w:lang w:eastAsia="x-none"/>
          </w:rPr>
          <w:t>R1-2312702</w:t>
        </w:r>
      </w:hyperlink>
      <w:r w:rsidR="005471A0" w:rsidRPr="005471A0">
        <w:rPr>
          <w:b/>
          <w:bCs/>
          <w:lang w:eastAsia="x-none"/>
        </w:rPr>
        <w:tab/>
        <w:t>Correction of PUSCH repetition for RedCap UE with NCD-SSB in TDD</w:t>
      </w:r>
      <w:r w:rsidR="005471A0" w:rsidRPr="005471A0">
        <w:rPr>
          <w:b/>
          <w:bCs/>
          <w:lang w:eastAsia="x-none"/>
        </w:rPr>
        <w:tab/>
        <w:t>Moderator (Ericsson), Xiaomi, MediaTek, Ericsson</w:t>
      </w:r>
      <w:r w:rsidR="005471A0">
        <w:rPr>
          <w:lang w:eastAsia="x-none"/>
        </w:rPr>
        <w:tab/>
        <w:t xml:space="preserve">(rev of </w:t>
      </w:r>
      <w:hyperlink r:id="rId714" w:history="1">
        <w:r w:rsidR="00AF7253">
          <w:rPr>
            <w:rStyle w:val="Hyperlink"/>
            <w:lang w:eastAsia="x-none"/>
          </w:rPr>
          <w:t>R1-2312687</w:t>
        </w:r>
      </w:hyperlink>
      <w:r w:rsidR="005471A0">
        <w:rPr>
          <w:lang w:eastAsia="x-none"/>
        </w:rPr>
        <w:t>)</w:t>
      </w:r>
    </w:p>
    <w:p w14:paraId="403DE69E" w14:textId="66744D4B" w:rsidR="005471A0" w:rsidRDefault="005471A0" w:rsidP="005471A0">
      <w:pPr>
        <w:rPr>
          <w:lang w:eastAsia="x-none"/>
        </w:rPr>
      </w:pPr>
      <w:r>
        <w:rPr>
          <w:lang w:eastAsia="x-none"/>
        </w:rPr>
        <w:t>(Rel-18, 38.214, CR0479rev1, Cat A) is agreed.</w:t>
      </w:r>
    </w:p>
    <w:p w14:paraId="3B520319" w14:textId="77777777" w:rsidR="005471A0" w:rsidRDefault="005471A0" w:rsidP="005471A0">
      <w:pPr>
        <w:rPr>
          <w:lang w:eastAsia="x-none"/>
        </w:rPr>
      </w:pPr>
    </w:p>
    <w:p w14:paraId="098286F4" w14:textId="77777777" w:rsidR="00831CFB" w:rsidRPr="00831CFB" w:rsidRDefault="00831CFB" w:rsidP="00831CFB">
      <w:pPr>
        <w:rPr>
          <w:lang w:eastAsia="x-none"/>
        </w:rPr>
      </w:pPr>
    </w:p>
    <w:p w14:paraId="6F7FFE41" w14:textId="77777777" w:rsidR="00831CFB" w:rsidRPr="00831CFB" w:rsidRDefault="00831CFB" w:rsidP="00831CFB">
      <w:pPr>
        <w:rPr>
          <w:b/>
          <w:lang w:eastAsia="x-none"/>
        </w:rPr>
      </w:pPr>
      <w:r w:rsidRPr="00831CFB">
        <w:rPr>
          <w:b/>
          <w:lang w:eastAsia="x-none"/>
        </w:rPr>
        <w:t>Issue #5: HD-FDD PUCCH validation</w:t>
      </w:r>
    </w:p>
    <w:p w14:paraId="3D49D6E8" w14:textId="165AC949" w:rsidR="00B47080" w:rsidRPr="009537ED" w:rsidRDefault="005A18DC" w:rsidP="00B47080">
      <w:pPr>
        <w:rPr>
          <w:lang w:eastAsia="x-none"/>
        </w:rPr>
      </w:pPr>
      <w:hyperlink r:id="rId715" w:history="1">
        <w:r w:rsidR="00AF7253">
          <w:rPr>
            <w:rStyle w:val="Hyperlink"/>
            <w:lang w:eastAsia="x-none"/>
          </w:rPr>
          <w:t>R1-2311473</w:t>
        </w:r>
      </w:hyperlink>
      <w:r w:rsidR="00B47080" w:rsidRPr="009537ED">
        <w:rPr>
          <w:lang w:eastAsia="x-none"/>
        </w:rPr>
        <w:tab/>
        <w:t>Draft CR on PUCCH repetition for RedCap</w:t>
      </w:r>
      <w:r w:rsidR="00B47080" w:rsidRPr="009537ED">
        <w:rPr>
          <w:lang w:eastAsia="x-none"/>
        </w:rPr>
        <w:tab/>
        <w:t>CMCC</w:t>
      </w:r>
    </w:p>
    <w:p w14:paraId="4B6BCD88" w14:textId="77777777" w:rsidR="00FA5614" w:rsidRDefault="00FA5614" w:rsidP="00FA5614">
      <w:pPr>
        <w:rPr>
          <w:lang w:eastAsia="x-none"/>
        </w:rPr>
      </w:pPr>
      <w:r>
        <w:rPr>
          <w:lang w:eastAsia="x-none"/>
        </w:rPr>
        <w:t>No consensus to adopt the proposal.</w:t>
      </w:r>
    </w:p>
    <w:p w14:paraId="611EDCF0" w14:textId="77777777" w:rsidR="00A123DF" w:rsidRDefault="00A123DF" w:rsidP="00A123DF">
      <w:pPr>
        <w:rPr>
          <w:lang w:eastAsia="x-none"/>
        </w:rPr>
      </w:pPr>
    </w:p>
    <w:p w14:paraId="28040E3F" w14:textId="77777777" w:rsidR="00FA5614" w:rsidRPr="00A123DF" w:rsidRDefault="00FA5614" w:rsidP="00A123DF">
      <w:pPr>
        <w:rPr>
          <w:lang w:eastAsia="x-none"/>
        </w:rPr>
      </w:pPr>
    </w:p>
    <w:p w14:paraId="780EBDB3" w14:textId="77777777" w:rsidR="00A123DF" w:rsidRDefault="00A123DF" w:rsidP="00A123DF">
      <w:pPr>
        <w:rPr>
          <w:b/>
          <w:lang w:eastAsia="x-none"/>
        </w:rPr>
      </w:pPr>
      <w:r w:rsidRPr="00A123DF">
        <w:rPr>
          <w:b/>
          <w:lang w:eastAsia="x-none"/>
        </w:rPr>
        <w:t>Issue #7: RedCap CFR for MBS broadcast</w:t>
      </w:r>
    </w:p>
    <w:p w14:paraId="2AA8404F" w14:textId="11C9A6BB" w:rsidR="00B47080" w:rsidRPr="009537ED" w:rsidRDefault="005A18DC" w:rsidP="00B47080">
      <w:pPr>
        <w:rPr>
          <w:lang w:eastAsia="x-none"/>
        </w:rPr>
      </w:pPr>
      <w:hyperlink r:id="rId716" w:history="1">
        <w:r w:rsidR="00AF7253">
          <w:rPr>
            <w:rStyle w:val="Hyperlink"/>
            <w:lang w:eastAsia="x-none"/>
          </w:rPr>
          <w:t>R1-2310990</w:t>
        </w:r>
      </w:hyperlink>
      <w:r w:rsidR="00B47080" w:rsidRPr="009537ED">
        <w:rPr>
          <w:lang w:eastAsia="x-none"/>
        </w:rPr>
        <w:tab/>
        <w:t>Rel-17 RedCap maintenance issues</w:t>
      </w:r>
      <w:r w:rsidR="00B47080" w:rsidRPr="009537ED">
        <w:rPr>
          <w:lang w:eastAsia="x-none"/>
        </w:rPr>
        <w:tab/>
        <w:t>ZTE, Sanechips</w:t>
      </w:r>
    </w:p>
    <w:p w14:paraId="13B7E30E" w14:textId="295CD99F" w:rsidR="00B47080" w:rsidRPr="009537ED" w:rsidRDefault="005A18DC" w:rsidP="00B47080">
      <w:pPr>
        <w:rPr>
          <w:lang w:eastAsia="x-none"/>
        </w:rPr>
      </w:pPr>
      <w:hyperlink r:id="rId717" w:history="1">
        <w:r w:rsidR="00AF7253">
          <w:rPr>
            <w:rStyle w:val="Hyperlink"/>
            <w:lang w:eastAsia="x-none"/>
          </w:rPr>
          <w:t>R1-2310991</w:t>
        </w:r>
      </w:hyperlink>
      <w:r w:rsidR="00B47080" w:rsidRPr="009537ED">
        <w:rPr>
          <w:lang w:eastAsia="x-none"/>
        </w:rPr>
        <w:tab/>
        <w:t>Corrections on MBS for Redcap</w:t>
      </w:r>
      <w:r w:rsidR="00B47080" w:rsidRPr="009537ED">
        <w:rPr>
          <w:lang w:eastAsia="x-none"/>
        </w:rPr>
        <w:tab/>
        <w:t>ZTE, Sanechips</w:t>
      </w:r>
    </w:p>
    <w:p w14:paraId="4E04D690" w14:textId="77777777" w:rsidR="00B47080" w:rsidRPr="00A123DF" w:rsidRDefault="00B47080" w:rsidP="00FA5614"/>
    <w:p w14:paraId="17F699C4" w14:textId="77777777" w:rsidR="00FA5614" w:rsidRPr="00831CFB" w:rsidRDefault="00FA5614" w:rsidP="00FA5614">
      <w:pPr>
        <w:rPr>
          <w:lang w:val="en-US"/>
        </w:rPr>
      </w:pPr>
      <w:r w:rsidRPr="00831CFB">
        <w:rPr>
          <w:u w:val="single"/>
          <w:lang w:val="en-US"/>
        </w:rPr>
        <w:t>Conclusion</w:t>
      </w:r>
      <w:r w:rsidRPr="00831CFB">
        <w:rPr>
          <w:lang w:val="en-US"/>
        </w:rPr>
        <w:t xml:space="preserve"> (confirmed as such on Friday)</w:t>
      </w:r>
    </w:p>
    <w:p w14:paraId="476311D4" w14:textId="77777777" w:rsidR="00831CFB" w:rsidRPr="00655B9D" w:rsidRDefault="00831CFB" w:rsidP="00831CFB">
      <w:pPr>
        <w:rPr>
          <w:lang w:eastAsia="x-none"/>
        </w:rPr>
      </w:pPr>
      <w:r w:rsidRPr="00FA5614">
        <w:rPr>
          <w:lang w:eastAsia="x-none"/>
        </w:rPr>
        <w:t>This issue can be discussed at a future meeting in Rel-18 maintenance agenda.</w:t>
      </w:r>
    </w:p>
    <w:p w14:paraId="52C65CD1" w14:textId="77777777" w:rsidR="00B32D2F" w:rsidRDefault="00B32D2F" w:rsidP="00A123DF">
      <w:pPr>
        <w:rPr>
          <w:lang w:eastAsia="x-none"/>
        </w:rPr>
      </w:pPr>
    </w:p>
    <w:p w14:paraId="1E16ADCD" w14:textId="77777777" w:rsidR="00B32D2F" w:rsidRDefault="00B32D2F" w:rsidP="00A123DF">
      <w:pPr>
        <w:rPr>
          <w:lang w:eastAsia="x-none"/>
        </w:rPr>
      </w:pPr>
    </w:p>
    <w:p w14:paraId="40B3F89B" w14:textId="0E0B96B0" w:rsidR="00FA5614" w:rsidRDefault="00FA5614" w:rsidP="00A123DF">
      <w:pPr>
        <w:rPr>
          <w:lang w:eastAsia="x-none"/>
        </w:rPr>
      </w:pPr>
      <w:r>
        <w:rPr>
          <w:lang w:eastAsia="x-none"/>
        </w:rPr>
        <w:t xml:space="preserve">Final </w:t>
      </w:r>
      <w:r w:rsidR="00940515">
        <w:rPr>
          <w:lang w:eastAsia="x-none"/>
        </w:rPr>
        <w:t xml:space="preserve">summary in </w:t>
      </w:r>
      <w:hyperlink r:id="rId718" w:history="1">
        <w:r w:rsidR="00AF7253">
          <w:rPr>
            <w:rStyle w:val="Hyperlink"/>
            <w:lang w:eastAsia="x-none"/>
          </w:rPr>
          <w:t>R1-2312688</w:t>
        </w:r>
      </w:hyperlink>
      <w:r w:rsidR="00940515">
        <w:rPr>
          <w:lang w:eastAsia="x-none"/>
        </w:rPr>
        <w:t>.</w:t>
      </w:r>
    </w:p>
    <w:p w14:paraId="77E4CCA8" w14:textId="6FD43C1D" w:rsidR="00A123DF" w:rsidRPr="008353CF" w:rsidRDefault="005A18DC" w:rsidP="00835CB1">
      <w:pPr>
        <w:rPr>
          <w:bCs/>
          <w:lang w:eastAsia="x-none"/>
        </w:rPr>
      </w:pPr>
      <w:hyperlink r:id="rId719" w:history="1">
        <w:r w:rsidR="00AF7253">
          <w:rPr>
            <w:rStyle w:val="Hyperlink"/>
            <w:bCs/>
            <w:lang w:eastAsia="x-none"/>
          </w:rPr>
          <w:t>R1-2312279</w:t>
        </w:r>
      </w:hyperlink>
      <w:r w:rsidR="00195175" w:rsidRPr="009537ED">
        <w:rPr>
          <w:bCs/>
          <w:lang w:eastAsia="x-none"/>
        </w:rPr>
        <w:tab/>
        <w:t>RAN1 agreements for Rel-17 NR RedCap</w:t>
      </w:r>
      <w:r w:rsidR="00195175" w:rsidRPr="009537ED">
        <w:rPr>
          <w:bCs/>
          <w:lang w:eastAsia="x-none"/>
        </w:rPr>
        <w:tab/>
        <w:t>Rapporteur (Ericsson)</w:t>
      </w:r>
    </w:p>
    <w:p w14:paraId="15E91E51" w14:textId="46B6B37C" w:rsidR="00F74A6F" w:rsidRPr="00D03CDC" w:rsidRDefault="00F74A6F" w:rsidP="00F74A6F">
      <w:pPr>
        <w:pStyle w:val="Heading1"/>
      </w:pPr>
      <w:bookmarkStart w:id="187" w:name="_Toc159250980"/>
      <w:r w:rsidRPr="00D03CDC">
        <w:t>Rel-18</w:t>
      </w:r>
      <w:bookmarkEnd w:id="86"/>
      <w:bookmarkEnd w:id="187"/>
    </w:p>
    <w:p w14:paraId="3B05064B" w14:textId="77777777" w:rsidR="00652511" w:rsidRPr="00D03CDC" w:rsidRDefault="00652511" w:rsidP="00652511">
      <w:pPr>
        <w:rPr>
          <w:lang w:eastAsia="x-none"/>
        </w:rPr>
      </w:pPr>
      <w:r w:rsidRPr="00D03CDC">
        <w:rPr>
          <w:lang w:eastAsia="x-none"/>
        </w:rPr>
        <w:t>[115-R18-RRC] – Sorour (Ericsson)</w:t>
      </w:r>
    </w:p>
    <w:p w14:paraId="1ECA9EF1" w14:textId="6873BC20" w:rsidR="00652511" w:rsidRPr="00D03CDC" w:rsidRDefault="00652511" w:rsidP="00652511">
      <w:pPr>
        <w:rPr>
          <w:b/>
          <w:lang w:eastAsia="x-none"/>
        </w:rPr>
      </w:pPr>
      <w:r w:rsidRPr="00D03CDC">
        <w:rPr>
          <w:lang w:eastAsia="x-none"/>
        </w:rPr>
        <w:t>Email discussion on higher layer signal for Rel-18</w:t>
      </w:r>
    </w:p>
    <w:p w14:paraId="5E40426A" w14:textId="77777777" w:rsidR="00652511" w:rsidRPr="00D03CDC" w:rsidRDefault="00652511" w:rsidP="00652511">
      <w:pPr>
        <w:numPr>
          <w:ilvl w:val="0"/>
          <w:numId w:val="69"/>
        </w:numPr>
        <w:rPr>
          <w:lang w:eastAsia="x-none"/>
        </w:rPr>
      </w:pPr>
      <w:r w:rsidRPr="00D03CDC">
        <w:rPr>
          <w:lang w:eastAsia="x-none"/>
        </w:rPr>
        <w:t xml:space="preserve">To be used for sharing updates on online/offline schedule, details on what is to be discussed in online/offline sessions, tdoc number of the moderator summary for online session, etc </w:t>
      </w:r>
    </w:p>
    <w:p w14:paraId="171C7965" w14:textId="77777777" w:rsidR="00652511" w:rsidRDefault="00652511" w:rsidP="00652511"/>
    <w:p w14:paraId="68CCE188" w14:textId="2149ACC5" w:rsidR="00D03CDC" w:rsidRPr="00D9285A" w:rsidRDefault="005A18DC" w:rsidP="00D03CDC">
      <w:pPr>
        <w:rPr>
          <w:b/>
          <w:bCs/>
        </w:rPr>
      </w:pPr>
      <w:hyperlink r:id="rId720" w:history="1">
        <w:r w:rsidR="00AF7253">
          <w:rPr>
            <w:rStyle w:val="Hyperlink"/>
            <w:b/>
            <w:bCs/>
          </w:rPr>
          <w:t>R1-2312540</w:t>
        </w:r>
      </w:hyperlink>
      <w:r w:rsidR="00D03CDC" w:rsidRPr="00D9285A">
        <w:rPr>
          <w:b/>
          <w:bCs/>
        </w:rPr>
        <w:tab/>
        <w:t>Email discussion summary on LS for Rel-18 higher layer parameters</w:t>
      </w:r>
      <w:r w:rsidR="00D03CDC" w:rsidRPr="00D9285A">
        <w:rPr>
          <w:b/>
          <w:bCs/>
        </w:rPr>
        <w:tab/>
        <w:t>Moderator (Ericsson)</w:t>
      </w:r>
    </w:p>
    <w:p w14:paraId="7078181A" w14:textId="7AE7D379" w:rsidR="00D03CDC" w:rsidRPr="00D03CDC" w:rsidRDefault="005A18DC" w:rsidP="00D03CDC">
      <w:pPr>
        <w:rPr>
          <w:b/>
          <w:bCs/>
        </w:rPr>
      </w:pPr>
      <w:hyperlink r:id="rId721" w:history="1">
        <w:r w:rsidR="00AF7253">
          <w:rPr>
            <w:rStyle w:val="Hyperlink"/>
            <w:b/>
            <w:bCs/>
            <w:highlight w:val="green"/>
          </w:rPr>
          <w:t>R1-2312543</w:t>
        </w:r>
      </w:hyperlink>
      <w:r w:rsidR="00D03CDC" w:rsidRPr="00D03CDC">
        <w:rPr>
          <w:b/>
          <w:bCs/>
        </w:rPr>
        <w:tab/>
        <w:t>Consolidated Rel-18 higher layers parameter list</w:t>
      </w:r>
      <w:r w:rsidR="00D03CDC" w:rsidRPr="00D03CDC">
        <w:rPr>
          <w:b/>
          <w:bCs/>
        </w:rPr>
        <w:tab/>
        <w:t>Moderator (Ericsson)</w:t>
      </w:r>
      <w:r w:rsidR="00D03CDC" w:rsidRPr="00D03CDC">
        <w:rPr>
          <w:b/>
          <w:bCs/>
        </w:rPr>
        <w:tab/>
        <w:t xml:space="preserve">(rev of </w:t>
      </w:r>
      <w:hyperlink r:id="rId722" w:history="1">
        <w:r w:rsidR="00AF7253">
          <w:rPr>
            <w:rStyle w:val="Hyperlink"/>
            <w:b/>
            <w:bCs/>
          </w:rPr>
          <w:t>R1-2312536</w:t>
        </w:r>
      </w:hyperlink>
      <w:r w:rsidR="00D03CDC" w:rsidRPr="00D03CDC">
        <w:rPr>
          <w:b/>
          <w:bCs/>
        </w:rPr>
        <w:t>)</w:t>
      </w:r>
    </w:p>
    <w:p w14:paraId="066C253B" w14:textId="0CEE0EFA" w:rsidR="003949BD" w:rsidRDefault="00D03CDC" w:rsidP="003949BD">
      <w:pPr>
        <w:rPr>
          <w:rFonts w:ascii="Times New Roman" w:hAnsi="Times New Roman"/>
        </w:rPr>
      </w:pPr>
      <w:r>
        <w:rPr>
          <w:b/>
          <w:bCs/>
        </w:rPr>
        <w:t>Wednesday d</w:t>
      </w:r>
      <w:r w:rsidR="003949BD" w:rsidRPr="006F3699">
        <w:rPr>
          <w:b/>
          <w:bCs/>
        </w:rPr>
        <w:t>ecision:</w:t>
      </w:r>
    </w:p>
    <w:p w14:paraId="7DDD0A98" w14:textId="77777777" w:rsidR="003949BD" w:rsidRDefault="003949BD" w:rsidP="003949BD">
      <w:pPr>
        <w:rPr>
          <w:szCs w:val="20"/>
          <w:lang w:val="en-US" w:eastAsia="en-GB"/>
        </w:rPr>
      </w:pPr>
      <w:r>
        <w:rPr>
          <w:highlight w:val="green"/>
          <w:lang w:val="en-US"/>
        </w:rPr>
        <w:t>Agreement</w:t>
      </w:r>
    </w:p>
    <w:p w14:paraId="23EC51F8" w14:textId="3E71A8E9" w:rsidR="003949BD" w:rsidRPr="005B3B73" w:rsidRDefault="003949BD" w:rsidP="00A67145">
      <w:pPr>
        <w:pStyle w:val="ListParagraph"/>
        <w:numPr>
          <w:ilvl w:val="0"/>
          <w:numId w:val="176"/>
        </w:numPr>
        <w:rPr>
          <w:lang w:val="en-US"/>
        </w:rPr>
      </w:pPr>
      <w:r w:rsidRPr="005B3B73">
        <w:rPr>
          <w:lang w:val="en-US"/>
        </w:rPr>
        <w:t xml:space="preserve">The updated Rel-18 higher layer signaling is </w:t>
      </w:r>
      <w:r w:rsidR="00D03CDC">
        <w:rPr>
          <w:lang w:val="en-US"/>
        </w:rPr>
        <w:t>endorsed</w:t>
      </w:r>
      <w:r w:rsidRPr="005B3B73">
        <w:rPr>
          <w:lang w:val="en-US"/>
        </w:rPr>
        <w:t>.</w:t>
      </w:r>
    </w:p>
    <w:p w14:paraId="03CA56A3" w14:textId="77777777" w:rsidR="003949BD" w:rsidRPr="005B3B73" w:rsidRDefault="003949BD" w:rsidP="00A67145">
      <w:pPr>
        <w:pStyle w:val="ListParagraph"/>
        <w:numPr>
          <w:ilvl w:val="0"/>
          <w:numId w:val="176"/>
        </w:numPr>
        <w:rPr>
          <w:lang w:val="en-US"/>
        </w:rPr>
      </w:pPr>
      <w:r w:rsidRPr="005B3B73">
        <w:rPr>
          <w:lang w:val="en-US"/>
        </w:rPr>
        <w:t>Send an LS to RAN2 to convey the updated Rel-18 higher layer signaling.</w:t>
      </w:r>
    </w:p>
    <w:p w14:paraId="47B29672" w14:textId="5FB91AC1" w:rsidR="00D03CDC" w:rsidRPr="00D03CDC" w:rsidRDefault="005A18DC" w:rsidP="00D03CDC">
      <w:pPr>
        <w:rPr>
          <w:b/>
          <w:bCs/>
        </w:rPr>
      </w:pPr>
      <w:hyperlink r:id="rId723" w:history="1">
        <w:r w:rsidR="00AF7253">
          <w:rPr>
            <w:rStyle w:val="Hyperlink"/>
            <w:b/>
            <w:bCs/>
          </w:rPr>
          <w:t>R1-2312537</w:t>
        </w:r>
      </w:hyperlink>
      <w:r w:rsidR="00D03CDC" w:rsidRPr="00D03CDC">
        <w:rPr>
          <w:b/>
          <w:bCs/>
        </w:rPr>
        <w:tab/>
        <w:t>DRAFT LS on Rel-18 higher-layers parameter list</w:t>
      </w:r>
      <w:r w:rsidR="00D03CDC" w:rsidRPr="00D03CDC">
        <w:rPr>
          <w:b/>
          <w:bCs/>
        </w:rPr>
        <w:tab/>
        <w:t>Moderator (Ericsson)</w:t>
      </w:r>
    </w:p>
    <w:p w14:paraId="023221C9" w14:textId="42597A6D" w:rsidR="003949BD" w:rsidRPr="00703994" w:rsidRDefault="00D03CDC" w:rsidP="003949BD">
      <w:pPr>
        <w:rPr>
          <w:rFonts w:ascii="Times New Roman" w:hAnsi="Times New Roman"/>
        </w:rPr>
      </w:pPr>
      <w:r>
        <w:rPr>
          <w:b/>
          <w:bCs/>
        </w:rPr>
        <w:t>Wednesday d</w:t>
      </w:r>
      <w:r w:rsidRPr="006F3699">
        <w:rPr>
          <w:b/>
          <w:bCs/>
        </w:rPr>
        <w:t>ecision:</w:t>
      </w:r>
      <w:r w:rsidRPr="00D03CDC">
        <w:t xml:space="preserve"> T</w:t>
      </w:r>
      <w:r w:rsidR="003949BD" w:rsidRPr="00D03CDC">
        <w:t>he</w:t>
      </w:r>
      <w:r w:rsidR="003949BD">
        <w:t xml:space="preserve"> draft LS with attached list (</w:t>
      </w:r>
      <w:hyperlink r:id="rId724" w:history="1">
        <w:r w:rsidR="00AF7253">
          <w:rPr>
            <w:rStyle w:val="Hyperlink"/>
          </w:rPr>
          <w:t>R1-2312543</w:t>
        </w:r>
      </w:hyperlink>
      <w:r w:rsidR="003949BD">
        <w:t xml:space="preserve">) is endorsed. Final LS is </w:t>
      </w:r>
      <w:r w:rsidR="003949BD" w:rsidRPr="006F3699">
        <w:rPr>
          <w:highlight w:val="green"/>
        </w:rPr>
        <w:t xml:space="preserve">approved in </w:t>
      </w:r>
      <w:hyperlink r:id="rId725" w:history="1">
        <w:r w:rsidR="00AF7253">
          <w:rPr>
            <w:rStyle w:val="Hyperlink"/>
            <w:highlight w:val="green"/>
          </w:rPr>
          <w:t>R1-2312538</w:t>
        </w:r>
      </w:hyperlink>
      <w:r w:rsidR="003949BD" w:rsidRPr="00703994">
        <w:rPr>
          <w:rFonts w:ascii="Times New Roman" w:hAnsi="Times New Roman"/>
        </w:rPr>
        <w:t>.</w:t>
      </w:r>
    </w:p>
    <w:p w14:paraId="5846BF03" w14:textId="77777777" w:rsidR="003949BD" w:rsidRDefault="003949BD" w:rsidP="003949BD">
      <w:pPr>
        <w:rPr>
          <w:rFonts w:ascii="Times New Roman" w:hAnsi="Times New Roman"/>
        </w:rPr>
      </w:pPr>
    </w:p>
    <w:p w14:paraId="4E15AC7F" w14:textId="32B629B8" w:rsidR="003949BD" w:rsidRPr="001B4A6B" w:rsidRDefault="001B4A6B" w:rsidP="00652511">
      <w:pPr>
        <w:rPr>
          <w:b/>
          <w:bCs/>
          <w:u w:val="single"/>
        </w:rPr>
      </w:pPr>
      <w:r w:rsidRPr="001B4A6B">
        <w:rPr>
          <w:b/>
          <w:bCs/>
          <w:u w:val="single"/>
        </w:rPr>
        <w:lastRenderedPageBreak/>
        <w:t>Friday update</w:t>
      </w:r>
    </w:p>
    <w:p w14:paraId="6B252631" w14:textId="602C6816" w:rsidR="001B4A6B" w:rsidRDefault="005A18DC" w:rsidP="001B4A6B">
      <w:pPr>
        <w:rPr>
          <w:b/>
          <w:bCs/>
        </w:rPr>
      </w:pPr>
      <w:hyperlink r:id="rId726" w:history="1">
        <w:r w:rsidR="00AF7253">
          <w:rPr>
            <w:rStyle w:val="Hyperlink"/>
            <w:b/>
            <w:bCs/>
          </w:rPr>
          <w:t>R1-2312659</w:t>
        </w:r>
      </w:hyperlink>
      <w:r w:rsidR="001B4A6B" w:rsidRPr="002C3B68">
        <w:rPr>
          <w:b/>
          <w:bCs/>
        </w:rPr>
        <w:tab/>
        <w:t>Consolidated Rel-18 higher layers parameter list</w:t>
      </w:r>
      <w:r w:rsidR="001B4A6B" w:rsidRPr="002C3B68">
        <w:rPr>
          <w:b/>
          <w:bCs/>
        </w:rPr>
        <w:tab/>
        <w:t>Moderator (Ericsson)</w:t>
      </w:r>
    </w:p>
    <w:p w14:paraId="44A14BDD" w14:textId="258B39E2" w:rsidR="007D15B5" w:rsidRPr="007D15B5" w:rsidRDefault="007D15B5" w:rsidP="001B4A6B">
      <w:r>
        <w:rPr>
          <w:b/>
          <w:bCs/>
        </w:rPr>
        <w:t>Decision:</w:t>
      </w:r>
      <w:r w:rsidRPr="007D15B5">
        <w:t xml:space="preserve"> The list should be revised with the row 16 NES deleted. Final </w:t>
      </w:r>
      <w:r>
        <w:t xml:space="preserve">list of parameters </w:t>
      </w:r>
      <w:r w:rsidRPr="007D15B5">
        <w:t xml:space="preserve">is </w:t>
      </w:r>
      <w:r w:rsidRPr="000B21F9">
        <w:rPr>
          <w:highlight w:val="green"/>
        </w:rPr>
        <w:t xml:space="preserve">endorsed in </w:t>
      </w:r>
      <w:hyperlink r:id="rId727" w:history="1">
        <w:r w:rsidR="00AF7253">
          <w:rPr>
            <w:rStyle w:val="Hyperlink"/>
            <w:highlight w:val="green"/>
          </w:rPr>
          <w:t>R1-2312697</w:t>
        </w:r>
      </w:hyperlink>
      <w:r w:rsidRPr="007D15B5">
        <w:t>.</w:t>
      </w:r>
    </w:p>
    <w:p w14:paraId="0B3709E9" w14:textId="167CD619" w:rsidR="001B4A6B" w:rsidRPr="002C3B68" w:rsidRDefault="005A18DC" w:rsidP="001B4A6B">
      <w:pPr>
        <w:rPr>
          <w:b/>
          <w:bCs/>
        </w:rPr>
      </w:pPr>
      <w:hyperlink r:id="rId728" w:history="1">
        <w:r w:rsidR="00AF7253">
          <w:rPr>
            <w:rStyle w:val="Hyperlink"/>
            <w:b/>
            <w:bCs/>
          </w:rPr>
          <w:t>R1-2312660</w:t>
        </w:r>
      </w:hyperlink>
      <w:r w:rsidR="001B4A6B" w:rsidRPr="002C3B68">
        <w:rPr>
          <w:b/>
          <w:bCs/>
        </w:rPr>
        <w:tab/>
        <w:t>DRAFT LS on Rel-18 higher-layers parameter list</w:t>
      </w:r>
      <w:r w:rsidR="001B4A6B" w:rsidRPr="002C3B68">
        <w:rPr>
          <w:b/>
          <w:bCs/>
        </w:rPr>
        <w:tab/>
        <w:t>Moderator (Ericsson)</w:t>
      </w:r>
    </w:p>
    <w:p w14:paraId="649AC0D4" w14:textId="6CFF7CA8" w:rsidR="007D15B5" w:rsidRPr="00703994" w:rsidRDefault="007D15B5" w:rsidP="007D15B5">
      <w:pPr>
        <w:rPr>
          <w:rFonts w:ascii="Times New Roman" w:hAnsi="Times New Roman"/>
        </w:rPr>
      </w:pPr>
      <w:r>
        <w:rPr>
          <w:b/>
          <w:bCs/>
        </w:rPr>
        <w:t>D</w:t>
      </w:r>
      <w:r w:rsidRPr="006F3699">
        <w:rPr>
          <w:b/>
          <w:bCs/>
        </w:rPr>
        <w:t>ecision:</w:t>
      </w:r>
      <w:r w:rsidRPr="00D03CDC">
        <w:t xml:space="preserve"> The</w:t>
      </w:r>
      <w:r>
        <w:t xml:space="preserve"> draft LS with attached list (</w:t>
      </w:r>
      <w:hyperlink r:id="rId729" w:history="1">
        <w:r w:rsidR="00AF7253">
          <w:rPr>
            <w:rStyle w:val="Hyperlink"/>
          </w:rPr>
          <w:t>R1-2312697</w:t>
        </w:r>
      </w:hyperlink>
      <w:r>
        <w:t xml:space="preserve">) is endorsed. Final LS is </w:t>
      </w:r>
      <w:r w:rsidRPr="006F3699">
        <w:rPr>
          <w:highlight w:val="green"/>
        </w:rPr>
        <w:t>approv</w:t>
      </w:r>
      <w:r w:rsidRPr="007D15B5">
        <w:rPr>
          <w:highlight w:val="green"/>
        </w:rPr>
        <w:t xml:space="preserve">ed in </w:t>
      </w:r>
      <w:hyperlink r:id="rId730" w:history="1">
        <w:r w:rsidR="00AF7253">
          <w:rPr>
            <w:rStyle w:val="Hyperlink"/>
            <w:highlight w:val="green"/>
          </w:rPr>
          <w:t>R1-2312661</w:t>
        </w:r>
      </w:hyperlink>
      <w:r w:rsidRPr="00703994">
        <w:rPr>
          <w:rFonts w:ascii="Times New Roman" w:hAnsi="Times New Roman"/>
        </w:rPr>
        <w:t>.</w:t>
      </w:r>
    </w:p>
    <w:p w14:paraId="3243C43A" w14:textId="2F1EED96" w:rsidR="009C16A2" w:rsidRPr="003F3032" w:rsidRDefault="009C16A2" w:rsidP="009C16A2">
      <w:pPr>
        <w:rPr>
          <w:lang w:val="en-US"/>
        </w:rPr>
      </w:pPr>
      <w:r w:rsidRPr="00293529">
        <w:rPr>
          <w:highlight w:val="magenta"/>
          <w:lang w:val="en-US" w:eastAsia="x-none"/>
        </w:rPr>
        <w:t>Post-meeting:</w:t>
      </w:r>
      <w:r>
        <w:rPr>
          <w:lang w:val="en-US" w:eastAsia="x-none"/>
        </w:rPr>
        <w:t xml:space="preserve"> It was noticed that </w:t>
      </w:r>
      <w:r>
        <w:rPr>
          <w:lang w:val="en-US"/>
        </w:rPr>
        <w:t>f</w:t>
      </w:r>
      <w:r w:rsidRPr="003F3032">
        <w:rPr>
          <w:lang w:val="en-US"/>
        </w:rPr>
        <w:t>or RRC signaling on NES, the value ranges on Row#2-Row#9 were not captured correctly.</w:t>
      </w:r>
    </w:p>
    <w:p w14:paraId="76055349" w14:textId="457D5127" w:rsidR="009C16A2" w:rsidRDefault="009C16A2" w:rsidP="009C16A2">
      <w:pPr>
        <w:rPr>
          <w:rFonts w:ascii="Times New Roman" w:hAnsi="Times New Roman"/>
        </w:rPr>
      </w:pPr>
      <w:r>
        <w:rPr>
          <w:rFonts w:ascii="Times New Roman" w:hAnsi="Times New Roman"/>
        </w:rPr>
        <w:t>See annex F for the corrective action to RAN2/RAN3.</w:t>
      </w:r>
    </w:p>
    <w:p w14:paraId="290EE4DF" w14:textId="77777777" w:rsidR="001B4A6B" w:rsidRPr="009C16A2" w:rsidRDefault="001B4A6B" w:rsidP="001B4A6B">
      <w:pPr>
        <w:rPr>
          <w:lang w:val="en-US"/>
        </w:rPr>
      </w:pPr>
    </w:p>
    <w:p w14:paraId="0E077686" w14:textId="77777777" w:rsidR="001B4A6B" w:rsidRDefault="001B4A6B" w:rsidP="001B4A6B">
      <w:pPr>
        <w:rPr>
          <w:rFonts w:ascii="Times New Roman" w:hAnsi="Times New Roman"/>
        </w:rPr>
      </w:pPr>
      <w:r w:rsidRPr="007D15B5">
        <w:rPr>
          <w:rFonts w:ascii="Times New Roman" w:hAnsi="Times New Roman"/>
        </w:rPr>
        <w:t>For RAN1 tracking purpose, the following is noted.</w:t>
      </w:r>
    </w:p>
    <w:p w14:paraId="5927466A" w14:textId="0ECB4301" w:rsidR="001B4A6B" w:rsidRDefault="005A18DC" w:rsidP="001B4A6B">
      <w:hyperlink r:id="rId731" w:history="1">
        <w:r w:rsidR="00AF7253">
          <w:rPr>
            <w:rStyle w:val="Hyperlink"/>
            <w:rFonts w:ascii="Times New Roman" w:hAnsi="Times New Roman"/>
          </w:rPr>
          <w:t>R1-2312698</w:t>
        </w:r>
      </w:hyperlink>
      <w:r w:rsidR="00920D0A" w:rsidRPr="00920D0A">
        <w:rPr>
          <w:rFonts w:ascii="Times New Roman" w:hAnsi="Times New Roman"/>
        </w:rPr>
        <w:tab/>
        <w:t>Collection of updated Rel-18 higher layers parameter list</w:t>
      </w:r>
      <w:r w:rsidR="00920D0A" w:rsidRPr="00920D0A">
        <w:rPr>
          <w:rFonts w:ascii="Times New Roman" w:hAnsi="Times New Roman"/>
        </w:rPr>
        <w:tab/>
        <w:t>Moderator (Ericsson)</w:t>
      </w:r>
      <w:r w:rsidR="00920D0A">
        <w:rPr>
          <w:rFonts w:ascii="Times New Roman" w:hAnsi="Times New Roman"/>
        </w:rPr>
        <w:tab/>
        <w:t xml:space="preserve">(rev of </w:t>
      </w:r>
      <w:hyperlink r:id="rId732" w:history="1">
        <w:r w:rsidR="00AF7253">
          <w:rPr>
            <w:rStyle w:val="Hyperlink"/>
            <w:rFonts w:ascii="Times New Roman" w:hAnsi="Times New Roman"/>
          </w:rPr>
          <w:t>R1-2312662</w:t>
        </w:r>
      </w:hyperlink>
      <w:r w:rsidR="00920D0A">
        <w:t xml:space="preserve">, </w:t>
      </w:r>
      <w:r w:rsidR="001B4A6B" w:rsidRPr="007D15B5">
        <w:t xml:space="preserve">rev of </w:t>
      </w:r>
      <w:hyperlink r:id="rId733" w:history="1">
        <w:r w:rsidR="00AF7253">
          <w:rPr>
            <w:rStyle w:val="Hyperlink"/>
          </w:rPr>
          <w:t>R1-2312539</w:t>
        </w:r>
      </w:hyperlink>
      <w:r w:rsidR="001B4A6B" w:rsidRPr="007D15B5">
        <w:t>)</w:t>
      </w:r>
    </w:p>
    <w:p w14:paraId="636F4B8C" w14:textId="77777777" w:rsidR="00F74A6F" w:rsidRPr="009537ED" w:rsidRDefault="00F74A6F" w:rsidP="00F74A6F">
      <w:pPr>
        <w:pStyle w:val="Heading2"/>
      </w:pPr>
      <w:bookmarkStart w:id="188" w:name="_Toc150174439"/>
      <w:bookmarkStart w:id="189" w:name="_Toc159250981"/>
      <w:r w:rsidRPr="009537ED">
        <w:t>Maintenance on NR MIMO Evolution for Downlink and Uplink</w:t>
      </w:r>
      <w:bookmarkEnd w:id="188"/>
      <w:bookmarkEnd w:id="189"/>
    </w:p>
    <w:p w14:paraId="5F77EED9" w14:textId="77777777" w:rsidR="00F37550" w:rsidRPr="00FC0650" w:rsidRDefault="00F74A6F" w:rsidP="00F74A6F">
      <w:pPr>
        <w:rPr>
          <w:lang w:eastAsia="x-none"/>
        </w:rPr>
      </w:pPr>
      <w:r w:rsidRPr="00FC0650">
        <w:rPr>
          <w:lang w:eastAsia="x-none"/>
        </w:rPr>
        <w:t xml:space="preserve">[115-R18-MIMO] </w:t>
      </w:r>
      <w:r w:rsidR="00F37550" w:rsidRPr="00FC0650">
        <w:rPr>
          <w:lang w:eastAsia="x-none"/>
        </w:rPr>
        <w:t>– Eko (Samsung)</w:t>
      </w:r>
    </w:p>
    <w:p w14:paraId="3FB2290E" w14:textId="56D5B46F" w:rsidR="00F74A6F" w:rsidRPr="00FC0650" w:rsidRDefault="00F74A6F" w:rsidP="00F74A6F">
      <w:pPr>
        <w:rPr>
          <w:b/>
          <w:lang w:eastAsia="x-none"/>
        </w:rPr>
      </w:pPr>
      <w:r w:rsidRPr="00FC0650">
        <w:rPr>
          <w:lang w:eastAsia="x-none"/>
        </w:rPr>
        <w:t>Email discussion on MIMO</w:t>
      </w:r>
    </w:p>
    <w:p w14:paraId="30DDD4B4" w14:textId="77777777" w:rsidR="00F74A6F" w:rsidRPr="00FC0650" w:rsidRDefault="00F74A6F" w:rsidP="00F74A6F">
      <w:pPr>
        <w:numPr>
          <w:ilvl w:val="0"/>
          <w:numId w:val="69"/>
        </w:numPr>
        <w:rPr>
          <w:lang w:eastAsia="x-none"/>
        </w:rPr>
      </w:pPr>
      <w:r w:rsidRPr="00FC0650">
        <w:rPr>
          <w:lang w:eastAsia="x-none"/>
        </w:rPr>
        <w:t xml:space="preserve">To be used for sharing updates on online/offline schedule, details on what is to be discussed in online/offline sessions, tdoc number of the moderator summary for online session, etc </w:t>
      </w:r>
    </w:p>
    <w:p w14:paraId="4935D655" w14:textId="77777777" w:rsidR="00F74A6F" w:rsidRPr="009537ED" w:rsidRDefault="00F74A6F" w:rsidP="00F74A6F">
      <w:pPr>
        <w:rPr>
          <w:lang w:eastAsia="x-none"/>
        </w:rPr>
      </w:pPr>
    </w:p>
    <w:p w14:paraId="316C45A9" w14:textId="672825D9" w:rsidR="00F74A6F" w:rsidRDefault="005A18DC" w:rsidP="00F74A6F">
      <w:pPr>
        <w:rPr>
          <w:lang w:eastAsia="x-none"/>
        </w:rPr>
      </w:pPr>
      <w:hyperlink r:id="rId734" w:history="1">
        <w:r w:rsidR="00AF7253">
          <w:rPr>
            <w:rStyle w:val="Hyperlink"/>
            <w:lang w:eastAsia="x-none"/>
          </w:rPr>
          <w:t>R1-2311828</w:t>
        </w:r>
      </w:hyperlink>
      <w:r w:rsidR="00F74A6F" w:rsidRPr="009537ED">
        <w:rPr>
          <w:lang w:eastAsia="x-none"/>
        </w:rPr>
        <w:tab/>
        <w:t>RRC parameters for Rel-18 NR MIMO</w:t>
      </w:r>
      <w:r w:rsidR="00F74A6F" w:rsidRPr="009537ED">
        <w:rPr>
          <w:lang w:eastAsia="x-none"/>
        </w:rPr>
        <w:tab/>
        <w:t>Moderator (Samsung)</w:t>
      </w:r>
    </w:p>
    <w:p w14:paraId="0C21D61C" w14:textId="77777777" w:rsidR="00F63D15" w:rsidRDefault="00F63D15" w:rsidP="00F74A6F">
      <w:pPr>
        <w:rPr>
          <w:lang w:eastAsia="x-none"/>
        </w:rPr>
      </w:pPr>
    </w:p>
    <w:p w14:paraId="2B9EC120" w14:textId="77777777" w:rsidR="001A6D6B" w:rsidRDefault="001A6D6B" w:rsidP="00F74A6F">
      <w:pPr>
        <w:rPr>
          <w:lang w:eastAsia="x-none"/>
        </w:rPr>
      </w:pPr>
    </w:p>
    <w:p w14:paraId="0FF302FE" w14:textId="00DA99D3" w:rsidR="00F63D15" w:rsidRDefault="00F63D15" w:rsidP="00F74A6F">
      <w:pPr>
        <w:rPr>
          <w:lang w:eastAsia="x-none"/>
        </w:rPr>
      </w:pPr>
      <w:r>
        <w:rPr>
          <w:lang w:eastAsia="x-none"/>
        </w:rPr>
        <w:t>From AI 5</w:t>
      </w:r>
    </w:p>
    <w:p w14:paraId="1F0A5E58" w14:textId="21FE8428" w:rsidR="00F63D15" w:rsidRPr="009537ED" w:rsidRDefault="005A18DC" w:rsidP="00F63D15">
      <w:pPr>
        <w:rPr>
          <w:b/>
          <w:bCs/>
          <w:lang w:eastAsia="x-none"/>
        </w:rPr>
      </w:pPr>
      <w:hyperlink r:id="rId735" w:history="1">
        <w:r w:rsidR="00AF7253">
          <w:rPr>
            <w:rStyle w:val="Hyperlink"/>
            <w:b/>
            <w:bCs/>
            <w:lang w:eastAsia="x-none"/>
          </w:rPr>
          <w:t>R1-2311004</w:t>
        </w:r>
      </w:hyperlink>
      <w:r w:rsidR="00F63D15" w:rsidRPr="009537ED">
        <w:rPr>
          <w:b/>
          <w:bCs/>
          <w:lang w:eastAsia="x-none"/>
        </w:rPr>
        <w:tab/>
        <w:t>LS on MIMOevo</w:t>
      </w:r>
      <w:r w:rsidR="00F63D15" w:rsidRPr="009537ED">
        <w:rPr>
          <w:b/>
          <w:bCs/>
          <w:lang w:eastAsia="x-none"/>
        </w:rPr>
        <w:tab/>
        <w:t>RAN2, Ericsson</w:t>
      </w:r>
    </w:p>
    <w:p w14:paraId="58A19EE6" w14:textId="06DC921F" w:rsidR="00F63D15" w:rsidRPr="00F63D15" w:rsidRDefault="00F63D15" w:rsidP="00F63D15">
      <w:pPr>
        <w:rPr>
          <w:lang w:eastAsia="x-none"/>
        </w:rPr>
      </w:pPr>
      <w:r w:rsidRPr="00F63D15">
        <w:rPr>
          <w:b/>
          <w:bCs/>
          <w:lang w:eastAsia="x-none"/>
        </w:rPr>
        <w:t>Decision:</w:t>
      </w:r>
      <w:r>
        <w:rPr>
          <w:b/>
          <w:bCs/>
          <w:lang w:eastAsia="x-none"/>
        </w:rPr>
        <w:t xml:space="preserve"> </w:t>
      </w:r>
      <w:r w:rsidRPr="00F63D15">
        <w:rPr>
          <w:lang w:eastAsia="x-none"/>
        </w:rPr>
        <w:t>To be handled in agenda item 8.1. To be moderated by Eko (Samsung).</w:t>
      </w:r>
    </w:p>
    <w:p w14:paraId="7797E2A1" w14:textId="5FA6CA28" w:rsidR="00F63D15" w:rsidRPr="00F63D15" w:rsidRDefault="005A18DC" w:rsidP="00F63D15">
      <w:pPr>
        <w:rPr>
          <w:b/>
          <w:bCs/>
          <w:lang w:eastAsia="x-none"/>
        </w:rPr>
      </w:pPr>
      <w:hyperlink r:id="rId736" w:history="1">
        <w:r w:rsidR="00AF7253">
          <w:rPr>
            <w:rStyle w:val="Hyperlink"/>
            <w:b/>
            <w:bCs/>
            <w:lang w:eastAsia="x-none"/>
          </w:rPr>
          <w:t>R1-2312369</w:t>
        </w:r>
      </w:hyperlink>
      <w:r w:rsidR="00F63D15" w:rsidRPr="00F63D15">
        <w:rPr>
          <w:b/>
          <w:bCs/>
          <w:lang w:eastAsia="x-none"/>
        </w:rPr>
        <w:tab/>
        <w:t>FL summary of discussion on draft reply LS on MIMOevo</w:t>
      </w:r>
      <w:r w:rsidR="00F63D15" w:rsidRPr="00F63D15">
        <w:rPr>
          <w:b/>
          <w:bCs/>
          <w:lang w:eastAsia="x-none"/>
        </w:rPr>
        <w:tab/>
        <w:t>Moderator (Samsung)</w:t>
      </w:r>
    </w:p>
    <w:p w14:paraId="2B9308F0" w14:textId="6425BC2F" w:rsidR="00F63D15" w:rsidRDefault="00F63D15" w:rsidP="00F63D15">
      <w:pPr>
        <w:rPr>
          <w:lang w:eastAsia="x-none"/>
        </w:rPr>
      </w:pPr>
      <w:r>
        <w:rPr>
          <w:lang w:eastAsia="x-none"/>
        </w:rPr>
        <w:t>From Wednesday session</w:t>
      </w:r>
    </w:p>
    <w:p w14:paraId="3D785C9A" w14:textId="77777777" w:rsidR="00852B4D" w:rsidRPr="00852B4D" w:rsidRDefault="00852B4D" w:rsidP="00852B4D">
      <w:pPr>
        <w:rPr>
          <w:highlight w:val="green"/>
          <w:lang w:eastAsia="x-none"/>
        </w:rPr>
      </w:pPr>
      <w:r w:rsidRPr="00852B4D">
        <w:rPr>
          <w:highlight w:val="green"/>
          <w:lang w:eastAsia="x-none"/>
        </w:rPr>
        <w:t>Agreement</w:t>
      </w:r>
    </w:p>
    <w:p w14:paraId="4D855AD5" w14:textId="21CFE67D" w:rsidR="00852B4D" w:rsidRDefault="00852B4D" w:rsidP="00A67145">
      <w:pPr>
        <w:pStyle w:val="ListParagraph"/>
        <w:numPr>
          <w:ilvl w:val="0"/>
          <w:numId w:val="185"/>
        </w:numPr>
        <w:rPr>
          <w:lang w:eastAsia="x-none"/>
        </w:rPr>
      </w:pPr>
      <w:r>
        <w:rPr>
          <w:lang w:eastAsia="x-none"/>
        </w:rPr>
        <w:t xml:space="preserve">The responses for RAN2 questions in x2369 except for 2A are agreed. </w:t>
      </w:r>
    </w:p>
    <w:p w14:paraId="0FFA83E2" w14:textId="3FCA001C" w:rsidR="00852B4D" w:rsidRDefault="00852B4D" w:rsidP="00A67145">
      <w:pPr>
        <w:pStyle w:val="ListParagraph"/>
        <w:numPr>
          <w:ilvl w:val="0"/>
          <w:numId w:val="185"/>
        </w:numPr>
        <w:rPr>
          <w:lang w:eastAsia="x-none"/>
        </w:rPr>
      </w:pPr>
      <w:r>
        <w:rPr>
          <w:lang w:eastAsia="x-none"/>
        </w:rPr>
        <w:t>Also, only capture the first sentence for 1C.</w:t>
      </w:r>
    </w:p>
    <w:p w14:paraId="18A23B2A" w14:textId="0265B73B" w:rsidR="00852B4D" w:rsidRDefault="00852B4D" w:rsidP="00A67145">
      <w:pPr>
        <w:pStyle w:val="ListParagraph"/>
        <w:numPr>
          <w:ilvl w:val="0"/>
          <w:numId w:val="185"/>
        </w:numPr>
        <w:rPr>
          <w:lang w:eastAsia="x-none"/>
        </w:rPr>
      </w:pPr>
      <w:r>
        <w:rPr>
          <w:lang w:eastAsia="x-none"/>
        </w:rPr>
        <w:t>Send LS to RAN2.</w:t>
      </w:r>
    </w:p>
    <w:p w14:paraId="039AFCC2" w14:textId="5E266E60" w:rsidR="00852B4D" w:rsidRDefault="005A18DC" w:rsidP="00852B4D">
      <w:pPr>
        <w:rPr>
          <w:b/>
          <w:bCs/>
          <w:lang w:eastAsia="x-none"/>
        </w:rPr>
      </w:pPr>
      <w:hyperlink r:id="rId737" w:history="1">
        <w:r w:rsidR="00AF7253">
          <w:rPr>
            <w:rStyle w:val="Hyperlink"/>
            <w:b/>
            <w:bCs/>
            <w:lang w:eastAsia="x-none"/>
          </w:rPr>
          <w:t>R1-2312370</w:t>
        </w:r>
      </w:hyperlink>
      <w:r w:rsidR="00852B4D" w:rsidRPr="00852B4D">
        <w:rPr>
          <w:b/>
          <w:bCs/>
          <w:lang w:eastAsia="x-none"/>
        </w:rPr>
        <w:tab/>
        <w:t>Draft reply LS on MIMOevo</w:t>
      </w:r>
      <w:r w:rsidR="00852B4D" w:rsidRPr="00852B4D">
        <w:rPr>
          <w:b/>
          <w:bCs/>
          <w:lang w:eastAsia="x-none"/>
        </w:rPr>
        <w:tab/>
        <w:t>Moderator (Samsung)</w:t>
      </w:r>
    </w:p>
    <w:p w14:paraId="6BDF45E3" w14:textId="7E618B6E" w:rsidR="00852B4D" w:rsidRPr="00852B4D" w:rsidRDefault="00852B4D" w:rsidP="00852B4D">
      <w:pPr>
        <w:rPr>
          <w:lang w:eastAsia="x-none"/>
        </w:rPr>
      </w:pPr>
      <w:r>
        <w:rPr>
          <w:b/>
          <w:bCs/>
          <w:lang w:eastAsia="x-none"/>
        </w:rPr>
        <w:t xml:space="preserve">Decision: </w:t>
      </w:r>
      <w:r w:rsidRPr="00852B4D">
        <w:rPr>
          <w:lang w:eastAsia="x-none"/>
        </w:rPr>
        <w:t xml:space="preserve">The draft LS is endorsed. Final LS is </w:t>
      </w:r>
      <w:r w:rsidRPr="00852B4D">
        <w:rPr>
          <w:highlight w:val="green"/>
          <w:lang w:eastAsia="x-none"/>
        </w:rPr>
        <w:t xml:space="preserve">approved in </w:t>
      </w:r>
      <w:hyperlink r:id="rId738" w:history="1">
        <w:r w:rsidR="00AF7253">
          <w:rPr>
            <w:rStyle w:val="Hyperlink"/>
            <w:highlight w:val="green"/>
            <w:lang w:eastAsia="x-none"/>
          </w:rPr>
          <w:t>R1-2312371</w:t>
        </w:r>
      </w:hyperlink>
      <w:r w:rsidRPr="00852B4D">
        <w:rPr>
          <w:lang w:eastAsia="x-none"/>
        </w:rPr>
        <w:t>.</w:t>
      </w:r>
    </w:p>
    <w:p w14:paraId="22C4675E" w14:textId="77777777" w:rsidR="00852B4D" w:rsidRDefault="00852B4D" w:rsidP="00852B4D">
      <w:pPr>
        <w:rPr>
          <w:lang w:eastAsia="x-none"/>
        </w:rPr>
      </w:pPr>
    </w:p>
    <w:p w14:paraId="0A2590DA" w14:textId="77777777" w:rsidR="00852B4D" w:rsidRDefault="00852B4D" w:rsidP="00852B4D">
      <w:pPr>
        <w:rPr>
          <w:lang w:eastAsia="x-none"/>
        </w:rPr>
      </w:pPr>
    </w:p>
    <w:p w14:paraId="0DA26A90" w14:textId="0E7695EA" w:rsidR="00852B4D" w:rsidRPr="009537ED" w:rsidRDefault="005A18DC" w:rsidP="00852B4D">
      <w:pPr>
        <w:rPr>
          <w:b/>
          <w:bCs/>
          <w:lang w:eastAsia="x-none"/>
        </w:rPr>
      </w:pPr>
      <w:hyperlink r:id="rId739" w:history="1">
        <w:r w:rsidR="00AF7253">
          <w:rPr>
            <w:rStyle w:val="Hyperlink"/>
            <w:b/>
            <w:bCs/>
            <w:lang w:eastAsia="x-none"/>
          </w:rPr>
          <w:t>R1-2311001</w:t>
        </w:r>
      </w:hyperlink>
      <w:r w:rsidR="00852B4D" w:rsidRPr="009537ED">
        <w:rPr>
          <w:b/>
          <w:bCs/>
          <w:lang w:eastAsia="x-none"/>
        </w:rPr>
        <w:tab/>
        <w:t>LS on Stage-2 CR for MIMO evolution</w:t>
      </w:r>
      <w:r w:rsidR="00852B4D" w:rsidRPr="009537ED">
        <w:rPr>
          <w:b/>
          <w:bCs/>
          <w:lang w:eastAsia="x-none"/>
        </w:rPr>
        <w:tab/>
        <w:t>RAN2, NTT DOCOMO</w:t>
      </w:r>
    </w:p>
    <w:p w14:paraId="2ADECC30" w14:textId="29128EB0" w:rsidR="00852B4D" w:rsidRPr="009537ED" w:rsidRDefault="00852B4D" w:rsidP="00852B4D">
      <w:pPr>
        <w:rPr>
          <w:lang w:eastAsia="x-none"/>
        </w:rPr>
      </w:pPr>
      <w:r w:rsidRPr="009537ED">
        <w:rPr>
          <w:b/>
          <w:bCs/>
          <w:lang w:eastAsia="x-none"/>
        </w:rPr>
        <w:t xml:space="preserve">Decision: </w:t>
      </w:r>
      <w:r w:rsidRPr="00F63D15">
        <w:rPr>
          <w:lang w:eastAsia="x-none"/>
        </w:rPr>
        <w:t xml:space="preserve">To be handled in agenda item 8.1. To be moderated by </w:t>
      </w:r>
      <w:r w:rsidR="001A6D6B" w:rsidRPr="001A6D6B">
        <w:rPr>
          <w:lang w:eastAsia="x-none"/>
        </w:rPr>
        <w:t>Yuki</w:t>
      </w:r>
      <w:r w:rsidRPr="00F63D15">
        <w:rPr>
          <w:lang w:eastAsia="x-none"/>
        </w:rPr>
        <w:t xml:space="preserve"> (</w:t>
      </w:r>
      <w:r w:rsidR="001A6D6B">
        <w:rPr>
          <w:lang w:eastAsia="x-none"/>
        </w:rPr>
        <w:t>NTT DOCOMO</w:t>
      </w:r>
      <w:r w:rsidRPr="00F63D15">
        <w:rPr>
          <w:lang w:eastAsia="x-none"/>
        </w:rPr>
        <w:t>).</w:t>
      </w:r>
    </w:p>
    <w:p w14:paraId="6AF0CACB" w14:textId="01250829" w:rsidR="00852B4D" w:rsidRPr="00852B4D" w:rsidRDefault="005A18DC" w:rsidP="00852B4D">
      <w:pPr>
        <w:rPr>
          <w:b/>
          <w:bCs/>
          <w:lang w:eastAsia="x-none"/>
        </w:rPr>
      </w:pPr>
      <w:hyperlink r:id="rId740" w:history="1">
        <w:r w:rsidR="00AF7253">
          <w:rPr>
            <w:rStyle w:val="Hyperlink"/>
            <w:b/>
            <w:bCs/>
            <w:lang w:eastAsia="x-none"/>
          </w:rPr>
          <w:t>R1-2312358</w:t>
        </w:r>
      </w:hyperlink>
      <w:r w:rsidR="00852B4D" w:rsidRPr="00852B4D">
        <w:rPr>
          <w:b/>
          <w:bCs/>
          <w:lang w:eastAsia="x-none"/>
        </w:rPr>
        <w:tab/>
        <w:t>Summary on reply LS on Stage-2 CR for MIMO evolution</w:t>
      </w:r>
      <w:r w:rsidR="00852B4D" w:rsidRPr="00852B4D">
        <w:rPr>
          <w:b/>
          <w:bCs/>
          <w:lang w:eastAsia="x-none"/>
        </w:rPr>
        <w:tab/>
        <w:t>Moderator (NTT DOCOMO)</w:t>
      </w:r>
    </w:p>
    <w:p w14:paraId="5C1B6EDC" w14:textId="77777777" w:rsidR="00852B4D" w:rsidRDefault="00852B4D" w:rsidP="00852B4D">
      <w:pPr>
        <w:rPr>
          <w:lang w:eastAsia="x-none"/>
        </w:rPr>
      </w:pPr>
      <w:r>
        <w:rPr>
          <w:lang w:eastAsia="x-none"/>
        </w:rPr>
        <w:t>From Wednesday session</w:t>
      </w:r>
    </w:p>
    <w:p w14:paraId="32A0CD0D" w14:textId="47BA2FC3" w:rsidR="00852B4D" w:rsidRDefault="005A18DC" w:rsidP="00852B4D">
      <w:pPr>
        <w:rPr>
          <w:b/>
          <w:bCs/>
          <w:lang w:eastAsia="x-none"/>
        </w:rPr>
      </w:pPr>
      <w:hyperlink r:id="rId741" w:history="1">
        <w:r w:rsidR="00AF7253">
          <w:rPr>
            <w:rStyle w:val="Hyperlink"/>
            <w:b/>
            <w:bCs/>
            <w:lang w:eastAsia="x-none"/>
          </w:rPr>
          <w:t>R1-2312359</w:t>
        </w:r>
      </w:hyperlink>
      <w:r w:rsidR="00852B4D" w:rsidRPr="00852B4D">
        <w:rPr>
          <w:b/>
          <w:bCs/>
          <w:lang w:eastAsia="x-none"/>
        </w:rPr>
        <w:tab/>
        <w:t>Draft reply LS on Stage-2 CR for MIMO evolution</w:t>
      </w:r>
      <w:r w:rsidR="00852B4D" w:rsidRPr="00852B4D">
        <w:rPr>
          <w:b/>
          <w:bCs/>
          <w:lang w:eastAsia="x-none"/>
        </w:rPr>
        <w:tab/>
        <w:t>Moderator (NTT DOCOMO)</w:t>
      </w:r>
    </w:p>
    <w:p w14:paraId="25C23E6C" w14:textId="7E9B5589" w:rsidR="00852B4D" w:rsidRDefault="00852B4D" w:rsidP="00F63D15">
      <w:pPr>
        <w:rPr>
          <w:lang w:eastAsia="x-none"/>
        </w:rPr>
      </w:pPr>
      <w:r>
        <w:rPr>
          <w:b/>
          <w:bCs/>
          <w:lang w:eastAsia="x-none"/>
        </w:rPr>
        <w:t xml:space="preserve">Decision: </w:t>
      </w:r>
      <w:r w:rsidRPr="00852B4D">
        <w:rPr>
          <w:lang w:eastAsia="x-none"/>
        </w:rPr>
        <w:t>The draft LS</w:t>
      </w:r>
      <w:r>
        <w:rPr>
          <w:lang w:eastAsia="x-none"/>
        </w:rPr>
        <w:t xml:space="preserve"> on Stage-2 CR for MIMO evolution</w:t>
      </w:r>
      <w:r w:rsidRPr="00852B4D">
        <w:rPr>
          <w:lang w:eastAsia="x-none"/>
        </w:rPr>
        <w:t xml:space="preserve"> is endorsed. Final LS is </w:t>
      </w:r>
      <w:r w:rsidRPr="00852B4D">
        <w:rPr>
          <w:highlight w:val="green"/>
          <w:lang w:eastAsia="x-none"/>
        </w:rPr>
        <w:t xml:space="preserve">approved </w:t>
      </w:r>
      <w:r w:rsidRPr="001A6D6B">
        <w:rPr>
          <w:highlight w:val="green"/>
          <w:lang w:eastAsia="x-none"/>
        </w:rPr>
        <w:t xml:space="preserve">in </w:t>
      </w:r>
      <w:hyperlink r:id="rId742" w:history="1">
        <w:r w:rsidR="00AF7253">
          <w:rPr>
            <w:rStyle w:val="Hyperlink"/>
            <w:highlight w:val="green"/>
            <w:lang w:eastAsia="x-none"/>
          </w:rPr>
          <w:t>R1-2312526</w:t>
        </w:r>
      </w:hyperlink>
      <w:r w:rsidRPr="00852B4D">
        <w:rPr>
          <w:lang w:eastAsia="x-none"/>
        </w:rPr>
        <w:t>.</w:t>
      </w:r>
    </w:p>
    <w:p w14:paraId="21B92283" w14:textId="77777777" w:rsidR="00F74A6F" w:rsidRPr="009537ED" w:rsidRDefault="00F74A6F" w:rsidP="00F37550">
      <w:pPr>
        <w:pStyle w:val="Heading3"/>
      </w:pPr>
      <w:bookmarkStart w:id="190" w:name="_Toc150174440"/>
      <w:bookmarkStart w:id="191" w:name="_Toc159250982"/>
      <w:r w:rsidRPr="009537ED">
        <w:t>Multi-TRP enhancement</w:t>
      </w:r>
      <w:bookmarkEnd w:id="190"/>
      <w:bookmarkEnd w:id="191"/>
    </w:p>
    <w:p w14:paraId="566DC551" w14:textId="77777777" w:rsidR="00F74A6F" w:rsidRPr="009537ED" w:rsidRDefault="00F74A6F" w:rsidP="00F37550">
      <w:pPr>
        <w:pStyle w:val="Heading4"/>
      </w:pPr>
      <w:bookmarkStart w:id="192" w:name="_Toc150174441"/>
      <w:bookmarkStart w:id="193" w:name="_Toc159250983"/>
      <w:r w:rsidRPr="009537ED">
        <w:t>Unified TCI framework extension for multi-TRP</w:t>
      </w:r>
      <w:bookmarkEnd w:id="192"/>
      <w:bookmarkEnd w:id="193"/>
    </w:p>
    <w:p w14:paraId="4C37AA70" w14:textId="33B6C5D6" w:rsidR="00F74A6F" w:rsidRPr="009537ED" w:rsidRDefault="005A18DC" w:rsidP="00F74A6F">
      <w:pPr>
        <w:rPr>
          <w:lang w:eastAsia="x-none"/>
        </w:rPr>
      </w:pPr>
      <w:hyperlink r:id="rId743" w:history="1">
        <w:r w:rsidR="00AF7253">
          <w:rPr>
            <w:rStyle w:val="Hyperlink"/>
            <w:lang w:eastAsia="x-none"/>
          </w:rPr>
          <w:t>R1-2310827</w:t>
        </w:r>
      </w:hyperlink>
      <w:r w:rsidR="00F74A6F" w:rsidRPr="009537ED">
        <w:rPr>
          <w:lang w:eastAsia="x-none"/>
        </w:rPr>
        <w:tab/>
        <w:t>Unified TCI framework extension for multi-TRP</w:t>
      </w:r>
      <w:r w:rsidR="00F74A6F" w:rsidRPr="009537ED">
        <w:rPr>
          <w:lang w:eastAsia="x-none"/>
        </w:rPr>
        <w:tab/>
        <w:t>FUTUREWEI</w:t>
      </w:r>
    </w:p>
    <w:p w14:paraId="0E9267C0" w14:textId="0D18D8CB" w:rsidR="00F74A6F" w:rsidRPr="009537ED" w:rsidRDefault="005A18DC" w:rsidP="00F74A6F">
      <w:pPr>
        <w:rPr>
          <w:lang w:eastAsia="x-none"/>
        </w:rPr>
      </w:pPr>
      <w:hyperlink r:id="rId744" w:history="1">
        <w:r w:rsidR="00AF7253">
          <w:rPr>
            <w:rStyle w:val="Hyperlink"/>
            <w:lang w:eastAsia="x-none"/>
          </w:rPr>
          <w:t>R1-2310866</w:t>
        </w:r>
      </w:hyperlink>
      <w:r w:rsidR="00F74A6F" w:rsidRPr="009537ED">
        <w:rPr>
          <w:lang w:eastAsia="x-none"/>
        </w:rPr>
        <w:tab/>
        <w:t>Maintenance of unified TCI framework extension for multi-TRP</w:t>
      </w:r>
      <w:r w:rsidR="00F74A6F" w:rsidRPr="009537ED">
        <w:rPr>
          <w:lang w:eastAsia="x-none"/>
        </w:rPr>
        <w:tab/>
        <w:t>Huawei, HiSilicon</w:t>
      </w:r>
    </w:p>
    <w:p w14:paraId="21A2FB28" w14:textId="4A35024D" w:rsidR="00F74A6F" w:rsidRPr="009537ED" w:rsidRDefault="005A18DC" w:rsidP="00F74A6F">
      <w:pPr>
        <w:rPr>
          <w:lang w:eastAsia="x-none"/>
        </w:rPr>
      </w:pPr>
      <w:hyperlink r:id="rId745" w:history="1">
        <w:r w:rsidR="00AF7253">
          <w:rPr>
            <w:rStyle w:val="Hyperlink"/>
            <w:lang w:eastAsia="x-none"/>
          </w:rPr>
          <w:t>R1-2310919</w:t>
        </w:r>
      </w:hyperlink>
      <w:r w:rsidR="00F74A6F" w:rsidRPr="009537ED">
        <w:rPr>
          <w:lang w:eastAsia="x-none"/>
        </w:rPr>
        <w:tab/>
        <w:t>Maintenance on Rel-18 Unified TCI for MTRP</w:t>
      </w:r>
      <w:r w:rsidR="00F74A6F" w:rsidRPr="009537ED">
        <w:rPr>
          <w:lang w:eastAsia="x-none"/>
        </w:rPr>
        <w:tab/>
        <w:t>InterDigital, Inc.</w:t>
      </w:r>
    </w:p>
    <w:p w14:paraId="0489EF2C" w14:textId="6782A722" w:rsidR="00F74A6F" w:rsidRPr="009537ED" w:rsidRDefault="005A18DC" w:rsidP="00F74A6F">
      <w:pPr>
        <w:rPr>
          <w:lang w:eastAsia="x-none"/>
        </w:rPr>
      </w:pPr>
      <w:hyperlink r:id="rId746" w:history="1">
        <w:r w:rsidR="00AF7253">
          <w:rPr>
            <w:rStyle w:val="Hyperlink"/>
            <w:lang w:eastAsia="x-none"/>
          </w:rPr>
          <w:t>R1-2310931</w:t>
        </w:r>
      </w:hyperlink>
      <w:r w:rsidR="00F74A6F" w:rsidRPr="009537ED">
        <w:rPr>
          <w:lang w:eastAsia="x-none"/>
        </w:rPr>
        <w:tab/>
        <w:t>Discussions on the remaining issue on Unified TCI framework extension for multi-TRP</w:t>
      </w:r>
      <w:r w:rsidR="00F74A6F" w:rsidRPr="009537ED">
        <w:rPr>
          <w:lang w:eastAsia="x-none"/>
        </w:rPr>
        <w:tab/>
        <w:t>New H3C Technologies Co., Ltd.</w:t>
      </w:r>
    </w:p>
    <w:p w14:paraId="3AA922F5" w14:textId="6C0BDB8E" w:rsidR="00F74A6F" w:rsidRPr="009537ED" w:rsidRDefault="005A18DC" w:rsidP="00F74A6F">
      <w:pPr>
        <w:rPr>
          <w:lang w:eastAsia="x-none"/>
        </w:rPr>
      </w:pPr>
      <w:hyperlink r:id="rId747" w:history="1">
        <w:r w:rsidR="00AF7253">
          <w:rPr>
            <w:rStyle w:val="Hyperlink"/>
            <w:lang w:eastAsia="x-none"/>
          </w:rPr>
          <w:t>R1-2310947</w:t>
        </w:r>
      </w:hyperlink>
      <w:r w:rsidR="00F74A6F" w:rsidRPr="009537ED">
        <w:rPr>
          <w:lang w:eastAsia="x-none"/>
        </w:rPr>
        <w:tab/>
        <w:t>Maintenance on unified TCI framework extension for multi-TRP</w:t>
      </w:r>
      <w:r w:rsidR="00F74A6F" w:rsidRPr="009537ED">
        <w:rPr>
          <w:lang w:eastAsia="x-none"/>
        </w:rPr>
        <w:tab/>
        <w:t>ZTE</w:t>
      </w:r>
    </w:p>
    <w:p w14:paraId="05AEDEC9" w14:textId="543C35D1" w:rsidR="00F74A6F" w:rsidRPr="009537ED" w:rsidRDefault="005A18DC" w:rsidP="00F74A6F">
      <w:pPr>
        <w:rPr>
          <w:lang w:eastAsia="x-none"/>
        </w:rPr>
      </w:pPr>
      <w:hyperlink r:id="rId748" w:history="1">
        <w:r w:rsidR="00AF7253">
          <w:rPr>
            <w:rStyle w:val="Hyperlink"/>
            <w:lang w:eastAsia="x-none"/>
          </w:rPr>
          <w:t>R1-2310970</w:t>
        </w:r>
      </w:hyperlink>
      <w:r w:rsidR="00F74A6F" w:rsidRPr="009537ED">
        <w:rPr>
          <w:lang w:eastAsia="x-none"/>
        </w:rPr>
        <w:tab/>
        <w:t>Maintenance of unified TCI framework extension for multi-TRP</w:t>
      </w:r>
      <w:r w:rsidR="00F74A6F" w:rsidRPr="009537ED">
        <w:rPr>
          <w:lang w:eastAsia="x-none"/>
        </w:rPr>
        <w:tab/>
        <w:t>Ericsson</w:t>
      </w:r>
    </w:p>
    <w:p w14:paraId="20A566F7" w14:textId="743CDDA2" w:rsidR="00F74A6F" w:rsidRPr="009537ED" w:rsidRDefault="005A18DC" w:rsidP="00F74A6F">
      <w:pPr>
        <w:rPr>
          <w:lang w:eastAsia="x-none"/>
        </w:rPr>
      </w:pPr>
      <w:hyperlink r:id="rId749" w:history="1">
        <w:r w:rsidR="00AF7253">
          <w:rPr>
            <w:rStyle w:val="Hyperlink"/>
            <w:lang w:eastAsia="x-none"/>
          </w:rPr>
          <w:t>R1-2311040</w:t>
        </w:r>
      </w:hyperlink>
      <w:r w:rsidR="00F74A6F" w:rsidRPr="009537ED">
        <w:rPr>
          <w:lang w:eastAsia="x-none"/>
        </w:rPr>
        <w:tab/>
        <w:t>Discussion on unified TCI framework extension for multi-TRP</w:t>
      </w:r>
      <w:r w:rsidR="00F74A6F" w:rsidRPr="009537ED">
        <w:rPr>
          <w:lang w:eastAsia="x-none"/>
        </w:rPr>
        <w:tab/>
        <w:t>Fujitsu</w:t>
      </w:r>
    </w:p>
    <w:p w14:paraId="046BD013" w14:textId="278C5322" w:rsidR="00F74A6F" w:rsidRPr="009537ED" w:rsidRDefault="005A18DC" w:rsidP="00F74A6F">
      <w:pPr>
        <w:rPr>
          <w:lang w:eastAsia="x-none"/>
        </w:rPr>
      </w:pPr>
      <w:hyperlink r:id="rId750" w:history="1">
        <w:r w:rsidR="00AF7253">
          <w:rPr>
            <w:rStyle w:val="Hyperlink"/>
            <w:lang w:eastAsia="x-none"/>
          </w:rPr>
          <w:t>R1-2311083</w:t>
        </w:r>
      </w:hyperlink>
      <w:r w:rsidR="00F74A6F" w:rsidRPr="009537ED">
        <w:rPr>
          <w:lang w:eastAsia="x-none"/>
        </w:rPr>
        <w:tab/>
        <w:t>Maintenance  on unified TCI framework extension for multi-TRP</w:t>
      </w:r>
      <w:r w:rsidR="00F74A6F" w:rsidRPr="009537ED">
        <w:rPr>
          <w:lang w:eastAsia="x-none"/>
        </w:rPr>
        <w:tab/>
        <w:t>vivo</w:t>
      </w:r>
    </w:p>
    <w:p w14:paraId="371A212D" w14:textId="40FD0FDB" w:rsidR="00F74A6F" w:rsidRPr="009537ED" w:rsidRDefault="005A18DC" w:rsidP="00F74A6F">
      <w:pPr>
        <w:rPr>
          <w:lang w:eastAsia="x-none"/>
        </w:rPr>
      </w:pPr>
      <w:hyperlink r:id="rId751" w:history="1">
        <w:r w:rsidR="00AF7253">
          <w:rPr>
            <w:rStyle w:val="Hyperlink"/>
            <w:lang w:eastAsia="x-none"/>
          </w:rPr>
          <w:t>R1-2311148</w:t>
        </w:r>
      </w:hyperlink>
      <w:r w:rsidR="00F74A6F" w:rsidRPr="009537ED">
        <w:rPr>
          <w:lang w:eastAsia="x-none"/>
        </w:rPr>
        <w:tab/>
        <w:t>Remaining Issues on Unified TCI Framework Extension for multi-TRP</w:t>
      </w:r>
      <w:r w:rsidR="00F74A6F" w:rsidRPr="009537ED">
        <w:rPr>
          <w:lang w:eastAsia="x-none"/>
        </w:rPr>
        <w:tab/>
        <w:t>Intel Corporation</w:t>
      </w:r>
    </w:p>
    <w:p w14:paraId="00777EA3" w14:textId="3BA19F02" w:rsidR="00F74A6F" w:rsidRPr="009537ED" w:rsidRDefault="005A18DC" w:rsidP="00F74A6F">
      <w:pPr>
        <w:rPr>
          <w:lang w:eastAsia="x-none"/>
        </w:rPr>
      </w:pPr>
      <w:hyperlink r:id="rId752" w:history="1">
        <w:r w:rsidR="00AF7253">
          <w:rPr>
            <w:rStyle w:val="Hyperlink"/>
            <w:lang w:eastAsia="x-none"/>
          </w:rPr>
          <w:t>R1-2311155</w:t>
        </w:r>
      </w:hyperlink>
      <w:r w:rsidR="00F74A6F" w:rsidRPr="009537ED">
        <w:rPr>
          <w:lang w:eastAsia="x-none"/>
        </w:rPr>
        <w:tab/>
        <w:t>Remaining issues on unified TCI framework extension for multi-TRP</w:t>
      </w:r>
      <w:r w:rsidR="00F74A6F" w:rsidRPr="009537ED">
        <w:rPr>
          <w:lang w:eastAsia="x-none"/>
        </w:rPr>
        <w:tab/>
        <w:t>Spreadtrum Communications</w:t>
      </w:r>
    </w:p>
    <w:p w14:paraId="0341EB0A" w14:textId="6291CB53" w:rsidR="00F74A6F" w:rsidRPr="009537ED" w:rsidRDefault="005A18DC" w:rsidP="00F74A6F">
      <w:pPr>
        <w:rPr>
          <w:lang w:eastAsia="x-none"/>
        </w:rPr>
      </w:pPr>
      <w:hyperlink r:id="rId753" w:history="1">
        <w:r w:rsidR="00AF7253">
          <w:rPr>
            <w:rStyle w:val="Hyperlink"/>
            <w:lang w:eastAsia="x-none"/>
          </w:rPr>
          <w:t>R1-2311213</w:t>
        </w:r>
      </w:hyperlink>
      <w:r w:rsidR="00F74A6F" w:rsidRPr="009537ED">
        <w:rPr>
          <w:lang w:eastAsia="x-none"/>
        </w:rPr>
        <w:tab/>
        <w:t>Remaining issues of unified TCI framework extension for multi-TRP</w:t>
      </w:r>
      <w:r w:rsidR="00F74A6F" w:rsidRPr="009537ED">
        <w:rPr>
          <w:lang w:eastAsia="x-none"/>
        </w:rPr>
        <w:tab/>
        <w:t>OPPO</w:t>
      </w:r>
    </w:p>
    <w:p w14:paraId="12E29E7A" w14:textId="047C4F13" w:rsidR="00F74A6F" w:rsidRPr="009537ED" w:rsidRDefault="005A18DC" w:rsidP="00F74A6F">
      <w:pPr>
        <w:rPr>
          <w:lang w:eastAsia="x-none"/>
        </w:rPr>
      </w:pPr>
      <w:hyperlink r:id="rId754" w:history="1">
        <w:r w:rsidR="00AF7253">
          <w:rPr>
            <w:rStyle w:val="Hyperlink"/>
            <w:lang w:eastAsia="x-none"/>
          </w:rPr>
          <w:t>R1-2311314</w:t>
        </w:r>
      </w:hyperlink>
      <w:r w:rsidR="00F74A6F" w:rsidRPr="009537ED">
        <w:rPr>
          <w:lang w:eastAsia="x-none"/>
        </w:rPr>
        <w:tab/>
        <w:t>Discussion of remaining issues on unified TCI framework extension for multi-TRP</w:t>
      </w:r>
      <w:r w:rsidR="00F74A6F" w:rsidRPr="009537ED">
        <w:rPr>
          <w:lang w:eastAsia="x-none"/>
        </w:rPr>
        <w:tab/>
        <w:t>CATT</w:t>
      </w:r>
    </w:p>
    <w:p w14:paraId="1AE66402" w14:textId="7735C183" w:rsidR="00F74A6F" w:rsidRPr="009537ED" w:rsidRDefault="005A18DC" w:rsidP="00F74A6F">
      <w:pPr>
        <w:rPr>
          <w:lang w:eastAsia="x-none"/>
        </w:rPr>
      </w:pPr>
      <w:hyperlink r:id="rId755" w:history="1">
        <w:r w:rsidR="00AF7253">
          <w:rPr>
            <w:rStyle w:val="Hyperlink"/>
            <w:lang w:eastAsia="x-none"/>
          </w:rPr>
          <w:t>R1-2311361</w:t>
        </w:r>
      </w:hyperlink>
      <w:r w:rsidR="00F74A6F" w:rsidRPr="009537ED">
        <w:rPr>
          <w:lang w:eastAsia="x-none"/>
        </w:rPr>
        <w:tab/>
        <w:t>Maintenance on unified TCI framework for multi-TRP</w:t>
      </w:r>
      <w:r w:rsidR="00F74A6F" w:rsidRPr="009537ED">
        <w:rPr>
          <w:lang w:eastAsia="x-none"/>
        </w:rPr>
        <w:tab/>
        <w:t>Lenovo</w:t>
      </w:r>
    </w:p>
    <w:p w14:paraId="139755F7" w14:textId="74F7D6DD" w:rsidR="00F74A6F" w:rsidRPr="009537ED" w:rsidRDefault="005A18DC" w:rsidP="00F74A6F">
      <w:pPr>
        <w:rPr>
          <w:lang w:eastAsia="x-none"/>
        </w:rPr>
      </w:pPr>
      <w:hyperlink r:id="rId756" w:history="1">
        <w:r w:rsidR="00AF7253">
          <w:rPr>
            <w:rStyle w:val="Hyperlink"/>
            <w:lang w:eastAsia="x-none"/>
          </w:rPr>
          <w:t>R1-2311380</w:t>
        </w:r>
      </w:hyperlink>
      <w:r w:rsidR="00F74A6F" w:rsidRPr="009537ED">
        <w:rPr>
          <w:lang w:eastAsia="x-none"/>
        </w:rPr>
        <w:tab/>
        <w:t>Remaining issues on unified TCI framework extension for multi-TRP</w:t>
      </w:r>
      <w:r w:rsidR="00F74A6F" w:rsidRPr="009537ED">
        <w:rPr>
          <w:lang w:eastAsia="x-none"/>
        </w:rPr>
        <w:tab/>
        <w:t>xiaomi</w:t>
      </w:r>
    </w:p>
    <w:p w14:paraId="2FC9AD86" w14:textId="62AA3D29" w:rsidR="00F74A6F" w:rsidRPr="009537ED" w:rsidRDefault="005A18DC" w:rsidP="00F74A6F">
      <w:pPr>
        <w:rPr>
          <w:lang w:eastAsia="x-none"/>
        </w:rPr>
      </w:pPr>
      <w:hyperlink r:id="rId757" w:history="1">
        <w:r w:rsidR="00AF7253">
          <w:rPr>
            <w:rStyle w:val="Hyperlink"/>
            <w:lang w:eastAsia="x-none"/>
          </w:rPr>
          <w:t>R1-2311420</w:t>
        </w:r>
      </w:hyperlink>
      <w:r w:rsidR="00F74A6F" w:rsidRPr="009537ED">
        <w:rPr>
          <w:lang w:eastAsia="x-none"/>
        </w:rPr>
        <w:tab/>
        <w:t>Remaining issues on unified TCI framework extension for multi-TRP</w:t>
      </w:r>
      <w:r w:rsidR="00F74A6F" w:rsidRPr="009537ED">
        <w:rPr>
          <w:lang w:eastAsia="x-none"/>
        </w:rPr>
        <w:tab/>
        <w:t>NEC</w:t>
      </w:r>
    </w:p>
    <w:p w14:paraId="6712C621" w14:textId="1AE2D721" w:rsidR="00F74A6F" w:rsidRPr="009537ED" w:rsidRDefault="005A18DC" w:rsidP="00F74A6F">
      <w:pPr>
        <w:rPr>
          <w:lang w:eastAsia="x-none"/>
        </w:rPr>
      </w:pPr>
      <w:hyperlink r:id="rId758" w:history="1">
        <w:r w:rsidR="00AF7253">
          <w:rPr>
            <w:rStyle w:val="Hyperlink"/>
            <w:lang w:eastAsia="x-none"/>
          </w:rPr>
          <w:t>R1-2311432</w:t>
        </w:r>
      </w:hyperlink>
      <w:r w:rsidR="00F74A6F" w:rsidRPr="009537ED">
        <w:rPr>
          <w:lang w:eastAsia="x-none"/>
        </w:rPr>
        <w:tab/>
        <w:t>Unified TCI framework extension for multi-TRP/panel</w:t>
      </w:r>
      <w:r w:rsidR="00F74A6F" w:rsidRPr="009537ED">
        <w:rPr>
          <w:lang w:eastAsia="x-none"/>
        </w:rPr>
        <w:tab/>
        <w:t>LG Electronics</w:t>
      </w:r>
    </w:p>
    <w:p w14:paraId="5647DD61" w14:textId="170F1EC8" w:rsidR="00F74A6F" w:rsidRPr="009537ED" w:rsidRDefault="005A18DC" w:rsidP="00F74A6F">
      <w:pPr>
        <w:rPr>
          <w:lang w:eastAsia="x-none"/>
        </w:rPr>
      </w:pPr>
      <w:hyperlink r:id="rId759" w:history="1">
        <w:r w:rsidR="00AF7253">
          <w:rPr>
            <w:rStyle w:val="Hyperlink"/>
            <w:lang w:eastAsia="x-none"/>
          </w:rPr>
          <w:t>R1-2311440</w:t>
        </w:r>
      </w:hyperlink>
      <w:r w:rsidR="00F74A6F" w:rsidRPr="009537ED">
        <w:rPr>
          <w:lang w:eastAsia="x-none"/>
        </w:rPr>
        <w:tab/>
        <w:t>Maintenance on unified TCI framework extension for multi-TRP</w:t>
      </w:r>
      <w:r w:rsidR="00F74A6F" w:rsidRPr="009537ED">
        <w:rPr>
          <w:lang w:eastAsia="x-none"/>
        </w:rPr>
        <w:tab/>
        <w:t>Google</w:t>
      </w:r>
    </w:p>
    <w:p w14:paraId="1E04BE4A" w14:textId="2CA28604" w:rsidR="00F74A6F" w:rsidRPr="009537ED" w:rsidRDefault="005A18DC" w:rsidP="00F74A6F">
      <w:pPr>
        <w:rPr>
          <w:lang w:eastAsia="x-none"/>
        </w:rPr>
      </w:pPr>
      <w:hyperlink r:id="rId760" w:history="1">
        <w:r w:rsidR="00AF7253">
          <w:rPr>
            <w:rStyle w:val="Hyperlink"/>
            <w:lang w:eastAsia="x-none"/>
          </w:rPr>
          <w:t>R1-2311474</w:t>
        </w:r>
      </w:hyperlink>
      <w:r w:rsidR="00F74A6F" w:rsidRPr="009537ED">
        <w:rPr>
          <w:lang w:eastAsia="x-none"/>
        </w:rPr>
        <w:tab/>
        <w:t>Remaining issues on unified TCI framework extension for multi-TRP</w:t>
      </w:r>
      <w:r w:rsidR="00F74A6F" w:rsidRPr="009537ED">
        <w:rPr>
          <w:lang w:eastAsia="x-none"/>
        </w:rPr>
        <w:tab/>
        <w:t>CMCC</w:t>
      </w:r>
    </w:p>
    <w:p w14:paraId="3704CD83" w14:textId="4544D9F1" w:rsidR="00F74A6F" w:rsidRPr="009537ED" w:rsidRDefault="005A18DC" w:rsidP="00F74A6F">
      <w:pPr>
        <w:rPr>
          <w:lang w:eastAsia="x-none"/>
        </w:rPr>
      </w:pPr>
      <w:hyperlink r:id="rId761" w:history="1">
        <w:r w:rsidR="00AF7253">
          <w:rPr>
            <w:rStyle w:val="Hyperlink"/>
            <w:lang w:eastAsia="x-none"/>
          </w:rPr>
          <w:t>R1-2311522</w:t>
        </w:r>
      </w:hyperlink>
      <w:r w:rsidR="00F74A6F" w:rsidRPr="009537ED">
        <w:rPr>
          <w:lang w:eastAsia="x-none"/>
        </w:rPr>
        <w:tab/>
        <w:t>Remaining issues on unified TCI framework extension for multi-TRP</w:t>
      </w:r>
      <w:r w:rsidR="00F74A6F" w:rsidRPr="009537ED">
        <w:rPr>
          <w:lang w:eastAsia="x-none"/>
        </w:rPr>
        <w:tab/>
        <w:t>Panasonic</w:t>
      </w:r>
    </w:p>
    <w:p w14:paraId="4E4CF002" w14:textId="0BD1800F" w:rsidR="00F74A6F" w:rsidRPr="009537ED" w:rsidRDefault="005A18DC" w:rsidP="00F74A6F">
      <w:pPr>
        <w:rPr>
          <w:lang w:eastAsia="x-none"/>
        </w:rPr>
      </w:pPr>
      <w:hyperlink r:id="rId762" w:history="1">
        <w:r w:rsidR="00AF7253">
          <w:rPr>
            <w:rStyle w:val="Hyperlink"/>
            <w:lang w:eastAsia="x-none"/>
          </w:rPr>
          <w:t>R1-2311591</w:t>
        </w:r>
      </w:hyperlink>
      <w:r w:rsidR="00F74A6F" w:rsidRPr="009537ED">
        <w:rPr>
          <w:lang w:eastAsia="x-none"/>
        </w:rPr>
        <w:tab/>
        <w:t>Remaining issues on unified TCI framework extension for multi-TRP</w:t>
      </w:r>
      <w:r w:rsidR="00F74A6F" w:rsidRPr="009537ED">
        <w:rPr>
          <w:lang w:eastAsia="x-none"/>
        </w:rPr>
        <w:tab/>
        <w:t>FGI</w:t>
      </w:r>
    </w:p>
    <w:p w14:paraId="78A05943" w14:textId="01B182C6" w:rsidR="00F74A6F" w:rsidRPr="009537ED" w:rsidRDefault="005A18DC" w:rsidP="00F74A6F">
      <w:pPr>
        <w:rPr>
          <w:lang w:eastAsia="x-none"/>
        </w:rPr>
      </w:pPr>
      <w:hyperlink r:id="rId763" w:history="1">
        <w:r w:rsidR="00AF7253">
          <w:rPr>
            <w:rStyle w:val="Hyperlink"/>
            <w:lang w:eastAsia="x-none"/>
          </w:rPr>
          <w:t>R1-2311612</w:t>
        </w:r>
      </w:hyperlink>
      <w:r w:rsidR="00F74A6F" w:rsidRPr="009537ED">
        <w:rPr>
          <w:lang w:eastAsia="x-none"/>
        </w:rPr>
        <w:tab/>
        <w:t>Remaining issues on unified TCI framework extension for multi-TRP</w:t>
      </w:r>
      <w:r w:rsidR="00F74A6F" w:rsidRPr="009537ED">
        <w:rPr>
          <w:lang w:eastAsia="x-none"/>
        </w:rPr>
        <w:tab/>
        <w:t>NTT DOCOMO, INC.</w:t>
      </w:r>
    </w:p>
    <w:p w14:paraId="3A8D45B1" w14:textId="27FE7F75" w:rsidR="00F74A6F" w:rsidRPr="009537ED" w:rsidRDefault="005A18DC" w:rsidP="00F74A6F">
      <w:pPr>
        <w:rPr>
          <w:lang w:eastAsia="x-none"/>
        </w:rPr>
      </w:pPr>
      <w:hyperlink r:id="rId764" w:history="1">
        <w:r w:rsidR="00AF7253">
          <w:rPr>
            <w:rStyle w:val="Hyperlink"/>
            <w:lang w:eastAsia="x-none"/>
          </w:rPr>
          <w:t>R1-2311674</w:t>
        </w:r>
      </w:hyperlink>
      <w:r w:rsidR="00F74A6F" w:rsidRPr="009537ED">
        <w:rPr>
          <w:lang w:eastAsia="x-none"/>
        </w:rPr>
        <w:tab/>
        <w:t>Unified TCI framework extension for multi-TRP</w:t>
      </w:r>
      <w:r w:rsidR="00F74A6F" w:rsidRPr="009537ED">
        <w:rPr>
          <w:lang w:eastAsia="x-none"/>
        </w:rPr>
        <w:tab/>
        <w:t>Apple</w:t>
      </w:r>
    </w:p>
    <w:p w14:paraId="58B775EF" w14:textId="106797AA" w:rsidR="00F74A6F" w:rsidRPr="009537ED" w:rsidRDefault="005A18DC" w:rsidP="00F74A6F">
      <w:pPr>
        <w:rPr>
          <w:lang w:eastAsia="x-none"/>
        </w:rPr>
      </w:pPr>
      <w:hyperlink r:id="rId765" w:history="1">
        <w:r w:rsidR="00AF7253">
          <w:rPr>
            <w:rStyle w:val="Hyperlink"/>
            <w:lang w:eastAsia="x-none"/>
          </w:rPr>
          <w:t>R1-2311718</w:t>
        </w:r>
      </w:hyperlink>
      <w:r w:rsidR="00F74A6F" w:rsidRPr="009537ED">
        <w:rPr>
          <w:lang w:eastAsia="x-none"/>
        </w:rPr>
        <w:tab/>
        <w:t>Maintenance on unified TCI framework extension for multi-TRP</w:t>
      </w:r>
      <w:r w:rsidR="00F74A6F" w:rsidRPr="009537ED">
        <w:rPr>
          <w:lang w:eastAsia="x-none"/>
        </w:rPr>
        <w:tab/>
        <w:t>Sharp</w:t>
      </w:r>
    </w:p>
    <w:p w14:paraId="11343B7A" w14:textId="42FBCF61" w:rsidR="00F74A6F" w:rsidRPr="009537ED" w:rsidRDefault="005A18DC" w:rsidP="00F74A6F">
      <w:pPr>
        <w:rPr>
          <w:lang w:eastAsia="x-none"/>
        </w:rPr>
      </w:pPr>
      <w:hyperlink r:id="rId766" w:history="1">
        <w:r w:rsidR="00AF7253">
          <w:rPr>
            <w:rStyle w:val="Hyperlink"/>
            <w:lang w:eastAsia="x-none"/>
          </w:rPr>
          <w:t>R1-2311739</w:t>
        </w:r>
      </w:hyperlink>
      <w:r w:rsidR="00F74A6F" w:rsidRPr="009537ED">
        <w:rPr>
          <w:lang w:eastAsia="x-none"/>
        </w:rPr>
        <w:tab/>
        <w:t>Maintenance of unified TCI framework extension for multi-TRP</w:t>
      </w:r>
      <w:r w:rsidR="00F74A6F" w:rsidRPr="009537ED">
        <w:rPr>
          <w:lang w:eastAsia="x-none"/>
        </w:rPr>
        <w:tab/>
        <w:t>Nokia, Nokia Shanghai Bell</w:t>
      </w:r>
    </w:p>
    <w:p w14:paraId="1BDA6F25" w14:textId="71117746" w:rsidR="00F74A6F" w:rsidRPr="009537ED" w:rsidRDefault="005A18DC" w:rsidP="00F74A6F">
      <w:pPr>
        <w:rPr>
          <w:lang w:eastAsia="x-none"/>
        </w:rPr>
      </w:pPr>
      <w:hyperlink r:id="rId767" w:history="1">
        <w:r w:rsidR="00AF7253">
          <w:rPr>
            <w:rStyle w:val="Hyperlink"/>
            <w:lang w:eastAsia="x-none"/>
          </w:rPr>
          <w:t>R1-2311792</w:t>
        </w:r>
      </w:hyperlink>
      <w:r w:rsidR="00F74A6F" w:rsidRPr="009537ED">
        <w:rPr>
          <w:lang w:eastAsia="x-none"/>
        </w:rPr>
        <w:tab/>
        <w:t>Remaining issues of unified TCI framework extension for multi-TRP</w:t>
      </w:r>
      <w:r w:rsidR="00F74A6F" w:rsidRPr="009537ED">
        <w:rPr>
          <w:lang w:eastAsia="x-none"/>
        </w:rPr>
        <w:tab/>
        <w:t>Transsion Holdings</w:t>
      </w:r>
    </w:p>
    <w:p w14:paraId="25E69E48" w14:textId="30EE9FE9" w:rsidR="00F74A6F" w:rsidRPr="009537ED" w:rsidRDefault="005A18DC" w:rsidP="00F74A6F">
      <w:pPr>
        <w:rPr>
          <w:lang w:eastAsia="x-none"/>
        </w:rPr>
      </w:pPr>
      <w:hyperlink r:id="rId768" w:history="1">
        <w:r w:rsidR="00AF7253">
          <w:rPr>
            <w:rStyle w:val="Hyperlink"/>
            <w:lang w:eastAsia="x-none"/>
          </w:rPr>
          <w:t>R1-2312294</w:t>
        </w:r>
      </w:hyperlink>
      <w:r w:rsidR="00F125DD" w:rsidRPr="009537ED">
        <w:rPr>
          <w:lang w:eastAsia="x-none"/>
        </w:rPr>
        <w:tab/>
        <w:t>Remaining details on unified TCI extension focusing on m-TRP</w:t>
      </w:r>
      <w:r w:rsidR="00F125DD" w:rsidRPr="009537ED">
        <w:rPr>
          <w:lang w:eastAsia="x-none"/>
        </w:rPr>
        <w:tab/>
        <w:t>Samsung</w:t>
      </w:r>
      <w:r w:rsidR="00F125DD" w:rsidRPr="009537ED">
        <w:rPr>
          <w:lang w:eastAsia="x-none"/>
        </w:rPr>
        <w:tab/>
        <w:t xml:space="preserve">(rev of </w:t>
      </w:r>
      <w:hyperlink r:id="rId769" w:history="1">
        <w:r w:rsidR="00AF7253">
          <w:rPr>
            <w:rStyle w:val="Hyperlink"/>
            <w:lang w:eastAsia="x-none"/>
          </w:rPr>
          <w:t>R1-2311829</w:t>
        </w:r>
      </w:hyperlink>
      <w:r w:rsidR="00F125DD" w:rsidRPr="009537ED">
        <w:rPr>
          <w:lang w:eastAsia="x-none"/>
        </w:rPr>
        <w:t>)</w:t>
      </w:r>
    </w:p>
    <w:p w14:paraId="1B5300B5" w14:textId="790182EC" w:rsidR="00F74A6F" w:rsidRPr="009537ED" w:rsidRDefault="005A18DC" w:rsidP="00F74A6F">
      <w:pPr>
        <w:rPr>
          <w:lang w:eastAsia="x-none"/>
        </w:rPr>
      </w:pPr>
      <w:hyperlink r:id="rId770" w:history="1">
        <w:r w:rsidR="00AF7253">
          <w:rPr>
            <w:rStyle w:val="Hyperlink"/>
            <w:lang w:eastAsia="x-none"/>
          </w:rPr>
          <w:t>R1-2311925</w:t>
        </w:r>
      </w:hyperlink>
      <w:r w:rsidR="00F74A6F" w:rsidRPr="009537ED">
        <w:rPr>
          <w:lang w:eastAsia="x-none"/>
        </w:rPr>
        <w:tab/>
        <w:t>Remaining issues on unified TCI framework extension for multi-TRP</w:t>
      </w:r>
      <w:r w:rsidR="00F74A6F" w:rsidRPr="009537ED">
        <w:rPr>
          <w:lang w:eastAsia="x-none"/>
        </w:rPr>
        <w:tab/>
        <w:t>Ruijie Network Co. Ltd</w:t>
      </w:r>
    </w:p>
    <w:p w14:paraId="5A4EDD58" w14:textId="71230234" w:rsidR="00F74A6F" w:rsidRPr="009537ED" w:rsidRDefault="005A18DC" w:rsidP="00F74A6F">
      <w:pPr>
        <w:rPr>
          <w:lang w:eastAsia="x-none"/>
        </w:rPr>
      </w:pPr>
      <w:hyperlink r:id="rId771" w:history="1">
        <w:r w:rsidR="00AF7253">
          <w:rPr>
            <w:rStyle w:val="Hyperlink"/>
            <w:lang w:eastAsia="x-none"/>
          </w:rPr>
          <w:t>R1-2311971</w:t>
        </w:r>
      </w:hyperlink>
      <w:r w:rsidR="00F74A6F" w:rsidRPr="009537ED">
        <w:rPr>
          <w:lang w:eastAsia="x-none"/>
        </w:rPr>
        <w:tab/>
        <w:t>Remaining issues on unified TCI framework extension for multi-TRP</w:t>
      </w:r>
      <w:r w:rsidR="00F74A6F" w:rsidRPr="009537ED">
        <w:rPr>
          <w:lang w:eastAsia="x-none"/>
        </w:rPr>
        <w:tab/>
        <w:t>MediaTek Inc.</w:t>
      </w:r>
    </w:p>
    <w:p w14:paraId="1E8E5EA6" w14:textId="03D06EC6" w:rsidR="00F74A6F" w:rsidRPr="009537ED" w:rsidRDefault="005A18DC" w:rsidP="00F74A6F">
      <w:pPr>
        <w:rPr>
          <w:lang w:eastAsia="x-none"/>
        </w:rPr>
      </w:pPr>
      <w:hyperlink r:id="rId772" w:history="1">
        <w:r w:rsidR="00AF7253">
          <w:rPr>
            <w:rStyle w:val="Hyperlink"/>
            <w:lang w:eastAsia="x-none"/>
          </w:rPr>
          <w:t>R1-2312005</w:t>
        </w:r>
      </w:hyperlink>
      <w:r w:rsidR="00F74A6F" w:rsidRPr="009537ED">
        <w:rPr>
          <w:lang w:eastAsia="x-none"/>
        </w:rPr>
        <w:tab/>
        <w:t>Remaining issues on unified TCI framework extension for multi-TRP</w:t>
      </w:r>
      <w:r w:rsidR="00F74A6F" w:rsidRPr="009537ED">
        <w:rPr>
          <w:lang w:eastAsia="x-none"/>
        </w:rPr>
        <w:tab/>
        <w:t>Hyundai Motor Company</w:t>
      </w:r>
    </w:p>
    <w:p w14:paraId="167C1F00" w14:textId="6D01E0DA" w:rsidR="00F74A6F" w:rsidRPr="009537ED" w:rsidRDefault="005A18DC" w:rsidP="00F74A6F">
      <w:pPr>
        <w:rPr>
          <w:lang w:eastAsia="x-none"/>
        </w:rPr>
      </w:pPr>
      <w:hyperlink r:id="rId773" w:history="1">
        <w:r w:rsidR="00AF7253">
          <w:rPr>
            <w:rStyle w:val="Hyperlink"/>
            <w:lang w:eastAsia="x-none"/>
          </w:rPr>
          <w:t>R1-2312025</w:t>
        </w:r>
      </w:hyperlink>
      <w:r w:rsidR="00F74A6F" w:rsidRPr="009537ED">
        <w:rPr>
          <w:lang w:eastAsia="x-none"/>
        </w:rPr>
        <w:tab/>
        <w:t>Extension of unified TCI framework for mTRP</w:t>
      </w:r>
      <w:r w:rsidR="00F74A6F" w:rsidRPr="009537ED">
        <w:rPr>
          <w:lang w:eastAsia="x-none"/>
        </w:rPr>
        <w:tab/>
        <w:t>Qualcomm Incorporated</w:t>
      </w:r>
    </w:p>
    <w:p w14:paraId="32BDEDDC" w14:textId="67B1AF8B" w:rsidR="00F74A6F" w:rsidRPr="009537ED" w:rsidRDefault="005A18DC" w:rsidP="00F74A6F">
      <w:pPr>
        <w:rPr>
          <w:lang w:eastAsia="x-none"/>
        </w:rPr>
      </w:pPr>
      <w:hyperlink r:id="rId774" w:history="1">
        <w:r w:rsidR="00AF7253">
          <w:rPr>
            <w:rStyle w:val="Hyperlink"/>
            <w:lang w:eastAsia="x-none"/>
          </w:rPr>
          <w:t>R1-2312177</w:t>
        </w:r>
      </w:hyperlink>
      <w:r w:rsidR="00F74A6F" w:rsidRPr="009537ED">
        <w:rPr>
          <w:lang w:eastAsia="x-none"/>
        </w:rPr>
        <w:tab/>
        <w:t>Multi-TRP enhancements for the unified TCI framework</w:t>
      </w:r>
      <w:r w:rsidR="00F74A6F" w:rsidRPr="009537ED">
        <w:rPr>
          <w:lang w:eastAsia="x-none"/>
        </w:rPr>
        <w:tab/>
        <w:t>Fraunhofer IIS, Fraunhofer HHI</w:t>
      </w:r>
    </w:p>
    <w:p w14:paraId="4AB1A26C" w14:textId="77777777" w:rsidR="00F37550" w:rsidRPr="009537ED" w:rsidRDefault="00F37550" w:rsidP="00F74A6F">
      <w:pPr>
        <w:rPr>
          <w:lang w:eastAsia="x-none"/>
        </w:rPr>
      </w:pPr>
    </w:p>
    <w:p w14:paraId="53E60800" w14:textId="5838875B" w:rsidR="00F37550" w:rsidRPr="009537ED" w:rsidRDefault="005A18DC" w:rsidP="00F37550">
      <w:pPr>
        <w:rPr>
          <w:b/>
          <w:bCs/>
          <w:lang w:eastAsia="x-none"/>
        </w:rPr>
      </w:pPr>
      <w:hyperlink r:id="rId775" w:history="1">
        <w:r w:rsidR="00AF7253">
          <w:rPr>
            <w:rStyle w:val="Hyperlink"/>
            <w:b/>
            <w:bCs/>
            <w:lang w:eastAsia="x-none"/>
          </w:rPr>
          <w:t>R1-2312007</w:t>
        </w:r>
      </w:hyperlink>
      <w:r w:rsidR="00F37550" w:rsidRPr="009537ED">
        <w:rPr>
          <w:b/>
          <w:bCs/>
          <w:lang w:eastAsia="x-none"/>
        </w:rPr>
        <w:tab/>
        <w:t>Moderator summary on extension of unified TCI framework (Round 0)</w:t>
      </w:r>
      <w:r w:rsidR="00F37550" w:rsidRPr="009537ED">
        <w:rPr>
          <w:b/>
          <w:bCs/>
          <w:lang w:eastAsia="x-none"/>
        </w:rPr>
        <w:tab/>
        <w:t>Moderator (MediaTek Inc.)</w:t>
      </w:r>
    </w:p>
    <w:p w14:paraId="6192D92F" w14:textId="0E86D129" w:rsidR="00F37550" w:rsidRPr="009537ED" w:rsidRDefault="00F37550" w:rsidP="00F37550">
      <w:pPr>
        <w:rPr>
          <w:lang w:eastAsia="x-none"/>
        </w:rPr>
      </w:pPr>
      <w:r w:rsidRPr="009537ED">
        <w:rPr>
          <w:lang w:eastAsia="x-none"/>
        </w:rPr>
        <w:t>From Monday session</w:t>
      </w:r>
    </w:p>
    <w:p w14:paraId="3C312CC1" w14:textId="0BEABA8D" w:rsidR="00F37550" w:rsidRPr="009537ED" w:rsidRDefault="00F37550" w:rsidP="00F37550">
      <w:pPr>
        <w:rPr>
          <w:rFonts w:ascii="Times New Roman" w:hAnsi="Times New Roman"/>
          <w:szCs w:val="20"/>
          <w:lang w:eastAsia="x-none"/>
        </w:rPr>
      </w:pPr>
      <w:r w:rsidRPr="009537ED">
        <w:rPr>
          <w:rFonts w:ascii="Times New Roman" w:hAnsi="Times New Roman"/>
          <w:szCs w:val="20"/>
          <w:highlight w:val="green"/>
          <w:lang w:eastAsia="x-none"/>
        </w:rPr>
        <w:t>Agreement</w:t>
      </w:r>
    </w:p>
    <w:p w14:paraId="1425F2FD" w14:textId="77777777" w:rsidR="00F37550" w:rsidRPr="009537ED" w:rsidRDefault="00F37550" w:rsidP="00F37550">
      <w:pPr>
        <w:jc w:val="both"/>
        <w:rPr>
          <w:rFonts w:ascii="Times New Roman" w:eastAsia="MS Mincho" w:hAnsi="Times New Roman"/>
          <w:color w:val="000000"/>
          <w:szCs w:val="20"/>
        </w:rPr>
      </w:pPr>
      <w:r w:rsidRPr="009537ED">
        <w:rPr>
          <w:rFonts w:ascii="Times New Roman" w:eastAsia="MS Mincho" w:hAnsi="Times New Roman"/>
          <w:color w:val="000000"/>
          <w:szCs w:val="20"/>
        </w:rPr>
        <w:t>Adopt the following text proposals to TS 38.212 V18.0.0 Section 7.3.1.2.2 and Section 7.3.1.2.3, and to TS 38.214 V18.0.0 Section 5.1.6.2:</w:t>
      </w:r>
    </w:p>
    <w:p w14:paraId="0EE79480" w14:textId="77777777" w:rsidR="00F37550" w:rsidRPr="009537ED" w:rsidRDefault="00F37550" w:rsidP="00A76E0D">
      <w:pPr>
        <w:pStyle w:val="ListParagraph"/>
        <w:numPr>
          <w:ilvl w:val="0"/>
          <w:numId w:val="95"/>
        </w:numPr>
        <w:rPr>
          <w:rFonts w:eastAsia="MS Mincho"/>
        </w:rPr>
      </w:pPr>
      <w:r w:rsidRPr="009537ED">
        <w:t>Reason for change: In S-DCI based MTRP operation, Rel-18 unified TCI extension uses different schemes (TCI selection field in the DCI, RRC configuration, or default rule) to select one or two indicated TCI states for PDSCH reception, rather than being based on legacy DCI field 'Transmission Configuration Indication' indicating one or two TCI states. Without a specification change, to switch to S-DCI based PDSCH Tx still only depends legacy condition (i.e., TCI field indicating two TCI states), thus S-DCI based PDSCH transmission would not work under Rel-18 unified TCI framework extension based on current specification.</w:t>
      </w:r>
    </w:p>
    <w:p w14:paraId="6538BC01" w14:textId="77777777" w:rsidR="00F37550" w:rsidRPr="009537ED" w:rsidRDefault="00F37550" w:rsidP="00A76E0D">
      <w:pPr>
        <w:pStyle w:val="ListParagraph"/>
        <w:numPr>
          <w:ilvl w:val="0"/>
          <w:numId w:val="95"/>
        </w:numPr>
        <w:rPr>
          <w:rFonts w:eastAsia="MS Mincho"/>
        </w:rPr>
      </w:pPr>
      <w:r w:rsidRPr="009537ED">
        <w:rPr>
          <w:rFonts w:eastAsia="MS Mincho"/>
        </w:rPr>
        <w:t>Summary of change: In S-DCI based MTRP operation, Rel-18 unified TCI extension uses different schemes (TCI selection field in the DCI, RRC configuration, or default rule) to select one or two indicated TCI states for PDSCH reception, rather than being based on legacy DCI field 'Transmission Configuration Indication' indicating one or two TCI states.</w:t>
      </w:r>
    </w:p>
    <w:p w14:paraId="4C915378" w14:textId="77777777" w:rsidR="00F37550" w:rsidRPr="009537ED" w:rsidRDefault="00F37550" w:rsidP="00A76E0D">
      <w:pPr>
        <w:pStyle w:val="ListParagraph"/>
        <w:numPr>
          <w:ilvl w:val="0"/>
          <w:numId w:val="95"/>
        </w:numPr>
        <w:rPr>
          <w:rFonts w:eastAsia="MS Mincho"/>
        </w:rPr>
      </w:pPr>
      <w:r w:rsidRPr="009537ED">
        <w:rPr>
          <w:rFonts w:eastAsia="MS Mincho"/>
        </w:rPr>
        <w:t xml:space="preserve">Consequences if not approved: Incomplete and unclear specification of </w:t>
      </w:r>
      <w:r w:rsidRPr="009537ED">
        <w:t>Rel-18 unified TCI extension</w:t>
      </w:r>
    </w:p>
    <w:tbl>
      <w:tblPr>
        <w:tblW w:w="5000" w:type="pct"/>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0683"/>
      </w:tblGrid>
      <w:tr w:rsidR="00F37550" w:rsidRPr="009537ED" w14:paraId="6D074755" w14:textId="77777777" w:rsidTr="00F37550">
        <w:tc>
          <w:tcPr>
            <w:tcW w:w="5000" w:type="pct"/>
            <w:shd w:val="clear" w:color="auto" w:fill="auto"/>
          </w:tcPr>
          <w:p w14:paraId="60A5E518" w14:textId="77777777" w:rsidR="00F37550" w:rsidRPr="009537ED" w:rsidRDefault="00F37550" w:rsidP="00F37550">
            <w:pPr>
              <w:rPr>
                <w:rFonts w:ascii="Arial" w:hAnsi="Arial" w:cs="Arial"/>
                <w:b/>
                <w:bCs/>
                <w:sz w:val="16"/>
                <w:szCs w:val="16"/>
              </w:rPr>
            </w:pPr>
            <w:r w:rsidRPr="009537ED">
              <w:rPr>
                <w:rFonts w:ascii="Arial" w:hAnsi="Arial" w:cs="Arial"/>
                <w:b/>
                <w:bCs/>
                <w:sz w:val="16"/>
                <w:szCs w:val="16"/>
              </w:rPr>
              <w:t>5.1.6.2</w:t>
            </w:r>
            <w:r w:rsidRPr="009537ED">
              <w:rPr>
                <w:rFonts w:ascii="Arial" w:hAnsi="Arial" w:cs="Arial"/>
                <w:b/>
                <w:bCs/>
                <w:sz w:val="16"/>
                <w:szCs w:val="16"/>
              </w:rPr>
              <w:tab/>
              <w:t>DM-RS reception procedure</w:t>
            </w:r>
          </w:p>
          <w:p w14:paraId="5752BC6F" w14:textId="77777777" w:rsidR="00F37550" w:rsidRPr="009537ED" w:rsidRDefault="00F37550" w:rsidP="00F37550">
            <w:pPr>
              <w:jc w:val="center"/>
              <w:rPr>
                <w:rFonts w:ascii="Arial" w:hAnsi="Arial" w:cs="Arial"/>
                <w:color w:val="FF0000"/>
                <w:sz w:val="16"/>
                <w:szCs w:val="16"/>
              </w:rPr>
            </w:pPr>
            <w:r w:rsidRPr="009537ED">
              <w:rPr>
                <w:rFonts w:ascii="Arial" w:hAnsi="Arial" w:cs="Arial"/>
                <w:color w:val="FF0000"/>
                <w:sz w:val="16"/>
                <w:szCs w:val="16"/>
              </w:rPr>
              <w:t>&lt;Unchanged text omitted&gt;</w:t>
            </w:r>
          </w:p>
          <w:p w14:paraId="1C13CBB0" w14:textId="77777777" w:rsidR="00F37550" w:rsidRPr="009537ED" w:rsidRDefault="00F37550" w:rsidP="00F37550">
            <w:pPr>
              <w:rPr>
                <w:rFonts w:ascii="Arial" w:hAnsi="Arial" w:cs="Arial"/>
                <w:color w:val="000000"/>
                <w:kern w:val="2"/>
                <w:sz w:val="16"/>
                <w:szCs w:val="16"/>
                <w:lang w:eastAsia="ko-KR"/>
              </w:rPr>
            </w:pPr>
            <w:r w:rsidRPr="009537ED">
              <w:rPr>
                <w:rFonts w:ascii="Arial" w:hAnsi="Arial" w:cs="Arial"/>
                <w:color w:val="000000"/>
                <w:kern w:val="2"/>
                <w:sz w:val="16"/>
                <w:szCs w:val="16"/>
                <w:lang w:eastAsia="ko-KR"/>
              </w:rPr>
              <w:t xml:space="preserve">For DM-RS configuration enhanced type 1, </w:t>
            </w:r>
          </w:p>
          <w:p w14:paraId="3E79DEDA" w14:textId="77777777" w:rsidR="00F37550" w:rsidRPr="009537ED" w:rsidRDefault="00F37550" w:rsidP="00A76E0D">
            <w:pPr>
              <w:numPr>
                <w:ilvl w:val="0"/>
                <w:numId w:val="94"/>
              </w:numPr>
              <w:rPr>
                <w:rFonts w:ascii="Arial" w:eastAsia="Malgun Gothic" w:hAnsi="Arial" w:cs="Arial"/>
                <w:i/>
                <w:iCs/>
                <w:color w:val="000000"/>
                <w:sz w:val="16"/>
                <w:szCs w:val="16"/>
                <w:lang w:eastAsia="ko-KR"/>
              </w:rPr>
            </w:pPr>
            <w:r w:rsidRPr="009537ED">
              <w:rPr>
                <w:rFonts w:ascii="Arial" w:hAnsi="Arial" w:cs="Arial"/>
                <w:color w:val="000000"/>
                <w:kern w:val="2"/>
                <w:sz w:val="16"/>
                <w:szCs w:val="16"/>
                <w:lang w:eastAsia="ko-KR"/>
              </w:rPr>
              <w:t xml:space="preserve">if a UE is configured with the higher layer parameter repetitionScheme set to 'fdmSchemeA' or ‘fdmSchemeB’, and is indicated with two TCI states in a codepoint of the DCI field 'Transmission Configuration Indication' </w:t>
            </w:r>
            <w:r w:rsidRPr="009537ED">
              <w:rPr>
                <w:rFonts w:ascii="Arial" w:hAnsi="Arial" w:cs="Arial"/>
                <w:color w:val="FF0000"/>
                <w:kern w:val="2"/>
                <w:sz w:val="16"/>
                <w:szCs w:val="16"/>
                <w:lang w:eastAsia="x-none"/>
              </w:rPr>
              <w:t>f</w:t>
            </w:r>
            <w:r w:rsidRPr="009537ED">
              <w:rPr>
                <w:rFonts w:ascii="Arial" w:hAnsi="Arial" w:cs="Arial"/>
                <w:color w:val="FF0000"/>
                <w:sz w:val="16"/>
                <w:szCs w:val="16"/>
                <w:lang w:eastAsia="ja-JP"/>
              </w:rPr>
              <w:t xml:space="preserve">or </w:t>
            </w:r>
            <w:r w:rsidRPr="009537ED">
              <w:rPr>
                <w:rFonts w:ascii="Arial" w:hAnsi="Arial" w:cs="Arial"/>
                <w:color w:val="FF0000"/>
                <w:sz w:val="16"/>
                <w:szCs w:val="16"/>
                <w:lang w:eastAsia="x-none"/>
              </w:rPr>
              <w:t xml:space="preserve">the UE not configured with </w:t>
            </w:r>
            <w:r w:rsidRPr="009537ED">
              <w:rPr>
                <w:rFonts w:ascii="Arial" w:hAnsi="Arial" w:cs="Arial"/>
                <w:i/>
                <w:iCs/>
                <w:color w:val="FF0000"/>
                <w:sz w:val="16"/>
                <w:szCs w:val="16"/>
                <w:lang w:eastAsia="x-none"/>
              </w:rPr>
              <w:t>dl-OrJointTCI-StateList ,</w:t>
            </w:r>
            <w:r w:rsidRPr="009537ED">
              <w:rPr>
                <w:rFonts w:ascii="Arial" w:hAnsi="Arial" w:cs="Arial"/>
                <w:color w:val="FF0000"/>
                <w:sz w:val="16"/>
                <w:szCs w:val="16"/>
                <w:lang w:eastAsia="x-none"/>
              </w:rPr>
              <w:t xml:space="preserve">or is having two indicated TCI states to be applied to PDSCH for the UE configured with </w:t>
            </w:r>
            <w:r w:rsidRPr="009537ED">
              <w:rPr>
                <w:rFonts w:ascii="Arial" w:hAnsi="Arial" w:cs="Arial"/>
                <w:i/>
                <w:iCs/>
                <w:color w:val="FF0000"/>
                <w:sz w:val="16"/>
                <w:szCs w:val="16"/>
                <w:lang w:eastAsia="x-none"/>
              </w:rPr>
              <w:t>dl-OrJointTCI-StateList</w:t>
            </w:r>
            <w:r w:rsidRPr="009537ED">
              <w:rPr>
                <w:rFonts w:ascii="Arial" w:hAnsi="Arial" w:cs="Arial"/>
                <w:color w:val="000000"/>
                <w:kern w:val="2"/>
                <w:sz w:val="16"/>
                <w:szCs w:val="16"/>
                <w:lang w:eastAsia="ko-KR"/>
              </w:rPr>
              <w:t>, and DM-RS port(s) within one CDM group in the DCI field 'Antenna Port(s)',</w:t>
            </w:r>
          </w:p>
          <w:p w14:paraId="646728B6" w14:textId="77777777" w:rsidR="00F37550" w:rsidRPr="009537ED" w:rsidRDefault="00F37550" w:rsidP="00A76E0D">
            <w:pPr>
              <w:numPr>
                <w:ilvl w:val="1"/>
                <w:numId w:val="94"/>
              </w:numPr>
              <w:rPr>
                <w:rFonts w:ascii="Arial" w:hAnsi="Arial" w:cs="Arial"/>
                <w:i/>
                <w:iCs/>
                <w:color w:val="000000"/>
                <w:sz w:val="16"/>
                <w:szCs w:val="16"/>
                <w:lang w:eastAsia="ko-KR"/>
              </w:rPr>
            </w:pPr>
            <w:r w:rsidRPr="009537ED">
              <w:rPr>
                <w:rFonts w:ascii="Arial" w:hAnsi="Arial" w:cs="Arial"/>
                <w:color w:val="000000"/>
                <w:kern w:val="2"/>
                <w:sz w:val="16"/>
                <w:szCs w:val="16"/>
                <w:lang w:eastAsia="ko-KR"/>
              </w:rPr>
              <w:t>if a UE is not indicating UE capability of [noSchedulingRestrictionForFDMSchemes-r18], the UE shall assume that the number of consecutively scheduled PRBs for PDSCH for each TCI-state is even, and the offset of each set of consecutively scheduled PRB from common resource block 0 for PDSCH for each TCI-state is even number.</w:t>
            </w:r>
          </w:p>
          <w:p w14:paraId="6491ADF3" w14:textId="77777777" w:rsidR="00F37550" w:rsidRPr="009537ED" w:rsidRDefault="00F37550" w:rsidP="00A76E0D">
            <w:pPr>
              <w:numPr>
                <w:ilvl w:val="0"/>
                <w:numId w:val="94"/>
              </w:numPr>
              <w:rPr>
                <w:rFonts w:ascii="Arial" w:hAnsi="Arial" w:cs="Arial"/>
                <w:i/>
                <w:iCs/>
                <w:color w:val="000000"/>
                <w:sz w:val="16"/>
                <w:szCs w:val="16"/>
                <w:lang w:eastAsia="ko-KR"/>
              </w:rPr>
            </w:pPr>
            <w:r w:rsidRPr="009537ED">
              <w:rPr>
                <w:rFonts w:ascii="Arial" w:hAnsi="Arial" w:cs="Arial"/>
                <w:color w:val="000000"/>
                <w:kern w:val="2"/>
                <w:sz w:val="16"/>
                <w:szCs w:val="16"/>
                <w:lang w:eastAsia="ko-KR"/>
              </w:rPr>
              <w:t>otherwise,</w:t>
            </w:r>
          </w:p>
          <w:p w14:paraId="43CB2954" w14:textId="77777777" w:rsidR="00F37550" w:rsidRPr="009537ED" w:rsidRDefault="00F37550" w:rsidP="00A76E0D">
            <w:pPr>
              <w:numPr>
                <w:ilvl w:val="1"/>
                <w:numId w:val="94"/>
              </w:numPr>
              <w:rPr>
                <w:rFonts w:ascii="Arial" w:hAnsi="Arial" w:cs="Arial"/>
                <w:i/>
                <w:iCs/>
                <w:color w:val="000000"/>
                <w:sz w:val="16"/>
                <w:szCs w:val="16"/>
                <w:lang w:eastAsia="ko-KR"/>
              </w:rPr>
            </w:pPr>
            <w:r w:rsidRPr="009537ED">
              <w:rPr>
                <w:rFonts w:ascii="Arial" w:hAnsi="Arial" w:cs="Arial"/>
                <w:color w:val="000000"/>
                <w:kern w:val="2"/>
                <w:sz w:val="16"/>
                <w:szCs w:val="16"/>
                <w:lang w:eastAsia="ko-KR"/>
              </w:rPr>
              <w:t>if the UE is not indicating UE capability of [noSchedulingRestriction-r18], the UE shall assume the number of consecutively scheduled PRBs for PDSCH is even, and the offset of each set of consecutively scheduled PRB for PDSCH from common resource block 0 is even number.</w:t>
            </w:r>
          </w:p>
          <w:p w14:paraId="63FD647D" w14:textId="77777777" w:rsidR="00F37550" w:rsidRPr="009537ED" w:rsidRDefault="00F37550" w:rsidP="00F37550">
            <w:pPr>
              <w:jc w:val="center"/>
              <w:rPr>
                <w:rFonts w:ascii="Arial" w:hAnsi="Arial" w:cs="Arial"/>
                <w:color w:val="FF0000"/>
                <w:sz w:val="16"/>
                <w:szCs w:val="16"/>
              </w:rPr>
            </w:pPr>
            <w:r w:rsidRPr="009537ED">
              <w:rPr>
                <w:rFonts w:ascii="Arial" w:hAnsi="Arial" w:cs="Arial"/>
                <w:color w:val="FF0000"/>
                <w:sz w:val="16"/>
                <w:szCs w:val="16"/>
              </w:rPr>
              <w:t>&lt;Unchanged text omitted&gt;</w:t>
            </w:r>
          </w:p>
          <w:p w14:paraId="0B04FB9C" w14:textId="77777777" w:rsidR="00F37550" w:rsidRPr="009537ED" w:rsidRDefault="00F37550" w:rsidP="00F37550">
            <w:pPr>
              <w:rPr>
                <w:rFonts w:ascii="Arial" w:hAnsi="Arial" w:cs="Arial"/>
                <w:kern w:val="2"/>
                <w:sz w:val="16"/>
                <w:szCs w:val="16"/>
                <w:lang w:eastAsia="ko-KR"/>
              </w:rPr>
            </w:pPr>
            <w:r w:rsidRPr="009537ED">
              <w:rPr>
                <w:rFonts w:ascii="Arial" w:hAnsi="Arial" w:cs="Arial"/>
                <w:kern w:val="2"/>
                <w:sz w:val="16"/>
                <w:szCs w:val="16"/>
                <w:lang w:eastAsia="ko-KR"/>
              </w:rPr>
              <w:t>If at least one TCI codepoint indicates two TCI states</w:t>
            </w:r>
            <w:r w:rsidRPr="009537ED">
              <w:rPr>
                <w:rFonts w:ascii="Arial" w:hAnsi="Arial" w:cs="Arial"/>
                <w:kern w:val="2"/>
                <w:sz w:val="16"/>
                <w:szCs w:val="16"/>
              </w:rPr>
              <w:t xml:space="preserve"> </w:t>
            </w:r>
            <w:r w:rsidRPr="009537ED">
              <w:rPr>
                <w:rFonts w:ascii="Arial" w:hAnsi="Arial" w:cs="Arial"/>
                <w:color w:val="FF0000"/>
                <w:kern w:val="2"/>
                <w:sz w:val="16"/>
                <w:szCs w:val="16"/>
              </w:rPr>
              <w:t>f</w:t>
            </w:r>
            <w:r w:rsidRPr="009537ED">
              <w:rPr>
                <w:rFonts w:ascii="Arial" w:hAnsi="Arial" w:cs="Arial"/>
                <w:color w:val="FF0000"/>
                <w:sz w:val="16"/>
                <w:szCs w:val="16"/>
                <w:lang w:eastAsia="ja-JP"/>
              </w:rPr>
              <w:t xml:space="preserve">or </w:t>
            </w:r>
            <w:r w:rsidRPr="009537ED">
              <w:rPr>
                <w:rFonts w:ascii="Arial" w:hAnsi="Arial" w:cs="Arial"/>
                <w:color w:val="FF0000"/>
                <w:sz w:val="16"/>
                <w:szCs w:val="16"/>
              </w:rPr>
              <w:t xml:space="preserve">the UE not configured with </w:t>
            </w:r>
            <w:r w:rsidRPr="009537ED">
              <w:rPr>
                <w:rFonts w:ascii="Arial" w:hAnsi="Arial" w:cs="Arial"/>
                <w:i/>
                <w:color w:val="FF0000"/>
                <w:sz w:val="16"/>
                <w:szCs w:val="16"/>
              </w:rPr>
              <w:t>dl-OrJointTCI-StateList</w:t>
            </w:r>
            <w:r w:rsidRPr="009537ED">
              <w:rPr>
                <w:rFonts w:ascii="Arial" w:hAnsi="Arial" w:cs="Arial"/>
                <w:color w:val="FF0000"/>
                <w:sz w:val="16"/>
                <w:szCs w:val="16"/>
              </w:rPr>
              <w:t xml:space="preserve">, or if the UE configured with </w:t>
            </w:r>
            <w:r w:rsidRPr="009537ED">
              <w:rPr>
                <w:rFonts w:ascii="Arial" w:hAnsi="Arial" w:cs="Arial"/>
                <w:i/>
                <w:color w:val="FF0000"/>
                <w:sz w:val="16"/>
                <w:szCs w:val="16"/>
              </w:rPr>
              <w:t>dl-OrJointTCI-StateList</w:t>
            </w:r>
            <w:r w:rsidRPr="009537ED">
              <w:rPr>
                <w:rFonts w:ascii="Arial" w:hAnsi="Arial" w:cs="Arial"/>
                <w:color w:val="FF0000"/>
                <w:sz w:val="16"/>
                <w:szCs w:val="16"/>
              </w:rPr>
              <w:t xml:space="preserve"> is having two indicated </w:t>
            </w:r>
            <w:r w:rsidRPr="009537ED">
              <w:rPr>
                <w:rFonts w:ascii="Arial" w:eastAsia="SimSun" w:hAnsi="Arial" w:cs="Arial"/>
                <w:color w:val="FF0000"/>
                <w:sz w:val="16"/>
                <w:szCs w:val="16"/>
              </w:rPr>
              <w:t>TCI states</w:t>
            </w:r>
            <w:r w:rsidRPr="009537ED">
              <w:rPr>
                <w:rFonts w:ascii="Arial" w:hAnsi="Arial" w:cs="Arial"/>
                <w:color w:val="FF0000"/>
                <w:sz w:val="16"/>
                <w:szCs w:val="16"/>
              </w:rPr>
              <w:t>,</w:t>
            </w:r>
            <w:r w:rsidRPr="009537ED">
              <w:rPr>
                <w:rFonts w:ascii="Arial" w:hAnsi="Arial" w:cs="Arial"/>
                <w:kern w:val="2"/>
                <w:sz w:val="16"/>
                <w:szCs w:val="16"/>
                <w:lang w:eastAsia="ko-KR"/>
              </w:rPr>
              <w:t xml:space="preserve"> and the UE receives the DM-RS for PDSCH and an SS/PBCH block in the same OFDM symbol(s), then the UE may assume that at least one DM-RS port for the PDSCH and SS/PBCH block are quasi co-located with 'QCL-TypeD', if 'QCL-TypeD' is applicable.</w:t>
            </w:r>
          </w:p>
          <w:p w14:paraId="59354E3C" w14:textId="77777777" w:rsidR="00F37550" w:rsidRPr="009537ED" w:rsidRDefault="00F37550" w:rsidP="00F37550">
            <w:pPr>
              <w:jc w:val="center"/>
              <w:rPr>
                <w:rFonts w:ascii="Arial" w:hAnsi="Arial" w:cs="Arial"/>
                <w:bCs/>
                <w:color w:val="FF0000"/>
                <w:sz w:val="16"/>
                <w:szCs w:val="16"/>
              </w:rPr>
            </w:pPr>
            <w:r w:rsidRPr="009537ED">
              <w:rPr>
                <w:rFonts w:ascii="Arial" w:hAnsi="Arial" w:cs="Arial"/>
                <w:color w:val="FF0000"/>
                <w:sz w:val="16"/>
                <w:szCs w:val="16"/>
              </w:rPr>
              <w:t>&lt;Unchanged text omitted&gt;</w:t>
            </w:r>
          </w:p>
        </w:tc>
      </w:tr>
    </w:tbl>
    <w:p w14:paraId="391D996D" w14:textId="77777777" w:rsidR="00F37550" w:rsidRPr="009537ED" w:rsidRDefault="00F37550" w:rsidP="006809EB"/>
    <w:p w14:paraId="1F607E9C" w14:textId="77777777" w:rsidR="006809EB" w:rsidRPr="009537ED" w:rsidRDefault="006809EB" w:rsidP="006809EB">
      <w:pPr>
        <w:rPr>
          <w:rFonts w:ascii="Times New Roman" w:hAnsi="Times New Roman"/>
          <w:szCs w:val="20"/>
          <w:lang w:eastAsia="x-none"/>
        </w:rPr>
      </w:pPr>
      <w:r w:rsidRPr="009537ED">
        <w:rPr>
          <w:rFonts w:ascii="Times New Roman" w:hAnsi="Times New Roman"/>
          <w:szCs w:val="20"/>
          <w:highlight w:val="green"/>
          <w:lang w:eastAsia="x-none"/>
        </w:rPr>
        <w:t>Agreement</w:t>
      </w:r>
    </w:p>
    <w:p w14:paraId="24341F3B" w14:textId="77777777" w:rsidR="00F37550" w:rsidRPr="009537ED" w:rsidRDefault="00F37550" w:rsidP="006809EB">
      <w:pPr>
        <w:rPr>
          <w:rFonts w:eastAsia="MS Mincho"/>
          <w:color w:val="000000"/>
        </w:rPr>
      </w:pPr>
      <w:r w:rsidRPr="009537ED">
        <w:rPr>
          <w:rFonts w:eastAsia="MS Mincho"/>
          <w:color w:val="000000"/>
        </w:rPr>
        <w:t>Adopt the following text proposals to TS 38.212 V18.0.0 Section 7.3.1.2.2 and Section 7.3.1.2.3:</w:t>
      </w:r>
    </w:p>
    <w:p w14:paraId="7E9EDE04" w14:textId="77777777" w:rsidR="00F37550" w:rsidRPr="009537ED" w:rsidRDefault="00F37550" w:rsidP="00A76E0D">
      <w:pPr>
        <w:pStyle w:val="ListParagraph"/>
        <w:numPr>
          <w:ilvl w:val="0"/>
          <w:numId w:val="96"/>
        </w:numPr>
        <w:rPr>
          <w:rFonts w:eastAsia="MS Mincho"/>
          <w:color w:val="000000"/>
        </w:rPr>
      </w:pPr>
      <w:r w:rsidRPr="009537ED">
        <w:rPr>
          <w:color w:val="000000"/>
        </w:rPr>
        <w:t>Reason for change: In S-DCI based MTRP operation, Rel-18 unified TCI extension uses different schemes (TCI selection field in the DCI, RRC configuration, or default rule) to select one or two indicated TCI states for PDSCH reception, rather than being based on legacy DCI field 'Transmission Configuration Indication' indicating one or two TCI states. Without a specification change, to switch to S-DCI based PDSCH Tx still only depends legacy condition (i.e., TCI field indicating two TCI states), thus S-DCI based PDSCH transmission would not work under Rel-18 unified TCI framework extension based on current specification.</w:t>
      </w:r>
    </w:p>
    <w:p w14:paraId="2FB83983" w14:textId="77777777" w:rsidR="00F37550" w:rsidRPr="009537ED" w:rsidRDefault="00F37550" w:rsidP="00A76E0D">
      <w:pPr>
        <w:pStyle w:val="ListParagraph"/>
        <w:numPr>
          <w:ilvl w:val="0"/>
          <w:numId w:val="96"/>
        </w:numPr>
        <w:rPr>
          <w:rFonts w:eastAsia="MS Mincho"/>
          <w:color w:val="000000"/>
        </w:rPr>
      </w:pPr>
      <w:r w:rsidRPr="009537ED">
        <w:rPr>
          <w:rFonts w:eastAsia="MS Mincho"/>
          <w:color w:val="000000"/>
        </w:rPr>
        <w:lastRenderedPageBreak/>
        <w:t>Summary of change: In S-DCI based MTRP operation, Rel-18 unified TCI extension uses different schemes (TCI selection field in the DCI, RRC configuration, or default rule) to select one or two indicated TCI states for PDSCH reception, rather than being based on legacy DCI field 'Transmission Configuration Indication' indicating one or two TCI states.</w:t>
      </w:r>
    </w:p>
    <w:p w14:paraId="49832C62" w14:textId="77777777" w:rsidR="00F37550" w:rsidRPr="009537ED" w:rsidRDefault="00F37550" w:rsidP="00A76E0D">
      <w:pPr>
        <w:pStyle w:val="ListParagraph"/>
        <w:numPr>
          <w:ilvl w:val="0"/>
          <w:numId w:val="96"/>
        </w:numPr>
        <w:rPr>
          <w:rFonts w:eastAsia="MS Mincho"/>
          <w:color w:val="000000"/>
        </w:rPr>
      </w:pPr>
      <w:r w:rsidRPr="009537ED">
        <w:rPr>
          <w:rFonts w:eastAsia="MS Mincho"/>
          <w:color w:val="000000"/>
        </w:rPr>
        <w:t xml:space="preserve">Consequences if not approved: Incomplete and unclear specification of </w:t>
      </w:r>
      <w:r w:rsidRPr="009537ED">
        <w:rPr>
          <w:color w:val="000000"/>
        </w:rPr>
        <w:t>Rel-18 unified TCI extension</w:t>
      </w:r>
    </w:p>
    <w:tbl>
      <w:tblPr>
        <w:tblW w:w="5000" w:type="pct"/>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0683"/>
      </w:tblGrid>
      <w:tr w:rsidR="00F37550" w:rsidRPr="009537ED" w14:paraId="3023D092" w14:textId="77777777" w:rsidTr="006809EB">
        <w:tc>
          <w:tcPr>
            <w:tcW w:w="5000" w:type="pct"/>
            <w:shd w:val="clear" w:color="auto" w:fill="auto"/>
          </w:tcPr>
          <w:p w14:paraId="6DCE7325" w14:textId="01A217EA" w:rsidR="00F37550" w:rsidRPr="009537ED" w:rsidRDefault="00F37550" w:rsidP="006809EB">
            <w:pPr>
              <w:rPr>
                <w:rFonts w:ascii="Arial" w:hAnsi="Arial" w:cs="Arial"/>
                <w:b/>
                <w:bCs/>
                <w:sz w:val="16"/>
                <w:szCs w:val="16"/>
              </w:rPr>
            </w:pPr>
            <w:r w:rsidRPr="009537ED">
              <w:rPr>
                <w:rFonts w:ascii="Arial" w:hAnsi="Arial" w:cs="Arial"/>
                <w:b/>
                <w:bCs/>
                <w:sz w:val="16"/>
                <w:szCs w:val="16"/>
              </w:rPr>
              <w:t>7.3.1.2.2</w:t>
            </w:r>
            <w:r w:rsidRPr="009537ED">
              <w:rPr>
                <w:rFonts w:ascii="Arial" w:hAnsi="Arial" w:cs="Arial"/>
                <w:b/>
                <w:bCs/>
                <w:sz w:val="16"/>
                <w:szCs w:val="16"/>
              </w:rPr>
              <w:tab/>
              <w:t>Format 1_1</w:t>
            </w:r>
          </w:p>
          <w:p w14:paraId="242432CD" w14:textId="77777777" w:rsidR="00F37550" w:rsidRPr="009537ED" w:rsidRDefault="00F37550" w:rsidP="006809EB">
            <w:pPr>
              <w:jc w:val="center"/>
              <w:rPr>
                <w:rFonts w:ascii="Arial" w:hAnsi="Arial" w:cs="Arial"/>
                <w:color w:val="FF0000"/>
                <w:sz w:val="16"/>
                <w:szCs w:val="16"/>
              </w:rPr>
            </w:pPr>
            <w:r w:rsidRPr="009537ED">
              <w:rPr>
                <w:rFonts w:ascii="Arial" w:hAnsi="Arial" w:cs="Arial"/>
                <w:color w:val="FF0000"/>
                <w:sz w:val="16"/>
                <w:szCs w:val="16"/>
              </w:rPr>
              <w:t>&lt;Unchanged text omitted&gt;</w:t>
            </w:r>
          </w:p>
          <w:p w14:paraId="1BBDACBB" w14:textId="77777777" w:rsidR="00F37550" w:rsidRPr="009537ED" w:rsidRDefault="00F37550" w:rsidP="006809EB">
            <w:pPr>
              <w:ind w:left="568" w:hanging="284"/>
              <w:rPr>
                <w:rFonts w:ascii="Arial" w:eastAsia="SimSun" w:hAnsi="Arial" w:cs="Arial"/>
                <w:sz w:val="16"/>
                <w:szCs w:val="16"/>
                <w:lang w:eastAsia="zh-CN"/>
              </w:rPr>
            </w:pPr>
            <w:r w:rsidRPr="009537ED">
              <w:rPr>
                <w:rFonts w:ascii="Arial" w:eastAsia="SimSun" w:hAnsi="Arial" w:cs="Arial"/>
                <w:sz w:val="16"/>
                <w:szCs w:val="16"/>
              </w:rPr>
              <w:t>-</w:t>
            </w:r>
            <w:r w:rsidRPr="009537ED">
              <w:rPr>
                <w:rFonts w:ascii="Arial" w:eastAsia="SimSun" w:hAnsi="Arial" w:cs="Arial"/>
                <w:sz w:val="16"/>
                <w:szCs w:val="16"/>
              </w:rPr>
              <w:tab/>
              <w:t>Antenna port(s)</w:t>
            </w:r>
            <w:r w:rsidRPr="009537ED">
              <w:rPr>
                <w:rFonts w:ascii="Arial" w:eastAsia="SimSun" w:hAnsi="Arial" w:cs="Arial"/>
                <w:sz w:val="16"/>
                <w:szCs w:val="16"/>
                <w:lang w:eastAsia="zh-CN"/>
              </w:rPr>
              <w:t xml:space="preserve"> </w:t>
            </w:r>
            <w:r w:rsidRPr="009537ED">
              <w:rPr>
                <w:rFonts w:ascii="Arial" w:eastAsia="SimSun" w:hAnsi="Arial" w:cs="Arial"/>
                <w:sz w:val="16"/>
                <w:szCs w:val="16"/>
              </w:rPr>
              <w:t xml:space="preserve">– </w:t>
            </w:r>
            <w:r w:rsidRPr="009537ED">
              <w:rPr>
                <w:rFonts w:ascii="Arial" w:eastAsia="SimSun" w:hAnsi="Arial" w:cs="Arial"/>
                <w:sz w:val="16"/>
                <w:szCs w:val="16"/>
                <w:lang w:eastAsia="zh-CN"/>
              </w:rPr>
              <w:t>4, 5, 6, 7 or 8</w:t>
            </w:r>
            <w:r w:rsidRPr="009537ED">
              <w:rPr>
                <w:rFonts w:ascii="Arial" w:eastAsia="SimSun" w:hAnsi="Arial" w:cs="Arial"/>
                <w:sz w:val="16"/>
                <w:szCs w:val="16"/>
              </w:rPr>
              <w:t xml:space="preserve"> bit</w:t>
            </w:r>
            <w:r w:rsidRPr="009537ED">
              <w:rPr>
                <w:rFonts w:ascii="Arial" w:eastAsia="SimSun" w:hAnsi="Arial" w:cs="Arial"/>
                <w:sz w:val="16"/>
                <w:szCs w:val="16"/>
                <w:lang w:eastAsia="zh-CN"/>
              </w:rPr>
              <w:t>s as defined by Tables 7.3.1.2.2</w:t>
            </w:r>
            <w:r w:rsidRPr="009537ED">
              <w:rPr>
                <w:rFonts w:ascii="Arial" w:eastAsia="SimSun" w:hAnsi="Arial" w:cs="Arial"/>
                <w:sz w:val="16"/>
                <w:szCs w:val="16"/>
              </w:rPr>
              <w:t>-</w:t>
            </w:r>
            <w:r w:rsidRPr="009537ED">
              <w:rPr>
                <w:rFonts w:ascii="Arial" w:eastAsia="SimSun" w:hAnsi="Arial" w:cs="Arial"/>
                <w:sz w:val="16"/>
                <w:szCs w:val="16"/>
                <w:lang w:eastAsia="zh-CN"/>
              </w:rPr>
              <w:t>1/2/3/4/7/8/9/10 and Tables 7.3.1.2.2</w:t>
            </w:r>
            <w:r w:rsidRPr="009537ED">
              <w:rPr>
                <w:rFonts w:ascii="Arial" w:eastAsia="SimSun" w:hAnsi="Arial" w:cs="Arial"/>
                <w:sz w:val="16"/>
                <w:szCs w:val="16"/>
              </w:rPr>
              <w:t>-</w:t>
            </w:r>
            <w:r w:rsidRPr="009537ED">
              <w:rPr>
                <w:rFonts w:ascii="Arial" w:eastAsia="SimSun" w:hAnsi="Arial" w:cs="Arial"/>
                <w:sz w:val="16"/>
                <w:szCs w:val="16"/>
                <w:lang w:eastAsia="zh-CN"/>
              </w:rPr>
              <w:t xml:space="preserve">1A/2A/3A/4A/7A/8A/9A/10A, where the number of CDM groups without data of values 1, 2, and 3 refers to CDM groups {0}, {0,1}, and {0, 1,2} respectively. The antenna ports </w:t>
            </w:r>
            <w:r w:rsidRPr="009537ED">
              <w:rPr>
                <w:rFonts w:ascii="Arial" w:eastAsia="SimSun" w:hAnsi="Arial" w:cs="Arial"/>
                <w:noProof/>
                <w:position w:val="-12"/>
                <w:sz w:val="16"/>
                <w:szCs w:val="16"/>
              </w:rPr>
              <w:object w:dxaOrig="1007" w:dyaOrig="309" w14:anchorId="6B536CD2">
                <v:shape id="_x0000_i1071" type="#_x0000_t75" style="width:50.25pt;height:15.75pt" o:ole="">
                  <v:imagedata r:id="rId776" o:title=""/>
                </v:shape>
                <o:OLEObject Type="Embed" ProgID="Equation.3" ShapeID="_x0000_i1071" DrawAspect="Content" ObjectID="_1769863825" r:id="rId777"/>
              </w:object>
            </w:r>
            <w:r w:rsidRPr="009537ED">
              <w:rPr>
                <w:rFonts w:ascii="Arial" w:eastAsia="SimSun" w:hAnsi="Arial" w:cs="Arial"/>
                <w:sz w:val="16"/>
                <w:szCs w:val="16"/>
              </w:rPr>
              <w:t xml:space="preserve"> shall be determined according to the ordering of DMRS port(s) given by </w:t>
            </w:r>
            <w:r w:rsidRPr="009537ED">
              <w:rPr>
                <w:rFonts w:ascii="Arial" w:eastAsia="SimSun" w:hAnsi="Arial" w:cs="Arial"/>
                <w:sz w:val="16"/>
                <w:szCs w:val="16"/>
                <w:lang w:eastAsia="zh-CN"/>
              </w:rPr>
              <w:t>Tables 7.3.1.2.2</w:t>
            </w:r>
            <w:r w:rsidRPr="009537ED">
              <w:rPr>
                <w:rFonts w:ascii="Arial" w:eastAsia="SimSun" w:hAnsi="Arial" w:cs="Arial"/>
                <w:sz w:val="16"/>
                <w:szCs w:val="16"/>
              </w:rPr>
              <w:t>-</w:t>
            </w:r>
            <w:r w:rsidRPr="009537ED">
              <w:rPr>
                <w:rFonts w:ascii="Arial" w:eastAsia="SimSun" w:hAnsi="Arial" w:cs="Arial"/>
                <w:sz w:val="16"/>
                <w:szCs w:val="16"/>
                <w:lang w:eastAsia="zh-CN"/>
              </w:rPr>
              <w:t>1/2/3/4/7/8/9/10 or Tables 7.3.1.2.2</w:t>
            </w:r>
            <w:r w:rsidRPr="009537ED">
              <w:rPr>
                <w:rFonts w:ascii="Arial" w:eastAsia="SimSun" w:hAnsi="Arial" w:cs="Arial"/>
                <w:sz w:val="16"/>
                <w:szCs w:val="16"/>
              </w:rPr>
              <w:t>-</w:t>
            </w:r>
            <w:r w:rsidRPr="009537ED">
              <w:rPr>
                <w:rFonts w:ascii="Arial" w:eastAsia="SimSun" w:hAnsi="Arial" w:cs="Arial"/>
                <w:sz w:val="16"/>
                <w:szCs w:val="16"/>
                <w:lang w:eastAsia="zh-CN"/>
              </w:rPr>
              <w:t xml:space="preserve">1A/2A/3A/4A/7A/8A/9A/10A. When a UE </w:t>
            </w:r>
            <w:r w:rsidRPr="009537ED">
              <w:rPr>
                <w:rFonts w:ascii="Arial" w:eastAsia="SimSun" w:hAnsi="Arial" w:cs="Arial"/>
                <w:color w:val="FF0000"/>
                <w:sz w:val="16"/>
                <w:szCs w:val="16"/>
                <w:lang w:eastAsia="zh-CN"/>
              </w:rPr>
              <w:t xml:space="preserve">not configured with </w:t>
            </w:r>
            <w:r w:rsidRPr="009537ED">
              <w:rPr>
                <w:rFonts w:ascii="Arial" w:eastAsia="SimSun" w:hAnsi="Arial" w:cs="Arial"/>
                <w:i/>
                <w:color w:val="FF0000"/>
                <w:sz w:val="16"/>
                <w:szCs w:val="16"/>
                <w:lang w:eastAsia="zh-CN"/>
              </w:rPr>
              <w:t>dl-OrJointTCI-StateList</w:t>
            </w:r>
            <w:r w:rsidRPr="009537ED">
              <w:rPr>
                <w:rFonts w:ascii="Arial" w:eastAsia="SimSun" w:hAnsi="Arial" w:cs="Arial"/>
                <w:sz w:val="16"/>
                <w:szCs w:val="16"/>
                <w:lang w:eastAsia="zh-CN"/>
              </w:rPr>
              <w:t xml:space="preserve"> receives an activation command that maps at least one codepoint of DCI field '</w:t>
            </w:r>
            <w:r w:rsidRPr="009537ED">
              <w:rPr>
                <w:rFonts w:ascii="Arial" w:eastAsia="SimSun" w:hAnsi="Arial" w:cs="Arial"/>
                <w:i/>
                <w:sz w:val="16"/>
                <w:szCs w:val="16"/>
                <w:lang w:eastAsia="zh-CN"/>
              </w:rPr>
              <w:t>Transmission Configuration Indication</w:t>
            </w:r>
            <w:r w:rsidRPr="009537ED">
              <w:rPr>
                <w:rFonts w:ascii="Arial" w:eastAsia="SimSun" w:hAnsi="Arial" w:cs="Arial"/>
                <w:sz w:val="16"/>
                <w:szCs w:val="16"/>
                <w:lang w:eastAsia="zh-CN"/>
              </w:rPr>
              <w:t xml:space="preserve">' to two TCI states, </w:t>
            </w:r>
            <w:r w:rsidRPr="009537ED">
              <w:rPr>
                <w:rFonts w:ascii="Arial" w:eastAsia="SimSun" w:hAnsi="Arial" w:cs="Arial"/>
                <w:color w:val="FF0000"/>
                <w:sz w:val="16"/>
                <w:szCs w:val="16"/>
                <w:lang w:eastAsia="zh-CN"/>
              </w:rPr>
              <w:t xml:space="preserve">or when a UE configured with </w:t>
            </w:r>
            <w:r w:rsidRPr="009537ED">
              <w:rPr>
                <w:rFonts w:ascii="Arial" w:eastAsia="SimSun" w:hAnsi="Arial" w:cs="Arial"/>
                <w:i/>
                <w:color w:val="FF0000"/>
                <w:sz w:val="16"/>
                <w:szCs w:val="16"/>
                <w:lang w:eastAsia="zh-CN"/>
              </w:rPr>
              <w:t>dl-OrJointTCI-StateList</w:t>
            </w:r>
            <w:r w:rsidRPr="009537ED">
              <w:rPr>
                <w:rFonts w:ascii="Arial" w:eastAsia="SimSun" w:hAnsi="Arial" w:cs="Arial"/>
                <w:color w:val="FF0000"/>
                <w:sz w:val="16"/>
                <w:szCs w:val="16"/>
                <w:lang w:eastAsia="zh-CN"/>
              </w:rPr>
              <w:t xml:space="preserve"> is having two indicated </w:t>
            </w:r>
            <w:r w:rsidRPr="009537ED">
              <w:rPr>
                <w:rFonts w:ascii="Arial" w:eastAsia="SimSun" w:hAnsi="Arial" w:cs="Arial"/>
                <w:color w:val="FF0000"/>
                <w:sz w:val="16"/>
                <w:szCs w:val="16"/>
              </w:rPr>
              <w:t>TCI states</w:t>
            </w:r>
            <w:r w:rsidRPr="009537ED">
              <w:rPr>
                <w:rFonts w:ascii="Arial" w:eastAsia="SimSun" w:hAnsi="Arial" w:cs="Arial"/>
                <w:color w:val="FF0000"/>
                <w:sz w:val="16"/>
                <w:szCs w:val="16"/>
                <w:lang w:eastAsia="zh-CN"/>
              </w:rPr>
              <w:t>,</w:t>
            </w:r>
            <w:r w:rsidRPr="009537ED">
              <w:rPr>
                <w:rFonts w:ascii="Arial" w:eastAsia="SimSun" w:hAnsi="Arial" w:cs="Arial"/>
                <w:sz w:val="16"/>
                <w:szCs w:val="16"/>
                <w:lang w:eastAsia="zh-CN"/>
              </w:rPr>
              <w:t xml:space="preserve"> the UE shall use Table 7.3.1.2.2-1A/2A/3A/4A/7A/8A/9A/10A; otherwise, it shall use Tables 7.3.1.2.2-1/2/3/4/7/8/9/10. The UE can receive an entry with DMRS ports equals to 1000, 1002, 1003 when </w:t>
            </w:r>
            <w:r w:rsidRPr="009537ED">
              <w:rPr>
                <w:rFonts w:ascii="Arial" w:eastAsia="SimSun" w:hAnsi="Arial" w:cs="Arial"/>
                <w:color w:val="FF0000"/>
                <w:sz w:val="16"/>
                <w:szCs w:val="16"/>
                <w:lang w:eastAsia="zh-CN"/>
              </w:rPr>
              <w:t xml:space="preserve">the UE is not configured with </w:t>
            </w:r>
            <w:r w:rsidRPr="009537ED">
              <w:rPr>
                <w:rFonts w:ascii="Arial" w:eastAsia="SimSun" w:hAnsi="Arial" w:cs="Arial"/>
                <w:i/>
                <w:color w:val="FF0000"/>
                <w:sz w:val="16"/>
                <w:szCs w:val="16"/>
                <w:lang w:eastAsia="zh-CN"/>
              </w:rPr>
              <w:t>dl-OrJointTCI-StateList</w:t>
            </w:r>
            <w:r w:rsidRPr="009537ED">
              <w:rPr>
                <w:rFonts w:ascii="Arial" w:eastAsia="SimSun" w:hAnsi="Arial" w:cs="Arial"/>
                <w:color w:val="FF0000"/>
                <w:sz w:val="16"/>
                <w:szCs w:val="16"/>
                <w:lang w:eastAsia="zh-CN"/>
              </w:rPr>
              <w:t xml:space="preserve"> and </w:t>
            </w:r>
            <w:r w:rsidRPr="009537ED">
              <w:rPr>
                <w:rFonts w:ascii="Arial" w:eastAsia="SimSun" w:hAnsi="Arial" w:cs="Arial"/>
                <w:sz w:val="16"/>
                <w:szCs w:val="16"/>
                <w:lang w:eastAsia="zh-CN"/>
              </w:rPr>
              <w:t>two TCI states are indicated in a codepoint of DCI field '</w:t>
            </w:r>
            <w:r w:rsidRPr="009537ED">
              <w:rPr>
                <w:rFonts w:ascii="Arial" w:eastAsia="SimSun" w:hAnsi="Arial" w:cs="Arial"/>
                <w:i/>
                <w:sz w:val="16"/>
                <w:szCs w:val="16"/>
                <w:lang w:eastAsia="zh-CN"/>
              </w:rPr>
              <w:t>Transmission Configuration Indication</w:t>
            </w:r>
            <w:r w:rsidRPr="009537ED">
              <w:rPr>
                <w:rFonts w:ascii="Arial" w:eastAsia="SimSun" w:hAnsi="Arial" w:cs="Arial"/>
                <w:sz w:val="16"/>
                <w:szCs w:val="16"/>
                <w:lang w:eastAsia="zh-CN"/>
              </w:rPr>
              <w:t>'</w:t>
            </w:r>
            <w:r w:rsidRPr="009537ED">
              <w:rPr>
                <w:rFonts w:ascii="Arial" w:eastAsia="SimSun" w:hAnsi="Arial" w:cs="Arial"/>
                <w:color w:val="FF0000"/>
                <w:sz w:val="16"/>
                <w:szCs w:val="16"/>
                <w:lang w:eastAsia="zh-CN"/>
              </w:rPr>
              <w:t xml:space="preserve">, or when the UE configured with </w:t>
            </w:r>
            <w:r w:rsidRPr="009537ED">
              <w:rPr>
                <w:rFonts w:ascii="Arial" w:eastAsia="SimSun" w:hAnsi="Arial" w:cs="Arial"/>
                <w:i/>
                <w:color w:val="FF0000"/>
                <w:sz w:val="16"/>
                <w:szCs w:val="16"/>
                <w:lang w:eastAsia="zh-CN"/>
              </w:rPr>
              <w:t>dl-OrJointTCI-StateList</w:t>
            </w:r>
            <w:r w:rsidRPr="009537ED">
              <w:rPr>
                <w:rFonts w:ascii="Arial" w:eastAsia="SimSun" w:hAnsi="Arial" w:cs="Arial"/>
                <w:color w:val="FF0000"/>
                <w:sz w:val="16"/>
                <w:szCs w:val="16"/>
                <w:lang w:eastAsia="zh-CN"/>
              </w:rPr>
              <w:t xml:space="preserve"> is having two indicated </w:t>
            </w:r>
            <w:r w:rsidRPr="009537ED">
              <w:rPr>
                <w:rFonts w:ascii="Arial" w:eastAsia="SimSun" w:hAnsi="Arial" w:cs="Arial"/>
                <w:color w:val="FF0000"/>
                <w:sz w:val="16"/>
                <w:szCs w:val="16"/>
              </w:rPr>
              <w:t>TCI states</w:t>
            </w:r>
            <w:r w:rsidRPr="009537ED">
              <w:rPr>
                <w:rFonts w:ascii="Arial" w:eastAsia="SimSun" w:hAnsi="Arial" w:cs="Arial"/>
                <w:color w:val="FF0000"/>
                <w:sz w:val="16"/>
                <w:szCs w:val="16"/>
                <w:lang w:eastAsia="zh-CN"/>
              </w:rPr>
              <w:t xml:space="preserve"> to be applied to PDSCH</w:t>
            </w:r>
            <w:r w:rsidRPr="009537ED">
              <w:rPr>
                <w:rFonts w:ascii="Arial" w:eastAsia="SimSun" w:hAnsi="Arial" w:cs="Arial"/>
                <w:sz w:val="16"/>
                <w:szCs w:val="16"/>
                <w:lang w:eastAsia="zh-CN"/>
              </w:rPr>
              <w:t>.</w:t>
            </w:r>
          </w:p>
          <w:p w14:paraId="569835A2" w14:textId="77777777" w:rsidR="00F37550" w:rsidRPr="009537ED" w:rsidRDefault="00F37550" w:rsidP="006809EB">
            <w:pPr>
              <w:jc w:val="center"/>
              <w:rPr>
                <w:rFonts w:ascii="Arial" w:hAnsi="Arial" w:cs="Arial"/>
                <w:color w:val="FF0000"/>
                <w:sz w:val="16"/>
                <w:szCs w:val="16"/>
              </w:rPr>
            </w:pPr>
            <w:r w:rsidRPr="009537ED">
              <w:rPr>
                <w:rFonts w:ascii="Arial" w:hAnsi="Arial" w:cs="Arial"/>
                <w:color w:val="FF0000"/>
                <w:sz w:val="16"/>
                <w:szCs w:val="16"/>
              </w:rPr>
              <w:t>&lt;Unchanged text omitted&gt;</w:t>
            </w:r>
          </w:p>
          <w:p w14:paraId="284E6E6E" w14:textId="427C0A5B" w:rsidR="00F37550" w:rsidRPr="009537ED" w:rsidRDefault="00F37550" w:rsidP="006809EB">
            <w:pPr>
              <w:rPr>
                <w:rFonts w:ascii="Arial" w:hAnsi="Arial" w:cs="Arial"/>
                <w:b/>
                <w:bCs/>
                <w:sz w:val="16"/>
                <w:szCs w:val="16"/>
              </w:rPr>
            </w:pPr>
            <w:r w:rsidRPr="009537ED">
              <w:rPr>
                <w:rFonts w:ascii="Arial" w:hAnsi="Arial" w:cs="Arial"/>
                <w:b/>
                <w:bCs/>
                <w:sz w:val="16"/>
                <w:szCs w:val="16"/>
              </w:rPr>
              <w:t>7.3.1.2.3</w:t>
            </w:r>
            <w:r w:rsidRPr="009537ED">
              <w:rPr>
                <w:rFonts w:ascii="Arial" w:hAnsi="Arial" w:cs="Arial"/>
                <w:b/>
                <w:bCs/>
                <w:sz w:val="16"/>
                <w:szCs w:val="16"/>
              </w:rPr>
              <w:tab/>
              <w:t>Format 1_2</w:t>
            </w:r>
          </w:p>
          <w:p w14:paraId="63EF3EFC" w14:textId="77777777" w:rsidR="00F37550" w:rsidRPr="009537ED" w:rsidRDefault="00F37550" w:rsidP="006809EB">
            <w:pPr>
              <w:jc w:val="center"/>
              <w:rPr>
                <w:rFonts w:ascii="Arial" w:hAnsi="Arial" w:cs="Arial"/>
                <w:color w:val="FF0000"/>
                <w:sz w:val="16"/>
                <w:szCs w:val="16"/>
              </w:rPr>
            </w:pPr>
            <w:r w:rsidRPr="009537ED">
              <w:rPr>
                <w:rFonts w:ascii="Arial" w:hAnsi="Arial" w:cs="Arial"/>
                <w:color w:val="FF0000"/>
                <w:sz w:val="16"/>
                <w:szCs w:val="16"/>
              </w:rPr>
              <w:t>&lt;Unchanged text omitted&gt;</w:t>
            </w:r>
          </w:p>
          <w:p w14:paraId="6C503F42" w14:textId="77777777" w:rsidR="00F37550" w:rsidRPr="009537ED" w:rsidRDefault="00F37550" w:rsidP="006809EB">
            <w:pPr>
              <w:ind w:left="568" w:hanging="284"/>
              <w:rPr>
                <w:rFonts w:ascii="Arial" w:eastAsia="SimSun" w:hAnsi="Arial" w:cs="Arial"/>
                <w:sz w:val="16"/>
                <w:szCs w:val="16"/>
                <w:lang w:eastAsia="zh-CN"/>
              </w:rPr>
            </w:pPr>
            <w:r w:rsidRPr="009537ED">
              <w:rPr>
                <w:rFonts w:ascii="Arial" w:eastAsia="SimSun" w:hAnsi="Arial" w:cs="Arial"/>
                <w:sz w:val="16"/>
                <w:szCs w:val="16"/>
              </w:rPr>
              <w:t>-</w:t>
            </w:r>
            <w:r w:rsidRPr="009537ED">
              <w:rPr>
                <w:rFonts w:ascii="Arial" w:eastAsia="SimSun" w:hAnsi="Arial" w:cs="Arial"/>
                <w:sz w:val="16"/>
                <w:szCs w:val="16"/>
                <w:lang w:eastAsia="zh-CN"/>
              </w:rPr>
              <w:tab/>
            </w:r>
            <w:r w:rsidRPr="009537ED">
              <w:rPr>
                <w:rFonts w:ascii="Arial" w:eastAsia="SimSun" w:hAnsi="Arial" w:cs="Arial"/>
                <w:sz w:val="16"/>
                <w:szCs w:val="16"/>
              </w:rPr>
              <w:t>Antenna port(s)</w:t>
            </w:r>
            <w:r w:rsidRPr="009537ED">
              <w:rPr>
                <w:rFonts w:ascii="Arial" w:eastAsia="SimSun" w:hAnsi="Arial" w:cs="Arial"/>
                <w:sz w:val="16"/>
                <w:szCs w:val="16"/>
                <w:lang w:eastAsia="zh-CN"/>
              </w:rPr>
              <w:t xml:space="preserve"> </w:t>
            </w:r>
            <w:r w:rsidRPr="009537ED">
              <w:rPr>
                <w:rFonts w:ascii="Arial" w:eastAsia="SimSun" w:hAnsi="Arial" w:cs="Arial"/>
                <w:sz w:val="16"/>
                <w:szCs w:val="16"/>
              </w:rPr>
              <w:t xml:space="preserve">– 0, </w:t>
            </w:r>
            <w:r w:rsidRPr="009537ED">
              <w:rPr>
                <w:rFonts w:ascii="Arial" w:eastAsia="SimSun" w:hAnsi="Arial" w:cs="Arial"/>
                <w:sz w:val="16"/>
                <w:szCs w:val="16"/>
                <w:lang w:eastAsia="zh-CN"/>
              </w:rPr>
              <w:t>4, 5, 6, 7 or 8</w:t>
            </w:r>
            <w:r w:rsidRPr="009537ED">
              <w:rPr>
                <w:rFonts w:ascii="Arial" w:eastAsia="SimSun" w:hAnsi="Arial" w:cs="Arial"/>
                <w:sz w:val="16"/>
                <w:szCs w:val="16"/>
              </w:rPr>
              <w:t xml:space="preserve"> bit</w:t>
            </w:r>
            <w:r w:rsidRPr="009537ED">
              <w:rPr>
                <w:rFonts w:ascii="Arial" w:eastAsia="SimSun" w:hAnsi="Arial" w:cs="Arial"/>
                <w:sz w:val="16"/>
                <w:szCs w:val="16"/>
                <w:lang w:eastAsia="zh-CN"/>
              </w:rPr>
              <w:t xml:space="preserve">s </w:t>
            </w:r>
          </w:p>
          <w:p w14:paraId="5D97AE87" w14:textId="77777777" w:rsidR="00F37550" w:rsidRPr="009537ED" w:rsidRDefault="00F37550" w:rsidP="006809EB">
            <w:pPr>
              <w:ind w:left="851" w:hanging="284"/>
              <w:rPr>
                <w:rFonts w:ascii="Arial" w:eastAsia="SimSun" w:hAnsi="Arial" w:cs="Arial"/>
                <w:sz w:val="16"/>
                <w:szCs w:val="16"/>
                <w:lang w:eastAsia="zh-CN"/>
              </w:rPr>
            </w:pPr>
            <w:r w:rsidRPr="009537ED">
              <w:rPr>
                <w:rFonts w:ascii="Arial" w:eastAsia="SimSun" w:hAnsi="Arial" w:cs="Arial"/>
                <w:sz w:val="16"/>
                <w:szCs w:val="16"/>
                <w:lang w:eastAsia="zh-CN"/>
              </w:rPr>
              <w:t>-</w:t>
            </w:r>
            <w:r w:rsidRPr="009537ED">
              <w:rPr>
                <w:rFonts w:ascii="Arial" w:eastAsia="SimSun" w:hAnsi="Arial" w:cs="Arial"/>
                <w:sz w:val="16"/>
                <w:szCs w:val="16"/>
                <w:lang w:eastAsia="zh-CN"/>
              </w:rPr>
              <w:tab/>
              <w:t xml:space="preserve">0 bit if higher layer parameter </w:t>
            </w:r>
            <w:r w:rsidRPr="009537ED">
              <w:rPr>
                <w:rFonts w:ascii="Arial" w:eastAsia="SimSun" w:hAnsi="Arial" w:cs="Arial"/>
                <w:i/>
                <w:sz w:val="16"/>
                <w:szCs w:val="16"/>
              </w:rPr>
              <w:t>antennaPortsFieldPresenceDCI-1-2</w:t>
            </w:r>
            <w:r w:rsidRPr="009537ED">
              <w:rPr>
                <w:rFonts w:ascii="Arial" w:eastAsia="SimSun" w:hAnsi="Arial" w:cs="Arial"/>
                <w:color w:val="000000"/>
                <w:sz w:val="16"/>
                <w:szCs w:val="16"/>
                <w:lang w:eastAsia="zh-CN"/>
              </w:rPr>
              <w:t xml:space="preserve"> is</w:t>
            </w:r>
            <w:r w:rsidRPr="009537ED">
              <w:rPr>
                <w:rFonts w:ascii="Arial" w:eastAsia="SimSun" w:hAnsi="Arial" w:cs="Arial"/>
                <w:sz w:val="16"/>
                <w:szCs w:val="16"/>
                <w:lang w:eastAsia="zh-CN"/>
              </w:rPr>
              <w:t xml:space="preserve"> not</w:t>
            </w:r>
            <w:r w:rsidRPr="009537ED">
              <w:rPr>
                <w:rFonts w:ascii="Arial" w:eastAsia="SimSun" w:hAnsi="Arial" w:cs="Arial"/>
                <w:i/>
                <w:sz w:val="16"/>
                <w:szCs w:val="16"/>
                <w:lang w:eastAsia="zh-CN"/>
              </w:rPr>
              <w:t xml:space="preserve"> </w:t>
            </w:r>
            <w:r w:rsidRPr="009537ED">
              <w:rPr>
                <w:rFonts w:ascii="Arial" w:eastAsia="SimSun" w:hAnsi="Arial" w:cs="Arial"/>
                <w:sz w:val="16"/>
                <w:szCs w:val="16"/>
                <w:lang w:eastAsia="zh-CN"/>
              </w:rPr>
              <w:t>configured;</w:t>
            </w:r>
          </w:p>
          <w:p w14:paraId="1F0F4C15" w14:textId="36F750FC" w:rsidR="00F37550" w:rsidRPr="009537ED" w:rsidRDefault="00F37550" w:rsidP="006809EB">
            <w:pPr>
              <w:ind w:left="851" w:hanging="284"/>
              <w:rPr>
                <w:rFonts w:ascii="Arial" w:eastAsia="SimSun" w:hAnsi="Arial" w:cs="Arial"/>
                <w:sz w:val="16"/>
                <w:szCs w:val="16"/>
                <w:lang w:eastAsia="zh-CN"/>
              </w:rPr>
            </w:pPr>
            <w:r w:rsidRPr="009537ED">
              <w:rPr>
                <w:rFonts w:ascii="Arial" w:eastAsia="SimSun" w:hAnsi="Arial" w:cs="Arial"/>
                <w:sz w:val="16"/>
                <w:szCs w:val="16"/>
                <w:lang w:eastAsia="zh-CN"/>
              </w:rPr>
              <w:t>-</w:t>
            </w:r>
            <w:r w:rsidRPr="009537ED">
              <w:rPr>
                <w:rFonts w:ascii="Arial" w:eastAsia="SimSun" w:hAnsi="Arial" w:cs="Arial"/>
                <w:sz w:val="16"/>
                <w:szCs w:val="16"/>
                <w:lang w:eastAsia="zh-CN"/>
              </w:rPr>
              <w:tab/>
              <w:t>Otherwise 4, 5, 6, 7 or 8 bits as defined by Tables 7.3.1.2.2</w:t>
            </w:r>
            <w:r w:rsidRPr="009537ED">
              <w:rPr>
                <w:rFonts w:ascii="Arial" w:eastAsia="SimSun" w:hAnsi="Arial" w:cs="Arial"/>
                <w:sz w:val="16"/>
                <w:szCs w:val="16"/>
              </w:rPr>
              <w:t>-</w:t>
            </w:r>
            <w:r w:rsidRPr="009537ED">
              <w:rPr>
                <w:rFonts w:ascii="Arial" w:eastAsia="SimSun" w:hAnsi="Arial" w:cs="Arial"/>
                <w:sz w:val="16"/>
                <w:szCs w:val="16"/>
                <w:lang w:eastAsia="zh-CN"/>
              </w:rPr>
              <w:t>1/2/3/4/7/8/9/10 and Tables 7.3.1.2.2</w:t>
            </w:r>
            <w:r w:rsidRPr="009537ED">
              <w:rPr>
                <w:rFonts w:ascii="Arial" w:eastAsia="SimSun" w:hAnsi="Arial" w:cs="Arial"/>
                <w:sz w:val="16"/>
                <w:szCs w:val="16"/>
              </w:rPr>
              <w:t>-</w:t>
            </w:r>
            <w:r w:rsidRPr="009537ED">
              <w:rPr>
                <w:rFonts w:ascii="Arial" w:eastAsia="SimSun" w:hAnsi="Arial" w:cs="Arial"/>
                <w:sz w:val="16"/>
                <w:szCs w:val="16"/>
                <w:lang w:eastAsia="zh-CN"/>
              </w:rPr>
              <w:t xml:space="preserve">1A/2A/3A/4A/7A/8A/9A/10A, where the number of CDM groups without data of values 1, 2, and 3 refers to CDM groups {0}, {0,1}, and {0, 1,2} respectively. The antenna ports </w:t>
            </w:r>
            <m:oMath>
              <m:d>
                <m:dPr>
                  <m:begChr m:val="{"/>
                  <m:endChr m:val="}"/>
                  <m:ctrlPr>
                    <w:rPr>
                      <w:rFonts w:ascii="Cambria Math" w:eastAsia="SimSun" w:hAnsi="Cambria Math" w:cs="Arial"/>
                      <w:sz w:val="16"/>
                      <w:szCs w:val="16"/>
                      <w:lang w:eastAsia="zh-CN"/>
                    </w:rPr>
                  </m:ctrlPr>
                </m:dPr>
                <m:e>
                  <m:sSub>
                    <m:sSubPr>
                      <m:ctrlPr>
                        <w:rPr>
                          <w:rFonts w:ascii="Cambria Math" w:eastAsia="SimSun" w:hAnsi="Cambria Math" w:cs="Arial"/>
                          <w:sz w:val="16"/>
                          <w:szCs w:val="16"/>
                          <w:lang w:eastAsia="zh-CN"/>
                        </w:rPr>
                      </m:ctrlPr>
                    </m:sSubPr>
                    <m:e>
                      <m:r>
                        <w:rPr>
                          <w:rFonts w:ascii="Cambria Math" w:eastAsia="SimSun" w:hAnsi="Cambria Math" w:cs="Arial"/>
                          <w:sz w:val="16"/>
                          <w:szCs w:val="16"/>
                          <w:lang w:eastAsia="zh-CN"/>
                        </w:rPr>
                        <m:t>p</m:t>
                      </m:r>
                    </m:e>
                    <m:sub>
                      <m:r>
                        <w:rPr>
                          <w:rFonts w:ascii="Cambria Math" w:eastAsia="SimSun" w:hAnsi="Cambria Math" w:cs="Arial"/>
                          <w:sz w:val="16"/>
                          <w:szCs w:val="16"/>
                          <w:lang w:eastAsia="zh-CN"/>
                        </w:rPr>
                        <m:t>0</m:t>
                      </m:r>
                    </m:sub>
                  </m:sSub>
                  <m:r>
                    <m:rPr>
                      <m:sty m:val="p"/>
                    </m:rPr>
                    <w:rPr>
                      <w:rFonts w:ascii="Cambria Math" w:eastAsia="SimSun" w:hAnsi="Cambria Math" w:cs="Arial"/>
                      <w:sz w:val="16"/>
                      <w:szCs w:val="16"/>
                      <w:lang w:eastAsia="zh-CN"/>
                    </w:rPr>
                    <m:t>,…,</m:t>
                  </m:r>
                  <m:sSub>
                    <m:sSubPr>
                      <m:ctrlPr>
                        <w:rPr>
                          <w:rFonts w:ascii="Cambria Math" w:eastAsia="SimSun" w:hAnsi="Cambria Math" w:cs="Arial"/>
                          <w:sz w:val="16"/>
                          <w:szCs w:val="16"/>
                          <w:lang w:eastAsia="zh-CN"/>
                        </w:rPr>
                      </m:ctrlPr>
                    </m:sSubPr>
                    <m:e>
                      <m:r>
                        <w:rPr>
                          <w:rFonts w:ascii="Cambria Math" w:eastAsia="SimSun" w:hAnsi="Cambria Math" w:cs="Arial"/>
                          <w:sz w:val="16"/>
                          <w:szCs w:val="16"/>
                          <w:lang w:eastAsia="zh-CN"/>
                        </w:rPr>
                        <m:t>p</m:t>
                      </m:r>
                    </m:e>
                    <m:sub>
                      <m:r>
                        <w:rPr>
                          <w:rFonts w:ascii="Cambria Math" w:eastAsia="SimSun" w:hAnsi="Cambria Math" w:cs="Arial"/>
                          <w:sz w:val="16"/>
                          <w:szCs w:val="16"/>
                          <w:lang w:eastAsia="zh-CN"/>
                        </w:rPr>
                        <m:t>v-1</m:t>
                      </m:r>
                    </m:sub>
                  </m:sSub>
                </m:e>
              </m:d>
              <m:r>
                <w:rPr>
                  <w:rFonts w:ascii="Cambria Math" w:eastAsia="SimSun" w:hAnsi="Cambria Math" w:cs="Arial"/>
                  <w:sz w:val="16"/>
                  <w:szCs w:val="16"/>
                  <w:lang w:eastAsia="zh-CN"/>
                </w:rPr>
                <m:t xml:space="preserve"> </m:t>
              </m:r>
            </m:oMath>
            <w:r w:rsidRPr="009537ED">
              <w:rPr>
                <w:rFonts w:ascii="Arial" w:eastAsia="SimSun" w:hAnsi="Arial" w:cs="Arial"/>
                <w:sz w:val="16"/>
                <w:szCs w:val="16"/>
              </w:rPr>
              <w:t xml:space="preserve">shall be determined according to the ordering of DMRS port(s) given by </w:t>
            </w:r>
            <w:r w:rsidRPr="009537ED">
              <w:rPr>
                <w:rFonts w:ascii="Arial" w:eastAsia="SimSun" w:hAnsi="Arial" w:cs="Arial"/>
                <w:sz w:val="16"/>
                <w:szCs w:val="16"/>
                <w:lang w:eastAsia="zh-CN"/>
              </w:rPr>
              <w:t>Tables 7.3.1.2.2</w:t>
            </w:r>
            <w:r w:rsidRPr="009537ED">
              <w:rPr>
                <w:rFonts w:ascii="Arial" w:eastAsia="SimSun" w:hAnsi="Arial" w:cs="Arial"/>
                <w:sz w:val="16"/>
                <w:szCs w:val="16"/>
              </w:rPr>
              <w:t>-</w:t>
            </w:r>
            <w:r w:rsidRPr="009537ED">
              <w:rPr>
                <w:rFonts w:ascii="Arial" w:eastAsia="SimSun" w:hAnsi="Arial" w:cs="Arial"/>
                <w:sz w:val="16"/>
                <w:szCs w:val="16"/>
                <w:lang w:eastAsia="zh-CN"/>
              </w:rPr>
              <w:t>1/2/3/4/7/8/9/10 or Tables 7.3.1.2.2</w:t>
            </w:r>
            <w:r w:rsidRPr="009537ED">
              <w:rPr>
                <w:rFonts w:ascii="Arial" w:eastAsia="SimSun" w:hAnsi="Arial" w:cs="Arial"/>
                <w:sz w:val="16"/>
                <w:szCs w:val="16"/>
              </w:rPr>
              <w:t>-</w:t>
            </w:r>
            <w:r w:rsidRPr="009537ED">
              <w:rPr>
                <w:rFonts w:ascii="Arial" w:eastAsia="SimSun" w:hAnsi="Arial" w:cs="Arial"/>
                <w:sz w:val="16"/>
                <w:szCs w:val="16"/>
                <w:lang w:eastAsia="zh-CN"/>
              </w:rPr>
              <w:t>1A/2A/3A/4A/7A/8A/9A/10A. When a UE</w:t>
            </w:r>
            <w:r w:rsidRPr="009537ED">
              <w:rPr>
                <w:rFonts w:ascii="Arial" w:eastAsia="SimSun" w:hAnsi="Arial" w:cs="Arial"/>
                <w:color w:val="FF0000"/>
                <w:sz w:val="16"/>
                <w:szCs w:val="16"/>
                <w:lang w:eastAsia="zh-CN"/>
              </w:rPr>
              <w:t xml:space="preserve"> not configured with </w:t>
            </w:r>
            <w:r w:rsidRPr="009537ED">
              <w:rPr>
                <w:rFonts w:ascii="Arial" w:eastAsia="SimSun" w:hAnsi="Arial" w:cs="Arial"/>
                <w:i/>
                <w:color w:val="FF0000"/>
                <w:sz w:val="16"/>
                <w:szCs w:val="16"/>
                <w:lang w:eastAsia="zh-CN"/>
              </w:rPr>
              <w:t>dl-OrJointTCI-StateList</w:t>
            </w:r>
            <w:r w:rsidRPr="009537ED">
              <w:rPr>
                <w:rFonts w:ascii="Arial" w:eastAsia="SimSun" w:hAnsi="Arial" w:cs="Arial"/>
                <w:sz w:val="16"/>
                <w:szCs w:val="16"/>
                <w:lang w:eastAsia="zh-CN"/>
              </w:rPr>
              <w:t xml:space="preserve"> receives an activation command that maps at least one codepoint of DCI field '</w:t>
            </w:r>
            <w:r w:rsidRPr="009537ED">
              <w:rPr>
                <w:rFonts w:ascii="Arial" w:eastAsia="SimSun" w:hAnsi="Arial" w:cs="Arial"/>
                <w:i/>
                <w:sz w:val="16"/>
                <w:szCs w:val="16"/>
                <w:lang w:eastAsia="zh-CN"/>
              </w:rPr>
              <w:t>Transmission Configuration Indication</w:t>
            </w:r>
            <w:r w:rsidRPr="009537ED">
              <w:rPr>
                <w:rFonts w:ascii="Arial" w:eastAsia="SimSun" w:hAnsi="Arial" w:cs="Arial"/>
                <w:sz w:val="16"/>
                <w:szCs w:val="16"/>
                <w:lang w:eastAsia="zh-CN"/>
              </w:rPr>
              <w:t>' to two TCI states,</w:t>
            </w:r>
            <w:r w:rsidRPr="009537ED">
              <w:rPr>
                <w:rFonts w:ascii="Arial" w:eastAsia="SimSun" w:hAnsi="Arial" w:cs="Arial"/>
                <w:color w:val="FF0000"/>
                <w:sz w:val="16"/>
                <w:szCs w:val="16"/>
                <w:lang w:eastAsia="zh-CN"/>
              </w:rPr>
              <w:t xml:space="preserve"> or when a UE configured with </w:t>
            </w:r>
            <w:r w:rsidRPr="009537ED">
              <w:rPr>
                <w:rFonts w:ascii="Arial" w:eastAsia="SimSun" w:hAnsi="Arial" w:cs="Arial"/>
                <w:i/>
                <w:color w:val="FF0000"/>
                <w:sz w:val="16"/>
                <w:szCs w:val="16"/>
                <w:lang w:eastAsia="zh-CN"/>
              </w:rPr>
              <w:t>dl-OrJointTCI-StateList</w:t>
            </w:r>
            <w:r w:rsidRPr="009537ED">
              <w:rPr>
                <w:rFonts w:ascii="Arial" w:eastAsia="SimSun" w:hAnsi="Arial" w:cs="Arial"/>
                <w:color w:val="FF0000"/>
                <w:sz w:val="16"/>
                <w:szCs w:val="16"/>
                <w:lang w:eastAsia="zh-CN"/>
              </w:rPr>
              <w:t xml:space="preserve"> is having two indicated </w:t>
            </w:r>
            <w:r w:rsidRPr="009537ED">
              <w:rPr>
                <w:rFonts w:ascii="Arial" w:eastAsia="SimSun" w:hAnsi="Arial" w:cs="Arial"/>
                <w:color w:val="FF0000"/>
                <w:sz w:val="16"/>
                <w:szCs w:val="16"/>
              </w:rPr>
              <w:t>TCI states</w:t>
            </w:r>
            <w:r w:rsidRPr="009537ED">
              <w:rPr>
                <w:rFonts w:ascii="Arial" w:eastAsia="SimSun" w:hAnsi="Arial" w:cs="Arial"/>
                <w:color w:val="FF0000"/>
                <w:sz w:val="16"/>
                <w:szCs w:val="16"/>
                <w:lang w:eastAsia="zh-CN"/>
              </w:rPr>
              <w:t>,</w:t>
            </w:r>
            <w:r w:rsidRPr="009537ED">
              <w:rPr>
                <w:rFonts w:ascii="Arial" w:eastAsia="SimSun" w:hAnsi="Arial" w:cs="Arial"/>
                <w:sz w:val="16"/>
                <w:szCs w:val="16"/>
                <w:lang w:eastAsia="zh-CN"/>
              </w:rPr>
              <w:t xml:space="preserve"> the UE shall use Table 7.3.1.2.2-1A/2A/3A/4A/7A/8A/9A/10A; otherwise, it shall use Tables 7.3.1.2.2-1/2/3/4/7/8/9/10.</w:t>
            </w:r>
          </w:p>
          <w:p w14:paraId="28E68FB5" w14:textId="77777777" w:rsidR="00F37550" w:rsidRPr="009537ED" w:rsidRDefault="00F37550" w:rsidP="006809EB">
            <w:pPr>
              <w:jc w:val="center"/>
              <w:rPr>
                <w:rFonts w:ascii="Arial" w:hAnsi="Arial" w:cs="Arial"/>
                <w:color w:val="FF0000"/>
                <w:sz w:val="16"/>
                <w:szCs w:val="16"/>
              </w:rPr>
            </w:pPr>
            <w:r w:rsidRPr="009537ED">
              <w:rPr>
                <w:rFonts w:ascii="Arial" w:hAnsi="Arial" w:cs="Arial"/>
                <w:color w:val="FF0000"/>
                <w:sz w:val="16"/>
                <w:szCs w:val="16"/>
              </w:rPr>
              <w:t>&lt;Unchanged text omitted&gt;</w:t>
            </w:r>
          </w:p>
        </w:tc>
      </w:tr>
    </w:tbl>
    <w:p w14:paraId="69054542" w14:textId="77777777" w:rsidR="00F37550" w:rsidRPr="009537ED" w:rsidRDefault="00F37550" w:rsidP="00F37550">
      <w:pPr>
        <w:rPr>
          <w:rFonts w:ascii="Times New Roman" w:eastAsia="MS Mincho" w:hAnsi="Times New Roman"/>
          <w:color w:val="000000"/>
          <w:szCs w:val="20"/>
        </w:rPr>
      </w:pPr>
    </w:p>
    <w:p w14:paraId="24C7BC7B" w14:textId="68D7B219" w:rsidR="00F37550" w:rsidRPr="009537ED" w:rsidRDefault="006809EB" w:rsidP="006809EB">
      <w:pPr>
        <w:rPr>
          <w:highlight w:val="green"/>
        </w:rPr>
      </w:pPr>
      <w:r w:rsidRPr="009537ED">
        <w:rPr>
          <w:highlight w:val="green"/>
        </w:rPr>
        <w:t>Agreement</w:t>
      </w:r>
    </w:p>
    <w:p w14:paraId="1D967FD8" w14:textId="4D94C74C" w:rsidR="00F37550" w:rsidRPr="009537ED" w:rsidRDefault="00F37550" w:rsidP="006809EB">
      <w:pPr>
        <w:rPr>
          <w:color w:val="FF0000"/>
        </w:rPr>
      </w:pPr>
      <w:r w:rsidRPr="009537ED">
        <w:t xml:space="preserve">On unified TCI framework extension for S-DCI based MTRP operation, for PUSCH transmission scheduled/activated by DCI format 0_1/0_2 (including DG and Type2 CG), if only one SRS resource set is configured for CB/NCB (i.e., the SRS resource set indicator is not present in DCI format 0_1/0_2), </w:t>
      </w:r>
      <w:r w:rsidRPr="009537ED">
        <w:rPr>
          <w:color w:val="FF0000"/>
        </w:rPr>
        <w:t>an RRC configuration is provided to the UE to inform that the UE shall apply the first or the second indicated joint/UL TCI state to PUSCH transmission(s) scheduled/activated by DCI format 0_1/0_2</w:t>
      </w:r>
      <w:r w:rsidR="00D9285A">
        <w:rPr>
          <w:color w:val="FF0000"/>
        </w:rPr>
        <w:t>.</w:t>
      </w:r>
    </w:p>
    <w:p w14:paraId="31B34E0C" w14:textId="77777777" w:rsidR="00F37550" w:rsidRPr="009537ED" w:rsidRDefault="00F37550" w:rsidP="006809EB">
      <w:pPr>
        <w:rPr>
          <w:lang w:eastAsia="x-none"/>
        </w:rPr>
      </w:pPr>
    </w:p>
    <w:p w14:paraId="32957F1F" w14:textId="77777777" w:rsidR="00F37550" w:rsidRPr="009537ED" w:rsidRDefault="00F37550" w:rsidP="00F37550">
      <w:pPr>
        <w:rPr>
          <w:rFonts w:ascii="Times New Roman" w:hAnsi="Times New Roman"/>
          <w:szCs w:val="20"/>
          <w:lang w:eastAsia="x-none"/>
        </w:rPr>
      </w:pPr>
    </w:p>
    <w:p w14:paraId="3ACDCC54" w14:textId="32FC9DE6" w:rsidR="00F37550" w:rsidRPr="009C4552" w:rsidRDefault="005A18DC" w:rsidP="00F37550">
      <w:pPr>
        <w:rPr>
          <w:b/>
          <w:bCs/>
          <w:lang w:eastAsia="x-none"/>
        </w:rPr>
      </w:pPr>
      <w:hyperlink r:id="rId778" w:history="1">
        <w:r w:rsidR="00AF7253">
          <w:rPr>
            <w:rStyle w:val="Hyperlink"/>
            <w:b/>
            <w:bCs/>
            <w:lang w:eastAsia="x-none"/>
          </w:rPr>
          <w:t>R1-2312008</w:t>
        </w:r>
      </w:hyperlink>
      <w:r w:rsidR="00F37550" w:rsidRPr="009C4552">
        <w:rPr>
          <w:b/>
          <w:bCs/>
          <w:lang w:eastAsia="x-none"/>
        </w:rPr>
        <w:tab/>
        <w:t>Moderator summary on extension of unified TCI framework (Round 1)</w:t>
      </w:r>
      <w:r w:rsidR="00F37550" w:rsidRPr="009C4552">
        <w:rPr>
          <w:b/>
          <w:bCs/>
          <w:lang w:eastAsia="x-none"/>
        </w:rPr>
        <w:tab/>
        <w:t>Moderator (MediaTek Inc.)</w:t>
      </w:r>
    </w:p>
    <w:p w14:paraId="3973E519" w14:textId="25C48DE3" w:rsidR="009C4552" w:rsidRDefault="009C4552" w:rsidP="00F37550">
      <w:pPr>
        <w:rPr>
          <w:lang w:eastAsia="x-none"/>
        </w:rPr>
      </w:pPr>
      <w:r>
        <w:rPr>
          <w:lang w:eastAsia="x-none"/>
        </w:rPr>
        <w:t>From Wednesday session</w:t>
      </w:r>
    </w:p>
    <w:p w14:paraId="1DA0FBC4" w14:textId="77777777" w:rsidR="009C4552" w:rsidRPr="009537ED" w:rsidRDefault="009C4552" w:rsidP="009C4552">
      <w:pPr>
        <w:rPr>
          <w:highlight w:val="green"/>
        </w:rPr>
      </w:pPr>
      <w:r w:rsidRPr="009537ED">
        <w:rPr>
          <w:highlight w:val="green"/>
        </w:rPr>
        <w:t>Agreement</w:t>
      </w:r>
    </w:p>
    <w:p w14:paraId="555227D3" w14:textId="77777777" w:rsidR="009C4552" w:rsidRDefault="009C4552" w:rsidP="009C4552">
      <w:r>
        <w:t>Adopt the following text proposals to TS 38.213 V18.0.0 Section 6:</w:t>
      </w:r>
    </w:p>
    <w:p w14:paraId="4BCEA2AB" w14:textId="77777777" w:rsidR="009C4552" w:rsidRDefault="009C4552" w:rsidP="00A67145">
      <w:pPr>
        <w:pStyle w:val="ListParagraph"/>
        <w:numPr>
          <w:ilvl w:val="0"/>
          <w:numId w:val="186"/>
        </w:numPr>
      </w:pPr>
      <w:r>
        <w:t xml:space="preserve">Reason for change: Current specification in TS 38.213 V18.0.0 Section 6 for cell-specific BFR under unified TCI framework cannot extend to Rel-18 unified TCI extension where more than one unified TCI states are indicated </w:t>
      </w:r>
    </w:p>
    <w:p w14:paraId="51434BDE" w14:textId="77777777" w:rsidR="009C4552" w:rsidRDefault="009C4552" w:rsidP="00A67145">
      <w:pPr>
        <w:pStyle w:val="ListParagraph"/>
        <w:numPr>
          <w:ilvl w:val="0"/>
          <w:numId w:val="186"/>
        </w:numPr>
      </w:pPr>
      <w:r>
        <w:t>Summary of change: Change current specification to include the case if more than one unified TCI states are indicated</w:t>
      </w:r>
    </w:p>
    <w:p w14:paraId="1DC26402" w14:textId="77777777" w:rsidR="009C4552" w:rsidRDefault="009C4552" w:rsidP="00A67145">
      <w:pPr>
        <w:pStyle w:val="ListParagraph"/>
        <w:numPr>
          <w:ilvl w:val="0"/>
          <w:numId w:val="186"/>
        </w:numPr>
      </w:pPr>
      <w:r>
        <w:t>Consequences if not approved: Cell-specific BFR cannot be supported in Rel-18 unified TCI extension where more than one unified TCI states are indicated</w:t>
      </w:r>
    </w:p>
    <w:tbl>
      <w:tblPr>
        <w:tblW w:w="5000" w:type="pct"/>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0683"/>
      </w:tblGrid>
      <w:tr w:rsidR="009C4552" w:rsidRPr="009C4552" w14:paraId="79E05373" w14:textId="77777777" w:rsidTr="009C4552">
        <w:tc>
          <w:tcPr>
            <w:tcW w:w="5000" w:type="pct"/>
            <w:tcBorders>
              <w:top w:val="double" w:sz="4" w:space="0" w:color="A5A5A5"/>
              <w:left w:val="double" w:sz="4" w:space="0" w:color="A5A5A5"/>
              <w:bottom w:val="double" w:sz="4" w:space="0" w:color="A5A5A5"/>
              <w:right w:val="double" w:sz="4" w:space="0" w:color="A5A5A5"/>
            </w:tcBorders>
            <w:hideMark/>
          </w:tcPr>
          <w:p w14:paraId="45836AD5" w14:textId="77777777" w:rsidR="009C4552" w:rsidRPr="009C4552" w:rsidRDefault="009C4552" w:rsidP="009C4552">
            <w:pPr>
              <w:rPr>
                <w:rFonts w:ascii="Arial" w:hAnsi="Arial" w:cs="Arial"/>
                <w:b/>
                <w:bCs/>
                <w:sz w:val="16"/>
                <w:szCs w:val="16"/>
              </w:rPr>
            </w:pPr>
            <w:r w:rsidRPr="009C4552">
              <w:rPr>
                <w:rFonts w:ascii="Arial" w:hAnsi="Arial" w:cs="Arial"/>
                <w:b/>
                <w:bCs/>
                <w:sz w:val="16"/>
                <w:szCs w:val="16"/>
              </w:rPr>
              <w:t>6</w:t>
            </w:r>
            <w:r w:rsidRPr="009C4552">
              <w:rPr>
                <w:rFonts w:ascii="Arial" w:hAnsi="Arial" w:cs="Arial"/>
                <w:b/>
                <w:bCs/>
                <w:sz w:val="16"/>
                <w:szCs w:val="16"/>
              </w:rPr>
              <w:tab/>
              <w:t>Link recovery procedures</w:t>
            </w:r>
          </w:p>
          <w:p w14:paraId="5DA63981" w14:textId="77777777" w:rsidR="009C4552" w:rsidRPr="009C4552" w:rsidRDefault="009C4552" w:rsidP="009C4552">
            <w:pPr>
              <w:jc w:val="center"/>
              <w:rPr>
                <w:rFonts w:ascii="Arial" w:eastAsia="SimSun" w:hAnsi="Arial" w:cs="Arial"/>
                <w:bCs/>
                <w:color w:val="FF0000"/>
                <w:sz w:val="16"/>
                <w:szCs w:val="16"/>
              </w:rPr>
            </w:pPr>
            <w:r w:rsidRPr="009C4552">
              <w:rPr>
                <w:rFonts w:ascii="Arial" w:eastAsia="SimSun" w:hAnsi="Arial" w:cs="Arial"/>
                <w:bCs/>
                <w:color w:val="FF0000"/>
                <w:sz w:val="16"/>
                <w:szCs w:val="16"/>
              </w:rPr>
              <w:t>&lt;Unchanged part is omitted&gt;</w:t>
            </w:r>
          </w:p>
          <w:p w14:paraId="4CF8F8AF" w14:textId="77777777" w:rsidR="009C4552" w:rsidRPr="009C4552" w:rsidRDefault="009C4552" w:rsidP="009C4552">
            <w:pPr>
              <w:tabs>
                <w:tab w:val="left" w:pos="2116"/>
              </w:tabs>
              <w:rPr>
                <w:rFonts w:ascii="Arial" w:hAnsi="Arial" w:cs="Arial"/>
                <w:sz w:val="16"/>
                <w:szCs w:val="16"/>
              </w:rPr>
            </w:pPr>
            <w:r w:rsidRPr="009C4552">
              <w:rPr>
                <w:rFonts w:ascii="Arial" w:hAnsi="Arial" w:cs="Arial"/>
                <w:iCs/>
                <w:sz w:val="16"/>
                <w:szCs w:val="16"/>
              </w:rPr>
              <w:t xml:space="preserve">If a UE is provided </w:t>
            </w:r>
            <w:r w:rsidRPr="009C4552">
              <w:rPr>
                <w:rFonts w:ascii="Arial" w:hAnsi="Arial" w:cs="Arial"/>
                <w:i/>
                <w:sz w:val="16"/>
                <w:szCs w:val="16"/>
                <w:lang w:eastAsia="zh-CN"/>
              </w:rPr>
              <w:t>dl-OrJointTCI-StateList</w:t>
            </w:r>
            <w:r w:rsidRPr="009C4552">
              <w:rPr>
                <w:rFonts w:ascii="Arial" w:hAnsi="Arial" w:cs="Arial"/>
                <w:iCs/>
                <w:sz w:val="16"/>
                <w:szCs w:val="16"/>
                <w:lang w:eastAsia="zh-CN"/>
              </w:rPr>
              <w:t xml:space="preserve"> </w:t>
            </w:r>
            <w:r w:rsidRPr="009C4552">
              <w:rPr>
                <w:rFonts w:ascii="Arial" w:hAnsi="Arial" w:cs="Arial"/>
                <w:iCs/>
                <w:color w:val="000000"/>
                <w:sz w:val="16"/>
                <w:szCs w:val="16"/>
                <w:lang w:eastAsia="zh-CN"/>
              </w:rPr>
              <w:t>or</w:t>
            </w:r>
            <w:r w:rsidRPr="009C4552">
              <w:rPr>
                <w:rFonts w:ascii="Arial" w:hAnsi="Arial" w:cs="Arial"/>
                <w:color w:val="000000"/>
                <w:sz w:val="16"/>
                <w:szCs w:val="16"/>
              </w:rPr>
              <w:t xml:space="preserve"> </w:t>
            </w:r>
            <w:r w:rsidRPr="009C4552">
              <w:rPr>
                <w:rFonts w:ascii="Arial" w:hAnsi="Arial" w:cs="Arial"/>
                <w:i/>
                <w:iCs/>
                <w:color w:val="000000"/>
                <w:sz w:val="16"/>
                <w:szCs w:val="16"/>
                <w:lang w:eastAsia="zh-CN"/>
              </w:rPr>
              <w:t>ul</w:t>
            </w:r>
            <w:r w:rsidRPr="009C4552">
              <w:rPr>
                <w:rFonts w:ascii="Arial" w:hAnsi="Arial" w:cs="Arial"/>
                <w:i/>
                <w:iCs/>
                <w:color w:val="000000"/>
                <w:sz w:val="16"/>
                <w:szCs w:val="16"/>
              </w:rPr>
              <w:t>-TCI-StateList</w:t>
            </w:r>
            <w:r w:rsidRPr="009C4552">
              <w:rPr>
                <w:rFonts w:ascii="Arial" w:hAnsi="Arial" w:cs="Arial"/>
                <w:iCs/>
                <w:color w:val="000000"/>
                <w:sz w:val="16"/>
                <w:szCs w:val="16"/>
              </w:rPr>
              <w:t xml:space="preserve"> </w:t>
            </w:r>
            <w:r w:rsidRPr="009C4552">
              <w:rPr>
                <w:rFonts w:ascii="Arial" w:hAnsi="Arial" w:cs="Arial"/>
                <w:iCs/>
                <w:strike/>
                <w:color w:val="FF0000"/>
                <w:sz w:val="16"/>
                <w:szCs w:val="16"/>
              </w:rPr>
              <w:t xml:space="preserve">indicating a unified TCI state </w:t>
            </w:r>
            <w:r w:rsidRPr="009C4552">
              <w:rPr>
                <w:rFonts w:ascii="Arial" w:hAnsi="Arial" w:cs="Arial"/>
                <w:iCs/>
                <w:color w:val="FF0000"/>
                <w:sz w:val="16"/>
                <w:szCs w:val="16"/>
              </w:rPr>
              <w:t>and is indicated with one or two TCI state(s)</w:t>
            </w:r>
            <w:r w:rsidRPr="009C4552">
              <w:rPr>
                <w:rFonts w:ascii="Arial" w:hAnsi="Arial" w:cs="Arial"/>
                <w:iCs/>
                <w:sz w:val="16"/>
                <w:szCs w:val="16"/>
              </w:rPr>
              <w:t xml:space="preserve"> for the PCell or the PSCell [6, TS 38.214] </w:t>
            </w:r>
            <w:r w:rsidRPr="009C4552">
              <w:rPr>
                <w:rFonts w:ascii="Arial" w:hAnsi="Arial" w:cs="Arial"/>
                <w:iCs/>
                <w:noProof/>
                <w:color w:val="FF0000"/>
                <w:sz w:val="16"/>
                <w:szCs w:val="16"/>
                <w:lang w:eastAsia="zh-CN"/>
              </w:rPr>
              <w:t xml:space="preserve">associated </w:t>
            </w:r>
            <w:r w:rsidRPr="009C4552">
              <w:rPr>
                <w:rFonts w:ascii="Arial" w:hAnsi="Arial" w:cs="Arial"/>
                <w:iCs/>
                <w:color w:val="FF0000"/>
                <w:sz w:val="16"/>
                <w:szCs w:val="16"/>
              </w:rPr>
              <w:t xml:space="preserve">with </w:t>
            </w:r>
            <w:r w:rsidRPr="009C4552">
              <w:rPr>
                <w:rFonts w:ascii="Arial" w:hAnsi="Arial" w:cs="Arial"/>
                <w:color w:val="FF0000"/>
                <w:sz w:val="16"/>
                <w:szCs w:val="16"/>
              </w:rPr>
              <w:t xml:space="preserve"> </w:t>
            </w:r>
            <w:r w:rsidRPr="009C4552">
              <w:rPr>
                <w:rFonts w:ascii="Arial" w:hAnsi="Arial" w:cs="Arial"/>
                <w:color w:val="FF0000"/>
                <w:sz w:val="16"/>
                <w:szCs w:val="16"/>
              </w:rPr>
              <w:fldChar w:fldCharType="begin"/>
            </w:r>
            <w:r w:rsidRPr="009C4552">
              <w:rPr>
                <w:rFonts w:ascii="Arial" w:hAnsi="Arial" w:cs="Arial"/>
                <w:color w:val="FF0000"/>
                <w:sz w:val="16"/>
                <w:szCs w:val="16"/>
              </w:rPr>
              <w:instrText xml:space="preserve"> QUOTE </w:instrText>
            </w:r>
            <w:r w:rsidR="00A6784C">
              <w:rPr>
                <w:rFonts w:ascii="Arial" w:hAnsi="Arial" w:cs="Arial"/>
                <w:position w:val="-4"/>
                <w:sz w:val="16"/>
                <w:szCs w:val="16"/>
              </w:rPr>
              <w:pict w14:anchorId="41D892A5">
                <v:shape id="_x0000_i1072" type="#_x0000_t75" style="width:9pt;height:11.25pt" equationxml="&lt;">
                  <v:imagedata r:id="rId779" o:title="" chromakey="white"/>
                </v:shape>
              </w:pict>
            </w:r>
            <w:r w:rsidRPr="009C4552">
              <w:rPr>
                <w:rFonts w:ascii="Arial" w:hAnsi="Arial" w:cs="Arial"/>
                <w:color w:val="FF0000"/>
                <w:sz w:val="16"/>
                <w:szCs w:val="16"/>
              </w:rPr>
              <w:instrText xml:space="preserve"> </w:instrText>
            </w:r>
            <w:r w:rsidRPr="009C4552">
              <w:rPr>
                <w:rFonts w:ascii="Arial" w:hAnsi="Arial" w:cs="Arial"/>
                <w:color w:val="FF0000"/>
                <w:sz w:val="16"/>
                <w:szCs w:val="16"/>
              </w:rPr>
              <w:fldChar w:fldCharType="separate"/>
            </w:r>
            <w:r w:rsidR="00A6784C">
              <w:rPr>
                <w:rFonts w:ascii="Arial" w:hAnsi="Arial" w:cs="Arial"/>
                <w:position w:val="-4"/>
                <w:sz w:val="16"/>
                <w:szCs w:val="16"/>
              </w:rPr>
              <w:pict w14:anchorId="2C7E9B89">
                <v:shape id="_x0000_i1073" type="#_x0000_t75" style="width:9pt;height:11.25pt" equationxml="&lt;">
                  <v:imagedata r:id="rId779" o:title="" chromakey="white"/>
                </v:shape>
              </w:pict>
            </w:r>
            <w:r w:rsidRPr="009C4552">
              <w:rPr>
                <w:rFonts w:ascii="Arial" w:hAnsi="Arial" w:cs="Arial"/>
                <w:color w:val="FF0000"/>
                <w:sz w:val="16"/>
                <w:szCs w:val="16"/>
              </w:rPr>
              <w:fldChar w:fldCharType="end"/>
            </w:r>
            <w:r w:rsidRPr="009C4552">
              <w:rPr>
                <w:rFonts w:ascii="Arial" w:hAnsi="Arial" w:cs="Arial"/>
                <w:color w:val="FF0000"/>
                <w:sz w:val="16"/>
                <w:szCs w:val="16"/>
              </w:rPr>
              <w:t xml:space="preserve"> and </w:t>
            </w:r>
            <w:r w:rsidRPr="009C4552">
              <w:rPr>
                <w:rFonts w:ascii="Arial" w:hAnsi="Arial" w:cs="Arial"/>
                <w:iCs/>
                <w:sz w:val="16"/>
                <w:szCs w:val="16"/>
              </w:rPr>
              <w:fldChar w:fldCharType="begin"/>
            </w:r>
            <w:r w:rsidRPr="009C4552">
              <w:rPr>
                <w:rFonts w:ascii="Arial" w:hAnsi="Arial" w:cs="Arial"/>
                <w:iCs/>
                <w:sz w:val="16"/>
                <w:szCs w:val="16"/>
              </w:rPr>
              <w:instrText xml:space="preserve"> QUOTE </w:instrText>
            </w:r>
            <w:r w:rsidR="00A6784C">
              <w:rPr>
                <w:rFonts w:ascii="Arial" w:hAnsi="Arial" w:cs="Arial"/>
                <w:position w:val="-4"/>
                <w:sz w:val="16"/>
                <w:szCs w:val="16"/>
              </w:rPr>
              <w:pict w14:anchorId="10219736">
                <v:shape id="_x0000_i1074" type="#_x0000_t75" style="width:8.25pt;height:11.25pt" equationxml="&lt;">
                  <v:imagedata r:id="rId780" o:title="" chromakey="white"/>
                </v:shape>
              </w:pict>
            </w:r>
            <w:r w:rsidRPr="009C4552">
              <w:rPr>
                <w:rFonts w:ascii="Arial" w:hAnsi="Arial" w:cs="Arial"/>
                <w:iCs/>
                <w:sz w:val="16"/>
                <w:szCs w:val="16"/>
              </w:rPr>
              <w:instrText xml:space="preserve"> </w:instrText>
            </w:r>
            <w:r w:rsidRPr="009C4552">
              <w:rPr>
                <w:rFonts w:ascii="Arial" w:hAnsi="Arial" w:cs="Arial"/>
                <w:iCs/>
                <w:sz w:val="16"/>
                <w:szCs w:val="16"/>
              </w:rPr>
              <w:fldChar w:fldCharType="separate"/>
            </w:r>
            <w:r w:rsidR="00A6784C">
              <w:rPr>
                <w:rFonts w:ascii="Arial" w:hAnsi="Arial" w:cs="Arial"/>
                <w:position w:val="-4"/>
                <w:sz w:val="16"/>
                <w:szCs w:val="16"/>
              </w:rPr>
              <w:pict w14:anchorId="73B2AE2F">
                <v:shape id="_x0000_i1075" type="#_x0000_t75" style="width:8.25pt;height:11.25pt" equationxml="&lt;">
                  <v:imagedata r:id="rId780" o:title="" chromakey="white"/>
                </v:shape>
              </w:pict>
            </w:r>
            <w:r w:rsidRPr="009C4552">
              <w:rPr>
                <w:rFonts w:ascii="Arial" w:hAnsi="Arial" w:cs="Arial"/>
                <w:iCs/>
                <w:sz w:val="16"/>
                <w:szCs w:val="16"/>
              </w:rPr>
              <w:fldChar w:fldCharType="end"/>
            </w:r>
            <w:r w:rsidRPr="009C4552">
              <w:rPr>
                <w:rFonts w:ascii="Arial" w:hAnsi="Arial" w:cs="Arial"/>
                <w:iCs/>
                <w:sz w:val="16"/>
                <w:szCs w:val="16"/>
              </w:rPr>
              <w:t xml:space="preserve">, after 28 symbols from a last symbol of </w:t>
            </w:r>
            <w:r w:rsidRPr="009C4552">
              <w:rPr>
                <w:rFonts w:ascii="Arial" w:hAnsi="Arial" w:cs="Arial"/>
                <w:sz w:val="16"/>
                <w:szCs w:val="16"/>
              </w:rPr>
              <w:t xml:space="preserve">a first PDCCH reception in a search space set provided by </w:t>
            </w:r>
            <w:r w:rsidRPr="009C4552">
              <w:rPr>
                <w:rFonts w:ascii="Arial" w:hAnsi="Arial" w:cs="Arial"/>
                <w:i/>
                <w:iCs/>
                <w:sz w:val="16"/>
                <w:szCs w:val="16"/>
              </w:rPr>
              <w:t>recoverySearchSpaceId</w:t>
            </w:r>
            <w:r w:rsidRPr="009C4552">
              <w:rPr>
                <w:rFonts w:ascii="Arial" w:hAnsi="Arial" w:cs="Arial"/>
                <w:iCs/>
                <w:sz w:val="16"/>
                <w:szCs w:val="16"/>
              </w:rPr>
              <w:t xml:space="preserve"> </w:t>
            </w:r>
            <w:r w:rsidRPr="009C4552">
              <w:rPr>
                <w:rFonts w:ascii="Arial" w:hAnsi="Arial" w:cs="Arial"/>
                <w:sz w:val="16"/>
                <w:szCs w:val="16"/>
              </w:rPr>
              <w:t>where the UE detects a DCI format with CRC scrambled by C-RNTI or MCS-C-RNTI, the UE</w:t>
            </w:r>
          </w:p>
          <w:p w14:paraId="06691DDB" w14:textId="77777777" w:rsidR="009C4552" w:rsidRPr="009C4552" w:rsidRDefault="009C4552" w:rsidP="009C4552">
            <w:pPr>
              <w:pStyle w:val="B1"/>
              <w:spacing w:after="0"/>
              <w:rPr>
                <w:rFonts w:ascii="Arial" w:hAnsi="Arial" w:cs="Arial"/>
                <w:iCs/>
                <w:sz w:val="16"/>
                <w:szCs w:val="16"/>
              </w:rPr>
            </w:pPr>
            <w:r w:rsidRPr="009C4552">
              <w:rPr>
                <w:rFonts w:ascii="Arial" w:hAnsi="Arial" w:cs="Arial"/>
                <w:sz w:val="16"/>
                <w:szCs w:val="16"/>
              </w:rPr>
              <w:t>-</w:t>
            </w:r>
            <w:r w:rsidRPr="009C4552">
              <w:rPr>
                <w:rFonts w:ascii="Arial" w:hAnsi="Arial" w:cs="Arial"/>
                <w:sz w:val="16"/>
                <w:szCs w:val="16"/>
              </w:rPr>
              <w:tab/>
              <w:t xml:space="preserve">if </w:t>
            </w:r>
            <w:r w:rsidRPr="009C4552">
              <w:rPr>
                <w:rFonts w:ascii="Arial" w:hAnsi="Arial" w:cs="Arial"/>
                <w:i/>
                <w:sz w:val="16"/>
                <w:szCs w:val="16"/>
                <w:lang w:eastAsia="sv-SE"/>
              </w:rPr>
              <w:t>SSB-MTC-AdditionalPCI</w:t>
            </w:r>
            <w:r w:rsidRPr="009C4552">
              <w:rPr>
                <w:rFonts w:ascii="Arial" w:hAnsi="Arial" w:cs="Arial"/>
                <w:sz w:val="16"/>
                <w:szCs w:val="16"/>
              </w:rPr>
              <w:t xml:space="preserve"> is not provided, monitors PDCCH in all CORESETs, and receives PDSCH and aperiodic CSI-RS resource in a CSI-RS resource set with same indicated TCI state as for the PDCCH and PDSCH, using the </w:t>
            </w:r>
            <w:r w:rsidRPr="009C4552">
              <w:rPr>
                <w:rFonts w:ascii="Arial" w:hAnsi="Arial" w:cs="Arial"/>
                <w:iCs/>
                <w:sz w:val="16"/>
                <w:szCs w:val="16"/>
                <w:lang w:eastAsia="ja-JP"/>
              </w:rPr>
              <w:t xml:space="preserve">same antenna port quasi co-location parameters as the ones associated with the corresponding index </w:t>
            </w:r>
            <w:r w:rsidRPr="009C4552">
              <w:rPr>
                <w:rFonts w:ascii="Arial" w:hAnsi="Arial" w:cs="Arial"/>
                <w:iCs/>
                <w:sz w:val="16"/>
                <w:szCs w:val="16"/>
              </w:rPr>
              <w:fldChar w:fldCharType="begin"/>
            </w:r>
            <w:r w:rsidRPr="009C4552">
              <w:rPr>
                <w:rFonts w:ascii="Arial" w:hAnsi="Arial" w:cs="Arial"/>
                <w:iCs/>
                <w:sz w:val="16"/>
                <w:szCs w:val="16"/>
              </w:rPr>
              <w:instrText xml:space="preserve"> QUOTE </w:instrText>
            </w:r>
            <w:r w:rsidR="00A6784C">
              <w:rPr>
                <w:rFonts w:ascii="Arial" w:hAnsi="Arial" w:cs="Arial"/>
                <w:position w:val="-4"/>
                <w:sz w:val="16"/>
                <w:szCs w:val="16"/>
              </w:rPr>
              <w:pict w14:anchorId="28D12A6D">
                <v:shape id="_x0000_i1076" type="#_x0000_t75" style="width:15.75pt;height:11.25pt" equationxml="&lt;">
                  <v:imagedata r:id="rId781" o:title="" chromakey="white"/>
                </v:shape>
              </w:pict>
            </w:r>
            <w:r w:rsidRPr="009C4552">
              <w:rPr>
                <w:rFonts w:ascii="Arial" w:hAnsi="Arial" w:cs="Arial"/>
                <w:iCs/>
                <w:sz w:val="16"/>
                <w:szCs w:val="16"/>
              </w:rPr>
              <w:instrText xml:space="preserve"> </w:instrText>
            </w:r>
            <w:r w:rsidRPr="009C4552">
              <w:rPr>
                <w:rFonts w:ascii="Arial" w:hAnsi="Arial" w:cs="Arial"/>
                <w:iCs/>
                <w:sz w:val="16"/>
                <w:szCs w:val="16"/>
              </w:rPr>
              <w:fldChar w:fldCharType="separate"/>
            </w:r>
            <w:r w:rsidR="00A6784C">
              <w:rPr>
                <w:rFonts w:ascii="Arial" w:hAnsi="Arial" w:cs="Arial"/>
                <w:position w:val="-4"/>
                <w:sz w:val="16"/>
                <w:szCs w:val="16"/>
              </w:rPr>
              <w:pict w14:anchorId="7B555A0E">
                <v:shape id="_x0000_i1077" type="#_x0000_t75" style="width:15.75pt;height:11.25pt" equationxml="&lt;">
                  <v:imagedata r:id="rId781" o:title="" chromakey="white"/>
                </v:shape>
              </w:pict>
            </w:r>
            <w:r w:rsidRPr="009C4552">
              <w:rPr>
                <w:rFonts w:ascii="Arial" w:hAnsi="Arial" w:cs="Arial"/>
                <w:iCs/>
                <w:sz w:val="16"/>
                <w:szCs w:val="16"/>
              </w:rPr>
              <w:fldChar w:fldCharType="end"/>
            </w:r>
            <w:r w:rsidRPr="009C4552">
              <w:rPr>
                <w:rFonts w:ascii="Arial" w:hAnsi="Arial" w:cs="Arial"/>
                <w:iCs/>
                <w:sz w:val="16"/>
                <w:szCs w:val="16"/>
              </w:rPr>
              <w:t>, if any</w:t>
            </w:r>
          </w:p>
          <w:p w14:paraId="09AB0A97" w14:textId="77777777" w:rsidR="009C4552" w:rsidRPr="009C4552" w:rsidRDefault="009C4552" w:rsidP="009C4552">
            <w:pPr>
              <w:pStyle w:val="B1"/>
              <w:spacing w:after="0"/>
              <w:rPr>
                <w:rFonts w:ascii="Arial" w:hAnsi="Arial" w:cs="Arial"/>
                <w:iCs/>
                <w:sz w:val="16"/>
                <w:szCs w:val="16"/>
              </w:rPr>
            </w:pPr>
            <w:r w:rsidRPr="009C4552">
              <w:rPr>
                <w:rFonts w:ascii="Arial" w:hAnsi="Arial" w:cs="Arial"/>
                <w:sz w:val="16"/>
                <w:szCs w:val="16"/>
              </w:rPr>
              <w:t>-</w:t>
            </w:r>
            <w:r w:rsidRPr="009C4552">
              <w:rPr>
                <w:rFonts w:ascii="Arial" w:hAnsi="Arial" w:cs="Arial"/>
                <w:sz w:val="16"/>
                <w:szCs w:val="16"/>
              </w:rPr>
              <w:tab/>
              <w:t xml:space="preserve">transmits PUSCH, PUCCH and SRS that uses a same spatial domain filter with same indicated TCI state as for the PUSCH and the PUCCH, using a same spatial domain filter as </w:t>
            </w:r>
            <w:r w:rsidRPr="009C4552">
              <w:rPr>
                <w:rFonts w:ascii="Arial" w:hAnsi="Arial" w:cs="Arial"/>
                <w:iCs/>
                <w:sz w:val="16"/>
                <w:szCs w:val="16"/>
              </w:rPr>
              <w:t xml:space="preserve">for the last PRACH transmission using the following parameters for determination of a corresponding power as described in clauses 7.1.1, 7.2.1, and 7.3.1 </w:t>
            </w:r>
          </w:p>
          <w:p w14:paraId="01C206E5" w14:textId="77777777" w:rsidR="009C4552" w:rsidRPr="009C4552" w:rsidRDefault="009C4552" w:rsidP="009C4552">
            <w:pPr>
              <w:pStyle w:val="B2"/>
              <w:spacing w:after="0"/>
              <w:rPr>
                <w:rFonts w:ascii="Arial" w:hAnsi="Arial" w:cs="Arial"/>
                <w:sz w:val="16"/>
                <w:szCs w:val="16"/>
                <w:lang w:val="en-US"/>
              </w:rPr>
            </w:pPr>
            <w:r w:rsidRPr="009C4552">
              <w:rPr>
                <w:rFonts w:ascii="Arial" w:hAnsi="Arial" w:cs="Arial"/>
                <w:sz w:val="16"/>
                <w:szCs w:val="16"/>
                <w:lang w:val="en-US"/>
              </w:rPr>
              <w:t>-</w:t>
            </w:r>
            <w:r w:rsidRPr="009C4552">
              <w:rPr>
                <w:rFonts w:ascii="Arial" w:hAnsi="Arial" w:cs="Arial"/>
                <w:sz w:val="16"/>
                <w:szCs w:val="16"/>
                <w:lang w:val="en-US"/>
              </w:rPr>
              <w:tab/>
              <w:t>the RS index</w:t>
            </w:r>
            <w:r w:rsidRPr="009C4552">
              <w:rPr>
                <w:rFonts w:ascii="Arial" w:hAnsi="Arial" w:cs="Arial"/>
                <w:sz w:val="16"/>
                <w:szCs w:val="16"/>
                <w:lang w:val="en-US" w:eastAsia="zh-CN"/>
              </w:rPr>
              <w:t xml:space="preserve"> </w:t>
            </w:r>
            <w:r w:rsidRPr="009C4552">
              <w:rPr>
                <w:rFonts w:ascii="Arial" w:hAnsi="Arial" w:cs="Arial"/>
                <w:sz w:val="16"/>
                <w:szCs w:val="16"/>
                <w:lang w:val="en-US"/>
              </w:rPr>
              <w:fldChar w:fldCharType="begin"/>
            </w:r>
            <w:r w:rsidRPr="009C4552">
              <w:rPr>
                <w:rFonts w:ascii="Arial" w:hAnsi="Arial" w:cs="Arial"/>
                <w:sz w:val="16"/>
                <w:szCs w:val="16"/>
                <w:lang w:val="en-US"/>
              </w:rPr>
              <w:instrText xml:space="preserve"> QUOTE </w:instrText>
            </w:r>
            <w:r w:rsidR="00A6784C">
              <w:rPr>
                <w:rFonts w:ascii="Arial" w:hAnsi="Arial" w:cs="Arial"/>
                <w:position w:val="-4"/>
                <w:sz w:val="16"/>
                <w:szCs w:val="16"/>
              </w:rPr>
              <w:pict w14:anchorId="146CCFB6">
                <v:shape id="_x0000_i1078" type="#_x0000_t75" style="width:39pt;height:11.25pt" equationxml="&lt;">
                  <v:imagedata r:id="rId782" o:title="" chromakey="white"/>
                </v:shape>
              </w:pict>
            </w:r>
            <w:r w:rsidRPr="009C4552">
              <w:rPr>
                <w:rFonts w:ascii="Arial" w:hAnsi="Arial" w:cs="Arial"/>
                <w:sz w:val="16"/>
                <w:szCs w:val="16"/>
                <w:lang w:val="en-US"/>
              </w:rPr>
              <w:instrText xml:space="preserve"> </w:instrText>
            </w:r>
            <w:r w:rsidRPr="009C4552">
              <w:rPr>
                <w:rFonts w:ascii="Arial" w:hAnsi="Arial" w:cs="Arial"/>
                <w:sz w:val="16"/>
                <w:szCs w:val="16"/>
                <w:lang w:val="en-US"/>
              </w:rPr>
              <w:fldChar w:fldCharType="separate"/>
            </w:r>
            <w:r w:rsidR="00A6784C">
              <w:rPr>
                <w:rFonts w:ascii="Arial" w:hAnsi="Arial" w:cs="Arial"/>
                <w:position w:val="-4"/>
                <w:sz w:val="16"/>
                <w:szCs w:val="16"/>
              </w:rPr>
              <w:pict w14:anchorId="2D694013">
                <v:shape id="_x0000_i1079" type="#_x0000_t75" style="width:39pt;height:11.25pt" equationxml="&lt;">
                  <v:imagedata r:id="rId782" o:title="" chromakey="white"/>
                </v:shape>
              </w:pict>
            </w:r>
            <w:r w:rsidRPr="009C4552">
              <w:rPr>
                <w:rFonts w:ascii="Arial" w:hAnsi="Arial" w:cs="Arial"/>
                <w:sz w:val="16"/>
                <w:szCs w:val="16"/>
                <w:lang w:val="en-US"/>
              </w:rPr>
              <w:fldChar w:fldCharType="end"/>
            </w:r>
            <w:r w:rsidRPr="009C4552">
              <w:rPr>
                <w:rFonts w:ascii="Arial" w:hAnsi="Arial" w:cs="Arial"/>
                <w:sz w:val="16"/>
                <w:szCs w:val="16"/>
                <w:lang w:val="en-US"/>
              </w:rPr>
              <w:t xml:space="preserve"> for obtaining the downlink pathloss estimate</w:t>
            </w:r>
          </w:p>
          <w:p w14:paraId="0B8F2FF9" w14:textId="77777777" w:rsidR="009C4552" w:rsidRPr="009C4552" w:rsidRDefault="009C4552" w:rsidP="009C4552">
            <w:pPr>
              <w:pStyle w:val="B2"/>
              <w:spacing w:after="0"/>
              <w:rPr>
                <w:rFonts w:ascii="Arial" w:hAnsi="Arial" w:cs="Arial"/>
                <w:b/>
                <w:i/>
                <w:sz w:val="16"/>
                <w:szCs w:val="16"/>
                <w:lang w:val="en-US"/>
              </w:rPr>
            </w:pPr>
            <w:r w:rsidRPr="009C4552">
              <w:rPr>
                <w:rFonts w:ascii="Arial" w:hAnsi="Arial" w:cs="Arial"/>
                <w:sz w:val="16"/>
                <w:szCs w:val="16"/>
                <w:lang w:val="en-US"/>
              </w:rPr>
              <w:t>-</w:t>
            </w:r>
            <w:r w:rsidRPr="009C4552">
              <w:rPr>
                <w:rFonts w:ascii="Arial" w:hAnsi="Arial" w:cs="Arial"/>
                <w:sz w:val="16"/>
                <w:szCs w:val="16"/>
                <w:lang w:val="en-US"/>
              </w:rPr>
              <w:tab/>
            </w:r>
            <w:r w:rsidRPr="009C4552">
              <w:rPr>
                <w:rFonts w:ascii="Arial" w:hAnsi="Arial" w:cs="Arial"/>
                <w:sz w:val="16"/>
                <w:szCs w:val="16"/>
                <w:lang w:val="en-US" w:eastAsia="ko-KR"/>
              </w:rPr>
              <w:t xml:space="preserve">the values of </w:t>
            </w:r>
            <w:r w:rsidRPr="009C4552">
              <w:rPr>
                <w:rFonts w:ascii="Arial" w:hAnsi="Arial" w:cs="Arial"/>
                <w:sz w:val="16"/>
                <w:szCs w:val="16"/>
                <w:lang w:val="en-US"/>
              </w:rPr>
              <w:fldChar w:fldCharType="begin"/>
            </w:r>
            <w:r w:rsidRPr="009C4552">
              <w:rPr>
                <w:rFonts w:ascii="Arial" w:hAnsi="Arial" w:cs="Arial"/>
                <w:sz w:val="16"/>
                <w:szCs w:val="16"/>
                <w:lang w:val="en-US"/>
              </w:rPr>
              <w:instrText xml:space="preserve"> QUOTE </w:instrText>
            </w:r>
            <w:r w:rsidR="005A18DC">
              <w:rPr>
                <w:rFonts w:ascii="Arial" w:hAnsi="Arial" w:cs="Arial"/>
                <w:position w:val="-6"/>
                <w:sz w:val="16"/>
                <w:szCs w:val="16"/>
              </w:rPr>
              <w:pict w14:anchorId="39CBF344">
                <v:shape id="_x0000_i1080" type="#_x0000_t75" style="width:1in;height:12pt" equationxml="&lt;">
                  <v:imagedata r:id="rId783" o:title="" chromakey="white"/>
                </v:shape>
              </w:pict>
            </w:r>
            <w:r w:rsidRPr="009C4552">
              <w:rPr>
                <w:rFonts w:ascii="Arial" w:hAnsi="Arial" w:cs="Arial"/>
                <w:sz w:val="16"/>
                <w:szCs w:val="16"/>
                <w:lang w:val="en-US"/>
              </w:rPr>
              <w:instrText xml:space="preserve"> </w:instrText>
            </w:r>
            <w:r w:rsidRPr="009C4552">
              <w:rPr>
                <w:rFonts w:ascii="Arial" w:hAnsi="Arial" w:cs="Arial"/>
                <w:sz w:val="16"/>
                <w:szCs w:val="16"/>
                <w:lang w:val="en-US"/>
              </w:rPr>
              <w:fldChar w:fldCharType="separate"/>
            </w:r>
            <w:r w:rsidR="005A18DC">
              <w:rPr>
                <w:rFonts w:ascii="Arial" w:hAnsi="Arial" w:cs="Arial"/>
                <w:position w:val="-6"/>
                <w:sz w:val="16"/>
                <w:szCs w:val="16"/>
              </w:rPr>
              <w:pict w14:anchorId="604053CA">
                <v:shape id="_x0000_i1081" type="#_x0000_t75" style="width:1in;height:12pt" equationxml="&lt;">
                  <v:imagedata r:id="rId783" o:title="" chromakey="white"/>
                </v:shape>
              </w:pict>
            </w:r>
            <w:r w:rsidRPr="009C4552">
              <w:rPr>
                <w:rFonts w:ascii="Arial" w:hAnsi="Arial" w:cs="Arial"/>
                <w:sz w:val="16"/>
                <w:szCs w:val="16"/>
                <w:lang w:val="en-US"/>
              </w:rPr>
              <w:fldChar w:fldCharType="end"/>
            </w:r>
            <w:r w:rsidRPr="009C4552">
              <w:rPr>
                <w:rFonts w:ascii="Arial" w:hAnsi="Arial" w:cs="Arial"/>
                <w:sz w:val="16"/>
                <w:szCs w:val="16"/>
                <w:lang w:val="en-US"/>
              </w:rPr>
              <w:t xml:space="preserve">, </w:t>
            </w:r>
            <w:r w:rsidRPr="009C4552">
              <w:rPr>
                <w:rFonts w:ascii="Arial" w:hAnsi="Arial" w:cs="Arial"/>
                <w:sz w:val="16"/>
                <w:szCs w:val="16"/>
                <w:lang w:val="en-US"/>
              </w:rPr>
              <w:fldChar w:fldCharType="begin"/>
            </w:r>
            <w:r w:rsidRPr="009C4552">
              <w:rPr>
                <w:rFonts w:ascii="Arial" w:hAnsi="Arial" w:cs="Arial"/>
                <w:sz w:val="16"/>
                <w:szCs w:val="16"/>
                <w:lang w:val="en-US"/>
              </w:rPr>
              <w:instrText xml:space="preserve"> QUOTE </w:instrText>
            </w:r>
            <w:r w:rsidR="00A6784C">
              <w:rPr>
                <w:rFonts w:ascii="Arial" w:hAnsi="Arial" w:cs="Arial"/>
                <w:position w:val="-6"/>
                <w:sz w:val="16"/>
                <w:szCs w:val="16"/>
              </w:rPr>
              <w:pict w14:anchorId="1EDB4F4A">
                <v:shape id="_x0000_i1082" type="#_x0000_t75" style="width:31.5pt;height:11.25pt" equationxml="&lt;">
                  <v:imagedata r:id="rId784" o:title="" chromakey="white"/>
                </v:shape>
              </w:pict>
            </w:r>
            <w:r w:rsidRPr="009C4552">
              <w:rPr>
                <w:rFonts w:ascii="Arial" w:hAnsi="Arial" w:cs="Arial"/>
                <w:sz w:val="16"/>
                <w:szCs w:val="16"/>
                <w:lang w:val="en-US"/>
              </w:rPr>
              <w:instrText xml:space="preserve"> </w:instrText>
            </w:r>
            <w:r w:rsidRPr="009C4552">
              <w:rPr>
                <w:rFonts w:ascii="Arial" w:hAnsi="Arial" w:cs="Arial"/>
                <w:sz w:val="16"/>
                <w:szCs w:val="16"/>
                <w:lang w:val="en-US"/>
              </w:rPr>
              <w:fldChar w:fldCharType="separate"/>
            </w:r>
            <w:r w:rsidR="00A6784C">
              <w:rPr>
                <w:rFonts w:ascii="Arial" w:hAnsi="Arial" w:cs="Arial"/>
                <w:position w:val="-6"/>
                <w:sz w:val="16"/>
                <w:szCs w:val="16"/>
              </w:rPr>
              <w:pict w14:anchorId="5E7D9ABB">
                <v:shape id="_x0000_i1083" type="#_x0000_t75" style="width:31.5pt;height:11.25pt" equationxml="&lt;">
                  <v:imagedata r:id="rId784" o:title="" chromakey="white"/>
                </v:shape>
              </w:pict>
            </w:r>
            <w:r w:rsidRPr="009C4552">
              <w:rPr>
                <w:rFonts w:ascii="Arial" w:hAnsi="Arial" w:cs="Arial"/>
                <w:sz w:val="16"/>
                <w:szCs w:val="16"/>
                <w:lang w:val="en-US"/>
              </w:rPr>
              <w:fldChar w:fldCharType="end"/>
            </w:r>
            <w:r w:rsidRPr="009C4552">
              <w:rPr>
                <w:rFonts w:ascii="Arial" w:hAnsi="Arial" w:cs="Arial"/>
                <w:sz w:val="16"/>
                <w:szCs w:val="16"/>
                <w:lang w:val="en-US"/>
              </w:rPr>
              <w:t xml:space="preserve">, and the PUSCH power control adjustment state </w:t>
            </w:r>
            <w:r w:rsidRPr="009C4552">
              <w:rPr>
                <w:rFonts w:ascii="Arial" w:hAnsi="Arial" w:cs="Arial"/>
                <w:sz w:val="16"/>
                <w:szCs w:val="16"/>
                <w:lang w:val="en-US"/>
              </w:rPr>
              <w:fldChar w:fldCharType="begin"/>
            </w:r>
            <w:r w:rsidRPr="009C4552">
              <w:rPr>
                <w:rFonts w:ascii="Arial" w:hAnsi="Arial" w:cs="Arial"/>
                <w:sz w:val="16"/>
                <w:szCs w:val="16"/>
                <w:lang w:val="en-US"/>
              </w:rPr>
              <w:instrText xml:space="preserve"> QUOTE </w:instrText>
            </w:r>
            <w:r w:rsidR="00A6784C">
              <w:rPr>
                <w:rFonts w:ascii="Arial" w:hAnsi="Arial" w:cs="Arial"/>
                <w:position w:val="-4"/>
                <w:sz w:val="16"/>
                <w:szCs w:val="16"/>
              </w:rPr>
              <w:pict w14:anchorId="13A5D167">
                <v:shape id="_x0000_i1084" type="#_x0000_t75" style="width:3pt;height:11.25pt" equationxml="&lt;">
                  <v:imagedata r:id="rId785" o:title="" chromakey="white"/>
                </v:shape>
              </w:pict>
            </w:r>
            <w:r w:rsidRPr="009C4552">
              <w:rPr>
                <w:rFonts w:ascii="Arial" w:hAnsi="Arial" w:cs="Arial"/>
                <w:sz w:val="16"/>
                <w:szCs w:val="16"/>
                <w:lang w:val="en-US"/>
              </w:rPr>
              <w:instrText xml:space="preserve"> </w:instrText>
            </w:r>
            <w:r w:rsidRPr="009C4552">
              <w:rPr>
                <w:rFonts w:ascii="Arial" w:hAnsi="Arial" w:cs="Arial"/>
                <w:sz w:val="16"/>
                <w:szCs w:val="16"/>
                <w:lang w:val="en-US"/>
              </w:rPr>
              <w:fldChar w:fldCharType="separate"/>
            </w:r>
            <w:r w:rsidR="00A6784C">
              <w:rPr>
                <w:rFonts w:ascii="Arial" w:hAnsi="Arial" w:cs="Arial"/>
                <w:position w:val="-4"/>
                <w:sz w:val="16"/>
                <w:szCs w:val="16"/>
              </w:rPr>
              <w:pict w14:anchorId="5B5F0B3F">
                <v:shape id="_x0000_i1085" type="#_x0000_t75" style="width:3pt;height:11.25pt" equationxml="&lt;">
                  <v:imagedata r:id="rId785" o:title="" chromakey="white"/>
                </v:shape>
              </w:pict>
            </w:r>
            <w:r w:rsidRPr="009C4552">
              <w:rPr>
                <w:rFonts w:ascii="Arial" w:hAnsi="Arial" w:cs="Arial"/>
                <w:sz w:val="16"/>
                <w:szCs w:val="16"/>
                <w:lang w:val="en-US"/>
              </w:rPr>
              <w:fldChar w:fldCharType="end"/>
            </w:r>
            <w:r w:rsidRPr="009C4552">
              <w:rPr>
                <w:rFonts w:ascii="Arial" w:hAnsi="Arial" w:cs="Arial"/>
                <w:sz w:val="16"/>
                <w:szCs w:val="16"/>
                <w:lang w:val="en-US"/>
              </w:rPr>
              <w:t xml:space="preserve"> provided by </w:t>
            </w:r>
            <w:r w:rsidRPr="009C4552">
              <w:rPr>
                <w:rFonts w:ascii="Arial" w:hAnsi="Arial" w:cs="Arial"/>
                <w:i/>
                <w:noProof/>
                <w:sz w:val="16"/>
                <w:szCs w:val="16"/>
                <w:lang w:val="en-US"/>
              </w:rPr>
              <w:t>p0AlphaSetforPUSCH</w:t>
            </w:r>
            <w:r w:rsidRPr="009C4552">
              <w:rPr>
                <w:rFonts w:ascii="Arial" w:hAnsi="Arial" w:cs="Arial"/>
                <w:sz w:val="16"/>
                <w:szCs w:val="16"/>
                <w:lang w:val="en-US"/>
              </w:rPr>
              <w:t xml:space="preserve"> associated </w:t>
            </w:r>
            <w:r w:rsidRPr="009C4552">
              <w:rPr>
                <w:rFonts w:ascii="Arial" w:hAnsi="Arial" w:cs="Arial"/>
                <w:sz w:val="16"/>
                <w:szCs w:val="16"/>
                <w:lang w:val="en-US" w:eastAsia="zh-CN"/>
              </w:rPr>
              <w:t xml:space="preserve">with the smallest value of </w:t>
            </w:r>
            <w:r w:rsidRPr="009C4552">
              <w:rPr>
                <w:rFonts w:ascii="Arial" w:hAnsi="Arial" w:cs="Arial"/>
                <w:i/>
                <w:sz w:val="16"/>
                <w:szCs w:val="16"/>
                <w:lang w:val="en-US"/>
              </w:rPr>
              <w:t>ul-powercontrolId</w:t>
            </w:r>
            <w:r w:rsidRPr="009C4552">
              <w:rPr>
                <w:rFonts w:ascii="Arial" w:hAnsi="Arial" w:cs="Arial"/>
                <w:sz w:val="16"/>
                <w:szCs w:val="16"/>
                <w:lang w:val="en-US" w:eastAsia="zh-CN"/>
              </w:rPr>
              <w:t xml:space="preserve"> for the </w:t>
            </w:r>
            <w:r w:rsidRPr="009C4552">
              <w:rPr>
                <w:rFonts w:ascii="Arial" w:hAnsi="Arial" w:cs="Arial"/>
                <w:sz w:val="16"/>
                <w:szCs w:val="16"/>
                <w:lang w:val="en-US"/>
              </w:rPr>
              <w:t>PCell or the PSCell</w:t>
            </w:r>
          </w:p>
          <w:p w14:paraId="0F302074" w14:textId="77777777" w:rsidR="009C4552" w:rsidRPr="009C4552" w:rsidRDefault="009C4552" w:rsidP="009C4552">
            <w:pPr>
              <w:pStyle w:val="B2"/>
              <w:spacing w:after="0"/>
              <w:rPr>
                <w:rFonts w:ascii="Arial" w:hAnsi="Arial" w:cs="Arial"/>
                <w:sz w:val="16"/>
                <w:szCs w:val="16"/>
                <w:lang w:val="en-US" w:eastAsia="zh-CN"/>
              </w:rPr>
            </w:pPr>
            <w:r w:rsidRPr="009C4552">
              <w:rPr>
                <w:rFonts w:ascii="Arial" w:hAnsi="Arial" w:cs="Arial"/>
                <w:sz w:val="16"/>
                <w:szCs w:val="16"/>
                <w:lang w:val="en-US"/>
              </w:rPr>
              <w:t>-</w:t>
            </w:r>
            <w:r w:rsidRPr="009C4552">
              <w:rPr>
                <w:rFonts w:ascii="Arial" w:hAnsi="Arial" w:cs="Arial"/>
                <w:sz w:val="16"/>
                <w:szCs w:val="16"/>
                <w:lang w:val="en-US"/>
              </w:rPr>
              <w:tab/>
            </w:r>
            <w:r w:rsidRPr="009C4552">
              <w:rPr>
                <w:rFonts w:ascii="Arial" w:hAnsi="Arial" w:cs="Arial"/>
                <w:sz w:val="16"/>
                <w:szCs w:val="16"/>
                <w:lang w:val="en-US" w:eastAsia="ko-KR"/>
              </w:rPr>
              <w:t xml:space="preserve">the value of </w:t>
            </w:r>
            <w:r w:rsidRPr="009C4552">
              <w:rPr>
                <w:rFonts w:ascii="Arial" w:hAnsi="Arial" w:cs="Arial"/>
                <w:sz w:val="16"/>
                <w:szCs w:val="16"/>
                <w:lang w:val="en-US"/>
              </w:rPr>
              <w:fldChar w:fldCharType="begin"/>
            </w:r>
            <w:r w:rsidRPr="009C4552">
              <w:rPr>
                <w:rFonts w:ascii="Arial" w:hAnsi="Arial" w:cs="Arial"/>
                <w:sz w:val="16"/>
                <w:szCs w:val="16"/>
                <w:lang w:val="en-US"/>
              </w:rPr>
              <w:instrText xml:space="preserve"> QUOTE </w:instrText>
            </w:r>
            <w:r w:rsidR="00A6784C">
              <w:rPr>
                <w:rFonts w:ascii="Arial" w:hAnsi="Arial" w:cs="Arial"/>
                <w:position w:val="-6"/>
                <w:sz w:val="16"/>
                <w:szCs w:val="16"/>
              </w:rPr>
              <w:pict w14:anchorId="683F5DE1">
                <v:shape id="_x0000_i1086" type="#_x0000_t75" style="width:63.75pt;height:12pt" equationxml="&lt;">
                  <v:imagedata r:id="rId786" o:title="" chromakey="white"/>
                </v:shape>
              </w:pict>
            </w:r>
            <w:r w:rsidRPr="009C4552">
              <w:rPr>
                <w:rFonts w:ascii="Arial" w:hAnsi="Arial" w:cs="Arial"/>
                <w:sz w:val="16"/>
                <w:szCs w:val="16"/>
                <w:lang w:val="en-US"/>
              </w:rPr>
              <w:instrText xml:space="preserve"> </w:instrText>
            </w:r>
            <w:r w:rsidRPr="009C4552">
              <w:rPr>
                <w:rFonts w:ascii="Arial" w:hAnsi="Arial" w:cs="Arial"/>
                <w:sz w:val="16"/>
                <w:szCs w:val="16"/>
                <w:lang w:val="en-US"/>
              </w:rPr>
              <w:fldChar w:fldCharType="separate"/>
            </w:r>
            <w:r w:rsidR="00A6784C">
              <w:rPr>
                <w:rFonts w:ascii="Arial" w:hAnsi="Arial" w:cs="Arial"/>
                <w:position w:val="-6"/>
                <w:sz w:val="16"/>
                <w:szCs w:val="16"/>
              </w:rPr>
              <w:pict w14:anchorId="62017374">
                <v:shape id="_x0000_i1087" type="#_x0000_t75" style="width:63.75pt;height:12pt" equationxml="&lt;">
                  <v:imagedata r:id="rId786" o:title="" chromakey="white"/>
                </v:shape>
              </w:pict>
            </w:r>
            <w:r w:rsidRPr="009C4552">
              <w:rPr>
                <w:rFonts w:ascii="Arial" w:hAnsi="Arial" w:cs="Arial"/>
                <w:sz w:val="16"/>
                <w:szCs w:val="16"/>
                <w:lang w:val="en-US"/>
              </w:rPr>
              <w:fldChar w:fldCharType="end"/>
            </w:r>
            <w:r w:rsidRPr="009C4552">
              <w:rPr>
                <w:rFonts w:ascii="Arial" w:hAnsi="Arial" w:cs="Arial"/>
                <w:sz w:val="16"/>
                <w:szCs w:val="16"/>
                <w:lang w:val="en-US"/>
              </w:rPr>
              <w:t xml:space="preserve"> and the PUCCH power control adjustment state </w:t>
            </w:r>
            <w:r w:rsidRPr="009C4552">
              <w:rPr>
                <w:rFonts w:ascii="Arial" w:hAnsi="Arial" w:cs="Arial"/>
                <w:sz w:val="16"/>
                <w:szCs w:val="16"/>
                <w:lang w:val="en-US"/>
              </w:rPr>
              <w:fldChar w:fldCharType="begin"/>
            </w:r>
            <w:r w:rsidRPr="009C4552">
              <w:rPr>
                <w:rFonts w:ascii="Arial" w:hAnsi="Arial" w:cs="Arial"/>
                <w:sz w:val="16"/>
                <w:szCs w:val="16"/>
                <w:lang w:val="en-US"/>
              </w:rPr>
              <w:instrText xml:space="preserve"> QUOTE </w:instrText>
            </w:r>
            <w:r w:rsidR="00A6784C">
              <w:rPr>
                <w:rFonts w:ascii="Arial" w:hAnsi="Arial" w:cs="Arial"/>
                <w:position w:val="-4"/>
                <w:sz w:val="16"/>
                <w:szCs w:val="16"/>
              </w:rPr>
              <w:pict w14:anchorId="6CB70680">
                <v:shape id="_x0000_i1088" type="#_x0000_t75" style="width:3pt;height:11.25pt" equationxml="&lt;">
                  <v:imagedata r:id="rId785" o:title="" chromakey="white"/>
                </v:shape>
              </w:pict>
            </w:r>
            <w:r w:rsidRPr="009C4552">
              <w:rPr>
                <w:rFonts w:ascii="Arial" w:hAnsi="Arial" w:cs="Arial"/>
                <w:sz w:val="16"/>
                <w:szCs w:val="16"/>
                <w:lang w:val="en-US"/>
              </w:rPr>
              <w:instrText xml:space="preserve"> </w:instrText>
            </w:r>
            <w:r w:rsidRPr="009C4552">
              <w:rPr>
                <w:rFonts w:ascii="Arial" w:hAnsi="Arial" w:cs="Arial"/>
                <w:sz w:val="16"/>
                <w:szCs w:val="16"/>
                <w:lang w:val="en-US"/>
              </w:rPr>
              <w:fldChar w:fldCharType="separate"/>
            </w:r>
            <w:r w:rsidR="00A6784C">
              <w:rPr>
                <w:rFonts w:ascii="Arial" w:hAnsi="Arial" w:cs="Arial"/>
                <w:position w:val="-4"/>
                <w:sz w:val="16"/>
                <w:szCs w:val="16"/>
              </w:rPr>
              <w:pict w14:anchorId="448142C7">
                <v:shape id="_x0000_i1089" type="#_x0000_t75" style="width:3pt;height:11.25pt" equationxml="&lt;">
                  <v:imagedata r:id="rId785" o:title="" chromakey="white"/>
                </v:shape>
              </w:pict>
            </w:r>
            <w:r w:rsidRPr="009C4552">
              <w:rPr>
                <w:rFonts w:ascii="Arial" w:hAnsi="Arial" w:cs="Arial"/>
                <w:sz w:val="16"/>
                <w:szCs w:val="16"/>
                <w:lang w:val="en-US"/>
              </w:rPr>
              <w:fldChar w:fldCharType="end"/>
            </w:r>
            <w:r w:rsidRPr="009C4552">
              <w:rPr>
                <w:rFonts w:ascii="Arial" w:hAnsi="Arial" w:cs="Arial"/>
                <w:sz w:val="16"/>
                <w:szCs w:val="16"/>
                <w:lang w:val="en-US"/>
              </w:rPr>
              <w:t xml:space="preserve"> provided by </w:t>
            </w:r>
            <w:r w:rsidRPr="009C4552">
              <w:rPr>
                <w:rFonts w:ascii="Arial" w:hAnsi="Arial" w:cs="Arial"/>
                <w:i/>
                <w:noProof/>
                <w:sz w:val="16"/>
                <w:szCs w:val="16"/>
                <w:lang w:val="en-US"/>
              </w:rPr>
              <w:t>p0AlphaSetforPU</w:t>
            </w:r>
            <w:r w:rsidRPr="009C4552">
              <w:rPr>
                <w:rFonts w:ascii="Arial" w:hAnsi="Arial" w:cs="Arial"/>
                <w:i/>
                <w:noProof/>
                <w:sz w:val="16"/>
                <w:szCs w:val="16"/>
              </w:rPr>
              <w:t>C</w:t>
            </w:r>
            <w:r w:rsidRPr="009C4552">
              <w:rPr>
                <w:rFonts w:ascii="Arial" w:hAnsi="Arial" w:cs="Arial"/>
                <w:i/>
                <w:noProof/>
                <w:sz w:val="16"/>
                <w:szCs w:val="16"/>
                <w:lang w:val="en-US"/>
              </w:rPr>
              <w:t>CH</w:t>
            </w:r>
            <w:r w:rsidRPr="009C4552">
              <w:rPr>
                <w:rFonts w:ascii="Arial" w:hAnsi="Arial" w:cs="Arial"/>
                <w:sz w:val="16"/>
                <w:szCs w:val="16"/>
                <w:lang w:val="en-US"/>
              </w:rPr>
              <w:t xml:space="preserve"> associated </w:t>
            </w:r>
            <w:r w:rsidRPr="009C4552">
              <w:rPr>
                <w:rFonts w:ascii="Arial" w:hAnsi="Arial" w:cs="Arial"/>
                <w:sz w:val="16"/>
                <w:szCs w:val="16"/>
                <w:lang w:val="en-US" w:eastAsia="zh-CN"/>
              </w:rPr>
              <w:t xml:space="preserve">with the smallest value of </w:t>
            </w:r>
            <w:r w:rsidRPr="009C4552">
              <w:rPr>
                <w:rFonts w:ascii="Arial" w:hAnsi="Arial" w:cs="Arial"/>
                <w:i/>
                <w:sz w:val="16"/>
                <w:szCs w:val="16"/>
                <w:lang w:val="en-US"/>
              </w:rPr>
              <w:t>ul-powercontrolId</w:t>
            </w:r>
            <w:r w:rsidRPr="009C4552">
              <w:rPr>
                <w:rFonts w:ascii="Arial" w:hAnsi="Arial" w:cs="Arial"/>
                <w:sz w:val="16"/>
                <w:szCs w:val="16"/>
                <w:lang w:val="en-US" w:eastAsia="zh-CN"/>
              </w:rPr>
              <w:t xml:space="preserve"> for the </w:t>
            </w:r>
            <w:r w:rsidRPr="009C4552">
              <w:rPr>
                <w:rFonts w:ascii="Arial" w:hAnsi="Arial" w:cs="Arial"/>
                <w:sz w:val="16"/>
                <w:szCs w:val="16"/>
                <w:lang w:val="en-US"/>
              </w:rPr>
              <w:t xml:space="preserve">PCell or the PSCell </w:t>
            </w:r>
          </w:p>
          <w:p w14:paraId="4459C711" w14:textId="77777777" w:rsidR="009C4552" w:rsidRPr="009C4552" w:rsidRDefault="009C4552" w:rsidP="009C4552">
            <w:pPr>
              <w:pStyle w:val="B2"/>
              <w:spacing w:after="0"/>
              <w:rPr>
                <w:rFonts w:ascii="Arial" w:hAnsi="Arial" w:cs="Arial"/>
                <w:bCs/>
                <w:sz w:val="16"/>
                <w:szCs w:val="16"/>
                <w:lang w:val="en-US" w:eastAsia="zh-CN"/>
              </w:rPr>
            </w:pPr>
            <w:r w:rsidRPr="009C4552">
              <w:rPr>
                <w:rFonts w:ascii="Arial" w:hAnsi="Arial" w:cs="Arial"/>
                <w:sz w:val="16"/>
                <w:szCs w:val="16"/>
                <w:lang w:val="en-US"/>
              </w:rPr>
              <w:t>-</w:t>
            </w:r>
            <w:r w:rsidRPr="009C4552">
              <w:rPr>
                <w:rFonts w:ascii="Arial" w:hAnsi="Arial" w:cs="Arial"/>
                <w:sz w:val="16"/>
                <w:szCs w:val="16"/>
                <w:lang w:val="en-US"/>
              </w:rPr>
              <w:tab/>
            </w:r>
            <w:r w:rsidRPr="009C4552">
              <w:rPr>
                <w:rFonts w:ascii="Arial" w:hAnsi="Arial" w:cs="Arial"/>
                <w:sz w:val="16"/>
                <w:szCs w:val="16"/>
                <w:lang w:val="en-US" w:eastAsia="ko-KR"/>
              </w:rPr>
              <w:t xml:space="preserve">the values of </w:t>
            </w:r>
            <w:r w:rsidRPr="009C4552">
              <w:rPr>
                <w:rFonts w:ascii="Arial" w:hAnsi="Arial" w:cs="Arial"/>
                <w:sz w:val="16"/>
                <w:szCs w:val="16"/>
                <w:lang w:val="en-US"/>
              </w:rPr>
              <w:fldChar w:fldCharType="begin"/>
            </w:r>
            <w:r w:rsidRPr="009C4552">
              <w:rPr>
                <w:rFonts w:ascii="Arial" w:hAnsi="Arial" w:cs="Arial"/>
                <w:sz w:val="16"/>
                <w:szCs w:val="16"/>
                <w:lang w:val="en-US"/>
              </w:rPr>
              <w:instrText xml:space="preserve"> QUOTE </w:instrText>
            </w:r>
            <w:r w:rsidR="00A6784C">
              <w:rPr>
                <w:rFonts w:ascii="Arial" w:hAnsi="Arial" w:cs="Arial"/>
                <w:position w:val="-6"/>
                <w:sz w:val="16"/>
                <w:szCs w:val="16"/>
              </w:rPr>
              <w:pict w14:anchorId="2DEBA3E3">
                <v:shape id="_x0000_i1090" type="#_x0000_t75" style="width:67.5pt;height:12pt" equationxml="&lt;">
                  <v:imagedata r:id="rId787" o:title="" chromakey="white"/>
                </v:shape>
              </w:pict>
            </w:r>
            <w:r w:rsidRPr="009C4552">
              <w:rPr>
                <w:rFonts w:ascii="Arial" w:hAnsi="Arial" w:cs="Arial"/>
                <w:sz w:val="16"/>
                <w:szCs w:val="16"/>
                <w:lang w:val="en-US"/>
              </w:rPr>
              <w:instrText xml:space="preserve"> </w:instrText>
            </w:r>
            <w:r w:rsidRPr="009C4552">
              <w:rPr>
                <w:rFonts w:ascii="Arial" w:hAnsi="Arial" w:cs="Arial"/>
                <w:sz w:val="16"/>
                <w:szCs w:val="16"/>
                <w:lang w:val="en-US"/>
              </w:rPr>
              <w:fldChar w:fldCharType="separate"/>
            </w:r>
            <w:r w:rsidR="00A6784C">
              <w:rPr>
                <w:rFonts w:ascii="Arial" w:hAnsi="Arial" w:cs="Arial"/>
                <w:position w:val="-6"/>
                <w:sz w:val="16"/>
                <w:szCs w:val="16"/>
              </w:rPr>
              <w:pict w14:anchorId="43FAFBE7">
                <v:shape id="_x0000_i1091" type="#_x0000_t75" style="width:67.5pt;height:12pt" equationxml="&lt;">
                  <v:imagedata r:id="rId787" o:title="" chromakey="white"/>
                </v:shape>
              </w:pict>
            </w:r>
            <w:r w:rsidRPr="009C4552">
              <w:rPr>
                <w:rFonts w:ascii="Arial" w:hAnsi="Arial" w:cs="Arial"/>
                <w:sz w:val="16"/>
                <w:szCs w:val="16"/>
                <w:lang w:val="en-US"/>
              </w:rPr>
              <w:fldChar w:fldCharType="end"/>
            </w:r>
            <w:r w:rsidRPr="009C4552">
              <w:rPr>
                <w:rFonts w:ascii="Arial" w:hAnsi="Arial" w:cs="Arial"/>
                <w:sz w:val="16"/>
                <w:szCs w:val="16"/>
                <w:lang w:val="en-US"/>
              </w:rPr>
              <w:t xml:space="preserve">, </w:t>
            </w:r>
            <w:r w:rsidRPr="009C4552">
              <w:rPr>
                <w:rFonts w:ascii="Arial" w:hAnsi="Arial" w:cs="Arial"/>
                <w:sz w:val="16"/>
                <w:szCs w:val="16"/>
                <w:lang w:val="en-US"/>
              </w:rPr>
              <w:fldChar w:fldCharType="begin"/>
            </w:r>
            <w:r w:rsidRPr="009C4552">
              <w:rPr>
                <w:rFonts w:ascii="Arial" w:hAnsi="Arial" w:cs="Arial"/>
                <w:sz w:val="16"/>
                <w:szCs w:val="16"/>
                <w:lang w:val="en-US"/>
              </w:rPr>
              <w:instrText xml:space="preserve"> QUOTE </w:instrText>
            </w:r>
            <w:r w:rsidR="00A6784C">
              <w:rPr>
                <w:rFonts w:ascii="Arial" w:hAnsi="Arial" w:cs="Arial"/>
                <w:position w:val="-6"/>
                <w:sz w:val="16"/>
                <w:szCs w:val="16"/>
              </w:rPr>
              <w:pict w14:anchorId="0E9EAEDA">
                <v:shape id="_x0000_i1092" type="#_x0000_t75" style="width:49.5pt;height:11.25pt" equationxml="&lt;">
                  <v:imagedata r:id="rId788" o:title="" chromakey="white"/>
                </v:shape>
              </w:pict>
            </w:r>
            <w:r w:rsidRPr="009C4552">
              <w:rPr>
                <w:rFonts w:ascii="Arial" w:hAnsi="Arial" w:cs="Arial"/>
                <w:sz w:val="16"/>
                <w:szCs w:val="16"/>
                <w:lang w:val="en-US"/>
              </w:rPr>
              <w:instrText xml:space="preserve"> </w:instrText>
            </w:r>
            <w:r w:rsidRPr="009C4552">
              <w:rPr>
                <w:rFonts w:ascii="Arial" w:hAnsi="Arial" w:cs="Arial"/>
                <w:sz w:val="16"/>
                <w:szCs w:val="16"/>
                <w:lang w:val="en-US"/>
              </w:rPr>
              <w:fldChar w:fldCharType="separate"/>
            </w:r>
            <w:r w:rsidR="00A6784C">
              <w:rPr>
                <w:rFonts w:ascii="Arial" w:hAnsi="Arial" w:cs="Arial"/>
                <w:position w:val="-6"/>
                <w:sz w:val="16"/>
                <w:szCs w:val="16"/>
              </w:rPr>
              <w:pict w14:anchorId="78A6A42E">
                <v:shape id="_x0000_i1093" type="#_x0000_t75" style="width:49.5pt;height:11.25pt" equationxml="&lt;">
                  <v:imagedata r:id="rId788" o:title="" chromakey="white"/>
                </v:shape>
              </w:pict>
            </w:r>
            <w:r w:rsidRPr="009C4552">
              <w:rPr>
                <w:rFonts w:ascii="Arial" w:hAnsi="Arial" w:cs="Arial"/>
                <w:sz w:val="16"/>
                <w:szCs w:val="16"/>
                <w:lang w:val="en-US"/>
              </w:rPr>
              <w:fldChar w:fldCharType="end"/>
            </w:r>
            <w:r w:rsidRPr="009C4552">
              <w:rPr>
                <w:rFonts w:ascii="Arial" w:hAnsi="Arial" w:cs="Arial"/>
                <w:sz w:val="16"/>
                <w:szCs w:val="16"/>
                <w:lang w:val="en-US"/>
              </w:rPr>
              <w:t xml:space="preserve">, and the SRS power control adjustment state </w:t>
            </w:r>
            <w:r w:rsidRPr="009C4552">
              <w:rPr>
                <w:rFonts w:ascii="Arial" w:hAnsi="Arial" w:cs="Arial"/>
                <w:sz w:val="16"/>
                <w:szCs w:val="16"/>
                <w:lang w:val="en-US"/>
              </w:rPr>
              <w:fldChar w:fldCharType="begin"/>
            </w:r>
            <w:r w:rsidRPr="009C4552">
              <w:rPr>
                <w:rFonts w:ascii="Arial" w:hAnsi="Arial" w:cs="Arial"/>
                <w:sz w:val="16"/>
                <w:szCs w:val="16"/>
                <w:lang w:val="en-US"/>
              </w:rPr>
              <w:instrText xml:space="preserve"> QUOTE </w:instrText>
            </w:r>
            <w:r w:rsidR="00A6784C">
              <w:rPr>
                <w:rFonts w:ascii="Arial" w:hAnsi="Arial" w:cs="Arial"/>
                <w:position w:val="-4"/>
                <w:sz w:val="16"/>
                <w:szCs w:val="16"/>
              </w:rPr>
              <w:pict w14:anchorId="2BF56163">
                <v:shape id="_x0000_i1094" type="#_x0000_t75" style="width:3pt;height:11.25pt" equationxml="&lt;">
                  <v:imagedata r:id="rId785" o:title="" chromakey="white"/>
                </v:shape>
              </w:pict>
            </w:r>
            <w:r w:rsidRPr="009C4552">
              <w:rPr>
                <w:rFonts w:ascii="Arial" w:hAnsi="Arial" w:cs="Arial"/>
                <w:sz w:val="16"/>
                <w:szCs w:val="16"/>
                <w:lang w:val="en-US"/>
              </w:rPr>
              <w:instrText xml:space="preserve"> </w:instrText>
            </w:r>
            <w:r w:rsidRPr="009C4552">
              <w:rPr>
                <w:rFonts w:ascii="Arial" w:hAnsi="Arial" w:cs="Arial"/>
                <w:sz w:val="16"/>
                <w:szCs w:val="16"/>
                <w:lang w:val="en-US"/>
              </w:rPr>
              <w:fldChar w:fldCharType="separate"/>
            </w:r>
            <w:r w:rsidR="00A6784C">
              <w:rPr>
                <w:rFonts w:ascii="Arial" w:hAnsi="Arial" w:cs="Arial"/>
                <w:position w:val="-4"/>
                <w:sz w:val="16"/>
                <w:szCs w:val="16"/>
              </w:rPr>
              <w:pict w14:anchorId="7FA5E35C">
                <v:shape id="_x0000_i1095" type="#_x0000_t75" style="width:3pt;height:11.25pt" equationxml="&lt;">
                  <v:imagedata r:id="rId785" o:title="" chromakey="white"/>
                </v:shape>
              </w:pict>
            </w:r>
            <w:r w:rsidRPr="009C4552">
              <w:rPr>
                <w:rFonts w:ascii="Arial" w:hAnsi="Arial" w:cs="Arial"/>
                <w:sz w:val="16"/>
                <w:szCs w:val="16"/>
                <w:lang w:val="en-US"/>
              </w:rPr>
              <w:fldChar w:fldCharType="end"/>
            </w:r>
            <w:r w:rsidRPr="009C4552">
              <w:rPr>
                <w:rFonts w:ascii="Arial" w:hAnsi="Arial" w:cs="Arial"/>
                <w:sz w:val="16"/>
                <w:szCs w:val="16"/>
                <w:lang w:val="en-US"/>
              </w:rPr>
              <w:t xml:space="preserve"> provided by </w:t>
            </w:r>
            <w:r w:rsidRPr="009C4552">
              <w:rPr>
                <w:rFonts w:ascii="Arial" w:hAnsi="Arial" w:cs="Arial"/>
                <w:i/>
                <w:noProof/>
                <w:sz w:val="16"/>
                <w:szCs w:val="16"/>
                <w:lang w:val="en-US"/>
              </w:rPr>
              <w:t>p0AlphaSetforSRS</w:t>
            </w:r>
            <w:r w:rsidRPr="009C4552">
              <w:rPr>
                <w:rFonts w:ascii="Arial" w:hAnsi="Arial" w:cs="Arial"/>
                <w:sz w:val="16"/>
                <w:szCs w:val="16"/>
                <w:lang w:val="en-US"/>
              </w:rPr>
              <w:t xml:space="preserve"> associated </w:t>
            </w:r>
            <w:r w:rsidRPr="009C4552">
              <w:rPr>
                <w:rFonts w:ascii="Arial" w:hAnsi="Arial" w:cs="Arial"/>
                <w:sz w:val="16"/>
                <w:szCs w:val="16"/>
                <w:lang w:val="en-US" w:eastAsia="zh-CN"/>
              </w:rPr>
              <w:t xml:space="preserve">with the smallest value of </w:t>
            </w:r>
            <w:r w:rsidRPr="009C4552">
              <w:rPr>
                <w:rFonts w:ascii="Arial" w:hAnsi="Arial" w:cs="Arial"/>
                <w:i/>
                <w:sz w:val="16"/>
                <w:szCs w:val="16"/>
                <w:lang w:val="en-US"/>
              </w:rPr>
              <w:t>ul-powercontrolId</w:t>
            </w:r>
            <w:r w:rsidRPr="009C4552">
              <w:rPr>
                <w:rFonts w:ascii="Arial" w:hAnsi="Arial" w:cs="Arial"/>
                <w:sz w:val="16"/>
                <w:szCs w:val="16"/>
                <w:lang w:val="en-US" w:eastAsia="zh-CN"/>
              </w:rPr>
              <w:t xml:space="preserve"> for the </w:t>
            </w:r>
            <w:r w:rsidRPr="009C4552">
              <w:rPr>
                <w:rFonts w:ascii="Arial" w:hAnsi="Arial" w:cs="Arial"/>
                <w:sz w:val="16"/>
                <w:szCs w:val="16"/>
                <w:lang w:val="en-US"/>
              </w:rPr>
              <w:t>PCell or the PSCell</w:t>
            </w:r>
          </w:p>
          <w:p w14:paraId="4336A5F7" w14:textId="77777777" w:rsidR="009C4552" w:rsidRPr="009C4552" w:rsidRDefault="009C4552" w:rsidP="009C4552">
            <w:pPr>
              <w:jc w:val="center"/>
              <w:rPr>
                <w:rFonts w:ascii="Arial" w:eastAsia="SimSun" w:hAnsi="Arial" w:cs="Arial"/>
                <w:bCs/>
                <w:color w:val="FF0000"/>
                <w:sz w:val="16"/>
                <w:szCs w:val="16"/>
              </w:rPr>
            </w:pPr>
            <w:r w:rsidRPr="009C4552">
              <w:rPr>
                <w:rFonts w:ascii="Arial" w:eastAsia="SimSun" w:hAnsi="Arial" w:cs="Arial"/>
                <w:bCs/>
                <w:color w:val="FF0000"/>
                <w:sz w:val="16"/>
                <w:szCs w:val="16"/>
              </w:rPr>
              <w:t>&lt;Unchanged part is omitted&gt;</w:t>
            </w:r>
          </w:p>
          <w:p w14:paraId="2289BB2A" w14:textId="77777777" w:rsidR="009C4552" w:rsidRPr="009C4552" w:rsidRDefault="009C4552" w:rsidP="009C4552">
            <w:pPr>
              <w:tabs>
                <w:tab w:val="left" w:pos="2116"/>
              </w:tabs>
              <w:rPr>
                <w:rFonts w:ascii="Arial" w:hAnsi="Arial" w:cs="Arial"/>
                <w:sz w:val="16"/>
                <w:szCs w:val="16"/>
              </w:rPr>
            </w:pPr>
            <w:r w:rsidRPr="009C4552">
              <w:rPr>
                <w:rFonts w:ascii="Arial" w:hAnsi="Arial" w:cs="Arial"/>
                <w:iCs/>
                <w:sz w:val="16"/>
                <w:szCs w:val="16"/>
              </w:rPr>
              <w:lastRenderedPageBreak/>
              <w:t xml:space="preserve">If a UE is provided </w:t>
            </w:r>
            <w:r w:rsidRPr="009C4552">
              <w:rPr>
                <w:rFonts w:ascii="Arial" w:hAnsi="Arial" w:cs="Arial"/>
                <w:i/>
                <w:sz w:val="16"/>
                <w:szCs w:val="16"/>
                <w:lang w:eastAsia="zh-CN"/>
              </w:rPr>
              <w:t>dl-OrJointTCI-StateList</w:t>
            </w:r>
            <w:r w:rsidRPr="009C4552">
              <w:rPr>
                <w:rFonts w:ascii="Arial" w:hAnsi="Arial" w:cs="Arial"/>
                <w:iCs/>
                <w:sz w:val="16"/>
                <w:szCs w:val="16"/>
                <w:lang w:eastAsia="zh-CN"/>
              </w:rPr>
              <w:t xml:space="preserve"> </w:t>
            </w:r>
            <w:r w:rsidRPr="009C4552">
              <w:rPr>
                <w:rFonts w:ascii="Arial" w:hAnsi="Arial" w:cs="Arial"/>
                <w:iCs/>
                <w:color w:val="000000"/>
                <w:sz w:val="16"/>
                <w:szCs w:val="16"/>
                <w:lang w:eastAsia="zh-CN"/>
              </w:rPr>
              <w:t>or</w:t>
            </w:r>
            <w:r w:rsidRPr="009C4552">
              <w:rPr>
                <w:rFonts w:ascii="Arial" w:hAnsi="Arial" w:cs="Arial"/>
                <w:color w:val="000000"/>
                <w:sz w:val="16"/>
                <w:szCs w:val="16"/>
              </w:rPr>
              <w:t xml:space="preserve"> </w:t>
            </w:r>
            <w:r w:rsidRPr="009C4552">
              <w:rPr>
                <w:rFonts w:ascii="Arial" w:hAnsi="Arial" w:cs="Arial"/>
                <w:i/>
                <w:iCs/>
                <w:color w:val="000000"/>
                <w:sz w:val="16"/>
                <w:szCs w:val="16"/>
                <w:lang w:eastAsia="zh-CN"/>
              </w:rPr>
              <w:t>ul</w:t>
            </w:r>
            <w:r w:rsidRPr="009C4552">
              <w:rPr>
                <w:rFonts w:ascii="Arial" w:hAnsi="Arial" w:cs="Arial"/>
                <w:i/>
                <w:iCs/>
                <w:color w:val="000000"/>
                <w:sz w:val="16"/>
                <w:szCs w:val="16"/>
              </w:rPr>
              <w:t>-TCI-StateList</w:t>
            </w:r>
            <w:r w:rsidRPr="009C4552">
              <w:rPr>
                <w:rFonts w:ascii="Arial" w:hAnsi="Arial" w:cs="Arial"/>
                <w:iCs/>
                <w:color w:val="000000"/>
                <w:sz w:val="16"/>
                <w:szCs w:val="16"/>
              </w:rPr>
              <w:t xml:space="preserve"> </w:t>
            </w:r>
            <w:r w:rsidRPr="009C4552">
              <w:rPr>
                <w:rFonts w:ascii="Arial" w:hAnsi="Arial" w:cs="Arial"/>
                <w:iCs/>
                <w:strike/>
                <w:color w:val="FF0000"/>
                <w:sz w:val="16"/>
                <w:szCs w:val="16"/>
              </w:rPr>
              <w:t xml:space="preserve">indicating a unified TCI state </w:t>
            </w:r>
            <w:r w:rsidRPr="009C4552">
              <w:rPr>
                <w:rFonts w:ascii="Arial" w:hAnsi="Arial" w:cs="Arial"/>
                <w:iCs/>
                <w:color w:val="FF0000"/>
                <w:sz w:val="16"/>
                <w:szCs w:val="16"/>
              </w:rPr>
              <w:t>and is indicated with one or two TCI state(s)</w:t>
            </w:r>
            <w:r w:rsidRPr="009C4552">
              <w:rPr>
                <w:rFonts w:ascii="Arial" w:hAnsi="Arial" w:cs="Arial"/>
                <w:iCs/>
                <w:sz w:val="16"/>
                <w:szCs w:val="16"/>
              </w:rPr>
              <w:t xml:space="preserve"> for the PCell or the PSCell </w:t>
            </w:r>
            <w:r w:rsidRPr="009C4552">
              <w:rPr>
                <w:rFonts w:ascii="Arial" w:hAnsi="Arial" w:cs="Arial"/>
                <w:iCs/>
                <w:noProof/>
                <w:color w:val="FF0000"/>
                <w:sz w:val="16"/>
                <w:szCs w:val="16"/>
                <w:lang w:eastAsia="zh-CN"/>
              </w:rPr>
              <w:t xml:space="preserve">associated </w:t>
            </w:r>
            <w:r w:rsidRPr="009C4552">
              <w:rPr>
                <w:rFonts w:ascii="Arial" w:hAnsi="Arial" w:cs="Arial"/>
                <w:iCs/>
                <w:color w:val="FF0000"/>
                <w:sz w:val="16"/>
                <w:szCs w:val="16"/>
              </w:rPr>
              <w:t xml:space="preserve">with </w:t>
            </w:r>
            <w:r w:rsidRPr="009C4552">
              <w:rPr>
                <w:rFonts w:ascii="Arial" w:hAnsi="Arial" w:cs="Arial"/>
                <w:color w:val="FF0000"/>
                <w:sz w:val="16"/>
                <w:szCs w:val="16"/>
              </w:rPr>
              <w:fldChar w:fldCharType="begin"/>
            </w:r>
            <w:r w:rsidRPr="009C4552">
              <w:rPr>
                <w:rFonts w:ascii="Arial" w:hAnsi="Arial" w:cs="Arial"/>
                <w:color w:val="FF0000"/>
                <w:sz w:val="16"/>
                <w:szCs w:val="16"/>
              </w:rPr>
              <w:instrText xml:space="preserve"> QUOTE </w:instrText>
            </w:r>
            <w:r w:rsidR="00A6784C">
              <w:rPr>
                <w:rFonts w:ascii="Arial" w:hAnsi="Arial" w:cs="Arial"/>
                <w:position w:val="-4"/>
                <w:sz w:val="16"/>
                <w:szCs w:val="16"/>
              </w:rPr>
              <w:pict w14:anchorId="1A103CCE">
                <v:shape id="_x0000_i1096" type="#_x0000_t75" style="width:9pt;height:11.25pt" equationxml="&lt;">
                  <v:imagedata r:id="rId779" o:title="" chromakey="white"/>
                </v:shape>
              </w:pict>
            </w:r>
            <w:r w:rsidRPr="009C4552">
              <w:rPr>
                <w:rFonts w:ascii="Arial" w:hAnsi="Arial" w:cs="Arial"/>
                <w:color w:val="FF0000"/>
                <w:sz w:val="16"/>
                <w:szCs w:val="16"/>
              </w:rPr>
              <w:instrText xml:space="preserve"> </w:instrText>
            </w:r>
            <w:r w:rsidRPr="009C4552">
              <w:rPr>
                <w:rFonts w:ascii="Arial" w:hAnsi="Arial" w:cs="Arial"/>
                <w:color w:val="FF0000"/>
                <w:sz w:val="16"/>
                <w:szCs w:val="16"/>
              </w:rPr>
              <w:fldChar w:fldCharType="separate"/>
            </w:r>
            <w:r w:rsidR="00A6784C">
              <w:rPr>
                <w:rFonts w:ascii="Arial" w:hAnsi="Arial" w:cs="Arial"/>
                <w:position w:val="-4"/>
                <w:sz w:val="16"/>
                <w:szCs w:val="16"/>
              </w:rPr>
              <w:pict w14:anchorId="7BF97264">
                <v:shape id="_x0000_i1097" type="#_x0000_t75" style="width:9pt;height:11.25pt" equationxml="&lt;">
                  <v:imagedata r:id="rId779" o:title="" chromakey="white"/>
                </v:shape>
              </w:pict>
            </w:r>
            <w:r w:rsidRPr="009C4552">
              <w:rPr>
                <w:rFonts w:ascii="Arial" w:hAnsi="Arial" w:cs="Arial"/>
                <w:color w:val="FF0000"/>
                <w:sz w:val="16"/>
                <w:szCs w:val="16"/>
              </w:rPr>
              <w:fldChar w:fldCharType="end"/>
            </w:r>
            <w:r w:rsidRPr="009C4552">
              <w:rPr>
                <w:rFonts w:ascii="Arial" w:hAnsi="Arial" w:cs="Arial"/>
                <w:color w:val="FF0000"/>
                <w:sz w:val="16"/>
                <w:szCs w:val="16"/>
              </w:rPr>
              <w:t xml:space="preserve"> and </w:t>
            </w:r>
            <w:r w:rsidRPr="009C4552">
              <w:rPr>
                <w:rFonts w:ascii="Arial" w:hAnsi="Arial" w:cs="Arial"/>
                <w:color w:val="FF0000"/>
                <w:sz w:val="16"/>
                <w:szCs w:val="16"/>
              </w:rPr>
              <w:fldChar w:fldCharType="begin"/>
            </w:r>
            <w:r w:rsidRPr="009C4552">
              <w:rPr>
                <w:rFonts w:ascii="Arial" w:hAnsi="Arial" w:cs="Arial"/>
                <w:color w:val="FF0000"/>
                <w:sz w:val="16"/>
                <w:szCs w:val="16"/>
              </w:rPr>
              <w:instrText xml:space="preserve"> QUOTE </w:instrText>
            </w:r>
            <w:r w:rsidR="00A6784C">
              <w:rPr>
                <w:rFonts w:ascii="Arial" w:hAnsi="Arial" w:cs="Arial"/>
                <w:position w:val="-4"/>
                <w:sz w:val="16"/>
                <w:szCs w:val="16"/>
              </w:rPr>
              <w:pict w14:anchorId="2BA65214">
                <v:shape id="_x0000_i1098" type="#_x0000_t75" style="width:8.25pt;height:11.25pt" equationxml="&lt;">
                  <v:imagedata r:id="rId780" o:title="" chromakey="white"/>
                </v:shape>
              </w:pict>
            </w:r>
            <w:r w:rsidRPr="009C4552">
              <w:rPr>
                <w:rFonts w:ascii="Arial" w:hAnsi="Arial" w:cs="Arial"/>
                <w:color w:val="FF0000"/>
                <w:sz w:val="16"/>
                <w:szCs w:val="16"/>
              </w:rPr>
              <w:instrText xml:space="preserve"> </w:instrText>
            </w:r>
            <w:r w:rsidRPr="009C4552">
              <w:rPr>
                <w:rFonts w:ascii="Arial" w:hAnsi="Arial" w:cs="Arial"/>
                <w:color w:val="FF0000"/>
                <w:sz w:val="16"/>
                <w:szCs w:val="16"/>
              </w:rPr>
              <w:fldChar w:fldCharType="separate"/>
            </w:r>
            <w:r w:rsidR="00A6784C">
              <w:rPr>
                <w:rFonts w:ascii="Arial" w:hAnsi="Arial" w:cs="Arial"/>
                <w:position w:val="-4"/>
                <w:sz w:val="16"/>
                <w:szCs w:val="16"/>
              </w:rPr>
              <w:pict w14:anchorId="26A78489">
                <v:shape id="_x0000_i1099" type="#_x0000_t75" style="width:8.25pt;height:11.25pt" equationxml="&lt;">
                  <v:imagedata r:id="rId780" o:title="" chromakey="white"/>
                </v:shape>
              </w:pict>
            </w:r>
            <w:r w:rsidRPr="009C4552">
              <w:rPr>
                <w:rFonts w:ascii="Arial" w:hAnsi="Arial" w:cs="Arial"/>
                <w:color w:val="FF0000"/>
                <w:sz w:val="16"/>
                <w:szCs w:val="16"/>
              </w:rPr>
              <w:fldChar w:fldCharType="end"/>
            </w:r>
            <w:r w:rsidRPr="009C4552">
              <w:rPr>
                <w:rFonts w:ascii="Arial" w:hAnsi="Arial" w:cs="Arial"/>
                <w:color w:val="FF0000"/>
                <w:sz w:val="16"/>
                <w:szCs w:val="16"/>
              </w:rPr>
              <w:t>,</w:t>
            </w:r>
            <w:r w:rsidRPr="009C4552">
              <w:rPr>
                <w:rFonts w:ascii="Arial" w:hAnsi="Arial" w:cs="Arial"/>
                <w:sz w:val="16"/>
                <w:szCs w:val="16"/>
              </w:rPr>
              <w:t xml:space="preserve"> </w:t>
            </w:r>
            <w:r w:rsidRPr="009C4552">
              <w:rPr>
                <w:rFonts w:ascii="Arial" w:hAnsi="Arial" w:cs="Arial"/>
                <w:iCs/>
                <w:sz w:val="16"/>
                <w:szCs w:val="16"/>
              </w:rPr>
              <w:t xml:space="preserve">and </w:t>
            </w:r>
            <w:r w:rsidRPr="009C4552">
              <w:rPr>
                <w:rFonts w:ascii="Arial" w:hAnsi="Arial" w:cs="Arial"/>
                <w:iCs/>
                <w:sz w:val="16"/>
                <w:szCs w:val="16"/>
                <w:lang w:eastAsia="ja-JP"/>
              </w:rPr>
              <w:t>the UE provides BFR MAC CE in Msg3 or MsgA of contention based random access procedure</w:t>
            </w:r>
            <w:r w:rsidRPr="009C4552">
              <w:rPr>
                <w:rFonts w:ascii="Arial" w:hAnsi="Arial" w:cs="Arial"/>
                <w:iCs/>
                <w:sz w:val="16"/>
                <w:szCs w:val="16"/>
              </w:rPr>
              <w:t xml:space="preserve">, after 28 symbols </w:t>
            </w:r>
            <w:r w:rsidRPr="009C4552">
              <w:rPr>
                <w:rFonts w:ascii="Arial" w:hAnsi="Arial" w:cs="Arial"/>
                <w:iCs/>
                <w:sz w:val="16"/>
                <w:szCs w:val="16"/>
                <w:lang w:eastAsia="ja-JP"/>
              </w:rPr>
              <w:t xml:space="preserve">from the last symbol of the PDCCH reception that determines the completion of the contention based random access </w:t>
            </w:r>
            <w:r w:rsidR="005A18DC">
              <w:rPr>
                <w:rFonts w:ascii="Arial" w:hAnsi="Arial" w:cs="Arial"/>
                <w:sz w:val="16"/>
                <w:szCs w:val="16"/>
              </w:rPr>
              <w:pict w14:anchorId="10810CE6">
                <v:rect id="Rectangle 916" o:spid="_x0000_s2248" style="position:absolute;margin-left:-56.65pt;margin-top:-70.8pt;width:27.75pt;height:15.75pt;z-index:251746304;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" filled="f" stroked="f">
                  <o:lock v:ext="edit" aspectratio="t"/>
                </v:rect>
              </w:pict>
            </w:r>
            <w:r w:rsidRPr="009C4552">
              <w:rPr>
                <w:rFonts w:ascii="Arial" w:hAnsi="Arial" w:cs="Arial"/>
                <w:iCs/>
                <w:sz w:val="16"/>
                <w:szCs w:val="16"/>
                <w:lang w:eastAsia="ja-JP"/>
              </w:rPr>
              <w:t>procedure as described in [11, TS 38.321]</w:t>
            </w:r>
            <w:r w:rsidRPr="009C4552">
              <w:rPr>
                <w:rFonts w:ascii="Arial" w:hAnsi="Arial" w:cs="Arial"/>
                <w:sz w:val="16"/>
                <w:szCs w:val="16"/>
              </w:rPr>
              <w:t>, the UE</w:t>
            </w:r>
          </w:p>
          <w:p w14:paraId="18DE0A36" w14:textId="77777777" w:rsidR="009C4552" w:rsidRPr="009C4552" w:rsidRDefault="009C4552" w:rsidP="009C4552">
            <w:pPr>
              <w:pStyle w:val="B1"/>
              <w:spacing w:after="0"/>
              <w:rPr>
                <w:rFonts w:ascii="Arial" w:hAnsi="Arial" w:cs="Arial"/>
                <w:iCs/>
                <w:sz w:val="16"/>
                <w:szCs w:val="16"/>
              </w:rPr>
            </w:pPr>
            <w:r w:rsidRPr="009C4552">
              <w:rPr>
                <w:rFonts w:ascii="Arial" w:hAnsi="Arial" w:cs="Arial"/>
                <w:sz w:val="16"/>
                <w:szCs w:val="16"/>
              </w:rPr>
              <w:t>-</w:t>
            </w:r>
            <w:r w:rsidRPr="009C4552">
              <w:rPr>
                <w:rFonts w:ascii="Arial" w:hAnsi="Arial" w:cs="Arial"/>
                <w:sz w:val="16"/>
                <w:szCs w:val="16"/>
              </w:rPr>
              <w:tab/>
              <w:t xml:space="preserve">if </w:t>
            </w:r>
            <w:r w:rsidRPr="009C4552">
              <w:rPr>
                <w:rFonts w:ascii="Arial" w:hAnsi="Arial" w:cs="Arial"/>
                <w:i/>
                <w:sz w:val="16"/>
                <w:szCs w:val="16"/>
                <w:lang w:eastAsia="sv-SE"/>
              </w:rPr>
              <w:t>SSB-MTC-AdditionalPCI</w:t>
            </w:r>
            <w:r w:rsidRPr="009C4552">
              <w:rPr>
                <w:rFonts w:ascii="Arial" w:hAnsi="Arial" w:cs="Arial"/>
                <w:sz w:val="16"/>
                <w:szCs w:val="16"/>
              </w:rPr>
              <w:t xml:space="preserve"> is not provided, monitors PDCCH in all CORESETs, and receives PDSCH and aperiodic CSI-RS resource in a CSI-RS resource set with same indicated TCI state as for the PDCCH and PDSCH using the </w:t>
            </w:r>
            <w:r w:rsidRPr="009C4552">
              <w:rPr>
                <w:rFonts w:ascii="Arial" w:hAnsi="Arial" w:cs="Arial"/>
                <w:iCs/>
                <w:sz w:val="16"/>
                <w:szCs w:val="16"/>
                <w:lang w:eastAsia="ja-JP"/>
              </w:rPr>
              <w:t xml:space="preserve">same antenna port quasi co-location parameters as the ones associated with the corresponding index </w:t>
            </w:r>
            <w:r w:rsidRPr="009C4552">
              <w:rPr>
                <w:rFonts w:ascii="Arial" w:hAnsi="Arial" w:cs="Arial"/>
                <w:iCs/>
                <w:sz w:val="16"/>
                <w:szCs w:val="16"/>
              </w:rPr>
              <w:fldChar w:fldCharType="begin"/>
            </w:r>
            <w:r w:rsidRPr="009C4552">
              <w:rPr>
                <w:rFonts w:ascii="Arial" w:hAnsi="Arial" w:cs="Arial"/>
                <w:iCs/>
                <w:sz w:val="16"/>
                <w:szCs w:val="16"/>
              </w:rPr>
              <w:instrText xml:space="preserve"> QUOTE </w:instrText>
            </w:r>
            <w:r w:rsidR="00A6784C">
              <w:rPr>
                <w:rFonts w:ascii="Arial" w:hAnsi="Arial" w:cs="Arial"/>
                <w:position w:val="-4"/>
                <w:sz w:val="16"/>
                <w:szCs w:val="16"/>
              </w:rPr>
              <w:pict w14:anchorId="03944940">
                <v:shape id="_x0000_i1100" type="#_x0000_t75" style="width:15.75pt;height:11.25pt" equationxml="&lt;">
                  <v:imagedata r:id="rId781" o:title="" chromakey="white"/>
                </v:shape>
              </w:pict>
            </w:r>
            <w:r w:rsidRPr="009C4552">
              <w:rPr>
                <w:rFonts w:ascii="Arial" w:hAnsi="Arial" w:cs="Arial"/>
                <w:iCs/>
                <w:sz w:val="16"/>
                <w:szCs w:val="16"/>
              </w:rPr>
              <w:instrText xml:space="preserve"> </w:instrText>
            </w:r>
            <w:r w:rsidRPr="009C4552">
              <w:rPr>
                <w:rFonts w:ascii="Arial" w:hAnsi="Arial" w:cs="Arial"/>
                <w:iCs/>
                <w:sz w:val="16"/>
                <w:szCs w:val="16"/>
              </w:rPr>
              <w:fldChar w:fldCharType="separate"/>
            </w:r>
            <w:r w:rsidR="00A6784C">
              <w:rPr>
                <w:rFonts w:ascii="Arial" w:hAnsi="Arial" w:cs="Arial"/>
                <w:position w:val="-4"/>
                <w:sz w:val="16"/>
                <w:szCs w:val="16"/>
              </w:rPr>
              <w:pict w14:anchorId="6ACAC8AE">
                <v:shape id="_x0000_i1101" type="#_x0000_t75" style="width:15.75pt;height:11.25pt" equationxml="&lt;">
                  <v:imagedata r:id="rId781" o:title="" chromakey="white"/>
                </v:shape>
              </w:pict>
            </w:r>
            <w:r w:rsidRPr="009C4552">
              <w:rPr>
                <w:rFonts w:ascii="Arial" w:hAnsi="Arial" w:cs="Arial"/>
                <w:iCs/>
                <w:sz w:val="16"/>
                <w:szCs w:val="16"/>
              </w:rPr>
              <w:fldChar w:fldCharType="end"/>
            </w:r>
            <w:r w:rsidRPr="009C4552">
              <w:rPr>
                <w:rFonts w:ascii="Arial" w:hAnsi="Arial" w:cs="Arial"/>
                <w:iCs/>
                <w:sz w:val="16"/>
                <w:szCs w:val="16"/>
              </w:rPr>
              <w:t>, if any</w:t>
            </w:r>
          </w:p>
          <w:p w14:paraId="193A65D4" w14:textId="77777777" w:rsidR="009C4552" w:rsidRPr="009C4552" w:rsidRDefault="009C4552" w:rsidP="009C4552">
            <w:pPr>
              <w:pStyle w:val="B1"/>
              <w:spacing w:after="0"/>
              <w:rPr>
                <w:rFonts w:ascii="Arial" w:hAnsi="Arial" w:cs="Arial"/>
                <w:iCs/>
                <w:sz w:val="16"/>
                <w:szCs w:val="16"/>
              </w:rPr>
            </w:pPr>
            <w:r w:rsidRPr="009C4552">
              <w:rPr>
                <w:rFonts w:ascii="Arial" w:hAnsi="Arial" w:cs="Arial"/>
                <w:sz w:val="16"/>
                <w:szCs w:val="16"/>
              </w:rPr>
              <w:t>-</w:t>
            </w:r>
            <w:r w:rsidRPr="009C4552">
              <w:rPr>
                <w:rFonts w:ascii="Arial" w:hAnsi="Arial" w:cs="Arial"/>
                <w:sz w:val="16"/>
                <w:szCs w:val="16"/>
              </w:rPr>
              <w:tab/>
              <w:t>transmits PUSCH, PUCCH and SRS that uses a same spatial domain filter with same indicated TCI state as for the PUSCH and PUCCH</w:t>
            </w:r>
            <w:r w:rsidRPr="009C4552">
              <w:rPr>
                <w:rFonts w:ascii="Arial" w:hAnsi="Arial" w:cs="Arial"/>
                <w:iCs/>
                <w:sz w:val="16"/>
                <w:szCs w:val="16"/>
              </w:rPr>
              <w:t xml:space="preserve">, </w:t>
            </w:r>
            <w:r w:rsidRPr="009C4552">
              <w:rPr>
                <w:rFonts w:ascii="Arial" w:hAnsi="Arial" w:cs="Arial"/>
                <w:sz w:val="16"/>
                <w:szCs w:val="16"/>
              </w:rPr>
              <w:t>using a same spatial domain filter</w:t>
            </w:r>
            <w:r w:rsidRPr="009C4552">
              <w:rPr>
                <w:rFonts w:ascii="Arial" w:hAnsi="Arial" w:cs="Arial"/>
                <w:iCs/>
                <w:sz w:val="16"/>
                <w:szCs w:val="16"/>
              </w:rPr>
              <w:t xml:space="preserve"> as for the last PRACH transmission using the following parameters for determination of a corresponding power as described in clauses 7.1.1, 7.2.1, and 7.3.1 </w:t>
            </w:r>
          </w:p>
          <w:p w14:paraId="70612FEF" w14:textId="77777777" w:rsidR="009C4552" w:rsidRPr="009C4552" w:rsidRDefault="009C4552" w:rsidP="009C4552">
            <w:pPr>
              <w:pStyle w:val="B2"/>
              <w:spacing w:after="0"/>
              <w:rPr>
                <w:rFonts w:ascii="Arial" w:hAnsi="Arial" w:cs="Arial"/>
                <w:sz w:val="16"/>
                <w:szCs w:val="16"/>
                <w:lang w:val="en-US"/>
              </w:rPr>
            </w:pPr>
            <w:r w:rsidRPr="009C4552">
              <w:rPr>
                <w:rFonts w:ascii="Arial" w:hAnsi="Arial" w:cs="Arial"/>
                <w:sz w:val="16"/>
                <w:szCs w:val="16"/>
                <w:lang w:val="en-US"/>
              </w:rPr>
              <w:t>-</w:t>
            </w:r>
            <w:r w:rsidRPr="009C4552">
              <w:rPr>
                <w:rFonts w:ascii="Arial" w:hAnsi="Arial" w:cs="Arial"/>
                <w:sz w:val="16"/>
                <w:szCs w:val="16"/>
                <w:lang w:val="en-US"/>
              </w:rPr>
              <w:tab/>
              <w:t>the RS index</w:t>
            </w:r>
            <w:r w:rsidRPr="009C4552">
              <w:rPr>
                <w:rFonts w:ascii="Arial" w:hAnsi="Arial" w:cs="Arial"/>
                <w:sz w:val="16"/>
                <w:szCs w:val="16"/>
                <w:lang w:val="en-US" w:eastAsia="zh-CN"/>
              </w:rPr>
              <w:t xml:space="preserve"> </w:t>
            </w:r>
            <w:r w:rsidRPr="009C4552">
              <w:rPr>
                <w:rFonts w:ascii="Arial" w:hAnsi="Arial" w:cs="Arial"/>
                <w:sz w:val="16"/>
                <w:szCs w:val="16"/>
                <w:lang w:val="en-US"/>
              </w:rPr>
              <w:fldChar w:fldCharType="begin"/>
            </w:r>
            <w:r w:rsidRPr="009C4552">
              <w:rPr>
                <w:rFonts w:ascii="Arial" w:hAnsi="Arial" w:cs="Arial"/>
                <w:sz w:val="16"/>
                <w:szCs w:val="16"/>
                <w:lang w:val="en-US"/>
              </w:rPr>
              <w:instrText xml:space="preserve"> QUOTE </w:instrText>
            </w:r>
            <w:r w:rsidR="00A6784C">
              <w:rPr>
                <w:rFonts w:ascii="Arial" w:hAnsi="Arial" w:cs="Arial"/>
                <w:position w:val="-4"/>
                <w:sz w:val="16"/>
                <w:szCs w:val="16"/>
              </w:rPr>
              <w:pict w14:anchorId="0081B067">
                <v:shape id="_x0000_i1102" type="#_x0000_t75" style="width:39pt;height:11.25pt" equationxml="&lt;">
                  <v:imagedata r:id="rId782" o:title="" chromakey="white"/>
                </v:shape>
              </w:pict>
            </w:r>
            <w:r w:rsidRPr="009C4552">
              <w:rPr>
                <w:rFonts w:ascii="Arial" w:hAnsi="Arial" w:cs="Arial"/>
                <w:sz w:val="16"/>
                <w:szCs w:val="16"/>
                <w:lang w:val="en-US"/>
              </w:rPr>
              <w:instrText xml:space="preserve"> </w:instrText>
            </w:r>
            <w:r w:rsidRPr="009C4552">
              <w:rPr>
                <w:rFonts w:ascii="Arial" w:hAnsi="Arial" w:cs="Arial"/>
                <w:sz w:val="16"/>
                <w:szCs w:val="16"/>
                <w:lang w:val="en-US"/>
              </w:rPr>
              <w:fldChar w:fldCharType="separate"/>
            </w:r>
            <w:r w:rsidR="00A6784C">
              <w:rPr>
                <w:rFonts w:ascii="Arial" w:hAnsi="Arial" w:cs="Arial"/>
                <w:position w:val="-4"/>
                <w:sz w:val="16"/>
                <w:szCs w:val="16"/>
              </w:rPr>
              <w:pict w14:anchorId="0A591632">
                <v:shape id="_x0000_i1103" type="#_x0000_t75" style="width:39pt;height:11.25pt" equationxml="&lt;">
                  <v:imagedata r:id="rId782" o:title="" chromakey="white"/>
                </v:shape>
              </w:pict>
            </w:r>
            <w:r w:rsidRPr="009C4552">
              <w:rPr>
                <w:rFonts w:ascii="Arial" w:hAnsi="Arial" w:cs="Arial"/>
                <w:sz w:val="16"/>
                <w:szCs w:val="16"/>
                <w:lang w:val="en-US"/>
              </w:rPr>
              <w:fldChar w:fldCharType="end"/>
            </w:r>
            <w:r w:rsidRPr="009C4552">
              <w:rPr>
                <w:rFonts w:ascii="Arial" w:hAnsi="Arial" w:cs="Arial"/>
                <w:sz w:val="16"/>
                <w:szCs w:val="16"/>
                <w:lang w:val="en-US"/>
              </w:rPr>
              <w:t xml:space="preserve"> for obtaining the downlink pathloss estimate</w:t>
            </w:r>
          </w:p>
          <w:p w14:paraId="5B78CD52" w14:textId="77777777" w:rsidR="009C4552" w:rsidRPr="009C4552" w:rsidRDefault="009C4552" w:rsidP="009C4552">
            <w:pPr>
              <w:pStyle w:val="B2"/>
              <w:spacing w:after="0"/>
              <w:rPr>
                <w:rFonts w:ascii="Arial" w:hAnsi="Arial" w:cs="Arial"/>
                <w:b/>
                <w:i/>
                <w:sz w:val="16"/>
                <w:szCs w:val="16"/>
                <w:lang w:val="en-US"/>
              </w:rPr>
            </w:pPr>
            <w:r w:rsidRPr="009C4552">
              <w:rPr>
                <w:rFonts w:ascii="Arial" w:hAnsi="Arial" w:cs="Arial"/>
                <w:sz w:val="16"/>
                <w:szCs w:val="16"/>
                <w:lang w:val="en-US"/>
              </w:rPr>
              <w:t>-</w:t>
            </w:r>
            <w:r w:rsidRPr="009C4552">
              <w:rPr>
                <w:rFonts w:ascii="Arial" w:hAnsi="Arial" w:cs="Arial"/>
                <w:sz w:val="16"/>
                <w:szCs w:val="16"/>
                <w:lang w:val="en-US"/>
              </w:rPr>
              <w:tab/>
            </w:r>
            <w:r w:rsidRPr="009C4552">
              <w:rPr>
                <w:rFonts w:ascii="Arial" w:hAnsi="Arial" w:cs="Arial"/>
                <w:sz w:val="16"/>
                <w:szCs w:val="16"/>
                <w:lang w:val="en-US" w:eastAsia="ko-KR"/>
              </w:rPr>
              <w:t xml:space="preserve">the values of </w:t>
            </w:r>
            <w:r w:rsidRPr="009C4552">
              <w:rPr>
                <w:rFonts w:ascii="Arial" w:hAnsi="Arial" w:cs="Arial"/>
                <w:sz w:val="16"/>
                <w:szCs w:val="16"/>
                <w:lang w:val="en-US"/>
              </w:rPr>
              <w:fldChar w:fldCharType="begin"/>
            </w:r>
            <w:r w:rsidRPr="009C4552">
              <w:rPr>
                <w:rFonts w:ascii="Arial" w:hAnsi="Arial" w:cs="Arial"/>
                <w:sz w:val="16"/>
                <w:szCs w:val="16"/>
                <w:lang w:val="en-US"/>
              </w:rPr>
              <w:instrText xml:space="preserve"> QUOTE </w:instrText>
            </w:r>
            <w:r w:rsidR="005A18DC">
              <w:rPr>
                <w:rFonts w:ascii="Arial" w:hAnsi="Arial" w:cs="Arial"/>
                <w:position w:val="-6"/>
                <w:sz w:val="16"/>
                <w:szCs w:val="16"/>
              </w:rPr>
              <w:pict w14:anchorId="16B5272D">
                <v:shape id="_x0000_i1104" type="#_x0000_t75" style="width:1in;height:12pt" equationxml="&lt;">
                  <v:imagedata r:id="rId783" o:title="" chromakey="white"/>
                </v:shape>
              </w:pict>
            </w:r>
            <w:r w:rsidRPr="009C4552">
              <w:rPr>
                <w:rFonts w:ascii="Arial" w:hAnsi="Arial" w:cs="Arial"/>
                <w:sz w:val="16"/>
                <w:szCs w:val="16"/>
                <w:lang w:val="en-US"/>
              </w:rPr>
              <w:instrText xml:space="preserve"> </w:instrText>
            </w:r>
            <w:r w:rsidRPr="009C4552">
              <w:rPr>
                <w:rFonts w:ascii="Arial" w:hAnsi="Arial" w:cs="Arial"/>
                <w:sz w:val="16"/>
                <w:szCs w:val="16"/>
                <w:lang w:val="en-US"/>
              </w:rPr>
              <w:fldChar w:fldCharType="separate"/>
            </w:r>
            <w:r w:rsidR="005A18DC">
              <w:rPr>
                <w:rFonts w:ascii="Arial" w:hAnsi="Arial" w:cs="Arial"/>
                <w:position w:val="-6"/>
                <w:sz w:val="16"/>
                <w:szCs w:val="16"/>
              </w:rPr>
              <w:pict w14:anchorId="3EACB25E">
                <v:shape id="_x0000_i1105" type="#_x0000_t75" style="width:1in;height:12pt" equationxml="&lt;">
                  <v:imagedata r:id="rId783" o:title="" chromakey="white"/>
                </v:shape>
              </w:pict>
            </w:r>
            <w:r w:rsidRPr="009C4552">
              <w:rPr>
                <w:rFonts w:ascii="Arial" w:hAnsi="Arial" w:cs="Arial"/>
                <w:sz w:val="16"/>
                <w:szCs w:val="16"/>
                <w:lang w:val="en-US"/>
              </w:rPr>
              <w:fldChar w:fldCharType="end"/>
            </w:r>
            <w:r w:rsidRPr="009C4552">
              <w:rPr>
                <w:rFonts w:ascii="Arial" w:hAnsi="Arial" w:cs="Arial"/>
                <w:sz w:val="16"/>
                <w:szCs w:val="16"/>
                <w:lang w:val="en-US"/>
              </w:rPr>
              <w:t xml:space="preserve">, </w:t>
            </w:r>
            <w:r w:rsidRPr="009C4552">
              <w:rPr>
                <w:rFonts w:ascii="Arial" w:hAnsi="Arial" w:cs="Arial"/>
                <w:sz w:val="16"/>
                <w:szCs w:val="16"/>
                <w:lang w:val="en-US"/>
              </w:rPr>
              <w:fldChar w:fldCharType="begin"/>
            </w:r>
            <w:r w:rsidRPr="009C4552">
              <w:rPr>
                <w:rFonts w:ascii="Arial" w:hAnsi="Arial" w:cs="Arial"/>
                <w:sz w:val="16"/>
                <w:szCs w:val="16"/>
                <w:lang w:val="en-US"/>
              </w:rPr>
              <w:instrText xml:space="preserve"> QUOTE </w:instrText>
            </w:r>
            <w:r w:rsidR="00A6784C">
              <w:rPr>
                <w:rFonts w:ascii="Arial" w:hAnsi="Arial" w:cs="Arial"/>
                <w:position w:val="-6"/>
                <w:sz w:val="16"/>
                <w:szCs w:val="16"/>
              </w:rPr>
              <w:pict w14:anchorId="02438726">
                <v:shape id="_x0000_i1106" type="#_x0000_t75" style="width:31.5pt;height:11.25pt" equationxml="&lt;">
                  <v:imagedata r:id="rId784" o:title="" chromakey="white"/>
                </v:shape>
              </w:pict>
            </w:r>
            <w:r w:rsidRPr="009C4552">
              <w:rPr>
                <w:rFonts w:ascii="Arial" w:hAnsi="Arial" w:cs="Arial"/>
                <w:sz w:val="16"/>
                <w:szCs w:val="16"/>
                <w:lang w:val="en-US"/>
              </w:rPr>
              <w:instrText xml:space="preserve"> </w:instrText>
            </w:r>
            <w:r w:rsidRPr="009C4552">
              <w:rPr>
                <w:rFonts w:ascii="Arial" w:hAnsi="Arial" w:cs="Arial"/>
                <w:sz w:val="16"/>
                <w:szCs w:val="16"/>
                <w:lang w:val="en-US"/>
              </w:rPr>
              <w:fldChar w:fldCharType="separate"/>
            </w:r>
            <w:r w:rsidR="00A6784C">
              <w:rPr>
                <w:rFonts w:ascii="Arial" w:hAnsi="Arial" w:cs="Arial"/>
                <w:position w:val="-6"/>
                <w:sz w:val="16"/>
                <w:szCs w:val="16"/>
              </w:rPr>
              <w:pict w14:anchorId="73A46111">
                <v:shape id="_x0000_i1107" type="#_x0000_t75" style="width:31.5pt;height:11.25pt" equationxml="&lt;">
                  <v:imagedata r:id="rId784" o:title="" chromakey="white"/>
                </v:shape>
              </w:pict>
            </w:r>
            <w:r w:rsidRPr="009C4552">
              <w:rPr>
                <w:rFonts w:ascii="Arial" w:hAnsi="Arial" w:cs="Arial"/>
                <w:sz w:val="16"/>
                <w:szCs w:val="16"/>
                <w:lang w:val="en-US"/>
              </w:rPr>
              <w:fldChar w:fldCharType="end"/>
            </w:r>
            <w:r w:rsidRPr="009C4552">
              <w:rPr>
                <w:rFonts w:ascii="Arial" w:hAnsi="Arial" w:cs="Arial"/>
                <w:sz w:val="16"/>
                <w:szCs w:val="16"/>
                <w:lang w:val="en-US"/>
              </w:rPr>
              <w:t xml:space="preserve">, and the PUSCH power control adjustment state </w:t>
            </w:r>
            <w:r w:rsidRPr="009C4552">
              <w:rPr>
                <w:rFonts w:ascii="Arial" w:hAnsi="Arial" w:cs="Arial"/>
                <w:sz w:val="16"/>
                <w:szCs w:val="16"/>
                <w:lang w:val="en-US"/>
              </w:rPr>
              <w:fldChar w:fldCharType="begin"/>
            </w:r>
            <w:r w:rsidRPr="009C4552">
              <w:rPr>
                <w:rFonts w:ascii="Arial" w:hAnsi="Arial" w:cs="Arial"/>
                <w:sz w:val="16"/>
                <w:szCs w:val="16"/>
                <w:lang w:val="en-US"/>
              </w:rPr>
              <w:instrText xml:space="preserve"> QUOTE </w:instrText>
            </w:r>
            <w:r w:rsidR="00A6784C">
              <w:rPr>
                <w:rFonts w:ascii="Arial" w:hAnsi="Arial" w:cs="Arial"/>
                <w:position w:val="-4"/>
                <w:sz w:val="16"/>
                <w:szCs w:val="16"/>
              </w:rPr>
              <w:pict w14:anchorId="042CC616">
                <v:shape id="_x0000_i1108" type="#_x0000_t75" style="width:3pt;height:11.25pt" equationxml="&lt;">
                  <v:imagedata r:id="rId785" o:title="" chromakey="white"/>
                </v:shape>
              </w:pict>
            </w:r>
            <w:r w:rsidRPr="009C4552">
              <w:rPr>
                <w:rFonts w:ascii="Arial" w:hAnsi="Arial" w:cs="Arial"/>
                <w:sz w:val="16"/>
                <w:szCs w:val="16"/>
                <w:lang w:val="en-US"/>
              </w:rPr>
              <w:instrText xml:space="preserve"> </w:instrText>
            </w:r>
            <w:r w:rsidRPr="009C4552">
              <w:rPr>
                <w:rFonts w:ascii="Arial" w:hAnsi="Arial" w:cs="Arial"/>
                <w:sz w:val="16"/>
                <w:szCs w:val="16"/>
                <w:lang w:val="en-US"/>
              </w:rPr>
              <w:fldChar w:fldCharType="separate"/>
            </w:r>
            <w:r w:rsidR="00A6784C">
              <w:rPr>
                <w:rFonts w:ascii="Arial" w:hAnsi="Arial" w:cs="Arial"/>
                <w:position w:val="-4"/>
                <w:sz w:val="16"/>
                <w:szCs w:val="16"/>
              </w:rPr>
              <w:pict w14:anchorId="44B7FC9A">
                <v:shape id="_x0000_i1109" type="#_x0000_t75" style="width:3pt;height:11.25pt" equationxml="&lt;">
                  <v:imagedata r:id="rId785" o:title="" chromakey="white"/>
                </v:shape>
              </w:pict>
            </w:r>
            <w:r w:rsidRPr="009C4552">
              <w:rPr>
                <w:rFonts w:ascii="Arial" w:hAnsi="Arial" w:cs="Arial"/>
                <w:sz w:val="16"/>
                <w:szCs w:val="16"/>
                <w:lang w:val="en-US"/>
              </w:rPr>
              <w:fldChar w:fldCharType="end"/>
            </w:r>
            <w:r w:rsidRPr="009C4552">
              <w:rPr>
                <w:rFonts w:ascii="Arial" w:hAnsi="Arial" w:cs="Arial"/>
                <w:sz w:val="16"/>
                <w:szCs w:val="16"/>
                <w:lang w:val="en-US"/>
              </w:rPr>
              <w:t xml:space="preserve"> provided by </w:t>
            </w:r>
            <w:r w:rsidRPr="009C4552">
              <w:rPr>
                <w:rFonts w:ascii="Arial" w:hAnsi="Arial" w:cs="Arial"/>
                <w:i/>
                <w:sz w:val="16"/>
                <w:szCs w:val="16"/>
                <w:lang w:val="en-US"/>
              </w:rPr>
              <w:t>p0AlphaSetforPUSCH</w:t>
            </w:r>
            <w:r w:rsidRPr="009C4552">
              <w:rPr>
                <w:rFonts w:ascii="Arial" w:hAnsi="Arial" w:cs="Arial"/>
                <w:sz w:val="16"/>
                <w:szCs w:val="16"/>
                <w:lang w:val="en-US"/>
              </w:rPr>
              <w:t xml:space="preserve"> associated </w:t>
            </w:r>
            <w:r w:rsidRPr="009C4552">
              <w:rPr>
                <w:rFonts w:ascii="Arial" w:hAnsi="Arial" w:cs="Arial"/>
                <w:sz w:val="16"/>
                <w:szCs w:val="16"/>
                <w:lang w:val="en-US" w:eastAsia="zh-CN"/>
              </w:rPr>
              <w:t xml:space="preserve">with the smallest value of </w:t>
            </w:r>
            <w:r w:rsidRPr="009C4552">
              <w:rPr>
                <w:rFonts w:ascii="Arial" w:hAnsi="Arial" w:cs="Arial"/>
                <w:i/>
                <w:sz w:val="16"/>
                <w:szCs w:val="16"/>
                <w:lang w:val="en-US"/>
              </w:rPr>
              <w:t>ul-powercontrolId</w:t>
            </w:r>
            <w:r w:rsidRPr="009C4552">
              <w:rPr>
                <w:rFonts w:ascii="Arial" w:hAnsi="Arial" w:cs="Arial"/>
                <w:sz w:val="16"/>
                <w:szCs w:val="16"/>
                <w:lang w:val="en-US" w:eastAsia="zh-CN"/>
              </w:rPr>
              <w:t xml:space="preserve"> for the </w:t>
            </w:r>
            <w:r w:rsidRPr="009C4552">
              <w:rPr>
                <w:rFonts w:ascii="Arial" w:hAnsi="Arial" w:cs="Arial"/>
                <w:sz w:val="16"/>
                <w:szCs w:val="16"/>
                <w:lang w:val="en-US"/>
              </w:rPr>
              <w:t>PCell or the PSCell</w:t>
            </w:r>
          </w:p>
          <w:p w14:paraId="4469B967" w14:textId="77777777" w:rsidR="009C4552" w:rsidRPr="009C4552" w:rsidRDefault="009C4552" w:rsidP="009C4552">
            <w:pPr>
              <w:pStyle w:val="B2"/>
              <w:spacing w:after="0"/>
              <w:rPr>
                <w:rFonts w:ascii="Arial" w:hAnsi="Arial" w:cs="Arial"/>
                <w:sz w:val="16"/>
                <w:szCs w:val="16"/>
                <w:lang w:val="en-US" w:eastAsia="zh-CN"/>
              </w:rPr>
            </w:pPr>
            <w:r w:rsidRPr="009C4552">
              <w:rPr>
                <w:rFonts w:ascii="Arial" w:hAnsi="Arial" w:cs="Arial"/>
                <w:sz w:val="16"/>
                <w:szCs w:val="16"/>
                <w:lang w:val="en-US"/>
              </w:rPr>
              <w:t>-</w:t>
            </w:r>
            <w:r w:rsidRPr="009C4552">
              <w:rPr>
                <w:rFonts w:ascii="Arial" w:hAnsi="Arial" w:cs="Arial"/>
                <w:sz w:val="16"/>
                <w:szCs w:val="16"/>
                <w:lang w:val="en-US"/>
              </w:rPr>
              <w:tab/>
            </w:r>
            <w:r w:rsidRPr="009C4552">
              <w:rPr>
                <w:rFonts w:ascii="Arial" w:hAnsi="Arial" w:cs="Arial"/>
                <w:sz w:val="16"/>
                <w:szCs w:val="16"/>
                <w:lang w:val="en-US" w:eastAsia="ko-KR"/>
              </w:rPr>
              <w:t xml:space="preserve">the value of </w:t>
            </w:r>
            <w:r w:rsidRPr="009C4552">
              <w:rPr>
                <w:rFonts w:ascii="Arial" w:hAnsi="Arial" w:cs="Arial"/>
                <w:sz w:val="16"/>
                <w:szCs w:val="16"/>
                <w:lang w:val="en-US"/>
              </w:rPr>
              <w:fldChar w:fldCharType="begin"/>
            </w:r>
            <w:r w:rsidRPr="009C4552">
              <w:rPr>
                <w:rFonts w:ascii="Arial" w:hAnsi="Arial" w:cs="Arial"/>
                <w:sz w:val="16"/>
                <w:szCs w:val="16"/>
                <w:lang w:val="en-US"/>
              </w:rPr>
              <w:instrText xml:space="preserve"> QUOTE </w:instrText>
            </w:r>
            <w:r w:rsidR="00A6784C">
              <w:rPr>
                <w:rFonts w:ascii="Arial" w:hAnsi="Arial" w:cs="Arial"/>
                <w:position w:val="-6"/>
                <w:sz w:val="16"/>
                <w:szCs w:val="16"/>
              </w:rPr>
              <w:pict w14:anchorId="61628C24">
                <v:shape id="_x0000_i1110" type="#_x0000_t75" style="width:63.75pt;height:12pt" equationxml="&lt;">
                  <v:imagedata r:id="rId786" o:title="" chromakey="white"/>
                </v:shape>
              </w:pict>
            </w:r>
            <w:r w:rsidRPr="009C4552">
              <w:rPr>
                <w:rFonts w:ascii="Arial" w:hAnsi="Arial" w:cs="Arial"/>
                <w:sz w:val="16"/>
                <w:szCs w:val="16"/>
                <w:lang w:val="en-US"/>
              </w:rPr>
              <w:instrText xml:space="preserve"> </w:instrText>
            </w:r>
            <w:r w:rsidRPr="009C4552">
              <w:rPr>
                <w:rFonts w:ascii="Arial" w:hAnsi="Arial" w:cs="Arial"/>
                <w:sz w:val="16"/>
                <w:szCs w:val="16"/>
                <w:lang w:val="en-US"/>
              </w:rPr>
              <w:fldChar w:fldCharType="separate"/>
            </w:r>
            <w:r w:rsidR="00A6784C">
              <w:rPr>
                <w:rFonts w:ascii="Arial" w:hAnsi="Arial" w:cs="Arial"/>
                <w:position w:val="-6"/>
                <w:sz w:val="16"/>
                <w:szCs w:val="16"/>
              </w:rPr>
              <w:pict w14:anchorId="1CA72602">
                <v:shape id="_x0000_i1111" type="#_x0000_t75" style="width:63.75pt;height:12pt" equationxml="&lt;">
                  <v:imagedata r:id="rId786" o:title="" chromakey="white"/>
                </v:shape>
              </w:pict>
            </w:r>
            <w:r w:rsidRPr="009C4552">
              <w:rPr>
                <w:rFonts w:ascii="Arial" w:hAnsi="Arial" w:cs="Arial"/>
                <w:sz w:val="16"/>
                <w:szCs w:val="16"/>
                <w:lang w:val="en-US"/>
              </w:rPr>
              <w:fldChar w:fldCharType="end"/>
            </w:r>
            <w:r w:rsidRPr="009C4552">
              <w:rPr>
                <w:rFonts w:ascii="Arial" w:hAnsi="Arial" w:cs="Arial"/>
                <w:sz w:val="16"/>
                <w:szCs w:val="16"/>
                <w:lang w:val="en-US"/>
              </w:rPr>
              <w:t xml:space="preserve"> and the PUCCH power control adjustment state </w:t>
            </w:r>
            <w:r w:rsidRPr="009C4552">
              <w:rPr>
                <w:rFonts w:ascii="Arial" w:hAnsi="Arial" w:cs="Arial"/>
                <w:sz w:val="16"/>
                <w:szCs w:val="16"/>
                <w:lang w:val="en-US"/>
              </w:rPr>
              <w:fldChar w:fldCharType="begin"/>
            </w:r>
            <w:r w:rsidRPr="009C4552">
              <w:rPr>
                <w:rFonts w:ascii="Arial" w:hAnsi="Arial" w:cs="Arial"/>
                <w:sz w:val="16"/>
                <w:szCs w:val="16"/>
                <w:lang w:val="en-US"/>
              </w:rPr>
              <w:instrText xml:space="preserve"> QUOTE </w:instrText>
            </w:r>
            <w:r w:rsidR="00A6784C">
              <w:rPr>
                <w:rFonts w:ascii="Arial" w:hAnsi="Arial" w:cs="Arial"/>
                <w:position w:val="-4"/>
                <w:sz w:val="16"/>
                <w:szCs w:val="16"/>
              </w:rPr>
              <w:pict w14:anchorId="5369E7E7">
                <v:shape id="_x0000_i1112" type="#_x0000_t75" style="width:3pt;height:11.25pt" equationxml="&lt;">
                  <v:imagedata r:id="rId785" o:title="" chromakey="white"/>
                </v:shape>
              </w:pict>
            </w:r>
            <w:r w:rsidRPr="009C4552">
              <w:rPr>
                <w:rFonts w:ascii="Arial" w:hAnsi="Arial" w:cs="Arial"/>
                <w:sz w:val="16"/>
                <w:szCs w:val="16"/>
                <w:lang w:val="en-US"/>
              </w:rPr>
              <w:instrText xml:space="preserve"> </w:instrText>
            </w:r>
            <w:r w:rsidRPr="009C4552">
              <w:rPr>
                <w:rFonts w:ascii="Arial" w:hAnsi="Arial" w:cs="Arial"/>
                <w:sz w:val="16"/>
                <w:szCs w:val="16"/>
                <w:lang w:val="en-US"/>
              </w:rPr>
              <w:fldChar w:fldCharType="separate"/>
            </w:r>
            <w:r w:rsidR="00A6784C">
              <w:rPr>
                <w:rFonts w:ascii="Arial" w:hAnsi="Arial" w:cs="Arial"/>
                <w:position w:val="-4"/>
                <w:sz w:val="16"/>
                <w:szCs w:val="16"/>
              </w:rPr>
              <w:pict w14:anchorId="20F26635">
                <v:shape id="_x0000_i1113" type="#_x0000_t75" style="width:3pt;height:11.25pt" equationxml="&lt;">
                  <v:imagedata r:id="rId785" o:title="" chromakey="white"/>
                </v:shape>
              </w:pict>
            </w:r>
            <w:r w:rsidRPr="009C4552">
              <w:rPr>
                <w:rFonts w:ascii="Arial" w:hAnsi="Arial" w:cs="Arial"/>
                <w:sz w:val="16"/>
                <w:szCs w:val="16"/>
                <w:lang w:val="en-US"/>
              </w:rPr>
              <w:fldChar w:fldCharType="end"/>
            </w:r>
            <w:r w:rsidRPr="009C4552">
              <w:rPr>
                <w:rFonts w:ascii="Arial" w:hAnsi="Arial" w:cs="Arial"/>
                <w:sz w:val="16"/>
                <w:szCs w:val="16"/>
                <w:lang w:val="en-US"/>
              </w:rPr>
              <w:t xml:space="preserve"> provided by </w:t>
            </w:r>
            <w:r w:rsidRPr="009C4552">
              <w:rPr>
                <w:rFonts w:ascii="Arial" w:hAnsi="Arial" w:cs="Arial"/>
                <w:i/>
                <w:sz w:val="16"/>
                <w:szCs w:val="16"/>
                <w:lang w:val="en-US"/>
              </w:rPr>
              <w:t>p0AlphaSetforPUCCH</w:t>
            </w:r>
            <w:r w:rsidRPr="009C4552">
              <w:rPr>
                <w:rFonts w:ascii="Arial" w:hAnsi="Arial" w:cs="Arial"/>
                <w:sz w:val="16"/>
                <w:szCs w:val="16"/>
                <w:lang w:val="en-US"/>
              </w:rPr>
              <w:t xml:space="preserve"> associated </w:t>
            </w:r>
            <w:r w:rsidRPr="009C4552">
              <w:rPr>
                <w:rFonts w:ascii="Arial" w:hAnsi="Arial" w:cs="Arial"/>
                <w:sz w:val="16"/>
                <w:szCs w:val="16"/>
                <w:lang w:val="en-US" w:eastAsia="zh-CN"/>
              </w:rPr>
              <w:t xml:space="preserve">with the smallest value of </w:t>
            </w:r>
            <w:r w:rsidRPr="009C4552">
              <w:rPr>
                <w:rFonts w:ascii="Arial" w:hAnsi="Arial" w:cs="Arial"/>
                <w:i/>
                <w:sz w:val="16"/>
                <w:szCs w:val="16"/>
                <w:lang w:val="en-US"/>
              </w:rPr>
              <w:t>ul-powercontrolId</w:t>
            </w:r>
            <w:r w:rsidRPr="009C4552">
              <w:rPr>
                <w:rFonts w:ascii="Arial" w:hAnsi="Arial" w:cs="Arial"/>
                <w:sz w:val="16"/>
                <w:szCs w:val="16"/>
                <w:lang w:val="en-US" w:eastAsia="zh-CN"/>
              </w:rPr>
              <w:t xml:space="preserve"> for the </w:t>
            </w:r>
            <w:r w:rsidRPr="009C4552">
              <w:rPr>
                <w:rFonts w:ascii="Arial" w:hAnsi="Arial" w:cs="Arial"/>
                <w:sz w:val="16"/>
                <w:szCs w:val="16"/>
                <w:lang w:val="en-US"/>
              </w:rPr>
              <w:t xml:space="preserve">PCell or the PSCell </w:t>
            </w:r>
          </w:p>
          <w:p w14:paraId="26FA6C80" w14:textId="77777777" w:rsidR="009C4552" w:rsidRPr="009C4552" w:rsidRDefault="009C4552" w:rsidP="009C4552">
            <w:pPr>
              <w:pStyle w:val="B2"/>
              <w:spacing w:after="0"/>
              <w:rPr>
                <w:rFonts w:ascii="Arial" w:hAnsi="Arial" w:cs="Arial"/>
                <w:bCs/>
                <w:sz w:val="16"/>
                <w:szCs w:val="16"/>
                <w:lang w:val="en-US"/>
              </w:rPr>
            </w:pPr>
            <w:r w:rsidRPr="009C4552">
              <w:rPr>
                <w:rFonts w:ascii="Arial" w:hAnsi="Arial" w:cs="Arial"/>
                <w:sz w:val="16"/>
                <w:szCs w:val="16"/>
                <w:lang w:val="en-US"/>
              </w:rPr>
              <w:t>-</w:t>
            </w:r>
            <w:r w:rsidRPr="009C4552">
              <w:rPr>
                <w:rFonts w:ascii="Arial" w:hAnsi="Arial" w:cs="Arial"/>
                <w:sz w:val="16"/>
                <w:szCs w:val="16"/>
                <w:lang w:val="en-US"/>
              </w:rPr>
              <w:tab/>
            </w:r>
            <w:r w:rsidRPr="009C4552">
              <w:rPr>
                <w:rFonts w:ascii="Arial" w:hAnsi="Arial" w:cs="Arial"/>
                <w:sz w:val="16"/>
                <w:szCs w:val="16"/>
                <w:lang w:val="en-US" w:eastAsia="ko-KR"/>
              </w:rPr>
              <w:t xml:space="preserve">the values of </w:t>
            </w:r>
            <w:r w:rsidRPr="009C4552">
              <w:rPr>
                <w:rFonts w:ascii="Arial" w:hAnsi="Arial" w:cs="Arial"/>
                <w:sz w:val="16"/>
                <w:szCs w:val="16"/>
                <w:lang w:val="en-US"/>
              </w:rPr>
              <w:fldChar w:fldCharType="begin"/>
            </w:r>
            <w:r w:rsidRPr="009C4552">
              <w:rPr>
                <w:rFonts w:ascii="Arial" w:hAnsi="Arial" w:cs="Arial"/>
                <w:sz w:val="16"/>
                <w:szCs w:val="16"/>
                <w:lang w:val="en-US"/>
              </w:rPr>
              <w:instrText xml:space="preserve"> QUOTE </w:instrText>
            </w:r>
            <w:r w:rsidR="00A6784C">
              <w:rPr>
                <w:rFonts w:ascii="Arial" w:hAnsi="Arial" w:cs="Arial"/>
                <w:position w:val="-6"/>
                <w:sz w:val="16"/>
                <w:szCs w:val="16"/>
              </w:rPr>
              <w:pict w14:anchorId="0E47B834">
                <v:shape id="_x0000_i1114" type="#_x0000_t75" style="width:67.5pt;height:12pt" equationxml="&lt;">
                  <v:imagedata r:id="rId787" o:title="" chromakey="white"/>
                </v:shape>
              </w:pict>
            </w:r>
            <w:r w:rsidRPr="009C4552">
              <w:rPr>
                <w:rFonts w:ascii="Arial" w:hAnsi="Arial" w:cs="Arial"/>
                <w:sz w:val="16"/>
                <w:szCs w:val="16"/>
                <w:lang w:val="en-US"/>
              </w:rPr>
              <w:instrText xml:space="preserve"> </w:instrText>
            </w:r>
            <w:r w:rsidRPr="009C4552">
              <w:rPr>
                <w:rFonts w:ascii="Arial" w:hAnsi="Arial" w:cs="Arial"/>
                <w:sz w:val="16"/>
                <w:szCs w:val="16"/>
                <w:lang w:val="en-US"/>
              </w:rPr>
              <w:fldChar w:fldCharType="separate"/>
            </w:r>
            <w:r w:rsidR="00A6784C">
              <w:rPr>
                <w:rFonts w:ascii="Arial" w:hAnsi="Arial" w:cs="Arial"/>
                <w:position w:val="-6"/>
                <w:sz w:val="16"/>
                <w:szCs w:val="16"/>
              </w:rPr>
              <w:pict w14:anchorId="70725829">
                <v:shape id="_x0000_i1115" type="#_x0000_t75" style="width:67.5pt;height:12pt" equationxml="&lt;">
                  <v:imagedata r:id="rId787" o:title="" chromakey="white"/>
                </v:shape>
              </w:pict>
            </w:r>
            <w:r w:rsidRPr="009C4552">
              <w:rPr>
                <w:rFonts w:ascii="Arial" w:hAnsi="Arial" w:cs="Arial"/>
                <w:sz w:val="16"/>
                <w:szCs w:val="16"/>
                <w:lang w:val="en-US"/>
              </w:rPr>
              <w:fldChar w:fldCharType="end"/>
            </w:r>
            <w:r w:rsidRPr="009C4552">
              <w:rPr>
                <w:rFonts w:ascii="Arial" w:hAnsi="Arial" w:cs="Arial"/>
                <w:sz w:val="16"/>
                <w:szCs w:val="16"/>
                <w:lang w:val="en-US"/>
              </w:rPr>
              <w:t xml:space="preserve">, </w:t>
            </w:r>
            <w:r w:rsidRPr="009C4552">
              <w:rPr>
                <w:rFonts w:ascii="Arial" w:hAnsi="Arial" w:cs="Arial"/>
                <w:sz w:val="16"/>
                <w:szCs w:val="16"/>
                <w:lang w:val="en-US"/>
              </w:rPr>
              <w:fldChar w:fldCharType="begin"/>
            </w:r>
            <w:r w:rsidRPr="009C4552">
              <w:rPr>
                <w:rFonts w:ascii="Arial" w:hAnsi="Arial" w:cs="Arial"/>
                <w:sz w:val="16"/>
                <w:szCs w:val="16"/>
                <w:lang w:val="en-US"/>
              </w:rPr>
              <w:instrText xml:space="preserve"> QUOTE </w:instrText>
            </w:r>
            <w:r w:rsidR="00A6784C">
              <w:rPr>
                <w:rFonts w:ascii="Arial" w:hAnsi="Arial" w:cs="Arial"/>
                <w:position w:val="-6"/>
                <w:sz w:val="16"/>
                <w:szCs w:val="16"/>
              </w:rPr>
              <w:pict w14:anchorId="6DAD22B7">
                <v:shape id="_x0000_i1116" type="#_x0000_t75" style="width:49.5pt;height:11.25pt" equationxml="&lt;">
                  <v:imagedata r:id="rId788" o:title="" chromakey="white"/>
                </v:shape>
              </w:pict>
            </w:r>
            <w:r w:rsidRPr="009C4552">
              <w:rPr>
                <w:rFonts w:ascii="Arial" w:hAnsi="Arial" w:cs="Arial"/>
                <w:sz w:val="16"/>
                <w:szCs w:val="16"/>
                <w:lang w:val="en-US"/>
              </w:rPr>
              <w:instrText xml:space="preserve"> </w:instrText>
            </w:r>
            <w:r w:rsidRPr="009C4552">
              <w:rPr>
                <w:rFonts w:ascii="Arial" w:hAnsi="Arial" w:cs="Arial"/>
                <w:sz w:val="16"/>
                <w:szCs w:val="16"/>
                <w:lang w:val="en-US"/>
              </w:rPr>
              <w:fldChar w:fldCharType="separate"/>
            </w:r>
            <w:r w:rsidR="00A6784C">
              <w:rPr>
                <w:rFonts w:ascii="Arial" w:hAnsi="Arial" w:cs="Arial"/>
                <w:position w:val="-6"/>
                <w:sz w:val="16"/>
                <w:szCs w:val="16"/>
              </w:rPr>
              <w:pict w14:anchorId="2619B035">
                <v:shape id="_x0000_i1117" type="#_x0000_t75" style="width:49.5pt;height:11.25pt" equationxml="&lt;">
                  <v:imagedata r:id="rId788" o:title="" chromakey="white"/>
                </v:shape>
              </w:pict>
            </w:r>
            <w:r w:rsidRPr="009C4552">
              <w:rPr>
                <w:rFonts w:ascii="Arial" w:hAnsi="Arial" w:cs="Arial"/>
                <w:sz w:val="16"/>
                <w:szCs w:val="16"/>
                <w:lang w:val="en-US"/>
              </w:rPr>
              <w:fldChar w:fldCharType="end"/>
            </w:r>
            <w:r w:rsidRPr="009C4552">
              <w:rPr>
                <w:rFonts w:ascii="Arial" w:hAnsi="Arial" w:cs="Arial"/>
                <w:sz w:val="16"/>
                <w:szCs w:val="16"/>
                <w:lang w:val="en-US"/>
              </w:rPr>
              <w:t xml:space="preserve">, and the SRS power control adjustment state </w:t>
            </w:r>
            <w:r w:rsidRPr="009C4552">
              <w:rPr>
                <w:rFonts w:ascii="Arial" w:hAnsi="Arial" w:cs="Arial"/>
                <w:sz w:val="16"/>
                <w:szCs w:val="16"/>
                <w:lang w:val="en-US"/>
              </w:rPr>
              <w:fldChar w:fldCharType="begin"/>
            </w:r>
            <w:r w:rsidRPr="009C4552">
              <w:rPr>
                <w:rFonts w:ascii="Arial" w:hAnsi="Arial" w:cs="Arial"/>
                <w:sz w:val="16"/>
                <w:szCs w:val="16"/>
                <w:lang w:val="en-US"/>
              </w:rPr>
              <w:instrText xml:space="preserve"> QUOTE </w:instrText>
            </w:r>
            <w:r w:rsidR="00A6784C">
              <w:rPr>
                <w:rFonts w:ascii="Arial" w:hAnsi="Arial" w:cs="Arial"/>
                <w:position w:val="-4"/>
                <w:sz w:val="16"/>
                <w:szCs w:val="16"/>
              </w:rPr>
              <w:pict w14:anchorId="4289A01E">
                <v:shape id="_x0000_i1118" type="#_x0000_t75" style="width:3pt;height:11.25pt" equationxml="&lt;">
                  <v:imagedata r:id="rId785" o:title="" chromakey="white"/>
                </v:shape>
              </w:pict>
            </w:r>
            <w:r w:rsidRPr="009C4552">
              <w:rPr>
                <w:rFonts w:ascii="Arial" w:hAnsi="Arial" w:cs="Arial"/>
                <w:sz w:val="16"/>
                <w:szCs w:val="16"/>
                <w:lang w:val="en-US"/>
              </w:rPr>
              <w:instrText xml:space="preserve"> </w:instrText>
            </w:r>
            <w:r w:rsidRPr="009C4552">
              <w:rPr>
                <w:rFonts w:ascii="Arial" w:hAnsi="Arial" w:cs="Arial"/>
                <w:sz w:val="16"/>
                <w:szCs w:val="16"/>
                <w:lang w:val="en-US"/>
              </w:rPr>
              <w:fldChar w:fldCharType="separate"/>
            </w:r>
            <w:r w:rsidR="00A6784C">
              <w:rPr>
                <w:rFonts w:ascii="Arial" w:hAnsi="Arial" w:cs="Arial"/>
                <w:position w:val="-4"/>
                <w:sz w:val="16"/>
                <w:szCs w:val="16"/>
              </w:rPr>
              <w:pict w14:anchorId="34D087F3">
                <v:shape id="_x0000_i1119" type="#_x0000_t75" style="width:3pt;height:11.25pt" equationxml="&lt;">
                  <v:imagedata r:id="rId785" o:title="" chromakey="white"/>
                </v:shape>
              </w:pict>
            </w:r>
            <w:r w:rsidRPr="009C4552">
              <w:rPr>
                <w:rFonts w:ascii="Arial" w:hAnsi="Arial" w:cs="Arial"/>
                <w:sz w:val="16"/>
                <w:szCs w:val="16"/>
                <w:lang w:val="en-US"/>
              </w:rPr>
              <w:fldChar w:fldCharType="end"/>
            </w:r>
            <w:r w:rsidRPr="009C4552">
              <w:rPr>
                <w:rFonts w:ascii="Arial" w:hAnsi="Arial" w:cs="Arial"/>
                <w:sz w:val="16"/>
                <w:szCs w:val="16"/>
                <w:lang w:val="en-US"/>
              </w:rPr>
              <w:t xml:space="preserve"> provided by </w:t>
            </w:r>
            <w:r w:rsidRPr="009C4552">
              <w:rPr>
                <w:rFonts w:ascii="Arial" w:hAnsi="Arial" w:cs="Arial"/>
                <w:i/>
                <w:sz w:val="16"/>
                <w:szCs w:val="16"/>
                <w:lang w:val="en-US"/>
              </w:rPr>
              <w:t>p0AlphaSetforSRS</w:t>
            </w:r>
            <w:r w:rsidRPr="009C4552">
              <w:rPr>
                <w:rFonts w:ascii="Arial" w:hAnsi="Arial" w:cs="Arial"/>
                <w:sz w:val="16"/>
                <w:szCs w:val="16"/>
                <w:lang w:val="en-US"/>
              </w:rPr>
              <w:t xml:space="preserve"> associated </w:t>
            </w:r>
            <w:r w:rsidRPr="009C4552">
              <w:rPr>
                <w:rFonts w:ascii="Arial" w:hAnsi="Arial" w:cs="Arial"/>
                <w:sz w:val="16"/>
                <w:szCs w:val="16"/>
                <w:lang w:val="en-US" w:eastAsia="zh-CN"/>
              </w:rPr>
              <w:t xml:space="preserve">with the smallest value of </w:t>
            </w:r>
            <w:r w:rsidRPr="009C4552">
              <w:rPr>
                <w:rFonts w:ascii="Arial" w:hAnsi="Arial" w:cs="Arial"/>
                <w:i/>
                <w:sz w:val="16"/>
                <w:szCs w:val="16"/>
                <w:lang w:val="en-US"/>
              </w:rPr>
              <w:t>ul-powercontrolId</w:t>
            </w:r>
            <w:r w:rsidRPr="009C4552">
              <w:rPr>
                <w:rFonts w:ascii="Arial" w:hAnsi="Arial" w:cs="Arial"/>
                <w:sz w:val="16"/>
                <w:szCs w:val="16"/>
                <w:lang w:val="en-US" w:eastAsia="zh-CN"/>
              </w:rPr>
              <w:t xml:space="preserve"> for the </w:t>
            </w:r>
            <w:r w:rsidRPr="009C4552">
              <w:rPr>
                <w:rFonts w:ascii="Arial" w:hAnsi="Arial" w:cs="Arial"/>
                <w:sz w:val="16"/>
                <w:szCs w:val="16"/>
                <w:lang w:val="en-US"/>
              </w:rPr>
              <w:t>PCell or the PSCell</w:t>
            </w:r>
          </w:p>
          <w:p w14:paraId="70213A4C" w14:textId="77777777" w:rsidR="009C4552" w:rsidRPr="009C4552" w:rsidRDefault="009C4552" w:rsidP="009C4552">
            <w:pPr>
              <w:jc w:val="center"/>
              <w:rPr>
                <w:rFonts w:ascii="Arial" w:eastAsia="SimSun" w:hAnsi="Arial" w:cs="Arial"/>
                <w:bCs/>
                <w:color w:val="FF0000"/>
                <w:sz w:val="16"/>
                <w:szCs w:val="16"/>
              </w:rPr>
            </w:pPr>
            <w:r w:rsidRPr="009C4552">
              <w:rPr>
                <w:rFonts w:ascii="Arial" w:eastAsia="SimSun" w:hAnsi="Arial" w:cs="Arial"/>
                <w:bCs/>
                <w:color w:val="FF0000"/>
                <w:sz w:val="16"/>
                <w:szCs w:val="16"/>
              </w:rPr>
              <w:t>&lt;Unchanged part is omitted&gt;</w:t>
            </w:r>
          </w:p>
          <w:p w14:paraId="45C6609B" w14:textId="77777777" w:rsidR="009C4552" w:rsidRPr="009C4552" w:rsidRDefault="009C4552" w:rsidP="009C4552">
            <w:pPr>
              <w:tabs>
                <w:tab w:val="left" w:pos="2116"/>
              </w:tabs>
              <w:rPr>
                <w:rFonts w:ascii="Arial" w:hAnsi="Arial" w:cs="Arial"/>
                <w:sz w:val="16"/>
                <w:szCs w:val="16"/>
              </w:rPr>
            </w:pPr>
            <w:r w:rsidRPr="009C4552">
              <w:rPr>
                <w:rFonts w:ascii="Arial" w:hAnsi="Arial" w:cs="Arial"/>
                <w:iCs/>
                <w:color w:val="FF0000"/>
                <w:sz w:val="16"/>
                <w:szCs w:val="16"/>
              </w:rPr>
              <w:t>For serving cells associated with</w:t>
            </w:r>
            <w:r w:rsidRPr="009C4552">
              <w:rPr>
                <w:rFonts w:ascii="Arial" w:hAnsi="Arial" w:cs="Arial"/>
                <w:iCs/>
                <w:sz w:val="16"/>
                <w:szCs w:val="16"/>
              </w:rPr>
              <w:t xml:space="preserve"> </w:t>
            </w:r>
            <w:r w:rsidRPr="009C4552">
              <w:rPr>
                <w:rFonts w:ascii="Arial" w:hAnsi="Arial" w:cs="Arial"/>
                <w:color w:val="FF0000"/>
                <w:sz w:val="16"/>
                <w:szCs w:val="16"/>
              </w:rPr>
              <w:fldChar w:fldCharType="begin"/>
            </w:r>
            <w:r w:rsidRPr="009C4552">
              <w:rPr>
                <w:rFonts w:ascii="Arial" w:hAnsi="Arial" w:cs="Arial"/>
                <w:color w:val="FF0000"/>
                <w:sz w:val="16"/>
                <w:szCs w:val="16"/>
              </w:rPr>
              <w:instrText xml:space="preserve"> QUOTE </w:instrText>
            </w:r>
            <w:r w:rsidR="00A6784C">
              <w:rPr>
                <w:rFonts w:ascii="Arial" w:hAnsi="Arial" w:cs="Arial"/>
                <w:position w:val="-4"/>
                <w:sz w:val="16"/>
                <w:szCs w:val="16"/>
              </w:rPr>
              <w:pict w14:anchorId="3EFC4214">
                <v:shape id="_x0000_i1120" type="#_x0000_t75" style="width:9pt;height:11.25pt" equationxml="&lt;">
                  <v:imagedata r:id="rId779" o:title="" chromakey="white"/>
                </v:shape>
              </w:pict>
            </w:r>
            <w:r w:rsidRPr="009C4552">
              <w:rPr>
                <w:rFonts w:ascii="Arial" w:hAnsi="Arial" w:cs="Arial"/>
                <w:color w:val="FF0000"/>
                <w:sz w:val="16"/>
                <w:szCs w:val="16"/>
              </w:rPr>
              <w:instrText xml:space="preserve"> </w:instrText>
            </w:r>
            <w:r w:rsidRPr="009C4552">
              <w:rPr>
                <w:rFonts w:ascii="Arial" w:hAnsi="Arial" w:cs="Arial"/>
                <w:color w:val="FF0000"/>
                <w:sz w:val="16"/>
                <w:szCs w:val="16"/>
              </w:rPr>
              <w:fldChar w:fldCharType="separate"/>
            </w:r>
            <w:r w:rsidR="00A6784C">
              <w:rPr>
                <w:rFonts w:ascii="Arial" w:hAnsi="Arial" w:cs="Arial"/>
                <w:position w:val="-4"/>
                <w:sz w:val="16"/>
                <w:szCs w:val="16"/>
              </w:rPr>
              <w:pict w14:anchorId="6E7FDA12">
                <v:shape id="_x0000_i1121" type="#_x0000_t75" style="width:9pt;height:11.25pt" equationxml="&lt;">
                  <v:imagedata r:id="rId779" o:title="" chromakey="white"/>
                </v:shape>
              </w:pict>
            </w:r>
            <w:r w:rsidRPr="009C4552">
              <w:rPr>
                <w:rFonts w:ascii="Arial" w:hAnsi="Arial" w:cs="Arial"/>
                <w:color w:val="FF0000"/>
                <w:sz w:val="16"/>
                <w:szCs w:val="16"/>
              </w:rPr>
              <w:fldChar w:fldCharType="end"/>
            </w:r>
            <w:r w:rsidRPr="009C4552">
              <w:rPr>
                <w:rFonts w:ascii="Arial" w:hAnsi="Arial" w:cs="Arial"/>
                <w:color w:val="FF0000"/>
                <w:sz w:val="16"/>
                <w:szCs w:val="16"/>
              </w:rPr>
              <w:t xml:space="preserve"> and</w:t>
            </w:r>
            <w:r w:rsidRPr="009C4552">
              <w:rPr>
                <w:rFonts w:ascii="Arial" w:hAnsi="Arial" w:cs="Arial"/>
                <w:iCs/>
                <w:color w:val="FF0000"/>
                <w:sz w:val="16"/>
                <w:szCs w:val="16"/>
              </w:rPr>
              <w:t xml:space="preserve"> </w:t>
            </w:r>
            <w:r w:rsidRPr="009C4552">
              <w:rPr>
                <w:rFonts w:ascii="Arial" w:hAnsi="Arial" w:cs="Arial"/>
                <w:iCs/>
                <w:color w:val="FF0000"/>
                <w:sz w:val="16"/>
                <w:szCs w:val="16"/>
              </w:rPr>
              <w:fldChar w:fldCharType="begin"/>
            </w:r>
            <w:r w:rsidRPr="009C4552">
              <w:rPr>
                <w:rFonts w:ascii="Arial" w:hAnsi="Arial" w:cs="Arial"/>
                <w:iCs/>
                <w:color w:val="FF0000"/>
                <w:sz w:val="16"/>
                <w:szCs w:val="16"/>
              </w:rPr>
              <w:instrText xml:space="preserve"> QUOTE </w:instrText>
            </w:r>
            <w:r w:rsidR="00A6784C">
              <w:rPr>
                <w:rFonts w:ascii="Arial" w:hAnsi="Arial" w:cs="Arial"/>
                <w:position w:val="-4"/>
                <w:sz w:val="16"/>
                <w:szCs w:val="16"/>
              </w:rPr>
              <w:pict w14:anchorId="39DDD874">
                <v:shape id="_x0000_i1122" type="#_x0000_t75" style="width:8.25pt;height:11.25pt" equationxml="&lt;">
                  <v:imagedata r:id="rId780" o:title="" chromakey="white"/>
                </v:shape>
              </w:pict>
            </w:r>
            <w:r w:rsidRPr="009C4552">
              <w:rPr>
                <w:rFonts w:ascii="Arial" w:hAnsi="Arial" w:cs="Arial"/>
                <w:iCs/>
                <w:color w:val="FF0000"/>
                <w:sz w:val="16"/>
                <w:szCs w:val="16"/>
              </w:rPr>
              <w:instrText xml:space="preserve"> </w:instrText>
            </w:r>
            <w:r w:rsidRPr="009C4552">
              <w:rPr>
                <w:rFonts w:ascii="Arial" w:hAnsi="Arial" w:cs="Arial"/>
                <w:iCs/>
                <w:color w:val="FF0000"/>
                <w:sz w:val="16"/>
                <w:szCs w:val="16"/>
              </w:rPr>
              <w:fldChar w:fldCharType="separate"/>
            </w:r>
            <w:r w:rsidR="00A6784C">
              <w:rPr>
                <w:rFonts w:ascii="Arial" w:hAnsi="Arial" w:cs="Arial"/>
                <w:position w:val="-4"/>
                <w:sz w:val="16"/>
                <w:szCs w:val="16"/>
              </w:rPr>
              <w:pict w14:anchorId="0EC5B3FC">
                <v:shape id="_x0000_i1123" type="#_x0000_t75" style="width:8.25pt;height:11.25pt" equationxml="&lt;">
                  <v:imagedata r:id="rId780" o:title="" chromakey="white"/>
                </v:shape>
              </w:pict>
            </w:r>
            <w:r w:rsidRPr="009C4552">
              <w:rPr>
                <w:rFonts w:ascii="Arial" w:hAnsi="Arial" w:cs="Arial"/>
                <w:iCs/>
                <w:color w:val="FF0000"/>
                <w:sz w:val="16"/>
                <w:szCs w:val="16"/>
              </w:rPr>
              <w:fldChar w:fldCharType="end"/>
            </w:r>
            <w:r w:rsidRPr="009C4552">
              <w:rPr>
                <w:rFonts w:ascii="Arial" w:hAnsi="Arial" w:cs="Arial"/>
                <w:iCs/>
                <w:color w:val="FF0000"/>
                <w:sz w:val="16"/>
                <w:szCs w:val="16"/>
              </w:rPr>
              <w:t>,</w:t>
            </w:r>
            <w:r w:rsidRPr="009C4552">
              <w:rPr>
                <w:rFonts w:ascii="Arial" w:hAnsi="Arial" w:cs="Arial"/>
                <w:iCs/>
                <w:sz w:val="16"/>
                <w:szCs w:val="16"/>
              </w:rPr>
              <w:t xml:space="preserve"> </w:t>
            </w:r>
            <w:r w:rsidRPr="009C4552">
              <w:rPr>
                <w:rFonts w:ascii="Arial" w:hAnsi="Arial" w:cs="Arial"/>
                <w:iCs/>
                <w:strike/>
                <w:color w:val="FF0000"/>
                <w:sz w:val="16"/>
                <w:szCs w:val="16"/>
              </w:rPr>
              <w:t>If</w:t>
            </w:r>
            <w:r w:rsidRPr="009C4552">
              <w:rPr>
                <w:rFonts w:ascii="Arial" w:hAnsi="Arial" w:cs="Arial"/>
                <w:iCs/>
                <w:sz w:val="16"/>
                <w:szCs w:val="16"/>
              </w:rPr>
              <w:t xml:space="preserve"> </w:t>
            </w:r>
            <w:r w:rsidRPr="009C4552">
              <w:rPr>
                <w:rFonts w:ascii="Arial" w:hAnsi="Arial" w:cs="Arial"/>
                <w:iCs/>
                <w:color w:val="FF0000"/>
                <w:sz w:val="16"/>
                <w:szCs w:val="16"/>
              </w:rPr>
              <w:t xml:space="preserve">if </w:t>
            </w:r>
            <w:r w:rsidRPr="009C4552">
              <w:rPr>
                <w:rFonts w:ascii="Arial" w:hAnsi="Arial" w:cs="Arial"/>
                <w:iCs/>
                <w:sz w:val="16"/>
                <w:szCs w:val="16"/>
              </w:rPr>
              <w:t xml:space="preserve">a UE is provided </w:t>
            </w:r>
            <w:r w:rsidRPr="009C4552">
              <w:rPr>
                <w:rFonts w:ascii="Arial" w:hAnsi="Arial" w:cs="Arial"/>
                <w:i/>
                <w:sz w:val="16"/>
                <w:szCs w:val="16"/>
                <w:lang w:eastAsia="zh-CN"/>
              </w:rPr>
              <w:t>dl-OrJointTCI-StateList</w:t>
            </w:r>
            <w:r w:rsidRPr="009C4552">
              <w:rPr>
                <w:rFonts w:ascii="Arial" w:hAnsi="Arial" w:cs="Arial"/>
                <w:iCs/>
                <w:sz w:val="16"/>
                <w:szCs w:val="16"/>
                <w:lang w:eastAsia="zh-CN"/>
              </w:rPr>
              <w:t xml:space="preserve"> </w:t>
            </w:r>
            <w:r w:rsidRPr="009C4552">
              <w:rPr>
                <w:rFonts w:ascii="Arial" w:hAnsi="Arial" w:cs="Arial"/>
                <w:iCs/>
                <w:color w:val="000000"/>
                <w:sz w:val="16"/>
                <w:szCs w:val="16"/>
                <w:lang w:eastAsia="zh-CN"/>
              </w:rPr>
              <w:t>or</w:t>
            </w:r>
            <w:r w:rsidRPr="009C4552">
              <w:rPr>
                <w:rFonts w:ascii="Arial" w:hAnsi="Arial" w:cs="Arial"/>
                <w:color w:val="000000"/>
                <w:sz w:val="16"/>
                <w:szCs w:val="16"/>
              </w:rPr>
              <w:t xml:space="preserve"> </w:t>
            </w:r>
            <w:r w:rsidRPr="009C4552">
              <w:rPr>
                <w:rFonts w:ascii="Arial" w:hAnsi="Arial" w:cs="Arial"/>
                <w:i/>
                <w:iCs/>
                <w:color w:val="000000"/>
                <w:sz w:val="16"/>
                <w:szCs w:val="16"/>
                <w:lang w:eastAsia="zh-CN"/>
              </w:rPr>
              <w:t>ul</w:t>
            </w:r>
            <w:r w:rsidRPr="009C4552">
              <w:rPr>
                <w:rFonts w:ascii="Arial" w:hAnsi="Arial" w:cs="Arial"/>
                <w:i/>
                <w:iCs/>
                <w:color w:val="000000"/>
                <w:sz w:val="16"/>
                <w:szCs w:val="16"/>
              </w:rPr>
              <w:t>-TCI-StateList</w:t>
            </w:r>
            <w:r w:rsidRPr="009C4552">
              <w:rPr>
                <w:rFonts w:ascii="Arial" w:hAnsi="Arial" w:cs="Arial"/>
                <w:iCs/>
                <w:color w:val="000000"/>
                <w:sz w:val="16"/>
                <w:szCs w:val="16"/>
              </w:rPr>
              <w:t xml:space="preserve"> </w:t>
            </w:r>
            <w:r w:rsidRPr="009C4552">
              <w:rPr>
                <w:rFonts w:ascii="Arial" w:hAnsi="Arial" w:cs="Arial"/>
                <w:iCs/>
                <w:strike/>
                <w:color w:val="FF0000"/>
                <w:sz w:val="16"/>
                <w:szCs w:val="16"/>
              </w:rPr>
              <w:t xml:space="preserve">indicating a unified TCI state </w:t>
            </w:r>
            <w:r w:rsidRPr="009C4552">
              <w:rPr>
                <w:rFonts w:ascii="Arial" w:hAnsi="Arial" w:cs="Arial"/>
                <w:iCs/>
                <w:color w:val="FF0000"/>
                <w:sz w:val="16"/>
                <w:szCs w:val="16"/>
              </w:rPr>
              <w:t>and is indicated with one or two TCI state(s)</w:t>
            </w:r>
            <w:r w:rsidRPr="009C4552">
              <w:rPr>
                <w:rFonts w:ascii="Arial" w:hAnsi="Arial" w:cs="Arial"/>
                <w:iCs/>
                <w:sz w:val="16"/>
                <w:szCs w:val="16"/>
              </w:rPr>
              <w:t>, after 28 symbols from a last symbol of a PDCCH reception with a DCI format scheduling a PUSCH transmission with a same HARQ process number as for the transmission of the first PUSCH and having a toggled NDI field value</w:t>
            </w:r>
            <w:r w:rsidRPr="009C4552">
              <w:rPr>
                <w:rFonts w:ascii="Arial" w:hAnsi="Arial" w:cs="Arial"/>
                <w:sz w:val="16"/>
                <w:szCs w:val="16"/>
              </w:rPr>
              <w:t>, the UE</w:t>
            </w:r>
          </w:p>
          <w:p w14:paraId="667502D5" w14:textId="77777777" w:rsidR="009C4552" w:rsidRPr="009C4552" w:rsidRDefault="009C4552" w:rsidP="009C4552">
            <w:pPr>
              <w:pStyle w:val="B1"/>
              <w:spacing w:after="0"/>
              <w:rPr>
                <w:rFonts w:ascii="Arial" w:hAnsi="Arial" w:cs="Arial"/>
                <w:iCs/>
                <w:sz w:val="16"/>
                <w:szCs w:val="16"/>
              </w:rPr>
            </w:pPr>
            <w:r w:rsidRPr="009C4552">
              <w:rPr>
                <w:rFonts w:ascii="Arial" w:hAnsi="Arial" w:cs="Arial"/>
                <w:sz w:val="16"/>
                <w:szCs w:val="16"/>
              </w:rPr>
              <w:t>-</w:t>
            </w:r>
            <w:r w:rsidRPr="009C4552">
              <w:rPr>
                <w:rFonts w:ascii="Arial" w:hAnsi="Arial" w:cs="Arial"/>
                <w:sz w:val="16"/>
                <w:szCs w:val="16"/>
              </w:rPr>
              <w:tab/>
              <w:t xml:space="preserve">if </w:t>
            </w:r>
            <w:r w:rsidRPr="009C4552">
              <w:rPr>
                <w:rFonts w:ascii="Arial" w:hAnsi="Arial" w:cs="Arial"/>
                <w:i/>
                <w:iCs/>
                <w:sz w:val="16"/>
                <w:szCs w:val="16"/>
              </w:rPr>
              <w:t>SSB-MTC-AdditionalPCI</w:t>
            </w:r>
            <w:r w:rsidRPr="009C4552">
              <w:rPr>
                <w:rFonts w:ascii="Arial" w:hAnsi="Arial" w:cs="Arial"/>
                <w:sz w:val="16"/>
                <w:szCs w:val="16"/>
              </w:rPr>
              <w:t xml:space="preserve"> is not provided, monitors PDCCH in all CORESETs, on the SCell (s) indicated by the MAC CE, and receives PDSCH and aperiodic CSI-RS resource in a CSI-RS resource set using the </w:t>
            </w:r>
            <w:r w:rsidRPr="009C4552">
              <w:rPr>
                <w:rFonts w:ascii="Arial" w:hAnsi="Arial" w:cs="Arial"/>
                <w:iCs/>
                <w:sz w:val="16"/>
                <w:szCs w:val="16"/>
                <w:lang w:eastAsia="ja-JP"/>
              </w:rPr>
              <w:t xml:space="preserve">same antenna port quasi co-location parameters as the ones associated with the corresponding index </w:t>
            </w:r>
            <w:r w:rsidRPr="009C4552">
              <w:rPr>
                <w:rFonts w:ascii="Arial" w:hAnsi="Arial" w:cs="Arial"/>
                <w:iCs/>
                <w:sz w:val="16"/>
                <w:szCs w:val="16"/>
              </w:rPr>
              <w:fldChar w:fldCharType="begin"/>
            </w:r>
            <w:r w:rsidRPr="009C4552">
              <w:rPr>
                <w:rFonts w:ascii="Arial" w:hAnsi="Arial" w:cs="Arial"/>
                <w:iCs/>
                <w:sz w:val="16"/>
                <w:szCs w:val="16"/>
              </w:rPr>
              <w:instrText xml:space="preserve"> QUOTE </w:instrText>
            </w:r>
            <w:r w:rsidR="00A6784C">
              <w:rPr>
                <w:rFonts w:ascii="Arial" w:hAnsi="Arial" w:cs="Arial"/>
                <w:position w:val="-4"/>
                <w:sz w:val="16"/>
                <w:szCs w:val="16"/>
              </w:rPr>
              <w:pict w14:anchorId="519675DB">
                <v:shape id="_x0000_i1124" type="#_x0000_t75" style="width:15.75pt;height:11.25pt" equationxml="&lt;">
                  <v:imagedata r:id="rId781" o:title="" chromakey="white"/>
                </v:shape>
              </w:pict>
            </w:r>
            <w:r w:rsidRPr="009C4552">
              <w:rPr>
                <w:rFonts w:ascii="Arial" w:hAnsi="Arial" w:cs="Arial"/>
                <w:iCs/>
                <w:sz w:val="16"/>
                <w:szCs w:val="16"/>
              </w:rPr>
              <w:instrText xml:space="preserve"> </w:instrText>
            </w:r>
            <w:r w:rsidRPr="009C4552">
              <w:rPr>
                <w:rFonts w:ascii="Arial" w:hAnsi="Arial" w:cs="Arial"/>
                <w:iCs/>
                <w:sz w:val="16"/>
                <w:szCs w:val="16"/>
              </w:rPr>
              <w:fldChar w:fldCharType="separate"/>
            </w:r>
            <w:r w:rsidR="00A6784C">
              <w:rPr>
                <w:rFonts w:ascii="Arial" w:hAnsi="Arial" w:cs="Arial"/>
                <w:position w:val="-4"/>
                <w:sz w:val="16"/>
                <w:szCs w:val="16"/>
              </w:rPr>
              <w:pict w14:anchorId="14342BF3">
                <v:shape id="_x0000_i1125" type="#_x0000_t75" style="width:15.75pt;height:11.25pt" equationxml="&lt;">
                  <v:imagedata r:id="rId781" o:title="" chromakey="white"/>
                </v:shape>
              </w:pict>
            </w:r>
            <w:r w:rsidRPr="009C4552">
              <w:rPr>
                <w:rFonts w:ascii="Arial" w:hAnsi="Arial" w:cs="Arial"/>
                <w:iCs/>
                <w:sz w:val="16"/>
                <w:szCs w:val="16"/>
              </w:rPr>
              <w:fldChar w:fldCharType="end"/>
            </w:r>
            <w:r w:rsidRPr="009C4552">
              <w:rPr>
                <w:rFonts w:ascii="Arial" w:hAnsi="Arial" w:cs="Arial"/>
                <w:iCs/>
                <w:sz w:val="16"/>
                <w:szCs w:val="16"/>
              </w:rPr>
              <w:t>, if any</w:t>
            </w:r>
          </w:p>
          <w:p w14:paraId="31FA8E21" w14:textId="77777777" w:rsidR="009C4552" w:rsidRPr="009C4552" w:rsidRDefault="009C4552" w:rsidP="009C4552">
            <w:pPr>
              <w:pStyle w:val="B1"/>
              <w:spacing w:after="0"/>
              <w:rPr>
                <w:rFonts w:ascii="Arial" w:hAnsi="Arial" w:cs="Arial"/>
                <w:iCs/>
                <w:sz w:val="16"/>
                <w:szCs w:val="16"/>
              </w:rPr>
            </w:pPr>
            <w:r w:rsidRPr="009C4552">
              <w:rPr>
                <w:rFonts w:ascii="Arial" w:hAnsi="Arial" w:cs="Arial"/>
                <w:sz w:val="16"/>
                <w:szCs w:val="16"/>
              </w:rPr>
              <w:t>-</w:t>
            </w:r>
            <w:r w:rsidRPr="009C4552">
              <w:rPr>
                <w:rFonts w:ascii="Arial" w:hAnsi="Arial" w:cs="Arial"/>
                <w:sz w:val="16"/>
                <w:szCs w:val="16"/>
              </w:rPr>
              <w:tab/>
              <w:t>transmits PUSCH, PUCCH and SRS that uses a same spatial domain filter with same indicated TCI state as for the PUSCH and PUCCH, using a same spatial domain filter as the one corresponding to</w:t>
            </w:r>
            <w:r w:rsidRPr="009C4552">
              <w:rPr>
                <w:rFonts w:ascii="Arial" w:hAnsi="Arial" w:cs="Arial"/>
                <w:iCs/>
                <w:sz w:val="16"/>
                <w:szCs w:val="16"/>
                <w:lang w:eastAsia="ja-JP"/>
              </w:rPr>
              <w:t xml:space="preserve"> </w:t>
            </w:r>
            <w:r w:rsidRPr="009C4552">
              <w:rPr>
                <w:rFonts w:ascii="Arial" w:hAnsi="Arial" w:cs="Arial"/>
                <w:iCs/>
                <w:sz w:val="16"/>
                <w:szCs w:val="16"/>
              </w:rPr>
              <w:fldChar w:fldCharType="begin"/>
            </w:r>
            <w:r w:rsidRPr="009C4552">
              <w:rPr>
                <w:rFonts w:ascii="Arial" w:hAnsi="Arial" w:cs="Arial"/>
                <w:iCs/>
                <w:sz w:val="16"/>
                <w:szCs w:val="16"/>
              </w:rPr>
              <w:instrText xml:space="preserve"> QUOTE </w:instrText>
            </w:r>
            <w:r w:rsidR="00A6784C">
              <w:rPr>
                <w:rFonts w:ascii="Arial" w:hAnsi="Arial" w:cs="Arial"/>
                <w:position w:val="-4"/>
                <w:sz w:val="16"/>
                <w:szCs w:val="16"/>
              </w:rPr>
              <w:pict w14:anchorId="3086D781">
                <v:shape id="_x0000_i1126" type="#_x0000_t75" style="width:15.75pt;height:11.25pt" equationxml="&lt;">
                  <v:imagedata r:id="rId781" o:title="" chromakey="white"/>
                </v:shape>
              </w:pict>
            </w:r>
            <w:r w:rsidRPr="009C4552">
              <w:rPr>
                <w:rFonts w:ascii="Arial" w:hAnsi="Arial" w:cs="Arial"/>
                <w:iCs/>
                <w:sz w:val="16"/>
                <w:szCs w:val="16"/>
              </w:rPr>
              <w:instrText xml:space="preserve"> </w:instrText>
            </w:r>
            <w:r w:rsidRPr="009C4552">
              <w:rPr>
                <w:rFonts w:ascii="Arial" w:hAnsi="Arial" w:cs="Arial"/>
                <w:iCs/>
                <w:sz w:val="16"/>
                <w:szCs w:val="16"/>
              </w:rPr>
              <w:fldChar w:fldCharType="separate"/>
            </w:r>
            <w:r w:rsidR="00A6784C">
              <w:rPr>
                <w:rFonts w:ascii="Arial" w:hAnsi="Arial" w:cs="Arial"/>
                <w:position w:val="-4"/>
                <w:sz w:val="16"/>
                <w:szCs w:val="16"/>
              </w:rPr>
              <w:pict w14:anchorId="40063B9E">
                <v:shape id="_x0000_i1127" type="#_x0000_t75" style="width:15.75pt;height:11.25pt" equationxml="&lt;">
                  <v:imagedata r:id="rId781" o:title="" chromakey="white"/>
                </v:shape>
              </w:pict>
            </w:r>
            <w:r w:rsidRPr="009C4552">
              <w:rPr>
                <w:rFonts w:ascii="Arial" w:hAnsi="Arial" w:cs="Arial"/>
                <w:iCs/>
                <w:sz w:val="16"/>
                <w:szCs w:val="16"/>
              </w:rPr>
              <w:fldChar w:fldCharType="end"/>
            </w:r>
            <w:r w:rsidRPr="009C4552">
              <w:rPr>
                <w:rFonts w:ascii="Arial" w:hAnsi="Arial" w:cs="Arial"/>
                <w:iCs/>
                <w:sz w:val="16"/>
                <w:szCs w:val="16"/>
              </w:rPr>
              <w:t>, if any, and using the following parameters for determination of a corresponding power as described in clauses 7.1.1, 7.2.1, and 7.3.1</w:t>
            </w:r>
          </w:p>
          <w:p w14:paraId="742B5F47" w14:textId="77777777" w:rsidR="009C4552" w:rsidRPr="009C4552" w:rsidRDefault="009C4552" w:rsidP="009C4552">
            <w:pPr>
              <w:pStyle w:val="B2"/>
              <w:spacing w:after="0"/>
              <w:rPr>
                <w:rFonts w:ascii="Arial" w:hAnsi="Arial" w:cs="Arial"/>
                <w:sz w:val="16"/>
                <w:szCs w:val="16"/>
                <w:lang w:val="en-US"/>
              </w:rPr>
            </w:pPr>
            <w:r w:rsidRPr="009C4552">
              <w:rPr>
                <w:rFonts w:ascii="Arial" w:hAnsi="Arial" w:cs="Arial"/>
                <w:sz w:val="16"/>
                <w:szCs w:val="16"/>
                <w:lang w:val="en-US"/>
              </w:rPr>
              <w:t>-</w:t>
            </w:r>
            <w:r w:rsidRPr="009C4552">
              <w:rPr>
                <w:rFonts w:ascii="Arial" w:hAnsi="Arial" w:cs="Arial"/>
                <w:sz w:val="16"/>
                <w:szCs w:val="16"/>
                <w:lang w:val="en-US"/>
              </w:rPr>
              <w:tab/>
              <w:t>the RS index</w:t>
            </w:r>
            <w:r w:rsidRPr="009C4552">
              <w:rPr>
                <w:rFonts w:ascii="Arial" w:hAnsi="Arial" w:cs="Arial"/>
                <w:sz w:val="16"/>
                <w:szCs w:val="16"/>
                <w:lang w:val="en-US" w:eastAsia="zh-CN"/>
              </w:rPr>
              <w:t xml:space="preserve"> </w:t>
            </w:r>
            <w:r w:rsidRPr="009C4552">
              <w:rPr>
                <w:rFonts w:ascii="Arial" w:hAnsi="Arial" w:cs="Arial"/>
                <w:sz w:val="16"/>
                <w:szCs w:val="16"/>
                <w:lang w:val="en-US"/>
              </w:rPr>
              <w:fldChar w:fldCharType="begin"/>
            </w:r>
            <w:r w:rsidRPr="009C4552">
              <w:rPr>
                <w:rFonts w:ascii="Arial" w:hAnsi="Arial" w:cs="Arial"/>
                <w:sz w:val="16"/>
                <w:szCs w:val="16"/>
                <w:lang w:val="en-US"/>
              </w:rPr>
              <w:instrText xml:space="preserve"> QUOTE </w:instrText>
            </w:r>
            <w:r w:rsidR="00A6784C">
              <w:rPr>
                <w:rFonts w:ascii="Arial" w:hAnsi="Arial" w:cs="Arial"/>
                <w:position w:val="-4"/>
                <w:sz w:val="16"/>
                <w:szCs w:val="16"/>
              </w:rPr>
              <w:pict w14:anchorId="4A29E860">
                <v:shape id="_x0000_i1128" type="#_x0000_t75" style="width:39pt;height:11.25pt" equationxml="&lt;">
                  <v:imagedata r:id="rId782" o:title="" chromakey="white"/>
                </v:shape>
              </w:pict>
            </w:r>
            <w:r w:rsidRPr="009C4552">
              <w:rPr>
                <w:rFonts w:ascii="Arial" w:hAnsi="Arial" w:cs="Arial"/>
                <w:sz w:val="16"/>
                <w:szCs w:val="16"/>
                <w:lang w:val="en-US"/>
              </w:rPr>
              <w:instrText xml:space="preserve"> </w:instrText>
            </w:r>
            <w:r w:rsidRPr="009C4552">
              <w:rPr>
                <w:rFonts w:ascii="Arial" w:hAnsi="Arial" w:cs="Arial"/>
                <w:sz w:val="16"/>
                <w:szCs w:val="16"/>
                <w:lang w:val="en-US"/>
              </w:rPr>
              <w:fldChar w:fldCharType="separate"/>
            </w:r>
            <w:r w:rsidR="00A6784C">
              <w:rPr>
                <w:rFonts w:ascii="Arial" w:hAnsi="Arial" w:cs="Arial"/>
                <w:position w:val="-4"/>
                <w:sz w:val="16"/>
                <w:szCs w:val="16"/>
              </w:rPr>
              <w:pict w14:anchorId="44C48BC2">
                <v:shape id="_x0000_i1129" type="#_x0000_t75" style="width:39pt;height:11.25pt" equationxml="&lt;">
                  <v:imagedata r:id="rId782" o:title="" chromakey="white"/>
                </v:shape>
              </w:pict>
            </w:r>
            <w:r w:rsidRPr="009C4552">
              <w:rPr>
                <w:rFonts w:ascii="Arial" w:hAnsi="Arial" w:cs="Arial"/>
                <w:sz w:val="16"/>
                <w:szCs w:val="16"/>
                <w:lang w:val="en-US"/>
              </w:rPr>
              <w:fldChar w:fldCharType="end"/>
            </w:r>
            <w:r w:rsidRPr="009C4552">
              <w:rPr>
                <w:rFonts w:ascii="Arial" w:hAnsi="Arial" w:cs="Arial"/>
                <w:sz w:val="16"/>
                <w:szCs w:val="16"/>
                <w:lang w:val="en-US"/>
              </w:rPr>
              <w:t xml:space="preserve"> for obtaining the downlink pathloss estimate</w:t>
            </w:r>
          </w:p>
          <w:p w14:paraId="3EF31816" w14:textId="77777777" w:rsidR="009C4552" w:rsidRPr="009C4552" w:rsidRDefault="009C4552" w:rsidP="009C4552">
            <w:pPr>
              <w:pStyle w:val="B2"/>
              <w:spacing w:after="0"/>
              <w:rPr>
                <w:rFonts w:ascii="Arial" w:hAnsi="Arial" w:cs="Arial"/>
                <w:b/>
                <w:i/>
                <w:sz w:val="16"/>
                <w:szCs w:val="16"/>
                <w:lang w:val="en-US"/>
              </w:rPr>
            </w:pPr>
            <w:r w:rsidRPr="009C4552">
              <w:rPr>
                <w:rFonts w:ascii="Arial" w:hAnsi="Arial" w:cs="Arial"/>
                <w:sz w:val="16"/>
                <w:szCs w:val="16"/>
                <w:lang w:val="en-US"/>
              </w:rPr>
              <w:t>-</w:t>
            </w:r>
            <w:r w:rsidRPr="009C4552">
              <w:rPr>
                <w:rFonts w:ascii="Arial" w:hAnsi="Arial" w:cs="Arial"/>
                <w:sz w:val="16"/>
                <w:szCs w:val="16"/>
                <w:lang w:val="en-US"/>
              </w:rPr>
              <w:tab/>
            </w:r>
            <w:r w:rsidRPr="009C4552">
              <w:rPr>
                <w:rFonts w:ascii="Arial" w:hAnsi="Arial" w:cs="Arial"/>
                <w:sz w:val="16"/>
                <w:szCs w:val="16"/>
                <w:lang w:val="en-US" w:eastAsia="ko-KR"/>
              </w:rPr>
              <w:t xml:space="preserve">the values of </w:t>
            </w:r>
            <w:r w:rsidRPr="009C4552">
              <w:rPr>
                <w:rFonts w:ascii="Arial" w:hAnsi="Arial" w:cs="Arial"/>
                <w:sz w:val="16"/>
                <w:szCs w:val="16"/>
                <w:lang w:val="en-US"/>
              </w:rPr>
              <w:fldChar w:fldCharType="begin"/>
            </w:r>
            <w:r w:rsidRPr="009C4552">
              <w:rPr>
                <w:rFonts w:ascii="Arial" w:hAnsi="Arial" w:cs="Arial"/>
                <w:sz w:val="16"/>
                <w:szCs w:val="16"/>
                <w:lang w:val="en-US"/>
              </w:rPr>
              <w:instrText xml:space="preserve"> QUOTE </w:instrText>
            </w:r>
            <w:r w:rsidR="005A18DC">
              <w:rPr>
                <w:rFonts w:ascii="Arial" w:hAnsi="Arial" w:cs="Arial"/>
                <w:position w:val="-6"/>
                <w:sz w:val="16"/>
                <w:szCs w:val="16"/>
              </w:rPr>
              <w:pict w14:anchorId="433265FF">
                <v:shape id="_x0000_i1130" type="#_x0000_t75" style="width:1in;height:12pt" equationxml="&lt;">
                  <v:imagedata r:id="rId783" o:title="" chromakey="white"/>
                </v:shape>
              </w:pict>
            </w:r>
            <w:r w:rsidRPr="009C4552">
              <w:rPr>
                <w:rFonts w:ascii="Arial" w:hAnsi="Arial" w:cs="Arial"/>
                <w:sz w:val="16"/>
                <w:szCs w:val="16"/>
                <w:lang w:val="en-US"/>
              </w:rPr>
              <w:instrText xml:space="preserve"> </w:instrText>
            </w:r>
            <w:r w:rsidRPr="009C4552">
              <w:rPr>
                <w:rFonts w:ascii="Arial" w:hAnsi="Arial" w:cs="Arial"/>
                <w:sz w:val="16"/>
                <w:szCs w:val="16"/>
                <w:lang w:val="en-US"/>
              </w:rPr>
              <w:fldChar w:fldCharType="separate"/>
            </w:r>
            <w:r w:rsidR="005A18DC">
              <w:rPr>
                <w:rFonts w:ascii="Arial" w:hAnsi="Arial" w:cs="Arial"/>
                <w:position w:val="-6"/>
                <w:sz w:val="16"/>
                <w:szCs w:val="16"/>
              </w:rPr>
              <w:pict w14:anchorId="7F7FBD47">
                <v:shape id="_x0000_i1131" type="#_x0000_t75" style="width:1in;height:12pt" equationxml="&lt;">
                  <v:imagedata r:id="rId783" o:title="" chromakey="white"/>
                </v:shape>
              </w:pict>
            </w:r>
            <w:r w:rsidRPr="009C4552">
              <w:rPr>
                <w:rFonts w:ascii="Arial" w:hAnsi="Arial" w:cs="Arial"/>
                <w:sz w:val="16"/>
                <w:szCs w:val="16"/>
                <w:lang w:val="en-US"/>
              </w:rPr>
              <w:fldChar w:fldCharType="end"/>
            </w:r>
            <w:r w:rsidRPr="009C4552">
              <w:rPr>
                <w:rFonts w:ascii="Arial" w:hAnsi="Arial" w:cs="Arial"/>
                <w:sz w:val="16"/>
                <w:szCs w:val="16"/>
                <w:lang w:val="en-US"/>
              </w:rPr>
              <w:t xml:space="preserve">, </w:t>
            </w:r>
            <w:r w:rsidRPr="009C4552">
              <w:rPr>
                <w:rFonts w:ascii="Arial" w:hAnsi="Arial" w:cs="Arial"/>
                <w:sz w:val="16"/>
                <w:szCs w:val="16"/>
                <w:lang w:val="en-US"/>
              </w:rPr>
              <w:fldChar w:fldCharType="begin"/>
            </w:r>
            <w:r w:rsidRPr="009C4552">
              <w:rPr>
                <w:rFonts w:ascii="Arial" w:hAnsi="Arial" w:cs="Arial"/>
                <w:sz w:val="16"/>
                <w:szCs w:val="16"/>
                <w:lang w:val="en-US"/>
              </w:rPr>
              <w:instrText xml:space="preserve"> QUOTE </w:instrText>
            </w:r>
            <w:r w:rsidR="00A6784C">
              <w:rPr>
                <w:rFonts w:ascii="Arial" w:hAnsi="Arial" w:cs="Arial"/>
                <w:position w:val="-6"/>
                <w:sz w:val="16"/>
                <w:szCs w:val="16"/>
              </w:rPr>
              <w:pict w14:anchorId="628D3E3C">
                <v:shape id="_x0000_i1132" type="#_x0000_t75" style="width:31.5pt;height:11.25pt" equationxml="&lt;">
                  <v:imagedata r:id="rId784" o:title="" chromakey="white"/>
                </v:shape>
              </w:pict>
            </w:r>
            <w:r w:rsidRPr="009C4552">
              <w:rPr>
                <w:rFonts w:ascii="Arial" w:hAnsi="Arial" w:cs="Arial"/>
                <w:sz w:val="16"/>
                <w:szCs w:val="16"/>
                <w:lang w:val="en-US"/>
              </w:rPr>
              <w:instrText xml:space="preserve"> </w:instrText>
            </w:r>
            <w:r w:rsidRPr="009C4552">
              <w:rPr>
                <w:rFonts w:ascii="Arial" w:hAnsi="Arial" w:cs="Arial"/>
                <w:sz w:val="16"/>
                <w:szCs w:val="16"/>
                <w:lang w:val="en-US"/>
              </w:rPr>
              <w:fldChar w:fldCharType="separate"/>
            </w:r>
            <w:r w:rsidR="00A6784C">
              <w:rPr>
                <w:rFonts w:ascii="Arial" w:hAnsi="Arial" w:cs="Arial"/>
                <w:position w:val="-6"/>
                <w:sz w:val="16"/>
                <w:szCs w:val="16"/>
              </w:rPr>
              <w:pict w14:anchorId="5F995DEF">
                <v:shape id="_x0000_i1133" type="#_x0000_t75" style="width:31.5pt;height:11.25pt" equationxml="&lt;">
                  <v:imagedata r:id="rId784" o:title="" chromakey="white"/>
                </v:shape>
              </w:pict>
            </w:r>
            <w:r w:rsidRPr="009C4552">
              <w:rPr>
                <w:rFonts w:ascii="Arial" w:hAnsi="Arial" w:cs="Arial"/>
                <w:sz w:val="16"/>
                <w:szCs w:val="16"/>
                <w:lang w:val="en-US"/>
              </w:rPr>
              <w:fldChar w:fldCharType="end"/>
            </w:r>
            <w:r w:rsidRPr="009C4552">
              <w:rPr>
                <w:rFonts w:ascii="Arial" w:hAnsi="Arial" w:cs="Arial"/>
                <w:sz w:val="16"/>
                <w:szCs w:val="16"/>
                <w:lang w:val="en-US"/>
              </w:rPr>
              <w:t xml:space="preserve">, and the PUSCH power control adjustment state </w:t>
            </w:r>
            <w:r w:rsidRPr="009C4552">
              <w:rPr>
                <w:rFonts w:ascii="Arial" w:hAnsi="Arial" w:cs="Arial"/>
                <w:sz w:val="16"/>
                <w:szCs w:val="16"/>
                <w:lang w:val="en-US"/>
              </w:rPr>
              <w:fldChar w:fldCharType="begin"/>
            </w:r>
            <w:r w:rsidRPr="009C4552">
              <w:rPr>
                <w:rFonts w:ascii="Arial" w:hAnsi="Arial" w:cs="Arial"/>
                <w:sz w:val="16"/>
                <w:szCs w:val="16"/>
                <w:lang w:val="en-US"/>
              </w:rPr>
              <w:instrText xml:space="preserve"> QUOTE </w:instrText>
            </w:r>
            <w:r w:rsidR="00A6784C">
              <w:rPr>
                <w:rFonts w:ascii="Arial" w:hAnsi="Arial" w:cs="Arial"/>
                <w:position w:val="-4"/>
                <w:sz w:val="16"/>
                <w:szCs w:val="16"/>
              </w:rPr>
              <w:pict w14:anchorId="19B5875F">
                <v:shape id="_x0000_i1134" type="#_x0000_t75" style="width:3pt;height:11.25pt" equationxml="&lt;">
                  <v:imagedata r:id="rId785" o:title="" chromakey="white"/>
                </v:shape>
              </w:pict>
            </w:r>
            <w:r w:rsidRPr="009C4552">
              <w:rPr>
                <w:rFonts w:ascii="Arial" w:hAnsi="Arial" w:cs="Arial"/>
                <w:sz w:val="16"/>
                <w:szCs w:val="16"/>
                <w:lang w:val="en-US"/>
              </w:rPr>
              <w:instrText xml:space="preserve"> </w:instrText>
            </w:r>
            <w:r w:rsidRPr="009C4552">
              <w:rPr>
                <w:rFonts w:ascii="Arial" w:hAnsi="Arial" w:cs="Arial"/>
                <w:sz w:val="16"/>
                <w:szCs w:val="16"/>
                <w:lang w:val="en-US"/>
              </w:rPr>
              <w:fldChar w:fldCharType="separate"/>
            </w:r>
            <w:r w:rsidR="00A6784C">
              <w:rPr>
                <w:rFonts w:ascii="Arial" w:hAnsi="Arial" w:cs="Arial"/>
                <w:position w:val="-4"/>
                <w:sz w:val="16"/>
                <w:szCs w:val="16"/>
              </w:rPr>
              <w:pict w14:anchorId="6417106A">
                <v:shape id="_x0000_i1135" type="#_x0000_t75" style="width:3pt;height:11.25pt" equationxml="&lt;">
                  <v:imagedata r:id="rId785" o:title="" chromakey="white"/>
                </v:shape>
              </w:pict>
            </w:r>
            <w:r w:rsidRPr="009C4552">
              <w:rPr>
                <w:rFonts w:ascii="Arial" w:hAnsi="Arial" w:cs="Arial"/>
                <w:sz w:val="16"/>
                <w:szCs w:val="16"/>
                <w:lang w:val="en-US"/>
              </w:rPr>
              <w:fldChar w:fldCharType="end"/>
            </w:r>
            <w:r w:rsidRPr="009C4552">
              <w:rPr>
                <w:rFonts w:ascii="Arial" w:hAnsi="Arial" w:cs="Arial"/>
                <w:sz w:val="16"/>
                <w:szCs w:val="16"/>
                <w:lang w:val="en-US"/>
              </w:rPr>
              <w:t xml:space="preserve"> provided by </w:t>
            </w:r>
            <w:r w:rsidRPr="009C4552">
              <w:rPr>
                <w:rFonts w:ascii="Arial" w:hAnsi="Arial" w:cs="Arial"/>
                <w:i/>
                <w:sz w:val="16"/>
                <w:szCs w:val="16"/>
                <w:lang w:val="en-US"/>
              </w:rPr>
              <w:t>p0AlphaSetforPUSCH</w:t>
            </w:r>
            <w:r w:rsidRPr="009C4552">
              <w:rPr>
                <w:rFonts w:ascii="Arial" w:hAnsi="Arial" w:cs="Arial"/>
                <w:sz w:val="16"/>
                <w:szCs w:val="16"/>
                <w:lang w:val="en-US"/>
              </w:rPr>
              <w:t xml:space="preserve"> associated </w:t>
            </w:r>
            <w:r w:rsidRPr="009C4552">
              <w:rPr>
                <w:rFonts w:ascii="Arial" w:hAnsi="Arial" w:cs="Arial"/>
                <w:sz w:val="16"/>
                <w:szCs w:val="16"/>
                <w:lang w:val="en-US" w:eastAsia="zh-CN"/>
              </w:rPr>
              <w:t xml:space="preserve">with the smallest value of </w:t>
            </w:r>
            <w:r w:rsidRPr="009C4552">
              <w:rPr>
                <w:rFonts w:ascii="Arial" w:hAnsi="Arial" w:cs="Arial"/>
                <w:i/>
                <w:sz w:val="16"/>
                <w:szCs w:val="16"/>
                <w:lang w:val="en-US"/>
              </w:rPr>
              <w:t>ul-powercontrolId</w:t>
            </w:r>
            <w:r w:rsidRPr="009C4552">
              <w:rPr>
                <w:rFonts w:ascii="Arial" w:hAnsi="Arial" w:cs="Arial"/>
                <w:sz w:val="16"/>
                <w:szCs w:val="16"/>
                <w:lang w:val="en-US" w:eastAsia="zh-CN"/>
              </w:rPr>
              <w:t xml:space="preserve"> for the </w:t>
            </w:r>
            <w:r w:rsidRPr="009C4552">
              <w:rPr>
                <w:rFonts w:ascii="Arial" w:hAnsi="Arial" w:cs="Arial"/>
                <w:sz w:val="16"/>
                <w:szCs w:val="16"/>
                <w:lang w:val="en-US"/>
              </w:rPr>
              <w:t>corresponding SCell</w:t>
            </w:r>
          </w:p>
          <w:p w14:paraId="0EEFD00C" w14:textId="77777777" w:rsidR="009C4552" w:rsidRPr="009C4552" w:rsidRDefault="009C4552" w:rsidP="009C4552">
            <w:pPr>
              <w:pStyle w:val="B2"/>
              <w:spacing w:after="0"/>
              <w:rPr>
                <w:rFonts w:ascii="Arial" w:hAnsi="Arial" w:cs="Arial"/>
                <w:sz w:val="16"/>
                <w:szCs w:val="16"/>
                <w:lang w:val="en-US" w:eastAsia="zh-CN"/>
              </w:rPr>
            </w:pPr>
            <w:r w:rsidRPr="009C4552">
              <w:rPr>
                <w:rFonts w:ascii="Arial" w:hAnsi="Arial" w:cs="Arial"/>
                <w:sz w:val="16"/>
                <w:szCs w:val="16"/>
                <w:lang w:val="en-US"/>
              </w:rPr>
              <w:t>-</w:t>
            </w:r>
            <w:r w:rsidRPr="009C4552">
              <w:rPr>
                <w:rFonts w:ascii="Arial" w:hAnsi="Arial" w:cs="Arial"/>
                <w:sz w:val="16"/>
                <w:szCs w:val="16"/>
                <w:lang w:val="en-US"/>
              </w:rPr>
              <w:tab/>
            </w:r>
            <w:r w:rsidRPr="009C4552">
              <w:rPr>
                <w:rFonts w:ascii="Arial" w:hAnsi="Arial" w:cs="Arial"/>
                <w:sz w:val="16"/>
                <w:szCs w:val="16"/>
                <w:lang w:val="en-US" w:eastAsia="ko-KR"/>
              </w:rPr>
              <w:t xml:space="preserve">the value of </w:t>
            </w:r>
            <w:r w:rsidRPr="009C4552">
              <w:rPr>
                <w:rFonts w:ascii="Arial" w:hAnsi="Arial" w:cs="Arial"/>
                <w:sz w:val="16"/>
                <w:szCs w:val="16"/>
                <w:lang w:val="en-US"/>
              </w:rPr>
              <w:fldChar w:fldCharType="begin"/>
            </w:r>
            <w:r w:rsidRPr="009C4552">
              <w:rPr>
                <w:rFonts w:ascii="Arial" w:hAnsi="Arial" w:cs="Arial"/>
                <w:sz w:val="16"/>
                <w:szCs w:val="16"/>
                <w:lang w:val="en-US"/>
              </w:rPr>
              <w:instrText xml:space="preserve"> QUOTE </w:instrText>
            </w:r>
            <w:r w:rsidR="00A6784C">
              <w:rPr>
                <w:rFonts w:ascii="Arial" w:hAnsi="Arial" w:cs="Arial"/>
                <w:position w:val="-6"/>
                <w:sz w:val="16"/>
                <w:szCs w:val="16"/>
              </w:rPr>
              <w:pict w14:anchorId="63DDA898">
                <v:shape id="_x0000_i1136" type="#_x0000_t75" style="width:63.75pt;height:12pt" equationxml="&lt;">
                  <v:imagedata r:id="rId786" o:title="" chromakey="white"/>
                </v:shape>
              </w:pict>
            </w:r>
            <w:r w:rsidRPr="009C4552">
              <w:rPr>
                <w:rFonts w:ascii="Arial" w:hAnsi="Arial" w:cs="Arial"/>
                <w:sz w:val="16"/>
                <w:szCs w:val="16"/>
                <w:lang w:val="en-US"/>
              </w:rPr>
              <w:instrText xml:space="preserve"> </w:instrText>
            </w:r>
            <w:r w:rsidRPr="009C4552">
              <w:rPr>
                <w:rFonts w:ascii="Arial" w:hAnsi="Arial" w:cs="Arial"/>
                <w:sz w:val="16"/>
                <w:szCs w:val="16"/>
                <w:lang w:val="en-US"/>
              </w:rPr>
              <w:fldChar w:fldCharType="separate"/>
            </w:r>
            <w:r w:rsidR="00A6784C">
              <w:rPr>
                <w:rFonts w:ascii="Arial" w:hAnsi="Arial" w:cs="Arial"/>
                <w:position w:val="-6"/>
                <w:sz w:val="16"/>
                <w:szCs w:val="16"/>
              </w:rPr>
              <w:pict w14:anchorId="4999B33F">
                <v:shape id="_x0000_i1137" type="#_x0000_t75" style="width:63.75pt;height:12pt" equationxml="&lt;">
                  <v:imagedata r:id="rId786" o:title="" chromakey="white"/>
                </v:shape>
              </w:pict>
            </w:r>
            <w:r w:rsidRPr="009C4552">
              <w:rPr>
                <w:rFonts w:ascii="Arial" w:hAnsi="Arial" w:cs="Arial"/>
                <w:sz w:val="16"/>
                <w:szCs w:val="16"/>
                <w:lang w:val="en-US"/>
              </w:rPr>
              <w:fldChar w:fldCharType="end"/>
            </w:r>
            <w:r w:rsidRPr="009C4552">
              <w:rPr>
                <w:rFonts w:ascii="Arial" w:hAnsi="Arial" w:cs="Arial"/>
                <w:sz w:val="16"/>
                <w:szCs w:val="16"/>
                <w:lang w:val="en-US"/>
              </w:rPr>
              <w:t xml:space="preserve"> and the PUCCH power control adjustment state </w:t>
            </w:r>
            <w:r w:rsidRPr="009C4552">
              <w:rPr>
                <w:rFonts w:ascii="Arial" w:hAnsi="Arial" w:cs="Arial"/>
                <w:sz w:val="16"/>
                <w:szCs w:val="16"/>
                <w:lang w:val="en-US"/>
              </w:rPr>
              <w:fldChar w:fldCharType="begin"/>
            </w:r>
            <w:r w:rsidRPr="009C4552">
              <w:rPr>
                <w:rFonts w:ascii="Arial" w:hAnsi="Arial" w:cs="Arial"/>
                <w:sz w:val="16"/>
                <w:szCs w:val="16"/>
                <w:lang w:val="en-US"/>
              </w:rPr>
              <w:instrText xml:space="preserve"> QUOTE </w:instrText>
            </w:r>
            <w:r w:rsidR="00A6784C">
              <w:rPr>
                <w:rFonts w:ascii="Arial" w:hAnsi="Arial" w:cs="Arial"/>
                <w:position w:val="-4"/>
                <w:sz w:val="16"/>
                <w:szCs w:val="16"/>
              </w:rPr>
              <w:pict w14:anchorId="287E6489">
                <v:shape id="_x0000_i1138" type="#_x0000_t75" style="width:3pt;height:11.25pt" equationxml="&lt;">
                  <v:imagedata r:id="rId785" o:title="" chromakey="white"/>
                </v:shape>
              </w:pict>
            </w:r>
            <w:r w:rsidRPr="009C4552">
              <w:rPr>
                <w:rFonts w:ascii="Arial" w:hAnsi="Arial" w:cs="Arial"/>
                <w:sz w:val="16"/>
                <w:szCs w:val="16"/>
                <w:lang w:val="en-US"/>
              </w:rPr>
              <w:instrText xml:space="preserve"> </w:instrText>
            </w:r>
            <w:r w:rsidRPr="009C4552">
              <w:rPr>
                <w:rFonts w:ascii="Arial" w:hAnsi="Arial" w:cs="Arial"/>
                <w:sz w:val="16"/>
                <w:szCs w:val="16"/>
                <w:lang w:val="en-US"/>
              </w:rPr>
              <w:fldChar w:fldCharType="separate"/>
            </w:r>
            <w:r w:rsidR="00A6784C">
              <w:rPr>
                <w:rFonts w:ascii="Arial" w:hAnsi="Arial" w:cs="Arial"/>
                <w:position w:val="-4"/>
                <w:sz w:val="16"/>
                <w:szCs w:val="16"/>
              </w:rPr>
              <w:pict w14:anchorId="13E39DC9">
                <v:shape id="_x0000_i1139" type="#_x0000_t75" style="width:3pt;height:11.25pt" equationxml="&lt;">
                  <v:imagedata r:id="rId785" o:title="" chromakey="white"/>
                </v:shape>
              </w:pict>
            </w:r>
            <w:r w:rsidRPr="009C4552">
              <w:rPr>
                <w:rFonts w:ascii="Arial" w:hAnsi="Arial" w:cs="Arial"/>
                <w:sz w:val="16"/>
                <w:szCs w:val="16"/>
                <w:lang w:val="en-US"/>
              </w:rPr>
              <w:fldChar w:fldCharType="end"/>
            </w:r>
            <w:r w:rsidRPr="009C4552">
              <w:rPr>
                <w:rFonts w:ascii="Arial" w:hAnsi="Arial" w:cs="Arial"/>
                <w:sz w:val="16"/>
                <w:szCs w:val="16"/>
                <w:lang w:val="en-US"/>
              </w:rPr>
              <w:t xml:space="preserve"> provided by </w:t>
            </w:r>
            <w:r w:rsidRPr="009C4552">
              <w:rPr>
                <w:rFonts w:ascii="Arial" w:hAnsi="Arial" w:cs="Arial"/>
                <w:i/>
                <w:sz w:val="16"/>
                <w:szCs w:val="16"/>
                <w:lang w:val="en-US"/>
              </w:rPr>
              <w:t>p0AlphaSetforPUCCH</w:t>
            </w:r>
            <w:r w:rsidRPr="009C4552">
              <w:rPr>
                <w:rFonts w:ascii="Arial" w:hAnsi="Arial" w:cs="Arial"/>
                <w:sz w:val="16"/>
                <w:szCs w:val="16"/>
                <w:lang w:val="en-US"/>
              </w:rPr>
              <w:t xml:space="preserve"> associated </w:t>
            </w:r>
            <w:r w:rsidRPr="009C4552">
              <w:rPr>
                <w:rFonts w:ascii="Arial" w:hAnsi="Arial" w:cs="Arial"/>
                <w:sz w:val="16"/>
                <w:szCs w:val="16"/>
                <w:lang w:val="en-US" w:eastAsia="zh-CN"/>
              </w:rPr>
              <w:t xml:space="preserve">with the smallest value of </w:t>
            </w:r>
            <w:r w:rsidRPr="009C4552">
              <w:rPr>
                <w:rFonts w:ascii="Arial" w:hAnsi="Arial" w:cs="Arial"/>
                <w:i/>
                <w:sz w:val="16"/>
                <w:szCs w:val="16"/>
                <w:lang w:val="en-US"/>
              </w:rPr>
              <w:t>ul-powercontrolId</w:t>
            </w:r>
            <w:r w:rsidRPr="009C4552">
              <w:rPr>
                <w:rFonts w:ascii="Arial" w:hAnsi="Arial" w:cs="Arial"/>
                <w:sz w:val="16"/>
                <w:szCs w:val="16"/>
                <w:lang w:val="en-US" w:eastAsia="zh-CN"/>
              </w:rPr>
              <w:t xml:space="preserve"> for the </w:t>
            </w:r>
            <w:r w:rsidRPr="009C4552">
              <w:rPr>
                <w:rFonts w:ascii="Arial" w:hAnsi="Arial" w:cs="Arial"/>
                <w:sz w:val="16"/>
                <w:szCs w:val="16"/>
                <w:lang w:val="en-US"/>
              </w:rPr>
              <w:t xml:space="preserve">corresponding SCell </w:t>
            </w:r>
          </w:p>
          <w:p w14:paraId="210D1DD9" w14:textId="77777777" w:rsidR="009C4552" w:rsidRPr="009C4552" w:rsidRDefault="009C4552" w:rsidP="009C4552">
            <w:pPr>
              <w:pStyle w:val="B2"/>
              <w:spacing w:after="0"/>
              <w:rPr>
                <w:rFonts w:ascii="Arial" w:hAnsi="Arial" w:cs="Arial"/>
                <w:bCs/>
                <w:sz w:val="16"/>
                <w:szCs w:val="16"/>
                <w:lang w:val="en-US"/>
              </w:rPr>
            </w:pPr>
            <w:r w:rsidRPr="009C4552">
              <w:rPr>
                <w:rFonts w:ascii="Arial" w:hAnsi="Arial" w:cs="Arial"/>
                <w:sz w:val="16"/>
                <w:szCs w:val="16"/>
                <w:lang w:val="en-US"/>
              </w:rPr>
              <w:t>-</w:t>
            </w:r>
            <w:r w:rsidRPr="009C4552">
              <w:rPr>
                <w:rFonts w:ascii="Arial" w:hAnsi="Arial" w:cs="Arial"/>
                <w:sz w:val="16"/>
                <w:szCs w:val="16"/>
                <w:lang w:val="en-US"/>
              </w:rPr>
              <w:tab/>
            </w:r>
            <w:r w:rsidRPr="009C4552">
              <w:rPr>
                <w:rFonts w:ascii="Arial" w:hAnsi="Arial" w:cs="Arial"/>
                <w:sz w:val="16"/>
                <w:szCs w:val="16"/>
                <w:lang w:val="en-US" w:eastAsia="ko-KR"/>
              </w:rPr>
              <w:t xml:space="preserve">the values of </w:t>
            </w:r>
            <w:r w:rsidRPr="009C4552">
              <w:rPr>
                <w:rFonts w:ascii="Arial" w:hAnsi="Arial" w:cs="Arial"/>
                <w:sz w:val="16"/>
                <w:szCs w:val="16"/>
                <w:lang w:val="en-US"/>
              </w:rPr>
              <w:fldChar w:fldCharType="begin"/>
            </w:r>
            <w:r w:rsidRPr="009C4552">
              <w:rPr>
                <w:rFonts w:ascii="Arial" w:hAnsi="Arial" w:cs="Arial"/>
                <w:sz w:val="16"/>
                <w:szCs w:val="16"/>
                <w:lang w:val="en-US"/>
              </w:rPr>
              <w:instrText xml:space="preserve"> QUOTE </w:instrText>
            </w:r>
            <w:r w:rsidR="00A6784C">
              <w:rPr>
                <w:rFonts w:ascii="Arial" w:hAnsi="Arial" w:cs="Arial"/>
                <w:position w:val="-6"/>
                <w:sz w:val="16"/>
                <w:szCs w:val="16"/>
              </w:rPr>
              <w:pict w14:anchorId="1E28DC79">
                <v:shape id="_x0000_i1140" type="#_x0000_t75" style="width:67.5pt;height:12pt" equationxml="&lt;">
                  <v:imagedata r:id="rId787" o:title="" chromakey="white"/>
                </v:shape>
              </w:pict>
            </w:r>
            <w:r w:rsidRPr="009C4552">
              <w:rPr>
                <w:rFonts w:ascii="Arial" w:hAnsi="Arial" w:cs="Arial"/>
                <w:sz w:val="16"/>
                <w:szCs w:val="16"/>
                <w:lang w:val="en-US"/>
              </w:rPr>
              <w:instrText xml:space="preserve"> </w:instrText>
            </w:r>
            <w:r w:rsidRPr="009C4552">
              <w:rPr>
                <w:rFonts w:ascii="Arial" w:hAnsi="Arial" w:cs="Arial"/>
                <w:sz w:val="16"/>
                <w:szCs w:val="16"/>
                <w:lang w:val="en-US"/>
              </w:rPr>
              <w:fldChar w:fldCharType="separate"/>
            </w:r>
            <w:r w:rsidR="00A6784C">
              <w:rPr>
                <w:rFonts w:ascii="Arial" w:hAnsi="Arial" w:cs="Arial"/>
                <w:position w:val="-6"/>
                <w:sz w:val="16"/>
                <w:szCs w:val="16"/>
              </w:rPr>
              <w:pict w14:anchorId="209EC721">
                <v:shape id="_x0000_i1141" type="#_x0000_t75" style="width:67.5pt;height:12pt" equationxml="&lt;">
                  <v:imagedata r:id="rId787" o:title="" chromakey="white"/>
                </v:shape>
              </w:pict>
            </w:r>
            <w:r w:rsidRPr="009C4552">
              <w:rPr>
                <w:rFonts w:ascii="Arial" w:hAnsi="Arial" w:cs="Arial"/>
                <w:sz w:val="16"/>
                <w:szCs w:val="16"/>
                <w:lang w:val="en-US"/>
              </w:rPr>
              <w:fldChar w:fldCharType="end"/>
            </w:r>
            <w:r w:rsidRPr="009C4552">
              <w:rPr>
                <w:rFonts w:ascii="Arial" w:hAnsi="Arial" w:cs="Arial"/>
                <w:sz w:val="16"/>
                <w:szCs w:val="16"/>
                <w:lang w:val="en-US"/>
              </w:rPr>
              <w:t xml:space="preserve">, </w:t>
            </w:r>
            <w:r w:rsidRPr="009C4552">
              <w:rPr>
                <w:rFonts w:ascii="Arial" w:hAnsi="Arial" w:cs="Arial"/>
                <w:sz w:val="16"/>
                <w:szCs w:val="16"/>
                <w:lang w:val="en-US"/>
              </w:rPr>
              <w:fldChar w:fldCharType="begin"/>
            </w:r>
            <w:r w:rsidRPr="009C4552">
              <w:rPr>
                <w:rFonts w:ascii="Arial" w:hAnsi="Arial" w:cs="Arial"/>
                <w:sz w:val="16"/>
                <w:szCs w:val="16"/>
                <w:lang w:val="en-US"/>
              </w:rPr>
              <w:instrText xml:space="preserve"> QUOTE </w:instrText>
            </w:r>
            <w:r w:rsidR="00A6784C">
              <w:rPr>
                <w:rFonts w:ascii="Arial" w:hAnsi="Arial" w:cs="Arial"/>
                <w:position w:val="-6"/>
                <w:sz w:val="16"/>
                <w:szCs w:val="16"/>
              </w:rPr>
              <w:pict w14:anchorId="064A072C">
                <v:shape id="_x0000_i1142" type="#_x0000_t75" style="width:49.5pt;height:11.25pt" equationxml="&lt;">
                  <v:imagedata r:id="rId788" o:title="" chromakey="white"/>
                </v:shape>
              </w:pict>
            </w:r>
            <w:r w:rsidRPr="009C4552">
              <w:rPr>
                <w:rFonts w:ascii="Arial" w:hAnsi="Arial" w:cs="Arial"/>
                <w:sz w:val="16"/>
                <w:szCs w:val="16"/>
                <w:lang w:val="en-US"/>
              </w:rPr>
              <w:instrText xml:space="preserve"> </w:instrText>
            </w:r>
            <w:r w:rsidRPr="009C4552">
              <w:rPr>
                <w:rFonts w:ascii="Arial" w:hAnsi="Arial" w:cs="Arial"/>
                <w:sz w:val="16"/>
                <w:szCs w:val="16"/>
                <w:lang w:val="en-US"/>
              </w:rPr>
              <w:fldChar w:fldCharType="separate"/>
            </w:r>
            <w:r w:rsidR="00A6784C">
              <w:rPr>
                <w:rFonts w:ascii="Arial" w:hAnsi="Arial" w:cs="Arial"/>
                <w:position w:val="-6"/>
                <w:sz w:val="16"/>
                <w:szCs w:val="16"/>
              </w:rPr>
              <w:pict w14:anchorId="6101CFB7">
                <v:shape id="_x0000_i1143" type="#_x0000_t75" style="width:49.5pt;height:11.25pt" equationxml="&lt;">
                  <v:imagedata r:id="rId788" o:title="" chromakey="white"/>
                </v:shape>
              </w:pict>
            </w:r>
            <w:r w:rsidRPr="009C4552">
              <w:rPr>
                <w:rFonts w:ascii="Arial" w:hAnsi="Arial" w:cs="Arial"/>
                <w:sz w:val="16"/>
                <w:szCs w:val="16"/>
                <w:lang w:val="en-US"/>
              </w:rPr>
              <w:fldChar w:fldCharType="end"/>
            </w:r>
            <w:r w:rsidRPr="009C4552">
              <w:rPr>
                <w:rFonts w:ascii="Arial" w:hAnsi="Arial" w:cs="Arial"/>
                <w:sz w:val="16"/>
                <w:szCs w:val="16"/>
                <w:lang w:val="en-US"/>
              </w:rPr>
              <w:t xml:space="preserve">, and the SRS power control adjustment state </w:t>
            </w:r>
            <w:r w:rsidRPr="009C4552">
              <w:rPr>
                <w:rFonts w:ascii="Arial" w:hAnsi="Arial" w:cs="Arial"/>
                <w:sz w:val="16"/>
                <w:szCs w:val="16"/>
                <w:lang w:val="en-US"/>
              </w:rPr>
              <w:fldChar w:fldCharType="begin"/>
            </w:r>
            <w:r w:rsidRPr="009C4552">
              <w:rPr>
                <w:rFonts w:ascii="Arial" w:hAnsi="Arial" w:cs="Arial"/>
                <w:sz w:val="16"/>
                <w:szCs w:val="16"/>
                <w:lang w:val="en-US"/>
              </w:rPr>
              <w:instrText xml:space="preserve"> QUOTE </w:instrText>
            </w:r>
            <w:r w:rsidR="00A6784C">
              <w:rPr>
                <w:rFonts w:ascii="Arial" w:hAnsi="Arial" w:cs="Arial"/>
                <w:position w:val="-4"/>
                <w:sz w:val="16"/>
                <w:szCs w:val="16"/>
              </w:rPr>
              <w:pict w14:anchorId="1D8A8A2E">
                <v:shape id="_x0000_i1144" type="#_x0000_t75" style="width:3pt;height:11.25pt" equationxml="&lt;">
                  <v:imagedata r:id="rId785" o:title="" chromakey="white"/>
                </v:shape>
              </w:pict>
            </w:r>
            <w:r w:rsidRPr="009C4552">
              <w:rPr>
                <w:rFonts w:ascii="Arial" w:hAnsi="Arial" w:cs="Arial"/>
                <w:sz w:val="16"/>
                <w:szCs w:val="16"/>
                <w:lang w:val="en-US"/>
              </w:rPr>
              <w:instrText xml:space="preserve"> </w:instrText>
            </w:r>
            <w:r w:rsidRPr="009C4552">
              <w:rPr>
                <w:rFonts w:ascii="Arial" w:hAnsi="Arial" w:cs="Arial"/>
                <w:sz w:val="16"/>
                <w:szCs w:val="16"/>
                <w:lang w:val="en-US"/>
              </w:rPr>
              <w:fldChar w:fldCharType="separate"/>
            </w:r>
            <w:r w:rsidR="00A6784C">
              <w:rPr>
                <w:rFonts w:ascii="Arial" w:hAnsi="Arial" w:cs="Arial"/>
                <w:position w:val="-4"/>
                <w:sz w:val="16"/>
                <w:szCs w:val="16"/>
              </w:rPr>
              <w:pict w14:anchorId="66E3D35C">
                <v:shape id="_x0000_i1145" type="#_x0000_t75" style="width:3pt;height:11.25pt" equationxml="&lt;">
                  <v:imagedata r:id="rId785" o:title="" chromakey="white"/>
                </v:shape>
              </w:pict>
            </w:r>
            <w:r w:rsidRPr="009C4552">
              <w:rPr>
                <w:rFonts w:ascii="Arial" w:hAnsi="Arial" w:cs="Arial"/>
                <w:sz w:val="16"/>
                <w:szCs w:val="16"/>
                <w:lang w:val="en-US"/>
              </w:rPr>
              <w:fldChar w:fldCharType="end"/>
            </w:r>
            <w:r w:rsidRPr="009C4552">
              <w:rPr>
                <w:rFonts w:ascii="Arial" w:hAnsi="Arial" w:cs="Arial"/>
                <w:sz w:val="16"/>
                <w:szCs w:val="16"/>
                <w:lang w:val="en-US"/>
              </w:rPr>
              <w:t xml:space="preserve"> provided by </w:t>
            </w:r>
            <w:r w:rsidRPr="009C4552">
              <w:rPr>
                <w:rFonts w:ascii="Arial" w:hAnsi="Arial" w:cs="Arial"/>
                <w:i/>
                <w:sz w:val="16"/>
                <w:szCs w:val="16"/>
                <w:lang w:val="en-US"/>
              </w:rPr>
              <w:t>p0AlphaSetforSRS</w:t>
            </w:r>
            <w:r w:rsidRPr="009C4552">
              <w:rPr>
                <w:rFonts w:ascii="Arial" w:hAnsi="Arial" w:cs="Arial"/>
                <w:sz w:val="16"/>
                <w:szCs w:val="16"/>
                <w:lang w:val="en-US"/>
              </w:rPr>
              <w:t xml:space="preserve"> associated </w:t>
            </w:r>
            <w:r w:rsidRPr="009C4552">
              <w:rPr>
                <w:rFonts w:ascii="Arial" w:hAnsi="Arial" w:cs="Arial"/>
                <w:sz w:val="16"/>
                <w:szCs w:val="16"/>
                <w:lang w:val="en-US" w:eastAsia="zh-CN"/>
              </w:rPr>
              <w:t xml:space="preserve">with the smallest value of </w:t>
            </w:r>
            <w:r w:rsidRPr="009C4552">
              <w:rPr>
                <w:rFonts w:ascii="Arial" w:hAnsi="Arial" w:cs="Arial"/>
                <w:i/>
                <w:sz w:val="16"/>
                <w:szCs w:val="16"/>
                <w:lang w:val="en-US"/>
              </w:rPr>
              <w:t>ul-powercontrolId</w:t>
            </w:r>
            <w:r w:rsidRPr="009C4552">
              <w:rPr>
                <w:rFonts w:ascii="Arial" w:hAnsi="Arial" w:cs="Arial"/>
                <w:sz w:val="16"/>
                <w:szCs w:val="16"/>
                <w:lang w:val="en-US" w:eastAsia="zh-CN"/>
              </w:rPr>
              <w:t xml:space="preserve"> for the </w:t>
            </w:r>
            <w:r w:rsidRPr="009C4552">
              <w:rPr>
                <w:rFonts w:ascii="Arial" w:hAnsi="Arial" w:cs="Arial"/>
                <w:sz w:val="16"/>
                <w:szCs w:val="16"/>
                <w:lang w:val="en-US"/>
              </w:rPr>
              <w:t>corresponding SCell</w:t>
            </w:r>
          </w:p>
          <w:p w14:paraId="0F3EDE3C" w14:textId="77777777" w:rsidR="009C4552" w:rsidRPr="009C4552" w:rsidRDefault="009C4552" w:rsidP="009C4552">
            <w:pPr>
              <w:jc w:val="center"/>
              <w:rPr>
                <w:rFonts w:ascii="Arial" w:hAnsi="Arial" w:cs="Arial"/>
                <w:bCs/>
                <w:color w:val="FF0000"/>
                <w:sz w:val="16"/>
                <w:szCs w:val="16"/>
              </w:rPr>
            </w:pPr>
            <w:r w:rsidRPr="009C4552">
              <w:rPr>
                <w:rFonts w:ascii="Arial" w:eastAsia="SimSun" w:hAnsi="Arial" w:cs="Arial"/>
                <w:bCs/>
                <w:color w:val="FF0000"/>
                <w:sz w:val="16"/>
                <w:szCs w:val="16"/>
              </w:rPr>
              <w:t>&lt;Unchanged part is omitted&gt;</w:t>
            </w:r>
          </w:p>
        </w:tc>
      </w:tr>
    </w:tbl>
    <w:p w14:paraId="2DEE50B3" w14:textId="77777777" w:rsidR="009C4552" w:rsidRPr="009C4552" w:rsidRDefault="009C4552" w:rsidP="009C4552">
      <w:pPr>
        <w:rPr>
          <w:rFonts w:ascii="Times New Roman" w:hAnsi="Times New Roman"/>
          <w:szCs w:val="20"/>
        </w:rPr>
      </w:pPr>
    </w:p>
    <w:p w14:paraId="0A3E8580" w14:textId="77777777" w:rsidR="009C4552" w:rsidRPr="009C4552" w:rsidRDefault="009C4552" w:rsidP="009C4552">
      <w:pPr>
        <w:rPr>
          <w:rFonts w:ascii="Times New Roman" w:hAnsi="Times New Roman"/>
          <w:szCs w:val="20"/>
          <w:u w:val="single"/>
          <w:lang w:eastAsia="x-none"/>
        </w:rPr>
      </w:pPr>
      <w:r w:rsidRPr="009C4552">
        <w:rPr>
          <w:rFonts w:ascii="Times New Roman" w:hAnsi="Times New Roman"/>
          <w:szCs w:val="20"/>
          <w:u w:val="single"/>
          <w:lang w:eastAsia="x-none"/>
        </w:rPr>
        <w:t>Conclusion</w:t>
      </w:r>
    </w:p>
    <w:p w14:paraId="7A80FD92" w14:textId="0036525A" w:rsidR="009C4552" w:rsidRPr="009C4552" w:rsidRDefault="009C4552" w:rsidP="009C4552">
      <w:pPr>
        <w:rPr>
          <w:rFonts w:ascii="Times New Roman" w:hAnsi="Times New Roman"/>
          <w:szCs w:val="20"/>
          <w:lang w:eastAsia="x-none"/>
        </w:rPr>
      </w:pPr>
      <w:r w:rsidRPr="009C4552">
        <w:rPr>
          <w:rFonts w:ascii="Times New Roman" w:hAnsi="Times New Roman"/>
          <w:szCs w:val="20"/>
        </w:rPr>
        <w:t xml:space="preserve">When a UE is configured with unified TCI framework extension for S-DCI based MTRP (i.e., when a UE is configured with </w:t>
      </w:r>
      <w:r w:rsidRPr="009C4552">
        <w:rPr>
          <w:rFonts w:ascii="Times New Roman" w:hAnsi="Times New Roman"/>
          <w:i/>
          <w:iCs/>
          <w:szCs w:val="20"/>
        </w:rPr>
        <w:t>dl-OrJointTCI-StateList</w:t>
      </w:r>
      <w:r w:rsidRPr="009C4552">
        <w:rPr>
          <w:rFonts w:ascii="Times New Roman" w:hAnsi="Times New Roman"/>
          <w:szCs w:val="20"/>
        </w:rPr>
        <w:t xml:space="preserve"> and is having two indicated TCI states), it is an error case that the UE receives a MAC-CE used for TCI state activation in Rel-17 unified TCI framework</w:t>
      </w:r>
      <w:r>
        <w:rPr>
          <w:rFonts w:ascii="Times New Roman" w:hAnsi="Times New Roman"/>
          <w:szCs w:val="20"/>
        </w:rPr>
        <w:t>.</w:t>
      </w:r>
    </w:p>
    <w:p w14:paraId="418CBFFA" w14:textId="77777777" w:rsidR="009C4552" w:rsidRPr="009C4552" w:rsidRDefault="009C4552" w:rsidP="009C4552">
      <w:pPr>
        <w:rPr>
          <w:rFonts w:ascii="Times New Roman" w:hAnsi="Times New Roman"/>
          <w:szCs w:val="20"/>
          <w:lang w:eastAsia="x-none"/>
        </w:rPr>
      </w:pPr>
    </w:p>
    <w:p w14:paraId="4FADB010" w14:textId="77777777" w:rsidR="009C4552" w:rsidRPr="009C4552" w:rsidRDefault="009C4552" w:rsidP="009C4552">
      <w:pPr>
        <w:rPr>
          <w:rFonts w:ascii="Times New Roman" w:hAnsi="Times New Roman"/>
          <w:szCs w:val="20"/>
          <w:u w:val="single"/>
        </w:rPr>
      </w:pPr>
      <w:r w:rsidRPr="009C4552">
        <w:rPr>
          <w:rFonts w:ascii="Times New Roman" w:hAnsi="Times New Roman"/>
          <w:szCs w:val="20"/>
          <w:u w:val="single"/>
        </w:rPr>
        <w:t>Conclusion</w:t>
      </w:r>
    </w:p>
    <w:p w14:paraId="55483246" w14:textId="3F01EC89" w:rsidR="009C4552" w:rsidRDefault="009C4552" w:rsidP="009C4552">
      <w:pPr>
        <w:rPr>
          <w:rFonts w:ascii="Times New Roman" w:hAnsi="Times New Roman"/>
          <w:szCs w:val="20"/>
          <w:lang w:eastAsia="x-none"/>
        </w:rPr>
      </w:pPr>
      <w:r w:rsidRPr="009C4552">
        <w:rPr>
          <w:rFonts w:ascii="Times New Roman" w:hAnsi="Times New Roman"/>
          <w:szCs w:val="20"/>
          <w:lang w:eastAsia="x-none"/>
        </w:rPr>
        <w:t>There is no consensus in RAN1 to support the report of P-MPR for unified TCI framework extension for S-DCI based MTRP, if twoPHRMode is configured, and two SRS resource sets for CB/NCB and multipanelScheme for SDM/SFN are configured</w:t>
      </w:r>
      <w:r>
        <w:rPr>
          <w:rFonts w:ascii="Times New Roman" w:hAnsi="Times New Roman"/>
          <w:szCs w:val="20"/>
          <w:lang w:eastAsia="x-none"/>
        </w:rPr>
        <w:t>.</w:t>
      </w:r>
    </w:p>
    <w:p w14:paraId="60D93BB4" w14:textId="77777777" w:rsidR="009C4552" w:rsidRPr="009C4552" w:rsidRDefault="009C4552" w:rsidP="009C4552">
      <w:pPr>
        <w:rPr>
          <w:rFonts w:ascii="Times New Roman" w:hAnsi="Times New Roman"/>
          <w:szCs w:val="20"/>
          <w:lang w:eastAsia="x-none"/>
        </w:rPr>
      </w:pPr>
    </w:p>
    <w:p w14:paraId="69C81B4F" w14:textId="77777777" w:rsidR="00F37550" w:rsidRDefault="00F37550" w:rsidP="009C4552">
      <w:pPr>
        <w:rPr>
          <w:rFonts w:ascii="Times New Roman" w:hAnsi="Times New Roman"/>
          <w:szCs w:val="20"/>
          <w:lang w:eastAsia="x-none"/>
        </w:rPr>
      </w:pPr>
    </w:p>
    <w:p w14:paraId="3489DA1D" w14:textId="6AEAAFAB" w:rsidR="009C4552" w:rsidRPr="009537ED" w:rsidRDefault="00EF4020" w:rsidP="009C4552">
      <w:pPr>
        <w:rPr>
          <w:lang w:eastAsia="x-none"/>
        </w:rPr>
      </w:pPr>
      <w:r>
        <w:rPr>
          <w:rFonts w:ascii="Times New Roman" w:hAnsi="Times New Roman"/>
          <w:szCs w:val="20"/>
          <w:lang w:eastAsia="x-none"/>
        </w:rPr>
        <w:t xml:space="preserve">Final summary in </w:t>
      </w:r>
      <w:hyperlink r:id="rId789" w:history="1">
        <w:r w:rsidR="00AF7253">
          <w:rPr>
            <w:rStyle w:val="Hyperlink"/>
            <w:rFonts w:ascii="Times New Roman" w:hAnsi="Times New Roman"/>
            <w:szCs w:val="20"/>
            <w:lang w:eastAsia="x-none"/>
          </w:rPr>
          <w:t>R1-2312654</w:t>
        </w:r>
      </w:hyperlink>
      <w:r w:rsidR="009C4552" w:rsidRPr="009537ED">
        <w:rPr>
          <w:lang w:eastAsia="x-none"/>
        </w:rPr>
        <w:t>.</w:t>
      </w:r>
    </w:p>
    <w:p w14:paraId="3B5AE6DE" w14:textId="77777777" w:rsidR="00F74A6F" w:rsidRPr="009537ED" w:rsidRDefault="00F74A6F" w:rsidP="00F125DD">
      <w:pPr>
        <w:pStyle w:val="Heading4"/>
      </w:pPr>
      <w:bookmarkStart w:id="194" w:name="_Toc150174442"/>
      <w:bookmarkStart w:id="195" w:name="_Toc159250984"/>
      <w:r w:rsidRPr="009537ED">
        <w:t>Two TAs for multi-DCI</w:t>
      </w:r>
      <w:bookmarkEnd w:id="194"/>
      <w:bookmarkEnd w:id="195"/>
    </w:p>
    <w:p w14:paraId="2957933D" w14:textId="3F477523" w:rsidR="00F74A6F" w:rsidRPr="009537ED" w:rsidRDefault="005A18DC" w:rsidP="00F74A6F">
      <w:pPr>
        <w:rPr>
          <w:lang w:eastAsia="x-none"/>
        </w:rPr>
      </w:pPr>
      <w:hyperlink r:id="rId790" w:history="1">
        <w:r w:rsidR="00AF7253">
          <w:rPr>
            <w:rStyle w:val="Hyperlink"/>
            <w:lang w:eastAsia="x-none"/>
          </w:rPr>
          <w:t>R1-2310828</w:t>
        </w:r>
      </w:hyperlink>
      <w:r w:rsidR="00F74A6F" w:rsidRPr="009537ED">
        <w:rPr>
          <w:lang w:eastAsia="x-none"/>
        </w:rPr>
        <w:tab/>
        <w:t>Enhancements to support two TAs for multi-DCI</w:t>
      </w:r>
      <w:r w:rsidR="00F74A6F" w:rsidRPr="009537ED">
        <w:rPr>
          <w:lang w:eastAsia="x-none"/>
        </w:rPr>
        <w:tab/>
        <w:t>FUTUREWEI</w:t>
      </w:r>
    </w:p>
    <w:p w14:paraId="1FB854AB" w14:textId="033C69AF" w:rsidR="00F74A6F" w:rsidRPr="009537ED" w:rsidRDefault="005A18DC" w:rsidP="00F74A6F">
      <w:pPr>
        <w:rPr>
          <w:lang w:eastAsia="x-none"/>
        </w:rPr>
      </w:pPr>
      <w:hyperlink r:id="rId791" w:history="1">
        <w:r w:rsidR="00AF7253">
          <w:rPr>
            <w:rStyle w:val="Hyperlink"/>
            <w:lang w:eastAsia="x-none"/>
          </w:rPr>
          <w:t>R1-2310867</w:t>
        </w:r>
      </w:hyperlink>
      <w:r w:rsidR="00F74A6F" w:rsidRPr="009537ED">
        <w:rPr>
          <w:lang w:eastAsia="x-none"/>
        </w:rPr>
        <w:tab/>
        <w:t>Maintenance of TA enhancement for UL M-TRP transmission</w:t>
      </w:r>
      <w:r w:rsidR="00F74A6F" w:rsidRPr="009537ED">
        <w:rPr>
          <w:lang w:eastAsia="x-none"/>
        </w:rPr>
        <w:tab/>
        <w:t>Huawei, HiSilicon</w:t>
      </w:r>
    </w:p>
    <w:p w14:paraId="7D94DEDD" w14:textId="45825E3D" w:rsidR="00F74A6F" w:rsidRPr="009537ED" w:rsidRDefault="005A18DC" w:rsidP="00F74A6F">
      <w:pPr>
        <w:rPr>
          <w:lang w:eastAsia="x-none"/>
        </w:rPr>
      </w:pPr>
      <w:hyperlink r:id="rId792" w:history="1">
        <w:r w:rsidR="00AF7253">
          <w:rPr>
            <w:rStyle w:val="Hyperlink"/>
            <w:lang w:eastAsia="x-none"/>
          </w:rPr>
          <w:t>R1-2310920</w:t>
        </w:r>
      </w:hyperlink>
      <w:r w:rsidR="00F74A6F" w:rsidRPr="009537ED">
        <w:rPr>
          <w:lang w:eastAsia="x-none"/>
        </w:rPr>
        <w:tab/>
        <w:t>Maintenance on Rel-18 Multiple TA Operation</w:t>
      </w:r>
      <w:r w:rsidR="00F74A6F" w:rsidRPr="009537ED">
        <w:rPr>
          <w:lang w:eastAsia="x-none"/>
        </w:rPr>
        <w:tab/>
        <w:t>InterDigital, Inc.</w:t>
      </w:r>
    </w:p>
    <w:p w14:paraId="5336ADB5" w14:textId="34E4567C" w:rsidR="00F74A6F" w:rsidRPr="009537ED" w:rsidRDefault="005A18DC" w:rsidP="00F74A6F">
      <w:pPr>
        <w:rPr>
          <w:lang w:eastAsia="x-none"/>
        </w:rPr>
      </w:pPr>
      <w:hyperlink r:id="rId793" w:history="1">
        <w:r w:rsidR="00AF7253">
          <w:rPr>
            <w:rStyle w:val="Hyperlink"/>
            <w:lang w:eastAsia="x-none"/>
          </w:rPr>
          <w:t>R1-2310948</w:t>
        </w:r>
      </w:hyperlink>
      <w:r w:rsidR="00F74A6F" w:rsidRPr="009537ED">
        <w:rPr>
          <w:lang w:eastAsia="x-none"/>
        </w:rPr>
        <w:tab/>
        <w:t>Maintenance on TA enhancement for multi-DCI</w:t>
      </w:r>
      <w:r w:rsidR="00F74A6F" w:rsidRPr="009537ED">
        <w:rPr>
          <w:lang w:eastAsia="x-none"/>
        </w:rPr>
        <w:tab/>
        <w:t>ZTE</w:t>
      </w:r>
    </w:p>
    <w:p w14:paraId="73B2E878" w14:textId="1F86D755" w:rsidR="00F74A6F" w:rsidRPr="009537ED" w:rsidRDefault="005A18DC" w:rsidP="00F74A6F">
      <w:pPr>
        <w:rPr>
          <w:lang w:eastAsia="x-none"/>
        </w:rPr>
      </w:pPr>
      <w:hyperlink r:id="rId794" w:history="1">
        <w:r w:rsidR="00AF7253">
          <w:rPr>
            <w:rStyle w:val="Hyperlink"/>
            <w:lang w:eastAsia="x-none"/>
          </w:rPr>
          <w:t>R1-2310971</w:t>
        </w:r>
      </w:hyperlink>
      <w:r w:rsidR="00F74A6F" w:rsidRPr="009537ED">
        <w:rPr>
          <w:lang w:eastAsia="x-none"/>
        </w:rPr>
        <w:tab/>
        <w:t>Maintenance of two TAs for multi-DCI</w:t>
      </w:r>
      <w:r w:rsidR="00F74A6F" w:rsidRPr="009537ED">
        <w:rPr>
          <w:lang w:eastAsia="x-none"/>
        </w:rPr>
        <w:tab/>
        <w:t>Ericsson</w:t>
      </w:r>
    </w:p>
    <w:p w14:paraId="318D3D21" w14:textId="62964E08" w:rsidR="00F74A6F" w:rsidRPr="009537ED" w:rsidRDefault="005A18DC" w:rsidP="00F74A6F">
      <w:pPr>
        <w:rPr>
          <w:lang w:eastAsia="x-none"/>
        </w:rPr>
      </w:pPr>
      <w:hyperlink r:id="rId795" w:history="1">
        <w:r w:rsidR="00AF7253">
          <w:rPr>
            <w:rStyle w:val="Hyperlink"/>
            <w:lang w:eastAsia="x-none"/>
          </w:rPr>
          <w:t>R1-2311084</w:t>
        </w:r>
      </w:hyperlink>
      <w:r w:rsidR="00F74A6F" w:rsidRPr="009537ED">
        <w:rPr>
          <w:lang w:eastAsia="x-none"/>
        </w:rPr>
        <w:tab/>
        <w:t>Maintenance on two TAs for multi-DCI-based multi-TRP operation</w:t>
      </w:r>
      <w:r w:rsidR="00F74A6F" w:rsidRPr="009537ED">
        <w:rPr>
          <w:lang w:eastAsia="x-none"/>
        </w:rPr>
        <w:tab/>
        <w:t>vivo</w:t>
      </w:r>
    </w:p>
    <w:p w14:paraId="126EE672" w14:textId="2BA2AD70" w:rsidR="00F74A6F" w:rsidRPr="009537ED" w:rsidRDefault="005A18DC" w:rsidP="00F74A6F">
      <w:pPr>
        <w:rPr>
          <w:lang w:eastAsia="x-none"/>
        </w:rPr>
      </w:pPr>
      <w:hyperlink r:id="rId796" w:history="1">
        <w:r w:rsidR="00AF7253">
          <w:rPr>
            <w:rStyle w:val="Hyperlink"/>
            <w:lang w:eastAsia="x-none"/>
          </w:rPr>
          <w:t>R1-2311152</w:t>
        </w:r>
      </w:hyperlink>
      <w:r w:rsidR="00F74A6F" w:rsidRPr="009537ED">
        <w:rPr>
          <w:lang w:eastAsia="x-none"/>
        </w:rPr>
        <w:tab/>
        <w:t>On two TAs for multi-DCI</w:t>
      </w:r>
      <w:r w:rsidR="00F74A6F" w:rsidRPr="009537ED">
        <w:rPr>
          <w:lang w:eastAsia="x-none"/>
        </w:rPr>
        <w:tab/>
        <w:t>Intel Corporation</w:t>
      </w:r>
    </w:p>
    <w:p w14:paraId="438B5385" w14:textId="64504103" w:rsidR="00F74A6F" w:rsidRPr="009537ED" w:rsidRDefault="005A18DC" w:rsidP="00F74A6F">
      <w:pPr>
        <w:rPr>
          <w:lang w:eastAsia="x-none"/>
        </w:rPr>
      </w:pPr>
      <w:hyperlink r:id="rId797" w:history="1">
        <w:r w:rsidR="00AF7253">
          <w:rPr>
            <w:rStyle w:val="Hyperlink"/>
            <w:lang w:eastAsia="x-none"/>
          </w:rPr>
          <w:t>R1-2311156</w:t>
        </w:r>
      </w:hyperlink>
      <w:r w:rsidR="00F74A6F" w:rsidRPr="009537ED">
        <w:rPr>
          <w:lang w:eastAsia="x-none"/>
        </w:rPr>
        <w:tab/>
        <w:t>Remaining issues on two TAs for multi-DCI based multi-TRP</w:t>
      </w:r>
      <w:r w:rsidR="00F74A6F" w:rsidRPr="009537ED">
        <w:rPr>
          <w:lang w:eastAsia="x-none"/>
        </w:rPr>
        <w:tab/>
        <w:t>Spreadtrum Communications</w:t>
      </w:r>
    </w:p>
    <w:p w14:paraId="530FE052" w14:textId="64F3662E" w:rsidR="00F74A6F" w:rsidRPr="009537ED" w:rsidRDefault="005A18DC" w:rsidP="00F74A6F">
      <w:pPr>
        <w:rPr>
          <w:lang w:eastAsia="x-none"/>
        </w:rPr>
      </w:pPr>
      <w:hyperlink r:id="rId798" w:history="1">
        <w:r w:rsidR="00AF7253">
          <w:rPr>
            <w:rStyle w:val="Hyperlink"/>
            <w:lang w:eastAsia="x-none"/>
          </w:rPr>
          <w:t>R1-2311214</w:t>
        </w:r>
      </w:hyperlink>
      <w:r w:rsidR="00F74A6F" w:rsidRPr="009537ED">
        <w:rPr>
          <w:lang w:eastAsia="x-none"/>
        </w:rPr>
        <w:tab/>
        <w:t>Remaining issues of two TAs for multi-DCI based multi-TRP operation</w:t>
      </w:r>
      <w:r w:rsidR="00F74A6F" w:rsidRPr="009537ED">
        <w:rPr>
          <w:lang w:eastAsia="x-none"/>
        </w:rPr>
        <w:tab/>
        <w:t>OPPO</w:t>
      </w:r>
    </w:p>
    <w:p w14:paraId="231D7CD0" w14:textId="3FB9904B" w:rsidR="00F74A6F" w:rsidRPr="009537ED" w:rsidRDefault="005A18DC" w:rsidP="00F74A6F">
      <w:pPr>
        <w:rPr>
          <w:lang w:eastAsia="x-none"/>
        </w:rPr>
      </w:pPr>
      <w:hyperlink r:id="rId799" w:history="1">
        <w:r w:rsidR="00AF7253">
          <w:rPr>
            <w:rStyle w:val="Hyperlink"/>
            <w:lang w:eastAsia="x-none"/>
          </w:rPr>
          <w:t>R1-2311315</w:t>
        </w:r>
      </w:hyperlink>
      <w:r w:rsidR="00F74A6F" w:rsidRPr="009537ED">
        <w:rPr>
          <w:lang w:eastAsia="x-none"/>
        </w:rPr>
        <w:tab/>
        <w:t>Remaining issues on TA enhancement for multi-DCI</w:t>
      </w:r>
      <w:r w:rsidR="00F74A6F" w:rsidRPr="009537ED">
        <w:rPr>
          <w:lang w:eastAsia="x-none"/>
        </w:rPr>
        <w:tab/>
        <w:t>CATT</w:t>
      </w:r>
    </w:p>
    <w:p w14:paraId="3D49F4EE" w14:textId="4BFBC94C" w:rsidR="00F74A6F" w:rsidRPr="009537ED" w:rsidRDefault="005A18DC" w:rsidP="00F74A6F">
      <w:pPr>
        <w:rPr>
          <w:lang w:eastAsia="x-none"/>
        </w:rPr>
      </w:pPr>
      <w:hyperlink r:id="rId800" w:history="1">
        <w:r w:rsidR="00AF7253">
          <w:rPr>
            <w:rStyle w:val="Hyperlink"/>
            <w:lang w:eastAsia="x-none"/>
          </w:rPr>
          <w:t>R1-2311362</w:t>
        </w:r>
      </w:hyperlink>
      <w:r w:rsidR="00F74A6F" w:rsidRPr="009537ED">
        <w:rPr>
          <w:lang w:eastAsia="x-none"/>
        </w:rPr>
        <w:tab/>
        <w:t>Remaining issues of two TAs for multi-DCI UL transmission</w:t>
      </w:r>
      <w:r w:rsidR="00F74A6F" w:rsidRPr="009537ED">
        <w:rPr>
          <w:lang w:eastAsia="x-none"/>
        </w:rPr>
        <w:tab/>
        <w:t>Lenovo</w:t>
      </w:r>
    </w:p>
    <w:p w14:paraId="59461F3B" w14:textId="18611A50" w:rsidR="00F74A6F" w:rsidRPr="009537ED" w:rsidRDefault="005A18DC" w:rsidP="00F74A6F">
      <w:pPr>
        <w:rPr>
          <w:lang w:eastAsia="x-none"/>
        </w:rPr>
      </w:pPr>
      <w:hyperlink r:id="rId801" w:history="1">
        <w:r w:rsidR="00AF7253">
          <w:rPr>
            <w:rStyle w:val="Hyperlink"/>
            <w:lang w:eastAsia="x-none"/>
          </w:rPr>
          <w:t>R1-2311381</w:t>
        </w:r>
      </w:hyperlink>
      <w:r w:rsidR="00F74A6F" w:rsidRPr="009537ED">
        <w:rPr>
          <w:lang w:eastAsia="x-none"/>
        </w:rPr>
        <w:tab/>
        <w:t>Discussion on two TAs for multi-TRP operation</w:t>
      </w:r>
      <w:r w:rsidR="00F74A6F" w:rsidRPr="009537ED">
        <w:rPr>
          <w:lang w:eastAsia="x-none"/>
        </w:rPr>
        <w:tab/>
        <w:t>xiaomi</w:t>
      </w:r>
    </w:p>
    <w:p w14:paraId="7229134A" w14:textId="024C6C33" w:rsidR="00F74A6F" w:rsidRPr="009537ED" w:rsidRDefault="005A18DC" w:rsidP="00F74A6F">
      <w:pPr>
        <w:rPr>
          <w:lang w:eastAsia="x-none"/>
        </w:rPr>
      </w:pPr>
      <w:hyperlink r:id="rId802" w:history="1">
        <w:r w:rsidR="00AF7253">
          <w:rPr>
            <w:rStyle w:val="Hyperlink"/>
            <w:lang w:eastAsia="x-none"/>
          </w:rPr>
          <w:t>R1-2311421</w:t>
        </w:r>
      </w:hyperlink>
      <w:r w:rsidR="00F74A6F" w:rsidRPr="009537ED">
        <w:rPr>
          <w:lang w:eastAsia="x-none"/>
        </w:rPr>
        <w:tab/>
        <w:t>Remaining issues on two TAs for multi-DCI</w:t>
      </w:r>
      <w:r w:rsidR="00F74A6F" w:rsidRPr="009537ED">
        <w:rPr>
          <w:lang w:eastAsia="x-none"/>
        </w:rPr>
        <w:tab/>
        <w:t>NEC</w:t>
      </w:r>
    </w:p>
    <w:p w14:paraId="2CD5FD90" w14:textId="579317F3" w:rsidR="00F74A6F" w:rsidRPr="009537ED" w:rsidRDefault="005A18DC" w:rsidP="00F74A6F">
      <w:pPr>
        <w:rPr>
          <w:lang w:eastAsia="x-none"/>
        </w:rPr>
      </w:pPr>
      <w:hyperlink r:id="rId803" w:history="1">
        <w:r w:rsidR="00AF7253">
          <w:rPr>
            <w:rStyle w:val="Hyperlink"/>
            <w:lang w:eastAsia="x-none"/>
          </w:rPr>
          <w:t>R1-2311433</w:t>
        </w:r>
      </w:hyperlink>
      <w:r w:rsidR="00F74A6F" w:rsidRPr="009537ED">
        <w:rPr>
          <w:lang w:eastAsia="x-none"/>
        </w:rPr>
        <w:tab/>
        <w:t>Two TAs for multi-TRP/panel</w:t>
      </w:r>
      <w:r w:rsidR="00F74A6F" w:rsidRPr="009537ED">
        <w:rPr>
          <w:lang w:eastAsia="x-none"/>
        </w:rPr>
        <w:tab/>
        <w:t>LG Electronics</w:t>
      </w:r>
    </w:p>
    <w:p w14:paraId="286D4492" w14:textId="04A83D5D" w:rsidR="00F74A6F" w:rsidRPr="009537ED" w:rsidRDefault="005A18DC" w:rsidP="00F74A6F">
      <w:pPr>
        <w:rPr>
          <w:lang w:eastAsia="x-none"/>
        </w:rPr>
      </w:pPr>
      <w:hyperlink r:id="rId804" w:history="1">
        <w:r w:rsidR="00AF7253">
          <w:rPr>
            <w:rStyle w:val="Hyperlink"/>
            <w:lang w:eastAsia="x-none"/>
          </w:rPr>
          <w:t>R1-2311441</w:t>
        </w:r>
      </w:hyperlink>
      <w:r w:rsidR="00F74A6F" w:rsidRPr="009537ED">
        <w:rPr>
          <w:lang w:eastAsia="x-none"/>
        </w:rPr>
        <w:tab/>
        <w:t>Maintenance on two TAs for multi-DCI</w:t>
      </w:r>
      <w:r w:rsidR="00F74A6F" w:rsidRPr="009537ED">
        <w:rPr>
          <w:lang w:eastAsia="x-none"/>
        </w:rPr>
        <w:tab/>
        <w:t>Google</w:t>
      </w:r>
    </w:p>
    <w:p w14:paraId="02EC64EB" w14:textId="1F2BBAFF" w:rsidR="00F74A6F" w:rsidRPr="009537ED" w:rsidRDefault="005A18DC" w:rsidP="00F74A6F">
      <w:pPr>
        <w:rPr>
          <w:lang w:eastAsia="x-none"/>
        </w:rPr>
      </w:pPr>
      <w:hyperlink r:id="rId805" w:history="1">
        <w:r w:rsidR="00AF7253">
          <w:rPr>
            <w:rStyle w:val="Hyperlink"/>
            <w:lang w:eastAsia="x-none"/>
          </w:rPr>
          <w:t>R1-2311475</w:t>
        </w:r>
      </w:hyperlink>
      <w:r w:rsidR="00F74A6F" w:rsidRPr="009537ED">
        <w:rPr>
          <w:lang w:eastAsia="x-none"/>
        </w:rPr>
        <w:tab/>
        <w:t>Remaining issues on two TAs for multi-DCI</w:t>
      </w:r>
      <w:r w:rsidR="00F74A6F" w:rsidRPr="009537ED">
        <w:rPr>
          <w:lang w:eastAsia="x-none"/>
        </w:rPr>
        <w:tab/>
        <w:t>CMCC</w:t>
      </w:r>
    </w:p>
    <w:p w14:paraId="41E8309C" w14:textId="1008359E" w:rsidR="00F74A6F" w:rsidRPr="009537ED" w:rsidRDefault="005A18DC" w:rsidP="00F74A6F">
      <w:pPr>
        <w:rPr>
          <w:lang w:eastAsia="x-none"/>
        </w:rPr>
      </w:pPr>
      <w:hyperlink r:id="rId806" w:history="1">
        <w:r w:rsidR="00AF7253">
          <w:rPr>
            <w:rStyle w:val="Hyperlink"/>
            <w:lang w:eastAsia="x-none"/>
          </w:rPr>
          <w:t>R1-2311613</w:t>
        </w:r>
      </w:hyperlink>
      <w:r w:rsidR="00F74A6F" w:rsidRPr="009537ED">
        <w:rPr>
          <w:lang w:eastAsia="x-none"/>
        </w:rPr>
        <w:tab/>
        <w:t>Remaining issues on two TAs for multi-DCI</w:t>
      </w:r>
      <w:r w:rsidR="00F74A6F" w:rsidRPr="009537ED">
        <w:rPr>
          <w:lang w:eastAsia="x-none"/>
        </w:rPr>
        <w:tab/>
        <w:t>NTT DOCOMO, INC.</w:t>
      </w:r>
    </w:p>
    <w:p w14:paraId="039DB515" w14:textId="338A1DBF" w:rsidR="00F74A6F" w:rsidRPr="009537ED" w:rsidRDefault="005A18DC" w:rsidP="00F74A6F">
      <w:pPr>
        <w:rPr>
          <w:lang w:eastAsia="x-none"/>
        </w:rPr>
      </w:pPr>
      <w:hyperlink r:id="rId807" w:history="1">
        <w:r w:rsidR="00AF7253">
          <w:rPr>
            <w:rStyle w:val="Hyperlink"/>
            <w:lang w:eastAsia="x-none"/>
          </w:rPr>
          <w:t>R1-2311675</w:t>
        </w:r>
      </w:hyperlink>
      <w:r w:rsidR="00F74A6F" w:rsidRPr="009537ED">
        <w:rPr>
          <w:lang w:eastAsia="x-none"/>
        </w:rPr>
        <w:tab/>
        <w:t>Two TAs for multi-DCI mTRP</w:t>
      </w:r>
      <w:r w:rsidR="00F74A6F" w:rsidRPr="009537ED">
        <w:rPr>
          <w:lang w:eastAsia="x-none"/>
        </w:rPr>
        <w:tab/>
        <w:t>Apple</w:t>
      </w:r>
    </w:p>
    <w:p w14:paraId="54389A07" w14:textId="469A49FA" w:rsidR="00F74A6F" w:rsidRPr="009537ED" w:rsidRDefault="005A18DC" w:rsidP="00F74A6F">
      <w:pPr>
        <w:rPr>
          <w:lang w:eastAsia="x-none"/>
        </w:rPr>
      </w:pPr>
      <w:hyperlink r:id="rId808" w:history="1">
        <w:r w:rsidR="00AF7253">
          <w:rPr>
            <w:rStyle w:val="Hyperlink"/>
            <w:lang w:eastAsia="x-none"/>
          </w:rPr>
          <w:t>R1-2311719</w:t>
        </w:r>
      </w:hyperlink>
      <w:r w:rsidR="00F74A6F" w:rsidRPr="009537ED">
        <w:rPr>
          <w:lang w:eastAsia="x-none"/>
        </w:rPr>
        <w:tab/>
        <w:t>Maintenance on two TAs for multi-DCI</w:t>
      </w:r>
      <w:r w:rsidR="00F74A6F" w:rsidRPr="009537ED">
        <w:rPr>
          <w:lang w:eastAsia="x-none"/>
        </w:rPr>
        <w:tab/>
        <w:t>Sharp</w:t>
      </w:r>
    </w:p>
    <w:p w14:paraId="1A79EF9D" w14:textId="5EC873A1" w:rsidR="00F74A6F" w:rsidRPr="009537ED" w:rsidRDefault="005A18DC" w:rsidP="00F74A6F">
      <w:pPr>
        <w:rPr>
          <w:lang w:eastAsia="x-none"/>
        </w:rPr>
      </w:pPr>
      <w:hyperlink r:id="rId809" w:history="1">
        <w:r w:rsidR="00AF7253">
          <w:rPr>
            <w:rStyle w:val="Hyperlink"/>
            <w:lang w:eastAsia="x-none"/>
          </w:rPr>
          <w:t>R1-2311740</w:t>
        </w:r>
      </w:hyperlink>
      <w:r w:rsidR="00F74A6F" w:rsidRPr="009537ED">
        <w:rPr>
          <w:lang w:eastAsia="x-none"/>
        </w:rPr>
        <w:tab/>
        <w:t>Maintenance of two TAs for UL multi-DCI multi-TRP operation</w:t>
      </w:r>
      <w:r w:rsidR="00F74A6F" w:rsidRPr="009537ED">
        <w:rPr>
          <w:lang w:eastAsia="x-none"/>
        </w:rPr>
        <w:tab/>
        <w:t>Nokia, Nokia Shanghai Bell</w:t>
      </w:r>
    </w:p>
    <w:p w14:paraId="52EA112E" w14:textId="3F84CD75" w:rsidR="00F74A6F" w:rsidRPr="009537ED" w:rsidRDefault="005A18DC" w:rsidP="00F74A6F">
      <w:pPr>
        <w:rPr>
          <w:lang w:eastAsia="x-none"/>
        </w:rPr>
      </w:pPr>
      <w:hyperlink r:id="rId810" w:history="1">
        <w:r w:rsidR="00AF7253">
          <w:rPr>
            <w:rStyle w:val="Hyperlink"/>
            <w:lang w:eastAsia="x-none"/>
          </w:rPr>
          <w:t>R1-2311793</w:t>
        </w:r>
      </w:hyperlink>
      <w:r w:rsidR="00F74A6F" w:rsidRPr="009537ED">
        <w:rPr>
          <w:lang w:eastAsia="x-none"/>
        </w:rPr>
        <w:tab/>
        <w:t>Remaining issues of two TAs for multi-DCI based multi-TRP operation</w:t>
      </w:r>
      <w:r w:rsidR="00F74A6F" w:rsidRPr="009537ED">
        <w:rPr>
          <w:lang w:eastAsia="x-none"/>
        </w:rPr>
        <w:tab/>
        <w:t>Transsion Holdings</w:t>
      </w:r>
    </w:p>
    <w:p w14:paraId="78A205EC" w14:textId="24827C57" w:rsidR="00F74A6F" w:rsidRPr="009537ED" w:rsidRDefault="005A18DC" w:rsidP="00F74A6F">
      <w:pPr>
        <w:rPr>
          <w:lang w:eastAsia="x-none"/>
        </w:rPr>
      </w:pPr>
      <w:hyperlink r:id="rId811" w:history="1">
        <w:r w:rsidR="00AF7253">
          <w:rPr>
            <w:rStyle w:val="Hyperlink"/>
            <w:lang w:eastAsia="x-none"/>
          </w:rPr>
          <w:t>R1-2311830</w:t>
        </w:r>
      </w:hyperlink>
      <w:r w:rsidR="00F74A6F" w:rsidRPr="009537ED">
        <w:rPr>
          <w:lang w:eastAsia="x-none"/>
        </w:rPr>
        <w:tab/>
        <w:t>Remaining details on two TAs for m-DCI</w:t>
      </w:r>
      <w:r w:rsidR="00F74A6F" w:rsidRPr="009537ED">
        <w:rPr>
          <w:lang w:eastAsia="x-none"/>
        </w:rPr>
        <w:tab/>
        <w:t>Samsung</w:t>
      </w:r>
    </w:p>
    <w:p w14:paraId="7ACA245E" w14:textId="39322E31" w:rsidR="00F74A6F" w:rsidRPr="009537ED" w:rsidRDefault="005A18DC" w:rsidP="00F74A6F">
      <w:pPr>
        <w:rPr>
          <w:lang w:eastAsia="x-none"/>
        </w:rPr>
      </w:pPr>
      <w:hyperlink r:id="rId812" w:history="1">
        <w:r w:rsidR="00AF7253">
          <w:rPr>
            <w:rStyle w:val="Hyperlink"/>
            <w:lang w:eastAsia="x-none"/>
          </w:rPr>
          <w:t>R1-2311926</w:t>
        </w:r>
      </w:hyperlink>
      <w:r w:rsidR="00F74A6F" w:rsidRPr="009537ED">
        <w:rPr>
          <w:lang w:eastAsia="x-none"/>
        </w:rPr>
        <w:tab/>
        <w:t>Remaining issues on two TAs for multi-DCI</w:t>
      </w:r>
      <w:r w:rsidR="00F74A6F" w:rsidRPr="009537ED">
        <w:rPr>
          <w:lang w:eastAsia="x-none"/>
        </w:rPr>
        <w:tab/>
        <w:t>Ruijie Network Co. Ltd</w:t>
      </w:r>
    </w:p>
    <w:p w14:paraId="37E2313F" w14:textId="4686DEAE" w:rsidR="00F74A6F" w:rsidRPr="009537ED" w:rsidRDefault="005A18DC" w:rsidP="00F74A6F">
      <w:pPr>
        <w:rPr>
          <w:lang w:eastAsia="x-none"/>
        </w:rPr>
      </w:pPr>
      <w:hyperlink r:id="rId813" w:history="1">
        <w:r w:rsidR="00AF7253">
          <w:rPr>
            <w:rStyle w:val="Hyperlink"/>
            <w:lang w:eastAsia="x-none"/>
          </w:rPr>
          <w:t>R1-2311972</w:t>
        </w:r>
      </w:hyperlink>
      <w:r w:rsidR="00F74A6F" w:rsidRPr="009537ED">
        <w:rPr>
          <w:lang w:eastAsia="x-none"/>
        </w:rPr>
        <w:tab/>
        <w:t>Remaining issues on UL Tx timing management for MTRP</w:t>
      </w:r>
      <w:r w:rsidR="00F74A6F" w:rsidRPr="009537ED">
        <w:rPr>
          <w:lang w:eastAsia="x-none"/>
        </w:rPr>
        <w:tab/>
        <w:t>MediaTek Inc.</w:t>
      </w:r>
    </w:p>
    <w:p w14:paraId="7B88048A" w14:textId="7C5224B7" w:rsidR="00F74A6F" w:rsidRPr="009537ED" w:rsidRDefault="005A18DC" w:rsidP="00F74A6F">
      <w:pPr>
        <w:rPr>
          <w:lang w:eastAsia="x-none"/>
        </w:rPr>
      </w:pPr>
      <w:hyperlink r:id="rId814" w:history="1">
        <w:r w:rsidR="00AF7253">
          <w:rPr>
            <w:rStyle w:val="Hyperlink"/>
            <w:lang w:eastAsia="x-none"/>
          </w:rPr>
          <w:t>R1-2312026</w:t>
        </w:r>
      </w:hyperlink>
      <w:r w:rsidR="00F74A6F" w:rsidRPr="009537ED">
        <w:rPr>
          <w:lang w:eastAsia="x-none"/>
        </w:rPr>
        <w:tab/>
        <w:t>Supporting two TAs for multi-DCI based mTRP</w:t>
      </w:r>
      <w:r w:rsidR="00F74A6F" w:rsidRPr="009537ED">
        <w:rPr>
          <w:lang w:eastAsia="x-none"/>
        </w:rPr>
        <w:tab/>
        <w:t>Qualcomm Incorporated</w:t>
      </w:r>
    </w:p>
    <w:p w14:paraId="4C483251" w14:textId="77777777" w:rsidR="00F125DD" w:rsidRPr="009537ED" w:rsidRDefault="00F125DD" w:rsidP="00F125DD"/>
    <w:p w14:paraId="77E2C805" w14:textId="361C4642" w:rsidR="00A41C1A" w:rsidRPr="009537ED" w:rsidRDefault="005A18DC" w:rsidP="00F125DD">
      <w:pPr>
        <w:rPr>
          <w:b/>
          <w:bCs/>
        </w:rPr>
      </w:pPr>
      <w:hyperlink r:id="rId815" w:history="1">
        <w:r w:rsidR="00AF7253">
          <w:rPr>
            <w:rStyle w:val="Hyperlink"/>
            <w:b/>
            <w:bCs/>
          </w:rPr>
          <w:t>R1-2312329</w:t>
        </w:r>
      </w:hyperlink>
      <w:r w:rsidR="00A41C1A" w:rsidRPr="009537ED">
        <w:rPr>
          <w:b/>
          <w:bCs/>
        </w:rPr>
        <w:tab/>
        <w:t>Moderator Summary #1 on Two TAs for multi-DCI</w:t>
      </w:r>
      <w:r w:rsidR="00A41C1A" w:rsidRPr="009537ED">
        <w:rPr>
          <w:b/>
          <w:bCs/>
        </w:rPr>
        <w:tab/>
        <w:t>Moderator (Ericsson)</w:t>
      </w:r>
    </w:p>
    <w:p w14:paraId="25408459" w14:textId="173C1AF4" w:rsidR="00F125DD" w:rsidRPr="009537ED" w:rsidRDefault="00F125DD" w:rsidP="00F125DD">
      <w:r w:rsidRPr="009537ED">
        <w:t>From Monday session</w:t>
      </w:r>
    </w:p>
    <w:p w14:paraId="372208C0" w14:textId="77777777" w:rsidR="00F125DD" w:rsidRPr="009537ED" w:rsidRDefault="00F125DD" w:rsidP="00F125DD">
      <w:pPr>
        <w:rPr>
          <w:highlight w:val="green"/>
        </w:rPr>
      </w:pPr>
      <w:r w:rsidRPr="009537ED">
        <w:rPr>
          <w:highlight w:val="green"/>
        </w:rPr>
        <w:t>Agreement</w:t>
      </w:r>
    </w:p>
    <w:p w14:paraId="2FB66CFE" w14:textId="77777777" w:rsidR="00F125DD" w:rsidRPr="00677802" w:rsidRDefault="00F125DD" w:rsidP="00F125DD">
      <w:pPr>
        <w:rPr>
          <w:rFonts w:eastAsia="Malgun Gothic" w:cs="Times"/>
          <w:i/>
          <w:iCs/>
          <w:sz w:val="18"/>
        </w:rPr>
      </w:pPr>
      <w:r w:rsidRPr="00677802">
        <w:rPr>
          <w:rStyle w:val="Emphasis"/>
          <w:rFonts w:cs="Times"/>
          <w:i w:val="0"/>
          <w:iCs w:val="0"/>
          <w:u w:val="single"/>
        </w:rPr>
        <w:t>Revert</w:t>
      </w:r>
      <w:r w:rsidRPr="00677802">
        <w:rPr>
          <w:rStyle w:val="Emphasis"/>
          <w:rFonts w:cs="Times"/>
          <w:i w:val="0"/>
          <w:iCs w:val="0"/>
        </w:rPr>
        <w:t xml:space="preserve"> the following working assumption:</w:t>
      </w:r>
    </w:p>
    <w:p w14:paraId="04800B71" w14:textId="77777777" w:rsidR="00F125DD" w:rsidRPr="009537ED" w:rsidRDefault="00F125DD" w:rsidP="00A76E0D">
      <w:pPr>
        <w:pStyle w:val="ListParagraph"/>
        <w:numPr>
          <w:ilvl w:val="0"/>
          <w:numId w:val="97"/>
        </w:numPr>
        <w:rPr>
          <w:rStyle w:val="Emphasis"/>
          <w:rFonts w:cs="Times"/>
          <w:i w:val="0"/>
          <w:iCs w:val="0"/>
        </w:rPr>
      </w:pPr>
      <w:r w:rsidRPr="009537ED">
        <w:rPr>
          <w:rStyle w:val="Emphasis"/>
          <w:rFonts w:cs="Times"/>
        </w:rPr>
        <w:t>Working Assumption: A UE may report that it supports that the [activated] UL/joint TCI states [of UL signals/channels] associated to one CORESETPoolIndex correspond to both TAGs</w:t>
      </w:r>
    </w:p>
    <w:p w14:paraId="214DA192" w14:textId="77777777" w:rsidR="00F125DD" w:rsidRDefault="00F125DD" w:rsidP="00F125DD"/>
    <w:p w14:paraId="0B5B2B29" w14:textId="5B7100EF" w:rsidR="00DB374B" w:rsidRPr="00DB374B" w:rsidRDefault="005A18DC" w:rsidP="00F125DD">
      <w:pPr>
        <w:rPr>
          <w:b/>
          <w:bCs/>
        </w:rPr>
      </w:pPr>
      <w:hyperlink r:id="rId816" w:history="1">
        <w:r w:rsidR="00AF7253">
          <w:rPr>
            <w:rStyle w:val="Hyperlink"/>
            <w:b/>
            <w:bCs/>
          </w:rPr>
          <w:t>R1-2312473</w:t>
        </w:r>
      </w:hyperlink>
      <w:r w:rsidR="00DB374B" w:rsidRPr="00DB374B">
        <w:rPr>
          <w:b/>
          <w:bCs/>
        </w:rPr>
        <w:tab/>
        <w:t>Moderator Summary #2 on Two TAs for multi-DCI</w:t>
      </w:r>
      <w:r w:rsidR="00DB374B" w:rsidRPr="00DB374B">
        <w:rPr>
          <w:b/>
          <w:bCs/>
        </w:rPr>
        <w:tab/>
        <w:t>Moderator (Ericsson)</w:t>
      </w:r>
    </w:p>
    <w:p w14:paraId="17DF56F1" w14:textId="2E5E980C" w:rsidR="00DB374B" w:rsidRPr="009537ED" w:rsidRDefault="00DB374B" w:rsidP="00DB374B">
      <w:r w:rsidRPr="009537ED">
        <w:t xml:space="preserve">From </w:t>
      </w:r>
      <w:r>
        <w:t>Wednes</w:t>
      </w:r>
      <w:r w:rsidRPr="009537ED">
        <w:t>day session</w:t>
      </w:r>
    </w:p>
    <w:p w14:paraId="4C91F40A" w14:textId="77777777" w:rsidR="00DB374B" w:rsidRDefault="00DB374B" w:rsidP="00DB374B">
      <w:pPr>
        <w:rPr>
          <w:b/>
          <w:bCs/>
          <w:lang w:eastAsia="x-none"/>
        </w:rPr>
      </w:pPr>
      <w:r>
        <w:rPr>
          <w:b/>
          <w:bCs/>
          <w:lang w:eastAsia="x-none"/>
        </w:rPr>
        <w:t>Conclusion</w:t>
      </w:r>
    </w:p>
    <w:p w14:paraId="164BFC6D" w14:textId="77777777" w:rsidR="00DB374B" w:rsidRDefault="00DB374B" w:rsidP="00DB374B">
      <w:pPr>
        <w:rPr>
          <w:rStyle w:val="Emphasis"/>
          <w:rFonts w:cs="Times"/>
          <w:i w:val="0"/>
          <w:iCs w:val="0"/>
        </w:rPr>
      </w:pPr>
      <w:r>
        <w:rPr>
          <w:rStyle w:val="Emphasis"/>
          <w:rFonts w:cs="Times"/>
          <w:i w:val="0"/>
          <w:iCs w:val="0"/>
        </w:rPr>
        <w:t xml:space="preserve">When a UE is configured with both the inter-cell multi-DCI based Multi-TRP operation with two TAs and Rel-18 LTM features, the UE does not expect the cell indicator field and PCI indicator field to be non-zero simultaneously. </w:t>
      </w:r>
    </w:p>
    <w:p w14:paraId="7C1F9E70" w14:textId="77777777" w:rsidR="00DB374B" w:rsidRPr="00113CE0" w:rsidRDefault="00DB374B" w:rsidP="00A67145">
      <w:pPr>
        <w:pStyle w:val="ListParagraph"/>
        <w:numPr>
          <w:ilvl w:val="0"/>
          <w:numId w:val="187"/>
        </w:numPr>
        <w:rPr>
          <w:rStyle w:val="Emphasis"/>
          <w:rFonts w:cs="Times"/>
          <w:i w:val="0"/>
          <w:iCs w:val="0"/>
        </w:rPr>
      </w:pPr>
      <w:r w:rsidRPr="00113CE0">
        <w:rPr>
          <w:rStyle w:val="Emphasis"/>
          <w:rFonts w:cs="Times"/>
          <w:i w:val="0"/>
          <w:iCs w:val="0"/>
        </w:rPr>
        <w:t>FFS: cell indicator field and PCI indicator field are not non-zero simultaneously</w:t>
      </w:r>
    </w:p>
    <w:p w14:paraId="640E1B68" w14:textId="77777777" w:rsidR="00DB374B" w:rsidRPr="00113CE0" w:rsidRDefault="00DB374B" w:rsidP="00A67145">
      <w:pPr>
        <w:pStyle w:val="ListParagraph"/>
        <w:numPr>
          <w:ilvl w:val="1"/>
          <w:numId w:val="187"/>
        </w:numPr>
        <w:rPr>
          <w:rStyle w:val="Emphasis"/>
          <w:rFonts w:cs="Times"/>
          <w:i w:val="0"/>
          <w:iCs w:val="0"/>
        </w:rPr>
      </w:pPr>
      <w:r w:rsidRPr="00113CE0">
        <w:rPr>
          <w:rStyle w:val="Emphasis"/>
          <w:rFonts w:cs="Times"/>
          <w:i w:val="0"/>
          <w:iCs w:val="0"/>
        </w:rPr>
        <w:t>Including potential specification impact</w:t>
      </w:r>
    </w:p>
    <w:p w14:paraId="7B64461F" w14:textId="77777777" w:rsidR="00113CE0" w:rsidRPr="00113CE0" w:rsidRDefault="00113CE0" w:rsidP="00113CE0">
      <w:pPr>
        <w:rPr>
          <w:rFonts w:ascii="Times New Roman" w:hAnsi="Times New Roman"/>
          <w:szCs w:val="20"/>
          <w:highlight w:val="green"/>
        </w:rPr>
      </w:pPr>
      <w:r w:rsidRPr="00113CE0">
        <w:rPr>
          <w:rFonts w:ascii="Times New Roman" w:hAnsi="Times New Roman"/>
          <w:szCs w:val="20"/>
          <w:highlight w:val="green"/>
        </w:rPr>
        <w:t>Agreement</w:t>
      </w:r>
    </w:p>
    <w:p w14:paraId="2AA9B1C7" w14:textId="77777777" w:rsidR="00DB374B" w:rsidRPr="00113CE0" w:rsidRDefault="00DB374B" w:rsidP="00113CE0">
      <w:pPr>
        <w:rPr>
          <w:rFonts w:ascii="Times New Roman" w:hAnsi="Times New Roman"/>
          <w:szCs w:val="20"/>
          <w:lang w:val="en-US" w:eastAsia="zh-CN"/>
        </w:rPr>
      </w:pPr>
      <w:r w:rsidRPr="00113CE0">
        <w:rPr>
          <w:rStyle w:val="Emphasis"/>
          <w:rFonts w:ascii="Times New Roman" w:hAnsi="Times New Roman"/>
          <w:i w:val="0"/>
          <w:iCs w:val="0"/>
          <w:szCs w:val="20"/>
          <w:lang w:eastAsia="zh-CN"/>
        </w:rPr>
        <w:t xml:space="preserve">When PRACH is transmitted towards a </w:t>
      </w:r>
      <w:r w:rsidRPr="00113CE0">
        <w:rPr>
          <w:rStyle w:val="Emphasis"/>
          <w:rFonts w:ascii="Times New Roman" w:hAnsi="Times New Roman"/>
          <w:i w:val="0"/>
          <w:iCs w:val="0"/>
          <w:color w:val="000000"/>
          <w:szCs w:val="20"/>
          <w:lang w:eastAsia="zh-CN"/>
        </w:rPr>
        <w:t>TRP that is different from the TRP that transmits PDCCH order,</w:t>
      </w:r>
    </w:p>
    <w:p w14:paraId="4B15F755" w14:textId="77777777" w:rsidR="00DB374B" w:rsidRPr="00113CE0" w:rsidRDefault="00DB374B" w:rsidP="00113CE0">
      <w:pPr>
        <w:rPr>
          <w:rFonts w:ascii="Times New Roman" w:hAnsi="Times New Roman"/>
          <w:szCs w:val="20"/>
          <w:lang w:val="en-US" w:eastAsia="zh-CN"/>
        </w:rPr>
      </w:pPr>
      <w:r w:rsidRPr="00113CE0">
        <w:rPr>
          <w:rStyle w:val="Emphasis"/>
          <w:rFonts w:ascii="Times New Roman" w:hAnsi="Times New Roman"/>
          <w:i w:val="0"/>
          <w:iCs w:val="0"/>
          <w:szCs w:val="20"/>
          <w:lang w:eastAsia="zh-CN"/>
        </w:rPr>
        <w:t>for multi-DCI based inter-cell multi-TRP and intra-cell multi-TRP operation with two TAGs configured in a CC, SSB indicated in the CFRA based PDCCH order is used as the PL-RS for determining the transmit power of the triggered PRACH transmission.</w:t>
      </w:r>
    </w:p>
    <w:p w14:paraId="24BE6221" w14:textId="147B6CDA" w:rsidR="00DB374B" w:rsidRPr="00113CE0" w:rsidRDefault="00DB374B" w:rsidP="00A67145">
      <w:pPr>
        <w:pStyle w:val="ListParagraph"/>
        <w:numPr>
          <w:ilvl w:val="0"/>
          <w:numId w:val="187"/>
        </w:numPr>
        <w:rPr>
          <w:rFonts w:eastAsia="Times New Roman"/>
          <w:lang w:val="en-US" w:eastAsia="zh-CN"/>
        </w:rPr>
      </w:pPr>
      <w:r w:rsidRPr="00113CE0">
        <w:rPr>
          <w:rFonts w:eastAsia="Times New Roman"/>
          <w:lang w:eastAsia="zh-CN"/>
        </w:rPr>
        <w:t>UE expects the indicated SSB in PDCCH order to be configured as PL-RS of an activated TCI state</w:t>
      </w:r>
      <w:r w:rsidR="00113CE0">
        <w:rPr>
          <w:rFonts w:eastAsia="Times New Roman"/>
          <w:lang w:eastAsia="zh-CN"/>
        </w:rPr>
        <w:t>.</w:t>
      </w:r>
    </w:p>
    <w:p w14:paraId="7F4935F5" w14:textId="77777777" w:rsidR="00113CE0" w:rsidRPr="00113CE0" w:rsidRDefault="00113CE0" w:rsidP="00113CE0">
      <w:pPr>
        <w:rPr>
          <w:rFonts w:ascii="Times New Roman" w:hAnsi="Times New Roman"/>
          <w:szCs w:val="20"/>
          <w:highlight w:val="green"/>
        </w:rPr>
      </w:pPr>
      <w:r w:rsidRPr="00113CE0">
        <w:rPr>
          <w:rFonts w:ascii="Times New Roman" w:hAnsi="Times New Roman"/>
          <w:szCs w:val="20"/>
          <w:highlight w:val="green"/>
        </w:rPr>
        <w:t>Agreement</w:t>
      </w:r>
    </w:p>
    <w:p w14:paraId="0AAD309A" w14:textId="77777777" w:rsidR="00DB374B" w:rsidRPr="00113CE0" w:rsidRDefault="00DB374B" w:rsidP="00113CE0">
      <w:pPr>
        <w:rPr>
          <w:rFonts w:ascii="Times New Roman" w:hAnsi="Times New Roman"/>
          <w:szCs w:val="20"/>
          <w:highlight w:val="yellow"/>
          <w:lang w:val="en-US" w:eastAsia="zh-CN"/>
        </w:rPr>
      </w:pPr>
      <w:r w:rsidRPr="00113CE0">
        <w:rPr>
          <w:rStyle w:val="Emphasis"/>
          <w:rFonts w:ascii="Times New Roman" w:hAnsi="Times New Roman"/>
          <w:i w:val="0"/>
          <w:iCs w:val="0"/>
          <w:szCs w:val="20"/>
        </w:rPr>
        <w:t>For PUSCH scheduled by RAR, for inter-cell and intra-cell Multi-DCI Multi-TRP operation with two Tas, TAG indicated in RAR is applied.</w:t>
      </w:r>
    </w:p>
    <w:p w14:paraId="312E4BBA" w14:textId="77777777" w:rsidR="00DB374B" w:rsidRPr="00113CE0" w:rsidRDefault="00DB374B" w:rsidP="00113CE0">
      <w:pPr>
        <w:rPr>
          <w:rFonts w:ascii="Times New Roman" w:hAnsi="Times New Roman"/>
          <w:szCs w:val="20"/>
          <w:lang w:val="en-US" w:eastAsia="x-none"/>
        </w:rPr>
      </w:pPr>
    </w:p>
    <w:p w14:paraId="36A7E686" w14:textId="77777777" w:rsidR="00113CE0" w:rsidRPr="00113CE0" w:rsidRDefault="00113CE0" w:rsidP="00113CE0">
      <w:pPr>
        <w:rPr>
          <w:rFonts w:ascii="Times New Roman" w:hAnsi="Times New Roman"/>
          <w:szCs w:val="20"/>
          <w:highlight w:val="green"/>
        </w:rPr>
      </w:pPr>
      <w:r w:rsidRPr="00113CE0">
        <w:rPr>
          <w:rFonts w:ascii="Times New Roman" w:hAnsi="Times New Roman"/>
          <w:szCs w:val="20"/>
          <w:highlight w:val="green"/>
        </w:rPr>
        <w:t>Agreement</w:t>
      </w:r>
    </w:p>
    <w:p w14:paraId="232D97A9" w14:textId="4372565B" w:rsidR="00DB374B" w:rsidRDefault="00DB374B" w:rsidP="00677802">
      <w:pPr>
        <w:rPr>
          <w:rStyle w:val="Emphasis"/>
          <w:i w:val="0"/>
          <w:iCs w:val="0"/>
        </w:rPr>
      </w:pPr>
      <w:r w:rsidRPr="00113CE0">
        <w:rPr>
          <w:rStyle w:val="Emphasis"/>
          <w:rFonts w:ascii="Times New Roman" w:hAnsi="Times New Roman"/>
          <w:i w:val="0"/>
          <w:iCs w:val="0"/>
          <w:szCs w:val="20"/>
        </w:rPr>
        <w:t>For PRACH or Msg.A transmission,</w:t>
      </w:r>
      <w:r w:rsidR="00677802">
        <w:rPr>
          <w:rStyle w:val="Emphasis"/>
          <w:rFonts w:ascii="Times New Roman" w:hAnsi="Times New Roman"/>
          <w:i w:val="0"/>
          <w:iCs w:val="0"/>
          <w:szCs w:val="20"/>
        </w:rPr>
        <w:t xml:space="preserve"> </w:t>
      </w:r>
      <w:r w:rsidRPr="00113CE0">
        <w:rPr>
          <w:rStyle w:val="Emphasis"/>
          <w:i w:val="0"/>
          <w:iCs w:val="0"/>
        </w:rPr>
        <w:t xml:space="preserve">for inter-cell Multi-DCI Multi-TRP operation with two TAs, first </w:t>
      </w:r>
      <w:r w:rsidRPr="00113CE0">
        <w:rPr>
          <w:rStyle w:val="Emphasis"/>
          <w:i w:val="0"/>
          <w:iCs w:val="0"/>
        </w:rPr>
        <w:fldChar w:fldCharType="begin"/>
      </w:r>
      <w:r w:rsidRPr="00113CE0">
        <w:rPr>
          <w:rStyle w:val="Emphasis"/>
          <w:i w:val="0"/>
          <w:iCs w:val="0"/>
        </w:rPr>
        <w:instrText xml:space="preserve"> QUOTE </w:instrText>
      </w:r>
      <w:r w:rsidR="00A6784C">
        <w:rPr>
          <w:position w:val="-6"/>
        </w:rPr>
        <w:pict w14:anchorId="21953ACF">
          <v:shape id="_x0000_i1146" type="#_x0000_t75" style="width:37.5pt;height:12.75pt" equationxml="&lt;">
            <v:imagedata r:id="rId817" o:title="" chromakey="white"/>
          </v:shape>
        </w:pict>
      </w:r>
      <w:r w:rsidRPr="00113CE0">
        <w:rPr>
          <w:rStyle w:val="Emphasis"/>
          <w:i w:val="0"/>
          <w:iCs w:val="0"/>
        </w:rPr>
        <w:instrText xml:space="preserve"> </w:instrText>
      </w:r>
      <w:r w:rsidRPr="00113CE0">
        <w:rPr>
          <w:rStyle w:val="Emphasis"/>
          <w:i w:val="0"/>
          <w:iCs w:val="0"/>
        </w:rPr>
        <w:fldChar w:fldCharType="separate"/>
      </w:r>
      <w:r w:rsidR="00A6784C">
        <w:rPr>
          <w:position w:val="-6"/>
        </w:rPr>
        <w:pict w14:anchorId="74FDDAA2">
          <v:shape id="_x0000_i1147" type="#_x0000_t75" style="width:37.5pt;height:12.75pt" equationxml="&lt;">
            <v:imagedata r:id="rId817" o:title="" chromakey="white"/>
          </v:shape>
        </w:pict>
      </w:r>
      <w:r w:rsidRPr="00113CE0">
        <w:rPr>
          <w:rStyle w:val="Emphasis"/>
          <w:i w:val="0"/>
          <w:iCs w:val="0"/>
        </w:rPr>
        <w:fldChar w:fldCharType="end"/>
      </w:r>
      <w:r w:rsidRPr="00113CE0">
        <w:rPr>
          <w:rStyle w:val="Emphasis"/>
          <w:i w:val="0"/>
          <w:iCs w:val="0"/>
        </w:rPr>
        <w:t xml:space="preserve"> value and first DL reference timing are applied when PRACH is triggered towards serving cell PCI, second </w:t>
      </w:r>
      <w:r w:rsidRPr="00113CE0">
        <w:rPr>
          <w:rStyle w:val="Emphasis"/>
          <w:i w:val="0"/>
          <w:iCs w:val="0"/>
        </w:rPr>
        <w:fldChar w:fldCharType="begin"/>
      </w:r>
      <w:r w:rsidRPr="00113CE0">
        <w:rPr>
          <w:rStyle w:val="Emphasis"/>
          <w:i w:val="0"/>
          <w:iCs w:val="0"/>
        </w:rPr>
        <w:instrText xml:space="preserve"> QUOTE </w:instrText>
      </w:r>
      <w:r w:rsidR="00A6784C">
        <w:rPr>
          <w:position w:val="-6"/>
        </w:rPr>
        <w:pict w14:anchorId="49B964F9">
          <v:shape id="_x0000_i1148" type="#_x0000_t75" style="width:37.5pt;height:12.75pt" equationxml="&lt;">
            <v:imagedata r:id="rId817" o:title="" chromakey="white"/>
          </v:shape>
        </w:pict>
      </w:r>
      <w:r w:rsidRPr="00113CE0">
        <w:rPr>
          <w:rStyle w:val="Emphasis"/>
          <w:i w:val="0"/>
          <w:iCs w:val="0"/>
        </w:rPr>
        <w:instrText xml:space="preserve"> </w:instrText>
      </w:r>
      <w:r w:rsidRPr="00113CE0">
        <w:rPr>
          <w:rStyle w:val="Emphasis"/>
          <w:i w:val="0"/>
          <w:iCs w:val="0"/>
        </w:rPr>
        <w:fldChar w:fldCharType="separate"/>
      </w:r>
      <w:r w:rsidR="00A6784C">
        <w:rPr>
          <w:position w:val="-6"/>
        </w:rPr>
        <w:pict w14:anchorId="6863827D">
          <v:shape id="_x0000_i1149" type="#_x0000_t75" style="width:37.5pt;height:12.75pt" equationxml="&lt;">
            <v:imagedata r:id="rId817" o:title="" chromakey="white"/>
          </v:shape>
        </w:pict>
      </w:r>
      <w:r w:rsidRPr="00113CE0">
        <w:rPr>
          <w:rStyle w:val="Emphasis"/>
          <w:i w:val="0"/>
          <w:iCs w:val="0"/>
        </w:rPr>
        <w:fldChar w:fldCharType="end"/>
      </w:r>
      <w:r w:rsidRPr="00113CE0">
        <w:rPr>
          <w:rStyle w:val="Emphasis"/>
          <w:i w:val="0"/>
          <w:iCs w:val="0"/>
        </w:rPr>
        <w:t xml:space="preserve"> value and second DL reference timing are applied when PRACH is triggered towards active additional cell PCI.</w:t>
      </w:r>
    </w:p>
    <w:p w14:paraId="7188D841" w14:textId="77777777" w:rsidR="00677802" w:rsidRPr="00113CE0" w:rsidRDefault="00677802" w:rsidP="00677802">
      <w:pPr>
        <w:rPr>
          <w:rStyle w:val="Emphasis"/>
          <w:i w:val="0"/>
          <w:iCs w:val="0"/>
          <w:lang w:eastAsia="x-none"/>
        </w:rPr>
      </w:pPr>
    </w:p>
    <w:p w14:paraId="62437985" w14:textId="77777777" w:rsidR="00113CE0" w:rsidRPr="00113CE0" w:rsidRDefault="00113CE0" w:rsidP="00113CE0">
      <w:pPr>
        <w:rPr>
          <w:rFonts w:ascii="Times New Roman" w:hAnsi="Times New Roman"/>
          <w:szCs w:val="20"/>
          <w:highlight w:val="green"/>
        </w:rPr>
      </w:pPr>
      <w:r w:rsidRPr="00113CE0">
        <w:rPr>
          <w:rFonts w:ascii="Times New Roman" w:hAnsi="Times New Roman"/>
          <w:szCs w:val="20"/>
          <w:highlight w:val="green"/>
        </w:rPr>
        <w:t>Agreement</w:t>
      </w:r>
    </w:p>
    <w:p w14:paraId="2C719BA7" w14:textId="77777777" w:rsidR="00DB374B" w:rsidRPr="00113CE0" w:rsidRDefault="00DB374B" w:rsidP="00113CE0">
      <w:pPr>
        <w:rPr>
          <w:rStyle w:val="Emphasis"/>
          <w:rFonts w:ascii="Times New Roman" w:hAnsi="Times New Roman"/>
          <w:i w:val="0"/>
          <w:iCs w:val="0"/>
          <w:szCs w:val="20"/>
        </w:rPr>
      </w:pPr>
      <w:r w:rsidRPr="00113CE0">
        <w:rPr>
          <w:rStyle w:val="Emphasis"/>
          <w:rFonts w:ascii="Times New Roman" w:hAnsi="Times New Roman"/>
          <w:i w:val="0"/>
          <w:iCs w:val="0"/>
          <w:szCs w:val="20"/>
        </w:rPr>
        <w:t>For intra-cell multi-DCI based Multi-TRP operation with two TA enhancement, introduce one bit field ‘PCI indicator’ for indicating cross-TRP triggering of PRACH by a PDCCH order:</w:t>
      </w:r>
    </w:p>
    <w:p w14:paraId="1D6D1B6E" w14:textId="77777777" w:rsidR="00DB374B" w:rsidRPr="00113CE0" w:rsidRDefault="00DB374B" w:rsidP="00A67145">
      <w:pPr>
        <w:pStyle w:val="ListParagraph"/>
        <w:numPr>
          <w:ilvl w:val="0"/>
          <w:numId w:val="187"/>
        </w:numPr>
        <w:spacing w:after="0"/>
        <w:ind w:left="714" w:hanging="357"/>
        <w:rPr>
          <w:rStyle w:val="Emphasis"/>
          <w:i w:val="0"/>
          <w:iCs w:val="0"/>
        </w:rPr>
      </w:pPr>
      <w:r w:rsidRPr="00113CE0">
        <w:rPr>
          <w:rStyle w:val="Emphasis"/>
          <w:i w:val="0"/>
          <w:iCs w:val="0"/>
        </w:rPr>
        <w:t>if the ‘PCI indicator’ field indicates 0, use legacy approach for determining PL-RS for determining PRACH transmit power.</w:t>
      </w:r>
    </w:p>
    <w:p w14:paraId="7DC2028E" w14:textId="77777777" w:rsidR="00DB374B" w:rsidRPr="00113CE0" w:rsidRDefault="00DB374B" w:rsidP="00A67145">
      <w:pPr>
        <w:pStyle w:val="ListParagraph"/>
        <w:numPr>
          <w:ilvl w:val="0"/>
          <w:numId w:val="187"/>
        </w:numPr>
        <w:spacing w:after="0"/>
        <w:ind w:left="714" w:hanging="357"/>
        <w:rPr>
          <w:rStyle w:val="Emphasis"/>
          <w:i w:val="0"/>
          <w:iCs w:val="0"/>
        </w:rPr>
      </w:pPr>
      <w:r w:rsidRPr="00113CE0">
        <w:rPr>
          <w:rStyle w:val="Emphasis"/>
          <w:i w:val="0"/>
          <w:iCs w:val="0"/>
        </w:rPr>
        <w:t>if the ‘PCI indicator’ field indicates 1, use SSB indicated in PDCCH order as PL-RS for determining PRACH transmit power.</w:t>
      </w:r>
    </w:p>
    <w:p w14:paraId="16E8F940" w14:textId="77777777" w:rsidR="00DB374B" w:rsidRPr="00113CE0" w:rsidRDefault="00DB374B" w:rsidP="00113CE0">
      <w:pPr>
        <w:rPr>
          <w:rFonts w:ascii="Times New Roman" w:hAnsi="Times New Roman"/>
          <w:szCs w:val="20"/>
          <w:lang w:eastAsia="x-none"/>
        </w:rPr>
      </w:pPr>
      <w:r w:rsidRPr="00113CE0">
        <w:rPr>
          <w:rFonts w:ascii="Times New Roman" w:hAnsi="Times New Roman"/>
          <w:szCs w:val="20"/>
          <w:lang w:eastAsia="x-none"/>
        </w:rPr>
        <w:t>For the determination of downlink reference timing for PRACH transmission, at least the same one bit will be reused. FFS details.</w:t>
      </w:r>
    </w:p>
    <w:p w14:paraId="27EAB208" w14:textId="6B4E91A7" w:rsidR="00F125DD" w:rsidRPr="00113CE0" w:rsidRDefault="00DB374B" w:rsidP="00113CE0">
      <w:pPr>
        <w:rPr>
          <w:rFonts w:ascii="Times New Roman" w:hAnsi="Times New Roman"/>
          <w:szCs w:val="20"/>
          <w:lang w:eastAsia="x-none"/>
        </w:rPr>
      </w:pPr>
      <w:r w:rsidRPr="00113CE0">
        <w:rPr>
          <w:rFonts w:ascii="Times New Roman" w:hAnsi="Times New Roman"/>
          <w:szCs w:val="20"/>
          <w:lang w:eastAsia="x-none"/>
        </w:rPr>
        <w:t>Editor to decide on the final name for the field ‘</w:t>
      </w:r>
      <w:r w:rsidRPr="00113CE0">
        <w:rPr>
          <w:rStyle w:val="Emphasis"/>
          <w:rFonts w:ascii="Times New Roman" w:hAnsi="Times New Roman"/>
          <w:i w:val="0"/>
          <w:iCs w:val="0"/>
          <w:szCs w:val="20"/>
        </w:rPr>
        <w:t>PCI indicator</w:t>
      </w:r>
      <w:r w:rsidRPr="00113CE0">
        <w:rPr>
          <w:rFonts w:ascii="Times New Roman" w:hAnsi="Times New Roman"/>
          <w:szCs w:val="20"/>
          <w:lang w:eastAsia="x-none"/>
        </w:rPr>
        <w:t>’</w:t>
      </w:r>
      <w:r w:rsidR="00677802">
        <w:rPr>
          <w:rFonts w:ascii="Times New Roman" w:hAnsi="Times New Roman"/>
          <w:szCs w:val="20"/>
          <w:lang w:eastAsia="x-none"/>
        </w:rPr>
        <w:t>.</w:t>
      </w:r>
    </w:p>
    <w:p w14:paraId="2C232D5A" w14:textId="77777777" w:rsidR="00F74A6F" w:rsidRPr="009537ED" w:rsidRDefault="00F74A6F" w:rsidP="00F125DD">
      <w:pPr>
        <w:pStyle w:val="Heading3"/>
      </w:pPr>
      <w:bookmarkStart w:id="196" w:name="_Toc150174443"/>
      <w:bookmarkStart w:id="197" w:name="_Toc159250985"/>
      <w:r w:rsidRPr="009537ED">
        <w:t>CSI enhancement</w:t>
      </w:r>
      <w:bookmarkEnd w:id="196"/>
      <w:bookmarkEnd w:id="197"/>
    </w:p>
    <w:p w14:paraId="5C8F9C0D" w14:textId="63F59A84" w:rsidR="00F74A6F" w:rsidRPr="009537ED" w:rsidRDefault="005A18DC" w:rsidP="00F74A6F">
      <w:pPr>
        <w:rPr>
          <w:lang w:eastAsia="x-none"/>
        </w:rPr>
      </w:pPr>
      <w:hyperlink r:id="rId818" w:history="1">
        <w:r w:rsidR="00AF7253">
          <w:rPr>
            <w:rStyle w:val="Hyperlink"/>
            <w:lang w:eastAsia="x-none"/>
          </w:rPr>
          <w:t>R1-2310868</w:t>
        </w:r>
      </w:hyperlink>
      <w:r w:rsidR="00F74A6F" w:rsidRPr="009537ED">
        <w:rPr>
          <w:lang w:eastAsia="x-none"/>
        </w:rPr>
        <w:tab/>
        <w:t>Maintenance of` CSI enhancement for coherent JT and mobility</w:t>
      </w:r>
      <w:r w:rsidR="00F74A6F" w:rsidRPr="009537ED">
        <w:rPr>
          <w:lang w:eastAsia="x-none"/>
        </w:rPr>
        <w:tab/>
        <w:t>Huawei, HiSilicon</w:t>
      </w:r>
    </w:p>
    <w:p w14:paraId="0C628E12" w14:textId="344B34C9" w:rsidR="00F74A6F" w:rsidRPr="00F91255" w:rsidRDefault="005A18DC" w:rsidP="00F74A6F">
      <w:pPr>
        <w:rPr>
          <w:lang w:val="fr-FR" w:eastAsia="x-none"/>
        </w:rPr>
      </w:pPr>
      <w:hyperlink r:id="rId819" w:history="1">
        <w:r w:rsidR="00AF7253">
          <w:rPr>
            <w:rStyle w:val="Hyperlink"/>
            <w:lang w:val="fr-FR" w:eastAsia="x-none"/>
          </w:rPr>
          <w:t>R1-2310921</w:t>
        </w:r>
      </w:hyperlink>
      <w:r w:rsidR="00F74A6F" w:rsidRPr="00F91255">
        <w:rPr>
          <w:lang w:val="fr-FR" w:eastAsia="x-none"/>
        </w:rPr>
        <w:tab/>
        <w:t>Maintenance on Rel-18 CSI Enhancements</w:t>
      </w:r>
      <w:r w:rsidR="00F74A6F" w:rsidRPr="00F91255">
        <w:rPr>
          <w:lang w:val="fr-FR" w:eastAsia="x-none"/>
        </w:rPr>
        <w:tab/>
        <w:t>InterDigital, Inc.</w:t>
      </w:r>
    </w:p>
    <w:p w14:paraId="3BF0F8DE" w14:textId="7F0D72CE" w:rsidR="00F74A6F" w:rsidRPr="009537ED" w:rsidRDefault="005A18DC" w:rsidP="00F74A6F">
      <w:pPr>
        <w:rPr>
          <w:lang w:eastAsia="x-none"/>
        </w:rPr>
      </w:pPr>
      <w:hyperlink r:id="rId820" w:history="1">
        <w:r w:rsidR="00AF7253">
          <w:rPr>
            <w:rStyle w:val="Hyperlink"/>
            <w:lang w:eastAsia="x-none"/>
          </w:rPr>
          <w:t>R1-2310949</w:t>
        </w:r>
      </w:hyperlink>
      <w:r w:rsidR="00F74A6F" w:rsidRPr="009537ED">
        <w:rPr>
          <w:lang w:eastAsia="x-none"/>
        </w:rPr>
        <w:tab/>
        <w:t>Maintenance on CSI enhancement for high/medium UE velocities and CJT</w:t>
      </w:r>
      <w:r w:rsidR="00F74A6F" w:rsidRPr="009537ED">
        <w:rPr>
          <w:lang w:eastAsia="x-none"/>
        </w:rPr>
        <w:tab/>
        <w:t>ZTE</w:t>
      </w:r>
    </w:p>
    <w:p w14:paraId="26883C8F" w14:textId="0304BFDF" w:rsidR="00F74A6F" w:rsidRPr="00F91255" w:rsidRDefault="005A18DC" w:rsidP="00F74A6F">
      <w:pPr>
        <w:rPr>
          <w:lang w:val="fr-FR" w:eastAsia="x-none"/>
        </w:rPr>
      </w:pPr>
      <w:hyperlink r:id="rId821" w:history="1">
        <w:r w:rsidR="00AF7253">
          <w:rPr>
            <w:rStyle w:val="Hyperlink"/>
            <w:lang w:val="fr-FR" w:eastAsia="x-none"/>
          </w:rPr>
          <w:t>R1-2311041</w:t>
        </w:r>
      </w:hyperlink>
      <w:r w:rsidR="00F74A6F" w:rsidRPr="00F91255">
        <w:rPr>
          <w:lang w:val="fr-FR" w:eastAsia="x-none"/>
        </w:rPr>
        <w:tab/>
        <w:t>Maintenance on Rel-18 CSI enhancements</w:t>
      </w:r>
      <w:r w:rsidR="00F74A6F" w:rsidRPr="00F91255">
        <w:rPr>
          <w:lang w:val="fr-FR" w:eastAsia="x-none"/>
        </w:rPr>
        <w:tab/>
        <w:t>Fujitsu</w:t>
      </w:r>
    </w:p>
    <w:p w14:paraId="5388009B" w14:textId="5D26A08B" w:rsidR="00F74A6F" w:rsidRPr="00F91255" w:rsidRDefault="005A18DC" w:rsidP="00F74A6F">
      <w:pPr>
        <w:rPr>
          <w:lang w:val="fr-FR" w:eastAsia="x-none"/>
        </w:rPr>
      </w:pPr>
      <w:hyperlink r:id="rId822" w:history="1">
        <w:r w:rsidR="00AF7253">
          <w:rPr>
            <w:rStyle w:val="Hyperlink"/>
            <w:lang w:val="fr-FR" w:eastAsia="x-none"/>
          </w:rPr>
          <w:t>R1-2311085</w:t>
        </w:r>
      </w:hyperlink>
      <w:r w:rsidR="00F74A6F" w:rsidRPr="00F91255">
        <w:rPr>
          <w:lang w:val="fr-FR" w:eastAsia="x-none"/>
        </w:rPr>
        <w:tab/>
        <w:t>Maintenance on CSI enhancement</w:t>
      </w:r>
      <w:r w:rsidR="00F74A6F" w:rsidRPr="00F91255">
        <w:rPr>
          <w:lang w:val="fr-FR" w:eastAsia="x-none"/>
        </w:rPr>
        <w:tab/>
        <w:t>vivo</w:t>
      </w:r>
    </w:p>
    <w:p w14:paraId="238C1F2A" w14:textId="3DE1C698" w:rsidR="00F74A6F" w:rsidRPr="009537ED" w:rsidRDefault="005A18DC" w:rsidP="00F74A6F">
      <w:pPr>
        <w:rPr>
          <w:lang w:eastAsia="x-none"/>
        </w:rPr>
      </w:pPr>
      <w:hyperlink r:id="rId823" w:history="1">
        <w:r w:rsidR="00AF7253">
          <w:rPr>
            <w:rStyle w:val="Hyperlink"/>
            <w:lang w:eastAsia="x-none"/>
          </w:rPr>
          <w:t>R1-2311157</w:t>
        </w:r>
      </w:hyperlink>
      <w:r w:rsidR="00F74A6F" w:rsidRPr="009537ED">
        <w:rPr>
          <w:lang w:eastAsia="x-none"/>
        </w:rPr>
        <w:tab/>
        <w:t>Remaining issues on CSI enhancement</w:t>
      </w:r>
      <w:r w:rsidR="00F74A6F" w:rsidRPr="009537ED">
        <w:rPr>
          <w:lang w:eastAsia="x-none"/>
        </w:rPr>
        <w:tab/>
        <w:t>Spreadtrum Communications</w:t>
      </w:r>
    </w:p>
    <w:p w14:paraId="51945477" w14:textId="7C20E91A" w:rsidR="00F74A6F" w:rsidRPr="009537ED" w:rsidRDefault="005A18DC" w:rsidP="00F74A6F">
      <w:pPr>
        <w:rPr>
          <w:lang w:eastAsia="x-none"/>
        </w:rPr>
      </w:pPr>
      <w:hyperlink r:id="rId824" w:history="1">
        <w:r w:rsidR="00AF7253">
          <w:rPr>
            <w:rStyle w:val="Hyperlink"/>
            <w:lang w:eastAsia="x-none"/>
          </w:rPr>
          <w:t>R1-2311215</w:t>
        </w:r>
      </w:hyperlink>
      <w:r w:rsidR="00F74A6F" w:rsidRPr="009537ED">
        <w:rPr>
          <w:lang w:eastAsia="x-none"/>
        </w:rPr>
        <w:tab/>
        <w:t>Remaining issues on CSI enhancement for high/medium UE velocities and coherent JT</w:t>
      </w:r>
      <w:r w:rsidR="00F74A6F" w:rsidRPr="009537ED">
        <w:rPr>
          <w:lang w:eastAsia="x-none"/>
        </w:rPr>
        <w:tab/>
        <w:t>OPPO</w:t>
      </w:r>
    </w:p>
    <w:p w14:paraId="42793AA3" w14:textId="53BD5E95" w:rsidR="00F74A6F" w:rsidRPr="00F91255" w:rsidRDefault="005A18DC" w:rsidP="00F74A6F">
      <w:pPr>
        <w:rPr>
          <w:lang w:val="fr-FR" w:eastAsia="x-none"/>
        </w:rPr>
      </w:pPr>
      <w:hyperlink r:id="rId825" w:history="1">
        <w:r w:rsidR="00AF7253">
          <w:rPr>
            <w:rStyle w:val="Hyperlink"/>
            <w:lang w:val="fr-FR" w:eastAsia="x-none"/>
          </w:rPr>
          <w:t>R1-2311316</w:t>
        </w:r>
      </w:hyperlink>
      <w:r w:rsidR="00F74A6F" w:rsidRPr="00F91255">
        <w:rPr>
          <w:lang w:val="fr-FR" w:eastAsia="x-none"/>
        </w:rPr>
        <w:tab/>
        <w:t>Maintenance on CSI enhancement</w:t>
      </w:r>
      <w:r w:rsidR="00F74A6F" w:rsidRPr="00F91255">
        <w:rPr>
          <w:lang w:val="fr-FR" w:eastAsia="x-none"/>
        </w:rPr>
        <w:tab/>
        <w:t>CATT</w:t>
      </w:r>
    </w:p>
    <w:p w14:paraId="3FCB5E26" w14:textId="387C5E7F" w:rsidR="00F74A6F" w:rsidRPr="009537ED" w:rsidRDefault="005A18DC" w:rsidP="00F74A6F">
      <w:pPr>
        <w:rPr>
          <w:lang w:eastAsia="x-none"/>
        </w:rPr>
      </w:pPr>
      <w:hyperlink r:id="rId826" w:history="1">
        <w:r w:rsidR="00AF7253">
          <w:rPr>
            <w:rStyle w:val="Hyperlink"/>
            <w:lang w:eastAsia="x-none"/>
          </w:rPr>
          <w:t>R1-2311363</w:t>
        </w:r>
      </w:hyperlink>
      <w:r w:rsidR="00F74A6F" w:rsidRPr="009537ED">
        <w:rPr>
          <w:lang w:eastAsia="x-none"/>
        </w:rPr>
        <w:tab/>
        <w:t>Discussion of CSI enhancement for high speed UE and coherent JT</w:t>
      </w:r>
      <w:r w:rsidR="00F74A6F" w:rsidRPr="009537ED">
        <w:rPr>
          <w:lang w:eastAsia="x-none"/>
        </w:rPr>
        <w:tab/>
        <w:t>Lenovo</w:t>
      </w:r>
    </w:p>
    <w:p w14:paraId="77E7B6F6" w14:textId="7C652915" w:rsidR="00F74A6F" w:rsidRPr="009537ED" w:rsidRDefault="005A18DC" w:rsidP="00F74A6F">
      <w:pPr>
        <w:rPr>
          <w:lang w:eastAsia="x-none"/>
        </w:rPr>
      </w:pPr>
      <w:hyperlink r:id="rId827" w:history="1">
        <w:r w:rsidR="00AF7253">
          <w:rPr>
            <w:rStyle w:val="Hyperlink"/>
            <w:lang w:eastAsia="x-none"/>
          </w:rPr>
          <w:t>R1-2311382</w:t>
        </w:r>
      </w:hyperlink>
      <w:r w:rsidR="00F74A6F" w:rsidRPr="009537ED">
        <w:rPr>
          <w:lang w:eastAsia="x-none"/>
        </w:rPr>
        <w:tab/>
        <w:t>Maintenance on CSI enhancement for high/medium UE velocities and CJT</w:t>
      </w:r>
      <w:r w:rsidR="00F74A6F" w:rsidRPr="009537ED">
        <w:rPr>
          <w:lang w:eastAsia="x-none"/>
        </w:rPr>
        <w:tab/>
        <w:t>xiaomi</w:t>
      </w:r>
    </w:p>
    <w:p w14:paraId="0F62EF6F" w14:textId="7FB872F7" w:rsidR="00F74A6F" w:rsidRPr="009537ED" w:rsidRDefault="005A18DC" w:rsidP="00F74A6F">
      <w:pPr>
        <w:rPr>
          <w:lang w:eastAsia="x-none"/>
        </w:rPr>
      </w:pPr>
      <w:hyperlink r:id="rId828" w:history="1">
        <w:r w:rsidR="00AF7253">
          <w:rPr>
            <w:rStyle w:val="Hyperlink"/>
            <w:lang w:eastAsia="x-none"/>
          </w:rPr>
          <w:t>R1-2311416</w:t>
        </w:r>
      </w:hyperlink>
      <w:r w:rsidR="00F74A6F" w:rsidRPr="009537ED">
        <w:rPr>
          <w:lang w:eastAsia="x-none"/>
        </w:rPr>
        <w:tab/>
        <w:t>Remaining issues on CSI enhancement</w:t>
      </w:r>
      <w:r w:rsidR="00F74A6F" w:rsidRPr="009537ED">
        <w:rPr>
          <w:lang w:eastAsia="x-none"/>
        </w:rPr>
        <w:tab/>
        <w:t>NEC</w:t>
      </w:r>
    </w:p>
    <w:p w14:paraId="618836BC" w14:textId="47A1D147" w:rsidR="00F74A6F" w:rsidRPr="009537ED" w:rsidRDefault="005A18DC" w:rsidP="00F74A6F">
      <w:pPr>
        <w:rPr>
          <w:lang w:eastAsia="x-none"/>
        </w:rPr>
      </w:pPr>
      <w:hyperlink r:id="rId829" w:history="1">
        <w:r w:rsidR="00AF7253">
          <w:rPr>
            <w:rStyle w:val="Hyperlink"/>
            <w:lang w:eastAsia="x-none"/>
          </w:rPr>
          <w:t>R1-2311434</w:t>
        </w:r>
      </w:hyperlink>
      <w:r w:rsidR="00F74A6F" w:rsidRPr="009537ED">
        <w:rPr>
          <w:lang w:eastAsia="x-none"/>
        </w:rPr>
        <w:tab/>
        <w:t>Maintenance on Rel-18 CSI enhancement</w:t>
      </w:r>
      <w:r w:rsidR="00F74A6F" w:rsidRPr="009537ED">
        <w:rPr>
          <w:lang w:eastAsia="x-none"/>
        </w:rPr>
        <w:tab/>
        <w:t>LG Electronics</w:t>
      </w:r>
    </w:p>
    <w:p w14:paraId="41A8BA17" w14:textId="29C87969" w:rsidR="00F74A6F" w:rsidRPr="009537ED" w:rsidRDefault="005A18DC" w:rsidP="00F74A6F">
      <w:pPr>
        <w:rPr>
          <w:lang w:eastAsia="x-none"/>
        </w:rPr>
      </w:pPr>
      <w:hyperlink r:id="rId830" w:history="1">
        <w:r w:rsidR="00AF7253">
          <w:rPr>
            <w:rStyle w:val="Hyperlink"/>
            <w:lang w:eastAsia="x-none"/>
          </w:rPr>
          <w:t>R1-2311476</w:t>
        </w:r>
      </w:hyperlink>
      <w:r w:rsidR="00F74A6F" w:rsidRPr="009537ED">
        <w:rPr>
          <w:lang w:eastAsia="x-none"/>
        </w:rPr>
        <w:tab/>
        <w:t>Remaining issues on CSI enhancement for high/medium UE velocities and  CJT</w:t>
      </w:r>
      <w:r w:rsidR="00F74A6F" w:rsidRPr="009537ED">
        <w:rPr>
          <w:lang w:eastAsia="x-none"/>
        </w:rPr>
        <w:tab/>
        <w:t>CMCC</w:t>
      </w:r>
    </w:p>
    <w:p w14:paraId="00F7DE80" w14:textId="69272EEC" w:rsidR="00F74A6F" w:rsidRPr="009537ED" w:rsidRDefault="005A18DC" w:rsidP="00F74A6F">
      <w:pPr>
        <w:rPr>
          <w:lang w:eastAsia="x-none"/>
        </w:rPr>
      </w:pPr>
      <w:hyperlink r:id="rId831" w:history="1">
        <w:r w:rsidR="00AF7253">
          <w:rPr>
            <w:rStyle w:val="Hyperlink"/>
            <w:lang w:eastAsia="x-none"/>
          </w:rPr>
          <w:t>R1-2311567</w:t>
        </w:r>
      </w:hyperlink>
      <w:r w:rsidR="00F74A6F" w:rsidRPr="009537ED">
        <w:rPr>
          <w:lang w:eastAsia="x-none"/>
        </w:rPr>
        <w:tab/>
        <w:t>On CSI Enhancement</w:t>
      </w:r>
      <w:r w:rsidR="00F74A6F" w:rsidRPr="009537ED">
        <w:rPr>
          <w:lang w:eastAsia="x-none"/>
        </w:rPr>
        <w:tab/>
        <w:t>Google</w:t>
      </w:r>
    </w:p>
    <w:p w14:paraId="401F7552" w14:textId="4231DD58" w:rsidR="00F74A6F" w:rsidRPr="009537ED" w:rsidRDefault="005A18DC" w:rsidP="00F74A6F">
      <w:pPr>
        <w:rPr>
          <w:lang w:eastAsia="x-none"/>
        </w:rPr>
      </w:pPr>
      <w:hyperlink r:id="rId832" w:history="1">
        <w:r w:rsidR="00AF7253">
          <w:rPr>
            <w:rStyle w:val="Hyperlink"/>
            <w:lang w:eastAsia="x-none"/>
          </w:rPr>
          <w:t>R1-2311614</w:t>
        </w:r>
      </w:hyperlink>
      <w:r w:rsidR="00F74A6F" w:rsidRPr="009537ED">
        <w:rPr>
          <w:lang w:eastAsia="x-none"/>
        </w:rPr>
        <w:tab/>
        <w:t>Remaining issues on CSI enhancement</w:t>
      </w:r>
      <w:r w:rsidR="00F74A6F" w:rsidRPr="009537ED">
        <w:rPr>
          <w:lang w:eastAsia="x-none"/>
        </w:rPr>
        <w:tab/>
        <w:t>NTT DOCOMO, INC.</w:t>
      </w:r>
    </w:p>
    <w:p w14:paraId="11E493B3" w14:textId="237C1A9B" w:rsidR="00F74A6F" w:rsidRPr="009537ED" w:rsidRDefault="005A18DC" w:rsidP="00F74A6F">
      <w:pPr>
        <w:rPr>
          <w:lang w:eastAsia="x-none"/>
        </w:rPr>
      </w:pPr>
      <w:hyperlink r:id="rId833" w:history="1">
        <w:r w:rsidR="00AF7253">
          <w:rPr>
            <w:rStyle w:val="Hyperlink"/>
            <w:lang w:eastAsia="x-none"/>
          </w:rPr>
          <w:t>R1-2311741</w:t>
        </w:r>
      </w:hyperlink>
      <w:r w:rsidR="00F74A6F" w:rsidRPr="009537ED">
        <w:rPr>
          <w:lang w:eastAsia="x-none"/>
        </w:rPr>
        <w:tab/>
        <w:t>Maintenance of CSI enhancement for high/medium UE velocities and CJT</w:t>
      </w:r>
      <w:r w:rsidR="00F74A6F" w:rsidRPr="009537ED">
        <w:rPr>
          <w:lang w:eastAsia="x-none"/>
        </w:rPr>
        <w:tab/>
        <w:t>Nokia, Nokia Shanghai Bell</w:t>
      </w:r>
    </w:p>
    <w:p w14:paraId="5091FD35" w14:textId="7D025A76" w:rsidR="00F74A6F" w:rsidRPr="009537ED" w:rsidRDefault="005A18DC" w:rsidP="00F74A6F">
      <w:pPr>
        <w:rPr>
          <w:lang w:eastAsia="x-none"/>
        </w:rPr>
      </w:pPr>
      <w:hyperlink r:id="rId834" w:history="1">
        <w:r w:rsidR="00AF7253">
          <w:rPr>
            <w:rStyle w:val="Hyperlink"/>
            <w:lang w:eastAsia="x-none"/>
          </w:rPr>
          <w:t>R1-2311832</w:t>
        </w:r>
      </w:hyperlink>
      <w:r w:rsidR="00F74A6F" w:rsidRPr="009537ED">
        <w:rPr>
          <w:lang w:eastAsia="x-none"/>
        </w:rPr>
        <w:tab/>
        <w:t>Remaining details on CSI enhancements</w:t>
      </w:r>
      <w:r w:rsidR="00F74A6F" w:rsidRPr="009537ED">
        <w:rPr>
          <w:lang w:eastAsia="x-none"/>
        </w:rPr>
        <w:tab/>
        <w:t>Samsung</w:t>
      </w:r>
    </w:p>
    <w:p w14:paraId="0BABB632" w14:textId="26FDA428" w:rsidR="00F74A6F" w:rsidRPr="009537ED" w:rsidRDefault="005A18DC" w:rsidP="00F74A6F">
      <w:pPr>
        <w:rPr>
          <w:lang w:eastAsia="x-none"/>
        </w:rPr>
      </w:pPr>
      <w:hyperlink r:id="rId835" w:history="1">
        <w:r w:rsidR="00AF7253">
          <w:rPr>
            <w:rStyle w:val="Hyperlink"/>
            <w:lang w:eastAsia="x-none"/>
          </w:rPr>
          <w:t>R1-2311927</w:t>
        </w:r>
      </w:hyperlink>
      <w:r w:rsidR="00F74A6F" w:rsidRPr="009537ED">
        <w:rPr>
          <w:lang w:eastAsia="x-none"/>
        </w:rPr>
        <w:tab/>
        <w:t>Remaining issues on CSI enhancement</w:t>
      </w:r>
      <w:r w:rsidR="00F74A6F" w:rsidRPr="009537ED">
        <w:rPr>
          <w:lang w:eastAsia="x-none"/>
        </w:rPr>
        <w:tab/>
        <w:t>Ruijie Network Co. Ltd</w:t>
      </w:r>
    </w:p>
    <w:p w14:paraId="55794AC5" w14:textId="1768CDB8" w:rsidR="00F74A6F" w:rsidRPr="009537ED" w:rsidRDefault="005A18DC" w:rsidP="00F74A6F">
      <w:pPr>
        <w:rPr>
          <w:lang w:eastAsia="x-none"/>
        </w:rPr>
      </w:pPr>
      <w:hyperlink r:id="rId836" w:history="1">
        <w:r w:rsidR="00AF7253">
          <w:rPr>
            <w:rStyle w:val="Hyperlink"/>
            <w:lang w:eastAsia="x-none"/>
          </w:rPr>
          <w:t>R1-2312027</w:t>
        </w:r>
      </w:hyperlink>
      <w:r w:rsidR="00F74A6F" w:rsidRPr="009537ED">
        <w:rPr>
          <w:lang w:eastAsia="x-none"/>
        </w:rPr>
        <w:tab/>
        <w:t>Remaining issues and maintenance on Rel-18 CSI enhancement</w:t>
      </w:r>
      <w:r w:rsidR="00F74A6F" w:rsidRPr="009537ED">
        <w:rPr>
          <w:lang w:eastAsia="x-none"/>
        </w:rPr>
        <w:tab/>
        <w:t>Qualcomm Incorporated</w:t>
      </w:r>
    </w:p>
    <w:p w14:paraId="293640A8" w14:textId="5EFC99E3" w:rsidR="00F74A6F" w:rsidRPr="009537ED" w:rsidRDefault="005A18DC" w:rsidP="00F74A6F">
      <w:pPr>
        <w:rPr>
          <w:lang w:eastAsia="x-none"/>
        </w:rPr>
      </w:pPr>
      <w:hyperlink r:id="rId837" w:history="1">
        <w:r w:rsidR="00AF7253">
          <w:rPr>
            <w:rStyle w:val="Hyperlink"/>
            <w:lang w:eastAsia="x-none"/>
          </w:rPr>
          <w:t>R1-2312095</w:t>
        </w:r>
      </w:hyperlink>
      <w:r w:rsidR="00F74A6F" w:rsidRPr="009537ED">
        <w:rPr>
          <w:lang w:eastAsia="x-none"/>
        </w:rPr>
        <w:tab/>
        <w:t>Maintenance of CSI enhancements for Rel-18 NR MIMO evolution</w:t>
      </w:r>
      <w:r w:rsidR="00F74A6F" w:rsidRPr="009537ED">
        <w:rPr>
          <w:lang w:eastAsia="x-none"/>
        </w:rPr>
        <w:tab/>
        <w:t>Ericsson</w:t>
      </w:r>
    </w:p>
    <w:p w14:paraId="215B45C0" w14:textId="43082D91" w:rsidR="00F74A6F" w:rsidRPr="009537ED" w:rsidRDefault="005A18DC" w:rsidP="00F74A6F">
      <w:pPr>
        <w:rPr>
          <w:lang w:eastAsia="x-none"/>
        </w:rPr>
      </w:pPr>
      <w:hyperlink r:id="rId838" w:history="1">
        <w:r w:rsidR="00AF7253">
          <w:rPr>
            <w:rStyle w:val="Hyperlink"/>
            <w:lang w:eastAsia="x-none"/>
          </w:rPr>
          <w:t>R1-2312195</w:t>
        </w:r>
      </w:hyperlink>
      <w:r w:rsidR="00F74A6F" w:rsidRPr="009537ED">
        <w:rPr>
          <w:lang w:eastAsia="x-none"/>
        </w:rPr>
        <w:tab/>
        <w:t>CSI enhancements for medium UE velocities and coherent JT</w:t>
      </w:r>
      <w:r w:rsidR="00F74A6F" w:rsidRPr="009537ED">
        <w:rPr>
          <w:lang w:eastAsia="x-none"/>
        </w:rPr>
        <w:tab/>
        <w:t>Fraunhofer IIS, Fraunhofer HHI</w:t>
      </w:r>
    </w:p>
    <w:p w14:paraId="3F6B7D9B" w14:textId="77777777" w:rsidR="00A41C1A" w:rsidRPr="009537ED" w:rsidRDefault="00A41C1A" w:rsidP="00F74A6F">
      <w:pPr>
        <w:rPr>
          <w:lang w:eastAsia="x-none"/>
        </w:rPr>
      </w:pPr>
    </w:p>
    <w:p w14:paraId="7A625EEC" w14:textId="6AD85A27" w:rsidR="00141B77" w:rsidRPr="009537ED" w:rsidRDefault="005A18DC" w:rsidP="00141B77">
      <w:pPr>
        <w:rPr>
          <w:b/>
          <w:bCs/>
          <w:lang w:eastAsia="x-none"/>
        </w:rPr>
      </w:pPr>
      <w:hyperlink r:id="rId839" w:history="1">
        <w:r w:rsidR="00AF7253">
          <w:rPr>
            <w:rStyle w:val="Hyperlink"/>
            <w:b/>
            <w:bCs/>
            <w:lang w:eastAsia="x-none"/>
          </w:rPr>
          <w:t>R1-2311831</w:t>
        </w:r>
      </w:hyperlink>
      <w:r w:rsidR="00141B77" w:rsidRPr="009537ED">
        <w:rPr>
          <w:b/>
          <w:bCs/>
          <w:lang w:eastAsia="x-none"/>
        </w:rPr>
        <w:tab/>
        <w:t>Moderator summary on Rel-18 CSI enhancements</w:t>
      </w:r>
      <w:r w:rsidR="00141B77" w:rsidRPr="009537ED">
        <w:rPr>
          <w:b/>
          <w:bCs/>
          <w:lang w:eastAsia="x-none"/>
        </w:rPr>
        <w:tab/>
        <w:t>Moderator (Samsung)</w:t>
      </w:r>
    </w:p>
    <w:p w14:paraId="5C549212" w14:textId="3F52BD19" w:rsidR="00A41C1A" w:rsidRPr="009537ED" w:rsidRDefault="00141B77" w:rsidP="00A41C1A">
      <w:pPr>
        <w:rPr>
          <w:lang w:eastAsia="x-none"/>
        </w:rPr>
      </w:pPr>
      <w:r w:rsidRPr="009537ED">
        <w:rPr>
          <w:lang w:eastAsia="x-none"/>
        </w:rPr>
        <w:t>From Monday session</w:t>
      </w:r>
    </w:p>
    <w:p w14:paraId="3374A8BD" w14:textId="4CC87272" w:rsidR="00A41C1A" w:rsidRPr="009537ED" w:rsidRDefault="00141B77" w:rsidP="00A41C1A">
      <w:pPr>
        <w:rPr>
          <w:lang w:eastAsia="x-none"/>
        </w:rPr>
      </w:pPr>
      <w:r w:rsidRPr="009537ED">
        <w:rPr>
          <w:highlight w:val="green"/>
          <w:lang w:eastAsia="x-none"/>
        </w:rPr>
        <w:t>Agreement</w:t>
      </w:r>
    </w:p>
    <w:p w14:paraId="7026933E" w14:textId="77777777" w:rsidR="00A41C1A" w:rsidRPr="009537ED" w:rsidRDefault="00A41C1A" w:rsidP="00141B77">
      <w:pPr>
        <w:snapToGrid w:val="0"/>
        <w:rPr>
          <w:rFonts w:ascii="Times New Roman" w:hAnsi="Times New Roman"/>
          <w:szCs w:val="20"/>
        </w:rPr>
      </w:pPr>
      <w:r w:rsidRPr="009537ED">
        <w:rPr>
          <w:rFonts w:ascii="Times New Roman" w:hAnsi="Times New Roman"/>
          <w:szCs w:val="20"/>
        </w:rPr>
        <w:t>For the Rel-18 Type-II codebook refinement for CJT mTRP, adopt the following TP</w:t>
      </w:r>
      <w:r w:rsidRPr="009537ED">
        <w:rPr>
          <w:rFonts w:ascii="Times New Roman" w:eastAsia="Microsoft YaHei" w:hAnsi="Times New Roman"/>
          <w:iCs/>
          <w:szCs w:val="20"/>
        </w:rPr>
        <w:t xml:space="preserve"> for TS 38.214</w:t>
      </w:r>
      <w:r w:rsidRPr="009537ED">
        <w:rPr>
          <w:rFonts w:ascii="Times New Roman" w:hAnsi="Times New Roman"/>
          <w:szCs w:val="20"/>
        </w:rPr>
        <w:t xml:space="preserve">: </w:t>
      </w:r>
    </w:p>
    <w:p w14:paraId="7792385D" w14:textId="69ECB7BF" w:rsidR="00A41C1A" w:rsidRPr="009537ED" w:rsidRDefault="00A41C1A" w:rsidP="00BC5BE9">
      <w:pPr>
        <w:pStyle w:val="ListParagraph"/>
        <w:numPr>
          <w:ilvl w:val="0"/>
          <w:numId w:val="80"/>
        </w:numPr>
        <w:snapToGrid w:val="0"/>
      </w:pPr>
      <w:r w:rsidRPr="009537ED">
        <w:rPr>
          <w:b/>
        </w:rPr>
        <w:t>Reason for change</w:t>
      </w:r>
      <w:r w:rsidRPr="009537ED">
        <w:t xml:space="preserve">: In the equation of </w:t>
      </w:r>
      <m:oMath>
        <m:r>
          <m:rPr>
            <m:sty m:val="p"/>
          </m:rPr>
          <w:rPr>
            <w:rFonts w:ascii="Cambria Math" w:hAnsi="Cambria Math"/>
          </w:rPr>
          <m:t>Pri</m:t>
        </m:r>
        <m:d>
          <m:dPr>
            <m:ctrlPr>
              <w:rPr>
                <w:rFonts w:ascii="Cambria Math" w:hAnsi="Cambria Math"/>
                <w:i/>
              </w:rPr>
            </m:ctrlPr>
          </m:dPr>
          <m:e>
            <m:r>
              <w:rPr>
                <w:rFonts w:ascii="Cambria Math" w:hAnsi="Cambria Math"/>
              </w:rPr>
              <m:t>l,</m:t>
            </m:r>
            <m:sSub>
              <m:sSubPr>
                <m:ctrlPr>
                  <w:rPr>
                    <w:rFonts w:ascii="Cambria Math" w:hAnsi="Cambria Math"/>
                    <w:i/>
                  </w:rPr>
                </m:ctrlPr>
              </m:sSubPr>
              <m:e>
                <m:r>
                  <w:rPr>
                    <w:rFonts w:ascii="Cambria Math" w:hAnsi="Cambria Math"/>
                  </w:rPr>
                  <m:t>i</m:t>
                </m:r>
              </m:e>
              <m:sub>
                <m:r>
                  <w:rPr>
                    <w:rFonts w:ascii="Cambria Math" w:hAnsi="Cambria Math"/>
                  </w:rPr>
                  <m:t>j</m:t>
                </m:r>
              </m:sub>
            </m:sSub>
            <m:r>
              <w:rPr>
                <w:rFonts w:ascii="Cambria Math" w:hAnsi="Cambria Math"/>
              </w:rPr>
              <m:t>,f,j</m:t>
            </m:r>
          </m:e>
        </m:d>
      </m:oMath>
      <w:r w:rsidRPr="009537ED">
        <w:t xml:space="preserve"> for Further Enhanced Type II Port Selection codebook for CJT reports, the number of selected ports should be </w:t>
      </w:r>
      <m:oMath>
        <m:sSub>
          <m:sSubPr>
            <m:ctrlPr>
              <w:rPr>
                <w:rFonts w:ascii="Cambria Math" w:hAnsi="Cambria Math"/>
                <w:i/>
              </w:rPr>
            </m:ctrlPr>
          </m:sSubPr>
          <m:e>
            <m:r>
              <w:rPr>
                <w:rFonts w:ascii="Cambria Math" w:hAnsi="Cambria Math"/>
              </w:rPr>
              <m:t>K</m:t>
            </m:r>
          </m:e>
          <m:sub>
            <m:r>
              <w:rPr>
                <w:rFonts w:ascii="Cambria Math" w:hAnsi="Cambria Math"/>
              </w:rPr>
              <m:t>1,</m:t>
            </m:r>
            <m:sSub>
              <m:sSubPr>
                <m:ctrlPr>
                  <w:rPr>
                    <w:rFonts w:ascii="Cambria Math" w:hAnsi="Cambria Math"/>
                    <w:i/>
                  </w:rPr>
                </m:ctrlPr>
              </m:sSubPr>
              <m:e>
                <m:r>
                  <w:rPr>
                    <w:rFonts w:ascii="Cambria Math" w:hAnsi="Cambria Math"/>
                  </w:rPr>
                  <m:t>σ</m:t>
                </m:r>
              </m:e>
              <m:sub>
                <m:r>
                  <w:rPr>
                    <w:rFonts w:ascii="Cambria Math" w:hAnsi="Cambria Math"/>
                  </w:rPr>
                  <m:t>k</m:t>
                </m:r>
              </m:sub>
            </m:sSub>
          </m:sub>
        </m:sSub>
      </m:oMath>
      <w:r w:rsidRPr="009537ED">
        <w:t xml:space="preserve"> instead of </w:t>
      </w:r>
      <m:oMath>
        <m:sSub>
          <m:sSubPr>
            <m:ctrlPr>
              <w:rPr>
                <w:rFonts w:ascii="Cambria Math" w:hAnsi="Cambria Math"/>
                <w:i/>
              </w:rPr>
            </m:ctrlPr>
          </m:sSubPr>
          <m:e>
            <m:r>
              <w:rPr>
                <w:rFonts w:ascii="Cambria Math" w:hAnsi="Cambria Math"/>
              </w:rPr>
              <m:t>K</m:t>
            </m:r>
          </m:e>
          <m:sub>
            <m:r>
              <w:rPr>
                <w:rFonts w:ascii="Cambria Math" w:hAnsi="Cambria Math"/>
              </w:rPr>
              <m:t>1,k</m:t>
            </m:r>
          </m:sub>
        </m:sSub>
      </m:oMath>
      <w:r w:rsidRPr="009537ED">
        <w:t xml:space="preserve">. The </w:t>
      </w:r>
      <m:oMath>
        <m:sSub>
          <m:sSubPr>
            <m:ctrlPr>
              <w:rPr>
                <w:rFonts w:ascii="Cambria Math" w:hAnsi="Cambria Math"/>
                <w:i/>
              </w:rPr>
            </m:ctrlPr>
          </m:sSubPr>
          <m:e>
            <m:r>
              <w:rPr>
                <w:rFonts w:ascii="Cambria Math" w:hAnsi="Cambria Math"/>
              </w:rPr>
              <m:t>K</m:t>
            </m:r>
          </m:e>
          <m:sub>
            <m:r>
              <w:rPr>
                <w:rFonts w:ascii="Cambria Math" w:hAnsi="Cambria Math"/>
              </w:rPr>
              <m:t>1,</m:t>
            </m:r>
            <m:sSub>
              <m:sSubPr>
                <m:ctrlPr>
                  <w:rPr>
                    <w:rFonts w:ascii="Cambria Math" w:hAnsi="Cambria Math"/>
                    <w:i/>
                  </w:rPr>
                </m:ctrlPr>
              </m:sSubPr>
              <m:e>
                <m:r>
                  <w:rPr>
                    <w:rFonts w:ascii="Cambria Math" w:hAnsi="Cambria Math"/>
                  </w:rPr>
                  <m:t>σ</m:t>
                </m:r>
              </m:e>
              <m:sub>
                <m:r>
                  <w:rPr>
                    <w:rFonts w:ascii="Cambria Math" w:hAnsi="Cambria Math"/>
                  </w:rPr>
                  <m:t>k</m:t>
                </m:r>
              </m:sub>
            </m:sSub>
          </m:sub>
        </m:sSub>
      </m:oMath>
      <w:r w:rsidRPr="009537ED">
        <w:t xml:space="preserve">  is the number of selected ports for the </w:t>
      </w:r>
      <w:r w:rsidRPr="009537ED">
        <w:rPr>
          <w:i/>
        </w:rPr>
        <w:t>k</w:t>
      </w:r>
      <w:r w:rsidRPr="009537ED">
        <w:t xml:space="preserve">-th selected CSI-RS resource, while </w:t>
      </w:r>
      <m:oMath>
        <m:sSub>
          <m:sSubPr>
            <m:ctrlPr>
              <w:rPr>
                <w:rFonts w:ascii="Cambria Math" w:hAnsi="Cambria Math"/>
                <w:i/>
              </w:rPr>
            </m:ctrlPr>
          </m:sSubPr>
          <m:e>
            <m:r>
              <w:rPr>
                <w:rFonts w:ascii="Cambria Math" w:hAnsi="Cambria Math"/>
              </w:rPr>
              <m:t>K</m:t>
            </m:r>
          </m:e>
          <m:sub>
            <m:r>
              <w:rPr>
                <w:rFonts w:ascii="Cambria Math" w:hAnsi="Cambria Math"/>
              </w:rPr>
              <m:t>1,k</m:t>
            </m:r>
          </m:sub>
        </m:sSub>
      </m:oMath>
      <w:r w:rsidRPr="009537ED">
        <w:t xml:space="preserve">is the </w:t>
      </w:r>
      <w:r w:rsidRPr="009537ED">
        <w:rPr>
          <w:i/>
        </w:rPr>
        <w:t>k</w:t>
      </w:r>
      <w:r w:rsidRPr="009537ED">
        <w:t xml:space="preserve">-th gNB-configured CSI-RS resource. Using </w:t>
      </w:r>
      <m:oMath>
        <m:sSub>
          <m:sSubPr>
            <m:ctrlPr>
              <w:rPr>
                <w:rFonts w:ascii="Cambria Math" w:hAnsi="Cambria Math"/>
                <w:i/>
              </w:rPr>
            </m:ctrlPr>
          </m:sSubPr>
          <m:e>
            <m:r>
              <w:rPr>
                <w:rFonts w:ascii="Cambria Math" w:hAnsi="Cambria Math"/>
              </w:rPr>
              <m:t>K</m:t>
            </m:r>
          </m:e>
          <m:sub>
            <m:r>
              <w:rPr>
                <w:rFonts w:ascii="Cambria Math" w:hAnsi="Cambria Math"/>
              </w:rPr>
              <m:t>1,k</m:t>
            </m:r>
          </m:sub>
        </m:sSub>
      </m:oMath>
      <w:r w:rsidRPr="009537ED">
        <w:t xml:space="preserve"> will result in a miscalculated priority value, when the </w:t>
      </w:r>
      <m:oMath>
        <m:r>
          <m:rPr>
            <m:sty m:val="p"/>
          </m:rPr>
          <w:rPr>
            <w:rFonts w:ascii="Cambria Math" w:hAnsi="Cambria Math"/>
          </w:rPr>
          <m:t>{</m:t>
        </m:r>
        <m:sSub>
          <m:sSubPr>
            <m:ctrlPr>
              <w:rPr>
                <w:rFonts w:ascii="Cambria Math" w:hAnsi="Cambria Math"/>
              </w:rPr>
            </m:ctrlPr>
          </m:sSubPr>
          <m:e>
            <m:r>
              <w:rPr>
                <w:rFonts w:ascii="Cambria Math" w:hAnsi="Cambria Math"/>
              </w:rPr>
              <m:t>α</m:t>
            </m:r>
          </m:e>
          <m:sub>
            <m:r>
              <w:rPr>
                <w:rFonts w:ascii="Cambria Math" w:hAnsi="Cambria Math"/>
              </w:rPr>
              <m:t>n</m:t>
            </m:r>
          </m:sub>
        </m:sSub>
        <m:r>
          <w:rPr>
            <w:rFonts w:ascii="Cambria Math" w:hAnsi="Cambria Math"/>
          </w:rPr>
          <m:t>}</m:t>
        </m:r>
      </m:oMath>
      <w:r w:rsidRPr="009537ED">
        <w:t xml:space="preserve"> combination is unequal. </w:t>
      </w:r>
    </w:p>
    <w:p w14:paraId="3F8950C1" w14:textId="655171DE" w:rsidR="00A41C1A" w:rsidRPr="009537ED" w:rsidRDefault="00A41C1A" w:rsidP="00BC5BE9">
      <w:pPr>
        <w:pStyle w:val="ListParagraph"/>
        <w:numPr>
          <w:ilvl w:val="0"/>
          <w:numId w:val="80"/>
        </w:numPr>
        <w:snapToGrid w:val="0"/>
      </w:pPr>
      <w:r w:rsidRPr="009537ED">
        <w:rPr>
          <w:b/>
        </w:rPr>
        <w:t>Summary of change</w:t>
      </w:r>
      <w:r w:rsidRPr="009537ED">
        <w:t xml:space="preserve">: Regarding the priority value for Further Enhanced Type II Port Selection codebook for CJT reports, </w:t>
      </w:r>
      <m:oMath>
        <m:sSub>
          <m:sSubPr>
            <m:ctrlPr>
              <w:rPr>
                <w:rFonts w:ascii="Cambria Math" w:hAnsi="Cambria Math"/>
                <w:i/>
              </w:rPr>
            </m:ctrlPr>
          </m:sSubPr>
          <m:e>
            <m:r>
              <w:rPr>
                <w:rFonts w:ascii="Cambria Math" w:hAnsi="Cambria Math"/>
              </w:rPr>
              <m:t>K</m:t>
            </m:r>
          </m:e>
          <m:sub>
            <m:r>
              <w:rPr>
                <w:rFonts w:ascii="Cambria Math" w:hAnsi="Cambria Math"/>
              </w:rPr>
              <m:t>1,k</m:t>
            </m:r>
          </m:sub>
        </m:sSub>
      </m:oMath>
      <w:r w:rsidRPr="009537ED">
        <w:t xml:space="preserve">  and </w:t>
      </w:r>
      <m:oMath>
        <m:sSub>
          <m:sSubPr>
            <m:ctrlPr>
              <w:rPr>
                <w:rFonts w:ascii="Cambria Math" w:hAnsi="Cambria Math"/>
                <w:i/>
              </w:rPr>
            </m:ctrlPr>
          </m:sSubPr>
          <m:e>
            <m:r>
              <w:rPr>
                <w:rFonts w:ascii="Cambria Math" w:hAnsi="Cambria Math"/>
              </w:rPr>
              <m:t>K</m:t>
            </m:r>
          </m:e>
          <m:sub>
            <m:r>
              <w:rPr>
                <w:rFonts w:ascii="Cambria Math" w:hAnsi="Cambria Math"/>
              </w:rPr>
              <m:t>1,j</m:t>
            </m:r>
          </m:sub>
        </m:sSub>
      </m:oMath>
      <w:r w:rsidRPr="009537ED">
        <w:t xml:space="preserve"> are changed to </w:t>
      </w:r>
      <m:oMath>
        <m:sSub>
          <m:sSubPr>
            <m:ctrlPr>
              <w:rPr>
                <w:rFonts w:ascii="Cambria Math" w:hAnsi="Cambria Math"/>
                <w:i/>
              </w:rPr>
            </m:ctrlPr>
          </m:sSubPr>
          <m:e>
            <m:r>
              <w:rPr>
                <w:rFonts w:ascii="Cambria Math" w:hAnsi="Cambria Math"/>
              </w:rPr>
              <m:t>K</m:t>
            </m:r>
          </m:e>
          <m:sub>
            <m:r>
              <w:rPr>
                <w:rFonts w:ascii="Cambria Math" w:hAnsi="Cambria Math"/>
              </w:rPr>
              <m:t>1,</m:t>
            </m:r>
            <m:sSub>
              <m:sSubPr>
                <m:ctrlPr>
                  <w:rPr>
                    <w:rFonts w:ascii="Cambria Math" w:hAnsi="Cambria Math"/>
                    <w:i/>
                  </w:rPr>
                </m:ctrlPr>
              </m:sSubPr>
              <m:e>
                <m:r>
                  <w:rPr>
                    <w:rFonts w:ascii="Cambria Math" w:hAnsi="Cambria Math"/>
                  </w:rPr>
                  <m:t>σ</m:t>
                </m:r>
              </m:e>
              <m:sub>
                <m:r>
                  <w:rPr>
                    <w:rFonts w:ascii="Cambria Math" w:hAnsi="Cambria Math"/>
                  </w:rPr>
                  <m:t>k</m:t>
                </m:r>
              </m:sub>
            </m:sSub>
          </m:sub>
        </m:sSub>
      </m:oMath>
      <w:r w:rsidRPr="009537ED">
        <w:t xml:space="preserve"> and </w:t>
      </w:r>
      <m:oMath>
        <m:sSub>
          <m:sSubPr>
            <m:ctrlPr>
              <w:rPr>
                <w:rFonts w:ascii="Cambria Math" w:hAnsi="Cambria Math"/>
                <w:i/>
              </w:rPr>
            </m:ctrlPr>
          </m:sSubPr>
          <m:e>
            <m:r>
              <w:rPr>
                <w:rFonts w:ascii="Cambria Math" w:hAnsi="Cambria Math"/>
              </w:rPr>
              <m:t>K</m:t>
            </m:r>
          </m:e>
          <m:sub>
            <m:r>
              <w:rPr>
                <w:rFonts w:ascii="Cambria Math" w:hAnsi="Cambria Math"/>
              </w:rPr>
              <m:t>1,</m:t>
            </m:r>
            <m:sSub>
              <m:sSubPr>
                <m:ctrlPr>
                  <w:rPr>
                    <w:rFonts w:ascii="Cambria Math" w:hAnsi="Cambria Math"/>
                    <w:i/>
                  </w:rPr>
                </m:ctrlPr>
              </m:sSubPr>
              <m:e>
                <m:r>
                  <w:rPr>
                    <w:rFonts w:ascii="Cambria Math" w:hAnsi="Cambria Math"/>
                  </w:rPr>
                  <m:t>σ</m:t>
                </m:r>
              </m:e>
              <m:sub>
                <m:r>
                  <w:rPr>
                    <w:rFonts w:ascii="Cambria Math" w:hAnsi="Cambria Math"/>
                  </w:rPr>
                  <m:t>j</m:t>
                </m:r>
              </m:sub>
            </m:sSub>
          </m:sub>
        </m:sSub>
      </m:oMath>
      <w:r w:rsidRPr="009537ED">
        <w:t xml:space="preserve"> respectively.</w:t>
      </w:r>
    </w:p>
    <w:p w14:paraId="11EBD774" w14:textId="6CFBC5FA" w:rsidR="00A41C1A" w:rsidRPr="009537ED" w:rsidRDefault="00A41C1A" w:rsidP="00BC5BE9">
      <w:pPr>
        <w:pStyle w:val="ListParagraph"/>
        <w:numPr>
          <w:ilvl w:val="0"/>
          <w:numId w:val="80"/>
        </w:numPr>
        <w:snapToGrid w:val="0"/>
      </w:pPr>
      <w:r w:rsidRPr="009537ED">
        <w:rPr>
          <w:b/>
        </w:rPr>
        <w:t>Consequences if not approved</w:t>
      </w:r>
      <w:r w:rsidRPr="009537ED">
        <w:t xml:space="preserve">: The priority value </w:t>
      </w:r>
      <m:oMath>
        <m:r>
          <m:rPr>
            <m:sty m:val="p"/>
          </m:rPr>
          <w:rPr>
            <w:rFonts w:ascii="Cambria Math" w:hAnsi="Cambria Math"/>
          </w:rPr>
          <m:t>Pri</m:t>
        </m:r>
        <m:d>
          <m:dPr>
            <m:ctrlPr>
              <w:rPr>
                <w:rFonts w:ascii="Cambria Math" w:hAnsi="Cambria Math"/>
                <w:i/>
              </w:rPr>
            </m:ctrlPr>
          </m:dPr>
          <m:e>
            <m:r>
              <w:rPr>
                <w:rFonts w:ascii="Cambria Math" w:hAnsi="Cambria Math"/>
              </w:rPr>
              <m:t>l,</m:t>
            </m:r>
            <m:sSub>
              <m:sSubPr>
                <m:ctrlPr>
                  <w:rPr>
                    <w:rFonts w:ascii="Cambria Math" w:hAnsi="Cambria Math"/>
                    <w:i/>
                  </w:rPr>
                </m:ctrlPr>
              </m:sSubPr>
              <m:e>
                <m:r>
                  <w:rPr>
                    <w:rFonts w:ascii="Cambria Math" w:hAnsi="Cambria Math"/>
                  </w:rPr>
                  <m:t>i</m:t>
                </m:r>
              </m:e>
              <m:sub>
                <m:r>
                  <w:rPr>
                    <w:rFonts w:ascii="Cambria Math" w:hAnsi="Cambria Math"/>
                  </w:rPr>
                  <m:t>j</m:t>
                </m:r>
              </m:sub>
            </m:sSub>
            <m:r>
              <w:rPr>
                <w:rFonts w:ascii="Cambria Math" w:hAnsi="Cambria Math"/>
              </w:rPr>
              <m:t>,f,j</m:t>
            </m:r>
          </m:e>
        </m:d>
      </m:oMath>
      <w:r w:rsidRPr="009537ED">
        <w:t xml:space="preserve"> may be miscalculated, which leads to a wrong behavior in UCI omission.</w:t>
      </w:r>
    </w:p>
    <w:p w14:paraId="0780F345" w14:textId="77777777" w:rsidR="00A41C1A" w:rsidRPr="009537ED" w:rsidRDefault="00A41C1A" w:rsidP="00141B77">
      <w:pPr>
        <w:snapToGrid w:val="0"/>
        <w:rPr>
          <w:rFonts w:ascii="Times New Roman" w:hAnsi="Times New Roman"/>
          <w:color w:val="FF0000"/>
          <w:szCs w:val="20"/>
        </w:rPr>
      </w:pPr>
      <w:r w:rsidRPr="009537ED">
        <w:rPr>
          <w:rFonts w:ascii="Times New Roman" w:hAnsi="Times New Roman"/>
          <w:color w:val="FF0000"/>
          <w:szCs w:val="20"/>
        </w:rPr>
        <w:t>=============Start of Text Proposal to TS 38.214=============</w:t>
      </w:r>
    </w:p>
    <w:p w14:paraId="79014D6B" w14:textId="292E09F2" w:rsidR="00A41C1A" w:rsidRPr="009537ED" w:rsidRDefault="00A41C1A" w:rsidP="00141B77">
      <w:pPr>
        <w:widowControl w:val="0"/>
        <w:autoSpaceDE w:val="0"/>
        <w:autoSpaceDN w:val="0"/>
        <w:adjustRightInd w:val="0"/>
        <w:snapToGrid w:val="0"/>
        <w:ind w:left="568" w:hanging="288"/>
        <w:jc w:val="both"/>
        <w:rPr>
          <w:rFonts w:ascii="Arial" w:eastAsia="SimSun" w:hAnsi="Arial" w:cs="Arial"/>
          <w:sz w:val="16"/>
          <w:szCs w:val="16"/>
        </w:rPr>
      </w:pPr>
      <w:r w:rsidRPr="009537ED">
        <w:rPr>
          <w:rFonts w:ascii="Arial" w:eastAsia="SimSun" w:hAnsi="Arial" w:cs="Arial"/>
          <w:sz w:val="16"/>
          <w:szCs w:val="16"/>
        </w:rPr>
        <w:t xml:space="preserve">For Further Enhanced Type II Port Selection for CJT reports, for a given CSI report </w:t>
      </w:r>
      <m:oMath>
        <m:r>
          <w:rPr>
            <w:rFonts w:ascii="Cambria Math" w:eastAsia="SimSun" w:hAnsi="Cambria Math" w:cs="Arial"/>
            <w:sz w:val="16"/>
            <w:szCs w:val="16"/>
          </w:rPr>
          <m:t>n</m:t>
        </m:r>
      </m:oMath>
      <w:r w:rsidRPr="009537ED">
        <w:rPr>
          <w:rFonts w:ascii="Arial" w:eastAsia="SimSun" w:hAnsi="Arial" w:cs="Arial"/>
          <w:sz w:val="16"/>
          <w:szCs w:val="16"/>
        </w:rPr>
        <w:t xml:space="preserve">, each reported element of </w:t>
      </w:r>
      <m:oMath>
        <m:sSub>
          <m:sSubPr>
            <m:ctrlPr>
              <w:rPr>
                <w:rFonts w:ascii="Cambria Math" w:eastAsia="SimSun" w:hAnsi="Cambria Math" w:cs="Arial"/>
                <w:i/>
                <w:sz w:val="16"/>
                <w:szCs w:val="16"/>
              </w:rPr>
            </m:ctrlPr>
          </m:sSubPr>
          <m:e>
            <m:r>
              <w:rPr>
                <w:rFonts w:ascii="Cambria Math" w:eastAsia="SimSun" w:hAnsi="Cambria Math" w:cs="Arial"/>
                <w:sz w:val="16"/>
                <w:szCs w:val="16"/>
              </w:rPr>
              <m:t>i</m:t>
            </m:r>
          </m:e>
          <m:sub>
            <m:r>
              <w:rPr>
                <w:rFonts w:ascii="Cambria Math" w:eastAsia="SimSun" w:hAnsi="Cambria Math" w:cs="Arial"/>
                <w:sz w:val="16"/>
                <w:szCs w:val="16"/>
              </w:rPr>
              <m:t>2,4,l</m:t>
            </m:r>
          </m:sub>
        </m:sSub>
      </m:oMath>
      <w:r w:rsidRPr="009537ED">
        <w:rPr>
          <w:rFonts w:ascii="Arial" w:eastAsia="SimSun" w:hAnsi="Arial" w:cs="Arial"/>
          <w:sz w:val="16"/>
          <w:szCs w:val="16"/>
        </w:rPr>
        <w:t xml:space="preserve"> </w:t>
      </w:r>
      <m:oMath>
        <m:sSub>
          <m:sSubPr>
            <m:ctrlPr>
              <w:rPr>
                <w:rFonts w:ascii="Cambria Math" w:eastAsia="SimSun" w:hAnsi="Cambria Math" w:cs="Arial"/>
                <w:i/>
                <w:sz w:val="16"/>
                <w:szCs w:val="16"/>
              </w:rPr>
            </m:ctrlPr>
          </m:sSubPr>
          <m:e>
            <m:r>
              <w:rPr>
                <w:rFonts w:ascii="Cambria Math" w:eastAsia="SimSun" w:hAnsi="Cambria Math" w:cs="Arial"/>
                <w:sz w:val="16"/>
                <w:szCs w:val="16"/>
              </w:rPr>
              <m:t>i</m:t>
            </m:r>
          </m:e>
          <m:sub>
            <m:r>
              <w:rPr>
                <w:rFonts w:ascii="Cambria Math" w:eastAsia="SimSun" w:hAnsi="Cambria Math" w:cs="Arial"/>
                <w:sz w:val="16"/>
                <w:szCs w:val="16"/>
              </w:rPr>
              <m:t>2,5,l</m:t>
            </m:r>
          </m:sub>
        </m:sSub>
        <m:r>
          <w:rPr>
            <w:rFonts w:ascii="Cambria Math" w:eastAsia="SimSun" w:hAnsi="Cambria Math" w:cs="Arial"/>
            <w:sz w:val="16"/>
            <w:szCs w:val="16"/>
          </w:rPr>
          <m:t xml:space="preserve"> </m:t>
        </m:r>
      </m:oMath>
      <w:r w:rsidRPr="009537ED">
        <w:rPr>
          <w:rFonts w:ascii="Arial" w:eastAsia="SimSun" w:hAnsi="Arial" w:cs="Arial"/>
          <w:sz w:val="16"/>
          <w:szCs w:val="16"/>
        </w:rPr>
        <w:t xml:space="preserve">and </w:t>
      </w:r>
      <m:oMath>
        <m:sSub>
          <m:sSubPr>
            <m:ctrlPr>
              <w:rPr>
                <w:rFonts w:ascii="Cambria Math" w:eastAsia="SimSun" w:hAnsi="Cambria Math" w:cs="Arial"/>
                <w:i/>
                <w:sz w:val="16"/>
                <w:szCs w:val="16"/>
              </w:rPr>
            </m:ctrlPr>
          </m:sSubPr>
          <m:e>
            <m:r>
              <w:rPr>
                <w:rFonts w:ascii="Cambria Math" w:eastAsia="SimSun" w:hAnsi="Cambria Math" w:cs="Arial"/>
                <w:sz w:val="16"/>
                <w:szCs w:val="16"/>
              </w:rPr>
              <m:t>i</m:t>
            </m:r>
          </m:e>
          <m:sub>
            <m:r>
              <w:rPr>
                <w:rFonts w:ascii="Cambria Math" w:eastAsia="SimSun" w:hAnsi="Cambria Math" w:cs="Arial"/>
                <w:sz w:val="16"/>
                <w:szCs w:val="16"/>
              </w:rPr>
              <m:t>1,7,l</m:t>
            </m:r>
          </m:sub>
        </m:sSub>
      </m:oMath>
      <w:r w:rsidRPr="009537ED">
        <w:rPr>
          <w:rFonts w:ascii="Arial" w:eastAsia="SimSun" w:hAnsi="Arial" w:cs="Arial"/>
          <w:sz w:val="16"/>
          <w:szCs w:val="16"/>
        </w:rPr>
        <w:t xml:space="preserve">, indexed by </w:t>
      </w:r>
      <m:oMath>
        <m:r>
          <w:rPr>
            <w:rFonts w:ascii="Cambria Math" w:eastAsia="SimSun" w:hAnsi="Cambria Math" w:cs="Arial"/>
            <w:sz w:val="16"/>
            <w:szCs w:val="16"/>
          </w:rPr>
          <m:t>l</m:t>
        </m:r>
      </m:oMath>
      <w:r w:rsidRPr="009537ED">
        <w:rPr>
          <w:rFonts w:ascii="Arial" w:eastAsia="SimSun" w:hAnsi="Arial" w:cs="Arial"/>
          <w:sz w:val="16"/>
          <w:szCs w:val="16"/>
        </w:rPr>
        <w:t xml:space="preserve">, </w:t>
      </w:r>
      <m:oMath>
        <m:sSub>
          <m:sSubPr>
            <m:ctrlPr>
              <w:rPr>
                <w:rFonts w:ascii="Cambria Math" w:eastAsia="SimSun" w:hAnsi="Cambria Math" w:cs="Arial"/>
                <w:i/>
                <w:sz w:val="16"/>
                <w:szCs w:val="16"/>
              </w:rPr>
            </m:ctrlPr>
          </m:sSubPr>
          <m:e>
            <m:r>
              <w:rPr>
                <w:rFonts w:ascii="Cambria Math" w:eastAsia="SimSun" w:hAnsi="Cambria Math" w:cs="Arial"/>
                <w:sz w:val="16"/>
                <w:szCs w:val="16"/>
              </w:rPr>
              <m:t>i</m:t>
            </m:r>
          </m:e>
          <m:sub>
            <m:r>
              <w:rPr>
                <w:rFonts w:ascii="Cambria Math" w:eastAsia="SimSun" w:hAnsi="Cambria Math" w:cs="Arial"/>
                <w:sz w:val="16"/>
                <w:szCs w:val="16"/>
              </w:rPr>
              <m:t>j</m:t>
            </m:r>
          </m:sub>
        </m:sSub>
      </m:oMath>
      <w:r w:rsidRPr="009537ED">
        <w:rPr>
          <w:rFonts w:ascii="Arial" w:eastAsia="SimSun" w:hAnsi="Arial" w:cs="Arial"/>
          <w:sz w:val="16"/>
          <w:szCs w:val="16"/>
        </w:rPr>
        <w:t xml:space="preserve">, </w:t>
      </w:r>
      <m:oMath>
        <m:r>
          <w:rPr>
            <w:rFonts w:ascii="Cambria Math" w:eastAsia="SimSun" w:hAnsi="Cambria Math" w:cs="Arial"/>
            <w:sz w:val="16"/>
            <w:szCs w:val="16"/>
          </w:rPr>
          <m:t>f</m:t>
        </m:r>
      </m:oMath>
      <w:r w:rsidRPr="009537ED">
        <w:rPr>
          <w:rFonts w:ascii="Arial" w:eastAsia="SimSun" w:hAnsi="Arial" w:cs="Arial"/>
          <w:sz w:val="16"/>
          <w:szCs w:val="16"/>
        </w:rPr>
        <w:t xml:space="preserve"> and </w:t>
      </w:r>
      <m:oMath>
        <m:r>
          <w:rPr>
            <w:rFonts w:ascii="Cambria Math" w:eastAsia="SimSun" w:hAnsi="Cambria Math" w:cs="Arial"/>
            <w:sz w:val="16"/>
            <w:szCs w:val="16"/>
          </w:rPr>
          <m:t>j</m:t>
        </m:r>
      </m:oMath>
      <w:r w:rsidRPr="009537ED">
        <w:rPr>
          <w:rFonts w:ascii="Arial" w:eastAsia="SimSun" w:hAnsi="Arial" w:cs="Arial"/>
          <w:sz w:val="16"/>
          <w:szCs w:val="16"/>
        </w:rPr>
        <w:t xml:space="preserve">, is associated with a priority value </w:t>
      </w:r>
      <m:oMath>
        <m:r>
          <m:rPr>
            <m:sty m:val="p"/>
          </m:rPr>
          <w:rPr>
            <w:rFonts w:ascii="Cambria Math" w:eastAsia="SimSun" w:hAnsi="Cambria Math" w:cs="Arial"/>
            <w:sz w:val="16"/>
            <w:szCs w:val="16"/>
          </w:rPr>
          <m:t>Pri</m:t>
        </m:r>
        <m:d>
          <m:dPr>
            <m:ctrlPr>
              <w:rPr>
                <w:rFonts w:ascii="Cambria Math" w:eastAsia="SimSun" w:hAnsi="Cambria Math" w:cs="Arial"/>
                <w:i/>
                <w:sz w:val="16"/>
                <w:szCs w:val="16"/>
              </w:rPr>
            </m:ctrlPr>
          </m:dPr>
          <m:e>
            <m:r>
              <w:rPr>
                <w:rFonts w:ascii="Cambria Math" w:eastAsia="SimSun" w:hAnsi="Cambria Math" w:cs="Arial"/>
                <w:sz w:val="16"/>
                <w:szCs w:val="16"/>
              </w:rPr>
              <m:t>l,</m:t>
            </m:r>
            <m:sSub>
              <m:sSubPr>
                <m:ctrlPr>
                  <w:rPr>
                    <w:rFonts w:ascii="Cambria Math" w:eastAsia="SimSun" w:hAnsi="Cambria Math" w:cs="Arial"/>
                    <w:i/>
                    <w:sz w:val="16"/>
                    <w:szCs w:val="16"/>
                  </w:rPr>
                </m:ctrlPr>
              </m:sSubPr>
              <m:e>
                <m:r>
                  <w:rPr>
                    <w:rFonts w:ascii="Cambria Math" w:eastAsia="SimSun" w:hAnsi="Cambria Math" w:cs="Arial"/>
                    <w:sz w:val="16"/>
                    <w:szCs w:val="16"/>
                  </w:rPr>
                  <m:t>i</m:t>
                </m:r>
              </m:e>
              <m:sub>
                <m:r>
                  <w:rPr>
                    <w:rFonts w:ascii="Cambria Math" w:eastAsia="SimSun" w:hAnsi="Cambria Math" w:cs="Arial"/>
                    <w:sz w:val="16"/>
                    <w:szCs w:val="16"/>
                  </w:rPr>
                  <m:t>j</m:t>
                </m:r>
              </m:sub>
            </m:sSub>
            <m:r>
              <w:rPr>
                <w:rFonts w:ascii="Cambria Math" w:eastAsia="SimSun" w:hAnsi="Cambria Math" w:cs="Arial"/>
                <w:sz w:val="16"/>
                <w:szCs w:val="16"/>
              </w:rPr>
              <m:t>,f,j</m:t>
            </m:r>
          </m:e>
        </m:d>
        <m:r>
          <w:rPr>
            <w:rFonts w:ascii="Cambria Math" w:eastAsia="SimSun" w:hAnsi="Cambria Math" w:cs="Arial"/>
            <w:sz w:val="16"/>
            <w:szCs w:val="16"/>
          </w:rPr>
          <m:t>=</m:t>
        </m:r>
        <m:nary>
          <m:naryPr>
            <m:chr m:val="∑"/>
            <m:ctrlPr>
              <w:rPr>
                <w:rFonts w:ascii="Cambria Math" w:eastAsia="SimSun" w:hAnsi="Cambria Math" w:cs="Arial"/>
                <w:i/>
                <w:noProof/>
                <w:sz w:val="16"/>
                <w:szCs w:val="16"/>
              </w:rPr>
            </m:ctrlPr>
          </m:naryPr>
          <m:sub>
            <m:r>
              <w:rPr>
                <w:rFonts w:ascii="Cambria Math" w:eastAsia="SimSun" w:hAnsi="Cambria Math" w:cs="Arial"/>
                <w:noProof/>
                <w:sz w:val="16"/>
                <w:szCs w:val="16"/>
              </w:rPr>
              <m:t>k=1</m:t>
            </m:r>
          </m:sub>
          <m:sup>
            <m:r>
              <w:rPr>
                <w:rFonts w:ascii="Cambria Math" w:eastAsia="SimSun" w:hAnsi="Cambria Math" w:cs="Arial"/>
                <w:noProof/>
                <w:sz w:val="16"/>
                <w:szCs w:val="16"/>
              </w:rPr>
              <m:t>N</m:t>
            </m:r>
          </m:sup>
          <m:e>
            <m:sSub>
              <m:sSubPr>
                <m:ctrlPr>
                  <w:rPr>
                    <w:rFonts w:ascii="Cambria Math" w:eastAsia="SimSun" w:hAnsi="Cambria Math" w:cs="Arial"/>
                    <w:i/>
                    <w:noProof/>
                    <w:color w:val="FF0000"/>
                    <w:sz w:val="16"/>
                    <w:szCs w:val="16"/>
                  </w:rPr>
                </m:ctrlPr>
              </m:sSubPr>
              <m:e>
                <m:r>
                  <w:rPr>
                    <w:rFonts w:ascii="Cambria Math" w:eastAsia="SimSun" w:hAnsi="Cambria Math" w:cs="Arial"/>
                    <w:noProof/>
                    <w:color w:val="FF0000"/>
                    <w:sz w:val="16"/>
                    <w:szCs w:val="16"/>
                  </w:rPr>
                  <m:t>K</m:t>
                </m:r>
              </m:e>
              <m:sub>
                <m:r>
                  <w:rPr>
                    <w:rFonts w:ascii="Cambria Math" w:eastAsia="SimSun" w:hAnsi="Cambria Math" w:cs="Arial"/>
                    <w:noProof/>
                    <w:color w:val="FF0000"/>
                    <w:sz w:val="16"/>
                    <w:szCs w:val="16"/>
                  </w:rPr>
                  <m:t>1,</m:t>
                </m:r>
                <m:r>
                  <w:rPr>
                    <w:rFonts w:ascii="Cambria Math" w:eastAsia="SimSun" w:hAnsi="Cambria Math" w:cs="Arial"/>
                    <w:strike/>
                    <w:noProof/>
                    <w:color w:val="FF0000"/>
                    <w:sz w:val="16"/>
                    <w:szCs w:val="16"/>
                  </w:rPr>
                  <m:t>k</m:t>
                </m:r>
                <m:sSub>
                  <m:sSubPr>
                    <m:ctrlPr>
                      <w:rPr>
                        <w:rFonts w:ascii="Cambria Math" w:eastAsia="SimSun" w:hAnsi="Cambria Math" w:cs="Arial"/>
                        <w:i/>
                        <w:noProof/>
                        <w:color w:val="FF0000"/>
                        <w:sz w:val="16"/>
                        <w:szCs w:val="16"/>
                      </w:rPr>
                    </m:ctrlPr>
                  </m:sSubPr>
                  <m:e>
                    <m:r>
                      <w:rPr>
                        <w:rFonts w:ascii="Cambria Math" w:eastAsia="SimSun" w:hAnsi="Cambria Math" w:cs="Arial"/>
                        <w:noProof/>
                        <w:color w:val="FF0000"/>
                        <w:sz w:val="16"/>
                        <w:szCs w:val="16"/>
                      </w:rPr>
                      <m:t>σ</m:t>
                    </m:r>
                  </m:e>
                  <m:sub>
                    <m:r>
                      <w:rPr>
                        <w:rFonts w:ascii="Cambria Math" w:eastAsia="SimSun" w:hAnsi="Cambria Math" w:cs="Arial"/>
                        <w:noProof/>
                        <w:color w:val="FF0000"/>
                        <w:sz w:val="16"/>
                        <w:szCs w:val="16"/>
                      </w:rPr>
                      <m:t>k</m:t>
                    </m:r>
                  </m:sub>
                </m:sSub>
              </m:sub>
            </m:sSub>
          </m:e>
        </m:nary>
        <m:r>
          <w:rPr>
            <w:rFonts w:ascii="Cambria Math" w:eastAsia="SimSun" w:hAnsi="Cambria Math" w:cs="Arial"/>
            <w:sz w:val="16"/>
            <w:szCs w:val="16"/>
          </w:rPr>
          <m:t>⋅υ⋅f+υ⋅</m:t>
        </m:r>
        <m:d>
          <m:dPr>
            <m:ctrlPr>
              <w:rPr>
                <w:rFonts w:ascii="Cambria Math" w:eastAsia="SimSun" w:hAnsi="Cambria Math" w:cs="Arial"/>
                <w:i/>
                <w:sz w:val="16"/>
                <w:szCs w:val="16"/>
              </w:rPr>
            </m:ctrlPr>
          </m:dPr>
          <m:e>
            <m:nary>
              <m:naryPr>
                <m:chr m:val="∑"/>
                <m:ctrlPr>
                  <w:rPr>
                    <w:rFonts w:ascii="Cambria Math" w:eastAsia="SimSun" w:hAnsi="Cambria Math" w:cs="Arial"/>
                    <w:i/>
                    <w:noProof/>
                    <w:sz w:val="16"/>
                    <w:szCs w:val="16"/>
                  </w:rPr>
                </m:ctrlPr>
              </m:naryPr>
              <m:sub>
                <m:r>
                  <w:rPr>
                    <w:rFonts w:ascii="Cambria Math" w:eastAsia="SimSun" w:hAnsi="Cambria Math" w:cs="Arial"/>
                    <w:noProof/>
                    <w:sz w:val="16"/>
                    <w:szCs w:val="16"/>
                  </w:rPr>
                  <m:t>k=1</m:t>
                </m:r>
              </m:sub>
              <m:sup>
                <m:r>
                  <w:rPr>
                    <w:rFonts w:ascii="Cambria Math" w:eastAsia="SimSun" w:hAnsi="Cambria Math" w:cs="Arial"/>
                    <w:noProof/>
                    <w:sz w:val="16"/>
                    <w:szCs w:val="16"/>
                  </w:rPr>
                  <m:t>j-1</m:t>
                </m:r>
              </m:sup>
              <m:e>
                <m:sSub>
                  <m:sSubPr>
                    <m:ctrlPr>
                      <w:rPr>
                        <w:rFonts w:ascii="Cambria Math" w:eastAsia="SimSun" w:hAnsi="Cambria Math" w:cs="Arial"/>
                        <w:i/>
                        <w:noProof/>
                        <w:color w:val="FF0000"/>
                        <w:sz w:val="16"/>
                        <w:szCs w:val="16"/>
                      </w:rPr>
                    </m:ctrlPr>
                  </m:sSubPr>
                  <m:e>
                    <m:r>
                      <w:rPr>
                        <w:rFonts w:ascii="Cambria Math" w:eastAsia="SimSun" w:hAnsi="Cambria Math" w:cs="Arial"/>
                        <w:noProof/>
                        <w:color w:val="FF0000"/>
                        <w:sz w:val="16"/>
                        <w:szCs w:val="16"/>
                      </w:rPr>
                      <m:t>K</m:t>
                    </m:r>
                  </m:e>
                  <m:sub>
                    <m:r>
                      <w:rPr>
                        <w:rFonts w:ascii="Cambria Math" w:eastAsia="SimSun" w:hAnsi="Cambria Math" w:cs="Arial"/>
                        <w:noProof/>
                        <w:color w:val="FF0000"/>
                        <w:sz w:val="16"/>
                        <w:szCs w:val="16"/>
                      </w:rPr>
                      <m:t>1,</m:t>
                    </m:r>
                    <m:r>
                      <w:rPr>
                        <w:rFonts w:ascii="Cambria Math" w:eastAsia="SimSun" w:hAnsi="Cambria Math" w:cs="Arial"/>
                        <w:strike/>
                        <w:noProof/>
                        <w:color w:val="FF0000"/>
                        <w:sz w:val="16"/>
                        <w:szCs w:val="16"/>
                      </w:rPr>
                      <m:t>k</m:t>
                    </m:r>
                    <m:sSub>
                      <m:sSubPr>
                        <m:ctrlPr>
                          <w:rPr>
                            <w:rFonts w:ascii="Cambria Math" w:eastAsia="SimSun" w:hAnsi="Cambria Math" w:cs="Arial"/>
                            <w:i/>
                            <w:noProof/>
                            <w:color w:val="FF0000"/>
                            <w:sz w:val="16"/>
                            <w:szCs w:val="16"/>
                          </w:rPr>
                        </m:ctrlPr>
                      </m:sSubPr>
                      <m:e>
                        <m:r>
                          <w:rPr>
                            <w:rFonts w:ascii="Cambria Math" w:eastAsia="SimSun" w:hAnsi="Cambria Math" w:cs="Arial"/>
                            <w:noProof/>
                            <w:color w:val="FF0000"/>
                            <w:sz w:val="16"/>
                            <w:szCs w:val="16"/>
                          </w:rPr>
                          <m:t>σ</m:t>
                        </m:r>
                      </m:e>
                      <m:sub>
                        <m:r>
                          <w:rPr>
                            <w:rFonts w:ascii="Cambria Math" w:eastAsia="SimSun" w:hAnsi="Cambria Math" w:cs="Arial"/>
                            <w:noProof/>
                            <w:color w:val="FF0000"/>
                            <w:sz w:val="16"/>
                            <w:szCs w:val="16"/>
                          </w:rPr>
                          <m:t>k</m:t>
                        </m:r>
                      </m:sub>
                    </m:sSub>
                  </m:sub>
                </m:sSub>
              </m:e>
            </m:nary>
            <m:r>
              <w:rPr>
                <w:rFonts w:ascii="Cambria Math" w:eastAsia="SimSun" w:hAnsi="Cambria Math" w:cs="Arial"/>
                <w:noProof/>
                <w:sz w:val="16"/>
                <w:szCs w:val="16"/>
              </w:rPr>
              <m:t>+</m:t>
            </m:r>
            <m:sSub>
              <m:sSubPr>
                <m:ctrlPr>
                  <w:rPr>
                    <w:rFonts w:ascii="Cambria Math" w:eastAsia="SimSun" w:hAnsi="Cambria Math" w:cs="Arial"/>
                    <w:i/>
                    <w:noProof/>
                    <w:sz w:val="16"/>
                    <w:szCs w:val="16"/>
                  </w:rPr>
                </m:ctrlPr>
              </m:sSubPr>
              <m:e>
                <m:r>
                  <w:rPr>
                    <w:rFonts w:ascii="Cambria Math" w:eastAsia="SimSun" w:hAnsi="Cambria Math" w:cs="Arial"/>
                    <w:noProof/>
                    <w:sz w:val="16"/>
                    <w:szCs w:val="16"/>
                  </w:rPr>
                  <m:t>i</m:t>
                </m:r>
              </m:e>
              <m:sub>
                <m:r>
                  <w:rPr>
                    <w:rFonts w:ascii="Cambria Math" w:eastAsia="SimSun" w:hAnsi="Cambria Math" w:cs="Arial"/>
                    <w:noProof/>
                    <w:sz w:val="16"/>
                    <w:szCs w:val="16"/>
                  </w:rPr>
                  <m:t>j</m:t>
                </m:r>
              </m:sub>
            </m:sSub>
          </m:e>
        </m:d>
        <m:r>
          <w:rPr>
            <w:rFonts w:ascii="Cambria Math" w:eastAsia="SimSun" w:hAnsi="Cambria Math" w:cs="Arial"/>
            <w:sz w:val="16"/>
            <w:szCs w:val="16"/>
          </w:rPr>
          <m:t>+l</m:t>
        </m:r>
      </m:oMath>
      <w:r w:rsidRPr="009537ED">
        <w:rPr>
          <w:rFonts w:ascii="Arial" w:eastAsia="SimSun" w:hAnsi="Arial" w:cs="Arial"/>
          <w:sz w:val="16"/>
          <w:szCs w:val="16"/>
        </w:rPr>
        <w:t xml:space="preserve">, for </w:t>
      </w:r>
      <m:oMath>
        <m:r>
          <w:rPr>
            <w:rFonts w:ascii="Cambria Math" w:eastAsia="SimSun" w:hAnsi="Cambria Math" w:cs="Arial"/>
            <w:sz w:val="16"/>
            <w:szCs w:val="16"/>
          </w:rPr>
          <m:t>l=1,…,υ</m:t>
        </m:r>
      </m:oMath>
      <w:r w:rsidRPr="009537ED">
        <w:rPr>
          <w:rFonts w:ascii="Arial" w:eastAsia="SimSun" w:hAnsi="Arial" w:cs="Arial"/>
          <w:sz w:val="16"/>
          <w:szCs w:val="16"/>
        </w:rPr>
        <w:t xml:space="preserve">, </w:t>
      </w:r>
      <m:oMath>
        <m:sSub>
          <m:sSubPr>
            <m:ctrlPr>
              <w:rPr>
                <w:rFonts w:ascii="Cambria Math" w:eastAsia="SimSun" w:hAnsi="Cambria Math" w:cs="Arial"/>
                <w:i/>
                <w:sz w:val="16"/>
                <w:szCs w:val="16"/>
              </w:rPr>
            </m:ctrlPr>
          </m:sSubPr>
          <m:e>
            <m:r>
              <w:rPr>
                <w:rFonts w:ascii="Cambria Math" w:eastAsia="SimSun" w:hAnsi="Cambria Math" w:cs="Arial"/>
                <w:sz w:val="16"/>
                <w:szCs w:val="16"/>
              </w:rPr>
              <m:t>i</m:t>
            </m:r>
          </m:e>
          <m:sub>
            <m:r>
              <w:rPr>
                <w:rFonts w:ascii="Cambria Math" w:eastAsia="SimSun" w:hAnsi="Cambria Math" w:cs="Arial"/>
                <w:sz w:val="16"/>
                <w:szCs w:val="16"/>
              </w:rPr>
              <m:t>j</m:t>
            </m:r>
          </m:sub>
        </m:sSub>
        <m:r>
          <w:rPr>
            <w:rFonts w:ascii="Cambria Math" w:eastAsia="SimSun" w:hAnsi="Cambria Math" w:cs="Arial"/>
            <w:sz w:val="16"/>
            <w:szCs w:val="16"/>
          </w:rPr>
          <m:t>=0,1,…,</m:t>
        </m:r>
        <m:sSub>
          <m:sSubPr>
            <m:ctrlPr>
              <w:rPr>
                <w:rFonts w:ascii="Cambria Math" w:eastAsia="SimSun" w:hAnsi="Cambria Math" w:cs="Arial"/>
                <w:i/>
                <w:noProof/>
                <w:color w:val="FF0000"/>
                <w:sz w:val="16"/>
                <w:szCs w:val="16"/>
              </w:rPr>
            </m:ctrlPr>
          </m:sSubPr>
          <m:e>
            <m:r>
              <w:rPr>
                <w:rFonts w:ascii="Cambria Math" w:eastAsia="SimSun" w:hAnsi="Cambria Math" w:cs="Arial"/>
                <w:noProof/>
                <w:color w:val="FF0000"/>
                <w:sz w:val="16"/>
                <w:szCs w:val="16"/>
              </w:rPr>
              <m:t>K</m:t>
            </m:r>
          </m:e>
          <m:sub>
            <m:r>
              <w:rPr>
                <w:rFonts w:ascii="Cambria Math" w:eastAsia="SimSun" w:hAnsi="Cambria Math" w:cs="Arial"/>
                <w:noProof/>
                <w:color w:val="FF0000"/>
                <w:sz w:val="16"/>
                <w:szCs w:val="16"/>
              </w:rPr>
              <m:t>1,</m:t>
            </m:r>
            <m:r>
              <w:rPr>
                <w:rFonts w:ascii="Cambria Math" w:eastAsia="SimSun" w:hAnsi="Cambria Math" w:cs="Arial"/>
                <w:strike/>
                <w:noProof/>
                <w:color w:val="FF0000"/>
                <w:sz w:val="16"/>
                <w:szCs w:val="16"/>
              </w:rPr>
              <m:t>k</m:t>
            </m:r>
            <m:sSub>
              <m:sSubPr>
                <m:ctrlPr>
                  <w:rPr>
                    <w:rFonts w:ascii="Cambria Math" w:eastAsia="SimSun" w:hAnsi="Cambria Math" w:cs="Arial"/>
                    <w:i/>
                    <w:noProof/>
                    <w:color w:val="FF0000"/>
                    <w:sz w:val="16"/>
                    <w:szCs w:val="16"/>
                  </w:rPr>
                </m:ctrlPr>
              </m:sSubPr>
              <m:e>
                <m:r>
                  <w:rPr>
                    <w:rFonts w:ascii="Cambria Math" w:eastAsia="SimSun" w:hAnsi="Cambria Math" w:cs="Arial"/>
                    <w:noProof/>
                    <w:color w:val="FF0000"/>
                    <w:sz w:val="16"/>
                    <w:szCs w:val="16"/>
                  </w:rPr>
                  <m:t>σ</m:t>
                </m:r>
              </m:e>
              <m:sub>
                <m:r>
                  <w:rPr>
                    <w:rFonts w:ascii="Cambria Math" w:eastAsia="SimSun" w:hAnsi="Cambria Math" w:cs="Arial"/>
                    <w:noProof/>
                    <w:color w:val="FF0000"/>
                    <w:sz w:val="16"/>
                    <w:szCs w:val="16"/>
                  </w:rPr>
                  <m:t>k</m:t>
                </m:r>
              </m:sub>
            </m:sSub>
          </m:sub>
        </m:sSub>
        <m:r>
          <w:rPr>
            <w:rFonts w:ascii="Cambria Math" w:eastAsia="SimSun" w:hAnsi="Cambria Math" w:cs="Arial"/>
            <w:sz w:val="16"/>
            <w:szCs w:val="16"/>
          </w:rPr>
          <m:t>-1</m:t>
        </m:r>
      </m:oMath>
      <w:r w:rsidRPr="009537ED">
        <w:rPr>
          <w:rFonts w:ascii="Arial" w:eastAsia="SimSun" w:hAnsi="Arial" w:cs="Arial"/>
          <w:sz w:val="16"/>
          <w:szCs w:val="16"/>
        </w:rPr>
        <w:t xml:space="preserve">, </w:t>
      </w:r>
      <m:oMath>
        <m:r>
          <w:rPr>
            <w:rFonts w:ascii="Cambria Math" w:eastAsia="SimSun" w:hAnsi="Cambria Math" w:cs="Arial"/>
            <w:sz w:val="16"/>
            <w:szCs w:val="16"/>
          </w:rPr>
          <m:t>f=0,…,M-1</m:t>
        </m:r>
      </m:oMath>
      <w:r w:rsidRPr="009537ED">
        <w:rPr>
          <w:rFonts w:ascii="Arial" w:eastAsia="SimSun" w:hAnsi="Arial" w:cs="Arial"/>
          <w:sz w:val="16"/>
          <w:szCs w:val="16"/>
        </w:rPr>
        <w:t xml:space="preserve"> and </w:t>
      </w:r>
      <m:oMath>
        <m:r>
          <w:rPr>
            <w:rFonts w:ascii="Cambria Math" w:eastAsia="SimSun" w:hAnsi="Cambria Math" w:cs="Arial"/>
            <w:sz w:val="16"/>
            <w:szCs w:val="16"/>
          </w:rPr>
          <m:t>j=1,…,N</m:t>
        </m:r>
      </m:oMath>
      <w:r w:rsidRPr="009537ED">
        <w:rPr>
          <w:rFonts w:ascii="Arial" w:eastAsia="SimSun" w:hAnsi="Arial" w:cs="Arial"/>
          <w:sz w:val="16"/>
          <w:szCs w:val="16"/>
        </w:rPr>
        <w:t xml:space="preserve">,  and where </w:t>
      </w:r>
      <m:oMath>
        <m:sSub>
          <m:sSubPr>
            <m:ctrlPr>
              <w:rPr>
                <w:rFonts w:ascii="Cambria Math" w:eastAsia="SimSun" w:hAnsi="Cambria Math" w:cs="Arial"/>
                <w:i/>
                <w:noProof/>
                <w:color w:val="FF0000"/>
                <w:sz w:val="16"/>
                <w:szCs w:val="16"/>
              </w:rPr>
            </m:ctrlPr>
          </m:sSubPr>
          <m:e>
            <m:r>
              <w:rPr>
                <w:rFonts w:ascii="Cambria Math" w:eastAsia="SimSun" w:hAnsi="Cambria Math" w:cs="Arial"/>
                <w:noProof/>
                <w:color w:val="FF0000"/>
                <w:sz w:val="16"/>
                <w:szCs w:val="16"/>
              </w:rPr>
              <m:t>K</m:t>
            </m:r>
          </m:e>
          <m:sub>
            <m:r>
              <w:rPr>
                <w:rFonts w:ascii="Cambria Math" w:eastAsia="SimSun" w:hAnsi="Cambria Math" w:cs="Arial"/>
                <w:noProof/>
                <w:color w:val="FF0000"/>
                <w:sz w:val="16"/>
                <w:szCs w:val="16"/>
              </w:rPr>
              <m:t>1,</m:t>
            </m:r>
            <m:r>
              <w:rPr>
                <w:rFonts w:ascii="Cambria Math" w:eastAsia="SimSun" w:hAnsi="Cambria Math" w:cs="Arial"/>
                <w:strike/>
                <w:noProof/>
                <w:color w:val="FF0000"/>
                <w:sz w:val="16"/>
                <w:szCs w:val="16"/>
              </w:rPr>
              <m:t>j</m:t>
            </m:r>
            <m:sSub>
              <m:sSubPr>
                <m:ctrlPr>
                  <w:rPr>
                    <w:rFonts w:ascii="Cambria Math" w:eastAsia="SimSun" w:hAnsi="Cambria Math" w:cs="Arial"/>
                    <w:i/>
                    <w:noProof/>
                    <w:color w:val="FF0000"/>
                    <w:sz w:val="16"/>
                    <w:szCs w:val="16"/>
                  </w:rPr>
                </m:ctrlPr>
              </m:sSubPr>
              <m:e>
                <m:r>
                  <w:rPr>
                    <w:rFonts w:ascii="Cambria Math" w:eastAsia="SimSun" w:hAnsi="Cambria Math" w:cs="Arial"/>
                    <w:noProof/>
                    <w:color w:val="FF0000"/>
                    <w:sz w:val="16"/>
                    <w:szCs w:val="16"/>
                  </w:rPr>
                  <m:t>σ</m:t>
                </m:r>
              </m:e>
              <m:sub>
                <m:r>
                  <w:rPr>
                    <w:rFonts w:ascii="Cambria Math" w:eastAsia="SimSun" w:hAnsi="Cambria Math" w:cs="Arial"/>
                    <w:noProof/>
                    <w:color w:val="FF0000"/>
                    <w:sz w:val="16"/>
                    <w:szCs w:val="16"/>
                  </w:rPr>
                  <m:t>j</m:t>
                </m:r>
              </m:sub>
            </m:sSub>
          </m:sub>
        </m:sSub>
      </m:oMath>
      <w:r w:rsidRPr="009537ED">
        <w:rPr>
          <w:rFonts w:ascii="Arial" w:eastAsia="SimSun" w:hAnsi="Arial" w:cs="Arial"/>
          <w:sz w:val="16"/>
          <w:szCs w:val="16"/>
        </w:rPr>
        <w:t xml:space="preserve"> is defined in Clause 5.2.2.2.8. The element with the highest priority has the lowest associated value </w:t>
      </w:r>
      <m:oMath>
        <m:r>
          <m:rPr>
            <m:sty m:val="p"/>
          </m:rPr>
          <w:rPr>
            <w:rFonts w:ascii="Cambria Math" w:eastAsia="SimSun" w:hAnsi="Cambria Math" w:cs="Arial"/>
            <w:sz w:val="16"/>
            <w:szCs w:val="16"/>
          </w:rPr>
          <m:t>Pri</m:t>
        </m:r>
        <m:d>
          <m:dPr>
            <m:ctrlPr>
              <w:rPr>
                <w:rFonts w:ascii="Cambria Math" w:eastAsia="SimSun" w:hAnsi="Cambria Math" w:cs="Arial"/>
                <w:i/>
                <w:sz w:val="16"/>
                <w:szCs w:val="16"/>
              </w:rPr>
            </m:ctrlPr>
          </m:dPr>
          <m:e>
            <m:r>
              <w:rPr>
                <w:rFonts w:ascii="Cambria Math" w:eastAsia="SimSun" w:hAnsi="Cambria Math" w:cs="Arial"/>
                <w:sz w:val="16"/>
                <w:szCs w:val="16"/>
              </w:rPr>
              <m:t>l,</m:t>
            </m:r>
            <m:sSub>
              <m:sSubPr>
                <m:ctrlPr>
                  <w:rPr>
                    <w:rFonts w:ascii="Cambria Math" w:eastAsia="SimSun" w:hAnsi="Cambria Math" w:cs="Arial"/>
                    <w:i/>
                    <w:sz w:val="16"/>
                    <w:szCs w:val="16"/>
                  </w:rPr>
                </m:ctrlPr>
              </m:sSubPr>
              <m:e>
                <m:r>
                  <w:rPr>
                    <w:rFonts w:ascii="Cambria Math" w:eastAsia="SimSun" w:hAnsi="Cambria Math" w:cs="Arial"/>
                    <w:sz w:val="16"/>
                    <w:szCs w:val="16"/>
                  </w:rPr>
                  <m:t>i</m:t>
                </m:r>
              </m:e>
              <m:sub>
                <m:r>
                  <w:rPr>
                    <w:rFonts w:ascii="Cambria Math" w:eastAsia="SimSun" w:hAnsi="Cambria Math" w:cs="Arial"/>
                    <w:sz w:val="16"/>
                    <w:szCs w:val="16"/>
                  </w:rPr>
                  <m:t>j</m:t>
                </m:r>
              </m:sub>
            </m:sSub>
            <m:r>
              <w:rPr>
                <w:rFonts w:ascii="Cambria Math" w:eastAsia="SimSun" w:hAnsi="Cambria Math" w:cs="Arial"/>
                <w:sz w:val="16"/>
                <w:szCs w:val="16"/>
              </w:rPr>
              <m:t>,f,j</m:t>
            </m:r>
          </m:e>
        </m:d>
      </m:oMath>
      <w:r w:rsidRPr="009537ED">
        <w:rPr>
          <w:rFonts w:ascii="Arial" w:eastAsia="SimSun" w:hAnsi="Arial" w:cs="Arial"/>
          <w:sz w:val="16"/>
          <w:szCs w:val="16"/>
        </w:rPr>
        <w:t>. Omission of Part 2 CSI is according to the priority order shown in Table 5.2.3-1, where:</w:t>
      </w:r>
    </w:p>
    <w:p w14:paraId="4203FA48" w14:textId="399428F8" w:rsidR="00A41C1A" w:rsidRPr="009537ED" w:rsidRDefault="00A41C1A" w:rsidP="00141B77">
      <w:pPr>
        <w:widowControl w:val="0"/>
        <w:autoSpaceDE w:val="0"/>
        <w:autoSpaceDN w:val="0"/>
        <w:adjustRightInd w:val="0"/>
        <w:snapToGrid w:val="0"/>
        <w:ind w:left="851" w:hanging="288"/>
        <w:jc w:val="both"/>
        <w:rPr>
          <w:rFonts w:ascii="Arial" w:eastAsia="SimSun" w:hAnsi="Arial" w:cs="Arial"/>
          <w:sz w:val="16"/>
          <w:szCs w:val="16"/>
        </w:rPr>
      </w:pPr>
      <w:r w:rsidRPr="009537ED">
        <w:rPr>
          <w:rFonts w:ascii="Arial" w:eastAsia="SimSun" w:hAnsi="Arial" w:cs="Arial"/>
          <w:sz w:val="16"/>
          <w:szCs w:val="16"/>
        </w:rPr>
        <w:t>-</w:t>
      </w:r>
      <w:r w:rsidRPr="009537ED">
        <w:rPr>
          <w:rFonts w:ascii="Arial" w:eastAsia="SimSun" w:hAnsi="Arial" w:cs="Arial"/>
          <w:sz w:val="16"/>
          <w:szCs w:val="16"/>
        </w:rPr>
        <w:tab/>
        <w:t xml:space="preserve">Group 0 includes </w:t>
      </w:r>
      <m:oMath>
        <m:sSub>
          <m:sSubPr>
            <m:ctrlPr>
              <w:rPr>
                <w:rFonts w:ascii="Cambria Math" w:eastAsia="SimSun" w:hAnsi="Cambria Math" w:cs="Arial"/>
                <w:i/>
                <w:sz w:val="16"/>
                <w:szCs w:val="16"/>
              </w:rPr>
            </m:ctrlPr>
          </m:sSubPr>
          <m:e>
            <m:r>
              <w:rPr>
                <w:rFonts w:ascii="Cambria Math" w:eastAsia="SimSun" w:hAnsi="Cambria Math" w:cs="Arial"/>
                <w:sz w:val="16"/>
                <w:szCs w:val="16"/>
              </w:rPr>
              <m:t>i</m:t>
            </m:r>
          </m:e>
          <m:sub>
            <m:r>
              <w:rPr>
                <w:rFonts w:ascii="Cambria Math" w:eastAsia="SimSun" w:hAnsi="Cambria Math" w:cs="Arial"/>
                <w:sz w:val="16"/>
                <w:szCs w:val="16"/>
              </w:rPr>
              <m:t>1,2</m:t>
            </m:r>
          </m:sub>
        </m:sSub>
      </m:oMath>
      <w:r w:rsidRPr="009537ED">
        <w:rPr>
          <w:rFonts w:ascii="Arial" w:eastAsia="SimSun" w:hAnsi="Arial" w:cs="Arial"/>
          <w:sz w:val="16"/>
          <w:szCs w:val="16"/>
        </w:rPr>
        <w:t xml:space="preserve"> (if reported), </w:t>
      </w:r>
      <m:oMath>
        <m:sSub>
          <m:sSubPr>
            <m:ctrlPr>
              <w:rPr>
                <w:rFonts w:ascii="Cambria Math" w:eastAsia="SimSun" w:hAnsi="Cambria Math" w:cs="Arial"/>
                <w:i/>
                <w:sz w:val="16"/>
                <w:szCs w:val="16"/>
              </w:rPr>
            </m:ctrlPr>
          </m:sSubPr>
          <m:e>
            <m:r>
              <w:rPr>
                <w:rFonts w:ascii="Cambria Math" w:eastAsia="SimSun" w:hAnsi="Cambria Math" w:cs="Arial"/>
                <w:sz w:val="16"/>
                <w:szCs w:val="16"/>
              </w:rPr>
              <m:t>i</m:t>
            </m:r>
          </m:e>
          <m:sub>
            <m:r>
              <w:rPr>
                <w:rFonts w:ascii="Cambria Math" w:eastAsia="SimSun" w:hAnsi="Cambria Math" w:cs="Arial"/>
                <w:sz w:val="16"/>
                <w:szCs w:val="16"/>
              </w:rPr>
              <m:t>1,8,l</m:t>
            </m:r>
          </m:sub>
        </m:sSub>
      </m:oMath>
      <w:r w:rsidRPr="009537ED">
        <w:rPr>
          <w:rFonts w:ascii="Arial" w:eastAsia="SimSun" w:hAnsi="Arial" w:cs="Arial"/>
          <w:sz w:val="16"/>
          <w:szCs w:val="16"/>
        </w:rPr>
        <w:t xml:space="preserve"> (</w:t>
      </w:r>
      <m:oMath>
        <m:r>
          <w:rPr>
            <w:rFonts w:ascii="Cambria Math" w:eastAsia="SimSun" w:hAnsi="Cambria Math" w:cs="Arial"/>
            <w:sz w:val="16"/>
            <w:szCs w:val="16"/>
          </w:rPr>
          <m:t>l=1,…,υ</m:t>
        </m:r>
      </m:oMath>
      <w:r w:rsidRPr="009537ED">
        <w:rPr>
          <w:rFonts w:ascii="Arial" w:eastAsia="SimSun" w:hAnsi="Arial" w:cs="Arial"/>
          <w:sz w:val="16"/>
          <w:szCs w:val="16"/>
        </w:rPr>
        <w:t xml:space="preserve">) and </w:t>
      </w:r>
      <m:oMath>
        <m:sSub>
          <m:sSubPr>
            <m:ctrlPr>
              <w:rPr>
                <w:rFonts w:ascii="Cambria Math" w:eastAsia="SimSun" w:hAnsi="Cambria Math" w:cs="Arial"/>
                <w:i/>
                <w:sz w:val="16"/>
                <w:szCs w:val="16"/>
              </w:rPr>
            </m:ctrlPr>
          </m:sSubPr>
          <m:e>
            <m:r>
              <w:rPr>
                <w:rFonts w:ascii="Cambria Math" w:eastAsia="SimSun" w:hAnsi="Cambria Math" w:cs="Arial"/>
                <w:sz w:val="16"/>
                <w:szCs w:val="16"/>
              </w:rPr>
              <m:t>i</m:t>
            </m:r>
          </m:e>
          <m:sub>
            <m:r>
              <w:rPr>
                <w:rFonts w:ascii="Cambria Math" w:eastAsia="SimSun" w:hAnsi="Cambria Math" w:cs="Arial"/>
                <w:sz w:val="16"/>
                <w:szCs w:val="16"/>
              </w:rPr>
              <m:t>1,6</m:t>
            </m:r>
          </m:sub>
        </m:sSub>
      </m:oMath>
      <w:r w:rsidRPr="009537ED">
        <w:rPr>
          <w:rFonts w:ascii="Arial" w:eastAsia="SimSun" w:hAnsi="Arial" w:cs="Arial"/>
          <w:sz w:val="16"/>
          <w:szCs w:val="16"/>
        </w:rPr>
        <w:t xml:space="preserve"> (if reported).</w:t>
      </w:r>
    </w:p>
    <w:p w14:paraId="2DA5721A" w14:textId="57A76584" w:rsidR="00A41C1A" w:rsidRPr="009537ED" w:rsidRDefault="00A41C1A" w:rsidP="00141B77">
      <w:pPr>
        <w:widowControl w:val="0"/>
        <w:autoSpaceDE w:val="0"/>
        <w:autoSpaceDN w:val="0"/>
        <w:adjustRightInd w:val="0"/>
        <w:snapToGrid w:val="0"/>
        <w:ind w:left="851" w:hanging="288"/>
        <w:jc w:val="both"/>
        <w:rPr>
          <w:rFonts w:ascii="Arial" w:eastAsia="SimSun" w:hAnsi="Arial" w:cs="Arial"/>
          <w:sz w:val="16"/>
          <w:szCs w:val="16"/>
        </w:rPr>
      </w:pPr>
      <w:r w:rsidRPr="009537ED">
        <w:rPr>
          <w:rFonts w:ascii="Arial" w:eastAsia="SimSun" w:hAnsi="Arial" w:cs="Arial"/>
          <w:sz w:val="16"/>
          <w:szCs w:val="16"/>
        </w:rPr>
        <w:t>-</w:t>
      </w:r>
      <w:r w:rsidRPr="009537ED">
        <w:rPr>
          <w:rFonts w:ascii="Arial" w:eastAsia="SimSun" w:hAnsi="Arial" w:cs="Arial"/>
          <w:sz w:val="16"/>
          <w:szCs w:val="16"/>
        </w:rPr>
        <w:tab/>
        <w:t xml:space="preserve">Group 1 includes the </w:t>
      </w:r>
      <m:oMath>
        <m:r>
          <w:rPr>
            <w:rFonts w:ascii="Cambria Math" w:eastAsia="SimSun" w:hAnsi="Cambria Math" w:cs="Arial"/>
            <w:sz w:val="16"/>
            <w:szCs w:val="16"/>
          </w:rPr>
          <m:t>υM</m:t>
        </m:r>
        <m:nary>
          <m:naryPr>
            <m:chr m:val="∑"/>
            <m:ctrlPr>
              <w:rPr>
                <w:rFonts w:ascii="Cambria Math" w:eastAsia="SimSun" w:hAnsi="Cambria Math" w:cs="Arial"/>
                <w:i/>
                <w:noProof/>
                <w:sz w:val="16"/>
                <w:szCs w:val="16"/>
              </w:rPr>
            </m:ctrlPr>
          </m:naryPr>
          <m:sub>
            <m:r>
              <w:rPr>
                <w:rFonts w:ascii="Cambria Math" w:eastAsia="SimSun" w:hAnsi="Cambria Math" w:cs="Arial"/>
                <w:noProof/>
                <w:sz w:val="16"/>
                <w:szCs w:val="16"/>
              </w:rPr>
              <m:t>k=1</m:t>
            </m:r>
          </m:sub>
          <m:sup>
            <m:r>
              <w:rPr>
                <w:rFonts w:ascii="Cambria Math" w:eastAsia="SimSun" w:hAnsi="Cambria Math" w:cs="Arial"/>
                <w:noProof/>
                <w:sz w:val="16"/>
                <w:szCs w:val="16"/>
              </w:rPr>
              <m:t>N</m:t>
            </m:r>
          </m:sup>
          <m:e>
            <m:sSub>
              <m:sSubPr>
                <m:ctrlPr>
                  <w:rPr>
                    <w:rFonts w:ascii="Cambria Math" w:eastAsia="SimSun" w:hAnsi="Cambria Math" w:cs="Arial"/>
                    <w:i/>
                    <w:noProof/>
                    <w:color w:val="FF0000"/>
                    <w:sz w:val="16"/>
                    <w:szCs w:val="16"/>
                  </w:rPr>
                </m:ctrlPr>
              </m:sSubPr>
              <m:e>
                <m:r>
                  <w:rPr>
                    <w:rFonts w:ascii="Cambria Math" w:eastAsia="SimSun" w:hAnsi="Cambria Math" w:cs="Arial"/>
                    <w:noProof/>
                    <w:color w:val="FF0000"/>
                    <w:sz w:val="16"/>
                    <w:szCs w:val="16"/>
                  </w:rPr>
                  <m:t>K</m:t>
                </m:r>
              </m:e>
              <m:sub>
                <m:r>
                  <w:rPr>
                    <w:rFonts w:ascii="Cambria Math" w:eastAsia="SimSun" w:hAnsi="Cambria Math" w:cs="Arial"/>
                    <w:noProof/>
                    <w:color w:val="FF0000"/>
                    <w:sz w:val="16"/>
                    <w:szCs w:val="16"/>
                  </w:rPr>
                  <m:t>1,</m:t>
                </m:r>
                <m:r>
                  <w:rPr>
                    <w:rFonts w:ascii="Cambria Math" w:eastAsia="SimSun" w:hAnsi="Cambria Math" w:cs="Arial"/>
                    <w:strike/>
                    <w:noProof/>
                    <w:color w:val="FF0000"/>
                    <w:sz w:val="16"/>
                    <w:szCs w:val="16"/>
                  </w:rPr>
                  <m:t>k</m:t>
                </m:r>
                <m:sSub>
                  <m:sSubPr>
                    <m:ctrlPr>
                      <w:rPr>
                        <w:rFonts w:ascii="Cambria Math" w:eastAsia="SimSun" w:hAnsi="Cambria Math" w:cs="Arial"/>
                        <w:i/>
                        <w:noProof/>
                        <w:color w:val="FF0000"/>
                        <w:sz w:val="16"/>
                        <w:szCs w:val="16"/>
                      </w:rPr>
                    </m:ctrlPr>
                  </m:sSubPr>
                  <m:e>
                    <m:r>
                      <w:rPr>
                        <w:rFonts w:ascii="Cambria Math" w:eastAsia="SimSun" w:hAnsi="Cambria Math" w:cs="Arial"/>
                        <w:noProof/>
                        <w:color w:val="FF0000"/>
                        <w:sz w:val="16"/>
                        <w:szCs w:val="16"/>
                      </w:rPr>
                      <m:t>σ</m:t>
                    </m:r>
                  </m:e>
                  <m:sub>
                    <m:r>
                      <w:rPr>
                        <w:rFonts w:ascii="Cambria Math" w:eastAsia="SimSun" w:hAnsi="Cambria Math" w:cs="Arial"/>
                        <w:noProof/>
                        <w:color w:val="FF0000"/>
                        <w:sz w:val="16"/>
                        <w:szCs w:val="16"/>
                      </w:rPr>
                      <m:t>k</m:t>
                    </m:r>
                  </m:sub>
                </m:sSub>
              </m:sub>
            </m:sSub>
          </m:e>
        </m:nary>
        <m:r>
          <w:rPr>
            <w:rFonts w:ascii="Cambria Math" w:eastAsia="SimSun" w:hAnsi="Cambria Math" w:cs="Arial"/>
            <w:sz w:val="16"/>
            <w:szCs w:val="16"/>
          </w:rPr>
          <m:t>-</m:t>
        </m:r>
        <m:d>
          <m:dPr>
            <m:begChr m:val="⌊"/>
            <m:endChr m:val="⌋"/>
            <m:ctrlPr>
              <w:rPr>
                <w:rFonts w:ascii="Cambria Math" w:eastAsia="SimSun" w:hAnsi="Cambria Math" w:cs="Arial"/>
                <w:i/>
                <w:sz w:val="16"/>
                <w:szCs w:val="16"/>
              </w:rPr>
            </m:ctrlPr>
          </m:dPr>
          <m:e>
            <m:sSup>
              <m:sSupPr>
                <m:ctrlPr>
                  <w:rPr>
                    <w:rFonts w:ascii="Cambria Math" w:eastAsia="SimSun" w:hAnsi="Cambria Math" w:cs="Arial"/>
                    <w:i/>
                    <w:sz w:val="16"/>
                    <w:szCs w:val="16"/>
                  </w:rPr>
                </m:ctrlPr>
              </m:sSupPr>
              <m:e>
                <m:r>
                  <w:rPr>
                    <w:rFonts w:ascii="Cambria Math" w:eastAsia="SimSun" w:hAnsi="Cambria Math" w:cs="Arial"/>
                    <w:sz w:val="16"/>
                    <w:szCs w:val="16"/>
                  </w:rPr>
                  <m:t>K</m:t>
                </m:r>
              </m:e>
              <m:sup>
                <m:r>
                  <w:rPr>
                    <w:rFonts w:ascii="Cambria Math" w:eastAsia="SimSun" w:hAnsi="Cambria Math" w:cs="Arial"/>
                    <w:sz w:val="16"/>
                    <w:szCs w:val="16"/>
                  </w:rPr>
                  <m:t>NZ</m:t>
                </m:r>
              </m:sup>
            </m:sSup>
            <m:r>
              <w:rPr>
                <w:rFonts w:ascii="Cambria Math" w:eastAsia="SimSun" w:hAnsi="Cambria Math" w:cs="Arial"/>
                <w:sz w:val="16"/>
                <w:szCs w:val="16"/>
              </w:rPr>
              <m:t>/2</m:t>
            </m:r>
          </m:e>
        </m:d>
      </m:oMath>
      <w:r w:rsidRPr="009537ED">
        <w:rPr>
          <w:rFonts w:ascii="Arial" w:eastAsia="SimSun" w:hAnsi="Arial" w:cs="Arial"/>
          <w:sz w:val="16"/>
          <w:szCs w:val="16"/>
        </w:rPr>
        <w:t xml:space="preserve"> </w:t>
      </w:r>
      <w:r w:rsidRPr="009537ED">
        <w:rPr>
          <w:rFonts w:ascii="Arial" w:eastAsia="SimSun" w:hAnsi="Arial" w:cs="Arial"/>
          <w:noProof/>
          <w:sz w:val="16"/>
          <w:szCs w:val="16"/>
        </w:rPr>
        <w:t xml:space="preserve">highest priority </w:t>
      </w:r>
      <w:r w:rsidRPr="009537ED">
        <w:rPr>
          <w:rFonts w:ascii="Arial" w:eastAsia="SimSun" w:hAnsi="Arial" w:cs="Arial"/>
          <w:sz w:val="16"/>
          <w:szCs w:val="16"/>
        </w:rPr>
        <w:t xml:space="preserve">elements </w:t>
      </w:r>
      <w:r w:rsidRPr="009537ED">
        <w:rPr>
          <w:rFonts w:ascii="Arial" w:eastAsia="SimSun" w:hAnsi="Arial" w:cs="Arial"/>
          <w:noProof/>
          <w:sz w:val="16"/>
          <w:szCs w:val="16"/>
        </w:rPr>
        <w:t>of</w:t>
      </w:r>
      <w:r w:rsidRPr="009537ED">
        <w:rPr>
          <w:rFonts w:ascii="Arial" w:eastAsia="SimSun" w:hAnsi="Arial" w:cs="Arial"/>
          <w:sz w:val="16"/>
          <w:szCs w:val="16"/>
        </w:rPr>
        <w:t xml:space="preserve"> </w:t>
      </w:r>
      <m:oMath>
        <m:sSub>
          <m:sSubPr>
            <m:ctrlPr>
              <w:rPr>
                <w:rFonts w:ascii="Cambria Math" w:eastAsia="SimSun" w:hAnsi="Cambria Math" w:cs="Arial"/>
                <w:sz w:val="16"/>
                <w:szCs w:val="16"/>
              </w:rPr>
            </m:ctrlPr>
          </m:sSubPr>
          <m:e>
            <m:r>
              <w:rPr>
                <w:rFonts w:ascii="Cambria Math" w:eastAsia="SimSun" w:hAnsi="Cambria Math" w:cs="Arial"/>
                <w:sz w:val="16"/>
                <w:szCs w:val="16"/>
              </w:rPr>
              <m:t>i</m:t>
            </m:r>
          </m:e>
          <m:sub>
            <m:r>
              <m:rPr>
                <m:sty m:val="p"/>
              </m:rPr>
              <w:rPr>
                <w:rFonts w:ascii="Cambria Math" w:eastAsia="SimSun" w:hAnsi="Cambria Math" w:cs="Arial"/>
                <w:sz w:val="16"/>
                <w:szCs w:val="16"/>
              </w:rPr>
              <m:t>1,7,</m:t>
            </m:r>
            <m:r>
              <w:rPr>
                <w:rFonts w:ascii="Cambria Math" w:eastAsia="SimSun" w:hAnsi="Cambria Math" w:cs="Arial"/>
                <w:sz w:val="16"/>
                <w:szCs w:val="16"/>
              </w:rPr>
              <m:t>l</m:t>
            </m:r>
          </m:sub>
        </m:sSub>
      </m:oMath>
      <w:r w:rsidRPr="009537ED">
        <w:rPr>
          <w:rFonts w:ascii="Arial" w:eastAsia="SimSun" w:hAnsi="Arial" w:cs="Arial"/>
          <w:sz w:val="16"/>
          <w:szCs w:val="16"/>
        </w:rPr>
        <w:t xml:space="preserve"> (if reported), </w:t>
      </w:r>
      <m:oMath>
        <m:sSub>
          <m:sSubPr>
            <m:ctrlPr>
              <w:rPr>
                <w:rFonts w:ascii="Cambria Math" w:eastAsia="SimSun" w:hAnsi="Cambria Math" w:cs="Arial"/>
                <w:i/>
                <w:sz w:val="16"/>
                <w:szCs w:val="16"/>
              </w:rPr>
            </m:ctrlPr>
          </m:sSubPr>
          <m:e>
            <m:r>
              <w:rPr>
                <w:rFonts w:ascii="Cambria Math" w:eastAsia="SimSun" w:hAnsi="Cambria Math" w:cs="Arial"/>
                <w:sz w:val="16"/>
                <w:szCs w:val="16"/>
              </w:rPr>
              <m:t>i</m:t>
            </m:r>
          </m:e>
          <m:sub>
            <m:r>
              <w:rPr>
                <w:rFonts w:ascii="Cambria Math" w:eastAsia="SimSun" w:hAnsi="Cambria Math" w:cs="Arial"/>
                <w:sz w:val="16"/>
                <w:szCs w:val="16"/>
              </w:rPr>
              <m:t>2,3,l</m:t>
            </m:r>
          </m:sub>
        </m:sSub>
      </m:oMath>
      <w:r w:rsidRPr="009537ED">
        <w:rPr>
          <w:rFonts w:ascii="Arial" w:eastAsia="SimSun" w:hAnsi="Arial" w:cs="Arial"/>
          <w:sz w:val="16"/>
          <w:szCs w:val="16"/>
        </w:rPr>
        <w:t xml:space="preserve">, the </w:t>
      </w:r>
      <m:oMath>
        <m:func>
          <m:funcPr>
            <m:ctrlPr>
              <w:rPr>
                <w:rFonts w:ascii="Cambria Math" w:eastAsia="SimSun" w:hAnsi="Cambria Math" w:cs="Arial"/>
                <w:i/>
                <w:color w:val="000000"/>
                <w:sz w:val="16"/>
                <w:szCs w:val="16"/>
                <w:lang w:eastAsia="en-GB"/>
              </w:rPr>
            </m:ctrlPr>
          </m:funcPr>
          <m:fName>
            <m:r>
              <m:rPr>
                <m:sty m:val="p"/>
              </m:rPr>
              <w:rPr>
                <w:rFonts w:ascii="Cambria Math" w:eastAsia="SimSun" w:hAnsi="Cambria Math" w:cs="Arial"/>
                <w:color w:val="000000"/>
                <w:sz w:val="16"/>
                <w:szCs w:val="16"/>
                <w:lang w:eastAsia="en-GB"/>
              </w:rPr>
              <m:t>max</m:t>
            </m:r>
          </m:fName>
          <m:e>
            <m:d>
              <m:dPr>
                <m:ctrlPr>
                  <w:rPr>
                    <w:rFonts w:ascii="Cambria Math" w:eastAsia="SimSun" w:hAnsi="Cambria Math" w:cs="Arial"/>
                    <w:i/>
                    <w:color w:val="000000"/>
                    <w:sz w:val="16"/>
                    <w:szCs w:val="16"/>
                    <w:lang w:eastAsia="en-GB"/>
                  </w:rPr>
                </m:ctrlPr>
              </m:dPr>
              <m:e>
                <m:r>
                  <w:rPr>
                    <w:rFonts w:ascii="Cambria Math" w:eastAsia="SimSun" w:hAnsi="Cambria Math" w:cs="Arial"/>
                    <w:color w:val="000000"/>
                    <w:sz w:val="16"/>
                    <w:szCs w:val="16"/>
                    <w:lang w:eastAsia="en-GB"/>
                  </w:rPr>
                  <m:t>0,</m:t>
                </m:r>
                <m:d>
                  <m:dPr>
                    <m:begChr m:val="⌈"/>
                    <m:endChr m:val="⌉"/>
                    <m:ctrlPr>
                      <w:rPr>
                        <w:rFonts w:ascii="Cambria Math" w:eastAsia="SimSun" w:hAnsi="Cambria Math" w:cs="Arial"/>
                        <w:i/>
                        <w:sz w:val="16"/>
                        <w:szCs w:val="16"/>
                      </w:rPr>
                    </m:ctrlPr>
                  </m:dPr>
                  <m:e>
                    <m:f>
                      <m:fPr>
                        <m:ctrlPr>
                          <w:rPr>
                            <w:rFonts w:ascii="Cambria Math" w:eastAsia="SimSun" w:hAnsi="Cambria Math" w:cs="Arial"/>
                            <w:i/>
                            <w:sz w:val="16"/>
                            <w:szCs w:val="16"/>
                          </w:rPr>
                        </m:ctrlPr>
                      </m:fPr>
                      <m:num>
                        <m:sSup>
                          <m:sSupPr>
                            <m:ctrlPr>
                              <w:rPr>
                                <w:rFonts w:ascii="Cambria Math" w:eastAsia="SimSun" w:hAnsi="Cambria Math" w:cs="Arial"/>
                                <w:i/>
                                <w:sz w:val="16"/>
                                <w:szCs w:val="16"/>
                              </w:rPr>
                            </m:ctrlPr>
                          </m:sSupPr>
                          <m:e>
                            <m:r>
                              <w:rPr>
                                <w:rFonts w:ascii="Cambria Math" w:eastAsia="SimSun" w:hAnsi="Cambria Math" w:cs="Arial"/>
                                <w:sz w:val="16"/>
                                <w:szCs w:val="16"/>
                              </w:rPr>
                              <m:t>K</m:t>
                            </m:r>
                          </m:e>
                          <m:sup>
                            <m:r>
                              <w:rPr>
                                <w:rFonts w:ascii="Cambria Math" w:eastAsia="SimSun" w:hAnsi="Cambria Math" w:cs="Arial"/>
                                <w:sz w:val="16"/>
                                <w:szCs w:val="16"/>
                              </w:rPr>
                              <m:t>NZ</m:t>
                            </m:r>
                          </m:sup>
                        </m:sSup>
                      </m:num>
                      <m:den>
                        <m:r>
                          <w:rPr>
                            <w:rFonts w:ascii="Cambria Math" w:eastAsia="SimSun" w:hAnsi="Cambria Math" w:cs="Arial"/>
                            <w:sz w:val="16"/>
                            <w:szCs w:val="16"/>
                          </w:rPr>
                          <m:t>2</m:t>
                        </m:r>
                      </m:den>
                    </m:f>
                  </m:e>
                </m:d>
                <m:r>
                  <w:rPr>
                    <w:rFonts w:ascii="Cambria Math" w:eastAsia="SimSun" w:hAnsi="Cambria Math" w:cs="Arial"/>
                    <w:sz w:val="16"/>
                    <w:szCs w:val="16"/>
                  </w:rPr>
                  <m:t>-υ</m:t>
                </m:r>
              </m:e>
            </m:d>
          </m:e>
        </m:func>
      </m:oMath>
      <w:r w:rsidRPr="009537ED">
        <w:rPr>
          <w:rFonts w:ascii="Arial" w:eastAsia="SimSun" w:hAnsi="Arial" w:cs="Arial"/>
          <w:color w:val="000000"/>
          <w:sz w:val="16"/>
          <w:szCs w:val="16"/>
          <w:lang w:eastAsia="en-GB"/>
        </w:rPr>
        <w:t xml:space="preserve"> </w:t>
      </w:r>
      <w:r w:rsidRPr="009537ED">
        <w:rPr>
          <w:rFonts w:ascii="Arial" w:eastAsia="SimSun" w:hAnsi="Arial" w:cs="Arial"/>
          <w:sz w:val="16"/>
          <w:szCs w:val="16"/>
        </w:rPr>
        <w:t xml:space="preserve">highest priority elements of </w:t>
      </w:r>
      <m:oMath>
        <m:sSub>
          <m:sSubPr>
            <m:ctrlPr>
              <w:rPr>
                <w:rFonts w:ascii="Cambria Math" w:eastAsia="SimSun" w:hAnsi="Cambria Math" w:cs="Arial"/>
                <w:i/>
                <w:sz w:val="16"/>
                <w:szCs w:val="16"/>
              </w:rPr>
            </m:ctrlPr>
          </m:sSubPr>
          <m:e>
            <m:r>
              <w:rPr>
                <w:rFonts w:ascii="Cambria Math" w:eastAsia="SimSun" w:hAnsi="Cambria Math" w:cs="Arial"/>
                <w:sz w:val="16"/>
                <w:szCs w:val="16"/>
              </w:rPr>
              <m:t>i</m:t>
            </m:r>
          </m:e>
          <m:sub>
            <m:r>
              <w:rPr>
                <w:rFonts w:ascii="Cambria Math" w:eastAsia="SimSun" w:hAnsi="Cambria Math" w:cs="Arial"/>
                <w:sz w:val="16"/>
                <w:szCs w:val="16"/>
              </w:rPr>
              <m:t>2,4,l</m:t>
            </m:r>
          </m:sub>
        </m:sSub>
      </m:oMath>
      <w:r w:rsidRPr="009537ED">
        <w:rPr>
          <w:rFonts w:ascii="Arial" w:eastAsia="SimSun" w:hAnsi="Arial" w:cs="Arial"/>
          <w:sz w:val="16"/>
          <w:szCs w:val="16"/>
        </w:rPr>
        <w:t xml:space="preserve">, the </w:t>
      </w:r>
      <w:r w:rsidRPr="009537ED">
        <w:rPr>
          <w:rFonts w:ascii="Arial" w:eastAsia="SimSun" w:hAnsi="Arial" w:cs="Arial"/>
          <w:color w:val="000000"/>
          <w:sz w:val="16"/>
          <w:szCs w:val="16"/>
          <w:lang w:eastAsia="en-GB"/>
        </w:rPr>
        <w:t xml:space="preserve"> </w:t>
      </w:r>
      <m:oMath>
        <m:func>
          <m:funcPr>
            <m:ctrlPr>
              <w:rPr>
                <w:rFonts w:ascii="Cambria Math" w:eastAsia="SimSun" w:hAnsi="Cambria Math" w:cs="Arial"/>
                <w:i/>
                <w:color w:val="000000"/>
                <w:sz w:val="16"/>
                <w:szCs w:val="16"/>
                <w:lang w:eastAsia="en-GB"/>
              </w:rPr>
            </m:ctrlPr>
          </m:funcPr>
          <m:fName>
            <m:r>
              <m:rPr>
                <m:sty m:val="p"/>
              </m:rPr>
              <w:rPr>
                <w:rFonts w:ascii="Cambria Math" w:eastAsia="SimSun" w:hAnsi="Cambria Math" w:cs="Arial"/>
                <w:color w:val="000000"/>
                <w:sz w:val="16"/>
                <w:szCs w:val="16"/>
                <w:lang w:eastAsia="en-GB"/>
              </w:rPr>
              <m:t>max</m:t>
            </m:r>
          </m:fName>
          <m:e>
            <m:d>
              <m:dPr>
                <m:ctrlPr>
                  <w:rPr>
                    <w:rFonts w:ascii="Cambria Math" w:eastAsia="SimSun" w:hAnsi="Cambria Math" w:cs="Arial"/>
                    <w:i/>
                    <w:color w:val="000000"/>
                    <w:sz w:val="16"/>
                    <w:szCs w:val="16"/>
                    <w:lang w:eastAsia="en-GB"/>
                  </w:rPr>
                </m:ctrlPr>
              </m:dPr>
              <m:e>
                <m:r>
                  <w:rPr>
                    <w:rFonts w:ascii="Cambria Math" w:eastAsia="SimSun" w:hAnsi="Cambria Math" w:cs="Arial"/>
                    <w:color w:val="000000"/>
                    <w:sz w:val="16"/>
                    <w:szCs w:val="16"/>
                    <w:lang w:eastAsia="en-GB"/>
                  </w:rPr>
                  <m:t>0,</m:t>
                </m:r>
                <m:d>
                  <m:dPr>
                    <m:begChr m:val="⌈"/>
                    <m:endChr m:val="⌉"/>
                    <m:ctrlPr>
                      <w:rPr>
                        <w:rFonts w:ascii="Cambria Math" w:eastAsia="SimSun" w:hAnsi="Cambria Math" w:cs="Arial"/>
                        <w:i/>
                        <w:sz w:val="16"/>
                        <w:szCs w:val="16"/>
                      </w:rPr>
                    </m:ctrlPr>
                  </m:dPr>
                  <m:e>
                    <m:f>
                      <m:fPr>
                        <m:ctrlPr>
                          <w:rPr>
                            <w:rFonts w:ascii="Cambria Math" w:eastAsia="SimSun" w:hAnsi="Cambria Math" w:cs="Arial"/>
                            <w:i/>
                            <w:sz w:val="16"/>
                            <w:szCs w:val="16"/>
                          </w:rPr>
                        </m:ctrlPr>
                      </m:fPr>
                      <m:num>
                        <m:sSup>
                          <m:sSupPr>
                            <m:ctrlPr>
                              <w:rPr>
                                <w:rFonts w:ascii="Cambria Math" w:eastAsia="SimSun" w:hAnsi="Cambria Math" w:cs="Arial"/>
                                <w:i/>
                                <w:sz w:val="16"/>
                                <w:szCs w:val="16"/>
                              </w:rPr>
                            </m:ctrlPr>
                          </m:sSupPr>
                          <m:e>
                            <m:r>
                              <w:rPr>
                                <w:rFonts w:ascii="Cambria Math" w:eastAsia="SimSun" w:hAnsi="Cambria Math" w:cs="Arial"/>
                                <w:sz w:val="16"/>
                                <w:szCs w:val="16"/>
                              </w:rPr>
                              <m:t>K</m:t>
                            </m:r>
                          </m:e>
                          <m:sup>
                            <m:r>
                              <w:rPr>
                                <w:rFonts w:ascii="Cambria Math" w:eastAsia="SimSun" w:hAnsi="Cambria Math" w:cs="Arial"/>
                                <w:sz w:val="16"/>
                                <w:szCs w:val="16"/>
                              </w:rPr>
                              <m:t>NZ</m:t>
                            </m:r>
                          </m:sup>
                        </m:sSup>
                      </m:num>
                      <m:den>
                        <m:r>
                          <w:rPr>
                            <w:rFonts w:ascii="Cambria Math" w:eastAsia="SimSun" w:hAnsi="Cambria Math" w:cs="Arial"/>
                            <w:sz w:val="16"/>
                            <w:szCs w:val="16"/>
                          </w:rPr>
                          <m:t>2</m:t>
                        </m:r>
                      </m:den>
                    </m:f>
                  </m:e>
                </m:d>
                <m:r>
                  <w:rPr>
                    <w:rFonts w:ascii="Cambria Math" w:eastAsia="SimSun" w:hAnsi="Cambria Math" w:cs="Arial"/>
                    <w:sz w:val="16"/>
                    <w:szCs w:val="16"/>
                  </w:rPr>
                  <m:t>-υ</m:t>
                </m:r>
              </m:e>
            </m:d>
          </m:e>
        </m:func>
      </m:oMath>
      <w:r w:rsidRPr="009537ED">
        <w:rPr>
          <w:rFonts w:ascii="Arial" w:eastAsia="SimSun" w:hAnsi="Arial" w:cs="Arial"/>
          <w:sz w:val="16"/>
          <w:szCs w:val="16"/>
        </w:rPr>
        <w:t xml:space="preserve"> highest priority elements of </w:t>
      </w:r>
      <m:oMath>
        <m:sSub>
          <m:sSubPr>
            <m:ctrlPr>
              <w:rPr>
                <w:rFonts w:ascii="Cambria Math" w:eastAsia="SimSun" w:hAnsi="Cambria Math" w:cs="Arial"/>
                <w:i/>
                <w:sz w:val="16"/>
                <w:szCs w:val="16"/>
              </w:rPr>
            </m:ctrlPr>
          </m:sSubPr>
          <m:e>
            <m:r>
              <w:rPr>
                <w:rFonts w:ascii="Cambria Math" w:eastAsia="SimSun" w:hAnsi="Cambria Math" w:cs="Arial"/>
                <w:sz w:val="16"/>
                <w:szCs w:val="16"/>
              </w:rPr>
              <m:t>i</m:t>
            </m:r>
          </m:e>
          <m:sub>
            <m:r>
              <w:rPr>
                <w:rFonts w:ascii="Cambria Math" w:eastAsia="SimSun" w:hAnsi="Cambria Math" w:cs="Arial"/>
                <w:sz w:val="16"/>
                <w:szCs w:val="16"/>
              </w:rPr>
              <m:t>2,5,l</m:t>
            </m:r>
          </m:sub>
        </m:sSub>
      </m:oMath>
      <w:r w:rsidRPr="009537ED">
        <w:rPr>
          <w:rFonts w:ascii="Arial" w:eastAsia="SimSun" w:hAnsi="Arial" w:cs="Arial"/>
          <w:sz w:val="16"/>
          <w:szCs w:val="16"/>
        </w:rPr>
        <w:t xml:space="preserve"> (</w:t>
      </w:r>
      <m:oMath>
        <m:r>
          <w:rPr>
            <w:rFonts w:ascii="Cambria Math" w:eastAsia="SimSun" w:hAnsi="Cambria Math" w:cs="Arial"/>
            <w:sz w:val="16"/>
            <w:szCs w:val="16"/>
          </w:rPr>
          <m:t>l=1,…,υ</m:t>
        </m:r>
      </m:oMath>
      <w:r w:rsidRPr="009537ED">
        <w:rPr>
          <w:rFonts w:ascii="Arial" w:eastAsia="SimSun" w:hAnsi="Arial" w:cs="Arial"/>
          <w:sz w:val="16"/>
          <w:szCs w:val="16"/>
        </w:rPr>
        <w:t xml:space="preserve">) and </w:t>
      </w:r>
      <m:oMath>
        <m:sSub>
          <m:sSubPr>
            <m:ctrlPr>
              <w:rPr>
                <w:rFonts w:ascii="Cambria Math" w:eastAsia="SimSun" w:hAnsi="Cambria Math" w:cs="Arial"/>
                <w:i/>
                <w:sz w:val="16"/>
                <w:szCs w:val="16"/>
              </w:rPr>
            </m:ctrlPr>
          </m:sSubPr>
          <m:e>
            <m:r>
              <w:rPr>
                <w:rFonts w:ascii="Cambria Math" w:eastAsia="SimSun" w:hAnsi="Cambria Math" w:cs="Arial"/>
                <w:sz w:val="16"/>
                <w:szCs w:val="16"/>
              </w:rPr>
              <m:t>i</m:t>
            </m:r>
          </m:e>
          <m:sub>
            <m:r>
              <w:rPr>
                <w:rFonts w:ascii="Cambria Math" w:eastAsia="SimSun" w:hAnsi="Cambria Math" w:cs="Arial"/>
                <w:sz w:val="16"/>
                <w:szCs w:val="16"/>
              </w:rPr>
              <m:t>1,9</m:t>
            </m:r>
          </m:sub>
        </m:sSub>
      </m:oMath>
      <w:r w:rsidRPr="009537ED">
        <w:rPr>
          <w:rFonts w:ascii="Arial" w:eastAsia="SimSun" w:hAnsi="Arial" w:cs="Arial"/>
          <w:sz w:val="16"/>
          <w:szCs w:val="16"/>
        </w:rPr>
        <w:t xml:space="preserve"> (if reported).</w:t>
      </w:r>
    </w:p>
    <w:p w14:paraId="3F171009" w14:textId="76F9B183" w:rsidR="00A41C1A" w:rsidRPr="009537ED" w:rsidRDefault="00A41C1A" w:rsidP="00141B77">
      <w:pPr>
        <w:widowControl w:val="0"/>
        <w:autoSpaceDE w:val="0"/>
        <w:autoSpaceDN w:val="0"/>
        <w:adjustRightInd w:val="0"/>
        <w:snapToGrid w:val="0"/>
        <w:ind w:left="851" w:hanging="288"/>
        <w:jc w:val="both"/>
        <w:rPr>
          <w:rFonts w:ascii="Arial" w:eastAsia="SimSun" w:hAnsi="Arial" w:cs="Arial"/>
          <w:sz w:val="16"/>
          <w:szCs w:val="16"/>
        </w:rPr>
      </w:pPr>
      <w:r w:rsidRPr="009537ED">
        <w:rPr>
          <w:rFonts w:ascii="Arial" w:eastAsia="SimSun" w:hAnsi="Arial" w:cs="Arial"/>
          <w:sz w:val="16"/>
          <w:szCs w:val="16"/>
        </w:rPr>
        <w:t>-</w:t>
      </w:r>
      <w:r w:rsidRPr="009537ED">
        <w:rPr>
          <w:rFonts w:ascii="Arial" w:eastAsia="SimSun" w:hAnsi="Arial" w:cs="Arial"/>
          <w:sz w:val="16"/>
          <w:szCs w:val="16"/>
        </w:rPr>
        <w:tab/>
        <w:t xml:space="preserve">Group 2 includes the </w:t>
      </w:r>
      <m:oMath>
        <m:d>
          <m:dPr>
            <m:begChr m:val="⌊"/>
            <m:endChr m:val="⌋"/>
            <m:ctrlPr>
              <w:rPr>
                <w:rFonts w:ascii="Cambria Math" w:eastAsia="SimSun" w:hAnsi="Cambria Math" w:cs="Arial"/>
                <w:i/>
                <w:sz w:val="16"/>
                <w:szCs w:val="16"/>
              </w:rPr>
            </m:ctrlPr>
          </m:dPr>
          <m:e>
            <m:sSup>
              <m:sSupPr>
                <m:ctrlPr>
                  <w:rPr>
                    <w:rFonts w:ascii="Cambria Math" w:eastAsia="SimSun" w:hAnsi="Cambria Math" w:cs="Arial"/>
                    <w:i/>
                    <w:sz w:val="16"/>
                    <w:szCs w:val="16"/>
                  </w:rPr>
                </m:ctrlPr>
              </m:sSupPr>
              <m:e>
                <m:r>
                  <w:rPr>
                    <w:rFonts w:ascii="Cambria Math" w:eastAsia="SimSun" w:hAnsi="Cambria Math" w:cs="Arial"/>
                    <w:sz w:val="16"/>
                    <w:szCs w:val="16"/>
                  </w:rPr>
                  <m:t>K</m:t>
                </m:r>
              </m:e>
              <m:sup>
                <m:r>
                  <w:rPr>
                    <w:rFonts w:ascii="Cambria Math" w:eastAsia="SimSun" w:hAnsi="Cambria Math" w:cs="Arial"/>
                    <w:sz w:val="16"/>
                    <w:szCs w:val="16"/>
                  </w:rPr>
                  <m:t>NZ</m:t>
                </m:r>
              </m:sup>
            </m:sSup>
            <m:r>
              <w:rPr>
                <w:rFonts w:ascii="Cambria Math" w:eastAsia="SimSun" w:hAnsi="Cambria Math" w:cs="Arial"/>
                <w:sz w:val="16"/>
                <w:szCs w:val="16"/>
              </w:rPr>
              <m:t>/2</m:t>
            </m:r>
          </m:e>
        </m:d>
      </m:oMath>
      <w:r w:rsidRPr="009537ED">
        <w:rPr>
          <w:rFonts w:ascii="Arial" w:eastAsia="SimSun" w:hAnsi="Arial" w:cs="Arial"/>
          <w:sz w:val="16"/>
          <w:szCs w:val="16"/>
        </w:rPr>
        <w:t xml:space="preserve"> </w:t>
      </w:r>
      <w:r w:rsidRPr="009537ED">
        <w:rPr>
          <w:rFonts w:ascii="Arial" w:eastAsia="SimSun" w:hAnsi="Arial" w:cs="Arial"/>
          <w:noProof/>
          <w:sz w:val="16"/>
          <w:szCs w:val="16"/>
        </w:rPr>
        <w:t xml:space="preserve">lowest priority </w:t>
      </w:r>
      <w:r w:rsidRPr="009537ED">
        <w:rPr>
          <w:rFonts w:ascii="Arial" w:eastAsia="SimSun" w:hAnsi="Arial" w:cs="Arial"/>
          <w:sz w:val="16"/>
          <w:szCs w:val="16"/>
        </w:rPr>
        <w:t xml:space="preserve">elements </w:t>
      </w:r>
      <w:r w:rsidRPr="009537ED">
        <w:rPr>
          <w:rFonts w:ascii="Arial" w:eastAsia="SimSun" w:hAnsi="Arial" w:cs="Arial"/>
          <w:noProof/>
          <w:sz w:val="16"/>
          <w:szCs w:val="16"/>
        </w:rPr>
        <w:t>of</w:t>
      </w:r>
      <w:r w:rsidRPr="009537ED">
        <w:rPr>
          <w:rFonts w:ascii="Arial" w:eastAsia="SimSun" w:hAnsi="Arial" w:cs="Arial"/>
          <w:sz w:val="16"/>
          <w:szCs w:val="16"/>
        </w:rPr>
        <w:t xml:space="preserve"> </w:t>
      </w:r>
      <m:oMath>
        <m:sSub>
          <m:sSubPr>
            <m:ctrlPr>
              <w:rPr>
                <w:rFonts w:ascii="Cambria Math" w:eastAsia="SimSun" w:hAnsi="Cambria Math" w:cs="Arial"/>
                <w:sz w:val="16"/>
                <w:szCs w:val="16"/>
              </w:rPr>
            </m:ctrlPr>
          </m:sSubPr>
          <m:e>
            <m:r>
              <w:rPr>
                <w:rFonts w:ascii="Cambria Math" w:eastAsia="SimSun" w:hAnsi="Cambria Math" w:cs="Arial"/>
                <w:sz w:val="16"/>
                <w:szCs w:val="16"/>
              </w:rPr>
              <m:t>i</m:t>
            </m:r>
          </m:e>
          <m:sub>
            <m:r>
              <m:rPr>
                <m:sty m:val="p"/>
              </m:rPr>
              <w:rPr>
                <w:rFonts w:ascii="Cambria Math" w:eastAsia="SimSun" w:hAnsi="Cambria Math" w:cs="Arial"/>
                <w:sz w:val="16"/>
                <w:szCs w:val="16"/>
              </w:rPr>
              <m:t>1,7,</m:t>
            </m:r>
            <m:r>
              <w:rPr>
                <w:rFonts w:ascii="Cambria Math" w:eastAsia="SimSun" w:hAnsi="Cambria Math" w:cs="Arial"/>
                <w:sz w:val="16"/>
                <w:szCs w:val="16"/>
              </w:rPr>
              <m:t>l</m:t>
            </m:r>
          </m:sub>
        </m:sSub>
      </m:oMath>
      <w:r w:rsidRPr="009537ED">
        <w:rPr>
          <w:rFonts w:ascii="Arial" w:eastAsia="SimSun" w:hAnsi="Arial" w:cs="Arial"/>
          <w:sz w:val="16"/>
          <w:szCs w:val="16"/>
        </w:rPr>
        <w:t xml:space="preserve"> (if reported), the </w:t>
      </w:r>
      <m:oMath>
        <m:func>
          <m:funcPr>
            <m:ctrlPr>
              <w:rPr>
                <w:rFonts w:ascii="Cambria Math" w:eastAsia="SimSun" w:hAnsi="Cambria Math" w:cs="Arial"/>
                <w:i/>
                <w:sz w:val="16"/>
                <w:szCs w:val="16"/>
              </w:rPr>
            </m:ctrlPr>
          </m:funcPr>
          <m:fName>
            <m:r>
              <m:rPr>
                <m:sty m:val="p"/>
              </m:rPr>
              <w:rPr>
                <w:rFonts w:ascii="Cambria Math" w:eastAsia="SimSun" w:hAnsi="Cambria Math" w:cs="Arial"/>
                <w:sz w:val="16"/>
                <w:szCs w:val="16"/>
              </w:rPr>
              <m:t>min</m:t>
            </m:r>
          </m:fName>
          <m:e>
            <m:d>
              <m:dPr>
                <m:ctrlPr>
                  <w:rPr>
                    <w:rFonts w:ascii="Cambria Math" w:eastAsia="SimSun" w:hAnsi="Cambria Math" w:cs="Arial"/>
                    <w:i/>
                    <w:sz w:val="16"/>
                    <w:szCs w:val="16"/>
                  </w:rPr>
                </m:ctrlPr>
              </m:dPr>
              <m:e>
                <m:sSup>
                  <m:sSupPr>
                    <m:ctrlPr>
                      <w:rPr>
                        <w:rFonts w:ascii="Cambria Math" w:eastAsia="SimSun" w:hAnsi="Cambria Math" w:cs="Arial"/>
                        <w:i/>
                        <w:sz w:val="16"/>
                        <w:szCs w:val="16"/>
                      </w:rPr>
                    </m:ctrlPr>
                  </m:sSupPr>
                  <m:e>
                    <m:r>
                      <w:rPr>
                        <w:rFonts w:ascii="Cambria Math" w:eastAsia="SimSun" w:hAnsi="Cambria Math" w:cs="Arial"/>
                        <w:sz w:val="16"/>
                        <w:szCs w:val="16"/>
                      </w:rPr>
                      <m:t>K</m:t>
                    </m:r>
                  </m:e>
                  <m:sup>
                    <m:r>
                      <w:rPr>
                        <w:rFonts w:ascii="Cambria Math" w:eastAsia="SimSun" w:hAnsi="Cambria Math" w:cs="Arial"/>
                        <w:sz w:val="16"/>
                        <w:szCs w:val="16"/>
                      </w:rPr>
                      <m:t>NZ</m:t>
                    </m:r>
                  </m:sup>
                </m:sSup>
                <m:r>
                  <w:rPr>
                    <w:rFonts w:ascii="Cambria Math" w:eastAsia="SimSun" w:hAnsi="Cambria Math" w:cs="Arial"/>
                    <w:sz w:val="16"/>
                    <w:szCs w:val="16"/>
                  </w:rPr>
                  <m:t>-ν,</m:t>
                </m:r>
                <m:d>
                  <m:dPr>
                    <m:begChr m:val="⌊"/>
                    <m:endChr m:val="⌋"/>
                    <m:ctrlPr>
                      <w:rPr>
                        <w:rFonts w:ascii="Cambria Math" w:eastAsia="SimSun" w:hAnsi="Cambria Math" w:cs="Arial"/>
                        <w:i/>
                        <w:sz w:val="16"/>
                        <w:szCs w:val="16"/>
                      </w:rPr>
                    </m:ctrlPr>
                  </m:dPr>
                  <m:e>
                    <m:f>
                      <m:fPr>
                        <m:ctrlPr>
                          <w:rPr>
                            <w:rFonts w:ascii="Cambria Math" w:eastAsia="SimSun" w:hAnsi="Cambria Math" w:cs="Arial"/>
                            <w:i/>
                            <w:sz w:val="16"/>
                            <w:szCs w:val="16"/>
                          </w:rPr>
                        </m:ctrlPr>
                      </m:fPr>
                      <m:num>
                        <m:sSup>
                          <m:sSupPr>
                            <m:ctrlPr>
                              <w:rPr>
                                <w:rFonts w:ascii="Cambria Math" w:eastAsia="SimSun" w:hAnsi="Cambria Math" w:cs="Arial"/>
                                <w:i/>
                                <w:sz w:val="16"/>
                                <w:szCs w:val="16"/>
                              </w:rPr>
                            </m:ctrlPr>
                          </m:sSupPr>
                          <m:e>
                            <m:r>
                              <w:rPr>
                                <w:rFonts w:ascii="Cambria Math" w:eastAsia="SimSun" w:hAnsi="Cambria Math" w:cs="Arial"/>
                                <w:sz w:val="16"/>
                                <w:szCs w:val="16"/>
                              </w:rPr>
                              <m:t>K</m:t>
                            </m:r>
                          </m:e>
                          <m:sup>
                            <m:r>
                              <w:rPr>
                                <w:rFonts w:ascii="Cambria Math" w:eastAsia="SimSun" w:hAnsi="Cambria Math" w:cs="Arial"/>
                                <w:sz w:val="16"/>
                                <w:szCs w:val="16"/>
                              </w:rPr>
                              <m:t>NZ</m:t>
                            </m:r>
                          </m:sup>
                        </m:sSup>
                      </m:num>
                      <m:den>
                        <m:r>
                          <w:rPr>
                            <w:rFonts w:ascii="Cambria Math" w:eastAsia="SimSun" w:hAnsi="Cambria Math" w:cs="Arial"/>
                            <w:sz w:val="16"/>
                            <w:szCs w:val="16"/>
                          </w:rPr>
                          <m:t>2</m:t>
                        </m:r>
                      </m:den>
                    </m:f>
                  </m:e>
                </m:d>
              </m:e>
            </m:d>
          </m:e>
        </m:func>
      </m:oMath>
      <w:r w:rsidRPr="009537ED">
        <w:rPr>
          <w:rFonts w:ascii="Arial" w:eastAsia="SimSun" w:hAnsi="Arial" w:cs="Arial"/>
          <w:sz w:val="16"/>
          <w:szCs w:val="16"/>
        </w:rPr>
        <w:t xml:space="preserve"> lowest priority elements of </w:t>
      </w:r>
      <m:oMath>
        <m:sSub>
          <m:sSubPr>
            <m:ctrlPr>
              <w:rPr>
                <w:rFonts w:ascii="Cambria Math" w:eastAsia="SimSun" w:hAnsi="Cambria Math" w:cs="Arial"/>
                <w:i/>
                <w:sz w:val="16"/>
                <w:szCs w:val="16"/>
              </w:rPr>
            </m:ctrlPr>
          </m:sSubPr>
          <m:e>
            <m:r>
              <w:rPr>
                <w:rFonts w:ascii="Cambria Math" w:eastAsia="SimSun" w:hAnsi="Cambria Math" w:cs="Arial"/>
                <w:sz w:val="16"/>
                <w:szCs w:val="16"/>
              </w:rPr>
              <m:t>i</m:t>
            </m:r>
          </m:e>
          <m:sub>
            <m:r>
              <w:rPr>
                <w:rFonts w:ascii="Cambria Math" w:eastAsia="SimSun" w:hAnsi="Cambria Math" w:cs="Arial"/>
                <w:sz w:val="16"/>
                <w:szCs w:val="16"/>
              </w:rPr>
              <m:t>2,4,l</m:t>
            </m:r>
          </m:sub>
        </m:sSub>
      </m:oMath>
      <w:r w:rsidRPr="009537ED">
        <w:rPr>
          <w:rFonts w:ascii="Arial" w:eastAsia="SimSun" w:hAnsi="Arial" w:cs="Arial"/>
          <w:sz w:val="16"/>
          <w:szCs w:val="16"/>
        </w:rPr>
        <w:t xml:space="preserve"> and the </w:t>
      </w:r>
      <m:oMath>
        <m:func>
          <m:funcPr>
            <m:ctrlPr>
              <w:rPr>
                <w:rFonts w:ascii="Cambria Math" w:eastAsia="SimSun" w:hAnsi="Cambria Math" w:cs="Arial"/>
                <w:i/>
                <w:sz w:val="16"/>
                <w:szCs w:val="16"/>
              </w:rPr>
            </m:ctrlPr>
          </m:funcPr>
          <m:fName>
            <m:r>
              <m:rPr>
                <m:sty m:val="p"/>
              </m:rPr>
              <w:rPr>
                <w:rFonts w:ascii="Cambria Math" w:eastAsia="SimSun" w:hAnsi="Cambria Math" w:cs="Arial"/>
                <w:sz w:val="16"/>
                <w:szCs w:val="16"/>
              </w:rPr>
              <m:t>min</m:t>
            </m:r>
          </m:fName>
          <m:e>
            <m:d>
              <m:dPr>
                <m:ctrlPr>
                  <w:rPr>
                    <w:rFonts w:ascii="Cambria Math" w:eastAsia="SimSun" w:hAnsi="Cambria Math" w:cs="Arial"/>
                    <w:i/>
                    <w:sz w:val="16"/>
                    <w:szCs w:val="16"/>
                  </w:rPr>
                </m:ctrlPr>
              </m:dPr>
              <m:e>
                <m:sSup>
                  <m:sSupPr>
                    <m:ctrlPr>
                      <w:rPr>
                        <w:rFonts w:ascii="Cambria Math" w:eastAsia="SimSun" w:hAnsi="Cambria Math" w:cs="Arial"/>
                        <w:i/>
                        <w:sz w:val="16"/>
                        <w:szCs w:val="16"/>
                      </w:rPr>
                    </m:ctrlPr>
                  </m:sSupPr>
                  <m:e>
                    <m:r>
                      <w:rPr>
                        <w:rFonts w:ascii="Cambria Math" w:eastAsia="SimSun" w:hAnsi="Cambria Math" w:cs="Arial"/>
                        <w:sz w:val="16"/>
                        <w:szCs w:val="16"/>
                      </w:rPr>
                      <m:t>K</m:t>
                    </m:r>
                  </m:e>
                  <m:sup>
                    <m:r>
                      <w:rPr>
                        <w:rFonts w:ascii="Cambria Math" w:eastAsia="SimSun" w:hAnsi="Cambria Math" w:cs="Arial"/>
                        <w:sz w:val="16"/>
                        <w:szCs w:val="16"/>
                      </w:rPr>
                      <m:t>NZ</m:t>
                    </m:r>
                  </m:sup>
                </m:sSup>
                <m:r>
                  <w:rPr>
                    <w:rFonts w:ascii="Cambria Math" w:eastAsia="SimSun" w:hAnsi="Cambria Math" w:cs="Arial"/>
                    <w:sz w:val="16"/>
                    <w:szCs w:val="16"/>
                  </w:rPr>
                  <m:t>-υ,</m:t>
                </m:r>
                <m:d>
                  <m:dPr>
                    <m:begChr m:val="⌊"/>
                    <m:endChr m:val="⌋"/>
                    <m:ctrlPr>
                      <w:rPr>
                        <w:rFonts w:ascii="Cambria Math" w:eastAsia="SimSun" w:hAnsi="Cambria Math" w:cs="Arial"/>
                        <w:i/>
                        <w:sz w:val="16"/>
                        <w:szCs w:val="16"/>
                      </w:rPr>
                    </m:ctrlPr>
                  </m:dPr>
                  <m:e>
                    <m:f>
                      <m:fPr>
                        <m:ctrlPr>
                          <w:rPr>
                            <w:rFonts w:ascii="Cambria Math" w:eastAsia="SimSun" w:hAnsi="Cambria Math" w:cs="Arial"/>
                            <w:i/>
                            <w:sz w:val="16"/>
                            <w:szCs w:val="16"/>
                          </w:rPr>
                        </m:ctrlPr>
                      </m:fPr>
                      <m:num>
                        <m:sSup>
                          <m:sSupPr>
                            <m:ctrlPr>
                              <w:rPr>
                                <w:rFonts w:ascii="Cambria Math" w:eastAsia="SimSun" w:hAnsi="Cambria Math" w:cs="Arial"/>
                                <w:i/>
                                <w:sz w:val="16"/>
                                <w:szCs w:val="16"/>
                              </w:rPr>
                            </m:ctrlPr>
                          </m:sSupPr>
                          <m:e>
                            <m:r>
                              <w:rPr>
                                <w:rFonts w:ascii="Cambria Math" w:eastAsia="SimSun" w:hAnsi="Cambria Math" w:cs="Arial"/>
                                <w:sz w:val="16"/>
                                <w:szCs w:val="16"/>
                              </w:rPr>
                              <m:t>K</m:t>
                            </m:r>
                          </m:e>
                          <m:sup>
                            <m:r>
                              <w:rPr>
                                <w:rFonts w:ascii="Cambria Math" w:eastAsia="SimSun" w:hAnsi="Cambria Math" w:cs="Arial"/>
                                <w:sz w:val="16"/>
                                <w:szCs w:val="16"/>
                              </w:rPr>
                              <m:t>NZ</m:t>
                            </m:r>
                          </m:sup>
                        </m:sSup>
                      </m:num>
                      <m:den>
                        <m:r>
                          <w:rPr>
                            <w:rFonts w:ascii="Cambria Math" w:eastAsia="SimSun" w:hAnsi="Cambria Math" w:cs="Arial"/>
                            <w:sz w:val="16"/>
                            <w:szCs w:val="16"/>
                          </w:rPr>
                          <m:t>2</m:t>
                        </m:r>
                      </m:den>
                    </m:f>
                  </m:e>
                </m:d>
              </m:e>
            </m:d>
          </m:e>
        </m:func>
      </m:oMath>
      <w:r w:rsidRPr="009537ED">
        <w:rPr>
          <w:rFonts w:ascii="Arial" w:eastAsia="SimSun" w:hAnsi="Arial" w:cs="Arial"/>
          <w:sz w:val="16"/>
          <w:szCs w:val="16"/>
        </w:rPr>
        <w:t xml:space="preserve"> lowest priority elements of </w:t>
      </w:r>
      <m:oMath>
        <m:sSub>
          <m:sSubPr>
            <m:ctrlPr>
              <w:rPr>
                <w:rFonts w:ascii="Cambria Math" w:eastAsia="SimSun" w:hAnsi="Cambria Math" w:cs="Arial"/>
                <w:i/>
                <w:sz w:val="16"/>
                <w:szCs w:val="16"/>
              </w:rPr>
            </m:ctrlPr>
          </m:sSubPr>
          <m:e>
            <m:r>
              <w:rPr>
                <w:rFonts w:ascii="Cambria Math" w:eastAsia="SimSun" w:hAnsi="Cambria Math" w:cs="Arial"/>
                <w:sz w:val="16"/>
                <w:szCs w:val="16"/>
              </w:rPr>
              <m:t>i</m:t>
            </m:r>
          </m:e>
          <m:sub>
            <m:r>
              <w:rPr>
                <w:rFonts w:ascii="Cambria Math" w:eastAsia="SimSun" w:hAnsi="Cambria Math" w:cs="Arial"/>
                <w:sz w:val="16"/>
                <w:szCs w:val="16"/>
              </w:rPr>
              <m:t>2,5,l</m:t>
            </m:r>
          </m:sub>
        </m:sSub>
      </m:oMath>
      <w:r w:rsidRPr="009537ED">
        <w:rPr>
          <w:rFonts w:ascii="Arial" w:eastAsia="SimSun" w:hAnsi="Arial" w:cs="Arial"/>
          <w:sz w:val="16"/>
          <w:szCs w:val="16"/>
        </w:rPr>
        <w:t xml:space="preserve"> (</w:t>
      </w:r>
      <m:oMath>
        <m:r>
          <w:rPr>
            <w:rFonts w:ascii="Cambria Math" w:eastAsia="SimSun" w:hAnsi="Cambria Math" w:cs="Arial"/>
            <w:sz w:val="16"/>
            <w:szCs w:val="16"/>
          </w:rPr>
          <m:t>l=1,…,υ</m:t>
        </m:r>
      </m:oMath>
      <w:r w:rsidRPr="009537ED">
        <w:rPr>
          <w:rFonts w:ascii="Arial" w:eastAsia="SimSun" w:hAnsi="Arial" w:cs="Arial"/>
          <w:sz w:val="16"/>
          <w:szCs w:val="16"/>
        </w:rPr>
        <w:t>).</w:t>
      </w:r>
    </w:p>
    <w:p w14:paraId="72CEF2C5" w14:textId="77777777" w:rsidR="00A41C1A" w:rsidRPr="009537ED" w:rsidRDefault="00A41C1A" w:rsidP="00141B77">
      <w:pPr>
        <w:snapToGrid w:val="0"/>
        <w:rPr>
          <w:rFonts w:ascii="Times New Roman" w:hAnsi="Times New Roman"/>
          <w:color w:val="FF0000"/>
          <w:szCs w:val="20"/>
        </w:rPr>
      </w:pPr>
      <w:r w:rsidRPr="009537ED">
        <w:rPr>
          <w:rFonts w:ascii="Times New Roman" w:hAnsi="Times New Roman"/>
          <w:color w:val="FF0000"/>
          <w:szCs w:val="20"/>
        </w:rPr>
        <w:t>=============End of Text Proposal to TS 38.214=============</w:t>
      </w:r>
    </w:p>
    <w:p w14:paraId="5FBDDEF1" w14:textId="77777777" w:rsidR="00A41C1A" w:rsidRPr="009537ED" w:rsidRDefault="00A41C1A" w:rsidP="00141B77">
      <w:pPr>
        <w:rPr>
          <w:rFonts w:ascii="Times New Roman" w:hAnsi="Times New Roman"/>
          <w:szCs w:val="20"/>
          <w:lang w:eastAsia="x-none"/>
        </w:rPr>
      </w:pPr>
    </w:p>
    <w:p w14:paraId="26DC02BA" w14:textId="77777777" w:rsidR="00141B77" w:rsidRPr="009537ED" w:rsidRDefault="00141B77" w:rsidP="00141B77">
      <w:pPr>
        <w:rPr>
          <w:lang w:eastAsia="x-none"/>
        </w:rPr>
      </w:pPr>
      <w:r w:rsidRPr="009537ED">
        <w:rPr>
          <w:highlight w:val="green"/>
          <w:lang w:eastAsia="x-none"/>
        </w:rPr>
        <w:t>Agreement</w:t>
      </w:r>
    </w:p>
    <w:p w14:paraId="3F3D6C53" w14:textId="77777777" w:rsidR="00A41C1A" w:rsidRPr="009537ED" w:rsidRDefault="00A41C1A" w:rsidP="007D1F5A">
      <w:pPr>
        <w:snapToGrid w:val="0"/>
        <w:rPr>
          <w:rFonts w:ascii="Times New Roman" w:hAnsi="Times New Roman"/>
          <w:szCs w:val="20"/>
        </w:rPr>
      </w:pPr>
      <w:r w:rsidRPr="009537ED">
        <w:rPr>
          <w:rFonts w:ascii="Times New Roman" w:hAnsi="Times New Roman"/>
          <w:szCs w:val="20"/>
        </w:rPr>
        <w:t>For the Rel-18 Type-II codebook refinement for CJT mTRP, adopt the following TP</w:t>
      </w:r>
      <w:r w:rsidRPr="009537ED">
        <w:rPr>
          <w:rFonts w:ascii="Times New Roman" w:eastAsia="Microsoft YaHei" w:hAnsi="Times New Roman"/>
          <w:iCs/>
          <w:szCs w:val="20"/>
        </w:rPr>
        <w:t xml:space="preserve"> for TS 38.214</w:t>
      </w:r>
      <w:r w:rsidRPr="009537ED">
        <w:rPr>
          <w:rFonts w:ascii="Times New Roman" w:hAnsi="Times New Roman"/>
          <w:szCs w:val="20"/>
        </w:rPr>
        <w:t xml:space="preserve">: </w:t>
      </w:r>
    </w:p>
    <w:p w14:paraId="4587D177" w14:textId="77777777" w:rsidR="00A41C1A" w:rsidRPr="009537ED" w:rsidRDefault="00A41C1A" w:rsidP="00A76E0D">
      <w:pPr>
        <w:pStyle w:val="ListParagraph"/>
        <w:numPr>
          <w:ilvl w:val="0"/>
          <w:numId w:val="98"/>
        </w:numPr>
        <w:snapToGrid w:val="0"/>
        <w:spacing w:after="0"/>
      </w:pPr>
      <w:r w:rsidRPr="009537ED">
        <w:rPr>
          <w:b/>
        </w:rPr>
        <w:t>Reason for change</w:t>
      </w:r>
      <w:r w:rsidRPr="009537ED">
        <w:t>: To capture the following agreement:</w:t>
      </w:r>
    </w:p>
    <w:p w14:paraId="067BA91C" w14:textId="225D5FA0" w:rsidR="00A41C1A" w:rsidRPr="009537ED" w:rsidRDefault="00A41C1A" w:rsidP="007D1F5A">
      <w:pPr>
        <w:pStyle w:val="ListParagraph"/>
        <w:snapToGrid w:val="0"/>
        <w:spacing w:after="0"/>
        <w:rPr>
          <w:highlight w:val="green"/>
        </w:rPr>
      </w:pPr>
      <w:r w:rsidRPr="009537ED">
        <w:t xml:space="preserve">[114bis] </w:t>
      </w:r>
      <w:r w:rsidRPr="009537ED">
        <w:rPr>
          <w:highlight w:val="green"/>
        </w:rPr>
        <w:t>Agreement:</w:t>
      </w:r>
    </w:p>
    <w:p w14:paraId="511359B5" w14:textId="77777777" w:rsidR="00A41C1A" w:rsidRPr="009537ED" w:rsidRDefault="00A41C1A" w:rsidP="00A76E0D">
      <w:pPr>
        <w:pStyle w:val="ListParagraph"/>
        <w:numPr>
          <w:ilvl w:val="1"/>
          <w:numId w:val="98"/>
        </w:numPr>
        <w:snapToGrid w:val="0"/>
        <w:spacing w:after="0"/>
      </w:pPr>
      <w:r w:rsidRPr="009537ED">
        <w:t xml:space="preserve">For the Rel-18 Type-II codebook refinement for CJT mTRP, with respect to L or </w:t>
      </w:r>
      <w:r w:rsidRPr="009537ED">
        <w:t>, the supported Parameter Combinations is enumerated for each N</w:t>
      </w:r>
      <w:r w:rsidRPr="009537ED">
        <w:rPr>
          <w:vertAlign w:val="subscript"/>
        </w:rPr>
        <w:t>TRP</w:t>
      </w:r>
      <w:r w:rsidRPr="009537ED">
        <w:t xml:space="preserve"> value (up to 5 for Rel-16-based and 8 for Rel-17-based), rather than enumerating across all N</w:t>
      </w:r>
      <w:r w:rsidRPr="009537ED">
        <w:rPr>
          <w:vertAlign w:val="subscript"/>
        </w:rPr>
        <w:t>TRP</w:t>
      </w:r>
      <w:r w:rsidRPr="009537ED">
        <w:t xml:space="preserve"> values of 1, 2, 3, and 4 (up to 17 for Rel-16-based and 20 for Rel-17-based).</w:t>
      </w:r>
    </w:p>
    <w:p w14:paraId="6E6559FB" w14:textId="77777777" w:rsidR="00A41C1A" w:rsidRPr="009537ED" w:rsidRDefault="00A41C1A" w:rsidP="00A76E0D">
      <w:pPr>
        <w:numPr>
          <w:ilvl w:val="2"/>
          <w:numId w:val="98"/>
        </w:numPr>
        <w:snapToGrid w:val="0"/>
        <w:spacing w:line="254" w:lineRule="auto"/>
        <w:rPr>
          <w:rFonts w:ascii="Times New Roman" w:hAnsi="Times New Roman"/>
          <w:szCs w:val="20"/>
          <w:lang w:eastAsia="x-none"/>
        </w:rPr>
      </w:pPr>
      <w:r w:rsidRPr="009537ED">
        <w:rPr>
          <w:rFonts w:ascii="Times New Roman" w:hAnsi="Times New Roman"/>
          <w:szCs w:val="20"/>
          <w:lang w:eastAsia="zh-CN"/>
        </w:rPr>
        <w:t>Note: in TS38.214, this affects Tables 5.2.2.2.8-1, 5.2.2.2.8-3, 5.2.2.2.9-1, and 5.2.2.2.9-3</w:t>
      </w:r>
    </w:p>
    <w:p w14:paraId="4139DB3C" w14:textId="77777777" w:rsidR="00A41C1A" w:rsidRPr="009537ED" w:rsidRDefault="00A41C1A" w:rsidP="00A76E0D">
      <w:pPr>
        <w:pStyle w:val="ListParagraph"/>
        <w:numPr>
          <w:ilvl w:val="0"/>
          <w:numId w:val="98"/>
        </w:numPr>
        <w:snapToGrid w:val="0"/>
        <w:spacing w:after="0"/>
      </w:pPr>
      <w:r w:rsidRPr="009537ED">
        <w:rPr>
          <w:b/>
        </w:rPr>
        <w:t>Summary of change</w:t>
      </w:r>
      <w:r w:rsidRPr="009537ED">
        <w:t xml:space="preserve">: Similar corrections on the text of the indices of </w:t>
      </w:r>
      <w:r w:rsidRPr="009537ED">
        <w:rPr>
          <w:i/>
          <w:iCs/>
        </w:rPr>
        <w:t xml:space="preserve">paramCombination-CJT-PS-alpha-r18 </w:t>
      </w:r>
      <w:r w:rsidRPr="009537ED">
        <w:t xml:space="preserve">which UE is not expected to be configured with, should be applied to </w:t>
      </w:r>
      <w:r w:rsidRPr="009537ED">
        <w:rPr>
          <w:bCs/>
        </w:rPr>
        <w:t>further enhanced Type-II port selection codebook for CJT in section 5.2.2.2.9 in TS 38.214.</w:t>
      </w:r>
    </w:p>
    <w:p w14:paraId="639C59BF" w14:textId="77777777" w:rsidR="00A41C1A" w:rsidRPr="009537ED" w:rsidRDefault="00A41C1A" w:rsidP="00A76E0D">
      <w:pPr>
        <w:pStyle w:val="ListParagraph"/>
        <w:numPr>
          <w:ilvl w:val="0"/>
          <w:numId w:val="98"/>
        </w:numPr>
        <w:snapToGrid w:val="0"/>
      </w:pPr>
      <w:r w:rsidRPr="009537ED">
        <w:rPr>
          <w:b/>
        </w:rPr>
        <w:t>Consequences if not approved</w:t>
      </w:r>
      <w:r w:rsidRPr="009537ED">
        <w:t>: Agreement isn’t implemented and spec is faulty</w:t>
      </w:r>
    </w:p>
    <w:p w14:paraId="04666F68" w14:textId="77777777" w:rsidR="007D1F5A" w:rsidRPr="009537ED" w:rsidRDefault="007D1F5A" w:rsidP="007D1F5A">
      <w:pPr>
        <w:snapToGrid w:val="0"/>
        <w:rPr>
          <w:rFonts w:ascii="Times New Roman" w:hAnsi="Times New Roman"/>
          <w:color w:val="FF0000"/>
          <w:szCs w:val="20"/>
        </w:rPr>
      </w:pPr>
      <w:r w:rsidRPr="009537ED">
        <w:rPr>
          <w:rFonts w:ascii="Times New Roman" w:hAnsi="Times New Roman"/>
          <w:color w:val="FF0000"/>
          <w:szCs w:val="20"/>
        </w:rPr>
        <w:t>=============Start of Text Proposal to TS 38.214=============</w:t>
      </w:r>
    </w:p>
    <w:p w14:paraId="2EB554A9" w14:textId="68614CD0" w:rsidR="00A41C1A" w:rsidRPr="009537ED" w:rsidRDefault="00A41C1A" w:rsidP="00141B77">
      <w:pPr>
        <w:jc w:val="center"/>
        <w:rPr>
          <w:rFonts w:ascii="Arial" w:hAnsi="Arial" w:cs="Arial"/>
          <w:color w:val="000000"/>
          <w:sz w:val="16"/>
          <w:szCs w:val="16"/>
        </w:rPr>
      </w:pPr>
      <w:r w:rsidRPr="009537ED">
        <w:rPr>
          <w:rFonts w:ascii="Arial" w:eastAsia="SimSun" w:hAnsi="Arial" w:cs="Arial"/>
          <w:bCs/>
          <w:color w:val="FF0000"/>
          <w:sz w:val="16"/>
          <w:szCs w:val="16"/>
        </w:rPr>
        <w:t>&lt;Unchanged part omitted&gt;</w:t>
      </w:r>
    </w:p>
    <w:p w14:paraId="7D7DB1E8" w14:textId="77777777" w:rsidR="00A41C1A" w:rsidRPr="009537ED" w:rsidRDefault="00A41C1A" w:rsidP="00141B77">
      <w:pPr>
        <w:ind w:left="851" w:hanging="284"/>
        <w:rPr>
          <w:rFonts w:ascii="Arial" w:eastAsia="Calibri" w:hAnsi="Arial" w:cs="Arial"/>
          <w:sz w:val="16"/>
          <w:szCs w:val="16"/>
          <w:lang w:eastAsia="en-GB"/>
        </w:rPr>
      </w:pPr>
      <w:r w:rsidRPr="009537ED">
        <w:rPr>
          <w:rFonts w:ascii="Arial" w:eastAsia="Calibri" w:hAnsi="Arial" w:cs="Arial"/>
          <w:sz w:val="16"/>
          <w:szCs w:val="16"/>
          <w:lang w:eastAsia="en-GB"/>
        </w:rPr>
        <w:t>-</w:t>
      </w:r>
      <w:r w:rsidRPr="009537ED">
        <w:rPr>
          <w:rFonts w:ascii="Arial" w:eastAsia="Calibri" w:hAnsi="Arial" w:cs="Arial"/>
          <w:sz w:val="16"/>
          <w:szCs w:val="16"/>
          <w:lang w:eastAsia="en-GB"/>
        </w:rPr>
        <w:tab/>
        <w:t xml:space="preserve">The UE is not expected to be configured with </w:t>
      </w:r>
      <w:r w:rsidRPr="009537ED">
        <w:rPr>
          <w:rFonts w:ascii="Arial" w:eastAsia="Calibri" w:hAnsi="Arial" w:cs="Arial"/>
          <w:i/>
          <w:iCs/>
          <w:sz w:val="16"/>
          <w:szCs w:val="16"/>
          <w:lang w:eastAsia="en-GB"/>
        </w:rPr>
        <w:t>paramCombination-CJT-PS-alpha-r18</w:t>
      </w:r>
      <w:r w:rsidRPr="009537ED">
        <w:rPr>
          <w:rFonts w:ascii="Arial" w:eastAsia="Calibri" w:hAnsi="Arial" w:cs="Arial"/>
          <w:sz w:val="16"/>
          <w:szCs w:val="16"/>
          <w:lang w:eastAsia="en-GB"/>
        </w:rPr>
        <w:t xml:space="preserve"> equal to</w:t>
      </w:r>
    </w:p>
    <w:p w14:paraId="5A1F09B1" w14:textId="1E0247A6" w:rsidR="00A41C1A" w:rsidRPr="009537ED" w:rsidRDefault="00A41C1A" w:rsidP="00141B77">
      <w:pPr>
        <w:ind w:left="1135" w:hanging="284"/>
        <w:rPr>
          <w:rFonts w:ascii="Arial" w:eastAsia="Calibri" w:hAnsi="Arial" w:cs="Arial"/>
          <w:sz w:val="16"/>
          <w:szCs w:val="16"/>
          <w:lang w:eastAsia="en-GB"/>
        </w:rPr>
      </w:pPr>
      <w:r w:rsidRPr="009537ED">
        <w:rPr>
          <w:rFonts w:ascii="Arial" w:eastAsia="Calibri" w:hAnsi="Arial" w:cs="Arial"/>
          <w:sz w:val="16"/>
          <w:szCs w:val="16"/>
          <w:lang w:eastAsia="en-GB"/>
        </w:rPr>
        <w:t>-</w:t>
      </w:r>
      <w:r w:rsidRPr="009537ED">
        <w:rPr>
          <w:rFonts w:ascii="Arial" w:eastAsia="Calibri" w:hAnsi="Arial" w:cs="Arial"/>
          <w:sz w:val="16"/>
          <w:szCs w:val="16"/>
          <w:lang w:eastAsia="en-GB"/>
        </w:rPr>
        <w:tab/>
      </w:r>
      <w:r w:rsidRPr="009537ED">
        <w:rPr>
          <w:rFonts w:ascii="Arial" w:eastAsia="Calibri" w:hAnsi="Arial" w:cs="Arial"/>
          <w:strike/>
          <w:color w:val="FF0000"/>
          <w:sz w:val="16"/>
          <w:szCs w:val="16"/>
          <w:lang w:eastAsia="en-GB"/>
        </w:rPr>
        <w:t>2, 7, 10, 11 or 12</w:t>
      </w:r>
      <w:r w:rsidRPr="009537ED">
        <w:rPr>
          <w:rFonts w:ascii="Arial" w:eastAsia="Calibri" w:hAnsi="Arial" w:cs="Arial"/>
          <w:color w:val="FF0000"/>
          <w:sz w:val="16"/>
          <w:szCs w:val="16"/>
          <w:lang w:eastAsia="en-GB"/>
        </w:rPr>
        <w:t xml:space="preserve"> </w:t>
      </w:r>
      <w:r w:rsidRPr="009537ED">
        <w:rPr>
          <w:rFonts w:ascii="Arial" w:eastAsia="SimSun" w:hAnsi="Arial" w:cs="Arial"/>
          <w:color w:val="FF0000"/>
          <w:sz w:val="16"/>
          <w:szCs w:val="16"/>
        </w:rPr>
        <w:t xml:space="preserve">2 </w:t>
      </w:r>
      <w:r w:rsidRPr="009537ED">
        <w:rPr>
          <w:rFonts w:ascii="Arial" w:eastAsia="Calibri" w:hAnsi="Arial" w:cs="Arial"/>
          <w:color w:val="FF0000"/>
          <w:sz w:val="16"/>
          <w:szCs w:val="16"/>
          <w:lang w:eastAsia="en-GB"/>
        </w:rPr>
        <w:t xml:space="preserve">for </w:t>
      </w:r>
      <m:oMath>
        <m:sSub>
          <m:sSubPr>
            <m:ctrlPr>
              <w:rPr>
                <w:rFonts w:ascii="Cambria Math" w:eastAsia="Calibri" w:hAnsi="Cambria Math" w:cs="Arial"/>
                <w:i/>
                <w:color w:val="FF0000"/>
                <w:sz w:val="16"/>
                <w:szCs w:val="16"/>
                <w:lang w:eastAsia="en-GB"/>
              </w:rPr>
            </m:ctrlPr>
          </m:sSubPr>
          <m:e>
            <m:r>
              <w:rPr>
                <w:rFonts w:ascii="Cambria Math" w:eastAsia="Calibri" w:hAnsi="Cambria Math" w:cs="Arial"/>
                <w:color w:val="FF0000"/>
                <w:sz w:val="16"/>
                <w:szCs w:val="16"/>
                <w:lang w:eastAsia="en-GB"/>
              </w:rPr>
              <m:t>N</m:t>
            </m:r>
          </m:e>
          <m:sub>
            <m:r>
              <w:rPr>
                <w:rFonts w:ascii="Cambria Math" w:eastAsia="Calibri" w:hAnsi="Cambria Math" w:cs="Arial"/>
                <w:color w:val="FF0000"/>
                <w:sz w:val="16"/>
                <w:szCs w:val="16"/>
                <w:lang w:eastAsia="en-GB"/>
              </w:rPr>
              <m:t>TRP</m:t>
            </m:r>
          </m:sub>
        </m:sSub>
        <m:r>
          <w:rPr>
            <w:rFonts w:ascii="Cambria Math" w:eastAsia="Calibri" w:hAnsi="Cambria Math" w:cs="Arial"/>
            <w:color w:val="FF0000"/>
            <w:sz w:val="16"/>
            <w:szCs w:val="16"/>
            <w:lang w:eastAsia="en-GB"/>
          </w:rPr>
          <m:t>=1</m:t>
        </m:r>
      </m:oMath>
      <w:r w:rsidRPr="009537ED">
        <w:rPr>
          <w:rFonts w:ascii="Arial" w:eastAsia="SimSun" w:hAnsi="Arial" w:cs="Arial"/>
          <w:color w:val="FF0000"/>
          <w:sz w:val="16"/>
          <w:szCs w:val="16"/>
        </w:rPr>
        <w:t xml:space="preserve">; 4 </w:t>
      </w:r>
      <w:r w:rsidRPr="009537ED">
        <w:rPr>
          <w:rFonts w:ascii="Arial" w:eastAsia="Calibri" w:hAnsi="Arial" w:cs="Arial"/>
          <w:color w:val="FF0000"/>
          <w:sz w:val="16"/>
          <w:szCs w:val="16"/>
          <w:lang w:eastAsia="en-GB"/>
        </w:rPr>
        <w:t xml:space="preserve">for </w:t>
      </w:r>
      <m:oMath>
        <m:sSub>
          <m:sSubPr>
            <m:ctrlPr>
              <w:rPr>
                <w:rFonts w:ascii="Cambria Math" w:eastAsia="Calibri" w:hAnsi="Cambria Math" w:cs="Arial"/>
                <w:i/>
                <w:color w:val="FF0000"/>
                <w:sz w:val="16"/>
                <w:szCs w:val="16"/>
                <w:lang w:eastAsia="en-GB"/>
              </w:rPr>
            </m:ctrlPr>
          </m:sSubPr>
          <m:e>
            <m:r>
              <w:rPr>
                <w:rFonts w:ascii="Cambria Math" w:eastAsia="Calibri" w:hAnsi="Cambria Math" w:cs="Arial"/>
                <w:color w:val="FF0000"/>
                <w:sz w:val="16"/>
                <w:szCs w:val="16"/>
                <w:lang w:eastAsia="en-GB"/>
              </w:rPr>
              <m:t>N</m:t>
            </m:r>
          </m:e>
          <m:sub>
            <m:r>
              <w:rPr>
                <w:rFonts w:ascii="Cambria Math" w:eastAsia="Calibri" w:hAnsi="Cambria Math" w:cs="Arial"/>
                <w:color w:val="FF0000"/>
                <w:sz w:val="16"/>
                <w:szCs w:val="16"/>
                <w:lang w:eastAsia="en-GB"/>
              </w:rPr>
              <m:t>TRP</m:t>
            </m:r>
          </m:sub>
        </m:sSub>
        <m:r>
          <w:rPr>
            <w:rFonts w:ascii="Cambria Math" w:eastAsia="Calibri" w:hAnsi="Cambria Math" w:cs="Arial"/>
            <w:color w:val="FF0000"/>
            <w:sz w:val="16"/>
            <w:szCs w:val="16"/>
            <w:lang w:eastAsia="en-GB"/>
          </w:rPr>
          <m:t>=</m:t>
        </m:r>
      </m:oMath>
      <w:r w:rsidRPr="009537ED">
        <w:rPr>
          <w:rFonts w:ascii="Arial" w:eastAsia="SimSun" w:hAnsi="Arial" w:cs="Arial"/>
          <w:color w:val="FF0000"/>
          <w:sz w:val="16"/>
          <w:szCs w:val="16"/>
        </w:rPr>
        <w:t xml:space="preserve">2; 2, 3 or 4 </w:t>
      </w:r>
      <w:r w:rsidRPr="009537ED">
        <w:rPr>
          <w:rFonts w:ascii="Arial" w:eastAsia="Calibri" w:hAnsi="Arial" w:cs="Arial"/>
          <w:color w:val="FF0000"/>
          <w:sz w:val="16"/>
          <w:szCs w:val="16"/>
          <w:lang w:eastAsia="en-GB"/>
        </w:rPr>
        <w:t xml:space="preserve">for </w:t>
      </w:r>
      <m:oMath>
        <m:sSub>
          <m:sSubPr>
            <m:ctrlPr>
              <w:rPr>
                <w:rFonts w:ascii="Cambria Math" w:eastAsia="Calibri" w:hAnsi="Cambria Math" w:cs="Arial"/>
                <w:i/>
                <w:color w:val="FF0000"/>
                <w:sz w:val="16"/>
                <w:szCs w:val="16"/>
                <w:lang w:eastAsia="en-GB"/>
              </w:rPr>
            </m:ctrlPr>
          </m:sSubPr>
          <m:e>
            <m:r>
              <w:rPr>
                <w:rFonts w:ascii="Cambria Math" w:eastAsia="Calibri" w:hAnsi="Cambria Math" w:cs="Arial"/>
                <w:color w:val="FF0000"/>
                <w:sz w:val="16"/>
                <w:szCs w:val="16"/>
                <w:lang w:eastAsia="en-GB"/>
              </w:rPr>
              <m:t>N</m:t>
            </m:r>
          </m:e>
          <m:sub>
            <m:r>
              <w:rPr>
                <w:rFonts w:ascii="Cambria Math" w:eastAsia="Calibri" w:hAnsi="Cambria Math" w:cs="Arial"/>
                <w:color w:val="FF0000"/>
                <w:sz w:val="16"/>
                <w:szCs w:val="16"/>
                <w:lang w:eastAsia="en-GB"/>
              </w:rPr>
              <m:t>TRP</m:t>
            </m:r>
          </m:sub>
        </m:sSub>
        <m:r>
          <w:rPr>
            <w:rFonts w:ascii="Cambria Math" w:eastAsia="Calibri" w:hAnsi="Cambria Math" w:cs="Arial"/>
            <w:color w:val="FF0000"/>
            <w:sz w:val="16"/>
            <w:szCs w:val="16"/>
            <w:lang w:eastAsia="en-GB"/>
          </w:rPr>
          <m:t>=</m:t>
        </m:r>
      </m:oMath>
      <w:r w:rsidRPr="009537ED">
        <w:rPr>
          <w:rFonts w:ascii="Arial" w:eastAsia="SimSun" w:hAnsi="Arial" w:cs="Arial"/>
          <w:color w:val="FF0000"/>
          <w:sz w:val="16"/>
          <w:szCs w:val="16"/>
        </w:rPr>
        <w:t xml:space="preserve">3, </w:t>
      </w:r>
      <w:r w:rsidRPr="009537ED">
        <w:rPr>
          <w:rFonts w:ascii="Arial" w:eastAsia="Calibri" w:hAnsi="Arial" w:cs="Arial"/>
          <w:sz w:val="16"/>
          <w:szCs w:val="16"/>
          <w:lang w:eastAsia="en-GB"/>
        </w:rPr>
        <w:t xml:space="preserve">when </w:t>
      </w:r>
      <m:oMath>
        <m:sSub>
          <m:sSubPr>
            <m:ctrlPr>
              <w:rPr>
                <w:rFonts w:ascii="Cambria Math" w:eastAsia="Calibri" w:hAnsi="Cambria Math" w:cs="Arial"/>
                <w:i/>
                <w:sz w:val="16"/>
                <w:szCs w:val="16"/>
              </w:rPr>
            </m:ctrlPr>
          </m:sSubPr>
          <m:e>
            <m:r>
              <w:rPr>
                <w:rFonts w:ascii="Cambria Math" w:eastAsia="Calibri" w:hAnsi="Cambria Math" w:cs="Arial"/>
                <w:sz w:val="16"/>
                <w:szCs w:val="16"/>
                <w:lang w:eastAsia="en-GB"/>
              </w:rPr>
              <m:t>P</m:t>
            </m:r>
          </m:e>
          <m:sub>
            <m:r>
              <m:rPr>
                <m:sty m:val="p"/>
              </m:rPr>
              <w:rPr>
                <w:rFonts w:ascii="Cambria Math" w:eastAsia="Calibri" w:hAnsi="Cambria Math" w:cs="Arial"/>
                <w:sz w:val="16"/>
                <w:szCs w:val="16"/>
                <w:lang w:eastAsia="en-GB"/>
              </w:rPr>
              <m:t>CSI-RS</m:t>
            </m:r>
          </m:sub>
        </m:sSub>
        <m:r>
          <w:rPr>
            <w:rFonts w:ascii="Cambria Math" w:eastAsia="Calibri" w:hAnsi="Cambria Math" w:cs="Arial"/>
            <w:sz w:val="16"/>
            <w:szCs w:val="16"/>
            <w:lang w:eastAsia="en-GB"/>
          </w:rPr>
          <m:t>∈{4,12}</m:t>
        </m:r>
      </m:oMath>
      <w:r w:rsidRPr="009537ED">
        <w:rPr>
          <w:rFonts w:ascii="Arial" w:eastAsia="Calibri" w:hAnsi="Arial" w:cs="Arial"/>
          <w:sz w:val="16"/>
          <w:szCs w:val="16"/>
          <w:lang w:eastAsia="en-GB"/>
        </w:rPr>
        <w:t>,</w:t>
      </w:r>
    </w:p>
    <w:p w14:paraId="73C3A13E" w14:textId="4330108D" w:rsidR="00A41C1A" w:rsidRPr="009537ED" w:rsidRDefault="00A41C1A" w:rsidP="00141B77">
      <w:pPr>
        <w:ind w:left="1135" w:hanging="284"/>
        <w:rPr>
          <w:rFonts w:ascii="Arial" w:eastAsia="Calibri" w:hAnsi="Arial" w:cs="Arial"/>
          <w:sz w:val="16"/>
          <w:szCs w:val="16"/>
          <w:lang w:eastAsia="en-GB"/>
        </w:rPr>
      </w:pPr>
      <w:r w:rsidRPr="009537ED">
        <w:rPr>
          <w:rFonts w:ascii="Arial" w:eastAsia="Calibri" w:hAnsi="Arial" w:cs="Arial"/>
          <w:sz w:val="16"/>
          <w:szCs w:val="16"/>
          <w:lang w:eastAsia="en-GB"/>
        </w:rPr>
        <w:t>-</w:t>
      </w:r>
      <w:r w:rsidRPr="009537ED">
        <w:rPr>
          <w:rFonts w:ascii="Arial" w:eastAsia="Calibri" w:hAnsi="Arial" w:cs="Arial"/>
          <w:sz w:val="16"/>
          <w:szCs w:val="16"/>
          <w:lang w:eastAsia="en-GB"/>
        </w:rPr>
        <w:tab/>
      </w:r>
      <w:r w:rsidRPr="009537ED">
        <w:rPr>
          <w:rFonts w:ascii="Arial" w:eastAsia="Calibri" w:hAnsi="Arial" w:cs="Arial"/>
          <w:strike/>
          <w:color w:val="FF0000"/>
          <w:sz w:val="16"/>
          <w:szCs w:val="16"/>
          <w:lang w:eastAsia="en-GB"/>
        </w:rPr>
        <w:t>3, 8, 16 or 20</w:t>
      </w:r>
      <w:r w:rsidRPr="009537ED">
        <w:rPr>
          <w:rFonts w:ascii="Arial" w:eastAsia="Calibri" w:hAnsi="Arial" w:cs="Arial"/>
          <w:color w:val="FF0000"/>
          <w:sz w:val="16"/>
          <w:szCs w:val="16"/>
          <w:lang w:eastAsia="en-GB"/>
        </w:rPr>
        <w:t xml:space="preserve"> </w:t>
      </w:r>
      <w:r w:rsidRPr="009537ED">
        <w:rPr>
          <w:rFonts w:ascii="Arial" w:eastAsia="SimSun" w:hAnsi="Arial" w:cs="Arial"/>
          <w:color w:val="FF0000"/>
          <w:sz w:val="16"/>
          <w:szCs w:val="16"/>
        </w:rPr>
        <w:t xml:space="preserve">3 </w:t>
      </w:r>
      <w:r w:rsidRPr="009537ED">
        <w:rPr>
          <w:rFonts w:ascii="Arial" w:eastAsia="Calibri" w:hAnsi="Arial" w:cs="Arial"/>
          <w:color w:val="FF0000"/>
          <w:sz w:val="16"/>
          <w:szCs w:val="16"/>
          <w:lang w:eastAsia="en-GB"/>
        </w:rPr>
        <w:t xml:space="preserve">for </w:t>
      </w:r>
      <m:oMath>
        <m:sSub>
          <m:sSubPr>
            <m:ctrlPr>
              <w:rPr>
                <w:rFonts w:ascii="Cambria Math" w:eastAsia="Calibri" w:hAnsi="Cambria Math" w:cs="Arial"/>
                <w:i/>
                <w:color w:val="FF0000"/>
                <w:sz w:val="16"/>
                <w:szCs w:val="16"/>
                <w:lang w:eastAsia="en-GB"/>
              </w:rPr>
            </m:ctrlPr>
          </m:sSubPr>
          <m:e>
            <m:r>
              <w:rPr>
                <w:rFonts w:ascii="Cambria Math" w:eastAsia="Calibri" w:hAnsi="Cambria Math" w:cs="Arial"/>
                <w:color w:val="FF0000"/>
                <w:sz w:val="16"/>
                <w:szCs w:val="16"/>
                <w:lang w:eastAsia="en-GB"/>
              </w:rPr>
              <m:t>N</m:t>
            </m:r>
          </m:e>
          <m:sub>
            <m:r>
              <w:rPr>
                <w:rFonts w:ascii="Cambria Math" w:eastAsia="Calibri" w:hAnsi="Cambria Math" w:cs="Arial"/>
                <w:color w:val="FF0000"/>
                <w:sz w:val="16"/>
                <w:szCs w:val="16"/>
                <w:lang w:eastAsia="en-GB"/>
              </w:rPr>
              <m:t>TRP</m:t>
            </m:r>
          </m:sub>
        </m:sSub>
        <m:r>
          <w:rPr>
            <w:rFonts w:ascii="Cambria Math" w:eastAsia="Calibri" w:hAnsi="Cambria Math" w:cs="Arial"/>
            <w:color w:val="FF0000"/>
            <w:sz w:val="16"/>
            <w:szCs w:val="16"/>
            <w:lang w:eastAsia="en-GB"/>
          </w:rPr>
          <m:t>=1</m:t>
        </m:r>
      </m:oMath>
      <w:r w:rsidRPr="009537ED">
        <w:rPr>
          <w:rFonts w:ascii="Arial" w:eastAsia="SimSun" w:hAnsi="Arial" w:cs="Arial"/>
          <w:color w:val="FF0000"/>
          <w:sz w:val="16"/>
          <w:szCs w:val="16"/>
        </w:rPr>
        <w:t xml:space="preserve">; 5 </w:t>
      </w:r>
      <w:r w:rsidRPr="009537ED">
        <w:rPr>
          <w:rFonts w:ascii="Arial" w:eastAsia="Calibri" w:hAnsi="Arial" w:cs="Arial"/>
          <w:color w:val="FF0000"/>
          <w:sz w:val="16"/>
          <w:szCs w:val="16"/>
          <w:lang w:eastAsia="en-GB"/>
        </w:rPr>
        <w:t xml:space="preserve">for </w:t>
      </w:r>
      <m:oMath>
        <m:sSub>
          <m:sSubPr>
            <m:ctrlPr>
              <w:rPr>
                <w:rFonts w:ascii="Cambria Math" w:eastAsia="Calibri" w:hAnsi="Cambria Math" w:cs="Arial"/>
                <w:i/>
                <w:color w:val="FF0000"/>
                <w:sz w:val="16"/>
                <w:szCs w:val="16"/>
                <w:lang w:eastAsia="en-GB"/>
              </w:rPr>
            </m:ctrlPr>
          </m:sSubPr>
          <m:e>
            <m:r>
              <w:rPr>
                <w:rFonts w:ascii="Cambria Math" w:eastAsia="Calibri" w:hAnsi="Cambria Math" w:cs="Arial"/>
                <w:color w:val="FF0000"/>
                <w:sz w:val="16"/>
                <w:szCs w:val="16"/>
                <w:lang w:eastAsia="en-GB"/>
              </w:rPr>
              <m:t>N</m:t>
            </m:r>
          </m:e>
          <m:sub>
            <m:r>
              <w:rPr>
                <w:rFonts w:ascii="Cambria Math" w:eastAsia="Calibri" w:hAnsi="Cambria Math" w:cs="Arial"/>
                <w:color w:val="FF0000"/>
                <w:sz w:val="16"/>
                <w:szCs w:val="16"/>
                <w:lang w:eastAsia="en-GB"/>
              </w:rPr>
              <m:t>TRP</m:t>
            </m:r>
          </m:sub>
        </m:sSub>
        <m:r>
          <w:rPr>
            <w:rFonts w:ascii="Cambria Math" w:eastAsia="Calibri" w:hAnsi="Cambria Math" w:cs="Arial"/>
            <w:color w:val="FF0000"/>
            <w:sz w:val="16"/>
            <w:szCs w:val="16"/>
            <w:lang w:eastAsia="en-GB"/>
          </w:rPr>
          <m:t>=</m:t>
        </m:r>
      </m:oMath>
      <w:r w:rsidRPr="009537ED">
        <w:rPr>
          <w:rFonts w:ascii="Arial" w:eastAsia="SimSun" w:hAnsi="Arial" w:cs="Arial"/>
          <w:color w:val="FF0000"/>
          <w:sz w:val="16"/>
          <w:szCs w:val="16"/>
        </w:rPr>
        <w:t xml:space="preserve">2; 8 </w:t>
      </w:r>
      <w:r w:rsidRPr="009537ED">
        <w:rPr>
          <w:rFonts w:ascii="Arial" w:eastAsia="Calibri" w:hAnsi="Arial" w:cs="Arial"/>
          <w:color w:val="FF0000"/>
          <w:sz w:val="16"/>
          <w:szCs w:val="16"/>
          <w:lang w:eastAsia="en-GB"/>
        </w:rPr>
        <w:t xml:space="preserve">for </w:t>
      </w:r>
      <m:oMath>
        <m:sSub>
          <m:sSubPr>
            <m:ctrlPr>
              <w:rPr>
                <w:rFonts w:ascii="Cambria Math" w:eastAsia="Calibri" w:hAnsi="Cambria Math" w:cs="Arial"/>
                <w:i/>
                <w:color w:val="FF0000"/>
                <w:sz w:val="16"/>
                <w:szCs w:val="16"/>
                <w:lang w:eastAsia="en-GB"/>
              </w:rPr>
            </m:ctrlPr>
          </m:sSubPr>
          <m:e>
            <m:r>
              <w:rPr>
                <w:rFonts w:ascii="Cambria Math" w:eastAsia="Calibri" w:hAnsi="Cambria Math" w:cs="Arial"/>
                <w:color w:val="FF0000"/>
                <w:sz w:val="16"/>
                <w:szCs w:val="16"/>
                <w:lang w:eastAsia="en-GB"/>
              </w:rPr>
              <m:t>N</m:t>
            </m:r>
          </m:e>
          <m:sub>
            <m:r>
              <w:rPr>
                <w:rFonts w:ascii="Cambria Math" w:eastAsia="Calibri" w:hAnsi="Cambria Math" w:cs="Arial"/>
                <w:color w:val="FF0000"/>
                <w:sz w:val="16"/>
                <w:szCs w:val="16"/>
                <w:lang w:eastAsia="en-GB"/>
              </w:rPr>
              <m:t>TRP</m:t>
            </m:r>
          </m:sub>
        </m:sSub>
        <m:r>
          <w:rPr>
            <w:rFonts w:ascii="Cambria Math" w:eastAsia="Calibri" w:hAnsi="Cambria Math" w:cs="Arial"/>
            <w:color w:val="FF0000"/>
            <w:sz w:val="16"/>
            <w:szCs w:val="16"/>
            <w:lang w:eastAsia="en-GB"/>
          </w:rPr>
          <m:t>=</m:t>
        </m:r>
      </m:oMath>
      <w:r w:rsidRPr="009537ED">
        <w:rPr>
          <w:rFonts w:ascii="Arial" w:eastAsia="SimSun" w:hAnsi="Arial" w:cs="Arial"/>
          <w:color w:val="FF0000"/>
          <w:sz w:val="16"/>
          <w:szCs w:val="16"/>
        </w:rPr>
        <w:t xml:space="preserve">3; or 4 for </w:t>
      </w:r>
      <m:oMath>
        <m:sSub>
          <m:sSubPr>
            <m:ctrlPr>
              <w:rPr>
                <w:rFonts w:ascii="Cambria Math" w:eastAsia="Calibri" w:hAnsi="Cambria Math" w:cs="Arial"/>
                <w:i/>
                <w:color w:val="FF0000"/>
                <w:sz w:val="16"/>
                <w:szCs w:val="16"/>
                <w:lang w:eastAsia="en-GB"/>
              </w:rPr>
            </m:ctrlPr>
          </m:sSubPr>
          <m:e>
            <m:r>
              <w:rPr>
                <w:rFonts w:ascii="Cambria Math" w:eastAsia="Calibri" w:hAnsi="Cambria Math" w:cs="Arial"/>
                <w:color w:val="FF0000"/>
                <w:sz w:val="16"/>
                <w:szCs w:val="16"/>
                <w:lang w:eastAsia="en-GB"/>
              </w:rPr>
              <m:t>N</m:t>
            </m:r>
          </m:e>
          <m:sub>
            <m:r>
              <w:rPr>
                <w:rFonts w:ascii="Cambria Math" w:eastAsia="Calibri" w:hAnsi="Cambria Math" w:cs="Arial"/>
                <w:color w:val="FF0000"/>
                <w:sz w:val="16"/>
                <w:szCs w:val="16"/>
                <w:lang w:eastAsia="en-GB"/>
              </w:rPr>
              <m:t>TRP</m:t>
            </m:r>
          </m:sub>
        </m:sSub>
        <m:r>
          <w:rPr>
            <w:rFonts w:ascii="Cambria Math" w:eastAsia="Calibri" w:hAnsi="Cambria Math" w:cs="Arial"/>
            <w:color w:val="FF0000"/>
            <w:sz w:val="16"/>
            <w:szCs w:val="16"/>
            <w:lang w:eastAsia="en-GB"/>
          </w:rPr>
          <m:t>=</m:t>
        </m:r>
      </m:oMath>
      <w:r w:rsidRPr="009537ED">
        <w:rPr>
          <w:rFonts w:ascii="Arial" w:eastAsia="SimSun" w:hAnsi="Arial" w:cs="Arial"/>
          <w:color w:val="FF0000"/>
          <w:sz w:val="16"/>
          <w:szCs w:val="16"/>
        </w:rPr>
        <w:t xml:space="preserve">4, </w:t>
      </w:r>
      <w:r w:rsidRPr="009537ED">
        <w:rPr>
          <w:rFonts w:ascii="Arial" w:eastAsia="Calibri" w:hAnsi="Arial" w:cs="Arial"/>
          <w:sz w:val="16"/>
          <w:szCs w:val="16"/>
          <w:lang w:eastAsia="en-GB"/>
        </w:rPr>
        <w:t xml:space="preserve">when </w:t>
      </w:r>
      <w:r w:rsidRPr="009537ED">
        <w:rPr>
          <w:rFonts w:ascii="Arial" w:eastAsia="Calibri" w:hAnsi="Arial" w:cs="Arial"/>
          <w:i/>
          <w:iCs/>
          <w:sz w:val="16"/>
          <w:szCs w:val="16"/>
          <w:lang w:eastAsia="en-GB"/>
        </w:rPr>
        <w:t>paramCombination-CJT-PS-r18</w:t>
      </w:r>
      <w:r w:rsidRPr="009537ED">
        <w:rPr>
          <w:rFonts w:ascii="Arial" w:eastAsia="Calibri" w:hAnsi="Arial" w:cs="Arial"/>
          <w:sz w:val="16"/>
          <w:szCs w:val="16"/>
          <w:lang w:eastAsia="en-GB"/>
        </w:rPr>
        <w:t xml:space="preserve"> is configured to </w:t>
      </w:r>
      <w:r w:rsidRPr="009537ED">
        <w:rPr>
          <w:rFonts w:ascii="Arial" w:eastAsia="SimSun" w:hAnsi="Arial" w:cs="Arial"/>
          <w:sz w:val="16"/>
          <w:szCs w:val="16"/>
        </w:rPr>
        <w:t>4</w:t>
      </w:r>
      <w:r w:rsidRPr="009537ED">
        <w:rPr>
          <w:rFonts w:ascii="Arial" w:eastAsia="Calibri" w:hAnsi="Arial" w:cs="Arial"/>
          <w:sz w:val="16"/>
          <w:szCs w:val="16"/>
          <w:lang w:eastAsia="en-GB"/>
        </w:rPr>
        <w:t xml:space="preserve"> or </w:t>
      </w:r>
      <w:r w:rsidRPr="009537ED">
        <w:rPr>
          <w:rFonts w:ascii="Arial" w:eastAsia="SimSun" w:hAnsi="Arial" w:cs="Arial"/>
          <w:sz w:val="16"/>
          <w:szCs w:val="16"/>
        </w:rPr>
        <w:t xml:space="preserve">5 </w:t>
      </w:r>
      <w:r w:rsidRPr="009537ED">
        <w:rPr>
          <w:rFonts w:ascii="Arial" w:eastAsia="Calibri" w:hAnsi="Arial" w:cs="Arial"/>
          <w:sz w:val="16"/>
          <w:szCs w:val="16"/>
          <w:lang w:eastAsia="en-GB"/>
        </w:rPr>
        <w:t xml:space="preserve">and </w:t>
      </w:r>
      <m:oMath>
        <m:sSub>
          <m:sSubPr>
            <m:ctrlPr>
              <w:rPr>
                <w:rFonts w:ascii="Cambria Math" w:eastAsia="Calibri" w:hAnsi="Cambria Math" w:cs="Arial"/>
                <w:i/>
                <w:sz w:val="16"/>
                <w:szCs w:val="16"/>
              </w:rPr>
            </m:ctrlPr>
          </m:sSubPr>
          <m:e>
            <m:r>
              <w:rPr>
                <w:rFonts w:ascii="Cambria Math" w:eastAsia="Calibri" w:hAnsi="Cambria Math" w:cs="Arial"/>
                <w:sz w:val="16"/>
                <w:szCs w:val="16"/>
                <w:lang w:eastAsia="en-GB"/>
              </w:rPr>
              <m:t>P</m:t>
            </m:r>
          </m:e>
          <m:sub>
            <m:r>
              <m:rPr>
                <m:sty m:val="p"/>
              </m:rPr>
              <w:rPr>
                <w:rFonts w:ascii="Cambria Math" w:eastAsia="Calibri" w:hAnsi="Cambria Math" w:cs="Arial"/>
                <w:sz w:val="16"/>
                <w:szCs w:val="16"/>
                <w:lang w:eastAsia="en-GB"/>
              </w:rPr>
              <m:t>CSI-RS</m:t>
            </m:r>
          </m:sub>
        </m:sSub>
        <m:r>
          <w:rPr>
            <w:rFonts w:ascii="Cambria Math" w:eastAsia="Calibri" w:hAnsi="Cambria Math" w:cs="Arial"/>
            <w:sz w:val="16"/>
            <w:szCs w:val="16"/>
            <w:lang w:eastAsia="en-GB"/>
          </w:rPr>
          <m:t>=32</m:t>
        </m:r>
      </m:oMath>
      <w:r w:rsidRPr="009537ED">
        <w:rPr>
          <w:rFonts w:ascii="Arial" w:eastAsia="Calibri" w:hAnsi="Arial" w:cs="Arial"/>
          <w:sz w:val="16"/>
          <w:szCs w:val="16"/>
          <w:lang w:eastAsia="en-GB"/>
        </w:rPr>
        <w:t>,</w:t>
      </w:r>
    </w:p>
    <w:p w14:paraId="330DAE7A" w14:textId="23DC132D" w:rsidR="00A41C1A" w:rsidRPr="009537ED" w:rsidRDefault="00A41C1A" w:rsidP="00141B77">
      <w:pPr>
        <w:ind w:left="1135" w:hanging="284"/>
        <w:rPr>
          <w:rFonts w:ascii="Arial" w:hAnsi="Arial" w:cs="Arial"/>
          <w:sz w:val="16"/>
          <w:szCs w:val="16"/>
          <w:lang w:eastAsia="en-GB"/>
        </w:rPr>
      </w:pPr>
      <w:r w:rsidRPr="009537ED">
        <w:rPr>
          <w:rFonts w:ascii="Arial" w:eastAsia="Calibri" w:hAnsi="Arial" w:cs="Arial"/>
          <w:sz w:val="16"/>
          <w:szCs w:val="16"/>
          <w:lang w:eastAsia="en-GB"/>
        </w:rPr>
        <w:lastRenderedPageBreak/>
        <w:t>-</w:t>
      </w:r>
      <w:r w:rsidRPr="009537ED">
        <w:rPr>
          <w:rFonts w:ascii="Arial" w:eastAsia="Calibri" w:hAnsi="Arial" w:cs="Arial"/>
          <w:sz w:val="16"/>
          <w:szCs w:val="16"/>
          <w:lang w:eastAsia="en-GB"/>
        </w:rPr>
        <w:tab/>
      </w:r>
      <w:r w:rsidRPr="009537ED">
        <w:rPr>
          <w:rFonts w:ascii="Arial" w:eastAsia="Calibri" w:hAnsi="Arial" w:cs="Arial"/>
          <w:strike/>
          <w:color w:val="FF0000"/>
          <w:sz w:val="16"/>
          <w:szCs w:val="16"/>
          <w:lang w:eastAsia="en-GB"/>
        </w:rPr>
        <w:t>1, 4, 5, 6, 9, 10, 11, 12, 13, 14, 15, 17, 18 or 19</w:t>
      </w:r>
      <w:r w:rsidRPr="009537ED">
        <w:rPr>
          <w:rFonts w:ascii="Arial" w:eastAsia="Calibri" w:hAnsi="Arial" w:cs="Arial"/>
          <w:color w:val="FF0000"/>
          <w:sz w:val="16"/>
          <w:szCs w:val="16"/>
          <w:lang w:eastAsia="en-GB"/>
        </w:rPr>
        <w:t xml:space="preserve"> </w:t>
      </w:r>
      <w:r w:rsidRPr="009537ED">
        <w:rPr>
          <w:rFonts w:ascii="Arial" w:eastAsia="SimSun" w:hAnsi="Arial" w:cs="Arial"/>
          <w:color w:val="FF0000"/>
          <w:sz w:val="16"/>
          <w:szCs w:val="16"/>
        </w:rPr>
        <w:t xml:space="preserve">1 </w:t>
      </w:r>
      <w:r w:rsidRPr="009537ED">
        <w:rPr>
          <w:rFonts w:ascii="Arial" w:eastAsia="Calibri" w:hAnsi="Arial" w:cs="Arial"/>
          <w:color w:val="FF0000"/>
          <w:sz w:val="16"/>
          <w:szCs w:val="16"/>
          <w:lang w:eastAsia="en-GB"/>
        </w:rPr>
        <w:t xml:space="preserve">for </w:t>
      </w:r>
      <m:oMath>
        <m:sSub>
          <m:sSubPr>
            <m:ctrlPr>
              <w:rPr>
                <w:rFonts w:ascii="Cambria Math" w:eastAsia="Calibri" w:hAnsi="Cambria Math" w:cs="Arial"/>
                <w:i/>
                <w:color w:val="FF0000"/>
                <w:sz w:val="16"/>
                <w:szCs w:val="16"/>
                <w:lang w:eastAsia="en-GB"/>
              </w:rPr>
            </m:ctrlPr>
          </m:sSubPr>
          <m:e>
            <m:r>
              <w:rPr>
                <w:rFonts w:ascii="Cambria Math" w:eastAsia="Calibri" w:hAnsi="Cambria Math" w:cs="Arial"/>
                <w:color w:val="FF0000"/>
                <w:sz w:val="16"/>
                <w:szCs w:val="16"/>
                <w:lang w:eastAsia="en-GB"/>
              </w:rPr>
              <m:t>N</m:t>
            </m:r>
          </m:e>
          <m:sub>
            <m:r>
              <w:rPr>
                <w:rFonts w:ascii="Cambria Math" w:eastAsia="Calibri" w:hAnsi="Cambria Math" w:cs="Arial"/>
                <w:color w:val="FF0000"/>
                <w:sz w:val="16"/>
                <w:szCs w:val="16"/>
                <w:lang w:eastAsia="en-GB"/>
              </w:rPr>
              <m:t>TRP</m:t>
            </m:r>
          </m:sub>
        </m:sSub>
        <m:r>
          <w:rPr>
            <w:rFonts w:ascii="Cambria Math" w:eastAsia="Calibri" w:hAnsi="Cambria Math" w:cs="Arial"/>
            <w:color w:val="FF0000"/>
            <w:sz w:val="16"/>
            <w:szCs w:val="16"/>
            <w:lang w:eastAsia="en-GB"/>
          </w:rPr>
          <m:t>=1</m:t>
        </m:r>
      </m:oMath>
      <w:r w:rsidRPr="009537ED">
        <w:rPr>
          <w:rFonts w:ascii="Arial" w:eastAsia="SimSun" w:hAnsi="Arial" w:cs="Arial"/>
          <w:color w:val="FF0000"/>
          <w:sz w:val="16"/>
          <w:szCs w:val="16"/>
        </w:rPr>
        <w:t xml:space="preserve">; 1, 2, 3 </w:t>
      </w:r>
      <w:r w:rsidRPr="009537ED">
        <w:rPr>
          <w:rFonts w:ascii="Arial" w:eastAsia="Calibri" w:hAnsi="Arial" w:cs="Arial"/>
          <w:color w:val="FF0000"/>
          <w:sz w:val="16"/>
          <w:szCs w:val="16"/>
          <w:lang w:eastAsia="en-GB"/>
        </w:rPr>
        <w:t xml:space="preserve">for </w:t>
      </w:r>
      <m:oMath>
        <m:sSub>
          <m:sSubPr>
            <m:ctrlPr>
              <w:rPr>
                <w:rFonts w:ascii="Cambria Math" w:eastAsia="Calibri" w:hAnsi="Cambria Math" w:cs="Arial"/>
                <w:i/>
                <w:color w:val="FF0000"/>
                <w:sz w:val="16"/>
                <w:szCs w:val="16"/>
                <w:lang w:eastAsia="en-GB"/>
              </w:rPr>
            </m:ctrlPr>
          </m:sSubPr>
          <m:e>
            <m:r>
              <w:rPr>
                <w:rFonts w:ascii="Cambria Math" w:eastAsia="Calibri" w:hAnsi="Cambria Math" w:cs="Arial"/>
                <w:color w:val="FF0000"/>
                <w:sz w:val="16"/>
                <w:szCs w:val="16"/>
                <w:lang w:eastAsia="en-GB"/>
              </w:rPr>
              <m:t>N</m:t>
            </m:r>
          </m:e>
          <m:sub>
            <m:r>
              <w:rPr>
                <w:rFonts w:ascii="Cambria Math" w:eastAsia="Calibri" w:hAnsi="Cambria Math" w:cs="Arial"/>
                <w:color w:val="FF0000"/>
                <w:sz w:val="16"/>
                <w:szCs w:val="16"/>
                <w:lang w:eastAsia="en-GB"/>
              </w:rPr>
              <m:t>TRP</m:t>
            </m:r>
          </m:sub>
        </m:sSub>
        <m:r>
          <w:rPr>
            <w:rFonts w:ascii="Cambria Math" w:eastAsia="Calibri" w:hAnsi="Cambria Math" w:cs="Arial"/>
            <w:color w:val="FF0000"/>
            <w:sz w:val="16"/>
            <w:szCs w:val="16"/>
            <w:lang w:eastAsia="en-GB"/>
          </w:rPr>
          <m:t>=</m:t>
        </m:r>
      </m:oMath>
      <w:r w:rsidRPr="009537ED">
        <w:rPr>
          <w:rFonts w:ascii="Arial" w:eastAsia="SimSun" w:hAnsi="Arial" w:cs="Arial"/>
          <w:color w:val="FF0000"/>
          <w:sz w:val="16"/>
          <w:szCs w:val="16"/>
        </w:rPr>
        <w:t xml:space="preserve">2; 1, 2, 3, 4, 5, 6, 7 </w:t>
      </w:r>
      <w:r w:rsidRPr="009537ED">
        <w:rPr>
          <w:rFonts w:ascii="Arial" w:eastAsia="Calibri" w:hAnsi="Arial" w:cs="Arial"/>
          <w:color w:val="FF0000"/>
          <w:sz w:val="16"/>
          <w:szCs w:val="16"/>
          <w:lang w:eastAsia="en-GB"/>
        </w:rPr>
        <w:t xml:space="preserve">for </w:t>
      </w:r>
      <m:oMath>
        <m:sSub>
          <m:sSubPr>
            <m:ctrlPr>
              <w:rPr>
                <w:rFonts w:ascii="Cambria Math" w:eastAsia="Calibri" w:hAnsi="Cambria Math" w:cs="Arial"/>
                <w:i/>
                <w:color w:val="FF0000"/>
                <w:sz w:val="16"/>
                <w:szCs w:val="16"/>
                <w:lang w:eastAsia="en-GB"/>
              </w:rPr>
            </m:ctrlPr>
          </m:sSubPr>
          <m:e>
            <m:r>
              <w:rPr>
                <w:rFonts w:ascii="Cambria Math" w:eastAsia="Calibri" w:hAnsi="Cambria Math" w:cs="Arial"/>
                <w:color w:val="FF0000"/>
                <w:sz w:val="16"/>
                <w:szCs w:val="16"/>
                <w:lang w:eastAsia="en-GB"/>
              </w:rPr>
              <m:t>N</m:t>
            </m:r>
          </m:e>
          <m:sub>
            <m:r>
              <w:rPr>
                <w:rFonts w:ascii="Cambria Math" w:eastAsia="Calibri" w:hAnsi="Cambria Math" w:cs="Arial"/>
                <w:color w:val="FF0000"/>
                <w:sz w:val="16"/>
                <w:szCs w:val="16"/>
                <w:lang w:eastAsia="en-GB"/>
              </w:rPr>
              <m:t>TRP</m:t>
            </m:r>
          </m:sub>
        </m:sSub>
        <m:r>
          <w:rPr>
            <w:rFonts w:ascii="Cambria Math" w:eastAsia="Calibri" w:hAnsi="Cambria Math" w:cs="Arial"/>
            <w:color w:val="FF0000"/>
            <w:sz w:val="16"/>
            <w:szCs w:val="16"/>
            <w:lang w:eastAsia="en-GB"/>
          </w:rPr>
          <m:t>=</m:t>
        </m:r>
      </m:oMath>
      <w:r w:rsidRPr="009537ED">
        <w:rPr>
          <w:rFonts w:ascii="Arial" w:eastAsia="SimSun" w:hAnsi="Arial" w:cs="Arial"/>
          <w:color w:val="FF0000"/>
          <w:sz w:val="16"/>
          <w:szCs w:val="16"/>
        </w:rPr>
        <w:t xml:space="preserve">3; 1, 2 or 3 for </w:t>
      </w:r>
      <m:oMath>
        <m:sSub>
          <m:sSubPr>
            <m:ctrlPr>
              <w:rPr>
                <w:rFonts w:ascii="Cambria Math" w:eastAsia="Calibri" w:hAnsi="Cambria Math" w:cs="Arial"/>
                <w:i/>
                <w:color w:val="FF0000"/>
                <w:sz w:val="16"/>
                <w:szCs w:val="16"/>
                <w:lang w:eastAsia="en-GB"/>
              </w:rPr>
            </m:ctrlPr>
          </m:sSubPr>
          <m:e>
            <m:r>
              <w:rPr>
                <w:rFonts w:ascii="Cambria Math" w:eastAsia="Calibri" w:hAnsi="Cambria Math" w:cs="Arial"/>
                <w:color w:val="FF0000"/>
                <w:sz w:val="16"/>
                <w:szCs w:val="16"/>
                <w:lang w:eastAsia="en-GB"/>
              </w:rPr>
              <m:t>N</m:t>
            </m:r>
          </m:e>
          <m:sub>
            <m:r>
              <w:rPr>
                <w:rFonts w:ascii="Cambria Math" w:eastAsia="Calibri" w:hAnsi="Cambria Math" w:cs="Arial"/>
                <w:color w:val="FF0000"/>
                <w:sz w:val="16"/>
                <w:szCs w:val="16"/>
                <w:lang w:eastAsia="en-GB"/>
              </w:rPr>
              <m:t>TRP</m:t>
            </m:r>
          </m:sub>
        </m:sSub>
        <m:r>
          <w:rPr>
            <w:rFonts w:ascii="Cambria Math" w:eastAsia="Calibri" w:hAnsi="Cambria Math" w:cs="Arial"/>
            <w:color w:val="FF0000"/>
            <w:sz w:val="16"/>
            <w:szCs w:val="16"/>
            <w:lang w:eastAsia="en-GB"/>
          </w:rPr>
          <m:t>=</m:t>
        </m:r>
      </m:oMath>
      <w:r w:rsidRPr="009537ED">
        <w:rPr>
          <w:rFonts w:ascii="Arial" w:eastAsia="SimSun" w:hAnsi="Arial" w:cs="Arial"/>
          <w:color w:val="FF0000"/>
          <w:sz w:val="16"/>
          <w:szCs w:val="16"/>
        </w:rPr>
        <w:t xml:space="preserve">4, </w:t>
      </w:r>
      <w:r w:rsidRPr="009537ED">
        <w:rPr>
          <w:rFonts w:ascii="Arial" w:eastAsia="Calibri" w:hAnsi="Arial" w:cs="Arial"/>
          <w:sz w:val="16"/>
          <w:szCs w:val="16"/>
          <w:lang w:eastAsia="en-GB"/>
        </w:rPr>
        <w:t xml:space="preserve">when </w:t>
      </w:r>
      <m:oMath>
        <m:sSub>
          <m:sSubPr>
            <m:ctrlPr>
              <w:rPr>
                <w:rFonts w:ascii="Cambria Math" w:hAnsi="Cambria Math" w:cs="Arial"/>
                <w:sz w:val="16"/>
                <w:szCs w:val="16"/>
                <w:lang w:eastAsia="en-GB"/>
              </w:rPr>
            </m:ctrlPr>
          </m:sSubPr>
          <m:e>
            <m:r>
              <w:rPr>
                <w:rFonts w:ascii="Cambria Math" w:hAnsi="Cambria Math" w:cs="Arial"/>
                <w:sz w:val="16"/>
                <w:szCs w:val="16"/>
                <w:lang w:eastAsia="en-GB"/>
              </w:rPr>
              <m:t>P</m:t>
            </m:r>
          </m:e>
          <m:sub>
            <m:r>
              <m:rPr>
                <m:sty m:val="p"/>
              </m:rPr>
              <w:rPr>
                <w:rFonts w:ascii="Cambria Math" w:hAnsi="Cambria Math" w:cs="Arial"/>
                <w:sz w:val="16"/>
                <w:szCs w:val="16"/>
                <w:lang w:eastAsia="en-GB"/>
              </w:rPr>
              <m:t>CSI-RS</m:t>
            </m:r>
          </m:sub>
        </m:sSub>
        <m:r>
          <m:rPr>
            <m:sty m:val="p"/>
          </m:rPr>
          <w:rPr>
            <w:rFonts w:ascii="Cambria Math" w:hAnsi="Cambria Math" w:cs="Arial"/>
            <w:sz w:val="16"/>
            <w:szCs w:val="16"/>
            <w:lang w:eastAsia="en-GB"/>
          </w:rPr>
          <m:t>=4</m:t>
        </m:r>
      </m:oMath>
      <w:r w:rsidRPr="009537ED">
        <w:rPr>
          <w:rFonts w:ascii="Arial" w:eastAsia="Calibri" w:hAnsi="Arial" w:cs="Arial"/>
          <w:sz w:val="16"/>
          <w:szCs w:val="16"/>
          <w:lang w:eastAsia="en-GB"/>
        </w:rPr>
        <w:t xml:space="preserve"> and higher layer parameter t</w:t>
      </w:r>
      <w:r w:rsidRPr="009537ED">
        <w:rPr>
          <w:rFonts w:ascii="Arial" w:eastAsia="Calibri" w:hAnsi="Arial" w:cs="Arial"/>
          <w:i/>
          <w:sz w:val="16"/>
          <w:szCs w:val="16"/>
          <w:lang w:eastAsia="en-GB"/>
        </w:rPr>
        <w:t xml:space="preserve">ypeII-CJT-PS-RI-Restriction-r18 </w:t>
      </w:r>
      <w:r w:rsidRPr="009537ED">
        <w:rPr>
          <w:rFonts w:ascii="Arial" w:eastAsia="Calibri" w:hAnsi="Arial" w:cs="Arial"/>
          <w:sz w:val="16"/>
          <w:szCs w:val="16"/>
          <w:lang w:eastAsia="en-GB"/>
        </w:rPr>
        <w:t xml:space="preserve">is configured with </w:t>
      </w:r>
      <m:oMath>
        <m:sSub>
          <m:sSubPr>
            <m:ctrlPr>
              <w:rPr>
                <w:rFonts w:ascii="Cambria Math" w:hAnsi="Cambria Math" w:cs="Arial"/>
                <w:i/>
                <w:sz w:val="16"/>
                <w:szCs w:val="16"/>
              </w:rPr>
            </m:ctrlPr>
          </m:sSubPr>
          <m:e>
            <m:r>
              <w:rPr>
                <w:rFonts w:ascii="Cambria Math" w:hAnsi="Cambria Math" w:cs="Arial"/>
                <w:sz w:val="16"/>
                <w:szCs w:val="16"/>
              </w:rPr>
              <m:t>r</m:t>
            </m:r>
          </m:e>
          <m:sub>
            <m:r>
              <w:rPr>
                <w:rFonts w:ascii="Cambria Math" w:hAnsi="Cambria Math" w:cs="Arial"/>
                <w:sz w:val="16"/>
                <w:szCs w:val="16"/>
              </w:rPr>
              <m:t>i</m:t>
            </m:r>
          </m:sub>
        </m:sSub>
        <m:r>
          <w:rPr>
            <w:rFonts w:ascii="Cambria Math" w:hAnsi="Cambria Math" w:cs="Arial"/>
            <w:sz w:val="16"/>
            <w:szCs w:val="16"/>
          </w:rPr>
          <m:t>=1</m:t>
        </m:r>
      </m:oMath>
      <w:r w:rsidRPr="009537ED">
        <w:rPr>
          <w:rFonts w:ascii="Arial" w:hAnsi="Arial" w:cs="Arial"/>
          <w:sz w:val="16"/>
          <w:szCs w:val="16"/>
        </w:rPr>
        <w:t xml:space="preserve"> for any </w:t>
      </w:r>
      <m:oMath>
        <m:r>
          <w:rPr>
            <w:rFonts w:ascii="Cambria Math" w:hAnsi="Cambria Math" w:cs="Arial"/>
            <w:sz w:val="16"/>
            <w:szCs w:val="16"/>
          </w:rPr>
          <m:t>i&gt;1</m:t>
        </m:r>
      </m:oMath>
      <w:r w:rsidRPr="009537ED">
        <w:rPr>
          <w:rFonts w:ascii="Arial" w:hAnsi="Arial" w:cs="Arial"/>
          <w:sz w:val="16"/>
          <w:szCs w:val="16"/>
          <w:lang w:eastAsia="en-GB"/>
        </w:rPr>
        <w:t>.</w:t>
      </w:r>
    </w:p>
    <w:p w14:paraId="39807FE4" w14:textId="77777777" w:rsidR="007D1F5A" w:rsidRPr="009537ED" w:rsidRDefault="007D1F5A" w:rsidP="007D1F5A">
      <w:pPr>
        <w:jc w:val="center"/>
        <w:rPr>
          <w:rFonts w:ascii="Arial" w:hAnsi="Arial" w:cs="Arial"/>
          <w:color w:val="000000"/>
          <w:sz w:val="16"/>
          <w:szCs w:val="16"/>
        </w:rPr>
      </w:pPr>
      <w:r w:rsidRPr="009537ED">
        <w:rPr>
          <w:rFonts w:ascii="Arial" w:eastAsia="SimSun" w:hAnsi="Arial" w:cs="Arial"/>
          <w:bCs/>
          <w:color w:val="FF0000"/>
          <w:sz w:val="16"/>
          <w:szCs w:val="16"/>
        </w:rPr>
        <w:t>&lt;Unchanged part omitted&gt;</w:t>
      </w:r>
    </w:p>
    <w:p w14:paraId="68CCA459" w14:textId="5124A888" w:rsidR="007D1F5A" w:rsidRPr="009537ED" w:rsidRDefault="007D1F5A" w:rsidP="007D1F5A">
      <w:pPr>
        <w:snapToGrid w:val="0"/>
        <w:rPr>
          <w:rFonts w:ascii="Times New Roman" w:hAnsi="Times New Roman"/>
          <w:color w:val="FF0000"/>
          <w:szCs w:val="20"/>
        </w:rPr>
      </w:pPr>
      <w:r w:rsidRPr="009537ED">
        <w:rPr>
          <w:rFonts w:ascii="Times New Roman" w:hAnsi="Times New Roman"/>
          <w:color w:val="FF0000"/>
          <w:szCs w:val="20"/>
        </w:rPr>
        <w:t>=============End of Text Proposal to TS 38.214=============</w:t>
      </w:r>
    </w:p>
    <w:p w14:paraId="13350A81" w14:textId="77777777" w:rsidR="00A41C1A" w:rsidRPr="009537ED" w:rsidRDefault="00A41C1A" w:rsidP="00141B77">
      <w:pPr>
        <w:rPr>
          <w:rFonts w:ascii="Times New Roman" w:hAnsi="Times New Roman"/>
          <w:szCs w:val="20"/>
          <w:lang w:eastAsia="x-none"/>
        </w:rPr>
      </w:pPr>
    </w:p>
    <w:p w14:paraId="37A53271" w14:textId="77777777" w:rsidR="007D1F5A" w:rsidRPr="009537ED" w:rsidRDefault="007D1F5A" w:rsidP="007D1F5A">
      <w:pPr>
        <w:rPr>
          <w:lang w:eastAsia="x-none"/>
        </w:rPr>
      </w:pPr>
      <w:r w:rsidRPr="009537ED">
        <w:rPr>
          <w:highlight w:val="green"/>
          <w:lang w:eastAsia="x-none"/>
        </w:rPr>
        <w:t>Agreement</w:t>
      </w:r>
    </w:p>
    <w:p w14:paraId="78DA0F77" w14:textId="77777777" w:rsidR="00A41C1A" w:rsidRPr="009537ED" w:rsidRDefault="00A41C1A" w:rsidP="00141B77">
      <w:pPr>
        <w:snapToGrid w:val="0"/>
        <w:rPr>
          <w:rFonts w:ascii="Times New Roman" w:hAnsi="Times New Roman"/>
          <w:b/>
          <w:szCs w:val="20"/>
          <w:u w:val="single"/>
        </w:rPr>
      </w:pPr>
      <w:r w:rsidRPr="009537ED">
        <w:rPr>
          <w:rFonts w:ascii="Times New Roman" w:hAnsi="Times New Roman"/>
          <w:szCs w:val="20"/>
        </w:rPr>
        <w:t>For the Rel-18 Type-II codebook refinement for CJT mTRP, adopt the following TP</w:t>
      </w:r>
      <w:r w:rsidRPr="009537ED">
        <w:rPr>
          <w:rFonts w:ascii="Times New Roman" w:eastAsia="Microsoft YaHei" w:hAnsi="Times New Roman"/>
          <w:iCs/>
          <w:szCs w:val="20"/>
        </w:rPr>
        <w:t xml:space="preserve"> for TS 38.214:</w:t>
      </w:r>
    </w:p>
    <w:p w14:paraId="54017580" w14:textId="77777777" w:rsidR="007D1F5A" w:rsidRPr="009537ED" w:rsidRDefault="007D1F5A" w:rsidP="007D1F5A">
      <w:pPr>
        <w:snapToGrid w:val="0"/>
        <w:rPr>
          <w:rFonts w:ascii="Times New Roman" w:hAnsi="Times New Roman"/>
          <w:color w:val="FF0000"/>
          <w:szCs w:val="20"/>
        </w:rPr>
      </w:pPr>
      <w:r w:rsidRPr="009537ED">
        <w:rPr>
          <w:rFonts w:ascii="Times New Roman" w:hAnsi="Times New Roman"/>
          <w:color w:val="FF0000"/>
          <w:szCs w:val="20"/>
        </w:rPr>
        <w:t>=============Start of Text Proposal to TS 38.214=============</w:t>
      </w:r>
    </w:p>
    <w:p w14:paraId="12027225" w14:textId="77777777" w:rsidR="00A41C1A" w:rsidRPr="009537ED" w:rsidRDefault="00A41C1A" w:rsidP="00141B77">
      <w:pPr>
        <w:ind w:left="567"/>
        <w:rPr>
          <w:rFonts w:ascii="Arial" w:eastAsia="SimSun" w:hAnsi="Arial" w:cs="Arial"/>
          <w:color w:val="493118"/>
          <w:sz w:val="16"/>
          <w:szCs w:val="16"/>
          <w:lang w:eastAsia="zh-CN"/>
        </w:rPr>
      </w:pPr>
      <w:r w:rsidRPr="009537ED">
        <w:rPr>
          <w:rFonts w:ascii="Arial" w:eastAsia="SimSun" w:hAnsi="Arial" w:cs="Arial"/>
          <w:color w:val="493118"/>
          <w:sz w:val="16"/>
          <w:szCs w:val="16"/>
          <w:lang w:eastAsia="zh-CN"/>
        </w:rPr>
        <w:t>5.2.2.2.9</w:t>
      </w:r>
      <w:r w:rsidRPr="009537ED">
        <w:rPr>
          <w:rFonts w:ascii="Arial" w:eastAsia="SimSun" w:hAnsi="Arial" w:cs="Arial"/>
          <w:color w:val="493118"/>
          <w:sz w:val="16"/>
          <w:szCs w:val="16"/>
          <w:lang w:eastAsia="zh-CN"/>
        </w:rPr>
        <w:tab/>
        <w:t>Further enhanced Type II port selection codebook for CJT</w:t>
      </w:r>
    </w:p>
    <w:p w14:paraId="02E1A3FA" w14:textId="1CD71A95" w:rsidR="00A41C1A" w:rsidRPr="009537ED" w:rsidRDefault="00A41C1A" w:rsidP="00141B77">
      <w:pPr>
        <w:ind w:left="567"/>
        <w:rPr>
          <w:rFonts w:ascii="Arial" w:eastAsia="SimSun" w:hAnsi="Arial" w:cs="Arial"/>
          <w:sz w:val="16"/>
          <w:szCs w:val="16"/>
        </w:rPr>
      </w:pPr>
      <w:r w:rsidRPr="009537ED">
        <w:rPr>
          <w:rFonts w:ascii="Arial" w:eastAsia="SimSun" w:hAnsi="Arial" w:cs="Arial"/>
          <w:sz w:val="16"/>
          <w:szCs w:val="16"/>
        </w:rPr>
        <w:t xml:space="preserve">For 4 antenna ports {3000, 3001, …, 3003}, 8 antenna ports {3000, 3001, …, 3007}, 12 antenna ports {3000, 3001, …, 3011}, 16 antenna ports {3000, 3001, …, 3015}, 24 antenna ports {3000, 3001, …, 3023}, and 32 antenna ports {3000, 3001, …, 3031} per CSI-RS resource, the UE configured with </w:t>
      </w:r>
      <m:oMath>
        <m:sSub>
          <m:sSubPr>
            <m:ctrlPr>
              <w:rPr>
                <w:rFonts w:ascii="Cambria Math" w:eastAsia="SimSun" w:hAnsi="Cambria Math" w:cs="Arial"/>
                <w:i/>
                <w:sz w:val="16"/>
                <w:szCs w:val="16"/>
              </w:rPr>
            </m:ctrlPr>
          </m:sSubPr>
          <m:e>
            <m:r>
              <w:rPr>
                <w:rFonts w:ascii="Cambria Math" w:eastAsia="SimSun" w:hAnsi="Cambria Math" w:cs="Arial"/>
                <w:sz w:val="16"/>
                <w:szCs w:val="16"/>
              </w:rPr>
              <m:t>N</m:t>
            </m:r>
          </m:e>
          <m:sub>
            <m:r>
              <w:rPr>
                <w:rFonts w:ascii="Cambria Math" w:eastAsia="SimSun" w:hAnsi="Cambria Math" w:cs="Arial"/>
                <w:sz w:val="16"/>
                <w:szCs w:val="16"/>
              </w:rPr>
              <m:t>TRP</m:t>
            </m:r>
          </m:sub>
        </m:sSub>
        <m:r>
          <w:rPr>
            <w:rFonts w:ascii="Cambria Math" w:eastAsia="SimSun" w:hAnsi="Cambria Math" w:cs="Arial"/>
            <w:sz w:val="16"/>
            <w:szCs w:val="16"/>
          </w:rPr>
          <m:t>∈{1,2,3,4}</m:t>
        </m:r>
      </m:oMath>
      <w:r w:rsidRPr="009537ED">
        <w:rPr>
          <w:rFonts w:ascii="Arial" w:eastAsia="SimSun" w:hAnsi="Arial" w:cs="Arial"/>
          <w:sz w:val="16"/>
          <w:szCs w:val="16"/>
        </w:rPr>
        <w:t xml:space="preserve"> CSI-RS resources in a resource set for channel measurement and with higher layer parameter </w:t>
      </w:r>
      <w:r w:rsidRPr="009537ED">
        <w:rPr>
          <w:rFonts w:ascii="Arial" w:eastAsia="SimSun" w:hAnsi="Arial" w:cs="Arial"/>
          <w:i/>
          <w:sz w:val="16"/>
          <w:szCs w:val="16"/>
        </w:rPr>
        <w:t>codebookType</w:t>
      </w:r>
      <w:r w:rsidRPr="009537ED">
        <w:rPr>
          <w:rFonts w:ascii="Arial" w:eastAsia="SimSun" w:hAnsi="Arial" w:cs="Arial"/>
          <w:sz w:val="16"/>
          <w:szCs w:val="16"/>
        </w:rPr>
        <w:t xml:space="preserve"> set to 'typeII-CJT-PortSelection-r18'</w:t>
      </w:r>
    </w:p>
    <w:p w14:paraId="255C5995" w14:textId="72E347BC" w:rsidR="00A41C1A" w:rsidRPr="009537ED" w:rsidRDefault="00A41C1A" w:rsidP="00141B77">
      <w:pPr>
        <w:ind w:left="567"/>
        <w:rPr>
          <w:rFonts w:ascii="Arial" w:eastAsia="SimSun" w:hAnsi="Arial" w:cs="Arial"/>
          <w:sz w:val="16"/>
          <w:szCs w:val="16"/>
          <w:lang w:eastAsia="en-GB"/>
        </w:rPr>
      </w:pPr>
      <w:r w:rsidRPr="009537ED">
        <w:rPr>
          <w:rFonts w:ascii="Arial" w:eastAsia="SimSun" w:hAnsi="Arial" w:cs="Arial"/>
          <w:sz w:val="16"/>
          <w:szCs w:val="16"/>
          <w:lang w:eastAsia="en-GB"/>
        </w:rPr>
        <w:t>-</w:t>
      </w:r>
      <w:r w:rsidRPr="009537ED">
        <w:rPr>
          <w:rFonts w:ascii="Arial" w:eastAsia="SimSun" w:hAnsi="Arial" w:cs="Arial"/>
          <w:sz w:val="16"/>
          <w:szCs w:val="16"/>
          <w:lang w:eastAsia="en-GB"/>
        </w:rPr>
        <w:tab/>
        <w:t xml:space="preserve">the number of CSI-RS ports for each CSI-RS resource, </w:t>
      </w:r>
      <m:oMath>
        <m:sSub>
          <m:sSubPr>
            <m:ctrlPr>
              <w:rPr>
                <w:rFonts w:ascii="Cambria Math" w:eastAsia="SimSun" w:hAnsi="Cambria Math" w:cs="Arial"/>
                <w:i/>
                <w:sz w:val="16"/>
                <w:szCs w:val="16"/>
                <w:lang w:eastAsia="en-GB"/>
              </w:rPr>
            </m:ctrlPr>
          </m:sSubPr>
          <m:e>
            <m:r>
              <w:rPr>
                <w:rFonts w:ascii="Cambria Math" w:eastAsia="SimSun" w:hAnsi="Cambria Math" w:cs="Arial"/>
                <w:sz w:val="16"/>
                <w:szCs w:val="16"/>
                <w:lang w:eastAsia="en-GB"/>
              </w:rPr>
              <m:t>P</m:t>
            </m:r>
          </m:e>
          <m:sub>
            <m:r>
              <m:rPr>
                <m:sty m:val="p"/>
              </m:rPr>
              <w:rPr>
                <w:rFonts w:ascii="Cambria Math" w:eastAsia="SimSun" w:hAnsi="Cambria Math" w:cs="Arial"/>
                <w:sz w:val="16"/>
                <w:szCs w:val="16"/>
                <w:lang w:eastAsia="en-GB"/>
              </w:rPr>
              <m:t>CSI-RS</m:t>
            </m:r>
          </m:sub>
        </m:sSub>
      </m:oMath>
      <w:r w:rsidRPr="009537ED">
        <w:rPr>
          <w:rFonts w:ascii="Arial" w:eastAsia="SimSun" w:hAnsi="Arial" w:cs="Arial"/>
          <w:sz w:val="16"/>
          <w:szCs w:val="16"/>
          <w:lang w:eastAsia="en-GB"/>
        </w:rPr>
        <w:t>, is configured as in clause 5.2.2.2.4.</w:t>
      </w:r>
    </w:p>
    <w:p w14:paraId="62E55F9A" w14:textId="77777777" w:rsidR="00A41C1A" w:rsidRPr="009537ED" w:rsidRDefault="00A41C1A" w:rsidP="00141B77">
      <w:pPr>
        <w:ind w:left="567"/>
        <w:rPr>
          <w:rFonts w:ascii="Arial" w:hAnsi="Arial" w:cs="Arial"/>
          <w:i/>
          <w:iCs/>
          <w:color w:val="FF0000"/>
          <w:sz w:val="16"/>
          <w:szCs w:val="16"/>
          <w:lang w:eastAsia="zh-CN"/>
        </w:rPr>
      </w:pPr>
      <w:r w:rsidRPr="009537ED">
        <w:rPr>
          <w:rFonts w:ascii="Arial" w:hAnsi="Arial" w:cs="Arial"/>
          <w:i/>
          <w:iCs/>
          <w:color w:val="FF0000"/>
          <w:sz w:val="16"/>
          <w:szCs w:val="16"/>
          <w:lang w:eastAsia="zh-CN"/>
        </w:rPr>
        <w:t>--- unrelated text omitted ---</w:t>
      </w:r>
    </w:p>
    <w:p w14:paraId="149189D0" w14:textId="30A93C99" w:rsidR="00A41C1A" w:rsidRPr="009537ED" w:rsidRDefault="00A41C1A" w:rsidP="00141B77">
      <w:pPr>
        <w:ind w:left="851" w:hanging="284"/>
        <w:rPr>
          <w:rFonts w:ascii="Arial" w:eastAsia="SimSun" w:hAnsi="Arial" w:cs="Arial"/>
          <w:sz w:val="16"/>
          <w:szCs w:val="16"/>
        </w:rPr>
      </w:pPr>
      <w:r w:rsidRPr="009537ED">
        <w:rPr>
          <w:rFonts w:ascii="Arial" w:eastAsia="SimSun" w:hAnsi="Arial" w:cs="Arial"/>
          <w:sz w:val="16"/>
          <w:szCs w:val="16"/>
        </w:rPr>
        <w:t xml:space="preserve">The value of </w:t>
      </w:r>
      <m:oMath>
        <m:sSub>
          <m:sSubPr>
            <m:ctrlPr>
              <w:rPr>
                <w:rFonts w:ascii="Cambria Math" w:eastAsia="SimSun" w:hAnsi="Cambria Math" w:cs="Arial"/>
                <w:i/>
                <w:strike/>
                <w:color w:val="FF0000"/>
                <w:sz w:val="16"/>
                <w:szCs w:val="16"/>
              </w:rPr>
            </m:ctrlPr>
          </m:sSubPr>
          <m:e>
            <m:r>
              <w:rPr>
                <w:rFonts w:ascii="Cambria Math" w:eastAsia="SimSun" w:hAnsi="Cambria Math" w:cs="Arial"/>
                <w:strike/>
                <w:color w:val="FF0000"/>
                <w:sz w:val="16"/>
                <w:szCs w:val="16"/>
              </w:rPr>
              <m:t>N</m:t>
            </m:r>
          </m:e>
          <m:sub>
            <m:r>
              <w:rPr>
                <w:rFonts w:ascii="Cambria Math" w:eastAsia="SimSun" w:hAnsi="Cambria Math" w:cs="Arial"/>
                <w:strike/>
                <w:color w:val="FF0000"/>
                <w:sz w:val="16"/>
                <w:szCs w:val="16"/>
              </w:rPr>
              <m:t>M</m:t>
            </m:r>
          </m:sub>
        </m:sSub>
        <m:r>
          <w:rPr>
            <w:rFonts w:ascii="Cambria Math" w:eastAsia="SimSun" w:hAnsi="Cambria Math" w:cs="Arial"/>
            <w:color w:val="FF0000"/>
            <w:sz w:val="16"/>
            <w:szCs w:val="16"/>
          </w:rPr>
          <m:t xml:space="preserve"> N</m:t>
        </m:r>
        <m:r>
          <w:rPr>
            <w:rFonts w:ascii="Cambria Math" w:eastAsia="SimSun" w:hAnsi="Cambria Math" w:cs="Arial"/>
            <w:sz w:val="16"/>
            <w:szCs w:val="16"/>
          </w:rPr>
          <m:t>∈{2,4}</m:t>
        </m:r>
      </m:oMath>
      <w:r w:rsidRPr="009537ED">
        <w:rPr>
          <w:rFonts w:ascii="Arial" w:eastAsia="SimSun" w:hAnsi="Arial" w:cs="Arial"/>
          <w:sz w:val="16"/>
          <w:szCs w:val="16"/>
        </w:rPr>
        <w:t xml:space="preserve"> is configured with the higher-layer parameter </w:t>
      </w:r>
      <w:r w:rsidRPr="009537ED">
        <w:rPr>
          <w:rFonts w:ascii="Arial" w:eastAsia="SimSun" w:hAnsi="Arial" w:cs="Arial"/>
          <w:i/>
          <w:iCs/>
          <w:sz w:val="16"/>
          <w:szCs w:val="16"/>
        </w:rPr>
        <w:t>valueOfN-CJT-r18</w:t>
      </w:r>
      <w:r w:rsidRPr="009537ED">
        <w:rPr>
          <w:rFonts w:ascii="Arial" w:eastAsia="SimSun" w:hAnsi="Arial" w:cs="Arial"/>
          <w:sz w:val="16"/>
          <w:szCs w:val="16"/>
        </w:rPr>
        <w:t xml:space="preserve">, when </w:t>
      </w:r>
      <m:oMath>
        <m:r>
          <w:rPr>
            <w:rFonts w:ascii="Cambria Math" w:eastAsia="SimSun" w:hAnsi="Cambria Math" w:cs="Arial"/>
            <w:sz w:val="16"/>
            <w:szCs w:val="16"/>
          </w:rPr>
          <m:t>M=2</m:t>
        </m:r>
      </m:oMath>
      <w:r w:rsidRPr="009537ED">
        <w:rPr>
          <w:rFonts w:ascii="Arial" w:eastAsia="SimSun" w:hAnsi="Arial" w:cs="Arial"/>
          <w:sz w:val="16"/>
          <w:szCs w:val="16"/>
        </w:rPr>
        <w:t>.</w:t>
      </w:r>
    </w:p>
    <w:p w14:paraId="2E60B57F" w14:textId="77777777" w:rsidR="00A41C1A" w:rsidRPr="009537ED" w:rsidRDefault="00A41C1A" w:rsidP="00141B77">
      <w:pPr>
        <w:ind w:left="567"/>
        <w:rPr>
          <w:rFonts w:ascii="Arial" w:hAnsi="Arial" w:cs="Arial"/>
          <w:i/>
          <w:iCs/>
          <w:color w:val="FF0000"/>
          <w:sz w:val="16"/>
          <w:szCs w:val="16"/>
          <w:lang w:eastAsia="zh-CN"/>
        </w:rPr>
      </w:pPr>
      <w:r w:rsidRPr="009537ED">
        <w:rPr>
          <w:rFonts w:ascii="Arial" w:hAnsi="Arial" w:cs="Arial"/>
          <w:i/>
          <w:iCs/>
          <w:color w:val="FF0000"/>
          <w:sz w:val="16"/>
          <w:szCs w:val="16"/>
          <w:lang w:eastAsia="zh-CN"/>
        </w:rPr>
        <w:t>--- unrelated text omitted ---</w:t>
      </w:r>
    </w:p>
    <w:p w14:paraId="4F1FA72C" w14:textId="5A9B65E5" w:rsidR="00A41C1A" w:rsidRPr="009537ED" w:rsidRDefault="00A41C1A" w:rsidP="00141B77">
      <w:pPr>
        <w:ind w:left="567"/>
        <w:rPr>
          <w:rFonts w:ascii="Arial" w:hAnsi="Arial" w:cs="Arial"/>
          <w:i/>
          <w:iCs/>
          <w:sz w:val="16"/>
          <w:szCs w:val="16"/>
          <w:lang w:eastAsia="zh-CN"/>
        </w:rPr>
      </w:pPr>
      <w:r w:rsidRPr="009537ED">
        <w:rPr>
          <w:rFonts w:ascii="Arial" w:eastAsia="SimSun" w:hAnsi="Arial" w:cs="Arial"/>
          <w:sz w:val="16"/>
          <w:szCs w:val="16"/>
        </w:rPr>
        <w:t xml:space="preserve">If the higher layer parameter </w:t>
      </w:r>
      <w:r w:rsidRPr="009537ED">
        <w:rPr>
          <w:rFonts w:ascii="Arial" w:eastAsia="SimSun" w:hAnsi="Arial" w:cs="Arial"/>
          <w:i/>
          <w:iCs/>
          <w:sz w:val="16"/>
          <w:szCs w:val="16"/>
        </w:rPr>
        <w:t>codebookMode</w:t>
      </w:r>
      <w:r w:rsidRPr="009537ED">
        <w:rPr>
          <w:rFonts w:ascii="Arial" w:eastAsia="SimSun" w:hAnsi="Arial" w:cs="Arial"/>
          <w:sz w:val="16"/>
          <w:szCs w:val="16"/>
        </w:rPr>
        <w:t xml:space="preserve"> is set to 'mode1', an offset </w:t>
      </w:r>
      <m:oMath>
        <m:sSub>
          <m:sSubPr>
            <m:ctrlPr>
              <w:rPr>
                <w:rFonts w:ascii="Cambria Math" w:eastAsia="SimSun" w:hAnsi="Cambria Math" w:cs="Arial"/>
                <w:i/>
                <w:sz w:val="16"/>
                <w:szCs w:val="16"/>
              </w:rPr>
            </m:ctrlPr>
          </m:sSubPr>
          <m:e>
            <m:r>
              <w:rPr>
                <w:rFonts w:ascii="Cambria Math" w:eastAsia="SimSun" w:hAnsi="Cambria Math" w:cs="Arial"/>
                <w:sz w:val="16"/>
                <w:szCs w:val="16"/>
              </w:rPr>
              <m:t>d</m:t>
            </m:r>
          </m:e>
          <m:sub>
            <m:r>
              <w:rPr>
                <w:rFonts w:ascii="Cambria Math" w:eastAsia="SimSun" w:hAnsi="Cambria Math" w:cs="Arial"/>
                <w:sz w:val="16"/>
                <w:szCs w:val="16"/>
              </w:rPr>
              <m:t>j</m:t>
            </m:r>
          </m:sub>
        </m:sSub>
      </m:oMath>
      <w:r w:rsidRPr="009537ED">
        <w:rPr>
          <w:rFonts w:ascii="Arial" w:eastAsia="SimSun" w:hAnsi="Arial" w:cs="Arial"/>
          <w:sz w:val="16"/>
          <w:szCs w:val="16"/>
        </w:rPr>
        <w:t xml:space="preserve"> is reported for the </w:t>
      </w:r>
      <m:oMath>
        <m:r>
          <w:rPr>
            <w:rFonts w:ascii="Cambria Math" w:eastAsia="SimSun" w:hAnsi="Cambria Math" w:cs="Arial"/>
            <w:sz w:val="16"/>
            <w:szCs w:val="16"/>
          </w:rPr>
          <m:t>j</m:t>
        </m:r>
      </m:oMath>
      <w:r w:rsidRPr="009537ED">
        <w:rPr>
          <w:rFonts w:ascii="Arial" w:eastAsia="SimSun" w:hAnsi="Arial" w:cs="Arial"/>
          <w:sz w:val="16"/>
          <w:szCs w:val="16"/>
        </w:rPr>
        <w:t xml:space="preserve">-th selected CSI-RS resource, with </w:t>
      </w:r>
      <m:oMath>
        <m:r>
          <w:rPr>
            <w:rFonts w:ascii="Cambria Math" w:eastAsia="SimSun" w:hAnsi="Cambria Math" w:cs="Arial"/>
            <w:sz w:val="16"/>
            <w:szCs w:val="16"/>
          </w:rPr>
          <m:t>j=2,…,</m:t>
        </m:r>
        <m:sSub>
          <m:sSubPr>
            <m:ctrlPr>
              <w:rPr>
                <w:rFonts w:ascii="Cambria Math" w:eastAsia="SimSun" w:hAnsi="Cambria Math" w:cs="Arial"/>
                <w:i/>
                <w:sz w:val="16"/>
                <w:szCs w:val="16"/>
              </w:rPr>
            </m:ctrlPr>
          </m:sSubPr>
          <m:e>
            <m:r>
              <w:rPr>
                <w:rFonts w:ascii="Cambria Math" w:eastAsia="SimSun" w:hAnsi="Cambria Math" w:cs="Arial"/>
                <w:sz w:val="16"/>
                <w:szCs w:val="16"/>
              </w:rPr>
              <m:t>N</m:t>
            </m:r>
          </m:e>
          <m:sub>
            <m:r>
              <w:rPr>
                <w:rFonts w:ascii="Cambria Math" w:eastAsia="SimSun" w:hAnsi="Cambria Math" w:cs="Arial"/>
                <w:sz w:val="16"/>
                <w:szCs w:val="16"/>
              </w:rPr>
              <m:t>0</m:t>
            </m:r>
          </m:sub>
        </m:sSub>
      </m:oMath>
      <w:r w:rsidRPr="009537ED">
        <w:rPr>
          <w:rFonts w:ascii="Arial" w:eastAsia="SimSun" w:hAnsi="Arial" w:cs="Arial"/>
          <w:sz w:val="16"/>
          <w:szCs w:val="16"/>
        </w:rPr>
        <w:t xml:space="preserve">, relative to the first of the </w:t>
      </w:r>
      <m:oMath>
        <m:r>
          <w:rPr>
            <w:rFonts w:ascii="Cambria Math" w:eastAsia="SimSun" w:hAnsi="Cambria Math" w:cs="Arial"/>
            <w:strike/>
            <w:color w:val="FF0000"/>
            <w:sz w:val="16"/>
            <w:szCs w:val="16"/>
          </w:rPr>
          <m:t>N</m:t>
        </m:r>
      </m:oMath>
      <w:r w:rsidRPr="009537ED">
        <w:rPr>
          <w:rFonts w:ascii="Arial" w:eastAsia="SimSun" w:hAnsi="Arial" w:cs="Arial"/>
          <w:color w:val="FF0000"/>
          <w:sz w:val="16"/>
          <w:szCs w:val="16"/>
        </w:rPr>
        <w:t xml:space="preserve"> </w:t>
      </w:r>
      <m:oMath>
        <m:sSub>
          <m:sSubPr>
            <m:ctrlPr>
              <w:rPr>
                <w:rFonts w:ascii="Cambria Math" w:eastAsia="SimSun" w:hAnsi="Cambria Math" w:cs="Arial"/>
                <w:i/>
                <w:color w:val="FF0000"/>
                <w:sz w:val="16"/>
                <w:szCs w:val="16"/>
              </w:rPr>
            </m:ctrlPr>
          </m:sSubPr>
          <m:e>
            <m:r>
              <w:rPr>
                <w:rFonts w:ascii="Cambria Math" w:eastAsia="SimSun" w:hAnsi="Cambria Math" w:cs="Arial"/>
                <w:color w:val="FF0000"/>
                <w:sz w:val="16"/>
                <w:szCs w:val="16"/>
              </w:rPr>
              <m:t>N</m:t>
            </m:r>
          </m:e>
          <m:sub>
            <m:r>
              <w:rPr>
                <w:rFonts w:ascii="Cambria Math" w:eastAsia="SimSun" w:hAnsi="Cambria Math" w:cs="Arial"/>
                <w:color w:val="FF0000"/>
                <w:sz w:val="16"/>
                <w:szCs w:val="16"/>
              </w:rPr>
              <m:t>0</m:t>
            </m:r>
          </m:sub>
        </m:sSub>
      </m:oMath>
      <w:r w:rsidRPr="009537ED">
        <w:rPr>
          <w:rFonts w:ascii="Arial" w:eastAsia="SimSun" w:hAnsi="Arial" w:cs="Arial"/>
          <w:color w:val="FF0000"/>
          <w:sz w:val="16"/>
          <w:szCs w:val="16"/>
        </w:rPr>
        <w:t xml:space="preserve"> </w:t>
      </w:r>
      <w:r w:rsidRPr="009537ED">
        <w:rPr>
          <w:rFonts w:ascii="Arial" w:eastAsia="SimSun" w:hAnsi="Arial" w:cs="Arial"/>
          <w:sz w:val="16"/>
          <w:szCs w:val="16"/>
        </w:rPr>
        <w:t xml:space="preserve">selected CSI-RS resources. The </w:t>
      </w:r>
      <m:oMath>
        <m:sSub>
          <m:sSubPr>
            <m:ctrlPr>
              <w:rPr>
                <w:rFonts w:ascii="Cambria Math" w:eastAsia="SimSun" w:hAnsi="Cambria Math" w:cs="Arial"/>
                <w:i/>
                <w:sz w:val="16"/>
                <w:szCs w:val="16"/>
              </w:rPr>
            </m:ctrlPr>
          </m:sSubPr>
          <m:e>
            <m:r>
              <w:rPr>
                <w:rFonts w:ascii="Cambria Math" w:eastAsia="SimSun" w:hAnsi="Cambria Math" w:cs="Arial"/>
                <w:sz w:val="16"/>
                <w:szCs w:val="16"/>
              </w:rPr>
              <m:t>N</m:t>
            </m:r>
          </m:e>
          <m:sub>
            <m:r>
              <w:rPr>
                <w:rFonts w:ascii="Cambria Math" w:eastAsia="SimSun" w:hAnsi="Cambria Math" w:cs="Arial"/>
                <w:sz w:val="16"/>
                <w:szCs w:val="16"/>
              </w:rPr>
              <m:t>0</m:t>
            </m:r>
          </m:sub>
        </m:sSub>
        <m:r>
          <w:rPr>
            <w:rFonts w:ascii="Cambria Math" w:eastAsia="SimSun" w:hAnsi="Cambria Math" w:cs="Arial"/>
            <w:sz w:val="16"/>
            <w:szCs w:val="16"/>
          </w:rPr>
          <m:t>-1</m:t>
        </m:r>
      </m:oMath>
      <w:r w:rsidRPr="009537ED">
        <w:rPr>
          <w:rFonts w:ascii="Arial" w:eastAsia="SimSun" w:hAnsi="Arial" w:cs="Arial"/>
          <w:sz w:val="16"/>
          <w:szCs w:val="16"/>
        </w:rPr>
        <w:t xml:space="preserve"> reported offsets are common for all </w:t>
      </w:r>
      <m:oMath>
        <m:r>
          <w:rPr>
            <w:rFonts w:ascii="Cambria Math" w:eastAsia="SimSun" w:hAnsi="Cambria Math" w:cs="Arial"/>
            <w:sz w:val="16"/>
            <w:szCs w:val="16"/>
          </w:rPr>
          <m:t>ν</m:t>
        </m:r>
      </m:oMath>
      <w:r w:rsidRPr="009537ED">
        <w:rPr>
          <w:rFonts w:ascii="Arial" w:eastAsia="SimSun" w:hAnsi="Arial" w:cs="Arial"/>
          <w:sz w:val="16"/>
          <w:szCs w:val="16"/>
        </w:rPr>
        <w:t xml:space="preserve"> layers and are indicated by </w:t>
      </w:r>
      <m:oMath>
        <m:sSub>
          <m:sSubPr>
            <m:ctrlPr>
              <w:rPr>
                <w:rFonts w:ascii="Cambria Math" w:eastAsia="SimSun" w:hAnsi="Cambria Math" w:cs="Arial"/>
                <w:i/>
                <w:sz w:val="16"/>
                <w:szCs w:val="16"/>
              </w:rPr>
            </m:ctrlPr>
          </m:sSubPr>
          <m:e>
            <m:r>
              <w:rPr>
                <w:rFonts w:ascii="Cambria Math" w:eastAsia="SimSun" w:hAnsi="Cambria Math" w:cs="Arial"/>
                <w:sz w:val="16"/>
                <w:szCs w:val="16"/>
              </w:rPr>
              <m:t>i</m:t>
            </m:r>
          </m:e>
          <m:sub>
            <m:r>
              <w:rPr>
                <w:rFonts w:ascii="Cambria Math" w:eastAsia="SimSun" w:hAnsi="Cambria Math" w:cs="Arial"/>
                <w:sz w:val="16"/>
                <w:szCs w:val="16"/>
              </w:rPr>
              <m:t>1,9</m:t>
            </m:r>
          </m:sub>
        </m:sSub>
      </m:oMath>
      <w:r w:rsidRPr="009537ED">
        <w:rPr>
          <w:rFonts w:ascii="Arial" w:eastAsia="SimSun" w:hAnsi="Arial" w:cs="Arial"/>
          <w:sz w:val="16"/>
          <w:szCs w:val="16"/>
        </w:rPr>
        <w:t>, given by</w:t>
      </w:r>
    </w:p>
    <w:p w14:paraId="0C5D1B41" w14:textId="2EB535BC" w:rsidR="00A41C1A" w:rsidRPr="009537ED" w:rsidRDefault="005A18DC" w:rsidP="00141B77">
      <w:pPr>
        <w:ind w:left="567"/>
        <w:rPr>
          <w:rFonts w:ascii="Arial" w:hAnsi="Arial" w:cs="Arial"/>
          <w:i/>
          <w:iCs/>
          <w:sz w:val="16"/>
          <w:szCs w:val="16"/>
          <w:lang w:eastAsia="zh-CN"/>
        </w:rPr>
      </w:pPr>
      <m:oMathPara>
        <m:oMath>
          <m:sSub>
            <m:sSubPr>
              <m:ctrlPr>
                <w:rPr>
                  <w:rFonts w:ascii="Cambria Math" w:eastAsia="SimSun" w:hAnsi="Cambria Math" w:cs="Arial"/>
                  <w:i/>
                  <w:sz w:val="16"/>
                  <w:szCs w:val="16"/>
                </w:rPr>
              </m:ctrlPr>
            </m:sSubPr>
            <m:e>
              <m:r>
                <w:rPr>
                  <w:rFonts w:ascii="Cambria Math" w:eastAsia="SimSun" w:hAnsi="Cambria Math" w:cs="Arial"/>
                  <w:sz w:val="16"/>
                  <w:szCs w:val="16"/>
                </w:rPr>
                <m:t>i</m:t>
              </m:r>
            </m:e>
            <m:sub>
              <m:r>
                <w:rPr>
                  <w:rFonts w:ascii="Cambria Math" w:eastAsia="SimSun" w:hAnsi="Cambria Math" w:cs="Arial"/>
                  <w:sz w:val="16"/>
                  <w:szCs w:val="16"/>
                </w:rPr>
                <m:t>1,9</m:t>
              </m:r>
            </m:sub>
          </m:sSub>
          <m:r>
            <w:rPr>
              <w:rFonts w:ascii="Cambria Math" w:eastAsia="SimSun" w:hAnsi="Cambria Math" w:cs="Arial"/>
              <w:sz w:val="16"/>
              <w:szCs w:val="16"/>
            </w:rPr>
            <m:t>=[</m:t>
          </m:r>
          <m:sSub>
            <m:sSubPr>
              <m:ctrlPr>
                <w:rPr>
                  <w:rFonts w:ascii="Cambria Math" w:eastAsia="SimSun" w:hAnsi="Cambria Math" w:cs="Arial"/>
                  <w:i/>
                  <w:sz w:val="16"/>
                  <w:szCs w:val="16"/>
                </w:rPr>
              </m:ctrlPr>
            </m:sSubPr>
            <m:e>
              <m:r>
                <w:rPr>
                  <w:rFonts w:ascii="Cambria Math" w:eastAsia="SimSun" w:hAnsi="Cambria Math" w:cs="Arial"/>
                  <w:sz w:val="16"/>
                  <w:szCs w:val="16"/>
                </w:rPr>
                <m:t>d</m:t>
              </m:r>
            </m:e>
            <m:sub>
              <m:r>
                <w:rPr>
                  <w:rFonts w:ascii="Cambria Math" w:eastAsia="SimSun" w:hAnsi="Cambria Math" w:cs="Arial"/>
                  <w:sz w:val="16"/>
                  <w:szCs w:val="16"/>
                </w:rPr>
                <m:t>2</m:t>
              </m:r>
            </m:sub>
          </m:sSub>
          <m:r>
            <w:rPr>
              <w:rFonts w:ascii="Cambria Math" w:eastAsia="SimSun" w:hAnsi="Cambria Math" w:cs="Arial"/>
              <w:sz w:val="16"/>
              <w:szCs w:val="16"/>
            </w:rPr>
            <m:t xml:space="preserve">… </m:t>
          </m:r>
          <m:sSub>
            <m:sSubPr>
              <m:ctrlPr>
                <w:rPr>
                  <w:rFonts w:ascii="Cambria Math" w:eastAsia="SimSun" w:hAnsi="Cambria Math" w:cs="Arial"/>
                  <w:i/>
                  <w:sz w:val="16"/>
                  <w:szCs w:val="16"/>
                </w:rPr>
              </m:ctrlPr>
            </m:sSubPr>
            <m:e>
              <m:r>
                <w:rPr>
                  <w:rFonts w:ascii="Cambria Math" w:eastAsia="SimSun" w:hAnsi="Cambria Math" w:cs="Arial"/>
                  <w:sz w:val="16"/>
                  <w:szCs w:val="16"/>
                </w:rPr>
                <m:t>d</m:t>
              </m:r>
            </m:e>
            <m:sub>
              <m:sSub>
                <m:sSubPr>
                  <m:ctrlPr>
                    <w:rPr>
                      <w:rFonts w:ascii="Cambria Math" w:eastAsia="SimSun" w:hAnsi="Cambria Math" w:cs="Arial"/>
                      <w:i/>
                      <w:sz w:val="16"/>
                      <w:szCs w:val="16"/>
                    </w:rPr>
                  </m:ctrlPr>
                </m:sSubPr>
                <m:e>
                  <m:r>
                    <w:rPr>
                      <w:rFonts w:ascii="Cambria Math" w:eastAsia="SimSun" w:hAnsi="Cambria Math" w:cs="Arial"/>
                      <w:sz w:val="16"/>
                      <w:szCs w:val="16"/>
                    </w:rPr>
                    <m:t>N</m:t>
                  </m:r>
                </m:e>
                <m:sub>
                  <m:r>
                    <w:rPr>
                      <w:rFonts w:ascii="Cambria Math" w:eastAsia="SimSun" w:hAnsi="Cambria Math" w:cs="Arial"/>
                      <w:sz w:val="16"/>
                      <w:szCs w:val="16"/>
                    </w:rPr>
                    <m:t>0</m:t>
                  </m:r>
                </m:sub>
              </m:sSub>
            </m:sub>
          </m:sSub>
          <m:r>
            <w:rPr>
              <w:rFonts w:ascii="Cambria Math" w:eastAsia="SimSun" w:hAnsi="Cambria Math" w:cs="Arial"/>
              <w:sz w:val="16"/>
              <w:szCs w:val="16"/>
            </w:rPr>
            <m:t>]</m:t>
          </m:r>
        </m:oMath>
      </m:oMathPara>
    </w:p>
    <w:p w14:paraId="6AEB3F0A" w14:textId="58FEF392" w:rsidR="00A41C1A" w:rsidRPr="009537ED" w:rsidRDefault="005A18DC" w:rsidP="00141B77">
      <w:pPr>
        <w:ind w:left="567"/>
        <w:rPr>
          <w:rFonts w:ascii="Arial" w:hAnsi="Arial" w:cs="Arial"/>
          <w:i/>
          <w:iCs/>
          <w:sz w:val="16"/>
          <w:szCs w:val="16"/>
          <w:lang w:eastAsia="zh-CN"/>
        </w:rPr>
      </w:pPr>
      <m:oMathPara>
        <m:oMath>
          <m:sSub>
            <m:sSubPr>
              <m:ctrlPr>
                <w:rPr>
                  <w:rFonts w:ascii="Cambria Math" w:eastAsia="SimSun" w:hAnsi="Cambria Math" w:cs="Arial"/>
                  <w:i/>
                  <w:sz w:val="16"/>
                  <w:szCs w:val="16"/>
                </w:rPr>
              </m:ctrlPr>
            </m:sSubPr>
            <m:e>
              <m:r>
                <w:rPr>
                  <w:rFonts w:ascii="Cambria Math" w:eastAsia="SimSun" w:hAnsi="Cambria Math" w:cs="Arial"/>
                  <w:sz w:val="16"/>
                  <w:szCs w:val="16"/>
                </w:rPr>
                <m:t>d</m:t>
              </m:r>
            </m:e>
            <m:sub>
              <m:r>
                <w:rPr>
                  <w:rFonts w:ascii="Cambria Math" w:eastAsia="SimSun" w:hAnsi="Cambria Math" w:cs="Arial"/>
                  <w:sz w:val="16"/>
                  <w:szCs w:val="16"/>
                </w:rPr>
                <m:t>j</m:t>
              </m:r>
            </m:sub>
          </m:sSub>
          <m:r>
            <w:rPr>
              <w:rFonts w:ascii="Cambria Math" w:eastAsia="SimSun" w:hAnsi="Cambria Math" w:cs="Arial"/>
              <w:sz w:val="16"/>
              <w:szCs w:val="16"/>
            </w:rPr>
            <m:t>∈{0, 1,…,</m:t>
          </m:r>
          <m:sSub>
            <m:sSubPr>
              <m:ctrlPr>
                <w:rPr>
                  <w:rFonts w:ascii="Cambria Math" w:eastAsia="SimSun" w:hAnsi="Cambria Math" w:cs="Arial"/>
                  <w:i/>
                  <w:sz w:val="16"/>
                  <w:szCs w:val="16"/>
                </w:rPr>
              </m:ctrlPr>
            </m:sSubPr>
            <m:e>
              <m:r>
                <w:rPr>
                  <w:rFonts w:ascii="Cambria Math" w:eastAsia="SimSun" w:hAnsi="Cambria Math" w:cs="Arial"/>
                  <w:sz w:val="16"/>
                  <w:szCs w:val="16"/>
                </w:rPr>
                <m:t>N</m:t>
              </m:r>
            </m:e>
            <m:sub>
              <m:r>
                <w:rPr>
                  <w:rFonts w:ascii="Cambria Math" w:eastAsia="SimSun" w:hAnsi="Cambria Math" w:cs="Arial"/>
                  <w:sz w:val="16"/>
                  <w:szCs w:val="16"/>
                </w:rPr>
                <m:t>3</m:t>
              </m:r>
            </m:sub>
          </m:sSub>
          <m:sSub>
            <m:sSubPr>
              <m:ctrlPr>
                <w:rPr>
                  <w:rFonts w:ascii="Cambria Math" w:eastAsia="SimSun" w:hAnsi="Cambria Math" w:cs="Arial"/>
                  <w:i/>
                  <w:sz w:val="16"/>
                  <w:szCs w:val="16"/>
                </w:rPr>
              </m:ctrlPr>
            </m:sSubPr>
            <m:e>
              <m:r>
                <w:rPr>
                  <w:rFonts w:ascii="Cambria Math" w:eastAsia="SimSun" w:hAnsi="Cambria Math" w:cs="Arial"/>
                  <w:sz w:val="16"/>
                  <w:szCs w:val="16"/>
                </w:rPr>
                <m:t>O</m:t>
              </m:r>
            </m:e>
            <m:sub>
              <m:r>
                <w:rPr>
                  <w:rFonts w:ascii="Cambria Math" w:eastAsia="SimSun" w:hAnsi="Cambria Math" w:cs="Arial"/>
                  <w:sz w:val="16"/>
                  <w:szCs w:val="16"/>
                </w:rPr>
                <m:t>3</m:t>
              </m:r>
            </m:sub>
          </m:sSub>
          <m:r>
            <w:rPr>
              <w:rFonts w:ascii="Cambria Math" w:eastAsia="SimSun" w:hAnsi="Cambria Math" w:cs="Arial"/>
              <w:sz w:val="16"/>
              <w:szCs w:val="16"/>
            </w:rPr>
            <m:t>-1}</m:t>
          </m:r>
        </m:oMath>
      </m:oMathPara>
    </w:p>
    <w:p w14:paraId="5DDE45D6" w14:textId="77777777" w:rsidR="00A41C1A" w:rsidRPr="009537ED" w:rsidRDefault="00A41C1A" w:rsidP="00141B77">
      <w:pPr>
        <w:ind w:left="567"/>
        <w:rPr>
          <w:rFonts w:ascii="Arial" w:hAnsi="Arial" w:cs="Arial"/>
          <w:i/>
          <w:iCs/>
          <w:color w:val="FF0000"/>
          <w:sz w:val="16"/>
          <w:szCs w:val="16"/>
          <w:lang w:eastAsia="zh-CN"/>
        </w:rPr>
      </w:pPr>
      <w:r w:rsidRPr="009537ED">
        <w:rPr>
          <w:rFonts w:ascii="Arial" w:hAnsi="Arial" w:cs="Arial"/>
          <w:i/>
          <w:iCs/>
          <w:color w:val="FF0000"/>
          <w:sz w:val="16"/>
          <w:szCs w:val="16"/>
          <w:lang w:eastAsia="zh-CN"/>
        </w:rPr>
        <w:t>--- unrelated text omitted ---</w:t>
      </w:r>
    </w:p>
    <w:p w14:paraId="57059A92" w14:textId="0D619040" w:rsidR="007D1F5A" w:rsidRPr="009537ED" w:rsidRDefault="007D1F5A" w:rsidP="007D1F5A">
      <w:pPr>
        <w:snapToGrid w:val="0"/>
        <w:rPr>
          <w:rFonts w:ascii="Times New Roman" w:hAnsi="Times New Roman"/>
          <w:color w:val="FF0000"/>
          <w:szCs w:val="20"/>
        </w:rPr>
      </w:pPr>
      <w:r w:rsidRPr="009537ED">
        <w:rPr>
          <w:rFonts w:ascii="Times New Roman" w:hAnsi="Times New Roman"/>
          <w:color w:val="FF0000"/>
          <w:szCs w:val="20"/>
        </w:rPr>
        <w:t>=============End of Text Proposal to TS 38.214=============</w:t>
      </w:r>
    </w:p>
    <w:p w14:paraId="6FA01135" w14:textId="77777777" w:rsidR="00A41C1A" w:rsidRPr="009537ED" w:rsidRDefault="00A41C1A" w:rsidP="00141B77">
      <w:pPr>
        <w:snapToGrid w:val="0"/>
        <w:rPr>
          <w:rFonts w:ascii="Times New Roman" w:hAnsi="Times New Roman"/>
          <w:bCs/>
          <w:szCs w:val="20"/>
        </w:rPr>
      </w:pPr>
    </w:p>
    <w:p w14:paraId="1EDA2965" w14:textId="77777777" w:rsidR="007D1F5A" w:rsidRPr="009537ED" w:rsidRDefault="007D1F5A" w:rsidP="007D1F5A">
      <w:pPr>
        <w:rPr>
          <w:lang w:eastAsia="x-none"/>
        </w:rPr>
      </w:pPr>
      <w:r w:rsidRPr="009537ED">
        <w:rPr>
          <w:highlight w:val="green"/>
          <w:lang w:eastAsia="x-none"/>
        </w:rPr>
        <w:t>Agreement</w:t>
      </w:r>
    </w:p>
    <w:p w14:paraId="25B25834" w14:textId="77777777" w:rsidR="00A41C1A" w:rsidRPr="009537ED" w:rsidRDefault="00A41C1A" w:rsidP="00141B77">
      <w:pPr>
        <w:snapToGrid w:val="0"/>
        <w:rPr>
          <w:rFonts w:ascii="Times New Roman" w:hAnsi="Times New Roman"/>
          <w:b/>
          <w:szCs w:val="20"/>
          <w:u w:val="single"/>
        </w:rPr>
      </w:pPr>
      <w:r w:rsidRPr="009537ED">
        <w:rPr>
          <w:rFonts w:ascii="Times New Roman" w:hAnsi="Times New Roman"/>
          <w:szCs w:val="20"/>
        </w:rPr>
        <w:t>For the Rel-18 Type-II codebook refinement for CJT mTRP, adopt the following TP</w:t>
      </w:r>
      <w:r w:rsidRPr="009537ED">
        <w:rPr>
          <w:rFonts w:ascii="Times New Roman" w:eastAsia="Microsoft YaHei" w:hAnsi="Times New Roman"/>
          <w:iCs/>
          <w:szCs w:val="20"/>
        </w:rPr>
        <w:t xml:space="preserve"> for TS 38.214 section 5.2.3:</w:t>
      </w:r>
    </w:p>
    <w:p w14:paraId="7AF29F35" w14:textId="77777777" w:rsidR="007D1F5A" w:rsidRPr="009537ED" w:rsidRDefault="007D1F5A" w:rsidP="007D1F5A">
      <w:pPr>
        <w:snapToGrid w:val="0"/>
        <w:rPr>
          <w:rFonts w:ascii="Times New Roman" w:hAnsi="Times New Roman"/>
          <w:color w:val="FF0000"/>
          <w:szCs w:val="20"/>
        </w:rPr>
      </w:pPr>
      <w:r w:rsidRPr="009537ED">
        <w:rPr>
          <w:rFonts w:ascii="Times New Roman" w:hAnsi="Times New Roman"/>
          <w:color w:val="FF0000"/>
          <w:szCs w:val="20"/>
        </w:rPr>
        <w:t>=============Start of Text Proposal to TS 38.214=============</w:t>
      </w:r>
    </w:p>
    <w:p w14:paraId="12E2F09F" w14:textId="045DCF70" w:rsidR="00A41C1A" w:rsidRPr="009537ED" w:rsidRDefault="00A41C1A" w:rsidP="00141B77">
      <w:pPr>
        <w:ind w:left="568" w:hanging="284"/>
        <w:rPr>
          <w:rFonts w:ascii="Arial" w:hAnsi="Arial" w:cs="Arial"/>
          <w:sz w:val="16"/>
          <w:szCs w:val="16"/>
        </w:rPr>
      </w:pPr>
      <w:r w:rsidRPr="009537ED">
        <w:rPr>
          <w:rFonts w:ascii="Arial" w:hAnsi="Arial" w:cs="Arial"/>
          <w:sz w:val="16"/>
          <w:szCs w:val="16"/>
        </w:rPr>
        <w:t xml:space="preserve">For Enhanced Type II for CJT reports, for a given CSI report </w:t>
      </w:r>
      <m:oMath>
        <m:r>
          <w:rPr>
            <w:rFonts w:ascii="Cambria Math" w:hAnsi="Cambria Math" w:cs="Arial"/>
            <w:sz w:val="16"/>
            <w:szCs w:val="16"/>
          </w:rPr>
          <m:t>n</m:t>
        </m:r>
      </m:oMath>
      <w:r w:rsidRPr="009537ED">
        <w:rPr>
          <w:rFonts w:ascii="Arial" w:hAnsi="Arial" w:cs="Arial"/>
          <w:sz w:val="16"/>
          <w:szCs w:val="16"/>
        </w:rPr>
        <w:t xml:space="preserve">, each reported element of </w:t>
      </w:r>
      <m:oMath>
        <m:sSub>
          <m:sSubPr>
            <m:ctrlPr>
              <w:rPr>
                <w:rFonts w:ascii="Cambria Math" w:hAnsi="Cambria Math" w:cs="Arial"/>
                <w:i/>
                <w:sz w:val="16"/>
                <w:szCs w:val="16"/>
              </w:rPr>
            </m:ctrlPr>
          </m:sSubPr>
          <m:e>
            <m:r>
              <w:rPr>
                <w:rFonts w:ascii="Cambria Math" w:hAnsi="Cambria Math" w:cs="Arial"/>
                <w:sz w:val="16"/>
                <w:szCs w:val="16"/>
              </w:rPr>
              <m:t>i</m:t>
            </m:r>
          </m:e>
          <m:sub>
            <m:r>
              <w:rPr>
                <w:rFonts w:ascii="Cambria Math" w:hAnsi="Cambria Math" w:cs="Arial"/>
                <w:sz w:val="16"/>
                <w:szCs w:val="16"/>
              </w:rPr>
              <m:t>2,4,l</m:t>
            </m:r>
          </m:sub>
        </m:sSub>
      </m:oMath>
      <w:r w:rsidRPr="009537ED">
        <w:rPr>
          <w:rFonts w:ascii="Arial" w:hAnsi="Arial" w:cs="Arial"/>
          <w:sz w:val="16"/>
          <w:szCs w:val="16"/>
        </w:rPr>
        <w:t xml:space="preserve"> </w:t>
      </w:r>
      <m:oMath>
        <m:sSub>
          <m:sSubPr>
            <m:ctrlPr>
              <w:rPr>
                <w:rFonts w:ascii="Cambria Math" w:hAnsi="Cambria Math" w:cs="Arial"/>
                <w:i/>
                <w:sz w:val="16"/>
                <w:szCs w:val="16"/>
              </w:rPr>
            </m:ctrlPr>
          </m:sSubPr>
          <m:e>
            <m:r>
              <w:rPr>
                <w:rFonts w:ascii="Cambria Math" w:hAnsi="Cambria Math" w:cs="Arial"/>
                <w:sz w:val="16"/>
                <w:szCs w:val="16"/>
              </w:rPr>
              <m:t>i</m:t>
            </m:r>
          </m:e>
          <m:sub>
            <m:r>
              <w:rPr>
                <w:rFonts w:ascii="Cambria Math" w:hAnsi="Cambria Math" w:cs="Arial"/>
                <w:sz w:val="16"/>
                <w:szCs w:val="16"/>
              </w:rPr>
              <m:t>2,5,l</m:t>
            </m:r>
          </m:sub>
        </m:sSub>
        <m:r>
          <w:rPr>
            <w:rFonts w:ascii="Cambria Math" w:hAnsi="Cambria Math" w:cs="Arial"/>
            <w:sz w:val="16"/>
            <w:szCs w:val="16"/>
          </w:rPr>
          <m:t xml:space="preserve"> </m:t>
        </m:r>
      </m:oMath>
      <w:r w:rsidRPr="009537ED">
        <w:rPr>
          <w:rFonts w:ascii="Arial" w:hAnsi="Arial" w:cs="Arial"/>
          <w:sz w:val="16"/>
          <w:szCs w:val="16"/>
        </w:rPr>
        <w:t xml:space="preserve">and </w:t>
      </w:r>
      <m:oMath>
        <m:sSub>
          <m:sSubPr>
            <m:ctrlPr>
              <w:rPr>
                <w:rFonts w:ascii="Cambria Math" w:hAnsi="Cambria Math" w:cs="Arial"/>
                <w:i/>
                <w:sz w:val="16"/>
                <w:szCs w:val="16"/>
              </w:rPr>
            </m:ctrlPr>
          </m:sSubPr>
          <m:e>
            <m:r>
              <w:rPr>
                <w:rFonts w:ascii="Cambria Math" w:hAnsi="Cambria Math" w:cs="Arial"/>
                <w:sz w:val="16"/>
                <w:szCs w:val="16"/>
              </w:rPr>
              <m:t>i</m:t>
            </m:r>
          </m:e>
          <m:sub>
            <m:r>
              <w:rPr>
                <w:rFonts w:ascii="Cambria Math" w:hAnsi="Cambria Math" w:cs="Arial"/>
                <w:sz w:val="16"/>
                <w:szCs w:val="16"/>
              </w:rPr>
              <m:t>1,7,l</m:t>
            </m:r>
          </m:sub>
        </m:sSub>
      </m:oMath>
      <w:r w:rsidRPr="009537ED">
        <w:rPr>
          <w:rFonts w:ascii="Arial" w:hAnsi="Arial" w:cs="Arial"/>
          <w:sz w:val="16"/>
          <w:szCs w:val="16"/>
        </w:rPr>
        <w:t xml:space="preserve">, indexed by </w:t>
      </w:r>
      <m:oMath>
        <m:r>
          <w:rPr>
            <w:rFonts w:ascii="Cambria Math" w:hAnsi="Cambria Math" w:cs="Arial"/>
            <w:sz w:val="16"/>
            <w:szCs w:val="16"/>
          </w:rPr>
          <m:t>l,</m:t>
        </m:r>
        <m:sSub>
          <m:sSubPr>
            <m:ctrlPr>
              <w:rPr>
                <w:rFonts w:ascii="Cambria Math" w:hAnsi="Cambria Math" w:cs="Arial"/>
                <w:i/>
                <w:sz w:val="16"/>
                <w:szCs w:val="16"/>
              </w:rPr>
            </m:ctrlPr>
          </m:sSubPr>
          <m:e>
            <m:r>
              <w:rPr>
                <w:rFonts w:ascii="Cambria Math" w:hAnsi="Cambria Math" w:cs="Arial"/>
                <w:sz w:val="16"/>
                <w:szCs w:val="16"/>
              </w:rPr>
              <m:t>i</m:t>
            </m:r>
          </m:e>
          <m:sub>
            <m:r>
              <w:rPr>
                <w:rFonts w:ascii="Cambria Math" w:hAnsi="Cambria Math" w:cs="Arial"/>
                <w:sz w:val="16"/>
                <w:szCs w:val="16"/>
              </w:rPr>
              <m:t>j</m:t>
            </m:r>
          </m:sub>
        </m:sSub>
      </m:oMath>
      <w:r w:rsidRPr="009537ED">
        <w:rPr>
          <w:rFonts w:ascii="Arial" w:hAnsi="Arial" w:cs="Arial"/>
          <w:sz w:val="16"/>
          <w:szCs w:val="16"/>
        </w:rPr>
        <w:t xml:space="preserve">, </w:t>
      </w:r>
      <m:oMath>
        <m:r>
          <w:rPr>
            <w:rFonts w:ascii="Cambria Math" w:hAnsi="Cambria Math" w:cs="Arial"/>
            <w:sz w:val="16"/>
            <w:szCs w:val="16"/>
          </w:rPr>
          <m:t>f</m:t>
        </m:r>
      </m:oMath>
      <w:r w:rsidRPr="009537ED">
        <w:rPr>
          <w:rFonts w:ascii="Arial" w:hAnsi="Arial" w:cs="Arial"/>
          <w:sz w:val="16"/>
          <w:szCs w:val="16"/>
        </w:rPr>
        <w:t xml:space="preserve"> and </w:t>
      </w:r>
      <m:oMath>
        <m:r>
          <w:rPr>
            <w:rFonts w:ascii="Cambria Math" w:hAnsi="Cambria Math" w:cs="Arial"/>
            <w:sz w:val="16"/>
            <w:szCs w:val="16"/>
          </w:rPr>
          <m:t>j</m:t>
        </m:r>
      </m:oMath>
      <w:r w:rsidRPr="009537ED">
        <w:rPr>
          <w:rFonts w:ascii="Arial" w:hAnsi="Arial" w:cs="Arial"/>
          <w:sz w:val="16"/>
          <w:szCs w:val="16"/>
        </w:rPr>
        <w:t xml:space="preserve">, is associated with a priority value </w:t>
      </w:r>
      <m:oMath>
        <m:r>
          <m:rPr>
            <m:sty m:val="p"/>
          </m:rPr>
          <w:rPr>
            <w:rFonts w:ascii="Cambria Math" w:hAnsi="Cambria Math" w:cs="Arial"/>
            <w:sz w:val="16"/>
            <w:szCs w:val="16"/>
          </w:rPr>
          <m:t>Pri</m:t>
        </m:r>
        <m:d>
          <m:dPr>
            <m:ctrlPr>
              <w:rPr>
                <w:rFonts w:ascii="Cambria Math" w:hAnsi="Cambria Math" w:cs="Arial"/>
                <w:i/>
                <w:sz w:val="16"/>
                <w:szCs w:val="16"/>
              </w:rPr>
            </m:ctrlPr>
          </m:dPr>
          <m:e>
            <m:r>
              <w:rPr>
                <w:rFonts w:ascii="Cambria Math" w:hAnsi="Cambria Math" w:cs="Arial"/>
                <w:sz w:val="16"/>
                <w:szCs w:val="16"/>
              </w:rPr>
              <m:t>l,</m:t>
            </m:r>
            <m:sSub>
              <m:sSubPr>
                <m:ctrlPr>
                  <w:rPr>
                    <w:rFonts w:ascii="Cambria Math" w:hAnsi="Cambria Math" w:cs="Arial"/>
                    <w:i/>
                    <w:sz w:val="16"/>
                    <w:szCs w:val="16"/>
                  </w:rPr>
                </m:ctrlPr>
              </m:sSubPr>
              <m:e>
                <m:r>
                  <w:rPr>
                    <w:rFonts w:ascii="Cambria Math" w:hAnsi="Cambria Math" w:cs="Arial"/>
                    <w:sz w:val="16"/>
                    <w:szCs w:val="16"/>
                  </w:rPr>
                  <m:t>i</m:t>
                </m:r>
              </m:e>
              <m:sub>
                <m:r>
                  <w:rPr>
                    <w:rFonts w:ascii="Cambria Math" w:hAnsi="Cambria Math" w:cs="Arial"/>
                    <w:sz w:val="16"/>
                    <w:szCs w:val="16"/>
                  </w:rPr>
                  <m:t>j</m:t>
                </m:r>
              </m:sub>
            </m:sSub>
            <m:r>
              <w:rPr>
                <w:rFonts w:ascii="Cambria Math" w:hAnsi="Cambria Math" w:cs="Arial"/>
                <w:sz w:val="16"/>
                <w:szCs w:val="16"/>
              </w:rPr>
              <m:t>,f,j</m:t>
            </m:r>
          </m:e>
        </m:d>
        <m:r>
          <w:rPr>
            <w:rFonts w:ascii="Cambria Math" w:hAnsi="Cambria Math" w:cs="Arial"/>
            <w:sz w:val="16"/>
            <w:szCs w:val="16"/>
          </w:rPr>
          <m:t>=2⋅</m:t>
        </m:r>
        <m:nary>
          <m:naryPr>
            <m:chr m:val="∑"/>
            <m:ctrlPr>
              <w:rPr>
                <w:rFonts w:ascii="Cambria Math" w:hAnsi="Cambria Math" w:cs="Arial"/>
                <w:i/>
                <w:noProof/>
                <w:sz w:val="16"/>
                <w:szCs w:val="16"/>
              </w:rPr>
            </m:ctrlPr>
          </m:naryPr>
          <m:sub>
            <m:r>
              <w:rPr>
                <w:rFonts w:ascii="Cambria Math" w:hAnsi="Cambria Math" w:cs="Arial"/>
                <w:noProof/>
                <w:sz w:val="16"/>
                <w:szCs w:val="16"/>
              </w:rPr>
              <m:t>k=1</m:t>
            </m:r>
          </m:sub>
          <m:sup>
            <m:sSub>
              <m:sSubPr>
                <m:ctrlPr>
                  <w:rPr>
                    <w:rFonts w:ascii="Cambria Math" w:eastAsia="Malgun Gothic" w:hAnsi="Cambria Math" w:cs="Arial"/>
                    <w:color w:val="FF0000"/>
                    <w:sz w:val="16"/>
                    <w:szCs w:val="16"/>
                    <w:lang w:eastAsia="zh-CN"/>
                  </w:rPr>
                </m:ctrlPr>
              </m:sSubPr>
              <m:e>
                <m:r>
                  <w:rPr>
                    <w:rFonts w:ascii="Cambria Math" w:eastAsia="Malgun Gothic" w:hAnsi="Cambria Math" w:cs="Arial"/>
                    <w:strike/>
                    <w:color w:val="FF0000"/>
                    <w:sz w:val="16"/>
                    <w:szCs w:val="16"/>
                    <w:lang w:eastAsia="zh-CN"/>
                  </w:rPr>
                  <m:t>N</m:t>
                </m:r>
                <m:r>
                  <w:rPr>
                    <w:rFonts w:ascii="Cambria Math" w:eastAsia="Malgun Gothic" w:hAnsi="Cambria Math" w:cs="Arial"/>
                    <w:color w:val="FF0000"/>
                    <w:sz w:val="16"/>
                    <w:szCs w:val="16"/>
                    <w:lang w:eastAsia="zh-CN"/>
                  </w:rPr>
                  <m:t>N</m:t>
                </m:r>
              </m:e>
              <m:sub>
                <m:r>
                  <m:rPr>
                    <m:sty m:val="p"/>
                  </m:rPr>
                  <w:rPr>
                    <w:rFonts w:ascii="Cambria Math" w:eastAsia="Malgun Gothic" w:hAnsi="Cambria Math" w:cs="Arial"/>
                    <w:color w:val="FF0000"/>
                    <w:sz w:val="16"/>
                    <w:szCs w:val="16"/>
                    <w:lang w:eastAsia="zh-CN"/>
                  </w:rPr>
                  <m:t>0</m:t>
                </m:r>
              </m:sub>
            </m:sSub>
          </m:sup>
          <m:e>
            <m:sSub>
              <m:sSubPr>
                <m:ctrlPr>
                  <w:rPr>
                    <w:rFonts w:ascii="Cambria Math" w:hAnsi="Cambria Math" w:cs="Arial"/>
                    <w:i/>
                    <w:noProof/>
                    <w:sz w:val="16"/>
                    <w:szCs w:val="16"/>
                  </w:rPr>
                </m:ctrlPr>
              </m:sSubPr>
              <m:e>
                <m:r>
                  <w:rPr>
                    <w:rFonts w:ascii="Cambria Math" w:hAnsi="Cambria Math" w:cs="Arial"/>
                    <w:noProof/>
                    <w:sz w:val="16"/>
                    <w:szCs w:val="16"/>
                  </w:rPr>
                  <m:t>L</m:t>
                </m:r>
              </m:e>
              <m:sub>
                <m:sSub>
                  <m:sSubPr>
                    <m:ctrlPr>
                      <w:rPr>
                        <w:rFonts w:ascii="Cambria Math" w:hAnsi="Cambria Math" w:cs="Arial"/>
                        <w:i/>
                        <w:noProof/>
                        <w:sz w:val="16"/>
                        <w:szCs w:val="16"/>
                      </w:rPr>
                    </m:ctrlPr>
                  </m:sSubPr>
                  <m:e>
                    <m:r>
                      <w:rPr>
                        <w:rFonts w:ascii="Cambria Math" w:hAnsi="Cambria Math" w:cs="Arial"/>
                        <w:noProof/>
                        <w:sz w:val="16"/>
                        <w:szCs w:val="16"/>
                      </w:rPr>
                      <m:t>σ</m:t>
                    </m:r>
                  </m:e>
                  <m:sub>
                    <m:r>
                      <w:rPr>
                        <w:rFonts w:ascii="Cambria Math" w:hAnsi="Cambria Math" w:cs="Arial"/>
                        <w:noProof/>
                        <w:sz w:val="16"/>
                        <w:szCs w:val="16"/>
                      </w:rPr>
                      <m:t>k</m:t>
                    </m:r>
                  </m:sub>
                </m:sSub>
              </m:sub>
            </m:sSub>
          </m:e>
        </m:nary>
        <m:r>
          <w:rPr>
            <w:rFonts w:ascii="Cambria Math" w:hAnsi="Cambria Math" w:cs="Arial"/>
            <w:sz w:val="16"/>
            <w:szCs w:val="16"/>
          </w:rPr>
          <m:t>⋅υ⋅π</m:t>
        </m:r>
        <m:d>
          <m:dPr>
            <m:ctrlPr>
              <w:rPr>
                <w:rFonts w:ascii="Cambria Math" w:hAnsi="Cambria Math" w:cs="Arial"/>
                <w:i/>
                <w:sz w:val="16"/>
                <w:szCs w:val="16"/>
              </w:rPr>
            </m:ctrlPr>
          </m:dPr>
          <m:e>
            <m:r>
              <w:rPr>
                <w:rFonts w:ascii="Cambria Math" w:hAnsi="Cambria Math" w:cs="Arial"/>
                <w:sz w:val="16"/>
                <w:szCs w:val="16"/>
              </w:rPr>
              <m:t>f</m:t>
            </m:r>
          </m:e>
        </m:d>
        <m:r>
          <w:rPr>
            <w:rFonts w:ascii="Cambria Math" w:hAnsi="Cambria Math" w:cs="Arial"/>
            <w:sz w:val="16"/>
            <w:szCs w:val="16"/>
          </w:rPr>
          <m:t>+υ⋅</m:t>
        </m:r>
        <m:d>
          <m:dPr>
            <m:ctrlPr>
              <w:rPr>
                <w:rFonts w:ascii="Cambria Math" w:hAnsi="Cambria Math" w:cs="Arial"/>
                <w:i/>
                <w:sz w:val="16"/>
                <w:szCs w:val="16"/>
              </w:rPr>
            </m:ctrlPr>
          </m:dPr>
          <m:e>
            <m:r>
              <w:rPr>
                <w:rFonts w:ascii="Cambria Math" w:hAnsi="Cambria Math" w:cs="Arial"/>
                <w:noProof/>
                <w:sz w:val="16"/>
                <w:szCs w:val="16"/>
              </w:rPr>
              <m:t>2</m:t>
            </m:r>
            <m:nary>
              <m:naryPr>
                <m:chr m:val="∑"/>
                <m:ctrlPr>
                  <w:rPr>
                    <w:rFonts w:ascii="Cambria Math" w:hAnsi="Cambria Math" w:cs="Arial"/>
                    <w:i/>
                    <w:noProof/>
                    <w:sz w:val="16"/>
                    <w:szCs w:val="16"/>
                  </w:rPr>
                </m:ctrlPr>
              </m:naryPr>
              <m:sub>
                <m:r>
                  <w:rPr>
                    <w:rFonts w:ascii="Cambria Math" w:hAnsi="Cambria Math" w:cs="Arial"/>
                    <w:noProof/>
                    <w:sz w:val="16"/>
                    <w:szCs w:val="16"/>
                  </w:rPr>
                  <m:t>k=1</m:t>
                </m:r>
              </m:sub>
              <m:sup>
                <m:r>
                  <w:rPr>
                    <w:rFonts w:ascii="Cambria Math" w:hAnsi="Cambria Math" w:cs="Arial"/>
                    <w:noProof/>
                    <w:sz w:val="16"/>
                    <w:szCs w:val="16"/>
                  </w:rPr>
                  <m:t>j-1</m:t>
                </m:r>
              </m:sup>
              <m:e>
                <m:sSub>
                  <m:sSubPr>
                    <m:ctrlPr>
                      <w:rPr>
                        <w:rFonts w:ascii="Cambria Math" w:hAnsi="Cambria Math" w:cs="Arial"/>
                        <w:i/>
                        <w:noProof/>
                        <w:sz w:val="16"/>
                        <w:szCs w:val="16"/>
                      </w:rPr>
                    </m:ctrlPr>
                  </m:sSubPr>
                  <m:e>
                    <m:r>
                      <w:rPr>
                        <w:rFonts w:ascii="Cambria Math" w:hAnsi="Cambria Math" w:cs="Arial"/>
                        <w:noProof/>
                        <w:sz w:val="16"/>
                        <w:szCs w:val="16"/>
                      </w:rPr>
                      <m:t>L</m:t>
                    </m:r>
                  </m:e>
                  <m:sub>
                    <m:sSub>
                      <m:sSubPr>
                        <m:ctrlPr>
                          <w:rPr>
                            <w:rFonts w:ascii="Cambria Math" w:hAnsi="Cambria Math" w:cs="Arial"/>
                            <w:i/>
                            <w:noProof/>
                            <w:sz w:val="16"/>
                            <w:szCs w:val="16"/>
                          </w:rPr>
                        </m:ctrlPr>
                      </m:sSubPr>
                      <m:e>
                        <m:r>
                          <w:rPr>
                            <w:rFonts w:ascii="Cambria Math" w:hAnsi="Cambria Math" w:cs="Arial"/>
                            <w:noProof/>
                            <w:sz w:val="16"/>
                            <w:szCs w:val="16"/>
                          </w:rPr>
                          <m:t>σ</m:t>
                        </m:r>
                      </m:e>
                      <m:sub>
                        <m:r>
                          <w:rPr>
                            <w:rFonts w:ascii="Cambria Math" w:hAnsi="Cambria Math" w:cs="Arial"/>
                            <w:noProof/>
                            <w:sz w:val="16"/>
                            <w:szCs w:val="16"/>
                          </w:rPr>
                          <m:t>k</m:t>
                        </m:r>
                      </m:sub>
                    </m:sSub>
                  </m:sub>
                </m:sSub>
              </m:e>
            </m:nary>
            <m:r>
              <w:rPr>
                <w:rFonts w:ascii="Cambria Math" w:hAnsi="Cambria Math" w:cs="Arial"/>
                <w:noProof/>
                <w:sz w:val="16"/>
                <w:szCs w:val="16"/>
              </w:rPr>
              <m:t>+</m:t>
            </m:r>
            <m:sSub>
              <m:sSubPr>
                <m:ctrlPr>
                  <w:rPr>
                    <w:rFonts w:ascii="Cambria Math" w:hAnsi="Cambria Math" w:cs="Arial"/>
                    <w:i/>
                    <w:noProof/>
                    <w:sz w:val="16"/>
                    <w:szCs w:val="16"/>
                  </w:rPr>
                </m:ctrlPr>
              </m:sSubPr>
              <m:e>
                <m:r>
                  <w:rPr>
                    <w:rFonts w:ascii="Cambria Math" w:hAnsi="Cambria Math" w:cs="Arial"/>
                    <w:noProof/>
                    <w:sz w:val="16"/>
                    <w:szCs w:val="16"/>
                  </w:rPr>
                  <m:t>i</m:t>
                </m:r>
              </m:e>
              <m:sub>
                <m:r>
                  <w:rPr>
                    <w:rFonts w:ascii="Cambria Math" w:hAnsi="Cambria Math" w:cs="Arial"/>
                    <w:noProof/>
                    <w:sz w:val="16"/>
                    <w:szCs w:val="16"/>
                  </w:rPr>
                  <m:t>j</m:t>
                </m:r>
              </m:sub>
            </m:sSub>
          </m:e>
        </m:d>
        <m:r>
          <w:rPr>
            <w:rFonts w:ascii="Cambria Math" w:hAnsi="Cambria Math" w:cs="Arial"/>
            <w:sz w:val="16"/>
            <w:szCs w:val="16"/>
          </w:rPr>
          <m:t>+l</m:t>
        </m:r>
      </m:oMath>
      <w:r w:rsidRPr="009537ED">
        <w:rPr>
          <w:rFonts w:ascii="Arial" w:hAnsi="Arial" w:cs="Arial"/>
          <w:sz w:val="16"/>
          <w:szCs w:val="16"/>
        </w:rPr>
        <w:t xml:space="preserve">, with </w:t>
      </w:r>
      <m:oMath>
        <m:r>
          <w:rPr>
            <w:rFonts w:ascii="Cambria Math" w:hAnsi="Cambria Math" w:cs="Arial"/>
            <w:sz w:val="16"/>
            <w:szCs w:val="16"/>
          </w:rPr>
          <m:t>π</m:t>
        </m:r>
        <m:r>
          <m:rPr>
            <m:sty m:val="p"/>
          </m:rPr>
          <w:rPr>
            <w:rFonts w:ascii="Cambria Math" w:hAnsi="Cambria Math" w:cs="Arial"/>
            <w:sz w:val="16"/>
            <w:szCs w:val="16"/>
          </w:rPr>
          <m:t>(</m:t>
        </m:r>
        <m:r>
          <w:rPr>
            <w:rFonts w:ascii="Cambria Math" w:hAnsi="Cambria Math" w:cs="Arial"/>
            <w:sz w:val="16"/>
            <w:szCs w:val="16"/>
          </w:rPr>
          <m:t>f</m:t>
        </m:r>
        <m:r>
          <m:rPr>
            <m:sty m:val="p"/>
          </m:rPr>
          <w:rPr>
            <w:rFonts w:ascii="Cambria Math" w:hAnsi="Cambria Math" w:cs="Arial"/>
            <w:sz w:val="16"/>
            <w:szCs w:val="16"/>
          </w:rPr>
          <m:t>)=min⁡(2</m:t>
        </m:r>
        <m:r>
          <w:rPr>
            <w:rFonts w:ascii="Cambria Math" w:hAnsi="Cambria Math" w:cs="Arial"/>
            <w:sz w:val="16"/>
            <w:szCs w:val="16"/>
          </w:rPr>
          <m:t>⋅</m:t>
        </m:r>
        <m:sSubSup>
          <m:sSubSupPr>
            <m:ctrlPr>
              <w:rPr>
                <w:rFonts w:ascii="Cambria Math" w:hAnsi="Cambria Math" w:cs="Arial"/>
                <w:i/>
                <w:sz w:val="16"/>
                <w:szCs w:val="16"/>
              </w:rPr>
            </m:ctrlPr>
          </m:sSubSupPr>
          <m:e>
            <m:r>
              <w:rPr>
                <w:rFonts w:ascii="Cambria Math" w:hAnsi="Cambria Math" w:cs="Arial"/>
                <w:sz w:val="16"/>
                <w:szCs w:val="16"/>
              </w:rPr>
              <m:t>n</m:t>
            </m:r>
          </m:e>
          <m:sub>
            <m:r>
              <w:rPr>
                <w:rFonts w:ascii="Cambria Math" w:hAnsi="Cambria Math" w:cs="Arial"/>
                <w:sz w:val="16"/>
                <w:szCs w:val="16"/>
              </w:rPr>
              <m:t>3,l</m:t>
            </m:r>
          </m:sub>
          <m:sup>
            <m:d>
              <m:dPr>
                <m:ctrlPr>
                  <w:rPr>
                    <w:rFonts w:ascii="Cambria Math" w:hAnsi="Cambria Math" w:cs="Arial"/>
                    <w:i/>
                    <w:sz w:val="16"/>
                    <w:szCs w:val="16"/>
                  </w:rPr>
                </m:ctrlPr>
              </m:dPr>
              <m:e>
                <m:r>
                  <w:rPr>
                    <w:rFonts w:ascii="Cambria Math" w:hAnsi="Cambria Math" w:cs="Arial"/>
                    <w:sz w:val="16"/>
                    <w:szCs w:val="16"/>
                  </w:rPr>
                  <m:t>f</m:t>
                </m:r>
              </m:e>
            </m:d>
          </m:sup>
        </m:sSubSup>
        <m:r>
          <m:rPr>
            <m:sty m:val="p"/>
          </m:rPr>
          <w:rPr>
            <w:rFonts w:ascii="Cambria Math" w:hAnsi="Cambria Math" w:cs="Arial"/>
            <w:sz w:val="16"/>
            <w:szCs w:val="16"/>
          </w:rPr>
          <m:t>,2⋅</m:t>
        </m:r>
        <m:d>
          <m:dPr>
            <m:ctrlPr>
              <w:rPr>
                <w:rFonts w:ascii="Cambria Math" w:hAnsi="Cambria Math" w:cs="Arial"/>
                <w:sz w:val="16"/>
                <w:szCs w:val="16"/>
              </w:rPr>
            </m:ctrlPr>
          </m:dPr>
          <m:e>
            <m:sSub>
              <m:sSubPr>
                <m:ctrlPr>
                  <w:rPr>
                    <w:rFonts w:ascii="Cambria Math" w:hAnsi="Cambria Math" w:cs="Arial"/>
                    <w:sz w:val="16"/>
                    <w:szCs w:val="16"/>
                  </w:rPr>
                </m:ctrlPr>
              </m:sSubPr>
              <m:e>
                <m:r>
                  <w:rPr>
                    <w:rFonts w:ascii="Cambria Math" w:hAnsi="Cambria Math" w:cs="Arial"/>
                    <w:sz w:val="16"/>
                    <w:szCs w:val="16"/>
                  </w:rPr>
                  <m:t>N</m:t>
                </m:r>
              </m:e>
              <m:sub>
                <m:r>
                  <m:rPr>
                    <m:sty m:val="p"/>
                  </m:rPr>
                  <w:rPr>
                    <w:rFonts w:ascii="Cambria Math" w:hAnsi="Cambria Math" w:cs="Arial"/>
                    <w:sz w:val="16"/>
                    <w:szCs w:val="16"/>
                  </w:rPr>
                  <m:t>3</m:t>
                </m:r>
              </m:sub>
            </m:sSub>
            <m:r>
              <m:rPr>
                <m:sty m:val="p"/>
              </m:rPr>
              <w:rPr>
                <w:rFonts w:ascii="Cambria Math" w:hAnsi="Cambria Math" w:cs="Arial"/>
                <w:sz w:val="16"/>
                <w:szCs w:val="16"/>
              </w:rPr>
              <m:t>-</m:t>
            </m:r>
            <m:sSubSup>
              <m:sSubSupPr>
                <m:ctrlPr>
                  <w:rPr>
                    <w:rFonts w:ascii="Cambria Math" w:hAnsi="Cambria Math" w:cs="Arial"/>
                    <w:i/>
                    <w:sz w:val="16"/>
                    <w:szCs w:val="16"/>
                  </w:rPr>
                </m:ctrlPr>
              </m:sSubSupPr>
              <m:e>
                <m:r>
                  <w:rPr>
                    <w:rFonts w:ascii="Cambria Math" w:hAnsi="Cambria Math" w:cs="Arial"/>
                    <w:sz w:val="16"/>
                    <w:szCs w:val="16"/>
                  </w:rPr>
                  <m:t>n</m:t>
                </m:r>
              </m:e>
              <m:sub>
                <m:r>
                  <w:rPr>
                    <w:rFonts w:ascii="Cambria Math" w:hAnsi="Cambria Math" w:cs="Arial"/>
                    <w:sz w:val="16"/>
                    <w:szCs w:val="16"/>
                  </w:rPr>
                  <m:t>3,l</m:t>
                </m:r>
              </m:sub>
              <m:sup>
                <m:r>
                  <w:rPr>
                    <w:rFonts w:ascii="Cambria Math" w:hAnsi="Cambria Math" w:cs="Arial"/>
                    <w:sz w:val="16"/>
                    <w:szCs w:val="16"/>
                  </w:rPr>
                  <m:t>(f)</m:t>
                </m:r>
              </m:sup>
            </m:sSubSup>
          </m:e>
        </m:d>
        <m:r>
          <m:rPr>
            <m:sty m:val="p"/>
          </m:rPr>
          <w:rPr>
            <w:rFonts w:ascii="Cambria Math" w:hAnsi="Cambria Math" w:cs="Arial"/>
            <w:sz w:val="16"/>
            <w:szCs w:val="16"/>
          </w:rPr>
          <m:t>-1)</m:t>
        </m:r>
      </m:oMath>
      <w:r w:rsidRPr="009537ED">
        <w:rPr>
          <w:rFonts w:ascii="Arial" w:hAnsi="Arial" w:cs="Arial"/>
          <w:sz w:val="16"/>
          <w:szCs w:val="16"/>
        </w:rPr>
        <w:t xml:space="preserve">, for </w:t>
      </w:r>
      <m:oMath>
        <m:r>
          <w:rPr>
            <w:rFonts w:ascii="Cambria Math" w:hAnsi="Cambria Math" w:cs="Arial"/>
            <w:sz w:val="16"/>
            <w:szCs w:val="16"/>
          </w:rPr>
          <m:t>l=1,…,υ</m:t>
        </m:r>
      </m:oMath>
      <w:r w:rsidRPr="009537ED">
        <w:rPr>
          <w:rFonts w:ascii="Arial" w:hAnsi="Arial" w:cs="Arial"/>
          <w:sz w:val="16"/>
          <w:szCs w:val="16"/>
        </w:rPr>
        <w:t xml:space="preserve">, </w:t>
      </w:r>
      <m:oMath>
        <m:sSub>
          <m:sSubPr>
            <m:ctrlPr>
              <w:rPr>
                <w:rFonts w:ascii="Cambria Math" w:hAnsi="Cambria Math" w:cs="Arial"/>
                <w:i/>
                <w:sz w:val="16"/>
                <w:szCs w:val="16"/>
              </w:rPr>
            </m:ctrlPr>
          </m:sSubPr>
          <m:e>
            <m:r>
              <w:rPr>
                <w:rFonts w:ascii="Cambria Math" w:hAnsi="Cambria Math" w:cs="Arial"/>
                <w:sz w:val="16"/>
                <w:szCs w:val="16"/>
              </w:rPr>
              <m:t>i</m:t>
            </m:r>
          </m:e>
          <m:sub>
            <m:r>
              <w:rPr>
                <w:rFonts w:ascii="Cambria Math" w:hAnsi="Cambria Math" w:cs="Arial"/>
                <w:sz w:val="16"/>
                <w:szCs w:val="16"/>
              </w:rPr>
              <m:t>j</m:t>
            </m:r>
          </m:sub>
        </m:sSub>
        <m:r>
          <w:rPr>
            <w:rFonts w:ascii="Cambria Math" w:hAnsi="Cambria Math" w:cs="Arial"/>
            <w:sz w:val="16"/>
            <w:szCs w:val="16"/>
          </w:rPr>
          <m:t>=0,1,…,2</m:t>
        </m:r>
        <m:sSub>
          <m:sSubPr>
            <m:ctrlPr>
              <w:rPr>
                <w:rFonts w:ascii="Cambria Math" w:hAnsi="Cambria Math" w:cs="Arial"/>
                <w:i/>
                <w:sz w:val="16"/>
                <w:szCs w:val="16"/>
              </w:rPr>
            </m:ctrlPr>
          </m:sSubPr>
          <m:e>
            <m:r>
              <w:rPr>
                <w:rFonts w:ascii="Cambria Math" w:hAnsi="Cambria Math" w:cs="Arial"/>
                <w:sz w:val="16"/>
                <w:szCs w:val="16"/>
              </w:rPr>
              <m:t>L</m:t>
            </m:r>
          </m:e>
          <m:sub>
            <m:sSub>
              <m:sSubPr>
                <m:ctrlPr>
                  <w:rPr>
                    <w:rFonts w:ascii="Cambria Math" w:hAnsi="Cambria Math" w:cs="Arial"/>
                    <w:i/>
                    <w:sz w:val="16"/>
                    <w:szCs w:val="16"/>
                  </w:rPr>
                </m:ctrlPr>
              </m:sSubPr>
              <m:e>
                <m:r>
                  <w:rPr>
                    <w:rFonts w:ascii="Cambria Math" w:hAnsi="Cambria Math" w:cs="Arial"/>
                    <w:sz w:val="16"/>
                    <w:szCs w:val="16"/>
                  </w:rPr>
                  <m:t>σ</m:t>
                </m:r>
              </m:e>
              <m:sub>
                <m:r>
                  <w:rPr>
                    <w:rFonts w:ascii="Cambria Math" w:hAnsi="Cambria Math" w:cs="Arial"/>
                    <w:sz w:val="16"/>
                    <w:szCs w:val="16"/>
                  </w:rPr>
                  <m:t>j</m:t>
                </m:r>
              </m:sub>
            </m:sSub>
          </m:sub>
        </m:sSub>
        <m:r>
          <w:rPr>
            <w:rFonts w:ascii="Cambria Math" w:hAnsi="Cambria Math" w:cs="Arial"/>
            <w:sz w:val="16"/>
            <w:szCs w:val="16"/>
          </w:rPr>
          <m:t>-1</m:t>
        </m:r>
      </m:oMath>
      <w:r w:rsidRPr="009537ED">
        <w:rPr>
          <w:rFonts w:ascii="Arial" w:hAnsi="Arial" w:cs="Arial"/>
          <w:sz w:val="16"/>
          <w:szCs w:val="16"/>
        </w:rPr>
        <w:t xml:space="preserve">, </w:t>
      </w:r>
      <m:oMath>
        <m:r>
          <w:rPr>
            <w:rFonts w:ascii="Cambria Math" w:hAnsi="Cambria Math" w:cs="Arial"/>
            <w:sz w:val="16"/>
            <w:szCs w:val="16"/>
          </w:rPr>
          <m:t>f=0,1,…,</m:t>
        </m:r>
        <m:sSub>
          <m:sSubPr>
            <m:ctrlPr>
              <w:rPr>
                <w:rFonts w:ascii="Cambria Math" w:hAnsi="Cambria Math" w:cs="Arial"/>
                <w:i/>
                <w:sz w:val="16"/>
                <w:szCs w:val="16"/>
              </w:rPr>
            </m:ctrlPr>
          </m:sSubPr>
          <m:e>
            <m:r>
              <w:rPr>
                <w:rFonts w:ascii="Cambria Math" w:hAnsi="Cambria Math" w:cs="Arial"/>
                <w:sz w:val="16"/>
                <w:szCs w:val="16"/>
              </w:rPr>
              <m:t>M</m:t>
            </m:r>
          </m:e>
          <m:sub>
            <m:r>
              <w:rPr>
                <w:rFonts w:ascii="Cambria Math" w:hAnsi="Cambria Math" w:cs="Arial"/>
                <w:sz w:val="16"/>
                <w:szCs w:val="16"/>
              </w:rPr>
              <m:t>υ</m:t>
            </m:r>
          </m:sub>
        </m:sSub>
        <m:r>
          <w:rPr>
            <w:rFonts w:ascii="Cambria Math" w:hAnsi="Cambria Math" w:cs="Arial"/>
            <w:sz w:val="16"/>
            <w:szCs w:val="16"/>
          </w:rPr>
          <m:t>-1</m:t>
        </m:r>
      </m:oMath>
      <w:r w:rsidRPr="009537ED">
        <w:rPr>
          <w:rFonts w:ascii="Arial" w:hAnsi="Arial" w:cs="Arial"/>
          <w:sz w:val="16"/>
          <w:szCs w:val="16"/>
        </w:rPr>
        <w:t xml:space="preserve"> and </w:t>
      </w:r>
      <m:oMath>
        <m:r>
          <w:rPr>
            <w:rFonts w:ascii="Cambria Math" w:hAnsi="Cambria Math" w:cs="Arial"/>
            <w:sz w:val="16"/>
            <w:szCs w:val="16"/>
          </w:rPr>
          <m:t>j=1,…,</m:t>
        </m:r>
        <m:r>
          <w:rPr>
            <w:rFonts w:ascii="Cambria Math" w:hAnsi="Cambria Math" w:cs="Arial"/>
            <w:strike/>
            <w:color w:val="FF0000"/>
            <w:sz w:val="16"/>
            <w:szCs w:val="16"/>
          </w:rPr>
          <m:t>N</m:t>
        </m:r>
        <m:sSub>
          <m:sSubPr>
            <m:ctrlPr>
              <w:rPr>
                <w:rFonts w:ascii="Cambria Math" w:eastAsia="Malgun Gothic" w:hAnsi="Cambria Math" w:cs="Arial"/>
                <w:color w:val="FF0000"/>
                <w:sz w:val="16"/>
                <w:szCs w:val="16"/>
                <w:lang w:eastAsia="zh-CN"/>
              </w:rPr>
            </m:ctrlPr>
          </m:sSubPr>
          <m:e>
            <m:r>
              <w:rPr>
                <w:rFonts w:ascii="Cambria Math" w:eastAsia="Malgun Gothic" w:hAnsi="Cambria Math" w:cs="Arial"/>
                <w:color w:val="FF0000"/>
                <w:sz w:val="16"/>
                <w:szCs w:val="16"/>
                <w:lang w:eastAsia="zh-CN"/>
              </w:rPr>
              <m:t>N</m:t>
            </m:r>
          </m:e>
          <m:sub>
            <m:r>
              <m:rPr>
                <m:sty m:val="p"/>
              </m:rPr>
              <w:rPr>
                <w:rFonts w:ascii="Cambria Math" w:eastAsia="Malgun Gothic" w:hAnsi="Cambria Math" w:cs="Arial"/>
                <w:color w:val="FF0000"/>
                <w:sz w:val="16"/>
                <w:szCs w:val="16"/>
                <w:lang w:eastAsia="zh-CN"/>
              </w:rPr>
              <m:t>0</m:t>
            </m:r>
          </m:sub>
        </m:sSub>
      </m:oMath>
      <w:r w:rsidRPr="009537ED">
        <w:rPr>
          <w:rFonts w:ascii="Arial" w:hAnsi="Arial" w:cs="Arial"/>
          <w:sz w:val="16"/>
          <w:szCs w:val="16"/>
        </w:rPr>
        <w:t xml:space="preserve">,  and where </w:t>
      </w:r>
      <m:oMath>
        <m:sSubSup>
          <m:sSubSupPr>
            <m:ctrlPr>
              <w:rPr>
                <w:rFonts w:ascii="Cambria Math" w:hAnsi="Cambria Math" w:cs="Arial"/>
                <w:i/>
                <w:sz w:val="16"/>
                <w:szCs w:val="16"/>
              </w:rPr>
            </m:ctrlPr>
          </m:sSubSupPr>
          <m:e>
            <m:r>
              <w:rPr>
                <w:rFonts w:ascii="Cambria Math" w:hAnsi="Cambria Math" w:cs="Arial"/>
                <w:sz w:val="16"/>
                <w:szCs w:val="16"/>
              </w:rPr>
              <m:t>n</m:t>
            </m:r>
          </m:e>
          <m:sub>
            <m:r>
              <w:rPr>
                <w:rFonts w:ascii="Cambria Math" w:hAnsi="Cambria Math" w:cs="Arial"/>
                <w:sz w:val="16"/>
                <w:szCs w:val="16"/>
              </w:rPr>
              <m:t>3,l</m:t>
            </m:r>
          </m:sub>
          <m:sup>
            <m:r>
              <w:rPr>
                <w:rFonts w:ascii="Cambria Math" w:hAnsi="Cambria Math" w:cs="Arial"/>
                <w:sz w:val="16"/>
                <w:szCs w:val="16"/>
              </w:rPr>
              <m:t>(f)</m:t>
            </m:r>
          </m:sup>
        </m:sSubSup>
      </m:oMath>
      <w:r w:rsidRPr="009537ED">
        <w:rPr>
          <w:rFonts w:ascii="Arial" w:hAnsi="Arial" w:cs="Arial"/>
          <w:sz w:val="16"/>
          <w:szCs w:val="16"/>
        </w:rPr>
        <w:t xml:space="preserve"> and </w:t>
      </w:r>
      <m:oMath>
        <m:sSub>
          <m:sSubPr>
            <m:ctrlPr>
              <w:rPr>
                <w:rFonts w:ascii="Cambria Math" w:hAnsi="Cambria Math" w:cs="Arial"/>
                <w:i/>
                <w:sz w:val="16"/>
                <w:szCs w:val="16"/>
              </w:rPr>
            </m:ctrlPr>
          </m:sSubPr>
          <m:e>
            <m:r>
              <w:rPr>
                <w:rFonts w:ascii="Cambria Math" w:hAnsi="Cambria Math" w:cs="Arial"/>
                <w:sz w:val="16"/>
                <w:szCs w:val="16"/>
              </w:rPr>
              <m:t>L</m:t>
            </m:r>
          </m:e>
          <m:sub>
            <m:sSub>
              <m:sSubPr>
                <m:ctrlPr>
                  <w:rPr>
                    <w:rFonts w:ascii="Cambria Math" w:hAnsi="Cambria Math" w:cs="Arial"/>
                    <w:i/>
                    <w:sz w:val="16"/>
                    <w:szCs w:val="16"/>
                  </w:rPr>
                </m:ctrlPr>
              </m:sSubPr>
              <m:e>
                <m:r>
                  <w:rPr>
                    <w:rFonts w:ascii="Cambria Math" w:hAnsi="Cambria Math" w:cs="Arial"/>
                    <w:sz w:val="16"/>
                    <w:szCs w:val="16"/>
                  </w:rPr>
                  <m:t>σ</m:t>
                </m:r>
              </m:e>
              <m:sub>
                <m:r>
                  <w:rPr>
                    <w:rFonts w:ascii="Cambria Math" w:hAnsi="Cambria Math" w:cs="Arial"/>
                    <w:sz w:val="16"/>
                    <w:szCs w:val="16"/>
                  </w:rPr>
                  <m:t>j</m:t>
                </m:r>
              </m:sub>
            </m:sSub>
          </m:sub>
        </m:sSub>
      </m:oMath>
      <w:r w:rsidRPr="009537ED">
        <w:rPr>
          <w:rFonts w:ascii="Arial" w:hAnsi="Arial" w:cs="Arial"/>
          <w:sz w:val="16"/>
          <w:szCs w:val="16"/>
        </w:rPr>
        <w:t xml:space="preserve"> are defined in Clause 5.2.2.2.8. The element with the highest priority has the lowest associated value </w:t>
      </w:r>
      <m:oMath>
        <m:r>
          <m:rPr>
            <m:sty m:val="p"/>
          </m:rPr>
          <w:rPr>
            <w:rFonts w:ascii="Cambria Math" w:hAnsi="Cambria Math" w:cs="Arial"/>
            <w:sz w:val="16"/>
            <w:szCs w:val="16"/>
          </w:rPr>
          <m:t>Pri</m:t>
        </m:r>
        <m:d>
          <m:dPr>
            <m:ctrlPr>
              <w:rPr>
                <w:rFonts w:ascii="Cambria Math" w:hAnsi="Cambria Math" w:cs="Arial"/>
                <w:i/>
                <w:sz w:val="16"/>
                <w:szCs w:val="16"/>
              </w:rPr>
            </m:ctrlPr>
          </m:dPr>
          <m:e>
            <m:r>
              <w:rPr>
                <w:rFonts w:ascii="Cambria Math" w:hAnsi="Cambria Math" w:cs="Arial"/>
                <w:sz w:val="16"/>
                <w:szCs w:val="16"/>
              </w:rPr>
              <m:t>l,</m:t>
            </m:r>
            <m:sSub>
              <m:sSubPr>
                <m:ctrlPr>
                  <w:rPr>
                    <w:rFonts w:ascii="Cambria Math" w:hAnsi="Cambria Math" w:cs="Arial"/>
                    <w:i/>
                    <w:sz w:val="16"/>
                    <w:szCs w:val="16"/>
                  </w:rPr>
                </m:ctrlPr>
              </m:sSubPr>
              <m:e>
                <m:r>
                  <w:rPr>
                    <w:rFonts w:ascii="Cambria Math" w:hAnsi="Cambria Math" w:cs="Arial"/>
                    <w:sz w:val="16"/>
                    <w:szCs w:val="16"/>
                  </w:rPr>
                  <m:t>i</m:t>
                </m:r>
              </m:e>
              <m:sub>
                <m:r>
                  <w:rPr>
                    <w:rFonts w:ascii="Cambria Math" w:hAnsi="Cambria Math" w:cs="Arial"/>
                    <w:sz w:val="16"/>
                    <w:szCs w:val="16"/>
                  </w:rPr>
                  <m:t>j</m:t>
                </m:r>
              </m:sub>
            </m:sSub>
            <m:r>
              <w:rPr>
                <w:rFonts w:ascii="Cambria Math" w:hAnsi="Cambria Math" w:cs="Arial"/>
                <w:sz w:val="16"/>
                <w:szCs w:val="16"/>
              </w:rPr>
              <m:t>,f,j</m:t>
            </m:r>
          </m:e>
        </m:d>
      </m:oMath>
      <w:r w:rsidRPr="009537ED">
        <w:rPr>
          <w:rFonts w:ascii="Arial" w:hAnsi="Arial" w:cs="Arial"/>
          <w:sz w:val="16"/>
          <w:szCs w:val="16"/>
        </w:rPr>
        <w:t>. Omission of Part 2 CSI is according to the priority order shown in Table 5.2.3-1, where</w:t>
      </w:r>
    </w:p>
    <w:p w14:paraId="2735CE18" w14:textId="242449B1" w:rsidR="00A41C1A" w:rsidRPr="009537ED" w:rsidRDefault="00A41C1A" w:rsidP="00141B77">
      <w:pPr>
        <w:ind w:left="851" w:hanging="284"/>
        <w:rPr>
          <w:rFonts w:ascii="Arial" w:hAnsi="Arial" w:cs="Arial"/>
          <w:sz w:val="16"/>
          <w:szCs w:val="16"/>
        </w:rPr>
      </w:pPr>
      <w:r w:rsidRPr="009537ED">
        <w:rPr>
          <w:rFonts w:ascii="Arial" w:hAnsi="Arial" w:cs="Arial"/>
          <w:sz w:val="16"/>
          <w:szCs w:val="16"/>
        </w:rPr>
        <w:t>-</w:t>
      </w:r>
      <w:r w:rsidRPr="009537ED">
        <w:rPr>
          <w:rFonts w:ascii="Arial" w:hAnsi="Arial" w:cs="Arial"/>
          <w:sz w:val="16"/>
          <w:szCs w:val="16"/>
        </w:rPr>
        <w:tab/>
        <w:t xml:space="preserve">Group 0 includes indices </w:t>
      </w:r>
      <m:oMath>
        <m:sSub>
          <m:sSubPr>
            <m:ctrlPr>
              <w:rPr>
                <w:rFonts w:ascii="Cambria Math" w:hAnsi="Cambria Math" w:cs="Arial"/>
                <w:i/>
                <w:sz w:val="16"/>
                <w:szCs w:val="16"/>
              </w:rPr>
            </m:ctrlPr>
          </m:sSubPr>
          <m:e>
            <m:r>
              <w:rPr>
                <w:rFonts w:ascii="Cambria Math" w:hAnsi="Cambria Math" w:cs="Arial"/>
                <w:sz w:val="16"/>
                <w:szCs w:val="16"/>
              </w:rPr>
              <m:t>i</m:t>
            </m:r>
          </m:e>
          <m:sub>
            <m:r>
              <w:rPr>
                <w:rFonts w:ascii="Cambria Math" w:hAnsi="Cambria Math" w:cs="Arial"/>
                <w:sz w:val="16"/>
                <w:szCs w:val="16"/>
              </w:rPr>
              <m:t>1,1</m:t>
            </m:r>
          </m:sub>
        </m:sSub>
      </m:oMath>
      <w:r w:rsidRPr="009537ED">
        <w:rPr>
          <w:rFonts w:ascii="Arial" w:hAnsi="Arial" w:cs="Arial"/>
          <w:sz w:val="16"/>
          <w:szCs w:val="16"/>
        </w:rPr>
        <w:t xml:space="preserve"> (if reported), </w:t>
      </w:r>
      <m:oMath>
        <m:sSub>
          <m:sSubPr>
            <m:ctrlPr>
              <w:rPr>
                <w:rFonts w:ascii="Cambria Math" w:hAnsi="Cambria Math" w:cs="Arial"/>
                <w:i/>
                <w:sz w:val="16"/>
                <w:szCs w:val="16"/>
              </w:rPr>
            </m:ctrlPr>
          </m:sSubPr>
          <m:e>
            <m:r>
              <w:rPr>
                <w:rFonts w:ascii="Cambria Math" w:hAnsi="Cambria Math" w:cs="Arial"/>
                <w:sz w:val="16"/>
                <w:szCs w:val="16"/>
              </w:rPr>
              <m:t>i</m:t>
            </m:r>
          </m:e>
          <m:sub>
            <m:r>
              <w:rPr>
                <w:rFonts w:ascii="Cambria Math" w:hAnsi="Cambria Math" w:cs="Arial"/>
                <w:sz w:val="16"/>
                <w:szCs w:val="16"/>
              </w:rPr>
              <m:t>1,2</m:t>
            </m:r>
          </m:sub>
        </m:sSub>
      </m:oMath>
      <w:r w:rsidRPr="009537ED">
        <w:rPr>
          <w:rFonts w:ascii="Arial" w:hAnsi="Arial" w:cs="Arial"/>
          <w:sz w:val="16"/>
          <w:szCs w:val="16"/>
        </w:rPr>
        <w:t xml:space="preserve"> (if reported) and </w:t>
      </w:r>
      <m:oMath>
        <m:sSub>
          <m:sSubPr>
            <m:ctrlPr>
              <w:rPr>
                <w:rFonts w:ascii="Cambria Math" w:hAnsi="Cambria Math" w:cs="Arial"/>
                <w:i/>
                <w:sz w:val="16"/>
                <w:szCs w:val="16"/>
              </w:rPr>
            </m:ctrlPr>
          </m:sSubPr>
          <m:e>
            <m:r>
              <w:rPr>
                <w:rFonts w:ascii="Cambria Math" w:hAnsi="Cambria Math" w:cs="Arial"/>
                <w:sz w:val="16"/>
                <w:szCs w:val="16"/>
              </w:rPr>
              <m:t>i</m:t>
            </m:r>
          </m:e>
          <m:sub>
            <m:r>
              <w:rPr>
                <w:rFonts w:ascii="Cambria Math" w:hAnsi="Cambria Math" w:cs="Arial"/>
                <w:sz w:val="16"/>
                <w:szCs w:val="16"/>
              </w:rPr>
              <m:t>1,8,l</m:t>
            </m:r>
          </m:sub>
        </m:sSub>
      </m:oMath>
      <w:r w:rsidRPr="009537ED">
        <w:rPr>
          <w:rFonts w:ascii="Arial" w:hAnsi="Arial" w:cs="Arial"/>
          <w:sz w:val="16"/>
          <w:szCs w:val="16"/>
        </w:rPr>
        <w:t xml:space="preserve"> (</w:t>
      </w:r>
      <m:oMath>
        <m:r>
          <w:rPr>
            <w:rFonts w:ascii="Cambria Math" w:hAnsi="Cambria Math" w:cs="Arial"/>
            <w:sz w:val="16"/>
            <w:szCs w:val="16"/>
          </w:rPr>
          <m:t>l=1,…,υ</m:t>
        </m:r>
      </m:oMath>
      <w:r w:rsidRPr="009537ED">
        <w:rPr>
          <w:rFonts w:ascii="Arial" w:hAnsi="Arial" w:cs="Arial"/>
          <w:sz w:val="16"/>
          <w:szCs w:val="16"/>
        </w:rPr>
        <w:t>).</w:t>
      </w:r>
    </w:p>
    <w:p w14:paraId="56302963" w14:textId="088E1F0D" w:rsidR="00A41C1A" w:rsidRPr="009537ED" w:rsidRDefault="00A41C1A" w:rsidP="00141B77">
      <w:pPr>
        <w:ind w:left="851" w:hanging="284"/>
        <w:rPr>
          <w:rFonts w:ascii="Arial" w:hAnsi="Arial" w:cs="Arial"/>
          <w:sz w:val="16"/>
          <w:szCs w:val="16"/>
        </w:rPr>
      </w:pPr>
      <w:r w:rsidRPr="009537ED">
        <w:rPr>
          <w:rFonts w:ascii="Arial" w:hAnsi="Arial" w:cs="Arial"/>
          <w:sz w:val="16"/>
          <w:szCs w:val="16"/>
        </w:rPr>
        <w:t>-</w:t>
      </w:r>
      <w:r w:rsidRPr="009537ED">
        <w:rPr>
          <w:rFonts w:ascii="Arial" w:hAnsi="Arial" w:cs="Arial"/>
          <w:sz w:val="16"/>
          <w:szCs w:val="16"/>
        </w:rPr>
        <w:tab/>
        <w:t xml:space="preserve">Group 1 includes indices </w:t>
      </w:r>
      <m:oMath>
        <m:sSub>
          <m:sSubPr>
            <m:ctrlPr>
              <w:rPr>
                <w:rFonts w:ascii="Cambria Math" w:hAnsi="Cambria Math" w:cs="Arial"/>
                <w:i/>
                <w:sz w:val="16"/>
                <w:szCs w:val="16"/>
              </w:rPr>
            </m:ctrlPr>
          </m:sSubPr>
          <m:e>
            <m:r>
              <w:rPr>
                <w:rFonts w:ascii="Cambria Math" w:hAnsi="Cambria Math" w:cs="Arial"/>
                <w:sz w:val="16"/>
                <w:szCs w:val="16"/>
              </w:rPr>
              <m:t>i</m:t>
            </m:r>
          </m:e>
          <m:sub>
            <m:r>
              <w:rPr>
                <w:rFonts w:ascii="Cambria Math" w:hAnsi="Cambria Math" w:cs="Arial"/>
                <w:sz w:val="16"/>
                <w:szCs w:val="16"/>
              </w:rPr>
              <m:t>1,5</m:t>
            </m:r>
          </m:sub>
        </m:sSub>
      </m:oMath>
      <w:r w:rsidRPr="009537ED">
        <w:rPr>
          <w:rFonts w:ascii="Arial" w:hAnsi="Arial" w:cs="Arial"/>
          <w:sz w:val="16"/>
          <w:szCs w:val="16"/>
        </w:rPr>
        <w:t xml:space="preserve"> (if reported), </w:t>
      </w:r>
      <m:oMath>
        <m:sSub>
          <m:sSubPr>
            <m:ctrlPr>
              <w:rPr>
                <w:rFonts w:ascii="Cambria Math" w:hAnsi="Cambria Math" w:cs="Arial"/>
                <w:i/>
                <w:sz w:val="16"/>
                <w:szCs w:val="16"/>
              </w:rPr>
            </m:ctrlPr>
          </m:sSubPr>
          <m:e>
            <m:r>
              <w:rPr>
                <w:rFonts w:ascii="Cambria Math" w:hAnsi="Cambria Math" w:cs="Arial"/>
                <w:sz w:val="16"/>
                <w:szCs w:val="16"/>
              </w:rPr>
              <m:t>i</m:t>
            </m:r>
          </m:e>
          <m:sub>
            <m:r>
              <w:rPr>
                <w:rFonts w:ascii="Cambria Math" w:hAnsi="Cambria Math" w:cs="Arial"/>
                <w:sz w:val="16"/>
                <w:szCs w:val="16"/>
              </w:rPr>
              <m:t>1,6,l</m:t>
            </m:r>
          </m:sub>
        </m:sSub>
      </m:oMath>
      <w:r w:rsidRPr="009537ED">
        <w:rPr>
          <w:rFonts w:ascii="Arial" w:hAnsi="Arial" w:cs="Arial"/>
          <w:sz w:val="16"/>
          <w:szCs w:val="16"/>
        </w:rPr>
        <w:t xml:space="preserve"> (if reported), the </w:t>
      </w:r>
      <m:oMath>
        <m:r>
          <w:rPr>
            <w:rFonts w:ascii="Cambria Math" w:hAnsi="Cambria Math" w:cs="Arial"/>
            <w:sz w:val="16"/>
            <w:szCs w:val="16"/>
          </w:rPr>
          <m:t>υ2</m:t>
        </m:r>
        <m:sSub>
          <m:sSubPr>
            <m:ctrlPr>
              <w:rPr>
                <w:rFonts w:ascii="Cambria Math" w:hAnsi="Cambria Math" w:cs="Arial"/>
                <w:i/>
                <w:sz w:val="16"/>
                <w:szCs w:val="16"/>
              </w:rPr>
            </m:ctrlPr>
          </m:sSubPr>
          <m:e>
            <m:r>
              <w:rPr>
                <w:rFonts w:ascii="Cambria Math" w:hAnsi="Cambria Math" w:cs="Arial"/>
                <w:sz w:val="16"/>
                <w:szCs w:val="16"/>
              </w:rPr>
              <m:t>M</m:t>
            </m:r>
          </m:e>
          <m:sub>
            <m:r>
              <w:rPr>
                <w:rFonts w:ascii="Cambria Math" w:hAnsi="Cambria Math" w:cs="Arial"/>
                <w:sz w:val="16"/>
                <w:szCs w:val="16"/>
              </w:rPr>
              <m:t>υ</m:t>
            </m:r>
          </m:sub>
        </m:sSub>
        <m:nary>
          <m:naryPr>
            <m:chr m:val="∑"/>
            <m:ctrlPr>
              <w:rPr>
                <w:rFonts w:ascii="Cambria Math" w:hAnsi="Cambria Math" w:cs="Arial"/>
                <w:i/>
                <w:noProof/>
                <w:sz w:val="16"/>
                <w:szCs w:val="16"/>
              </w:rPr>
            </m:ctrlPr>
          </m:naryPr>
          <m:sub>
            <m:r>
              <w:rPr>
                <w:rFonts w:ascii="Cambria Math" w:hAnsi="Cambria Math" w:cs="Arial"/>
                <w:noProof/>
                <w:sz w:val="16"/>
                <w:szCs w:val="16"/>
              </w:rPr>
              <m:t>k=1</m:t>
            </m:r>
          </m:sub>
          <m:sup>
            <m:r>
              <w:rPr>
                <w:rFonts w:ascii="Cambria Math" w:hAnsi="Cambria Math" w:cs="Arial"/>
                <w:strike/>
                <w:color w:val="FF0000"/>
                <w:sz w:val="16"/>
                <w:szCs w:val="16"/>
              </w:rPr>
              <m:t>N</m:t>
            </m:r>
            <m:sSub>
              <m:sSubPr>
                <m:ctrlPr>
                  <w:rPr>
                    <w:rFonts w:ascii="Cambria Math" w:eastAsia="Malgun Gothic" w:hAnsi="Cambria Math" w:cs="Arial"/>
                    <w:color w:val="FF0000"/>
                    <w:sz w:val="16"/>
                    <w:szCs w:val="16"/>
                    <w:lang w:eastAsia="zh-CN"/>
                  </w:rPr>
                </m:ctrlPr>
              </m:sSubPr>
              <m:e>
                <m:r>
                  <w:rPr>
                    <w:rFonts w:ascii="Cambria Math" w:eastAsia="Malgun Gothic" w:hAnsi="Cambria Math" w:cs="Arial"/>
                    <w:color w:val="FF0000"/>
                    <w:sz w:val="16"/>
                    <w:szCs w:val="16"/>
                    <w:lang w:eastAsia="zh-CN"/>
                  </w:rPr>
                  <m:t>N</m:t>
                </m:r>
              </m:e>
              <m:sub>
                <m:r>
                  <m:rPr>
                    <m:sty m:val="p"/>
                  </m:rPr>
                  <w:rPr>
                    <w:rFonts w:ascii="Cambria Math" w:eastAsia="Malgun Gothic" w:hAnsi="Cambria Math" w:cs="Arial"/>
                    <w:color w:val="FF0000"/>
                    <w:sz w:val="16"/>
                    <w:szCs w:val="16"/>
                    <w:lang w:eastAsia="zh-CN"/>
                  </w:rPr>
                  <m:t>0</m:t>
                </m:r>
              </m:sub>
            </m:sSub>
          </m:sup>
          <m:e>
            <m:sSub>
              <m:sSubPr>
                <m:ctrlPr>
                  <w:rPr>
                    <w:rFonts w:ascii="Cambria Math" w:hAnsi="Cambria Math" w:cs="Arial"/>
                    <w:i/>
                    <w:noProof/>
                    <w:sz w:val="16"/>
                    <w:szCs w:val="16"/>
                  </w:rPr>
                </m:ctrlPr>
              </m:sSubPr>
              <m:e>
                <m:r>
                  <w:rPr>
                    <w:rFonts w:ascii="Cambria Math" w:hAnsi="Cambria Math" w:cs="Arial"/>
                    <w:noProof/>
                    <w:sz w:val="16"/>
                    <w:szCs w:val="16"/>
                  </w:rPr>
                  <m:t>L</m:t>
                </m:r>
              </m:e>
              <m:sub>
                <m:sSub>
                  <m:sSubPr>
                    <m:ctrlPr>
                      <w:rPr>
                        <w:rFonts w:ascii="Cambria Math" w:hAnsi="Cambria Math" w:cs="Arial"/>
                        <w:i/>
                        <w:noProof/>
                        <w:sz w:val="16"/>
                        <w:szCs w:val="16"/>
                      </w:rPr>
                    </m:ctrlPr>
                  </m:sSubPr>
                  <m:e>
                    <m:r>
                      <w:rPr>
                        <w:rFonts w:ascii="Cambria Math" w:hAnsi="Cambria Math" w:cs="Arial"/>
                        <w:noProof/>
                        <w:sz w:val="16"/>
                        <w:szCs w:val="16"/>
                      </w:rPr>
                      <m:t>σ</m:t>
                    </m:r>
                  </m:e>
                  <m:sub>
                    <m:r>
                      <w:rPr>
                        <w:rFonts w:ascii="Cambria Math" w:hAnsi="Cambria Math" w:cs="Arial"/>
                        <w:noProof/>
                        <w:sz w:val="16"/>
                        <w:szCs w:val="16"/>
                      </w:rPr>
                      <m:t>k</m:t>
                    </m:r>
                  </m:sub>
                </m:sSub>
              </m:sub>
            </m:sSub>
          </m:e>
        </m:nary>
        <m:r>
          <w:rPr>
            <w:rFonts w:ascii="Cambria Math" w:hAnsi="Cambria Math" w:cs="Arial"/>
            <w:sz w:val="16"/>
            <w:szCs w:val="16"/>
          </w:rPr>
          <m:t>-</m:t>
        </m:r>
        <m:d>
          <m:dPr>
            <m:begChr m:val="⌊"/>
            <m:endChr m:val="⌋"/>
            <m:ctrlPr>
              <w:rPr>
                <w:rFonts w:ascii="Cambria Math" w:hAnsi="Cambria Math" w:cs="Arial"/>
                <w:i/>
                <w:sz w:val="16"/>
                <w:szCs w:val="16"/>
              </w:rPr>
            </m:ctrlPr>
          </m:dPr>
          <m:e>
            <m:sSup>
              <m:sSupPr>
                <m:ctrlPr>
                  <w:rPr>
                    <w:rFonts w:ascii="Cambria Math" w:hAnsi="Cambria Math" w:cs="Arial"/>
                    <w:i/>
                    <w:sz w:val="16"/>
                    <w:szCs w:val="16"/>
                  </w:rPr>
                </m:ctrlPr>
              </m:sSupPr>
              <m:e>
                <m:r>
                  <w:rPr>
                    <w:rFonts w:ascii="Cambria Math" w:hAnsi="Cambria Math" w:cs="Arial"/>
                    <w:sz w:val="16"/>
                    <w:szCs w:val="16"/>
                  </w:rPr>
                  <m:t>K</m:t>
                </m:r>
              </m:e>
              <m:sup>
                <m:r>
                  <w:rPr>
                    <w:rFonts w:ascii="Cambria Math" w:hAnsi="Cambria Math" w:cs="Arial"/>
                    <w:sz w:val="16"/>
                    <w:szCs w:val="16"/>
                  </w:rPr>
                  <m:t>NZ</m:t>
                </m:r>
              </m:sup>
            </m:sSup>
            <m:r>
              <w:rPr>
                <w:rFonts w:ascii="Cambria Math" w:hAnsi="Cambria Math" w:cs="Arial"/>
                <w:sz w:val="16"/>
                <w:szCs w:val="16"/>
              </w:rPr>
              <m:t>/2</m:t>
            </m:r>
          </m:e>
        </m:d>
      </m:oMath>
      <w:r w:rsidRPr="009537ED">
        <w:rPr>
          <w:rFonts w:ascii="Arial" w:hAnsi="Arial" w:cs="Arial"/>
          <w:sz w:val="16"/>
          <w:szCs w:val="16"/>
        </w:rPr>
        <w:t xml:space="preserve"> </w:t>
      </w:r>
      <w:r w:rsidRPr="009537ED">
        <w:rPr>
          <w:rFonts w:ascii="Arial" w:hAnsi="Arial" w:cs="Arial"/>
          <w:noProof/>
          <w:sz w:val="16"/>
          <w:szCs w:val="16"/>
        </w:rPr>
        <w:t xml:space="preserve">highest priority </w:t>
      </w:r>
      <w:r w:rsidRPr="009537ED">
        <w:rPr>
          <w:rFonts w:ascii="Arial" w:hAnsi="Arial" w:cs="Arial"/>
          <w:sz w:val="16"/>
          <w:szCs w:val="16"/>
        </w:rPr>
        <w:t xml:space="preserve">elements </w:t>
      </w:r>
      <w:r w:rsidRPr="009537ED">
        <w:rPr>
          <w:rFonts w:ascii="Arial" w:hAnsi="Arial" w:cs="Arial"/>
          <w:noProof/>
          <w:sz w:val="16"/>
          <w:szCs w:val="16"/>
        </w:rPr>
        <w:t>of</w:t>
      </w:r>
      <w:r w:rsidRPr="009537ED">
        <w:rPr>
          <w:rFonts w:ascii="Arial" w:hAnsi="Arial" w:cs="Arial"/>
          <w:sz w:val="16"/>
          <w:szCs w:val="16"/>
        </w:rPr>
        <w:t xml:space="preserve"> </w:t>
      </w:r>
      <m:oMath>
        <m:sSub>
          <m:sSubPr>
            <m:ctrlPr>
              <w:rPr>
                <w:rFonts w:ascii="Cambria Math" w:hAnsi="Cambria Math" w:cs="Arial"/>
                <w:sz w:val="16"/>
                <w:szCs w:val="16"/>
              </w:rPr>
            </m:ctrlPr>
          </m:sSubPr>
          <m:e>
            <m:r>
              <w:rPr>
                <w:rFonts w:ascii="Cambria Math" w:hAnsi="Cambria Math" w:cs="Arial"/>
                <w:sz w:val="16"/>
                <w:szCs w:val="16"/>
              </w:rPr>
              <m:t>i</m:t>
            </m:r>
          </m:e>
          <m:sub>
            <m:r>
              <m:rPr>
                <m:sty m:val="p"/>
              </m:rPr>
              <w:rPr>
                <w:rFonts w:ascii="Cambria Math" w:hAnsi="Cambria Math" w:cs="Arial"/>
                <w:sz w:val="16"/>
                <w:szCs w:val="16"/>
              </w:rPr>
              <m:t>1,7,</m:t>
            </m:r>
            <m:r>
              <w:rPr>
                <w:rFonts w:ascii="Cambria Math" w:hAnsi="Cambria Math" w:cs="Arial"/>
                <w:sz w:val="16"/>
                <w:szCs w:val="16"/>
              </w:rPr>
              <m:t>l</m:t>
            </m:r>
          </m:sub>
        </m:sSub>
      </m:oMath>
      <w:r w:rsidRPr="009537ED">
        <w:rPr>
          <w:rFonts w:ascii="Arial" w:hAnsi="Arial" w:cs="Arial"/>
          <w:sz w:val="16"/>
          <w:szCs w:val="16"/>
        </w:rPr>
        <w:t xml:space="preserve">,  </w:t>
      </w:r>
      <m:oMath>
        <m:sSub>
          <m:sSubPr>
            <m:ctrlPr>
              <w:rPr>
                <w:rFonts w:ascii="Cambria Math" w:hAnsi="Cambria Math" w:cs="Arial"/>
                <w:i/>
                <w:sz w:val="16"/>
                <w:szCs w:val="16"/>
              </w:rPr>
            </m:ctrlPr>
          </m:sSubPr>
          <m:e>
            <m:r>
              <w:rPr>
                <w:rFonts w:ascii="Cambria Math" w:hAnsi="Cambria Math" w:cs="Arial"/>
                <w:sz w:val="16"/>
                <w:szCs w:val="16"/>
              </w:rPr>
              <m:t>i</m:t>
            </m:r>
          </m:e>
          <m:sub>
            <m:r>
              <w:rPr>
                <w:rFonts w:ascii="Cambria Math" w:hAnsi="Cambria Math" w:cs="Arial"/>
                <w:sz w:val="16"/>
                <w:szCs w:val="16"/>
              </w:rPr>
              <m:t>2,3,l</m:t>
            </m:r>
          </m:sub>
        </m:sSub>
      </m:oMath>
      <w:r w:rsidRPr="009537ED">
        <w:rPr>
          <w:rFonts w:ascii="Arial" w:hAnsi="Arial" w:cs="Arial"/>
          <w:sz w:val="16"/>
          <w:szCs w:val="16"/>
        </w:rPr>
        <w:t xml:space="preserve">, the </w:t>
      </w:r>
      <m:oMath>
        <m:func>
          <m:funcPr>
            <m:ctrlPr>
              <w:rPr>
                <w:rFonts w:ascii="Cambria Math" w:hAnsi="Cambria Math" w:cs="Arial"/>
                <w:i/>
                <w:color w:val="000000"/>
                <w:sz w:val="16"/>
                <w:szCs w:val="16"/>
                <w:lang w:eastAsia="en-GB"/>
              </w:rPr>
            </m:ctrlPr>
          </m:funcPr>
          <m:fName>
            <m:r>
              <m:rPr>
                <m:sty m:val="p"/>
              </m:rPr>
              <w:rPr>
                <w:rFonts w:ascii="Cambria Math" w:hAnsi="Cambria Math" w:cs="Arial"/>
                <w:color w:val="000000"/>
                <w:sz w:val="16"/>
                <w:szCs w:val="16"/>
                <w:lang w:eastAsia="en-GB"/>
              </w:rPr>
              <m:t>max</m:t>
            </m:r>
          </m:fName>
          <m:e>
            <m:d>
              <m:dPr>
                <m:ctrlPr>
                  <w:rPr>
                    <w:rFonts w:ascii="Cambria Math" w:hAnsi="Cambria Math" w:cs="Arial"/>
                    <w:i/>
                    <w:color w:val="000000"/>
                    <w:sz w:val="16"/>
                    <w:szCs w:val="16"/>
                    <w:lang w:eastAsia="en-GB"/>
                  </w:rPr>
                </m:ctrlPr>
              </m:dPr>
              <m:e>
                <m:r>
                  <w:rPr>
                    <w:rFonts w:ascii="Cambria Math" w:hAnsi="Cambria Math" w:cs="Arial"/>
                    <w:color w:val="000000"/>
                    <w:sz w:val="16"/>
                    <w:szCs w:val="16"/>
                    <w:lang w:eastAsia="en-GB"/>
                  </w:rPr>
                  <m:t>0,</m:t>
                </m:r>
                <m:d>
                  <m:dPr>
                    <m:begChr m:val="⌈"/>
                    <m:endChr m:val="⌉"/>
                    <m:ctrlPr>
                      <w:rPr>
                        <w:rFonts w:ascii="Cambria Math" w:hAnsi="Cambria Math" w:cs="Arial"/>
                        <w:i/>
                        <w:sz w:val="16"/>
                        <w:szCs w:val="16"/>
                      </w:rPr>
                    </m:ctrlPr>
                  </m:dPr>
                  <m:e>
                    <m:f>
                      <m:fPr>
                        <m:ctrlPr>
                          <w:rPr>
                            <w:rFonts w:ascii="Cambria Math" w:hAnsi="Cambria Math" w:cs="Arial"/>
                            <w:i/>
                            <w:sz w:val="16"/>
                            <w:szCs w:val="16"/>
                          </w:rPr>
                        </m:ctrlPr>
                      </m:fPr>
                      <m:num>
                        <m:sSup>
                          <m:sSupPr>
                            <m:ctrlPr>
                              <w:rPr>
                                <w:rFonts w:ascii="Cambria Math" w:hAnsi="Cambria Math" w:cs="Arial"/>
                                <w:i/>
                                <w:sz w:val="16"/>
                                <w:szCs w:val="16"/>
                              </w:rPr>
                            </m:ctrlPr>
                          </m:sSupPr>
                          <m:e>
                            <m:r>
                              <w:rPr>
                                <w:rFonts w:ascii="Cambria Math" w:hAnsi="Cambria Math" w:cs="Arial"/>
                                <w:sz w:val="16"/>
                                <w:szCs w:val="16"/>
                              </w:rPr>
                              <m:t>K</m:t>
                            </m:r>
                          </m:e>
                          <m:sup>
                            <m:r>
                              <w:rPr>
                                <w:rFonts w:ascii="Cambria Math" w:hAnsi="Cambria Math" w:cs="Arial"/>
                                <w:sz w:val="16"/>
                                <w:szCs w:val="16"/>
                              </w:rPr>
                              <m:t>NZ</m:t>
                            </m:r>
                          </m:sup>
                        </m:sSup>
                      </m:num>
                      <m:den>
                        <m:r>
                          <w:rPr>
                            <w:rFonts w:ascii="Cambria Math" w:hAnsi="Cambria Math" w:cs="Arial"/>
                            <w:sz w:val="16"/>
                            <w:szCs w:val="16"/>
                          </w:rPr>
                          <m:t>2</m:t>
                        </m:r>
                      </m:den>
                    </m:f>
                  </m:e>
                </m:d>
                <m:r>
                  <w:rPr>
                    <w:rFonts w:ascii="Cambria Math" w:hAnsi="Cambria Math" w:cs="Arial"/>
                    <w:sz w:val="16"/>
                    <w:szCs w:val="16"/>
                  </w:rPr>
                  <m:t>-υ</m:t>
                </m:r>
              </m:e>
            </m:d>
          </m:e>
        </m:func>
      </m:oMath>
      <w:r w:rsidRPr="009537ED">
        <w:rPr>
          <w:rFonts w:ascii="Arial" w:hAnsi="Arial" w:cs="Arial"/>
          <w:sz w:val="16"/>
          <w:szCs w:val="16"/>
        </w:rPr>
        <w:t xml:space="preserve"> highest priority elements of </w:t>
      </w:r>
      <m:oMath>
        <m:sSub>
          <m:sSubPr>
            <m:ctrlPr>
              <w:rPr>
                <w:rFonts w:ascii="Cambria Math" w:hAnsi="Cambria Math" w:cs="Arial"/>
                <w:i/>
                <w:sz w:val="16"/>
                <w:szCs w:val="16"/>
              </w:rPr>
            </m:ctrlPr>
          </m:sSubPr>
          <m:e>
            <m:r>
              <w:rPr>
                <w:rFonts w:ascii="Cambria Math" w:hAnsi="Cambria Math" w:cs="Arial"/>
                <w:sz w:val="16"/>
                <w:szCs w:val="16"/>
              </w:rPr>
              <m:t>i</m:t>
            </m:r>
          </m:e>
          <m:sub>
            <m:r>
              <w:rPr>
                <w:rFonts w:ascii="Cambria Math" w:hAnsi="Cambria Math" w:cs="Arial"/>
                <w:sz w:val="16"/>
                <w:szCs w:val="16"/>
              </w:rPr>
              <m:t>2,4,l</m:t>
            </m:r>
          </m:sub>
        </m:sSub>
      </m:oMath>
      <w:r w:rsidRPr="009537ED">
        <w:rPr>
          <w:rFonts w:ascii="Arial" w:hAnsi="Arial" w:cs="Arial"/>
          <w:sz w:val="16"/>
          <w:szCs w:val="16"/>
        </w:rPr>
        <w:t xml:space="preserve">, the </w:t>
      </w:r>
      <m:oMath>
        <m:func>
          <m:funcPr>
            <m:ctrlPr>
              <w:rPr>
                <w:rFonts w:ascii="Cambria Math" w:hAnsi="Cambria Math" w:cs="Arial"/>
                <w:i/>
                <w:color w:val="000000"/>
                <w:sz w:val="16"/>
                <w:szCs w:val="16"/>
                <w:lang w:eastAsia="en-GB"/>
              </w:rPr>
            </m:ctrlPr>
          </m:funcPr>
          <m:fName>
            <m:r>
              <m:rPr>
                <m:sty m:val="p"/>
              </m:rPr>
              <w:rPr>
                <w:rFonts w:ascii="Cambria Math" w:hAnsi="Cambria Math" w:cs="Arial"/>
                <w:color w:val="000000"/>
                <w:sz w:val="16"/>
                <w:szCs w:val="16"/>
                <w:lang w:eastAsia="en-GB"/>
              </w:rPr>
              <m:t>max</m:t>
            </m:r>
          </m:fName>
          <m:e>
            <m:d>
              <m:dPr>
                <m:ctrlPr>
                  <w:rPr>
                    <w:rFonts w:ascii="Cambria Math" w:hAnsi="Cambria Math" w:cs="Arial"/>
                    <w:i/>
                    <w:color w:val="000000"/>
                    <w:sz w:val="16"/>
                    <w:szCs w:val="16"/>
                    <w:lang w:eastAsia="en-GB"/>
                  </w:rPr>
                </m:ctrlPr>
              </m:dPr>
              <m:e>
                <m:r>
                  <w:rPr>
                    <w:rFonts w:ascii="Cambria Math" w:hAnsi="Cambria Math" w:cs="Arial"/>
                    <w:color w:val="000000"/>
                    <w:sz w:val="16"/>
                    <w:szCs w:val="16"/>
                    <w:lang w:eastAsia="en-GB"/>
                  </w:rPr>
                  <m:t>0,</m:t>
                </m:r>
                <m:d>
                  <m:dPr>
                    <m:begChr m:val="⌈"/>
                    <m:endChr m:val="⌉"/>
                    <m:ctrlPr>
                      <w:rPr>
                        <w:rFonts w:ascii="Cambria Math" w:hAnsi="Cambria Math" w:cs="Arial"/>
                        <w:i/>
                        <w:sz w:val="16"/>
                        <w:szCs w:val="16"/>
                      </w:rPr>
                    </m:ctrlPr>
                  </m:dPr>
                  <m:e>
                    <m:f>
                      <m:fPr>
                        <m:ctrlPr>
                          <w:rPr>
                            <w:rFonts w:ascii="Cambria Math" w:hAnsi="Cambria Math" w:cs="Arial"/>
                            <w:i/>
                            <w:sz w:val="16"/>
                            <w:szCs w:val="16"/>
                          </w:rPr>
                        </m:ctrlPr>
                      </m:fPr>
                      <m:num>
                        <m:sSup>
                          <m:sSupPr>
                            <m:ctrlPr>
                              <w:rPr>
                                <w:rFonts w:ascii="Cambria Math" w:hAnsi="Cambria Math" w:cs="Arial"/>
                                <w:i/>
                                <w:sz w:val="16"/>
                                <w:szCs w:val="16"/>
                              </w:rPr>
                            </m:ctrlPr>
                          </m:sSupPr>
                          <m:e>
                            <m:r>
                              <w:rPr>
                                <w:rFonts w:ascii="Cambria Math" w:hAnsi="Cambria Math" w:cs="Arial"/>
                                <w:sz w:val="16"/>
                                <w:szCs w:val="16"/>
                              </w:rPr>
                              <m:t>K</m:t>
                            </m:r>
                          </m:e>
                          <m:sup>
                            <m:r>
                              <w:rPr>
                                <w:rFonts w:ascii="Cambria Math" w:hAnsi="Cambria Math" w:cs="Arial"/>
                                <w:sz w:val="16"/>
                                <w:szCs w:val="16"/>
                              </w:rPr>
                              <m:t>NZ</m:t>
                            </m:r>
                          </m:sup>
                        </m:sSup>
                      </m:num>
                      <m:den>
                        <m:r>
                          <w:rPr>
                            <w:rFonts w:ascii="Cambria Math" w:hAnsi="Cambria Math" w:cs="Arial"/>
                            <w:sz w:val="16"/>
                            <w:szCs w:val="16"/>
                          </w:rPr>
                          <m:t>2</m:t>
                        </m:r>
                      </m:den>
                    </m:f>
                  </m:e>
                </m:d>
                <m:r>
                  <w:rPr>
                    <w:rFonts w:ascii="Cambria Math" w:hAnsi="Cambria Math" w:cs="Arial"/>
                    <w:sz w:val="16"/>
                    <w:szCs w:val="16"/>
                  </w:rPr>
                  <m:t>-υ</m:t>
                </m:r>
              </m:e>
            </m:d>
          </m:e>
        </m:func>
      </m:oMath>
      <w:r w:rsidRPr="009537ED">
        <w:rPr>
          <w:rFonts w:ascii="Arial" w:hAnsi="Arial" w:cs="Arial"/>
          <w:sz w:val="16"/>
          <w:szCs w:val="16"/>
        </w:rPr>
        <w:t xml:space="preserve"> highest priority elements of </w:t>
      </w:r>
      <m:oMath>
        <m:sSub>
          <m:sSubPr>
            <m:ctrlPr>
              <w:rPr>
                <w:rFonts w:ascii="Cambria Math" w:hAnsi="Cambria Math" w:cs="Arial"/>
                <w:i/>
                <w:sz w:val="16"/>
                <w:szCs w:val="16"/>
              </w:rPr>
            </m:ctrlPr>
          </m:sSubPr>
          <m:e>
            <m:r>
              <w:rPr>
                <w:rFonts w:ascii="Cambria Math" w:hAnsi="Cambria Math" w:cs="Arial"/>
                <w:sz w:val="16"/>
                <w:szCs w:val="16"/>
              </w:rPr>
              <m:t>i</m:t>
            </m:r>
          </m:e>
          <m:sub>
            <m:r>
              <w:rPr>
                <w:rFonts w:ascii="Cambria Math" w:hAnsi="Cambria Math" w:cs="Arial"/>
                <w:sz w:val="16"/>
                <w:szCs w:val="16"/>
              </w:rPr>
              <m:t>2,5,l</m:t>
            </m:r>
          </m:sub>
        </m:sSub>
      </m:oMath>
      <w:r w:rsidRPr="009537ED">
        <w:rPr>
          <w:rFonts w:ascii="Arial" w:hAnsi="Arial" w:cs="Arial"/>
          <w:sz w:val="16"/>
          <w:szCs w:val="16"/>
        </w:rPr>
        <w:t xml:space="preserve"> (</w:t>
      </w:r>
      <m:oMath>
        <m:r>
          <w:rPr>
            <w:rFonts w:ascii="Cambria Math" w:hAnsi="Cambria Math" w:cs="Arial"/>
            <w:sz w:val="16"/>
            <w:szCs w:val="16"/>
          </w:rPr>
          <m:t>l=1,…,υ</m:t>
        </m:r>
      </m:oMath>
      <w:r w:rsidRPr="009537ED">
        <w:rPr>
          <w:rFonts w:ascii="Arial" w:hAnsi="Arial" w:cs="Arial"/>
          <w:sz w:val="16"/>
          <w:szCs w:val="16"/>
        </w:rPr>
        <w:t xml:space="preserve">) and </w:t>
      </w:r>
      <m:oMath>
        <m:sSub>
          <m:sSubPr>
            <m:ctrlPr>
              <w:rPr>
                <w:rFonts w:ascii="Cambria Math" w:hAnsi="Cambria Math" w:cs="Arial"/>
                <w:i/>
                <w:sz w:val="16"/>
                <w:szCs w:val="16"/>
              </w:rPr>
            </m:ctrlPr>
          </m:sSubPr>
          <m:e>
            <m:r>
              <w:rPr>
                <w:rFonts w:ascii="Cambria Math" w:hAnsi="Cambria Math" w:cs="Arial"/>
                <w:sz w:val="16"/>
                <w:szCs w:val="16"/>
              </w:rPr>
              <m:t>i</m:t>
            </m:r>
          </m:e>
          <m:sub>
            <m:r>
              <w:rPr>
                <w:rFonts w:ascii="Cambria Math" w:hAnsi="Cambria Math" w:cs="Arial"/>
                <w:sz w:val="16"/>
                <w:szCs w:val="16"/>
              </w:rPr>
              <m:t>1,9</m:t>
            </m:r>
          </m:sub>
        </m:sSub>
      </m:oMath>
      <w:r w:rsidRPr="009537ED">
        <w:rPr>
          <w:rFonts w:ascii="Arial" w:hAnsi="Arial" w:cs="Arial"/>
          <w:sz w:val="16"/>
          <w:szCs w:val="16"/>
        </w:rPr>
        <w:t xml:space="preserve"> (if reported).</w:t>
      </w:r>
    </w:p>
    <w:p w14:paraId="10B09D6D" w14:textId="1DDE85B4" w:rsidR="00A41C1A" w:rsidRPr="009537ED" w:rsidRDefault="00A41C1A" w:rsidP="00141B77">
      <w:pPr>
        <w:ind w:left="851" w:hanging="284"/>
        <w:rPr>
          <w:rFonts w:ascii="Arial" w:hAnsi="Arial" w:cs="Arial"/>
          <w:sz w:val="16"/>
          <w:szCs w:val="16"/>
        </w:rPr>
      </w:pPr>
      <w:r w:rsidRPr="009537ED">
        <w:rPr>
          <w:rFonts w:ascii="Arial" w:hAnsi="Arial" w:cs="Arial"/>
          <w:sz w:val="16"/>
          <w:szCs w:val="16"/>
        </w:rPr>
        <w:t>-</w:t>
      </w:r>
      <w:r w:rsidRPr="009537ED">
        <w:rPr>
          <w:rFonts w:ascii="Arial" w:hAnsi="Arial" w:cs="Arial"/>
          <w:sz w:val="16"/>
          <w:szCs w:val="16"/>
        </w:rPr>
        <w:tab/>
        <w:t xml:space="preserve">Group 2 includes the </w:t>
      </w:r>
      <m:oMath>
        <m:d>
          <m:dPr>
            <m:begChr m:val="⌊"/>
            <m:endChr m:val="⌋"/>
            <m:ctrlPr>
              <w:rPr>
                <w:rFonts w:ascii="Cambria Math" w:hAnsi="Cambria Math" w:cs="Arial"/>
                <w:i/>
                <w:sz w:val="16"/>
                <w:szCs w:val="16"/>
              </w:rPr>
            </m:ctrlPr>
          </m:dPr>
          <m:e>
            <m:sSup>
              <m:sSupPr>
                <m:ctrlPr>
                  <w:rPr>
                    <w:rFonts w:ascii="Cambria Math" w:hAnsi="Cambria Math" w:cs="Arial"/>
                    <w:i/>
                    <w:sz w:val="16"/>
                    <w:szCs w:val="16"/>
                  </w:rPr>
                </m:ctrlPr>
              </m:sSupPr>
              <m:e>
                <m:r>
                  <w:rPr>
                    <w:rFonts w:ascii="Cambria Math" w:hAnsi="Cambria Math" w:cs="Arial"/>
                    <w:sz w:val="16"/>
                    <w:szCs w:val="16"/>
                  </w:rPr>
                  <m:t>K</m:t>
                </m:r>
              </m:e>
              <m:sup>
                <m:r>
                  <w:rPr>
                    <w:rFonts w:ascii="Cambria Math" w:hAnsi="Cambria Math" w:cs="Arial"/>
                    <w:sz w:val="16"/>
                    <w:szCs w:val="16"/>
                  </w:rPr>
                  <m:t>NZ</m:t>
                </m:r>
              </m:sup>
            </m:sSup>
            <m:r>
              <w:rPr>
                <w:rFonts w:ascii="Cambria Math" w:hAnsi="Cambria Math" w:cs="Arial"/>
                <w:sz w:val="16"/>
                <w:szCs w:val="16"/>
              </w:rPr>
              <m:t>/2</m:t>
            </m:r>
          </m:e>
        </m:d>
      </m:oMath>
      <w:r w:rsidRPr="009537ED">
        <w:rPr>
          <w:rFonts w:ascii="Arial" w:hAnsi="Arial" w:cs="Arial"/>
          <w:sz w:val="16"/>
          <w:szCs w:val="16"/>
        </w:rPr>
        <w:t xml:space="preserve"> </w:t>
      </w:r>
      <w:r w:rsidRPr="009537ED">
        <w:rPr>
          <w:rFonts w:ascii="Arial" w:hAnsi="Arial" w:cs="Arial"/>
          <w:noProof/>
          <w:sz w:val="16"/>
          <w:szCs w:val="16"/>
        </w:rPr>
        <w:t xml:space="preserve">lowest priority </w:t>
      </w:r>
      <w:r w:rsidRPr="009537ED">
        <w:rPr>
          <w:rFonts w:ascii="Arial" w:hAnsi="Arial" w:cs="Arial"/>
          <w:sz w:val="16"/>
          <w:szCs w:val="16"/>
        </w:rPr>
        <w:t xml:space="preserve">elements </w:t>
      </w:r>
      <w:r w:rsidRPr="009537ED">
        <w:rPr>
          <w:rFonts w:ascii="Arial" w:hAnsi="Arial" w:cs="Arial"/>
          <w:noProof/>
          <w:sz w:val="16"/>
          <w:szCs w:val="16"/>
        </w:rPr>
        <w:t>of</w:t>
      </w:r>
      <w:r w:rsidRPr="009537ED">
        <w:rPr>
          <w:rFonts w:ascii="Arial" w:hAnsi="Arial" w:cs="Arial"/>
          <w:sz w:val="16"/>
          <w:szCs w:val="16"/>
        </w:rPr>
        <w:t xml:space="preserve"> </w:t>
      </w:r>
      <m:oMath>
        <m:sSub>
          <m:sSubPr>
            <m:ctrlPr>
              <w:rPr>
                <w:rFonts w:ascii="Cambria Math" w:hAnsi="Cambria Math" w:cs="Arial"/>
                <w:sz w:val="16"/>
                <w:szCs w:val="16"/>
              </w:rPr>
            </m:ctrlPr>
          </m:sSubPr>
          <m:e>
            <m:r>
              <w:rPr>
                <w:rFonts w:ascii="Cambria Math" w:hAnsi="Cambria Math" w:cs="Arial"/>
                <w:sz w:val="16"/>
                <w:szCs w:val="16"/>
              </w:rPr>
              <m:t>i</m:t>
            </m:r>
          </m:e>
          <m:sub>
            <m:r>
              <m:rPr>
                <m:sty m:val="p"/>
              </m:rPr>
              <w:rPr>
                <w:rFonts w:ascii="Cambria Math" w:hAnsi="Cambria Math" w:cs="Arial"/>
                <w:sz w:val="16"/>
                <w:szCs w:val="16"/>
              </w:rPr>
              <m:t>1,7,</m:t>
            </m:r>
            <m:r>
              <w:rPr>
                <w:rFonts w:ascii="Cambria Math" w:hAnsi="Cambria Math" w:cs="Arial"/>
                <w:sz w:val="16"/>
                <w:szCs w:val="16"/>
              </w:rPr>
              <m:t>l</m:t>
            </m:r>
          </m:sub>
        </m:sSub>
      </m:oMath>
      <w:r w:rsidRPr="009537ED">
        <w:rPr>
          <w:rFonts w:ascii="Arial" w:hAnsi="Arial" w:cs="Arial"/>
          <w:sz w:val="16"/>
          <w:szCs w:val="16"/>
        </w:rPr>
        <w:t xml:space="preserve">, the </w:t>
      </w:r>
      <m:oMath>
        <m:func>
          <m:funcPr>
            <m:ctrlPr>
              <w:rPr>
                <w:rFonts w:ascii="Cambria Math" w:hAnsi="Cambria Math" w:cs="Arial"/>
                <w:i/>
                <w:sz w:val="16"/>
                <w:szCs w:val="16"/>
              </w:rPr>
            </m:ctrlPr>
          </m:funcPr>
          <m:fName>
            <m:r>
              <m:rPr>
                <m:sty m:val="p"/>
              </m:rPr>
              <w:rPr>
                <w:rFonts w:ascii="Cambria Math" w:hAnsi="Cambria Math" w:cs="Arial"/>
                <w:sz w:val="16"/>
                <w:szCs w:val="16"/>
              </w:rPr>
              <m:t>min</m:t>
            </m:r>
          </m:fName>
          <m:e>
            <m:d>
              <m:dPr>
                <m:ctrlPr>
                  <w:rPr>
                    <w:rFonts w:ascii="Cambria Math" w:hAnsi="Cambria Math" w:cs="Arial"/>
                    <w:i/>
                    <w:sz w:val="16"/>
                    <w:szCs w:val="16"/>
                  </w:rPr>
                </m:ctrlPr>
              </m:dPr>
              <m:e>
                <m:sSup>
                  <m:sSupPr>
                    <m:ctrlPr>
                      <w:rPr>
                        <w:rFonts w:ascii="Cambria Math" w:hAnsi="Cambria Math" w:cs="Arial"/>
                        <w:i/>
                        <w:sz w:val="16"/>
                        <w:szCs w:val="16"/>
                      </w:rPr>
                    </m:ctrlPr>
                  </m:sSupPr>
                  <m:e>
                    <m:r>
                      <w:rPr>
                        <w:rFonts w:ascii="Cambria Math" w:hAnsi="Cambria Math" w:cs="Arial"/>
                        <w:sz w:val="16"/>
                        <w:szCs w:val="16"/>
                      </w:rPr>
                      <m:t>K</m:t>
                    </m:r>
                  </m:e>
                  <m:sup>
                    <m:r>
                      <w:rPr>
                        <w:rFonts w:ascii="Cambria Math" w:hAnsi="Cambria Math" w:cs="Arial"/>
                        <w:sz w:val="16"/>
                        <w:szCs w:val="16"/>
                      </w:rPr>
                      <m:t>NZ</m:t>
                    </m:r>
                  </m:sup>
                </m:sSup>
                <m:r>
                  <w:rPr>
                    <w:rFonts w:ascii="Cambria Math" w:hAnsi="Cambria Math" w:cs="Arial"/>
                    <w:sz w:val="16"/>
                    <w:szCs w:val="16"/>
                  </w:rPr>
                  <m:t>-υ,</m:t>
                </m:r>
                <m:d>
                  <m:dPr>
                    <m:begChr m:val="⌊"/>
                    <m:endChr m:val="⌋"/>
                    <m:ctrlPr>
                      <w:rPr>
                        <w:rFonts w:ascii="Cambria Math" w:hAnsi="Cambria Math" w:cs="Arial"/>
                        <w:i/>
                        <w:sz w:val="16"/>
                        <w:szCs w:val="16"/>
                      </w:rPr>
                    </m:ctrlPr>
                  </m:dPr>
                  <m:e>
                    <m:f>
                      <m:fPr>
                        <m:ctrlPr>
                          <w:rPr>
                            <w:rFonts w:ascii="Cambria Math" w:hAnsi="Cambria Math" w:cs="Arial"/>
                            <w:i/>
                            <w:sz w:val="16"/>
                            <w:szCs w:val="16"/>
                          </w:rPr>
                        </m:ctrlPr>
                      </m:fPr>
                      <m:num>
                        <m:sSup>
                          <m:sSupPr>
                            <m:ctrlPr>
                              <w:rPr>
                                <w:rFonts w:ascii="Cambria Math" w:hAnsi="Cambria Math" w:cs="Arial"/>
                                <w:i/>
                                <w:sz w:val="16"/>
                                <w:szCs w:val="16"/>
                              </w:rPr>
                            </m:ctrlPr>
                          </m:sSupPr>
                          <m:e>
                            <m:r>
                              <w:rPr>
                                <w:rFonts w:ascii="Cambria Math" w:hAnsi="Cambria Math" w:cs="Arial"/>
                                <w:sz w:val="16"/>
                                <w:szCs w:val="16"/>
                              </w:rPr>
                              <m:t>K</m:t>
                            </m:r>
                          </m:e>
                          <m:sup>
                            <m:r>
                              <w:rPr>
                                <w:rFonts w:ascii="Cambria Math" w:hAnsi="Cambria Math" w:cs="Arial"/>
                                <w:sz w:val="16"/>
                                <w:szCs w:val="16"/>
                              </w:rPr>
                              <m:t>NZ</m:t>
                            </m:r>
                          </m:sup>
                        </m:sSup>
                      </m:num>
                      <m:den>
                        <m:r>
                          <w:rPr>
                            <w:rFonts w:ascii="Cambria Math" w:hAnsi="Cambria Math" w:cs="Arial"/>
                            <w:sz w:val="16"/>
                            <w:szCs w:val="16"/>
                          </w:rPr>
                          <m:t>2</m:t>
                        </m:r>
                      </m:den>
                    </m:f>
                  </m:e>
                </m:d>
              </m:e>
            </m:d>
          </m:e>
        </m:func>
      </m:oMath>
      <w:r w:rsidRPr="009537ED">
        <w:rPr>
          <w:rFonts w:ascii="Arial" w:hAnsi="Arial" w:cs="Arial"/>
          <w:sz w:val="16"/>
          <w:szCs w:val="16"/>
        </w:rPr>
        <w:t xml:space="preserve"> lowest priority elements of </w:t>
      </w:r>
      <m:oMath>
        <m:sSub>
          <m:sSubPr>
            <m:ctrlPr>
              <w:rPr>
                <w:rFonts w:ascii="Cambria Math" w:hAnsi="Cambria Math" w:cs="Arial"/>
                <w:i/>
                <w:sz w:val="16"/>
                <w:szCs w:val="16"/>
              </w:rPr>
            </m:ctrlPr>
          </m:sSubPr>
          <m:e>
            <m:r>
              <w:rPr>
                <w:rFonts w:ascii="Cambria Math" w:hAnsi="Cambria Math" w:cs="Arial"/>
                <w:sz w:val="16"/>
                <w:szCs w:val="16"/>
              </w:rPr>
              <m:t>i</m:t>
            </m:r>
          </m:e>
          <m:sub>
            <m:r>
              <w:rPr>
                <w:rFonts w:ascii="Cambria Math" w:hAnsi="Cambria Math" w:cs="Arial"/>
                <w:sz w:val="16"/>
                <w:szCs w:val="16"/>
              </w:rPr>
              <m:t>2,4,l</m:t>
            </m:r>
          </m:sub>
        </m:sSub>
      </m:oMath>
      <w:r w:rsidRPr="009537ED">
        <w:rPr>
          <w:rFonts w:ascii="Arial" w:hAnsi="Arial" w:cs="Arial"/>
          <w:sz w:val="16"/>
          <w:szCs w:val="16"/>
        </w:rPr>
        <w:t xml:space="preserve"> and the </w:t>
      </w:r>
      <m:oMath>
        <m:func>
          <m:funcPr>
            <m:ctrlPr>
              <w:rPr>
                <w:rFonts w:ascii="Cambria Math" w:hAnsi="Cambria Math" w:cs="Arial"/>
                <w:i/>
                <w:sz w:val="16"/>
                <w:szCs w:val="16"/>
              </w:rPr>
            </m:ctrlPr>
          </m:funcPr>
          <m:fName>
            <m:r>
              <m:rPr>
                <m:sty m:val="p"/>
              </m:rPr>
              <w:rPr>
                <w:rFonts w:ascii="Cambria Math" w:hAnsi="Cambria Math" w:cs="Arial"/>
                <w:sz w:val="16"/>
                <w:szCs w:val="16"/>
              </w:rPr>
              <m:t>min</m:t>
            </m:r>
          </m:fName>
          <m:e>
            <m:d>
              <m:dPr>
                <m:ctrlPr>
                  <w:rPr>
                    <w:rFonts w:ascii="Cambria Math" w:hAnsi="Cambria Math" w:cs="Arial"/>
                    <w:i/>
                    <w:sz w:val="16"/>
                    <w:szCs w:val="16"/>
                  </w:rPr>
                </m:ctrlPr>
              </m:dPr>
              <m:e>
                <m:sSup>
                  <m:sSupPr>
                    <m:ctrlPr>
                      <w:rPr>
                        <w:rFonts w:ascii="Cambria Math" w:hAnsi="Cambria Math" w:cs="Arial"/>
                        <w:i/>
                        <w:sz w:val="16"/>
                        <w:szCs w:val="16"/>
                      </w:rPr>
                    </m:ctrlPr>
                  </m:sSupPr>
                  <m:e>
                    <m:r>
                      <w:rPr>
                        <w:rFonts w:ascii="Cambria Math" w:hAnsi="Cambria Math" w:cs="Arial"/>
                        <w:sz w:val="16"/>
                        <w:szCs w:val="16"/>
                      </w:rPr>
                      <m:t>K</m:t>
                    </m:r>
                  </m:e>
                  <m:sup>
                    <m:r>
                      <w:rPr>
                        <w:rFonts w:ascii="Cambria Math" w:hAnsi="Cambria Math" w:cs="Arial"/>
                        <w:sz w:val="16"/>
                        <w:szCs w:val="16"/>
                      </w:rPr>
                      <m:t>NZ</m:t>
                    </m:r>
                  </m:sup>
                </m:sSup>
                <m:r>
                  <w:rPr>
                    <w:rFonts w:ascii="Cambria Math" w:hAnsi="Cambria Math" w:cs="Arial"/>
                    <w:sz w:val="16"/>
                    <w:szCs w:val="16"/>
                  </w:rPr>
                  <m:t>-υ,</m:t>
                </m:r>
                <m:d>
                  <m:dPr>
                    <m:begChr m:val="⌊"/>
                    <m:endChr m:val="⌋"/>
                    <m:ctrlPr>
                      <w:rPr>
                        <w:rFonts w:ascii="Cambria Math" w:hAnsi="Cambria Math" w:cs="Arial"/>
                        <w:i/>
                        <w:sz w:val="16"/>
                        <w:szCs w:val="16"/>
                      </w:rPr>
                    </m:ctrlPr>
                  </m:dPr>
                  <m:e>
                    <m:f>
                      <m:fPr>
                        <m:ctrlPr>
                          <w:rPr>
                            <w:rFonts w:ascii="Cambria Math" w:hAnsi="Cambria Math" w:cs="Arial"/>
                            <w:i/>
                            <w:sz w:val="16"/>
                            <w:szCs w:val="16"/>
                          </w:rPr>
                        </m:ctrlPr>
                      </m:fPr>
                      <m:num>
                        <m:sSup>
                          <m:sSupPr>
                            <m:ctrlPr>
                              <w:rPr>
                                <w:rFonts w:ascii="Cambria Math" w:hAnsi="Cambria Math" w:cs="Arial"/>
                                <w:i/>
                                <w:sz w:val="16"/>
                                <w:szCs w:val="16"/>
                              </w:rPr>
                            </m:ctrlPr>
                          </m:sSupPr>
                          <m:e>
                            <m:r>
                              <w:rPr>
                                <w:rFonts w:ascii="Cambria Math" w:hAnsi="Cambria Math" w:cs="Arial"/>
                                <w:sz w:val="16"/>
                                <w:szCs w:val="16"/>
                              </w:rPr>
                              <m:t>K</m:t>
                            </m:r>
                          </m:e>
                          <m:sup>
                            <m:r>
                              <w:rPr>
                                <w:rFonts w:ascii="Cambria Math" w:hAnsi="Cambria Math" w:cs="Arial"/>
                                <w:sz w:val="16"/>
                                <w:szCs w:val="16"/>
                              </w:rPr>
                              <m:t>NZ</m:t>
                            </m:r>
                          </m:sup>
                        </m:sSup>
                      </m:num>
                      <m:den>
                        <m:r>
                          <w:rPr>
                            <w:rFonts w:ascii="Cambria Math" w:hAnsi="Cambria Math" w:cs="Arial"/>
                            <w:sz w:val="16"/>
                            <w:szCs w:val="16"/>
                          </w:rPr>
                          <m:t>2</m:t>
                        </m:r>
                      </m:den>
                    </m:f>
                  </m:e>
                </m:d>
              </m:e>
            </m:d>
          </m:e>
        </m:func>
      </m:oMath>
      <w:r w:rsidRPr="009537ED">
        <w:rPr>
          <w:rFonts w:ascii="Arial" w:hAnsi="Arial" w:cs="Arial"/>
          <w:sz w:val="16"/>
          <w:szCs w:val="16"/>
        </w:rPr>
        <w:t xml:space="preserve"> lowest priority elements of </w:t>
      </w:r>
      <m:oMath>
        <m:sSub>
          <m:sSubPr>
            <m:ctrlPr>
              <w:rPr>
                <w:rFonts w:ascii="Cambria Math" w:hAnsi="Cambria Math" w:cs="Arial"/>
                <w:i/>
                <w:sz w:val="16"/>
                <w:szCs w:val="16"/>
              </w:rPr>
            </m:ctrlPr>
          </m:sSubPr>
          <m:e>
            <m:r>
              <w:rPr>
                <w:rFonts w:ascii="Cambria Math" w:hAnsi="Cambria Math" w:cs="Arial"/>
                <w:sz w:val="16"/>
                <w:szCs w:val="16"/>
              </w:rPr>
              <m:t>i</m:t>
            </m:r>
          </m:e>
          <m:sub>
            <m:r>
              <w:rPr>
                <w:rFonts w:ascii="Cambria Math" w:hAnsi="Cambria Math" w:cs="Arial"/>
                <w:sz w:val="16"/>
                <w:szCs w:val="16"/>
              </w:rPr>
              <m:t>2,5,l</m:t>
            </m:r>
          </m:sub>
        </m:sSub>
      </m:oMath>
      <w:r w:rsidRPr="009537ED">
        <w:rPr>
          <w:rFonts w:ascii="Arial" w:hAnsi="Arial" w:cs="Arial"/>
          <w:sz w:val="16"/>
          <w:szCs w:val="16"/>
        </w:rPr>
        <w:t xml:space="preserve"> (</w:t>
      </w:r>
      <m:oMath>
        <m:r>
          <w:rPr>
            <w:rFonts w:ascii="Cambria Math" w:hAnsi="Cambria Math" w:cs="Arial"/>
            <w:sz w:val="16"/>
            <w:szCs w:val="16"/>
          </w:rPr>
          <m:t>l=1,…,υ</m:t>
        </m:r>
      </m:oMath>
      <w:r w:rsidRPr="009537ED">
        <w:rPr>
          <w:rFonts w:ascii="Arial" w:hAnsi="Arial" w:cs="Arial"/>
          <w:sz w:val="16"/>
          <w:szCs w:val="16"/>
        </w:rPr>
        <w:t>).</w:t>
      </w:r>
    </w:p>
    <w:p w14:paraId="629405A2" w14:textId="7C72F69B" w:rsidR="00A41C1A" w:rsidRPr="009537ED" w:rsidRDefault="00A41C1A" w:rsidP="00141B77">
      <w:pPr>
        <w:ind w:left="568" w:hanging="284"/>
        <w:rPr>
          <w:rFonts w:ascii="Arial" w:hAnsi="Arial" w:cs="Arial"/>
          <w:sz w:val="16"/>
          <w:szCs w:val="16"/>
        </w:rPr>
      </w:pPr>
      <w:r w:rsidRPr="009537ED">
        <w:rPr>
          <w:rFonts w:ascii="Arial" w:hAnsi="Arial" w:cs="Arial"/>
          <w:sz w:val="16"/>
          <w:szCs w:val="16"/>
        </w:rPr>
        <w:t>-</w:t>
      </w:r>
      <w:r w:rsidRPr="009537ED">
        <w:rPr>
          <w:rFonts w:ascii="Arial" w:hAnsi="Arial" w:cs="Arial"/>
          <w:sz w:val="16"/>
          <w:szCs w:val="16"/>
        </w:rPr>
        <w:tab/>
        <w:t xml:space="preserve">For Further Enhanced Type II Port Selection for CJT reports, for a given CSI report </w:t>
      </w:r>
      <m:oMath>
        <m:r>
          <w:rPr>
            <w:rFonts w:ascii="Cambria Math" w:hAnsi="Cambria Math" w:cs="Arial"/>
            <w:sz w:val="16"/>
            <w:szCs w:val="16"/>
          </w:rPr>
          <m:t>n</m:t>
        </m:r>
      </m:oMath>
      <w:r w:rsidRPr="009537ED">
        <w:rPr>
          <w:rFonts w:ascii="Arial" w:hAnsi="Arial" w:cs="Arial"/>
          <w:sz w:val="16"/>
          <w:szCs w:val="16"/>
        </w:rPr>
        <w:t xml:space="preserve">, each reported element of </w:t>
      </w:r>
      <m:oMath>
        <m:sSub>
          <m:sSubPr>
            <m:ctrlPr>
              <w:rPr>
                <w:rFonts w:ascii="Cambria Math" w:hAnsi="Cambria Math" w:cs="Arial"/>
                <w:i/>
                <w:sz w:val="16"/>
                <w:szCs w:val="16"/>
              </w:rPr>
            </m:ctrlPr>
          </m:sSubPr>
          <m:e>
            <m:r>
              <w:rPr>
                <w:rFonts w:ascii="Cambria Math" w:hAnsi="Cambria Math" w:cs="Arial"/>
                <w:sz w:val="16"/>
                <w:szCs w:val="16"/>
              </w:rPr>
              <m:t>i</m:t>
            </m:r>
          </m:e>
          <m:sub>
            <m:r>
              <w:rPr>
                <w:rFonts w:ascii="Cambria Math" w:hAnsi="Cambria Math" w:cs="Arial"/>
                <w:sz w:val="16"/>
                <w:szCs w:val="16"/>
              </w:rPr>
              <m:t>2,4,l</m:t>
            </m:r>
          </m:sub>
        </m:sSub>
      </m:oMath>
      <w:r w:rsidRPr="009537ED">
        <w:rPr>
          <w:rFonts w:ascii="Arial" w:hAnsi="Arial" w:cs="Arial"/>
          <w:sz w:val="16"/>
          <w:szCs w:val="16"/>
        </w:rPr>
        <w:t xml:space="preserve"> </w:t>
      </w:r>
      <m:oMath>
        <m:sSub>
          <m:sSubPr>
            <m:ctrlPr>
              <w:rPr>
                <w:rFonts w:ascii="Cambria Math" w:hAnsi="Cambria Math" w:cs="Arial"/>
                <w:i/>
                <w:sz w:val="16"/>
                <w:szCs w:val="16"/>
              </w:rPr>
            </m:ctrlPr>
          </m:sSubPr>
          <m:e>
            <m:r>
              <w:rPr>
                <w:rFonts w:ascii="Cambria Math" w:hAnsi="Cambria Math" w:cs="Arial"/>
                <w:sz w:val="16"/>
                <w:szCs w:val="16"/>
              </w:rPr>
              <m:t>i</m:t>
            </m:r>
          </m:e>
          <m:sub>
            <m:r>
              <w:rPr>
                <w:rFonts w:ascii="Cambria Math" w:hAnsi="Cambria Math" w:cs="Arial"/>
                <w:sz w:val="16"/>
                <w:szCs w:val="16"/>
              </w:rPr>
              <m:t>2,5,l</m:t>
            </m:r>
          </m:sub>
        </m:sSub>
        <m:r>
          <w:rPr>
            <w:rFonts w:ascii="Cambria Math" w:hAnsi="Cambria Math" w:cs="Arial"/>
            <w:sz w:val="16"/>
            <w:szCs w:val="16"/>
          </w:rPr>
          <m:t xml:space="preserve"> </m:t>
        </m:r>
      </m:oMath>
      <w:r w:rsidRPr="009537ED">
        <w:rPr>
          <w:rFonts w:ascii="Arial" w:hAnsi="Arial" w:cs="Arial"/>
          <w:sz w:val="16"/>
          <w:szCs w:val="16"/>
        </w:rPr>
        <w:t xml:space="preserve">and </w:t>
      </w:r>
      <m:oMath>
        <m:sSub>
          <m:sSubPr>
            <m:ctrlPr>
              <w:rPr>
                <w:rFonts w:ascii="Cambria Math" w:hAnsi="Cambria Math" w:cs="Arial"/>
                <w:i/>
                <w:sz w:val="16"/>
                <w:szCs w:val="16"/>
              </w:rPr>
            </m:ctrlPr>
          </m:sSubPr>
          <m:e>
            <m:r>
              <w:rPr>
                <w:rFonts w:ascii="Cambria Math" w:hAnsi="Cambria Math" w:cs="Arial"/>
                <w:sz w:val="16"/>
                <w:szCs w:val="16"/>
              </w:rPr>
              <m:t>i</m:t>
            </m:r>
          </m:e>
          <m:sub>
            <m:r>
              <w:rPr>
                <w:rFonts w:ascii="Cambria Math" w:hAnsi="Cambria Math" w:cs="Arial"/>
                <w:sz w:val="16"/>
                <w:szCs w:val="16"/>
              </w:rPr>
              <m:t>1,7,l</m:t>
            </m:r>
          </m:sub>
        </m:sSub>
      </m:oMath>
      <w:r w:rsidRPr="009537ED">
        <w:rPr>
          <w:rFonts w:ascii="Arial" w:hAnsi="Arial" w:cs="Arial"/>
          <w:sz w:val="16"/>
          <w:szCs w:val="16"/>
        </w:rPr>
        <w:t xml:space="preserve">, indexed by </w:t>
      </w:r>
      <m:oMath>
        <m:r>
          <w:rPr>
            <w:rFonts w:ascii="Cambria Math" w:hAnsi="Cambria Math" w:cs="Arial"/>
            <w:sz w:val="16"/>
            <w:szCs w:val="16"/>
          </w:rPr>
          <m:t>l</m:t>
        </m:r>
      </m:oMath>
      <w:r w:rsidRPr="009537ED">
        <w:rPr>
          <w:rFonts w:ascii="Arial" w:hAnsi="Arial" w:cs="Arial"/>
          <w:sz w:val="16"/>
          <w:szCs w:val="16"/>
        </w:rPr>
        <w:t xml:space="preserve">, </w:t>
      </w:r>
      <m:oMath>
        <m:sSub>
          <m:sSubPr>
            <m:ctrlPr>
              <w:rPr>
                <w:rFonts w:ascii="Cambria Math" w:hAnsi="Cambria Math" w:cs="Arial"/>
                <w:i/>
                <w:sz w:val="16"/>
                <w:szCs w:val="16"/>
              </w:rPr>
            </m:ctrlPr>
          </m:sSubPr>
          <m:e>
            <m:r>
              <w:rPr>
                <w:rFonts w:ascii="Cambria Math" w:hAnsi="Cambria Math" w:cs="Arial"/>
                <w:sz w:val="16"/>
                <w:szCs w:val="16"/>
              </w:rPr>
              <m:t>i</m:t>
            </m:r>
          </m:e>
          <m:sub>
            <m:r>
              <w:rPr>
                <w:rFonts w:ascii="Cambria Math" w:hAnsi="Cambria Math" w:cs="Arial"/>
                <w:sz w:val="16"/>
                <w:szCs w:val="16"/>
              </w:rPr>
              <m:t>j</m:t>
            </m:r>
          </m:sub>
        </m:sSub>
      </m:oMath>
      <w:r w:rsidRPr="009537ED">
        <w:rPr>
          <w:rFonts w:ascii="Arial" w:hAnsi="Arial" w:cs="Arial"/>
          <w:sz w:val="16"/>
          <w:szCs w:val="16"/>
        </w:rPr>
        <w:t xml:space="preserve">, </w:t>
      </w:r>
      <m:oMath>
        <m:r>
          <w:rPr>
            <w:rFonts w:ascii="Cambria Math" w:hAnsi="Cambria Math" w:cs="Arial"/>
            <w:sz w:val="16"/>
            <w:szCs w:val="16"/>
          </w:rPr>
          <m:t>f</m:t>
        </m:r>
      </m:oMath>
      <w:r w:rsidRPr="009537ED">
        <w:rPr>
          <w:rFonts w:ascii="Arial" w:hAnsi="Arial" w:cs="Arial"/>
          <w:sz w:val="16"/>
          <w:szCs w:val="16"/>
        </w:rPr>
        <w:t xml:space="preserve"> and </w:t>
      </w:r>
      <m:oMath>
        <m:r>
          <w:rPr>
            <w:rFonts w:ascii="Cambria Math" w:hAnsi="Cambria Math" w:cs="Arial"/>
            <w:sz w:val="16"/>
            <w:szCs w:val="16"/>
          </w:rPr>
          <m:t>j</m:t>
        </m:r>
      </m:oMath>
      <w:r w:rsidRPr="009537ED">
        <w:rPr>
          <w:rFonts w:ascii="Arial" w:hAnsi="Arial" w:cs="Arial"/>
          <w:sz w:val="16"/>
          <w:szCs w:val="16"/>
        </w:rPr>
        <w:t xml:space="preserve">, is associated with a priority value </w:t>
      </w:r>
      <m:oMath>
        <m:r>
          <m:rPr>
            <m:sty m:val="p"/>
          </m:rPr>
          <w:rPr>
            <w:rFonts w:ascii="Cambria Math" w:hAnsi="Cambria Math" w:cs="Arial"/>
            <w:sz w:val="16"/>
            <w:szCs w:val="16"/>
          </w:rPr>
          <m:t>Pri</m:t>
        </m:r>
        <m:d>
          <m:dPr>
            <m:ctrlPr>
              <w:rPr>
                <w:rFonts w:ascii="Cambria Math" w:hAnsi="Cambria Math" w:cs="Arial"/>
                <w:i/>
                <w:sz w:val="16"/>
                <w:szCs w:val="16"/>
              </w:rPr>
            </m:ctrlPr>
          </m:dPr>
          <m:e>
            <m:r>
              <w:rPr>
                <w:rFonts w:ascii="Cambria Math" w:hAnsi="Cambria Math" w:cs="Arial"/>
                <w:sz w:val="16"/>
                <w:szCs w:val="16"/>
              </w:rPr>
              <m:t>l,</m:t>
            </m:r>
            <m:sSub>
              <m:sSubPr>
                <m:ctrlPr>
                  <w:rPr>
                    <w:rFonts w:ascii="Cambria Math" w:hAnsi="Cambria Math" w:cs="Arial"/>
                    <w:i/>
                    <w:sz w:val="16"/>
                    <w:szCs w:val="16"/>
                  </w:rPr>
                </m:ctrlPr>
              </m:sSubPr>
              <m:e>
                <m:r>
                  <w:rPr>
                    <w:rFonts w:ascii="Cambria Math" w:hAnsi="Cambria Math" w:cs="Arial"/>
                    <w:sz w:val="16"/>
                    <w:szCs w:val="16"/>
                  </w:rPr>
                  <m:t>i</m:t>
                </m:r>
              </m:e>
              <m:sub>
                <m:r>
                  <w:rPr>
                    <w:rFonts w:ascii="Cambria Math" w:hAnsi="Cambria Math" w:cs="Arial"/>
                    <w:sz w:val="16"/>
                    <w:szCs w:val="16"/>
                  </w:rPr>
                  <m:t>j</m:t>
                </m:r>
              </m:sub>
            </m:sSub>
            <m:r>
              <w:rPr>
                <w:rFonts w:ascii="Cambria Math" w:hAnsi="Cambria Math" w:cs="Arial"/>
                <w:sz w:val="16"/>
                <w:szCs w:val="16"/>
              </w:rPr>
              <m:t>,f,j</m:t>
            </m:r>
          </m:e>
        </m:d>
        <m:r>
          <w:rPr>
            <w:rFonts w:ascii="Cambria Math" w:hAnsi="Cambria Math" w:cs="Arial"/>
            <w:sz w:val="16"/>
            <w:szCs w:val="16"/>
          </w:rPr>
          <m:t>=</m:t>
        </m:r>
        <m:nary>
          <m:naryPr>
            <m:chr m:val="∑"/>
            <m:ctrlPr>
              <w:rPr>
                <w:rFonts w:ascii="Cambria Math" w:hAnsi="Cambria Math" w:cs="Arial"/>
                <w:i/>
                <w:noProof/>
                <w:sz w:val="16"/>
                <w:szCs w:val="16"/>
              </w:rPr>
            </m:ctrlPr>
          </m:naryPr>
          <m:sub>
            <m:r>
              <w:rPr>
                <w:rFonts w:ascii="Cambria Math" w:hAnsi="Cambria Math" w:cs="Arial"/>
                <w:noProof/>
                <w:sz w:val="16"/>
                <w:szCs w:val="16"/>
              </w:rPr>
              <m:t>k=1</m:t>
            </m:r>
          </m:sub>
          <m:sup>
            <m:r>
              <w:rPr>
                <w:rFonts w:ascii="Cambria Math" w:hAnsi="Cambria Math" w:cs="Arial"/>
                <w:strike/>
                <w:color w:val="FF0000"/>
                <w:sz w:val="16"/>
                <w:szCs w:val="16"/>
              </w:rPr>
              <m:t>N</m:t>
            </m:r>
            <m:sSub>
              <m:sSubPr>
                <m:ctrlPr>
                  <w:rPr>
                    <w:rFonts w:ascii="Cambria Math" w:eastAsia="Malgun Gothic" w:hAnsi="Cambria Math" w:cs="Arial"/>
                    <w:color w:val="FF0000"/>
                    <w:sz w:val="16"/>
                    <w:szCs w:val="16"/>
                    <w:lang w:eastAsia="zh-CN"/>
                  </w:rPr>
                </m:ctrlPr>
              </m:sSubPr>
              <m:e>
                <m:r>
                  <w:rPr>
                    <w:rFonts w:ascii="Cambria Math" w:eastAsia="Malgun Gothic" w:hAnsi="Cambria Math" w:cs="Arial"/>
                    <w:color w:val="FF0000"/>
                    <w:sz w:val="16"/>
                    <w:szCs w:val="16"/>
                    <w:lang w:eastAsia="zh-CN"/>
                  </w:rPr>
                  <m:t>N</m:t>
                </m:r>
              </m:e>
              <m:sub>
                <m:r>
                  <m:rPr>
                    <m:sty m:val="p"/>
                  </m:rPr>
                  <w:rPr>
                    <w:rFonts w:ascii="Cambria Math" w:eastAsia="Malgun Gothic" w:hAnsi="Cambria Math" w:cs="Arial"/>
                    <w:color w:val="FF0000"/>
                    <w:sz w:val="16"/>
                    <w:szCs w:val="16"/>
                    <w:lang w:eastAsia="zh-CN"/>
                  </w:rPr>
                  <m:t>0</m:t>
                </m:r>
              </m:sub>
            </m:sSub>
          </m:sup>
          <m:e>
            <m:sSub>
              <m:sSubPr>
                <m:ctrlPr>
                  <w:rPr>
                    <w:rFonts w:ascii="Cambria Math" w:hAnsi="Cambria Math" w:cs="Arial"/>
                    <w:i/>
                    <w:noProof/>
                    <w:sz w:val="16"/>
                    <w:szCs w:val="16"/>
                  </w:rPr>
                </m:ctrlPr>
              </m:sSubPr>
              <m:e>
                <m:r>
                  <w:rPr>
                    <w:rFonts w:ascii="Cambria Math" w:hAnsi="Cambria Math" w:cs="Arial"/>
                    <w:noProof/>
                    <w:sz w:val="16"/>
                    <w:szCs w:val="16"/>
                  </w:rPr>
                  <m:t>K</m:t>
                </m:r>
              </m:e>
              <m:sub>
                <m:r>
                  <w:rPr>
                    <w:rFonts w:ascii="Cambria Math" w:hAnsi="Cambria Math" w:cs="Arial"/>
                    <w:noProof/>
                    <w:sz w:val="16"/>
                    <w:szCs w:val="16"/>
                  </w:rPr>
                  <m:t>1,k</m:t>
                </m:r>
              </m:sub>
            </m:sSub>
          </m:e>
        </m:nary>
        <m:r>
          <w:rPr>
            <w:rFonts w:ascii="Cambria Math" w:hAnsi="Cambria Math" w:cs="Arial"/>
            <w:sz w:val="16"/>
            <w:szCs w:val="16"/>
          </w:rPr>
          <m:t>⋅υ⋅f+υ⋅</m:t>
        </m:r>
        <m:d>
          <m:dPr>
            <m:ctrlPr>
              <w:rPr>
                <w:rFonts w:ascii="Cambria Math" w:hAnsi="Cambria Math" w:cs="Arial"/>
                <w:i/>
                <w:sz w:val="16"/>
                <w:szCs w:val="16"/>
              </w:rPr>
            </m:ctrlPr>
          </m:dPr>
          <m:e>
            <m:nary>
              <m:naryPr>
                <m:chr m:val="∑"/>
                <m:ctrlPr>
                  <w:rPr>
                    <w:rFonts w:ascii="Cambria Math" w:hAnsi="Cambria Math" w:cs="Arial"/>
                    <w:i/>
                    <w:noProof/>
                    <w:sz w:val="16"/>
                    <w:szCs w:val="16"/>
                  </w:rPr>
                </m:ctrlPr>
              </m:naryPr>
              <m:sub>
                <m:r>
                  <w:rPr>
                    <w:rFonts w:ascii="Cambria Math" w:hAnsi="Cambria Math" w:cs="Arial"/>
                    <w:noProof/>
                    <w:sz w:val="16"/>
                    <w:szCs w:val="16"/>
                  </w:rPr>
                  <m:t>k=1</m:t>
                </m:r>
              </m:sub>
              <m:sup>
                <m:r>
                  <w:rPr>
                    <w:rFonts w:ascii="Cambria Math" w:hAnsi="Cambria Math" w:cs="Arial"/>
                    <w:noProof/>
                    <w:sz w:val="16"/>
                    <w:szCs w:val="16"/>
                  </w:rPr>
                  <m:t>j-1</m:t>
                </m:r>
              </m:sup>
              <m:e>
                <m:sSub>
                  <m:sSubPr>
                    <m:ctrlPr>
                      <w:rPr>
                        <w:rFonts w:ascii="Cambria Math" w:hAnsi="Cambria Math" w:cs="Arial"/>
                        <w:i/>
                        <w:noProof/>
                        <w:sz w:val="16"/>
                        <w:szCs w:val="16"/>
                      </w:rPr>
                    </m:ctrlPr>
                  </m:sSubPr>
                  <m:e>
                    <m:r>
                      <w:rPr>
                        <w:rFonts w:ascii="Cambria Math" w:hAnsi="Cambria Math" w:cs="Arial"/>
                        <w:noProof/>
                        <w:sz w:val="16"/>
                        <w:szCs w:val="16"/>
                      </w:rPr>
                      <m:t>K</m:t>
                    </m:r>
                  </m:e>
                  <m:sub>
                    <m:r>
                      <w:rPr>
                        <w:rFonts w:ascii="Cambria Math" w:hAnsi="Cambria Math" w:cs="Arial"/>
                        <w:noProof/>
                        <w:sz w:val="16"/>
                        <w:szCs w:val="16"/>
                      </w:rPr>
                      <m:t>1,k</m:t>
                    </m:r>
                  </m:sub>
                </m:sSub>
              </m:e>
            </m:nary>
            <m:r>
              <w:rPr>
                <w:rFonts w:ascii="Cambria Math" w:hAnsi="Cambria Math" w:cs="Arial"/>
                <w:noProof/>
                <w:sz w:val="16"/>
                <w:szCs w:val="16"/>
              </w:rPr>
              <m:t>+</m:t>
            </m:r>
            <m:sSub>
              <m:sSubPr>
                <m:ctrlPr>
                  <w:rPr>
                    <w:rFonts w:ascii="Cambria Math" w:hAnsi="Cambria Math" w:cs="Arial"/>
                    <w:i/>
                    <w:noProof/>
                    <w:sz w:val="16"/>
                    <w:szCs w:val="16"/>
                  </w:rPr>
                </m:ctrlPr>
              </m:sSubPr>
              <m:e>
                <m:r>
                  <w:rPr>
                    <w:rFonts w:ascii="Cambria Math" w:hAnsi="Cambria Math" w:cs="Arial"/>
                    <w:noProof/>
                    <w:sz w:val="16"/>
                    <w:szCs w:val="16"/>
                  </w:rPr>
                  <m:t>i</m:t>
                </m:r>
              </m:e>
              <m:sub>
                <m:r>
                  <w:rPr>
                    <w:rFonts w:ascii="Cambria Math" w:hAnsi="Cambria Math" w:cs="Arial"/>
                    <w:noProof/>
                    <w:sz w:val="16"/>
                    <w:szCs w:val="16"/>
                  </w:rPr>
                  <m:t>j</m:t>
                </m:r>
              </m:sub>
            </m:sSub>
          </m:e>
        </m:d>
        <m:r>
          <w:rPr>
            <w:rFonts w:ascii="Cambria Math" w:hAnsi="Cambria Math" w:cs="Arial"/>
            <w:sz w:val="16"/>
            <w:szCs w:val="16"/>
          </w:rPr>
          <m:t>+l</m:t>
        </m:r>
      </m:oMath>
      <w:r w:rsidRPr="009537ED">
        <w:rPr>
          <w:rFonts w:ascii="Arial" w:hAnsi="Arial" w:cs="Arial"/>
          <w:sz w:val="16"/>
          <w:szCs w:val="16"/>
        </w:rPr>
        <w:t xml:space="preserve">, for </w:t>
      </w:r>
      <m:oMath>
        <m:r>
          <w:rPr>
            <w:rFonts w:ascii="Cambria Math" w:hAnsi="Cambria Math" w:cs="Arial"/>
            <w:sz w:val="16"/>
            <w:szCs w:val="16"/>
          </w:rPr>
          <m:t>l=1,…,υ</m:t>
        </m:r>
      </m:oMath>
      <w:r w:rsidRPr="009537ED">
        <w:rPr>
          <w:rFonts w:ascii="Arial" w:hAnsi="Arial" w:cs="Arial"/>
          <w:sz w:val="16"/>
          <w:szCs w:val="16"/>
        </w:rPr>
        <w:t xml:space="preserve">, </w:t>
      </w:r>
      <m:oMath>
        <m:sSub>
          <m:sSubPr>
            <m:ctrlPr>
              <w:rPr>
                <w:rFonts w:ascii="Cambria Math" w:hAnsi="Cambria Math" w:cs="Arial"/>
                <w:i/>
                <w:sz w:val="16"/>
                <w:szCs w:val="16"/>
              </w:rPr>
            </m:ctrlPr>
          </m:sSubPr>
          <m:e>
            <m:r>
              <w:rPr>
                <w:rFonts w:ascii="Cambria Math" w:hAnsi="Cambria Math" w:cs="Arial"/>
                <w:sz w:val="16"/>
                <w:szCs w:val="16"/>
              </w:rPr>
              <m:t>i</m:t>
            </m:r>
          </m:e>
          <m:sub>
            <m:r>
              <w:rPr>
                <w:rFonts w:ascii="Cambria Math" w:hAnsi="Cambria Math" w:cs="Arial"/>
                <w:sz w:val="16"/>
                <w:szCs w:val="16"/>
              </w:rPr>
              <m:t>j</m:t>
            </m:r>
          </m:sub>
        </m:sSub>
        <m:r>
          <w:rPr>
            <w:rFonts w:ascii="Cambria Math" w:hAnsi="Cambria Math" w:cs="Arial"/>
            <w:sz w:val="16"/>
            <w:szCs w:val="16"/>
          </w:rPr>
          <m:t>=0,1,…,</m:t>
        </m:r>
        <m:sSub>
          <m:sSubPr>
            <m:ctrlPr>
              <w:rPr>
                <w:rFonts w:ascii="Cambria Math" w:hAnsi="Cambria Math" w:cs="Arial"/>
                <w:i/>
                <w:sz w:val="16"/>
                <w:szCs w:val="16"/>
              </w:rPr>
            </m:ctrlPr>
          </m:sSubPr>
          <m:e>
            <m:r>
              <w:rPr>
                <w:rFonts w:ascii="Cambria Math" w:hAnsi="Cambria Math" w:cs="Arial"/>
                <w:sz w:val="16"/>
                <w:szCs w:val="16"/>
              </w:rPr>
              <m:t>K</m:t>
            </m:r>
          </m:e>
          <m:sub>
            <m:r>
              <w:rPr>
                <w:rFonts w:ascii="Cambria Math" w:hAnsi="Cambria Math" w:cs="Arial"/>
                <w:sz w:val="16"/>
                <w:szCs w:val="16"/>
              </w:rPr>
              <m:t>1,j</m:t>
            </m:r>
          </m:sub>
        </m:sSub>
        <m:r>
          <w:rPr>
            <w:rFonts w:ascii="Cambria Math" w:hAnsi="Cambria Math" w:cs="Arial"/>
            <w:sz w:val="16"/>
            <w:szCs w:val="16"/>
          </w:rPr>
          <m:t>-1</m:t>
        </m:r>
      </m:oMath>
      <w:r w:rsidRPr="009537ED">
        <w:rPr>
          <w:rFonts w:ascii="Arial" w:hAnsi="Arial" w:cs="Arial"/>
          <w:sz w:val="16"/>
          <w:szCs w:val="16"/>
        </w:rPr>
        <w:t xml:space="preserve">, </w:t>
      </w:r>
      <m:oMath>
        <m:r>
          <w:rPr>
            <w:rFonts w:ascii="Cambria Math" w:hAnsi="Cambria Math" w:cs="Arial"/>
            <w:sz w:val="16"/>
            <w:szCs w:val="16"/>
          </w:rPr>
          <m:t>f=0,…,M-1</m:t>
        </m:r>
      </m:oMath>
      <w:r w:rsidRPr="009537ED">
        <w:rPr>
          <w:rFonts w:ascii="Arial" w:hAnsi="Arial" w:cs="Arial"/>
          <w:sz w:val="16"/>
          <w:szCs w:val="16"/>
        </w:rPr>
        <w:t xml:space="preserve"> and </w:t>
      </w:r>
      <m:oMath>
        <m:r>
          <w:rPr>
            <w:rFonts w:ascii="Cambria Math" w:hAnsi="Cambria Math" w:cs="Arial"/>
            <w:sz w:val="16"/>
            <w:szCs w:val="16"/>
          </w:rPr>
          <m:t>j=1,…,</m:t>
        </m:r>
        <m:r>
          <w:rPr>
            <w:rFonts w:ascii="Cambria Math" w:hAnsi="Cambria Math" w:cs="Arial"/>
            <w:strike/>
            <w:color w:val="FF0000"/>
            <w:sz w:val="16"/>
            <w:szCs w:val="16"/>
          </w:rPr>
          <m:t>N</m:t>
        </m:r>
        <m:sSub>
          <m:sSubPr>
            <m:ctrlPr>
              <w:rPr>
                <w:rFonts w:ascii="Cambria Math" w:eastAsia="Malgun Gothic" w:hAnsi="Cambria Math" w:cs="Arial"/>
                <w:color w:val="FF0000"/>
                <w:sz w:val="16"/>
                <w:szCs w:val="16"/>
                <w:lang w:eastAsia="zh-CN"/>
              </w:rPr>
            </m:ctrlPr>
          </m:sSubPr>
          <m:e>
            <m:r>
              <w:rPr>
                <w:rFonts w:ascii="Cambria Math" w:eastAsia="Malgun Gothic" w:hAnsi="Cambria Math" w:cs="Arial"/>
                <w:color w:val="FF0000"/>
                <w:sz w:val="16"/>
                <w:szCs w:val="16"/>
                <w:lang w:eastAsia="zh-CN"/>
              </w:rPr>
              <m:t>N</m:t>
            </m:r>
          </m:e>
          <m:sub>
            <m:r>
              <m:rPr>
                <m:sty m:val="p"/>
              </m:rPr>
              <w:rPr>
                <w:rFonts w:ascii="Cambria Math" w:eastAsia="Malgun Gothic" w:hAnsi="Cambria Math" w:cs="Arial"/>
                <w:color w:val="FF0000"/>
                <w:sz w:val="16"/>
                <w:szCs w:val="16"/>
                <w:lang w:eastAsia="zh-CN"/>
              </w:rPr>
              <m:t>0</m:t>
            </m:r>
          </m:sub>
        </m:sSub>
      </m:oMath>
      <w:r w:rsidRPr="009537ED">
        <w:rPr>
          <w:rFonts w:ascii="Arial" w:hAnsi="Arial" w:cs="Arial"/>
          <w:sz w:val="16"/>
          <w:szCs w:val="16"/>
        </w:rPr>
        <w:t xml:space="preserve">,  and where </w:t>
      </w:r>
      <m:oMath>
        <m:sSub>
          <m:sSubPr>
            <m:ctrlPr>
              <w:rPr>
                <w:rFonts w:ascii="Cambria Math" w:hAnsi="Cambria Math" w:cs="Arial"/>
                <w:i/>
                <w:sz w:val="16"/>
                <w:szCs w:val="16"/>
              </w:rPr>
            </m:ctrlPr>
          </m:sSubPr>
          <m:e>
            <m:r>
              <w:rPr>
                <w:rFonts w:ascii="Cambria Math" w:hAnsi="Cambria Math" w:cs="Arial"/>
                <w:sz w:val="16"/>
                <w:szCs w:val="16"/>
              </w:rPr>
              <m:t>K</m:t>
            </m:r>
          </m:e>
          <m:sub>
            <m:r>
              <w:rPr>
                <w:rFonts w:ascii="Cambria Math" w:hAnsi="Cambria Math" w:cs="Arial"/>
                <w:sz w:val="16"/>
                <w:szCs w:val="16"/>
              </w:rPr>
              <m:t>1,j</m:t>
            </m:r>
          </m:sub>
        </m:sSub>
      </m:oMath>
      <w:r w:rsidRPr="009537ED">
        <w:rPr>
          <w:rFonts w:ascii="Arial" w:hAnsi="Arial" w:cs="Arial"/>
          <w:sz w:val="16"/>
          <w:szCs w:val="16"/>
        </w:rPr>
        <w:t xml:space="preserve"> is defined in Clause 5.2.2.2.8. The element with the highest priority has the lowest associated value </w:t>
      </w:r>
      <m:oMath>
        <m:r>
          <m:rPr>
            <m:sty m:val="p"/>
          </m:rPr>
          <w:rPr>
            <w:rFonts w:ascii="Cambria Math" w:hAnsi="Cambria Math" w:cs="Arial"/>
            <w:sz w:val="16"/>
            <w:szCs w:val="16"/>
          </w:rPr>
          <m:t>Pri</m:t>
        </m:r>
        <m:d>
          <m:dPr>
            <m:ctrlPr>
              <w:rPr>
                <w:rFonts w:ascii="Cambria Math" w:hAnsi="Cambria Math" w:cs="Arial"/>
                <w:i/>
                <w:sz w:val="16"/>
                <w:szCs w:val="16"/>
              </w:rPr>
            </m:ctrlPr>
          </m:dPr>
          <m:e>
            <m:r>
              <w:rPr>
                <w:rFonts w:ascii="Cambria Math" w:hAnsi="Cambria Math" w:cs="Arial"/>
                <w:sz w:val="16"/>
                <w:szCs w:val="16"/>
              </w:rPr>
              <m:t>l,</m:t>
            </m:r>
            <m:sSub>
              <m:sSubPr>
                <m:ctrlPr>
                  <w:rPr>
                    <w:rFonts w:ascii="Cambria Math" w:hAnsi="Cambria Math" w:cs="Arial"/>
                    <w:i/>
                    <w:sz w:val="16"/>
                    <w:szCs w:val="16"/>
                  </w:rPr>
                </m:ctrlPr>
              </m:sSubPr>
              <m:e>
                <m:r>
                  <w:rPr>
                    <w:rFonts w:ascii="Cambria Math" w:hAnsi="Cambria Math" w:cs="Arial"/>
                    <w:sz w:val="16"/>
                    <w:szCs w:val="16"/>
                  </w:rPr>
                  <m:t>i</m:t>
                </m:r>
              </m:e>
              <m:sub>
                <m:r>
                  <w:rPr>
                    <w:rFonts w:ascii="Cambria Math" w:hAnsi="Cambria Math" w:cs="Arial"/>
                    <w:sz w:val="16"/>
                    <w:szCs w:val="16"/>
                  </w:rPr>
                  <m:t>j</m:t>
                </m:r>
              </m:sub>
            </m:sSub>
            <m:r>
              <w:rPr>
                <w:rFonts w:ascii="Cambria Math" w:hAnsi="Cambria Math" w:cs="Arial"/>
                <w:sz w:val="16"/>
                <w:szCs w:val="16"/>
              </w:rPr>
              <m:t>,f,j</m:t>
            </m:r>
          </m:e>
        </m:d>
      </m:oMath>
      <w:r w:rsidRPr="009537ED">
        <w:rPr>
          <w:rFonts w:ascii="Arial" w:hAnsi="Arial" w:cs="Arial"/>
          <w:sz w:val="16"/>
          <w:szCs w:val="16"/>
        </w:rPr>
        <w:t>. Omission of Part 2 CSI is according to the priority order shown in Table 5.2.3-1, where:</w:t>
      </w:r>
    </w:p>
    <w:p w14:paraId="63A90A0A" w14:textId="5D9513C8" w:rsidR="00A41C1A" w:rsidRPr="009537ED" w:rsidRDefault="00A41C1A" w:rsidP="00141B77">
      <w:pPr>
        <w:ind w:left="851" w:hanging="284"/>
        <w:rPr>
          <w:rFonts w:ascii="Arial" w:hAnsi="Arial" w:cs="Arial"/>
          <w:sz w:val="16"/>
          <w:szCs w:val="16"/>
        </w:rPr>
      </w:pPr>
      <w:r w:rsidRPr="009537ED">
        <w:rPr>
          <w:rFonts w:ascii="Arial" w:hAnsi="Arial" w:cs="Arial"/>
          <w:sz w:val="16"/>
          <w:szCs w:val="16"/>
        </w:rPr>
        <w:t>-</w:t>
      </w:r>
      <w:r w:rsidRPr="009537ED">
        <w:rPr>
          <w:rFonts w:ascii="Arial" w:hAnsi="Arial" w:cs="Arial"/>
          <w:sz w:val="16"/>
          <w:szCs w:val="16"/>
        </w:rPr>
        <w:tab/>
        <w:t xml:space="preserve">Group 0 includes </w:t>
      </w:r>
      <m:oMath>
        <m:sSub>
          <m:sSubPr>
            <m:ctrlPr>
              <w:rPr>
                <w:rFonts w:ascii="Cambria Math" w:hAnsi="Cambria Math" w:cs="Arial"/>
                <w:i/>
                <w:sz w:val="16"/>
                <w:szCs w:val="16"/>
              </w:rPr>
            </m:ctrlPr>
          </m:sSubPr>
          <m:e>
            <m:r>
              <w:rPr>
                <w:rFonts w:ascii="Cambria Math" w:hAnsi="Cambria Math" w:cs="Arial"/>
                <w:sz w:val="16"/>
                <w:szCs w:val="16"/>
              </w:rPr>
              <m:t>i</m:t>
            </m:r>
          </m:e>
          <m:sub>
            <m:r>
              <w:rPr>
                <w:rFonts w:ascii="Cambria Math" w:hAnsi="Cambria Math" w:cs="Arial"/>
                <w:sz w:val="16"/>
                <w:szCs w:val="16"/>
              </w:rPr>
              <m:t>1,2</m:t>
            </m:r>
          </m:sub>
        </m:sSub>
      </m:oMath>
      <w:r w:rsidRPr="009537ED">
        <w:rPr>
          <w:rFonts w:ascii="Arial" w:hAnsi="Arial" w:cs="Arial"/>
          <w:sz w:val="16"/>
          <w:szCs w:val="16"/>
        </w:rPr>
        <w:t xml:space="preserve"> (if reported), </w:t>
      </w:r>
      <m:oMath>
        <m:sSub>
          <m:sSubPr>
            <m:ctrlPr>
              <w:rPr>
                <w:rFonts w:ascii="Cambria Math" w:hAnsi="Cambria Math" w:cs="Arial"/>
                <w:i/>
                <w:sz w:val="16"/>
                <w:szCs w:val="16"/>
              </w:rPr>
            </m:ctrlPr>
          </m:sSubPr>
          <m:e>
            <m:r>
              <w:rPr>
                <w:rFonts w:ascii="Cambria Math" w:hAnsi="Cambria Math" w:cs="Arial"/>
                <w:sz w:val="16"/>
                <w:szCs w:val="16"/>
              </w:rPr>
              <m:t>i</m:t>
            </m:r>
          </m:e>
          <m:sub>
            <m:r>
              <w:rPr>
                <w:rFonts w:ascii="Cambria Math" w:hAnsi="Cambria Math" w:cs="Arial"/>
                <w:sz w:val="16"/>
                <w:szCs w:val="16"/>
              </w:rPr>
              <m:t>1,8,l</m:t>
            </m:r>
          </m:sub>
        </m:sSub>
      </m:oMath>
      <w:r w:rsidRPr="009537ED">
        <w:rPr>
          <w:rFonts w:ascii="Arial" w:hAnsi="Arial" w:cs="Arial"/>
          <w:sz w:val="16"/>
          <w:szCs w:val="16"/>
        </w:rPr>
        <w:t xml:space="preserve"> (</w:t>
      </w:r>
      <m:oMath>
        <m:r>
          <w:rPr>
            <w:rFonts w:ascii="Cambria Math" w:hAnsi="Cambria Math" w:cs="Arial"/>
            <w:sz w:val="16"/>
            <w:szCs w:val="16"/>
          </w:rPr>
          <m:t>l=1,…,υ</m:t>
        </m:r>
      </m:oMath>
      <w:r w:rsidRPr="009537ED">
        <w:rPr>
          <w:rFonts w:ascii="Arial" w:hAnsi="Arial" w:cs="Arial"/>
          <w:sz w:val="16"/>
          <w:szCs w:val="16"/>
        </w:rPr>
        <w:t xml:space="preserve">) and </w:t>
      </w:r>
      <m:oMath>
        <m:sSub>
          <m:sSubPr>
            <m:ctrlPr>
              <w:rPr>
                <w:rFonts w:ascii="Cambria Math" w:hAnsi="Cambria Math" w:cs="Arial"/>
                <w:i/>
                <w:sz w:val="16"/>
                <w:szCs w:val="16"/>
              </w:rPr>
            </m:ctrlPr>
          </m:sSubPr>
          <m:e>
            <m:r>
              <w:rPr>
                <w:rFonts w:ascii="Cambria Math" w:hAnsi="Cambria Math" w:cs="Arial"/>
                <w:sz w:val="16"/>
                <w:szCs w:val="16"/>
              </w:rPr>
              <m:t>i</m:t>
            </m:r>
          </m:e>
          <m:sub>
            <m:r>
              <w:rPr>
                <w:rFonts w:ascii="Cambria Math" w:hAnsi="Cambria Math" w:cs="Arial"/>
                <w:sz w:val="16"/>
                <w:szCs w:val="16"/>
              </w:rPr>
              <m:t>1,6</m:t>
            </m:r>
          </m:sub>
        </m:sSub>
      </m:oMath>
      <w:r w:rsidRPr="009537ED">
        <w:rPr>
          <w:rFonts w:ascii="Arial" w:hAnsi="Arial" w:cs="Arial"/>
          <w:sz w:val="16"/>
          <w:szCs w:val="16"/>
        </w:rPr>
        <w:t xml:space="preserve"> (if reported).</w:t>
      </w:r>
    </w:p>
    <w:p w14:paraId="66F31AF1" w14:textId="39E811AF" w:rsidR="00A41C1A" w:rsidRPr="009537ED" w:rsidRDefault="00A41C1A" w:rsidP="00141B77">
      <w:pPr>
        <w:ind w:left="851" w:hanging="284"/>
        <w:rPr>
          <w:rFonts w:ascii="Arial" w:hAnsi="Arial" w:cs="Arial"/>
          <w:sz w:val="16"/>
          <w:szCs w:val="16"/>
        </w:rPr>
      </w:pPr>
      <w:r w:rsidRPr="009537ED">
        <w:rPr>
          <w:rFonts w:ascii="Arial" w:hAnsi="Arial" w:cs="Arial"/>
          <w:sz w:val="16"/>
          <w:szCs w:val="16"/>
        </w:rPr>
        <w:t>-</w:t>
      </w:r>
      <w:r w:rsidRPr="009537ED">
        <w:rPr>
          <w:rFonts w:ascii="Arial" w:hAnsi="Arial" w:cs="Arial"/>
          <w:sz w:val="16"/>
          <w:szCs w:val="16"/>
        </w:rPr>
        <w:tab/>
        <w:t xml:space="preserve">Group 1 includes the </w:t>
      </w:r>
      <m:oMath>
        <m:r>
          <w:rPr>
            <w:rFonts w:ascii="Cambria Math" w:hAnsi="Cambria Math" w:cs="Arial"/>
            <w:sz w:val="16"/>
            <w:szCs w:val="16"/>
          </w:rPr>
          <m:t>υM</m:t>
        </m:r>
        <m:nary>
          <m:naryPr>
            <m:chr m:val="∑"/>
            <m:ctrlPr>
              <w:rPr>
                <w:rFonts w:ascii="Cambria Math" w:hAnsi="Cambria Math" w:cs="Arial"/>
                <w:i/>
                <w:noProof/>
                <w:sz w:val="16"/>
                <w:szCs w:val="16"/>
              </w:rPr>
            </m:ctrlPr>
          </m:naryPr>
          <m:sub>
            <m:r>
              <w:rPr>
                <w:rFonts w:ascii="Cambria Math" w:hAnsi="Cambria Math" w:cs="Arial"/>
                <w:noProof/>
                <w:sz w:val="16"/>
                <w:szCs w:val="16"/>
              </w:rPr>
              <m:t>k=1</m:t>
            </m:r>
          </m:sub>
          <m:sup>
            <m:r>
              <w:rPr>
                <w:rFonts w:ascii="Cambria Math" w:hAnsi="Cambria Math" w:cs="Arial"/>
                <w:strike/>
                <w:color w:val="FF0000"/>
                <w:sz w:val="16"/>
                <w:szCs w:val="16"/>
              </w:rPr>
              <m:t>N</m:t>
            </m:r>
            <m:sSub>
              <m:sSubPr>
                <m:ctrlPr>
                  <w:rPr>
                    <w:rFonts w:ascii="Cambria Math" w:eastAsia="Malgun Gothic" w:hAnsi="Cambria Math" w:cs="Arial"/>
                    <w:color w:val="FF0000"/>
                    <w:sz w:val="16"/>
                    <w:szCs w:val="16"/>
                    <w:lang w:eastAsia="zh-CN"/>
                  </w:rPr>
                </m:ctrlPr>
              </m:sSubPr>
              <m:e>
                <m:r>
                  <w:rPr>
                    <w:rFonts w:ascii="Cambria Math" w:eastAsia="Malgun Gothic" w:hAnsi="Cambria Math" w:cs="Arial"/>
                    <w:color w:val="FF0000"/>
                    <w:sz w:val="16"/>
                    <w:szCs w:val="16"/>
                    <w:lang w:eastAsia="zh-CN"/>
                  </w:rPr>
                  <m:t>N</m:t>
                </m:r>
              </m:e>
              <m:sub>
                <m:r>
                  <m:rPr>
                    <m:sty m:val="p"/>
                  </m:rPr>
                  <w:rPr>
                    <w:rFonts w:ascii="Cambria Math" w:eastAsia="Malgun Gothic" w:hAnsi="Cambria Math" w:cs="Arial"/>
                    <w:color w:val="FF0000"/>
                    <w:sz w:val="16"/>
                    <w:szCs w:val="16"/>
                    <w:lang w:eastAsia="zh-CN"/>
                  </w:rPr>
                  <m:t>0</m:t>
                </m:r>
              </m:sub>
            </m:sSub>
          </m:sup>
          <m:e>
            <m:sSub>
              <m:sSubPr>
                <m:ctrlPr>
                  <w:rPr>
                    <w:rFonts w:ascii="Cambria Math" w:hAnsi="Cambria Math" w:cs="Arial"/>
                    <w:i/>
                    <w:noProof/>
                    <w:sz w:val="16"/>
                    <w:szCs w:val="16"/>
                  </w:rPr>
                </m:ctrlPr>
              </m:sSubPr>
              <m:e>
                <m:r>
                  <w:rPr>
                    <w:rFonts w:ascii="Cambria Math" w:hAnsi="Cambria Math" w:cs="Arial"/>
                    <w:noProof/>
                    <w:sz w:val="16"/>
                    <w:szCs w:val="16"/>
                  </w:rPr>
                  <m:t>K</m:t>
                </m:r>
              </m:e>
              <m:sub>
                <m:r>
                  <w:rPr>
                    <w:rFonts w:ascii="Cambria Math" w:hAnsi="Cambria Math" w:cs="Arial"/>
                    <w:noProof/>
                    <w:sz w:val="16"/>
                    <w:szCs w:val="16"/>
                  </w:rPr>
                  <m:t>1,k</m:t>
                </m:r>
              </m:sub>
            </m:sSub>
          </m:e>
        </m:nary>
        <m:r>
          <w:rPr>
            <w:rFonts w:ascii="Cambria Math" w:hAnsi="Cambria Math" w:cs="Arial"/>
            <w:sz w:val="16"/>
            <w:szCs w:val="16"/>
          </w:rPr>
          <m:t>-</m:t>
        </m:r>
        <m:d>
          <m:dPr>
            <m:begChr m:val="⌊"/>
            <m:endChr m:val="⌋"/>
            <m:ctrlPr>
              <w:rPr>
                <w:rFonts w:ascii="Cambria Math" w:hAnsi="Cambria Math" w:cs="Arial"/>
                <w:i/>
                <w:sz w:val="16"/>
                <w:szCs w:val="16"/>
              </w:rPr>
            </m:ctrlPr>
          </m:dPr>
          <m:e>
            <m:sSup>
              <m:sSupPr>
                <m:ctrlPr>
                  <w:rPr>
                    <w:rFonts w:ascii="Cambria Math" w:hAnsi="Cambria Math" w:cs="Arial"/>
                    <w:i/>
                    <w:sz w:val="16"/>
                    <w:szCs w:val="16"/>
                  </w:rPr>
                </m:ctrlPr>
              </m:sSupPr>
              <m:e>
                <m:r>
                  <w:rPr>
                    <w:rFonts w:ascii="Cambria Math" w:hAnsi="Cambria Math" w:cs="Arial"/>
                    <w:sz w:val="16"/>
                    <w:szCs w:val="16"/>
                  </w:rPr>
                  <m:t>K</m:t>
                </m:r>
              </m:e>
              <m:sup>
                <m:r>
                  <w:rPr>
                    <w:rFonts w:ascii="Cambria Math" w:hAnsi="Cambria Math" w:cs="Arial"/>
                    <w:sz w:val="16"/>
                    <w:szCs w:val="16"/>
                  </w:rPr>
                  <m:t>NZ</m:t>
                </m:r>
              </m:sup>
            </m:sSup>
            <m:r>
              <w:rPr>
                <w:rFonts w:ascii="Cambria Math" w:hAnsi="Cambria Math" w:cs="Arial"/>
                <w:sz w:val="16"/>
                <w:szCs w:val="16"/>
              </w:rPr>
              <m:t>/2</m:t>
            </m:r>
          </m:e>
        </m:d>
      </m:oMath>
      <w:r w:rsidRPr="009537ED">
        <w:rPr>
          <w:rFonts w:ascii="Arial" w:hAnsi="Arial" w:cs="Arial"/>
          <w:sz w:val="16"/>
          <w:szCs w:val="16"/>
        </w:rPr>
        <w:t xml:space="preserve"> </w:t>
      </w:r>
      <w:r w:rsidRPr="009537ED">
        <w:rPr>
          <w:rFonts w:ascii="Arial" w:hAnsi="Arial" w:cs="Arial"/>
          <w:noProof/>
          <w:sz w:val="16"/>
          <w:szCs w:val="16"/>
        </w:rPr>
        <w:t xml:space="preserve">highest priority </w:t>
      </w:r>
      <w:r w:rsidRPr="009537ED">
        <w:rPr>
          <w:rFonts w:ascii="Arial" w:hAnsi="Arial" w:cs="Arial"/>
          <w:sz w:val="16"/>
          <w:szCs w:val="16"/>
        </w:rPr>
        <w:t xml:space="preserve">elements </w:t>
      </w:r>
      <w:r w:rsidRPr="009537ED">
        <w:rPr>
          <w:rFonts w:ascii="Arial" w:hAnsi="Arial" w:cs="Arial"/>
          <w:noProof/>
          <w:sz w:val="16"/>
          <w:szCs w:val="16"/>
        </w:rPr>
        <w:t>of</w:t>
      </w:r>
      <w:r w:rsidRPr="009537ED">
        <w:rPr>
          <w:rFonts w:ascii="Arial" w:hAnsi="Arial" w:cs="Arial"/>
          <w:sz w:val="16"/>
          <w:szCs w:val="16"/>
        </w:rPr>
        <w:t xml:space="preserve"> </w:t>
      </w:r>
      <m:oMath>
        <m:sSub>
          <m:sSubPr>
            <m:ctrlPr>
              <w:rPr>
                <w:rFonts w:ascii="Cambria Math" w:hAnsi="Cambria Math" w:cs="Arial"/>
                <w:sz w:val="16"/>
                <w:szCs w:val="16"/>
              </w:rPr>
            </m:ctrlPr>
          </m:sSubPr>
          <m:e>
            <m:r>
              <w:rPr>
                <w:rFonts w:ascii="Cambria Math" w:hAnsi="Cambria Math" w:cs="Arial"/>
                <w:sz w:val="16"/>
                <w:szCs w:val="16"/>
              </w:rPr>
              <m:t>i</m:t>
            </m:r>
          </m:e>
          <m:sub>
            <m:r>
              <m:rPr>
                <m:sty m:val="p"/>
              </m:rPr>
              <w:rPr>
                <w:rFonts w:ascii="Cambria Math" w:hAnsi="Cambria Math" w:cs="Arial"/>
                <w:sz w:val="16"/>
                <w:szCs w:val="16"/>
              </w:rPr>
              <m:t>1,7,</m:t>
            </m:r>
            <m:r>
              <w:rPr>
                <w:rFonts w:ascii="Cambria Math" w:hAnsi="Cambria Math" w:cs="Arial"/>
                <w:sz w:val="16"/>
                <w:szCs w:val="16"/>
              </w:rPr>
              <m:t>l</m:t>
            </m:r>
          </m:sub>
        </m:sSub>
      </m:oMath>
      <w:r w:rsidRPr="009537ED">
        <w:rPr>
          <w:rFonts w:ascii="Arial" w:hAnsi="Arial" w:cs="Arial"/>
          <w:sz w:val="16"/>
          <w:szCs w:val="16"/>
        </w:rPr>
        <w:t xml:space="preserve"> (if reported), </w:t>
      </w:r>
      <m:oMath>
        <m:sSub>
          <m:sSubPr>
            <m:ctrlPr>
              <w:rPr>
                <w:rFonts w:ascii="Cambria Math" w:hAnsi="Cambria Math" w:cs="Arial"/>
                <w:i/>
                <w:sz w:val="16"/>
                <w:szCs w:val="16"/>
              </w:rPr>
            </m:ctrlPr>
          </m:sSubPr>
          <m:e>
            <m:r>
              <w:rPr>
                <w:rFonts w:ascii="Cambria Math" w:hAnsi="Cambria Math" w:cs="Arial"/>
                <w:sz w:val="16"/>
                <w:szCs w:val="16"/>
              </w:rPr>
              <m:t>i</m:t>
            </m:r>
          </m:e>
          <m:sub>
            <m:r>
              <w:rPr>
                <w:rFonts w:ascii="Cambria Math" w:hAnsi="Cambria Math" w:cs="Arial"/>
                <w:sz w:val="16"/>
                <w:szCs w:val="16"/>
              </w:rPr>
              <m:t>2,3,l</m:t>
            </m:r>
          </m:sub>
        </m:sSub>
      </m:oMath>
      <w:r w:rsidRPr="009537ED">
        <w:rPr>
          <w:rFonts w:ascii="Arial" w:hAnsi="Arial" w:cs="Arial"/>
          <w:sz w:val="16"/>
          <w:szCs w:val="16"/>
        </w:rPr>
        <w:t xml:space="preserve">, the </w:t>
      </w:r>
      <m:oMath>
        <m:func>
          <m:funcPr>
            <m:ctrlPr>
              <w:rPr>
                <w:rFonts w:ascii="Cambria Math" w:hAnsi="Cambria Math" w:cs="Arial"/>
                <w:i/>
                <w:color w:val="000000"/>
                <w:sz w:val="16"/>
                <w:szCs w:val="16"/>
                <w:lang w:eastAsia="en-GB"/>
              </w:rPr>
            </m:ctrlPr>
          </m:funcPr>
          <m:fName>
            <m:r>
              <m:rPr>
                <m:sty m:val="p"/>
              </m:rPr>
              <w:rPr>
                <w:rFonts w:ascii="Cambria Math" w:hAnsi="Cambria Math" w:cs="Arial"/>
                <w:color w:val="000000"/>
                <w:sz w:val="16"/>
                <w:szCs w:val="16"/>
                <w:lang w:eastAsia="en-GB"/>
              </w:rPr>
              <m:t>max</m:t>
            </m:r>
          </m:fName>
          <m:e>
            <m:d>
              <m:dPr>
                <m:ctrlPr>
                  <w:rPr>
                    <w:rFonts w:ascii="Cambria Math" w:hAnsi="Cambria Math" w:cs="Arial"/>
                    <w:i/>
                    <w:color w:val="000000"/>
                    <w:sz w:val="16"/>
                    <w:szCs w:val="16"/>
                    <w:lang w:eastAsia="en-GB"/>
                  </w:rPr>
                </m:ctrlPr>
              </m:dPr>
              <m:e>
                <m:r>
                  <w:rPr>
                    <w:rFonts w:ascii="Cambria Math" w:hAnsi="Cambria Math" w:cs="Arial"/>
                    <w:color w:val="000000"/>
                    <w:sz w:val="16"/>
                    <w:szCs w:val="16"/>
                    <w:lang w:eastAsia="en-GB"/>
                  </w:rPr>
                  <m:t>0,</m:t>
                </m:r>
                <m:d>
                  <m:dPr>
                    <m:begChr m:val="⌈"/>
                    <m:endChr m:val="⌉"/>
                    <m:ctrlPr>
                      <w:rPr>
                        <w:rFonts w:ascii="Cambria Math" w:hAnsi="Cambria Math" w:cs="Arial"/>
                        <w:i/>
                        <w:sz w:val="16"/>
                        <w:szCs w:val="16"/>
                      </w:rPr>
                    </m:ctrlPr>
                  </m:dPr>
                  <m:e>
                    <m:f>
                      <m:fPr>
                        <m:ctrlPr>
                          <w:rPr>
                            <w:rFonts w:ascii="Cambria Math" w:hAnsi="Cambria Math" w:cs="Arial"/>
                            <w:i/>
                            <w:sz w:val="16"/>
                            <w:szCs w:val="16"/>
                          </w:rPr>
                        </m:ctrlPr>
                      </m:fPr>
                      <m:num>
                        <m:sSup>
                          <m:sSupPr>
                            <m:ctrlPr>
                              <w:rPr>
                                <w:rFonts w:ascii="Cambria Math" w:hAnsi="Cambria Math" w:cs="Arial"/>
                                <w:i/>
                                <w:sz w:val="16"/>
                                <w:szCs w:val="16"/>
                              </w:rPr>
                            </m:ctrlPr>
                          </m:sSupPr>
                          <m:e>
                            <m:r>
                              <w:rPr>
                                <w:rFonts w:ascii="Cambria Math" w:hAnsi="Cambria Math" w:cs="Arial"/>
                                <w:sz w:val="16"/>
                                <w:szCs w:val="16"/>
                              </w:rPr>
                              <m:t>K</m:t>
                            </m:r>
                          </m:e>
                          <m:sup>
                            <m:r>
                              <w:rPr>
                                <w:rFonts w:ascii="Cambria Math" w:hAnsi="Cambria Math" w:cs="Arial"/>
                                <w:sz w:val="16"/>
                                <w:szCs w:val="16"/>
                              </w:rPr>
                              <m:t>NZ</m:t>
                            </m:r>
                          </m:sup>
                        </m:sSup>
                      </m:num>
                      <m:den>
                        <m:r>
                          <w:rPr>
                            <w:rFonts w:ascii="Cambria Math" w:hAnsi="Cambria Math" w:cs="Arial"/>
                            <w:sz w:val="16"/>
                            <w:szCs w:val="16"/>
                          </w:rPr>
                          <m:t>2</m:t>
                        </m:r>
                      </m:den>
                    </m:f>
                  </m:e>
                </m:d>
                <m:r>
                  <w:rPr>
                    <w:rFonts w:ascii="Cambria Math" w:hAnsi="Cambria Math" w:cs="Arial"/>
                    <w:sz w:val="16"/>
                    <w:szCs w:val="16"/>
                  </w:rPr>
                  <m:t>-υ</m:t>
                </m:r>
              </m:e>
            </m:d>
          </m:e>
        </m:func>
      </m:oMath>
      <w:r w:rsidRPr="009537ED">
        <w:rPr>
          <w:rFonts w:ascii="Arial" w:hAnsi="Arial" w:cs="Arial"/>
          <w:color w:val="000000"/>
          <w:sz w:val="16"/>
          <w:szCs w:val="16"/>
          <w:lang w:eastAsia="en-GB"/>
        </w:rPr>
        <w:t xml:space="preserve"> </w:t>
      </w:r>
      <w:r w:rsidRPr="009537ED">
        <w:rPr>
          <w:rFonts w:ascii="Arial" w:hAnsi="Arial" w:cs="Arial"/>
          <w:sz w:val="16"/>
          <w:szCs w:val="16"/>
        </w:rPr>
        <w:t xml:space="preserve">highest priority elements of </w:t>
      </w:r>
      <m:oMath>
        <m:sSub>
          <m:sSubPr>
            <m:ctrlPr>
              <w:rPr>
                <w:rFonts w:ascii="Cambria Math" w:hAnsi="Cambria Math" w:cs="Arial"/>
                <w:i/>
                <w:sz w:val="16"/>
                <w:szCs w:val="16"/>
              </w:rPr>
            </m:ctrlPr>
          </m:sSubPr>
          <m:e>
            <m:r>
              <w:rPr>
                <w:rFonts w:ascii="Cambria Math" w:hAnsi="Cambria Math" w:cs="Arial"/>
                <w:sz w:val="16"/>
                <w:szCs w:val="16"/>
              </w:rPr>
              <m:t>i</m:t>
            </m:r>
          </m:e>
          <m:sub>
            <m:r>
              <w:rPr>
                <w:rFonts w:ascii="Cambria Math" w:hAnsi="Cambria Math" w:cs="Arial"/>
                <w:sz w:val="16"/>
                <w:szCs w:val="16"/>
              </w:rPr>
              <m:t>2,4,l</m:t>
            </m:r>
          </m:sub>
        </m:sSub>
      </m:oMath>
      <w:r w:rsidRPr="009537ED">
        <w:rPr>
          <w:rFonts w:ascii="Arial" w:hAnsi="Arial" w:cs="Arial"/>
          <w:sz w:val="16"/>
          <w:szCs w:val="16"/>
        </w:rPr>
        <w:t xml:space="preserve">, the </w:t>
      </w:r>
      <w:r w:rsidRPr="009537ED">
        <w:rPr>
          <w:rFonts w:ascii="Arial" w:hAnsi="Arial" w:cs="Arial"/>
          <w:color w:val="000000"/>
          <w:sz w:val="16"/>
          <w:szCs w:val="16"/>
          <w:lang w:eastAsia="en-GB"/>
        </w:rPr>
        <w:t xml:space="preserve"> </w:t>
      </w:r>
      <m:oMath>
        <m:func>
          <m:funcPr>
            <m:ctrlPr>
              <w:rPr>
                <w:rFonts w:ascii="Cambria Math" w:hAnsi="Cambria Math" w:cs="Arial"/>
                <w:i/>
                <w:color w:val="000000"/>
                <w:sz w:val="16"/>
                <w:szCs w:val="16"/>
                <w:lang w:eastAsia="en-GB"/>
              </w:rPr>
            </m:ctrlPr>
          </m:funcPr>
          <m:fName>
            <m:r>
              <m:rPr>
                <m:sty m:val="p"/>
              </m:rPr>
              <w:rPr>
                <w:rFonts w:ascii="Cambria Math" w:hAnsi="Cambria Math" w:cs="Arial"/>
                <w:color w:val="000000"/>
                <w:sz w:val="16"/>
                <w:szCs w:val="16"/>
                <w:lang w:eastAsia="en-GB"/>
              </w:rPr>
              <m:t>max</m:t>
            </m:r>
          </m:fName>
          <m:e>
            <m:d>
              <m:dPr>
                <m:ctrlPr>
                  <w:rPr>
                    <w:rFonts w:ascii="Cambria Math" w:hAnsi="Cambria Math" w:cs="Arial"/>
                    <w:i/>
                    <w:color w:val="000000"/>
                    <w:sz w:val="16"/>
                    <w:szCs w:val="16"/>
                    <w:lang w:eastAsia="en-GB"/>
                  </w:rPr>
                </m:ctrlPr>
              </m:dPr>
              <m:e>
                <m:r>
                  <w:rPr>
                    <w:rFonts w:ascii="Cambria Math" w:hAnsi="Cambria Math" w:cs="Arial"/>
                    <w:color w:val="000000"/>
                    <w:sz w:val="16"/>
                    <w:szCs w:val="16"/>
                    <w:lang w:eastAsia="en-GB"/>
                  </w:rPr>
                  <m:t>0,</m:t>
                </m:r>
                <m:d>
                  <m:dPr>
                    <m:begChr m:val="⌈"/>
                    <m:endChr m:val="⌉"/>
                    <m:ctrlPr>
                      <w:rPr>
                        <w:rFonts w:ascii="Cambria Math" w:hAnsi="Cambria Math" w:cs="Arial"/>
                        <w:i/>
                        <w:sz w:val="16"/>
                        <w:szCs w:val="16"/>
                      </w:rPr>
                    </m:ctrlPr>
                  </m:dPr>
                  <m:e>
                    <m:f>
                      <m:fPr>
                        <m:ctrlPr>
                          <w:rPr>
                            <w:rFonts w:ascii="Cambria Math" w:hAnsi="Cambria Math" w:cs="Arial"/>
                            <w:i/>
                            <w:sz w:val="16"/>
                            <w:szCs w:val="16"/>
                          </w:rPr>
                        </m:ctrlPr>
                      </m:fPr>
                      <m:num>
                        <m:sSup>
                          <m:sSupPr>
                            <m:ctrlPr>
                              <w:rPr>
                                <w:rFonts w:ascii="Cambria Math" w:hAnsi="Cambria Math" w:cs="Arial"/>
                                <w:i/>
                                <w:sz w:val="16"/>
                                <w:szCs w:val="16"/>
                              </w:rPr>
                            </m:ctrlPr>
                          </m:sSupPr>
                          <m:e>
                            <m:r>
                              <w:rPr>
                                <w:rFonts w:ascii="Cambria Math" w:hAnsi="Cambria Math" w:cs="Arial"/>
                                <w:sz w:val="16"/>
                                <w:szCs w:val="16"/>
                              </w:rPr>
                              <m:t>K</m:t>
                            </m:r>
                          </m:e>
                          <m:sup>
                            <m:r>
                              <w:rPr>
                                <w:rFonts w:ascii="Cambria Math" w:hAnsi="Cambria Math" w:cs="Arial"/>
                                <w:sz w:val="16"/>
                                <w:szCs w:val="16"/>
                              </w:rPr>
                              <m:t>NZ</m:t>
                            </m:r>
                          </m:sup>
                        </m:sSup>
                      </m:num>
                      <m:den>
                        <m:r>
                          <w:rPr>
                            <w:rFonts w:ascii="Cambria Math" w:hAnsi="Cambria Math" w:cs="Arial"/>
                            <w:sz w:val="16"/>
                            <w:szCs w:val="16"/>
                          </w:rPr>
                          <m:t>2</m:t>
                        </m:r>
                      </m:den>
                    </m:f>
                  </m:e>
                </m:d>
                <m:r>
                  <w:rPr>
                    <w:rFonts w:ascii="Cambria Math" w:hAnsi="Cambria Math" w:cs="Arial"/>
                    <w:sz w:val="16"/>
                    <w:szCs w:val="16"/>
                  </w:rPr>
                  <m:t>-υ</m:t>
                </m:r>
              </m:e>
            </m:d>
          </m:e>
        </m:func>
      </m:oMath>
      <w:r w:rsidRPr="009537ED">
        <w:rPr>
          <w:rFonts w:ascii="Arial" w:hAnsi="Arial" w:cs="Arial"/>
          <w:sz w:val="16"/>
          <w:szCs w:val="16"/>
        </w:rPr>
        <w:t xml:space="preserve"> highest priority elements of </w:t>
      </w:r>
      <m:oMath>
        <m:sSub>
          <m:sSubPr>
            <m:ctrlPr>
              <w:rPr>
                <w:rFonts w:ascii="Cambria Math" w:hAnsi="Cambria Math" w:cs="Arial"/>
                <w:i/>
                <w:sz w:val="16"/>
                <w:szCs w:val="16"/>
              </w:rPr>
            </m:ctrlPr>
          </m:sSubPr>
          <m:e>
            <m:r>
              <w:rPr>
                <w:rFonts w:ascii="Cambria Math" w:hAnsi="Cambria Math" w:cs="Arial"/>
                <w:sz w:val="16"/>
                <w:szCs w:val="16"/>
              </w:rPr>
              <m:t>i</m:t>
            </m:r>
          </m:e>
          <m:sub>
            <m:r>
              <w:rPr>
                <w:rFonts w:ascii="Cambria Math" w:hAnsi="Cambria Math" w:cs="Arial"/>
                <w:sz w:val="16"/>
                <w:szCs w:val="16"/>
              </w:rPr>
              <m:t>2,5,l</m:t>
            </m:r>
          </m:sub>
        </m:sSub>
      </m:oMath>
      <w:r w:rsidRPr="009537ED">
        <w:rPr>
          <w:rFonts w:ascii="Arial" w:hAnsi="Arial" w:cs="Arial"/>
          <w:sz w:val="16"/>
          <w:szCs w:val="16"/>
        </w:rPr>
        <w:t xml:space="preserve"> (</w:t>
      </w:r>
      <m:oMath>
        <m:r>
          <w:rPr>
            <w:rFonts w:ascii="Cambria Math" w:hAnsi="Cambria Math" w:cs="Arial"/>
            <w:sz w:val="16"/>
            <w:szCs w:val="16"/>
          </w:rPr>
          <m:t>l=1,…,υ</m:t>
        </m:r>
      </m:oMath>
      <w:r w:rsidRPr="009537ED">
        <w:rPr>
          <w:rFonts w:ascii="Arial" w:hAnsi="Arial" w:cs="Arial"/>
          <w:sz w:val="16"/>
          <w:szCs w:val="16"/>
        </w:rPr>
        <w:t xml:space="preserve">) and </w:t>
      </w:r>
      <m:oMath>
        <m:sSub>
          <m:sSubPr>
            <m:ctrlPr>
              <w:rPr>
                <w:rFonts w:ascii="Cambria Math" w:hAnsi="Cambria Math" w:cs="Arial"/>
                <w:i/>
                <w:sz w:val="16"/>
                <w:szCs w:val="16"/>
              </w:rPr>
            </m:ctrlPr>
          </m:sSubPr>
          <m:e>
            <m:r>
              <w:rPr>
                <w:rFonts w:ascii="Cambria Math" w:hAnsi="Cambria Math" w:cs="Arial"/>
                <w:sz w:val="16"/>
                <w:szCs w:val="16"/>
              </w:rPr>
              <m:t>i</m:t>
            </m:r>
          </m:e>
          <m:sub>
            <m:r>
              <w:rPr>
                <w:rFonts w:ascii="Cambria Math" w:hAnsi="Cambria Math" w:cs="Arial"/>
                <w:sz w:val="16"/>
                <w:szCs w:val="16"/>
              </w:rPr>
              <m:t>1,9</m:t>
            </m:r>
          </m:sub>
        </m:sSub>
      </m:oMath>
      <w:r w:rsidRPr="009537ED">
        <w:rPr>
          <w:rFonts w:ascii="Arial" w:hAnsi="Arial" w:cs="Arial"/>
          <w:sz w:val="16"/>
          <w:szCs w:val="16"/>
        </w:rPr>
        <w:t xml:space="preserve"> (if reported).</w:t>
      </w:r>
    </w:p>
    <w:p w14:paraId="76110DF4" w14:textId="1E22A593" w:rsidR="00A41C1A" w:rsidRPr="009537ED" w:rsidRDefault="00A41C1A" w:rsidP="007D1F5A">
      <w:pPr>
        <w:ind w:left="851" w:hanging="284"/>
        <w:rPr>
          <w:rFonts w:ascii="Times New Roman" w:hAnsi="Times New Roman"/>
          <w:szCs w:val="20"/>
          <w:u w:val="single"/>
        </w:rPr>
      </w:pPr>
      <w:r w:rsidRPr="009537ED">
        <w:rPr>
          <w:rFonts w:ascii="Arial" w:hAnsi="Arial" w:cs="Arial"/>
          <w:sz w:val="16"/>
          <w:szCs w:val="16"/>
        </w:rPr>
        <w:t>-</w:t>
      </w:r>
      <w:r w:rsidRPr="009537ED">
        <w:rPr>
          <w:rFonts w:ascii="Arial" w:hAnsi="Arial" w:cs="Arial"/>
          <w:sz w:val="16"/>
          <w:szCs w:val="16"/>
        </w:rPr>
        <w:tab/>
        <w:t xml:space="preserve">Group 2 includes the </w:t>
      </w:r>
      <m:oMath>
        <m:d>
          <m:dPr>
            <m:begChr m:val="⌊"/>
            <m:endChr m:val="⌋"/>
            <m:ctrlPr>
              <w:rPr>
                <w:rFonts w:ascii="Cambria Math" w:hAnsi="Cambria Math" w:cs="Arial"/>
                <w:i/>
                <w:sz w:val="16"/>
                <w:szCs w:val="16"/>
              </w:rPr>
            </m:ctrlPr>
          </m:dPr>
          <m:e>
            <m:sSup>
              <m:sSupPr>
                <m:ctrlPr>
                  <w:rPr>
                    <w:rFonts w:ascii="Cambria Math" w:hAnsi="Cambria Math" w:cs="Arial"/>
                    <w:i/>
                    <w:sz w:val="16"/>
                    <w:szCs w:val="16"/>
                  </w:rPr>
                </m:ctrlPr>
              </m:sSupPr>
              <m:e>
                <m:r>
                  <w:rPr>
                    <w:rFonts w:ascii="Cambria Math" w:hAnsi="Cambria Math" w:cs="Arial"/>
                    <w:sz w:val="16"/>
                    <w:szCs w:val="16"/>
                  </w:rPr>
                  <m:t>K</m:t>
                </m:r>
              </m:e>
              <m:sup>
                <m:r>
                  <w:rPr>
                    <w:rFonts w:ascii="Cambria Math" w:hAnsi="Cambria Math" w:cs="Arial"/>
                    <w:sz w:val="16"/>
                    <w:szCs w:val="16"/>
                  </w:rPr>
                  <m:t>NZ</m:t>
                </m:r>
              </m:sup>
            </m:sSup>
            <m:r>
              <w:rPr>
                <w:rFonts w:ascii="Cambria Math" w:hAnsi="Cambria Math" w:cs="Arial"/>
                <w:sz w:val="16"/>
                <w:szCs w:val="16"/>
              </w:rPr>
              <m:t>/2</m:t>
            </m:r>
          </m:e>
        </m:d>
      </m:oMath>
      <w:r w:rsidRPr="009537ED">
        <w:rPr>
          <w:rFonts w:ascii="Arial" w:hAnsi="Arial" w:cs="Arial"/>
          <w:sz w:val="16"/>
          <w:szCs w:val="16"/>
        </w:rPr>
        <w:t xml:space="preserve"> </w:t>
      </w:r>
      <w:r w:rsidRPr="009537ED">
        <w:rPr>
          <w:rFonts w:ascii="Arial" w:hAnsi="Arial" w:cs="Arial"/>
          <w:noProof/>
          <w:sz w:val="16"/>
          <w:szCs w:val="16"/>
        </w:rPr>
        <w:t xml:space="preserve">lowest priority </w:t>
      </w:r>
      <w:r w:rsidRPr="009537ED">
        <w:rPr>
          <w:rFonts w:ascii="Arial" w:hAnsi="Arial" w:cs="Arial"/>
          <w:sz w:val="16"/>
          <w:szCs w:val="16"/>
        </w:rPr>
        <w:t xml:space="preserve">elements </w:t>
      </w:r>
      <w:r w:rsidRPr="009537ED">
        <w:rPr>
          <w:rFonts w:ascii="Arial" w:hAnsi="Arial" w:cs="Arial"/>
          <w:noProof/>
          <w:sz w:val="16"/>
          <w:szCs w:val="16"/>
        </w:rPr>
        <w:t>of</w:t>
      </w:r>
      <w:r w:rsidRPr="009537ED">
        <w:rPr>
          <w:rFonts w:ascii="Arial" w:hAnsi="Arial" w:cs="Arial"/>
          <w:sz w:val="16"/>
          <w:szCs w:val="16"/>
        </w:rPr>
        <w:t xml:space="preserve"> </w:t>
      </w:r>
      <m:oMath>
        <m:sSub>
          <m:sSubPr>
            <m:ctrlPr>
              <w:rPr>
                <w:rFonts w:ascii="Cambria Math" w:hAnsi="Cambria Math" w:cs="Arial"/>
                <w:sz w:val="16"/>
                <w:szCs w:val="16"/>
              </w:rPr>
            </m:ctrlPr>
          </m:sSubPr>
          <m:e>
            <m:r>
              <w:rPr>
                <w:rFonts w:ascii="Cambria Math" w:hAnsi="Cambria Math" w:cs="Arial"/>
                <w:sz w:val="16"/>
                <w:szCs w:val="16"/>
              </w:rPr>
              <m:t>i</m:t>
            </m:r>
          </m:e>
          <m:sub>
            <m:r>
              <m:rPr>
                <m:sty m:val="p"/>
              </m:rPr>
              <w:rPr>
                <w:rFonts w:ascii="Cambria Math" w:hAnsi="Cambria Math" w:cs="Arial"/>
                <w:sz w:val="16"/>
                <w:szCs w:val="16"/>
              </w:rPr>
              <m:t>1,7,</m:t>
            </m:r>
            <m:r>
              <w:rPr>
                <w:rFonts w:ascii="Cambria Math" w:hAnsi="Cambria Math" w:cs="Arial"/>
                <w:sz w:val="16"/>
                <w:szCs w:val="16"/>
              </w:rPr>
              <m:t>l</m:t>
            </m:r>
          </m:sub>
        </m:sSub>
      </m:oMath>
      <w:r w:rsidRPr="009537ED">
        <w:rPr>
          <w:rFonts w:ascii="Arial" w:hAnsi="Arial" w:cs="Arial"/>
          <w:sz w:val="16"/>
          <w:szCs w:val="16"/>
        </w:rPr>
        <w:t xml:space="preserve"> (if reported), the </w:t>
      </w:r>
      <m:oMath>
        <m:func>
          <m:funcPr>
            <m:ctrlPr>
              <w:rPr>
                <w:rFonts w:ascii="Cambria Math" w:hAnsi="Cambria Math" w:cs="Arial"/>
                <w:i/>
                <w:sz w:val="16"/>
                <w:szCs w:val="16"/>
              </w:rPr>
            </m:ctrlPr>
          </m:funcPr>
          <m:fName>
            <m:r>
              <m:rPr>
                <m:sty m:val="p"/>
              </m:rPr>
              <w:rPr>
                <w:rFonts w:ascii="Cambria Math" w:hAnsi="Cambria Math" w:cs="Arial"/>
                <w:sz w:val="16"/>
                <w:szCs w:val="16"/>
              </w:rPr>
              <m:t>min</m:t>
            </m:r>
          </m:fName>
          <m:e>
            <m:d>
              <m:dPr>
                <m:ctrlPr>
                  <w:rPr>
                    <w:rFonts w:ascii="Cambria Math" w:hAnsi="Cambria Math" w:cs="Arial"/>
                    <w:i/>
                    <w:sz w:val="16"/>
                    <w:szCs w:val="16"/>
                  </w:rPr>
                </m:ctrlPr>
              </m:dPr>
              <m:e>
                <m:sSup>
                  <m:sSupPr>
                    <m:ctrlPr>
                      <w:rPr>
                        <w:rFonts w:ascii="Cambria Math" w:hAnsi="Cambria Math" w:cs="Arial"/>
                        <w:i/>
                        <w:sz w:val="16"/>
                        <w:szCs w:val="16"/>
                      </w:rPr>
                    </m:ctrlPr>
                  </m:sSupPr>
                  <m:e>
                    <m:r>
                      <w:rPr>
                        <w:rFonts w:ascii="Cambria Math" w:hAnsi="Cambria Math" w:cs="Arial"/>
                        <w:sz w:val="16"/>
                        <w:szCs w:val="16"/>
                      </w:rPr>
                      <m:t>K</m:t>
                    </m:r>
                  </m:e>
                  <m:sup>
                    <m:r>
                      <w:rPr>
                        <w:rFonts w:ascii="Cambria Math" w:hAnsi="Cambria Math" w:cs="Arial"/>
                        <w:sz w:val="16"/>
                        <w:szCs w:val="16"/>
                      </w:rPr>
                      <m:t>NZ</m:t>
                    </m:r>
                  </m:sup>
                </m:sSup>
                <m:r>
                  <w:rPr>
                    <w:rFonts w:ascii="Cambria Math" w:hAnsi="Cambria Math" w:cs="Arial"/>
                    <w:sz w:val="16"/>
                    <w:szCs w:val="16"/>
                  </w:rPr>
                  <m:t>-ν,</m:t>
                </m:r>
                <m:d>
                  <m:dPr>
                    <m:begChr m:val="⌊"/>
                    <m:endChr m:val="⌋"/>
                    <m:ctrlPr>
                      <w:rPr>
                        <w:rFonts w:ascii="Cambria Math" w:hAnsi="Cambria Math" w:cs="Arial"/>
                        <w:i/>
                        <w:sz w:val="16"/>
                        <w:szCs w:val="16"/>
                      </w:rPr>
                    </m:ctrlPr>
                  </m:dPr>
                  <m:e>
                    <m:f>
                      <m:fPr>
                        <m:ctrlPr>
                          <w:rPr>
                            <w:rFonts w:ascii="Cambria Math" w:hAnsi="Cambria Math" w:cs="Arial"/>
                            <w:i/>
                            <w:sz w:val="16"/>
                            <w:szCs w:val="16"/>
                          </w:rPr>
                        </m:ctrlPr>
                      </m:fPr>
                      <m:num>
                        <m:sSup>
                          <m:sSupPr>
                            <m:ctrlPr>
                              <w:rPr>
                                <w:rFonts w:ascii="Cambria Math" w:hAnsi="Cambria Math" w:cs="Arial"/>
                                <w:i/>
                                <w:sz w:val="16"/>
                                <w:szCs w:val="16"/>
                              </w:rPr>
                            </m:ctrlPr>
                          </m:sSupPr>
                          <m:e>
                            <m:r>
                              <w:rPr>
                                <w:rFonts w:ascii="Cambria Math" w:hAnsi="Cambria Math" w:cs="Arial"/>
                                <w:sz w:val="16"/>
                                <w:szCs w:val="16"/>
                              </w:rPr>
                              <m:t>K</m:t>
                            </m:r>
                          </m:e>
                          <m:sup>
                            <m:r>
                              <w:rPr>
                                <w:rFonts w:ascii="Cambria Math" w:hAnsi="Cambria Math" w:cs="Arial"/>
                                <w:sz w:val="16"/>
                                <w:szCs w:val="16"/>
                              </w:rPr>
                              <m:t>NZ</m:t>
                            </m:r>
                          </m:sup>
                        </m:sSup>
                      </m:num>
                      <m:den>
                        <m:r>
                          <w:rPr>
                            <w:rFonts w:ascii="Cambria Math" w:hAnsi="Cambria Math" w:cs="Arial"/>
                            <w:sz w:val="16"/>
                            <w:szCs w:val="16"/>
                          </w:rPr>
                          <m:t>2</m:t>
                        </m:r>
                      </m:den>
                    </m:f>
                  </m:e>
                </m:d>
              </m:e>
            </m:d>
          </m:e>
        </m:func>
      </m:oMath>
      <w:r w:rsidRPr="009537ED">
        <w:rPr>
          <w:rFonts w:ascii="Arial" w:hAnsi="Arial" w:cs="Arial"/>
          <w:sz w:val="16"/>
          <w:szCs w:val="16"/>
        </w:rPr>
        <w:t xml:space="preserve"> lowest priority elements of </w:t>
      </w:r>
      <m:oMath>
        <m:sSub>
          <m:sSubPr>
            <m:ctrlPr>
              <w:rPr>
                <w:rFonts w:ascii="Cambria Math" w:hAnsi="Cambria Math" w:cs="Arial"/>
                <w:i/>
                <w:sz w:val="16"/>
                <w:szCs w:val="16"/>
              </w:rPr>
            </m:ctrlPr>
          </m:sSubPr>
          <m:e>
            <m:r>
              <w:rPr>
                <w:rFonts w:ascii="Cambria Math" w:hAnsi="Cambria Math" w:cs="Arial"/>
                <w:sz w:val="16"/>
                <w:szCs w:val="16"/>
              </w:rPr>
              <m:t>i</m:t>
            </m:r>
          </m:e>
          <m:sub>
            <m:r>
              <w:rPr>
                <w:rFonts w:ascii="Cambria Math" w:hAnsi="Cambria Math" w:cs="Arial"/>
                <w:sz w:val="16"/>
                <w:szCs w:val="16"/>
              </w:rPr>
              <m:t>2,4,l</m:t>
            </m:r>
          </m:sub>
        </m:sSub>
      </m:oMath>
      <w:r w:rsidRPr="009537ED">
        <w:rPr>
          <w:rFonts w:ascii="Arial" w:hAnsi="Arial" w:cs="Arial"/>
          <w:sz w:val="16"/>
          <w:szCs w:val="16"/>
        </w:rPr>
        <w:t xml:space="preserve"> and the </w:t>
      </w:r>
      <m:oMath>
        <m:func>
          <m:funcPr>
            <m:ctrlPr>
              <w:rPr>
                <w:rFonts w:ascii="Cambria Math" w:hAnsi="Cambria Math" w:cs="Arial"/>
                <w:i/>
                <w:sz w:val="16"/>
                <w:szCs w:val="16"/>
              </w:rPr>
            </m:ctrlPr>
          </m:funcPr>
          <m:fName>
            <m:r>
              <m:rPr>
                <m:sty m:val="p"/>
              </m:rPr>
              <w:rPr>
                <w:rFonts w:ascii="Cambria Math" w:hAnsi="Cambria Math" w:cs="Arial"/>
                <w:sz w:val="16"/>
                <w:szCs w:val="16"/>
              </w:rPr>
              <m:t>min</m:t>
            </m:r>
          </m:fName>
          <m:e>
            <m:d>
              <m:dPr>
                <m:ctrlPr>
                  <w:rPr>
                    <w:rFonts w:ascii="Cambria Math" w:hAnsi="Cambria Math" w:cs="Arial"/>
                    <w:i/>
                    <w:sz w:val="16"/>
                    <w:szCs w:val="16"/>
                  </w:rPr>
                </m:ctrlPr>
              </m:dPr>
              <m:e>
                <m:sSup>
                  <m:sSupPr>
                    <m:ctrlPr>
                      <w:rPr>
                        <w:rFonts w:ascii="Cambria Math" w:hAnsi="Cambria Math" w:cs="Arial"/>
                        <w:i/>
                        <w:sz w:val="16"/>
                        <w:szCs w:val="16"/>
                      </w:rPr>
                    </m:ctrlPr>
                  </m:sSupPr>
                  <m:e>
                    <m:r>
                      <w:rPr>
                        <w:rFonts w:ascii="Cambria Math" w:hAnsi="Cambria Math" w:cs="Arial"/>
                        <w:sz w:val="16"/>
                        <w:szCs w:val="16"/>
                      </w:rPr>
                      <m:t>K</m:t>
                    </m:r>
                  </m:e>
                  <m:sup>
                    <m:r>
                      <w:rPr>
                        <w:rFonts w:ascii="Cambria Math" w:hAnsi="Cambria Math" w:cs="Arial"/>
                        <w:sz w:val="16"/>
                        <w:szCs w:val="16"/>
                      </w:rPr>
                      <m:t>NZ</m:t>
                    </m:r>
                  </m:sup>
                </m:sSup>
                <m:r>
                  <w:rPr>
                    <w:rFonts w:ascii="Cambria Math" w:hAnsi="Cambria Math" w:cs="Arial"/>
                    <w:sz w:val="16"/>
                    <w:szCs w:val="16"/>
                  </w:rPr>
                  <m:t>-υ,</m:t>
                </m:r>
                <m:d>
                  <m:dPr>
                    <m:begChr m:val="⌊"/>
                    <m:endChr m:val="⌋"/>
                    <m:ctrlPr>
                      <w:rPr>
                        <w:rFonts w:ascii="Cambria Math" w:hAnsi="Cambria Math" w:cs="Arial"/>
                        <w:i/>
                        <w:sz w:val="16"/>
                        <w:szCs w:val="16"/>
                      </w:rPr>
                    </m:ctrlPr>
                  </m:dPr>
                  <m:e>
                    <m:f>
                      <m:fPr>
                        <m:ctrlPr>
                          <w:rPr>
                            <w:rFonts w:ascii="Cambria Math" w:hAnsi="Cambria Math" w:cs="Arial"/>
                            <w:i/>
                            <w:sz w:val="16"/>
                            <w:szCs w:val="16"/>
                          </w:rPr>
                        </m:ctrlPr>
                      </m:fPr>
                      <m:num>
                        <m:sSup>
                          <m:sSupPr>
                            <m:ctrlPr>
                              <w:rPr>
                                <w:rFonts w:ascii="Cambria Math" w:hAnsi="Cambria Math" w:cs="Arial"/>
                                <w:i/>
                                <w:sz w:val="16"/>
                                <w:szCs w:val="16"/>
                              </w:rPr>
                            </m:ctrlPr>
                          </m:sSupPr>
                          <m:e>
                            <m:r>
                              <w:rPr>
                                <w:rFonts w:ascii="Cambria Math" w:hAnsi="Cambria Math" w:cs="Arial"/>
                                <w:sz w:val="16"/>
                                <w:szCs w:val="16"/>
                              </w:rPr>
                              <m:t>K</m:t>
                            </m:r>
                          </m:e>
                          <m:sup>
                            <m:r>
                              <w:rPr>
                                <w:rFonts w:ascii="Cambria Math" w:hAnsi="Cambria Math" w:cs="Arial"/>
                                <w:sz w:val="16"/>
                                <w:szCs w:val="16"/>
                              </w:rPr>
                              <m:t>NZ</m:t>
                            </m:r>
                          </m:sup>
                        </m:sSup>
                      </m:num>
                      <m:den>
                        <m:r>
                          <w:rPr>
                            <w:rFonts w:ascii="Cambria Math" w:hAnsi="Cambria Math" w:cs="Arial"/>
                            <w:sz w:val="16"/>
                            <w:szCs w:val="16"/>
                          </w:rPr>
                          <m:t>2</m:t>
                        </m:r>
                      </m:den>
                    </m:f>
                  </m:e>
                </m:d>
              </m:e>
            </m:d>
          </m:e>
        </m:func>
      </m:oMath>
      <w:r w:rsidRPr="009537ED">
        <w:rPr>
          <w:rFonts w:ascii="Arial" w:hAnsi="Arial" w:cs="Arial"/>
          <w:sz w:val="16"/>
          <w:szCs w:val="16"/>
        </w:rPr>
        <w:t xml:space="preserve"> lowest priority elements of </w:t>
      </w:r>
      <m:oMath>
        <m:sSub>
          <m:sSubPr>
            <m:ctrlPr>
              <w:rPr>
                <w:rFonts w:ascii="Cambria Math" w:hAnsi="Cambria Math" w:cs="Arial"/>
                <w:i/>
                <w:sz w:val="16"/>
                <w:szCs w:val="16"/>
              </w:rPr>
            </m:ctrlPr>
          </m:sSubPr>
          <m:e>
            <m:r>
              <w:rPr>
                <w:rFonts w:ascii="Cambria Math" w:hAnsi="Cambria Math" w:cs="Arial"/>
                <w:sz w:val="16"/>
                <w:szCs w:val="16"/>
              </w:rPr>
              <m:t>i</m:t>
            </m:r>
          </m:e>
          <m:sub>
            <m:r>
              <w:rPr>
                <w:rFonts w:ascii="Cambria Math" w:hAnsi="Cambria Math" w:cs="Arial"/>
                <w:sz w:val="16"/>
                <w:szCs w:val="16"/>
              </w:rPr>
              <m:t>2,5,l</m:t>
            </m:r>
          </m:sub>
        </m:sSub>
      </m:oMath>
      <w:r w:rsidRPr="009537ED">
        <w:rPr>
          <w:rFonts w:ascii="Arial" w:hAnsi="Arial" w:cs="Arial"/>
          <w:sz w:val="16"/>
          <w:szCs w:val="16"/>
        </w:rPr>
        <w:t xml:space="preserve"> (</w:t>
      </w:r>
      <m:oMath>
        <m:r>
          <w:rPr>
            <w:rFonts w:ascii="Cambria Math" w:hAnsi="Cambria Math" w:cs="Arial"/>
            <w:sz w:val="16"/>
            <w:szCs w:val="16"/>
          </w:rPr>
          <m:t>l=1,…,υ</m:t>
        </m:r>
      </m:oMath>
      <w:r w:rsidRPr="009537ED">
        <w:rPr>
          <w:rFonts w:ascii="Arial" w:hAnsi="Arial" w:cs="Arial"/>
          <w:sz w:val="16"/>
          <w:szCs w:val="16"/>
        </w:rPr>
        <w:t>).</w:t>
      </w:r>
    </w:p>
    <w:p w14:paraId="53D53B88" w14:textId="77777777" w:rsidR="007D1F5A" w:rsidRPr="009537ED" w:rsidRDefault="007D1F5A" w:rsidP="007D1F5A">
      <w:pPr>
        <w:snapToGrid w:val="0"/>
        <w:rPr>
          <w:rFonts w:ascii="Times New Roman" w:hAnsi="Times New Roman"/>
          <w:color w:val="FF0000"/>
          <w:szCs w:val="20"/>
        </w:rPr>
      </w:pPr>
      <w:r w:rsidRPr="009537ED">
        <w:rPr>
          <w:rFonts w:ascii="Times New Roman" w:hAnsi="Times New Roman"/>
          <w:color w:val="FF0000"/>
          <w:szCs w:val="20"/>
        </w:rPr>
        <w:t>=============End of Text Proposal to TS 38.214=============</w:t>
      </w:r>
    </w:p>
    <w:p w14:paraId="09FF64BC" w14:textId="77777777" w:rsidR="00A41C1A" w:rsidRPr="009537ED" w:rsidRDefault="00A41C1A" w:rsidP="00141B77">
      <w:pPr>
        <w:rPr>
          <w:rFonts w:ascii="Times New Roman" w:hAnsi="Times New Roman"/>
          <w:szCs w:val="20"/>
          <w:lang w:eastAsia="x-none"/>
        </w:rPr>
      </w:pPr>
    </w:p>
    <w:p w14:paraId="7977A55C" w14:textId="77777777" w:rsidR="007D1F5A" w:rsidRPr="009537ED" w:rsidRDefault="007D1F5A" w:rsidP="007D1F5A">
      <w:pPr>
        <w:rPr>
          <w:lang w:eastAsia="x-none"/>
        </w:rPr>
      </w:pPr>
      <w:r w:rsidRPr="009537ED">
        <w:rPr>
          <w:highlight w:val="green"/>
          <w:lang w:eastAsia="x-none"/>
        </w:rPr>
        <w:t>Agreement</w:t>
      </w:r>
    </w:p>
    <w:p w14:paraId="3D83069C" w14:textId="27022577" w:rsidR="00A41C1A" w:rsidRPr="009537ED" w:rsidRDefault="00A41C1A" w:rsidP="00141B77">
      <w:pPr>
        <w:snapToGrid w:val="0"/>
        <w:rPr>
          <w:rFonts w:ascii="Times New Roman" w:hAnsi="Times New Roman"/>
          <w:szCs w:val="20"/>
          <w:lang w:eastAsia="zh-CN"/>
        </w:rPr>
      </w:pPr>
      <w:r w:rsidRPr="009537ED">
        <w:rPr>
          <w:rFonts w:ascii="Times New Roman" w:hAnsi="Times New Roman"/>
          <w:szCs w:val="20"/>
        </w:rPr>
        <w:t xml:space="preserve">For the Rel-18 Type-II codebook refinement for CJT mTRP, </w:t>
      </w:r>
      <w:r w:rsidRPr="009537ED">
        <w:rPr>
          <w:rFonts w:ascii="Times New Roman" w:hAnsi="Times New Roman"/>
          <w:szCs w:val="20"/>
          <w:lang w:eastAsia="zh-CN"/>
        </w:rPr>
        <w:t xml:space="preserve">change </w:t>
      </w:r>
      <m:oMath>
        <m:r>
          <m:rPr>
            <m:sty m:val="bi"/>
          </m:rPr>
          <w:rPr>
            <w:rFonts w:ascii="Cambria Math" w:hAnsi="Cambria Math"/>
            <w:szCs w:val="20"/>
            <w:lang w:eastAsia="zh-CN"/>
          </w:rPr>
          <m:t>'</m:t>
        </m:r>
        <m:nary>
          <m:naryPr>
            <m:chr m:val="∑"/>
            <m:limLoc m:val="undOvr"/>
            <m:ctrlPr>
              <w:rPr>
                <w:rFonts w:ascii="Cambria Math" w:hAnsi="Cambria Math"/>
                <w:i/>
                <w:szCs w:val="20"/>
                <w:lang w:eastAsia="zh-CN"/>
              </w:rPr>
            </m:ctrlPr>
          </m:naryPr>
          <m:sub>
            <m:r>
              <m:rPr>
                <m:sty m:val="bi"/>
              </m:rPr>
              <w:rPr>
                <w:rFonts w:ascii="Cambria Math" w:hAnsi="Cambria Math"/>
                <w:szCs w:val="20"/>
                <w:lang w:eastAsia="zh-CN"/>
              </w:rPr>
              <m:t>n=0</m:t>
            </m:r>
          </m:sub>
          <m:sup>
            <m:sSub>
              <m:sSubPr>
                <m:ctrlPr>
                  <w:rPr>
                    <w:rFonts w:ascii="Cambria Math" w:hAnsi="Cambria Math"/>
                    <w:i/>
                    <w:szCs w:val="20"/>
                    <w:lang w:eastAsia="zh-CN"/>
                  </w:rPr>
                </m:ctrlPr>
              </m:sSubPr>
              <m:e>
                <m:r>
                  <m:rPr>
                    <m:sty m:val="bi"/>
                  </m:rPr>
                  <w:rPr>
                    <w:rFonts w:ascii="Cambria Math" w:hAnsi="Cambria Math"/>
                    <w:szCs w:val="20"/>
                    <w:lang w:eastAsia="zh-CN"/>
                  </w:rPr>
                  <m:t>N</m:t>
                </m:r>
              </m:e>
              <m:sub>
                <m:r>
                  <m:rPr>
                    <m:sty m:val="bi"/>
                  </m:rPr>
                  <w:rPr>
                    <w:rFonts w:ascii="Cambria Math" w:hAnsi="Cambria Math"/>
                    <w:szCs w:val="20"/>
                    <w:lang w:eastAsia="zh-CN"/>
                  </w:rPr>
                  <m:t>0</m:t>
                </m:r>
              </m:sub>
            </m:sSub>
            <m:r>
              <m:rPr>
                <m:sty m:val="bi"/>
              </m:rPr>
              <w:rPr>
                <w:rFonts w:ascii="Cambria Math" w:hAnsi="Cambria Math"/>
                <w:szCs w:val="20"/>
                <w:lang w:eastAsia="zh-CN"/>
              </w:rPr>
              <m:t>-1</m:t>
            </m:r>
          </m:sup>
          <m:e>
            <m:r>
              <m:rPr>
                <m:sty m:val="bi"/>
              </m:rPr>
              <w:rPr>
                <w:rFonts w:ascii="Cambria Math" w:hAnsi="Cambria Math"/>
                <w:szCs w:val="20"/>
                <w:lang w:eastAsia="zh-CN"/>
              </w:rPr>
              <m:t>( )</m:t>
            </m:r>
          </m:e>
        </m:nary>
        <m:r>
          <m:rPr>
            <m:sty m:val="bi"/>
          </m:rPr>
          <w:rPr>
            <w:rFonts w:ascii="Cambria Math" w:hAnsi="Cambria Math"/>
            <w:szCs w:val="20"/>
            <w:lang w:eastAsia="zh-CN"/>
          </w:rPr>
          <m:t xml:space="preserve">' </m:t>
        </m:r>
      </m:oMath>
      <w:r w:rsidRPr="009537ED">
        <w:rPr>
          <w:rFonts w:ascii="Times New Roman" w:hAnsi="Times New Roman"/>
          <w:szCs w:val="20"/>
          <w:lang w:eastAsia="zh-CN"/>
        </w:rPr>
        <w:t xml:space="preserve"> to </w:t>
      </w:r>
      <m:oMath>
        <m:r>
          <m:rPr>
            <m:sty m:val="bi"/>
          </m:rPr>
          <w:rPr>
            <w:rFonts w:ascii="Cambria Math" w:hAnsi="Cambria Math"/>
            <w:szCs w:val="20"/>
            <w:lang w:eastAsia="zh-CN"/>
          </w:rPr>
          <m:t>'</m:t>
        </m:r>
        <m:nary>
          <m:naryPr>
            <m:chr m:val="∑"/>
            <m:limLoc m:val="undOvr"/>
            <m:ctrlPr>
              <w:rPr>
                <w:rFonts w:ascii="Cambria Math" w:hAnsi="Cambria Math"/>
                <w:i/>
                <w:szCs w:val="20"/>
                <w:lang w:eastAsia="zh-CN"/>
              </w:rPr>
            </m:ctrlPr>
          </m:naryPr>
          <m:sub>
            <m:r>
              <m:rPr>
                <m:sty m:val="bi"/>
              </m:rPr>
              <w:rPr>
                <w:rFonts w:ascii="Cambria Math" w:hAnsi="Cambria Math"/>
                <w:szCs w:val="20"/>
                <w:lang w:eastAsia="zh-CN"/>
              </w:rPr>
              <m:t>n=1</m:t>
            </m:r>
          </m:sub>
          <m:sup>
            <m:sSub>
              <m:sSubPr>
                <m:ctrlPr>
                  <w:rPr>
                    <w:rFonts w:ascii="Cambria Math" w:hAnsi="Cambria Math"/>
                    <w:i/>
                    <w:szCs w:val="20"/>
                    <w:lang w:eastAsia="zh-CN"/>
                  </w:rPr>
                </m:ctrlPr>
              </m:sSubPr>
              <m:e>
                <m:r>
                  <m:rPr>
                    <m:sty m:val="bi"/>
                  </m:rPr>
                  <w:rPr>
                    <w:rFonts w:ascii="Cambria Math" w:hAnsi="Cambria Math"/>
                    <w:szCs w:val="20"/>
                    <w:lang w:eastAsia="zh-CN"/>
                  </w:rPr>
                  <m:t>N</m:t>
                </m:r>
              </m:e>
              <m:sub>
                <m:r>
                  <m:rPr>
                    <m:sty m:val="bi"/>
                  </m:rPr>
                  <w:rPr>
                    <w:rFonts w:ascii="Cambria Math" w:hAnsi="Cambria Math"/>
                    <w:szCs w:val="20"/>
                    <w:lang w:eastAsia="zh-CN"/>
                  </w:rPr>
                  <m:t>0</m:t>
                </m:r>
              </m:sub>
            </m:sSub>
          </m:sup>
          <m:e>
            <m:r>
              <m:rPr>
                <m:sty m:val="bi"/>
              </m:rPr>
              <w:rPr>
                <w:rFonts w:ascii="Cambria Math" w:hAnsi="Cambria Math"/>
                <w:szCs w:val="20"/>
                <w:lang w:eastAsia="zh-CN"/>
              </w:rPr>
              <m:t>( )</m:t>
            </m:r>
          </m:e>
        </m:nary>
        <m:r>
          <m:rPr>
            <m:sty m:val="bi"/>
          </m:rPr>
          <w:rPr>
            <w:rFonts w:ascii="Cambria Math" w:hAnsi="Cambria Math"/>
            <w:szCs w:val="20"/>
            <w:lang w:eastAsia="zh-CN"/>
          </w:rPr>
          <m:t>'</m:t>
        </m:r>
      </m:oMath>
      <w:r w:rsidRPr="009537ED">
        <w:rPr>
          <w:rFonts w:ascii="Times New Roman" w:hAnsi="Times New Roman"/>
          <w:szCs w:val="20"/>
          <w:lang w:eastAsia="zh-CN"/>
        </w:rPr>
        <w:t xml:space="preserve"> in Table 6.3.2.1.2-1B and Table 6.3.2.1.2-2C of TS 38.212</w:t>
      </w:r>
      <w:r w:rsidR="007D1F5A" w:rsidRPr="009537ED">
        <w:rPr>
          <w:rFonts w:ascii="Times New Roman" w:hAnsi="Times New Roman"/>
          <w:szCs w:val="20"/>
          <w:lang w:eastAsia="zh-CN"/>
        </w:rPr>
        <w:t>.</w:t>
      </w:r>
    </w:p>
    <w:p w14:paraId="5A16510B" w14:textId="77777777" w:rsidR="00A41C1A" w:rsidRPr="009537ED" w:rsidRDefault="00A41C1A" w:rsidP="00141B77">
      <w:pPr>
        <w:rPr>
          <w:rFonts w:ascii="Times New Roman" w:hAnsi="Times New Roman"/>
          <w:szCs w:val="20"/>
          <w:lang w:eastAsia="x-none"/>
        </w:rPr>
      </w:pPr>
    </w:p>
    <w:p w14:paraId="7E0FB5E6" w14:textId="77777777" w:rsidR="007D1F5A" w:rsidRPr="009537ED" w:rsidRDefault="007D1F5A" w:rsidP="007D1F5A">
      <w:pPr>
        <w:rPr>
          <w:lang w:eastAsia="x-none"/>
        </w:rPr>
      </w:pPr>
      <w:r w:rsidRPr="009537ED">
        <w:rPr>
          <w:highlight w:val="green"/>
          <w:lang w:eastAsia="x-none"/>
        </w:rPr>
        <w:t>Agreement</w:t>
      </w:r>
    </w:p>
    <w:p w14:paraId="3D805E2E" w14:textId="4F778FA6" w:rsidR="00A41C1A" w:rsidRPr="009537ED" w:rsidRDefault="00A41C1A" w:rsidP="00141B77">
      <w:pPr>
        <w:snapToGrid w:val="0"/>
        <w:jc w:val="both"/>
        <w:rPr>
          <w:rFonts w:ascii="Times New Roman" w:eastAsia="Microsoft YaHei" w:hAnsi="Times New Roman"/>
          <w:iCs/>
          <w:szCs w:val="20"/>
        </w:rPr>
      </w:pPr>
      <w:r w:rsidRPr="009537ED">
        <w:rPr>
          <w:rFonts w:ascii="Times New Roman" w:hAnsi="Times New Roman"/>
          <w:iCs/>
          <w:szCs w:val="20"/>
        </w:rPr>
        <w:t>For the Type-II codebook refinement for high/medium velocities</w:t>
      </w:r>
      <w:r w:rsidRPr="009537ED">
        <w:rPr>
          <w:rFonts w:ascii="Times New Roman" w:eastAsia="Microsoft YaHei" w:hAnsi="Times New Roman"/>
          <w:iCs/>
          <w:szCs w:val="20"/>
        </w:rPr>
        <w:t>, in TS 38.212 section 6.3.2.1.2 Table 6.3.2.1.2-5F, replace “Pri(l,i,f,q)” to “Pri(l,i,f) for N</w:t>
      </w:r>
      <w:r w:rsidRPr="009537ED">
        <w:rPr>
          <w:rFonts w:ascii="Times New Roman" w:eastAsia="Microsoft YaHei" w:hAnsi="Times New Roman"/>
          <w:iCs/>
          <w:szCs w:val="20"/>
          <w:vertAlign w:val="subscript"/>
        </w:rPr>
        <w:t>4</w:t>
      </w:r>
      <w:r w:rsidRPr="009537ED">
        <w:rPr>
          <w:rFonts w:ascii="Times New Roman" w:eastAsia="Microsoft YaHei" w:hAnsi="Times New Roman"/>
          <w:iCs/>
          <w:szCs w:val="20"/>
        </w:rPr>
        <w:t xml:space="preserve"> = 1 or Pri(l,i,f,j) for N</w:t>
      </w:r>
      <w:r w:rsidRPr="009537ED">
        <w:rPr>
          <w:rFonts w:ascii="Times New Roman" w:eastAsia="Microsoft YaHei" w:hAnsi="Times New Roman"/>
          <w:iCs/>
          <w:szCs w:val="20"/>
          <w:vertAlign w:val="subscript"/>
        </w:rPr>
        <w:t>4</w:t>
      </w:r>
      <w:r w:rsidRPr="009537ED">
        <w:rPr>
          <w:rFonts w:ascii="Times New Roman" w:eastAsia="Microsoft YaHei" w:hAnsi="Times New Roman"/>
          <w:iCs/>
          <w:szCs w:val="20"/>
        </w:rPr>
        <w:t xml:space="preserve"> &gt; 1”</w:t>
      </w:r>
      <w:r w:rsidR="00677802">
        <w:rPr>
          <w:rFonts w:ascii="Times New Roman" w:eastAsia="Microsoft YaHei" w:hAnsi="Times New Roman"/>
          <w:iCs/>
          <w:szCs w:val="20"/>
        </w:rPr>
        <w:t>.</w:t>
      </w:r>
    </w:p>
    <w:p w14:paraId="00A9CCCD" w14:textId="4036B55F" w:rsidR="00A41C1A" w:rsidRPr="009537ED" w:rsidRDefault="00A41C1A" w:rsidP="00A76E0D">
      <w:pPr>
        <w:pStyle w:val="ListParagraph"/>
        <w:numPr>
          <w:ilvl w:val="0"/>
          <w:numId w:val="99"/>
        </w:numPr>
      </w:pPr>
      <w:r w:rsidRPr="009537ED">
        <w:t>This is needed to align the notation with TS 38.214</w:t>
      </w:r>
      <w:r w:rsidR="00677802">
        <w:t>.</w:t>
      </w:r>
    </w:p>
    <w:p w14:paraId="01F6F93F" w14:textId="77777777" w:rsidR="00A41C1A" w:rsidRPr="009537ED" w:rsidRDefault="00A41C1A" w:rsidP="00141B77">
      <w:pPr>
        <w:rPr>
          <w:rFonts w:ascii="Times New Roman" w:hAnsi="Times New Roman"/>
          <w:szCs w:val="20"/>
          <w:lang w:eastAsia="x-none"/>
        </w:rPr>
      </w:pPr>
    </w:p>
    <w:p w14:paraId="3BC245F2" w14:textId="77777777" w:rsidR="007D1F5A" w:rsidRPr="009537ED" w:rsidRDefault="007D1F5A" w:rsidP="007D1F5A">
      <w:pPr>
        <w:rPr>
          <w:lang w:eastAsia="x-none"/>
        </w:rPr>
      </w:pPr>
      <w:r w:rsidRPr="009537ED">
        <w:rPr>
          <w:highlight w:val="green"/>
          <w:lang w:eastAsia="x-none"/>
        </w:rPr>
        <w:t>Agreement</w:t>
      </w:r>
    </w:p>
    <w:p w14:paraId="62AB2CFD" w14:textId="77777777" w:rsidR="00A41C1A" w:rsidRPr="009537ED" w:rsidRDefault="00A41C1A" w:rsidP="00141B77">
      <w:pPr>
        <w:widowControl w:val="0"/>
        <w:suppressAutoHyphens/>
        <w:snapToGrid w:val="0"/>
        <w:jc w:val="both"/>
        <w:rPr>
          <w:rFonts w:ascii="Times New Roman" w:hAnsi="Times New Roman"/>
          <w:szCs w:val="20"/>
        </w:rPr>
      </w:pPr>
      <w:r w:rsidRPr="009537ED">
        <w:rPr>
          <w:rFonts w:ascii="Times New Roman" w:hAnsi="Times New Roman"/>
          <w:iCs/>
          <w:szCs w:val="20"/>
        </w:rPr>
        <w:t>For the Type-II codebook refinement for high/medium velocities</w:t>
      </w:r>
      <w:r w:rsidRPr="009537ED">
        <w:rPr>
          <w:rFonts w:ascii="Times New Roman" w:eastAsia="Microsoft YaHei" w:hAnsi="Times New Roman"/>
          <w:iCs/>
          <w:szCs w:val="20"/>
        </w:rPr>
        <w:t>, adopt the following TP for TS 38.214:</w:t>
      </w:r>
    </w:p>
    <w:p w14:paraId="3464D848" w14:textId="77777777" w:rsidR="00A41C1A" w:rsidRPr="009537ED" w:rsidRDefault="00A41C1A" w:rsidP="00A76E0D">
      <w:pPr>
        <w:pStyle w:val="ListParagraph"/>
        <w:numPr>
          <w:ilvl w:val="0"/>
          <w:numId w:val="99"/>
        </w:numPr>
        <w:jc w:val="both"/>
        <w:rPr>
          <w:rFonts w:eastAsia="Malgun Gothic"/>
          <w:lang w:eastAsia="zh-CN"/>
        </w:rPr>
      </w:pPr>
      <w:r w:rsidRPr="009537ED">
        <w:rPr>
          <w:rFonts w:eastAsia="Malgun Gothic"/>
          <w:b/>
          <w:lang w:eastAsia="zh-CN"/>
        </w:rPr>
        <w:lastRenderedPageBreak/>
        <w:t>Reason for change:</w:t>
      </w:r>
      <w:r w:rsidRPr="009537ED">
        <w:rPr>
          <w:rFonts w:eastAsia="Malgun Gothic"/>
          <w:lang w:eastAsia="zh-CN"/>
        </w:rPr>
        <w:t xml:space="preserve"> </w:t>
      </w:r>
    </w:p>
    <w:p w14:paraId="1BCA0DC3" w14:textId="77777777" w:rsidR="00A41C1A" w:rsidRPr="009537ED" w:rsidRDefault="00A41C1A" w:rsidP="007D1F5A">
      <w:pPr>
        <w:pStyle w:val="ListParagraph"/>
        <w:snapToGrid w:val="0"/>
        <w:rPr>
          <w:highlight w:val="green"/>
        </w:rPr>
      </w:pPr>
      <w:r w:rsidRPr="009537ED">
        <w:t xml:space="preserve">[114bis] </w:t>
      </w:r>
      <w:r w:rsidRPr="009537ED">
        <w:rPr>
          <w:b/>
          <w:highlight w:val="green"/>
        </w:rPr>
        <w:t>Agreement</w:t>
      </w:r>
    </w:p>
    <w:p w14:paraId="317EAFE2" w14:textId="77777777" w:rsidR="00A41C1A" w:rsidRPr="009537ED" w:rsidRDefault="00A41C1A" w:rsidP="00A76E0D">
      <w:pPr>
        <w:pStyle w:val="ListParagraph"/>
        <w:numPr>
          <w:ilvl w:val="1"/>
          <w:numId w:val="99"/>
        </w:numPr>
        <w:snapToGrid w:val="0"/>
      </w:pPr>
      <w:r w:rsidRPr="009537ED">
        <w:t xml:space="preserve">For the </w:t>
      </w:r>
      <w:r w:rsidRPr="009537ED">
        <w:rPr>
          <w:iCs/>
        </w:rPr>
        <w:t>Type-II codebook refinement for high/medium velocities</w:t>
      </w:r>
      <w:r w:rsidRPr="009537ED">
        <w:t>, regarding CPU allocation, remove Y=2/3 (previously agreed) and add the support for O</w:t>
      </w:r>
      <w:r w:rsidRPr="009537ED">
        <w:rPr>
          <w:vertAlign w:val="subscript"/>
        </w:rPr>
        <w:t>CPU</w:t>
      </w:r>
      <w:r w:rsidRPr="009537ED">
        <w:t>=8 for K=12 for AP-CSIRS</w:t>
      </w:r>
    </w:p>
    <w:p w14:paraId="5B88790E" w14:textId="11647789" w:rsidR="00A41C1A" w:rsidRPr="009537ED" w:rsidRDefault="00A41C1A" w:rsidP="007D1F5A">
      <w:pPr>
        <w:pStyle w:val="ListParagraph"/>
        <w:ind w:left="1080"/>
        <w:jc w:val="both"/>
        <w:rPr>
          <w:rFonts w:eastAsia="Malgun Gothic"/>
          <w:lang w:eastAsia="zh-CN"/>
        </w:rPr>
      </w:pPr>
      <w:r w:rsidRPr="009537ED">
        <w:rPr>
          <w:rFonts w:eastAsia="Malgun Gothic"/>
          <w:lang w:eastAsia="zh-CN"/>
        </w:rPr>
        <w:t xml:space="preserve">Furthermore, for Rel-18 CJT CSI, the number of CPU is </w:t>
      </w:r>
      <m:oMath>
        <m:sSub>
          <m:sSubPr>
            <m:ctrlPr>
              <w:rPr>
                <w:rFonts w:ascii="Cambria Math" w:hAnsi="Cambria Math"/>
                <w:i/>
              </w:rPr>
            </m:ctrlPr>
          </m:sSubPr>
          <m:e>
            <m:r>
              <w:rPr>
                <w:rFonts w:ascii="Cambria Math" w:hAnsi="Cambria Math"/>
              </w:rPr>
              <m:t>O</m:t>
            </m:r>
          </m:e>
          <m:sub>
            <m:r>
              <w:rPr>
                <w:rFonts w:ascii="Cambria Math" w:hAnsi="Cambria Math"/>
              </w:rPr>
              <m:t>CPU</m:t>
            </m:r>
          </m:sub>
        </m:sSub>
        <m:r>
          <w:rPr>
            <w:rFonts w:ascii="Cambria Math" w:hAnsi="Cambria Math"/>
          </w:rPr>
          <m:t>=X⋅</m:t>
        </m:r>
        <m:sSub>
          <m:sSubPr>
            <m:ctrlPr>
              <w:rPr>
                <w:rFonts w:ascii="Cambria Math" w:hAnsi="Cambria Math"/>
                <w:i/>
              </w:rPr>
            </m:ctrlPr>
          </m:sSubPr>
          <m:e>
            <m:r>
              <w:rPr>
                <w:rFonts w:ascii="Cambria Math" w:hAnsi="Cambria Math"/>
              </w:rPr>
              <m:t>N</m:t>
            </m:r>
          </m:e>
          <m:sub>
            <m:r>
              <w:rPr>
                <w:rFonts w:ascii="Cambria Math" w:hAnsi="Cambria Math"/>
              </w:rPr>
              <m:t>TRP</m:t>
            </m:r>
          </m:sub>
        </m:sSub>
      </m:oMath>
      <w:r w:rsidRPr="009537ED">
        <w:rPr>
          <w:rFonts w:eastAsia="MS Mincho"/>
        </w:rPr>
        <w:t xml:space="preserve">, where </w:t>
      </w:r>
      <m:oMath>
        <m:r>
          <w:rPr>
            <w:rFonts w:ascii="Cambria Math" w:eastAsia="MS Mincho" w:hAnsi="Cambria Math"/>
          </w:rPr>
          <m:t>X∈{1, 1.5, 2}</m:t>
        </m:r>
      </m:oMath>
      <w:r w:rsidRPr="009537ED">
        <w:rPr>
          <w:rFonts w:eastAsia="MS Mincho"/>
        </w:rPr>
        <w:t xml:space="preserve"> is reported by UE capability indication. When </w:t>
      </w:r>
      <m:oMath>
        <m:sSub>
          <m:sSubPr>
            <m:ctrlPr>
              <w:rPr>
                <w:rFonts w:ascii="Cambria Math" w:hAnsi="Cambria Math"/>
                <w:i/>
              </w:rPr>
            </m:ctrlPr>
          </m:sSubPr>
          <m:e>
            <m:r>
              <w:rPr>
                <w:rFonts w:ascii="Cambria Math" w:hAnsi="Cambria Math"/>
              </w:rPr>
              <m:t>N</m:t>
            </m:r>
          </m:e>
          <m:sub>
            <m:r>
              <w:rPr>
                <w:rFonts w:ascii="Cambria Math" w:hAnsi="Cambria Math"/>
              </w:rPr>
              <m:t>TRP</m:t>
            </m:r>
          </m:sub>
        </m:sSub>
        <m:r>
          <m:rPr>
            <m:sty m:val="p"/>
          </m:rPr>
          <w:rPr>
            <w:rFonts w:ascii="Cambria Math" w:eastAsia="Malgun Gothic" w:hAnsi="Cambria Math"/>
            <w:lang w:eastAsia="zh-CN"/>
          </w:rPr>
          <m:t>=3</m:t>
        </m:r>
      </m:oMath>
      <w:r w:rsidRPr="009537ED">
        <w:rPr>
          <w:rFonts w:eastAsia="Malgun Gothic"/>
          <w:lang w:eastAsia="zh-CN"/>
        </w:rPr>
        <w:t xml:space="preserve">, the value can be 4.5 based on the reported value. A ceil operation is expected here. </w:t>
      </w:r>
    </w:p>
    <w:p w14:paraId="1D98EAC6" w14:textId="77777777" w:rsidR="00A41C1A" w:rsidRPr="009537ED" w:rsidRDefault="00A41C1A" w:rsidP="00A76E0D">
      <w:pPr>
        <w:pStyle w:val="ListParagraph"/>
        <w:widowControl w:val="0"/>
        <w:numPr>
          <w:ilvl w:val="0"/>
          <w:numId w:val="99"/>
        </w:numPr>
        <w:snapToGrid w:val="0"/>
        <w:rPr>
          <w:rFonts w:eastAsia="Malgun Gothic"/>
          <w:b/>
          <w:i/>
          <w:lang w:eastAsia="zh-CN"/>
        </w:rPr>
      </w:pPr>
      <w:r w:rsidRPr="009537ED">
        <w:rPr>
          <w:rFonts w:eastAsia="Malgun Gothic"/>
          <w:b/>
          <w:i/>
          <w:lang w:eastAsia="zh-CN"/>
        </w:rPr>
        <w:t xml:space="preserve">Summary of change: </w:t>
      </w:r>
      <w:r w:rsidRPr="009537ED">
        <w:rPr>
          <w:rFonts w:eastAsia="Malgun Gothic"/>
          <w:lang w:eastAsia="zh-CN"/>
        </w:rPr>
        <w:t>Delete Y=2/3 for P/SP CSI-RS based doppler CSI reporting, and add ceil operation for CPU calculation of CJT CSI.</w:t>
      </w:r>
    </w:p>
    <w:p w14:paraId="0E737BDC" w14:textId="77777777" w:rsidR="00A41C1A" w:rsidRPr="009537ED" w:rsidRDefault="00A41C1A" w:rsidP="00A76E0D">
      <w:pPr>
        <w:pStyle w:val="ListParagraph"/>
        <w:widowControl w:val="0"/>
        <w:numPr>
          <w:ilvl w:val="0"/>
          <w:numId w:val="99"/>
        </w:numPr>
        <w:snapToGrid w:val="0"/>
        <w:rPr>
          <w:iCs/>
          <w:color w:val="000000"/>
          <w:lang w:eastAsia="en-GB"/>
        </w:rPr>
      </w:pPr>
      <w:r w:rsidRPr="009537ED">
        <w:rPr>
          <w:rFonts w:eastAsia="Malgun Gothic"/>
          <w:b/>
          <w:i/>
          <w:iCs/>
          <w:color w:val="000000"/>
          <w:lang w:eastAsia="zh-CN"/>
        </w:rPr>
        <w:t>C</w:t>
      </w:r>
      <w:r w:rsidRPr="009537ED">
        <w:rPr>
          <w:b/>
          <w:i/>
          <w:iCs/>
          <w:color w:val="000000"/>
          <w:lang w:eastAsia="en-GB"/>
        </w:rPr>
        <w:t xml:space="preserve">onsequences if not approved: </w:t>
      </w:r>
      <w:r w:rsidRPr="009537ED">
        <w:rPr>
          <w:iCs/>
          <w:color w:val="000000"/>
          <w:lang w:eastAsia="en-GB"/>
        </w:rPr>
        <w:t xml:space="preserve">The agreement could not be captured for </w:t>
      </w:r>
      <w:r w:rsidRPr="009537ED">
        <w:rPr>
          <w:rFonts w:eastAsia="Malgun Gothic"/>
          <w:lang w:eastAsia="zh-CN"/>
        </w:rPr>
        <w:t>doppler CSI reporting, and the number of CPU for CJT CSI can be a non-integer.</w:t>
      </w:r>
    </w:p>
    <w:p w14:paraId="615D03C3" w14:textId="77777777" w:rsidR="007D1F5A" w:rsidRPr="009537ED" w:rsidRDefault="007D1F5A" w:rsidP="007D1F5A">
      <w:pPr>
        <w:snapToGrid w:val="0"/>
        <w:rPr>
          <w:rFonts w:ascii="Times New Roman" w:hAnsi="Times New Roman"/>
          <w:color w:val="FF0000"/>
          <w:szCs w:val="20"/>
        </w:rPr>
      </w:pPr>
      <w:r w:rsidRPr="009537ED">
        <w:rPr>
          <w:rFonts w:ascii="Times New Roman" w:hAnsi="Times New Roman"/>
          <w:color w:val="FF0000"/>
          <w:szCs w:val="20"/>
        </w:rPr>
        <w:t>=============Start of Text Proposal to TS 38.214=============</w:t>
      </w:r>
    </w:p>
    <w:p w14:paraId="2105D2F0" w14:textId="77777777" w:rsidR="00A41C1A" w:rsidRPr="009537ED" w:rsidRDefault="00A41C1A" w:rsidP="00141B77">
      <w:pPr>
        <w:widowControl w:val="0"/>
        <w:suppressAutoHyphens/>
        <w:snapToGrid w:val="0"/>
        <w:jc w:val="both"/>
        <w:rPr>
          <w:rFonts w:ascii="Arial" w:hAnsi="Arial" w:cs="Arial"/>
          <w:sz w:val="16"/>
          <w:szCs w:val="16"/>
        </w:rPr>
      </w:pPr>
      <w:r w:rsidRPr="009537ED">
        <w:rPr>
          <w:rFonts w:ascii="Arial" w:hAnsi="Arial" w:cs="Arial"/>
          <w:sz w:val="16"/>
          <w:szCs w:val="16"/>
        </w:rPr>
        <w:t>5.2.1.6</w:t>
      </w:r>
      <w:r w:rsidRPr="009537ED">
        <w:rPr>
          <w:rFonts w:ascii="Arial" w:hAnsi="Arial" w:cs="Arial"/>
          <w:sz w:val="16"/>
          <w:szCs w:val="16"/>
        </w:rPr>
        <w:tab/>
        <w:t>CSI processing criteria</w:t>
      </w:r>
    </w:p>
    <w:p w14:paraId="7779FA5B" w14:textId="77777777" w:rsidR="00A41C1A" w:rsidRPr="009537ED" w:rsidRDefault="00A41C1A" w:rsidP="00141B77">
      <w:pPr>
        <w:ind w:left="568" w:hanging="284"/>
        <w:rPr>
          <w:rFonts w:ascii="Arial" w:eastAsia="SimSun" w:hAnsi="Arial" w:cs="Arial"/>
          <w:sz w:val="16"/>
          <w:szCs w:val="16"/>
        </w:rPr>
      </w:pPr>
      <w:r w:rsidRPr="009537ED">
        <w:rPr>
          <w:rFonts w:ascii="Arial" w:eastAsia="SimSun" w:hAnsi="Arial" w:cs="Arial"/>
          <w:sz w:val="16"/>
          <w:szCs w:val="16"/>
        </w:rPr>
        <w:t>-</w:t>
      </w:r>
      <w:r w:rsidRPr="009537ED">
        <w:rPr>
          <w:rFonts w:ascii="Arial" w:eastAsia="SimSun" w:hAnsi="Arial" w:cs="Arial"/>
          <w:sz w:val="16"/>
          <w:szCs w:val="16"/>
        </w:rPr>
        <w:tab/>
        <w:t xml:space="preserve">for a CSI report with </w:t>
      </w:r>
      <w:r w:rsidRPr="009537ED">
        <w:rPr>
          <w:rFonts w:ascii="Arial" w:eastAsia="SimSun" w:hAnsi="Arial" w:cs="Arial"/>
          <w:i/>
          <w:sz w:val="16"/>
          <w:szCs w:val="16"/>
        </w:rPr>
        <w:t>CSI-ReportConfig</w:t>
      </w:r>
      <w:r w:rsidRPr="009537ED">
        <w:rPr>
          <w:rFonts w:ascii="Arial" w:eastAsia="SimSun" w:hAnsi="Arial" w:cs="Arial"/>
          <w:sz w:val="16"/>
          <w:szCs w:val="16"/>
        </w:rPr>
        <w:t xml:space="preserve"> with higher layer parameter </w:t>
      </w:r>
      <w:r w:rsidRPr="009537ED">
        <w:rPr>
          <w:rFonts w:ascii="Arial" w:eastAsia="SimSun" w:hAnsi="Arial" w:cs="Arial"/>
          <w:i/>
          <w:sz w:val="16"/>
          <w:szCs w:val="16"/>
        </w:rPr>
        <w:t>reportQuantity</w:t>
      </w:r>
      <w:r w:rsidRPr="009537ED">
        <w:rPr>
          <w:rFonts w:ascii="Arial" w:eastAsia="SimSun" w:hAnsi="Arial" w:cs="Arial"/>
          <w:sz w:val="16"/>
          <w:szCs w:val="16"/>
        </w:rPr>
        <w:t xml:space="preserve"> set to </w:t>
      </w:r>
      <w:r w:rsidRPr="009537ED">
        <w:rPr>
          <w:rFonts w:ascii="Arial" w:eastAsia="SimSun" w:hAnsi="Arial" w:cs="Arial"/>
          <w:color w:val="000000"/>
          <w:sz w:val="16"/>
          <w:szCs w:val="16"/>
        </w:rPr>
        <w:t>‘cri-RI-PMI-CQI’, ‘cri-RI-i1’, ‘cri-RI-i1-CQI’, ‘cri-RI-CQI’, or ‘cri-RI-LI-PMI-CQI’,</w:t>
      </w:r>
      <w:r w:rsidRPr="009537ED">
        <w:rPr>
          <w:rFonts w:ascii="Arial" w:eastAsia="SimSun" w:hAnsi="Arial" w:cs="Arial"/>
          <w:sz w:val="16"/>
          <w:szCs w:val="16"/>
        </w:rPr>
        <w:t xml:space="preserve"> </w:t>
      </w:r>
    </w:p>
    <w:p w14:paraId="1D86659A" w14:textId="77777777" w:rsidR="00A41C1A" w:rsidRPr="009537ED" w:rsidRDefault="00A41C1A" w:rsidP="00141B77">
      <w:pPr>
        <w:ind w:left="851" w:hanging="284"/>
        <w:rPr>
          <w:rFonts w:ascii="Arial" w:eastAsia="MS Mincho" w:hAnsi="Arial" w:cs="Arial"/>
          <w:sz w:val="16"/>
          <w:szCs w:val="16"/>
        </w:rPr>
      </w:pPr>
      <w:r w:rsidRPr="009537ED">
        <w:rPr>
          <w:rFonts w:ascii="Arial" w:eastAsia="SimSun" w:hAnsi="Arial" w:cs="Arial"/>
          <w:sz w:val="16"/>
          <w:szCs w:val="16"/>
        </w:rPr>
        <w:t>-</w:t>
      </w:r>
      <w:r w:rsidRPr="009537ED">
        <w:rPr>
          <w:rFonts w:ascii="Arial" w:eastAsia="SimSun" w:hAnsi="Arial" w:cs="Arial"/>
          <w:sz w:val="16"/>
          <w:szCs w:val="16"/>
        </w:rPr>
        <w:tab/>
        <w:t>…</w:t>
      </w:r>
    </w:p>
    <w:p w14:paraId="47F49831" w14:textId="1A5ED14C" w:rsidR="00A41C1A" w:rsidRPr="009537ED" w:rsidRDefault="00A41C1A" w:rsidP="00141B77">
      <w:pPr>
        <w:ind w:left="851" w:hanging="284"/>
        <w:rPr>
          <w:rFonts w:ascii="Arial" w:eastAsia="MS Mincho" w:hAnsi="Arial" w:cs="Arial"/>
          <w:sz w:val="16"/>
          <w:szCs w:val="16"/>
        </w:rPr>
      </w:pPr>
      <w:r w:rsidRPr="009537ED">
        <w:rPr>
          <w:rFonts w:ascii="Arial" w:eastAsia="MS Mincho" w:hAnsi="Arial" w:cs="Arial"/>
          <w:sz w:val="16"/>
          <w:szCs w:val="16"/>
        </w:rPr>
        <w:t>-</w:t>
      </w:r>
      <w:r w:rsidRPr="009537ED">
        <w:rPr>
          <w:rFonts w:ascii="Arial" w:eastAsia="MS Mincho" w:hAnsi="Arial" w:cs="Arial"/>
          <w:sz w:val="16"/>
          <w:szCs w:val="16"/>
        </w:rPr>
        <w:tab/>
        <w:t xml:space="preserve">if a </w:t>
      </w:r>
      <w:r w:rsidRPr="009537ED">
        <w:rPr>
          <w:rFonts w:ascii="Arial" w:eastAsia="MS Mincho" w:hAnsi="Arial" w:cs="Arial"/>
          <w:i/>
          <w:color w:val="000000"/>
          <w:sz w:val="16"/>
          <w:szCs w:val="16"/>
        </w:rPr>
        <w:t>CSI-ReportConfig</w:t>
      </w:r>
      <w:r w:rsidRPr="009537ED">
        <w:rPr>
          <w:rFonts w:ascii="Arial" w:eastAsia="MS Mincho" w:hAnsi="Arial" w:cs="Arial"/>
          <w:color w:val="000000"/>
          <w:sz w:val="16"/>
          <w:szCs w:val="16"/>
        </w:rPr>
        <w:t xml:space="preserve"> is configured with the higher layer parameter </w:t>
      </w:r>
      <w:r w:rsidRPr="009537ED">
        <w:rPr>
          <w:rFonts w:ascii="Arial" w:eastAsia="SimSun" w:hAnsi="Arial" w:cs="Arial"/>
          <w:i/>
          <w:sz w:val="16"/>
          <w:szCs w:val="16"/>
        </w:rPr>
        <w:t>reportQuantity</w:t>
      </w:r>
      <w:r w:rsidRPr="009537ED">
        <w:rPr>
          <w:rFonts w:ascii="Arial" w:eastAsia="SimSun" w:hAnsi="Arial" w:cs="Arial"/>
          <w:sz w:val="16"/>
          <w:szCs w:val="16"/>
        </w:rPr>
        <w:t xml:space="preserve"> set to ‘cri-RI-PMI-CQI’</w:t>
      </w:r>
      <w:r w:rsidRPr="009537ED">
        <w:rPr>
          <w:rFonts w:ascii="Arial" w:eastAsia="MS Mincho" w:hAnsi="Arial" w:cs="Arial"/>
          <w:color w:val="000000"/>
          <w:sz w:val="16"/>
          <w:szCs w:val="16"/>
        </w:rPr>
        <w:t xml:space="preserve">, </w:t>
      </w:r>
      <w:r w:rsidRPr="009537ED">
        <w:rPr>
          <w:rFonts w:ascii="Arial" w:eastAsia="SimSun" w:hAnsi="Arial" w:cs="Arial"/>
          <w:i/>
          <w:iCs/>
          <w:color w:val="000000"/>
          <w:sz w:val="16"/>
          <w:szCs w:val="16"/>
          <w:lang w:eastAsia="zh-CN"/>
        </w:rPr>
        <w:t>codebookType</w:t>
      </w:r>
      <w:r w:rsidRPr="009537ED">
        <w:rPr>
          <w:rFonts w:ascii="Arial" w:eastAsia="SimSun" w:hAnsi="Arial" w:cs="Arial"/>
          <w:color w:val="000000"/>
          <w:sz w:val="16"/>
          <w:szCs w:val="16"/>
          <w:lang w:eastAsia="zh-CN"/>
        </w:rPr>
        <w:t xml:space="preserve"> set to </w:t>
      </w:r>
      <w:r w:rsidRPr="009537ED">
        <w:rPr>
          <w:rFonts w:ascii="Arial" w:eastAsia="MS Mincho" w:hAnsi="Arial" w:cs="Arial"/>
          <w:color w:val="000000"/>
          <w:sz w:val="16"/>
          <w:szCs w:val="16"/>
        </w:rPr>
        <w:t xml:space="preserve">‘typeII-CJT-r18’ or ‘typeII-CJT-PortSelection-r18’ and </w:t>
      </w:r>
      <w:r w:rsidRPr="009537ED">
        <w:rPr>
          <w:rFonts w:ascii="Arial" w:eastAsia="SimSun" w:hAnsi="Arial" w:cs="Arial"/>
          <w:sz w:val="16"/>
          <w:szCs w:val="16"/>
        </w:rPr>
        <w:t xml:space="preserve">the corresponding </w:t>
      </w:r>
      <w:r w:rsidRPr="009537ED">
        <w:rPr>
          <w:rFonts w:ascii="Arial" w:eastAsia="SimSun" w:hAnsi="Arial" w:cs="Arial"/>
          <w:i/>
          <w:sz w:val="16"/>
          <w:szCs w:val="16"/>
          <w:lang w:eastAsia="ja-JP"/>
        </w:rPr>
        <w:t>NZP-CSI-RS-ResourceSet</w:t>
      </w:r>
      <w:r w:rsidRPr="009537ED">
        <w:rPr>
          <w:rFonts w:ascii="Arial" w:eastAsia="SimSun" w:hAnsi="Arial" w:cs="Arial"/>
          <w:sz w:val="16"/>
          <w:szCs w:val="16"/>
        </w:rPr>
        <w:t xml:space="preserve"> for channel measurement is configured with </w:t>
      </w:r>
      <m:oMath>
        <m:r>
          <w:rPr>
            <w:rFonts w:ascii="Cambria Math" w:eastAsia="SimSun" w:hAnsi="Cambria Math" w:cs="Arial"/>
            <w:sz w:val="16"/>
            <w:szCs w:val="16"/>
          </w:rPr>
          <m:t>1&lt;</m:t>
        </m:r>
        <m:sSub>
          <m:sSubPr>
            <m:ctrlPr>
              <w:rPr>
                <w:rFonts w:ascii="Cambria Math" w:eastAsia="SimSun" w:hAnsi="Cambria Math" w:cs="Arial"/>
                <w:i/>
                <w:sz w:val="16"/>
                <w:szCs w:val="16"/>
              </w:rPr>
            </m:ctrlPr>
          </m:sSubPr>
          <m:e>
            <m:r>
              <w:rPr>
                <w:rFonts w:ascii="Cambria Math" w:eastAsia="SimSun" w:hAnsi="Cambria Math" w:cs="Arial"/>
                <w:sz w:val="16"/>
                <w:szCs w:val="16"/>
              </w:rPr>
              <m:t>N</m:t>
            </m:r>
          </m:e>
          <m:sub>
            <m:r>
              <w:rPr>
                <w:rFonts w:ascii="Cambria Math" w:eastAsia="SimSun" w:hAnsi="Cambria Math" w:cs="Arial"/>
                <w:sz w:val="16"/>
                <w:szCs w:val="16"/>
              </w:rPr>
              <m:t>TRP</m:t>
            </m:r>
          </m:sub>
        </m:sSub>
        <m:r>
          <w:rPr>
            <w:rFonts w:ascii="Cambria Math" w:eastAsia="SimSun" w:hAnsi="Cambria Math" w:cs="Arial"/>
            <w:sz w:val="16"/>
            <w:szCs w:val="16"/>
          </w:rPr>
          <m:t>≤4</m:t>
        </m:r>
      </m:oMath>
      <w:r w:rsidRPr="009537ED">
        <w:rPr>
          <w:rFonts w:ascii="Arial" w:eastAsia="SimSun" w:hAnsi="Arial" w:cs="Arial"/>
          <w:sz w:val="16"/>
          <w:szCs w:val="16"/>
        </w:rPr>
        <w:t xml:space="preserve"> resources, </w:t>
      </w:r>
      <m:oMath>
        <m:sSub>
          <m:sSubPr>
            <m:ctrlPr>
              <w:rPr>
                <w:rFonts w:ascii="Cambria Math" w:eastAsia="SimSun" w:hAnsi="Cambria Math" w:cs="Arial"/>
                <w:i/>
                <w:color w:val="FF0000"/>
                <w:sz w:val="16"/>
                <w:szCs w:val="16"/>
              </w:rPr>
            </m:ctrlPr>
          </m:sSubPr>
          <m:e>
            <m:r>
              <w:rPr>
                <w:rFonts w:ascii="Cambria Math" w:eastAsia="SimSun" w:hAnsi="Cambria Math" w:cs="Arial"/>
                <w:color w:val="FF0000"/>
                <w:sz w:val="16"/>
                <w:szCs w:val="16"/>
              </w:rPr>
              <m:t>O</m:t>
            </m:r>
          </m:e>
          <m:sub>
            <m:r>
              <w:rPr>
                <w:rFonts w:ascii="Cambria Math" w:eastAsia="SimSun" w:hAnsi="Cambria Math" w:cs="Arial"/>
                <w:color w:val="FF0000"/>
                <w:sz w:val="16"/>
                <w:szCs w:val="16"/>
              </w:rPr>
              <m:t>CPU</m:t>
            </m:r>
          </m:sub>
        </m:sSub>
        <m:r>
          <w:rPr>
            <w:rFonts w:ascii="Cambria Math" w:eastAsia="SimSun" w:hAnsi="Cambria Math" w:cs="Arial"/>
            <w:color w:val="FF0000"/>
            <w:sz w:val="16"/>
            <w:szCs w:val="16"/>
          </w:rPr>
          <m:t>=</m:t>
        </m:r>
        <m:r>
          <w:rPr>
            <w:rFonts w:ascii="Cambria Math" w:eastAsia="SimSun" w:hAnsi="Cambria Math" w:cs="Arial"/>
            <w:color w:val="FF0000"/>
            <w:sz w:val="16"/>
            <w:szCs w:val="16"/>
            <w:lang w:eastAsia="zh-CN"/>
          </w:rPr>
          <m:t>cei</m:t>
        </m:r>
        <m:r>
          <w:rPr>
            <w:rFonts w:ascii="Cambria Math" w:eastAsia="SimSun" w:hAnsi="Cambria Math" w:cs="Arial"/>
            <w:color w:val="FF0000"/>
            <w:sz w:val="16"/>
            <w:szCs w:val="16"/>
          </w:rPr>
          <m:t>l(X⋅</m:t>
        </m:r>
        <m:sSub>
          <m:sSubPr>
            <m:ctrlPr>
              <w:rPr>
                <w:rFonts w:ascii="Cambria Math" w:eastAsia="SimSun" w:hAnsi="Cambria Math" w:cs="Arial"/>
                <w:i/>
                <w:color w:val="FF0000"/>
                <w:sz w:val="16"/>
                <w:szCs w:val="16"/>
              </w:rPr>
            </m:ctrlPr>
          </m:sSubPr>
          <m:e>
            <m:r>
              <w:rPr>
                <w:rFonts w:ascii="Cambria Math" w:eastAsia="SimSun" w:hAnsi="Cambria Math" w:cs="Arial"/>
                <w:color w:val="FF0000"/>
                <w:sz w:val="16"/>
                <w:szCs w:val="16"/>
              </w:rPr>
              <m:t>N</m:t>
            </m:r>
          </m:e>
          <m:sub>
            <m:r>
              <w:rPr>
                <w:rFonts w:ascii="Cambria Math" w:eastAsia="SimSun" w:hAnsi="Cambria Math" w:cs="Arial"/>
                <w:color w:val="FF0000"/>
                <w:sz w:val="16"/>
                <w:szCs w:val="16"/>
              </w:rPr>
              <m:t>TRP</m:t>
            </m:r>
          </m:sub>
        </m:sSub>
        <m:r>
          <m:rPr>
            <m:sty m:val="p"/>
          </m:rPr>
          <w:rPr>
            <w:rFonts w:ascii="Cambria Math" w:eastAsia="SimSun" w:hAnsi="Cambria Math" w:cs="Arial"/>
            <w:color w:val="FF0000"/>
            <w:sz w:val="16"/>
            <w:szCs w:val="16"/>
          </w:rPr>
          <m:t>)</m:t>
        </m:r>
        <m:sSub>
          <m:sSubPr>
            <m:ctrlPr>
              <w:rPr>
                <w:rFonts w:ascii="Cambria Math" w:eastAsia="SimSun" w:hAnsi="Cambria Math" w:cs="Arial"/>
                <w:i/>
                <w:strike/>
                <w:color w:val="FF0000"/>
                <w:sz w:val="16"/>
                <w:szCs w:val="16"/>
              </w:rPr>
            </m:ctrlPr>
          </m:sSubPr>
          <m:e>
            <m:r>
              <w:rPr>
                <w:rFonts w:ascii="Cambria Math" w:eastAsia="SimSun" w:hAnsi="Cambria Math" w:cs="Arial"/>
                <w:strike/>
                <w:color w:val="FF0000"/>
                <w:sz w:val="16"/>
                <w:szCs w:val="16"/>
              </w:rPr>
              <m:t>O</m:t>
            </m:r>
          </m:e>
          <m:sub>
            <m:r>
              <w:rPr>
                <w:rFonts w:ascii="Cambria Math" w:eastAsia="SimSun" w:hAnsi="Cambria Math" w:cs="Arial"/>
                <w:strike/>
                <w:color w:val="FF0000"/>
                <w:sz w:val="16"/>
                <w:szCs w:val="16"/>
              </w:rPr>
              <m:t>CPU</m:t>
            </m:r>
          </m:sub>
        </m:sSub>
        <m:r>
          <w:rPr>
            <w:rFonts w:ascii="Cambria Math" w:eastAsia="SimSun" w:hAnsi="Cambria Math" w:cs="Arial"/>
            <w:strike/>
            <w:color w:val="FF0000"/>
            <w:sz w:val="16"/>
            <w:szCs w:val="16"/>
          </w:rPr>
          <m:t>=X⋅</m:t>
        </m:r>
        <m:sSub>
          <m:sSubPr>
            <m:ctrlPr>
              <w:rPr>
                <w:rFonts w:ascii="Cambria Math" w:eastAsia="SimSun" w:hAnsi="Cambria Math" w:cs="Arial"/>
                <w:i/>
                <w:strike/>
                <w:color w:val="FF0000"/>
                <w:sz w:val="16"/>
                <w:szCs w:val="16"/>
              </w:rPr>
            </m:ctrlPr>
          </m:sSubPr>
          <m:e>
            <m:r>
              <w:rPr>
                <w:rFonts w:ascii="Cambria Math" w:eastAsia="SimSun" w:hAnsi="Cambria Math" w:cs="Arial"/>
                <w:strike/>
                <w:color w:val="FF0000"/>
                <w:sz w:val="16"/>
                <w:szCs w:val="16"/>
              </w:rPr>
              <m:t>N</m:t>
            </m:r>
          </m:e>
          <m:sub>
            <m:r>
              <w:rPr>
                <w:rFonts w:ascii="Cambria Math" w:eastAsia="SimSun" w:hAnsi="Cambria Math" w:cs="Arial"/>
                <w:strike/>
                <w:color w:val="FF0000"/>
                <w:sz w:val="16"/>
                <w:szCs w:val="16"/>
              </w:rPr>
              <m:t>TRP</m:t>
            </m:r>
          </m:sub>
        </m:sSub>
      </m:oMath>
      <w:r w:rsidRPr="009537ED">
        <w:rPr>
          <w:rFonts w:ascii="Arial" w:eastAsia="MS Mincho" w:hAnsi="Arial" w:cs="Arial"/>
          <w:color w:val="FF0000"/>
          <w:sz w:val="16"/>
          <w:szCs w:val="16"/>
        </w:rPr>
        <w:t xml:space="preserve">, </w:t>
      </w:r>
      <w:r w:rsidRPr="009537ED">
        <w:rPr>
          <w:rFonts w:ascii="Arial" w:eastAsia="MS Mincho" w:hAnsi="Arial" w:cs="Arial"/>
          <w:sz w:val="16"/>
          <w:szCs w:val="16"/>
        </w:rPr>
        <w:t xml:space="preserve">where </w:t>
      </w:r>
      <m:oMath>
        <m:r>
          <w:rPr>
            <w:rFonts w:ascii="Cambria Math" w:eastAsia="MS Mincho" w:hAnsi="Cambria Math" w:cs="Arial"/>
            <w:sz w:val="16"/>
            <w:szCs w:val="16"/>
          </w:rPr>
          <m:t>X∈{1, 1.5, 2}</m:t>
        </m:r>
      </m:oMath>
      <w:r w:rsidRPr="009537ED">
        <w:rPr>
          <w:rFonts w:ascii="Arial" w:eastAsia="MS Mincho" w:hAnsi="Arial" w:cs="Arial"/>
          <w:sz w:val="16"/>
          <w:szCs w:val="16"/>
        </w:rPr>
        <w:t xml:space="preserve"> is reported by UE capability indication, </w:t>
      </w:r>
    </w:p>
    <w:p w14:paraId="0D7F6213" w14:textId="77777777" w:rsidR="00A41C1A" w:rsidRPr="009537ED" w:rsidRDefault="00A41C1A" w:rsidP="00141B77">
      <w:pPr>
        <w:ind w:left="851" w:hanging="284"/>
        <w:rPr>
          <w:rFonts w:ascii="Arial" w:eastAsia="MS Mincho" w:hAnsi="Arial" w:cs="Arial"/>
          <w:sz w:val="16"/>
          <w:szCs w:val="16"/>
        </w:rPr>
      </w:pPr>
      <w:r w:rsidRPr="009537ED">
        <w:rPr>
          <w:rFonts w:ascii="Arial" w:eastAsia="MS Mincho" w:hAnsi="Arial" w:cs="Arial"/>
          <w:sz w:val="16"/>
          <w:szCs w:val="16"/>
        </w:rPr>
        <w:t>-</w:t>
      </w:r>
      <w:r w:rsidRPr="009537ED">
        <w:rPr>
          <w:rFonts w:ascii="Arial" w:eastAsia="MS Mincho" w:hAnsi="Arial" w:cs="Arial"/>
          <w:sz w:val="16"/>
          <w:szCs w:val="16"/>
        </w:rPr>
        <w:tab/>
        <w:t>…</w:t>
      </w:r>
    </w:p>
    <w:p w14:paraId="6AE2374F" w14:textId="5930472C" w:rsidR="00A41C1A" w:rsidRPr="009537ED" w:rsidRDefault="00A41C1A" w:rsidP="00141B77">
      <w:pPr>
        <w:widowControl w:val="0"/>
        <w:suppressAutoHyphens/>
        <w:snapToGrid w:val="0"/>
        <w:jc w:val="both"/>
        <w:rPr>
          <w:rFonts w:ascii="Arial" w:hAnsi="Arial" w:cs="Arial"/>
          <w:sz w:val="16"/>
          <w:szCs w:val="16"/>
        </w:rPr>
      </w:pPr>
      <w:r w:rsidRPr="009537ED">
        <w:rPr>
          <w:rFonts w:ascii="Arial" w:eastAsia="MS Mincho" w:hAnsi="Arial" w:cs="Arial"/>
          <w:sz w:val="16"/>
          <w:szCs w:val="16"/>
        </w:rPr>
        <w:t>-</w:t>
      </w:r>
      <w:r w:rsidRPr="009537ED">
        <w:rPr>
          <w:rFonts w:ascii="Arial" w:eastAsia="MS Mincho" w:hAnsi="Arial" w:cs="Arial"/>
          <w:sz w:val="16"/>
          <w:szCs w:val="16"/>
        </w:rPr>
        <w:tab/>
        <w:t xml:space="preserve">if the corresponding </w:t>
      </w:r>
      <w:r w:rsidRPr="009537ED">
        <w:rPr>
          <w:rFonts w:ascii="Arial" w:eastAsia="MS Mincho" w:hAnsi="Arial" w:cs="Arial"/>
          <w:color w:val="000000"/>
          <w:sz w:val="16"/>
          <w:szCs w:val="16"/>
        </w:rPr>
        <w:t xml:space="preserve">CSI-RS Resource Set for channel measurement is periodic or semi-persistent and configured with a single CSI-RS resource, </w:t>
      </w:r>
      <m:oMath>
        <m:sSub>
          <m:sSubPr>
            <m:ctrlPr>
              <w:rPr>
                <w:rFonts w:ascii="Cambria Math" w:eastAsia="SimSun" w:hAnsi="Cambria Math" w:cs="Arial"/>
                <w:i/>
                <w:sz w:val="16"/>
                <w:szCs w:val="16"/>
              </w:rPr>
            </m:ctrlPr>
          </m:sSubPr>
          <m:e>
            <m:r>
              <w:rPr>
                <w:rFonts w:ascii="Cambria Math" w:eastAsia="SimSun" w:hAnsi="Cambria Math" w:cs="Arial"/>
                <w:sz w:val="16"/>
                <w:szCs w:val="16"/>
              </w:rPr>
              <m:t>O</m:t>
            </m:r>
          </m:e>
          <m:sub>
            <m:r>
              <w:rPr>
                <w:rFonts w:ascii="Cambria Math" w:eastAsia="SimSun" w:hAnsi="Cambria Math" w:cs="Arial"/>
                <w:sz w:val="16"/>
                <w:szCs w:val="16"/>
              </w:rPr>
              <m:t>CPU</m:t>
            </m:r>
          </m:sub>
        </m:sSub>
        <m:r>
          <w:rPr>
            <w:rFonts w:ascii="Cambria Math" w:eastAsia="SimSun" w:hAnsi="Cambria Math" w:cs="Arial"/>
            <w:sz w:val="16"/>
            <w:szCs w:val="16"/>
          </w:rPr>
          <m:t>=4</m:t>
        </m:r>
      </m:oMath>
      <w:r w:rsidRPr="009537ED">
        <w:rPr>
          <w:rFonts w:ascii="Arial" w:eastAsia="MS Mincho" w:hAnsi="Arial" w:cs="Arial"/>
          <w:sz w:val="16"/>
          <w:szCs w:val="16"/>
        </w:rPr>
        <w:t xml:space="preserve"> for </w:t>
      </w:r>
      <m:oMath>
        <m:sSub>
          <m:sSubPr>
            <m:ctrlPr>
              <w:rPr>
                <w:rFonts w:ascii="Cambria Math" w:eastAsia="MS Mincho" w:hAnsi="Cambria Math" w:cs="Arial"/>
                <w:i/>
                <w:sz w:val="16"/>
                <w:szCs w:val="16"/>
              </w:rPr>
            </m:ctrlPr>
          </m:sSubPr>
          <m:e>
            <m:r>
              <w:rPr>
                <w:rFonts w:ascii="Cambria Math" w:eastAsia="MS Mincho" w:hAnsi="Cambria Math" w:cs="Arial"/>
                <w:sz w:val="16"/>
                <w:szCs w:val="16"/>
              </w:rPr>
              <m:t>N</m:t>
            </m:r>
          </m:e>
          <m:sub>
            <m:r>
              <w:rPr>
                <w:rFonts w:ascii="Cambria Math" w:eastAsia="MS Mincho" w:hAnsi="Cambria Math" w:cs="Arial"/>
                <w:sz w:val="16"/>
                <w:szCs w:val="16"/>
              </w:rPr>
              <m:t>4</m:t>
            </m:r>
          </m:sub>
        </m:sSub>
        <m:r>
          <w:rPr>
            <w:rFonts w:ascii="Cambria Math" w:eastAsia="MS Mincho" w:hAnsi="Cambria Math" w:cs="Arial"/>
            <w:sz w:val="16"/>
            <w:szCs w:val="16"/>
          </w:rPr>
          <m:t>=1</m:t>
        </m:r>
      </m:oMath>
      <w:r w:rsidRPr="009537ED">
        <w:rPr>
          <w:rFonts w:ascii="Arial" w:eastAsia="MS Mincho" w:hAnsi="Arial" w:cs="Arial"/>
          <w:sz w:val="16"/>
          <w:szCs w:val="16"/>
        </w:rPr>
        <w:t xml:space="preserve"> and</w:t>
      </w:r>
      <w:r w:rsidRPr="009537ED">
        <w:rPr>
          <w:rFonts w:ascii="Arial" w:eastAsia="MS Mincho" w:hAnsi="Arial" w:cs="Arial"/>
          <w:color w:val="000000"/>
          <w:sz w:val="16"/>
          <w:szCs w:val="16"/>
        </w:rPr>
        <w:t xml:space="preserve"> </w:t>
      </w:r>
      <m:oMath>
        <m:sSub>
          <m:sSubPr>
            <m:ctrlPr>
              <w:rPr>
                <w:rFonts w:ascii="Cambria Math" w:eastAsia="SimSun" w:hAnsi="Cambria Math" w:cs="Arial"/>
                <w:i/>
                <w:sz w:val="16"/>
                <w:szCs w:val="16"/>
              </w:rPr>
            </m:ctrlPr>
          </m:sSubPr>
          <m:e>
            <m:r>
              <w:rPr>
                <w:rFonts w:ascii="Cambria Math" w:eastAsia="SimSun" w:hAnsi="Cambria Math" w:cs="Arial"/>
                <w:sz w:val="16"/>
                <w:szCs w:val="16"/>
              </w:rPr>
              <m:t>O</m:t>
            </m:r>
          </m:e>
          <m:sub>
            <m:r>
              <w:rPr>
                <w:rFonts w:ascii="Cambria Math" w:eastAsia="SimSun" w:hAnsi="Cambria Math" w:cs="Arial"/>
                <w:sz w:val="16"/>
                <w:szCs w:val="16"/>
              </w:rPr>
              <m:t>CPU</m:t>
            </m:r>
          </m:sub>
        </m:sSub>
        <m:r>
          <w:rPr>
            <w:rFonts w:ascii="Cambria Math" w:eastAsia="SimSun" w:hAnsi="Cambria Math" w:cs="Arial"/>
            <w:sz w:val="16"/>
            <w:szCs w:val="16"/>
          </w:rPr>
          <m:t>=</m:t>
        </m:r>
        <m:sSub>
          <m:sSubPr>
            <m:ctrlPr>
              <w:rPr>
                <w:rFonts w:ascii="Cambria Math" w:eastAsia="SimSun" w:hAnsi="Cambria Math" w:cs="Arial"/>
                <w:i/>
                <w:sz w:val="16"/>
                <w:szCs w:val="16"/>
              </w:rPr>
            </m:ctrlPr>
          </m:sSubPr>
          <m:e>
            <m:r>
              <w:rPr>
                <w:rFonts w:ascii="Cambria Math" w:eastAsia="SimSun" w:hAnsi="Cambria Math" w:cs="Arial"/>
                <w:sz w:val="16"/>
                <w:szCs w:val="16"/>
              </w:rPr>
              <m:t>Y</m:t>
            </m:r>
          </m:e>
          <m:sub>
            <m:r>
              <w:rPr>
                <w:rFonts w:ascii="Cambria Math" w:eastAsia="SimSun" w:hAnsi="Cambria Math" w:cs="Arial"/>
                <w:sz w:val="16"/>
                <w:szCs w:val="16"/>
              </w:rPr>
              <m:t>2</m:t>
            </m:r>
          </m:sub>
        </m:sSub>
        <m:r>
          <w:rPr>
            <w:rFonts w:ascii="Cambria Math" w:eastAsia="SimSun" w:hAnsi="Cambria Math" w:cs="Arial"/>
            <w:sz w:val="16"/>
            <w:szCs w:val="16"/>
          </w:rPr>
          <m:t>⋅</m:t>
        </m:r>
        <m:sSub>
          <m:sSubPr>
            <m:ctrlPr>
              <w:rPr>
                <w:rFonts w:ascii="Cambria Math" w:eastAsia="SimSun" w:hAnsi="Cambria Math" w:cs="Arial"/>
                <w:i/>
                <w:sz w:val="16"/>
                <w:szCs w:val="16"/>
              </w:rPr>
            </m:ctrlPr>
          </m:sSubPr>
          <m:e>
            <m:r>
              <w:rPr>
                <w:rFonts w:ascii="Cambria Math" w:eastAsia="SimSun" w:hAnsi="Cambria Math" w:cs="Arial"/>
                <w:sz w:val="16"/>
                <w:szCs w:val="16"/>
              </w:rPr>
              <m:t>N</m:t>
            </m:r>
          </m:e>
          <m:sub>
            <m:r>
              <w:rPr>
                <w:rFonts w:ascii="Cambria Math" w:eastAsia="SimSun" w:hAnsi="Cambria Math" w:cs="Arial"/>
                <w:sz w:val="16"/>
                <w:szCs w:val="16"/>
              </w:rPr>
              <m:t>4</m:t>
            </m:r>
          </m:sub>
        </m:sSub>
        <m:r>
          <w:rPr>
            <w:rFonts w:ascii="Cambria Math" w:eastAsia="SimSun" w:hAnsi="Cambria Math" w:cs="Arial"/>
            <w:sz w:val="16"/>
            <w:szCs w:val="16"/>
          </w:rPr>
          <m:t>≥4</m:t>
        </m:r>
      </m:oMath>
      <w:r w:rsidRPr="009537ED">
        <w:rPr>
          <w:rFonts w:ascii="Arial" w:eastAsia="MS Mincho" w:hAnsi="Arial" w:cs="Arial"/>
          <w:sz w:val="16"/>
          <w:szCs w:val="16"/>
        </w:rPr>
        <w:t xml:space="preserve">, for </w:t>
      </w:r>
      <m:oMath>
        <m:sSub>
          <m:sSubPr>
            <m:ctrlPr>
              <w:rPr>
                <w:rFonts w:ascii="Cambria Math" w:eastAsia="MS Mincho" w:hAnsi="Cambria Math" w:cs="Arial"/>
                <w:i/>
                <w:sz w:val="16"/>
                <w:szCs w:val="16"/>
              </w:rPr>
            </m:ctrlPr>
          </m:sSubPr>
          <m:e>
            <m:r>
              <w:rPr>
                <w:rFonts w:ascii="Cambria Math" w:eastAsia="MS Mincho" w:hAnsi="Cambria Math" w:cs="Arial"/>
                <w:sz w:val="16"/>
                <w:szCs w:val="16"/>
              </w:rPr>
              <m:t>N</m:t>
            </m:r>
          </m:e>
          <m:sub>
            <m:r>
              <w:rPr>
                <w:rFonts w:ascii="Cambria Math" w:eastAsia="MS Mincho" w:hAnsi="Cambria Math" w:cs="Arial"/>
                <w:sz w:val="16"/>
                <w:szCs w:val="16"/>
              </w:rPr>
              <m:t>4</m:t>
            </m:r>
          </m:sub>
        </m:sSub>
        <m:r>
          <w:rPr>
            <w:rFonts w:ascii="Cambria Math" w:eastAsia="MS Mincho" w:hAnsi="Cambria Math" w:cs="Arial"/>
            <w:sz w:val="16"/>
            <w:szCs w:val="16"/>
          </w:rPr>
          <m:t>&gt;1</m:t>
        </m:r>
      </m:oMath>
      <w:r w:rsidRPr="009537ED">
        <w:rPr>
          <w:rFonts w:ascii="Arial" w:eastAsia="MS Mincho" w:hAnsi="Arial" w:cs="Arial"/>
          <w:sz w:val="16"/>
          <w:szCs w:val="16"/>
        </w:rPr>
        <w:t xml:space="preserve">, where the value of </w:t>
      </w:r>
      <m:oMath>
        <m:sSub>
          <m:sSubPr>
            <m:ctrlPr>
              <w:rPr>
                <w:rFonts w:ascii="Cambria Math" w:eastAsia="MS Mincho" w:hAnsi="Cambria Math" w:cs="Arial"/>
                <w:i/>
                <w:sz w:val="16"/>
                <w:szCs w:val="16"/>
              </w:rPr>
            </m:ctrlPr>
          </m:sSubPr>
          <m:e>
            <m:r>
              <w:rPr>
                <w:rFonts w:ascii="Cambria Math" w:eastAsia="MS Mincho" w:hAnsi="Cambria Math" w:cs="Arial"/>
                <w:sz w:val="16"/>
                <w:szCs w:val="16"/>
              </w:rPr>
              <m:t>N</m:t>
            </m:r>
          </m:e>
          <m:sub>
            <m:r>
              <w:rPr>
                <w:rFonts w:ascii="Cambria Math" w:eastAsia="MS Mincho" w:hAnsi="Cambria Math" w:cs="Arial"/>
                <w:sz w:val="16"/>
                <w:szCs w:val="16"/>
              </w:rPr>
              <m:t>4</m:t>
            </m:r>
          </m:sub>
        </m:sSub>
      </m:oMath>
      <w:r w:rsidRPr="009537ED">
        <w:rPr>
          <w:rFonts w:ascii="Arial" w:eastAsia="MS Mincho" w:hAnsi="Arial" w:cs="Arial"/>
          <w:sz w:val="16"/>
          <w:szCs w:val="16"/>
        </w:rPr>
        <w:t xml:space="preserve"> is configured by the higher layer parameter </w:t>
      </w:r>
      <w:r w:rsidRPr="009537ED">
        <w:rPr>
          <w:rFonts w:ascii="Arial" w:eastAsia="MS Mincho" w:hAnsi="Arial" w:cs="Arial"/>
          <w:i/>
          <w:iCs/>
          <w:sz w:val="16"/>
          <w:szCs w:val="16"/>
        </w:rPr>
        <w:t>N4</w:t>
      </w:r>
      <w:r w:rsidRPr="009537ED">
        <w:rPr>
          <w:rFonts w:ascii="Arial" w:eastAsia="MS Mincho" w:hAnsi="Arial" w:cs="Arial"/>
          <w:sz w:val="16"/>
          <w:szCs w:val="16"/>
        </w:rPr>
        <w:t xml:space="preserve">, and </w:t>
      </w:r>
      <m:oMath>
        <m:sSub>
          <m:sSubPr>
            <m:ctrlPr>
              <w:rPr>
                <w:rFonts w:ascii="Cambria Math" w:eastAsia="MS Mincho" w:hAnsi="Cambria Math" w:cs="Arial"/>
                <w:i/>
                <w:sz w:val="16"/>
                <w:szCs w:val="16"/>
              </w:rPr>
            </m:ctrlPr>
          </m:sSubPr>
          <m:e>
            <m:r>
              <w:rPr>
                <w:rFonts w:ascii="Cambria Math" w:eastAsia="MS Mincho" w:hAnsi="Cambria Math" w:cs="Arial"/>
                <w:sz w:val="16"/>
                <w:szCs w:val="16"/>
              </w:rPr>
              <m:t>Y</m:t>
            </m:r>
          </m:e>
          <m:sub>
            <m:r>
              <w:rPr>
                <w:rFonts w:ascii="Cambria Math" w:eastAsia="MS Mincho" w:hAnsi="Cambria Math" w:cs="Arial"/>
                <w:sz w:val="16"/>
                <w:szCs w:val="16"/>
              </w:rPr>
              <m:t>2</m:t>
            </m:r>
          </m:sub>
        </m:sSub>
        <m:r>
          <w:rPr>
            <w:rFonts w:ascii="Cambria Math" w:eastAsia="MS Mincho" w:hAnsi="Cambria Math" w:cs="Arial"/>
            <w:sz w:val="16"/>
            <w:szCs w:val="16"/>
          </w:rPr>
          <m:t>∈{</m:t>
        </m:r>
        <m:r>
          <w:rPr>
            <w:rFonts w:ascii="Cambria Math" w:eastAsia="MS Mincho" w:hAnsi="Cambria Math" w:cs="Arial"/>
            <w:strike/>
            <w:color w:val="FF0000"/>
            <w:sz w:val="16"/>
            <w:szCs w:val="16"/>
          </w:rPr>
          <m:t>2/3,</m:t>
        </m:r>
        <m:r>
          <w:rPr>
            <w:rFonts w:ascii="Cambria Math" w:eastAsia="MS Mincho" w:hAnsi="Cambria Math" w:cs="Arial"/>
            <w:sz w:val="16"/>
            <w:szCs w:val="16"/>
          </w:rPr>
          <m:t xml:space="preserve"> 1, 2, 3} </m:t>
        </m:r>
      </m:oMath>
      <w:r w:rsidRPr="009537ED">
        <w:rPr>
          <w:rFonts w:ascii="Arial" w:eastAsia="MS Mincho" w:hAnsi="Arial" w:cs="Arial"/>
          <w:sz w:val="16"/>
          <w:szCs w:val="16"/>
        </w:rPr>
        <w:t>is reported by UE capability indication,</w:t>
      </w:r>
    </w:p>
    <w:p w14:paraId="13651DDC" w14:textId="77777777" w:rsidR="007D1F5A" w:rsidRPr="009537ED" w:rsidRDefault="007D1F5A" w:rsidP="007D1F5A">
      <w:pPr>
        <w:snapToGrid w:val="0"/>
        <w:rPr>
          <w:rFonts w:ascii="Times New Roman" w:hAnsi="Times New Roman"/>
          <w:color w:val="FF0000"/>
          <w:szCs w:val="20"/>
        </w:rPr>
      </w:pPr>
      <w:r w:rsidRPr="009537ED">
        <w:rPr>
          <w:rFonts w:ascii="Times New Roman" w:hAnsi="Times New Roman"/>
          <w:color w:val="FF0000"/>
          <w:szCs w:val="20"/>
        </w:rPr>
        <w:t>=============End of Text Proposal to TS 38.214=============</w:t>
      </w:r>
    </w:p>
    <w:p w14:paraId="1942C754" w14:textId="77777777" w:rsidR="00A41C1A" w:rsidRPr="009537ED" w:rsidRDefault="00A41C1A" w:rsidP="00141B77">
      <w:pPr>
        <w:rPr>
          <w:rFonts w:ascii="Times New Roman" w:hAnsi="Times New Roman"/>
          <w:szCs w:val="20"/>
          <w:lang w:eastAsia="x-none"/>
        </w:rPr>
      </w:pPr>
    </w:p>
    <w:p w14:paraId="678AD2C0" w14:textId="77777777" w:rsidR="007D1F5A" w:rsidRPr="009537ED" w:rsidRDefault="007D1F5A" w:rsidP="007D1F5A">
      <w:pPr>
        <w:rPr>
          <w:lang w:eastAsia="x-none"/>
        </w:rPr>
      </w:pPr>
      <w:r w:rsidRPr="009537ED">
        <w:rPr>
          <w:highlight w:val="green"/>
          <w:lang w:eastAsia="x-none"/>
        </w:rPr>
        <w:t>Agreement</w:t>
      </w:r>
    </w:p>
    <w:p w14:paraId="061DC9AA" w14:textId="77777777" w:rsidR="00A41C1A" w:rsidRPr="009537ED" w:rsidRDefault="00A41C1A" w:rsidP="00141B77">
      <w:pPr>
        <w:snapToGrid w:val="0"/>
        <w:rPr>
          <w:rFonts w:ascii="Times New Roman" w:hAnsi="Times New Roman"/>
          <w:szCs w:val="20"/>
        </w:rPr>
      </w:pPr>
      <w:r w:rsidRPr="009537ED">
        <w:rPr>
          <w:rFonts w:ascii="Times New Roman" w:hAnsi="Times New Roman"/>
          <w:szCs w:val="20"/>
        </w:rPr>
        <w:t xml:space="preserve">For the </w:t>
      </w:r>
      <w:r w:rsidRPr="009537ED">
        <w:rPr>
          <w:rFonts w:ascii="Times New Roman" w:eastAsia="Calibri" w:hAnsi="Times New Roman"/>
          <w:szCs w:val="20"/>
        </w:rPr>
        <w:t>Rel-18 TRS-based TDCP reporting</w:t>
      </w:r>
      <w:r w:rsidRPr="009537ED">
        <w:rPr>
          <w:rFonts w:ascii="Times New Roman" w:hAnsi="Times New Roman"/>
          <w:szCs w:val="20"/>
        </w:rPr>
        <w:t>, clarify, in</w:t>
      </w:r>
      <w:r w:rsidRPr="009537ED">
        <w:rPr>
          <w:rFonts w:ascii="Times New Roman" w:eastAsia="Microsoft YaHei" w:hAnsi="Times New Roman"/>
          <w:iCs/>
          <w:szCs w:val="20"/>
        </w:rPr>
        <w:t xml:space="preserve"> TS 38.212 section 6.3.2.1.2 Table 6.3.2.1.2-3C</w:t>
      </w:r>
      <w:r w:rsidRPr="009537ED">
        <w:rPr>
          <w:rFonts w:ascii="Times New Roman" w:hAnsi="Times New Roman"/>
          <w:szCs w:val="20"/>
        </w:rPr>
        <w:t>, that:</w:t>
      </w:r>
    </w:p>
    <w:p w14:paraId="3FCE3AA0" w14:textId="6A990456" w:rsidR="00A41C1A" w:rsidRPr="009537ED" w:rsidRDefault="00A41C1A" w:rsidP="00A76E0D">
      <w:pPr>
        <w:pStyle w:val="ListParagraph"/>
        <w:numPr>
          <w:ilvl w:val="0"/>
          <w:numId w:val="100"/>
        </w:numPr>
      </w:pPr>
      <w:r w:rsidRPr="009537ED">
        <w:t>the UE reports the TDCP based on the order of the first configured delay D_1 to the last configured delay D_Y</w:t>
      </w:r>
      <w:r w:rsidR="00677802">
        <w:t>;</w:t>
      </w:r>
    </w:p>
    <w:p w14:paraId="65ABEAFB" w14:textId="38CEA4E7" w:rsidR="00A41C1A" w:rsidRPr="009537ED" w:rsidRDefault="00A41C1A" w:rsidP="00A76E0D">
      <w:pPr>
        <w:pStyle w:val="ListParagraph"/>
        <w:numPr>
          <w:ilvl w:val="0"/>
          <w:numId w:val="100"/>
        </w:numPr>
      </w:pPr>
      <w:r w:rsidRPr="009537ED">
        <w:t>the UE always reports at least one amplitude value</w:t>
      </w:r>
      <w:r w:rsidR="00677802">
        <w:t>.</w:t>
      </w:r>
    </w:p>
    <w:p w14:paraId="53C3F1AE" w14:textId="77777777" w:rsidR="007D1F5A" w:rsidRPr="009537ED" w:rsidRDefault="007D1F5A" w:rsidP="007D1F5A">
      <w:pPr>
        <w:rPr>
          <w:lang w:eastAsia="x-none"/>
        </w:rPr>
      </w:pPr>
      <w:r w:rsidRPr="009537ED">
        <w:rPr>
          <w:highlight w:val="green"/>
          <w:lang w:eastAsia="x-none"/>
        </w:rPr>
        <w:t>Agreement</w:t>
      </w:r>
    </w:p>
    <w:p w14:paraId="69A9CC12" w14:textId="77777777" w:rsidR="00A41C1A" w:rsidRPr="009537ED" w:rsidRDefault="00A41C1A" w:rsidP="00141B77">
      <w:pPr>
        <w:snapToGrid w:val="0"/>
        <w:rPr>
          <w:rFonts w:ascii="Times New Roman" w:hAnsi="Times New Roman"/>
          <w:szCs w:val="20"/>
        </w:rPr>
      </w:pPr>
      <w:r w:rsidRPr="009537ED">
        <w:rPr>
          <w:rFonts w:ascii="Times New Roman" w:hAnsi="Times New Roman"/>
          <w:szCs w:val="20"/>
        </w:rPr>
        <w:t xml:space="preserve">For the </w:t>
      </w:r>
      <w:r w:rsidRPr="009537ED">
        <w:rPr>
          <w:rFonts w:ascii="Times New Roman" w:eastAsia="Calibri" w:hAnsi="Times New Roman"/>
          <w:szCs w:val="20"/>
        </w:rPr>
        <w:t>Rel-18 TRS-based TDCP reporting</w:t>
      </w:r>
      <w:r w:rsidRPr="009537ED">
        <w:rPr>
          <w:rFonts w:ascii="Times New Roman" w:hAnsi="Times New Roman"/>
          <w:szCs w:val="20"/>
        </w:rPr>
        <w:t xml:space="preserve">, in relation to the following text in TS 38.331, send an LS to RAN2 that </w:t>
      </w:r>
      <w:r w:rsidRPr="009537ED">
        <w:rPr>
          <w:rFonts w:ascii="Times New Roman" w:hAnsi="Times New Roman"/>
          <w:bCs/>
          <w:iCs/>
          <w:szCs w:val="20"/>
        </w:rPr>
        <w:t xml:space="preserve">the </w:t>
      </w:r>
      <w:r w:rsidRPr="009537ED">
        <w:rPr>
          <w:rFonts w:ascii="Times New Roman" w:hAnsi="Times New Roman"/>
          <w:bCs/>
          <w:i/>
          <w:iCs/>
          <w:szCs w:val="20"/>
        </w:rPr>
        <w:t>nzp-CSI-RS-ResourceSetList</w:t>
      </w:r>
      <w:r w:rsidRPr="009537ED">
        <w:rPr>
          <w:rFonts w:ascii="Times New Roman" w:hAnsi="Times New Roman"/>
          <w:bCs/>
          <w:iCs/>
          <w:szCs w:val="20"/>
        </w:rPr>
        <w:t xml:space="preserve"> in </w:t>
      </w:r>
      <w:r w:rsidRPr="009537ED">
        <w:rPr>
          <w:rFonts w:ascii="Times New Roman" w:hAnsi="Times New Roman"/>
          <w:bCs/>
          <w:i/>
          <w:iCs/>
          <w:szCs w:val="20"/>
        </w:rPr>
        <w:t>CSI-ResourceConfig</w:t>
      </w:r>
      <w:r w:rsidRPr="009537ED">
        <w:rPr>
          <w:rFonts w:ascii="Times New Roman" w:hAnsi="Times New Roman"/>
          <w:bCs/>
          <w:iCs/>
          <w:szCs w:val="20"/>
        </w:rPr>
        <w:t xml:space="preserve"> can be configured with up to 3 periodic CSI-RS resource set for TDCP report</w:t>
      </w:r>
      <w:r w:rsidRPr="009537ED">
        <w:rPr>
          <w:rFonts w:ascii="Times New Roman" w:hAnsi="Times New Roman"/>
          <w:szCs w:val="20"/>
        </w:rPr>
        <w:t>:</w:t>
      </w:r>
    </w:p>
    <w:p w14:paraId="483677B7" w14:textId="77777777" w:rsidR="00A41C1A" w:rsidRPr="009537ED" w:rsidRDefault="00A41C1A" w:rsidP="007D1F5A">
      <w:pPr>
        <w:ind w:left="720"/>
        <w:rPr>
          <w:rFonts w:ascii="Arial" w:hAnsi="Arial" w:cs="Arial"/>
          <w:sz w:val="16"/>
          <w:szCs w:val="16"/>
          <w:lang w:eastAsia="sv-SE"/>
        </w:rPr>
      </w:pPr>
      <w:r w:rsidRPr="009537ED">
        <w:rPr>
          <w:rFonts w:ascii="Arial" w:hAnsi="Arial" w:cs="Arial"/>
          <w:sz w:val="16"/>
          <w:szCs w:val="16"/>
          <w:lang w:eastAsia="sv-SE"/>
        </w:rPr>
        <w:t>nzp-CSI-RS-ResourceSetList</w:t>
      </w:r>
    </w:p>
    <w:p w14:paraId="6C9B8583" w14:textId="77777777" w:rsidR="00A41C1A" w:rsidRPr="009537ED" w:rsidRDefault="00A41C1A" w:rsidP="007D1F5A">
      <w:pPr>
        <w:ind w:left="720"/>
        <w:rPr>
          <w:rFonts w:ascii="Arial" w:hAnsi="Arial" w:cs="Arial"/>
          <w:sz w:val="16"/>
          <w:szCs w:val="16"/>
          <w:lang w:eastAsia="sv-SE"/>
        </w:rPr>
      </w:pPr>
      <w:r w:rsidRPr="009537ED">
        <w:rPr>
          <w:rFonts w:ascii="Arial" w:hAnsi="Arial" w:cs="Arial"/>
          <w:sz w:val="16"/>
          <w:szCs w:val="16"/>
          <w:lang w:eastAsia="sv-SE"/>
        </w:rPr>
        <w:t>List of references to NZP CSI-RS resources used for beam measurement and reporting in a CSI-RS resource set.</w:t>
      </w:r>
    </w:p>
    <w:p w14:paraId="255DF138" w14:textId="77777777" w:rsidR="00A41C1A" w:rsidRPr="009537ED" w:rsidRDefault="00A41C1A" w:rsidP="007D1F5A">
      <w:pPr>
        <w:ind w:left="720"/>
        <w:rPr>
          <w:rFonts w:ascii="Arial" w:hAnsi="Arial" w:cs="Arial"/>
          <w:sz w:val="16"/>
          <w:szCs w:val="16"/>
          <w:lang w:eastAsia="sv-SE"/>
        </w:rPr>
      </w:pPr>
      <w:r w:rsidRPr="009537ED">
        <w:rPr>
          <w:rFonts w:ascii="Arial" w:hAnsi="Arial" w:cs="Arial"/>
          <w:sz w:val="16"/>
          <w:szCs w:val="16"/>
          <w:lang w:eastAsia="sv-SE"/>
        </w:rPr>
        <w:t xml:space="preserve">If resourceType is set to ‘aperiodic’, the network configures up to maxNrofNZP-CSI-RS-ResourceSetsPerConfig resource sets. </w:t>
      </w:r>
      <w:r w:rsidRPr="009537ED">
        <w:rPr>
          <w:rFonts w:ascii="Arial" w:hAnsi="Arial" w:cs="Arial"/>
          <w:color w:val="FF0000"/>
          <w:sz w:val="16"/>
          <w:szCs w:val="16"/>
          <w:lang w:eastAsia="sv-SE"/>
        </w:rPr>
        <w:t>If resourceType is is set to ‘periodic’ or ‘semiPersistent’ and groupBasedBeamReporting-v1710 is not configured in IE CSI-ReportConfig, the network configures 1 resource set. If resourceType is set to ‘periodic’ or ‘semiPersistent’ and groupBasedBeamReporting-v1710 is configured, the network configures 2 resource sets,</w:t>
      </w:r>
      <w:r w:rsidRPr="009537ED">
        <w:rPr>
          <w:rFonts w:ascii="Arial" w:hAnsi="Arial" w:cs="Arial"/>
          <w:sz w:val="16"/>
          <w:szCs w:val="16"/>
          <w:lang w:eastAsia="sv-SE"/>
        </w:rPr>
        <w:t xml:space="preserve"> </w:t>
      </w:r>
      <w:r w:rsidRPr="009537ED">
        <w:rPr>
          <w:rFonts w:ascii="Arial" w:hAnsi="Arial" w:cs="Arial"/>
          <w:sz w:val="16"/>
          <w:szCs w:val="16"/>
        </w:rPr>
        <w:t>which may be two NZP CSI-RS resource sets, two CSI SSB resource sets or one NZP CSI-RS resource set and one CSI-SSB resource set</w:t>
      </w:r>
      <w:r w:rsidRPr="009537ED">
        <w:rPr>
          <w:rFonts w:ascii="Arial" w:hAnsi="Arial" w:cs="Arial"/>
          <w:sz w:val="16"/>
          <w:szCs w:val="16"/>
          <w:lang w:eastAsia="sv-SE"/>
        </w:rPr>
        <w:t xml:space="preserve"> (see TS 38.214 [19], clause 5.2.1.2</w:t>
      </w:r>
      <w:r w:rsidRPr="009537ED">
        <w:rPr>
          <w:rFonts w:ascii="Arial" w:hAnsi="Arial" w:cs="Arial"/>
          <w:sz w:val="16"/>
          <w:szCs w:val="16"/>
        </w:rPr>
        <w:t xml:space="preserve"> and 5.2.1.4.2</w:t>
      </w:r>
      <w:r w:rsidRPr="009537ED">
        <w:rPr>
          <w:rFonts w:ascii="Arial" w:hAnsi="Arial" w:cs="Arial"/>
          <w:sz w:val="16"/>
          <w:szCs w:val="16"/>
          <w:lang w:eastAsia="sv-SE"/>
        </w:rPr>
        <w:t xml:space="preserve">). In this case, in TS 38.212 [17] </w:t>
      </w:r>
      <w:r w:rsidRPr="009537ED">
        <w:rPr>
          <w:rFonts w:ascii="Arial" w:hAnsi="Arial" w:cs="Arial"/>
          <w:sz w:val="16"/>
          <w:szCs w:val="16"/>
        </w:rPr>
        <w:t xml:space="preserve">Table </w:t>
      </w:r>
      <w:r w:rsidRPr="009537ED">
        <w:rPr>
          <w:rFonts w:ascii="Arial" w:hAnsi="Arial" w:cs="Arial"/>
          <w:sz w:val="16"/>
          <w:szCs w:val="16"/>
          <w:lang w:eastAsia="zh-CN"/>
        </w:rPr>
        <w:t>6.3.1.1.2-8B, the following applies:</w:t>
      </w:r>
    </w:p>
    <w:p w14:paraId="1FFBCA49" w14:textId="77777777" w:rsidR="00A41C1A" w:rsidRPr="009537ED" w:rsidRDefault="00A41C1A" w:rsidP="007D1F5A">
      <w:pPr>
        <w:ind w:left="720"/>
        <w:rPr>
          <w:rFonts w:ascii="Arial" w:hAnsi="Arial" w:cs="Arial"/>
          <w:sz w:val="16"/>
          <w:szCs w:val="16"/>
          <w:lang w:eastAsia="zh-CN"/>
        </w:rPr>
      </w:pPr>
      <w:r w:rsidRPr="009537ED">
        <w:rPr>
          <w:rFonts w:ascii="Arial" w:hAnsi="Arial" w:cs="Arial"/>
          <w:sz w:val="16"/>
          <w:szCs w:val="16"/>
          <w:lang w:eastAsia="sv-SE"/>
        </w:rPr>
        <w:t>- if the list has one NZP CSI-RS resource set, this resource set is indicated by a resource set indicator set to 0;</w:t>
      </w:r>
    </w:p>
    <w:p w14:paraId="198C1D4D" w14:textId="77777777" w:rsidR="00A41C1A" w:rsidRPr="009537ED" w:rsidRDefault="00A41C1A" w:rsidP="007D1F5A">
      <w:pPr>
        <w:ind w:left="720"/>
        <w:rPr>
          <w:rFonts w:ascii="Arial" w:hAnsi="Arial" w:cs="Arial"/>
          <w:bCs/>
          <w:sz w:val="16"/>
          <w:szCs w:val="16"/>
        </w:rPr>
      </w:pPr>
      <w:r w:rsidRPr="009537ED">
        <w:rPr>
          <w:rFonts w:ascii="Arial" w:hAnsi="Arial" w:cs="Arial"/>
          <w:sz w:val="16"/>
          <w:szCs w:val="16"/>
          <w:lang w:eastAsia="sv-SE"/>
        </w:rPr>
        <w:t>- if the list has two NZP CSI-RS resource sets, the first resource set is indicated by a resource set indicator set to 0 and the second resource set by a resource set indicator set to 1.</w:t>
      </w:r>
    </w:p>
    <w:p w14:paraId="2F4CD117" w14:textId="49E1EE13" w:rsidR="00A41C1A" w:rsidRPr="00A4795A" w:rsidRDefault="00A41C1A" w:rsidP="00141B77">
      <w:pPr>
        <w:rPr>
          <w:rFonts w:ascii="Times New Roman" w:hAnsi="Times New Roman"/>
          <w:szCs w:val="20"/>
          <w:lang w:eastAsia="x-none"/>
        </w:rPr>
      </w:pPr>
      <w:r w:rsidRPr="00A4795A">
        <w:rPr>
          <w:rFonts w:ascii="Times New Roman" w:hAnsi="Times New Roman"/>
          <w:szCs w:val="20"/>
          <w:lang w:eastAsia="x-none"/>
        </w:rPr>
        <w:t>Final LS in</w:t>
      </w:r>
      <w:r w:rsidR="00677802" w:rsidRPr="00A4795A">
        <w:rPr>
          <w:rFonts w:ascii="Times New Roman" w:hAnsi="Times New Roman"/>
          <w:szCs w:val="20"/>
          <w:lang w:eastAsia="x-none"/>
        </w:rPr>
        <w:t>:</w:t>
      </w:r>
    </w:p>
    <w:p w14:paraId="79B6B45A" w14:textId="19A0B9D5" w:rsidR="005B4C58" w:rsidRDefault="005A18DC" w:rsidP="005B4C58">
      <w:pPr>
        <w:rPr>
          <w:rFonts w:ascii="Times New Roman" w:hAnsi="Times New Roman"/>
          <w:b/>
          <w:bCs/>
          <w:szCs w:val="20"/>
          <w:lang w:eastAsia="x-none"/>
        </w:rPr>
      </w:pPr>
      <w:hyperlink r:id="rId840" w:history="1">
        <w:r w:rsidR="00AF7253">
          <w:rPr>
            <w:rStyle w:val="Hyperlink"/>
            <w:rFonts w:ascii="Times New Roman" w:hAnsi="Times New Roman"/>
            <w:b/>
            <w:bCs/>
            <w:szCs w:val="20"/>
            <w:lang w:eastAsia="x-none"/>
          </w:rPr>
          <w:t>R1-2312381</w:t>
        </w:r>
      </w:hyperlink>
      <w:r w:rsidR="005B4C58" w:rsidRPr="005B4C58">
        <w:rPr>
          <w:rFonts w:ascii="Times New Roman" w:hAnsi="Times New Roman"/>
          <w:b/>
          <w:bCs/>
          <w:szCs w:val="20"/>
          <w:lang w:eastAsia="x-none"/>
        </w:rPr>
        <w:tab/>
        <w:t>DRAFT LS to RAN2 on TDCP for Rel-18 MIMO</w:t>
      </w:r>
      <w:r w:rsidR="005B4C58" w:rsidRPr="005B4C58">
        <w:rPr>
          <w:rFonts w:ascii="Times New Roman" w:hAnsi="Times New Roman"/>
          <w:b/>
          <w:bCs/>
          <w:szCs w:val="20"/>
          <w:lang w:eastAsia="x-none"/>
        </w:rPr>
        <w:tab/>
        <w:t>Moderator (Samsung)</w:t>
      </w:r>
    </w:p>
    <w:p w14:paraId="1B0E7CF5" w14:textId="3EFDD2BC" w:rsidR="00A4795A" w:rsidRDefault="00A4795A" w:rsidP="005B4C58">
      <w:pPr>
        <w:rPr>
          <w:rStyle w:val="Hyperlink"/>
          <w:rFonts w:ascii="Times New Roman" w:hAnsi="Times New Roman"/>
          <w:szCs w:val="20"/>
          <w:lang w:eastAsia="x-none"/>
        </w:rPr>
      </w:pPr>
      <w:r>
        <w:rPr>
          <w:rFonts w:ascii="Times New Roman" w:hAnsi="Times New Roman"/>
          <w:b/>
          <w:bCs/>
          <w:szCs w:val="20"/>
          <w:lang w:eastAsia="x-none"/>
        </w:rPr>
        <w:t>Friday decision:</w:t>
      </w:r>
      <w:r w:rsidRPr="00A4795A">
        <w:rPr>
          <w:rFonts w:ascii="Times New Roman" w:hAnsi="Times New Roman"/>
          <w:szCs w:val="20"/>
          <w:lang w:eastAsia="x-none"/>
        </w:rPr>
        <w:t xml:space="preserve"> The draft LS is endorsed. Final</w:t>
      </w:r>
      <w:r>
        <w:rPr>
          <w:rFonts w:ascii="Times New Roman" w:hAnsi="Times New Roman"/>
          <w:szCs w:val="20"/>
          <w:lang w:eastAsia="x-none"/>
        </w:rPr>
        <w:t xml:space="preserve"> </w:t>
      </w:r>
      <w:r w:rsidRPr="00A4795A">
        <w:rPr>
          <w:rFonts w:ascii="Times New Roman" w:hAnsi="Times New Roman"/>
          <w:szCs w:val="20"/>
          <w:lang w:eastAsia="x-none"/>
        </w:rPr>
        <w:t xml:space="preserve">version is </w:t>
      </w:r>
      <w:r w:rsidRPr="00A4795A">
        <w:rPr>
          <w:rFonts w:ascii="Times New Roman" w:hAnsi="Times New Roman"/>
          <w:szCs w:val="20"/>
          <w:highlight w:val="green"/>
          <w:lang w:eastAsia="x-none"/>
        </w:rPr>
        <w:t xml:space="preserve">approved in </w:t>
      </w:r>
      <w:hyperlink r:id="rId841" w:history="1">
        <w:r w:rsidR="00AF7253">
          <w:rPr>
            <w:rStyle w:val="Hyperlink"/>
            <w:rFonts w:ascii="Times New Roman" w:hAnsi="Times New Roman"/>
            <w:szCs w:val="20"/>
            <w:highlight w:val="green"/>
            <w:lang w:eastAsia="x-none"/>
          </w:rPr>
          <w:t>R1-2312382</w:t>
        </w:r>
      </w:hyperlink>
      <w:r w:rsidRPr="00A4795A">
        <w:rPr>
          <w:rStyle w:val="Hyperlink"/>
          <w:rFonts w:ascii="Times New Roman" w:hAnsi="Times New Roman"/>
          <w:szCs w:val="20"/>
          <w:u w:val="none"/>
          <w:lang w:eastAsia="x-none"/>
        </w:rPr>
        <w:t>.</w:t>
      </w:r>
    </w:p>
    <w:p w14:paraId="30FE2916" w14:textId="77777777" w:rsidR="00A41C1A" w:rsidRDefault="00A41C1A" w:rsidP="00141B77">
      <w:pPr>
        <w:rPr>
          <w:rFonts w:ascii="Times New Roman" w:hAnsi="Times New Roman"/>
          <w:szCs w:val="20"/>
          <w:lang w:eastAsia="x-none"/>
        </w:rPr>
      </w:pPr>
    </w:p>
    <w:p w14:paraId="7725C507" w14:textId="77777777" w:rsidR="005B4C58" w:rsidRPr="009537ED" w:rsidRDefault="005B4C58" w:rsidP="00141B77">
      <w:pPr>
        <w:rPr>
          <w:rFonts w:ascii="Times New Roman" w:hAnsi="Times New Roman"/>
          <w:szCs w:val="20"/>
          <w:lang w:eastAsia="x-none"/>
        </w:rPr>
      </w:pPr>
    </w:p>
    <w:p w14:paraId="1F9D3B30" w14:textId="14C7DB26" w:rsidR="005B4C58" w:rsidRDefault="005A18DC" w:rsidP="005B4C58">
      <w:pPr>
        <w:rPr>
          <w:rFonts w:ascii="Times New Roman" w:hAnsi="Times New Roman"/>
          <w:szCs w:val="20"/>
          <w:lang w:eastAsia="x-none"/>
        </w:rPr>
      </w:pPr>
      <w:hyperlink r:id="rId842" w:history="1">
        <w:r w:rsidR="00AF7253">
          <w:rPr>
            <w:rStyle w:val="Hyperlink"/>
            <w:rFonts w:ascii="Times New Roman" w:hAnsi="Times New Roman"/>
            <w:szCs w:val="20"/>
            <w:lang w:eastAsia="x-none"/>
          </w:rPr>
          <w:t>R1-2312374</w:t>
        </w:r>
      </w:hyperlink>
      <w:r w:rsidR="005B4C58" w:rsidRPr="005B4C58">
        <w:rPr>
          <w:rFonts w:ascii="Times New Roman" w:hAnsi="Times New Roman"/>
          <w:szCs w:val="20"/>
          <w:lang w:eastAsia="x-none"/>
        </w:rPr>
        <w:tab/>
        <w:t>Moderator Summary on Tue offline session for Rel-18 CSI enhancements</w:t>
      </w:r>
      <w:r w:rsidR="005B4C58" w:rsidRPr="005B4C58">
        <w:rPr>
          <w:rFonts w:ascii="Times New Roman" w:hAnsi="Times New Roman"/>
          <w:szCs w:val="20"/>
          <w:lang w:eastAsia="x-none"/>
        </w:rPr>
        <w:tab/>
        <w:t>Moderator (Samsung)</w:t>
      </w:r>
    </w:p>
    <w:p w14:paraId="4BF19B42" w14:textId="7F6039E6" w:rsidR="005B4C58" w:rsidRPr="005B4C58" w:rsidRDefault="005A18DC" w:rsidP="005B4C58">
      <w:pPr>
        <w:rPr>
          <w:rFonts w:ascii="Times New Roman" w:hAnsi="Times New Roman"/>
          <w:b/>
          <w:bCs/>
          <w:szCs w:val="20"/>
          <w:lang w:eastAsia="x-none"/>
        </w:rPr>
      </w:pPr>
      <w:hyperlink r:id="rId843" w:history="1">
        <w:r w:rsidR="00AF7253">
          <w:rPr>
            <w:rStyle w:val="Hyperlink"/>
            <w:rFonts w:ascii="Times New Roman" w:hAnsi="Times New Roman"/>
            <w:b/>
            <w:bCs/>
            <w:szCs w:val="20"/>
            <w:lang w:eastAsia="x-none"/>
          </w:rPr>
          <w:t>R1-2312373</w:t>
        </w:r>
      </w:hyperlink>
      <w:r w:rsidR="005B4C58" w:rsidRPr="005B4C58">
        <w:rPr>
          <w:rFonts w:ascii="Times New Roman" w:hAnsi="Times New Roman"/>
          <w:b/>
          <w:bCs/>
          <w:szCs w:val="20"/>
          <w:lang w:eastAsia="x-none"/>
        </w:rPr>
        <w:tab/>
        <w:t>Moderator Summary#2 on Rel-18 CSI enhancements: Round 1</w:t>
      </w:r>
      <w:r w:rsidR="005B4C58" w:rsidRPr="005B4C58">
        <w:rPr>
          <w:rFonts w:ascii="Times New Roman" w:hAnsi="Times New Roman"/>
          <w:b/>
          <w:bCs/>
          <w:szCs w:val="20"/>
          <w:lang w:eastAsia="x-none"/>
        </w:rPr>
        <w:tab/>
        <w:t>Moderator (Samsung)</w:t>
      </w:r>
    </w:p>
    <w:p w14:paraId="052FBEE1" w14:textId="13F8A1CC" w:rsidR="005B4C58" w:rsidRDefault="005B4C58" w:rsidP="005B4C58">
      <w:pPr>
        <w:rPr>
          <w:rFonts w:ascii="Times New Roman" w:hAnsi="Times New Roman"/>
          <w:szCs w:val="20"/>
          <w:lang w:eastAsia="x-none"/>
        </w:rPr>
      </w:pPr>
      <w:r>
        <w:rPr>
          <w:rFonts w:ascii="Times New Roman" w:hAnsi="Times New Roman"/>
          <w:szCs w:val="20"/>
          <w:lang w:eastAsia="x-none"/>
        </w:rPr>
        <w:t>From Wednesday session</w:t>
      </w:r>
    </w:p>
    <w:p w14:paraId="6E7B4995" w14:textId="77777777" w:rsidR="005B4C58" w:rsidRPr="009537ED" w:rsidRDefault="005B4C58" w:rsidP="005B4C58">
      <w:pPr>
        <w:rPr>
          <w:lang w:eastAsia="x-none"/>
        </w:rPr>
      </w:pPr>
      <w:r w:rsidRPr="009537ED">
        <w:rPr>
          <w:highlight w:val="green"/>
          <w:lang w:eastAsia="x-none"/>
        </w:rPr>
        <w:t>Agreement</w:t>
      </w:r>
    </w:p>
    <w:p w14:paraId="67A65610" w14:textId="77777777" w:rsidR="005B4C58" w:rsidRDefault="005B4C58" w:rsidP="005B4C58">
      <w:pPr>
        <w:snapToGrid w:val="0"/>
      </w:pPr>
      <w:r>
        <w:t>For the Rel-18 Type-II codebook refinement for CJT mTRP, adopt the following TP for TS 38.214:</w:t>
      </w:r>
    </w:p>
    <w:p w14:paraId="0FBBF7D4" w14:textId="77777777" w:rsidR="005B4C58" w:rsidRPr="005B4C58" w:rsidRDefault="005B4C58" w:rsidP="00A67145">
      <w:pPr>
        <w:pStyle w:val="ListParagraph"/>
        <w:numPr>
          <w:ilvl w:val="0"/>
          <w:numId w:val="188"/>
        </w:numPr>
        <w:rPr>
          <w:b/>
          <w:bCs/>
        </w:rPr>
      </w:pPr>
      <w:r w:rsidRPr="005B4C58">
        <w:rPr>
          <w:b/>
          <w:bCs/>
        </w:rPr>
        <w:t>Reason for change:</w:t>
      </w:r>
    </w:p>
    <w:p w14:paraId="391F46F9" w14:textId="77777777" w:rsidR="005B4C58" w:rsidRPr="005B4C58" w:rsidRDefault="005B4C58" w:rsidP="005B4C58">
      <w:pPr>
        <w:pStyle w:val="ListParagraph"/>
        <w:rPr>
          <w:sz w:val="18"/>
        </w:rPr>
      </w:pPr>
      <w:r w:rsidRPr="005B4C58">
        <w:rPr>
          <w:sz w:val="18"/>
        </w:rPr>
        <w:t>[112bis-e]</w:t>
      </w:r>
      <w:r w:rsidRPr="005B4C58">
        <w:rPr>
          <w:bCs/>
          <w:iCs/>
          <w:sz w:val="18"/>
          <w:highlight w:val="green"/>
        </w:rPr>
        <w:t xml:space="preserve"> Agreement</w:t>
      </w:r>
    </w:p>
    <w:p w14:paraId="7FF298D1" w14:textId="77777777" w:rsidR="005B4C58" w:rsidRPr="005B4C58" w:rsidRDefault="005B4C58" w:rsidP="005B4C58">
      <w:pPr>
        <w:pStyle w:val="ListParagraph"/>
        <w:rPr>
          <w:rFonts w:eastAsia="DengXian"/>
          <w:sz w:val="18"/>
        </w:rPr>
      </w:pPr>
      <w:r w:rsidRPr="005B4C58">
        <w:rPr>
          <w:rFonts w:eastAsia="DengXian"/>
          <w:sz w:val="18"/>
        </w:rPr>
        <w:t xml:space="preserve">For the Rel-18 Type-II codebook refinement for </w:t>
      </w:r>
      <w:r w:rsidRPr="005B4C58">
        <w:rPr>
          <w:sz w:val="18"/>
        </w:rPr>
        <w:t>high/medium velocities</w:t>
      </w:r>
      <w:r w:rsidRPr="005B4C58">
        <w:rPr>
          <w:rFonts w:eastAsia="DengXian"/>
          <w:sz w:val="18"/>
        </w:rPr>
        <w:t xml:space="preserve">, regarding CSI calculation and measurement, </w:t>
      </w:r>
    </w:p>
    <w:p w14:paraId="18DD8C61" w14:textId="77777777" w:rsidR="005B4C58" w:rsidRPr="005B4C58" w:rsidRDefault="005B4C58" w:rsidP="00A67145">
      <w:pPr>
        <w:pStyle w:val="ListParagraph"/>
        <w:numPr>
          <w:ilvl w:val="1"/>
          <w:numId w:val="188"/>
        </w:numPr>
        <w:rPr>
          <w:sz w:val="18"/>
        </w:rPr>
      </w:pPr>
      <w:r w:rsidRPr="005B4C58">
        <w:rPr>
          <w:sz w:val="18"/>
        </w:rPr>
        <w:t>The number of CSI-RS ports is the same for all the K configured CSI-RS resources comprising the CMR and the antenna ports for the same antenna port index across the K CSI-RS resources are the same.</w:t>
      </w:r>
    </w:p>
    <w:p w14:paraId="065F21DC" w14:textId="77777777" w:rsidR="005B4C58" w:rsidRPr="005B4C58" w:rsidRDefault="005B4C58" w:rsidP="00A67145">
      <w:pPr>
        <w:pStyle w:val="ListParagraph"/>
        <w:numPr>
          <w:ilvl w:val="1"/>
          <w:numId w:val="188"/>
        </w:numPr>
        <w:rPr>
          <w:sz w:val="18"/>
        </w:rPr>
      </w:pPr>
      <w:r w:rsidRPr="005B4C58">
        <w:rPr>
          <w:sz w:val="18"/>
        </w:rPr>
        <w:t xml:space="preserve">All the K configured CSI-RS resources comprising the CMR share the same BW and RE locations </w:t>
      </w:r>
    </w:p>
    <w:p w14:paraId="0AA2A661" w14:textId="77777777" w:rsidR="005B4C58" w:rsidRPr="005B4C58" w:rsidRDefault="005B4C58" w:rsidP="00A67145">
      <w:pPr>
        <w:pStyle w:val="ListParagraph"/>
        <w:numPr>
          <w:ilvl w:val="1"/>
          <w:numId w:val="188"/>
        </w:numPr>
        <w:rPr>
          <w:sz w:val="18"/>
        </w:rPr>
      </w:pPr>
      <w:r w:rsidRPr="005B4C58">
        <w:rPr>
          <w:sz w:val="18"/>
        </w:rPr>
        <w:t>For interference measurement, legacy specification is fully reused, including the configuration for NZP CSI-RS for interference measurement or CSI-IM in relation to the configured CMR, i.e. only one NZP CSI-RS resource for interference measurement or only one CSI-IM resource can be configured irrespective of the value of K</w:t>
      </w:r>
    </w:p>
    <w:p w14:paraId="1CD58639" w14:textId="77777777" w:rsidR="005B4C58" w:rsidRPr="005B4C58" w:rsidRDefault="005B4C58" w:rsidP="005B4C58">
      <w:pPr>
        <w:pStyle w:val="ListParagraph"/>
        <w:rPr>
          <w:rFonts w:eastAsia="Malgun Gothic"/>
          <w:sz w:val="18"/>
          <w:lang w:eastAsia="zh-CN"/>
        </w:rPr>
      </w:pPr>
      <w:r w:rsidRPr="005B4C58">
        <w:rPr>
          <w:sz w:val="18"/>
        </w:rPr>
        <w:t>……</w:t>
      </w:r>
    </w:p>
    <w:p w14:paraId="468AE7E9" w14:textId="77777777" w:rsidR="005B4C58" w:rsidRPr="005B4C58" w:rsidRDefault="005B4C58" w:rsidP="005B4C58">
      <w:pPr>
        <w:pStyle w:val="ListParagraph"/>
        <w:rPr>
          <w:rFonts w:cs="Times"/>
          <w:sz w:val="18"/>
        </w:rPr>
      </w:pPr>
      <w:r w:rsidRPr="005B4C58">
        <w:rPr>
          <w:rFonts w:cs="Times"/>
          <w:bCs/>
          <w:sz w:val="18"/>
        </w:rPr>
        <w:t>Conclusion</w:t>
      </w:r>
      <w:r w:rsidRPr="005B4C58">
        <w:rPr>
          <w:sz w:val="18"/>
          <w:lang w:eastAsia="en-GB"/>
        </w:rPr>
        <w:t xml:space="preserve"> </w:t>
      </w:r>
      <w:r w:rsidRPr="005B4C58">
        <w:rPr>
          <w:rFonts w:cs="Times"/>
          <w:sz w:val="18"/>
        </w:rPr>
        <w:t>(RAN1#112bis-e) [Rel18-CJT]</w:t>
      </w:r>
    </w:p>
    <w:p w14:paraId="59EFC01E" w14:textId="77777777" w:rsidR="005B4C58" w:rsidRPr="005B4C58" w:rsidRDefault="005B4C58" w:rsidP="005B4C58">
      <w:pPr>
        <w:pStyle w:val="ListParagraph"/>
        <w:rPr>
          <w:rFonts w:cs="Times"/>
          <w:sz w:val="18"/>
        </w:rPr>
      </w:pPr>
      <w:r w:rsidRPr="005B4C58">
        <w:rPr>
          <w:rFonts w:cs="Times"/>
          <w:sz w:val="18"/>
        </w:rPr>
        <w:lastRenderedPageBreak/>
        <w:t>For the Rel-18 Type-II codebook refinement for CJT mTRP, regarding interference measurement, beyond that supported in legacy specification, there is no consensus on supporting any additional enhancement on IMR (including the configuration for NZP CSI-RS for interference measurement or CSI-IM in relation to the configured CMR(s)).</w:t>
      </w:r>
    </w:p>
    <w:p w14:paraId="5DAA1D02" w14:textId="77777777" w:rsidR="005B4C58" w:rsidRPr="005B4C58" w:rsidRDefault="005B4C58" w:rsidP="00A67145">
      <w:pPr>
        <w:pStyle w:val="ListParagraph"/>
        <w:numPr>
          <w:ilvl w:val="1"/>
          <w:numId w:val="188"/>
        </w:numPr>
        <w:rPr>
          <w:rFonts w:cs="Times"/>
          <w:sz w:val="18"/>
        </w:rPr>
      </w:pPr>
      <w:r w:rsidRPr="005B4C58">
        <w:rPr>
          <w:rFonts w:cs="Times"/>
          <w:sz w:val="18"/>
        </w:rPr>
        <w:t>Note: This implies that only one NZP CSI-RS resource for interference measurement or only one CSI-IM resource can be configured irrespective of the value of NTRP</w:t>
      </w:r>
    </w:p>
    <w:p w14:paraId="2856160A" w14:textId="77777777" w:rsidR="005B4C58" w:rsidRDefault="005B4C58" w:rsidP="00A67145">
      <w:pPr>
        <w:pStyle w:val="ListParagraph"/>
        <w:numPr>
          <w:ilvl w:val="0"/>
          <w:numId w:val="188"/>
        </w:numPr>
      </w:pPr>
      <w:r w:rsidRPr="005B4C58">
        <w:rPr>
          <w:b/>
          <w:bCs/>
        </w:rPr>
        <w:t>Summary of change:</w:t>
      </w:r>
      <w:r>
        <w:t xml:space="preserve"> added a list of relevant reportQuantity types</w:t>
      </w:r>
    </w:p>
    <w:p w14:paraId="09983ADA" w14:textId="77777777" w:rsidR="005B4C58" w:rsidRDefault="005B4C58" w:rsidP="00A67145">
      <w:pPr>
        <w:pStyle w:val="ListParagraph"/>
        <w:numPr>
          <w:ilvl w:val="0"/>
          <w:numId w:val="188"/>
        </w:numPr>
      </w:pPr>
      <w:r w:rsidRPr="005B4C58">
        <w:rPr>
          <w:b/>
          <w:bCs/>
        </w:rPr>
        <w:t>Consequence if not approved:</w:t>
      </w:r>
      <w:r>
        <w:t xml:space="preserve"> (according to the proponent) agreement and conclusion aren’t explicitly captured.</w:t>
      </w:r>
    </w:p>
    <w:p w14:paraId="6358CB81" w14:textId="77777777" w:rsidR="005B4C58" w:rsidRPr="005E4B10" w:rsidRDefault="005B4C58" w:rsidP="005B4C58">
      <w:pPr>
        <w:snapToGrid w:val="0"/>
        <w:rPr>
          <w:color w:val="FF0000"/>
          <w:szCs w:val="20"/>
        </w:rPr>
      </w:pPr>
      <w:r w:rsidRPr="005E4B10">
        <w:rPr>
          <w:color w:val="FF0000"/>
        </w:rPr>
        <w:t>---------------------</w:t>
      </w:r>
      <w:r w:rsidRPr="005E4B10">
        <w:rPr>
          <w:rFonts w:cs="Arial"/>
          <w:color w:val="FF0000"/>
        </w:rPr>
        <w:t xml:space="preserve">Start TP for </w:t>
      </w:r>
      <w:r w:rsidRPr="005E4B10">
        <w:rPr>
          <w:rFonts w:cs="Arial"/>
          <w:color w:val="FF0000"/>
          <w:lang w:eastAsia="x-none"/>
        </w:rPr>
        <w:t xml:space="preserve">38.214 </w:t>
      </w:r>
      <w:r w:rsidRPr="005E4B10">
        <w:rPr>
          <w:color w:val="FF0000"/>
        </w:rPr>
        <w:t>---------------------------------------------</w:t>
      </w:r>
    </w:p>
    <w:p w14:paraId="60840886" w14:textId="77777777" w:rsidR="005B4C58" w:rsidRPr="005B4C58" w:rsidRDefault="005B4C58" w:rsidP="005B4C58">
      <w:pPr>
        <w:rPr>
          <w:rFonts w:ascii="Arial" w:hAnsi="Arial" w:cs="Arial"/>
          <w:b/>
          <w:bCs/>
          <w:sz w:val="16"/>
          <w:szCs w:val="16"/>
        </w:rPr>
      </w:pPr>
      <w:r w:rsidRPr="005B4C58">
        <w:rPr>
          <w:rFonts w:ascii="Arial" w:hAnsi="Arial" w:cs="Arial"/>
          <w:b/>
          <w:bCs/>
          <w:sz w:val="16"/>
          <w:szCs w:val="16"/>
        </w:rPr>
        <w:t>5.2.1.4.1</w:t>
      </w:r>
      <w:r w:rsidRPr="005B4C58">
        <w:rPr>
          <w:rFonts w:ascii="Arial" w:hAnsi="Arial" w:cs="Arial"/>
          <w:b/>
          <w:bCs/>
          <w:sz w:val="16"/>
          <w:szCs w:val="16"/>
        </w:rPr>
        <w:tab/>
        <w:t>Resource Setting configuration</w:t>
      </w:r>
    </w:p>
    <w:p w14:paraId="4447F5C4" w14:textId="77777777" w:rsidR="005B4C58" w:rsidRPr="005B4C58" w:rsidRDefault="005B4C58" w:rsidP="005B4C58">
      <w:pPr>
        <w:jc w:val="center"/>
        <w:rPr>
          <w:rFonts w:ascii="Arial" w:hAnsi="Arial" w:cs="Arial"/>
          <w:iCs/>
          <w:color w:val="FF0000"/>
          <w:sz w:val="16"/>
          <w:szCs w:val="16"/>
        </w:rPr>
      </w:pPr>
      <w:r w:rsidRPr="005B4C58">
        <w:rPr>
          <w:rFonts w:ascii="Arial" w:hAnsi="Arial" w:cs="Arial"/>
          <w:iCs/>
          <w:color w:val="FF0000"/>
          <w:sz w:val="16"/>
          <w:szCs w:val="16"/>
        </w:rPr>
        <w:t>&lt;Unchanged text is omitted&gt;</w:t>
      </w:r>
    </w:p>
    <w:p w14:paraId="4289A8B5" w14:textId="77777777" w:rsidR="005B4C58" w:rsidRPr="005B4C58" w:rsidRDefault="005B4C58" w:rsidP="005B4C58">
      <w:pPr>
        <w:rPr>
          <w:rFonts w:ascii="Arial" w:hAnsi="Arial" w:cs="Arial"/>
          <w:sz w:val="16"/>
          <w:szCs w:val="16"/>
        </w:rPr>
      </w:pPr>
      <w:r w:rsidRPr="005B4C58">
        <w:rPr>
          <w:rFonts w:ascii="Arial" w:hAnsi="Arial" w:cs="Arial"/>
          <w:sz w:val="16"/>
          <w:szCs w:val="16"/>
        </w:rPr>
        <w:t xml:space="preserve">Except for L1-SINR, </w:t>
      </w:r>
      <w:r w:rsidRPr="005B4C58">
        <w:rPr>
          <w:rFonts w:ascii="Arial" w:hAnsi="Arial" w:cs="Arial"/>
          <w:i/>
          <w:iCs/>
          <w:color w:val="FF0000"/>
          <w:sz w:val="16"/>
          <w:szCs w:val="16"/>
        </w:rPr>
        <w:t>codebookType</w:t>
      </w:r>
      <w:r w:rsidRPr="005B4C58">
        <w:rPr>
          <w:rFonts w:ascii="Arial" w:hAnsi="Arial" w:cs="Arial"/>
          <w:color w:val="FF0000"/>
          <w:sz w:val="16"/>
          <w:szCs w:val="16"/>
        </w:rPr>
        <w:t xml:space="preserve"> set to </w:t>
      </w:r>
      <w:r w:rsidRPr="005B4C58">
        <w:rPr>
          <w:rFonts w:ascii="Arial" w:eastAsia="MS Mincho" w:hAnsi="Arial" w:cs="Arial"/>
          <w:color w:val="FF0000"/>
          <w:sz w:val="16"/>
          <w:szCs w:val="16"/>
        </w:rPr>
        <w:t>'typeII-CJT-r18', 'typeII-CJT-PortSelection-r18', 'typeII-Doppler-r18', or 'typeII-Doppler-PortSelection-r18'</w:t>
      </w:r>
      <w:r w:rsidRPr="005B4C58">
        <w:rPr>
          <w:rFonts w:ascii="Arial" w:hAnsi="Arial" w:cs="Arial"/>
          <w:color w:val="FF0000"/>
          <w:sz w:val="16"/>
          <w:szCs w:val="16"/>
        </w:rPr>
        <w:t>,</w:t>
      </w:r>
      <w:r w:rsidRPr="005B4C58">
        <w:rPr>
          <w:rFonts w:ascii="Arial" w:hAnsi="Arial" w:cs="Arial"/>
          <w:sz w:val="16"/>
          <w:szCs w:val="16"/>
        </w:rPr>
        <w:t xml:space="preserve"> if interference measurement is performed on NZP CSI-RS, a UE does not expect to be configured with more than one NZP CSI-RS resource in the associated resource set within the resource setting for channel measurement. Except for L1-SINR, the UE configured with the higher layer parameter </w:t>
      </w:r>
      <w:r w:rsidRPr="005B4C58">
        <w:rPr>
          <w:rFonts w:ascii="Arial" w:hAnsi="Arial" w:cs="Arial"/>
          <w:i/>
          <w:sz w:val="16"/>
          <w:szCs w:val="16"/>
        </w:rPr>
        <w:t>nzp-CSI-RS-ResourcesForInterference</w:t>
      </w:r>
      <w:r w:rsidRPr="005B4C58">
        <w:rPr>
          <w:rFonts w:ascii="Arial" w:hAnsi="Arial" w:cs="Arial"/>
          <w:sz w:val="16"/>
          <w:szCs w:val="16"/>
        </w:rPr>
        <w:t xml:space="preserve"> may expect no more than 18 NZP CSI-RS ports configured in a NZP CSI-RS resource set.</w:t>
      </w:r>
    </w:p>
    <w:p w14:paraId="1D68C527" w14:textId="77777777" w:rsidR="005B4C58" w:rsidRPr="005B4C58" w:rsidRDefault="005B4C58" w:rsidP="005B4C58">
      <w:pPr>
        <w:jc w:val="center"/>
        <w:rPr>
          <w:rFonts w:ascii="Arial" w:hAnsi="Arial" w:cs="Arial"/>
          <w:iCs/>
          <w:color w:val="FF0000"/>
          <w:sz w:val="16"/>
          <w:szCs w:val="16"/>
        </w:rPr>
      </w:pPr>
      <w:r w:rsidRPr="005B4C58">
        <w:rPr>
          <w:rFonts w:ascii="Arial" w:hAnsi="Arial" w:cs="Arial"/>
          <w:iCs/>
          <w:color w:val="FF0000"/>
          <w:sz w:val="16"/>
          <w:szCs w:val="16"/>
        </w:rPr>
        <w:t>&lt;Unchanged text is omitted&gt;</w:t>
      </w:r>
    </w:p>
    <w:p w14:paraId="5760361E" w14:textId="77777777" w:rsidR="005B4C58" w:rsidRPr="005E4B10" w:rsidRDefault="005B4C58" w:rsidP="005B4C58">
      <w:pPr>
        <w:rPr>
          <w:color w:val="FF0000"/>
          <w:lang w:eastAsia="x-none"/>
        </w:rPr>
      </w:pPr>
      <w:r w:rsidRPr="005E4B10">
        <w:rPr>
          <w:color w:val="FF0000"/>
        </w:rPr>
        <w:t>---------------------</w:t>
      </w:r>
      <w:r w:rsidRPr="005E4B10">
        <w:rPr>
          <w:rFonts w:cs="Arial"/>
          <w:color w:val="FF0000"/>
        </w:rPr>
        <w:t xml:space="preserve">End TP for </w:t>
      </w:r>
      <w:r w:rsidRPr="005E4B10">
        <w:rPr>
          <w:rFonts w:cs="Arial"/>
          <w:color w:val="FF0000"/>
          <w:lang w:eastAsia="x-none"/>
        </w:rPr>
        <w:t xml:space="preserve">38.214 </w:t>
      </w:r>
      <w:r w:rsidRPr="005E4B10">
        <w:rPr>
          <w:color w:val="FF0000"/>
        </w:rPr>
        <w:t>---------------------------------------------</w:t>
      </w:r>
    </w:p>
    <w:p w14:paraId="5AC837C3" w14:textId="77777777" w:rsidR="005B4C58" w:rsidRDefault="005B4C58" w:rsidP="005B4C58">
      <w:pPr>
        <w:rPr>
          <w:lang w:eastAsia="x-none"/>
        </w:rPr>
      </w:pPr>
    </w:p>
    <w:p w14:paraId="0AC2C807" w14:textId="77777777" w:rsidR="005B4C58" w:rsidRPr="009537ED" w:rsidRDefault="005B4C58" w:rsidP="005B4C58">
      <w:pPr>
        <w:rPr>
          <w:lang w:eastAsia="x-none"/>
        </w:rPr>
      </w:pPr>
      <w:r w:rsidRPr="009537ED">
        <w:rPr>
          <w:highlight w:val="green"/>
          <w:lang w:eastAsia="x-none"/>
        </w:rPr>
        <w:t>Agreement</w:t>
      </w:r>
    </w:p>
    <w:p w14:paraId="5B5681F2" w14:textId="77777777" w:rsidR="005B4C58" w:rsidRDefault="005B4C58" w:rsidP="005B4C58">
      <w:pPr>
        <w:snapToGrid w:val="0"/>
      </w:pPr>
      <w:r>
        <w:rPr>
          <w:iCs/>
          <w:szCs w:val="20"/>
        </w:rPr>
        <w:t>For the Type-II codebook refinement for high/medium velocities</w:t>
      </w:r>
      <w:r>
        <w:rPr>
          <w:rFonts w:eastAsia="Microsoft YaHei"/>
          <w:iCs/>
          <w:szCs w:val="20"/>
        </w:rPr>
        <w:t xml:space="preserve">, when a UE is configured with K(=4,8, or 12) AP-CSI-RS resources for CMR, </w:t>
      </w:r>
      <w:r>
        <w:rPr>
          <w:szCs w:val="20"/>
        </w:rPr>
        <w:t>clarify that the CSI-RS resources are transmitted following the order of the CSI-RS resource IDs configured in the CSI-RS Resource Set.</w:t>
      </w:r>
    </w:p>
    <w:p w14:paraId="1DFB1BCC" w14:textId="77777777" w:rsidR="005B4C58" w:rsidRDefault="005B4C58" w:rsidP="005B4C58">
      <w:pPr>
        <w:rPr>
          <w:lang w:eastAsia="x-none"/>
        </w:rPr>
      </w:pPr>
    </w:p>
    <w:p w14:paraId="6D80616C" w14:textId="77777777" w:rsidR="005B4C58" w:rsidRPr="009537ED" w:rsidRDefault="005B4C58" w:rsidP="005B4C58">
      <w:pPr>
        <w:rPr>
          <w:lang w:eastAsia="x-none"/>
        </w:rPr>
      </w:pPr>
      <w:r w:rsidRPr="009537ED">
        <w:rPr>
          <w:highlight w:val="green"/>
          <w:lang w:eastAsia="x-none"/>
        </w:rPr>
        <w:t>Agreement</w:t>
      </w:r>
    </w:p>
    <w:p w14:paraId="7CD0DAE1" w14:textId="77777777" w:rsidR="005B4C58" w:rsidRDefault="005B4C58" w:rsidP="005B4C58">
      <w:pPr>
        <w:jc w:val="both"/>
        <w:rPr>
          <w:bCs/>
          <w:szCs w:val="20"/>
          <w:lang w:eastAsia="zh-CN"/>
        </w:rPr>
      </w:pPr>
      <w:r>
        <w:rPr>
          <w:iCs/>
          <w:szCs w:val="20"/>
        </w:rPr>
        <w:t>For the Type-II codebook refinement for high/medium velocities</w:t>
      </w:r>
      <w:r>
        <w:rPr>
          <w:bCs/>
          <w:szCs w:val="20"/>
          <w:lang w:eastAsia="zh-CN"/>
        </w:rPr>
        <w:t>, for SP-CSI on PUSCH, CPU occupation duration is determined by the first symbol of K</w:t>
      </w:r>
      <w:r>
        <w:rPr>
          <w:bCs/>
          <w:szCs w:val="20"/>
          <w:vertAlign w:val="subscript"/>
          <w:lang w:eastAsia="zh-CN"/>
        </w:rPr>
        <w:t>P</w:t>
      </w:r>
      <w:r>
        <w:rPr>
          <w:bCs/>
          <w:szCs w:val="20"/>
          <w:lang w:eastAsia="zh-CN"/>
        </w:rPr>
        <w:t>-th latest consecutive P/SP-CSI-RS occasions no later than CSI reference resource.</w:t>
      </w:r>
    </w:p>
    <w:p w14:paraId="7369DF99" w14:textId="77777777" w:rsidR="005B4C58" w:rsidRPr="005B4C58" w:rsidRDefault="005B4C58" w:rsidP="00A67145">
      <w:pPr>
        <w:pStyle w:val="ListParagraph"/>
        <w:numPr>
          <w:ilvl w:val="0"/>
          <w:numId w:val="189"/>
        </w:numPr>
        <w:rPr>
          <w:rFonts w:eastAsia="Malgun Gothic"/>
          <w:lang w:eastAsia="ko-KR"/>
        </w:rPr>
      </w:pPr>
      <w:r>
        <w:rPr>
          <w:lang w:eastAsia="zh-CN"/>
        </w:rPr>
        <w:t xml:space="preserve">FFS (RAN1#116): CPU occupation duration in relation to </w:t>
      </w:r>
      <w:r w:rsidRPr="005B4C58">
        <w:rPr>
          <w:rFonts w:eastAsia="Malgun Gothic"/>
          <w:lang w:eastAsia="ko-KR"/>
        </w:rPr>
        <w:t>interference measurement resource</w:t>
      </w:r>
    </w:p>
    <w:p w14:paraId="77EB3112" w14:textId="77777777" w:rsidR="005B4C58" w:rsidRPr="009537ED" w:rsidRDefault="005B4C58" w:rsidP="005B4C58">
      <w:pPr>
        <w:rPr>
          <w:lang w:eastAsia="x-none"/>
        </w:rPr>
      </w:pPr>
      <w:r w:rsidRPr="009537ED">
        <w:rPr>
          <w:highlight w:val="green"/>
          <w:lang w:eastAsia="x-none"/>
        </w:rPr>
        <w:t>Agreement</w:t>
      </w:r>
    </w:p>
    <w:p w14:paraId="246AE4A0" w14:textId="77777777" w:rsidR="005B4C58" w:rsidRDefault="005B4C58" w:rsidP="005B4C58">
      <w:pPr>
        <w:snapToGrid w:val="0"/>
        <w:rPr>
          <w:bCs/>
          <w:szCs w:val="20"/>
          <w:lang w:val="en-CA" w:eastAsia="x-none"/>
        </w:rPr>
      </w:pPr>
      <w:r>
        <w:rPr>
          <w:rFonts w:eastAsia="Calibri"/>
          <w:szCs w:val="20"/>
        </w:rPr>
        <w:t>For the Rel-18 TRS-based TDCP reporting,</w:t>
      </w:r>
      <w:r>
        <w:rPr>
          <w:bCs/>
          <w:szCs w:val="20"/>
          <w:lang w:val="en-CA" w:eastAsia="x-none"/>
        </w:rPr>
        <w:t xml:space="preserve"> adopt the following TP for TS 38.214:</w:t>
      </w:r>
    </w:p>
    <w:p w14:paraId="0B4B35BF" w14:textId="77777777" w:rsidR="005B4C58" w:rsidRPr="005B4C58" w:rsidRDefault="005B4C58" w:rsidP="00A67145">
      <w:pPr>
        <w:pStyle w:val="ListParagraph"/>
        <w:numPr>
          <w:ilvl w:val="0"/>
          <w:numId w:val="189"/>
        </w:numPr>
        <w:snapToGrid w:val="0"/>
        <w:rPr>
          <w:rFonts w:cs="Times"/>
          <w:bCs/>
          <w:iCs/>
          <w:szCs w:val="22"/>
          <w:lang w:eastAsia="en-US"/>
        </w:rPr>
      </w:pPr>
      <w:r w:rsidRPr="005B4C58">
        <w:rPr>
          <w:rFonts w:cs="Times"/>
          <w:b/>
          <w:bCs/>
          <w:iCs/>
          <w:szCs w:val="22"/>
        </w:rPr>
        <w:t xml:space="preserve">Reason for change: </w:t>
      </w:r>
      <w:r w:rsidRPr="005B4C58">
        <w:rPr>
          <w:rFonts w:cs="Times"/>
          <w:bCs/>
          <w:iCs/>
          <w:color w:val="3333FF"/>
          <w:szCs w:val="22"/>
        </w:rPr>
        <w:t xml:space="preserve">There is no agreement </w:t>
      </w:r>
      <w:r w:rsidRPr="005B4C58">
        <w:rPr>
          <w:rFonts w:cs="Times"/>
          <w:bCs/>
          <w:iCs/>
          <w:szCs w:val="22"/>
        </w:rPr>
        <w:t>to support K</w:t>
      </w:r>
      <w:r w:rsidRPr="005B4C58">
        <w:rPr>
          <w:rFonts w:cs="Times"/>
          <w:bCs/>
          <w:iCs/>
          <w:szCs w:val="22"/>
          <w:vertAlign w:val="subscript"/>
        </w:rPr>
        <w:t>TRS</w:t>
      </w:r>
      <w:r w:rsidRPr="005B4C58">
        <w:rPr>
          <w:rFonts w:cs="Times"/>
          <w:bCs/>
          <w:iCs/>
          <w:szCs w:val="22"/>
        </w:rPr>
        <w:t>=1 with aperiodic TRS regardless of the interpretation of the previous conclusions (below)</w:t>
      </w:r>
    </w:p>
    <w:p w14:paraId="5F5988D9" w14:textId="77777777" w:rsidR="005B4C58" w:rsidRPr="005B4C58" w:rsidRDefault="005B4C58" w:rsidP="005B4C58">
      <w:pPr>
        <w:pStyle w:val="ListParagraph"/>
        <w:snapToGrid w:val="0"/>
        <w:rPr>
          <w:b/>
          <w:bCs/>
          <w:sz w:val="18"/>
          <w:szCs w:val="18"/>
          <w:lang w:eastAsia="x-none"/>
        </w:rPr>
      </w:pPr>
      <w:r w:rsidRPr="005B4C58">
        <w:rPr>
          <w:bCs/>
          <w:sz w:val="18"/>
          <w:szCs w:val="18"/>
          <w:lang w:eastAsia="x-none"/>
        </w:rPr>
        <w:t xml:space="preserve">[113] </w:t>
      </w:r>
      <w:r w:rsidRPr="001135A5">
        <w:rPr>
          <w:b/>
          <w:bCs/>
          <w:sz w:val="18"/>
          <w:szCs w:val="18"/>
          <w:u w:val="single"/>
          <w:lang w:eastAsia="x-none"/>
        </w:rPr>
        <w:t>Conclusion</w:t>
      </w:r>
    </w:p>
    <w:p w14:paraId="08E3C9F9" w14:textId="77777777" w:rsidR="005B4C58" w:rsidRPr="005B4C58" w:rsidRDefault="005B4C58" w:rsidP="005B4C58">
      <w:pPr>
        <w:pStyle w:val="ListParagraph"/>
        <w:snapToGrid w:val="0"/>
        <w:rPr>
          <w:bCs/>
          <w:sz w:val="18"/>
          <w:szCs w:val="18"/>
          <w:lang w:eastAsia="x-none"/>
        </w:rPr>
      </w:pPr>
      <w:r w:rsidRPr="005B4C58">
        <w:rPr>
          <w:bCs/>
          <w:sz w:val="18"/>
          <w:szCs w:val="18"/>
          <w:lang w:eastAsia="x-none"/>
        </w:rPr>
        <w:t>For the Rel-18 TRS-based TDCP reporting, for TDCP measurement and calculation, there is no consensus on supporting the following: joint use of P and AP-TRS resource sets for TDCP measurement and calculation is supported at least for Y=1 as a UE-optional feature</w:t>
      </w:r>
    </w:p>
    <w:p w14:paraId="04C6B91D" w14:textId="77777777" w:rsidR="005B4C58" w:rsidRPr="005B4C58" w:rsidRDefault="005B4C58" w:rsidP="005B4C58">
      <w:pPr>
        <w:pStyle w:val="ListParagraph"/>
        <w:snapToGrid w:val="0"/>
        <w:rPr>
          <w:bCs/>
          <w:sz w:val="18"/>
          <w:szCs w:val="18"/>
          <w:lang w:val="en-CA" w:eastAsia="x-none"/>
        </w:rPr>
      </w:pPr>
      <w:r w:rsidRPr="005B4C58">
        <w:rPr>
          <w:rFonts w:cs="Times"/>
          <w:sz w:val="18"/>
          <w:szCs w:val="18"/>
        </w:rPr>
        <w:t xml:space="preserve">[114] </w:t>
      </w:r>
      <w:r w:rsidRPr="005B4C58">
        <w:rPr>
          <w:b/>
          <w:bCs/>
          <w:sz w:val="18"/>
          <w:szCs w:val="18"/>
          <w:u w:val="single"/>
          <w:lang w:val="en-CA" w:eastAsia="x-none"/>
        </w:rPr>
        <w:t>Conclusion</w:t>
      </w:r>
      <w:r w:rsidRPr="005B4C58">
        <w:rPr>
          <w:bCs/>
          <w:sz w:val="18"/>
          <w:szCs w:val="18"/>
          <w:lang w:val="en-CA" w:eastAsia="x-none"/>
        </w:rPr>
        <w:t xml:space="preserve">: </w:t>
      </w:r>
    </w:p>
    <w:p w14:paraId="56B845E1" w14:textId="77777777" w:rsidR="005B4C58" w:rsidRPr="005B4C58" w:rsidRDefault="005B4C58" w:rsidP="005B4C58">
      <w:pPr>
        <w:pStyle w:val="ListParagraph"/>
        <w:snapToGrid w:val="0"/>
        <w:rPr>
          <w:bCs/>
          <w:sz w:val="18"/>
          <w:lang w:val="en-CA" w:eastAsia="x-none"/>
        </w:rPr>
      </w:pPr>
      <w:r w:rsidRPr="005B4C58">
        <w:rPr>
          <w:rFonts w:eastAsia="Calibri"/>
          <w:sz w:val="18"/>
        </w:rPr>
        <w:t>For the Rel-18 TRS-based TDCP reporting,</w:t>
      </w:r>
      <w:r w:rsidRPr="005B4C58">
        <w:rPr>
          <w:bCs/>
          <w:sz w:val="18"/>
          <w:lang w:val="en-CA" w:eastAsia="x-none"/>
        </w:rPr>
        <w:t xml:space="preserve"> there is no consensus on supporting the following proposals:</w:t>
      </w:r>
    </w:p>
    <w:p w14:paraId="765DB95A" w14:textId="77777777" w:rsidR="005B4C58" w:rsidRDefault="005B4C58" w:rsidP="00A67145">
      <w:pPr>
        <w:numPr>
          <w:ilvl w:val="1"/>
          <w:numId w:val="189"/>
        </w:numPr>
        <w:snapToGrid w:val="0"/>
        <w:rPr>
          <w:bCs/>
          <w:sz w:val="18"/>
          <w:szCs w:val="20"/>
          <w:lang w:val="en-CA" w:eastAsia="x-none"/>
        </w:rPr>
      </w:pPr>
      <w:r>
        <w:rPr>
          <w:bCs/>
          <w:sz w:val="18"/>
          <w:szCs w:val="20"/>
          <w:lang w:val="en-CA" w:eastAsia="x-none"/>
        </w:rPr>
        <w:t xml:space="preserve">additional D value(s) </w:t>
      </w:r>
    </w:p>
    <w:p w14:paraId="049CB220" w14:textId="77777777" w:rsidR="005B4C58" w:rsidRDefault="005B4C58" w:rsidP="00A67145">
      <w:pPr>
        <w:numPr>
          <w:ilvl w:val="1"/>
          <w:numId w:val="189"/>
        </w:numPr>
        <w:snapToGrid w:val="0"/>
        <w:rPr>
          <w:bCs/>
          <w:sz w:val="18"/>
          <w:szCs w:val="20"/>
          <w:lang w:val="en-CA" w:eastAsia="x-none"/>
        </w:rPr>
      </w:pPr>
      <w:r>
        <w:rPr>
          <w:rFonts w:eastAsia="Calibri"/>
          <w:sz w:val="18"/>
          <w:szCs w:val="20"/>
          <w:lang w:eastAsia="x-none"/>
        </w:rPr>
        <w:t xml:space="preserve">TRS resource configuration where </w:t>
      </w:r>
      <w:r>
        <w:rPr>
          <w:rFonts w:eastAsia="Malgun Gothic"/>
          <w:sz w:val="18"/>
          <w:szCs w:val="20"/>
          <w:lang w:eastAsia="x-none"/>
        </w:rPr>
        <w:t>all the configured K</w:t>
      </w:r>
      <w:r>
        <w:rPr>
          <w:rFonts w:eastAsia="Malgun Gothic"/>
          <w:sz w:val="18"/>
          <w:szCs w:val="20"/>
          <w:vertAlign w:val="subscript"/>
          <w:lang w:eastAsia="x-none"/>
        </w:rPr>
        <w:t>TRS</w:t>
      </w:r>
      <w:r>
        <w:rPr>
          <w:rFonts w:eastAsia="Malgun Gothic"/>
          <w:sz w:val="18"/>
          <w:szCs w:val="20"/>
          <w:lang w:eastAsia="x-none"/>
        </w:rPr>
        <w:t xml:space="preserve"> resource sets are aperiodic</w:t>
      </w:r>
    </w:p>
    <w:p w14:paraId="0A6A35FE" w14:textId="77777777" w:rsidR="005B4C58" w:rsidRDefault="005B4C58" w:rsidP="00A67145">
      <w:pPr>
        <w:numPr>
          <w:ilvl w:val="1"/>
          <w:numId w:val="189"/>
        </w:numPr>
        <w:snapToGrid w:val="0"/>
        <w:rPr>
          <w:bCs/>
          <w:sz w:val="18"/>
          <w:szCs w:val="20"/>
          <w:lang w:val="en-CA" w:eastAsia="x-none"/>
        </w:rPr>
      </w:pPr>
      <w:r>
        <w:rPr>
          <w:rFonts w:eastAsia="Calibri"/>
          <w:sz w:val="18"/>
          <w:szCs w:val="20"/>
          <w:lang w:eastAsia="x-none"/>
        </w:rPr>
        <w:t>…</w:t>
      </w:r>
    </w:p>
    <w:p w14:paraId="27A605E0" w14:textId="77777777" w:rsidR="005B4C58" w:rsidRPr="005B4C58" w:rsidRDefault="005B4C58" w:rsidP="00A67145">
      <w:pPr>
        <w:pStyle w:val="ListParagraph"/>
        <w:numPr>
          <w:ilvl w:val="0"/>
          <w:numId w:val="189"/>
        </w:numPr>
        <w:snapToGrid w:val="0"/>
        <w:rPr>
          <w:b/>
          <w:bCs/>
          <w:lang w:eastAsia="x-none"/>
        </w:rPr>
      </w:pPr>
      <w:r w:rsidRPr="005B4C58">
        <w:rPr>
          <w:b/>
          <w:bCs/>
          <w:lang w:eastAsia="x-none"/>
        </w:rPr>
        <w:t xml:space="preserve">Summary of change: </w:t>
      </w:r>
      <w:r w:rsidRPr="005B4C58">
        <w:rPr>
          <w:bCs/>
          <w:lang w:eastAsia="x-none"/>
        </w:rPr>
        <w:t>Delete the description on supporting AP TRS set only for TDCP measurement.</w:t>
      </w:r>
    </w:p>
    <w:p w14:paraId="273C297C" w14:textId="77777777" w:rsidR="005B4C58" w:rsidRPr="005B4C58" w:rsidRDefault="005B4C58" w:rsidP="00A67145">
      <w:pPr>
        <w:pStyle w:val="ListParagraph"/>
        <w:numPr>
          <w:ilvl w:val="0"/>
          <w:numId w:val="189"/>
        </w:numPr>
        <w:snapToGrid w:val="0"/>
        <w:rPr>
          <w:bCs/>
          <w:iCs/>
          <w:lang w:eastAsia="x-none"/>
        </w:rPr>
      </w:pPr>
      <w:r w:rsidRPr="005B4C58">
        <w:rPr>
          <w:b/>
          <w:bCs/>
          <w:iCs/>
          <w:lang w:eastAsia="x-none"/>
        </w:rPr>
        <w:t xml:space="preserve">Consequences if not approved: </w:t>
      </w:r>
      <w:r w:rsidRPr="005B4C58">
        <w:rPr>
          <w:bCs/>
          <w:iCs/>
          <w:lang w:eastAsia="x-none"/>
        </w:rPr>
        <w:t xml:space="preserve">AP TRS only for TDCP measurement, which was not agreed in RAN1, is specified in RAN1 specification. </w:t>
      </w:r>
    </w:p>
    <w:p w14:paraId="60A5EE5B" w14:textId="77777777" w:rsidR="005B4C58" w:rsidRPr="005E4B10" w:rsidRDefault="005B4C58" w:rsidP="005B4C58">
      <w:pPr>
        <w:snapToGrid w:val="0"/>
        <w:rPr>
          <w:color w:val="FF0000"/>
          <w:szCs w:val="20"/>
        </w:rPr>
      </w:pPr>
      <w:r w:rsidRPr="005E4B10">
        <w:rPr>
          <w:color w:val="FF0000"/>
        </w:rPr>
        <w:t>---------------------</w:t>
      </w:r>
      <w:r w:rsidRPr="005E4B10">
        <w:rPr>
          <w:rFonts w:cs="Arial"/>
          <w:color w:val="FF0000"/>
        </w:rPr>
        <w:t xml:space="preserve">Start TP for </w:t>
      </w:r>
      <w:r w:rsidRPr="005E4B10">
        <w:rPr>
          <w:rFonts w:cs="Arial"/>
          <w:color w:val="FF0000"/>
          <w:lang w:eastAsia="x-none"/>
        </w:rPr>
        <w:t xml:space="preserve">38.214 </w:t>
      </w:r>
      <w:r w:rsidRPr="005E4B10">
        <w:rPr>
          <w:color w:val="FF0000"/>
        </w:rPr>
        <w:t>---------------------------------------------</w:t>
      </w:r>
    </w:p>
    <w:p w14:paraId="6BDA0664" w14:textId="77777777" w:rsidR="005B4C58" w:rsidRPr="005B4C58" w:rsidRDefault="005B4C58" w:rsidP="005B4C58">
      <w:pPr>
        <w:snapToGrid w:val="0"/>
        <w:rPr>
          <w:rFonts w:ascii="Arial" w:hAnsi="Arial" w:cs="Arial"/>
          <w:b/>
          <w:bCs/>
          <w:iCs/>
          <w:sz w:val="16"/>
          <w:szCs w:val="16"/>
          <w:lang w:eastAsia="x-none"/>
        </w:rPr>
      </w:pPr>
      <w:r w:rsidRPr="005B4C58">
        <w:rPr>
          <w:rFonts w:ascii="Arial" w:hAnsi="Arial" w:cs="Arial"/>
          <w:b/>
          <w:bCs/>
          <w:iCs/>
          <w:sz w:val="16"/>
          <w:szCs w:val="16"/>
          <w:lang w:eastAsia="x-none"/>
        </w:rPr>
        <w:t>5.2.1.2</w:t>
      </w:r>
      <w:r w:rsidRPr="005B4C58">
        <w:rPr>
          <w:rFonts w:ascii="Arial" w:hAnsi="Arial" w:cs="Arial"/>
          <w:b/>
          <w:bCs/>
          <w:iCs/>
          <w:sz w:val="16"/>
          <w:szCs w:val="16"/>
          <w:lang w:eastAsia="x-none"/>
        </w:rPr>
        <w:tab/>
        <w:t>Resource settings</w:t>
      </w:r>
    </w:p>
    <w:p w14:paraId="26340DFC" w14:textId="77777777" w:rsidR="005B4C58" w:rsidRPr="005B4C58" w:rsidRDefault="005B4C58" w:rsidP="005B4C58">
      <w:pPr>
        <w:jc w:val="center"/>
        <w:rPr>
          <w:rFonts w:ascii="Arial" w:eastAsia="Malgun Gothic" w:hAnsi="Arial" w:cs="Arial"/>
          <w:color w:val="FF0000"/>
          <w:sz w:val="16"/>
          <w:szCs w:val="16"/>
          <w:lang w:eastAsia="zh-CN"/>
        </w:rPr>
      </w:pPr>
      <w:r w:rsidRPr="005B4C58">
        <w:rPr>
          <w:rFonts w:ascii="Arial" w:eastAsia="Malgun Gothic" w:hAnsi="Arial" w:cs="Arial"/>
          <w:color w:val="FF0000"/>
          <w:sz w:val="16"/>
          <w:szCs w:val="16"/>
          <w:lang w:eastAsia="zh-CN"/>
        </w:rPr>
        <w:t>&lt;omitted part&gt;</w:t>
      </w:r>
    </w:p>
    <w:p w14:paraId="36094681" w14:textId="77777777" w:rsidR="005B4C58" w:rsidRPr="005B4C58" w:rsidRDefault="005B4C58" w:rsidP="005B4C58">
      <w:pPr>
        <w:rPr>
          <w:rFonts w:ascii="Arial" w:hAnsi="Arial" w:cs="Arial"/>
          <w:sz w:val="16"/>
          <w:szCs w:val="16"/>
          <w:lang w:eastAsia="zh-CN"/>
        </w:rPr>
      </w:pPr>
      <w:r w:rsidRPr="005B4C58">
        <w:rPr>
          <w:rFonts w:ascii="Arial" w:hAnsi="Arial" w:cs="Arial"/>
          <w:sz w:val="16"/>
          <w:szCs w:val="16"/>
          <w:lang w:eastAsia="zh-CN"/>
        </w:rPr>
        <w:t xml:space="preserve">For TDCP measurement, one </w:t>
      </w:r>
      <w:r w:rsidRPr="005B4C58">
        <w:rPr>
          <w:rFonts w:ascii="Arial" w:hAnsi="Arial" w:cs="Arial"/>
          <w:strike/>
          <w:color w:val="FF0000"/>
          <w:sz w:val="16"/>
          <w:szCs w:val="16"/>
          <w:lang w:eastAsia="zh-CN"/>
        </w:rPr>
        <w:t xml:space="preserve">aperiodic or </w:t>
      </w:r>
      <w:r w:rsidRPr="005B4C58">
        <w:rPr>
          <w:rFonts w:ascii="Arial" w:hAnsi="Arial" w:cs="Arial"/>
          <w:sz w:val="16"/>
          <w:szCs w:val="16"/>
          <w:lang w:eastAsia="zh-CN"/>
        </w:rPr>
        <w:t>periodic CSI Resource Setting is configured, and the Resource Setting is for channel measurement on CSI-RS for tracking.</w:t>
      </w:r>
    </w:p>
    <w:p w14:paraId="4041EAE7" w14:textId="77777777" w:rsidR="005B4C58" w:rsidRPr="005B4C58" w:rsidRDefault="005B4C58" w:rsidP="005B4C58">
      <w:pPr>
        <w:jc w:val="center"/>
        <w:rPr>
          <w:rFonts w:ascii="Arial" w:eastAsia="Malgun Gothic" w:hAnsi="Arial" w:cs="Arial"/>
          <w:color w:val="FF0000"/>
          <w:sz w:val="16"/>
          <w:szCs w:val="16"/>
          <w:lang w:eastAsia="zh-CN"/>
        </w:rPr>
      </w:pPr>
      <w:r w:rsidRPr="005B4C58">
        <w:rPr>
          <w:rFonts w:ascii="Arial" w:eastAsia="Malgun Gothic" w:hAnsi="Arial" w:cs="Arial"/>
          <w:color w:val="FF0000"/>
          <w:sz w:val="16"/>
          <w:szCs w:val="16"/>
          <w:lang w:eastAsia="zh-CN"/>
        </w:rPr>
        <w:t>&lt;omitted part&gt;</w:t>
      </w:r>
    </w:p>
    <w:p w14:paraId="387DC6C9" w14:textId="77777777" w:rsidR="005B4C58" w:rsidRPr="005B4C58" w:rsidRDefault="005B4C58" w:rsidP="005B4C58">
      <w:pPr>
        <w:snapToGrid w:val="0"/>
        <w:rPr>
          <w:rFonts w:ascii="Arial" w:hAnsi="Arial" w:cs="Arial"/>
          <w:b/>
          <w:bCs/>
          <w:iCs/>
          <w:sz w:val="16"/>
          <w:szCs w:val="16"/>
          <w:lang w:eastAsia="x-none"/>
        </w:rPr>
      </w:pPr>
      <w:r w:rsidRPr="005B4C58">
        <w:rPr>
          <w:rFonts w:ascii="Arial" w:hAnsi="Arial" w:cs="Arial"/>
          <w:b/>
          <w:bCs/>
          <w:iCs/>
          <w:sz w:val="16"/>
          <w:szCs w:val="16"/>
          <w:lang w:eastAsia="x-none"/>
        </w:rPr>
        <w:t>5.2.1.4.1</w:t>
      </w:r>
      <w:r w:rsidRPr="005B4C58">
        <w:rPr>
          <w:rFonts w:ascii="Arial" w:hAnsi="Arial" w:cs="Arial"/>
          <w:b/>
          <w:bCs/>
          <w:iCs/>
          <w:sz w:val="16"/>
          <w:szCs w:val="16"/>
          <w:lang w:eastAsia="x-none"/>
        </w:rPr>
        <w:tab/>
        <w:t xml:space="preserve"> Resource Setting configuration</w:t>
      </w:r>
    </w:p>
    <w:p w14:paraId="3BDD83F3" w14:textId="77777777" w:rsidR="005B4C58" w:rsidRPr="005B4C58" w:rsidRDefault="005B4C58" w:rsidP="005B4C58">
      <w:pPr>
        <w:jc w:val="center"/>
        <w:rPr>
          <w:rFonts w:ascii="Arial" w:eastAsia="Malgun Gothic" w:hAnsi="Arial" w:cs="Arial"/>
          <w:color w:val="FF0000"/>
          <w:sz w:val="16"/>
          <w:szCs w:val="16"/>
          <w:lang w:eastAsia="zh-CN"/>
        </w:rPr>
      </w:pPr>
      <w:r w:rsidRPr="005B4C58">
        <w:rPr>
          <w:rFonts w:ascii="Arial" w:eastAsia="Malgun Gothic" w:hAnsi="Arial" w:cs="Arial"/>
          <w:color w:val="FF0000"/>
          <w:sz w:val="16"/>
          <w:szCs w:val="16"/>
          <w:lang w:eastAsia="zh-CN"/>
        </w:rPr>
        <w:t>&lt;omitted part&gt;</w:t>
      </w:r>
    </w:p>
    <w:p w14:paraId="4863504B" w14:textId="77777777" w:rsidR="005B4C58" w:rsidRPr="005B4C58" w:rsidRDefault="005B4C58" w:rsidP="005B4C58">
      <w:pPr>
        <w:rPr>
          <w:rFonts w:ascii="Arial" w:hAnsi="Arial" w:cs="Arial"/>
          <w:sz w:val="16"/>
          <w:szCs w:val="16"/>
          <w:lang w:eastAsia="zh-CN"/>
        </w:rPr>
      </w:pPr>
      <w:r w:rsidRPr="005B4C58">
        <w:rPr>
          <w:rFonts w:ascii="Arial" w:hAnsi="Arial" w:cs="Arial"/>
          <w:sz w:val="16"/>
          <w:szCs w:val="16"/>
          <w:lang w:eastAsia="zh-CN"/>
        </w:rPr>
        <w:t xml:space="preserve">For aperiodic CSI, a UE configured with a CSI-ReportConfig with the higher layer parameter reportQuantity set to ‘tdcp’ is expected to be configured with one CSI Resource Setting (given by higher layer parameter resourcesForChannelMeasurement). The CSI Resource Setting can be configured with trs-Info and they may be periodic, with K_TRS≥1 CSI-RS Resource Sets </w:t>
      </w:r>
      <w:r w:rsidRPr="005B4C58">
        <w:rPr>
          <w:rFonts w:ascii="Arial" w:hAnsi="Arial" w:cs="Arial"/>
          <w:strike/>
          <w:color w:val="FF0000"/>
          <w:sz w:val="16"/>
          <w:szCs w:val="16"/>
          <w:lang w:eastAsia="zh-CN"/>
        </w:rPr>
        <w:t>or aperiodic, with a single CSI-RS Resource Set</w:t>
      </w:r>
      <w:r w:rsidRPr="005B4C58">
        <w:rPr>
          <w:rFonts w:ascii="Arial" w:hAnsi="Arial" w:cs="Arial"/>
          <w:sz w:val="16"/>
          <w:szCs w:val="16"/>
          <w:lang w:eastAsia="zh-CN"/>
        </w:rPr>
        <w:t>. For a periodic CSI-ResourceConfig, the UE can assume that all K_TRS CSI-RS Resource Sets share the same QCL-TypeA/C and, if applicable, TypeD. The UE expects that all the CSI-RS resources in the CSI-RS Resource Set(s) are configured with the same bandwidth and subcarrier locations.</w:t>
      </w:r>
    </w:p>
    <w:p w14:paraId="3C1BC790" w14:textId="77777777" w:rsidR="005B4C58" w:rsidRPr="005B4C58" w:rsidRDefault="005B4C58" w:rsidP="005B4C58">
      <w:pPr>
        <w:jc w:val="center"/>
        <w:rPr>
          <w:rFonts w:ascii="Arial" w:eastAsia="Malgun Gothic" w:hAnsi="Arial" w:cs="Arial"/>
          <w:color w:val="FF0000"/>
          <w:sz w:val="16"/>
          <w:szCs w:val="16"/>
          <w:lang w:eastAsia="zh-CN"/>
        </w:rPr>
      </w:pPr>
      <w:r w:rsidRPr="005B4C58">
        <w:rPr>
          <w:rFonts w:ascii="Arial" w:eastAsia="Malgun Gothic" w:hAnsi="Arial" w:cs="Arial"/>
          <w:color w:val="FF0000"/>
          <w:sz w:val="16"/>
          <w:szCs w:val="16"/>
          <w:lang w:eastAsia="zh-CN"/>
        </w:rPr>
        <w:t>&lt;omitted part&gt;</w:t>
      </w:r>
    </w:p>
    <w:p w14:paraId="573FB2B5" w14:textId="77777777" w:rsidR="005B4C58" w:rsidRPr="005E4B10" w:rsidRDefault="005B4C58" w:rsidP="005B4C58">
      <w:pPr>
        <w:rPr>
          <w:color w:val="FF0000"/>
          <w:lang w:eastAsia="x-none"/>
        </w:rPr>
      </w:pPr>
      <w:r w:rsidRPr="005E4B10">
        <w:rPr>
          <w:color w:val="FF0000"/>
        </w:rPr>
        <w:t>---------------------</w:t>
      </w:r>
      <w:r w:rsidRPr="005E4B10">
        <w:rPr>
          <w:rFonts w:cs="Arial"/>
          <w:color w:val="FF0000"/>
        </w:rPr>
        <w:t xml:space="preserve">End TP for </w:t>
      </w:r>
      <w:r w:rsidRPr="005E4B10">
        <w:rPr>
          <w:rFonts w:cs="Arial"/>
          <w:color w:val="FF0000"/>
          <w:lang w:eastAsia="x-none"/>
        </w:rPr>
        <w:t xml:space="preserve">38.214 </w:t>
      </w:r>
      <w:r w:rsidRPr="005E4B10">
        <w:rPr>
          <w:color w:val="FF0000"/>
        </w:rPr>
        <w:t>---------------------------------------------</w:t>
      </w:r>
    </w:p>
    <w:p w14:paraId="234A538C" w14:textId="77777777" w:rsidR="005B4C58" w:rsidRDefault="005B4C58" w:rsidP="005B4C58">
      <w:pPr>
        <w:rPr>
          <w:lang w:eastAsia="x-none"/>
        </w:rPr>
      </w:pPr>
    </w:p>
    <w:p w14:paraId="28DC2042" w14:textId="77777777" w:rsidR="005B4C58" w:rsidRPr="009537ED" w:rsidRDefault="005B4C58" w:rsidP="005B4C58">
      <w:pPr>
        <w:rPr>
          <w:lang w:eastAsia="x-none"/>
        </w:rPr>
      </w:pPr>
      <w:r w:rsidRPr="009537ED">
        <w:rPr>
          <w:highlight w:val="green"/>
          <w:lang w:eastAsia="x-none"/>
        </w:rPr>
        <w:t>Agreement</w:t>
      </w:r>
    </w:p>
    <w:p w14:paraId="7CB9FD23" w14:textId="77777777" w:rsidR="005B4C58" w:rsidRDefault="005B4C58" w:rsidP="005B4C58">
      <w:pPr>
        <w:snapToGrid w:val="0"/>
        <w:rPr>
          <w:bCs/>
          <w:szCs w:val="20"/>
          <w:lang w:val="en-CA" w:eastAsia="x-none"/>
        </w:rPr>
      </w:pPr>
      <w:r>
        <w:rPr>
          <w:rFonts w:eastAsia="Calibri"/>
          <w:szCs w:val="20"/>
        </w:rPr>
        <w:t>For the Rel-18 TRS-based TDCP reporting,</w:t>
      </w:r>
      <w:r>
        <w:rPr>
          <w:bCs/>
          <w:szCs w:val="20"/>
          <w:lang w:val="en-CA" w:eastAsia="x-none"/>
        </w:rPr>
        <w:t xml:space="preserve"> adopt the following TP</w:t>
      </w:r>
      <w:r>
        <w:rPr>
          <w:rFonts w:eastAsia="Microsoft YaHei"/>
          <w:iCs/>
          <w:szCs w:val="20"/>
        </w:rPr>
        <w:t xml:space="preserve"> for TS 38.214</w:t>
      </w:r>
      <w:r>
        <w:rPr>
          <w:bCs/>
          <w:szCs w:val="20"/>
          <w:lang w:val="en-CA" w:eastAsia="x-none"/>
        </w:rPr>
        <w:t>:</w:t>
      </w:r>
    </w:p>
    <w:p w14:paraId="0631217A" w14:textId="77777777" w:rsidR="005B4C58" w:rsidRDefault="005B4C58" w:rsidP="00A67145">
      <w:pPr>
        <w:pStyle w:val="ListParagraph"/>
        <w:numPr>
          <w:ilvl w:val="0"/>
          <w:numId w:val="190"/>
        </w:numPr>
      </w:pPr>
      <w:r>
        <w:t xml:space="preserve">Per legacy specification, UE behavior on TRS reception is not defined outside DRX active time: </w:t>
      </w:r>
    </w:p>
    <w:p w14:paraId="25DDFF3E" w14:textId="77777777" w:rsidR="005B4C58" w:rsidRPr="001135A5" w:rsidRDefault="005B4C58" w:rsidP="00A67145">
      <w:pPr>
        <w:pStyle w:val="ListParagraph"/>
        <w:numPr>
          <w:ilvl w:val="0"/>
          <w:numId w:val="190"/>
        </w:numPr>
        <w:rPr>
          <w:rFonts w:cs="Times"/>
          <w:iCs/>
          <w:szCs w:val="22"/>
        </w:rPr>
      </w:pPr>
      <w:r w:rsidRPr="001135A5">
        <w:rPr>
          <w:rFonts w:cs="Times"/>
          <w:b/>
          <w:iCs/>
          <w:szCs w:val="22"/>
        </w:rPr>
        <w:t xml:space="preserve">Reason for change: </w:t>
      </w:r>
      <w:r w:rsidRPr="001135A5">
        <w:rPr>
          <w:rFonts w:cs="Times"/>
          <w:iCs/>
          <w:szCs w:val="22"/>
        </w:rPr>
        <w:t>To address FFS in the previous agreement</w:t>
      </w:r>
    </w:p>
    <w:p w14:paraId="5095B0A9" w14:textId="77777777" w:rsidR="005B4C58" w:rsidRPr="001135A5" w:rsidRDefault="005B4C58" w:rsidP="001135A5">
      <w:pPr>
        <w:pStyle w:val="ListParagraph"/>
        <w:rPr>
          <w:sz w:val="18"/>
          <w:highlight w:val="green"/>
        </w:rPr>
      </w:pPr>
      <w:r w:rsidRPr="001135A5">
        <w:rPr>
          <w:rFonts w:eastAsia="Malgun Gothic"/>
          <w:sz w:val="18"/>
          <w:lang w:eastAsia="ko-KR"/>
        </w:rPr>
        <w:lastRenderedPageBreak/>
        <w:t xml:space="preserve">[114bis] </w:t>
      </w:r>
      <w:r w:rsidRPr="001135A5">
        <w:rPr>
          <w:sz w:val="18"/>
          <w:highlight w:val="green"/>
        </w:rPr>
        <w:t>Agreement</w:t>
      </w:r>
    </w:p>
    <w:p w14:paraId="19A713A5" w14:textId="77777777" w:rsidR="005B4C58" w:rsidRPr="001135A5" w:rsidRDefault="005B4C58" w:rsidP="001135A5">
      <w:pPr>
        <w:pStyle w:val="ListParagraph"/>
        <w:rPr>
          <w:rFonts w:eastAsia="Calibri"/>
          <w:iCs/>
          <w:sz w:val="18"/>
        </w:rPr>
      </w:pPr>
      <w:r w:rsidRPr="001135A5">
        <w:rPr>
          <w:rFonts w:eastAsia="Calibri"/>
          <w:sz w:val="18"/>
        </w:rPr>
        <w:t>For the Rel-18 TRS-based TDCP reporting,</w:t>
      </w:r>
      <w:r w:rsidRPr="001135A5">
        <w:rPr>
          <w:sz w:val="18"/>
          <w:lang w:val="en-CA"/>
        </w:rPr>
        <w:t xml:space="preserve"> </w:t>
      </w:r>
      <w:r w:rsidRPr="001135A5">
        <w:rPr>
          <w:rFonts w:eastAsia="Calibri"/>
          <w:iCs/>
          <w:sz w:val="18"/>
        </w:rPr>
        <w:t>the UE reports a CSI report only if receiving at least one CSI-RS transmission occasion for each CSI-RS resource for K</w:t>
      </w:r>
      <w:r w:rsidRPr="001135A5">
        <w:rPr>
          <w:rFonts w:eastAsia="Calibri"/>
          <w:iCs/>
          <w:sz w:val="18"/>
          <w:vertAlign w:val="subscript"/>
        </w:rPr>
        <w:t>TRS</w:t>
      </w:r>
      <w:r w:rsidRPr="001135A5">
        <w:rPr>
          <w:rFonts w:eastAsia="Calibri"/>
          <w:iCs/>
          <w:sz w:val="18"/>
        </w:rPr>
        <w:t xml:space="preserve"> CSI-RS resource sets configured for TDCP reporting no later than CSI reference resource, otherwise drops the report.</w:t>
      </w:r>
    </w:p>
    <w:p w14:paraId="39A96906" w14:textId="77777777" w:rsidR="005B4C58" w:rsidRPr="001135A5" w:rsidRDefault="005B4C58" w:rsidP="00A67145">
      <w:pPr>
        <w:pStyle w:val="ListParagraph"/>
        <w:numPr>
          <w:ilvl w:val="1"/>
          <w:numId w:val="190"/>
        </w:numPr>
        <w:rPr>
          <w:rFonts w:eastAsia="Calibri"/>
          <w:iCs/>
        </w:rPr>
      </w:pPr>
      <w:r w:rsidRPr="001135A5">
        <w:rPr>
          <w:sz w:val="18"/>
          <w:lang w:eastAsia="zh-CN"/>
        </w:rPr>
        <w:t>This includes the cases of CSI report (re)configuration, serving cell activation, BWP change</w:t>
      </w:r>
    </w:p>
    <w:p w14:paraId="332EDAFB" w14:textId="77777777" w:rsidR="005B4C58" w:rsidRPr="001135A5" w:rsidRDefault="005B4C58" w:rsidP="00A67145">
      <w:pPr>
        <w:pStyle w:val="ListParagraph"/>
        <w:numPr>
          <w:ilvl w:val="2"/>
          <w:numId w:val="190"/>
        </w:numPr>
        <w:rPr>
          <w:rFonts w:eastAsia="Calibri"/>
          <w:iCs/>
        </w:rPr>
      </w:pPr>
      <w:r w:rsidRPr="001135A5">
        <w:rPr>
          <w:sz w:val="18"/>
        </w:rPr>
        <w:t>FFS (RAN1#115): Whether DRX configuration needs to be included as a case</w:t>
      </w:r>
    </w:p>
    <w:p w14:paraId="639AA173" w14:textId="77777777" w:rsidR="005B4C58" w:rsidRPr="001135A5" w:rsidRDefault="005B4C58" w:rsidP="00A67145">
      <w:pPr>
        <w:pStyle w:val="ListParagraph"/>
        <w:numPr>
          <w:ilvl w:val="0"/>
          <w:numId w:val="190"/>
        </w:numPr>
        <w:rPr>
          <w:rFonts w:cs="Times"/>
          <w:b/>
          <w:iCs/>
          <w:szCs w:val="22"/>
        </w:rPr>
      </w:pPr>
      <w:r w:rsidRPr="001135A5">
        <w:rPr>
          <w:rFonts w:cs="Times"/>
          <w:b/>
          <w:iCs/>
          <w:szCs w:val="22"/>
        </w:rPr>
        <w:t xml:space="preserve">Summary of change: </w:t>
      </w:r>
      <w:r w:rsidRPr="001135A5">
        <w:rPr>
          <w:rFonts w:cs="Times"/>
          <w:iCs/>
          <w:szCs w:val="22"/>
        </w:rPr>
        <w:t>Added DRX as a case</w:t>
      </w:r>
    </w:p>
    <w:p w14:paraId="3E30A187" w14:textId="77777777" w:rsidR="005B4C58" w:rsidRPr="001135A5" w:rsidRDefault="005B4C58" w:rsidP="00A67145">
      <w:pPr>
        <w:pStyle w:val="ListParagraph"/>
        <w:numPr>
          <w:ilvl w:val="0"/>
          <w:numId w:val="190"/>
        </w:numPr>
        <w:rPr>
          <w:rFonts w:cs="Times"/>
          <w:iCs/>
          <w:szCs w:val="22"/>
        </w:rPr>
      </w:pPr>
      <w:r w:rsidRPr="001135A5">
        <w:rPr>
          <w:rFonts w:cs="Times"/>
          <w:b/>
          <w:iCs/>
          <w:szCs w:val="22"/>
        </w:rPr>
        <w:t xml:space="preserve">Consequences if not approved: </w:t>
      </w:r>
      <w:r w:rsidRPr="001135A5">
        <w:rPr>
          <w:rFonts w:cs="Times"/>
          <w:iCs/>
          <w:szCs w:val="22"/>
        </w:rPr>
        <w:t>TDCP calculation may result in increased buffering if at least one of the CSI-RS occasions needed for a complete TDCP calculation is not present in a particular DRX active time</w:t>
      </w:r>
    </w:p>
    <w:p w14:paraId="4B22CA66" w14:textId="77777777" w:rsidR="005B4C58" w:rsidRPr="005E4B10" w:rsidRDefault="005B4C58" w:rsidP="005B4C58">
      <w:pPr>
        <w:snapToGrid w:val="0"/>
        <w:rPr>
          <w:color w:val="FF0000"/>
          <w:szCs w:val="20"/>
        </w:rPr>
      </w:pPr>
      <w:r w:rsidRPr="005E4B10">
        <w:rPr>
          <w:color w:val="FF0000"/>
        </w:rPr>
        <w:t>---------------------</w:t>
      </w:r>
      <w:r w:rsidRPr="005E4B10">
        <w:rPr>
          <w:rFonts w:cs="Arial"/>
          <w:color w:val="FF0000"/>
        </w:rPr>
        <w:t xml:space="preserve">Start TP for </w:t>
      </w:r>
      <w:r w:rsidRPr="005E4B10">
        <w:rPr>
          <w:rFonts w:cs="Arial"/>
          <w:color w:val="FF0000"/>
          <w:lang w:eastAsia="x-none"/>
        </w:rPr>
        <w:t xml:space="preserve">38.214 </w:t>
      </w:r>
      <w:r w:rsidRPr="005E4B10">
        <w:rPr>
          <w:color w:val="FF0000"/>
        </w:rPr>
        <w:t>---------------------------------------------</w:t>
      </w:r>
    </w:p>
    <w:p w14:paraId="5037E109" w14:textId="17770DAB" w:rsidR="005B4C58" w:rsidRPr="005935DB" w:rsidRDefault="005935DB" w:rsidP="001135A5">
      <w:pPr>
        <w:rPr>
          <w:rFonts w:ascii="Arial" w:hAnsi="Arial" w:cs="Arial"/>
          <w:b/>
          <w:bCs/>
          <w:sz w:val="16"/>
          <w:szCs w:val="16"/>
          <w:lang w:eastAsia="zh-CN"/>
        </w:rPr>
      </w:pPr>
      <w:r w:rsidRPr="005935DB">
        <w:rPr>
          <w:rFonts w:ascii="Arial" w:eastAsia="t" w:hAnsi="Arial" w:cs="Arial"/>
          <w:b/>
          <w:bCs/>
          <w:sz w:val="16"/>
          <w:szCs w:val="16"/>
          <w:lang w:eastAsia="zh-CN"/>
        </w:rPr>
        <w:t>5.</w:t>
      </w:r>
      <w:r w:rsidR="005B4C58" w:rsidRPr="005935DB">
        <w:rPr>
          <w:rFonts w:ascii="Arial" w:eastAsia="t" w:hAnsi="Arial" w:cs="Arial"/>
          <w:b/>
          <w:bCs/>
          <w:sz w:val="16"/>
          <w:szCs w:val="16"/>
          <w:lang w:eastAsia="zh-CN"/>
        </w:rPr>
        <w:t>2.</w:t>
      </w:r>
      <w:r w:rsidR="005B4C58" w:rsidRPr="005935DB">
        <w:rPr>
          <w:rFonts w:ascii="Arial" w:hAnsi="Arial" w:cs="Arial"/>
          <w:b/>
          <w:bCs/>
          <w:sz w:val="16"/>
          <w:szCs w:val="16"/>
          <w:lang w:eastAsia="zh-CN"/>
        </w:rPr>
        <w:t>2</w:t>
      </w:r>
      <w:r w:rsidR="005B4C58" w:rsidRPr="005935DB">
        <w:rPr>
          <w:rFonts w:ascii="Arial" w:eastAsia="t" w:hAnsi="Arial" w:cs="Arial"/>
          <w:b/>
          <w:bCs/>
          <w:sz w:val="16"/>
          <w:szCs w:val="16"/>
          <w:lang w:eastAsia="zh-CN"/>
        </w:rPr>
        <w:t>.5</w:t>
      </w:r>
      <w:r w:rsidR="005B4C58" w:rsidRPr="005935DB">
        <w:rPr>
          <w:rFonts w:ascii="Arial" w:eastAsia="t" w:hAnsi="Arial" w:cs="Arial"/>
          <w:b/>
          <w:bCs/>
          <w:sz w:val="16"/>
          <w:szCs w:val="16"/>
          <w:lang w:eastAsia="zh-CN"/>
        </w:rPr>
        <w:tab/>
      </w:r>
      <w:r w:rsidR="005B4C58" w:rsidRPr="005935DB">
        <w:rPr>
          <w:rFonts w:ascii="Arial" w:hAnsi="Arial" w:cs="Arial"/>
          <w:b/>
          <w:bCs/>
          <w:sz w:val="16"/>
          <w:szCs w:val="16"/>
          <w:lang w:eastAsia="zh-CN"/>
        </w:rPr>
        <w:t>CSI reference resource definition</w:t>
      </w:r>
    </w:p>
    <w:p w14:paraId="0AC0FE20" w14:textId="77777777" w:rsidR="005B4C58" w:rsidRPr="001135A5" w:rsidRDefault="005B4C58" w:rsidP="001135A5">
      <w:pPr>
        <w:jc w:val="center"/>
        <w:rPr>
          <w:rFonts w:ascii="Arial" w:eastAsia="t" w:hAnsi="Arial" w:cs="Arial"/>
          <w:sz w:val="16"/>
          <w:szCs w:val="16"/>
          <w:lang w:eastAsia="zh-CN"/>
        </w:rPr>
      </w:pPr>
      <w:r w:rsidRPr="001135A5">
        <w:rPr>
          <w:rFonts w:ascii="Arial" w:eastAsia="SimSun" w:hAnsi="Arial" w:cs="Arial"/>
          <w:bCs/>
          <w:color w:val="FF0000"/>
          <w:sz w:val="16"/>
          <w:szCs w:val="16"/>
          <w:lang w:eastAsia="zh-CN"/>
        </w:rPr>
        <w:t>&lt;Unchanged part omitted&gt;</w:t>
      </w:r>
    </w:p>
    <w:p w14:paraId="76E91869" w14:textId="40628A8E" w:rsidR="005B4C58" w:rsidRPr="001135A5" w:rsidRDefault="005B4C58" w:rsidP="001135A5">
      <w:pPr>
        <w:snapToGrid w:val="0"/>
        <w:spacing w:line="276" w:lineRule="auto"/>
        <w:jc w:val="both"/>
        <w:rPr>
          <w:rFonts w:ascii="Arial" w:eastAsia="t" w:hAnsi="Arial" w:cs="Arial"/>
          <w:sz w:val="16"/>
          <w:szCs w:val="16"/>
          <w:lang w:eastAsia="zh-CN"/>
        </w:rPr>
      </w:pPr>
      <w:r w:rsidRPr="001135A5">
        <w:rPr>
          <w:rFonts w:ascii="Arial" w:eastAsia="t" w:hAnsi="Arial" w:cs="Arial"/>
          <w:iCs/>
          <w:sz w:val="16"/>
          <w:szCs w:val="16"/>
          <w:lang w:eastAsia="zh-CN"/>
        </w:rPr>
        <w:t xml:space="preserve">For a </w:t>
      </w:r>
      <w:r w:rsidRPr="001135A5">
        <w:rPr>
          <w:rFonts w:ascii="Arial" w:eastAsia="MS Mincho" w:hAnsi="Arial" w:cs="Arial"/>
          <w:i/>
          <w:color w:val="000000"/>
          <w:sz w:val="16"/>
          <w:szCs w:val="16"/>
          <w:lang w:eastAsia="zh-CN"/>
        </w:rPr>
        <w:t>CSI-ReportConfig</w:t>
      </w:r>
      <w:r w:rsidRPr="001135A5">
        <w:rPr>
          <w:rFonts w:ascii="Arial" w:eastAsia="MS Mincho" w:hAnsi="Arial" w:cs="Arial"/>
          <w:color w:val="000000"/>
          <w:sz w:val="16"/>
          <w:szCs w:val="16"/>
          <w:lang w:eastAsia="zh-CN"/>
        </w:rPr>
        <w:t xml:space="preserve"> configured with </w:t>
      </w:r>
      <w:r w:rsidRPr="001135A5">
        <w:rPr>
          <w:rFonts w:ascii="Arial" w:eastAsia="t" w:hAnsi="Arial" w:cs="Arial"/>
          <w:color w:val="000000"/>
          <w:sz w:val="16"/>
          <w:szCs w:val="16"/>
          <w:lang w:eastAsia="zh-CN"/>
        </w:rPr>
        <w:t xml:space="preserve">the higher layer parameter </w:t>
      </w:r>
      <w:r w:rsidRPr="001135A5">
        <w:rPr>
          <w:rFonts w:ascii="Arial" w:eastAsia="t" w:hAnsi="Arial" w:cs="Arial"/>
          <w:i/>
          <w:iCs/>
          <w:color w:val="000000"/>
          <w:sz w:val="16"/>
          <w:szCs w:val="16"/>
          <w:lang w:eastAsia="zh-CN"/>
        </w:rPr>
        <w:t xml:space="preserve">reportQuantity </w:t>
      </w:r>
      <w:r w:rsidRPr="001135A5">
        <w:rPr>
          <w:rFonts w:ascii="Arial" w:eastAsia="t" w:hAnsi="Arial" w:cs="Arial"/>
          <w:iCs/>
          <w:color w:val="000000"/>
          <w:sz w:val="16"/>
          <w:szCs w:val="16"/>
          <w:lang w:eastAsia="zh-CN"/>
        </w:rPr>
        <w:t xml:space="preserve">set to ‘tdcp’, after </w:t>
      </w:r>
      <w:r w:rsidRPr="001135A5">
        <w:rPr>
          <w:rFonts w:ascii="Arial" w:eastAsia="t" w:hAnsi="Arial" w:cs="Arial"/>
          <w:iCs/>
          <w:sz w:val="16"/>
          <w:szCs w:val="16"/>
          <w:lang w:eastAsia="zh-CN"/>
        </w:rPr>
        <w:t xml:space="preserve">the CSI report </w:t>
      </w:r>
      <w:r w:rsidRPr="001135A5">
        <w:rPr>
          <w:rFonts w:ascii="Arial" w:eastAsia="t" w:hAnsi="Arial" w:cs="Arial"/>
          <w:color w:val="000000"/>
          <w:sz w:val="16"/>
          <w:szCs w:val="16"/>
          <w:lang w:eastAsia="zh-CN"/>
        </w:rPr>
        <w:t xml:space="preserve">(re)configuration, serving cell activation, BWP change, the UE reports a CSI report only </w:t>
      </w:r>
      <w:r w:rsidRPr="001135A5">
        <w:rPr>
          <w:rFonts w:ascii="Arial" w:eastAsia="t" w:hAnsi="Arial" w:cs="Arial"/>
          <w:strike/>
          <w:color w:val="FF0000"/>
          <w:sz w:val="16"/>
          <w:szCs w:val="16"/>
          <w:lang w:eastAsia="zh-CN"/>
        </w:rPr>
        <w:t>after</w:t>
      </w:r>
      <w:r w:rsidRPr="001135A5">
        <w:rPr>
          <w:rFonts w:ascii="Arial" w:eastAsia="t" w:hAnsi="Arial" w:cs="Arial"/>
          <w:color w:val="FF0000"/>
          <w:sz w:val="16"/>
          <w:szCs w:val="16"/>
          <w:lang w:eastAsia="zh-CN"/>
        </w:rPr>
        <w:t xml:space="preserve"> if </w:t>
      </w:r>
      <w:r w:rsidRPr="001135A5">
        <w:rPr>
          <w:rFonts w:ascii="Arial" w:eastAsia="t" w:hAnsi="Arial" w:cs="Arial"/>
          <w:color w:val="000000"/>
          <w:sz w:val="16"/>
          <w:szCs w:val="16"/>
          <w:lang w:eastAsia="zh-CN"/>
        </w:rPr>
        <w:t xml:space="preserve">receiving at least one CSI-RS transmission occasion for each CSI-RS resource in the </w:t>
      </w:r>
      <w:r w:rsidRPr="001135A5">
        <w:rPr>
          <w:rFonts w:ascii="Arial" w:eastAsia="t" w:hAnsi="Arial" w:cs="Arial"/>
          <w:color w:val="000000"/>
          <w:sz w:val="16"/>
          <w:szCs w:val="16"/>
          <w:lang w:eastAsia="zh-CN"/>
        </w:rPr>
        <w:fldChar w:fldCharType="begin"/>
      </w:r>
      <w:r w:rsidRPr="001135A5">
        <w:rPr>
          <w:rFonts w:ascii="Arial" w:eastAsia="t" w:hAnsi="Arial" w:cs="Arial"/>
          <w:color w:val="000000"/>
          <w:sz w:val="16"/>
          <w:szCs w:val="16"/>
          <w:lang w:eastAsia="zh-CN"/>
        </w:rPr>
        <w:instrText xml:space="preserve"> QUOTE </w:instrText>
      </w:r>
      <w:r w:rsidR="00A6784C">
        <w:rPr>
          <w:rFonts w:ascii="Arial" w:hAnsi="Arial" w:cs="Arial"/>
          <w:position w:val="-5"/>
          <w:sz w:val="16"/>
          <w:szCs w:val="16"/>
        </w:rPr>
        <w:pict w14:anchorId="00458FFB">
          <v:shape id="_x0000_i1150" type="#_x0000_t75" style="width:19.5pt;height:12pt" equationxml="&lt;">
            <v:imagedata r:id="rId844" o:title="" chromakey="white"/>
          </v:shape>
        </w:pict>
      </w:r>
      <w:r w:rsidRPr="001135A5">
        <w:rPr>
          <w:rFonts w:ascii="Arial" w:eastAsia="t" w:hAnsi="Arial" w:cs="Arial"/>
          <w:color w:val="000000"/>
          <w:sz w:val="16"/>
          <w:szCs w:val="16"/>
          <w:lang w:eastAsia="zh-CN"/>
        </w:rPr>
        <w:instrText xml:space="preserve"> </w:instrText>
      </w:r>
      <w:r w:rsidRPr="001135A5">
        <w:rPr>
          <w:rFonts w:ascii="Arial" w:eastAsia="t" w:hAnsi="Arial" w:cs="Arial"/>
          <w:color w:val="000000"/>
          <w:sz w:val="16"/>
          <w:szCs w:val="16"/>
          <w:lang w:eastAsia="zh-CN"/>
        </w:rPr>
        <w:fldChar w:fldCharType="separate"/>
      </w:r>
      <w:r w:rsidR="00A6784C">
        <w:rPr>
          <w:rFonts w:ascii="Arial" w:hAnsi="Arial" w:cs="Arial"/>
          <w:position w:val="-5"/>
          <w:sz w:val="16"/>
          <w:szCs w:val="16"/>
        </w:rPr>
        <w:pict w14:anchorId="07B13F78">
          <v:shape id="_x0000_i1151" type="#_x0000_t75" style="width:19.5pt;height:12pt" equationxml="&lt;">
            <v:imagedata r:id="rId844" o:title="" chromakey="white"/>
          </v:shape>
        </w:pict>
      </w:r>
      <w:r w:rsidRPr="001135A5">
        <w:rPr>
          <w:rFonts w:ascii="Arial" w:eastAsia="t" w:hAnsi="Arial" w:cs="Arial"/>
          <w:color w:val="000000"/>
          <w:sz w:val="16"/>
          <w:szCs w:val="16"/>
          <w:lang w:eastAsia="zh-CN"/>
        </w:rPr>
        <w:fldChar w:fldCharType="end"/>
      </w:r>
      <w:r w:rsidRPr="001135A5">
        <w:rPr>
          <w:rFonts w:ascii="Arial" w:eastAsia="t" w:hAnsi="Arial" w:cs="Arial"/>
          <w:color w:val="000000"/>
          <w:sz w:val="16"/>
          <w:szCs w:val="16"/>
          <w:lang w:eastAsia="zh-CN"/>
        </w:rPr>
        <w:t xml:space="preserve"> CSI-RS Resource Sets of the CSI-RS Resource Setting for channel measurement </w:t>
      </w:r>
      <w:r w:rsidRPr="001135A5">
        <w:rPr>
          <w:rFonts w:ascii="Arial" w:eastAsia="t" w:hAnsi="Arial" w:cs="Arial"/>
          <w:iCs/>
          <w:sz w:val="16"/>
          <w:szCs w:val="16"/>
          <w:lang w:eastAsia="zh-CN"/>
        </w:rPr>
        <w:t>no later than the CSI reference resource</w:t>
      </w:r>
      <w:r w:rsidRPr="001135A5">
        <w:rPr>
          <w:rFonts w:ascii="Arial" w:eastAsia="SimSun" w:hAnsi="Arial" w:cs="Arial"/>
          <w:iCs/>
          <w:sz w:val="16"/>
          <w:szCs w:val="16"/>
          <w:lang w:eastAsia="zh-CN"/>
        </w:rPr>
        <w:t xml:space="preserve"> </w:t>
      </w:r>
      <w:r w:rsidRPr="001135A5">
        <w:rPr>
          <w:rFonts w:ascii="Arial" w:eastAsia="SimSun" w:hAnsi="Arial" w:cs="Arial"/>
          <w:iCs/>
          <w:color w:val="FF0000"/>
          <w:sz w:val="16"/>
          <w:szCs w:val="16"/>
          <w:lang w:eastAsia="zh-CN"/>
        </w:rPr>
        <w:t>within the same DRX active time, when DRX is configured, and drop the report otherwise</w:t>
      </w:r>
      <w:r w:rsidRPr="001135A5">
        <w:rPr>
          <w:rFonts w:ascii="Arial" w:eastAsia="t" w:hAnsi="Arial" w:cs="Arial"/>
          <w:iCs/>
          <w:color w:val="FF0000"/>
          <w:sz w:val="16"/>
          <w:szCs w:val="16"/>
          <w:lang w:eastAsia="zh-CN"/>
        </w:rPr>
        <w:t>.</w:t>
      </w:r>
    </w:p>
    <w:p w14:paraId="2C1F1B2E" w14:textId="77777777" w:rsidR="001135A5" w:rsidRPr="001135A5" w:rsidRDefault="001135A5" w:rsidP="001135A5">
      <w:pPr>
        <w:jc w:val="center"/>
        <w:rPr>
          <w:rFonts w:ascii="Arial" w:eastAsia="t" w:hAnsi="Arial" w:cs="Arial"/>
          <w:sz w:val="16"/>
          <w:szCs w:val="16"/>
          <w:lang w:eastAsia="zh-CN"/>
        </w:rPr>
      </w:pPr>
      <w:r w:rsidRPr="001135A5">
        <w:rPr>
          <w:rFonts w:ascii="Arial" w:eastAsia="SimSun" w:hAnsi="Arial" w:cs="Arial"/>
          <w:bCs/>
          <w:color w:val="FF0000"/>
          <w:sz w:val="16"/>
          <w:szCs w:val="16"/>
          <w:lang w:eastAsia="zh-CN"/>
        </w:rPr>
        <w:t>&lt;Unchanged part omitted&gt;</w:t>
      </w:r>
    </w:p>
    <w:p w14:paraId="05D4AC22" w14:textId="77777777" w:rsidR="005B4C58" w:rsidRPr="005E4B10" w:rsidRDefault="005B4C58" w:rsidP="005B4C58">
      <w:pPr>
        <w:rPr>
          <w:color w:val="FF0000"/>
          <w:lang w:eastAsia="x-none"/>
        </w:rPr>
      </w:pPr>
      <w:r w:rsidRPr="005E4B10">
        <w:rPr>
          <w:color w:val="FF0000"/>
        </w:rPr>
        <w:t>---------------------</w:t>
      </w:r>
      <w:r w:rsidRPr="005E4B10">
        <w:rPr>
          <w:rFonts w:cs="Arial"/>
          <w:color w:val="FF0000"/>
        </w:rPr>
        <w:t xml:space="preserve">End TP for </w:t>
      </w:r>
      <w:r w:rsidRPr="005E4B10">
        <w:rPr>
          <w:rFonts w:cs="Arial"/>
          <w:color w:val="FF0000"/>
          <w:lang w:eastAsia="x-none"/>
        </w:rPr>
        <w:t xml:space="preserve">38.214 </w:t>
      </w:r>
      <w:r w:rsidRPr="005E4B10">
        <w:rPr>
          <w:color w:val="FF0000"/>
        </w:rPr>
        <w:t>---------------------------------------------</w:t>
      </w:r>
    </w:p>
    <w:p w14:paraId="04E39584" w14:textId="77777777" w:rsidR="005B4C58" w:rsidRPr="005B4C58" w:rsidRDefault="005B4C58" w:rsidP="005B4C58">
      <w:pPr>
        <w:rPr>
          <w:rFonts w:ascii="Times New Roman" w:hAnsi="Times New Roman"/>
          <w:szCs w:val="20"/>
          <w:lang w:eastAsia="x-none"/>
        </w:rPr>
      </w:pPr>
    </w:p>
    <w:p w14:paraId="458F8CA0" w14:textId="77777777" w:rsidR="00F74A6F" w:rsidRPr="009537ED" w:rsidRDefault="00F74A6F" w:rsidP="009537ED">
      <w:pPr>
        <w:pStyle w:val="Heading3"/>
      </w:pPr>
      <w:bookmarkStart w:id="198" w:name="_Toc150174444"/>
      <w:bookmarkStart w:id="199" w:name="_Toc159250986"/>
      <w:r w:rsidRPr="009537ED">
        <w:t>Reference signal enhancement</w:t>
      </w:r>
      <w:bookmarkEnd w:id="198"/>
      <w:bookmarkEnd w:id="199"/>
    </w:p>
    <w:p w14:paraId="2F12A09B" w14:textId="77777777" w:rsidR="00F74A6F" w:rsidRPr="009537ED" w:rsidRDefault="00F74A6F" w:rsidP="009537ED">
      <w:pPr>
        <w:pStyle w:val="Heading4"/>
      </w:pPr>
      <w:bookmarkStart w:id="200" w:name="_Toc150174445"/>
      <w:bookmarkStart w:id="201" w:name="_Toc159250987"/>
      <w:r w:rsidRPr="009537ED">
        <w:t>Increased number of orthogonal DMRS ports</w:t>
      </w:r>
      <w:bookmarkEnd w:id="200"/>
      <w:bookmarkEnd w:id="201"/>
    </w:p>
    <w:p w14:paraId="78A822E9" w14:textId="194A4FF2" w:rsidR="00F74A6F" w:rsidRPr="009537ED" w:rsidRDefault="005A18DC" w:rsidP="00F74A6F">
      <w:pPr>
        <w:rPr>
          <w:lang w:eastAsia="x-none"/>
        </w:rPr>
      </w:pPr>
      <w:hyperlink r:id="rId845" w:history="1">
        <w:r w:rsidR="00AF7253">
          <w:rPr>
            <w:rStyle w:val="Hyperlink"/>
            <w:lang w:eastAsia="x-none"/>
          </w:rPr>
          <w:t>R1-2310869</w:t>
        </w:r>
      </w:hyperlink>
      <w:r w:rsidR="00F74A6F" w:rsidRPr="009537ED">
        <w:rPr>
          <w:lang w:eastAsia="x-none"/>
        </w:rPr>
        <w:tab/>
        <w:t>Maintenance of DMRS enhancement in Rel.18</w:t>
      </w:r>
      <w:r w:rsidR="00F74A6F" w:rsidRPr="009537ED">
        <w:rPr>
          <w:lang w:eastAsia="x-none"/>
        </w:rPr>
        <w:tab/>
        <w:t>Huawei, HiSilicon</w:t>
      </w:r>
    </w:p>
    <w:p w14:paraId="65504538" w14:textId="2723826A" w:rsidR="00F74A6F" w:rsidRPr="00F91255" w:rsidRDefault="005A18DC" w:rsidP="00F74A6F">
      <w:pPr>
        <w:rPr>
          <w:lang w:val="fr-FR" w:eastAsia="x-none"/>
        </w:rPr>
      </w:pPr>
      <w:hyperlink r:id="rId846" w:history="1">
        <w:r w:rsidR="00AF7253">
          <w:rPr>
            <w:rStyle w:val="Hyperlink"/>
            <w:lang w:val="fr-FR" w:eastAsia="x-none"/>
          </w:rPr>
          <w:t>R1-2310908</w:t>
        </w:r>
      </w:hyperlink>
      <w:r w:rsidR="00F74A6F" w:rsidRPr="00F91255">
        <w:rPr>
          <w:lang w:val="fr-FR" w:eastAsia="x-none"/>
        </w:rPr>
        <w:tab/>
        <w:t>Maintenance on Rel-18 DMRS</w:t>
      </w:r>
      <w:r w:rsidR="00F74A6F" w:rsidRPr="00F91255">
        <w:rPr>
          <w:lang w:val="fr-FR" w:eastAsia="x-none"/>
        </w:rPr>
        <w:tab/>
        <w:t>Ericsson</w:t>
      </w:r>
    </w:p>
    <w:p w14:paraId="537C69DB" w14:textId="6D47A877" w:rsidR="00F74A6F" w:rsidRPr="00F91255" w:rsidRDefault="005A18DC" w:rsidP="00F74A6F">
      <w:pPr>
        <w:rPr>
          <w:lang w:val="fr-FR" w:eastAsia="x-none"/>
        </w:rPr>
      </w:pPr>
      <w:hyperlink r:id="rId847" w:history="1">
        <w:r w:rsidR="00AF7253">
          <w:rPr>
            <w:rStyle w:val="Hyperlink"/>
            <w:lang w:val="fr-FR" w:eastAsia="x-none"/>
          </w:rPr>
          <w:t>R1-2310922</w:t>
        </w:r>
      </w:hyperlink>
      <w:r w:rsidR="00F74A6F" w:rsidRPr="00F91255">
        <w:rPr>
          <w:lang w:val="fr-FR" w:eastAsia="x-none"/>
        </w:rPr>
        <w:tab/>
        <w:t>Maintenance on Rel-18 DMRS Enhancements</w:t>
      </w:r>
      <w:r w:rsidR="00F74A6F" w:rsidRPr="00F91255">
        <w:rPr>
          <w:lang w:val="fr-FR" w:eastAsia="x-none"/>
        </w:rPr>
        <w:tab/>
        <w:t>InterDigital, Inc.</w:t>
      </w:r>
    </w:p>
    <w:p w14:paraId="66F5E1B4" w14:textId="48267D1C" w:rsidR="00F74A6F" w:rsidRPr="009537ED" w:rsidRDefault="005A18DC" w:rsidP="00F74A6F">
      <w:pPr>
        <w:rPr>
          <w:lang w:eastAsia="x-none"/>
        </w:rPr>
      </w:pPr>
      <w:hyperlink r:id="rId848" w:history="1">
        <w:r w:rsidR="00AF7253">
          <w:rPr>
            <w:rStyle w:val="Hyperlink"/>
            <w:lang w:eastAsia="x-none"/>
          </w:rPr>
          <w:t>R1-2310932</w:t>
        </w:r>
      </w:hyperlink>
      <w:r w:rsidR="00F74A6F" w:rsidRPr="009537ED">
        <w:rPr>
          <w:lang w:eastAsia="x-none"/>
        </w:rPr>
        <w:tab/>
        <w:t>Discussions on the remaining issue on increased number of orthogonal DMRS ports</w:t>
      </w:r>
      <w:r w:rsidR="00F74A6F" w:rsidRPr="009537ED">
        <w:rPr>
          <w:lang w:eastAsia="x-none"/>
        </w:rPr>
        <w:tab/>
        <w:t>New H3C Technologies Co., Ltd.</w:t>
      </w:r>
    </w:p>
    <w:p w14:paraId="01E0ACDB" w14:textId="53C2668A" w:rsidR="00F74A6F" w:rsidRPr="009537ED" w:rsidRDefault="005A18DC" w:rsidP="00F74A6F">
      <w:pPr>
        <w:rPr>
          <w:lang w:eastAsia="x-none"/>
        </w:rPr>
      </w:pPr>
      <w:hyperlink r:id="rId849" w:history="1">
        <w:r w:rsidR="00AF7253">
          <w:rPr>
            <w:rStyle w:val="Hyperlink"/>
            <w:lang w:eastAsia="x-none"/>
          </w:rPr>
          <w:t>R1-2310950</w:t>
        </w:r>
      </w:hyperlink>
      <w:r w:rsidR="00F74A6F" w:rsidRPr="009537ED">
        <w:rPr>
          <w:lang w:eastAsia="x-none"/>
        </w:rPr>
        <w:tab/>
        <w:t>Maintenance on DMRS enhancement for UL/DL MU-MIMO and 8 Tx UL SU-MIMO</w:t>
      </w:r>
      <w:r w:rsidR="00F74A6F" w:rsidRPr="009537ED">
        <w:rPr>
          <w:lang w:eastAsia="x-none"/>
        </w:rPr>
        <w:tab/>
        <w:t>ZTE, China Telecom</w:t>
      </w:r>
    </w:p>
    <w:p w14:paraId="235407B4" w14:textId="363E88AC" w:rsidR="00F74A6F" w:rsidRPr="009537ED" w:rsidRDefault="005A18DC" w:rsidP="00F74A6F">
      <w:pPr>
        <w:rPr>
          <w:lang w:eastAsia="x-none"/>
        </w:rPr>
      </w:pPr>
      <w:hyperlink r:id="rId850" w:history="1">
        <w:r w:rsidR="00AF7253">
          <w:rPr>
            <w:rStyle w:val="Hyperlink"/>
            <w:lang w:eastAsia="x-none"/>
          </w:rPr>
          <w:t>R1-2311042</w:t>
        </w:r>
      </w:hyperlink>
      <w:r w:rsidR="00F74A6F" w:rsidRPr="009537ED">
        <w:rPr>
          <w:lang w:eastAsia="x-none"/>
        </w:rPr>
        <w:tab/>
        <w:t>Discussion on remaining issues of PTRS for 8Tx UL transmission</w:t>
      </w:r>
      <w:r w:rsidR="00F74A6F" w:rsidRPr="009537ED">
        <w:rPr>
          <w:lang w:eastAsia="x-none"/>
        </w:rPr>
        <w:tab/>
        <w:t>Fujitsu</w:t>
      </w:r>
    </w:p>
    <w:p w14:paraId="69B85C6E" w14:textId="0F4AFE8A" w:rsidR="00F74A6F" w:rsidRPr="00F91255" w:rsidRDefault="005A18DC" w:rsidP="00F74A6F">
      <w:pPr>
        <w:rPr>
          <w:lang w:val="fr-FR" w:eastAsia="x-none"/>
        </w:rPr>
      </w:pPr>
      <w:hyperlink r:id="rId851" w:history="1">
        <w:r w:rsidR="00AF7253">
          <w:rPr>
            <w:rStyle w:val="Hyperlink"/>
            <w:lang w:val="fr-FR" w:eastAsia="x-none"/>
          </w:rPr>
          <w:t>R1-2311086</w:t>
        </w:r>
      </w:hyperlink>
      <w:r w:rsidR="00F74A6F" w:rsidRPr="00F91255">
        <w:rPr>
          <w:lang w:val="fr-FR" w:eastAsia="x-none"/>
        </w:rPr>
        <w:tab/>
        <w:t>Maintenance on DMRS enhancements</w:t>
      </w:r>
      <w:r w:rsidR="00F74A6F" w:rsidRPr="00F91255">
        <w:rPr>
          <w:lang w:val="fr-FR" w:eastAsia="x-none"/>
        </w:rPr>
        <w:tab/>
        <w:t>vivo</w:t>
      </w:r>
    </w:p>
    <w:p w14:paraId="60BEE936" w14:textId="1E777B74" w:rsidR="00F74A6F" w:rsidRPr="009537ED" w:rsidRDefault="005A18DC" w:rsidP="00F74A6F">
      <w:pPr>
        <w:rPr>
          <w:lang w:eastAsia="x-none"/>
        </w:rPr>
      </w:pPr>
      <w:hyperlink r:id="rId852" w:history="1">
        <w:r w:rsidR="00AF7253">
          <w:rPr>
            <w:rStyle w:val="Hyperlink"/>
            <w:lang w:eastAsia="x-none"/>
          </w:rPr>
          <w:t>R1-2311158</w:t>
        </w:r>
      </w:hyperlink>
      <w:r w:rsidR="00F74A6F" w:rsidRPr="009537ED">
        <w:rPr>
          <w:lang w:eastAsia="x-none"/>
        </w:rPr>
        <w:tab/>
        <w:t>Remaining issues on increased number of orthogonal DMRS ports</w:t>
      </w:r>
      <w:r w:rsidR="00F74A6F" w:rsidRPr="009537ED">
        <w:rPr>
          <w:lang w:eastAsia="x-none"/>
        </w:rPr>
        <w:tab/>
        <w:t>Spreadtrum Communications</w:t>
      </w:r>
    </w:p>
    <w:p w14:paraId="1705A31F" w14:textId="0531DF62" w:rsidR="00F74A6F" w:rsidRPr="009537ED" w:rsidRDefault="005A18DC" w:rsidP="00F74A6F">
      <w:pPr>
        <w:rPr>
          <w:lang w:eastAsia="x-none"/>
        </w:rPr>
      </w:pPr>
      <w:hyperlink r:id="rId853" w:history="1">
        <w:r w:rsidR="00AF7253">
          <w:rPr>
            <w:rStyle w:val="Hyperlink"/>
            <w:lang w:eastAsia="x-none"/>
          </w:rPr>
          <w:t>R1-2311216</w:t>
        </w:r>
      </w:hyperlink>
      <w:r w:rsidR="00F74A6F" w:rsidRPr="009537ED">
        <w:rPr>
          <w:lang w:eastAsia="x-none"/>
        </w:rPr>
        <w:tab/>
        <w:t>Remaining issues on DMRS enhancement for Rel-18 MIMO</w:t>
      </w:r>
      <w:r w:rsidR="00F74A6F" w:rsidRPr="009537ED">
        <w:rPr>
          <w:lang w:eastAsia="x-none"/>
        </w:rPr>
        <w:tab/>
        <w:t>OPPO</w:t>
      </w:r>
    </w:p>
    <w:p w14:paraId="4E4FA252" w14:textId="1A3F2FA4" w:rsidR="00F74A6F" w:rsidRPr="009537ED" w:rsidRDefault="005A18DC" w:rsidP="00F74A6F">
      <w:pPr>
        <w:rPr>
          <w:lang w:eastAsia="x-none"/>
        </w:rPr>
      </w:pPr>
      <w:hyperlink r:id="rId854" w:history="1">
        <w:r w:rsidR="00AF7253">
          <w:rPr>
            <w:rStyle w:val="Hyperlink"/>
            <w:lang w:eastAsia="x-none"/>
          </w:rPr>
          <w:t>R1-2311317</w:t>
        </w:r>
      </w:hyperlink>
      <w:r w:rsidR="00F74A6F" w:rsidRPr="009537ED">
        <w:rPr>
          <w:lang w:eastAsia="x-none"/>
        </w:rPr>
        <w:tab/>
        <w:t>Remaining issues on Rel-18 DMRS</w:t>
      </w:r>
      <w:r w:rsidR="00F74A6F" w:rsidRPr="009537ED">
        <w:rPr>
          <w:lang w:eastAsia="x-none"/>
        </w:rPr>
        <w:tab/>
        <w:t>CATT</w:t>
      </w:r>
    </w:p>
    <w:p w14:paraId="6012F742" w14:textId="48487B45" w:rsidR="00F74A6F" w:rsidRPr="009537ED" w:rsidRDefault="005A18DC" w:rsidP="00F74A6F">
      <w:pPr>
        <w:rPr>
          <w:lang w:eastAsia="x-none"/>
        </w:rPr>
      </w:pPr>
      <w:hyperlink r:id="rId855" w:history="1">
        <w:r w:rsidR="00AF7253">
          <w:rPr>
            <w:rStyle w:val="Hyperlink"/>
            <w:lang w:eastAsia="x-none"/>
          </w:rPr>
          <w:t>R1-2311364</w:t>
        </w:r>
      </w:hyperlink>
      <w:r w:rsidR="00F74A6F" w:rsidRPr="009537ED">
        <w:rPr>
          <w:lang w:eastAsia="x-none"/>
        </w:rPr>
        <w:tab/>
        <w:t>Maintenance on increased number of orthogonal  DMRS ports</w:t>
      </w:r>
      <w:r w:rsidR="00F74A6F" w:rsidRPr="009537ED">
        <w:rPr>
          <w:lang w:eastAsia="x-none"/>
        </w:rPr>
        <w:tab/>
        <w:t>Lenovo</w:t>
      </w:r>
    </w:p>
    <w:p w14:paraId="52A48627" w14:textId="0EA6D030" w:rsidR="00F74A6F" w:rsidRPr="009537ED" w:rsidRDefault="005A18DC" w:rsidP="00F74A6F">
      <w:pPr>
        <w:rPr>
          <w:lang w:eastAsia="x-none"/>
        </w:rPr>
      </w:pPr>
      <w:hyperlink r:id="rId856" w:history="1">
        <w:r w:rsidR="00AF7253">
          <w:rPr>
            <w:rStyle w:val="Hyperlink"/>
            <w:lang w:eastAsia="x-none"/>
          </w:rPr>
          <w:t>R1-2311477</w:t>
        </w:r>
      </w:hyperlink>
      <w:r w:rsidR="00F74A6F" w:rsidRPr="009537ED">
        <w:rPr>
          <w:lang w:eastAsia="x-none"/>
        </w:rPr>
        <w:tab/>
        <w:t>Remaining issues on increased number of orthogonal DMRS ports</w:t>
      </w:r>
      <w:r w:rsidR="00F74A6F" w:rsidRPr="009537ED">
        <w:rPr>
          <w:lang w:eastAsia="x-none"/>
        </w:rPr>
        <w:tab/>
        <w:t>CMCC</w:t>
      </w:r>
    </w:p>
    <w:p w14:paraId="0CBB6495" w14:textId="0722F30C" w:rsidR="00F74A6F" w:rsidRPr="009537ED" w:rsidRDefault="005A18DC" w:rsidP="00F74A6F">
      <w:pPr>
        <w:rPr>
          <w:lang w:eastAsia="x-none"/>
        </w:rPr>
      </w:pPr>
      <w:hyperlink r:id="rId857" w:history="1">
        <w:r w:rsidR="00AF7253">
          <w:rPr>
            <w:rStyle w:val="Hyperlink"/>
            <w:lang w:eastAsia="x-none"/>
          </w:rPr>
          <w:t>R1-2311568</w:t>
        </w:r>
      </w:hyperlink>
      <w:r w:rsidR="00F74A6F" w:rsidRPr="009537ED">
        <w:rPr>
          <w:lang w:eastAsia="x-none"/>
        </w:rPr>
        <w:tab/>
        <w:t>On DMRS Enhancement</w:t>
      </w:r>
      <w:r w:rsidR="00F74A6F" w:rsidRPr="009537ED">
        <w:rPr>
          <w:lang w:eastAsia="x-none"/>
        </w:rPr>
        <w:tab/>
        <w:t>Google</w:t>
      </w:r>
    </w:p>
    <w:p w14:paraId="0C0E5683" w14:textId="21D5F398" w:rsidR="00F74A6F" w:rsidRPr="009537ED" w:rsidRDefault="005A18DC" w:rsidP="00F74A6F">
      <w:pPr>
        <w:rPr>
          <w:lang w:eastAsia="x-none"/>
        </w:rPr>
      </w:pPr>
      <w:hyperlink r:id="rId858" w:history="1">
        <w:r w:rsidR="00AF7253">
          <w:rPr>
            <w:rStyle w:val="Hyperlink"/>
            <w:lang w:eastAsia="x-none"/>
          </w:rPr>
          <w:t>R1-2311615</w:t>
        </w:r>
      </w:hyperlink>
      <w:r w:rsidR="00F74A6F" w:rsidRPr="009537ED">
        <w:rPr>
          <w:lang w:eastAsia="x-none"/>
        </w:rPr>
        <w:tab/>
        <w:t>Remaining issues on DMRS enhancements</w:t>
      </w:r>
      <w:r w:rsidR="00F74A6F" w:rsidRPr="009537ED">
        <w:rPr>
          <w:lang w:eastAsia="x-none"/>
        </w:rPr>
        <w:tab/>
        <w:t>NTT DOCOMO, INC.</w:t>
      </w:r>
    </w:p>
    <w:p w14:paraId="1D19A3C7" w14:textId="28FA8301" w:rsidR="00F74A6F" w:rsidRPr="009537ED" w:rsidRDefault="005A18DC" w:rsidP="00F74A6F">
      <w:pPr>
        <w:rPr>
          <w:lang w:eastAsia="x-none"/>
        </w:rPr>
      </w:pPr>
      <w:hyperlink r:id="rId859" w:history="1">
        <w:r w:rsidR="00AF7253">
          <w:rPr>
            <w:rStyle w:val="Hyperlink"/>
            <w:lang w:eastAsia="x-none"/>
          </w:rPr>
          <w:t>R1-2311676</w:t>
        </w:r>
      </w:hyperlink>
      <w:r w:rsidR="00F74A6F" w:rsidRPr="009537ED">
        <w:rPr>
          <w:lang w:eastAsia="x-none"/>
        </w:rPr>
        <w:tab/>
        <w:t>Views on remaining issues for DMRS enhancement</w:t>
      </w:r>
      <w:r w:rsidR="00F74A6F" w:rsidRPr="009537ED">
        <w:rPr>
          <w:lang w:eastAsia="x-none"/>
        </w:rPr>
        <w:tab/>
        <w:t>Apple</w:t>
      </w:r>
    </w:p>
    <w:p w14:paraId="7BACC801" w14:textId="0EF23724" w:rsidR="00F74A6F" w:rsidRPr="009537ED" w:rsidRDefault="005A18DC" w:rsidP="00F74A6F">
      <w:pPr>
        <w:rPr>
          <w:lang w:eastAsia="x-none"/>
        </w:rPr>
      </w:pPr>
      <w:hyperlink r:id="rId860" w:history="1">
        <w:r w:rsidR="00AF7253">
          <w:rPr>
            <w:rStyle w:val="Hyperlink"/>
            <w:lang w:eastAsia="x-none"/>
          </w:rPr>
          <w:t>R1-2311720</w:t>
        </w:r>
      </w:hyperlink>
      <w:r w:rsidR="00F74A6F" w:rsidRPr="009537ED">
        <w:rPr>
          <w:lang w:eastAsia="x-none"/>
        </w:rPr>
        <w:tab/>
        <w:t>Maintenance on increased number of orthogonal DMRS ports</w:t>
      </w:r>
      <w:r w:rsidR="00F74A6F" w:rsidRPr="009537ED">
        <w:rPr>
          <w:lang w:eastAsia="x-none"/>
        </w:rPr>
        <w:tab/>
        <w:t>Sharp</w:t>
      </w:r>
    </w:p>
    <w:p w14:paraId="2E81CFD7" w14:textId="125B03F7" w:rsidR="00F74A6F" w:rsidRPr="009537ED" w:rsidRDefault="005A18DC" w:rsidP="00F74A6F">
      <w:pPr>
        <w:rPr>
          <w:lang w:eastAsia="x-none"/>
        </w:rPr>
      </w:pPr>
      <w:hyperlink r:id="rId861" w:history="1">
        <w:r w:rsidR="00AF7253">
          <w:rPr>
            <w:rStyle w:val="Hyperlink"/>
            <w:lang w:eastAsia="x-none"/>
          </w:rPr>
          <w:t>R1-2311742</w:t>
        </w:r>
      </w:hyperlink>
      <w:r w:rsidR="00F74A6F" w:rsidRPr="009537ED">
        <w:rPr>
          <w:lang w:eastAsia="x-none"/>
        </w:rPr>
        <w:tab/>
        <w:t>Maintenance of Rel-18 UL and DL DMRS Enhancements</w:t>
      </w:r>
      <w:r w:rsidR="00F74A6F" w:rsidRPr="009537ED">
        <w:rPr>
          <w:lang w:eastAsia="x-none"/>
        </w:rPr>
        <w:tab/>
        <w:t>Nokia, Nokia Shanghai Bell</w:t>
      </w:r>
    </w:p>
    <w:p w14:paraId="450F4026" w14:textId="47B283B4" w:rsidR="00F74A6F" w:rsidRPr="009537ED" w:rsidRDefault="005A18DC" w:rsidP="00F74A6F">
      <w:pPr>
        <w:rPr>
          <w:lang w:eastAsia="x-none"/>
        </w:rPr>
      </w:pPr>
      <w:hyperlink r:id="rId862" w:history="1">
        <w:r w:rsidR="00AF7253">
          <w:rPr>
            <w:rStyle w:val="Hyperlink"/>
            <w:lang w:eastAsia="x-none"/>
          </w:rPr>
          <w:t>R1-2311833</w:t>
        </w:r>
      </w:hyperlink>
      <w:r w:rsidR="00F74A6F" w:rsidRPr="009537ED">
        <w:rPr>
          <w:lang w:eastAsia="x-none"/>
        </w:rPr>
        <w:tab/>
        <w:t>Remaining details on DMRS enhancements</w:t>
      </w:r>
      <w:r w:rsidR="00F74A6F" w:rsidRPr="009537ED">
        <w:rPr>
          <w:lang w:eastAsia="x-none"/>
        </w:rPr>
        <w:tab/>
        <w:t>Samsung</w:t>
      </w:r>
    </w:p>
    <w:p w14:paraId="751CD1DC" w14:textId="23D8D660" w:rsidR="00F74A6F" w:rsidRPr="009537ED" w:rsidRDefault="005A18DC" w:rsidP="00F74A6F">
      <w:pPr>
        <w:rPr>
          <w:lang w:eastAsia="x-none"/>
        </w:rPr>
      </w:pPr>
      <w:hyperlink r:id="rId863" w:history="1">
        <w:r w:rsidR="00AF7253">
          <w:rPr>
            <w:rStyle w:val="Hyperlink"/>
            <w:lang w:eastAsia="x-none"/>
          </w:rPr>
          <w:t>R1-2311928</w:t>
        </w:r>
      </w:hyperlink>
      <w:r w:rsidR="00F74A6F" w:rsidRPr="009537ED">
        <w:rPr>
          <w:lang w:eastAsia="x-none"/>
        </w:rPr>
        <w:tab/>
        <w:t>Remaining issues on increased number of orthogonal DMRS ports</w:t>
      </w:r>
      <w:r w:rsidR="00F74A6F" w:rsidRPr="009537ED">
        <w:rPr>
          <w:lang w:eastAsia="x-none"/>
        </w:rPr>
        <w:tab/>
        <w:t>Ruijie Network Co. Ltd</w:t>
      </w:r>
    </w:p>
    <w:p w14:paraId="6DABDFE0" w14:textId="70303B7A" w:rsidR="00F74A6F" w:rsidRDefault="005A18DC" w:rsidP="00F74A6F">
      <w:pPr>
        <w:rPr>
          <w:lang w:eastAsia="x-none"/>
        </w:rPr>
      </w:pPr>
      <w:hyperlink r:id="rId864" w:history="1">
        <w:r w:rsidR="00AF7253">
          <w:rPr>
            <w:rStyle w:val="Hyperlink"/>
            <w:lang w:eastAsia="x-none"/>
          </w:rPr>
          <w:t>R1-2312028</w:t>
        </w:r>
      </w:hyperlink>
      <w:r w:rsidR="00F74A6F" w:rsidRPr="009537ED">
        <w:rPr>
          <w:lang w:eastAsia="x-none"/>
        </w:rPr>
        <w:tab/>
        <w:t>Design for increased number of orthogonal DMRS ports</w:t>
      </w:r>
      <w:r w:rsidR="00F74A6F" w:rsidRPr="009537ED">
        <w:rPr>
          <w:lang w:eastAsia="x-none"/>
        </w:rPr>
        <w:tab/>
        <w:t>Qualcomm Incorporated</w:t>
      </w:r>
    </w:p>
    <w:p w14:paraId="6FBF2267" w14:textId="77777777" w:rsidR="009537ED" w:rsidRDefault="009537ED" w:rsidP="00F74A6F">
      <w:pPr>
        <w:rPr>
          <w:lang w:eastAsia="x-none"/>
        </w:rPr>
      </w:pPr>
    </w:p>
    <w:p w14:paraId="21C81ADA" w14:textId="428DD7A9" w:rsidR="009537ED" w:rsidRPr="009537ED" w:rsidRDefault="005A18DC" w:rsidP="009537ED">
      <w:pPr>
        <w:rPr>
          <w:b/>
          <w:bCs/>
          <w:lang w:eastAsia="x-none"/>
        </w:rPr>
      </w:pPr>
      <w:hyperlink r:id="rId865" w:history="1">
        <w:r w:rsidR="00AF7253">
          <w:rPr>
            <w:rStyle w:val="Hyperlink"/>
            <w:b/>
            <w:bCs/>
            <w:lang w:eastAsia="x-none"/>
          </w:rPr>
          <w:t>R1-2312266</w:t>
        </w:r>
      </w:hyperlink>
      <w:r w:rsidR="009537ED" w:rsidRPr="009537ED">
        <w:rPr>
          <w:b/>
          <w:bCs/>
          <w:lang w:eastAsia="x-none"/>
        </w:rPr>
        <w:tab/>
        <w:t>FL summary#1 on DMRS</w:t>
      </w:r>
      <w:r w:rsidR="009537ED" w:rsidRPr="009537ED">
        <w:rPr>
          <w:b/>
          <w:bCs/>
          <w:lang w:eastAsia="x-none"/>
        </w:rPr>
        <w:tab/>
        <w:t>Moderator (NTT DOCOMO)</w:t>
      </w:r>
    </w:p>
    <w:p w14:paraId="39E94DB2" w14:textId="77777777" w:rsidR="009537ED" w:rsidRDefault="009537ED" w:rsidP="009537ED">
      <w:pPr>
        <w:rPr>
          <w:lang w:eastAsia="x-none"/>
        </w:rPr>
      </w:pPr>
      <w:r>
        <w:rPr>
          <w:lang w:eastAsia="x-none"/>
        </w:rPr>
        <w:t>From Monday session</w:t>
      </w:r>
    </w:p>
    <w:p w14:paraId="118865E2" w14:textId="504CE4E8" w:rsidR="009537ED" w:rsidRPr="009537ED" w:rsidRDefault="009537ED" w:rsidP="009537ED">
      <w:pPr>
        <w:rPr>
          <w:rFonts w:ascii="Times New Roman" w:hAnsi="Times New Roman"/>
          <w:szCs w:val="20"/>
          <w:highlight w:val="green"/>
          <w:lang w:eastAsia="zh-CN"/>
        </w:rPr>
      </w:pPr>
      <w:r>
        <w:rPr>
          <w:rFonts w:ascii="Times New Roman" w:hAnsi="Times New Roman"/>
          <w:szCs w:val="20"/>
          <w:highlight w:val="green"/>
          <w:lang w:eastAsia="zh-CN"/>
        </w:rPr>
        <w:t>Agreement</w:t>
      </w:r>
    </w:p>
    <w:p w14:paraId="378C4A4F" w14:textId="77777777" w:rsidR="009537ED" w:rsidRPr="009537ED" w:rsidRDefault="009537ED" w:rsidP="009537ED">
      <w:pPr>
        <w:rPr>
          <w:rFonts w:eastAsia="Malgun Gothic"/>
          <w:lang w:eastAsia="ja-JP"/>
        </w:rPr>
      </w:pPr>
      <w:r w:rsidRPr="009537ED">
        <w:rPr>
          <w:lang w:eastAsia="zh-CN"/>
        </w:rPr>
        <w:t>Adopt the following TP for TS 38.214 v18.0.0.</w:t>
      </w:r>
    </w:p>
    <w:p w14:paraId="1C0B7C49" w14:textId="69608540" w:rsidR="009537ED" w:rsidRPr="009537ED" w:rsidRDefault="009537ED" w:rsidP="00A76E0D">
      <w:pPr>
        <w:pStyle w:val="ListParagraph"/>
        <w:numPr>
          <w:ilvl w:val="0"/>
          <w:numId w:val="103"/>
        </w:numPr>
        <w:rPr>
          <w:rFonts w:eastAsia="Malgun Gothic"/>
        </w:rPr>
      </w:pPr>
      <w:r w:rsidRPr="009537ED">
        <w:rPr>
          <w:rFonts w:eastAsia="Malgun Gothic"/>
        </w:rPr>
        <w:t xml:space="preserve">Reason for change: Agreed TP (FL Proposal 2.2B in </w:t>
      </w:r>
      <w:hyperlink r:id="rId866" w:history="1">
        <w:r w:rsidR="00AF7253">
          <w:rPr>
            <w:rStyle w:val="Hyperlink"/>
            <w:rFonts w:eastAsia="Malgun Gothic"/>
          </w:rPr>
          <w:t>R1-2310278</w:t>
        </w:r>
      </w:hyperlink>
      <w:r w:rsidRPr="009537ED">
        <w:rPr>
          <w:rFonts w:eastAsia="Malgun Gothic"/>
        </w:rPr>
        <w:t>) is captured with [] in TS38.214.</w:t>
      </w:r>
    </w:p>
    <w:p w14:paraId="7FABD036" w14:textId="1AB084F2" w:rsidR="009537ED" w:rsidRPr="009537ED" w:rsidRDefault="009537ED" w:rsidP="00A76E0D">
      <w:pPr>
        <w:pStyle w:val="ListParagraph"/>
        <w:numPr>
          <w:ilvl w:val="0"/>
          <w:numId w:val="103"/>
        </w:numPr>
        <w:rPr>
          <w:rFonts w:eastAsia="Malgun Gothic"/>
        </w:rPr>
      </w:pPr>
      <w:r w:rsidRPr="009537ED">
        <w:rPr>
          <w:rFonts w:eastAsia="Malgun Gothic"/>
        </w:rPr>
        <w:t xml:space="preserve">Summary of change: Capture the agreed TP of FL Proposal 2.2B in </w:t>
      </w:r>
      <w:hyperlink r:id="rId867" w:history="1">
        <w:r w:rsidR="00AF7253">
          <w:rPr>
            <w:rStyle w:val="Hyperlink"/>
            <w:rFonts w:eastAsia="Malgun Gothic"/>
          </w:rPr>
          <w:t>R1-2310278</w:t>
        </w:r>
      </w:hyperlink>
      <w:r w:rsidRPr="009537ED">
        <w:rPr>
          <w:rFonts w:eastAsia="Malgun Gothic"/>
        </w:rPr>
        <w:t>.</w:t>
      </w:r>
    </w:p>
    <w:p w14:paraId="7D5FA3B2" w14:textId="77777777" w:rsidR="009537ED" w:rsidRPr="009537ED" w:rsidRDefault="009537ED" w:rsidP="00A76E0D">
      <w:pPr>
        <w:pStyle w:val="ListParagraph"/>
        <w:numPr>
          <w:ilvl w:val="0"/>
          <w:numId w:val="103"/>
        </w:numPr>
        <w:rPr>
          <w:rFonts w:eastAsia="Malgun Gothic"/>
        </w:rPr>
      </w:pPr>
      <w:r w:rsidRPr="009537ED">
        <w:rPr>
          <w:rFonts w:eastAsia="Malgun Gothic"/>
        </w:rPr>
        <w:t xml:space="preserve">Consequence if not approved: </w:t>
      </w:r>
      <w:r w:rsidRPr="009537ED">
        <w:t>The spec does not capture the agreement.</w:t>
      </w:r>
    </w:p>
    <w:tbl>
      <w:tblPr>
        <w:tblW w:w="5000" w:type="pct"/>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0683"/>
      </w:tblGrid>
      <w:tr w:rsidR="009537ED" w:rsidRPr="009537ED" w14:paraId="06387AD9" w14:textId="77777777" w:rsidTr="009537ED">
        <w:tc>
          <w:tcPr>
            <w:tcW w:w="5000" w:type="pct"/>
            <w:shd w:val="clear" w:color="auto" w:fill="auto"/>
          </w:tcPr>
          <w:p w14:paraId="5917DC13" w14:textId="77777777" w:rsidR="009537ED" w:rsidRPr="009537ED" w:rsidRDefault="009537ED" w:rsidP="009537ED">
            <w:pPr>
              <w:rPr>
                <w:rFonts w:ascii="Arial" w:hAnsi="Arial" w:cs="Arial"/>
                <w:b/>
                <w:bCs/>
                <w:color w:val="000000"/>
                <w:sz w:val="16"/>
                <w:szCs w:val="16"/>
              </w:rPr>
            </w:pPr>
            <w:r w:rsidRPr="009537ED">
              <w:rPr>
                <w:rFonts w:ascii="Arial" w:hAnsi="Arial" w:cs="Arial"/>
                <w:b/>
                <w:bCs/>
                <w:color w:val="000000"/>
                <w:sz w:val="16"/>
                <w:szCs w:val="16"/>
              </w:rPr>
              <w:t>5.1.6.2</w:t>
            </w:r>
            <w:r w:rsidRPr="009537ED">
              <w:rPr>
                <w:rFonts w:ascii="Arial" w:hAnsi="Arial" w:cs="Arial"/>
                <w:b/>
                <w:bCs/>
                <w:color w:val="000000"/>
                <w:sz w:val="16"/>
                <w:szCs w:val="16"/>
              </w:rPr>
              <w:tab/>
              <w:t>DM-RS reception procedure</w:t>
            </w:r>
          </w:p>
          <w:p w14:paraId="03629AD9" w14:textId="77777777" w:rsidR="009537ED" w:rsidRPr="009537ED" w:rsidRDefault="009537ED" w:rsidP="009537ED">
            <w:pPr>
              <w:jc w:val="center"/>
              <w:rPr>
                <w:rFonts w:ascii="Arial" w:hAnsi="Arial" w:cs="Arial"/>
                <w:color w:val="FF0000"/>
                <w:sz w:val="16"/>
                <w:szCs w:val="16"/>
                <w:lang w:eastAsia="zh-CN"/>
              </w:rPr>
            </w:pPr>
            <w:r w:rsidRPr="009537ED">
              <w:rPr>
                <w:rFonts w:ascii="Arial" w:hAnsi="Arial" w:cs="Arial"/>
                <w:color w:val="FF0000"/>
                <w:sz w:val="16"/>
                <w:szCs w:val="16"/>
                <w:lang w:eastAsia="zh-CN"/>
              </w:rPr>
              <w:t xml:space="preserve">&lt; </w:t>
            </w:r>
            <w:r w:rsidRPr="009537ED">
              <w:rPr>
                <w:rFonts w:ascii="Arial" w:hAnsi="Arial" w:cs="Arial"/>
                <w:color w:val="FF0000"/>
                <w:sz w:val="16"/>
                <w:szCs w:val="16"/>
              </w:rPr>
              <w:t>Unchanged parts are omitted</w:t>
            </w:r>
            <w:r w:rsidRPr="009537ED">
              <w:rPr>
                <w:rFonts w:ascii="Arial" w:hAnsi="Arial" w:cs="Arial"/>
                <w:color w:val="FF0000"/>
                <w:sz w:val="16"/>
                <w:szCs w:val="16"/>
                <w:lang w:eastAsia="zh-CN"/>
              </w:rPr>
              <w:t xml:space="preserve"> &gt;</w:t>
            </w:r>
          </w:p>
          <w:p w14:paraId="78DB376B" w14:textId="77777777" w:rsidR="009537ED" w:rsidRPr="009537ED" w:rsidRDefault="009537ED" w:rsidP="009537ED">
            <w:pPr>
              <w:rPr>
                <w:rFonts w:ascii="Arial" w:hAnsi="Arial" w:cs="Arial"/>
                <w:iCs/>
                <w:color w:val="000000"/>
                <w:sz w:val="16"/>
                <w:szCs w:val="16"/>
                <w:lang w:eastAsia="ko-KR"/>
              </w:rPr>
            </w:pPr>
            <w:r w:rsidRPr="009537ED">
              <w:rPr>
                <w:rFonts w:ascii="Arial" w:hAnsi="Arial" w:cs="Arial"/>
                <w:iCs/>
                <w:strike/>
                <w:color w:val="FF0000"/>
                <w:sz w:val="16"/>
                <w:szCs w:val="16"/>
                <w:lang w:eastAsia="en-GB"/>
              </w:rPr>
              <w:t>[</w:t>
            </w:r>
            <w:r w:rsidRPr="009537ED">
              <w:rPr>
                <w:rFonts w:ascii="Arial" w:hAnsi="Arial" w:cs="Arial"/>
                <w:iCs/>
                <w:sz w:val="16"/>
                <w:szCs w:val="16"/>
                <w:lang w:val="en-US" w:eastAsia="en-GB"/>
              </w:rPr>
              <w:t>When the UE is configured with the higher</w:t>
            </w:r>
            <w:r w:rsidRPr="009537ED">
              <w:rPr>
                <w:rFonts w:ascii="Arial" w:hAnsi="Arial" w:cs="Arial"/>
                <w:iCs/>
                <w:sz w:val="16"/>
                <w:szCs w:val="16"/>
                <w:lang w:eastAsia="en-GB"/>
              </w:rPr>
              <w:t xml:space="preserve"> </w:t>
            </w:r>
            <w:r w:rsidRPr="009537ED">
              <w:rPr>
                <w:rFonts w:ascii="Arial" w:hAnsi="Arial" w:cs="Arial"/>
                <w:iCs/>
                <w:sz w:val="16"/>
                <w:szCs w:val="16"/>
                <w:lang w:val="en-US" w:eastAsia="en-GB"/>
              </w:rPr>
              <w:t xml:space="preserve">layer parameter </w:t>
            </w:r>
            <w:r w:rsidRPr="009537ED">
              <w:rPr>
                <w:rFonts w:ascii="Arial" w:hAnsi="Arial" w:cs="Arial"/>
                <w:i/>
                <w:sz w:val="16"/>
                <w:szCs w:val="16"/>
                <w:lang w:eastAsia="ko-KR"/>
              </w:rPr>
              <w:t>enhanced-dmrs-Type_r18</w:t>
            </w:r>
            <w:r w:rsidRPr="009537ED">
              <w:rPr>
                <w:rFonts w:ascii="Arial" w:hAnsi="Arial" w:cs="Arial"/>
                <w:sz w:val="16"/>
                <w:szCs w:val="16"/>
                <w:lang w:eastAsia="ko-KR"/>
              </w:rPr>
              <w:t xml:space="preserve"> and indicated with at least one DM-RS ports 1008-1015 for enhanced Type 1 DM-RS or DM-RS ports 1012-1023 for enhanced Type 2 DM-RS</w:t>
            </w:r>
            <w:r w:rsidRPr="009537ED">
              <w:rPr>
                <w:rFonts w:ascii="Arial" w:hAnsi="Arial" w:cs="Arial"/>
                <w:iCs/>
                <w:sz w:val="16"/>
                <w:szCs w:val="16"/>
                <w:lang w:val="en-US" w:eastAsia="en-GB"/>
              </w:rPr>
              <w:t>, the UE does not expect that any co-scheduled UE(s) in the same CDM group is not configured with the higher</w:t>
            </w:r>
            <w:r w:rsidRPr="009537ED">
              <w:rPr>
                <w:rFonts w:ascii="Arial" w:hAnsi="Arial" w:cs="Arial"/>
                <w:iCs/>
                <w:sz w:val="16"/>
                <w:szCs w:val="16"/>
                <w:lang w:eastAsia="en-GB"/>
              </w:rPr>
              <w:t xml:space="preserve"> </w:t>
            </w:r>
            <w:r w:rsidRPr="009537ED">
              <w:rPr>
                <w:rFonts w:ascii="Arial" w:hAnsi="Arial" w:cs="Arial"/>
                <w:iCs/>
                <w:sz w:val="16"/>
                <w:szCs w:val="16"/>
                <w:lang w:val="en-US" w:eastAsia="en-GB"/>
              </w:rPr>
              <w:t xml:space="preserve">layer- parameter </w:t>
            </w:r>
            <w:r w:rsidRPr="009537ED">
              <w:rPr>
                <w:rFonts w:ascii="Arial" w:hAnsi="Arial" w:cs="Arial"/>
                <w:i/>
                <w:sz w:val="16"/>
                <w:szCs w:val="16"/>
                <w:lang w:eastAsia="ko-KR"/>
              </w:rPr>
              <w:t>enhanced-dmrs-Type_r18</w:t>
            </w:r>
            <w:r w:rsidRPr="009537ED">
              <w:rPr>
                <w:rFonts w:ascii="Arial" w:hAnsi="Arial" w:cs="Arial"/>
                <w:iCs/>
                <w:sz w:val="16"/>
                <w:szCs w:val="16"/>
                <w:lang w:eastAsia="ko-KR"/>
              </w:rPr>
              <w:t>.</w:t>
            </w:r>
            <w:r w:rsidRPr="009537ED">
              <w:rPr>
                <w:rFonts w:ascii="Arial" w:hAnsi="Arial" w:cs="Arial"/>
                <w:sz w:val="16"/>
                <w:szCs w:val="16"/>
                <w:lang w:eastAsia="ko-KR"/>
              </w:rPr>
              <w:t xml:space="preserve"> </w:t>
            </w:r>
            <w:r w:rsidRPr="009537ED">
              <w:rPr>
                <w:rFonts w:ascii="Arial" w:hAnsi="Arial" w:cs="Arial"/>
                <w:iCs/>
                <w:sz w:val="16"/>
                <w:szCs w:val="16"/>
                <w:lang w:eastAsia="en-GB"/>
              </w:rPr>
              <w:t xml:space="preserve">When the UE is not configured with the higher layer parameter </w:t>
            </w:r>
            <w:r w:rsidRPr="009537ED">
              <w:rPr>
                <w:rFonts w:ascii="Arial" w:hAnsi="Arial" w:cs="Arial"/>
                <w:i/>
                <w:sz w:val="16"/>
                <w:szCs w:val="16"/>
                <w:lang w:eastAsia="ko-KR"/>
              </w:rPr>
              <w:t>enhanced-dmrs-Type_18</w:t>
            </w:r>
            <w:r w:rsidRPr="009537ED">
              <w:rPr>
                <w:rFonts w:ascii="Arial" w:hAnsi="Arial" w:cs="Arial"/>
                <w:iCs/>
                <w:sz w:val="16"/>
                <w:szCs w:val="16"/>
                <w:lang w:eastAsia="en-GB"/>
              </w:rPr>
              <w:t xml:space="preserve">, the UE does not expect that any co-scheduled UE(s) in the same CDM group(s) is configured with the higher layer parameter </w:t>
            </w:r>
            <w:r w:rsidRPr="009537ED">
              <w:rPr>
                <w:rFonts w:ascii="Arial" w:hAnsi="Arial" w:cs="Arial"/>
                <w:i/>
                <w:sz w:val="16"/>
                <w:szCs w:val="16"/>
                <w:lang w:eastAsia="ko-KR"/>
              </w:rPr>
              <w:t>enhanced-dmrs-Type_r18</w:t>
            </w:r>
            <w:r w:rsidRPr="009537ED">
              <w:rPr>
                <w:rFonts w:ascii="Arial" w:hAnsi="Arial" w:cs="Arial"/>
                <w:iCs/>
                <w:sz w:val="16"/>
                <w:szCs w:val="16"/>
                <w:lang w:eastAsia="ko-KR"/>
              </w:rPr>
              <w:t xml:space="preserve"> </w:t>
            </w:r>
            <w:r w:rsidRPr="009537ED">
              <w:rPr>
                <w:rFonts w:ascii="Arial" w:hAnsi="Arial" w:cs="Arial"/>
                <w:iCs/>
                <w:color w:val="000000"/>
                <w:sz w:val="16"/>
                <w:szCs w:val="16"/>
                <w:lang w:eastAsia="ko-KR"/>
              </w:rPr>
              <w:t xml:space="preserve">and indicated with at least one of DMRS ports 1008-1015 for enhanced Type 1 DMRS or DMRS ports 1012-1023 for enhanced </w:t>
            </w:r>
            <w:r w:rsidRPr="009537ED">
              <w:rPr>
                <w:rFonts w:ascii="Arial" w:hAnsi="Arial" w:cs="Arial"/>
                <w:iCs/>
                <w:color w:val="000000"/>
                <w:sz w:val="16"/>
                <w:szCs w:val="16"/>
                <w:lang w:eastAsia="zh-CN"/>
              </w:rPr>
              <w:t>T</w:t>
            </w:r>
            <w:r w:rsidRPr="009537ED">
              <w:rPr>
                <w:rFonts w:ascii="Arial" w:hAnsi="Arial" w:cs="Arial"/>
                <w:iCs/>
                <w:color w:val="000000"/>
                <w:sz w:val="16"/>
                <w:szCs w:val="16"/>
                <w:lang w:eastAsia="ko-KR"/>
              </w:rPr>
              <w:t>ype 2 DMRS.</w:t>
            </w:r>
            <w:r w:rsidRPr="009537ED">
              <w:rPr>
                <w:rFonts w:ascii="Arial" w:hAnsi="Arial" w:cs="Arial"/>
                <w:iCs/>
                <w:strike/>
                <w:color w:val="FF0000"/>
                <w:sz w:val="16"/>
                <w:szCs w:val="16"/>
                <w:lang w:eastAsia="ko-KR"/>
              </w:rPr>
              <w:t>]</w:t>
            </w:r>
          </w:p>
          <w:p w14:paraId="0CE9F3BE" w14:textId="77777777" w:rsidR="009537ED" w:rsidRPr="009537ED" w:rsidRDefault="009537ED" w:rsidP="009537ED">
            <w:pPr>
              <w:jc w:val="center"/>
              <w:rPr>
                <w:rFonts w:ascii="Arial" w:eastAsia="MS Mincho" w:hAnsi="Arial" w:cs="Arial"/>
                <w:i/>
                <w:iCs/>
                <w:color w:val="000000"/>
                <w:sz w:val="16"/>
                <w:szCs w:val="16"/>
              </w:rPr>
            </w:pPr>
            <w:r w:rsidRPr="009537ED">
              <w:rPr>
                <w:rFonts w:ascii="Arial" w:hAnsi="Arial" w:cs="Arial"/>
                <w:color w:val="FF0000"/>
                <w:sz w:val="16"/>
                <w:szCs w:val="16"/>
                <w:lang w:eastAsia="zh-CN"/>
              </w:rPr>
              <w:t xml:space="preserve">&lt; </w:t>
            </w:r>
            <w:r w:rsidRPr="009537ED">
              <w:rPr>
                <w:rFonts w:ascii="Arial" w:hAnsi="Arial" w:cs="Arial"/>
                <w:color w:val="FF0000"/>
                <w:sz w:val="16"/>
                <w:szCs w:val="16"/>
              </w:rPr>
              <w:t>Unchanged parts are omitted</w:t>
            </w:r>
            <w:r w:rsidRPr="009537ED">
              <w:rPr>
                <w:rFonts w:ascii="Arial" w:hAnsi="Arial" w:cs="Arial"/>
                <w:color w:val="FF0000"/>
                <w:sz w:val="16"/>
                <w:szCs w:val="16"/>
                <w:lang w:eastAsia="zh-CN"/>
              </w:rPr>
              <w:t xml:space="preserve"> &gt;</w:t>
            </w:r>
          </w:p>
        </w:tc>
      </w:tr>
    </w:tbl>
    <w:p w14:paraId="053A30FA" w14:textId="77777777" w:rsidR="009537ED" w:rsidRPr="009537ED" w:rsidRDefault="009537ED" w:rsidP="009537ED">
      <w:pPr>
        <w:rPr>
          <w:rFonts w:ascii="Times New Roman" w:hAnsi="Times New Roman"/>
          <w:szCs w:val="20"/>
          <w:lang w:eastAsia="x-none"/>
        </w:rPr>
      </w:pPr>
    </w:p>
    <w:p w14:paraId="546BB17B" w14:textId="77777777" w:rsidR="009537ED" w:rsidRPr="009537ED" w:rsidRDefault="009537ED" w:rsidP="009537ED">
      <w:pPr>
        <w:rPr>
          <w:rFonts w:ascii="Times New Roman" w:hAnsi="Times New Roman"/>
          <w:szCs w:val="20"/>
          <w:highlight w:val="green"/>
          <w:lang w:eastAsia="zh-CN"/>
        </w:rPr>
      </w:pPr>
      <w:r>
        <w:rPr>
          <w:rFonts w:ascii="Times New Roman" w:hAnsi="Times New Roman"/>
          <w:szCs w:val="20"/>
          <w:highlight w:val="green"/>
          <w:lang w:eastAsia="zh-CN"/>
        </w:rPr>
        <w:t>Agreement</w:t>
      </w:r>
    </w:p>
    <w:p w14:paraId="4C967F56" w14:textId="77777777" w:rsidR="009537ED" w:rsidRPr="009537ED" w:rsidRDefault="009537ED" w:rsidP="009537ED">
      <w:pPr>
        <w:rPr>
          <w:rFonts w:eastAsia="Malgun Gothic"/>
          <w:lang w:eastAsia="ja-JP"/>
        </w:rPr>
      </w:pPr>
      <w:r w:rsidRPr="009537ED">
        <w:rPr>
          <w:lang w:eastAsia="zh-CN"/>
        </w:rPr>
        <w:t>Adopt the following TP for TS 38.214 v18.0.0.</w:t>
      </w:r>
    </w:p>
    <w:p w14:paraId="449FDEE2" w14:textId="77777777" w:rsidR="009537ED" w:rsidRPr="009537ED" w:rsidRDefault="009537ED" w:rsidP="00A76E0D">
      <w:pPr>
        <w:pStyle w:val="ListParagraph"/>
        <w:numPr>
          <w:ilvl w:val="0"/>
          <w:numId w:val="104"/>
        </w:numPr>
        <w:spacing w:after="0"/>
        <w:ind w:left="714" w:hanging="357"/>
        <w:rPr>
          <w:rFonts w:eastAsia="Malgun Gothic"/>
        </w:rPr>
      </w:pPr>
      <w:r w:rsidRPr="009537ED">
        <w:rPr>
          <w:rFonts w:eastAsia="Malgun Gothic"/>
        </w:rPr>
        <w:t xml:space="preserve">Reason for change: </w:t>
      </w:r>
      <w:r w:rsidRPr="009537ED">
        <w:t>In RAN1 #114bis, it was agreed that introduce a UE feature group to indicate whether/how to support Rel-18 DMRS and PDSCH processing capability 2 simultaneously. And, in this feature group, the UE can additionally report relaxation on processing delay for PDSCH processing capability 2. When UE report the relaxation on processing delay, it should be used for calculating PDSCH processing delay.</w:t>
      </w:r>
    </w:p>
    <w:p w14:paraId="4436595F" w14:textId="77777777" w:rsidR="009537ED" w:rsidRPr="009537ED" w:rsidRDefault="009537ED" w:rsidP="00A76E0D">
      <w:pPr>
        <w:pStyle w:val="ListParagraph"/>
        <w:numPr>
          <w:ilvl w:val="0"/>
          <w:numId w:val="104"/>
        </w:numPr>
        <w:spacing w:after="0"/>
        <w:ind w:left="714" w:hanging="357"/>
        <w:rPr>
          <w:rFonts w:eastAsia="Malgun Gothic"/>
        </w:rPr>
      </w:pPr>
      <w:r w:rsidRPr="009537ED">
        <w:rPr>
          <w:rFonts w:eastAsia="Malgun Gothic"/>
        </w:rPr>
        <w:t xml:space="preserve">Summary of change: </w:t>
      </w:r>
      <w:r w:rsidRPr="009537ED">
        <w:t xml:space="preserve">New processing delay parameter </w:t>
      </w:r>
      <w:r w:rsidRPr="009537ED">
        <w:rPr>
          <w:i/>
          <w:iCs/>
        </w:rPr>
        <w:t>d</w:t>
      </w:r>
      <w:r w:rsidRPr="009537ED">
        <w:rPr>
          <w:i/>
          <w:iCs/>
          <w:vertAlign w:val="subscript"/>
        </w:rPr>
        <w:t>3</w:t>
      </w:r>
      <w:r w:rsidRPr="009537ED">
        <w:t xml:space="preserve"> added into the equation of processing delay calculation, and description added.</w:t>
      </w:r>
    </w:p>
    <w:p w14:paraId="740F601C" w14:textId="77777777" w:rsidR="009537ED" w:rsidRPr="009537ED" w:rsidRDefault="009537ED" w:rsidP="00A76E0D">
      <w:pPr>
        <w:pStyle w:val="ListParagraph"/>
        <w:numPr>
          <w:ilvl w:val="0"/>
          <w:numId w:val="104"/>
        </w:numPr>
        <w:spacing w:after="0"/>
        <w:ind w:left="714" w:hanging="357"/>
        <w:rPr>
          <w:rFonts w:eastAsia="Malgun Gothic"/>
        </w:rPr>
      </w:pPr>
      <w:r w:rsidRPr="009537ED">
        <w:rPr>
          <w:rFonts w:eastAsia="Malgun Gothic"/>
        </w:rPr>
        <w:t xml:space="preserve">Consequence if not approved: </w:t>
      </w:r>
      <w:r w:rsidRPr="009537ED">
        <w:t>Relaxation of the processing delay agreed cannot be supported.</w:t>
      </w:r>
    </w:p>
    <w:p w14:paraId="0CE700C5" w14:textId="77777777" w:rsidR="009537ED" w:rsidRDefault="009537ED" w:rsidP="009537ED">
      <w:pPr>
        <w:rPr>
          <w:lang w:eastAsia="zh-CN"/>
        </w:rPr>
      </w:pPr>
      <w:r w:rsidRPr="009537ED">
        <w:rPr>
          <w:lang w:eastAsia="zh-CN"/>
        </w:rPr>
        <w:t xml:space="preserve">Note: Candidate values of </w:t>
      </w:r>
      <w:r w:rsidRPr="009537ED">
        <w:rPr>
          <w:i/>
          <w:iCs/>
          <w:lang w:eastAsia="ja-JP"/>
        </w:rPr>
        <w:t>d</w:t>
      </w:r>
      <w:r w:rsidRPr="009537ED">
        <w:rPr>
          <w:i/>
          <w:iCs/>
          <w:vertAlign w:val="subscript"/>
          <w:lang w:eastAsia="ja-JP"/>
        </w:rPr>
        <w:t>3</w:t>
      </w:r>
      <w:r w:rsidRPr="009537ED">
        <w:rPr>
          <w:lang w:eastAsia="zh-CN"/>
        </w:rPr>
        <w:t xml:space="preserve"> at least include 0, and other value(s) will be decided in UE feature session.</w:t>
      </w:r>
    </w:p>
    <w:p w14:paraId="2271104E" w14:textId="77777777" w:rsidR="009537ED" w:rsidRPr="009537ED" w:rsidRDefault="009537ED" w:rsidP="009537ED">
      <w:pPr>
        <w:rPr>
          <w:rFonts w:eastAsia="Malgun Gothic"/>
          <w:lang w:eastAsia="ja-JP"/>
        </w:rPr>
      </w:pPr>
    </w:p>
    <w:tbl>
      <w:tblPr>
        <w:tblW w:w="5000" w:type="pct"/>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0683"/>
      </w:tblGrid>
      <w:tr w:rsidR="009537ED" w:rsidRPr="009537ED" w14:paraId="2482E2AB" w14:textId="77777777" w:rsidTr="009537ED">
        <w:tc>
          <w:tcPr>
            <w:tcW w:w="5000" w:type="pct"/>
            <w:shd w:val="clear" w:color="auto" w:fill="auto"/>
          </w:tcPr>
          <w:p w14:paraId="15153CF1" w14:textId="77777777" w:rsidR="009537ED" w:rsidRPr="009537ED" w:rsidRDefault="009537ED" w:rsidP="009537ED">
            <w:pPr>
              <w:rPr>
                <w:rFonts w:ascii="Arial" w:hAnsi="Arial" w:cs="Arial"/>
                <w:b/>
                <w:bCs/>
                <w:color w:val="000000"/>
                <w:sz w:val="16"/>
                <w:szCs w:val="16"/>
              </w:rPr>
            </w:pPr>
            <w:r w:rsidRPr="009537ED">
              <w:rPr>
                <w:rFonts w:ascii="Arial" w:hAnsi="Arial" w:cs="Arial"/>
                <w:b/>
                <w:bCs/>
                <w:color w:val="000000"/>
                <w:sz w:val="16"/>
                <w:szCs w:val="16"/>
              </w:rPr>
              <w:t>5.3</w:t>
            </w:r>
            <w:r w:rsidRPr="009537ED">
              <w:rPr>
                <w:rFonts w:ascii="Arial" w:hAnsi="Arial" w:cs="Arial"/>
                <w:b/>
                <w:bCs/>
                <w:color w:val="000000"/>
                <w:sz w:val="16"/>
                <w:szCs w:val="16"/>
              </w:rPr>
              <w:tab/>
              <w:t>UE PDSCH processing procedure time</w:t>
            </w:r>
          </w:p>
          <w:p w14:paraId="6ACFA5F1" w14:textId="07762174" w:rsidR="009537ED" w:rsidRPr="009537ED" w:rsidRDefault="009537ED" w:rsidP="009537ED">
            <w:pPr>
              <w:rPr>
                <w:rFonts w:ascii="Arial" w:hAnsi="Arial" w:cs="Arial"/>
                <w:color w:val="000000"/>
                <w:sz w:val="16"/>
                <w:szCs w:val="16"/>
              </w:rPr>
            </w:pPr>
            <w:r w:rsidRPr="009537ED">
              <w:rPr>
                <w:rFonts w:ascii="Arial" w:hAnsi="Arial" w:cs="Arial"/>
                <w:color w:val="000000"/>
                <w:sz w:val="16"/>
                <w:szCs w:val="16"/>
                <w:lang w:val="en-AU"/>
              </w:rPr>
              <w:t xml:space="preserve">If the first uplink symbol of the PUCCH which carries the HARQ-ACK information, as defined by the assigned HARQ-ACK timing </w:t>
            </w:r>
            <w:r w:rsidRPr="009537ED">
              <w:rPr>
                <w:rFonts w:ascii="Arial" w:hAnsi="Arial" w:cs="Arial"/>
                <w:i/>
                <w:color w:val="000000"/>
                <w:sz w:val="16"/>
                <w:szCs w:val="16"/>
                <w:lang w:val="en-AU"/>
              </w:rPr>
              <w:t>K</w:t>
            </w:r>
            <w:r w:rsidRPr="009537ED">
              <w:rPr>
                <w:rFonts w:ascii="Arial" w:hAnsi="Arial" w:cs="Arial"/>
                <w:i/>
                <w:color w:val="000000"/>
                <w:sz w:val="16"/>
                <w:szCs w:val="16"/>
                <w:vertAlign w:val="subscript"/>
                <w:lang w:val="en-AU"/>
              </w:rPr>
              <w:t xml:space="preserve">1 </w:t>
            </w:r>
            <w:r w:rsidRPr="009537ED">
              <w:rPr>
                <w:rFonts w:ascii="Arial" w:hAnsi="Arial" w:cs="Arial"/>
                <w:color w:val="000000"/>
                <w:sz w:val="16"/>
                <w:szCs w:val="16"/>
                <w:lang w:val="en-AU"/>
              </w:rPr>
              <w:t>and K</w:t>
            </w:r>
            <w:r w:rsidRPr="009537ED">
              <w:rPr>
                <w:rFonts w:ascii="Arial" w:hAnsi="Arial" w:cs="Arial"/>
                <w:color w:val="000000"/>
                <w:sz w:val="16"/>
                <w:szCs w:val="16"/>
                <w:vertAlign w:val="subscript"/>
                <w:lang w:val="en-AU"/>
              </w:rPr>
              <w:t>offset</w:t>
            </w:r>
            <w:r w:rsidRPr="009537ED">
              <w:rPr>
                <w:rFonts w:ascii="Arial" w:hAnsi="Arial" w:cs="Arial"/>
                <w:color w:val="000000"/>
                <w:sz w:val="16"/>
                <w:szCs w:val="16"/>
                <w:lang w:val="en-AU"/>
              </w:rPr>
              <w:t xml:space="preserve">, if configured, and the PUCCH resource to be used and including the effect of the timing advance, starts no earlier than at symbol </w:t>
            </w:r>
            <w:r w:rsidRPr="009537ED">
              <w:rPr>
                <w:rFonts w:ascii="Arial" w:hAnsi="Arial" w:cs="Arial"/>
                <w:i/>
                <w:color w:val="000000"/>
                <w:sz w:val="16"/>
                <w:szCs w:val="16"/>
                <w:lang w:val="en-AU"/>
              </w:rPr>
              <w:t>L</w:t>
            </w:r>
            <w:r w:rsidRPr="009537ED">
              <w:rPr>
                <w:rFonts w:ascii="Arial" w:hAnsi="Arial" w:cs="Arial"/>
                <w:i/>
                <w:color w:val="000000"/>
                <w:sz w:val="16"/>
                <w:szCs w:val="16"/>
                <w:vertAlign w:val="subscript"/>
                <w:lang w:val="en-AU"/>
              </w:rPr>
              <w:t>1</w:t>
            </w:r>
            <w:r w:rsidRPr="009537ED">
              <w:rPr>
                <w:rFonts w:ascii="Arial" w:hAnsi="Arial" w:cs="Arial"/>
                <w:color w:val="000000"/>
                <w:sz w:val="16"/>
                <w:szCs w:val="16"/>
                <w:lang w:val="en-AU"/>
              </w:rPr>
              <w:t xml:space="preserve">, where </w:t>
            </w:r>
            <w:r w:rsidRPr="009537ED">
              <w:rPr>
                <w:rFonts w:ascii="Arial" w:hAnsi="Arial" w:cs="Arial"/>
                <w:i/>
                <w:color w:val="000000"/>
                <w:sz w:val="16"/>
                <w:szCs w:val="16"/>
                <w:lang w:val="en-AU"/>
              </w:rPr>
              <w:t>L</w:t>
            </w:r>
            <w:r w:rsidRPr="009537ED">
              <w:rPr>
                <w:rFonts w:ascii="Arial" w:hAnsi="Arial" w:cs="Arial"/>
                <w:i/>
                <w:color w:val="000000"/>
                <w:sz w:val="16"/>
                <w:szCs w:val="16"/>
                <w:vertAlign w:val="subscript"/>
                <w:lang w:val="en-AU"/>
              </w:rPr>
              <w:t>1</w:t>
            </w:r>
            <w:r w:rsidRPr="009537ED">
              <w:rPr>
                <w:rFonts w:ascii="Arial" w:hAnsi="Arial" w:cs="Arial"/>
                <w:color w:val="000000"/>
                <w:sz w:val="16"/>
                <w:szCs w:val="16"/>
                <w:lang w:val="en-AU"/>
              </w:rPr>
              <w:t xml:space="preserve"> is defined as the next uplink symbol with its CP starting after </w:t>
            </w:r>
            <m:oMath>
              <m:sSub>
                <m:sSubPr>
                  <m:ctrlPr>
                    <w:rPr>
                      <w:rFonts w:ascii="Cambria Math" w:eastAsia="Calibri" w:hAnsi="Cambria Math" w:cs="Arial"/>
                      <w:i/>
                      <w:sz w:val="16"/>
                      <w:szCs w:val="16"/>
                    </w:rPr>
                  </m:ctrlPr>
                </m:sSubPr>
                <m:e>
                  <m:r>
                    <w:rPr>
                      <w:rFonts w:ascii="Cambria Math" w:eastAsia="Calibri" w:hAnsi="Cambria Math" w:cs="Arial"/>
                      <w:sz w:val="16"/>
                      <w:szCs w:val="16"/>
                    </w:rPr>
                    <m:t>T</m:t>
                  </m:r>
                </m:e>
                <m:sub>
                  <m:r>
                    <w:rPr>
                      <w:rFonts w:ascii="Cambria Math" w:eastAsia="Calibri" w:hAnsi="Cambria Math" w:cs="Arial"/>
                      <w:sz w:val="16"/>
                      <w:szCs w:val="16"/>
                    </w:rPr>
                    <m:t>proc,1</m:t>
                  </m:r>
                </m:sub>
              </m:sSub>
              <m:r>
                <w:rPr>
                  <w:rFonts w:ascii="Cambria Math" w:eastAsia="Calibri" w:hAnsi="Cambria Math" w:cs="Arial"/>
                  <w:sz w:val="16"/>
                  <w:szCs w:val="16"/>
                </w:rPr>
                <m:t>=(</m:t>
              </m:r>
              <m:sSub>
                <m:sSubPr>
                  <m:ctrlPr>
                    <w:rPr>
                      <w:rFonts w:ascii="Cambria Math" w:eastAsia="Calibri" w:hAnsi="Cambria Math" w:cs="Arial"/>
                      <w:i/>
                      <w:sz w:val="16"/>
                      <w:szCs w:val="16"/>
                    </w:rPr>
                  </m:ctrlPr>
                </m:sSubPr>
                <m:e>
                  <m:r>
                    <w:rPr>
                      <w:rFonts w:ascii="Cambria Math" w:eastAsia="Calibri" w:hAnsi="Cambria Math" w:cs="Arial"/>
                      <w:sz w:val="16"/>
                      <w:szCs w:val="16"/>
                    </w:rPr>
                    <m:t>N</m:t>
                  </m:r>
                </m:e>
                <m:sub>
                  <m:r>
                    <w:rPr>
                      <w:rFonts w:ascii="Cambria Math" w:eastAsia="Calibri" w:hAnsi="Cambria Math" w:cs="Arial"/>
                      <w:sz w:val="16"/>
                      <w:szCs w:val="16"/>
                    </w:rPr>
                    <m:t>1</m:t>
                  </m:r>
                </m:sub>
              </m:sSub>
              <m:r>
                <w:rPr>
                  <w:rFonts w:ascii="Cambria Math" w:eastAsia="Calibri" w:hAnsi="Cambria Math" w:cs="Arial"/>
                  <w:sz w:val="16"/>
                  <w:szCs w:val="16"/>
                </w:rPr>
                <m:t>+</m:t>
              </m:r>
              <m:sSub>
                <m:sSubPr>
                  <m:ctrlPr>
                    <w:rPr>
                      <w:rFonts w:ascii="Cambria Math" w:eastAsia="Calibri" w:hAnsi="Cambria Math" w:cs="Arial"/>
                      <w:i/>
                      <w:sz w:val="16"/>
                      <w:szCs w:val="16"/>
                    </w:rPr>
                  </m:ctrlPr>
                </m:sSubPr>
                <m:e>
                  <m:r>
                    <w:rPr>
                      <w:rFonts w:ascii="Cambria Math" w:eastAsia="Calibri" w:hAnsi="Cambria Math" w:cs="Arial"/>
                      <w:sz w:val="16"/>
                      <w:szCs w:val="16"/>
                    </w:rPr>
                    <m:t>d</m:t>
                  </m:r>
                </m:e>
                <m:sub>
                  <m:r>
                    <w:rPr>
                      <w:rFonts w:ascii="Cambria Math" w:eastAsia="Calibri" w:hAnsi="Cambria Math" w:cs="Arial"/>
                      <w:sz w:val="16"/>
                      <w:szCs w:val="16"/>
                    </w:rPr>
                    <m:t>1,1</m:t>
                  </m:r>
                </m:sub>
              </m:sSub>
              <m:r>
                <w:rPr>
                  <w:rFonts w:ascii="Cambria Math" w:eastAsia="Calibri" w:hAnsi="Cambria Math" w:cs="Arial"/>
                  <w:sz w:val="16"/>
                  <w:szCs w:val="16"/>
                </w:rPr>
                <m:t>+</m:t>
              </m:r>
              <m:sSub>
                <m:sSubPr>
                  <m:ctrlPr>
                    <w:rPr>
                      <w:rFonts w:ascii="Cambria Math" w:eastAsia="Calibri" w:hAnsi="Cambria Math" w:cs="Arial"/>
                      <w:i/>
                      <w:sz w:val="16"/>
                      <w:szCs w:val="16"/>
                    </w:rPr>
                  </m:ctrlPr>
                </m:sSubPr>
                <m:e>
                  <m:r>
                    <w:rPr>
                      <w:rFonts w:ascii="Cambria Math" w:eastAsia="Calibri" w:hAnsi="Cambria Math" w:cs="Arial"/>
                      <w:sz w:val="16"/>
                      <w:szCs w:val="16"/>
                    </w:rPr>
                    <m:t>d</m:t>
                  </m:r>
                </m:e>
                <m:sub>
                  <m:r>
                    <w:rPr>
                      <w:rFonts w:ascii="Cambria Math" w:eastAsia="Calibri" w:hAnsi="Cambria Math" w:cs="Arial"/>
                      <w:sz w:val="16"/>
                      <w:szCs w:val="16"/>
                    </w:rPr>
                    <m:t>2</m:t>
                  </m:r>
                </m:sub>
              </m:sSub>
              <m:r>
                <w:rPr>
                  <w:rFonts w:ascii="Cambria Math" w:eastAsia="Calibri" w:hAnsi="Cambria Math" w:cs="Arial"/>
                  <w:color w:val="FF0000"/>
                  <w:sz w:val="16"/>
                  <w:szCs w:val="16"/>
                </w:rPr>
                <m:t>+</m:t>
              </m:r>
              <m:sSub>
                <m:sSubPr>
                  <m:ctrlPr>
                    <w:rPr>
                      <w:rFonts w:ascii="Cambria Math" w:eastAsia="Calibri" w:hAnsi="Cambria Math" w:cs="Arial"/>
                      <w:i/>
                      <w:color w:val="FF0000"/>
                      <w:sz w:val="16"/>
                      <w:szCs w:val="16"/>
                    </w:rPr>
                  </m:ctrlPr>
                </m:sSubPr>
                <m:e>
                  <m:r>
                    <w:rPr>
                      <w:rFonts w:ascii="Cambria Math" w:eastAsia="Calibri" w:hAnsi="Cambria Math" w:cs="Arial"/>
                      <w:color w:val="FF0000"/>
                      <w:sz w:val="16"/>
                      <w:szCs w:val="16"/>
                    </w:rPr>
                    <m:t>d</m:t>
                  </m:r>
                </m:e>
                <m:sub>
                  <m:r>
                    <w:rPr>
                      <w:rFonts w:ascii="Cambria Math" w:eastAsia="Calibri" w:hAnsi="Cambria Math" w:cs="Arial"/>
                      <w:color w:val="FF0000"/>
                      <w:sz w:val="16"/>
                      <w:szCs w:val="16"/>
                    </w:rPr>
                    <m:t>3</m:t>
                  </m:r>
                </m:sub>
              </m:sSub>
              <m:r>
                <w:rPr>
                  <w:rFonts w:ascii="Cambria Math" w:eastAsia="Calibri" w:hAnsi="Cambria Math" w:cs="Arial"/>
                  <w:sz w:val="16"/>
                  <w:szCs w:val="16"/>
                </w:rPr>
                <m:t>)(2048+144)⋅κ</m:t>
              </m:r>
              <m:sSup>
                <m:sSupPr>
                  <m:ctrlPr>
                    <w:rPr>
                      <w:rFonts w:ascii="Cambria Math" w:eastAsia="Calibri" w:hAnsi="Cambria Math" w:cs="Arial"/>
                      <w:i/>
                      <w:sz w:val="16"/>
                      <w:szCs w:val="16"/>
                    </w:rPr>
                  </m:ctrlPr>
                </m:sSupPr>
                <m:e>
                  <m:r>
                    <w:rPr>
                      <w:rFonts w:ascii="Cambria Math" w:eastAsia="Calibri" w:hAnsi="Cambria Math" w:cs="Arial"/>
                      <w:sz w:val="16"/>
                      <w:szCs w:val="16"/>
                    </w:rPr>
                    <m:t>2</m:t>
                  </m:r>
                </m:e>
                <m:sup>
                  <m:r>
                    <w:rPr>
                      <w:rFonts w:ascii="Cambria Math" w:eastAsia="Calibri" w:hAnsi="Cambria Math" w:cs="Arial"/>
                      <w:sz w:val="16"/>
                      <w:szCs w:val="16"/>
                    </w:rPr>
                    <m:t>-μ</m:t>
                  </m:r>
                </m:sup>
              </m:sSup>
              <m:r>
                <w:rPr>
                  <w:rFonts w:ascii="Cambria Math" w:eastAsia="Calibri" w:hAnsi="Cambria Math" w:cs="Arial"/>
                  <w:sz w:val="16"/>
                  <w:szCs w:val="16"/>
                </w:rPr>
                <m:t>⋅</m:t>
              </m:r>
              <m:sSub>
                <m:sSubPr>
                  <m:ctrlPr>
                    <w:rPr>
                      <w:rFonts w:ascii="Cambria Math" w:eastAsia="Calibri" w:hAnsi="Cambria Math" w:cs="Arial"/>
                      <w:i/>
                      <w:sz w:val="16"/>
                      <w:szCs w:val="16"/>
                    </w:rPr>
                  </m:ctrlPr>
                </m:sSubPr>
                <m:e>
                  <m:r>
                    <w:rPr>
                      <w:rFonts w:ascii="Cambria Math" w:eastAsia="Calibri" w:hAnsi="Cambria Math" w:cs="Arial"/>
                      <w:sz w:val="16"/>
                      <w:szCs w:val="16"/>
                    </w:rPr>
                    <m:t>T</m:t>
                  </m:r>
                </m:e>
                <m:sub>
                  <m:r>
                    <w:rPr>
                      <w:rFonts w:ascii="Cambria Math" w:eastAsia="Calibri" w:hAnsi="Cambria Math" w:cs="Arial"/>
                      <w:sz w:val="16"/>
                      <w:szCs w:val="16"/>
                    </w:rPr>
                    <m:t>C</m:t>
                  </m:r>
                </m:sub>
              </m:sSub>
              <m:r>
                <w:rPr>
                  <w:rFonts w:ascii="Cambria Math" w:eastAsia="Calibri" w:hAnsi="Cambria Math" w:cs="Arial"/>
                  <w:sz w:val="16"/>
                  <w:szCs w:val="16"/>
                </w:rPr>
                <m:t>+</m:t>
              </m:r>
              <m:sSub>
                <m:sSubPr>
                  <m:ctrlPr>
                    <w:rPr>
                      <w:rFonts w:ascii="Cambria Math" w:eastAsia="Calibri" w:hAnsi="Cambria Math" w:cs="Arial"/>
                      <w:i/>
                      <w:sz w:val="16"/>
                      <w:szCs w:val="16"/>
                    </w:rPr>
                  </m:ctrlPr>
                </m:sSubPr>
                <m:e>
                  <m:r>
                    <w:rPr>
                      <w:rFonts w:ascii="Cambria Math" w:eastAsia="Calibri" w:hAnsi="Cambria Math" w:cs="Arial"/>
                      <w:sz w:val="16"/>
                      <w:szCs w:val="16"/>
                    </w:rPr>
                    <m:t>T</m:t>
                  </m:r>
                </m:e>
                <m:sub>
                  <m:r>
                    <w:rPr>
                      <w:rFonts w:ascii="Cambria Math" w:eastAsia="Calibri" w:hAnsi="Cambria Math" w:cs="Arial"/>
                      <w:sz w:val="16"/>
                      <w:szCs w:val="16"/>
                    </w:rPr>
                    <m:t>ext</m:t>
                  </m:r>
                </m:sub>
              </m:sSub>
            </m:oMath>
            <w:r w:rsidRPr="009537ED">
              <w:rPr>
                <w:rFonts w:ascii="Arial" w:hAnsi="Arial" w:cs="Arial"/>
                <w:color w:val="000000"/>
                <w:sz w:val="16"/>
                <w:szCs w:val="16"/>
              </w:rPr>
              <w:t xml:space="preserve"> after the end of the last symbol of the PDSCH carrying the TB being acknowledged, then the UE shall provide a valid HARQ-ACK message. </w:t>
            </w:r>
          </w:p>
          <w:p w14:paraId="3B1DF7D3" w14:textId="77777777" w:rsidR="009537ED" w:rsidRPr="009537ED" w:rsidRDefault="009537ED" w:rsidP="009537ED">
            <w:pPr>
              <w:ind w:left="568" w:hanging="284"/>
              <w:rPr>
                <w:rFonts w:ascii="Arial" w:hAnsi="Arial" w:cs="Arial"/>
                <w:sz w:val="16"/>
                <w:szCs w:val="16"/>
                <w:lang w:val="en-AU"/>
              </w:rPr>
            </w:pPr>
            <w:r w:rsidRPr="009537ED">
              <w:rPr>
                <w:rFonts w:ascii="Arial" w:hAnsi="Arial" w:cs="Arial"/>
                <w:i/>
                <w:sz w:val="16"/>
                <w:szCs w:val="16"/>
                <w:lang w:val="en-US"/>
              </w:rPr>
              <w:t>-</w:t>
            </w:r>
            <w:r w:rsidRPr="009537ED">
              <w:rPr>
                <w:rFonts w:ascii="Arial" w:hAnsi="Arial" w:cs="Arial"/>
                <w:i/>
                <w:sz w:val="16"/>
                <w:szCs w:val="16"/>
                <w:lang w:val="en-US"/>
              </w:rPr>
              <w:tab/>
              <w:t>N</w:t>
            </w:r>
            <w:r w:rsidRPr="009537ED">
              <w:rPr>
                <w:rFonts w:ascii="Arial" w:hAnsi="Arial" w:cs="Arial"/>
                <w:i/>
                <w:sz w:val="16"/>
                <w:szCs w:val="16"/>
                <w:vertAlign w:val="subscript"/>
                <w:lang w:val="en-US"/>
              </w:rPr>
              <w:t>1</w:t>
            </w:r>
            <w:r w:rsidRPr="009537ED">
              <w:rPr>
                <w:rFonts w:ascii="Arial" w:hAnsi="Arial" w:cs="Arial"/>
                <w:sz w:val="16"/>
                <w:szCs w:val="16"/>
                <w:lang w:val="en-US"/>
              </w:rPr>
              <w:t xml:space="preserve"> is based on </w:t>
            </w:r>
            <w:r w:rsidRPr="009537ED">
              <w:rPr>
                <w:rFonts w:ascii="Arial" w:hAnsi="Arial" w:cs="Arial"/>
                <w:i/>
                <w:sz w:val="16"/>
                <w:szCs w:val="16"/>
                <w:lang w:val="en-AU"/>
              </w:rPr>
              <w:t>µ</w:t>
            </w:r>
            <w:r w:rsidRPr="009537ED">
              <w:rPr>
                <w:rFonts w:ascii="Arial" w:hAnsi="Arial" w:cs="Arial"/>
                <w:sz w:val="16"/>
                <w:szCs w:val="16"/>
                <w:lang w:val="en-AU"/>
              </w:rPr>
              <w:t xml:space="preserve"> of table 5.3-1 and table 5.3-2 for UE processing capability 1 and 2 respectively, where </w:t>
            </w:r>
            <w:r w:rsidRPr="009537ED">
              <w:rPr>
                <w:rFonts w:ascii="Arial" w:hAnsi="Arial" w:cs="Arial"/>
                <w:i/>
                <w:sz w:val="16"/>
                <w:szCs w:val="16"/>
                <w:lang w:val="en-AU"/>
              </w:rPr>
              <w:t xml:space="preserve">µ </w:t>
            </w:r>
            <w:r w:rsidRPr="009537ED">
              <w:rPr>
                <w:rFonts w:ascii="Arial" w:hAnsi="Arial" w:cs="Arial"/>
                <w:sz w:val="16"/>
                <w:szCs w:val="16"/>
                <w:lang w:val="en-AU"/>
              </w:rPr>
              <w:t>corresponds to the one of (</w:t>
            </w:r>
            <w:r w:rsidRPr="009537ED">
              <w:rPr>
                <w:rFonts w:ascii="Arial" w:hAnsi="Arial" w:cs="Arial"/>
                <w:i/>
                <w:sz w:val="16"/>
                <w:szCs w:val="16"/>
                <w:lang w:val="en-AU"/>
              </w:rPr>
              <w:t>µ</w:t>
            </w:r>
            <w:r w:rsidRPr="009537ED">
              <w:rPr>
                <w:rFonts w:ascii="Arial" w:hAnsi="Arial" w:cs="Arial"/>
                <w:i/>
                <w:sz w:val="16"/>
                <w:szCs w:val="16"/>
                <w:vertAlign w:val="subscript"/>
                <w:lang w:val="en-AU"/>
              </w:rPr>
              <w:t>PDCCH</w:t>
            </w:r>
            <w:r w:rsidRPr="009537ED">
              <w:rPr>
                <w:rFonts w:ascii="Arial" w:hAnsi="Arial" w:cs="Arial"/>
                <w:sz w:val="16"/>
                <w:szCs w:val="16"/>
                <w:lang w:val="en-AU"/>
              </w:rPr>
              <w:t xml:space="preserve">, </w:t>
            </w:r>
            <w:r w:rsidRPr="009537ED">
              <w:rPr>
                <w:rFonts w:ascii="Arial" w:hAnsi="Arial" w:cs="Arial"/>
                <w:i/>
                <w:sz w:val="16"/>
                <w:szCs w:val="16"/>
                <w:lang w:val="en-AU"/>
              </w:rPr>
              <w:t>µ</w:t>
            </w:r>
            <w:r w:rsidRPr="009537ED">
              <w:rPr>
                <w:rFonts w:ascii="Arial" w:hAnsi="Arial" w:cs="Arial"/>
                <w:i/>
                <w:sz w:val="16"/>
                <w:szCs w:val="16"/>
                <w:vertAlign w:val="subscript"/>
                <w:lang w:val="en-AU"/>
              </w:rPr>
              <w:t>PDSCH</w:t>
            </w:r>
            <w:r w:rsidRPr="009537ED">
              <w:rPr>
                <w:rFonts w:ascii="Arial" w:hAnsi="Arial" w:cs="Arial"/>
                <w:sz w:val="16"/>
                <w:szCs w:val="16"/>
                <w:lang w:val="en-AU"/>
              </w:rPr>
              <w:t xml:space="preserve">, </w:t>
            </w:r>
            <w:r w:rsidRPr="009537ED">
              <w:rPr>
                <w:rFonts w:ascii="Arial" w:hAnsi="Arial" w:cs="Arial"/>
                <w:i/>
                <w:sz w:val="16"/>
                <w:szCs w:val="16"/>
                <w:lang w:val="en-AU"/>
              </w:rPr>
              <w:t>µ</w:t>
            </w:r>
            <w:r w:rsidRPr="009537ED">
              <w:rPr>
                <w:rFonts w:ascii="Arial" w:hAnsi="Arial" w:cs="Arial"/>
                <w:i/>
                <w:sz w:val="16"/>
                <w:szCs w:val="16"/>
                <w:vertAlign w:val="subscript"/>
                <w:lang w:val="en-AU"/>
              </w:rPr>
              <w:t>UL</w:t>
            </w:r>
            <w:r w:rsidRPr="009537ED">
              <w:rPr>
                <w:rFonts w:ascii="Arial" w:hAnsi="Arial" w:cs="Arial"/>
                <w:sz w:val="16"/>
                <w:szCs w:val="16"/>
                <w:lang w:val="en-AU"/>
              </w:rPr>
              <w:t xml:space="preserve">) resulting with the largest </w:t>
            </w:r>
            <w:r w:rsidRPr="009537ED">
              <w:rPr>
                <w:rFonts w:ascii="Arial" w:hAnsi="Arial" w:cs="Arial"/>
                <w:i/>
                <w:sz w:val="16"/>
                <w:szCs w:val="16"/>
                <w:lang w:val="en-AU"/>
              </w:rPr>
              <w:t>T</w:t>
            </w:r>
            <w:r w:rsidRPr="009537ED">
              <w:rPr>
                <w:rFonts w:ascii="Arial" w:hAnsi="Arial" w:cs="Arial"/>
                <w:i/>
                <w:sz w:val="16"/>
                <w:szCs w:val="16"/>
                <w:vertAlign w:val="subscript"/>
                <w:lang w:val="en-AU"/>
              </w:rPr>
              <w:t>proc,1</w:t>
            </w:r>
            <w:r w:rsidRPr="009537ED">
              <w:rPr>
                <w:rFonts w:ascii="Arial" w:hAnsi="Arial" w:cs="Arial"/>
                <w:sz w:val="16"/>
                <w:szCs w:val="16"/>
                <w:lang w:val="en-AU"/>
              </w:rPr>
              <w:t xml:space="preserve">, where the </w:t>
            </w:r>
            <w:r w:rsidRPr="009537ED">
              <w:rPr>
                <w:rFonts w:ascii="Arial" w:hAnsi="Arial" w:cs="Arial"/>
                <w:i/>
                <w:sz w:val="16"/>
                <w:szCs w:val="16"/>
                <w:lang w:val="en-AU"/>
              </w:rPr>
              <w:t>µ</w:t>
            </w:r>
            <w:r w:rsidRPr="009537ED">
              <w:rPr>
                <w:rFonts w:ascii="Arial" w:hAnsi="Arial" w:cs="Arial"/>
                <w:i/>
                <w:sz w:val="16"/>
                <w:szCs w:val="16"/>
                <w:vertAlign w:val="subscript"/>
                <w:lang w:val="en-AU"/>
              </w:rPr>
              <w:t>PDCCH</w:t>
            </w:r>
            <w:r w:rsidRPr="009537ED">
              <w:rPr>
                <w:rFonts w:ascii="Arial" w:hAnsi="Arial" w:cs="Arial"/>
                <w:i/>
                <w:sz w:val="16"/>
                <w:szCs w:val="16"/>
                <w:lang w:val="en-AU"/>
              </w:rPr>
              <w:t xml:space="preserve"> </w:t>
            </w:r>
            <w:r w:rsidRPr="009537ED">
              <w:rPr>
                <w:rFonts w:ascii="Arial" w:hAnsi="Arial" w:cs="Arial"/>
                <w:sz w:val="16"/>
                <w:szCs w:val="16"/>
                <w:lang w:val="en-AU"/>
              </w:rPr>
              <w:t xml:space="preserve">corresponds to the subcarrier spacing of the PDCCH scheduling the PDSCH, the </w:t>
            </w:r>
            <w:r w:rsidRPr="009537ED">
              <w:rPr>
                <w:rFonts w:ascii="Arial" w:hAnsi="Arial" w:cs="Arial"/>
                <w:i/>
                <w:sz w:val="16"/>
                <w:szCs w:val="16"/>
                <w:lang w:val="en-AU"/>
              </w:rPr>
              <w:t>µ</w:t>
            </w:r>
            <w:r w:rsidRPr="009537ED">
              <w:rPr>
                <w:rFonts w:ascii="Arial" w:hAnsi="Arial" w:cs="Arial"/>
                <w:i/>
                <w:sz w:val="16"/>
                <w:szCs w:val="16"/>
                <w:vertAlign w:val="subscript"/>
                <w:lang w:val="en-AU"/>
              </w:rPr>
              <w:t>PDSCH</w:t>
            </w:r>
            <w:r w:rsidRPr="009537ED">
              <w:rPr>
                <w:rFonts w:ascii="Arial" w:hAnsi="Arial" w:cs="Arial"/>
                <w:sz w:val="16"/>
                <w:szCs w:val="16"/>
                <w:lang w:val="en-AU"/>
              </w:rPr>
              <w:t xml:space="preserve"> corresponds to the subcarrier spacing of the scheduled PDSCH, and </w:t>
            </w:r>
            <w:r w:rsidRPr="009537ED">
              <w:rPr>
                <w:rFonts w:ascii="Arial" w:hAnsi="Arial" w:cs="Arial"/>
                <w:i/>
                <w:sz w:val="16"/>
                <w:szCs w:val="16"/>
                <w:lang w:val="en-AU"/>
              </w:rPr>
              <w:t>µ</w:t>
            </w:r>
            <w:r w:rsidRPr="009537ED">
              <w:rPr>
                <w:rFonts w:ascii="Arial" w:hAnsi="Arial" w:cs="Arial"/>
                <w:i/>
                <w:sz w:val="16"/>
                <w:szCs w:val="16"/>
                <w:vertAlign w:val="subscript"/>
                <w:lang w:val="en-AU"/>
              </w:rPr>
              <w:t>UL</w:t>
            </w:r>
            <w:r w:rsidRPr="009537ED">
              <w:rPr>
                <w:rFonts w:ascii="Arial" w:hAnsi="Arial" w:cs="Arial"/>
                <w:sz w:val="16"/>
                <w:szCs w:val="16"/>
                <w:lang w:val="en-AU"/>
              </w:rPr>
              <w:t xml:space="preserve"> corresponds to the subcarrier spacing of the uplink channel with which the HARQ-ACK is </w:t>
            </w:r>
            <w:r w:rsidRPr="009537ED">
              <w:rPr>
                <w:rFonts w:ascii="Arial" w:hAnsi="Arial" w:cs="Arial"/>
                <w:sz w:val="16"/>
                <w:szCs w:val="16"/>
                <w:lang w:val="en-US"/>
              </w:rPr>
              <w:t xml:space="preserve">assumed </w:t>
            </w:r>
            <w:r w:rsidRPr="009537ED">
              <w:rPr>
                <w:rFonts w:ascii="Arial" w:hAnsi="Arial" w:cs="Arial"/>
                <w:sz w:val="16"/>
                <w:szCs w:val="16"/>
                <w:lang w:val="en-AU"/>
              </w:rPr>
              <w:t>to be transmitted</w:t>
            </w:r>
            <w:r w:rsidRPr="009537ED">
              <w:rPr>
                <w:rFonts w:ascii="Arial" w:hAnsi="Arial" w:cs="Arial"/>
                <w:sz w:val="16"/>
                <w:szCs w:val="16"/>
                <w:lang w:val="en-US"/>
              </w:rPr>
              <w:t xml:space="preserve"> regardless of whether or not the PDSCH reception provides a transport block for a HARQ process with disabled HARQ-ACK information as indicated by </w:t>
            </w:r>
            <w:r w:rsidRPr="009537ED">
              <w:rPr>
                <w:rFonts w:ascii="Arial" w:hAnsi="Arial" w:cs="Arial"/>
                <w:i/>
                <w:iCs/>
                <w:sz w:val="16"/>
                <w:szCs w:val="16"/>
                <w:lang w:val="en-US"/>
              </w:rPr>
              <w:t>HARQ-feedbackEnabling-disablingperHARQprocess</w:t>
            </w:r>
            <w:r w:rsidRPr="009537ED">
              <w:rPr>
                <w:rFonts w:ascii="Arial" w:hAnsi="Arial" w:cs="Arial"/>
                <w:sz w:val="16"/>
                <w:szCs w:val="16"/>
                <w:lang w:val="en-US"/>
              </w:rPr>
              <w:t>, if provided</w:t>
            </w:r>
            <w:r w:rsidRPr="009537ED">
              <w:rPr>
                <w:rFonts w:ascii="Arial" w:hAnsi="Arial" w:cs="Arial"/>
                <w:sz w:val="16"/>
                <w:szCs w:val="16"/>
                <w:lang w:val="en-AU"/>
              </w:rPr>
              <w:t xml:space="preserve">, and κ is defined in clause 4.1 of [4, TS 38.211]. </w:t>
            </w:r>
          </w:p>
          <w:p w14:paraId="07B93B70" w14:textId="77777777" w:rsidR="009537ED" w:rsidRPr="009537ED" w:rsidRDefault="009537ED" w:rsidP="009537ED">
            <w:pPr>
              <w:ind w:left="568" w:hanging="284"/>
              <w:rPr>
                <w:rFonts w:ascii="Arial" w:hAnsi="Arial" w:cs="Arial"/>
                <w:iCs/>
                <w:color w:val="FF0000"/>
                <w:sz w:val="16"/>
                <w:szCs w:val="16"/>
                <w:lang w:val="zh-CN"/>
              </w:rPr>
            </w:pPr>
            <w:r w:rsidRPr="009537ED">
              <w:rPr>
                <w:rFonts w:ascii="Arial" w:hAnsi="Arial" w:cs="Arial"/>
                <w:iCs/>
                <w:color w:val="FF0000"/>
                <w:sz w:val="16"/>
                <w:szCs w:val="16"/>
                <w:lang w:val="zh-CN"/>
              </w:rPr>
              <w:t>-  For UE processing capability 2,</w:t>
            </w:r>
          </w:p>
          <w:p w14:paraId="6829ECBC" w14:textId="77777777" w:rsidR="009537ED" w:rsidRPr="009537ED" w:rsidRDefault="009537ED" w:rsidP="00A76E0D">
            <w:pPr>
              <w:numPr>
                <w:ilvl w:val="0"/>
                <w:numId w:val="101"/>
              </w:numPr>
              <w:spacing w:line="280" w:lineRule="atLeast"/>
              <w:ind w:left="1161" w:hanging="283"/>
              <w:jc w:val="both"/>
              <w:rPr>
                <w:rFonts w:ascii="Arial" w:eastAsia="SimSun" w:hAnsi="Arial" w:cs="Arial"/>
                <w:iCs/>
                <w:color w:val="FF0000"/>
                <w:sz w:val="16"/>
                <w:szCs w:val="16"/>
                <w:lang w:val="en-AU" w:eastAsia="x-none"/>
              </w:rPr>
            </w:pPr>
            <w:r w:rsidRPr="009537ED">
              <w:rPr>
                <w:rFonts w:ascii="Arial" w:eastAsia="SimSun" w:hAnsi="Arial" w:cs="Arial"/>
                <w:iCs/>
                <w:color w:val="FF0000"/>
                <w:sz w:val="16"/>
                <w:szCs w:val="16"/>
                <w:lang w:val="en-US" w:eastAsia="x-none"/>
              </w:rPr>
              <w:t>if the UE is not indicating [</w:t>
            </w:r>
            <w:r w:rsidRPr="009537ED">
              <w:rPr>
                <w:rFonts w:ascii="Arial" w:eastAsia="SimSun" w:hAnsi="Arial" w:cs="Arial"/>
                <w:i/>
                <w:iCs/>
                <w:color w:val="FF0000"/>
                <w:sz w:val="16"/>
                <w:szCs w:val="16"/>
                <w:lang w:val="en-US" w:eastAsia="x-none"/>
              </w:rPr>
              <w:t>UE Capability name</w:t>
            </w:r>
            <w:r w:rsidRPr="009537ED">
              <w:rPr>
                <w:rFonts w:ascii="Arial" w:eastAsia="SimSun" w:hAnsi="Arial" w:cs="Arial"/>
                <w:iCs/>
                <w:color w:val="FF0000"/>
                <w:sz w:val="16"/>
                <w:szCs w:val="16"/>
                <w:lang w:val="en-US" w:eastAsia="x-none"/>
              </w:rPr>
              <w:t xml:space="preserve">], the UE is not expected to be simultaneously configured with higher layer parameter </w:t>
            </w:r>
            <w:r w:rsidRPr="009537ED">
              <w:rPr>
                <w:rFonts w:ascii="Arial" w:eastAsia="SimSun" w:hAnsi="Arial" w:cs="Arial"/>
                <w:i/>
                <w:iCs/>
                <w:color w:val="FF0000"/>
                <w:sz w:val="16"/>
                <w:szCs w:val="16"/>
                <w:lang w:val="en-US" w:eastAsia="x-none"/>
              </w:rPr>
              <w:t xml:space="preserve">processingType2Enabled </w:t>
            </w:r>
            <w:r w:rsidRPr="009537ED">
              <w:rPr>
                <w:rFonts w:ascii="Arial" w:eastAsia="SimSun" w:hAnsi="Arial" w:cs="Arial"/>
                <w:iCs/>
                <w:color w:val="FF0000"/>
                <w:sz w:val="16"/>
                <w:szCs w:val="16"/>
                <w:lang w:val="en-US" w:eastAsia="x-none"/>
              </w:rPr>
              <w:t xml:space="preserve">set to ‘enable’ and higher layer parameter </w:t>
            </w:r>
            <w:r w:rsidRPr="009537ED">
              <w:rPr>
                <w:rFonts w:ascii="Arial" w:eastAsia="SimSun" w:hAnsi="Arial" w:cs="Arial"/>
                <w:i/>
                <w:iCs/>
                <w:color w:val="FF0000"/>
                <w:sz w:val="16"/>
                <w:szCs w:val="16"/>
                <w:lang w:eastAsia="x-none"/>
              </w:rPr>
              <w:t>enhanced-dmrs-Type_r18</w:t>
            </w:r>
            <w:r w:rsidRPr="009537ED">
              <w:rPr>
                <w:rFonts w:ascii="Arial" w:eastAsia="SimSun" w:hAnsi="Arial" w:cs="Arial"/>
                <w:iCs/>
                <w:color w:val="FF0000"/>
                <w:sz w:val="16"/>
                <w:szCs w:val="16"/>
                <w:lang w:val="en-US" w:eastAsia="x-none"/>
              </w:rPr>
              <w:t xml:space="preserve">, and the additional processing delay </w:t>
            </w:r>
            <w:r w:rsidRPr="009537ED">
              <w:rPr>
                <w:rFonts w:ascii="Arial" w:eastAsia="SimSun" w:hAnsi="Arial" w:cs="Arial"/>
                <w:i/>
                <w:color w:val="FF0000"/>
                <w:sz w:val="16"/>
                <w:szCs w:val="16"/>
                <w:lang w:val="en-US" w:eastAsia="x-none"/>
              </w:rPr>
              <w:t>d</w:t>
            </w:r>
            <w:r w:rsidRPr="009537ED">
              <w:rPr>
                <w:rFonts w:ascii="Arial" w:eastAsia="SimSun" w:hAnsi="Arial" w:cs="Arial"/>
                <w:i/>
                <w:color w:val="FF0000"/>
                <w:sz w:val="16"/>
                <w:szCs w:val="16"/>
                <w:vertAlign w:val="subscript"/>
                <w:lang w:val="en-US" w:eastAsia="x-none"/>
              </w:rPr>
              <w:t xml:space="preserve">3 </w:t>
            </w:r>
            <w:r w:rsidRPr="009537ED">
              <w:rPr>
                <w:rFonts w:ascii="Arial" w:eastAsia="SimSun" w:hAnsi="Arial" w:cs="Arial"/>
                <w:iCs/>
                <w:color w:val="FF0000"/>
                <w:sz w:val="16"/>
                <w:szCs w:val="16"/>
                <w:lang w:val="en-US" w:eastAsia="x-none"/>
              </w:rPr>
              <w:t>is 0.</w:t>
            </w:r>
          </w:p>
          <w:p w14:paraId="2B6BD937" w14:textId="77777777" w:rsidR="009537ED" w:rsidRPr="009537ED" w:rsidRDefault="009537ED" w:rsidP="00A76E0D">
            <w:pPr>
              <w:numPr>
                <w:ilvl w:val="0"/>
                <w:numId w:val="101"/>
              </w:numPr>
              <w:spacing w:line="280" w:lineRule="atLeast"/>
              <w:ind w:left="1161" w:hanging="283"/>
              <w:jc w:val="both"/>
              <w:rPr>
                <w:rFonts w:ascii="Arial" w:eastAsia="SimSun" w:hAnsi="Arial" w:cs="Arial"/>
                <w:iCs/>
                <w:color w:val="FF0000"/>
                <w:sz w:val="16"/>
                <w:szCs w:val="16"/>
                <w:lang w:val="en-AU" w:eastAsia="x-none"/>
              </w:rPr>
            </w:pPr>
            <w:r w:rsidRPr="009537ED">
              <w:rPr>
                <w:rFonts w:ascii="Arial" w:eastAsia="SimSun" w:hAnsi="Arial" w:cs="Arial"/>
                <w:iCs/>
                <w:color w:val="FF0000"/>
                <w:sz w:val="16"/>
                <w:szCs w:val="16"/>
                <w:lang w:val="en-US" w:eastAsia="x-none"/>
              </w:rPr>
              <w:t>if the UE is indicating [</w:t>
            </w:r>
            <w:r w:rsidRPr="009537ED">
              <w:rPr>
                <w:rFonts w:ascii="Arial" w:eastAsia="SimSun" w:hAnsi="Arial" w:cs="Arial"/>
                <w:i/>
                <w:iCs/>
                <w:color w:val="FF0000"/>
                <w:sz w:val="16"/>
                <w:szCs w:val="16"/>
                <w:lang w:val="en-US" w:eastAsia="x-none"/>
              </w:rPr>
              <w:t>UE Capability name</w:t>
            </w:r>
            <w:r w:rsidRPr="009537ED">
              <w:rPr>
                <w:rFonts w:ascii="Arial" w:eastAsia="SimSun" w:hAnsi="Arial" w:cs="Arial"/>
                <w:iCs/>
                <w:color w:val="FF0000"/>
                <w:sz w:val="16"/>
                <w:szCs w:val="16"/>
                <w:lang w:val="en-US" w:eastAsia="x-none"/>
              </w:rPr>
              <w:t xml:space="preserve">], </w:t>
            </w:r>
          </w:p>
          <w:p w14:paraId="6378E28D" w14:textId="77777777" w:rsidR="009537ED" w:rsidRPr="009537ED" w:rsidRDefault="009537ED" w:rsidP="00A76E0D">
            <w:pPr>
              <w:numPr>
                <w:ilvl w:val="0"/>
                <w:numId w:val="101"/>
              </w:numPr>
              <w:tabs>
                <w:tab w:val="left" w:pos="1575"/>
              </w:tabs>
              <w:spacing w:line="280" w:lineRule="atLeast"/>
              <w:ind w:left="1581" w:hanging="283"/>
              <w:jc w:val="both"/>
              <w:rPr>
                <w:rFonts w:ascii="Arial" w:eastAsia="SimSun" w:hAnsi="Arial" w:cs="Arial"/>
                <w:iCs/>
                <w:color w:val="FF0000"/>
                <w:sz w:val="16"/>
                <w:szCs w:val="16"/>
                <w:lang w:val="en-AU" w:eastAsia="x-none"/>
              </w:rPr>
            </w:pPr>
            <w:r w:rsidRPr="009537ED">
              <w:rPr>
                <w:rFonts w:ascii="Arial" w:eastAsia="SimSun" w:hAnsi="Arial" w:cs="Arial"/>
                <w:iCs/>
                <w:color w:val="FF0000"/>
                <w:sz w:val="16"/>
                <w:szCs w:val="16"/>
                <w:lang w:val="en-US" w:eastAsia="x-none"/>
              </w:rPr>
              <w:t xml:space="preserve">if the </w:t>
            </w:r>
            <w:r w:rsidRPr="009537ED">
              <w:rPr>
                <w:rFonts w:ascii="Arial" w:eastAsia="SimSun" w:hAnsi="Arial" w:cs="Arial"/>
                <w:color w:val="FF0000"/>
                <w:sz w:val="16"/>
                <w:szCs w:val="16"/>
                <w:lang w:eastAsia="x-none"/>
              </w:rPr>
              <w:t xml:space="preserve">UE is configured with higher layer parameter </w:t>
            </w:r>
            <w:r w:rsidRPr="009537ED">
              <w:rPr>
                <w:rFonts w:ascii="Arial" w:eastAsia="SimSun" w:hAnsi="Arial" w:cs="Arial"/>
                <w:i/>
                <w:iCs/>
                <w:color w:val="FF0000"/>
                <w:sz w:val="16"/>
                <w:szCs w:val="16"/>
                <w:lang w:eastAsia="zh-CN"/>
              </w:rPr>
              <w:t>enhanced-dmrs-Type_r18,</w:t>
            </w:r>
            <w:r w:rsidRPr="009537ED">
              <w:rPr>
                <w:rFonts w:ascii="Arial" w:eastAsia="SimSun" w:hAnsi="Arial" w:cs="Arial"/>
                <w:iCs/>
                <w:color w:val="FF0000"/>
                <w:sz w:val="16"/>
                <w:szCs w:val="16"/>
                <w:lang w:val="en-US" w:eastAsia="x-none"/>
              </w:rPr>
              <w:t xml:space="preserve"> the additional processing delay </w:t>
            </w:r>
            <w:r w:rsidRPr="009537ED">
              <w:rPr>
                <w:rFonts w:ascii="Arial" w:eastAsia="SimSun" w:hAnsi="Arial" w:cs="Arial"/>
                <w:i/>
                <w:color w:val="FF0000"/>
                <w:sz w:val="16"/>
                <w:szCs w:val="16"/>
                <w:lang w:val="en-US" w:eastAsia="x-none"/>
              </w:rPr>
              <w:t>d</w:t>
            </w:r>
            <w:r w:rsidRPr="009537ED">
              <w:rPr>
                <w:rFonts w:ascii="Arial" w:eastAsia="SimSun" w:hAnsi="Arial" w:cs="Arial"/>
                <w:i/>
                <w:color w:val="FF0000"/>
                <w:sz w:val="16"/>
                <w:szCs w:val="16"/>
                <w:vertAlign w:val="subscript"/>
                <w:lang w:val="en-US" w:eastAsia="x-none"/>
              </w:rPr>
              <w:t xml:space="preserve">3 </w:t>
            </w:r>
            <w:r w:rsidRPr="009537ED">
              <w:rPr>
                <w:rFonts w:ascii="Arial" w:eastAsia="SimSun" w:hAnsi="Arial" w:cs="Arial"/>
                <w:iCs/>
                <w:color w:val="FF0000"/>
                <w:sz w:val="16"/>
                <w:szCs w:val="16"/>
                <w:lang w:val="en-US" w:eastAsia="x-none"/>
              </w:rPr>
              <w:t>is indicated by [</w:t>
            </w:r>
            <w:r w:rsidRPr="009537ED">
              <w:rPr>
                <w:rFonts w:ascii="Arial" w:eastAsia="SimSun" w:hAnsi="Arial" w:cs="Arial"/>
                <w:i/>
                <w:color w:val="FF0000"/>
                <w:sz w:val="16"/>
                <w:szCs w:val="16"/>
                <w:lang w:val="en-US" w:eastAsia="x-none"/>
              </w:rPr>
              <w:t>UE Capability name</w:t>
            </w:r>
            <w:r w:rsidRPr="009537ED">
              <w:rPr>
                <w:rFonts w:ascii="Arial" w:eastAsia="SimSun" w:hAnsi="Arial" w:cs="Arial"/>
                <w:iCs/>
                <w:color w:val="FF0000"/>
                <w:sz w:val="16"/>
                <w:szCs w:val="16"/>
                <w:lang w:val="en-US" w:eastAsia="x-none"/>
              </w:rPr>
              <w:t xml:space="preserve">]. </w:t>
            </w:r>
          </w:p>
          <w:p w14:paraId="2F9837AE" w14:textId="77777777" w:rsidR="009537ED" w:rsidRPr="009537ED" w:rsidRDefault="009537ED" w:rsidP="00A76E0D">
            <w:pPr>
              <w:numPr>
                <w:ilvl w:val="0"/>
                <w:numId w:val="101"/>
              </w:numPr>
              <w:tabs>
                <w:tab w:val="left" w:pos="1575"/>
              </w:tabs>
              <w:spacing w:line="280" w:lineRule="atLeast"/>
              <w:ind w:left="1581" w:hanging="283"/>
              <w:jc w:val="both"/>
              <w:rPr>
                <w:rFonts w:ascii="Arial" w:eastAsia="SimSun" w:hAnsi="Arial" w:cs="Arial"/>
                <w:iCs/>
                <w:color w:val="FF0000"/>
                <w:sz w:val="16"/>
                <w:szCs w:val="16"/>
                <w:lang w:val="en-AU" w:eastAsia="x-none"/>
              </w:rPr>
            </w:pPr>
            <w:r w:rsidRPr="009537ED">
              <w:rPr>
                <w:rFonts w:ascii="Arial" w:eastAsia="SimSun" w:hAnsi="Arial" w:cs="Arial"/>
                <w:iCs/>
                <w:color w:val="FF0000"/>
                <w:sz w:val="16"/>
                <w:szCs w:val="16"/>
                <w:lang w:val="zh-CN" w:eastAsia="x-none"/>
              </w:rPr>
              <w:t xml:space="preserve">Otherwise </w:t>
            </w:r>
            <w:r w:rsidRPr="009537ED">
              <w:rPr>
                <w:rFonts w:ascii="Arial" w:eastAsia="SimSun" w:hAnsi="Arial" w:cs="Arial"/>
                <w:i/>
                <w:color w:val="FF0000"/>
                <w:sz w:val="16"/>
                <w:szCs w:val="16"/>
                <w:lang w:val="zh-CN" w:eastAsia="x-none"/>
              </w:rPr>
              <w:t>d</w:t>
            </w:r>
            <w:r w:rsidRPr="009537ED">
              <w:rPr>
                <w:rFonts w:ascii="Arial" w:eastAsia="SimSun" w:hAnsi="Arial" w:cs="Arial"/>
                <w:i/>
                <w:color w:val="FF0000"/>
                <w:sz w:val="16"/>
                <w:szCs w:val="16"/>
                <w:vertAlign w:val="subscript"/>
                <w:lang w:val="zh-CN" w:eastAsia="x-none"/>
              </w:rPr>
              <w:t xml:space="preserve">3 </w:t>
            </w:r>
            <w:r w:rsidRPr="009537ED">
              <w:rPr>
                <w:rFonts w:ascii="Arial" w:eastAsia="SimSun" w:hAnsi="Arial" w:cs="Arial"/>
                <w:iCs/>
                <w:color w:val="FF0000"/>
                <w:sz w:val="16"/>
                <w:szCs w:val="16"/>
                <w:lang w:val="zh-CN" w:eastAsia="x-none"/>
              </w:rPr>
              <w:t>=0.</w:t>
            </w:r>
          </w:p>
          <w:p w14:paraId="7D9CDCBB" w14:textId="3789EEFB" w:rsidR="009537ED" w:rsidRPr="009537ED" w:rsidRDefault="009537ED" w:rsidP="009537ED">
            <w:pPr>
              <w:ind w:left="568" w:hanging="284"/>
              <w:rPr>
                <w:rFonts w:ascii="Arial" w:hAnsi="Arial" w:cs="Arial"/>
                <w:sz w:val="16"/>
                <w:szCs w:val="16"/>
                <w:lang w:val="en-AU"/>
              </w:rPr>
            </w:pPr>
            <w:r w:rsidRPr="009537ED">
              <w:rPr>
                <w:rFonts w:ascii="Arial" w:hAnsi="Arial" w:cs="Arial"/>
                <w:i/>
                <w:sz w:val="16"/>
                <w:szCs w:val="16"/>
              </w:rPr>
              <w:t>-</w:t>
            </w:r>
            <w:r w:rsidRPr="009537ED">
              <w:rPr>
                <w:rFonts w:ascii="Arial" w:hAnsi="Arial" w:cs="Arial"/>
                <w:i/>
                <w:sz w:val="16"/>
                <w:szCs w:val="16"/>
                <w:lang w:val="en-US"/>
              </w:rPr>
              <w:tab/>
            </w:r>
            <w:r w:rsidRPr="009537ED">
              <w:rPr>
                <w:rFonts w:ascii="Arial" w:hAnsi="Arial" w:cs="Arial"/>
                <w:color w:val="000000"/>
                <w:sz w:val="16"/>
                <w:szCs w:val="16"/>
                <w:lang w:val="en-US"/>
              </w:rPr>
              <w:t>For operation with shared spectrum channel access</w:t>
            </w:r>
            <w:r w:rsidRPr="009537ED">
              <w:rPr>
                <w:rFonts w:ascii="Arial" w:hAnsi="Arial" w:cs="Arial"/>
                <w:color w:val="000000"/>
                <w:sz w:val="16"/>
                <w:szCs w:val="16"/>
                <w:lang w:eastAsia="zh-CN"/>
              </w:rPr>
              <w:t xml:space="preserve"> in FR1</w:t>
            </w:r>
            <w:r w:rsidRPr="009537ED">
              <w:rPr>
                <w:rFonts w:ascii="Arial" w:hAnsi="Arial" w:cs="Arial"/>
                <w:color w:val="000000"/>
                <w:sz w:val="16"/>
                <w:szCs w:val="16"/>
                <w:lang w:val="en-US"/>
              </w:rPr>
              <w:t xml:space="preserve">, </w:t>
            </w:r>
            <m:oMath>
              <m:sSub>
                <m:sSubPr>
                  <m:ctrlPr>
                    <w:rPr>
                      <w:rFonts w:ascii="Cambria Math" w:hAnsi="Cambria Math" w:cs="Arial"/>
                      <w:i/>
                      <w:sz w:val="16"/>
                      <w:szCs w:val="16"/>
                      <w:lang w:val="zh-CN"/>
                    </w:rPr>
                  </m:ctrlPr>
                </m:sSubPr>
                <m:e>
                  <m:r>
                    <w:rPr>
                      <w:rFonts w:ascii="Cambria Math" w:hAnsi="Cambria Math" w:cs="Arial"/>
                      <w:sz w:val="16"/>
                      <w:szCs w:val="16"/>
                      <w:lang w:val="zh-CN"/>
                    </w:rPr>
                    <m:t>T</m:t>
                  </m:r>
                </m:e>
                <m:sub>
                  <m:r>
                    <w:rPr>
                      <w:rFonts w:ascii="Cambria Math" w:hAnsi="Cambria Math" w:cs="Arial"/>
                      <w:sz w:val="16"/>
                      <w:szCs w:val="16"/>
                      <w:lang w:val="zh-CN"/>
                    </w:rPr>
                    <m:t>ext</m:t>
                  </m:r>
                </m:sub>
              </m:sSub>
            </m:oMath>
            <w:r w:rsidRPr="009537ED">
              <w:rPr>
                <w:rFonts w:ascii="Arial" w:hAnsi="Arial" w:cs="Arial"/>
                <w:sz w:val="16"/>
                <w:szCs w:val="16"/>
                <w:lang w:val="en-US"/>
              </w:rPr>
              <w:t xml:space="preserve"> is calculated according to [4, TS 38.211], otherwise </w:t>
            </w:r>
            <m:oMath>
              <m:sSub>
                <m:sSubPr>
                  <m:ctrlPr>
                    <w:rPr>
                      <w:rFonts w:ascii="Cambria Math" w:hAnsi="Cambria Math" w:cs="Arial"/>
                      <w:i/>
                      <w:sz w:val="16"/>
                      <w:szCs w:val="16"/>
                      <w:lang w:val="zh-CN"/>
                    </w:rPr>
                  </m:ctrlPr>
                </m:sSubPr>
                <m:e>
                  <m:r>
                    <w:rPr>
                      <w:rFonts w:ascii="Cambria Math" w:hAnsi="Cambria Math" w:cs="Arial"/>
                      <w:sz w:val="16"/>
                      <w:szCs w:val="16"/>
                      <w:lang w:val="zh-CN"/>
                    </w:rPr>
                    <m:t>T</m:t>
                  </m:r>
                </m:e>
                <m:sub>
                  <m:r>
                    <w:rPr>
                      <w:rFonts w:ascii="Cambria Math" w:hAnsi="Cambria Math" w:cs="Arial"/>
                      <w:sz w:val="16"/>
                      <w:szCs w:val="16"/>
                      <w:lang w:val="zh-CN"/>
                    </w:rPr>
                    <m:t>ext</m:t>
                  </m:r>
                </m:sub>
              </m:sSub>
            </m:oMath>
            <w:r w:rsidRPr="009537ED">
              <w:rPr>
                <w:rFonts w:ascii="Arial" w:hAnsi="Arial" w:cs="Arial"/>
                <w:sz w:val="16"/>
                <w:szCs w:val="16"/>
                <w:lang w:val="en-US"/>
              </w:rPr>
              <w:t>=0.</w:t>
            </w:r>
          </w:p>
          <w:p w14:paraId="05CCFFED" w14:textId="77777777" w:rsidR="009537ED" w:rsidRPr="009537ED" w:rsidRDefault="009537ED" w:rsidP="009537ED">
            <w:pPr>
              <w:jc w:val="center"/>
              <w:rPr>
                <w:rFonts w:ascii="Arial" w:eastAsia="MS Mincho" w:hAnsi="Arial" w:cs="Arial"/>
                <w:i/>
                <w:iCs/>
                <w:color w:val="000000"/>
                <w:sz w:val="16"/>
                <w:szCs w:val="16"/>
              </w:rPr>
            </w:pPr>
            <w:r w:rsidRPr="009537ED">
              <w:rPr>
                <w:rFonts w:ascii="Arial" w:hAnsi="Arial" w:cs="Arial"/>
                <w:color w:val="FF0000"/>
                <w:sz w:val="16"/>
                <w:szCs w:val="16"/>
                <w:lang w:eastAsia="zh-CN"/>
              </w:rPr>
              <w:t xml:space="preserve">&lt; </w:t>
            </w:r>
            <w:r w:rsidRPr="009537ED">
              <w:rPr>
                <w:rFonts w:ascii="Arial" w:hAnsi="Arial" w:cs="Arial"/>
                <w:color w:val="FF0000"/>
                <w:sz w:val="16"/>
                <w:szCs w:val="16"/>
              </w:rPr>
              <w:t>Unchanged parts are omitted</w:t>
            </w:r>
            <w:r w:rsidRPr="009537ED">
              <w:rPr>
                <w:rFonts w:ascii="Arial" w:hAnsi="Arial" w:cs="Arial"/>
                <w:color w:val="FF0000"/>
                <w:sz w:val="16"/>
                <w:szCs w:val="16"/>
                <w:lang w:eastAsia="zh-CN"/>
              </w:rPr>
              <w:t xml:space="preserve"> &gt;</w:t>
            </w:r>
          </w:p>
        </w:tc>
      </w:tr>
    </w:tbl>
    <w:p w14:paraId="14525D7D" w14:textId="77777777" w:rsidR="009537ED" w:rsidRPr="009537ED" w:rsidRDefault="009537ED" w:rsidP="009537ED">
      <w:pPr>
        <w:rPr>
          <w:rFonts w:ascii="Times New Roman" w:hAnsi="Times New Roman"/>
          <w:szCs w:val="20"/>
          <w:lang w:eastAsia="x-none"/>
        </w:rPr>
      </w:pPr>
    </w:p>
    <w:p w14:paraId="1832B004" w14:textId="77777777" w:rsidR="009537ED" w:rsidRPr="009537ED" w:rsidRDefault="009537ED" w:rsidP="009537ED">
      <w:pPr>
        <w:rPr>
          <w:rFonts w:ascii="Times New Roman" w:hAnsi="Times New Roman"/>
          <w:szCs w:val="20"/>
          <w:highlight w:val="green"/>
          <w:lang w:eastAsia="zh-CN"/>
        </w:rPr>
      </w:pPr>
      <w:r>
        <w:rPr>
          <w:rFonts w:ascii="Times New Roman" w:hAnsi="Times New Roman"/>
          <w:szCs w:val="20"/>
          <w:highlight w:val="green"/>
          <w:lang w:eastAsia="zh-CN"/>
        </w:rPr>
        <w:t>Agreement</w:t>
      </w:r>
    </w:p>
    <w:p w14:paraId="31127CFE" w14:textId="77777777" w:rsidR="009537ED" w:rsidRPr="009537ED" w:rsidRDefault="009537ED" w:rsidP="009537ED">
      <w:pPr>
        <w:rPr>
          <w:lang w:eastAsia="ja-JP"/>
        </w:rPr>
      </w:pPr>
      <w:r w:rsidRPr="009537ED">
        <w:rPr>
          <w:lang w:eastAsia="ja-JP"/>
        </w:rPr>
        <w:t>For two PTRS ports for partial-/non-coherent PUSCH, support to determine the time density of both PTRS ports by the relationship between the higher MCS of associated CW and configured thresholds.</w:t>
      </w:r>
    </w:p>
    <w:p w14:paraId="2D51E149" w14:textId="77777777" w:rsidR="009537ED" w:rsidRPr="009537ED" w:rsidRDefault="009537ED" w:rsidP="009537ED">
      <w:pPr>
        <w:rPr>
          <w:lang w:eastAsia="ja-JP"/>
        </w:rPr>
      </w:pPr>
      <w:r w:rsidRPr="009537ED">
        <w:rPr>
          <w:rFonts w:eastAsia="SimSun"/>
          <w:lang w:eastAsia="zh-CN"/>
        </w:rPr>
        <w:t>Adopt the following TP for TS 38.214 v18.0.0.</w:t>
      </w:r>
    </w:p>
    <w:p w14:paraId="393C6C29" w14:textId="77777777" w:rsidR="009537ED" w:rsidRPr="009537ED" w:rsidRDefault="009537ED" w:rsidP="00A76E0D">
      <w:pPr>
        <w:pStyle w:val="ListParagraph"/>
        <w:numPr>
          <w:ilvl w:val="0"/>
          <w:numId w:val="105"/>
        </w:numPr>
      </w:pPr>
      <w:r w:rsidRPr="009537ED">
        <w:t>Reason for change: Based on the current spec., the time density of two PTRS ports can be different, which is unfriendly to UE implementation and should be avoided.</w:t>
      </w:r>
    </w:p>
    <w:p w14:paraId="5E0E350A" w14:textId="77777777" w:rsidR="009537ED" w:rsidRPr="009537ED" w:rsidRDefault="009537ED" w:rsidP="00A76E0D">
      <w:pPr>
        <w:pStyle w:val="ListParagraph"/>
        <w:numPr>
          <w:ilvl w:val="0"/>
          <w:numId w:val="105"/>
        </w:numPr>
      </w:pPr>
      <w:r w:rsidRPr="009537ED">
        <w:t>Summary of change: The time density of two PTRS ports is determined based on the higher one of the MCSs of two codewords.</w:t>
      </w:r>
    </w:p>
    <w:p w14:paraId="621599CC" w14:textId="77777777" w:rsidR="009537ED" w:rsidRPr="009537ED" w:rsidRDefault="009537ED" w:rsidP="00A76E0D">
      <w:pPr>
        <w:pStyle w:val="ListParagraph"/>
        <w:numPr>
          <w:ilvl w:val="0"/>
          <w:numId w:val="105"/>
        </w:numPr>
      </w:pPr>
      <w:r w:rsidRPr="009537ED">
        <w:t>Consequence if not approved: It causes unnecessary UE implementation complexity.</w:t>
      </w:r>
    </w:p>
    <w:tbl>
      <w:tblPr>
        <w:tblW w:w="5000" w:type="pct"/>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0683"/>
      </w:tblGrid>
      <w:tr w:rsidR="009537ED" w:rsidRPr="009537ED" w14:paraId="0C0D582D" w14:textId="77777777" w:rsidTr="008F6D67">
        <w:tc>
          <w:tcPr>
            <w:tcW w:w="5000" w:type="pct"/>
            <w:shd w:val="clear" w:color="auto" w:fill="auto"/>
          </w:tcPr>
          <w:p w14:paraId="71BA06CA" w14:textId="133FCE27" w:rsidR="009537ED" w:rsidRPr="009537ED" w:rsidRDefault="009537ED" w:rsidP="009537ED">
            <w:pPr>
              <w:rPr>
                <w:rFonts w:ascii="Arial" w:hAnsi="Arial" w:cs="Arial"/>
                <w:b/>
                <w:bCs/>
                <w:color w:val="000000"/>
                <w:sz w:val="16"/>
                <w:szCs w:val="16"/>
              </w:rPr>
            </w:pPr>
            <w:r w:rsidRPr="009537ED">
              <w:rPr>
                <w:rFonts w:ascii="Arial" w:hAnsi="Arial" w:cs="Arial"/>
                <w:b/>
                <w:bCs/>
                <w:color w:val="000000"/>
                <w:sz w:val="16"/>
                <w:szCs w:val="16"/>
              </w:rPr>
              <w:t>6.2.3.1</w:t>
            </w:r>
            <w:r w:rsidR="008F6D67" w:rsidRPr="009537ED">
              <w:rPr>
                <w:rFonts w:ascii="Arial" w:hAnsi="Arial" w:cs="Arial"/>
                <w:b/>
                <w:bCs/>
                <w:color w:val="000000"/>
                <w:sz w:val="16"/>
                <w:szCs w:val="16"/>
              </w:rPr>
              <w:tab/>
            </w:r>
            <w:r w:rsidRPr="009537ED">
              <w:rPr>
                <w:rFonts w:ascii="Arial" w:hAnsi="Arial" w:cs="Arial"/>
                <w:b/>
                <w:bCs/>
                <w:color w:val="000000"/>
                <w:sz w:val="16"/>
                <w:szCs w:val="16"/>
              </w:rPr>
              <w:t>UE PT-RS transmission procedure when transform precoding is not enabled</w:t>
            </w:r>
          </w:p>
          <w:p w14:paraId="08A371DE" w14:textId="77777777" w:rsidR="009537ED" w:rsidRPr="009537ED" w:rsidRDefault="009537ED" w:rsidP="009537ED">
            <w:pPr>
              <w:jc w:val="center"/>
              <w:rPr>
                <w:rFonts w:ascii="Arial" w:hAnsi="Arial" w:cs="Arial"/>
                <w:color w:val="FF0000"/>
                <w:sz w:val="16"/>
                <w:szCs w:val="16"/>
                <w:lang w:eastAsia="zh-CN"/>
              </w:rPr>
            </w:pPr>
            <w:r w:rsidRPr="009537ED">
              <w:rPr>
                <w:rFonts w:ascii="Arial" w:hAnsi="Arial" w:cs="Arial"/>
                <w:color w:val="FF0000"/>
                <w:sz w:val="16"/>
                <w:szCs w:val="16"/>
                <w:lang w:eastAsia="zh-CN"/>
              </w:rPr>
              <w:t xml:space="preserve">&lt; </w:t>
            </w:r>
            <w:r w:rsidRPr="009537ED">
              <w:rPr>
                <w:rFonts w:ascii="Arial" w:hAnsi="Arial" w:cs="Arial"/>
                <w:color w:val="FF0000"/>
                <w:sz w:val="16"/>
                <w:szCs w:val="16"/>
              </w:rPr>
              <w:t>Unchanged parts are omitted</w:t>
            </w:r>
            <w:r w:rsidRPr="009537ED">
              <w:rPr>
                <w:rFonts w:ascii="Arial" w:hAnsi="Arial" w:cs="Arial"/>
                <w:color w:val="FF0000"/>
                <w:sz w:val="16"/>
                <w:szCs w:val="16"/>
                <w:lang w:eastAsia="zh-CN"/>
              </w:rPr>
              <w:t xml:space="preserve"> &gt;</w:t>
            </w:r>
          </w:p>
          <w:p w14:paraId="0153F625" w14:textId="77777777" w:rsidR="009537ED" w:rsidRPr="009537ED" w:rsidRDefault="009537ED" w:rsidP="009537ED">
            <w:pPr>
              <w:rPr>
                <w:rFonts w:ascii="Arial" w:eastAsia="Malgun Gothic" w:hAnsi="Arial" w:cs="Arial"/>
                <w:color w:val="000000"/>
                <w:sz w:val="16"/>
                <w:szCs w:val="16"/>
                <w:lang w:eastAsia="ko-KR"/>
              </w:rPr>
            </w:pPr>
            <w:r w:rsidRPr="009537ED">
              <w:rPr>
                <w:rFonts w:ascii="Arial" w:eastAsia="Malgun Gothic" w:hAnsi="Arial" w:cs="Arial"/>
                <w:color w:val="000000"/>
                <w:sz w:val="16"/>
                <w:szCs w:val="16"/>
                <w:lang w:eastAsia="ko-KR"/>
              </w:rPr>
              <w:t xml:space="preserve">When a UE is scheduled to transmit PUSCH with allocation duration of 2 symbols or less, and if </w:t>
            </w:r>
            <w:r w:rsidRPr="009537ED">
              <w:rPr>
                <w:rFonts w:ascii="Arial" w:eastAsia="Malgun Gothic" w:hAnsi="Arial" w:cs="Arial"/>
                <w:i/>
                <w:iCs/>
                <w:color w:val="000000"/>
                <w:sz w:val="16"/>
                <w:szCs w:val="16"/>
                <w:lang w:eastAsia="ko-KR"/>
              </w:rPr>
              <w:t>L</w:t>
            </w:r>
            <w:r w:rsidRPr="009537ED">
              <w:rPr>
                <w:rFonts w:ascii="Arial" w:eastAsia="Malgun Gothic" w:hAnsi="Arial" w:cs="Arial"/>
                <w:i/>
                <w:iCs/>
                <w:color w:val="000000"/>
                <w:sz w:val="16"/>
                <w:szCs w:val="16"/>
                <w:vertAlign w:val="subscript"/>
                <w:lang w:eastAsia="ko-KR"/>
              </w:rPr>
              <w:t>PT-RS</w:t>
            </w:r>
            <w:r w:rsidRPr="009537ED">
              <w:rPr>
                <w:rFonts w:ascii="Arial" w:eastAsia="Malgun Gothic" w:hAnsi="Arial" w:cs="Arial"/>
                <w:color w:val="000000"/>
                <w:sz w:val="16"/>
                <w:szCs w:val="16"/>
                <w:lang w:eastAsia="ko-KR"/>
              </w:rPr>
              <w:t xml:space="preserve"> is set to 2 or 4, the UE shall not transmit PT-RS. When a UE is scheduled to transmit PUSCH with allocation duration of 4 symbols or less, and if </w:t>
            </w:r>
            <w:r w:rsidRPr="009537ED">
              <w:rPr>
                <w:rFonts w:ascii="Arial" w:eastAsia="Malgun Gothic" w:hAnsi="Arial" w:cs="Arial"/>
                <w:i/>
                <w:iCs/>
                <w:color w:val="000000"/>
                <w:sz w:val="16"/>
                <w:szCs w:val="16"/>
                <w:lang w:eastAsia="ko-KR"/>
              </w:rPr>
              <w:t>L</w:t>
            </w:r>
            <w:r w:rsidRPr="009537ED">
              <w:rPr>
                <w:rFonts w:ascii="Arial" w:eastAsia="Malgun Gothic" w:hAnsi="Arial" w:cs="Arial"/>
                <w:i/>
                <w:iCs/>
                <w:color w:val="000000"/>
                <w:sz w:val="16"/>
                <w:szCs w:val="16"/>
                <w:vertAlign w:val="subscript"/>
                <w:lang w:eastAsia="ko-KR"/>
              </w:rPr>
              <w:t>PT-RS</w:t>
            </w:r>
            <w:r w:rsidRPr="009537ED">
              <w:rPr>
                <w:rFonts w:ascii="Arial" w:eastAsia="Malgun Gothic" w:hAnsi="Arial" w:cs="Arial"/>
                <w:color w:val="000000"/>
                <w:sz w:val="16"/>
                <w:szCs w:val="16"/>
                <w:lang w:eastAsia="ko-KR"/>
              </w:rPr>
              <w:t xml:space="preserve"> is set to 4, the UE shall not transmit PT-RS.</w:t>
            </w:r>
          </w:p>
          <w:p w14:paraId="0D16882A" w14:textId="77777777" w:rsidR="009537ED" w:rsidRPr="009537ED" w:rsidRDefault="009537ED" w:rsidP="009537ED">
            <w:pPr>
              <w:rPr>
                <w:rFonts w:ascii="Arial" w:eastAsia="Malgun Gothic" w:hAnsi="Arial" w:cs="Arial"/>
                <w:color w:val="000000"/>
                <w:sz w:val="16"/>
                <w:szCs w:val="16"/>
                <w:lang w:eastAsia="ko-KR"/>
              </w:rPr>
            </w:pPr>
            <w:r w:rsidRPr="009537ED">
              <w:rPr>
                <w:rFonts w:ascii="Arial" w:eastAsia="Malgun Gothic" w:hAnsi="Arial" w:cs="Arial"/>
                <w:color w:val="000000"/>
                <w:sz w:val="16"/>
                <w:szCs w:val="16"/>
                <w:lang w:eastAsia="ko-KR"/>
              </w:rPr>
              <w:t xml:space="preserve">When a UE is scheduled to transmit PUSCH for retransmission, if the UE is scheduled with </w:t>
            </w:r>
            <w:r w:rsidRPr="009537ED">
              <w:rPr>
                <w:rFonts w:ascii="Arial" w:eastAsia="Malgun Gothic" w:hAnsi="Arial" w:cs="Arial"/>
                <w:i/>
                <w:color w:val="000000"/>
                <w:kern w:val="2"/>
                <w:sz w:val="16"/>
                <w:szCs w:val="16"/>
                <w:lang w:eastAsia="zh-CN"/>
              </w:rPr>
              <w:t>I</w:t>
            </w:r>
            <w:r w:rsidRPr="009537ED">
              <w:rPr>
                <w:rFonts w:ascii="Arial" w:eastAsia="Malgun Gothic" w:hAnsi="Arial" w:cs="Arial"/>
                <w:i/>
                <w:color w:val="000000"/>
                <w:kern w:val="2"/>
                <w:sz w:val="16"/>
                <w:szCs w:val="16"/>
                <w:vertAlign w:val="subscript"/>
                <w:lang w:eastAsia="zh-CN"/>
              </w:rPr>
              <w:t>MCS</w:t>
            </w:r>
            <w:r w:rsidRPr="009537ED">
              <w:rPr>
                <w:rFonts w:ascii="Arial" w:eastAsia="Malgun Gothic" w:hAnsi="Arial" w:cs="Arial"/>
                <w:color w:val="000000"/>
                <w:sz w:val="16"/>
                <w:szCs w:val="16"/>
                <w:lang w:eastAsia="ko-KR"/>
              </w:rPr>
              <w:t xml:space="preserve"> &gt; </w:t>
            </w:r>
            <w:r w:rsidRPr="009537ED">
              <w:rPr>
                <w:rFonts w:ascii="Arial" w:eastAsia="Malgun Gothic" w:hAnsi="Arial" w:cs="Arial"/>
                <w:i/>
                <w:color w:val="000000"/>
                <w:sz w:val="16"/>
                <w:szCs w:val="16"/>
                <w:lang w:eastAsia="ko-KR"/>
              </w:rPr>
              <w:t>V</w:t>
            </w:r>
            <w:r w:rsidRPr="009537ED">
              <w:rPr>
                <w:rFonts w:ascii="Arial" w:eastAsia="Malgun Gothic" w:hAnsi="Arial" w:cs="Arial"/>
                <w:color w:val="000000"/>
                <w:sz w:val="16"/>
                <w:szCs w:val="16"/>
                <w:lang w:eastAsia="ko-KR"/>
              </w:rPr>
              <w:t xml:space="preserve">, where </w:t>
            </w:r>
            <w:r w:rsidRPr="009537ED">
              <w:rPr>
                <w:rFonts w:ascii="Arial" w:eastAsia="Malgun Gothic" w:hAnsi="Arial" w:cs="Arial"/>
                <w:i/>
                <w:color w:val="000000"/>
                <w:sz w:val="16"/>
                <w:szCs w:val="16"/>
                <w:lang w:eastAsia="ko-KR"/>
              </w:rPr>
              <w:t>V</w:t>
            </w:r>
            <w:r w:rsidRPr="009537ED">
              <w:rPr>
                <w:rFonts w:ascii="Arial" w:eastAsia="Malgun Gothic" w:hAnsi="Arial" w:cs="Arial"/>
                <w:color w:val="000000"/>
                <w:sz w:val="16"/>
                <w:szCs w:val="16"/>
                <w:lang w:eastAsia="ko-KR"/>
              </w:rPr>
              <w:t xml:space="preserve"> = 28 for MCS Table 5.1.3.1-1 and MCS Table 5.1.3.1-3 and </w:t>
            </w:r>
            <w:r w:rsidRPr="009537ED">
              <w:rPr>
                <w:rFonts w:ascii="Arial" w:eastAsia="Malgun Gothic" w:hAnsi="Arial" w:cs="Arial"/>
                <w:i/>
                <w:color w:val="000000"/>
                <w:sz w:val="16"/>
                <w:szCs w:val="16"/>
                <w:lang w:eastAsia="ko-KR"/>
              </w:rPr>
              <w:t>V</w:t>
            </w:r>
            <w:r w:rsidRPr="009537ED">
              <w:rPr>
                <w:rFonts w:ascii="Arial" w:eastAsia="Malgun Gothic" w:hAnsi="Arial" w:cs="Arial"/>
                <w:color w:val="000000"/>
                <w:sz w:val="16"/>
                <w:szCs w:val="16"/>
                <w:lang w:eastAsia="ko-KR"/>
              </w:rPr>
              <w:t xml:space="preserve"> = 27 for MCS Table 5.1.3.1-2, respectively, the MCS for PT-RS time-density determination is obtained from the DCI for the same transport block in the initial transmission, which is smaller than or equal to V. </w:t>
            </w:r>
          </w:p>
          <w:p w14:paraId="347278DE" w14:textId="77777777" w:rsidR="009537ED" w:rsidRPr="009537ED" w:rsidRDefault="009537ED" w:rsidP="009537ED">
            <w:pPr>
              <w:rPr>
                <w:rFonts w:ascii="Arial" w:eastAsia="Malgun Gothic" w:hAnsi="Arial" w:cs="Arial"/>
                <w:color w:val="FF0000"/>
                <w:sz w:val="16"/>
                <w:szCs w:val="16"/>
                <w:lang w:eastAsia="ko-KR"/>
              </w:rPr>
            </w:pPr>
            <w:r w:rsidRPr="009537ED">
              <w:rPr>
                <w:rFonts w:ascii="Arial" w:hAnsi="Arial" w:cs="Arial"/>
                <w:color w:val="FF0000"/>
                <w:sz w:val="16"/>
                <w:szCs w:val="16"/>
              </w:rPr>
              <w:t xml:space="preserve">If a UE is configured with the higher layer parameter </w:t>
            </w:r>
            <w:r w:rsidRPr="009537ED">
              <w:rPr>
                <w:rFonts w:ascii="Arial" w:hAnsi="Arial" w:cs="Arial"/>
                <w:i/>
                <w:color w:val="FF0000"/>
                <w:sz w:val="16"/>
                <w:szCs w:val="16"/>
              </w:rPr>
              <w:t>maxNrofPorts</w:t>
            </w:r>
            <w:r w:rsidRPr="009537ED">
              <w:rPr>
                <w:rFonts w:ascii="Arial" w:hAnsi="Arial" w:cs="Arial"/>
                <w:color w:val="FF0000"/>
                <w:sz w:val="16"/>
                <w:szCs w:val="16"/>
              </w:rPr>
              <w:t xml:space="preserve"> in </w:t>
            </w:r>
            <w:r w:rsidRPr="009537ED">
              <w:rPr>
                <w:rFonts w:ascii="Arial" w:hAnsi="Arial" w:cs="Arial"/>
                <w:i/>
                <w:color w:val="FF0000"/>
                <w:sz w:val="16"/>
                <w:szCs w:val="16"/>
              </w:rPr>
              <w:t>PTRS-UplinkConfig</w:t>
            </w:r>
            <w:r w:rsidRPr="009537ED">
              <w:rPr>
                <w:rFonts w:ascii="Arial" w:hAnsi="Arial" w:cs="Arial"/>
                <w:color w:val="FF0000"/>
                <w:sz w:val="16"/>
                <w:szCs w:val="16"/>
              </w:rPr>
              <w:t xml:space="preserve"> set to 'n2' and scheduled with two codewords, the PT-RS time-density for both PTRS ports is determined based on the higher MCSs of two codewords associated with the initial transmission.</w:t>
            </w:r>
          </w:p>
          <w:p w14:paraId="2693B82D" w14:textId="77777777" w:rsidR="009537ED" w:rsidRPr="009537ED" w:rsidRDefault="009537ED" w:rsidP="009537ED">
            <w:pPr>
              <w:jc w:val="center"/>
              <w:rPr>
                <w:rFonts w:ascii="Arial" w:hAnsi="Arial" w:cs="Arial"/>
                <w:sz w:val="16"/>
                <w:szCs w:val="16"/>
                <w:lang w:eastAsia="ja-JP"/>
              </w:rPr>
            </w:pPr>
            <w:r w:rsidRPr="009537ED">
              <w:rPr>
                <w:rFonts w:ascii="Arial" w:hAnsi="Arial" w:cs="Arial"/>
                <w:color w:val="FF0000"/>
                <w:sz w:val="16"/>
                <w:szCs w:val="16"/>
                <w:lang w:eastAsia="zh-CN"/>
              </w:rPr>
              <w:t xml:space="preserve">&lt; </w:t>
            </w:r>
            <w:r w:rsidRPr="009537ED">
              <w:rPr>
                <w:rFonts w:ascii="Arial" w:hAnsi="Arial" w:cs="Arial"/>
                <w:color w:val="FF0000"/>
                <w:sz w:val="16"/>
                <w:szCs w:val="16"/>
              </w:rPr>
              <w:t>Unchanged parts are omitted</w:t>
            </w:r>
            <w:r w:rsidRPr="009537ED">
              <w:rPr>
                <w:rFonts w:ascii="Arial" w:hAnsi="Arial" w:cs="Arial"/>
                <w:color w:val="FF0000"/>
                <w:sz w:val="16"/>
                <w:szCs w:val="16"/>
                <w:lang w:eastAsia="zh-CN"/>
              </w:rPr>
              <w:t xml:space="preserve"> &gt;</w:t>
            </w:r>
          </w:p>
        </w:tc>
      </w:tr>
    </w:tbl>
    <w:p w14:paraId="76FC6C8E" w14:textId="77777777" w:rsidR="009537ED" w:rsidRPr="009537ED" w:rsidRDefault="009537ED" w:rsidP="009537ED">
      <w:pPr>
        <w:rPr>
          <w:rFonts w:ascii="Times New Roman" w:hAnsi="Times New Roman"/>
          <w:szCs w:val="20"/>
          <w:lang w:eastAsia="ja-JP"/>
        </w:rPr>
      </w:pPr>
    </w:p>
    <w:p w14:paraId="4CDD809A" w14:textId="77777777" w:rsidR="009537ED" w:rsidRPr="005E4B10" w:rsidRDefault="009537ED" w:rsidP="009537ED">
      <w:pPr>
        <w:rPr>
          <w:rFonts w:ascii="Times New Roman" w:hAnsi="Times New Roman"/>
          <w:szCs w:val="20"/>
          <w:lang w:eastAsia="ja-JP"/>
        </w:rPr>
      </w:pPr>
      <w:r w:rsidRPr="005E4B10">
        <w:rPr>
          <w:rFonts w:ascii="Times New Roman" w:hAnsi="Times New Roman"/>
          <w:szCs w:val="20"/>
          <w:lang w:eastAsia="ja-JP"/>
        </w:rPr>
        <w:t>FL note: the above reverts the following RAN1#113 agreement.</w:t>
      </w:r>
    </w:p>
    <w:tbl>
      <w:tblPr>
        <w:tblW w:w="0" w:type="auto"/>
        <w:jc w:val="cente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0456"/>
      </w:tblGrid>
      <w:tr w:rsidR="009537ED" w:rsidRPr="009537ED" w14:paraId="157A768C" w14:textId="77777777" w:rsidTr="008F6D67">
        <w:trPr>
          <w:jc w:val="center"/>
        </w:trPr>
        <w:tc>
          <w:tcPr>
            <w:tcW w:w="10456" w:type="dxa"/>
            <w:shd w:val="clear" w:color="auto" w:fill="auto"/>
          </w:tcPr>
          <w:p w14:paraId="689B83A9" w14:textId="77777777" w:rsidR="009537ED" w:rsidRPr="009537ED" w:rsidRDefault="009537ED" w:rsidP="009537ED">
            <w:pPr>
              <w:rPr>
                <w:rFonts w:ascii="Times New Roman" w:hAnsi="Times New Roman"/>
                <w:sz w:val="18"/>
                <w:szCs w:val="18"/>
                <w:highlight w:val="green"/>
              </w:rPr>
            </w:pPr>
            <w:r w:rsidRPr="009537ED">
              <w:rPr>
                <w:rFonts w:ascii="Times New Roman" w:hAnsi="Times New Roman"/>
                <w:sz w:val="18"/>
                <w:szCs w:val="18"/>
                <w:highlight w:val="green"/>
              </w:rPr>
              <w:t>Agreement</w:t>
            </w:r>
          </w:p>
          <w:p w14:paraId="3116E3EE" w14:textId="77777777" w:rsidR="009537ED" w:rsidRPr="009537ED" w:rsidRDefault="009537ED" w:rsidP="009537ED">
            <w:pPr>
              <w:ind w:leftChars="400" w:left="800"/>
              <w:rPr>
                <w:rFonts w:ascii="Times New Roman" w:eastAsia="Malgun Gothic" w:hAnsi="Times New Roman"/>
                <w:sz w:val="18"/>
                <w:szCs w:val="18"/>
                <w:lang w:eastAsia="x-none"/>
              </w:rPr>
            </w:pPr>
            <w:r w:rsidRPr="009537ED">
              <w:rPr>
                <w:rFonts w:ascii="Times New Roman" w:eastAsia="Malgun Gothic" w:hAnsi="Times New Roman"/>
                <w:sz w:val="18"/>
                <w:szCs w:val="18"/>
                <w:lang w:eastAsia="x-none"/>
              </w:rPr>
              <w:t>For time density of PTRS of rank 5-8 PUSCH, support Alt.1:</w:t>
            </w:r>
          </w:p>
          <w:p w14:paraId="5632ECC3" w14:textId="77777777" w:rsidR="009537ED" w:rsidRPr="009537ED" w:rsidRDefault="009537ED" w:rsidP="00A76E0D">
            <w:pPr>
              <w:numPr>
                <w:ilvl w:val="0"/>
                <w:numId w:val="102"/>
              </w:numPr>
              <w:rPr>
                <w:rFonts w:ascii="Times New Roman" w:eastAsia="Malgun Gothic" w:hAnsi="Times New Roman"/>
                <w:sz w:val="18"/>
                <w:szCs w:val="18"/>
                <w:lang w:eastAsia="x-none"/>
              </w:rPr>
            </w:pPr>
            <w:r w:rsidRPr="009537ED">
              <w:rPr>
                <w:rFonts w:ascii="Times New Roman" w:eastAsia="Malgun Gothic" w:hAnsi="Times New Roman"/>
                <w:sz w:val="18"/>
                <w:szCs w:val="18"/>
                <w:lang w:eastAsia="x-none"/>
              </w:rPr>
              <w:t xml:space="preserve">Alt.1: Reuse the existing RRC parameter of </w:t>
            </w:r>
            <w:r w:rsidRPr="009537ED">
              <w:rPr>
                <w:rFonts w:ascii="Times New Roman" w:eastAsia="Malgun Gothic" w:hAnsi="Times New Roman"/>
                <w:i/>
                <w:iCs/>
                <w:sz w:val="18"/>
                <w:szCs w:val="18"/>
                <w:lang w:eastAsia="x-none"/>
              </w:rPr>
              <w:t>timeDensity</w:t>
            </w:r>
            <w:r w:rsidRPr="009537ED">
              <w:rPr>
                <w:rFonts w:ascii="Times New Roman" w:eastAsia="Malgun Gothic" w:hAnsi="Times New Roman"/>
                <w:sz w:val="18"/>
                <w:szCs w:val="18"/>
                <w:lang w:eastAsia="x-none"/>
              </w:rPr>
              <w:t xml:space="preserve"> in </w:t>
            </w:r>
            <w:r w:rsidRPr="009537ED">
              <w:rPr>
                <w:rFonts w:ascii="Times New Roman" w:eastAsia="Malgun Gothic" w:hAnsi="Times New Roman"/>
                <w:i/>
                <w:iCs/>
                <w:sz w:val="18"/>
                <w:szCs w:val="18"/>
                <w:lang w:eastAsia="x-none"/>
              </w:rPr>
              <w:t>PTRS-UplinkConfig</w:t>
            </w:r>
            <w:r w:rsidRPr="009537ED">
              <w:rPr>
                <w:rFonts w:ascii="Times New Roman" w:eastAsia="Malgun Gothic" w:hAnsi="Times New Roman"/>
                <w:sz w:val="18"/>
                <w:szCs w:val="18"/>
                <w:lang w:eastAsia="x-none"/>
              </w:rPr>
              <w:t xml:space="preserve"> for both CWs.</w:t>
            </w:r>
          </w:p>
          <w:p w14:paraId="7AB1E3BB" w14:textId="77777777" w:rsidR="009537ED" w:rsidRPr="009537ED" w:rsidRDefault="009537ED" w:rsidP="009537ED">
            <w:pPr>
              <w:rPr>
                <w:rFonts w:ascii="Times New Roman" w:eastAsia="Malgun Gothic" w:hAnsi="Times New Roman"/>
                <w:sz w:val="18"/>
                <w:szCs w:val="18"/>
                <w:lang w:eastAsia="ja-JP"/>
              </w:rPr>
            </w:pPr>
            <w:r w:rsidRPr="009537ED">
              <w:rPr>
                <w:rFonts w:ascii="Times New Roman" w:eastAsia="Malgun Gothic" w:hAnsi="Times New Roman"/>
                <w:sz w:val="18"/>
                <w:szCs w:val="18"/>
                <w:lang w:eastAsia="ja-JP"/>
              </w:rPr>
              <w:t xml:space="preserve">The time density for an PTRS port is determined </w:t>
            </w:r>
            <w:r w:rsidRPr="009537ED">
              <w:rPr>
                <w:rFonts w:ascii="Times New Roman" w:eastAsia="Malgun Gothic" w:hAnsi="Times New Roman"/>
                <w:color w:val="FF0000"/>
                <w:sz w:val="18"/>
                <w:szCs w:val="18"/>
                <w:lang w:eastAsia="ja-JP"/>
              </w:rPr>
              <w:t>by the MCS for the associated CW</w:t>
            </w:r>
          </w:p>
        </w:tc>
      </w:tr>
    </w:tbl>
    <w:p w14:paraId="162284D8" w14:textId="77777777" w:rsidR="009537ED" w:rsidRPr="009537ED" w:rsidRDefault="009537ED" w:rsidP="009537ED">
      <w:pPr>
        <w:rPr>
          <w:rFonts w:ascii="Times New Roman" w:hAnsi="Times New Roman"/>
          <w:szCs w:val="20"/>
          <w:lang w:eastAsia="ja-JP"/>
        </w:rPr>
      </w:pPr>
    </w:p>
    <w:p w14:paraId="642D09C9" w14:textId="77777777" w:rsidR="009537ED" w:rsidRDefault="009537ED" w:rsidP="00F74A6F">
      <w:pPr>
        <w:rPr>
          <w:lang w:eastAsia="x-none"/>
        </w:rPr>
      </w:pPr>
    </w:p>
    <w:p w14:paraId="705CFE88" w14:textId="29DF2494" w:rsidR="009537ED" w:rsidRPr="000D60C3" w:rsidRDefault="005A18DC" w:rsidP="009537ED">
      <w:pPr>
        <w:rPr>
          <w:b/>
          <w:bCs/>
          <w:lang w:eastAsia="x-none"/>
        </w:rPr>
      </w:pPr>
      <w:hyperlink r:id="rId868" w:history="1">
        <w:r w:rsidR="00AF7253">
          <w:rPr>
            <w:rStyle w:val="Hyperlink"/>
            <w:b/>
            <w:bCs/>
            <w:lang w:eastAsia="x-none"/>
          </w:rPr>
          <w:t>R1-2312267</w:t>
        </w:r>
      </w:hyperlink>
      <w:r w:rsidR="009537ED" w:rsidRPr="000D60C3">
        <w:rPr>
          <w:b/>
          <w:bCs/>
          <w:lang w:eastAsia="x-none"/>
        </w:rPr>
        <w:tab/>
        <w:t>FL summary#2 on DMRS</w:t>
      </w:r>
      <w:r w:rsidR="009537ED" w:rsidRPr="000D60C3">
        <w:rPr>
          <w:b/>
          <w:bCs/>
          <w:lang w:eastAsia="x-none"/>
        </w:rPr>
        <w:tab/>
        <w:t>Moderator (NTT DOCOMO)</w:t>
      </w:r>
    </w:p>
    <w:p w14:paraId="598C1BC1" w14:textId="445FB725" w:rsidR="000D60C3" w:rsidRDefault="000D60C3" w:rsidP="009537ED">
      <w:pPr>
        <w:rPr>
          <w:lang w:eastAsia="x-none"/>
        </w:rPr>
      </w:pPr>
      <w:r>
        <w:rPr>
          <w:lang w:eastAsia="x-none"/>
        </w:rPr>
        <w:t>From Wednesday session</w:t>
      </w:r>
    </w:p>
    <w:p w14:paraId="03507D8E" w14:textId="77777777" w:rsidR="000D60C3" w:rsidRPr="009537ED" w:rsidRDefault="000D60C3" w:rsidP="000D60C3">
      <w:pPr>
        <w:rPr>
          <w:rFonts w:ascii="Times New Roman" w:hAnsi="Times New Roman"/>
          <w:szCs w:val="20"/>
          <w:highlight w:val="green"/>
          <w:lang w:eastAsia="zh-CN"/>
        </w:rPr>
      </w:pPr>
      <w:r>
        <w:rPr>
          <w:rFonts w:ascii="Times New Roman" w:hAnsi="Times New Roman"/>
          <w:szCs w:val="20"/>
          <w:highlight w:val="green"/>
          <w:lang w:eastAsia="zh-CN"/>
        </w:rPr>
        <w:t>Agreement</w:t>
      </w:r>
    </w:p>
    <w:p w14:paraId="435626B2" w14:textId="7F402AB4" w:rsidR="000D60C3" w:rsidRDefault="000D60C3" w:rsidP="000D60C3">
      <w:pPr>
        <w:rPr>
          <w:lang w:eastAsia="ja-JP"/>
        </w:rPr>
      </w:pPr>
      <w:r>
        <w:rPr>
          <w:lang w:eastAsia="ja-JP"/>
        </w:rPr>
        <w:t xml:space="preserve">The following TPs in </w:t>
      </w:r>
      <w:hyperlink r:id="rId869" w:history="1">
        <w:r w:rsidR="00AF7253">
          <w:rPr>
            <w:rStyle w:val="Hyperlink"/>
            <w:lang w:eastAsia="ja-JP"/>
          </w:rPr>
          <w:t>R1-2312267</w:t>
        </w:r>
      </w:hyperlink>
      <w:r>
        <w:rPr>
          <w:lang w:eastAsia="ja-JP"/>
        </w:rPr>
        <w:t xml:space="preserve"> are agreed for the editor’s CR.</w:t>
      </w:r>
    </w:p>
    <w:p w14:paraId="5B17455E" w14:textId="77777777" w:rsidR="000D60C3" w:rsidRPr="000D60C3" w:rsidRDefault="000D60C3" w:rsidP="00A67145">
      <w:pPr>
        <w:pStyle w:val="ListParagraph"/>
        <w:numPr>
          <w:ilvl w:val="0"/>
          <w:numId w:val="191"/>
        </w:numPr>
        <w:rPr>
          <w:lang w:eastAsia="zh-CN"/>
        </w:rPr>
      </w:pPr>
      <w:r w:rsidRPr="000D60C3">
        <w:rPr>
          <w:lang w:eastAsia="zh-CN"/>
        </w:rPr>
        <w:t>FL Proposal 4.1A</w:t>
      </w:r>
    </w:p>
    <w:p w14:paraId="26CD04A9" w14:textId="77777777" w:rsidR="000D60C3" w:rsidRPr="000D60C3" w:rsidRDefault="000D60C3" w:rsidP="00A67145">
      <w:pPr>
        <w:pStyle w:val="ListParagraph"/>
        <w:numPr>
          <w:ilvl w:val="0"/>
          <w:numId w:val="191"/>
        </w:numPr>
        <w:rPr>
          <w:lang w:eastAsia="zh-CN"/>
        </w:rPr>
      </w:pPr>
      <w:r w:rsidRPr="000D60C3">
        <w:rPr>
          <w:lang w:eastAsia="zh-CN"/>
        </w:rPr>
        <w:t>FL Proposal 4.2A</w:t>
      </w:r>
    </w:p>
    <w:p w14:paraId="2238953F" w14:textId="1624D825" w:rsidR="000D60C3" w:rsidRPr="000D60C3" w:rsidRDefault="000D60C3" w:rsidP="00A67145">
      <w:pPr>
        <w:pStyle w:val="ListParagraph"/>
        <w:numPr>
          <w:ilvl w:val="0"/>
          <w:numId w:val="191"/>
        </w:numPr>
        <w:rPr>
          <w:lang w:eastAsia="zh-CN"/>
        </w:rPr>
      </w:pPr>
      <w:r w:rsidRPr="000D60C3">
        <w:rPr>
          <w:lang w:eastAsia="zh-CN"/>
        </w:rPr>
        <w:t>FL Proposal 4.2B</w:t>
      </w:r>
    </w:p>
    <w:p w14:paraId="6FC26129" w14:textId="77777777" w:rsidR="000D60C3" w:rsidRPr="000D60C3" w:rsidRDefault="000D60C3" w:rsidP="00A67145">
      <w:pPr>
        <w:pStyle w:val="ListParagraph"/>
        <w:numPr>
          <w:ilvl w:val="0"/>
          <w:numId w:val="191"/>
        </w:numPr>
        <w:rPr>
          <w:lang w:eastAsia="zh-CN"/>
        </w:rPr>
      </w:pPr>
      <w:r w:rsidRPr="000D60C3">
        <w:rPr>
          <w:lang w:eastAsia="zh-CN"/>
        </w:rPr>
        <w:t>FL Proposal 4.3A</w:t>
      </w:r>
    </w:p>
    <w:p w14:paraId="0F16427B" w14:textId="77777777" w:rsidR="000D60C3" w:rsidRPr="000D60C3" w:rsidRDefault="000D60C3" w:rsidP="00A67145">
      <w:pPr>
        <w:pStyle w:val="ListParagraph"/>
        <w:numPr>
          <w:ilvl w:val="0"/>
          <w:numId w:val="191"/>
        </w:numPr>
        <w:rPr>
          <w:lang w:eastAsia="zh-CN"/>
        </w:rPr>
      </w:pPr>
      <w:r w:rsidRPr="000D60C3">
        <w:rPr>
          <w:lang w:eastAsia="zh-CN"/>
        </w:rPr>
        <w:t>FL Proposal 4.4A</w:t>
      </w:r>
    </w:p>
    <w:p w14:paraId="64012167" w14:textId="77777777" w:rsidR="000D60C3" w:rsidRPr="000D60C3" w:rsidRDefault="000D60C3" w:rsidP="00A67145">
      <w:pPr>
        <w:pStyle w:val="ListParagraph"/>
        <w:numPr>
          <w:ilvl w:val="0"/>
          <w:numId w:val="191"/>
        </w:numPr>
        <w:rPr>
          <w:lang w:eastAsia="zh-CN"/>
        </w:rPr>
      </w:pPr>
      <w:r w:rsidRPr="000D60C3">
        <w:rPr>
          <w:lang w:eastAsia="zh-CN"/>
        </w:rPr>
        <w:t>FL Proposal 4.5A</w:t>
      </w:r>
    </w:p>
    <w:p w14:paraId="1A6B5984" w14:textId="77777777" w:rsidR="000D60C3" w:rsidRPr="000D60C3" w:rsidRDefault="000D60C3" w:rsidP="00A67145">
      <w:pPr>
        <w:pStyle w:val="ListParagraph"/>
        <w:numPr>
          <w:ilvl w:val="0"/>
          <w:numId w:val="191"/>
        </w:numPr>
        <w:rPr>
          <w:lang w:eastAsia="zh-CN"/>
        </w:rPr>
      </w:pPr>
      <w:r w:rsidRPr="000D60C3">
        <w:rPr>
          <w:lang w:eastAsia="zh-CN"/>
        </w:rPr>
        <w:t>FL Proposal 4.6A</w:t>
      </w:r>
    </w:p>
    <w:p w14:paraId="2355E26A" w14:textId="6A74992A" w:rsidR="000D60C3" w:rsidRPr="000D60C3" w:rsidRDefault="000D60C3" w:rsidP="00A67145">
      <w:pPr>
        <w:pStyle w:val="ListParagraph"/>
        <w:numPr>
          <w:ilvl w:val="0"/>
          <w:numId w:val="191"/>
        </w:numPr>
        <w:rPr>
          <w:lang w:eastAsia="zh-CN"/>
        </w:rPr>
      </w:pPr>
      <w:r w:rsidRPr="000D60C3">
        <w:rPr>
          <w:lang w:eastAsia="zh-CN"/>
        </w:rPr>
        <w:t>FL Proposal 4.7A</w:t>
      </w:r>
    </w:p>
    <w:p w14:paraId="30DBBE99" w14:textId="08B543C6" w:rsidR="000D60C3" w:rsidRPr="000D60C3" w:rsidRDefault="000D60C3" w:rsidP="00A67145">
      <w:pPr>
        <w:pStyle w:val="ListParagraph"/>
        <w:numPr>
          <w:ilvl w:val="0"/>
          <w:numId w:val="191"/>
        </w:numPr>
        <w:rPr>
          <w:lang w:eastAsia="zh-CN"/>
        </w:rPr>
      </w:pPr>
      <w:r w:rsidRPr="000D60C3">
        <w:rPr>
          <w:lang w:eastAsia="zh-CN"/>
        </w:rPr>
        <w:t>FL Proposal 4.7B</w:t>
      </w:r>
    </w:p>
    <w:p w14:paraId="41ED6E41" w14:textId="77777777" w:rsidR="000D60C3" w:rsidRPr="009537ED" w:rsidRDefault="000D60C3" w:rsidP="000D60C3">
      <w:pPr>
        <w:rPr>
          <w:rFonts w:ascii="Times New Roman" w:hAnsi="Times New Roman"/>
          <w:szCs w:val="20"/>
          <w:highlight w:val="green"/>
          <w:lang w:eastAsia="zh-CN"/>
        </w:rPr>
      </w:pPr>
      <w:r>
        <w:rPr>
          <w:rFonts w:ascii="Times New Roman" w:hAnsi="Times New Roman"/>
          <w:szCs w:val="20"/>
          <w:highlight w:val="green"/>
          <w:lang w:eastAsia="zh-CN"/>
        </w:rPr>
        <w:t>Agreement</w:t>
      </w:r>
    </w:p>
    <w:p w14:paraId="11816C64" w14:textId="77777777" w:rsidR="000D60C3" w:rsidRDefault="000D60C3" w:rsidP="00A67145">
      <w:pPr>
        <w:pStyle w:val="ListParagraph"/>
        <w:numPr>
          <w:ilvl w:val="0"/>
          <w:numId w:val="192"/>
        </w:numPr>
      </w:pPr>
      <w:r>
        <w:t>In TS 38.212, Table 7.3.1.2.2-8, Table 7.3.1.2.2-8A, Table 7.3.1.2.2-10, Table 7.3.1.2.2-10A are updated to move rows with “Number of front-load symbols”=1 (except the special rows for M-TRP in Table 7.3.1.2.2-8A and Table 7.3.1.2.2-10A) towards the beginning of the table.</w:t>
      </w:r>
    </w:p>
    <w:p w14:paraId="2D27E80F" w14:textId="2BD32AE7" w:rsidR="000D60C3" w:rsidRDefault="000D60C3" w:rsidP="00A67145">
      <w:pPr>
        <w:pStyle w:val="ListParagraph"/>
        <w:numPr>
          <w:ilvl w:val="0"/>
          <w:numId w:val="192"/>
        </w:numPr>
      </w:pPr>
      <w:r>
        <w:t xml:space="preserve">Adopt the TP in Proposal 1 in </w:t>
      </w:r>
      <w:hyperlink r:id="rId870" w:history="1">
        <w:r w:rsidR="00AF7253">
          <w:rPr>
            <w:rStyle w:val="Hyperlink"/>
          </w:rPr>
          <w:t>R1-2312028</w:t>
        </w:r>
      </w:hyperlink>
      <w:r>
        <w:t xml:space="preserve"> for TS 38.212 v18.0.0.</w:t>
      </w:r>
    </w:p>
    <w:p w14:paraId="6EFE55F9" w14:textId="06F10E61" w:rsidR="000D60C3" w:rsidRDefault="000D60C3" w:rsidP="00A67145">
      <w:pPr>
        <w:pStyle w:val="ListParagraph"/>
        <w:numPr>
          <w:ilvl w:val="0"/>
          <w:numId w:val="192"/>
        </w:numPr>
      </w:pPr>
      <w:r>
        <w:t xml:space="preserve">Adopt the TP in Proposal 2 in </w:t>
      </w:r>
      <w:hyperlink r:id="rId871" w:history="1">
        <w:r w:rsidR="00AF7253">
          <w:rPr>
            <w:rStyle w:val="Hyperlink"/>
          </w:rPr>
          <w:t>R1-2312028</w:t>
        </w:r>
      </w:hyperlink>
      <w:r>
        <w:t xml:space="preserve"> for TS 38.214 v18.0.0.</w:t>
      </w:r>
    </w:p>
    <w:p w14:paraId="2E351916" w14:textId="77777777" w:rsidR="000D60C3" w:rsidRDefault="000D60C3" w:rsidP="00A67145">
      <w:pPr>
        <w:pStyle w:val="ListParagraph"/>
        <w:numPr>
          <w:ilvl w:val="1"/>
          <w:numId w:val="192"/>
        </w:numPr>
      </w:pPr>
      <w:r w:rsidRPr="000D60C3">
        <w:rPr>
          <w:b/>
          <w:bCs/>
        </w:rPr>
        <w:t>Reason for change:</w:t>
      </w:r>
      <w:r>
        <w:t xml:space="preserve"> In Rel.15, the row indices and contents of the </w:t>
      </w:r>
      <w:r w:rsidRPr="000D60C3">
        <w:rPr>
          <w:i/>
          <w:iCs/>
        </w:rPr>
        <w:t>maxLength</w:t>
      </w:r>
      <w:r>
        <w:t xml:space="preserve">=1 table is exactly the same as the first subset of rows in </w:t>
      </w:r>
      <w:r w:rsidRPr="000D60C3">
        <w:rPr>
          <w:i/>
          <w:iCs/>
        </w:rPr>
        <w:t>maxLength</w:t>
      </w:r>
      <w:r>
        <w:t>=2 table, which is nested structure. However, this principle is not inherited to the current TS38.212, and UE is required to memorize two tables. It requires extra complexity to manage the two tables and the load/reload of tables from DDR to (on chip) memory requires extra time which eat into UE’s already tight DMRS processing timeline.</w:t>
      </w:r>
    </w:p>
    <w:p w14:paraId="46101C8F" w14:textId="77777777" w:rsidR="000D60C3" w:rsidRDefault="000D60C3" w:rsidP="00A67145">
      <w:pPr>
        <w:pStyle w:val="ListParagraph"/>
        <w:numPr>
          <w:ilvl w:val="1"/>
          <w:numId w:val="192"/>
        </w:numPr>
      </w:pPr>
      <w:r w:rsidRPr="000D60C3">
        <w:rPr>
          <w:b/>
          <w:bCs/>
        </w:rPr>
        <w:t>Summary for change:</w:t>
      </w:r>
      <w:r>
        <w:t xml:space="preserve"> Change ordering of indexes in Table 7.3.1.2.2-8, Table 7.3.1.2.2-8A, Table 7.3.1.2.2-10, and Table 7.3.1.2.2-10A.</w:t>
      </w:r>
    </w:p>
    <w:p w14:paraId="7324834C" w14:textId="77777777" w:rsidR="000D60C3" w:rsidRDefault="000D60C3" w:rsidP="00A67145">
      <w:pPr>
        <w:pStyle w:val="ListParagraph"/>
        <w:numPr>
          <w:ilvl w:val="1"/>
          <w:numId w:val="192"/>
        </w:numPr>
      </w:pPr>
      <w:r w:rsidRPr="000D60C3">
        <w:rPr>
          <w:b/>
          <w:bCs/>
        </w:rPr>
        <w:t>Consequences if not approved:</w:t>
      </w:r>
      <w:r>
        <w:t xml:space="preserve"> It requires extra complexity for UE implementation.</w:t>
      </w:r>
    </w:p>
    <w:p w14:paraId="4CAB79E6" w14:textId="77777777" w:rsidR="000D60C3" w:rsidRPr="009537ED" w:rsidRDefault="000D60C3" w:rsidP="000D60C3">
      <w:pPr>
        <w:rPr>
          <w:rFonts w:ascii="Times New Roman" w:hAnsi="Times New Roman"/>
          <w:szCs w:val="20"/>
          <w:highlight w:val="green"/>
          <w:lang w:eastAsia="zh-CN"/>
        </w:rPr>
      </w:pPr>
      <w:r>
        <w:rPr>
          <w:rFonts w:ascii="Times New Roman" w:hAnsi="Times New Roman"/>
          <w:szCs w:val="20"/>
          <w:highlight w:val="green"/>
          <w:lang w:eastAsia="zh-CN"/>
        </w:rPr>
        <w:t>Agreement</w:t>
      </w:r>
    </w:p>
    <w:p w14:paraId="6441ABE2" w14:textId="77777777" w:rsidR="000D60C3" w:rsidRDefault="000D60C3" w:rsidP="000D60C3">
      <w:r>
        <w:t>Support joint configuration of Rel.18 DMRS ports and Rel.18 dynamic switching between DFT-S-OFDM and CP-OFDM for PUSCH.</w:t>
      </w:r>
    </w:p>
    <w:p w14:paraId="466BE8D9" w14:textId="77777777" w:rsidR="000D60C3" w:rsidRPr="000D60C3" w:rsidRDefault="000D60C3" w:rsidP="00A67145">
      <w:pPr>
        <w:pStyle w:val="ListParagraph"/>
        <w:numPr>
          <w:ilvl w:val="0"/>
          <w:numId w:val="193"/>
        </w:numPr>
      </w:pPr>
      <w:r w:rsidRPr="000D60C3">
        <w:rPr>
          <w:rFonts w:eastAsia="Malgun Gothic"/>
        </w:rPr>
        <w:t xml:space="preserve">If UE is </w:t>
      </w:r>
      <w:r w:rsidRPr="000D60C3">
        <w:rPr>
          <w:iCs/>
          <w:lang w:eastAsia="en-GB"/>
        </w:rPr>
        <w:t xml:space="preserve">configured with the higher layer parameter </w:t>
      </w:r>
      <w:r w:rsidRPr="000D60C3">
        <w:rPr>
          <w:i/>
        </w:rPr>
        <w:t xml:space="preserve">enhanced-dmrs-Type_r18 </w:t>
      </w:r>
      <w:r w:rsidRPr="000D60C3">
        <w:t xml:space="preserve">in </w:t>
      </w:r>
      <w:r w:rsidRPr="000D60C3">
        <w:rPr>
          <w:i/>
          <w:iCs/>
        </w:rPr>
        <w:t>DMRS-UplinkConfig</w:t>
      </w:r>
      <w:r w:rsidRPr="000D60C3">
        <w:t xml:space="preserve">, and if the transform precoding enabled is indicated by the scheduling DCI, the UE ignores the configuration of </w:t>
      </w:r>
      <w:r w:rsidRPr="000D60C3">
        <w:rPr>
          <w:iCs/>
          <w:lang w:eastAsia="en-GB"/>
        </w:rPr>
        <w:t xml:space="preserve">the higher layer parameter </w:t>
      </w:r>
      <w:r w:rsidRPr="000D60C3">
        <w:rPr>
          <w:i/>
        </w:rPr>
        <w:t xml:space="preserve">enhanced-dmrs-Type_r18 </w:t>
      </w:r>
      <w:r w:rsidRPr="000D60C3">
        <w:t xml:space="preserve">in </w:t>
      </w:r>
      <w:r w:rsidRPr="000D60C3">
        <w:rPr>
          <w:i/>
          <w:iCs/>
        </w:rPr>
        <w:t>DMRS-UplinkConfig</w:t>
      </w:r>
      <w:r w:rsidRPr="000D60C3">
        <w:t>.</w:t>
      </w:r>
    </w:p>
    <w:p w14:paraId="34D0AE51" w14:textId="77777777" w:rsidR="000D60C3" w:rsidRPr="000D60C3" w:rsidRDefault="000D60C3" w:rsidP="00A67145">
      <w:pPr>
        <w:pStyle w:val="ListParagraph"/>
        <w:numPr>
          <w:ilvl w:val="0"/>
          <w:numId w:val="193"/>
        </w:numPr>
        <w:rPr>
          <w:color w:val="FF0000"/>
        </w:rPr>
      </w:pPr>
      <w:r w:rsidRPr="000D60C3">
        <w:rPr>
          <w:rFonts w:eastAsia="Malgun Gothic"/>
          <w:color w:val="FF0000"/>
        </w:rPr>
        <w:t>Introduce new UE capability to indicate whether to support joint configuration of Rel.18 DMRS ports and Rel.18 dynamic switching between DFT-S-OFDM and CP-OFDM for PUSCH.</w:t>
      </w:r>
    </w:p>
    <w:p w14:paraId="44BC18F7" w14:textId="77777777" w:rsidR="000D60C3" w:rsidRPr="000D60C3" w:rsidRDefault="000D60C3" w:rsidP="00A67145">
      <w:pPr>
        <w:pStyle w:val="ListParagraph"/>
        <w:numPr>
          <w:ilvl w:val="0"/>
          <w:numId w:val="193"/>
        </w:numPr>
      </w:pPr>
      <w:r w:rsidRPr="000D60C3">
        <w:t>Adopt the following text proposal in TS38.214 v18.0.0.</w:t>
      </w:r>
    </w:p>
    <w:p w14:paraId="7F1696C4" w14:textId="77777777" w:rsidR="000D60C3" w:rsidRPr="000D60C3" w:rsidRDefault="000D60C3" w:rsidP="00A67145">
      <w:pPr>
        <w:pStyle w:val="ListParagraph"/>
        <w:numPr>
          <w:ilvl w:val="1"/>
          <w:numId w:val="193"/>
        </w:numPr>
      </w:pPr>
      <w:r w:rsidRPr="000D60C3">
        <w:rPr>
          <w:b/>
          <w:bCs/>
        </w:rPr>
        <w:t>Reason for change:</w:t>
      </w:r>
      <w:r w:rsidRPr="000D60C3">
        <w:t xml:space="preserve"> If UE is configured with both Rel.18 DMRS ports and the dynamic waveform switching for PUSCH, and if the scheduling DCI indicates DFT-S-OFDM, DMRS Type of the scheduled PUSCH is not clear.</w:t>
      </w:r>
    </w:p>
    <w:p w14:paraId="20A2D1A5" w14:textId="77777777" w:rsidR="000D60C3" w:rsidRPr="000D60C3" w:rsidRDefault="000D60C3" w:rsidP="00A67145">
      <w:pPr>
        <w:pStyle w:val="ListParagraph"/>
        <w:numPr>
          <w:ilvl w:val="1"/>
          <w:numId w:val="193"/>
        </w:numPr>
      </w:pPr>
      <w:r w:rsidRPr="000D60C3">
        <w:rPr>
          <w:b/>
          <w:bCs/>
        </w:rPr>
        <w:t>Summary of change:</w:t>
      </w:r>
      <w:r w:rsidRPr="000D60C3">
        <w:t xml:space="preserve"> In the above case, UE ignores </w:t>
      </w:r>
      <w:r w:rsidRPr="000D60C3">
        <w:rPr>
          <w:i/>
          <w:iCs/>
        </w:rPr>
        <w:t>enhanced-dmrs-Type_r18</w:t>
      </w:r>
      <w:r w:rsidRPr="000D60C3">
        <w:t xml:space="preserve"> in </w:t>
      </w:r>
      <w:r w:rsidRPr="000D60C3">
        <w:rPr>
          <w:i/>
          <w:iCs/>
        </w:rPr>
        <w:t>DMRS-UplinkConfig</w:t>
      </w:r>
      <w:r w:rsidRPr="000D60C3">
        <w:t xml:space="preserve">. </w:t>
      </w:r>
    </w:p>
    <w:p w14:paraId="215164E9" w14:textId="77777777" w:rsidR="000D60C3" w:rsidRPr="000D60C3" w:rsidRDefault="000D60C3" w:rsidP="00A67145">
      <w:pPr>
        <w:pStyle w:val="ListParagraph"/>
        <w:numPr>
          <w:ilvl w:val="1"/>
          <w:numId w:val="193"/>
        </w:numPr>
      </w:pPr>
      <w:r w:rsidRPr="000D60C3">
        <w:rPr>
          <w:b/>
          <w:bCs/>
        </w:rPr>
        <w:t>Consequence if not approved:</w:t>
      </w:r>
      <w:r w:rsidRPr="000D60C3">
        <w:t xml:space="preserve"> In the above case, UE behaviour is undefined.</w:t>
      </w:r>
    </w:p>
    <w:tbl>
      <w:tblPr>
        <w:tblW w:w="5000" w:type="pct"/>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0683"/>
      </w:tblGrid>
      <w:tr w:rsidR="000D60C3" w:rsidRPr="000F332E" w14:paraId="5FD625B8" w14:textId="77777777" w:rsidTr="000F332E">
        <w:tc>
          <w:tcPr>
            <w:tcW w:w="5000" w:type="pct"/>
            <w:tcBorders>
              <w:top w:val="double" w:sz="4" w:space="0" w:color="A5A5A5"/>
              <w:left w:val="double" w:sz="4" w:space="0" w:color="A5A5A5"/>
              <w:bottom w:val="double" w:sz="4" w:space="0" w:color="A5A5A5"/>
              <w:right w:val="double" w:sz="4" w:space="0" w:color="A5A5A5"/>
            </w:tcBorders>
            <w:hideMark/>
          </w:tcPr>
          <w:p w14:paraId="4A98FA70" w14:textId="77777777" w:rsidR="000D60C3" w:rsidRPr="000F332E" w:rsidRDefault="000D60C3" w:rsidP="000F332E">
            <w:pPr>
              <w:rPr>
                <w:rFonts w:ascii="Arial" w:hAnsi="Arial" w:cs="Arial"/>
                <w:b/>
                <w:bCs/>
                <w:sz w:val="16"/>
                <w:szCs w:val="16"/>
                <w:lang w:eastAsia="en-GB"/>
              </w:rPr>
            </w:pPr>
            <w:r w:rsidRPr="000F332E">
              <w:rPr>
                <w:rFonts w:ascii="Arial" w:hAnsi="Arial" w:cs="Arial"/>
                <w:b/>
                <w:bCs/>
                <w:sz w:val="16"/>
                <w:szCs w:val="16"/>
              </w:rPr>
              <w:t>6.1.3  UE procedure for applying transform precoding on PUSCH</w:t>
            </w:r>
          </w:p>
          <w:p w14:paraId="69CC7293" w14:textId="77777777" w:rsidR="000D60C3" w:rsidRPr="000F332E" w:rsidRDefault="000D60C3" w:rsidP="000F332E">
            <w:pPr>
              <w:jc w:val="center"/>
              <w:rPr>
                <w:rFonts w:ascii="Arial" w:hAnsi="Arial" w:cs="Arial"/>
                <w:color w:val="000000"/>
                <w:sz w:val="16"/>
                <w:szCs w:val="16"/>
              </w:rPr>
            </w:pPr>
            <w:r w:rsidRPr="000F332E">
              <w:rPr>
                <w:rFonts w:ascii="Arial" w:hAnsi="Arial" w:cs="Arial"/>
                <w:color w:val="FF0000"/>
                <w:sz w:val="16"/>
                <w:szCs w:val="16"/>
              </w:rPr>
              <w:t>&lt;Unchanged part omitted&gt;</w:t>
            </w:r>
          </w:p>
          <w:p w14:paraId="63547413" w14:textId="77777777" w:rsidR="000D60C3" w:rsidRPr="000F332E" w:rsidRDefault="000D60C3" w:rsidP="000F332E">
            <w:pPr>
              <w:rPr>
                <w:rFonts w:ascii="Arial" w:hAnsi="Arial" w:cs="Arial"/>
                <w:color w:val="000000"/>
                <w:sz w:val="16"/>
                <w:szCs w:val="16"/>
              </w:rPr>
            </w:pPr>
            <w:r w:rsidRPr="000F332E">
              <w:rPr>
                <w:rFonts w:ascii="Arial" w:hAnsi="Arial" w:cs="Arial"/>
                <w:color w:val="000000"/>
                <w:sz w:val="16"/>
                <w:szCs w:val="16"/>
              </w:rPr>
              <w:t>For PUSCH transmission scheduled by a PDCCH with CRC scrambled by CS-RNTI with NDI=1, C-RNTI, or MCS-C-RNTI or SP-CSI-RNTI:</w:t>
            </w:r>
          </w:p>
          <w:p w14:paraId="39F5F4B7" w14:textId="77777777" w:rsidR="000D60C3" w:rsidRPr="000F332E" w:rsidRDefault="000D60C3" w:rsidP="000F332E">
            <w:pPr>
              <w:pStyle w:val="B1"/>
              <w:spacing w:after="0"/>
              <w:rPr>
                <w:rFonts w:ascii="Arial" w:hAnsi="Arial" w:cs="Arial"/>
                <w:sz w:val="16"/>
                <w:szCs w:val="16"/>
              </w:rPr>
            </w:pPr>
            <w:r w:rsidRPr="000F332E">
              <w:rPr>
                <w:rFonts w:ascii="Arial" w:hAnsi="Arial" w:cs="Arial"/>
                <w:sz w:val="16"/>
                <w:szCs w:val="16"/>
              </w:rPr>
              <w:t>-</w:t>
            </w:r>
            <w:r w:rsidRPr="000F332E">
              <w:rPr>
                <w:rFonts w:ascii="Arial" w:hAnsi="Arial" w:cs="Arial"/>
                <w:sz w:val="16"/>
                <w:szCs w:val="16"/>
              </w:rPr>
              <w:tab/>
              <w:t xml:space="preserve">If the DCI with the scheduling grant was received with DCI format 0_0, the UE shall, for this PUSCH transmission, consider the transform precoding either enabled or disabled according to the higher layer configured parameter </w:t>
            </w:r>
            <w:r w:rsidRPr="000F332E">
              <w:rPr>
                <w:rFonts w:ascii="Arial" w:hAnsi="Arial" w:cs="Arial"/>
                <w:i/>
                <w:iCs/>
                <w:sz w:val="16"/>
                <w:szCs w:val="16"/>
              </w:rPr>
              <w:t>msg3-transformPrecoder</w:t>
            </w:r>
            <w:r w:rsidRPr="000F332E">
              <w:rPr>
                <w:rFonts w:ascii="Arial" w:hAnsi="Arial" w:cs="Arial"/>
                <w:sz w:val="16"/>
                <w:szCs w:val="16"/>
              </w:rPr>
              <w:t xml:space="preserve">. </w:t>
            </w:r>
          </w:p>
          <w:p w14:paraId="2BB9D4F7" w14:textId="77777777" w:rsidR="000D60C3" w:rsidRPr="000F332E" w:rsidRDefault="000D60C3" w:rsidP="000F332E">
            <w:pPr>
              <w:pStyle w:val="B1"/>
              <w:spacing w:after="0"/>
              <w:rPr>
                <w:rFonts w:ascii="Arial" w:hAnsi="Arial" w:cs="Arial"/>
                <w:sz w:val="16"/>
                <w:szCs w:val="16"/>
              </w:rPr>
            </w:pPr>
            <w:r w:rsidRPr="000F332E">
              <w:rPr>
                <w:rFonts w:ascii="Arial" w:hAnsi="Arial" w:cs="Arial"/>
                <w:sz w:val="16"/>
                <w:szCs w:val="16"/>
              </w:rPr>
              <w:t>-</w:t>
            </w:r>
            <w:r w:rsidRPr="000F332E">
              <w:rPr>
                <w:rFonts w:ascii="Arial" w:hAnsi="Arial" w:cs="Arial"/>
                <w:sz w:val="16"/>
                <w:szCs w:val="16"/>
              </w:rPr>
              <w:tab/>
              <w:t xml:space="preserve">If the DCI with the scheduling grant was not received with DCI format 0_0 </w:t>
            </w:r>
          </w:p>
          <w:p w14:paraId="132BE252" w14:textId="77777777" w:rsidR="000D60C3" w:rsidRPr="000F332E" w:rsidRDefault="000D60C3" w:rsidP="000F332E">
            <w:pPr>
              <w:pStyle w:val="B2"/>
              <w:spacing w:after="0"/>
              <w:rPr>
                <w:rFonts w:ascii="Arial" w:hAnsi="Arial" w:cs="Arial"/>
                <w:sz w:val="16"/>
                <w:szCs w:val="16"/>
              </w:rPr>
            </w:pPr>
            <w:r w:rsidRPr="000F332E">
              <w:rPr>
                <w:rFonts w:ascii="Arial" w:hAnsi="Arial" w:cs="Arial"/>
                <w:sz w:val="16"/>
                <w:szCs w:val="16"/>
              </w:rPr>
              <w:t>-</w:t>
            </w:r>
            <w:r w:rsidRPr="000F332E">
              <w:rPr>
                <w:rFonts w:ascii="Arial" w:hAnsi="Arial" w:cs="Arial"/>
                <w:sz w:val="16"/>
                <w:szCs w:val="16"/>
              </w:rPr>
              <w:tab/>
              <w:t>If the DCI with the scheduling grant was received with DCI format 0_1 or 0_2 with CRC scrambled by C-RNTI, MCS-RNTI, or CS-RNTI with NDI=1 and if the UE is configured with a higher layer parameter [</w:t>
            </w:r>
            <w:r w:rsidRPr="000F332E">
              <w:rPr>
                <w:rFonts w:ascii="Arial" w:hAnsi="Arial" w:cs="Arial"/>
                <w:i/>
                <w:iCs/>
                <w:sz w:val="16"/>
                <w:szCs w:val="16"/>
              </w:rPr>
              <w:t>dynamicTransformPrecoderIndicationDCI-0-1]</w:t>
            </w:r>
            <w:r w:rsidRPr="000F332E">
              <w:rPr>
                <w:rFonts w:ascii="Arial" w:hAnsi="Arial" w:cs="Arial"/>
                <w:sz w:val="16"/>
                <w:szCs w:val="16"/>
              </w:rPr>
              <w:t xml:space="preserve"> in </w:t>
            </w:r>
            <w:r w:rsidRPr="000F332E">
              <w:rPr>
                <w:rFonts w:ascii="Arial" w:hAnsi="Arial" w:cs="Arial"/>
                <w:i/>
                <w:iCs/>
                <w:sz w:val="16"/>
                <w:szCs w:val="16"/>
              </w:rPr>
              <w:t xml:space="preserve">pusch-Config </w:t>
            </w:r>
            <w:r w:rsidRPr="000F332E">
              <w:rPr>
                <w:rFonts w:ascii="Arial" w:hAnsi="Arial" w:cs="Arial"/>
                <w:sz w:val="16"/>
                <w:szCs w:val="16"/>
              </w:rPr>
              <w:t>for DCI format 0_1 or [</w:t>
            </w:r>
            <w:r w:rsidRPr="000F332E">
              <w:rPr>
                <w:rFonts w:ascii="Arial" w:hAnsi="Arial" w:cs="Arial"/>
                <w:i/>
                <w:iCs/>
                <w:sz w:val="16"/>
                <w:szCs w:val="16"/>
              </w:rPr>
              <w:t>dynamicTransformPrecoderIndicationDCI-0-2]</w:t>
            </w:r>
            <w:r w:rsidRPr="000F332E">
              <w:rPr>
                <w:rFonts w:ascii="Arial" w:hAnsi="Arial" w:cs="Arial"/>
                <w:sz w:val="16"/>
                <w:szCs w:val="16"/>
              </w:rPr>
              <w:t xml:space="preserve"> in </w:t>
            </w:r>
            <w:r w:rsidRPr="000F332E">
              <w:rPr>
                <w:rFonts w:ascii="Arial" w:hAnsi="Arial" w:cs="Arial"/>
                <w:i/>
                <w:iCs/>
                <w:sz w:val="16"/>
                <w:szCs w:val="16"/>
              </w:rPr>
              <w:t xml:space="preserve">pusch-Config </w:t>
            </w:r>
            <w:r w:rsidRPr="000F332E">
              <w:rPr>
                <w:rFonts w:ascii="Arial" w:hAnsi="Arial" w:cs="Arial"/>
                <w:sz w:val="16"/>
                <w:szCs w:val="16"/>
              </w:rPr>
              <w:t>for DCI format 0_2 and the higher layer parameter is set to ‘enabled’, the UE shall, for this PUSCH transmission, consider the transform precoding either enabled or disabled according to the Transform precoder indicator field in the DCI with the scheduling grant.</w:t>
            </w:r>
          </w:p>
          <w:p w14:paraId="15962E6C" w14:textId="77777777" w:rsidR="000D60C3" w:rsidRPr="000F332E" w:rsidRDefault="000D60C3" w:rsidP="000F332E">
            <w:pPr>
              <w:pStyle w:val="B3"/>
              <w:spacing w:after="0"/>
              <w:rPr>
                <w:rFonts w:ascii="Arial" w:hAnsi="Arial" w:cs="Arial"/>
                <w:sz w:val="16"/>
                <w:szCs w:val="16"/>
              </w:rPr>
            </w:pPr>
            <w:r w:rsidRPr="000F332E">
              <w:rPr>
                <w:rFonts w:ascii="Arial" w:hAnsi="Arial" w:cs="Arial"/>
                <w:sz w:val="16"/>
                <w:szCs w:val="16"/>
              </w:rPr>
              <w:t>-</w:t>
            </w:r>
            <w:r w:rsidRPr="000F332E">
              <w:rPr>
                <w:rFonts w:ascii="Arial" w:hAnsi="Arial" w:cs="Arial"/>
                <w:sz w:val="16"/>
                <w:szCs w:val="16"/>
              </w:rPr>
              <w:tab/>
              <w:t xml:space="preserve">For </w:t>
            </w:r>
            <w:r w:rsidRPr="000F332E">
              <w:rPr>
                <w:rFonts w:ascii="Arial" w:hAnsi="Arial" w:cs="Arial"/>
                <w:i/>
                <w:iCs/>
                <w:sz w:val="16"/>
                <w:szCs w:val="16"/>
                <w:lang w:val="en-US"/>
              </w:rPr>
              <w:t xml:space="preserve">pusch-TimeDomainAllocationListForMultiPUSCH </w:t>
            </w:r>
            <w:r w:rsidRPr="000F332E">
              <w:rPr>
                <w:rFonts w:ascii="Arial" w:hAnsi="Arial" w:cs="Arial"/>
                <w:sz w:val="16"/>
                <w:szCs w:val="16"/>
                <w:lang w:val="en-US"/>
              </w:rPr>
              <w:t>in</w:t>
            </w:r>
            <w:r w:rsidRPr="000F332E">
              <w:rPr>
                <w:rFonts w:ascii="Arial" w:hAnsi="Arial" w:cs="Arial"/>
                <w:i/>
                <w:iCs/>
                <w:sz w:val="16"/>
                <w:szCs w:val="16"/>
                <w:lang w:val="en-US"/>
              </w:rPr>
              <w:t xml:space="preserve"> pusch-Config, </w:t>
            </w:r>
            <w:r w:rsidRPr="000F332E">
              <w:rPr>
                <w:rFonts w:ascii="Arial" w:hAnsi="Arial" w:cs="Arial"/>
                <w:sz w:val="16"/>
                <w:szCs w:val="16"/>
              </w:rPr>
              <w:t>the UE shall, for all PUSCH transmissions, consider the transform precoding either enabled or disabled according to Transform precoder indicator field in the DCI format 0_1 with the scheduling grant.</w:t>
            </w:r>
          </w:p>
          <w:p w14:paraId="3D7F956A" w14:textId="77777777" w:rsidR="000D60C3" w:rsidRPr="000F332E" w:rsidRDefault="000D60C3" w:rsidP="000F332E">
            <w:pPr>
              <w:pStyle w:val="B3"/>
              <w:spacing w:after="0"/>
              <w:rPr>
                <w:rFonts w:ascii="Arial" w:hAnsi="Arial" w:cs="Arial"/>
                <w:color w:val="FF0000"/>
                <w:sz w:val="16"/>
                <w:szCs w:val="16"/>
              </w:rPr>
            </w:pPr>
            <w:r w:rsidRPr="000F332E">
              <w:rPr>
                <w:rFonts w:ascii="Arial" w:hAnsi="Arial" w:cs="Arial"/>
                <w:color w:val="FF0000"/>
                <w:sz w:val="16"/>
                <w:szCs w:val="16"/>
              </w:rPr>
              <w:t>-</w:t>
            </w:r>
            <w:r w:rsidRPr="000F332E">
              <w:rPr>
                <w:rFonts w:ascii="Arial" w:hAnsi="Arial" w:cs="Arial"/>
                <w:color w:val="FF0000"/>
                <w:sz w:val="16"/>
                <w:szCs w:val="16"/>
              </w:rPr>
              <w:tab/>
              <w:t xml:space="preserve">If the UE is configured with the higher layer parameter </w:t>
            </w:r>
            <w:r w:rsidRPr="000F332E">
              <w:rPr>
                <w:rFonts w:ascii="Arial" w:hAnsi="Arial" w:cs="Arial"/>
                <w:i/>
                <w:iCs/>
                <w:color w:val="FF0000"/>
                <w:sz w:val="16"/>
                <w:szCs w:val="16"/>
              </w:rPr>
              <w:t>enhanced-dmrs-Type-r18</w:t>
            </w:r>
            <w:r w:rsidRPr="000F332E">
              <w:rPr>
                <w:rFonts w:ascii="Arial" w:hAnsi="Arial" w:cs="Arial"/>
                <w:color w:val="FF0000"/>
                <w:sz w:val="16"/>
                <w:szCs w:val="16"/>
              </w:rPr>
              <w:t xml:space="preserve"> in </w:t>
            </w:r>
            <w:r w:rsidRPr="000F332E">
              <w:rPr>
                <w:rFonts w:ascii="Arial" w:hAnsi="Arial" w:cs="Arial"/>
                <w:i/>
                <w:iCs/>
                <w:color w:val="FF0000"/>
                <w:sz w:val="16"/>
                <w:szCs w:val="16"/>
              </w:rPr>
              <w:t>DMRS-UplinkConfig</w:t>
            </w:r>
            <w:r w:rsidRPr="000F332E">
              <w:rPr>
                <w:rFonts w:ascii="Arial" w:hAnsi="Arial" w:cs="Arial"/>
                <w:color w:val="FF0000"/>
                <w:sz w:val="16"/>
                <w:szCs w:val="16"/>
              </w:rPr>
              <w:t>, and if the scheduling grant indicates the transform precoding is enabled for the scheduled PUSCH transmission,</w:t>
            </w:r>
            <w:r w:rsidRPr="000F332E">
              <w:rPr>
                <w:rFonts w:ascii="Arial" w:eastAsia="Malgun Gothic" w:hAnsi="Arial" w:cs="Arial"/>
                <w:color w:val="FF0000"/>
                <w:sz w:val="16"/>
                <w:szCs w:val="16"/>
                <w:lang w:eastAsia="ja-JP"/>
              </w:rPr>
              <w:t xml:space="preserve"> </w:t>
            </w:r>
            <w:r w:rsidRPr="000F332E">
              <w:rPr>
                <w:rFonts w:ascii="Arial" w:hAnsi="Arial" w:cs="Arial"/>
                <w:color w:val="FF0000"/>
                <w:sz w:val="16"/>
                <w:szCs w:val="16"/>
              </w:rPr>
              <w:t>the UE ignores the higher layer parameters [</w:t>
            </w:r>
            <w:r w:rsidRPr="000F332E">
              <w:rPr>
                <w:rFonts w:ascii="Arial" w:hAnsi="Arial" w:cs="Arial"/>
                <w:i/>
                <w:iCs/>
                <w:color w:val="FF0000"/>
                <w:sz w:val="16"/>
                <w:szCs w:val="16"/>
              </w:rPr>
              <w:t>enhanced-dmrs-Type_r18</w:t>
            </w:r>
            <w:r w:rsidRPr="000F332E">
              <w:rPr>
                <w:rFonts w:ascii="Arial" w:hAnsi="Arial" w:cs="Arial"/>
                <w:color w:val="FF0000"/>
                <w:sz w:val="16"/>
                <w:szCs w:val="16"/>
              </w:rPr>
              <w:t xml:space="preserve">] in </w:t>
            </w:r>
            <w:r w:rsidRPr="000F332E">
              <w:rPr>
                <w:rFonts w:ascii="Arial" w:hAnsi="Arial" w:cs="Arial"/>
                <w:i/>
                <w:iCs/>
                <w:color w:val="FF0000"/>
                <w:sz w:val="16"/>
                <w:szCs w:val="16"/>
              </w:rPr>
              <w:t>DMRS-UplinkConfig</w:t>
            </w:r>
            <w:r w:rsidRPr="000F332E">
              <w:rPr>
                <w:rFonts w:ascii="Arial" w:hAnsi="Arial" w:cs="Arial"/>
                <w:color w:val="FF0000"/>
                <w:sz w:val="16"/>
                <w:szCs w:val="16"/>
              </w:rPr>
              <w:t>, if configured, for the DMRS transmission of the scheduled PUSCH transmission.</w:t>
            </w:r>
          </w:p>
          <w:p w14:paraId="6293D57A" w14:textId="77777777" w:rsidR="000D60C3" w:rsidRPr="000F332E" w:rsidRDefault="000D60C3" w:rsidP="000F332E">
            <w:pPr>
              <w:pStyle w:val="B2"/>
              <w:spacing w:after="0"/>
              <w:rPr>
                <w:rFonts w:ascii="Arial" w:hAnsi="Arial" w:cs="Arial"/>
                <w:sz w:val="16"/>
                <w:szCs w:val="16"/>
              </w:rPr>
            </w:pPr>
            <w:r w:rsidRPr="000F332E">
              <w:rPr>
                <w:rFonts w:ascii="Arial" w:hAnsi="Arial" w:cs="Arial"/>
                <w:sz w:val="16"/>
                <w:szCs w:val="16"/>
              </w:rPr>
              <w:t>-</w:t>
            </w:r>
            <w:r w:rsidRPr="000F332E">
              <w:rPr>
                <w:rFonts w:ascii="Arial" w:hAnsi="Arial" w:cs="Arial"/>
                <w:sz w:val="16"/>
                <w:szCs w:val="16"/>
              </w:rPr>
              <w:tab/>
              <w:t>Otherwise,</w:t>
            </w:r>
          </w:p>
          <w:p w14:paraId="5C719E95" w14:textId="77777777" w:rsidR="000D60C3" w:rsidRPr="000F332E" w:rsidRDefault="000D60C3" w:rsidP="000F332E">
            <w:pPr>
              <w:pStyle w:val="B3"/>
              <w:spacing w:after="0"/>
              <w:rPr>
                <w:rFonts w:ascii="Arial" w:hAnsi="Arial" w:cs="Arial"/>
                <w:sz w:val="16"/>
                <w:szCs w:val="16"/>
              </w:rPr>
            </w:pPr>
            <w:r w:rsidRPr="000F332E">
              <w:rPr>
                <w:rFonts w:ascii="Arial" w:hAnsi="Arial" w:cs="Arial"/>
                <w:sz w:val="16"/>
                <w:szCs w:val="16"/>
              </w:rPr>
              <w:t>-</w:t>
            </w:r>
            <w:r w:rsidRPr="000F332E">
              <w:rPr>
                <w:rFonts w:ascii="Arial" w:hAnsi="Arial" w:cs="Arial"/>
                <w:sz w:val="16"/>
                <w:szCs w:val="16"/>
              </w:rPr>
              <w:tab/>
              <w:t xml:space="preserve">If the UE is configured with the higher layer parameter </w:t>
            </w:r>
            <w:r w:rsidRPr="000F332E">
              <w:rPr>
                <w:rFonts w:ascii="Arial" w:hAnsi="Arial" w:cs="Arial"/>
                <w:i/>
                <w:iCs/>
                <w:sz w:val="16"/>
                <w:szCs w:val="16"/>
              </w:rPr>
              <w:t>transformPrecoder</w:t>
            </w:r>
            <w:r w:rsidRPr="000F332E">
              <w:rPr>
                <w:rFonts w:ascii="Arial" w:hAnsi="Arial" w:cs="Arial"/>
                <w:iCs/>
                <w:sz w:val="16"/>
                <w:szCs w:val="16"/>
              </w:rPr>
              <w:t xml:space="preserve"> in </w:t>
            </w:r>
            <w:r w:rsidRPr="000F332E">
              <w:rPr>
                <w:rFonts w:ascii="Arial" w:hAnsi="Arial" w:cs="Arial"/>
                <w:i/>
                <w:iCs/>
                <w:sz w:val="16"/>
                <w:szCs w:val="16"/>
              </w:rPr>
              <w:t>pusch-Config</w:t>
            </w:r>
            <w:r w:rsidRPr="000F332E">
              <w:rPr>
                <w:rFonts w:ascii="Arial" w:hAnsi="Arial" w:cs="Arial"/>
                <w:sz w:val="16"/>
                <w:szCs w:val="16"/>
              </w:rPr>
              <w:t xml:space="preserve">, the UE shall, for this PUSCH </w:t>
            </w:r>
            <w:r w:rsidRPr="000F332E">
              <w:rPr>
                <w:rFonts w:ascii="Arial" w:hAnsi="Arial" w:cs="Arial"/>
                <w:sz w:val="16"/>
                <w:szCs w:val="16"/>
              </w:rPr>
              <w:lastRenderedPageBreak/>
              <w:t>transmission, consider the transform precoding either enabled or disabled according to this parameter.</w:t>
            </w:r>
          </w:p>
          <w:p w14:paraId="0DDD9E3D" w14:textId="77777777" w:rsidR="000D60C3" w:rsidRPr="000F332E" w:rsidRDefault="000D60C3" w:rsidP="000F332E">
            <w:pPr>
              <w:pStyle w:val="B3"/>
              <w:spacing w:after="0"/>
              <w:rPr>
                <w:rFonts w:ascii="Arial" w:hAnsi="Arial" w:cs="Arial"/>
                <w:sz w:val="16"/>
                <w:szCs w:val="16"/>
              </w:rPr>
            </w:pPr>
            <w:r w:rsidRPr="000F332E">
              <w:rPr>
                <w:rFonts w:ascii="Arial" w:hAnsi="Arial" w:cs="Arial"/>
                <w:sz w:val="16"/>
                <w:szCs w:val="16"/>
              </w:rPr>
              <w:t>-</w:t>
            </w:r>
            <w:r w:rsidRPr="000F332E">
              <w:rPr>
                <w:rFonts w:ascii="Arial" w:hAnsi="Arial" w:cs="Arial"/>
                <w:sz w:val="16"/>
                <w:szCs w:val="16"/>
              </w:rPr>
              <w:tab/>
              <w:t xml:space="preserve">If the UE is not configured with the higher layer parameter </w:t>
            </w:r>
            <w:r w:rsidRPr="000F332E">
              <w:rPr>
                <w:rFonts w:ascii="Arial" w:hAnsi="Arial" w:cs="Arial"/>
                <w:i/>
                <w:iCs/>
                <w:sz w:val="16"/>
                <w:szCs w:val="16"/>
              </w:rPr>
              <w:t>transformPrecoder</w:t>
            </w:r>
            <w:r w:rsidRPr="000F332E">
              <w:rPr>
                <w:rFonts w:ascii="Arial" w:hAnsi="Arial" w:cs="Arial"/>
                <w:iCs/>
                <w:sz w:val="16"/>
                <w:szCs w:val="16"/>
              </w:rPr>
              <w:t xml:space="preserve"> in </w:t>
            </w:r>
            <w:r w:rsidRPr="000F332E">
              <w:rPr>
                <w:rFonts w:ascii="Arial" w:hAnsi="Arial" w:cs="Arial"/>
                <w:i/>
                <w:iCs/>
                <w:sz w:val="16"/>
                <w:szCs w:val="16"/>
              </w:rPr>
              <w:t>pusch-Config</w:t>
            </w:r>
            <w:r w:rsidRPr="000F332E">
              <w:rPr>
                <w:rFonts w:ascii="Arial" w:hAnsi="Arial" w:cs="Arial"/>
                <w:sz w:val="16"/>
                <w:szCs w:val="16"/>
              </w:rPr>
              <w:t xml:space="preserve">, the UE shall, for this PUSCH transmission, consider the transform precoding either enabled or disabled according to the higher layer configured parameter </w:t>
            </w:r>
            <w:r w:rsidRPr="000F332E">
              <w:rPr>
                <w:rFonts w:ascii="Arial" w:hAnsi="Arial" w:cs="Arial"/>
                <w:i/>
                <w:iCs/>
                <w:sz w:val="16"/>
                <w:szCs w:val="16"/>
              </w:rPr>
              <w:t>msg3-transformPrecoder</w:t>
            </w:r>
            <w:r w:rsidRPr="000F332E">
              <w:rPr>
                <w:rFonts w:ascii="Arial" w:hAnsi="Arial" w:cs="Arial"/>
                <w:sz w:val="16"/>
                <w:szCs w:val="16"/>
              </w:rPr>
              <w:t>.</w:t>
            </w:r>
          </w:p>
          <w:p w14:paraId="0A0C310D" w14:textId="77777777" w:rsidR="000D60C3" w:rsidRPr="000F332E" w:rsidRDefault="000D60C3" w:rsidP="000F332E">
            <w:pPr>
              <w:rPr>
                <w:rFonts w:ascii="Arial" w:hAnsi="Arial" w:cs="Arial"/>
                <w:sz w:val="16"/>
                <w:szCs w:val="16"/>
              </w:rPr>
            </w:pPr>
            <w:r w:rsidRPr="000F332E">
              <w:rPr>
                <w:rFonts w:ascii="Arial" w:hAnsi="Arial" w:cs="Arial"/>
                <w:sz w:val="16"/>
                <w:szCs w:val="16"/>
              </w:rPr>
              <w:t>For PUSCH transmission with a configured grant</w:t>
            </w:r>
          </w:p>
          <w:p w14:paraId="10C27D9E" w14:textId="77777777" w:rsidR="000D60C3" w:rsidRPr="000F332E" w:rsidRDefault="000D60C3" w:rsidP="000F332E">
            <w:pPr>
              <w:pStyle w:val="B1"/>
              <w:spacing w:after="0"/>
              <w:rPr>
                <w:rFonts w:ascii="Arial" w:hAnsi="Arial" w:cs="Arial"/>
                <w:sz w:val="16"/>
                <w:szCs w:val="16"/>
              </w:rPr>
            </w:pPr>
            <w:r w:rsidRPr="000F332E">
              <w:rPr>
                <w:rFonts w:ascii="Arial" w:hAnsi="Arial" w:cs="Arial"/>
                <w:sz w:val="16"/>
                <w:szCs w:val="16"/>
              </w:rPr>
              <w:t>-</w:t>
            </w:r>
            <w:r w:rsidRPr="000F332E">
              <w:rPr>
                <w:rFonts w:ascii="Arial" w:hAnsi="Arial" w:cs="Arial"/>
                <w:sz w:val="16"/>
                <w:szCs w:val="16"/>
              </w:rPr>
              <w:tab/>
              <w:t xml:space="preserve">If the UE is configured with the higher layer parameter </w:t>
            </w:r>
            <w:r w:rsidRPr="000F332E">
              <w:rPr>
                <w:rFonts w:ascii="Arial" w:hAnsi="Arial" w:cs="Arial"/>
                <w:i/>
                <w:iCs/>
                <w:sz w:val="16"/>
                <w:szCs w:val="16"/>
              </w:rPr>
              <w:t>transformPrecoder</w:t>
            </w:r>
            <w:r w:rsidRPr="000F332E">
              <w:rPr>
                <w:rFonts w:ascii="Arial" w:hAnsi="Arial" w:cs="Arial"/>
                <w:iCs/>
                <w:sz w:val="16"/>
                <w:szCs w:val="16"/>
              </w:rPr>
              <w:t xml:space="preserve"> in </w:t>
            </w:r>
            <w:r w:rsidRPr="000F332E">
              <w:rPr>
                <w:rFonts w:ascii="Arial" w:hAnsi="Arial" w:cs="Arial"/>
                <w:i/>
                <w:iCs/>
                <w:sz w:val="16"/>
                <w:szCs w:val="16"/>
              </w:rPr>
              <w:t>configuredGrantConfig</w:t>
            </w:r>
            <w:r w:rsidRPr="000F332E">
              <w:rPr>
                <w:rFonts w:ascii="Arial" w:hAnsi="Arial" w:cs="Arial"/>
                <w:sz w:val="16"/>
                <w:szCs w:val="16"/>
              </w:rPr>
              <w:t>, the UE shall, for this PUSCH transmission, consider the transform precoding either enabled or disabled according to this parameter.</w:t>
            </w:r>
          </w:p>
          <w:p w14:paraId="1059CB3A" w14:textId="77777777" w:rsidR="000D60C3" w:rsidRPr="000F332E" w:rsidRDefault="000D60C3" w:rsidP="000F332E">
            <w:pPr>
              <w:pStyle w:val="B1"/>
              <w:spacing w:after="0"/>
              <w:rPr>
                <w:rFonts w:ascii="Arial" w:hAnsi="Arial" w:cs="Arial"/>
                <w:sz w:val="16"/>
                <w:szCs w:val="16"/>
              </w:rPr>
            </w:pPr>
            <w:r w:rsidRPr="000F332E">
              <w:rPr>
                <w:rFonts w:ascii="Arial" w:hAnsi="Arial" w:cs="Arial"/>
                <w:sz w:val="16"/>
                <w:szCs w:val="16"/>
              </w:rPr>
              <w:t>-</w:t>
            </w:r>
            <w:r w:rsidRPr="000F332E">
              <w:rPr>
                <w:rFonts w:ascii="Arial" w:hAnsi="Arial" w:cs="Arial"/>
                <w:sz w:val="16"/>
                <w:szCs w:val="16"/>
              </w:rPr>
              <w:tab/>
              <w:t xml:space="preserve">If the UE is not configured with the higher layer parameter </w:t>
            </w:r>
            <w:r w:rsidRPr="000F332E">
              <w:rPr>
                <w:rFonts w:ascii="Arial" w:hAnsi="Arial" w:cs="Arial"/>
                <w:i/>
                <w:iCs/>
                <w:sz w:val="16"/>
                <w:szCs w:val="16"/>
              </w:rPr>
              <w:t>transformPrecoder</w:t>
            </w:r>
            <w:r w:rsidRPr="000F332E">
              <w:rPr>
                <w:rFonts w:ascii="Arial" w:hAnsi="Arial" w:cs="Arial"/>
                <w:iCs/>
                <w:sz w:val="16"/>
                <w:szCs w:val="16"/>
              </w:rPr>
              <w:t xml:space="preserve"> in </w:t>
            </w:r>
            <w:r w:rsidRPr="000F332E">
              <w:rPr>
                <w:rFonts w:ascii="Arial" w:hAnsi="Arial" w:cs="Arial"/>
                <w:i/>
                <w:iCs/>
                <w:sz w:val="16"/>
                <w:szCs w:val="16"/>
              </w:rPr>
              <w:t>configuredGrantConfig</w:t>
            </w:r>
            <w:r w:rsidRPr="000F332E">
              <w:rPr>
                <w:rFonts w:ascii="Arial" w:hAnsi="Arial" w:cs="Arial"/>
                <w:sz w:val="16"/>
                <w:szCs w:val="16"/>
              </w:rPr>
              <w:t xml:space="preserve">, the UE shall, for this PUSCH transmission, consider the transform precoding either enabled or disabled according to the higher layer configured parameter </w:t>
            </w:r>
            <w:r w:rsidRPr="000F332E">
              <w:rPr>
                <w:rFonts w:ascii="Arial" w:hAnsi="Arial" w:cs="Arial"/>
                <w:i/>
                <w:iCs/>
                <w:sz w:val="16"/>
                <w:szCs w:val="16"/>
              </w:rPr>
              <w:t>msg3-transformPrecoder</w:t>
            </w:r>
            <w:r w:rsidRPr="000F332E">
              <w:rPr>
                <w:rFonts w:ascii="Arial" w:hAnsi="Arial" w:cs="Arial"/>
                <w:sz w:val="16"/>
                <w:szCs w:val="16"/>
              </w:rPr>
              <w:t>.</w:t>
            </w:r>
          </w:p>
        </w:tc>
      </w:tr>
    </w:tbl>
    <w:p w14:paraId="13D0A0AF" w14:textId="77777777" w:rsidR="000D60C3" w:rsidRDefault="000D60C3" w:rsidP="009537ED">
      <w:pPr>
        <w:rPr>
          <w:lang w:eastAsia="x-none"/>
        </w:rPr>
      </w:pPr>
    </w:p>
    <w:p w14:paraId="75B8976C" w14:textId="77777777" w:rsidR="00F74A6F" w:rsidRPr="009537ED" w:rsidRDefault="00F74A6F" w:rsidP="00F91255">
      <w:pPr>
        <w:pStyle w:val="Heading4"/>
      </w:pPr>
      <w:bookmarkStart w:id="202" w:name="_Toc150174446"/>
      <w:bookmarkStart w:id="203" w:name="_Toc159250988"/>
      <w:r w:rsidRPr="009537ED">
        <w:t>SRS enhancement targeting TDD CJT and 8 TX operation</w:t>
      </w:r>
      <w:bookmarkEnd w:id="202"/>
      <w:bookmarkEnd w:id="203"/>
    </w:p>
    <w:p w14:paraId="4595FE99" w14:textId="46860DC2" w:rsidR="00F74A6F" w:rsidRPr="009537ED" w:rsidRDefault="005A18DC" w:rsidP="00F74A6F">
      <w:pPr>
        <w:rPr>
          <w:lang w:eastAsia="x-none"/>
        </w:rPr>
      </w:pPr>
      <w:hyperlink r:id="rId872" w:history="1">
        <w:r w:rsidR="00AF7253">
          <w:rPr>
            <w:rStyle w:val="Hyperlink"/>
            <w:lang w:eastAsia="x-none"/>
          </w:rPr>
          <w:t>R1-2310829</w:t>
        </w:r>
      </w:hyperlink>
      <w:r w:rsidR="00F74A6F" w:rsidRPr="009537ED">
        <w:rPr>
          <w:lang w:eastAsia="x-none"/>
        </w:rPr>
        <w:tab/>
        <w:t>SRS enhancements for TDD CJT and 8TX operation</w:t>
      </w:r>
      <w:r w:rsidR="00F74A6F" w:rsidRPr="009537ED">
        <w:rPr>
          <w:lang w:eastAsia="x-none"/>
        </w:rPr>
        <w:tab/>
        <w:t>FUTUREWEI</w:t>
      </w:r>
    </w:p>
    <w:p w14:paraId="265510DF" w14:textId="086052A4" w:rsidR="00F74A6F" w:rsidRPr="009537ED" w:rsidRDefault="005A18DC" w:rsidP="00F74A6F">
      <w:pPr>
        <w:rPr>
          <w:lang w:eastAsia="x-none"/>
        </w:rPr>
      </w:pPr>
      <w:hyperlink r:id="rId873" w:history="1">
        <w:r w:rsidR="00AF7253">
          <w:rPr>
            <w:rStyle w:val="Hyperlink"/>
            <w:lang w:eastAsia="x-none"/>
          </w:rPr>
          <w:t>R1-2310870</w:t>
        </w:r>
      </w:hyperlink>
      <w:r w:rsidR="00F74A6F" w:rsidRPr="009537ED">
        <w:rPr>
          <w:lang w:eastAsia="x-none"/>
        </w:rPr>
        <w:tab/>
        <w:t>Maintenance of SRS enhancement for TDD CJT and UL 8Tx operation in Rel-18</w:t>
      </w:r>
      <w:r w:rsidR="00F74A6F" w:rsidRPr="009537ED">
        <w:rPr>
          <w:lang w:eastAsia="x-none"/>
        </w:rPr>
        <w:tab/>
        <w:t>Huawei, HiSilicon</w:t>
      </w:r>
    </w:p>
    <w:p w14:paraId="2874F3F6" w14:textId="1C2263CF" w:rsidR="00F74A6F" w:rsidRPr="00F91255" w:rsidRDefault="005A18DC" w:rsidP="00F74A6F">
      <w:pPr>
        <w:rPr>
          <w:lang w:val="fr-FR" w:eastAsia="x-none"/>
        </w:rPr>
      </w:pPr>
      <w:hyperlink r:id="rId874" w:history="1">
        <w:r w:rsidR="00AF7253">
          <w:rPr>
            <w:rStyle w:val="Hyperlink"/>
            <w:lang w:val="fr-FR" w:eastAsia="x-none"/>
          </w:rPr>
          <w:t>R1-2310923</w:t>
        </w:r>
      </w:hyperlink>
      <w:r w:rsidR="00F74A6F" w:rsidRPr="00F91255">
        <w:rPr>
          <w:lang w:val="fr-FR" w:eastAsia="x-none"/>
        </w:rPr>
        <w:tab/>
        <w:t>Maintenance on Rel-18 SRS Enhancements</w:t>
      </w:r>
      <w:r w:rsidR="00F74A6F" w:rsidRPr="00F91255">
        <w:rPr>
          <w:lang w:val="fr-FR" w:eastAsia="x-none"/>
        </w:rPr>
        <w:tab/>
        <w:t>InterDigital, Inc.</w:t>
      </w:r>
    </w:p>
    <w:p w14:paraId="29BFD9A5" w14:textId="4357143E" w:rsidR="00F74A6F" w:rsidRPr="009537ED" w:rsidRDefault="005A18DC" w:rsidP="00F74A6F">
      <w:pPr>
        <w:rPr>
          <w:lang w:eastAsia="x-none"/>
        </w:rPr>
      </w:pPr>
      <w:hyperlink r:id="rId875" w:history="1">
        <w:r w:rsidR="00AF7253">
          <w:rPr>
            <w:rStyle w:val="Hyperlink"/>
            <w:lang w:eastAsia="x-none"/>
          </w:rPr>
          <w:t>R1-2310951</w:t>
        </w:r>
      </w:hyperlink>
      <w:r w:rsidR="00F74A6F" w:rsidRPr="009537ED">
        <w:rPr>
          <w:lang w:eastAsia="x-none"/>
        </w:rPr>
        <w:tab/>
        <w:t>Maintenance on SRS enhancement targeting TDD CJT and 8 TX operation</w:t>
      </w:r>
      <w:r w:rsidR="00F74A6F" w:rsidRPr="009537ED">
        <w:rPr>
          <w:lang w:eastAsia="x-none"/>
        </w:rPr>
        <w:tab/>
        <w:t>ZTE</w:t>
      </w:r>
    </w:p>
    <w:p w14:paraId="400D4809" w14:textId="5BCB9B96" w:rsidR="00F74A6F" w:rsidRPr="00F91255" w:rsidRDefault="005A18DC" w:rsidP="00F74A6F">
      <w:pPr>
        <w:rPr>
          <w:lang w:val="fr-FR" w:eastAsia="x-none"/>
        </w:rPr>
      </w:pPr>
      <w:hyperlink r:id="rId876" w:history="1">
        <w:r w:rsidR="00AF7253">
          <w:rPr>
            <w:rStyle w:val="Hyperlink"/>
            <w:lang w:val="fr-FR" w:eastAsia="x-none"/>
          </w:rPr>
          <w:t>R1-2311087</w:t>
        </w:r>
      </w:hyperlink>
      <w:r w:rsidR="00F74A6F" w:rsidRPr="00F91255">
        <w:rPr>
          <w:lang w:val="fr-FR" w:eastAsia="x-none"/>
        </w:rPr>
        <w:tab/>
        <w:t>Maintenance on SRS enhancements</w:t>
      </w:r>
      <w:r w:rsidR="00F74A6F" w:rsidRPr="00F91255">
        <w:rPr>
          <w:lang w:val="fr-FR" w:eastAsia="x-none"/>
        </w:rPr>
        <w:tab/>
        <w:t>vivo</w:t>
      </w:r>
    </w:p>
    <w:p w14:paraId="58916AD8" w14:textId="21904AA3" w:rsidR="00F74A6F" w:rsidRPr="009537ED" w:rsidRDefault="005A18DC" w:rsidP="00F74A6F">
      <w:pPr>
        <w:rPr>
          <w:lang w:eastAsia="x-none"/>
        </w:rPr>
      </w:pPr>
      <w:hyperlink r:id="rId877" w:history="1">
        <w:r w:rsidR="00AF7253">
          <w:rPr>
            <w:rStyle w:val="Hyperlink"/>
            <w:lang w:eastAsia="x-none"/>
          </w:rPr>
          <w:t>R1-2311217</w:t>
        </w:r>
      </w:hyperlink>
      <w:r w:rsidR="00F74A6F" w:rsidRPr="009537ED">
        <w:rPr>
          <w:lang w:eastAsia="x-none"/>
        </w:rPr>
        <w:tab/>
        <w:t>Remaining issues on SRS enhancement targeting TDD CJT and 8 TX operation</w:t>
      </w:r>
      <w:r w:rsidR="00F74A6F" w:rsidRPr="009537ED">
        <w:rPr>
          <w:lang w:eastAsia="x-none"/>
        </w:rPr>
        <w:tab/>
        <w:t>OPPO</w:t>
      </w:r>
    </w:p>
    <w:p w14:paraId="5DBCB7AF" w14:textId="1F419FB8" w:rsidR="00F74A6F" w:rsidRPr="009537ED" w:rsidRDefault="005A18DC" w:rsidP="00F74A6F">
      <w:pPr>
        <w:rPr>
          <w:lang w:eastAsia="x-none"/>
        </w:rPr>
      </w:pPr>
      <w:hyperlink r:id="rId878" w:history="1">
        <w:r w:rsidR="00AF7253">
          <w:rPr>
            <w:rStyle w:val="Hyperlink"/>
            <w:lang w:eastAsia="x-none"/>
          </w:rPr>
          <w:t>R1-2311318</w:t>
        </w:r>
      </w:hyperlink>
      <w:r w:rsidR="00F74A6F" w:rsidRPr="009537ED">
        <w:rPr>
          <w:lang w:eastAsia="x-none"/>
        </w:rPr>
        <w:tab/>
        <w:t>Remaining issues on SRS enhancement</w:t>
      </w:r>
      <w:r w:rsidR="00F74A6F" w:rsidRPr="009537ED">
        <w:rPr>
          <w:lang w:eastAsia="x-none"/>
        </w:rPr>
        <w:tab/>
        <w:t>CATT</w:t>
      </w:r>
    </w:p>
    <w:p w14:paraId="2BDF9EE6" w14:textId="3340EDD1" w:rsidR="00F74A6F" w:rsidRPr="00F91255" w:rsidRDefault="005A18DC" w:rsidP="00F74A6F">
      <w:pPr>
        <w:rPr>
          <w:lang w:val="fr-FR" w:eastAsia="x-none"/>
        </w:rPr>
      </w:pPr>
      <w:hyperlink r:id="rId879" w:history="1">
        <w:r w:rsidR="00AF7253">
          <w:rPr>
            <w:rStyle w:val="Hyperlink"/>
            <w:lang w:val="fr-FR" w:eastAsia="x-none"/>
          </w:rPr>
          <w:t>R1-2311365</w:t>
        </w:r>
      </w:hyperlink>
      <w:r w:rsidR="00F74A6F" w:rsidRPr="00F91255">
        <w:rPr>
          <w:lang w:val="fr-FR" w:eastAsia="x-none"/>
        </w:rPr>
        <w:tab/>
        <w:t>Maintenance on SRS enhancement</w:t>
      </w:r>
      <w:r w:rsidR="00F74A6F" w:rsidRPr="00F91255">
        <w:rPr>
          <w:lang w:val="fr-FR" w:eastAsia="x-none"/>
        </w:rPr>
        <w:tab/>
        <w:t>Lenovo</w:t>
      </w:r>
    </w:p>
    <w:p w14:paraId="3CDFADBA" w14:textId="1A734A33" w:rsidR="00F74A6F" w:rsidRPr="00F91255" w:rsidRDefault="005A18DC" w:rsidP="00F74A6F">
      <w:pPr>
        <w:rPr>
          <w:lang w:val="fr-FR" w:eastAsia="x-none"/>
        </w:rPr>
      </w:pPr>
      <w:hyperlink r:id="rId880" w:history="1">
        <w:r w:rsidR="00AF7253">
          <w:rPr>
            <w:rStyle w:val="Hyperlink"/>
            <w:lang w:val="fr-FR" w:eastAsia="x-none"/>
          </w:rPr>
          <w:t>R1-2311383</w:t>
        </w:r>
      </w:hyperlink>
      <w:r w:rsidR="00F74A6F" w:rsidRPr="00F91255">
        <w:rPr>
          <w:lang w:val="fr-FR" w:eastAsia="x-none"/>
        </w:rPr>
        <w:tab/>
        <w:t>Maintenance on SRS enhancements</w:t>
      </w:r>
      <w:r w:rsidR="00F74A6F" w:rsidRPr="00F91255">
        <w:rPr>
          <w:lang w:val="fr-FR" w:eastAsia="x-none"/>
        </w:rPr>
        <w:tab/>
        <w:t>xiaomi</w:t>
      </w:r>
    </w:p>
    <w:p w14:paraId="6C18A00B" w14:textId="78E7BD80" w:rsidR="00F74A6F" w:rsidRPr="009537ED" w:rsidRDefault="005A18DC" w:rsidP="00F74A6F">
      <w:pPr>
        <w:rPr>
          <w:lang w:eastAsia="x-none"/>
        </w:rPr>
      </w:pPr>
      <w:hyperlink r:id="rId881" w:history="1">
        <w:r w:rsidR="00AF7253">
          <w:rPr>
            <w:rStyle w:val="Hyperlink"/>
            <w:lang w:eastAsia="x-none"/>
          </w:rPr>
          <w:t>R1-2311478</w:t>
        </w:r>
      </w:hyperlink>
      <w:r w:rsidR="00F74A6F" w:rsidRPr="009537ED">
        <w:rPr>
          <w:lang w:eastAsia="x-none"/>
        </w:rPr>
        <w:tab/>
        <w:t>Remaining issues on SRS enhancement targeting TDD CJT and 8 TX operation</w:t>
      </w:r>
      <w:r w:rsidR="00F74A6F" w:rsidRPr="009537ED">
        <w:rPr>
          <w:lang w:eastAsia="x-none"/>
        </w:rPr>
        <w:tab/>
        <w:t>CMCC</w:t>
      </w:r>
    </w:p>
    <w:p w14:paraId="07C0C048" w14:textId="37A3DEA7" w:rsidR="00F74A6F" w:rsidRPr="009537ED" w:rsidRDefault="005A18DC" w:rsidP="00F74A6F">
      <w:pPr>
        <w:rPr>
          <w:lang w:eastAsia="x-none"/>
        </w:rPr>
      </w:pPr>
      <w:hyperlink r:id="rId882" w:history="1">
        <w:r w:rsidR="00AF7253">
          <w:rPr>
            <w:rStyle w:val="Hyperlink"/>
            <w:lang w:eastAsia="x-none"/>
          </w:rPr>
          <w:t>R1-2311569</w:t>
        </w:r>
      </w:hyperlink>
      <w:r w:rsidR="00F74A6F" w:rsidRPr="009537ED">
        <w:rPr>
          <w:lang w:eastAsia="x-none"/>
        </w:rPr>
        <w:tab/>
        <w:t>On SRS Enhancement</w:t>
      </w:r>
      <w:r w:rsidR="00F74A6F" w:rsidRPr="009537ED">
        <w:rPr>
          <w:lang w:eastAsia="x-none"/>
        </w:rPr>
        <w:tab/>
        <w:t>Google</w:t>
      </w:r>
    </w:p>
    <w:p w14:paraId="089D4E6B" w14:textId="21DBEA4F" w:rsidR="00F74A6F" w:rsidRPr="009537ED" w:rsidRDefault="005A18DC" w:rsidP="00F74A6F">
      <w:pPr>
        <w:rPr>
          <w:lang w:eastAsia="x-none"/>
        </w:rPr>
      </w:pPr>
      <w:hyperlink r:id="rId883" w:history="1">
        <w:r w:rsidR="00AF7253">
          <w:rPr>
            <w:rStyle w:val="Hyperlink"/>
            <w:lang w:eastAsia="x-none"/>
          </w:rPr>
          <w:t>R1-2311616</w:t>
        </w:r>
      </w:hyperlink>
      <w:r w:rsidR="00F74A6F" w:rsidRPr="009537ED">
        <w:rPr>
          <w:lang w:eastAsia="x-none"/>
        </w:rPr>
        <w:tab/>
        <w:t>Remaining issues on SRS enhancement</w:t>
      </w:r>
      <w:r w:rsidR="00F74A6F" w:rsidRPr="009537ED">
        <w:rPr>
          <w:lang w:eastAsia="x-none"/>
        </w:rPr>
        <w:tab/>
        <w:t>NTT DOCOMO, INC.</w:t>
      </w:r>
    </w:p>
    <w:p w14:paraId="15D6248F" w14:textId="00F188E5" w:rsidR="00F74A6F" w:rsidRPr="009537ED" w:rsidRDefault="005A18DC" w:rsidP="00F74A6F">
      <w:pPr>
        <w:rPr>
          <w:lang w:eastAsia="x-none"/>
        </w:rPr>
      </w:pPr>
      <w:hyperlink r:id="rId884" w:history="1">
        <w:r w:rsidR="00AF7253">
          <w:rPr>
            <w:rStyle w:val="Hyperlink"/>
            <w:lang w:eastAsia="x-none"/>
          </w:rPr>
          <w:t>R1-2311721</w:t>
        </w:r>
      </w:hyperlink>
      <w:r w:rsidR="00F74A6F" w:rsidRPr="009537ED">
        <w:rPr>
          <w:lang w:eastAsia="x-none"/>
        </w:rPr>
        <w:tab/>
        <w:t>Maintenance on SRS enhancement targeting TDD CJT and 8 TX operation</w:t>
      </w:r>
      <w:r w:rsidR="00F74A6F" w:rsidRPr="009537ED">
        <w:rPr>
          <w:lang w:eastAsia="x-none"/>
        </w:rPr>
        <w:tab/>
        <w:t>Sharp</w:t>
      </w:r>
    </w:p>
    <w:p w14:paraId="53453294" w14:textId="4871BF45" w:rsidR="00F74A6F" w:rsidRPr="009537ED" w:rsidRDefault="005A18DC" w:rsidP="00F74A6F">
      <w:pPr>
        <w:rPr>
          <w:lang w:eastAsia="x-none"/>
        </w:rPr>
      </w:pPr>
      <w:hyperlink r:id="rId885" w:history="1">
        <w:r w:rsidR="00AF7253">
          <w:rPr>
            <w:rStyle w:val="Hyperlink"/>
            <w:lang w:eastAsia="x-none"/>
          </w:rPr>
          <w:t>R1-2311743</w:t>
        </w:r>
      </w:hyperlink>
      <w:r w:rsidR="00F74A6F" w:rsidRPr="009537ED">
        <w:rPr>
          <w:lang w:eastAsia="x-none"/>
        </w:rPr>
        <w:tab/>
        <w:t>Maintenance of SRS enhancement for TDD CJT and 8Tx operation</w:t>
      </w:r>
      <w:r w:rsidR="00F74A6F" w:rsidRPr="009537ED">
        <w:rPr>
          <w:lang w:eastAsia="x-none"/>
        </w:rPr>
        <w:tab/>
        <w:t>Nokia, Nokia Shanghai Bell</w:t>
      </w:r>
    </w:p>
    <w:p w14:paraId="20B22D30" w14:textId="445043A7" w:rsidR="00F74A6F" w:rsidRPr="009537ED" w:rsidRDefault="005A18DC" w:rsidP="00F74A6F">
      <w:pPr>
        <w:rPr>
          <w:lang w:eastAsia="x-none"/>
        </w:rPr>
      </w:pPr>
      <w:hyperlink r:id="rId886" w:history="1">
        <w:r w:rsidR="00AF7253">
          <w:rPr>
            <w:rStyle w:val="Hyperlink"/>
            <w:lang w:eastAsia="x-none"/>
          </w:rPr>
          <w:t>R1-2311834</w:t>
        </w:r>
      </w:hyperlink>
      <w:r w:rsidR="00F74A6F" w:rsidRPr="009537ED">
        <w:rPr>
          <w:lang w:eastAsia="x-none"/>
        </w:rPr>
        <w:tab/>
        <w:t>Remaining details on SRS enhancements</w:t>
      </w:r>
      <w:r w:rsidR="00F74A6F" w:rsidRPr="009537ED">
        <w:rPr>
          <w:lang w:eastAsia="x-none"/>
        </w:rPr>
        <w:tab/>
        <w:t>Samsung</w:t>
      </w:r>
    </w:p>
    <w:p w14:paraId="6E7C409C" w14:textId="29794267" w:rsidR="00F74A6F" w:rsidRPr="009537ED" w:rsidRDefault="005A18DC" w:rsidP="00F74A6F">
      <w:pPr>
        <w:rPr>
          <w:lang w:eastAsia="x-none"/>
        </w:rPr>
      </w:pPr>
      <w:hyperlink r:id="rId887" w:history="1">
        <w:r w:rsidR="00AF7253">
          <w:rPr>
            <w:rStyle w:val="Hyperlink"/>
            <w:lang w:eastAsia="x-none"/>
          </w:rPr>
          <w:t>R1-2311883</w:t>
        </w:r>
      </w:hyperlink>
      <w:r w:rsidR="00F74A6F" w:rsidRPr="009537ED">
        <w:rPr>
          <w:lang w:eastAsia="x-none"/>
        </w:rPr>
        <w:tab/>
        <w:t>Remaining issues on SRS enhancement targeting TDD CJT and 8 TX operation</w:t>
      </w:r>
      <w:r w:rsidR="00F74A6F" w:rsidRPr="009537ED">
        <w:rPr>
          <w:lang w:eastAsia="x-none"/>
        </w:rPr>
        <w:tab/>
        <w:t>KDDI Corporation</w:t>
      </w:r>
    </w:p>
    <w:p w14:paraId="2FC78706" w14:textId="0DD1CD9A" w:rsidR="00F74A6F" w:rsidRPr="009537ED" w:rsidRDefault="005A18DC" w:rsidP="00F74A6F">
      <w:pPr>
        <w:rPr>
          <w:lang w:eastAsia="x-none"/>
        </w:rPr>
      </w:pPr>
      <w:hyperlink r:id="rId888" w:history="1">
        <w:r w:rsidR="00AF7253">
          <w:rPr>
            <w:rStyle w:val="Hyperlink"/>
            <w:lang w:eastAsia="x-none"/>
          </w:rPr>
          <w:t>R1-2311929</w:t>
        </w:r>
      </w:hyperlink>
      <w:r w:rsidR="00F74A6F" w:rsidRPr="009537ED">
        <w:rPr>
          <w:lang w:eastAsia="x-none"/>
        </w:rPr>
        <w:tab/>
        <w:t>Maintenance on SRS enhancement targeting TDD CJT and 8 TX operation</w:t>
      </w:r>
      <w:r w:rsidR="00F74A6F" w:rsidRPr="009537ED">
        <w:rPr>
          <w:lang w:eastAsia="x-none"/>
        </w:rPr>
        <w:tab/>
        <w:t>Ruijie Network Co. Ltd</w:t>
      </w:r>
    </w:p>
    <w:p w14:paraId="1493CFD1" w14:textId="04DB2C54" w:rsidR="00F74A6F" w:rsidRPr="009537ED" w:rsidRDefault="005A18DC" w:rsidP="00F74A6F">
      <w:pPr>
        <w:rPr>
          <w:lang w:eastAsia="x-none"/>
        </w:rPr>
      </w:pPr>
      <w:hyperlink r:id="rId889" w:history="1">
        <w:r w:rsidR="00AF7253">
          <w:rPr>
            <w:rStyle w:val="Hyperlink"/>
            <w:lang w:eastAsia="x-none"/>
          </w:rPr>
          <w:t>R1-2312029</w:t>
        </w:r>
      </w:hyperlink>
      <w:r w:rsidR="00F74A6F" w:rsidRPr="009537ED">
        <w:rPr>
          <w:lang w:eastAsia="x-none"/>
        </w:rPr>
        <w:tab/>
        <w:t>SRS enhancement for TDD CJT and 8 Tx operation</w:t>
      </w:r>
      <w:r w:rsidR="00F74A6F" w:rsidRPr="009537ED">
        <w:rPr>
          <w:lang w:eastAsia="x-none"/>
        </w:rPr>
        <w:tab/>
        <w:t>Qualcomm Incorporated</w:t>
      </w:r>
    </w:p>
    <w:p w14:paraId="05984837" w14:textId="2DE98034" w:rsidR="00F74A6F" w:rsidRDefault="005A18DC" w:rsidP="00F74A6F">
      <w:pPr>
        <w:rPr>
          <w:lang w:eastAsia="x-none"/>
        </w:rPr>
      </w:pPr>
      <w:hyperlink r:id="rId890" w:history="1">
        <w:r w:rsidR="00AF7253">
          <w:rPr>
            <w:rStyle w:val="Hyperlink"/>
            <w:lang w:eastAsia="x-none"/>
          </w:rPr>
          <w:t>R1-2312180</w:t>
        </w:r>
      </w:hyperlink>
      <w:r w:rsidR="00F74A6F" w:rsidRPr="009537ED">
        <w:rPr>
          <w:lang w:eastAsia="x-none"/>
        </w:rPr>
        <w:tab/>
        <w:t>Maintenance on SRS enhancements targeting TDD CJT and 8 TX operation</w:t>
      </w:r>
      <w:r w:rsidR="00F74A6F" w:rsidRPr="009537ED">
        <w:rPr>
          <w:lang w:eastAsia="x-none"/>
        </w:rPr>
        <w:tab/>
        <w:t>Ericsson</w:t>
      </w:r>
    </w:p>
    <w:p w14:paraId="41DF60A9" w14:textId="77777777" w:rsidR="00F91255" w:rsidRDefault="00F91255" w:rsidP="00F74A6F">
      <w:pPr>
        <w:rPr>
          <w:lang w:eastAsia="x-none"/>
        </w:rPr>
      </w:pPr>
    </w:p>
    <w:p w14:paraId="4295C226" w14:textId="48319C35" w:rsidR="0064377E" w:rsidRPr="0064377E" w:rsidRDefault="005A18DC" w:rsidP="0064377E">
      <w:pPr>
        <w:rPr>
          <w:rFonts w:ascii="Times New Roman" w:hAnsi="Times New Roman"/>
          <w:b/>
          <w:bCs/>
          <w:szCs w:val="20"/>
          <w:lang w:eastAsia="x-none"/>
        </w:rPr>
      </w:pPr>
      <w:hyperlink r:id="rId891" w:history="1">
        <w:r w:rsidR="00AF7253">
          <w:rPr>
            <w:rStyle w:val="Hyperlink"/>
            <w:rFonts w:ascii="Times New Roman" w:hAnsi="Times New Roman"/>
            <w:b/>
            <w:bCs/>
            <w:szCs w:val="20"/>
            <w:lang w:eastAsia="x-none"/>
          </w:rPr>
          <w:t>R1-2312316</w:t>
        </w:r>
      </w:hyperlink>
      <w:r w:rsidR="0064377E" w:rsidRPr="0064377E">
        <w:rPr>
          <w:rFonts w:ascii="Times New Roman" w:hAnsi="Times New Roman"/>
          <w:b/>
          <w:bCs/>
          <w:szCs w:val="20"/>
          <w:lang w:eastAsia="x-none"/>
        </w:rPr>
        <w:tab/>
        <w:t>FL Summary #1 on SRS enhancements</w:t>
      </w:r>
      <w:r w:rsidR="0064377E" w:rsidRPr="0064377E">
        <w:rPr>
          <w:rFonts w:ascii="Times New Roman" w:hAnsi="Times New Roman"/>
          <w:b/>
          <w:bCs/>
          <w:szCs w:val="20"/>
          <w:lang w:eastAsia="x-none"/>
        </w:rPr>
        <w:tab/>
        <w:t>Moderator (FUTUREWEI)</w:t>
      </w:r>
    </w:p>
    <w:p w14:paraId="2CC227EE" w14:textId="021186AB" w:rsidR="00F91255" w:rsidRPr="00F91255" w:rsidRDefault="0064377E" w:rsidP="0064377E">
      <w:pPr>
        <w:rPr>
          <w:rFonts w:ascii="Times New Roman" w:hAnsi="Times New Roman"/>
          <w:szCs w:val="20"/>
          <w:lang w:eastAsia="x-none"/>
        </w:rPr>
      </w:pPr>
      <w:r>
        <w:rPr>
          <w:rFonts w:ascii="Times New Roman" w:hAnsi="Times New Roman"/>
          <w:szCs w:val="20"/>
          <w:lang w:eastAsia="x-none"/>
        </w:rPr>
        <w:t>From Monday session</w:t>
      </w:r>
    </w:p>
    <w:p w14:paraId="6E2AB85F" w14:textId="77777777" w:rsidR="0064377E" w:rsidRPr="009537ED" w:rsidRDefault="0064377E" w:rsidP="0064377E">
      <w:pPr>
        <w:rPr>
          <w:rFonts w:ascii="Times New Roman" w:hAnsi="Times New Roman"/>
          <w:szCs w:val="20"/>
          <w:highlight w:val="green"/>
          <w:lang w:eastAsia="zh-CN"/>
        </w:rPr>
      </w:pPr>
      <w:r>
        <w:rPr>
          <w:rFonts w:ascii="Times New Roman" w:hAnsi="Times New Roman"/>
          <w:szCs w:val="20"/>
          <w:highlight w:val="green"/>
          <w:lang w:eastAsia="zh-CN"/>
        </w:rPr>
        <w:t>Agreement</w:t>
      </w:r>
    </w:p>
    <w:p w14:paraId="6C9344B7" w14:textId="77777777" w:rsidR="00F91255" w:rsidRPr="00F91255" w:rsidRDefault="00F91255" w:rsidP="00F91255">
      <w:pPr>
        <w:spacing w:line="276" w:lineRule="auto"/>
        <w:rPr>
          <w:rFonts w:ascii="Times New Roman" w:hAnsi="Times New Roman"/>
          <w:szCs w:val="20"/>
        </w:rPr>
      </w:pPr>
      <w:r w:rsidRPr="00F91255">
        <w:rPr>
          <w:rFonts w:ascii="Times New Roman" w:hAnsi="Times New Roman"/>
          <w:szCs w:val="20"/>
        </w:rPr>
        <w:t xml:space="preserve">Support to report downgrading configuration(s) </w:t>
      </w:r>
      <w:r w:rsidRPr="00F91255">
        <w:rPr>
          <w:rFonts w:ascii="Times New Roman" w:hAnsi="Times New Roman"/>
          <w:strike/>
          <w:color w:val="FF0000"/>
          <w:szCs w:val="20"/>
        </w:rPr>
        <w:t>from {t1r1, t2r2, t4r4}</w:t>
      </w:r>
      <w:r w:rsidRPr="00F91255">
        <w:rPr>
          <w:rFonts w:ascii="Times New Roman" w:hAnsi="Times New Roman"/>
          <w:szCs w:val="20"/>
        </w:rPr>
        <w:t xml:space="preserve"> for UE supporting 8T8R (t8r8) configuration.</w:t>
      </w:r>
    </w:p>
    <w:p w14:paraId="68BFFFDD" w14:textId="77777777" w:rsidR="00F91255" w:rsidRPr="00F91255" w:rsidRDefault="00F91255" w:rsidP="00AA1D48">
      <w:pPr>
        <w:pStyle w:val="ListParagraph"/>
        <w:numPr>
          <w:ilvl w:val="0"/>
          <w:numId w:val="107"/>
        </w:numPr>
      </w:pPr>
      <w:r w:rsidRPr="00F91255">
        <w:t>Details to be decided in UE features design.</w:t>
      </w:r>
    </w:p>
    <w:p w14:paraId="288EA078" w14:textId="77777777" w:rsidR="00F91255" w:rsidRPr="00F91255" w:rsidRDefault="00F91255" w:rsidP="00F91255">
      <w:pPr>
        <w:rPr>
          <w:rFonts w:ascii="Times New Roman" w:hAnsi="Times New Roman"/>
          <w:szCs w:val="20"/>
          <w:lang w:eastAsia="x-none"/>
        </w:rPr>
      </w:pPr>
    </w:p>
    <w:p w14:paraId="39DD5DFE" w14:textId="77777777" w:rsidR="0064377E" w:rsidRPr="009537ED" w:rsidRDefault="0064377E" w:rsidP="0064377E">
      <w:pPr>
        <w:rPr>
          <w:rFonts w:ascii="Times New Roman" w:hAnsi="Times New Roman"/>
          <w:szCs w:val="20"/>
          <w:highlight w:val="green"/>
          <w:lang w:eastAsia="zh-CN"/>
        </w:rPr>
      </w:pPr>
      <w:r>
        <w:rPr>
          <w:rFonts w:ascii="Times New Roman" w:hAnsi="Times New Roman"/>
          <w:szCs w:val="20"/>
          <w:highlight w:val="green"/>
          <w:lang w:eastAsia="zh-CN"/>
        </w:rPr>
        <w:t>Agreement</w:t>
      </w:r>
    </w:p>
    <w:p w14:paraId="02AEE5DA" w14:textId="4AC33135" w:rsidR="00F91255" w:rsidRDefault="00F91255" w:rsidP="0064377E">
      <w:r w:rsidRPr="0064377E">
        <w:t>Adopt the text proposal for TS38.214 on TDM</w:t>
      </w:r>
      <w:r w:rsidR="0064377E">
        <w:t>.</w:t>
      </w:r>
    </w:p>
    <w:p w14:paraId="652322E8" w14:textId="7F19A384" w:rsidR="0064377E" w:rsidRPr="0064377E" w:rsidRDefault="0064377E" w:rsidP="0064377E">
      <w:pPr>
        <w:rPr>
          <w:color w:val="FF0000"/>
        </w:rPr>
      </w:pPr>
      <w:r w:rsidRPr="0064377E">
        <w:rPr>
          <w:color w:val="FF0000"/>
        </w:rPr>
        <w:t>--------- Start of TP ---------</w:t>
      </w:r>
    </w:p>
    <w:p w14:paraId="4C012AC5" w14:textId="77777777" w:rsidR="00F91255" w:rsidRPr="00F91255" w:rsidRDefault="00F91255" w:rsidP="00F91255">
      <w:pPr>
        <w:ind w:left="425"/>
        <w:rPr>
          <w:rFonts w:ascii="Arial" w:eastAsia="SimSun" w:hAnsi="Arial" w:cs="Arial"/>
          <w:b/>
          <w:sz w:val="16"/>
          <w:szCs w:val="16"/>
        </w:rPr>
      </w:pPr>
      <w:r w:rsidRPr="00F91255">
        <w:rPr>
          <w:rFonts w:ascii="Arial" w:eastAsia="SimSun" w:hAnsi="Arial" w:cs="Arial"/>
          <w:b/>
          <w:sz w:val="16"/>
          <w:szCs w:val="16"/>
        </w:rPr>
        <w:t>6.2.1</w:t>
      </w:r>
      <w:r w:rsidRPr="00F91255">
        <w:rPr>
          <w:rFonts w:ascii="Arial" w:eastAsia="SimSun" w:hAnsi="Arial" w:cs="Arial"/>
          <w:b/>
          <w:sz w:val="16"/>
          <w:szCs w:val="16"/>
        </w:rPr>
        <w:tab/>
        <w:t>UE sounding procedure</w:t>
      </w:r>
    </w:p>
    <w:p w14:paraId="63D2AB96" w14:textId="77777777" w:rsidR="00F91255" w:rsidRPr="00F91255" w:rsidRDefault="00F91255" w:rsidP="00F91255">
      <w:pPr>
        <w:jc w:val="center"/>
        <w:rPr>
          <w:rFonts w:ascii="Arial" w:eastAsia="Malgun Gothic" w:hAnsi="Arial" w:cs="Arial"/>
          <w:color w:val="FF0000"/>
          <w:kern w:val="2"/>
          <w:sz w:val="16"/>
          <w:szCs w:val="16"/>
        </w:rPr>
      </w:pPr>
      <w:r w:rsidRPr="00F91255">
        <w:rPr>
          <w:rFonts w:ascii="Arial" w:eastAsia="Malgun Gothic" w:hAnsi="Arial" w:cs="Arial"/>
          <w:color w:val="FF0000"/>
          <w:kern w:val="2"/>
          <w:sz w:val="16"/>
          <w:szCs w:val="16"/>
        </w:rPr>
        <w:t>&lt;</w:t>
      </w:r>
      <w:r w:rsidRPr="00F91255">
        <w:rPr>
          <w:rFonts w:ascii="Arial" w:hAnsi="Arial" w:cs="Arial"/>
          <w:iCs/>
          <w:color w:val="FF0000"/>
          <w:sz w:val="16"/>
          <w:szCs w:val="16"/>
        </w:rPr>
        <w:t xml:space="preserve"> Unchanged text is </w:t>
      </w:r>
      <w:r w:rsidRPr="00F91255">
        <w:rPr>
          <w:rFonts w:ascii="Arial" w:eastAsia="Malgun Gothic" w:hAnsi="Arial" w:cs="Arial"/>
          <w:color w:val="FF0000"/>
          <w:kern w:val="2"/>
          <w:sz w:val="16"/>
          <w:szCs w:val="16"/>
        </w:rPr>
        <w:t>omitted&gt;</w:t>
      </w:r>
    </w:p>
    <w:p w14:paraId="240D76DB" w14:textId="77777777" w:rsidR="00F91255" w:rsidRPr="00F91255" w:rsidRDefault="00F91255" w:rsidP="00F91255">
      <w:pPr>
        <w:spacing w:line="276" w:lineRule="auto"/>
        <w:ind w:left="425"/>
        <w:rPr>
          <w:rFonts w:ascii="Arial" w:eastAsia="Malgun Gothic" w:hAnsi="Arial" w:cs="Arial"/>
          <w:sz w:val="16"/>
          <w:szCs w:val="16"/>
        </w:rPr>
      </w:pPr>
      <w:r w:rsidRPr="00F91255">
        <w:rPr>
          <w:rFonts w:ascii="Arial" w:hAnsi="Arial" w:cs="Arial"/>
          <w:sz w:val="16"/>
          <w:szCs w:val="16"/>
        </w:rPr>
        <w:t xml:space="preserve">-  Support of time division mapping subsets of ports of the SRS resource into </w:t>
      </w:r>
      <w:r w:rsidRPr="00F91255">
        <w:rPr>
          <w:rFonts w:ascii="Arial" w:hAnsi="Arial" w:cs="Arial"/>
          <w:i/>
          <w:iCs/>
          <w:sz w:val="16"/>
          <w:szCs w:val="16"/>
        </w:rPr>
        <w:t>S</w:t>
      </w:r>
      <w:r w:rsidRPr="00F91255">
        <w:rPr>
          <w:rFonts w:ascii="Arial" w:hAnsi="Arial" w:cs="Arial"/>
          <w:sz w:val="16"/>
          <w:szCs w:val="16"/>
        </w:rPr>
        <w:t xml:space="preserve"> symbols (</w:t>
      </w:r>
      <w:r w:rsidRPr="00F91255">
        <w:rPr>
          <w:rFonts w:ascii="Arial" w:hAnsi="Arial" w:cs="Arial"/>
          <w:i/>
          <w:iCs/>
          <w:sz w:val="16"/>
          <w:szCs w:val="16"/>
        </w:rPr>
        <w:t>S=2)</w:t>
      </w:r>
      <w:r w:rsidRPr="00F91255">
        <w:rPr>
          <w:rFonts w:ascii="Arial" w:hAnsi="Arial" w:cs="Arial"/>
          <w:sz w:val="16"/>
          <w:szCs w:val="16"/>
        </w:rPr>
        <w:t>, as defined by the higher layer parameter [</w:t>
      </w:r>
      <w:r w:rsidRPr="00F91255">
        <w:rPr>
          <w:rFonts w:ascii="Arial" w:hAnsi="Arial" w:cs="Arial"/>
          <w:i/>
          <w:iCs/>
          <w:sz w:val="16"/>
          <w:szCs w:val="16"/>
        </w:rPr>
        <w:t>tdm</w:t>
      </w:r>
      <w:r w:rsidRPr="00F91255">
        <w:rPr>
          <w:rFonts w:ascii="Arial" w:hAnsi="Arial" w:cs="Arial"/>
          <w:sz w:val="16"/>
          <w:szCs w:val="16"/>
        </w:rPr>
        <w:t xml:space="preserve">], where the SRS ports are evenly distributed in two </w:t>
      </w:r>
      <w:r w:rsidRPr="00F91255">
        <w:rPr>
          <w:rFonts w:ascii="Arial" w:hAnsi="Arial" w:cs="Arial"/>
          <w:color w:val="FF0000"/>
          <w:sz w:val="16"/>
          <w:szCs w:val="16"/>
        </w:rPr>
        <w:t xml:space="preserve">consecutive </w:t>
      </w:r>
      <w:r w:rsidRPr="00F91255">
        <w:rPr>
          <w:rFonts w:ascii="Arial" w:hAnsi="Arial" w:cs="Arial"/>
          <w:sz w:val="16"/>
          <w:szCs w:val="16"/>
        </w:rPr>
        <w:t xml:space="preserve">symbols </w:t>
      </w:r>
      <w:r w:rsidRPr="00F91255">
        <w:rPr>
          <w:rFonts w:ascii="Arial" w:hAnsi="Arial" w:cs="Arial"/>
          <w:color w:val="FF0000"/>
          <w:sz w:val="16"/>
          <w:szCs w:val="16"/>
        </w:rPr>
        <w:t>over the symbols in a slot for the SRS resource according to [4, TS 38.211] clause 6.4.1.4.2</w:t>
      </w:r>
      <w:r w:rsidRPr="00F91255">
        <w:rPr>
          <w:rFonts w:ascii="Arial" w:hAnsi="Arial" w:cs="Arial"/>
          <w:sz w:val="16"/>
          <w:szCs w:val="16"/>
        </w:rPr>
        <w:t xml:space="preserve">. This applies when the SRS resource set is configured with higher layer parameter </w:t>
      </w:r>
      <w:r w:rsidRPr="00F91255">
        <w:rPr>
          <w:rFonts w:ascii="Arial" w:hAnsi="Arial" w:cs="Arial"/>
          <w:i/>
          <w:sz w:val="16"/>
          <w:szCs w:val="16"/>
        </w:rPr>
        <w:t xml:space="preserve">usage </w:t>
      </w:r>
      <w:r w:rsidRPr="00F91255">
        <w:rPr>
          <w:rFonts w:ascii="Arial" w:hAnsi="Arial" w:cs="Arial"/>
          <w:sz w:val="16"/>
          <w:szCs w:val="16"/>
        </w:rPr>
        <w:t xml:space="preserve">in </w:t>
      </w:r>
      <w:r w:rsidRPr="00F91255">
        <w:rPr>
          <w:rFonts w:ascii="Arial" w:hAnsi="Arial" w:cs="Arial"/>
          <w:i/>
          <w:sz w:val="16"/>
          <w:szCs w:val="16"/>
        </w:rPr>
        <w:t>SRS-ResourceSet</w:t>
      </w:r>
      <w:r w:rsidRPr="00F91255">
        <w:rPr>
          <w:rFonts w:ascii="Arial" w:hAnsi="Arial" w:cs="Arial"/>
          <w:sz w:val="16"/>
          <w:szCs w:val="16"/>
        </w:rPr>
        <w:t xml:space="preserve"> set to ‘</w:t>
      </w:r>
      <w:r w:rsidRPr="00F91255">
        <w:rPr>
          <w:rFonts w:ascii="Arial" w:hAnsi="Arial" w:cs="Arial"/>
          <w:i/>
          <w:iCs/>
          <w:sz w:val="16"/>
          <w:szCs w:val="16"/>
        </w:rPr>
        <w:t>codebook</w:t>
      </w:r>
      <w:r w:rsidRPr="00F91255">
        <w:rPr>
          <w:rFonts w:ascii="Arial" w:hAnsi="Arial" w:cs="Arial"/>
          <w:sz w:val="16"/>
          <w:szCs w:val="16"/>
        </w:rPr>
        <w:t>’, or ‘</w:t>
      </w:r>
      <w:r w:rsidRPr="00F91255">
        <w:rPr>
          <w:rFonts w:ascii="Arial" w:hAnsi="Arial" w:cs="Arial"/>
          <w:i/>
          <w:iCs/>
          <w:sz w:val="16"/>
          <w:szCs w:val="16"/>
        </w:rPr>
        <w:t>antennaSwitching</w:t>
      </w:r>
      <w:r w:rsidRPr="00F91255">
        <w:rPr>
          <w:rFonts w:ascii="Arial" w:hAnsi="Arial" w:cs="Arial"/>
          <w:sz w:val="16"/>
          <w:szCs w:val="16"/>
        </w:rPr>
        <w:t xml:space="preserve">’, and </w:t>
      </w:r>
      <w:r w:rsidRPr="00F91255">
        <w:rPr>
          <w:rFonts w:ascii="Arial" w:hAnsi="Arial" w:cs="Arial"/>
          <w:i/>
          <w:sz w:val="16"/>
          <w:szCs w:val="16"/>
        </w:rPr>
        <w:t>nrofSRS-Ports</w:t>
      </w:r>
      <w:r w:rsidRPr="00F91255">
        <w:rPr>
          <w:rFonts w:ascii="Arial" w:hAnsi="Arial" w:cs="Arial"/>
          <w:sz w:val="16"/>
          <w:szCs w:val="16"/>
        </w:rPr>
        <w:t xml:space="preserve"> is set to ‘</w:t>
      </w:r>
      <w:r w:rsidRPr="00F91255">
        <w:rPr>
          <w:rFonts w:ascii="Arial" w:hAnsi="Arial" w:cs="Arial"/>
          <w:i/>
          <w:iCs/>
          <w:sz w:val="16"/>
          <w:szCs w:val="16"/>
        </w:rPr>
        <w:t>n8</w:t>
      </w:r>
      <w:r w:rsidRPr="00F91255">
        <w:rPr>
          <w:rFonts w:ascii="Arial" w:hAnsi="Arial" w:cs="Arial"/>
          <w:sz w:val="16"/>
          <w:szCs w:val="16"/>
        </w:rPr>
        <w:t>’.</w:t>
      </w:r>
    </w:p>
    <w:p w14:paraId="33956F79" w14:textId="77777777" w:rsidR="00F91255" w:rsidRPr="0064377E" w:rsidRDefault="00F91255" w:rsidP="00F91255">
      <w:pPr>
        <w:jc w:val="center"/>
        <w:rPr>
          <w:rFonts w:ascii="Arial" w:eastAsia="Malgun Gothic" w:hAnsi="Arial" w:cs="Arial"/>
          <w:color w:val="FF0000"/>
          <w:kern w:val="2"/>
          <w:sz w:val="16"/>
          <w:szCs w:val="16"/>
        </w:rPr>
      </w:pPr>
      <w:r w:rsidRPr="00F91255">
        <w:rPr>
          <w:rFonts w:ascii="Arial" w:eastAsia="Malgun Gothic" w:hAnsi="Arial" w:cs="Arial"/>
          <w:color w:val="FF0000"/>
          <w:kern w:val="2"/>
          <w:sz w:val="16"/>
          <w:szCs w:val="16"/>
        </w:rPr>
        <w:t>&lt;</w:t>
      </w:r>
      <w:r w:rsidRPr="00F91255">
        <w:rPr>
          <w:rFonts w:ascii="Arial" w:hAnsi="Arial" w:cs="Arial"/>
          <w:iCs/>
          <w:color w:val="FF0000"/>
          <w:sz w:val="16"/>
          <w:szCs w:val="16"/>
        </w:rPr>
        <w:t xml:space="preserve"> Unchanged text is </w:t>
      </w:r>
      <w:r w:rsidRPr="00F91255">
        <w:rPr>
          <w:rFonts w:ascii="Arial" w:eastAsia="Malgun Gothic" w:hAnsi="Arial" w:cs="Arial"/>
          <w:color w:val="FF0000"/>
          <w:kern w:val="2"/>
          <w:sz w:val="16"/>
          <w:szCs w:val="16"/>
        </w:rPr>
        <w:t>omitted&gt;</w:t>
      </w:r>
    </w:p>
    <w:p w14:paraId="21FCC765" w14:textId="03A71142" w:rsidR="0064377E" w:rsidRPr="0064377E" w:rsidRDefault="0064377E" w:rsidP="0064377E">
      <w:pPr>
        <w:rPr>
          <w:color w:val="FF0000"/>
        </w:rPr>
      </w:pPr>
      <w:r w:rsidRPr="0064377E">
        <w:rPr>
          <w:color w:val="FF0000"/>
        </w:rPr>
        <w:t xml:space="preserve">--------- </w:t>
      </w:r>
      <w:r>
        <w:rPr>
          <w:color w:val="FF0000"/>
        </w:rPr>
        <w:t>End</w:t>
      </w:r>
      <w:r w:rsidRPr="0064377E">
        <w:rPr>
          <w:color w:val="FF0000"/>
        </w:rPr>
        <w:t xml:space="preserve"> of TP ---------</w:t>
      </w:r>
    </w:p>
    <w:p w14:paraId="06E24C7A" w14:textId="77777777" w:rsidR="00F91255" w:rsidRPr="00F91255" w:rsidRDefault="00F91255" w:rsidP="00AA1D48">
      <w:pPr>
        <w:pStyle w:val="ListParagraph"/>
        <w:numPr>
          <w:ilvl w:val="0"/>
          <w:numId w:val="107"/>
        </w:numPr>
      </w:pPr>
      <w:r w:rsidRPr="00F91255">
        <w:t>Additional information</w:t>
      </w:r>
    </w:p>
    <w:p w14:paraId="329C9DCB" w14:textId="77777777" w:rsidR="00F91255" w:rsidRPr="00F91255" w:rsidRDefault="00F91255" w:rsidP="00AA1D48">
      <w:pPr>
        <w:pStyle w:val="ListParagraph"/>
        <w:numPr>
          <w:ilvl w:val="1"/>
          <w:numId w:val="107"/>
        </w:numPr>
      </w:pPr>
      <w:r w:rsidRPr="00F91255">
        <w:t>Reason for change: Insufficient description on TDM.</w:t>
      </w:r>
    </w:p>
    <w:p w14:paraId="3D5E3470" w14:textId="77777777" w:rsidR="00F91255" w:rsidRPr="00F91255" w:rsidRDefault="00F91255" w:rsidP="00AA1D48">
      <w:pPr>
        <w:pStyle w:val="ListParagraph"/>
        <w:numPr>
          <w:ilvl w:val="1"/>
          <w:numId w:val="107"/>
        </w:numPr>
      </w:pPr>
      <w:r w:rsidRPr="00F91255">
        <w:t>Summary for change: Add more description on TDM and reference to TS38.211.</w:t>
      </w:r>
    </w:p>
    <w:p w14:paraId="620E6F4C" w14:textId="77777777" w:rsidR="00F91255" w:rsidRPr="00F91255" w:rsidRDefault="00F91255" w:rsidP="00AA1D48">
      <w:pPr>
        <w:pStyle w:val="ListParagraph"/>
        <w:numPr>
          <w:ilvl w:val="1"/>
          <w:numId w:val="107"/>
        </w:numPr>
      </w:pPr>
      <w:r w:rsidRPr="00F91255">
        <w:t>Consequences if not approved: Unclear specification for SRS TDM.</w:t>
      </w:r>
    </w:p>
    <w:p w14:paraId="5ED0A2CE" w14:textId="77777777" w:rsidR="00F91255" w:rsidRPr="00F91255" w:rsidRDefault="00F91255" w:rsidP="00AA1D48">
      <w:pPr>
        <w:pStyle w:val="ListParagraph"/>
        <w:numPr>
          <w:ilvl w:val="1"/>
          <w:numId w:val="107"/>
        </w:numPr>
      </w:pPr>
      <w:r w:rsidRPr="00F91255">
        <w:t>TP is for TS38.214 v18.0.0.</w:t>
      </w:r>
    </w:p>
    <w:p w14:paraId="05029DC5" w14:textId="77777777" w:rsidR="00F91255" w:rsidRPr="00F91255" w:rsidRDefault="00F91255" w:rsidP="00F91255">
      <w:pPr>
        <w:rPr>
          <w:rFonts w:ascii="Times New Roman" w:hAnsi="Times New Roman"/>
          <w:szCs w:val="20"/>
          <w:lang w:eastAsia="x-none"/>
        </w:rPr>
      </w:pPr>
    </w:p>
    <w:p w14:paraId="02CC9545" w14:textId="77777777" w:rsidR="0064377E" w:rsidRPr="009537ED" w:rsidRDefault="0064377E" w:rsidP="0064377E">
      <w:pPr>
        <w:rPr>
          <w:rFonts w:ascii="Times New Roman" w:hAnsi="Times New Roman"/>
          <w:szCs w:val="20"/>
          <w:highlight w:val="green"/>
          <w:lang w:eastAsia="zh-CN"/>
        </w:rPr>
      </w:pPr>
      <w:r>
        <w:rPr>
          <w:rFonts w:ascii="Times New Roman" w:hAnsi="Times New Roman"/>
          <w:szCs w:val="20"/>
          <w:highlight w:val="green"/>
          <w:lang w:eastAsia="zh-CN"/>
        </w:rPr>
        <w:t>Agreement</w:t>
      </w:r>
    </w:p>
    <w:p w14:paraId="5A869EFD" w14:textId="7D873A73" w:rsidR="00F91255" w:rsidRPr="0064377E" w:rsidRDefault="00F91255" w:rsidP="00F91255">
      <w:pPr>
        <w:spacing w:line="276" w:lineRule="auto"/>
        <w:rPr>
          <w:rFonts w:ascii="Times New Roman" w:hAnsi="Times New Roman"/>
          <w:szCs w:val="20"/>
        </w:rPr>
      </w:pPr>
      <w:r w:rsidRPr="00F91255">
        <w:rPr>
          <w:rFonts w:ascii="Times New Roman" w:hAnsi="Times New Roman"/>
          <w:szCs w:val="20"/>
        </w:rPr>
        <w:t>Adopt the text proposal for TS38.211 on comb offset hopping symbol indexing notation corrections</w:t>
      </w:r>
    </w:p>
    <w:p w14:paraId="228C2F0B" w14:textId="77777777" w:rsidR="0064377E" w:rsidRPr="0064377E" w:rsidRDefault="0064377E" w:rsidP="0064377E">
      <w:pPr>
        <w:rPr>
          <w:color w:val="FF0000"/>
        </w:rPr>
      </w:pPr>
      <w:r w:rsidRPr="0064377E">
        <w:rPr>
          <w:color w:val="FF0000"/>
        </w:rPr>
        <w:t>--------- Start of TP ---------</w:t>
      </w:r>
    </w:p>
    <w:p w14:paraId="798E2B8B" w14:textId="1274E502" w:rsidR="00F91255" w:rsidRPr="00F91255" w:rsidRDefault="00F91255" w:rsidP="00F91255">
      <w:pPr>
        <w:ind w:left="425"/>
        <w:rPr>
          <w:rFonts w:ascii="Arial" w:eastAsia="Malgun Gothic" w:hAnsi="Arial" w:cs="Arial"/>
          <w:b/>
          <w:kern w:val="2"/>
          <w:sz w:val="16"/>
          <w:szCs w:val="16"/>
        </w:rPr>
      </w:pPr>
      <w:r w:rsidRPr="00F91255">
        <w:rPr>
          <w:rFonts w:ascii="Arial" w:eastAsia="Malgun Gothic" w:hAnsi="Arial" w:cs="Arial"/>
          <w:b/>
          <w:kern w:val="2"/>
          <w:sz w:val="16"/>
          <w:szCs w:val="16"/>
        </w:rPr>
        <w:t>6.4.1.4.3</w:t>
      </w:r>
      <w:r w:rsidR="00E16237" w:rsidRPr="00F91255">
        <w:rPr>
          <w:rFonts w:ascii="Arial" w:eastAsia="SimSun" w:hAnsi="Arial" w:cs="Arial"/>
          <w:b/>
          <w:sz w:val="16"/>
          <w:szCs w:val="16"/>
        </w:rPr>
        <w:tab/>
      </w:r>
      <w:r w:rsidRPr="00F91255">
        <w:rPr>
          <w:rFonts w:ascii="Arial" w:eastAsia="Malgun Gothic" w:hAnsi="Arial" w:cs="Arial"/>
          <w:b/>
          <w:kern w:val="2"/>
          <w:sz w:val="16"/>
          <w:szCs w:val="16"/>
        </w:rPr>
        <w:t>Mapping to physical resources</w:t>
      </w:r>
    </w:p>
    <w:p w14:paraId="5E297951" w14:textId="77777777" w:rsidR="00F91255" w:rsidRPr="00F91255" w:rsidRDefault="00F91255" w:rsidP="00F91255">
      <w:pPr>
        <w:ind w:left="425"/>
        <w:jc w:val="center"/>
        <w:rPr>
          <w:rFonts w:ascii="Arial" w:eastAsia="Malgun Gothic" w:hAnsi="Arial" w:cs="Arial"/>
          <w:color w:val="FF0000"/>
          <w:kern w:val="2"/>
          <w:sz w:val="16"/>
          <w:szCs w:val="16"/>
        </w:rPr>
      </w:pPr>
      <w:r w:rsidRPr="00F91255">
        <w:rPr>
          <w:rFonts w:ascii="Arial" w:eastAsia="Malgun Gothic" w:hAnsi="Arial" w:cs="Arial"/>
          <w:color w:val="FF0000"/>
          <w:kern w:val="2"/>
          <w:sz w:val="16"/>
          <w:szCs w:val="16"/>
        </w:rPr>
        <w:t>&lt;</w:t>
      </w:r>
      <w:r w:rsidRPr="00F91255">
        <w:rPr>
          <w:rFonts w:ascii="Arial" w:hAnsi="Arial" w:cs="Arial"/>
          <w:iCs/>
          <w:color w:val="FF0000"/>
          <w:sz w:val="16"/>
          <w:szCs w:val="16"/>
        </w:rPr>
        <w:t xml:space="preserve"> Unchanged text is </w:t>
      </w:r>
      <w:r w:rsidRPr="00F91255">
        <w:rPr>
          <w:rFonts w:ascii="Arial" w:eastAsia="Malgun Gothic" w:hAnsi="Arial" w:cs="Arial"/>
          <w:color w:val="FF0000"/>
          <w:kern w:val="2"/>
          <w:sz w:val="16"/>
          <w:szCs w:val="16"/>
        </w:rPr>
        <w:t>omitted&gt;</w:t>
      </w:r>
    </w:p>
    <w:p w14:paraId="78200226" w14:textId="232186AD" w:rsidR="00F91255" w:rsidRPr="00F91255" w:rsidRDefault="00F91255" w:rsidP="00F91255">
      <w:pPr>
        <w:ind w:left="425"/>
        <w:rPr>
          <w:rFonts w:ascii="Arial" w:hAnsi="Arial" w:cs="Arial"/>
          <w:sz w:val="16"/>
          <w:szCs w:val="16"/>
        </w:rPr>
      </w:pPr>
      <w:r w:rsidRPr="00F91255">
        <w:rPr>
          <w:rFonts w:ascii="Arial" w:hAnsi="Arial" w:cs="Arial"/>
          <w:sz w:val="16"/>
          <w:szCs w:val="16"/>
          <w:lang w:val="en-AU"/>
        </w:rPr>
        <w:lastRenderedPageBreak/>
        <w:t>T</w:t>
      </w:r>
      <w:r w:rsidRPr="00F91255">
        <w:rPr>
          <w:rFonts w:ascii="Arial" w:hAnsi="Arial" w:cs="Arial"/>
          <w:sz w:val="16"/>
          <w:szCs w:val="16"/>
        </w:rPr>
        <w:t xml:space="preserve">he frequency-domain starting position </w:t>
      </w:r>
      <m:oMath>
        <m:sSubSup>
          <m:sSubSupPr>
            <m:ctrlPr>
              <w:rPr>
                <w:rFonts w:ascii="Cambria Math" w:hAnsi="Cambria Math" w:cs="Arial"/>
                <w:i/>
                <w:sz w:val="16"/>
                <w:szCs w:val="16"/>
              </w:rPr>
            </m:ctrlPr>
          </m:sSubSupPr>
          <m:e>
            <m:r>
              <w:rPr>
                <w:rFonts w:ascii="Cambria Math" w:hAnsi="Cambria Math" w:cs="Arial"/>
                <w:sz w:val="16"/>
                <w:szCs w:val="16"/>
              </w:rPr>
              <m:t>k</m:t>
            </m:r>
          </m:e>
          <m:sub>
            <m:r>
              <w:rPr>
                <w:rFonts w:ascii="Cambria Math" w:hAnsi="Cambria Math" w:cs="Arial"/>
                <w:sz w:val="16"/>
                <w:szCs w:val="16"/>
              </w:rPr>
              <m:t>0</m:t>
            </m:r>
          </m:sub>
          <m:sup>
            <m:r>
              <w:rPr>
                <w:rFonts w:ascii="Cambria Math" w:hAnsi="Cambria Math" w:cs="Arial"/>
                <w:sz w:val="16"/>
                <w:szCs w:val="16"/>
              </w:rPr>
              <m:t>(</m:t>
            </m:r>
            <m:sSub>
              <m:sSubPr>
                <m:ctrlPr>
                  <w:rPr>
                    <w:rFonts w:ascii="Cambria Math" w:hAnsi="Cambria Math" w:cs="Arial"/>
                    <w:i/>
                    <w:sz w:val="16"/>
                    <w:szCs w:val="16"/>
                  </w:rPr>
                </m:ctrlPr>
              </m:sSubPr>
              <m:e>
                <m:r>
                  <w:rPr>
                    <w:rFonts w:ascii="Cambria Math" w:hAnsi="Cambria Math" w:cs="Arial"/>
                    <w:sz w:val="16"/>
                    <w:szCs w:val="16"/>
                  </w:rPr>
                  <m:t>p</m:t>
                </m:r>
              </m:e>
              <m:sub>
                <m:r>
                  <w:rPr>
                    <w:rFonts w:ascii="Cambria Math" w:hAnsi="Cambria Math" w:cs="Arial"/>
                    <w:sz w:val="16"/>
                    <w:szCs w:val="16"/>
                  </w:rPr>
                  <m:t>i</m:t>
                </m:r>
              </m:sub>
            </m:sSub>
            <m:r>
              <w:rPr>
                <w:rFonts w:ascii="Cambria Math" w:hAnsi="Cambria Math" w:cs="Arial"/>
                <w:sz w:val="16"/>
                <w:szCs w:val="16"/>
              </w:rPr>
              <m:t>)</m:t>
            </m:r>
          </m:sup>
        </m:sSubSup>
      </m:oMath>
      <w:r w:rsidRPr="00F91255">
        <w:rPr>
          <w:rFonts w:ascii="Arial" w:hAnsi="Arial" w:cs="Arial"/>
          <w:sz w:val="16"/>
          <w:szCs w:val="16"/>
        </w:rPr>
        <w:t xml:space="preserve"> is defined by</w:t>
      </w:r>
    </w:p>
    <w:p w14:paraId="7EFF50F4" w14:textId="54ECF7F5" w:rsidR="00F91255" w:rsidRPr="00F91255" w:rsidRDefault="005A18DC" w:rsidP="00F91255">
      <w:pPr>
        <w:keepLines/>
        <w:tabs>
          <w:tab w:val="center" w:pos="4536"/>
          <w:tab w:val="right" w:pos="9072"/>
        </w:tabs>
        <w:ind w:left="800"/>
        <w:jc w:val="center"/>
        <w:rPr>
          <w:rFonts w:ascii="Arial" w:eastAsia="Times New Roman" w:hAnsi="Arial" w:cs="Arial"/>
          <w:noProof/>
          <w:sz w:val="16"/>
          <w:szCs w:val="16"/>
        </w:rPr>
      </w:pPr>
      <m:oMathPara>
        <m:oMath>
          <m:sSubSup>
            <m:sSubSupPr>
              <m:ctrlPr>
                <w:rPr>
                  <w:rFonts w:ascii="Cambria Math" w:hAnsi="Cambria Math" w:cs="Arial"/>
                  <w:i/>
                  <w:sz w:val="16"/>
                  <w:szCs w:val="16"/>
                </w:rPr>
              </m:ctrlPr>
            </m:sSubSupPr>
            <m:e>
              <m:r>
                <w:rPr>
                  <w:rFonts w:ascii="Cambria Math" w:hAnsi="Cambria Math" w:cs="Arial"/>
                  <w:sz w:val="16"/>
                  <w:szCs w:val="16"/>
                </w:rPr>
                <m:t>k</m:t>
              </m:r>
            </m:e>
            <m:sub>
              <m:r>
                <w:rPr>
                  <w:rFonts w:ascii="Cambria Math" w:hAnsi="Cambria Math" w:cs="Arial"/>
                  <w:sz w:val="16"/>
                  <w:szCs w:val="16"/>
                </w:rPr>
                <m:t>0</m:t>
              </m:r>
            </m:sub>
            <m:sup>
              <m:r>
                <w:rPr>
                  <w:rFonts w:ascii="Cambria Math" w:hAnsi="Cambria Math" w:cs="Arial"/>
                  <w:sz w:val="16"/>
                  <w:szCs w:val="16"/>
                </w:rPr>
                <m:t>(</m:t>
              </m:r>
              <m:sSub>
                <m:sSubPr>
                  <m:ctrlPr>
                    <w:rPr>
                      <w:rFonts w:ascii="Cambria Math" w:hAnsi="Cambria Math" w:cs="Arial"/>
                      <w:i/>
                      <w:sz w:val="16"/>
                      <w:szCs w:val="16"/>
                    </w:rPr>
                  </m:ctrlPr>
                </m:sSubPr>
                <m:e>
                  <m:r>
                    <w:rPr>
                      <w:rFonts w:ascii="Cambria Math" w:hAnsi="Cambria Math" w:cs="Arial"/>
                      <w:sz w:val="16"/>
                      <w:szCs w:val="16"/>
                    </w:rPr>
                    <m:t>p</m:t>
                  </m:r>
                </m:e>
                <m:sub>
                  <m:r>
                    <w:rPr>
                      <w:rFonts w:ascii="Cambria Math" w:hAnsi="Cambria Math" w:cs="Arial"/>
                      <w:sz w:val="16"/>
                      <w:szCs w:val="16"/>
                    </w:rPr>
                    <m:t>i</m:t>
                  </m:r>
                </m:sub>
              </m:sSub>
              <m:r>
                <w:rPr>
                  <w:rFonts w:ascii="Cambria Math" w:hAnsi="Cambria Math" w:cs="Arial"/>
                  <w:sz w:val="16"/>
                  <w:szCs w:val="16"/>
                </w:rPr>
                <m:t>)</m:t>
              </m:r>
            </m:sup>
          </m:sSubSup>
          <m:r>
            <w:rPr>
              <w:rFonts w:ascii="Cambria Math" w:hAnsi="Cambria Math" w:cs="Arial"/>
              <w:sz w:val="16"/>
              <w:szCs w:val="16"/>
            </w:rPr>
            <m:t>=</m:t>
          </m:r>
          <m:sSubSup>
            <m:sSubSupPr>
              <m:ctrlPr>
                <w:rPr>
                  <w:rFonts w:ascii="Cambria Math" w:hAnsi="Cambria Math" w:cs="Arial"/>
                  <w:i/>
                  <w:sz w:val="16"/>
                  <w:szCs w:val="16"/>
                </w:rPr>
              </m:ctrlPr>
            </m:sSubSupPr>
            <m:e>
              <m:acc>
                <m:accPr>
                  <m:chr m:val="̅"/>
                  <m:ctrlPr>
                    <w:rPr>
                      <w:rFonts w:ascii="Cambria Math" w:hAnsi="Cambria Math" w:cs="Arial"/>
                      <w:i/>
                      <w:sz w:val="16"/>
                      <w:szCs w:val="16"/>
                    </w:rPr>
                  </m:ctrlPr>
                </m:accPr>
                <m:e>
                  <m:r>
                    <w:rPr>
                      <w:rFonts w:ascii="Cambria Math" w:hAnsi="Cambria Math" w:cs="Arial"/>
                      <w:sz w:val="16"/>
                      <w:szCs w:val="16"/>
                    </w:rPr>
                    <m:t>k</m:t>
                  </m:r>
                </m:e>
              </m:acc>
            </m:e>
            <m:sub>
              <m:r>
                <w:rPr>
                  <w:rFonts w:ascii="Cambria Math" w:hAnsi="Cambria Math" w:cs="Arial"/>
                  <w:sz w:val="16"/>
                  <w:szCs w:val="16"/>
                </w:rPr>
                <m:t>0</m:t>
              </m:r>
            </m:sub>
            <m:sup>
              <m:r>
                <w:rPr>
                  <w:rFonts w:ascii="Cambria Math" w:hAnsi="Cambria Math" w:cs="Arial"/>
                  <w:sz w:val="16"/>
                  <w:szCs w:val="16"/>
                </w:rPr>
                <m:t>(</m:t>
              </m:r>
              <m:sSub>
                <m:sSubPr>
                  <m:ctrlPr>
                    <w:rPr>
                      <w:rFonts w:ascii="Cambria Math" w:hAnsi="Cambria Math" w:cs="Arial"/>
                      <w:i/>
                      <w:sz w:val="16"/>
                      <w:szCs w:val="16"/>
                    </w:rPr>
                  </m:ctrlPr>
                </m:sSubPr>
                <m:e>
                  <m:r>
                    <w:rPr>
                      <w:rFonts w:ascii="Cambria Math" w:hAnsi="Cambria Math" w:cs="Arial"/>
                      <w:sz w:val="16"/>
                      <w:szCs w:val="16"/>
                    </w:rPr>
                    <m:t>p</m:t>
                  </m:r>
                </m:e>
                <m:sub>
                  <m:r>
                    <w:rPr>
                      <w:rFonts w:ascii="Cambria Math" w:hAnsi="Cambria Math" w:cs="Arial"/>
                      <w:sz w:val="16"/>
                      <w:szCs w:val="16"/>
                    </w:rPr>
                    <m:t>i</m:t>
                  </m:r>
                </m:sub>
              </m:sSub>
              <m:r>
                <w:rPr>
                  <w:rFonts w:ascii="Cambria Math" w:hAnsi="Cambria Math" w:cs="Arial"/>
                  <w:sz w:val="16"/>
                  <w:szCs w:val="16"/>
                </w:rPr>
                <m:t>)</m:t>
              </m:r>
            </m:sup>
          </m:sSubSup>
          <m:r>
            <w:rPr>
              <w:rFonts w:ascii="Cambria Math" w:hAnsi="Cambria Math" w:cs="Arial"/>
              <w:sz w:val="16"/>
              <w:szCs w:val="16"/>
            </w:rPr>
            <m:t>+</m:t>
          </m:r>
          <m:sSubSup>
            <m:sSubSupPr>
              <m:ctrlPr>
                <w:rPr>
                  <w:rFonts w:ascii="Cambria Math" w:eastAsia="MS Mincho" w:hAnsi="Cambria Math" w:cs="Arial"/>
                  <w:i/>
                  <w:sz w:val="16"/>
                  <w:szCs w:val="16"/>
                  <w:lang w:val="sv-SE"/>
                </w:rPr>
              </m:ctrlPr>
            </m:sSubSupPr>
            <m:e>
              <m:r>
                <w:rPr>
                  <w:rFonts w:ascii="Cambria Math" w:eastAsia="MS Mincho" w:hAnsi="Cambria Math" w:cs="Arial"/>
                  <w:sz w:val="16"/>
                  <w:szCs w:val="16"/>
                  <w:lang w:val="sv-SE"/>
                </w:rPr>
                <m:t>n</m:t>
              </m:r>
            </m:e>
            <m:sub>
              <m:r>
                <m:rPr>
                  <m:nor/>
                </m:rPr>
                <w:rPr>
                  <w:rFonts w:ascii="Arial" w:eastAsia="MS Mincho" w:hAnsi="Arial" w:cs="Arial"/>
                  <w:sz w:val="16"/>
                  <w:szCs w:val="16"/>
                </w:rPr>
                <m:t>offset</m:t>
              </m:r>
            </m:sub>
            <m:sup>
              <m:r>
                <m:rPr>
                  <m:nor/>
                </m:rPr>
                <w:rPr>
                  <w:rFonts w:ascii="Arial" w:eastAsia="MS Mincho" w:hAnsi="Arial" w:cs="Arial"/>
                  <w:sz w:val="16"/>
                  <w:szCs w:val="16"/>
                </w:rPr>
                <m:t>FH</m:t>
              </m:r>
            </m:sup>
          </m:sSubSup>
          <m:r>
            <w:rPr>
              <w:rFonts w:ascii="Cambria Math" w:eastAsia="MS Mincho" w:hAnsi="Cambria Math" w:cs="Arial"/>
              <w:sz w:val="16"/>
              <w:szCs w:val="16"/>
            </w:rPr>
            <m:t>+</m:t>
          </m:r>
          <m:sSubSup>
            <m:sSubSupPr>
              <m:ctrlPr>
                <w:rPr>
                  <w:rFonts w:ascii="Cambria Math" w:eastAsia="MS Mincho" w:hAnsi="Cambria Math" w:cs="Arial"/>
                  <w:i/>
                  <w:sz w:val="16"/>
                  <w:szCs w:val="16"/>
                </w:rPr>
              </m:ctrlPr>
            </m:sSubSupPr>
            <m:e>
              <m:r>
                <w:rPr>
                  <w:rFonts w:ascii="Cambria Math" w:eastAsia="MS Mincho" w:hAnsi="Cambria Math" w:cs="Arial"/>
                  <w:sz w:val="16"/>
                  <w:szCs w:val="16"/>
                </w:rPr>
                <m:t>n</m:t>
              </m:r>
            </m:e>
            <m:sub>
              <m:r>
                <m:rPr>
                  <m:nor/>
                </m:rPr>
                <w:rPr>
                  <w:rFonts w:ascii="Arial" w:eastAsia="MS Mincho" w:hAnsi="Arial" w:cs="Arial"/>
                  <w:sz w:val="16"/>
                  <w:szCs w:val="16"/>
                </w:rPr>
                <m:t>offset</m:t>
              </m:r>
            </m:sub>
            <m:sup>
              <m:r>
                <m:rPr>
                  <m:nor/>
                </m:rPr>
                <w:rPr>
                  <w:rFonts w:ascii="Arial" w:eastAsia="MS Mincho" w:hAnsi="Arial" w:cs="Arial"/>
                  <w:sz w:val="16"/>
                  <w:szCs w:val="16"/>
                </w:rPr>
                <m:t>RPFS</m:t>
              </m:r>
            </m:sup>
          </m:sSubSup>
        </m:oMath>
      </m:oMathPara>
    </w:p>
    <w:p w14:paraId="23D1A93D" w14:textId="77777777" w:rsidR="00F91255" w:rsidRPr="00F91255" w:rsidRDefault="00F91255" w:rsidP="00F91255">
      <w:pPr>
        <w:ind w:left="425"/>
        <w:rPr>
          <w:rFonts w:ascii="Arial" w:eastAsia="MS Mincho" w:hAnsi="Arial" w:cs="Arial"/>
          <w:sz w:val="16"/>
          <w:szCs w:val="16"/>
          <w:lang w:eastAsia="ja-JP"/>
        </w:rPr>
      </w:pPr>
      <w:r w:rsidRPr="00F91255">
        <w:rPr>
          <w:rFonts w:ascii="Arial" w:hAnsi="Arial" w:cs="Arial"/>
          <w:color w:val="000000"/>
          <w:sz w:val="16"/>
          <w:szCs w:val="16"/>
        </w:rPr>
        <w:t xml:space="preserve">where </w:t>
      </w:r>
    </w:p>
    <w:p w14:paraId="3D5641BB" w14:textId="2AEDD9A7" w:rsidR="00F91255" w:rsidRPr="00F91255" w:rsidRDefault="005A18DC" w:rsidP="00F91255">
      <w:pPr>
        <w:spacing w:line="276" w:lineRule="auto"/>
        <w:ind w:left="425"/>
        <w:rPr>
          <w:rFonts w:ascii="Arial" w:hAnsi="Arial" w:cs="Arial"/>
          <w:sz w:val="16"/>
          <w:szCs w:val="16"/>
        </w:rPr>
      </w:pPr>
      <m:oMathPara>
        <m:oMath>
          <m:sSubSup>
            <m:sSubSupPr>
              <m:ctrlPr>
                <w:rPr>
                  <w:rFonts w:ascii="Cambria Math" w:eastAsia="Calibri" w:hAnsi="Cambria Math" w:cs="Arial"/>
                  <w:i/>
                  <w:sz w:val="16"/>
                  <w:szCs w:val="16"/>
                  <w:lang w:val="sv-SE"/>
                </w:rPr>
              </m:ctrlPr>
            </m:sSubSupPr>
            <m:e>
              <m:acc>
                <m:accPr>
                  <m:chr m:val="̅"/>
                  <m:ctrlPr>
                    <w:rPr>
                      <w:rFonts w:ascii="Cambria Math" w:eastAsia="Calibri" w:hAnsi="Cambria Math" w:cs="Arial"/>
                      <w:i/>
                      <w:sz w:val="16"/>
                      <w:szCs w:val="16"/>
                      <w:lang w:val="sv-SE"/>
                    </w:rPr>
                  </m:ctrlPr>
                </m:accPr>
                <m:e>
                  <m:r>
                    <w:rPr>
                      <w:rFonts w:ascii="Cambria Math" w:hAnsi="Cambria Math" w:cs="Arial"/>
                      <w:sz w:val="16"/>
                      <w:szCs w:val="16"/>
                    </w:rPr>
                    <m:t>k</m:t>
                  </m:r>
                </m:e>
              </m:acc>
            </m:e>
            <m:sub>
              <m:r>
                <w:rPr>
                  <w:rFonts w:ascii="Cambria Math" w:hAnsi="Cambria Math" w:cs="Arial"/>
                  <w:sz w:val="16"/>
                  <w:szCs w:val="16"/>
                </w:rPr>
                <m:t>0</m:t>
              </m:r>
            </m:sub>
            <m:sup>
              <m:r>
                <w:rPr>
                  <w:rFonts w:ascii="Cambria Math" w:hAnsi="Cambria Math" w:cs="Arial"/>
                  <w:sz w:val="16"/>
                  <w:szCs w:val="16"/>
                </w:rPr>
                <m:t>(</m:t>
              </m:r>
              <m:sSub>
                <m:sSubPr>
                  <m:ctrlPr>
                    <w:rPr>
                      <w:rFonts w:ascii="Cambria Math" w:eastAsia="Calibri" w:hAnsi="Cambria Math" w:cs="Arial"/>
                      <w:i/>
                      <w:sz w:val="16"/>
                      <w:szCs w:val="16"/>
                      <w:lang w:val="sv-SE"/>
                    </w:rPr>
                  </m:ctrlPr>
                </m:sSubPr>
                <m:e>
                  <m:r>
                    <w:rPr>
                      <w:rFonts w:ascii="Cambria Math" w:hAnsi="Cambria Math" w:cs="Arial"/>
                      <w:sz w:val="16"/>
                      <w:szCs w:val="16"/>
                    </w:rPr>
                    <m:t>p</m:t>
                  </m:r>
                </m:e>
                <m:sub>
                  <m:r>
                    <w:rPr>
                      <w:rFonts w:ascii="Cambria Math" w:hAnsi="Cambria Math" w:cs="Arial"/>
                      <w:sz w:val="16"/>
                      <w:szCs w:val="16"/>
                    </w:rPr>
                    <m:t>i</m:t>
                  </m:r>
                </m:sub>
              </m:sSub>
              <m:r>
                <w:rPr>
                  <w:rFonts w:ascii="Cambria Math" w:hAnsi="Cambria Math" w:cs="Arial"/>
                  <w:sz w:val="16"/>
                  <w:szCs w:val="16"/>
                </w:rPr>
                <m:t>)</m:t>
              </m:r>
            </m:sup>
          </m:sSubSup>
          <m:r>
            <w:rPr>
              <w:rFonts w:ascii="Cambria Math" w:hAnsi="Cambria Math" w:cs="Arial"/>
              <w:sz w:val="16"/>
              <w:szCs w:val="16"/>
            </w:rPr>
            <m:t>=</m:t>
          </m:r>
          <m:sSub>
            <m:sSubPr>
              <m:ctrlPr>
                <w:rPr>
                  <w:rFonts w:ascii="Cambria Math" w:eastAsia="Calibri" w:hAnsi="Cambria Math" w:cs="Arial"/>
                  <w:i/>
                  <w:sz w:val="16"/>
                  <w:szCs w:val="16"/>
                  <w:lang w:val="sv-SE"/>
                </w:rPr>
              </m:ctrlPr>
            </m:sSubPr>
            <m:e>
              <m:r>
                <w:rPr>
                  <w:rFonts w:ascii="Cambria Math" w:hAnsi="Cambria Math" w:cs="Arial"/>
                  <w:sz w:val="16"/>
                  <w:szCs w:val="16"/>
                </w:rPr>
                <m:t>n</m:t>
              </m:r>
            </m:e>
            <m:sub>
              <m:r>
                <m:rPr>
                  <m:nor/>
                </m:rPr>
                <w:rPr>
                  <w:rFonts w:ascii="Arial" w:hAnsi="Arial" w:cs="Arial"/>
                  <w:sz w:val="16"/>
                  <w:szCs w:val="16"/>
                </w:rPr>
                <m:t>shift</m:t>
              </m:r>
            </m:sub>
          </m:sSub>
          <m:sSubSup>
            <m:sSubSupPr>
              <m:ctrlPr>
                <w:rPr>
                  <w:rFonts w:ascii="Cambria Math" w:eastAsia="Calibri" w:hAnsi="Cambria Math" w:cs="Arial"/>
                  <w:i/>
                  <w:sz w:val="16"/>
                  <w:szCs w:val="16"/>
                  <w:lang w:val="sv-SE"/>
                </w:rPr>
              </m:ctrlPr>
            </m:sSubSupPr>
            <m:e>
              <m:r>
                <w:rPr>
                  <w:rFonts w:ascii="Cambria Math" w:hAnsi="Cambria Math" w:cs="Arial"/>
                  <w:sz w:val="16"/>
                  <w:szCs w:val="16"/>
                </w:rPr>
                <m:t>N</m:t>
              </m:r>
            </m:e>
            <m:sub>
              <m:r>
                <m:rPr>
                  <m:nor/>
                </m:rPr>
                <w:rPr>
                  <w:rFonts w:ascii="Arial" w:hAnsi="Arial" w:cs="Arial"/>
                  <w:sz w:val="16"/>
                  <w:szCs w:val="16"/>
                </w:rPr>
                <m:t>sc</m:t>
              </m:r>
            </m:sub>
            <m:sup>
              <m:r>
                <m:rPr>
                  <m:nor/>
                </m:rPr>
                <w:rPr>
                  <w:rFonts w:ascii="Arial" w:hAnsi="Arial" w:cs="Arial"/>
                  <w:sz w:val="16"/>
                  <w:szCs w:val="16"/>
                </w:rPr>
                <m:t>RB</m:t>
              </m:r>
            </m:sup>
          </m:sSubSup>
          <m:r>
            <w:rPr>
              <w:rFonts w:ascii="Cambria Math" w:hAnsi="Cambria Math" w:cs="Arial"/>
              <w:sz w:val="16"/>
              <w:szCs w:val="16"/>
            </w:rPr>
            <m:t>+</m:t>
          </m:r>
          <m:d>
            <m:dPr>
              <m:ctrlPr>
                <w:rPr>
                  <w:rFonts w:ascii="Cambria Math" w:eastAsia="Calibri" w:hAnsi="Cambria Math" w:cs="Arial"/>
                  <w:i/>
                  <w:sz w:val="16"/>
                  <w:szCs w:val="16"/>
                  <w:lang w:val="sv-SE"/>
                </w:rPr>
              </m:ctrlPr>
            </m:dPr>
            <m:e>
              <m:sSubSup>
                <m:sSubSupPr>
                  <m:ctrlPr>
                    <w:rPr>
                      <w:rFonts w:ascii="Cambria Math" w:eastAsia="Calibri" w:hAnsi="Cambria Math" w:cs="Arial"/>
                      <w:i/>
                      <w:sz w:val="16"/>
                      <w:szCs w:val="16"/>
                      <w:lang w:val="sv-SE"/>
                    </w:rPr>
                  </m:ctrlPr>
                </m:sSubSupPr>
                <m:e>
                  <m:r>
                    <w:rPr>
                      <w:rFonts w:ascii="Cambria Math" w:hAnsi="Cambria Math" w:cs="Arial"/>
                      <w:sz w:val="16"/>
                      <w:szCs w:val="16"/>
                    </w:rPr>
                    <m:t>k</m:t>
                  </m:r>
                </m:e>
                <m:sub>
                  <m:r>
                    <m:rPr>
                      <m:nor/>
                    </m:rPr>
                    <w:rPr>
                      <w:rFonts w:ascii="Arial" w:hAnsi="Arial" w:cs="Arial"/>
                      <w:sz w:val="16"/>
                      <w:szCs w:val="16"/>
                    </w:rPr>
                    <m:t>TC</m:t>
                  </m:r>
                </m:sub>
                <m:sup>
                  <m:r>
                    <w:rPr>
                      <w:rFonts w:ascii="Cambria Math" w:hAnsi="Cambria Math" w:cs="Arial"/>
                      <w:sz w:val="16"/>
                      <w:szCs w:val="16"/>
                    </w:rPr>
                    <m:t>(</m:t>
                  </m:r>
                  <m:sSub>
                    <m:sSubPr>
                      <m:ctrlPr>
                        <w:rPr>
                          <w:rFonts w:ascii="Cambria Math" w:eastAsia="Calibri" w:hAnsi="Cambria Math" w:cs="Arial"/>
                          <w:i/>
                          <w:sz w:val="16"/>
                          <w:szCs w:val="16"/>
                          <w:lang w:val="sv-SE"/>
                        </w:rPr>
                      </m:ctrlPr>
                    </m:sSubPr>
                    <m:e>
                      <m:r>
                        <w:rPr>
                          <w:rFonts w:ascii="Cambria Math" w:hAnsi="Cambria Math" w:cs="Arial"/>
                          <w:sz w:val="16"/>
                          <w:szCs w:val="16"/>
                        </w:rPr>
                        <m:t>p</m:t>
                      </m:r>
                    </m:e>
                    <m:sub>
                      <m:r>
                        <w:rPr>
                          <w:rFonts w:ascii="Cambria Math" w:hAnsi="Cambria Math" w:cs="Arial"/>
                          <w:sz w:val="16"/>
                          <w:szCs w:val="16"/>
                        </w:rPr>
                        <m:t>i</m:t>
                      </m:r>
                    </m:sub>
                  </m:sSub>
                  <m:r>
                    <w:rPr>
                      <w:rFonts w:ascii="Cambria Math" w:hAnsi="Cambria Math" w:cs="Arial"/>
                      <w:sz w:val="16"/>
                      <w:szCs w:val="16"/>
                    </w:rPr>
                    <m:t>)</m:t>
                  </m:r>
                </m:sup>
              </m:sSubSup>
              <m:r>
                <w:rPr>
                  <w:rFonts w:ascii="Cambria Math" w:hAnsi="Cambria Math" w:cs="Arial"/>
                  <w:sz w:val="16"/>
                  <w:szCs w:val="16"/>
                </w:rPr>
                <m:t>+</m:t>
              </m:r>
              <m:sSubSup>
                <m:sSubSupPr>
                  <m:ctrlPr>
                    <w:rPr>
                      <w:rFonts w:ascii="Cambria Math" w:eastAsia="MS Mincho" w:hAnsi="Cambria Math" w:cs="Arial"/>
                      <w:i/>
                      <w:sz w:val="16"/>
                      <w:szCs w:val="16"/>
                      <w:lang w:eastAsia="ja-JP"/>
                    </w:rPr>
                  </m:ctrlPr>
                </m:sSubSupPr>
                <m:e>
                  <m:r>
                    <w:rPr>
                      <w:rFonts w:ascii="Cambria Math" w:eastAsia="MS Mincho" w:hAnsi="Cambria Math" w:cs="Arial"/>
                      <w:sz w:val="16"/>
                      <w:szCs w:val="16"/>
                      <w:lang w:eastAsia="ja-JP"/>
                    </w:rPr>
                    <m:t>k</m:t>
                  </m:r>
                </m:e>
                <m:sub>
                  <m:r>
                    <m:rPr>
                      <m:nor/>
                    </m:rPr>
                    <w:rPr>
                      <w:rFonts w:ascii="Arial" w:eastAsia="MS Mincho" w:hAnsi="Arial" w:cs="Arial"/>
                      <w:sz w:val="16"/>
                      <w:szCs w:val="16"/>
                      <w:lang w:eastAsia="ja-JP"/>
                    </w:rPr>
                    <m:t>offset</m:t>
                  </m:r>
                </m:sub>
                <m:sup>
                  <m:sSup>
                    <m:sSupPr>
                      <m:ctrlPr>
                        <w:rPr>
                          <w:rFonts w:ascii="Cambria Math" w:eastAsia="MS Mincho" w:hAnsi="Cambria Math" w:cs="Arial"/>
                          <w:i/>
                          <w:sz w:val="16"/>
                          <w:szCs w:val="16"/>
                          <w:lang w:eastAsia="ja-JP"/>
                        </w:rPr>
                      </m:ctrlPr>
                    </m:sSupPr>
                    <m:e>
                      <m:r>
                        <w:rPr>
                          <w:rFonts w:ascii="Cambria Math" w:eastAsia="MS Mincho" w:hAnsi="Cambria Math" w:cs="Arial"/>
                          <w:sz w:val="16"/>
                          <w:szCs w:val="16"/>
                          <w:lang w:eastAsia="ja-JP"/>
                        </w:rPr>
                        <m:t>l</m:t>
                      </m:r>
                    </m:e>
                    <m:sup>
                      <m:r>
                        <w:rPr>
                          <w:rFonts w:ascii="Cambria Math" w:eastAsia="MS Mincho" w:hAnsi="Cambria Math" w:cs="Arial"/>
                          <w:sz w:val="16"/>
                          <w:szCs w:val="16"/>
                          <w:lang w:eastAsia="ja-JP"/>
                        </w:rPr>
                        <m:t>'</m:t>
                      </m:r>
                    </m:sup>
                  </m:sSup>
                </m:sup>
              </m:sSubSup>
              <m:r>
                <w:rPr>
                  <w:rFonts w:ascii="Cambria Math" w:eastAsia="MS Mincho" w:hAnsi="Cambria Math" w:cs="Arial"/>
                  <w:sz w:val="16"/>
                  <w:szCs w:val="16"/>
                  <w:lang w:eastAsia="ja-JP"/>
                </w:rPr>
                <m:t>+</m:t>
              </m:r>
              <m:sSub>
                <m:sSubPr>
                  <m:ctrlPr>
                    <w:rPr>
                      <w:rFonts w:ascii="Cambria Math" w:eastAsia="MS Mincho" w:hAnsi="Cambria Math" w:cs="Arial"/>
                      <w:i/>
                      <w:sz w:val="16"/>
                      <w:szCs w:val="16"/>
                      <w:lang w:eastAsia="ja-JP"/>
                    </w:rPr>
                  </m:ctrlPr>
                </m:sSubPr>
                <m:e>
                  <m:r>
                    <w:rPr>
                      <w:rFonts w:ascii="Cambria Math" w:eastAsia="MS Mincho" w:hAnsi="Cambria Math" w:cs="Arial"/>
                      <w:sz w:val="16"/>
                      <w:szCs w:val="16"/>
                      <w:lang w:eastAsia="ja-JP"/>
                    </w:rPr>
                    <m:t>f</m:t>
                  </m:r>
                </m:e>
                <m:sub>
                  <m:r>
                    <m:rPr>
                      <m:sty m:val="p"/>
                    </m:rPr>
                    <w:rPr>
                      <w:rFonts w:ascii="Cambria Math" w:eastAsia="MS Mincho" w:hAnsi="Cambria Math" w:cs="Arial"/>
                      <w:sz w:val="16"/>
                      <w:szCs w:val="16"/>
                      <w:lang w:eastAsia="ja-JP"/>
                    </w:rPr>
                    <m:t>coh</m:t>
                  </m:r>
                </m:sub>
              </m:sSub>
              <m:r>
                <w:rPr>
                  <w:rFonts w:ascii="Cambria Math" w:eastAsia="MS Mincho" w:hAnsi="Cambria Math" w:cs="Arial"/>
                  <w:sz w:val="16"/>
                  <w:szCs w:val="16"/>
                  <w:lang w:eastAsia="ja-JP"/>
                </w:rPr>
                <m:t>(</m:t>
              </m:r>
              <m:sSub>
                <m:sSubPr>
                  <m:ctrlPr>
                    <w:rPr>
                      <w:rFonts w:ascii="Cambria Math" w:eastAsia="Malgun Gothic" w:hAnsi="Cambria Math" w:cs="Arial"/>
                      <w:sz w:val="16"/>
                      <w:szCs w:val="16"/>
                    </w:rPr>
                  </m:ctrlPr>
                </m:sSubPr>
                <m:e>
                  <m:r>
                    <w:rPr>
                      <w:rFonts w:ascii="Cambria Math" w:eastAsia="Malgun Gothic" w:hAnsi="Cambria Math" w:cs="Arial"/>
                      <w:sz w:val="16"/>
                      <w:szCs w:val="16"/>
                    </w:rPr>
                    <m:t>n</m:t>
                  </m:r>
                </m:e>
                <m:sub>
                  <m:r>
                    <m:rPr>
                      <m:sty m:val="p"/>
                    </m:rPr>
                    <w:rPr>
                      <w:rFonts w:ascii="Cambria Math" w:eastAsia="Malgun Gothic" w:hAnsi="Cambria Math" w:cs="Arial"/>
                      <w:sz w:val="16"/>
                      <w:szCs w:val="16"/>
                    </w:rPr>
                    <m:t>f</m:t>
                  </m:r>
                </m:sub>
              </m:sSub>
              <m:r>
                <m:rPr>
                  <m:sty m:val="p"/>
                </m:rPr>
                <w:rPr>
                  <w:rFonts w:ascii="Cambria Math" w:eastAsia="Malgun Gothic" w:hAnsi="Cambria Math" w:cs="Arial"/>
                  <w:sz w:val="16"/>
                  <w:szCs w:val="16"/>
                </w:rPr>
                <m:t>,</m:t>
              </m:r>
              <m:sSubSup>
                <m:sSubSupPr>
                  <m:ctrlPr>
                    <w:rPr>
                      <w:rFonts w:ascii="Cambria Math" w:eastAsia="Malgun Gothic" w:hAnsi="Cambria Math" w:cs="Arial"/>
                      <w:i/>
                      <w:sz w:val="16"/>
                      <w:szCs w:val="16"/>
                    </w:rPr>
                  </m:ctrlPr>
                </m:sSubSupPr>
                <m:e>
                  <m:r>
                    <w:rPr>
                      <w:rFonts w:ascii="Cambria Math" w:eastAsia="Malgun Gothic" w:hAnsi="Cambria Math" w:cs="Arial"/>
                      <w:sz w:val="16"/>
                      <w:szCs w:val="16"/>
                    </w:rPr>
                    <m:t>n</m:t>
                  </m:r>
                </m:e>
                <m:sub>
                  <m:r>
                    <m:rPr>
                      <m:nor/>
                    </m:rPr>
                    <w:rPr>
                      <w:rFonts w:ascii="Arial" w:eastAsia="Malgun Gothic" w:hAnsi="Arial" w:cs="Arial"/>
                      <w:sz w:val="16"/>
                      <w:szCs w:val="16"/>
                    </w:rPr>
                    <m:t>s,f</m:t>
                  </m:r>
                </m:sub>
                <m:sup>
                  <m:r>
                    <w:rPr>
                      <w:rFonts w:ascii="Cambria Math" w:eastAsia="Malgun Gothic" w:hAnsi="Cambria Math" w:cs="Arial"/>
                      <w:sz w:val="16"/>
                      <w:szCs w:val="16"/>
                    </w:rPr>
                    <m:t>μ</m:t>
                  </m:r>
                </m:sup>
              </m:sSubSup>
              <m:r>
                <w:rPr>
                  <w:rFonts w:ascii="Cambria Math" w:eastAsia="Malgun Gothic" w:hAnsi="Cambria Math" w:cs="Arial"/>
                  <w:sz w:val="16"/>
                  <w:szCs w:val="16"/>
                </w:rPr>
                <m:t>,</m:t>
              </m:r>
              <m:sSup>
                <m:sSupPr>
                  <m:ctrlPr>
                    <w:rPr>
                      <w:rFonts w:ascii="Cambria Math" w:eastAsia="Malgun Gothic" w:hAnsi="Cambria Math" w:cs="Arial"/>
                      <w:i/>
                      <w:strike/>
                      <w:color w:val="FF0000"/>
                      <w:sz w:val="16"/>
                      <w:szCs w:val="16"/>
                    </w:rPr>
                  </m:ctrlPr>
                </m:sSupPr>
                <m:e>
                  <m:r>
                    <w:rPr>
                      <w:rFonts w:ascii="Cambria Math" w:eastAsia="Malgun Gothic" w:hAnsi="Cambria Math" w:cs="Arial"/>
                      <w:strike/>
                      <w:color w:val="FF0000"/>
                      <w:sz w:val="16"/>
                      <w:szCs w:val="16"/>
                    </w:rPr>
                    <m:t>l</m:t>
                  </m:r>
                </m:e>
                <m:sup>
                  <m:r>
                    <w:rPr>
                      <w:rFonts w:ascii="Cambria Math" w:eastAsia="Malgun Gothic" w:hAnsi="Cambria Math" w:cs="Arial"/>
                      <w:strike/>
                      <w:color w:val="FF0000"/>
                      <w:sz w:val="16"/>
                      <w:szCs w:val="16"/>
                    </w:rPr>
                    <m:t>'</m:t>
                  </m:r>
                </m:sup>
              </m:sSup>
              <m:sSup>
                <m:sSupPr>
                  <m:ctrlPr>
                    <w:rPr>
                      <w:rFonts w:ascii="Cambria Math" w:eastAsia="Malgun Gothic" w:hAnsi="Cambria Math" w:cs="Arial"/>
                      <w:i/>
                      <w:color w:val="FF0000"/>
                      <w:sz w:val="16"/>
                      <w:szCs w:val="16"/>
                    </w:rPr>
                  </m:ctrlPr>
                </m:sSupPr>
                <m:e>
                  <m:r>
                    <w:rPr>
                      <w:rFonts w:ascii="Cambria Math" w:eastAsia="Malgun Gothic" w:hAnsi="Cambria Math" w:cs="Arial"/>
                      <w:color w:val="FF0000"/>
                      <w:sz w:val="16"/>
                      <w:szCs w:val="16"/>
                    </w:rPr>
                    <m:t>l</m:t>
                  </m:r>
                </m:e>
                <m:sup>
                  <m:r>
                    <w:rPr>
                      <w:rFonts w:ascii="Cambria Math" w:eastAsia="Malgun Gothic" w:hAnsi="Cambria Math" w:cs="Arial"/>
                      <w:color w:val="FF0000"/>
                      <w:sz w:val="16"/>
                      <w:szCs w:val="16"/>
                    </w:rPr>
                    <m:t>''</m:t>
                  </m:r>
                </m:sup>
              </m:sSup>
              <m:r>
                <w:rPr>
                  <w:rFonts w:ascii="Cambria Math" w:eastAsia="MS Mincho" w:hAnsi="Cambria Math" w:cs="Arial"/>
                  <w:sz w:val="16"/>
                  <w:szCs w:val="16"/>
                  <w:lang w:eastAsia="ja-JP"/>
                </w:rPr>
                <m:t>)</m:t>
              </m:r>
            </m:e>
          </m:d>
          <m:r>
            <m:rPr>
              <m:nor/>
            </m:rPr>
            <w:rPr>
              <w:rFonts w:ascii="Arial" w:eastAsia="Malgun Gothic" w:hAnsi="Arial" w:cs="Arial"/>
              <w:sz w:val="16"/>
              <w:szCs w:val="16"/>
            </w:rPr>
            <m:t xml:space="preserve"> mod </m:t>
          </m:r>
          <m:sSub>
            <m:sSubPr>
              <m:ctrlPr>
                <w:rPr>
                  <w:rFonts w:ascii="Cambria Math" w:eastAsia="Malgun Gothic" w:hAnsi="Cambria Math" w:cs="Arial"/>
                  <w:i/>
                  <w:sz w:val="16"/>
                  <w:szCs w:val="16"/>
                </w:rPr>
              </m:ctrlPr>
            </m:sSubPr>
            <m:e>
              <m:r>
                <w:rPr>
                  <w:rFonts w:ascii="Cambria Math" w:eastAsia="Malgun Gothic" w:hAnsi="Cambria Math" w:cs="Arial"/>
                  <w:sz w:val="16"/>
                  <w:szCs w:val="16"/>
                </w:rPr>
                <m:t>K</m:t>
              </m:r>
            </m:e>
            <m:sub>
              <m:r>
                <m:rPr>
                  <m:nor/>
                </m:rPr>
                <w:rPr>
                  <w:rFonts w:ascii="Arial" w:eastAsia="Malgun Gothic" w:hAnsi="Arial" w:cs="Arial"/>
                  <w:sz w:val="16"/>
                  <w:szCs w:val="16"/>
                </w:rPr>
                <m:t>TC</m:t>
              </m:r>
            </m:sub>
          </m:sSub>
          <m:r>
            <m:rPr>
              <m:sty m:val="p"/>
            </m:rPr>
            <w:rPr>
              <w:rFonts w:ascii="Arial" w:eastAsia="MS Mincho" w:hAnsi="Arial" w:cs="Arial"/>
              <w:sz w:val="16"/>
              <w:szCs w:val="16"/>
            </w:rPr>
            <w:br/>
          </m:r>
        </m:oMath>
      </m:oMathPara>
    </w:p>
    <w:p w14:paraId="31248218" w14:textId="77777777" w:rsidR="00F91255" w:rsidRPr="00F91255" w:rsidRDefault="00F91255" w:rsidP="00F91255">
      <w:pPr>
        <w:ind w:left="425"/>
        <w:jc w:val="center"/>
        <w:rPr>
          <w:rFonts w:ascii="Arial" w:eastAsia="Malgun Gothic" w:hAnsi="Arial" w:cs="Arial"/>
          <w:color w:val="FF0000"/>
          <w:kern w:val="2"/>
          <w:sz w:val="16"/>
          <w:szCs w:val="16"/>
        </w:rPr>
      </w:pPr>
      <w:r w:rsidRPr="00F91255">
        <w:rPr>
          <w:rFonts w:ascii="Arial" w:eastAsia="Malgun Gothic" w:hAnsi="Arial" w:cs="Arial"/>
          <w:color w:val="FF0000"/>
          <w:kern w:val="2"/>
          <w:sz w:val="16"/>
          <w:szCs w:val="16"/>
        </w:rPr>
        <w:t>&lt;</w:t>
      </w:r>
      <w:r w:rsidRPr="00F91255">
        <w:rPr>
          <w:rFonts w:ascii="Arial" w:hAnsi="Arial" w:cs="Arial"/>
          <w:iCs/>
          <w:color w:val="FF0000"/>
          <w:sz w:val="16"/>
          <w:szCs w:val="16"/>
        </w:rPr>
        <w:t xml:space="preserve"> Unchanged text is </w:t>
      </w:r>
      <w:r w:rsidRPr="00F91255">
        <w:rPr>
          <w:rFonts w:ascii="Arial" w:eastAsia="Malgun Gothic" w:hAnsi="Arial" w:cs="Arial"/>
          <w:color w:val="FF0000"/>
          <w:kern w:val="2"/>
          <w:sz w:val="16"/>
          <w:szCs w:val="16"/>
        </w:rPr>
        <w:t>omitted&gt;</w:t>
      </w:r>
    </w:p>
    <w:p w14:paraId="609FA06B" w14:textId="3A3EEC5F" w:rsidR="00F91255" w:rsidRPr="00F91255" w:rsidRDefault="00F91255" w:rsidP="00F91255">
      <w:pPr>
        <w:ind w:left="425"/>
        <w:rPr>
          <w:rFonts w:ascii="Arial" w:eastAsia="Times New Roman" w:hAnsi="Arial" w:cs="Arial"/>
          <w:sz w:val="16"/>
          <w:szCs w:val="16"/>
        </w:rPr>
      </w:pPr>
      <w:r w:rsidRPr="00F91255">
        <w:rPr>
          <w:rFonts w:ascii="Arial" w:eastAsia="Times New Roman" w:hAnsi="Arial" w:cs="Arial"/>
          <w:sz w:val="16"/>
          <w:szCs w:val="16"/>
        </w:rPr>
        <w:t xml:space="preserve">The quantity </w:t>
      </w:r>
      <m:oMath>
        <m:sSub>
          <m:sSubPr>
            <m:ctrlPr>
              <w:rPr>
                <w:rFonts w:ascii="Cambria Math" w:eastAsia="Times New Roman" w:hAnsi="Cambria Math" w:cs="Arial"/>
                <w:i/>
                <w:sz w:val="16"/>
                <w:szCs w:val="16"/>
              </w:rPr>
            </m:ctrlPr>
          </m:sSubPr>
          <m:e>
            <m:r>
              <w:rPr>
                <w:rFonts w:ascii="Cambria Math" w:eastAsia="Times New Roman" w:hAnsi="Cambria Math" w:cs="Arial"/>
                <w:sz w:val="16"/>
                <w:szCs w:val="16"/>
              </w:rPr>
              <m:t>f</m:t>
            </m:r>
          </m:e>
          <m:sub>
            <m:r>
              <m:rPr>
                <m:sty m:val="p"/>
              </m:rPr>
              <w:rPr>
                <w:rFonts w:ascii="Cambria Math" w:eastAsia="Times New Roman" w:hAnsi="Cambria Math" w:cs="Arial"/>
                <w:sz w:val="16"/>
                <w:szCs w:val="16"/>
              </w:rPr>
              <m:t>coh</m:t>
            </m:r>
          </m:sub>
        </m:sSub>
        <m:d>
          <m:dPr>
            <m:ctrlPr>
              <w:rPr>
                <w:rFonts w:ascii="Cambria Math" w:eastAsia="Times New Roman" w:hAnsi="Cambria Math" w:cs="Arial"/>
                <w:i/>
                <w:sz w:val="16"/>
                <w:szCs w:val="16"/>
              </w:rPr>
            </m:ctrlPr>
          </m:dPr>
          <m:e>
            <m:sSub>
              <m:sSubPr>
                <m:ctrlPr>
                  <w:rPr>
                    <w:rFonts w:ascii="Cambria Math" w:eastAsia="Malgun Gothic" w:hAnsi="Cambria Math" w:cs="Arial"/>
                    <w:sz w:val="16"/>
                    <w:szCs w:val="16"/>
                  </w:rPr>
                </m:ctrlPr>
              </m:sSubPr>
              <m:e>
                <m:r>
                  <w:rPr>
                    <w:rFonts w:ascii="Cambria Math" w:eastAsia="Malgun Gothic" w:hAnsi="Cambria Math" w:cs="Arial"/>
                    <w:sz w:val="16"/>
                    <w:szCs w:val="16"/>
                  </w:rPr>
                  <m:t>n</m:t>
                </m:r>
              </m:e>
              <m:sub>
                <m:r>
                  <m:rPr>
                    <m:sty m:val="p"/>
                  </m:rPr>
                  <w:rPr>
                    <w:rFonts w:ascii="Cambria Math" w:eastAsia="Malgun Gothic" w:hAnsi="Cambria Math" w:cs="Arial"/>
                    <w:sz w:val="16"/>
                    <w:szCs w:val="16"/>
                  </w:rPr>
                  <m:t>f</m:t>
                </m:r>
              </m:sub>
            </m:sSub>
            <m:r>
              <m:rPr>
                <m:sty m:val="p"/>
              </m:rPr>
              <w:rPr>
                <w:rFonts w:ascii="Cambria Math" w:eastAsia="Malgun Gothic" w:hAnsi="Cambria Math" w:cs="Arial"/>
                <w:sz w:val="16"/>
                <w:szCs w:val="16"/>
              </w:rPr>
              <m:t>,</m:t>
            </m:r>
            <m:sSubSup>
              <m:sSubSupPr>
                <m:ctrlPr>
                  <w:rPr>
                    <w:rFonts w:ascii="Cambria Math" w:eastAsia="Malgun Gothic" w:hAnsi="Cambria Math" w:cs="Arial"/>
                    <w:i/>
                    <w:sz w:val="16"/>
                    <w:szCs w:val="16"/>
                  </w:rPr>
                </m:ctrlPr>
              </m:sSubSupPr>
              <m:e>
                <m:r>
                  <w:rPr>
                    <w:rFonts w:ascii="Cambria Math" w:eastAsia="Malgun Gothic" w:hAnsi="Cambria Math" w:cs="Arial"/>
                    <w:sz w:val="16"/>
                    <w:szCs w:val="16"/>
                  </w:rPr>
                  <m:t>n</m:t>
                </m:r>
              </m:e>
              <m:sub>
                <m:r>
                  <m:rPr>
                    <m:nor/>
                  </m:rPr>
                  <w:rPr>
                    <w:rFonts w:ascii="Arial" w:eastAsia="Malgun Gothic" w:hAnsi="Arial" w:cs="Arial"/>
                    <w:sz w:val="16"/>
                    <w:szCs w:val="16"/>
                  </w:rPr>
                  <m:t>s,f</m:t>
                </m:r>
              </m:sub>
              <m:sup>
                <m:r>
                  <w:rPr>
                    <w:rFonts w:ascii="Cambria Math" w:eastAsia="Malgun Gothic" w:hAnsi="Cambria Math" w:cs="Arial"/>
                    <w:sz w:val="16"/>
                    <w:szCs w:val="16"/>
                  </w:rPr>
                  <m:t>μ</m:t>
                </m:r>
              </m:sup>
            </m:sSubSup>
            <m:r>
              <w:rPr>
                <w:rFonts w:ascii="Cambria Math" w:eastAsia="Malgun Gothic" w:hAnsi="Cambria Math" w:cs="Arial"/>
                <w:sz w:val="16"/>
                <w:szCs w:val="16"/>
              </w:rPr>
              <m:t>,</m:t>
            </m:r>
            <m:sSup>
              <m:sSupPr>
                <m:ctrlPr>
                  <w:rPr>
                    <w:rFonts w:ascii="Cambria Math" w:eastAsia="Malgun Gothic" w:hAnsi="Cambria Math" w:cs="Arial"/>
                    <w:i/>
                    <w:sz w:val="16"/>
                    <w:szCs w:val="16"/>
                  </w:rPr>
                </m:ctrlPr>
              </m:sSupPr>
              <m:e>
                <m:r>
                  <w:rPr>
                    <w:rFonts w:ascii="Cambria Math" w:eastAsia="Malgun Gothic" w:hAnsi="Cambria Math" w:cs="Arial"/>
                    <w:sz w:val="16"/>
                    <w:szCs w:val="16"/>
                  </w:rPr>
                  <m:t>l</m:t>
                </m:r>
              </m:e>
              <m:sup>
                <m:r>
                  <w:rPr>
                    <w:rFonts w:ascii="Cambria Math" w:eastAsia="Malgun Gothic" w:hAnsi="Cambria Math" w:cs="Arial"/>
                    <w:sz w:val="16"/>
                    <w:szCs w:val="16"/>
                  </w:rPr>
                  <m:t>''</m:t>
                </m:r>
              </m:sup>
            </m:sSup>
          </m:e>
        </m:d>
      </m:oMath>
      <w:r w:rsidRPr="00F91255">
        <w:rPr>
          <w:rFonts w:ascii="Arial" w:eastAsia="Times New Roman" w:hAnsi="Arial" w:cs="Arial"/>
          <w:sz w:val="16"/>
          <w:szCs w:val="16"/>
        </w:rPr>
        <w:t xml:space="preserve"> is given by</w:t>
      </w:r>
    </w:p>
    <w:p w14:paraId="66DA1092" w14:textId="77777777" w:rsidR="00F91255" w:rsidRPr="00F91255" w:rsidRDefault="00F91255" w:rsidP="00F91255">
      <w:pPr>
        <w:ind w:left="993" w:hanging="284"/>
        <w:rPr>
          <w:rFonts w:ascii="Arial" w:hAnsi="Arial" w:cs="Arial"/>
          <w:sz w:val="16"/>
          <w:szCs w:val="16"/>
        </w:rPr>
      </w:pPr>
      <w:r w:rsidRPr="00F91255">
        <w:rPr>
          <w:rFonts w:ascii="Arial" w:eastAsia="Malgun Gothic" w:hAnsi="Arial" w:cs="Arial"/>
          <w:sz w:val="16"/>
          <w:szCs w:val="16"/>
        </w:rPr>
        <w:t>-</w:t>
      </w:r>
      <w:r w:rsidRPr="00F91255">
        <w:rPr>
          <w:rFonts w:ascii="Arial" w:eastAsia="Malgun Gothic" w:hAnsi="Arial" w:cs="Arial"/>
          <w:sz w:val="16"/>
          <w:szCs w:val="16"/>
        </w:rPr>
        <w:tab/>
        <w:t>if</w:t>
      </w:r>
      <w:r w:rsidRPr="00F91255">
        <w:rPr>
          <w:rFonts w:ascii="Arial" w:hAnsi="Arial" w:cs="Arial"/>
          <w:sz w:val="16"/>
          <w:szCs w:val="16"/>
        </w:rPr>
        <w:t xml:space="preserve"> the higher-layer parameter </w:t>
      </w:r>
      <w:r w:rsidRPr="00F91255">
        <w:rPr>
          <w:rFonts w:ascii="Arial" w:hAnsi="Arial" w:cs="Arial"/>
          <w:i/>
          <w:iCs/>
          <w:sz w:val="16"/>
          <w:szCs w:val="16"/>
        </w:rPr>
        <w:t>combOffsetHopping</w:t>
      </w:r>
      <w:r w:rsidRPr="00F91255">
        <w:rPr>
          <w:rFonts w:ascii="Arial" w:hAnsi="Arial" w:cs="Arial"/>
          <w:sz w:val="16"/>
          <w:szCs w:val="16"/>
        </w:rPr>
        <w:t xml:space="preserve"> is not configured:</w:t>
      </w:r>
    </w:p>
    <w:p w14:paraId="56BA99DD" w14:textId="2B7A8B9D" w:rsidR="00F91255" w:rsidRPr="00F91255" w:rsidRDefault="005A18DC" w:rsidP="00F91255">
      <w:pPr>
        <w:keepLines/>
        <w:tabs>
          <w:tab w:val="center" w:pos="4536"/>
          <w:tab w:val="right" w:pos="9072"/>
        </w:tabs>
        <w:ind w:left="425"/>
        <w:rPr>
          <w:rFonts w:ascii="Arial" w:eastAsia="Times New Roman" w:hAnsi="Arial" w:cs="Arial"/>
          <w:sz w:val="16"/>
          <w:szCs w:val="16"/>
        </w:rPr>
      </w:pPr>
      <m:oMathPara>
        <m:oMath>
          <m:sSub>
            <m:sSubPr>
              <m:ctrlPr>
                <w:rPr>
                  <w:rFonts w:ascii="Cambria Math" w:eastAsia="Times New Roman" w:hAnsi="Cambria Math" w:cs="Arial"/>
                  <w:sz w:val="16"/>
                  <w:szCs w:val="16"/>
                </w:rPr>
              </m:ctrlPr>
            </m:sSubPr>
            <m:e>
              <m:r>
                <w:rPr>
                  <w:rFonts w:ascii="Cambria Math" w:eastAsia="Times New Roman" w:hAnsi="Cambria Math" w:cs="Arial"/>
                  <w:sz w:val="16"/>
                  <w:szCs w:val="16"/>
                </w:rPr>
                <m:t>f</m:t>
              </m:r>
            </m:e>
            <m:sub>
              <m:r>
                <m:rPr>
                  <m:sty m:val="p"/>
                </m:rPr>
                <w:rPr>
                  <w:rFonts w:ascii="Cambria Math" w:eastAsia="Times New Roman" w:hAnsi="Cambria Math" w:cs="Arial"/>
                  <w:sz w:val="16"/>
                  <w:szCs w:val="16"/>
                </w:rPr>
                <m:t>coh</m:t>
              </m:r>
            </m:sub>
          </m:sSub>
          <m:d>
            <m:dPr>
              <m:ctrlPr>
                <w:rPr>
                  <w:rFonts w:ascii="Cambria Math" w:eastAsia="Times New Roman" w:hAnsi="Cambria Math" w:cs="Arial"/>
                  <w:sz w:val="16"/>
                  <w:szCs w:val="16"/>
                </w:rPr>
              </m:ctrlPr>
            </m:dPr>
            <m:e>
              <m:sSub>
                <m:sSubPr>
                  <m:ctrlPr>
                    <w:rPr>
                      <w:rFonts w:ascii="Cambria Math" w:eastAsia="Malgun Gothic" w:hAnsi="Cambria Math" w:cs="Arial"/>
                      <w:sz w:val="16"/>
                      <w:szCs w:val="16"/>
                    </w:rPr>
                  </m:ctrlPr>
                </m:sSubPr>
                <m:e>
                  <m:r>
                    <w:rPr>
                      <w:rFonts w:ascii="Cambria Math" w:eastAsia="Malgun Gothic" w:hAnsi="Cambria Math" w:cs="Arial"/>
                      <w:sz w:val="16"/>
                      <w:szCs w:val="16"/>
                    </w:rPr>
                    <m:t>n</m:t>
                  </m:r>
                </m:e>
                <m:sub>
                  <m:r>
                    <m:rPr>
                      <m:sty m:val="p"/>
                    </m:rPr>
                    <w:rPr>
                      <w:rFonts w:ascii="Cambria Math" w:eastAsia="Malgun Gothic" w:hAnsi="Cambria Math" w:cs="Arial"/>
                      <w:sz w:val="16"/>
                      <w:szCs w:val="16"/>
                    </w:rPr>
                    <m:t>f</m:t>
                  </m:r>
                </m:sub>
              </m:sSub>
              <m:r>
                <m:rPr>
                  <m:sty m:val="p"/>
                </m:rPr>
                <w:rPr>
                  <w:rFonts w:ascii="Cambria Math" w:eastAsia="Malgun Gothic" w:hAnsi="Cambria Math" w:cs="Arial"/>
                  <w:sz w:val="16"/>
                  <w:szCs w:val="16"/>
                </w:rPr>
                <m:t xml:space="preserve">, </m:t>
              </m:r>
              <m:sSubSup>
                <m:sSubSupPr>
                  <m:ctrlPr>
                    <w:rPr>
                      <w:rFonts w:ascii="Cambria Math" w:eastAsia="Malgun Gothic" w:hAnsi="Cambria Math" w:cs="Arial"/>
                      <w:sz w:val="16"/>
                      <w:szCs w:val="16"/>
                    </w:rPr>
                  </m:ctrlPr>
                </m:sSubSupPr>
                <m:e>
                  <m:r>
                    <w:rPr>
                      <w:rFonts w:ascii="Cambria Math" w:eastAsia="Malgun Gothic" w:hAnsi="Cambria Math" w:cs="Arial"/>
                      <w:sz w:val="16"/>
                      <w:szCs w:val="16"/>
                    </w:rPr>
                    <m:t>n</m:t>
                  </m:r>
                </m:e>
                <m:sub>
                  <m:r>
                    <m:rPr>
                      <m:nor/>
                    </m:rPr>
                    <w:rPr>
                      <w:rFonts w:ascii="Arial" w:eastAsia="Malgun Gothic" w:hAnsi="Arial" w:cs="Arial"/>
                      <w:sz w:val="16"/>
                      <w:szCs w:val="16"/>
                    </w:rPr>
                    <m:t>s,f</m:t>
                  </m:r>
                </m:sub>
                <m:sup>
                  <m:r>
                    <w:rPr>
                      <w:rFonts w:ascii="Cambria Math" w:eastAsia="Malgun Gothic" w:hAnsi="Cambria Math" w:cs="Arial"/>
                      <w:sz w:val="16"/>
                      <w:szCs w:val="16"/>
                    </w:rPr>
                    <m:t>μ</m:t>
                  </m:r>
                </m:sup>
              </m:sSubSup>
              <m:r>
                <m:rPr>
                  <m:sty m:val="p"/>
                </m:rPr>
                <w:rPr>
                  <w:rFonts w:ascii="Cambria Math" w:eastAsia="Malgun Gothic" w:hAnsi="Cambria Math" w:cs="Arial"/>
                  <w:sz w:val="16"/>
                  <w:szCs w:val="16"/>
                </w:rPr>
                <m:t>,</m:t>
              </m:r>
              <m:sSup>
                <m:sSupPr>
                  <m:ctrlPr>
                    <w:rPr>
                      <w:rFonts w:ascii="Cambria Math" w:eastAsia="Malgun Gothic" w:hAnsi="Cambria Math" w:cs="Arial"/>
                      <w:sz w:val="16"/>
                      <w:szCs w:val="16"/>
                    </w:rPr>
                  </m:ctrlPr>
                </m:sSupPr>
                <m:e>
                  <m:r>
                    <w:rPr>
                      <w:rFonts w:ascii="Cambria Math" w:eastAsia="Malgun Gothic" w:hAnsi="Cambria Math" w:cs="Arial"/>
                      <w:sz w:val="16"/>
                      <w:szCs w:val="16"/>
                    </w:rPr>
                    <m:t>l</m:t>
                  </m:r>
                </m:e>
                <m:sup>
                  <m:r>
                    <m:rPr>
                      <m:sty m:val="p"/>
                    </m:rPr>
                    <w:rPr>
                      <w:rFonts w:ascii="Cambria Math" w:eastAsia="Malgun Gothic" w:hAnsi="Cambria Math" w:cs="Arial"/>
                      <w:sz w:val="16"/>
                      <w:szCs w:val="16"/>
                    </w:rPr>
                    <m:t>''</m:t>
                  </m:r>
                </m:sup>
              </m:sSup>
            </m:e>
          </m:d>
          <m:r>
            <m:rPr>
              <m:sty m:val="p"/>
            </m:rPr>
            <w:rPr>
              <w:rFonts w:ascii="Cambria Math" w:eastAsia="Times New Roman" w:hAnsi="Cambria Math" w:cs="Arial"/>
              <w:sz w:val="16"/>
              <w:szCs w:val="16"/>
            </w:rPr>
            <m:t>=0</m:t>
          </m:r>
        </m:oMath>
      </m:oMathPara>
    </w:p>
    <w:p w14:paraId="4FAD918B" w14:textId="77777777" w:rsidR="00F91255" w:rsidRPr="00F91255" w:rsidRDefault="00F91255" w:rsidP="00F91255">
      <w:pPr>
        <w:ind w:left="993" w:hanging="284"/>
        <w:rPr>
          <w:rFonts w:ascii="Arial" w:hAnsi="Arial" w:cs="Arial"/>
          <w:sz w:val="16"/>
          <w:szCs w:val="16"/>
        </w:rPr>
      </w:pPr>
      <w:r w:rsidRPr="00F91255">
        <w:rPr>
          <w:rFonts w:ascii="Arial" w:eastAsia="Malgun Gothic" w:hAnsi="Arial" w:cs="Arial"/>
          <w:sz w:val="16"/>
          <w:szCs w:val="16"/>
        </w:rPr>
        <w:t>-</w:t>
      </w:r>
      <w:r w:rsidRPr="00F91255">
        <w:rPr>
          <w:rFonts w:ascii="Arial" w:eastAsia="Malgun Gothic" w:hAnsi="Arial" w:cs="Arial"/>
          <w:sz w:val="16"/>
          <w:szCs w:val="16"/>
        </w:rPr>
        <w:tab/>
        <w:t>if</w:t>
      </w:r>
      <w:r w:rsidRPr="00F91255">
        <w:rPr>
          <w:rFonts w:ascii="Arial" w:hAnsi="Arial" w:cs="Arial"/>
          <w:sz w:val="16"/>
          <w:szCs w:val="16"/>
        </w:rPr>
        <w:t xml:space="preserve"> the higher-layer parameter </w:t>
      </w:r>
      <w:r w:rsidRPr="00F91255">
        <w:rPr>
          <w:rFonts w:ascii="Arial" w:hAnsi="Arial" w:cs="Arial"/>
          <w:i/>
          <w:iCs/>
          <w:sz w:val="16"/>
          <w:szCs w:val="16"/>
        </w:rPr>
        <w:t>combOffsetHopping</w:t>
      </w:r>
      <w:r w:rsidRPr="00F91255">
        <w:rPr>
          <w:rFonts w:ascii="Arial" w:hAnsi="Arial" w:cs="Arial"/>
          <w:sz w:val="16"/>
          <w:szCs w:val="16"/>
        </w:rPr>
        <w:t xml:space="preserve"> is configured:</w:t>
      </w:r>
    </w:p>
    <w:p w14:paraId="50B56EAA" w14:textId="4D5CB096" w:rsidR="00F91255" w:rsidRPr="00F91255" w:rsidRDefault="005A18DC" w:rsidP="00F91255">
      <w:pPr>
        <w:keepLines/>
        <w:tabs>
          <w:tab w:val="center" w:pos="4536"/>
          <w:tab w:val="right" w:pos="9072"/>
        </w:tabs>
        <w:ind w:left="425"/>
        <w:rPr>
          <w:rFonts w:ascii="Arial" w:eastAsia="Times New Roman" w:hAnsi="Arial" w:cs="Arial"/>
          <w:sz w:val="16"/>
          <w:szCs w:val="16"/>
        </w:rPr>
      </w:pPr>
      <m:oMathPara>
        <m:oMath>
          <m:sSub>
            <m:sSubPr>
              <m:ctrlPr>
                <w:rPr>
                  <w:rFonts w:ascii="Cambria Math" w:eastAsia="Times New Roman" w:hAnsi="Cambria Math" w:cs="Arial"/>
                  <w:sz w:val="16"/>
                  <w:szCs w:val="16"/>
                </w:rPr>
              </m:ctrlPr>
            </m:sSubPr>
            <m:e>
              <m:r>
                <w:rPr>
                  <w:rFonts w:ascii="Cambria Math" w:eastAsia="Times New Roman" w:hAnsi="Cambria Math" w:cs="Arial"/>
                  <w:sz w:val="16"/>
                  <w:szCs w:val="16"/>
                </w:rPr>
                <m:t>f</m:t>
              </m:r>
            </m:e>
            <m:sub>
              <m:r>
                <m:rPr>
                  <m:sty m:val="p"/>
                </m:rPr>
                <w:rPr>
                  <w:rFonts w:ascii="Cambria Math" w:eastAsia="Times New Roman" w:hAnsi="Cambria Math" w:cs="Arial"/>
                  <w:sz w:val="16"/>
                  <w:szCs w:val="16"/>
                </w:rPr>
                <m:t>coh</m:t>
              </m:r>
            </m:sub>
          </m:sSub>
          <m:d>
            <m:dPr>
              <m:ctrlPr>
                <w:rPr>
                  <w:rFonts w:ascii="Cambria Math" w:eastAsia="Times New Roman" w:hAnsi="Cambria Math" w:cs="Arial"/>
                  <w:sz w:val="16"/>
                  <w:szCs w:val="16"/>
                </w:rPr>
              </m:ctrlPr>
            </m:dPr>
            <m:e>
              <m:sSubSup>
                <m:sSubSupPr>
                  <m:ctrlPr>
                    <w:rPr>
                      <w:rFonts w:ascii="Cambria Math" w:eastAsia="Malgun Gothic" w:hAnsi="Cambria Math" w:cs="Arial"/>
                      <w:sz w:val="16"/>
                      <w:szCs w:val="16"/>
                    </w:rPr>
                  </m:ctrlPr>
                </m:sSubSupPr>
                <m:e>
                  <m:sSub>
                    <m:sSubPr>
                      <m:ctrlPr>
                        <w:rPr>
                          <w:rFonts w:ascii="Cambria Math" w:eastAsia="Malgun Gothic" w:hAnsi="Cambria Math" w:cs="Arial"/>
                          <w:sz w:val="16"/>
                          <w:szCs w:val="16"/>
                        </w:rPr>
                      </m:ctrlPr>
                    </m:sSubPr>
                    <m:e>
                      <m:r>
                        <w:rPr>
                          <w:rFonts w:ascii="Cambria Math" w:eastAsia="Malgun Gothic" w:hAnsi="Cambria Math" w:cs="Arial"/>
                          <w:sz w:val="16"/>
                          <w:szCs w:val="16"/>
                        </w:rPr>
                        <m:t>n</m:t>
                      </m:r>
                    </m:e>
                    <m:sub>
                      <m:r>
                        <m:rPr>
                          <m:sty m:val="p"/>
                        </m:rPr>
                        <w:rPr>
                          <w:rFonts w:ascii="Cambria Math" w:eastAsia="Malgun Gothic" w:hAnsi="Cambria Math" w:cs="Arial"/>
                          <w:sz w:val="16"/>
                          <w:szCs w:val="16"/>
                        </w:rPr>
                        <m:t>f</m:t>
                      </m:r>
                    </m:sub>
                  </m:sSub>
                  <m:r>
                    <m:rPr>
                      <m:sty m:val="p"/>
                    </m:rPr>
                    <w:rPr>
                      <w:rFonts w:ascii="Cambria Math" w:eastAsia="Malgun Gothic" w:hAnsi="Cambria Math" w:cs="Arial"/>
                      <w:sz w:val="16"/>
                      <w:szCs w:val="16"/>
                    </w:rPr>
                    <m:t xml:space="preserve"> ,</m:t>
                  </m:r>
                  <m:r>
                    <w:rPr>
                      <w:rFonts w:ascii="Cambria Math" w:eastAsia="Malgun Gothic" w:hAnsi="Cambria Math" w:cs="Arial"/>
                      <w:sz w:val="16"/>
                      <w:szCs w:val="16"/>
                    </w:rPr>
                    <m:t>n</m:t>
                  </m:r>
                </m:e>
                <m:sub>
                  <m:r>
                    <m:rPr>
                      <m:nor/>
                    </m:rPr>
                    <w:rPr>
                      <w:rFonts w:ascii="Arial" w:eastAsia="Malgun Gothic" w:hAnsi="Arial" w:cs="Arial"/>
                      <w:sz w:val="16"/>
                      <w:szCs w:val="16"/>
                    </w:rPr>
                    <m:t>s,f</m:t>
                  </m:r>
                </m:sub>
                <m:sup>
                  <m:r>
                    <w:rPr>
                      <w:rFonts w:ascii="Cambria Math" w:eastAsia="Malgun Gothic" w:hAnsi="Cambria Math" w:cs="Arial"/>
                      <w:sz w:val="16"/>
                      <w:szCs w:val="16"/>
                    </w:rPr>
                    <m:t>μ</m:t>
                  </m:r>
                </m:sup>
              </m:sSubSup>
              <m:r>
                <m:rPr>
                  <m:sty m:val="p"/>
                </m:rPr>
                <w:rPr>
                  <w:rFonts w:ascii="Cambria Math" w:eastAsia="Malgun Gothic" w:hAnsi="Cambria Math" w:cs="Arial"/>
                  <w:sz w:val="16"/>
                  <w:szCs w:val="16"/>
                </w:rPr>
                <m:t>,</m:t>
              </m:r>
              <m:sSup>
                <m:sSupPr>
                  <m:ctrlPr>
                    <w:rPr>
                      <w:rFonts w:ascii="Cambria Math" w:eastAsia="Malgun Gothic" w:hAnsi="Cambria Math" w:cs="Arial"/>
                      <w:i/>
                      <w:strike/>
                      <w:color w:val="FF0000"/>
                      <w:sz w:val="16"/>
                      <w:szCs w:val="16"/>
                    </w:rPr>
                  </m:ctrlPr>
                </m:sSupPr>
                <m:e>
                  <m:r>
                    <w:rPr>
                      <w:rFonts w:ascii="Cambria Math" w:eastAsia="Malgun Gothic" w:hAnsi="Cambria Math" w:cs="Arial"/>
                      <w:strike/>
                      <w:color w:val="FF0000"/>
                      <w:sz w:val="16"/>
                      <w:szCs w:val="16"/>
                    </w:rPr>
                    <m:t>l</m:t>
                  </m:r>
                </m:e>
                <m:sup>
                  <m:r>
                    <w:rPr>
                      <w:rFonts w:ascii="Cambria Math" w:eastAsia="Malgun Gothic" w:hAnsi="Cambria Math" w:cs="Arial"/>
                      <w:strike/>
                      <w:color w:val="FF0000"/>
                      <w:sz w:val="16"/>
                      <w:szCs w:val="16"/>
                    </w:rPr>
                    <m:t>'</m:t>
                  </m:r>
                </m:sup>
              </m:sSup>
              <m:sSup>
                <m:sSupPr>
                  <m:ctrlPr>
                    <w:rPr>
                      <w:rFonts w:ascii="Cambria Math" w:eastAsia="Malgun Gothic" w:hAnsi="Cambria Math" w:cs="Arial"/>
                      <w:i/>
                      <w:color w:val="FF0000"/>
                      <w:sz w:val="16"/>
                      <w:szCs w:val="16"/>
                    </w:rPr>
                  </m:ctrlPr>
                </m:sSupPr>
                <m:e>
                  <m:r>
                    <w:rPr>
                      <w:rFonts w:ascii="Cambria Math" w:eastAsia="Malgun Gothic" w:hAnsi="Cambria Math" w:cs="Arial"/>
                      <w:color w:val="FF0000"/>
                      <w:sz w:val="16"/>
                      <w:szCs w:val="16"/>
                    </w:rPr>
                    <m:t>l</m:t>
                  </m:r>
                </m:e>
                <m:sup>
                  <m:r>
                    <w:rPr>
                      <w:rFonts w:ascii="Cambria Math" w:eastAsia="Malgun Gothic" w:hAnsi="Cambria Math" w:cs="Arial"/>
                      <w:color w:val="FF0000"/>
                      <w:sz w:val="16"/>
                      <w:szCs w:val="16"/>
                    </w:rPr>
                    <m:t>''</m:t>
                  </m:r>
                </m:sup>
              </m:sSup>
            </m:e>
          </m:d>
          <m:r>
            <m:rPr>
              <m:sty m:val="p"/>
            </m:rPr>
            <w:rPr>
              <w:rFonts w:ascii="Cambria Math" w:eastAsia="Times New Roman" w:hAnsi="Cambria Math" w:cs="Arial"/>
              <w:sz w:val="16"/>
              <w:szCs w:val="16"/>
            </w:rPr>
            <m:t xml:space="preserve">= </m:t>
          </m:r>
          <m:r>
            <m:rPr>
              <m:sty m:val="p"/>
            </m:rPr>
            <w:rPr>
              <w:rFonts w:ascii="Arial" w:eastAsia="Times New Roman" w:hAnsi="Arial" w:cs="Arial"/>
              <w:sz w:val="16"/>
              <w:szCs w:val="16"/>
            </w:rPr>
            <w:br/>
          </m:r>
        </m:oMath>
        <m:oMath>
          <m:sSubSup>
            <m:sSubSupPr>
              <m:ctrlPr>
                <w:rPr>
                  <w:rFonts w:ascii="Cambria Math" w:eastAsia="Times New Roman" w:hAnsi="Cambria Math" w:cs="Arial"/>
                  <w:sz w:val="16"/>
                  <w:szCs w:val="16"/>
                </w:rPr>
              </m:ctrlPr>
            </m:sSubSupPr>
            <m:e>
              <m:r>
                <w:rPr>
                  <w:rFonts w:ascii="Cambria Math" w:eastAsia="Times New Roman" w:hAnsi="Cambria Math" w:cs="Arial"/>
                  <w:sz w:val="16"/>
                  <w:szCs w:val="16"/>
                </w:rPr>
                <m:t>s</m:t>
              </m:r>
            </m:e>
            <m:sub>
              <m:r>
                <m:rPr>
                  <m:sty m:val="p"/>
                </m:rPr>
                <w:rPr>
                  <w:rFonts w:ascii="Cambria Math" w:eastAsia="Times New Roman" w:hAnsi="Cambria Math" w:cs="Arial"/>
                  <w:sz w:val="16"/>
                  <w:szCs w:val="16"/>
                </w:rPr>
                <m:t>coh</m:t>
              </m:r>
            </m:sub>
            <m:sup>
              <m:r>
                <m:rPr>
                  <m:sty m:val="p"/>
                </m:rPr>
                <w:rPr>
                  <w:rFonts w:ascii="Cambria Math" w:eastAsia="Times New Roman" w:hAnsi="Cambria Math" w:cs="Arial"/>
                  <w:sz w:val="16"/>
                  <w:szCs w:val="16"/>
                </w:rPr>
                <m:t>SRS</m:t>
              </m:r>
              <m:ctrlPr>
                <w:rPr>
                  <w:rFonts w:ascii="Cambria Math" w:eastAsia="Times New Roman" w:hAnsi="Cambria Math" w:cs="Arial"/>
                  <w:iCs/>
                  <w:sz w:val="16"/>
                  <w:szCs w:val="16"/>
                </w:rPr>
              </m:ctrlPr>
            </m:sup>
          </m:sSubSup>
          <m:d>
            <m:dPr>
              <m:ctrlPr>
                <w:rPr>
                  <w:rFonts w:ascii="Cambria Math" w:eastAsia="Times New Roman" w:hAnsi="Cambria Math" w:cs="Arial"/>
                  <w:sz w:val="16"/>
                  <w:szCs w:val="16"/>
                </w:rPr>
              </m:ctrlPr>
            </m:dPr>
            <m:e>
              <m:d>
                <m:dPr>
                  <m:ctrlPr>
                    <w:rPr>
                      <w:rFonts w:ascii="Cambria Math" w:eastAsia="Times New Roman" w:hAnsi="Cambria Math" w:cs="Arial"/>
                      <w:sz w:val="16"/>
                      <w:szCs w:val="16"/>
                    </w:rPr>
                  </m:ctrlPr>
                </m:dPr>
                <m:e>
                  <m:nary>
                    <m:naryPr>
                      <m:chr m:val="∑"/>
                      <m:limLoc m:val="subSup"/>
                      <m:ctrlPr>
                        <w:rPr>
                          <w:rFonts w:ascii="Cambria Math" w:eastAsia="Times New Roman" w:hAnsi="Cambria Math" w:cs="Arial"/>
                          <w:sz w:val="16"/>
                          <w:szCs w:val="16"/>
                        </w:rPr>
                      </m:ctrlPr>
                    </m:naryPr>
                    <m:sub>
                      <m:r>
                        <w:rPr>
                          <w:rFonts w:ascii="Cambria Math" w:eastAsia="Times New Roman" w:hAnsi="Cambria Math" w:cs="Arial"/>
                          <w:sz w:val="16"/>
                          <w:szCs w:val="16"/>
                        </w:rPr>
                        <m:t>m</m:t>
                      </m:r>
                      <m:r>
                        <m:rPr>
                          <m:sty m:val="p"/>
                        </m:rPr>
                        <w:rPr>
                          <w:rFonts w:ascii="Cambria Math" w:eastAsia="Times New Roman" w:hAnsi="Cambria Math" w:cs="Arial"/>
                          <w:sz w:val="16"/>
                          <w:szCs w:val="16"/>
                        </w:rPr>
                        <m:t>=0</m:t>
                      </m:r>
                    </m:sub>
                    <m:sup>
                      <m:r>
                        <m:rPr>
                          <m:sty m:val="p"/>
                        </m:rPr>
                        <w:rPr>
                          <w:rFonts w:ascii="Cambria Math" w:eastAsia="Times New Roman" w:hAnsi="Cambria Math" w:cs="Arial"/>
                          <w:sz w:val="16"/>
                          <w:szCs w:val="16"/>
                        </w:rPr>
                        <m:t>7</m:t>
                      </m:r>
                    </m:sup>
                    <m:e>
                      <m:d>
                        <m:dPr>
                          <m:ctrlPr>
                            <w:rPr>
                              <w:rFonts w:ascii="Cambria Math" w:eastAsia="Times New Roman" w:hAnsi="Cambria Math" w:cs="Arial"/>
                              <w:sz w:val="16"/>
                              <w:szCs w:val="16"/>
                            </w:rPr>
                          </m:ctrlPr>
                        </m:dPr>
                        <m:e>
                          <m:r>
                            <w:rPr>
                              <w:rFonts w:ascii="Cambria Math" w:eastAsia="Times New Roman" w:hAnsi="Cambria Math" w:cs="Arial"/>
                              <w:sz w:val="16"/>
                              <w:szCs w:val="16"/>
                            </w:rPr>
                            <m:t>c</m:t>
                          </m:r>
                          <m:d>
                            <m:dPr>
                              <m:ctrlPr>
                                <w:rPr>
                                  <w:rFonts w:ascii="Cambria Math" w:eastAsia="Times New Roman" w:hAnsi="Cambria Math" w:cs="Arial"/>
                                  <w:sz w:val="16"/>
                                  <w:szCs w:val="16"/>
                                </w:rPr>
                              </m:ctrlPr>
                            </m:dPr>
                            <m:e>
                              <m:r>
                                <m:rPr>
                                  <m:sty m:val="p"/>
                                </m:rPr>
                                <w:rPr>
                                  <w:rFonts w:ascii="Cambria Math" w:eastAsia="Times New Roman" w:hAnsi="Cambria Math" w:cs="Arial"/>
                                  <w:sz w:val="16"/>
                                  <w:szCs w:val="16"/>
                                </w:rPr>
                                <m:t>8</m:t>
                              </m:r>
                              <m:d>
                                <m:dPr>
                                  <m:ctrlPr>
                                    <w:rPr>
                                      <w:rFonts w:ascii="Cambria Math" w:eastAsia="Times New Roman" w:hAnsi="Cambria Math" w:cs="Arial"/>
                                      <w:sz w:val="16"/>
                                      <w:szCs w:val="16"/>
                                    </w:rPr>
                                  </m:ctrlPr>
                                </m:dPr>
                                <m:e>
                                  <m:d>
                                    <m:dPr>
                                      <m:ctrlPr>
                                        <w:rPr>
                                          <w:rFonts w:ascii="Cambria Math" w:eastAsia="Times New Roman" w:hAnsi="Cambria Math" w:cs="Arial"/>
                                          <w:sz w:val="16"/>
                                          <w:szCs w:val="16"/>
                                        </w:rPr>
                                      </m:ctrlPr>
                                    </m:dPr>
                                    <m:e>
                                      <m:sSub>
                                        <m:sSubPr>
                                          <m:ctrlPr>
                                            <w:rPr>
                                              <w:rFonts w:ascii="Cambria Math" w:eastAsia="Times New Roman" w:hAnsi="Cambria Math" w:cs="Arial"/>
                                              <w:sz w:val="16"/>
                                              <w:szCs w:val="16"/>
                                            </w:rPr>
                                          </m:ctrlPr>
                                        </m:sSubPr>
                                        <m:e>
                                          <m:r>
                                            <w:rPr>
                                              <w:rFonts w:ascii="Cambria Math" w:eastAsia="Times New Roman" w:hAnsi="Cambria Math" w:cs="Arial"/>
                                              <w:sz w:val="16"/>
                                              <w:szCs w:val="16"/>
                                            </w:rPr>
                                            <m:t>n</m:t>
                                          </m:r>
                                        </m:e>
                                        <m:sub>
                                          <m:r>
                                            <m:rPr>
                                              <m:sty m:val="p"/>
                                            </m:rPr>
                                            <w:rPr>
                                              <w:rFonts w:ascii="Cambria Math" w:eastAsia="Times New Roman" w:hAnsi="Cambria Math" w:cs="Arial"/>
                                              <w:sz w:val="16"/>
                                              <w:szCs w:val="16"/>
                                            </w:rPr>
                                            <m:t>f</m:t>
                                          </m:r>
                                        </m:sub>
                                      </m:sSub>
                                      <m:r>
                                        <m:rPr>
                                          <m:sty m:val="p"/>
                                        </m:rPr>
                                        <w:rPr>
                                          <w:rFonts w:ascii="Cambria Math" w:eastAsia="Times New Roman" w:hAnsi="Cambria Math" w:cs="Arial"/>
                                          <w:sz w:val="16"/>
                                          <w:szCs w:val="16"/>
                                        </w:rPr>
                                        <m:t xml:space="preserve"> mod 128</m:t>
                                      </m:r>
                                    </m:e>
                                  </m:d>
                                  <m:sSubSup>
                                    <m:sSubSupPr>
                                      <m:ctrlPr>
                                        <w:rPr>
                                          <w:rFonts w:ascii="Cambria Math" w:eastAsia="Times New Roman" w:hAnsi="Cambria Math" w:cs="Arial"/>
                                          <w:sz w:val="16"/>
                                          <w:szCs w:val="16"/>
                                        </w:rPr>
                                      </m:ctrlPr>
                                    </m:sSubSupPr>
                                    <m:e>
                                      <m:r>
                                        <w:rPr>
                                          <w:rFonts w:ascii="Cambria Math" w:eastAsia="Times New Roman" w:hAnsi="Cambria Math" w:cs="Arial"/>
                                          <w:sz w:val="16"/>
                                          <w:szCs w:val="16"/>
                                        </w:rPr>
                                        <m:t>N</m:t>
                                      </m:r>
                                    </m:e>
                                    <m:sub>
                                      <m:r>
                                        <m:rPr>
                                          <m:sty m:val="p"/>
                                        </m:rPr>
                                        <w:rPr>
                                          <w:rFonts w:ascii="Cambria Math" w:eastAsia="Times New Roman" w:hAnsi="Cambria Math" w:cs="Arial"/>
                                          <w:sz w:val="16"/>
                                          <w:szCs w:val="16"/>
                                        </w:rPr>
                                        <m:t>slot</m:t>
                                      </m:r>
                                      <m:ctrlPr>
                                        <w:rPr>
                                          <w:rFonts w:ascii="Cambria Math" w:eastAsia="Times New Roman" w:hAnsi="Cambria Math" w:cs="Arial"/>
                                          <w:iCs/>
                                          <w:sz w:val="16"/>
                                          <w:szCs w:val="16"/>
                                        </w:rPr>
                                      </m:ctrlPr>
                                    </m:sub>
                                    <m:sup>
                                      <m:r>
                                        <m:rPr>
                                          <m:sty m:val="p"/>
                                        </m:rPr>
                                        <w:rPr>
                                          <w:rFonts w:ascii="Cambria Math" w:eastAsia="Times New Roman" w:hAnsi="Cambria Math" w:cs="Arial"/>
                                          <w:sz w:val="16"/>
                                          <w:szCs w:val="16"/>
                                        </w:rPr>
                                        <m:t>frame,</m:t>
                                      </m:r>
                                      <m:r>
                                        <w:rPr>
                                          <w:rFonts w:ascii="Cambria Math" w:eastAsia="Times New Roman" w:hAnsi="Cambria Math" w:cs="Arial"/>
                                          <w:sz w:val="16"/>
                                          <w:szCs w:val="16"/>
                                        </w:rPr>
                                        <m:t>μ</m:t>
                                      </m:r>
                                    </m:sup>
                                  </m:sSubSup>
                                  <m:sSubSup>
                                    <m:sSubSupPr>
                                      <m:ctrlPr>
                                        <w:rPr>
                                          <w:rFonts w:ascii="Cambria Math" w:eastAsia="Times New Roman" w:hAnsi="Cambria Math" w:cs="Arial"/>
                                          <w:sz w:val="16"/>
                                          <w:szCs w:val="16"/>
                                        </w:rPr>
                                      </m:ctrlPr>
                                    </m:sSubSupPr>
                                    <m:e>
                                      <m:r>
                                        <w:rPr>
                                          <w:rFonts w:ascii="Cambria Math" w:eastAsia="Times New Roman" w:hAnsi="Cambria Math" w:cs="Arial"/>
                                          <w:sz w:val="16"/>
                                          <w:szCs w:val="16"/>
                                        </w:rPr>
                                        <m:t>N</m:t>
                                      </m:r>
                                    </m:e>
                                    <m:sub>
                                      <m:r>
                                        <m:rPr>
                                          <m:sty m:val="p"/>
                                        </m:rPr>
                                        <w:rPr>
                                          <w:rFonts w:ascii="Cambria Math" w:eastAsia="Times New Roman" w:hAnsi="Cambria Math" w:cs="Arial"/>
                                          <w:sz w:val="16"/>
                                          <w:szCs w:val="16"/>
                                        </w:rPr>
                                        <m:t>symb</m:t>
                                      </m:r>
                                      <m:ctrlPr>
                                        <w:rPr>
                                          <w:rFonts w:ascii="Cambria Math" w:eastAsia="Times New Roman" w:hAnsi="Cambria Math" w:cs="Arial"/>
                                          <w:iCs/>
                                          <w:sz w:val="16"/>
                                          <w:szCs w:val="16"/>
                                        </w:rPr>
                                      </m:ctrlPr>
                                    </m:sub>
                                    <m:sup>
                                      <m:r>
                                        <m:rPr>
                                          <m:sty m:val="p"/>
                                        </m:rPr>
                                        <w:rPr>
                                          <w:rFonts w:ascii="Cambria Math" w:eastAsia="Times New Roman" w:hAnsi="Cambria Math" w:cs="Arial"/>
                                          <w:sz w:val="16"/>
                                          <w:szCs w:val="16"/>
                                        </w:rPr>
                                        <m:t>slot</m:t>
                                      </m:r>
                                    </m:sup>
                                  </m:sSubSup>
                                  <m:r>
                                    <m:rPr>
                                      <m:sty m:val="p"/>
                                    </m:rPr>
                                    <w:rPr>
                                      <w:rFonts w:ascii="Cambria Math" w:eastAsia="Times New Roman" w:hAnsi="Cambria Math" w:cs="Arial"/>
                                      <w:sz w:val="16"/>
                                      <w:szCs w:val="16"/>
                                    </w:rPr>
                                    <m:t>+</m:t>
                                  </m:r>
                                  <m:sSubSup>
                                    <m:sSubSupPr>
                                      <m:ctrlPr>
                                        <w:rPr>
                                          <w:rFonts w:ascii="Cambria Math" w:eastAsia="Times New Roman" w:hAnsi="Cambria Math" w:cs="Arial"/>
                                          <w:sz w:val="16"/>
                                          <w:szCs w:val="16"/>
                                        </w:rPr>
                                      </m:ctrlPr>
                                    </m:sSubSupPr>
                                    <m:e>
                                      <m:r>
                                        <w:rPr>
                                          <w:rFonts w:ascii="Cambria Math" w:eastAsia="Times New Roman" w:hAnsi="Cambria Math" w:cs="Arial"/>
                                          <w:sz w:val="16"/>
                                          <w:szCs w:val="16"/>
                                        </w:rPr>
                                        <m:t>n</m:t>
                                      </m:r>
                                    </m:e>
                                    <m:sub>
                                      <m:r>
                                        <m:rPr>
                                          <m:sty m:val="p"/>
                                        </m:rPr>
                                        <w:rPr>
                                          <w:rFonts w:ascii="Cambria Math" w:eastAsia="Times New Roman" w:hAnsi="Cambria Math" w:cs="Arial"/>
                                          <w:sz w:val="16"/>
                                          <w:szCs w:val="16"/>
                                        </w:rPr>
                                        <m:t>s,f</m:t>
                                      </m:r>
                                      <m:ctrlPr>
                                        <w:rPr>
                                          <w:rFonts w:ascii="Cambria Math" w:eastAsia="Times New Roman" w:hAnsi="Cambria Math" w:cs="Arial"/>
                                          <w:iCs/>
                                          <w:sz w:val="16"/>
                                          <w:szCs w:val="16"/>
                                        </w:rPr>
                                      </m:ctrlPr>
                                    </m:sub>
                                    <m:sup>
                                      <m:r>
                                        <w:rPr>
                                          <w:rFonts w:ascii="Cambria Math" w:eastAsia="Times New Roman" w:hAnsi="Cambria Math" w:cs="Arial"/>
                                          <w:sz w:val="16"/>
                                          <w:szCs w:val="16"/>
                                        </w:rPr>
                                        <m:t>μ</m:t>
                                      </m:r>
                                    </m:sup>
                                  </m:sSubSup>
                                  <m:sSubSup>
                                    <m:sSubSupPr>
                                      <m:ctrlPr>
                                        <w:rPr>
                                          <w:rFonts w:ascii="Cambria Math" w:eastAsia="Times New Roman" w:hAnsi="Cambria Math" w:cs="Arial"/>
                                          <w:sz w:val="16"/>
                                          <w:szCs w:val="16"/>
                                        </w:rPr>
                                      </m:ctrlPr>
                                    </m:sSubSupPr>
                                    <m:e>
                                      <m:r>
                                        <w:rPr>
                                          <w:rFonts w:ascii="Cambria Math" w:eastAsia="Times New Roman" w:hAnsi="Cambria Math" w:cs="Arial"/>
                                          <w:sz w:val="16"/>
                                          <w:szCs w:val="16"/>
                                        </w:rPr>
                                        <m:t>N</m:t>
                                      </m:r>
                                    </m:e>
                                    <m:sub>
                                      <m:r>
                                        <m:rPr>
                                          <m:sty m:val="p"/>
                                        </m:rPr>
                                        <w:rPr>
                                          <w:rFonts w:ascii="Cambria Math" w:eastAsia="Times New Roman" w:hAnsi="Cambria Math" w:cs="Arial"/>
                                          <w:sz w:val="16"/>
                                          <w:szCs w:val="16"/>
                                        </w:rPr>
                                        <m:t>symb</m:t>
                                      </m:r>
                                      <m:ctrlPr>
                                        <w:rPr>
                                          <w:rFonts w:ascii="Cambria Math" w:eastAsia="Times New Roman" w:hAnsi="Cambria Math" w:cs="Arial"/>
                                          <w:iCs/>
                                          <w:sz w:val="16"/>
                                          <w:szCs w:val="16"/>
                                        </w:rPr>
                                      </m:ctrlPr>
                                    </m:sub>
                                    <m:sup>
                                      <m:r>
                                        <m:rPr>
                                          <m:sty m:val="p"/>
                                        </m:rPr>
                                        <w:rPr>
                                          <w:rFonts w:ascii="Cambria Math" w:eastAsia="Times New Roman" w:hAnsi="Cambria Math" w:cs="Arial"/>
                                          <w:sz w:val="16"/>
                                          <w:szCs w:val="16"/>
                                        </w:rPr>
                                        <m:t>slot</m:t>
                                      </m:r>
                                    </m:sup>
                                  </m:sSubSup>
                                  <m:r>
                                    <m:rPr>
                                      <m:sty m:val="p"/>
                                    </m:rPr>
                                    <w:rPr>
                                      <w:rFonts w:ascii="Cambria Math" w:eastAsia="Times New Roman" w:hAnsi="Cambria Math" w:cs="Arial"/>
                                      <w:sz w:val="16"/>
                                      <w:szCs w:val="16"/>
                                    </w:rPr>
                                    <m:t>+</m:t>
                                  </m:r>
                                  <m:sSub>
                                    <m:sSubPr>
                                      <m:ctrlPr>
                                        <w:rPr>
                                          <w:rFonts w:ascii="Cambria Math" w:eastAsia="Times New Roman" w:hAnsi="Cambria Math" w:cs="Arial"/>
                                          <w:sz w:val="16"/>
                                          <w:szCs w:val="16"/>
                                        </w:rPr>
                                      </m:ctrlPr>
                                    </m:sSubPr>
                                    <m:e>
                                      <m:r>
                                        <w:rPr>
                                          <w:rFonts w:ascii="Cambria Math" w:eastAsia="Times New Roman" w:hAnsi="Cambria Math" w:cs="Arial"/>
                                          <w:sz w:val="16"/>
                                          <w:szCs w:val="16"/>
                                        </w:rPr>
                                        <m:t>l</m:t>
                                      </m:r>
                                    </m:e>
                                    <m:sub>
                                      <m:r>
                                        <m:rPr>
                                          <m:sty m:val="p"/>
                                        </m:rPr>
                                        <w:rPr>
                                          <w:rFonts w:ascii="Cambria Math" w:eastAsia="Times New Roman" w:hAnsi="Cambria Math" w:cs="Arial"/>
                                          <w:sz w:val="16"/>
                                          <w:szCs w:val="16"/>
                                        </w:rPr>
                                        <m:t>0</m:t>
                                      </m:r>
                                    </m:sub>
                                  </m:sSub>
                                  <m:r>
                                    <m:rPr>
                                      <m:sty m:val="p"/>
                                    </m:rPr>
                                    <w:rPr>
                                      <w:rFonts w:ascii="Cambria Math" w:eastAsia="Times New Roman" w:hAnsi="Cambria Math" w:cs="Arial"/>
                                      <w:sz w:val="16"/>
                                      <w:szCs w:val="16"/>
                                    </w:rPr>
                                    <m:t>+</m:t>
                                  </m:r>
                                  <m:r>
                                    <w:rPr>
                                      <w:rFonts w:ascii="Cambria Math" w:eastAsia="Times New Roman" w:hAnsi="Cambria Math" w:cs="Arial"/>
                                      <w:sz w:val="16"/>
                                      <w:szCs w:val="16"/>
                                    </w:rPr>
                                    <m:t>l</m:t>
                                  </m:r>
                                  <m:r>
                                    <m:rPr>
                                      <m:sty m:val="p"/>
                                    </m:rPr>
                                    <w:rPr>
                                      <w:rFonts w:ascii="Cambria Math" w:eastAsia="Times New Roman" w:hAnsi="Cambria Math" w:cs="Arial"/>
                                      <w:sz w:val="16"/>
                                      <w:szCs w:val="16"/>
                                    </w:rPr>
                                    <m:t>''</m:t>
                                  </m:r>
                                </m:e>
                              </m:d>
                              <m:r>
                                <m:rPr>
                                  <m:sty m:val="p"/>
                                </m:rPr>
                                <w:rPr>
                                  <w:rFonts w:ascii="Cambria Math" w:eastAsia="Times New Roman" w:hAnsi="Cambria Math" w:cs="Arial"/>
                                  <w:sz w:val="16"/>
                                  <w:szCs w:val="16"/>
                                </w:rPr>
                                <m:t>+</m:t>
                              </m:r>
                              <m:r>
                                <w:rPr>
                                  <w:rFonts w:ascii="Cambria Math" w:eastAsia="Times New Roman" w:hAnsi="Cambria Math" w:cs="Arial"/>
                                  <w:sz w:val="16"/>
                                  <w:szCs w:val="16"/>
                                </w:rPr>
                                <m:t>m</m:t>
                              </m:r>
                            </m:e>
                          </m:d>
                          <m:sSup>
                            <m:sSupPr>
                              <m:ctrlPr>
                                <w:rPr>
                                  <w:rFonts w:ascii="Cambria Math" w:eastAsia="Times New Roman" w:hAnsi="Cambria Math" w:cs="Arial"/>
                                  <w:sz w:val="16"/>
                                  <w:szCs w:val="16"/>
                                </w:rPr>
                              </m:ctrlPr>
                            </m:sSupPr>
                            <m:e>
                              <m:r>
                                <m:rPr>
                                  <m:sty m:val="p"/>
                                </m:rPr>
                                <w:rPr>
                                  <w:rFonts w:ascii="Cambria Math" w:eastAsia="Times New Roman" w:hAnsi="Cambria Math" w:cs="Arial"/>
                                  <w:sz w:val="16"/>
                                  <w:szCs w:val="16"/>
                                </w:rPr>
                                <m:t>2</m:t>
                              </m:r>
                            </m:e>
                            <m:sup>
                              <m:r>
                                <w:rPr>
                                  <w:rFonts w:ascii="Cambria Math" w:eastAsia="Times New Roman" w:hAnsi="Cambria Math" w:cs="Arial"/>
                                  <w:sz w:val="16"/>
                                  <w:szCs w:val="16"/>
                                </w:rPr>
                                <m:t>m</m:t>
                              </m:r>
                            </m:sup>
                          </m:sSup>
                        </m:e>
                      </m:d>
                    </m:e>
                  </m:nary>
                </m:e>
              </m:d>
              <m:r>
                <m:rPr>
                  <m:sty m:val="p"/>
                </m:rPr>
                <w:rPr>
                  <w:rFonts w:ascii="Cambria Math" w:eastAsia="Times New Roman" w:hAnsi="Cambria Math" w:cs="Arial"/>
                  <w:sz w:val="16"/>
                  <w:szCs w:val="16"/>
                </w:rPr>
                <m:t xml:space="preserve">mod </m:t>
              </m:r>
              <m:sSubSup>
                <m:sSubSupPr>
                  <m:ctrlPr>
                    <w:rPr>
                      <w:rFonts w:ascii="Cambria Math" w:eastAsia="Times New Roman" w:hAnsi="Cambria Math" w:cs="Arial"/>
                      <w:sz w:val="16"/>
                      <w:szCs w:val="16"/>
                    </w:rPr>
                  </m:ctrlPr>
                </m:sSubSupPr>
                <m:e>
                  <m:r>
                    <w:rPr>
                      <w:rFonts w:ascii="Cambria Math" w:eastAsia="Times New Roman" w:hAnsi="Cambria Math" w:cs="Arial"/>
                      <w:sz w:val="16"/>
                      <w:szCs w:val="16"/>
                    </w:rPr>
                    <m:t>n</m:t>
                  </m:r>
                </m:e>
                <m:sub>
                  <m:r>
                    <m:rPr>
                      <m:sty m:val="p"/>
                    </m:rPr>
                    <w:rPr>
                      <w:rFonts w:ascii="Cambria Math" w:eastAsia="Times New Roman" w:hAnsi="Cambria Math" w:cs="Arial"/>
                      <w:sz w:val="16"/>
                      <w:szCs w:val="16"/>
                    </w:rPr>
                    <m:t>coh</m:t>
                  </m:r>
                  <m:ctrlPr>
                    <w:rPr>
                      <w:rFonts w:ascii="Cambria Math" w:eastAsia="Times New Roman" w:hAnsi="Cambria Math" w:cs="Arial"/>
                      <w:iCs/>
                      <w:sz w:val="16"/>
                      <w:szCs w:val="16"/>
                    </w:rPr>
                  </m:ctrlPr>
                </m:sub>
                <m:sup>
                  <m:r>
                    <m:rPr>
                      <m:sty m:val="p"/>
                    </m:rPr>
                    <w:rPr>
                      <w:rFonts w:ascii="Cambria Math" w:eastAsia="Times New Roman" w:hAnsi="Cambria Math" w:cs="Arial"/>
                      <w:sz w:val="16"/>
                      <w:szCs w:val="16"/>
                    </w:rPr>
                    <m:t>SRS</m:t>
                  </m:r>
                </m:sup>
              </m:sSubSup>
            </m:e>
          </m:d>
        </m:oMath>
      </m:oMathPara>
    </w:p>
    <w:p w14:paraId="5B63628C" w14:textId="77777777" w:rsidR="00F91255" w:rsidRPr="00E16237" w:rsidRDefault="00F91255" w:rsidP="00F91255">
      <w:pPr>
        <w:ind w:left="425"/>
        <w:jc w:val="center"/>
        <w:rPr>
          <w:rFonts w:ascii="Arial" w:eastAsia="Malgun Gothic" w:hAnsi="Arial" w:cs="Arial"/>
          <w:color w:val="FF0000"/>
          <w:kern w:val="2"/>
          <w:sz w:val="16"/>
          <w:szCs w:val="16"/>
        </w:rPr>
      </w:pPr>
      <w:r w:rsidRPr="00F91255">
        <w:rPr>
          <w:rFonts w:ascii="Arial" w:eastAsia="Malgun Gothic" w:hAnsi="Arial" w:cs="Arial"/>
          <w:color w:val="FF0000"/>
          <w:kern w:val="2"/>
          <w:sz w:val="16"/>
          <w:szCs w:val="16"/>
        </w:rPr>
        <w:t>&lt;</w:t>
      </w:r>
      <w:r w:rsidRPr="00F91255">
        <w:rPr>
          <w:rFonts w:ascii="Arial" w:hAnsi="Arial" w:cs="Arial"/>
          <w:iCs/>
          <w:color w:val="FF0000"/>
          <w:sz w:val="16"/>
          <w:szCs w:val="16"/>
        </w:rPr>
        <w:t xml:space="preserve"> Unchanged text is </w:t>
      </w:r>
      <w:r w:rsidRPr="00F91255">
        <w:rPr>
          <w:rFonts w:ascii="Arial" w:eastAsia="Malgun Gothic" w:hAnsi="Arial" w:cs="Arial"/>
          <w:color w:val="FF0000"/>
          <w:kern w:val="2"/>
          <w:sz w:val="16"/>
          <w:szCs w:val="16"/>
        </w:rPr>
        <w:t>omitted&gt;</w:t>
      </w:r>
    </w:p>
    <w:p w14:paraId="6F395FE6" w14:textId="77777777" w:rsidR="0064377E" w:rsidRPr="0064377E" w:rsidRDefault="0064377E" w:rsidP="0064377E">
      <w:pPr>
        <w:rPr>
          <w:color w:val="FF0000"/>
        </w:rPr>
      </w:pPr>
      <w:r w:rsidRPr="0064377E">
        <w:rPr>
          <w:color w:val="FF0000"/>
        </w:rPr>
        <w:t xml:space="preserve">--------- </w:t>
      </w:r>
      <w:r>
        <w:rPr>
          <w:color w:val="FF0000"/>
        </w:rPr>
        <w:t>End</w:t>
      </w:r>
      <w:r w:rsidRPr="0064377E">
        <w:rPr>
          <w:color w:val="FF0000"/>
        </w:rPr>
        <w:t xml:space="preserve"> of TP ---------</w:t>
      </w:r>
    </w:p>
    <w:p w14:paraId="0EC87931" w14:textId="77777777" w:rsidR="00F91255" w:rsidRPr="00F91255" w:rsidRDefault="00F91255" w:rsidP="00AA1D48">
      <w:pPr>
        <w:pStyle w:val="ListParagraph"/>
        <w:numPr>
          <w:ilvl w:val="0"/>
          <w:numId w:val="107"/>
        </w:numPr>
      </w:pPr>
      <w:r w:rsidRPr="00F91255">
        <w:t>Additional information</w:t>
      </w:r>
    </w:p>
    <w:p w14:paraId="3BDE0898" w14:textId="77777777" w:rsidR="00F91255" w:rsidRPr="00F91255" w:rsidRDefault="00F91255" w:rsidP="00AA1D48">
      <w:pPr>
        <w:pStyle w:val="ListParagraph"/>
        <w:numPr>
          <w:ilvl w:val="1"/>
          <w:numId w:val="107"/>
        </w:numPr>
      </w:pPr>
      <w:r w:rsidRPr="00F91255">
        <w:t>Reason for change: Symbol indexing notation not updated in some places.</w:t>
      </w:r>
    </w:p>
    <w:p w14:paraId="4FFC871C" w14:textId="6D9CF32A" w:rsidR="00F91255" w:rsidRPr="00F91255" w:rsidRDefault="00F91255" w:rsidP="00AA1D48">
      <w:pPr>
        <w:pStyle w:val="ListParagraph"/>
        <w:numPr>
          <w:ilvl w:val="1"/>
          <w:numId w:val="107"/>
        </w:numPr>
      </w:pPr>
      <w:r w:rsidRPr="00F91255">
        <w:t xml:space="preserve">Summary for change: Update the indexing from </w:t>
      </w:r>
      <m:oMath>
        <m:sSub>
          <m:sSubPr>
            <m:ctrlPr>
              <w:rPr>
                <w:rFonts w:ascii="Cambria Math" w:eastAsia="Times New Roman" w:hAnsi="Cambria Math"/>
              </w:rPr>
            </m:ctrlPr>
          </m:sSubPr>
          <m:e>
            <m:r>
              <w:rPr>
                <w:rFonts w:ascii="Cambria Math" w:eastAsia="Times New Roman" w:hAnsi="Cambria Math"/>
              </w:rPr>
              <m:t>f</m:t>
            </m:r>
          </m:e>
          <m:sub>
            <m:r>
              <m:rPr>
                <m:sty m:val="p"/>
              </m:rPr>
              <w:rPr>
                <w:rFonts w:ascii="Cambria Math" w:eastAsia="Times New Roman" w:hAnsi="Cambria Math"/>
              </w:rPr>
              <m:t>coh</m:t>
            </m:r>
          </m:sub>
        </m:sSub>
        <m:d>
          <m:dPr>
            <m:ctrlPr>
              <w:rPr>
                <w:rFonts w:ascii="Cambria Math" w:eastAsia="Times New Roman" w:hAnsi="Cambria Math"/>
              </w:rPr>
            </m:ctrlPr>
          </m:dPr>
          <m:e>
            <m:sSub>
              <m:sSubPr>
                <m:ctrlPr>
                  <w:rPr>
                    <w:rFonts w:ascii="Cambria Math" w:eastAsia="Malgun Gothic" w:hAnsi="Cambria Math"/>
                  </w:rPr>
                </m:ctrlPr>
              </m:sSubPr>
              <m:e>
                <m:r>
                  <w:rPr>
                    <w:rFonts w:ascii="Cambria Math" w:eastAsia="Malgun Gothic" w:hAnsi="Cambria Math"/>
                  </w:rPr>
                  <m:t>n</m:t>
                </m:r>
              </m:e>
              <m:sub>
                <m:r>
                  <m:rPr>
                    <m:sty m:val="p"/>
                  </m:rPr>
                  <w:rPr>
                    <w:rFonts w:ascii="Cambria Math" w:eastAsia="Malgun Gothic" w:hAnsi="Cambria Math"/>
                  </w:rPr>
                  <m:t>f</m:t>
                </m:r>
              </m:sub>
            </m:sSub>
            <m:r>
              <m:rPr>
                <m:sty m:val="p"/>
              </m:rPr>
              <w:rPr>
                <w:rFonts w:ascii="Cambria Math" w:eastAsia="Malgun Gothic" w:hAnsi="Cambria Math"/>
              </w:rPr>
              <m:t xml:space="preserve">, </m:t>
            </m:r>
            <m:sSubSup>
              <m:sSubSupPr>
                <m:ctrlPr>
                  <w:rPr>
                    <w:rFonts w:ascii="Cambria Math" w:eastAsia="Malgun Gothic" w:hAnsi="Cambria Math"/>
                  </w:rPr>
                </m:ctrlPr>
              </m:sSubSupPr>
              <m:e>
                <m:r>
                  <w:rPr>
                    <w:rFonts w:ascii="Cambria Math" w:eastAsia="Malgun Gothic" w:hAnsi="Cambria Math"/>
                  </w:rPr>
                  <m:t>n</m:t>
                </m:r>
              </m:e>
              <m:sub>
                <m:r>
                  <m:rPr>
                    <m:nor/>
                  </m:rPr>
                  <w:rPr>
                    <w:rFonts w:eastAsia="Malgun Gothic"/>
                  </w:rPr>
                  <m:t>s,f</m:t>
                </m:r>
              </m:sub>
              <m:sup>
                <m:r>
                  <w:rPr>
                    <w:rFonts w:ascii="Cambria Math" w:eastAsia="Malgun Gothic" w:hAnsi="Cambria Math"/>
                  </w:rPr>
                  <m:t>μ</m:t>
                </m:r>
              </m:sup>
            </m:sSubSup>
            <m:r>
              <m:rPr>
                <m:sty m:val="p"/>
              </m:rPr>
              <w:rPr>
                <w:rFonts w:ascii="Cambria Math" w:eastAsia="Malgun Gothic" w:hAnsi="Cambria Math"/>
              </w:rPr>
              <m:t>,</m:t>
            </m:r>
            <m:sSup>
              <m:sSupPr>
                <m:ctrlPr>
                  <w:rPr>
                    <w:rFonts w:ascii="Cambria Math" w:eastAsia="Malgun Gothic" w:hAnsi="Cambria Math"/>
                  </w:rPr>
                </m:ctrlPr>
              </m:sSupPr>
              <m:e>
                <m:r>
                  <w:rPr>
                    <w:rFonts w:ascii="Cambria Math" w:eastAsia="Malgun Gothic" w:hAnsi="Cambria Math"/>
                  </w:rPr>
                  <m:t>l</m:t>
                </m:r>
              </m:e>
              <m:sup>
                <m:r>
                  <m:rPr>
                    <m:sty m:val="p"/>
                  </m:rPr>
                  <w:rPr>
                    <w:rFonts w:ascii="Cambria Math" w:eastAsia="Malgun Gothic" w:hAnsi="Cambria Math"/>
                    <w:color w:val="FF0000"/>
                  </w:rPr>
                  <m:t>'</m:t>
                </m:r>
              </m:sup>
            </m:sSup>
          </m:e>
        </m:d>
      </m:oMath>
      <w:r w:rsidRPr="00F91255">
        <w:t xml:space="preserve"> to </w:t>
      </w:r>
      <m:oMath>
        <m:sSub>
          <m:sSubPr>
            <m:ctrlPr>
              <w:rPr>
                <w:rFonts w:ascii="Cambria Math" w:eastAsia="Times New Roman" w:hAnsi="Cambria Math"/>
              </w:rPr>
            </m:ctrlPr>
          </m:sSubPr>
          <m:e>
            <m:r>
              <w:rPr>
                <w:rFonts w:ascii="Cambria Math" w:eastAsia="Times New Roman" w:hAnsi="Cambria Math"/>
              </w:rPr>
              <m:t>f</m:t>
            </m:r>
          </m:e>
          <m:sub>
            <m:r>
              <m:rPr>
                <m:sty m:val="p"/>
              </m:rPr>
              <w:rPr>
                <w:rFonts w:ascii="Cambria Math" w:eastAsia="Times New Roman" w:hAnsi="Cambria Math"/>
              </w:rPr>
              <m:t>coh</m:t>
            </m:r>
          </m:sub>
        </m:sSub>
        <m:d>
          <m:dPr>
            <m:ctrlPr>
              <w:rPr>
                <w:rFonts w:ascii="Cambria Math" w:eastAsia="Times New Roman" w:hAnsi="Cambria Math"/>
              </w:rPr>
            </m:ctrlPr>
          </m:dPr>
          <m:e>
            <m:sSub>
              <m:sSubPr>
                <m:ctrlPr>
                  <w:rPr>
                    <w:rFonts w:ascii="Cambria Math" w:eastAsia="Malgun Gothic" w:hAnsi="Cambria Math"/>
                  </w:rPr>
                </m:ctrlPr>
              </m:sSubPr>
              <m:e>
                <m:r>
                  <w:rPr>
                    <w:rFonts w:ascii="Cambria Math" w:eastAsia="Malgun Gothic" w:hAnsi="Cambria Math"/>
                  </w:rPr>
                  <m:t>n</m:t>
                </m:r>
              </m:e>
              <m:sub>
                <m:r>
                  <m:rPr>
                    <m:sty m:val="p"/>
                  </m:rPr>
                  <w:rPr>
                    <w:rFonts w:ascii="Cambria Math" w:eastAsia="Malgun Gothic" w:hAnsi="Cambria Math"/>
                  </w:rPr>
                  <m:t>f</m:t>
                </m:r>
              </m:sub>
            </m:sSub>
            <m:r>
              <m:rPr>
                <m:sty m:val="p"/>
              </m:rPr>
              <w:rPr>
                <w:rFonts w:ascii="Cambria Math" w:eastAsia="Malgun Gothic" w:hAnsi="Cambria Math"/>
              </w:rPr>
              <m:t xml:space="preserve">, </m:t>
            </m:r>
            <m:sSubSup>
              <m:sSubSupPr>
                <m:ctrlPr>
                  <w:rPr>
                    <w:rFonts w:ascii="Cambria Math" w:eastAsia="Malgun Gothic" w:hAnsi="Cambria Math"/>
                  </w:rPr>
                </m:ctrlPr>
              </m:sSubSupPr>
              <m:e>
                <m:r>
                  <w:rPr>
                    <w:rFonts w:ascii="Cambria Math" w:eastAsia="Malgun Gothic" w:hAnsi="Cambria Math"/>
                  </w:rPr>
                  <m:t>n</m:t>
                </m:r>
              </m:e>
              <m:sub>
                <m:r>
                  <m:rPr>
                    <m:nor/>
                  </m:rPr>
                  <w:rPr>
                    <w:rFonts w:eastAsia="Malgun Gothic"/>
                  </w:rPr>
                  <m:t>s,f</m:t>
                </m:r>
              </m:sub>
              <m:sup>
                <m:r>
                  <w:rPr>
                    <w:rFonts w:ascii="Cambria Math" w:eastAsia="Malgun Gothic" w:hAnsi="Cambria Math"/>
                  </w:rPr>
                  <m:t>μ</m:t>
                </m:r>
              </m:sup>
            </m:sSubSup>
            <m:r>
              <m:rPr>
                <m:sty m:val="p"/>
              </m:rPr>
              <w:rPr>
                <w:rFonts w:ascii="Cambria Math" w:eastAsia="Malgun Gothic" w:hAnsi="Cambria Math"/>
              </w:rPr>
              <m:t>,</m:t>
            </m:r>
            <m:sSup>
              <m:sSupPr>
                <m:ctrlPr>
                  <w:rPr>
                    <w:rFonts w:ascii="Cambria Math" w:eastAsia="Malgun Gothic" w:hAnsi="Cambria Math"/>
                  </w:rPr>
                </m:ctrlPr>
              </m:sSupPr>
              <m:e>
                <m:r>
                  <w:rPr>
                    <w:rFonts w:ascii="Cambria Math" w:eastAsia="Malgun Gothic" w:hAnsi="Cambria Math"/>
                  </w:rPr>
                  <m:t>l</m:t>
                </m:r>
              </m:e>
              <m:sup>
                <m:r>
                  <m:rPr>
                    <m:sty m:val="p"/>
                  </m:rPr>
                  <w:rPr>
                    <w:rFonts w:ascii="Cambria Math" w:eastAsia="Malgun Gothic" w:hAnsi="Cambria Math"/>
                    <w:color w:val="FF0000"/>
                  </w:rPr>
                  <m:t>''</m:t>
                </m:r>
              </m:sup>
            </m:sSup>
          </m:e>
        </m:d>
      </m:oMath>
      <w:r w:rsidRPr="00F91255">
        <w:t>.</w:t>
      </w:r>
    </w:p>
    <w:p w14:paraId="25D8197C" w14:textId="77777777" w:rsidR="00F91255" w:rsidRPr="00F91255" w:rsidRDefault="00F91255" w:rsidP="00AA1D48">
      <w:pPr>
        <w:pStyle w:val="ListParagraph"/>
        <w:numPr>
          <w:ilvl w:val="1"/>
          <w:numId w:val="107"/>
        </w:numPr>
      </w:pPr>
      <w:r w:rsidRPr="00F91255">
        <w:t>Consequences if not approved: Incorrect specification for comb offset hopping equation.</w:t>
      </w:r>
    </w:p>
    <w:p w14:paraId="6E567B7E" w14:textId="77777777" w:rsidR="00F91255" w:rsidRPr="00F91255" w:rsidRDefault="00F91255" w:rsidP="00AA1D48">
      <w:pPr>
        <w:pStyle w:val="ListParagraph"/>
        <w:numPr>
          <w:ilvl w:val="1"/>
          <w:numId w:val="107"/>
        </w:numPr>
      </w:pPr>
      <w:r w:rsidRPr="00F91255">
        <w:t>TP is for TS38.211 v18.0.0.</w:t>
      </w:r>
    </w:p>
    <w:p w14:paraId="6DAF5D7F" w14:textId="77777777" w:rsidR="00F91255" w:rsidRPr="00F91255" w:rsidRDefault="00F91255" w:rsidP="00F91255">
      <w:pPr>
        <w:rPr>
          <w:rFonts w:ascii="Times New Roman" w:hAnsi="Times New Roman"/>
          <w:szCs w:val="20"/>
          <w:lang w:eastAsia="x-none"/>
        </w:rPr>
      </w:pPr>
    </w:p>
    <w:p w14:paraId="3C0D4453" w14:textId="77777777" w:rsidR="0064377E" w:rsidRPr="009537ED" w:rsidRDefault="0064377E" w:rsidP="0064377E">
      <w:pPr>
        <w:rPr>
          <w:rFonts w:ascii="Times New Roman" w:hAnsi="Times New Roman"/>
          <w:szCs w:val="20"/>
          <w:highlight w:val="green"/>
          <w:lang w:eastAsia="zh-CN"/>
        </w:rPr>
      </w:pPr>
      <w:r>
        <w:rPr>
          <w:rFonts w:ascii="Times New Roman" w:hAnsi="Times New Roman"/>
          <w:szCs w:val="20"/>
          <w:highlight w:val="green"/>
          <w:lang w:eastAsia="zh-CN"/>
        </w:rPr>
        <w:t>Agreement</w:t>
      </w:r>
    </w:p>
    <w:p w14:paraId="3014EAA1" w14:textId="77777777" w:rsidR="00F91255" w:rsidRDefault="00F91255" w:rsidP="00F91255">
      <w:pPr>
        <w:contextualSpacing/>
        <w:rPr>
          <w:rFonts w:ascii="Times New Roman" w:hAnsi="Times New Roman"/>
          <w:bCs/>
          <w:szCs w:val="20"/>
        </w:rPr>
      </w:pPr>
      <w:r w:rsidRPr="00F91255">
        <w:rPr>
          <w:rFonts w:ascii="Times New Roman" w:eastAsia="Microsoft YaHei" w:hAnsi="Times New Roman"/>
          <w:bCs/>
          <w:szCs w:val="20"/>
        </w:rPr>
        <w:t>Adopt</w:t>
      </w:r>
      <w:r w:rsidRPr="00F91255">
        <w:rPr>
          <w:rFonts w:ascii="Times New Roman" w:hAnsi="Times New Roman"/>
          <w:bCs/>
          <w:szCs w:val="20"/>
        </w:rPr>
        <w:t xml:space="preserve"> the following text proposal for clause 6.4.1.4.3 in TS 38.211.</w:t>
      </w:r>
    </w:p>
    <w:p w14:paraId="3E80E5E5" w14:textId="77777777" w:rsidR="00145C84" w:rsidRPr="0064377E" w:rsidRDefault="00145C84" w:rsidP="00145C84">
      <w:pPr>
        <w:rPr>
          <w:color w:val="FF0000"/>
        </w:rPr>
      </w:pPr>
      <w:r w:rsidRPr="0064377E">
        <w:rPr>
          <w:color w:val="FF0000"/>
        </w:rPr>
        <w:t>--------- Start of TP ---------</w:t>
      </w:r>
    </w:p>
    <w:p w14:paraId="2D79DCDC" w14:textId="4295A6F8" w:rsidR="00F91255" w:rsidRPr="00145C84" w:rsidRDefault="00F91255" w:rsidP="00145C84">
      <w:pPr>
        <w:ind w:left="426"/>
        <w:rPr>
          <w:rFonts w:ascii="Arial" w:hAnsi="Arial" w:cs="Arial"/>
          <w:b/>
          <w:bCs/>
          <w:sz w:val="16"/>
          <w:szCs w:val="16"/>
        </w:rPr>
      </w:pPr>
      <w:r w:rsidRPr="00145C84">
        <w:rPr>
          <w:rFonts w:ascii="Arial" w:hAnsi="Arial" w:cs="Arial"/>
          <w:b/>
          <w:bCs/>
          <w:sz w:val="16"/>
          <w:szCs w:val="16"/>
        </w:rPr>
        <w:t>6.4.1.4.3</w:t>
      </w:r>
      <w:r w:rsidR="00145C84" w:rsidRPr="00F91255">
        <w:rPr>
          <w:rFonts w:ascii="Arial" w:eastAsia="MS Mincho" w:hAnsi="Arial" w:cs="Arial"/>
          <w:b/>
          <w:bCs/>
          <w:sz w:val="16"/>
          <w:szCs w:val="16"/>
        </w:rPr>
        <w:tab/>
      </w:r>
      <w:r w:rsidRPr="00145C84">
        <w:rPr>
          <w:rFonts w:ascii="Arial" w:hAnsi="Arial" w:cs="Arial"/>
          <w:b/>
          <w:bCs/>
          <w:sz w:val="16"/>
          <w:szCs w:val="16"/>
        </w:rPr>
        <w:t>Mapping to physical resources</w:t>
      </w:r>
    </w:p>
    <w:p w14:paraId="371AAA81" w14:textId="77777777" w:rsidR="00F91255" w:rsidRPr="00F91255" w:rsidRDefault="00F91255" w:rsidP="00F91255">
      <w:pPr>
        <w:jc w:val="center"/>
        <w:rPr>
          <w:rFonts w:ascii="Arial" w:hAnsi="Arial" w:cs="Arial"/>
          <w:color w:val="FF0000"/>
          <w:sz w:val="16"/>
          <w:szCs w:val="16"/>
        </w:rPr>
      </w:pPr>
      <w:r w:rsidRPr="00F91255">
        <w:rPr>
          <w:rFonts w:ascii="Arial" w:eastAsia="Malgun Gothic" w:hAnsi="Arial" w:cs="Arial"/>
          <w:color w:val="FF0000"/>
          <w:kern w:val="2"/>
          <w:sz w:val="16"/>
          <w:szCs w:val="16"/>
        </w:rPr>
        <w:t>&lt;</w:t>
      </w:r>
      <w:r w:rsidRPr="00F91255">
        <w:rPr>
          <w:rFonts w:ascii="Arial" w:hAnsi="Arial" w:cs="Arial"/>
          <w:iCs/>
          <w:color w:val="FF0000"/>
          <w:sz w:val="16"/>
          <w:szCs w:val="16"/>
        </w:rPr>
        <w:t xml:space="preserve"> Unchanged text is </w:t>
      </w:r>
      <w:r w:rsidRPr="00F91255">
        <w:rPr>
          <w:rFonts w:ascii="Arial" w:eastAsia="Malgun Gothic" w:hAnsi="Arial" w:cs="Arial"/>
          <w:color w:val="FF0000"/>
          <w:kern w:val="2"/>
          <w:sz w:val="16"/>
          <w:szCs w:val="16"/>
        </w:rPr>
        <w:t>omitted&gt;</w:t>
      </w:r>
    </w:p>
    <w:p w14:paraId="150BF4C0" w14:textId="68588FEB" w:rsidR="00F91255" w:rsidRPr="00F91255" w:rsidRDefault="00F91255" w:rsidP="00145C84">
      <w:pPr>
        <w:ind w:left="568"/>
        <w:rPr>
          <w:rFonts w:ascii="Arial" w:eastAsia="MS Mincho" w:hAnsi="Arial" w:cs="Arial"/>
          <w:sz w:val="16"/>
          <w:szCs w:val="16"/>
        </w:rPr>
      </w:pPr>
      <w:r w:rsidRPr="00F91255">
        <w:rPr>
          <w:rFonts w:ascii="Arial" w:eastAsia="MS Mincho" w:hAnsi="Arial" w:cs="Arial"/>
          <w:sz w:val="16"/>
          <w:szCs w:val="16"/>
        </w:rPr>
        <w:t xml:space="preserve">The pseudo-random sequence </w:t>
      </w:r>
      <m:oMath>
        <m:r>
          <w:rPr>
            <w:rFonts w:ascii="Cambria Math" w:hAnsi="Cambria Math" w:cs="Arial"/>
            <w:sz w:val="16"/>
            <w:szCs w:val="16"/>
          </w:rPr>
          <m:t>c</m:t>
        </m:r>
        <m:d>
          <m:dPr>
            <m:ctrlPr>
              <w:rPr>
                <w:rFonts w:ascii="Cambria Math" w:hAnsi="Cambria Math" w:cs="Arial"/>
                <w:i/>
                <w:sz w:val="16"/>
                <w:szCs w:val="16"/>
              </w:rPr>
            </m:ctrlPr>
          </m:dPr>
          <m:e>
            <m:r>
              <w:rPr>
                <w:rFonts w:ascii="Cambria Math" w:hAnsi="Cambria Math" w:cs="Arial"/>
                <w:sz w:val="16"/>
                <w:szCs w:val="16"/>
              </w:rPr>
              <m:t>i</m:t>
            </m:r>
          </m:e>
        </m:d>
      </m:oMath>
      <w:r w:rsidRPr="00F91255">
        <w:rPr>
          <w:rFonts w:ascii="Arial" w:eastAsia="MS Mincho" w:hAnsi="Arial" w:cs="Arial"/>
          <w:sz w:val="16"/>
          <w:szCs w:val="16"/>
        </w:rPr>
        <w:t xml:space="preserve"> is defined by clause 5.2.1 and shall be initialized with </w:t>
      </w:r>
      <m:oMath>
        <m:sSub>
          <m:sSubPr>
            <m:ctrlPr>
              <w:rPr>
                <w:rFonts w:ascii="Cambria Math" w:hAnsi="Cambria Math" w:cs="Arial"/>
                <w:i/>
                <w:sz w:val="16"/>
                <w:szCs w:val="16"/>
              </w:rPr>
            </m:ctrlPr>
          </m:sSubPr>
          <m:e>
            <m:r>
              <w:rPr>
                <w:rFonts w:ascii="Cambria Math" w:hAnsi="Cambria Math" w:cs="Arial"/>
                <w:sz w:val="16"/>
                <w:szCs w:val="16"/>
              </w:rPr>
              <m:t>c</m:t>
            </m:r>
          </m:e>
          <m:sub>
            <m:r>
              <m:rPr>
                <m:nor/>
              </m:rPr>
              <w:rPr>
                <w:rFonts w:ascii="Arial" w:hAnsi="Arial" w:cs="Arial"/>
                <w:sz w:val="16"/>
                <w:szCs w:val="16"/>
              </w:rPr>
              <m:t>init</m:t>
            </m:r>
          </m:sub>
        </m:sSub>
        <m:r>
          <w:rPr>
            <w:rFonts w:ascii="Cambria Math" w:hAnsi="Cambria Math" w:cs="Arial"/>
            <w:sz w:val="16"/>
            <w:szCs w:val="16"/>
          </w:rPr>
          <m:t>=</m:t>
        </m:r>
        <m:sSubSup>
          <m:sSubSupPr>
            <m:ctrlPr>
              <w:rPr>
                <w:rFonts w:ascii="Cambria Math" w:hAnsi="Cambria Math" w:cs="Arial"/>
                <w:i/>
                <w:sz w:val="16"/>
                <w:szCs w:val="16"/>
              </w:rPr>
            </m:ctrlPr>
          </m:sSubSupPr>
          <m:e>
            <m:r>
              <w:rPr>
                <w:rFonts w:ascii="Cambria Math" w:hAnsi="Cambria Math" w:cs="Arial"/>
                <w:sz w:val="16"/>
                <w:szCs w:val="16"/>
              </w:rPr>
              <m:t>n</m:t>
            </m:r>
          </m:e>
          <m:sub>
            <m:r>
              <m:rPr>
                <m:nor/>
              </m:rPr>
              <w:rPr>
                <w:rFonts w:ascii="Arial" w:hAnsi="Arial" w:cs="Arial"/>
                <w:sz w:val="16"/>
                <w:szCs w:val="16"/>
              </w:rPr>
              <m:t>ID</m:t>
            </m:r>
          </m:sub>
          <m:sup>
            <m:r>
              <m:rPr>
                <m:nor/>
              </m:rPr>
              <w:rPr>
                <w:rFonts w:ascii="Arial" w:hAnsi="Arial" w:cs="Arial"/>
                <w:sz w:val="16"/>
                <w:szCs w:val="16"/>
              </w:rPr>
              <m:t>hop</m:t>
            </m:r>
          </m:sup>
        </m:sSubSup>
      </m:oMath>
      <w:r w:rsidRPr="00F91255">
        <w:rPr>
          <w:rFonts w:ascii="Arial" w:eastAsia="MS Mincho" w:hAnsi="Arial" w:cs="Arial"/>
          <w:sz w:val="16"/>
          <w:szCs w:val="16"/>
        </w:rPr>
        <w:t xml:space="preserve"> at the beginning of each radio frame for which </w:t>
      </w:r>
      <m:oMath>
        <m:sSub>
          <m:sSubPr>
            <m:ctrlPr>
              <w:rPr>
                <w:rFonts w:ascii="Cambria Math" w:hAnsi="Cambria Math" w:cs="Arial"/>
                <w:i/>
                <w:sz w:val="16"/>
                <w:szCs w:val="16"/>
              </w:rPr>
            </m:ctrlPr>
          </m:sSubPr>
          <m:e>
            <m:r>
              <w:rPr>
                <w:rFonts w:ascii="Cambria Math" w:hAnsi="Cambria Math" w:cs="Arial"/>
                <w:sz w:val="16"/>
                <w:szCs w:val="16"/>
              </w:rPr>
              <m:t>n</m:t>
            </m:r>
          </m:e>
          <m:sub>
            <m:r>
              <m:rPr>
                <m:sty m:val="p"/>
              </m:rPr>
              <w:rPr>
                <w:rFonts w:ascii="Cambria Math" w:hAnsi="Cambria Math" w:cs="Arial"/>
                <w:sz w:val="16"/>
                <w:szCs w:val="16"/>
              </w:rPr>
              <m:t>f</m:t>
            </m:r>
          </m:sub>
        </m:sSub>
        <m:r>
          <m:rPr>
            <m:sty m:val="p"/>
          </m:rPr>
          <w:rPr>
            <w:rFonts w:ascii="Cambria Math" w:hAnsi="Cambria Math" w:cs="Arial"/>
            <w:sz w:val="16"/>
            <w:szCs w:val="16"/>
          </w:rPr>
          <m:t xml:space="preserve"> mod</m:t>
        </m:r>
        <m:r>
          <w:rPr>
            <w:rFonts w:ascii="Cambria Math" w:hAnsi="Cambria Math" w:cs="Arial"/>
            <w:sz w:val="16"/>
            <w:szCs w:val="16"/>
          </w:rPr>
          <m:t xml:space="preserve"> 128=0</m:t>
        </m:r>
      </m:oMath>
      <w:r w:rsidRPr="00F91255">
        <w:rPr>
          <w:rFonts w:ascii="Arial" w:eastAsia="MS Mincho" w:hAnsi="Arial" w:cs="Arial"/>
          <w:sz w:val="16"/>
          <w:szCs w:val="16"/>
        </w:rPr>
        <w:t xml:space="preserve">, where </w:t>
      </w:r>
      <w:r w:rsidRPr="00F91255">
        <w:rPr>
          <w:rFonts w:ascii="Arial" w:eastAsia="Malgun Gothic" w:hAnsi="Arial" w:cs="Arial"/>
          <w:sz w:val="16"/>
          <w:szCs w:val="16"/>
        </w:rPr>
        <w:t xml:space="preserve">the comb </w:t>
      </w:r>
      <w:ins w:id="204" w:author="Author" w:date="2023-11-01T15:43:00Z">
        <w:r w:rsidRPr="00F91255">
          <w:rPr>
            <w:rFonts w:ascii="Arial" w:eastAsia="Malgun Gothic" w:hAnsi="Arial" w:cs="Arial"/>
            <w:sz w:val="16"/>
            <w:szCs w:val="16"/>
          </w:rPr>
          <w:t xml:space="preserve">offset </w:t>
        </w:r>
      </w:ins>
      <w:r w:rsidRPr="00F91255">
        <w:rPr>
          <w:rFonts w:ascii="Arial" w:eastAsia="Malgun Gothic" w:hAnsi="Arial" w:cs="Arial"/>
          <w:sz w:val="16"/>
          <w:szCs w:val="16"/>
        </w:rPr>
        <w:t xml:space="preserve">hopping identity </w:t>
      </w:r>
      <m:oMath>
        <m:sSubSup>
          <m:sSubSupPr>
            <m:ctrlPr>
              <w:rPr>
                <w:rFonts w:ascii="Cambria Math" w:eastAsia="Malgun Gothic" w:hAnsi="Cambria Math" w:cs="Arial"/>
                <w:sz w:val="16"/>
                <w:szCs w:val="16"/>
              </w:rPr>
            </m:ctrlPr>
          </m:sSubSupPr>
          <m:e>
            <m:r>
              <w:rPr>
                <w:rFonts w:ascii="Cambria Math" w:eastAsia="Malgun Gothic" w:hAnsi="Cambria Math" w:cs="Arial"/>
                <w:sz w:val="16"/>
                <w:szCs w:val="16"/>
              </w:rPr>
              <m:t>n</m:t>
            </m:r>
          </m:e>
          <m:sub>
            <m:r>
              <m:rPr>
                <m:nor/>
              </m:rPr>
              <w:rPr>
                <w:rFonts w:ascii="Arial" w:eastAsia="Malgun Gothic" w:hAnsi="Arial" w:cs="Arial"/>
                <w:sz w:val="16"/>
                <w:szCs w:val="16"/>
              </w:rPr>
              <m:t>ID</m:t>
            </m:r>
          </m:sub>
          <m:sup>
            <m:r>
              <m:rPr>
                <m:nor/>
              </m:rPr>
              <w:rPr>
                <w:rFonts w:ascii="Arial" w:eastAsia="Malgun Gothic" w:hAnsi="Arial" w:cs="Arial"/>
                <w:sz w:val="16"/>
                <w:szCs w:val="16"/>
              </w:rPr>
              <m:t>hop</m:t>
            </m:r>
          </m:sup>
        </m:sSubSup>
      </m:oMath>
      <w:r w:rsidRPr="00F91255">
        <w:rPr>
          <w:rFonts w:ascii="Arial" w:eastAsia="Malgun Gothic" w:hAnsi="Arial" w:cs="Arial"/>
          <w:sz w:val="16"/>
          <w:szCs w:val="16"/>
        </w:rPr>
        <w:t xml:space="preserve"> is contained in the higher-layer parameter </w:t>
      </w:r>
      <w:r w:rsidRPr="00F91255">
        <w:rPr>
          <w:rFonts w:ascii="Arial" w:eastAsia="MS Mincho" w:hAnsi="Arial" w:cs="Arial"/>
          <w:i/>
          <w:sz w:val="16"/>
          <w:szCs w:val="16"/>
        </w:rPr>
        <w:t>combOffsetHopping</w:t>
      </w:r>
      <w:r w:rsidRPr="00F91255">
        <w:rPr>
          <w:rFonts w:ascii="Arial" w:eastAsia="MS Mincho" w:hAnsi="Arial" w:cs="Arial"/>
          <w:sz w:val="16"/>
          <w:szCs w:val="16"/>
        </w:rPr>
        <w:t>.</w:t>
      </w:r>
    </w:p>
    <w:p w14:paraId="06B93415" w14:textId="77777777" w:rsidR="00F91255" w:rsidRPr="00145C84" w:rsidRDefault="00F91255" w:rsidP="00F91255">
      <w:pPr>
        <w:jc w:val="center"/>
        <w:rPr>
          <w:rFonts w:ascii="Arial" w:eastAsia="Malgun Gothic" w:hAnsi="Arial" w:cs="Arial"/>
          <w:color w:val="FF0000"/>
          <w:kern w:val="2"/>
          <w:sz w:val="16"/>
          <w:szCs w:val="16"/>
        </w:rPr>
      </w:pPr>
      <w:r w:rsidRPr="00F91255">
        <w:rPr>
          <w:rFonts w:ascii="Arial" w:eastAsia="Malgun Gothic" w:hAnsi="Arial" w:cs="Arial"/>
          <w:color w:val="FF0000"/>
          <w:kern w:val="2"/>
          <w:sz w:val="16"/>
          <w:szCs w:val="16"/>
        </w:rPr>
        <w:t>&lt;</w:t>
      </w:r>
      <w:r w:rsidRPr="00F91255">
        <w:rPr>
          <w:rFonts w:ascii="Arial" w:hAnsi="Arial" w:cs="Arial"/>
          <w:iCs/>
          <w:color w:val="FF0000"/>
          <w:sz w:val="16"/>
          <w:szCs w:val="16"/>
        </w:rPr>
        <w:t xml:space="preserve"> Unchanged text is </w:t>
      </w:r>
      <w:r w:rsidRPr="00F91255">
        <w:rPr>
          <w:rFonts w:ascii="Arial" w:eastAsia="Malgun Gothic" w:hAnsi="Arial" w:cs="Arial"/>
          <w:color w:val="FF0000"/>
          <w:kern w:val="2"/>
          <w:sz w:val="16"/>
          <w:szCs w:val="16"/>
        </w:rPr>
        <w:t>omitted&gt;</w:t>
      </w:r>
    </w:p>
    <w:p w14:paraId="017ADF78" w14:textId="77777777" w:rsidR="00145C84" w:rsidRPr="0064377E" w:rsidRDefault="00145C84" w:rsidP="00145C84">
      <w:pPr>
        <w:rPr>
          <w:color w:val="FF0000"/>
        </w:rPr>
      </w:pPr>
      <w:r w:rsidRPr="0064377E">
        <w:rPr>
          <w:color w:val="FF0000"/>
        </w:rPr>
        <w:t xml:space="preserve">--------- </w:t>
      </w:r>
      <w:r>
        <w:rPr>
          <w:color w:val="FF0000"/>
        </w:rPr>
        <w:t>End</w:t>
      </w:r>
      <w:r w:rsidRPr="0064377E">
        <w:rPr>
          <w:color w:val="FF0000"/>
        </w:rPr>
        <w:t xml:space="preserve"> of TP ---------</w:t>
      </w:r>
    </w:p>
    <w:p w14:paraId="0A0FC44D" w14:textId="77777777" w:rsidR="00F91255" w:rsidRPr="00F91255" w:rsidRDefault="00F91255" w:rsidP="00AA1D48">
      <w:pPr>
        <w:numPr>
          <w:ilvl w:val="0"/>
          <w:numId w:val="106"/>
        </w:numPr>
        <w:contextualSpacing/>
        <w:jc w:val="both"/>
        <w:rPr>
          <w:rFonts w:ascii="Times New Roman" w:hAnsi="Times New Roman"/>
          <w:szCs w:val="20"/>
          <w:lang w:eastAsia="x-none"/>
        </w:rPr>
      </w:pPr>
      <w:r w:rsidRPr="00F91255">
        <w:rPr>
          <w:rFonts w:ascii="Times New Roman" w:hAnsi="Times New Roman"/>
          <w:szCs w:val="20"/>
          <w:lang w:eastAsia="x-none"/>
        </w:rPr>
        <w:t>Additional information</w:t>
      </w:r>
    </w:p>
    <w:p w14:paraId="19EA7A11" w14:textId="77777777" w:rsidR="00F91255" w:rsidRPr="00F91255" w:rsidRDefault="00F91255" w:rsidP="00AA1D48">
      <w:pPr>
        <w:pStyle w:val="ListParagraph"/>
        <w:numPr>
          <w:ilvl w:val="1"/>
          <w:numId w:val="106"/>
        </w:numPr>
      </w:pPr>
      <w:r w:rsidRPr="00F91255">
        <w:t>Reason for change: Editorial error.</w:t>
      </w:r>
    </w:p>
    <w:p w14:paraId="5359AB93" w14:textId="77777777" w:rsidR="00F91255" w:rsidRPr="00F91255" w:rsidRDefault="00F91255" w:rsidP="00AA1D48">
      <w:pPr>
        <w:pStyle w:val="ListParagraph"/>
        <w:numPr>
          <w:ilvl w:val="1"/>
          <w:numId w:val="106"/>
        </w:numPr>
      </w:pPr>
      <w:r w:rsidRPr="00F91255">
        <w:t>Summary for change: Editorial correction.</w:t>
      </w:r>
    </w:p>
    <w:p w14:paraId="32181898" w14:textId="77777777" w:rsidR="00F91255" w:rsidRPr="00F91255" w:rsidRDefault="00F91255" w:rsidP="00AA1D48">
      <w:pPr>
        <w:pStyle w:val="ListParagraph"/>
        <w:numPr>
          <w:ilvl w:val="1"/>
          <w:numId w:val="106"/>
        </w:numPr>
      </w:pPr>
      <w:r w:rsidRPr="00F91255">
        <w:t>Consequences if not approved: Incorrectly referring to “comb offset hopping” as “comb hopping”.</w:t>
      </w:r>
    </w:p>
    <w:p w14:paraId="6174522A" w14:textId="77777777" w:rsidR="00F91255" w:rsidRPr="00F91255" w:rsidRDefault="00F91255" w:rsidP="00AA1D48">
      <w:pPr>
        <w:pStyle w:val="ListParagraph"/>
        <w:numPr>
          <w:ilvl w:val="1"/>
          <w:numId w:val="106"/>
        </w:numPr>
      </w:pPr>
      <w:r w:rsidRPr="00F91255">
        <w:t>TP is for TS38.211 v18.0.0.</w:t>
      </w:r>
    </w:p>
    <w:p w14:paraId="5BD17EB5" w14:textId="77777777" w:rsidR="00F91255" w:rsidRPr="00F91255" w:rsidRDefault="00F91255" w:rsidP="00F91255">
      <w:pPr>
        <w:rPr>
          <w:rFonts w:ascii="Times New Roman" w:hAnsi="Times New Roman"/>
          <w:szCs w:val="20"/>
          <w:lang w:eastAsia="x-none"/>
        </w:rPr>
      </w:pPr>
    </w:p>
    <w:p w14:paraId="4B45F163" w14:textId="77777777" w:rsidR="00145C84" w:rsidRPr="009537ED" w:rsidRDefault="00145C84" w:rsidP="00145C84">
      <w:pPr>
        <w:rPr>
          <w:rFonts w:ascii="Times New Roman" w:hAnsi="Times New Roman"/>
          <w:szCs w:val="20"/>
          <w:highlight w:val="green"/>
          <w:lang w:eastAsia="zh-CN"/>
        </w:rPr>
      </w:pPr>
      <w:r>
        <w:rPr>
          <w:rFonts w:ascii="Times New Roman" w:hAnsi="Times New Roman"/>
          <w:szCs w:val="20"/>
          <w:highlight w:val="green"/>
          <w:lang w:eastAsia="zh-CN"/>
        </w:rPr>
        <w:t>Agreement</w:t>
      </w:r>
    </w:p>
    <w:p w14:paraId="2FB8A6FF" w14:textId="77777777" w:rsidR="00F91255" w:rsidRPr="00F91255" w:rsidRDefault="00F91255" w:rsidP="00F91255">
      <w:pPr>
        <w:spacing w:line="276" w:lineRule="auto"/>
        <w:rPr>
          <w:rFonts w:ascii="Times New Roman" w:hAnsi="Times New Roman"/>
          <w:szCs w:val="20"/>
        </w:rPr>
      </w:pPr>
      <w:r w:rsidRPr="00F91255">
        <w:rPr>
          <w:rFonts w:ascii="Times New Roman" w:hAnsi="Times New Roman"/>
          <w:szCs w:val="20"/>
        </w:rPr>
        <w:t>Adopt the text proposal for TS38.211 on comb offset hopping and TDM UE assumption:</w:t>
      </w:r>
    </w:p>
    <w:p w14:paraId="720067F1" w14:textId="77777777" w:rsidR="00145C84" w:rsidRPr="0064377E" w:rsidRDefault="00145C84" w:rsidP="00145C84">
      <w:pPr>
        <w:rPr>
          <w:color w:val="FF0000"/>
        </w:rPr>
      </w:pPr>
      <w:r w:rsidRPr="0064377E">
        <w:rPr>
          <w:color w:val="FF0000"/>
        </w:rPr>
        <w:t>--------- Start of TP ---------</w:t>
      </w:r>
    </w:p>
    <w:p w14:paraId="35E1DC80" w14:textId="1F15F7DF" w:rsidR="00F91255" w:rsidRPr="00F91255" w:rsidRDefault="00F91255" w:rsidP="00F91255">
      <w:pPr>
        <w:ind w:left="425"/>
        <w:rPr>
          <w:rFonts w:ascii="Arial" w:eastAsia="Malgun Gothic" w:hAnsi="Arial" w:cs="Arial"/>
          <w:b/>
          <w:bCs/>
          <w:sz w:val="16"/>
          <w:szCs w:val="16"/>
        </w:rPr>
      </w:pPr>
      <w:r w:rsidRPr="00F91255">
        <w:rPr>
          <w:rFonts w:ascii="Arial" w:eastAsia="Malgun Gothic" w:hAnsi="Arial" w:cs="Arial"/>
          <w:b/>
          <w:bCs/>
          <w:sz w:val="16"/>
          <w:szCs w:val="16"/>
        </w:rPr>
        <w:t>6.2.1</w:t>
      </w:r>
      <w:r w:rsidR="00145C84" w:rsidRPr="00F91255">
        <w:rPr>
          <w:rFonts w:ascii="Arial" w:eastAsia="MS Mincho" w:hAnsi="Arial" w:cs="Arial"/>
          <w:b/>
          <w:bCs/>
          <w:sz w:val="16"/>
          <w:szCs w:val="16"/>
        </w:rPr>
        <w:tab/>
      </w:r>
      <w:r w:rsidRPr="00F91255">
        <w:rPr>
          <w:rFonts w:ascii="Arial" w:eastAsia="Malgun Gothic" w:hAnsi="Arial" w:cs="Arial"/>
          <w:b/>
          <w:bCs/>
          <w:sz w:val="16"/>
          <w:szCs w:val="16"/>
        </w:rPr>
        <w:t>UE sounding procedure</w:t>
      </w:r>
    </w:p>
    <w:p w14:paraId="34D4F7B6" w14:textId="77777777" w:rsidR="00F91255" w:rsidRPr="00F91255" w:rsidRDefault="00F91255" w:rsidP="00F91255">
      <w:pPr>
        <w:ind w:left="425"/>
        <w:jc w:val="center"/>
        <w:rPr>
          <w:rFonts w:ascii="Arial" w:eastAsia="Malgun Gothic" w:hAnsi="Arial" w:cs="Arial"/>
          <w:color w:val="FF0000"/>
          <w:kern w:val="2"/>
          <w:sz w:val="16"/>
          <w:szCs w:val="16"/>
        </w:rPr>
      </w:pPr>
      <w:r w:rsidRPr="00F91255">
        <w:rPr>
          <w:rFonts w:ascii="Arial" w:eastAsia="Malgun Gothic" w:hAnsi="Arial" w:cs="Arial"/>
          <w:color w:val="FF0000"/>
          <w:kern w:val="2"/>
          <w:sz w:val="16"/>
          <w:szCs w:val="16"/>
        </w:rPr>
        <w:t>&lt;</w:t>
      </w:r>
      <w:r w:rsidRPr="00F91255">
        <w:rPr>
          <w:rFonts w:ascii="Arial" w:hAnsi="Arial" w:cs="Arial"/>
          <w:iCs/>
          <w:color w:val="FF0000"/>
          <w:sz w:val="16"/>
          <w:szCs w:val="16"/>
        </w:rPr>
        <w:t xml:space="preserve"> Unchanged text is </w:t>
      </w:r>
      <w:r w:rsidRPr="00F91255">
        <w:rPr>
          <w:rFonts w:ascii="Arial" w:eastAsia="Malgun Gothic" w:hAnsi="Arial" w:cs="Arial"/>
          <w:color w:val="FF0000"/>
          <w:kern w:val="2"/>
          <w:sz w:val="16"/>
          <w:szCs w:val="16"/>
        </w:rPr>
        <w:t>omitted&gt;</w:t>
      </w:r>
    </w:p>
    <w:p w14:paraId="692FD975" w14:textId="77777777" w:rsidR="00F91255" w:rsidRPr="00F91255" w:rsidRDefault="00F91255" w:rsidP="00145C84">
      <w:pPr>
        <w:ind w:left="567"/>
        <w:rPr>
          <w:rFonts w:ascii="Arial" w:eastAsia="MS Mincho" w:hAnsi="Arial" w:cs="Arial"/>
          <w:sz w:val="16"/>
          <w:szCs w:val="16"/>
        </w:rPr>
      </w:pPr>
      <w:r w:rsidRPr="00F91255">
        <w:rPr>
          <w:rFonts w:ascii="Arial" w:eastAsia="MS Mincho" w:hAnsi="Arial" w:cs="Arial"/>
          <w:sz w:val="16"/>
          <w:szCs w:val="16"/>
        </w:rPr>
        <w:t>-</w:t>
      </w:r>
      <w:r w:rsidRPr="00F91255">
        <w:rPr>
          <w:rFonts w:ascii="Arial" w:eastAsia="MS Mincho" w:hAnsi="Arial" w:cs="Arial"/>
          <w:sz w:val="16"/>
          <w:szCs w:val="16"/>
        </w:rPr>
        <w:tab/>
        <w:t>Transmission comb offset</w:t>
      </w:r>
      <w:r w:rsidRPr="00F91255">
        <w:rPr>
          <w:rFonts w:ascii="Arial" w:eastAsia="MS Mincho" w:hAnsi="Arial" w:cs="Arial"/>
          <w:sz w:val="16"/>
          <w:szCs w:val="16"/>
          <w:lang w:val="en-US"/>
        </w:rPr>
        <w:t>,</w:t>
      </w:r>
      <w:r w:rsidRPr="00F91255">
        <w:rPr>
          <w:rFonts w:ascii="Arial" w:eastAsia="MS Mincho" w:hAnsi="Arial" w:cs="Arial"/>
          <w:sz w:val="16"/>
          <w:szCs w:val="16"/>
        </w:rPr>
        <w:t xml:space="preserve"> as defined by the higher layer parameter </w:t>
      </w:r>
      <w:r w:rsidRPr="00F91255">
        <w:rPr>
          <w:rFonts w:ascii="Arial" w:eastAsia="MS Mincho" w:hAnsi="Arial" w:cs="Arial"/>
          <w:i/>
          <w:sz w:val="16"/>
          <w:szCs w:val="16"/>
        </w:rPr>
        <w:t>combOffset-n2</w:t>
      </w:r>
      <w:r w:rsidRPr="00F91255">
        <w:rPr>
          <w:rFonts w:ascii="Arial" w:eastAsia="MS Mincho" w:hAnsi="Arial" w:cs="Arial"/>
          <w:sz w:val="16"/>
          <w:szCs w:val="16"/>
          <w:lang w:val="en-US"/>
        </w:rPr>
        <w:t>,</w:t>
      </w:r>
      <w:r w:rsidRPr="00F91255">
        <w:rPr>
          <w:rFonts w:ascii="Arial" w:eastAsia="MS Mincho" w:hAnsi="Arial" w:cs="Arial"/>
          <w:sz w:val="16"/>
          <w:szCs w:val="16"/>
        </w:rPr>
        <w:t xml:space="preserve"> </w:t>
      </w:r>
      <w:r w:rsidRPr="00F91255">
        <w:rPr>
          <w:rFonts w:ascii="Arial" w:eastAsia="MS Mincho" w:hAnsi="Arial" w:cs="Arial"/>
          <w:i/>
          <w:sz w:val="16"/>
          <w:szCs w:val="16"/>
        </w:rPr>
        <w:t xml:space="preserve">combOffset-n4, </w:t>
      </w:r>
      <w:r w:rsidRPr="00F91255">
        <w:rPr>
          <w:rFonts w:ascii="Arial" w:eastAsia="MS Mincho" w:hAnsi="Arial" w:cs="Arial"/>
          <w:sz w:val="16"/>
          <w:szCs w:val="16"/>
        </w:rPr>
        <w:t xml:space="preserve">and </w:t>
      </w:r>
      <w:r w:rsidRPr="00F91255">
        <w:rPr>
          <w:rFonts w:ascii="Arial" w:eastAsia="MS Mincho" w:hAnsi="Arial" w:cs="Arial"/>
          <w:i/>
          <w:sz w:val="16"/>
          <w:szCs w:val="16"/>
        </w:rPr>
        <w:t>combOffset-n8</w:t>
      </w:r>
      <w:r w:rsidRPr="00F91255">
        <w:rPr>
          <w:rFonts w:ascii="Arial" w:eastAsia="MS Mincho" w:hAnsi="Arial" w:cs="Arial"/>
          <w:sz w:val="16"/>
          <w:szCs w:val="16"/>
        </w:rPr>
        <w:t xml:space="preserve"> for transmission comb value 2, 4, or 8, and described in clause 6.4.1.4 of [4, TS 38.211]. When comb offset hopping is configured by the higher layer parameter [</w:t>
      </w:r>
      <w:r w:rsidRPr="00F91255">
        <w:rPr>
          <w:rFonts w:ascii="Arial" w:eastAsia="MS Mincho" w:hAnsi="Arial" w:cs="Arial"/>
          <w:i/>
          <w:iCs/>
          <w:sz w:val="16"/>
          <w:szCs w:val="16"/>
        </w:rPr>
        <w:t>combOffsetHopping</w:t>
      </w:r>
      <w:r w:rsidRPr="00F91255">
        <w:rPr>
          <w:rFonts w:ascii="Arial" w:eastAsia="MS Mincho" w:hAnsi="Arial" w:cs="Arial"/>
          <w:sz w:val="16"/>
          <w:szCs w:val="16"/>
        </w:rPr>
        <w:t>] for an SRS resource in an SRS resource set with the usage configured as '</w:t>
      </w:r>
      <w:r w:rsidRPr="00F91255">
        <w:rPr>
          <w:rFonts w:ascii="Arial" w:eastAsia="MS Mincho" w:hAnsi="Arial" w:cs="Arial"/>
          <w:i/>
          <w:iCs/>
          <w:sz w:val="16"/>
          <w:szCs w:val="16"/>
        </w:rPr>
        <w:t>antennaSwitching</w:t>
      </w:r>
      <w:r w:rsidRPr="00F91255">
        <w:rPr>
          <w:rFonts w:ascii="Arial" w:eastAsia="MS Mincho" w:hAnsi="Arial" w:cs="Arial"/>
          <w:sz w:val="16"/>
          <w:szCs w:val="16"/>
        </w:rPr>
        <w:t>' or ‘codebook’, subject to UE capabilities, transmission comb offset(s) are updated as described in [clause 6,4,1,4 of [4, TS 38.211]]. For the comb offset hopping, a UE can be configured with a subset of comb offsets by the higher layer parameter [c</w:t>
      </w:r>
      <w:r w:rsidRPr="00F91255">
        <w:rPr>
          <w:rFonts w:ascii="Arial" w:eastAsia="MS Mincho" w:hAnsi="Arial" w:cs="Arial"/>
          <w:i/>
          <w:iCs/>
          <w:sz w:val="16"/>
          <w:szCs w:val="16"/>
        </w:rPr>
        <w:t>ombOffsetHoppingSubset</w:t>
      </w:r>
      <w:r w:rsidRPr="00F91255">
        <w:rPr>
          <w:rFonts w:ascii="Arial" w:eastAsia="MS Mincho" w:hAnsi="Arial" w:cs="Arial"/>
          <w:sz w:val="16"/>
          <w:szCs w:val="16"/>
        </w:rPr>
        <w:t>], where the comb offset hopping is performed only across the comb offsets configured in the subset. The UE is not expecting that the comb offset hopping and the higher layer parameter [</w:t>
      </w:r>
      <w:r w:rsidRPr="00F91255">
        <w:rPr>
          <w:rFonts w:ascii="Arial" w:eastAsia="MS Mincho" w:hAnsi="Arial" w:cs="Arial"/>
          <w:i/>
          <w:iCs/>
          <w:sz w:val="16"/>
          <w:szCs w:val="16"/>
        </w:rPr>
        <w:t>tdm</w:t>
      </w:r>
      <w:r w:rsidRPr="00F91255">
        <w:rPr>
          <w:rFonts w:ascii="Arial" w:eastAsia="MS Mincho" w:hAnsi="Arial" w:cs="Arial"/>
          <w:sz w:val="16"/>
          <w:szCs w:val="16"/>
        </w:rPr>
        <w:t>] are configured simultaneously</w:t>
      </w:r>
      <w:r w:rsidRPr="00F91255">
        <w:rPr>
          <w:rFonts w:ascii="Arial" w:eastAsia="MS Mincho" w:hAnsi="Arial" w:cs="Arial"/>
          <w:color w:val="FF0000"/>
          <w:sz w:val="16"/>
          <w:szCs w:val="16"/>
        </w:rPr>
        <w:t xml:space="preserve"> for an SRS resource</w:t>
      </w:r>
      <w:r w:rsidRPr="00F91255">
        <w:rPr>
          <w:rFonts w:ascii="Arial" w:eastAsia="MS Mincho" w:hAnsi="Arial" w:cs="Arial"/>
          <w:sz w:val="16"/>
          <w:szCs w:val="16"/>
        </w:rPr>
        <w:t>.</w:t>
      </w:r>
    </w:p>
    <w:p w14:paraId="6BB63D43" w14:textId="77777777" w:rsidR="00F91255" w:rsidRPr="00145C84" w:rsidRDefault="00F91255" w:rsidP="00F91255">
      <w:pPr>
        <w:ind w:left="425"/>
        <w:jc w:val="center"/>
        <w:rPr>
          <w:rFonts w:ascii="Arial" w:eastAsia="Malgun Gothic" w:hAnsi="Arial" w:cs="Arial"/>
          <w:color w:val="FF0000"/>
          <w:kern w:val="2"/>
          <w:sz w:val="16"/>
          <w:szCs w:val="16"/>
        </w:rPr>
      </w:pPr>
      <w:r w:rsidRPr="00F91255">
        <w:rPr>
          <w:rFonts w:ascii="Arial" w:eastAsia="Malgun Gothic" w:hAnsi="Arial" w:cs="Arial"/>
          <w:color w:val="FF0000"/>
          <w:kern w:val="2"/>
          <w:sz w:val="16"/>
          <w:szCs w:val="16"/>
        </w:rPr>
        <w:t>&lt;</w:t>
      </w:r>
      <w:r w:rsidRPr="00F91255">
        <w:rPr>
          <w:rFonts w:ascii="Arial" w:hAnsi="Arial" w:cs="Arial"/>
          <w:iCs/>
          <w:color w:val="FF0000"/>
          <w:sz w:val="16"/>
          <w:szCs w:val="16"/>
        </w:rPr>
        <w:t xml:space="preserve"> Unchanged text is </w:t>
      </w:r>
      <w:r w:rsidRPr="00F91255">
        <w:rPr>
          <w:rFonts w:ascii="Arial" w:eastAsia="Malgun Gothic" w:hAnsi="Arial" w:cs="Arial"/>
          <w:color w:val="FF0000"/>
          <w:kern w:val="2"/>
          <w:sz w:val="16"/>
          <w:szCs w:val="16"/>
        </w:rPr>
        <w:t>omitted&gt;</w:t>
      </w:r>
    </w:p>
    <w:p w14:paraId="79A551E4" w14:textId="77777777" w:rsidR="00145C84" w:rsidRPr="0064377E" w:rsidRDefault="00145C84" w:rsidP="00145C84">
      <w:pPr>
        <w:rPr>
          <w:color w:val="FF0000"/>
        </w:rPr>
      </w:pPr>
      <w:bookmarkStart w:id="205" w:name="_Hlk150872210"/>
      <w:r w:rsidRPr="0064377E">
        <w:rPr>
          <w:color w:val="FF0000"/>
        </w:rPr>
        <w:t xml:space="preserve">--------- </w:t>
      </w:r>
      <w:r>
        <w:rPr>
          <w:color w:val="FF0000"/>
        </w:rPr>
        <w:t>End</w:t>
      </w:r>
      <w:r w:rsidRPr="0064377E">
        <w:rPr>
          <w:color w:val="FF0000"/>
        </w:rPr>
        <w:t xml:space="preserve"> of TP ---------</w:t>
      </w:r>
    </w:p>
    <w:bookmarkEnd w:id="205"/>
    <w:p w14:paraId="4959126C" w14:textId="77777777" w:rsidR="00F91255" w:rsidRPr="00F91255" w:rsidRDefault="00F91255" w:rsidP="00AA1D48">
      <w:pPr>
        <w:numPr>
          <w:ilvl w:val="0"/>
          <w:numId w:val="106"/>
        </w:numPr>
        <w:contextualSpacing/>
        <w:jc w:val="both"/>
        <w:rPr>
          <w:rFonts w:ascii="Times New Roman" w:hAnsi="Times New Roman"/>
          <w:szCs w:val="20"/>
          <w:lang w:eastAsia="x-none"/>
        </w:rPr>
      </w:pPr>
      <w:r w:rsidRPr="00F91255">
        <w:rPr>
          <w:rFonts w:ascii="Times New Roman" w:hAnsi="Times New Roman"/>
          <w:szCs w:val="20"/>
          <w:lang w:eastAsia="x-none"/>
        </w:rPr>
        <w:t>Additional information</w:t>
      </w:r>
    </w:p>
    <w:p w14:paraId="7924A667" w14:textId="77777777" w:rsidR="00F91255" w:rsidRPr="00F91255" w:rsidRDefault="00F91255" w:rsidP="00AA1D48">
      <w:pPr>
        <w:pStyle w:val="ListParagraph"/>
        <w:numPr>
          <w:ilvl w:val="1"/>
          <w:numId w:val="106"/>
        </w:numPr>
      </w:pPr>
      <w:r w:rsidRPr="00F91255">
        <w:t>Reason for change: Comb offset hopping and TDM cannot be configured simultaneously per SRS resource instead of per UE.</w:t>
      </w:r>
    </w:p>
    <w:p w14:paraId="0E10B036" w14:textId="77777777" w:rsidR="00F91255" w:rsidRPr="00F91255" w:rsidRDefault="00F91255" w:rsidP="00AA1D48">
      <w:pPr>
        <w:pStyle w:val="ListParagraph"/>
        <w:numPr>
          <w:ilvl w:val="1"/>
          <w:numId w:val="106"/>
        </w:numPr>
      </w:pPr>
      <w:r w:rsidRPr="00F91255">
        <w:t>Summary for change: Add “for an SRS resource” restriction.</w:t>
      </w:r>
    </w:p>
    <w:p w14:paraId="3144C596" w14:textId="77777777" w:rsidR="00F91255" w:rsidRPr="00F91255" w:rsidRDefault="00F91255" w:rsidP="00AA1D48">
      <w:pPr>
        <w:pStyle w:val="ListParagraph"/>
        <w:numPr>
          <w:ilvl w:val="1"/>
          <w:numId w:val="106"/>
        </w:numPr>
      </w:pPr>
      <w:r w:rsidRPr="00F91255">
        <w:t>Consequences if not approved: Confusion on whether the restriction is per UE or per SRS resource.</w:t>
      </w:r>
    </w:p>
    <w:p w14:paraId="365CC749" w14:textId="77777777" w:rsidR="00F91255" w:rsidRPr="00F91255" w:rsidRDefault="00F91255" w:rsidP="00AA1D48">
      <w:pPr>
        <w:pStyle w:val="ListParagraph"/>
        <w:numPr>
          <w:ilvl w:val="1"/>
          <w:numId w:val="106"/>
        </w:numPr>
      </w:pPr>
      <w:r w:rsidRPr="00F91255">
        <w:t>TP is for TS38.211 v18.0.0.</w:t>
      </w:r>
    </w:p>
    <w:p w14:paraId="2056136A" w14:textId="77777777" w:rsidR="00F91255" w:rsidRPr="00F91255" w:rsidRDefault="00F91255" w:rsidP="00F91255">
      <w:pPr>
        <w:rPr>
          <w:rFonts w:ascii="Times New Roman" w:hAnsi="Times New Roman"/>
          <w:szCs w:val="20"/>
          <w:lang w:eastAsia="x-none"/>
        </w:rPr>
      </w:pPr>
    </w:p>
    <w:p w14:paraId="0FEC5458" w14:textId="77777777" w:rsidR="005A0700" w:rsidRPr="009537ED" w:rsidRDefault="005A0700" w:rsidP="005A0700">
      <w:pPr>
        <w:rPr>
          <w:rFonts w:ascii="Times New Roman" w:hAnsi="Times New Roman"/>
          <w:szCs w:val="20"/>
          <w:highlight w:val="green"/>
          <w:lang w:eastAsia="zh-CN"/>
        </w:rPr>
      </w:pPr>
      <w:r>
        <w:rPr>
          <w:rFonts w:ascii="Times New Roman" w:hAnsi="Times New Roman"/>
          <w:szCs w:val="20"/>
          <w:highlight w:val="green"/>
          <w:lang w:eastAsia="zh-CN"/>
        </w:rPr>
        <w:t>Agreement</w:t>
      </w:r>
    </w:p>
    <w:p w14:paraId="4FAD7CF3" w14:textId="1DBCB962" w:rsidR="00F91255" w:rsidRPr="00F91255" w:rsidRDefault="00F91255" w:rsidP="00F91255">
      <w:pPr>
        <w:spacing w:line="276" w:lineRule="auto"/>
        <w:rPr>
          <w:rFonts w:ascii="Times New Roman" w:hAnsi="Times New Roman"/>
          <w:szCs w:val="20"/>
        </w:rPr>
      </w:pPr>
      <w:r w:rsidRPr="00F91255">
        <w:rPr>
          <w:rFonts w:ascii="Times New Roman" w:hAnsi="Times New Roman"/>
          <w:szCs w:val="20"/>
        </w:rPr>
        <w:t xml:space="preserve">Adopt the text proposal for TS38.214 on divisibility of </w:t>
      </w:r>
      <w:r w:rsidRPr="00F91255">
        <w:rPr>
          <w:rFonts w:ascii="Times New Roman" w:hAnsi="Times New Roman"/>
          <w:i/>
          <w:iCs/>
          <w:szCs w:val="20"/>
        </w:rPr>
        <w:t>Ns</w:t>
      </w:r>
      <w:r w:rsidRPr="00F91255">
        <w:rPr>
          <w:rFonts w:ascii="Times New Roman" w:hAnsi="Times New Roman"/>
          <w:szCs w:val="20"/>
        </w:rPr>
        <w:t xml:space="preserve"> by </w:t>
      </w:r>
      <w:r w:rsidRPr="00F91255">
        <w:rPr>
          <w:rFonts w:ascii="Times New Roman" w:hAnsi="Times New Roman"/>
          <w:i/>
          <w:iCs/>
          <w:szCs w:val="20"/>
        </w:rPr>
        <w:t>S*R</w:t>
      </w:r>
      <w:r w:rsidR="005A0700">
        <w:rPr>
          <w:rFonts w:ascii="Times New Roman" w:hAnsi="Times New Roman"/>
          <w:szCs w:val="20"/>
        </w:rPr>
        <w:t>.</w:t>
      </w:r>
    </w:p>
    <w:p w14:paraId="3C4B6859" w14:textId="77777777" w:rsidR="005A0700" w:rsidRPr="0064377E" w:rsidRDefault="005A0700" w:rsidP="005A0700">
      <w:pPr>
        <w:rPr>
          <w:color w:val="FF0000"/>
        </w:rPr>
      </w:pPr>
      <w:r w:rsidRPr="0064377E">
        <w:rPr>
          <w:color w:val="FF0000"/>
        </w:rPr>
        <w:t>--------- Start of TP ---------</w:t>
      </w:r>
    </w:p>
    <w:p w14:paraId="765DE336" w14:textId="2411EC6D" w:rsidR="00F91255" w:rsidRPr="00F91255" w:rsidRDefault="00F91255" w:rsidP="00F91255">
      <w:pPr>
        <w:ind w:firstLine="425"/>
        <w:rPr>
          <w:rFonts w:ascii="Arial" w:eastAsia="Malgun Gothic" w:hAnsi="Arial" w:cs="Arial"/>
          <w:b/>
          <w:bCs/>
          <w:sz w:val="16"/>
          <w:szCs w:val="20"/>
        </w:rPr>
      </w:pPr>
      <w:r w:rsidRPr="00F91255">
        <w:rPr>
          <w:rFonts w:ascii="Arial" w:eastAsia="Malgun Gothic" w:hAnsi="Arial" w:cs="Arial"/>
          <w:b/>
          <w:bCs/>
          <w:sz w:val="16"/>
          <w:szCs w:val="20"/>
        </w:rPr>
        <w:t>6.2.1</w:t>
      </w:r>
      <w:r w:rsidR="005A0700" w:rsidRPr="00F91255">
        <w:rPr>
          <w:rFonts w:ascii="Arial" w:hAnsi="Arial" w:cs="Arial"/>
          <w:sz w:val="16"/>
          <w:szCs w:val="20"/>
        </w:rPr>
        <w:tab/>
      </w:r>
      <w:r w:rsidRPr="00F91255">
        <w:rPr>
          <w:rFonts w:ascii="Arial" w:eastAsia="Malgun Gothic" w:hAnsi="Arial" w:cs="Arial"/>
          <w:b/>
          <w:bCs/>
          <w:sz w:val="16"/>
          <w:szCs w:val="20"/>
        </w:rPr>
        <w:t>UE sounding procedure</w:t>
      </w:r>
    </w:p>
    <w:p w14:paraId="0AE27F9D" w14:textId="77777777" w:rsidR="00F91255" w:rsidRPr="00F91255" w:rsidRDefault="00F91255" w:rsidP="00F91255">
      <w:pPr>
        <w:jc w:val="center"/>
        <w:rPr>
          <w:rFonts w:ascii="Arial" w:eastAsia="Malgun Gothic" w:hAnsi="Arial" w:cs="Arial"/>
          <w:color w:val="FF0000"/>
          <w:kern w:val="2"/>
          <w:sz w:val="16"/>
          <w:szCs w:val="20"/>
        </w:rPr>
      </w:pPr>
      <w:r w:rsidRPr="00F91255">
        <w:rPr>
          <w:rFonts w:ascii="Arial" w:eastAsia="Malgun Gothic" w:hAnsi="Arial" w:cs="Arial"/>
          <w:color w:val="FF0000"/>
          <w:kern w:val="2"/>
          <w:sz w:val="16"/>
          <w:szCs w:val="20"/>
        </w:rPr>
        <w:lastRenderedPageBreak/>
        <w:t>&lt;</w:t>
      </w:r>
      <w:r w:rsidRPr="00F91255">
        <w:rPr>
          <w:rFonts w:ascii="Arial" w:hAnsi="Arial" w:cs="Arial"/>
          <w:iCs/>
          <w:color w:val="FF0000"/>
          <w:sz w:val="16"/>
          <w:szCs w:val="20"/>
        </w:rPr>
        <w:t xml:space="preserve"> Unchanged text is </w:t>
      </w:r>
      <w:r w:rsidRPr="00F91255">
        <w:rPr>
          <w:rFonts w:ascii="Arial" w:eastAsia="Malgun Gothic" w:hAnsi="Arial" w:cs="Arial"/>
          <w:color w:val="FF0000"/>
          <w:kern w:val="2"/>
          <w:sz w:val="16"/>
          <w:szCs w:val="20"/>
        </w:rPr>
        <w:t>omitted&gt;</w:t>
      </w:r>
    </w:p>
    <w:p w14:paraId="2E465A37" w14:textId="23125839" w:rsidR="00F91255" w:rsidRPr="00F91255" w:rsidRDefault="00F91255" w:rsidP="00F91255">
      <w:pPr>
        <w:ind w:left="425"/>
        <w:rPr>
          <w:rFonts w:ascii="Arial" w:hAnsi="Arial" w:cs="Arial"/>
          <w:sz w:val="16"/>
          <w:szCs w:val="20"/>
        </w:rPr>
      </w:pPr>
      <w:r w:rsidRPr="00F91255">
        <w:rPr>
          <w:rFonts w:ascii="Arial" w:hAnsi="Arial" w:cs="Arial"/>
          <w:sz w:val="16"/>
          <w:szCs w:val="20"/>
        </w:rPr>
        <w:t xml:space="preserve">The UE may be configured by the higher layer parameter </w:t>
      </w:r>
      <w:r w:rsidRPr="00F91255">
        <w:rPr>
          <w:rFonts w:ascii="Arial" w:hAnsi="Arial" w:cs="Arial"/>
          <w:i/>
          <w:sz w:val="16"/>
          <w:szCs w:val="20"/>
        </w:rPr>
        <w:t xml:space="preserve">resourceMapping </w:t>
      </w:r>
      <w:r w:rsidRPr="00F91255">
        <w:rPr>
          <w:rFonts w:ascii="Arial" w:hAnsi="Arial" w:cs="Arial"/>
          <w:sz w:val="16"/>
          <w:szCs w:val="20"/>
        </w:rPr>
        <w:t>in</w:t>
      </w:r>
      <w:r w:rsidRPr="00F91255">
        <w:rPr>
          <w:rFonts w:ascii="Arial" w:hAnsi="Arial" w:cs="Arial"/>
          <w:i/>
          <w:sz w:val="16"/>
          <w:szCs w:val="20"/>
        </w:rPr>
        <w:t xml:space="preserve"> SRS-Resource</w:t>
      </w:r>
      <w:r w:rsidRPr="00F91255">
        <w:rPr>
          <w:rFonts w:ascii="Arial" w:hAnsi="Arial" w:cs="Arial"/>
          <w:sz w:val="16"/>
          <w:szCs w:val="20"/>
        </w:rPr>
        <w:t xml:space="preserve"> with an SRS resource occupying </w:t>
      </w:r>
      <w:r w:rsidRPr="00F91255">
        <w:rPr>
          <w:rFonts w:ascii="Arial" w:eastAsia="Malgun Gothic" w:hAnsi="Arial" w:cs="Arial"/>
          <w:noProof/>
          <w:kern w:val="2"/>
          <w:position w:val="-12"/>
          <w:sz w:val="16"/>
          <w:szCs w:val="20"/>
        </w:rPr>
        <w:object w:dxaOrig="1168" w:dyaOrig="272" w14:anchorId="7AF38C23">
          <v:shape id="_x0000_i1152" type="#_x0000_t75" style="width:57.75pt;height:14.25pt" o:ole="">
            <v:imagedata r:id="rId892" o:title=""/>
          </v:shape>
          <o:OLEObject Type="Embed" ProgID="Equation.DSMT4" ShapeID="_x0000_i1152" DrawAspect="Content" ObjectID="_1769863826" r:id="rId893"/>
        </w:object>
      </w:r>
      <w:r w:rsidRPr="00F91255">
        <w:rPr>
          <w:rFonts w:ascii="Arial" w:hAnsi="Arial" w:cs="Arial"/>
          <w:sz w:val="16"/>
          <w:szCs w:val="20"/>
        </w:rPr>
        <w:t xml:space="preserve"> adjacent OFDM symbols within the last 6 symbols of the slot, or at any symbol location within the slot if </w:t>
      </w:r>
      <w:r w:rsidRPr="00F91255">
        <w:rPr>
          <w:rFonts w:ascii="Arial" w:hAnsi="Arial" w:cs="Arial"/>
          <w:i/>
          <w:iCs/>
          <w:sz w:val="16"/>
          <w:szCs w:val="20"/>
        </w:rPr>
        <w:t>resourceMapping-r16</w:t>
      </w:r>
      <w:r w:rsidRPr="00F91255">
        <w:rPr>
          <w:rFonts w:ascii="Arial" w:hAnsi="Arial" w:cs="Arial"/>
          <w:sz w:val="16"/>
          <w:szCs w:val="20"/>
        </w:rPr>
        <w:t xml:space="preserve"> is provided subject to UE capability, where all antenna ports of the SRS resources are mapped to each symbol of the resource. When the SRS is configured with the higher layer parameter </w:t>
      </w:r>
      <w:r w:rsidRPr="00F91255">
        <w:rPr>
          <w:rFonts w:ascii="Arial" w:hAnsi="Arial" w:cs="Arial"/>
          <w:i/>
          <w:color w:val="000000"/>
          <w:sz w:val="16"/>
          <w:szCs w:val="20"/>
        </w:rPr>
        <w:t>SRS-PosResourceSet</w:t>
      </w:r>
      <w:r w:rsidRPr="00F91255">
        <w:rPr>
          <w:rFonts w:ascii="Arial" w:hAnsi="Arial" w:cs="Arial"/>
          <w:sz w:val="16"/>
          <w:szCs w:val="20"/>
        </w:rPr>
        <w:t xml:space="preserve"> the higher layer parameter </w:t>
      </w:r>
      <w:r w:rsidRPr="00F91255">
        <w:rPr>
          <w:rFonts w:ascii="Arial" w:hAnsi="Arial" w:cs="Arial"/>
          <w:i/>
          <w:sz w:val="16"/>
          <w:szCs w:val="20"/>
        </w:rPr>
        <w:t xml:space="preserve">resourceMapping-r16 </w:t>
      </w:r>
      <w:r w:rsidRPr="00F91255">
        <w:rPr>
          <w:rFonts w:ascii="Arial" w:hAnsi="Arial" w:cs="Arial"/>
          <w:sz w:val="16"/>
          <w:szCs w:val="20"/>
        </w:rPr>
        <w:t>in</w:t>
      </w:r>
      <w:r w:rsidRPr="00F91255">
        <w:rPr>
          <w:rFonts w:ascii="Arial" w:hAnsi="Arial" w:cs="Arial"/>
          <w:i/>
          <w:sz w:val="16"/>
          <w:szCs w:val="20"/>
        </w:rPr>
        <w:t xml:space="preserve"> </w:t>
      </w:r>
      <w:r w:rsidRPr="00F91255">
        <w:rPr>
          <w:rFonts w:ascii="Arial" w:hAnsi="Arial" w:cs="Arial"/>
          <w:i/>
          <w:color w:val="000000"/>
          <w:sz w:val="16"/>
          <w:szCs w:val="20"/>
        </w:rPr>
        <w:t>SRS-PosResource</w:t>
      </w:r>
      <w:r w:rsidRPr="00F91255">
        <w:rPr>
          <w:rFonts w:ascii="Arial" w:hAnsi="Arial" w:cs="Arial"/>
          <w:sz w:val="16"/>
          <w:szCs w:val="20"/>
        </w:rPr>
        <w:t xml:space="preserve"> indicates an SRS resource occupying </w:t>
      </w:r>
      <m:oMath>
        <m:sSub>
          <m:sSubPr>
            <m:ctrlPr>
              <w:rPr>
                <w:rFonts w:ascii="Cambria Math" w:hAnsi="Cambria Math" w:cs="Arial"/>
                <w:i/>
                <w:sz w:val="16"/>
                <w:szCs w:val="20"/>
              </w:rPr>
            </m:ctrlPr>
          </m:sSubPr>
          <m:e>
            <m:r>
              <w:rPr>
                <w:rFonts w:ascii="Cambria Math" w:hAnsi="Cambria Math" w:cs="Arial"/>
                <w:sz w:val="16"/>
                <w:szCs w:val="20"/>
              </w:rPr>
              <m:t>N</m:t>
            </m:r>
          </m:e>
          <m:sub>
            <m:r>
              <w:rPr>
                <w:rFonts w:ascii="Cambria Math" w:hAnsi="Cambria Math" w:cs="Arial"/>
                <w:sz w:val="16"/>
                <w:szCs w:val="20"/>
              </w:rPr>
              <m:t>S</m:t>
            </m:r>
          </m:sub>
        </m:sSub>
        <m:r>
          <w:rPr>
            <w:rFonts w:ascii="Cambria Math" w:hAnsi="Cambria Math" w:cs="Arial"/>
            <w:sz w:val="16"/>
            <w:szCs w:val="20"/>
          </w:rPr>
          <m:t>∈</m:t>
        </m:r>
        <m:d>
          <m:dPr>
            <m:begChr m:val="{"/>
            <m:endChr m:val="}"/>
            <m:ctrlPr>
              <w:rPr>
                <w:rFonts w:ascii="Cambria Math" w:hAnsi="Cambria Math" w:cs="Arial"/>
                <w:i/>
                <w:sz w:val="16"/>
                <w:szCs w:val="20"/>
              </w:rPr>
            </m:ctrlPr>
          </m:dPr>
          <m:e>
            <m:r>
              <w:rPr>
                <w:rFonts w:ascii="Cambria Math" w:hAnsi="Cambria Math" w:cs="Arial"/>
                <w:sz w:val="16"/>
                <w:szCs w:val="20"/>
              </w:rPr>
              <m:t>1,2,4,8,12</m:t>
            </m:r>
          </m:e>
        </m:d>
      </m:oMath>
      <w:r w:rsidRPr="00F91255">
        <w:rPr>
          <w:rFonts w:ascii="Arial" w:hAnsi="Arial" w:cs="Arial"/>
          <w:sz w:val="16"/>
          <w:szCs w:val="20"/>
        </w:rPr>
        <w:t xml:space="preserve"> adjacent symbols anywhere within the slot. When the SRS is configured with the higher layer parameter </w:t>
      </w:r>
      <w:r w:rsidRPr="00F91255">
        <w:rPr>
          <w:rFonts w:ascii="Arial" w:hAnsi="Arial" w:cs="Arial"/>
          <w:i/>
          <w:color w:val="000000"/>
          <w:sz w:val="16"/>
          <w:szCs w:val="20"/>
        </w:rPr>
        <w:t>SRS-ResourceSet,</w:t>
      </w:r>
      <w:r w:rsidRPr="00F91255">
        <w:rPr>
          <w:rFonts w:ascii="Arial" w:hAnsi="Arial" w:cs="Arial"/>
          <w:sz w:val="16"/>
          <w:szCs w:val="20"/>
        </w:rPr>
        <w:t xml:space="preserve"> the higher layer parameter </w:t>
      </w:r>
      <w:r w:rsidRPr="00F91255">
        <w:rPr>
          <w:rFonts w:ascii="Arial" w:hAnsi="Arial" w:cs="Arial"/>
          <w:i/>
          <w:sz w:val="16"/>
          <w:szCs w:val="20"/>
        </w:rPr>
        <w:t xml:space="preserve">resourceMapping-r17 </w:t>
      </w:r>
      <w:r w:rsidRPr="00F91255">
        <w:rPr>
          <w:rFonts w:ascii="Arial" w:hAnsi="Arial" w:cs="Arial"/>
          <w:sz w:val="16"/>
          <w:szCs w:val="20"/>
        </w:rPr>
        <w:t>in</w:t>
      </w:r>
      <w:r w:rsidRPr="00F91255">
        <w:rPr>
          <w:rFonts w:ascii="Arial" w:hAnsi="Arial" w:cs="Arial"/>
          <w:i/>
          <w:sz w:val="16"/>
          <w:szCs w:val="20"/>
        </w:rPr>
        <w:t xml:space="preserve"> </w:t>
      </w:r>
      <w:r w:rsidRPr="00F91255">
        <w:rPr>
          <w:rFonts w:ascii="Arial" w:hAnsi="Arial" w:cs="Arial"/>
          <w:i/>
          <w:color w:val="000000"/>
          <w:sz w:val="16"/>
          <w:szCs w:val="20"/>
        </w:rPr>
        <w:t>SRS-Resource</w:t>
      </w:r>
      <w:r w:rsidRPr="00F91255">
        <w:rPr>
          <w:rFonts w:ascii="Arial" w:hAnsi="Arial" w:cs="Arial"/>
          <w:sz w:val="16"/>
          <w:szCs w:val="20"/>
        </w:rPr>
        <w:t xml:space="preserve"> indicates an SRS resource occupying </w:t>
      </w:r>
      <m:oMath>
        <m:sSub>
          <m:sSubPr>
            <m:ctrlPr>
              <w:rPr>
                <w:rFonts w:ascii="Cambria Math" w:hAnsi="Cambria Math" w:cs="Arial"/>
                <w:i/>
                <w:sz w:val="16"/>
                <w:szCs w:val="20"/>
              </w:rPr>
            </m:ctrlPr>
          </m:sSubPr>
          <m:e>
            <m:r>
              <w:rPr>
                <w:rFonts w:ascii="Cambria Math" w:hAnsi="Cambria Math" w:cs="Arial"/>
                <w:sz w:val="16"/>
                <w:szCs w:val="20"/>
              </w:rPr>
              <m:t>N</m:t>
            </m:r>
          </m:e>
          <m:sub>
            <m:r>
              <w:rPr>
                <w:rFonts w:ascii="Cambria Math" w:hAnsi="Cambria Math" w:cs="Arial"/>
                <w:sz w:val="16"/>
                <w:szCs w:val="20"/>
              </w:rPr>
              <m:t>S</m:t>
            </m:r>
          </m:sub>
        </m:sSub>
        <m:r>
          <w:rPr>
            <w:rFonts w:ascii="Cambria Math" w:hAnsi="Cambria Math" w:cs="Arial"/>
            <w:sz w:val="16"/>
            <w:szCs w:val="20"/>
          </w:rPr>
          <m:t>∈</m:t>
        </m:r>
        <m:d>
          <m:dPr>
            <m:begChr m:val="{"/>
            <m:endChr m:val="}"/>
            <m:ctrlPr>
              <w:rPr>
                <w:rFonts w:ascii="Cambria Math" w:hAnsi="Cambria Math" w:cs="Arial"/>
                <w:i/>
                <w:sz w:val="16"/>
                <w:szCs w:val="20"/>
              </w:rPr>
            </m:ctrlPr>
          </m:dPr>
          <m:e>
            <m:r>
              <w:rPr>
                <w:rFonts w:ascii="Cambria Math" w:hAnsi="Cambria Math" w:cs="Arial"/>
                <w:sz w:val="16"/>
                <w:szCs w:val="20"/>
              </w:rPr>
              <m:t>1,2,4,8,10,12,14</m:t>
            </m:r>
          </m:e>
        </m:d>
      </m:oMath>
      <w:r w:rsidRPr="00F91255">
        <w:rPr>
          <w:rFonts w:ascii="Arial" w:hAnsi="Arial" w:cs="Arial"/>
          <w:sz w:val="16"/>
          <w:szCs w:val="20"/>
        </w:rPr>
        <w:t xml:space="preserve"> adjacent symbols anywhere within the slot.</w:t>
      </w:r>
      <w:r w:rsidRPr="00F91255">
        <w:rPr>
          <w:rFonts w:ascii="Arial" w:hAnsi="Arial" w:cs="Arial"/>
          <w:color w:val="000000"/>
          <w:sz w:val="16"/>
          <w:szCs w:val="20"/>
        </w:rPr>
        <w:t xml:space="preserve"> </w:t>
      </w:r>
      <m:oMath>
        <m:sSub>
          <m:sSubPr>
            <m:ctrlPr>
              <w:rPr>
                <w:rFonts w:ascii="Cambria Math" w:hAnsi="Cambria Math" w:cs="Arial"/>
                <w:i/>
                <w:color w:val="FF0000"/>
                <w:sz w:val="16"/>
                <w:szCs w:val="20"/>
              </w:rPr>
            </m:ctrlPr>
          </m:sSubPr>
          <m:e>
            <m:r>
              <w:rPr>
                <w:rFonts w:ascii="Cambria Math" w:hAnsi="Cambria Math" w:cs="Arial"/>
                <w:color w:val="FF0000"/>
                <w:sz w:val="16"/>
                <w:szCs w:val="20"/>
              </w:rPr>
              <m:t>N</m:t>
            </m:r>
          </m:e>
          <m:sub>
            <m:r>
              <w:rPr>
                <w:rFonts w:ascii="Cambria Math" w:hAnsi="Cambria Math" w:cs="Arial"/>
                <w:color w:val="FF0000"/>
                <w:sz w:val="16"/>
                <w:szCs w:val="20"/>
              </w:rPr>
              <m:t>s</m:t>
            </m:r>
          </m:sub>
        </m:sSub>
      </m:oMath>
      <w:r w:rsidRPr="00F91255">
        <w:rPr>
          <w:rFonts w:ascii="Arial" w:hAnsi="Arial" w:cs="Arial"/>
          <w:color w:val="FF0000"/>
          <w:sz w:val="16"/>
          <w:szCs w:val="20"/>
        </w:rPr>
        <w:t xml:space="preserve"> </w:t>
      </w:r>
      <w:r w:rsidRPr="00F91255">
        <w:rPr>
          <w:rFonts w:ascii="Arial" w:eastAsia="Malgun Gothic" w:hAnsi="Arial" w:cs="Arial"/>
          <w:color w:val="FF0000"/>
          <w:sz w:val="16"/>
          <w:szCs w:val="20"/>
        </w:rPr>
        <w:t>is</w:t>
      </w:r>
      <w:r w:rsidRPr="00F91255">
        <w:rPr>
          <w:rFonts w:ascii="Arial" w:hAnsi="Arial" w:cs="Arial"/>
          <w:color w:val="FF0000"/>
          <w:sz w:val="16"/>
          <w:szCs w:val="20"/>
        </w:rPr>
        <w:t xml:space="preserve"> divisible by </w:t>
      </w:r>
      <m:oMath>
        <m:r>
          <w:rPr>
            <w:rFonts w:ascii="Cambria Math" w:hAnsi="Cambria Math" w:cs="Arial"/>
            <w:color w:val="FF0000"/>
            <w:sz w:val="16"/>
            <w:szCs w:val="20"/>
          </w:rPr>
          <m:t>S*R</m:t>
        </m:r>
      </m:oMath>
      <w:r w:rsidRPr="00F91255">
        <w:rPr>
          <w:rFonts w:ascii="Arial" w:eastAsia="Malgun Gothic" w:hAnsi="Arial" w:cs="Arial"/>
          <w:color w:val="FF0000"/>
          <w:sz w:val="16"/>
          <w:szCs w:val="20"/>
        </w:rPr>
        <w:t>, where t</w:t>
      </w:r>
      <w:r w:rsidRPr="00F91255">
        <w:rPr>
          <w:rFonts w:ascii="Arial" w:hAnsi="Arial" w:cs="Arial"/>
          <w:color w:val="FF0000"/>
          <w:sz w:val="16"/>
          <w:szCs w:val="20"/>
        </w:rPr>
        <w:t xml:space="preserve">he quantity </w:t>
      </w:r>
      <m:oMath>
        <m:r>
          <w:rPr>
            <w:rFonts w:ascii="Cambria Math" w:hAnsi="Cambria Math" w:cs="Arial"/>
            <w:color w:val="FF0000"/>
            <w:sz w:val="16"/>
            <w:szCs w:val="20"/>
          </w:rPr>
          <m:t>S=2</m:t>
        </m:r>
      </m:oMath>
      <w:r w:rsidRPr="00F91255">
        <w:rPr>
          <w:rFonts w:ascii="Arial" w:hAnsi="Arial" w:cs="Arial"/>
          <w:color w:val="FF0000"/>
          <w:sz w:val="16"/>
          <w:szCs w:val="20"/>
        </w:rPr>
        <w:t xml:space="preserve"> when [</w:t>
      </w:r>
      <w:r w:rsidRPr="00F91255">
        <w:rPr>
          <w:rFonts w:ascii="Arial" w:hAnsi="Arial" w:cs="Arial"/>
          <w:i/>
          <w:iCs/>
          <w:color w:val="FF0000"/>
          <w:sz w:val="16"/>
          <w:szCs w:val="20"/>
        </w:rPr>
        <w:t>tdm</w:t>
      </w:r>
      <w:r w:rsidRPr="00F91255">
        <w:rPr>
          <w:rFonts w:ascii="Arial" w:hAnsi="Arial" w:cs="Arial"/>
          <w:color w:val="FF0000"/>
          <w:sz w:val="16"/>
          <w:szCs w:val="20"/>
        </w:rPr>
        <w:t xml:space="preserve">] is configured and </w:t>
      </w:r>
      <m:oMath>
        <m:r>
          <w:rPr>
            <w:rFonts w:ascii="Cambria Math" w:hAnsi="Cambria Math" w:cs="Arial"/>
            <w:color w:val="FF0000"/>
            <w:sz w:val="16"/>
            <w:szCs w:val="20"/>
          </w:rPr>
          <m:t>S=1</m:t>
        </m:r>
      </m:oMath>
      <w:r w:rsidRPr="00F91255">
        <w:rPr>
          <w:rFonts w:ascii="Arial" w:hAnsi="Arial" w:cs="Arial"/>
          <w:color w:val="FF0000"/>
          <w:sz w:val="16"/>
          <w:szCs w:val="20"/>
        </w:rPr>
        <w:t xml:space="preserve"> otherwise, </w:t>
      </w:r>
      <w:r w:rsidRPr="00F91255">
        <w:rPr>
          <w:rFonts w:ascii="Arial" w:eastAsia="Malgun Gothic" w:hAnsi="Arial" w:cs="Arial"/>
          <w:color w:val="FF0000"/>
          <w:sz w:val="16"/>
          <w:szCs w:val="20"/>
        </w:rPr>
        <w:t>and t</w:t>
      </w:r>
      <w:r w:rsidRPr="00F91255">
        <w:rPr>
          <w:rFonts w:ascii="Arial" w:hAnsi="Arial" w:cs="Arial"/>
          <w:color w:val="FF0000"/>
          <w:sz w:val="16"/>
          <w:szCs w:val="20"/>
        </w:rPr>
        <w:t xml:space="preserve">he quantity </w:t>
      </w:r>
      <w:r w:rsidRPr="00F91255">
        <w:rPr>
          <w:rFonts w:ascii="Arial" w:eastAsia="Malgun Gothic" w:hAnsi="Arial" w:cs="Arial"/>
          <w:i/>
          <w:color w:val="FF0000"/>
          <w:sz w:val="16"/>
          <w:szCs w:val="20"/>
        </w:rPr>
        <w:t>R</w:t>
      </w:r>
      <w:r w:rsidRPr="00F91255">
        <w:rPr>
          <w:rFonts w:ascii="Arial" w:eastAsia="Malgun Gothic" w:hAnsi="Arial" w:cs="Arial"/>
          <w:color w:val="FF0000"/>
          <w:sz w:val="16"/>
          <w:szCs w:val="20"/>
        </w:rPr>
        <w:t xml:space="preserve"> is </w:t>
      </w:r>
      <w:r w:rsidRPr="00F91255">
        <w:rPr>
          <w:rFonts w:ascii="Arial" w:eastAsia="MS Mincho" w:hAnsi="Arial" w:cs="Arial"/>
          <w:color w:val="FF0000"/>
          <w:sz w:val="16"/>
          <w:szCs w:val="20"/>
          <w:lang w:val="pt-BR" w:eastAsia="ja-JP"/>
        </w:rPr>
        <w:t>the repetition factor</w:t>
      </w:r>
      <w:r w:rsidRPr="00F91255">
        <w:rPr>
          <w:rFonts w:ascii="Arial" w:hAnsi="Arial" w:cs="Arial"/>
          <w:color w:val="FF0000"/>
          <w:sz w:val="16"/>
          <w:szCs w:val="20"/>
        </w:rPr>
        <w:t>.</w:t>
      </w:r>
    </w:p>
    <w:p w14:paraId="5BFFC1F3" w14:textId="77777777" w:rsidR="00F91255" w:rsidRPr="005A0700" w:rsidRDefault="00F91255" w:rsidP="00F91255">
      <w:pPr>
        <w:jc w:val="center"/>
        <w:rPr>
          <w:rFonts w:ascii="Arial" w:eastAsia="Malgun Gothic" w:hAnsi="Arial" w:cs="Arial"/>
          <w:color w:val="FF0000"/>
          <w:kern w:val="2"/>
          <w:sz w:val="16"/>
          <w:szCs w:val="20"/>
        </w:rPr>
      </w:pPr>
      <w:r w:rsidRPr="00F91255">
        <w:rPr>
          <w:rFonts w:ascii="Arial" w:eastAsia="Malgun Gothic" w:hAnsi="Arial" w:cs="Arial"/>
          <w:color w:val="FF0000"/>
          <w:kern w:val="2"/>
          <w:sz w:val="16"/>
          <w:szCs w:val="20"/>
        </w:rPr>
        <w:t>&lt;</w:t>
      </w:r>
      <w:r w:rsidRPr="00F91255">
        <w:rPr>
          <w:rFonts w:ascii="Arial" w:hAnsi="Arial" w:cs="Arial"/>
          <w:iCs/>
          <w:color w:val="FF0000"/>
          <w:sz w:val="16"/>
          <w:szCs w:val="20"/>
        </w:rPr>
        <w:t xml:space="preserve"> Unchanged text is </w:t>
      </w:r>
      <w:r w:rsidRPr="00F91255">
        <w:rPr>
          <w:rFonts w:ascii="Arial" w:eastAsia="Malgun Gothic" w:hAnsi="Arial" w:cs="Arial"/>
          <w:color w:val="FF0000"/>
          <w:kern w:val="2"/>
          <w:sz w:val="16"/>
          <w:szCs w:val="20"/>
        </w:rPr>
        <w:t>omitted&gt;</w:t>
      </w:r>
    </w:p>
    <w:p w14:paraId="4DE85317" w14:textId="77777777" w:rsidR="005A0700" w:rsidRPr="0064377E" w:rsidRDefault="005A0700" w:rsidP="005A0700">
      <w:pPr>
        <w:rPr>
          <w:color w:val="FF0000"/>
        </w:rPr>
      </w:pPr>
      <w:r w:rsidRPr="0064377E">
        <w:rPr>
          <w:color w:val="FF0000"/>
        </w:rPr>
        <w:t xml:space="preserve">--------- </w:t>
      </w:r>
      <w:r>
        <w:rPr>
          <w:color w:val="FF0000"/>
        </w:rPr>
        <w:t>End</w:t>
      </w:r>
      <w:r w:rsidRPr="0064377E">
        <w:rPr>
          <w:color w:val="FF0000"/>
        </w:rPr>
        <w:t xml:space="preserve"> of TP ---------</w:t>
      </w:r>
    </w:p>
    <w:p w14:paraId="7DC07C89" w14:textId="77777777" w:rsidR="00F91255" w:rsidRPr="00F91255" w:rsidRDefault="00F91255" w:rsidP="00AA1D48">
      <w:pPr>
        <w:numPr>
          <w:ilvl w:val="0"/>
          <w:numId w:val="106"/>
        </w:numPr>
        <w:contextualSpacing/>
        <w:jc w:val="both"/>
        <w:rPr>
          <w:rFonts w:ascii="Times New Roman" w:hAnsi="Times New Roman"/>
          <w:szCs w:val="20"/>
          <w:lang w:eastAsia="x-none"/>
        </w:rPr>
      </w:pPr>
      <w:r w:rsidRPr="00F91255">
        <w:rPr>
          <w:rFonts w:ascii="Times New Roman" w:hAnsi="Times New Roman"/>
          <w:szCs w:val="20"/>
          <w:lang w:eastAsia="x-none"/>
        </w:rPr>
        <w:t>Additional information</w:t>
      </w:r>
    </w:p>
    <w:p w14:paraId="5C769E3C" w14:textId="77777777" w:rsidR="00F91255" w:rsidRPr="00F91255" w:rsidRDefault="00F91255" w:rsidP="00AA1D48">
      <w:pPr>
        <w:pStyle w:val="ListParagraph"/>
        <w:numPr>
          <w:ilvl w:val="1"/>
          <w:numId w:val="106"/>
        </w:numPr>
      </w:pPr>
      <w:r w:rsidRPr="00F91255">
        <w:t xml:space="preserve">Reason for change: Current specification does not explicitly describe divisibility of </w:t>
      </w:r>
      <w:r w:rsidRPr="005A0700">
        <w:rPr>
          <w:i/>
          <w:iCs/>
        </w:rPr>
        <w:t>Ns</w:t>
      </w:r>
      <w:r w:rsidRPr="00F91255">
        <w:t xml:space="preserve"> by </w:t>
      </w:r>
      <w:r w:rsidRPr="005A0700">
        <w:rPr>
          <w:i/>
          <w:iCs/>
        </w:rPr>
        <w:t>S*R</w:t>
      </w:r>
      <w:r w:rsidRPr="00F91255">
        <w:t>.</w:t>
      </w:r>
    </w:p>
    <w:p w14:paraId="4DA15769" w14:textId="77777777" w:rsidR="00F91255" w:rsidRPr="00F91255" w:rsidRDefault="00F91255" w:rsidP="00AA1D48">
      <w:pPr>
        <w:pStyle w:val="ListParagraph"/>
        <w:numPr>
          <w:ilvl w:val="1"/>
          <w:numId w:val="106"/>
        </w:numPr>
      </w:pPr>
      <w:r w:rsidRPr="00F91255">
        <w:t xml:space="preserve">Summary for change: Add description of divisibility of </w:t>
      </w:r>
      <w:r w:rsidRPr="005A0700">
        <w:rPr>
          <w:i/>
          <w:iCs/>
        </w:rPr>
        <w:t>Ns</w:t>
      </w:r>
      <w:r w:rsidRPr="00F91255">
        <w:t xml:space="preserve"> by </w:t>
      </w:r>
      <w:r w:rsidRPr="005A0700">
        <w:rPr>
          <w:i/>
          <w:iCs/>
        </w:rPr>
        <w:t>S*R</w:t>
      </w:r>
      <w:r w:rsidRPr="00F91255">
        <w:t>.</w:t>
      </w:r>
    </w:p>
    <w:p w14:paraId="41A33B66" w14:textId="77777777" w:rsidR="00F91255" w:rsidRPr="00F91255" w:rsidRDefault="00F91255" w:rsidP="00AA1D48">
      <w:pPr>
        <w:pStyle w:val="ListParagraph"/>
        <w:numPr>
          <w:ilvl w:val="1"/>
          <w:numId w:val="106"/>
        </w:numPr>
      </w:pPr>
      <w:r w:rsidRPr="00F91255">
        <w:t>Consequences if not approved: Unclear specification.</w:t>
      </w:r>
    </w:p>
    <w:p w14:paraId="2E2A933E" w14:textId="77777777" w:rsidR="00F91255" w:rsidRPr="00F91255" w:rsidRDefault="00F91255" w:rsidP="00AA1D48">
      <w:pPr>
        <w:pStyle w:val="ListParagraph"/>
        <w:numPr>
          <w:ilvl w:val="1"/>
          <w:numId w:val="106"/>
        </w:numPr>
      </w:pPr>
      <w:r w:rsidRPr="00F91255">
        <w:t>TP is for TS38.214 v18.0.0.</w:t>
      </w:r>
    </w:p>
    <w:p w14:paraId="16C59CB6" w14:textId="77777777" w:rsidR="00F91255" w:rsidRPr="00F91255" w:rsidRDefault="00F91255" w:rsidP="00F91255">
      <w:pPr>
        <w:rPr>
          <w:rFonts w:ascii="Times New Roman" w:hAnsi="Times New Roman"/>
          <w:szCs w:val="20"/>
          <w:lang w:eastAsia="x-none"/>
        </w:rPr>
      </w:pPr>
    </w:p>
    <w:p w14:paraId="786C5B74" w14:textId="77777777" w:rsidR="005A0700" w:rsidRPr="009537ED" w:rsidRDefault="005A0700" w:rsidP="005A0700">
      <w:pPr>
        <w:rPr>
          <w:rFonts w:ascii="Times New Roman" w:hAnsi="Times New Roman"/>
          <w:szCs w:val="20"/>
          <w:highlight w:val="green"/>
          <w:lang w:eastAsia="zh-CN"/>
        </w:rPr>
      </w:pPr>
      <w:r>
        <w:rPr>
          <w:rFonts w:ascii="Times New Roman" w:hAnsi="Times New Roman"/>
          <w:szCs w:val="20"/>
          <w:highlight w:val="green"/>
          <w:lang w:eastAsia="zh-CN"/>
        </w:rPr>
        <w:t>Agreement</w:t>
      </w:r>
    </w:p>
    <w:p w14:paraId="1037B24D" w14:textId="675CC106" w:rsidR="00F91255" w:rsidRPr="00F91255" w:rsidRDefault="00F91255" w:rsidP="00F91255">
      <w:pPr>
        <w:contextualSpacing/>
        <w:rPr>
          <w:rFonts w:ascii="Times New Roman" w:hAnsi="Times New Roman"/>
          <w:szCs w:val="20"/>
        </w:rPr>
      </w:pPr>
      <w:r w:rsidRPr="00F91255">
        <w:rPr>
          <w:rFonts w:ascii="Times New Roman" w:hAnsi="Times New Roman"/>
          <w:szCs w:val="20"/>
        </w:rPr>
        <w:t>Adopt the text proposal for TS38.214</w:t>
      </w:r>
      <w:r w:rsidR="005A0700">
        <w:rPr>
          <w:rFonts w:ascii="Times New Roman" w:hAnsi="Times New Roman"/>
          <w:szCs w:val="20"/>
        </w:rPr>
        <w:t>.</w:t>
      </w:r>
    </w:p>
    <w:p w14:paraId="33EEF52D" w14:textId="77777777" w:rsidR="005A0700" w:rsidRPr="0064377E" w:rsidRDefault="005A0700" w:rsidP="005A0700">
      <w:pPr>
        <w:rPr>
          <w:color w:val="FF0000"/>
        </w:rPr>
      </w:pPr>
      <w:r w:rsidRPr="0064377E">
        <w:rPr>
          <w:color w:val="FF0000"/>
        </w:rPr>
        <w:t>--------- Start of TP ---------</w:t>
      </w:r>
    </w:p>
    <w:p w14:paraId="33F3DA64" w14:textId="77777777" w:rsidR="00F91255" w:rsidRPr="00F91255" w:rsidRDefault="00F91255" w:rsidP="00F91255">
      <w:pPr>
        <w:ind w:left="425"/>
        <w:contextualSpacing/>
        <w:rPr>
          <w:rFonts w:ascii="Arial" w:hAnsi="Arial" w:cs="Arial"/>
          <w:b/>
          <w:bCs/>
          <w:color w:val="000000"/>
          <w:sz w:val="16"/>
          <w:szCs w:val="16"/>
        </w:rPr>
      </w:pPr>
      <w:r w:rsidRPr="00F91255">
        <w:rPr>
          <w:rFonts w:ascii="Arial" w:hAnsi="Arial" w:cs="Arial"/>
          <w:b/>
          <w:bCs/>
          <w:sz w:val="16"/>
          <w:szCs w:val="16"/>
        </w:rPr>
        <w:t>6.2.1</w:t>
      </w:r>
      <w:r w:rsidRPr="00F91255">
        <w:rPr>
          <w:rFonts w:ascii="Arial" w:hAnsi="Arial" w:cs="Arial"/>
          <w:b/>
          <w:bCs/>
          <w:sz w:val="16"/>
          <w:szCs w:val="16"/>
        </w:rPr>
        <w:tab/>
        <w:t xml:space="preserve">UE sounding procedure </w:t>
      </w:r>
    </w:p>
    <w:p w14:paraId="2D0DF8CF" w14:textId="77777777" w:rsidR="00F91255" w:rsidRPr="00F91255" w:rsidRDefault="00F91255" w:rsidP="00F91255">
      <w:pPr>
        <w:ind w:left="425"/>
        <w:contextualSpacing/>
        <w:jc w:val="center"/>
        <w:rPr>
          <w:rFonts w:ascii="Arial" w:hAnsi="Arial" w:cs="Arial"/>
          <w:color w:val="FF0000"/>
          <w:sz w:val="16"/>
          <w:szCs w:val="16"/>
        </w:rPr>
      </w:pPr>
      <w:r w:rsidRPr="00F91255">
        <w:rPr>
          <w:rFonts w:ascii="Arial" w:hAnsi="Arial" w:cs="Arial"/>
          <w:bCs/>
          <w:iCs/>
          <w:color w:val="FF0000"/>
          <w:sz w:val="16"/>
          <w:szCs w:val="16"/>
        </w:rPr>
        <w:t>&lt;Unchanged text is omitted&gt;</w:t>
      </w:r>
    </w:p>
    <w:p w14:paraId="0C0EE5CF" w14:textId="77777777" w:rsidR="00F91255" w:rsidRPr="00F91255" w:rsidRDefault="00F91255" w:rsidP="00F91255">
      <w:pPr>
        <w:ind w:left="425"/>
        <w:rPr>
          <w:rFonts w:ascii="Arial" w:hAnsi="Arial" w:cs="Arial"/>
          <w:color w:val="000000"/>
          <w:sz w:val="16"/>
          <w:szCs w:val="16"/>
        </w:rPr>
      </w:pPr>
      <w:r w:rsidRPr="00F91255">
        <w:rPr>
          <w:rFonts w:ascii="Arial" w:hAnsi="Arial" w:cs="Arial"/>
          <w:iCs/>
          <w:color w:val="000000"/>
          <w:sz w:val="16"/>
          <w:szCs w:val="16"/>
        </w:rPr>
        <w:t xml:space="preserve">For a SRS resource, </w:t>
      </w:r>
      <w:r w:rsidRPr="00F91255">
        <w:rPr>
          <w:rFonts w:ascii="Arial" w:hAnsi="Arial" w:cs="Arial"/>
          <w:color w:val="000000"/>
          <w:sz w:val="16"/>
          <w:szCs w:val="16"/>
        </w:rPr>
        <w:t>if the higher layer parameters [</w:t>
      </w:r>
      <w:r w:rsidRPr="00F91255">
        <w:rPr>
          <w:rFonts w:ascii="Arial" w:hAnsi="Arial" w:cs="Arial"/>
          <w:i/>
          <w:iCs/>
          <w:color w:val="000000"/>
          <w:sz w:val="16"/>
          <w:szCs w:val="16"/>
        </w:rPr>
        <w:t>tdm</w:t>
      </w:r>
      <w:r w:rsidRPr="00F91255">
        <w:rPr>
          <w:rFonts w:ascii="Arial" w:hAnsi="Arial" w:cs="Arial"/>
          <w:color w:val="000000"/>
          <w:sz w:val="16"/>
          <w:szCs w:val="16"/>
        </w:rPr>
        <w:t xml:space="preserve">] </w:t>
      </w:r>
      <w:r w:rsidRPr="00F91255">
        <w:rPr>
          <w:rFonts w:ascii="Arial" w:eastAsia="Malgun Gothic" w:hAnsi="Arial" w:cs="Arial"/>
          <w:color w:val="000000"/>
          <w:sz w:val="16"/>
          <w:szCs w:val="16"/>
        </w:rPr>
        <w:t xml:space="preserve">or [combOffsetHopping] are configured, the corresponding UE SRS frequency hopping procedure is specified in clause 6.4.1.4.3 of [4, TS 38.211]. </w:t>
      </w:r>
      <w:r w:rsidRPr="00F91255">
        <w:rPr>
          <w:rFonts w:ascii="Arial" w:hAnsi="Arial" w:cs="Arial"/>
          <w:iCs/>
          <w:color w:val="000000"/>
          <w:sz w:val="16"/>
          <w:szCs w:val="16"/>
        </w:rPr>
        <w:t xml:space="preserve">If for a SRS resource </w:t>
      </w:r>
      <w:r w:rsidRPr="00F91255">
        <w:rPr>
          <w:rFonts w:ascii="Arial" w:hAnsi="Arial" w:cs="Arial"/>
          <w:color w:val="000000"/>
          <w:sz w:val="16"/>
          <w:szCs w:val="16"/>
        </w:rPr>
        <w:t>the higher layer parameters [</w:t>
      </w:r>
      <w:r w:rsidRPr="00F91255">
        <w:rPr>
          <w:rFonts w:ascii="Arial" w:hAnsi="Arial" w:cs="Arial"/>
          <w:i/>
          <w:iCs/>
          <w:color w:val="000000"/>
          <w:sz w:val="16"/>
          <w:szCs w:val="16"/>
        </w:rPr>
        <w:t>tdm</w:t>
      </w:r>
      <w:r w:rsidRPr="00F91255">
        <w:rPr>
          <w:rFonts w:ascii="Arial" w:hAnsi="Arial" w:cs="Arial"/>
          <w:color w:val="000000"/>
          <w:sz w:val="16"/>
          <w:szCs w:val="16"/>
        </w:rPr>
        <w:t>] and</w:t>
      </w:r>
      <w:r w:rsidRPr="00F91255">
        <w:rPr>
          <w:rFonts w:ascii="Arial" w:eastAsia="Malgun Gothic" w:hAnsi="Arial" w:cs="Arial"/>
          <w:color w:val="000000"/>
          <w:sz w:val="16"/>
          <w:szCs w:val="16"/>
        </w:rPr>
        <w:t xml:space="preserve"> [combOffsetHopping] are not configured, the UE SRS frequency hopping procedure is specified in clause 6.4.1.4.3 of [4, TS 38.211] and in clause 6.2.1.</w:t>
      </w:r>
      <w:r w:rsidRPr="00F91255">
        <w:rPr>
          <w:rFonts w:ascii="Arial" w:eastAsia="Malgun Gothic" w:hAnsi="Arial" w:cs="Arial"/>
          <w:strike/>
          <w:color w:val="FF0000"/>
          <w:sz w:val="16"/>
          <w:szCs w:val="16"/>
        </w:rPr>
        <w:t>2</w:t>
      </w:r>
      <w:r w:rsidRPr="00F91255">
        <w:rPr>
          <w:rFonts w:ascii="Arial" w:eastAsia="Malgun Gothic" w:hAnsi="Arial" w:cs="Arial"/>
          <w:color w:val="FF0000"/>
          <w:sz w:val="16"/>
          <w:szCs w:val="16"/>
        </w:rPr>
        <w:t>1</w:t>
      </w:r>
      <w:r w:rsidRPr="00F91255">
        <w:rPr>
          <w:rFonts w:ascii="Arial" w:eastAsia="Malgun Gothic" w:hAnsi="Arial" w:cs="Arial"/>
          <w:color w:val="000000"/>
          <w:sz w:val="16"/>
          <w:szCs w:val="16"/>
        </w:rPr>
        <w:t>.</w:t>
      </w:r>
    </w:p>
    <w:p w14:paraId="3292EA0D" w14:textId="77777777" w:rsidR="00F91255" w:rsidRPr="009A051A" w:rsidRDefault="00F91255" w:rsidP="00F91255">
      <w:pPr>
        <w:spacing w:line="276" w:lineRule="auto"/>
        <w:jc w:val="center"/>
        <w:rPr>
          <w:rFonts w:ascii="Arial" w:hAnsi="Arial" w:cs="Arial"/>
          <w:bCs/>
          <w:iCs/>
          <w:color w:val="FF0000"/>
          <w:sz w:val="16"/>
          <w:szCs w:val="16"/>
        </w:rPr>
      </w:pPr>
      <w:r w:rsidRPr="00F91255">
        <w:rPr>
          <w:rFonts w:ascii="Arial" w:hAnsi="Arial" w:cs="Arial"/>
          <w:bCs/>
          <w:iCs/>
          <w:color w:val="FF0000"/>
          <w:sz w:val="16"/>
          <w:szCs w:val="16"/>
        </w:rPr>
        <w:t>&lt;Unchanged text is omitted&gt;</w:t>
      </w:r>
    </w:p>
    <w:p w14:paraId="7A4366D0" w14:textId="77777777" w:rsidR="005A0700" w:rsidRPr="0064377E" w:rsidRDefault="005A0700" w:rsidP="005A0700">
      <w:pPr>
        <w:rPr>
          <w:color w:val="FF0000"/>
        </w:rPr>
      </w:pPr>
      <w:r w:rsidRPr="0064377E">
        <w:rPr>
          <w:color w:val="FF0000"/>
        </w:rPr>
        <w:t xml:space="preserve">--------- </w:t>
      </w:r>
      <w:r>
        <w:rPr>
          <w:color w:val="FF0000"/>
        </w:rPr>
        <w:t>End</w:t>
      </w:r>
      <w:r w:rsidRPr="0064377E">
        <w:rPr>
          <w:color w:val="FF0000"/>
        </w:rPr>
        <w:t xml:space="preserve"> of TP ---------</w:t>
      </w:r>
    </w:p>
    <w:p w14:paraId="4929C2DF" w14:textId="77777777" w:rsidR="00F91255" w:rsidRPr="00F91255" w:rsidRDefault="00F91255" w:rsidP="00AA1D48">
      <w:pPr>
        <w:numPr>
          <w:ilvl w:val="0"/>
          <w:numId w:val="106"/>
        </w:numPr>
        <w:contextualSpacing/>
        <w:jc w:val="both"/>
        <w:rPr>
          <w:rFonts w:ascii="Times New Roman" w:hAnsi="Times New Roman"/>
          <w:szCs w:val="20"/>
          <w:lang w:eastAsia="x-none"/>
        </w:rPr>
      </w:pPr>
      <w:r w:rsidRPr="00F91255">
        <w:rPr>
          <w:rFonts w:ascii="Times New Roman" w:hAnsi="Times New Roman"/>
          <w:szCs w:val="20"/>
          <w:lang w:eastAsia="x-none"/>
        </w:rPr>
        <w:t>Additional information</w:t>
      </w:r>
    </w:p>
    <w:p w14:paraId="6225D028" w14:textId="77777777" w:rsidR="00F91255" w:rsidRPr="00F91255" w:rsidRDefault="00F91255" w:rsidP="00AA1D48">
      <w:pPr>
        <w:pStyle w:val="ListParagraph"/>
        <w:numPr>
          <w:ilvl w:val="1"/>
          <w:numId w:val="106"/>
        </w:numPr>
      </w:pPr>
      <w:r w:rsidRPr="00F91255">
        <w:t>Reason for change: Incorrect reference to clause number.</w:t>
      </w:r>
    </w:p>
    <w:p w14:paraId="5FAF84FE" w14:textId="77777777" w:rsidR="00F91255" w:rsidRPr="00F91255" w:rsidRDefault="00F91255" w:rsidP="00AA1D48">
      <w:pPr>
        <w:pStyle w:val="ListParagraph"/>
        <w:numPr>
          <w:ilvl w:val="1"/>
          <w:numId w:val="106"/>
        </w:numPr>
      </w:pPr>
      <w:r w:rsidRPr="00F91255">
        <w:t>Summary for change: Correct from “clause 6.2.1.2” to be “clause 6.2.1.1”.</w:t>
      </w:r>
    </w:p>
    <w:p w14:paraId="6B8DE4C7" w14:textId="77777777" w:rsidR="00F91255" w:rsidRPr="00F91255" w:rsidRDefault="00F91255" w:rsidP="00AA1D48">
      <w:pPr>
        <w:pStyle w:val="ListParagraph"/>
        <w:numPr>
          <w:ilvl w:val="1"/>
          <w:numId w:val="106"/>
        </w:numPr>
      </w:pPr>
      <w:r w:rsidRPr="00F91255">
        <w:t>Consequences if not approved: Incorrect specification for SRS.</w:t>
      </w:r>
    </w:p>
    <w:p w14:paraId="3D8EA4B3" w14:textId="77777777" w:rsidR="00F91255" w:rsidRPr="00F91255" w:rsidRDefault="00F91255" w:rsidP="00AA1D48">
      <w:pPr>
        <w:pStyle w:val="ListParagraph"/>
        <w:numPr>
          <w:ilvl w:val="1"/>
          <w:numId w:val="106"/>
        </w:numPr>
      </w:pPr>
      <w:r w:rsidRPr="00F91255">
        <w:t>TP is for TS38.214 v18.0.0.</w:t>
      </w:r>
    </w:p>
    <w:p w14:paraId="58EAFC15" w14:textId="77777777" w:rsidR="00F91255" w:rsidRPr="00F91255" w:rsidRDefault="00F91255" w:rsidP="00F91255">
      <w:pPr>
        <w:rPr>
          <w:rFonts w:ascii="Times New Roman" w:hAnsi="Times New Roman"/>
          <w:szCs w:val="20"/>
          <w:lang w:eastAsia="x-none"/>
        </w:rPr>
      </w:pPr>
    </w:p>
    <w:p w14:paraId="18921212" w14:textId="77777777" w:rsidR="009A051A" w:rsidRPr="009537ED" w:rsidRDefault="009A051A" w:rsidP="009A051A">
      <w:pPr>
        <w:rPr>
          <w:rFonts w:ascii="Times New Roman" w:hAnsi="Times New Roman"/>
          <w:szCs w:val="20"/>
          <w:highlight w:val="green"/>
          <w:lang w:eastAsia="zh-CN"/>
        </w:rPr>
      </w:pPr>
      <w:r>
        <w:rPr>
          <w:rFonts w:ascii="Times New Roman" w:hAnsi="Times New Roman"/>
          <w:szCs w:val="20"/>
          <w:highlight w:val="green"/>
          <w:lang w:eastAsia="zh-CN"/>
        </w:rPr>
        <w:t>Agreement</w:t>
      </w:r>
    </w:p>
    <w:p w14:paraId="225F74BB" w14:textId="488A1DB6" w:rsidR="00F91255" w:rsidRPr="00F91255" w:rsidRDefault="00F91255" w:rsidP="00F91255">
      <w:pPr>
        <w:spacing w:line="276" w:lineRule="auto"/>
        <w:rPr>
          <w:rFonts w:ascii="Times New Roman" w:hAnsi="Times New Roman"/>
          <w:szCs w:val="20"/>
        </w:rPr>
      </w:pPr>
      <w:r w:rsidRPr="00F91255">
        <w:rPr>
          <w:rFonts w:ascii="Times New Roman" w:hAnsi="Times New Roman"/>
          <w:szCs w:val="20"/>
        </w:rPr>
        <w:t>Adopt the text proposal for TS38.211 on repetition factor and TDM</w:t>
      </w:r>
      <w:r w:rsidR="009A051A">
        <w:rPr>
          <w:rFonts w:ascii="Times New Roman" w:hAnsi="Times New Roman"/>
          <w:szCs w:val="20"/>
        </w:rPr>
        <w:t>.</w:t>
      </w:r>
    </w:p>
    <w:p w14:paraId="7D01C79F" w14:textId="77777777" w:rsidR="009A051A" w:rsidRPr="0064377E" w:rsidRDefault="009A051A" w:rsidP="009A051A">
      <w:pPr>
        <w:rPr>
          <w:color w:val="FF0000"/>
        </w:rPr>
      </w:pPr>
      <w:r w:rsidRPr="0064377E">
        <w:rPr>
          <w:color w:val="FF0000"/>
        </w:rPr>
        <w:t>--------- Start of TP ---------</w:t>
      </w:r>
    </w:p>
    <w:p w14:paraId="0877B9DA" w14:textId="77777777" w:rsidR="00F91255" w:rsidRPr="00F91255" w:rsidRDefault="00F91255" w:rsidP="00F91255">
      <w:pPr>
        <w:ind w:left="425"/>
        <w:rPr>
          <w:rFonts w:ascii="Arial" w:eastAsia="Malgun Gothic" w:hAnsi="Arial" w:cs="Arial"/>
          <w:b/>
          <w:kern w:val="2"/>
          <w:sz w:val="16"/>
          <w:szCs w:val="16"/>
        </w:rPr>
      </w:pPr>
      <w:r w:rsidRPr="00F91255">
        <w:rPr>
          <w:rFonts w:ascii="Arial" w:eastAsia="Malgun Gothic" w:hAnsi="Arial" w:cs="Arial"/>
          <w:b/>
          <w:kern w:val="2"/>
          <w:sz w:val="16"/>
          <w:szCs w:val="16"/>
        </w:rPr>
        <w:t>6.4.1.4.3</w:t>
      </w:r>
      <w:r w:rsidRPr="00F91255">
        <w:rPr>
          <w:rFonts w:ascii="Arial" w:eastAsia="Malgun Gothic" w:hAnsi="Arial" w:cs="Arial"/>
          <w:b/>
          <w:kern w:val="2"/>
          <w:sz w:val="16"/>
          <w:szCs w:val="16"/>
        </w:rPr>
        <w:tab/>
        <w:t>Mapping to physical resources</w:t>
      </w:r>
    </w:p>
    <w:p w14:paraId="742190D2" w14:textId="77777777" w:rsidR="00F91255" w:rsidRPr="00F91255" w:rsidRDefault="00F91255" w:rsidP="00F91255">
      <w:pPr>
        <w:ind w:left="425"/>
        <w:jc w:val="center"/>
        <w:rPr>
          <w:rFonts w:ascii="Arial" w:eastAsia="Malgun Gothic" w:hAnsi="Arial" w:cs="Arial"/>
          <w:color w:val="FF0000"/>
          <w:kern w:val="2"/>
          <w:sz w:val="16"/>
          <w:szCs w:val="16"/>
        </w:rPr>
      </w:pPr>
      <w:r w:rsidRPr="00F91255">
        <w:rPr>
          <w:rFonts w:ascii="Arial" w:eastAsia="Malgun Gothic" w:hAnsi="Arial" w:cs="Arial"/>
          <w:color w:val="FF0000"/>
          <w:kern w:val="2"/>
          <w:sz w:val="16"/>
          <w:szCs w:val="16"/>
        </w:rPr>
        <w:t>&lt;</w:t>
      </w:r>
      <w:r w:rsidRPr="00F91255">
        <w:rPr>
          <w:rFonts w:ascii="Arial" w:hAnsi="Arial" w:cs="Arial"/>
          <w:iCs/>
          <w:color w:val="FF0000"/>
          <w:sz w:val="16"/>
          <w:szCs w:val="16"/>
        </w:rPr>
        <w:t xml:space="preserve"> Unchanged text is </w:t>
      </w:r>
      <w:r w:rsidRPr="00F91255">
        <w:rPr>
          <w:rFonts w:ascii="Arial" w:eastAsia="Malgun Gothic" w:hAnsi="Arial" w:cs="Arial"/>
          <w:color w:val="FF0000"/>
          <w:kern w:val="2"/>
          <w:sz w:val="16"/>
          <w:szCs w:val="16"/>
        </w:rPr>
        <w:t>omitted&gt;</w:t>
      </w:r>
    </w:p>
    <w:p w14:paraId="46BDC412" w14:textId="201B9B02" w:rsidR="00F91255" w:rsidRPr="00F91255" w:rsidRDefault="00F91255" w:rsidP="00F91255">
      <w:pPr>
        <w:ind w:left="425"/>
        <w:rPr>
          <w:rFonts w:ascii="Arial" w:hAnsi="Arial" w:cs="Arial"/>
          <w:sz w:val="16"/>
          <w:szCs w:val="16"/>
        </w:rPr>
      </w:pPr>
      <w:r w:rsidRPr="00F91255">
        <w:rPr>
          <w:rFonts w:ascii="Arial" w:hAnsi="Arial" w:cs="Arial"/>
          <w:iCs/>
          <w:sz w:val="16"/>
          <w:szCs w:val="16"/>
        </w:rPr>
        <w:t xml:space="preserve">If </w:t>
      </w:r>
      <m:oMath>
        <m:sSub>
          <m:sSubPr>
            <m:ctrlPr>
              <w:rPr>
                <w:rFonts w:ascii="Cambria Math" w:hAnsi="Cambria Math" w:cs="Arial"/>
                <w:i/>
                <w:sz w:val="16"/>
                <w:szCs w:val="16"/>
                <w:lang w:eastAsia="ja-JP"/>
              </w:rPr>
            </m:ctrlPr>
          </m:sSubPr>
          <m:e>
            <m:r>
              <w:rPr>
                <w:rFonts w:ascii="Cambria Math" w:hAnsi="Cambria Math" w:cs="Arial"/>
                <w:sz w:val="16"/>
                <w:szCs w:val="16"/>
                <w:lang w:eastAsia="ja-JP"/>
              </w:rPr>
              <m:t>b</m:t>
            </m:r>
          </m:e>
          <m:sub>
            <m:r>
              <m:rPr>
                <m:nor/>
              </m:rPr>
              <w:rPr>
                <w:rFonts w:ascii="Arial" w:hAnsi="Arial" w:cs="Arial"/>
                <w:sz w:val="16"/>
                <w:szCs w:val="16"/>
                <w:lang w:eastAsia="ja-JP"/>
              </w:rPr>
              <m:t>hop</m:t>
            </m:r>
          </m:sub>
        </m:sSub>
        <m:r>
          <w:rPr>
            <w:rFonts w:ascii="Cambria Math" w:hAnsi="Cambria Math" w:cs="Arial"/>
            <w:sz w:val="16"/>
            <w:szCs w:val="16"/>
            <w:lang w:eastAsia="ja-JP"/>
          </w:rPr>
          <m:t>&lt;</m:t>
        </m:r>
        <m:sSub>
          <m:sSubPr>
            <m:ctrlPr>
              <w:rPr>
                <w:rFonts w:ascii="Cambria Math" w:hAnsi="Cambria Math" w:cs="Arial"/>
                <w:i/>
                <w:sz w:val="16"/>
                <w:szCs w:val="16"/>
                <w:lang w:eastAsia="ja-JP"/>
              </w:rPr>
            </m:ctrlPr>
          </m:sSubPr>
          <m:e>
            <m:r>
              <w:rPr>
                <w:rFonts w:ascii="Cambria Math" w:hAnsi="Cambria Math" w:cs="Arial"/>
                <w:sz w:val="16"/>
                <w:szCs w:val="16"/>
                <w:lang w:eastAsia="ja-JP"/>
              </w:rPr>
              <m:t>B</m:t>
            </m:r>
          </m:e>
          <m:sub>
            <m:r>
              <m:rPr>
                <m:nor/>
              </m:rPr>
              <w:rPr>
                <w:rFonts w:ascii="Arial" w:hAnsi="Arial" w:cs="Arial"/>
                <w:sz w:val="16"/>
                <w:szCs w:val="16"/>
                <w:lang w:eastAsia="ja-JP"/>
              </w:rPr>
              <m:t>SRS</m:t>
            </m:r>
          </m:sub>
        </m:sSub>
      </m:oMath>
      <w:r w:rsidRPr="00F91255">
        <w:rPr>
          <w:rFonts w:ascii="Arial" w:eastAsia="MS Mincho" w:hAnsi="Arial" w:cs="Arial"/>
          <w:sz w:val="16"/>
          <w:szCs w:val="16"/>
          <w:lang w:val="pt-BR" w:eastAsia="ja-JP"/>
        </w:rPr>
        <w:t xml:space="preserve">, frequency hopping is enabled and </w:t>
      </w:r>
      <w:r w:rsidRPr="00F91255">
        <w:rPr>
          <w:rFonts w:ascii="Arial" w:hAnsi="Arial" w:cs="Arial"/>
          <w:sz w:val="16"/>
          <w:szCs w:val="16"/>
        </w:rPr>
        <w:t xml:space="preserve">the frequency position indices </w:t>
      </w:r>
      <m:oMath>
        <m:sSub>
          <m:sSubPr>
            <m:ctrlPr>
              <w:rPr>
                <w:rFonts w:ascii="Cambria Math" w:hAnsi="Cambria Math" w:cs="Arial"/>
                <w:i/>
                <w:sz w:val="16"/>
                <w:szCs w:val="16"/>
                <w:lang w:val="fi-FI"/>
              </w:rPr>
            </m:ctrlPr>
          </m:sSubPr>
          <m:e>
            <m:r>
              <w:rPr>
                <w:rFonts w:ascii="Cambria Math" w:hAnsi="Cambria Math" w:cs="Arial"/>
                <w:sz w:val="16"/>
                <w:szCs w:val="16"/>
                <w:lang w:val="fi-FI"/>
              </w:rPr>
              <m:t>n</m:t>
            </m:r>
          </m:e>
          <m:sub>
            <m:r>
              <w:rPr>
                <w:rFonts w:ascii="Cambria Math" w:hAnsi="Cambria Math" w:cs="Arial"/>
                <w:sz w:val="16"/>
                <w:szCs w:val="16"/>
                <w:lang w:val="fi-FI"/>
              </w:rPr>
              <m:t>b</m:t>
            </m:r>
          </m:sub>
        </m:sSub>
      </m:oMath>
      <w:r w:rsidRPr="00F91255">
        <w:rPr>
          <w:rFonts w:ascii="Arial" w:hAnsi="Arial" w:cs="Arial"/>
          <w:sz w:val="16"/>
          <w:szCs w:val="16"/>
        </w:rPr>
        <w:t xml:space="preserve"> are defined by</w:t>
      </w:r>
    </w:p>
    <w:p w14:paraId="7917C313" w14:textId="5C72CFA7" w:rsidR="00F91255" w:rsidRPr="00F91255" w:rsidRDefault="005A18DC" w:rsidP="00F91255">
      <w:pPr>
        <w:keepLines/>
        <w:tabs>
          <w:tab w:val="center" w:pos="4536"/>
          <w:tab w:val="right" w:pos="9072"/>
        </w:tabs>
        <w:ind w:left="800"/>
        <w:jc w:val="center"/>
        <w:rPr>
          <w:rFonts w:ascii="Arial" w:eastAsia="Times New Roman" w:hAnsi="Arial" w:cs="Arial"/>
          <w:noProof/>
          <w:sz w:val="16"/>
          <w:szCs w:val="16"/>
        </w:rPr>
      </w:pPr>
      <m:oMathPara>
        <m:oMath>
          <m:sSub>
            <m:sSubPr>
              <m:ctrlPr>
                <w:rPr>
                  <w:rFonts w:ascii="Cambria Math" w:eastAsia="Calibri" w:hAnsi="Cambria Math" w:cs="Arial"/>
                  <w:i/>
                  <w:sz w:val="16"/>
                  <w:szCs w:val="16"/>
                  <w:lang w:val="sv-SE"/>
                </w:rPr>
              </m:ctrlPr>
            </m:sSubPr>
            <m:e>
              <m:r>
                <w:rPr>
                  <w:rFonts w:ascii="Cambria Math" w:hAnsi="Cambria Math" w:cs="Arial"/>
                  <w:sz w:val="16"/>
                  <w:szCs w:val="16"/>
                </w:rPr>
                <m:t>n</m:t>
              </m:r>
            </m:e>
            <m:sub>
              <m:r>
                <w:rPr>
                  <w:rFonts w:ascii="Cambria Math" w:hAnsi="Cambria Math" w:cs="Arial"/>
                  <w:sz w:val="16"/>
                  <w:szCs w:val="16"/>
                </w:rPr>
                <m:t>b</m:t>
              </m:r>
            </m:sub>
          </m:sSub>
          <m:r>
            <w:rPr>
              <w:rFonts w:ascii="Cambria Math" w:hAnsi="Cambria Math" w:cs="Arial"/>
              <w:sz w:val="16"/>
              <w:szCs w:val="16"/>
              <w:lang w:val="en-US"/>
            </w:rPr>
            <m:t>=</m:t>
          </m:r>
          <m:d>
            <m:dPr>
              <m:begChr m:val="{"/>
              <m:endChr m:val=""/>
              <m:ctrlPr>
                <w:rPr>
                  <w:rFonts w:ascii="Cambria Math" w:eastAsia="Calibri" w:hAnsi="Cambria Math" w:cs="Arial"/>
                  <w:i/>
                  <w:sz w:val="16"/>
                  <w:szCs w:val="16"/>
                  <w:lang w:val="sv-SE"/>
                </w:rPr>
              </m:ctrlPr>
            </m:dPr>
            <m:e>
              <m:m>
                <m:mPr>
                  <m:cGp m:val="8"/>
                  <m:mcs>
                    <m:mc>
                      <m:mcPr>
                        <m:count m:val="2"/>
                        <m:mcJc m:val="left"/>
                      </m:mcPr>
                    </m:mc>
                  </m:mcs>
                  <m:ctrlPr>
                    <w:rPr>
                      <w:rFonts w:ascii="Cambria Math" w:eastAsia="Calibri" w:hAnsi="Cambria Math" w:cs="Arial"/>
                      <w:i/>
                      <w:sz w:val="16"/>
                      <w:szCs w:val="16"/>
                      <w:lang w:val="sv-SE"/>
                    </w:rPr>
                  </m:ctrlPr>
                </m:mPr>
                <m:mr>
                  <m:e>
                    <m:d>
                      <m:dPr>
                        <m:begChr m:val="⌊"/>
                        <m:endChr m:val="⌋"/>
                        <m:ctrlPr>
                          <w:rPr>
                            <w:rFonts w:ascii="Cambria Math" w:eastAsia="Calibri" w:hAnsi="Cambria Math" w:cs="Arial"/>
                            <w:i/>
                            <w:sz w:val="16"/>
                            <w:szCs w:val="16"/>
                            <w:lang w:val="sv-SE"/>
                          </w:rPr>
                        </m:ctrlPr>
                      </m:dPr>
                      <m:e>
                        <m:f>
                          <m:fPr>
                            <m:type m:val="lin"/>
                            <m:ctrlPr>
                              <w:rPr>
                                <w:rFonts w:ascii="Cambria Math" w:eastAsia="Calibri" w:hAnsi="Cambria Math" w:cs="Arial"/>
                                <w:i/>
                                <w:sz w:val="16"/>
                                <w:szCs w:val="16"/>
                                <w:lang w:val="sv-SE"/>
                              </w:rPr>
                            </m:ctrlPr>
                          </m:fPr>
                          <m:num>
                            <m:r>
                              <w:rPr>
                                <w:rFonts w:ascii="Cambria Math" w:hAnsi="Cambria Math" w:cs="Arial"/>
                                <w:sz w:val="16"/>
                                <w:szCs w:val="16"/>
                                <w:lang w:val="en-US"/>
                              </w:rPr>
                              <m:t>4</m:t>
                            </m:r>
                            <m:sSub>
                              <m:sSubPr>
                                <m:ctrlPr>
                                  <w:rPr>
                                    <w:rFonts w:ascii="Cambria Math" w:eastAsia="Calibri" w:hAnsi="Cambria Math" w:cs="Arial"/>
                                    <w:i/>
                                    <w:sz w:val="16"/>
                                    <w:szCs w:val="16"/>
                                    <w:lang w:val="sv-SE"/>
                                  </w:rPr>
                                </m:ctrlPr>
                              </m:sSubPr>
                              <m:e>
                                <m:r>
                                  <w:rPr>
                                    <w:rFonts w:ascii="Cambria Math" w:hAnsi="Cambria Math" w:cs="Arial"/>
                                    <w:sz w:val="16"/>
                                    <w:szCs w:val="16"/>
                                  </w:rPr>
                                  <m:t>n</m:t>
                                </m:r>
                              </m:e>
                              <m:sub>
                                <m:r>
                                  <m:rPr>
                                    <m:nor/>
                                  </m:rPr>
                                  <w:rPr>
                                    <w:rFonts w:ascii="Arial" w:hAnsi="Arial" w:cs="Arial"/>
                                    <w:sz w:val="16"/>
                                    <w:szCs w:val="16"/>
                                    <w:lang w:val="en-US"/>
                                  </w:rPr>
                                  <m:t>RRC</m:t>
                                </m:r>
                              </m:sub>
                            </m:sSub>
                          </m:num>
                          <m:den>
                            <m:sSub>
                              <m:sSubPr>
                                <m:ctrlPr>
                                  <w:rPr>
                                    <w:rFonts w:ascii="Cambria Math" w:eastAsia="Calibri" w:hAnsi="Cambria Math" w:cs="Arial"/>
                                    <w:i/>
                                    <w:sz w:val="16"/>
                                    <w:szCs w:val="16"/>
                                    <w:lang w:val="sv-SE"/>
                                  </w:rPr>
                                </m:ctrlPr>
                              </m:sSubPr>
                              <m:e>
                                <m:r>
                                  <w:rPr>
                                    <w:rFonts w:ascii="Cambria Math" w:hAnsi="Cambria Math" w:cs="Arial"/>
                                    <w:sz w:val="16"/>
                                    <w:szCs w:val="16"/>
                                  </w:rPr>
                                  <m:t>m</m:t>
                                </m:r>
                              </m:e>
                              <m:sub>
                                <m:r>
                                  <m:rPr>
                                    <m:nor/>
                                  </m:rPr>
                                  <w:rPr>
                                    <w:rFonts w:ascii="Arial" w:hAnsi="Arial" w:cs="Arial"/>
                                    <w:sz w:val="16"/>
                                    <w:szCs w:val="16"/>
                                    <w:lang w:val="en-US"/>
                                  </w:rPr>
                                  <m:t>SRS</m:t>
                                </m:r>
                                <m:r>
                                  <w:rPr>
                                    <w:rFonts w:ascii="Cambria Math" w:hAnsi="Cambria Math" w:cs="Arial"/>
                                    <w:sz w:val="16"/>
                                    <w:szCs w:val="16"/>
                                    <w:lang w:val="en-US"/>
                                  </w:rPr>
                                  <m:t>,</m:t>
                                </m:r>
                                <m:r>
                                  <w:rPr>
                                    <w:rFonts w:ascii="Cambria Math" w:hAnsi="Cambria Math" w:cs="Arial"/>
                                    <w:sz w:val="16"/>
                                    <w:szCs w:val="16"/>
                                  </w:rPr>
                                  <m:t>b</m:t>
                                </m:r>
                              </m:sub>
                            </m:sSub>
                          </m:den>
                        </m:f>
                      </m:e>
                    </m:d>
                    <m:r>
                      <m:rPr>
                        <m:nor/>
                      </m:rPr>
                      <w:rPr>
                        <w:rFonts w:ascii="Arial" w:hAnsi="Arial" w:cs="Arial"/>
                        <w:sz w:val="16"/>
                        <w:szCs w:val="16"/>
                        <w:lang w:val="en-US"/>
                      </w:rPr>
                      <m:t xml:space="preserve"> mod </m:t>
                    </m:r>
                    <m:sSub>
                      <m:sSubPr>
                        <m:ctrlPr>
                          <w:rPr>
                            <w:rFonts w:ascii="Cambria Math" w:eastAsia="Calibri" w:hAnsi="Cambria Math" w:cs="Arial"/>
                            <w:i/>
                            <w:sz w:val="16"/>
                            <w:szCs w:val="16"/>
                            <w:lang w:val="sv-SE"/>
                          </w:rPr>
                        </m:ctrlPr>
                      </m:sSubPr>
                      <m:e>
                        <m:r>
                          <w:rPr>
                            <w:rFonts w:ascii="Cambria Math" w:hAnsi="Cambria Math" w:cs="Arial"/>
                            <w:sz w:val="16"/>
                            <w:szCs w:val="16"/>
                          </w:rPr>
                          <m:t>N</m:t>
                        </m:r>
                      </m:e>
                      <m:sub>
                        <m:r>
                          <m:rPr>
                            <m:nor/>
                          </m:rPr>
                          <w:rPr>
                            <w:rFonts w:ascii="Arial" w:hAnsi="Arial" w:cs="Arial"/>
                            <w:sz w:val="16"/>
                            <w:szCs w:val="16"/>
                            <w:lang w:val="en-US"/>
                          </w:rPr>
                          <m:t>b</m:t>
                        </m:r>
                      </m:sub>
                    </m:sSub>
                  </m:e>
                  <m:e>
                    <m:r>
                      <w:rPr>
                        <w:rFonts w:ascii="Cambria Math" w:hAnsi="Cambria Math" w:cs="Arial"/>
                        <w:sz w:val="16"/>
                        <w:szCs w:val="16"/>
                      </w:rPr>
                      <m:t>b</m:t>
                    </m:r>
                    <m:r>
                      <w:rPr>
                        <w:rFonts w:ascii="Cambria Math" w:hAnsi="Cambria Math" w:cs="Arial"/>
                        <w:sz w:val="16"/>
                        <w:szCs w:val="16"/>
                        <w:lang w:val="en-US"/>
                      </w:rPr>
                      <m:t>≤</m:t>
                    </m:r>
                    <m:sSub>
                      <m:sSubPr>
                        <m:ctrlPr>
                          <w:rPr>
                            <w:rFonts w:ascii="Cambria Math" w:eastAsia="Calibri" w:hAnsi="Cambria Math" w:cs="Arial"/>
                            <w:i/>
                            <w:sz w:val="16"/>
                            <w:szCs w:val="16"/>
                            <w:lang w:val="sv-SE"/>
                          </w:rPr>
                        </m:ctrlPr>
                      </m:sSubPr>
                      <m:e>
                        <m:r>
                          <w:rPr>
                            <w:rFonts w:ascii="Cambria Math" w:hAnsi="Cambria Math" w:cs="Arial"/>
                            <w:sz w:val="16"/>
                            <w:szCs w:val="16"/>
                          </w:rPr>
                          <m:t>b</m:t>
                        </m:r>
                      </m:e>
                      <m:sub>
                        <m:r>
                          <m:rPr>
                            <m:nor/>
                          </m:rPr>
                          <w:rPr>
                            <w:rFonts w:ascii="Arial" w:hAnsi="Arial" w:cs="Arial"/>
                            <w:sz w:val="16"/>
                            <w:szCs w:val="16"/>
                            <w:lang w:val="en-US"/>
                          </w:rPr>
                          <m:t>hop</m:t>
                        </m:r>
                      </m:sub>
                    </m:sSub>
                  </m:e>
                </m:mr>
                <m:mr>
                  <m:e>
                    <m:d>
                      <m:dPr>
                        <m:ctrlPr>
                          <w:rPr>
                            <w:rFonts w:ascii="Cambria Math" w:eastAsia="Calibri" w:hAnsi="Cambria Math" w:cs="Arial"/>
                            <w:i/>
                            <w:sz w:val="16"/>
                            <w:szCs w:val="16"/>
                            <w:lang w:val="sv-SE"/>
                          </w:rPr>
                        </m:ctrlPr>
                      </m:dPr>
                      <m:e>
                        <m:sSub>
                          <m:sSubPr>
                            <m:ctrlPr>
                              <w:rPr>
                                <w:rFonts w:ascii="Cambria Math" w:eastAsia="Calibri" w:hAnsi="Cambria Math" w:cs="Arial"/>
                                <w:i/>
                                <w:sz w:val="16"/>
                                <w:szCs w:val="16"/>
                                <w:lang w:val="sv-SE"/>
                              </w:rPr>
                            </m:ctrlPr>
                          </m:sSubPr>
                          <m:e>
                            <m:r>
                              <w:rPr>
                                <w:rFonts w:ascii="Cambria Math" w:hAnsi="Cambria Math" w:cs="Arial"/>
                                <w:sz w:val="16"/>
                                <w:szCs w:val="16"/>
                              </w:rPr>
                              <m:t>F</m:t>
                            </m:r>
                          </m:e>
                          <m:sub>
                            <m:r>
                              <w:rPr>
                                <w:rFonts w:ascii="Cambria Math" w:hAnsi="Cambria Math" w:cs="Arial"/>
                                <w:sz w:val="16"/>
                                <w:szCs w:val="16"/>
                              </w:rPr>
                              <m:t>b</m:t>
                            </m:r>
                          </m:sub>
                        </m:sSub>
                        <m:d>
                          <m:dPr>
                            <m:ctrlPr>
                              <w:rPr>
                                <w:rFonts w:ascii="Cambria Math" w:eastAsia="Calibri" w:hAnsi="Cambria Math" w:cs="Arial"/>
                                <w:i/>
                                <w:sz w:val="16"/>
                                <w:szCs w:val="16"/>
                                <w:lang w:val="sv-SE"/>
                              </w:rPr>
                            </m:ctrlPr>
                          </m:dPr>
                          <m:e>
                            <m:sSub>
                              <m:sSubPr>
                                <m:ctrlPr>
                                  <w:rPr>
                                    <w:rFonts w:ascii="Cambria Math" w:eastAsia="Calibri" w:hAnsi="Cambria Math" w:cs="Arial"/>
                                    <w:i/>
                                    <w:sz w:val="16"/>
                                    <w:szCs w:val="16"/>
                                    <w:lang w:val="sv-SE"/>
                                  </w:rPr>
                                </m:ctrlPr>
                              </m:sSubPr>
                              <m:e>
                                <m:r>
                                  <w:rPr>
                                    <w:rFonts w:ascii="Cambria Math" w:hAnsi="Cambria Math" w:cs="Arial"/>
                                    <w:sz w:val="16"/>
                                    <w:szCs w:val="16"/>
                                  </w:rPr>
                                  <m:t>n</m:t>
                                </m:r>
                              </m:e>
                              <m:sub>
                                <m:r>
                                  <m:rPr>
                                    <m:nor/>
                                  </m:rPr>
                                  <w:rPr>
                                    <w:rFonts w:ascii="Arial" w:hAnsi="Arial" w:cs="Arial"/>
                                    <w:sz w:val="16"/>
                                    <w:szCs w:val="16"/>
                                    <w:lang w:val="en-US"/>
                                  </w:rPr>
                                  <m:t>SRS</m:t>
                                </m:r>
                              </m:sub>
                            </m:sSub>
                          </m:e>
                        </m:d>
                        <m:r>
                          <w:rPr>
                            <w:rFonts w:ascii="Cambria Math" w:hAnsi="Cambria Math" w:cs="Arial"/>
                            <w:sz w:val="16"/>
                            <w:szCs w:val="16"/>
                            <w:lang w:val="en-US"/>
                          </w:rPr>
                          <m:t>+</m:t>
                        </m:r>
                        <m:d>
                          <m:dPr>
                            <m:begChr m:val="⌊"/>
                            <m:endChr m:val="⌋"/>
                            <m:ctrlPr>
                              <w:rPr>
                                <w:rFonts w:ascii="Cambria Math" w:eastAsia="Calibri" w:hAnsi="Cambria Math" w:cs="Arial"/>
                                <w:i/>
                                <w:sz w:val="16"/>
                                <w:szCs w:val="16"/>
                                <w:lang w:val="sv-SE"/>
                              </w:rPr>
                            </m:ctrlPr>
                          </m:dPr>
                          <m:e>
                            <m:f>
                              <m:fPr>
                                <m:type m:val="lin"/>
                                <m:ctrlPr>
                                  <w:rPr>
                                    <w:rFonts w:ascii="Cambria Math" w:eastAsia="Calibri" w:hAnsi="Cambria Math" w:cs="Arial"/>
                                    <w:i/>
                                    <w:sz w:val="16"/>
                                    <w:szCs w:val="16"/>
                                    <w:lang w:val="sv-SE"/>
                                  </w:rPr>
                                </m:ctrlPr>
                              </m:fPr>
                              <m:num>
                                <m:r>
                                  <w:rPr>
                                    <w:rFonts w:ascii="Cambria Math" w:hAnsi="Cambria Math" w:cs="Arial"/>
                                    <w:sz w:val="16"/>
                                    <w:szCs w:val="16"/>
                                    <w:lang w:val="en-US"/>
                                  </w:rPr>
                                  <m:t>4</m:t>
                                </m:r>
                                <m:sSub>
                                  <m:sSubPr>
                                    <m:ctrlPr>
                                      <w:rPr>
                                        <w:rFonts w:ascii="Cambria Math" w:eastAsia="Calibri" w:hAnsi="Cambria Math" w:cs="Arial"/>
                                        <w:i/>
                                        <w:sz w:val="16"/>
                                        <w:szCs w:val="16"/>
                                        <w:lang w:val="sv-SE"/>
                                      </w:rPr>
                                    </m:ctrlPr>
                                  </m:sSubPr>
                                  <m:e>
                                    <m:r>
                                      <w:rPr>
                                        <w:rFonts w:ascii="Cambria Math" w:hAnsi="Cambria Math" w:cs="Arial"/>
                                        <w:sz w:val="16"/>
                                        <w:szCs w:val="16"/>
                                      </w:rPr>
                                      <m:t>n</m:t>
                                    </m:r>
                                  </m:e>
                                  <m:sub>
                                    <m:r>
                                      <m:rPr>
                                        <m:nor/>
                                      </m:rPr>
                                      <w:rPr>
                                        <w:rFonts w:ascii="Arial" w:hAnsi="Arial" w:cs="Arial"/>
                                        <w:sz w:val="16"/>
                                        <w:szCs w:val="16"/>
                                        <w:lang w:val="en-US"/>
                                      </w:rPr>
                                      <m:t>RRC</m:t>
                                    </m:r>
                                  </m:sub>
                                </m:sSub>
                              </m:num>
                              <m:den>
                                <m:sSub>
                                  <m:sSubPr>
                                    <m:ctrlPr>
                                      <w:rPr>
                                        <w:rFonts w:ascii="Cambria Math" w:eastAsia="Calibri" w:hAnsi="Cambria Math" w:cs="Arial"/>
                                        <w:i/>
                                        <w:sz w:val="16"/>
                                        <w:szCs w:val="16"/>
                                        <w:lang w:val="sv-SE"/>
                                      </w:rPr>
                                    </m:ctrlPr>
                                  </m:sSubPr>
                                  <m:e>
                                    <m:r>
                                      <w:rPr>
                                        <w:rFonts w:ascii="Cambria Math" w:hAnsi="Cambria Math" w:cs="Arial"/>
                                        <w:sz w:val="16"/>
                                        <w:szCs w:val="16"/>
                                      </w:rPr>
                                      <m:t>m</m:t>
                                    </m:r>
                                  </m:e>
                                  <m:sub>
                                    <m:r>
                                      <m:rPr>
                                        <m:nor/>
                                      </m:rPr>
                                      <w:rPr>
                                        <w:rFonts w:ascii="Arial" w:hAnsi="Arial" w:cs="Arial"/>
                                        <w:sz w:val="16"/>
                                        <w:szCs w:val="16"/>
                                        <w:lang w:val="en-US"/>
                                      </w:rPr>
                                      <m:t>SRS</m:t>
                                    </m:r>
                                    <m:r>
                                      <w:rPr>
                                        <w:rFonts w:ascii="Cambria Math" w:hAnsi="Cambria Math" w:cs="Arial"/>
                                        <w:sz w:val="16"/>
                                        <w:szCs w:val="16"/>
                                        <w:lang w:val="en-US"/>
                                      </w:rPr>
                                      <m:t>,</m:t>
                                    </m:r>
                                    <m:r>
                                      <w:rPr>
                                        <w:rFonts w:ascii="Cambria Math" w:hAnsi="Cambria Math" w:cs="Arial"/>
                                        <w:sz w:val="16"/>
                                        <w:szCs w:val="16"/>
                                      </w:rPr>
                                      <m:t>b</m:t>
                                    </m:r>
                                  </m:sub>
                                </m:sSub>
                              </m:den>
                            </m:f>
                          </m:e>
                        </m:d>
                      </m:e>
                    </m:d>
                    <m:r>
                      <m:rPr>
                        <m:nor/>
                      </m:rPr>
                      <w:rPr>
                        <w:rFonts w:ascii="Arial" w:hAnsi="Arial" w:cs="Arial"/>
                        <w:sz w:val="16"/>
                        <w:szCs w:val="16"/>
                        <w:lang w:val="en-US"/>
                      </w:rPr>
                      <m:t xml:space="preserve"> mod </m:t>
                    </m:r>
                    <m:sSub>
                      <m:sSubPr>
                        <m:ctrlPr>
                          <w:rPr>
                            <w:rFonts w:ascii="Cambria Math" w:eastAsia="Calibri" w:hAnsi="Cambria Math" w:cs="Arial"/>
                            <w:i/>
                            <w:sz w:val="16"/>
                            <w:szCs w:val="16"/>
                            <w:lang w:val="sv-SE"/>
                          </w:rPr>
                        </m:ctrlPr>
                      </m:sSubPr>
                      <m:e>
                        <m:r>
                          <w:rPr>
                            <w:rFonts w:ascii="Cambria Math" w:hAnsi="Cambria Math" w:cs="Arial"/>
                            <w:sz w:val="16"/>
                            <w:szCs w:val="16"/>
                          </w:rPr>
                          <m:t>N</m:t>
                        </m:r>
                      </m:e>
                      <m:sub>
                        <m:r>
                          <m:rPr>
                            <m:nor/>
                          </m:rPr>
                          <w:rPr>
                            <w:rFonts w:ascii="Arial" w:hAnsi="Arial" w:cs="Arial"/>
                            <w:sz w:val="16"/>
                            <w:szCs w:val="16"/>
                            <w:lang w:val="en-US"/>
                          </w:rPr>
                          <m:t>b</m:t>
                        </m:r>
                      </m:sub>
                    </m:sSub>
                  </m:e>
                  <m:e>
                    <m:r>
                      <m:rPr>
                        <m:nor/>
                      </m:rPr>
                      <w:rPr>
                        <w:rFonts w:ascii="Arial" w:hAnsi="Arial" w:cs="Arial"/>
                        <w:sz w:val="16"/>
                        <w:szCs w:val="16"/>
                        <w:lang w:val="en-US"/>
                      </w:rPr>
                      <m:t>otherwise</m:t>
                    </m:r>
                  </m:e>
                </m:mr>
              </m:m>
            </m:e>
          </m:d>
        </m:oMath>
      </m:oMathPara>
    </w:p>
    <w:p w14:paraId="1FA39642" w14:textId="77AA823A" w:rsidR="00F91255" w:rsidRPr="00F91255" w:rsidRDefault="00F91255" w:rsidP="00F91255">
      <w:pPr>
        <w:ind w:left="425"/>
        <w:rPr>
          <w:rFonts w:ascii="Arial" w:eastAsia="MS Mincho" w:hAnsi="Arial" w:cs="Arial"/>
          <w:sz w:val="16"/>
          <w:szCs w:val="16"/>
          <w:lang w:val="pt-BR" w:eastAsia="ja-JP"/>
        </w:rPr>
      </w:pPr>
      <w:r w:rsidRPr="00F91255">
        <w:rPr>
          <w:rFonts w:ascii="Arial" w:hAnsi="Arial" w:cs="Arial"/>
          <w:sz w:val="16"/>
          <w:szCs w:val="16"/>
        </w:rPr>
        <w:t xml:space="preserve">where </w:t>
      </w:r>
      <m:oMath>
        <m:sSub>
          <m:sSubPr>
            <m:ctrlPr>
              <w:rPr>
                <w:rFonts w:ascii="Cambria Math" w:hAnsi="Cambria Math" w:cs="Arial"/>
                <w:i/>
                <w:sz w:val="16"/>
                <w:szCs w:val="16"/>
              </w:rPr>
            </m:ctrlPr>
          </m:sSubPr>
          <m:e>
            <m:r>
              <w:rPr>
                <w:rFonts w:ascii="Cambria Math" w:hAnsi="Cambria Math" w:cs="Arial"/>
                <w:sz w:val="16"/>
                <w:szCs w:val="16"/>
              </w:rPr>
              <m:t>N</m:t>
            </m:r>
          </m:e>
          <m:sub>
            <m:r>
              <m:rPr>
                <m:nor/>
              </m:rPr>
              <w:rPr>
                <w:rFonts w:ascii="Arial" w:hAnsi="Arial" w:cs="Arial"/>
                <w:sz w:val="16"/>
                <w:szCs w:val="16"/>
              </w:rPr>
              <m:t>b</m:t>
            </m:r>
          </m:sub>
        </m:sSub>
      </m:oMath>
      <w:r w:rsidRPr="00F91255">
        <w:rPr>
          <w:rFonts w:ascii="Arial" w:hAnsi="Arial" w:cs="Arial"/>
          <w:sz w:val="16"/>
          <w:szCs w:val="16"/>
        </w:rPr>
        <w:t xml:space="preserve"> is given by Table 6.4.1.4.3-1,</w:t>
      </w:r>
    </w:p>
    <w:p w14:paraId="61C81A3F" w14:textId="77777777" w:rsidR="00F91255" w:rsidRPr="00F91255" w:rsidRDefault="00F91255" w:rsidP="00F91255">
      <w:pPr>
        <w:keepLines/>
        <w:tabs>
          <w:tab w:val="center" w:pos="4536"/>
          <w:tab w:val="right" w:pos="9072"/>
        </w:tabs>
        <w:ind w:left="800"/>
        <w:jc w:val="center"/>
        <w:rPr>
          <w:rFonts w:ascii="Arial" w:eastAsia="MS Mincho" w:hAnsi="Arial" w:cs="Arial"/>
          <w:noProof/>
          <w:sz w:val="16"/>
          <w:szCs w:val="16"/>
          <w:lang w:eastAsia="ja-JP"/>
        </w:rPr>
      </w:pPr>
      <w:r w:rsidRPr="00F91255">
        <w:rPr>
          <w:rFonts w:ascii="Arial" w:eastAsia="Times New Roman" w:hAnsi="Arial" w:cs="Arial"/>
          <w:noProof/>
          <w:position w:val="-54"/>
          <w:sz w:val="16"/>
          <w:szCs w:val="16"/>
          <w:lang w:val="fi-FI"/>
        </w:rPr>
        <w:object w:dxaOrig="6052" w:dyaOrig="1012" w14:anchorId="7590747E">
          <v:shape id="_x0000_i1153" type="#_x0000_t75" style="width:302.25pt;height:50.25pt" o:ole="">
            <v:imagedata r:id="rId894" o:title=""/>
          </v:shape>
          <o:OLEObject Type="Embed" ProgID="Equation.3" ShapeID="_x0000_i1153" DrawAspect="Content" ObjectID="_1769863827" r:id="rId895"/>
        </w:object>
      </w:r>
    </w:p>
    <w:p w14:paraId="54A3CC89" w14:textId="775CF954" w:rsidR="00F91255" w:rsidRPr="00F91255" w:rsidRDefault="00F91255" w:rsidP="00F91255">
      <w:pPr>
        <w:ind w:left="425"/>
        <w:rPr>
          <w:rFonts w:ascii="Arial" w:eastAsia="Malgun Gothic" w:hAnsi="Arial" w:cs="Arial"/>
          <w:sz w:val="16"/>
          <w:szCs w:val="16"/>
        </w:rPr>
      </w:pPr>
      <w:r w:rsidRPr="00F91255">
        <w:rPr>
          <w:rFonts w:ascii="Arial" w:hAnsi="Arial" w:cs="Arial"/>
          <w:sz w:val="16"/>
          <w:szCs w:val="16"/>
        </w:rPr>
        <w:t xml:space="preserve">and where </w:t>
      </w:r>
      <m:oMath>
        <m:sSub>
          <m:sSubPr>
            <m:ctrlPr>
              <w:rPr>
                <w:rFonts w:ascii="Cambria Math" w:hAnsi="Cambria Math" w:cs="Arial"/>
                <w:i/>
                <w:sz w:val="16"/>
                <w:szCs w:val="16"/>
              </w:rPr>
            </m:ctrlPr>
          </m:sSubPr>
          <m:e>
            <m:r>
              <w:rPr>
                <w:rFonts w:ascii="Cambria Math" w:hAnsi="Cambria Math" w:cs="Arial"/>
                <w:sz w:val="16"/>
                <w:szCs w:val="16"/>
              </w:rPr>
              <m:t>N</m:t>
            </m:r>
          </m:e>
          <m:sub>
            <m:sSub>
              <m:sSubPr>
                <m:ctrlPr>
                  <w:rPr>
                    <w:rFonts w:ascii="Cambria Math" w:hAnsi="Cambria Math" w:cs="Arial"/>
                    <w:i/>
                    <w:sz w:val="16"/>
                    <w:szCs w:val="16"/>
                  </w:rPr>
                </m:ctrlPr>
              </m:sSubPr>
              <m:e>
                <m:r>
                  <w:rPr>
                    <w:rFonts w:ascii="Cambria Math" w:hAnsi="Cambria Math" w:cs="Arial"/>
                    <w:sz w:val="16"/>
                    <w:szCs w:val="16"/>
                  </w:rPr>
                  <m:t>b</m:t>
                </m:r>
              </m:e>
              <m:sub>
                <m:r>
                  <m:rPr>
                    <m:nor/>
                  </m:rPr>
                  <w:rPr>
                    <w:rFonts w:ascii="Arial" w:hAnsi="Arial" w:cs="Arial"/>
                    <w:sz w:val="16"/>
                    <w:szCs w:val="16"/>
                  </w:rPr>
                  <m:t>hop</m:t>
                </m:r>
              </m:sub>
            </m:sSub>
          </m:sub>
        </m:sSub>
        <m:r>
          <w:rPr>
            <w:rFonts w:ascii="Cambria Math" w:hAnsi="Cambria Math" w:cs="Arial"/>
            <w:sz w:val="16"/>
            <w:szCs w:val="16"/>
          </w:rPr>
          <m:t>=1</m:t>
        </m:r>
      </m:oMath>
      <w:r w:rsidRPr="00F91255">
        <w:rPr>
          <w:rFonts w:ascii="Arial" w:hAnsi="Arial" w:cs="Arial"/>
          <w:sz w:val="16"/>
          <w:szCs w:val="16"/>
        </w:rPr>
        <w:t xml:space="preserve"> regardless of the value of </w:t>
      </w:r>
      <m:oMath>
        <m:sSub>
          <m:sSubPr>
            <m:ctrlPr>
              <w:rPr>
                <w:rFonts w:ascii="Cambria Math" w:hAnsi="Cambria Math" w:cs="Arial"/>
                <w:i/>
                <w:sz w:val="16"/>
                <w:szCs w:val="16"/>
                <w:lang w:val="fi-FI"/>
              </w:rPr>
            </m:ctrlPr>
          </m:sSubPr>
          <m:e>
            <m:r>
              <w:rPr>
                <w:rFonts w:ascii="Cambria Math" w:hAnsi="Cambria Math" w:cs="Arial"/>
                <w:sz w:val="16"/>
                <w:szCs w:val="16"/>
                <w:lang w:val="fi-FI"/>
              </w:rPr>
              <m:t>N</m:t>
            </m:r>
          </m:e>
          <m:sub>
            <m:r>
              <m:rPr>
                <m:nor/>
              </m:rPr>
              <w:rPr>
                <w:rFonts w:ascii="Arial" w:hAnsi="Arial" w:cs="Arial"/>
                <w:sz w:val="16"/>
                <w:szCs w:val="16"/>
                <w:lang w:val="fi-FI"/>
              </w:rPr>
              <m:t>b</m:t>
            </m:r>
          </m:sub>
        </m:sSub>
      </m:oMath>
      <w:r w:rsidRPr="00F91255">
        <w:rPr>
          <w:rFonts w:ascii="Arial" w:eastAsia="MS Mincho" w:hAnsi="Arial" w:cs="Arial"/>
          <w:sz w:val="16"/>
          <w:szCs w:val="16"/>
          <w:lang w:eastAsia="ja-JP"/>
        </w:rPr>
        <w:t xml:space="preserve">. The quantity </w:t>
      </w:r>
      <m:oMath>
        <m:sSub>
          <m:sSubPr>
            <m:ctrlPr>
              <w:rPr>
                <w:rFonts w:ascii="Cambria Math" w:hAnsi="Cambria Math" w:cs="Arial"/>
                <w:i/>
                <w:sz w:val="16"/>
                <w:szCs w:val="16"/>
                <w:lang w:val="fi-FI"/>
              </w:rPr>
            </m:ctrlPr>
          </m:sSubPr>
          <m:e>
            <m:r>
              <w:rPr>
                <w:rFonts w:ascii="Cambria Math" w:hAnsi="Cambria Math" w:cs="Arial"/>
                <w:sz w:val="16"/>
                <w:szCs w:val="16"/>
                <w:lang w:val="fi-FI"/>
              </w:rPr>
              <m:t>n</m:t>
            </m:r>
          </m:e>
          <m:sub>
            <m:r>
              <m:rPr>
                <m:nor/>
              </m:rPr>
              <w:rPr>
                <w:rFonts w:ascii="Arial" w:hAnsi="Arial" w:cs="Arial"/>
                <w:sz w:val="16"/>
                <w:szCs w:val="16"/>
                <w:lang w:val="fi-FI"/>
              </w:rPr>
              <m:t>SRS</m:t>
            </m:r>
          </m:sub>
        </m:sSub>
      </m:oMath>
      <w:r w:rsidRPr="00F91255">
        <w:rPr>
          <w:rFonts w:ascii="Arial" w:hAnsi="Arial" w:cs="Arial"/>
          <w:sz w:val="16"/>
          <w:szCs w:val="16"/>
          <w:lang w:val="fi-FI"/>
        </w:rPr>
        <w:t xml:space="preserve"> counts the number of SRS transmissions. For</w:t>
      </w:r>
      <w:r w:rsidRPr="00F91255">
        <w:rPr>
          <w:rFonts w:ascii="Arial" w:hAnsi="Arial" w:cs="Arial"/>
          <w:sz w:val="16"/>
          <w:szCs w:val="16"/>
        </w:rPr>
        <w:t xml:space="preserve"> the case of an SRS resource configured as aperiodic by the higher-layer parameter </w:t>
      </w:r>
      <w:r w:rsidRPr="00F91255">
        <w:rPr>
          <w:rFonts w:ascii="Arial" w:hAnsi="Arial" w:cs="Arial"/>
          <w:i/>
          <w:sz w:val="16"/>
          <w:szCs w:val="16"/>
        </w:rPr>
        <w:t>resourceType</w:t>
      </w:r>
      <w:r w:rsidRPr="00F91255">
        <w:rPr>
          <w:rFonts w:ascii="Arial" w:hAnsi="Arial" w:cs="Arial"/>
          <w:sz w:val="16"/>
          <w:szCs w:val="16"/>
        </w:rPr>
        <w:t xml:space="preserve">, it is given by </w:t>
      </w:r>
      <m:oMath>
        <m:sSub>
          <m:sSubPr>
            <m:ctrlPr>
              <w:rPr>
                <w:rFonts w:ascii="Cambria Math" w:hAnsi="Cambria Math" w:cs="Arial"/>
                <w:i/>
                <w:sz w:val="16"/>
                <w:szCs w:val="16"/>
                <w:lang w:val="fi-FI"/>
              </w:rPr>
            </m:ctrlPr>
          </m:sSubPr>
          <m:e>
            <m:r>
              <w:rPr>
                <w:rFonts w:ascii="Cambria Math" w:hAnsi="Cambria Math" w:cs="Arial"/>
                <w:sz w:val="16"/>
                <w:szCs w:val="16"/>
                <w:lang w:val="fi-FI"/>
              </w:rPr>
              <m:t>n</m:t>
            </m:r>
          </m:e>
          <m:sub>
            <m:r>
              <m:rPr>
                <m:nor/>
              </m:rPr>
              <w:rPr>
                <w:rFonts w:ascii="Arial" w:hAnsi="Arial" w:cs="Arial"/>
                <w:sz w:val="16"/>
                <w:szCs w:val="16"/>
                <w:lang w:val="fi-FI"/>
              </w:rPr>
              <m:t>SRS</m:t>
            </m:r>
          </m:sub>
        </m:sSub>
        <m:r>
          <w:rPr>
            <w:rFonts w:ascii="Cambria Math" w:hAnsi="Cambria Math" w:cs="Arial"/>
            <w:sz w:val="16"/>
            <w:szCs w:val="16"/>
            <w:lang w:val="fi-FI"/>
          </w:rPr>
          <m:t>=</m:t>
        </m:r>
        <m:d>
          <m:dPr>
            <m:begChr m:val="⌊"/>
            <m:endChr m:val="⌋"/>
            <m:ctrlPr>
              <w:rPr>
                <w:rFonts w:ascii="Cambria Math" w:hAnsi="Cambria Math" w:cs="Arial"/>
                <w:i/>
                <w:sz w:val="16"/>
                <w:szCs w:val="16"/>
                <w:lang w:val="fi-FI"/>
              </w:rPr>
            </m:ctrlPr>
          </m:dPr>
          <m:e>
            <m:f>
              <m:fPr>
                <m:type m:val="lin"/>
                <m:ctrlPr>
                  <w:rPr>
                    <w:rFonts w:ascii="Cambria Math" w:hAnsi="Cambria Math" w:cs="Arial"/>
                    <w:i/>
                    <w:sz w:val="16"/>
                    <w:szCs w:val="16"/>
                    <w:lang w:val="fi-FI"/>
                  </w:rPr>
                </m:ctrlPr>
              </m:fPr>
              <m:num>
                <m:r>
                  <w:rPr>
                    <w:rFonts w:ascii="Cambria Math" w:hAnsi="Cambria Math" w:cs="Arial"/>
                    <w:sz w:val="16"/>
                    <w:szCs w:val="16"/>
                    <w:lang w:val="fi-FI"/>
                  </w:rPr>
                  <m:t>l'</m:t>
                </m:r>
              </m:num>
              <m:den>
                <m:d>
                  <m:dPr>
                    <m:ctrlPr>
                      <w:rPr>
                        <w:rFonts w:ascii="Cambria Math" w:hAnsi="Cambria Math" w:cs="Arial"/>
                        <w:i/>
                        <w:sz w:val="16"/>
                        <w:szCs w:val="16"/>
                        <w:lang w:val="fi-FI"/>
                      </w:rPr>
                    </m:ctrlPr>
                  </m:dPr>
                  <m:e>
                    <m:r>
                      <w:rPr>
                        <w:rFonts w:ascii="Cambria Math" w:hAnsi="Cambria Math" w:cs="Arial"/>
                        <w:sz w:val="16"/>
                        <w:szCs w:val="16"/>
                        <w:lang w:val="fi-FI"/>
                      </w:rPr>
                      <m:t>sR</m:t>
                    </m:r>
                  </m:e>
                </m:d>
              </m:den>
            </m:f>
          </m:e>
        </m:d>
      </m:oMath>
      <w:r w:rsidRPr="00F91255">
        <w:rPr>
          <w:rFonts w:ascii="Arial" w:hAnsi="Arial" w:cs="Arial"/>
          <w:sz w:val="16"/>
          <w:szCs w:val="16"/>
        </w:rPr>
        <w:t xml:space="preserve"> within the slot in which the </w:t>
      </w:r>
      <m:oMath>
        <m:sSubSup>
          <m:sSubSupPr>
            <m:ctrlPr>
              <w:rPr>
                <w:rFonts w:ascii="Cambria Math" w:eastAsia="MS Mincho" w:hAnsi="Cambria Math" w:cs="Arial"/>
                <w:i/>
                <w:sz w:val="16"/>
                <w:szCs w:val="16"/>
                <w:lang w:val="pt-BR" w:eastAsia="ja-JP"/>
              </w:rPr>
            </m:ctrlPr>
          </m:sSubSupPr>
          <m:e>
            <m:r>
              <w:rPr>
                <w:rFonts w:ascii="Cambria Math" w:eastAsia="MS Mincho" w:hAnsi="Cambria Math" w:cs="Arial"/>
                <w:sz w:val="16"/>
                <w:szCs w:val="16"/>
                <w:lang w:val="pt-BR" w:eastAsia="ja-JP"/>
              </w:rPr>
              <m:t>N</m:t>
            </m:r>
          </m:e>
          <m:sub>
            <m:r>
              <m:rPr>
                <m:nor/>
              </m:rPr>
              <w:rPr>
                <w:rFonts w:ascii="Arial" w:eastAsia="MS Mincho" w:hAnsi="Arial" w:cs="Arial"/>
                <w:sz w:val="16"/>
                <w:szCs w:val="16"/>
                <w:lang w:val="pt-BR" w:eastAsia="ja-JP"/>
              </w:rPr>
              <m:t>symb</m:t>
            </m:r>
          </m:sub>
          <m:sup>
            <m:r>
              <m:rPr>
                <m:nor/>
              </m:rPr>
              <w:rPr>
                <w:rFonts w:ascii="Arial" w:eastAsia="MS Mincho" w:hAnsi="Arial" w:cs="Arial"/>
                <w:sz w:val="16"/>
                <w:szCs w:val="16"/>
                <w:lang w:val="pt-BR" w:eastAsia="ja-JP"/>
              </w:rPr>
              <m:t>SRS</m:t>
            </m:r>
          </m:sup>
        </m:sSubSup>
      </m:oMath>
      <w:r w:rsidRPr="00F91255">
        <w:rPr>
          <w:rFonts w:ascii="Arial" w:hAnsi="Arial" w:cs="Arial"/>
          <w:sz w:val="16"/>
          <w:szCs w:val="16"/>
        </w:rPr>
        <w:t xml:space="preserve"> symbol SRS resource is transmitted. The quantity </w:t>
      </w:r>
      <m:oMath>
        <m:r>
          <w:rPr>
            <w:rFonts w:ascii="Cambria Math" w:hAnsi="Cambria Math" w:cs="Arial"/>
            <w:sz w:val="16"/>
            <w:szCs w:val="16"/>
          </w:rPr>
          <m:t>s</m:t>
        </m:r>
      </m:oMath>
      <w:r w:rsidRPr="00F91255">
        <w:rPr>
          <w:rFonts w:ascii="Arial" w:hAnsi="Arial" w:cs="Arial"/>
          <w:sz w:val="16"/>
          <w:szCs w:val="16"/>
        </w:rPr>
        <w:t xml:space="preserve"> is given by </w:t>
      </w:r>
      <m:oMath>
        <m:r>
          <w:rPr>
            <w:rFonts w:ascii="Cambria Math" w:hAnsi="Cambria Math" w:cs="Arial"/>
            <w:sz w:val="16"/>
            <w:szCs w:val="16"/>
          </w:rPr>
          <m:t>s=2</m:t>
        </m:r>
      </m:oMath>
      <w:r w:rsidRPr="00F91255">
        <w:rPr>
          <w:rFonts w:ascii="Arial" w:hAnsi="Arial" w:cs="Arial"/>
          <w:sz w:val="16"/>
          <w:szCs w:val="16"/>
        </w:rPr>
        <w:t xml:space="preserve"> if the higher-layer parameter </w:t>
      </w:r>
      <w:r w:rsidRPr="00F91255">
        <w:rPr>
          <w:rFonts w:ascii="Arial" w:eastAsia="Malgun Gothic" w:hAnsi="Arial" w:cs="Arial"/>
          <w:i/>
          <w:iCs/>
          <w:sz w:val="16"/>
          <w:szCs w:val="16"/>
        </w:rPr>
        <w:t>nrofSRS-Ports-n8</w:t>
      </w:r>
      <w:r w:rsidRPr="00F91255">
        <w:rPr>
          <w:rFonts w:ascii="Arial" w:eastAsia="Malgun Gothic" w:hAnsi="Arial" w:cs="Arial"/>
          <w:sz w:val="16"/>
          <w:szCs w:val="16"/>
        </w:rPr>
        <w:t xml:space="preserve"> equals ‘ports8tdm’, otherwise </w:t>
      </w:r>
      <m:oMath>
        <m:r>
          <w:rPr>
            <w:rFonts w:ascii="Cambria Math" w:hAnsi="Cambria Math" w:cs="Arial"/>
            <w:sz w:val="16"/>
            <w:szCs w:val="16"/>
          </w:rPr>
          <m:t>s=1</m:t>
        </m:r>
      </m:oMath>
      <w:r w:rsidRPr="00F91255">
        <w:rPr>
          <w:rFonts w:ascii="Arial" w:eastAsia="Malgun Gothic" w:hAnsi="Arial" w:cs="Arial"/>
          <w:sz w:val="16"/>
          <w:szCs w:val="16"/>
        </w:rPr>
        <w:t xml:space="preserve">. </w:t>
      </w:r>
      <w:r w:rsidRPr="00F91255">
        <w:rPr>
          <w:rFonts w:ascii="Arial" w:hAnsi="Arial" w:cs="Arial"/>
          <w:sz w:val="16"/>
          <w:szCs w:val="16"/>
        </w:rPr>
        <w:t xml:space="preserve">The quantity </w:t>
      </w:r>
      <m:oMath>
        <m:r>
          <w:rPr>
            <w:rFonts w:ascii="Cambria Math" w:eastAsia="MS Mincho" w:hAnsi="Cambria Math" w:cs="Arial"/>
            <w:sz w:val="16"/>
            <w:szCs w:val="16"/>
            <w:lang w:val="pt-BR" w:eastAsia="ja-JP"/>
          </w:rPr>
          <m:t>R≤</m:t>
        </m:r>
        <m:f>
          <m:fPr>
            <m:type m:val="lin"/>
            <m:ctrlPr>
              <w:ins w:id="206" w:author="Author" w:date="2023-10-28T17:53:00Z">
                <w:rPr>
                  <w:rFonts w:ascii="Cambria Math" w:eastAsia="MS Mincho" w:hAnsi="Cambria Math" w:cs="Arial"/>
                  <w:i/>
                  <w:sz w:val="16"/>
                  <w:szCs w:val="16"/>
                  <w:lang w:val="pt-BR" w:eastAsia="ja-JP"/>
                </w:rPr>
              </w:ins>
            </m:ctrlPr>
          </m:fPr>
          <m:num>
            <m:sSubSup>
              <m:sSubSupPr>
                <m:ctrlPr>
                  <w:ins w:id="207" w:author="Author" w:date="2023-10-28T17:53:00Z">
                    <w:rPr>
                      <w:rFonts w:ascii="Cambria Math" w:eastAsia="MS Mincho" w:hAnsi="Cambria Math" w:cs="Arial"/>
                      <w:i/>
                      <w:sz w:val="16"/>
                      <w:szCs w:val="16"/>
                      <w:lang w:val="pt-BR" w:eastAsia="ja-JP"/>
                    </w:rPr>
                  </w:ins>
                </m:ctrlPr>
              </m:sSubSupPr>
              <m:e>
                <m:r>
                  <w:ins w:id="208" w:author="Author" w:date="2023-10-28T17:53:00Z">
                    <w:rPr>
                      <w:rFonts w:ascii="Cambria Math" w:eastAsia="MS Mincho" w:hAnsi="Cambria Math" w:cs="Arial"/>
                      <w:sz w:val="16"/>
                      <w:szCs w:val="16"/>
                      <w:lang w:val="pt-BR" w:eastAsia="ja-JP"/>
                    </w:rPr>
                    <m:t>N</m:t>
                  </w:ins>
                </m:r>
              </m:e>
              <m:sub>
                <m:r>
                  <w:ins w:id="209" w:author="Author" w:date="2023-10-28T17:53:00Z">
                    <m:rPr>
                      <m:nor/>
                    </m:rPr>
                    <w:rPr>
                      <w:rFonts w:ascii="Arial" w:eastAsia="MS Mincho" w:hAnsi="Arial" w:cs="Arial"/>
                      <w:sz w:val="16"/>
                      <w:szCs w:val="16"/>
                      <w:lang w:val="pt-BR" w:eastAsia="ja-JP"/>
                    </w:rPr>
                    <m:t>symb</m:t>
                  </w:ins>
                </m:r>
              </m:sub>
              <m:sup>
                <m:r>
                  <w:ins w:id="210" w:author="Author" w:date="2023-10-28T17:53:00Z">
                    <m:rPr>
                      <m:nor/>
                    </m:rPr>
                    <w:rPr>
                      <w:rFonts w:ascii="Arial" w:eastAsia="MS Mincho" w:hAnsi="Arial" w:cs="Arial"/>
                      <w:sz w:val="16"/>
                      <w:szCs w:val="16"/>
                      <w:lang w:val="pt-BR" w:eastAsia="ja-JP"/>
                    </w:rPr>
                    <m:t>SRS</m:t>
                  </w:ins>
                </m:r>
              </m:sup>
            </m:sSubSup>
          </m:num>
          <m:den>
            <m:r>
              <w:ins w:id="211" w:author="Author" w:date="2023-10-28T17:53:00Z">
                <w:rPr>
                  <w:rFonts w:ascii="Cambria Math" w:eastAsia="MS Mincho" w:hAnsi="Cambria Math" w:cs="Arial"/>
                  <w:sz w:val="16"/>
                  <w:szCs w:val="16"/>
                  <w:lang w:val="pt-BR" w:eastAsia="ja-JP"/>
                </w:rPr>
                <m:t>s</m:t>
              </w:ins>
            </m:r>
          </m:den>
        </m:f>
        <m:sSubSup>
          <m:sSubSupPr>
            <m:ctrlPr>
              <w:del w:id="212" w:author="Author" w:date="2023-10-28T17:53:00Z">
                <w:rPr>
                  <w:rFonts w:ascii="Cambria Math" w:eastAsia="MS Mincho" w:hAnsi="Cambria Math" w:cs="Arial"/>
                  <w:i/>
                  <w:sz w:val="16"/>
                  <w:szCs w:val="16"/>
                  <w:lang w:val="pt-BR" w:eastAsia="ja-JP"/>
                </w:rPr>
              </w:del>
            </m:ctrlPr>
          </m:sSubSupPr>
          <m:e>
            <m:r>
              <w:del w:id="213" w:author="Author" w:date="2023-10-28T17:53:00Z">
                <w:rPr>
                  <w:rFonts w:ascii="Cambria Math" w:eastAsia="MS Mincho" w:hAnsi="Cambria Math" w:cs="Arial"/>
                  <w:sz w:val="16"/>
                  <w:szCs w:val="16"/>
                  <w:lang w:val="pt-BR" w:eastAsia="ja-JP"/>
                </w:rPr>
                <m:t>N</m:t>
              </w:del>
            </m:r>
          </m:e>
          <m:sub>
            <m:r>
              <w:del w:id="214" w:author="Author" w:date="2023-10-28T17:53:00Z">
                <m:rPr>
                  <m:nor/>
                </m:rPr>
                <w:rPr>
                  <w:rFonts w:ascii="Arial" w:eastAsia="MS Mincho" w:hAnsi="Arial" w:cs="Arial"/>
                  <w:sz w:val="16"/>
                  <w:szCs w:val="16"/>
                  <w:lang w:val="pt-BR" w:eastAsia="ja-JP"/>
                </w:rPr>
                <m:t>symb</m:t>
              </w:del>
            </m:r>
          </m:sub>
          <m:sup>
            <m:r>
              <w:del w:id="215" w:author="Author" w:date="2023-10-28T17:53:00Z">
                <m:rPr>
                  <m:nor/>
                </m:rPr>
                <w:rPr>
                  <w:rFonts w:ascii="Arial" w:eastAsia="MS Mincho" w:hAnsi="Arial" w:cs="Arial"/>
                  <w:sz w:val="16"/>
                  <w:szCs w:val="16"/>
                  <w:lang w:val="pt-BR" w:eastAsia="ja-JP"/>
                </w:rPr>
                <m:t>SRS</m:t>
              </w:del>
            </m:r>
          </m:sup>
        </m:sSubSup>
      </m:oMath>
      <w:r w:rsidRPr="00F91255">
        <w:rPr>
          <w:rFonts w:ascii="Arial" w:eastAsia="MS Mincho" w:hAnsi="Arial" w:cs="Arial"/>
          <w:sz w:val="16"/>
          <w:szCs w:val="16"/>
          <w:lang w:val="pt-BR" w:eastAsia="ja-JP"/>
        </w:rPr>
        <w:t xml:space="preserve"> is the repetition factor given by the field </w:t>
      </w:r>
      <w:r w:rsidRPr="00F91255">
        <w:rPr>
          <w:rFonts w:ascii="Arial" w:eastAsia="MS Mincho" w:hAnsi="Arial" w:cs="Arial"/>
          <w:i/>
          <w:sz w:val="16"/>
          <w:szCs w:val="16"/>
          <w:lang w:val="pt-BR" w:eastAsia="ja-JP"/>
        </w:rPr>
        <w:t>repetitionFactor</w:t>
      </w:r>
      <w:r w:rsidRPr="00F91255">
        <w:rPr>
          <w:rFonts w:ascii="Arial" w:eastAsia="MS Mincho" w:hAnsi="Arial" w:cs="Arial"/>
          <w:sz w:val="16"/>
          <w:szCs w:val="16"/>
          <w:lang w:val="pt-BR" w:eastAsia="ja-JP"/>
        </w:rPr>
        <w:t xml:space="preserve"> </w:t>
      </w:r>
      <w:r w:rsidRPr="00F91255">
        <w:rPr>
          <w:rFonts w:ascii="Arial" w:hAnsi="Arial" w:cs="Arial"/>
          <w:sz w:val="16"/>
          <w:szCs w:val="16"/>
          <w:lang w:val="fi-FI"/>
        </w:rPr>
        <w:t xml:space="preserve">if configured, otherwise </w:t>
      </w:r>
      <m:oMath>
        <m:r>
          <w:rPr>
            <w:rFonts w:ascii="Cambria Math" w:hAnsi="Cambria Math" w:cs="Arial"/>
            <w:sz w:val="16"/>
            <w:szCs w:val="16"/>
            <w:lang w:val="fi-FI"/>
          </w:rPr>
          <m:t>R=</m:t>
        </m:r>
        <m:sSubSup>
          <m:sSubSupPr>
            <m:ctrlPr>
              <w:rPr>
                <w:rFonts w:ascii="Cambria Math" w:eastAsia="Malgun Gothic" w:hAnsi="Cambria Math" w:cs="Arial"/>
                <w:i/>
                <w:sz w:val="16"/>
                <w:szCs w:val="16"/>
              </w:rPr>
            </m:ctrlPr>
          </m:sSubSupPr>
          <m:e>
            <m:r>
              <w:rPr>
                <w:rFonts w:ascii="Cambria Math" w:eastAsia="Malgun Gothic" w:hAnsi="Cambria Math" w:cs="Arial"/>
                <w:sz w:val="16"/>
                <w:szCs w:val="16"/>
              </w:rPr>
              <m:t>N</m:t>
            </m:r>
          </m:e>
          <m:sub>
            <m:r>
              <m:rPr>
                <m:nor/>
              </m:rPr>
              <w:rPr>
                <w:rFonts w:ascii="Arial" w:eastAsia="Malgun Gothic" w:hAnsi="Arial" w:cs="Arial"/>
                <w:sz w:val="16"/>
                <w:szCs w:val="16"/>
              </w:rPr>
              <m:t>symb</m:t>
            </m:r>
          </m:sub>
          <m:sup>
            <m:r>
              <m:rPr>
                <m:nor/>
              </m:rPr>
              <w:rPr>
                <w:rFonts w:ascii="Arial" w:eastAsia="Malgun Gothic" w:hAnsi="Arial" w:cs="Arial"/>
                <w:sz w:val="16"/>
                <w:szCs w:val="16"/>
              </w:rPr>
              <m:t>SRS</m:t>
            </m:r>
          </m:sup>
        </m:sSubSup>
      </m:oMath>
      <w:r w:rsidRPr="00F91255">
        <w:rPr>
          <w:rFonts w:ascii="Arial" w:hAnsi="Arial" w:cs="Arial"/>
          <w:sz w:val="16"/>
          <w:szCs w:val="16"/>
          <w:lang w:val="fi-FI"/>
        </w:rPr>
        <w:t>.</w:t>
      </w:r>
    </w:p>
    <w:p w14:paraId="2AEA81F5" w14:textId="77777777" w:rsidR="00F91255" w:rsidRPr="009A051A" w:rsidRDefault="00F91255" w:rsidP="00F91255">
      <w:pPr>
        <w:ind w:left="425"/>
        <w:jc w:val="center"/>
        <w:rPr>
          <w:rFonts w:ascii="Arial" w:eastAsia="Malgun Gothic" w:hAnsi="Arial" w:cs="Arial"/>
          <w:color w:val="FF0000"/>
          <w:kern w:val="2"/>
          <w:sz w:val="16"/>
          <w:szCs w:val="16"/>
        </w:rPr>
      </w:pPr>
      <w:r w:rsidRPr="00F91255">
        <w:rPr>
          <w:rFonts w:ascii="Arial" w:eastAsia="Malgun Gothic" w:hAnsi="Arial" w:cs="Arial"/>
          <w:color w:val="FF0000"/>
          <w:kern w:val="2"/>
          <w:sz w:val="16"/>
          <w:szCs w:val="16"/>
        </w:rPr>
        <w:t>&lt;</w:t>
      </w:r>
      <w:r w:rsidRPr="00F91255">
        <w:rPr>
          <w:rFonts w:ascii="Arial" w:hAnsi="Arial" w:cs="Arial"/>
          <w:iCs/>
          <w:color w:val="FF0000"/>
          <w:sz w:val="16"/>
          <w:szCs w:val="16"/>
        </w:rPr>
        <w:t xml:space="preserve"> Unchanged text is </w:t>
      </w:r>
      <w:r w:rsidRPr="00F91255">
        <w:rPr>
          <w:rFonts w:ascii="Arial" w:eastAsia="Malgun Gothic" w:hAnsi="Arial" w:cs="Arial"/>
          <w:color w:val="FF0000"/>
          <w:kern w:val="2"/>
          <w:sz w:val="16"/>
          <w:szCs w:val="16"/>
        </w:rPr>
        <w:t>omitted&gt;</w:t>
      </w:r>
    </w:p>
    <w:p w14:paraId="7EC90129" w14:textId="77777777" w:rsidR="009A051A" w:rsidRPr="0064377E" w:rsidRDefault="009A051A" w:rsidP="009A051A">
      <w:pPr>
        <w:rPr>
          <w:color w:val="FF0000"/>
        </w:rPr>
      </w:pPr>
      <w:r w:rsidRPr="0064377E">
        <w:rPr>
          <w:color w:val="FF0000"/>
        </w:rPr>
        <w:t xml:space="preserve">--------- </w:t>
      </w:r>
      <w:r>
        <w:rPr>
          <w:color w:val="FF0000"/>
        </w:rPr>
        <w:t>End</w:t>
      </w:r>
      <w:r w:rsidRPr="0064377E">
        <w:rPr>
          <w:color w:val="FF0000"/>
        </w:rPr>
        <w:t xml:space="preserve"> of TP ---------</w:t>
      </w:r>
    </w:p>
    <w:p w14:paraId="018853D9" w14:textId="77777777" w:rsidR="00F91255" w:rsidRPr="00F91255" w:rsidRDefault="00F91255" w:rsidP="00AA1D48">
      <w:pPr>
        <w:numPr>
          <w:ilvl w:val="0"/>
          <w:numId w:val="106"/>
        </w:numPr>
        <w:contextualSpacing/>
        <w:jc w:val="both"/>
        <w:rPr>
          <w:rFonts w:ascii="Times New Roman" w:hAnsi="Times New Roman"/>
          <w:szCs w:val="20"/>
          <w:lang w:eastAsia="x-none"/>
        </w:rPr>
      </w:pPr>
      <w:r w:rsidRPr="00F91255">
        <w:rPr>
          <w:rFonts w:ascii="Times New Roman" w:hAnsi="Times New Roman"/>
          <w:szCs w:val="20"/>
          <w:lang w:eastAsia="x-none"/>
        </w:rPr>
        <w:t>Additional information</w:t>
      </w:r>
    </w:p>
    <w:p w14:paraId="66055604" w14:textId="77777777" w:rsidR="00F91255" w:rsidRPr="00F91255" w:rsidRDefault="00F91255" w:rsidP="00AA1D48">
      <w:pPr>
        <w:pStyle w:val="ListParagraph"/>
        <w:numPr>
          <w:ilvl w:val="1"/>
          <w:numId w:val="106"/>
        </w:numPr>
      </w:pPr>
      <w:r w:rsidRPr="00F91255">
        <w:t>Reason for change: Current description of repetition factor does not cover TDM case.</w:t>
      </w:r>
    </w:p>
    <w:p w14:paraId="75C1BB68" w14:textId="1FC291C9" w:rsidR="00F91255" w:rsidRPr="00F91255" w:rsidRDefault="00F91255" w:rsidP="00AA1D48">
      <w:pPr>
        <w:pStyle w:val="ListParagraph"/>
        <w:numPr>
          <w:ilvl w:val="1"/>
          <w:numId w:val="106"/>
        </w:numPr>
      </w:pPr>
      <w:r w:rsidRPr="00F91255">
        <w:t xml:space="preserve">Summary for change: </w:t>
      </w:r>
      <w:r w:rsidRPr="009A051A">
        <w:rPr>
          <w:bCs/>
        </w:rPr>
        <w:t>Replace ‘</w:t>
      </w:r>
      <m:oMath>
        <m:r>
          <w:rPr>
            <w:rFonts w:ascii="Cambria Math" w:eastAsia="MS Mincho" w:hAnsi="Cambria Math"/>
            <w:lang w:val="pt-BR"/>
          </w:rPr>
          <m:t>R≤</m:t>
        </m:r>
        <m:sSubSup>
          <m:sSubSupPr>
            <m:ctrlPr>
              <w:rPr>
                <w:rFonts w:ascii="Cambria Math" w:eastAsia="MS Mincho" w:hAnsi="Cambria Math"/>
                <w:i/>
                <w:lang w:val="pt-BR"/>
              </w:rPr>
            </m:ctrlPr>
          </m:sSubSupPr>
          <m:e>
            <m:r>
              <w:rPr>
                <w:rFonts w:ascii="Cambria Math" w:eastAsia="MS Mincho" w:hAnsi="Cambria Math"/>
                <w:lang w:val="pt-BR"/>
              </w:rPr>
              <m:t>N</m:t>
            </m:r>
          </m:e>
          <m:sub>
            <m:r>
              <m:rPr>
                <m:nor/>
              </m:rPr>
              <w:rPr>
                <w:rFonts w:eastAsia="MS Mincho"/>
                <w:lang w:val="pt-BR"/>
              </w:rPr>
              <m:t>symb</m:t>
            </m:r>
          </m:sub>
          <m:sup>
            <m:r>
              <m:rPr>
                <m:nor/>
              </m:rPr>
              <w:rPr>
                <w:rFonts w:eastAsia="MS Mincho"/>
                <w:lang w:val="pt-BR"/>
              </w:rPr>
              <m:t>SRS</m:t>
            </m:r>
          </m:sup>
        </m:sSubSup>
      </m:oMath>
      <w:r w:rsidRPr="009A051A">
        <w:rPr>
          <w:bCs/>
        </w:rPr>
        <w:t>’ with ‘</w:t>
      </w:r>
      <m:oMath>
        <m:r>
          <w:rPr>
            <w:rFonts w:ascii="Cambria Math" w:eastAsia="MS Mincho" w:hAnsi="Cambria Math"/>
            <w:lang w:val="pt-BR"/>
          </w:rPr>
          <m:t>R≤</m:t>
        </m:r>
        <m:sSubSup>
          <m:sSubSupPr>
            <m:ctrlPr>
              <w:rPr>
                <w:rFonts w:ascii="Cambria Math" w:eastAsia="MS Mincho" w:hAnsi="Cambria Math"/>
                <w:i/>
                <w:lang w:val="pt-BR"/>
              </w:rPr>
            </m:ctrlPr>
          </m:sSubSupPr>
          <m:e>
            <m:r>
              <w:rPr>
                <w:rFonts w:ascii="Cambria Math" w:eastAsia="MS Mincho" w:hAnsi="Cambria Math"/>
                <w:lang w:val="pt-BR"/>
              </w:rPr>
              <m:t>N</m:t>
            </m:r>
          </m:e>
          <m:sub>
            <m:r>
              <m:rPr>
                <m:nor/>
              </m:rPr>
              <w:rPr>
                <w:rFonts w:eastAsia="MS Mincho"/>
                <w:lang w:val="pt-BR"/>
              </w:rPr>
              <m:t>symb</m:t>
            </m:r>
          </m:sub>
          <m:sup>
            <m:r>
              <m:rPr>
                <m:nor/>
              </m:rPr>
              <w:rPr>
                <w:rFonts w:eastAsia="MS Mincho"/>
                <w:lang w:val="pt-BR"/>
              </w:rPr>
              <m:t>SRS</m:t>
            </m:r>
          </m:sup>
        </m:sSubSup>
        <m:r>
          <w:rPr>
            <w:rFonts w:ascii="Cambria Math" w:hAnsi="Cambria Math"/>
          </w:rPr>
          <m:t>/s</m:t>
        </m:r>
      </m:oMath>
      <w:r w:rsidRPr="009A051A">
        <w:rPr>
          <w:bCs/>
        </w:rPr>
        <w:t>’</w:t>
      </w:r>
      <w:r w:rsidRPr="00F91255">
        <w:t>.</w:t>
      </w:r>
    </w:p>
    <w:p w14:paraId="243F75ED" w14:textId="77777777" w:rsidR="00F91255" w:rsidRPr="00F91255" w:rsidRDefault="00F91255" w:rsidP="00AA1D48">
      <w:pPr>
        <w:pStyle w:val="ListParagraph"/>
        <w:numPr>
          <w:ilvl w:val="1"/>
          <w:numId w:val="106"/>
        </w:numPr>
      </w:pPr>
      <w:r w:rsidRPr="00F91255">
        <w:t>Consequences if not approved: Incorrect specification of repetition factor for TDM.</w:t>
      </w:r>
    </w:p>
    <w:p w14:paraId="319BC35D" w14:textId="77777777" w:rsidR="00F91255" w:rsidRPr="00F91255" w:rsidRDefault="00F91255" w:rsidP="00AA1D48">
      <w:pPr>
        <w:pStyle w:val="ListParagraph"/>
        <w:numPr>
          <w:ilvl w:val="1"/>
          <w:numId w:val="106"/>
        </w:numPr>
      </w:pPr>
      <w:r w:rsidRPr="00F91255">
        <w:t>TP is for TS38.211 v18.0.0.</w:t>
      </w:r>
    </w:p>
    <w:p w14:paraId="66B353A5" w14:textId="77777777" w:rsidR="00F91255" w:rsidRDefault="00F91255" w:rsidP="00F74A6F">
      <w:pPr>
        <w:rPr>
          <w:lang w:eastAsia="x-none"/>
        </w:rPr>
      </w:pPr>
    </w:p>
    <w:p w14:paraId="7660E5D2" w14:textId="43B4F4AE" w:rsidR="0064377E" w:rsidRPr="00E67E3F" w:rsidRDefault="005A18DC" w:rsidP="0064377E">
      <w:pPr>
        <w:rPr>
          <w:rFonts w:ascii="Times New Roman" w:hAnsi="Times New Roman"/>
          <w:b/>
          <w:bCs/>
          <w:szCs w:val="20"/>
          <w:lang w:eastAsia="x-none"/>
        </w:rPr>
      </w:pPr>
      <w:hyperlink r:id="rId896" w:history="1">
        <w:r w:rsidR="00AF7253">
          <w:rPr>
            <w:rStyle w:val="Hyperlink"/>
            <w:rFonts w:ascii="Times New Roman" w:hAnsi="Times New Roman"/>
            <w:b/>
            <w:bCs/>
            <w:szCs w:val="20"/>
            <w:lang w:eastAsia="x-none"/>
          </w:rPr>
          <w:t>R1-2312317</w:t>
        </w:r>
      </w:hyperlink>
      <w:r w:rsidR="0064377E" w:rsidRPr="00E67E3F">
        <w:rPr>
          <w:rFonts w:ascii="Times New Roman" w:hAnsi="Times New Roman"/>
          <w:b/>
          <w:bCs/>
          <w:szCs w:val="20"/>
          <w:lang w:eastAsia="x-none"/>
        </w:rPr>
        <w:tab/>
        <w:t>FL Summary #2 on SRS enhancements</w:t>
      </w:r>
      <w:r w:rsidR="0064377E" w:rsidRPr="00E67E3F">
        <w:rPr>
          <w:rFonts w:ascii="Times New Roman" w:hAnsi="Times New Roman"/>
          <w:b/>
          <w:bCs/>
          <w:szCs w:val="20"/>
          <w:lang w:eastAsia="x-none"/>
        </w:rPr>
        <w:tab/>
        <w:t>Moderator (FUTUREWEI)</w:t>
      </w:r>
    </w:p>
    <w:p w14:paraId="2D7470F5" w14:textId="7B05F7ED" w:rsidR="00E67E3F" w:rsidRDefault="00E67E3F" w:rsidP="0064377E">
      <w:pPr>
        <w:rPr>
          <w:rFonts w:ascii="Times New Roman" w:hAnsi="Times New Roman"/>
          <w:szCs w:val="20"/>
          <w:lang w:eastAsia="x-none"/>
        </w:rPr>
      </w:pPr>
      <w:r>
        <w:rPr>
          <w:rFonts w:ascii="Times New Roman" w:hAnsi="Times New Roman"/>
          <w:szCs w:val="20"/>
          <w:lang w:eastAsia="x-none"/>
        </w:rPr>
        <w:t>From Wednesday session</w:t>
      </w:r>
    </w:p>
    <w:p w14:paraId="0ABC65AF" w14:textId="77777777" w:rsidR="00E67E3F" w:rsidRPr="009537ED" w:rsidRDefault="00E67E3F" w:rsidP="00E67E3F">
      <w:pPr>
        <w:rPr>
          <w:rFonts w:ascii="Times New Roman" w:hAnsi="Times New Roman"/>
          <w:szCs w:val="20"/>
          <w:highlight w:val="green"/>
          <w:lang w:eastAsia="zh-CN"/>
        </w:rPr>
      </w:pPr>
      <w:r>
        <w:rPr>
          <w:rFonts w:ascii="Times New Roman" w:hAnsi="Times New Roman"/>
          <w:szCs w:val="20"/>
          <w:highlight w:val="green"/>
          <w:lang w:eastAsia="zh-CN"/>
        </w:rPr>
        <w:lastRenderedPageBreak/>
        <w:t>Agreement</w:t>
      </w:r>
    </w:p>
    <w:p w14:paraId="45E17AE0" w14:textId="1F27E709" w:rsidR="00E67E3F" w:rsidRDefault="00E67E3F" w:rsidP="00E67E3F">
      <w:r>
        <w:t xml:space="preserve">Introduce a new UE capability </w:t>
      </w:r>
      <w:r w:rsidRPr="00E67E3F">
        <w:rPr>
          <w:i/>
          <w:iCs/>
        </w:rPr>
        <w:t>srs-AntennaSwitching2SP-1Periodic8T8R to extend srs-AntennaSwitching2SP-1Periodic</w:t>
      </w:r>
      <w:r>
        <w:t xml:space="preserve"> to the case of 8T8R.</w:t>
      </w:r>
    </w:p>
    <w:p w14:paraId="3ABDAF57" w14:textId="77777777" w:rsidR="00E67E3F" w:rsidRDefault="00E67E3F" w:rsidP="00E67E3F">
      <w:pPr>
        <w:rPr>
          <w:lang w:eastAsia="x-none"/>
        </w:rPr>
      </w:pPr>
    </w:p>
    <w:p w14:paraId="78959FFF" w14:textId="77777777" w:rsidR="00E67E3F" w:rsidRPr="009537ED" w:rsidRDefault="00E67E3F" w:rsidP="00E67E3F">
      <w:pPr>
        <w:rPr>
          <w:rFonts w:ascii="Times New Roman" w:hAnsi="Times New Roman"/>
          <w:szCs w:val="20"/>
          <w:highlight w:val="green"/>
          <w:lang w:eastAsia="zh-CN"/>
        </w:rPr>
      </w:pPr>
      <w:r>
        <w:rPr>
          <w:rFonts w:ascii="Times New Roman" w:hAnsi="Times New Roman"/>
          <w:szCs w:val="20"/>
          <w:highlight w:val="green"/>
          <w:lang w:eastAsia="zh-CN"/>
        </w:rPr>
        <w:t>Agreement</w:t>
      </w:r>
    </w:p>
    <w:p w14:paraId="06D43405" w14:textId="29118332" w:rsidR="00E67E3F" w:rsidRPr="00E67E3F" w:rsidRDefault="00E67E3F" w:rsidP="00E67E3F">
      <w:pPr>
        <w:spacing w:line="276" w:lineRule="auto"/>
        <w:rPr>
          <w:szCs w:val="22"/>
        </w:rPr>
      </w:pPr>
      <w:r w:rsidRPr="00E67E3F">
        <w:rPr>
          <w:szCs w:val="22"/>
        </w:rPr>
        <w:t>Adopt the text proposal for TS38.214 on 8T8R UE capability:</w:t>
      </w:r>
    </w:p>
    <w:p w14:paraId="2BBC4025" w14:textId="77777777" w:rsidR="006A1690" w:rsidRPr="0064377E" w:rsidRDefault="006A1690" w:rsidP="006A1690">
      <w:pPr>
        <w:rPr>
          <w:color w:val="FF0000"/>
        </w:rPr>
      </w:pPr>
      <w:r w:rsidRPr="0064377E">
        <w:rPr>
          <w:color w:val="FF0000"/>
        </w:rPr>
        <w:t>--------- Start of TP ---------</w:t>
      </w:r>
    </w:p>
    <w:p w14:paraId="3FF3F698" w14:textId="77777777" w:rsidR="00E67E3F" w:rsidRPr="006A1690" w:rsidRDefault="00E67E3F" w:rsidP="006A1690">
      <w:pPr>
        <w:ind w:left="425"/>
        <w:rPr>
          <w:rFonts w:ascii="Arial" w:eastAsia="Malgun Gothic" w:hAnsi="Arial" w:cs="Arial"/>
          <w:b/>
          <w:bCs/>
          <w:sz w:val="16"/>
          <w:szCs w:val="16"/>
        </w:rPr>
      </w:pPr>
      <w:r w:rsidRPr="006A1690">
        <w:rPr>
          <w:rFonts w:ascii="Arial" w:eastAsia="Malgun Gothic" w:hAnsi="Arial" w:cs="Arial"/>
          <w:b/>
          <w:bCs/>
          <w:sz w:val="16"/>
          <w:szCs w:val="16"/>
        </w:rPr>
        <w:t>6.2.1.2 UE sounding procedure for DL CSI acquisition</w:t>
      </w:r>
    </w:p>
    <w:p w14:paraId="0D47EC7B" w14:textId="77777777" w:rsidR="00E67E3F" w:rsidRPr="006A1690" w:rsidRDefault="00E67E3F" w:rsidP="006A1690">
      <w:pPr>
        <w:ind w:left="425"/>
        <w:rPr>
          <w:rFonts w:ascii="Arial" w:eastAsia="SimSun" w:hAnsi="Arial" w:cs="Arial"/>
          <w:color w:val="000000"/>
          <w:sz w:val="16"/>
          <w:szCs w:val="16"/>
        </w:rPr>
      </w:pPr>
      <w:r w:rsidRPr="006A1690">
        <w:rPr>
          <w:rFonts w:ascii="Arial" w:eastAsia="SimSun" w:hAnsi="Arial" w:cs="Arial"/>
          <w:color w:val="000000"/>
          <w:sz w:val="16"/>
          <w:szCs w:val="16"/>
        </w:rPr>
        <w:t xml:space="preserve">When the UE is configured with the higher layer parameter </w:t>
      </w:r>
      <w:r w:rsidRPr="006A1690">
        <w:rPr>
          <w:rFonts w:ascii="Arial" w:eastAsia="SimSun" w:hAnsi="Arial" w:cs="Arial"/>
          <w:i/>
          <w:color w:val="000000"/>
          <w:sz w:val="16"/>
          <w:szCs w:val="16"/>
        </w:rPr>
        <w:t>usage</w:t>
      </w:r>
      <w:r w:rsidRPr="006A1690">
        <w:rPr>
          <w:rFonts w:ascii="Arial" w:eastAsia="SimSun" w:hAnsi="Arial" w:cs="Arial"/>
          <w:color w:val="000000"/>
          <w:sz w:val="16"/>
          <w:szCs w:val="16"/>
        </w:rPr>
        <w:t xml:space="preserve"> in </w:t>
      </w:r>
      <w:r w:rsidRPr="006A1690">
        <w:rPr>
          <w:rFonts w:ascii="Arial" w:eastAsia="SimSun" w:hAnsi="Arial" w:cs="Arial"/>
          <w:i/>
          <w:color w:val="000000"/>
          <w:sz w:val="16"/>
          <w:szCs w:val="16"/>
        </w:rPr>
        <w:t xml:space="preserve">SRS-ResourceSet </w:t>
      </w:r>
      <w:r w:rsidRPr="006A1690">
        <w:rPr>
          <w:rFonts w:ascii="Arial" w:eastAsia="SimSun" w:hAnsi="Arial" w:cs="Arial"/>
          <w:color w:val="000000"/>
          <w:sz w:val="16"/>
          <w:szCs w:val="16"/>
        </w:rPr>
        <w:t xml:space="preserve">set as 'antennaSwitching', the UE may be configured with only one of the following configurations depending on the indicated UE capability </w:t>
      </w:r>
      <w:r w:rsidRPr="006A1690">
        <w:rPr>
          <w:rFonts w:ascii="Arial" w:eastAsia="SimSun" w:hAnsi="Arial" w:cs="Arial"/>
          <w:i/>
          <w:color w:val="000000"/>
          <w:sz w:val="16"/>
          <w:szCs w:val="16"/>
        </w:rPr>
        <w:t>supportedSRS-TxPortSwitch</w:t>
      </w:r>
      <w:r w:rsidRPr="006A1690">
        <w:rPr>
          <w:rFonts w:ascii="Arial" w:eastAsia="SimSun" w:hAnsi="Arial" w:cs="Arial"/>
          <w:color w:val="000000"/>
          <w:sz w:val="16"/>
          <w:szCs w:val="16"/>
        </w:rPr>
        <w:t xml:space="preserve"> ('t1r2' for </w:t>
      </w:r>
      <w:r w:rsidRPr="006A1690">
        <w:rPr>
          <w:rFonts w:ascii="Arial" w:eastAsia="SimSun" w:hAnsi="Arial" w:cs="Arial"/>
          <w:sz w:val="16"/>
          <w:szCs w:val="16"/>
        </w:rPr>
        <w:t xml:space="preserve">1T2R, </w:t>
      </w:r>
      <w:r w:rsidRPr="006A1690">
        <w:rPr>
          <w:rFonts w:ascii="Arial" w:eastAsia="SimSun" w:hAnsi="Arial" w:cs="Arial"/>
          <w:iCs/>
          <w:sz w:val="16"/>
          <w:szCs w:val="16"/>
        </w:rPr>
        <w:t>'t1r1-t1r2' for 1T=1R/1T2R,</w:t>
      </w:r>
      <w:r w:rsidRPr="006A1690">
        <w:rPr>
          <w:rFonts w:ascii="Arial" w:eastAsia="SimSun" w:hAnsi="Arial" w:cs="Arial"/>
          <w:sz w:val="16"/>
          <w:szCs w:val="16"/>
        </w:rPr>
        <w:t xml:space="preserve"> 't2r4' for 2T4R, 't1r4' for 1T4R, </w:t>
      </w:r>
      <w:r w:rsidRPr="006A1690">
        <w:rPr>
          <w:rFonts w:ascii="Arial" w:eastAsia="SimSun" w:hAnsi="Arial" w:cs="Arial"/>
          <w:strike/>
          <w:color w:val="FF0000"/>
          <w:sz w:val="16"/>
          <w:szCs w:val="16"/>
        </w:rPr>
        <w:t>'t8r8' for 8T8R,</w:t>
      </w:r>
      <w:r w:rsidRPr="006A1690">
        <w:rPr>
          <w:rFonts w:ascii="Arial" w:eastAsia="SimSun" w:hAnsi="Arial" w:cs="Arial"/>
          <w:sz w:val="16"/>
          <w:szCs w:val="16"/>
        </w:rPr>
        <w:t xml:space="preserve"> </w:t>
      </w:r>
      <w:r w:rsidRPr="006A1690">
        <w:rPr>
          <w:rFonts w:ascii="Arial" w:eastAsia="SimSun" w:hAnsi="Arial" w:cs="Arial"/>
          <w:iCs/>
          <w:sz w:val="16"/>
          <w:szCs w:val="16"/>
        </w:rPr>
        <w:t>'t1r1-t1r2-t1r4' for 1T=1R/1T2R/1T4R,</w:t>
      </w:r>
      <w:r w:rsidRPr="006A1690">
        <w:rPr>
          <w:rFonts w:ascii="Arial" w:eastAsia="SimSun" w:hAnsi="Arial" w:cs="Arial"/>
          <w:sz w:val="16"/>
          <w:szCs w:val="16"/>
        </w:rPr>
        <w:t xml:space="preserve"> 't1r4-t2r4' for 1T4R/2T4R, </w:t>
      </w:r>
      <w:r w:rsidRPr="006A1690">
        <w:rPr>
          <w:rFonts w:ascii="Arial" w:eastAsia="SimSun" w:hAnsi="Arial" w:cs="Arial"/>
          <w:iCs/>
          <w:sz w:val="16"/>
          <w:szCs w:val="16"/>
        </w:rPr>
        <w:t>'t1r1-t1r2-t2r2-t2r4' for 1T=1R/1T2R/2T=2R/2T4R, '</w:t>
      </w:r>
      <w:r w:rsidRPr="006A1690">
        <w:rPr>
          <w:rFonts w:ascii="Arial" w:eastAsia="SimSun" w:hAnsi="Arial" w:cs="Arial"/>
          <w:bCs/>
          <w:iCs/>
          <w:sz w:val="16"/>
          <w:szCs w:val="16"/>
        </w:rPr>
        <w:t>t1r1-t1r2</w:t>
      </w:r>
      <w:r w:rsidRPr="006A1690">
        <w:rPr>
          <w:rFonts w:ascii="Arial" w:eastAsia="SimSun" w:hAnsi="Arial" w:cs="Arial"/>
          <w:iCs/>
          <w:sz w:val="16"/>
          <w:szCs w:val="16"/>
        </w:rPr>
        <w:t>-</w:t>
      </w:r>
      <w:r w:rsidRPr="006A1690">
        <w:rPr>
          <w:rFonts w:ascii="Arial" w:eastAsia="SimSun" w:hAnsi="Arial" w:cs="Arial"/>
          <w:bCs/>
          <w:iCs/>
          <w:sz w:val="16"/>
          <w:szCs w:val="16"/>
        </w:rPr>
        <w:t>t2r2-t1r4-t2r4</w:t>
      </w:r>
      <w:r w:rsidRPr="006A1690">
        <w:rPr>
          <w:rFonts w:ascii="Arial" w:eastAsia="SimSun" w:hAnsi="Arial" w:cs="Arial"/>
          <w:iCs/>
          <w:sz w:val="16"/>
          <w:szCs w:val="16"/>
        </w:rPr>
        <w:t>' for 1T=1R/1T2R/2T=2R/1T4R/2T4R,</w:t>
      </w:r>
      <w:r w:rsidRPr="006A1690">
        <w:rPr>
          <w:rFonts w:ascii="Arial" w:eastAsia="SimSun" w:hAnsi="Arial" w:cs="Arial"/>
          <w:sz w:val="16"/>
          <w:szCs w:val="16"/>
        </w:rPr>
        <w:t xml:space="preserve"> 't1r1' for 1T=1R, 't2r2' for 2T=2R, </w:t>
      </w:r>
      <w:r w:rsidRPr="006A1690">
        <w:rPr>
          <w:rFonts w:ascii="Arial" w:eastAsia="SimSun" w:hAnsi="Arial" w:cs="Arial"/>
          <w:iCs/>
          <w:sz w:val="16"/>
          <w:szCs w:val="16"/>
        </w:rPr>
        <w:t>'t1r1-t2r2' for 1T=1R/2T=2R,</w:t>
      </w:r>
      <w:r w:rsidRPr="006A1690">
        <w:rPr>
          <w:rFonts w:ascii="Arial" w:eastAsia="SimSun" w:hAnsi="Arial" w:cs="Arial"/>
          <w:sz w:val="16"/>
          <w:szCs w:val="16"/>
        </w:rPr>
        <w:t xml:space="preserve"> 't4r4' for 4T=4R, or </w:t>
      </w:r>
      <w:r w:rsidRPr="006A1690">
        <w:rPr>
          <w:rFonts w:ascii="Arial" w:eastAsia="SimSun" w:hAnsi="Arial" w:cs="Arial"/>
          <w:iCs/>
          <w:sz w:val="16"/>
          <w:szCs w:val="16"/>
        </w:rPr>
        <w:t>'t1r1-t2r2-t4r4' for 1T=1R/2T=2R/4T=4R</w:t>
      </w:r>
      <w:r w:rsidRPr="006A1690">
        <w:rPr>
          <w:rFonts w:ascii="Arial" w:eastAsia="SimSun" w:hAnsi="Arial" w:cs="Arial"/>
          <w:color w:val="000000"/>
          <w:sz w:val="16"/>
          <w:szCs w:val="16"/>
        </w:rPr>
        <w:t xml:space="preserve">) </w:t>
      </w:r>
      <w:r w:rsidRPr="006A1690">
        <w:rPr>
          <w:rFonts w:ascii="Arial" w:eastAsia="SimSun" w:hAnsi="Arial" w:cs="Arial"/>
          <w:sz w:val="16"/>
          <w:szCs w:val="16"/>
        </w:rPr>
        <w:t xml:space="preserve">or the UE may be configured with only one of the following configurations depending on the indicated UE capability </w:t>
      </w:r>
      <w:r w:rsidRPr="006A1690">
        <w:rPr>
          <w:rFonts w:ascii="Arial" w:eastAsia="SimSun" w:hAnsi="Arial" w:cs="Arial"/>
          <w:i/>
          <w:sz w:val="16"/>
          <w:szCs w:val="16"/>
        </w:rPr>
        <w:t xml:space="preserve">supportedSRS-TxPortSwitchBeyond4Rx </w:t>
      </w:r>
      <w:r w:rsidRPr="006A1690">
        <w:rPr>
          <w:rFonts w:ascii="Arial" w:eastAsia="SimSun" w:hAnsi="Arial" w:cs="Arial"/>
          <w:sz w:val="16"/>
          <w:szCs w:val="16"/>
        </w:rPr>
        <w:t xml:space="preserve">('t1r1' for 1T=1R, 't2r2' for 2T=2R, 't1r2' for 1T2R, 't4r4' for 4T=4R, 't2r4' for 2T4R, 't1r4' for 1T4R, 't2r6' for 2T6R, 't1r6' for 1T6R, 't4r8' for 4T8R, 't2r8' for 2T8R, 't1r8' for 1T8R) </w:t>
      </w:r>
      <w:r w:rsidRPr="006A1690">
        <w:rPr>
          <w:rFonts w:ascii="Arial" w:eastAsia="SimSun" w:hAnsi="Arial" w:cs="Arial"/>
          <w:color w:val="FF0000"/>
          <w:sz w:val="16"/>
          <w:szCs w:val="16"/>
        </w:rPr>
        <w:t>or the UE may be configured with the following configurations depending on the indicated UE capability [</w:t>
      </w:r>
      <w:r w:rsidRPr="006A1690">
        <w:rPr>
          <w:rFonts w:ascii="Arial" w:eastAsia="SimSun" w:hAnsi="Arial" w:cs="Arial"/>
          <w:i/>
          <w:color w:val="FF0000"/>
          <w:sz w:val="16"/>
          <w:szCs w:val="16"/>
        </w:rPr>
        <w:t>newUECapabilitySupporting8T8R</w:t>
      </w:r>
      <w:r w:rsidRPr="006A1690">
        <w:rPr>
          <w:rFonts w:ascii="Arial" w:eastAsia="SimSun" w:hAnsi="Arial" w:cs="Arial"/>
          <w:color w:val="FF0000"/>
          <w:sz w:val="16"/>
          <w:szCs w:val="16"/>
        </w:rPr>
        <w:t>]</w:t>
      </w:r>
      <w:r w:rsidRPr="006A1690">
        <w:rPr>
          <w:rFonts w:ascii="Arial" w:eastAsia="SimSun" w:hAnsi="Arial" w:cs="Arial"/>
          <w:color w:val="000000"/>
          <w:sz w:val="16"/>
          <w:szCs w:val="16"/>
        </w:rPr>
        <w:t>:</w:t>
      </w:r>
    </w:p>
    <w:p w14:paraId="5FD9BCE3" w14:textId="29998C1F" w:rsidR="006A1690" w:rsidRPr="0064377E" w:rsidRDefault="006A1690" w:rsidP="006A1690">
      <w:pPr>
        <w:rPr>
          <w:color w:val="FF0000"/>
        </w:rPr>
      </w:pPr>
      <w:r w:rsidRPr="0064377E">
        <w:rPr>
          <w:color w:val="FF0000"/>
        </w:rPr>
        <w:t xml:space="preserve">--------- </w:t>
      </w:r>
      <w:r>
        <w:rPr>
          <w:color w:val="FF0000"/>
        </w:rPr>
        <w:t>End</w:t>
      </w:r>
      <w:r w:rsidRPr="0064377E">
        <w:rPr>
          <w:color w:val="FF0000"/>
        </w:rPr>
        <w:t xml:space="preserve"> of TP ---------</w:t>
      </w:r>
    </w:p>
    <w:p w14:paraId="1B47D432" w14:textId="77777777" w:rsidR="00E67E3F" w:rsidRPr="006A1690" w:rsidRDefault="00E67E3F" w:rsidP="00AA1D48">
      <w:pPr>
        <w:pStyle w:val="ListParagraph"/>
        <w:numPr>
          <w:ilvl w:val="0"/>
          <w:numId w:val="107"/>
        </w:numPr>
      </w:pPr>
      <w:r w:rsidRPr="006A1690">
        <w:t>Additional information</w:t>
      </w:r>
    </w:p>
    <w:p w14:paraId="2DA44DC5" w14:textId="77777777" w:rsidR="00E67E3F" w:rsidRPr="006A1690" w:rsidRDefault="00E67E3F" w:rsidP="00AA1D48">
      <w:pPr>
        <w:pStyle w:val="ListParagraph"/>
        <w:numPr>
          <w:ilvl w:val="1"/>
          <w:numId w:val="107"/>
        </w:numPr>
      </w:pPr>
      <w:r w:rsidRPr="006A1690">
        <w:t xml:space="preserve">Reason for change: New UE capability is introduced for 8T8R support. </w:t>
      </w:r>
    </w:p>
    <w:p w14:paraId="13483C9C" w14:textId="77777777" w:rsidR="00E67E3F" w:rsidRPr="006A1690" w:rsidRDefault="00E67E3F" w:rsidP="00AA1D48">
      <w:pPr>
        <w:pStyle w:val="ListParagraph"/>
        <w:numPr>
          <w:ilvl w:val="1"/>
          <w:numId w:val="107"/>
        </w:numPr>
      </w:pPr>
      <w:r w:rsidRPr="006A1690">
        <w:t>Summary for change: Remove 8T8R from existing description. Add a description of new UE capability for 8T8R.</w:t>
      </w:r>
    </w:p>
    <w:p w14:paraId="5549EF6F" w14:textId="77777777" w:rsidR="00E67E3F" w:rsidRPr="006A1690" w:rsidRDefault="00E67E3F" w:rsidP="00AA1D48">
      <w:pPr>
        <w:pStyle w:val="ListParagraph"/>
        <w:numPr>
          <w:ilvl w:val="1"/>
          <w:numId w:val="107"/>
        </w:numPr>
      </w:pPr>
      <w:r w:rsidRPr="006A1690">
        <w:t>Consequences if not approved: Incorrect/incomplete specification for 8T8R.</w:t>
      </w:r>
    </w:p>
    <w:p w14:paraId="10734919" w14:textId="77777777" w:rsidR="00E67E3F" w:rsidRPr="006A1690" w:rsidRDefault="00E67E3F" w:rsidP="00AA1D48">
      <w:pPr>
        <w:pStyle w:val="ListParagraph"/>
        <w:numPr>
          <w:ilvl w:val="1"/>
          <w:numId w:val="107"/>
        </w:numPr>
        <w:rPr>
          <w:rFonts w:ascii="Times" w:hAnsi="Times"/>
          <w:i/>
          <w:iCs/>
          <w:u w:val="single"/>
        </w:rPr>
      </w:pPr>
      <w:r w:rsidRPr="006A1690">
        <w:t>TP is for TS38.214 v18.0.0.</w:t>
      </w:r>
    </w:p>
    <w:p w14:paraId="0A40C2F8" w14:textId="77777777" w:rsidR="00E67E3F" w:rsidRDefault="00E67E3F" w:rsidP="0064377E">
      <w:pPr>
        <w:rPr>
          <w:rFonts w:ascii="Times New Roman" w:hAnsi="Times New Roman"/>
          <w:szCs w:val="20"/>
          <w:lang w:eastAsia="x-none"/>
        </w:rPr>
      </w:pPr>
    </w:p>
    <w:p w14:paraId="5D52A26D" w14:textId="60CB0F6E" w:rsidR="0064377E" w:rsidRPr="003B0B20" w:rsidRDefault="003B0B20" w:rsidP="00F74A6F">
      <w:pPr>
        <w:rPr>
          <w:rFonts w:ascii="Times New Roman" w:hAnsi="Times New Roman"/>
          <w:szCs w:val="20"/>
          <w:lang w:eastAsia="x-none"/>
        </w:rPr>
      </w:pPr>
      <w:r>
        <w:rPr>
          <w:rFonts w:ascii="Times New Roman" w:hAnsi="Times New Roman"/>
          <w:szCs w:val="20"/>
          <w:lang w:eastAsia="x-none"/>
        </w:rPr>
        <w:t xml:space="preserve">Final summary in </w:t>
      </w:r>
      <w:hyperlink r:id="rId897" w:history="1">
        <w:r w:rsidR="00AF7253">
          <w:rPr>
            <w:rStyle w:val="Hyperlink"/>
            <w:rFonts w:ascii="Times New Roman" w:hAnsi="Times New Roman"/>
            <w:szCs w:val="20"/>
            <w:lang w:eastAsia="x-none"/>
          </w:rPr>
          <w:t>R1-2312318</w:t>
        </w:r>
      </w:hyperlink>
      <w:r w:rsidR="0064377E" w:rsidRPr="0064377E">
        <w:rPr>
          <w:rFonts w:ascii="Times New Roman" w:hAnsi="Times New Roman"/>
          <w:szCs w:val="20"/>
          <w:lang w:eastAsia="x-none"/>
        </w:rPr>
        <w:tab/>
        <w:t>FL S</w:t>
      </w:r>
      <w:r>
        <w:rPr>
          <w:rFonts w:ascii="Times New Roman" w:hAnsi="Times New Roman"/>
          <w:szCs w:val="20"/>
          <w:lang w:eastAsia="x-none"/>
        </w:rPr>
        <w:t>.</w:t>
      </w:r>
    </w:p>
    <w:p w14:paraId="3E171DCD" w14:textId="77777777" w:rsidR="00F74A6F" w:rsidRPr="009537ED" w:rsidRDefault="00F74A6F" w:rsidP="009E07E2">
      <w:pPr>
        <w:pStyle w:val="Heading3"/>
      </w:pPr>
      <w:bookmarkStart w:id="216" w:name="_Toc150174447"/>
      <w:bookmarkStart w:id="217" w:name="_Toc159250989"/>
      <w:r w:rsidRPr="009537ED">
        <w:t>Enhanced uplink transmission</w:t>
      </w:r>
      <w:bookmarkEnd w:id="216"/>
      <w:bookmarkEnd w:id="217"/>
    </w:p>
    <w:p w14:paraId="17DF27AD" w14:textId="77777777" w:rsidR="00F74A6F" w:rsidRPr="009537ED" w:rsidRDefault="00F74A6F" w:rsidP="009E07E2">
      <w:pPr>
        <w:pStyle w:val="Heading4"/>
      </w:pPr>
      <w:bookmarkStart w:id="218" w:name="_Toc150174448"/>
      <w:bookmarkStart w:id="219" w:name="_Toc159250990"/>
      <w:r w:rsidRPr="009537ED">
        <w:t>UL precoding indication for multi-panel transmission</w:t>
      </w:r>
      <w:bookmarkEnd w:id="218"/>
      <w:bookmarkEnd w:id="219"/>
    </w:p>
    <w:p w14:paraId="6701E865" w14:textId="4F0AF7C9" w:rsidR="00F74A6F" w:rsidRPr="009537ED" w:rsidRDefault="005A18DC" w:rsidP="00F74A6F">
      <w:pPr>
        <w:rPr>
          <w:lang w:eastAsia="x-none"/>
        </w:rPr>
      </w:pPr>
      <w:hyperlink r:id="rId898" w:history="1">
        <w:r w:rsidR="00AF7253">
          <w:rPr>
            <w:rStyle w:val="Hyperlink"/>
            <w:lang w:eastAsia="x-none"/>
          </w:rPr>
          <w:t>R1-2310871</w:t>
        </w:r>
      </w:hyperlink>
      <w:r w:rsidR="00F74A6F" w:rsidRPr="009537ED">
        <w:rPr>
          <w:lang w:eastAsia="x-none"/>
        </w:rPr>
        <w:tab/>
        <w:t>Maintenance on UL precoding indication for multi-panel transmission</w:t>
      </w:r>
      <w:r w:rsidR="00F74A6F" w:rsidRPr="009537ED">
        <w:rPr>
          <w:lang w:eastAsia="x-none"/>
        </w:rPr>
        <w:tab/>
        <w:t>Huawei, HiSilicon</w:t>
      </w:r>
    </w:p>
    <w:p w14:paraId="4F3D4EA5" w14:textId="2D61B550" w:rsidR="00F74A6F" w:rsidRPr="009537ED" w:rsidRDefault="005A18DC" w:rsidP="00F74A6F">
      <w:pPr>
        <w:rPr>
          <w:lang w:eastAsia="x-none"/>
        </w:rPr>
      </w:pPr>
      <w:hyperlink r:id="rId899" w:history="1">
        <w:r w:rsidR="00AF7253">
          <w:rPr>
            <w:rStyle w:val="Hyperlink"/>
            <w:lang w:eastAsia="x-none"/>
          </w:rPr>
          <w:t>R1-2310924</w:t>
        </w:r>
      </w:hyperlink>
      <w:r w:rsidR="00F74A6F" w:rsidRPr="009537ED">
        <w:rPr>
          <w:lang w:eastAsia="x-none"/>
        </w:rPr>
        <w:tab/>
        <w:t>Maintenance on Rel-18 MPUE Uplink Transmission</w:t>
      </w:r>
      <w:r w:rsidR="00F74A6F" w:rsidRPr="009537ED">
        <w:rPr>
          <w:lang w:eastAsia="x-none"/>
        </w:rPr>
        <w:tab/>
        <w:t>InterDigital, Inc.</w:t>
      </w:r>
    </w:p>
    <w:p w14:paraId="7DFEF59E" w14:textId="18BFF48C" w:rsidR="00F74A6F" w:rsidRPr="009537ED" w:rsidRDefault="005A18DC" w:rsidP="00F74A6F">
      <w:pPr>
        <w:rPr>
          <w:lang w:eastAsia="x-none"/>
        </w:rPr>
      </w:pPr>
      <w:hyperlink r:id="rId900" w:history="1">
        <w:r w:rsidR="00AF7253">
          <w:rPr>
            <w:rStyle w:val="Hyperlink"/>
            <w:lang w:eastAsia="x-none"/>
          </w:rPr>
          <w:t>R1-2310952</w:t>
        </w:r>
      </w:hyperlink>
      <w:r w:rsidR="00F74A6F" w:rsidRPr="009537ED">
        <w:rPr>
          <w:lang w:eastAsia="x-none"/>
        </w:rPr>
        <w:tab/>
        <w:t>Maintenance on UL precoding indication for multi-panel transmission</w:t>
      </w:r>
      <w:r w:rsidR="00F74A6F" w:rsidRPr="009537ED">
        <w:rPr>
          <w:lang w:eastAsia="x-none"/>
        </w:rPr>
        <w:tab/>
        <w:t>ZTE</w:t>
      </w:r>
    </w:p>
    <w:p w14:paraId="39219AE5" w14:textId="45A3371F" w:rsidR="00F74A6F" w:rsidRPr="009537ED" w:rsidRDefault="005A18DC" w:rsidP="00F74A6F">
      <w:pPr>
        <w:rPr>
          <w:lang w:eastAsia="x-none"/>
        </w:rPr>
      </w:pPr>
      <w:hyperlink r:id="rId901" w:history="1">
        <w:r w:rsidR="00AF7253">
          <w:rPr>
            <w:rStyle w:val="Hyperlink"/>
            <w:lang w:eastAsia="x-none"/>
          </w:rPr>
          <w:t>R1-2311043</w:t>
        </w:r>
      </w:hyperlink>
      <w:r w:rsidR="00F74A6F" w:rsidRPr="009537ED">
        <w:rPr>
          <w:lang w:eastAsia="x-none"/>
        </w:rPr>
        <w:tab/>
        <w:t>Remaining issues on UL precoding indication for multi-panel transmission</w:t>
      </w:r>
      <w:r w:rsidR="00F74A6F" w:rsidRPr="009537ED">
        <w:rPr>
          <w:lang w:eastAsia="x-none"/>
        </w:rPr>
        <w:tab/>
        <w:t>Fujitsu</w:t>
      </w:r>
    </w:p>
    <w:p w14:paraId="59401DA1" w14:textId="7D0CDDDD" w:rsidR="00F74A6F" w:rsidRPr="009537ED" w:rsidRDefault="005A18DC" w:rsidP="00F74A6F">
      <w:pPr>
        <w:rPr>
          <w:lang w:eastAsia="x-none"/>
        </w:rPr>
      </w:pPr>
      <w:hyperlink r:id="rId902" w:history="1">
        <w:r w:rsidR="00AF7253">
          <w:rPr>
            <w:rStyle w:val="Hyperlink"/>
            <w:lang w:eastAsia="x-none"/>
          </w:rPr>
          <w:t>R1-2311088</w:t>
        </w:r>
      </w:hyperlink>
      <w:r w:rsidR="00F74A6F" w:rsidRPr="009537ED">
        <w:rPr>
          <w:lang w:eastAsia="x-none"/>
        </w:rPr>
        <w:tab/>
        <w:t>Maintenance on UL precoding indication for multi-panel transmission</w:t>
      </w:r>
      <w:r w:rsidR="00F74A6F" w:rsidRPr="009537ED">
        <w:rPr>
          <w:lang w:eastAsia="x-none"/>
        </w:rPr>
        <w:tab/>
        <w:t>vivo</w:t>
      </w:r>
    </w:p>
    <w:p w14:paraId="0BBD8C8C" w14:textId="240B504C" w:rsidR="00F74A6F" w:rsidRPr="009537ED" w:rsidRDefault="005A18DC" w:rsidP="00F74A6F">
      <w:pPr>
        <w:rPr>
          <w:lang w:eastAsia="x-none"/>
        </w:rPr>
      </w:pPr>
      <w:hyperlink r:id="rId903" w:history="1">
        <w:r w:rsidR="00AF7253">
          <w:rPr>
            <w:rStyle w:val="Hyperlink"/>
            <w:lang w:eastAsia="x-none"/>
          </w:rPr>
          <w:t>R1-2311159</w:t>
        </w:r>
      </w:hyperlink>
      <w:r w:rsidR="00F74A6F" w:rsidRPr="009537ED">
        <w:rPr>
          <w:lang w:eastAsia="x-none"/>
        </w:rPr>
        <w:tab/>
        <w:t>Remaining issues on UL precoding indication for multi-panel transmission</w:t>
      </w:r>
      <w:r w:rsidR="00F74A6F" w:rsidRPr="009537ED">
        <w:rPr>
          <w:lang w:eastAsia="x-none"/>
        </w:rPr>
        <w:tab/>
        <w:t>Spreadtrum Communications</w:t>
      </w:r>
    </w:p>
    <w:p w14:paraId="01C58F49" w14:textId="4088B958" w:rsidR="00F74A6F" w:rsidRPr="009537ED" w:rsidRDefault="005A18DC" w:rsidP="00F74A6F">
      <w:pPr>
        <w:rPr>
          <w:lang w:eastAsia="x-none"/>
        </w:rPr>
      </w:pPr>
      <w:hyperlink r:id="rId904" w:history="1">
        <w:r w:rsidR="00AF7253">
          <w:rPr>
            <w:rStyle w:val="Hyperlink"/>
            <w:lang w:eastAsia="x-none"/>
          </w:rPr>
          <w:t>R1-2311218</w:t>
        </w:r>
      </w:hyperlink>
      <w:r w:rsidR="00F74A6F" w:rsidRPr="009537ED">
        <w:rPr>
          <w:lang w:eastAsia="x-none"/>
        </w:rPr>
        <w:tab/>
        <w:t>Remaining issues of UL precoding indicat</w:t>
      </w:r>
      <w:r w:rsidR="009E07E2">
        <w:rPr>
          <w:lang w:eastAsia="x-none"/>
        </w:rPr>
        <w:t>i</w:t>
      </w:r>
      <w:r w:rsidR="00F74A6F" w:rsidRPr="009537ED">
        <w:rPr>
          <w:lang w:eastAsia="x-none"/>
        </w:rPr>
        <w:t>on for multi-panel transmission</w:t>
      </w:r>
      <w:r w:rsidR="00F74A6F" w:rsidRPr="009537ED">
        <w:rPr>
          <w:lang w:eastAsia="x-none"/>
        </w:rPr>
        <w:tab/>
        <w:t>OPPO</w:t>
      </w:r>
    </w:p>
    <w:p w14:paraId="13168E62" w14:textId="3C0C2813" w:rsidR="00F74A6F" w:rsidRPr="009537ED" w:rsidRDefault="005A18DC" w:rsidP="00F74A6F">
      <w:pPr>
        <w:rPr>
          <w:lang w:eastAsia="x-none"/>
        </w:rPr>
      </w:pPr>
      <w:hyperlink r:id="rId905" w:history="1">
        <w:r w:rsidR="00AF7253">
          <w:rPr>
            <w:rStyle w:val="Hyperlink"/>
            <w:lang w:eastAsia="x-none"/>
          </w:rPr>
          <w:t>R1-2311319</w:t>
        </w:r>
      </w:hyperlink>
      <w:r w:rsidR="00F74A6F" w:rsidRPr="009537ED">
        <w:rPr>
          <w:lang w:eastAsia="x-none"/>
        </w:rPr>
        <w:tab/>
        <w:t>Remaining issues on UL precoding indication for multi-panel transmission</w:t>
      </w:r>
      <w:r w:rsidR="00F74A6F" w:rsidRPr="009537ED">
        <w:rPr>
          <w:lang w:eastAsia="x-none"/>
        </w:rPr>
        <w:tab/>
        <w:t>CATT</w:t>
      </w:r>
    </w:p>
    <w:p w14:paraId="6360F52E" w14:textId="20D47737" w:rsidR="00F74A6F" w:rsidRPr="009537ED" w:rsidRDefault="005A18DC" w:rsidP="00F74A6F">
      <w:pPr>
        <w:rPr>
          <w:lang w:eastAsia="x-none"/>
        </w:rPr>
      </w:pPr>
      <w:hyperlink r:id="rId906" w:history="1">
        <w:r w:rsidR="00AF7253">
          <w:rPr>
            <w:rStyle w:val="Hyperlink"/>
            <w:lang w:eastAsia="x-none"/>
          </w:rPr>
          <w:t>R1-2311366</w:t>
        </w:r>
      </w:hyperlink>
      <w:r w:rsidR="00F74A6F" w:rsidRPr="009537ED">
        <w:rPr>
          <w:lang w:eastAsia="x-none"/>
        </w:rPr>
        <w:tab/>
        <w:t>Maintenance on UL precoding indication for multi-panel transmission</w:t>
      </w:r>
      <w:r w:rsidR="00F74A6F" w:rsidRPr="009537ED">
        <w:rPr>
          <w:lang w:eastAsia="x-none"/>
        </w:rPr>
        <w:tab/>
        <w:t>Lenovo</w:t>
      </w:r>
    </w:p>
    <w:p w14:paraId="19AAE3AB" w14:textId="70046AFB" w:rsidR="00F74A6F" w:rsidRPr="009537ED" w:rsidRDefault="005A18DC" w:rsidP="00F74A6F">
      <w:pPr>
        <w:rPr>
          <w:lang w:eastAsia="x-none"/>
        </w:rPr>
      </w:pPr>
      <w:hyperlink r:id="rId907" w:history="1">
        <w:r w:rsidR="00AF7253">
          <w:rPr>
            <w:rStyle w:val="Hyperlink"/>
            <w:lang w:eastAsia="x-none"/>
          </w:rPr>
          <w:t>R1-2311384</w:t>
        </w:r>
      </w:hyperlink>
      <w:r w:rsidR="00F74A6F" w:rsidRPr="009537ED">
        <w:rPr>
          <w:lang w:eastAsia="x-none"/>
        </w:rPr>
        <w:tab/>
        <w:t>Maintenance on multi-panel uplink transmission</w:t>
      </w:r>
      <w:r w:rsidR="00F74A6F" w:rsidRPr="009537ED">
        <w:rPr>
          <w:lang w:eastAsia="x-none"/>
        </w:rPr>
        <w:tab/>
        <w:t>xiaomi</w:t>
      </w:r>
    </w:p>
    <w:p w14:paraId="4BECD78F" w14:textId="61AA5AC8" w:rsidR="00F74A6F" w:rsidRPr="009537ED" w:rsidRDefault="005A18DC" w:rsidP="00F74A6F">
      <w:pPr>
        <w:rPr>
          <w:lang w:eastAsia="x-none"/>
        </w:rPr>
      </w:pPr>
      <w:hyperlink r:id="rId908" w:history="1">
        <w:r w:rsidR="00AF7253">
          <w:rPr>
            <w:rStyle w:val="Hyperlink"/>
            <w:lang w:eastAsia="x-none"/>
          </w:rPr>
          <w:t>R1-2311422</w:t>
        </w:r>
      </w:hyperlink>
      <w:r w:rsidR="00F74A6F" w:rsidRPr="009537ED">
        <w:rPr>
          <w:lang w:eastAsia="x-none"/>
        </w:rPr>
        <w:tab/>
        <w:t>Remaining issues on UL precoding indication for multi-panel transmission</w:t>
      </w:r>
      <w:r w:rsidR="00F74A6F" w:rsidRPr="009537ED">
        <w:rPr>
          <w:lang w:eastAsia="x-none"/>
        </w:rPr>
        <w:tab/>
        <w:t>NEC</w:t>
      </w:r>
    </w:p>
    <w:p w14:paraId="58166AE1" w14:textId="7D80A123" w:rsidR="00F74A6F" w:rsidRPr="009537ED" w:rsidRDefault="005A18DC" w:rsidP="00F74A6F">
      <w:pPr>
        <w:rPr>
          <w:lang w:eastAsia="x-none"/>
        </w:rPr>
      </w:pPr>
      <w:hyperlink r:id="rId909" w:history="1">
        <w:r w:rsidR="00AF7253">
          <w:rPr>
            <w:rStyle w:val="Hyperlink"/>
            <w:lang w:eastAsia="x-none"/>
          </w:rPr>
          <w:t>R1-2311479</w:t>
        </w:r>
      </w:hyperlink>
      <w:r w:rsidR="00F74A6F" w:rsidRPr="009537ED">
        <w:rPr>
          <w:lang w:eastAsia="x-none"/>
        </w:rPr>
        <w:tab/>
        <w:t>Remaining issues on UL precoding indication for multi-panel transmission</w:t>
      </w:r>
      <w:r w:rsidR="00F74A6F" w:rsidRPr="009537ED">
        <w:rPr>
          <w:lang w:eastAsia="x-none"/>
        </w:rPr>
        <w:tab/>
        <w:t>CMCC</w:t>
      </w:r>
    </w:p>
    <w:p w14:paraId="6F0F2316" w14:textId="53D32D9B" w:rsidR="00F74A6F" w:rsidRPr="009537ED" w:rsidRDefault="005A18DC" w:rsidP="00F74A6F">
      <w:pPr>
        <w:rPr>
          <w:lang w:eastAsia="x-none"/>
        </w:rPr>
      </w:pPr>
      <w:hyperlink r:id="rId910" w:history="1">
        <w:r w:rsidR="00AF7253">
          <w:rPr>
            <w:rStyle w:val="Hyperlink"/>
            <w:lang w:eastAsia="x-none"/>
          </w:rPr>
          <w:t>R1-2311523</w:t>
        </w:r>
      </w:hyperlink>
      <w:r w:rsidR="00F74A6F" w:rsidRPr="009537ED">
        <w:rPr>
          <w:lang w:eastAsia="x-none"/>
        </w:rPr>
        <w:tab/>
        <w:t>Remaining Issues on UL Precoding for Multi-panel Transmission</w:t>
      </w:r>
      <w:r w:rsidR="00F74A6F" w:rsidRPr="009537ED">
        <w:rPr>
          <w:lang w:eastAsia="x-none"/>
        </w:rPr>
        <w:tab/>
        <w:t>Panasonic</w:t>
      </w:r>
    </w:p>
    <w:p w14:paraId="32C1EBAB" w14:textId="75F783FA" w:rsidR="00F74A6F" w:rsidRPr="009537ED" w:rsidRDefault="005A18DC" w:rsidP="00F74A6F">
      <w:pPr>
        <w:rPr>
          <w:lang w:eastAsia="x-none"/>
        </w:rPr>
      </w:pPr>
      <w:hyperlink r:id="rId911" w:history="1">
        <w:r w:rsidR="00AF7253">
          <w:rPr>
            <w:rStyle w:val="Hyperlink"/>
            <w:lang w:eastAsia="x-none"/>
          </w:rPr>
          <w:t>R1-2311570</w:t>
        </w:r>
      </w:hyperlink>
      <w:r w:rsidR="00F74A6F" w:rsidRPr="009537ED">
        <w:rPr>
          <w:lang w:eastAsia="x-none"/>
        </w:rPr>
        <w:tab/>
        <w:t>On Simultaneous Multi-Panel Transmission</w:t>
      </w:r>
      <w:r w:rsidR="00F74A6F" w:rsidRPr="009537ED">
        <w:rPr>
          <w:lang w:eastAsia="x-none"/>
        </w:rPr>
        <w:tab/>
        <w:t>Google</w:t>
      </w:r>
    </w:p>
    <w:p w14:paraId="547ACF85" w14:textId="16EB2B62" w:rsidR="00F74A6F" w:rsidRPr="009537ED" w:rsidRDefault="005A18DC" w:rsidP="00F74A6F">
      <w:pPr>
        <w:rPr>
          <w:lang w:eastAsia="x-none"/>
        </w:rPr>
      </w:pPr>
      <w:hyperlink r:id="rId912" w:history="1">
        <w:r w:rsidR="00AF7253">
          <w:rPr>
            <w:rStyle w:val="Hyperlink"/>
            <w:lang w:eastAsia="x-none"/>
          </w:rPr>
          <w:t>R1-2311617</w:t>
        </w:r>
      </w:hyperlink>
      <w:r w:rsidR="00F74A6F" w:rsidRPr="009537ED">
        <w:rPr>
          <w:lang w:eastAsia="x-none"/>
        </w:rPr>
        <w:tab/>
        <w:t>Remaining issues on multi-panel transmission</w:t>
      </w:r>
      <w:r w:rsidR="00F74A6F" w:rsidRPr="009537ED">
        <w:rPr>
          <w:lang w:eastAsia="x-none"/>
        </w:rPr>
        <w:tab/>
        <w:t>NTT DOCOMO, INC.</w:t>
      </w:r>
    </w:p>
    <w:p w14:paraId="0677F757" w14:textId="2EA4D32F" w:rsidR="00F74A6F" w:rsidRPr="009537ED" w:rsidRDefault="005A18DC" w:rsidP="00F74A6F">
      <w:pPr>
        <w:rPr>
          <w:lang w:eastAsia="x-none"/>
        </w:rPr>
      </w:pPr>
      <w:hyperlink r:id="rId913" w:history="1">
        <w:r w:rsidR="00AF7253">
          <w:rPr>
            <w:rStyle w:val="Hyperlink"/>
            <w:lang w:eastAsia="x-none"/>
          </w:rPr>
          <w:t>R1-2311657</w:t>
        </w:r>
      </w:hyperlink>
      <w:r w:rsidR="00F74A6F" w:rsidRPr="009537ED">
        <w:rPr>
          <w:lang w:eastAsia="x-none"/>
        </w:rPr>
        <w:tab/>
        <w:t>UL precoding indication for multi-panel transmission</w:t>
      </w:r>
      <w:r w:rsidR="00F74A6F" w:rsidRPr="009537ED">
        <w:rPr>
          <w:lang w:eastAsia="x-none"/>
        </w:rPr>
        <w:tab/>
        <w:t>Intel Corporation</w:t>
      </w:r>
    </w:p>
    <w:p w14:paraId="435865CD" w14:textId="54928CF5" w:rsidR="00F74A6F" w:rsidRPr="009537ED" w:rsidRDefault="005A18DC" w:rsidP="00F74A6F">
      <w:pPr>
        <w:rPr>
          <w:lang w:eastAsia="x-none"/>
        </w:rPr>
      </w:pPr>
      <w:hyperlink r:id="rId914" w:history="1">
        <w:r w:rsidR="00AF7253">
          <w:rPr>
            <w:rStyle w:val="Hyperlink"/>
            <w:lang w:eastAsia="x-none"/>
          </w:rPr>
          <w:t>R1-2311677</w:t>
        </w:r>
      </w:hyperlink>
      <w:r w:rsidR="00F74A6F" w:rsidRPr="009537ED">
        <w:rPr>
          <w:lang w:eastAsia="x-none"/>
        </w:rPr>
        <w:tab/>
        <w:t>Remaining issues on multi-panel simultaneous transmissions</w:t>
      </w:r>
      <w:r w:rsidR="00F74A6F" w:rsidRPr="009537ED">
        <w:rPr>
          <w:lang w:eastAsia="x-none"/>
        </w:rPr>
        <w:tab/>
        <w:t>Apple</w:t>
      </w:r>
    </w:p>
    <w:p w14:paraId="31462EDC" w14:textId="1FD831A2" w:rsidR="00F74A6F" w:rsidRPr="009537ED" w:rsidRDefault="005A18DC" w:rsidP="00F74A6F">
      <w:pPr>
        <w:rPr>
          <w:lang w:eastAsia="x-none"/>
        </w:rPr>
      </w:pPr>
      <w:hyperlink r:id="rId915" w:history="1">
        <w:r w:rsidR="00AF7253">
          <w:rPr>
            <w:rStyle w:val="Hyperlink"/>
            <w:lang w:eastAsia="x-none"/>
          </w:rPr>
          <w:t>R1-2311726</w:t>
        </w:r>
      </w:hyperlink>
      <w:r w:rsidR="00F74A6F" w:rsidRPr="009537ED">
        <w:rPr>
          <w:lang w:eastAsia="x-none"/>
        </w:rPr>
        <w:tab/>
        <w:t>Maintenance on UL multi-panel transmission</w:t>
      </w:r>
      <w:r w:rsidR="00F74A6F" w:rsidRPr="009537ED">
        <w:rPr>
          <w:lang w:eastAsia="x-none"/>
        </w:rPr>
        <w:tab/>
        <w:t>Sharp</w:t>
      </w:r>
    </w:p>
    <w:p w14:paraId="6C80690A" w14:textId="058353CC" w:rsidR="00F74A6F" w:rsidRPr="009537ED" w:rsidRDefault="005A18DC" w:rsidP="00F74A6F">
      <w:pPr>
        <w:rPr>
          <w:lang w:eastAsia="x-none"/>
        </w:rPr>
      </w:pPr>
      <w:hyperlink r:id="rId916" w:history="1">
        <w:r w:rsidR="00AF7253">
          <w:rPr>
            <w:rStyle w:val="Hyperlink"/>
            <w:lang w:eastAsia="x-none"/>
          </w:rPr>
          <w:t>R1-2311734</w:t>
        </w:r>
      </w:hyperlink>
      <w:r w:rsidR="00F74A6F" w:rsidRPr="009537ED">
        <w:rPr>
          <w:lang w:eastAsia="x-none"/>
        </w:rPr>
        <w:tab/>
        <w:t>Remaining issues on UL precoding indication for multi-panel transmission</w:t>
      </w:r>
      <w:r w:rsidR="00F74A6F" w:rsidRPr="009537ED">
        <w:rPr>
          <w:lang w:eastAsia="x-none"/>
        </w:rPr>
        <w:tab/>
        <w:t>Langbo</w:t>
      </w:r>
    </w:p>
    <w:p w14:paraId="154A8A8A" w14:textId="041D91A5" w:rsidR="00F74A6F" w:rsidRPr="009537ED" w:rsidRDefault="005A18DC" w:rsidP="00F74A6F">
      <w:pPr>
        <w:rPr>
          <w:lang w:eastAsia="x-none"/>
        </w:rPr>
      </w:pPr>
      <w:hyperlink r:id="rId917" w:history="1">
        <w:r w:rsidR="00AF7253">
          <w:rPr>
            <w:rStyle w:val="Hyperlink"/>
            <w:lang w:eastAsia="x-none"/>
          </w:rPr>
          <w:t>R1-2311744</w:t>
        </w:r>
      </w:hyperlink>
      <w:r w:rsidR="00F74A6F" w:rsidRPr="009537ED">
        <w:rPr>
          <w:lang w:eastAsia="x-none"/>
        </w:rPr>
        <w:tab/>
        <w:t>Maintenance of precoder Indication for Multi-Panel UL Transmission</w:t>
      </w:r>
      <w:r w:rsidR="00F74A6F" w:rsidRPr="009537ED">
        <w:rPr>
          <w:lang w:eastAsia="x-none"/>
        </w:rPr>
        <w:tab/>
        <w:t>Nokia, Nokia Shanghai Bell</w:t>
      </w:r>
    </w:p>
    <w:p w14:paraId="67B184CE" w14:textId="3AF39E71" w:rsidR="00F74A6F" w:rsidRPr="009537ED" w:rsidRDefault="005A18DC" w:rsidP="00F74A6F">
      <w:pPr>
        <w:rPr>
          <w:lang w:eastAsia="x-none"/>
        </w:rPr>
      </w:pPr>
      <w:hyperlink r:id="rId918" w:history="1">
        <w:r w:rsidR="00AF7253">
          <w:rPr>
            <w:rStyle w:val="Hyperlink"/>
            <w:lang w:eastAsia="x-none"/>
          </w:rPr>
          <w:t>R1-2311794</w:t>
        </w:r>
      </w:hyperlink>
      <w:r w:rsidR="00F74A6F" w:rsidRPr="009537ED">
        <w:rPr>
          <w:lang w:eastAsia="x-none"/>
        </w:rPr>
        <w:tab/>
        <w:t>Remaining issues of UL precoding indication for multi-panel transmission</w:t>
      </w:r>
      <w:r w:rsidR="00F74A6F" w:rsidRPr="009537ED">
        <w:rPr>
          <w:lang w:eastAsia="x-none"/>
        </w:rPr>
        <w:tab/>
        <w:t>Transsion Holdings</w:t>
      </w:r>
    </w:p>
    <w:p w14:paraId="2040C747" w14:textId="2319C7EC" w:rsidR="00F74A6F" w:rsidRPr="009537ED" w:rsidRDefault="005A18DC" w:rsidP="00F74A6F">
      <w:pPr>
        <w:rPr>
          <w:lang w:eastAsia="x-none"/>
        </w:rPr>
      </w:pPr>
      <w:hyperlink r:id="rId919" w:history="1">
        <w:r w:rsidR="00AF7253">
          <w:rPr>
            <w:rStyle w:val="Hyperlink"/>
            <w:lang w:eastAsia="x-none"/>
          </w:rPr>
          <w:t>R1-2311835</w:t>
        </w:r>
      </w:hyperlink>
      <w:r w:rsidR="00F74A6F" w:rsidRPr="009537ED">
        <w:rPr>
          <w:lang w:eastAsia="x-none"/>
        </w:rPr>
        <w:tab/>
        <w:t>Remaining details on UL precoding indication for STxMP</w:t>
      </w:r>
      <w:r w:rsidR="00F74A6F" w:rsidRPr="009537ED">
        <w:rPr>
          <w:lang w:eastAsia="x-none"/>
        </w:rPr>
        <w:tab/>
        <w:t>Samsung</w:t>
      </w:r>
    </w:p>
    <w:p w14:paraId="7029AC9B" w14:textId="459FDED8" w:rsidR="00F74A6F" w:rsidRPr="009537ED" w:rsidRDefault="005A18DC" w:rsidP="00F74A6F">
      <w:pPr>
        <w:rPr>
          <w:lang w:eastAsia="x-none"/>
        </w:rPr>
      </w:pPr>
      <w:hyperlink r:id="rId920" w:history="1">
        <w:r w:rsidR="00AF7253">
          <w:rPr>
            <w:rStyle w:val="Hyperlink"/>
            <w:lang w:eastAsia="x-none"/>
          </w:rPr>
          <w:t>R1-2311930</w:t>
        </w:r>
      </w:hyperlink>
      <w:r w:rsidR="00F74A6F" w:rsidRPr="009537ED">
        <w:rPr>
          <w:lang w:eastAsia="x-none"/>
        </w:rPr>
        <w:tab/>
        <w:t>Remaining issues on UL precoding indication for multi-panel transmission</w:t>
      </w:r>
      <w:r w:rsidR="00F74A6F" w:rsidRPr="009537ED">
        <w:rPr>
          <w:lang w:eastAsia="x-none"/>
        </w:rPr>
        <w:tab/>
        <w:t>Ruijie Network Co. Ltd</w:t>
      </w:r>
    </w:p>
    <w:p w14:paraId="09CFB0E5" w14:textId="43954CBD" w:rsidR="00F74A6F" w:rsidRPr="009537ED" w:rsidRDefault="005A18DC" w:rsidP="00F74A6F">
      <w:pPr>
        <w:rPr>
          <w:lang w:eastAsia="x-none"/>
        </w:rPr>
      </w:pPr>
      <w:hyperlink r:id="rId921" w:history="1">
        <w:r w:rsidR="00AF7253">
          <w:rPr>
            <w:rStyle w:val="Hyperlink"/>
            <w:lang w:eastAsia="x-none"/>
          </w:rPr>
          <w:t>R1-2311973</w:t>
        </w:r>
      </w:hyperlink>
      <w:r w:rsidR="00F74A6F" w:rsidRPr="009537ED">
        <w:rPr>
          <w:lang w:eastAsia="x-none"/>
        </w:rPr>
        <w:tab/>
        <w:t>Remaining issues on simultaneous UL transmission across multi-panel</w:t>
      </w:r>
      <w:r w:rsidR="00F74A6F" w:rsidRPr="009537ED">
        <w:rPr>
          <w:lang w:eastAsia="x-none"/>
        </w:rPr>
        <w:tab/>
        <w:t>MediaTek Inc.</w:t>
      </w:r>
    </w:p>
    <w:p w14:paraId="7FC1FAF5" w14:textId="0A5D384C" w:rsidR="00F74A6F" w:rsidRPr="009537ED" w:rsidRDefault="005A18DC" w:rsidP="00F74A6F">
      <w:pPr>
        <w:rPr>
          <w:lang w:eastAsia="x-none"/>
        </w:rPr>
      </w:pPr>
      <w:hyperlink r:id="rId922" w:history="1">
        <w:r w:rsidR="00AF7253">
          <w:rPr>
            <w:rStyle w:val="Hyperlink"/>
            <w:lang w:eastAsia="x-none"/>
          </w:rPr>
          <w:t>R1-2312006</w:t>
        </w:r>
      </w:hyperlink>
      <w:r w:rsidR="00F74A6F" w:rsidRPr="009537ED">
        <w:rPr>
          <w:lang w:eastAsia="x-none"/>
        </w:rPr>
        <w:tab/>
        <w:t>Remaining issues on UL precoding indication for multi-panel transmission</w:t>
      </w:r>
      <w:r w:rsidR="00F74A6F" w:rsidRPr="009537ED">
        <w:rPr>
          <w:lang w:eastAsia="x-none"/>
        </w:rPr>
        <w:tab/>
        <w:t>Hyundai Motor Company</w:t>
      </w:r>
    </w:p>
    <w:p w14:paraId="4FC58AEE" w14:textId="1647680F" w:rsidR="00F74A6F" w:rsidRPr="009537ED" w:rsidRDefault="005A18DC" w:rsidP="00F74A6F">
      <w:pPr>
        <w:rPr>
          <w:lang w:eastAsia="x-none"/>
        </w:rPr>
      </w:pPr>
      <w:hyperlink r:id="rId923" w:history="1">
        <w:r w:rsidR="00AF7253">
          <w:rPr>
            <w:rStyle w:val="Hyperlink"/>
            <w:lang w:eastAsia="x-none"/>
          </w:rPr>
          <w:t>R1-2312030</w:t>
        </w:r>
      </w:hyperlink>
      <w:r w:rsidR="00F74A6F" w:rsidRPr="009537ED">
        <w:rPr>
          <w:lang w:eastAsia="x-none"/>
        </w:rPr>
        <w:tab/>
        <w:t>Simultaneous multi-panel transmission</w:t>
      </w:r>
      <w:r w:rsidR="00F74A6F" w:rsidRPr="009537ED">
        <w:rPr>
          <w:lang w:eastAsia="x-none"/>
        </w:rPr>
        <w:tab/>
        <w:t>Qualcomm Incorporated</w:t>
      </w:r>
    </w:p>
    <w:p w14:paraId="686FA519" w14:textId="48F5BEF0" w:rsidR="00F74A6F" w:rsidRDefault="005A18DC" w:rsidP="00F74A6F">
      <w:pPr>
        <w:rPr>
          <w:lang w:eastAsia="x-none"/>
        </w:rPr>
      </w:pPr>
      <w:hyperlink r:id="rId924" w:history="1">
        <w:r w:rsidR="00AF7253">
          <w:rPr>
            <w:rStyle w:val="Hyperlink"/>
            <w:lang w:eastAsia="x-none"/>
          </w:rPr>
          <w:t>R1-2312194</w:t>
        </w:r>
      </w:hyperlink>
      <w:r w:rsidR="00F74A6F" w:rsidRPr="009537ED">
        <w:rPr>
          <w:lang w:eastAsia="x-none"/>
        </w:rPr>
        <w:tab/>
        <w:t>Maintenance on UL precoding indication for multi-panel transmission</w:t>
      </w:r>
      <w:r w:rsidR="00F74A6F" w:rsidRPr="009537ED">
        <w:rPr>
          <w:lang w:eastAsia="x-none"/>
        </w:rPr>
        <w:tab/>
        <w:t>Ericsson</w:t>
      </w:r>
    </w:p>
    <w:p w14:paraId="0F294DCA" w14:textId="77777777" w:rsidR="009E07E2" w:rsidRPr="009537ED" w:rsidRDefault="009E07E2" w:rsidP="00F74A6F">
      <w:pPr>
        <w:rPr>
          <w:lang w:eastAsia="x-none"/>
        </w:rPr>
      </w:pPr>
    </w:p>
    <w:p w14:paraId="1E1DABB7" w14:textId="524D3005" w:rsidR="00F74A6F" w:rsidRPr="009E07E2" w:rsidRDefault="005A18DC" w:rsidP="00F74A6F">
      <w:pPr>
        <w:rPr>
          <w:b/>
          <w:bCs/>
          <w:lang w:eastAsia="x-none"/>
        </w:rPr>
      </w:pPr>
      <w:hyperlink r:id="rId925" w:history="1">
        <w:r w:rsidR="00AF7253">
          <w:rPr>
            <w:rStyle w:val="Hyperlink"/>
            <w:b/>
            <w:bCs/>
            <w:lang w:eastAsia="x-none"/>
          </w:rPr>
          <w:t>R1-2312255</w:t>
        </w:r>
      </w:hyperlink>
      <w:r w:rsidR="00F74A6F" w:rsidRPr="009E07E2">
        <w:rPr>
          <w:b/>
          <w:bCs/>
          <w:lang w:eastAsia="x-none"/>
        </w:rPr>
        <w:tab/>
        <w:t>Summary #1 on Rel-18 STxMP</w:t>
      </w:r>
      <w:r w:rsidR="00F74A6F" w:rsidRPr="009E07E2">
        <w:rPr>
          <w:b/>
          <w:bCs/>
          <w:lang w:eastAsia="x-none"/>
        </w:rPr>
        <w:tab/>
        <w:t>Moderator (OPPO)</w:t>
      </w:r>
    </w:p>
    <w:p w14:paraId="32FD154D" w14:textId="64489093" w:rsidR="009E07E2" w:rsidRDefault="009E07E2" w:rsidP="00F74A6F">
      <w:pPr>
        <w:rPr>
          <w:lang w:eastAsia="x-none"/>
        </w:rPr>
      </w:pPr>
      <w:r>
        <w:rPr>
          <w:lang w:eastAsia="x-none"/>
        </w:rPr>
        <w:t>From Monday session</w:t>
      </w:r>
    </w:p>
    <w:p w14:paraId="5DE6F249" w14:textId="77777777" w:rsidR="009E07E2" w:rsidRPr="009537ED" w:rsidRDefault="009E07E2" w:rsidP="009E07E2">
      <w:pPr>
        <w:rPr>
          <w:rFonts w:ascii="Times New Roman" w:hAnsi="Times New Roman"/>
          <w:szCs w:val="20"/>
          <w:highlight w:val="green"/>
          <w:lang w:eastAsia="zh-CN"/>
        </w:rPr>
      </w:pPr>
      <w:r>
        <w:rPr>
          <w:rFonts w:ascii="Times New Roman" w:hAnsi="Times New Roman"/>
          <w:szCs w:val="20"/>
          <w:highlight w:val="green"/>
          <w:lang w:eastAsia="zh-CN"/>
        </w:rPr>
        <w:t>Agreement</w:t>
      </w:r>
    </w:p>
    <w:p w14:paraId="1960BD27" w14:textId="77777777" w:rsidR="009E07E2" w:rsidRPr="009E07E2" w:rsidRDefault="009E07E2" w:rsidP="009E07E2">
      <w:pPr>
        <w:jc w:val="both"/>
        <w:rPr>
          <w:rFonts w:ascii="Times New Roman" w:eastAsia="Malgun Gothic" w:hAnsi="Times New Roman"/>
          <w:szCs w:val="20"/>
        </w:rPr>
      </w:pPr>
      <w:r w:rsidRPr="009E07E2">
        <w:rPr>
          <w:rFonts w:ascii="Times New Roman" w:eastAsia="Malgun Gothic" w:hAnsi="Times New Roman"/>
          <w:szCs w:val="20"/>
        </w:rPr>
        <w:lastRenderedPageBreak/>
        <w:t>For a single-DCI based STxMP SDM PUSCH, the power scaling factor for each PT-RS port is determined according to the number of associated layers and the following table:</w:t>
      </w:r>
    </w:p>
    <w:p w14:paraId="2F453C96" w14:textId="1CAF1204" w:rsidR="009E07E2" w:rsidRPr="009E07E2" w:rsidRDefault="009E07E2" w:rsidP="00AA1D48">
      <w:pPr>
        <w:pStyle w:val="ListParagraph"/>
        <w:numPr>
          <w:ilvl w:val="0"/>
          <w:numId w:val="108"/>
        </w:numPr>
        <w:rPr>
          <w:lang w:val="en-US"/>
        </w:rPr>
      </w:pPr>
      <w:r w:rsidRPr="009E07E2">
        <w:t xml:space="preserve">Alt4: when </w:t>
      </w:r>
      <m:oMath>
        <m:sSub>
          <m:sSubPr>
            <m:ctrlPr>
              <w:rPr>
                <w:rFonts w:ascii="Cambria Math" w:eastAsia="Yu Mincho" w:hAnsi="Cambria Math"/>
                <w:bCs/>
                <w:i/>
              </w:rPr>
            </m:ctrlPr>
          </m:sSubPr>
          <m:e>
            <m:r>
              <w:rPr>
                <w:rFonts w:ascii="Cambria Math" w:eastAsia="Yu Mincho" w:hAnsi="Cambria Math"/>
              </w:rPr>
              <m:t>Q</m:t>
            </m:r>
          </m:e>
          <m:sub>
            <m:r>
              <w:rPr>
                <w:rFonts w:ascii="Cambria Math" w:eastAsia="Yu Mincho" w:hAnsi="Cambria Math"/>
              </w:rPr>
              <m:t>p</m:t>
            </m:r>
          </m:sub>
        </m:sSub>
      </m:oMath>
      <w:r w:rsidRPr="009E07E2">
        <w:rPr>
          <w:bCs/>
        </w:rPr>
        <w:t xml:space="preserve"> = 1 or 2:</w:t>
      </w:r>
    </w:p>
    <w:tbl>
      <w:tblPr>
        <w:tblW w:w="7820" w:type="dxa"/>
        <w:jc w:val="center"/>
        <w:tblCellMar>
          <w:left w:w="0" w:type="dxa"/>
          <w:right w:w="0" w:type="dxa"/>
        </w:tblCellMar>
        <w:tblLook w:val="04A0" w:firstRow="1" w:lastRow="0" w:firstColumn="1" w:lastColumn="0" w:noHBand="0" w:noVBand="1"/>
      </w:tblPr>
      <w:tblGrid>
        <w:gridCol w:w="1340"/>
        <w:gridCol w:w="1890"/>
        <w:gridCol w:w="1890"/>
        <w:gridCol w:w="2700"/>
      </w:tblGrid>
      <w:tr w:rsidR="009E07E2" w:rsidRPr="009E07E2" w14:paraId="51406051" w14:textId="77777777" w:rsidTr="009E07E2">
        <w:trPr>
          <w:trHeight w:val="20"/>
          <w:jc w:val="center"/>
        </w:trPr>
        <w:tc>
          <w:tcPr>
            <w:tcW w:w="1340" w:type="dxa"/>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68" w:type="dxa"/>
              <w:bottom w:w="0" w:type="dxa"/>
              <w:right w:w="68" w:type="dxa"/>
            </w:tcMar>
            <w:vAlign w:val="center"/>
          </w:tcPr>
          <w:p w14:paraId="0E3221E8" w14:textId="77777777" w:rsidR="009E07E2" w:rsidRPr="009E07E2" w:rsidRDefault="009E07E2" w:rsidP="009E07E2">
            <w:pPr>
              <w:jc w:val="center"/>
              <w:rPr>
                <w:rFonts w:ascii="Arial" w:eastAsia="Times New Roman" w:hAnsi="Arial" w:cs="Arial"/>
                <w:sz w:val="16"/>
                <w:szCs w:val="16"/>
              </w:rPr>
            </w:pPr>
            <w:r w:rsidRPr="009E07E2">
              <w:rPr>
                <w:rFonts w:ascii="Arial" w:hAnsi="Arial" w:cs="Arial"/>
                <w:i/>
                <w:iCs/>
                <w:kern w:val="24"/>
                <w:sz w:val="16"/>
                <w:szCs w:val="16"/>
              </w:rPr>
              <w:t xml:space="preserve">ptrs-Power  </w:t>
            </w:r>
          </w:p>
        </w:tc>
        <w:tc>
          <w:tcPr>
            <w:tcW w:w="6480" w:type="dxa"/>
            <w:gridSpan w:val="3"/>
            <w:tcBorders>
              <w:top w:val="single" w:sz="8" w:space="0" w:color="000000"/>
              <w:left w:val="single" w:sz="8" w:space="0" w:color="000000"/>
              <w:bottom w:val="single" w:sz="8" w:space="0" w:color="000000"/>
              <w:right w:val="single" w:sz="8" w:space="0" w:color="000000"/>
            </w:tcBorders>
            <w:shd w:val="clear" w:color="auto" w:fill="E7E6E6"/>
            <w:tcMar>
              <w:top w:w="15" w:type="dxa"/>
              <w:left w:w="68" w:type="dxa"/>
              <w:bottom w:w="0" w:type="dxa"/>
              <w:right w:w="68" w:type="dxa"/>
            </w:tcMar>
          </w:tcPr>
          <w:p w14:paraId="344B8BD6" w14:textId="77777777" w:rsidR="009E07E2" w:rsidRPr="009E07E2" w:rsidRDefault="009E07E2" w:rsidP="009E07E2">
            <w:pPr>
              <w:tabs>
                <w:tab w:val="left" w:pos="851"/>
              </w:tabs>
              <w:jc w:val="center"/>
              <w:rPr>
                <w:rFonts w:ascii="Arial" w:eastAsia="Times New Roman" w:hAnsi="Arial" w:cs="Arial"/>
                <w:sz w:val="16"/>
                <w:szCs w:val="16"/>
              </w:rPr>
            </w:pPr>
            <w:r w:rsidRPr="009E07E2">
              <w:rPr>
                <w:rFonts w:ascii="Arial" w:hAnsi="Arial" w:cs="Arial"/>
                <w:kern w:val="24"/>
                <w:sz w:val="16"/>
                <w:szCs w:val="16"/>
              </w:rPr>
              <w:t>The number of PUSCH layers associated with the PTRS port</w:t>
            </w:r>
          </w:p>
        </w:tc>
      </w:tr>
      <w:tr w:rsidR="009E07E2" w:rsidRPr="009E07E2" w14:paraId="69DA03CA" w14:textId="77777777" w:rsidTr="009E07E2">
        <w:trPr>
          <w:trHeight w:val="20"/>
          <w:jc w:val="center"/>
        </w:trPr>
        <w:tc>
          <w:tcPr>
            <w:tcW w:w="1340" w:type="dxa"/>
            <w:vMerge/>
            <w:tcBorders>
              <w:top w:val="single" w:sz="8" w:space="0" w:color="000000"/>
              <w:left w:val="single" w:sz="8" w:space="0" w:color="000000"/>
              <w:bottom w:val="single" w:sz="8" w:space="0" w:color="000000"/>
              <w:right w:val="single" w:sz="8" w:space="0" w:color="000000"/>
            </w:tcBorders>
            <w:vAlign w:val="center"/>
          </w:tcPr>
          <w:p w14:paraId="2DBBD985" w14:textId="77777777" w:rsidR="009E07E2" w:rsidRPr="009E07E2" w:rsidRDefault="009E07E2" w:rsidP="009E07E2">
            <w:pPr>
              <w:rPr>
                <w:rFonts w:ascii="Arial" w:eastAsia="Times New Roman" w:hAnsi="Arial" w:cs="Arial"/>
                <w:sz w:val="16"/>
                <w:szCs w:val="16"/>
              </w:rPr>
            </w:pPr>
          </w:p>
        </w:tc>
        <w:tc>
          <w:tcPr>
            <w:tcW w:w="1890" w:type="dxa"/>
            <w:tcBorders>
              <w:top w:val="single" w:sz="8" w:space="0" w:color="000000"/>
              <w:left w:val="single" w:sz="8" w:space="0" w:color="000000"/>
              <w:bottom w:val="single" w:sz="8" w:space="0" w:color="000000"/>
              <w:right w:val="single" w:sz="8" w:space="0" w:color="000000"/>
            </w:tcBorders>
            <w:shd w:val="clear" w:color="auto" w:fill="E7E6E6"/>
            <w:tcMar>
              <w:top w:w="15" w:type="dxa"/>
              <w:left w:w="68" w:type="dxa"/>
              <w:bottom w:w="0" w:type="dxa"/>
              <w:right w:w="68" w:type="dxa"/>
            </w:tcMar>
          </w:tcPr>
          <w:p w14:paraId="1A9491D8" w14:textId="77777777" w:rsidR="009E07E2" w:rsidRPr="009E07E2" w:rsidRDefault="009E07E2" w:rsidP="009E07E2">
            <w:pPr>
              <w:tabs>
                <w:tab w:val="left" w:pos="851"/>
              </w:tabs>
              <w:jc w:val="center"/>
              <w:rPr>
                <w:rFonts w:ascii="Arial" w:eastAsia="Times New Roman" w:hAnsi="Arial" w:cs="Arial"/>
                <w:sz w:val="16"/>
                <w:szCs w:val="16"/>
              </w:rPr>
            </w:pPr>
            <w:r w:rsidRPr="009E07E2">
              <w:rPr>
                <w:rFonts w:ascii="Arial" w:hAnsi="Arial" w:cs="Arial"/>
                <w:kern w:val="24"/>
                <w:sz w:val="16"/>
                <w:szCs w:val="16"/>
              </w:rPr>
              <w:t>1</w:t>
            </w:r>
          </w:p>
        </w:tc>
        <w:tc>
          <w:tcPr>
            <w:tcW w:w="4590" w:type="dxa"/>
            <w:gridSpan w:val="2"/>
            <w:tcBorders>
              <w:top w:val="single" w:sz="8" w:space="0" w:color="000000"/>
              <w:left w:val="single" w:sz="8" w:space="0" w:color="000000"/>
              <w:bottom w:val="single" w:sz="8" w:space="0" w:color="000000"/>
              <w:right w:val="single" w:sz="8" w:space="0" w:color="000000"/>
            </w:tcBorders>
            <w:shd w:val="clear" w:color="auto" w:fill="E7E6E6"/>
            <w:tcMar>
              <w:top w:w="15" w:type="dxa"/>
              <w:left w:w="68" w:type="dxa"/>
              <w:bottom w:w="0" w:type="dxa"/>
              <w:right w:w="68" w:type="dxa"/>
            </w:tcMar>
          </w:tcPr>
          <w:p w14:paraId="50ABCCBB" w14:textId="77777777" w:rsidR="009E07E2" w:rsidRPr="009E07E2" w:rsidRDefault="009E07E2" w:rsidP="009E07E2">
            <w:pPr>
              <w:tabs>
                <w:tab w:val="left" w:pos="851"/>
              </w:tabs>
              <w:jc w:val="center"/>
              <w:rPr>
                <w:rFonts w:ascii="Arial" w:eastAsia="Times New Roman" w:hAnsi="Arial" w:cs="Arial"/>
                <w:sz w:val="16"/>
                <w:szCs w:val="16"/>
              </w:rPr>
            </w:pPr>
            <w:r w:rsidRPr="009E07E2">
              <w:rPr>
                <w:rFonts w:ascii="Arial" w:hAnsi="Arial" w:cs="Arial"/>
                <w:kern w:val="24"/>
                <w:sz w:val="16"/>
                <w:szCs w:val="16"/>
              </w:rPr>
              <w:t>2</w:t>
            </w:r>
          </w:p>
        </w:tc>
      </w:tr>
      <w:tr w:rsidR="009E07E2" w:rsidRPr="009E07E2" w14:paraId="1A616A4D" w14:textId="77777777" w:rsidTr="009E07E2">
        <w:trPr>
          <w:trHeight w:val="20"/>
          <w:jc w:val="center"/>
        </w:trPr>
        <w:tc>
          <w:tcPr>
            <w:tcW w:w="1340" w:type="dxa"/>
            <w:vMerge/>
            <w:tcBorders>
              <w:top w:val="single" w:sz="8" w:space="0" w:color="000000"/>
              <w:left w:val="single" w:sz="8" w:space="0" w:color="000000"/>
              <w:bottom w:val="single" w:sz="8" w:space="0" w:color="000000"/>
              <w:right w:val="single" w:sz="8" w:space="0" w:color="000000"/>
            </w:tcBorders>
            <w:vAlign w:val="center"/>
          </w:tcPr>
          <w:p w14:paraId="6BD03EC3" w14:textId="77777777" w:rsidR="009E07E2" w:rsidRPr="009E07E2" w:rsidRDefault="009E07E2" w:rsidP="009E07E2">
            <w:pPr>
              <w:rPr>
                <w:rFonts w:ascii="Arial" w:eastAsia="Times New Roman" w:hAnsi="Arial" w:cs="Arial"/>
                <w:sz w:val="16"/>
                <w:szCs w:val="16"/>
              </w:rPr>
            </w:pPr>
          </w:p>
        </w:tc>
        <w:tc>
          <w:tcPr>
            <w:tcW w:w="1890" w:type="dxa"/>
            <w:tcBorders>
              <w:top w:val="single" w:sz="8" w:space="0" w:color="000000"/>
              <w:left w:val="single" w:sz="8" w:space="0" w:color="000000"/>
              <w:bottom w:val="single" w:sz="8" w:space="0" w:color="000000"/>
              <w:right w:val="single" w:sz="8" w:space="0" w:color="000000"/>
            </w:tcBorders>
            <w:shd w:val="clear" w:color="auto" w:fill="E7E6E6"/>
            <w:tcMar>
              <w:top w:w="15" w:type="dxa"/>
              <w:left w:w="68" w:type="dxa"/>
              <w:bottom w:w="0" w:type="dxa"/>
              <w:right w:w="68" w:type="dxa"/>
            </w:tcMar>
          </w:tcPr>
          <w:p w14:paraId="2F04ABA3" w14:textId="77777777" w:rsidR="009E07E2" w:rsidRPr="009E07E2" w:rsidRDefault="009E07E2" w:rsidP="009E07E2">
            <w:pPr>
              <w:tabs>
                <w:tab w:val="left" w:pos="851"/>
              </w:tabs>
              <w:jc w:val="center"/>
              <w:rPr>
                <w:rFonts w:ascii="Arial" w:eastAsia="Times New Roman" w:hAnsi="Arial" w:cs="Arial"/>
                <w:sz w:val="16"/>
                <w:szCs w:val="16"/>
              </w:rPr>
            </w:pPr>
            <w:r w:rsidRPr="009E07E2">
              <w:rPr>
                <w:rFonts w:ascii="Arial" w:hAnsi="Arial" w:cs="Arial"/>
                <w:kern w:val="24"/>
                <w:sz w:val="16"/>
                <w:szCs w:val="16"/>
              </w:rPr>
              <w:t>All cases</w:t>
            </w:r>
          </w:p>
        </w:tc>
        <w:tc>
          <w:tcPr>
            <w:tcW w:w="1890" w:type="dxa"/>
            <w:tcBorders>
              <w:top w:val="single" w:sz="8" w:space="0" w:color="000000"/>
              <w:left w:val="single" w:sz="8" w:space="0" w:color="000000"/>
              <w:bottom w:val="single" w:sz="8" w:space="0" w:color="000000"/>
              <w:right w:val="single" w:sz="8" w:space="0" w:color="000000"/>
            </w:tcBorders>
            <w:shd w:val="clear" w:color="auto" w:fill="E7E6E6"/>
            <w:tcMar>
              <w:top w:w="15" w:type="dxa"/>
              <w:left w:w="68" w:type="dxa"/>
              <w:bottom w:w="0" w:type="dxa"/>
              <w:right w:w="68" w:type="dxa"/>
            </w:tcMar>
          </w:tcPr>
          <w:p w14:paraId="61395C29" w14:textId="77777777" w:rsidR="009E07E2" w:rsidRPr="009E07E2" w:rsidRDefault="009E07E2" w:rsidP="009E07E2">
            <w:pPr>
              <w:tabs>
                <w:tab w:val="left" w:pos="851"/>
              </w:tabs>
              <w:jc w:val="center"/>
              <w:rPr>
                <w:rFonts w:ascii="Arial" w:eastAsia="Times New Roman" w:hAnsi="Arial" w:cs="Arial"/>
                <w:sz w:val="16"/>
                <w:szCs w:val="16"/>
              </w:rPr>
            </w:pPr>
            <w:r w:rsidRPr="009E07E2">
              <w:rPr>
                <w:rFonts w:ascii="Arial" w:hAnsi="Arial" w:cs="Arial"/>
                <w:kern w:val="24"/>
                <w:sz w:val="16"/>
                <w:szCs w:val="16"/>
              </w:rPr>
              <w:t>Full coherent</w:t>
            </w:r>
          </w:p>
        </w:tc>
        <w:tc>
          <w:tcPr>
            <w:tcW w:w="2700" w:type="dxa"/>
            <w:tcBorders>
              <w:top w:val="single" w:sz="8" w:space="0" w:color="000000"/>
              <w:left w:val="single" w:sz="8" w:space="0" w:color="000000"/>
              <w:bottom w:val="single" w:sz="8" w:space="0" w:color="000000"/>
              <w:right w:val="single" w:sz="8" w:space="0" w:color="000000"/>
            </w:tcBorders>
            <w:shd w:val="clear" w:color="auto" w:fill="E7E6E6"/>
            <w:tcMar>
              <w:top w:w="15" w:type="dxa"/>
              <w:left w:w="68" w:type="dxa"/>
              <w:bottom w:w="0" w:type="dxa"/>
              <w:right w:w="68" w:type="dxa"/>
            </w:tcMar>
          </w:tcPr>
          <w:p w14:paraId="709189D3" w14:textId="77777777" w:rsidR="009E07E2" w:rsidRPr="009E07E2" w:rsidRDefault="009E07E2" w:rsidP="009E07E2">
            <w:pPr>
              <w:tabs>
                <w:tab w:val="left" w:pos="851"/>
              </w:tabs>
              <w:jc w:val="center"/>
              <w:rPr>
                <w:rFonts w:ascii="Arial" w:eastAsia="Times New Roman" w:hAnsi="Arial" w:cs="Arial"/>
                <w:sz w:val="16"/>
                <w:szCs w:val="16"/>
              </w:rPr>
            </w:pPr>
            <w:r w:rsidRPr="009E07E2">
              <w:rPr>
                <w:rFonts w:ascii="Arial" w:hAnsi="Arial" w:cs="Arial"/>
                <w:kern w:val="24"/>
                <w:sz w:val="16"/>
                <w:szCs w:val="16"/>
              </w:rPr>
              <w:t>Partial and non-coherent and non-codebook based</w:t>
            </w:r>
          </w:p>
        </w:tc>
      </w:tr>
      <w:tr w:rsidR="009E07E2" w:rsidRPr="009E07E2" w14:paraId="21AF8C13" w14:textId="77777777" w:rsidTr="009E07E2">
        <w:trPr>
          <w:trHeight w:val="20"/>
          <w:jc w:val="center"/>
        </w:trPr>
        <w:tc>
          <w:tcPr>
            <w:tcW w:w="1340" w:type="dxa"/>
            <w:tcBorders>
              <w:top w:val="single" w:sz="8" w:space="0" w:color="000000"/>
              <w:left w:val="single" w:sz="8" w:space="0" w:color="000000"/>
              <w:bottom w:val="single" w:sz="8" w:space="0" w:color="000000"/>
              <w:right w:val="single" w:sz="8" w:space="0" w:color="000000"/>
            </w:tcBorders>
            <w:shd w:val="clear" w:color="auto" w:fill="auto"/>
            <w:tcMar>
              <w:top w:w="15" w:type="dxa"/>
              <w:left w:w="68" w:type="dxa"/>
              <w:bottom w:w="0" w:type="dxa"/>
              <w:right w:w="68" w:type="dxa"/>
            </w:tcMar>
            <w:vAlign w:val="center"/>
          </w:tcPr>
          <w:p w14:paraId="2637CF2F" w14:textId="77777777" w:rsidR="009E07E2" w:rsidRPr="009E07E2" w:rsidRDefault="009E07E2" w:rsidP="009E07E2">
            <w:pPr>
              <w:jc w:val="center"/>
              <w:rPr>
                <w:rFonts w:ascii="Arial" w:eastAsia="Times New Roman" w:hAnsi="Arial" w:cs="Arial"/>
                <w:sz w:val="16"/>
                <w:szCs w:val="16"/>
              </w:rPr>
            </w:pPr>
            <w:r w:rsidRPr="009E07E2">
              <w:rPr>
                <w:rFonts w:ascii="Arial" w:hAnsi="Arial" w:cs="Arial"/>
                <w:kern w:val="24"/>
                <w:sz w:val="16"/>
                <w:szCs w:val="16"/>
              </w:rPr>
              <w:t>00</w:t>
            </w:r>
          </w:p>
        </w:tc>
        <w:tc>
          <w:tcPr>
            <w:tcW w:w="1890" w:type="dxa"/>
            <w:tcBorders>
              <w:top w:val="single" w:sz="8" w:space="0" w:color="000000"/>
              <w:left w:val="single" w:sz="8" w:space="0" w:color="000000"/>
              <w:bottom w:val="single" w:sz="8" w:space="0" w:color="000000"/>
              <w:right w:val="single" w:sz="8" w:space="0" w:color="000000"/>
            </w:tcBorders>
            <w:shd w:val="clear" w:color="auto" w:fill="auto"/>
            <w:tcMar>
              <w:top w:w="15" w:type="dxa"/>
              <w:left w:w="68" w:type="dxa"/>
              <w:bottom w:w="0" w:type="dxa"/>
              <w:right w:w="68" w:type="dxa"/>
            </w:tcMar>
          </w:tcPr>
          <w:p w14:paraId="4614154A" w14:textId="77777777" w:rsidR="009E07E2" w:rsidRPr="009E07E2" w:rsidRDefault="009E07E2" w:rsidP="009E07E2">
            <w:pPr>
              <w:jc w:val="center"/>
              <w:rPr>
                <w:rFonts w:ascii="Arial" w:eastAsia="Times New Roman" w:hAnsi="Arial" w:cs="Arial"/>
                <w:sz w:val="16"/>
                <w:szCs w:val="16"/>
              </w:rPr>
            </w:pPr>
            <w:r w:rsidRPr="009E07E2">
              <w:rPr>
                <w:rFonts w:ascii="Arial" w:hAnsi="Arial" w:cs="Arial"/>
                <w:kern w:val="24"/>
                <w:sz w:val="16"/>
                <w:szCs w:val="16"/>
              </w:rPr>
              <w:t>3Q</w:t>
            </w:r>
            <w:r w:rsidRPr="009E07E2">
              <w:rPr>
                <w:rFonts w:ascii="Arial" w:hAnsi="Arial" w:cs="Arial"/>
                <w:kern w:val="24"/>
                <w:position w:val="-8"/>
                <w:sz w:val="16"/>
                <w:szCs w:val="16"/>
                <w:vertAlign w:val="subscript"/>
              </w:rPr>
              <w:t>p</w:t>
            </w:r>
            <w:r w:rsidRPr="009E07E2">
              <w:rPr>
                <w:rFonts w:ascii="Arial" w:hAnsi="Arial" w:cs="Arial"/>
                <w:kern w:val="24"/>
                <w:sz w:val="16"/>
                <w:szCs w:val="16"/>
              </w:rPr>
              <w:t>-3</w:t>
            </w:r>
          </w:p>
        </w:tc>
        <w:tc>
          <w:tcPr>
            <w:tcW w:w="1890" w:type="dxa"/>
            <w:tcBorders>
              <w:top w:val="single" w:sz="8" w:space="0" w:color="000000"/>
              <w:left w:val="single" w:sz="8" w:space="0" w:color="000000"/>
              <w:bottom w:val="single" w:sz="8" w:space="0" w:color="000000"/>
              <w:right w:val="single" w:sz="8" w:space="0" w:color="000000"/>
            </w:tcBorders>
            <w:shd w:val="clear" w:color="auto" w:fill="auto"/>
            <w:tcMar>
              <w:top w:w="15" w:type="dxa"/>
              <w:left w:w="68" w:type="dxa"/>
              <w:bottom w:w="0" w:type="dxa"/>
              <w:right w:w="68" w:type="dxa"/>
            </w:tcMar>
          </w:tcPr>
          <w:p w14:paraId="0B81A236" w14:textId="77777777" w:rsidR="009E07E2" w:rsidRPr="009E07E2" w:rsidRDefault="009E07E2" w:rsidP="009E07E2">
            <w:pPr>
              <w:jc w:val="center"/>
              <w:rPr>
                <w:rFonts w:ascii="Arial" w:eastAsia="Times New Roman" w:hAnsi="Arial" w:cs="Arial"/>
                <w:sz w:val="16"/>
                <w:szCs w:val="16"/>
              </w:rPr>
            </w:pPr>
            <w:r w:rsidRPr="009E07E2">
              <w:rPr>
                <w:rFonts w:ascii="Arial" w:hAnsi="Arial" w:cs="Arial"/>
                <w:kern w:val="24"/>
                <w:sz w:val="16"/>
                <w:szCs w:val="16"/>
              </w:rPr>
              <w:t>3Q</w:t>
            </w:r>
            <w:r w:rsidRPr="009E07E2">
              <w:rPr>
                <w:rFonts w:ascii="Arial" w:hAnsi="Arial" w:cs="Arial"/>
                <w:kern w:val="24"/>
                <w:position w:val="-8"/>
                <w:sz w:val="16"/>
                <w:szCs w:val="16"/>
                <w:vertAlign w:val="subscript"/>
              </w:rPr>
              <w:t>p</w:t>
            </w:r>
          </w:p>
        </w:tc>
        <w:tc>
          <w:tcPr>
            <w:tcW w:w="2700" w:type="dxa"/>
            <w:tcBorders>
              <w:top w:val="single" w:sz="8" w:space="0" w:color="000000"/>
              <w:left w:val="single" w:sz="8" w:space="0" w:color="000000"/>
              <w:bottom w:val="single" w:sz="8" w:space="0" w:color="000000"/>
              <w:right w:val="single" w:sz="8" w:space="0" w:color="000000"/>
            </w:tcBorders>
            <w:shd w:val="clear" w:color="auto" w:fill="auto"/>
            <w:tcMar>
              <w:top w:w="15" w:type="dxa"/>
              <w:left w:w="68" w:type="dxa"/>
              <w:bottom w:w="0" w:type="dxa"/>
              <w:right w:w="68" w:type="dxa"/>
            </w:tcMar>
          </w:tcPr>
          <w:p w14:paraId="07389B6E" w14:textId="77777777" w:rsidR="009E07E2" w:rsidRPr="009E07E2" w:rsidRDefault="009E07E2" w:rsidP="009E07E2">
            <w:pPr>
              <w:jc w:val="center"/>
              <w:rPr>
                <w:rFonts w:ascii="Arial" w:eastAsia="Times New Roman" w:hAnsi="Arial" w:cs="Arial"/>
                <w:sz w:val="16"/>
                <w:szCs w:val="16"/>
              </w:rPr>
            </w:pPr>
            <w:r w:rsidRPr="009E07E2">
              <w:rPr>
                <w:rFonts w:ascii="Arial" w:hAnsi="Arial" w:cs="Arial"/>
                <w:kern w:val="24"/>
                <w:sz w:val="16"/>
                <w:szCs w:val="16"/>
              </w:rPr>
              <w:t>3Q</w:t>
            </w:r>
            <w:r w:rsidRPr="009E07E2">
              <w:rPr>
                <w:rFonts w:ascii="Arial" w:hAnsi="Arial" w:cs="Arial"/>
                <w:kern w:val="24"/>
                <w:position w:val="-8"/>
                <w:sz w:val="16"/>
                <w:szCs w:val="16"/>
                <w:vertAlign w:val="subscript"/>
              </w:rPr>
              <w:t>p</w:t>
            </w:r>
            <w:r w:rsidRPr="009E07E2">
              <w:rPr>
                <w:rFonts w:ascii="Arial" w:hAnsi="Arial" w:cs="Arial"/>
                <w:kern w:val="24"/>
                <w:sz w:val="16"/>
                <w:szCs w:val="16"/>
              </w:rPr>
              <w:t>-3</w:t>
            </w:r>
          </w:p>
        </w:tc>
      </w:tr>
      <w:tr w:rsidR="009E07E2" w:rsidRPr="009E07E2" w14:paraId="4681D3AA" w14:textId="77777777" w:rsidTr="009E07E2">
        <w:trPr>
          <w:trHeight w:val="20"/>
          <w:jc w:val="center"/>
        </w:trPr>
        <w:tc>
          <w:tcPr>
            <w:tcW w:w="1340" w:type="dxa"/>
            <w:tcBorders>
              <w:top w:val="single" w:sz="8" w:space="0" w:color="000000"/>
              <w:left w:val="single" w:sz="8" w:space="0" w:color="000000"/>
              <w:bottom w:val="single" w:sz="8" w:space="0" w:color="000000"/>
              <w:right w:val="single" w:sz="8" w:space="0" w:color="000000"/>
            </w:tcBorders>
            <w:shd w:val="clear" w:color="auto" w:fill="auto"/>
            <w:tcMar>
              <w:top w:w="15" w:type="dxa"/>
              <w:left w:w="68" w:type="dxa"/>
              <w:bottom w:w="0" w:type="dxa"/>
              <w:right w:w="68" w:type="dxa"/>
            </w:tcMar>
            <w:vAlign w:val="center"/>
          </w:tcPr>
          <w:p w14:paraId="669D88D2" w14:textId="77777777" w:rsidR="009E07E2" w:rsidRPr="009E07E2" w:rsidRDefault="009E07E2" w:rsidP="009E07E2">
            <w:pPr>
              <w:jc w:val="center"/>
              <w:rPr>
                <w:rFonts w:ascii="Arial" w:eastAsia="Times New Roman" w:hAnsi="Arial" w:cs="Arial"/>
                <w:sz w:val="16"/>
                <w:szCs w:val="16"/>
              </w:rPr>
            </w:pPr>
            <w:r w:rsidRPr="009E07E2">
              <w:rPr>
                <w:rFonts w:ascii="Arial" w:hAnsi="Arial" w:cs="Arial"/>
                <w:kern w:val="24"/>
                <w:sz w:val="16"/>
                <w:szCs w:val="16"/>
              </w:rPr>
              <w:t>01</w:t>
            </w:r>
          </w:p>
        </w:tc>
        <w:tc>
          <w:tcPr>
            <w:tcW w:w="1890" w:type="dxa"/>
            <w:tcBorders>
              <w:top w:val="single" w:sz="8" w:space="0" w:color="000000"/>
              <w:left w:val="single" w:sz="8" w:space="0" w:color="000000"/>
              <w:bottom w:val="single" w:sz="8" w:space="0" w:color="000000"/>
              <w:right w:val="single" w:sz="8" w:space="0" w:color="000000"/>
            </w:tcBorders>
            <w:shd w:val="clear" w:color="auto" w:fill="auto"/>
            <w:tcMar>
              <w:top w:w="15" w:type="dxa"/>
              <w:left w:w="68" w:type="dxa"/>
              <w:bottom w:w="0" w:type="dxa"/>
              <w:right w:w="68" w:type="dxa"/>
            </w:tcMar>
          </w:tcPr>
          <w:p w14:paraId="4496CAE9" w14:textId="77777777" w:rsidR="009E07E2" w:rsidRPr="009E07E2" w:rsidRDefault="009E07E2" w:rsidP="009E07E2">
            <w:pPr>
              <w:jc w:val="center"/>
              <w:rPr>
                <w:rFonts w:ascii="Arial" w:eastAsia="Times New Roman" w:hAnsi="Arial" w:cs="Arial"/>
                <w:sz w:val="16"/>
                <w:szCs w:val="16"/>
              </w:rPr>
            </w:pPr>
            <w:r w:rsidRPr="009E07E2">
              <w:rPr>
                <w:rFonts w:ascii="Arial" w:hAnsi="Arial" w:cs="Arial"/>
                <w:kern w:val="24"/>
                <w:sz w:val="16"/>
                <w:szCs w:val="16"/>
              </w:rPr>
              <w:t>3Q</w:t>
            </w:r>
            <w:r w:rsidRPr="009E07E2">
              <w:rPr>
                <w:rFonts w:ascii="Arial" w:hAnsi="Arial" w:cs="Arial"/>
                <w:kern w:val="24"/>
                <w:position w:val="-8"/>
                <w:sz w:val="16"/>
                <w:szCs w:val="16"/>
                <w:vertAlign w:val="subscript"/>
              </w:rPr>
              <w:t>p</w:t>
            </w:r>
            <w:r w:rsidRPr="009E07E2">
              <w:rPr>
                <w:rFonts w:ascii="Arial" w:hAnsi="Arial" w:cs="Arial"/>
                <w:kern w:val="24"/>
                <w:sz w:val="16"/>
                <w:szCs w:val="16"/>
              </w:rPr>
              <w:t>-3</w:t>
            </w:r>
          </w:p>
        </w:tc>
        <w:tc>
          <w:tcPr>
            <w:tcW w:w="1890" w:type="dxa"/>
            <w:tcBorders>
              <w:top w:val="single" w:sz="8" w:space="0" w:color="000000"/>
              <w:left w:val="single" w:sz="8" w:space="0" w:color="000000"/>
              <w:bottom w:val="single" w:sz="8" w:space="0" w:color="000000"/>
              <w:right w:val="single" w:sz="8" w:space="0" w:color="000000"/>
            </w:tcBorders>
            <w:shd w:val="clear" w:color="auto" w:fill="auto"/>
            <w:tcMar>
              <w:top w:w="15" w:type="dxa"/>
              <w:left w:w="68" w:type="dxa"/>
              <w:bottom w:w="0" w:type="dxa"/>
              <w:right w:w="68" w:type="dxa"/>
            </w:tcMar>
          </w:tcPr>
          <w:p w14:paraId="67F338B0" w14:textId="77777777" w:rsidR="009E07E2" w:rsidRPr="009E07E2" w:rsidRDefault="009E07E2" w:rsidP="009E07E2">
            <w:pPr>
              <w:jc w:val="center"/>
              <w:rPr>
                <w:rFonts w:ascii="Arial" w:eastAsia="Times New Roman" w:hAnsi="Arial" w:cs="Arial"/>
                <w:sz w:val="16"/>
                <w:szCs w:val="16"/>
              </w:rPr>
            </w:pPr>
            <w:r w:rsidRPr="009E07E2">
              <w:rPr>
                <w:rFonts w:ascii="Arial" w:hAnsi="Arial" w:cs="Arial"/>
                <w:kern w:val="24"/>
                <w:sz w:val="16"/>
                <w:szCs w:val="16"/>
              </w:rPr>
              <w:t>3Q</w:t>
            </w:r>
            <w:r w:rsidRPr="009E07E2">
              <w:rPr>
                <w:rFonts w:ascii="Arial" w:hAnsi="Arial" w:cs="Arial"/>
                <w:kern w:val="24"/>
                <w:position w:val="-8"/>
                <w:sz w:val="16"/>
                <w:szCs w:val="16"/>
                <w:vertAlign w:val="subscript"/>
              </w:rPr>
              <w:t>p</w:t>
            </w:r>
          </w:p>
        </w:tc>
        <w:tc>
          <w:tcPr>
            <w:tcW w:w="2700" w:type="dxa"/>
            <w:tcBorders>
              <w:top w:val="single" w:sz="8" w:space="0" w:color="000000"/>
              <w:left w:val="single" w:sz="8" w:space="0" w:color="000000"/>
              <w:bottom w:val="single" w:sz="8" w:space="0" w:color="000000"/>
              <w:right w:val="single" w:sz="8" w:space="0" w:color="000000"/>
            </w:tcBorders>
            <w:shd w:val="clear" w:color="auto" w:fill="auto"/>
            <w:tcMar>
              <w:top w:w="15" w:type="dxa"/>
              <w:left w:w="68" w:type="dxa"/>
              <w:bottom w:w="0" w:type="dxa"/>
              <w:right w:w="68" w:type="dxa"/>
            </w:tcMar>
          </w:tcPr>
          <w:p w14:paraId="78D2B54A" w14:textId="77777777" w:rsidR="009E07E2" w:rsidRPr="009E07E2" w:rsidRDefault="009E07E2" w:rsidP="009E07E2">
            <w:pPr>
              <w:jc w:val="center"/>
              <w:rPr>
                <w:rFonts w:ascii="Arial" w:eastAsia="Times New Roman" w:hAnsi="Arial" w:cs="Arial"/>
                <w:sz w:val="16"/>
                <w:szCs w:val="16"/>
              </w:rPr>
            </w:pPr>
            <w:r w:rsidRPr="009E07E2">
              <w:rPr>
                <w:rFonts w:ascii="Arial" w:hAnsi="Arial" w:cs="Arial"/>
                <w:kern w:val="24"/>
                <w:sz w:val="16"/>
                <w:szCs w:val="16"/>
              </w:rPr>
              <w:t>3Q</w:t>
            </w:r>
            <w:r w:rsidRPr="009E07E2">
              <w:rPr>
                <w:rFonts w:ascii="Arial" w:hAnsi="Arial" w:cs="Arial"/>
                <w:kern w:val="24"/>
                <w:position w:val="-8"/>
                <w:sz w:val="16"/>
                <w:szCs w:val="16"/>
                <w:vertAlign w:val="subscript"/>
              </w:rPr>
              <w:t>p</w:t>
            </w:r>
          </w:p>
        </w:tc>
      </w:tr>
    </w:tbl>
    <w:p w14:paraId="4A7F0C99" w14:textId="77777777" w:rsidR="009E07E2" w:rsidRPr="009E07E2" w:rsidRDefault="009E07E2" w:rsidP="009E07E2">
      <w:pPr>
        <w:rPr>
          <w:lang w:eastAsia="x-none"/>
        </w:rPr>
      </w:pPr>
    </w:p>
    <w:p w14:paraId="7FE9BDB9" w14:textId="77777777" w:rsidR="009E07E2" w:rsidRPr="009537ED" w:rsidRDefault="009E07E2" w:rsidP="009E07E2">
      <w:pPr>
        <w:rPr>
          <w:rFonts w:ascii="Times New Roman" w:hAnsi="Times New Roman"/>
          <w:szCs w:val="20"/>
          <w:highlight w:val="green"/>
          <w:lang w:eastAsia="zh-CN"/>
        </w:rPr>
      </w:pPr>
      <w:r>
        <w:rPr>
          <w:rFonts w:ascii="Times New Roman" w:hAnsi="Times New Roman"/>
          <w:szCs w:val="20"/>
          <w:highlight w:val="green"/>
          <w:lang w:eastAsia="zh-CN"/>
        </w:rPr>
        <w:t>Agreement</w:t>
      </w:r>
    </w:p>
    <w:p w14:paraId="04FAAFA2" w14:textId="77777777" w:rsidR="009E07E2" w:rsidRPr="009E07E2" w:rsidRDefault="009E07E2" w:rsidP="009E07E2">
      <w:pPr>
        <w:rPr>
          <w:rFonts w:eastAsia="DengXian"/>
          <w:szCs w:val="20"/>
          <w:lang w:eastAsia="zh-CN"/>
        </w:rPr>
      </w:pPr>
      <w:r w:rsidRPr="009E07E2">
        <w:rPr>
          <w:rFonts w:eastAsia="DengXian"/>
          <w:szCs w:val="20"/>
          <w:lang w:eastAsia="zh-CN"/>
        </w:rPr>
        <w:t>Adopt the following TP for 38.214:</w:t>
      </w:r>
    </w:p>
    <w:p w14:paraId="203091AD" w14:textId="77777777" w:rsidR="009E07E2" w:rsidRPr="009E07E2" w:rsidRDefault="009E07E2" w:rsidP="00AA1D48">
      <w:pPr>
        <w:pStyle w:val="ListParagraph"/>
        <w:numPr>
          <w:ilvl w:val="0"/>
          <w:numId w:val="108"/>
        </w:numPr>
      </w:pPr>
      <w:r w:rsidRPr="009E07E2">
        <w:t>Reason for change: In the current specification, the restriction of in-order scheduling of PUSCH is applied to STxMP PUSCH+PUSCH in multi-DCI based system, which is not correct.</w:t>
      </w:r>
    </w:p>
    <w:p w14:paraId="025159B1" w14:textId="77777777" w:rsidR="009E07E2" w:rsidRPr="009E07E2" w:rsidRDefault="009E07E2" w:rsidP="00AA1D48">
      <w:pPr>
        <w:pStyle w:val="ListParagraph"/>
        <w:numPr>
          <w:ilvl w:val="0"/>
          <w:numId w:val="108"/>
        </w:numPr>
      </w:pPr>
      <w:r w:rsidRPr="009E07E2">
        <w:t>Summary of change: Add text to exclude the STxMP PUSCH+PUSCH case from the description of restriction of in-order scheduling of PUSCH.</w:t>
      </w:r>
    </w:p>
    <w:p w14:paraId="05EA857D" w14:textId="77777777" w:rsidR="009E07E2" w:rsidRPr="009E07E2" w:rsidRDefault="009E07E2" w:rsidP="00AA1D48">
      <w:pPr>
        <w:pStyle w:val="ListParagraph"/>
        <w:numPr>
          <w:ilvl w:val="0"/>
          <w:numId w:val="108"/>
        </w:numPr>
      </w:pPr>
      <w:r w:rsidRPr="009E07E2">
        <w:t>Consequences if not approved: the overlapping PUSCHs in STxMP PUSCH+PUSCH cannot be scheduled: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683"/>
      </w:tblGrid>
      <w:tr w:rsidR="009E07E2" w:rsidRPr="009E07E2" w14:paraId="598A4BE9" w14:textId="77777777" w:rsidTr="009E07E2">
        <w:tc>
          <w:tcPr>
            <w:tcW w:w="5000" w:type="pct"/>
            <w:shd w:val="clear" w:color="auto" w:fill="auto"/>
          </w:tcPr>
          <w:p w14:paraId="25C55EAC" w14:textId="65F46807" w:rsidR="009E07E2" w:rsidRPr="009E07E2" w:rsidRDefault="009E07E2" w:rsidP="009E07E2">
            <w:pPr>
              <w:jc w:val="both"/>
              <w:rPr>
                <w:rFonts w:ascii="Arial" w:eastAsia="SimSun" w:hAnsi="Arial" w:cs="Arial"/>
                <w:b/>
                <w:bCs/>
                <w:color w:val="000000"/>
                <w:sz w:val="16"/>
                <w:szCs w:val="16"/>
              </w:rPr>
            </w:pPr>
            <w:r w:rsidRPr="009E07E2">
              <w:rPr>
                <w:rFonts w:ascii="Arial" w:eastAsia="SimSun" w:hAnsi="Arial" w:cs="Arial"/>
                <w:b/>
                <w:bCs/>
                <w:color w:val="000000"/>
                <w:sz w:val="16"/>
                <w:szCs w:val="16"/>
              </w:rPr>
              <w:t>6.1</w:t>
            </w:r>
            <w:r w:rsidRPr="009E07E2">
              <w:rPr>
                <w:rFonts w:ascii="Arial" w:eastAsia="SimSun" w:hAnsi="Arial" w:cs="Arial"/>
                <w:b/>
                <w:bCs/>
                <w:color w:val="000000"/>
                <w:sz w:val="16"/>
                <w:szCs w:val="16"/>
              </w:rPr>
              <w:tab/>
              <w:t>UE procedure for transmitting the physical uplink shared channel</w:t>
            </w:r>
          </w:p>
          <w:p w14:paraId="1FCDC0AB" w14:textId="77777777" w:rsidR="009E07E2" w:rsidRPr="009E07E2" w:rsidRDefault="009E07E2" w:rsidP="009E07E2">
            <w:pPr>
              <w:overflowPunct w:val="0"/>
              <w:autoSpaceDE w:val="0"/>
              <w:autoSpaceDN w:val="0"/>
              <w:adjustRightInd w:val="0"/>
              <w:jc w:val="center"/>
              <w:textAlignment w:val="baseline"/>
              <w:rPr>
                <w:rFonts w:ascii="Arial" w:eastAsia="SimSun" w:hAnsi="Arial" w:cs="Arial"/>
                <w:color w:val="FF0000"/>
                <w:sz w:val="16"/>
                <w:szCs w:val="16"/>
                <w:lang w:eastAsia="zh-CN"/>
              </w:rPr>
            </w:pPr>
            <w:r w:rsidRPr="009E07E2">
              <w:rPr>
                <w:rFonts w:ascii="Arial" w:eastAsia="SimSun" w:hAnsi="Arial" w:cs="Arial"/>
                <w:color w:val="FF0000"/>
                <w:sz w:val="16"/>
                <w:szCs w:val="16"/>
                <w:lang w:eastAsia="zh-CN"/>
              </w:rPr>
              <w:t xml:space="preserve">&lt; </w:t>
            </w:r>
            <w:r w:rsidRPr="009E07E2">
              <w:rPr>
                <w:rFonts w:ascii="Arial" w:eastAsia="SimSun" w:hAnsi="Arial" w:cs="Arial"/>
                <w:color w:val="FF0000"/>
                <w:sz w:val="16"/>
                <w:szCs w:val="16"/>
              </w:rPr>
              <w:t>Unchanged parts are omitted</w:t>
            </w:r>
            <w:r w:rsidRPr="009E07E2">
              <w:rPr>
                <w:rFonts w:ascii="Arial" w:eastAsia="SimSun" w:hAnsi="Arial" w:cs="Arial"/>
                <w:color w:val="FF0000"/>
                <w:sz w:val="16"/>
                <w:szCs w:val="16"/>
                <w:lang w:eastAsia="zh-CN"/>
              </w:rPr>
              <w:t xml:space="preserve"> &gt;</w:t>
            </w:r>
          </w:p>
          <w:p w14:paraId="33652997" w14:textId="77777777" w:rsidR="009E07E2" w:rsidRPr="009E07E2" w:rsidRDefault="009E07E2" w:rsidP="009E07E2">
            <w:pPr>
              <w:overflowPunct w:val="0"/>
              <w:autoSpaceDE w:val="0"/>
              <w:autoSpaceDN w:val="0"/>
              <w:adjustRightInd w:val="0"/>
              <w:textAlignment w:val="baseline"/>
              <w:rPr>
                <w:rFonts w:ascii="Arial" w:eastAsia="SimSun" w:hAnsi="Arial" w:cs="Arial"/>
                <w:sz w:val="16"/>
                <w:szCs w:val="16"/>
              </w:rPr>
            </w:pPr>
            <w:r w:rsidRPr="009E07E2">
              <w:rPr>
                <w:rFonts w:ascii="Arial" w:eastAsia="SimSun" w:hAnsi="Arial" w:cs="Arial"/>
                <w:sz w:val="16"/>
                <w:szCs w:val="16"/>
              </w:rPr>
              <w:t>A UE shall upon detection of a PDCCH with a configured DCI format 0_0, 0_1, 0_2 or 0_3 transmit the corresponding PUSCH as indicated by that DCI unless the UE does not generate a transport block as described in [10, TS38.321]. Upon detection of a DCI format 0_1 or 0_2  with '</w:t>
            </w:r>
            <w:r w:rsidRPr="009E07E2">
              <w:rPr>
                <w:rFonts w:ascii="Arial" w:eastAsia="SimSun" w:hAnsi="Arial" w:cs="Arial"/>
                <w:i/>
                <w:iCs/>
                <w:sz w:val="16"/>
                <w:szCs w:val="16"/>
              </w:rPr>
              <w:t>UL-SCH indicator</w:t>
            </w:r>
            <w:r w:rsidRPr="009E07E2">
              <w:rPr>
                <w:rFonts w:ascii="Arial" w:eastAsia="SimSun" w:hAnsi="Arial" w:cs="Arial"/>
                <w:sz w:val="16"/>
                <w:szCs w:val="16"/>
              </w:rPr>
              <w:t>' set to '0' and with a non-zero '</w:t>
            </w:r>
            <w:r w:rsidRPr="009E07E2">
              <w:rPr>
                <w:rFonts w:ascii="Arial" w:eastAsia="SimSun" w:hAnsi="Arial" w:cs="Arial"/>
                <w:i/>
                <w:iCs/>
                <w:sz w:val="16"/>
                <w:szCs w:val="16"/>
              </w:rPr>
              <w:t>CSI request</w:t>
            </w:r>
            <w:r w:rsidRPr="009E07E2">
              <w:rPr>
                <w:rFonts w:ascii="Arial" w:eastAsia="SimSun" w:hAnsi="Arial" w:cs="Arial"/>
                <w:sz w:val="16"/>
                <w:szCs w:val="16"/>
              </w:rPr>
              <w:t xml:space="preserve">' where the associated </w:t>
            </w:r>
            <w:r w:rsidRPr="009E07E2">
              <w:rPr>
                <w:rFonts w:ascii="Arial" w:eastAsia="SimSun" w:hAnsi="Arial" w:cs="Arial"/>
                <w:i/>
                <w:iCs/>
                <w:sz w:val="16"/>
                <w:szCs w:val="16"/>
              </w:rPr>
              <w:t>reportQuantity</w:t>
            </w:r>
            <w:r w:rsidRPr="009E07E2">
              <w:rPr>
                <w:rFonts w:ascii="Arial" w:eastAsia="SimSun" w:hAnsi="Arial" w:cs="Arial"/>
                <w:sz w:val="16"/>
                <w:szCs w:val="16"/>
              </w:rPr>
              <w:t xml:space="preserve"> in </w:t>
            </w:r>
            <w:r w:rsidRPr="009E07E2">
              <w:rPr>
                <w:rFonts w:ascii="Arial" w:eastAsia="SimSun" w:hAnsi="Arial" w:cs="Arial"/>
                <w:i/>
                <w:sz w:val="16"/>
                <w:szCs w:val="16"/>
              </w:rPr>
              <w:t>CSI-ReportConfig</w:t>
            </w:r>
            <w:r w:rsidRPr="009E07E2">
              <w:rPr>
                <w:rFonts w:ascii="Arial" w:eastAsia="SimSun" w:hAnsi="Arial" w:cs="Arial"/>
                <w:sz w:val="16"/>
                <w:szCs w:val="16"/>
              </w:rPr>
              <w:t xml:space="preserve"> set to '</w:t>
            </w:r>
            <w:r w:rsidRPr="009E07E2">
              <w:rPr>
                <w:rFonts w:ascii="Arial" w:eastAsia="SimSun" w:hAnsi="Arial" w:cs="Arial"/>
                <w:i/>
                <w:iCs/>
                <w:sz w:val="16"/>
                <w:szCs w:val="16"/>
              </w:rPr>
              <w:t>none</w:t>
            </w:r>
            <w:r w:rsidRPr="009E07E2">
              <w:rPr>
                <w:rFonts w:ascii="Arial" w:eastAsia="SimSun" w:hAnsi="Arial" w:cs="Arial"/>
                <w:sz w:val="16"/>
                <w:szCs w:val="16"/>
              </w:rPr>
              <w:t>' for all CSI report(s) triggered by '</w:t>
            </w:r>
            <w:r w:rsidRPr="009E07E2">
              <w:rPr>
                <w:rFonts w:ascii="Arial" w:eastAsia="SimSun" w:hAnsi="Arial" w:cs="Arial"/>
                <w:i/>
                <w:iCs/>
                <w:sz w:val="16"/>
                <w:szCs w:val="16"/>
              </w:rPr>
              <w:t>CSI request</w:t>
            </w:r>
            <w:r w:rsidRPr="009E07E2">
              <w:rPr>
                <w:rFonts w:ascii="Arial" w:eastAsia="SimSun" w:hAnsi="Arial" w:cs="Arial"/>
                <w:sz w:val="16"/>
                <w:szCs w:val="16"/>
              </w:rPr>
              <w:t>' in this DCI format 0_1 or 0_2, the UE ignores all fields in this DCI except the '</w:t>
            </w:r>
            <w:r w:rsidRPr="009E07E2">
              <w:rPr>
                <w:rFonts w:ascii="Arial" w:eastAsia="SimSun" w:hAnsi="Arial" w:cs="Arial"/>
                <w:i/>
                <w:iCs/>
                <w:sz w:val="16"/>
                <w:szCs w:val="16"/>
              </w:rPr>
              <w:t>CSI request</w:t>
            </w:r>
            <w:r w:rsidRPr="009E07E2">
              <w:rPr>
                <w:rFonts w:ascii="Arial" w:eastAsia="SimSun" w:hAnsi="Arial" w:cs="Arial"/>
                <w:sz w:val="16"/>
                <w:szCs w:val="16"/>
              </w:rPr>
              <w:t>' and the UE shall not transmit the corresponding PUSCH as indicated by this DCI format 0_1 or 0_2. Upon detection of a DCI format 0_3 with '</w:t>
            </w:r>
            <w:r w:rsidRPr="009E07E2">
              <w:rPr>
                <w:rFonts w:ascii="Arial" w:eastAsia="SimSun" w:hAnsi="Arial" w:cs="Arial"/>
                <w:i/>
                <w:iCs/>
                <w:sz w:val="16"/>
                <w:szCs w:val="16"/>
              </w:rPr>
              <w:t>UL-SCH indicator</w:t>
            </w:r>
            <w:r w:rsidRPr="009E07E2">
              <w:rPr>
                <w:rFonts w:ascii="Arial" w:eastAsia="SimSun" w:hAnsi="Arial" w:cs="Arial"/>
                <w:sz w:val="16"/>
                <w:szCs w:val="16"/>
              </w:rPr>
              <w:t>' set to '0' and with a non-zero '</w:t>
            </w:r>
            <w:r w:rsidRPr="009E07E2">
              <w:rPr>
                <w:rFonts w:ascii="Arial" w:eastAsia="SimSun" w:hAnsi="Arial" w:cs="Arial"/>
                <w:i/>
                <w:iCs/>
                <w:sz w:val="16"/>
                <w:szCs w:val="16"/>
              </w:rPr>
              <w:t>CSI request</w:t>
            </w:r>
            <w:r w:rsidRPr="009E07E2">
              <w:rPr>
                <w:rFonts w:ascii="Arial" w:eastAsia="SimSun" w:hAnsi="Arial" w:cs="Arial"/>
                <w:sz w:val="16"/>
                <w:szCs w:val="16"/>
              </w:rPr>
              <w:t xml:space="preserve">' where the associated </w:t>
            </w:r>
            <w:r w:rsidRPr="009E07E2">
              <w:rPr>
                <w:rFonts w:ascii="Arial" w:eastAsia="SimSun" w:hAnsi="Arial" w:cs="Arial"/>
                <w:i/>
                <w:iCs/>
                <w:sz w:val="16"/>
                <w:szCs w:val="16"/>
              </w:rPr>
              <w:t>reportQuantity</w:t>
            </w:r>
            <w:r w:rsidRPr="009E07E2">
              <w:rPr>
                <w:rFonts w:ascii="Arial" w:eastAsia="SimSun" w:hAnsi="Arial" w:cs="Arial"/>
                <w:sz w:val="16"/>
                <w:szCs w:val="16"/>
              </w:rPr>
              <w:t xml:space="preserve"> in </w:t>
            </w:r>
            <w:r w:rsidRPr="009E07E2">
              <w:rPr>
                <w:rFonts w:ascii="Arial" w:eastAsia="SimSun" w:hAnsi="Arial" w:cs="Arial"/>
                <w:i/>
                <w:sz w:val="16"/>
                <w:szCs w:val="16"/>
              </w:rPr>
              <w:t>CSI-ReportConfig</w:t>
            </w:r>
            <w:r w:rsidRPr="009E07E2">
              <w:rPr>
                <w:rFonts w:ascii="Arial" w:eastAsia="SimSun" w:hAnsi="Arial" w:cs="Arial"/>
                <w:sz w:val="16"/>
                <w:szCs w:val="16"/>
              </w:rPr>
              <w:t xml:space="preserve"> set to '</w:t>
            </w:r>
            <w:r w:rsidRPr="009E07E2">
              <w:rPr>
                <w:rFonts w:ascii="Arial" w:eastAsia="SimSun" w:hAnsi="Arial" w:cs="Arial"/>
                <w:i/>
                <w:iCs/>
                <w:sz w:val="16"/>
                <w:szCs w:val="16"/>
              </w:rPr>
              <w:t>none</w:t>
            </w:r>
            <w:r w:rsidRPr="009E07E2">
              <w:rPr>
                <w:rFonts w:ascii="Arial" w:eastAsia="SimSun" w:hAnsi="Arial" w:cs="Arial"/>
                <w:sz w:val="16"/>
                <w:szCs w:val="16"/>
              </w:rPr>
              <w:t>' for all CSI report(s) triggered by '</w:t>
            </w:r>
            <w:r w:rsidRPr="009E07E2">
              <w:rPr>
                <w:rFonts w:ascii="Arial" w:eastAsia="SimSun" w:hAnsi="Arial" w:cs="Arial"/>
                <w:i/>
                <w:iCs/>
                <w:sz w:val="16"/>
                <w:szCs w:val="16"/>
              </w:rPr>
              <w:t>CSI request</w:t>
            </w:r>
            <w:r w:rsidRPr="009E07E2">
              <w:rPr>
                <w:rFonts w:ascii="Arial" w:eastAsia="SimSun" w:hAnsi="Arial" w:cs="Arial"/>
                <w:sz w:val="16"/>
                <w:szCs w:val="16"/>
              </w:rPr>
              <w:t>' in this DCI format 0_3, the UE ignores all fields for the scheduled cell with the smallest serving cell index in this DCI except the '</w:t>
            </w:r>
            <w:r w:rsidRPr="009E07E2">
              <w:rPr>
                <w:rFonts w:ascii="Arial" w:eastAsia="SimSun" w:hAnsi="Arial" w:cs="Arial"/>
                <w:i/>
                <w:iCs/>
                <w:sz w:val="16"/>
                <w:szCs w:val="16"/>
              </w:rPr>
              <w:t>CSI request</w:t>
            </w:r>
            <w:r w:rsidRPr="009E07E2">
              <w:rPr>
                <w:rFonts w:ascii="Arial" w:eastAsia="SimSun" w:hAnsi="Arial" w:cs="Arial"/>
                <w:sz w:val="16"/>
                <w:szCs w:val="16"/>
              </w:rPr>
              <w:t>' and the UE shall not transmit the corresponding PUSCH on the serving cell with the smallest serving cell index as indicated by this DCI format 0_3. When the UE is scheduled with multiple PUSCHs on a serving cell by a DCI,</w:t>
            </w:r>
            <w:r w:rsidRPr="009E07E2">
              <w:rPr>
                <w:rFonts w:ascii="Arial" w:eastAsia="DengXian" w:hAnsi="Arial" w:cs="Arial"/>
                <w:sz w:val="16"/>
                <w:szCs w:val="16"/>
              </w:rPr>
              <w:t xml:space="preserve"> HARQ process ID indicated by this DCI applies</w:t>
            </w:r>
            <w:r w:rsidRPr="009E07E2">
              <w:rPr>
                <w:rFonts w:ascii="Arial" w:eastAsia="SimSun" w:hAnsi="Arial" w:cs="Arial"/>
                <w:sz w:val="16"/>
                <w:szCs w:val="16"/>
              </w:rPr>
              <w:t xml:space="preserve"> to the first PUSCH </w:t>
            </w:r>
            <w:r w:rsidRPr="009E07E2">
              <w:rPr>
                <w:rFonts w:ascii="Arial" w:eastAsia="SimSun" w:hAnsi="Arial" w:cs="Arial"/>
                <w:color w:val="000000"/>
                <w:sz w:val="16"/>
                <w:szCs w:val="16"/>
              </w:rPr>
              <w:t xml:space="preserve">not overlapping with a DL symbol indicated by </w:t>
            </w:r>
            <w:r w:rsidRPr="009E07E2">
              <w:rPr>
                <w:rFonts w:ascii="Arial" w:eastAsia="SimSun" w:hAnsi="Arial" w:cs="Arial"/>
                <w:i/>
                <w:iCs/>
                <w:color w:val="000000"/>
                <w:sz w:val="16"/>
                <w:szCs w:val="16"/>
              </w:rPr>
              <w:t>tdd-UL-DL-ConfigurationCommon</w:t>
            </w:r>
            <w:r w:rsidRPr="009E07E2">
              <w:rPr>
                <w:rFonts w:ascii="Arial" w:eastAsia="SimSun" w:hAnsi="Arial" w:cs="Arial"/>
                <w:color w:val="000000"/>
                <w:sz w:val="16"/>
                <w:szCs w:val="16"/>
              </w:rPr>
              <w:t xml:space="preserve"> or </w:t>
            </w:r>
            <w:r w:rsidRPr="009E07E2">
              <w:rPr>
                <w:rFonts w:ascii="Arial" w:eastAsia="SimSun" w:hAnsi="Arial" w:cs="Arial"/>
                <w:i/>
                <w:iCs/>
                <w:color w:val="000000"/>
                <w:sz w:val="16"/>
                <w:szCs w:val="16"/>
              </w:rPr>
              <w:t xml:space="preserve">tdd-UL-DL-ConfigurationDedicated </w:t>
            </w:r>
            <w:r w:rsidRPr="009E07E2">
              <w:rPr>
                <w:rFonts w:ascii="Arial" w:eastAsia="SimSun" w:hAnsi="Arial" w:cs="Arial"/>
                <w:color w:val="000000"/>
                <w:sz w:val="16"/>
                <w:szCs w:val="16"/>
              </w:rPr>
              <w:t xml:space="preserve">if provided, or a symbol of an SS/PBCH block with index provided by </w:t>
            </w:r>
            <w:r w:rsidRPr="009E07E2">
              <w:rPr>
                <w:rFonts w:ascii="Arial" w:eastAsia="SimSun" w:hAnsi="Arial" w:cs="Arial"/>
                <w:i/>
                <w:iCs/>
                <w:color w:val="000000"/>
                <w:sz w:val="16"/>
                <w:szCs w:val="16"/>
              </w:rPr>
              <w:t>ssb-PositionsInBurst</w:t>
            </w:r>
            <w:r w:rsidRPr="009E07E2">
              <w:rPr>
                <w:rFonts w:ascii="Arial" w:eastAsia="SimSun" w:hAnsi="Arial" w:cs="Arial"/>
                <w:sz w:val="16"/>
                <w:szCs w:val="16"/>
              </w:rPr>
              <w:t xml:space="preserve">, HARQ process ID is then incremented by 1 for each subsequent PUSCH(s) in the scheduled order, with modulo </w:t>
            </w:r>
            <w:r w:rsidRPr="009E07E2">
              <w:rPr>
                <w:rFonts w:ascii="Arial" w:eastAsia="SimSun" w:hAnsi="Arial" w:cs="Arial"/>
                <w:color w:val="000000"/>
                <w:sz w:val="16"/>
                <w:szCs w:val="16"/>
              </w:rPr>
              <w:t xml:space="preserve">operation of </w:t>
            </w:r>
            <w:r w:rsidRPr="009E07E2">
              <w:rPr>
                <w:rFonts w:ascii="Arial" w:eastAsia="SimSun" w:hAnsi="Arial" w:cs="Arial"/>
                <w:i/>
                <w:iCs/>
                <w:color w:val="000000"/>
                <w:sz w:val="16"/>
                <w:szCs w:val="16"/>
              </w:rPr>
              <w:t>nrofHARQ-ProcessesForPUSCH</w:t>
            </w:r>
            <w:r w:rsidRPr="009E07E2">
              <w:rPr>
                <w:rFonts w:ascii="Arial" w:eastAsia="SimSun" w:hAnsi="Arial" w:cs="Arial"/>
                <w:color w:val="000000"/>
                <w:sz w:val="16"/>
                <w:szCs w:val="16"/>
              </w:rPr>
              <w:t xml:space="preserve"> </w:t>
            </w:r>
            <w:r w:rsidRPr="009E07E2">
              <w:rPr>
                <w:rFonts w:ascii="Arial" w:eastAsia="SimSun" w:hAnsi="Arial" w:cs="Arial"/>
                <w:sz w:val="16"/>
                <w:szCs w:val="16"/>
              </w:rPr>
              <w:t xml:space="preserve">applied </w:t>
            </w:r>
            <w:r w:rsidRPr="009E07E2">
              <w:rPr>
                <w:rFonts w:ascii="Arial" w:eastAsia="Malgun Gothic" w:hAnsi="Arial" w:cs="Arial"/>
                <w:sz w:val="16"/>
                <w:szCs w:val="16"/>
                <w:lang w:eastAsia="ko-KR"/>
              </w:rPr>
              <w:t xml:space="preserve">if </w:t>
            </w:r>
            <w:r w:rsidRPr="009E07E2">
              <w:rPr>
                <w:rFonts w:ascii="Arial" w:eastAsia="Malgun Gothic" w:hAnsi="Arial" w:cs="Arial"/>
                <w:i/>
                <w:sz w:val="16"/>
                <w:szCs w:val="16"/>
                <w:lang w:eastAsia="ko-KR"/>
              </w:rPr>
              <w:t>nrofHARQ-ProcessesForPUSCH</w:t>
            </w:r>
            <w:r w:rsidRPr="009E07E2">
              <w:rPr>
                <w:rFonts w:ascii="Arial" w:eastAsia="Malgun Gothic" w:hAnsi="Arial" w:cs="Arial"/>
                <w:sz w:val="16"/>
                <w:szCs w:val="16"/>
                <w:lang w:eastAsia="ko-KR"/>
              </w:rPr>
              <w:t xml:space="preserve"> is provided, </w:t>
            </w:r>
            <w:r w:rsidRPr="009E07E2">
              <w:rPr>
                <w:rFonts w:ascii="Arial" w:eastAsia="SimSun" w:hAnsi="Arial" w:cs="Arial"/>
                <w:color w:val="000000"/>
                <w:sz w:val="16"/>
                <w:szCs w:val="16"/>
              </w:rPr>
              <w:t xml:space="preserve">or with modulo operation of </w:t>
            </w:r>
            <w:r w:rsidRPr="009E07E2">
              <w:rPr>
                <w:rFonts w:ascii="Arial" w:eastAsia="SimSun" w:hAnsi="Arial" w:cs="Arial"/>
                <w:i/>
                <w:iCs/>
                <w:color w:val="000000"/>
                <w:sz w:val="16"/>
                <w:szCs w:val="16"/>
              </w:rPr>
              <w:t xml:space="preserve">nrofHARQ-ProcessesForPUSCH-r17 </w:t>
            </w:r>
            <w:r w:rsidRPr="009E07E2">
              <w:rPr>
                <w:rFonts w:ascii="Arial" w:eastAsia="SimSun" w:hAnsi="Arial" w:cs="Arial"/>
                <w:color w:val="000000"/>
                <w:sz w:val="16"/>
                <w:szCs w:val="16"/>
              </w:rPr>
              <w:t xml:space="preserve">applied if </w:t>
            </w:r>
            <w:r w:rsidRPr="009E07E2">
              <w:rPr>
                <w:rFonts w:ascii="Arial" w:eastAsia="SimSun" w:hAnsi="Arial" w:cs="Arial"/>
                <w:i/>
                <w:color w:val="000000"/>
                <w:sz w:val="16"/>
                <w:szCs w:val="16"/>
              </w:rPr>
              <w:t xml:space="preserve">nrofHARQ-ProcessesForPUSCH-r17 </w:t>
            </w:r>
            <w:r w:rsidRPr="009E07E2">
              <w:rPr>
                <w:rFonts w:ascii="Arial" w:eastAsia="SimSun" w:hAnsi="Arial" w:cs="Arial"/>
                <w:color w:val="000000"/>
                <w:sz w:val="16"/>
                <w:szCs w:val="16"/>
              </w:rPr>
              <w:t xml:space="preserve">is provided, </w:t>
            </w:r>
            <w:r w:rsidRPr="009E07E2">
              <w:rPr>
                <w:rFonts w:ascii="Arial" w:eastAsia="Malgun Gothic" w:hAnsi="Arial" w:cs="Arial"/>
                <w:sz w:val="16"/>
                <w:szCs w:val="16"/>
                <w:lang w:eastAsia="ko-KR"/>
              </w:rPr>
              <w:t>or with modulo operation of 16 applied, otherwise</w:t>
            </w:r>
            <w:r w:rsidRPr="009E07E2">
              <w:rPr>
                <w:rFonts w:ascii="Arial" w:eastAsia="SimSun" w:hAnsi="Arial" w:cs="Arial"/>
                <w:sz w:val="16"/>
                <w:szCs w:val="16"/>
              </w:rPr>
              <w:t>. HARQ process ID is not incremented for PUSCH(s) not transm</w:t>
            </w:r>
            <w:r w:rsidRPr="009E07E2">
              <w:rPr>
                <w:rFonts w:ascii="Arial" w:eastAsia="SimSun" w:hAnsi="Arial" w:cs="Arial"/>
                <w:color w:val="000000"/>
                <w:sz w:val="16"/>
                <w:szCs w:val="16"/>
              </w:rPr>
              <w:t xml:space="preserve">itted if at least one of the symbols indicated by the indexed row of the used resource allocation table in the slot overlaps with a DL symbol indicated by </w:t>
            </w:r>
            <w:r w:rsidRPr="009E07E2">
              <w:rPr>
                <w:rFonts w:ascii="Arial" w:eastAsia="SimSun" w:hAnsi="Arial" w:cs="Arial"/>
                <w:i/>
                <w:iCs/>
                <w:color w:val="000000"/>
                <w:sz w:val="16"/>
                <w:szCs w:val="16"/>
              </w:rPr>
              <w:t>tdd-UL-DL-ConfigurationCommon</w:t>
            </w:r>
            <w:r w:rsidRPr="009E07E2">
              <w:rPr>
                <w:rFonts w:ascii="Arial" w:eastAsia="SimSun" w:hAnsi="Arial" w:cs="Arial"/>
                <w:color w:val="000000"/>
                <w:sz w:val="16"/>
                <w:szCs w:val="16"/>
              </w:rPr>
              <w:t xml:space="preserve"> or </w:t>
            </w:r>
            <w:r w:rsidRPr="009E07E2">
              <w:rPr>
                <w:rFonts w:ascii="Arial" w:eastAsia="SimSun" w:hAnsi="Arial" w:cs="Arial"/>
                <w:i/>
                <w:iCs/>
                <w:color w:val="000000"/>
                <w:sz w:val="16"/>
                <w:szCs w:val="16"/>
              </w:rPr>
              <w:t xml:space="preserve">tdd-UL-DL-ConfigurationDedicated </w:t>
            </w:r>
            <w:r w:rsidRPr="009E07E2">
              <w:rPr>
                <w:rFonts w:ascii="Arial" w:eastAsia="SimSun" w:hAnsi="Arial" w:cs="Arial"/>
                <w:color w:val="000000"/>
                <w:sz w:val="16"/>
                <w:szCs w:val="16"/>
              </w:rPr>
              <w:t xml:space="preserve">if provided, or a symbol of an SS/PBCH block with index provided by </w:t>
            </w:r>
            <w:r w:rsidRPr="009E07E2">
              <w:rPr>
                <w:rFonts w:ascii="Arial" w:eastAsia="SimSun" w:hAnsi="Arial" w:cs="Arial"/>
                <w:i/>
                <w:iCs/>
                <w:color w:val="000000"/>
                <w:sz w:val="16"/>
                <w:szCs w:val="16"/>
              </w:rPr>
              <w:t>ssb-PositionsInBurst</w:t>
            </w:r>
            <w:r w:rsidRPr="009E07E2">
              <w:rPr>
                <w:rFonts w:ascii="Arial" w:eastAsia="SimSun" w:hAnsi="Arial" w:cs="Arial"/>
                <w:color w:val="000000"/>
                <w:sz w:val="16"/>
                <w:szCs w:val="16"/>
              </w:rPr>
              <w:t xml:space="preserve">. </w:t>
            </w:r>
            <w:r w:rsidRPr="009E07E2">
              <w:rPr>
                <w:rFonts w:ascii="Arial" w:eastAsia="DengXian" w:hAnsi="Arial" w:cs="Arial"/>
                <w:sz w:val="16"/>
                <w:szCs w:val="16"/>
              </w:rPr>
              <w:t>For any HARQ process ID</w:t>
            </w:r>
            <w:r w:rsidRPr="009E07E2">
              <w:rPr>
                <w:rFonts w:ascii="Arial" w:eastAsia="DengXian" w:hAnsi="Arial" w:cs="Arial"/>
                <w:sz w:val="16"/>
                <w:szCs w:val="16"/>
                <w:lang w:eastAsia="zh-CN"/>
              </w:rPr>
              <w:t>(</w:t>
            </w:r>
            <w:r w:rsidRPr="009E07E2">
              <w:rPr>
                <w:rFonts w:ascii="Arial" w:eastAsia="DengXian" w:hAnsi="Arial" w:cs="Arial"/>
                <w:sz w:val="16"/>
                <w:szCs w:val="16"/>
              </w:rPr>
              <w:t>s</w:t>
            </w:r>
            <w:r w:rsidRPr="009E07E2">
              <w:rPr>
                <w:rFonts w:ascii="Arial" w:eastAsia="DengXian" w:hAnsi="Arial" w:cs="Arial"/>
                <w:sz w:val="16"/>
                <w:szCs w:val="16"/>
                <w:lang w:eastAsia="zh-CN"/>
              </w:rPr>
              <w:t>)</w:t>
            </w:r>
            <w:r w:rsidRPr="009E07E2">
              <w:rPr>
                <w:rFonts w:ascii="Arial" w:eastAsia="DengXian" w:hAnsi="Arial" w:cs="Arial"/>
                <w:sz w:val="16"/>
                <w:szCs w:val="16"/>
              </w:rPr>
              <w:t xml:space="preserve"> in a given scheduled cell, the UE is not expected to</w:t>
            </w:r>
            <w:r w:rsidRPr="009E07E2">
              <w:rPr>
                <w:rFonts w:ascii="Arial" w:eastAsia="DengXian" w:hAnsi="Arial" w:cs="Arial"/>
                <w:sz w:val="16"/>
                <w:szCs w:val="16"/>
                <w:lang w:eastAsia="zh-CN"/>
              </w:rPr>
              <w:t xml:space="preserve"> </w:t>
            </w:r>
            <w:r w:rsidRPr="009E07E2">
              <w:rPr>
                <w:rFonts w:ascii="Arial" w:eastAsia="DengXian" w:hAnsi="Arial" w:cs="Arial"/>
                <w:sz w:val="16"/>
                <w:szCs w:val="16"/>
              </w:rPr>
              <w:t xml:space="preserve">transmit a PUSCH that overlaps in time with </w:t>
            </w:r>
            <w:r w:rsidRPr="009E07E2">
              <w:rPr>
                <w:rFonts w:ascii="Arial" w:eastAsia="DengXian" w:hAnsi="Arial" w:cs="Arial"/>
                <w:sz w:val="16"/>
                <w:szCs w:val="16"/>
                <w:lang w:eastAsia="zh-CN"/>
              </w:rPr>
              <w:t>another</w:t>
            </w:r>
            <w:r w:rsidRPr="009E07E2">
              <w:rPr>
                <w:rFonts w:ascii="Arial" w:eastAsia="DengXian" w:hAnsi="Arial" w:cs="Arial"/>
                <w:sz w:val="16"/>
                <w:szCs w:val="16"/>
              </w:rPr>
              <w:t xml:space="preserve"> PUSCH.</w:t>
            </w:r>
            <w:r w:rsidRPr="009E07E2">
              <w:rPr>
                <w:rFonts w:ascii="Arial" w:eastAsia="DengXian" w:hAnsi="Arial" w:cs="Arial"/>
                <w:sz w:val="16"/>
                <w:szCs w:val="16"/>
                <w:lang w:eastAsia="zh-CN"/>
              </w:rPr>
              <w:t xml:space="preserve"> Except for the case when </w:t>
            </w:r>
            <w:r w:rsidRPr="009E07E2">
              <w:rPr>
                <w:rFonts w:ascii="Arial" w:eastAsia="SimSun" w:hAnsi="Arial" w:cs="Arial"/>
                <w:sz w:val="16"/>
                <w:szCs w:val="16"/>
              </w:rPr>
              <w:t xml:space="preserve">a UE is configured by higher layer parameter </w:t>
            </w:r>
            <w:r w:rsidRPr="009E07E2">
              <w:rPr>
                <w:rFonts w:ascii="Arial" w:eastAsia="SimSun" w:hAnsi="Arial" w:cs="Arial"/>
                <w:i/>
                <w:sz w:val="16"/>
                <w:szCs w:val="16"/>
              </w:rPr>
              <w:t>PDCCH-Config</w:t>
            </w:r>
            <w:r w:rsidRPr="009E07E2">
              <w:rPr>
                <w:rFonts w:ascii="Arial" w:eastAsia="SimSun" w:hAnsi="Arial" w:cs="Arial"/>
                <w:sz w:val="16"/>
                <w:szCs w:val="16"/>
              </w:rPr>
              <w:t xml:space="preserve"> that contains two different values of </w:t>
            </w:r>
            <w:r w:rsidRPr="009E07E2">
              <w:rPr>
                <w:rFonts w:ascii="Arial" w:eastAsia="SimSun" w:hAnsi="Arial" w:cs="Arial"/>
                <w:i/>
                <w:sz w:val="16"/>
                <w:szCs w:val="16"/>
              </w:rPr>
              <w:t>coresetPoolIndex</w:t>
            </w:r>
            <w:r w:rsidRPr="009E07E2">
              <w:rPr>
                <w:rFonts w:ascii="Arial" w:eastAsia="SimSun" w:hAnsi="Arial" w:cs="Arial"/>
                <w:sz w:val="16"/>
                <w:szCs w:val="16"/>
              </w:rPr>
              <w:t xml:space="preserve"> in </w:t>
            </w:r>
            <w:r w:rsidRPr="009E07E2">
              <w:rPr>
                <w:rFonts w:ascii="Arial" w:eastAsia="SimSun" w:hAnsi="Arial" w:cs="Arial"/>
                <w:i/>
                <w:sz w:val="16"/>
                <w:szCs w:val="16"/>
              </w:rPr>
              <w:t>ControlResourceSet</w:t>
            </w:r>
            <w:r w:rsidRPr="009E07E2">
              <w:rPr>
                <w:rFonts w:ascii="Arial" w:eastAsia="SimSun" w:hAnsi="Arial" w:cs="Arial"/>
                <w:sz w:val="16"/>
                <w:szCs w:val="16"/>
              </w:rPr>
              <w:t xml:space="preserve"> for the active BWP of a serving cell and PDCCHs that schedule two </w:t>
            </w:r>
            <w:r w:rsidRPr="009E07E2">
              <w:rPr>
                <w:rFonts w:ascii="Arial" w:eastAsia="SimSun" w:hAnsi="Arial" w:cs="Arial"/>
                <w:strike/>
                <w:color w:val="FF0000"/>
                <w:sz w:val="16"/>
                <w:szCs w:val="16"/>
              </w:rPr>
              <w:t>non-overlapping in time domain</w:t>
            </w:r>
            <w:r w:rsidRPr="009E07E2">
              <w:rPr>
                <w:rFonts w:ascii="Arial" w:eastAsia="SimSun" w:hAnsi="Arial" w:cs="Arial"/>
                <w:sz w:val="16"/>
                <w:szCs w:val="16"/>
              </w:rPr>
              <w:t xml:space="preserve"> PUSCHs are associated to different </w:t>
            </w:r>
            <w:r w:rsidRPr="009E07E2">
              <w:rPr>
                <w:rFonts w:ascii="Arial" w:eastAsia="SimSun" w:hAnsi="Arial" w:cs="Arial"/>
                <w:i/>
                <w:sz w:val="16"/>
                <w:szCs w:val="16"/>
              </w:rPr>
              <w:t>ControlResourceSets</w:t>
            </w:r>
            <w:r w:rsidRPr="009E07E2">
              <w:rPr>
                <w:rFonts w:ascii="Arial" w:eastAsia="SimSun" w:hAnsi="Arial" w:cs="Arial"/>
                <w:sz w:val="16"/>
                <w:szCs w:val="16"/>
              </w:rPr>
              <w:t xml:space="preserve"> having different values of </w:t>
            </w:r>
            <w:r w:rsidRPr="009E07E2">
              <w:rPr>
                <w:rFonts w:ascii="Arial" w:eastAsia="SimSun" w:hAnsi="Arial" w:cs="Arial"/>
                <w:i/>
                <w:sz w:val="16"/>
                <w:szCs w:val="16"/>
              </w:rPr>
              <w:t>coresetPoolIndex</w:t>
            </w:r>
            <w:r w:rsidRPr="009E07E2">
              <w:rPr>
                <w:rFonts w:ascii="Arial" w:eastAsia="SimSun" w:hAnsi="Arial" w:cs="Arial"/>
                <w:i/>
                <w:sz w:val="16"/>
                <w:szCs w:val="16"/>
                <w:lang w:eastAsia="zh-CN"/>
              </w:rPr>
              <w:t xml:space="preserve">, </w:t>
            </w:r>
            <w:r w:rsidRPr="009E07E2">
              <w:rPr>
                <w:rFonts w:ascii="Arial" w:eastAsia="SimSun" w:hAnsi="Arial" w:cs="Arial"/>
                <w:sz w:val="16"/>
                <w:szCs w:val="16"/>
              </w:rPr>
              <w:t xml:space="preserve">for any two HARQ process IDs in a given scheduled cell, if the UE is scheduled to start a first PUSCH transmission starting in symbol </w:t>
            </w:r>
            <w:r w:rsidRPr="009E07E2">
              <w:rPr>
                <w:rFonts w:ascii="Arial" w:eastAsia="SimSun" w:hAnsi="Arial" w:cs="Arial"/>
                <w:i/>
                <w:sz w:val="16"/>
                <w:szCs w:val="16"/>
              </w:rPr>
              <w:t>j</w:t>
            </w:r>
            <w:r w:rsidRPr="009E07E2">
              <w:rPr>
                <w:rFonts w:ascii="Arial" w:eastAsia="SimSun" w:hAnsi="Arial" w:cs="Arial"/>
                <w:sz w:val="16"/>
                <w:szCs w:val="16"/>
              </w:rPr>
              <w:t xml:space="preserve"> by a PDCCH ending in symbol </w:t>
            </w:r>
            <w:r w:rsidRPr="009E07E2">
              <w:rPr>
                <w:rFonts w:ascii="Arial" w:eastAsia="SimSun" w:hAnsi="Arial" w:cs="Arial"/>
                <w:i/>
                <w:sz w:val="16"/>
                <w:szCs w:val="16"/>
              </w:rPr>
              <w:t xml:space="preserve">i </w:t>
            </w:r>
            <w:r w:rsidRPr="009E07E2">
              <w:rPr>
                <w:rFonts w:ascii="Arial" w:eastAsia="SimSun" w:hAnsi="Arial" w:cs="Arial"/>
                <w:iCs/>
                <w:sz w:val="16"/>
                <w:szCs w:val="16"/>
              </w:rPr>
              <w:t>on a scheduling cell</w:t>
            </w:r>
            <w:r w:rsidRPr="009E07E2">
              <w:rPr>
                <w:rFonts w:ascii="Arial" w:eastAsia="SimSun" w:hAnsi="Arial" w:cs="Arial"/>
                <w:sz w:val="16"/>
                <w:szCs w:val="16"/>
              </w:rPr>
              <w:t xml:space="preserve">,, the UE is not expected to be scheduled to transmit a PUSCH starting earlier than the end of the first PUSCH by a PDCCH that ends </w:t>
            </w:r>
            <w:r w:rsidRPr="009E07E2">
              <w:rPr>
                <w:rFonts w:ascii="Arial" w:eastAsia="DengXian" w:hAnsi="Arial" w:cs="Arial"/>
                <w:sz w:val="16"/>
                <w:szCs w:val="16"/>
                <w:lang w:eastAsia="zh-CN"/>
              </w:rPr>
              <w:t>later</w:t>
            </w:r>
            <w:r w:rsidRPr="009E07E2">
              <w:rPr>
                <w:rFonts w:ascii="Arial" w:eastAsia="SimSun" w:hAnsi="Arial" w:cs="Arial"/>
                <w:sz w:val="16"/>
                <w:szCs w:val="16"/>
              </w:rPr>
              <w:t xml:space="preserve"> than symbol </w:t>
            </w:r>
            <w:r w:rsidRPr="009E07E2">
              <w:rPr>
                <w:rFonts w:ascii="Arial" w:eastAsia="SimSun" w:hAnsi="Arial" w:cs="Arial"/>
                <w:i/>
                <w:sz w:val="16"/>
                <w:szCs w:val="16"/>
              </w:rPr>
              <w:t xml:space="preserve">i </w:t>
            </w:r>
            <w:r w:rsidRPr="009E07E2">
              <w:rPr>
                <w:rFonts w:ascii="Arial" w:eastAsia="SimSun" w:hAnsi="Arial" w:cs="Arial"/>
                <w:iCs/>
                <w:sz w:val="16"/>
                <w:szCs w:val="16"/>
              </w:rPr>
              <w:t>of the scheduling cell</w:t>
            </w:r>
            <w:r w:rsidRPr="009E07E2">
              <w:rPr>
                <w:rFonts w:ascii="Arial" w:eastAsia="SimSun" w:hAnsi="Arial" w:cs="Arial"/>
                <w:sz w:val="16"/>
                <w:szCs w:val="16"/>
              </w:rPr>
              <w:t>. When the PDCCH reception includes two PDCCH candidates from two respective search space sets, as described in clause 10.1 of [6, TS 38.213],</w:t>
            </w:r>
            <w:r w:rsidRPr="009E07E2">
              <w:rPr>
                <w:rFonts w:ascii="Arial" w:eastAsia="SimSun" w:hAnsi="Arial" w:cs="Arial"/>
                <w:color w:val="000000"/>
                <w:sz w:val="16"/>
                <w:szCs w:val="16"/>
              </w:rPr>
              <w:t xml:space="preserve"> for the purpose of determining the PDCCH ending in symbol </w:t>
            </w:r>
            <w:r w:rsidRPr="009E07E2">
              <w:rPr>
                <w:rFonts w:ascii="Arial" w:eastAsia="SimSun" w:hAnsi="Arial" w:cs="Arial"/>
                <w:i/>
                <w:sz w:val="16"/>
                <w:szCs w:val="16"/>
              </w:rPr>
              <w:t>i</w:t>
            </w:r>
            <w:r w:rsidRPr="009E07E2">
              <w:rPr>
                <w:rFonts w:ascii="Arial" w:eastAsia="SimSun" w:hAnsi="Arial" w:cs="Arial"/>
                <w:color w:val="000000"/>
                <w:sz w:val="16"/>
                <w:szCs w:val="16"/>
              </w:rPr>
              <w:t xml:space="preserve">, the PDCCH candidate that ends later in time is used. </w:t>
            </w:r>
            <w:r w:rsidRPr="009E07E2">
              <w:rPr>
                <w:rFonts w:ascii="Arial" w:eastAsia="SimSun" w:hAnsi="Arial" w:cs="Arial"/>
                <w:sz w:val="16"/>
                <w:szCs w:val="16"/>
              </w:rPr>
              <w:t xml:space="preserve">The UE is not expected to be scheduled to transmit another PUSCH by a DCI format 0_0 with CRC scrambled by TC-RNTI, for a given HARQ process with the DCI received before the end of the expected transmission of the last PUSCH for that HARQ process if the latter is scheduled by a DCI format 0_0 with CRC scrambled by TC-RNTI or by an UL grant in RA Response. The UE is not expected to be scheduled to transmit another PUSCH by DCI format 0_0, 0_1, 0_2 or 0_3 scrambled by C-RNTI, CS-RNTI or MCS-C-RNTI for a given HARQ process with the DCI received before the end of the expected transmission of the last PUSCH for that HARQ process if the latter is scheduled by a DCI with CRC scrambled by C-RNTI, CS-RNTI or MCS-C-RNTI. </w:t>
            </w:r>
          </w:p>
          <w:p w14:paraId="4AF9504C" w14:textId="77777777" w:rsidR="009E07E2" w:rsidRPr="009E07E2" w:rsidRDefault="009E07E2" w:rsidP="009E07E2">
            <w:pPr>
              <w:overflowPunct w:val="0"/>
              <w:autoSpaceDE w:val="0"/>
              <w:autoSpaceDN w:val="0"/>
              <w:adjustRightInd w:val="0"/>
              <w:jc w:val="center"/>
              <w:textAlignment w:val="baseline"/>
              <w:rPr>
                <w:rFonts w:ascii="Arial" w:eastAsia="DengXian" w:hAnsi="Arial" w:cs="Arial"/>
                <w:sz w:val="16"/>
                <w:szCs w:val="16"/>
              </w:rPr>
            </w:pPr>
            <w:r w:rsidRPr="009E07E2">
              <w:rPr>
                <w:rFonts w:ascii="Arial" w:eastAsia="SimSun" w:hAnsi="Arial" w:cs="Arial"/>
                <w:color w:val="FF0000"/>
                <w:sz w:val="16"/>
                <w:szCs w:val="16"/>
                <w:lang w:eastAsia="zh-CN"/>
              </w:rPr>
              <w:t xml:space="preserve">&lt; </w:t>
            </w:r>
            <w:r w:rsidRPr="009E07E2">
              <w:rPr>
                <w:rFonts w:ascii="Arial" w:eastAsia="SimSun" w:hAnsi="Arial" w:cs="Arial"/>
                <w:color w:val="FF0000"/>
                <w:sz w:val="16"/>
                <w:szCs w:val="16"/>
              </w:rPr>
              <w:t>Unchanged parts are omitted</w:t>
            </w:r>
            <w:r w:rsidRPr="009E07E2">
              <w:rPr>
                <w:rFonts w:ascii="Arial" w:eastAsia="SimSun" w:hAnsi="Arial" w:cs="Arial"/>
                <w:color w:val="FF0000"/>
                <w:sz w:val="16"/>
                <w:szCs w:val="16"/>
                <w:lang w:eastAsia="zh-CN"/>
              </w:rPr>
              <w:t xml:space="preserve"> &gt;</w:t>
            </w:r>
          </w:p>
        </w:tc>
      </w:tr>
    </w:tbl>
    <w:p w14:paraId="298F1924" w14:textId="77777777" w:rsidR="009E07E2" w:rsidRPr="009E07E2" w:rsidRDefault="009E07E2" w:rsidP="009E07E2">
      <w:pPr>
        <w:rPr>
          <w:rFonts w:ascii="Times New Roman" w:hAnsi="Times New Roman"/>
        </w:rPr>
      </w:pPr>
    </w:p>
    <w:p w14:paraId="71C43857" w14:textId="77777777" w:rsidR="009E07E2" w:rsidRPr="009E07E2" w:rsidRDefault="009E07E2" w:rsidP="009E07E2">
      <w:pPr>
        <w:rPr>
          <w:rFonts w:ascii="Times New Roman" w:hAnsi="Times New Roman"/>
          <w:highlight w:val="green"/>
          <w:lang w:eastAsia="x-none"/>
        </w:rPr>
      </w:pPr>
      <w:r w:rsidRPr="009E07E2">
        <w:rPr>
          <w:rFonts w:ascii="Times New Roman" w:hAnsi="Times New Roman"/>
          <w:highlight w:val="green"/>
          <w:lang w:eastAsia="x-none"/>
        </w:rPr>
        <w:t>Agreement</w:t>
      </w:r>
    </w:p>
    <w:p w14:paraId="0FB25FA3" w14:textId="77777777" w:rsidR="009E07E2" w:rsidRPr="009E07E2" w:rsidRDefault="009E07E2" w:rsidP="009E07E2">
      <w:pPr>
        <w:rPr>
          <w:rFonts w:ascii="Times New Roman" w:hAnsi="Times New Roman"/>
          <w:lang w:eastAsia="x-none"/>
        </w:rPr>
      </w:pPr>
      <w:r w:rsidRPr="009E07E2">
        <w:rPr>
          <w:rFonts w:ascii="Times New Roman" w:hAnsi="Times New Roman"/>
          <w:lang w:eastAsia="x-none"/>
        </w:rPr>
        <w:t>The support of out of order PUSCH scheduling in Rel-18 multi-DCI based STxMP transmission is subject to UE capability.</w:t>
      </w:r>
    </w:p>
    <w:p w14:paraId="490BB7C5" w14:textId="77777777" w:rsidR="009E07E2" w:rsidRPr="009E07E2" w:rsidRDefault="009E07E2" w:rsidP="009E07E2">
      <w:pPr>
        <w:rPr>
          <w:rFonts w:ascii="Times New Roman" w:hAnsi="Times New Roman"/>
          <w:lang w:eastAsia="x-none"/>
        </w:rPr>
      </w:pPr>
    </w:p>
    <w:p w14:paraId="63B30638" w14:textId="77777777" w:rsidR="009E07E2" w:rsidRDefault="009E07E2" w:rsidP="00F74A6F">
      <w:pPr>
        <w:rPr>
          <w:lang w:eastAsia="x-none"/>
        </w:rPr>
      </w:pPr>
    </w:p>
    <w:p w14:paraId="73515A14" w14:textId="19AAC71E" w:rsidR="00F74A6F" w:rsidRPr="006A1690" w:rsidRDefault="005A18DC" w:rsidP="00F74A6F">
      <w:pPr>
        <w:rPr>
          <w:b/>
          <w:bCs/>
          <w:lang w:eastAsia="x-none"/>
        </w:rPr>
      </w:pPr>
      <w:hyperlink r:id="rId926" w:history="1">
        <w:r w:rsidR="00AF7253">
          <w:rPr>
            <w:rStyle w:val="Hyperlink"/>
            <w:b/>
            <w:bCs/>
            <w:lang w:eastAsia="x-none"/>
          </w:rPr>
          <w:t>R1-2312256</w:t>
        </w:r>
      </w:hyperlink>
      <w:r w:rsidR="00F74A6F" w:rsidRPr="006A1690">
        <w:rPr>
          <w:b/>
          <w:bCs/>
          <w:lang w:eastAsia="x-none"/>
        </w:rPr>
        <w:tab/>
        <w:t>Summary #2 on Rel-18 STxMP</w:t>
      </w:r>
      <w:r w:rsidR="00F74A6F" w:rsidRPr="006A1690">
        <w:rPr>
          <w:b/>
          <w:bCs/>
          <w:lang w:eastAsia="x-none"/>
        </w:rPr>
        <w:tab/>
        <w:t>Moderator (OPPO)</w:t>
      </w:r>
    </w:p>
    <w:p w14:paraId="44E7A431" w14:textId="5F6B21D9" w:rsidR="006A1690" w:rsidRDefault="006A1690" w:rsidP="00F74A6F">
      <w:pPr>
        <w:rPr>
          <w:lang w:eastAsia="x-none"/>
        </w:rPr>
      </w:pPr>
      <w:r>
        <w:rPr>
          <w:lang w:eastAsia="x-none"/>
        </w:rPr>
        <w:t>From Wednesday session</w:t>
      </w:r>
    </w:p>
    <w:p w14:paraId="6FA7AA85" w14:textId="77777777" w:rsidR="006A1690" w:rsidRPr="009E07E2" w:rsidRDefault="006A1690" w:rsidP="006A1690">
      <w:pPr>
        <w:rPr>
          <w:rFonts w:ascii="Times New Roman" w:hAnsi="Times New Roman"/>
          <w:highlight w:val="green"/>
          <w:lang w:eastAsia="x-none"/>
        </w:rPr>
      </w:pPr>
      <w:r w:rsidRPr="009E07E2">
        <w:rPr>
          <w:rFonts w:ascii="Times New Roman" w:hAnsi="Times New Roman"/>
          <w:highlight w:val="green"/>
          <w:lang w:eastAsia="x-none"/>
        </w:rPr>
        <w:t>Agreement</w:t>
      </w:r>
    </w:p>
    <w:p w14:paraId="4CD5F9F8" w14:textId="77777777" w:rsidR="006A1690" w:rsidRDefault="006A1690" w:rsidP="006A1690">
      <w:pPr>
        <w:rPr>
          <w:lang w:val="en-US"/>
        </w:rPr>
      </w:pPr>
      <w:r>
        <w:rPr>
          <w:lang w:val="en-US"/>
        </w:rPr>
        <w:t>Adopt the following TP for 38.214:</w:t>
      </w:r>
    </w:p>
    <w:p w14:paraId="47E386B8" w14:textId="77777777" w:rsidR="006A1690" w:rsidRPr="00B26B05" w:rsidRDefault="006A1690" w:rsidP="00AA1D48">
      <w:pPr>
        <w:pStyle w:val="ListParagraph"/>
        <w:numPr>
          <w:ilvl w:val="0"/>
          <w:numId w:val="107"/>
        </w:numPr>
        <w:rPr>
          <w:rFonts w:eastAsia="Batang"/>
        </w:rPr>
      </w:pPr>
      <w:r w:rsidRPr="00B26B05">
        <w:rPr>
          <w:b/>
          <w:bCs/>
        </w:rPr>
        <w:t>Reason for change:</w:t>
      </w:r>
      <w:r w:rsidRPr="00B26B05">
        <w:rPr>
          <w:u w:val="single"/>
        </w:rPr>
        <w:t xml:space="preserve"> </w:t>
      </w:r>
      <w:r w:rsidRPr="00B26B05">
        <w:t>In the current specifications, the restriction of in order scheduling for PUSCH is applied to multi-DCI based STxMP PUSCH+PUSCH. That would cause some difficulty to the scheduling of STxMP PUSCH+PUSCH.</w:t>
      </w:r>
    </w:p>
    <w:p w14:paraId="7EB422B2" w14:textId="77777777" w:rsidR="006A1690" w:rsidRPr="00B26B05" w:rsidRDefault="006A1690" w:rsidP="00AA1D48">
      <w:pPr>
        <w:pStyle w:val="ListParagraph"/>
        <w:numPr>
          <w:ilvl w:val="0"/>
          <w:numId w:val="107"/>
        </w:numPr>
      </w:pPr>
      <w:r w:rsidRPr="00B26B05">
        <w:rPr>
          <w:b/>
          <w:bCs/>
        </w:rPr>
        <w:t>Summary of change:</w:t>
      </w:r>
      <w:r w:rsidRPr="00B26B05">
        <w:t xml:space="preserve"> Remove the “non-overlapping in time domain” from the specification text so that the STxMP PUSCH+PUSCH is included in the case of STxMP PUSCH+PUSCH can be scheduled with the out of order scheduling.</w:t>
      </w:r>
    </w:p>
    <w:p w14:paraId="5FA40F68" w14:textId="6B6F21C0" w:rsidR="006A1690" w:rsidRPr="00B26B05" w:rsidRDefault="006A1690" w:rsidP="00AA1D48">
      <w:pPr>
        <w:pStyle w:val="ListParagraph"/>
        <w:numPr>
          <w:ilvl w:val="0"/>
          <w:numId w:val="107"/>
        </w:numPr>
        <w:rPr>
          <w:rFonts w:cs="Times"/>
        </w:rPr>
      </w:pPr>
      <w:r w:rsidRPr="00B26B05">
        <w:rPr>
          <w:b/>
          <w:bCs/>
        </w:rPr>
        <w:t>Consequences if not approved:</w:t>
      </w:r>
      <w:r w:rsidRPr="00B26B05">
        <w:t xml:space="preserve"> </w:t>
      </w:r>
      <w:r w:rsidRPr="00B26B05">
        <w:rPr>
          <w:rFonts w:cs="Times"/>
        </w:rPr>
        <w:t>The scheduling of STxMP PUSCH+PUSCH in rel-18 has the restriction of in order scheduling.</w:t>
      </w:r>
    </w:p>
    <w:tbl>
      <w:tblPr>
        <w:tblW w:w="5000" w:type="pct"/>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0683"/>
      </w:tblGrid>
      <w:tr w:rsidR="006A1690" w:rsidRPr="00B26B05" w14:paraId="639A67EA" w14:textId="77777777" w:rsidTr="00B26B05">
        <w:tc>
          <w:tcPr>
            <w:tcW w:w="5000" w:type="pct"/>
            <w:tcBorders>
              <w:top w:val="double" w:sz="4" w:space="0" w:color="A5A5A5"/>
              <w:left w:val="double" w:sz="4" w:space="0" w:color="A5A5A5"/>
              <w:bottom w:val="double" w:sz="4" w:space="0" w:color="A5A5A5"/>
              <w:right w:val="double" w:sz="4" w:space="0" w:color="A5A5A5"/>
            </w:tcBorders>
          </w:tcPr>
          <w:p w14:paraId="33EFF5A7" w14:textId="77777777" w:rsidR="006A1690" w:rsidRPr="00B26B05" w:rsidRDefault="006A1690" w:rsidP="00B26B05">
            <w:pPr>
              <w:rPr>
                <w:rFonts w:ascii="Arial" w:hAnsi="Arial" w:cs="Arial"/>
                <w:b/>
                <w:bCs/>
                <w:sz w:val="16"/>
                <w:szCs w:val="16"/>
              </w:rPr>
            </w:pPr>
            <w:r w:rsidRPr="00B26B05">
              <w:rPr>
                <w:rFonts w:ascii="Arial" w:hAnsi="Arial" w:cs="Arial"/>
                <w:b/>
                <w:bCs/>
                <w:sz w:val="16"/>
                <w:szCs w:val="16"/>
              </w:rPr>
              <w:lastRenderedPageBreak/>
              <w:t>6.1</w:t>
            </w:r>
            <w:r w:rsidRPr="00B26B05">
              <w:rPr>
                <w:rFonts w:ascii="Arial" w:hAnsi="Arial" w:cs="Arial"/>
                <w:b/>
                <w:bCs/>
                <w:sz w:val="16"/>
                <w:szCs w:val="16"/>
              </w:rPr>
              <w:tab/>
              <w:t>UE procedure for transmitting the physical uplink shared channel</w:t>
            </w:r>
          </w:p>
          <w:p w14:paraId="17AFDE96" w14:textId="77777777" w:rsidR="006A1690" w:rsidRPr="00B26B05" w:rsidRDefault="006A1690">
            <w:pPr>
              <w:jc w:val="center"/>
              <w:rPr>
                <w:rFonts w:ascii="Arial" w:hAnsi="Arial" w:cs="Arial"/>
                <w:color w:val="FF0000"/>
                <w:sz w:val="16"/>
                <w:szCs w:val="16"/>
                <w:lang w:eastAsia="zh-CN"/>
              </w:rPr>
            </w:pPr>
            <w:r w:rsidRPr="00B26B05">
              <w:rPr>
                <w:rFonts w:ascii="Arial" w:hAnsi="Arial" w:cs="Arial"/>
                <w:color w:val="FF0000"/>
                <w:sz w:val="16"/>
                <w:szCs w:val="16"/>
                <w:lang w:eastAsia="zh-CN"/>
              </w:rPr>
              <w:t>&lt;Unchanged parts are omitted&gt;</w:t>
            </w:r>
          </w:p>
          <w:p w14:paraId="45AD7435" w14:textId="77777777" w:rsidR="006A1690" w:rsidRPr="00B26B05" w:rsidRDefault="006A1690">
            <w:pPr>
              <w:rPr>
                <w:rFonts w:ascii="Arial" w:hAnsi="Arial" w:cs="Arial"/>
                <w:sz w:val="16"/>
                <w:szCs w:val="16"/>
              </w:rPr>
            </w:pPr>
            <w:r w:rsidRPr="00B26B05">
              <w:rPr>
                <w:rFonts w:ascii="Arial" w:hAnsi="Arial" w:cs="Arial"/>
                <w:sz w:val="16"/>
                <w:szCs w:val="16"/>
              </w:rPr>
              <w:t xml:space="preserve">If a UE is configured by higher layer parameter </w:t>
            </w:r>
            <w:r w:rsidRPr="00B26B05">
              <w:rPr>
                <w:rFonts w:ascii="Arial" w:hAnsi="Arial" w:cs="Arial"/>
                <w:i/>
                <w:sz w:val="16"/>
                <w:szCs w:val="16"/>
              </w:rPr>
              <w:t>PDCCH-Config</w:t>
            </w:r>
            <w:r w:rsidRPr="00B26B05">
              <w:rPr>
                <w:rFonts w:ascii="Arial" w:hAnsi="Arial" w:cs="Arial"/>
                <w:sz w:val="16"/>
                <w:szCs w:val="16"/>
              </w:rPr>
              <w:t xml:space="preserve"> that contains two different values of </w:t>
            </w:r>
            <w:r w:rsidRPr="00B26B05">
              <w:rPr>
                <w:rFonts w:ascii="Arial" w:hAnsi="Arial" w:cs="Arial"/>
                <w:i/>
                <w:sz w:val="16"/>
                <w:szCs w:val="16"/>
              </w:rPr>
              <w:t>coresetPoolIndex</w:t>
            </w:r>
            <w:r w:rsidRPr="00B26B05">
              <w:rPr>
                <w:rFonts w:ascii="Arial" w:hAnsi="Arial" w:cs="Arial"/>
                <w:sz w:val="16"/>
                <w:szCs w:val="16"/>
              </w:rPr>
              <w:t xml:space="preserve"> in </w:t>
            </w:r>
            <w:r w:rsidRPr="00B26B05">
              <w:rPr>
                <w:rFonts w:ascii="Arial" w:hAnsi="Arial" w:cs="Arial"/>
                <w:i/>
                <w:sz w:val="16"/>
                <w:szCs w:val="16"/>
              </w:rPr>
              <w:t>ControlResourceSet</w:t>
            </w:r>
            <w:r w:rsidRPr="00B26B05">
              <w:rPr>
                <w:rFonts w:ascii="Arial" w:hAnsi="Arial" w:cs="Arial"/>
                <w:sz w:val="16"/>
                <w:szCs w:val="16"/>
              </w:rPr>
              <w:t xml:space="preserve"> for the active BWP of a serving cell and PDCCHs that schedule two </w:t>
            </w:r>
            <w:r w:rsidRPr="00B26B05">
              <w:rPr>
                <w:rFonts w:ascii="Arial" w:hAnsi="Arial" w:cs="Arial"/>
                <w:strike/>
                <w:color w:val="FF0000"/>
                <w:sz w:val="16"/>
                <w:szCs w:val="16"/>
              </w:rPr>
              <w:t>non-overlapping in time domain</w:t>
            </w:r>
            <w:r w:rsidRPr="00B26B05">
              <w:rPr>
                <w:rFonts w:ascii="Arial" w:hAnsi="Arial" w:cs="Arial"/>
                <w:sz w:val="16"/>
                <w:szCs w:val="16"/>
              </w:rPr>
              <w:t xml:space="preserve"> PUSCHs are associated to different </w:t>
            </w:r>
            <w:r w:rsidRPr="00B26B05">
              <w:rPr>
                <w:rFonts w:ascii="Arial" w:hAnsi="Arial" w:cs="Arial"/>
                <w:i/>
                <w:sz w:val="16"/>
                <w:szCs w:val="16"/>
              </w:rPr>
              <w:t>ControlResourceSets</w:t>
            </w:r>
            <w:r w:rsidRPr="00B26B05">
              <w:rPr>
                <w:rFonts w:ascii="Arial" w:hAnsi="Arial" w:cs="Arial"/>
                <w:sz w:val="16"/>
                <w:szCs w:val="16"/>
              </w:rPr>
              <w:t xml:space="preserve"> having different values of </w:t>
            </w:r>
            <w:r w:rsidRPr="00B26B05">
              <w:rPr>
                <w:rFonts w:ascii="Arial" w:hAnsi="Arial" w:cs="Arial"/>
                <w:i/>
                <w:sz w:val="16"/>
                <w:szCs w:val="16"/>
              </w:rPr>
              <w:t>coresetPoolIndex</w:t>
            </w:r>
            <w:r w:rsidRPr="00B26B05">
              <w:rPr>
                <w:rFonts w:ascii="Arial" w:hAnsi="Arial" w:cs="Arial"/>
                <w:i/>
                <w:sz w:val="16"/>
                <w:szCs w:val="16"/>
                <w:lang w:eastAsia="zh-CN"/>
              </w:rPr>
              <w:t xml:space="preserve">, </w:t>
            </w:r>
            <w:r w:rsidRPr="00B26B05">
              <w:rPr>
                <w:rFonts w:ascii="Arial" w:hAnsi="Arial" w:cs="Arial"/>
                <w:sz w:val="16"/>
                <w:szCs w:val="16"/>
                <w:lang w:eastAsia="zh-CN"/>
              </w:rPr>
              <w:t>f</w:t>
            </w:r>
            <w:r w:rsidRPr="00B26B05">
              <w:rPr>
                <w:rFonts w:ascii="Arial" w:hAnsi="Arial" w:cs="Arial"/>
                <w:sz w:val="16"/>
                <w:szCs w:val="16"/>
              </w:rPr>
              <w:t xml:space="preserve">or any two HARQ process IDs  in a given scheduled cell, if the UE is scheduled to start a first PUSCH transmission starting in symbol </w:t>
            </w:r>
            <w:r w:rsidRPr="00B26B05">
              <w:rPr>
                <w:rFonts w:ascii="Arial" w:hAnsi="Arial" w:cs="Arial"/>
                <w:i/>
                <w:sz w:val="16"/>
                <w:szCs w:val="16"/>
              </w:rPr>
              <w:t>j</w:t>
            </w:r>
            <w:r w:rsidRPr="00B26B05">
              <w:rPr>
                <w:rFonts w:ascii="Arial" w:hAnsi="Arial" w:cs="Arial"/>
                <w:sz w:val="16"/>
                <w:szCs w:val="16"/>
              </w:rPr>
              <w:t xml:space="preserve"> by a PDCCH associated with a value of </w:t>
            </w:r>
            <w:r w:rsidRPr="00B26B05">
              <w:rPr>
                <w:rFonts w:ascii="Arial" w:hAnsi="Arial" w:cs="Arial"/>
                <w:i/>
                <w:sz w:val="16"/>
                <w:szCs w:val="16"/>
              </w:rPr>
              <w:t>coresetPoolIndex</w:t>
            </w:r>
            <w:r w:rsidRPr="00B26B05">
              <w:rPr>
                <w:rFonts w:ascii="Arial" w:hAnsi="Arial" w:cs="Arial"/>
                <w:sz w:val="16"/>
                <w:szCs w:val="16"/>
              </w:rPr>
              <w:t xml:space="preserve"> ending in symbol </w:t>
            </w:r>
            <w:r w:rsidRPr="00B26B05">
              <w:rPr>
                <w:rFonts w:ascii="Arial" w:hAnsi="Arial" w:cs="Arial"/>
                <w:i/>
                <w:sz w:val="16"/>
                <w:szCs w:val="16"/>
              </w:rPr>
              <w:t>i</w:t>
            </w:r>
            <w:r w:rsidRPr="00B26B05">
              <w:rPr>
                <w:rFonts w:ascii="Arial" w:hAnsi="Arial" w:cs="Arial"/>
                <w:sz w:val="16"/>
                <w:szCs w:val="16"/>
              </w:rPr>
              <w:t xml:space="preserve">, the UE can be scheduled to transmit a PUSCH starting earlier than the end of the first PUSCH by a PDCCH associated with a different value of </w:t>
            </w:r>
            <w:r w:rsidRPr="00B26B05">
              <w:rPr>
                <w:rFonts w:ascii="Arial" w:hAnsi="Arial" w:cs="Arial"/>
                <w:i/>
                <w:sz w:val="16"/>
                <w:szCs w:val="16"/>
              </w:rPr>
              <w:t>coresetPoolIndex</w:t>
            </w:r>
            <w:r w:rsidRPr="00B26B05">
              <w:rPr>
                <w:rFonts w:ascii="Arial" w:hAnsi="Arial" w:cs="Arial"/>
                <w:sz w:val="16"/>
                <w:szCs w:val="16"/>
              </w:rPr>
              <w:t xml:space="preserve"> that ends later than symbol </w:t>
            </w:r>
            <w:r w:rsidRPr="00B26B05">
              <w:rPr>
                <w:rFonts w:ascii="Arial" w:hAnsi="Arial" w:cs="Arial"/>
                <w:i/>
                <w:sz w:val="16"/>
                <w:szCs w:val="16"/>
              </w:rPr>
              <w:t>i</w:t>
            </w:r>
            <w:r w:rsidRPr="00B26B05">
              <w:rPr>
                <w:rFonts w:ascii="Arial" w:hAnsi="Arial" w:cs="Arial"/>
                <w:sz w:val="16"/>
                <w:szCs w:val="16"/>
              </w:rPr>
              <w:t xml:space="preserve">. </w:t>
            </w:r>
          </w:p>
          <w:p w14:paraId="35930102" w14:textId="216EB89D" w:rsidR="006A1690" w:rsidRPr="00B26B05" w:rsidRDefault="006A1690" w:rsidP="00B26B05">
            <w:pPr>
              <w:jc w:val="center"/>
              <w:rPr>
                <w:rFonts w:ascii="Arial" w:hAnsi="Arial" w:cs="Arial"/>
                <w:bCs/>
                <w:sz w:val="16"/>
                <w:szCs w:val="16"/>
              </w:rPr>
            </w:pPr>
            <w:r w:rsidRPr="00B26B05">
              <w:rPr>
                <w:rFonts w:ascii="Arial" w:hAnsi="Arial" w:cs="Arial"/>
                <w:color w:val="FF0000"/>
                <w:sz w:val="16"/>
                <w:szCs w:val="16"/>
                <w:lang w:eastAsia="zh-CN"/>
              </w:rPr>
              <w:t>&lt;Unchanged parts are omitted&gt;</w:t>
            </w:r>
          </w:p>
        </w:tc>
      </w:tr>
    </w:tbl>
    <w:p w14:paraId="27F84512" w14:textId="77777777" w:rsidR="006A1690" w:rsidRDefault="006A1690" w:rsidP="00B26B05"/>
    <w:p w14:paraId="69F7487E" w14:textId="77777777" w:rsidR="00B26B05" w:rsidRPr="009E07E2" w:rsidRDefault="00B26B05" w:rsidP="00B26B05">
      <w:pPr>
        <w:rPr>
          <w:rFonts w:ascii="Times New Roman" w:hAnsi="Times New Roman"/>
          <w:highlight w:val="green"/>
          <w:lang w:eastAsia="x-none"/>
        </w:rPr>
      </w:pPr>
      <w:r w:rsidRPr="009E07E2">
        <w:rPr>
          <w:rFonts w:ascii="Times New Roman" w:hAnsi="Times New Roman"/>
          <w:highlight w:val="green"/>
          <w:lang w:eastAsia="x-none"/>
        </w:rPr>
        <w:t>Agreement</w:t>
      </w:r>
    </w:p>
    <w:p w14:paraId="6E2DCDEA" w14:textId="77777777" w:rsidR="006A1690" w:rsidRDefault="006A1690" w:rsidP="00B26B05">
      <w:pPr>
        <w:rPr>
          <w:rFonts w:eastAsia="DengXian"/>
          <w:szCs w:val="20"/>
          <w:lang w:eastAsia="zh-CN"/>
        </w:rPr>
      </w:pPr>
      <w:r>
        <w:rPr>
          <w:rFonts w:eastAsia="DengXian"/>
          <w:szCs w:val="20"/>
          <w:lang w:eastAsia="zh-CN"/>
        </w:rPr>
        <w:t>For SDM and SFN STxMP operation:</w:t>
      </w:r>
    </w:p>
    <w:p w14:paraId="6E417826" w14:textId="77777777" w:rsidR="006A1690" w:rsidRPr="00836B4A" w:rsidRDefault="006A1690" w:rsidP="00A67145">
      <w:pPr>
        <w:pStyle w:val="ListParagraph"/>
        <w:numPr>
          <w:ilvl w:val="0"/>
          <w:numId w:val="194"/>
        </w:numPr>
        <w:rPr>
          <w:rFonts w:eastAsia="DengXian"/>
          <w:lang w:eastAsia="zh-CN"/>
        </w:rPr>
      </w:pPr>
      <w:r w:rsidRPr="00836B4A">
        <w:t>For codebook-based transmission, the UE shall expect that</w:t>
      </w:r>
      <w:r w:rsidRPr="00836B4A">
        <w:rPr>
          <w:lang w:eastAsia="zh-CN"/>
        </w:rPr>
        <w:t xml:space="preserve"> the </w:t>
      </w:r>
      <w:r w:rsidRPr="00836B4A">
        <w:rPr>
          <w:rFonts w:eastAsia="DengXian"/>
          <w:lang w:val="en-CA" w:eastAsia="zh-CN"/>
        </w:rPr>
        <w:t>precoder indicated by the first TPMI and the precoder indicated by the second TPMI are mapped to different PUSCH antenna ports.</w:t>
      </w:r>
    </w:p>
    <w:p w14:paraId="60AB4A9B" w14:textId="77777777" w:rsidR="006A1690" w:rsidRPr="00836B4A" w:rsidRDefault="006A1690" w:rsidP="00A67145">
      <w:pPr>
        <w:pStyle w:val="ListParagraph"/>
        <w:numPr>
          <w:ilvl w:val="0"/>
          <w:numId w:val="194"/>
        </w:numPr>
        <w:rPr>
          <w:rFonts w:eastAsia="DengXian"/>
          <w:lang w:eastAsia="zh-CN"/>
        </w:rPr>
      </w:pPr>
      <w:r w:rsidRPr="00836B4A">
        <w:rPr>
          <w:lang w:eastAsia="zh-CN"/>
        </w:rPr>
        <w:t>For non-codebook based transmission, the UE shall expect that SRS resource(s) indicated by the first SRI and SRS resource(s) indicated by the second SRI are corresponding to different PUSCH antenna ports.</w:t>
      </w:r>
    </w:p>
    <w:p w14:paraId="2659FF71" w14:textId="77777777" w:rsidR="006A1690" w:rsidRDefault="006A1690" w:rsidP="00B26B05">
      <w:pPr>
        <w:rPr>
          <w:rFonts w:eastAsia="DengXian"/>
          <w:szCs w:val="20"/>
          <w:lang w:eastAsia="zh-CN"/>
        </w:rPr>
      </w:pPr>
      <w:r>
        <w:rPr>
          <w:rFonts w:eastAsia="DengXian"/>
          <w:szCs w:val="20"/>
          <w:lang w:eastAsia="zh-CN"/>
        </w:rPr>
        <w:t xml:space="preserve">Note: No PUSCH precoder modification and/or PUSCH/SRS port re-indexing in the specification is expected. </w:t>
      </w:r>
    </w:p>
    <w:p w14:paraId="65A95170" w14:textId="77777777" w:rsidR="006A1690" w:rsidRDefault="006A1690" w:rsidP="00B26B05">
      <w:pPr>
        <w:rPr>
          <w:rFonts w:eastAsia="DengXian"/>
          <w:szCs w:val="20"/>
          <w:lang w:val="en-US"/>
        </w:rPr>
      </w:pPr>
      <w:r>
        <w:rPr>
          <w:rFonts w:eastAsia="DengXian"/>
          <w:lang w:val="en-US"/>
        </w:rPr>
        <w:t>Adopt the following TP for 38.214:</w:t>
      </w:r>
    </w:p>
    <w:p w14:paraId="2BA62927" w14:textId="77777777" w:rsidR="006A1690" w:rsidRPr="00836B4A" w:rsidRDefault="006A1690" w:rsidP="00A67145">
      <w:pPr>
        <w:pStyle w:val="ListParagraph"/>
        <w:numPr>
          <w:ilvl w:val="0"/>
          <w:numId w:val="195"/>
        </w:numPr>
      </w:pPr>
      <w:r w:rsidRPr="00836B4A">
        <w:rPr>
          <w:b/>
          <w:bCs/>
        </w:rPr>
        <w:t>Reason for change:</w:t>
      </w:r>
      <w:r w:rsidRPr="00836B4A">
        <w:t xml:space="preserve"> In the current specifications, the precoder matrix </w:t>
      </w:r>
      <w:r w:rsidRPr="00836B4A">
        <w:rPr>
          <w:i/>
          <w:iCs/>
        </w:rPr>
        <w:t xml:space="preserve">W </w:t>
      </w:r>
      <w:r w:rsidRPr="00836B4A">
        <w:t>might be interpreted as different expressions of single DCI based STxMP PUSCH transmission in SDM/SFN scheme, which may cause ambiguity of how to apply precoding processing between UE side and gNB side.</w:t>
      </w:r>
    </w:p>
    <w:p w14:paraId="2085937D" w14:textId="77777777" w:rsidR="006A1690" w:rsidRPr="00836B4A" w:rsidRDefault="006A1690" w:rsidP="00A67145">
      <w:pPr>
        <w:pStyle w:val="ListParagraph"/>
        <w:numPr>
          <w:ilvl w:val="0"/>
          <w:numId w:val="195"/>
        </w:numPr>
      </w:pPr>
      <w:r w:rsidRPr="00836B4A">
        <w:rPr>
          <w:b/>
          <w:bCs/>
        </w:rPr>
        <w:t xml:space="preserve">Summary of change: </w:t>
      </w:r>
      <w:r w:rsidRPr="00836B4A">
        <w:t>Add text in specification to</w:t>
      </w:r>
      <w:r w:rsidRPr="00836B4A">
        <w:rPr>
          <w:rFonts w:cs="Times"/>
        </w:rPr>
        <w:t xml:space="preserve"> clearly clarify that </w:t>
      </w:r>
      <w:r w:rsidRPr="00836B4A">
        <w:rPr>
          <w:rFonts w:cs="Times"/>
          <w:lang w:eastAsia="zh-CN"/>
        </w:rPr>
        <w:t xml:space="preserve">that the precoder indicated by the first TPMI/SRI and the precoder indicated by the second TPMI/SRI are </w:t>
      </w:r>
      <w:r w:rsidRPr="00836B4A">
        <w:t xml:space="preserve">applied to different PUSCH antenna ports for </w:t>
      </w:r>
      <w:r w:rsidRPr="00836B4A">
        <w:rPr>
          <w:rFonts w:cs="Times"/>
        </w:rPr>
        <w:t xml:space="preserve">single DCI based </w:t>
      </w:r>
      <w:r w:rsidRPr="00836B4A">
        <w:t>STxMP CB/NCB PUSCH in SDM/SFN scheme.</w:t>
      </w:r>
    </w:p>
    <w:p w14:paraId="3F77DF7A" w14:textId="77777777" w:rsidR="006A1690" w:rsidRPr="00836B4A" w:rsidRDefault="006A1690" w:rsidP="00A67145">
      <w:pPr>
        <w:pStyle w:val="ListParagraph"/>
        <w:numPr>
          <w:ilvl w:val="0"/>
          <w:numId w:val="195"/>
        </w:numPr>
        <w:rPr>
          <w:rFonts w:cs="Times"/>
          <w:bCs/>
        </w:rPr>
      </w:pPr>
      <w:r w:rsidRPr="00836B4A">
        <w:rPr>
          <w:b/>
          <w:bCs/>
        </w:rPr>
        <w:t>Consequences if not approved:</w:t>
      </w:r>
      <w:r w:rsidRPr="00836B4A">
        <w:t xml:space="preserve"> </w:t>
      </w:r>
      <w:r w:rsidRPr="00836B4A">
        <w:rPr>
          <w:rFonts w:cs="Times"/>
        </w:rPr>
        <w:t>Specification has ambiguity on how to apply the precoding of single DCI based STxMP CB/NCB PUSCH transmission in SDM/SFN scheme</w:t>
      </w:r>
      <w:r w:rsidRPr="00836B4A">
        <w:rPr>
          <w:rFonts w:cs="Times"/>
          <w:bCs/>
        </w:rPr>
        <w:t>.</w:t>
      </w:r>
    </w:p>
    <w:tbl>
      <w:tblPr>
        <w:tblW w:w="5000" w:type="pct"/>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0683"/>
      </w:tblGrid>
      <w:tr w:rsidR="006A1690" w:rsidRPr="00836B4A" w14:paraId="35BF76CC" w14:textId="77777777" w:rsidTr="00836B4A">
        <w:tc>
          <w:tcPr>
            <w:tcW w:w="5000" w:type="pct"/>
            <w:tcBorders>
              <w:top w:val="double" w:sz="4" w:space="0" w:color="A5A5A5"/>
              <w:left w:val="double" w:sz="4" w:space="0" w:color="A5A5A5"/>
              <w:bottom w:val="double" w:sz="4" w:space="0" w:color="A5A5A5"/>
              <w:right w:val="double" w:sz="4" w:space="0" w:color="A5A5A5"/>
            </w:tcBorders>
          </w:tcPr>
          <w:p w14:paraId="4A66051C" w14:textId="77777777" w:rsidR="006A1690" w:rsidRPr="00836B4A" w:rsidRDefault="006A1690" w:rsidP="00836B4A">
            <w:pPr>
              <w:rPr>
                <w:rFonts w:ascii="Arial" w:hAnsi="Arial" w:cs="Arial"/>
                <w:b/>
                <w:bCs/>
                <w:sz w:val="16"/>
                <w:szCs w:val="16"/>
                <w:lang w:val="en-US"/>
              </w:rPr>
            </w:pPr>
            <w:r w:rsidRPr="00836B4A">
              <w:rPr>
                <w:rFonts w:ascii="Arial" w:hAnsi="Arial" w:cs="Arial"/>
                <w:b/>
                <w:bCs/>
                <w:sz w:val="16"/>
                <w:szCs w:val="16"/>
                <w:lang w:val="en-US"/>
              </w:rPr>
              <w:t>6.1.1.1</w:t>
            </w:r>
            <w:r w:rsidRPr="00836B4A">
              <w:rPr>
                <w:rFonts w:ascii="Arial" w:hAnsi="Arial" w:cs="Arial"/>
                <w:b/>
                <w:bCs/>
                <w:sz w:val="16"/>
                <w:szCs w:val="16"/>
                <w:lang w:val="en-US"/>
              </w:rPr>
              <w:tab/>
              <w:t>Codebook based UL transmission</w:t>
            </w:r>
          </w:p>
          <w:p w14:paraId="46DEDB10" w14:textId="77777777" w:rsidR="006A1690" w:rsidRPr="00836B4A" w:rsidRDefault="006A1690" w:rsidP="00836B4A">
            <w:pPr>
              <w:jc w:val="center"/>
              <w:rPr>
                <w:rFonts w:ascii="Arial" w:hAnsi="Arial" w:cs="Arial"/>
                <w:color w:val="FF0000"/>
                <w:sz w:val="16"/>
                <w:szCs w:val="16"/>
                <w:lang w:eastAsia="zh-CN"/>
              </w:rPr>
            </w:pPr>
            <w:r w:rsidRPr="00836B4A">
              <w:rPr>
                <w:rFonts w:ascii="Arial" w:hAnsi="Arial" w:cs="Arial"/>
                <w:color w:val="FF0000"/>
                <w:sz w:val="16"/>
                <w:szCs w:val="16"/>
                <w:lang w:eastAsia="zh-CN"/>
              </w:rPr>
              <w:t>&lt;Unchanged parts are omitted&gt;</w:t>
            </w:r>
          </w:p>
          <w:p w14:paraId="6E86D11F" w14:textId="77777777" w:rsidR="006A1690" w:rsidRPr="00836B4A" w:rsidRDefault="006A1690" w:rsidP="00836B4A">
            <w:pPr>
              <w:rPr>
                <w:rFonts w:ascii="Arial" w:hAnsi="Arial" w:cs="Arial"/>
                <w:color w:val="000000"/>
                <w:sz w:val="16"/>
                <w:szCs w:val="16"/>
              </w:rPr>
            </w:pPr>
            <w:r w:rsidRPr="00836B4A">
              <w:rPr>
                <w:rFonts w:ascii="Arial" w:hAnsi="Arial" w:cs="Arial"/>
                <w:color w:val="000000"/>
                <w:sz w:val="16"/>
                <w:szCs w:val="16"/>
              </w:rPr>
              <w:t xml:space="preserve">When the </w:t>
            </w:r>
            <w:r w:rsidRPr="00836B4A">
              <w:rPr>
                <w:rFonts w:ascii="Arial" w:hAnsi="Arial" w:cs="Arial"/>
                <w:sz w:val="16"/>
                <w:szCs w:val="16"/>
              </w:rPr>
              <w:t xml:space="preserve">higher layer parameter </w:t>
            </w:r>
            <w:r w:rsidRPr="00836B4A">
              <w:rPr>
                <w:rFonts w:ascii="Arial" w:hAnsi="Arial" w:cs="Arial"/>
                <w:i/>
                <w:iCs/>
                <w:sz w:val="16"/>
                <w:szCs w:val="16"/>
              </w:rPr>
              <w:t>multipanelScheme</w:t>
            </w:r>
            <w:r w:rsidRPr="00836B4A">
              <w:rPr>
                <w:rFonts w:ascii="Arial" w:hAnsi="Arial" w:cs="Arial"/>
                <w:sz w:val="16"/>
                <w:szCs w:val="16"/>
              </w:rPr>
              <w:t xml:space="preserve"> is set to 'SDMScheme' and </w:t>
            </w:r>
            <w:r w:rsidRPr="00836B4A">
              <w:rPr>
                <w:rFonts w:ascii="Arial" w:hAnsi="Arial" w:cs="Arial"/>
                <w:color w:val="000000"/>
                <w:sz w:val="16"/>
                <w:szCs w:val="16"/>
              </w:rPr>
              <w:t xml:space="preserve">two SRS resource sets are configured in </w:t>
            </w:r>
            <w:r w:rsidRPr="00836B4A">
              <w:rPr>
                <w:rFonts w:ascii="Arial" w:hAnsi="Arial" w:cs="Arial"/>
                <w:i/>
                <w:color w:val="000000"/>
                <w:sz w:val="16"/>
                <w:szCs w:val="16"/>
              </w:rPr>
              <w:t>srs-ResourceSetToAddModList</w:t>
            </w:r>
            <w:r w:rsidRPr="00836B4A">
              <w:rPr>
                <w:rFonts w:ascii="Arial" w:hAnsi="Arial" w:cs="Arial"/>
                <w:color w:val="000000"/>
                <w:sz w:val="16"/>
                <w:szCs w:val="16"/>
              </w:rPr>
              <w:t xml:space="preserve"> or </w:t>
            </w:r>
            <w:r w:rsidRPr="00836B4A">
              <w:rPr>
                <w:rFonts w:ascii="Arial" w:hAnsi="Arial" w:cs="Arial"/>
                <w:i/>
                <w:color w:val="000000"/>
                <w:sz w:val="16"/>
                <w:szCs w:val="16"/>
              </w:rPr>
              <w:t xml:space="preserve">srs-ResourceSetToAddModListDCI-0-2 </w:t>
            </w:r>
            <w:r w:rsidRPr="00836B4A">
              <w:rPr>
                <w:rFonts w:ascii="Arial" w:hAnsi="Arial" w:cs="Arial"/>
                <w:color w:val="000000"/>
                <w:sz w:val="16"/>
                <w:szCs w:val="16"/>
              </w:rPr>
              <w:t xml:space="preserve">with higher layer parameter </w:t>
            </w:r>
            <w:r w:rsidRPr="00836B4A">
              <w:rPr>
                <w:rFonts w:ascii="Arial" w:hAnsi="Arial" w:cs="Arial"/>
                <w:i/>
                <w:color w:val="000000"/>
                <w:sz w:val="16"/>
                <w:szCs w:val="16"/>
              </w:rPr>
              <w:t xml:space="preserve">usage </w:t>
            </w:r>
            <w:r w:rsidRPr="00836B4A">
              <w:rPr>
                <w:rFonts w:ascii="Arial" w:hAnsi="Arial" w:cs="Arial"/>
                <w:color w:val="000000"/>
                <w:sz w:val="16"/>
                <w:szCs w:val="16"/>
              </w:rPr>
              <w:t xml:space="preserve">in </w:t>
            </w:r>
            <w:r w:rsidRPr="00836B4A">
              <w:rPr>
                <w:rFonts w:ascii="Arial" w:hAnsi="Arial" w:cs="Arial"/>
                <w:i/>
                <w:color w:val="000000"/>
                <w:sz w:val="16"/>
                <w:szCs w:val="16"/>
              </w:rPr>
              <w:t>SRS-ResourceSet</w:t>
            </w:r>
            <w:r w:rsidRPr="00836B4A">
              <w:rPr>
                <w:rFonts w:ascii="Arial" w:hAnsi="Arial" w:cs="Arial"/>
                <w:color w:val="000000"/>
                <w:sz w:val="16"/>
                <w:szCs w:val="16"/>
              </w:rPr>
              <w:t xml:space="preserve"> set to 'codebook', two SRI(s), and two TPMI(s) are given by the DCI fields of two SRS resource indicator and two Precoding information and number of layers in clause 7.3.1.1.2 and 7.3.1.1.3 of [5, TS 38.212] for DCI format 0_1 and 0_2: </w:t>
            </w:r>
          </w:p>
          <w:p w14:paraId="45118A12" w14:textId="77777777" w:rsidR="006A1690" w:rsidRPr="00836B4A" w:rsidRDefault="006A1690" w:rsidP="00836B4A">
            <w:pPr>
              <w:pStyle w:val="B1"/>
              <w:spacing w:after="0"/>
              <w:rPr>
                <w:rFonts w:ascii="Arial" w:hAnsi="Arial" w:cs="Arial"/>
                <w:sz w:val="16"/>
                <w:szCs w:val="16"/>
              </w:rPr>
            </w:pPr>
            <w:r w:rsidRPr="00836B4A">
              <w:rPr>
                <w:rFonts w:ascii="Arial" w:hAnsi="Arial" w:cs="Arial"/>
                <w:sz w:val="16"/>
                <w:szCs w:val="16"/>
              </w:rPr>
              <w:t>-</w:t>
            </w:r>
            <w:r w:rsidRPr="00836B4A">
              <w:rPr>
                <w:rFonts w:ascii="Arial" w:hAnsi="Arial" w:cs="Arial"/>
                <w:sz w:val="16"/>
                <w:szCs w:val="16"/>
              </w:rPr>
              <w:tab/>
              <w:t xml:space="preserve">When codepoint "10"  of </w:t>
            </w:r>
            <w:r w:rsidRPr="00836B4A">
              <w:rPr>
                <w:rFonts w:ascii="Arial" w:hAnsi="Arial" w:cs="Arial"/>
                <w:i/>
                <w:sz w:val="16"/>
                <w:szCs w:val="16"/>
              </w:rPr>
              <w:t>SRS Resource Set</w:t>
            </w:r>
            <w:r w:rsidRPr="00836B4A">
              <w:rPr>
                <w:rFonts w:ascii="Arial" w:hAnsi="Arial" w:cs="Arial"/>
                <w:sz w:val="16"/>
                <w:szCs w:val="16"/>
              </w:rPr>
              <w:t xml:space="preserve"> </w:t>
            </w:r>
            <w:r w:rsidRPr="00836B4A">
              <w:rPr>
                <w:rFonts w:ascii="Arial" w:hAnsi="Arial" w:cs="Arial"/>
                <w:i/>
                <w:iCs/>
                <w:sz w:val="16"/>
                <w:szCs w:val="16"/>
              </w:rPr>
              <w:t xml:space="preserve">indicator </w:t>
            </w:r>
            <w:r w:rsidRPr="00836B4A">
              <w:rPr>
                <w:rFonts w:ascii="Arial" w:hAnsi="Arial" w:cs="Arial"/>
                <w:sz w:val="16"/>
                <w:szCs w:val="16"/>
              </w:rPr>
              <w:t>is indicated</w:t>
            </w:r>
            <w:r w:rsidRPr="00836B4A">
              <w:rPr>
                <w:rFonts w:ascii="Arial" w:hAnsi="Arial" w:cs="Arial"/>
                <w:i/>
                <w:sz w:val="16"/>
                <w:szCs w:val="16"/>
              </w:rPr>
              <w:t>,</w:t>
            </w:r>
            <w:r w:rsidRPr="00836B4A">
              <w:rPr>
                <w:rFonts w:ascii="Arial" w:hAnsi="Arial" w:cs="Arial"/>
                <w:sz w:val="16"/>
                <w:szCs w:val="16"/>
              </w:rPr>
              <w:t xml:space="preserve"> the first TPMI is used to indicate the precoder to be applied over layers {0…v</w:t>
            </w:r>
            <w:r w:rsidRPr="00836B4A">
              <w:rPr>
                <w:rFonts w:ascii="Arial" w:hAnsi="Arial" w:cs="Arial"/>
                <w:sz w:val="16"/>
                <w:szCs w:val="16"/>
                <w:vertAlign w:val="subscript"/>
              </w:rPr>
              <w:t>1</w:t>
            </w:r>
            <w:r w:rsidRPr="00836B4A">
              <w:rPr>
                <w:rFonts w:ascii="Arial" w:hAnsi="Arial" w:cs="Arial"/>
                <w:sz w:val="16"/>
                <w:szCs w:val="16"/>
              </w:rPr>
              <w:t>-1}, where v</w:t>
            </w:r>
            <w:r w:rsidRPr="00836B4A">
              <w:rPr>
                <w:rFonts w:ascii="Arial" w:hAnsi="Arial" w:cs="Arial"/>
                <w:sz w:val="16"/>
                <w:szCs w:val="16"/>
                <w:vertAlign w:val="subscript"/>
              </w:rPr>
              <w:t>1</w:t>
            </w:r>
            <w:r w:rsidRPr="00836B4A">
              <w:rPr>
                <w:rFonts w:ascii="Arial" w:hAnsi="Arial" w:cs="Arial"/>
                <w:sz w:val="16"/>
                <w:szCs w:val="16"/>
              </w:rPr>
              <w:t xml:space="preserve"> is the number of layers indicated by the first TPMI, that corresponds to the SRS resource selected by the corresponding SRI when multiple SRS resources are configured for the applicable SRS resource set or if single SRS resource is configured for the applicable SRS resource set, and the second TPMI is used to indicate the precoder to be applied over layers {v</w:t>
            </w:r>
            <w:r w:rsidRPr="00836B4A">
              <w:rPr>
                <w:rFonts w:ascii="Arial" w:hAnsi="Arial" w:cs="Arial"/>
                <w:sz w:val="16"/>
                <w:szCs w:val="16"/>
                <w:vertAlign w:val="subscript"/>
              </w:rPr>
              <w:t>1</w:t>
            </w:r>
            <w:r w:rsidRPr="00836B4A">
              <w:rPr>
                <w:rFonts w:ascii="Arial" w:hAnsi="Arial" w:cs="Arial"/>
                <w:sz w:val="16"/>
                <w:szCs w:val="16"/>
              </w:rPr>
              <w:t>…. v</w:t>
            </w:r>
            <w:r w:rsidRPr="00836B4A">
              <w:rPr>
                <w:rFonts w:ascii="Arial" w:hAnsi="Arial" w:cs="Arial"/>
                <w:sz w:val="16"/>
                <w:szCs w:val="16"/>
                <w:vertAlign w:val="subscript"/>
              </w:rPr>
              <w:t>2</w:t>
            </w:r>
            <w:r w:rsidRPr="00836B4A">
              <w:rPr>
                <w:rFonts w:ascii="Arial" w:hAnsi="Arial" w:cs="Arial"/>
                <w:sz w:val="16"/>
                <w:szCs w:val="16"/>
              </w:rPr>
              <w:t>+v</w:t>
            </w:r>
            <w:r w:rsidRPr="00836B4A">
              <w:rPr>
                <w:rFonts w:ascii="Arial" w:hAnsi="Arial" w:cs="Arial"/>
                <w:sz w:val="16"/>
                <w:szCs w:val="16"/>
                <w:vertAlign w:val="subscript"/>
              </w:rPr>
              <w:t>1</w:t>
            </w:r>
            <w:r w:rsidRPr="00836B4A">
              <w:rPr>
                <w:rFonts w:ascii="Arial" w:hAnsi="Arial" w:cs="Arial"/>
                <w:sz w:val="16"/>
                <w:szCs w:val="16"/>
              </w:rPr>
              <w:t>-1}, where v</w:t>
            </w:r>
            <w:r w:rsidRPr="00836B4A">
              <w:rPr>
                <w:rFonts w:ascii="Arial" w:hAnsi="Arial" w:cs="Arial"/>
                <w:sz w:val="16"/>
                <w:szCs w:val="16"/>
                <w:vertAlign w:val="subscript"/>
              </w:rPr>
              <w:t xml:space="preserve">2 </w:t>
            </w:r>
            <w:r w:rsidRPr="00836B4A">
              <w:rPr>
                <w:rFonts w:ascii="Arial" w:hAnsi="Arial" w:cs="Arial"/>
                <w:sz w:val="16"/>
                <w:szCs w:val="16"/>
              </w:rPr>
              <w:t>is the number of layers indicated by the second TPMI, that corresponds to the SRS resource selected by the corresponding SRI when multiple SRS resources are configured for the applicable SRS resource set or if single SRS resource is configured for the applicable SRS resource set, v</w:t>
            </w:r>
            <w:r w:rsidRPr="00836B4A">
              <w:rPr>
                <w:rFonts w:ascii="Arial" w:hAnsi="Arial" w:cs="Arial"/>
                <w:sz w:val="16"/>
                <w:szCs w:val="16"/>
                <w:vertAlign w:val="subscript"/>
              </w:rPr>
              <w:t>1</w:t>
            </w:r>
            <w:r w:rsidRPr="00836B4A">
              <w:rPr>
                <w:rFonts w:ascii="Arial" w:hAnsi="Arial" w:cs="Arial"/>
                <w:sz w:val="16"/>
                <w:szCs w:val="16"/>
              </w:rPr>
              <w:t xml:space="preserve"> ≤ </w:t>
            </w:r>
            <w:r w:rsidRPr="00836B4A">
              <w:rPr>
                <w:rFonts w:ascii="Arial" w:hAnsi="Arial" w:cs="Arial"/>
                <w:i/>
                <w:iCs/>
                <w:sz w:val="16"/>
                <w:szCs w:val="16"/>
              </w:rPr>
              <w:t xml:space="preserve">maxRankSdm </w:t>
            </w:r>
            <w:r w:rsidRPr="00836B4A">
              <w:rPr>
                <w:rFonts w:ascii="Arial" w:hAnsi="Arial" w:cs="Arial"/>
                <w:sz w:val="16"/>
                <w:szCs w:val="16"/>
              </w:rPr>
              <w:t>and</w:t>
            </w:r>
            <w:r w:rsidRPr="00836B4A">
              <w:rPr>
                <w:rFonts w:ascii="Arial" w:hAnsi="Arial" w:cs="Arial"/>
                <w:i/>
                <w:iCs/>
                <w:sz w:val="16"/>
                <w:szCs w:val="16"/>
              </w:rPr>
              <w:t xml:space="preserve"> </w:t>
            </w:r>
            <w:r w:rsidRPr="00836B4A">
              <w:rPr>
                <w:rFonts w:ascii="Arial" w:hAnsi="Arial" w:cs="Arial"/>
                <w:sz w:val="16"/>
                <w:szCs w:val="16"/>
              </w:rPr>
              <w:t>v</w:t>
            </w:r>
            <w:r w:rsidRPr="00836B4A">
              <w:rPr>
                <w:rFonts w:ascii="Arial" w:hAnsi="Arial" w:cs="Arial"/>
                <w:sz w:val="16"/>
                <w:szCs w:val="16"/>
                <w:vertAlign w:val="subscript"/>
              </w:rPr>
              <w:t>2</w:t>
            </w:r>
            <w:r w:rsidRPr="00836B4A">
              <w:rPr>
                <w:rFonts w:ascii="Arial" w:hAnsi="Arial" w:cs="Arial"/>
                <w:sz w:val="16"/>
                <w:szCs w:val="16"/>
              </w:rPr>
              <w:t xml:space="preserve"> ≤ </w:t>
            </w:r>
            <w:r w:rsidRPr="00836B4A">
              <w:rPr>
                <w:rFonts w:ascii="Arial" w:hAnsi="Arial" w:cs="Arial"/>
                <w:i/>
                <w:iCs/>
                <w:sz w:val="16"/>
                <w:szCs w:val="16"/>
              </w:rPr>
              <w:t xml:space="preserve">maxRankSdm </w:t>
            </w:r>
            <w:r w:rsidRPr="00836B4A">
              <w:rPr>
                <w:rFonts w:ascii="Arial" w:hAnsi="Arial" w:cs="Arial"/>
                <w:sz w:val="16"/>
                <w:szCs w:val="16"/>
              </w:rPr>
              <w:t>or</w:t>
            </w:r>
            <w:r w:rsidRPr="00836B4A">
              <w:rPr>
                <w:rFonts w:ascii="Arial" w:hAnsi="Arial" w:cs="Arial"/>
                <w:i/>
                <w:iCs/>
                <w:sz w:val="16"/>
                <w:szCs w:val="16"/>
              </w:rPr>
              <w:t xml:space="preserve"> maxRankSdmDCI-0-2</w:t>
            </w:r>
            <w:r w:rsidRPr="00836B4A">
              <w:rPr>
                <w:rFonts w:ascii="Arial" w:hAnsi="Arial" w:cs="Arial"/>
                <w:sz w:val="16"/>
                <w:szCs w:val="16"/>
              </w:rPr>
              <w:t xml:space="preserve"> and </w:t>
            </w:r>
            <w:r w:rsidRPr="00836B4A">
              <w:rPr>
                <w:rFonts w:ascii="Arial" w:hAnsi="Arial" w:cs="Arial"/>
                <w:i/>
                <w:iCs/>
                <w:sz w:val="16"/>
                <w:szCs w:val="16"/>
              </w:rPr>
              <w:t xml:space="preserve">maxRankSdm </w:t>
            </w:r>
            <w:r w:rsidRPr="00836B4A">
              <w:rPr>
                <w:rFonts w:ascii="Arial" w:hAnsi="Arial" w:cs="Arial"/>
                <w:sz w:val="16"/>
                <w:szCs w:val="16"/>
              </w:rPr>
              <w:t>or</w:t>
            </w:r>
            <w:r w:rsidRPr="00836B4A">
              <w:rPr>
                <w:rFonts w:ascii="Arial" w:hAnsi="Arial" w:cs="Arial"/>
                <w:i/>
                <w:iCs/>
                <w:sz w:val="16"/>
                <w:szCs w:val="16"/>
              </w:rPr>
              <w:t xml:space="preserve"> maxRankSdmDCI-0-2 </w:t>
            </w:r>
            <w:r w:rsidRPr="00836B4A">
              <w:rPr>
                <w:rFonts w:ascii="Arial" w:hAnsi="Arial" w:cs="Arial"/>
                <w:sz w:val="16"/>
                <w:szCs w:val="16"/>
              </w:rPr>
              <w:t xml:space="preserve">are defining the maximum number of layers applied over the first and the second SRS resource sets, separately. </w:t>
            </w:r>
          </w:p>
          <w:p w14:paraId="4CEABF76" w14:textId="77777777" w:rsidR="006A1690" w:rsidRPr="00836B4A" w:rsidRDefault="006A1690" w:rsidP="00836B4A">
            <w:pPr>
              <w:pStyle w:val="B1"/>
              <w:spacing w:after="0"/>
              <w:rPr>
                <w:rFonts w:ascii="Arial" w:hAnsi="Arial" w:cs="Arial"/>
                <w:sz w:val="16"/>
                <w:szCs w:val="16"/>
              </w:rPr>
            </w:pPr>
            <w:r w:rsidRPr="00836B4A">
              <w:rPr>
                <w:rFonts w:ascii="Arial" w:hAnsi="Arial" w:cs="Arial"/>
                <w:sz w:val="16"/>
                <w:szCs w:val="16"/>
              </w:rPr>
              <w:t>-</w:t>
            </w:r>
            <w:r w:rsidRPr="00836B4A">
              <w:rPr>
                <w:rFonts w:ascii="Arial" w:hAnsi="Arial" w:cs="Arial"/>
                <w:sz w:val="16"/>
                <w:szCs w:val="16"/>
              </w:rPr>
              <w:tab/>
              <w:t xml:space="preserve">When codepoint "00" or "01" of </w:t>
            </w:r>
            <w:r w:rsidRPr="00836B4A">
              <w:rPr>
                <w:rFonts w:ascii="Arial" w:hAnsi="Arial" w:cs="Arial"/>
                <w:i/>
                <w:sz w:val="16"/>
                <w:szCs w:val="16"/>
              </w:rPr>
              <w:t>SRS Resource Set</w:t>
            </w:r>
            <w:r w:rsidRPr="00836B4A">
              <w:rPr>
                <w:rFonts w:ascii="Arial" w:hAnsi="Arial" w:cs="Arial"/>
                <w:sz w:val="16"/>
                <w:szCs w:val="16"/>
              </w:rPr>
              <w:t xml:space="preserve"> </w:t>
            </w:r>
            <w:r w:rsidRPr="00836B4A">
              <w:rPr>
                <w:rFonts w:ascii="Arial" w:hAnsi="Arial" w:cs="Arial"/>
                <w:i/>
                <w:iCs/>
                <w:sz w:val="16"/>
                <w:szCs w:val="16"/>
              </w:rPr>
              <w:t xml:space="preserve">indicator </w:t>
            </w:r>
            <w:r w:rsidRPr="00836B4A">
              <w:rPr>
                <w:rFonts w:ascii="Arial" w:hAnsi="Arial" w:cs="Arial"/>
                <w:sz w:val="16"/>
                <w:szCs w:val="16"/>
              </w:rPr>
              <w:t>is indicated</w:t>
            </w:r>
            <w:r w:rsidRPr="00836B4A">
              <w:rPr>
                <w:rFonts w:ascii="Arial" w:hAnsi="Arial" w:cs="Arial"/>
                <w:i/>
                <w:iCs/>
                <w:sz w:val="16"/>
                <w:szCs w:val="16"/>
              </w:rPr>
              <w:t>,</w:t>
            </w:r>
            <w:r w:rsidRPr="00836B4A">
              <w:rPr>
                <w:rFonts w:ascii="Arial" w:hAnsi="Arial" w:cs="Arial"/>
                <w:sz w:val="16"/>
                <w:szCs w:val="16"/>
              </w:rPr>
              <w:t xml:space="preserve"> the second SRI and second TPMI are reserved, the first TPMI is used to indicate the precoder to be applied over layers {0…v-1}, where v ≤ </w:t>
            </w:r>
            <w:r w:rsidRPr="00836B4A">
              <w:rPr>
                <w:rFonts w:ascii="Arial" w:hAnsi="Arial" w:cs="Arial"/>
                <w:i/>
                <w:iCs/>
                <w:sz w:val="16"/>
                <w:szCs w:val="16"/>
              </w:rPr>
              <w:t xml:space="preserve">maxRank, </w:t>
            </w:r>
            <w:r w:rsidRPr="00836B4A">
              <w:rPr>
                <w:rFonts w:ascii="Arial" w:hAnsi="Arial" w:cs="Arial"/>
                <w:sz w:val="16"/>
                <w:szCs w:val="16"/>
              </w:rPr>
              <w:t xml:space="preserve">where </w:t>
            </w:r>
            <w:r w:rsidRPr="00836B4A">
              <w:rPr>
                <w:rFonts w:ascii="Arial" w:hAnsi="Arial" w:cs="Arial"/>
                <w:i/>
                <w:iCs/>
                <w:sz w:val="16"/>
                <w:szCs w:val="16"/>
              </w:rPr>
              <w:t>maxRank</w:t>
            </w:r>
            <w:r w:rsidRPr="00836B4A">
              <w:rPr>
                <w:rFonts w:ascii="Arial" w:hAnsi="Arial" w:cs="Arial"/>
                <w:sz w:val="16"/>
                <w:szCs w:val="16"/>
              </w:rPr>
              <w:t xml:space="preserve"> is defining the maximum number of layers. </w:t>
            </w:r>
          </w:p>
          <w:p w14:paraId="64BFF36C" w14:textId="77777777" w:rsidR="006A1690" w:rsidRPr="00836B4A" w:rsidRDefault="006A1690" w:rsidP="00836B4A">
            <w:pPr>
              <w:pStyle w:val="B1"/>
              <w:spacing w:after="0"/>
              <w:rPr>
                <w:rFonts w:ascii="Arial" w:hAnsi="Arial" w:cs="Arial"/>
                <w:sz w:val="16"/>
                <w:szCs w:val="16"/>
              </w:rPr>
            </w:pPr>
            <w:r w:rsidRPr="00836B4A">
              <w:rPr>
                <w:rFonts w:ascii="Arial" w:hAnsi="Arial" w:cs="Arial"/>
                <w:sz w:val="16"/>
                <w:szCs w:val="16"/>
              </w:rPr>
              <w:t>-</w:t>
            </w:r>
            <w:r w:rsidRPr="00836B4A">
              <w:rPr>
                <w:rFonts w:ascii="Arial" w:hAnsi="Arial" w:cs="Arial"/>
                <w:sz w:val="16"/>
                <w:szCs w:val="16"/>
              </w:rPr>
              <w:tab/>
              <w:t xml:space="preserve">Codepoint "11" of </w:t>
            </w:r>
            <w:r w:rsidRPr="00836B4A">
              <w:rPr>
                <w:rFonts w:ascii="Arial" w:hAnsi="Arial" w:cs="Arial"/>
                <w:i/>
                <w:iCs/>
                <w:sz w:val="16"/>
                <w:szCs w:val="16"/>
              </w:rPr>
              <w:t>SRS Resource Set indicator</w:t>
            </w:r>
            <w:r w:rsidRPr="00836B4A">
              <w:rPr>
                <w:rFonts w:ascii="Arial" w:hAnsi="Arial" w:cs="Arial"/>
                <w:sz w:val="16"/>
                <w:szCs w:val="16"/>
              </w:rPr>
              <w:t xml:space="preserve"> is reserved. </w:t>
            </w:r>
          </w:p>
          <w:p w14:paraId="32EA631B" w14:textId="77777777" w:rsidR="006A1690" w:rsidRPr="00836B4A" w:rsidRDefault="006A1690" w:rsidP="00836B4A">
            <w:pPr>
              <w:pStyle w:val="B1"/>
              <w:spacing w:after="0"/>
              <w:rPr>
                <w:rFonts w:ascii="Arial" w:hAnsi="Arial" w:cs="Arial"/>
                <w:sz w:val="16"/>
                <w:szCs w:val="16"/>
                <w:lang w:eastAsia="zh-CN"/>
              </w:rPr>
            </w:pPr>
            <w:r w:rsidRPr="00836B4A">
              <w:rPr>
                <w:rFonts w:ascii="Arial" w:hAnsi="Arial" w:cs="Arial"/>
                <w:sz w:val="16"/>
                <w:szCs w:val="16"/>
              </w:rPr>
              <w:t>-</w:t>
            </w:r>
            <w:r w:rsidRPr="00836B4A">
              <w:rPr>
                <w:rFonts w:ascii="Arial" w:hAnsi="Arial" w:cs="Arial"/>
                <w:sz w:val="16"/>
                <w:szCs w:val="16"/>
              </w:rPr>
              <w:tab/>
              <w:t xml:space="preserve">For one or two TPMI(s), the transmission precoder is selected from the uplink codebook that has a number of antenna ports equal to the higher layer parameter </w:t>
            </w:r>
            <w:r w:rsidRPr="00836B4A">
              <w:rPr>
                <w:rFonts w:ascii="Arial" w:hAnsi="Arial" w:cs="Arial"/>
                <w:i/>
                <w:sz w:val="16"/>
                <w:szCs w:val="16"/>
              </w:rPr>
              <w:t>nrofSRS-Ports</w:t>
            </w:r>
            <w:r w:rsidRPr="00836B4A">
              <w:rPr>
                <w:rFonts w:ascii="Arial" w:hAnsi="Arial" w:cs="Arial"/>
                <w:sz w:val="16"/>
                <w:szCs w:val="16"/>
              </w:rPr>
              <w:t xml:space="preserve"> in </w:t>
            </w:r>
            <w:r w:rsidRPr="00836B4A">
              <w:rPr>
                <w:rFonts w:ascii="Arial" w:hAnsi="Arial" w:cs="Arial"/>
                <w:i/>
                <w:iCs/>
                <w:sz w:val="16"/>
                <w:szCs w:val="16"/>
              </w:rPr>
              <w:t>SRS-Config</w:t>
            </w:r>
            <w:r w:rsidRPr="00836B4A">
              <w:rPr>
                <w:rFonts w:ascii="Arial" w:hAnsi="Arial" w:cs="Arial"/>
                <w:sz w:val="16"/>
                <w:szCs w:val="16"/>
              </w:rPr>
              <w:t xml:space="preserve"> for the indicated SRI(s), as defined in Clause 6.3.1.5 of [4, TS 38.211]. </w:t>
            </w:r>
            <w:ins w:id="220" w:author="Author" w:date="2023-11-13T18:54:00Z">
              <w:r w:rsidRPr="00836B4A">
                <w:rPr>
                  <w:rFonts w:ascii="Arial" w:hAnsi="Arial" w:cs="Arial"/>
                  <w:sz w:val="16"/>
                  <w:szCs w:val="16"/>
                  <w:lang w:eastAsia="zh-CN"/>
                </w:rPr>
                <w:t xml:space="preserve">When two TPMIs are indicated, </w:t>
              </w:r>
              <w:r w:rsidRPr="00836B4A">
                <w:rPr>
                  <w:rFonts w:ascii="Arial" w:hAnsi="Arial" w:cs="Arial"/>
                  <w:sz w:val="16"/>
                  <w:szCs w:val="16"/>
                </w:rPr>
                <w:t>the UE shall expect that</w:t>
              </w:r>
              <w:r w:rsidRPr="00836B4A">
                <w:rPr>
                  <w:rFonts w:ascii="Arial" w:hAnsi="Arial" w:cs="Arial"/>
                  <w:sz w:val="16"/>
                  <w:szCs w:val="16"/>
                  <w:lang w:eastAsia="zh-CN"/>
                </w:rPr>
                <w:t xml:space="preserve"> the </w:t>
              </w:r>
              <w:r w:rsidRPr="00836B4A">
                <w:rPr>
                  <w:rFonts w:ascii="Arial" w:eastAsia="DengXian" w:hAnsi="Arial" w:cs="Arial"/>
                  <w:sz w:val="16"/>
                  <w:szCs w:val="16"/>
                  <w:lang w:val="en-CA" w:eastAsia="zh-CN"/>
                </w:rPr>
                <w:t>precoder indicated by the first TPMI and the precoder indicated by the second TPMI are mapped to different PUSCH antenna ports</w:t>
              </w:r>
              <w:r w:rsidRPr="00836B4A">
                <w:rPr>
                  <w:rFonts w:ascii="Arial" w:eastAsia="DengXian" w:hAnsi="Arial" w:cs="Arial"/>
                  <w:sz w:val="16"/>
                  <w:szCs w:val="16"/>
                  <w:lang w:eastAsia="zh-CN"/>
                </w:rPr>
                <w:t>.</w:t>
              </w:r>
            </w:ins>
          </w:p>
          <w:p w14:paraId="64E8D9B9" w14:textId="77777777" w:rsidR="006A1690" w:rsidRPr="00836B4A" w:rsidRDefault="006A1690" w:rsidP="00836B4A">
            <w:pPr>
              <w:pStyle w:val="B1"/>
              <w:spacing w:after="0"/>
              <w:rPr>
                <w:rFonts w:ascii="Arial" w:hAnsi="Arial" w:cs="Arial"/>
                <w:sz w:val="16"/>
                <w:szCs w:val="16"/>
              </w:rPr>
            </w:pPr>
            <w:r w:rsidRPr="00836B4A">
              <w:rPr>
                <w:rFonts w:ascii="Arial" w:hAnsi="Arial" w:cs="Arial"/>
                <w:sz w:val="16"/>
                <w:szCs w:val="16"/>
              </w:rPr>
              <w:t>-</w:t>
            </w:r>
            <w:r w:rsidRPr="00836B4A">
              <w:rPr>
                <w:rFonts w:ascii="Arial" w:hAnsi="Arial" w:cs="Arial"/>
                <w:sz w:val="16"/>
                <w:szCs w:val="16"/>
              </w:rPr>
              <w:tab/>
              <w:t xml:space="preserve">When two SRIs are indicated, the UE shall expect that the number of SRS antenna ports associated with two indicated SRIs would be the same. When the UE is configured with the higher layer parameter </w:t>
            </w:r>
            <w:r w:rsidRPr="00836B4A">
              <w:rPr>
                <w:rFonts w:ascii="Arial" w:hAnsi="Arial" w:cs="Arial"/>
                <w:i/>
                <w:sz w:val="16"/>
                <w:szCs w:val="16"/>
              </w:rPr>
              <w:t>txConfig</w:t>
            </w:r>
            <w:r w:rsidRPr="00836B4A">
              <w:rPr>
                <w:rFonts w:ascii="Arial" w:hAnsi="Arial" w:cs="Arial"/>
                <w:sz w:val="16"/>
                <w:szCs w:val="16"/>
              </w:rPr>
              <w:t xml:space="preserve"> set to 'codebook', the UE is configured with at least one SRS resource. Each of the indicated one or two SRI(s) in slot </w:t>
            </w:r>
            <w:r w:rsidRPr="00836B4A">
              <w:rPr>
                <w:rFonts w:ascii="Arial" w:hAnsi="Arial" w:cs="Arial"/>
                <w:i/>
                <w:sz w:val="16"/>
                <w:szCs w:val="16"/>
              </w:rPr>
              <w:t>n</w:t>
            </w:r>
            <w:r w:rsidRPr="00836B4A">
              <w:rPr>
                <w:rFonts w:ascii="Arial" w:hAnsi="Arial" w:cs="Arial"/>
                <w:sz w:val="16"/>
                <w:szCs w:val="16"/>
              </w:rPr>
              <w:t xml:space="preserve"> is associated with the most recent transmission of SRS resource of associated SRS resource set identified by the SRI, where the SRS resource is prior to the PDCCH carrying the SRI. When two SRS resource sets are configured in </w:t>
            </w:r>
            <w:r w:rsidRPr="00836B4A">
              <w:rPr>
                <w:rFonts w:ascii="Arial" w:hAnsi="Arial" w:cs="Arial"/>
                <w:i/>
                <w:sz w:val="16"/>
                <w:szCs w:val="16"/>
              </w:rPr>
              <w:t>srs-ResourceSetToAddModList</w:t>
            </w:r>
            <w:r w:rsidRPr="00836B4A">
              <w:rPr>
                <w:rFonts w:ascii="Arial" w:hAnsi="Arial" w:cs="Arial"/>
                <w:sz w:val="16"/>
                <w:szCs w:val="16"/>
              </w:rPr>
              <w:t xml:space="preserve"> or </w:t>
            </w:r>
            <w:r w:rsidRPr="00836B4A">
              <w:rPr>
                <w:rFonts w:ascii="Arial" w:hAnsi="Arial" w:cs="Arial"/>
                <w:i/>
                <w:sz w:val="16"/>
                <w:szCs w:val="16"/>
              </w:rPr>
              <w:t xml:space="preserve">srs-ResourceSetToAddModListDCI-0-2 </w:t>
            </w:r>
            <w:r w:rsidRPr="00836B4A">
              <w:rPr>
                <w:rFonts w:ascii="Arial" w:hAnsi="Arial" w:cs="Arial"/>
                <w:sz w:val="16"/>
                <w:szCs w:val="16"/>
              </w:rPr>
              <w:t xml:space="preserve">with higher layer parameter </w:t>
            </w:r>
            <w:r w:rsidRPr="00836B4A">
              <w:rPr>
                <w:rFonts w:ascii="Arial" w:hAnsi="Arial" w:cs="Arial"/>
                <w:i/>
                <w:sz w:val="16"/>
                <w:szCs w:val="16"/>
              </w:rPr>
              <w:t xml:space="preserve">usage </w:t>
            </w:r>
            <w:r w:rsidRPr="00836B4A">
              <w:rPr>
                <w:rFonts w:ascii="Arial" w:hAnsi="Arial" w:cs="Arial"/>
                <w:sz w:val="16"/>
                <w:szCs w:val="16"/>
              </w:rPr>
              <w:t xml:space="preserve">in </w:t>
            </w:r>
            <w:r w:rsidRPr="00836B4A">
              <w:rPr>
                <w:rFonts w:ascii="Arial" w:hAnsi="Arial" w:cs="Arial"/>
                <w:i/>
                <w:sz w:val="16"/>
                <w:szCs w:val="16"/>
              </w:rPr>
              <w:t>SRS-ResourceSet</w:t>
            </w:r>
            <w:r w:rsidRPr="00836B4A">
              <w:rPr>
                <w:rFonts w:ascii="Arial" w:hAnsi="Arial" w:cs="Arial"/>
                <w:sz w:val="16"/>
                <w:szCs w:val="16"/>
              </w:rPr>
              <w:t xml:space="preserve"> set to 'codebook', the UE is not expected to be configured with different number of SRS resources in the two SRS resource sets.</w:t>
            </w:r>
          </w:p>
          <w:p w14:paraId="53F58305" w14:textId="77777777" w:rsidR="006A1690" w:rsidRPr="00836B4A" w:rsidRDefault="006A1690" w:rsidP="00836B4A">
            <w:pPr>
              <w:rPr>
                <w:rFonts w:ascii="Arial" w:hAnsi="Arial" w:cs="Arial"/>
                <w:color w:val="000000"/>
                <w:sz w:val="16"/>
                <w:szCs w:val="16"/>
              </w:rPr>
            </w:pPr>
            <w:r w:rsidRPr="00836B4A">
              <w:rPr>
                <w:rFonts w:ascii="Arial" w:hAnsi="Arial" w:cs="Arial"/>
                <w:color w:val="000000"/>
                <w:sz w:val="16"/>
                <w:szCs w:val="16"/>
              </w:rPr>
              <w:t>When</w:t>
            </w:r>
            <w:r w:rsidRPr="00836B4A">
              <w:rPr>
                <w:rFonts w:ascii="Arial" w:hAnsi="Arial" w:cs="Arial"/>
                <w:sz w:val="16"/>
                <w:szCs w:val="16"/>
              </w:rPr>
              <w:t xml:space="preserve"> higher layer parameter </w:t>
            </w:r>
            <w:r w:rsidRPr="00836B4A">
              <w:rPr>
                <w:rFonts w:ascii="Arial" w:hAnsi="Arial" w:cs="Arial"/>
                <w:i/>
                <w:iCs/>
                <w:sz w:val="16"/>
                <w:szCs w:val="16"/>
              </w:rPr>
              <w:t>multipanelScheme</w:t>
            </w:r>
            <w:r w:rsidRPr="00836B4A">
              <w:rPr>
                <w:rFonts w:ascii="Arial" w:hAnsi="Arial" w:cs="Arial"/>
                <w:sz w:val="16"/>
                <w:szCs w:val="16"/>
              </w:rPr>
              <w:t xml:space="preserve"> set to 'SFNscheme' and </w:t>
            </w:r>
            <w:r w:rsidRPr="00836B4A">
              <w:rPr>
                <w:rFonts w:ascii="Arial" w:hAnsi="Arial" w:cs="Arial"/>
                <w:color w:val="000000"/>
                <w:sz w:val="16"/>
                <w:szCs w:val="16"/>
              </w:rPr>
              <w:t xml:space="preserve">two SRS resource sets are configured in </w:t>
            </w:r>
            <w:r w:rsidRPr="00836B4A">
              <w:rPr>
                <w:rFonts w:ascii="Arial" w:hAnsi="Arial" w:cs="Arial"/>
                <w:i/>
                <w:color w:val="000000"/>
                <w:sz w:val="16"/>
                <w:szCs w:val="16"/>
              </w:rPr>
              <w:t>srs-ResourceSetToAddModList</w:t>
            </w:r>
            <w:r w:rsidRPr="00836B4A">
              <w:rPr>
                <w:rFonts w:ascii="Arial" w:hAnsi="Arial" w:cs="Arial"/>
                <w:color w:val="000000"/>
                <w:sz w:val="16"/>
                <w:szCs w:val="16"/>
              </w:rPr>
              <w:t xml:space="preserve"> or </w:t>
            </w:r>
            <w:r w:rsidRPr="00836B4A">
              <w:rPr>
                <w:rFonts w:ascii="Arial" w:hAnsi="Arial" w:cs="Arial"/>
                <w:i/>
                <w:color w:val="000000"/>
                <w:sz w:val="16"/>
                <w:szCs w:val="16"/>
              </w:rPr>
              <w:t xml:space="preserve">srs-ResourceSetToAddModListDCI-0-2 </w:t>
            </w:r>
            <w:r w:rsidRPr="00836B4A">
              <w:rPr>
                <w:rFonts w:ascii="Arial" w:hAnsi="Arial" w:cs="Arial"/>
                <w:color w:val="000000"/>
                <w:sz w:val="16"/>
                <w:szCs w:val="16"/>
              </w:rPr>
              <w:t xml:space="preserve">with higher layer parameter </w:t>
            </w:r>
            <w:r w:rsidRPr="00836B4A">
              <w:rPr>
                <w:rFonts w:ascii="Arial" w:hAnsi="Arial" w:cs="Arial"/>
                <w:i/>
                <w:color w:val="000000"/>
                <w:sz w:val="16"/>
                <w:szCs w:val="16"/>
              </w:rPr>
              <w:t xml:space="preserve">usage </w:t>
            </w:r>
            <w:r w:rsidRPr="00836B4A">
              <w:rPr>
                <w:rFonts w:ascii="Arial" w:hAnsi="Arial" w:cs="Arial"/>
                <w:color w:val="000000"/>
                <w:sz w:val="16"/>
                <w:szCs w:val="16"/>
              </w:rPr>
              <w:t xml:space="preserve">in </w:t>
            </w:r>
            <w:r w:rsidRPr="00836B4A">
              <w:rPr>
                <w:rFonts w:ascii="Arial" w:hAnsi="Arial" w:cs="Arial"/>
                <w:i/>
                <w:color w:val="000000"/>
                <w:sz w:val="16"/>
                <w:szCs w:val="16"/>
              </w:rPr>
              <w:t>SRS-ResourceSet</w:t>
            </w:r>
            <w:r w:rsidRPr="00836B4A">
              <w:rPr>
                <w:rFonts w:ascii="Arial" w:hAnsi="Arial" w:cs="Arial"/>
                <w:color w:val="000000"/>
                <w:sz w:val="16"/>
                <w:szCs w:val="16"/>
              </w:rPr>
              <w:t xml:space="preserve"> set to 'codebook', two SRI(s), and two TPMI(s) are given by the DCI fields of two SRS resource indicator and two Precoding information and number of layers in clause 7.3.1.1.2 and 7.3.1.1.3 of [5, TS 38.212] for DCI format 0_1 and 0_2. </w:t>
            </w:r>
          </w:p>
          <w:p w14:paraId="0CB0377A" w14:textId="77777777" w:rsidR="006A1690" w:rsidRPr="00836B4A" w:rsidRDefault="006A1690" w:rsidP="00836B4A">
            <w:pPr>
              <w:pStyle w:val="B1"/>
              <w:spacing w:after="0"/>
              <w:rPr>
                <w:rFonts w:ascii="Arial" w:hAnsi="Arial" w:cs="Arial"/>
                <w:sz w:val="16"/>
                <w:szCs w:val="16"/>
              </w:rPr>
            </w:pPr>
            <w:r w:rsidRPr="00836B4A">
              <w:rPr>
                <w:rFonts w:ascii="Arial" w:hAnsi="Arial" w:cs="Arial"/>
                <w:sz w:val="16"/>
                <w:szCs w:val="16"/>
              </w:rPr>
              <w:t>-</w:t>
            </w:r>
            <w:r w:rsidRPr="00836B4A">
              <w:rPr>
                <w:rFonts w:ascii="Arial" w:hAnsi="Arial" w:cs="Arial"/>
                <w:sz w:val="16"/>
                <w:szCs w:val="16"/>
              </w:rPr>
              <w:tab/>
              <w:t xml:space="preserve">When  codepoint "10" of </w:t>
            </w:r>
            <w:r w:rsidRPr="00836B4A">
              <w:rPr>
                <w:rFonts w:ascii="Arial" w:hAnsi="Arial" w:cs="Arial"/>
                <w:i/>
                <w:sz w:val="16"/>
                <w:szCs w:val="16"/>
              </w:rPr>
              <w:t>SRS Resource Set</w:t>
            </w:r>
            <w:r w:rsidRPr="00836B4A">
              <w:rPr>
                <w:rFonts w:ascii="Arial" w:hAnsi="Arial" w:cs="Arial"/>
                <w:sz w:val="16"/>
                <w:szCs w:val="16"/>
              </w:rPr>
              <w:t xml:space="preserve"> </w:t>
            </w:r>
            <w:r w:rsidRPr="00836B4A">
              <w:rPr>
                <w:rFonts w:ascii="Arial" w:hAnsi="Arial" w:cs="Arial"/>
                <w:i/>
                <w:iCs/>
                <w:sz w:val="16"/>
                <w:szCs w:val="16"/>
              </w:rPr>
              <w:t xml:space="preserve">indicator </w:t>
            </w:r>
            <w:r w:rsidRPr="00836B4A">
              <w:rPr>
                <w:rFonts w:ascii="Arial" w:hAnsi="Arial" w:cs="Arial"/>
                <w:sz w:val="16"/>
                <w:szCs w:val="16"/>
              </w:rPr>
              <w:t>is indicated</w:t>
            </w:r>
            <w:r w:rsidRPr="00836B4A">
              <w:rPr>
                <w:rFonts w:ascii="Arial" w:hAnsi="Arial" w:cs="Arial"/>
                <w:i/>
                <w:iCs/>
                <w:sz w:val="16"/>
                <w:szCs w:val="16"/>
              </w:rPr>
              <w:t>,</w:t>
            </w:r>
            <w:r w:rsidRPr="00836B4A">
              <w:rPr>
                <w:rFonts w:ascii="Arial" w:hAnsi="Arial" w:cs="Arial"/>
                <w:sz w:val="16"/>
                <w:szCs w:val="16"/>
              </w:rPr>
              <w:t xml:space="preserve"> the first TPMI is used to indicate precoder to be applied over layers {0…v-1} and the second TPMI is used to indicate the precoder to be applied over layers {0…v-1}, where  v ≤ </w:t>
            </w:r>
            <w:r w:rsidRPr="00836B4A">
              <w:rPr>
                <w:rFonts w:ascii="Arial" w:hAnsi="Arial" w:cs="Arial"/>
                <w:i/>
                <w:iCs/>
                <w:sz w:val="16"/>
                <w:szCs w:val="16"/>
              </w:rPr>
              <w:t xml:space="preserve">maxRankSfn </w:t>
            </w:r>
            <w:r w:rsidRPr="00836B4A">
              <w:rPr>
                <w:rFonts w:ascii="Arial" w:hAnsi="Arial" w:cs="Arial"/>
                <w:sz w:val="16"/>
                <w:szCs w:val="16"/>
                <w:lang w:eastAsia="zh-CN"/>
              </w:rPr>
              <w:t xml:space="preserve">or </w:t>
            </w:r>
            <w:r w:rsidRPr="00836B4A">
              <w:rPr>
                <w:rFonts w:ascii="Arial" w:hAnsi="Arial" w:cs="Arial"/>
                <w:i/>
                <w:iCs/>
                <w:sz w:val="16"/>
                <w:szCs w:val="16"/>
                <w:lang w:eastAsia="zh-CN"/>
              </w:rPr>
              <w:t xml:space="preserve">maxRankSfnDCI-0-2 </w:t>
            </w:r>
            <w:r w:rsidRPr="00836B4A">
              <w:rPr>
                <w:rFonts w:ascii="Arial" w:hAnsi="Arial" w:cs="Arial"/>
                <w:iCs/>
                <w:sz w:val="16"/>
                <w:szCs w:val="16"/>
                <w:lang w:eastAsia="zh-CN"/>
              </w:rPr>
              <w:t>and</w:t>
            </w:r>
            <w:r w:rsidRPr="00836B4A">
              <w:rPr>
                <w:rFonts w:ascii="Arial" w:hAnsi="Arial" w:cs="Arial"/>
                <w:i/>
                <w:iCs/>
                <w:sz w:val="16"/>
                <w:szCs w:val="16"/>
                <w:lang w:eastAsia="zh-CN"/>
              </w:rPr>
              <w:t xml:space="preserve"> </w:t>
            </w:r>
            <w:r w:rsidRPr="00836B4A">
              <w:rPr>
                <w:rFonts w:ascii="Arial" w:hAnsi="Arial" w:cs="Arial"/>
                <w:i/>
                <w:iCs/>
                <w:sz w:val="16"/>
                <w:szCs w:val="16"/>
              </w:rPr>
              <w:t xml:space="preserve">maxRankSfn </w:t>
            </w:r>
            <w:r w:rsidRPr="00836B4A">
              <w:rPr>
                <w:rFonts w:ascii="Arial" w:hAnsi="Arial" w:cs="Arial"/>
                <w:sz w:val="16"/>
                <w:szCs w:val="16"/>
                <w:lang w:eastAsia="zh-CN"/>
              </w:rPr>
              <w:t xml:space="preserve">or </w:t>
            </w:r>
            <w:r w:rsidRPr="00836B4A">
              <w:rPr>
                <w:rFonts w:ascii="Arial" w:hAnsi="Arial" w:cs="Arial"/>
                <w:i/>
                <w:iCs/>
                <w:sz w:val="16"/>
                <w:szCs w:val="16"/>
                <w:lang w:eastAsia="zh-CN"/>
              </w:rPr>
              <w:t xml:space="preserve">maxRankSfnDCI-0-2 </w:t>
            </w:r>
            <w:r w:rsidRPr="00836B4A">
              <w:rPr>
                <w:rFonts w:ascii="Arial" w:hAnsi="Arial" w:cs="Arial"/>
                <w:sz w:val="16"/>
                <w:szCs w:val="16"/>
              </w:rPr>
              <w:t xml:space="preserve">defining the maximum number of layers applied over the first SRS resource set and over the second SRS resource set separately. </w:t>
            </w:r>
          </w:p>
          <w:p w14:paraId="5F4D02EF" w14:textId="77777777" w:rsidR="006A1690" w:rsidRPr="00836B4A" w:rsidRDefault="006A1690" w:rsidP="00836B4A">
            <w:pPr>
              <w:pStyle w:val="B1"/>
              <w:spacing w:after="0"/>
              <w:rPr>
                <w:rFonts w:ascii="Arial" w:hAnsi="Arial" w:cs="Arial"/>
                <w:sz w:val="16"/>
                <w:szCs w:val="16"/>
              </w:rPr>
            </w:pPr>
            <w:r w:rsidRPr="00836B4A">
              <w:rPr>
                <w:rFonts w:ascii="Arial" w:hAnsi="Arial" w:cs="Arial"/>
                <w:sz w:val="16"/>
                <w:szCs w:val="16"/>
              </w:rPr>
              <w:t>-</w:t>
            </w:r>
            <w:r w:rsidRPr="00836B4A">
              <w:rPr>
                <w:rFonts w:ascii="Arial" w:hAnsi="Arial" w:cs="Arial"/>
                <w:sz w:val="16"/>
                <w:szCs w:val="16"/>
              </w:rPr>
              <w:tab/>
              <w:t xml:space="preserve">When codepoint "00" or "01" of </w:t>
            </w:r>
            <w:r w:rsidRPr="00836B4A">
              <w:rPr>
                <w:rFonts w:ascii="Arial" w:hAnsi="Arial" w:cs="Arial"/>
                <w:i/>
                <w:sz w:val="16"/>
                <w:szCs w:val="16"/>
              </w:rPr>
              <w:t>SRS Resource Set</w:t>
            </w:r>
            <w:r w:rsidRPr="00836B4A">
              <w:rPr>
                <w:rFonts w:ascii="Arial" w:hAnsi="Arial" w:cs="Arial"/>
                <w:sz w:val="16"/>
                <w:szCs w:val="16"/>
              </w:rPr>
              <w:t xml:space="preserve"> </w:t>
            </w:r>
            <w:r w:rsidRPr="00836B4A">
              <w:rPr>
                <w:rFonts w:ascii="Arial" w:hAnsi="Arial" w:cs="Arial"/>
                <w:i/>
                <w:iCs/>
                <w:sz w:val="16"/>
                <w:szCs w:val="16"/>
              </w:rPr>
              <w:t xml:space="preserve">indicator </w:t>
            </w:r>
            <w:r w:rsidRPr="00836B4A">
              <w:rPr>
                <w:rFonts w:ascii="Arial" w:hAnsi="Arial" w:cs="Arial"/>
                <w:sz w:val="16"/>
                <w:szCs w:val="16"/>
              </w:rPr>
              <w:t>is indicated</w:t>
            </w:r>
            <w:r w:rsidRPr="00836B4A">
              <w:rPr>
                <w:rFonts w:ascii="Arial" w:hAnsi="Arial" w:cs="Arial"/>
                <w:i/>
                <w:iCs/>
                <w:sz w:val="16"/>
                <w:szCs w:val="16"/>
              </w:rPr>
              <w:t>,</w:t>
            </w:r>
            <w:r w:rsidRPr="00836B4A">
              <w:rPr>
                <w:rFonts w:ascii="Arial" w:hAnsi="Arial" w:cs="Arial"/>
                <w:sz w:val="16"/>
                <w:szCs w:val="16"/>
              </w:rPr>
              <w:t xml:space="preserve"> the second SRI and second TPMI are reserved, the first TPMI is used to indicate precoder to be applied over layers {0…v-1}, where v ≤ </w:t>
            </w:r>
            <w:r w:rsidRPr="00836B4A">
              <w:rPr>
                <w:rFonts w:ascii="Arial" w:hAnsi="Arial" w:cs="Arial"/>
                <w:i/>
                <w:iCs/>
                <w:sz w:val="16"/>
                <w:szCs w:val="16"/>
              </w:rPr>
              <w:t xml:space="preserve">maxRank </w:t>
            </w:r>
            <w:r w:rsidRPr="00836B4A">
              <w:rPr>
                <w:rFonts w:ascii="Arial" w:hAnsi="Arial" w:cs="Arial"/>
                <w:sz w:val="16"/>
                <w:szCs w:val="16"/>
              </w:rPr>
              <w:t xml:space="preserve">and where </w:t>
            </w:r>
            <w:r w:rsidRPr="00836B4A">
              <w:rPr>
                <w:rFonts w:ascii="Arial" w:hAnsi="Arial" w:cs="Arial"/>
                <w:i/>
                <w:iCs/>
                <w:sz w:val="16"/>
                <w:szCs w:val="16"/>
              </w:rPr>
              <w:t>maxRank</w:t>
            </w:r>
            <w:r w:rsidRPr="00836B4A">
              <w:rPr>
                <w:rFonts w:ascii="Arial" w:hAnsi="Arial" w:cs="Arial"/>
                <w:sz w:val="16"/>
                <w:szCs w:val="16"/>
              </w:rPr>
              <w:t xml:space="preserve"> is defining the maximum number of layers applied over the first SRS resource set or the seoncd SRS resource. </w:t>
            </w:r>
          </w:p>
          <w:p w14:paraId="28766CD5" w14:textId="77777777" w:rsidR="006A1690" w:rsidRPr="00836B4A" w:rsidRDefault="006A1690" w:rsidP="00836B4A">
            <w:pPr>
              <w:pStyle w:val="B1"/>
              <w:spacing w:after="0"/>
              <w:rPr>
                <w:rFonts w:ascii="Arial" w:hAnsi="Arial" w:cs="Arial"/>
                <w:sz w:val="16"/>
                <w:szCs w:val="16"/>
              </w:rPr>
            </w:pPr>
            <w:r w:rsidRPr="00836B4A">
              <w:rPr>
                <w:rFonts w:ascii="Arial" w:hAnsi="Arial" w:cs="Arial"/>
                <w:sz w:val="16"/>
                <w:szCs w:val="16"/>
              </w:rPr>
              <w:t>-</w:t>
            </w:r>
            <w:r w:rsidRPr="00836B4A">
              <w:rPr>
                <w:rFonts w:ascii="Arial" w:hAnsi="Arial" w:cs="Arial"/>
                <w:sz w:val="16"/>
                <w:szCs w:val="16"/>
              </w:rPr>
              <w:tab/>
              <w:t xml:space="preserve">Codepoint "11" of </w:t>
            </w:r>
            <w:r w:rsidRPr="00836B4A">
              <w:rPr>
                <w:rFonts w:ascii="Arial" w:hAnsi="Arial" w:cs="Arial"/>
                <w:i/>
                <w:iCs/>
                <w:sz w:val="16"/>
                <w:szCs w:val="16"/>
              </w:rPr>
              <w:t>SRS Resource Set indicator</w:t>
            </w:r>
            <w:r w:rsidRPr="00836B4A">
              <w:rPr>
                <w:rFonts w:ascii="Arial" w:hAnsi="Arial" w:cs="Arial"/>
                <w:sz w:val="16"/>
                <w:szCs w:val="16"/>
              </w:rPr>
              <w:t xml:space="preserve"> is reserved. </w:t>
            </w:r>
          </w:p>
          <w:p w14:paraId="6239F155" w14:textId="77777777" w:rsidR="006A1690" w:rsidRPr="00836B4A" w:rsidRDefault="006A1690" w:rsidP="00836B4A">
            <w:pPr>
              <w:pStyle w:val="B1"/>
              <w:spacing w:after="0"/>
              <w:rPr>
                <w:rFonts w:ascii="Arial" w:hAnsi="Arial" w:cs="Arial"/>
                <w:color w:val="000000"/>
                <w:sz w:val="16"/>
                <w:szCs w:val="16"/>
              </w:rPr>
            </w:pPr>
            <w:r w:rsidRPr="00836B4A">
              <w:rPr>
                <w:rFonts w:ascii="Arial" w:hAnsi="Arial" w:cs="Arial"/>
                <w:sz w:val="16"/>
                <w:szCs w:val="16"/>
              </w:rPr>
              <w:t>-</w:t>
            </w:r>
            <w:r w:rsidRPr="00836B4A">
              <w:rPr>
                <w:rFonts w:ascii="Arial" w:hAnsi="Arial" w:cs="Arial"/>
                <w:sz w:val="16"/>
                <w:szCs w:val="16"/>
              </w:rPr>
              <w:tab/>
              <w:t xml:space="preserve">For one or two TPMI(s), the transmission precoder is selected from the uplink codebook that has a number of antenna ports equal to </w:t>
            </w:r>
            <w:r w:rsidRPr="00836B4A">
              <w:rPr>
                <w:rFonts w:ascii="Arial" w:hAnsi="Arial" w:cs="Arial"/>
                <w:i/>
                <w:sz w:val="16"/>
                <w:szCs w:val="16"/>
              </w:rPr>
              <w:lastRenderedPageBreak/>
              <w:t>nrofSRS-Ports</w:t>
            </w:r>
            <w:r w:rsidRPr="00836B4A">
              <w:rPr>
                <w:rFonts w:ascii="Arial" w:hAnsi="Arial" w:cs="Arial"/>
                <w:sz w:val="16"/>
                <w:szCs w:val="16"/>
              </w:rPr>
              <w:t xml:space="preserve"> in </w:t>
            </w:r>
            <w:r w:rsidRPr="00836B4A">
              <w:rPr>
                <w:rFonts w:ascii="Arial" w:hAnsi="Arial" w:cs="Arial"/>
                <w:i/>
                <w:iCs/>
                <w:sz w:val="16"/>
                <w:szCs w:val="16"/>
              </w:rPr>
              <w:t>SRS-Config</w:t>
            </w:r>
            <w:r w:rsidRPr="00836B4A">
              <w:rPr>
                <w:rFonts w:ascii="Arial" w:hAnsi="Arial" w:cs="Arial"/>
                <w:sz w:val="16"/>
                <w:szCs w:val="16"/>
              </w:rPr>
              <w:t xml:space="preserve"> for the indicated SRI(s), as defined in Clause 6.3.1.5 of [4, TS 38.211].</w:t>
            </w:r>
            <w:r w:rsidRPr="00836B4A">
              <w:rPr>
                <w:rFonts w:ascii="Arial" w:hAnsi="Arial" w:cs="Arial"/>
                <w:color w:val="000000"/>
                <w:sz w:val="16"/>
                <w:szCs w:val="16"/>
              </w:rPr>
              <w:t xml:space="preserve"> </w:t>
            </w:r>
            <w:ins w:id="221" w:author="Author" w:date="2023-11-13T18:54:00Z">
              <w:r w:rsidRPr="00836B4A">
                <w:rPr>
                  <w:rFonts w:ascii="Arial" w:hAnsi="Arial" w:cs="Arial"/>
                  <w:sz w:val="16"/>
                  <w:szCs w:val="16"/>
                  <w:lang w:eastAsia="zh-CN"/>
                </w:rPr>
                <w:t xml:space="preserve">When two TPMIs are indicated, </w:t>
              </w:r>
              <w:r w:rsidRPr="00836B4A">
                <w:rPr>
                  <w:rFonts w:ascii="Arial" w:hAnsi="Arial" w:cs="Arial"/>
                  <w:sz w:val="16"/>
                  <w:szCs w:val="16"/>
                </w:rPr>
                <w:t>the UE shall expect that</w:t>
              </w:r>
              <w:r w:rsidRPr="00836B4A">
                <w:rPr>
                  <w:rFonts w:ascii="Arial" w:hAnsi="Arial" w:cs="Arial"/>
                  <w:sz w:val="16"/>
                  <w:szCs w:val="16"/>
                  <w:lang w:eastAsia="zh-CN"/>
                </w:rPr>
                <w:t xml:space="preserve"> the </w:t>
              </w:r>
              <w:r w:rsidRPr="00836B4A">
                <w:rPr>
                  <w:rFonts w:ascii="Arial" w:eastAsia="DengXian" w:hAnsi="Arial" w:cs="Arial"/>
                  <w:sz w:val="16"/>
                  <w:szCs w:val="16"/>
                  <w:lang w:val="en-CA" w:eastAsia="zh-CN"/>
                </w:rPr>
                <w:t>precoder indicated by the first TPMI and the precoder indicated by the second TPMI are mapped to different PUSCH antenna ports</w:t>
              </w:r>
              <w:r w:rsidRPr="00836B4A">
                <w:rPr>
                  <w:rFonts w:ascii="Arial" w:eastAsia="DengXian" w:hAnsi="Arial" w:cs="Arial"/>
                  <w:sz w:val="16"/>
                  <w:szCs w:val="16"/>
                  <w:lang w:eastAsia="zh-CN"/>
                </w:rPr>
                <w:t>.</w:t>
              </w:r>
            </w:ins>
          </w:p>
          <w:p w14:paraId="63EC2E6E" w14:textId="77777777" w:rsidR="006A1690" w:rsidRPr="00836B4A" w:rsidRDefault="006A1690" w:rsidP="00836B4A">
            <w:pPr>
              <w:pStyle w:val="B1"/>
              <w:spacing w:after="0"/>
              <w:rPr>
                <w:rFonts w:ascii="Arial" w:hAnsi="Arial" w:cs="Arial"/>
                <w:sz w:val="16"/>
                <w:szCs w:val="16"/>
              </w:rPr>
            </w:pPr>
            <w:r w:rsidRPr="00836B4A">
              <w:rPr>
                <w:rFonts w:ascii="Arial" w:hAnsi="Arial" w:cs="Arial"/>
                <w:sz w:val="16"/>
                <w:szCs w:val="16"/>
              </w:rPr>
              <w:t>-</w:t>
            </w:r>
            <w:r w:rsidRPr="00836B4A">
              <w:rPr>
                <w:rFonts w:ascii="Arial" w:hAnsi="Arial" w:cs="Arial"/>
                <w:sz w:val="16"/>
                <w:szCs w:val="16"/>
              </w:rPr>
              <w:tab/>
              <w:t xml:space="preserve">When two TPMIs are indicated, the UE shall expect that the number of SRS antenna ports associated with two indicated SRIs to be the same. When the UE is configured with the higher layer parameter </w:t>
            </w:r>
            <w:r w:rsidRPr="00836B4A">
              <w:rPr>
                <w:rFonts w:ascii="Arial" w:hAnsi="Arial" w:cs="Arial"/>
                <w:i/>
                <w:sz w:val="16"/>
                <w:szCs w:val="16"/>
              </w:rPr>
              <w:t>txConfig</w:t>
            </w:r>
            <w:r w:rsidRPr="00836B4A">
              <w:rPr>
                <w:rFonts w:ascii="Arial" w:hAnsi="Arial" w:cs="Arial"/>
                <w:sz w:val="16"/>
                <w:szCs w:val="16"/>
              </w:rPr>
              <w:t xml:space="preserve"> set to 'codebook', the UE is configured with at least one SRS resource. Each of the indicated one or two SRI(s) in slot </w:t>
            </w:r>
            <w:r w:rsidRPr="00836B4A">
              <w:rPr>
                <w:rFonts w:ascii="Arial" w:hAnsi="Arial" w:cs="Arial"/>
                <w:i/>
                <w:sz w:val="16"/>
                <w:szCs w:val="16"/>
              </w:rPr>
              <w:t>n</w:t>
            </w:r>
            <w:r w:rsidRPr="00836B4A">
              <w:rPr>
                <w:rFonts w:ascii="Arial" w:hAnsi="Arial" w:cs="Arial"/>
                <w:sz w:val="16"/>
                <w:szCs w:val="16"/>
              </w:rPr>
              <w:t xml:space="preserve"> is associated with the most recent transmission of SRS resource of associated SRS resource set identified by the SRI, where the SRS resource is prior to the PDCCH carrying the SRI. When two SRS resource sets are configured in </w:t>
            </w:r>
            <w:r w:rsidRPr="00836B4A">
              <w:rPr>
                <w:rFonts w:ascii="Arial" w:hAnsi="Arial" w:cs="Arial"/>
                <w:i/>
                <w:sz w:val="16"/>
                <w:szCs w:val="16"/>
              </w:rPr>
              <w:t>srs-ResourceSetToAddModList</w:t>
            </w:r>
            <w:r w:rsidRPr="00836B4A">
              <w:rPr>
                <w:rFonts w:ascii="Arial" w:hAnsi="Arial" w:cs="Arial"/>
                <w:sz w:val="16"/>
                <w:szCs w:val="16"/>
              </w:rPr>
              <w:t xml:space="preserve"> or </w:t>
            </w:r>
            <w:r w:rsidRPr="00836B4A">
              <w:rPr>
                <w:rFonts w:ascii="Arial" w:hAnsi="Arial" w:cs="Arial"/>
                <w:i/>
                <w:sz w:val="16"/>
                <w:szCs w:val="16"/>
              </w:rPr>
              <w:t xml:space="preserve">srs-ResourceSetToAddModListDCI-0-2 </w:t>
            </w:r>
            <w:r w:rsidRPr="00836B4A">
              <w:rPr>
                <w:rFonts w:ascii="Arial" w:hAnsi="Arial" w:cs="Arial"/>
                <w:sz w:val="16"/>
                <w:szCs w:val="16"/>
              </w:rPr>
              <w:t xml:space="preserve">with higher layer parameter </w:t>
            </w:r>
            <w:r w:rsidRPr="00836B4A">
              <w:rPr>
                <w:rFonts w:ascii="Arial" w:hAnsi="Arial" w:cs="Arial"/>
                <w:i/>
                <w:sz w:val="16"/>
                <w:szCs w:val="16"/>
              </w:rPr>
              <w:t xml:space="preserve">usage </w:t>
            </w:r>
            <w:r w:rsidRPr="00836B4A">
              <w:rPr>
                <w:rFonts w:ascii="Arial" w:hAnsi="Arial" w:cs="Arial"/>
                <w:sz w:val="16"/>
                <w:szCs w:val="16"/>
              </w:rPr>
              <w:t xml:space="preserve">in </w:t>
            </w:r>
            <w:r w:rsidRPr="00836B4A">
              <w:rPr>
                <w:rFonts w:ascii="Arial" w:hAnsi="Arial" w:cs="Arial"/>
                <w:i/>
                <w:sz w:val="16"/>
                <w:szCs w:val="16"/>
              </w:rPr>
              <w:t>SRS-ResourceSet</w:t>
            </w:r>
            <w:r w:rsidRPr="00836B4A">
              <w:rPr>
                <w:rFonts w:ascii="Arial" w:hAnsi="Arial" w:cs="Arial"/>
                <w:sz w:val="16"/>
                <w:szCs w:val="16"/>
              </w:rPr>
              <w:t xml:space="preserve"> set to 'codebook', the UE is not expected to be configured with different number of SRS resources in the two SRS resource sets.</w:t>
            </w:r>
          </w:p>
          <w:p w14:paraId="76BE2905" w14:textId="77777777" w:rsidR="006A1690" w:rsidRPr="00836B4A" w:rsidRDefault="006A1690" w:rsidP="00836B4A">
            <w:pPr>
              <w:jc w:val="center"/>
              <w:rPr>
                <w:rFonts w:ascii="Arial" w:hAnsi="Arial" w:cs="Arial"/>
                <w:sz w:val="16"/>
                <w:szCs w:val="16"/>
              </w:rPr>
            </w:pPr>
            <w:r w:rsidRPr="00836B4A">
              <w:rPr>
                <w:rFonts w:ascii="Arial" w:hAnsi="Arial" w:cs="Arial"/>
                <w:color w:val="FF0000"/>
                <w:sz w:val="16"/>
                <w:szCs w:val="16"/>
                <w:lang w:eastAsia="zh-CN"/>
              </w:rPr>
              <w:t>&lt;Unchanged parts are omitted&gt;</w:t>
            </w:r>
          </w:p>
          <w:p w14:paraId="783896B4" w14:textId="77777777" w:rsidR="006A1690" w:rsidRPr="009B5DD3" w:rsidRDefault="006A1690" w:rsidP="009B5DD3">
            <w:pPr>
              <w:rPr>
                <w:rFonts w:ascii="Arial" w:hAnsi="Arial" w:cs="Arial"/>
                <w:b/>
                <w:bCs/>
                <w:i/>
                <w:sz w:val="16"/>
                <w:szCs w:val="16"/>
                <w:lang w:val="en-US"/>
              </w:rPr>
            </w:pPr>
            <w:r w:rsidRPr="009B5DD3">
              <w:rPr>
                <w:rFonts w:ascii="Arial" w:hAnsi="Arial" w:cs="Arial"/>
                <w:b/>
                <w:bCs/>
                <w:sz w:val="16"/>
                <w:szCs w:val="16"/>
                <w:lang w:val="en-US"/>
              </w:rPr>
              <w:t>6.1.1.2</w:t>
            </w:r>
            <w:r w:rsidRPr="009B5DD3">
              <w:rPr>
                <w:rFonts w:ascii="Arial" w:hAnsi="Arial" w:cs="Arial"/>
                <w:b/>
                <w:bCs/>
                <w:sz w:val="16"/>
                <w:szCs w:val="16"/>
                <w:lang w:val="en-US"/>
              </w:rPr>
              <w:tab/>
              <w:t>Non-Codebook based UL transmission</w:t>
            </w:r>
          </w:p>
          <w:p w14:paraId="2DFA7B31" w14:textId="77777777" w:rsidR="006A1690" w:rsidRPr="00836B4A" w:rsidRDefault="006A1690" w:rsidP="00836B4A">
            <w:pPr>
              <w:jc w:val="center"/>
              <w:rPr>
                <w:rFonts w:ascii="Arial" w:hAnsi="Arial" w:cs="Arial"/>
                <w:color w:val="FF0000"/>
                <w:sz w:val="16"/>
                <w:szCs w:val="16"/>
                <w:lang w:eastAsia="zh-CN"/>
              </w:rPr>
            </w:pPr>
            <w:r w:rsidRPr="00836B4A">
              <w:rPr>
                <w:rFonts w:ascii="Arial" w:hAnsi="Arial" w:cs="Arial"/>
                <w:color w:val="FF0000"/>
                <w:sz w:val="16"/>
                <w:szCs w:val="16"/>
                <w:lang w:eastAsia="zh-CN"/>
              </w:rPr>
              <w:t>&lt;Unchanged parts are omitted&gt;</w:t>
            </w:r>
          </w:p>
          <w:p w14:paraId="7D54CDC1" w14:textId="77777777" w:rsidR="006A1690" w:rsidRPr="00836B4A" w:rsidRDefault="006A1690" w:rsidP="00836B4A">
            <w:pPr>
              <w:rPr>
                <w:rFonts w:ascii="Arial" w:hAnsi="Arial" w:cs="Arial"/>
                <w:color w:val="000000"/>
                <w:sz w:val="16"/>
                <w:szCs w:val="16"/>
              </w:rPr>
            </w:pPr>
            <w:r w:rsidRPr="00836B4A">
              <w:rPr>
                <w:rFonts w:ascii="Arial" w:hAnsi="Arial" w:cs="Arial"/>
                <w:color w:val="000000"/>
                <w:sz w:val="16"/>
                <w:szCs w:val="16"/>
              </w:rPr>
              <w:t xml:space="preserve">When the </w:t>
            </w:r>
            <w:r w:rsidRPr="00836B4A">
              <w:rPr>
                <w:rFonts w:ascii="Arial" w:hAnsi="Arial" w:cs="Arial"/>
                <w:sz w:val="16"/>
                <w:szCs w:val="16"/>
              </w:rPr>
              <w:t xml:space="preserve">higher layer parameter </w:t>
            </w:r>
            <w:r w:rsidRPr="00836B4A">
              <w:rPr>
                <w:rFonts w:ascii="Arial" w:hAnsi="Arial" w:cs="Arial"/>
                <w:i/>
                <w:iCs/>
                <w:sz w:val="16"/>
                <w:szCs w:val="16"/>
              </w:rPr>
              <w:t>multipanelScheme</w:t>
            </w:r>
            <w:r w:rsidRPr="00836B4A">
              <w:rPr>
                <w:rFonts w:ascii="Arial" w:hAnsi="Arial" w:cs="Arial"/>
                <w:sz w:val="16"/>
                <w:szCs w:val="16"/>
              </w:rPr>
              <w:t xml:space="preserve"> is set to 'SDMScheme' and </w:t>
            </w:r>
            <w:r w:rsidRPr="00836B4A">
              <w:rPr>
                <w:rFonts w:ascii="Arial" w:hAnsi="Arial" w:cs="Arial"/>
                <w:color w:val="000000"/>
                <w:sz w:val="16"/>
                <w:szCs w:val="16"/>
              </w:rPr>
              <w:t xml:space="preserve">two SRS resource sets are configured in </w:t>
            </w:r>
            <w:r w:rsidRPr="00836B4A">
              <w:rPr>
                <w:rFonts w:ascii="Arial" w:hAnsi="Arial" w:cs="Arial"/>
                <w:i/>
                <w:color w:val="000000"/>
                <w:sz w:val="16"/>
                <w:szCs w:val="16"/>
              </w:rPr>
              <w:t>srs-ResourceSetToAddModList</w:t>
            </w:r>
            <w:r w:rsidRPr="00836B4A">
              <w:rPr>
                <w:rFonts w:ascii="Arial" w:hAnsi="Arial" w:cs="Arial"/>
                <w:color w:val="000000"/>
                <w:sz w:val="16"/>
                <w:szCs w:val="16"/>
              </w:rPr>
              <w:t xml:space="preserve"> or </w:t>
            </w:r>
            <w:r w:rsidRPr="00836B4A">
              <w:rPr>
                <w:rFonts w:ascii="Arial" w:hAnsi="Arial" w:cs="Arial"/>
                <w:i/>
                <w:color w:val="000000"/>
                <w:sz w:val="16"/>
                <w:szCs w:val="16"/>
              </w:rPr>
              <w:t xml:space="preserve">srs-ResourceSetToAddModListDCI-0-2 </w:t>
            </w:r>
            <w:r w:rsidRPr="00836B4A">
              <w:rPr>
                <w:rFonts w:ascii="Arial" w:hAnsi="Arial" w:cs="Arial"/>
                <w:color w:val="000000"/>
                <w:sz w:val="16"/>
                <w:szCs w:val="16"/>
              </w:rPr>
              <w:t xml:space="preserve">with higher layer parameter </w:t>
            </w:r>
            <w:r w:rsidRPr="00836B4A">
              <w:rPr>
                <w:rFonts w:ascii="Arial" w:hAnsi="Arial" w:cs="Arial"/>
                <w:i/>
                <w:color w:val="000000"/>
                <w:sz w:val="16"/>
                <w:szCs w:val="16"/>
              </w:rPr>
              <w:t xml:space="preserve">usage </w:t>
            </w:r>
            <w:r w:rsidRPr="00836B4A">
              <w:rPr>
                <w:rFonts w:ascii="Arial" w:hAnsi="Arial" w:cs="Arial"/>
                <w:color w:val="000000"/>
                <w:sz w:val="16"/>
                <w:szCs w:val="16"/>
              </w:rPr>
              <w:t xml:space="preserve">in </w:t>
            </w:r>
            <w:r w:rsidRPr="00836B4A">
              <w:rPr>
                <w:rFonts w:ascii="Arial" w:hAnsi="Arial" w:cs="Arial"/>
                <w:i/>
                <w:color w:val="000000"/>
                <w:sz w:val="16"/>
                <w:szCs w:val="16"/>
              </w:rPr>
              <w:t>SRS-ResourceSet</w:t>
            </w:r>
            <w:r w:rsidRPr="00836B4A">
              <w:rPr>
                <w:rFonts w:ascii="Arial" w:hAnsi="Arial" w:cs="Arial"/>
                <w:color w:val="000000"/>
                <w:sz w:val="16"/>
                <w:szCs w:val="16"/>
              </w:rPr>
              <w:t xml:space="preserve"> set to 'nonCodebook', SRIs are given by the DCI fields of two SRS resource indicators in clause 7.3.1.1.2 and 7.3.1.1.3 of [5, TS 38.212] for DCI format 0_1 and 0_2. </w:t>
            </w:r>
          </w:p>
          <w:p w14:paraId="396665D7" w14:textId="77777777" w:rsidR="006A1690" w:rsidRPr="00836B4A" w:rsidRDefault="006A1690" w:rsidP="00836B4A">
            <w:pPr>
              <w:pStyle w:val="B1"/>
              <w:spacing w:after="0"/>
              <w:rPr>
                <w:rFonts w:ascii="Arial" w:hAnsi="Arial" w:cs="Arial"/>
                <w:sz w:val="16"/>
                <w:szCs w:val="16"/>
                <w:lang w:eastAsia="zh-CN"/>
              </w:rPr>
            </w:pPr>
            <w:r w:rsidRPr="00836B4A">
              <w:rPr>
                <w:rFonts w:ascii="Arial" w:hAnsi="Arial" w:cs="Arial"/>
                <w:sz w:val="16"/>
                <w:szCs w:val="16"/>
              </w:rPr>
              <w:t>-</w:t>
            </w:r>
            <w:r w:rsidRPr="00836B4A">
              <w:rPr>
                <w:rFonts w:ascii="Arial" w:hAnsi="Arial" w:cs="Arial"/>
                <w:sz w:val="16"/>
                <w:szCs w:val="16"/>
              </w:rPr>
              <w:tab/>
              <w:t xml:space="preserve">When codepoint "10" of </w:t>
            </w:r>
            <w:r w:rsidRPr="00836B4A">
              <w:rPr>
                <w:rFonts w:ascii="Arial" w:hAnsi="Arial" w:cs="Arial"/>
                <w:i/>
                <w:sz w:val="16"/>
                <w:szCs w:val="16"/>
              </w:rPr>
              <w:t>SRS Resource Set</w:t>
            </w:r>
            <w:r w:rsidRPr="00836B4A">
              <w:rPr>
                <w:rFonts w:ascii="Arial" w:hAnsi="Arial" w:cs="Arial"/>
                <w:sz w:val="16"/>
                <w:szCs w:val="16"/>
              </w:rPr>
              <w:t xml:space="preserve"> </w:t>
            </w:r>
            <w:r w:rsidRPr="00836B4A">
              <w:rPr>
                <w:rFonts w:ascii="Arial" w:hAnsi="Arial" w:cs="Arial"/>
                <w:i/>
                <w:iCs/>
                <w:sz w:val="16"/>
                <w:szCs w:val="16"/>
              </w:rPr>
              <w:t xml:space="preserve">indicator </w:t>
            </w:r>
            <w:r w:rsidRPr="00836B4A">
              <w:rPr>
                <w:rFonts w:ascii="Arial" w:hAnsi="Arial" w:cs="Arial"/>
                <w:sz w:val="16"/>
                <w:szCs w:val="16"/>
              </w:rPr>
              <w:t>is indicated</w:t>
            </w:r>
            <w:r w:rsidRPr="00836B4A">
              <w:rPr>
                <w:rFonts w:ascii="Arial" w:hAnsi="Arial" w:cs="Arial"/>
                <w:i/>
                <w:iCs/>
                <w:sz w:val="16"/>
                <w:szCs w:val="16"/>
              </w:rPr>
              <w:t>,</w:t>
            </w:r>
            <w:r w:rsidRPr="00836B4A">
              <w:rPr>
                <w:rFonts w:ascii="Arial" w:hAnsi="Arial" w:cs="Arial"/>
                <w:sz w:val="16"/>
                <w:szCs w:val="16"/>
              </w:rPr>
              <w:t xml:space="preserve"> the first SRI is used to indicate resource(s) to be associated with layer(s) {0…v</w:t>
            </w:r>
            <w:r w:rsidRPr="00836B4A">
              <w:rPr>
                <w:rFonts w:ascii="Arial" w:hAnsi="Arial" w:cs="Arial"/>
                <w:sz w:val="16"/>
                <w:szCs w:val="16"/>
                <w:vertAlign w:val="subscript"/>
              </w:rPr>
              <w:t>1</w:t>
            </w:r>
            <w:r w:rsidRPr="00836B4A">
              <w:rPr>
                <w:rFonts w:ascii="Arial" w:hAnsi="Arial" w:cs="Arial"/>
                <w:sz w:val="16"/>
                <w:szCs w:val="16"/>
              </w:rPr>
              <w:t>-1}}, where v</w:t>
            </w:r>
            <w:r w:rsidRPr="00836B4A">
              <w:rPr>
                <w:rFonts w:ascii="Arial" w:hAnsi="Arial" w:cs="Arial"/>
                <w:sz w:val="16"/>
                <w:szCs w:val="16"/>
                <w:vertAlign w:val="subscript"/>
              </w:rPr>
              <w:t>1</w:t>
            </w:r>
            <w:r w:rsidRPr="00836B4A">
              <w:rPr>
                <w:rFonts w:ascii="Arial" w:hAnsi="Arial" w:cs="Arial"/>
                <w:sz w:val="16"/>
                <w:szCs w:val="16"/>
              </w:rPr>
              <w:t xml:space="preserve"> being the number of layers indicated by the first SRI, and the second SRI is used to indicate resource(s) to be associated with layer(s) {v</w:t>
            </w:r>
            <w:r w:rsidRPr="00836B4A">
              <w:rPr>
                <w:rFonts w:ascii="Arial" w:hAnsi="Arial" w:cs="Arial"/>
                <w:sz w:val="16"/>
                <w:szCs w:val="16"/>
                <w:vertAlign w:val="subscript"/>
              </w:rPr>
              <w:t>1</w:t>
            </w:r>
            <w:r w:rsidRPr="00836B4A">
              <w:rPr>
                <w:rFonts w:ascii="Arial" w:hAnsi="Arial" w:cs="Arial"/>
                <w:sz w:val="16"/>
                <w:szCs w:val="16"/>
              </w:rPr>
              <w:t>…. v</w:t>
            </w:r>
            <w:r w:rsidRPr="00836B4A">
              <w:rPr>
                <w:rFonts w:ascii="Arial" w:hAnsi="Arial" w:cs="Arial"/>
                <w:sz w:val="16"/>
                <w:szCs w:val="16"/>
                <w:vertAlign w:val="subscript"/>
              </w:rPr>
              <w:t>2</w:t>
            </w:r>
            <w:r w:rsidRPr="00836B4A">
              <w:rPr>
                <w:rFonts w:ascii="Arial" w:hAnsi="Arial" w:cs="Arial"/>
                <w:sz w:val="16"/>
                <w:szCs w:val="16"/>
              </w:rPr>
              <w:t>+v</w:t>
            </w:r>
            <w:r w:rsidRPr="00836B4A">
              <w:rPr>
                <w:rFonts w:ascii="Arial" w:hAnsi="Arial" w:cs="Arial"/>
                <w:sz w:val="16"/>
                <w:szCs w:val="16"/>
                <w:vertAlign w:val="subscript"/>
              </w:rPr>
              <w:t>1</w:t>
            </w:r>
            <w:r w:rsidRPr="00836B4A">
              <w:rPr>
                <w:rFonts w:ascii="Arial" w:hAnsi="Arial" w:cs="Arial"/>
                <w:sz w:val="16"/>
                <w:szCs w:val="16"/>
              </w:rPr>
              <w:t>-1}, v</w:t>
            </w:r>
            <w:r w:rsidRPr="00836B4A">
              <w:rPr>
                <w:rFonts w:ascii="Arial" w:hAnsi="Arial" w:cs="Arial"/>
                <w:sz w:val="16"/>
                <w:szCs w:val="16"/>
                <w:vertAlign w:val="subscript"/>
              </w:rPr>
              <w:t>1</w:t>
            </w:r>
            <w:r w:rsidRPr="00836B4A">
              <w:rPr>
                <w:rFonts w:ascii="Arial" w:hAnsi="Arial" w:cs="Arial"/>
                <w:sz w:val="16"/>
                <w:szCs w:val="16"/>
              </w:rPr>
              <w:t xml:space="preserve"> ≤ </w:t>
            </w:r>
            <w:r w:rsidRPr="00836B4A">
              <w:rPr>
                <w:rFonts w:ascii="Arial" w:hAnsi="Arial" w:cs="Arial"/>
                <w:i/>
                <w:iCs/>
                <w:sz w:val="16"/>
                <w:szCs w:val="16"/>
              </w:rPr>
              <w:t>L</w:t>
            </w:r>
            <w:r w:rsidRPr="00836B4A">
              <w:rPr>
                <w:rFonts w:ascii="Arial" w:hAnsi="Arial" w:cs="Arial"/>
                <w:i/>
                <w:iCs/>
                <w:sz w:val="16"/>
                <w:szCs w:val="16"/>
                <w:vertAlign w:val="subscript"/>
              </w:rPr>
              <w:t>max</w:t>
            </w:r>
            <w:r w:rsidRPr="00836B4A">
              <w:rPr>
                <w:rFonts w:ascii="Arial" w:hAnsi="Arial" w:cs="Arial"/>
                <w:i/>
                <w:iCs/>
                <w:sz w:val="16"/>
                <w:szCs w:val="16"/>
              </w:rPr>
              <w:t xml:space="preserve"> </w:t>
            </w:r>
            <w:r w:rsidRPr="00836B4A">
              <w:rPr>
                <w:rFonts w:ascii="Arial" w:hAnsi="Arial" w:cs="Arial"/>
                <w:sz w:val="16"/>
                <w:szCs w:val="16"/>
              </w:rPr>
              <w:t>and</w:t>
            </w:r>
            <w:r w:rsidRPr="00836B4A">
              <w:rPr>
                <w:rFonts w:ascii="Arial" w:hAnsi="Arial" w:cs="Arial"/>
                <w:i/>
                <w:iCs/>
                <w:sz w:val="16"/>
                <w:szCs w:val="16"/>
              </w:rPr>
              <w:t xml:space="preserve"> </w:t>
            </w:r>
            <w:r w:rsidRPr="00836B4A">
              <w:rPr>
                <w:rFonts w:ascii="Arial" w:hAnsi="Arial" w:cs="Arial"/>
                <w:sz w:val="16"/>
                <w:szCs w:val="16"/>
              </w:rPr>
              <w:t>v</w:t>
            </w:r>
            <w:r w:rsidRPr="00836B4A">
              <w:rPr>
                <w:rFonts w:ascii="Arial" w:hAnsi="Arial" w:cs="Arial"/>
                <w:sz w:val="16"/>
                <w:szCs w:val="16"/>
                <w:vertAlign w:val="subscript"/>
              </w:rPr>
              <w:t>2</w:t>
            </w:r>
            <w:r w:rsidRPr="00836B4A">
              <w:rPr>
                <w:rFonts w:ascii="Arial" w:hAnsi="Arial" w:cs="Arial"/>
                <w:sz w:val="16"/>
                <w:szCs w:val="16"/>
              </w:rPr>
              <w:t xml:space="preserve"> ≤ </w:t>
            </w:r>
            <w:r w:rsidRPr="00836B4A">
              <w:rPr>
                <w:rFonts w:ascii="Arial" w:hAnsi="Arial" w:cs="Arial"/>
                <w:i/>
                <w:iCs/>
                <w:sz w:val="16"/>
                <w:szCs w:val="16"/>
              </w:rPr>
              <w:t>L</w:t>
            </w:r>
            <w:r w:rsidRPr="00836B4A">
              <w:rPr>
                <w:rFonts w:ascii="Arial" w:hAnsi="Arial" w:cs="Arial"/>
                <w:i/>
                <w:iCs/>
                <w:sz w:val="16"/>
                <w:szCs w:val="16"/>
                <w:vertAlign w:val="subscript"/>
              </w:rPr>
              <w:t>max</w:t>
            </w:r>
            <w:r w:rsidRPr="00836B4A">
              <w:rPr>
                <w:rFonts w:ascii="Arial" w:hAnsi="Arial" w:cs="Arial"/>
                <w:i/>
                <w:iCs/>
                <w:sz w:val="16"/>
                <w:szCs w:val="16"/>
              </w:rPr>
              <w:t xml:space="preserve"> </w:t>
            </w:r>
            <w:r w:rsidRPr="00836B4A">
              <w:rPr>
                <w:rFonts w:ascii="Arial" w:hAnsi="Arial" w:cs="Arial"/>
                <w:sz w:val="16"/>
                <w:szCs w:val="16"/>
              </w:rPr>
              <w:t xml:space="preserve">where </w:t>
            </w:r>
            <w:r w:rsidRPr="00836B4A">
              <w:rPr>
                <w:rFonts w:ascii="Arial" w:hAnsi="Arial" w:cs="Arial"/>
                <w:i/>
                <w:iCs/>
                <w:sz w:val="16"/>
                <w:szCs w:val="16"/>
              </w:rPr>
              <w:t>L</w:t>
            </w:r>
            <w:r w:rsidRPr="00836B4A">
              <w:rPr>
                <w:rFonts w:ascii="Arial" w:hAnsi="Arial" w:cs="Arial"/>
                <w:i/>
                <w:iCs/>
                <w:sz w:val="16"/>
                <w:szCs w:val="16"/>
                <w:vertAlign w:val="subscript"/>
              </w:rPr>
              <w:t>max</w:t>
            </w:r>
            <w:r w:rsidRPr="00836B4A">
              <w:rPr>
                <w:rFonts w:ascii="Arial" w:hAnsi="Arial" w:cs="Arial"/>
                <w:sz w:val="16"/>
                <w:szCs w:val="16"/>
              </w:rPr>
              <w:t xml:space="preserve"> is defined </w:t>
            </w:r>
            <w:r w:rsidRPr="00836B4A">
              <w:rPr>
                <w:rFonts w:ascii="Arial" w:hAnsi="Arial" w:cs="Arial"/>
                <w:iCs/>
                <w:sz w:val="16"/>
                <w:szCs w:val="16"/>
              </w:rPr>
              <w:t>is defined in</w:t>
            </w:r>
            <w:r w:rsidRPr="00836B4A">
              <w:rPr>
                <w:rFonts w:ascii="Arial" w:hAnsi="Arial" w:cs="Arial"/>
                <w:i/>
                <w:iCs/>
                <w:sz w:val="16"/>
                <w:szCs w:val="16"/>
              </w:rPr>
              <w:t xml:space="preserve"> </w:t>
            </w:r>
            <w:r w:rsidRPr="00836B4A">
              <w:rPr>
                <w:rFonts w:ascii="Arial" w:hAnsi="Arial" w:cs="Arial"/>
                <w:sz w:val="16"/>
                <w:szCs w:val="16"/>
              </w:rPr>
              <w:t xml:space="preserve">clauses </w:t>
            </w:r>
            <w:r w:rsidRPr="00836B4A">
              <w:rPr>
                <w:rFonts w:ascii="Arial" w:hAnsi="Arial" w:cs="Arial"/>
                <w:iCs/>
                <w:sz w:val="16"/>
                <w:szCs w:val="16"/>
              </w:rPr>
              <w:t>7.3.1.1.2 and 7.3.1.1.3 of [5, TS 38.212].</w:t>
            </w:r>
            <w:ins w:id="222" w:author="Author" w:date="2023-11-13T18:57:00Z">
              <w:r w:rsidRPr="00836B4A">
                <w:rPr>
                  <w:rFonts w:ascii="Arial" w:hAnsi="Arial" w:cs="Arial"/>
                  <w:sz w:val="16"/>
                  <w:szCs w:val="16"/>
                </w:rPr>
                <w:t xml:space="preserve"> </w:t>
              </w:r>
              <w:r w:rsidRPr="00836B4A">
                <w:rPr>
                  <w:rFonts w:ascii="Arial" w:hAnsi="Arial" w:cs="Arial"/>
                  <w:sz w:val="16"/>
                  <w:szCs w:val="16"/>
                  <w:lang w:eastAsia="zh-CN"/>
                </w:rPr>
                <w:t xml:space="preserve">The UE </w:t>
              </w:r>
            </w:ins>
            <w:ins w:id="223" w:author="Author" w:date="2023-11-13T18:59:00Z">
              <w:r w:rsidRPr="00836B4A">
                <w:rPr>
                  <w:rFonts w:ascii="Arial" w:hAnsi="Arial" w:cs="Arial"/>
                  <w:sz w:val="16"/>
                  <w:szCs w:val="16"/>
                  <w:lang w:eastAsia="zh-CN"/>
                </w:rPr>
                <w:t xml:space="preserve">shall </w:t>
              </w:r>
            </w:ins>
            <w:ins w:id="224" w:author="Author" w:date="2023-11-13T18:57:00Z">
              <w:r w:rsidRPr="00836B4A">
                <w:rPr>
                  <w:rFonts w:ascii="Arial" w:hAnsi="Arial" w:cs="Arial"/>
                  <w:sz w:val="16"/>
                  <w:szCs w:val="16"/>
                  <w:lang w:eastAsia="zh-CN"/>
                </w:rPr>
                <w:t>expect that SR</w:t>
              </w:r>
            </w:ins>
            <w:ins w:id="225" w:author="Author" w:date="2023-11-13T18:58:00Z">
              <w:r w:rsidRPr="00836B4A">
                <w:rPr>
                  <w:rFonts w:ascii="Arial" w:hAnsi="Arial" w:cs="Arial"/>
                  <w:sz w:val="16"/>
                  <w:szCs w:val="16"/>
                  <w:lang w:eastAsia="zh-CN"/>
                </w:rPr>
                <w:t>S</w:t>
              </w:r>
            </w:ins>
            <w:ins w:id="226" w:author="Author" w:date="2023-11-13T18:57:00Z">
              <w:r w:rsidRPr="00836B4A">
                <w:rPr>
                  <w:rFonts w:ascii="Arial" w:hAnsi="Arial" w:cs="Arial"/>
                  <w:sz w:val="16"/>
                  <w:szCs w:val="16"/>
                  <w:lang w:eastAsia="zh-CN"/>
                </w:rPr>
                <w:t xml:space="preserve"> resource(s) indicated by the first SRI and SR</w:t>
              </w:r>
            </w:ins>
            <w:ins w:id="227" w:author="Author" w:date="2023-11-13T18:58:00Z">
              <w:r w:rsidRPr="00836B4A">
                <w:rPr>
                  <w:rFonts w:ascii="Arial" w:hAnsi="Arial" w:cs="Arial"/>
                  <w:sz w:val="16"/>
                  <w:szCs w:val="16"/>
                  <w:lang w:eastAsia="zh-CN"/>
                </w:rPr>
                <w:t>S</w:t>
              </w:r>
            </w:ins>
            <w:ins w:id="228" w:author="Author" w:date="2023-11-13T18:57:00Z">
              <w:r w:rsidRPr="00836B4A">
                <w:rPr>
                  <w:rFonts w:ascii="Arial" w:hAnsi="Arial" w:cs="Arial"/>
                  <w:sz w:val="16"/>
                  <w:szCs w:val="16"/>
                  <w:lang w:eastAsia="zh-CN"/>
                </w:rPr>
                <w:t xml:space="preserve"> resource(s) indicated by the second SRI are </w:t>
              </w:r>
            </w:ins>
            <w:ins w:id="229" w:author="Author" w:date="2023-11-13T19:00:00Z">
              <w:r w:rsidRPr="00836B4A">
                <w:rPr>
                  <w:rFonts w:ascii="Arial" w:hAnsi="Arial" w:cs="Arial"/>
                  <w:sz w:val="16"/>
                  <w:szCs w:val="16"/>
                  <w:lang w:eastAsia="zh-CN"/>
                </w:rPr>
                <w:t xml:space="preserve">corresponding </w:t>
              </w:r>
            </w:ins>
            <w:ins w:id="230" w:author="Author" w:date="2023-11-13T18:57:00Z">
              <w:r w:rsidRPr="00836B4A">
                <w:rPr>
                  <w:rFonts w:ascii="Arial" w:hAnsi="Arial" w:cs="Arial"/>
                  <w:sz w:val="16"/>
                  <w:szCs w:val="16"/>
                  <w:lang w:eastAsia="zh-CN"/>
                </w:rPr>
                <w:t>to different PUSCH antenna ports.</w:t>
              </w:r>
            </w:ins>
          </w:p>
          <w:p w14:paraId="285DC558" w14:textId="77777777" w:rsidR="006A1690" w:rsidRPr="00836B4A" w:rsidRDefault="006A1690" w:rsidP="00836B4A">
            <w:pPr>
              <w:pStyle w:val="B1"/>
              <w:spacing w:after="0"/>
              <w:rPr>
                <w:rFonts w:ascii="Arial" w:hAnsi="Arial" w:cs="Arial"/>
                <w:sz w:val="16"/>
                <w:szCs w:val="16"/>
              </w:rPr>
            </w:pPr>
            <w:r w:rsidRPr="00836B4A">
              <w:rPr>
                <w:rFonts w:ascii="Arial" w:hAnsi="Arial" w:cs="Arial"/>
                <w:sz w:val="16"/>
                <w:szCs w:val="16"/>
              </w:rPr>
              <w:t>-</w:t>
            </w:r>
            <w:r w:rsidRPr="00836B4A">
              <w:rPr>
                <w:rFonts w:ascii="Arial" w:hAnsi="Arial" w:cs="Arial"/>
                <w:sz w:val="16"/>
                <w:szCs w:val="16"/>
              </w:rPr>
              <w:tab/>
              <w:t xml:space="preserve">When  codepoint "00" or "01" of </w:t>
            </w:r>
            <w:r w:rsidRPr="00836B4A">
              <w:rPr>
                <w:rFonts w:ascii="Arial" w:hAnsi="Arial" w:cs="Arial"/>
                <w:i/>
                <w:sz w:val="16"/>
                <w:szCs w:val="16"/>
              </w:rPr>
              <w:t>SRS Resource Set</w:t>
            </w:r>
            <w:r w:rsidRPr="00836B4A">
              <w:rPr>
                <w:rFonts w:ascii="Arial" w:hAnsi="Arial" w:cs="Arial"/>
                <w:sz w:val="16"/>
                <w:szCs w:val="16"/>
              </w:rPr>
              <w:t xml:space="preserve"> </w:t>
            </w:r>
            <w:r w:rsidRPr="00836B4A">
              <w:rPr>
                <w:rFonts w:ascii="Arial" w:hAnsi="Arial" w:cs="Arial"/>
                <w:i/>
                <w:iCs/>
                <w:sz w:val="16"/>
                <w:szCs w:val="16"/>
              </w:rPr>
              <w:t xml:space="preserve">indicator </w:t>
            </w:r>
            <w:r w:rsidRPr="00836B4A">
              <w:rPr>
                <w:rFonts w:ascii="Arial" w:hAnsi="Arial" w:cs="Arial"/>
                <w:sz w:val="16"/>
                <w:szCs w:val="16"/>
              </w:rPr>
              <w:t>is indicated</w:t>
            </w:r>
            <w:r w:rsidRPr="00836B4A">
              <w:rPr>
                <w:rFonts w:ascii="Arial" w:hAnsi="Arial" w:cs="Arial"/>
                <w:i/>
                <w:iCs/>
                <w:sz w:val="16"/>
                <w:szCs w:val="16"/>
              </w:rPr>
              <w:t>,</w:t>
            </w:r>
            <w:r w:rsidRPr="00836B4A">
              <w:rPr>
                <w:rFonts w:ascii="Arial" w:hAnsi="Arial" w:cs="Arial"/>
                <w:sz w:val="16"/>
                <w:szCs w:val="16"/>
              </w:rPr>
              <w:t xml:space="preserve"> the second SRI is reserved, the first SRI is used to indicate resource(s) to be associated with layers {0…v-1}, v ≤ </w:t>
            </w:r>
            <w:r w:rsidRPr="00836B4A">
              <w:rPr>
                <w:rFonts w:ascii="Arial" w:hAnsi="Arial" w:cs="Arial"/>
                <w:i/>
                <w:iCs/>
                <w:sz w:val="16"/>
                <w:szCs w:val="16"/>
              </w:rPr>
              <w:t>L</w:t>
            </w:r>
            <w:r w:rsidRPr="00836B4A">
              <w:rPr>
                <w:rFonts w:ascii="Arial" w:hAnsi="Arial" w:cs="Arial"/>
                <w:i/>
                <w:iCs/>
                <w:sz w:val="16"/>
                <w:szCs w:val="16"/>
                <w:vertAlign w:val="subscript"/>
              </w:rPr>
              <w:t>max</w:t>
            </w:r>
            <w:r w:rsidRPr="00836B4A">
              <w:rPr>
                <w:rFonts w:ascii="Arial" w:hAnsi="Arial" w:cs="Arial"/>
                <w:sz w:val="16"/>
                <w:szCs w:val="16"/>
              </w:rPr>
              <w:t xml:space="preserve">. </w:t>
            </w:r>
          </w:p>
          <w:p w14:paraId="30688B73" w14:textId="77777777" w:rsidR="006A1690" w:rsidRPr="00836B4A" w:rsidRDefault="006A1690" w:rsidP="00836B4A">
            <w:pPr>
              <w:rPr>
                <w:rFonts w:ascii="Arial" w:hAnsi="Arial" w:cs="Arial"/>
                <w:color w:val="000000"/>
                <w:sz w:val="16"/>
                <w:szCs w:val="16"/>
              </w:rPr>
            </w:pPr>
            <w:r w:rsidRPr="00836B4A">
              <w:rPr>
                <w:rFonts w:ascii="Arial" w:hAnsi="Arial" w:cs="Arial"/>
                <w:color w:val="000000"/>
                <w:sz w:val="16"/>
                <w:szCs w:val="16"/>
              </w:rPr>
              <w:t xml:space="preserve">When the higher layer parameter </w:t>
            </w:r>
            <w:r w:rsidRPr="00836B4A">
              <w:rPr>
                <w:rFonts w:ascii="Arial" w:hAnsi="Arial" w:cs="Arial"/>
                <w:i/>
                <w:iCs/>
                <w:color w:val="000000"/>
                <w:sz w:val="16"/>
                <w:szCs w:val="16"/>
              </w:rPr>
              <w:t>multipanelScheme</w:t>
            </w:r>
            <w:r w:rsidRPr="00836B4A">
              <w:rPr>
                <w:rFonts w:ascii="Arial" w:hAnsi="Arial" w:cs="Arial"/>
                <w:color w:val="000000"/>
                <w:sz w:val="16"/>
                <w:szCs w:val="16"/>
              </w:rPr>
              <w:t xml:space="preserve"> is set to 'SFNscheme' and two SRS resource sets are configured in </w:t>
            </w:r>
            <w:r w:rsidRPr="00836B4A">
              <w:rPr>
                <w:rFonts w:ascii="Arial" w:hAnsi="Arial" w:cs="Arial"/>
                <w:i/>
                <w:color w:val="000000"/>
                <w:sz w:val="16"/>
                <w:szCs w:val="16"/>
              </w:rPr>
              <w:t>srs-ResourceSetToAddModList</w:t>
            </w:r>
            <w:r w:rsidRPr="00836B4A">
              <w:rPr>
                <w:rFonts w:ascii="Arial" w:hAnsi="Arial" w:cs="Arial"/>
                <w:color w:val="000000"/>
                <w:sz w:val="16"/>
                <w:szCs w:val="16"/>
              </w:rPr>
              <w:t xml:space="preserve"> or </w:t>
            </w:r>
            <w:r w:rsidRPr="00836B4A">
              <w:rPr>
                <w:rFonts w:ascii="Arial" w:hAnsi="Arial" w:cs="Arial"/>
                <w:i/>
                <w:color w:val="000000"/>
                <w:sz w:val="16"/>
                <w:szCs w:val="16"/>
              </w:rPr>
              <w:t xml:space="preserve">srs-ResourceSetToAddModListDCI-0-2 </w:t>
            </w:r>
            <w:r w:rsidRPr="00836B4A">
              <w:rPr>
                <w:rFonts w:ascii="Arial" w:hAnsi="Arial" w:cs="Arial"/>
                <w:color w:val="000000"/>
                <w:sz w:val="16"/>
                <w:szCs w:val="16"/>
              </w:rPr>
              <w:t xml:space="preserve">with higher layer parameter </w:t>
            </w:r>
            <w:r w:rsidRPr="00836B4A">
              <w:rPr>
                <w:rFonts w:ascii="Arial" w:hAnsi="Arial" w:cs="Arial"/>
                <w:i/>
                <w:color w:val="000000"/>
                <w:sz w:val="16"/>
                <w:szCs w:val="16"/>
              </w:rPr>
              <w:t xml:space="preserve">usage </w:t>
            </w:r>
            <w:r w:rsidRPr="00836B4A">
              <w:rPr>
                <w:rFonts w:ascii="Arial" w:hAnsi="Arial" w:cs="Arial"/>
                <w:color w:val="000000"/>
                <w:sz w:val="16"/>
                <w:szCs w:val="16"/>
              </w:rPr>
              <w:t xml:space="preserve">in </w:t>
            </w:r>
            <w:r w:rsidRPr="00836B4A">
              <w:rPr>
                <w:rFonts w:ascii="Arial" w:hAnsi="Arial" w:cs="Arial"/>
                <w:i/>
                <w:color w:val="000000"/>
                <w:sz w:val="16"/>
                <w:szCs w:val="16"/>
              </w:rPr>
              <w:t>SRS-ResourceSet</w:t>
            </w:r>
            <w:r w:rsidRPr="00836B4A">
              <w:rPr>
                <w:rFonts w:ascii="Arial" w:hAnsi="Arial" w:cs="Arial"/>
                <w:color w:val="000000"/>
                <w:sz w:val="16"/>
                <w:szCs w:val="16"/>
              </w:rPr>
              <w:t xml:space="preserve"> set to 'nonCodebook', two SRI(s) are given by the DCI fields of two SRS resource indicator and two Precoding information and number of layers in clause 7.3.1.1.2 and 7.3.1.1.3 of [5, TS 38.212] for DCI format 0_1 and 0_2. </w:t>
            </w:r>
          </w:p>
          <w:p w14:paraId="35BA8362" w14:textId="77777777" w:rsidR="006A1690" w:rsidRPr="00836B4A" w:rsidRDefault="006A1690" w:rsidP="00836B4A">
            <w:pPr>
              <w:pStyle w:val="B1"/>
              <w:spacing w:after="0"/>
              <w:rPr>
                <w:rFonts w:ascii="Arial" w:hAnsi="Arial" w:cs="Arial"/>
                <w:sz w:val="16"/>
                <w:szCs w:val="16"/>
              </w:rPr>
            </w:pPr>
            <w:r w:rsidRPr="00836B4A">
              <w:rPr>
                <w:rFonts w:ascii="Arial" w:hAnsi="Arial" w:cs="Arial"/>
                <w:sz w:val="16"/>
                <w:szCs w:val="16"/>
              </w:rPr>
              <w:t>-</w:t>
            </w:r>
            <w:r w:rsidRPr="00836B4A">
              <w:rPr>
                <w:rFonts w:ascii="Arial" w:hAnsi="Arial" w:cs="Arial"/>
                <w:sz w:val="16"/>
                <w:szCs w:val="16"/>
              </w:rPr>
              <w:tab/>
              <w:t xml:space="preserve">When codepoint "10" of </w:t>
            </w:r>
            <w:r w:rsidRPr="00836B4A">
              <w:rPr>
                <w:rFonts w:ascii="Arial" w:hAnsi="Arial" w:cs="Arial"/>
                <w:i/>
                <w:sz w:val="16"/>
                <w:szCs w:val="16"/>
              </w:rPr>
              <w:t>SRS Resource Set</w:t>
            </w:r>
            <w:r w:rsidRPr="00836B4A">
              <w:rPr>
                <w:rFonts w:ascii="Arial" w:hAnsi="Arial" w:cs="Arial"/>
                <w:sz w:val="16"/>
                <w:szCs w:val="16"/>
              </w:rPr>
              <w:t xml:space="preserve"> </w:t>
            </w:r>
            <w:r w:rsidRPr="00836B4A">
              <w:rPr>
                <w:rFonts w:ascii="Arial" w:hAnsi="Arial" w:cs="Arial"/>
                <w:i/>
                <w:iCs/>
                <w:sz w:val="16"/>
                <w:szCs w:val="16"/>
              </w:rPr>
              <w:t xml:space="preserve">indicator </w:t>
            </w:r>
            <w:r w:rsidRPr="00836B4A">
              <w:rPr>
                <w:rFonts w:ascii="Arial" w:hAnsi="Arial" w:cs="Arial"/>
                <w:sz w:val="16"/>
                <w:szCs w:val="16"/>
              </w:rPr>
              <w:t>is indicated</w:t>
            </w:r>
            <w:r w:rsidRPr="00836B4A">
              <w:rPr>
                <w:rFonts w:ascii="Arial" w:hAnsi="Arial" w:cs="Arial"/>
                <w:i/>
                <w:iCs/>
                <w:sz w:val="16"/>
                <w:szCs w:val="16"/>
              </w:rPr>
              <w:t>,</w:t>
            </w:r>
            <w:r w:rsidRPr="00836B4A">
              <w:rPr>
                <w:rFonts w:ascii="Arial" w:hAnsi="Arial" w:cs="Arial"/>
                <w:sz w:val="16"/>
                <w:szCs w:val="16"/>
              </w:rPr>
              <w:t xml:space="preserve"> the first SRI is used to indicate resource(s) to be associated with layer(s) {0…v-1} and the second SRI is used to indicate resource(s) to be associated with  layer(s) {0…v-1}, where  v ≤ </w:t>
            </w:r>
            <w:r w:rsidRPr="00836B4A">
              <w:rPr>
                <w:rFonts w:ascii="Arial" w:hAnsi="Arial" w:cs="Arial"/>
                <w:i/>
                <w:iCs/>
                <w:sz w:val="16"/>
                <w:szCs w:val="16"/>
              </w:rPr>
              <w:t>L</w:t>
            </w:r>
            <w:r w:rsidRPr="00836B4A">
              <w:rPr>
                <w:rFonts w:ascii="Arial" w:hAnsi="Arial" w:cs="Arial"/>
                <w:i/>
                <w:iCs/>
                <w:sz w:val="16"/>
                <w:szCs w:val="16"/>
                <w:vertAlign w:val="subscript"/>
              </w:rPr>
              <w:t>max</w:t>
            </w:r>
            <w:r w:rsidRPr="00836B4A">
              <w:rPr>
                <w:rFonts w:ascii="Arial" w:hAnsi="Arial" w:cs="Arial"/>
                <w:i/>
                <w:iCs/>
                <w:sz w:val="16"/>
                <w:szCs w:val="16"/>
              </w:rPr>
              <w:t xml:space="preserve"> </w:t>
            </w:r>
            <w:r w:rsidRPr="00836B4A">
              <w:rPr>
                <w:rFonts w:ascii="Arial" w:hAnsi="Arial" w:cs="Arial"/>
                <w:sz w:val="16"/>
                <w:szCs w:val="16"/>
              </w:rPr>
              <w:t xml:space="preserve">and where </w:t>
            </w:r>
            <w:r w:rsidRPr="00836B4A">
              <w:rPr>
                <w:rFonts w:ascii="Arial" w:hAnsi="Arial" w:cs="Arial"/>
                <w:i/>
                <w:iCs/>
                <w:sz w:val="16"/>
                <w:szCs w:val="16"/>
              </w:rPr>
              <w:t>L</w:t>
            </w:r>
            <w:r w:rsidRPr="00836B4A">
              <w:rPr>
                <w:rFonts w:ascii="Arial" w:hAnsi="Arial" w:cs="Arial"/>
                <w:i/>
                <w:iCs/>
                <w:sz w:val="16"/>
                <w:szCs w:val="16"/>
                <w:vertAlign w:val="subscript"/>
              </w:rPr>
              <w:t>max</w:t>
            </w:r>
            <w:r w:rsidRPr="00836B4A">
              <w:rPr>
                <w:rFonts w:ascii="Arial" w:hAnsi="Arial" w:cs="Arial"/>
                <w:sz w:val="16"/>
                <w:szCs w:val="16"/>
              </w:rPr>
              <w:t xml:space="preserve"> is defined in clauses 7.3.1.1.2 and 7.3.1.1.3 of [5, TS 38.212]. </w:t>
            </w:r>
            <w:ins w:id="231" w:author="Author" w:date="2023-11-13T18:58:00Z">
              <w:r w:rsidRPr="00836B4A">
                <w:rPr>
                  <w:rFonts w:ascii="Arial" w:hAnsi="Arial" w:cs="Arial"/>
                  <w:sz w:val="16"/>
                  <w:szCs w:val="16"/>
                  <w:lang w:eastAsia="zh-CN"/>
                </w:rPr>
                <w:t xml:space="preserve">The UE </w:t>
              </w:r>
            </w:ins>
            <w:ins w:id="232" w:author="Author" w:date="2023-11-13T19:00:00Z">
              <w:r w:rsidRPr="00836B4A">
                <w:rPr>
                  <w:rFonts w:ascii="Arial" w:hAnsi="Arial" w:cs="Arial"/>
                  <w:sz w:val="16"/>
                  <w:szCs w:val="16"/>
                  <w:lang w:eastAsia="zh-CN"/>
                </w:rPr>
                <w:t xml:space="preserve">shall </w:t>
              </w:r>
            </w:ins>
            <w:ins w:id="233" w:author="Author" w:date="2023-11-13T18:58:00Z">
              <w:r w:rsidRPr="00836B4A">
                <w:rPr>
                  <w:rFonts w:ascii="Arial" w:hAnsi="Arial" w:cs="Arial"/>
                  <w:sz w:val="16"/>
                  <w:szCs w:val="16"/>
                  <w:lang w:eastAsia="zh-CN"/>
                </w:rPr>
                <w:t xml:space="preserve">expect that SRS resource(s) indicated by the first SRI and SRS resource(s) indicated by the second SRI are </w:t>
              </w:r>
            </w:ins>
            <w:ins w:id="234" w:author="Author" w:date="2023-11-13T19:01:00Z">
              <w:r w:rsidRPr="00836B4A">
                <w:rPr>
                  <w:rFonts w:ascii="Arial" w:hAnsi="Arial" w:cs="Arial"/>
                  <w:sz w:val="16"/>
                  <w:szCs w:val="16"/>
                  <w:lang w:eastAsia="zh-CN"/>
                </w:rPr>
                <w:t xml:space="preserve">corresponding </w:t>
              </w:r>
            </w:ins>
            <w:ins w:id="235" w:author="Author" w:date="2023-11-13T18:58:00Z">
              <w:r w:rsidRPr="00836B4A">
                <w:rPr>
                  <w:rFonts w:ascii="Arial" w:hAnsi="Arial" w:cs="Arial"/>
                  <w:sz w:val="16"/>
                  <w:szCs w:val="16"/>
                  <w:lang w:eastAsia="zh-CN"/>
                </w:rPr>
                <w:t>to different PUSCH antenna ports.</w:t>
              </w:r>
            </w:ins>
          </w:p>
          <w:p w14:paraId="4F4F20D1" w14:textId="77777777" w:rsidR="006A1690" w:rsidRPr="00836B4A" w:rsidRDefault="006A1690" w:rsidP="00836B4A">
            <w:pPr>
              <w:pStyle w:val="B1"/>
              <w:spacing w:after="0"/>
              <w:rPr>
                <w:rFonts w:ascii="Arial" w:hAnsi="Arial" w:cs="Arial"/>
                <w:sz w:val="16"/>
                <w:szCs w:val="16"/>
              </w:rPr>
            </w:pPr>
            <w:r w:rsidRPr="00836B4A">
              <w:rPr>
                <w:rFonts w:ascii="Arial" w:hAnsi="Arial" w:cs="Arial"/>
                <w:sz w:val="16"/>
                <w:szCs w:val="16"/>
              </w:rPr>
              <w:t>-</w:t>
            </w:r>
            <w:r w:rsidRPr="00836B4A">
              <w:rPr>
                <w:rFonts w:ascii="Arial" w:hAnsi="Arial" w:cs="Arial"/>
                <w:sz w:val="16"/>
                <w:szCs w:val="16"/>
              </w:rPr>
              <w:tab/>
              <w:t xml:space="preserve">When  codepoint "00" or "01" of </w:t>
            </w:r>
            <w:r w:rsidRPr="00836B4A">
              <w:rPr>
                <w:rFonts w:ascii="Arial" w:hAnsi="Arial" w:cs="Arial"/>
                <w:i/>
                <w:sz w:val="16"/>
                <w:szCs w:val="16"/>
              </w:rPr>
              <w:t>SRS Resource Set</w:t>
            </w:r>
            <w:r w:rsidRPr="00836B4A">
              <w:rPr>
                <w:rFonts w:ascii="Arial" w:hAnsi="Arial" w:cs="Arial"/>
                <w:sz w:val="16"/>
                <w:szCs w:val="16"/>
              </w:rPr>
              <w:t xml:space="preserve"> </w:t>
            </w:r>
            <w:r w:rsidRPr="00836B4A">
              <w:rPr>
                <w:rFonts w:ascii="Arial" w:hAnsi="Arial" w:cs="Arial"/>
                <w:i/>
                <w:iCs/>
                <w:sz w:val="16"/>
                <w:szCs w:val="16"/>
              </w:rPr>
              <w:t xml:space="preserve">indicator </w:t>
            </w:r>
            <w:r w:rsidRPr="00836B4A">
              <w:rPr>
                <w:rFonts w:ascii="Arial" w:hAnsi="Arial" w:cs="Arial"/>
                <w:sz w:val="16"/>
                <w:szCs w:val="16"/>
              </w:rPr>
              <w:t>is indicated</w:t>
            </w:r>
            <w:r w:rsidRPr="00836B4A">
              <w:rPr>
                <w:rFonts w:ascii="Arial" w:hAnsi="Arial" w:cs="Arial"/>
                <w:i/>
                <w:iCs/>
                <w:sz w:val="16"/>
                <w:szCs w:val="16"/>
              </w:rPr>
              <w:t>,</w:t>
            </w:r>
            <w:r w:rsidRPr="00836B4A">
              <w:rPr>
                <w:rFonts w:ascii="Arial" w:hAnsi="Arial" w:cs="Arial"/>
                <w:sz w:val="16"/>
                <w:szCs w:val="16"/>
              </w:rPr>
              <w:t xml:space="preserve"> the second SRI is reserved, the first SRI is used to indicate resources(s) to be associated with layers {0…v-1}, where v ≤ </w:t>
            </w:r>
            <w:r w:rsidRPr="00836B4A">
              <w:rPr>
                <w:rFonts w:ascii="Arial" w:hAnsi="Arial" w:cs="Arial"/>
                <w:i/>
                <w:iCs/>
                <w:sz w:val="16"/>
                <w:szCs w:val="16"/>
              </w:rPr>
              <w:t>L</w:t>
            </w:r>
            <w:r w:rsidRPr="00836B4A">
              <w:rPr>
                <w:rFonts w:ascii="Arial" w:hAnsi="Arial" w:cs="Arial"/>
                <w:i/>
                <w:iCs/>
                <w:sz w:val="16"/>
                <w:szCs w:val="16"/>
                <w:vertAlign w:val="subscript"/>
              </w:rPr>
              <w:t>max</w:t>
            </w:r>
            <w:r w:rsidRPr="00836B4A">
              <w:rPr>
                <w:rFonts w:ascii="Arial" w:hAnsi="Arial" w:cs="Arial"/>
                <w:sz w:val="16"/>
                <w:szCs w:val="16"/>
              </w:rPr>
              <w:t xml:space="preserve">. When two SRIs are indicated, the UE shall expect that the number of SRS antenna ports associated with two indicated SRIs to be the same. </w:t>
            </w:r>
          </w:p>
          <w:p w14:paraId="29AAC014" w14:textId="77777777" w:rsidR="006A1690" w:rsidRPr="00836B4A" w:rsidRDefault="006A1690" w:rsidP="00836B4A">
            <w:pPr>
              <w:pStyle w:val="B1"/>
              <w:spacing w:after="0"/>
              <w:rPr>
                <w:rFonts w:ascii="Arial" w:hAnsi="Arial" w:cs="Arial"/>
                <w:sz w:val="16"/>
                <w:szCs w:val="16"/>
              </w:rPr>
            </w:pPr>
            <w:r w:rsidRPr="00836B4A">
              <w:rPr>
                <w:rFonts w:ascii="Arial" w:hAnsi="Arial" w:cs="Arial"/>
                <w:sz w:val="16"/>
                <w:szCs w:val="16"/>
              </w:rPr>
              <w:t>-</w:t>
            </w:r>
            <w:r w:rsidRPr="00836B4A">
              <w:rPr>
                <w:rFonts w:ascii="Arial" w:hAnsi="Arial" w:cs="Arial"/>
                <w:sz w:val="16"/>
                <w:szCs w:val="16"/>
              </w:rPr>
              <w:tab/>
              <w:t xml:space="preserve">Codepoint "11" of </w:t>
            </w:r>
            <w:r w:rsidRPr="00836B4A">
              <w:rPr>
                <w:rFonts w:ascii="Arial" w:hAnsi="Arial" w:cs="Arial"/>
                <w:i/>
                <w:iCs/>
                <w:sz w:val="16"/>
                <w:szCs w:val="16"/>
              </w:rPr>
              <w:t>SRS Resource Set indicator</w:t>
            </w:r>
            <w:r w:rsidRPr="00836B4A">
              <w:rPr>
                <w:rFonts w:ascii="Arial" w:hAnsi="Arial" w:cs="Arial"/>
                <w:sz w:val="16"/>
                <w:szCs w:val="16"/>
              </w:rPr>
              <w:t xml:space="preserve"> is reserved. </w:t>
            </w:r>
          </w:p>
          <w:p w14:paraId="1697840D" w14:textId="77777777" w:rsidR="006A1690" w:rsidRPr="00836B4A" w:rsidRDefault="006A1690" w:rsidP="00836B4A">
            <w:pPr>
              <w:rPr>
                <w:rFonts w:ascii="Arial" w:hAnsi="Arial" w:cs="Arial"/>
                <w:color w:val="000000"/>
                <w:sz w:val="16"/>
                <w:szCs w:val="16"/>
              </w:rPr>
            </w:pPr>
            <w:r w:rsidRPr="00836B4A">
              <w:rPr>
                <w:rFonts w:ascii="Arial" w:hAnsi="Arial" w:cs="Arial"/>
                <w:color w:val="000000"/>
                <w:sz w:val="16"/>
                <w:szCs w:val="16"/>
              </w:rPr>
              <w:t xml:space="preserve">When the UE is configured with the higher layer parameter </w:t>
            </w:r>
            <w:r w:rsidRPr="00836B4A">
              <w:rPr>
                <w:rFonts w:ascii="Arial" w:hAnsi="Arial" w:cs="Arial"/>
                <w:i/>
                <w:color w:val="000000"/>
                <w:sz w:val="16"/>
                <w:szCs w:val="16"/>
              </w:rPr>
              <w:t>txConfig</w:t>
            </w:r>
            <w:r w:rsidRPr="00836B4A">
              <w:rPr>
                <w:rFonts w:ascii="Arial" w:hAnsi="Arial" w:cs="Arial"/>
                <w:color w:val="000000"/>
                <w:sz w:val="16"/>
                <w:szCs w:val="16"/>
              </w:rPr>
              <w:t xml:space="preserve"> set to 'Noncodebook', the UE is configured with at least one SRS resource. Each of the indicated one or two SRI(s) in slot </w:t>
            </w:r>
            <w:r w:rsidRPr="00836B4A">
              <w:rPr>
                <w:rFonts w:ascii="Arial" w:hAnsi="Arial" w:cs="Arial"/>
                <w:i/>
                <w:color w:val="000000"/>
                <w:sz w:val="16"/>
                <w:szCs w:val="16"/>
              </w:rPr>
              <w:t>n</w:t>
            </w:r>
            <w:r w:rsidRPr="00836B4A">
              <w:rPr>
                <w:rFonts w:ascii="Arial" w:hAnsi="Arial" w:cs="Arial"/>
                <w:color w:val="000000"/>
                <w:sz w:val="16"/>
                <w:szCs w:val="16"/>
              </w:rPr>
              <w:t xml:space="preserve"> is associated with the most recent transmission of SRS resource of associated SRS resource set identified by the SRI, where the SRS resource is prior to the PDCCH carrying the SRI. When two SRS resource sets are configured in </w:t>
            </w:r>
            <w:r w:rsidRPr="00836B4A">
              <w:rPr>
                <w:rFonts w:ascii="Arial" w:hAnsi="Arial" w:cs="Arial"/>
                <w:i/>
                <w:color w:val="000000"/>
                <w:sz w:val="16"/>
                <w:szCs w:val="16"/>
              </w:rPr>
              <w:t>srs-ResourceSetToAddModList</w:t>
            </w:r>
            <w:r w:rsidRPr="00836B4A">
              <w:rPr>
                <w:rFonts w:ascii="Arial" w:hAnsi="Arial" w:cs="Arial"/>
                <w:color w:val="000000"/>
                <w:sz w:val="16"/>
                <w:szCs w:val="16"/>
              </w:rPr>
              <w:t xml:space="preserve"> or </w:t>
            </w:r>
            <w:r w:rsidRPr="00836B4A">
              <w:rPr>
                <w:rFonts w:ascii="Arial" w:hAnsi="Arial" w:cs="Arial"/>
                <w:i/>
                <w:color w:val="000000"/>
                <w:sz w:val="16"/>
                <w:szCs w:val="16"/>
              </w:rPr>
              <w:t xml:space="preserve">srs-ResourceSetToAddModListDCI-0-2 </w:t>
            </w:r>
            <w:r w:rsidRPr="00836B4A">
              <w:rPr>
                <w:rFonts w:ascii="Arial" w:hAnsi="Arial" w:cs="Arial"/>
                <w:color w:val="000000"/>
                <w:sz w:val="16"/>
                <w:szCs w:val="16"/>
              </w:rPr>
              <w:t xml:space="preserve">with higher layer parameter </w:t>
            </w:r>
            <w:r w:rsidRPr="00836B4A">
              <w:rPr>
                <w:rFonts w:ascii="Arial" w:hAnsi="Arial" w:cs="Arial"/>
                <w:i/>
                <w:color w:val="000000"/>
                <w:sz w:val="16"/>
                <w:szCs w:val="16"/>
              </w:rPr>
              <w:t xml:space="preserve">usage </w:t>
            </w:r>
            <w:r w:rsidRPr="00836B4A">
              <w:rPr>
                <w:rFonts w:ascii="Arial" w:hAnsi="Arial" w:cs="Arial"/>
                <w:color w:val="000000"/>
                <w:sz w:val="16"/>
                <w:szCs w:val="16"/>
              </w:rPr>
              <w:t xml:space="preserve">in </w:t>
            </w:r>
            <w:r w:rsidRPr="00836B4A">
              <w:rPr>
                <w:rFonts w:ascii="Arial" w:hAnsi="Arial" w:cs="Arial"/>
                <w:i/>
                <w:color w:val="000000"/>
                <w:sz w:val="16"/>
                <w:szCs w:val="16"/>
              </w:rPr>
              <w:t>SRS-ResourceSet</w:t>
            </w:r>
            <w:r w:rsidRPr="00836B4A">
              <w:rPr>
                <w:rFonts w:ascii="Arial" w:hAnsi="Arial" w:cs="Arial"/>
                <w:color w:val="000000"/>
                <w:sz w:val="16"/>
                <w:szCs w:val="16"/>
              </w:rPr>
              <w:t xml:space="preserve"> set to 'Noncodebook', the UE is not expected to be configured with different number of SRS resources in the two SRS resource sets.</w:t>
            </w:r>
          </w:p>
          <w:p w14:paraId="4DB1B6D2" w14:textId="77777777" w:rsidR="006A1690" w:rsidRPr="00836B4A" w:rsidRDefault="006A1690" w:rsidP="00836B4A">
            <w:pPr>
              <w:jc w:val="center"/>
              <w:rPr>
                <w:rFonts w:ascii="Arial" w:hAnsi="Arial" w:cs="Arial"/>
                <w:sz w:val="16"/>
                <w:szCs w:val="16"/>
              </w:rPr>
            </w:pPr>
            <w:r w:rsidRPr="00836B4A">
              <w:rPr>
                <w:rFonts w:ascii="Arial" w:hAnsi="Arial" w:cs="Arial"/>
                <w:color w:val="FF0000"/>
                <w:sz w:val="16"/>
                <w:szCs w:val="16"/>
                <w:lang w:eastAsia="zh-CN"/>
              </w:rPr>
              <w:t>&lt;Unchanged parts are omitted&gt;</w:t>
            </w:r>
          </w:p>
        </w:tc>
      </w:tr>
    </w:tbl>
    <w:p w14:paraId="0D3D4827" w14:textId="77777777" w:rsidR="006A1690" w:rsidRPr="006A1690" w:rsidRDefault="006A1690" w:rsidP="006A1690">
      <w:pPr>
        <w:rPr>
          <w:rFonts w:ascii="Times New Roman" w:hAnsi="Times New Roman"/>
          <w:szCs w:val="20"/>
          <w:lang w:eastAsia="zh-CN"/>
        </w:rPr>
      </w:pPr>
    </w:p>
    <w:p w14:paraId="6D6A8567" w14:textId="14BE2E90" w:rsidR="006A1690" w:rsidRPr="006A1690" w:rsidRDefault="006A1690" w:rsidP="006A1690">
      <w:pPr>
        <w:rPr>
          <w:rFonts w:ascii="Times New Roman" w:eastAsia="DengXian" w:hAnsi="Times New Roman"/>
          <w:szCs w:val="20"/>
          <w:highlight w:val="green"/>
        </w:rPr>
      </w:pPr>
      <w:r w:rsidRPr="006A1690">
        <w:rPr>
          <w:rFonts w:ascii="Times New Roman" w:eastAsia="DengXian" w:hAnsi="Times New Roman"/>
          <w:szCs w:val="20"/>
          <w:highlight w:val="green"/>
        </w:rPr>
        <w:t>Agreement:</w:t>
      </w:r>
    </w:p>
    <w:p w14:paraId="2A8CA7E5" w14:textId="77777777" w:rsidR="006A1690" w:rsidRPr="006A1690" w:rsidRDefault="006A1690" w:rsidP="006A1690">
      <w:pPr>
        <w:rPr>
          <w:rFonts w:ascii="Times New Roman" w:eastAsia="Calibri" w:hAnsi="Times New Roman"/>
          <w:szCs w:val="20"/>
        </w:rPr>
      </w:pPr>
      <w:r w:rsidRPr="006A1690">
        <w:rPr>
          <w:rFonts w:ascii="Times New Roman" w:eastAsia="DengXian" w:hAnsi="Times New Roman"/>
          <w:szCs w:val="20"/>
          <w:lang w:eastAsia="zh-CN"/>
        </w:rPr>
        <w:t>When multi-DCI based STxMP PUSCH+PUSCH is configured</w:t>
      </w:r>
      <w:r w:rsidRPr="006A1690">
        <w:rPr>
          <w:rFonts w:ascii="Times New Roman" w:eastAsia="Calibri" w:hAnsi="Times New Roman"/>
          <w:szCs w:val="20"/>
        </w:rPr>
        <w:t xml:space="preserve">, the UE expects to be configured with two SRS resource sets with usage </w:t>
      </w:r>
      <w:r w:rsidRPr="006A1690">
        <w:rPr>
          <w:rFonts w:ascii="Times New Roman" w:eastAsia="Calibri" w:hAnsi="Times New Roman"/>
          <w:i/>
          <w:iCs/>
          <w:szCs w:val="20"/>
        </w:rPr>
        <w:t>‘codebook’</w:t>
      </w:r>
      <w:r w:rsidRPr="006A1690">
        <w:rPr>
          <w:rFonts w:ascii="Times New Roman" w:eastAsia="Calibri" w:hAnsi="Times New Roman"/>
          <w:szCs w:val="20"/>
        </w:rPr>
        <w:t xml:space="preserve"> or </w:t>
      </w:r>
      <w:r w:rsidRPr="006A1690">
        <w:rPr>
          <w:rFonts w:ascii="Times New Roman" w:eastAsia="Calibri" w:hAnsi="Times New Roman"/>
          <w:i/>
          <w:iCs/>
          <w:szCs w:val="20"/>
        </w:rPr>
        <w:t xml:space="preserve">‘nonCodeBook’ </w:t>
      </w:r>
      <w:r w:rsidRPr="006A1690">
        <w:rPr>
          <w:rFonts w:ascii="Times New Roman" w:eastAsia="Calibri" w:hAnsi="Times New Roman"/>
          <w:szCs w:val="20"/>
        </w:rPr>
        <w:t xml:space="preserve">in </w:t>
      </w:r>
      <w:r w:rsidRPr="006A1690">
        <w:rPr>
          <w:rFonts w:ascii="Times New Roman" w:eastAsia="Calibri" w:hAnsi="Times New Roman"/>
          <w:i/>
          <w:iCs/>
          <w:szCs w:val="20"/>
        </w:rPr>
        <w:t xml:space="preserve">srs-ResourceSetToAddModList </w:t>
      </w:r>
    </w:p>
    <w:p w14:paraId="7111D02F" w14:textId="77777777" w:rsidR="006A1690" w:rsidRPr="006A1690" w:rsidRDefault="006A1690" w:rsidP="00AA1D48">
      <w:pPr>
        <w:pStyle w:val="ListParagraph"/>
        <w:numPr>
          <w:ilvl w:val="0"/>
          <w:numId w:val="107"/>
        </w:numPr>
        <w:rPr>
          <w:rFonts w:eastAsia="DengXian"/>
          <w:lang w:val="en-CA" w:eastAsia="zh-CN"/>
        </w:rPr>
      </w:pPr>
      <w:r w:rsidRPr="006A1690">
        <w:rPr>
          <w:rFonts w:eastAsia="DengXian"/>
        </w:rPr>
        <w:t>W</w:t>
      </w:r>
      <w:r w:rsidRPr="006A1690">
        <w:rPr>
          <w:rFonts w:eastAsia="Calibri"/>
        </w:rPr>
        <w:t>hen UE is configured to monitor DCI format 0_2 and i</w:t>
      </w:r>
      <w:r w:rsidRPr="006A1690">
        <w:rPr>
          <w:lang w:eastAsia="zh-CN"/>
        </w:rPr>
        <w:t xml:space="preserve">f </w:t>
      </w:r>
      <w:r w:rsidRPr="006A1690">
        <w:rPr>
          <w:rFonts w:eastAsia="Calibri"/>
        </w:rPr>
        <w:t xml:space="preserve">two SRS resource sets of CB/NCB are </w:t>
      </w:r>
      <w:r w:rsidRPr="006A1690">
        <w:rPr>
          <w:lang w:eastAsia="zh-CN"/>
        </w:rPr>
        <w:t xml:space="preserve">configured </w:t>
      </w:r>
      <w:r w:rsidRPr="006A1690">
        <w:rPr>
          <w:rFonts w:eastAsia="Calibri"/>
        </w:rPr>
        <w:t>for DCI 0_1</w:t>
      </w:r>
      <w:r w:rsidRPr="006A1690">
        <w:rPr>
          <w:rFonts w:eastAsia="Calibri"/>
          <w:i/>
          <w:iCs/>
        </w:rPr>
        <w:t xml:space="preserve"> </w:t>
      </w:r>
      <w:r w:rsidRPr="006A1690">
        <w:rPr>
          <w:lang w:eastAsia="zh-CN"/>
        </w:rPr>
        <w:t>while one</w:t>
      </w:r>
      <w:r w:rsidRPr="006A1690">
        <w:rPr>
          <w:rFonts w:eastAsia="Calibri"/>
        </w:rPr>
        <w:t xml:space="preserve"> SRS resource set of CB/NCB is </w:t>
      </w:r>
      <w:r w:rsidRPr="006A1690">
        <w:rPr>
          <w:lang w:eastAsia="zh-CN"/>
        </w:rPr>
        <w:t xml:space="preserve">configured </w:t>
      </w:r>
      <w:r w:rsidRPr="006A1690">
        <w:rPr>
          <w:rFonts w:eastAsia="Calibri"/>
        </w:rPr>
        <w:t>for DCI 0_2,</w:t>
      </w:r>
      <w:r w:rsidRPr="006A1690">
        <w:rPr>
          <w:iCs/>
          <w:lang w:eastAsia="zh-CN"/>
        </w:rPr>
        <w:t xml:space="preserve"> the UE monitors DCI format 0_2 only in coresets associated with </w:t>
      </w:r>
      <w:r w:rsidRPr="006A1690">
        <w:rPr>
          <w:i/>
          <w:lang w:eastAsia="zh-CN"/>
        </w:rPr>
        <w:t xml:space="preserve">CORESETPoolIndex </w:t>
      </w:r>
      <w:r w:rsidRPr="006A1690">
        <w:rPr>
          <w:iCs/>
          <w:lang w:eastAsia="zh-CN"/>
        </w:rPr>
        <w:t>= 0.</w:t>
      </w:r>
    </w:p>
    <w:p w14:paraId="0D7698A9" w14:textId="77777777" w:rsidR="00F74A6F" w:rsidRPr="009537ED" w:rsidRDefault="00F74A6F" w:rsidP="009E07E2">
      <w:pPr>
        <w:pStyle w:val="Heading4"/>
      </w:pPr>
      <w:bookmarkStart w:id="236" w:name="_Toc150174449"/>
      <w:bookmarkStart w:id="237" w:name="_Toc159250991"/>
      <w:r w:rsidRPr="009537ED">
        <w:t>SRI/TPMI enhancement for enabling 8 TX UL transmission</w:t>
      </w:r>
      <w:bookmarkEnd w:id="236"/>
      <w:bookmarkEnd w:id="237"/>
    </w:p>
    <w:p w14:paraId="19CB47CA" w14:textId="6FFB02F0" w:rsidR="00F74A6F" w:rsidRPr="009537ED" w:rsidRDefault="005A18DC" w:rsidP="00F74A6F">
      <w:pPr>
        <w:rPr>
          <w:lang w:eastAsia="x-none"/>
        </w:rPr>
      </w:pPr>
      <w:hyperlink r:id="rId927" w:history="1">
        <w:r w:rsidR="00AF7253">
          <w:rPr>
            <w:rStyle w:val="Hyperlink"/>
            <w:lang w:eastAsia="x-none"/>
          </w:rPr>
          <w:t>R1-2310925</w:t>
        </w:r>
      </w:hyperlink>
      <w:r w:rsidR="00F74A6F" w:rsidRPr="009537ED">
        <w:rPr>
          <w:lang w:eastAsia="x-none"/>
        </w:rPr>
        <w:tab/>
        <w:t>Maintenance on Rel-18 8TX UE Operation</w:t>
      </w:r>
      <w:r w:rsidR="00F74A6F" w:rsidRPr="009537ED">
        <w:rPr>
          <w:lang w:eastAsia="x-none"/>
        </w:rPr>
        <w:tab/>
        <w:t>InterDigital, Inc.</w:t>
      </w:r>
    </w:p>
    <w:p w14:paraId="3DB278AB" w14:textId="76837721" w:rsidR="00F74A6F" w:rsidRPr="009537ED" w:rsidRDefault="005A18DC" w:rsidP="00F74A6F">
      <w:pPr>
        <w:rPr>
          <w:lang w:eastAsia="x-none"/>
        </w:rPr>
      </w:pPr>
      <w:hyperlink r:id="rId928" w:history="1">
        <w:r w:rsidR="00AF7253">
          <w:rPr>
            <w:rStyle w:val="Hyperlink"/>
            <w:lang w:eastAsia="x-none"/>
          </w:rPr>
          <w:t>R1-2310953</w:t>
        </w:r>
      </w:hyperlink>
      <w:r w:rsidR="00F74A6F" w:rsidRPr="009537ED">
        <w:rPr>
          <w:lang w:eastAsia="x-none"/>
        </w:rPr>
        <w:tab/>
        <w:t>Maintenance on SRI/TPMI enhancement for enabling 8 TX UL transmission</w:t>
      </w:r>
      <w:r w:rsidR="00F74A6F" w:rsidRPr="009537ED">
        <w:rPr>
          <w:lang w:eastAsia="x-none"/>
        </w:rPr>
        <w:tab/>
        <w:t>ZTE</w:t>
      </w:r>
    </w:p>
    <w:p w14:paraId="02CC0779" w14:textId="43CA3666" w:rsidR="00F74A6F" w:rsidRPr="009537ED" w:rsidRDefault="005A18DC" w:rsidP="00F74A6F">
      <w:pPr>
        <w:rPr>
          <w:lang w:eastAsia="x-none"/>
        </w:rPr>
      </w:pPr>
      <w:hyperlink r:id="rId929" w:history="1">
        <w:r w:rsidR="00AF7253">
          <w:rPr>
            <w:rStyle w:val="Hyperlink"/>
            <w:lang w:eastAsia="x-none"/>
          </w:rPr>
          <w:t>R1-2311044</w:t>
        </w:r>
      </w:hyperlink>
      <w:r w:rsidR="00F74A6F" w:rsidRPr="009537ED">
        <w:rPr>
          <w:lang w:eastAsia="x-none"/>
        </w:rPr>
        <w:tab/>
        <w:t>Discussion on remaining issues for 8Tx UL transmission</w:t>
      </w:r>
      <w:r w:rsidR="00F74A6F" w:rsidRPr="009537ED">
        <w:rPr>
          <w:lang w:eastAsia="x-none"/>
        </w:rPr>
        <w:tab/>
        <w:t>Fujitsu</w:t>
      </w:r>
    </w:p>
    <w:p w14:paraId="68476E24" w14:textId="7E25FE05" w:rsidR="00F74A6F" w:rsidRPr="009537ED" w:rsidRDefault="005A18DC" w:rsidP="00F74A6F">
      <w:pPr>
        <w:rPr>
          <w:lang w:eastAsia="x-none"/>
        </w:rPr>
      </w:pPr>
      <w:hyperlink r:id="rId930" w:history="1">
        <w:r w:rsidR="00AF7253">
          <w:rPr>
            <w:rStyle w:val="Hyperlink"/>
            <w:lang w:eastAsia="x-none"/>
          </w:rPr>
          <w:t>R1-2311089</w:t>
        </w:r>
      </w:hyperlink>
      <w:r w:rsidR="00F74A6F" w:rsidRPr="009537ED">
        <w:rPr>
          <w:lang w:eastAsia="x-none"/>
        </w:rPr>
        <w:tab/>
        <w:t>Maintenance on enabling 8 TX UL transmission</w:t>
      </w:r>
      <w:r w:rsidR="00F74A6F" w:rsidRPr="009537ED">
        <w:rPr>
          <w:lang w:eastAsia="x-none"/>
        </w:rPr>
        <w:tab/>
        <w:t>vivo</w:t>
      </w:r>
    </w:p>
    <w:p w14:paraId="17595C56" w14:textId="0217FFD8" w:rsidR="00F74A6F" w:rsidRPr="009537ED" w:rsidRDefault="005A18DC" w:rsidP="00F74A6F">
      <w:pPr>
        <w:rPr>
          <w:lang w:eastAsia="x-none"/>
        </w:rPr>
      </w:pPr>
      <w:hyperlink r:id="rId931" w:history="1">
        <w:r w:rsidR="00AF7253">
          <w:rPr>
            <w:rStyle w:val="Hyperlink"/>
            <w:lang w:eastAsia="x-none"/>
          </w:rPr>
          <w:t>R1-2311160</w:t>
        </w:r>
      </w:hyperlink>
      <w:r w:rsidR="00F74A6F" w:rsidRPr="009537ED">
        <w:rPr>
          <w:lang w:eastAsia="x-none"/>
        </w:rPr>
        <w:tab/>
        <w:t>Remaining issues on SRI/TPMI enhancement for enabling 8 TX UL transmission</w:t>
      </w:r>
      <w:r w:rsidR="00F74A6F" w:rsidRPr="009537ED">
        <w:rPr>
          <w:lang w:eastAsia="x-none"/>
        </w:rPr>
        <w:tab/>
        <w:t>Spreadtrum Communications</w:t>
      </w:r>
    </w:p>
    <w:p w14:paraId="5A380005" w14:textId="1181D0CA" w:rsidR="00F74A6F" w:rsidRPr="009537ED" w:rsidRDefault="005A18DC" w:rsidP="00F74A6F">
      <w:pPr>
        <w:rPr>
          <w:lang w:eastAsia="x-none"/>
        </w:rPr>
      </w:pPr>
      <w:hyperlink r:id="rId932" w:history="1">
        <w:r w:rsidR="00AF7253">
          <w:rPr>
            <w:rStyle w:val="Hyperlink"/>
            <w:lang w:eastAsia="x-none"/>
          </w:rPr>
          <w:t>R1-2311219</w:t>
        </w:r>
      </w:hyperlink>
      <w:r w:rsidR="00F74A6F" w:rsidRPr="009537ED">
        <w:rPr>
          <w:lang w:eastAsia="x-none"/>
        </w:rPr>
        <w:tab/>
        <w:t>Remaining issues on SRI TPMI enhancement for 8 TX UL transmission</w:t>
      </w:r>
      <w:r w:rsidR="00F74A6F" w:rsidRPr="009537ED">
        <w:rPr>
          <w:lang w:eastAsia="x-none"/>
        </w:rPr>
        <w:tab/>
        <w:t>OPPO</w:t>
      </w:r>
    </w:p>
    <w:p w14:paraId="3165A32C" w14:textId="2240BB83" w:rsidR="00F74A6F" w:rsidRPr="009537ED" w:rsidRDefault="005A18DC" w:rsidP="00F74A6F">
      <w:pPr>
        <w:rPr>
          <w:lang w:eastAsia="x-none"/>
        </w:rPr>
      </w:pPr>
      <w:hyperlink r:id="rId933" w:history="1">
        <w:r w:rsidR="00AF7253">
          <w:rPr>
            <w:rStyle w:val="Hyperlink"/>
            <w:lang w:eastAsia="x-none"/>
          </w:rPr>
          <w:t>R1-2311320</w:t>
        </w:r>
      </w:hyperlink>
      <w:r w:rsidR="00F74A6F" w:rsidRPr="009537ED">
        <w:rPr>
          <w:lang w:eastAsia="x-none"/>
        </w:rPr>
        <w:tab/>
        <w:t>Discussion of remaining issues on enhancement of SRI/TPMI for 8TX UL transmission</w:t>
      </w:r>
      <w:r w:rsidR="00F74A6F" w:rsidRPr="009537ED">
        <w:rPr>
          <w:lang w:eastAsia="x-none"/>
        </w:rPr>
        <w:tab/>
        <w:t>CATT</w:t>
      </w:r>
    </w:p>
    <w:p w14:paraId="2331A348" w14:textId="5590D42C" w:rsidR="00F74A6F" w:rsidRPr="009537ED" w:rsidRDefault="005A18DC" w:rsidP="00F74A6F">
      <w:pPr>
        <w:rPr>
          <w:lang w:eastAsia="x-none"/>
        </w:rPr>
      </w:pPr>
      <w:hyperlink r:id="rId934" w:history="1">
        <w:r w:rsidR="00AF7253">
          <w:rPr>
            <w:rStyle w:val="Hyperlink"/>
            <w:lang w:eastAsia="x-none"/>
          </w:rPr>
          <w:t>R1-2311367</w:t>
        </w:r>
      </w:hyperlink>
      <w:r w:rsidR="00F74A6F" w:rsidRPr="009537ED">
        <w:rPr>
          <w:lang w:eastAsia="x-none"/>
        </w:rPr>
        <w:tab/>
        <w:t>Maintenance on SRI/TPMI enhancement for enabling 8TX UL transmission</w:t>
      </w:r>
      <w:r w:rsidR="00F74A6F" w:rsidRPr="009537ED">
        <w:rPr>
          <w:lang w:eastAsia="x-none"/>
        </w:rPr>
        <w:tab/>
        <w:t>Lenovo</w:t>
      </w:r>
    </w:p>
    <w:p w14:paraId="4251C1E5" w14:textId="5288059A" w:rsidR="00F74A6F" w:rsidRPr="009537ED" w:rsidRDefault="005A18DC" w:rsidP="00F74A6F">
      <w:pPr>
        <w:rPr>
          <w:lang w:eastAsia="x-none"/>
        </w:rPr>
      </w:pPr>
      <w:hyperlink r:id="rId935" w:history="1">
        <w:r w:rsidR="00AF7253">
          <w:rPr>
            <w:rStyle w:val="Hyperlink"/>
            <w:lang w:eastAsia="x-none"/>
          </w:rPr>
          <w:t>R1-2311385</w:t>
        </w:r>
      </w:hyperlink>
      <w:r w:rsidR="00F74A6F" w:rsidRPr="009537ED">
        <w:rPr>
          <w:lang w:eastAsia="x-none"/>
        </w:rPr>
        <w:tab/>
        <w:t>Enhancements on 8Tx uplink transmission</w:t>
      </w:r>
      <w:r w:rsidR="00F74A6F" w:rsidRPr="009537ED">
        <w:rPr>
          <w:lang w:eastAsia="x-none"/>
        </w:rPr>
        <w:tab/>
        <w:t>xiaomi</w:t>
      </w:r>
    </w:p>
    <w:p w14:paraId="558845A2" w14:textId="5462D91A" w:rsidR="00F74A6F" w:rsidRPr="009537ED" w:rsidRDefault="005A18DC" w:rsidP="00F74A6F">
      <w:pPr>
        <w:rPr>
          <w:lang w:eastAsia="x-none"/>
        </w:rPr>
      </w:pPr>
      <w:hyperlink r:id="rId936" w:history="1">
        <w:r w:rsidR="00AF7253">
          <w:rPr>
            <w:rStyle w:val="Hyperlink"/>
            <w:lang w:eastAsia="x-none"/>
          </w:rPr>
          <w:t>R1-2311417</w:t>
        </w:r>
      </w:hyperlink>
      <w:r w:rsidR="00F74A6F" w:rsidRPr="009537ED">
        <w:rPr>
          <w:lang w:eastAsia="x-none"/>
        </w:rPr>
        <w:tab/>
        <w:t>Remaining issues on SRI/TPMI enhancement</w:t>
      </w:r>
      <w:r w:rsidR="00F74A6F" w:rsidRPr="009537ED">
        <w:rPr>
          <w:lang w:eastAsia="x-none"/>
        </w:rPr>
        <w:tab/>
        <w:t>NEC</w:t>
      </w:r>
    </w:p>
    <w:p w14:paraId="67E430B7" w14:textId="0FFC39FE" w:rsidR="00F74A6F" w:rsidRPr="009537ED" w:rsidRDefault="005A18DC" w:rsidP="00F74A6F">
      <w:pPr>
        <w:rPr>
          <w:lang w:eastAsia="x-none"/>
        </w:rPr>
      </w:pPr>
      <w:hyperlink r:id="rId937" w:history="1">
        <w:r w:rsidR="00AF7253">
          <w:rPr>
            <w:rStyle w:val="Hyperlink"/>
            <w:lang w:eastAsia="x-none"/>
          </w:rPr>
          <w:t>R1-2311435</w:t>
        </w:r>
      </w:hyperlink>
      <w:r w:rsidR="00F74A6F" w:rsidRPr="009537ED">
        <w:rPr>
          <w:lang w:eastAsia="x-none"/>
        </w:rPr>
        <w:tab/>
        <w:t>SRI/TPMI enhancement for enabling 8 TX UL transmission</w:t>
      </w:r>
      <w:r w:rsidR="00F74A6F" w:rsidRPr="009537ED">
        <w:rPr>
          <w:lang w:eastAsia="x-none"/>
        </w:rPr>
        <w:tab/>
        <w:t>LG Electronics</w:t>
      </w:r>
    </w:p>
    <w:p w14:paraId="382DC6A8" w14:textId="503E85AA" w:rsidR="00F74A6F" w:rsidRPr="009537ED" w:rsidRDefault="005A18DC" w:rsidP="00F74A6F">
      <w:pPr>
        <w:rPr>
          <w:lang w:eastAsia="x-none"/>
        </w:rPr>
      </w:pPr>
      <w:hyperlink r:id="rId938" w:history="1">
        <w:r w:rsidR="00AF7253">
          <w:rPr>
            <w:rStyle w:val="Hyperlink"/>
            <w:lang w:eastAsia="x-none"/>
          </w:rPr>
          <w:t>R1-2311480</w:t>
        </w:r>
      </w:hyperlink>
      <w:r w:rsidR="00F74A6F" w:rsidRPr="009537ED">
        <w:rPr>
          <w:lang w:eastAsia="x-none"/>
        </w:rPr>
        <w:tab/>
        <w:t>Remaining issues on SRI/TPMI enhancement for enabling 8 TX UL transmission</w:t>
      </w:r>
      <w:r w:rsidR="00F74A6F" w:rsidRPr="009537ED">
        <w:rPr>
          <w:lang w:eastAsia="x-none"/>
        </w:rPr>
        <w:tab/>
        <w:t>CMCC</w:t>
      </w:r>
    </w:p>
    <w:p w14:paraId="4F2ADD44" w14:textId="7F424D67" w:rsidR="00F74A6F" w:rsidRPr="009537ED" w:rsidRDefault="005A18DC" w:rsidP="00F74A6F">
      <w:pPr>
        <w:rPr>
          <w:lang w:eastAsia="x-none"/>
        </w:rPr>
      </w:pPr>
      <w:hyperlink r:id="rId939" w:history="1">
        <w:r w:rsidR="00AF7253">
          <w:rPr>
            <w:rStyle w:val="Hyperlink"/>
            <w:lang w:eastAsia="x-none"/>
          </w:rPr>
          <w:t>R1-2311571</w:t>
        </w:r>
      </w:hyperlink>
      <w:r w:rsidR="00F74A6F" w:rsidRPr="009537ED">
        <w:rPr>
          <w:lang w:eastAsia="x-none"/>
        </w:rPr>
        <w:tab/>
        <w:t>On SRI/TPMI Indication for 8Tx Transmission</w:t>
      </w:r>
      <w:r w:rsidR="00F74A6F" w:rsidRPr="009537ED">
        <w:rPr>
          <w:lang w:eastAsia="x-none"/>
        </w:rPr>
        <w:tab/>
        <w:t>Google</w:t>
      </w:r>
    </w:p>
    <w:p w14:paraId="3A77696C" w14:textId="150EFD49" w:rsidR="00F74A6F" w:rsidRPr="009537ED" w:rsidRDefault="005A18DC" w:rsidP="00F74A6F">
      <w:pPr>
        <w:rPr>
          <w:lang w:eastAsia="x-none"/>
        </w:rPr>
      </w:pPr>
      <w:hyperlink r:id="rId940" w:history="1">
        <w:r w:rsidR="00AF7253">
          <w:rPr>
            <w:rStyle w:val="Hyperlink"/>
            <w:lang w:eastAsia="x-none"/>
          </w:rPr>
          <w:t>R1-2311590</w:t>
        </w:r>
      </w:hyperlink>
      <w:r w:rsidR="00F74A6F" w:rsidRPr="009537ED">
        <w:rPr>
          <w:lang w:eastAsia="x-none"/>
        </w:rPr>
        <w:tab/>
        <w:t>Remaining issues on Full Power Mode for 8 TX UL Transmission</w:t>
      </w:r>
      <w:r w:rsidR="00F74A6F" w:rsidRPr="009537ED">
        <w:rPr>
          <w:lang w:eastAsia="x-none"/>
        </w:rPr>
        <w:tab/>
        <w:t>FGI</w:t>
      </w:r>
    </w:p>
    <w:p w14:paraId="12142768" w14:textId="3502C41D" w:rsidR="00F74A6F" w:rsidRPr="009537ED" w:rsidRDefault="005A18DC" w:rsidP="00F74A6F">
      <w:pPr>
        <w:rPr>
          <w:lang w:eastAsia="x-none"/>
        </w:rPr>
      </w:pPr>
      <w:hyperlink r:id="rId941" w:history="1">
        <w:r w:rsidR="00AF7253">
          <w:rPr>
            <w:rStyle w:val="Hyperlink"/>
            <w:lang w:eastAsia="x-none"/>
          </w:rPr>
          <w:t>R1-2311618</w:t>
        </w:r>
      </w:hyperlink>
      <w:r w:rsidR="00F74A6F" w:rsidRPr="009537ED">
        <w:rPr>
          <w:lang w:eastAsia="x-none"/>
        </w:rPr>
        <w:tab/>
        <w:t>Remaining issues on 8 TX UL transmission</w:t>
      </w:r>
      <w:r w:rsidR="00F74A6F" w:rsidRPr="009537ED">
        <w:rPr>
          <w:lang w:eastAsia="x-none"/>
        </w:rPr>
        <w:tab/>
        <w:t>NTT DOCOMO, INC.</w:t>
      </w:r>
    </w:p>
    <w:p w14:paraId="2A388C16" w14:textId="6FF0DF35" w:rsidR="00F74A6F" w:rsidRPr="009537ED" w:rsidRDefault="005A18DC" w:rsidP="00F74A6F">
      <w:pPr>
        <w:rPr>
          <w:lang w:eastAsia="x-none"/>
        </w:rPr>
      </w:pPr>
      <w:hyperlink r:id="rId942" w:history="1">
        <w:r w:rsidR="00AF7253">
          <w:rPr>
            <w:rStyle w:val="Hyperlink"/>
            <w:lang w:eastAsia="x-none"/>
          </w:rPr>
          <w:t>R1-2311678</w:t>
        </w:r>
      </w:hyperlink>
      <w:r w:rsidR="00F74A6F" w:rsidRPr="009537ED">
        <w:rPr>
          <w:lang w:eastAsia="x-none"/>
        </w:rPr>
        <w:tab/>
        <w:t>Maintenance on SRI/TPMI enhancement for enabling 8 TX UL transmission</w:t>
      </w:r>
      <w:r w:rsidR="00F74A6F" w:rsidRPr="009537ED">
        <w:rPr>
          <w:lang w:eastAsia="x-none"/>
        </w:rPr>
        <w:tab/>
        <w:t>Apple</w:t>
      </w:r>
    </w:p>
    <w:p w14:paraId="5662F086" w14:textId="4AAF1883" w:rsidR="00F74A6F" w:rsidRPr="009537ED" w:rsidRDefault="005A18DC" w:rsidP="00F74A6F">
      <w:pPr>
        <w:rPr>
          <w:lang w:eastAsia="x-none"/>
        </w:rPr>
      </w:pPr>
      <w:hyperlink r:id="rId943" w:history="1">
        <w:r w:rsidR="00AF7253">
          <w:rPr>
            <w:rStyle w:val="Hyperlink"/>
            <w:lang w:eastAsia="x-none"/>
          </w:rPr>
          <w:t>R1-2311727</w:t>
        </w:r>
      </w:hyperlink>
      <w:r w:rsidR="00F74A6F" w:rsidRPr="009537ED">
        <w:rPr>
          <w:lang w:eastAsia="x-none"/>
        </w:rPr>
        <w:tab/>
        <w:t>Maintenance on 8 TX UL transmission</w:t>
      </w:r>
      <w:r w:rsidR="00F74A6F" w:rsidRPr="009537ED">
        <w:rPr>
          <w:lang w:eastAsia="x-none"/>
        </w:rPr>
        <w:tab/>
        <w:t>Sharp</w:t>
      </w:r>
    </w:p>
    <w:p w14:paraId="2CB217ED" w14:textId="06095E47" w:rsidR="00F74A6F" w:rsidRPr="009537ED" w:rsidRDefault="005A18DC" w:rsidP="00F74A6F">
      <w:pPr>
        <w:rPr>
          <w:lang w:eastAsia="x-none"/>
        </w:rPr>
      </w:pPr>
      <w:hyperlink r:id="rId944" w:history="1">
        <w:r w:rsidR="00AF7253">
          <w:rPr>
            <w:rStyle w:val="Hyperlink"/>
            <w:lang w:eastAsia="x-none"/>
          </w:rPr>
          <w:t>R1-2311745</w:t>
        </w:r>
      </w:hyperlink>
      <w:r w:rsidR="00F74A6F" w:rsidRPr="009537ED">
        <w:rPr>
          <w:lang w:eastAsia="x-none"/>
        </w:rPr>
        <w:tab/>
        <w:t>Maintenance of UL enhancements for enabling 8Tx UL transmission</w:t>
      </w:r>
      <w:r w:rsidR="00F74A6F" w:rsidRPr="009537ED">
        <w:rPr>
          <w:lang w:eastAsia="x-none"/>
        </w:rPr>
        <w:tab/>
        <w:t>Nokia, Nokia Shanghai Bell</w:t>
      </w:r>
    </w:p>
    <w:p w14:paraId="474CB15E" w14:textId="586879F6" w:rsidR="00F74A6F" w:rsidRPr="009537ED" w:rsidRDefault="005A18DC" w:rsidP="00F74A6F">
      <w:pPr>
        <w:rPr>
          <w:lang w:eastAsia="x-none"/>
        </w:rPr>
      </w:pPr>
      <w:hyperlink r:id="rId945" w:history="1">
        <w:r w:rsidR="00AF7253">
          <w:rPr>
            <w:rStyle w:val="Hyperlink"/>
            <w:lang w:eastAsia="x-none"/>
          </w:rPr>
          <w:t>R1-2311836</w:t>
        </w:r>
      </w:hyperlink>
      <w:r w:rsidR="00F74A6F" w:rsidRPr="009537ED">
        <w:rPr>
          <w:lang w:eastAsia="x-none"/>
        </w:rPr>
        <w:tab/>
        <w:t>Remaining details on TPMI/SRI enhancements for 8Tx UL transmission</w:t>
      </w:r>
      <w:r w:rsidR="00F74A6F" w:rsidRPr="009537ED">
        <w:rPr>
          <w:lang w:eastAsia="x-none"/>
        </w:rPr>
        <w:tab/>
        <w:t>Samsung</w:t>
      </w:r>
    </w:p>
    <w:p w14:paraId="643D4DEB" w14:textId="77E1AEBF" w:rsidR="00F74A6F" w:rsidRPr="009537ED" w:rsidRDefault="005A18DC" w:rsidP="00F74A6F">
      <w:pPr>
        <w:rPr>
          <w:lang w:eastAsia="x-none"/>
        </w:rPr>
      </w:pPr>
      <w:hyperlink r:id="rId946" w:history="1">
        <w:r w:rsidR="00AF7253">
          <w:rPr>
            <w:rStyle w:val="Hyperlink"/>
            <w:lang w:eastAsia="x-none"/>
          </w:rPr>
          <w:t>R1-2311931</w:t>
        </w:r>
      </w:hyperlink>
      <w:r w:rsidR="00F74A6F" w:rsidRPr="009537ED">
        <w:rPr>
          <w:lang w:eastAsia="x-none"/>
        </w:rPr>
        <w:tab/>
        <w:t>Maintenance on SRI/TPMI enhancement for enabling 8 TX UL transmission</w:t>
      </w:r>
      <w:r w:rsidR="00F74A6F" w:rsidRPr="009537ED">
        <w:rPr>
          <w:lang w:eastAsia="x-none"/>
        </w:rPr>
        <w:tab/>
        <w:t>Ruijie Network Co. Ltd</w:t>
      </w:r>
    </w:p>
    <w:p w14:paraId="1EE32A5B" w14:textId="718C290C" w:rsidR="00F74A6F" w:rsidRPr="009537ED" w:rsidRDefault="005A18DC" w:rsidP="00F74A6F">
      <w:pPr>
        <w:rPr>
          <w:lang w:eastAsia="x-none"/>
        </w:rPr>
      </w:pPr>
      <w:hyperlink r:id="rId947" w:history="1">
        <w:r w:rsidR="00AF7253">
          <w:rPr>
            <w:rStyle w:val="Hyperlink"/>
            <w:lang w:eastAsia="x-none"/>
          </w:rPr>
          <w:t>R1-2311944</w:t>
        </w:r>
      </w:hyperlink>
      <w:r w:rsidR="00F74A6F" w:rsidRPr="009537ED">
        <w:rPr>
          <w:lang w:eastAsia="x-none"/>
        </w:rPr>
        <w:tab/>
        <w:t>8 Tx SRI/TPMI Corrections</w:t>
      </w:r>
      <w:r w:rsidR="00F74A6F" w:rsidRPr="009537ED">
        <w:rPr>
          <w:lang w:eastAsia="x-none"/>
        </w:rPr>
        <w:tab/>
        <w:t>Ericsson</w:t>
      </w:r>
    </w:p>
    <w:p w14:paraId="0BDCB3D0" w14:textId="78C38D36" w:rsidR="00F74A6F" w:rsidRPr="009537ED" w:rsidRDefault="005A18DC" w:rsidP="00F74A6F">
      <w:pPr>
        <w:rPr>
          <w:lang w:eastAsia="x-none"/>
        </w:rPr>
      </w:pPr>
      <w:hyperlink r:id="rId948" w:history="1">
        <w:r w:rsidR="00AF7253">
          <w:rPr>
            <w:rStyle w:val="Hyperlink"/>
            <w:lang w:eastAsia="x-none"/>
          </w:rPr>
          <w:t>R1-2312155</w:t>
        </w:r>
      </w:hyperlink>
      <w:r w:rsidR="00F74A6F" w:rsidRPr="009537ED">
        <w:rPr>
          <w:lang w:eastAsia="x-none"/>
        </w:rPr>
        <w:tab/>
        <w:t>Maintenance of SRI/TPMI enhancement for enabling 8 TX UL transmission</w:t>
      </w:r>
      <w:r w:rsidR="00F74A6F" w:rsidRPr="009537ED">
        <w:rPr>
          <w:lang w:eastAsia="x-none"/>
        </w:rPr>
        <w:tab/>
        <w:t>Huawei, HiSilicon</w:t>
      </w:r>
    </w:p>
    <w:p w14:paraId="2CEAE25E" w14:textId="6AF61B6B" w:rsidR="00F74A6F" w:rsidRPr="009537ED" w:rsidRDefault="005A18DC" w:rsidP="00F74A6F">
      <w:pPr>
        <w:rPr>
          <w:lang w:eastAsia="x-none"/>
        </w:rPr>
      </w:pPr>
      <w:hyperlink r:id="rId949" w:history="1">
        <w:r w:rsidR="00AF7253">
          <w:rPr>
            <w:rStyle w:val="Hyperlink"/>
            <w:lang w:eastAsia="x-none"/>
          </w:rPr>
          <w:t>R1-2312169</w:t>
        </w:r>
      </w:hyperlink>
      <w:r w:rsidR="00F74A6F" w:rsidRPr="009537ED">
        <w:rPr>
          <w:lang w:eastAsia="x-none"/>
        </w:rPr>
        <w:tab/>
        <w:t>Remaining issues on SRI/TPMI enhancement for enabling 8 TX UL transmission</w:t>
      </w:r>
      <w:r w:rsidR="00F74A6F" w:rsidRPr="009537ED">
        <w:rPr>
          <w:lang w:eastAsia="x-none"/>
        </w:rPr>
        <w:tab/>
        <w:t>KDDI Corporation</w:t>
      </w:r>
    </w:p>
    <w:p w14:paraId="49FB05A4" w14:textId="77777777" w:rsidR="00F74A6F" w:rsidRDefault="00F74A6F" w:rsidP="00F74A6F">
      <w:pPr>
        <w:rPr>
          <w:lang w:eastAsia="x-none"/>
        </w:rPr>
      </w:pPr>
    </w:p>
    <w:p w14:paraId="1A059B9B" w14:textId="06FE3035" w:rsidR="00DC1481" w:rsidRPr="00DC1481" w:rsidRDefault="005A18DC" w:rsidP="00DC1481">
      <w:pPr>
        <w:rPr>
          <w:b/>
          <w:bCs/>
          <w:lang w:eastAsia="x-none"/>
        </w:rPr>
      </w:pPr>
      <w:hyperlink r:id="rId950" w:history="1">
        <w:r w:rsidR="00AF7253">
          <w:rPr>
            <w:rStyle w:val="Hyperlink"/>
            <w:b/>
            <w:bCs/>
            <w:lang w:eastAsia="x-none"/>
          </w:rPr>
          <w:t>R1-2310926</w:t>
        </w:r>
      </w:hyperlink>
      <w:r w:rsidR="00DC1481" w:rsidRPr="00DC1481">
        <w:rPr>
          <w:b/>
          <w:bCs/>
          <w:lang w:eastAsia="x-none"/>
        </w:rPr>
        <w:tab/>
        <w:t>FL Summary SRI/TPMI Enhancements; First Round</w:t>
      </w:r>
      <w:r w:rsidR="00DC1481" w:rsidRPr="00DC1481">
        <w:rPr>
          <w:b/>
          <w:bCs/>
          <w:lang w:eastAsia="x-none"/>
        </w:rPr>
        <w:tab/>
        <w:t>Moderator (InterDigital, Inc.)</w:t>
      </w:r>
    </w:p>
    <w:p w14:paraId="5666F740" w14:textId="7FE30FB5" w:rsidR="00DC1481" w:rsidRDefault="00DC1481" w:rsidP="00DC1481">
      <w:pPr>
        <w:rPr>
          <w:lang w:eastAsia="x-none"/>
        </w:rPr>
      </w:pPr>
      <w:r>
        <w:rPr>
          <w:lang w:eastAsia="x-none"/>
        </w:rPr>
        <w:t>From Monday session</w:t>
      </w:r>
    </w:p>
    <w:p w14:paraId="4B7647A7" w14:textId="77777777" w:rsidR="00645E2A" w:rsidRPr="009E07E2" w:rsidRDefault="00645E2A" w:rsidP="00645E2A">
      <w:pPr>
        <w:rPr>
          <w:rFonts w:ascii="Times New Roman" w:hAnsi="Times New Roman"/>
          <w:highlight w:val="green"/>
          <w:lang w:eastAsia="x-none"/>
        </w:rPr>
      </w:pPr>
      <w:r w:rsidRPr="009E07E2">
        <w:rPr>
          <w:rFonts w:ascii="Times New Roman" w:hAnsi="Times New Roman"/>
          <w:highlight w:val="green"/>
          <w:lang w:eastAsia="x-none"/>
        </w:rPr>
        <w:t>Agreement</w:t>
      </w:r>
    </w:p>
    <w:p w14:paraId="2A2CF486" w14:textId="77777777" w:rsidR="00DC1481" w:rsidRPr="00DC1481" w:rsidRDefault="00DC1481" w:rsidP="00645E2A">
      <w:r w:rsidRPr="00DC1481">
        <w:t>Adopt the following text proposals to TS 38.211.</w:t>
      </w:r>
    </w:p>
    <w:p w14:paraId="19AD75F9" w14:textId="32CCD3F8" w:rsidR="00DC1481" w:rsidRPr="00DC1481" w:rsidRDefault="00DC1481" w:rsidP="00AA1D48">
      <w:pPr>
        <w:pStyle w:val="ListParagraph"/>
        <w:numPr>
          <w:ilvl w:val="0"/>
          <w:numId w:val="109"/>
        </w:numPr>
        <w:rPr>
          <w:lang w:eastAsia="x-none"/>
        </w:rPr>
      </w:pPr>
      <w:r w:rsidRPr="00DC1481">
        <w:rPr>
          <w:lang w:eastAsia="x-none"/>
        </w:rPr>
        <w:t xml:space="preserve">Reason for change: Tables 6.3.1.5-25 -.6.3.1.5-28 and 6.3.1.5-37 -.6.3.1.5-38 do not correspond to </w:t>
      </w:r>
      <m:oMath>
        <m:r>
          <w:rPr>
            <w:rFonts w:ascii="Cambria Math" w:hAnsi="Cambria Math"/>
          </w:rPr>
          <m:t>W</m:t>
        </m:r>
        <m:r>
          <m:rPr>
            <m:sty m:val="p"/>
          </m:rPr>
          <w:rPr>
            <w:rFonts w:ascii="Cambria Math" w:hAnsi="Cambria Math"/>
          </w:rPr>
          <m:t>'</m:t>
        </m:r>
      </m:oMath>
      <w:r w:rsidRPr="00DC1481">
        <w:rPr>
          <w:lang w:eastAsia="x-none"/>
        </w:rPr>
        <w:t>.</w:t>
      </w:r>
    </w:p>
    <w:p w14:paraId="2E939B43" w14:textId="5D4B8876" w:rsidR="00DC1481" w:rsidRPr="00DC1481" w:rsidRDefault="00DC1481" w:rsidP="00AA1D48">
      <w:pPr>
        <w:pStyle w:val="ListParagraph"/>
        <w:numPr>
          <w:ilvl w:val="0"/>
          <w:numId w:val="109"/>
        </w:numPr>
        <w:rPr>
          <w:lang w:eastAsia="x-none"/>
        </w:rPr>
      </w:pPr>
      <w:r w:rsidRPr="00DC1481">
        <w:rPr>
          <w:lang w:eastAsia="x-none"/>
        </w:rPr>
        <w:t xml:space="preserve">Summary of change: Remove Tables 6.3.1.5-25 - 6.3.1.5-28 and 6.3.1.5-37 - 6.3.1.5-38 from the list of </w:t>
      </w:r>
      <m:oMath>
        <m:r>
          <w:rPr>
            <w:rFonts w:ascii="Cambria Math" w:hAnsi="Cambria Math"/>
          </w:rPr>
          <m:t>W</m:t>
        </m:r>
        <m:r>
          <m:rPr>
            <m:sty m:val="p"/>
          </m:rPr>
          <w:rPr>
            <w:rFonts w:ascii="Cambria Math" w:hAnsi="Cambria Math"/>
          </w:rPr>
          <m:t>'</m:t>
        </m:r>
      </m:oMath>
      <w:r w:rsidRPr="00DC1481">
        <w:rPr>
          <w:lang w:eastAsia="x-none"/>
        </w:rPr>
        <w:t xml:space="preserve"> tables. </w:t>
      </w:r>
    </w:p>
    <w:p w14:paraId="6FB82FF4" w14:textId="77777777" w:rsidR="00DC1481" w:rsidRPr="00DC1481" w:rsidRDefault="00DC1481" w:rsidP="00AA1D48">
      <w:pPr>
        <w:pStyle w:val="ListParagraph"/>
        <w:numPr>
          <w:ilvl w:val="0"/>
          <w:numId w:val="109"/>
        </w:numPr>
        <w:rPr>
          <w:lang w:eastAsia="x-none"/>
        </w:rPr>
      </w:pPr>
      <w:r w:rsidRPr="00DC1481">
        <w:rPr>
          <w:lang w:eastAsia="x-none"/>
        </w:rPr>
        <w:t>Consequences if not approved: Inaccurate description of precoding in 6.3.1.5 when using 8 antenna ports.</w:t>
      </w:r>
    </w:p>
    <w:tbl>
      <w:tblPr>
        <w:tblW w:w="5000" w:type="pct"/>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0683"/>
      </w:tblGrid>
      <w:tr w:rsidR="00DC1481" w:rsidRPr="00DC1481" w14:paraId="2E90BAA2" w14:textId="77777777" w:rsidTr="00645E2A">
        <w:tc>
          <w:tcPr>
            <w:tcW w:w="5000" w:type="pct"/>
            <w:shd w:val="clear" w:color="auto" w:fill="auto"/>
          </w:tcPr>
          <w:p w14:paraId="0814A2F3" w14:textId="77777777" w:rsidR="00DC1481" w:rsidRPr="00DC1481" w:rsidRDefault="00DC1481" w:rsidP="00DC1481">
            <w:pPr>
              <w:contextualSpacing/>
              <w:rPr>
                <w:rFonts w:ascii="Arial" w:eastAsia="Malgun Gothic" w:hAnsi="Arial" w:cs="Arial"/>
                <w:b/>
                <w:bCs/>
                <w:sz w:val="16"/>
                <w:szCs w:val="16"/>
              </w:rPr>
            </w:pPr>
            <w:r w:rsidRPr="00DC1481">
              <w:rPr>
                <w:rFonts w:ascii="Arial" w:eastAsia="Malgun Gothic" w:hAnsi="Arial" w:cs="Arial"/>
                <w:b/>
                <w:bCs/>
                <w:sz w:val="16"/>
                <w:szCs w:val="16"/>
              </w:rPr>
              <w:t>6.3.1.5</w:t>
            </w:r>
            <w:r w:rsidRPr="00DC1481">
              <w:rPr>
                <w:rFonts w:ascii="Arial" w:eastAsia="Malgun Gothic" w:hAnsi="Arial" w:cs="Arial"/>
                <w:b/>
                <w:bCs/>
                <w:sz w:val="16"/>
                <w:szCs w:val="16"/>
              </w:rPr>
              <w:tab/>
              <w:t>Precoding</w:t>
            </w:r>
          </w:p>
          <w:p w14:paraId="1ABBE8C5" w14:textId="77777777" w:rsidR="00DC1481" w:rsidRPr="00DC1481" w:rsidRDefault="00DC1481" w:rsidP="00DC1481">
            <w:pPr>
              <w:ind w:left="360"/>
              <w:contextualSpacing/>
              <w:rPr>
                <w:rFonts w:ascii="Arial" w:hAnsi="Arial" w:cs="Arial"/>
                <w:color w:val="FF0000"/>
                <w:sz w:val="16"/>
                <w:szCs w:val="16"/>
                <w:lang w:eastAsia="zh-CN"/>
              </w:rPr>
            </w:pPr>
            <w:r w:rsidRPr="00DC1481">
              <w:rPr>
                <w:rFonts w:ascii="Arial" w:hAnsi="Arial" w:cs="Arial"/>
                <w:color w:val="FF0000"/>
                <w:sz w:val="16"/>
                <w:szCs w:val="16"/>
                <w:lang w:eastAsia="zh-CN"/>
              </w:rPr>
              <w:t>-------------------------------------------Unchanged parts are omitted-------------------------------------------</w:t>
            </w:r>
          </w:p>
          <w:p w14:paraId="35DD92A7" w14:textId="71E50A81" w:rsidR="00DC1481" w:rsidRPr="00DC1481" w:rsidRDefault="00DC1481" w:rsidP="00DC1481">
            <w:pPr>
              <w:contextualSpacing/>
              <w:rPr>
                <w:rFonts w:ascii="Arial" w:hAnsi="Arial" w:cs="Arial"/>
                <w:sz w:val="16"/>
                <w:szCs w:val="16"/>
              </w:rPr>
            </w:pPr>
            <w:r w:rsidRPr="00DC1481">
              <w:rPr>
                <w:rFonts w:ascii="Arial" w:hAnsi="Arial" w:cs="Arial"/>
                <w:sz w:val="16"/>
                <w:szCs w:val="16"/>
              </w:rPr>
              <w:t xml:space="preserve">For codebook-based transmission, the precoding matrix </w:t>
            </w:r>
            <m:oMath>
              <m:r>
                <w:rPr>
                  <w:rFonts w:ascii="Cambria Math" w:hAnsi="Cambria Math" w:cs="Arial"/>
                  <w:sz w:val="16"/>
                  <w:szCs w:val="16"/>
                </w:rPr>
                <m:t>W</m:t>
              </m:r>
            </m:oMath>
            <w:r w:rsidRPr="00DC1481">
              <w:rPr>
                <w:rFonts w:ascii="Arial" w:hAnsi="Arial" w:cs="Arial"/>
                <w:sz w:val="16"/>
                <w:szCs w:val="16"/>
              </w:rPr>
              <w:t xml:space="preserve"> depends on the number of antenna ports used for the transmission:</w:t>
            </w:r>
          </w:p>
          <w:p w14:paraId="104FD648" w14:textId="0BE95BF8" w:rsidR="00DC1481" w:rsidRPr="00DC1481" w:rsidRDefault="00DC1481" w:rsidP="00645E2A">
            <w:pPr>
              <w:ind w:left="426"/>
              <w:contextualSpacing/>
              <w:rPr>
                <w:rFonts w:ascii="Arial" w:eastAsia="MS Mincho" w:hAnsi="Arial" w:cs="Arial"/>
                <w:sz w:val="16"/>
                <w:szCs w:val="16"/>
              </w:rPr>
            </w:pPr>
            <w:r w:rsidRPr="00DC1481">
              <w:rPr>
                <w:rFonts w:ascii="Arial" w:eastAsia="MS Mincho" w:hAnsi="Arial" w:cs="Arial"/>
                <w:sz w:val="16"/>
                <w:szCs w:val="16"/>
              </w:rPr>
              <w:t>-</w:t>
            </w:r>
            <w:r w:rsidRPr="00DC1481">
              <w:rPr>
                <w:rFonts w:ascii="Arial" w:eastAsia="MS Mincho" w:hAnsi="Arial" w:cs="Arial"/>
                <w:sz w:val="16"/>
                <w:szCs w:val="16"/>
              </w:rPr>
              <w:tab/>
              <w:t xml:space="preserve">for single-layer transmission on a single antenna port, </w:t>
            </w:r>
            <m:oMath>
              <m:r>
                <w:rPr>
                  <w:rFonts w:ascii="Cambria Math" w:hAnsi="Cambria Math" w:cs="Arial"/>
                  <w:sz w:val="16"/>
                  <w:szCs w:val="16"/>
                </w:rPr>
                <m:t>W</m:t>
              </m:r>
              <m:r>
                <m:rPr>
                  <m:sty m:val="p"/>
                </m:rPr>
                <w:rPr>
                  <w:rFonts w:ascii="Cambria Math" w:hAnsi="Cambria Math" w:cs="Arial"/>
                  <w:sz w:val="16"/>
                  <w:szCs w:val="16"/>
                </w:rPr>
                <m:t>=1</m:t>
              </m:r>
            </m:oMath>
            <w:r w:rsidRPr="00DC1481">
              <w:rPr>
                <w:rFonts w:ascii="Arial" w:eastAsia="MS Mincho" w:hAnsi="Arial" w:cs="Arial"/>
                <w:sz w:val="16"/>
                <w:szCs w:val="16"/>
              </w:rPr>
              <w:t>;</w:t>
            </w:r>
          </w:p>
          <w:p w14:paraId="61DC31D1" w14:textId="281DDB03" w:rsidR="00DC1481" w:rsidRPr="00DC1481" w:rsidRDefault="00DC1481" w:rsidP="00645E2A">
            <w:pPr>
              <w:ind w:left="426"/>
              <w:contextualSpacing/>
              <w:rPr>
                <w:rFonts w:ascii="Arial" w:eastAsia="MS Mincho" w:hAnsi="Arial" w:cs="Arial"/>
                <w:sz w:val="16"/>
                <w:szCs w:val="16"/>
              </w:rPr>
            </w:pPr>
            <w:r w:rsidRPr="00DC1481">
              <w:rPr>
                <w:rFonts w:ascii="Arial" w:eastAsia="MS Mincho" w:hAnsi="Arial" w:cs="Arial"/>
                <w:sz w:val="16"/>
                <w:szCs w:val="16"/>
              </w:rPr>
              <w:t>-</w:t>
            </w:r>
            <w:r w:rsidRPr="00DC1481">
              <w:rPr>
                <w:rFonts w:ascii="Arial" w:eastAsia="MS Mincho" w:hAnsi="Arial" w:cs="Arial"/>
                <w:sz w:val="16"/>
                <w:szCs w:val="16"/>
              </w:rPr>
              <w:tab/>
              <w:t xml:space="preserve">for transmissions using 2, or 4 antenna ports, </w:t>
            </w:r>
            <m:oMath>
              <m:r>
                <w:rPr>
                  <w:rFonts w:ascii="Cambria Math" w:hAnsi="Cambria Math" w:cs="Arial"/>
                  <w:sz w:val="16"/>
                  <w:szCs w:val="16"/>
                </w:rPr>
                <m:t>W</m:t>
              </m:r>
            </m:oMath>
            <w:r w:rsidRPr="00DC1481">
              <w:rPr>
                <w:rFonts w:ascii="Arial" w:eastAsia="MS Mincho" w:hAnsi="Arial" w:cs="Arial"/>
                <w:sz w:val="16"/>
                <w:szCs w:val="16"/>
              </w:rPr>
              <w:t xml:space="preserve"> is given by Tables 6.3.1.5-1 to 6.3.1.5-7; </w:t>
            </w:r>
          </w:p>
          <w:p w14:paraId="576FF877" w14:textId="55648839" w:rsidR="00DC1481" w:rsidRPr="00DC1481" w:rsidRDefault="00DC1481" w:rsidP="00645E2A">
            <w:pPr>
              <w:ind w:left="426"/>
              <w:contextualSpacing/>
              <w:rPr>
                <w:rFonts w:ascii="Arial" w:eastAsia="MS Mincho" w:hAnsi="Arial" w:cs="Arial"/>
                <w:sz w:val="16"/>
                <w:szCs w:val="16"/>
              </w:rPr>
            </w:pPr>
            <w:r w:rsidRPr="00DC1481">
              <w:rPr>
                <w:rFonts w:ascii="Arial" w:eastAsia="MS Mincho" w:hAnsi="Arial" w:cs="Arial"/>
                <w:sz w:val="16"/>
                <w:szCs w:val="16"/>
              </w:rPr>
              <w:t>-</w:t>
            </w:r>
            <w:r w:rsidRPr="00DC1481">
              <w:rPr>
                <w:rFonts w:ascii="Arial" w:eastAsia="MS Mincho" w:hAnsi="Arial" w:cs="Arial"/>
                <w:sz w:val="16"/>
                <w:szCs w:val="16"/>
              </w:rPr>
              <w:tab/>
              <w:t xml:space="preserve">for transmissions using 8 antenna ports, </w:t>
            </w:r>
            <m:oMath>
              <m:r>
                <w:rPr>
                  <w:rFonts w:ascii="Cambria Math" w:hAnsi="Cambria Math" w:cs="Arial"/>
                  <w:sz w:val="16"/>
                  <w:szCs w:val="16"/>
                </w:rPr>
                <m:t>W</m:t>
              </m:r>
            </m:oMath>
            <w:r w:rsidRPr="00DC1481">
              <w:rPr>
                <w:rFonts w:ascii="Arial" w:eastAsia="MS Mincho" w:hAnsi="Arial" w:cs="Arial"/>
                <w:sz w:val="16"/>
                <w:szCs w:val="16"/>
              </w:rPr>
              <w:t xml:space="preserve"> is given by</w:t>
            </w:r>
          </w:p>
          <w:p w14:paraId="7D9BC964" w14:textId="7562B348" w:rsidR="00DC1481" w:rsidRPr="00DC1481" w:rsidRDefault="005A18DC" w:rsidP="00DC1481">
            <w:pPr>
              <w:keepLines/>
              <w:tabs>
                <w:tab w:val="center" w:pos="4536"/>
                <w:tab w:val="right" w:pos="9072"/>
              </w:tabs>
              <w:contextualSpacing/>
              <w:rPr>
                <w:rFonts w:ascii="Arial" w:eastAsia="Times New Roman" w:hAnsi="Arial" w:cs="Arial"/>
                <w:noProof/>
                <w:kern w:val="2"/>
                <w:sz w:val="16"/>
                <w:szCs w:val="16"/>
              </w:rPr>
            </w:pPr>
            <m:oMathPara>
              <m:oMath>
                <m:sSub>
                  <m:sSubPr>
                    <m:ctrlPr>
                      <w:rPr>
                        <w:rFonts w:ascii="Cambria Math" w:eastAsia="Malgun Gothic" w:hAnsi="Cambria Math" w:cs="Arial"/>
                        <w:kern w:val="2"/>
                        <w:sz w:val="16"/>
                        <w:szCs w:val="16"/>
                      </w:rPr>
                    </m:ctrlPr>
                  </m:sSubPr>
                  <m:e>
                    <m:r>
                      <w:rPr>
                        <w:rFonts w:ascii="Cambria Math" w:hAnsi="Cambria Math" w:cs="Arial"/>
                        <w:kern w:val="2"/>
                        <w:sz w:val="16"/>
                        <w:szCs w:val="16"/>
                      </w:rPr>
                      <m:t>W</m:t>
                    </m:r>
                  </m:e>
                  <m:sub>
                    <m:r>
                      <w:rPr>
                        <w:rFonts w:ascii="Cambria Math" w:hAnsi="Cambria Math" w:cs="Arial"/>
                        <w:kern w:val="2"/>
                        <w:sz w:val="16"/>
                        <w:szCs w:val="16"/>
                      </w:rPr>
                      <m:t>f</m:t>
                    </m:r>
                    <m:r>
                      <m:rPr>
                        <m:sty m:val="p"/>
                      </m:rPr>
                      <w:rPr>
                        <w:rFonts w:ascii="Cambria Math" w:hAnsi="Cambria Math" w:cs="Arial"/>
                        <w:kern w:val="2"/>
                        <w:sz w:val="16"/>
                        <w:szCs w:val="16"/>
                      </w:rPr>
                      <m:t>(</m:t>
                    </m:r>
                    <m:r>
                      <w:rPr>
                        <w:rFonts w:ascii="Cambria Math" w:hAnsi="Cambria Math" w:cs="Arial"/>
                        <w:kern w:val="2"/>
                        <w:sz w:val="16"/>
                        <w:szCs w:val="16"/>
                      </w:rPr>
                      <m:t>i</m:t>
                    </m:r>
                    <m:r>
                      <m:rPr>
                        <m:sty m:val="p"/>
                      </m:rPr>
                      <w:rPr>
                        <w:rFonts w:ascii="Cambria Math" w:hAnsi="Cambria Math" w:cs="Arial"/>
                        <w:kern w:val="2"/>
                        <w:sz w:val="16"/>
                        <w:szCs w:val="16"/>
                      </w:rPr>
                      <m:t>)</m:t>
                    </m:r>
                  </m:sub>
                </m:sSub>
                <m:r>
                  <m:rPr>
                    <m:sty m:val="p"/>
                  </m:rPr>
                  <w:rPr>
                    <w:rFonts w:ascii="Cambria Math" w:hAnsi="Cambria Math" w:cs="Arial"/>
                    <w:kern w:val="2"/>
                    <w:sz w:val="16"/>
                    <w:szCs w:val="16"/>
                  </w:rPr>
                  <m:t>=</m:t>
                </m:r>
                <m:sSub>
                  <m:sSubPr>
                    <m:ctrlPr>
                      <w:rPr>
                        <w:rFonts w:ascii="Cambria Math" w:eastAsia="Malgun Gothic" w:hAnsi="Cambria Math" w:cs="Arial"/>
                        <w:kern w:val="2"/>
                        <w:sz w:val="16"/>
                        <w:szCs w:val="16"/>
                      </w:rPr>
                    </m:ctrlPr>
                  </m:sSubPr>
                  <m:e>
                    <m:r>
                      <w:rPr>
                        <w:rFonts w:ascii="Cambria Math" w:hAnsi="Cambria Math" w:cs="Arial"/>
                        <w:kern w:val="2"/>
                        <w:sz w:val="16"/>
                        <w:szCs w:val="16"/>
                      </w:rPr>
                      <m:t>W</m:t>
                    </m:r>
                    <m:r>
                      <m:rPr>
                        <m:sty m:val="p"/>
                      </m:rPr>
                      <w:rPr>
                        <w:rFonts w:ascii="Cambria Math" w:hAnsi="Cambria Math" w:cs="Arial"/>
                        <w:kern w:val="2"/>
                        <w:sz w:val="16"/>
                        <w:szCs w:val="16"/>
                      </w:rPr>
                      <m:t>'</m:t>
                    </m:r>
                  </m:e>
                  <m:sub>
                    <m:r>
                      <w:rPr>
                        <w:rFonts w:ascii="Cambria Math" w:hAnsi="Cambria Math" w:cs="Arial"/>
                        <w:kern w:val="2"/>
                        <w:sz w:val="16"/>
                        <w:szCs w:val="16"/>
                      </w:rPr>
                      <m:t>i</m:t>
                    </m:r>
                  </m:sub>
                </m:sSub>
              </m:oMath>
            </m:oMathPara>
          </w:p>
          <w:p w14:paraId="5C89EB33" w14:textId="7AD0D951" w:rsidR="00DC1481" w:rsidRPr="00DC1481" w:rsidRDefault="00DC1481" w:rsidP="00645E2A">
            <w:pPr>
              <w:ind w:left="568"/>
              <w:contextualSpacing/>
              <w:rPr>
                <w:rFonts w:ascii="Arial" w:eastAsia="MS Mincho" w:hAnsi="Arial" w:cs="Arial"/>
                <w:kern w:val="2"/>
                <w:sz w:val="16"/>
                <w:szCs w:val="16"/>
              </w:rPr>
            </w:pPr>
            <w:r w:rsidRPr="00DC1481">
              <w:rPr>
                <w:rFonts w:ascii="Arial" w:eastAsia="MS Mincho" w:hAnsi="Arial" w:cs="Arial"/>
                <w:sz w:val="16"/>
                <w:szCs w:val="16"/>
              </w:rPr>
              <w:t xml:space="preserve">where </w:t>
            </w:r>
          </w:p>
          <w:p w14:paraId="3210F6B1" w14:textId="575455EF" w:rsidR="00DC1481" w:rsidRPr="00DC1481" w:rsidRDefault="00DC1481" w:rsidP="00DC1481">
            <w:pPr>
              <w:ind w:left="800" w:hanging="284"/>
              <w:contextualSpacing/>
              <w:rPr>
                <w:rFonts w:ascii="Arial" w:eastAsia="MS Mincho" w:hAnsi="Arial" w:cs="Arial"/>
                <w:sz w:val="16"/>
                <w:szCs w:val="16"/>
              </w:rPr>
            </w:pPr>
            <w:r w:rsidRPr="00DC1481">
              <w:rPr>
                <w:rFonts w:ascii="Arial" w:eastAsia="MS Mincho" w:hAnsi="Arial" w:cs="Arial"/>
                <w:sz w:val="16"/>
                <w:szCs w:val="16"/>
              </w:rPr>
              <w:t>-</w:t>
            </w:r>
            <w:r w:rsidRPr="00DC1481">
              <w:rPr>
                <w:rFonts w:ascii="Arial" w:eastAsia="MS Mincho" w:hAnsi="Arial" w:cs="Arial"/>
                <w:sz w:val="16"/>
                <w:szCs w:val="16"/>
              </w:rPr>
              <w:tab/>
              <w:t xml:space="preserve">the subscripts </w:t>
            </w:r>
            <m:oMath>
              <m:r>
                <w:rPr>
                  <w:rFonts w:ascii="Cambria Math" w:hAnsi="Cambria Math" w:cs="Arial"/>
                  <w:sz w:val="16"/>
                  <w:szCs w:val="16"/>
                </w:rPr>
                <m:t>i</m:t>
              </m:r>
            </m:oMath>
            <w:r w:rsidRPr="00DC1481">
              <w:rPr>
                <w:rFonts w:ascii="Arial" w:eastAsia="MS Mincho" w:hAnsi="Arial" w:cs="Arial"/>
                <w:sz w:val="16"/>
                <w:szCs w:val="16"/>
              </w:rPr>
              <w:t xml:space="preserve"> and </w:t>
            </w:r>
            <m:oMath>
              <m:r>
                <w:rPr>
                  <w:rFonts w:ascii="Cambria Math" w:hAnsi="Cambria Math" w:cs="Arial"/>
                  <w:sz w:val="16"/>
                  <w:szCs w:val="16"/>
                </w:rPr>
                <m:t>f</m:t>
              </m:r>
              <m:r>
                <m:rPr>
                  <m:sty m:val="p"/>
                </m:rPr>
                <w:rPr>
                  <w:rFonts w:ascii="Cambria Math" w:hAnsi="Cambria Math" w:cs="Arial"/>
                  <w:sz w:val="16"/>
                  <w:szCs w:val="16"/>
                </w:rPr>
                <m:t>(</m:t>
              </m:r>
              <m:r>
                <w:rPr>
                  <w:rFonts w:ascii="Cambria Math" w:hAnsi="Cambria Math" w:cs="Arial"/>
                  <w:sz w:val="16"/>
                  <w:szCs w:val="16"/>
                </w:rPr>
                <m:t>i</m:t>
              </m:r>
              <m:r>
                <m:rPr>
                  <m:sty m:val="p"/>
                </m:rPr>
                <w:rPr>
                  <w:rFonts w:ascii="Cambria Math" w:hAnsi="Cambria Math" w:cs="Arial"/>
                  <w:sz w:val="16"/>
                  <w:szCs w:val="16"/>
                </w:rPr>
                <m:t>)</m:t>
              </m:r>
            </m:oMath>
            <w:r w:rsidRPr="00DC1481">
              <w:rPr>
                <w:rFonts w:ascii="Arial" w:eastAsia="MS Mincho" w:hAnsi="Arial" w:cs="Arial"/>
                <w:sz w:val="16"/>
                <w:szCs w:val="16"/>
              </w:rPr>
              <w:t xml:space="preserve"> denote the row of the respective matrix;</w:t>
            </w:r>
          </w:p>
          <w:p w14:paraId="4FD4C51C" w14:textId="6129D162" w:rsidR="00DC1481" w:rsidRPr="00DC1481" w:rsidRDefault="00DC1481" w:rsidP="00DC1481">
            <w:pPr>
              <w:ind w:left="800" w:hanging="284"/>
              <w:contextualSpacing/>
              <w:rPr>
                <w:rFonts w:ascii="Arial" w:eastAsia="MS Mincho" w:hAnsi="Arial" w:cs="Arial"/>
                <w:sz w:val="16"/>
                <w:szCs w:val="16"/>
              </w:rPr>
            </w:pPr>
            <w:r w:rsidRPr="00DC1481">
              <w:rPr>
                <w:rFonts w:ascii="Arial" w:eastAsia="MS Mincho" w:hAnsi="Arial" w:cs="Arial"/>
                <w:sz w:val="16"/>
                <w:szCs w:val="16"/>
              </w:rPr>
              <w:t>-</w:t>
            </w:r>
            <w:r w:rsidRPr="00DC1481">
              <w:rPr>
                <w:rFonts w:ascii="Arial" w:eastAsia="MS Mincho" w:hAnsi="Arial" w:cs="Arial"/>
                <w:sz w:val="16"/>
                <w:szCs w:val="16"/>
              </w:rPr>
              <w:tab/>
            </w:r>
            <m:oMath>
              <m:r>
                <w:rPr>
                  <w:rFonts w:ascii="Cambria Math" w:hAnsi="Cambria Math" w:cs="Arial"/>
                  <w:sz w:val="16"/>
                  <w:szCs w:val="16"/>
                </w:rPr>
                <m:t>f</m:t>
              </m:r>
              <m:r>
                <m:rPr>
                  <m:sty m:val="p"/>
                </m:rPr>
                <w:rPr>
                  <w:rFonts w:ascii="Cambria Math" w:hAnsi="Cambria Math" w:cs="Arial"/>
                  <w:sz w:val="16"/>
                  <w:szCs w:val="16"/>
                </w:rPr>
                <m:t>(</m:t>
              </m:r>
              <m:r>
                <w:rPr>
                  <w:rFonts w:ascii="Cambria Math" w:hAnsi="Cambria Math" w:cs="Arial"/>
                  <w:sz w:val="16"/>
                  <w:szCs w:val="16"/>
                </w:rPr>
                <m:t>i</m:t>
              </m:r>
              <m:r>
                <m:rPr>
                  <m:sty m:val="p"/>
                </m:rPr>
                <w:rPr>
                  <w:rFonts w:ascii="Cambria Math" w:hAnsi="Cambria Math" w:cs="Arial"/>
                  <w:sz w:val="16"/>
                  <w:szCs w:val="16"/>
                </w:rPr>
                <m:t>)</m:t>
              </m:r>
            </m:oMath>
            <w:r w:rsidRPr="00DC1481">
              <w:rPr>
                <w:rFonts w:ascii="Arial" w:eastAsia="MS Mincho" w:hAnsi="Arial" w:cs="Arial"/>
                <w:sz w:val="16"/>
                <w:szCs w:val="16"/>
              </w:rPr>
              <w:t xml:space="preserve"> is given by Table 6.3.1.5-8;</w:t>
            </w:r>
          </w:p>
          <w:p w14:paraId="309A90B9" w14:textId="475CA941" w:rsidR="00DC1481" w:rsidRPr="00DC1481" w:rsidRDefault="00DC1481" w:rsidP="00DC1481">
            <w:pPr>
              <w:ind w:left="800" w:hanging="284"/>
              <w:contextualSpacing/>
              <w:rPr>
                <w:rFonts w:ascii="Arial" w:eastAsia="MS Mincho" w:hAnsi="Arial" w:cs="Arial"/>
                <w:sz w:val="16"/>
                <w:szCs w:val="16"/>
              </w:rPr>
            </w:pPr>
            <w:r w:rsidRPr="00DC1481">
              <w:rPr>
                <w:rFonts w:ascii="Arial" w:eastAsia="MS Mincho" w:hAnsi="Arial" w:cs="Arial"/>
                <w:sz w:val="16"/>
                <w:szCs w:val="16"/>
              </w:rPr>
              <w:t>-</w:t>
            </w:r>
            <w:r w:rsidRPr="00DC1481">
              <w:rPr>
                <w:rFonts w:ascii="Arial" w:eastAsia="MS Mincho" w:hAnsi="Arial" w:cs="Arial"/>
                <w:sz w:val="16"/>
                <w:szCs w:val="16"/>
              </w:rPr>
              <w:tab/>
              <w:t xml:space="preserve">the intermediate precoding matrix </w:t>
            </w:r>
            <m:oMath>
              <m:r>
                <w:rPr>
                  <w:rFonts w:ascii="Cambria Math" w:hAnsi="Cambria Math" w:cs="Arial"/>
                  <w:sz w:val="16"/>
                  <w:szCs w:val="16"/>
                </w:rPr>
                <m:t>W</m:t>
              </m:r>
              <m:r>
                <m:rPr>
                  <m:sty m:val="p"/>
                </m:rPr>
                <w:rPr>
                  <w:rFonts w:ascii="Cambria Math" w:hAnsi="Cambria Math" w:cs="Arial"/>
                  <w:sz w:val="16"/>
                  <w:szCs w:val="16"/>
                </w:rPr>
                <m:t>'</m:t>
              </m:r>
            </m:oMath>
            <w:r w:rsidRPr="00DC1481">
              <w:rPr>
                <w:rFonts w:ascii="Arial" w:eastAsia="MS Mincho" w:hAnsi="Arial" w:cs="Arial"/>
                <w:sz w:val="16"/>
                <w:szCs w:val="16"/>
              </w:rPr>
              <w:t xml:space="preserve"> is given by Tables 6.3.1.5-9 to </w:t>
            </w:r>
            <w:r w:rsidRPr="00DC1481">
              <w:rPr>
                <w:rFonts w:ascii="Arial" w:eastAsia="MS Mincho" w:hAnsi="Arial" w:cs="Arial"/>
                <w:color w:val="FF0000"/>
                <w:sz w:val="16"/>
                <w:szCs w:val="16"/>
                <w:u w:val="single"/>
                <w:lang w:eastAsia="zh-CN"/>
              </w:rPr>
              <w:t>6.3.1.5-24 and 6.3.1.5-2</w:t>
            </w:r>
            <w:r w:rsidRPr="00DC1481">
              <w:rPr>
                <w:rFonts w:ascii="Arial" w:eastAsia="Malgun Gothic" w:hAnsi="Arial" w:cs="Arial"/>
                <w:color w:val="FF0000"/>
                <w:sz w:val="16"/>
                <w:szCs w:val="16"/>
                <w:u w:val="single"/>
                <w:lang w:eastAsia="zh-CN"/>
              </w:rPr>
              <w:t>9</w:t>
            </w:r>
            <w:r w:rsidRPr="00DC1481">
              <w:rPr>
                <w:rFonts w:ascii="Arial" w:eastAsia="MS Mincho" w:hAnsi="Arial" w:cs="Arial"/>
                <w:color w:val="FF0000"/>
                <w:sz w:val="16"/>
                <w:szCs w:val="16"/>
                <w:u w:val="single"/>
                <w:lang w:eastAsia="zh-CN"/>
              </w:rPr>
              <w:t xml:space="preserve"> </w:t>
            </w:r>
            <w:r w:rsidRPr="00DC1481">
              <w:rPr>
                <w:rFonts w:ascii="Arial" w:eastAsia="Malgun Gothic" w:hAnsi="Arial" w:cs="Arial"/>
                <w:color w:val="FF0000"/>
                <w:sz w:val="16"/>
                <w:szCs w:val="16"/>
                <w:u w:val="single"/>
                <w:lang w:eastAsia="zh-CN"/>
              </w:rPr>
              <w:t xml:space="preserve">to </w:t>
            </w:r>
            <w:r w:rsidRPr="00DC1481">
              <w:rPr>
                <w:rFonts w:ascii="Arial" w:eastAsia="MS Mincho" w:hAnsi="Arial" w:cs="Arial"/>
                <w:color w:val="FF0000"/>
                <w:sz w:val="16"/>
                <w:szCs w:val="16"/>
                <w:u w:val="single"/>
                <w:lang w:eastAsia="zh-CN"/>
              </w:rPr>
              <w:t>6.3.1.5-</w:t>
            </w:r>
            <w:r w:rsidRPr="00DC1481">
              <w:rPr>
                <w:rFonts w:ascii="Arial" w:eastAsia="Malgun Gothic" w:hAnsi="Arial" w:cs="Arial"/>
                <w:color w:val="FF0000"/>
                <w:sz w:val="16"/>
                <w:szCs w:val="16"/>
                <w:u w:val="single"/>
                <w:lang w:eastAsia="zh-CN"/>
              </w:rPr>
              <w:t xml:space="preserve">36 and </w:t>
            </w:r>
            <w:r w:rsidRPr="00DC1481">
              <w:rPr>
                <w:rFonts w:ascii="Arial" w:eastAsia="MS Mincho" w:hAnsi="Arial" w:cs="Arial"/>
                <w:color w:val="FF0000"/>
                <w:sz w:val="16"/>
                <w:szCs w:val="16"/>
                <w:u w:val="single"/>
                <w:lang w:eastAsia="zh-CN"/>
              </w:rPr>
              <w:t>6.3.1.5-</w:t>
            </w:r>
            <w:r w:rsidRPr="00DC1481">
              <w:rPr>
                <w:rFonts w:ascii="Arial" w:eastAsia="Malgun Gothic" w:hAnsi="Arial" w:cs="Arial"/>
                <w:color w:val="FF0000"/>
                <w:sz w:val="16"/>
                <w:szCs w:val="16"/>
                <w:u w:val="single"/>
                <w:lang w:eastAsia="zh-CN"/>
              </w:rPr>
              <w:t>39 to</w:t>
            </w:r>
            <w:r w:rsidRPr="00DC1481">
              <w:rPr>
                <w:rFonts w:ascii="Arial" w:eastAsia="MS Mincho" w:hAnsi="Arial" w:cs="Arial"/>
                <w:color w:val="FF0000"/>
                <w:sz w:val="16"/>
                <w:szCs w:val="16"/>
              </w:rPr>
              <w:t xml:space="preserve"> </w:t>
            </w:r>
            <w:r w:rsidRPr="00DC1481">
              <w:rPr>
                <w:rFonts w:ascii="Arial" w:eastAsia="MS Mincho" w:hAnsi="Arial" w:cs="Arial"/>
                <w:sz w:val="16"/>
                <w:szCs w:val="16"/>
              </w:rPr>
              <w:t xml:space="preserve">6.3.1.5-47 with </w:t>
            </w:r>
            <m:oMath>
              <m:sSub>
                <m:sSubPr>
                  <m:ctrlPr>
                    <w:rPr>
                      <w:rFonts w:ascii="Cambria Math" w:eastAsia="DengXian" w:hAnsi="Cambria Math" w:cs="Arial"/>
                      <w:kern w:val="2"/>
                      <w:sz w:val="16"/>
                      <w:szCs w:val="16"/>
                      <w:lang w:val="zh-CN"/>
                    </w:rPr>
                  </m:ctrlPr>
                </m:sSubPr>
                <m:e>
                  <m:r>
                    <m:rPr>
                      <m:sty m:val="p"/>
                    </m:rPr>
                    <w:rPr>
                      <w:rFonts w:ascii="Cambria Math" w:hAnsi="Cambria Math" w:cs="Arial"/>
                      <w:sz w:val="16"/>
                      <w:szCs w:val="16"/>
                    </w:rPr>
                    <m:t>0</m:t>
                  </m:r>
                </m:e>
                <m:sub>
                  <m:r>
                    <w:rPr>
                      <w:rFonts w:ascii="Cambria Math" w:hAnsi="Cambria Math" w:cs="Arial"/>
                      <w:sz w:val="16"/>
                      <w:szCs w:val="16"/>
                    </w:rPr>
                    <m:t>m</m:t>
                  </m:r>
                  <m:r>
                    <m:rPr>
                      <m:sty m:val="p"/>
                    </m:rPr>
                    <w:rPr>
                      <w:rFonts w:ascii="Cambria Math" w:hAnsi="Cambria Math" w:cs="Arial"/>
                      <w:sz w:val="16"/>
                      <w:szCs w:val="16"/>
                    </w:rPr>
                    <m:t>×</m:t>
                  </m:r>
                  <m:r>
                    <w:rPr>
                      <w:rFonts w:ascii="Cambria Math" w:hAnsi="Cambria Math" w:cs="Arial"/>
                      <w:sz w:val="16"/>
                      <w:szCs w:val="16"/>
                    </w:rPr>
                    <m:t>n</m:t>
                  </m:r>
                </m:sub>
              </m:sSub>
            </m:oMath>
            <w:r w:rsidRPr="00DC1481">
              <w:rPr>
                <w:rFonts w:ascii="Arial" w:eastAsia="MS Mincho" w:hAnsi="Arial" w:cs="Arial"/>
                <w:sz w:val="16"/>
                <w:szCs w:val="16"/>
              </w:rPr>
              <w:t xml:space="preserve"> representing the all-zero matrix with </w:t>
            </w:r>
            <m:oMath>
              <m:r>
                <w:rPr>
                  <w:rFonts w:ascii="Cambria Math" w:hAnsi="Cambria Math" w:cs="Arial"/>
                  <w:sz w:val="16"/>
                  <w:szCs w:val="16"/>
                </w:rPr>
                <m:t>m</m:t>
              </m:r>
            </m:oMath>
            <w:r w:rsidRPr="00DC1481">
              <w:rPr>
                <w:rFonts w:ascii="Arial" w:eastAsia="MS Mincho" w:hAnsi="Arial" w:cs="Arial"/>
                <w:sz w:val="16"/>
                <w:szCs w:val="16"/>
              </w:rPr>
              <w:t xml:space="preserve"> rows and </w:t>
            </w:r>
            <m:oMath>
              <m:r>
                <w:rPr>
                  <w:rFonts w:ascii="Cambria Math" w:hAnsi="Cambria Math" w:cs="Arial"/>
                  <w:sz w:val="16"/>
                  <w:szCs w:val="16"/>
                </w:rPr>
                <m:t>n</m:t>
              </m:r>
            </m:oMath>
            <w:r w:rsidRPr="00DC1481">
              <w:rPr>
                <w:rFonts w:ascii="Arial" w:eastAsia="MS Mincho" w:hAnsi="Arial" w:cs="Arial"/>
                <w:sz w:val="16"/>
                <w:szCs w:val="16"/>
              </w:rPr>
              <w:t xml:space="preserve"> columns;</w:t>
            </w:r>
          </w:p>
          <w:p w14:paraId="34AEE2F9" w14:textId="1605D9BD" w:rsidR="00DC1481" w:rsidRPr="00DC1481" w:rsidRDefault="00DC1481" w:rsidP="00DC1481">
            <w:pPr>
              <w:ind w:left="800" w:hanging="284"/>
              <w:contextualSpacing/>
              <w:rPr>
                <w:rFonts w:ascii="Arial" w:eastAsia="MS Mincho" w:hAnsi="Arial" w:cs="Arial"/>
                <w:sz w:val="16"/>
                <w:szCs w:val="16"/>
              </w:rPr>
            </w:pPr>
            <w:r w:rsidRPr="00DC1481">
              <w:rPr>
                <w:rFonts w:ascii="Arial" w:eastAsia="MS Mincho" w:hAnsi="Arial" w:cs="Arial"/>
                <w:sz w:val="16"/>
                <w:szCs w:val="16"/>
              </w:rPr>
              <w:t>-</w:t>
            </w:r>
            <w:r w:rsidRPr="00DC1481">
              <w:rPr>
                <w:rFonts w:ascii="Arial" w:eastAsia="MS Mincho" w:hAnsi="Arial" w:cs="Arial"/>
                <w:sz w:val="16"/>
                <w:szCs w:val="16"/>
              </w:rPr>
              <w:tab/>
              <w:t xml:space="preserve">the </w:t>
            </w:r>
            <w:r w:rsidRPr="00DC1481">
              <w:rPr>
                <w:rFonts w:ascii="Arial" w:eastAsia="MS Mincho" w:hAnsi="Arial" w:cs="Arial"/>
                <w:sz w:val="16"/>
                <w:szCs w:val="16"/>
                <w:lang w:val="en-US"/>
              </w:rPr>
              <w:t xml:space="preserve">submatrices </w:t>
            </w:r>
            <m:oMath>
              <m:sSub>
                <m:sSubPr>
                  <m:ctrlPr>
                    <w:rPr>
                      <w:rFonts w:ascii="Cambria Math" w:eastAsia="DengXian" w:hAnsi="Cambria Math" w:cs="Arial"/>
                      <w:kern w:val="2"/>
                      <w:sz w:val="16"/>
                      <w:szCs w:val="16"/>
                      <w:lang w:val="zh-CN"/>
                    </w:rPr>
                  </m:ctrlPr>
                </m:sSubPr>
                <m:e>
                  <m:acc>
                    <m:accPr>
                      <m:chr m:val="̅"/>
                      <m:ctrlPr>
                        <w:rPr>
                          <w:rFonts w:ascii="Cambria Math" w:eastAsia="DengXian" w:hAnsi="Cambria Math" w:cs="Arial"/>
                          <w:kern w:val="2"/>
                          <w:sz w:val="16"/>
                          <w:szCs w:val="16"/>
                          <w:lang w:val="zh-CN"/>
                        </w:rPr>
                      </m:ctrlPr>
                    </m:accPr>
                    <m:e>
                      <m:r>
                        <w:rPr>
                          <w:rFonts w:ascii="Cambria Math" w:hAnsi="Cambria Math" w:cs="Arial"/>
                          <w:sz w:val="16"/>
                          <w:szCs w:val="16"/>
                        </w:rPr>
                        <m:t>W</m:t>
                      </m:r>
                    </m:e>
                  </m:acc>
                </m:e>
                <m:sub>
                  <m:r>
                    <w:rPr>
                      <w:rFonts w:ascii="Cambria Math" w:hAnsi="Cambria Math" w:cs="Arial"/>
                      <w:sz w:val="16"/>
                      <w:szCs w:val="16"/>
                      <w:lang w:val="sv-SE"/>
                    </w:rPr>
                    <m:t>m</m:t>
                  </m:r>
                  <m:r>
                    <w:rPr>
                      <w:rFonts w:ascii="Cambria Math" w:hAnsi="Cambria Math" w:cs="Arial"/>
                      <w:sz w:val="16"/>
                      <w:szCs w:val="16"/>
                      <w:lang w:val="en-US"/>
                    </w:rPr>
                    <m:t>,</m:t>
                  </m:r>
                  <m:r>
                    <w:rPr>
                      <w:rFonts w:ascii="Cambria Math" w:hAnsi="Cambria Math" w:cs="Arial"/>
                      <w:sz w:val="16"/>
                      <w:szCs w:val="16"/>
                      <w:lang w:val="sv-SE"/>
                    </w:rPr>
                    <m:t>n</m:t>
                  </m:r>
                </m:sub>
              </m:sSub>
            </m:oMath>
            <w:r w:rsidRPr="00DC1481">
              <w:rPr>
                <w:rFonts w:ascii="Arial" w:eastAsia="MS Mincho" w:hAnsi="Arial" w:cs="Arial"/>
                <w:sz w:val="16"/>
                <w:szCs w:val="16"/>
                <w:lang w:val="en-US"/>
              </w:rPr>
              <w:t xml:space="preserve"> are given by Tables 6.3.1.5-25 to 6.3.1.5-28 and 6.3.1.5-37 to 6.3.1.5-38.</w:t>
            </w:r>
          </w:p>
          <w:p w14:paraId="34463529" w14:textId="77777777" w:rsidR="00DC1481" w:rsidRPr="00DC1481" w:rsidRDefault="00DC1481" w:rsidP="00DC1481">
            <w:pPr>
              <w:ind w:left="360"/>
              <w:contextualSpacing/>
              <w:rPr>
                <w:rFonts w:ascii="Arial" w:hAnsi="Arial" w:cs="Arial"/>
                <w:color w:val="FF0000"/>
                <w:sz w:val="16"/>
                <w:szCs w:val="16"/>
                <w:lang w:eastAsia="zh-CN"/>
              </w:rPr>
            </w:pPr>
            <w:r w:rsidRPr="00DC1481">
              <w:rPr>
                <w:rFonts w:ascii="Arial" w:hAnsi="Arial" w:cs="Arial"/>
                <w:color w:val="FF0000"/>
                <w:sz w:val="16"/>
                <w:szCs w:val="16"/>
                <w:lang w:eastAsia="zh-CN"/>
              </w:rPr>
              <w:t>-------------------------------------------Unchanged parts are omitted-------------------------------------------</w:t>
            </w:r>
          </w:p>
          <w:p w14:paraId="04724369" w14:textId="77777777" w:rsidR="00DC1481" w:rsidRPr="00DC1481" w:rsidRDefault="00DC1481" w:rsidP="00DC1481">
            <w:pPr>
              <w:contextualSpacing/>
              <w:rPr>
                <w:rFonts w:ascii="Arial" w:hAnsi="Arial" w:cs="Arial"/>
                <w:bCs/>
                <w:iCs/>
                <w:sz w:val="16"/>
                <w:szCs w:val="16"/>
                <w:lang w:val="en-US"/>
              </w:rPr>
            </w:pPr>
          </w:p>
        </w:tc>
      </w:tr>
    </w:tbl>
    <w:p w14:paraId="27C2B436" w14:textId="77777777" w:rsidR="00DC1481" w:rsidRPr="00DC1481" w:rsidRDefault="00DC1481" w:rsidP="00DC1481">
      <w:pPr>
        <w:rPr>
          <w:rFonts w:ascii="Times New Roman" w:hAnsi="Times New Roman"/>
          <w:szCs w:val="20"/>
          <w:lang w:eastAsia="x-none"/>
        </w:rPr>
      </w:pPr>
    </w:p>
    <w:p w14:paraId="31D09F72" w14:textId="77777777" w:rsidR="00645E2A" w:rsidRPr="009E07E2" w:rsidRDefault="00645E2A" w:rsidP="00645E2A">
      <w:pPr>
        <w:rPr>
          <w:rFonts w:ascii="Times New Roman" w:hAnsi="Times New Roman"/>
          <w:highlight w:val="green"/>
          <w:lang w:eastAsia="x-none"/>
        </w:rPr>
      </w:pPr>
      <w:r w:rsidRPr="009E07E2">
        <w:rPr>
          <w:rFonts w:ascii="Times New Roman" w:hAnsi="Times New Roman"/>
          <w:highlight w:val="green"/>
          <w:lang w:eastAsia="x-none"/>
        </w:rPr>
        <w:t>Agreement</w:t>
      </w:r>
    </w:p>
    <w:p w14:paraId="4B49DFF8" w14:textId="77777777" w:rsidR="00DC1481" w:rsidRPr="00DC1481" w:rsidRDefault="00DC1481" w:rsidP="00645E2A">
      <w:r w:rsidRPr="00DC1481">
        <w:t>Adopt the following text proposals to TS 38.211.</w:t>
      </w:r>
    </w:p>
    <w:p w14:paraId="6C22056F" w14:textId="39026D8B" w:rsidR="00DC1481" w:rsidRPr="00DC1481" w:rsidRDefault="00DC1481" w:rsidP="00AA1D48">
      <w:pPr>
        <w:pStyle w:val="ListParagraph"/>
        <w:numPr>
          <w:ilvl w:val="0"/>
          <w:numId w:val="110"/>
        </w:numPr>
        <w:rPr>
          <w:lang w:eastAsia="x-none"/>
        </w:rPr>
      </w:pPr>
      <w:r w:rsidRPr="00DC1481">
        <w:rPr>
          <w:lang w:eastAsia="x-none"/>
        </w:rPr>
        <w:t xml:space="preserve">Reason for change: Correcting a typo in titles of </w:t>
      </w:r>
      <m:oMath>
        <m:r>
          <w:rPr>
            <w:rFonts w:ascii="Cambria Math" w:hAnsi="Cambria Math"/>
          </w:rPr>
          <m:t>W</m:t>
        </m:r>
        <m:r>
          <m:rPr>
            <m:sty m:val="p"/>
          </m:rPr>
          <w:rPr>
            <w:rFonts w:ascii="Cambria Math" w:hAnsi="Cambria Math"/>
          </w:rPr>
          <m:t>'</m:t>
        </m:r>
      </m:oMath>
      <w:r w:rsidRPr="00DC1481">
        <w:rPr>
          <w:lang w:eastAsia="x-none"/>
        </w:rPr>
        <w:t xml:space="preserve"> tables.</w:t>
      </w:r>
    </w:p>
    <w:p w14:paraId="70375314" w14:textId="678538F3" w:rsidR="00DC1481" w:rsidRPr="00DC1481" w:rsidRDefault="00DC1481" w:rsidP="00AA1D48">
      <w:pPr>
        <w:pStyle w:val="ListParagraph"/>
        <w:numPr>
          <w:ilvl w:val="0"/>
          <w:numId w:val="110"/>
        </w:numPr>
        <w:rPr>
          <w:lang w:eastAsia="x-none"/>
        </w:rPr>
      </w:pPr>
      <w:r w:rsidRPr="00DC1481">
        <w:rPr>
          <w:lang w:eastAsia="x-none"/>
        </w:rPr>
        <w:t xml:space="preserve">Summary of change: Change </w:t>
      </w:r>
      <m:oMath>
        <m:r>
          <w:rPr>
            <w:rFonts w:ascii="Cambria Math" w:hAnsi="Cambria Math"/>
          </w:rPr>
          <m:t>W</m:t>
        </m:r>
      </m:oMath>
      <w:r w:rsidRPr="00DC1481">
        <w:rPr>
          <w:lang w:eastAsia="x-none"/>
        </w:rPr>
        <w:t xml:space="preserve"> to </w:t>
      </w:r>
      <m:oMath>
        <m:r>
          <w:rPr>
            <w:rFonts w:ascii="Cambria Math" w:hAnsi="Cambria Math"/>
          </w:rPr>
          <m:t>W</m:t>
        </m:r>
        <m:r>
          <m:rPr>
            <m:sty m:val="p"/>
          </m:rPr>
          <w:rPr>
            <w:rFonts w:ascii="Cambria Math" w:hAnsi="Cambria Math"/>
          </w:rPr>
          <m:t>'</m:t>
        </m:r>
      </m:oMath>
    </w:p>
    <w:p w14:paraId="157B2BDE" w14:textId="77777777" w:rsidR="00DC1481" w:rsidRPr="00DC1481" w:rsidRDefault="00DC1481" w:rsidP="00AA1D48">
      <w:pPr>
        <w:pStyle w:val="ListParagraph"/>
        <w:numPr>
          <w:ilvl w:val="0"/>
          <w:numId w:val="110"/>
        </w:numPr>
        <w:rPr>
          <w:lang w:eastAsia="x-none"/>
        </w:rPr>
      </w:pPr>
      <w:r w:rsidRPr="00DC1481">
        <w:rPr>
          <w:lang w:eastAsia="x-none"/>
        </w:rPr>
        <w:t>Consequences if not approved: Inaccurate description of precoding in 6.3.1.5 when using 8 antenna ports.</w:t>
      </w:r>
    </w:p>
    <w:tbl>
      <w:tblPr>
        <w:tblW w:w="5000" w:type="pct"/>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0683"/>
      </w:tblGrid>
      <w:tr w:rsidR="00DC1481" w:rsidRPr="00DC1481" w14:paraId="032AE50D" w14:textId="77777777" w:rsidTr="00645E2A">
        <w:tc>
          <w:tcPr>
            <w:tcW w:w="5000" w:type="pct"/>
            <w:tcBorders>
              <w:top w:val="single" w:sz="4" w:space="0" w:color="auto"/>
              <w:left w:val="single" w:sz="4" w:space="0" w:color="auto"/>
              <w:bottom w:val="single" w:sz="4" w:space="0" w:color="auto"/>
              <w:right w:val="single" w:sz="4" w:space="0" w:color="auto"/>
            </w:tcBorders>
            <w:shd w:val="clear" w:color="auto" w:fill="auto"/>
          </w:tcPr>
          <w:p w14:paraId="314E9208" w14:textId="77777777" w:rsidR="00DC1481" w:rsidRPr="00DC1481" w:rsidRDefault="00DC1481" w:rsidP="00DC1481">
            <w:pPr>
              <w:keepNext/>
              <w:keepLines/>
              <w:overflowPunct w:val="0"/>
              <w:autoSpaceDE w:val="0"/>
              <w:autoSpaceDN w:val="0"/>
              <w:adjustRightInd w:val="0"/>
              <w:ind w:left="800"/>
              <w:contextualSpacing/>
              <w:jc w:val="center"/>
              <w:textAlignment w:val="baseline"/>
              <w:rPr>
                <w:rFonts w:ascii="Arial" w:eastAsia="Times New Roman" w:hAnsi="Arial" w:cs="Arial"/>
                <w:bCs/>
                <w:color w:val="FF0000"/>
                <w:sz w:val="16"/>
                <w:szCs w:val="16"/>
                <w:lang w:eastAsia="en-GB"/>
              </w:rPr>
            </w:pPr>
            <w:r w:rsidRPr="00DC1481">
              <w:rPr>
                <w:rFonts w:ascii="Arial" w:eastAsia="Times New Roman" w:hAnsi="Arial" w:cs="Arial"/>
                <w:bCs/>
                <w:color w:val="FF0000"/>
                <w:sz w:val="16"/>
                <w:szCs w:val="16"/>
                <w:lang w:eastAsia="en-GB"/>
              </w:rPr>
              <w:lastRenderedPageBreak/>
              <w:t>-------------------------------------------Unchanged parts are omitted-------------------------------------------</w:t>
            </w:r>
          </w:p>
          <w:p w14:paraId="2E450118" w14:textId="022B1C25" w:rsidR="00DC1481" w:rsidRPr="00DC1481" w:rsidRDefault="00DC1481" w:rsidP="00DC1481">
            <w:pPr>
              <w:keepNext/>
              <w:keepLines/>
              <w:overflowPunct w:val="0"/>
              <w:autoSpaceDE w:val="0"/>
              <w:autoSpaceDN w:val="0"/>
              <w:adjustRightInd w:val="0"/>
              <w:ind w:left="800"/>
              <w:contextualSpacing/>
              <w:jc w:val="center"/>
              <w:textAlignment w:val="baseline"/>
              <w:rPr>
                <w:rFonts w:ascii="Arial" w:eastAsia="Times New Roman" w:hAnsi="Arial" w:cs="Arial"/>
                <w:b/>
                <w:sz w:val="16"/>
                <w:szCs w:val="16"/>
                <w:lang w:eastAsia="en-GB"/>
              </w:rPr>
            </w:pPr>
            <w:r w:rsidRPr="00DC1481">
              <w:rPr>
                <w:rFonts w:ascii="Arial" w:eastAsia="Times New Roman" w:hAnsi="Arial" w:cs="Arial"/>
                <w:b/>
                <w:sz w:val="16"/>
                <w:szCs w:val="16"/>
                <w:lang w:eastAsia="en-GB"/>
              </w:rPr>
              <w:t xml:space="preserve">Table 6.3.1.5-9: </w:t>
            </w:r>
            <w:r w:rsidRPr="00DC1481">
              <w:rPr>
                <w:rFonts w:ascii="Arial" w:eastAsia="Times New Roman" w:hAnsi="Arial" w:cs="Arial"/>
                <w:b/>
                <w:color w:val="FF0000"/>
                <w:sz w:val="16"/>
                <w:szCs w:val="16"/>
                <w:lang w:eastAsia="en-GB"/>
              </w:rPr>
              <w:t xml:space="preserve">Intermediate precoding matrix </w:t>
            </w:r>
            <m:oMath>
              <m:r>
                <m:rPr>
                  <m:sty m:val="bi"/>
                </m:rPr>
                <w:rPr>
                  <w:rFonts w:ascii="Cambria Math" w:hAnsi="Cambria Math" w:cs="Arial"/>
                  <w:color w:val="FF0000"/>
                  <w:sz w:val="16"/>
                  <w:szCs w:val="16"/>
                </w:rPr>
                <m:t>W</m:t>
              </m:r>
              <m:r>
                <m:rPr>
                  <m:sty m:val="p"/>
                </m:rPr>
                <w:rPr>
                  <w:rFonts w:ascii="Cambria Math" w:hAnsi="Cambria Math" w:cs="Arial"/>
                  <w:color w:val="FF0000"/>
                  <w:sz w:val="16"/>
                  <w:szCs w:val="16"/>
                </w:rPr>
                <m:t>'</m:t>
              </m:r>
            </m:oMath>
            <w:r w:rsidRPr="00DC1481">
              <w:rPr>
                <w:rFonts w:ascii="Arial" w:eastAsia="Times New Roman" w:hAnsi="Arial" w:cs="Arial"/>
                <w:b/>
                <w:strike/>
                <w:sz w:val="16"/>
                <w:szCs w:val="16"/>
                <w:lang w:eastAsia="en-GB"/>
              </w:rPr>
              <w:t xml:space="preserve">Precoding matrix </w:t>
            </w:r>
            <m:oMath>
              <m:r>
                <m:rPr>
                  <m:sty m:val="bi"/>
                </m:rPr>
                <w:rPr>
                  <w:rFonts w:ascii="Cambria Math" w:hAnsi="Cambria Math" w:cs="Arial"/>
                  <w:strike/>
                  <w:sz w:val="16"/>
                  <w:szCs w:val="16"/>
                </w:rPr>
                <m:t>W</m:t>
              </m:r>
            </m:oMath>
            <w:r w:rsidRPr="00DC1481">
              <w:rPr>
                <w:rFonts w:ascii="Arial" w:eastAsia="Times New Roman" w:hAnsi="Arial" w:cs="Arial"/>
                <w:b/>
                <w:sz w:val="16"/>
                <w:szCs w:val="16"/>
                <w:lang w:eastAsia="en-GB"/>
              </w:rPr>
              <w:t xml:space="preserve"> for </w:t>
            </w:r>
            <w:r w:rsidRPr="00DC1481">
              <w:rPr>
                <w:rFonts w:ascii="Arial" w:eastAsia="Times New Roman" w:hAnsi="Arial" w:cs="Arial"/>
                <w:b/>
                <w:i/>
                <w:iCs/>
                <w:sz w:val="16"/>
                <w:szCs w:val="16"/>
                <w:lang w:eastAsia="en-GB"/>
              </w:rPr>
              <w:t>codebook1=ng1n4n1</w:t>
            </w:r>
            <w:r w:rsidRPr="00DC1481">
              <w:rPr>
                <w:rFonts w:ascii="Arial" w:eastAsia="Times New Roman" w:hAnsi="Arial" w:cs="Arial"/>
                <w:b/>
                <w:sz w:val="16"/>
                <w:szCs w:val="16"/>
                <w:lang w:eastAsia="en-GB"/>
              </w:rPr>
              <w:t xml:space="preserve"> and single-layer transmission using eight antenna ports.</w:t>
            </w:r>
          </w:p>
          <w:tbl>
            <w:tblPr>
              <w:tblW w:w="0" w:type="auto"/>
              <w:jc w:val="center"/>
              <w:tblLook w:val="04A0" w:firstRow="1" w:lastRow="0" w:firstColumn="1" w:lastColumn="0" w:noHBand="0" w:noVBand="1"/>
            </w:tblPr>
            <w:tblGrid>
              <w:gridCol w:w="1265"/>
              <w:gridCol w:w="6982"/>
            </w:tblGrid>
            <w:tr w:rsidR="00DC1481" w:rsidRPr="00DC1481" w14:paraId="56AF97FE" w14:textId="77777777" w:rsidTr="00124274">
              <w:trPr>
                <w:cantSplit/>
                <w:jc w:val="center"/>
              </w:trPr>
              <w:tc>
                <w:tcPr>
                  <w:tcW w:w="1265" w:type="dxa"/>
                  <w:tcBorders>
                    <w:top w:val="single" w:sz="4" w:space="0" w:color="auto"/>
                    <w:left w:val="single" w:sz="4" w:space="0" w:color="auto"/>
                    <w:bottom w:val="single" w:sz="4" w:space="0" w:color="auto"/>
                    <w:right w:val="single" w:sz="4" w:space="0" w:color="auto"/>
                  </w:tcBorders>
                </w:tcPr>
                <w:p w14:paraId="2847B46F" w14:textId="77777777" w:rsidR="00DC1481" w:rsidRPr="00DC1481" w:rsidRDefault="00DC1481" w:rsidP="00DC1481">
                  <w:pPr>
                    <w:keepNext/>
                    <w:keepLines/>
                    <w:contextualSpacing/>
                    <w:jc w:val="center"/>
                    <w:rPr>
                      <w:rFonts w:ascii="Arial" w:hAnsi="Arial" w:cs="Arial"/>
                      <w:b/>
                      <w:sz w:val="16"/>
                      <w:szCs w:val="16"/>
                      <w:lang w:val="en-US" w:eastAsia="zh-CN"/>
                    </w:rPr>
                  </w:pPr>
                  <w:r w:rsidRPr="00DC1481">
                    <w:rPr>
                      <w:rFonts w:ascii="Arial" w:hAnsi="Arial" w:cs="Arial"/>
                      <w:b/>
                      <w:sz w:val="16"/>
                      <w:szCs w:val="16"/>
                      <w:lang w:eastAsia="zh-CN"/>
                    </w:rPr>
                    <w:t>TPMI index</w:t>
                  </w:r>
                </w:p>
              </w:tc>
              <w:tc>
                <w:tcPr>
                  <w:tcW w:w="6982" w:type="dxa"/>
                  <w:tcBorders>
                    <w:top w:val="single" w:sz="4" w:space="0" w:color="auto"/>
                    <w:left w:val="single" w:sz="4" w:space="0" w:color="auto"/>
                    <w:bottom w:val="single" w:sz="4" w:space="0" w:color="auto"/>
                    <w:right w:val="single" w:sz="4" w:space="0" w:color="auto"/>
                  </w:tcBorders>
                  <w:vAlign w:val="center"/>
                </w:tcPr>
                <w:p w14:paraId="61E1E16F" w14:textId="6D8DAE2B" w:rsidR="00DC1481" w:rsidRPr="00DC1481" w:rsidRDefault="00DC1481" w:rsidP="00DC1481">
                  <w:pPr>
                    <w:keepNext/>
                    <w:keepLines/>
                    <w:contextualSpacing/>
                    <w:jc w:val="center"/>
                    <w:rPr>
                      <w:rFonts w:ascii="Arial" w:hAnsi="Arial" w:cs="Arial"/>
                      <w:b/>
                      <w:strike/>
                      <w:sz w:val="16"/>
                      <w:szCs w:val="16"/>
                      <w:lang w:eastAsia="zh-CN"/>
                    </w:rPr>
                  </w:pPr>
                  <w:r w:rsidRPr="00DC1481">
                    <w:rPr>
                      <w:rFonts w:ascii="Arial" w:hAnsi="Arial" w:cs="Arial"/>
                      <w:b/>
                      <w:color w:val="FF0000"/>
                      <w:sz w:val="16"/>
                      <w:szCs w:val="16"/>
                      <w:lang w:eastAsia="zh-CN"/>
                    </w:rPr>
                    <w:t>Intermediate precoder matrix</w:t>
                  </w:r>
                  <w:r w:rsidRPr="00DC1481">
                    <w:rPr>
                      <w:rFonts w:ascii="Arial" w:hAnsi="Arial" w:cs="Arial"/>
                      <w:color w:val="FF0000"/>
                      <w:sz w:val="16"/>
                      <w:szCs w:val="16"/>
                      <w:lang w:eastAsia="zh-CN"/>
                    </w:rPr>
                    <w:t xml:space="preserve"> </w:t>
                  </w:r>
                  <m:oMath>
                    <m:sSup>
                      <m:sSupPr>
                        <m:ctrlPr>
                          <w:rPr>
                            <w:rFonts w:ascii="Cambria Math" w:hAnsi="Cambria Math" w:cs="Arial"/>
                            <w:b/>
                            <w:color w:val="FF0000"/>
                            <w:sz w:val="16"/>
                            <w:szCs w:val="16"/>
                            <w:lang w:eastAsia="zh-CN"/>
                          </w:rPr>
                        </m:ctrlPr>
                      </m:sSupPr>
                      <m:e>
                        <m:r>
                          <m:rPr>
                            <m:sty m:val="bi"/>
                          </m:rPr>
                          <w:rPr>
                            <w:rFonts w:ascii="Cambria Math" w:hAnsi="Cambria Math" w:cs="Arial"/>
                            <w:color w:val="FF0000"/>
                            <w:sz w:val="16"/>
                            <w:szCs w:val="16"/>
                            <w:lang w:eastAsia="zh-CN"/>
                          </w:rPr>
                          <m:t>W</m:t>
                        </m:r>
                        <m:ctrlPr>
                          <w:rPr>
                            <w:rFonts w:ascii="Cambria Math" w:hAnsi="Cambria Math" w:cs="Arial"/>
                            <w:b/>
                            <w:i/>
                            <w:color w:val="FF0000"/>
                            <w:sz w:val="16"/>
                            <w:szCs w:val="16"/>
                            <w:lang w:eastAsia="zh-CN"/>
                          </w:rPr>
                        </m:ctrlPr>
                      </m:e>
                      <m:sup>
                        <m:r>
                          <m:rPr>
                            <m:sty m:val="b"/>
                          </m:rPr>
                          <w:rPr>
                            <w:rFonts w:ascii="Cambria Math" w:hAnsi="Cambria Math" w:cs="Arial"/>
                            <w:color w:val="FF0000"/>
                            <w:sz w:val="16"/>
                            <w:szCs w:val="16"/>
                            <w:lang w:eastAsia="zh-CN"/>
                          </w:rPr>
                          <m:t>'</m:t>
                        </m:r>
                      </m:sup>
                    </m:sSup>
                    <m:r>
                      <m:rPr>
                        <m:sty m:val="bi"/>
                      </m:rPr>
                      <w:rPr>
                        <w:rFonts w:ascii="Cambria Math" w:hAnsi="Cambria Math" w:cs="Arial"/>
                        <w:strike/>
                        <w:sz w:val="16"/>
                        <w:szCs w:val="16"/>
                        <w:lang w:eastAsia="zh-CN"/>
                      </w:rPr>
                      <m:t>W</m:t>
                    </m:r>
                  </m:oMath>
                </w:p>
                <w:p w14:paraId="31925ABB" w14:textId="77777777" w:rsidR="00DC1481" w:rsidRPr="00DC1481" w:rsidRDefault="00DC1481" w:rsidP="00DC1481">
                  <w:pPr>
                    <w:keepNext/>
                    <w:keepLines/>
                    <w:contextualSpacing/>
                    <w:jc w:val="center"/>
                    <w:rPr>
                      <w:rFonts w:ascii="Arial" w:hAnsi="Arial" w:cs="Arial"/>
                      <w:b/>
                      <w:sz w:val="16"/>
                      <w:szCs w:val="16"/>
                      <w:lang w:eastAsia="zh-CN"/>
                    </w:rPr>
                  </w:pPr>
                  <w:r w:rsidRPr="00DC1481">
                    <w:rPr>
                      <w:rFonts w:ascii="Arial" w:hAnsi="Arial" w:cs="Arial"/>
                      <w:b/>
                      <w:sz w:val="16"/>
                      <w:szCs w:val="16"/>
                      <w:lang w:eastAsia="zh-CN"/>
                    </w:rPr>
                    <w:t>(ordered from left to right in increasing order of TPMI index)</w:t>
                  </w:r>
                </w:p>
              </w:tc>
            </w:tr>
          </w:tbl>
          <w:p w14:paraId="2966BFDF" w14:textId="77777777" w:rsidR="00DC1481" w:rsidRPr="00DC1481" w:rsidRDefault="00DC1481" w:rsidP="00DC1481">
            <w:pPr>
              <w:keepNext/>
              <w:keepLines/>
              <w:overflowPunct w:val="0"/>
              <w:autoSpaceDE w:val="0"/>
              <w:autoSpaceDN w:val="0"/>
              <w:adjustRightInd w:val="0"/>
              <w:ind w:left="800"/>
              <w:contextualSpacing/>
              <w:jc w:val="center"/>
              <w:textAlignment w:val="baseline"/>
              <w:rPr>
                <w:rFonts w:ascii="Arial" w:eastAsia="Times New Roman" w:hAnsi="Arial" w:cs="Arial"/>
                <w:bCs/>
                <w:color w:val="FF0000"/>
                <w:sz w:val="16"/>
                <w:szCs w:val="16"/>
                <w:lang w:eastAsia="en-GB"/>
              </w:rPr>
            </w:pPr>
          </w:p>
          <w:p w14:paraId="65DB8442" w14:textId="77777777" w:rsidR="00DC1481" w:rsidRPr="00DC1481" w:rsidRDefault="00DC1481" w:rsidP="00DC1481">
            <w:pPr>
              <w:keepNext/>
              <w:keepLines/>
              <w:overflowPunct w:val="0"/>
              <w:autoSpaceDE w:val="0"/>
              <w:autoSpaceDN w:val="0"/>
              <w:adjustRightInd w:val="0"/>
              <w:ind w:left="800"/>
              <w:contextualSpacing/>
              <w:jc w:val="center"/>
              <w:textAlignment w:val="baseline"/>
              <w:rPr>
                <w:rFonts w:ascii="Arial" w:eastAsia="Times New Roman" w:hAnsi="Arial" w:cs="Arial"/>
                <w:bCs/>
                <w:color w:val="FF0000"/>
                <w:sz w:val="16"/>
                <w:szCs w:val="16"/>
                <w:lang w:eastAsia="en-GB"/>
              </w:rPr>
            </w:pPr>
            <w:r w:rsidRPr="00DC1481">
              <w:rPr>
                <w:rFonts w:ascii="Arial" w:eastAsia="Times New Roman" w:hAnsi="Arial" w:cs="Arial"/>
                <w:bCs/>
                <w:color w:val="FF0000"/>
                <w:sz w:val="16"/>
                <w:szCs w:val="16"/>
                <w:lang w:eastAsia="en-GB"/>
              </w:rPr>
              <w:t>-------------------------------------------Unchanged parts are omitted-------------------------------------------</w:t>
            </w:r>
          </w:p>
          <w:p w14:paraId="316DC54C" w14:textId="77777777" w:rsidR="00DC1481" w:rsidRPr="00DC1481" w:rsidRDefault="00DC1481" w:rsidP="00DC1481">
            <w:pPr>
              <w:contextualSpacing/>
              <w:rPr>
                <w:rFonts w:ascii="Arial" w:eastAsia="Times New Roman" w:hAnsi="Arial" w:cs="Arial"/>
                <w:sz w:val="16"/>
                <w:szCs w:val="16"/>
              </w:rPr>
            </w:pPr>
          </w:p>
          <w:p w14:paraId="5B36CEF9" w14:textId="0038BF29" w:rsidR="00DC1481" w:rsidRPr="00DC1481" w:rsidRDefault="00DC1481" w:rsidP="00DC1481">
            <w:pPr>
              <w:keepNext/>
              <w:keepLines/>
              <w:overflowPunct w:val="0"/>
              <w:autoSpaceDE w:val="0"/>
              <w:autoSpaceDN w:val="0"/>
              <w:adjustRightInd w:val="0"/>
              <w:ind w:left="800"/>
              <w:contextualSpacing/>
              <w:jc w:val="center"/>
              <w:textAlignment w:val="baseline"/>
              <w:rPr>
                <w:rFonts w:ascii="Arial" w:eastAsia="Calibri" w:hAnsi="Arial" w:cs="Arial"/>
                <w:b/>
                <w:sz w:val="16"/>
                <w:szCs w:val="16"/>
                <w:lang w:eastAsia="en-GB"/>
              </w:rPr>
            </w:pPr>
            <w:r w:rsidRPr="00DC1481">
              <w:rPr>
                <w:rFonts w:ascii="Arial" w:eastAsia="Times New Roman" w:hAnsi="Arial" w:cs="Arial"/>
                <w:b/>
                <w:sz w:val="16"/>
                <w:szCs w:val="16"/>
                <w:lang w:eastAsia="en-GB"/>
              </w:rPr>
              <w:t xml:space="preserve">Table 6.3.1.5-10: </w:t>
            </w:r>
            <w:r w:rsidRPr="00DC1481">
              <w:rPr>
                <w:rFonts w:ascii="Arial" w:eastAsia="Times New Roman" w:hAnsi="Arial" w:cs="Arial"/>
                <w:b/>
                <w:color w:val="FF0000"/>
                <w:sz w:val="16"/>
                <w:szCs w:val="16"/>
                <w:lang w:eastAsia="en-GB"/>
              </w:rPr>
              <w:t xml:space="preserve">Intermediate precoding matrix </w:t>
            </w:r>
            <m:oMath>
              <m:r>
                <m:rPr>
                  <m:sty m:val="bi"/>
                </m:rPr>
                <w:rPr>
                  <w:rFonts w:ascii="Cambria Math" w:hAnsi="Cambria Math" w:cs="Arial"/>
                  <w:color w:val="FF0000"/>
                  <w:sz w:val="16"/>
                  <w:szCs w:val="16"/>
                </w:rPr>
                <m:t>W</m:t>
              </m:r>
              <m:r>
                <m:rPr>
                  <m:sty m:val="p"/>
                </m:rPr>
                <w:rPr>
                  <w:rFonts w:ascii="Cambria Math" w:hAnsi="Cambria Math" w:cs="Arial"/>
                  <w:color w:val="FF0000"/>
                  <w:sz w:val="16"/>
                  <w:szCs w:val="16"/>
                </w:rPr>
                <m:t>'</m:t>
              </m:r>
            </m:oMath>
            <w:r w:rsidRPr="00DC1481">
              <w:rPr>
                <w:rFonts w:ascii="Arial" w:eastAsia="Times New Roman" w:hAnsi="Arial" w:cs="Arial"/>
                <w:b/>
                <w:strike/>
                <w:sz w:val="16"/>
                <w:szCs w:val="16"/>
                <w:lang w:eastAsia="en-GB"/>
              </w:rPr>
              <w:t xml:space="preserve">Precoding matrix </w:t>
            </w:r>
            <m:oMath>
              <m:r>
                <m:rPr>
                  <m:sty m:val="bi"/>
                </m:rPr>
                <w:rPr>
                  <w:rFonts w:ascii="Cambria Math" w:hAnsi="Cambria Math" w:cs="Arial"/>
                  <w:strike/>
                  <w:sz w:val="16"/>
                  <w:szCs w:val="16"/>
                </w:rPr>
                <m:t>W</m:t>
              </m:r>
            </m:oMath>
            <w:r w:rsidRPr="00DC1481">
              <w:rPr>
                <w:rFonts w:ascii="Arial" w:eastAsia="Times New Roman" w:hAnsi="Arial" w:cs="Arial"/>
                <w:b/>
                <w:sz w:val="16"/>
                <w:szCs w:val="16"/>
                <w:lang w:eastAsia="en-GB"/>
              </w:rPr>
              <w:t xml:space="preserve"> for </w:t>
            </w:r>
            <w:r w:rsidRPr="00DC1481">
              <w:rPr>
                <w:rFonts w:ascii="Arial" w:eastAsia="Times New Roman" w:hAnsi="Arial" w:cs="Arial"/>
                <w:b/>
                <w:i/>
                <w:iCs/>
                <w:sz w:val="16"/>
                <w:szCs w:val="16"/>
                <w:lang w:eastAsia="en-GB"/>
              </w:rPr>
              <w:t>codebook1=ng1n4n1</w:t>
            </w:r>
            <w:r w:rsidRPr="00DC1481">
              <w:rPr>
                <w:rFonts w:ascii="Arial" w:eastAsia="Times New Roman" w:hAnsi="Arial" w:cs="Arial"/>
                <w:b/>
                <w:sz w:val="16"/>
                <w:szCs w:val="16"/>
                <w:lang w:eastAsia="en-GB"/>
              </w:rPr>
              <w:t xml:space="preserve"> and two-layer transmission using eight antenna ports with transform precoding disabled.</w:t>
            </w:r>
          </w:p>
          <w:tbl>
            <w:tblPr>
              <w:tblW w:w="0" w:type="auto"/>
              <w:jc w:val="cente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CellMar>
                <w:left w:w="57" w:type="dxa"/>
                <w:right w:w="57" w:type="dxa"/>
              </w:tblCellMar>
              <w:tblLook w:val="04A0" w:firstRow="1" w:lastRow="0" w:firstColumn="1" w:lastColumn="0" w:noHBand="0" w:noVBand="1"/>
            </w:tblPr>
            <w:tblGrid>
              <w:gridCol w:w="1175"/>
              <w:gridCol w:w="7072"/>
            </w:tblGrid>
            <w:tr w:rsidR="00DC1481" w:rsidRPr="00DC1481" w14:paraId="13684D45" w14:textId="77777777" w:rsidTr="00124274">
              <w:trPr>
                <w:jc w:val="center"/>
              </w:trPr>
              <w:tc>
                <w:tcPr>
                  <w:tcW w:w="1175" w:type="dxa"/>
                  <w:tcBorders>
                    <w:top w:val="single" w:sz="4" w:space="0" w:color="000000"/>
                    <w:left w:val="single" w:sz="4" w:space="0" w:color="000000"/>
                    <w:bottom w:val="single" w:sz="4" w:space="0" w:color="000000"/>
                    <w:right w:val="single" w:sz="4" w:space="0" w:color="000000"/>
                  </w:tcBorders>
                  <w:shd w:val="clear" w:color="auto" w:fill="auto"/>
                </w:tcPr>
                <w:p w14:paraId="60AF028B" w14:textId="77777777" w:rsidR="00DC1481" w:rsidRPr="00DC1481" w:rsidRDefault="00DC1481" w:rsidP="00DC1481">
                  <w:pPr>
                    <w:keepNext/>
                    <w:keepLines/>
                    <w:contextualSpacing/>
                    <w:jc w:val="center"/>
                    <w:rPr>
                      <w:rFonts w:ascii="Arial" w:hAnsi="Arial" w:cs="Arial"/>
                      <w:b/>
                      <w:sz w:val="16"/>
                      <w:szCs w:val="16"/>
                      <w:lang w:eastAsia="zh-CN"/>
                    </w:rPr>
                  </w:pPr>
                  <w:r w:rsidRPr="00DC1481">
                    <w:rPr>
                      <w:rFonts w:ascii="Arial" w:hAnsi="Arial" w:cs="Arial"/>
                      <w:b/>
                      <w:sz w:val="16"/>
                      <w:szCs w:val="16"/>
                      <w:lang w:eastAsia="zh-CN"/>
                    </w:rPr>
                    <w:t>TPMI index</w:t>
                  </w:r>
                </w:p>
              </w:tc>
              <w:tc>
                <w:tcPr>
                  <w:tcW w:w="70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017167" w14:textId="253DE1CC" w:rsidR="00DC1481" w:rsidRPr="00DC1481" w:rsidRDefault="00DC1481" w:rsidP="00DC1481">
                  <w:pPr>
                    <w:keepNext/>
                    <w:keepLines/>
                    <w:contextualSpacing/>
                    <w:jc w:val="center"/>
                    <w:rPr>
                      <w:rFonts w:ascii="Arial" w:hAnsi="Arial" w:cs="Arial"/>
                      <w:b/>
                      <w:sz w:val="16"/>
                      <w:szCs w:val="16"/>
                      <w:lang w:eastAsia="zh-CN"/>
                    </w:rPr>
                  </w:pPr>
                  <w:r w:rsidRPr="00DC1481">
                    <w:rPr>
                      <w:rFonts w:ascii="Arial" w:hAnsi="Arial" w:cs="Arial"/>
                      <w:b/>
                      <w:color w:val="FF0000"/>
                      <w:sz w:val="16"/>
                      <w:szCs w:val="16"/>
                      <w:lang w:eastAsia="zh-CN"/>
                    </w:rPr>
                    <w:t>Intermediate precoder matrix</w:t>
                  </w:r>
                  <w:r w:rsidRPr="00DC1481">
                    <w:rPr>
                      <w:rFonts w:ascii="Arial" w:hAnsi="Arial" w:cs="Arial"/>
                      <w:color w:val="FF0000"/>
                      <w:sz w:val="16"/>
                      <w:szCs w:val="16"/>
                      <w:lang w:eastAsia="zh-CN"/>
                    </w:rPr>
                    <w:t xml:space="preserve"> </w:t>
                  </w:r>
                  <m:oMath>
                    <m:r>
                      <m:rPr>
                        <m:sty m:val="bi"/>
                      </m:rPr>
                      <w:rPr>
                        <w:rFonts w:ascii="Cambria Math" w:hAnsi="Cambria Math" w:cs="Arial"/>
                        <w:color w:val="FF0000"/>
                        <w:sz w:val="16"/>
                        <w:szCs w:val="16"/>
                        <w:lang w:eastAsia="zh-CN"/>
                      </w:rPr>
                      <m:t>W</m:t>
                    </m:r>
                    <m:r>
                      <m:rPr>
                        <m:sty m:val="b"/>
                      </m:rPr>
                      <w:rPr>
                        <w:rFonts w:ascii="Cambria Math" w:hAnsi="Cambria Math" w:cs="Arial"/>
                        <w:color w:val="FF0000"/>
                        <w:sz w:val="16"/>
                        <w:szCs w:val="16"/>
                        <w:lang w:eastAsia="zh-CN"/>
                      </w:rPr>
                      <m:t>'</m:t>
                    </m:r>
                    <m:r>
                      <m:rPr>
                        <m:sty m:val="bi"/>
                      </m:rPr>
                      <w:rPr>
                        <w:rFonts w:ascii="Cambria Math" w:hAnsi="Cambria Math" w:cs="Arial"/>
                        <w:strike/>
                        <w:sz w:val="16"/>
                        <w:szCs w:val="16"/>
                        <w:lang w:eastAsia="zh-CN"/>
                      </w:rPr>
                      <m:t>W</m:t>
                    </m:r>
                  </m:oMath>
                  <w:r w:rsidRPr="00DC1481">
                    <w:rPr>
                      <w:rFonts w:ascii="Arial" w:hAnsi="Arial" w:cs="Arial"/>
                      <w:sz w:val="16"/>
                      <w:szCs w:val="16"/>
                      <w:lang w:eastAsia="zh-CN"/>
                    </w:rPr>
                    <w:br/>
                  </w:r>
                  <w:r w:rsidRPr="00DC1481">
                    <w:rPr>
                      <w:rFonts w:ascii="Arial" w:hAnsi="Arial" w:cs="Arial"/>
                      <w:b/>
                      <w:sz w:val="16"/>
                      <w:szCs w:val="16"/>
                      <w:lang w:eastAsia="zh-CN"/>
                    </w:rPr>
                    <w:t>(ordered from left to right in increasing order of TPMI index)</w:t>
                  </w:r>
                </w:p>
              </w:tc>
            </w:tr>
          </w:tbl>
          <w:p w14:paraId="2369032B" w14:textId="77777777" w:rsidR="00DC1481" w:rsidRPr="00DC1481" w:rsidRDefault="00DC1481" w:rsidP="00DC1481">
            <w:pPr>
              <w:keepNext/>
              <w:keepLines/>
              <w:overflowPunct w:val="0"/>
              <w:autoSpaceDE w:val="0"/>
              <w:autoSpaceDN w:val="0"/>
              <w:adjustRightInd w:val="0"/>
              <w:ind w:left="800"/>
              <w:contextualSpacing/>
              <w:jc w:val="center"/>
              <w:textAlignment w:val="baseline"/>
              <w:rPr>
                <w:rFonts w:ascii="Arial" w:eastAsia="Times New Roman" w:hAnsi="Arial" w:cs="Arial"/>
                <w:bCs/>
                <w:color w:val="FF0000"/>
                <w:sz w:val="16"/>
                <w:szCs w:val="16"/>
                <w:lang w:eastAsia="en-GB"/>
              </w:rPr>
            </w:pPr>
          </w:p>
          <w:p w14:paraId="0EAB5DD1" w14:textId="77777777" w:rsidR="00DC1481" w:rsidRPr="00DC1481" w:rsidRDefault="00DC1481" w:rsidP="00DC1481">
            <w:pPr>
              <w:keepNext/>
              <w:keepLines/>
              <w:overflowPunct w:val="0"/>
              <w:autoSpaceDE w:val="0"/>
              <w:autoSpaceDN w:val="0"/>
              <w:adjustRightInd w:val="0"/>
              <w:ind w:left="800"/>
              <w:contextualSpacing/>
              <w:jc w:val="center"/>
              <w:textAlignment w:val="baseline"/>
              <w:rPr>
                <w:rFonts w:ascii="Arial" w:eastAsia="Times New Roman" w:hAnsi="Arial" w:cs="Arial"/>
                <w:bCs/>
                <w:color w:val="FF0000"/>
                <w:sz w:val="16"/>
                <w:szCs w:val="16"/>
                <w:lang w:eastAsia="en-GB"/>
              </w:rPr>
            </w:pPr>
            <w:r w:rsidRPr="00DC1481">
              <w:rPr>
                <w:rFonts w:ascii="Arial" w:eastAsia="Times New Roman" w:hAnsi="Arial" w:cs="Arial"/>
                <w:bCs/>
                <w:color w:val="FF0000"/>
                <w:sz w:val="16"/>
                <w:szCs w:val="16"/>
                <w:lang w:eastAsia="en-GB"/>
              </w:rPr>
              <w:t>-------------------------------------------Unchanged parts are omitted-------------------------------------------</w:t>
            </w:r>
          </w:p>
          <w:p w14:paraId="5F3AE28E" w14:textId="77777777" w:rsidR="00DC1481" w:rsidRPr="00DC1481" w:rsidRDefault="00DC1481" w:rsidP="00DC1481">
            <w:pPr>
              <w:contextualSpacing/>
              <w:rPr>
                <w:rFonts w:ascii="Arial" w:eastAsia="Times New Roman" w:hAnsi="Arial" w:cs="Arial"/>
                <w:sz w:val="16"/>
                <w:szCs w:val="16"/>
              </w:rPr>
            </w:pPr>
          </w:p>
          <w:p w14:paraId="7112544C" w14:textId="641F81CB" w:rsidR="00DC1481" w:rsidRPr="00DC1481" w:rsidRDefault="00DC1481" w:rsidP="00DC1481">
            <w:pPr>
              <w:keepNext/>
              <w:keepLines/>
              <w:overflowPunct w:val="0"/>
              <w:autoSpaceDE w:val="0"/>
              <w:autoSpaceDN w:val="0"/>
              <w:adjustRightInd w:val="0"/>
              <w:ind w:left="800"/>
              <w:contextualSpacing/>
              <w:jc w:val="center"/>
              <w:textAlignment w:val="baseline"/>
              <w:rPr>
                <w:rFonts w:ascii="Arial" w:eastAsia="Calibri" w:hAnsi="Arial" w:cs="Arial"/>
                <w:b/>
                <w:sz w:val="16"/>
                <w:szCs w:val="16"/>
                <w:lang w:eastAsia="en-GB"/>
              </w:rPr>
            </w:pPr>
            <w:r w:rsidRPr="00DC1481">
              <w:rPr>
                <w:rFonts w:ascii="Arial" w:eastAsia="Times New Roman" w:hAnsi="Arial" w:cs="Arial"/>
                <w:b/>
                <w:sz w:val="16"/>
                <w:szCs w:val="16"/>
                <w:lang w:eastAsia="en-GB"/>
              </w:rPr>
              <w:t xml:space="preserve">Table 6.3.1.5-11: </w:t>
            </w:r>
            <w:r w:rsidRPr="00DC1481">
              <w:rPr>
                <w:rFonts w:ascii="Arial" w:eastAsia="Times New Roman" w:hAnsi="Arial" w:cs="Arial"/>
                <w:b/>
                <w:color w:val="FF0000"/>
                <w:sz w:val="16"/>
                <w:szCs w:val="16"/>
                <w:lang w:eastAsia="en-GB"/>
              </w:rPr>
              <w:t xml:space="preserve">Intermediate precoding matrix </w:t>
            </w:r>
            <m:oMath>
              <m:r>
                <m:rPr>
                  <m:sty m:val="bi"/>
                </m:rPr>
                <w:rPr>
                  <w:rFonts w:ascii="Cambria Math" w:hAnsi="Cambria Math" w:cs="Arial"/>
                  <w:color w:val="FF0000"/>
                  <w:sz w:val="16"/>
                  <w:szCs w:val="16"/>
                </w:rPr>
                <m:t>W</m:t>
              </m:r>
              <m:r>
                <m:rPr>
                  <m:sty m:val="p"/>
                </m:rPr>
                <w:rPr>
                  <w:rFonts w:ascii="Cambria Math" w:hAnsi="Cambria Math" w:cs="Arial"/>
                  <w:color w:val="FF0000"/>
                  <w:sz w:val="16"/>
                  <w:szCs w:val="16"/>
                </w:rPr>
                <m:t>'</m:t>
              </m:r>
            </m:oMath>
            <w:r w:rsidRPr="00DC1481">
              <w:rPr>
                <w:rFonts w:ascii="Arial" w:eastAsia="Times New Roman" w:hAnsi="Arial" w:cs="Arial"/>
                <w:b/>
                <w:strike/>
                <w:sz w:val="16"/>
                <w:szCs w:val="16"/>
                <w:lang w:eastAsia="en-GB"/>
              </w:rPr>
              <w:t xml:space="preserve">Precoding matrix </w:t>
            </w:r>
            <m:oMath>
              <m:r>
                <m:rPr>
                  <m:sty m:val="bi"/>
                </m:rPr>
                <w:rPr>
                  <w:rFonts w:ascii="Cambria Math" w:hAnsi="Cambria Math" w:cs="Arial"/>
                  <w:strike/>
                  <w:sz w:val="16"/>
                  <w:szCs w:val="16"/>
                </w:rPr>
                <m:t>W</m:t>
              </m:r>
            </m:oMath>
            <w:r w:rsidRPr="00DC1481">
              <w:rPr>
                <w:rFonts w:ascii="Arial" w:eastAsia="Times New Roman" w:hAnsi="Arial" w:cs="Arial"/>
                <w:b/>
                <w:sz w:val="16"/>
                <w:szCs w:val="16"/>
                <w:lang w:eastAsia="en-GB"/>
              </w:rPr>
              <w:t xml:space="preserve"> for </w:t>
            </w:r>
            <w:r w:rsidRPr="00DC1481">
              <w:rPr>
                <w:rFonts w:ascii="Arial" w:eastAsia="Times New Roman" w:hAnsi="Arial" w:cs="Arial"/>
                <w:b/>
                <w:i/>
                <w:iCs/>
                <w:sz w:val="16"/>
                <w:szCs w:val="16"/>
                <w:lang w:eastAsia="en-GB"/>
              </w:rPr>
              <w:t>codebook1=ng1n4n1</w:t>
            </w:r>
            <w:r w:rsidRPr="00DC1481">
              <w:rPr>
                <w:rFonts w:ascii="Arial" w:eastAsia="Times New Roman" w:hAnsi="Arial" w:cs="Arial"/>
                <w:b/>
                <w:sz w:val="16"/>
                <w:szCs w:val="16"/>
                <w:lang w:eastAsia="en-GB"/>
              </w:rPr>
              <w:t xml:space="preserve"> and three-layer transmission using eight antenna ports with transform precoding disabled.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5"/>
              <w:gridCol w:w="6622"/>
            </w:tblGrid>
            <w:tr w:rsidR="00DC1481" w:rsidRPr="00DC1481" w14:paraId="27CA4FCA" w14:textId="77777777" w:rsidTr="00124274">
              <w:trPr>
                <w:jc w:val="center"/>
              </w:trPr>
              <w:tc>
                <w:tcPr>
                  <w:tcW w:w="1625" w:type="dxa"/>
                  <w:tcBorders>
                    <w:top w:val="single" w:sz="4" w:space="0" w:color="auto"/>
                    <w:left w:val="single" w:sz="4" w:space="0" w:color="auto"/>
                    <w:bottom w:val="single" w:sz="4" w:space="0" w:color="auto"/>
                    <w:right w:val="single" w:sz="4" w:space="0" w:color="auto"/>
                  </w:tcBorders>
                </w:tcPr>
                <w:p w14:paraId="6738EB55" w14:textId="77777777" w:rsidR="00DC1481" w:rsidRPr="00DC1481" w:rsidRDefault="00DC1481" w:rsidP="00DC1481">
                  <w:pPr>
                    <w:keepNext/>
                    <w:keepLines/>
                    <w:contextualSpacing/>
                    <w:jc w:val="center"/>
                    <w:rPr>
                      <w:rFonts w:ascii="Arial" w:hAnsi="Arial" w:cs="Arial"/>
                      <w:b/>
                      <w:sz w:val="16"/>
                      <w:szCs w:val="16"/>
                      <w:lang w:eastAsia="zh-CN"/>
                    </w:rPr>
                  </w:pPr>
                  <w:r w:rsidRPr="00DC1481">
                    <w:rPr>
                      <w:rFonts w:ascii="Arial" w:hAnsi="Arial" w:cs="Arial"/>
                      <w:b/>
                      <w:sz w:val="16"/>
                      <w:szCs w:val="16"/>
                      <w:lang w:eastAsia="zh-CN"/>
                    </w:rPr>
                    <w:t>TPMI index</w:t>
                  </w:r>
                </w:p>
              </w:tc>
              <w:tc>
                <w:tcPr>
                  <w:tcW w:w="6622" w:type="dxa"/>
                  <w:tcBorders>
                    <w:top w:val="single" w:sz="4" w:space="0" w:color="auto"/>
                    <w:left w:val="single" w:sz="4" w:space="0" w:color="auto"/>
                    <w:bottom w:val="single" w:sz="4" w:space="0" w:color="auto"/>
                    <w:right w:val="single" w:sz="4" w:space="0" w:color="auto"/>
                  </w:tcBorders>
                  <w:vAlign w:val="center"/>
                </w:tcPr>
                <w:p w14:paraId="0DA9024F" w14:textId="0BA78B27" w:rsidR="00DC1481" w:rsidRPr="00DC1481" w:rsidRDefault="00DC1481" w:rsidP="00DC1481">
                  <w:pPr>
                    <w:keepNext/>
                    <w:keepLines/>
                    <w:contextualSpacing/>
                    <w:jc w:val="center"/>
                    <w:rPr>
                      <w:rFonts w:ascii="Arial" w:hAnsi="Arial" w:cs="Arial"/>
                      <w:b/>
                      <w:sz w:val="16"/>
                      <w:szCs w:val="16"/>
                      <w:lang w:eastAsia="zh-CN"/>
                    </w:rPr>
                  </w:pPr>
                  <w:r w:rsidRPr="00DC1481">
                    <w:rPr>
                      <w:rFonts w:ascii="Arial" w:hAnsi="Arial" w:cs="Arial"/>
                      <w:b/>
                      <w:color w:val="FF0000"/>
                      <w:sz w:val="16"/>
                      <w:szCs w:val="16"/>
                      <w:lang w:eastAsia="zh-CN"/>
                    </w:rPr>
                    <w:t>Intermediate precoder matrix</w:t>
                  </w:r>
                  <w:r w:rsidRPr="00DC1481">
                    <w:rPr>
                      <w:rFonts w:ascii="Arial" w:hAnsi="Arial" w:cs="Arial"/>
                      <w:color w:val="FF0000"/>
                      <w:sz w:val="16"/>
                      <w:szCs w:val="16"/>
                      <w:lang w:eastAsia="zh-CN"/>
                    </w:rPr>
                    <w:t xml:space="preserve"> </w:t>
                  </w:r>
                  <m:oMath>
                    <m:r>
                      <m:rPr>
                        <m:sty m:val="bi"/>
                      </m:rPr>
                      <w:rPr>
                        <w:rFonts w:ascii="Cambria Math" w:hAnsi="Cambria Math" w:cs="Arial"/>
                        <w:color w:val="FF0000"/>
                        <w:sz w:val="16"/>
                        <w:szCs w:val="16"/>
                        <w:lang w:eastAsia="zh-CN"/>
                      </w:rPr>
                      <m:t>W</m:t>
                    </m:r>
                    <m:r>
                      <m:rPr>
                        <m:sty m:val="b"/>
                      </m:rPr>
                      <w:rPr>
                        <w:rFonts w:ascii="Cambria Math" w:hAnsi="Cambria Math" w:cs="Arial"/>
                        <w:color w:val="FF0000"/>
                        <w:sz w:val="16"/>
                        <w:szCs w:val="16"/>
                        <w:lang w:eastAsia="zh-CN"/>
                      </w:rPr>
                      <m:t>'</m:t>
                    </m:r>
                    <m:r>
                      <m:rPr>
                        <m:sty m:val="bi"/>
                      </m:rPr>
                      <w:rPr>
                        <w:rFonts w:ascii="Cambria Math" w:hAnsi="Cambria Math" w:cs="Arial"/>
                        <w:strike/>
                        <w:sz w:val="16"/>
                        <w:szCs w:val="16"/>
                        <w:lang w:eastAsia="zh-CN"/>
                      </w:rPr>
                      <m:t>W</m:t>
                    </m:r>
                  </m:oMath>
                  <w:r w:rsidRPr="00DC1481">
                    <w:rPr>
                      <w:rFonts w:ascii="Arial" w:hAnsi="Arial" w:cs="Arial"/>
                      <w:sz w:val="16"/>
                      <w:szCs w:val="16"/>
                      <w:lang w:eastAsia="zh-CN"/>
                    </w:rPr>
                    <w:br/>
                  </w:r>
                  <w:r w:rsidRPr="00DC1481">
                    <w:rPr>
                      <w:rFonts w:ascii="Arial" w:hAnsi="Arial" w:cs="Arial"/>
                      <w:b/>
                      <w:sz w:val="16"/>
                      <w:szCs w:val="16"/>
                      <w:lang w:eastAsia="zh-CN"/>
                    </w:rPr>
                    <w:t>(ordered from left to right in increasing order of TPMI index)</w:t>
                  </w:r>
                </w:p>
              </w:tc>
            </w:tr>
          </w:tbl>
          <w:p w14:paraId="1763CFFA" w14:textId="77777777" w:rsidR="00DC1481" w:rsidRPr="00DC1481" w:rsidRDefault="00DC1481" w:rsidP="00DC1481">
            <w:pPr>
              <w:keepNext/>
              <w:keepLines/>
              <w:overflowPunct w:val="0"/>
              <w:autoSpaceDE w:val="0"/>
              <w:autoSpaceDN w:val="0"/>
              <w:adjustRightInd w:val="0"/>
              <w:ind w:left="800"/>
              <w:contextualSpacing/>
              <w:jc w:val="center"/>
              <w:textAlignment w:val="baseline"/>
              <w:rPr>
                <w:rFonts w:ascii="Arial" w:eastAsia="Times New Roman" w:hAnsi="Arial" w:cs="Arial"/>
                <w:bCs/>
                <w:color w:val="FF0000"/>
                <w:sz w:val="16"/>
                <w:szCs w:val="16"/>
                <w:lang w:eastAsia="en-GB"/>
              </w:rPr>
            </w:pPr>
          </w:p>
          <w:p w14:paraId="6B2E6A42" w14:textId="77777777" w:rsidR="00DC1481" w:rsidRPr="00DC1481" w:rsidRDefault="00DC1481" w:rsidP="00DC1481">
            <w:pPr>
              <w:keepNext/>
              <w:keepLines/>
              <w:overflowPunct w:val="0"/>
              <w:autoSpaceDE w:val="0"/>
              <w:autoSpaceDN w:val="0"/>
              <w:adjustRightInd w:val="0"/>
              <w:ind w:left="800"/>
              <w:contextualSpacing/>
              <w:jc w:val="center"/>
              <w:textAlignment w:val="baseline"/>
              <w:rPr>
                <w:rFonts w:ascii="Arial" w:eastAsia="Times New Roman" w:hAnsi="Arial" w:cs="Arial"/>
                <w:bCs/>
                <w:color w:val="FF0000"/>
                <w:sz w:val="16"/>
                <w:szCs w:val="16"/>
                <w:lang w:eastAsia="en-GB"/>
              </w:rPr>
            </w:pPr>
            <w:r w:rsidRPr="00DC1481">
              <w:rPr>
                <w:rFonts w:ascii="Arial" w:eastAsia="Times New Roman" w:hAnsi="Arial" w:cs="Arial"/>
                <w:bCs/>
                <w:color w:val="FF0000"/>
                <w:sz w:val="16"/>
                <w:szCs w:val="16"/>
                <w:lang w:eastAsia="en-GB"/>
              </w:rPr>
              <w:t>-------------------------------------------Unchanged parts are omitted-------------------------------------------</w:t>
            </w:r>
          </w:p>
          <w:p w14:paraId="6EAF47E8" w14:textId="77777777" w:rsidR="00DC1481" w:rsidRPr="00DC1481" w:rsidRDefault="00DC1481" w:rsidP="00DC1481">
            <w:pPr>
              <w:contextualSpacing/>
              <w:rPr>
                <w:rFonts w:ascii="Arial" w:eastAsia="Times New Roman" w:hAnsi="Arial" w:cs="Arial"/>
                <w:sz w:val="16"/>
                <w:szCs w:val="16"/>
              </w:rPr>
            </w:pPr>
          </w:p>
          <w:p w14:paraId="556678B4" w14:textId="1F36375B" w:rsidR="00DC1481" w:rsidRPr="00DC1481" w:rsidRDefault="00DC1481" w:rsidP="00DC1481">
            <w:pPr>
              <w:keepNext/>
              <w:keepLines/>
              <w:overflowPunct w:val="0"/>
              <w:autoSpaceDE w:val="0"/>
              <w:autoSpaceDN w:val="0"/>
              <w:adjustRightInd w:val="0"/>
              <w:ind w:left="800"/>
              <w:contextualSpacing/>
              <w:jc w:val="center"/>
              <w:textAlignment w:val="baseline"/>
              <w:rPr>
                <w:rFonts w:ascii="Arial" w:eastAsia="Calibri" w:hAnsi="Arial" w:cs="Arial"/>
                <w:b/>
                <w:sz w:val="16"/>
                <w:szCs w:val="16"/>
                <w:lang w:eastAsia="en-GB"/>
              </w:rPr>
            </w:pPr>
            <w:r w:rsidRPr="00DC1481">
              <w:rPr>
                <w:rFonts w:ascii="Arial" w:eastAsia="Times New Roman" w:hAnsi="Arial" w:cs="Arial"/>
                <w:b/>
                <w:sz w:val="16"/>
                <w:szCs w:val="16"/>
                <w:lang w:eastAsia="en-GB"/>
              </w:rPr>
              <w:t xml:space="preserve">Table 6.3.1.5-12: </w:t>
            </w:r>
            <w:r w:rsidRPr="00DC1481">
              <w:rPr>
                <w:rFonts w:ascii="Arial" w:eastAsia="Times New Roman" w:hAnsi="Arial" w:cs="Arial"/>
                <w:b/>
                <w:color w:val="FF0000"/>
                <w:sz w:val="16"/>
                <w:szCs w:val="16"/>
                <w:lang w:eastAsia="en-GB"/>
              </w:rPr>
              <w:t xml:space="preserve">Intermediate precoding matrix </w:t>
            </w:r>
            <m:oMath>
              <m:r>
                <m:rPr>
                  <m:sty m:val="bi"/>
                </m:rPr>
                <w:rPr>
                  <w:rFonts w:ascii="Cambria Math" w:hAnsi="Cambria Math" w:cs="Arial"/>
                  <w:color w:val="FF0000"/>
                  <w:sz w:val="16"/>
                  <w:szCs w:val="16"/>
                </w:rPr>
                <m:t>W</m:t>
              </m:r>
              <m:r>
                <m:rPr>
                  <m:sty m:val="p"/>
                </m:rPr>
                <w:rPr>
                  <w:rFonts w:ascii="Cambria Math" w:hAnsi="Cambria Math" w:cs="Arial"/>
                  <w:color w:val="FF0000"/>
                  <w:sz w:val="16"/>
                  <w:szCs w:val="16"/>
                </w:rPr>
                <m:t>'</m:t>
              </m:r>
            </m:oMath>
            <w:r w:rsidRPr="00DC1481">
              <w:rPr>
                <w:rFonts w:ascii="Arial" w:eastAsia="Times New Roman" w:hAnsi="Arial" w:cs="Arial"/>
                <w:b/>
                <w:strike/>
                <w:sz w:val="16"/>
                <w:szCs w:val="16"/>
                <w:lang w:eastAsia="en-GB"/>
              </w:rPr>
              <w:t xml:space="preserve">Precoding matrix </w:t>
            </w:r>
            <m:oMath>
              <m:r>
                <m:rPr>
                  <m:sty m:val="bi"/>
                </m:rPr>
                <w:rPr>
                  <w:rFonts w:ascii="Cambria Math" w:hAnsi="Cambria Math" w:cs="Arial"/>
                  <w:strike/>
                  <w:sz w:val="16"/>
                  <w:szCs w:val="16"/>
                </w:rPr>
                <m:t>W</m:t>
              </m:r>
            </m:oMath>
            <w:r w:rsidRPr="00DC1481">
              <w:rPr>
                <w:rFonts w:ascii="Arial" w:eastAsia="Times New Roman" w:hAnsi="Arial" w:cs="Arial"/>
                <w:b/>
                <w:sz w:val="16"/>
                <w:szCs w:val="16"/>
                <w:lang w:eastAsia="en-GB"/>
              </w:rPr>
              <w:t xml:space="preserve"> for </w:t>
            </w:r>
            <w:r w:rsidRPr="00DC1481">
              <w:rPr>
                <w:rFonts w:ascii="Arial" w:eastAsia="Times New Roman" w:hAnsi="Arial" w:cs="Arial"/>
                <w:b/>
                <w:i/>
                <w:iCs/>
                <w:sz w:val="16"/>
                <w:szCs w:val="16"/>
                <w:lang w:eastAsia="en-GB"/>
              </w:rPr>
              <w:t>codebook1=ng1n4n1</w:t>
            </w:r>
            <w:r w:rsidRPr="00DC1481">
              <w:rPr>
                <w:rFonts w:ascii="Arial" w:eastAsia="Times New Roman" w:hAnsi="Arial" w:cs="Arial"/>
                <w:b/>
                <w:sz w:val="16"/>
                <w:szCs w:val="16"/>
                <w:lang w:eastAsia="en-GB"/>
              </w:rPr>
              <w:t xml:space="preserve"> and four-layer transmission using eight antenna ports with transform precoding disabled.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5"/>
              <w:gridCol w:w="6622"/>
            </w:tblGrid>
            <w:tr w:rsidR="00DC1481" w:rsidRPr="00DC1481" w14:paraId="38221546" w14:textId="77777777" w:rsidTr="00124274">
              <w:trPr>
                <w:jc w:val="center"/>
              </w:trPr>
              <w:tc>
                <w:tcPr>
                  <w:tcW w:w="1625" w:type="dxa"/>
                  <w:tcBorders>
                    <w:top w:val="single" w:sz="4" w:space="0" w:color="auto"/>
                    <w:left w:val="single" w:sz="4" w:space="0" w:color="auto"/>
                    <w:bottom w:val="single" w:sz="4" w:space="0" w:color="auto"/>
                    <w:right w:val="single" w:sz="4" w:space="0" w:color="auto"/>
                  </w:tcBorders>
                </w:tcPr>
                <w:p w14:paraId="5731811C" w14:textId="77777777" w:rsidR="00DC1481" w:rsidRPr="00DC1481" w:rsidRDefault="00DC1481" w:rsidP="00DC1481">
                  <w:pPr>
                    <w:keepNext/>
                    <w:keepLines/>
                    <w:contextualSpacing/>
                    <w:jc w:val="center"/>
                    <w:rPr>
                      <w:rFonts w:ascii="Arial" w:hAnsi="Arial" w:cs="Arial"/>
                      <w:b/>
                      <w:sz w:val="16"/>
                      <w:szCs w:val="16"/>
                      <w:lang w:eastAsia="zh-CN"/>
                    </w:rPr>
                  </w:pPr>
                  <w:r w:rsidRPr="00DC1481">
                    <w:rPr>
                      <w:rFonts w:ascii="Arial" w:hAnsi="Arial" w:cs="Arial"/>
                      <w:b/>
                      <w:sz w:val="16"/>
                      <w:szCs w:val="16"/>
                      <w:lang w:eastAsia="zh-CN"/>
                    </w:rPr>
                    <w:t>TPMI index</w:t>
                  </w:r>
                </w:p>
              </w:tc>
              <w:tc>
                <w:tcPr>
                  <w:tcW w:w="6622" w:type="dxa"/>
                  <w:tcBorders>
                    <w:top w:val="single" w:sz="4" w:space="0" w:color="auto"/>
                    <w:left w:val="single" w:sz="4" w:space="0" w:color="auto"/>
                    <w:bottom w:val="single" w:sz="4" w:space="0" w:color="auto"/>
                    <w:right w:val="single" w:sz="4" w:space="0" w:color="auto"/>
                  </w:tcBorders>
                  <w:vAlign w:val="center"/>
                </w:tcPr>
                <w:p w14:paraId="2132E258" w14:textId="2129230D" w:rsidR="00DC1481" w:rsidRPr="00DC1481" w:rsidRDefault="00DC1481" w:rsidP="00DC1481">
                  <w:pPr>
                    <w:keepNext/>
                    <w:keepLines/>
                    <w:contextualSpacing/>
                    <w:jc w:val="center"/>
                    <w:rPr>
                      <w:rFonts w:ascii="Arial" w:hAnsi="Arial" w:cs="Arial"/>
                      <w:b/>
                      <w:sz w:val="16"/>
                      <w:szCs w:val="16"/>
                      <w:lang w:eastAsia="zh-CN"/>
                    </w:rPr>
                  </w:pPr>
                  <w:r w:rsidRPr="00DC1481">
                    <w:rPr>
                      <w:rFonts w:ascii="Arial" w:hAnsi="Arial" w:cs="Arial"/>
                      <w:b/>
                      <w:color w:val="FF0000"/>
                      <w:sz w:val="16"/>
                      <w:szCs w:val="16"/>
                      <w:lang w:eastAsia="zh-CN"/>
                    </w:rPr>
                    <w:t>Intermediate precoder matrix</w:t>
                  </w:r>
                  <w:r w:rsidRPr="00DC1481">
                    <w:rPr>
                      <w:rFonts w:ascii="Arial" w:hAnsi="Arial" w:cs="Arial"/>
                      <w:color w:val="FF0000"/>
                      <w:sz w:val="16"/>
                      <w:szCs w:val="16"/>
                      <w:lang w:eastAsia="zh-CN"/>
                    </w:rPr>
                    <w:t xml:space="preserve"> </w:t>
                  </w:r>
                  <m:oMath>
                    <m:r>
                      <m:rPr>
                        <m:sty m:val="bi"/>
                      </m:rPr>
                      <w:rPr>
                        <w:rFonts w:ascii="Cambria Math" w:hAnsi="Cambria Math" w:cs="Arial"/>
                        <w:color w:val="FF0000"/>
                        <w:sz w:val="16"/>
                        <w:szCs w:val="16"/>
                        <w:lang w:eastAsia="zh-CN"/>
                      </w:rPr>
                      <m:t>W</m:t>
                    </m:r>
                    <m:r>
                      <m:rPr>
                        <m:sty m:val="b"/>
                      </m:rPr>
                      <w:rPr>
                        <w:rFonts w:ascii="Cambria Math" w:hAnsi="Cambria Math" w:cs="Arial"/>
                        <w:color w:val="FF0000"/>
                        <w:sz w:val="16"/>
                        <w:szCs w:val="16"/>
                        <w:lang w:eastAsia="zh-CN"/>
                      </w:rPr>
                      <m:t>'</m:t>
                    </m:r>
                    <m:r>
                      <m:rPr>
                        <m:sty m:val="bi"/>
                      </m:rPr>
                      <w:rPr>
                        <w:rFonts w:ascii="Cambria Math" w:hAnsi="Cambria Math" w:cs="Arial"/>
                        <w:strike/>
                        <w:sz w:val="16"/>
                        <w:szCs w:val="16"/>
                        <w:lang w:eastAsia="zh-CN"/>
                      </w:rPr>
                      <m:t>W</m:t>
                    </m:r>
                  </m:oMath>
                  <w:r w:rsidRPr="00DC1481">
                    <w:rPr>
                      <w:rFonts w:ascii="Arial" w:hAnsi="Arial" w:cs="Arial"/>
                      <w:sz w:val="16"/>
                      <w:szCs w:val="16"/>
                      <w:lang w:eastAsia="zh-CN"/>
                    </w:rPr>
                    <w:br/>
                  </w:r>
                  <w:r w:rsidRPr="00DC1481">
                    <w:rPr>
                      <w:rFonts w:ascii="Arial" w:hAnsi="Arial" w:cs="Arial"/>
                      <w:b/>
                      <w:sz w:val="16"/>
                      <w:szCs w:val="16"/>
                      <w:lang w:eastAsia="zh-CN"/>
                    </w:rPr>
                    <w:t>(ordered from left to right in increasing order of TPMI index)</w:t>
                  </w:r>
                </w:p>
              </w:tc>
            </w:tr>
          </w:tbl>
          <w:p w14:paraId="0E96E6F7" w14:textId="77777777" w:rsidR="00DC1481" w:rsidRPr="00DC1481" w:rsidRDefault="00DC1481" w:rsidP="00DC1481">
            <w:pPr>
              <w:keepNext/>
              <w:keepLines/>
              <w:overflowPunct w:val="0"/>
              <w:autoSpaceDE w:val="0"/>
              <w:autoSpaceDN w:val="0"/>
              <w:adjustRightInd w:val="0"/>
              <w:ind w:left="800"/>
              <w:contextualSpacing/>
              <w:jc w:val="center"/>
              <w:textAlignment w:val="baseline"/>
              <w:rPr>
                <w:rFonts w:ascii="Arial" w:eastAsia="Times New Roman" w:hAnsi="Arial" w:cs="Arial"/>
                <w:bCs/>
                <w:color w:val="FF0000"/>
                <w:sz w:val="16"/>
                <w:szCs w:val="16"/>
                <w:lang w:eastAsia="en-GB"/>
              </w:rPr>
            </w:pPr>
          </w:p>
          <w:p w14:paraId="4E273E9D" w14:textId="77777777" w:rsidR="00DC1481" w:rsidRPr="00DC1481" w:rsidRDefault="00DC1481" w:rsidP="00DC1481">
            <w:pPr>
              <w:keepNext/>
              <w:keepLines/>
              <w:overflowPunct w:val="0"/>
              <w:autoSpaceDE w:val="0"/>
              <w:autoSpaceDN w:val="0"/>
              <w:adjustRightInd w:val="0"/>
              <w:ind w:left="800"/>
              <w:contextualSpacing/>
              <w:jc w:val="center"/>
              <w:textAlignment w:val="baseline"/>
              <w:rPr>
                <w:rFonts w:ascii="Arial" w:eastAsia="Times New Roman" w:hAnsi="Arial" w:cs="Arial"/>
                <w:bCs/>
                <w:color w:val="FF0000"/>
                <w:sz w:val="16"/>
                <w:szCs w:val="16"/>
                <w:lang w:eastAsia="en-GB"/>
              </w:rPr>
            </w:pPr>
            <w:r w:rsidRPr="00DC1481">
              <w:rPr>
                <w:rFonts w:ascii="Arial" w:eastAsia="Times New Roman" w:hAnsi="Arial" w:cs="Arial"/>
                <w:bCs/>
                <w:color w:val="FF0000"/>
                <w:sz w:val="16"/>
                <w:szCs w:val="16"/>
                <w:lang w:eastAsia="en-GB"/>
              </w:rPr>
              <w:t>-------------------------------------------Unchanged parts are omitted-------------------------------------------</w:t>
            </w:r>
          </w:p>
          <w:p w14:paraId="5299DF4E" w14:textId="77777777" w:rsidR="00DC1481" w:rsidRPr="00DC1481" w:rsidRDefault="00DC1481" w:rsidP="00DC1481">
            <w:pPr>
              <w:contextualSpacing/>
              <w:rPr>
                <w:rFonts w:ascii="Arial" w:eastAsia="Times New Roman" w:hAnsi="Arial" w:cs="Arial"/>
                <w:sz w:val="16"/>
                <w:szCs w:val="16"/>
              </w:rPr>
            </w:pPr>
          </w:p>
          <w:p w14:paraId="74189E1B" w14:textId="028DC7FC" w:rsidR="00DC1481" w:rsidRPr="00DC1481" w:rsidRDefault="00DC1481" w:rsidP="00DC1481">
            <w:pPr>
              <w:keepNext/>
              <w:keepLines/>
              <w:overflowPunct w:val="0"/>
              <w:autoSpaceDE w:val="0"/>
              <w:autoSpaceDN w:val="0"/>
              <w:adjustRightInd w:val="0"/>
              <w:ind w:left="800"/>
              <w:contextualSpacing/>
              <w:jc w:val="center"/>
              <w:textAlignment w:val="baseline"/>
              <w:rPr>
                <w:rFonts w:ascii="Arial" w:eastAsia="Calibri" w:hAnsi="Arial" w:cs="Arial"/>
                <w:b/>
                <w:sz w:val="16"/>
                <w:szCs w:val="16"/>
                <w:lang w:eastAsia="en-GB"/>
              </w:rPr>
            </w:pPr>
            <w:r w:rsidRPr="00DC1481">
              <w:rPr>
                <w:rFonts w:ascii="Arial" w:eastAsia="Times New Roman" w:hAnsi="Arial" w:cs="Arial"/>
                <w:b/>
                <w:sz w:val="16"/>
                <w:szCs w:val="16"/>
                <w:lang w:eastAsia="en-GB"/>
              </w:rPr>
              <w:t xml:space="preserve">Table 6.3.1.5-13: </w:t>
            </w:r>
            <w:r w:rsidRPr="00DC1481">
              <w:rPr>
                <w:rFonts w:ascii="Arial" w:eastAsia="Times New Roman" w:hAnsi="Arial" w:cs="Arial"/>
                <w:b/>
                <w:color w:val="FF0000"/>
                <w:sz w:val="16"/>
                <w:szCs w:val="16"/>
                <w:lang w:eastAsia="en-GB"/>
              </w:rPr>
              <w:t xml:space="preserve">Intermediate precoding matrix </w:t>
            </w:r>
            <m:oMath>
              <m:r>
                <m:rPr>
                  <m:sty m:val="bi"/>
                </m:rPr>
                <w:rPr>
                  <w:rFonts w:ascii="Cambria Math" w:hAnsi="Cambria Math" w:cs="Arial"/>
                  <w:color w:val="FF0000"/>
                  <w:sz w:val="16"/>
                  <w:szCs w:val="16"/>
                </w:rPr>
                <m:t>W</m:t>
              </m:r>
              <m:r>
                <m:rPr>
                  <m:sty m:val="p"/>
                </m:rPr>
                <w:rPr>
                  <w:rFonts w:ascii="Cambria Math" w:hAnsi="Cambria Math" w:cs="Arial"/>
                  <w:color w:val="FF0000"/>
                  <w:sz w:val="16"/>
                  <w:szCs w:val="16"/>
                </w:rPr>
                <m:t>'</m:t>
              </m:r>
            </m:oMath>
            <w:r w:rsidRPr="00DC1481">
              <w:rPr>
                <w:rFonts w:ascii="Arial" w:eastAsia="Times New Roman" w:hAnsi="Arial" w:cs="Arial"/>
                <w:b/>
                <w:strike/>
                <w:sz w:val="16"/>
                <w:szCs w:val="16"/>
                <w:lang w:eastAsia="en-GB"/>
              </w:rPr>
              <w:t xml:space="preserve">Precoding matrix </w:t>
            </w:r>
            <m:oMath>
              <m:r>
                <m:rPr>
                  <m:sty m:val="bi"/>
                </m:rPr>
                <w:rPr>
                  <w:rFonts w:ascii="Cambria Math" w:hAnsi="Cambria Math" w:cs="Arial"/>
                  <w:strike/>
                  <w:sz w:val="16"/>
                  <w:szCs w:val="16"/>
                </w:rPr>
                <m:t>W</m:t>
              </m:r>
            </m:oMath>
            <w:r w:rsidRPr="00DC1481">
              <w:rPr>
                <w:rFonts w:ascii="Arial" w:eastAsia="Times New Roman" w:hAnsi="Arial" w:cs="Arial"/>
                <w:b/>
                <w:sz w:val="16"/>
                <w:szCs w:val="16"/>
                <w:lang w:eastAsia="en-GB"/>
              </w:rPr>
              <w:t xml:space="preserve"> for </w:t>
            </w:r>
            <w:r w:rsidRPr="00DC1481">
              <w:rPr>
                <w:rFonts w:ascii="Arial" w:eastAsia="Times New Roman" w:hAnsi="Arial" w:cs="Arial"/>
                <w:b/>
                <w:i/>
                <w:iCs/>
                <w:sz w:val="16"/>
                <w:szCs w:val="16"/>
                <w:lang w:eastAsia="en-GB"/>
              </w:rPr>
              <w:t>codebook1=ng1n4n1</w:t>
            </w:r>
            <w:r w:rsidRPr="00DC1481">
              <w:rPr>
                <w:rFonts w:ascii="Arial" w:eastAsia="Times New Roman" w:hAnsi="Arial" w:cs="Arial"/>
                <w:b/>
                <w:sz w:val="16"/>
                <w:szCs w:val="16"/>
                <w:lang w:eastAsia="en-GB"/>
              </w:rPr>
              <w:t xml:space="preserve"> and five-layer transmission using eight antenna ports with transform precoding disabled.</w:t>
            </w:r>
          </w:p>
          <w:tbl>
            <w:tblPr>
              <w:tblW w:w="0" w:type="auto"/>
              <w:jc w:val="cente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338"/>
              <w:gridCol w:w="6420"/>
            </w:tblGrid>
            <w:tr w:rsidR="00DC1481" w:rsidRPr="00DC1481" w14:paraId="2A68F361" w14:textId="77777777" w:rsidTr="00124274">
              <w:trPr>
                <w:jc w:val="center"/>
              </w:trPr>
              <w:tc>
                <w:tcPr>
                  <w:tcW w:w="1338" w:type="dxa"/>
                  <w:tcBorders>
                    <w:top w:val="single" w:sz="4" w:space="0" w:color="000000"/>
                    <w:left w:val="single" w:sz="4" w:space="0" w:color="000000"/>
                    <w:bottom w:val="single" w:sz="4" w:space="0" w:color="000000"/>
                    <w:right w:val="single" w:sz="4" w:space="0" w:color="000000"/>
                  </w:tcBorders>
                  <w:shd w:val="clear" w:color="auto" w:fill="auto"/>
                </w:tcPr>
                <w:p w14:paraId="6F766BCA" w14:textId="77777777" w:rsidR="00DC1481" w:rsidRPr="00DC1481" w:rsidRDefault="00DC1481" w:rsidP="00DC1481">
                  <w:pPr>
                    <w:keepNext/>
                    <w:keepLines/>
                    <w:contextualSpacing/>
                    <w:jc w:val="center"/>
                    <w:rPr>
                      <w:rFonts w:ascii="Arial" w:hAnsi="Arial" w:cs="Arial"/>
                      <w:b/>
                      <w:sz w:val="16"/>
                      <w:szCs w:val="16"/>
                      <w:lang w:eastAsia="zh-CN"/>
                    </w:rPr>
                  </w:pPr>
                  <w:r w:rsidRPr="00DC1481">
                    <w:rPr>
                      <w:rFonts w:ascii="Arial" w:hAnsi="Arial" w:cs="Arial"/>
                      <w:b/>
                      <w:sz w:val="16"/>
                      <w:szCs w:val="16"/>
                      <w:lang w:eastAsia="zh-CN"/>
                    </w:rPr>
                    <w:t>TPMI index</w:t>
                  </w:r>
                </w:p>
              </w:tc>
              <w:tc>
                <w:tcPr>
                  <w:tcW w:w="64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12197F" w14:textId="35E64533" w:rsidR="00DC1481" w:rsidRPr="00DC1481" w:rsidRDefault="00DC1481" w:rsidP="00DC1481">
                  <w:pPr>
                    <w:keepNext/>
                    <w:keepLines/>
                    <w:contextualSpacing/>
                    <w:jc w:val="center"/>
                    <w:rPr>
                      <w:rFonts w:ascii="Arial" w:hAnsi="Arial" w:cs="Arial"/>
                      <w:b/>
                      <w:sz w:val="16"/>
                      <w:szCs w:val="16"/>
                      <w:lang w:eastAsia="zh-CN"/>
                    </w:rPr>
                  </w:pPr>
                  <w:r w:rsidRPr="00DC1481">
                    <w:rPr>
                      <w:rFonts w:ascii="Arial" w:hAnsi="Arial" w:cs="Arial"/>
                      <w:b/>
                      <w:color w:val="FF0000"/>
                      <w:sz w:val="16"/>
                      <w:szCs w:val="16"/>
                      <w:lang w:eastAsia="zh-CN"/>
                    </w:rPr>
                    <w:t>Intermediate precoder matrix</w:t>
                  </w:r>
                  <w:r w:rsidRPr="00DC1481">
                    <w:rPr>
                      <w:rFonts w:ascii="Arial" w:hAnsi="Arial" w:cs="Arial"/>
                      <w:color w:val="FF0000"/>
                      <w:sz w:val="16"/>
                      <w:szCs w:val="16"/>
                      <w:lang w:eastAsia="zh-CN"/>
                    </w:rPr>
                    <w:t xml:space="preserve"> </w:t>
                  </w:r>
                  <m:oMath>
                    <m:r>
                      <m:rPr>
                        <m:sty m:val="bi"/>
                      </m:rPr>
                      <w:rPr>
                        <w:rFonts w:ascii="Cambria Math" w:hAnsi="Cambria Math" w:cs="Arial"/>
                        <w:color w:val="FF0000"/>
                        <w:sz w:val="16"/>
                        <w:szCs w:val="16"/>
                        <w:lang w:eastAsia="zh-CN"/>
                      </w:rPr>
                      <m:t>W</m:t>
                    </m:r>
                    <m:r>
                      <m:rPr>
                        <m:sty m:val="b"/>
                      </m:rPr>
                      <w:rPr>
                        <w:rFonts w:ascii="Cambria Math" w:hAnsi="Cambria Math" w:cs="Arial"/>
                        <w:color w:val="FF0000"/>
                        <w:sz w:val="16"/>
                        <w:szCs w:val="16"/>
                        <w:lang w:eastAsia="zh-CN"/>
                      </w:rPr>
                      <m:t>'</m:t>
                    </m:r>
                    <m:r>
                      <m:rPr>
                        <m:sty m:val="bi"/>
                      </m:rPr>
                      <w:rPr>
                        <w:rFonts w:ascii="Cambria Math" w:hAnsi="Cambria Math" w:cs="Arial"/>
                        <w:strike/>
                        <w:sz w:val="16"/>
                        <w:szCs w:val="16"/>
                        <w:lang w:eastAsia="zh-CN"/>
                      </w:rPr>
                      <m:t>W</m:t>
                    </m:r>
                  </m:oMath>
                  <w:r w:rsidRPr="00DC1481">
                    <w:rPr>
                      <w:rFonts w:ascii="Arial" w:hAnsi="Arial" w:cs="Arial"/>
                      <w:sz w:val="16"/>
                      <w:szCs w:val="16"/>
                      <w:lang w:eastAsia="zh-CN"/>
                    </w:rPr>
                    <w:br/>
                  </w:r>
                  <w:r w:rsidRPr="00DC1481">
                    <w:rPr>
                      <w:rFonts w:ascii="Arial" w:hAnsi="Arial" w:cs="Arial"/>
                      <w:b/>
                      <w:sz w:val="16"/>
                      <w:szCs w:val="16"/>
                      <w:lang w:eastAsia="zh-CN"/>
                    </w:rPr>
                    <w:t>(ordered from left to right in increasing order of TPMI index)</w:t>
                  </w:r>
                </w:p>
              </w:tc>
            </w:tr>
          </w:tbl>
          <w:p w14:paraId="174DACB4" w14:textId="77777777" w:rsidR="00DC1481" w:rsidRPr="00DC1481" w:rsidRDefault="00DC1481" w:rsidP="00DC1481">
            <w:pPr>
              <w:keepNext/>
              <w:keepLines/>
              <w:overflowPunct w:val="0"/>
              <w:autoSpaceDE w:val="0"/>
              <w:autoSpaceDN w:val="0"/>
              <w:adjustRightInd w:val="0"/>
              <w:ind w:left="800"/>
              <w:contextualSpacing/>
              <w:jc w:val="center"/>
              <w:textAlignment w:val="baseline"/>
              <w:rPr>
                <w:rFonts w:ascii="Arial" w:eastAsia="Times New Roman" w:hAnsi="Arial" w:cs="Arial"/>
                <w:bCs/>
                <w:color w:val="FF0000"/>
                <w:sz w:val="16"/>
                <w:szCs w:val="16"/>
                <w:lang w:eastAsia="en-GB"/>
              </w:rPr>
            </w:pPr>
          </w:p>
          <w:p w14:paraId="19E72E6A" w14:textId="77777777" w:rsidR="00DC1481" w:rsidRPr="00DC1481" w:rsidRDefault="00DC1481" w:rsidP="00DC1481">
            <w:pPr>
              <w:keepNext/>
              <w:keepLines/>
              <w:overflowPunct w:val="0"/>
              <w:autoSpaceDE w:val="0"/>
              <w:autoSpaceDN w:val="0"/>
              <w:adjustRightInd w:val="0"/>
              <w:ind w:left="800"/>
              <w:contextualSpacing/>
              <w:jc w:val="center"/>
              <w:textAlignment w:val="baseline"/>
              <w:rPr>
                <w:rFonts w:ascii="Arial" w:eastAsia="Times New Roman" w:hAnsi="Arial" w:cs="Arial"/>
                <w:bCs/>
                <w:color w:val="FF0000"/>
                <w:sz w:val="16"/>
                <w:szCs w:val="16"/>
                <w:lang w:eastAsia="en-GB"/>
              </w:rPr>
            </w:pPr>
            <w:r w:rsidRPr="00DC1481">
              <w:rPr>
                <w:rFonts w:ascii="Arial" w:eastAsia="Times New Roman" w:hAnsi="Arial" w:cs="Arial"/>
                <w:bCs/>
                <w:color w:val="FF0000"/>
                <w:sz w:val="16"/>
                <w:szCs w:val="16"/>
                <w:lang w:eastAsia="en-GB"/>
              </w:rPr>
              <w:t>-------------------------------------------Unchanged parts are omitted-------------------------------------------</w:t>
            </w:r>
          </w:p>
          <w:p w14:paraId="54EC54C0" w14:textId="77777777" w:rsidR="00DC1481" w:rsidRPr="00DC1481" w:rsidRDefault="00DC1481" w:rsidP="00DC1481">
            <w:pPr>
              <w:contextualSpacing/>
              <w:rPr>
                <w:rFonts w:ascii="Arial" w:eastAsia="Times New Roman" w:hAnsi="Arial" w:cs="Arial"/>
                <w:sz w:val="16"/>
                <w:szCs w:val="16"/>
              </w:rPr>
            </w:pPr>
          </w:p>
          <w:p w14:paraId="097C2517" w14:textId="4C703558" w:rsidR="00DC1481" w:rsidRPr="00DC1481" w:rsidRDefault="00DC1481" w:rsidP="00DC1481">
            <w:pPr>
              <w:keepNext/>
              <w:keepLines/>
              <w:overflowPunct w:val="0"/>
              <w:autoSpaceDE w:val="0"/>
              <w:autoSpaceDN w:val="0"/>
              <w:adjustRightInd w:val="0"/>
              <w:ind w:left="800"/>
              <w:contextualSpacing/>
              <w:jc w:val="center"/>
              <w:textAlignment w:val="baseline"/>
              <w:rPr>
                <w:rFonts w:ascii="Arial" w:eastAsia="Calibri" w:hAnsi="Arial" w:cs="Arial"/>
                <w:b/>
                <w:sz w:val="16"/>
                <w:szCs w:val="16"/>
                <w:lang w:eastAsia="en-GB"/>
              </w:rPr>
            </w:pPr>
            <w:r w:rsidRPr="00DC1481">
              <w:rPr>
                <w:rFonts w:ascii="Arial" w:eastAsia="Times New Roman" w:hAnsi="Arial" w:cs="Arial"/>
                <w:b/>
                <w:sz w:val="16"/>
                <w:szCs w:val="16"/>
                <w:lang w:eastAsia="en-GB"/>
              </w:rPr>
              <w:t xml:space="preserve">Table 6.3.1.5-14: </w:t>
            </w:r>
            <w:r w:rsidRPr="00DC1481">
              <w:rPr>
                <w:rFonts w:ascii="Arial" w:eastAsia="Times New Roman" w:hAnsi="Arial" w:cs="Arial"/>
                <w:b/>
                <w:color w:val="FF0000"/>
                <w:sz w:val="16"/>
                <w:szCs w:val="16"/>
                <w:lang w:eastAsia="en-GB"/>
              </w:rPr>
              <w:t xml:space="preserve">Intermediate precoding matrix </w:t>
            </w:r>
            <m:oMath>
              <m:r>
                <m:rPr>
                  <m:sty m:val="bi"/>
                </m:rPr>
                <w:rPr>
                  <w:rFonts w:ascii="Cambria Math" w:hAnsi="Cambria Math" w:cs="Arial"/>
                  <w:color w:val="FF0000"/>
                  <w:sz w:val="16"/>
                  <w:szCs w:val="16"/>
                </w:rPr>
                <m:t>W</m:t>
              </m:r>
              <m:r>
                <m:rPr>
                  <m:sty m:val="p"/>
                </m:rPr>
                <w:rPr>
                  <w:rFonts w:ascii="Cambria Math" w:hAnsi="Cambria Math" w:cs="Arial"/>
                  <w:color w:val="FF0000"/>
                  <w:sz w:val="16"/>
                  <w:szCs w:val="16"/>
                </w:rPr>
                <m:t>'</m:t>
              </m:r>
            </m:oMath>
            <w:r w:rsidRPr="00DC1481">
              <w:rPr>
                <w:rFonts w:ascii="Arial" w:eastAsia="Times New Roman" w:hAnsi="Arial" w:cs="Arial"/>
                <w:b/>
                <w:strike/>
                <w:sz w:val="16"/>
                <w:szCs w:val="16"/>
                <w:lang w:eastAsia="en-GB"/>
              </w:rPr>
              <w:t xml:space="preserve">Precoding matrix </w:t>
            </w:r>
            <m:oMath>
              <m:r>
                <m:rPr>
                  <m:sty m:val="bi"/>
                </m:rPr>
                <w:rPr>
                  <w:rFonts w:ascii="Cambria Math" w:hAnsi="Cambria Math" w:cs="Arial"/>
                  <w:strike/>
                  <w:sz w:val="16"/>
                  <w:szCs w:val="16"/>
                </w:rPr>
                <m:t>W</m:t>
              </m:r>
            </m:oMath>
            <w:r w:rsidRPr="00DC1481">
              <w:rPr>
                <w:rFonts w:ascii="Arial" w:eastAsia="Times New Roman" w:hAnsi="Arial" w:cs="Arial"/>
                <w:b/>
                <w:sz w:val="16"/>
                <w:szCs w:val="16"/>
                <w:lang w:eastAsia="en-GB"/>
              </w:rPr>
              <w:t xml:space="preserve"> for </w:t>
            </w:r>
            <w:r w:rsidRPr="00DC1481">
              <w:rPr>
                <w:rFonts w:ascii="Arial" w:eastAsia="Times New Roman" w:hAnsi="Arial" w:cs="Arial"/>
                <w:b/>
                <w:i/>
                <w:iCs/>
                <w:sz w:val="16"/>
                <w:szCs w:val="16"/>
                <w:lang w:eastAsia="en-GB"/>
              </w:rPr>
              <w:t>codebook1=ng1n4n1</w:t>
            </w:r>
            <w:r w:rsidRPr="00DC1481">
              <w:rPr>
                <w:rFonts w:ascii="Arial" w:eastAsia="Times New Roman" w:hAnsi="Arial" w:cs="Arial"/>
                <w:b/>
                <w:sz w:val="16"/>
                <w:szCs w:val="16"/>
                <w:lang w:eastAsia="en-GB"/>
              </w:rPr>
              <w:t xml:space="preserve"> and six-layer transmission using eight antenna ports with transform precoding disabled. </w:t>
            </w:r>
          </w:p>
          <w:tbl>
            <w:tblPr>
              <w:tblW w:w="0" w:type="auto"/>
              <w:jc w:val="cente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271"/>
              <w:gridCol w:w="6005"/>
            </w:tblGrid>
            <w:tr w:rsidR="00DC1481" w:rsidRPr="00DC1481" w14:paraId="2CD329AE" w14:textId="77777777" w:rsidTr="00124274">
              <w:trPr>
                <w:jc w:val="center"/>
              </w:trPr>
              <w:tc>
                <w:tcPr>
                  <w:tcW w:w="1271" w:type="dxa"/>
                  <w:tcBorders>
                    <w:top w:val="single" w:sz="4" w:space="0" w:color="000000"/>
                    <w:left w:val="single" w:sz="4" w:space="0" w:color="000000"/>
                    <w:bottom w:val="single" w:sz="4" w:space="0" w:color="000000"/>
                    <w:right w:val="single" w:sz="4" w:space="0" w:color="000000"/>
                  </w:tcBorders>
                  <w:shd w:val="clear" w:color="auto" w:fill="auto"/>
                </w:tcPr>
                <w:p w14:paraId="7AA7A6F0" w14:textId="77777777" w:rsidR="00DC1481" w:rsidRPr="00DC1481" w:rsidRDefault="00DC1481" w:rsidP="00DC1481">
                  <w:pPr>
                    <w:keepNext/>
                    <w:keepLines/>
                    <w:contextualSpacing/>
                    <w:jc w:val="center"/>
                    <w:rPr>
                      <w:rFonts w:ascii="Arial" w:hAnsi="Arial" w:cs="Arial"/>
                      <w:b/>
                      <w:sz w:val="16"/>
                      <w:szCs w:val="16"/>
                      <w:lang w:eastAsia="zh-CN"/>
                    </w:rPr>
                  </w:pPr>
                  <w:r w:rsidRPr="00DC1481">
                    <w:rPr>
                      <w:rFonts w:ascii="Arial" w:hAnsi="Arial" w:cs="Arial"/>
                      <w:b/>
                      <w:sz w:val="16"/>
                      <w:szCs w:val="16"/>
                      <w:lang w:eastAsia="zh-CN"/>
                    </w:rPr>
                    <w:t>TPMI index</w:t>
                  </w:r>
                </w:p>
              </w:tc>
              <w:tc>
                <w:tcPr>
                  <w:tcW w:w="600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CBC3F40" w14:textId="1F56A59F" w:rsidR="00DC1481" w:rsidRPr="00DC1481" w:rsidRDefault="00DC1481" w:rsidP="00DC1481">
                  <w:pPr>
                    <w:keepNext/>
                    <w:keepLines/>
                    <w:contextualSpacing/>
                    <w:jc w:val="center"/>
                    <w:rPr>
                      <w:rFonts w:ascii="Arial" w:hAnsi="Arial" w:cs="Arial"/>
                      <w:b/>
                      <w:sz w:val="16"/>
                      <w:szCs w:val="16"/>
                      <w:lang w:eastAsia="zh-CN"/>
                    </w:rPr>
                  </w:pPr>
                  <w:r w:rsidRPr="00DC1481">
                    <w:rPr>
                      <w:rFonts w:ascii="Arial" w:hAnsi="Arial" w:cs="Arial"/>
                      <w:b/>
                      <w:color w:val="FF0000"/>
                      <w:sz w:val="16"/>
                      <w:szCs w:val="16"/>
                      <w:lang w:eastAsia="zh-CN"/>
                    </w:rPr>
                    <w:t>Intermediate precoder matrix</w:t>
                  </w:r>
                  <w:r w:rsidRPr="00DC1481">
                    <w:rPr>
                      <w:rFonts w:ascii="Arial" w:hAnsi="Arial" w:cs="Arial"/>
                      <w:color w:val="FF0000"/>
                      <w:sz w:val="16"/>
                      <w:szCs w:val="16"/>
                      <w:lang w:eastAsia="zh-CN"/>
                    </w:rPr>
                    <w:t xml:space="preserve"> </w:t>
                  </w:r>
                  <m:oMath>
                    <m:r>
                      <m:rPr>
                        <m:sty m:val="bi"/>
                      </m:rPr>
                      <w:rPr>
                        <w:rFonts w:ascii="Cambria Math" w:hAnsi="Cambria Math" w:cs="Arial"/>
                        <w:color w:val="FF0000"/>
                        <w:sz w:val="16"/>
                        <w:szCs w:val="16"/>
                        <w:lang w:eastAsia="zh-CN"/>
                      </w:rPr>
                      <m:t>W</m:t>
                    </m:r>
                    <m:r>
                      <m:rPr>
                        <m:sty m:val="b"/>
                      </m:rPr>
                      <w:rPr>
                        <w:rFonts w:ascii="Cambria Math" w:hAnsi="Cambria Math" w:cs="Arial"/>
                        <w:color w:val="FF0000"/>
                        <w:sz w:val="16"/>
                        <w:szCs w:val="16"/>
                        <w:lang w:eastAsia="zh-CN"/>
                      </w:rPr>
                      <m:t>'</m:t>
                    </m:r>
                    <m:r>
                      <m:rPr>
                        <m:sty m:val="bi"/>
                      </m:rPr>
                      <w:rPr>
                        <w:rFonts w:ascii="Cambria Math" w:hAnsi="Cambria Math" w:cs="Arial"/>
                        <w:strike/>
                        <w:sz w:val="16"/>
                        <w:szCs w:val="16"/>
                        <w:lang w:eastAsia="zh-CN"/>
                      </w:rPr>
                      <m:t>W</m:t>
                    </m:r>
                  </m:oMath>
                  <w:r w:rsidRPr="00DC1481">
                    <w:rPr>
                      <w:rFonts w:ascii="Arial" w:hAnsi="Arial" w:cs="Arial"/>
                      <w:sz w:val="16"/>
                      <w:szCs w:val="16"/>
                      <w:lang w:eastAsia="zh-CN"/>
                    </w:rPr>
                    <w:br/>
                  </w:r>
                  <w:r w:rsidRPr="00DC1481">
                    <w:rPr>
                      <w:rFonts w:ascii="Arial" w:hAnsi="Arial" w:cs="Arial"/>
                      <w:b/>
                      <w:sz w:val="16"/>
                      <w:szCs w:val="16"/>
                      <w:lang w:eastAsia="zh-CN"/>
                    </w:rPr>
                    <w:t>(ordered from left to right in increasing order of TPMI index)</w:t>
                  </w:r>
                </w:p>
              </w:tc>
            </w:tr>
          </w:tbl>
          <w:p w14:paraId="3BF2D13A" w14:textId="77777777" w:rsidR="00DC1481" w:rsidRPr="00DC1481" w:rsidRDefault="00DC1481" w:rsidP="00DC1481">
            <w:pPr>
              <w:keepNext/>
              <w:keepLines/>
              <w:overflowPunct w:val="0"/>
              <w:autoSpaceDE w:val="0"/>
              <w:autoSpaceDN w:val="0"/>
              <w:adjustRightInd w:val="0"/>
              <w:ind w:left="800"/>
              <w:contextualSpacing/>
              <w:jc w:val="center"/>
              <w:textAlignment w:val="baseline"/>
              <w:rPr>
                <w:rFonts w:ascii="Arial" w:eastAsia="Times New Roman" w:hAnsi="Arial" w:cs="Arial"/>
                <w:bCs/>
                <w:color w:val="FF0000"/>
                <w:sz w:val="16"/>
                <w:szCs w:val="16"/>
                <w:lang w:eastAsia="en-GB"/>
              </w:rPr>
            </w:pPr>
          </w:p>
          <w:p w14:paraId="6D516FD1" w14:textId="77777777" w:rsidR="00DC1481" w:rsidRPr="00DC1481" w:rsidRDefault="00DC1481" w:rsidP="00DC1481">
            <w:pPr>
              <w:keepNext/>
              <w:keepLines/>
              <w:overflowPunct w:val="0"/>
              <w:autoSpaceDE w:val="0"/>
              <w:autoSpaceDN w:val="0"/>
              <w:adjustRightInd w:val="0"/>
              <w:ind w:left="800"/>
              <w:contextualSpacing/>
              <w:jc w:val="center"/>
              <w:textAlignment w:val="baseline"/>
              <w:rPr>
                <w:rFonts w:ascii="Arial" w:eastAsia="Times New Roman" w:hAnsi="Arial" w:cs="Arial"/>
                <w:bCs/>
                <w:color w:val="FF0000"/>
                <w:sz w:val="16"/>
                <w:szCs w:val="16"/>
                <w:lang w:eastAsia="en-GB"/>
              </w:rPr>
            </w:pPr>
            <w:r w:rsidRPr="00DC1481">
              <w:rPr>
                <w:rFonts w:ascii="Arial" w:eastAsia="Times New Roman" w:hAnsi="Arial" w:cs="Arial"/>
                <w:bCs/>
                <w:color w:val="FF0000"/>
                <w:sz w:val="16"/>
                <w:szCs w:val="16"/>
                <w:lang w:eastAsia="en-GB"/>
              </w:rPr>
              <w:t>-------------------------------------------Unchanged parts are omitted-------------------------------------------</w:t>
            </w:r>
          </w:p>
          <w:p w14:paraId="683B8548" w14:textId="77777777" w:rsidR="00DC1481" w:rsidRPr="00DC1481" w:rsidRDefault="00DC1481" w:rsidP="00DC1481">
            <w:pPr>
              <w:contextualSpacing/>
              <w:rPr>
                <w:rFonts w:ascii="Arial" w:eastAsia="Times New Roman" w:hAnsi="Arial" w:cs="Arial"/>
                <w:sz w:val="16"/>
                <w:szCs w:val="16"/>
              </w:rPr>
            </w:pPr>
          </w:p>
          <w:p w14:paraId="4E750BC6" w14:textId="32CC20A4" w:rsidR="00DC1481" w:rsidRPr="00DC1481" w:rsidRDefault="00DC1481" w:rsidP="00DC1481">
            <w:pPr>
              <w:keepNext/>
              <w:keepLines/>
              <w:overflowPunct w:val="0"/>
              <w:autoSpaceDE w:val="0"/>
              <w:autoSpaceDN w:val="0"/>
              <w:adjustRightInd w:val="0"/>
              <w:ind w:left="800"/>
              <w:contextualSpacing/>
              <w:jc w:val="center"/>
              <w:textAlignment w:val="baseline"/>
              <w:rPr>
                <w:rFonts w:ascii="Arial" w:eastAsia="Calibri" w:hAnsi="Arial" w:cs="Arial"/>
                <w:b/>
                <w:sz w:val="16"/>
                <w:szCs w:val="16"/>
                <w:lang w:eastAsia="en-GB"/>
              </w:rPr>
            </w:pPr>
            <w:r w:rsidRPr="00DC1481">
              <w:rPr>
                <w:rFonts w:ascii="Arial" w:eastAsia="Times New Roman" w:hAnsi="Arial" w:cs="Arial"/>
                <w:b/>
                <w:sz w:val="16"/>
                <w:szCs w:val="16"/>
                <w:lang w:eastAsia="en-GB"/>
              </w:rPr>
              <w:t xml:space="preserve">Table 6.3.1.5-15: </w:t>
            </w:r>
            <w:r w:rsidRPr="00DC1481">
              <w:rPr>
                <w:rFonts w:ascii="Arial" w:eastAsia="Times New Roman" w:hAnsi="Arial" w:cs="Arial"/>
                <w:b/>
                <w:color w:val="FF0000"/>
                <w:sz w:val="16"/>
                <w:szCs w:val="16"/>
                <w:lang w:eastAsia="en-GB"/>
              </w:rPr>
              <w:t xml:space="preserve">Intermediate precoding matrix </w:t>
            </w:r>
            <m:oMath>
              <m:r>
                <m:rPr>
                  <m:sty m:val="bi"/>
                </m:rPr>
                <w:rPr>
                  <w:rFonts w:ascii="Cambria Math" w:hAnsi="Cambria Math" w:cs="Arial"/>
                  <w:color w:val="FF0000"/>
                  <w:sz w:val="16"/>
                  <w:szCs w:val="16"/>
                </w:rPr>
                <m:t>W</m:t>
              </m:r>
              <m:r>
                <m:rPr>
                  <m:sty m:val="p"/>
                </m:rPr>
                <w:rPr>
                  <w:rFonts w:ascii="Cambria Math" w:hAnsi="Cambria Math" w:cs="Arial"/>
                  <w:color w:val="FF0000"/>
                  <w:sz w:val="16"/>
                  <w:szCs w:val="16"/>
                </w:rPr>
                <m:t>'</m:t>
              </m:r>
            </m:oMath>
            <w:r w:rsidRPr="00DC1481">
              <w:rPr>
                <w:rFonts w:ascii="Arial" w:eastAsia="Times New Roman" w:hAnsi="Arial" w:cs="Arial"/>
                <w:b/>
                <w:strike/>
                <w:sz w:val="16"/>
                <w:szCs w:val="16"/>
                <w:lang w:eastAsia="en-GB"/>
              </w:rPr>
              <w:t xml:space="preserve">Precoding matrix </w:t>
            </w:r>
            <m:oMath>
              <m:r>
                <m:rPr>
                  <m:sty m:val="bi"/>
                </m:rPr>
                <w:rPr>
                  <w:rFonts w:ascii="Cambria Math" w:hAnsi="Cambria Math" w:cs="Arial"/>
                  <w:strike/>
                  <w:sz w:val="16"/>
                  <w:szCs w:val="16"/>
                </w:rPr>
                <m:t>W</m:t>
              </m:r>
            </m:oMath>
            <w:r w:rsidRPr="00DC1481">
              <w:rPr>
                <w:rFonts w:ascii="Arial" w:eastAsia="Times New Roman" w:hAnsi="Arial" w:cs="Arial"/>
                <w:b/>
                <w:sz w:val="16"/>
                <w:szCs w:val="16"/>
                <w:lang w:eastAsia="en-GB"/>
              </w:rPr>
              <w:t xml:space="preserve"> for </w:t>
            </w:r>
            <w:r w:rsidRPr="00DC1481">
              <w:rPr>
                <w:rFonts w:ascii="Arial" w:eastAsia="Times New Roman" w:hAnsi="Arial" w:cs="Arial"/>
                <w:b/>
                <w:i/>
                <w:iCs/>
                <w:sz w:val="16"/>
                <w:szCs w:val="16"/>
                <w:lang w:eastAsia="en-GB"/>
              </w:rPr>
              <w:t>codebook1=ng1n4n1</w:t>
            </w:r>
            <w:r w:rsidRPr="00DC1481">
              <w:rPr>
                <w:rFonts w:ascii="Arial" w:eastAsia="Times New Roman" w:hAnsi="Arial" w:cs="Arial"/>
                <w:b/>
                <w:sz w:val="16"/>
                <w:szCs w:val="16"/>
                <w:lang w:eastAsia="en-GB"/>
              </w:rPr>
              <w:t xml:space="preserve"> and seven-layer transmission using eight antenna ports with transform precoding disabled. </w:t>
            </w:r>
          </w:p>
          <w:tbl>
            <w:tblPr>
              <w:tblW w:w="0" w:type="auto"/>
              <w:jc w:val="cente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301"/>
              <w:gridCol w:w="6297"/>
            </w:tblGrid>
            <w:tr w:rsidR="00DC1481" w:rsidRPr="00DC1481" w14:paraId="0AA97A4D" w14:textId="77777777" w:rsidTr="00124274">
              <w:trPr>
                <w:jc w:val="center"/>
              </w:trPr>
              <w:tc>
                <w:tcPr>
                  <w:tcW w:w="1301" w:type="dxa"/>
                  <w:tcBorders>
                    <w:top w:val="single" w:sz="4" w:space="0" w:color="000000"/>
                    <w:left w:val="single" w:sz="4" w:space="0" w:color="000000"/>
                    <w:bottom w:val="single" w:sz="4" w:space="0" w:color="000000"/>
                    <w:right w:val="single" w:sz="4" w:space="0" w:color="000000"/>
                  </w:tcBorders>
                  <w:shd w:val="clear" w:color="auto" w:fill="auto"/>
                </w:tcPr>
                <w:p w14:paraId="7B5184FD" w14:textId="77777777" w:rsidR="00DC1481" w:rsidRPr="00DC1481" w:rsidRDefault="00DC1481" w:rsidP="00DC1481">
                  <w:pPr>
                    <w:keepNext/>
                    <w:keepLines/>
                    <w:contextualSpacing/>
                    <w:jc w:val="center"/>
                    <w:rPr>
                      <w:rFonts w:ascii="Arial" w:hAnsi="Arial" w:cs="Arial"/>
                      <w:b/>
                      <w:sz w:val="16"/>
                      <w:szCs w:val="16"/>
                      <w:lang w:eastAsia="zh-CN"/>
                    </w:rPr>
                  </w:pPr>
                  <w:r w:rsidRPr="00DC1481">
                    <w:rPr>
                      <w:rFonts w:ascii="Arial" w:hAnsi="Arial" w:cs="Arial"/>
                      <w:b/>
                      <w:sz w:val="16"/>
                      <w:szCs w:val="16"/>
                      <w:lang w:eastAsia="zh-CN"/>
                    </w:rPr>
                    <w:t>TPMI index</w:t>
                  </w:r>
                </w:p>
              </w:tc>
              <w:tc>
                <w:tcPr>
                  <w:tcW w:w="629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167EADB" w14:textId="56D9D2E4" w:rsidR="00DC1481" w:rsidRPr="00DC1481" w:rsidRDefault="00DC1481" w:rsidP="00DC1481">
                  <w:pPr>
                    <w:keepNext/>
                    <w:keepLines/>
                    <w:contextualSpacing/>
                    <w:jc w:val="center"/>
                    <w:rPr>
                      <w:rFonts w:ascii="Arial" w:hAnsi="Arial" w:cs="Arial"/>
                      <w:b/>
                      <w:sz w:val="16"/>
                      <w:szCs w:val="16"/>
                      <w:lang w:eastAsia="zh-CN"/>
                    </w:rPr>
                  </w:pPr>
                  <w:r w:rsidRPr="00DC1481">
                    <w:rPr>
                      <w:rFonts w:ascii="Arial" w:hAnsi="Arial" w:cs="Arial"/>
                      <w:b/>
                      <w:color w:val="FF0000"/>
                      <w:sz w:val="16"/>
                      <w:szCs w:val="16"/>
                      <w:lang w:eastAsia="zh-CN"/>
                    </w:rPr>
                    <w:t>Intermediate precoder matrix</w:t>
                  </w:r>
                  <w:r w:rsidRPr="00DC1481">
                    <w:rPr>
                      <w:rFonts w:ascii="Arial" w:hAnsi="Arial" w:cs="Arial"/>
                      <w:color w:val="FF0000"/>
                      <w:sz w:val="16"/>
                      <w:szCs w:val="16"/>
                      <w:lang w:eastAsia="zh-CN"/>
                    </w:rPr>
                    <w:t xml:space="preserve"> </w:t>
                  </w:r>
                  <m:oMath>
                    <m:r>
                      <m:rPr>
                        <m:sty m:val="bi"/>
                      </m:rPr>
                      <w:rPr>
                        <w:rFonts w:ascii="Cambria Math" w:hAnsi="Cambria Math" w:cs="Arial"/>
                        <w:color w:val="FF0000"/>
                        <w:sz w:val="16"/>
                        <w:szCs w:val="16"/>
                        <w:lang w:eastAsia="zh-CN"/>
                      </w:rPr>
                      <m:t>W</m:t>
                    </m:r>
                    <m:r>
                      <m:rPr>
                        <m:sty m:val="b"/>
                      </m:rPr>
                      <w:rPr>
                        <w:rFonts w:ascii="Cambria Math" w:hAnsi="Cambria Math" w:cs="Arial"/>
                        <w:color w:val="FF0000"/>
                        <w:sz w:val="16"/>
                        <w:szCs w:val="16"/>
                        <w:lang w:eastAsia="zh-CN"/>
                      </w:rPr>
                      <m:t>'</m:t>
                    </m:r>
                    <m:r>
                      <m:rPr>
                        <m:sty m:val="bi"/>
                      </m:rPr>
                      <w:rPr>
                        <w:rFonts w:ascii="Cambria Math" w:hAnsi="Cambria Math" w:cs="Arial"/>
                        <w:strike/>
                        <w:sz w:val="16"/>
                        <w:szCs w:val="16"/>
                        <w:lang w:eastAsia="zh-CN"/>
                      </w:rPr>
                      <m:t>W</m:t>
                    </m:r>
                  </m:oMath>
                  <w:r w:rsidRPr="00DC1481">
                    <w:rPr>
                      <w:rFonts w:ascii="Arial" w:hAnsi="Arial" w:cs="Arial"/>
                      <w:sz w:val="16"/>
                      <w:szCs w:val="16"/>
                      <w:lang w:eastAsia="zh-CN"/>
                    </w:rPr>
                    <w:br/>
                  </w:r>
                  <w:r w:rsidRPr="00DC1481">
                    <w:rPr>
                      <w:rFonts w:ascii="Arial" w:hAnsi="Arial" w:cs="Arial"/>
                      <w:b/>
                      <w:sz w:val="16"/>
                      <w:szCs w:val="16"/>
                      <w:lang w:eastAsia="zh-CN"/>
                    </w:rPr>
                    <w:t>(ordered from left to right in increasing order of TPMI index)</w:t>
                  </w:r>
                </w:p>
              </w:tc>
            </w:tr>
          </w:tbl>
          <w:p w14:paraId="22C58BEE" w14:textId="77777777" w:rsidR="00DC1481" w:rsidRPr="00DC1481" w:rsidRDefault="00DC1481" w:rsidP="00DC1481">
            <w:pPr>
              <w:keepNext/>
              <w:keepLines/>
              <w:overflowPunct w:val="0"/>
              <w:autoSpaceDE w:val="0"/>
              <w:autoSpaceDN w:val="0"/>
              <w:adjustRightInd w:val="0"/>
              <w:ind w:left="800"/>
              <w:contextualSpacing/>
              <w:jc w:val="center"/>
              <w:textAlignment w:val="baseline"/>
              <w:rPr>
                <w:rFonts w:ascii="Arial" w:eastAsia="Times New Roman" w:hAnsi="Arial" w:cs="Arial"/>
                <w:bCs/>
                <w:color w:val="FF0000"/>
                <w:sz w:val="16"/>
                <w:szCs w:val="16"/>
                <w:lang w:eastAsia="en-GB"/>
              </w:rPr>
            </w:pPr>
          </w:p>
          <w:p w14:paraId="0F95F208" w14:textId="77777777" w:rsidR="00DC1481" w:rsidRPr="00DC1481" w:rsidRDefault="00DC1481" w:rsidP="00DC1481">
            <w:pPr>
              <w:keepNext/>
              <w:keepLines/>
              <w:overflowPunct w:val="0"/>
              <w:autoSpaceDE w:val="0"/>
              <w:autoSpaceDN w:val="0"/>
              <w:adjustRightInd w:val="0"/>
              <w:ind w:left="800"/>
              <w:contextualSpacing/>
              <w:jc w:val="center"/>
              <w:textAlignment w:val="baseline"/>
              <w:rPr>
                <w:rFonts w:ascii="Arial" w:eastAsia="Times New Roman" w:hAnsi="Arial" w:cs="Arial"/>
                <w:bCs/>
                <w:color w:val="FF0000"/>
                <w:sz w:val="16"/>
                <w:szCs w:val="16"/>
                <w:lang w:eastAsia="en-GB"/>
              </w:rPr>
            </w:pPr>
            <w:r w:rsidRPr="00DC1481">
              <w:rPr>
                <w:rFonts w:ascii="Arial" w:eastAsia="Times New Roman" w:hAnsi="Arial" w:cs="Arial"/>
                <w:bCs/>
                <w:color w:val="FF0000"/>
                <w:sz w:val="16"/>
                <w:szCs w:val="16"/>
                <w:lang w:eastAsia="en-GB"/>
              </w:rPr>
              <w:t>-------------------------------------------Unchanged parts are omitted-------------------------------------------</w:t>
            </w:r>
          </w:p>
          <w:p w14:paraId="0672E075" w14:textId="77777777" w:rsidR="00DC1481" w:rsidRPr="00DC1481" w:rsidRDefault="00DC1481" w:rsidP="00DC1481">
            <w:pPr>
              <w:contextualSpacing/>
              <w:rPr>
                <w:rFonts w:ascii="Arial" w:eastAsia="Times New Roman" w:hAnsi="Arial" w:cs="Arial"/>
                <w:sz w:val="16"/>
                <w:szCs w:val="16"/>
              </w:rPr>
            </w:pPr>
          </w:p>
          <w:p w14:paraId="0019A58A" w14:textId="53E21D84" w:rsidR="00DC1481" w:rsidRPr="00DC1481" w:rsidRDefault="00DC1481" w:rsidP="00DC1481">
            <w:pPr>
              <w:keepNext/>
              <w:keepLines/>
              <w:overflowPunct w:val="0"/>
              <w:autoSpaceDE w:val="0"/>
              <w:autoSpaceDN w:val="0"/>
              <w:adjustRightInd w:val="0"/>
              <w:ind w:left="800"/>
              <w:contextualSpacing/>
              <w:jc w:val="center"/>
              <w:textAlignment w:val="baseline"/>
              <w:rPr>
                <w:rFonts w:ascii="Arial" w:eastAsia="Calibri" w:hAnsi="Arial" w:cs="Arial"/>
                <w:b/>
                <w:sz w:val="16"/>
                <w:szCs w:val="16"/>
                <w:lang w:eastAsia="en-GB"/>
              </w:rPr>
            </w:pPr>
            <w:r w:rsidRPr="00DC1481">
              <w:rPr>
                <w:rFonts w:ascii="Arial" w:eastAsia="Times New Roman" w:hAnsi="Arial" w:cs="Arial"/>
                <w:b/>
                <w:sz w:val="16"/>
                <w:szCs w:val="16"/>
                <w:lang w:eastAsia="en-GB"/>
              </w:rPr>
              <w:t xml:space="preserve">Table 6.3.1.5-16: </w:t>
            </w:r>
            <w:r w:rsidRPr="00DC1481">
              <w:rPr>
                <w:rFonts w:ascii="Arial" w:eastAsia="Times New Roman" w:hAnsi="Arial" w:cs="Arial"/>
                <w:b/>
                <w:color w:val="FF0000"/>
                <w:sz w:val="16"/>
                <w:szCs w:val="16"/>
                <w:lang w:eastAsia="en-GB"/>
              </w:rPr>
              <w:t xml:space="preserve">Intermediate precoding matrix </w:t>
            </w:r>
            <m:oMath>
              <m:r>
                <m:rPr>
                  <m:sty m:val="bi"/>
                </m:rPr>
                <w:rPr>
                  <w:rFonts w:ascii="Cambria Math" w:hAnsi="Cambria Math" w:cs="Arial"/>
                  <w:color w:val="FF0000"/>
                  <w:sz w:val="16"/>
                  <w:szCs w:val="16"/>
                </w:rPr>
                <m:t>W</m:t>
              </m:r>
              <m:r>
                <m:rPr>
                  <m:sty m:val="p"/>
                </m:rPr>
                <w:rPr>
                  <w:rFonts w:ascii="Cambria Math" w:hAnsi="Cambria Math" w:cs="Arial"/>
                  <w:color w:val="FF0000"/>
                  <w:sz w:val="16"/>
                  <w:szCs w:val="16"/>
                </w:rPr>
                <m:t>'</m:t>
              </m:r>
            </m:oMath>
            <w:r w:rsidRPr="00DC1481">
              <w:rPr>
                <w:rFonts w:ascii="Arial" w:eastAsia="Times New Roman" w:hAnsi="Arial" w:cs="Arial"/>
                <w:b/>
                <w:strike/>
                <w:sz w:val="16"/>
                <w:szCs w:val="16"/>
                <w:lang w:eastAsia="en-GB"/>
              </w:rPr>
              <w:t xml:space="preserve">Precoding matrix </w:t>
            </w:r>
            <m:oMath>
              <m:r>
                <m:rPr>
                  <m:sty m:val="bi"/>
                </m:rPr>
                <w:rPr>
                  <w:rFonts w:ascii="Cambria Math" w:hAnsi="Cambria Math" w:cs="Arial"/>
                  <w:strike/>
                  <w:sz w:val="16"/>
                  <w:szCs w:val="16"/>
                </w:rPr>
                <m:t>W</m:t>
              </m:r>
            </m:oMath>
            <w:r w:rsidRPr="00DC1481">
              <w:rPr>
                <w:rFonts w:ascii="Arial" w:eastAsia="Times New Roman" w:hAnsi="Arial" w:cs="Arial"/>
                <w:b/>
                <w:sz w:val="16"/>
                <w:szCs w:val="16"/>
                <w:lang w:eastAsia="en-GB"/>
              </w:rPr>
              <w:t xml:space="preserve"> for </w:t>
            </w:r>
            <w:r w:rsidRPr="00DC1481">
              <w:rPr>
                <w:rFonts w:ascii="Arial" w:eastAsia="Times New Roman" w:hAnsi="Arial" w:cs="Arial"/>
                <w:b/>
                <w:i/>
                <w:iCs/>
                <w:sz w:val="16"/>
                <w:szCs w:val="16"/>
                <w:lang w:eastAsia="en-GB"/>
              </w:rPr>
              <w:t>codebook1=ng1n4n1</w:t>
            </w:r>
            <w:r w:rsidRPr="00DC1481">
              <w:rPr>
                <w:rFonts w:ascii="Arial" w:eastAsia="Times New Roman" w:hAnsi="Arial" w:cs="Arial"/>
                <w:b/>
                <w:sz w:val="16"/>
                <w:szCs w:val="16"/>
                <w:lang w:eastAsia="en-GB"/>
              </w:rPr>
              <w:t xml:space="preserve"> and eight-layer transmission using eight antenna ports with transform precoding disabled. </w:t>
            </w:r>
          </w:p>
          <w:tbl>
            <w:tblPr>
              <w:tblW w:w="0" w:type="auto"/>
              <w:jc w:val="cente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355"/>
              <w:gridCol w:w="6567"/>
            </w:tblGrid>
            <w:tr w:rsidR="00DC1481" w:rsidRPr="00DC1481" w14:paraId="57095F6E" w14:textId="77777777" w:rsidTr="00124274">
              <w:trPr>
                <w:jc w:val="center"/>
              </w:trPr>
              <w:tc>
                <w:tcPr>
                  <w:tcW w:w="1355" w:type="dxa"/>
                  <w:tcBorders>
                    <w:top w:val="single" w:sz="4" w:space="0" w:color="000000"/>
                    <w:left w:val="single" w:sz="4" w:space="0" w:color="000000"/>
                    <w:bottom w:val="single" w:sz="4" w:space="0" w:color="000000"/>
                    <w:right w:val="single" w:sz="4" w:space="0" w:color="000000"/>
                  </w:tcBorders>
                  <w:shd w:val="clear" w:color="auto" w:fill="auto"/>
                </w:tcPr>
                <w:p w14:paraId="72F03D5D" w14:textId="77777777" w:rsidR="00DC1481" w:rsidRPr="00DC1481" w:rsidRDefault="00DC1481" w:rsidP="00DC1481">
                  <w:pPr>
                    <w:keepNext/>
                    <w:keepLines/>
                    <w:contextualSpacing/>
                    <w:jc w:val="center"/>
                    <w:rPr>
                      <w:rFonts w:ascii="Arial" w:hAnsi="Arial" w:cs="Arial"/>
                      <w:b/>
                      <w:sz w:val="16"/>
                      <w:szCs w:val="16"/>
                      <w:lang w:eastAsia="zh-CN"/>
                    </w:rPr>
                  </w:pPr>
                  <w:r w:rsidRPr="00DC1481">
                    <w:rPr>
                      <w:rFonts w:ascii="Arial" w:hAnsi="Arial" w:cs="Arial"/>
                      <w:b/>
                      <w:sz w:val="16"/>
                      <w:szCs w:val="16"/>
                      <w:lang w:eastAsia="zh-CN"/>
                    </w:rPr>
                    <w:t>TPMI index</w:t>
                  </w:r>
                </w:p>
              </w:tc>
              <w:tc>
                <w:tcPr>
                  <w:tcW w:w="656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56F1103" w14:textId="1ED1490F" w:rsidR="00DC1481" w:rsidRPr="00DC1481" w:rsidRDefault="00DC1481" w:rsidP="00DC1481">
                  <w:pPr>
                    <w:keepNext/>
                    <w:keepLines/>
                    <w:contextualSpacing/>
                    <w:jc w:val="center"/>
                    <w:rPr>
                      <w:rFonts w:ascii="Arial" w:hAnsi="Arial" w:cs="Arial"/>
                      <w:b/>
                      <w:sz w:val="16"/>
                      <w:szCs w:val="16"/>
                      <w:lang w:eastAsia="zh-CN"/>
                    </w:rPr>
                  </w:pPr>
                  <w:r w:rsidRPr="00DC1481">
                    <w:rPr>
                      <w:rFonts w:ascii="Arial" w:hAnsi="Arial" w:cs="Arial"/>
                      <w:b/>
                      <w:color w:val="FF0000"/>
                      <w:sz w:val="16"/>
                      <w:szCs w:val="16"/>
                      <w:lang w:eastAsia="zh-CN"/>
                    </w:rPr>
                    <w:t>Intermediate precoder matrix</w:t>
                  </w:r>
                  <w:r w:rsidRPr="00DC1481">
                    <w:rPr>
                      <w:rFonts w:ascii="Arial" w:hAnsi="Arial" w:cs="Arial"/>
                      <w:color w:val="FF0000"/>
                      <w:sz w:val="16"/>
                      <w:szCs w:val="16"/>
                      <w:lang w:eastAsia="zh-CN"/>
                    </w:rPr>
                    <w:t xml:space="preserve"> </w:t>
                  </w:r>
                  <m:oMath>
                    <m:r>
                      <m:rPr>
                        <m:sty m:val="bi"/>
                      </m:rPr>
                      <w:rPr>
                        <w:rFonts w:ascii="Cambria Math" w:hAnsi="Cambria Math" w:cs="Arial"/>
                        <w:color w:val="FF0000"/>
                        <w:sz w:val="16"/>
                        <w:szCs w:val="16"/>
                        <w:lang w:eastAsia="zh-CN"/>
                      </w:rPr>
                      <m:t>W</m:t>
                    </m:r>
                    <m:r>
                      <m:rPr>
                        <m:sty m:val="b"/>
                      </m:rPr>
                      <w:rPr>
                        <w:rFonts w:ascii="Cambria Math" w:hAnsi="Cambria Math" w:cs="Arial"/>
                        <w:color w:val="FF0000"/>
                        <w:sz w:val="16"/>
                        <w:szCs w:val="16"/>
                        <w:lang w:eastAsia="zh-CN"/>
                      </w:rPr>
                      <m:t>'</m:t>
                    </m:r>
                    <m:r>
                      <m:rPr>
                        <m:sty m:val="bi"/>
                      </m:rPr>
                      <w:rPr>
                        <w:rFonts w:ascii="Cambria Math" w:hAnsi="Cambria Math" w:cs="Arial"/>
                        <w:strike/>
                        <w:sz w:val="16"/>
                        <w:szCs w:val="16"/>
                        <w:lang w:eastAsia="zh-CN"/>
                      </w:rPr>
                      <m:t>W</m:t>
                    </m:r>
                  </m:oMath>
                  <w:r w:rsidRPr="00DC1481">
                    <w:rPr>
                      <w:rFonts w:ascii="Arial" w:hAnsi="Arial" w:cs="Arial"/>
                      <w:b/>
                      <w:sz w:val="16"/>
                      <w:szCs w:val="16"/>
                      <w:lang w:eastAsia="zh-CN"/>
                    </w:rPr>
                    <w:t xml:space="preserve"> </w:t>
                  </w:r>
                </w:p>
                <w:p w14:paraId="10EC5F1C" w14:textId="77777777" w:rsidR="00DC1481" w:rsidRPr="00DC1481" w:rsidRDefault="00DC1481" w:rsidP="00DC1481">
                  <w:pPr>
                    <w:keepNext/>
                    <w:keepLines/>
                    <w:contextualSpacing/>
                    <w:jc w:val="center"/>
                    <w:rPr>
                      <w:rFonts w:ascii="Arial" w:hAnsi="Arial" w:cs="Arial"/>
                      <w:b/>
                      <w:sz w:val="16"/>
                      <w:szCs w:val="16"/>
                      <w:lang w:eastAsia="zh-CN"/>
                    </w:rPr>
                  </w:pPr>
                  <w:r w:rsidRPr="00DC1481">
                    <w:rPr>
                      <w:rFonts w:ascii="Arial" w:hAnsi="Arial" w:cs="Arial"/>
                      <w:b/>
                      <w:sz w:val="16"/>
                      <w:szCs w:val="16"/>
                      <w:lang w:eastAsia="zh-CN"/>
                    </w:rPr>
                    <w:t>(ordered from left to right in increasing order of TPMI index)</w:t>
                  </w:r>
                </w:p>
              </w:tc>
            </w:tr>
          </w:tbl>
          <w:p w14:paraId="1D9EE9E3" w14:textId="77777777" w:rsidR="00DC1481" w:rsidRPr="00DC1481" w:rsidRDefault="00DC1481" w:rsidP="00DC1481">
            <w:pPr>
              <w:keepNext/>
              <w:keepLines/>
              <w:overflowPunct w:val="0"/>
              <w:autoSpaceDE w:val="0"/>
              <w:autoSpaceDN w:val="0"/>
              <w:adjustRightInd w:val="0"/>
              <w:ind w:left="800"/>
              <w:contextualSpacing/>
              <w:jc w:val="center"/>
              <w:textAlignment w:val="baseline"/>
              <w:rPr>
                <w:rFonts w:ascii="Arial" w:eastAsia="Times New Roman" w:hAnsi="Arial" w:cs="Arial"/>
                <w:bCs/>
                <w:color w:val="FF0000"/>
                <w:sz w:val="16"/>
                <w:szCs w:val="16"/>
                <w:lang w:eastAsia="en-GB"/>
              </w:rPr>
            </w:pPr>
          </w:p>
          <w:p w14:paraId="747F64A8" w14:textId="77777777" w:rsidR="00DC1481" w:rsidRPr="00DC1481" w:rsidRDefault="00DC1481" w:rsidP="00DC1481">
            <w:pPr>
              <w:keepNext/>
              <w:keepLines/>
              <w:overflowPunct w:val="0"/>
              <w:autoSpaceDE w:val="0"/>
              <w:autoSpaceDN w:val="0"/>
              <w:adjustRightInd w:val="0"/>
              <w:ind w:left="800"/>
              <w:contextualSpacing/>
              <w:jc w:val="center"/>
              <w:textAlignment w:val="baseline"/>
              <w:rPr>
                <w:rFonts w:ascii="Arial" w:eastAsia="Times New Roman" w:hAnsi="Arial" w:cs="Arial"/>
                <w:bCs/>
                <w:color w:val="FF0000"/>
                <w:sz w:val="16"/>
                <w:szCs w:val="16"/>
                <w:lang w:eastAsia="en-GB"/>
              </w:rPr>
            </w:pPr>
            <w:r w:rsidRPr="00DC1481">
              <w:rPr>
                <w:rFonts w:ascii="Arial" w:eastAsia="Times New Roman" w:hAnsi="Arial" w:cs="Arial"/>
                <w:bCs/>
                <w:color w:val="FF0000"/>
                <w:sz w:val="16"/>
                <w:szCs w:val="16"/>
                <w:lang w:eastAsia="en-GB"/>
              </w:rPr>
              <w:t>-------------------------------------------Unchanged parts are omitted-------------------------------------------</w:t>
            </w:r>
          </w:p>
          <w:p w14:paraId="56456DE7" w14:textId="77777777" w:rsidR="00DC1481" w:rsidRPr="00DC1481" w:rsidRDefault="00DC1481" w:rsidP="00DC1481">
            <w:pPr>
              <w:contextualSpacing/>
              <w:rPr>
                <w:rFonts w:ascii="Arial" w:eastAsia="Times New Roman" w:hAnsi="Arial" w:cs="Arial"/>
                <w:sz w:val="16"/>
                <w:szCs w:val="16"/>
              </w:rPr>
            </w:pPr>
          </w:p>
          <w:p w14:paraId="40960DE9" w14:textId="5E54B226" w:rsidR="00DC1481" w:rsidRPr="00DC1481" w:rsidRDefault="00DC1481" w:rsidP="00DC1481">
            <w:pPr>
              <w:keepNext/>
              <w:keepLines/>
              <w:overflowPunct w:val="0"/>
              <w:autoSpaceDE w:val="0"/>
              <w:autoSpaceDN w:val="0"/>
              <w:adjustRightInd w:val="0"/>
              <w:ind w:left="800"/>
              <w:contextualSpacing/>
              <w:jc w:val="center"/>
              <w:textAlignment w:val="baseline"/>
              <w:rPr>
                <w:rFonts w:ascii="Arial" w:eastAsia="Calibri" w:hAnsi="Arial" w:cs="Arial"/>
                <w:b/>
                <w:sz w:val="16"/>
                <w:szCs w:val="16"/>
                <w:lang w:eastAsia="en-GB"/>
              </w:rPr>
            </w:pPr>
            <w:r w:rsidRPr="00DC1481">
              <w:rPr>
                <w:rFonts w:ascii="Arial" w:eastAsia="Times New Roman" w:hAnsi="Arial" w:cs="Arial"/>
                <w:b/>
                <w:sz w:val="16"/>
                <w:szCs w:val="16"/>
                <w:lang w:eastAsia="en-GB"/>
              </w:rPr>
              <w:t xml:space="preserve">Table 6.3.1.5-17: </w:t>
            </w:r>
            <w:r w:rsidRPr="00DC1481">
              <w:rPr>
                <w:rFonts w:ascii="Arial" w:eastAsia="Times New Roman" w:hAnsi="Arial" w:cs="Arial"/>
                <w:b/>
                <w:color w:val="FF0000"/>
                <w:sz w:val="16"/>
                <w:szCs w:val="16"/>
                <w:lang w:eastAsia="en-GB"/>
              </w:rPr>
              <w:t xml:space="preserve">Intermediate precoding matrix </w:t>
            </w:r>
            <m:oMath>
              <m:r>
                <m:rPr>
                  <m:sty m:val="bi"/>
                </m:rPr>
                <w:rPr>
                  <w:rFonts w:ascii="Cambria Math" w:hAnsi="Cambria Math" w:cs="Arial"/>
                  <w:color w:val="FF0000"/>
                  <w:sz w:val="16"/>
                  <w:szCs w:val="16"/>
                </w:rPr>
                <m:t>W</m:t>
              </m:r>
              <m:r>
                <m:rPr>
                  <m:sty m:val="p"/>
                </m:rPr>
                <w:rPr>
                  <w:rFonts w:ascii="Cambria Math" w:hAnsi="Cambria Math" w:cs="Arial"/>
                  <w:color w:val="FF0000"/>
                  <w:sz w:val="16"/>
                  <w:szCs w:val="16"/>
                </w:rPr>
                <m:t>'</m:t>
              </m:r>
            </m:oMath>
            <w:r w:rsidRPr="00DC1481">
              <w:rPr>
                <w:rFonts w:ascii="Arial" w:eastAsia="Times New Roman" w:hAnsi="Arial" w:cs="Arial"/>
                <w:b/>
                <w:strike/>
                <w:sz w:val="16"/>
                <w:szCs w:val="16"/>
                <w:lang w:eastAsia="en-GB"/>
              </w:rPr>
              <w:t xml:space="preserve">Precoding matrix </w:t>
            </w:r>
            <m:oMath>
              <m:r>
                <m:rPr>
                  <m:sty m:val="bi"/>
                </m:rPr>
                <w:rPr>
                  <w:rFonts w:ascii="Cambria Math" w:hAnsi="Cambria Math" w:cs="Arial"/>
                  <w:strike/>
                  <w:sz w:val="16"/>
                  <w:szCs w:val="16"/>
                </w:rPr>
                <m:t>W</m:t>
              </m:r>
            </m:oMath>
            <w:r w:rsidRPr="00DC1481">
              <w:rPr>
                <w:rFonts w:ascii="Arial" w:eastAsia="Times New Roman" w:hAnsi="Arial" w:cs="Arial"/>
                <w:b/>
                <w:sz w:val="16"/>
                <w:szCs w:val="16"/>
                <w:lang w:eastAsia="en-GB"/>
              </w:rPr>
              <w:t xml:space="preserve"> for</w:t>
            </w:r>
            <w:r w:rsidRPr="00DC1481">
              <w:rPr>
                <w:rFonts w:ascii="Arial" w:eastAsia="Times New Roman" w:hAnsi="Arial" w:cs="Arial"/>
                <w:b/>
                <w:i/>
                <w:iCs/>
                <w:sz w:val="16"/>
                <w:szCs w:val="16"/>
                <w:lang w:eastAsia="en-GB"/>
              </w:rPr>
              <w:t xml:space="preserve"> codebook1=ng1n2n2</w:t>
            </w:r>
            <w:r w:rsidRPr="00DC1481">
              <w:rPr>
                <w:rFonts w:ascii="Arial" w:eastAsia="Times New Roman" w:hAnsi="Arial" w:cs="Arial"/>
                <w:b/>
                <w:sz w:val="16"/>
                <w:szCs w:val="16"/>
                <w:lang w:eastAsia="en-GB"/>
              </w:rPr>
              <w:t xml:space="preserve"> and single-layer transmission using eight antenna ports.</w:t>
            </w:r>
          </w:p>
          <w:tbl>
            <w:tblPr>
              <w:tblW w:w="0" w:type="auto"/>
              <w:jc w:val="center"/>
              <w:tblLook w:val="04A0" w:firstRow="1" w:lastRow="0" w:firstColumn="1" w:lastColumn="0" w:noHBand="0" w:noVBand="1"/>
            </w:tblPr>
            <w:tblGrid>
              <w:gridCol w:w="1355"/>
              <w:gridCol w:w="6892"/>
            </w:tblGrid>
            <w:tr w:rsidR="00DC1481" w:rsidRPr="00DC1481" w14:paraId="68F6130E" w14:textId="77777777" w:rsidTr="00124274">
              <w:trPr>
                <w:cantSplit/>
                <w:jc w:val="center"/>
              </w:trPr>
              <w:tc>
                <w:tcPr>
                  <w:tcW w:w="1355" w:type="dxa"/>
                  <w:tcBorders>
                    <w:top w:val="single" w:sz="4" w:space="0" w:color="auto"/>
                    <w:left w:val="single" w:sz="4" w:space="0" w:color="auto"/>
                    <w:bottom w:val="single" w:sz="4" w:space="0" w:color="auto"/>
                    <w:right w:val="single" w:sz="4" w:space="0" w:color="auto"/>
                  </w:tcBorders>
                </w:tcPr>
                <w:p w14:paraId="57A07910" w14:textId="77777777" w:rsidR="00DC1481" w:rsidRPr="00DC1481" w:rsidRDefault="00DC1481" w:rsidP="00DC1481">
                  <w:pPr>
                    <w:keepNext/>
                    <w:keepLines/>
                    <w:contextualSpacing/>
                    <w:jc w:val="center"/>
                    <w:rPr>
                      <w:rFonts w:ascii="Arial" w:hAnsi="Arial" w:cs="Arial"/>
                      <w:b/>
                      <w:sz w:val="16"/>
                      <w:szCs w:val="16"/>
                      <w:lang w:eastAsia="zh-CN"/>
                    </w:rPr>
                  </w:pPr>
                  <w:r w:rsidRPr="00DC1481">
                    <w:rPr>
                      <w:rFonts w:ascii="Arial" w:hAnsi="Arial" w:cs="Arial"/>
                      <w:b/>
                      <w:sz w:val="16"/>
                      <w:szCs w:val="16"/>
                      <w:lang w:eastAsia="zh-CN"/>
                    </w:rPr>
                    <w:t>TPMI index</w:t>
                  </w:r>
                </w:p>
              </w:tc>
              <w:tc>
                <w:tcPr>
                  <w:tcW w:w="6892" w:type="dxa"/>
                  <w:tcBorders>
                    <w:top w:val="single" w:sz="4" w:space="0" w:color="auto"/>
                    <w:left w:val="single" w:sz="4" w:space="0" w:color="auto"/>
                    <w:bottom w:val="single" w:sz="4" w:space="0" w:color="auto"/>
                    <w:right w:val="single" w:sz="4" w:space="0" w:color="auto"/>
                  </w:tcBorders>
                  <w:vAlign w:val="center"/>
                </w:tcPr>
                <w:p w14:paraId="42513759" w14:textId="1FC1A284" w:rsidR="00DC1481" w:rsidRPr="00DC1481" w:rsidRDefault="00DC1481" w:rsidP="00DC1481">
                  <w:pPr>
                    <w:keepNext/>
                    <w:keepLines/>
                    <w:contextualSpacing/>
                    <w:jc w:val="center"/>
                    <w:rPr>
                      <w:rFonts w:ascii="Arial" w:hAnsi="Arial" w:cs="Arial"/>
                      <w:b/>
                      <w:sz w:val="16"/>
                      <w:szCs w:val="16"/>
                      <w:lang w:eastAsia="zh-CN"/>
                    </w:rPr>
                  </w:pPr>
                  <w:r w:rsidRPr="00DC1481">
                    <w:rPr>
                      <w:rFonts w:ascii="Arial" w:hAnsi="Arial" w:cs="Arial"/>
                      <w:b/>
                      <w:color w:val="FF0000"/>
                      <w:sz w:val="16"/>
                      <w:szCs w:val="16"/>
                      <w:lang w:eastAsia="zh-CN"/>
                    </w:rPr>
                    <w:t>Intermediate precoder matrix</w:t>
                  </w:r>
                  <w:r w:rsidRPr="00DC1481">
                    <w:rPr>
                      <w:rFonts w:ascii="Arial" w:hAnsi="Arial" w:cs="Arial"/>
                      <w:color w:val="FF0000"/>
                      <w:sz w:val="16"/>
                      <w:szCs w:val="16"/>
                      <w:lang w:eastAsia="zh-CN"/>
                    </w:rPr>
                    <w:t xml:space="preserve"> </w:t>
                  </w:r>
                  <m:oMath>
                    <m:r>
                      <m:rPr>
                        <m:sty m:val="bi"/>
                      </m:rPr>
                      <w:rPr>
                        <w:rFonts w:ascii="Cambria Math" w:hAnsi="Cambria Math" w:cs="Arial"/>
                        <w:color w:val="FF0000"/>
                        <w:sz w:val="16"/>
                        <w:szCs w:val="16"/>
                        <w:lang w:eastAsia="zh-CN"/>
                      </w:rPr>
                      <m:t>W</m:t>
                    </m:r>
                    <m:r>
                      <m:rPr>
                        <m:sty m:val="b"/>
                      </m:rPr>
                      <w:rPr>
                        <w:rFonts w:ascii="Cambria Math" w:hAnsi="Cambria Math" w:cs="Arial"/>
                        <w:color w:val="FF0000"/>
                        <w:sz w:val="16"/>
                        <w:szCs w:val="16"/>
                        <w:lang w:eastAsia="zh-CN"/>
                      </w:rPr>
                      <m:t>'</m:t>
                    </m:r>
                    <m:r>
                      <m:rPr>
                        <m:sty m:val="bi"/>
                      </m:rPr>
                      <w:rPr>
                        <w:rFonts w:ascii="Cambria Math" w:hAnsi="Cambria Math" w:cs="Arial"/>
                        <w:strike/>
                        <w:sz w:val="16"/>
                        <w:szCs w:val="16"/>
                        <w:lang w:eastAsia="zh-CN"/>
                      </w:rPr>
                      <m:t>W</m:t>
                    </m:r>
                  </m:oMath>
                  <w:r w:rsidRPr="00DC1481">
                    <w:rPr>
                      <w:rFonts w:ascii="Arial" w:hAnsi="Arial" w:cs="Arial"/>
                      <w:b/>
                      <w:sz w:val="16"/>
                      <w:szCs w:val="16"/>
                      <w:lang w:eastAsia="zh-CN"/>
                    </w:rPr>
                    <w:t xml:space="preserve"> </w:t>
                  </w:r>
                </w:p>
                <w:p w14:paraId="40C537AF" w14:textId="77777777" w:rsidR="00DC1481" w:rsidRPr="00DC1481" w:rsidRDefault="00DC1481" w:rsidP="00DC1481">
                  <w:pPr>
                    <w:keepNext/>
                    <w:keepLines/>
                    <w:contextualSpacing/>
                    <w:jc w:val="center"/>
                    <w:rPr>
                      <w:rFonts w:ascii="Arial" w:hAnsi="Arial" w:cs="Arial"/>
                      <w:b/>
                      <w:sz w:val="16"/>
                      <w:szCs w:val="16"/>
                      <w:lang w:eastAsia="zh-CN"/>
                    </w:rPr>
                  </w:pPr>
                  <w:r w:rsidRPr="00DC1481">
                    <w:rPr>
                      <w:rFonts w:ascii="Arial" w:hAnsi="Arial" w:cs="Arial"/>
                      <w:b/>
                      <w:sz w:val="16"/>
                      <w:szCs w:val="16"/>
                      <w:lang w:eastAsia="zh-CN"/>
                    </w:rPr>
                    <w:t>(ordered from left to right in increasing order of TPMI index)</w:t>
                  </w:r>
                </w:p>
              </w:tc>
            </w:tr>
          </w:tbl>
          <w:p w14:paraId="43460229" w14:textId="77777777" w:rsidR="00DC1481" w:rsidRPr="00DC1481" w:rsidRDefault="00DC1481" w:rsidP="00DC1481">
            <w:pPr>
              <w:keepNext/>
              <w:keepLines/>
              <w:overflowPunct w:val="0"/>
              <w:autoSpaceDE w:val="0"/>
              <w:autoSpaceDN w:val="0"/>
              <w:adjustRightInd w:val="0"/>
              <w:ind w:left="800"/>
              <w:contextualSpacing/>
              <w:jc w:val="center"/>
              <w:textAlignment w:val="baseline"/>
              <w:rPr>
                <w:rFonts w:ascii="Arial" w:eastAsia="Times New Roman" w:hAnsi="Arial" w:cs="Arial"/>
                <w:bCs/>
                <w:color w:val="FF0000"/>
                <w:sz w:val="16"/>
                <w:szCs w:val="16"/>
                <w:lang w:eastAsia="en-GB"/>
              </w:rPr>
            </w:pPr>
          </w:p>
          <w:p w14:paraId="6FCDC552" w14:textId="77777777" w:rsidR="00DC1481" w:rsidRPr="00DC1481" w:rsidRDefault="00DC1481" w:rsidP="00DC1481">
            <w:pPr>
              <w:keepNext/>
              <w:keepLines/>
              <w:overflowPunct w:val="0"/>
              <w:autoSpaceDE w:val="0"/>
              <w:autoSpaceDN w:val="0"/>
              <w:adjustRightInd w:val="0"/>
              <w:ind w:left="800"/>
              <w:contextualSpacing/>
              <w:jc w:val="center"/>
              <w:textAlignment w:val="baseline"/>
              <w:rPr>
                <w:rFonts w:ascii="Arial" w:eastAsia="Times New Roman" w:hAnsi="Arial" w:cs="Arial"/>
                <w:bCs/>
                <w:color w:val="FF0000"/>
                <w:sz w:val="16"/>
                <w:szCs w:val="16"/>
                <w:lang w:eastAsia="en-GB"/>
              </w:rPr>
            </w:pPr>
            <w:r w:rsidRPr="00DC1481">
              <w:rPr>
                <w:rFonts w:ascii="Arial" w:eastAsia="Times New Roman" w:hAnsi="Arial" w:cs="Arial"/>
                <w:bCs/>
                <w:color w:val="FF0000"/>
                <w:sz w:val="16"/>
                <w:szCs w:val="16"/>
                <w:lang w:eastAsia="en-GB"/>
              </w:rPr>
              <w:t>-------------------------------------------Unchanged parts are omitted-------------------------------------------</w:t>
            </w:r>
          </w:p>
          <w:p w14:paraId="4417C03E" w14:textId="77777777" w:rsidR="00DC1481" w:rsidRPr="00DC1481" w:rsidRDefault="00DC1481" w:rsidP="00DC1481">
            <w:pPr>
              <w:contextualSpacing/>
              <w:rPr>
                <w:rFonts w:ascii="Arial" w:eastAsia="Times New Roman" w:hAnsi="Arial" w:cs="Arial"/>
                <w:sz w:val="16"/>
                <w:szCs w:val="16"/>
              </w:rPr>
            </w:pPr>
          </w:p>
          <w:p w14:paraId="5E36E243" w14:textId="56C383C2" w:rsidR="00DC1481" w:rsidRPr="00DC1481" w:rsidRDefault="00DC1481" w:rsidP="00DC1481">
            <w:pPr>
              <w:keepNext/>
              <w:keepLines/>
              <w:overflowPunct w:val="0"/>
              <w:autoSpaceDE w:val="0"/>
              <w:autoSpaceDN w:val="0"/>
              <w:adjustRightInd w:val="0"/>
              <w:ind w:left="800"/>
              <w:contextualSpacing/>
              <w:jc w:val="center"/>
              <w:textAlignment w:val="baseline"/>
              <w:rPr>
                <w:rFonts w:ascii="Arial" w:eastAsia="Calibri" w:hAnsi="Arial" w:cs="Arial"/>
                <w:b/>
                <w:sz w:val="16"/>
                <w:szCs w:val="16"/>
                <w:lang w:eastAsia="en-GB"/>
              </w:rPr>
            </w:pPr>
            <w:r w:rsidRPr="00DC1481">
              <w:rPr>
                <w:rFonts w:ascii="Arial" w:eastAsia="Times New Roman" w:hAnsi="Arial" w:cs="Arial"/>
                <w:b/>
                <w:sz w:val="16"/>
                <w:szCs w:val="16"/>
                <w:lang w:eastAsia="en-GB"/>
              </w:rPr>
              <w:t xml:space="preserve">Table 6.3.1.5-18: </w:t>
            </w:r>
            <w:r w:rsidRPr="00DC1481">
              <w:rPr>
                <w:rFonts w:ascii="Arial" w:eastAsia="Times New Roman" w:hAnsi="Arial" w:cs="Arial"/>
                <w:b/>
                <w:color w:val="FF0000"/>
                <w:sz w:val="16"/>
                <w:szCs w:val="16"/>
                <w:lang w:eastAsia="en-GB"/>
              </w:rPr>
              <w:t xml:space="preserve">Intermediate precoding matrix </w:t>
            </w:r>
            <m:oMath>
              <m:r>
                <m:rPr>
                  <m:sty m:val="bi"/>
                </m:rPr>
                <w:rPr>
                  <w:rFonts w:ascii="Cambria Math" w:hAnsi="Cambria Math" w:cs="Arial"/>
                  <w:color w:val="FF0000"/>
                  <w:sz w:val="16"/>
                  <w:szCs w:val="16"/>
                </w:rPr>
                <m:t>W</m:t>
              </m:r>
              <m:r>
                <m:rPr>
                  <m:sty m:val="p"/>
                </m:rPr>
                <w:rPr>
                  <w:rFonts w:ascii="Cambria Math" w:hAnsi="Cambria Math" w:cs="Arial"/>
                  <w:color w:val="FF0000"/>
                  <w:sz w:val="16"/>
                  <w:szCs w:val="16"/>
                </w:rPr>
                <m:t>'</m:t>
              </m:r>
            </m:oMath>
            <w:r w:rsidRPr="00DC1481">
              <w:rPr>
                <w:rFonts w:ascii="Arial" w:eastAsia="Times New Roman" w:hAnsi="Arial" w:cs="Arial"/>
                <w:b/>
                <w:strike/>
                <w:sz w:val="16"/>
                <w:szCs w:val="16"/>
                <w:lang w:eastAsia="en-GB"/>
              </w:rPr>
              <w:t xml:space="preserve">Precoding matrix </w:t>
            </w:r>
            <m:oMath>
              <m:r>
                <m:rPr>
                  <m:sty m:val="bi"/>
                </m:rPr>
                <w:rPr>
                  <w:rFonts w:ascii="Cambria Math" w:hAnsi="Cambria Math" w:cs="Arial"/>
                  <w:strike/>
                  <w:sz w:val="16"/>
                  <w:szCs w:val="16"/>
                </w:rPr>
                <m:t>W</m:t>
              </m:r>
            </m:oMath>
            <w:r w:rsidRPr="00DC1481">
              <w:rPr>
                <w:rFonts w:ascii="Arial" w:eastAsia="Times New Roman" w:hAnsi="Arial" w:cs="Arial"/>
                <w:b/>
                <w:sz w:val="16"/>
                <w:szCs w:val="16"/>
                <w:lang w:eastAsia="en-GB"/>
              </w:rPr>
              <w:t xml:space="preserve"> for</w:t>
            </w:r>
            <w:r w:rsidRPr="00DC1481">
              <w:rPr>
                <w:rFonts w:ascii="Arial" w:eastAsia="Times New Roman" w:hAnsi="Arial" w:cs="Arial"/>
                <w:b/>
                <w:i/>
                <w:iCs/>
                <w:sz w:val="16"/>
                <w:szCs w:val="16"/>
                <w:lang w:eastAsia="en-GB"/>
              </w:rPr>
              <w:t xml:space="preserve"> codebook1=ng1n2n2</w:t>
            </w:r>
            <w:r w:rsidRPr="00DC1481">
              <w:rPr>
                <w:rFonts w:ascii="Arial" w:eastAsia="Times New Roman" w:hAnsi="Arial" w:cs="Arial"/>
                <w:b/>
                <w:sz w:val="16"/>
                <w:szCs w:val="16"/>
                <w:lang w:eastAsia="en-GB"/>
              </w:rPr>
              <w:t xml:space="preserve"> and two-layer transmission using eight antenna ports with transform precoding disabled.</w:t>
            </w:r>
          </w:p>
          <w:tbl>
            <w:tblPr>
              <w:tblW w:w="0" w:type="auto"/>
              <w:jc w:val="cente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CellMar>
                <w:left w:w="57" w:type="dxa"/>
                <w:right w:w="57" w:type="dxa"/>
              </w:tblCellMar>
              <w:tblLook w:val="04A0" w:firstRow="1" w:lastRow="0" w:firstColumn="1" w:lastColumn="0" w:noHBand="0" w:noVBand="1"/>
            </w:tblPr>
            <w:tblGrid>
              <w:gridCol w:w="1355"/>
              <w:gridCol w:w="6892"/>
            </w:tblGrid>
            <w:tr w:rsidR="00DC1481" w:rsidRPr="00DC1481" w14:paraId="47F693D0" w14:textId="77777777" w:rsidTr="00124274">
              <w:trPr>
                <w:jc w:val="center"/>
              </w:trPr>
              <w:tc>
                <w:tcPr>
                  <w:tcW w:w="1355" w:type="dxa"/>
                  <w:tcBorders>
                    <w:top w:val="single" w:sz="4" w:space="0" w:color="000000"/>
                    <w:left w:val="single" w:sz="4" w:space="0" w:color="000000"/>
                    <w:bottom w:val="single" w:sz="4" w:space="0" w:color="000000"/>
                    <w:right w:val="single" w:sz="4" w:space="0" w:color="000000"/>
                  </w:tcBorders>
                  <w:shd w:val="clear" w:color="auto" w:fill="auto"/>
                </w:tcPr>
                <w:p w14:paraId="7A931913" w14:textId="77777777" w:rsidR="00DC1481" w:rsidRPr="00DC1481" w:rsidRDefault="00DC1481" w:rsidP="00DC1481">
                  <w:pPr>
                    <w:keepNext/>
                    <w:keepLines/>
                    <w:contextualSpacing/>
                    <w:jc w:val="center"/>
                    <w:rPr>
                      <w:rFonts w:ascii="Arial" w:hAnsi="Arial" w:cs="Arial"/>
                      <w:b/>
                      <w:sz w:val="16"/>
                      <w:szCs w:val="16"/>
                      <w:lang w:eastAsia="zh-CN"/>
                    </w:rPr>
                  </w:pPr>
                  <w:r w:rsidRPr="00DC1481">
                    <w:rPr>
                      <w:rFonts w:ascii="Arial" w:hAnsi="Arial" w:cs="Arial"/>
                      <w:b/>
                      <w:sz w:val="16"/>
                      <w:szCs w:val="16"/>
                      <w:lang w:eastAsia="zh-CN"/>
                    </w:rPr>
                    <w:t>TPMI index</w:t>
                  </w:r>
                </w:p>
              </w:tc>
              <w:tc>
                <w:tcPr>
                  <w:tcW w:w="68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835EDF4" w14:textId="0ABCFD74" w:rsidR="00DC1481" w:rsidRPr="00DC1481" w:rsidRDefault="00DC1481" w:rsidP="00DC1481">
                  <w:pPr>
                    <w:keepNext/>
                    <w:keepLines/>
                    <w:contextualSpacing/>
                    <w:jc w:val="center"/>
                    <w:rPr>
                      <w:rFonts w:ascii="Arial" w:hAnsi="Arial" w:cs="Arial"/>
                      <w:b/>
                      <w:sz w:val="16"/>
                      <w:szCs w:val="16"/>
                      <w:lang w:eastAsia="zh-CN"/>
                    </w:rPr>
                  </w:pPr>
                  <w:r w:rsidRPr="00DC1481">
                    <w:rPr>
                      <w:rFonts w:ascii="Arial" w:hAnsi="Arial" w:cs="Arial"/>
                      <w:b/>
                      <w:color w:val="FF0000"/>
                      <w:sz w:val="16"/>
                      <w:szCs w:val="16"/>
                      <w:lang w:eastAsia="zh-CN"/>
                    </w:rPr>
                    <w:t>Intermediate precoder matrix</w:t>
                  </w:r>
                  <w:r w:rsidRPr="00DC1481">
                    <w:rPr>
                      <w:rFonts w:ascii="Arial" w:hAnsi="Arial" w:cs="Arial"/>
                      <w:color w:val="FF0000"/>
                      <w:sz w:val="16"/>
                      <w:szCs w:val="16"/>
                      <w:lang w:eastAsia="zh-CN"/>
                    </w:rPr>
                    <w:t xml:space="preserve"> </w:t>
                  </w:r>
                  <m:oMath>
                    <m:r>
                      <m:rPr>
                        <m:sty m:val="bi"/>
                      </m:rPr>
                      <w:rPr>
                        <w:rFonts w:ascii="Cambria Math" w:hAnsi="Cambria Math" w:cs="Arial"/>
                        <w:color w:val="FF0000"/>
                        <w:sz w:val="16"/>
                        <w:szCs w:val="16"/>
                        <w:lang w:eastAsia="zh-CN"/>
                      </w:rPr>
                      <m:t>W</m:t>
                    </m:r>
                    <m:r>
                      <m:rPr>
                        <m:sty m:val="b"/>
                      </m:rPr>
                      <w:rPr>
                        <w:rFonts w:ascii="Cambria Math" w:hAnsi="Cambria Math" w:cs="Arial"/>
                        <w:color w:val="FF0000"/>
                        <w:sz w:val="16"/>
                        <w:szCs w:val="16"/>
                        <w:lang w:eastAsia="zh-CN"/>
                      </w:rPr>
                      <m:t>'</m:t>
                    </m:r>
                    <m:r>
                      <m:rPr>
                        <m:sty m:val="bi"/>
                      </m:rPr>
                      <w:rPr>
                        <w:rFonts w:ascii="Cambria Math" w:hAnsi="Cambria Math" w:cs="Arial"/>
                        <w:strike/>
                        <w:sz w:val="16"/>
                        <w:szCs w:val="16"/>
                        <w:lang w:eastAsia="zh-CN"/>
                      </w:rPr>
                      <m:t>W</m:t>
                    </m:r>
                  </m:oMath>
                  <w:r w:rsidRPr="00DC1481">
                    <w:rPr>
                      <w:rFonts w:ascii="Arial" w:hAnsi="Arial" w:cs="Arial"/>
                      <w:sz w:val="16"/>
                      <w:szCs w:val="16"/>
                      <w:lang w:eastAsia="zh-CN"/>
                    </w:rPr>
                    <w:br/>
                  </w:r>
                  <w:r w:rsidRPr="00DC1481">
                    <w:rPr>
                      <w:rFonts w:ascii="Arial" w:hAnsi="Arial" w:cs="Arial"/>
                      <w:b/>
                      <w:sz w:val="16"/>
                      <w:szCs w:val="16"/>
                      <w:lang w:eastAsia="zh-CN"/>
                    </w:rPr>
                    <w:t>(ordered from left to right in increasing order of TPMI index)</w:t>
                  </w:r>
                </w:p>
              </w:tc>
            </w:tr>
          </w:tbl>
          <w:p w14:paraId="59917B3C" w14:textId="77777777" w:rsidR="00DC1481" w:rsidRPr="00DC1481" w:rsidRDefault="00DC1481" w:rsidP="00DC1481">
            <w:pPr>
              <w:keepNext/>
              <w:keepLines/>
              <w:overflowPunct w:val="0"/>
              <w:autoSpaceDE w:val="0"/>
              <w:autoSpaceDN w:val="0"/>
              <w:adjustRightInd w:val="0"/>
              <w:ind w:left="800"/>
              <w:contextualSpacing/>
              <w:jc w:val="center"/>
              <w:textAlignment w:val="baseline"/>
              <w:rPr>
                <w:rFonts w:ascii="Arial" w:eastAsia="Times New Roman" w:hAnsi="Arial" w:cs="Arial"/>
                <w:bCs/>
                <w:color w:val="FF0000"/>
                <w:sz w:val="16"/>
                <w:szCs w:val="16"/>
                <w:lang w:eastAsia="en-GB"/>
              </w:rPr>
            </w:pPr>
          </w:p>
          <w:p w14:paraId="3D31A37C" w14:textId="77777777" w:rsidR="00DC1481" w:rsidRPr="00DC1481" w:rsidRDefault="00DC1481" w:rsidP="00DC1481">
            <w:pPr>
              <w:keepNext/>
              <w:keepLines/>
              <w:overflowPunct w:val="0"/>
              <w:autoSpaceDE w:val="0"/>
              <w:autoSpaceDN w:val="0"/>
              <w:adjustRightInd w:val="0"/>
              <w:ind w:left="800"/>
              <w:contextualSpacing/>
              <w:jc w:val="center"/>
              <w:textAlignment w:val="baseline"/>
              <w:rPr>
                <w:rFonts w:ascii="Arial" w:eastAsia="Times New Roman" w:hAnsi="Arial" w:cs="Arial"/>
                <w:bCs/>
                <w:color w:val="FF0000"/>
                <w:sz w:val="16"/>
                <w:szCs w:val="16"/>
                <w:lang w:eastAsia="en-GB"/>
              </w:rPr>
            </w:pPr>
            <w:r w:rsidRPr="00DC1481">
              <w:rPr>
                <w:rFonts w:ascii="Arial" w:eastAsia="Times New Roman" w:hAnsi="Arial" w:cs="Arial"/>
                <w:bCs/>
                <w:color w:val="FF0000"/>
                <w:sz w:val="16"/>
                <w:szCs w:val="16"/>
                <w:lang w:eastAsia="en-GB"/>
              </w:rPr>
              <w:t>-------------------------------------------Unchanged parts are omitted-------------------------------------------</w:t>
            </w:r>
          </w:p>
          <w:p w14:paraId="34599B19" w14:textId="77777777" w:rsidR="00DC1481" w:rsidRPr="00DC1481" w:rsidRDefault="00DC1481" w:rsidP="00DC1481">
            <w:pPr>
              <w:contextualSpacing/>
              <w:rPr>
                <w:rFonts w:ascii="Arial" w:eastAsia="Times New Roman" w:hAnsi="Arial" w:cs="Arial"/>
                <w:sz w:val="16"/>
                <w:szCs w:val="16"/>
              </w:rPr>
            </w:pPr>
          </w:p>
          <w:p w14:paraId="6C9FD9C2" w14:textId="524B0C89" w:rsidR="00DC1481" w:rsidRPr="00DC1481" w:rsidRDefault="00DC1481" w:rsidP="00DC1481">
            <w:pPr>
              <w:keepNext/>
              <w:keepLines/>
              <w:overflowPunct w:val="0"/>
              <w:autoSpaceDE w:val="0"/>
              <w:autoSpaceDN w:val="0"/>
              <w:adjustRightInd w:val="0"/>
              <w:ind w:left="800"/>
              <w:contextualSpacing/>
              <w:jc w:val="center"/>
              <w:textAlignment w:val="baseline"/>
              <w:rPr>
                <w:rFonts w:ascii="Arial" w:eastAsia="Calibri" w:hAnsi="Arial" w:cs="Arial"/>
                <w:b/>
                <w:sz w:val="16"/>
                <w:szCs w:val="16"/>
                <w:lang w:eastAsia="en-GB"/>
              </w:rPr>
            </w:pPr>
            <w:r w:rsidRPr="00DC1481">
              <w:rPr>
                <w:rFonts w:ascii="Arial" w:eastAsia="Times New Roman" w:hAnsi="Arial" w:cs="Arial"/>
                <w:b/>
                <w:sz w:val="16"/>
                <w:szCs w:val="16"/>
                <w:lang w:eastAsia="en-GB"/>
              </w:rPr>
              <w:t xml:space="preserve">Table 6.3.1.5-19: </w:t>
            </w:r>
            <w:r w:rsidRPr="00DC1481">
              <w:rPr>
                <w:rFonts w:ascii="Arial" w:eastAsia="Times New Roman" w:hAnsi="Arial" w:cs="Arial"/>
                <w:b/>
                <w:color w:val="FF0000"/>
                <w:sz w:val="16"/>
                <w:szCs w:val="16"/>
                <w:lang w:eastAsia="en-GB"/>
              </w:rPr>
              <w:t xml:space="preserve">Intermediate precoding matrix </w:t>
            </w:r>
            <m:oMath>
              <m:r>
                <m:rPr>
                  <m:sty m:val="bi"/>
                </m:rPr>
                <w:rPr>
                  <w:rFonts w:ascii="Cambria Math" w:hAnsi="Cambria Math" w:cs="Arial"/>
                  <w:color w:val="FF0000"/>
                  <w:sz w:val="16"/>
                  <w:szCs w:val="16"/>
                </w:rPr>
                <m:t>W</m:t>
              </m:r>
              <m:r>
                <m:rPr>
                  <m:sty m:val="p"/>
                </m:rPr>
                <w:rPr>
                  <w:rFonts w:ascii="Cambria Math" w:hAnsi="Cambria Math" w:cs="Arial"/>
                  <w:color w:val="FF0000"/>
                  <w:sz w:val="16"/>
                  <w:szCs w:val="16"/>
                </w:rPr>
                <m:t>'</m:t>
              </m:r>
            </m:oMath>
            <w:r w:rsidRPr="00DC1481">
              <w:rPr>
                <w:rFonts w:ascii="Arial" w:eastAsia="Times New Roman" w:hAnsi="Arial" w:cs="Arial"/>
                <w:b/>
                <w:strike/>
                <w:sz w:val="16"/>
                <w:szCs w:val="16"/>
                <w:lang w:eastAsia="en-GB"/>
              </w:rPr>
              <w:t xml:space="preserve">Precoding matrix </w:t>
            </w:r>
            <m:oMath>
              <m:r>
                <m:rPr>
                  <m:sty m:val="bi"/>
                </m:rPr>
                <w:rPr>
                  <w:rFonts w:ascii="Cambria Math" w:hAnsi="Cambria Math" w:cs="Arial"/>
                  <w:strike/>
                  <w:sz w:val="16"/>
                  <w:szCs w:val="16"/>
                </w:rPr>
                <m:t>W</m:t>
              </m:r>
            </m:oMath>
            <w:r w:rsidRPr="00DC1481">
              <w:rPr>
                <w:rFonts w:ascii="Arial" w:eastAsia="Times New Roman" w:hAnsi="Arial" w:cs="Arial"/>
                <w:b/>
                <w:sz w:val="16"/>
                <w:szCs w:val="16"/>
                <w:lang w:eastAsia="en-GB"/>
              </w:rPr>
              <w:t xml:space="preserve"> for </w:t>
            </w:r>
            <w:r w:rsidRPr="00DC1481">
              <w:rPr>
                <w:rFonts w:ascii="Arial" w:eastAsia="Times New Roman" w:hAnsi="Arial" w:cs="Arial"/>
                <w:b/>
                <w:i/>
                <w:iCs/>
                <w:sz w:val="16"/>
                <w:szCs w:val="16"/>
                <w:lang w:eastAsia="en-GB"/>
              </w:rPr>
              <w:t>codebook1=ng1n2n2</w:t>
            </w:r>
            <w:r w:rsidRPr="00DC1481">
              <w:rPr>
                <w:rFonts w:ascii="Arial" w:eastAsia="Times New Roman" w:hAnsi="Arial" w:cs="Arial"/>
                <w:b/>
                <w:sz w:val="16"/>
                <w:szCs w:val="16"/>
                <w:lang w:eastAsia="en-GB"/>
              </w:rPr>
              <w:t xml:space="preserve"> and three-layer transmission using eight antenna ports with transform precoding disabled.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55"/>
              <w:gridCol w:w="6892"/>
            </w:tblGrid>
            <w:tr w:rsidR="00DC1481" w:rsidRPr="00DC1481" w14:paraId="42380385" w14:textId="77777777" w:rsidTr="00124274">
              <w:trPr>
                <w:jc w:val="center"/>
              </w:trPr>
              <w:tc>
                <w:tcPr>
                  <w:tcW w:w="1355" w:type="dxa"/>
                  <w:tcBorders>
                    <w:top w:val="single" w:sz="4" w:space="0" w:color="auto"/>
                    <w:left w:val="single" w:sz="4" w:space="0" w:color="auto"/>
                    <w:bottom w:val="single" w:sz="4" w:space="0" w:color="auto"/>
                    <w:right w:val="single" w:sz="4" w:space="0" w:color="auto"/>
                  </w:tcBorders>
                </w:tcPr>
                <w:p w14:paraId="4B71D2D9" w14:textId="77777777" w:rsidR="00DC1481" w:rsidRPr="00DC1481" w:rsidRDefault="00DC1481" w:rsidP="00DC1481">
                  <w:pPr>
                    <w:keepNext/>
                    <w:keepLines/>
                    <w:contextualSpacing/>
                    <w:jc w:val="center"/>
                    <w:rPr>
                      <w:rFonts w:ascii="Arial" w:hAnsi="Arial" w:cs="Arial"/>
                      <w:b/>
                      <w:sz w:val="16"/>
                      <w:szCs w:val="16"/>
                      <w:lang w:eastAsia="zh-CN"/>
                    </w:rPr>
                  </w:pPr>
                  <w:r w:rsidRPr="00DC1481">
                    <w:rPr>
                      <w:rFonts w:ascii="Arial" w:hAnsi="Arial" w:cs="Arial"/>
                      <w:b/>
                      <w:sz w:val="16"/>
                      <w:szCs w:val="16"/>
                      <w:lang w:eastAsia="zh-CN"/>
                    </w:rPr>
                    <w:t>TPMI index</w:t>
                  </w:r>
                </w:p>
              </w:tc>
              <w:tc>
                <w:tcPr>
                  <w:tcW w:w="6892" w:type="dxa"/>
                  <w:tcBorders>
                    <w:top w:val="single" w:sz="4" w:space="0" w:color="auto"/>
                    <w:left w:val="single" w:sz="4" w:space="0" w:color="auto"/>
                    <w:bottom w:val="single" w:sz="4" w:space="0" w:color="auto"/>
                    <w:right w:val="single" w:sz="4" w:space="0" w:color="auto"/>
                  </w:tcBorders>
                  <w:vAlign w:val="center"/>
                </w:tcPr>
                <w:p w14:paraId="68B2B3E8" w14:textId="2DBCA892" w:rsidR="00DC1481" w:rsidRPr="00DC1481" w:rsidRDefault="00DC1481" w:rsidP="00DC1481">
                  <w:pPr>
                    <w:keepNext/>
                    <w:keepLines/>
                    <w:contextualSpacing/>
                    <w:jc w:val="center"/>
                    <w:rPr>
                      <w:rFonts w:ascii="Arial" w:hAnsi="Arial" w:cs="Arial"/>
                      <w:b/>
                      <w:sz w:val="16"/>
                      <w:szCs w:val="16"/>
                      <w:lang w:eastAsia="zh-CN"/>
                    </w:rPr>
                  </w:pPr>
                  <w:r w:rsidRPr="00DC1481">
                    <w:rPr>
                      <w:rFonts w:ascii="Arial" w:hAnsi="Arial" w:cs="Arial"/>
                      <w:b/>
                      <w:color w:val="FF0000"/>
                      <w:sz w:val="16"/>
                      <w:szCs w:val="16"/>
                      <w:lang w:eastAsia="zh-CN"/>
                    </w:rPr>
                    <w:t>Intermediate precoder matrix</w:t>
                  </w:r>
                  <w:r w:rsidRPr="00DC1481">
                    <w:rPr>
                      <w:rFonts w:ascii="Arial" w:hAnsi="Arial" w:cs="Arial"/>
                      <w:color w:val="FF0000"/>
                      <w:sz w:val="16"/>
                      <w:szCs w:val="16"/>
                      <w:lang w:eastAsia="zh-CN"/>
                    </w:rPr>
                    <w:t xml:space="preserve"> </w:t>
                  </w:r>
                  <m:oMath>
                    <m:r>
                      <m:rPr>
                        <m:sty m:val="bi"/>
                      </m:rPr>
                      <w:rPr>
                        <w:rFonts w:ascii="Cambria Math" w:hAnsi="Cambria Math" w:cs="Arial"/>
                        <w:color w:val="FF0000"/>
                        <w:sz w:val="16"/>
                        <w:szCs w:val="16"/>
                        <w:lang w:eastAsia="zh-CN"/>
                      </w:rPr>
                      <m:t>W</m:t>
                    </m:r>
                    <m:r>
                      <m:rPr>
                        <m:sty m:val="b"/>
                      </m:rPr>
                      <w:rPr>
                        <w:rFonts w:ascii="Cambria Math" w:hAnsi="Cambria Math" w:cs="Arial"/>
                        <w:color w:val="FF0000"/>
                        <w:sz w:val="16"/>
                        <w:szCs w:val="16"/>
                        <w:lang w:eastAsia="zh-CN"/>
                      </w:rPr>
                      <m:t>'</m:t>
                    </m:r>
                    <m:r>
                      <m:rPr>
                        <m:sty m:val="bi"/>
                      </m:rPr>
                      <w:rPr>
                        <w:rFonts w:ascii="Cambria Math" w:hAnsi="Cambria Math" w:cs="Arial"/>
                        <w:strike/>
                        <w:sz w:val="16"/>
                        <w:szCs w:val="16"/>
                        <w:lang w:eastAsia="zh-CN"/>
                      </w:rPr>
                      <m:t>W</m:t>
                    </m:r>
                  </m:oMath>
                  <w:r w:rsidRPr="00DC1481">
                    <w:rPr>
                      <w:rFonts w:ascii="Arial" w:hAnsi="Arial" w:cs="Arial"/>
                      <w:b/>
                      <w:sz w:val="16"/>
                      <w:szCs w:val="16"/>
                      <w:lang w:eastAsia="zh-CN"/>
                    </w:rPr>
                    <w:t xml:space="preserve"> </w:t>
                  </w:r>
                </w:p>
                <w:p w14:paraId="2AACCCC2" w14:textId="77777777" w:rsidR="00DC1481" w:rsidRPr="00DC1481" w:rsidRDefault="00DC1481" w:rsidP="00DC1481">
                  <w:pPr>
                    <w:keepNext/>
                    <w:keepLines/>
                    <w:contextualSpacing/>
                    <w:jc w:val="center"/>
                    <w:rPr>
                      <w:rFonts w:ascii="Arial" w:hAnsi="Arial" w:cs="Arial"/>
                      <w:b/>
                      <w:sz w:val="16"/>
                      <w:szCs w:val="16"/>
                      <w:lang w:eastAsia="zh-CN"/>
                    </w:rPr>
                  </w:pPr>
                  <w:r w:rsidRPr="00DC1481">
                    <w:rPr>
                      <w:rFonts w:ascii="Arial" w:hAnsi="Arial" w:cs="Arial"/>
                      <w:b/>
                      <w:sz w:val="16"/>
                      <w:szCs w:val="16"/>
                      <w:lang w:eastAsia="zh-CN"/>
                    </w:rPr>
                    <w:lastRenderedPageBreak/>
                    <w:t>(ordered from left to right in increasing order of TPMI index)</w:t>
                  </w:r>
                </w:p>
              </w:tc>
            </w:tr>
          </w:tbl>
          <w:p w14:paraId="79EBE55F" w14:textId="77777777" w:rsidR="00DC1481" w:rsidRPr="00DC1481" w:rsidRDefault="00DC1481" w:rsidP="00DC1481">
            <w:pPr>
              <w:keepNext/>
              <w:keepLines/>
              <w:overflowPunct w:val="0"/>
              <w:autoSpaceDE w:val="0"/>
              <w:autoSpaceDN w:val="0"/>
              <w:adjustRightInd w:val="0"/>
              <w:ind w:left="800"/>
              <w:contextualSpacing/>
              <w:jc w:val="center"/>
              <w:textAlignment w:val="baseline"/>
              <w:rPr>
                <w:rFonts w:ascii="Arial" w:eastAsia="Times New Roman" w:hAnsi="Arial" w:cs="Arial"/>
                <w:bCs/>
                <w:color w:val="FF0000"/>
                <w:sz w:val="16"/>
                <w:szCs w:val="16"/>
                <w:lang w:eastAsia="en-GB"/>
              </w:rPr>
            </w:pPr>
          </w:p>
          <w:p w14:paraId="69CB6878" w14:textId="77777777" w:rsidR="00DC1481" w:rsidRPr="00DC1481" w:rsidRDefault="00DC1481" w:rsidP="00DC1481">
            <w:pPr>
              <w:keepNext/>
              <w:keepLines/>
              <w:overflowPunct w:val="0"/>
              <w:autoSpaceDE w:val="0"/>
              <w:autoSpaceDN w:val="0"/>
              <w:adjustRightInd w:val="0"/>
              <w:ind w:left="800"/>
              <w:contextualSpacing/>
              <w:jc w:val="center"/>
              <w:textAlignment w:val="baseline"/>
              <w:rPr>
                <w:rFonts w:ascii="Arial" w:eastAsia="Times New Roman" w:hAnsi="Arial" w:cs="Arial"/>
                <w:bCs/>
                <w:color w:val="FF0000"/>
                <w:sz w:val="16"/>
                <w:szCs w:val="16"/>
                <w:lang w:eastAsia="en-GB"/>
              </w:rPr>
            </w:pPr>
            <w:r w:rsidRPr="00DC1481">
              <w:rPr>
                <w:rFonts w:ascii="Arial" w:eastAsia="Times New Roman" w:hAnsi="Arial" w:cs="Arial"/>
                <w:bCs/>
                <w:color w:val="FF0000"/>
                <w:sz w:val="16"/>
                <w:szCs w:val="16"/>
                <w:lang w:eastAsia="en-GB"/>
              </w:rPr>
              <w:t>-------------------------------------------Unchanged parts are omitted-------------------------------------------</w:t>
            </w:r>
          </w:p>
          <w:p w14:paraId="3B73A048" w14:textId="77777777" w:rsidR="00DC1481" w:rsidRPr="00DC1481" w:rsidRDefault="00DC1481" w:rsidP="00DC1481">
            <w:pPr>
              <w:contextualSpacing/>
              <w:rPr>
                <w:rFonts w:ascii="Arial" w:eastAsia="Times New Roman" w:hAnsi="Arial" w:cs="Arial"/>
                <w:sz w:val="16"/>
                <w:szCs w:val="16"/>
              </w:rPr>
            </w:pPr>
          </w:p>
          <w:p w14:paraId="5DD8B815" w14:textId="3A2C4A89" w:rsidR="00DC1481" w:rsidRPr="00DC1481" w:rsidRDefault="00DC1481" w:rsidP="00DC1481">
            <w:pPr>
              <w:keepNext/>
              <w:keepLines/>
              <w:overflowPunct w:val="0"/>
              <w:autoSpaceDE w:val="0"/>
              <w:autoSpaceDN w:val="0"/>
              <w:adjustRightInd w:val="0"/>
              <w:ind w:left="800"/>
              <w:contextualSpacing/>
              <w:jc w:val="center"/>
              <w:textAlignment w:val="baseline"/>
              <w:rPr>
                <w:rFonts w:ascii="Arial" w:eastAsia="Calibri" w:hAnsi="Arial" w:cs="Arial"/>
                <w:b/>
                <w:sz w:val="16"/>
                <w:szCs w:val="16"/>
                <w:lang w:eastAsia="en-GB"/>
              </w:rPr>
            </w:pPr>
            <w:r w:rsidRPr="00DC1481">
              <w:rPr>
                <w:rFonts w:ascii="Arial" w:eastAsia="Times New Roman" w:hAnsi="Arial" w:cs="Arial"/>
                <w:b/>
                <w:sz w:val="16"/>
                <w:szCs w:val="16"/>
                <w:lang w:eastAsia="en-GB"/>
              </w:rPr>
              <w:t xml:space="preserve">Table 6.3.1.5-20: </w:t>
            </w:r>
            <w:r w:rsidRPr="00DC1481">
              <w:rPr>
                <w:rFonts w:ascii="Arial" w:eastAsia="Times New Roman" w:hAnsi="Arial" w:cs="Arial"/>
                <w:b/>
                <w:color w:val="FF0000"/>
                <w:sz w:val="16"/>
                <w:szCs w:val="16"/>
                <w:lang w:eastAsia="en-GB"/>
              </w:rPr>
              <w:t xml:space="preserve">Intermediate precoding matrix </w:t>
            </w:r>
            <m:oMath>
              <m:r>
                <m:rPr>
                  <m:sty m:val="bi"/>
                </m:rPr>
                <w:rPr>
                  <w:rFonts w:ascii="Cambria Math" w:hAnsi="Cambria Math" w:cs="Arial"/>
                  <w:color w:val="FF0000"/>
                  <w:sz w:val="16"/>
                  <w:szCs w:val="16"/>
                </w:rPr>
                <m:t>W</m:t>
              </m:r>
              <m:r>
                <m:rPr>
                  <m:sty m:val="p"/>
                </m:rPr>
                <w:rPr>
                  <w:rFonts w:ascii="Cambria Math" w:hAnsi="Cambria Math" w:cs="Arial"/>
                  <w:color w:val="FF0000"/>
                  <w:sz w:val="16"/>
                  <w:szCs w:val="16"/>
                </w:rPr>
                <m:t>'</m:t>
              </m:r>
            </m:oMath>
            <w:r w:rsidRPr="00DC1481">
              <w:rPr>
                <w:rFonts w:ascii="Arial" w:eastAsia="Times New Roman" w:hAnsi="Arial" w:cs="Arial"/>
                <w:b/>
                <w:strike/>
                <w:sz w:val="16"/>
                <w:szCs w:val="16"/>
                <w:lang w:eastAsia="en-GB"/>
              </w:rPr>
              <w:t xml:space="preserve">Precoding matrix </w:t>
            </w:r>
            <m:oMath>
              <m:r>
                <m:rPr>
                  <m:sty m:val="bi"/>
                </m:rPr>
                <w:rPr>
                  <w:rFonts w:ascii="Cambria Math" w:hAnsi="Cambria Math" w:cs="Arial"/>
                  <w:strike/>
                  <w:sz w:val="16"/>
                  <w:szCs w:val="16"/>
                </w:rPr>
                <m:t>W</m:t>
              </m:r>
            </m:oMath>
            <w:r w:rsidRPr="00DC1481">
              <w:rPr>
                <w:rFonts w:ascii="Arial" w:eastAsia="Times New Roman" w:hAnsi="Arial" w:cs="Arial"/>
                <w:b/>
                <w:sz w:val="16"/>
                <w:szCs w:val="16"/>
                <w:lang w:eastAsia="en-GB"/>
              </w:rPr>
              <w:t xml:space="preserve"> for</w:t>
            </w:r>
            <w:r w:rsidRPr="00DC1481">
              <w:rPr>
                <w:rFonts w:ascii="Arial" w:eastAsia="Times New Roman" w:hAnsi="Arial" w:cs="Arial"/>
                <w:b/>
                <w:i/>
                <w:iCs/>
                <w:sz w:val="16"/>
                <w:szCs w:val="16"/>
                <w:lang w:eastAsia="en-GB"/>
              </w:rPr>
              <w:t xml:space="preserve"> codebook1=ng1n2n2</w:t>
            </w:r>
            <w:r w:rsidRPr="00DC1481">
              <w:rPr>
                <w:rFonts w:ascii="Arial" w:eastAsia="Times New Roman" w:hAnsi="Arial" w:cs="Arial"/>
                <w:b/>
                <w:sz w:val="16"/>
                <w:szCs w:val="16"/>
                <w:lang w:eastAsia="en-GB"/>
              </w:rPr>
              <w:t xml:space="preserve"> and four-layer transmission using eight antenna ports with transform precoding disabled.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55"/>
              <w:gridCol w:w="6892"/>
            </w:tblGrid>
            <w:tr w:rsidR="00DC1481" w:rsidRPr="00DC1481" w14:paraId="774F7756" w14:textId="77777777" w:rsidTr="00124274">
              <w:trPr>
                <w:jc w:val="center"/>
              </w:trPr>
              <w:tc>
                <w:tcPr>
                  <w:tcW w:w="1355" w:type="dxa"/>
                  <w:tcBorders>
                    <w:top w:val="single" w:sz="4" w:space="0" w:color="auto"/>
                    <w:left w:val="single" w:sz="4" w:space="0" w:color="auto"/>
                    <w:bottom w:val="single" w:sz="4" w:space="0" w:color="auto"/>
                    <w:right w:val="single" w:sz="4" w:space="0" w:color="auto"/>
                  </w:tcBorders>
                </w:tcPr>
                <w:p w14:paraId="5E1AD3DF" w14:textId="77777777" w:rsidR="00DC1481" w:rsidRPr="00DC1481" w:rsidRDefault="00DC1481" w:rsidP="00DC1481">
                  <w:pPr>
                    <w:keepNext/>
                    <w:keepLines/>
                    <w:contextualSpacing/>
                    <w:jc w:val="center"/>
                    <w:rPr>
                      <w:rFonts w:ascii="Arial" w:hAnsi="Arial" w:cs="Arial"/>
                      <w:b/>
                      <w:sz w:val="16"/>
                      <w:szCs w:val="16"/>
                      <w:lang w:eastAsia="zh-CN"/>
                    </w:rPr>
                  </w:pPr>
                  <w:r w:rsidRPr="00DC1481">
                    <w:rPr>
                      <w:rFonts w:ascii="Arial" w:hAnsi="Arial" w:cs="Arial"/>
                      <w:b/>
                      <w:sz w:val="16"/>
                      <w:szCs w:val="16"/>
                      <w:lang w:eastAsia="zh-CN"/>
                    </w:rPr>
                    <w:t>TPMI index</w:t>
                  </w:r>
                </w:p>
              </w:tc>
              <w:tc>
                <w:tcPr>
                  <w:tcW w:w="6892" w:type="dxa"/>
                  <w:tcBorders>
                    <w:top w:val="single" w:sz="4" w:space="0" w:color="auto"/>
                    <w:left w:val="single" w:sz="4" w:space="0" w:color="auto"/>
                    <w:bottom w:val="single" w:sz="4" w:space="0" w:color="auto"/>
                    <w:right w:val="single" w:sz="4" w:space="0" w:color="auto"/>
                  </w:tcBorders>
                  <w:vAlign w:val="center"/>
                </w:tcPr>
                <w:p w14:paraId="463EEE79" w14:textId="4A593EF8" w:rsidR="00DC1481" w:rsidRPr="00DC1481" w:rsidRDefault="00DC1481" w:rsidP="00DC1481">
                  <w:pPr>
                    <w:keepNext/>
                    <w:keepLines/>
                    <w:contextualSpacing/>
                    <w:jc w:val="center"/>
                    <w:rPr>
                      <w:rFonts w:ascii="Arial" w:hAnsi="Arial" w:cs="Arial"/>
                      <w:b/>
                      <w:sz w:val="16"/>
                      <w:szCs w:val="16"/>
                      <w:lang w:eastAsia="zh-CN"/>
                    </w:rPr>
                  </w:pPr>
                  <w:r w:rsidRPr="00DC1481">
                    <w:rPr>
                      <w:rFonts w:ascii="Arial" w:hAnsi="Arial" w:cs="Arial"/>
                      <w:b/>
                      <w:color w:val="FF0000"/>
                      <w:sz w:val="16"/>
                      <w:szCs w:val="16"/>
                      <w:lang w:eastAsia="zh-CN"/>
                    </w:rPr>
                    <w:t>Intermediate precoder matrix</w:t>
                  </w:r>
                  <w:r w:rsidRPr="00DC1481">
                    <w:rPr>
                      <w:rFonts w:ascii="Arial" w:hAnsi="Arial" w:cs="Arial"/>
                      <w:color w:val="FF0000"/>
                      <w:sz w:val="16"/>
                      <w:szCs w:val="16"/>
                      <w:lang w:eastAsia="zh-CN"/>
                    </w:rPr>
                    <w:t xml:space="preserve"> </w:t>
                  </w:r>
                  <m:oMath>
                    <m:r>
                      <m:rPr>
                        <m:sty m:val="bi"/>
                      </m:rPr>
                      <w:rPr>
                        <w:rFonts w:ascii="Cambria Math" w:hAnsi="Cambria Math" w:cs="Arial"/>
                        <w:color w:val="FF0000"/>
                        <w:sz w:val="16"/>
                        <w:szCs w:val="16"/>
                        <w:lang w:eastAsia="zh-CN"/>
                      </w:rPr>
                      <m:t>W</m:t>
                    </m:r>
                    <m:r>
                      <m:rPr>
                        <m:sty m:val="b"/>
                      </m:rPr>
                      <w:rPr>
                        <w:rFonts w:ascii="Cambria Math" w:hAnsi="Cambria Math" w:cs="Arial"/>
                        <w:color w:val="FF0000"/>
                        <w:sz w:val="16"/>
                        <w:szCs w:val="16"/>
                        <w:lang w:eastAsia="zh-CN"/>
                      </w:rPr>
                      <m:t>'</m:t>
                    </m:r>
                    <m:r>
                      <m:rPr>
                        <m:sty m:val="bi"/>
                      </m:rPr>
                      <w:rPr>
                        <w:rFonts w:ascii="Cambria Math" w:hAnsi="Cambria Math" w:cs="Arial"/>
                        <w:strike/>
                        <w:sz w:val="16"/>
                        <w:szCs w:val="16"/>
                        <w:lang w:eastAsia="zh-CN"/>
                      </w:rPr>
                      <m:t>W</m:t>
                    </m:r>
                  </m:oMath>
                  <w:r w:rsidRPr="00DC1481">
                    <w:rPr>
                      <w:rFonts w:ascii="Arial" w:hAnsi="Arial" w:cs="Arial"/>
                      <w:sz w:val="16"/>
                      <w:szCs w:val="16"/>
                      <w:lang w:eastAsia="zh-CN"/>
                    </w:rPr>
                    <w:br/>
                  </w:r>
                  <w:r w:rsidRPr="00DC1481">
                    <w:rPr>
                      <w:rFonts w:ascii="Arial" w:hAnsi="Arial" w:cs="Arial"/>
                      <w:b/>
                      <w:sz w:val="16"/>
                      <w:szCs w:val="16"/>
                      <w:lang w:eastAsia="zh-CN"/>
                    </w:rPr>
                    <w:t>(ordered from left to right in increasing order of TPMI index)</w:t>
                  </w:r>
                </w:p>
              </w:tc>
            </w:tr>
          </w:tbl>
          <w:p w14:paraId="3EA22736" w14:textId="77777777" w:rsidR="00DC1481" w:rsidRPr="00DC1481" w:rsidRDefault="00DC1481" w:rsidP="00DC1481">
            <w:pPr>
              <w:keepNext/>
              <w:keepLines/>
              <w:overflowPunct w:val="0"/>
              <w:autoSpaceDE w:val="0"/>
              <w:autoSpaceDN w:val="0"/>
              <w:adjustRightInd w:val="0"/>
              <w:ind w:left="800"/>
              <w:contextualSpacing/>
              <w:jc w:val="center"/>
              <w:textAlignment w:val="baseline"/>
              <w:rPr>
                <w:rFonts w:ascii="Arial" w:eastAsia="Times New Roman" w:hAnsi="Arial" w:cs="Arial"/>
                <w:bCs/>
                <w:color w:val="FF0000"/>
                <w:sz w:val="16"/>
                <w:szCs w:val="16"/>
                <w:lang w:eastAsia="en-GB"/>
              </w:rPr>
            </w:pPr>
          </w:p>
          <w:p w14:paraId="6DC71DF4" w14:textId="77777777" w:rsidR="00DC1481" w:rsidRPr="00DC1481" w:rsidRDefault="00DC1481" w:rsidP="00DC1481">
            <w:pPr>
              <w:keepNext/>
              <w:keepLines/>
              <w:overflowPunct w:val="0"/>
              <w:autoSpaceDE w:val="0"/>
              <w:autoSpaceDN w:val="0"/>
              <w:adjustRightInd w:val="0"/>
              <w:ind w:left="800"/>
              <w:contextualSpacing/>
              <w:jc w:val="center"/>
              <w:textAlignment w:val="baseline"/>
              <w:rPr>
                <w:rFonts w:ascii="Arial" w:eastAsia="Times New Roman" w:hAnsi="Arial" w:cs="Arial"/>
                <w:bCs/>
                <w:color w:val="FF0000"/>
                <w:sz w:val="16"/>
                <w:szCs w:val="16"/>
                <w:lang w:eastAsia="en-GB"/>
              </w:rPr>
            </w:pPr>
            <w:r w:rsidRPr="00DC1481">
              <w:rPr>
                <w:rFonts w:ascii="Arial" w:eastAsia="Times New Roman" w:hAnsi="Arial" w:cs="Arial"/>
                <w:bCs/>
                <w:color w:val="FF0000"/>
                <w:sz w:val="16"/>
                <w:szCs w:val="16"/>
                <w:lang w:eastAsia="en-GB"/>
              </w:rPr>
              <w:t>-------------------------------------------Unchanged parts are omitted-------------------------------------------</w:t>
            </w:r>
          </w:p>
          <w:p w14:paraId="0AD50398" w14:textId="77777777" w:rsidR="00DC1481" w:rsidRPr="00DC1481" w:rsidRDefault="00DC1481" w:rsidP="00DC1481">
            <w:pPr>
              <w:contextualSpacing/>
              <w:rPr>
                <w:rFonts w:ascii="Arial" w:eastAsia="Times New Roman" w:hAnsi="Arial" w:cs="Arial"/>
                <w:sz w:val="16"/>
                <w:szCs w:val="16"/>
              </w:rPr>
            </w:pPr>
          </w:p>
          <w:p w14:paraId="28F78BB4" w14:textId="21CD708A" w:rsidR="00DC1481" w:rsidRPr="00DC1481" w:rsidRDefault="00DC1481" w:rsidP="00DC1481">
            <w:pPr>
              <w:keepNext/>
              <w:keepLines/>
              <w:overflowPunct w:val="0"/>
              <w:autoSpaceDE w:val="0"/>
              <w:autoSpaceDN w:val="0"/>
              <w:adjustRightInd w:val="0"/>
              <w:ind w:left="800"/>
              <w:contextualSpacing/>
              <w:jc w:val="center"/>
              <w:textAlignment w:val="baseline"/>
              <w:rPr>
                <w:rFonts w:ascii="Arial" w:eastAsia="Calibri" w:hAnsi="Arial" w:cs="Arial"/>
                <w:b/>
                <w:sz w:val="16"/>
                <w:szCs w:val="16"/>
                <w:lang w:eastAsia="en-GB"/>
              </w:rPr>
            </w:pPr>
            <w:r w:rsidRPr="00DC1481">
              <w:rPr>
                <w:rFonts w:ascii="Arial" w:eastAsia="Times New Roman" w:hAnsi="Arial" w:cs="Arial"/>
                <w:b/>
                <w:sz w:val="16"/>
                <w:szCs w:val="16"/>
                <w:lang w:eastAsia="en-GB"/>
              </w:rPr>
              <w:t xml:space="preserve">Table 6.3.1.5-21: </w:t>
            </w:r>
            <w:r w:rsidRPr="00DC1481">
              <w:rPr>
                <w:rFonts w:ascii="Arial" w:eastAsia="Times New Roman" w:hAnsi="Arial" w:cs="Arial"/>
                <w:b/>
                <w:color w:val="FF0000"/>
                <w:sz w:val="16"/>
                <w:szCs w:val="16"/>
                <w:lang w:eastAsia="en-GB"/>
              </w:rPr>
              <w:t xml:space="preserve">Intermediate precoding matrix </w:t>
            </w:r>
            <m:oMath>
              <m:r>
                <m:rPr>
                  <m:sty m:val="bi"/>
                </m:rPr>
                <w:rPr>
                  <w:rFonts w:ascii="Cambria Math" w:hAnsi="Cambria Math" w:cs="Arial"/>
                  <w:color w:val="FF0000"/>
                  <w:sz w:val="16"/>
                  <w:szCs w:val="16"/>
                </w:rPr>
                <m:t>W</m:t>
              </m:r>
              <m:r>
                <m:rPr>
                  <m:sty m:val="p"/>
                </m:rPr>
                <w:rPr>
                  <w:rFonts w:ascii="Cambria Math" w:hAnsi="Cambria Math" w:cs="Arial"/>
                  <w:color w:val="FF0000"/>
                  <w:sz w:val="16"/>
                  <w:szCs w:val="16"/>
                </w:rPr>
                <m:t>'</m:t>
              </m:r>
            </m:oMath>
            <w:r w:rsidRPr="00DC1481">
              <w:rPr>
                <w:rFonts w:ascii="Arial" w:eastAsia="Times New Roman" w:hAnsi="Arial" w:cs="Arial"/>
                <w:b/>
                <w:strike/>
                <w:sz w:val="16"/>
                <w:szCs w:val="16"/>
                <w:lang w:eastAsia="en-GB"/>
              </w:rPr>
              <w:t xml:space="preserve">Precoding matrix </w:t>
            </w:r>
            <m:oMath>
              <m:r>
                <m:rPr>
                  <m:sty m:val="bi"/>
                </m:rPr>
                <w:rPr>
                  <w:rFonts w:ascii="Cambria Math" w:hAnsi="Cambria Math" w:cs="Arial"/>
                  <w:strike/>
                  <w:sz w:val="16"/>
                  <w:szCs w:val="16"/>
                </w:rPr>
                <m:t>W</m:t>
              </m:r>
            </m:oMath>
            <w:r w:rsidRPr="00DC1481">
              <w:rPr>
                <w:rFonts w:ascii="Arial" w:eastAsia="Times New Roman" w:hAnsi="Arial" w:cs="Arial"/>
                <w:b/>
                <w:sz w:val="16"/>
                <w:szCs w:val="16"/>
                <w:lang w:eastAsia="en-GB"/>
              </w:rPr>
              <w:t xml:space="preserve"> for</w:t>
            </w:r>
            <w:r w:rsidRPr="00DC1481">
              <w:rPr>
                <w:rFonts w:ascii="Arial" w:eastAsia="Times New Roman" w:hAnsi="Arial" w:cs="Arial"/>
                <w:b/>
                <w:i/>
                <w:iCs/>
                <w:sz w:val="16"/>
                <w:szCs w:val="16"/>
                <w:lang w:eastAsia="en-GB"/>
              </w:rPr>
              <w:t xml:space="preserve"> codebook1=ng1n2n2</w:t>
            </w:r>
            <w:r w:rsidRPr="00DC1481">
              <w:rPr>
                <w:rFonts w:ascii="Arial" w:eastAsia="Times New Roman" w:hAnsi="Arial" w:cs="Arial"/>
                <w:b/>
                <w:sz w:val="16"/>
                <w:szCs w:val="16"/>
                <w:lang w:eastAsia="en-GB"/>
              </w:rPr>
              <w:t xml:space="preserve"> and five-layer transmission using eight antenna ports with transform precoding disabled. </w:t>
            </w:r>
          </w:p>
          <w:tbl>
            <w:tblPr>
              <w:tblW w:w="0" w:type="auto"/>
              <w:jc w:val="cente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317"/>
              <w:gridCol w:w="5953"/>
            </w:tblGrid>
            <w:tr w:rsidR="00DC1481" w:rsidRPr="00DC1481" w14:paraId="72B313DA" w14:textId="77777777" w:rsidTr="00124274">
              <w:trPr>
                <w:jc w:val="center"/>
              </w:trPr>
              <w:tc>
                <w:tcPr>
                  <w:tcW w:w="1317" w:type="dxa"/>
                  <w:tcBorders>
                    <w:top w:val="single" w:sz="4" w:space="0" w:color="000000"/>
                    <w:left w:val="single" w:sz="4" w:space="0" w:color="000000"/>
                    <w:bottom w:val="single" w:sz="4" w:space="0" w:color="000000"/>
                    <w:right w:val="single" w:sz="4" w:space="0" w:color="000000"/>
                  </w:tcBorders>
                  <w:shd w:val="clear" w:color="auto" w:fill="auto"/>
                </w:tcPr>
                <w:p w14:paraId="3BB735AF" w14:textId="77777777" w:rsidR="00DC1481" w:rsidRPr="00DC1481" w:rsidRDefault="00DC1481" w:rsidP="00DC1481">
                  <w:pPr>
                    <w:keepNext/>
                    <w:keepLines/>
                    <w:contextualSpacing/>
                    <w:jc w:val="center"/>
                    <w:rPr>
                      <w:rFonts w:ascii="Arial" w:hAnsi="Arial" w:cs="Arial"/>
                      <w:b/>
                      <w:sz w:val="16"/>
                      <w:szCs w:val="16"/>
                      <w:lang w:eastAsia="zh-CN"/>
                    </w:rPr>
                  </w:pPr>
                  <w:r w:rsidRPr="00DC1481">
                    <w:rPr>
                      <w:rFonts w:ascii="Arial" w:hAnsi="Arial" w:cs="Arial"/>
                      <w:b/>
                      <w:sz w:val="16"/>
                      <w:szCs w:val="16"/>
                      <w:lang w:eastAsia="zh-CN"/>
                    </w:rPr>
                    <w:t>TPMI index</w:t>
                  </w:r>
                </w:p>
              </w:tc>
              <w:tc>
                <w:tcPr>
                  <w:tcW w:w="595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E934460" w14:textId="2EE72B91" w:rsidR="00DC1481" w:rsidRPr="00DC1481" w:rsidRDefault="00DC1481" w:rsidP="00DC1481">
                  <w:pPr>
                    <w:keepNext/>
                    <w:keepLines/>
                    <w:contextualSpacing/>
                    <w:jc w:val="center"/>
                    <w:rPr>
                      <w:rFonts w:ascii="Arial" w:hAnsi="Arial" w:cs="Arial"/>
                      <w:b/>
                      <w:sz w:val="16"/>
                      <w:szCs w:val="16"/>
                      <w:lang w:eastAsia="zh-CN"/>
                    </w:rPr>
                  </w:pPr>
                  <w:r w:rsidRPr="00DC1481">
                    <w:rPr>
                      <w:rFonts w:ascii="Arial" w:hAnsi="Arial" w:cs="Arial"/>
                      <w:b/>
                      <w:color w:val="FF0000"/>
                      <w:sz w:val="16"/>
                      <w:szCs w:val="16"/>
                      <w:lang w:eastAsia="zh-CN"/>
                    </w:rPr>
                    <w:t>Intermediate precoder matrix</w:t>
                  </w:r>
                  <w:r w:rsidRPr="00DC1481">
                    <w:rPr>
                      <w:rFonts w:ascii="Arial" w:hAnsi="Arial" w:cs="Arial"/>
                      <w:color w:val="FF0000"/>
                      <w:sz w:val="16"/>
                      <w:szCs w:val="16"/>
                      <w:lang w:eastAsia="zh-CN"/>
                    </w:rPr>
                    <w:t xml:space="preserve"> </w:t>
                  </w:r>
                  <m:oMath>
                    <m:r>
                      <m:rPr>
                        <m:sty m:val="bi"/>
                      </m:rPr>
                      <w:rPr>
                        <w:rFonts w:ascii="Cambria Math" w:hAnsi="Cambria Math" w:cs="Arial"/>
                        <w:color w:val="FF0000"/>
                        <w:sz w:val="16"/>
                        <w:szCs w:val="16"/>
                        <w:lang w:eastAsia="zh-CN"/>
                      </w:rPr>
                      <m:t>W</m:t>
                    </m:r>
                    <m:r>
                      <m:rPr>
                        <m:sty m:val="b"/>
                      </m:rPr>
                      <w:rPr>
                        <w:rFonts w:ascii="Cambria Math" w:hAnsi="Cambria Math" w:cs="Arial"/>
                        <w:color w:val="FF0000"/>
                        <w:sz w:val="16"/>
                        <w:szCs w:val="16"/>
                        <w:lang w:eastAsia="zh-CN"/>
                      </w:rPr>
                      <m:t>'</m:t>
                    </m:r>
                    <m:r>
                      <m:rPr>
                        <m:sty m:val="bi"/>
                      </m:rPr>
                      <w:rPr>
                        <w:rFonts w:ascii="Cambria Math" w:hAnsi="Cambria Math" w:cs="Arial"/>
                        <w:strike/>
                        <w:sz w:val="16"/>
                        <w:szCs w:val="16"/>
                        <w:lang w:eastAsia="zh-CN"/>
                      </w:rPr>
                      <m:t>W</m:t>
                    </m:r>
                  </m:oMath>
                  <w:r w:rsidRPr="00DC1481">
                    <w:rPr>
                      <w:rFonts w:ascii="Arial" w:hAnsi="Arial" w:cs="Arial"/>
                      <w:sz w:val="16"/>
                      <w:szCs w:val="16"/>
                      <w:lang w:eastAsia="zh-CN"/>
                    </w:rPr>
                    <w:br/>
                  </w:r>
                  <w:r w:rsidRPr="00DC1481">
                    <w:rPr>
                      <w:rFonts w:ascii="Arial" w:hAnsi="Arial" w:cs="Arial"/>
                      <w:b/>
                      <w:sz w:val="16"/>
                      <w:szCs w:val="16"/>
                      <w:lang w:eastAsia="zh-CN"/>
                    </w:rPr>
                    <w:t>(ordered from left to right in increasing order of TPMI index)</w:t>
                  </w:r>
                </w:p>
              </w:tc>
            </w:tr>
          </w:tbl>
          <w:p w14:paraId="5B0D917F" w14:textId="77777777" w:rsidR="00DC1481" w:rsidRPr="00DC1481" w:rsidRDefault="00DC1481" w:rsidP="00DC1481">
            <w:pPr>
              <w:keepNext/>
              <w:keepLines/>
              <w:overflowPunct w:val="0"/>
              <w:autoSpaceDE w:val="0"/>
              <w:autoSpaceDN w:val="0"/>
              <w:adjustRightInd w:val="0"/>
              <w:ind w:left="800"/>
              <w:contextualSpacing/>
              <w:jc w:val="center"/>
              <w:textAlignment w:val="baseline"/>
              <w:rPr>
                <w:rFonts w:ascii="Arial" w:eastAsia="Times New Roman" w:hAnsi="Arial" w:cs="Arial"/>
                <w:bCs/>
                <w:color w:val="FF0000"/>
                <w:sz w:val="16"/>
                <w:szCs w:val="16"/>
                <w:lang w:eastAsia="en-GB"/>
              </w:rPr>
            </w:pPr>
          </w:p>
          <w:p w14:paraId="3293A65B" w14:textId="77777777" w:rsidR="00DC1481" w:rsidRPr="00DC1481" w:rsidRDefault="00DC1481" w:rsidP="00DC1481">
            <w:pPr>
              <w:keepNext/>
              <w:keepLines/>
              <w:overflowPunct w:val="0"/>
              <w:autoSpaceDE w:val="0"/>
              <w:autoSpaceDN w:val="0"/>
              <w:adjustRightInd w:val="0"/>
              <w:ind w:left="800"/>
              <w:contextualSpacing/>
              <w:jc w:val="center"/>
              <w:textAlignment w:val="baseline"/>
              <w:rPr>
                <w:rFonts w:ascii="Arial" w:eastAsia="Times New Roman" w:hAnsi="Arial" w:cs="Arial"/>
                <w:bCs/>
                <w:color w:val="FF0000"/>
                <w:sz w:val="16"/>
                <w:szCs w:val="16"/>
                <w:lang w:eastAsia="en-GB"/>
              </w:rPr>
            </w:pPr>
            <w:r w:rsidRPr="00DC1481">
              <w:rPr>
                <w:rFonts w:ascii="Arial" w:eastAsia="Times New Roman" w:hAnsi="Arial" w:cs="Arial"/>
                <w:bCs/>
                <w:color w:val="FF0000"/>
                <w:sz w:val="16"/>
                <w:szCs w:val="16"/>
                <w:lang w:eastAsia="en-GB"/>
              </w:rPr>
              <w:t>-------------------------------------------Unchanged parts are omitted-------------------------------------------</w:t>
            </w:r>
          </w:p>
          <w:p w14:paraId="6561B624" w14:textId="77777777" w:rsidR="00DC1481" w:rsidRPr="00DC1481" w:rsidRDefault="00DC1481" w:rsidP="00DC1481">
            <w:pPr>
              <w:contextualSpacing/>
              <w:rPr>
                <w:rFonts w:ascii="Arial" w:eastAsia="Times New Roman" w:hAnsi="Arial" w:cs="Arial"/>
                <w:sz w:val="16"/>
                <w:szCs w:val="16"/>
              </w:rPr>
            </w:pPr>
          </w:p>
          <w:p w14:paraId="70956F0C" w14:textId="4591E5B1" w:rsidR="00DC1481" w:rsidRPr="00DC1481" w:rsidRDefault="00DC1481" w:rsidP="00DC1481">
            <w:pPr>
              <w:keepNext/>
              <w:keepLines/>
              <w:overflowPunct w:val="0"/>
              <w:autoSpaceDE w:val="0"/>
              <w:autoSpaceDN w:val="0"/>
              <w:adjustRightInd w:val="0"/>
              <w:ind w:left="800"/>
              <w:contextualSpacing/>
              <w:jc w:val="center"/>
              <w:textAlignment w:val="baseline"/>
              <w:rPr>
                <w:rFonts w:ascii="Arial" w:eastAsia="Calibri" w:hAnsi="Arial" w:cs="Arial"/>
                <w:b/>
                <w:sz w:val="16"/>
                <w:szCs w:val="16"/>
                <w:lang w:eastAsia="en-GB"/>
              </w:rPr>
            </w:pPr>
            <w:r w:rsidRPr="00DC1481">
              <w:rPr>
                <w:rFonts w:ascii="Arial" w:eastAsia="Times New Roman" w:hAnsi="Arial" w:cs="Arial"/>
                <w:b/>
                <w:sz w:val="16"/>
                <w:szCs w:val="16"/>
                <w:lang w:eastAsia="en-GB"/>
              </w:rPr>
              <w:t xml:space="preserve">Table 6.3.1.5-22: </w:t>
            </w:r>
            <w:r w:rsidRPr="00DC1481">
              <w:rPr>
                <w:rFonts w:ascii="Arial" w:eastAsia="Times New Roman" w:hAnsi="Arial" w:cs="Arial"/>
                <w:b/>
                <w:color w:val="FF0000"/>
                <w:sz w:val="16"/>
                <w:szCs w:val="16"/>
                <w:lang w:eastAsia="en-GB"/>
              </w:rPr>
              <w:t xml:space="preserve">Intermediate precoding matrix </w:t>
            </w:r>
            <m:oMath>
              <m:r>
                <m:rPr>
                  <m:sty m:val="bi"/>
                </m:rPr>
                <w:rPr>
                  <w:rFonts w:ascii="Cambria Math" w:hAnsi="Cambria Math" w:cs="Arial"/>
                  <w:color w:val="FF0000"/>
                  <w:sz w:val="16"/>
                  <w:szCs w:val="16"/>
                </w:rPr>
                <m:t>W</m:t>
              </m:r>
              <m:r>
                <m:rPr>
                  <m:sty m:val="p"/>
                </m:rPr>
                <w:rPr>
                  <w:rFonts w:ascii="Cambria Math" w:hAnsi="Cambria Math" w:cs="Arial"/>
                  <w:color w:val="FF0000"/>
                  <w:sz w:val="16"/>
                  <w:szCs w:val="16"/>
                </w:rPr>
                <m:t>'</m:t>
              </m:r>
            </m:oMath>
            <w:r w:rsidRPr="00DC1481">
              <w:rPr>
                <w:rFonts w:ascii="Arial" w:eastAsia="Times New Roman" w:hAnsi="Arial" w:cs="Arial"/>
                <w:b/>
                <w:strike/>
                <w:sz w:val="16"/>
                <w:szCs w:val="16"/>
                <w:lang w:eastAsia="en-GB"/>
              </w:rPr>
              <w:t xml:space="preserve">Precoding matrix </w:t>
            </w:r>
            <m:oMath>
              <m:r>
                <m:rPr>
                  <m:sty m:val="bi"/>
                </m:rPr>
                <w:rPr>
                  <w:rFonts w:ascii="Cambria Math" w:hAnsi="Cambria Math" w:cs="Arial"/>
                  <w:strike/>
                  <w:sz w:val="16"/>
                  <w:szCs w:val="16"/>
                </w:rPr>
                <m:t>W</m:t>
              </m:r>
            </m:oMath>
            <w:r w:rsidRPr="00DC1481">
              <w:rPr>
                <w:rFonts w:ascii="Arial" w:eastAsia="Times New Roman" w:hAnsi="Arial" w:cs="Arial"/>
                <w:b/>
                <w:sz w:val="16"/>
                <w:szCs w:val="16"/>
                <w:lang w:eastAsia="en-GB"/>
              </w:rPr>
              <w:t xml:space="preserve"> for</w:t>
            </w:r>
            <w:r w:rsidRPr="00DC1481">
              <w:rPr>
                <w:rFonts w:ascii="Arial" w:eastAsia="Times New Roman" w:hAnsi="Arial" w:cs="Arial"/>
                <w:b/>
                <w:i/>
                <w:iCs/>
                <w:sz w:val="16"/>
                <w:szCs w:val="16"/>
                <w:lang w:eastAsia="en-GB"/>
              </w:rPr>
              <w:t xml:space="preserve"> codebook1=ng1n2n2</w:t>
            </w:r>
            <w:r w:rsidRPr="00DC1481">
              <w:rPr>
                <w:rFonts w:ascii="Arial" w:eastAsia="Times New Roman" w:hAnsi="Arial" w:cs="Arial"/>
                <w:b/>
                <w:sz w:val="16"/>
                <w:szCs w:val="16"/>
                <w:lang w:eastAsia="en-GB"/>
              </w:rPr>
              <w:t xml:space="preserve"> and six-layer transmission using eight antenna ports with transform precoding disabled. </w:t>
            </w:r>
          </w:p>
          <w:tbl>
            <w:tblPr>
              <w:tblW w:w="0" w:type="auto"/>
              <w:jc w:val="cente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271"/>
              <w:gridCol w:w="6005"/>
            </w:tblGrid>
            <w:tr w:rsidR="00DC1481" w:rsidRPr="00DC1481" w14:paraId="71847542" w14:textId="77777777" w:rsidTr="00124274">
              <w:trPr>
                <w:jc w:val="center"/>
              </w:trPr>
              <w:tc>
                <w:tcPr>
                  <w:tcW w:w="1271" w:type="dxa"/>
                  <w:tcBorders>
                    <w:top w:val="single" w:sz="4" w:space="0" w:color="000000"/>
                    <w:left w:val="single" w:sz="4" w:space="0" w:color="000000"/>
                    <w:bottom w:val="single" w:sz="4" w:space="0" w:color="000000"/>
                    <w:right w:val="single" w:sz="4" w:space="0" w:color="000000"/>
                  </w:tcBorders>
                  <w:shd w:val="clear" w:color="auto" w:fill="auto"/>
                </w:tcPr>
                <w:p w14:paraId="2FD215BF" w14:textId="77777777" w:rsidR="00DC1481" w:rsidRPr="00DC1481" w:rsidRDefault="00DC1481" w:rsidP="00DC1481">
                  <w:pPr>
                    <w:keepNext/>
                    <w:keepLines/>
                    <w:contextualSpacing/>
                    <w:jc w:val="center"/>
                    <w:rPr>
                      <w:rFonts w:ascii="Arial" w:hAnsi="Arial" w:cs="Arial"/>
                      <w:b/>
                      <w:sz w:val="16"/>
                      <w:szCs w:val="16"/>
                      <w:lang w:eastAsia="zh-CN"/>
                    </w:rPr>
                  </w:pPr>
                  <w:r w:rsidRPr="00DC1481">
                    <w:rPr>
                      <w:rFonts w:ascii="Arial" w:hAnsi="Arial" w:cs="Arial"/>
                      <w:b/>
                      <w:sz w:val="16"/>
                      <w:szCs w:val="16"/>
                      <w:lang w:eastAsia="zh-CN"/>
                    </w:rPr>
                    <w:t>TPMI index</w:t>
                  </w:r>
                </w:p>
              </w:tc>
              <w:tc>
                <w:tcPr>
                  <w:tcW w:w="600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99919ED" w14:textId="196A543E" w:rsidR="00DC1481" w:rsidRPr="00DC1481" w:rsidRDefault="00DC1481" w:rsidP="00DC1481">
                  <w:pPr>
                    <w:keepNext/>
                    <w:keepLines/>
                    <w:contextualSpacing/>
                    <w:jc w:val="center"/>
                    <w:rPr>
                      <w:rFonts w:ascii="Arial" w:hAnsi="Arial" w:cs="Arial"/>
                      <w:b/>
                      <w:sz w:val="16"/>
                      <w:szCs w:val="16"/>
                      <w:lang w:eastAsia="zh-CN"/>
                    </w:rPr>
                  </w:pPr>
                  <w:r w:rsidRPr="00DC1481">
                    <w:rPr>
                      <w:rFonts w:ascii="Arial" w:hAnsi="Arial" w:cs="Arial"/>
                      <w:b/>
                      <w:color w:val="FF0000"/>
                      <w:sz w:val="16"/>
                      <w:szCs w:val="16"/>
                      <w:lang w:eastAsia="zh-CN"/>
                    </w:rPr>
                    <w:t>Intermediate precoder matrix</w:t>
                  </w:r>
                  <w:r w:rsidRPr="00DC1481">
                    <w:rPr>
                      <w:rFonts w:ascii="Arial" w:hAnsi="Arial" w:cs="Arial"/>
                      <w:color w:val="FF0000"/>
                      <w:sz w:val="16"/>
                      <w:szCs w:val="16"/>
                      <w:lang w:eastAsia="zh-CN"/>
                    </w:rPr>
                    <w:t xml:space="preserve"> </w:t>
                  </w:r>
                  <m:oMath>
                    <m:r>
                      <m:rPr>
                        <m:sty m:val="bi"/>
                      </m:rPr>
                      <w:rPr>
                        <w:rFonts w:ascii="Cambria Math" w:hAnsi="Cambria Math" w:cs="Arial"/>
                        <w:color w:val="FF0000"/>
                        <w:sz w:val="16"/>
                        <w:szCs w:val="16"/>
                        <w:lang w:eastAsia="zh-CN"/>
                      </w:rPr>
                      <m:t>W</m:t>
                    </m:r>
                    <m:r>
                      <m:rPr>
                        <m:sty m:val="b"/>
                      </m:rPr>
                      <w:rPr>
                        <w:rFonts w:ascii="Cambria Math" w:hAnsi="Cambria Math" w:cs="Arial"/>
                        <w:color w:val="FF0000"/>
                        <w:sz w:val="16"/>
                        <w:szCs w:val="16"/>
                        <w:lang w:eastAsia="zh-CN"/>
                      </w:rPr>
                      <m:t>'</m:t>
                    </m:r>
                    <m:r>
                      <m:rPr>
                        <m:sty m:val="bi"/>
                      </m:rPr>
                      <w:rPr>
                        <w:rFonts w:ascii="Cambria Math" w:hAnsi="Cambria Math" w:cs="Arial"/>
                        <w:strike/>
                        <w:sz w:val="16"/>
                        <w:szCs w:val="16"/>
                        <w:lang w:eastAsia="zh-CN"/>
                      </w:rPr>
                      <m:t>W</m:t>
                    </m:r>
                  </m:oMath>
                  <w:r w:rsidRPr="00DC1481">
                    <w:rPr>
                      <w:rFonts w:ascii="Arial" w:hAnsi="Arial" w:cs="Arial"/>
                      <w:sz w:val="16"/>
                      <w:szCs w:val="16"/>
                      <w:lang w:eastAsia="zh-CN"/>
                    </w:rPr>
                    <w:br/>
                  </w:r>
                  <w:r w:rsidRPr="00DC1481">
                    <w:rPr>
                      <w:rFonts w:ascii="Arial" w:hAnsi="Arial" w:cs="Arial"/>
                      <w:b/>
                      <w:sz w:val="16"/>
                      <w:szCs w:val="16"/>
                      <w:lang w:eastAsia="zh-CN"/>
                    </w:rPr>
                    <w:t>(ordered from left to right in increasing order of TPMI index)</w:t>
                  </w:r>
                </w:p>
              </w:tc>
            </w:tr>
          </w:tbl>
          <w:p w14:paraId="01934EDB" w14:textId="77777777" w:rsidR="00DC1481" w:rsidRPr="00DC1481" w:rsidRDefault="00DC1481" w:rsidP="00DC1481">
            <w:pPr>
              <w:keepNext/>
              <w:keepLines/>
              <w:overflowPunct w:val="0"/>
              <w:autoSpaceDE w:val="0"/>
              <w:autoSpaceDN w:val="0"/>
              <w:adjustRightInd w:val="0"/>
              <w:ind w:left="800"/>
              <w:contextualSpacing/>
              <w:jc w:val="center"/>
              <w:textAlignment w:val="baseline"/>
              <w:rPr>
                <w:rFonts w:ascii="Arial" w:eastAsia="Times New Roman" w:hAnsi="Arial" w:cs="Arial"/>
                <w:bCs/>
                <w:color w:val="FF0000"/>
                <w:sz w:val="16"/>
                <w:szCs w:val="16"/>
                <w:lang w:eastAsia="en-GB"/>
              </w:rPr>
            </w:pPr>
          </w:p>
          <w:p w14:paraId="0B44CE00" w14:textId="77777777" w:rsidR="00DC1481" w:rsidRPr="00DC1481" w:rsidRDefault="00DC1481" w:rsidP="00DC1481">
            <w:pPr>
              <w:keepNext/>
              <w:keepLines/>
              <w:overflowPunct w:val="0"/>
              <w:autoSpaceDE w:val="0"/>
              <w:autoSpaceDN w:val="0"/>
              <w:adjustRightInd w:val="0"/>
              <w:ind w:left="800"/>
              <w:contextualSpacing/>
              <w:jc w:val="center"/>
              <w:textAlignment w:val="baseline"/>
              <w:rPr>
                <w:rFonts w:ascii="Arial" w:eastAsia="Times New Roman" w:hAnsi="Arial" w:cs="Arial"/>
                <w:bCs/>
                <w:color w:val="FF0000"/>
                <w:sz w:val="16"/>
                <w:szCs w:val="16"/>
                <w:lang w:eastAsia="en-GB"/>
              </w:rPr>
            </w:pPr>
            <w:r w:rsidRPr="00DC1481">
              <w:rPr>
                <w:rFonts w:ascii="Arial" w:eastAsia="Times New Roman" w:hAnsi="Arial" w:cs="Arial"/>
                <w:bCs/>
                <w:color w:val="FF0000"/>
                <w:sz w:val="16"/>
                <w:szCs w:val="16"/>
                <w:lang w:eastAsia="en-GB"/>
              </w:rPr>
              <w:t>-------------------------------------------Unchanged parts are omitted-------------------------------------------</w:t>
            </w:r>
          </w:p>
          <w:p w14:paraId="699F9071" w14:textId="77777777" w:rsidR="00DC1481" w:rsidRPr="00DC1481" w:rsidRDefault="00DC1481" w:rsidP="00DC1481">
            <w:pPr>
              <w:contextualSpacing/>
              <w:rPr>
                <w:rFonts w:ascii="Arial" w:eastAsia="Times New Roman" w:hAnsi="Arial" w:cs="Arial"/>
                <w:sz w:val="16"/>
                <w:szCs w:val="16"/>
              </w:rPr>
            </w:pPr>
          </w:p>
          <w:p w14:paraId="29753E78" w14:textId="0DD732AC" w:rsidR="00DC1481" w:rsidRPr="00DC1481" w:rsidRDefault="00DC1481" w:rsidP="00DC1481">
            <w:pPr>
              <w:keepNext/>
              <w:keepLines/>
              <w:overflowPunct w:val="0"/>
              <w:autoSpaceDE w:val="0"/>
              <w:autoSpaceDN w:val="0"/>
              <w:adjustRightInd w:val="0"/>
              <w:ind w:left="800"/>
              <w:contextualSpacing/>
              <w:jc w:val="center"/>
              <w:textAlignment w:val="baseline"/>
              <w:rPr>
                <w:rFonts w:ascii="Arial" w:eastAsia="Calibri" w:hAnsi="Arial" w:cs="Arial"/>
                <w:b/>
                <w:sz w:val="16"/>
                <w:szCs w:val="16"/>
                <w:lang w:eastAsia="en-GB"/>
              </w:rPr>
            </w:pPr>
            <w:r w:rsidRPr="00DC1481">
              <w:rPr>
                <w:rFonts w:ascii="Arial" w:eastAsia="Times New Roman" w:hAnsi="Arial" w:cs="Arial"/>
                <w:b/>
                <w:sz w:val="16"/>
                <w:szCs w:val="16"/>
                <w:lang w:eastAsia="en-GB"/>
              </w:rPr>
              <w:t xml:space="preserve">Table 6.3.1.5-23: </w:t>
            </w:r>
            <w:r w:rsidRPr="00DC1481">
              <w:rPr>
                <w:rFonts w:ascii="Arial" w:eastAsia="Times New Roman" w:hAnsi="Arial" w:cs="Arial"/>
                <w:b/>
                <w:color w:val="FF0000"/>
                <w:sz w:val="16"/>
                <w:szCs w:val="16"/>
                <w:lang w:eastAsia="en-GB"/>
              </w:rPr>
              <w:t xml:space="preserve">Intermediate precoding matrix </w:t>
            </w:r>
            <m:oMath>
              <m:r>
                <m:rPr>
                  <m:sty m:val="bi"/>
                </m:rPr>
                <w:rPr>
                  <w:rFonts w:ascii="Cambria Math" w:hAnsi="Cambria Math" w:cs="Arial"/>
                  <w:color w:val="FF0000"/>
                  <w:sz w:val="16"/>
                  <w:szCs w:val="16"/>
                </w:rPr>
                <m:t>W</m:t>
              </m:r>
              <m:r>
                <m:rPr>
                  <m:sty m:val="p"/>
                </m:rPr>
                <w:rPr>
                  <w:rFonts w:ascii="Cambria Math" w:hAnsi="Cambria Math" w:cs="Arial"/>
                  <w:color w:val="FF0000"/>
                  <w:sz w:val="16"/>
                  <w:szCs w:val="16"/>
                </w:rPr>
                <m:t>'</m:t>
              </m:r>
            </m:oMath>
            <w:r w:rsidRPr="00DC1481">
              <w:rPr>
                <w:rFonts w:ascii="Arial" w:eastAsia="Times New Roman" w:hAnsi="Arial" w:cs="Arial"/>
                <w:b/>
                <w:strike/>
                <w:sz w:val="16"/>
                <w:szCs w:val="16"/>
                <w:lang w:eastAsia="en-GB"/>
              </w:rPr>
              <w:t xml:space="preserve">Precoding matrix </w:t>
            </w:r>
            <m:oMath>
              <m:r>
                <m:rPr>
                  <m:sty m:val="bi"/>
                </m:rPr>
                <w:rPr>
                  <w:rFonts w:ascii="Cambria Math" w:hAnsi="Cambria Math" w:cs="Arial"/>
                  <w:strike/>
                  <w:sz w:val="16"/>
                  <w:szCs w:val="16"/>
                </w:rPr>
                <m:t>W</m:t>
              </m:r>
            </m:oMath>
            <w:r w:rsidRPr="00DC1481">
              <w:rPr>
                <w:rFonts w:ascii="Arial" w:eastAsia="Times New Roman" w:hAnsi="Arial" w:cs="Arial"/>
                <w:b/>
                <w:sz w:val="16"/>
                <w:szCs w:val="16"/>
                <w:lang w:eastAsia="en-GB"/>
              </w:rPr>
              <w:t xml:space="preserve"> for</w:t>
            </w:r>
            <w:r w:rsidRPr="00DC1481">
              <w:rPr>
                <w:rFonts w:ascii="Arial" w:eastAsia="Times New Roman" w:hAnsi="Arial" w:cs="Arial"/>
                <w:b/>
                <w:i/>
                <w:iCs/>
                <w:sz w:val="16"/>
                <w:szCs w:val="16"/>
                <w:lang w:eastAsia="en-GB"/>
              </w:rPr>
              <w:t xml:space="preserve"> codebook1=ng1n2n2</w:t>
            </w:r>
            <w:r w:rsidRPr="00DC1481">
              <w:rPr>
                <w:rFonts w:ascii="Arial" w:eastAsia="Times New Roman" w:hAnsi="Arial" w:cs="Arial"/>
                <w:b/>
                <w:sz w:val="16"/>
                <w:szCs w:val="16"/>
                <w:lang w:eastAsia="en-GB"/>
              </w:rPr>
              <w:t xml:space="preserve"> and seven-layer transmission using eight antenna ports with transform precoding disabled. </w:t>
            </w:r>
          </w:p>
          <w:tbl>
            <w:tblPr>
              <w:tblW w:w="0" w:type="auto"/>
              <w:jc w:val="cente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481"/>
              <w:gridCol w:w="6117"/>
            </w:tblGrid>
            <w:tr w:rsidR="00DC1481" w:rsidRPr="00DC1481" w14:paraId="41F72AB0" w14:textId="77777777" w:rsidTr="00124274">
              <w:trPr>
                <w:jc w:val="center"/>
              </w:trPr>
              <w:tc>
                <w:tcPr>
                  <w:tcW w:w="1481" w:type="dxa"/>
                  <w:tcBorders>
                    <w:top w:val="single" w:sz="4" w:space="0" w:color="000000"/>
                    <w:left w:val="single" w:sz="4" w:space="0" w:color="000000"/>
                    <w:bottom w:val="single" w:sz="4" w:space="0" w:color="000000"/>
                    <w:right w:val="single" w:sz="4" w:space="0" w:color="000000"/>
                  </w:tcBorders>
                  <w:shd w:val="clear" w:color="auto" w:fill="auto"/>
                </w:tcPr>
                <w:p w14:paraId="11EA43AF" w14:textId="77777777" w:rsidR="00DC1481" w:rsidRPr="00DC1481" w:rsidRDefault="00DC1481" w:rsidP="00DC1481">
                  <w:pPr>
                    <w:keepNext/>
                    <w:keepLines/>
                    <w:contextualSpacing/>
                    <w:jc w:val="center"/>
                    <w:rPr>
                      <w:rFonts w:ascii="Arial" w:hAnsi="Arial" w:cs="Arial"/>
                      <w:b/>
                      <w:sz w:val="16"/>
                      <w:szCs w:val="16"/>
                      <w:lang w:eastAsia="zh-CN"/>
                    </w:rPr>
                  </w:pPr>
                  <w:r w:rsidRPr="00DC1481">
                    <w:rPr>
                      <w:rFonts w:ascii="Arial" w:hAnsi="Arial" w:cs="Arial"/>
                      <w:b/>
                      <w:sz w:val="16"/>
                      <w:szCs w:val="16"/>
                      <w:lang w:eastAsia="zh-CN"/>
                    </w:rPr>
                    <w:t>TPMI index</w:t>
                  </w:r>
                </w:p>
              </w:tc>
              <w:tc>
                <w:tcPr>
                  <w:tcW w:w="611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3334BFE" w14:textId="070A54BA" w:rsidR="00DC1481" w:rsidRPr="00DC1481" w:rsidRDefault="00DC1481" w:rsidP="00DC1481">
                  <w:pPr>
                    <w:keepNext/>
                    <w:keepLines/>
                    <w:contextualSpacing/>
                    <w:jc w:val="center"/>
                    <w:rPr>
                      <w:rFonts w:ascii="Arial" w:hAnsi="Arial" w:cs="Arial"/>
                      <w:b/>
                      <w:sz w:val="16"/>
                      <w:szCs w:val="16"/>
                      <w:lang w:eastAsia="zh-CN"/>
                    </w:rPr>
                  </w:pPr>
                  <w:r w:rsidRPr="00DC1481">
                    <w:rPr>
                      <w:rFonts w:ascii="Arial" w:hAnsi="Arial" w:cs="Arial"/>
                      <w:b/>
                      <w:color w:val="FF0000"/>
                      <w:sz w:val="16"/>
                      <w:szCs w:val="16"/>
                      <w:lang w:eastAsia="zh-CN"/>
                    </w:rPr>
                    <w:t>Intermediate precoder matrix</w:t>
                  </w:r>
                  <w:r w:rsidRPr="00DC1481">
                    <w:rPr>
                      <w:rFonts w:ascii="Arial" w:hAnsi="Arial" w:cs="Arial"/>
                      <w:color w:val="FF0000"/>
                      <w:sz w:val="16"/>
                      <w:szCs w:val="16"/>
                      <w:lang w:eastAsia="zh-CN"/>
                    </w:rPr>
                    <w:t xml:space="preserve"> </w:t>
                  </w:r>
                  <m:oMath>
                    <m:r>
                      <m:rPr>
                        <m:sty m:val="bi"/>
                      </m:rPr>
                      <w:rPr>
                        <w:rFonts w:ascii="Cambria Math" w:hAnsi="Cambria Math" w:cs="Arial"/>
                        <w:color w:val="FF0000"/>
                        <w:sz w:val="16"/>
                        <w:szCs w:val="16"/>
                        <w:lang w:eastAsia="zh-CN"/>
                      </w:rPr>
                      <m:t>W</m:t>
                    </m:r>
                    <m:r>
                      <m:rPr>
                        <m:sty m:val="b"/>
                      </m:rPr>
                      <w:rPr>
                        <w:rFonts w:ascii="Cambria Math" w:hAnsi="Cambria Math" w:cs="Arial"/>
                        <w:color w:val="FF0000"/>
                        <w:sz w:val="16"/>
                        <w:szCs w:val="16"/>
                        <w:lang w:eastAsia="zh-CN"/>
                      </w:rPr>
                      <m:t>'</m:t>
                    </m:r>
                    <m:r>
                      <m:rPr>
                        <m:sty m:val="bi"/>
                      </m:rPr>
                      <w:rPr>
                        <w:rFonts w:ascii="Cambria Math" w:hAnsi="Cambria Math" w:cs="Arial"/>
                        <w:strike/>
                        <w:sz w:val="16"/>
                        <w:szCs w:val="16"/>
                        <w:lang w:eastAsia="zh-CN"/>
                      </w:rPr>
                      <m:t>W</m:t>
                    </m:r>
                  </m:oMath>
                  <w:r w:rsidRPr="00DC1481">
                    <w:rPr>
                      <w:rFonts w:ascii="Arial" w:hAnsi="Arial" w:cs="Arial"/>
                      <w:sz w:val="16"/>
                      <w:szCs w:val="16"/>
                      <w:lang w:eastAsia="zh-CN"/>
                    </w:rPr>
                    <w:br/>
                  </w:r>
                  <w:r w:rsidRPr="00DC1481">
                    <w:rPr>
                      <w:rFonts w:ascii="Arial" w:hAnsi="Arial" w:cs="Arial"/>
                      <w:b/>
                      <w:sz w:val="16"/>
                      <w:szCs w:val="16"/>
                      <w:lang w:eastAsia="zh-CN"/>
                    </w:rPr>
                    <w:t>(ordered from left to right in increasing order of TPMI index)</w:t>
                  </w:r>
                </w:p>
              </w:tc>
            </w:tr>
          </w:tbl>
          <w:p w14:paraId="422D6C7E" w14:textId="77777777" w:rsidR="00DC1481" w:rsidRPr="00DC1481" w:rsidRDefault="00DC1481" w:rsidP="00DC1481">
            <w:pPr>
              <w:keepNext/>
              <w:keepLines/>
              <w:overflowPunct w:val="0"/>
              <w:autoSpaceDE w:val="0"/>
              <w:autoSpaceDN w:val="0"/>
              <w:adjustRightInd w:val="0"/>
              <w:ind w:left="800"/>
              <w:contextualSpacing/>
              <w:jc w:val="center"/>
              <w:textAlignment w:val="baseline"/>
              <w:rPr>
                <w:rFonts w:ascii="Arial" w:eastAsia="Times New Roman" w:hAnsi="Arial" w:cs="Arial"/>
                <w:bCs/>
                <w:color w:val="FF0000"/>
                <w:sz w:val="16"/>
                <w:szCs w:val="16"/>
                <w:lang w:eastAsia="en-GB"/>
              </w:rPr>
            </w:pPr>
          </w:p>
          <w:p w14:paraId="63A7ED58" w14:textId="77777777" w:rsidR="00DC1481" w:rsidRPr="00DC1481" w:rsidRDefault="00DC1481" w:rsidP="00DC1481">
            <w:pPr>
              <w:keepNext/>
              <w:keepLines/>
              <w:overflowPunct w:val="0"/>
              <w:autoSpaceDE w:val="0"/>
              <w:autoSpaceDN w:val="0"/>
              <w:adjustRightInd w:val="0"/>
              <w:ind w:left="800"/>
              <w:contextualSpacing/>
              <w:jc w:val="center"/>
              <w:textAlignment w:val="baseline"/>
              <w:rPr>
                <w:rFonts w:ascii="Arial" w:eastAsia="Times New Roman" w:hAnsi="Arial" w:cs="Arial"/>
                <w:bCs/>
                <w:color w:val="FF0000"/>
                <w:sz w:val="16"/>
                <w:szCs w:val="16"/>
                <w:lang w:eastAsia="en-GB"/>
              </w:rPr>
            </w:pPr>
            <w:r w:rsidRPr="00DC1481">
              <w:rPr>
                <w:rFonts w:ascii="Arial" w:eastAsia="Times New Roman" w:hAnsi="Arial" w:cs="Arial"/>
                <w:bCs/>
                <w:color w:val="FF0000"/>
                <w:sz w:val="16"/>
                <w:szCs w:val="16"/>
                <w:lang w:eastAsia="en-GB"/>
              </w:rPr>
              <w:t>-------------------------------------------Unchanged parts are omitted-------------------------------------------</w:t>
            </w:r>
          </w:p>
          <w:p w14:paraId="3C49456D" w14:textId="77777777" w:rsidR="00DC1481" w:rsidRPr="00DC1481" w:rsidRDefault="00DC1481" w:rsidP="00DC1481">
            <w:pPr>
              <w:contextualSpacing/>
              <w:rPr>
                <w:rFonts w:ascii="Arial" w:eastAsia="Times New Roman" w:hAnsi="Arial" w:cs="Arial"/>
                <w:sz w:val="16"/>
                <w:szCs w:val="16"/>
              </w:rPr>
            </w:pPr>
          </w:p>
          <w:p w14:paraId="61F9351F" w14:textId="1C920A50" w:rsidR="00DC1481" w:rsidRPr="00DC1481" w:rsidRDefault="00DC1481" w:rsidP="00DC1481">
            <w:pPr>
              <w:keepNext/>
              <w:keepLines/>
              <w:overflowPunct w:val="0"/>
              <w:autoSpaceDE w:val="0"/>
              <w:autoSpaceDN w:val="0"/>
              <w:adjustRightInd w:val="0"/>
              <w:ind w:left="800"/>
              <w:contextualSpacing/>
              <w:jc w:val="center"/>
              <w:textAlignment w:val="baseline"/>
              <w:rPr>
                <w:rFonts w:ascii="Arial" w:eastAsia="Calibri" w:hAnsi="Arial" w:cs="Arial"/>
                <w:b/>
                <w:sz w:val="16"/>
                <w:szCs w:val="16"/>
                <w:lang w:eastAsia="en-GB"/>
              </w:rPr>
            </w:pPr>
            <w:r w:rsidRPr="00DC1481">
              <w:rPr>
                <w:rFonts w:ascii="Arial" w:eastAsia="Times New Roman" w:hAnsi="Arial" w:cs="Arial"/>
                <w:b/>
                <w:sz w:val="16"/>
                <w:szCs w:val="16"/>
                <w:lang w:eastAsia="en-GB"/>
              </w:rPr>
              <w:t xml:space="preserve">Table 6.3.1.5-24: </w:t>
            </w:r>
            <w:r w:rsidRPr="00DC1481">
              <w:rPr>
                <w:rFonts w:ascii="Arial" w:eastAsia="Times New Roman" w:hAnsi="Arial" w:cs="Arial"/>
                <w:b/>
                <w:color w:val="FF0000"/>
                <w:sz w:val="16"/>
                <w:szCs w:val="16"/>
                <w:lang w:eastAsia="en-GB"/>
              </w:rPr>
              <w:t xml:space="preserve">Intermediate precoding matrix </w:t>
            </w:r>
            <m:oMath>
              <m:r>
                <m:rPr>
                  <m:sty m:val="bi"/>
                </m:rPr>
                <w:rPr>
                  <w:rFonts w:ascii="Cambria Math" w:hAnsi="Cambria Math" w:cs="Arial"/>
                  <w:color w:val="FF0000"/>
                  <w:sz w:val="16"/>
                  <w:szCs w:val="16"/>
                </w:rPr>
                <m:t>W</m:t>
              </m:r>
              <m:r>
                <m:rPr>
                  <m:sty m:val="p"/>
                </m:rPr>
                <w:rPr>
                  <w:rFonts w:ascii="Cambria Math" w:hAnsi="Cambria Math" w:cs="Arial"/>
                  <w:color w:val="FF0000"/>
                  <w:sz w:val="16"/>
                  <w:szCs w:val="16"/>
                </w:rPr>
                <m:t>'</m:t>
              </m:r>
            </m:oMath>
            <w:r w:rsidRPr="00DC1481">
              <w:rPr>
                <w:rFonts w:ascii="Arial" w:eastAsia="Times New Roman" w:hAnsi="Arial" w:cs="Arial"/>
                <w:b/>
                <w:strike/>
                <w:sz w:val="16"/>
                <w:szCs w:val="16"/>
                <w:lang w:eastAsia="en-GB"/>
              </w:rPr>
              <w:t xml:space="preserve">Precoding matrix </w:t>
            </w:r>
            <m:oMath>
              <m:r>
                <m:rPr>
                  <m:sty m:val="bi"/>
                </m:rPr>
                <w:rPr>
                  <w:rFonts w:ascii="Cambria Math" w:hAnsi="Cambria Math" w:cs="Arial"/>
                  <w:strike/>
                  <w:sz w:val="16"/>
                  <w:szCs w:val="16"/>
                </w:rPr>
                <m:t>W</m:t>
              </m:r>
            </m:oMath>
            <w:r w:rsidRPr="00DC1481">
              <w:rPr>
                <w:rFonts w:ascii="Arial" w:eastAsia="Times New Roman" w:hAnsi="Arial" w:cs="Arial"/>
                <w:b/>
                <w:sz w:val="16"/>
                <w:szCs w:val="16"/>
                <w:lang w:eastAsia="en-GB"/>
              </w:rPr>
              <w:t xml:space="preserve"> for</w:t>
            </w:r>
            <w:r w:rsidRPr="00DC1481">
              <w:rPr>
                <w:rFonts w:ascii="Arial" w:eastAsia="Times New Roman" w:hAnsi="Arial" w:cs="Arial"/>
                <w:b/>
                <w:i/>
                <w:iCs/>
                <w:sz w:val="16"/>
                <w:szCs w:val="16"/>
                <w:lang w:eastAsia="en-GB"/>
              </w:rPr>
              <w:t xml:space="preserve"> codebook1=ng1n2n2</w:t>
            </w:r>
            <w:r w:rsidRPr="00DC1481">
              <w:rPr>
                <w:rFonts w:ascii="Arial" w:eastAsia="Times New Roman" w:hAnsi="Arial" w:cs="Arial"/>
                <w:b/>
                <w:sz w:val="16"/>
                <w:szCs w:val="16"/>
                <w:lang w:eastAsia="en-GB"/>
              </w:rPr>
              <w:t xml:space="preserve"> and eight-layer transmission using eight antenna ports with transform precoding disabled. </w:t>
            </w:r>
          </w:p>
          <w:tbl>
            <w:tblPr>
              <w:tblW w:w="0" w:type="auto"/>
              <w:jc w:val="cente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481"/>
              <w:gridCol w:w="6117"/>
            </w:tblGrid>
            <w:tr w:rsidR="00DC1481" w:rsidRPr="00DC1481" w14:paraId="64AFAF2B" w14:textId="77777777" w:rsidTr="00124274">
              <w:trPr>
                <w:jc w:val="center"/>
              </w:trPr>
              <w:tc>
                <w:tcPr>
                  <w:tcW w:w="1481" w:type="dxa"/>
                  <w:tcBorders>
                    <w:top w:val="single" w:sz="4" w:space="0" w:color="000000"/>
                    <w:left w:val="single" w:sz="4" w:space="0" w:color="000000"/>
                    <w:bottom w:val="single" w:sz="4" w:space="0" w:color="000000"/>
                    <w:right w:val="single" w:sz="4" w:space="0" w:color="000000"/>
                  </w:tcBorders>
                  <w:shd w:val="clear" w:color="auto" w:fill="auto"/>
                </w:tcPr>
                <w:p w14:paraId="3077CDE4" w14:textId="77777777" w:rsidR="00DC1481" w:rsidRPr="00DC1481" w:rsidRDefault="00DC1481" w:rsidP="00DC1481">
                  <w:pPr>
                    <w:keepNext/>
                    <w:keepLines/>
                    <w:contextualSpacing/>
                    <w:jc w:val="center"/>
                    <w:rPr>
                      <w:rFonts w:ascii="Arial" w:hAnsi="Arial" w:cs="Arial"/>
                      <w:b/>
                      <w:sz w:val="16"/>
                      <w:szCs w:val="16"/>
                      <w:lang w:eastAsia="zh-CN"/>
                    </w:rPr>
                  </w:pPr>
                  <w:r w:rsidRPr="00DC1481">
                    <w:rPr>
                      <w:rFonts w:ascii="Arial" w:hAnsi="Arial" w:cs="Arial"/>
                      <w:b/>
                      <w:sz w:val="16"/>
                      <w:szCs w:val="16"/>
                      <w:lang w:eastAsia="zh-CN"/>
                    </w:rPr>
                    <w:t>TPMI index</w:t>
                  </w:r>
                </w:p>
              </w:tc>
              <w:tc>
                <w:tcPr>
                  <w:tcW w:w="611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F225F51" w14:textId="57DB8AE6" w:rsidR="00DC1481" w:rsidRPr="00DC1481" w:rsidRDefault="00DC1481" w:rsidP="00DC1481">
                  <w:pPr>
                    <w:keepNext/>
                    <w:keepLines/>
                    <w:contextualSpacing/>
                    <w:jc w:val="center"/>
                    <w:rPr>
                      <w:rFonts w:ascii="Arial" w:hAnsi="Arial" w:cs="Arial"/>
                      <w:b/>
                      <w:sz w:val="16"/>
                      <w:szCs w:val="16"/>
                      <w:lang w:eastAsia="zh-CN"/>
                    </w:rPr>
                  </w:pPr>
                  <w:r w:rsidRPr="00DC1481">
                    <w:rPr>
                      <w:rFonts w:ascii="Arial" w:hAnsi="Arial" w:cs="Arial"/>
                      <w:b/>
                      <w:color w:val="FF0000"/>
                      <w:sz w:val="16"/>
                      <w:szCs w:val="16"/>
                      <w:lang w:eastAsia="zh-CN"/>
                    </w:rPr>
                    <w:t>Intermediate precoder matrix</w:t>
                  </w:r>
                  <w:r w:rsidRPr="00DC1481">
                    <w:rPr>
                      <w:rFonts w:ascii="Arial" w:hAnsi="Arial" w:cs="Arial"/>
                      <w:color w:val="FF0000"/>
                      <w:sz w:val="16"/>
                      <w:szCs w:val="16"/>
                      <w:lang w:eastAsia="zh-CN"/>
                    </w:rPr>
                    <w:t xml:space="preserve"> </w:t>
                  </w:r>
                  <m:oMath>
                    <m:r>
                      <m:rPr>
                        <m:sty m:val="bi"/>
                      </m:rPr>
                      <w:rPr>
                        <w:rFonts w:ascii="Cambria Math" w:hAnsi="Cambria Math" w:cs="Arial"/>
                        <w:color w:val="FF0000"/>
                        <w:sz w:val="16"/>
                        <w:szCs w:val="16"/>
                        <w:lang w:eastAsia="zh-CN"/>
                      </w:rPr>
                      <m:t>W</m:t>
                    </m:r>
                    <m:r>
                      <m:rPr>
                        <m:sty m:val="b"/>
                      </m:rPr>
                      <w:rPr>
                        <w:rFonts w:ascii="Cambria Math" w:hAnsi="Cambria Math" w:cs="Arial"/>
                        <w:color w:val="FF0000"/>
                        <w:sz w:val="16"/>
                        <w:szCs w:val="16"/>
                        <w:lang w:eastAsia="zh-CN"/>
                      </w:rPr>
                      <m:t>'</m:t>
                    </m:r>
                    <m:r>
                      <m:rPr>
                        <m:sty m:val="bi"/>
                      </m:rPr>
                      <w:rPr>
                        <w:rFonts w:ascii="Cambria Math" w:hAnsi="Cambria Math" w:cs="Arial"/>
                        <w:strike/>
                        <w:sz w:val="16"/>
                        <w:szCs w:val="16"/>
                        <w:lang w:eastAsia="zh-CN"/>
                      </w:rPr>
                      <m:t>W</m:t>
                    </m:r>
                  </m:oMath>
                  <w:r w:rsidRPr="00DC1481">
                    <w:rPr>
                      <w:rFonts w:ascii="Arial" w:hAnsi="Arial" w:cs="Arial"/>
                      <w:sz w:val="16"/>
                      <w:szCs w:val="16"/>
                      <w:lang w:eastAsia="zh-CN"/>
                    </w:rPr>
                    <w:br/>
                  </w:r>
                  <w:r w:rsidRPr="00DC1481">
                    <w:rPr>
                      <w:rFonts w:ascii="Arial" w:hAnsi="Arial" w:cs="Arial"/>
                      <w:b/>
                      <w:sz w:val="16"/>
                      <w:szCs w:val="16"/>
                      <w:lang w:eastAsia="zh-CN"/>
                    </w:rPr>
                    <w:t>(ordered from left to right in increasing order of TPMI index)</w:t>
                  </w:r>
                </w:p>
              </w:tc>
            </w:tr>
          </w:tbl>
          <w:p w14:paraId="42DFF17E" w14:textId="77777777" w:rsidR="00DC1481" w:rsidRPr="00DC1481" w:rsidRDefault="00DC1481" w:rsidP="00DC1481">
            <w:pPr>
              <w:keepNext/>
              <w:keepLines/>
              <w:overflowPunct w:val="0"/>
              <w:autoSpaceDE w:val="0"/>
              <w:autoSpaceDN w:val="0"/>
              <w:adjustRightInd w:val="0"/>
              <w:ind w:left="800"/>
              <w:contextualSpacing/>
              <w:jc w:val="center"/>
              <w:textAlignment w:val="baseline"/>
              <w:rPr>
                <w:rFonts w:ascii="Arial" w:eastAsia="Times New Roman" w:hAnsi="Arial" w:cs="Arial"/>
                <w:bCs/>
                <w:color w:val="FF0000"/>
                <w:sz w:val="16"/>
                <w:szCs w:val="16"/>
                <w:lang w:eastAsia="en-GB"/>
              </w:rPr>
            </w:pPr>
          </w:p>
          <w:p w14:paraId="244045B1" w14:textId="77777777" w:rsidR="00DC1481" w:rsidRPr="00DC1481" w:rsidRDefault="00DC1481" w:rsidP="00DC1481">
            <w:pPr>
              <w:keepNext/>
              <w:keepLines/>
              <w:overflowPunct w:val="0"/>
              <w:autoSpaceDE w:val="0"/>
              <w:autoSpaceDN w:val="0"/>
              <w:adjustRightInd w:val="0"/>
              <w:ind w:left="800"/>
              <w:contextualSpacing/>
              <w:jc w:val="center"/>
              <w:textAlignment w:val="baseline"/>
              <w:rPr>
                <w:rFonts w:ascii="Arial" w:eastAsia="Times New Roman" w:hAnsi="Arial" w:cs="Arial"/>
                <w:bCs/>
                <w:color w:val="FF0000"/>
                <w:sz w:val="16"/>
                <w:szCs w:val="16"/>
                <w:lang w:eastAsia="en-GB"/>
              </w:rPr>
            </w:pPr>
            <w:r w:rsidRPr="00DC1481">
              <w:rPr>
                <w:rFonts w:ascii="Arial" w:eastAsia="Times New Roman" w:hAnsi="Arial" w:cs="Arial"/>
                <w:bCs/>
                <w:color w:val="FF0000"/>
                <w:sz w:val="16"/>
                <w:szCs w:val="16"/>
                <w:lang w:eastAsia="en-GB"/>
              </w:rPr>
              <w:t>-------------------------------------------Unchanged parts are omitted-------------------------------------------</w:t>
            </w:r>
          </w:p>
          <w:p w14:paraId="50BE65C0" w14:textId="77777777" w:rsidR="00DC1481" w:rsidRPr="00DC1481" w:rsidRDefault="00DC1481" w:rsidP="00DC1481">
            <w:pPr>
              <w:keepNext/>
              <w:keepLines/>
              <w:overflowPunct w:val="0"/>
              <w:autoSpaceDE w:val="0"/>
              <w:autoSpaceDN w:val="0"/>
              <w:adjustRightInd w:val="0"/>
              <w:ind w:left="800"/>
              <w:contextualSpacing/>
              <w:jc w:val="center"/>
              <w:textAlignment w:val="baseline"/>
              <w:rPr>
                <w:rFonts w:ascii="Arial" w:eastAsia="Times New Roman" w:hAnsi="Arial" w:cs="Arial"/>
                <w:b/>
                <w:sz w:val="16"/>
                <w:szCs w:val="16"/>
                <w:lang w:eastAsia="zh-CN"/>
              </w:rPr>
            </w:pPr>
          </w:p>
          <w:p w14:paraId="33525769" w14:textId="3F1EEA05" w:rsidR="00DC1481" w:rsidRPr="00DC1481" w:rsidRDefault="00DC1481" w:rsidP="00DC1481">
            <w:pPr>
              <w:keepNext/>
              <w:keepLines/>
              <w:overflowPunct w:val="0"/>
              <w:autoSpaceDE w:val="0"/>
              <w:autoSpaceDN w:val="0"/>
              <w:adjustRightInd w:val="0"/>
              <w:ind w:left="800"/>
              <w:contextualSpacing/>
              <w:jc w:val="center"/>
              <w:textAlignment w:val="baseline"/>
              <w:rPr>
                <w:rFonts w:ascii="Arial" w:eastAsia="Calibri" w:hAnsi="Arial" w:cs="Arial"/>
                <w:b/>
                <w:sz w:val="16"/>
                <w:szCs w:val="16"/>
                <w:lang w:eastAsia="en-GB"/>
              </w:rPr>
            </w:pPr>
            <w:r w:rsidRPr="00DC1481">
              <w:rPr>
                <w:rFonts w:ascii="Arial" w:eastAsia="Times New Roman" w:hAnsi="Arial" w:cs="Arial"/>
                <w:b/>
                <w:sz w:val="16"/>
                <w:szCs w:val="16"/>
                <w:lang w:eastAsia="en-GB"/>
              </w:rPr>
              <w:t xml:space="preserve">Table 6.3.1.5-47: </w:t>
            </w:r>
            <w:r w:rsidRPr="00DC1481">
              <w:rPr>
                <w:rFonts w:ascii="Arial" w:eastAsia="Times New Roman" w:hAnsi="Arial" w:cs="Arial"/>
                <w:b/>
                <w:color w:val="FF0000"/>
                <w:sz w:val="16"/>
                <w:szCs w:val="16"/>
                <w:lang w:eastAsia="en-GB"/>
              </w:rPr>
              <w:t xml:space="preserve">Intermediate precoding matrix </w:t>
            </w:r>
            <m:oMath>
              <m:r>
                <m:rPr>
                  <m:sty m:val="bi"/>
                </m:rPr>
                <w:rPr>
                  <w:rFonts w:ascii="Cambria Math" w:hAnsi="Cambria Math" w:cs="Arial"/>
                  <w:color w:val="FF0000"/>
                  <w:sz w:val="16"/>
                  <w:szCs w:val="16"/>
                </w:rPr>
                <m:t>W</m:t>
              </m:r>
              <m:r>
                <m:rPr>
                  <m:sty m:val="p"/>
                </m:rPr>
                <w:rPr>
                  <w:rFonts w:ascii="Cambria Math" w:hAnsi="Cambria Math" w:cs="Arial"/>
                  <w:color w:val="FF0000"/>
                  <w:sz w:val="16"/>
                  <w:szCs w:val="16"/>
                </w:rPr>
                <m:t>'</m:t>
              </m:r>
            </m:oMath>
            <w:r w:rsidRPr="00DC1481">
              <w:rPr>
                <w:rFonts w:ascii="Arial" w:eastAsia="Times New Roman" w:hAnsi="Arial" w:cs="Arial"/>
                <w:b/>
                <w:strike/>
                <w:sz w:val="16"/>
                <w:szCs w:val="16"/>
                <w:lang w:eastAsia="en-GB"/>
              </w:rPr>
              <w:t xml:space="preserve">Precoding matrix </w:t>
            </w:r>
            <m:oMath>
              <m:r>
                <m:rPr>
                  <m:sty m:val="bi"/>
                </m:rPr>
                <w:rPr>
                  <w:rFonts w:ascii="Cambria Math" w:hAnsi="Cambria Math" w:cs="Arial"/>
                  <w:strike/>
                  <w:sz w:val="16"/>
                  <w:szCs w:val="16"/>
                </w:rPr>
                <m:t>W</m:t>
              </m:r>
            </m:oMath>
            <w:r w:rsidRPr="00DC1481">
              <w:rPr>
                <w:rFonts w:ascii="Arial" w:eastAsia="Times New Roman" w:hAnsi="Arial" w:cs="Arial"/>
                <w:b/>
                <w:sz w:val="16"/>
                <w:szCs w:val="16"/>
                <w:lang w:eastAsia="en-GB"/>
              </w:rPr>
              <w:t xml:space="preserve"> for </w:t>
            </w:r>
            <w:r w:rsidRPr="00DC1481">
              <w:rPr>
                <w:rFonts w:ascii="Arial" w:eastAsia="Times New Roman" w:hAnsi="Arial" w:cs="Arial"/>
                <w:b/>
                <w:i/>
                <w:iCs/>
                <w:sz w:val="16"/>
                <w:szCs w:val="16"/>
                <w:lang w:eastAsia="en-GB"/>
              </w:rPr>
              <w:t>codebook4</w:t>
            </w:r>
            <w:r w:rsidRPr="00DC1481">
              <w:rPr>
                <w:rFonts w:ascii="Arial" w:eastAsia="Times New Roman" w:hAnsi="Arial" w:cs="Arial"/>
                <w:b/>
                <w:sz w:val="16"/>
                <w:szCs w:val="16"/>
                <w:lang w:eastAsia="en-GB"/>
              </w:rPr>
              <w:t xml:space="preserve"> and transmission using eight antenna ports. Up to 8 layers are supported with transform precoding disabled and up to one layer with transform precoding enabled.</w:t>
            </w:r>
          </w:p>
          <w:tbl>
            <w:tblPr>
              <w:tblW w:w="0" w:type="auto"/>
              <w:jc w:val="cente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338"/>
              <w:gridCol w:w="6909"/>
            </w:tblGrid>
            <w:tr w:rsidR="00DC1481" w:rsidRPr="00DC1481" w14:paraId="52544900" w14:textId="77777777" w:rsidTr="00124274">
              <w:trPr>
                <w:jc w:val="center"/>
              </w:trPr>
              <w:tc>
                <w:tcPr>
                  <w:tcW w:w="1338" w:type="dxa"/>
                  <w:tcBorders>
                    <w:top w:val="single" w:sz="4" w:space="0" w:color="000000"/>
                    <w:left w:val="single" w:sz="4" w:space="0" w:color="000000"/>
                    <w:bottom w:val="single" w:sz="4" w:space="0" w:color="000000"/>
                    <w:right w:val="single" w:sz="4" w:space="0" w:color="000000"/>
                  </w:tcBorders>
                  <w:shd w:val="clear" w:color="auto" w:fill="auto"/>
                </w:tcPr>
                <w:p w14:paraId="78F016C1" w14:textId="77777777" w:rsidR="00DC1481" w:rsidRPr="00DC1481" w:rsidRDefault="00DC1481" w:rsidP="00DC1481">
                  <w:pPr>
                    <w:keepNext/>
                    <w:keepLines/>
                    <w:contextualSpacing/>
                    <w:jc w:val="center"/>
                    <w:rPr>
                      <w:rFonts w:ascii="Arial" w:hAnsi="Arial" w:cs="Arial"/>
                      <w:b/>
                      <w:sz w:val="16"/>
                      <w:szCs w:val="16"/>
                      <w:lang w:eastAsia="zh-CN"/>
                    </w:rPr>
                  </w:pPr>
                  <w:r w:rsidRPr="00DC1481">
                    <w:rPr>
                      <w:rFonts w:ascii="Arial" w:hAnsi="Arial" w:cs="Arial"/>
                      <w:b/>
                      <w:sz w:val="16"/>
                      <w:szCs w:val="16"/>
                      <w:lang w:eastAsia="zh-CN"/>
                    </w:rPr>
                    <w:t>TPMI index</w:t>
                  </w:r>
                </w:p>
              </w:tc>
              <w:tc>
                <w:tcPr>
                  <w:tcW w:w="69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A5F27C" w14:textId="69D88641" w:rsidR="00DC1481" w:rsidRPr="00DC1481" w:rsidRDefault="00DC1481" w:rsidP="00DC1481">
                  <w:pPr>
                    <w:keepNext/>
                    <w:keepLines/>
                    <w:contextualSpacing/>
                    <w:jc w:val="center"/>
                    <w:rPr>
                      <w:rFonts w:ascii="Arial" w:hAnsi="Arial" w:cs="Arial"/>
                      <w:b/>
                      <w:sz w:val="16"/>
                      <w:szCs w:val="16"/>
                      <w:lang w:eastAsia="zh-CN"/>
                    </w:rPr>
                  </w:pPr>
                  <w:r w:rsidRPr="00DC1481">
                    <w:rPr>
                      <w:rFonts w:ascii="Arial" w:hAnsi="Arial" w:cs="Arial"/>
                      <w:b/>
                      <w:color w:val="FF0000"/>
                      <w:sz w:val="16"/>
                      <w:szCs w:val="16"/>
                      <w:lang w:eastAsia="zh-CN"/>
                    </w:rPr>
                    <w:t>Intermediate precoder matrix</w:t>
                  </w:r>
                  <w:r w:rsidRPr="00DC1481">
                    <w:rPr>
                      <w:rFonts w:ascii="Arial" w:hAnsi="Arial" w:cs="Arial"/>
                      <w:color w:val="FF0000"/>
                      <w:sz w:val="16"/>
                      <w:szCs w:val="16"/>
                      <w:lang w:eastAsia="zh-CN"/>
                    </w:rPr>
                    <w:t xml:space="preserve"> </w:t>
                  </w:r>
                  <m:oMath>
                    <m:r>
                      <m:rPr>
                        <m:sty m:val="bi"/>
                      </m:rPr>
                      <w:rPr>
                        <w:rFonts w:ascii="Cambria Math" w:hAnsi="Cambria Math" w:cs="Arial"/>
                        <w:color w:val="FF0000"/>
                        <w:sz w:val="16"/>
                        <w:szCs w:val="16"/>
                        <w:lang w:eastAsia="zh-CN"/>
                      </w:rPr>
                      <m:t>W</m:t>
                    </m:r>
                    <m:r>
                      <m:rPr>
                        <m:sty m:val="b"/>
                      </m:rPr>
                      <w:rPr>
                        <w:rFonts w:ascii="Cambria Math" w:hAnsi="Cambria Math" w:cs="Arial"/>
                        <w:color w:val="FF0000"/>
                        <w:sz w:val="16"/>
                        <w:szCs w:val="16"/>
                        <w:lang w:eastAsia="zh-CN"/>
                      </w:rPr>
                      <m:t>'</m:t>
                    </m:r>
                    <m:r>
                      <m:rPr>
                        <m:sty m:val="bi"/>
                      </m:rPr>
                      <w:rPr>
                        <w:rFonts w:ascii="Cambria Math" w:hAnsi="Cambria Math" w:cs="Arial"/>
                        <w:strike/>
                        <w:sz w:val="16"/>
                        <w:szCs w:val="16"/>
                        <w:lang w:eastAsia="zh-CN"/>
                      </w:rPr>
                      <m:t>W</m:t>
                    </m:r>
                  </m:oMath>
                </w:p>
              </w:tc>
            </w:tr>
          </w:tbl>
          <w:p w14:paraId="2DBB3D49" w14:textId="3F1410F3" w:rsidR="00DC1481" w:rsidRPr="00DC1481" w:rsidRDefault="00DC1481" w:rsidP="00645E2A">
            <w:pPr>
              <w:keepNext/>
              <w:keepLines/>
              <w:overflowPunct w:val="0"/>
              <w:autoSpaceDE w:val="0"/>
              <w:autoSpaceDN w:val="0"/>
              <w:adjustRightInd w:val="0"/>
              <w:ind w:left="800"/>
              <w:contextualSpacing/>
              <w:jc w:val="center"/>
              <w:textAlignment w:val="baseline"/>
              <w:rPr>
                <w:rFonts w:ascii="Arial" w:hAnsi="Arial" w:cs="Arial"/>
                <w:sz w:val="16"/>
                <w:szCs w:val="16"/>
              </w:rPr>
            </w:pPr>
            <w:r w:rsidRPr="00DC1481">
              <w:rPr>
                <w:rFonts w:ascii="Arial" w:eastAsia="Times New Roman" w:hAnsi="Arial" w:cs="Arial"/>
                <w:bCs/>
                <w:color w:val="FF0000"/>
                <w:sz w:val="16"/>
                <w:szCs w:val="16"/>
                <w:lang w:eastAsia="en-GB"/>
              </w:rPr>
              <w:t>-------------------------------------------Unchanged parts are omitted-------------------------------------------</w:t>
            </w:r>
          </w:p>
        </w:tc>
      </w:tr>
    </w:tbl>
    <w:p w14:paraId="1F538AFF" w14:textId="77777777" w:rsidR="00DC1481" w:rsidRPr="00DC1481" w:rsidRDefault="00DC1481" w:rsidP="00DC1481">
      <w:pPr>
        <w:rPr>
          <w:rFonts w:ascii="Times New Roman" w:hAnsi="Times New Roman"/>
          <w:szCs w:val="20"/>
          <w:lang w:eastAsia="x-none"/>
        </w:rPr>
      </w:pPr>
    </w:p>
    <w:p w14:paraId="238D9795" w14:textId="77777777" w:rsidR="00645E2A" w:rsidRPr="009E07E2" w:rsidRDefault="00645E2A" w:rsidP="00645E2A">
      <w:pPr>
        <w:rPr>
          <w:rFonts w:ascii="Times New Roman" w:hAnsi="Times New Roman"/>
          <w:highlight w:val="green"/>
          <w:lang w:eastAsia="x-none"/>
        </w:rPr>
      </w:pPr>
      <w:r w:rsidRPr="009E07E2">
        <w:rPr>
          <w:rFonts w:ascii="Times New Roman" w:hAnsi="Times New Roman"/>
          <w:highlight w:val="green"/>
          <w:lang w:eastAsia="x-none"/>
        </w:rPr>
        <w:t>Agreement</w:t>
      </w:r>
    </w:p>
    <w:p w14:paraId="4940C9A0" w14:textId="77777777" w:rsidR="00DC1481" w:rsidRPr="00DC1481" w:rsidRDefault="00DC1481" w:rsidP="00645E2A">
      <w:r w:rsidRPr="00DC1481">
        <w:t>Adopt the following text proposals to TS 38.211.</w:t>
      </w:r>
    </w:p>
    <w:p w14:paraId="5583E27B" w14:textId="77777777" w:rsidR="00DC1481" w:rsidRPr="00DC1481" w:rsidRDefault="00DC1481" w:rsidP="00AA1D48">
      <w:pPr>
        <w:pStyle w:val="ListParagraph"/>
        <w:numPr>
          <w:ilvl w:val="0"/>
          <w:numId w:val="111"/>
        </w:numPr>
        <w:rPr>
          <w:lang w:eastAsia="x-none"/>
        </w:rPr>
      </w:pPr>
      <w:r w:rsidRPr="00DC1481">
        <w:rPr>
          <w:lang w:eastAsia="x-none"/>
        </w:rPr>
        <w:t>Reason for change: To correctly capture the applicability of submatrices according to the agreed layer splitting for codebook2 (Ng=2) and codebook3 (Ng=4).</w:t>
      </w:r>
    </w:p>
    <w:p w14:paraId="3F945CFA" w14:textId="77777777" w:rsidR="00DC1481" w:rsidRPr="00DC1481" w:rsidRDefault="00DC1481" w:rsidP="00AA1D48">
      <w:pPr>
        <w:pStyle w:val="ListParagraph"/>
        <w:numPr>
          <w:ilvl w:val="0"/>
          <w:numId w:val="111"/>
        </w:numPr>
        <w:rPr>
          <w:lang w:eastAsia="x-none"/>
        </w:rPr>
      </w:pPr>
      <w:r w:rsidRPr="00DC1481">
        <w:rPr>
          <w:lang w:eastAsia="x-none"/>
        </w:rPr>
        <w:t>Summary of change: Correct the title of the Tables related to submatrices.</w:t>
      </w:r>
    </w:p>
    <w:p w14:paraId="39BFC9EC" w14:textId="77777777" w:rsidR="00DC1481" w:rsidRPr="00DC1481" w:rsidRDefault="00DC1481" w:rsidP="00AA1D48">
      <w:pPr>
        <w:pStyle w:val="ListParagraph"/>
        <w:numPr>
          <w:ilvl w:val="0"/>
          <w:numId w:val="111"/>
        </w:numPr>
        <w:rPr>
          <w:lang w:eastAsia="x-none"/>
        </w:rPr>
      </w:pPr>
      <w:r w:rsidRPr="00DC1481">
        <w:rPr>
          <w:lang w:eastAsia="x-none"/>
        </w:rPr>
        <w:t>Consequences if not approved: Inaccurate capture of the agreement related to layer splitting for codebook2(Ng=2) and codebook3 (Ng=4).</w:t>
      </w:r>
    </w:p>
    <w:tbl>
      <w:tblPr>
        <w:tblW w:w="5000" w:type="pct"/>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0683"/>
      </w:tblGrid>
      <w:tr w:rsidR="00DC1481" w:rsidRPr="00DC1481" w14:paraId="25782422" w14:textId="77777777" w:rsidTr="00645E2A">
        <w:tc>
          <w:tcPr>
            <w:tcW w:w="5000" w:type="pct"/>
            <w:tcBorders>
              <w:top w:val="single" w:sz="4" w:space="0" w:color="auto"/>
              <w:left w:val="single" w:sz="4" w:space="0" w:color="auto"/>
              <w:bottom w:val="single" w:sz="4" w:space="0" w:color="auto"/>
              <w:right w:val="single" w:sz="4" w:space="0" w:color="auto"/>
            </w:tcBorders>
            <w:shd w:val="clear" w:color="auto" w:fill="auto"/>
          </w:tcPr>
          <w:p w14:paraId="096EA937" w14:textId="268835C9" w:rsidR="00DC1481" w:rsidRPr="003B0B20" w:rsidRDefault="00DC1481" w:rsidP="00DC1481">
            <w:pPr>
              <w:contextualSpacing/>
              <w:rPr>
                <w:rFonts w:ascii="Arial" w:hAnsi="Arial" w:cs="Arial"/>
                <w:b/>
                <w:bCs/>
                <w:sz w:val="16"/>
                <w:szCs w:val="16"/>
                <w:lang w:eastAsia="zh-CN"/>
              </w:rPr>
            </w:pPr>
            <w:r w:rsidRPr="00DC1481">
              <w:rPr>
                <w:rFonts w:ascii="Arial" w:hAnsi="Arial" w:cs="Arial"/>
                <w:b/>
                <w:bCs/>
                <w:sz w:val="16"/>
                <w:szCs w:val="16"/>
              </w:rPr>
              <w:t>6.3.1.5</w:t>
            </w:r>
            <w:r w:rsidR="00645E2A" w:rsidRPr="00DC1481">
              <w:rPr>
                <w:rFonts w:ascii="Arial" w:eastAsia="Malgun Gothic" w:hAnsi="Arial" w:cs="Arial"/>
                <w:b/>
                <w:bCs/>
                <w:sz w:val="16"/>
                <w:szCs w:val="16"/>
              </w:rPr>
              <w:tab/>
            </w:r>
            <w:r w:rsidRPr="00DC1481">
              <w:rPr>
                <w:rFonts w:ascii="Arial" w:hAnsi="Arial" w:cs="Arial"/>
                <w:b/>
                <w:bCs/>
                <w:sz w:val="16"/>
                <w:szCs w:val="16"/>
              </w:rPr>
              <w:t>Precoding</w:t>
            </w:r>
          </w:p>
          <w:p w14:paraId="755E66CA" w14:textId="77777777" w:rsidR="00DC1481" w:rsidRPr="00DC1481" w:rsidRDefault="00DC1481" w:rsidP="00DC1481">
            <w:pPr>
              <w:contextualSpacing/>
              <w:jc w:val="center"/>
              <w:rPr>
                <w:rFonts w:ascii="Arial" w:hAnsi="Arial" w:cs="Arial"/>
                <w:color w:val="FF0000"/>
                <w:sz w:val="16"/>
                <w:szCs w:val="16"/>
                <w:lang w:eastAsia="zh-CN"/>
              </w:rPr>
            </w:pPr>
            <w:r w:rsidRPr="00DC1481">
              <w:rPr>
                <w:rFonts w:ascii="Arial" w:hAnsi="Arial" w:cs="Arial"/>
                <w:color w:val="FF0000"/>
                <w:sz w:val="16"/>
                <w:szCs w:val="16"/>
                <w:lang w:eastAsia="zh-CN"/>
              </w:rPr>
              <w:t>--------------------------------------&lt;Unchanged parts omitted&gt;--------------------------------------</w:t>
            </w:r>
          </w:p>
          <w:p w14:paraId="419A3BFC" w14:textId="72E8790D" w:rsidR="00DC1481" w:rsidRPr="00DC1481" w:rsidRDefault="00DC1481" w:rsidP="00DC1481">
            <w:pPr>
              <w:contextualSpacing/>
              <w:jc w:val="center"/>
              <w:rPr>
                <w:rFonts w:ascii="Arial" w:hAnsi="Arial" w:cs="Arial"/>
                <w:b/>
                <w:bCs/>
                <w:sz w:val="16"/>
                <w:szCs w:val="16"/>
              </w:rPr>
            </w:pPr>
            <w:r w:rsidRPr="00DC1481">
              <w:rPr>
                <w:rFonts w:ascii="Arial" w:hAnsi="Arial" w:cs="Arial"/>
                <w:b/>
                <w:bCs/>
                <w:sz w:val="16"/>
                <w:szCs w:val="16"/>
              </w:rPr>
              <w:t xml:space="preserve">Table 6.3.1.5-25: Submatrices </w:t>
            </w:r>
            <m:oMath>
              <m:sSub>
                <m:sSubPr>
                  <m:ctrlPr>
                    <w:rPr>
                      <w:rFonts w:ascii="Cambria Math" w:hAnsi="Cambria Math" w:cs="Arial"/>
                      <w:b/>
                      <w:bCs/>
                      <w:i/>
                      <w:kern w:val="2"/>
                      <w:sz w:val="16"/>
                      <w:szCs w:val="16"/>
                      <w:lang w:eastAsia="zh-CN"/>
                    </w:rPr>
                  </m:ctrlPr>
                </m:sSubPr>
                <m:e>
                  <m:acc>
                    <m:accPr>
                      <m:chr m:val="̅"/>
                      <m:ctrlPr>
                        <w:rPr>
                          <w:rFonts w:ascii="Cambria Math" w:hAnsi="Cambria Math" w:cs="Arial"/>
                          <w:b/>
                          <w:bCs/>
                          <w:i/>
                          <w:kern w:val="2"/>
                          <w:sz w:val="16"/>
                          <w:szCs w:val="16"/>
                          <w:lang w:eastAsia="zh-CN"/>
                        </w:rPr>
                      </m:ctrlPr>
                    </m:accPr>
                    <m:e>
                      <m:r>
                        <m:rPr>
                          <m:sty m:val="bi"/>
                        </m:rPr>
                        <w:rPr>
                          <w:rFonts w:ascii="Cambria Math" w:hAnsi="Cambria Math" w:cs="Arial"/>
                          <w:sz w:val="16"/>
                          <w:szCs w:val="16"/>
                          <w:lang w:eastAsia="zh-CN"/>
                        </w:rPr>
                        <m:t>W</m:t>
                      </m:r>
                    </m:e>
                  </m:acc>
                </m:e>
                <m:sub>
                  <m:r>
                    <m:rPr>
                      <m:sty m:val="bi"/>
                    </m:rPr>
                    <w:rPr>
                      <w:rFonts w:ascii="Cambria Math" w:hAnsi="Cambria Math" w:cs="Arial"/>
                      <w:sz w:val="16"/>
                      <w:szCs w:val="16"/>
                      <w:lang w:eastAsia="zh-CN"/>
                    </w:rPr>
                    <m:t>1,i</m:t>
                  </m:r>
                </m:sub>
              </m:sSub>
            </m:oMath>
            <w:r w:rsidRPr="00DC1481">
              <w:rPr>
                <w:rFonts w:ascii="Arial" w:hAnsi="Arial" w:cs="Arial"/>
                <w:b/>
                <w:bCs/>
                <w:sz w:val="16"/>
                <w:szCs w:val="16"/>
              </w:rPr>
              <w:t xml:space="preserve"> for codebook2 and used in Tables 6.3.1.5-29 to 6.3.1.5-</w:t>
            </w:r>
            <w:r w:rsidRPr="00DC1481">
              <w:rPr>
                <w:rFonts w:ascii="Arial" w:hAnsi="Arial" w:cs="Arial"/>
                <w:b/>
                <w:bCs/>
                <w:strike/>
                <w:sz w:val="16"/>
                <w:szCs w:val="16"/>
              </w:rPr>
              <w:t>36</w:t>
            </w:r>
            <w:r w:rsidRPr="00DC1481">
              <w:rPr>
                <w:rFonts w:ascii="Arial" w:hAnsi="Arial" w:cs="Arial"/>
                <w:b/>
                <w:bCs/>
                <w:strike/>
                <w:color w:val="FF0000"/>
                <w:sz w:val="16"/>
                <w:szCs w:val="16"/>
              </w:rPr>
              <w:t>3</w:t>
            </w:r>
            <w:r w:rsidRPr="00DC1481">
              <w:rPr>
                <w:rFonts w:ascii="Arial" w:hAnsi="Arial" w:cs="Arial"/>
                <w:b/>
                <w:bCs/>
                <w:color w:val="FF0000"/>
                <w:sz w:val="16"/>
                <w:szCs w:val="16"/>
              </w:rPr>
              <w:t>1</w:t>
            </w:r>
            <w:r w:rsidRPr="00DC1481">
              <w:rPr>
                <w:rFonts w:ascii="Arial" w:hAnsi="Arial" w:cs="Arial"/>
                <w:b/>
                <w:bCs/>
                <w:sz w:val="16"/>
                <w:szCs w:val="16"/>
              </w:rPr>
              <w:t>.</w:t>
            </w:r>
          </w:p>
          <w:p w14:paraId="54FBFBE7" w14:textId="77777777" w:rsidR="00DC1481" w:rsidRPr="00DC1481" w:rsidRDefault="00DC1481" w:rsidP="00DC1481">
            <w:pPr>
              <w:widowControl w:val="0"/>
              <w:contextualSpacing/>
              <w:jc w:val="center"/>
              <w:rPr>
                <w:rFonts w:ascii="Arial" w:hAnsi="Arial" w:cs="Arial"/>
                <w:b/>
                <w:bCs/>
                <w:sz w:val="16"/>
                <w:szCs w:val="16"/>
              </w:rPr>
            </w:pPr>
            <w:r w:rsidRPr="00DC1481">
              <w:rPr>
                <w:rFonts w:ascii="Arial" w:hAnsi="Arial" w:cs="Arial"/>
                <w:color w:val="FF0000"/>
                <w:sz w:val="16"/>
                <w:szCs w:val="16"/>
                <w:lang w:eastAsia="zh-CN"/>
              </w:rPr>
              <w:t>--------------------------------------&lt;Unchanged parts omitted&gt;--------------------------------------</w:t>
            </w:r>
          </w:p>
          <w:p w14:paraId="61FBA016" w14:textId="4E895D1D" w:rsidR="00DC1481" w:rsidRPr="00DC1481" w:rsidRDefault="00DC1481" w:rsidP="00DC1481">
            <w:pPr>
              <w:contextualSpacing/>
              <w:jc w:val="center"/>
              <w:rPr>
                <w:rFonts w:ascii="Arial" w:hAnsi="Arial" w:cs="Arial"/>
                <w:b/>
                <w:bCs/>
                <w:sz w:val="16"/>
                <w:szCs w:val="16"/>
              </w:rPr>
            </w:pPr>
            <w:r w:rsidRPr="00DC1481">
              <w:rPr>
                <w:rFonts w:ascii="Arial" w:hAnsi="Arial" w:cs="Arial"/>
                <w:b/>
                <w:bCs/>
                <w:sz w:val="16"/>
                <w:szCs w:val="16"/>
              </w:rPr>
              <w:t xml:space="preserve">Table 6.3.1.5-26: Submatrices </w:t>
            </w:r>
            <w:r w:rsidRPr="00DC1481">
              <w:rPr>
                <w:rFonts w:ascii="Arial" w:hAnsi="Arial" w:cs="Arial"/>
                <w:b/>
                <w:bCs/>
                <w:sz w:val="16"/>
                <w:szCs w:val="16"/>
                <w:lang w:eastAsia="zh-CN"/>
              </w:rPr>
              <w:t xml:space="preserve"> </w:t>
            </w:r>
            <m:oMath>
              <m:sSub>
                <m:sSubPr>
                  <m:ctrlPr>
                    <w:rPr>
                      <w:rFonts w:ascii="Cambria Math" w:hAnsi="Cambria Math" w:cs="Arial"/>
                      <w:b/>
                      <w:bCs/>
                      <w:i/>
                      <w:kern w:val="2"/>
                      <w:sz w:val="16"/>
                      <w:szCs w:val="16"/>
                      <w:lang w:eastAsia="zh-CN"/>
                    </w:rPr>
                  </m:ctrlPr>
                </m:sSubPr>
                <m:e>
                  <m:acc>
                    <m:accPr>
                      <m:chr m:val="̅"/>
                      <m:ctrlPr>
                        <w:rPr>
                          <w:rFonts w:ascii="Cambria Math" w:hAnsi="Cambria Math" w:cs="Arial"/>
                          <w:b/>
                          <w:bCs/>
                          <w:i/>
                          <w:kern w:val="2"/>
                          <w:sz w:val="16"/>
                          <w:szCs w:val="16"/>
                          <w:lang w:eastAsia="zh-CN"/>
                        </w:rPr>
                      </m:ctrlPr>
                    </m:accPr>
                    <m:e>
                      <m:r>
                        <m:rPr>
                          <m:sty m:val="bi"/>
                        </m:rPr>
                        <w:rPr>
                          <w:rFonts w:ascii="Cambria Math" w:hAnsi="Cambria Math" w:cs="Arial"/>
                          <w:sz w:val="16"/>
                          <w:szCs w:val="16"/>
                          <w:lang w:eastAsia="zh-CN"/>
                        </w:rPr>
                        <m:t>W</m:t>
                      </m:r>
                    </m:e>
                  </m:acc>
                </m:e>
                <m:sub>
                  <m:r>
                    <m:rPr>
                      <m:sty m:val="bi"/>
                    </m:rPr>
                    <w:rPr>
                      <w:rFonts w:ascii="Cambria Math" w:hAnsi="Cambria Math" w:cs="Arial"/>
                      <w:sz w:val="16"/>
                      <w:szCs w:val="16"/>
                      <w:lang w:eastAsia="zh-CN"/>
                    </w:rPr>
                    <m:t>2,i</m:t>
                  </m:r>
                </m:sub>
              </m:sSub>
            </m:oMath>
            <w:r w:rsidRPr="00DC1481">
              <w:rPr>
                <w:rFonts w:ascii="Arial" w:hAnsi="Arial" w:cs="Arial"/>
                <w:b/>
                <w:bCs/>
                <w:sz w:val="16"/>
                <w:szCs w:val="16"/>
                <w:lang w:eastAsia="zh-CN"/>
              </w:rPr>
              <w:t xml:space="preserve"> </w:t>
            </w:r>
            <w:r w:rsidRPr="00DC1481">
              <w:rPr>
                <w:rFonts w:ascii="Arial" w:hAnsi="Arial" w:cs="Arial"/>
                <w:b/>
                <w:bCs/>
                <w:sz w:val="16"/>
                <w:szCs w:val="16"/>
              </w:rPr>
              <w:t>for codebook2 and used in Tables 6.3.1.5-</w:t>
            </w:r>
            <w:r w:rsidRPr="00DC1481">
              <w:rPr>
                <w:rFonts w:ascii="Arial" w:hAnsi="Arial" w:cs="Arial"/>
                <w:b/>
                <w:bCs/>
                <w:strike/>
                <w:color w:val="FF0000"/>
                <w:sz w:val="16"/>
                <w:szCs w:val="16"/>
              </w:rPr>
              <w:t>29</w:t>
            </w:r>
            <w:r w:rsidRPr="00DC1481">
              <w:rPr>
                <w:rFonts w:ascii="Arial" w:hAnsi="Arial" w:cs="Arial"/>
                <w:b/>
                <w:bCs/>
                <w:color w:val="FF0000"/>
                <w:sz w:val="16"/>
                <w:szCs w:val="16"/>
              </w:rPr>
              <w:t>30</w:t>
            </w:r>
            <w:r w:rsidRPr="00DC1481">
              <w:rPr>
                <w:rFonts w:ascii="Arial" w:hAnsi="Arial" w:cs="Arial"/>
                <w:b/>
                <w:bCs/>
                <w:sz w:val="16"/>
                <w:szCs w:val="16"/>
              </w:rPr>
              <w:t xml:space="preserve"> to 6.3.1.5-</w:t>
            </w:r>
            <w:r w:rsidRPr="00DC1481">
              <w:rPr>
                <w:rFonts w:ascii="Arial" w:hAnsi="Arial" w:cs="Arial"/>
                <w:b/>
                <w:bCs/>
                <w:strike/>
                <w:sz w:val="16"/>
                <w:szCs w:val="16"/>
              </w:rPr>
              <w:t>36</w:t>
            </w:r>
            <w:r w:rsidRPr="00DC1481">
              <w:rPr>
                <w:rFonts w:ascii="Arial" w:hAnsi="Arial" w:cs="Arial"/>
                <w:b/>
                <w:bCs/>
                <w:color w:val="FF0000"/>
                <w:sz w:val="16"/>
                <w:szCs w:val="16"/>
              </w:rPr>
              <w:t>33</w:t>
            </w:r>
            <w:r w:rsidRPr="00DC1481">
              <w:rPr>
                <w:rFonts w:ascii="Arial" w:hAnsi="Arial" w:cs="Arial"/>
                <w:b/>
                <w:bCs/>
                <w:sz w:val="16"/>
                <w:szCs w:val="16"/>
              </w:rPr>
              <w:t>.</w:t>
            </w:r>
          </w:p>
          <w:p w14:paraId="0D395DA9" w14:textId="77777777" w:rsidR="00DC1481" w:rsidRPr="00DC1481" w:rsidRDefault="00DC1481" w:rsidP="00DC1481">
            <w:pPr>
              <w:widowControl w:val="0"/>
              <w:contextualSpacing/>
              <w:jc w:val="center"/>
              <w:rPr>
                <w:rFonts w:ascii="Arial" w:hAnsi="Arial" w:cs="Arial"/>
                <w:b/>
                <w:bCs/>
                <w:sz w:val="16"/>
                <w:szCs w:val="16"/>
              </w:rPr>
            </w:pPr>
            <w:r w:rsidRPr="00DC1481">
              <w:rPr>
                <w:rFonts w:ascii="Arial" w:hAnsi="Arial" w:cs="Arial"/>
                <w:color w:val="FF0000"/>
                <w:sz w:val="16"/>
                <w:szCs w:val="16"/>
                <w:lang w:eastAsia="zh-CN"/>
              </w:rPr>
              <w:t>--------------------------------------&lt;Unchanged parts omitted&gt;--------------------------------------</w:t>
            </w:r>
          </w:p>
          <w:p w14:paraId="6CCAE4EC" w14:textId="6206E516" w:rsidR="00DC1481" w:rsidRPr="00DC1481" w:rsidRDefault="00DC1481" w:rsidP="00DC1481">
            <w:pPr>
              <w:contextualSpacing/>
              <w:jc w:val="center"/>
              <w:rPr>
                <w:rFonts w:ascii="Arial" w:hAnsi="Arial" w:cs="Arial"/>
                <w:b/>
                <w:bCs/>
                <w:color w:val="FF0000"/>
                <w:sz w:val="16"/>
                <w:szCs w:val="16"/>
              </w:rPr>
            </w:pPr>
            <w:r w:rsidRPr="00DC1481">
              <w:rPr>
                <w:rFonts w:ascii="Arial" w:hAnsi="Arial" w:cs="Arial"/>
                <w:b/>
                <w:bCs/>
                <w:sz w:val="16"/>
                <w:szCs w:val="16"/>
              </w:rPr>
              <w:t xml:space="preserve">Table 6.3.1.5-27: Submatrices </w:t>
            </w:r>
            <m:oMath>
              <m:sSub>
                <m:sSubPr>
                  <m:ctrlPr>
                    <w:rPr>
                      <w:rFonts w:ascii="Cambria Math" w:hAnsi="Cambria Math" w:cs="Arial"/>
                      <w:b/>
                      <w:bCs/>
                      <w:i/>
                      <w:kern w:val="2"/>
                      <w:sz w:val="16"/>
                      <w:szCs w:val="16"/>
                      <w:lang w:eastAsia="zh-CN"/>
                    </w:rPr>
                  </m:ctrlPr>
                </m:sSubPr>
                <m:e>
                  <m:acc>
                    <m:accPr>
                      <m:chr m:val="̅"/>
                      <m:ctrlPr>
                        <w:rPr>
                          <w:rFonts w:ascii="Cambria Math" w:hAnsi="Cambria Math" w:cs="Arial"/>
                          <w:b/>
                          <w:bCs/>
                          <w:i/>
                          <w:kern w:val="2"/>
                          <w:sz w:val="16"/>
                          <w:szCs w:val="16"/>
                          <w:lang w:eastAsia="zh-CN"/>
                        </w:rPr>
                      </m:ctrlPr>
                    </m:accPr>
                    <m:e>
                      <m:r>
                        <m:rPr>
                          <m:sty m:val="bi"/>
                        </m:rPr>
                        <w:rPr>
                          <w:rFonts w:ascii="Cambria Math" w:hAnsi="Cambria Math" w:cs="Arial"/>
                          <w:sz w:val="16"/>
                          <w:szCs w:val="16"/>
                          <w:lang w:eastAsia="zh-CN"/>
                        </w:rPr>
                        <m:t>W</m:t>
                      </m:r>
                    </m:e>
                  </m:acc>
                </m:e>
                <m:sub>
                  <m:r>
                    <m:rPr>
                      <m:sty m:val="bi"/>
                    </m:rPr>
                    <w:rPr>
                      <w:rFonts w:ascii="Cambria Math" w:hAnsi="Cambria Math" w:cs="Arial"/>
                      <w:sz w:val="16"/>
                      <w:szCs w:val="16"/>
                      <w:lang w:eastAsia="zh-CN"/>
                    </w:rPr>
                    <m:t>3,i</m:t>
                  </m:r>
                </m:sub>
              </m:sSub>
            </m:oMath>
            <w:r w:rsidRPr="00DC1481">
              <w:rPr>
                <w:rFonts w:ascii="Arial" w:hAnsi="Arial" w:cs="Arial"/>
                <w:b/>
                <w:bCs/>
                <w:sz w:val="16"/>
                <w:szCs w:val="16"/>
              </w:rPr>
              <w:t xml:space="preserve"> for codebook2 and used in Tables </w:t>
            </w:r>
            <w:r w:rsidRPr="00DC1481">
              <w:rPr>
                <w:rFonts w:ascii="Arial" w:hAnsi="Arial" w:cs="Arial"/>
                <w:b/>
                <w:bCs/>
                <w:strike/>
                <w:sz w:val="16"/>
                <w:szCs w:val="16"/>
              </w:rPr>
              <w:t>6.3.1.5-29 to 6.3.1.5-36</w:t>
            </w:r>
            <w:r w:rsidRPr="00DC1481">
              <w:rPr>
                <w:rFonts w:ascii="Arial" w:hAnsi="Arial" w:cs="Arial"/>
                <w:b/>
                <w:bCs/>
                <w:sz w:val="16"/>
                <w:szCs w:val="16"/>
              </w:rPr>
              <w:t xml:space="preserve"> </w:t>
            </w:r>
            <w:r w:rsidRPr="00DC1481">
              <w:rPr>
                <w:rFonts w:ascii="Arial" w:hAnsi="Arial" w:cs="Arial"/>
                <w:b/>
                <w:bCs/>
                <w:color w:val="FF0000"/>
                <w:sz w:val="16"/>
                <w:szCs w:val="16"/>
              </w:rPr>
              <w:t>6.3.1.5-31, 6.3.1.5-33, 6.3.1.5-34 and 6.3.1.5-35</w:t>
            </w:r>
          </w:p>
          <w:p w14:paraId="3EBD2B58" w14:textId="77777777" w:rsidR="00DC1481" w:rsidRPr="00DC1481" w:rsidRDefault="00DC1481" w:rsidP="00DC1481">
            <w:pPr>
              <w:widowControl w:val="0"/>
              <w:contextualSpacing/>
              <w:jc w:val="center"/>
              <w:rPr>
                <w:rFonts w:ascii="Arial" w:hAnsi="Arial" w:cs="Arial"/>
                <w:b/>
                <w:bCs/>
                <w:color w:val="FF0000"/>
                <w:sz w:val="16"/>
                <w:szCs w:val="16"/>
              </w:rPr>
            </w:pPr>
            <w:r w:rsidRPr="00DC1481">
              <w:rPr>
                <w:rFonts w:ascii="Arial" w:hAnsi="Arial" w:cs="Arial"/>
                <w:color w:val="FF0000"/>
                <w:sz w:val="16"/>
                <w:szCs w:val="16"/>
                <w:lang w:eastAsia="zh-CN"/>
              </w:rPr>
              <w:t>--------------------------------------&lt;Unchanged parts omitted&gt;--------------------------------------</w:t>
            </w:r>
          </w:p>
          <w:p w14:paraId="7A34A150" w14:textId="0C39B1B7" w:rsidR="00DC1481" w:rsidRPr="00DC1481" w:rsidRDefault="00DC1481" w:rsidP="00DC1481">
            <w:pPr>
              <w:contextualSpacing/>
              <w:jc w:val="center"/>
              <w:rPr>
                <w:rFonts w:ascii="Arial" w:hAnsi="Arial" w:cs="Arial"/>
                <w:b/>
                <w:bCs/>
                <w:color w:val="FF0000"/>
                <w:sz w:val="16"/>
                <w:szCs w:val="16"/>
              </w:rPr>
            </w:pPr>
            <w:r w:rsidRPr="00DC1481">
              <w:rPr>
                <w:rFonts w:ascii="Arial" w:hAnsi="Arial" w:cs="Arial"/>
                <w:b/>
                <w:bCs/>
                <w:sz w:val="16"/>
                <w:szCs w:val="16"/>
              </w:rPr>
              <w:t xml:space="preserve">Table 6.3.1.5-28: Submatrices </w:t>
            </w:r>
            <m:oMath>
              <m:sSub>
                <m:sSubPr>
                  <m:ctrlPr>
                    <w:rPr>
                      <w:rFonts w:ascii="Cambria Math" w:hAnsi="Cambria Math" w:cs="Arial"/>
                      <w:b/>
                      <w:bCs/>
                      <w:i/>
                      <w:kern w:val="2"/>
                      <w:sz w:val="16"/>
                      <w:szCs w:val="16"/>
                      <w:lang w:eastAsia="zh-CN"/>
                    </w:rPr>
                  </m:ctrlPr>
                </m:sSubPr>
                <m:e>
                  <m:acc>
                    <m:accPr>
                      <m:chr m:val="̅"/>
                      <m:ctrlPr>
                        <w:rPr>
                          <w:rFonts w:ascii="Cambria Math" w:hAnsi="Cambria Math" w:cs="Arial"/>
                          <w:b/>
                          <w:bCs/>
                          <w:i/>
                          <w:kern w:val="2"/>
                          <w:sz w:val="16"/>
                          <w:szCs w:val="16"/>
                          <w:lang w:eastAsia="zh-CN"/>
                        </w:rPr>
                      </m:ctrlPr>
                    </m:accPr>
                    <m:e>
                      <m:r>
                        <m:rPr>
                          <m:sty m:val="bi"/>
                        </m:rPr>
                        <w:rPr>
                          <w:rFonts w:ascii="Cambria Math" w:hAnsi="Cambria Math" w:cs="Arial"/>
                          <w:sz w:val="16"/>
                          <w:szCs w:val="16"/>
                          <w:lang w:eastAsia="zh-CN"/>
                        </w:rPr>
                        <m:t>W</m:t>
                      </m:r>
                    </m:e>
                  </m:acc>
                </m:e>
                <m:sub>
                  <m:r>
                    <m:rPr>
                      <m:sty m:val="bi"/>
                    </m:rPr>
                    <w:rPr>
                      <w:rFonts w:ascii="Cambria Math" w:hAnsi="Cambria Math" w:cs="Arial"/>
                      <w:sz w:val="16"/>
                      <w:szCs w:val="16"/>
                      <w:lang w:eastAsia="zh-CN"/>
                    </w:rPr>
                    <m:t>4,i</m:t>
                  </m:r>
                </m:sub>
              </m:sSub>
            </m:oMath>
            <w:r w:rsidRPr="00DC1481">
              <w:rPr>
                <w:rFonts w:ascii="Arial" w:hAnsi="Arial" w:cs="Arial"/>
                <w:b/>
                <w:bCs/>
                <w:sz w:val="16"/>
                <w:szCs w:val="16"/>
                <w:lang w:eastAsia="zh-CN"/>
              </w:rPr>
              <w:t xml:space="preserve"> </w:t>
            </w:r>
            <w:r w:rsidRPr="00DC1481">
              <w:rPr>
                <w:rFonts w:ascii="Arial" w:hAnsi="Arial" w:cs="Arial"/>
                <w:b/>
                <w:bCs/>
                <w:sz w:val="16"/>
                <w:szCs w:val="16"/>
              </w:rPr>
              <w:t xml:space="preserve">for codebook2 and used in Tables </w:t>
            </w:r>
            <w:r w:rsidRPr="00DC1481">
              <w:rPr>
                <w:rFonts w:ascii="Arial" w:hAnsi="Arial" w:cs="Arial"/>
                <w:b/>
                <w:bCs/>
                <w:strike/>
                <w:sz w:val="16"/>
                <w:szCs w:val="16"/>
              </w:rPr>
              <w:t>6.3.1.5-29 to 6.3.1.5-36</w:t>
            </w:r>
            <w:r w:rsidRPr="00DC1481">
              <w:rPr>
                <w:rFonts w:ascii="Arial" w:hAnsi="Arial" w:cs="Arial"/>
                <w:b/>
                <w:bCs/>
                <w:sz w:val="16"/>
                <w:szCs w:val="16"/>
              </w:rPr>
              <w:t xml:space="preserve"> </w:t>
            </w:r>
            <w:r w:rsidRPr="00DC1481">
              <w:rPr>
                <w:rFonts w:ascii="Arial" w:hAnsi="Arial" w:cs="Arial"/>
                <w:b/>
                <w:bCs/>
                <w:color w:val="FF0000"/>
                <w:sz w:val="16"/>
                <w:szCs w:val="16"/>
              </w:rPr>
              <w:t>6.3.1.5-32, 6.3.1.5-35 and 6.3.1.5-36</w:t>
            </w:r>
          </w:p>
          <w:p w14:paraId="501D6BCE" w14:textId="77777777" w:rsidR="00DC1481" w:rsidRPr="00DC1481" w:rsidRDefault="00DC1481" w:rsidP="00DC1481">
            <w:pPr>
              <w:widowControl w:val="0"/>
              <w:contextualSpacing/>
              <w:jc w:val="center"/>
              <w:rPr>
                <w:rFonts w:ascii="Arial" w:hAnsi="Arial" w:cs="Arial"/>
                <w:color w:val="FF0000"/>
                <w:sz w:val="16"/>
                <w:szCs w:val="16"/>
                <w:lang w:eastAsia="zh-CN"/>
              </w:rPr>
            </w:pPr>
          </w:p>
          <w:p w14:paraId="13BD8D7D" w14:textId="77777777" w:rsidR="00DC1481" w:rsidRPr="00DC1481" w:rsidRDefault="00DC1481" w:rsidP="00DC1481">
            <w:pPr>
              <w:contextualSpacing/>
              <w:jc w:val="center"/>
              <w:rPr>
                <w:rFonts w:ascii="Arial" w:hAnsi="Arial" w:cs="Arial"/>
                <w:color w:val="FF0000"/>
                <w:sz w:val="16"/>
                <w:szCs w:val="16"/>
                <w:lang w:eastAsia="zh-CN"/>
              </w:rPr>
            </w:pPr>
            <w:r w:rsidRPr="00DC1481">
              <w:rPr>
                <w:rFonts w:ascii="Arial" w:hAnsi="Arial" w:cs="Arial"/>
                <w:color w:val="FF0000"/>
                <w:sz w:val="16"/>
                <w:szCs w:val="16"/>
                <w:lang w:eastAsia="zh-CN"/>
              </w:rPr>
              <w:t>--------------------------------------&lt;Unchanged parts omitted&gt;--------------------------------------</w:t>
            </w:r>
          </w:p>
          <w:p w14:paraId="69E9AB1B" w14:textId="77777777" w:rsidR="00DC1481" w:rsidRPr="00DC1481" w:rsidRDefault="00DC1481" w:rsidP="00DC1481">
            <w:pPr>
              <w:contextualSpacing/>
              <w:jc w:val="center"/>
              <w:rPr>
                <w:rFonts w:ascii="Arial" w:hAnsi="Arial" w:cs="Arial"/>
                <w:color w:val="FF0000"/>
                <w:sz w:val="16"/>
                <w:szCs w:val="16"/>
                <w:lang w:eastAsia="zh-CN"/>
              </w:rPr>
            </w:pPr>
          </w:p>
          <w:p w14:paraId="44561B93" w14:textId="0D63BE1B" w:rsidR="00DC1481" w:rsidRPr="00DC1481" w:rsidRDefault="00DC1481" w:rsidP="00DC1481">
            <w:pPr>
              <w:contextualSpacing/>
              <w:jc w:val="center"/>
              <w:rPr>
                <w:rFonts w:ascii="Arial" w:hAnsi="Arial" w:cs="Arial"/>
                <w:b/>
                <w:bCs/>
                <w:color w:val="FF0000"/>
                <w:sz w:val="16"/>
                <w:szCs w:val="16"/>
              </w:rPr>
            </w:pPr>
            <w:r w:rsidRPr="00DC1481">
              <w:rPr>
                <w:rFonts w:ascii="Arial" w:hAnsi="Arial" w:cs="Arial"/>
                <w:b/>
                <w:bCs/>
                <w:sz w:val="16"/>
                <w:szCs w:val="16"/>
              </w:rPr>
              <w:t xml:space="preserve">Table 6.3.1.5-37: Submatrices </w:t>
            </w:r>
            <m:oMath>
              <m:sSub>
                <m:sSubPr>
                  <m:ctrlPr>
                    <w:rPr>
                      <w:rFonts w:ascii="Cambria Math" w:hAnsi="Cambria Math" w:cs="Arial"/>
                      <w:b/>
                      <w:bCs/>
                      <w:i/>
                      <w:kern w:val="2"/>
                      <w:sz w:val="16"/>
                      <w:szCs w:val="16"/>
                      <w:lang w:eastAsia="zh-CN"/>
                    </w:rPr>
                  </m:ctrlPr>
                </m:sSubPr>
                <m:e>
                  <m:acc>
                    <m:accPr>
                      <m:chr m:val="̅"/>
                      <m:ctrlPr>
                        <w:rPr>
                          <w:rFonts w:ascii="Cambria Math" w:hAnsi="Cambria Math" w:cs="Arial"/>
                          <w:b/>
                          <w:bCs/>
                          <w:i/>
                          <w:kern w:val="2"/>
                          <w:sz w:val="16"/>
                          <w:szCs w:val="16"/>
                          <w:lang w:eastAsia="zh-CN"/>
                        </w:rPr>
                      </m:ctrlPr>
                    </m:accPr>
                    <m:e>
                      <m:r>
                        <m:rPr>
                          <m:sty m:val="bi"/>
                        </m:rPr>
                        <w:rPr>
                          <w:rFonts w:ascii="Cambria Math" w:hAnsi="Cambria Math" w:cs="Arial"/>
                          <w:sz w:val="16"/>
                          <w:szCs w:val="16"/>
                          <w:lang w:eastAsia="zh-CN"/>
                        </w:rPr>
                        <m:t>W</m:t>
                      </m:r>
                    </m:e>
                  </m:acc>
                </m:e>
                <m:sub>
                  <m:r>
                    <m:rPr>
                      <m:sty m:val="bi"/>
                    </m:rPr>
                    <w:rPr>
                      <w:rFonts w:ascii="Cambria Math" w:hAnsi="Cambria Math" w:cs="Arial"/>
                      <w:sz w:val="16"/>
                      <w:szCs w:val="16"/>
                      <w:lang w:eastAsia="zh-CN"/>
                    </w:rPr>
                    <m:t>1,i</m:t>
                  </m:r>
                </m:sub>
              </m:sSub>
            </m:oMath>
            <w:r w:rsidRPr="00DC1481">
              <w:rPr>
                <w:rFonts w:ascii="Arial" w:hAnsi="Arial" w:cs="Arial"/>
                <w:b/>
                <w:bCs/>
                <w:sz w:val="16"/>
                <w:szCs w:val="16"/>
              </w:rPr>
              <w:t xml:space="preserve"> for codebook3 and used in Tables 6.3.1.5-39 to 6.3.1.5-</w:t>
            </w:r>
            <w:r w:rsidRPr="00DC1481">
              <w:rPr>
                <w:rFonts w:ascii="Arial" w:hAnsi="Arial" w:cs="Arial"/>
                <w:b/>
                <w:bCs/>
                <w:strike/>
                <w:sz w:val="16"/>
                <w:szCs w:val="16"/>
              </w:rPr>
              <w:t>46</w:t>
            </w:r>
            <w:r w:rsidRPr="00DC1481">
              <w:rPr>
                <w:rFonts w:ascii="Arial" w:hAnsi="Arial" w:cs="Arial"/>
                <w:b/>
                <w:bCs/>
                <w:color w:val="FF0000"/>
                <w:sz w:val="16"/>
                <w:szCs w:val="16"/>
              </w:rPr>
              <w:t>45</w:t>
            </w:r>
          </w:p>
          <w:p w14:paraId="366CBE67" w14:textId="77777777" w:rsidR="00DC1481" w:rsidRPr="00DC1481" w:rsidRDefault="00DC1481" w:rsidP="00DC1481">
            <w:pPr>
              <w:contextualSpacing/>
              <w:jc w:val="center"/>
              <w:rPr>
                <w:rFonts w:ascii="Arial" w:hAnsi="Arial" w:cs="Arial"/>
                <w:color w:val="FF0000"/>
                <w:sz w:val="16"/>
                <w:szCs w:val="16"/>
                <w:lang w:eastAsia="zh-CN"/>
              </w:rPr>
            </w:pPr>
            <w:r w:rsidRPr="00DC1481">
              <w:rPr>
                <w:rFonts w:ascii="Arial" w:hAnsi="Arial" w:cs="Arial"/>
                <w:color w:val="FF0000"/>
                <w:sz w:val="16"/>
                <w:szCs w:val="16"/>
                <w:lang w:eastAsia="zh-CN"/>
              </w:rPr>
              <w:t>--------------------------------------&lt;Unchanged parts omitted&gt;--------------------------------------</w:t>
            </w:r>
          </w:p>
          <w:p w14:paraId="04D153C2" w14:textId="0148C287" w:rsidR="00DC1481" w:rsidRPr="00DC1481" w:rsidRDefault="00DC1481" w:rsidP="00DC1481">
            <w:pPr>
              <w:contextualSpacing/>
              <w:jc w:val="center"/>
              <w:rPr>
                <w:rFonts w:ascii="Arial" w:hAnsi="Arial" w:cs="Arial"/>
                <w:b/>
                <w:bCs/>
                <w:sz w:val="16"/>
                <w:szCs w:val="16"/>
              </w:rPr>
            </w:pPr>
            <w:r w:rsidRPr="00DC1481">
              <w:rPr>
                <w:rFonts w:ascii="Arial" w:hAnsi="Arial" w:cs="Arial"/>
                <w:b/>
                <w:bCs/>
                <w:sz w:val="16"/>
                <w:szCs w:val="16"/>
              </w:rPr>
              <w:t xml:space="preserve">Table 6.3.1.5-38: Submatrices </w:t>
            </w:r>
            <m:oMath>
              <m:sSub>
                <m:sSubPr>
                  <m:ctrlPr>
                    <w:rPr>
                      <w:rFonts w:ascii="Cambria Math" w:hAnsi="Cambria Math" w:cs="Arial"/>
                      <w:b/>
                      <w:bCs/>
                      <w:i/>
                      <w:kern w:val="2"/>
                      <w:sz w:val="16"/>
                      <w:szCs w:val="16"/>
                      <w:lang w:eastAsia="zh-CN"/>
                    </w:rPr>
                  </m:ctrlPr>
                </m:sSubPr>
                <m:e>
                  <m:acc>
                    <m:accPr>
                      <m:chr m:val="̅"/>
                      <m:ctrlPr>
                        <w:rPr>
                          <w:rFonts w:ascii="Cambria Math" w:hAnsi="Cambria Math" w:cs="Arial"/>
                          <w:b/>
                          <w:bCs/>
                          <w:i/>
                          <w:kern w:val="2"/>
                          <w:sz w:val="16"/>
                          <w:szCs w:val="16"/>
                          <w:lang w:eastAsia="zh-CN"/>
                        </w:rPr>
                      </m:ctrlPr>
                    </m:accPr>
                    <m:e>
                      <m:r>
                        <m:rPr>
                          <m:sty m:val="bi"/>
                        </m:rPr>
                        <w:rPr>
                          <w:rFonts w:ascii="Cambria Math" w:hAnsi="Cambria Math" w:cs="Arial"/>
                          <w:sz w:val="16"/>
                          <w:szCs w:val="16"/>
                          <w:lang w:eastAsia="zh-CN"/>
                        </w:rPr>
                        <m:t>W</m:t>
                      </m:r>
                    </m:e>
                  </m:acc>
                </m:e>
                <m:sub>
                  <m:r>
                    <m:rPr>
                      <m:sty m:val="bi"/>
                    </m:rPr>
                    <w:rPr>
                      <w:rFonts w:ascii="Cambria Math" w:hAnsi="Cambria Math" w:cs="Arial"/>
                      <w:sz w:val="16"/>
                      <w:szCs w:val="16"/>
                      <w:lang w:eastAsia="zh-CN"/>
                    </w:rPr>
                    <m:t>2,i</m:t>
                  </m:r>
                </m:sub>
              </m:sSub>
            </m:oMath>
            <w:r w:rsidRPr="00DC1481">
              <w:rPr>
                <w:rFonts w:ascii="Arial" w:hAnsi="Arial" w:cs="Arial"/>
                <w:b/>
                <w:bCs/>
                <w:sz w:val="16"/>
                <w:szCs w:val="16"/>
              </w:rPr>
              <w:t xml:space="preserve"> for codebook3 and used in Tables 6.3.1.5-</w:t>
            </w:r>
            <w:r w:rsidRPr="00DC1481">
              <w:rPr>
                <w:rFonts w:ascii="Arial" w:hAnsi="Arial" w:cs="Arial"/>
                <w:b/>
                <w:bCs/>
                <w:strike/>
                <w:sz w:val="16"/>
                <w:szCs w:val="16"/>
              </w:rPr>
              <w:t>39</w:t>
            </w:r>
            <w:r w:rsidRPr="00DC1481">
              <w:rPr>
                <w:rFonts w:ascii="Arial" w:hAnsi="Arial" w:cs="Arial"/>
                <w:b/>
                <w:bCs/>
                <w:color w:val="FF0000"/>
                <w:sz w:val="16"/>
                <w:szCs w:val="16"/>
              </w:rPr>
              <w:t xml:space="preserve">40 </w:t>
            </w:r>
            <w:r w:rsidRPr="00DC1481">
              <w:rPr>
                <w:rFonts w:ascii="Arial" w:hAnsi="Arial" w:cs="Arial"/>
                <w:b/>
                <w:bCs/>
                <w:sz w:val="16"/>
                <w:szCs w:val="16"/>
              </w:rPr>
              <w:t>to 6.3.1.5-46.</w:t>
            </w:r>
          </w:p>
          <w:p w14:paraId="6A6E5322" w14:textId="7FDB092C" w:rsidR="00DC1481" w:rsidRPr="00DC1481" w:rsidRDefault="00DC1481" w:rsidP="00645E2A">
            <w:pPr>
              <w:contextualSpacing/>
              <w:jc w:val="center"/>
              <w:rPr>
                <w:rFonts w:ascii="Arial" w:hAnsi="Arial" w:cs="Arial"/>
                <w:bCs/>
                <w:sz w:val="16"/>
                <w:szCs w:val="16"/>
                <w:lang w:eastAsia="zh-CN"/>
              </w:rPr>
            </w:pPr>
            <w:r w:rsidRPr="00DC1481">
              <w:rPr>
                <w:rFonts w:ascii="Arial" w:hAnsi="Arial" w:cs="Arial"/>
                <w:color w:val="FF0000"/>
                <w:sz w:val="16"/>
                <w:szCs w:val="16"/>
                <w:lang w:eastAsia="zh-CN"/>
              </w:rPr>
              <w:t>--------------------------------------&lt;Unchanged parts omitted&gt;--------------------------------------</w:t>
            </w:r>
          </w:p>
        </w:tc>
      </w:tr>
    </w:tbl>
    <w:p w14:paraId="0D0EEB98" w14:textId="77777777" w:rsidR="00DC1481" w:rsidRPr="00DC1481" w:rsidRDefault="00DC1481" w:rsidP="00DC1481">
      <w:pPr>
        <w:contextualSpacing/>
        <w:jc w:val="both"/>
        <w:rPr>
          <w:rFonts w:ascii="Times New Roman" w:hAnsi="Times New Roman"/>
          <w:bCs/>
          <w:iCs/>
          <w:szCs w:val="20"/>
        </w:rPr>
      </w:pPr>
    </w:p>
    <w:p w14:paraId="18605296" w14:textId="77777777" w:rsidR="00645E2A" w:rsidRPr="009E07E2" w:rsidRDefault="00645E2A" w:rsidP="00645E2A">
      <w:pPr>
        <w:rPr>
          <w:rFonts w:ascii="Times New Roman" w:hAnsi="Times New Roman"/>
          <w:highlight w:val="green"/>
          <w:lang w:eastAsia="x-none"/>
        </w:rPr>
      </w:pPr>
      <w:r w:rsidRPr="009E07E2">
        <w:rPr>
          <w:rFonts w:ascii="Times New Roman" w:hAnsi="Times New Roman"/>
          <w:highlight w:val="green"/>
          <w:lang w:eastAsia="x-none"/>
        </w:rPr>
        <w:t>Agreement</w:t>
      </w:r>
    </w:p>
    <w:p w14:paraId="1EED5704" w14:textId="77777777" w:rsidR="00DC1481" w:rsidRPr="00DC1481" w:rsidRDefault="00DC1481" w:rsidP="00645E2A">
      <w:pPr>
        <w:rPr>
          <w:b/>
          <w:iCs/>
          <w:lang w:eastAsia="zh-CN"/>
        </w:rPr>
      </w:pPr>
      <w:r w:rsidRPr="00DC1481">
        <w:t>Adopt the following text proposal to TS 38.214.</w:t>
      </w:r>
    </w:p>
    <w:p w14:paraId="122FE5D6" w14:textId="77777777" w:rsidR="00DC1481" w:rsidRPr="00DC1481" w:rsidRDefault="00DC1481" w:rsidP="00AA1D48">
      <w:pPr>
        <w:pStyle w:val="ListParagraph"/>
        <w:numPr>
          <w:ilvl w:val="0"/>
          <w:numId w:val="112"/>
        </w:numPr>
        <w:rPr>
          <w:lang w:eastAsia="x-none"/>
        </w:rPr>
      </w:pPr>
      <w:r w:rsidRPr="00DC1481">
        <w:rPr>
          <w:lang w:eastAsia="x-none"/>
        </w:rPr>
        <w:lastRenderedPageBreak/>
        <w:t>Reason for change: The current wording in the specifications is intended for single codeword PUSCH. For dual codeword PUSCH, the number of CBGs should be determined per transport block.</w:t>
      </w:r>
    </w:p>
    <w:p w14:paraId="5290EAC1" w14:textId="77777777" w:rsidR="00DC1481" w:rsidRPr="00DC1481" w:rsidRDefault="00DC1481" w:rsidP="00AA1D48">
      <w:pPr>
        <w:pStyle w:val="ListParagraph"/>
        <w:numPr>
          <w:ilvl w:val="0"/>
          <w:numId w:val="112"/>
        </w:numPr>
        <w:rPr>
          <w:lang w:eastAsia="x-none"/>
        </w:rPr>
      </w:pPr>
      <w:r w:rsidRPr="00DC1481">
        <w:rPr>
          <w:lang w:eastAsia="x-none"/>
        </w:rPr>
        <w:t>Summary of change: The wording “PUSCH” is changed to “transport block”.</w:t>
      </w:r>
    </w:p>
    <w:p w14:paraId="1C8AC7CE" w14:textId="77777777" w:rsidR="00DC1481" w:rsidRPr="00DC1481" w:rsidRDefault="00DC1481" w:rsidP="00AA1D48">
      <w:pPr>
        <w:pStyle w:val="ListParagraph"/>
        <w:numPr>
          <w:ilvl w:val="0"/>
          <w:numId w:val="112"/>
        </w:numPr>
        <w:rPr>
          <w:lang w:eastAsia="x-none"/>
        </w:rPr>
      </w:pPr>
      <w:r w:rsidRPr="00DC1481">
        <w:rPr>
          <w:lang w:eastAsia="x-none"/>
        </w:rPr>
        <w:t xml:space="preserve">Consequences if not approved: There could be misunderstanding that two CWs would be applied when either maxRank or maxMIMO-Layers is larger than 4 regardless of the transmission scheme. </w:t>
      </w:r>
    </w:p>
    <w:tbl>
      <w:tblPr>
        <w:tblW w:w="5000" w:type="pct"/>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0683"/>
      </w:tblGrid>
      <w:tr w:rsidR="00DC1481" w:rsidRPr="00DC1481" w14:paraId="59257927" w14:textId="77777777" w:rsidTr="00645E2A">
        <w:tc>
          <w:tcPr>
            <w:tcW w:w="5000" w:type="pct"/>
            <w:shd w:val="clear" w:color="auto" w:fill="auto"/>
          </w:tcPr>
          <w:p w14:paraId="4AE9DBAC" w14:textId="77777777" w:rsidR="00DC1481" w:rsidRPr="00022DFC" w:rsidRDefault="00DC1481" w:rsidP="00022DFC">
            <w:pPr>
              <w:rPr>
                <w:rFonts w:ascii="Arial" w:hAnsi="Arial" w:cs="Arial"/>
                <w:b/>
                <w:bCs/>
                <w:sz w:val="16"/>
                <w:szCs w:val="16"/>
                <w:lang w:val="en-US"/>
              </w:rPr>
            </w:pPr>
            <w:r w:rsidRPr="00022DFC">
              <w:rPr>
                <w:rFonts w:ascii="Arial" w:hAnsi="Arial" w:cs="Arial"/>
                <w:b/>
                <w:bCs/>
                <w:sz w:val="16"/>
                <w:szCs w:val="16"/>
                <w:lang w:val="en-US"/>
              </w:rPr>
              <w:t>6.1.5.1</w:t>
            </w:r>
            <w:r w:rsidRPr="00022DFC">
              <w:rPr>
                <w:rFonts w:ascii="Arial" w:hAnsi="Arial" w:cs="Arial"/>
                <w:b/>
                <w:bCs/>
                <w:sz w:val="16"/>
                <w:szCs w:val="16"/>
                <w:lang w:val="en-US"/>
              </w:rPr>
              <w:tab/>
              <w:t>UE procedure for grouping of code blocks to code block groups</w:t>
            </w:r>
          </w:p>
          <w:p w14:paraId="089D22F7" w14:textId="77777777" w:rsidR="00DC1481" w:rsidRPr="00DC1481" w:rsidRDefault="00DC1481" w:rsidP="00DC1481">
            <w:pPr>
              <w:contextualSpacing/>
              <w:rPr>
                <w:rFonts w:ascii="Arial" w:eastAsia="Malgun Gothic" w:hAnsi="Arial" w:cs="Arial"/>
                <w:sz w:val="16"/>
                <w:szCs w:val="16"/>
              </w:rPr>
            </w:pPr>
            <w:r w:rsidRPr="00DC1481">
              <w:rPr>
                <w:rFonts w:ascii="Arial" w:eastAsia="Malgun Gothic" w:hAnsi="Arial" w:cs="Arial"/>
                <w:sz w:val="16"/>
                <w:szCs w:val="16"/>
              </w:rPr>
              <w:t xml:space="preserve">If a UE is configured to transmit code block group (CBG) based transmissions by receiving the higher layer parameter </w:t>
            </w:r>
            <w:r w:rsidRPr="00DC1481">
              <w:rPr>
                <w:rFonts w:ascii="Arial" w:hAnsi="Arial" w:cs="Arial"/>
                <w:i/>
                <w:sz w:val="16"/>
                <w:szCs w:val="16"/>
              </w:rPr>
              <w:t>codeBlockGroupTransmission</w:t>
            </w:r>
            <w:r w:rsidRPr="00DC1481">
              <w:rPr>
                <w:rFonts w:ascii="Arial" w:eastAsia="Malgun Gothic" w:hAnsi="Arial" w:cs="Arial"/>
                <w:sz w:val="16"/>
                <w:szCs w:val="16"/>
              </w:rPr>
              <w:t xml:space="preserve"> in </w:t>
            </w:r>
            <w:r w:rsidRPr="00DC1481">
              <w:rPr>
                <w:rFonts w:ascii="Arial" w:eastAsia="Malgun Gothic" w:hAnsi="Arial" w:cs="Arial"/>
                <w:i/>
                <w:sz w:val="16"/>
                <w:szCs w:val="16"/>
              </w:rPr>
              <w:t>PUSCH-ServingCellConfig</w:t>
            </w:r>
            <w:r w:rsidRPr="00DC1481">
              <w:rPr>
                <w:rFonts w:ascii="Arial" w:eastAsia="Malgun Gothic" w:hAnsi="Arial" w:cs="Arial"/>
                <w:sz w:val="16"/>
                <w:szCs w:val="16"/>
              </w:rPr>
              <w:t xml:space="preserve">, the UE shall determine the number of CBGs for a </w:t>
            </w:r>
            <w:r w:rsidRPr="00DC1481">
              <w:rPr>
                <w:rFonts w:ascii="Arial" w:eastAsia="Malgun Gothic" w:hAnsi="Arial" w:cs="Arial"/>
                <w:strike/>
                <w:sz w:val="16"/>
                <w:szCs w:val="16"/>
              </w:rPr>
              <w:t xml:space="preserve">PUSCH </w:t>
            </w:r>
            <w:r w:rsidRPr="00DC1481">
              <w:rPr>
                <w:rFonts w:ascii="Arial" w:eastAsia="Malgun Gothic" w:hAnsi="Arial" w:cs="Arial"/>
                <w:color w:val="FF0000"/>
                <w:sz w:val="16"/>
                <w:szCs w:val="16"/>
              </w:rPr>
              <w:t>transport block</w:t>
            </w:r>
            <w:r w:rsidRPr="00DC1481">
              <w:rPr>
                <w:rFonts w:ascii="Arial" w:eastAsia="Malgun Gothic" w:hAnsi="Arial" w:cs="Arial"/>
                <w:sz w:val="16"/>
                <w:szCs w:val="16"/>
              </w:rPr>
              <w:t xml:space="preserve"> transmission as </w:t>
            </w:r>
          </w:p>
          <w:p w14:paraId="0F530A2B" w14:textId="77777777" w:rsidR="00DC1481" w:rsidRPr="00DC1481" w:rsidRDefault="00DC1481" w:rsidP="00DC1481">
            <w:pPr>
              <w:contextualSpacing/>
              <w:jc w:val="center"/>
              <w:rPr>
                <w:rFonts w:ascii="Arial" w:eastAsia="Malgun Gothic" w:hAnsi="Arial" w:cs="Arial"/>
                <w:sz w:val="16"/>
                <w:szCs w:val="16"/>
              </w:rPr>
            </w:pPr>
            <w:r w:rsidRPr="00DC1481">
              <w:rPr>
                <w:rFonts w:ascii="Arial" w:eastAsia="Malgun Gothic" w:hAnsi="Arial" w:cs="Arial"/>
                <w:noProof/>
                <w:position w:val="-10"/>
                <w:sz w:val="16"/>
                <w:szCs w:val="16"/>
              </w:rPr>
              <w:object w:dxaOrig="1286" w:dyaOrig="300" w14:anchorId="664F2314">
                <v:shape id="_x0000_i1154" type="#_x0000_t75" style="width:63.75pt;height:14.25pt" o:ole="">
                  <v:imagedata r:id="rId951" o:title=""/>
                </v:shape>
                <o:OLEObject Type="Embed" ProgID="Equation.3" ShapeID="_x0000_i1154" DrawAspect="Content" ObjectID="_1769863828" r:id="rId952"/>
              </w:object>
            </w:r>
            <w:r w:rsidRPr="00DC1481">
              <w:rPr>
                <w:rFonts w:ascii="Arial" w:eastAsia="Malgun Gothic" w:hAnsi="Arial" w:cs="Arial"/>
                <w:sz w:val="16"/>
                <w:szCs w:val="16"/>
              </w:rPr>
              <w:t>,</w:t>
            </w:r>
          </w:p>
          <w:p w14:paraId="7FB9BC14" w14:textId="77777777" w:rsidR="00DC1481" w:rsidRPr="00DC1481" w:rsidRDefault="00DC1481" w:rsidP="00DC1481">
            <w:pPr>
              <w:contextualSpacing/>
              <w:rPr>
                <w:rFonts w:ascii="Arial" w:hAnsi="Arial" w:cs="Arial"/>
                <w:sz w:val="16"/>
                <w:szCs w:val="16"/>
              </w:rPr>
            </w:pPr>
            <w:r w:rsidRPr="00DC1481">
              <w:rPr>
                <w:rFonts w:ascii="Arial" w:eastAsia="Malgun Gothic" w:hAnsi="Arial" w:cs="Arial"/>
                <w:sz w:val="16"/>
                <w:szCs w:val="16"/>
              </w:rPr>
              <w:t xml:space="preserve">where </w:t>
            </w:r>
            <w:r w:rsidRPr="00DC1481">
              <w:rPr>
                <w:rFonts w:ascii="Arial" w:hAnsi="Arial" w:cs="Arial"/>
                <w:i/>
                <w:color w:val="000000"/>
                <w:sz w:val="16"/>
                <w:szCs w:val="16"/>
              </w:rPr>
              <w:t>N</w:t>
            </w:r>
            <w:r w:rsidRPr="00DC1481">
              <w:rPr>
                <w:rFonts w:ascii="Arial" w:hAnsi="Arial" w:cs="Arial"/>
                <w:color w:val="000000"/>
                <w:sz w:val="16"/>
                <w:szCs w:val="16"/>
              </w:rPr>
              <w:t xml:space="preserve"> is the maximum number of CBGs per transport block as configured by </w:t>
            </w:r>
            <w:r w:rsidRPr="00DC1481">
              <w:rPr>
                <w:rFonts w:ascii="Arial" w:hAnsi="Arial" w:cs="Arial"/>
                <w:i/>
                <w:color w:val="000000"/>
                <w:sz w:val="16"/>
                <w:szCs w:val="16"/>
              </w:rPr>
              <w:t>maxCodeBlockGroupsPerTransportBlock</w:t>
            </w:r>
            <w:r w:rsidRPr="00DC1481">
              <w:rPr>
                <w:rFonts w:ascii="Arial" w:hAnsi="Arial" w:cs="Arial"/>
                <w:color w:val="000000"/>
                <w:sz w:val="16"/>
                <w:szCs w:val="16"/>
              </w:rPr>
              <w:t xml:space="preserve"> </w:t>
            </w:r>
            <w:r w:rsidRPr="00DC1481">
              <w:rPr>
                <w:rFonts w:ascii="Arial" w:eastAsia="Malgun Gothic" w:hAnsi="Arial" w:cs="Arial"/>
                <w:sz w:val="16"/>
                <w:szCs w:val="16"/>
              </w:rPr>
              <w:t xml:space="preserve">in </w:t>
            </w:r>
            <w:r w:rsidRPr="00DC1481">
              <w:rPr>
                <w:rFonts w:ascii="Arial" w:eastAsia="Malgun Gothic" w:hAnsi="Arial" w:cs="Arial"/>
                <w:i/>
                <w:sz w:val="16"/>
                <w:szCs w:val="16"/>
              </w:rPr>
              <w:t>PUSCH-ServingCellConfig</w:t>
            </w:r>
            <w:r w:rsidRPr="00DC1481">
              <w:rPr>
                <w:rFonts w:ascii="Arial" w:hAnsi="Arial" w:cs="Arial"/>
                <w:color w:val="000000"/>
                <w:sz w:val="16"/>
                <w:szCs w:val="16"/>
              </w:rPr>
              <w:t xml:space="preserve">, and </w:t>
            </w:r>
            <w:r w:rsidRPr="00DC1481">
              <w:rPr>
                <w:rFonts w:ascii="Arial" w:hAnsi="Arial" w:cs="Arial"/>
                <w:i/>
                <w:color w:val="000000"/>
                <w:sz w:val="16"/>
                <w:szCs w:val="16"/>
              </w:rPr>
              <w:t>C</w:t>
            </w:r>
            <w:r w:rsidRPr="00DC1481">
              <w:rPr>
                <w:rFonts w:ascii="Arial" w:hAnsi="Arial" w:cs="Arial"/>
                <w:color w:val="000000"/>
                <w:sz w:val="16"/>
                <w:szCs w:val="16"/>
              </w:rPr>
              <w:t xml:space="preserve"> is the number of code blocks in the </w:t>
            </w:r>
            <w:r w:rsidRPr="00DC1481">
              <w:rPr>
                <w:rFonts w:ascii="Arial" w:eastAsia="Malgun Gothic" w:hAnsi="Arial" w:cs="Arial"/>
                <w:strike/>
                <w:sz w:val="16"/>
                <w:szCs w:val="16"/>
              </w:rPr>
              <w:t xml:space="preserve">PUSCH </w:t>
            </w:r>
            <w:r w:rsidRPr="00DC1481">
              <w:rPr>
                <w:rFonts w:ascii="Arial" w:eastAsia="Malgun Gothic" w:hAnsi="Arial" w:cs="Arial"/>
                <w:color w:val="FF0000"/>
                <w:sz w:val="16"/>
                <w:szCs w:val="16"/>
              </w:rPr>
              <w:t>transport block</w:t>
            </w:r>
            <w:r w:rsidRPr="00DC1481">
              <w:rPr>
                <w:rFonts w:ascii="Arial" w:hAnsi="Arial" w:cs="Arial"/>
                <w:color w:val="000000"/>
                <w:sz w:val="16"/>
                <w:szCs w:val="16"/>
              </w:rPr>
              <w:t xml:space="preserve"> according to the procedure defined in Clause 6.2.3 of [5, TS 38.212].</w:t>
            </w:r>
          </w:p>
          <w:p w14:paraId="7CE786A6" w14:textId="704D2D91" w:rsidR="00DC1481" w:rsidRPr="00DC1481" w:rsidRDefault="00DC1481" w:rsidP="00645E2A">
            <w:pPr>
              <w:ind w:left="360"/>
              <w:contextualSpacing/>
              <w:rPr>
                <w:rFonts w:ascii="Arial" w:hAnsi="Arial" w:cs="Arial"/>
                <w:sz w:val="16"/>
                <w:szCs w:val="16"/>
                <w:lang w:val="en-US"/>
              </w:rPr>
            </w:pPr>
            <w:r w:rsidRPr="00DC1481">
              <w:rPr>
                <w:rFonts w:ascii="Arial" w:hAnsi="Arial" w:cs="Arial"/>
                <w:color w:val="FF0000"/>
                <w:sz w:val="16"/>
                <w:szCs w:val="16"/>
                <w:lang w:eastAsia="zh-CN"/>
              </w:rPr>
              <w:t>-------------------------------------------Unchanged parts are omitted-------------------------------------------</w:t>
            </w:r>
          </w:p>
        </w:tc>
      </w:tr>
    </w:tbl>
    <w:p w14:paraId="0DA5A7E9" w14:textId="77777777" w:rsidR="00DC1481" w:rsidRPr="00DC1481" w:rsidRDefault="00DC1481" w:rsidP="00DC1481">
      <w:pPr>
        <w:contextualSpacing/>
        <w:rPr>
          <w:rFonts w:ascii="Times New Roman" w:hAnsi="Times New Roman"/>
          <w:szCs w:val="20"/>
        </w:rPr>
      </w:pPr>
    </w:p>
    <w:p w14:paraId="424CF951" w14:textId="77777777" w:rsidR="00645E2A" w:rsidRPr="009E07E2" w:rsidRDefault="00645E2A" w:rsidP="00645E2A">
      <w:pPr>
        <w:rPr>
          <w:rFonts w:ascii="Times New Roman" w:hAnsi="Times New Roman"/>
          <w:highlight w:val="green"/>
          <w:lang w:eastAsia="x-none"/>
        </w:rPr>
      </w:pPr>
      <w:r w:rsidRPr="009E07E2">
        <w:rPr>
          <w:rFonts w:ascii="Times New Roman" w:hAnsi="Times New Roman"/>
          <w:highlight w:val="green"/>
          <w:lang w:eastAsia="x-none"/>
        </w:rPr>
        <w:t>Agreement</w:t>
      </w:r>
    </w:p>
    <w:p w14:paraId="6B1CD112" w14:textId="77777777" w:rsidR="00DC1481" w:rsidRPr="00DC1481" w:rsidRDefault="00DC1481" w:rsidP="00022DFC">
      <w:pPr>
        <w:rPr>
          <w:b/>
          <w:iCs/>
          <w:lang w:eastAsia="zh-CN"/>
        </w:rPr>
      </w:pPr>
      <w:r w:rsidRPr="00DC1481">
        <w:t>Adopt the following text proposal to TS 38.214.</w:t>
      </w:r>
    </w:p>
    <w:p w14:paraId="4B8D8DC2" w14:textId="77777777" w:rsidR="00DC1481" w:rsidRPr="00DC1481" w:rsidRDefault="00DC1481" w:rsidP="00AA1D48">
      <w:pPr>
        <w:pStyle w:val="ListParagraph"/>
        <w:numPr>
          <w:ilvl w:val="0"/>
          <w:numId w:val="113"/>
        </w:numPr>
        <w:rPr>
          <w:lang w:eastAsia="x-none"/>
        </w:rPr>
      </w:pPr>
      <w:r w:rsidRPr="00DC1481">
        <w:rPr>
          <w:lang w:eastAsia="x-none"/>
        </w:rPr>
        <w:t>Reason for change: To capture the conclusion that configured grant PUSCH is restricted to 4 layers even for 8TX UE.</w:t>
      </w:r>
    </w:p>
    <w:p w14:paraId="10842CD0" w14:textId="77777777" w:rsidR="00DC1481" w:rsidRPr="00DC1481" w:rsidRDefault="00DC1481" w:rsidP="00AA1D48">
      <w:pPr>
        <w:pStyle w:val="ListParagraph"/>
        <w:numPr>
          <w:ilvl w:val="0"/>
          <w:numId w:val="113"/>
        </w:numPr>
        <w:rPr>
          <w:lang w:eastAsia="x-none"/>
        </w:rPr>
      </w:pPr>
      <w:r w:rsidRPr="00DC1481">
        <w:rPr>
          <w:lang w:eastAsia="x-none"/>
        </w:rPr>
        <w:t>Summary of change: Add a sentence to clarify.</w:t>
      </w:r>
    </w:p>
    <w:p w14:paraId="39B7D92A" w14:textId="77777777" w:rsidR="00DC1481" w:rsidRPr="00DC1481" w:rsidRDefault="00DC1481" w:rsidP="00AA1D48">
      <w:pPr>
        <w:pStyle w:val="ListParagraph"/>
        <w:numPr>
          <w:ilvl w:val="0"/>
          <w:numId w:val="113"/>
        </w:numPr>
        <w:rPr>
          <w:lang w:eastAsia="x-none"/>
        </w:rPr>
      </w:pPr>
      <w:r w:rsidRPr="00DC1481">
        <w:rPr>
          <w:lang w:eastAsia="x-none"/>
        </w:rPr>
        <w:t>Consequences if not approved: There could be a potential misunderstanding that configured grant PUSCH with more than 4 layers can be supported by an 8TX UE.</w:t>
      </w:r>
    </w:p>
    <w:tbl>
      <w:tblPr>
        <w:tblW w:w="5000" w:type="pct"/>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0683"/>
      </w:tblGrid>
      <w:tr w:rsidR="00DC1481" w:rsidRPr="00DC1481" w14:paraId="2A3C8C9A" w14:textId="77777777" w:rsidTr="00022DFC">
        <w:tc>
          <w:tcPr>
            <w:tcW w:w="5000" w:type="pct"/>
            <w:tcBorders>
              <w:top w:val="single" w:sz="4" w:space="0" w:color="auto"/>
              <w:left w:val="single" w:sz="4" w:space="0" w:color="auto"/>
              <w:bottom w:val="single" w:sz="4" w:space="0" w:color="auto"/>
              <w:right w:val="single" w:sz="4" w:space="0" w:color="auto"/>
            </w:tcBorders>
            <w:shd w:val="clear" w:color="auto" w:fill="auto"/>
          </w:tcPr>
          <w:p w14:paraId="5D130389" w14:textId="77777777" w:rsidR="00DC1481" w:rsidRPr="00022DFC" w:rsidRDefault="00DC1481" w:rsidP="00022DFC">
            <w:pPr>
              <w:rPr>
                <w:rFonts w:ascii="Arial" w:hAnsi="Arial" w:cs="Arial"/>
                <w:b/>
                <w:bCs/>
                <w:sz w:val="16"/>
                <w:szCs w:val="16"/>
              </w:rPr>
            </w:pPr>
            <w:r w:rsidRPr="00022DFC">
              <w:rPr>
                <w:rFonts w:ascii="Arial" w:hAnsi="Arial" w:cs="Arial"/>
                <w:b/>
                <w:bCs/>
                <w:sz w:val="16"/>
                <w:szCs w:val="16"/>
              </w:rPr>
              <w:t>6.1</w:t>
            </w:r>
            <w:r w:rsidRPr="00022DFC">
              <w:rPr>
                <w:rFonts w:ascii="Arial" w:hAnsi="Arial" w:cs="Arial"/>
                <w:b/>
                <w:bCs/>
                <w:sz w:val="16"/>
                <w:szCs w:val="16"/>
              </w:rPr>
              <w:tab/>
              <w:t>UE procedure for transmitting the physical uplink shared channel</w:t>
            </w:r>
          </w:p>
          <w:p w14:paraId="3D7B9276" w14:textId="77777777" w:rsidR="00DC1481" w:rsidRPr="00DC1481" w:rsidRDefault="00DC1481" w:rsidP="00DC1481">
            <w:pPr>
              <w:contextualSpacing/>
              <w:rPr>
                <w:rFonts w:ascii="Arial" w:hAnsi="Arial" w:cs="Arial"/>
                <w:color w:val="FF0000"/>
                <w:sz w:val="16"/>
                <w:szCs w:val="16"/>
                <w:lang w:eastAsia="zh-CN"/>
              </w:rPr>
            </w:pPr>
            <w:r w:rsidRPr="00DC1481">
              <w:rPr>
                <w:rFonts w:ascii="Arial" w:hAnsi="Arial" w:cs="Arial"/>
                <w:color w:val="FF0000"/>
                <w:sz w:val="16"/>
                <w:szCs w:val="16"/>
                <w:lang w:eastAsia="zh-CN"/>
              </w:rPr>
              <w:t>-------------------------------------------Unchanged parts are omitted-------------------------------------------</w:t>
            </w:r>
          </w:p>
          <w:p w14:paraId="48AE7DBA" w14:textId="77777777" w:rsidR="00DC1481" w:rsidRPr="00DC1481" w:rsidRDefault="00DC1481" w:rsidP="00DC1481">
            <w:pPr>
              <w:contextualSpacing/>
              <w:rPr>
                <w:rFonts w:ascii="Arial" w:hAnsi="Arial" w:cs="Arial"/>
                <w:color w:val="000000"/>
                <w:sz w:val="16"/>
                <w:szCs w:val="16"/>
              </w:rPr>
            </w:pPr>
            <w:r w:rsidRPr="00DC1481">
              <w:rPr>
                <w:rFonts w:ascii="Arial" w:hAnsi="Arial" w:cs="Arial"/>
                <w:color w:val="000000"/>
                <w:sz w:val="16"/>
                <w:szCs w:val="16"/>
              </w:rPr>
              <w:t xml:space="preserve">For the PUSCH transmission corresponding to a Type 1 configured grant or a Type 2 configured grant activated by DCI format 0_0 or 0_1, the parameters applied for the transmission are provided by </w:t>
            </w:r>
            <w:r w:rsidRPr="00DC1481">
              <w:rPr>
                <w:rFonts w:ascii="Arial" w:hAnsi="Arial" w:cs="Arial"/>
                <w:i/>
                <w:color w:val="000000"/>
                <w:sz w:val="16"/>
                <w:szCs w:val="16"/>
              </w:rPr>
              <w:t>configuredGrantConfig</w:t>
            </w:r>
            <w:r w:rsidRPr="00DC1481">
              <w:rPr>
                <w:rFonts w:ascii="Arial" w:hAnsi="Arial" w:cs="Arial"/>
                <w:color w:val="000000"/>
                <w:sz w:val="16"/>
                <w:szCs w:val="16"/>
              </w:rPr>
              <w:t xml:space="preserve"> except for </w:t>
            </w:r>
            <w:r w:rsidRPr="00DC1481">
              <w:rPr>
                <w:rFonts w:ascii="Arial" w:hAnsi="Arial" w:cs="Arial"/>
                <w:i/>
                <w:color w:val="000000"/>
                <w:sz w:val="16"/>
                <w:szCs w:val="16"/>
              </w:rPr>
              <w:t>dataScramblingIdentityPUSCH</w:t>
            </w:r>
            <w:r w:rsidRPr="00DC1481">
              <w:rPr>
                <w:rFonts w:ascii="Arial" w:hAnsi="Arial" w:cs="Arial"/>
                <w:color w:val="000000"/>
                <w:sz w:val="16"/>
                <w:szCs w:val="16"/>
              </w:rPr>
              <w:t xml:space="preserve">, </w:t>
            </w:r>
            <w:r w:rsidRPr="00DC1481">
              <w:rPr>
                <w:rFonts w:ascii="Arial" w:hAnsi="Arial" w:cs="Arial"/>
                <w:i/>
                <w:color w:val="000000"/>
                <w:sz w:val="16"/>
                <w:szCs w:val="16"/>
              </w:rPr>
              <w:t>txConfig</w:t>
            </w:r>
            <w:r w:rsidRPr="00DC1481">
              <w:rPr>
                <w:rFonts w:ascii="Arial" w:hAnsi="Arial" w:cs="Arial"/>
                <w:color w:val="000000"/>
                <w:sz w:val="16"/>
                <w:szCs w:val="16"/>
              </w:rPr>
              <w:t xml:space="preserve">, </w:t>
            </w:r>
            <w:r w:rsidRPr="00DC1481">
              <w:rPr>
                <w:rFonts w:ascii="Arial" w:hAnsi="Arial" w:cs="Arial"/>
                <w:i/>
                <w:color w:val="000000"/>
                <w:sz w:val="16"/>
                <w:szCs w:val="16"/>
              </w:rPr>
              <w:t>codebookSubset</w:t>
            </w:r>
            <w:r w:rsidRPr="00DC1481">
              <w:rPr>
                <w:rFonts w:ascii="Arial" w:hAnsi="Arial" w:cs="Arial"/>
                <w:color w:val="000000"/>
                <w:sz w:val="16"/>
                <w:szCs w:val="16"/>
              </w:rPr>
              <w:t xml:space="preserve">, </w:t>
            </w:r>
            <w:r w:rsidRPr="00DC1481">
              <w:rPr>
                <w:rFonts w:ascii="Arial" w:hAnsi="Arial" w:cs="Arial"/>
                <w:i/>
                <w:color w:val="000000"/>
                <w:sz w:val="16"/>
                <w:szCs w:val="16"/>
              </w:rPr>
              <w:t>maxRank</w:t>
            </w:r>
            <w:r w:rsidRPr="00DC1481">
              <w:rPr>
                <w:rFonts w:ascii="Arial" w:hAnsi="Arial" w:cs="Arial"/>
                <w:color w:val="000000"/>
                <w:sz w:val="16"/>
                <w:szCs w:val="16"/>
              </w:rPr>
              <w:t xml:space="preserve">, </w:t>
            </w:r>
            <w:r w:rsidRPr="00DC1481">
              <w:rPr>
                <w:rFonts w:ascii="Arial" w:hAnsi="Arial" w:cs="Arial"/>
                <w:i/>
                <w:color w:val="000000"/>
                <w:sz w:val="16"/>
                <w:szCs w:val="16"/>
              </w:rPr>
              <w:t>scaling</w:t>
            </w:r>
            <w:r w:rsidRPr="00DC1481">
              <w:rPr>
                <w:rFonts w:ascii="Arial" w:hAnsi="Arial" w:cs="Arial"/>
                <w:color w:val="000000"/>
                <w:sz w:val="16"/>
                <w:szCs w:val="16"/>
              </w:rPr>
              <w:t xml:space="preserve"> of </w:t>
            </w:r>
            <w:r w:rsidRPr="00DC1481">
              <w:rPr>
                <w:rFonts w:ascii="Arial" w:hAnsi="Arial" w:cs="Arial"/>
                <w:i/>
                <w:color w:val="000000"/>
                <w:sz w:val="16"/>
                <w:szCs w:val="16"/>
              </w:rPr>
              <w:t xml:space="preserve">UCI-OnPUSCH, </w:t>
            </w:r>
            <w:r w:rsidRPr="00DC1481">
              <w:rPr>
                <w:rFonts w:ascii="Arial" w:hAnsi="Arial" w:cs="Arial"/>
                <w:color w:val="000000"/>
                <w:sz w:val="16"/>
                <w:szCs w:val="16"/>
              </w:rPr>
              <w:t xml:space="preserve">which are provided by </w:t>
            </w:r>
            <w:r w:rsidRPr="00DC1481">
              <w:rPr>
                <w:rFonts w:ascii="Arial" w:hAnsi="Arial" w:cs="Arial"/>
                <w:i/>
                <w:color w:val="000000"/>
                <w:sz w:val="16"/>
                <w:szCs w:val="16"/>
              </w:rPr>
              <w:t>pusch-Config</w:t>
            </w:r>
            <w:r w:rsidRPr="00DC1481">
              <w:rPr>
                <w:rFonts w:ascii="Arial" w:hAnsi="Arial" w:cs="Arial"/>
                <w:color w:val="000000"/>
                <w:sz w:val="16"/>
                <w:szCs w:val="16"/>
              </w:rPr>
              <w:t xml:space="preserve">. </w:t>
            </w:r>
            <w:r w:rsidRPr="00DC1481">
              <w:rPr>
                <w:rFonts w:ascii="Arial" w:hAnsi="Arial" w:cs="Arial"/>
                <w:color w:val="FF0000"/>
                <w:sz w:val="16"/>
                <w:szCs w:val="16"/>
              </w:rPr>
              <w:t>A c</w:t>
            </w:r>
            <w:r w:rsidRPr="00DC1481">
              <w:rPr>
                <w:rFonts w:ascii="Arial" w:hAnsi="Arial" w:cs="Arial"/>
                <w:color w:val="FF0000"/>
                <w:sz w:val="16"/>
                <w:szCs w:val="16"/>
                <w:lang w:eastAsia="zh-CN"/>
              </w:rPr>
              <w:t>onfigured grant PUSCH can be transmitted with at most 4 layers</w:t>
            </w:r>
            <w:r w:rsidRPr="00DC1481">
              <w:rPr>
                <w:rFonts w:ascii="Arial" w:hAnsi="Arial" w:cs="Arial"/>
                <w:color w:val="FF0000"/>
                <w:sz w:val="16"/>
                <w:szCs w:val="16"/>
              </w:rPr>
              <w:t>.</w:t>
            </w:r>
            <w:r w:rsidRPr="00DC1481">
              <w:rPr>
                <w:rFonts w:ascii="Arial" w:hAnsi="Arial" w:cs="Arial"/>
                <w:color w:val="000000"/>
                <w:sz w:val="16"/>
                <w:szCs w:val="16"/>
              </w:rPr>
              <w:t xml:space="preserve"> For the PUSCH transmission corresponding to a Type 2 configured grant activated by DCI format 0_2, the parameters applied for the transmission are provided by </w:t>
            </w:r>
            <w:r w:rsidRPr="00DC1481">
              <w:rPr>
                <w:rFonts w:ascii="Arial" w:hAnsi="Arial" w:cs="Arial"/>
                <w:i/>
                <w:color w:val="000000"/>
                <w:sz w:val="16"/>
                <w:szCs w:val="16"/>
              </w:rPr>
              <w:t>configuredGrantConfig</w:t>
            </w:r>
            <w:r w:rsidRPr="00DC1481">
              <w:rPr>
                <w:rFonts w:ascii="Arial" w:hAnsi="Arial" w:cs="Arial"/>
                <w:color w:val="000000"/>
                <w:sz w:val="16"/>
                <w:szCs w:val="16"/>
              </w:rPr>
              <w:t xml:space="preserve"> except for </w:t>
            </w:r>
            <w:r w:rsidRPr="00DC1481">
              <w:rPr>
                <w:rFonts w:ascii="Arial" w:hAnsi="Arial" w:cs="Arial"/>
                <w:i/>
                <w:color w:val="000000"/>
                <w:sz w:val="16"/>
                <w:szCs w:val="16"/>
              </w:rPr>
              <w:t>dataScramblingIdentityPUSCH</w:t>
            </w:r>
            <w:r w:rsidRPr="00DC1481">
              <w:rPr>
                <w:rFonts w:ascii="Arial" w:hAnsi="Arial" w:cs="Arial"/>
                <w:color w:val="000000"/>
                <w:sz w:val="16"/>
                <w:szCs w:val="16"/>
              </w:rPr>
              <w:t xml:space="preserve">, </w:t>
            </w:r>
            <w:r w:rsidRPr="00DC1481">
              <w:rPr>
                <w:rFonts w:ascii="Arial" w:hAnsi="Arial" w:cs="Arial"/>
                <w:i/>
                <w:color w:val="000000"/>
                <w:sz w:val="16"/>
                <w:szCs w:val="16"/>
              </w:rPr>
              <w:t>txConfig</w:t>
            </w:r>
            <w:r w:rsidRPr="00DC1481">
              <w:rPr>
                <w:rFonts w:ascii="Arial" w:hAnsi="Arial" w:cs="Arial"/>
                <w:color w:val="000000"/>
                <w:sz w:val="16"/>
                <w:szCs w:val="16"/>
              </w:rPr>
              <w:t xml:space="preserve">, </w:t>
            </w:r>
            <w:r w:rsidRPr="00DC1481">
              <w:rPr>
                <w:rFonts w:ascii="Arial" w:hAnsi="Arial" w:cs="Arial"/>
                <w:i/>
                <w:color w:val="000000"/>
                <w:sz w:val="16"/>
                <w:szCs w:val="16"/>
              </w:rPr>
              <w:t>codebookSubsetDCI-0-2</w:t>
            </w:r>
            <w:r w:rsidRPr="00DC1481">
              <w:rPr>
                <w:rFonts w:ascii="Arial" w:hAnsi="Arial" w:cs="Arial"/>
                <w:color w:val="000000"/>
                <w:sz w:val="16"/>
                <w:szCs w:val="16"/>
              </w:rPr>
              <w:t xml:space="preserve">, </w:t>
            </w:r>
            <w:r w:rsidRPr="00DC1481">
              <w:rPr>
                <w:rFonts w:ascii="Arial" w:hAnsi="Arial" w:cs="Arial"/>
                <w:i/>
                <w:color w:val="000000"/>
                <w:sz w:val="16"/>
                <w:szCs w:val="16"/>
              </w:rPr>
              <w:t>maxRankDCI-0-2</w:t>
            </w:r>
            <w:r w:rsidRPr="00DC1481">
              <w:rPr>
                <w:rFonts w:ascii="Arial" w:hAnsi="Arial" w:cs="Arial"/>
                <w:color w:val="000000"/>
                <w:sz w:val="16"/>
                <w:szCs w:val="16"/>
              </w:rPr>
              <w:t xml:space="preserve">, </w:t>
            </w:r>
            <w:r w:rsidRPr="00DC1481">
              <w:rPr>
                <w:rFonts w:ascii="Arial" w:hAnsi="Arial" w:cs="Arial"/>
                <w:i/>
                <w:color w:val="000000"/>
                <w:sz w:val="16"/>
                <w:szCs w:val="16"/>
              </w:rPr>
              <w:t>scaling</w:t>
            </w:r>
            <w:r w:rsidRPr="00DC1481">
              <w:rPr>
                <w:rFonts w:ascii="Arial" w:hAnsi="Arial" w:cs="Arial"/>
                <w:color w:val="000000"/>
                <w:sz w:val="16"/>
                <w:szCs w:val="16"/>
              </w:rPr>
              <w:t xml:space="preserve"> of </w:t>
            </w:r>
            <w:r w:rsidRPr="00DC1481">
              <w:rPr>
                <w:rFonts w:ascii="Arial" w:hAnsi="Arial" w:cs="Arial"/>
                <w:i/>
                <w:color w:val="000000"/>
                <w:sz w:val="16"/>
                <w:szCs w:val="16"/>
              </w:rPr>
              <w:t>UCI-OnPUSCH</w:t>
            </w:r>
            <w:r w:rsidRPr="00DC1481">
              <w:rPr>
                <w:rFonts w:ascii="Arial" w:hAnsi="Arial" w:cs="Arial"/>
                <w:iCs/>
                <w:color w:val="000000"/>
                <w:sz w:val="16"/>
                <w:szCs w:val="16"/>
              </w:rPr>
              <w:t>,</w:t>
            </w:r>
            <w:r w:rsidRPr="00DC1481">
              <w:rPr>
                <w:rFonts w:ascii="Arial" w:hAnsi="Arial" w:cs="Arial"/>
                <w:i/>
                <w:color w:val="000000"/>
                <w:sz w:val="16"/>
                <w:szCs w:val="16"/>
              </w:rPr>
              <w:t xml:space="preserve"> resourceAllocationType1GranularityDCI-0-2 </w:t>
            </w:r>
            <w:r w:rsidRPr="00DC1481">
              <w:rPr>
                <w:rFonts w:ascii="Arial" w:hAnsi="Arial" w:cs="Arial"/>
                <w:color w:val="000000"/>
                <w:sz w:val="16"/>
                <w:szCs w:val="16"/>
              </w:rPr>
              <w:t>provided by</w:t>
            </w:r>
            <w:r w:rsidRPr="00DC1481">
              <w:rPr>
                <w:rFonts w:ascii="Arial" w:hAnsi="Arial" w:cs="Arial"/>
                <w:i/>
                <w:color w:val="000000"/>
                <w:sz w:val="16"/>
                <w:szCs w:val="16"/>
              </w:rPr>
              <w:t xml:space="preserve"> pusch-Config</w:t>
            </w:r>
            <w:r w:rsidRPr="00DC1481">
              <w:rPr>
                <w:rFonts w:ascii="Arial" w:hAnsi="Arial" w:cs="Arial"/>
                <w:color w:val="000000"/>
                <w:sz w:val="16"/>
                <w:szCs w:val="16"/>
              </w:rPr>
              <w:t>.</w:t>
            </w:r>
            <w:r w:rsidRPr="00DC1481">
              <w:rPr>
                <w:rFonts w:ascii="Arial" w:hAnsi="Arial" w:cs="Arial"/>
                <w:i/>
                <w:color w:val="000000"/>
                <w:sz w:val="16"/>
                <w:szCs w:val="16"/>
              </w:rPr>
              <w:t xml:space="preserve"> </w:t>
            </w:r>
            <w:r w:rsidRPr="00DC1481">
              <w:rPr>
                <w:rFonts w:ascii="Arial" w:hAnsi="Arial" w:cs="Arial"/>
                <w:color w:val="000000"/>
                <w:sz w:val="16"/>
                <w:szCs w:val="16"/>
              </w:rPr>
              <w:t xml:space="preserve">If the UE is provided with </w:t>
            </w:r>
            <w:r w:rsidRPr="00DC1481">
              <w:rPr>
                <w:rFonts w:ascii="Arial" w:hAnsi="Arial" w:cs="Arial"/>
                <w:i/>
                <w:iCs/>
                <w:color w:val="000000"/>
                <w:sz w:val="16"/>
                <w:szCs w:val="16"/>
              </w:rPr>
              <w:t>transformPrecoder</w:t>
            </w:r>
            <w:r w:rsidRPr="00DC1481">
              <w:rPr>
                <w:rFonts w:ascii="Arial" w:hAnsi="Arial" w:cs="Arial"/>
                <w:iCs/>
                <w:color w:val="000000"/>
                <w:sz w:val="16"/>
                <w:szCs w:val="16"/>
              </w:rPr>
              <w:t xml:space="preserve"> in </w:t>
            </w:r>
            <w:r w:rsidRPr="00DC1481">
              <w:rPr>
                <w:rFonts w:ascii="Arial" w:hAnsi="Arial" w:cs="Arial"/>
                <w:i/>
                <w:iCs/>
                <w:color w:val="000000"/>
                <w:sz w:val="16"/>
                <w:szCs w:val="16"/>
                <w:lang w:eastAsia="ko-KR"/>
              </w:rPr>
              <w:t>configuredGrantConfig</w:t>
            </w:r>
            <w:r w:rsidRPr="00DC1481">
              <w:rPr>
                <w:rFonts w:ascii="Arial" w:hAnsi="Arial" w:cs="Arial"/>
                <w:iCs/>
                <w:color w:val="000000"/>
                <w:sz w:val="16"/>
                <w:szCs w:val="16"/>
                <w:lang w:eastAsia="ko-KR"/>
              </w:rPr>
              <w:t xml:space="preserve">, the UE applies the higher layer parameter </w:t>
            </w:r>
            <w:r w:rsidRPr="00DC1481">
              <w:rPr>
                <w:rFonts w:ascii="Arial" w:hAnsi="Arial" w:cs="Arial"/>
                <w:i/>
                <w:color w:val="000000"/>
                <w:sz w:val="16"/>
                <w:szCs w:val="16"/>
              </w:rPr>
              <w:t>tp-pi2BPSK</w:t>
            </w:r>
            <w:r w:rsidRPr="00DC1481">
              <w:rPr>
                <w:rFonts w:ascii="Arial" w:hAnsi="Arial" w:cs="Arial"/>
                <w:color w:val="000000"/>
                <w:sz w:val="16"/>
                <w:szCs w:val="16"/>
              </w:rPr>
              <w:t xml:space="preserve">, if provided in </w:t>
            </w:r>
            <w:r w:rsidRPr="00DC1481">
              <w:rPr>
                <w:rFonts w:ascii="Arial" w:hAnsi="Arial" w:cs="Arial"/>
                <w:i/>
                <w:color w:val="000000"/>
                <w:sz w:val="16"/>
                <w:szCs w:val="16"/>
              </w:rPr>
              <w:t>pusch-Config</w:t>
            </w:r>
            <w:r w:rsidRPr="00DC1481">
              <w:rPr>
                <w:rFonts w:ascii="Arial" w:hAnsi="Arial" w:cs="Arial"/>
                <w:color w:val="000000"/>
                <w:sz w:val="16"/>
                <w:szCs w:val="16"/>
              </w:rPr>
              <w:t xml:space="preserve">, according to the procedure described in clause 6.1.4 for the PUSCH transmission corresponding to a configured grant. </w:t>
            </w:r>
          </w:p>
          <w:p w14:paraId="691A1FA3" w14:textId="77777777" w:rsidR="00DC1481" w:rsidRPr="00DC1481" w:rsidRDefault="00DC1481" w:rsidP="00DC1481">
            <w:pPr>
              <w:contextualSpacing/>
              <w:rPr>
                <w:rFonts w:ascii="Arial" w:hAnsi="Arial" w:cs="Arial"/>
                <w:color w:val="000000"/>
                <w:sz w:val="16"/>
                <w:szCs w:val="16"/>
                <w:highlight w:val="green"/>
                <w:lang w:eastAsia="ja-JP"/>
              </w:rPr>
            </w:pPr>
            <w:r w:rsidRPr="00DC1481">
              <w:rPr>
                <w:rFonts w:ascii="Arial" w:hAnsi="Arial" w:cs="Arial"/>
                <w:color w:val="FF0000"/>
                <w:sz w:val="16"/>
                <w:szCs w:val="16"/>
                <w:lang w:eastAsia="zh-CN"/>
              </w:rPr>
              <w:t>-------------------------------------------Unchanged parts are omitted-------------------------------------------</w:t>
            </w:r>
          </w:p>
        </w:tc>
      </w:tr>
    </w:tbl>
    <w:p w14:paraId="6FEAC85C" w14:textId="77777777" w:rsidR="00DC1481" w:rsidRDefault="00DC1481" w:rsidP="00DC1481">
      <w:pPr>
        <w:contextualSpacing/>
        <w:rPr>
          <w:rFonts w:ascii="Times New Roman" w:hAnsi="Times New Roman"/>
          <w:szCs w:val="20"/>
        </w:rPr>
      </w:pPr>
    </w:p>
    <w:p w14:paraId="15AEF5ED" w14:textId="270CB29C" w:rsidR="00022DFC" w:rsidRPr="00DC1481" w:rsidRDefault="00022DFC" w:rsidP="00DC1481">
      <w:pPr>
        <w:contextualSpacing/>
        <w:rPr>
          <w:rFonts w:ascii="Times New Roman" w:hAnsi="Times New Roman"/>
          <w:szCs w:val="20"/>
          <w:u w:val="single"/>
        </w:rPr>
      </w:pPr>
      <w:r w:rsidRPr="00022DFC">
        <w:rPr>
          <w:rFonts w:ascii="Times New Roman" w:hAnsi="Times New Roman"/>
          <w:szCs w:val="20"/>
          <w:u w:val="single"/>
        </w:rPr>
        <w:t>Conclusion</w:t>
      </w:r>
    </w:p>
    <w:p w14:paraId="716C208B" w14:textId="77777777" w:rsidR="00DC1481" w:rsidRPr="00DC1481" w:rsidRDefault="00DC1481" w:rsidP="00022DFC">
      <w:pPr>
        <w:rPr>
          <w:lang w:val="en-US"/>
        </w:rPr>
      </w:pPr>
      <w:r w:rsidRPr="00DC1481">
        <w:rPr>
          <w:lang w:val="en-US"/>
        </w:rPr>
        <w:t>In Rel-18,</w:t>
      </w:r>
      <w:r w:rsidRPr="00DC1481">
        <w:rPr>
          <w:b/>
          <w:lang w:val="en-US"/>
        </w:rPr>
        <w:t xml:space="preserve"> </w:t>
      </w:r>
      <w:r w:rsidRPr="00DC1481">
        <w:rPr>
          <w:lang w:val="en-US"/>
        </w:rPr>
        <w:t>there is no consensus to support use of DCI format 0_3 for scheduling a PUSCH for an 8TX UE.</w:t>
      </w:r>
    </w:p>
    <w:p w14:paraId="393BB925" w14:textId="77777777" w:rsidR="00DC1481" w:rsidRPr="00DC1481" w:rsidRDefault="00DC1481" w:rsidP="00DC1481">
      <w:pPr>
        <w:rPr>
          <w:rFonts w:ascii="Times New Roman" w:hAnsi="Times New Roman"/>
          <w:szCs w:val="20"/>
          <w:lang w:val="en-US" w:eastAsia="x-none"/>
        </w:rPr>
      </w:pPr>
    </w:p>
    <w:p w14:paraId="28F4C490" w14:textId="77777777" w:rsidR="00022DFC" w:rsidRPr="009E07E2" w:rsidRDefault="00022DFC" w:rsidP="00022DFC">
      <w:pPr>
        <w:rPr>
          <w:rFonts w:ascii="Times New Roman" w:hAnsi="Times New Roman"/>
          <w:highlight w:val="green"/>
          <w:lang w:eastAsia="x-none"/>
        </w:rPr>
      </w:pPr>
      <w:r w:rsidRPr="009E07E2">
        <w:rPr>
          <w:rFonts w:ascii="Times New Roman" w:hAnsi="Times New Roman"/>
          <w:highlight w:val="green"/>
          <w:lang w:eastAsia="x-none"/>
        </w:rPr>
        <w:t>Agreement</w:t>
      </w:r>
    </w:p>
    <w:p w14:paraId="367A9927" w14:textId="77777777" w:rsidR="00DC1481" w:rsidRPr="00DC1481" w:rsidRDefault="00DC1481" w:rsidP="00022DFC">
      <w:pPr>
        <w:rPr>
          <w:b/>
          <w:iCs/>
          <w:lang w:eastAsia="zh-CN"/>
        </w:rPr>
      </w:pPr>
      <w:r w:rsidRPr="00DC1481">
        <w:t>Adopt the following text proposal to TS 38.213.</w:t>
      </w:r>
    </w:p>
    <w:p w14:paraId="18524609" w14:textId="77777777" w:rsidR="00DC1481" w:rsidRPr="00DC1481" w:rsidRDefault="00DC1481" w:rsidP="00AA1D48">
      <w:pPr>
        <w:pStyle w:val="ListParagraph"/>
        <w:numPr>
          <w:ilvl w:val="0"/>
          <w:numId w:val="114"/>
        </w:numPr>
        <w:rPr>
          <w:lang w:eastAsia="x-none"/>
        </w:rPr>
      </w:pPr>
      <w:r w:rsidRPr="00DC1481">
        <w:rPr>
          <w:lang w:eastAsia="x-none"/>
        </w:rPr>
        <w:t xml:space="preserve">Reason for change: The exiting table in the specifications is accurate only for single codeword PUSCH. </w:t>
      </w:r>
    </w:p>
    <w:p w14:paraId="27558B15" w14:textId="77777777" w:rsidR="00DC1481" w:rsidRPr="00DC1481" w:rsidRDefault="00DC1481" w:rsidP="00AA1D48">
      <w:pPr>
        <w:pStyle w:val="ListParagraph"/>
        <w:numPr>
          <w:ilvl w:val="0"/>
          <w:numId w:val="114"/>
        </w:numPr>
        <w:rPr>
          <w:lang w:eastAsia="x-none"/>
        </w:rPr>
      </w:pPr>
      <w:r w:rsidRPr="00DC1481">
        <w:rPr>
          <w:lang w:eastAsia="x-none"/>
        </w:rPr>
        <w:t>Summary of change: Add a column to separate the case for DCI format 0_1 from DCI format 0_0/0_2.</w:t>
      </w:r>
    </w:p>
    <w:p w14:paraId="17C566DE" w14:textId="77777777" w:rsidR="00DC1481" w:rsidRPr="00DC1481" w:rsidRDefault="00DC1481" w:rsidP="00AA1D48">
      <w:pPr>
        <w:pStyle w:val="ListParagraph"/>
        <w:numPr>
          <w:ilvl w:val="0"/>
          <w:numId w:val="114"/>
        </w:numPr>
        <w:rPr>
          <w:lang w:eastAsia="x-none"/>
        </w:rPr>
      </w:pPr>
      <w:r w:rsidRPr="00DC1481">
        <w:rPr>
          <w:lang w:eastAsia="x-none"/>
        </w:rPr>
        <w:t xml:space="preserve">Consequences if not approved: Inaccurate capture of the operation. </w:t>
      </w:r>
    </w:p>
    <w:tbl>
      <w:tblPr>
        <w:tblW w:w="5000" w:type="pct"/>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0683"/>
      </w:tblGrid>
      <w:tr w:rsidR="00DC1481" w:rsidRPr="00DC1481" w14:paraId="66D46758" w14:textId="77777777" w:rsidTr="00022DFC">
        <w:tc>
          <w:tcPr>
            <w:tcW w:w="5000" w:type="pct"/>
            <w:shd w:val="clear" w:color="auto" w:fill="auto"/>
          </w:tcPr>
          <w:p w14:paraId="0B081C02" w14:textId="77777777" w:rsidR="00DC1481" w:rsidRPr="00DC1481" w:rsidRDefault="00DC1481" w:rsidP="00DC1481">
            <w:pPr>
              <w:keepNext/>
              <w:keepLines/>
              <w:overflowPunct w:val="0"/>
              <w:autoSpaceDE w:val="0"/>
              <w:autoSpaceDN w:val="0"/>
              <w:adjustRightInd w:val="0"/>
              <w:contextualSpacing/>
              <w:jc w:val="center"/>
              <w:textAlignment w:val="baseline"/>
              <w:rPr>
                <w:rFonts w:ascii="Arial" w:eastAsia="Times New Roman" w:hAnsi="Arial" w:cs="Arial"/>
                <w:bCs/>
                <w:sz w:val="16"/>
                <w:szCs w:val="16"/>
                <w:lang w:eastAsia="zh-CN"/>
              </w:rPr>
            </w:pPr>
            <w:r w:rsidRPr="00DC1481">
              <w:rPr>
                <w:rFonts w:ascii="Arial" w:eastAsia="Times New Roman" w:hAnsi="Arial" w:cs="Arial"/>
                <w:bCs/>
                <w:color w:val="FF0000"/>
                <w:sz w:val="16"/>
                <w:szCs w:val="16"/>
                <w:lang w:eastAsia="zh-CN"/>
              </w:rPr>
              <w:t>-------------------------------------------Unchanged parts are omitted-------------------------------------------</w:t>
            </w:r>
          </w:p>
          <w:p w14:paraId="51272588" w14:textId="77777777" w:rsidR="00DC1481" w:rsidRPr="00DC1481" w:rsidRDefault="00DC1481" w:rsidP="00DC1481">
            <w:pPr>
              <w:keepNext/>
              <w:keepLines/>
              <w:overflowPunct w:val="0"/>
              <w:autoSpaceDE w:val="0"/>
              <w:autoSpaceDN w:val="0"/>
              <w:adjustRightInd w:val="0"/>
              <w:contextualSpacing/>
              <w:jc w:val="center"/>
              <w:textAlignment w:val="baseline"/>
              <w:rPr>
                <w:rFonts w:ascii="Arial" w:eastAsia="Times New Roman" w:hAnsi="Arial" w:cs="Arial"/>
                <w:b/>
                <w:sz w:val="16"/>
                <w:szCs w:val="16"/>
                <w:lang w:eastAsia="zh-CN"/>
              </w:rPr>
            </w:pPr>
            <w:r w:rsidRPr="00DC1481">
              <w:rPr>
                <w:rFonts w:ascii="Arial" w:eastAsia="Times New Roman" w:hAnsi="Arial" w:cs="Arial"/>
                <w:b/>
                <w:bCs/>
                <w:sz w:val="16"/>
                <w:szCs w:val="16"/>
                <w:lang w:eastAsia="zh-CN"/>
              </w:rPr>
              <w:t xml:space="preserve">Table 10.2-1: Special fields for single DL SPS or single UL grant Type 2 scheduling activation PDCCH validation </w:t>
            </w:r>
            <w:r w:rsidRPr="00DC1481">
              <w:rPr>
                <w:rFonts w:ascii="Arial" w:eastAsia="Times New Roman" w:hAnsi="Arial" w:cs="Arial"/>
                <w:b/>
                <w:sz w:val="16"/>
                <w:szCs w:val="16"/>
                <w:lang w:eastAsia="ko-KR"/>
              </w:rPr>
              <w:t>when a UE is provided a single</w:t>
            </w:r>
            <w:r w:rsidRPr="00DC1481">
              <w:rPr>
                <w:rFonts w:ascii="Arial" w:eastAsia="Times New Roman" w:hAnsi="Arial" w:cs="Arial"/>
                <w:b/>
                <w:iCs/>
                <w:sz w:val="16"/>
                <w:szCs w:val="16"/>
                <w:lang w:eastAsia="zh-CN"/>
              </w:rPr>
              <w:t xml:space="preserve"> SPS PDSCH </w:t>
            </w:r>
            <w:r w:rsidRPr="00DC1481">
              <w:rPr>
                <w:rFonts w:ascii="Arial" w:eastAsia="Times New Roman" w:hAnsi="Arial" w:cs="Arial"/>
                <w:b/>
                <w:bCs/>
                <w:sz w:val="16"/>
                <w:szCs w:val="16"/>
                <w:lang w:eastAsia="zh-CN"/>
              </w:rPr>
              <w:t xml:space="preserve">or UL grant Type 2 </w:t>
            </w:r>
            <w:r w:rsidRPr="00DC1481">
              <w:rPr>
                <w:rFonts w:ascii="Arial" w:eastAsia="Times New Roman" w:hAnsi="Arial" w:cs="Arial"/>
                <w:b/>
                <w:iCs/>
                <w:sz w:val="16"/>
                <w:szCs w:val="16"/>
                <w:lang w:eastAsia="zh-CN"/>
              </w:rPr>
              <w:t xml:space="preserve">configuration </w:t>
            </w:r>
            <w:r w:rsidRPr="00DC1481">
              <w:rPr>
                <w:rFonts w:ascii="Arial" w:eastAsia="MS Mincho" w:hAnsi="Arial" w:cs="Arial"/>
                <w:b/>
                <w:bCs/>
                <w:sz w:val="16"/>
                <w:szCs w:val="16"/>
                <w:lang w:eastAsia="ko-KR"/>
              </w:rPr>
              <w:t>in the active DL/UL BWP of the scheduled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953"/>
              <w:gridCol w:w="1885"/>
              <w:gridCol w:w="1655"/>
              <w:gridCol w:w="1946"/>
              <w:gridCol w:w="2129"/>
            </w:tblGrid>
            <w:tr w:rsidR="00DC1481" w:rsidRPr="00DC1481" w14:paraId="095DCB95" w14:textId="77777777" w:rsidTr="00124274">
              <w:trPr>
                <w:cantSplit/>
                <w:jc w:val="center"/>
              </w:trPr>
              <w:tc>
                <w:tcPr>
                  <w:tcW w:w="1953" w:type="dxa"/>
                  <w:tcBorders>
                    <w:top w:val="single" w:sz="4" w:space="0" w:color="auto"/>
                    <w:left w:val="single" w:sz="4" w:space="0" w:color="auto"/>
                    <w:bottom w:val="single" w:sz="4" w:space="0" w:color="auto"/>
                    <w:right w:val="single" w:sz="4" w:space="0" w:color="auto"/>
                  </w:tcBorders>
                  <w:shd w:val="clear" w:color="auto" w:fill="E0E0E0"/>
                  <w:vAlign w:val="center"/>
                </w:tcPr>
                <w:p w14:paraId="65D7C412" w14:textId="77777777" w:rsidR="00DC1481" w:rsidRPr="00DC1481" w:rsidRDefault="00DC1481" w:rsidP="00DC1481">
                  <w:pPr>
                    <w:keepNext/>
                    <w:keepLines/>
                    <w:overflowPunct w:val="0"/>
                    <w:autoSpaceDE w:val="0"/>
                    <w:autoSpaceDN w:val="0"/>
                    <w:adjustRightInd w:val="0"/>
                    <w:jc w:val="center"/>
                    <w:textAlignment w:val="baseline"/>
                    <w:rPr>
                      <w:rFonts w:ascii="Arial" w:eastAsia="Times New Roman" w:hAnsi="Arial" w:cs="Arial"/>
                      <w:b/>
                      <w:sz w:val="16"/>
                      <w:szCs w:val="16"/>
                      <w:lang w:eastAsia="zh-CN"/>
                    </w:rPr>
                  </w:pPr>
                </w:p>
              </w:tc>
              <w:tc>
                <w:tcPr>
                  <w:tcW w:w="1885"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2189D56F" w14:textId="77777777" w:rsidR="00DC1481" w:rsidRPr="00DC1481" w:rsidRDefault="00DC1481" w:rsidP="00DC1481">
                  <w:pPr>
                    <w:keepNext/>
                    <w:keepLines/>
                    <w:overflowPunct w:val="0"/>
                    <w:autoSpaceDE w:val="0"/>
                    <w:autoSpaceDN w:val="0"/>
                    <w:adjustRightInd w:val="0"/>
                    <w:jc w:val="center"/>
                    <w:textAlignment w:val="baseline"/>
                    <w:rPr>
                      <w:rFonts w:ascii="Arial" w:eastAsia="Times New Roman" w:hAnsi="Arial" w:cs="Arial"/>
                      <w:b/>
                      <w:sz w:val="16"/>
                      <w:szCs w:val="16"/>
                      <w:lang w:eastAsia="zh-CN"/>
                    </w:rPr>
                  </w:pPr>
                  <w:r w:rsidRPr="00DC1481">
                    <w:rPr>
                      <w:rFonts w:ascii="Arial" w:eastAsia="Times New Roman" w:hAnsi="Arial" w:cs="Arial"/>
                      <w:b/>
                      <w:sz w:val="16"/>
                      <w:szCs w:val="16"/>
                      <w:lang w:eastAsia="zh-CN"/>
                    </w:rPr>
                    <w:t>DCI format 0_0</w:t>
                  </w:r>
                  <w:r w:rsidRPr="00DC1481">
                    <w:rPr>
                      <w:rFonts w:ascii="Arial" w:eastAsia="Times New Roman" w:hAnsi="Arial" w:cs="Arial"/>
                      <w:b/>
                      <w:strike/>
                      <w:color w:val="FF0000"/>
                      <w:sz w:val="16"/>
                      <w:szCs w:val="16"/>
                      <w:lang w:eastAsia="zh-CN"/>
                    </w:rPr>
                    <w:t>/0_1</w:t>
                  </w:r>
                  <w:r w:rsidRPr="00DC1481">
                    <w:rPr>
                      <w:rFonts w:ascii="Arial" w:eastAsia="Times New Roman" w:hAnsi="Arial" w:cs="Arial"/>
                      <w:b/>
                      <w:sz w:val="16"/>
                      <w:szCs w:val="16"/>
                      <w:lang w:eastAsia="zh-CN"/>
                    </w:rPr>
                    <w:t>/0_2</w:t>
                  </w:r>
                  <w:r w:rsidRPr="00DC1481">
                    <w:rPr>
                      <w:rFonts w:ascii="Arial" w:eastAsia="Times New Roman" w:hAnsi="Arial" w:cs="Arial"/>
                      <w:b/>
                      <w:color w:val="FF0000"/>
                      <w:sz w:val="16"/>
                      <w:szCs w:val="16"/>
                      <w:lang w:eastAsia="zh-CN"/>
                    </w:rPr>
                    <w:t xml:space="preserve"> </w:t>
                  </w:r>
                </w:p>
              </w:tc>
              <w:tc>
                <w:tcPr>
                  <w:tcW w:w="1655"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3FCDD692" w14:textId="77777777" w:rsidR="00DC1481" w:rsidRPr="00DC1481" w:rsidRDefault="00DC1481" w:rsidP="00DC1481">
                  <w:pPr>
                    <w:keepNext/>
                    <w:keepLines/>
                    <w:overflowPunct w:val="0"/>
                    <w:autoSpaceDE w:val="0"/>
                    <w:autoSpaceDN w:val="0"/>
                    <w:adjustRightInd w:val="0"/>
                    <w:jc w:val="center"/>
                    <w:textAlignment w:val="baseline"/>
                    <w:rPr>
                      <w:rFonts w:ascii="Arial" w:eastAsia="Times New Roman" w:hAnsi="Arial" w:cs="Arial"/>
                      <w:b/>
                      <w:color w:val="FF0000"/>
                      <w:sz w:val="16"/>
                      <w:szCs w:val="16"/>
                      <w:lang w:eastAsia="zh-CN"/>
                    </w:rPr>
                  </w:pPr>
                  <w:r w:rsidRPr="00DC1481">
                    <w:rPr>
                      <w:rFonts w:ascii="Arial" w:eastAsia="Times New Roman" w:hAnsi="Arial" w:cs="Arial"/>
                      <w:b/>
                      <w:color w:val="FF0000"/>
                      <w:sz w:val="16"/>
                      <w:szCs w:val="16"/>
                      <w:lang w:eastAsia="zh-CN"/>
                    </w:rPr>
                    <w:t xml:space="preserve">DCI format 0_1 </w:t>
                  </w:r>
                </w:p>
              </w:tc>
              <w:tc>
                <w:tcPr>
                  <w:tcW w:w="1946"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56AD714F" w14:textId="77777777" w:rsidR="00DC1481" w:rsidRPr="00DC1481" w:rsidRDefault="00DC1481" w:rsidP="00DC1481">
                  <w:pPr>
                    <w:keepNext/>
                    <w:keepLines/>
                    <w:overflowPunct w:val="0"/>
                    <w:autoSpaceDE w:val="0"/>
                    <w:autoSpaceDN w:val="0"/>
                    <w:adjustRightInd w:val="0"/>
                    <w:jc w:val="center"/>
                    <w:textAlignment w:val="baseline"/>
                    <w:rPr>
                      <w:rFonts w:ascii="Arial" w:eastAsia="Times New Roman" w:hAnsi="Arial" w:cs="Arial"/>
                      <w:b/>
                      <w:sz w:val="16"/>
                      <w:szCs w:val="16"/>
                      <w:lang w:eastAsia="zh-CN"/>
                    </w:rPr>
                  </w:pPr>
                  <w:r w:rsidRPr="00DC1481">
                    <w:rPr>
                      <w:rFonts w:ascii="Arial" w:eastAsia="Times New Roman" w:hAnsi="Arial" w:cs="Arial"/>
                      <w:b/>
                      <w:sz w:val="16"/>
                      <w:szCs w:val="16"/>
                      <w:lang w:eastAsia="zh-CN"/>
                    </w:rPr>
                    <w:t>DCI format 1_0/1_2/4_1</w:t>
                  </w:r>
                </w:p>
              </w:tc>
              <w:tc>
                <w:tcPr>
                  <w:tcW w:w="2129"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56E0CE79" w14:textId="77777777" w:rsidR="00DC1481" w:rsidRPr="00DC1481" w:rsidRDefault="00DC1481" w:rsidP="00DC1481">
                  <w:pPr>
                    <w:keepNext/>
                    <w:keepLines/>
                    <w:overflowPunct w:val="0"/>
                    <w:autoSpaceDE w:val="0"/>
                    <w:autoSpaceDN w:val="0"/>
                    <w:adjustRightInd w:val="0"/>
                    <w:jc w:val="center"/>
                    <w:textAlignment w:val="baseline"/>
                    <w:rPr>
                      <w:rFonts w:ascii="Arial" w:eastAsia="Times New Roman" w:hAnsi="Arial" w:cs="Arial"/>
                      <w:b/>
                      <w:sz w:val="16"/>
                      <w:szCs w:val="16"/>
                      <w:lang w:eastAsia="zh-CN"/>
                    </w:rPr>
                  </w:pPr>
                  <w:r w:rsidRPr="00DC1481">
                    <w:rPr>
                      <w:rFonts w:ascii="Arial" w:eastAsia="Times New Roman" w:hAnsi="Arial" w:cs="Arial"/>
                      <w:b/>
                      <w:sz w:val="16"/>
                      <w:szCs w:val="16"/>
                      <w:lang w:eastAsia="zh-CN"/>
                    </w:rPr>
                    <w:t>DCI format 1_1/4_2</w:t>
                  </w:r>
                </w:p>
              </w:tc>
            </w:tr>
            <w:tr w:rsidR="00DC1481" w:rsidRPr="00DC1481" w14:paraId="5B8CF542" w14:textId="77777777" w:rsidTr="00124274">
              <w:trPr>
                <w:cantSplit/>
                <w:jc w:val="center"/>
              </w:trPr>
              <w:tc>
                <w:tcPr>
                  <w:tcW w:w="1953" w:type="dxa"/>
                  <w:tcBorders>
                    <w:top w:val="single" w:sz="4" w:space="0" w:color="auto"/>
                    <w:left w:val="single" w:sz="4" w:space="0" w:color="auto"/>
                    <w:bottom w:val="single" w:sz="4" w:space="0" w:color="auto"/>
                    <w:right w:val="single" w:sz="4" w:space="0" w:color="auto"/>
                  </w:tcBorders>
                  <w:vAlign w:val="center"/>
                  <w:hideMark/>
                </w:tcPr>
                <w:p w14:paraId="6E57BB83" w14:textId="77777777" w:rsidR="00DC1481" w:rsidRPr="00DC1481" w:rsidRDefault="00DC1481" w:rsidP="00DC1481">
                  <w:pPr>
                    <w:keepNext/>
                    <w:keepLines/>
                    <w:contextualSpacing/>
                    <w:jc w:val="center"/>
                    <w:rPr>
                      <w:rFonts w:ascii="Arial" w:hAnsi="Arial" w:cs="Arial"/>
                      <w:sz w:val="16"/>
                      <w:szCs w:val="16"/>
                      <w:lang w:eastAsia="zh-CN"/>
                    </w:rPr>
                  </w:pPr>
                  <w:r w:rsidRPr="00DC1481">
                    <w:rPr>
                      <w:rFonts w:ascii="Arial" w:hAnsi="Arial" w:cs="Arial"/>
                      <w:sz w:val="16"/>
                      <w:szCs w:val="16"/>
                      <w:lang w:eastAsia="zh-CN"/>
                    </w:rPr>
                    <w:t>HARQ process number</w:t>
                  </w:r>
                </w:p>
                <w:p w14:paraId="36C18D1F" w14:textId="77777777" w:rsidR="00DC1481" w:rsidRPr="00DC1481" w:rsidRDefault="00DC1481" w:rsidP="00DC1481">
                  <w:pPr>
                    <w:keepLines/>
                    <w:jc w:val="center"/>
                    <w:rPr>
                      <w:rFonts w:ascii="Arial" w:eastAsia="SimSun" w:hAnsi="Arial" w:cs="Arial"/>
                      <w:sz w:val="16"/>
                      <w:szCs w:val="16"/>
                      <w:lang w:eastAsia="zh-CN"/>
                    </w:rPr>
                  </w:pPr>
                  <w:r w:rsidRPr="00DC1481">
                    <w:rPr>
                      <w:rFonts w:ascii="Arial" w:eastAsia="MS Mincho" w:hAnsi="Arial" w:cs="Arial"/>
                      <w:sz w:val="16"/>
                      <w:szCs w:val="16"/>
                      <w:lang w:eastAsia="ja-JP"/>
                    </w:rPr>
                    <w:t>(if present)</w:t>
                  </w:r>
                </w:p>
              </w:tc>
              <w:tc>
                <w:tcPr>
                  <w:tcW w:w="1885" w:type="dxa"/>
                  <w:tcBorders>
                    <w:top w:val="single" w:sz="4" w:space="0" w:color="auto"/>
                    <w:left w:val="single" w:sz="4" w:space="0" w:color="auto"/>
                    <w:bottom w:val="single" w:sz="4" w:space="0" w:color="auto"/>
                    <w:right w:val="single" w:sz="4" w:space="0" w:color="auto"/>
                  </w:tcBorders>
                  <w:vAlign w:val="center"/>
                  <w:hideMark/>
                </w:tcPr>
                <w:p w14:paraId="3A4FB3E8" w14:textId="77777777" w:rsidR="00DC1481" w:rsidRPr="00DC1481" w:rsidRDefault="00DC1481" w:rsidP="00DC1481">
                  <w:pPr>
                    <w:keepLines/>
                    <w:jc w:val="center"/>
                    <w:rPr>
                      <w:rFonts w:ascii="Arial" w:eastAsia="SimSun" w:hAnsi="Arial" w:cs="Arial"/>
                      <w:sz w:val="16"/>
                      <w:szCs w:val="16"/>
                      <w:lang w:eastAsia="zh-CN"/>
                    </w:rPr>
                  </w:pPr>
                  <w:r w:rsidRPr="00DC1481">
                    <w:rPr>
                      <w:rFonts w:ascii="Arial" w:eastAsia="SimSun" w:hAnsi="Arial" w:cs="Arial"/>
                      <w:sz w:val="16"/>
                      <w:szCs w:val="16"/>
                      <w:lang w:eastAsia="zh-CN"/>
                    </w:rPr>
                    <w:t>set to all '0's</w:t>
                  </w:r>
                </w:p>
              </w:tc>
              <w:tc>
                <w:tcPr>
                  <w:tcW w:w="1655" w:type="dxa"/>
                  <w:tcBorders>
                    <w:top w:val="single" w:sz="4" w:space="0" w:color="auto"/>
                    <w:left w:val="single" w:sz="4" w:space="0" w:color="auto"/>
                    <w:bottom w:val="single" w:sz="4" w:space="0" w:color="auto"/>
                    <w:right w:val="single" w:sz="4" w:space="0" w:color="auto"/>
                  </w:tcBorders>
                  <w:vAlign w:val="center"/>
                  <w:hideMark/>
                </w:tcPr>
                <w:p w14:paraId="1EB5965D" w14:textId="77777777" w:rsidR="00DC1481" w:rsidRPr="00DC1481" w:rsidRDefault="00DC1481" w:rsidP="00DC1481">
                  <w:pPr>
                    <w:keepLines/>
                    <w:jc w:val="center"/>
                    <w:rPr>
                      <w:rFonts w:ascii="Arial" w:eastAsia="SimSun" w:hAnsi="Arial" w:cs="Arial"/>
                      <w:color w:val="FF0000"/>
                      <w:sz w:val="16"/>
                      <w:szCs w:val="16"/>
                      <w:lang w:eastAsia="zh-CN"/>
                    </w:rPr>
                  </w:pPr>
                  <w:r w:rsidRPr="00DC1481">
                    <w:rPr>
                      <w:rFonts w:ascii="Arial" w:eastAsia="SimSun" w:hAnsi="Arial" w:cs="Arial"/>
                      <w:color w:val="FF0000"/>
                      <w:sz w:val="16"/>
                      <w:szCs w:val="16"/>
                      <w:lang w:eastAsia="zh-CN"/>
                    </w:rPr>
                    <w:t>set to all '0's</w:t>
                  </w:r>
                </w:p>
              </w:tc>
              <w:tc>
                <w:tcPr>
                  <w:tcW w:w="1946" w:type="dxa"/>
                  <w:tcBorders>
                    <w:top w:val="single" w:sz="4" w:space="0" w:color="auto"/>
                    <w:left w:val="single" w:sz="4" w:space="0" w:color="auto"/>
                    <w:bottom w:val="single" w:sz="4" w:space="0" w:color="auto"/>
                    <w:right w:val="single" w:sz="4" w:space="0" w:color="auto"/>
                  </w:tcBorders>
                  <w:vAlign w:val="center"/>
                  <w:hideMark/>
                </w:tcPr>
                <w:p w14:paraId="37562169" w14:textId="77777777" w:rsidR="00DC1481" w:rsidRPr="00DC1481" w:rsidRDefault="00DC1481" w:rsidP="00DC1481">
                  <w:pPr>
                    <w:keepLines/>
                    <w:jc w:val="center"/>
                    <w:rPr>
                      <w:rFonts w:ascii="Arial" w:eastAsia="SimSun" w:hAnsi="Arial" w:cs="Arial"/>
                      <w:sz w:val="16"/>
                      <w:szCs w:val="16"/>
                      <w:lang w:eastAsia="zh-CN"/>
                    </w:rPr>
                  </w:pPr>
                  <w:r w:rsidRPr="00DC1481">
                    <w:rPr>
                      <w:rFonts w:ascii="Arial" w:eastAsia="SimSun" w:hAnsi="Arial" w:cs="Arial"/>
                      <w:sz w:val="16"/>
                      <w:szCs w:val="16"/>
                      <w:lang w:eastAsia="zh-CN"/>
                    </w:rPr>
                    <w:t>set to all '0's</w:t>
                  </w:r>
                </w:p>
              </w:tc>
              <w:tc>
                <w:tcPr>
                  <w:tcW w:w="2129" w:type="dxa"/>
                  <w:tcBorders>
                    <w:top w:val="single" w:sz="4" w:space="0" w:color="auto"/>
                    <w:left w:val="single" w:sz="4" w:space="0" w:color="auto"/>
                    <w:bottom w:val="single" w:sz="4" w:space="0" w:color="auto"/>
                    <w:right w:val="single" w:sz="4" w:space="0" w:color="auto"/>
                  </w:tcBorders>
                  <w:vAlign w:val="center"/>
                  <w:hideMark/>
                </w:tcPr>
                <w:p w14:paraId="7E4C98C0" w14:textId="77777777" w:rsidR="00DC1481" w:rsidRPr="00DC1481" w:rsidRDefault="00DC1481" w:rsidP="00DC1481">
                  <w:pPr>
                    <w:keepLines/>
                    <w:jc w:val="center"/>
                    <w:rPr>
                      <w:rFonts w:ascii="Arial" w:eastAsia="SimSun" w:hAnsi="Arial" w:cs="Arial"/>
                      <w:sz w:val="16"/>
                      <w:szCs w:val="16"/>
                      <w:lang w:eastAsia="zh-CN"/>
                    </w:rPr>
                  </w:pPr>
                  <w:r w:rsidRPr="00DC1481">
                    <w:rPr>
                      <w:rFonts w:ascii="Arial" w:eastAsia="SimSun" w:hAnsi="Arial" w:cs="Arial"/>
                      <w:sz w:val="16"/>
                      <w:szCs w:val="16"/>
                      <w:lang w:eastAsia="zh-CN"/>
                    </w:rPr>
                    <w:t>set to all '0's</w:t>
                  </w:r>
                </w:p>
              </w:tc>
            </w:tr>
            <w:tr w:rsidR="00DC1481" w:rsidRPr="00DC1481" w14:paraId="64D9B3A5" w14:textId="77777777" w:rsidTr="00124274">
              <w:trPr>
                <w:cantSplit/>
                <w:jc w:val="center"/>
              </w:trPr>
              <w:tc>
                <w:tcPr>
                  <w:tcW w:w="1953" w:type="dxa"/>
                  <w:tcBorders>
                    <w:top w:val="single" w:sz="4" w:space="0" w:color="auto"/>
                    <w:left w:val="single" w:sz="4" w:space="0" w:color="auto"/>
                    <w:bottom w:val="single" w:sz="4" w:space="0" w:color="auto"/>
                    <w:right w:val="single" w:sz="4" w:space="0" w:color="auto"/>
                  </w:tcBorders>
                  <w:vAlign w:val="center"/>
                  <w:hideMark/>
                </w:tcPr>
                <w:p w14:paraId="49A9DA64" w14:textId="77777777" w:rsidR="00DC1481" w:rsidRPr="00DC1481" w:rsidRDefault="00DC1481" w:rsidP="00DC1481">
                  <w:pPr>
                    <w:keepNext/>
                    <w:keepLines/>
                    <w:contextualSpacing/>
                    <w:jc w:val="center"/>
                    <w:rPr>
                      <w:rFonts w:ascii="Arial" w:hAnsi="Arial" w:cs="Arial"/>
                      <w:sz w:val="16"/>
                      <w:szCs w:val="16"/>
                      <w:lang w:eastAsia="zh-CN"/>
                    </w:rPr>
                  </w:pPr>
                  <w:r w:rsidRPr="00DC1481">
                    <w:rPr>
                      <w:rFonts w:ascii="Arial" w:hAnsi="Arial" w:cs="Arial"/>
                      <w:sz w:val="16"/>
                      <w:szCs w:val="16"/>
                      <w:lang w:eastAsia="zh-CN"/>
                    </w:rPr>
                    <w:t>Redundancy version</w:t>
                  </w:r>
                </w:p>
                <w:p w14:paraId="142BFA02" w14:textId="77777777" w:rsidR="00DC1481" w:rsidRPr="00DC1481" w:rsidRDefault="00DC1481" w:rsidP="00DC1481">
                  <w:pPr>
                    <w:keepLines/>
                    <w:jc w:val="center"/>
                    <w:rPr>
                      <w:rFonts w:ascii="Arial" w:eastAsia="SimSun" w:hAnsi="Arial" w:cs="Arial"/>
                      <w:sz w:val="16"/>
                      <w:szCs w:val="16"/>
                      <w:lang w:eastAsia="zh-CN"/>
                    </w:rPr>
                  </w:pPr>
                  <w:r w:rsidRPr="00DC1481">
                    <w:rPr>
                      <w:rFonts w:ascii="Arial" w:eastAsia="MS Mincho" w:hAnsi="Arial" w:cs="Arial"/>
                      <w:sz w:val="16"/>
                      <w:szCs w:val="16"/>
                      <w:lang w:eastAsia="ja-JP"/>
                    </w:rPr>
                    <w:t>(if present)</w:t>
                  </w:r>
                </w:p>
              </w:tc>
              <w:tc>
                <w:tcPr>
                  <w:tcW w:w="1885" w:type="dxa"/>
                  <w:tcBorders>
                    <w:top w:val="single" w:sz="4" w:space="0" w:color="auto"/>
                    <w:left w:val="single" w:sz="4" w:space="0" w:color="auto"/>
                    <w:bottom w:val="single" w:sz="4" w:space="0" w:color="auto"/>
                    <w:right w:val="single" w:sz="4" w:space="0" w:color="auto"/>
                  </w:tcBorders>
                  <w:vAlign w:val="center"/>
                  <w:hideMark/>
                </w:tcPr>
                <w:p w14:paraId="7622E3BC" w14:textId="77777777" w:rsidR="00DC1481" w:rsidRPr="00DC1481" w:rsidRDefault="00DC1481" w:rsidP="00DC1481">
                  <w:pPr>
                    <w:keepLines/>
                    <w:jc w:val="center"/>
                    <w:rPr>
                      <w:rFonts w:ascii="Arial" w:eastAsia="SimSun" w:hAnsi="Arial" w:cs="Arial"/>
                      <w:sz w:val="16"/>
                      <w:szCs w:val="16"/>
                      <w:lang w:eastAsia="zh-CN"/>
                    </w:rPr>
                  </w:pPr>
                  <w:r w:rsidRPr="00DC1481">
                    <w:rPr>
                      <w:rFonts w:ascii="Arial" w:eastAsia="SimSun" w:hAnsi="Arial" w:cs="Arial"/>
                      <w:sz w:val="16"/>
                      <w:szCs w:val="16"/>
                      <w:lang w:eastAsia="zh-CN"/>
                    </w:rPr>
                    <w:t>set to all '0's</w:t>
                  </w:r>
                </w:p>
              </w:tc>
              <w:tc>
                <w:tcPr>
                  <w:tcW w:w="1655" w:type="dxa"/>
                  <w:tcBorders>
                    <w:top w:val="single" w:sz="4" w:space="0" w:color="auto"/>
                    <w:left w:val="single" w:sz="4" w:space="0" w:color="auto"/>
                    <w:bottom w:val="single" w:sz="4" w:space="0" w:color="auto"/>
                    <w:right w:val="single" w:sz="4" w:space="0" w:color="auto"/>
                  </w:tcBorders>
                  <w:hideMark/>
                </w:tcPr>
                <w:p w14:paraId="3387884D" w14:textId="77777777" w:rsidR="00DC1481" w:rsidRPr="00DC1481" w:rsidRDefault="00DC1481" w:rsidP="00DC1481">
                  <w:pPr>
                    <w:keepLines/>
                    <w:jc w:val="center"/>
                    <w:rPr>
                      <w:rFonts w:ascii="Arial" w:eastAsia="SimSun" w:hAnsi="Arial" w:cs="Arial"/>
                      <w:color w:val="FF0000"/>
                      <w:sz w:val="16"/>
                      <w:szCs w:val="16"/>
                      <w:lang w:eastAsia="zh-CN"/>
                    </w:rPr>
                  </w:pPr>
                  <w:r w:rsidRPr="00DC1481">
                    <w:rPr>
                      <w:rFonts w:ascii="Arial" w:eastAsia="SimSun" w:hAnsi="Arial" w:cs="Arial"/>
                      <w:color w:val="FF0000"/>
                      <w:sz w:val="16"/>
                      <w:szCs w:val="16"/>
                      <w:lang w:eastAsia="zh-CN"/>
                    </w:rPr>
                    <w:t>For the enabled transport block: set to all '0's</w:t>
                  </w:r>
                </w:p>
              </w:tc>
              <w:tc>
                <w:tcPr>
                  <w:tcW w:w="1946" w:type="dxa"/>
                  <w:tcBorders>
                    <w:top w:val="single" w:sz="4" w:space="0" w:color="auto"/>
                    <w:left w:val="single" w:sz="4" w:space="0" w:color="auto"/>
                    <w:bottom w:val="single" w:sz="4" w:space="0" w:color="auto"/>
                    <w:right w:val="single" w:sz="4" w:space="0" w:color="auto"/>
                  </w:tcBorders>
                  <w:vAlign w:val="center"/>
                  <w:hideMark/>
                </w:tcPr>
                <w:p w14:paraId="7184C61D" w14:textId="77777777" w:rsidR="00DC1481" w:rsidRPr="00DC1481" w:rsidRDefault="00DC1481" w:rsidP="00DC1481">
                  <w:pPr>
                    <w:keepLines/>
                    <w:jc w:val="center"/>
                    <w:rPr>
                      <w:rFonts w:ascii="Arial" w:eastAsia="SimSun" w:hAnsi="Arial" w:cs="Arial"/>
                      <w:sz w:val="16"/>
                      <w:szCs w:val="16"/>
                      <w:lang w:eastAsia="zh-CN"/>
                    </w:rPr>
                  </w:pPr>
                  <w:r w:rsidRPr="00DC1481">
                    <w:rPr>
                      <w:rFonts w:ascii="Arial" w:eastAsia="SimSun" w:hAnsi="Arial" w:cs="Arial"/>
                      <w:sz w:val="16"/>
                      <w:szCs w:val="16"/>
                      <w:lang w:eastAsia="zh-CN"/>
                    </w:rPr>
                    <w:t>set to all '0's</w:t>
                  </w:r>
                </w:p>
              </w:tc>
              <w:tc>
                <w:tcPr>
                  <w:tcW w:w="2129" w:type="dxa"/>
                  <w:tcBorders>
                    <w:top w:val="single" w:sz="4" w:space="0" w:color="auto"/>
                    <w:left w:val="single" w:sz="4" w:space="0" w:color="auto"/>
                    <w:bottom w:val="single" w:sz="4" w:space="0" w:color="auto"/>
                    <w:right w:val="single" w:sz="4" w:space="0" w:color="auto"/>
                  </w:tcBorders>
                  <w:vAlign w:val="center"/>
                  <w:hideMark/>
                </w:tcPr>
                <w:p w14:paraId="0DB14611" w14:textId="77777777" w:rsidR="00DC1481" w:rsidRPr="00DC1481" w:rsidRDefault="00DC1481" w:rsidP="00DC1481">
                  <w:pPr>
                    <w:keepLines/>
                    <w:jc w:val="center"/>
                    <w:rPr>
                      <w:rFonts w:ascii="Arial" w:eastAsia="SimSun" w:hAnsi="Arial" w:cs="Arial"/>
                      <w:sz w:val="16"/>
                      <w:szCs w:val="16"/>
                      <w:lang w:eastAsia="zh-CN"/>
                    </w:rPr>
                  </w:pPr>
                  <w:r w:rsidRPr="00DC1481">
                    <w:rPr>
                      <w:rFonts w:ascii="Arial" w:eastAsia="SimSun" w:hAnsi="Arial" w:cs="Arial"/>
                      <w:sz w:val="16"/>
                      <w:szCs w:val="16"/>
                      <w:lang w:eastAsia="zh-CN"/>
                    </w:rPr>
                    <w:t>For the enabled transport block: set to all '0's</w:t>
                  </w:r>
                </w:p>
              </w:tc>
            </w:tr>
          </w:tbl>
          <w:p w14:paraId="5A962815" w14:textId="174A59EA" w:rsidR="00DC1481" w:rsidRPr="00DC1481" w:rsidRDefault="00DC1481" w:rsidP="00DC1481">
            <w:pPr>
              <w:keepNext/>
              <w:keepLines/>
              <w:overflowPunct w:val="0"/>
              <w:autoSpaceDE w:val="0"/>
              <w:autoSpaceDN w:val="0"/>
              <w:adjustRightInd w:val="0"/>
              <w:contextualSpacing/>
              <w:jc w:val="center"/>
              <w:textAlignment w:val="baseline"/>
              <w:rPr>
                <w:rFonts w:ascii="Arial" w:eastAsia="Times New Roman" w:hAnsi="Arial" w:cs="Arial"/>
                <w:bCs/>
                <w:color w:val="FF0000"/>
                <w:sz w:val="16"/>
                <w:szCs w:val="16"/>
                <w:lang w:eastAsia="zh-CN"/>
              </w:rPr>
            </w:pPr>
            <w:r w:rsidRPr="00DC1481">
              <w:rPr>
                <w:rFonts w:ascii="Arial" w:eastAsia="Times New Roman" w:hAnsi="Arial" w:cs="Arial"/>
                <w:bCs/>
                <w:color w:val="FF0000"/>
                <w:sz w:val="16"/>
                <w:szCs w:val="16"/>
                <w:lang w:eastAsia="zh-CN"/>
              </w:rPr>
              <w:t>-------------------------------------------Unchanged parts are omitted-------------------------------------------</w:t>
            </w:r>
          </w:p>
          <w:p w14:paraId="4D8C928F" w14:textId="77777777" w:rsidR="00DC1481" w:rsidRPr="00DC1481" w:rsidRDefault="00DC1481" w:rsidP="00DC1481">
            <w:pPr>
              <w:keepNext/>
              <w:keepLines/>
              <w:overflowPunct w:val="0"/>
              <w:autoSpaceDE w:val="0"/>
              <w:autoSpaceDN w:val="0"/>
              <w:adjustRightInd w:val="0"/>
              <w:contextualSpacing/>
              <w:jc w:val="center"/>
              <w:textAlignment w:val="baseline"/>
              <w:rPr>
                <w:rFonts w:ascii="Arial" w:eastAsia="MS Mincho" w:hAnsi="Arial" w:cs="Arial"/>
                <w:b/>
                <w:bCs/>
                <w:sz w:val="16"/>
                <w:szCs w:val="16"/>
                <w:lang w:eastAsia="ko-KR"/>
              </w:rPr>
            </w:pPr>
            <w:r w:rsidRPr="00DC1481">
              <w:rPr>
                <w:rFonts w:ascii="Arial" w:eastAsia="Times New Roman" w:hAnsi="Arial" w:cs="Arial"/>
                <w:b/>
                <w:bCs/>
                <w:sz w:val="16"/>
                <w:szCs w:val="16"/>
                <w:lang w:eastAsia="zh-CN"/>
              </w:rPr>
              <w:t xml:space="preserve">Table 10.2-3: Special fields for a single DL SPS or single UL grant Type 2 scheduling activation PDCCH validation when a UE is provided multiple DL SPS or UL grant Type 2 configurations </w:t>
            </w:r>
            <w:r w:rsidRPr="00DC1481">
              <w:rPr>
                <w:rFonts w:ascii="Arial" w:eastAsia="MS Mincho" w:hAnsi="Arial" w:cs="Arial"/>
                <w:b/>
                <w:bCs/>
                <w:sz w:val="16"/>
                <w:szCs w:val="16"/>
                <w:lang w:eastAsia="ko-KR"/>
              </w:rPr>
              <w:t>in the active DL/UL BWP of the scheduled cell</w:t>
            </w:r>
          </w:p>
          <w:tbl>
            <w:tblPr>
              <w:tblW w:w="9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955"/>
              <w:gridCol w:w="1886"/>
              <w:gridCol w:w="1653"/>
              <w:gridCol w:w="1947"/>
              <w:gridCol w:w="2129"/>
            </w:tblGrid>
            <w:tr w:rsidR="00DC1481" w:rsidRPr="00DC1481" w14:paraId="68971619" w14:textId="77777777" w:rsidTr="00124274">
              <w:trPr>
                <w:cantSplit/>
                <w:jc w:val="center"/>
              </w:trPr>
              <w:tc>
                <w:tcPr>
                  <w:tcW w:w="1954" w:type="dxa"/>
                  <w:tcBorders>
                    <w:top w:val="single" w:sz="4" w:space="0" w:color="auto"/>
                    <w:left w:val="single" w:sz="4" w:space="0" w:color="auto"/>
                    <w:bottom w:val="single" w:sz="4" w:space="0" w:color="auto"/>
                    <w:right w:val="single" w:sz="4" w:space="0" w:color="auto"/>
                  </w:tcBorders>
                  <w:shd w:val="clear" w:color="auto" w:fill="E0E0E0"/>
                  <w:vAlign w:val="center"/>
                </w:tcPr>
                <w:p w14:paraId="24DF5C21" w14:textId="77777777" w:rsidR="00DC1481" w:rsidRPr="00DC1481" w:rsidRDefault="00DC1481" w:rsidP="00DC1481">
                  <w:pPr>
                    <w:keepNext/>
                    <w:keepLines/>
                    <w:overflowPunct w:val="0"/>
                    <w:autoSpaceDE w:val="0"/>
                    <w:autoSpaceDN w:val="0"/>
                    <w:adjustRightInd w:val="0"/>
                    <w:jc w:val="center"/>
                    <w:textAlignment w:val="baseline"/>
                    <w:rPr>
                      <w:rFonts w:ascii="Arial" w:eastAsia="Times New Roman" w:hAnsi="Arial" w:cs="Arial"/>
                      <w:b/>
                      <w:sz w:val="16"/>
                      <w:szCs w:val="16"/>
                      <w:lang w:eastAsia="en-GB"/>
                    </w:rPr>
                  </w:pPr>
                </w:p>
              </w:tc>
              <w:tc>
                <w:tcPr>
                  <w:tcW w:w="1885"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27DE3236" w14:textId="77777777" w:rsidR="00DC1481" w:rsidRPr="00DC1481" w:rsidRDefault="00DC1481" w:rsidP="00DC1481">
                  <w:pPr>
                    <w:keepNext/>
                    <w:keepLines/>
                    <w:overflowPunct w:val="0"/>
                    <w:autoSpaceDE w:val="0"/>
                    <w:autoSpaceDN w:val="0"/>
                    <w:adjustRightInd w:val="0"/>
                    <w:jc w:val="center"/>
                    <w:textAlignment w:val="baseline"/>
                    <w:rPr>
                      <w:rFonts w:ascii="Arial" w:eastAsia="Calibri" w:hAnsi="Arial" w:cs="Arial"/>
                      <w:b/>
                      <w:sz w:val="16"/>
                      <w:szCs w:val="16"/>
                      <w:lang w:eastAsia="zh-CN"/>
                    </w:rPr>
                  </w:pPr>
                  <w:r w:rsidRPr="00DC1481">
                    <w:rPr>
                      <w:rFonts w:ascii="Arial" w:eastAsia="Times New Roman" w:hAnsi="Arial" w:cs="Arial"/>
                      <w:b/>
                      <w:sz w:val="16"/>
                      <w:szCs w:val="16"/>
                      <w:lang w:eastAsia="zh-CN"/>
                    </w:rPr>
                    <w:t>DCI format 0_0</w:t>
                  </w:r>
                  <w:r w:rsidRPr="00DC1481">
                    <w:rPr>
                      <w:rFonts w:ascii="Arial" w:eastAsia="Times New Roman" w:hAnsi="Arial" w:cs="Arial"/>
                      <w:b/>
                      <w:strike/>
                      <w:color w:val="FF0000"/>
                      <w:sz w:val="16"/>
                      <w:szCs w:val="16"/>
                      <w:lang w:eastAsia="zh-CN"/>
                    </w:rPr>
                    <w:t>/0_1</w:t>
                  </w:r>
                  <w:r w:rsidRPr="00DC1481">
                    <w:rPr>
                      <w:rFonts w:ascii="Arial" w:eastAsia="Times New Roman" w:hAnsi="Arial" w:cs="Arial"/>
                      <w:b/>
                      <w:sz w:val="16"/>
                      <w:szCs w:val="16"/>
                      <w:lang w:eastAsia="zh-CN"/>
                    </w:rPr>
                    <w:t>/0_2</w:t>
                  </w:r>
                  <w:r w:rsidRPr="00DC1481">
                    <w:rPr>
                      <w:rFonts w:ascii="Arial" w:eastAsia="Times New Roman" w:hAnsi="Arial" w:cs="Arial"/>
                      <w:b/>
                      <w:color w:val="FF0000"/>
                      <w:sz w:val="16"/>
                      <w:szCs w:val="16"/>
                      <w:lang w:eastAsia="zh-CN"/>
                    </w:rPr>
                    <w:t xml:space="preserve"> </w:t>
                  </w:r>
                </w:p>
              </w:tc>
              <w:tc>
                <w:tcPr>
                  <w:tcW w:w="1653"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1238FB64" w14:textId="77777777" w:rsidR="00DC1481" w:rsidRPr="00DC1481" w:rsidRDefault="00DC1481" w:rsidP="00DC1481">
                  <w:pPr>
                    <w:keepNext/>
                    <w:keepLines/>
                    <w:overflowPunct w:val="0"/>
                    <w:autoSpaceDE w:val="0"/>
                    <w:autoSpaceDN w:val="0"/>
                    <w:adjustRightInd w:val="0"/>
                    <w:jc w:val="center"/>
                    <w:textAlignment w:val="baseline"/>
                    <w:rPr>
                      <w:rFonts w:ascii="Arial" w:eastAsia="Times New Roman" w:hAnsi="Arial" w:cs="Arial"/>
                      <w:b/>
                      <w:color w:val="FF0000"/>
                      <w:sz w:val="16"/>
                      <w:szCs w:val="16"/>
                      <w:lang w:eastAsia="zh-CN"/>
                    </w:rPr>
                  </w:pPr>
                  <w:r w:rsidRPr="00DC1481">
                    <w:rPr>
                      <w:rFonts w:ascii="Arial" w:eastAsia="Times New Roman" w:hAnsi="Arial" w:cs="Arial"/>
                      <w:b/>
                      <w:color w:val="FF0000"/>
                      <w:sz w:val="16"/>
                      <w:szCs w:val="16"/>
                      <w:lang w:eastAsia="zh-CN"/>
                    </w:rPr>
                    <w:t xml:space="preserve">DCI format 0_1 </w:t>
                  </w:r>
                </w:p>
              </w:tc>
              <w:tc>
                <w:tcPr>
                  <w:tcW w:w="1947"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2F10E087" w14:textId="77777777" w:rsidR="00DC1481" w:rsidRPr="00DC1481" w:rsidRDefault="00DC1481" w:rsidP="00DC1481">
                  <w:pPr>
                    <w:keepNext/>
                    <w:keepLines/>
                    <w:overflowPunct w:val="0"/>
                    <w:autoSpaceDE w:val="0"/>
                    <w:autoSpaceDN w:val="0"/>
                    <w:adjustRightInd w:val="0"/>
                    <w:jc w:val="center"/>
                    <w:textAlignment w:val="baseline"/>
                    <w:rPr>
                      <w:rFonts w:ascii="Arial" w:eastAsia="Times New Roman" w:hAnsi="Arial" w:cs="Arial"/>
                      <w:b/>
                      <w:sz w:val="16"/>
                      <w:szCs w:val="16"/>
                      <w:lang w:eastAsia="zh-CN"/>
                    </w:rPr>
                  </w:pPr>
                  <w:r w:rsidRPr="00DC1481">
                    <w:rPr>
                      <w:rFonts w:ascii="Arial" w:eastAsia="Times New Roman" w:hAnsi="Arial" w:cs="Arial"/>
                      <w:b/>
                      <w:sz w:val="16"/>
                      <w:szCs w:val="16"/>
                      <w:lang w:eastAsia="zh-CN"/>
                    </w:rPr>
                    <w:t>DCI format 1_0/1_2/4_1</w:t>
                  </w:r>
                </w:p>
              </w:tc>
              <w:tc>
                <w:tcPr>
                  <w:tcW w:w="2129"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35827389" w14:textId="77777777" w:rsidR="00DC1481" w:rsidRPr="00DC1481" w:rsidRDefault="00DC1481" w:rsidP="00DC1481">
                  <w:pPr>
                    <w:keepNext/>
                    <w:keepLines/>
                    <w:overflowPunct w:val="0"/>
                    <w:autoSpaceDE w:val="0"/>
                    <w:autoSpaceDN w:val="0"/>
                    <w:adjustRightInd w:val="0"/>
                    <w:jc w:val="center"/>
                    <w:textAlignment w:val="baseline"/>
                    <w:rPr>
                      <w:rFonts w:ascii="Arial" w:eastAsia="Times New Roman" w:hAnsi="Arial" w:cs="Arial"/>
                      <w:b/>
                      <w:sz w:val="16"/>
                      <w:szCs w:val="16"/>
                      <w:lang w:eastAsia="zh-CN"/>
                    </w:rPr>
                  </w:pPr>
                  <w:r w:rsidRPr="00DC1481">
                    <w:rPr>
                      <w:rFonts w:ascii="Arial" w:eastAsia="Times New Roman" w:hAnsi="Arial" w:cs="Arial"/>
                      <w:b/>
                      <w:sz w:val="16"/>
                      <w:szCs w:val="16"/>
                      <w:lang w:eastAsia="zh-CN"/>
                    </w:rPr>
                    <w:t>DCI format 1_1/4_2</w:t>
                  </w:r>
                </w:p>
              </w:tc>
            </w:tr>
            <w:tr w:rsidR="00DC1481" w:rsidRPr="00DC1481" w14:paraId="750B1E65" w14:textId="77777777" w:rsidTr="00124274">
              <w:trPr>
                <w:cantSplit/>
                <w:jc w:val="center"/>
              </w:trPr>
              <w:tc>
                <w:tcPr>
                  <w:tcW w:w="1954" w:type="dxa"/>
                  <w:tcBorders>
                    <w:top w:val="single" w:sz="4" w:space="0" w:color="auto"/>
                    <w:left w:val="single" w:sz="4" w:space="0" w:color="auto"/>
                    <w:bottom w:val="single" w:sz="4" w:space="0" w:color="auto"/>
                    <w:right w:val="single" w:sz="4" w:space="0" w:color="auto"/>
                  </w:tcBorders>
                  <w:vAlign w:val="center"/>
                  <w:hideMark/>
                </w:tcPr>
                <w:p w14:paraId="0737BA4A" w14:textId="77777777" w:rsidR="00DC1481" w:rsidRPr="00DC1481" w:rsidRDefault="00DC1481" w:rsidP="00DC1481">
                  <w:pPr>
                    <w:keepNext/>
                    <w:keepLines/>
                    <w:contextualSpacing/>
                    <w:jc w:val="center"/>
                    <w:rPr>
                      <w:rFonts w:ascii="Arial" w:hAnsi="Arial" w:cs="Arial"/>
                      <w:sz w:val="16"/>
                      <w:szCs w:val="16"/>
                      <w:lang w:eastAsia="zh-CN"/>
                    </w:rPr>
                  </w:pPr>
                  <w:r w:rsidRPr="00DC1481">
                    <w:rPr>
                      <w:rFonts w:ascii="Arial" w:hAnsi="Arial" w:cs="Arial"/>
                      <w:sz w:val="16"/>
                      <w:szCs w:val="16"/>
                      <w:lang w:eastAsia="zh-CN"/>
                    </w:rPr>
                    <w:t>Redundancy version</w:t>
                  </w:r>
                </w:p>
                <w:p w14:paraId="7FF2705C" w14:textId="77777777" w:rsidR="00DC1481" w:rsidRPr="00DC1481" w:rsidRDefault="00DC1481" w:rsidP="00DC1481">
                  <w:pPr>
                    <w:keepLines/>
                    <w:jc w:val="center"/>
                    <w:rPr>
                      <w:rFonts w:ascii="Arial" w:eastAsia="SimSun" w:hAnsi="Arial" w:cs="Arial"/>
                      <w:sz w:val="16"/>
                      <w:szCs w:val="16"/>
                      <w:lang w:eastAsia="zh-CN"/>
                    </w:rPr>
                  </w:pPr>
                  <w:r w:rsidRPr="00DC1481">
                    <w:rPr>
                      <w:rFonts w:ascii="Arial" w:eastAsia="MS Mincho" w:hAnsi="Arial" w:cs="Arial"/>
                      <w:sz w:val="16"/>
                      <w:szCs w:val="16"/>
                      <w:lang w:eastAsia="ja-JP"/>
                    </w:rPr>
                    <w:t>(if present)</w:t>
                  </w:r>
                </w:p>
              </w:tc>
              <w:tc>
                <w:tcPr>
                  <w:tcW w:w="1885" w:type="dxa"/>
                  <w:tcBorders>
                    <w:top w:val="single" w:sz="4" w:space="0" w:color="auto"/>
                    <w:left w:val="single" w:sz="4" w:space="0" w:color="auto"/>
                    <w:bottom w:val="single" w:sz="4" w:space="0" w:color="auto"/>
                    <w:right w:val="single" w:sz="4" w:space="0" w:color="auto"/>
                  </w:tcBorders>
                  <w:vAlign w:val="center"/>
                  <w:hideMark/>
                </w:tcPr>
                <w:p w14:paraId="12CD8491" w14:textId="77777777" w:rsidR="00DC1481" w:rsidRPr="00DC1481" w:rsidRDefault="00DC1481" w:rsidP="00DC1481">
                  <w:pPr>
                    <w:keepLines/>
                    <w:jc w:val="center"/>
                    <w:rPr>
                      <w:rFonts w:ascii="Arial" w:eastAsia="SimSun" w:hAnsi="Arial" w:cs="Arial"/>
                      <w:sz w:val="16"/>
                      <w:szCs w:val="16"/>
                      <w:lang w:eastAsia="zh-CN"/>
                    </w:rPr>
                  </w:pPr>
                  <w:r w:rsidRPr="00DC1481">
                    <w:rPr>
                      <w:rFonts w:ascii="Arial" w:eastAsia="SimSun" w:hAnsi="Arial" w:cs="Arial"/>
                      <w:sz w:val="16"/>
                      <w:szCs w:val="16"/>
                      <w:lang w:eastAsia="zh-CN"/>
                    </w:rPr>
                    <w:t>set to all '0's</w:t>
                  </w:r>
                </w:p>
              </w:tc>
              <w:tc>
                <w:tcPr>
                  <w:tcW w:w="1653" w:type="dxa"/>
                  <w:tcBorders>
                    <w:top w:val="single" w:sz="4" w:space="0" w:color="auto"/>
                    <w:left w:val="single" w:sz="4" w:space="0" w:color="auto"/>
                    <w:bottom w:val="single" w:sz="4" w:space="0" w:color="auto"/>
                    <w:right w:val="single" w:sz="4" w:space="0" w:color="auto"/>
                  </w:tcBorders>
                  <w:vAlign w:val="center"/>
                  <w:hideMark/>
                </w:tcPr>
                <w:p w14:paraId="71636DFD" w14:textId="77777777" w:rsidR="00DC1481" w:rsidRPr="00DC1481" w:rsidRDefault="00DC1481" w:rsidP="00DC1481">
                  <w:pPr>
                    <w:keepLines/>
                    <w:jc w:val="center"/>
                    <w:rPr>
                      <w:rFonts w:ascii="Arial" w:eastAsia="SimSun" w:hAnsi="Arial" w:cs="Arial"/>
                      <w:color w:val="FF0000"/>
                      <w:sz w:val="16"/>
                      <w:szCs w:val="16"/>
                      <w:lang w:eastAsia="zh-CN"/>
                    </w:rPr>
                  </w:pPr>
                  <w:r w:rsidRPr="00DC1481">
                    <w:rPr>
                      <w:rFonts w:ascii="Arial" w:eastAsia="SimSun" w:hAnsi="Arial" w:cs="Arial"/>
                      <w:color w:val="FF0000"/>
                      <w:sz w:val="16"/>
                      <w:szCs w:val="16"/>
                      <w:lang w:eastAsia="zh-CN"/>
                    </w:rPr>
                    <w:t>For the enabled transport block: set to all '0's</w:t>
                  </w:r>
                </w:p>
              </w:tc>
              <w:tc>
                <w:tcPr>
                  <w:tcW w:w="1947" w:type="dxa"/>
                  <w:tcBorders>
                    <w:top w:val="single" w:sz="4" w:space="0" w:color="auto"/>
                    <w:left w:val="single" w:sz="4" w:space="0" w:color="auto"/>
                    <w:bottom w:val="single" w:sz="4" w:space="0" w:color="auto"/>
                    <w:right w:val="single" w:sz="4" w:space="0" w:color="auto"/>
                  </w:tcBorders>
                  <w:vAlign w:val="center"/>
                  <w:hideMark/>
                </w:tcPr>
                <w:p w14:paraId="0E7F6F69" w14:textId="77777777" w:rsidR="00DC1481" w:rsidRPr="00DC1481" w:rsidRDefault="00DC1481" w:rsidP="00DC1481">
                  <w:pPr>
                    <w:keepLines/>
                    <w:jc w:val="center"/>
                    <w:rPr>
                      <w:rFonts w:ascii="Arial" w:eastAsia="SimSun" w:hAnsi="Arial" w:cs="Arial"/>
                      <w:sz w:val="16"/>
                      <w:szCs w:val="16"/>
                      <w:lang w:eastAsia="zh-CN"/>
                    </w:rPr>
                  </w:pPr>
                  <w:r w:rsidRPr="00DC1481">
                    <w:rPr>
                      <w:rFonts w:ascii="Arial" w:eastAsia="SimSun" w:hAnsi="Arial" w:cs="Arial"/>
                      <w:sz w:val="16"/>
                      <w:szCs w:val="16"/>
                      <w:lang w:eastAsia="zh-CN"/>
                    </w:rPr>
                    <w:t>set to all '0's</w:t>
                  </w:r>
                </w:p>
              </w:tc>
              <w:tc>
                <w:tcPr>
                  <w:tcW w:w="2129" w:type="dxa"/>
                  <w:tcBorders>
                    <w:top w:val="single" w:sz="4" w:space="0" w:color="auto"/>
                    <w:left w:val="single" w:sz="4" w:space="0" w:color="auto"/>
                    <w:bottom w:val="single" w:sz="4" w:space="0" w:color="auto"/>
                    <w:right w:val="single" w:sz="4" w:space="0" w:color="auto"/>
                  </w:tcBorders>
                  <w:vAlign w:val="center"/>
                  <w:hideMark/>
                </w:tcPr>
                <w:p w14:paraId="49E1C338" w14:textId="77777777" w:rsidR="00DC1481" w:rsidRPr="00DC1481" w:rsidRDefault="00DC1481" w:rsidP="00DC1481">
                  <w:pPr>
                    <w:keepLines/>
                    <w:jc w:val="center"/>
                    <w:rPr>
                      <w:rFonts w:ascii="Arial" w:eastAsia="SimSun" w:hAnsi="Arial" w:cs="Arial"/>
                      <w:sz w:val="16"/>
                      <w:szCs w:val="16"/>
                      <w:lang w:eastAsia="zh-CN"/>
                    </w:rPr>
                  </w:pPr>
                  <w:r w:rsidRPr="00DC1481">
                    <w:rPr>
                      <w:rFonts w:ascii="Arial" w:eastAsia="SimSun" w:hAnsi="Arial" w:cs="Arial"/>
                      <w:sz w:val="16"/>
                      <w:szCs w:val="16"/>
                      <w:lang w:eastAsia="zh-CN"/>
                    </w:rPr>
                    <w:t>For the enabled transport block: set to all '0's</w:t>
                  </w:r>
                </w:p>
              </w:tc>
            </w:tr>
          </w:tbl>
          <w:p w14:paraId="075BC655" w14:textId="1BB6B276" w:rsidR="00DC1481" w:rsidRPr="00DC1481" w:rsidRDefault="00DC1481" w:rsidP="00022DFC">
            <w:pPr>
              <w:keepNext/>
              <w:keepLines/>
              <w:overflowPunct w:val="0"/>
              <w:autoSpaceDE w:val="0"/>
              <w:autoSpaceDN w:val="0"/>
              <w:adjustRightInd w:val="0"/>
              <w:contextualSpacing/>
              <w:jc w:val="center"/>
              <w:textAlignment w:val="baseline"/>
              <w:rPr>
                <w:rFonts w:ascii="Arial" w:eastAsia="Times New Roman" w:hAnsi="Arial" w:cs="Arial"/>
                <w:bCs/>
                <w:sz w:val="16"/>
                <w:szCs w:val="16"/>
                <w:lang w:eastAsia="zh-CN"/>
              </w:rPr>
            </w:pPr>
            <w:r w:rsidRPr="00DC1481">
              <w:rPr>
                <w:rFonts w:ascii="Arial" w:eastAsia="Times New Roman" w:hAnsi="Arial" w:cs="Arial"/>
                <w:bCs/>
                <w:color w:val="FF0000"/>
                <w:sz w:val="16"/>
                <w:szCs w:val="16"/>
                <w:lang w:eastAsia="zh-CN"/>
              </w:rPr>
              <w:t>-------------------------------------------Unchanged parts are omitted-------------------------------------------</w:t>
            </w:r>
          </w:p>
        </w:tc>
      </w:tr>
    </w:tbl>
    <w:p w14:paraId="7D8D8B35" w14:textId="77777777" w:rsidR="00DC1481" w:rsidRPr="00DC1481" w:rsidRDefault="00DC1481" w:rsidP="00DC1481">
      <w:pPr>
        <w:contextualSpacing/>
        <w:rPr>
          <w:rFonts w:ascii="Times New Roman" w:hAnsi="Times New Roman"/>
          <w:szCs w:val="20"/>
        </w:rPr>
      </w:pPr>
    </w:p>
    <w:p w14:paraId="3B459E7D" w14:textId="77777777" w:rsidR="00DC1481" w:rsidRDefault="00DC1481" w:rsidP="00DC1481">
      <w:pPr>
        <w:rPr>
          <w:lang w:eastAsia="x-none"/>
        </w:rPr>
      </w:pPr>
    </w:p>
    <w:p w14:paraId="642F5463" w14:textId="78536557" w:rsidR="00DC1481" w:rsidRPr="008A7808" w:rsidRDefault="005A18DC" w:rsidP="00DC1481">
      <w:pPr>
        <w:rPr>
          <w:b/>
          <w:bCs/>
          <w:lang w:eastAsia="x-none"/>
        </w:rPr>
      </w:pPr>
      <w:hyperlink r:id="rId953" w:history="1">
        <w:r w:rsidR="00AF7253">
          <w:rPr>
            <w:rStyle w:val="Hyperlink"/>
            <w:b/>
            <w:bCs/>
            <w:lang w:eastAsia="x-none"/>
          </w:rPr>
          <w:t>R1-2310927</w:t>
        </w:r>
      </w:hyperlink>
      <w:r w:rsidR="00DC1481" w:rsidRPr="008A7808">
        <w:rPr>
          <w:b/>
          <w:bCs/>
          <w:lang w:eastAsia="x-none"/>
        </w:rPr>
        <w:tab/>
        <w:t>FL Summary SRI/TPMI Enhancements; Second Round</w:t>
      </w:r>
      <w:r w:rsidR="00DC1481" w:rsidRPr="008A7808">
        <w:rPr>
          <w:b/>
          <w:bCs/>
          <w:lang w:eastAsia="x-none"/>
        </w:rPr>
        <w:tab/>
        <w:t>Moderator (InterDigital, Inc.)</w:t>
      </w:r>
    </w:p>
    <w:p w14:paraId="2311187F" w14:textId="074A0458" w:rsidR="008A7808" w:rsidRDefault="008A7808" w:rsidP="00DC1481">
      <w:pPr>
        <w:rPr>
          <w:lang w:eastAsia="x-none"/>
        </w:rPr>
      </w:pPr>
      <w:r>
        <w:rPr>
          <w:lang w:eastAsia="x-none"/>
        </w:rPr>
        <w:t>From Wednesday session</w:t>
      </w:r>
    </w:p>
    <w:p w14:paraId="702A804E" w14:textId="77777777" w:rsidR="008A7808" w:rsidRPr="009E07E2" w:rsidRDefault="008A7808" w:rsidP="008A7808">
      <w:pPr>
        <w:rPr>
          <w:rFonts w:ascii="Times New Roman" w:hAnsi="Times New Roman"/>
          <w:highlight w:val="green"/>
          <w:lang w:eastAsia="x-none"/>
        </w:rPr>
      </w:pPr>
      <w:r w:rsidRPr="009E07E2">
        <w:rPr>
          <w:rFonts w:ascii="Times New Roman" w:hAnsi="Times New Roman"/>
          <w:highlight w:val="green"/>
          <w:lang w:eastAsia="x-none"/>
        </w:rPr>
        <w:t>Agreement</w:t>
      </w:r>
    </w:p>
    <w:p w14:paraId="7898437D" w14:textId="77777777" w:rsidR="008A7808" w:rsidRDefault="008A7808" w:rsidP="008A7808">
      <w:r>
        <w:lastRenderedPageBreak/>
        <w:t>Adopt the following text proposal to TS 38.214.</w:t>
      </w:r>
    </w:p>
    <w:p w14:paraId="04620820" w14:textId="77777777" w:rsidR="008A7808" w:rsidRPr="008A7808" w:rsidRDefault="008A7808" w:rsidP="00AA1D48">
      <w:pPr>
        <w:pStyle w:val="ListParagraph"/>
        <w:numPr>
          <w:ilvl w:val="0"/>
          <w:numId w:val="107"/>
        </w:numPr>
        <w:rPr>
          <w:iCs/>
        </w:rPr>
      </w:pPr>
      <w:r w:rsidRPr="008A7808">
        <w:rPr>
          <w:iCs/>
        </w:rPr>
        <w:t>Reason for change: Defining UE behavior for virtualization-based fullpowerMode2.</w:t>
      </w:r>
    </w:p>
    <w:p w14:paraId="3FDE74E3" w14:textId="77777777" w:rsidR="008A7808" w:rsidRPr="008A7808" w:rsidRDefault="008A7808" w:rsidP="00AA1D48">
      <w:pPr>
        <w:pStyle w:val="ListParagraph"/>
        <w:numPr>
          <w:ilvl w:val="0"/>
          <w:numId w:val="107"/>
        </w:numPr>
        <w:rPr>
          <w:iCs/>
        </w:rPr>
      </w:pPr>
      <w:r w:rsidRPr="008A7808">
        <w:rPr>
          <w:iCs/>
        </w:rPr>
        <w:t xml:space="preserve">Summary of change: Adding a new text based on the legacy UE behavior. </w:t>
      </w:r>
    </w:p>
    <w:p w14:paraId="54370A52" w14:textId="77777777" w:rsidR="008A7808" w:rsidRPr="008A7808" w:rsidRDefault="008A7808" w:rsidP="00AA1D48">
      <w:pPr>
        <w:pStyle w:val="ListParagraph"/>
        <w:numPr>
          <w:ilvl w:val="0"/>
          <w:numId w:val="107"/>
        </w:numPr>
        <w:rPr>
          <w:iCs/>
        </w:rPr>
      </w:pPr>
      <w:r w:rsidRPr="008A7808">
        <w:rPr>
          <w:iCs/>
        </w:rPr>
        <w:t>Consequences if not approved: Incomplete description of fullpowerMode2.</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0278"/>
      </w:tblGrid>
      <w:tr w:rsidR="008A7808" w14:paraId="7EE4BFC6" w14:textId="77777777" w:rsidTr="008A7808">
        <w:trPr>
          <w:trHeight w:val="1250"/>
        </w:trPr>
        <w:tc>
          <w:tcPr>
            <w:tcW w:w="10278" w:type="dxa"/>
            <w:tcBorders>
              <w:top w:val="single" w:sz="4" w:space="0" w:color="auto"/>
              <w:left w:val="single" w:sz="4" w:space="0" w:color="auto"/>
              <w:bottom w:val="single" w:sz="4" w:space="0" w:color="auto"/>
              <w:right w:val="single" w:sz="4" w:space="0" w:color="auto"/>
            </w:tcBorders>
            <w:hideMark/>
          </w:tcPr>
          <w:tbl>
            <w:tblPr>
              <w:tblW w:w="5000" w:type="pct"/>
              <w:tblLook w:val="04A0" w:firstRow="1" w:lastRow="0" w:firstColumn="1" w:lastColumn="0" w:noHBand="0" w:noVBand="1"/>
            </w:tblPr>
            <w:tblGrid>
              <w:gridCol w:w="10062"/>
            </w:tblGrid>
            <w:tr w:rsidR="008A7808" w:rsidRPr="008A7808" w14:paraId="50C3FCCA" w14:textId="77777777" w:rsidTr="008A7808">
              <w:trPr>
                <w:trHeight w:val="2779"/>
              </w:trPr>
              <w:tc>
                <w:tcPr>
                  <w:tcW w:w="5000" w:type="pct"/>
                  <w:shd w:val="clear" w:color="auto" w:fill="auto"/>
                </w:tcPr>
                <w:p w14:paraId="5E93CE2B" w14:textId="68C71C5D" w:rsidR="008A7808" w:rsidRPr="008A7808" w:rsidRDefault="008A7808" w:rsidP="008A7808">
                  <w:pPr>
                    <w:jc w:val="both"/>
                    <w:rPr>
                      <w:rFonts w:ascii="Arial" w:hAnsi="Arial" w:cs="Arial"/>
                      <w:b/>
                      <w:bCs/>
                      <w:iCs/>
                      <w:sz w:val="16"/>
                      <w:szCs w:val="16"/>
                    </w:rPr>
                  </w:pPr>
                  <w:r w:rsidRPr="008A7808">
                    <w:rPr>
                      <w:rFonts w:ascii="Arial" w:hAnsi="Arial" w:cs="Arial"/>
                      <w:b/>
                      <w:bCs/>
                      <w:kern w:val="2"/>
                      <w:sz w:val="16"/>
                      <w:szCs w:val="16"/>
                    </w:rPr>
                    <w:t>6.1.1.1</w:t>
                  </w:r>
                  <w:r w:rsidRPr="008A7808">
                    <w:rPr>
                      <w:rFonts w:ascii="Arial" w:hAnsi="Arial" w:cs="Arial"/>
                      <w:b/>
                      <w:bCs/>
                      <w:iCs/>
                      <w:sz w:val="16"/>
                      <w:szCs w:val="16"/>
                    </w:rPr>
                    <w:tab/>
                  </w:r>
                  <w:r w:rsidRPr="008A7808">
                    <w:rPr>
                      <w:rFonts w:ascii="Arial" w:hAnsi="Arial" w:cs="Arial"/>
                      <w:b/>
                      <w:bCs/>
                      <w:kern w:val="2"/>
                      <w:sz w:val="16"/>
                      <w:szCs w:val="16"/>
                    </w:rPr>
                    <w:t>Codebook based UL transmission</w:t>
                  </w:r>
                </w:p>
                <w:p w14:paraId="6759346A" w14:textId="77777777" w:rsidR="008A7808" w:rsidRPr="008A7808" w:rsidRDefault="008A7808">
                  <w:pPr>
                    <w:ind w:left="360"/>
                    <w:contextualSpacing/>
                    <w:rPr>
                      <w:rFonts w:ascii="Arial" w:hAnsi="Arial" w:cs="Arial"/>
                      <w:color w:val="FF0000"/>
                      <w:sz w:val="16"/>
                      <w:szCs w:val="16"/>
                      <w:lang w:eastAsia="zh-CN"/>
                    </w:rPr>
                  </w:pPr>
                  <w:r w:rsidRPr="008A7808">
                    <w:rPr>
                      <w:rFonts w:ascii="Arial" w:hAnsi="Arial" w:cs="Arial"/>
                      <w:color w:val="FF0000"/>
                      <w:sz w:val="16"/>
                      <w:szCs w:val="16"/>
                      <w:lang w:eastAsia="zh-CN"/>
                    </w:rPr>
                    <w:t>-------------------------------------------Unchanged parts are omitted-------------------------------------------</w:t>
                  </w:r>
                </w:p>
                <w:p w14:paraId="643CBCD1" w14:textId="77777777" w:rsidR="008A7808" w:rsidRPr="008A7808" w:rsidRDefault="008A7808">
                  <w:pPr>
                    <w:pStyle w:val="Default"/>
                    <w:rPr>
                      <w:rFonts w:ascii="Arial" w:hAnsi="Arial" w:cs="Arial"/>
                      <w:color w:val="000000"/>
                      <w:kern w:val="2"/>
                      <w:sz w:val="16"/>
                      <w:szCs w:val="16"/>
                      <w:lang w:eastAsia="en-US"/>
                    </w:rPr>
                  </w:pPr>
                  <w:r w:rsidRPr="008A7808">
                    <w:rPr>
                      <w:rFonts w:ascii="Arial" w:hAnsi="Arial" w:cs="Arial"/>
                      <w:kern w:val="2"/>
                      <w:sz w:val="16"/>
                      <w:szCs w:val="16"/>
                    </w:rPr>
                    <w:t xml:space="preserve">When higher layer parameter </w:t>
                  </w:r>
                  <w:r w:rsidRPr="008A7808">
                    <w:rPr>
                      <w:rFonts w:ascii="Arial" w:hAnsi="Arial" w:cs="Arial"/>
                      <w:i/>
                      <w:iCs/>
                      <w:kern w:val="2"/>
                      <w:sz w:val="16"/>
                      <w:szCs w:val="16"/>
                    </w:rPr>
                    <w:t xml:space="preserve">ul-FullPowerTransmission </w:t>
                  </w:r>
                  <w:r w:rsidRPr="008A7808">
                    <w:rPr>
                      <w:rFonts w:ascii="Arial" w:hAnsi="Arial" w:cs="Arial"/>
                      <w:kern w:val="2"/>
                      <w:sz w:val="16"/>
                      <w:szCs w:val="16"/>
                    </w:rPr>
                    <w:t>is set to '</w:t>
                  </w:r>
                  <w:r w:rsidRPr="008A7808">
                    <w:rPr>
                      <w:rFonts w:ascii="Arial" w:hAnsi="Arial" w:cs="Arial"/>
                      <w:i/>
                      <w:iCs/>
                      <w:kern w:val="2"/>
                      <w:sz w:val="16"/>
                      <w:szCs w:val="16"/>
                    </w:rPr>
                    <w:t xml:space="preserve">fullpowerMode2' </w:t>
                  </w:r>
                  <w:r w:rsidRPr="008A7808">
                    <w:rPr>
                      <w:rFonts w:ascii="Arial" w:hAnsi="Arial" w:cs="Arial"/>
                      <w:kern w:val="2"/>
                      <w:sz w:val="16"/>
                      <w:szCs w:val="16"/>
                    </w:rPr>
                    <w:t xml:space="preserve">and the higher layer parameter </w:t>
                  </w:r>
                  <w:r w:rsidRPr="008A7808">
                    <w:rPr>
                      <w:rFonts w:ascii="Arial" w:hAnsi="Arial" w:cs="Arial"/>
                      <w:i/>
                      <w:iCs/>
                      <w:kern w:val="2"/>
                      <w:sz w:val="16"/>
                      <w:szCs w:val="16"/>
                    </w:rPr>
                    <w:t xml:space="preserve">codebookSubset </w:t>
                  </w:r>
                  <w:r w:rsidRPr="008A7808">
                    <w:rPr>
                      <w:rFonts w:ascii="Arial" w:hAnsi="Arial" w:cs="Arial"/>
                      <w:kern w:val="2"/>
                      <w:sz w:val="16"/>
                      <w:szCs w:val="16"/>
                    </w:rPr>
                    <w:t xml:space="preserve">or the higher layer parameter </w:t>
                  </w:r>
                  <w:r w:rsidRPr="008A7808">
                    <w:rPr>
                      <w:rFonts w:ascii="Arial" w:hAnsi="Arial" w:cs="Arial"/>
                      <w:i/>
                      <w:iCs/>
                      <w:kern w:val="2"/>
                      <w:sz w:val="16"/>
                      <w:szCs w:val="16"/>
                    </w:rPr>
                    <w:t xml:space="preserve">codebookSubsetDCI-0-2 </w:t>
                  </w:r>
                  <w:r w:rsidRPr="008A7808">
                    <w:rPr>
                      <w:rFonts w:ascii="Arial" w:hAnsi="Arial" w:cs="Arial"/>
                      <w:kern w:val="2"/>
                      <w:sz w:val="16"/>
                      <w:szCs w:val="16"/>
                    </w:rPr>
                    <w:t xml:space="preserve">is set to </w:t>
                  </w:r>
                  <w:r w:rsidRPr="008A7808">
                    <w:rPr>
                      <w:rFonts w:ascii="Arial" w:hAnsi="Arial" w:cs="Arial"/>
                      <w:i/>
                      <w:iCs/>
                      <w:kern w:val="2"/>
                      <w:sz w:val="16"/>
                      <w:szCs w:val="16"/>
                    </w:rPr>
                    <w:t>'</w:t>
                  </w:r>
                  <w:r w:rsidRPr="008A7808">
                    <w:rPr>
                      <w:rFonts w:ascii="Arial" w:hAnsi="Arial" w:cs="Arial"/>
                      <w:kern w:val="2"/>
                      <w:sz w:val="16"/>
                      <w:szCs w:val="16"/>
                    </w:rPr>
                    <w:t xml:space="preserve">partialAndNonCoherent', and when the SRS-resourceSet with usage set to "codebook" includes at least one SRS resource with 4 ports and one SRS resource with 2 ports, the codebookSubset associated with the 2-port SRS resource is 'nonCoherent'. </w:t>
                  </w:r>
                </w:p>
                <w:p w14:paraId="092496DD" w14:textId="77777777" w:rsidR="008A7808" w:rsidRPr="008A7808" w:rsidRDefault="008A7808">
                  <w:pPr>
                    <w:pStyle w:val="Default"/>
                    <w:rPr>
                      <w:rFonts w:ascii="Arial" w:hAnsi="Arial" w:cs="Arial"/>
                      <w:color w:val="FF0000"/>
                      <w:kern w:val="2"/>
                      <w:sz w:val="16"/>
                      <w:szCs w:val="16"/>
                    </w:rPr>
                  </w:pPr>
                  <w:r w:rsidRPr="008A7808">
                    <w:rPr>
                      <w:rFonts w:ascii="Arial" w:hAnsi="Arial" w:cs="Arial"/>
                      <w:color w:val="FF0000"/>
                      <w:kern w:val="2"/>
                      <w:sz w:val="16"/>
                      <w:szCs w:val="16"/>
                    </w:rPr>
                    <w:t xml:space="preserve">When higher layer parameter </w:t>
                  </w:r>
                  <w:r w:rsidRPr="008A7808">
                    <w:rPr>
                      <w:rFonts w:ascii="Arial" w:hAnsi="Arial" w:cs="Arial"/>
                      <w:i/>
                      <w:iCs/>
                      <w:color w:val="FF0000"/>
                      <w:kern w:val="2"/>
                      <w:sz w:val="16"/>
                      <w:szCs w:val="16"/>
                    </w:rPr>
                    <w:t xml:space="preserve">ul-FullPowerTransmission </w:t>
                  </w:r>
                  <w:r w:rsidRPr="008A7808">
                    <w:rPr>
                      <w:rFonts w:ascii="Arial" w:hAnsi="Arial" w:cs="Arial"/>
                      <w:color w:val="FF0000"/>
                      <w:kern w:val="2"/>
                      <w:sz w:val="16"/>
                      <w:szCs w:val="16"/>
                    </w:rPr>
                    <w:t>is set to '</w:t>
                  </w:r>
                  <w:r w:rsidRPr="008A7808">
                    <w:rPr>
                      <w:rFonts w:ascii="Arial" w:hAnsi="Arial" w:cs="Arial"/>
                      <w:i/>
                      <w:iCs/>
                      <w:color w:val="FF0000"/>
                      <w:kern w:val="2"/>
                      <w:sz w:val="16"/>
                      <w:szCs w:val="16"/>
                    </w:rPr>
                    <w:t xml:space="preserve">fullpowerMode2' </w:t>
                  </w:r>
                  <w:r w:rsidRPr="008A7808">
                    <w:rPr>
                      <w:rFonts w:ascii="Arial" w:hAnsi="Arial" w:cs="Arial"/>
                      <w:color w:val="FF0000"/>
                      <w:kern w:val="2"/>
                      <w:sz w:val="16"/>
                      <w:szCs w:val="16"/>
                    </w:rPr>
                    <w:t xml:space="preserve">and the higher layer parameter </w:t>
                  </w:r>
                  <w:r w:rsidRPr="008A7808">
                    <w:rPr>
                      <w:rFonts w:ascii="Arial" w:hAnsi="Arial" w:cs="Arial"/>
                      <w:i/>
                      <w:iCs/>
                      <w:color w:val="FF0000"/>
                      <w:kern w:val="2"/>
                      <w:sz w:val="16"/>
                      <w:szCs w:val="16"/>
                    </w:rPr>
                    <w:t xml:space="preserve">codebookType </w:t>
                  </w:r>
                  <w:r w:rsidRPr="008A7808">
                    <w:rPr>
                      <w:rFonts w:ascii="Arial" w:hAnsi="Arial" w:cs="Arial"/>
                      <w:color w:val="FF0000"/>
                      <w:kern w:val="2"/>
                      <w:sz w:val="16"/>
                      <w:szCs w:val="16"/>
                    </w:rPr>
                    <w:t xml:space="preserve">is set to </w:t>
                  </w:r>
                  <w:r w:rsidRPr="008A7808">
                    <w:rPr>
                      <w:rFonts w:ascii="Arial" w:hAnsi="Arial" w:cs="Arial"/>
                      <w:i/>
                      <w:iCs/>
                      <w:color w:val="FF0000"/>
                      <w:kern w:val="2"/>
                      <w:sz w:val="16"/>
                      <w:szCs w:val="16"/>
                    </w:rPr>
                    <w:t>'</w:t>
                  </w:r>
                  <w:r w:rsidRPr="008A7808">
                    <w:rPr>
                      <w:rFonts w:ascii="Arial" w:hAnsi="Arial" w:cs="Arial"/>
                      <w:color w:val="FF0000"/>
                      <w:kern w:val="2"/>
                      <w:sz w:val="16"/>
                      <w:szCs w:val="16"/>
                    </w:rPr>
                    <w:t xml:space="preserve">Codebook2' or </w:t>
                  </w:r>
                  <w:r w:rsidRPr="008A7808">
                    <w:rPr>
                      <w:rFonts w:ascii="Arial" w:hAnsi="Arial" w:cs="Arial"/>
                      <w:i/>
                      <w:iCs/>
                      <w:color w:val="FF0000"/>
                      <w:kern w:val="2"/>
                      <w:sz w:val="16"/>
                      <w:szCs w:val="16"/>
                    </w:rPr>
                    <w:t>'</w:t>
                  </w:r>
                  <w:r w:rsidRPr="008A7808">
                    <w:rPr>
                      <w:rFonts w:ascii="Arial" w:hAnsi="Arial" w:cs="Arial"/>
                      <w:color w:val="FF0000"/>
                      <w:kern w:val="2"/>
                      <w:sz w:val="16"/>
                      <w:szCs w:val="16"/>
                    </w:rPr>
                    <w:t>Codebook3', and the SRS-resourceSet with usage set to "codebook" includes one SRS resource with 8 ports, and at least one SRS resource with 2 ports or 4 ports, subject to UE capability,</w:t>
                  </w:r>
                </w:p>
                <w:p w14:paraId="5BBC5634" w14:textId="77777777" w:rsidR="008A7808" w:rsidRPr="008A7808" w:rsidRDefault="008A7808" w:rsidP="00A67145">
                  <w:pPr>
                    <w:pStyle w:val="Default"/>
                    <w:widowControl/>
                    <w:numPr>
                      <w:ilvl w:val="0"/>
                      <w:numId w:val="196"/>
                    </w:numPr>
                    <w:rPr>
                      <w:rFonts w:ascii="Arial" w:hAnsi="Arial" w:cs="Arial"/>
                      <w:color w:val="FF0000"/>
                      <w:kern w:val="2"/>
                      <w:sz w:val="16"/>
                      <w:szCs w:val="16"/>
                    </w:rPr>
                  </w:pPr>
                  <w:r w:rsidRPr="008A7808">
                    <w:rPr>
                      <w:rFonts w:ascii="Arial" w:hAnsi="Arial" w:cs="Arial"/>
                      <w:color w:val="FF0000"/>
                      <w:kern w:val="2"/>
                      <w:sz w:val="16"/>
                      <w:szCs w:val="16"/>
                    </w:rPr>
                    <w:t xml:space="preserve">when </w:t>
                  </w:r>
                  <w:r w:rsidRPr="008A7808">
                    <w:rPr>
                      <w:rFonts w:ascii="Arial" w:hAnsi="Arial" w:cs="Arial"/>
                      <w:i/>
                      <w:iCs/>
                      <w:color w:val="FF0000"/>
                      <w:kern w:val="2"/>
                      <w:sz w:val="16"/>
                      <w:szCs w:val="16"/>
                    </w:rPr>
                    <w:t xml:space="preserve">codebookType </w:t>
                  </w:r>
                  <w:r w:rsidRPr="008A7808">
                    <w:rPr>
                      <w:rFonts w:ascii="Arial" w:hAnsi="Arial" w:cs="Arial"/>
                      <w:color w:val="FF0000"/>
                      <w:kern w:val="2"/>
                      <w:sz w:val="16"/>
                      <w:szCs w:val="16"/>
                    </w:rPr>
                    <w:t xml:space="preserve">is set to </w:t>
                  </w:r>
                  <w:r w:rsidRPr="008A7808">
                    <w:rPr>
                      <w:rFonts w:ascii="Arial" w:hAnsi="Arial" w:cs="Arial"/>
                      <w:i/>
                      <w:iCs/>
                      <w:color w:val="FF0000"/>
                      <w:kern w:val="2"/>
                      <w:sz w:val="16"/>
                      <w:szCs w:val="16"/>
                    </w:rPr>
                    <w:t>'</w:t>
                  </w:r>
                  <w:r w:rsidRPr="008A7808">
                    <w:rPr>
                      <w:rFonts w:ascii="Arial" w:hAnsi="Arial" w:cs="Arial"/>
                      <w:color w:val="FF0000"/>
                      <w:kern w:val="2"/>
                      <w:sz w:val="16"/>
                      <w:szCs w:val="16"/>
                    </w:rPr>
                    <w:t xml:space="preserve">Codebook2', the </w:t>
                  </w:r>
                  <w:r w:rsidRPr="008A7808">
                    <w:rPr>
                      <w:rFonts w:ascii="Arial" w:hAnsi="Arial" w:cs="Arial"/>
                      <w:i/>
                      <w:iCs/>
                      <w:color w:val="FF0000"/>
                      <w:kern w:val="2"/>
                      <w:sz w:val="16"/>
                      <w:szCs w:val="16"/>
                    </w:rPr>
                    <w:t xml:space="preserve">codebookSubset </w:t>
                  </w:r>
                  <w:r w:rsidRPr="008A7808">
                    <w:rPr>
                      <w:rFonts w:ascii="Arial" w:hAnsi="Arial" w:cs="Arial"/>
                      <w:color w:val="FF0000"/>
                      <w:kern w:val="2"/>
                      <w:sz w:val="16"/>
                      <w:szCs w:val="16"/>
                    </w:rPr>
                    <w:t>associated with the 2-port SRS resource is 'nonCoherent'.</w:t>
                  </w:r>
                </w:p>
                <w:p w14:paraId="6343F263" w14:textId="77777777" w:rsidR="008A7808" w:rsidRPr="008A7808" w:rsidRDefault="008A7808" w:rsidP="00A67145">
                  <w:pPr>
                    <w:pStyle w:val="Default"/>
                    <w:widowControl/>
                    <w:numPr>
                      <w:ilvl w:val="0"/>
                      <w:numId w:val="196"/>
                    </w:numPr>
                    <w:rPr>
                      <w:rFonts w:ascii="Arial" w:hAnsi="Arial" w:cs="Arial"/>
                      <w:kern w:val="2"/>
                      <w:sz w:val="16"/>
                      <w:szCs w:val="16"/>
                    </w:rPr>
                  </w:pPr>
                  <w:r w:rsidRPr="008A7808">
                    <w:rPr>
                      <w:rFonts w:ascii="Arial" w:hAnsi="Arial" w:cs="Arial"/>
                      <w:color w:val="FF0000"/>
                      <w:kern w:val="2"/>
                      <w:sz w:val="16"/>
                      <w:szCs w:val="16"/>
                    </w:rPr>
                    <w:t xml:space="preserve">when </w:t>
                  </w:r>
                  <w:r w:rsidRPr="008A7808">
                    <w:rPr>
                      <w:rFonts w:ascii="Arial" w:hAnsi="Arial" w:cs="Arial"/>
                      <w:i/>
                      <w:iCs/>
                      <w:color w:val="FF0000"/>
                      <w:kern w:val="2"/>
                      <w:sz w:val="16"/>
                      <w:szCs w:val="16"/>
                    </w:rPr>
                    <w:t xml:space="preserve">codebookType </w:t>
                  </w:r>
                  <w:r w:rsidRPr="008A7808">
                    <w:rPr>
                      <w:rFonts w:ascii="Arial" w:hAnsi="Arial" w:cs="Arial"/>
                      <w:color w:val="FF0000"/>
                      <w:kern w:val="2"/>
                      <w:sz w:val="16"/>
                      <w:szCs w:val="16"/>
                    </w:rPr>
                    <w:t xml:space="preserve">is set to </w:t>
                  </w:r>
                  <w:r w:rsidRPr="008A7808">
                    <w:rPr>
                      <w:rFonts w:ascii="Arial" w:hAnsi="Arial" w:cs="Arial"/>
                      <w:i/>
                      <w:iCs/>
                      <w:color w:val="FF0000"/>
                      <w:kern w:val="2"/>
                      <w:sz w:val="16"/>
                      <w:szCs w:val="16"/>
                    </w:rPr>
                    <w:t>'</w:t>
                  </w:r>
                  <w:r w:rsidRPr="008A7808">
                    <w:rPr>
                      <w:rFonts w:ascii="Arial" w:hAnsi="Arial" w:cs="Arial"/>
                      <w:color w:val="FF0000"/>
                      <w:kern w:val="2"/>
                      <w:sz w:val="16"/>
                      <w:szCs w:val="16"/>
                    </w:rPr>
                    <w:t>Codebook2', the</w:t>
                  </w:r>
                  <w:r w:rsidRPr="008A7808">
                    <w:rPr>
                      <w:rFonts w:ascii="Arial" w:hAnsi="Arial" w:cs="Arial"/>
                      <w:i/>
                      <w:iCs/>
                      <w:color w:val="FF0000"/>
                      <w:kern w:val="2"/>
                      <w:sz w:val="16"/>
                      <w:szCs w:val="16"/>
                    </w:rPr>
                    <w:t xml:space="preserve"> codebookSubset </w:t>
                  </w:r>
                  <w:r w:rsidRPr="008A7808">
                    <w:rPr>
                      <w:rFonts w:ascii="Arial" w:hAnsi="Arial" w:cs="Arial"/>
                      <w:color w:val="FF0000"/>
                      <w:kern w:val="2"/>
                      <w:sz w:val="16"/>
                      <w:szCs w:val="16"/>
                    </w:rPr>
                    <w:t>associated with the 4-port SRS resource can be configured as 'partialAndNonCoherent' or 'nonCoherent', subject to UE capability</w:t>
                  </w:r>
                  <w:r w:rsidRPr="008A7808">
                    <w:rPr>
                      <w:rFonts w:ascii="Arial" w:hAnsi="Arial" w:cs="Arial"/>
                      <w:kern w:val="2"/>
                      <w:sz w:val="16"/>
                      <w:szCs w:val="16"/>
                    </w:rPr>
                    <w:t>.</w:t>
                  </w:r>
                </w:p>
                <w:p w14:paraId="40B6B694" w14:textId="77777777" w:rsidR="008A7808" w:rsidRPr="008A7808" w:rsidRDefault="008A7808" w:rsidP="00A67145">
                  <w:pPr>
                    <w:pStyle w:val="Default"/>
                    <w:widowControl/>
                    <w:numPr>
                      <w:ilvl w:val="0"/>
                      <w:numId w:val="196"/>
                    </w:numPr>
                    <w:rPr>
                      <w:rFonts w:ascii="Arial" w:hAnsi="Arial" w:cs="Arial"/>
                      <w:color w:val="FF0000"/>
                      <w:kern w:val="2"/>
                      <w:sz w:val="16"/>
                      <w:szCs w:val="16"/>
                    </w:rPr>
                  </w:pPr>
                  <w:r w:rsidRPr="008A7808">
                    <w:rPr>
                      <w:rFonts w:ascii="Arial" w:hAnsi="Arial" w:cs="Arial"/>
                      <w:color w:val="FF0000"/>
                      <w:kern w:val="2"/>
                      <w:sz w:val="16"/>
                      <w:szCs w:val="16"/>
                    </w:rPr>
                    <w:t xml:space="preserve">when </w:t>
                  </w:r>
                  <w:r w:rsidRPr="008A7808">
                    <w:rPr>
                      <w:rFonts w:ascii="Arial" w:hAnsi="Arial" w:cs="Arial"/>
                      <w:i/>
                      <w:iCs/>
                      <w:color w:val="FF0000"/>
                      <w:kern w:val="2"/>
                      <w:sz w:val="16"/>
                      <w:szCs w:val="16"/>
                    </w:rPr>
                    <w:t xml:space="preserve">codebookType </w:t>
                  </w:r>
                  <w:r w:rsidRPr="008A7808">
                    <w:rPr>
                      <w:rFonts w:ascii="Arial" w:hAnsi="Arial" w:cs="Arial"/>
                      <w:color w:val="FF0000"/>
                      <w:kern w:val="2"/>
                      <w:sz w:val="16"/>
                      <w:szCs w:val="16"/>
                    </w:rPr>
                    <w:t xml:space="preserve">is set to </w:t>
                  </w:r>
                  <w:r w:rsidRPr="008A7808">
                    <w:rPr>
                      <w:rFonts w:ascii="Arial" w:hAnsi="Arial" w:cs="Arial"/>
                      <w:i/>
                      <w:iCs/>
                      <w:color w:val="FF0000"/>
                      <w:kern w:val="2"/>
                      <w:sz w:val="16"/>
                      <w:szCs w:val="16"/>
                    </w:rPr>
                    <w:t>'</w:t>
                  </w:r>
                  <w:r w:rsidRPr="008A7808">
                    <w:rPr>
                      <w:rFonts w:ascii="Arial" w:hAnsi="Arial" w:cs="Arial"/>
                      <w:color w:val="FF0000"/>
                      <w:kern w:val="2"/>
                      <w:sz w:val="16"/>
                      <w:szCs w:val="16"/>
                    </w:rPr>
                    <w:t>Codebook3', the codebooksubset associated with 4 ports SRS resources is 'nonCoherent'.</w:t>
                  </w:r>
                </w:p>
                <w:p w14:paraId="3C8713D9" w14:textId="77777777" w:rsidR="008A7808" w:rsidRPr="008A7808" w:rsidRDefault="008A7808">
                  <w:pPr>
                    <w:pStyle w:val="Default"/>
                    <w:rPr>
                      <w:rFonts w:ascii="Arial" w:hAnsi="Arial" w:cs="Arial"/>
                      <w:color w:val="000000"/>
                      <w:kern w:val="2"/>
                      <w:sz w:val="16"/>
                      <w:szCs w:val="16"/>
                    </w:rPr>
                  </w:pPr>
                  <w:r w:rsidRPr="008A7808">
                    <w:rPr>
                      <w:rFonts w:ascii="Arial" w:hAnsi="Arial" w:cs="Arial"/>
                      <w:kern w:val="2"/>
                      <w:sz w:val="16"/>
                      <w:szCs w:val="16"/>
                    </w:rPr>
                    <w:t xml:space="preserve">The maximum transmission rank may be configured by the higher layer parameter </w:t>
                  </w:r>
                  <w:r w:rsidRPr="008A7808">
                    <w:rPr>
                      <w:rFonts w:ascii="Arial" w:hAnsi="Arial" w:cs="Arial"/>
                      <w:i/>
                      <w:iCs/>
                      <w:kern w:val="2"/>
                      <w:sz w:val="16"/>
                      <w:szCs w:val="16"/>
                    </w:rPr>
                    <w:t xml:space="preserve">maxRank </w:t>
                  </w:r>
                  <w:r w:rsidRPr="008A7808">
                    <w:rPr>
                      <w:rFonts w:ascii="Arial" w:hAnsi="Arial" w:cs="Arial"/>
                      <w:kern w:val="2"/>
                      <w:sz w:val="16"/>
                      <w:szCs w:val="16"/>
                    </w:rPr>
                    <w:t xml:space="preserve">in </w:t>
                  </w:r>
                  <w:r w:rsidRPr="008A7808">
                    <w:rPr>
                      <w:rFonts w:ascii="Arial" w:hAnsi="Arial" w:cs="Arial"/>
                      <w:i/>
                      <w:iCs/>
                      <w:kern w:val="2"/>
                      <w:sz w:val="16"/>
                      <w:szCs w:val="16"/>
                    </w:rPr>
                    <w:t xml:space="preserve">pusch-Config </w:t>
                  </w:r>
                  <w:r w:rsidRPr="008A7808">
                    <w:rPr>
                      <w:rFonts w:ascii="Arial" w:hAnsi="Arial" w:cs="Arial"/>
                      <w:kern w:val="2"/>
                      <w:sz w:val="16"/>
                      <w:szCs w:val="16"/>
                    </w:rPr>
                    <w:t xml:space="preserve">for PUSCH scheduled with DCI format 0_1 or 0_3 and </w:t>
                  </w:r>
                  <w:r w:rsidRPr="008A7808">
                    <w:rPr>
                      <w:rFonts w:ascii="Arial" w:hAnsi="Arial" w:cs="Arial"/>
                      <w:i/>
                      <w:iCs/>
                      <w:kern w:val="2"/>
                      <w:sz w:val="16"/>
                      <w:szCs w:val="16"/>
                    </w:rPr>
                    <w:t xml:space="preserve">maxRankDCI-0-2 </w:t>
                  </w:r>
                  <w:r w:rsidRPr="008A7808">
                    <w:rPr>
                      <w:rFonts w:ascii="Arial" w:hAnsi="Arial" w:cs="Arial"/>
                      <w:kern w:val="2"/>
                      <w:sz w:val="16"/>
                      <w:szCs w:val="16"/>
                    </w:rPr>
                    <w:t>for PUSCH scheduled with DCI format 0_2</w:t>
                  </w:r>
                  <w:r w:rsidRPr="008A7808">
                    <w:rPr>
                      <w:rFonts w:ascii="Arial" w:hAnsi="Arial" w:cs="Arial"/>
                      <w:i/>
                      <w:iCs/>
                      <w:kern w:val="2"/>
                      <w:sz w:val="16"/>
                      <w:szCs w:val="16"/>
                    </w:rPr>
                    <w:t xml:space="preserve">. </w:t>
                  </w:r>
                </w:p>
                <w:p w14:paraId="4F4CCF92" w14:textId="0F1ACFAE" w:rsidR="008A7808" w:rsidRPr="008A7808" w:rsidRDefault="008A7808" w:rsidP="008A7808">
                  <w:pPr>
                    <w:ind w:left="360"/>
                    <w:contextualSpacing/>
                    <w:rPr>
                      <w:rFonts w:ascii="Arial" w:hAnsi="Arial" w:cs="Arial"/>
                      <w:color w:val="FF0000"/>
                      <w:kern w:val="2"/>
                      <w:sz w:val="16"/>
                      <w:szCs w:val="16"/>
                    </w:rPr>
                  </w:pPr>
                  <w:r w:rsidRPr="008A7808">
                    <w:rPr>
                      <w:rFonts w:ascii="Arial" w:hAnsi="Arial" w:cs="Arial"/>
                      <w:color w:val="FF0000"/>
                      <w:sz w:val="16"/>
                      <w:szCs w:val="16"/>
                      <w:lang w:eastAsia="zh-CN"/>
                    </w:rPr>
                    <w:t>-------------------------------------------Unchanged parts are omitted-------------------------------------------</w:t>
                  </w:r>
                </w:p>
              </w:tc>
            </w:tr>
          </w:tbl>
          <w:p w14:paraId="09C5A8AE" w14:textId="77777777" w:rsidR="008A7808" w:rsidRDefault="008A7808">
            <w:pPr>
              <w:rPr>
                <w:kern w:val="2"/>
                <w:sz w:val="22"/>
                <w:szCs w:val="22"/>
                <w:highlight w:val="green"/>
              </w:rPr>
            </w:pPr>
          </w:p>
        </w:tc>
      </w:tr>
    </w:tbl>
    <w:p w14:paraId="50A674E5" w14:textId="77777777" w:rsidR="008A7808" w:rsidRDefault="008A7808" w:rsidP="008A7808">
      <w:pPr>
        <w:rPr>
          <w:highlight w:val="yellow"/>
        </w:rPr>
      </w:pPr>
    </w:p>
    <w:p w14:paraId="3E1E8A85" w14:textId="77777777" w:rsidR="008A7808" w:rsidRPr="009E07E2" w:rsidRDefault="008A7808" w:rsidP="008A7808">
      <w:pPr>
        <w:rPr>
          <w:rFonts w:ascii="Times New Roman" w:hAnsi="Times New Roman"/>
          <w:highlight w:val="green"/>
          <w:lang w:eastAsia="x-none"/>
        </w:rPr>
      </w:pPr>
      <w:r w:rsidRPr="009E07E2">
        <w:rPr>
          <w:rFonts w:ascii="Times New Roman" w:hAnsi="Times New Roman"/>
          <w:highlight w:val="green"/>
          <w:lang w:eastAsia="x-none"/>
        </w:rPr>
        <w:t>Agreement</w:t>
      </w:r>
    </w:p>
    <w:p w14:paraId="4666DBC3" w14:textId="77777777" w:rsidR="008A7808" w:rsidRDefault="008A7808" w:rsidP="008A7808">
      <w:r>
        <w:t>Adopt the following text proposals to TS 38.211 and TS 38.214.</w:t>
      </w:r>
    </w:p>
    <w:p w14:paraId="7309B010" w14:textId="77777777" w:rsidR="008A7808" w:rsidRPr="008A7808" w:rsidRDefault="008A7808" w:rsidP="00A67145">
      <w:pPr>
        <w:pStyle w:val="ListParagraph"/>
        <w:numPr>
          <w:ilvl w:val="0"/>
          <w:numId w:val="198"/>
        </w:numPr>
        <w:rPr>
          <w:szCs w:val="24"/>
        </w:rPr>
      </w:pPr>
      <w:r w:rsidRPr="008A7808">
        <w:t>Reason for change: The current specifications in TS 38.211 and TS 38.214 do not clearly describe the relationship between codebook1, codebook2, codebook3, codebook4 and antenna port groups.</w:t>
      </w:r>
    </w:p>
    <w:p w14:paraId="55B4490D" w14:textId="77777777" w:rsidR="008A7808" w:rsidRPr="008A7808" w:rsidRDefault="008A7808" w:rsidP="00A67145">
      <w:pPr>
        <w:pStyle w:val="ListParagraph"/>
        <w:numPr>
          <w:ilvl w:val="0"/>
          <w:numId w:val="198"/>
        </w:numPr>
      </w:pPr>
      <w:r w:rsidRPr="008A7808">
        <w:t>Summary of change: Addition of four columns to the existing Table 6.3.1.5-8</w:t>
      </w:r>
    </w:p>
    <w:p w14:paraId="00635FA7" w14:textId="77777777" w:rsidR="008A7808" w:rsidRDefault="008A7808" w:rsidP="00A67145">
      <w:pPr>
        <w:pStyle w:val="ListParagraph"/>
        <w:numPr>
          <w:ilvl w:val="0"/>
          <w:numId w:val="198"/>
        </w:numPr>
      </w:pPr>
      <w:r w:rsidRPr="008A7808">
        <w:t>Consequences if not approved: Unclear association of antenna ports to antenna port groups.</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0683"/>
      </w:tblGrid>
      <w:tr w:rsidR="008A7808" w:rsidRPr="008A7808" w14:paraId="6868D0D0" w14:textId="77777777" w:rsidTr="008A7808">
        <w:tc>
          <w:tcPr>
            <w:tcW w:w="10160" w:type="dxa"/>
            <w:tcBorders>
              <w:top w:val="double" w:sz="4" w:space="0" w:color="A5A5A5"/>
              <w:left w:val="double" w:sz="4" w:space="0" w:color="A5A5A5"/>
              <w:bottom w:val="double" w:sz="4" w:space="0" w:color="A5A5A5"/>
              <w:right w:val="double" w:sz="4" w:space="0" w:color="A5A5A5"/>
            </w:tcBorders>
          </w:tcPr>
          <w:p w14:paraId="7F593AAB" w14:textId="77777777" w:rsidR="008A7808" w:rsidRPr="008A7808" w:rsidRDefault="008A7808" w:rsidP="008A7808">
            <w:pPr>
              <w:pStyle w:val="ListParagraph"/>
              <w:spacing w:after="0"/>
              <w:ind w:left="800"/>
              <w:rPr>
                <w:rFonts w:ascii="Arial" w:hAnsi="Arial" w:cs="Arial"/>
                <w:color w:val="FF0000"/>
                <w:sz w:val="16"/>
                <w:szCs w:val="16"/>
                <w:lang w:eastAsia="zh-CN"/>
              </w:rPr>
            </w:pPr>
            <w:r w:rsidRPr="008A7808">
              <w:rPr>
                <w:rFonts w:ascii="Arial" w:hAnsi="Arial" w:cs="Arial"/>
                <w:color w:val="FF0000"/>
                <w:sz w:val="16"/>
                <w:szCs w:val="16"/>
                <w:lang w:eastAsia="zh-CN"/>
              </w:rPr>
              <w:t>-------------------------------------------Unchanged parts are omitted-------------------------------------------</w:t>
            </w:r>
          </w:p>
          <w:p w14:paraId="1D2CAA63" w14:textId="77777777" w:rsidR="008A7808" w:rsidRPr="008A7808" w:rsidRDefault="008A7808" w:rsidP="008A7808">
            <w:pPr>
              <w:pStyle w:val="TH"/>
              <w:spacing w:before="0" w:after="0"/>
              <w:ind w:left="720"/>
              <w:contextualSpacing/>
              <w:jc w:val="left"/>
              <w:rPr>
                <w:rFonts w:cs="Arial"/>
                <w:sz w:val="16"/>
                <w:szCs w:val="16"/>
              </w:rPr>
            </w:pPr>
            <w:r w:rsidRPr="008A7808">
              <w:rPr>
                <w:rFonts w:cs="Arial"/>
                <w:sz w:val="16"/>
                <w:szCs w:val="16"/>
              </w:rPr>
              <w:t xml:space="preserve">Table 6.3.1.5-8: The port mapping function </w:t>
            </w:r>
            <w:r w:rsidRPr="008A7808">
              <w:rPr>
                <w:rFonts w:cs="Arial"/>
                <w:sz w:val="16"/>
                <w:szCs w:val="16"/>
              </w:rPr>
              <w:fldChar w:fldCharType="begin"/>
            </w:r>
            <w:r w:rsidRPr="008A7808">
              <w:rPr>
                <w:rFonts w:cs="Arial"/>
                <w:sz w:val="16"/>
                <w:szCs w:val="16"/>
              </w:rPr>
              <w:instrText xml:space="preserve"> QUOTE </w:instrText>
            </w:r>
            <w:r w:rsidR="00A6784C">
              <w:rPr>
                <w:rFonts w:cs="Arial"/>
                <w:position w:val="-5"/>
                <w:sz w:val="16"/>
                <w:szCs w:val="16"/>
              </w:rPr>
              <w:pict w14:anchorId="36FF3DF3">
                <v:shape id="_x0000_i1155" type="#_x0000_t75" style="width:17.25pt;height:15pt" equationxml="&lt;">
                  <v:imagedata r:id="rId954" o:title="" chromakey="white"/>
                </v:shape>
              </w:pict>
            </w:r>
            <w:r w:rsidRPr="008A7808">
              <w:rPr>
                <w:rFonts w:cs="Arial"/>
                <w:sz w:val="16"/>
                <w:szCs w:val="16"/>
              </w:rPr>
              <w:instrText xml:space="preserve"> </w:instrText>
            </w:r>
            <w:r w:rsidRPr="008A7808">
              <w:rPr>
                <w:rFonts w:cs="Arial"/>
                <w:sz w:val="16"/>
                <w:szCs w:val="16"/>
              </w:rPr>
              <w:fldChar w:fldCharType="separate"/>
            </w:r>
            <w:r w:rsidR="00A6784C">
              <w:rPr>
                <w:rFonts w:cs="Arial"/>
                <w:position w:val="-5"/>
                <w:sz w:val="16"/>
                <w:szCs w:val="16"/>
              </w:rPr>
              <w:pict w14:anchorId="78F85DAE">
                <v:shape id="_x0000_i1156" type="#_x0000_t75" style="width:17.25pt;height:15pt" equationxml="&lt;">
                  <v:imagedata r:id="rId954" o:title="" chromakey="white"/>
                </v:shape>
              </w:pict>
            </w:r>
            <w:r w:rsidRPr="008A7808">
              <w:rPr>
                <w:rFonts w:cs="Arial"/>
                <w:sz w:val="16"/>
                <w:szCs w:val="16"/>
              </w:rPr>
              <w:fldChar w:fldCharType="end"/>
            </w:r>
            <w:r w:rsidRPr="008A7808">
              <w:rPr>
                <w:rFonts w:cs="Arial"/>
                <w:sz w:val="16"/>
                <w:szCs w:val="16"/>
              </w:rPr>
              <w:t xml:space="preserve"> for transmission using 8 antenna ports.</w:t>
            </w:r>
          </w:p>
          <w:tbl>
            <w:tblPr>
              <w:tblW w:w="10716" w:type="dxa"/>
              <w:jc w:val="cente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733"/>
              <w:gridCol w:w="1240"/>
              <w:gridCol w:w="761"/>
              <w:gridCol w:w="1548"/>
              <w:gridCol w:w="572"/>
              <w:gridCol w:w="1948"/>
              <w:gridCol w:w="894"/>
              <w:gridCol w:w="2037"/>
              <w:gridCol w:w="983"/>
            </w:tblGrid>
            <w:tr w:rsidR="008A7808" w:rsidRPr="008A7808" w14:paraId="77432E9F" w14:textId="77777777">
              <w:trPr>
                <w:jc w:val="center"/>
              </w:trPr>
              <w:tc>
                <w:tcPr>
                  <w:tcW w:w="733" w:type="dxa"/>
                  <w:vMerge w:val="restart"/>
                  <w:tcBorders>
                    <w:top w:val="double" w:sz="4" w:space="0" w:color="A5A5A5"/>
                    <w:left w:val="double" w:sz="4" w:space="0" w:color="A5A5A5"/>
                    <w:bottom w:val="double" w:sz="4" w:space="0" w:color="A5A5A5"/>
                    <w:right w:val="double" w:sz="4" w:space="0" w:color="A5A5A5"/>
                  </w:tcBorders>
                  <w:hideMark/>
                </w:tcPr>
                <w:p w14:paraId="559147FE" w14:textId="77777777" w:rsidR="008A7808" w:rsidRPr="008A7808" w:rsidRDefault="00A6784C" w:rsidP="008A7808">
                  <w:pPr>
                    <w:pStyle w:val="TAH"/>
                    <w:rPr>
                      <w:rFonts w:cs="Arial"/>
                      <w:sz w:val="16"/>
                      <w:szCs w:val="16"/>
                    </w:rPr>
                  </w:pPr>
                  <w:r>
                    <w:rPr>
                      <w:rFonts w:cs="Arial"/>
                      <w:sz w:val="16"/>
                      <w:szCs w:val="16"/>
                    </w:rPr>
                    <w:pict w14:anchorId="6B2EC436">
                      <v:shape id="_x0000_i1157" type="#_x0000_t75" style="width:3pt;height:11.25pt" equationxml="&lt;">
                        <v:imagedata r:id="rId955" o:title="" chromakey="white"/>
                      </v:shape>
                    </w:pict>
                  </w:r>
                </w:p>
              </w:tc>
              <w:tc>
                <w:tcPr>
                  <w:tcW w:w="9983" w:type="dxa"/>
                  <w:gridSpan w:val="8"/>
                  <w:tcBorders>
                    <w:top w:val="double" w:sz="4" w:space="0" w:color="A5A5A5"/>
                    <w:left w:val="double" w:sz="4" w:space="0" w:color="A5A5A5"/>
                    <w:bottom w:val="double" w:sz="4" w:space="0" w:color="A5A5A5"/>
                    <w:right w:val="double" w:sz="4" w:space="0" w:color="A5A5A5"/>
                  </w:tcBorders>
                  <w:hideMark/>
                </w:tcPr>
                <w:p w14:paraId="4183C5AC" w14:textId="77777777" w:rsidR="008A7808" w:rsidRPr="008A7808" w:rsidRDefault="008A7808" w:rsidP="008A7808">
                  <w:pPr>
                    <w:pStyle w:val="TAH"/>
                    <w:rPr>
                      <w:rFonts w:cs="Arial"/>
                      <w:i/>
                      <w:iCs/>
                      <w:sz w:val="16"/>
                      <w:szCs w:val="16"/>
                    </w:rPr>
                  </w:pPr>
                  <w:r w:rsidRPr="008A7808">
                    <w:rPr>
                      <w:rFonts w:cs="Arial"/>
                      <w:sz w:val="16"/>
                      <w:szCs w:val="16"/>
                    </w:rPr>
                    <w:t>Higher-layer parameter</w:t>
                  </w:r>
                  <w:r w:rsidRPr="008A7808">
                    <w:rPr>
                      <w:rFonts w:cs="Arial"/>
                      <w:i/>
                      <w:iCs/>
                      <w:sz w:val="16"/>
                      <w:szCs w:val="16"/>
                    </w:rPr>
                    <w:t xml:space="preserve"> CodebookType</w:t>
                  </w:r>
                </w:p>
              </w:tc>
            </w:tr>
            <w:tr w:rsidR="008A7808" w:rsidRPr="008A7808" w14:paraId="030AD0C0" w14:textId="77777777">
              <w:trPr>
                <w:jc w:val="center"/>
              </w:trPr>
              <w:tc>
                <w:tcPr>
                  <w:tcW w:w="0" w:type="auto"/>
                  <w:vMerge/>
                  <w:tcBorders>
                    <w:top w:val="double" w:sz="4" w:space="0" w:color="A5A5A5"/>
                    <w:left w:val="double" w:sz="4" w:space="0" w:color="A5A5A5"/>
                    <w:bottom w:val="double" w:sz="4" w:space="0" w:color="A5A5A5"/>
                    <w:right w:val="double" w:sz="4" w:space="0" w:color="A5A5A5"/>
                  </w:tcBorders>
                  <w:vAlign w:val="center"/>
                  <w:hideMark/>
                </w:tcPr>
                <w:p w14:paraId="6760937A" w14:textId="77777777" w:rsidR="008A7808" w:rsidRPr="008A7808" w:rsidRDefault="008A7808" w:rsidP="008A7808">
                  <w:pPr>
                    <w:rPr>
                      <w:rFonts w:ascii="Arial" w:eastAsia="Times New Roman" w:hAnsi="Arial" w:cs="Arial"/>
                      <w:b/>
                      <w:sz w:val="16"/>
                      <w:szCs w:val="16"/>
                      <w:lang w:eastAsia="en-GB"/>
                    </w:rPr>
                  </w:pPr>
                </w:p>
              </w:tc>
              <w:tc>
                <w:tcPr>
                  <w:tcW w:w="2001" w:type="dxa"/>
                  <w:gridSpan w:val="2"/>
                  <w:tcBorders>
                    <w:top w:val="double" w:sz="4" w:space="0" w:color="A5A5A5"/>
                    <w:left w:val="double" w:sz="4" w:space="0" w:color="A5A5A5"/>
                    <w:bottom w:val="double" w:sz="4" w:space="0" w:color="A5A5A5"/>
                    <w:right w:val="double" w:sz="4" w:space="0" w:color="A5A5A5"/>
                  </w:tcBorders>
                  <w:hideMark/>
                </w:tcPr>
                <w:p w14:paraId="7F06AA20" w14:textId="77777777" w:rsidR="008A7808" w:rsidRPr="008A7808" w:rsidRDefault="008A7808" w:rsidP="008A7808">
                  <w:pPr>
                    <w:pStyle w:val="TAH"/>
                    <w:rPr>
                      <w:rFonts w:cs="Arial"/>
                      <w:sz w:val="16"/>
                      <w:szCs w:val="16"/>
                    </w:rPr>
                  </w:pPr>
                  <w:r w:rsidRPr="008A7808">
                    <w:rPr>
                      <w:rFonts w:cs="Arial"/>
                      <w:sz w:val="16"/>
                      <w:szCs w:val="16"/>
                    </w:rPr>
                    <w:t xml:space="preserve">codebook1 </w:t>
                  </w:r>
                </w:p>
              </w:tc>
              <w:tc>
                <w:tcPr>
                  <w:tcW w:w="2120" w:type="dxa"/>
                  <w:gridSpan w:val="2"/>
                  <w:tcBorders>
                    <w:top w:val="double" w:sz="4" w:space="0" w:color="A5A5A5"/>
                    <w:left w:val="double" w:sz="4" w:space="0" w:color="A5A5A5"/>
                    <w:bottom w:val="double" w:sz="4" w:space="0" w:color="A5A5A5"/>
                    <w:right w:val="double" w:sz="4" w:space="0" w:color="A5A5A5"/>
                  </w:tcBorders>
                </w:tcPr>
                <w:p w14:paraId="3DB982AA" w14:textId="77777777" w:rsidR="008A7808" w:rsidRPr="008A7808" w:rsidRDefault="008A7808" w:rsidP="008A7808">
                  <w:pPr>
                    <w:pStyle w:val="TAH"/>
                    <w:rPr>
                      <w:rFonts w:cs="Arial"/>
                      <w:sz w:val="16"/>
                      <w:szCs w:val="16"/>
                    </w:rPr>
                  </w:pPr>
                  <w:r w:rsidRPr="008A7808">
                    <w:rPr>
                      <w:rFonts w:cs="Arial"/>
                      <w:sz w:val="16"/>
                      <w:szCs w:val="16"/>
                    </w:rPr>
                    <w:t>codebook2</w:t>
                  </w:r>
                </w:p>
                <w:p w14:paraId="10D6831C" w14:textId="77777777" w:rsidR="008A7808" w:rsidRPr="008A7808" w:rsidRDefault="008A7808" w:rsidP="008A7808">
                  <w:pPr>
                    <w:pStyle w:val="TAH"/>
                    <w:rPr>
                      <w:rFonts w:cs="Arial"/>
                      <w:sz w:val="16"/>
                      <w:szCs w:val="16"/>
                    </w:rPr>
                  </w:pPr>
                </w:p>
              </w:tc>
              <w:tc>
                <w:tcPr>
                  <w:tcW w:w="2842" w:type="dxa"/>
                  <w:gridSpan w:val="2"/>
                  <w:tcBorders>
                    <w:top w:val="double" w:sz="4" w:space="0" w:color="A5A5A5"/>
                    <w:left w:val="double" w:sz="4" w:space="0" w:color="A5A5A5"/>
                    <w:bottom w:val="double" w:sz="4" w:space="0" w:color="A5A5A5"/>
                    <w:right w:val="double" w:sz="4" w:space="0" w:color="A5A5A5"/>
                  </w:tcBorders>
                </w:tcPr>
                <w:p w14:paraId="10708A5D" w14:textId="77777777" w:rsidR="008A7808" w:rsidRPr="008A7808" w:rsidRDefault="008A7808" w:rsidP="008A7808">
                  <w:pPr>
                    <w:pStyle w:val="TAH"/>
                    <w:rPr>
                      <w:rFonts w:cs="Arial"/>
                      <w:sz w:val="16"/>
                      <w:szCs w:val="16"/>
                    </w:rPr>
                  </w:pPr>
                  <w:r w:rsidRPr="008A7808">
                    <w:rPr>
                      <w:rFonts w:cs="Arial"/>
                      <w:sz w:val="16"/>
                      <w:szCs w:val="16"/>
                    </w:rPr>
                    <w:t>codebook3</w:t>
                  </w:r>
                </w:p>
                <w:p w14:paraId="4878C64F" w14:textId="77777777" w:rsidR="008A7808" w:rsidRPr="008A7808" w:rsidRDefault="008A7808" w:rsidP="008A7808">
                  <w:pPr>
                    <w:pStyle w:val="TAH"/>
                    <w:rPr>
                      <w:rFonts w:cs="Arial"/>
                      <w:sz w:val="16"/>
                      <w:szCs w:val="16"/>
                    </w:rPr>
                  </w:pPr>
                </w:p>
              </w:tc>
              <w:tc>
                <w:tcPr>
                  <w:tcW w:w="3020" w:type="dxa"/>
                  <w:gridSpan w:val="2"/>
                  <w:tcBorders>
                    <w:top w:val="double" w:sz="4" w:space="0" w:color="A5A5A5"/>
                    <w:left w:val="double" w:sz="4" w:space="0" w:color="A5A5A5"/>
                    <w:bottom w:val="double" w:sz="4" w:space="0" w:color="A5A5A5"/>
                    <w:right w:val="double" w:sz="4" w:space="0" w:color="A5A5A5"/>
                  </w:tcBorders>
                </w:tcPr>
                <w:p w14:paraId="5C5CAB33" w14:textId="77777777" w:rsidR="008A7808" w:rsidRPr="008A7808" w:rsidRDefault="008A7808" w:rsidP="008A7808">
                  <w:pPr>
                    <w:pStyle w:val="TAH"/>
                    <w:rPr>
                      <w:rFonts w:cs="Arial"/>
                      <w:sz w:val="16"/>
                      <w:szCs w:val="16"/>
                    </w:rPr>
                  </w:pPr>
                  <w:r w:rsidRPr="008A7808">
                    <w:rPr>
                      <w:rFonts w:cs="Arial"/>
                      <w:sz w:val="16"/>
                      <w:szCs w:val="16"/>
                    </w:rPr>
                    <w:t>codebook4</w:t>
                  </w:r>
                </w:p>
                <w:p w14:paraId="6A20AFF2" w14:textId="77777777" w:rsidR="008A7808" w:rsidRPr="008A7808" w:rsidRDefault="008A7808" w:rsidP="008A7808">
                  <w:pPr>
                    <w:pStyle w:val="TAH"/>
                    <w:rPr>
                      <w:rFonts w:cs="Arial"/>
                      <w:sz w:val="16"/>
                      <w:szCs w:val="16"/>
                    </w:rPr>
                  </w:pPr>
                </w:p>
              </w:tc>
            </w:tr>
            <w:tr w:rsidR="008A7808" w:rsidRPr="008A7808" w14:paraId="34962D2D" w14:textId="77777777">
              <w:trPr>
                <w:jc w:val="center"/>
              </w:trPr>
              <w:tc>
                <w:tcPr>
                  <w:tcW w:w="733" w:type="dxa"/>
                  <w:tcBorders>
                    <w:top w:val="double" w:sz="4" w:space="0" w:color="A5A5A5"/>
                    <w:left w:val="double" w:sz="4" w:space="0" w:color="A5A5A5"/>
                    <w:bottom w:val="double" w:sz="4" w:space="0" w:color="A5A5A5"/>
                    <w:right w:val="double" w:sz="4" w:space="0" w:color="A5A5A5"/>
                  </w:tcBorders>
                  <w:hideMark/>
                </w:tcPr>
                <w:p w14:paraId="50F71690" w14:textId="77777777" w:rsidR="008A7808" w:rsidRPr="008A7808" w:rsidRDefault="008A7808" w:rsidP="008A7808">
                  <w:pPr>
                    <w:pStyle w:val="TAC"/>
                    <w:contextualSpacing/>
                    <w:rPr>
                      <w:rFonts w:cs="Arial"/>
                      <w:sz w:val="16"/>
                      <w:szCs w:val="16"/>
                    </w:rPr>
                  </w:pPr>
                  <w:r w:rsidRPr="008A7808">
                    <w:rPr>
                      <w:rFonts w:cs="Arial"/>
                      <w:sz w:val="16"/>
                      <w:szCs w:val="16"/>
                    </w:rPr>
                    <w:t>0</w:t>
                  </w:r>
                </w:p>
              </w:tc>
              <w:tc>
                <w:tcPr>
                  <w:tcW w:w="1240" w:type="dxa"/>
                  <w:vMerge w:val="restart"/>
                  <w:tcBorders>
                    <w:top w:val="double" w:sz="4" w:space="0" w:color="A5A5A5"/>
                    <w:left w:val="double" w:sz="4" w:space="0" w:color="A5A5A5"/>
                    <w:bottom w:val="double" w:sz="4" w:space="0" w:color="A5A5A5"/>
                    <w:right w:val="double" w:sz="4" w:space="0" w:color="A5A5A5"/>
                  </w:tcBorders>
                </w:tcPr>
                <w:p w14:paraId="322970BA" w14:textId="77777777" w:rsidR="008A7808" w:rsidRPr="008A7808" w:rsidRDefault="008A7808" w:rsidP="008A7808">
                  <w:pPr>
                    <w:pStyle w:val="TAC"/>
                    <w:contextualSpacing/>
                    <w:rPr>
                      <w:rFonts w:cs="Arial"/>
                      <w:sz w:val="16"/>
                      <w:szCs w:val="16"/>
                    </w:rPr>
                  </w:pPr>
                </w:p>
                <w:p w14:paraId="7AD654F3" w14:textId="77777777" w:rsidR="008A7808" w:rsidRPr="008A7808" w:rsidRDefault="008A7808" w:rsidP="008A7808">
                  <w:pPr>
                    <w:pStyle w:val="TAC"/>
                    <w:contextualSpacing/>
                    <w:rPr>
                      <w:rFonts w:cs="Arial"/>
                      <w:color w:val="FF0000"/>
                      <w:sz w:val="16"/>
                      <w:szCs w:val="16"/>
                    </w:rPr>
                  </w:pPr>
                </w:p>
                <w:p w14:paraId="0B85F620" w14:textId="77777777" w:rsidR="008A7808" w:rsidRPr="008A7808" w:rsidRDefault="008A7808" w:rsidP="008A7808">
                  <w:pPr>
                    <w:pStyle w:val="TAC"/>
                    <w:contextualSpacing/>
                    <w:rPr>
                      <w:rFonts w:cs="Arial"/>
                      <w:color w:val="FF0000"/>
                      <w:sz w:val="16"/>
                      <w:szCs w:val="16"/>
                    </w:rPr>
                  </w:pPr>
                </w:p>
                <w:p w14:paraId="2D3FE93E" w14:textId="77777777" w:rsidR="008A7808" w:rsidRPr="008A7808" w:rsidRDefault="008A7808" w:rsidP="008A7808">
                  <w:pPr>
                    <w:pStyle w:val="TAC"/>
                    <w:contextualSpacing/>
                    <w:rPr>
                      <w:rFonts w:cs="Arial"/>
                      <w:sz w:val="16"/>
                      <w:szCs w:val="16"/>
                    </w:rPr>
                  </w:pPr>
                  <w:r w:rsidRPr="008A7808">
                    <w:rPr>
                      <w:rFonts w:cs="Arial"/>
                      <w:color w:val="FF0000"/>
                      <w:sz w:val="16"/>
                      <w:szCs w:val="16"/>
                    </w:rPr>
                    <w:t>Antenna port group 0</w:t>
                  </w:r>
                </w:p>
              </w:tc>
              <w:tc>
                <w:tcPr>
                  <w:tcW w:w="761" w:type="dxa"/>
                  <w:tcBorders>
                    <w:top w:val="double" w:sz="4" w:space="0" w:color="A5A5A5"/>
                    <w:left w:val="double" w:sz="4" w:space="0" w:color="A5A5A5"/>
                    <w:bottom w:val="double" w:sz="4" w:space="0" w:color="A5A5A5"/>
                    <w:right w:val="double" w:sz="4" w:space="0" w:color="A5A5A5"/>
                  </w:tcBorders>
                  <w:hideMark/>
                </w:tcPr>
                <w:p w14:paraId="07E3AB2C" w14:textId="77777777" w:rsidR="008A7808" w:rsidRPr="008A7808" w:rsidRDefault="008A7808" w:rsidP="008A7808">
                  <w:pPr>
                    <w:pStyle w:val="TAC"/>
                    <w:contextualSpacing/>
                    <w:rPr>
                      <w:rFonts w:cs="Arial"/>
                      <w:sz w:val="16"/>
                      <w:szCs w:val="16"/>
                    </w:rPr>
                  </w:pPr>
                  <w:r w:rsidRPr="008A7808">
                    <w:rPr>
                      <w:rFonts w:cs="Arial"/>
                      <w:sz w:val="16"/>
                      <w:szCs w:val="16"/>
                    </w:rPr>
                    <w:t>0</w:t>
                  </w:r>
                </w:p>
              </w:tc>
              <w:tc>
                <w:tcPr>
                  <w:tcW w:w="1548" w:type="dxa"/>
                  <w:vMerge w:val="restart"/>
                  <w:tcBorders>
                    <w:top w:val="double" w:sz="4" w:space="0" w:color="A5A5A5"/>
                    <w:left w:val="double" w:sz="4" w:space="0" w:color="A5A5A5"/>
                    <w:bottom w:val="double" w:sz="4" w:space="0" w:color="A5A5A5"/>
                    <w:right w:val="double" w:sz="4" w:space="0" w:color="A5A5A5"/>
                  </w:tcBorders>
                  <w:hideMark/>
                </w:tcPr>
                <w:p w14:paraId="442A5A93" w14:textId="77777777" w:rsidR="008A7808" w:rsidRPr="008A7808" w:rsidRDefault="008A7808" w:rsidP="008A7808">
                  <w:pPr>
                    <w:pStyle w:val="TAC"/>
                    <w:contextualSpacing/>
                    <w:rPr>
                      <w:rFonts w:cs="Arial"/>
                      <w:color w:val="FF0000"/>
                      <w:sz w:val="16"/>
                      <w:szCs w:val="16"/>
                    </w:rPr>
                  </w:pPr>
                  <w:r w:rsidRPr="008A7808">
                    <w:rPr>
                      <w:rFonts w:cs="Arial"/>
                      <w:color w:val="FF0000"/>
                      <w:sz w:val="16"/>
                      <w:szCs w:val="16"/>
                    </w:rPr>
                    <w:t>Antenna port group 0</w:t>
                  </w:r>
                </w:p>
              </w:tc>
              <w:tc>
                <w:tcPr>
                  <w:tcW w:w="572" w:type="dxa"/>
                  <w:tcBorders>
                    <w:top w:val="double" w:sz="4" w:space="0" w:color="A5A5A5"/>
                    <w:left w:val="double" w:sz="4" w:space="0" w:color="A5A5A5"/>
                    <w:bottom w:val="double" w:sz="4" w:space="0" w:color="A5A5A5"/>
                    <w:right w:val="double" w:sz="4" w:space="0" w:color="A5A5A5"/>
                  </w:tcBorders>
                  <w:hideMark/>
                </w:tcPr>
                <w:p w14:paraId="27E19DF5" w14:textId="77777777" w:rsidR="008A7808" w:rsidRPr="008A7808" w:rsidRDefault="008A7808" w:rsidP="008A7808">
                  <w:pPr>
                    <w:pStyle w:val="TAC"/>
                    <w:contextualSpacing/>
                    <w:rPr>
                      <w:rFonts w:cs="Arial"/>
                      <w:sz w:val="16"/>
                      <w:szCs w:val="16"/>
                    </w:rPr>
                  </w:pPr>
                  <w:r w:rsidRPr="008A7808">
                    <w:rPr>
                      <w:rFonts w:cs="Arial"/>
                      <w:sz w:val="16"/>
                      <w:szCs w:val="16"/>
                    </w:rPr>
                    <w:t>0</w:t>
                  </w:r>
                </w:p>
              </w:tc>
              <w:tc>
                <w:tcPr>
                  <w:tcW w:w="1948" w:type="dxa"/>
                  <w:vMerge w:val="restart"/>
                  <w:tcBorders>
                    <w:top w:val="double" w:sz="4" w:space="0" w:color="A5A5A5"/>
                    <w:left w:val="double" w:sz="4" w:space="0" w:color="A5A5A5"/>
                    <w:bottom w:val="double" w:sz="4" w:space="0" w:color="A5A5A5"/>
                    <w:right w:val="double" w:sz="4" w:space="0" w:color="A5A5A5"/>
                  </w:tcBorders>
                  <w:hideMark/>
                </w:tcPr>
                <w:p w14:paraId="157590B4" w14:textId="77777777" w:rsidR="008A7808" w:rsidRPr="008A7808" w:rsidRDefault="008A7808" w:rsidP="008A7808">
                  <w:pPr>
                    <w:pStyle w:val="TAC"/>
                    <w:contextualSpacing/>
                    <w:rPr>
                      <w:rFonts w:cs="Arial"/>
                      <w:sz w:val="16"/>
                      <w:szCs w:val="16"/>
                    </w:rPr>
                  </w:pPr>
                  <w:r w:rsidRPr="008A7808">
                    <w:rPr>
                      <w:rFonts w:cs="Arial"/>
                      <w:color w:val="FF0000"/>
                      <w:sz w:val="16"/>
                      <w:szCs w:val="16"/>
                    </w:rPr>
                    <w:t>Antenna port group 0</w:t>
                  </w:r>
                </w:p>
              </w:tc>
              <w:tc>
                <w:tcPr>
                  <w:tcW w:w="894" w:type="dxa"/>
                  <w:tcBorders>
                    <w:top w:val="double" w:sz="4" w:space="0" w:color="A5A5A5"/>
                    <w:left w:val="double" w:sz="4" w:space="0" w:color="A5A5A5"/>
                    <w:bottom w:val="double" w:sz="4" w:space="0" w:color="A5A5A5"/>
                    <w:right w:val="double" w:sz="4" w:space="0" w:color="A5A5A5"/>
                  </w:tcBorders>
                  <w:hideMark/>
                </w:tcPr>
                <w:p w14:paraId="5A3D14EB" w14:textId="77777777" w:rsidR="008A7808" w:rsidRPr="008A7808" w:rsidRDefault="008A7808" w:rsidP="008A7808">
                  <w:pPr>
                    <w:pStyle w:val="TAC"/>
                    <w:contextualSpacing/>
                    <w:rPr>
                      <w:rFonts w:cs="Arial"/>
                      <w:sz w:val="16"/>
                      <w:szCs w:val="16"/>
                    </w:rPr>
                  </w:pPr>
                  <w:r w:rsidRPr="008A7808">
                    <w:rPr>
                      <w:rFonts w:cs="Arial"/>
                      <w:sz w:val="16"/>
                      <w:szCs w:val="16"/>
                    </w:rPr>
                    <w:t>0</w:t>
                  </w:r>
                </w:p>
              </w:tc>
              <w:tc>
                <w:tcPr>
                  <w:tcW w:w="2037" w:type="dxa"/>
                  <w:tcBorders>
                    <w:top w:val="double" w:sz="4" w:space="0" w:color="A5A5A5"/>
                    <w:left w:val="double" w:sz="4" w:space="0" w:color="A5A5A5"/>
                    <w:bottom w:val="double" w:sz="4" w:space="0" w:color="A5A5A5"/>
                    <w:right w:val="double" w:sz="4" w:space="0" w:color="A5A5A5"/>
                  </w:tcBorders>
                  <w:hideMark/>
                </w:tcPr>
                <w:p w14:paraId="745858CE" w14:textId="77777777" w:rsidR="008A7808" w:rsidRPr="008A7808" w:rsidRDefault="008A7808" w:rsidP="008A7808">
                  <w:pPr>
                    <w:pStyle w:val="TAC"/>
                    <w:contextualSpacing/>
                    <w:rPr>
                      <w:rFonts w:cs="Arial"/>
                      <w:sz w:val="16"/>
                      <w:szCs w:val="16"/>
                    </w:rPr>
                  </w:pPr>
                  <w:r w:rsidRPr="008A7808">
                    <w:rPr>
                      <w:rFonts w:cs="Arial"/>
                      <w:color w:val="FF0000"/>
                      <w:sz w:val="16"/>
                      <w:szCs w:val="16"/>
                    </w:rPr>
                    <w:t>Antenna port group 0</w:t>
                  </w:r>
                </w:p>
              </w:tc>
              <w:tc>
                <w:tcPr>
                  <w:tcW w:w="983" w:type="dxa"/>
                  <w:tcBorders>
                    <w:top w:val="double" w:sz="4" w:space="0" w:color="A5A5A5"/>
                    <w:left w:val="double" w:sz="4" w:space="0" w:color="A5A5A5"/>
                    <w:bottom w:val="double" w:sz="4" w:space="0" w:color="A5A5A5"/>
                    <w:right w:val="double" w:sz="4" w:space="0" w:color="A5A5A5"/>
                  </w:tcBorders>
                  <w:hideMark/>
                </w:tcPr>
                <w:p w14:paraId="7C53C414" w14:textId="77777777" w:rsidR="008A7808" w:rsidRPr="008A7808" w:rsidRDefault="008A7808" w:rsidP="008A7808">
                  <w:pPr>
                    <w:pStyle w:val="TAC"/>
                    <w:contextualSpacing/>
                    <w:rPr>
                      <w:rFonts w:cs="Arial"/>
                      <w:sz w:val="16"/>
                      <w:szCs w:val="16"/>
                    </w:rPr>
                  </w:pPr>
                  <w:r w:rsidRPr="008A7808">
                    <w:rPr>
                      <w:rFonts w:cs="Arial"/>
                      <w:sz w:val="16"/>
                      <w:szCs w:val="16"/>
                    </w:rPr>
                    <w:t>0</w:t>
                  </w:r>
                </w:p>
              </w:tc>
            </w:tr>
            <w:tr w:rsidR="008A7808" w:rsidRPr="008A7808" w14:paraId="11CF0A7A" w14:textId="77777777">
              <w:trPr>
                <w:jc w:val="center"/>
              </w:trPr>
              <w:tc>
                <w:tcPr>
                  <w:tcW w:w="733" w:type="dxa"/>
                  <w:tcBorders>
                    <w:top w:val="double" w:sz="4" w:space="0" w:color="A5A5A5"/>
                    <w:left w:val="double" w:sz="4" w:space="0" w:color="A5A5A5"/>
                    <w:bottom w:val="double" w:sz="4" w:space="0" w:color="A5A5A5"/>
                    <w:right w:val="double" w:sz="4" w:space="0" w:color="A5A5A5"/>
                  </w:tcBorders>
                  <w:hideMark/>
                </w:tcPr>
                <w:p w14:paraId="004FDF35" w14:textId="77777777" w:rsidR="008A7808" w:rsidRPr="008A7808" w:rsidRDefault="008A7808" w:rsidP="008A7808">
                  <w:pPr>
                    <w:pStyle w:val="TAC"/>
                    <w:contextualSpacing/>
                    <w:rPr>
                      <w:rFonts w:cs="Arial"/>
                      <w:sz w:val="16"/>
                      <w:szCs w:val="16"/>
                    </w:rPr>
                  </w:pPr>
                  <w:r w:rsidRPr="008A7808">
                    <w:rPr>
                      <w:rFonts w:cs="Arial"/>
                      <w:sz w:val="16"/>
                      <w:szCs w:val="16"/>
                    </w:rPr>
                    <w:t>1</w:t>
                  </w:r>
                </w:p>
              </w:tc>
              <w:tc>
                <w:tcPr>
                  <w:tcW w:w="0" w:type="auto"/>
                  <w:vMerge/>
                  <w:tcBorders>
                    <w:top w:val="double" w:sz="4" w:space="0" w:color="A5A5A5"/>
                    <w:left w:val="double" w:sz="4" w:space="0" w:color="A5A5A5"/>
                    <w:bottom w:val="double" w:sz="4" w:space="0" w:color="A5A5A5"/>
                    <w:right w:val="double" w:sz="4" w:space="0" w:color="A5A5A5"/>
                  </w:tcBorders>
                  <w:vAlign w:val="center"/>
                  <w:hideMark/>
                </w:tcPr>
                <w:p w14:paraId="1332AF27" w14:textId="77777777" w:rsidR="008A7808" w:rsidRPr="008A7808" w:rsidRDefault="008A7808" w:rsidP="008A7808">
                  <w:pPr>
                    <w:rPr>
                      <w:rFonts w:ascii="Arial" w:eastAsia="SimSun" w:hAnsi="Arial" w:cs="Arial"/>
                      <w:sz w:val="16"/>
                      <w:szCs w:val="16"/>
                      <w:lang w:eastAsia="x-none"/>
                    </w:rPr>
                  </w:pPr>
                </w:p>
              </w:tc>
              <w:tc>
                <w:tcPr>
                  <w:tcW w:w="761" w:type="dxa"/>
                  <w:tcBorders>
                    <w:top w:val="double" w:sz="4" w:space="0" w:color="A5A5A5"/>
                    <w:left w:val="double" w:sz="4" w:space="0" w:color="A5A5A5"/>
                    <w:bottom w:val="double" w:sz="4" w:space="0" w:color="A5A5A5"/>
                    <w:right w:val="double" w:sz="4" w:space="0" w:color="A5A5A5"/>
                  </w:tcBorders>
                  <w:hideMark/>
                </w:tcPr>
                <w:p w14:paraId="1A7615CE" w14:textId="77777777" w:rsidR="008A7808" w:rsidRPr="008A7808" w:rsidRDefault="008A7808" w:rsidP="008A7808">
                  <w:pPr>
                    <w:pStyle w:val="TAC"/>
                    <w:contextualSpacing/>
                    <w:rPr>
                      <w:rFonts w:cs="Arial"/>
                      <w:sz w:val="16"/>
                      <w:szCs w:val="16"/>
                    </w:rPr>
                  </w:pPr>
                  <w:r w:rsidRPr="008A7808">
                    <w:rPr>
                      <w:rFonts w:cs="Arial"/>
                      <w:sz w:val="16"/>
                      <w:szCs w:val="16"/>
                    </w:rPr>
                    <w:t>1</w:t>
                  </w:r>
                </w:p>
              </w:tc>
              <w:tc>
                <w:tcPr>
                  <w:tcW w:w="0" w:type="auto"/>
                  <w:vMerge/>
                  <w:tcBorders>
                    <w:top w:val="double" w:sz="4" w:space="0" w:color="A5A5A5"/>
                    <w:left w:val="double" w:sz="4" w:space="0" w:color="A5A5A5"/>
                    <w:bottom w:val="double" w:sz="4" w:space="0" w:color="A5A5A5"/>
                    <w:right w:val="double" w:sz="4" w:space="0" w:color="A5A5A5"/>
                  </w:tcBorders>
                  <w:vAlign w:val="center"/>
                  <w:hideMark/>
                </w:tcPr>
                <w:p w14:paraId="3F2F4F3E" w14:textId="77777777" w:rsidR="008A7808" w:rsidRPr="008A7808" w:rsidRDefault="008A7808" w:rsidP="008A7808">
                  <w:pPr>
                    <w:rPr>
                      <w:rFonts w:ascii="Arial" w:eastAsia="SimSun" w:hAnsi="Arial" w:cs="Arial"/>
                      <w:color w:val="FF0000"/>
                      <w:sz w:val="16"/>
                      <w:szCs w:val="16"/>
                      <w:lang w:eastAsia="x-none"/>
                    </w:rPr>
                  </w:pPr>
                </w:p>
              </w:tc>
              <w:tc>
                <w:tcPr>
                  <w:tcW w:w="572" w:type="dxa"/>
                  <w:tcBorders>
                    <w:top w:val="double" w:sz="4" w:space="0" w:color="A5A5A5"/>
                    <w:left w:val="double" w:sz="4" w:space="0" w:color="A5A5A5"/>
                    <w:bottom w:val="double" w:sz="4" w:space="0" w:color="A5A5A5"/>
                    <w:right w:val="double" w:sz="4" w:space="0" w:color="A5A5A5"/>
                  </w:tcBorders>
                  <w:hideMark/>
                </w:tcPr>
                <w:p w14:paraId="14FFCD88" w14:textId="77777777" w:rsidR="008A7808" w:rsidRPr="008A7808" w:rsidRDefault="008A7808" w:rsidP="008A7808">
                  <w:pPr>
                    <w:pStyle w:val="TAC"/>
                    <w:contextualSpacing/>
                    <w:rPr>
                      <w:rFonts w:cs="Arial"/>
                      <w:sz w:val="16"/>
                      <w:szCs w:val="16"/>
                    </w:rPr>
                  </w:pPr>
                  <w:r w:rsidRPr="008A7808">
                    <w:rPr>
                      <w:rFonts w:cs="Arial"/>
                      <w:sz w:val="16"/>
                      <w:szCs w:val="16"/>
                    </w:rPr>
                    <w:t>1</w:t>
                  </w:r>
                </w:p>
              </w:tc>
              <w:tc>
                <w:tcPr>
                  <w:tcW w:w="0" w:type="auto"/>
                  <w:vMerge/>
                  <w:tcBorders>
                    <w:top w:val="double" w:sz="4" w:space="0" w:color="A5A5A5"/>
                    <w:left w:val="double" w:sz="4" w:space="0" w:color="A5A5A5"/>
                    <w:bottom w:val="double" w:sz="4" w:space="0" w:color="A5A5A5"/>
                    <w:right w:val="double" w:sz="4" w:space="0" w:color="A5A5A5"/>
                  </w:tcBorders>
                  <w:vAlign w:val="center"/>
                  <w:hideMark/>
                </w:tcPr>
                <w:p w14:paraId="347C9573" w14:textId="77777777" w:rsidR="008A7808" w:rsidRPr="008A7808" w:rsidRDefault="008A7808" w:rsidP="008A7808">
                  <w:pPr>
                    <w:rPr>
                      <w:rFonts w:ascii="Arial" w:eastAsia="SimSun" w:hAnsi="Arial" w:cs="Arial"/>
                      <w:sz w:val="16"/>
                      <w:szCs w:val="16"/>
                      <w:lang w:eastAsia="x-none"/>
                    </w:rPr>
                  </w:pPr>
                </w:p>
              </w:tc>
              <w:tc>
                <w:tcPr>
                  <w:tcW w:w="894" w:type="dxa"/>
                  <w:tcBorders>
                    <w:top w:val="double" w:sz="4" w:space="0" w:color="A5A5A5"/>
                    <w:left w:val="double" w:sz="4" w:space="0" w:color="A5A5A5"/>
                    <w:bottom w:val="double" w:sz="4" w:space="0" w:color="A5A5A5"/>
                    <w:right w:val="double" w:sz="4" w:space="0" w:color="A5A5A5"/>
                  </w:tcBorders>
                  <w:hideMark/>
                </w:tcPr>
                <w:p w14:paraId="2A7E3BB7" w14:textId="77777777" w:rsidR="008A7808" w:rsidRPr="008A7808" w:rsidRDefault="008A7808" w:rsidP="008A7808">
                  <w:pPr>
                    <w:pStyle w:val="TAC"/>
                    <w:contextualSpacing/>
                    <w:rPr>
                      <w:rFonts w:cs="Arial"/>
                      <w:sz w:val="16"/>
                      <w:szCs w:val="16"/>
                    </w:rPr>
                  </w:pPr>
                  <w:r w:rsidRPr="008A7808">
                    <w:rPr>
                      <w:rFonts w:cs="Arial"/>
                      <w:sz w:val="16"/>
                      <w:szCs w:val="16"/>
                    </w:rPr>
                    <w:t>4</w:t>
                  </w:r>
                </w:p>
              </w:tc>
              <w:tc>
                <w:tcPr>
                  <w:tcW w:w="2037" w:type="dxa"/>
                  <w:tcBorders>
                    <w:top w:val="double" w:sz="4" w:space="0" w:color="A5A5A5"/>
                    <w:left w:val="double" w:sz="4" w:space="0" w:color="A5A5A5"/>
                    <w:bottom w:val="double" w:sz="4" w:space="0" w:color="A5A5A5"/>
                    <w:right w:val="double" w:sz="4" w:space="0" w:color="A5A5A5"/>
                  </w:tcBorders>
                  <w:hideMark/>
                </w:tcPr>
                <w:p w14:paraId="47C59447" w14:textId="77777777" w:rsidR="008A7808" w:rsidRPr="008A7808" w:rsidRDefault="008A7808" w:rsidP="008A7808">
                  <w:pPr>
                    <w:pStyle w:val="TAC"/>
                    <w:contextualSpacing/>
                    <w:rPr>
                      <w:rFonts w:cs="Arial"/>
                      <w:sz w:val="16"/>
                      <w:szCs w:val="16"/>
                    </w:rPr>
                  </w:pPr>
                  <w:r w:rsidRPr="008A7808">
                    <w:rPr>
                      <w:rFonts w:cs="Arial"/>
                      <w:color w:val="FF0000"/>
                      <w:sz w:val="16"/>
                      <w:szCs w:val="16"/>
                    </w:rPr>
                    <w:t>Antenna port group 1</w:t>
                  </w:r>
                </w:p>
              </w:tc>
              <w:tc>
                <w:tcPr>
                  <w:tcW w:w="983" w:type="dxa"/>
                  <w:tcBorders>
                    <w:top w:val="double" w:sz="4" w:space="0" w:color="A5A5A5"/>
                    <w:left w:val="double" w:sz="4" w:space="0" w:color="A5A5A5"/>
                    <w:bottom w:val="double" w:sz="4" w:space="0" w:color="A5A5A5"/>
                    <w:right w:val="double" w:sz="4" w:space="0" w:color="A5A5A5"/>
                  </w:tcBorders>
                  <w:hideMark/>
                </w:tcPr>
                <w:p w14:paraId="01D6357F" w14:textId="77777777" w:rsidR="008A7808" w:rsidRPr="008A7808" w:rsidRDefault="008A7808" w:rsidP="008A7808">
                  <w:pPr>
                    <w:pStyle w:val="TAC"/>
                    <w:contextualSpacing/>
                    <w:rPr>
                      <w:rFonts w:cs="Arial"/>
                      <w:sz w:val="16"/>
                      <w:szCs w:val="16"/>
                    </w:rPr>
                  </w:pPr>
                  <w:r w:rsidRPr="008A7808">
                    <w:rPr>
                      <w:rFonts w:cs="Arial"/>
                      <w:sz w:val="16"/>
                      <w:szCs w:val="16"/>
                    </w:rPr>
                    <w:t>1</w:t>
                  </w:r>
                </w:p>
              </w:tc>
            </w:tr>
            <w:tr w:rsidR="008A7808" w:rsidRPr="008A7808" w14:paraId="680CD44C" w14:textId="77777777">
              <w:trPr>
                <w:jc w:val="center"/>
              </w:trPr>
              <w:tc>
                <w:tcPr>
                  <w:tcW w:w="733" w:type="dxa"/>
                  <w:tcBorders>
                    <w:top w:val="double" w:sz="4" w:space="0" w:color="A5A5A5"/>
                    <w:left w:val="double" w:sz="4" w:space="0" w:color="A5A5A5"/>
                    <w:bottom w:val="double" w:sz="4" w:space="0" w:color="A5A5A5"/>
                    <w:right w:val="double" w:sz="4" w:space="0" w:color="A5A5A5"/>
                  </w:tcBorders>
                  <w:hideMark/>
                </w:tcPr>
                <w:p w14:paraId="4ED1ACC9" w14:textId="77777777" w:rsidR="008A7808" w:rsidRPr="008A7808" w:rsidRDefault="008A7808" w:rsidP="008A7808">
                  <w:pPr>
                    <w:pStyle w:val="TAC"/>
                    <w:contextualSpacing/>
                    <w:rPr>
                      <w:rFonts w:cs="Arial"/>
                      <w:sz w:val="16"/>
                      <w:szCs w:val="16"/>
                    </w:rPr>
                  </w:pPr>
                  <w:r w:rsidRPr="008A7808">
                    <w:rPr>
                      <w:rFonts w:cs="Arial"/>
                      <w:sz w:val="16"/>
                      <w:szCs w:val="16"/>
                    </w:rPr>
                    <w:t>2</w:t>
                  </w:r>
                </w:p>
              </w:tc>
              <w:tc>
                <w:tcPr>
                  <w:tcW w:w="0" w:type="auto"/>
                  <w:vMerge/>
                  <w:tcBorders>
                    <w:top w:val="double" w:sz="4" w:space="0" w:color="A5A5A5"/>
                    <w:left w:val="double" w:sz="4" w:space="0" w:color="A5A5A5"/>
                    <w:bottom w:val="double" w:sz="4" w:space="0" w:color="A5A5A5"/>
                    <w:right w:val="double" w:sz="4" w:space="0" w:color="A5A5A5"/>
                  </w:tcBorders>
                  <w:vAlign w:val="center"/>
                  <w:hideMark/>
                </w:tcPr>
                <w:p w14:paraId="5CDE69EB" w14:textId="77777777" w:rsidR="008A7808" w:rsidRPr="008A7808" w:rsidRDefault="008A7808" w:rsidP="008A7808">
                  <w:pPr>
                    <w:rPr>
                      <w:rFonts w:ascii="Arial" w:eastAsia="SimSun" w:hAnsi="Arial" w:cs="Arial"/>
                      <w:sz w:val="16"/>
                      <w:szCs w:val="16"/>
                      <w:lang w:eastAsia="x-none"/>
                    </w:rPr>
                  </w:pPr>
                </w:p>
              </w:tc>
              <w:tc>
                <w:tcPr>
                  <w:tcW w:w="761" w:type="dxa"/>
                  <w:tcBorders>
                    <w:top w:val="double" w:sz="4" w:space="0" w:color="A5A5A5"/>
                    <w:left w:val="double" w:sz="4" w:space="0" w:color="A5A5A5"/>
                    <w:bottom w:val="double" w:sz="4" w:space="0" w:color="A5A5A5"/>
                    <w:right w:val="double" w:sz="4" w:space="0" w:color="A5A5A5"/>
                  </w:tcBorders>
                  <w:hideMark/>
                </w:tcPr>
                <w:p w14:paraId="5B924079" w14:textId="77777777" w:rsidR="008A7808" w:rsidRPr="008A7808" w:rsidRDefault="008A7808" w:rsidP="008A7808">
                  <w:pPr>
                    <w:pStyle w:val="TAC"/>
                    <w:contextualSpacing/>
                    <w:rPr>
                      <w:rFonts w:cs="Arial"/>
                      <w:sz w:val="16"/>
                      <w:szCs w:val="16"/>
                    </w:rPr>
                  </w:pPr>
                  <w:r w:rsidRPr="008A7808">
                    <w:rPr>
                      <w:rFonts w:cs="Arial"/>
                      <w:sz w:val="16"/>
                      <w:szCs w:val="16"/>
                    </w:rPr>
                    <w:t>2</w:t>
                  </w:r>
                </w:p>
              </w:tc>
              <w:tc>
                <w:tcPr>
                  <w:tcW w:w="0" w:type="auto"/>
                  <w:vMerge/>
                  <w:tcBorders>
                    <w:top w:val="double" w:sz="4" w:space="0" w:color="A5A5A5"/>
                    <w:left w:val="double" w:sz="4" w:space="0" w:color="A5A5A5"/>
                    <w:bottom w:val="double" w:sz="4" w:space="0" w:color="A5A5A5"/>
                    <w:right w:val="double" w:sz="4" w:space="0" w:color="A5A5A5"/>
                  </w:tcBorders>
                  <w:vAlign w:val="center"/>
                  <w:hideMark/>
                </w:tcPr>
                <w:p w14:paraId="14C05593" w14:textId="77777777" w:rsidR="008A7808" w:rsidRPr="008A7808" w:rsidRDefault="008A7808" w:rsidP="008A7808">
                  <w:pPr>
                    <w:rPr>
                      <w:rFonts w:ascii="Arial" w:eastAsia="SimSun" w:hAnsi="Arial" w:cs="Arial"/>
                      <w:color w:val="FF0000"/>
                      <w:sz w:val="16"/>
                      <w:szCs w:val="16"/>
                      <w:lang w:eastAsia="x-none"/>
                    </w:rPr>
                  </w:pPr>
                </w:p>
              </w:tc>
              <w:tc>
                <w:tcPr>
                  <w:tcW w:w="572" w:type="dxa"/>
                  <w:tcBorders>
                    <w:top w:val="double" w:sz="4" w:space="0" w:color="A5A5A5"/>
                    <w:left w:val="double" w:sz="4" w:space="0" w:color="A5A5A5"/>
                    <w:bottom w:val="double" w:sz="4" w:space="0" w:color="A5A5A5"/>
                    <w:right w:val="double" w:sz="4" w:space="0" w:color="A5A5A5"/>
                  </w:tcBorders>
                  <w:hideMark/>
                </w:tcPr>
                <w:p w14:paraId="319FA64B" w14:textId="77777777" w:rsidR="008A7808" w:rsidRPr="008A7808" w:rsidRDefault="008A7808" w:rsidP="008A7808">
                  <w:pPr>
                    <w:pStyle w:val="TAC"/>
                    <w:contextualSpacing/>
                    <w:rPr>
                      <w:rFonts w:cs="Arial"/>
                      <w:sz w:val="16"/>
                      <w:szCs w:val="16"/>
                    </w:rPr>
                  </w:pPr>
                  <w:r w:rsidRPr="008A7808">
                    <w:rPr>
                      <w:rFonts w:cs="Arial"/>
                      <w:sz w:val="16"/>
                      <w:szCs w:val="16"/>
                    </w:rPr>
                    <w:t>4</w:t>
                  </w:r>
                </w:p>
              </w:tc>
              <w:tc>
                <w:tcPr>
                  <w:tcW w:w="1948" w:type="dxa"/>
                  <w:vMerge w:val="restart"/>
                  <w:tcBorders>
                    <w:top w:val="double" w:sz="4" w:space="0" w:color="A5A5A5"/>
                    <w:left w:val="double" w:sz="4" w:space="0" w:color="A5A5A5"/>
                    <w:bottom w:val="double" w:sz="4" w:space="0" w:color="A5A5A5"/>
                    <w:right w:val="double" w:sz="4" w:space="0" w:color="A5A5A5"/>
                  </w:tcBorders>
                  <w:hideMark/>
                </w:tcPr>
                <w:p w14:paraId="54BB666F" w14:textId="77777777" w:rsidR="008A7808" w:rsidRPr="008A7808" w:rsidRDefault="008A7808" w:rsidP="008A7808">
                  <w:pPr>
                    <w:pStyle w:val="TAC"/>
                    <w:contextualSpacing/>
                    <w:rPr>
                      <w:rFonts w:cs="Arial"/>
                      <w:sz w:val="16"/>
                      <w:szCs w:val="16"/>
                    </w:rPr>
                  </w:pPr>
                  <w:r w:rsidRPr="008A7808">
                    <w:rPr>
                      <w:rFonts w:cs="Arial"/>
                      <w:color w:val="FF0000"/>
                      <w:sz w:val="16"/>
                      <w:szCs w:val="16"/>
                    </w:rPr>
                    <w:t>Antenna port group 1</w:t>
                  </w:r>
                </w:p>
              </w:tc>
              <w:tc>
                <w:tcPr>
                  <w:tcW w:w="894" w:type="dxa"/>
                  <w:tcBorders>
                    <w:top w:val="double" w:sz="4" w:space="0" w:color="A5A5A5"/>
                    <w:left w:val="double" w:sz="4" w:space="0" w:color="A5A5A5"/>
                    <w:bottom w:val="double" w:sz="4" w:space="0" w:color="A5A5A5"/>
                    <w:right w:val="double" w:sz="4" w:space="0" w:color="A5A5A5"/>
                  </w:tcBorders>
                  <w:hideMark/>
                </w:tcPr>
                <w:p w14:paraId="34558C56" w14:textId="77777777" w:rsidR="008A7808" w:rsidRPr="008A7808" w:rsidRDefault="008A7808" w:rsidP="008A7808">
                  <w:pPr>
                    <w:pStyle w:val="TAC"/>
                    <w:contextualSpacing/>
                    <w:rPr>
                      <w:rFonts w:cs="Arial"/>
                      <w:sz w:val="16"/>
                      <w:szCs w:val="16"/>
                    </w:rPr>
                  </w:pPr>
                  <w:r w:rsidRPr="008A7808">
                    <w:rPr>
                      <w:rFonts w:cs="Arial"/>
                      <w:sz w:val="16"/>
                      <w:szCs w:val="16"/>
                    </w:rPr>
                    <w:t>1</w:t>
                  </w:r>
                </w:p>
              </w:tc>
              <w:tc>
                <w:tcPr>
                  <w:tcW w:w="2037" w:type="dxa"/>
                  <w:tcBorders>
                    <w:top w:val="double" w:sz="4" w:space="0" w:color="A5A5A5"/>
                    <w:left w:val="double" w:sz="4" w:space="0" w:color="A5A5A5"/>
                    <w:bottom w:val="double" w:sz="4" w:space="0" w:color="A5A5A5"/>
                    <w:right w:val="double" w:sz="4" w:space="0" w:color="A5A5A5"/>
                  </w:tcBorders>
                  <w:hideMark/>
                </w:tcPr>
                <w:p w14:paraId="50F59B2E" w14:textId="77777777" w:rsidR="008A7808" w:rsidRPr="008A7808" w:rsidRDefault="008A7808" w:rsidP="008A7808">
                  <w:pPr>
                    <w:pStyle w:val="TAC"/>
                    <w:contextualSpacing/>
                    <w:rPr>
                      <w:rFonts w:cs="Arial"/>
                      <w:sz w:val="16"/>
                      <w:szCs w:val="16"/>
                    </w:rPr>
                  </w:pPr>
                  <w:r w:rsidRPr="008A7808">
                    <w:rPr>
                      <w:rFonts w:cs="Arial"/>
                      <w:color w:val="FF0000"/>
                      <w:sz w:val="16"/>
                      <w:szCs w:val="16"/>
                    </w:rPr>
                    <w:t>Antenna port group 2</w:t>
                  </w:r>
                </w:p>
              </w:tc>
              <w:tc>
                <w:tcPr>
                  <w:tcW w:w="983" w:type="dxa"/>
                  <w:tcBorders>
                    <w:top w:val="double" w:sz="4" w:space="0" w:color="A5A5A5"/>
                    <w:left w:val="double" w:sz="4" w:space="0" w:color="A5A5A5"/>
                    <w:bottom w:val="double" w:sz="4" w:space="0" w:color="A5A5A5"/>
                    <w:right w:val="double" w:sz="4" w:space="0" w:color="A5A5A5"/>
                  </w:tcBorders>
                  <w:hideMark/>
                </w:tcPr>
                <w:p w14:paraId="794F08AD" w14:textId="77777777" w:rsidR="008A7808" w:rsidRPr="008A7808" w:rsidRDefault="008A7808" w:rsidP="008A7808">
                  <w:pPr>
                    <w:pStyle w:val="TAC"/>
                    <w:contextualSpacing/>
                    <w:rPr>
                      <w:rFonts w:cs="Arial"/>
                      <w:sz w:val="16"/>
                      <w:szCs w:val="16"/>
                    </w:rPr>
                  </w:pPr>
                  <w:r w:rsidRPr="008A7808">
                    <w:rPr>
                      <w:rFonts w:cs="Arial"/>
                      <w:sz w:val="16"/>
                      <w:szCs w:val="16"/>
                    </w:rPr>
                    <w:t>2</w:t>
                  </w:r>
                </w:p>
              </w:tc>
            </w:tr>
            <w:tr w:rsidR="008A7808" w:rsidRPr="008A7808" w14:paraId="1EB46216" w14:textId="77777777">
              <w:trPr>
                <w:jc w:val="center"/>
              </w:trPr>
              <w:tc>
                <w:tcPr>
                  <w:tcW w:w="733" w:type="dxa"/>
                  <w:tcBorders>
                    <w:top w:val="double" w:sz="4" w:space="0" w:color="A5A5A5"/>
                    <w:left w:val="double" w:sz="4" w:space="0" w:color="A5A5A5"/>
                    <w:bottom w:val="double" w:sz="4" w:space="0" w:color="A5A5A5"/>
                    <w:right w:val="double" w:sz="4" w:space="0" w:color="A5A5A5"/>
                  </w:tcBorders>
                  <w:hideMark/>
                </w:tcPr>
                <w:p w14:paraId="4F3966C3" w14:textId="77777777" w:rsidR="008A7808" w:rsidRPr="008A7808" w:rsidRDefault="008A7808" w:rsidP="008A7808">
                  <w:pPr>
                    <w:pStyle w:val="TAC"/>
                    <w:contextualSpacing/>
                    <w:rPr>
                      <w:rFonts w:cs="Arial"/>
                      <w:sz w:val="16"/>
                      <w:szCs w:val="16"/>
                    </w:rPr>
                  </w:pPr>
                  <w:r w:rsidRPr="008A7808">
                    <w:rPr>
                      <w:rFonts w:cs="Arial"/>
                      <w:sz w:val="16"/>
                      <w:szCs w:val="16"/>
                    </w:rPr>
                    <w:t>3</w:t>
                  </w:r>
                </w:p>
              </w:tc>
              <w:tc>
                <w:tcPr>
                  <w:tcW w:w="0" w:type="auto"/>
                  <w:vMerge/>
                  <w:tcBorders>
                    <w:top w:val="double" w:sz="4" w:space="0" w:color="A5A5A5"/>
                    <w:left w:val="double" w:sz="4" w:space="0" w:color="A5A5A5"/>
                    <w:bottom w:val="double" w:sz="4" w:space="0" w:color="A5A5A5"/>
                    <w:right w:val="double" w:sz="4" w:space="0" w:color="A5A5A5"/>
                  </w:tcBorders>
                  <w:vAlign w:val="center"/>
                  <w:hideMark/>
                </w:tcPr>
                <w:p w14:paraId="68282A0B" w14:textId="77777777" w:rsidR="008A7808" w:rsidRPr="008A7808" w:rsidRDefault="008A7808" w:rsidP="008A7808">
                  <w:pPr>
                    <w:rPr>
                      <w:rFonts w:ascii="Arial" w:eastAsia="SimSun" w:hAnsi="Arial" w:cs="Arial"/>
                      <w:sz w:val="16"/>
                      <w:szCs w:val="16"/>
                      <w:lang w:eastAsia="x-none"/>
                    </w:rPr>
                  </w:pPr>
                </w:p>
              </w:tc>
              <w:tc>
                <w:tcPr>
                  <w:tcW w:w="761" w:type="dxa"/>
                  <w:tcBorders>
                    <w:top w:val="double" w:sz="4" w:space="0" w:color="A5A5A5"/>
                    <w:left w:val="double" w:sz="4" w:space="0" w:color="A5A5A5"/>
                    <w:bottom w:val="double" w:sz="4" w:space="0" w:color="A5A5A5"/>
                    <w:right w:val="double" w:sz="4" w:space="0" w:color="A5A5A5"/>
                  </w:tcBorders>
                  <w:hideMark/>
                </w:tcPr>
                <w:p w14:paraId="67E1D4B7" w14:textId="77777777" w:rsidR="008A7808" w:rsidRPr="008A7808" w:rsidRDefault="008A7808" w:rsidP="008A7808">
                  <w:pPr>
                    <w:pStyle w:val="TAC"/>
                    <w:contextualSpacing/>
                    <w:rPr>
                      <w:rFonts w:cs="Arial"/>
                      <w:sz w:val="16"/>
                      <w:szCs w:val="16"/>
                    </w:rPr>
                  </w:pPr>
                  <w:r w:rsidRPr="008A7808">
                    <w:rPr>
                      <w:rFonts w:cs="Arial"/>
                      <w:sz w:val="16"/>
                      <w:szCs w:val="16"/>
                    </w:rPr>
                    <w:t>3</w:t>
                  </w:r>
                </w:p>
              </w:tc>
              <w:tc>
                <w:tcPr>
                  <w:tcW w:w="0" w:type="auto"/>
                  <w:vMerge/>
                  <w:tcBorders>
                    <w:top w:val="double" w:sz="4" w:space="0" w:color="A5A5A5"/>
                    <w:left w:val="double" w:sz="4" w:space="0" w:color="A5A5A5"/>
                    <w:bottom w:val="double" w:sz="4" w:space="0" w:color="A5A5A5"/>
                    <w:right w:val="double" w:sz="4" w:space="0" w:color="A5A5A5"/>
                  </w:tcBorders>
                  <w:vAlign w:val="center"/>
                  <w:hideMark/>
                </w:tcPr>
                <w:p w14:paraId="5DAA5FD3" w14:textId="77777777" w:rsidR="008A7808" w:rsidRPr="008A7808" w:rsidRDefault="008A7808" w:rsidP="008A7808">
                  <w:pPr>
                    <w:rPr>
                      <w:rFonts w:ascii="Arial" w:eastAsia="SimSun" w:hAnsi="Arial" w:cs="Arial"/>
                      <w:color w:val="FF0000"/>
                      <w:sz w:val="16"/>
                      <w:szCs w:val="16"/>
                      <w:lang w:eastAsia="x-none"/>
                    </w:rPr>
                  </w:pPr>
                </w:p>
              </w:tc>
              <w:tc>
                <w:tcPr>
                  <w:tcW w:w="572" w:type="dxa"/>
                  <w:tcBorders>
                    <w:top w:val="double" w:sz="4" w:space="0" w:color="A5A5A5"/>
                    <w:left w:val="double" w:sz="4" w:space="0" w:color="A5A5A5"/>
                    <w:bottom w:val="double" w:sz="4" w:space="0" w:color="A5A5A5"/>
                    <w:right w:val="double" w:sz="4" w:space="0" w:color="A5A5A5"/>
                  </w:tcBorders>
                  <w:hideMark/>
                </w:tcPr>
                <w:p w14:paraId="6C2AF858" w14:textId="77777777" w:rsidR="008A7808" w:rsidRPr="008A7808" w:rsidRDefault="008A7808" w:rsidP="008A7808">
                  <w:pPr>
                    <w:pStyle w:val="TAC"/>
                    <w:contextualSpacing/>
                    <w:rPr>
                      <w:rFonts w:cs="Arial"/>
                      <w:sz w:val="16"/>
                      <w:szCs w:val="16"/>
                    </w:rPr>
                  </w:pPr>
                  <w:r w:rsidRPr="008A7808">
                    <w:rPr>
                      <w:rFonts w:cs="Arial"/>
                      <w:sz w:val="16"/>
                      <w:szCs w:val="16"/>
                    </w:rPr>
                    <w:t>5</w:t>
                  </w:r>
                </w:p>
              </w:tc>
              <w:tc>
                <w:tcPr>
                  <w:tcW w:w="0" w:type="auto"/>
                  <w:vMerge/>
                  <w:tcBorders>
                    <w:top w:val="double" w:sz="4" w:space="0" w:color="A5A5A5"/>
                    <w:left w:val="double" w:sz="4" w:space="0" w:color="A5A5A5"/>
                    <w:bottom w:val="double" w:sz="4" w:space="0" w:color="A5A5A5"/>
                    <w:right w:val="double" w:sz="4" w:space="0" w:color="A5A5A5"/>
                  </w:tcBorders>
                  <w:vAlign w:val="center"/>
                  <w:hideMark/>
                </w:tcPr>
                <w:p w14:paraId="478627E0" w14:textId="77777777" w:rsidR="008A7808" w:rsidRPr="008A7808" w:rsidRDefault="008A7808" w:rsidP="008A7808">
                  <w:pPr>
                    <w:rPr>
                      <w:rFonts w:ascii="Arial" w:eastAsia="SimSun" w:hAnsi="Arial" w:cs="Arial"/>
                      <w:sz w:val="16"/>
                      <w:szCs w:val="16"/>
                      <w:lang w:eastAsia="x-none"/>
                    </w:rPr>
                  </w:pPr>
                </w:p>
              </w:tc>
              <w:tc>
                <w:tcPr>
                  <w:tcW w:w="894" w:type="dxa"/>
                  <w:tcBorders>
                    <w:top w:val="double" w:sz="4" w:space="0" w:color="A5A5A5"/>
                    <w:left w:val="double" w:sz="4" w:space="0" w:color="A5A5A5"/>
                    <w:bottom w:val="double" w:sz="4" w:space="0" w:color="A5A5A5"/>
                    <w:right w:val="double" w:sz="4" w:space="0" w:color="A5A5A5"/>
                  </w:tcBorders>
                  <w:hideMark/>
                </w:tcPr>
                <w:p w14:paraId="00B4A966" w14:textId="77777777" w:rsidR="008A7808" w:rsidRPr="008A7808" w:rsidRDefault="008A7808" w:rsidP="008A7808">
                  <w:pPr>
                    <w:pStyle w:val="TAC"/>
                    <w:contextualSpacing/>
                    <w:rPr>
                      <w:rFonts w:cs="Arial"/>
                      <w:sz w:val="16"/>
                      <w:szCs w:val="16"/>
                    </w:rPr>
                  </w:pPr>
                  <w:r w:rsidRPr="008A7808">
                    <w:rPr>
                      <w:rFonts w:cs="Arial"/>
                      <w:sz w:val="16"/>
                      <w:szCs w:val="16"/>
                    </w:rPr>
                    <w:t>5</w:t>
                  </w:r>
                </w:p>
              </w:tc>
              <w:tc>
                <w:tcPr>
                  <w:tcW w:w="2037" w:type="dxa"/>
                  <w:tcBorders>
                    <w:top w:val="double" w:sz="4" w:space="0" w:color="A5A5A5"/>
                    <w:left w:val="double" w:sz="4" w:space="0" w:color="A5A5A5"/>
                    <w:bottom w:val="double" w:sz="4" w:space="0" w:color="A5A5A5"/>
                    <w:right w:val="double" w:sz="4" w:space="0" w:color="A5A5A5"/>
                  </w:tcBorders>
                  <w:hideMark/>
                </w:tcPr>
                <w:p w14:paraId="2DD36C8C" w14:textId="77777777" w:rsidR="008A7808" w:rsidRPr="008A7808" w:rsidRDefault="008A7808" w:rsidP="008A7808">
                  <w:pPr>
                    <w:pStyle w:val="TAC"/>
                    <w:contextualSpacing/>
                    <w:rPr>
                      <w:rFonts w:cs="Arial"/>
                      <w:sz w:val="16"/>
                      <w:szCs w:val="16"/>
                    </w:rPr>
                  </w:pPr>
                  <w:r w:rsidRPr="008A7808">
                    <w:rPr>
                      <w:rFonts w:cs="Arial"/>
                      <w:color w:val="FF0000"/>
                      <w:sz w:val="16"/>
                      <w:szCs w:val="16"/>
                    </w:rPr>
                    <w:t>Antenna port group 3</w:t>
                  </w:r>
                </w:p>
              </w:tc>
              <w:tc>
                <w:tcPr>
                  <w:tcW w:w="983" w:type="dxa"/>
                  <w:tcBorders>
                    <w:top w:val="double" w:sz="4" w:space="0" w:color="A5A5A5"/>
                    <w:left w:val="double" w:sz="4" w:space="0" w:color="A5A5A5"/>
                    <w:bottom w:val="double" w:sz="4" w:space="0" w:color="A5A5A5"/>
                    <w:right w:val="double" w:sz="4" w:space="0" w:color="A5A5A5"/>
                  </w:tcBorders>
                  <w:hideMark/>
                </w:tcPr>
                <w:p w14:paraId="22F7FD12" w14:textId="77777777" w:rsidR="008A7808" w:rsidRPr="008A7808" w:rsidRDefault="008A7808" w:rsidP="008A7808">
                  <w:pPr>
                    <w:pStyle w:val="TAC"/>
                    <w:contextualSpacing/>
                    <w:rPr>
                      <w:rFonts w:cs="Arial"/>
                      <w:sz w:val="16"/>
                      <w:szCs w:val="16"/>
                    </w:rPr>
                  </w:pPr>
                  <w:r w:rsidRPr="008A7808">
                    <w:rPr>
                      <w:rFonts w:cs="Arial"/>
                      <w:sz w:val="16"/>
                      <w:szCs w:val="16"/>
                    </w:rPr>
                    <w:t>3</w:t>
                  </w:r>
                </w:p>
              </w:tc>
            </w:tr>
            <w:tr w:rsidR="008A7808" w:rsidRPr="008A7808" w14:paraId="06554583" w14:textId="77777777">
              <w:trPr>
                <w:jc w:val="center"/>
              </w:trPr>
              <w:tc>
                <w:tcPr>
                  <w:tcW w:w="733" w:type="dxa"/>
                  <w:tcBorders>
                    <w:top w:val="double" w:sz="4" w:space="0" w:color="A5A5A5"/>
                    <w:left w:val="double" w:sz="4" w:space="0" w:color="A5A5A5"/>
                    <w:bottom w:val="double" w:sz="4" w:space="0" w:color="A5A5A5"/>
                    <w:right w:val="double" w:sz="4" w:space="0" w:color="A5A5A5"/>
                  </w:tcBorders>
                  <w:hideMark/>
                </w:tcPr>
                <w:p w14:paraId="0923AD37" w14:textId="77777777" w:rsidR="008A7808" w:rsidRPr="008A7808" w:rsidRDefault="008A7808" w:rsidP="008A7808">
                  <w:pPr>
                    <w:pStyle w:val="TAC"/>
                    <w:contextualSpacing/>
                    <w:rPr>
                      <w:rFonts w:cs="Arial"/>
                      <w:sz w:val="16"/>
                      <w:szCs w:val="16"/>
                    </w:rPr>
                  </w:pPr>
                  <w:r w:rsidRPr="008A7808">
                    <w:rPr>
                      <w:rFonts w:cs="Arial"/>
                      <w:sz w:val="16"/>
                      <w:szCs w:val="16"/>
                    </w:rPr>
                    <w:t>4</w:t>
                  </w:r>
                </w:p>
              </w:tc>
              <w:tc>
                <w:tcPr>
                  <w:tcW w:w="0" w:type="auto"/>
                  <w:vMerge/>
                  <w:tcBorders>
                    <w:top w:val="double" w:sz="4" w:space="0" w:color="A5A5A5"/>
                    <w:left w:val="double" w:sz="4" w:space="0" w:color="A5A5A5"/>
                    <w:bottom w:val="double" w:sz="4" w:space="0" w:color="A5A5A5"/>
                    <w:right w:val="double" w:sz="4" w:space="0" w:color="A5A5A5"/>
                  </w:tcBorders>
                  <w:vAlign w:val="center"/>
                  <w:hideMark/>
                </w:tcPr>
                <w:p w14:paraId="38B8D030" w14:textId="77777777" w:rsidR="008A7808" w:rsidRPr="008A7808" w:rsidRDefault="008A7808" w:rsidP="008A7808">
                  <w:pPr>
                    <w:rPr>
                      <w:rFonts w:ascii="Arial" w:eastAsia="SimSun" w:hAnsi="Arial" w:cs="Arial"/>
                      <w:sz w:val="16"/>
                      <w:szCs w:val="16"/>
                      <w:lang w:eastAsia="x-none"/>
                    </w:rPr>
                  </w:pPr>
                </w:p>
              </w:tc>
              <w:tc>
                <w:tcPr>
                  <w:tcW w:w="761" w:type="dxa"/>
                  <w:tcBorders>
                    <w:top w:val="double" w:sz="4" w:space="0" w:color="A5A5A5"/>
                    <w:left w:val="double" w:sz="4" w:space="0" w:color="A5A5A5"/>
                    <w:bottom w:val="double" w:sz="4" w:space="0" w:color="A5A5A5"/>
                    <w:right w:val="double" w:sz="4" w:space="0" w:color="A5A5A5"/>
                  </w:tcBorders>
                  <w:hideMark/>
                </w:tcPr>
                <w:p w14:paraId="2517A249" w14:textId="77777777" w:rsidR="008A7808" w:rsidRPr="008A7808" w:rsidRDefault="008A7808" w:rsidP="008A7808">
                  <w:pPr>
                    <w:pStyle w:val="TAC"/>
                    <w:contextualSpacing/>
                    <w:rPr>
                      <w:rFonts w:cs="Arial"/>
                      <w:sz w:val="16"/>
                      <w:szCs w:val="16"/>
                    </w:rPr>
                  </w:pPr>
                  <w:r w:rsidRPr="008A7808">
                    <w:rPr>
                      <w:rFonts w:cs="Arial"/>
                      <w:sz w:val="16"/>
                      <w:szCs w:val="16"/>
                    </w:rPr>
                    <w:t>4</w:t>
                  </w:r>
                </w:p>
              </w:tc>
              <w:tc>
                <w:tcPr>
                  <w:tcW w:w="1548" w:type="dxa"/>
                  <w:vMerge w:val="restart"/>
                  <w:tcBorders>
                    <w:top w:val="double" w:sz="4" w:space="0" w:color="A5A5A5"/>
                    <w:left w:val="double" w:sz="4" w:space="0" w:color="A5A5A5"/>
                    <w:bottom w:val="double" w:sz="4" w:space="0" w:color="A5A5A5"/>
                    <w:right w:val="double" w:sz="4" w:space="0" w:color="A5A5A5"/>
                  </w:tcBorders>
                  <w:hideMark/>
                </w:tcPr>
                <w:p w14:paraId="16B9886A" w14:textId="77777777" w:rsidR="008A7808" w:rsidRPr="008A7808" w:rsidRDefault="008A7808" w:rsidP="008A7808">
                  <w:pPr>
                    <w:pStyle w:val="TAC"/>
                    <w:contextualSpacing/>
                    <w:rPr>
                      <w:rFonts w:cs="Arial"/>
                      <w:color w:val="FF0000"/>
                      <w:sz w:val="16"/>
                      <w:szCs w:val="16"/>
                    </w:rPr>
                  </w:pPr>
                  <w:r w:rsidRPr="008A7808">
                    <w:rPr>
                      <w:rFonts w:cs="Arial"/>
                      <w:color w:val="FF0000"/>
                      <w:sz w:val="16"/>
                      <w:szCs w:val="16"/>
                    </w:rPr>
                    <w:t>Antenna port group 1</w:t>
                  </w:r>
                </w:p>
              </w:tc>
              <w:tc>
                <w:tcPr>
                  <w:tcW w:w="572" w:type="dxa"/>
                  <w:tcBorders>
                    <w:top w:val="double" w:sz="4" w:space="0" w:color="A5A5A5"/>
                    <w:left w:val="double" w:sz="4" w:space="0" w:color="A5A5A5"/>
                    <w:bottom w:val="double" w:sz="4" w:space="0" w:color="A5A5A5"/>
                    <w:right w:val="double" w:sz="4" w:space="0" w:color="A5A5A5"/>
                  </w:tcBorders>
                  <w:hideMark/>
                </w:tcPr>
                <w:p w14:paraId="66B2FF55" w14:textId="77777777" w:rsidR="008A7808" w:rsidRPr="008A7808" w:rsidRDefault="008A7808" w:rsidP="008A7808">
                  <w:pPr>
                    <w:pStyle w:val="TAC"/>
                    <w:contextualSpacing/>
                    <w:rPr>
                      <w:rFonts w:cs="Arial"/>
                      <w:sz w:val="16"/>
                      <w:szCs w:val="16"/>
                    </w:rPr>
                  </w:pPr>
                  <w:r w:rsidRPr="008A7808">
                    <w:rPr>
                      <w:rFonts w:cs="Arial"/>
                      <w:sz w:val="16"/>
                      <w:szCs w:val="16"/>
                    </w:rPr>
                    <w:t>2</w:t>
                  </w:r>
                </w:p>
              </w:tc>
              <w:tc>
                <w:tcPr>
                  <w:tcW w:w="1948" w:type="dxa"/>
                  <w:vMerge w:val="restart"/>
                  <w:tcBorders>
                    <w:top w:val="double" w:sz="4" w:space="0" w:color="A5A5A5"/>
                    <w:left w:val="double" w:sz="4" w:space="0" w:color="A5A5A5"/>
                    <w:bottom w:val="double" w:sz="4" w:space="0" w:color="A5A5A5"/>
                    <w:right w:val="double" w:sz="4" w:space="0" w:color="A5A5A5"/>
                  </w:tcBorders>
                  <w:hideMark/>
                </w:tcPr>
                <w:p w14:paraId="7BFA3BE3" w14:textId="77777777" w:rsidR="008A7808" w:rsidRPr="008A7808" w:rsidRDefault="008A7808" w:rsidP="008A7808">
                  <w:pPr>
                    <w:pStyle w:val="TAC"/>
                    <w:contextualSpacing/>
                    <w:rPr>
                      <w:rFonts w:cs="Arial"/>
                      <w:sz w:val="16"/>
                      <w:szCs w:val="16"/>
                    </w:rPr>
                  </w:pPr>
                  <w:r w:rsidRPr="008A7808">
                    <w:rPr>
                      <w:rFonts w:cs="Arial"/>
                      <w:color w:val="FF0000"/>
                      <w:sz w:val="16"/>
                      <w:szCs w:val="16"/>
                    </w:rPr>
                    <w:t>Antenna port group 2</w:t>
                  </w:r>
                </w:p>
              </w:tc>
              <w:tc>
                <w:tcPr>
                  <w:tcW w:w="894" w:type="dxa"/>
                  <w:tcBorders>
                    <w:top w:val="double" w:sz="4" w:space="0" w:color="A5A5A5"/>
                    <w:left w:val="double" w:sz="4" w:space="0" w:color="A5A5A5"/>
                    <w:bottom w:val="double" w:sz="4" w:space="0" w:color="A5A5A5"/>
                    <w:right w:val="double" w:sz="4" w:space="0" w:color="A5A5A5"/>
                  </w:tcBorders>
                  <w:hideMark/>
                </w:tcPr>
                <w:p w14:paraId="49D875C4" w14:textId="77777777" w:rsidR="008A7808" w:rsidRPr="008A7808" w:rsidRDefault="008A7808" w:rsidP="008A7808">
                  <w:pPr>
                    <w:pStyle w:val="TAC"/>
                    <w:contextualSpacing/>
                    <w:rPr>
                      <w:rFonts w:cs="Arial"/>
                      <w:sz w:val="16"/>
                      <w:szCs w:val="16"/>
                    </w:rPr>
                  </w:pPr>
                  <w:r w:rsidRPr="008A7808">
                    <w:rPr>
                      <w:rFonts w:cs="Arial"/>
                      <w:sz w:val="16"/>
                      <w:szCs w:val="16"/>
                    </w:rPr>
                    <w:t>2</w:t>
                  </w:r>
                </w:p>
              </w:tc>
              <w:tc>
                <w:tcPr>
                  <w:tcW w:w="2037" w:type="dxa"/>
                  <w:tcBorders>
                    <w:top w:val="double" w:sz="4" w:space="0" w:color="A5A5A5"/>
                    <w:left w:val="double" w:sz="4" w:space="0" w:color="A5A5A5"/>
                    <w:bottom w:val="double" w:sz="4" w:space="0" w:color="A5A5A5"/>
                    <w:right w:val="double" w:sz="4" w:space="0" w:color="A5A5A5"/>
                  </w:tcBorders>
                  <w:hideMark/>
                </w:tcPr>
                <w:p w14:paraId="102AB540" w14:textId="77777777" w:rsidR="008A7808" w:rsidRPr="008A7808" w:rsidRDefault="008A7808" w:rsidP="008A7808">
                  <w:pPr>
                    <w:pStyle w:val="TAC"/>
                    <w:contextualSpacing/>
                    <w:rPr>
                      <w:rFonts w:cs="Arial"/>
                      <w:sz w:val="16"/>
                      <w:szCs w:val="16"/>
                    </w:rPr>
                  </w:pPr>
                  <w:r w:rsidRPr="008A7808">
                    <w:rPr>
                      <w:rFonts w:cs="Arial"/>
                      <w:color w:val="FF0000"/>
                      <w:sz w:val="16"/>
                      <w:szCs w:val="16"/>
                    </w:rPr>
                    <w:t>Antenna port group 4</w:t>
                  </w:r>
                </w:p>
              </w:tc>
              <w:tc>
                <w:tcPr>
                  <w:tcW w:w="983" w:type="dxa"/>
                  <w:tcBorders>
                    <w:top w:val="double" w:sz="4" w:space="0" w:color="A5A5A5"/>
                    <w:left w:val="double" w:sz="4" w:space="0" w:color="A5A5A5"/>
                    <w:bottom w:val="double" w:sz="4" w:space="0" w:color="A5A5A5"/>
                    <w:right w:val="double" w:sz="4" w:space="0" w:color="A5A5A5"/>
                  </w:tcBorders>
                  <w:hideMark/>
                </w:tcPr>
                <w:p w14:paraId="517811F2" w14:textId="77777777" w:rsidR="008A7808" w:rsidRPr="008A7808" w:rsidRDefault="008A7808" w:rsidP="008A7808">
                  <w:pPr>
                    <w:pStyle w:val="TAC"/>
                    <w:contextualSpacing/>
                    <w:rPr>
                      <w:rFonts w:cs="Arial"/>
                      <w:sz w:val="16"/>
                      <w:szCs w:val="16"/>
                    </w:rPr>
                  </w:pPr>
                  <w:r w:rsidRPr="008A7808">
                    <w:rPr>
                      <w:rFonts w:cs="Arial"/>
                      <w:sz w:val="16"/>
                      <w:szCs w:val="16"/>
                    </w:rPr>
                    <w:t>4</w:t>
                  </w:r>
                </w:p>
              </w:tc>
            </w:tr>
            <w:tr w:rsidR="008A7808" w:rsidRPr="008A7808" w14:paraId="0D24B071" w14:textId="77777777">
              <w:trPr>
                <w:jc w:val="center"/>
              </w:trPr>
              <w:tc>
                <w:tcPr>
                  <w:tcW w:w="733" w:type="dxa"/>
                  <w:tcBorders>
                    <w:top w:val="double" w:sz="4" w:space="0" w:color="A5A5A5"/>
                    <w:left w:val="double" w:sz="4" w:space="0" w:color="A5A5A5"/>
                    <w:bottom w:val="double" w:sz="4" w:space="0" w:color="A5A5A5"/>
                    <w:right w:val="double" w:sz="4" w:space="0" w:color="A5A5A5"/>
                  </w:tcBorders>
                  <w:hideMark/>
                </w:tcPr>
                <w:p w14:paraId="105868D7" w14:textId="77777777" w:rsidR="008A7808" w:rsidRPr="008A7808" w:rsidRDefault="008A7808" w:rsidP="008A7808">
                  <w:pPr>
                    <w:pStyle w:val="TAC"/>
                    <w:contextualSpacing/>
                    <w:rPr>
                      <w:rFonts w:cs="Arial"/>
                      <w:sz w:val="16"/>
                      <w:szCs w:val="16"/>
                    </w:rPr>
                  </w:pPr>
                  <w:r w:rsidRPr="008A7808">
                    <w:rPr>
                      <w:rFonts w:cs="Arial"/>
                      <w:sz w:val="16"/>
                      <w:szCs w:val="16"/>
                    </w:rPr>
                    <w:t>5</w:t>
                  </w:r>
                </w:p>
              </w:tc>
              <w:tc>
                <w:tcPr>
                  <w:tcW w:w="0" w:type="auto"/>
                  <w:vMerge/>
                  <w:tcBorders>
                    <w:top w:val="double" w:sz="4" w:space="0" w:color="A5A5A5"/>
                    <w:left w:val="double" w:sz="4" w:space="0" w:color="A5A5A5"/>
                    <w:bottom w:val="double" w:sz="4" w:space="0" w:color="A5A5A5"/>
                    <w:right w:val="double" w:sz="4" w:space="0" w:color="A5A5A5"/>
                  </w:tcBorders>
                  <w:vAlign w:val="center"/>
                  <w:hideMark/>
                </w:tcPr>
                <w:p w14:paraId="2ABAC710" w14:textId="77777777" w:rsidR="008A7808" w:rsidRPr="008A7808" w:rsidRDefault="008A7808" w:rsidP="008A7808">
                  <w:pPr>
                    <w:rPr>
                      <w:rFonts w:ascii="Arial" w:eastAsia="SimSun" w:hAnsi="Arial" w:cs="Arial"/>
                      <w:sz w:val="16"/>
                      <w:szCs w:val="16"/>
                      <w:lang w:eastAsia="x-none"/>
                    </w:rPr>
                  </w:pPr>
                </w:p>
              </w:tc>
              <w:tc>
                <w:tcPr>
                  <w:tcW w:w="761" w:type="dxa"/>
                  <w:tcBorders>
                    <w:top w:val="double" w:sz="4" w:space="0" w:color="A5A5A5"/>
                    <w:left w:val="double" w:sz="4" w:space="0" w:color="A5A5A5"/>
                    <w:bottom w:val="double" w:sz="4" w:space="0" w:color="A5A5A5"/>
                    <w:right w:val="double" w:sz="4" w:space="0" w:color="A5A5A5"/>
                  </w:tcBorders>
                  <w:hideMark/>
                </w:tcPr>
                <w:p w14:paraId="5A738B2D" w14:textId="77777777" w:rsidR="008A7808" w:rsidRPr="008A7808" w:rsidRDefault="008A7808" w:rsidP="008A7808">
                  <w:pPr>
                    <w:pStyle w:val="TAC"/>
                    <w:contextualSpacing/>
                    <w:rPr>
                      <w:rFonts w:cs="Arial"/>
                      <w:sz w:val="16"/>
                      <w:szCs w:val="16"/>
                    </w:rPr>
                  </w:pPr>
                  <w:r w:rsidRPr="008A7808">
                    <w:rPr>
                      <w:rFonts w:cs="Arial"/>
                      <w:sz w:val="16"/>
                      <w:szCs w:val="16"/>
                    </w:rPr>
                    <w:t>5</w:t>
                  </w:r>
                </w:p>
              </w:tc>
              <w:tc>
                <w:tcPr>
                  <w:tcW w:w="0" w:type="auto"/>
                  <w:vMerge/>
                  <w:tcBorders>
                    <w:top w:val="double" w:sz="4" w:space="0" w:color="A5A5A5"/>
                    <w:left w:val="double" w:sz="4" w:space="0" w:color="A5A5A5"/>
                    <w:bottom w:val="double" w:sz="4" w:space="0" w:color="A5A5A5"/>
                    <w:right w:val="double" w:sz="4" w:space="0" w:color="A5A5A5"/>
                  </w:tcBorders>
                  <w:vAlign w:val="center"/>
                  <w:hideMark/>
                </w:tcPr>
                <w:p w14:paraId="1DAF1970" w14:textId="77777777" w:rsidR="008A7808" w:rsidRPr="008A7808" w:rsidRDefault="008A7808" w:rsidP="008A7808">
                  <w:pPr>
                    <w:rPr>
                      <w:rFonts w:ascii="Arial" w:eastAsia="SimSun" w:hAnsi="Arial" w:cs="Arial"/>
                      <w:color w:val="FF0000"/>
                      <w:sz w:val="16"/>
                      <w:szCs w:val="16"/>
                      <w:lang w:eastAsia="x-none"/>
                    </w:rPr>
                  </w:pPr>
                </w:p>
              </w:tc>
              <w:tc>
                <w:tcPr>
                  <w:tcW w:w="572" w:type="dxa"/>
                  <w:tcBorders>
                    <w:top w:val="double" w:sz="4" w:space="0" w:color="A5A5A5"/>
                    <w:left w:val="double" w:sz="4" w:space="0" w:color="A5A5A5"/>
                    <w:bottom w:val="double" w:sz="4" w:space="0" w:color="A5A5A5"/>
                    <w:right w:val="double" w:sz="4" w:space="0" w:color="A5A5A5"/>
                  </w:tcBorders>
                  <w:hideMark/>
                </w:tcPr>
                <w:p w14:paraId="616F9A3A" w14:textId="77777777" w:rsidR="008A7808" w:rsidRPr="008A7808" w:rsidRDefault="008A7808" w:rsidP="008A7808">
                  <w:pPr>
                    <w:pStyle w:val="TAC"/>
                    <w:contextualSpacing/>
                    <w:rPr>
                      <w:rFonts w:cs="Arial"/>
                      <w:sz w:val="16"/>
                      <w:szCs w:val="16"/>
                    </w:rPr>
                  </w:pPr>
                  <w:r w:rsidRPr="008A7808">
                    <w:rPr>
                      <w:rFonts w:cs="Arial"/>
                      <w:sz w:val="16"/>
                      <w:szCs w:val="16"/>
                    </w:rPr>
                    <w:t>3</w:t>
                  </w:r>
                </w:p>
              </w:tc>
              <w:tc>
                <w:tcPr>
                  <w:tcW w:w="0" w:type="auto"/>
                  <w:vMerge/>
                  <w:tcBorders>
                    <w:top w:val="double" w:sz="4" w:space="0" w:color="A5A5A5"/>
                    <w:left w:val="double" w:sz="4" w:space="0" w:color="A5A5A5"/>
                    <w:bottom w:val="double" w:sz="4" w:space="0" w:color="A5A5A5"/>
                    <w:right w:val="double" w:sz="4" w:space="0" w:color="A5A5A5"/>
                  </w:tcBorders>
                  <w:vAlign w:val="center"/>
                  <w:hideMark/>
                </w:tcPr>
                <w:p w14:paraId="117C9A49" w14:textId="77777777" w:rsidR="008A7808" w:rsidRPr="008A7808" w:rsidRDefault="008A7808" w:rsidP="008A7808">
                  <w:pPr>
                    <w:rPr>
                      <w:rFonts w:ascii="Arial" w:eastAsia="SimSun" w:hAnsi="Arial" w:cs="Arial"/>
                      <w:sz w:val="16"/>
                      <w:szCs w:val="16"/>
                      <w:lang w:eastAsia="x-none"/>
                    </w:rPr>
                  </w:pPr>
                </w:p>
              </w:tc>
              <w:tc>
                <w:tcPr>
                  <w:tcW w:w="894" w:type="dxa"/>
                  <w:tcBorders>
                    <w:top w:val="double" w:sz="4" w:space="0" w:color="A5A5A5"/>
                    <w:left w:val="double" w:sz="4" w:space="0" w:color="A5A5A5"/>
                    <w:bottom w:val="double" w:sz="4" w:space="0" w:color="A5A5A5"/>
                    <w:right w:val="double" w:sz="4" w:space="0" w:color="A5A5A5"/>
                  </w:tcBorders>
                  <w:hideMark/>
                </w:tcPr>
                <w:p w14:paraId="7437959E" w14:textId="77777777" w:rsidR="008A7808" w:rsidRPr="008A7808" w:rsidRDefault="008A7808" w:rsidP="008A7808">
                  <w:pPr>
                    <w:pStyle w:val="TAC"/>
                    <w:contextualSpacing/>
                    <w:rPr>
                      <w:rFonts w:cs="Arial"/>
                      <w:sz w:val="16"/>
                      <w:szCs w:val="16"/>
                    </w:rPr>
                  </w:pPr>
                  <w:r w:rsidRPr="008A7808">
                    <w:rPr>
                      <w:rFonts w:cs="Arial"/>
                      <w:sz w:val="16"/>
                      <w:szCs w:val="16"/>
                    </w:rPr>
                    <w:t>6</w:t>
                  </w:r>
                </w:p>
              </w:tc>
              <w:tc>
                <w:tcPr>
                  <w:tcW w:w="2037" w:type="dxa"/>
                  <w:tcBorders>
                    <w:top w:val="double" w:sz="4" w:space="0" w:color="A5A5A5"/>
                    <w:left w:val="double" w:sz="4" w:space="0" w:color="A5A5A5"/>
                    <w:bottom w:val="double" w:sz="4" w:space="0" w:color="A5A5A5"/>
                    <w:right w:val="double" w:sz="4" w:space="0" w:color="A5A5A5"/>
                  </w:tcBorders>
                  <w:hideMark/>
                </w:tcPr>
                <w:p w14:paraId="1373C9F5" w14:textId="77777777" w:rsidR="008A7808" w:rsidRPr="008A7808" w:rsidRDefault="008A7808" w:rsidP="008A7808">
                  <w:pPr>
                    <w:pStyle w:val="TAC"/>
                    <w:contextualSpacing/>
                    <w:rPr>
                      <w:rFonts w:cs="Arial"/>
                      <w:sz w:val="16"/>
                      <w:szCs w:val="16"/>
                    </w:rPr>
                  </w:pPr>
                  <w:r w:rsidRPr="008A7808">
                    <w:rPr>
                      <w:rFonts w:cs="Arial"/>
                      <w:color w:val="FF0000"/>
                      <w:sz w:val="16"/>
                      <w:szCs w:val="16"/>
                    </w:rPr>
                    <w:t>Antenna port group 5</w:t>
                  </w:r>
                </w:p>
              </w:tc>
              <w:tc>
                <w:tcPr>
                  <w:tcW w:w="983" w:type="dxa"/>
                  <w:tcBorders>
                    <w:top w:val="double" w:sz="4" w:space="0" w:color="A5A5A5"/>
                    <w:left w:val="double" w:sz="4" w:space="0" w:color="A5A5A5"/>
                    <w:bottom w:val="double" w:sz="4" w:space="0" w:color="A5A5A5"/>
                    <w:right w:val="double" w:sz="4" w:space="0" w:color="A5A5A5"/>
                  </w:tcBorders>
                  <w:hideMark/>
                </w:tcPr>
                <w:p w14:paraId="5C1783B5" w14:textId="77777777" w:rsidR="008A7808" w:rsidRPr="008A7808" w:rsidRDefault="008A7808" w:rsidP="008A7808">
                  <w:pPr>
                    <w:pStyle w:val="TAC"/>
                    <w:contextualSpacing/>
                    <w:rPr>
                      <w:rFonts w:cs="Arial"/>
                      <w:sz w:val="16"/>
                      <w:szCs w:val="16"/>
                    </w:rPr>
                  </w:pPr>
                  <w:r w:rsidRPr="008A7808">
                    <w:rPr>
                      <w:rFonts w:cs="Arial"/>
                      <w:sz w:val="16"/>
                      <w:szCs w:val="16"/>
                    </w:rPr>
                    <w:t>5</w:t>
                  </w:r>
                </w:p>
              </w:tc>
            </w:tr>
            <w:tr w:rsidR="008A7808" w:rsidRPr="008A7808" w14:paraId="130004F1" w14:textId="77777777">
              <w:trPr>
                <w:jc w:val="center"/>
              </w:trPr>
              <w:tc>
                <w:tcPr>
                  <w:tcW w:w="733" w:type="dxa"/>
                  <w:tcBorders>
                    <w:top w:val="double" w:sz="4" w:space="0" w:color="A5A5A5"/>
                    <w:left w:val="double" w:sz="4" w:space="0" w:color="A5A5A5"/>
                    <w:bottom w:val="double" w:sz="4" w:space="0" w:color="A5A5A5"/>
                    <w:right w:val="double" w:sz="4" w:space="0" w:color="A5A5A5"/>
                  </w:tcBorders>
                  <w:hideMark/>
                </w:tcPr>
                <w:p w14:paraId="539191ED" w14:textId="77777777" w:rsidR="008A7808" w:rsidRPr="008A7808" w:rsidRDefault="008A7808" w:rsidP="008A7808">
                  <w:pPr>
                    <w:pStyle w:val="TAC"/>
                    <w:contextualSpacing/>
                    <w:rPr>
                      <w:rFonts w:cs="Arial"/>
                      <w:sz w:val="16"/>
                      <w:szCs w:val="16"/>
                    </w:rPr>
                  </w:pPr>
                  <w:r w:rsidRPr="008A7808">
                    <w:rPr>
                      <w:rFonts w:cs="Arial"/>
                      <w:sz w:val="16"/>
                      <w:szCs w:val="16"/>
                    </w:rPr>
                    <w:t>6</w:t>
                  </w:r>
                </w:p>
              </w:tc>
              <w:tc>
                <w:tcPr>
                  <w:tcW w:w="0" w:type="auto"/>
                  <w:vMerge/>
                  <w:tcBorders>
                    <w:top w:val="double" w:sz="4" w:space="0" w:color="A5A5A5"/>
                    <w:left w:val="double" w:sz="4" w:space="0" w:color="A5A5A5"/>
                    <w:bottom w:val="double" w:sz="4" w:space="0" w:color="A5A5A5"/>
                    <w:right w:val="double" w:sz="4" w:space="0" w:color="A5A5A5"/>
                  </w:tcBorders>
                  <w:vAlign w:val="center"/>
                  <w:hideMark/>
                </w:tcPr>
                <w:p w14:paraId="129817C1" w14:textId="77777777" w:rsidR="008A7808" w:rsidRPr="008A7808" w:rsidRDefault="008A7808" w:rsidP="008A7808">
                  <w:pPr>
                    <w:rPr>
                      <w:rFonts w:ascii="Arial" w:eastAsia="SimSun" w:hAnsi="Arial" w:cs="Arial"/>
                      <w:sz w:val="16"/>
                      <w:szCs w:val="16"/>
                      <w:lang w:eastAsia="x-none"/>
                    </w:rPr>
                  </w:pPr>
                </w:p>
              </w:tc>
              <w:tc>
                <w:tcPr>
                  <w:tcW w:w="761" w:type="dxa"/>
                  <w:tcBorders>
                    <w:top w:val="double" w:sz="4" w:space="0" w:color="A5A5A5"/>
                    <w:left w:val="double" w:sz="4" w:space="0" w:color="A5A5A5"/>
                    <w:bottom w:val="double" w:sz="4" w:space="0" w:color="A5A5A5"/>
                    <w:right w:val="double" w:sz="4" w:space="0" w:color="A5A5A5"/>
                  </w:tcBorders>
                  <w:hideMark/>
                </w:tcPr>
                <w:p w14:paraId="6FD3F4BE" w14:textId="77777777" w:rsidR="008A7808" w:rsidRPr="008A7808" w:rsidRDefault="008A7808" w:rsidP="008A7808">
                  <w:pPr>
                    <w:pStyle w:val="TAC"/>
                    <w:contextualSpacing/>
                    <w:rPr>
                      <w:rFonts w:cs="Arial"/>
                      <w:sz w:val="16"/>
                      <w:szCs w:val="16"/>
                    </w:rPr>
                  </w:pPr>
                  <w:r w:rsidRPr="008A7808">
                    <w:rPr>
                      <w:rFonts w:cs="Arial"/>
                      <w:sz w:val="16"/>
                      <w:szCs w:val="16"/>
                    </w:rPr>
                    <w:t>6</w:t>
                  </w:r>
                </w:p>
              </w:tc>
              <w:tc>
                <w:tcPr>
                  <w:tcW w:w="0" w:type="auto"/>
                  <w:vMerge/>
                  <w:tcBorders>
                    <w:top w:val="double" w:sz="4" w:space="0" w:color="A5A5A5"/>
                    <w:left w:val="double" w:sz="4" w:space="0" w:color="A5A5A5"/>
                    <w:bottom w:val="double" w:sz="4" w:space="0" w:color="A5A5A5"/>
                    <w:right w:val="double" w:sz="4" w:space="0" w:color="A5A5A5"/>
                  </w:tcBorders>
                  <w:vAlign w:val="center"/>
                  <w:hideMark/>
                </w:tcPr>
                <w:p w14:paraId="31610E9E" w14:textId="77777777" w:rsidR="008A7808" w:rsidRPr="008A7808" w:rsidRDefault="008A7808" w:rsidP="008A7808">
                  <w:pPr>
                    <w:rPr>
                      <w:rFonts w:ascii="Arial" w:eastAsia="SimSun" w:hAnsi="Arial" w:cs="Arial"/>
                      <w:color w:val="FF0000"/>
                      <w:sz w:val="16"/>
                      <w:szCs w:val="16"/>
                      <w:lang w:eastAsia="x-none"/>
                    </w:rPr>
                  </w:pPr>
                </w:p>
              </w:tc>
              <w:tc>
                <w:tcPr>
                  <w:tcW w:w="572" w:type="dxa"/>
                  <w:tcBorders>
                    <w:top w:val="double" w:sz="4" w:space="0" w:color="A5A5A5"/>
                    <w:left w:val="double" w:sz="4" w:space="0" w:color="A5A5A5"/>
                    <w:bottom w:val="double" w:sz="4" w:space="0" w:color="A5A5A5"/>
                    <w:right w:val="double" w:sz="4" w:space="0" w:color="A5A5A5"/>
                  </w:tcBorders>
                  <w:hideMark/>
                </w:tcPr>
                <w:p w14:paraId="737A84F5" w14:textId="77777777" w:rsidR="008A7808" w:rsidRPr="008A7808" w:rsidRDefault="008A7808" w:rsidP="008A7808">
                  <w:pPr>
                    <w:pStyle w:val="TAC"/>
                    <w:contextualSpacing/>
                    <w:rPr>
                      <w:rFonts w:cs="Arial"/>
                      <w:sz w:val="16"/>
                      <w:szCs w:val="16"/>
                    </w:rPr>
                  </w:pPr>
                  <w:r w:rsidRPr="008A7808">
                    <w:rPr>
                      <w:rFonts w:cs="Arial"/>
                      <w:sz w:val="16"/>
                      <w:szCs w:val="16"/>
                    </w:rPr>
                    <w:t>6</w:t>
                  </w:r>
                </w:p>
              </w:tc>
              <w:tc>
                <w:tcPr>
                  <w:tcW w:w="1948" w:type="dxa"/>
                  <w:vMerge w:val="restart"/>
                  <w:tcBorders>
                    <w:top w:val="double" w:sz="4" w:space="0" w:color="A5A5A5"/>
                    <w:left w:val="double" w:sz="4" w:space="0" w:color="A5A5A5"/>
                    <w:bottom w:val="double" w:sz="4" w:space="0" w:color="A5A5A5"/>
                    <w:right w:val="double" w:sz="4" w:space="0" w:color="A5A5A5"/>
                  </w:tcBorders>
                  <w:hideMark/>
                </w:tcPr>
                <w:p w14:paraId="3E4BA8BC" w14:textId="77777777" w:rsidR="008A7808" w:rsidRPr="008A7808" w:rsidRDefault="008A7808" w:rsidP="008A7808">
                  <w:pPr>
                    <w:pStyle w:val="TAC"/>
                    <w:contextualSpacing/>
                    <w:rPr>
                      <w:rFonts w:cs="Arial"/>
                      <w:sz w:val="16"/>
                      <w:szCs w:val="16"/>
                    </w:rPr>
                  </w:pPr>
                  <w:r w:rsidRPr="008A7808">
                    <w:rPr>
                      <w:rFonts w:cs="Arial"/>
                      <w:color w:val="FF0000"/>
                      <w:sz w:val="16"/>
                      <w:szCs w:val="16"/>
                    </w:rPr>
                    <w:t>Antenna port group 3</w:t>
                  </w:r>
                </w:p>
              </w:tc>
              <w:tc>
                <w:tcPr>
                  <w:tcW w:w="894" w:type="dxa"/>
                  <w:tcBorders>
                    <w:top w:val="double" w:sz="4" w:space="0" w:color="A5A5A5"/>
                    <w:left w:val="double" w:sz="4" w:space="0" w:color="A5A5A5"/>
                    <w:bottom w:val="double" w:sz="4" w:space="0" w:color="A5A5A5"/>
                    <w:right w:val="double" w:sz="4" w:space="0" w:color="A5A5A5"/>
                  </w:tcBorders>
                  <w:hideMark/>
                </w:tcPr>
                <w:p w14:paraId="77950657" w14:textId="77777777" w:rsidR="008A7808" w:rsidRPr="008A7808" w:rsidRDefault="008A7808" w:rsidP="008A7808">
                  <w:pPr>
                    <w:pStyle w:val="TAC"/>
                    <w:contextualSpacing/>
                    <w:rPr>
                      <w:rFonts w:cs="Arial"/>
                      <w:sz w:val="16"/>
                      <w:szCs w:val="16"/>
                    </w:rPr>
                  </w:pPr>
                  <w:r w:rsidRPr="008A7808">
                    <w:rPr>
                      <w:rFonts w:cs="Arial"/>
                      <w:sz w:val="16"/>
                      <w:szCs w:val="16"/>
                    </w:rPr>
                    <w:t>3</w:t>
                  </w:r>
                </w:p>
              </w:tc>
              <w:tc>
                <w:tcPr>
                  <w:tcW w:w="2037" w:type="dxa"/>
                  <w:tcBorders>
                    <w:top w:val="double" w:sz="4" w:space="0" w:color="A5A5A5"/>
                    <w:left w:val="double" w:sz="4" w:space="0" w:color="A5A5A5"/>
                    <w:bottom w:val="double" w:sz="4" w:space="0" w:color="A5A5A5"/>
                    <w:right w:val="double" w:sz="4" w:space="0" w:color="A5A5A5"/>
                  </w:tcBorders>
                  <w:hideMark/>
                </w:tcPr>
                <w:p w14:paraId="2B2133D7" w14:textId="77777777" w:rsidR="008A7808" w:rsidRPr="008A7808" w:rsidRDefault="008A7808" w:rsidP="008A7808">
                  <w:pPr>
                    <w:pStyle w:val="TAC"/>
                    <w:contextualSpacing/>
                    <w:rPr>
                      <w:rFonts w:cs="Arial"/>
                      <w:sz w:val="16"/>
                      <w:szCs w:val="16"/>
                    </w:rPr>
                  </w:pPr>
                  <w:r w:rsidRPr="008A7808">
                    <w:rPr>
                      <w:rFonts w:cs="Arial"/>
                      <w:color w:val="FF0000"/>
                      <w:sz w:val="16"/>
                      <w:szCs w:val="16"/>
                    </w:rPr>
                    <w:t>Antenna port group 6</w:t>
                  </w:r>
                </w:p>
              </w:tc>
              <w:tc>
                <w:tcPr>
                  <w:tcW w:w="983" w:type="dxa"/>
                  <w:tcBorders>
                    <w:top w:val="double" w:sz="4" w:space="0" w:color="A5A5A5"/>
                    <w:left w:val="double" w:sz="4" w:space="0" w:color="A5A5A5"/>
                    <w:bottom w:val="double" w:sz="4" w:space="0" w:color="A5A5A5"/>
                    <w:right w:val="double" w:sz="4" w:space="0" w:color="A5A5A5"/>
                  </w:tcBorders>
                  <w:hideMark/>
                </w:tcPr>
                <w:p w14:paraId="33CE78E0" w14:textId="77777777" w:rsidR="008A7808" w:rsidRPr="008A7808" w:rsidRDefault="008A7808" w:rsidP="008A7808">
                  <w:pPr>
                    <w:pStyle w:val="TAC"/>
                    <w:contextualSpacing/>
                    <w:rPr>
                      <w:rFonts w:cs="Arial"/>
                      <w:sz w:val="16"/>
                      <w:szCs w:val="16"/>
                    </w:rPr>
                  </w:pPr>
                  <w:r w:rsidRPr="008A7808">
                    <w:rPr>
                      <w:rFonts w:cs="Arial"/>
                      <w:sz w:val="16"/>
                      <w:szCs w:val="16"/>
                    </w:rPr>
                    <w:t>6</w:t>
                  </w:r>
                </w:p>
              </w:tc>
            </w:tr>
            <w:tr w:rsidR="008A7808" w:rsidRPr="008A7808" w14:paraId="03D93FF5" w14:textId="77777777">
              <w:trPr>
                <w:jc w:val="center"/>
              </w:trPr>
              <w:tc>
                <w:tcPr>
                  <w:tcW w:w="733" w:type="dxa"/>
                  <w:tcBorders>
                    <w:top w:val="double" w:sz="4" w:space="0" w:color="A5A5A5"/>
                    <w:left w:val="double" w:sz="4" w:space="0" w:color="A5A5A5"/>
                    <w:bottom w:val="double" w:sz="4" w:space="0" w:color="A5A5A5"/>
                    <w:right w:val="double" w:sz="4" w:space="0" w:color="A5A5A5"/>
                  </w:tcBorders>
                  <w:hideMark/>
                </w:tcPr>
                <w:p w14:paraId="02CA43AF" w14:textId="77777777" w:rsidR="008A7808" w:rsidRPr="008A7808" w:rsidRDefault="008A7808" w:rsidP="008A7808">
                  <w:pPr>
                    <w:pStyle w:val="TAC"/>
                    <w:contextualSpacing/>
                    <w:rPr>
                      <w:rFonts w:cs="Arial"/>
                      <w:sz w:val="16"/>
                      <w:szCs w:val="16"/>
                    </w:rPr>
                  </w:pPr>
                  <w:r w:rsidRPr="008A7808">
                    <w:rPr>
                      <w:rFonts w:cs="Arial"/>
                      <w:sz w:val="16"/>
                      <w:szCs w:val="16"/>
                    </w:rPr>
                    <w:t>7</w:t>
                  </w:r>
                </w:p>
              </w:tc>
              <w:tc>
                <w:tcPr>
                  <w:tcW w:w="0" w:type="auto"/>
                  <w:vMerge/>
                  <w:tcBorders>
                    <w:top w:val="double" w:sz="4" w:space="0" w:color="A5A5A5"/>
                    <w:left w:val="double" w:sz="4" w:space="0" w:color="A5A5A5"/>
                    <w:bottom w:val="double" w:sz="4" w:space="0" w:color="A5A5A5"/>
                    <w:right w:val="double" w:sz="4" w:space="0" w:color="A5A5A5"/>
                  </w:tcBorders>
                  <w:vAlign w:val="center"/>
                  <w:hideMark/>
                </w:tcPr>
                <w:p w14:paraId="2493318B" w14:textId="77777777" w:rsidR="008A7808" w:rsidRPr="008A7808" w:rsidRDefault="008A7808" w:rsidP="008A7808">
                  <w:pPr>
                    <w:rPr>
                      <w:rFonts w:ascii="Arial" w:eastAsia="SimSun" w:hAnsi="Arial" w:cs="Arial"/>
                      <w:sz w:val="16"/>
                      <w:szCs w:val="16"/>
                      <w:lang w:eastAsia="x-none"/>
                    </w:rPr>
                  </w:pPr>
                </w:p>
              </w:tc>
              <w:tc>
                <w:tcPr>
                  <w:tcW w:w="761" w:type="dxa"/>
                  <w:tcBorders>
                    <w:top w:val="double" w:sz="4" w:space="0" w:color="A5A5A5"/>
                    <w:left w:val="double" w:sz="4" w:space="0" w:color="A5A5A5"/>
                    <w:bottom w:val="double" w:sz="4" w:space="0" w:color="A5A5A5"/>
                    <w:right w:val="double" w:sz="4" w:space="0" w:color="A5A5A5"/>
                  </w:tcBorders>
                  <w:hideMark/>
                </w:tcPr>
                <w:p w14:paraId="3DE07857" w14:textId="77777777" w:rsidR="008A7808" w:rsidRPr="008A7808" w:rsidRDefault="008A7808" w:rsidP="008A7808">
                  <w:pPr>
                    <w:pStyle w:val="TAC"/>
                    <w:contextualSpacing/>
                    <w:rPr>
                      <w:rFonts w:cs="Arial"/>
                      <w:sz w:val="16"/>
                      <w:szCs w:val="16"/>
                    </w:rPr>
                  </w:pPr>
                  <w:r w:rsidRPr="008A7808">
                    <w:rPr>
                      <w:rFonts w:cs="Arial"/>
                      <w:sz w:val="16"/>
                      <w:szCs w:val="16"/>
                    </w:rPr>
                    <w:t>7</w:t>
                  </w:r>
                </w:p>
              </w:tc>
              <w:tc>
                <w:tcPr>
                  <w:tcW w:w="0" w:type="auto"/>
                  <w:vMerge/>
                  <w:tcBorders>
                    <w:top w:val="double" w:sz="4" w:space="0" w:color="A5A5A5"/>
                    <w:left w:val="double" w:sz="4" w:space="0" w:color="A5A5A5"/>
                    <w:bottom w:val="double" w:sz="4" w:space="0" w:color="A5A5A5"/>
                    <w:right w:val="double" w:sz="4" w:space="0" w:color="A5A5A5"/>
                  </w:tcBorders>
                  <w:vAlign w:val="center"/>
                  <w:hideMark/>
                </w:tcPr>
                <w:p w14:paraId="67758017" w14:textId="77777777" w:rsidR="008A7808" w:rsidRPr="008A7808" w:rsidRDefault="008A7808" w:rsidP="008A7808">
                  <w:pPr>
                    <w:rPr>
                      <w:rFonts w:ascii="Arial" w:eastAsia="SimSun" w:hAnsi="Arial" w:cs="Arial"/>
                      <w:color w:val="FF0000"/>
                      <w:sz w:val="16"/>
                      <w:szCs w:val="16"/>
                      <w:lang w:eastAsia="x-none"/>
                    </w:rPr>
                  </w:pPr>
                </w:p>
              </w:tc>
              <w:tc>
                <w:tcPr>
                  <w:tcW w:w="572" w:type="dxa"/>
                  <w:tcBorders>
                    <w:top w:val="double" w:sz="4" w:space="0" w:color="A5A5A5"/>
                    <w:left w:val="double" w:sz="4" w:space="0" w:color="A5A5A5"/>
                    <w:bottom w:val="double" w:sz="4" w:space="0" w:color="A5A5A5"/>
                    <w:right w:val="double" w:sz="4" w:space="0" w:color="A5A5A5"/>
                  </w:tcBorders>
                  <w:hideMark/>
                </w:tcPr>
                <w:p w14:paraId="21BFCE12" w14:textId="77777777" w:rsidR="008A7808" w:rsidRPr="008A7808" w:rsidRDefault="008A7808" w:rsidP="008A7808">
                  <w:pPr>
                    <w:pStyle w:val="TAC"/>
                    <w:contextualSpacing/>
                    <w:rPr>
                      <w:rFonts w:cs="Arial"/>
                      <w:sz w:val="16"/>
                      <w:szCs w:val="16"/>
                    </w:rPr>
                  </w:pPr>
                  <w:r w:rsidRPr="008A7808">
                    <w:rPr>
                      <w:rFonts w:cs="Arial"/>
                      <w:sz w:val="16"/>
                      <w:szCs w:val="16"/>
                    </w:rPr>
                    <w:t>7</w:t>
                  </w:r>
                </w:p>
              </w:tc>
              <w:tc>
                <w:tcPr>
                  <w:tcW w:w="0" w:type="auto"/>
                  <w:vMerge/>
                  <w:tcBorders>
                    <w:top w:val="double" w:sz="4" w:space="0" w:color="A5A5A5"/>
                    <w:left w:val="double" w:sz="4" w:space="0" w:color="A5A5A5"/>
                    <w:bottom w:val="double" w:sz="4" w:space="0" w:color="A5A5A5"/>
                    <w:right w:val="double" w:sz="4" w:space="0" w:color="A5A5A5"/>
                  </w:tcBorders>
                  <w:vAlign w:val="center"/>
                  <w:hideMark/>
                </w:tcPr>
                <w:p w14:paraId="5651489A" w14:textId="77777777" w:rsidR="008A7808" w:rsidRPr="008A7808" w:rsidRDefault="008A7808" w:rsidP="008A7808">
                  <w:pPr>
                    <w:rPr>
                      <w:rFonts w:ascii="Arial" w:eastAsia="SimSun" w:hAnsi="Arial" w:cs="Arial"/>
                      <w:sz w:val="16"/>
                      <w:szCs w:val="16"/>
                      <w:lang w:eastAsia="x-none"/>
                    </w:rPr>
                  </w:pPr>
                </w:p>
              </w:tc>
              <w:tc>
                <w:tcPr>
                  <w:tcW w:w="894" w:type="dxa"/>
                  <w:tcBorders>
                    <w:top w:val="double" w:sz="4" w:space="0" w:color="A5A5A5"/>
                    <w:left w:val="double" w:sz="4" w:space="0" w:color="A5A5A5"/>
                    <w:bottom w:val="double" w:sz="4" w:space="0" w:color="A5A5A5"/>
                    <w:right w:val="double" w:sz="4" w:space="0" w:color="A5A5A5"/>
                  </w:tcBorders>
                  <w:hideMark/>
                </w:tcPr>
                <w:p w14:paraId="075B2167" w14:textId="77777777" w:rsidR="008A7808" w:rsidRPr="008A7808" w:rsidRDefault="008A7808" w:rsidP="008A7808">
                  <w:pPr>
                    <w:pStyle w:val="TAC"/>
                    <w:contextualSpacing/>
                    <w:rPr>
                      <w:rFonts w:cs="Arial"/>
                      <w:sz w:val="16"/>
                      <w:szCs w:val="16"/>
                    </w:rPr>
                  </w:pPr>
                  <w:r w:rsidRPr="008A7808">
                    <w:rPr>
                      <w:rFonts w:cs="Arial"/>
                      <w:sz w:val="16"/>
                      <w:szCs w:val="16"/>
                    </w:rPr>
                    <w:t>7</w:t>
                  </w:r>
                </w:p>
              </w:tc>
              <w:tc>
                <w:tcPr>
                  <w:tcW w:w="2037" w:type="dxa"/>
                  <w:tcBorders>
                    <w:top w:val="double" w:sz="4" w:space="0" w:color="A5A5A5"/>
                    <w:left w:val="double" w:sz="4" w:space="0" w:color="A5A5A5"/>
                    <w:bottom w:val="double" w:sz="4" w:space="0" w:color="A5A5A5"/>
                    <w:right w:val="double" w:sz="4" w:space="0" w:color="A5A5A5"/>
                  </w:tcBorders>
                  <w:hideMark/>
                </w:tcPr>
                <w:p w14:paraId="4E1D1DA5" w14:textId="77777777" w:rsidR="008A7808" w:rsidRPr="008A7808" w:rsidRDefault="008A7808" w:rsidP="008A7808">
                  <w:pPr>
                    <w:pStyle w:val="TAC"/>
                    <w:contextualSpacing/>
                    <w:rPr>
                      <w:rFonts w:cs="Arial"/>
                      <w:sz w:val="16"/>
                      <w:szCs w:val="16"/>
                    </w:rPr>
                  </w:pPr>
                  <w:r w:rsidRPr="008A7808">
                    <w:rPr>
                      <w:rFonts w:cs="Arial"/>
                      <w:color w:val="FF0000"/>
                      <w:sz w:val="16"/>
                      <w:szCs w:val="16"/>
                    </w:rPr>
                    <w:t>Antenna port group 7</w:t>
                  </w:r>
                </w:p>
              </w:tc>
              <w:tc>
                <w:tcPr>
                  <w:tcW w:w="983" w:type="dxa"/>
                  <w:tcBorders>
                    <w:top w:val="double" w:sz="4" w:space="0" w:color="A5A5A5"/>
                    <w:left w:val="double" w:sz="4" w:space="0" w:color="A5A5A5"/>
                    <w:bottom w:val="double" w:sz="4" w:space="0" w:color="A5A5A5"/>
                    <w:right w:val="double" w:sz="4" w:space="0" w:color="A5A5A5"/>
                  </w:tcBorders>
                  <w:hideMark/>
                </w:tcPr>
                <w:p w14:paraId="4E0729BE" w14:textId="77777777" w:rsidR="008A7808" w:rsidRPr="008A7808" w:rsidRDefault="008A7808" w:rsidP="008A7808">
                  <w:pPr>
                    <w:pStyle w:val="TAC"/>
                    <w:contextualSpacing/>
                    <w:rPr>
                      <w:rFonts w:cs="Arial"/>
                      <w:sz w:val="16"/>
                      <w:szCs w:val="16"/>
                    </w:rPr>
                  </w:pPr>
                  <w:r w:rsidRPr="008A7808">
                    <w:rPr>
                      <w:rFonts w:cs="Arial"/>
                      <w:sz w:val="16"/>
                      <w:szCs w:val="16"/>
                    </w:rPr>
                    <w:t>7</w:t>
                  </w:r>
                </w:p>
              </w:tc>
            </w:tr>
          </w:tbl>
          <w:p w14:paraId="3E373E96" w14:textId="20DA8673" w:rsidR="008A7808" w:rsidRPr="008A7808" w:rsidRDefault="008A7808" w:rsidP="008A7808">
            <w:pPr>
              <w:ind w:left="360"/>
              <w:contextualSpacing/>
              <w:rPr>
                <w:rFonts w:ascii="Arial" w:hAnsi="Arial" w:cs="Arial"/>
                <w:b/>
                <w:bCs/>
                <w:i/>
                <w:iCs/>
                <w:sz w:val="16"/>
                <w:szCs w:val="16"/>
                <w:lang w:eastAsia="zh-CN"/>
              </w:rPr>
            </w:pPr>
            <w:r w:rsidRPr="008A7808">
              <w:rPr>
                <w:rFonts w:ascii="Arial" w:hAnsi="Arial" w:cs="Arial"/>
                <w:color w:val="FF0000"/>
                <w:sz w:val="16"/>
                <w:szCs w:val="16"/>
                <w:lang w:eastAsia="zh-CN"/>
              </w:rPr>
              <w:t>-------------------------------------------Unchanged parts are omitted-------------------------------------------</w:t>
            </w:r>
          </w:p>
        </w:tc>
      </w:tr>
    </w:tbl>
    <w:p w14:paraId="311BE93B" w14:textId="77777777" w:rsidR="008A7808" w:rsidRDefault="008A7808" w:rsidP="008A7808">
      <w:pPr>
        <w:rPr>
          <w:highlight w:val="yellow"/>
        </w:rPr>
      </w:pPr>
    </w:p>
    <w:p w14:paraId="30911A9C" w14:textId="77777777" w:rsidR="008A7808" w:rsidRPr="009E07E2" w:rsidRDefault="008A7808" w:rsidP="008A7808">
      <w:pPr>
        <w:rPr>
          <w:rFonts w:ascii="Times New Roman" w:hAnsi="Times New Roman"/>
          <w:highlight w:val="green"/>
          <w:lang w:eastAsia="x-none"/>
        </w:rPr>
      </w:pPr>
      <w:r w:rsidRPr="009E07E2">
        <w:rPr>
          <w:rFonts w:ascii="Times New Roman" w:hAnsi="Times New Roman"/>
          <w:highlight w:val="green"/>
          <w:lang w:eastAsia="x-none"/>
        </w:rPr>
        <w:t>Agreement</w:t>
      </w:r>
    </w:p>
    <w:p w14:paraId="2A5316EF" w14:textId="77777777" w:rsidR="008A7808" w:rsidRPr="008A7808" w:rsidRDefault="008A7808" w:rsidP="00A67145">
      <w:pPr>
        <w:pStyle w:val="ListParagraph"/>
        <w:numPr>
          <w:ilvl w:val="0"/>
          <w:numId w:val="199"/>
        </w:numPr>
        <w:rPr>
          <w:b/>
          <w:iCs/>
          <w:lang w:eastAsia="zh-CN"/>
        </w:rPr>
      </w:pPr>
      <w:r>
        <w:t>Adopt the following text proposal to TS 38.214.</w:t>
      </w:r>
    </w:p>
    <w:tbl>
      <w:tblPr>
        <w:tblW w:w="5000" w:type="pct"/>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0683"/>
      </w:tblGrid>
      <w:tr w:rsidR="008A7808" w:rsidRPr="008A7808" w14:paraId="6C604957" w14:textId="77777777" w:rsidTr="008A7808">
        <w:tc>
          <w:tcPr>
            <w:tcW w:w="5000" w:type="pct"/>
            <w:tcBorders>
              <w:top w:val="double" w:sz="4" w:space="0" w:color="A5A5A5"/>
              <w:left w:val="double" w:sz="4" w:space="0" w:color="A5A5A5"/>
              <w:bottom w:val="double" w:sz="4" w:space="0" w:color="A5A5A5"/>
              <w:right w:val="double" w:sz="4" w:space="0" w:color="A5A5A5"/>
            </w:tcBorders>
          </w:tcPr>
          <w:p w14:paraId="50A38825" w14:textId="77777777" w:rsidR="008A7808" w:rsidRPr="008A7808" w:rsidRDefault="008A7808">
            <w:pPr>
              <w:ind w:left="360"/>
              <w:contextualSpacing/>
              <w:rPr>
                <w:rFonts w:ascii="Arial" w:hAnsi="Arial" w:cs="Arial"/>
                <w:color w:val="FF0000"/>
                <w:sz w:val="16"/>
                <w:szCs w:val="16"/>
                <w:lang w:eastAsia="zh-CN"/>
              </w:rPr>
            </w:pPr>
            <w:r w:rsidRPr="008A7808">
              <w:rPr>
                <w:rFonts w:ascii="Arial" w:hAnsi="Arial" w:cs="Arial"/>
                <w:color w:val="FF0000"/>
                <w:sz w:val="16"/>
                <w:szCs w:val="16"/>
                <w:lang w:eastAsia="zh-CN"/>
              </w:rPr>
              <w:t>-------------------------------------------Unchanged parts are omitted-------------------------------------------</w:t>
            </w:r>
          </w:p>
          <w:p w14:paraId="2CAACB8F" w14:textId="77777777" w:rsidR="008A7808" w:rsidRPr="008A7808" w:rsidRDefault="008A7808">
            <w:pPr>
              <w:ind w:left="360"/>
              <w:contextualSpacing/>
              <w:rPr>
                <w:rFonts w:ascii="Arial" w:hAnsi="Arial" w:cs="Arial"/>
                <w:sz w:val="16"/>
                <w:szCs w:val="16"/>
                <w:lang w:val="en-US"/>
              </w:rPr>
            </w:pPr>
            <w:r w:rsidRPr="008A7808">
              <w:rPr>
                <w:rFonts w:ascii="Arial" w:hAnsi="Arial" w:cs="Arial"/>
                <w:sz w:val="16"/>
                <w:szCs w:val="16"/>
              </w:rPr>
              <w:t xml:space="preserve">For codebook based transmission with eight antenna ports, the UE determines its codebook based upon the reception of higher layer parameter[s] </w:t>
            </w:r>
            <w:r w:rsidRPr="008A7808">
              <w:rPr>
                <w:rFonts w:ascii="Arial" w:hAnsi="Arial" w:cs="Arial"/>
                <w:i/>
                <w:iCs/>
                <w:sz w:val="16"/>
                <w:szCs w:val="16"/>
              </w:rPr>
              <w:t>CodebookType</w:t>
            </w:r>
            <w:r w:rsidRPr="008A7808">
              <w:rPr>
                <w:rFonts w:ascii="Arial" w:hAnsi="Arial" w:cs="Arial"/>
                <w:sz w:val="16"/>
                <w:szCs w:val="16"/>
              </w:rPr>
              <w:t xml:space="preserve"> and </w:t>
            </w:r>
            <w:r w:rsidRPr="008A7808">
              <w:rPr>
                <w:rFonts w:ascii="Arial" w:hAnsi="Arial" w:cs="Arial"/>
                <w:i/>
                <w:iCs/>
                <w:sz w:val="16"/>
                <w:szCs w:val="16"/>
              </w:rPr>
              <w:t>ULcodebookFC-N1N2</w:t>
            </w:r>
            <w:r w:rsidRPr="008A7808">
              <w:rPr>
                <w:rFonts w:ascii="Arial" w:hAnsi="Arial" w:cs="Arial"/>
                <w:sz w:val="16"/>
                <w:szCs w:val="16"/>
              </w:rPr>
              <w:t xml:space="preserve"> if </w:t>
            </w:r>
            <w:r w:rsidRPr="008A7808">
              <w:rPr>
                <w:rFonts w:ascii="Arial" w:hAnsi="Arial" w:cs="Arial"/>
                <w:i/>
                <w:iCs/>
                <w:sz w:val="16"/>
                <w:szCs w:val="16"/>
              </w:rPr>
              <w:t>CodebookType</w:t>
            </w:r>
            <w:r w:rsidRPr="008A7808">
              <w:rPr>
                <w:rFonts w:ascii="Arial" w:hAnsi="Arial" w:cs="Arial"/>
                <w:sz w:val="16"/>
                <w:szCs w:val="16"/>
              </w:rPr>
              <w:t xml:space="preserve"> is configured with Ng=1 in pusch-Config for PUSCH associated with DCI format 0_1 and 0_2, depending on the UE capability. </w:t>
            </w:r>
            <w:r w:rsidRPr="008A7808">
              <w:rPr>
                <w:rFonts w:ascii="Arial" w:hAnsi="Arial" w:cs="Arial"/>
                <w:color w:val="FF0000"/>
                <w:sz w:val="16"/>
                <w:szCs w:val="16"/>
              </w:rPr>
              <w:t xml:space="preserve">According to the configured </w:t>
            </w:r>
            <w:r w:rsidRPr="008A7808">
              <w:rPr>
                <w:rFonts w:ascii="Arial" w:hAnsi="Arial" w:cs="Arial"/>
                <w:i/>
                <w:iCs/>
                <w:color w:val="FF0000"/>
                <w:sz w:val="16"/>
                <w:szCs w:val="16"/>
              </w:rPr>
              <w:t>CodebookType</w:t>
            </w:r>
            <w:r w:rsidRPr="008A7808">
              <w:rPr>
                <w:rFonts w:ascii="Arial" w:hAnsi="Arial" w:cs="Arial"/>
                <w:color w:val="FF0000"/>
                <w:sz w:val="16"/>
                <w:szCs w:val="16"/>
              </w:rPr>
              <w:t>, requirements for coherent UL MIMO in [38.101-1] and [38.101-2] apply within an antenna port group.</w:t>
            </w:r>
          </w:p>
          <w:p w14:paraId="29E25EEC" w14:textId="7A64A844" w:rsidR="008A7808" w:rsidRPr="008A7808" w:rsidRDefault="008A7808" w:rsidP="008A7808">
            <w:pPr>
              <w:ind w:left="360"/>
              <w:contextualSpacing/>
              <w:rPr>
                <w:rFonts w:ascii="Arial" w:hAnsi="Arial" w:cs="Arial"/>
                <w:color w:val="FF0000"/>
                <w:sz w:val="16"/>
                <w:szCs w:val="16"/>
                <w:lang w:eastAsia="zh-CN"/>
              </w:rPr>
            </w:pPr>
            <w:r w:rsidRPr="008A7808">
              <w:rPr>
                <w:rFonts w:ascii="Arial" w:hAnsi="Arial" w:cs="Arial"/>
                <w:color w:val="FF0000"/>
                <w:sz w:val="16"/>
                <w:szCs w:val="16"/>
                <w:lang w:eastAsia="zh-CN"/>
              </w:rPr>
              <w:t>-------------------------------------------Unchanged parts are omitted-------------------------------------------</w:t>
            </w:r>
          </w:p>
        </w:tc>
      </w:tr>
    </w:tbl>
    <w:p w14:paraId="44EA84FE" w14:textId="2A37C2DD" w:rsidR="008A7808" w:rsidRPr="003C0C63" w:rsidRDefault="008A7808" w:rsidP="00A67145">
      <w:pPr>
        <w:pStyle w:val="ListParagraph"/>
        <w:numPr>
          <w:ilvl w:val="0"/>
          <w:numId w:val="197"/>
        </w:numPr>
        <w:overflowPunct/>
        <w:autoSpaceDE/>
        <w:autoSpaceDN/>
        <w:adjustRightInd/>
        <w:spacing w:after="0"/>
        <w:jc w:val="both"/>
        <w:textAlignment w:val="auto"/>
        <w:rPr>
          <w:rFonts w:eastAsia="Batang"/>
          <w:lang w:eastAsia="x-none"/>
        </w:rPr>
      </w:pPr>
      <w:r w:rsidRPr="003C0C63">
        <w:t>Send an LS to RAN4 that RAN1 assumes RAN4 will define the relative phase and power error requirements within the port groups for 8TX UEs.</w:t>
      </w:r>
    </w:p>
    <w:p w14:paraId="7DCA32CA" w14:textId="197AF8C9" w:rsidR="003C0C63" w:rsidRPr="003C0C63" w:rsidRDefault="005A18DC" w:rsidP="003C0C63">
      <w:pPr>
        <w:rPr>
          <w:b/>
          <w:bCs/>
          <w:lang w:eastAsia="x-none"/>
        </w:rPr>
      </w:pPr>
      <w:hyperlink r:id="rId956" w:history="1">
        <w:r w:rsidR="00AF7253">
          <w:rPr>
            <w:rStyle w:val="Hyperlink"/>
            <w:b/>
            <w:bCs/>
            <w:lang w:eastAsia="x-none"/>
          </w:rPr>
          <w:t>R1-2312561</w:t>
        </w:r>
      </w:hyperlink>
      <w:r w:rsidR="003C0C63" w:rsidRPr="003C0C63">
        <w:rPr>
          <w:b/>
          <w:bCs/>
          <w:lang w:eastAsia="x-none"/>
        </w:rPr>
        <w:tab/>
        <w:t>[Draft] LS On Relative Phase/Power Error Requirements within Port Groups for 8TX UE</w:t>
      </w:r>
      <w:r w:rsidR="003C0C63" w:rsidRPr="003C0C63">
        <w:rPr>
          <w:b/>
          <w:bCs/>
          <w:lang w:eastAsia="x-none"/>
        </w:rPr>
        <w:tab/>
        <w:t>InterDigital</w:t>
      </w:r>
    </w:p>
    <w:p w14:paraId="46BEB57D" w14:textId="2A7CDECC" w:rsidR="003C0C63" w:rsidRDefault="003C0C63" w:rsidP="003C0C63">
      <w:pPr>
        <w:rPr>
          <w:lang w:eastAsia="x-none"/>
        </w:rPr>
      </w:pPr>
      <w:r w:rsidRPr="003C0C63">
        <w:rPr>
          <w:b/>
          <w:bCs/>
          <w:lang w:eastAsia="x-none"/>
        </w:rPr>
        <w:t>Friday decision:</w:t>
      </w:r>
      <w:r>
        <w:rPr>
          <w:lang w:eastAsia="x-none"/>
        </w:rPr>
        <w:t xml:space="preserve"> The draft LS is endorsed. Final LS is </w:t>
      </w:r>
      <w:r w:rsidRPr="003C0C63">
        <w:rPr>
          <w:highlight w:val="green"/>
          <w:lang w:eastAsia="x-none"/>
        </w:rPr>
        <w:t xml:space="preserve">approved in </w:t>
      </w:r>
      <w:hyperlink r:id="rId957" w:history="1">
        <w:r w:rsidR="00AF7253">
          <w:rPr>
            <w:rStyle w:val="Hyperlink"/>
            <w:highlight w:val="green"/>
            <w:lang w:eastAsia="x-none"/>
          </w:rPr>
          <w:t>R1-2312566</w:t>
        </w:r>
      </w:hyperlink>
      <w:r>
        <w:rPr>
          <w:lang w:eastAsia="x-none"/>
        </w:rPr>
        <w:t>.</w:t>
      </w:r>
    </w:p>
    <w:p w14:paraId="07F967B4" w14:textId="77777777" w:rsidR="003C0C63" w:rsidRDefault="003C0C63" w:rsidP="00F74A6F">
      <w:pPr>
        <w:rPr>
          <w:lang w:eastAsia="x-none"/>
        </w:rPr>
      </w:pPr>
    </w:p>
    <w:p w14:paraId="16E009A3" w14:textId="77777777" w:rsidR="003C0C63" w:rsidRDefault="003C0C63" w:rsidP="00F74A6F">
      <w:pPr>
        <w:rPr>
          <w:lang w:eastAsia="x-none"/>
        </w:rPr>
      </w:pPr>
    </w:p>
    <w:p w14:paraId="0630D26F" w14:textId="5BF7F1D9" w:rsidR="00DC1481" w:rsidRPr="009537ED" w:rsidRDefault="003C0C63" w:rsidP="00F74A6F">
      <w:pPr>
        <w:rPr>
          <w:lang w:eastAsia="x-none"/>
        </w:rPr>
      </w:pPr>
      <w:r>
        <w:rPr>
          <w:lang w:eastAsia="x-none"/>
        </w:rPr>
        <w:t xml:space="preserve">Final summary in </w:t>
      </w:r>
      <w:hyperlink r:id="rId958" w:history="1">
        <w:r w:rsidR="00AF7253">
          <w:rPr>
            <w:rStyle w:val="Hyperlink"/>
            <w:lang w:eastAsia="x-none"/>
          </w:rPr>
          <w:t>R1-2310928</w:t>
        </w:r>
      </w:hyperlink>
      <w:r>
        <w:rPr>
          <w:lang w:eastAsia="x-none"/>
        </w:rPr>
        <w:t>.</w:t>
      </w:r>
    </w:p>
    <w:p w14:paraId="3E144815" w14:textId="77777777" w:rsidR="00F74A6F" w:rsidRDefault="00F74A6F" w:rsidP="00F74A6F">
      <w:pPr>
        <w:pStyle w:val="Heading2"/>
      </w:pPr>
      <w:bookmarkStart w:id="238" w:name="_Toc150174450"/>
      <w:bookmarkStart w:id="239" w:name="_Toc159250992"/>
      <w:r w:rsidRPr="009537ED">
        <w:t>Maintenance on NR Sidelink Evolution</w:t>
      </w:r>
      <w:bookmarkEnd w:id="238"/>
      <w:bookmarkEnd w:id="239"/>
    </w:p>
    <w:p w14:paraId="54E10ED4" w14:textId="09153B85" w:rsidR="004B3090" w:rsidRPr="004B3090" w:rsidRDefault="005A18DC" w:rsidP="004B3090">
      <w:pPr>
        <w:rPr>
          <w:b/>
          <w:bCs/>
        </w:rPr>
      </w:pPr>
      <w:hyperlink r:id="rId959" w:history="1">
        <w:r w:rsidR="00AF7253">
          <w:rPr>
            <w:rStyle w:val="Hyperlink"/>
            <w:b/>
            <w:bCs/>
          </w:rPr>
          <w:t>R1-2312503</w:t>
        </w:r>
      </w:hyperlink>
      <w:r w:rsidR="004B3090" w:rsidRPr="004B3090">
        <w:rPr>
          <w:b/>
          <w:bCs/>
        </w:rPr>
        <w:tab/>
        <w:t>Session notes for 8.2 (Maintenance on NR sidelink evolution)</w:t>
      </w:r>
      <w:r w:rsidR="004B3090" w:rsidRPr="004B3090">
        <w:rPr>
          <w:b/>
          <w:bCs/>
        </w:rPr>
        <w:tab/>
        <w:t>Ad-Hoc Chair (Huawei)</w:t>
      </w:r>
    </w:p>
    <w:p w14:paraId="5902B467" w14:textId="77777777" w:rsidR="004B3090" w:rsidRPr="00D96FAE" w:rsidRDefault="004B3090" w:rsidP="004B3090">
      <w:pPr>
        <w:rPr>
          <w:lang w:eastAsia="x-none"/>
        </w:rPr>
      </w:pPr>
      <w:r w:rsidRPr="00F05EFE">
        <w:rPr>
          <w:b/>
          <w:bCs/>
        </w:rPr>
        <w:t>Friday decision:</w:t>
      </w:r>
      <w:r>
        <w:t xml:space="preserve"> The </w:t>
      </w:r>
      <w:r>
        <w:rPr>
          <w:lang w:val="en-US" w:eastAsia="x-none"/>
        </w:rPr>
        <w:t>s</w:t>
      </w:r>
      <w:r w:rsidRPr="00663F3A">
        <w:rPr>
          <w:lang w:val="en-US" w:eastAsia="x-none"/>
        </w:rPr>
        <w:t>ession notes</w:t>
      </w:r>
      <w:r>
        <w:rPr>
          <w:lang w:val="en-US" w:eastAsia="x-none"/>
        </w:rPr>
        <w:t xml:space="preserve"> are </w:t>
      </w:r>
      <w:r>
        <w:rPr>
          <w:highlight w:val="green"/>
          <w:lang w:eastAsia="x-none"/>
        </w:rPr>
        <w:t>e</w:t>
      </w:r>
      <w:r w:rsidRPr="00D96FAE">
        <w:rPr>
          <w:highlight w:val="green"/>
          <w:lang w:eastAsia="x-none"/>
        </w:rPr>
        <w:t xml:space="preserve">ndorsed </w:t>
      </w:r>
      <w:r w:rsidRPr="00D96FAE">
        <w:rPr>
          <w:lang w:eastAsia="x-none"/>
        </w:rPr>
        <w:t>and contents reflected below.</w:t>
      </w:r>
    </w:p>
    <w:p w14:paraId="49120F48" w14:textId="77777777" w:rsidR="004B3090" w:rsidRPr="004B3090" w:rsidRDefault="004B3090" w:rsidP="004B3090"/>
    <w:p w14:paraId="3674138E" w14:textId="77777777" w:rsidR="00356168" w:rsidRPr="009537ED" w:rsidRDefault="00F74A6F" w:rsidP="00F74A6F">
      <w:pPr>
        <w:rPr>
          <w:lang w:eastAsia="x-none"/>
        </w:rPr>
      </w:pPr>
      <w:r w:rsidRPr="009537ED">
        <w:rPr>
          <w:lang w:eastAsia="x-none"/>
        </w:rPr>
        <w:lastRenderedPageBreak/>
        <w:t xml:space="preserve">[115-R18-SL] </w:t>
      </w:r>
      <w:r w:rsidR="00356168" w:rsidRPr="009537ED">
        <w:rPr>
          <w:lang w:eastAsia="x-none"/>
        </w:rPr>
        <w:t>– Kevin (OPPO)</w:t>
      </w:r>
    </w:p>
    <w:p w14:paraId="2B1E2FDD" w14:textId="3E50A26D" w:rsidR="00F74A6F" w:rsidRPr="009537ED" w:rsidRDefault="00F74A6F" w:rsidP="00F74A6F">
      <w:pPr>
        <w:rPr>
          <w:lang w:eastAsia="x-none"/>
        </w:rPr>
      </w:pPr>
      <w:r w:rsidRPr="009537ED">
        <w:rPr>
          <w:lang w:eastAsia="x-none"/>
        </w:rPr>
        <w:t>Email discussion on NR sidelink evolution</w:t>
      </w:r>
    </w:p>
    <w:p w14:paraId="401EE9C8" w14:textId="77777777" w:rsidR="00F74A6F" w:rsidRPr="009537ED" w:rsidRDefault="00F74A6F" w:rsidP="00F74A6F">
      <w:pPr>
        <w:numPr>
          <w:ilvl w:val="0"/>
          <w:numId w:val="69"/>
        </w:numPr>
        <w:rPr>
          <w:lang w:eastAsia="x-none"/>
        </w:rPr>
      </w:pPr>
      <w:r w:rsidRPr="009537ED">
        <w:rPr>
          <w:lang w:eastAsia="x-none"/>
        </w:rPr>
        <w:t>To be used for sharing updates on online/offline schedule, details on what is to be discussed in online/offline sessions, tdoc number of the moderator summary for online session, etc</w:t>
      </w:r>
    </w:p>
    <w:p w14:paraId="7CFB75D8" w14:textId="77777777" w:rsidR="00F74A6F" w:rsidRPr="009537ED" w:rsidRDefault="00F74A6F" w:rsidP="00F74A6F">
      <w:pPr>
        <w:rPr>
          <w:lang w:eastAsia="x-none"/>
        </w:rPr>
      </w:pPr>
    </w:p>
    <w:p w14:paraId="55E4D7A7" w14:textId="0737873D" w:rsidR="00F74A6F" w:rsidRDefault="005A18DC" w:rsidP="00F74A6F">
      <w:pPr>
        <w:rPr>
          <w:lang w:eastAsia="x-none"/>
        </w:rPr>
      </w:pPr>
      <w:hyperlink r:id="rId960" w:history="1">
        <w:r w:rsidR="00AF7253">
          <w:rPr>
            <w:rStyle w:val="Hyperlink"/>
            <w:lang w:eastAsia="x-none"/>
          </w:rPr>
          <w:t>R1-2311235</w:t>
        </w:r>
      </w:hyperlink>
      <w:r w:rsidR="00F74A6F" w:rsidRPr="009537ED">
        <w:rPr>
          <w:lang w:eastAsia="x-none"/>
        </w:rPr>
        <w:tab/>
        <w:t>Higher layer parameters list for Rel-18 NR sidelink evolution WI</w:t>
      </w:r>
      <w:r w:rsidR="00F74A6F" w:rsidRPr="009537ED">
        <w:rPr>
          <w:lang w:eastAsia="x-none"/>
        </w:rPr>
        <w:tab/>
        <w:t>OPPO, Huawei, HiSilicon, LG Electronics</w:t>
      </w:r>
    </w:p>
    <w:p w14:paraId="494E7FAA" w14:textId="77777777" w:rsidR="00DB78EB" w:rsidRDefault="00DB78EB" w:rsidP="00F74A6F">
      <w:pPr>
        <w:rPr>
          <w:lang w:eastAsia="x-none"/>
        </w:rPr>
      </w:pPr>
    </w:p>
    <w:p w14:paraId="696538AB" w14:textId="23075BC5" w:rsidR="00DB78EB" w:rsidRPr="009537ED" w:rsidRDefault="005A18DC" w:rsidP="00F74A6F">
      <w:pPr>
        <w:rPr>
          <w:lang w:eastAsia="x-none"/>
        </w:rPr>
      </w:pPr>
      <w:hyperlink r:id="rId961" w:history="1">
        <w:r w:rsidR="00AF7253">
          <w:rPr>
            <w:rStyle w:val="Hyperlink"/>
            <w:lang w:eastAsia="x-none"/>
          </w:rPr>
          <w:t>R1-2312703</w:t>
        </w:r>
      </w:hyperlink>
      <w:r w:rsidR="00DB78EB" w:rsidRPr="00DB78EB">
        <w:rPr>
          <w:lang w:eastAsia="x-none"/>
        </w:rPr>
        <w:tab/>
        <w:t>RAN1 agreements for Rel-18 NR Sidelink Evolution</w:t>
      </w:r>
      <w:r w:rsidR="00DB78EB" w:rsidRPr="00DB78EB">
        <w:rPr>
          <w:lang w:eastAsia="x-none"/>
        </w:rPr>
        <w:tab/>
        <w:t>Rapporteur (OPPO)</w:t>
      </w:r>
    </w:p>
    <w:p w14:paraId="473208FE" w14:textId="77777777" w:rsidR="00F74A6F" w:rsidRPr="009537ED" w:rsidRDefault="00F74A6F" w:rsidP="00356168">
      <w:pPr>
        <w:pStyle w:val="Heading3"/>
      </w:pPr>
      <w:bookmarkStart w:id="240" w:name="_Toc150174451"/>
      <w:bookmarkStart w:id="241" w:name="_Toc159250993"/>
      <w:r w:rsidRPr="009537ED">
        <w:t>Support of sidelink on unlicensed spectrum</w:t>
      </w:r>
      <w:bookmarkEnd w:id="240"/>
      <w:bookmarkEnd w:id="241"/>
    </w:p>
    <w:p w14:paraId="658FE49E" w14:textId="77777777" w:rsidR="00F74A6F" w:rsidRPr="009537ED" w:rsidRDefault="00F74A6F" w:rsidP="00356168">
      <w:pPr>
        <w:pStyle w:val="Heading4"/>
      </w:pPr>
      <w:bookmarkStart w:id="242" w:name="_Toc150174452"/>
      <w:bookmarkStart w:id="243" w:name="_Toc159250994"/>
      <w:r w:rsidRPr="009537ED">
        <w:t>Channel access mechanism</w:t>
      </w:r>
      <w:bookmarkEnd w:id="242"/>
      <w:bookmarkEnd w:id="243"/>
    </w:p>
    <w:p w14:paraId="5C427443" w14:textId="1A7D7CF9" w:rsidR="00F74A6F" w:rsidRPr="009537ED" w:rsidRDefault="005A18DC" w:rsidP="00F74A6F">
      <w:pPr>
        <w:rPr>
          <w:lang w:eastAsia="x-none"/>
        </w:rPr>
      </w:pPr>
      <w:hyperlink r:id="rId962" w:history="1">
        <w:r w:rsidR="00AF7253">
          <w:rPr>
            <w:rStyle w:val="Hyperlink"/>
            <w:lang w:eastAsia="x-none"/>
          </w:rPr>
          <w:t>R1-2310811</w:t>
        </w:r>
      </w:hyperlink>
      <w:r w:rsidR="00F74A6F" w:rsidRPr="009537ED">
        <w:rPr>
          <w:lang w:eastAsia="x-none"/>
        </w:rPr>
        <w:tab/>
        <w:t>Remaining issues for Channel Access Mechanism for SL-U</w:t>
      </w:r>
      <w:r w:rsidR="00F74A6F" w:rsidRPr="009537ED">
        <w:rPr>
          <w:lang w:eastAsia="x-none"/>
        </w:rPr>
        <w:tab/>
        <w:t>Nokia, Nokia Shanghai Bell</w:t>
      </w:r>
    </w:p>
    <w:p w14:paraId="7C7319A2" w14:textId="4F36BE36" w:rsidR="00F74A6F" w:rsidRPr="009537ED" w:rsidRDefault="005A18DC" w:rsidP="00F74A6F">
      <w:pPr>
        <w:rPr>
          <w:lang w:eastAsia="x-none"/>
        </w:rPr>
      </w:pPr>
      <w:hyperlink r:id="rId963" w:history="1">
        <w:r w:rsidR="00AF7253">
          <w:rPr>
            <w:rStyle w:val="Hyperlink"/>
            <w:lang w:eastAsia="x-none"/>
          </w:rPr>
          <w:t>R1-2310824</w:t>
        </w:r>
      </w:hyperlink>
      <w:r w:rsidR="00F74A6F" w:rsidRPr="009537ED">
        <w:rPr>
          <w:lang w:eastAsia="x-none"/>
        </w:rPr>
        <w:tab/>
        <w:t>Maintenance of sidelink unlicensed channel access</w:t>
      </w:r>
      <w:r w:rsidR="00F74A6F" w:rsidRPr="009537ED">
        <w:rPr>
          <w:lang w:eastAsia="x-none"/>
        </w:rPr>
        <w:tab/>
        <w:t>FUTUREWEI</w:t>
      </w:r>
    </w:p>
    <w:p w14:paraId="66AB603F" w14:textId="00FB0274" w:rsidR="00F74A6F" w:rsidRPr="009537ED" w:rsidRDefault="005A18DC" w:rsidP="00F74A6F">
      <w:pPr>
        <w:rPr>
          <w:lang w:eastAsia="x-none"/>
        </w:rPr>
      </w:pPr>
      <w:hyperlink r:id="rId964" w:history="1">
        <w:r w:rsidR="00AF7253">
          <w:rPr>
            <w:rStyle w:val="Hyperlink"/>
            <w:lang w:eastAsia="x-none"/>
          </w:rPr>
          <w:t>R1-2310851</w:t>
        </w:r>
      </w:hyperlink>
      <w:r w:rsidR="00F74A6F" w:rsidRPr="009537ED">
        <w:rPr>
          <w:lang w:eastAsia="x-none"/>
        </w:rPr>
        <w:tab/>
        <w:t>Maintenance of channel access mechanism and resource allocation for sidelink operation over unlicensed spectrum</w:t>
      </w:r>
      <w:r w:rsidR="00F74A6F" w:rsidRPr="009537ED">
        <w:rPr>
          <w:lang w:eastAsia="x-none"/>
        </w:rPr>
        <w:tab/>
        <w:t>Huawei, HiSilicon</w:t>
      </w:r>
    </w:p>
    <w:p w14:paraId="57984F97" w14:textId="162A89DB" w:rsidR="00F74A6F" w:rsidRPr="009537ED" w:rsidRDefault="005A18DC" w:rsidP="00F74A6F">
      <w:pPr>
        <w:rPr>
          <w:lang w:eastAsia="x-none"/>
        </w:rPr>
      </w:pPr>
      <w:hyperlink r:id="rId965" w:history="1">
        <w:r w:rsidR="00AF7253">
          <w:rPr>
            <w:rStyle w:val="Hyperlink"/>
            <w:lang w:eastAsia="x-none"/>
          </w:rPr>
          <w:t>R1-2311090</w:t>
        </w:r>
      </w:hyperlink>
      <w:r w:rsidR="00F74A6F" w:rsidRPr="009537ED">
        <w:rPr>
          <w:lang w:eastAsia="x-none"/>
        </w:rPr>
        <w:tab/>
        <w:t>Remaining issues on channel access mechanism for sidelink on unlicensed spectrum</w:t>
      </w:r>
      <w:r w:rsidR="00F74A6F" w:rsidRPr="009537ED">
        <w:rPr>
          <w:lang w:eastAsia="x-none"/>
        </w:rPr>
        <w:tab/>
        <w:t>vivo</w:t>
      </w:r>
    </w:p>
    <w:p w14:paraId="0932339E" w14:textId="0DCE6CC6" w:rsidR="00F74A6F" w:rsidRPr="009537ED" w:rsidRDefault="005A18DC" w:rsidP="00F74A6F">
      <w:pPr>
        <w:rPr>
          <w:lang w:eastAsia="x-none"/>
        </w:rPr>
      </w:pPr>
      <w:hyperlink r:id="rId966" w:history="1">
        <w:r w:rsidR="00AF7253">
          <w:rPr>
            <w:rStyle w:val="Hyperlink"/>
            <w:lang w:eastAsia="x-none"/>
          </w:rPr>
          <w:t>R1-2311161</w:t>
        </w:r>
      </w:hyperlink>
      <w:r w:rsidR="00F74A6F" w:rsidRPr="009537ED">
        <w:rPr>
          <w:lang w:eastAsia="x-none"/>
        </w:rPr>
        <w:tab/>
        <w:t>Remaining issues on channel access mechanism for sidelink on unlicensed spectrum</w:t>
      </w:r>
      <w:r w:rsidR="00F74A6F" w:rsidRPr="009537ED">
        <w:rPr>
          <w:lang w:eastAsia="x-none"/>
        </w:rPr>
        <w:tab/>
        <w:t>Spreadtrum Communications</w:t>
      </w:r>
    </w:p>
    <w:p w14:paraId="65F2ED1E" w14:textId="1D17C1F2" w:rsidR="00F74A6F" w:rsidRPr="009537ED" w:rsidRDefault="005A18DC" w:rsidP="00F74A6F">
      <w:pPr>
        <w:rPr>
          <w:lang w:eastAsia="x-none"/>
        </w:rPr>
      </w:pPr>
      <w:hyperlink r:id="rId967" w:history="1">
        <w:r w:rsidR="00AF7253">
          <w:rPr>
            <w:rStyle w:val="Hyperlink"/>
            <w:lang w:eastAsia="x-none"/>
          </w:rPr>
          <w:t>R1-2311236</w:t>
        </w:r>
      </w:hyperlink>
      <w:r w:rsidR="00F74A6F" w:rsidRPr="009537ED">
        <w:rPr>
          <w:lang w:eastAsia="x-none"/>
        </w:rPr>
        <w:tab/>
        <w:t>On maintenance of SL-U channel access mechanism and resource allocation</w:t>
      </w:r>
      <w:r w:rsidR="00F74A6F" w:rsidRPr="009537ED">
        <w:rPr>
          <w:lang w:eastAsia="x-none"/>
        </w:rPr>
        <w:tab/>
        <w:t>OPPO</w:t>
      </w:r>
    </w:p>
    <w:p w14:paraId="337F84FF" w14:textId="5D2F2738" w:rsidR="00F74A6F" w:rsidRPr="009537ED" w:rsidRDefault="005A18DC" w:rsidP="00F74A6F">
      <w:pPr>
        <w:rPr>
          <w:lang w:eastAsia="x-none"/>
        </w:rPr>
      </w:pPr>
      <w:hyperlink r:id="rId968" w:history="1">
        <w:r w:rsidR="00AF7253">
          <w:rPr>
            <w:rStyle w:val="Hyperlink"/>
            <w:lang w:eastAsia="x-none"/>
          </w:rPr>
          <w:t>R1-2311336</w:t>
        </w:r>
      </w:hyperlink>
      <w:r w:rsidR="00F74A6F" w:rsidRPr="009537ED">
        <w:rPr>
          <w:lang w:eastAsia="x-none"/>
        </w:rPr>
        <w:tab/>
        <w:t>Maintenance on channel access mechanism for sidelink on unlicensed spectrum</w:t>
      </w:r>
      <w:r w:rsidR="00F74A6F" w:rsidRPr="009537ED">
        <w:rPr>
          <w:lang w:eastAsia="x-none"/>
        </w:rPr>
        <w:tab/>
        <w:t>CATT, CICTCI</w:t>
      </w:r>
    </w:p>
    <w:p w14:paraId="3E1DF018" w14:textId="7853C70C" w:rsidR="00F74A6F" w:rsidRPr="009537ED" w:rsidRDefault="005A18DC" w:rsidP="00F74A6F">
      <w:pPr>
        <w:rPr>
          <w:lang w:eastAsia="x-none"/>
        </w:rPr>
      </w:pPr>
      <w:hyperlink r:id="rId969" w:history="1">
        <w:r w:rsidR="00AF7253">
          <w:rPr>
            <w:rStyle w:val="Hyperlink"/>
            <w:lang w:eastAsia="x-none"/>
          </w:rPr>
          <w:t>R1-2311400</w:t>
        </w:r>
      </w:hyperlink>
      <w:r w:rsidR="00F74A6F" w:rsidRPr="009537ED">
        <w:rPr>
          <w:lang w:eastAsia="x-none"/>
        </w:rPr>
        <w:tab/>
        <w:t>Remaining details on SL-U channel access mechanism</w:t>
      </w:r>
      <w:r w:rsidR="00F74A6F" w:rsidRPr="009537ED">
        <w:rPr>
          <w:lang w:eastAsia="x-none"/>
        </w:rPr>
        <w:tab/>
        <w:t>xiaomi</w:t>
      </w:r>
    </w:p>
    <w:p w14:paraId="1D90B12C" w14:textId="14B5EF9D" w:rsidR="00F74A6F" w:rsidRPr="009537ED" w:rsidRDefault="005A18DC" w:rsidP="00F74A6F">
      <w:pPr>
        <w:rPr>
          <w:lang w:eastAsia="x-none"/>
        </w:rPr>
      </w:pPr>
      <w:hyperlink r:id="rId970" w:history="1">
        <w:r w:rsidR="00AF7253">
          <w:rPr>
            <w:rStyle w:val="Hyperlink"/>
            <w:lang w:eastAsia="x-none"/>
          </w:rPr>
          <w:t>R1-2311414</w:t>
        </w:r>
      </w:hyperlink>
      <w:r w:rsidR="00F74A6F" w:rsidRPr="009537ED">
        <w:rPr>
          <w:lang w:eastAsia="x-none"/>
        </w:rPr>
        <w:tab/>
        <w:t>Remaining Issues on Channel Access of Sidelink on Unlicensed Spectrum</w:t>
      </w:r>
      <w:r w:rsidR="00F74A6F" w:rsidRPr="009537ED">
        <w:rPr>
          <w:lang w:eastAsia="x-none"/>
        </w:rPr>
        <w:tab/>
        <w:t>NEC</w:t>
      </w:r>
    </w:p>
    <w:p w14:paraId="52E9A067" w14:textId="5BAFA37E" w:rsidR="00F74A6F" w:rsidRPr="009537ED" w:rsidRDefault="005A18DC" w:rsidP="00F74A6F">
      <w:pPr>
        <w:rPr>
          <w:lang w:eastAsia="x-none"/>
        </w:rPr>
      </w:pPr>
      <w:hyperlink r:id="rId971" w:history="1">
        <w:r w:rsidR="00AF7253">
          <w:rPr>
            <w:rStyle w:val="Hyperlink"/>
            <w:lang w:eastAsia="x-none"/>
          </w:rPr>
          <w:t>R1-2311515</w:t>
        </w:r>
      </w:hyperlink>
      <w:r w:rsidR="00F74A6F" w:rsidRPr="009537ED">
        <w:rPr>
          <w:lang w:eastAsia="x-none"/>
        </w:rPr>
        <w:tab/>
        <w:t>Discussion on channel access mechanism for SL-U</w:t>
      </w:r>
      <w:r w:rsidR="00F74A6F" w:rsidRPr="009537ED">
        <w:rPr>
          <w:lang w:eastAsia="x-none"/>
        </w:rPr>
        <w:tab/>
        <w:t>ZTE, Sanechips</w:t>
      </w:r>
    </w:p>
    <w:p w14:paraId="67BB6AD4" w14:textId="0FF119F2" w:rsidR="00F74A6F" w:rsidRPr="009537ED" w:rsidRDefault="005A18DC" w:rsidP="00F74A6F">
      <w:pPr>
        <w:rPr>
          <w:lang w:eastAsia="x-none"/>
        </w:rPr>
      </w:pPr>
      <w:hyperlink r:id="rId972" w:history="1">
        <w:r w:rsidR="00AF7253">
          <w:rPr>
            <w:rStyle w:val="Hyperlink"/>
            <w:lang w:eastAsia="x-none"/>
          </w:rPr>
          <w:t>R1-2311525</w:t>
        </w:r>
      </w:hyperlink>
      <w:r w:rsidR="00F74A6F" w:rsidRPr="009537ED">
        <w:rPr>
          <w:lang w:eastAsia="x-none"/>
        </w:rPr>
        <w:tab/>
        <w:t>Remaining issues on channel access mechanism for sidelink on unlicensed spectrum</w:t>
      </w:r>
      <w:r w:rsidR="00F74A6F" w:rsidRPr="009537ED">
        <w:rPr>
          <w:lang w:eastAsia="x-none"/>
        </w:rPr>
        <w:tab/>
        <w:t>Sony</w:t>
      </w:r>
    </w:p>
    <w:p w14:paraId="1BFE37EF" w14:textId="058BC9F5" w:rsidR="00F74A6F" w:rsidRPr="009537ED" w:rsidRDefault="005A18DC" w:rsidP="00F74A6F">
      <w:pPr>
        <w:rPr>
          <w:lang w:eastAsia="x-none"/>
        </w:rPr>
      </w:pPr>
      <w:hyperlink r:id="rId973" w:history="1">
        <w:r w:rsidR="00AF7253">
          <w:rPr>
            <w:rStyle w:val="Hyperlink"/>
            <w:lang w:eastAsia="x-none"/>
          </w:rPr>
          <w:t>R1-2311563</w:t>
        </w:r>
      </w:hyperlink>
      <w:r w:rsidR="00F74A6F" w:rsidRPr="009537ED">
        <w:rPr>
          <w:lang w:eastAsia="x-none"/>
        </w:rPr>
        <w:tab/>
        <w:t>Sidelink channel access on unlicensed spectrum</w:t>
      </w:r>
      <w:r w:rsidR="00F74A6F" w:rsidRPr="009537ED">
        <w:rPr>
          <w:lang w:eastAsia="x-none"/>
        </w:rPr>
        <w:tab/>
        <w:t>Panasonic</w:t>
      </w:r>
    </w:p>
    <w:p w14:paraId="02B49B67" w14:textId="1B01CC7B" w:rsidR="00F74A6F" w:rsidRPr="009537ED" w:rsidRDefault="005A18DC" w:rsidP="00F74A6F">
      <w:pPr>
        <w:rPr>
          <w:lang w:eastAsia="x-none"/>
        </w:rPr>
      </w:pPr>
      <w:hyperlink r:id="rId974" w:history="1">
        <w:r w:rsidR="00AF7253">
          <w:rPr>
            <w:rStyle w:val="Hyperlink"/>
            <w:lang w:eastAsia="x-none"/>
          </w:rPr>
          <w:t>R1-2311588</w:t>
        </w:r>
      </w:hyperlink>
      <w:r w:rsidR="00F74A6F" w:rsidRPr="009537ED">
        <w:rPr>
          <w:lang w:eastAsia="x-none"/>
        </w:rPr>
        <w:tab/>
        <w:t>Remaining issues on channel access mechanism for sidelink on unlicensed spectrum</w:t>
      </w:r>
      <w:r w:rsidR="00F74A6F" w:rsidRPr="009537ED">
        <w:rPr>
          <w:lang w:eastAsia="x-none"/>
        </w:rPr>
        <w:tab/>
        <w:t>Lenovo</w:t>
      </w:r>
    </w:p>
    <w:p w14:paraId="65BA6E25" w14:textId="5E7ACAD7" w:rsidR="00F74A6F" w:rsidRPr="009537ED" w:rsidRDefault="005A18DC" w:rsidP="00F74A6F">
      <w:pPr>
        <w:rPr>
          <w:lang w:eastAsia="x-none"/>
        </w:rPr>
      </w:pPr>
      <w:hyperlink r:id="rId975" w:history="1">
        <w:r w:rsidR="00AF7253">
          <w:rPr>
            <w:rStyle w:val="Hyperlink"/>
            <w:lang w:eastAsia="x-none"/>
          </w:rPr>
          <w:t>R1-2311619</w:t>
        </w:r>
      </w:hyperlink>
      <w:r w:rsidR="00F74A6F" w:rsidRPr="009537ED">
        <w:rPr>
          <w:lang w:eastAsia="x-none"/>
        </w:rPr>
        <w:tab/>
        <w:t>Remaining issues on channel access mechanism in SL-U</w:t>
      </w:r>
      <w:r w:rsidR="00F74A6F" w:rsidRPr="009537ED">
        <w:rPr>
          <w:lang w:eastAsia="x-none"/>
        </w:rPr>
        <w:tab/>
        <w:t>NTT DOCOMO, INC.</w:t>
      </w:r>
    </w:p>
    <w:p w14:paraId="3C207655" w14:textId="7380EFD3" w:rsidR="00F74A6F" w:rsidRPr="009537ED" w:rsidRDefault="005A18DC" w:rsidP="00F74A6F">
      <w:pPr>
        <w:rPr>
          <w:lang w:eastAsia="x-none"/>
        </w:rPr>
      </w:pPr>
      <w:hyperlink r:id="rId976" w:history="1">
        <w:r w:rsidR="00AF7253">
          <w:rPr>
            <w:rStyle w:val="Hyperlink"/>
            <w:lang w:eastAsia="x-none"/>
          </w:rPr>
          <w:t>R1-2311679</w:t>
        </w:r>
      </w:hyperlink>
      <w:r w:rsidR="00F74A6F" w:rsidRPr="009537ED">
        <w:rPr>
          <w:lang w:eastAsia="x-none"/>
        </w:rPr>
        <w:tab/>
        <w:t>On remaining issue for sidelink channal access for unlicensed spectrum</w:t>
      </w:r>
      <w:r w:rsidR="00F74A6F" w:rsidRPr="009537ED">
        <w:rPr>
          <w:lang w:eastAsia="x-none"/>
        </w:rPr>
        <w:tab/>
        <w:t>Apple</w:t>
      </w:r>
    </w:p>
    <w:p w14:paraId="44687325" w14:textId="17BE1C78" w:rsidR="00F74A6F" w:rsidRPr="009537ED" w:rsidRDefault="005A18DC" w:rsidP="00F74A6F">
      <w:pPr>
        <w:rPr>
          <w:lang w:eastAsia="x-none"/>
        </w:rPr>
      </w:pPr>
      <w:hyperlink r:id="rId977" w:history="1">
        <w:r w:rsidR="00AF7253">
          <w:rPr>
            <w:rStyle w:val="Hyperlink"/>
            <w:lang w:eastAsia="x-none"/>
          </w:rPr>
          <w:t>R1-2311751</w:t>
        </w:r>
      </w:hyperlink>
      <w:r w:rsidR="00F74A6F" w:rsidRPr="009537ED">
        <w:rPr>
          <w:lang w:eastAsia="x-none"/>
        </w:rPr>
        <w:tab/>
        <w:t>Remaining issues on channel access mechanism for sidelink on unlicensed spectrum</w:t>
      </w:r>
      <w:r w:rsidR="00F74A6F" w:rsidRPr="009537ED">
        <w:rPr>
          <w:lang w:eastAsia="x-none"/>
        </w:rPr>
        <w:tab/>
        <w:t>ETRI</w:t>
      </w:r>
    </w:p>
    <w:p w14:paraId="76162B3A" w14:textId="38C216C9" w:rsidR="00F74A6F" w:rsidRPr="009537ED" w:rsidRDefault="005A18DC" w:rsidP="00F74A6F">
      <w:pPr>
        <w:rPr>
          <w:lang w:eastAsia="x-none"/>
        </w:rPr>
      </w:pPr>
      <w:hyperlink r:id="rId978" w:history="1">
        <w:r w:rsidR="00AF7253">
          <w:rPr>
            <w:rStyle w:val="Hyperlink"/>
            <w:lang w:eastAsia="x-none"/>
          </w:rPr>
          <w:t>R1-2311766</w:t>
        </w:r>
      </w:hyperlink>
      <w:r w:rsidR="00F74A6F" w:rsidRPr="009537ED">
        <w:rPr>
          <w:lang w:eastAsia="x-none"/>
        </w:rPr>
        <w:tab/>
        <w:t>Remaining issues on Channel access mechanism for NR sidelink evolution</w:t>
      </w:r>
      <w:r w:rsidR="00F74A6F" w:rsidRPr="009537ED">
        <w:rPr>
          <w:lang w:eastAsia="x-none"/>
        </w:rPr>
        <w:tab/>
        <w:t>Sharp</w:t>
      </w:r>
    </w:p>
    <w:p w14:paraId="4B8559A3" w14:textId="767F69D4" w:rsidR="00F74A6F" w:rsidRPr="009537ED" w:rsidRDefault="005A18DC" w:rsidP="00F74A6F">
      <w:pPr>
        <w:rPr>
          <w:lang w:eastAsia="x-none"/>
        </w:rPr>
      </w:pPr>
      <w:hyperlink r:id="rId979" w:history="1">
        <w:r w:rsidR="00AF7253">
          <w:rPr>
            <w:rStyle w:val="Hyperlink"/>
            <w:lang w:eastAsia="x-none"/>
          </w:rPr>
          <w:t>R1-2311795</w:t>
        </w:r>
      </w:hyperlink>
      <w:r w:rsidR="00F74A6F" w:rsidRPr="009537ED">
        <w:rPr>
          <w:lang w:eastAsia="x-none"/>
        </w:rPr>
        <w:tab/>
        <w:t>Remaining issues of channel access mechanism for sidelink in unlicensed spectrum</w:t>
      </w:r>
      <w:r w:rsidR="00F74A6F" w:rsidRPr="009537ED">
        <w:rPr>
          <w:lang w:eastAsia="x-none"/>
        </w:rPr>
        <w:tab/>
        <w:t>Transsion Holdings</w:t>
      </w:r>
    </w:p>
    <w:p w14:paraId="55CCAEEF" w14:textId="789F692E" w:rsidR="00F74A6F" w:rsidRPr="009537ED" w:rsidRDefault="005A18DC" w:rsidP="00F74A6F">
      <w:pPr>
        <w:rPr>
          <w:lang w:eastAsia="x-none"/>
        </w:rPr>
      </w:pPr>
      <w:hyperlink r:id="rId980" w:history="1">
        <w:r w:rsidR="00AF7253">
          <w:rPr>
            <w:rStyle w:val="Hyperlink"/>
            <w:lang w:eastAsia="x-none"/>
          </w:rPr>
          <w:t>R1-2311837</w:t>
        </w:r>
      </w:hyperlink>
      <w:r w:rsidR="00F74A6F" w:rsidRPr="009537ED">
        <w:rPr>
          <w:lang w:eastAsia="x-none"/>
        </w:rPr>
        <w:tab/>
        <w:t>Remaining issues on channel access mechanism</w:t>
      </w:r>
      <w:r w:rsidR="00F74A6F" w:rsidRPr="009537ED">
        <w:rPr>
          <w:lang w:eastAsia="x-none"/>
        </w:rPr>
        <w:tab/>
        <w:t>Samsung</w:t>
      </w:r>
    </w:p>
    <w:p w14:paraId="285FF62B" w14:textId="5A89E612" w:rsidR="00F74A6F" w:rsidRPr="009537ED" w:rsidRDefault="005A18DC" w:rsidP="00F74A6F">
      <w:pPr>
        <w:rPr>
          <w:lang w:eastAsia="x-none"/>
        </w:rPr>
      </w:pPr>
      <w:hyperlink r:id="rId981" w:history="1">
        <w:r w:rsidR="00AF7253">
          <w:rPr>
            <w:rStyle w:val="Hyperlink"/>
            <w:lang w:eastAsia="x-none"/>
          </w:rPr>
          <w:t>R1-2311884</w:t>
        </w:r>
      </w:hyperlink>
      <w:r w:rsidR="00F74A6F" w:rsidRPr="009537ED">
        <w:rPr>
          <w:lang w:eastAsia="x-none"/>
        </w:rPr>
        <w:tab/>
        <w:t>Remaining issues for channel access on SL-U</w:t>
      </w:r>
      <w:r w:rsidR="00F74A6F" w:rsidRPr="009537ED">
        <w:rPr>
          <w:lang w:eastAsia="x-none"/>
        </w:rPr>
        <w:tab/>
        <w:t>InterDigital, Inc.</w:t>
      </w:r>
    </w:p>
    <w:p w14:paraId="0473A651" w14:textId="2230453D" w:rsidR="00F74A6F" w:rsidRPr="009537ED" w:rsidRDefault="005A18DC" w:rsidP="00F74A6F">
      <w:pPr>
        <w:rPr>
          <w:lang w:eastAsia="x-none"/>
        </w:rPr>
      </w:pPr>
      <w:hyperlink r:id="rId982" w:history="1">
        <w:r w:rsidR="00AF7253">
          <w:rPr>
            <w:rStyle w:val="Hyperlink"/>
            <w:lang w:eastAsia="x-none"/>
          </w:rPr>
          <w:t>R1-2311975</w:t>
        </w:r>
      </w:hyperlink>
      <w:r w:rsidR="00F74A6F" w:rsidRPr="009537ED">
        <w:rPr>
          <w:lang w:eastAsia="x-none"/>
        </w:rPr>
        <w:tab/>
        <w:t>Discussion on remaining issue for channel access mechanism</w:t>
      </w:r>
      <w:r w:rsidR="00F74A6F" w:rsidRPr="009537ED">
        <w:rPr>
          <w:lang w:eastAsia="x-none"/>
        </w:rPr>
        <w:tab/>
        <w:t>MediaTek Inc.</w:t>
      </w:r>
    </w:p>
    <w:p w14:paraId="63C02AF8" w14:textId="77A54792" w:rsidR="00F74A6F" w:rsidRPr="009537ED" w:rsidRDefault="005A18DC" w:rsidP="00F74A6F">
      <w:pPr>
        <w:rPr>
          <w:lang w:eastAsia="x-none"/>
        </w:rPr>
      </w:pPr>
      <w:hyperlink r:id="rId983" w:history="1">
        <w:r w:rsidR="00AF7253">
          <w:rPr>
            <w:rStyle w:val="Hyperlink"/>
            <w:lang w:eastAsia="x-none"/>
          </w:rPr>
          <w:t>R1-2312031</w:t>
        </w:r>
      </w:hyperlink>
      <w:r w:rsidR="00F74A6F" w:rsidRPr="009537ED">
        <w:rPr>
          <w:lang w:eastAsia="x-none"/>
        </w:rPr>
        <w:tab/>
        <w:t>Channel Access Mechanism for Sidelink on Unlicensed Spectrum</w:t>
      </w:r>
      <w:r w:rsidR="00F74A6F" w:rsidRPr="009537ED">
        <w:rPr>
          <w:lang w:eastAsia="x-none"/>
        </w:rPr>
        <w:tab/>
        <w:t>Qualcomm Incorporated</w:t>
      </w:r>
    </w:p>
    <w:p w14:paraId="5E3D591D" w14:textId="5C5FA07C" w:rsidR="00F74A6F" w:rsidRPr="009537ED" w:rsidRDefault="005A18DC" w:rsidP="00F74A6F">
      <w:pPr>
        <w:rPr>
          <w:lang w:eastAsia="x-none"/>
        </w:rPr>
      </w:pPr>
      <w:hyperlink r:id="rId984" w:history="1">
        <w:r w:rsidR="00AF7253">
          <w:rPr>
            <w:rStyle w:val="Hyperlink"/>
            <w:lang w:eastAsia="x-none"/>
          </w:rPr>
          <w:t>R1-2312121</w:t>
        </w:r>
      </w:hyperlink>
      <w:r w:rsidR="00F74A6F" w:rsidRPr="009537ED">
        <w:rPr>
          <w:lang w:eastAsia="x-none"/>
        </w:rPr>
        <w:tab/>
        <w:t>Remaining issues on channel access mechanism for sidelink on unlicensed spectrum</w:t>
      </w:r>
      <w:r w:rsidR="00F74A6F" w:rsidRPr="009537ED">
        <w:rPr>
          <w:lang w:eastAsia="x-none"/>
        </w:rPr>
        <w:tab/>
        <w:t>LG Electronics</w:t>
      </w:r>
    </w:p>
    <w:p w14:paraId="72909263" w14:textId="014342B2" w:rsidR="00F74A6F" w:rsidRPr="009537ED" w:rsidRDefault="005A18DC" w:rsidP="00F74A6F">
      <w:pPr>
        <w:rPr>
          <w:lang w:eastAsia="x-none"/>
        </w:rPr>
      </w:pPr>
      <w:hyperlink r:id="rId985" w:history="1">
        <w:r w:rsidR="00AF7253">
          <w:rPr>
            <w:rStyle w:val="Hyperlink"/>
            <w:lang w:eastAsia="x-none"/>
          </w:rPr>
          <w:t>R1-2312171</w:t>
        </w:r>
      </w:hyperlink>
      <w:r w:rsidR="00F74A6F" w:rsidRPr="009537ED">
        <w:rPr>
          <w:lang w:eastAsia="x-none"/>
        </w:rPr>
        <w:tab/>
        <w:t>Remaining issues on channel access mechanism for SL-U</w:t>
      </w:r>
      <w:r w:rsidR="00F74A6F" w:rsidRPr="009537ED">
        <w:rPr>
          <w:lang w:eastAsia="x-none"/>
        </w:rPr>
        <w:tab/>
        <w:t>WILUS Inc.</w:t>
      </w:r>
    </w:p>
    <w:p w14:paraId="6ABE3C0B" w14:textId="77777777" w:rsidR="00356168" w:rsidRPr="009537ED" w:rsidRDefault="00356168" w:rsidP="00F74A6F">
      <w:pPr>
        <w:rPr>
          <w:lang w:eastAsia="x-none"/>
        </w:rPr>
      </w:pPr>
    </w:p>
    <w:p w14:paraId="2F4CCC8A" w14:textId="009E021A" w:rsidR="00F74A6F" w:rsidRPr="009537ED" w:rsidRDefault="005A18DC" w:rsidP="00F74A6F">
      <w:pPr>
        <w:rPr>
          <w:b/>
          <w:bCs/>
          <w:lang w:eastAsia="x-none"/>
        </w:rPr>
      </w:pPr>
      <w:hyperlink r:id="rId986" w:history="1">
        <w:r w:rsidR="00AF7253">
          <w:rPr>
            <w:rStyle w:val="Hyperlink"/>
            <w:b/>
            <w:bCs/>
            <w:lang w:eastAsia="x-none"/>
          </w:rPr>
          <w:t>R1-2312248</w:t>
        </w:r>
      </w:hyperlink>
      <w:r w:rsidR="00F74A6F" w:rsidRPr="009537ED">
        <w:rPr>
          <w:b/>
          <w:bCs/>
          <w:lang w:eastAsia="x-none"/>
        </w:rPr>
        <w:tab/>
        <w:t>FL summary #1 for AI 8.2.1.1: SL-U channel access mechanism</w:t>
      </w:r>
      <w:r w:rsidR="00F74A6F" w:rsidRPr="009537ED">
        <w:rPr>
          <w:b/>
          <w:bCs/>
          <w:lang w:eastAsia="x-none"/>
        </w:rPr>
        <w:tab/>
        <w:t>Moderator (OPPO)</w:t>
      </w:r>
    </w:p>
    <w:p w14:paraId="21E1DE22" w14:textId="362BF7CB" w:rsidR="00356168" w:rsidRPr="009537ED" w:rsidRDefault="00356168" w:rsidP="00F74A6F">
      <w:pPr>
        <w:rPr>
          <w:lang w:eastAsia="x-none"/>
        </w:rPr>
      </w:pPr>
      <w:r w:rsidRPr="009537ED">
        <w:rPr>
          <w:lang w:eastAsia="x-none"/>
        </w:rPr>
        <w:t>From Monday session</w:t>
      </w:r>
    </w:p>
    <w:p w14:paraId="7C62518E" w14:textId="77777777" w:rsidR="00067626" w:rsidRPr="009537ED" w:rsidRDefault="00067626" w:rsidP="00067626">
      <w:r w:rsidRPr="009537ED">
        <w:rPr>
          <w:highlight w:val="green"/>
        </w:rPr>
        <w:t>Agreement</w:t>
      </w:r>
    </w:p>
    <w:p w14:paraId="62DFBA2E" w14:textId="787164AC" w:rsidR="00067626" w:rsidRPr="009537ED" w:rsidRDefault="00067626" w:rsidP="00067626">
      <w:r w:rsidRPr="009537ED">
        <w:rPr>
          <w:szCs w:val="22"/>
        </w:rPr>
        <w:t xml:space="preserve">Introduce the following new RRC parameter for the agreement on </w:t>
      </w:r>
      <m:oMath>
        <m:r>
          <w:rPr>
            <w:rFonts w:ascii="Cambria Math" w:eastAsia="+mn-ea" w:hAnsi="Cambria Math"/>
            <w:kern w:val="24"/>
            <w:szCs w:val="22"/>
          </w:rPr>
          <m:t>C</m:t>
        </m:r>
        <m:sSub>
          <m:sSubPr>
            <m:ctrlPr>
              <w:rPr>
                <w:rFonts w:ascii="Cambria Math" w:eastAsia="+mn-ea" w:hAnsi="Cambria Math"/>
                <w:i/>
                <w:iCs/>
                <w:kern w:val="24"/>
                <w:szCs w:val="22"/>
              </w:rPr>
            </m:ctrlPr>
          </m:sSubPr>
          <m:e>
            <m:r>
              <w:rPr>
                <w:rFonts w:ascii="Cambria Math" w:eastAsia="+mn-ea" w:hAnsi="Cambria Math"/>
                <w:kern w:val="24"/>
                <w:szCs w:val="22"/>
              </w:rPr>
              <m:t>W</m:t>
            </m:r>
          </m:e>
          <m:sub>
            <m:r>
              <w:rPr>
                <w:rFonts w:ascii="Cambria Math" w:eastAsia="+mn-ea" w:hAnsi="Cambria Math"/>
                <w:kern w:val="24"/>
                <w:szCs w:val="22"/>
              </w:rPr>
              <m:t>p</m:t>
            </m:r>
          </m:sub>
        </m:sSub>
      </m:oMath>
      <w:r w:rsidRPr="009537ED">
        <w:rPr>
          <w:iCs/>
          <w:kern w:val="24"/>
          <w:szCs w:val="22"/>
        </w:rPr>
        <w:t xml:space="preserve"> </w:t>
      </w:r>
      <w:r w:rsidRPr="009537ED">
        <w:rPr>
          <w:szCs w:val="22"/>
        </w:rPr>
        <w:t xml:space="preserve">autonomous update to the next higher allowed value when the same </w:t>
      </w:r>
      <m:oMath>
        <m:r>
          <w:rPr>
            <w:rFonts w:ascii="Cambria Math" w:eastAsia="+mn-ea" w:hAnsi="Cambria Math"/>
            <w:kern w:val="24"/>
            <w:szCs w:val="22"/>
          </w:rPr>
          <m:t>C</m:t>
        </m:r>
        <m:sSub>
          <m:sSubPr>
            <m:ctrlPr>
              <w:rPr>
                <w:rFonts w:ascii="Cambria Math" w:eastAsia="+mn-ea" w:hAnsi="Cambria Math"/>
                <w:i/>
                <w:iCs/>
                <w:kern w:val="24"/>
                <w:szCs w:val="22"/>
              </w:rPr>
            </m:ctrlPr>
          </m:sSubPr>
          <m:e>
            <m:r>
              <w:rPr>
                <w:rFonts w:ascii="Cambria Math" w:eastAsia="+mn-ea" w:hAnsi="Cambria Math"/>
                <w:kern w:val="24"/>
                <w:szCs w:val="22"/>
              </w:rPr>
              <m:t>W</m:t>
            </m:r>
          </m:e>
          <m:sub>
            <m:r>
              <w:rPr>
                <w:rFonts w:ascii="Cambria Math" w:eastAsia="+mn-ea" w:hAnsi="Cambria Math"/>
                <w:kern w:val="24"/>
                <w:szCs w:val="22"/>
              </w:rPr>
              <m:t>p</m:t>
            </m:r>
          </m:sub>
        </m:sSub>
        <m:r>
          <w:rPr>
            <w:rFonts w:ascii="Cambria Math" w:eastAsia="+mn-ea" w:hAnsi="Cambria Math"/>
            <w:kern w:val="24"/>
            <w:szCs w:val="22"/>
          </w:rPr>
          <m:t>≠C</m:t>
        </m:r>
        <m:sSub>
          <m:sSubPr>
            <m:ctrlPr>
              <w:rPr>
                <w:rFonts w:ascii="Cambria Math" w:eastAsia="+mn-ea" w:hAnsi="Cambria Math"/>
                <w:i/>
                <w:iCs/>
                <w:kern w:val="24"/>
                <w:szCs w:val="22"/>
              </w:rPr>
            </m:ctrlPr>
          </m:sSubPr>
          <m:e>
            <m:r>
              <w:rPr>
                <w:rFonts w:ascii="Cambria Math" w:eastAsia="+mn-ea" w:hAnsi="Cambria Math"/>
                <w:kern w:val="24"/>
                <w:szCs w:val="22"/>
              </w:rPr>
              <m:t>W</m:t>
            </m:r>
          </m:e>
          <m:sub>
            <m:r>
              <w:rPr>
                <w:rFonts w:ascii="Cambria Math" w:eastAsia="+mn-ea" w:hAnsi="Cambria Math"/>
                <w:kern w:val="24"/>
                <w:szCs w:val="22"/>
              </w:rPr>
              <m:t>max,p</m:t>
            </m:r>
          </m:sub>
        </m:sSub>
      </m:oMath>
      <w:r w:rsidRPr="009537ED">
        <w:rPr>
          <w:szCs w:val="22"/>
          <w:lang w:eastAsia="ko-KR"/>
        </w:rPr>
        <w:t xml:space="preserve"> value is consecutively used for X times for generation of </w:t>
      </w:r>
      <m:oMath>
        <m:sSub>
          <m:sSubPr>
            <m:ctrlPr>
              <w:rPr>
                <w:rFonts w:ascii="Cambria Math" w:eastAsia="+mn-ea" w:hAnsi="Cambria Math"/>
                <w:i/>
                <w:iCs/>
                <w:kern w:val="24"/>
                <w:szCs w:val="22"/>
              </w:rPr>
            </m:ctrlPr>
          </m:sSubPr>
          <m:e>
            <m:r>
              <w:rPr>
                <w:rFonts w:ascii="Cambria Math" w:eastAsia="+mn-ea" w:hAnsi="Cambria Math"/>
                <w:kern w:val="24"/>
                <w:szCs w:val="22"/>
              </w:rPr>
              <m:t>N</m:t>
            </m:r>
          </m:e>
          <m:sub>
            <m:r>
              <w:rPr>
                <w:rFonts w:ascii="Cambria Math" w:eastAsia="+mn-ea" w:hAnsi="Cambria Math"/>
                <w:kern w:val="24"/>
                <w:szCs w:val="22"/>
              </w:rPr>
              <m:t>init</m:t>
            </m:r>
          </m:sub>
        </m:sSub>
      </m:oMath>
      <w:r w:rsidRPr="009537ED">
        <w:rPr>
          <w:szCs w:val="22"/>
          <w:lang w:eastAsia="ko-KR"/>
        </w:rPr>
        <w:t>.</w:t>
      </w:r>
    </w:p>
    <w:tbl>
      <w:tblPr>
        <w:tblW w:w="5000" w:type="pct"/>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2727"/>
        <w:gridCol w:w="4603"/>
        <w:gridCol w:w="1034"/>
        <w:gridCol w:w="831"/>
        <w:gridCol w:w="650"/>
        <w:gridCol w:w="838"/>
      </w:tblGrid>
      <w:tr w:rsidR="00067626" w:rsidRPr="009537ED" w14:paraId="58DE0ACC" w14:textId="77777777" w:rsidTr="00067626">
        <w:trPr>
          <w:trHeight w:val="893"/>
        </w:trPr>
        <w:tc>
          <w:tcPr>
            <w:tcW w:w="1276" w:type="pct"/>
            <w:shd w:val="clear" w:color="auto" w:fill="00B0F0"/>
            <w:vAlign w:val="center"/>
          </w:tcPr>
          <w:p w14:paraId="3BF671D2" w14:textId="77777777" w:rsidR="00067626" w:rsidRPr="009537ED" w:rsidRDefault="00067626" w:rsidP="00067626">
            <w:pPr>
              <w:autoSpaceDE w:val="0"/>
              <w:autoSpaceDN w:val="0"/>
              <w:jc w:val="center"/>
              <w:rPr>
                <w:rFonts w:ascii="Arial" w:hAnsi="Arial" w:cs="Arial"/>
                <w:b/>
                <w:bCs/>
                <w:color w:val="FFFFFF"/>
                <w:sz w:val="16"/>
                <w:szCs w:val="16"/>
              </w:rPr>
            </w:pPr>
            <w:r w:rsidRPr="009537ED">
              <w:rPr>
                <w:rFonts w:ascii="Arial" w:hAnsi="Arial" w:cs="Arial"/>
                <w:b/>
                <w:bCs/>
                <w:color w:val="FFFFFF"/>
                <w:sz w:val="16"/>
                <w:szCs w:val="16"/>
              </w:rPr>
              <w:t>Param Name</w:t>
            </w:r>
          </w:p>
        </w:tc>
        <w:tc>
          <w:tcPr>
            <w:tcW w:w="2154" w:type="pct"/>
            <w:shd w:val="clear" w:color="auto" w:fill="00B0F0"/>
            <w:vAlign w:val="center"/>
          </w:tcPr>
          <w:p w14:paraId="78794978" w14:textId="77777777" w:rsidR="00067626" w:rsidRPr="009537ED" w:rsidRDefault="00067626" w:rsidP="00067626">
            <w:pPr>
              <w:autoSpaceDE w:val="0"/>
              <w:autoSpaceDN w:val="0"/>
              <w:jc w:val="center"/>
              <w:rPr>
                <w:rFonts w:ascii="Arial" w:hAnsi="Arial" w:cs="Arial"/>
                <w:b/>
                <w:bCs/>
                <w:color w:val="FFFFFF"/>
                <w:sz w:val="16"/>
                <w:szCs w:val="16"/>
              </w:rPr>
            </w:pPr>
            <w:r w:rsidRPr="009537ED">
              <w:rPr>
                <w:rFonts w:ascii="Arial" w:hAnsi="Arial" w:cs="Arial"/>
                <w:b/>
                <w:bCs/>
                <w:color w:val="FFFFFF"/>
                <w:sz w:val="16"/>
                <w:szCs w:val="16"/>
              </w:rPr>
              <w:t>Description</w:t>
            </w:r>
          </w:p>
        </w:tc>
        <w:tc>
          <w:tcPr>
            <w:tcW w:w="484" w:type="pct"/>
            <w:shd w:val="clear" w:color="auto" w:fill="00B0F0"/>
            <w:vAlign w:val="center"/>
          </w:tcPr>
          <w:p w14:paraId="60048C09" w14:textId="77777777" w:rsidR="00067626" w:rsidRPr="009537ED" w:rsidRDefault="00067626" w:rsidP="00067626">
            <w:pPr>
              <w:autoSpaceDE w:val="0"/>
              <w:autoSpaceDN w:val="0"/>
              <w:jc w:val="center"/>
              <w:rPr>
                <w:rFonts w:ascii="Arial" w:hAnsi="Arial" w:cs="Arial"/>
                <w:b/>
                <w:bCs/>
                <w:color w:val="FFFFFF"/>
                <w:sz w:val="16"/>
                <w:szCs w:val="16"/>
              </w:rPr>
            </w:pPr>
            <w:r w:rsidRPr="009537ED">
              <w:rPr>
                <w:rFonts w:ascii="Arial" w:hAnsi="Arial" w:cs="Arial"/>
                <w:b/>
                <w:bCs/>
                <w:color w:val="FFFFFF"/>
                <w:sz w:val="16"/>
                <w:szCs w:val="16"/>
              </w:rPr>
              <w:t>Value range</w:t>
            </w:r>
          </w:p>
        </w:tc>
        <w:tc>
          <w:tcPr>
            <w:tcW w:w="389" w:type="pct"/>
            <w:shd w:val="clear" w:color="auto" w:fill="00B0F0"/>
            <w:vAlign w:val="center"/>
          </w:tcPr>
          <w:p w14:paraId="297D1075" w14:textId="77777777" w:rsidR="00067626" w:rsidRPr="009537ED" w:rsidRDefault="00067626" w:rsidP="00067626">
            <w:pPr>
              <w:autoSpaceDE w:val="0"/>
              <w:autoSpaceDN w:val="0"/>
              <w:jc w:val="center"/>
              <w:rPr>
                <w:rFonts w:ascii="Arial" w:hAnsi="Arial" w:cs="Arial"/>
                <w:b/>
                <w:bCs/>
                <w:color w:val="FFFFFF"/>
                <w:sz w:val="16"/>
                <w:szCs w:val="16"/>
              </w:rPr>
            </w:pPr>
            <w:r w:rsidRPr="009537ED">
              <w:rPr>
                <w:rFonts w:ascii="Arial" w:hAnsi="Arial" w:cs="Arial"/>
                <w:b/>
                <w:bCs/>
                <w:color w:val="FFFFFF"/>
                <w:sz w:val="16"/>
                <w:szCs w:val="16"/>
              </w:rPr>
              <w:t>Default value aspect</w:t>
            </w:r>
          </w:p>
        </w:tc>
        <w:tc>
          <w:tcPr>
            <w:tcW w:w="304" w:type="pct"/>
            <w:shd w:val="clear" w:color="auto" w:fill="00B0F0"/>
            <w:vAlign w:val="center"/>
          </w:tcPr>
          <w:p w14:paraId="3DED3484" w14:textId="77777777" w:rsidR="00067626" w:rsidRPr="009537ED" w:rsidRDefault="00067626" w:rsidP="00067626">
            <w:pPr>
              <w:autoSpaceDE w:val="0"/>
              <w:autoSpaceDN w:val="0"/>
              <w:jc w:val="center"/>
              <w:rPr>
                <w:rFonts w:ascii="Arial" w:hAnsi="Arial" w:cs="Arial"/>
                <w:b/>
                <w:bCs/>
                <w:color w:val="FFFFFF"/>
                <w:sz w:val="16"/>
                <w:szCs w:val="16"/>
              </w:rPr>
            </w:pPr>
            <w:r w:rsidRPr="009537ED">
              <w:rPr>
                <w:rFonts w:ascii="Arial" w:hAnsi="Arial" w:cs="Arial"/>
                <w:b/>
                <w:bCs/>
                <w:color w:val="FFFFFF"/>
                <w:sz w:val="16"/>
                <w:szCs w:val="16"/>
              </w:rPr>
              <w:t>Per (UE, cell, TRP, …)</w:t>
            </w:r>
          </w:p>
        </w:tc>
        <w:tc>
          <w:tcPr>
            <w:tcW w:w="392" w:type="pct"/>
            <w:shd w:val="clear" w:color="auto" w:fill="00B0F0"/>
            <w:vAlign w:val="center"/>
          </w:tcPr>
          <w:p w14:paraId="500487E4" w14:textId="77777777" w:rsidR="00067626" w:rsidRPr="009537ED" w:rsidRDefault="00067626" w:rsidP="00067626">
            <w:pPr>
              <w:autoSpaceDE w:val="0"/>
              <w:autoSpaceDN w:val="0"/>
              <w:jc w:val="center"/>
              <w:rPr>
                <w:rFonts w:ascii="Arial" w:hAnsi="Arial" w:cs="Arial"/>
                <w:b/>
                <w:bCs/>
                <w:color w:val="FFFFFF"/>
                <w:sz w:val="16"/>
                <w:szCs w:val="16"/>
              </w:rPr>
            </w:pPr>
            <w:r w:rsidRPr="009537ED">
              <w:rPr>
                <w:rFonts w:ascii="Arial" w:hAnsi="Arial" w:cs="Arial"/>
                <w:b/>
                <w:bCs/>
                <w:color w:val="FFFFFF"/>
                <w:sz w:val="16"/>
                <w:szCs w:val="16"/>
              </w:rPr>
              <w:t>UE-specific or cell-specific</w:t>
            </w:r>
          </w:p>
        </w:tc>
      </w:tr>
      <w:tr w:rsidR="00067626" w:rsidRPr="009537ED" w14:paraId="5482536E" w14:textId="77777777" w:rsidTr="00067626">
        <w:tc>
          <w:tcPr>
            <w:tcW w:w="1276" w:type="pct"/>
            <w:shd w:val="clear" w:color="auto" w:fill="auto"/>
          </w:tcPr>
          <w:p w14:paraId="59510D33" w14:textId="77777777" w:rsidR="00067626" w:rsidRPr="009537ED" w:rsidRDefault="00067626" w:rsidP="00067626">
            <w:pPr>
              <w:autoSpaceDE w:val="0"/>
              <w:autoSpaceDN w:val="0"/>
              <w:rPr>
                <w:rFonts w:ascii="Arial" w:hAnsi="Arial" w:cs="Arial"/>
                <w:color w:val="000000"/>
                <w:sz w:val="16"/>
                <w:szCs w:val="16"/>
              </w:rPr>
            </w:pPr>
            <w:ins w:id="244" w:author="Kevin Lin" w:date="2023-11-10T22:20:00Z">
              <w:r w:rsidRPr="009537ED">
                <w:rPr>
                  <w:rFonts w:ascii="Arial" w:hAnsi="Arial" w:cs="Arial"/>
                  <w:color w:val="000000"/>
                  <w:sz w:val="16"/>
                  <w:szCs w:val="16"/>
                </w:rPr>
                <w:t>CWSforPsschWithoutHarqAck</w:t>
              </w:r>
            </w:ins>
          </w:p>
        </w:tc>
        <w:tc>
          <w:tcPr>
            <w:tcW w:w="2154" w:type="pct"/>
            <w:shd w:val="clear" w:color="auto" w:fill="auto"/>
          </w:tcPr>
          <w:p w14:paraId="1574363F" w14:textId="77777777" w:rsidR="00067626" w:rsidRPr="009537ED" w:rsidRDefault="00067626" w:rsidP="00067626">
            <w:pPr>
              <w:autoSpaceDE w:val="0"/>
              <w:autoSpaceDN w:val="0"/>
              <w:rPr>
                <w:rFonts w:ascii="Arial" w:hAnsi="Arial" w:cs="Arial"/>
                <w:color w:val="000000"/>
                <w:sz w:val="16"/>
                <w:szCs w:val="16"/>
              </w:rPr>
            </w:pPr>
            <w:ins w:id="245" w:author="Kevin Lin" w:date="2023-11-10T22:21:00Z">
              <w:del w:id="246" w:author="Kevin Lin2" w:date="2023-11-13T15:25:00Z">
                <w:r w:rsidRPr="009537ED" w:rsidDel="00D003A5">
                  <w:rPr>
                    <w:rFonts w:ascii="Arial" w:hAnsi="Arial" w:cs="Arial"/>
                    <w:color w:val="000000"/>
                    <w:sz w:val="16"/>
                    <w:szCs w:val="16"/>
                  </w:rPr>
                  <w:delText>When configured, t</w:delText>
                </w:r>
              </w:del>
            </w:ins>
            <w:ins w:id="247" w:author="Kevin Lin2" w:date="2023-11-13T15:25:00Z">
              <w:r w:rsidRPr="009537ED">
                <w:rPr>
                  <w:rFonts w:ascii="Arial" w:hAnsi="Arial" w:cs="Arial"/>
                  <w:color w:val="000000"/>
                  <w:sz w:val="16"/>
                  <w:szCs w:val="16"/>
                </w:rPr>
                <w:t>T</w:t>
              </w:r>
            </w:ins>
            <w:ins w:id="248" w:author="Kevin Lin" w:date="2023-11-10T22:21:00Z">
              <w:r w:rsidRPr="009537ED">
                <w:rPr>
                  <w:rFonts w:ascii="Arial" w:hAnsi="Arial" w:cs="Arial"/>
                  <w:color w:val="000000"/>
                  <w:sz w:val="16"/>
                  <w:szCs w:val="16"/>
                </w:rPr>
                <w:t>he latest CW_p is autonomously increased to the next higher allowed value for every priority class p</w:t>
              </w:r>
              <w:r w:rsidRPr="009537ED">
                <w:rPr>
                  <w:rFonts w:ascii="Cambria Math" w:hAnsi="Cambria Math" w:cs="Cambria Math"/>
                  <w:color w:val="000000"/>
                  <w:sz w:val="16"/>
                  <w:szCs w:val="16"/>
                </w:rPr>
                <w:t>∈</w:t>
              </w:r>
              <w:r w:rsidRPr="009537ED">
                <w:rPr>
                  <w:rFonts w:ascii="Arial" w:hAnsi="Arial" w:cs="Arial"/>
                  <w:color w:val="000000"/>
                  <w:sz w:val="16"/>
                  <w:szCs w:val="16"/>
                </w:rPr>
                <w:t>{1,2,3,4} if the same CW_p ≠ CW_(max,p) is consecutively used for general of N_init in SL Type 1 LBT for a number of times indicated by this parameter. This operation is restricted only to PSCCH/PSSCH transmission(s) with "HARQ feedback enabled/disabled indicator" in the 2nd stage SCI set to disabled, regardless of PSFCH resources being configured in a resource pool.</w:t>
              </w:r>
            </w:ins>
          </w:p>
        </w:tc>
        <w:tc>
          <w:tcPr>
            <w:tcW w:w="484" w:type="pct"/>
            <w:shd w:val="clear" w:color="auto" w:fill="auto"/>
          </w:tcPr>
          <w:p w14:paraId="2651C4C3" w14:textId="77777777" w:rsidR="00067626" w:rsidRPr="009537ED" w:rsidRDefault="00067626" w:rsidP="00067626">
            <w:pPr>
              <w:autoSpaceDE w:val="0"/>
              <w:autoSpaceDN w:val="0"/>
              <w:rPr>
                <w:rFonts w:ascii="Arial" w:hAnsi="Arial" w:cs="Arial"/>
                <w:color w:val="000000"/>
                <w:sz w:val="16"/>
                <w:szCs w:val="16"/>
              </w:rPr>
            </w:pPr>
            <w:ins w:id="249" w:author="Kevin Lin" w:date="2023-11-10T22:21:00Z">
              <w:r w:rsidRPr="009537ED">
                <w:rPr>
                  <w:rFonts w:ascii="Arial" w:hAnsi="Arial" w:cs="Arial"/>
                  <w:color w:val="000000"/>
                  <w:sz w:val="16"/>
                  <w:szCs w:val="16"/>
                </w:rPr>
                <w:t>{1, 8, 16, 32, ‘infinity’}</w:t>
              </w:r>
            </w:ins>
          </w:p>
        </w:tc>
        <w:tc>
          <w:tcPr>
            <w:tcW w:w="389" w:type="pct"/>
            <w:shd w:val="clear" w:color="auto" w:fill="auto"/>
          </w:tcPr>
          <w:p w14:paraId="29F63752" w14:textId="77777777" w:rsidR="00067626" w:rsidRPr="009537ED" w:rsidRDefault="00067626" w:rsidP="00067626">
            <w:pPr>
              <w:autoSpaceDE w:val="0"/>
              <w:autoSpaceDN w:val="0"/>
              <w:rPr>
                <w:rFonts w:ascii="Arial" w:hAnsi="Arial" w:cs="Arial"/>
                <w:color w:val="000000"/>
                <w:sz w:val="16"/>
                <w:szCs w:val="16"/>
              </w:rPr>
            </w:pPr>
            <w:ins w:id="250" w:author="Kevin Lin" w:date="2023-11-10T22:21:00Z">
              <w:r w:rsidRPr="009537ED">
                <w:rPr>
                  <w:rFonts w:ascii="Arial" w:hAnsi="Arial" w:cs="Arial"/>
                  <w:color w:val="000000"/>
                  <w:sz w:val="16"/>
                  <w:szCs w:val="16"/>
                </w:rPr>
                <w:t>N/A</w:t>
              </w:r>
            </w:ins>
          </w:p>
        </w:tc>
        <w:tc>
          <w:tcPr>
            <w:tcW w:w="304" w:type="pct"/>
            <w:shd w:val="clear" w:color="auto" w:fill="auto"/>
          </w:tcPr>
          <w:p w14:paraId="65B50D65" w14:textId="77777777" w:rsidR="00067626" w:rsidRPr="009537ED" w:rsidRDefault="00067626" w:rsidP="00067626">
            <w:pPr>
              <w:autoSpaceDE w:val="0"/>
              <w:autoSpaceDN w:val="0"/>
              <w:rPr>
                <w:rFonts w:ascii="Arial" w:hAnsi="Arial" w:cs="Arial"/>
                <w:color w:val="000000"/>
                <w:sz w:val="16"/>
                <w:szCs w:val="16"/>
              </w:rPr>
            </w:pPr>
            <w:ins w:id="251" w:author="Kevin Lin" w:date="2023-11-10T22:20:00Z">
              <w:r w:rsidRPr="009537ED">
                <w:rPr>
                  <w:rFonts w:ascii="Arial" w:hAnsi="Arial" w:cs="Arial"/>
                  <w:color w:val="000000"/>
                  <w:sz w:val="16"/>
                  <w:szCs w:val="16"/>
                </w:rPr>
                <w:t>Per SL BWP</w:t>
              </w:r>
            </w:ins>
          </w:p>
        </w:tc>
        <w:tc>
          <w:tcPr>
            <w:tcW w:w="392" w:type="pct"/>
            <w:shd w:val="clear" w:color="auto" w:fill="auto"/>
          </w:tcPr>
          <w:p w14:paraId="6DCFB5E7" w14:textId="77777777" w:rsidR="00067626" w:rsidRPr="009537ED" w:rsidRDefault="00067626" w:rsidP="00067626">
            <w:pPr>
              <w:autoSpaceDE w:val="0"/>
              <w:autoSpaceDN w:val="0"/>
              <w:rPr>
                <w:rFonts w:ascii="Arial" w:hAnsi="Arial" w:cs="Arial"/>
                <w:color w:val="000000"/>
                <w:sz w:val="16"/>
                <w:szCs w:val="16"/>
              </w:rPr>
            </w:pPr>
            <w:ins w:id="252" w:author="Kevin Lin" w:date="2023-11-10T22:20:00Z">
              <w:r w:rsidRPr="009537ED">
                <w:rPr>
                  <w:rFonts w:ascii="Arial" w:hAnsi="Arial" w:cs="Arial"/>
                  <w:color w:val="000000"/>
                  <w:sz w:val="16"/>
                  <w:szCs w:val="16"/>
                </w:rPr>
                <w:t>UE-specific or Cell-specific</w:t>
              </w:r>
            </w:ins>
          </w:p>
        </w:tc>
      </w:tr>
    </w:tbl>
    <w:p w14:paraId="26C78E2F" w14:textId="77777777" w:rsidR="00067626" w:rsidRPr="009537ED" w:rsidRDefault="00067626" w:rsidP="00067626"/>
    <w:p w14:paraId="50A67824" w14:textId="77777777" w:rsidR="00067626" w:rsidRPr="009537ED" w:rsidRDefault="00067626" w:rsidP="00067626">
      <w:r w:rsidRPr="009537ED">
        <w:rPr>
          <w:highlight w:val="green"/>
        </w:rPr>
        <w:t>Agreement</w:t>
      </w:r>
    </w:p>
    <w:tbl>
      <w:tblPr>
        <w:tblW w:w="5000" w:type="pct"/>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4000"/>
        <w:gridCol w:w="2517"/>
        <w:gridCol w:w="2570"/>
        <w:gridCol w:w="758"/>
        <w:gridCol w:w="838"/>
      </w:tblGrid>
      <w:tr w:rsidR="00067626" w:rsidRPr="009537ED" w14:paraId="59856362" w14:textId="77777777" w:rsidTr="00067626">
        <w:tc>
          <w:tcPr>
            <w:tcW w:w="915" w:type="pct"/>
            <w:shd w:val="clear" w:color="auto" w:fill="00B0F0"/>
            <w:vAlign w:val="center"/>
          </w:tcPr>
          <w:p w14:paraId="1D5BD978" w14:textId="77777777" w:rsidR="00067626" w:rsidRPr="009537ED" w:rsidRDefault="00067626" w:rsidP="00067626">
            <w:pPr>
              <w:autoSpaceDE w:val="0"/>
              <w:autoSpaceDN w:val="0"/>
              <w:jc w:val="center"/>
              <w:rPr>
                <w:rFonts w:ascii="Arial" w:hAnsi="Arial" w:cs="Arial"/>
                <w:b/>
                <w:bCs/>
                <w:color w:val="FFFFFF"/>
                <w:sz w:val="16"/>
                <w:szCs w:val="16"/>
              </w:rPr>
            </w:pPr>
            <w:r w:rsidRPr="009537ED">
              <w:rPr>
                <w:rFonts w:ascii="Arial" w:hAnsi="Arial" w:cs="Arial"/>
                <w:b/>
                <w:bCs/>
                <w:color w:val="FFFFFF"/>
                <w:sz w:val="16"/>
                <w:szCs w:val="16"/>
              </w:rPr>
              <w:t>Param Name</w:t>
            </w:r>
          </w:p>
        </w:tc>
        <w:tc>
          <w:tcPr>
            <w:tcW w:w="2144" w:type="pct"/>
            <w:shd w:val="clear" w:color="auto" w:fill="00B0F0"/>
            <w:vAlign w:val="center"/>
          </w:tcPr>
          <w:p w14:paraId="67B282A5" w14:textId="77777777" w:rsidR="00067626" w:rsidRPr="009537ED" w:rsidRDefault="00067626" w:rsidP="00067626">
            <w:pPr>
              <w:autoSpaceDE w:val="0"/>
              <w:autoSpaceDN w:val="0"/>
              <w:jc w:val="center"/>
              <w:rPr>
                <w:rFonts w:ascii="Arial" w:hAnsi="Arial" w:cs="Arial"/>
                <w:b/>
                <w:bCs/>
                <w:color w:val="FFFFFF"/>
                <w:sz w:val="16"/>
                <w:szCs w:val="16"/>
              </w:rPr>
            </w:pPr>
            <w:r w:rsidRPr="009537ED">
              <w:rPr>
                <w:rFonts w:ascii="Arial" w:hAnsi="Arial" w:cs="Arial"/>
                <w:b/>
                <w:bCs/>
                <w:color w:val="FFFFFF"/>
                <w:sz w:val="16"/>
                <w:szCs w:val="16"/>
              </w:rPr>
              <w:t>Description</w:t>
            </w:r>
          </w:p>
        </w:tc>
        <w:tc>
          <w:tcPr>
            <w:tcW w:w="600" w:type="pct"/>
            <w:shd w:val="clear" w:color="auto" w:fill="00B0F0"/>
            <w:vAlign w:val="center"/>
          </w:tcPr>
          <w:p w14:paraId="464ADAAB" w14:textId="77777777" w:rsidR="00067626" w:rsidRPr="009537ED" w:rsidRDefault="00067626" w:rsidP="00067626">
            <w:pPr>
              <w:autoSpaceDE w:val="0"/>
              <w:autoSpaceDN w:val="0"/>
              <w:jc w:val="center"/>
              <w:rPr>
                <w:rFonts w:ascii="Arial" w:hAnsi="Arial" w:cs="Arial"/>
                <w:b/>
                <w:bCs/>
                <w:color w:val="FFFFFF"/>
                <w:sz w:val="16"/>
                <w:szCs w:val="16"/>
              </w:rPr>
            </w:pPr>
            <w:r w:rsidRPr="009537ED">
              <w:rPr>
                <w:rFonts w:ascii="Arial" w:hAnsi="Arial" w:cs="Arial"/>
                <w:b/>
                <w:bCs/>
                <w:color w:val="FFFFFF"/>
                <w:sz w:val="16"/>
                <w:szCs w:val="16"/>
              </w:rPr>
              <w:t>Value range</w:t>
            </w:r>
          </w:p>
        </w:tc>
        <w:tc>
          <w:tcPr>
            <w:tcW w:w="610" w:type="pct"/>
            <w:shd w:val="clear" w:color="auto" w:fill="00B0F0"/>
            <w:vAlign w:val="center"/>
          </w:tcPr>
          <w:p w14:paraId="40B3AD16" w14:textId="77777777" w:rsidR="00067626" w:rsidRPr="009537ED" w:rsidRDefault="00067626" w:rsidP="00067626">
            <w:pPr>
              <w:autoSpaceDE w:val="0"/>
              <w:autoSpaceDN w:val="0"/>
              <w:jc w:val="center"/>
              <w:rPr>
                <w:rFonts w:ascii="Arial" w:hAnsi="Arial" w:cs="Arial"/>
                <w:b/>
                <w:bCs/>
                <w:color w:val="FFFFFF"/>
                <w:sz w:val="16"/>
                <w:szCs w:val="16"/>
              </w:rPr>
            </w:pPr>
            <w:r w:rsidRPr="009537ED">
              <w:rPr>
                <w:rFonts w:ascii="Arial" w:hAnsi="Arial" w:cs="Arial"/>
                <w:b/>
                <w:bCs/>
                <w:color w:val="FFFFFF"/>
                <w:sz w:val="16"/>
                <w:szCs w:val="16"/>
              </w:rPr>
              <w:t>Defaul</w:t>
            </w:r>
            <w:r w:rsidRPr="009537ED">
              <w:rPr>
                <w:rFonts w:ascii="Arial" w:hAnsi="Arial" w:cs="Arial"/>
                <w:b/>
                <w:bCs/>
                <w:color w:val="FFFFFF"/>
                <w:sz w:val="16"/>
                <w:szCs w:val="16"/>
              </w:rPr>
              <w:lastRenderedPageBreak/>
              <w:t>t value aspect</w:t>
            </w:r>
          </w:p>
        </w:tc>
        <w:tc>
          <w:tcPr>
            <w:tcW w:w="732" w:type="pct"/>
            <w:shd w:val="clear" w:color="auto" w:fill="00B0F0"/>
            <w:vAlign w:val="center"/>
          </w:tcPr>
          <w:p w14:paraId="4803EC19" w14:textId="77777777" w:rsidR="00067626" w:rsidRPr="009537ED" w:rsidRDefault="00067626" w:rsidP="00067626">
            <w:pPr>
              <w:autoSpaceDE w:val="0"/>
              <w:autoSpaceDN w:val="0"/>
              <w:jc w:val="center"/>
              <w:rPr>
                <w:rFonts w:ascii="Arial" w:hAnsi="Arial" w:cs="Arial"/>
                <w:b/>
                <w:bCs/>
                <w:color w:val="FFFFFF"/>
                <w:sz w:val="16"/>
                <w:szCs w:val="16"/>
              </w:rPr>
            </w:pPr>
            <w:r w:rsidRPr="009537ED">
              <w:rPr>
                <w:rFonts w:ascii="Arial" w:hAnsi="Arial" w:cs="Arial"/>
                <w:b/>
                <w:bCs/>
                <w:color w:val="FFFFFF"/>
                <w:sz w:val="16"/>
                <w:szCs w:val="16"/>
              </w:rPr>
              <w:lastRenderedPageBreak/>
              <w:t xml:space="preserve">Per </w:t>
            </w:r>
            <w:r w:rsidRPr="009537ED">
              <w:rPr>
                <w:rFonts w:ascii="Arial" w:hAnsi="Arial" w:cs="Arial"/>
                <w:b/>
                <w:bCs/>
                <w:color w:val="FFFFFF"/>
                <w:sz w:val="16"/>
                <w:szCs w:val="16"/>
              </w:rPr>
              <w:lastRenderedPageBreak/>
              <w:t>(UE, cell, TRP, …)</w:t>
            </w:r>
          </w:p>
        </w:tc>
      </w:tr>
      <w:tr w:rsidR="00067626" w:rsidRPr="009537ED" w14:paraId="3EB19182" w14:textId="77777777" w:rsidTr="00067626">
        <w:tc>
          <w:tcPr>
            <w:tcW w:w="915" w:type="pct"/>
            <w:shd w:val="clear" w:color="auto" w:fill="auto"/>
            <w:vAlign w:val="center"/>
          </w:tcPr>
          <w:p w14:paraId="6D427A72" w14:textId="77777777" w:rsidR="00067626" w:rsidRPr="009537ED" w:rsidRDefault="00067626" w:rsidP="00067626">
            <w:pPr>
              <w:autoSpaceDE w:val="0"/>
              <w:autoSpaceDN w:val="0"/>
              <w:rPr>
                <w:rFonts w:ascii="Arial" w:hAnsi="Arial" w:cs="Arial"/>
                <w:color w:val="000000"/>
                <w:sz w:val="16"/>
                <w:szCs w:val="16"/>
              </w:rPr>
            </w:pPr>
            <w:r w:rsidRPr="009537ED">
              <w:rPr>
                <w:rFonts w:ascii="Arial" w:hAnsi="Arial" w:cs="Arial"/>
                <w:sz w:val="16"/>
                <w:szCs w:val="16"/>
              </w:rPr>
              <w:lastRenderedPageBreak/>
              <w:t>absenceOfAnyOtherTechnology</w:t>
            </w:r>
          </w:p>
        </w:tc>
        <w:tc>
          <w:tcPr>
            <w:tcW w:w="2144" w:type="pct"/>
            <w:shd w:val="clear" w:color="auto" w:fill="auto"/>
          </w:tcPr>
          <w:p w14:paraId="2A604B12" w14:textId="77777777" w:rsidR="00067626" w:rsidRPr="009537ED" w:rsidRDefault="00067626" w:rsidP="00067626">
            <w:pPr>
              <w:autoSpaceDE w:val="0"/>
              <w:autoSpaceDN w:val="0"/>
              <w:rPr>
                <w:rFonts w:ascii="Arial" w:hAnsi="Arial" w:cs="Arial"/>
                <w:color w:val="000000"/>
                <w:sz w:val="16"/>
                <w:szCs w:val="16"/>
              </w:rPr>
            </w:pPr>
            <w:r w:rsidRPr="009537ED">
              <w:rPr>
                <w:rFonts w:ascii="Arial" w:hAnsi="Arial" w:cs="Arial"/>
                <w:sz w:val="16"/>
                <w:szCs w:val="16"/>
              </w:rPr>
              <w:t xml:space="preserve">Presence of this field indicates absence on a long term basis (e.g. by level of regulation) of any other technology sharing the carrier; absence of this field indicates the potential presence of any other technology sharing the carrier, as specified in TS 37.213 [48] clauses </w:t>
            </w:r>
            <w:r w:rsidRPr="009537ED">
              <w:rPr>
                <w:rFonts w:ascii="Arial" w:hAnsi="Arial" w:cs="Arial"/>
                <w:strike/>
                <w:color w:val="FF0000"/>
                <w:sz w:val="16"/>
                <w:szCs w:val="16"/>
              </w:rPr>
              <w:t xml:space="preserve">X.X.X </w:t>
            </w:r>
            <w:r w:rsidRPr="009537ED">
              <w:rPr>
                <w:rFonts w:ascii="Arial" w:hAnsi="Arial" w:cs="Arial"/>
                <w:color w:val="FF0000"/>
                <w:sz w:val="16"/>
                <w:szCs w:val="16"/>
              </w:rPr>
              <w:t>4.5</w:t>
            </w:r>
            <w:r w:rsidRPr="009537ED">
              <w:rPr>
                <w:rFonts w:ascii="Arial" w:hAnsi="Arial" w:cs="Arial"/>
                <w:sz w:val="16"/>
                <w:szCs w:val="16"/>
              </w:rPr>
              <w:t>.</w:t>
            </w:r>
          </w:p>
        </w:tc>
        <w:tc>
          <w:tcPr>
            <w:tcW w:w="600" w:type="pct"/>
            <w:shd w:val="clear" w:color="auto" w:fill="auto"/>
            <w:vAlign w:val="center"/>
          </w:tcPr>
          <w:p w14:paraId="4B2CBB7E" w14:textId="77777777" w:rsidR="00067626" w:rsidRPr="009537ED" w:rsidRDefault="00067626" w:rsidP="00067626">
            <w:pPr>
              <w:autoSpaceDE w:val="0"/>
              <w:autoSpaceDN w:val="0"/>
              <w:rPr>
                <w:rFonts w:ascii="Arial" w:hAnsi="Arial" w:cs="Arial"/>
                <w:color w:val="000000"/>
                <w:sz w:val="16"/>
                <w:szCs w:val="16"/>
              </w:rPr>
            </w:pPr>
            <w:r w:rsidRPr="009537ED">
              <w:rPr>
                <w:rFonts w:ascii="Arial" w:hAnsi="Arial" w:cs="Arial"/>
                <w:sz w:val="16"/>
                <w:szCs w:val="16"/>
              </w:rPr>
              <w:t>ENUMERATED {true}</w:t>
            </w:r>
          </w:p>
        </w:tc>
        <w:tc>
          <w:tcPr>
            <w:tcW w:w="610" w:type="pct"/>
            <w:shd w:val="clear" w:color="auto" w:fill="auto"/>
            <w:vAlign w:val="center"/>
          </w:tcPr>
          <w:p w14:paraId="0E21B555" w14:textId="77777777" w:rsidR="00067626" w:rsidRPr="009537ED" w:rsidRDefault="00067626" w:rsidP="00067626">
            <w:pPr>
              <w:autoSpaceDE w:val="0"/>
              <w:autoSpaceDN w:val="0"/>
              <w:rPr>
                <w:rFonts w:ascii="Arial" w:hAnsi="Arial" w:cs="Arial"/>
                <w:color w:val="000000"/>
                <w:sz w:val="16"/>
                <w:szCs w:val="16"/>
              </w:rPr>
            </w:pPr>
            <w:r w:rsidRPr="009537ED">
              <w:rPr>
                <w:rFonts w:ascii="Arial" w:hAnsi="Arial" w:cs="Arial"/>
                <w:sz w:val="16"/>
                <w:szCs w:val="16"/>
              </w:rPr>
              <w:t>N/A</w:t>
            </w:r>
          </w:p>
        </w:tc>
        <w:tc>
          <w:tcPr>
            <w:tcW w:w="732" w:type="pct"/>
            <w:shd w:val="clear" w:color="auto" w:fill="auto"/>
            <w:vAlign w:val="center"/>
          </w:tcPr>
          <w:p w14:paraId="3E362837" w14:textId="77777777" w:rsidR="00067626" w:rsidRPr="009537ED" w:rsidRDefault="00067626" w:rsidP="00067626">
            <w:pPr>
              <w:autoSpaceDE w:val="0"/>
              <w:autoSpaceDN w:val="0"/>
              <w:rPr>
                <w:rFonts w:ascii="Arial" w:hAnsi="Arial" w:cs="Arial"/>
                <w:color w:val="000000"/>
                <w:sz w:val="16"/>
                <w:szCs w:val="16"/>
              </w:rPr>
            </w:pPr>
            <w:r w:rsidRPr="009537ED">
              <w:rPr>
                <w:rFonts w:ascii="Arial" w:hAnsi="Arial" w:cs="Arial"/>
                <w:sz w:val="16"/>
                <w:szCs w:val="16"/>
              </w:rPr>
              <w:t>Per cell / carrier</w:t>
            </w:r>
          </w:p>
        </w:tc>
      </w:tr>
      <w:tr w:rsidR="00067626" w:rsidRPr="009537ED" w14:paraId="28A4E641" w14:textId="77777777" w:rsidTr="00067626">
        <w:tc>
          <w:tcPr>
            <w:tcW w:w="915" w:type="pct"/>
            <w:shd w:val="clear" w:color="auto" w:fill="auto"/>
            <w:vAlign w:val="center"/>
          </w:tcPr>
          <w:p w14:paraId="3D2805AA" w14:textId="77777777" w:rsidR="00067626" w:rsidRPr="009537ED" w:rsidRDefault="00067626" w:rsidP="00067626">
            <w:pPr>
              <w:autoSpaceDE w:val="0"/>
              <w:autoSpaceDN w:val="0"/>
              <w:rPr>
                <w:rFonts w:ascii="Arial" w:hAnsi="Arial" w:cs="Arial"/>
                <w:color w:val="000000"/>
                <w:sz w:val="16"/>
                <w:szCs w:val="16"/>
              </w:rPr>
            </w:pPr>
            <w:r w:rsidRPr="009537ED">
              <w:rPr>
                <w:rFonts w:ascii="Arial" w:hAnsi="Arial" w:cs="Arial"/>
                <w:sz w:val="16"/>
                <w:szCs w:val="16"/>
              </w:rPr>
              <w:t>energyDetectionConfig</w:t>
            </w:r>
          </w:p>
        </w:tc>
        <w:tc>
          <w:tcPr>
            <w:tcW w:w="2144" w:type="pct"/>
            <w:shd w:val="clear" w:color="auto" w:fill="auto"/>
          </w:tcPr>
          <w:p w14:paraId="436E11A4" w14:textId="77777777" w:rsidR="00067626" w:rsidRPr="009537ED" w:rsidRDefault="00067626" w:rsidP="00067626">
            <w:pPr>
              <w:autoSpaceDE w:val="0"/>
              <w:autoSpaceDN w:val="0"/>
              <w:rPr>
                <w:rFonts w:ascii="Arial" w:hAnsi="Arial" w:cs="Arial"/>
                <w:color w:val="000000"/>
                <w:sz w:val="16"/>
                <w:szCs w:val="16"/>
              </w:rPr>
            </w:pPr>
            <w:r w:rsidRPr="009537ED">
              <w:rPr>
                <w:rFonts w:ascii="Arial" w:hAnsi="Arial" w:cs="Arial"/>
                <w:sz w:val="16"/>
                <w:szCs w:val="16"/>
              </w:rPr>
              <w:t xml:space="preserve">Indicates whether to use the maxEnergyDetectionThreshold or the energyDetectionThresholdOffset (see TS 37.213 [48], clause </w:t>
            </w:r>
            <w:r w:rsidRPr="009537ED">
              <w:rPr>
                <w:rFonts w:ascii="Arial" w:hAnsi="Arial" w:cs="Arial"/>
                <w:strike/>
                <w:color w:val="FF0000"/>
                <w:sz w:val="16"/>
                <w:szCs w:val="16"/>
              </w:rPr>
              <w:t xml:space="preserve">X.X.X </w:t>
            </w:r>
            <w:r w:rsidRPr="009537ED">
              <w:rPr>
                <w:rFonts w:ascii="Arial" w:hAnsi="Arial" w:cs="Arial"/>
                <w:color w:val="FF0000"/>
                <w:sz w:val="16"/>
                <w:szCs w:val="16"/>
              </w:rPr>
              <w:t>4.5.5</w:t>
            </w:r>
            <w:r w:rsidRPr="009537ED">
              <w:rPr>
                <w:rFonts w:ascii="Arial" w:hAnsi="Arial" w:cs="Arial"/>
                <w:sz w:val="16"/>
                <w:szCs w:val="16"/>
              </w:rPr>
              <w:t>).</w:t>
            </w:r>
          </w:p>
        </w:tc>
        <w:tc>
          <w:tcPr>
            <w:tcW w:w="600" w:type="pct"/>
            <w:shd w:val="clear" w:color="auto" w:fill="auto"/>
          </w:tcPr>
          <w:p w14:paraId="70A793F8" w14:textId="77777777" w:rsidR="00067626" w:rsidRPr="009537ED" w:rsidRDefault="00067626" w:rsidP="00067626">
            <w:pPr>
              <w:autoSpaceDE w:val="0"/>
              <w:autoSpaceDN w:val="0"/>
              <w:rPr>
                <w:rFonts w:ascii="Arial" w:hAnsi="Arial" w:cs="Arial"/>
                <w:color w:val="000000"/>
                <w:sz w:val="16"/>
                <w:szCs w:val="16"/>
              </w:rPr>
            </w:pPr>
            <w:r w:rsidRPr="009537ED">
              <w:rPr>
                <w:rFonts w:ascii="Arial" w:hAnsi="Arial" w:cs="Arial"/>
                <w:sz w:val="16"/>
                <w:szCs w:val="16"/>
              </w:rPr>
              <w:t>CHOICE {maxEnergyDetectionThreshold, energyDetectionThresholdOffset}</w:t>
            </w:r>
          </w:p>
        </w:tc>
        <w:tc>
          <w:tcPr>
            <w:tcW w:w="610" w:type="pct"/>
            <w:shd w:val="clear" w:color="auto" w:fill="auto"/>
            <w:vAlign w:val="center"/>
          </w:tcPr>
          <w:p w14:paraId="67E497AA" w14:textId="77777777" w:rsidR="00067626" w:rsidRPr="009537ED" w:rsidRDefault="00067626" w:rsidP="00067626">
            <w:pPr>
              <w:autoSpaceDE w:val="0"/>
              <w:autoSpaceDN w:val="0"/>
              <w:rPr>
                <w:rFonts w:ascii="Arial" w:hAnsi="Arial" w:cs="Arial"/>
                <w:color w:val="000000"/>
                <w:sz w:val="16"/>
                <w:szCs w:val="16"/>
              </w:rPr>
            </w:pPr>
            <w:r w:rsidRPr="009537ED">
              <w:rPr>
                <w:rFonts w:ascii="Arial" w:hAnsi="Arial" w:cs="Arial"/>
                <w:sz w:val="16"/>
                <w:szCs w:val="16"/>
              </w:rPr>
              <w:t>N/A</w:t>
            </w:r>
          </w:p>
        </w:tc>
        <w:tc>
          <w:tcPr>
            <w:tcW w:w="732" w:type="pct"/>
            <w:shd w:val="clear" w:color="auto" w:fill="auto"/>
            <w:vAlign w:val="center"/>
          </w:tcPr>
          <w:p w14:paraId="479B374A" w14:textId="77777777" w:rsidR="00067626" w:rsidRPr="009537ED" w:rsidRDefault="00067626" w:rsidP="00067626">
            <w:pPr>
              <w:autoSpaceDE w:val="0"/>
              <w:autoSpaceDN w:val="0"/>
              <w:rPr>
                <w:rFonts w:ascii="Arial" w:hAnsi="Arial" w:cs="Arial"/>
                <w:color w:val="000000"/>
                <w:sz w:val="16"/>
                <w:szCs w:val="16"/>
              </w:rPr>
            </w:pPr>
            <w:r w:rsidRPr="009537ED">
              <w:rPr>
                <w:rFonts w:ascii="Arial" w:hAnsi="Arial" w:cs="Arial"/>
                <w:strike/>
                <w:color w:val="FF0000"/>
                <w:sz w:val="16"/>
                <w:szCs w:val="16"/>
              </w:rPr>
              <w:t>[</w:t>
            </w:r>
            <w:r w:rsidRPr="009537ED">
              <w:rPr>
                <w:rFonts w:ascii="Arial" w:hAnsi="Arial" w:cs="Arial"/>
                <w:sz w:val="16"/>
                <w:szCs w:val="16"/>
              </w:rPr>
              <w:t>Per cell / carrier</w:t>
            </w:r>
            <w:r w:rsidRPr="009537ED">
              <w:rPr>
                <w:rFonts w:ascii="Arial" w:hAnsi="Arial" w:cs="Arial"/>
                <w:strike/>
                <w:color w:val="FF0000"/>
                <w:sz w:val="16"/>
                <w:szCs w:val="16"/>
              </w:rPr>
              <w:t>]</w:t>
            </w:r>
          </w:p>
        </w:tc>
      </w:tr>
      <w:tr w:rsidR="00067626" w:rsidRPr="009537ED" w14:paraId="6DAC51DA" w14:textId="77777777" w:rsidTr="00067626">
        <w:tc>
          <w:tcPr>
            <w:tcW w:w="915" w:type="pct"/>
            <w:shd w:val="clear" w:color="auto" w:fill="auto"/>
            <w:vAlign w:val="center"/>
          </w:tcPr>
          <w:p w14:paraId="59221352" w14:textId="77777777" w:rsidR="00067626" w:rsidRPr="009537ED" w:rsidRDefault="00067626" w:rsidP="00067626">
            <w:pPr>
              <w:autoSpaceDE w:val="0"/>
              <w:autoSpaceDN w:val="0"/>
              <w:rPr>
                <w:rFonts w:ascii="Arial" w:hAnsi="Arial" w:cs="Arial"/>
                <w:color w:val="000000"/>
                <w:sz w:val="16"/>
                <w:szCs w:val="16"/>
              </w:rPr>
            </w:pPr>
            <w:r w:rsidRPr="009537ED">
              <w:rPr>
                <w:rFonts w:ascii="Arial" w:hAnsi="Arial" w:cs="Arial"/>
                <w:sz w:val="16"/>
                <w:szCs w:val="16"/>
              </w:rPr>
              <w:t>energyDetectionThresholdOffset</w:t>
            </w:r>
          </w:p>
        </w:tc>
        <w:tc>
          <w:tcPr>
            <w:tcW w:w="2144" w:type="pct"/>
            <w:shd w:val="clear" w:color="auto" w:fill="auto"/>
          </w:tcPr>
          <w:p w14:paraId="0B4C041D" w14:textId="77777777" w:rsidR="00067626" w:rsidRPr="009537ED" w:rsidRDefault="00067626" w:rsidP="00067626">
            <w:pPr>
              <w:autoSpaceDE w:val="0"/>
              <w:autoSpaceDN w:val="0"/>
              <w:rPr>
                <w:rFonts w:ascii="Arial" w:hAnsi="Arial" w:cs="Arial"/>
                <w:color w:val="000000"/>
                <w:sz w:val="16"/>
                <w:szCs w:val="16"/>
              </w:rPr>
            </w:pPr>
            <w:r w:rsidRPr="009537ED">
              <w:rPr>
                <w:rFonts w:ascii="Arial" w:hAnsi="Arial" w:cs="Arial"/>
                <w:sz w:val="16"/>
                <w:szCs w:val="16"/>
              </w:rPr>
              <w:t xml:space="preserve">Indicates the offset to the default maximum energy detection threshold value. Unit in dB. Value -13 corresponds to -13dB, value -12 corresponds to -12dB, and so on (i.e. in steps of 1dB) as specified in TS 37.213 [48], clause </w:t>
            </w:r>
            <w:r w:rsidRPr="009537ED">
              <w:rPr>
                <w:rFonts w:ascii="Arial" w:hAnsi="Arial" w:cs="Arial"/>
                <w:strike/>
                <w:color w:val="FF0000"/>
                <w:sz w:val="16"/>
                <w:szCs w:val="16"/>
              </w:rPr>
              <w:t xml:space="preserve">X.X.X </w:t>
            </w:r>
            <w:r w:rsidRPr="009537ED">
              <w:rPr>
                <w:rFonts w:ascii="Arial" w:hAnsi="Arial" w:cs="Arial"/>
                <w:color w:val="FF0000"/>
                <w:sz w:val="16"/>
                <w:szCs w:val="16"/>
              </w:rPr>
              <w:t>4.5.5</w:t>
            </w:r>
            <w:r w:rsidRPr="009537ED">
              <w:rPr>
                <w:rFonts w:ascii="Arial" w:hAnsi="Arial" w:cs="Arial"/>
                <w:sz w:val="16"/>
                <w:szCs w:val="16"/>
              </w:rPr>
              <w:t>.</w:t>
            </w:r>
          </w:p>
        </w:tc>
        <w:tc>
          <w:tcPr>
            <w:tcW w:w="600" w:type="pct"/>
            <w:shd w:val="clear" w:color="auto" w:fill="auto"/>
            <w:vAlign w:val="center"/>
          </w:tcPr>
          <w:p w14:paraId="7E467F68" w14:textId="77777777" w:rsidR="00067626" w:rsidRPr="009537ED" w:rsidRDefault="00067626" w:rsidP="00067626">
            <w:pPr>
              <w:autoSpaceDE w:val="0"/>
              <w:autoSpaceDN w:val="0"/>
              <w:rPr>
                <w:rFonts w:ascii="Arial" w:hAnsi="Arial" w:cs="Arial"/>
                <w:color w:val="000000"/>
                <w:sz w:val="16"/>
                <w:szCs w:val="16"/>
              </w:rPr>
            </w:pPr>
            <w:r w:rsidRPr="009537ED">
              <w:rPr>
                <w:rFonts w:ascii="Arial" w:hAnsi="Arial" w:cs="Arial"/>
                <w:sz w:val="16"/>
                <w:szCs w:val="16"/>
              </w:rPr>
              <w:t>INTEGER (-13..20)</w:t>
            </w:r>
          </w:p>
        </w:tc>
        <w:tc>
          <w:tcPr>
            <w:tcW w:w="610" w:type="pct"/>
            <w:shd w:val="clear" w:color="auto" w:fill="auto"/>
            <w:vAlign w:val="center"/>
          </w:tcPr>
          <w:p w14:paraId="7192C5CB" w14:textId="77777777" w:rsidR="00067626" w:rsidRPr="009537ED" w:rsidRDefault="00067626" w:rsidP="00067626">
            <w:pPr>
              <w:autoSpaceDE w:val="0"/>
              <w:autoSpaceDN w:val="0"/>
              <w:rPr>
                <w:rFonts w:ascii="Arial" w:hAnsi="Arial" w:cs="Arial"/>
                <w:color w:val="000000"/>
                <w:sz w:val="16"/>
                <w:szCs w:val="16"/>
              </w:rPr>
            </w:pPr>
            <w:r w:rsidRPr="009537ED">
              <w:rPr>
                <w:rFonts w:ascii="Arial" w:hAnsi="Arial" w:cs="Arial"/>
                <w:sz w:val="16"/>
                <w:szCs w:val="16"/>
              </w:rPr>
              <w:t>N/A</w:t>
            </w:r>
          </w:p>
        </w:tc>
        <w:tc>
          <w:tcPr>
            <w:tcW w:w="732" w:type="pct"/>
            <w:shd w:val="clear" w:color="auto" w:fill="auto"/>
            <w:vAlign w:val="center"/>
          </w:tcPr>
          <w:p w14:paraId="26BAF741" w14:textId="77777777" w:rsidR="00067626" w:rsidRPr="009537ED" w:rsidRDefault="00067626" w:rsidP="00067626">
            <w:pPr>
              <w:autoSpaceDE w:val="0"/>
              <w:autoSpaceDN w:val="0"/>
              <w:rPr>
                <w:rFonts w:ascii="Arial" w:hAnsi="Arial" w:cs="Arial"/>
                <w:color w:val="000000"/>
                <w:sz w:val="16"/>
                <w:szCs w:val="16"/>
              </w:rPr>
            </w:pPr>
            <w:r w:rsidRPr="009537ED">
              <w:rPr>
                <w:rFonts w:ascii="Arial" w:hAnsi="Arial" w:cs="Arial"/>
                <w:strike/>
                <w:color w:val="FF0000"/>
                <w:sz w:val="16"/>
                <w:szCs w:val="16"/>
              </w:rPr>
              <w:t>[</w:t>
            </w:r>
            <w:r w:rsidRPr="009537ED">
              <w:rPr>
                <w:rFonts w:ascii="Arial" w:hAnsi="Arial" w:cs="Arial"/>
                <w:sz w:val="16"/>
                <w:szCs w:val="16"/>
              </w:rPr>
              <w:t>Per cell / carrier</w:t>
            </w:r>
            <w:r w:rsidRPr="009537ED">
              <w:rPr>
                <w:rFonts w:ascii="Arial" w:hAnsi="Arial" w:cs="Arial"/>
                <w:strike/>
                <w:color w:val="FF0000"/>
                <w:sz w:val="16"/>
                <w:szCs w:val="16"/>
              </w:rPr>
              <w:t>]</w:t>
            </w:r>
          </w:p>
        </w:tc>
      </w:tr>
      <w:tr w:rsidR="00067626" w:rsidRPr="009537ED" w14:paraId="613CCF4A" w14:textId="77777777" w:rsidTr="00067626">
        <w:tc>
          <w:tcPr>
            <w:tcW w:w="915" w:type="pct"/>
            <w:shd w:val="clear" w:color="auto" w:fill="auto"/>
            <w:vAlign w:val="center"/>
          </w:tcPr>
          <w:p w14:paraId="06CCFEDA" w14:textId="77777777" w:rsidR="00067626" w:rsidRPr="009537ED" w:rsidRDefault="00067626" w:rsidP="00067626">
            <w:pPr>
              <w:autoSpaceDE w:val="0"/>
              <w:autoSpaceDN w:val="0"/>
              <w:rPr>
                <w:rFonts w:ascii="Arial" w:hAnsi="Arial" w:cs="Arial"/>
                <w:color w:val="000000"/>
                <w:sz w:val="16"/>
                <w:szCs w:val="16"/>
              </w:rPr>
            </w:pPr>
            <w:r w:rsidRPr="009537ED">
              <w:rPr>
                <w:rFonts w:ascii="Arial" w:hAnsi="Arial" w:cs="Arial"/>
                <w:sz w:val="16"/>
                <w:szCs w:val="16"/>
              </w:rPr>
              <w:t>maxEnergyDetectionThreshold</w:t>
            </w:r>
          </w:p>
        </w:tc>
        <w:tc>
          <w:tcPr>
            <w:tcW w:w="2144" w:type="pct"/>
            <w:shd w:val="clear" w:color="auto" w:fill="auto"/>
          </w:tcPr>
          <w:p w14:paraId="01599EFB" w14:textId="77777777" w:rsidR="00067626" w:rsidRPr="009537ED" w:rsidRDefault="00067626" w:rsidP="00067626">
            <w:pPr>
              <w:autoSpaceDE w:val="0"/>
              <w:autoSpaceDN w:val="0"/>
              <w:rPr>
                <w:rFonts w:ascii="Arial" w:hAnsi="Arial" w:cs="Arial"/>
                <w:color w:val="000000"/>
                <w:sz w:val="16"/>
                <w:szCs w:val="16"/>
              </w:rPr>
            </w:pPr>
            <w:r w:rsidRPr="009537ED">
              <w:rPr>
                <w:rFonts w:ascii="Arial" w:hAnsi="Arial" w:cs="Arial"/>
                <w:sz w:val="16"/>
                <w:szCs w:val="16"/>
              </w:rPr>
              <w:t xml:space="preserve">Indicates the absolute maximum energy detection threshold value. Unit in dBm. Value -85 corresponds to -85 dBm, value -84 corresponds to -84 dBm, and so on (i.e. in steps of 1dBm) as specified in TS 37.213 [48], clause </w:t>
            </w:r>
            <w:r w:rsidRPr="009537ED">
              <w:rPr>
                <w:rFonts w:ascii="Arial" w:hAnsi="Arial" w:cs="Arial"/>
                <w:strike/>
                <w:color w:val="FF0000"/>
                <w:sz w:val="16"/>
                <w:szCs w:val="16"/>
              </w:rPr>
              <w:t xml:space="preserve">X.X.X </w:t>
            </w:r>
            <w:r w:rsidRPr="009537ED">
              <w:rPr>
                <w:rFonts w:ascii="Arial" w:hAnsi="Arial" w:cs="Arial"/>
                <w:color w:val="FF0000"/>
                <w:sz w:val="16"/>
                <w:szCs w:val="16"/>
              </w:rPr>
              <w:t>4.5.5</w:t>
            </w:r>
            <w:r w:rsidRPr="009537ED">
              <w:rPr>
                <w:rFonts w:ascii="Arial" w:hAnsi="Arial" w:cs="Arial"/>
                <w:sz w:val="16"/>
                <w:szCs w:val="16"/>
              </w:rPr>
              <w:t>.</w:t>
            </w:r>
          </w:p>
        </w:tc>
        <w:tc>
          <w:tcPr>
            <w:tcW w:w="600" w:type="pct"/>
            <w:shd w:val="clear" w:color="auto" w:fill="auto"/>
            <w:vAlign w:val="center"/>
          </w:tcPr>
          <w:p w14:paraId="6634B5FC" w14:textId="77777777" w:rsidR="00067626" w:rsidRPr="009537ED" w:rsidRDefault="00067626" w:rsidP="00067626">
            <w:pPr>
              <w:autoSpaceDE w:val="0"/>
              <w:autoSpaceDN w:val="0"/>
              <w:rPr>
                <w:rFonts w:ascii="Arial" w:hAnsi="Arial" w:cs="Arial"/>
                <w:color w:val="000000"/>
                <w:sz w:val="16"/>
                <w:szCs w:val="16"/>
              </w:rPr>
            </w:pPr>
            <w:r w:rsidRPr="009537ED">
              <w:rPr>
                <w:rFonts w:ascii="Arial" w:hAnsi="Arial" w:cs="Arial"/>
                <w:sz w:val="16"/>
                <w:szCs w:val="16"/>
              </w:rPr>
              <w:t>INTEGER (-85..-52)</w:t>
            </w:r>
          </w:p>
        </w:tc>
        <w:tc>
          <w:tcPr>
            <w:tcW w:w="610" w:type="pct"/>
            <w:shd w:val="clear" w:color="auto" w:fill="auto"/>
            <w:vAlign w:val="center"/>
          </w:tcPr>
          <w:p w14:paraId="0F36643C" w14:textId="77777777" w:rsidR="00067626" w:rsidRPr="009537ED" w:rsidRDefault="00067626" w:rsidP="00067626">
            <w:pPr>
              <w:autoSpaceDE w:val="0"/>
              <w:autoSpaceDN w:val="0"/>
              <w:rPr>
                <w:rFonts w:ascii="Arial" w:hAnsi="Arial" w:cs="Arial"/>
                <w:color w:val="000000"/>
                <w:sz w:val="16"/>
                <w:szCs w:val="16"/>
              </w:rPr>
            </w:pPr>
            <w:r w:rsidRPr="009537ED">
              <w:rPr>
                <w:rFonts w:ascii="Arial" w:hAnsi="Arial" w:cs="Arial"/>
                <w:sz w:val="16"/>
                <w:szCs w:val="16"/>
              </w:rPr>
              <w:t>N/A</w:t>
            </w:r>
          </w:p>
        </w:tc>
        <w:tc>
          <w:tcPr>
            <w:tcW w:w="732" w:type="pct"/>
            <w:shd w:val="clear" w:color="auto" w:fill="auto"/>
            <w:vAlign w:val="center"/>
          </w:tcPr>
          <w:p w14:paraId="34B00F04" w14:textId="77777777" w:rsidR="00067626" w:rsidRPr="009537ED" w:rsidRDefault="00067626" w:rsidP="00067626">
            <w:pPr>
              <w:autoSpaceDE w:val="0"/>
              <w:autoSpaceDN w:val="0"/>
              <w:rPr>
                <w:rFonts w:ascii="Arial" w:hAnsi="Arial" w:cs="Arial"/>
                <w:color w:val="000000"/>
                <w:sz w:val="16"/>
                <w:szCs w:val="16"/>
              </w:rPr>
            </w:pPr>
            <w:r w:rsidRPr="009537ED">
              <w:rPr>
                <w:rFonts w:ascii="Arial" w:hAnsi="Arial" w:cs="Arial"/>
                <w:strike/>
                <w:color w:val="FF0000"/>
                <w:sz w:val="16"/>
                <w:szCs w:val="16"/>
              </w:rPr>
              <w:t>[</w:t>
            </w:r>
            <w:r w:rsidRPr="009537ED">
              <w:rPr>
                <w:rFonts w:ascii="Arial" w:hAnsi="Arial" w:cs="Arial"/>
                <w:sz w:val="16"/>
                <w:szCs w:val="16"/>
              </w:rPr>
              <w:t>Per cell / carrier</w:t>
            </w:r>
            <w:r w:rsidRPr="009537ED">
              <w:rPr>
                <w:rFonts w:ascii="Arial" w:hAnsi="Arial" w:cs="Arial"/>
                <w:strike/>
                <w:color w:val="FF0000"/>
                <w:sz w:val="16"/>
                <w:szCs w:val="16"/>
              </w:rPr>
              <w:t>]</w:t>
            </w:r>
          </w:p>
        </w:tc>
      </w:tr>
      <w:tr w:rsidR="00067626" w:rsidRPr="009537ED" w14:paraId="7B8FA68E" w14:textId="77777777" w:rsidTr="00067626">
        <w:tc>
          <w:tcPr>
            <w:tcW w:w="915" w:type="pct"/>
            <w:shd w:val="clear" w:color="auto" w:fill="auto"/>
          </w:tcPr>
          <w:p w14:paraId="74E9249E" w14:textId="77777777" w:rsidR="00067626" w:rsidRPr="009537ED" w:rsidRDefault="00067626" w:rsidP="00067626">
            <w:pPr>
              <w:autoSpaceDE w:val="0"/>
              <w:autoSpaceDN w:val="0"/>
              <w:rPr>
                <w:rFonts w:ascii="Arial" w:hAnsi="Arial" w:cs="Arial"/>
                <w:color w:val="000000"/>
                <w:sz w:val="16"/>
                <w:szCs w:val="16"/>
              </w:rPr>
            </w:pPr>
            <w:r w:rsidRPr="009537ED">
              <w:rPr>
                <w:rFonts w:ascii="Arial" w:hAnsi="Arial" w:cs="Arial"/>
                <w:sz w:val="16"/>
                <w:szCs w:val="16"/>
              </w:rPr>
              <w:t>HARQ-ACKFeedbackRatioforContentionWindowAdjustment-GC-Option2</w:t>
            </w:r>
          </w:p>
        </w:tc>
        <w:tc>
          <w:tcPr>
            <w:tcW w:w="2144" w:type="pct"/>
            <w:shd w:val="clear" w:color="auto" w:fill="auto"/>
          </w:tcPr>
          <w:p w14:paraId="2F2EC054" w14:textId="77777777" w:rsidR="00067626" w:rsidRPr="009537ED" w:rsidRDefault="00067626" w:rsidP="00067626">
            <w:pPr>
              <w:autoSpaceDE w:val="0"/>
              <w:autoSpaceDN w:val="0"/>
              <w:rPr>
                <w:rFonts w:ascii="Arial" w:hAnsi="Arial" w:cs="Arial"/>
                <w:color w:val="000000"/>
                <w:sz w:val="16"/>
                <w:szCs w:val="16"/>
              </w:rPr>
            </w:pPr>
            <w:r w:rsidRPr="009537ED">
              <w:rPr>
                <w:rFonts w:ascii="Arial" w:hAnsi="Arial" w:cs="Arial"/>
                <w:sz w:val="16"/>
                <w:szCs w:val="16"/>
              </w:rPr>
              <w:t xml:space="preserve">Ratio threshold for contention window adjustment for SL groupcast option 2 as specified in TS 37.213 [48], clause </w:t>
            </w:r>
            <w:r w:rsidRPr="009537ED">
              <w:rPr>
                <w:rFonts w:ascii="Arial" w:hAnsi="Arial" w:cs="Arial"/>
                <w:strike/>
                <w:color w:val="FF0000"/>
                <w:sz w:val="16"/>
                <w:szCs w:val="16"/>
              </w:rPr>
              <w:t xml:space="preserve">X.X.X </w:t>
            </w:r>
            <w:r w:rsidRPr="009537ED">
              <w:rPr>
                <w:rFonts w:ascii="Arial" w:hAnsi="Arial" w:cs="Arial"/>
                <w:color w:val="FF0000"/>
                <w:sz w:val="16"/>
                <w:szCs w:val="16"/>
              </w:rPr>
              <w:t>4.5.4</w:t>
            </w:r>
            <w:r w:rsidRPr="009537ED">
              <w:rPr>
                <w:rFonts w:ascii="Arial" w:hAnsi="Arial" w:cs="Arial"/>
                <w:sz w:val="16"/>
                <w:szCs w:val="16"/>
              </w:rPr>
              <w:t>. Unit is percentage.</w:t>
            </w:r>
          </w:p>
        </w:tc>
        <w:tc>
          <w:tcPr>
            <w:tcW w:w="600" w:type="pct"/>
            <w:shd w:val="clear" w:color="auto" w:fill="auto"/>
            <w:vAlign w:val="center"/>
          </w:tcPr>
          <w:p w14:paraId="2F9524F8" w14:textId="77777777" w:rsidR="00067626" w:rsidRPr="009537ED" w:rsidRDefault="00067626" w:rsidP="00067626">
            <w:pPr>
              <w:autoSpaceDE w:val="0"/>
              <w:autoSpaceDN w:val="0"/>
              <w:rPr>
                <w:rFonts w:ascii="Arial" w:hAnsi="Arial" w:cs="Arial"/>
                <w:color w:val="000000"/>
                <w:sz w:val="16"/>
                <w:szCs w:val="16"/>
              </w:rPr>
            </w:pPr>
            <w:r w:rsidRPr="009537ED">
              <w:rPr>
                <w:rFonts w:ascii="Arial" w:hAnsi="Arial" w:cs="Arial"/>
                <w:strike/>
                <w:color w:val="FF0000"/>
                <w:sz w:val="16"/>
                <w:szCs w:val="16"/>
              </w:rPr>
              <w:t>[</w:t>
            </w:r>
            <w:r w:rsidRPr="009537ED">
              <w:rPr>
                <w:rFonts w:ascii="Arial" w:hAnsi="Arial" w:cs="Arial"/>
                <w:sz w:val="16"/>
                <w:szCs w:val="16"/>
              </w:rPr>
              <w:t>INTEGER (10..100)</w:t>
            </w:r>
            <w:r w:rsidRPr="009537ED">
              <w:rPr>
                <w:rFonts w:ascii="Arial" w:hAnsi="Arial" w:cs="Arial"/>
                <w:strike/>
                <w:color w:val="FF0000"/>
                <w:sz w:val="16"/>
                <w:szCs w:val="16"/>
              </w:rPr>
              <w:t>]</w:t>
            </w:r>
          </w:p>
        </w:tc>
        <w:tc>
          <w:tcPr>
            <w:tcW w:w="610" w:type="pct"/>
            <w:shd w:val="clear" w:color="auto" w:fill="auto"/>
            <w:vAlign w:val="center"/>
          </w:tcPr>
          <w:p w14:paraId="07B7F864" w14:textId="77777777" w:rsidR="00067626" w:rsidRPr="009537ED" w:rsidRDefault="00067626" w:rsidP="00067626">
            <w:pPr>
              <w:autoSpaceDE w:val="0"/>
              <w:autoSpaceDN w:val="0"/>
              <w:rPr>
                <w:rFonts w:ascii="Arial" w:hAnsi="Arial" w:cs="Arial"/>
                <w:color w:val="000000"/>
                <w:sz w:val="16"/>
                <w:szCs w:val="16"/>
              </w:rPr>
            </w:pPr>
            <w:r w:rsidRPr="009537ED">
              <w:rPr>
                <w:rFonts w:ascii="Arial" w:hAnsi="Arial" w:cs="Arial"/>
                <w:sz w:val="16"/>
                <w:szCs w:val="16"/>
              </w:rPr>
              <w:t>N/A</w:t>
            </w:r>
          </w:p>
        </w:tc>
        <w:tc>
          <w:tcPr>
            <w:tcW w:w="732" w:type="pct"/>
            <w:shd w:val="clear" w:color="auto" w:fill="auto"/>
            <w:vAlign w:val="center"/>
          </w:tcPr>
          <w:p w14:paraId="37C0D3F1" w14:textId="77777777" w:rsidR="00067626" w:rsidRPr="009537ED" w:rsidRDefault="00067626" w:rsidP="00067626">
            <w:pPr>
              <w:autoSpaceDE w:val="0"/>
              <w:autoSpaceDN w:val="0"/>
              <w:rPr>
                <w:rFonts w:ascii="Arial" w:hAnsi="Arial" w:cs="Arial"/>
                <w:color w:val="000000"/>
                <w:sz w:val="16"/>
                <w:szCs w:val="16"/>
              </w:rPr>
            </w:pPr>
            <w:r w:rsidRPr="009537ED">
              <w:rPr>
                <w:rFonts w:ascii="Arial" w:hAnsi="Arial" w:cs="Arial"/>
                <w:strike/>
                <w:color w:val="FF0000"/>
                <w:sz w:val="16"/>
                <w:szCs w:val="16"/>
              </w:rPr>
              <w:t>[</w:t>
            </w:r>
            <w:r w:rsidRPr="009537ED">
              <w:rPr>
                <w:rFonts w:ascii="Arial" w:hAnsi="Arial" w:cs="Arial"/>
                <w:sz w:val="16"/>
                <w:szCs w:val="16"/>
              </w:rPr>
              <w:t>Per cell / carrier</w:t>
            </w:r>
            <w:r w:rsidRPr="009537ED">
              <w:rPr>
                <w:rFonts w:ascii="Arial" w:hAnsi="Arial" w:cs="Arial"/>
                <w:strike/>
                <w:color w:val="FF0000"/>
                <w:sz w:val="16"/>
                <w:szCs w:val="16"/>
              </w:rPr>
              <w:t>]</w:t>
            </w:r>
          </w:p>
        </w:tc>
      </w:tr>
      <w:tr w:rsidR="00067626" w:rsidRPr="009537ED" w14:paraId="32823C00" w14:textId="77777777" w:rsidTr="00067626">
        <w:tc>
          <w:tcPr>
            <w:tcW w:w="915" w:type="pct"/>
            <w:shd w:val="clear" w:color="auto" w:fill="auto"/>
            <w:vAlign w:val="center"/>
          </w:tcPr>
          <w:p w14:paraId="50F585E7" w14:textId="77777777" w:rsidR="00067626" w:rsidRPr="009537ED" w:rsidRDefault="00067626" w:rsidP="00067626">
            <w:pPr>
              <w:autoSpaceDE w:val="0"/>
              <w:autoSpaceDN w:val="0"/>
              <w:rPr>
                <w:rFonts w:ascii="Arial" w:hAnsi="Arial" w:cs="Arial"/>
                <w:sz w:val="16"/>
                <w:szCs w:val="16"/>
              </w:rPr>
            </w:pPr>
            <w:r w:rsidRPr="009537ED">
              <w:rPr>
                <w:rFonts w:ascii="Arial" w:hAnsi="Arial" w:cs="Arial"/>
                <w:sz w:val="16"/>
                <w:szCs w:val="16"/>
              </w:rPr>
              <w:t>CPEStartingPositionPSFCH</w:t>
            </w:r>
          </w:p>
        </w:tc>
        <w:tc>
          <w:tcPr>
            <w:tcW w:w="2144" w:type="pct"/>
            <w:shd w:val="clear" w:color="auto" w:fill="auto"/>
          </w:tcPr>
          <w:p w14:paraId="761ED38B" w14:textId="77777777" w:rsidR="00067626" w:rsidRPr="009537ED" w:rsidRDefault="00067626" w:rsidP="00067626">
            <w:pPr>
              <w:autoSpaceDE w:val="0"/>
              <w:autoSpaceDN w:val="0"/>
              <w:rPr>
                <w:rFonts w:ascii="Arial" w:hAnsi="Arial" w:cs="Arial"/>
                <w:sz w:val="16"/>
                <w:szCs w:val="16"/>
              </w:rPr>
            </w:pPr>
            <w:r w:rsidRPr="009537ED">
              <w:rPr>
                <w:rFonts w:ascii="Arial" w:hAnsi="Arial" w:cs="Arial"/>
                <w:sz w:val="16"/>
                <w:szCs w:val="16"/>
              </w:rPr>
              <w:t>A CPE starting position within the GP symbol before PSFCH transmission. The value is an index of the set of all candidate CPE starting positions specified in Table 5.3.1-3 of [16, TS38.211] for Ci=1 and the corresponding SCS of the SL BWP.</w:t>
            </w:r>
          </w:p>
        </w:tc>
        <w:tc>
          <w:tcPr>
            <w:tcW w:w="600" w:type="pct"/>
            <w:shd w:val="clear" w:color="auto" w:fill="auto"/>
            <w:vAlign w:val="center"/>
          </w:tcPr>
          <w:p w14:paraId="17A67987" w14:textId="77777777" w:rsidR="00067626" w:rsidRPr="009537ED" w:rsidRDefault="00067626" w:rsidP="00067626">
            <w:pPr>
              <w:autoSpaceDE w:val="0"/>
              <w:autoSpaceDN w:val="0"/>
              <w:rPr>
                <w:rFonts w:ascii="Arial" w:hAnsi="Arial" w:cs="Arial"/>
                <w:strike/>
                <w:color w:val="FF0000"/>
                <w:sz w:val="16"/>
                <w:szCs w:val="16"/>
              </w:rPr>
            </w:pPr>
            <w:r w:rsidRPr="009537ED">
              <w:rPr>
                <w:rFonts w:ascii="Arial" w:hAnsi="Arial" w:cs="Arial"/>
                <w:strike/>
                <w:color w:val="FF0000"/>
                <w:sz w:val="16"/>
                <w:szCs w:val="16"/>
              </w:rPr>
              <w:t>[</w:t>
            </w:r>
            <w:r w:rsidRPr="009537ED">
              <w:rPr>
                <w:rFonts w:ascii="Arial" w:hAnsi="Arial" w:cs="Arial"/>
                <w:sz w:val="16"/>
                <w:szCs w:val="16"/>
              </w:rPr>
              <w:t>INTEGER (1..X)</w:t>
            </w:r>
            <w:r w:rsidRPr="009537ED">
              <w:rPr>
                <w:rFonts w:ascii="Arial" w:hAnsi="Arial" w:cs="Arial"/>
                <w:strike/>
                <w:color w:val="FF0000"/>
                <w:sz w:val="16"/>
                <w:szCs w:val="16"/>
              </w:rPr>
              <w:t>]</w:t>
            </w:r>
          </w:p>
        </w:tc>
        <w:tc>
          <w:tcPr>
            <w:tcW w:w="610" w:type="pct"/>
            <w:shd w:val="clear" w:color="auto" w:fill="auto"/>
            <w:vAlign w:val="center"/>
          </w:tcPr>
          <w:p w14:paraId="6890F799" w14:textId="77777777" w:rsidR="00067626" w:rsidRPr="009537ED" w:rsidRDefault="00067626" w:rsidP="00067626">
            <w:pPr>
              <w:autoSpaceDE w:val="0"/>
              <w:autoSpaceDN w:val="0"/>
              <w:rPr>
                <w:rFonts w:ascii="Arial" w:hAnsi="Arial" w:cs="Arial"/>
                <w:sz w:val="16"/>
                <w:szCs w:val="16"/>
              </w:rPr>
            </w:pPr>
            <w:r w:rsidRPr="009537ED">
              <w:rPr>
                <w:rFonts w:ascii="Arial" w:hAnsi="Arial" w:cs="Arial"/>
                <w:sz w:val="16"/>
                <w:szCs w:val="16"/>
              </w:rPr>
              <w:t>N/A</w:t>
            </w:r>
          </w:p>
        </w:tc>
        <w:tc>
          <w:tcPr>
            <w:tcW w:w="732" w:type="pct"/>
            <w:shd w:val="clear" w:color="auto" w:fill="auto"/>
            <w:vAlign w:val="center"/>
          </w:tcPr>
          <w:p w14:paraId="1C779455" w14:textId="77777777" w:rsidR="00067626" w:rsidRPr="009537ED" w:rsidRDefault="00067626" w:rsidP="00067626">
            <w:pPr>
              <w:autoSpaceDE w:val="0"/>
              <w:autoSpaceDN w:val="0"/>
              <w:rPr>
                <w:rFonts w:ascii="Arial" w:hAnsi="Arial" w:cs="Arial"/>
                <w:strike/>
                <w:color w:val="FF0000"/>
                <w:sz w:val="16"/>
                <w:szCs w:val="16"/>
              </w:rPr>
            </w:pPr>
            <w:r w:rsidRPr="009537ED">
              <w:rPr>
                <w:rFonts w:ascii="Arial" w:hAnsi="Arial" w:cs="Arial"/>
                <w:sz w:val="16"/>
                <w:szCs w:val="16"/>
              </w:rPr>
              <w:t>Per resource pool</w:t>
            </w:r>
          </w:p>
        </w:tc>
      </w:tr>
      <w:tr w:rsidR="00067626" w:rsidRPr="009537ED" w14:paraId="269FA4E4" w14:textId="77777777" w:rsidTr="00067626">
        <w:tc>
          <w:tcPr>
            <w:tcW w:w="915" w:type="pct"/>
            <w:shd w:val="clear" w:color="auto" w:fill="auto"/>
            <w:vAlign w:val="center"/>
          </w:tcPr>
          <w:p w14:paraId="49448B8A" w14:textId="77777777" w:rsidR="00067626" w:rsidRPr="009537ED" w:rsidRDefault="00067626" w:rsidP="00067626">
            <w:pPr>
              <w:autoSpaceDE w:val="0"/>
              <w:autoSpaceDN w:val="0"/>
              <w:rPr>
                <w:rFonts w:ascii="Arial" w:hAnsi="Arial" w:cs="Arial"/>
                <w:sz w:val="16"/>
                <w:szCs w:val="16"/>
              </w:rPr>
            </w:pPr>
            <w:r w:rsidRPr="009537ED">
              <w:rPr>
                <w:rFonts w:ascii="Arial" w:hAnsi="Arial" w:cs="Arial"/>
                <w:sz w:val="16"/>
                <w:szCs w:val="16"/>
              </w:rPr>
              <w:t>CPEStartingPositionS-SSB</w:t>
            </w:r>
          </w:p>
        </w:tc>
        <w:tc>
          <w:tcPr>
            <w:tcW w:w="2144" w:type="pct"/>
            <w:shd w:val="clear" w:color="auto" w:fill="auto"/>
          </w:tcPr>
          <w:p w14:paraId="65AA082B" w14:textId="77777777" w:rsidR="00067626" w:rsidRPr="009537ED" w:rsidRDefault="00067626" w:rsidP="00067626">
            <w:pPr>
              <w:autoSpaceDE w:val="0"/>
              <w:autoSpaceDN w:val="0"/>
              <w:rPr>
                <w:rFonts w:ascii="Arial" w:hAnsi="Arial" w:cs="Arial"/>
                <w:sz w:val="16"/>
                <w:szCs w:val="16"/>
              </w:rPr>
            </w:pPr>
            <w:r w:rsidRPr="009537ED">
              <w:rPr>
                <w:rFonts w:ascii="Arial" w:hAnsi="Arial" w:cs="Arial"/>
                <w:sz w:val="16"/>
                <w:szCs w:val="16"/>
              </w:rPr>
              <w:t>A CPE starting position within the GP symbol before S-SSB transmission. The value is an index of the set of all candidate CPE starting positions specified in Table 5.3.1-3 of [16, TS38.211] for Ci=1 and the corresponding SCS of the SL BWP.</w:t>
            </w:r>
          </w:p>
        </w:tc>
        <w:tc>
          <w:tcPr>
            <w:tcW w:w="600" w:type="pct"/>
            <w:shd w:val="clear" w:color="auto" w:fill="auto"/>
            <w:vAlign w:val="center"/>
          </w:tcPr>
          <w:p w14:paraId="47084E0F" w14:textId="77777777" w:rsidR="00067626" w:rsidRPr="009537ED" w:rsidRDefault="00067626" w:rsidP="00067626">
            <w:pPr>
              <w:autoSpaceDE w:val="0"/>
              <w:autoSpaceDN w:val="0"/>
              <w:rPr>
                <w:rFonts w:ascii="Arial" w:hAnsi="Arial" w:cs="Arial"/>
                <w:strike/>
                <w:color w:val="FF0000"/>
                <w:sz w:val="16"/>
                <w:szCs w:val="16"/>
              </w:rPr>
            </w:pPr>
            <w:r w:rsidRPr="009537ED">
              <w:rPr>
                <w:rFonts w:ascii="Arial" w:hAnsi="Arial" w:cs="Arial"/>
                <w:strike/>
                <w:color w:val="FF0000"/>
                <w:sz w:val="16"/>
                <w:szCs w:val="16"/>
              </w:rPr>
              <w:t>[</w:t>
            </w:r>
            <w:r w:rsidRPr="009537ED">
              <w:rPr>
                <w:rFonts w:ascii="Arial" w:hAnsi="Arial" w:cs="Arial"/>
                <w:sz w:val="16"/>
                <w:szCs w:val="16"/>
              </w:rPr>
              <w:t>INTEGER (1..X)</w:t>
            </w:r>
            <w:r w:rsidRPr="009537ED">
              <w:rPr>
                <w:rFonts w:ascii="Arial" w:hAnsi="Arial" w:cs="Arial"/>
                <w:strike/>
                <w:color w:val="FF0000"/>
                <w:sz w:val="16"/>
                <w:szCs w:val="16"/>
              </w:rPr>
              <w:t>]</w:t>
            </w:r>
          </w:p>
        </w:tc>
        <w:tc>
          <w:tcPr>
            <w:tcW w:w="610" w:type="pct"/>
            <w:shd w:val="clear" w:color="auto" w:fill="auto"/>
            <w:vAlign w:val="center"/>
          </w:tcPr>
          <w:p w14:paraId="24A779A1" w14:textId="77777777" w:rsidR="00067626" w:rsidRPr="009537ED" w:rsidRDefault="00067626" w:rsidP="00067626">
            <w:pPr>
              <w:autoSpaceDE w:val="0"/>
              <w:autoSpaceDN w:val="0"/>
              <w:rPr>
                <w:rFonts w:ascii="Arial" w:hAnsi="Arial" w:cs="Arial"/>
                <w:sz w:val="16"/>
                <w:szCs w:val="16"/>
              </w:rPr>
            </w:pPr>
            <w:r w:rsidRPr="009537ED">
              <w:rPr>
                <w:rFonts w:ascii="Arial" w:hAnsi="Arial" w:cs="Arial"/>
                <w:sz w:val="16"/>
                <w:szCs w:val="16"/>
              </w:rPr>
              <w:t>N/A</w:t>
            </w:r>
          </w:p>
        </w:tc>
        <w:tc>
          <w:tcPr>
            <w:tcW w:w="732" w:type="pct"/>
            <w:shd w:val="clear" w:color="auto" w:fill="auto"/>
            <w:vAlign w:val="center"/>
          </w:tcPr>
          <w:p w14:paraId="47F1E9B5" w14:textId="77777777" w:rsidR="00067626" w:rsidRPr="009537ED" w:rsidRDefault="00067626" w:rsidP="00067626">
            <w:pPr>
              <w:autoSpaceDE w:val="0"/>
              <w:autoSpaceDN w:val="0"/>
              <w:rPr>
                <w:rFonts w:ascii="Arial" w:hAnsi="Arial" w:cs="Arial"/>
                <w:strike/>
                <w:color w:val="FF0000"/>
                <w:sz w:val="16"/>
                <w:szCs w:val="16"/>
              </w:rPr>
            </w:pPr>
            <w:r w:rsidRPr="009537ED">
              <w:rPr>
                <w:rFonts w:ascii="Arial" w:hAnsi="Arial" w:cs="Arial"/>
                <w:sz w:val="16"/>
                <w:szCs w:val="16"/>
              </w:rPr>
              <w:t>Per SL BWP</w:t>
            </w:r>
          </w:p>
        </w:tc>
      </w:tr>
    </w:tbl>
    <w:p w14:paraId="55857407" w14:textId="77777777" w:rsidR="00067626" w:rsidRPr="009537ED" w:rsidRDefault="00067626" w:rsidP="00067626">
      <w:pPr>
        <w:rPr>
          <w:lang w:eastAsia="zh-CN"/>
        </w:rPr>
      </w:pPr>
    </w:p>
    <w:p w14:paraId="7BC10908" w14:textId="77777777" w:rsidR="00067626" w:rsidRPr="009537ED" w:rsidRDefault="00067626" w:rsidP="00067626">
      <w:r w:rsidRPr="009537ED">
        <w:rPr>
          <w:highlight w:val="green"/>
        </w:rPr>
        <w:t>Agreement</w:t>
      </w:r>
    </w:p>
    <w:p w14:paraId="3784659A" w14:textId="77777777" w:rsidR="00067626" w:rsidRPr="009537ED" w:rsidRDefault="00067626" w:rsidP="00067626">
      <w:r w:rsidRPr="009537ED">
        <w:t>Confirm the below working assumption on Type 1 LBT blocking with following modifications.</w:t>
      </w:r>
    </w:p>
    <w:tbl>
      <w:tblPr>
        <w:tblW w:w="0" w:type="auto"/>
        <w:jc w:val="cente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0062"/>
      </w:tblGrid>
      <w:tr w:rsidR="00067626" w:rsidRPr="009537ED" w14:paraId="24CE5C62" w14:textId="77777777" w:rsidTr="00067626">
        <w:trPr>
          <w:jc w:val="center"/>
        </w:trPr>
        <w:tc>
          <w:tcPr>
            <w:tcW w:w="10062" w:type="dxa"/>
            <w:shd w:val="clear" w:color="auto" w:fill="auto"/>
          </w:tcPr>
          <w:p w14:paraId="6D3A9BC9" w14:textId="77777777" w:rsidR="00067626" w:rsidRPr="009537ED" w:rsidRDefault="00067626" w:rsidP="00067626">
            <w:pPr>
              <w:autoSpaceDE w:val="0"/>
              <w:autoSpaceDN w:val="0"/>
              <w:jc w:val="both"/>
              <w:rPr>
                <w:rFonts w:ascii="Times New Roman" w:eastAsia="DengXian" w:hAnsi="Times New Roman"/>
                <w:sz w:val="18"/>
                <w:szCs w:val="18"/>
                <w:lang w:eastAsia="zh-CN"/>
              </w:rPr>
            </w:pPr>
            <w:r w:rsidRPr="009537ED">
              <w:rPr>
                <w:rFonts w:ascii="Times New Roman" w:hAnsi="Times New Roman"/>
                <w:sz w:val="18"/>
                <w:szCs w:val="18"/>
                <w:highlight w:val="darkYellow"/>
              </w:rPr>
              <w:t>Working assumption</w:t>
            </w:r>
            <w:r w:rsidRPr="009537ED">
              <w:rPr>
                <w:rFonts w:ascii="Times New Roman" w:hAnsi="Times New Roman"/>
                <w:sz w:val="18"/>
                <w:szCs w:val="18"/>
              </w:rPr>
              <w:t xml:space="preserve"> (RAN1#114bis)</w:t>
            </w:r>
          </w:p>
          <w:p w14:paraId="7C775BDC" w14:textId="77777777" w:rsidR="00067626" w:rsidRPr="009537ED" w:rsidRDefault="00067626" w:rsidP="00067626">
            <w:pPr>
              <w:autoSpaceDE w:val="0"/>
              <w:autoSpaceDN w:val="0"/>
              <w:jc w:val="both"/>
              <w:rPr>
                <w:rFonts w:ascii="Times New Roman" w:hAnsi="Times New Roman"/>
                <w:sz w:val="18"/>
                <w:szCs w:val="18"/>
              </w:rPr>
            </w:pPr>
            <w:r w:rsidRPr="009537ED">
              <w:rPr>
                <w:rFonts w:ascii="Times New Roman" w:hAnsi="Times New Roman"/>
                <w:sz w:val="18"/>
                <w:szCs w:val="18"/>
              </w:rPr>
              <w:t>For Type 1 LBT block issue (inter-UE case), the following option 2 and option 1 are supported separately based on UE capability</w:t>
            </w:r>
          </w:p>
          <w:p w14:paraId="0A0C1238" w14:textId="18DA699B" w:rsidR="00067626" w:rsidRPr="009537ED" w:rsidRDefault="00067626" w:rsidP="00BC5BE9">
            <w:pPr>
              <w:numPr>
                <w:ilvl w:val="0"/>
                <w:numId w:val="90"/>
              </w:numPr>
              <w:autoSpaceDE w:val="0"/>
              <w:autoSpaceDN w:val="0"/>
              <w:jc w:val="both"/>
              <w:rPr>
                <w:rFonts w:ascii="Times New Roman" w:hAnsi="Times New Roman"/>
                <w:color w:val="000000"/>
                <w:sz w:val="18"/>
                <w:szCs w:val="18"/>
                <w:lang w:eastAsia="x-none"/>
              </w:rPr>
            </w:pPr>
            <w:r w:rsidRPr="009537ED">
              <w:rPr>
                <w:rFonts w:ascii="Times New Roman" w:hAnsi="Times New Roman"/>
                <w:color w:val="000000"/>
                <w:sz w:val="18"/>
                <w:szCs w:val="18"/>
                <w:lang w:eastAsia="x-none"/>
              </w:rPr>
              <w:t xml:space="preserve">Option 2: If transmission in slot(s) </w:t>
            </w:r>
            <w:ins w:id="253" w:author="David mazzarese" w:date="2023-11-13T18:27:00Z">
              <w:r w:rsidRPr="009537ED">
                <w:rPr>
                  <w:rFonts w:ascii="Times New Roman" w:hAnsi="Times New Roman"/>
                  <w:color w:val="000000"/>
                  <w:sz w:val="18"/>
                  <w:szCs w:val="18"/>
                  <w:lang w:eastAsia="x-none"/>
                </w:rPr>
                <w:t xml:space="preserve">at least </w:t>
              </w:r>
            </w:ins>
            <m:oMath>
              <m:sSubSup>
                <m:sSubSupPr>
                  <m:ctrlPr>
                    <w:ins w:id="254" w:author="Kevin Lin" w:date="2023-11-11T02:02:00Z">
                      <w:rPr>
                        <w:rFonts w:ascii="Cambria Math" w:eastAsia="Malgun Gothic" w:hAnsi="Cambria Math"/>
                        <w:i/>
                        <w:color w:val="000000"/>
                        <w:sz w:val="18"/>
                        <w:szCs w:val="18"/>
                        <w:lang w:eastAsia="ko-KR"/>
                      </w:rPr>
                    </w:ins>
                  </m:ctrlPr>
                </m:sSubSupPr>
                <m:e>
                  <m:r>
                    <w:ins w:id="255" w:author="Kevin Lin" w:date="2023-11-11T02:02:00Z">
                      <w:rPr>
                        <w:rFonts w:ascii="Cambria Math" w:eastAsia="Malgun Gothic" w:hAnsi="Cambria Math"/>
                        <w:color w:val="000000"/>
                        <w:sz w:val="18"/>
                        <w:szCs w:val="18"/>
                        <w:lang w:eastAsia="ko-KR"/>
                      </w:rPr>
                      <m:t>T</m:t>
                    </w:ins>
                  </m:r>
                </m:e>
                <m:sub>
                  <m:r>
                    <w:ins w:id="256" w:author="Kevin Lin" w:date="2023-11-11T02:02:00Z">
                      <w:rPr>
                        <w:rFonts w:ascii="Cambria Math" w:eastAsia="Malgun Gothic" w:hAnsi="Cambria Math"/>
                        <w:color w:val="000000"/>
                        <w:sz w:val="18"/>
                        <w:szCs w:val="18"/>
                        <w:lang w:eastAsia="ko-KR"/>
                      </w:rPr>
                      <m:t>proc</m:t>
                    </w:ins>
                  </m:r>
                  <m:r>
                    <w:ins w:id="257" w:author="Kevin Lin" w:date="2023-11-11T02:02:00Z">
                      <m:rPr>
                        <m:sty m:val="p"/>
                      </m:rPr>
                      <w:rPr>
                        <w:rFonts w:ascii="Cambria Math" w:eastAsia="Malgun Gothic" w:hAnsi="Cambria Math"/>
                        <w:color w:val="000000"/>
                        <w:sz w:val="18"/>
                        <w:szCs w:val="18"/>
                        <w:lang w:eastAsia="ko-KR"/>
                      </w:rPr>
                      <m:t>,0</m:t>
                    </w:ins>
                  </m:r>
                  <m:ctrlPr>
                    <w:ins w:id="258" w:author="Kevin Lin" w:date="2023-11-11T02:02:00Z">
                      <w:rPr>
                        <w:rFonts w:ascii="Cambria Math" w:eastAsia="Malgun Gothic" w:hAnsi="Cambria Math"/>
                        <w:color w:val="000000"/>
                        <w:sz w:val="18"/>
                        <w:szCs w:val="18"/>
                        <w:lang w:eastAsia="ko-KR"/>
                      </w:rPr>
                    </w:ins>
                  </m:ctrlPr>
                </m:sub>
                <m:sup>
                  <m:r>
                    <w:ins w:id="259" w:author="Kevin Lin" w:date="2023-11-11T02:02:00Z">
                      <w:rPr>
                        <w:rFonts w:ascii="Cambria Math" w:eastAsia="Malgun Gothic" w:hAnsi="Cambria Math"/>
                        <w:color w:val="000000"/>
                        <w:sz w:val="18"/>
                        <w:szCs w:val="18"/>
                        <w:lang w:eastAsia="ko-KR"/>
                      </w:rPr>
                      <m:t>SL</m:t>
                    </w:ins>
                  </m:r>
                </m:sup>
              </m:sSubSup>
            </m:oMath>
            <w:ins w:id="260" w:author="Kevin Lin" w:date="2023-11-11T02:02:00Z">
              <w:r w:rsidRPr="009537ED">
                <w:rPr>
                  <w:rFonts w:ascii="Times New Roman" w:hAnsi="Times New Roman"/>
                  <w:color w:val="000000"/>
                  <w:sz w:val="18"/>
                  <w:szCs w:val="18"/>
                  <w:lang w:eastAsia="ko-KR"/>
                </w:rPr>
                <w:t xml:space="preserve"> </w:t>
              </w:r>
            </w:ins>
            <w:r w:rsidRPr="009537ED">
              <w:rPr>
                <w:rFonts w:ascii="Times New Roman" w:hAnsi="Times New Roman"/>
                <w:color w:val="000000"/>
                <w:sz w:val="18"/>
                <w:szCs w:val="18"/>
                <w:lang w:eastAsia="x-none"/>
              </w:rPr>
              <w:t xml:space="preserve">before a reserved resource is able to share its initiated COT to the reservation, UE may prioritize/select resource(s) in the slot(s) for transmission. </w:t>
            </w:r>
          </w:p>
          <w:p w14:paraId="0C23953C" w14:textId="77777777" w:rsidR="00067626" w:rsidRPr="009537ED" w:rsidDel="003E6835" w:rsidRDefault="00067626" w:rsidP="00067626">
            <w:pPr>
              <w:numPr>
                <w:ilvl w:val="1"/>
                <w:numId w:val="19"/>
              </w:numPr>
              <w:autoSpaceDE w:val="0"/>
              <w:autoSpaceDN w:val="0"/>
              <w:jc w:val="both"/>
              <w:rPr>
                <w:del w:id="261" w:author="Kevin Lin" w:date="2023-11-11T02:03:00Z"/>
                <w:rFonts w:ascii="Times New Roman" w:hAnsi="Times New Roman"/>
                <w:color w:val="000000"/>
                <w:sz w:val="18"/>
                <w:szCs w:val="18"/>
                <w:lang w:eastAsia="x-none"/>
              </w:rPr>
            </w:pPr>
            <w:del w:id="262" w:author="Kevin Lin" w:date="2023-11-11T02:03:00Z">
              <w:r w:rsidRPr="009537ED" w:rsidDel="003E6835">
                <w:rPr>
                  <w:rFonts w:ascii="Times New Roman" w:hAnsi="Times New Roman"/>
                  <w:color w:val="000000"/>
                  <w:sz w:val="18"/>
                  <w:szCs w:val="18"/>
                  <w:lang w:eastAsia="x-none"/>
                </w:rPr>
                <w:delText>FFS: details of applying this prioritization, and if the reserved resource belongs to a MCSt, the COT initiating UE should be able to share the COT to cover the whole MCSt</w:delText>
              </w:r>
            </w:del>
          </w:p>
          <w:p w14:paraId="4C20DCB0" w14:textId="77777777" w:rsidR="00067626" w:rsidRPr="009537ED" w:rsidRDefault="00067626" w:rsidP="00067626">
            <w:pPr>
              <w:numPr>
                <w:ilvl w:val="1"/>
                <w:numId w:val="0"/>
              </w:numPr>
              <w:autoSpaceDE w:val="0"/>
              <w:autoSpaceDN w:val="0"/>
              <w:ind w:left="1440" w:hanging="360"/>
              <w:jc w:val="both"/>
              <w:rPr>
                <w:rFonts w:ascii="Times New Roman" w:hAnsi="Times New Roman"/>
                <w:color w:val="000000"/>
                <w:sz w:val="18"/>
                <w:szCs w:val="18"/>
                <w:lang w:eastAsia="x-none"/>
              </w:rPr>
            </w:pPr>
            <w:r w:rsidRPr="009537ED">
              <w:rPr>
                <w:rFonts w:ascii="Times New Roman" w:hAnsi="Times New Roman"/>
                <w:color w:val="000000"/>
                <w:sz w:val="18"/>
                <w:szCs w:val="18"/>
                <w:lang w:eastAsia="x-none"/>
              </w:rPr>
              <w:t>(pre)configuring enabling/disabling option 2 is supported</w:t>
            </w:r>
          </w:p>
          <w:p w14:paraId="23BF2721" w14:textId="77777777" w:rsidR="00067626" w:rsidRPr="009537ED" w:rsidRDefault="00067626" w:rsidP="00BC5BE9">
            <w:pPr>
              <w:numPr>
                <w:ilvl w:val="0"/>
                <w:numId w:val="90"/>
              </w:numPr>
              <w:autoSpaceDE w:val="0"/>
              <w:autoSpaceDN w:val="0"/>
              <w:jc w:val="both"/>
              <w:rPr>
                <w:rFonts w:ascii="Times New Roman" w:hAnsi="Times New Roman"/>
                <w:color w:val="000000"/>
                <w:sz w:val="18"/>
                <w:szCs w:val="18"/>
                <w:lang w:eastAsia="x-none"/>
              </w:rPr>
            </w:pPr>
            <w:r w:rsidRPr="009537ED">
              <w:rPr>
                <w:rFonts w:ascii="Times New Roman" w:hAnsi="Times New Roman"/>
                <w:color w:val="000000"/>
                <w:sz w:val="18"/>
                <w:szCs w:val="18"/>
                <w:lang w:eastAsia="x-none"/>
              </w:rPr>
              <w:t xml:space="preserve">Option 1: </w:t>
            </w:r>
          </w:p>
          <w:p w14:paraId="774CD2A2" w14:textId="77777777" w:rsidR="00067626" w:rsidRPr="009537ED" w:rsidRDefault="00067626" w:rsidP="00BC5BE9">
            <w:pPr>
              <w:numPr>
                <w:ilvl w:val="1"/>
                <w:numId w:val="91"/>
              </w:numPr>
              <w:autoSpaceDE w:val="0"/>
              <w:autoSpaceDN w:val="0"/>
              <w:snapToGrid w:val="0"/>
              <w:jc w:val="both"/>
              <w:rPr>
                <w:rFonts w:ascii="Times New Roman" w:hAnsi="Times New Roman"/>
                <w:color w:val="000000"/>
                <w:sz w:val="18"/>
                <w:szCs w:val="18"/>
                <w:lang w:eastAsia="x-none"/>
              </w:rPr>
            </w:pPr>
            <w:r w:rsidRPr="009537ED">
              <w:rPr>
                <w:rFonts w:ascii="Times New Roman" w:hAnsi="Times New Roman"/>
                <w:color w:val="000000"/>
                <w:sz w:val="18"/>
                <w:szCs w:val="18"/>
                <w:lang w:eastAsia="x-none"/>
              </w:rPr>
              <w:t xml:space="preserve">UE may avoid selection of N consecutive resource(s) before a reserved resource when the L1 SL priority value for the transmission is higher than the L1 SL priority value of the reserved resource. </w:t>
            </w:r>
          </w:p>
          <w:p w14:paraId="59399327" w14:textId="77777777" w:rsidR="00067626" w:rsidRPr="009537ED" w:rsidRDefault="00067626" w:rsidP="00BC5BE9">
            <w:pPr>
              <w:numPr>
                <w:ilvl w:val="2"/>
                <w:numId w:val="91"/>
              </w:numPr>
              <w:autoSpaceDE w:val="0"/>
              <w:autoSpaceDN w:val="0"/>
              <w:snapToGrid w:val="0"/>
              <w:jc w:val="both"/>
              <w:rPr>
                <w:rFonts w:ascii="Times New Roman" w:hAnsi="Times New Roman"/>
                <w:color w:val="000000"/>
                <w:sz w:val="18"/>
                <w:szCs w:val="18"/>
                <w:lang w:eastAsia="x-none"/>
              </w:rPr>
            </w:pPr>
            <w:r w:rsidRPr="009537ED">
              <w:rPr>
                <w:rFonts w:ascii="Times New Roman" w:hAnsi="Times New Roman"/>
                <w:color w:val="000000"/>
                <w:sz w:val="18"/>
                <w:szCs w:val="18"/>
                <w:lang w:eastAsia="x-none"/>
              </w:rPr>
              <w:lastRenderedPageBreak/>
              <w:t>The value of N can be selected from {0, 1, 2}</w:t>
            </w:r>
          </w:p>
          <w:p w14:paraId="10CF1437" w14:textId="77777777" w:rsidR="00067626" w:rsidRPr="009537ED" w:rsidRDefault="00067626" w:rsidP="00BC5BE9">
            <w:pPr>
              <w:numPr>
                <w:ilvl w:val="2"/>
                <w:numId w:val="91"/>
              </w:numPr>
              <w:autoSpaceDE w:val="0"/>
              <w:autoSpaceDN w:val="0"/>
              <w:snapToGrid w:val="0"/>
              <w:jc w:val="both"/>
              <w:rPr>
                <w:rFonts w:ascii="Times New Roman" w:hAnsi="Times New Roman"/>
                <w:color w:val="000000"/>
                <w:sz w:val="18"/>
                <w:szCs w:val="18"/>
                <w:lang w:eastAsia="x-none"/>
              </w:rPr>
            </w:pPr>
            <w:r w:rsidRPr="009537ED">
              <w:rPr>
                <w:rFonts w:ascii="Times New Roman" w:hAnsi="Times New Roman"/>
                <w:color w:val="000000"/>
                <w:sz w:val="18"/>
                <w:szCs w:val="18"/>
                <w:lang w:eastAsia="x-none"/>
              </w:rPr>
              <w:t>The selection of the value of N is up to UE implementation</w:t>
            </w:r>
          </w:p>
          <w:p w14:paraId="73473BAC" w14:textId="77777777" w:rsidR="00067626" w:rsidRPr="009537ED" w:rsidDel="003E6835" w:rsidRDefault="00067626" w:rsidP="00067626">
            <w:pPr>
              <w:numPr>
                <w:ilvl w:val="1"/>
                <w:numId w:val="20"/>
              </w:numPr>
              <w:autoSpaceDE w:val="0"/>
              <w:autoSpaceDN w:val="0"/>
              <w:snapToGrid w:val="0"/>
              <w:jc w:val="both"/>
              <w:rPr>
                <w:del w:id="263" w:author="Kevin Lin" w:date="2023-11-11T02:03:00Z"/>
                <w:rFonts w:ascii="Times New Roman" w:hAnsi="Times New Roman"/>
                <w:color w:val="000000"/>
                <w:sz w:val="18"/>
                <w:szCs w:val="18"/>
                <w:lang w:eastAsia="x-none"/>
              </w:rPr>
            </w:pPr>
            <w:del w:id="264" w:author="Kevin Lin" w:date="2023-11-11T02:03:00Z">
              <w:r w:rsidRPr="009537ED" w:rsidDel="003E6835">
                <w:rPr>
                  <w:rFonts w:ascii="Times New Roman" w:hAnsi="Times New Roman"/>
                  <w:color w:val="000000"/>
                  <w:sz w:val="18"/>
                  <w:szCs w:val="18"/>
                  <w:lang w:eastAsia="x-none"/>
                </w:rPr>
                <w:delText>FFS: unless (pre-)configured or indicated by UE reserved resource in SCI</w:delText>
              </w:r>
            </w:del>
          </w:p>
          <w:p w14:paraId="0EC93072" w14:textId="77777777" w:rsidR="00067626" w:rsidRPr="009537ED" w:rsidRDefault="00067626" w:rsidP="00067626">
            <w:pPr>
              <w:numPr>
                <w:ilvl w:val="1"/>
                <w:numId w:val="0"/>
              </w:numPr>
              <w:autoSpaceDE w:val="0"/>
              <w:autoSpaceDN w:val="0"/>
              <w:snapToGrid w:val="0"/>
              <w:ind w:left="1440" w:hanging="360"/>
              <w:jc w:val="both"/>
              <w:rPr>
                <w:rFonts w:ascii="Times New Roman" w:hAnsi="Times New Roman"/>
                <w:color w:val="000000"/>
                <w:sz w:val="18"/>
                <w:szCs w:val="18"/>
                <w:lang w:eastAsia="x-none"/>
              </w:rPr>
            </w:pPr>
            <w:r w:rsidRPr="009537ED">
              <w:rPr>
                <w:rFonts w:ascii="Times New Roman" w:hAnsi="Times New Roman"/>
                <w:color w:val="000000"/>
                <w:sz w:val="18"/>
                <w:szCs w:val="18"/>
                <w:lang w:eastAsia="x-none"/>
              </w:rPr>
              <w:t xml:space="preserve">UE may avoid selection of M consecutive resource(s) after a reserved resource when the transmitting symbols of the reserved resource overlap with LBT of the selected resource. </w:t>
            </w:r>
          </w:p>
          <w:p w14:paraId="57543BBC" w14:textId="77777777" w:rsidR="00067626" w:rsidRPr="009537ED" w:rsidRDefault="00067626" w:rsidP="00BC5BE9">
            <w:pPr>
              <w:numPr>
                <w:ilvl w:val="2"/>
                <w:numId w:val="91"/>
              </w:numPr>
              <w:autoSpaceDE w:val="0"/>
              <w:autoSpaceDN w:val="0"/>
              <w:snapToGrid w:val="0"/>
              <w:jc w:val="both"/>
              <w:rPr>
                <w:ins w:id="265" w:author="David mazzarese" w:date="2023-11-13T18:31:00Z"/>
                <w:rFonts w:ascii="Times New Roman" w:hAnsi="Times New Roman"/>
                <w:color w:val="000000"/>
                <w:sz w:val="18"/>
                <w:szCs w:val="18"/>
                <w:lang w:eastAsia="x-none"/>
              </w:rPr>
            </w:pPr>
            <w:ins w:id="266" w:author="David mazzarese" w:date="2023-11-13T18:31:00Z">
              <w:r w:rsidRPr="009537ED">
                <w:rPr>
                  <w:rFonts w:ascii="Times New Roman" w:hAnsi="Times New Roman"/>
                  <w:color w:val="000000"/>
                  <w:sz w:val="18"/>
                  <w:szCs w:val="18"/>
                  <w:lang w:eastAsia="x-none"/>
                </w:rPr>
                <w:t>The value of M can be selected from {0, 1, 2}</w:t>
              </w:r>
            </w:ins>
          </w:p>
          <w:p w14:paraId="55848F96" w14:textId="77777777" w:rsidR="00067626" w:rsidRPr="009537ED" w:rsidRDefault="00067626" w:rsidP="00BC5BE9">
            <w:pPr>
              <w:numPr>
                <w:ilvl w:val="2"/>
                <w:numId w:val="91"/>
              </w:numPr>
              <w:autoSpaceDE w:val="0"/>
              <w:autoSpaceDN w:val="0"/>
              <w:snapToGrid w:val="0"/>
              <w:jc w:val="both"/>
              <w:rPr>
                <w:rFonts w:ascii="Times New Roman" w:hAnsi="Times New Roman"/>
                <w:color w:val="000000"/>
                <w:sz w:val="18"/>
                <w:szCs w:val="18"/>
                <w:lang w:eastAsia="x-none"/>
              </w:rPr>
            </w:pPr>
            <w:r w:rsidRPr="009537ED">
              <w:rPr>
                <w:rFonts w:ascii="Times New Roman" w:hAnsi="Times New Roman"/>
                <w:color w:val="000000"/>
                <w:sz w:val="18"/>
                <w:szCs w:val="18"/>
                <w:lang w:eastAsia="x-none"/>
              </w:rPr>
              <w:t xml:space="preserve">M is determined based on UE implementation </w:t>
            </w:r>
            <w:del w:id="267" w:author="David mazzarese" w:date="2023-11-13T18:31:00Z">
              <w:r w:rsidRPr="009537ED" w:rsidDel="00AB41AB">
                <w:rPr>
                  <w:rFonts w:ascii="Times New Roman" w:hAnsi="Times New Roman"/>
                  <w:color w:val="000000"/>
                  <w:sz w:val="18"/>
                  <w:szCs w:val="18"/>
                  <w:lang w:eastAsia="x-none"/>
                </w:rPr>
                <w:delText>(at least including 0)</w:delText>
              </w:r>
            </w:del>
          </w:p>
          <w:p w14:paraId="598543BC" w14:textId="77777777" w:rsidR="00067626" w:rsidRPr="009537ED" w:rsidDel="003E6835" w:rsidRDefault="00067626" w:rsidP="00067626">
            <w:pPr>
              <w:numPr>
                <w:ilvl w:val="1"/>
                <w:numId w:val="20"/>
              </w:numPr>
              <w:autoSpaceDE w:val="0"/>
              <w:autoSpaceDN w:val="0"/>
              <w:snapToGrid w:val="0"/>
              <w:jc w:val="both"/>
              <w:rPr>
                <w:del w:id="268" w:author="Kevin Lin" w:date="2023-11-11T02:03:00Z"/>
                <w:rFonts w:ascii="Times New Roman" w:hAnsi="Times New Roman"/>
                <w:color w:val="000000"/>
                <w:sz w:val="18"/>
                <w:szCs w:val="18"/>
                <w:lang w:eastAsia="x-none"/>
              </w:rPr>
            </w:pPr>
            <w:del w:id="269" w:author="Kevin Lin" w:date="2023-11-11T02:03:00Z">
              <w:r w:rsidRPr="009537ED" w:rsidDel="003E6835">
                <w:rPr>
                  <w:rFonts w:ascii="Times New Roman" w:hAnsi="Times New Roman"/>
                  <w:sz w:val="18"/>
                  <w:szCs w:val="18"/>
                  <w:lang w:eastAsia="x-none"/>
                </w:rPr>
                <w:delText>FFS: any restriction of M</w:delText>
              </w:r>
            </w:del>
          </w:p>
          <w:p w14:paraId="68845FC2" w14:textId="77777777" w:rsidR="00067626" w:rsidRPr="009537ED" w:rsidRDefault="00067626" w:rsidP="00067626">
            <w:pPr>
              <w:numPr>
                <w:ilvl w:val="1"/>
                <w:numId w:val="0"/>
              </w:numPr>
              <w:autoSpaceDE w:val="0"/>
              <w:autoSpaceDN w:val="0"/>
              <w:snapToGrid w:val="0"/>
              <w:ind w:left="1440" w:hanging="360"/>
              <w:jc w:val="both"/>
              <w:rPr>
                <w:rFonts w:ascii="Times New Roman" w:hAnsi="Times New Roman"/>
                <w:color w:val="000000"/>
                <w:sz w:val="18"/>
                <w:szCs w:val="18"/>
                <w:lang w:eastAsia="x-none"/>
              </w:rPr>
            </w:pPr>
            <w:r w:rsidRPr="009537ED">
              <w:rPr>
                <w:rFonts w:ascii="Times New Roman" w:hAnsi="Times New Roman"/>
                <w:color w:val="000000"/>
                <w:sz w:val="18"/>
                <w:szCs w:val="18"/>
                <w:lang w:eastAsia="x-none"/>
              </w:rPr>
              <w:t>(pre)configuring enabling/disabling option 1 is supported</w:t>
            </w:r>
          </w:p>
          <w:p w14:paraId="395A74DC" w14:textId="77777777" w:rsidR="00067626" w:rsidRPr="009537ED" w:rsidDel="003E6835" w:rsidRDefault="00067626" w:rsidP="00067626">
            <w:pPr>
              <w:numPr>
                <w:ilvl w:val="0"/>
                <w:numId w:val="19"/>
              </w:numPr>
              <w:autoSpaceDE w:val="0"/>
              <w:autoSpaceDN w:val="0"/>
              <w:jc w:val="both"/>
              <w:rPr>
                <w:del w:id="270" w:author="Kevin Lin" w:date="2023-11-11T02:04:00Z"/>
                <w:rFonts w:ascii="Times New Roman" w:hAnsi="Times New Roman"/>
                <w:sz w:val="18"/>
                <w:szCs w:val="18"/>
                <w:lang w:eastAsia="x-none"/>
              </w:rPr>
            </w:pPr>
            <w:del w:id="271" w:author="Kevin Lin" w:date="2023-11-11T02:04:00Z">
              <w:r w:rsidRPr="009537ED" w:rsidDel="003E6835">
                <w:rPr>
                  <w:rFonts w:ascii="Times New Roman" w:hAnsi="Times New Roman"/>
                  <w:sz w:val="18"/>
                  <w:szCs w:val="18"/>
                  <w:lang w:eastAsia="x-none"/>
                </w:rPr>
                <w:delText>FFS: Whether the above high priority is determined according to a (pre)configured threshold</w:delText>
              </w:r>
            </w:del>
          </w:p>
          <w:p w14:paraId="5E41FE87" w14:textId="77777777" w:rsidR="00067626" w:rsidRPr="009537ED" w:rsidRDefault="00067626" w:rsidP="00067626">
            <w:pPr>
              <w:autoSpaceDE w:val="0"/>
              <w:autoSpaceDN w:val="0"/>
              <w:ind w:left="720" w:hanging="360"/>
              <w:jc w:val="both"/>
              <w:rPr>
                <w:rFonts w:ascii="Times New Roman" w:hAnsi="Times New Roman"/>
                <w:sz w:val="18"/>
                <w:szCs w:val="18"/>
                <w:lang w:eastAsia="x-none"/>
              </w:rPr>
            </w:pPr>
            <w:r w:rsidRPr="009537ED">
              <w:rPr>
                <w:rFonts w:ascii="Times New Roman" w:hAnsi="Times New Roman"/>
                <w:sz w:val="18"/>
                <w:szCs w:val="18"/>
                <w:lang w:eastAsia="x-none"/>
              </w:rPr>
              <w:t>Note: both option1 and option2 are optional UE features</w:t>
            </w:r>
          </w:p>
        </w:tc>
      </w:tr>
    </w:tbl>
    <w:p w14:paraId="1BBADF30" w14:textId="77777777" w:rsidR="00067626" w:rsidRPr="009537ED" w:rsidRDefault="00067626" w:rsidP="00067626"/>
    <w:p w14:paraId="2DDC61F3" w14:textId="77777777" w:rsidR="00356168" w:rsidRPr="009537ED" w:rsidRDefault="00356168" w:rsidP="00067626">
      <w:pPr>
        <w:rPr>
          <w:lang w:eastAsia="x-none"/>
        </w:rPr>
      </w:pPr>
    </w:p>
    <w:p w14:paraId="304F8541" w14:textId="172254F5" w:rsidR="00F74A6F" w:rsidRPr="009537ED" w:rsidRDefault="005A18DC" w:rsidP="00F74A6F">
      <w:pPr>
        <w:rPr>
          <w:lang w:eastAsia="x-none"/>
        </w:rPr>
      </w:pPr>
      <w:hyperlink r:id="rId987" w:history="1">
        <w:r w:rsidR="00AF7253">
          <w:rPr>
            <w:rStyle w:val="Hyperlink"/>
            <w:lang w:eastAsia="x-none"/>
          </w:rPr>
          <w:t>R1-2312249</w:t>
        </w:r>
      </w:hyperlink>
      <w:r w:rsidR="00F74A6F" w:rsidRPr="009537ED">
        <w:rPr>
          <w:lang w:eastAsia="x-none"/>
        </w:rPr>
        <w:tab/>
        <w:t>FL summary #2 for AI 8.2.1.1: SL-U channel access mechanism</w:t>
      </w:r>
      <w:r w:rsidR="00F74A6F" w:rsidRPr="009537ED">
        <w:rPr>
          <w:lang w:eastAsia="x-none"/>
        </w:rPr>
        <w:tab/>
        <w:t>Moderator (OPPO)</w:t>
      </w:r>
    </w:p>
    <w:p w14:paraId="75B7CE26" w14:textId="46FBA7F7" w:rsidR="00F74A6F" w:rsidRPr="004E3EB8" w:rsidRDefault="005A18DC" w:rsidP="00F74A6F">
      <w:pPr>
        <w:rPr>
          <w:b/>
          <w:bCs/>
          <w:lang w:eastAsia="x-none"/>
        </w:rPr>
      </w:pPr>
      <w:hyperlink r:id="rId988" w:history="1">
        <w:r w:rsidR="00AF7253">
          <w:rPr>
            <w:rStyle w:val="Hyperlink"/>
            <w:b/>
            <w:bCs/>
            <w:lang w:eastAsia="x-none"/>
          </w:rPr>
          <w:t>R1-2312250</w:t>
        </w:r>
      </w:hyperlink>
      <w:r w:rsidR="00F74A6F" w:rsidRPr="004E3EB8">
        <w:rPr>
          <w:b/>
          <w:bCs/>
          <w:lang w:eastAsia="x-none"/>
        </w:rPr>
        <w:tab/>
        <w:t>FL summary #3 for AI 8.2.1.1: SL-U channel access mechanism</w:t>
      </w:r>
      <w:r w:rsidR="00F74A6F" w:rsidRPr="004E3EB8">
        <w:rPr>
          <w:b/>
          <w:bCs/>
          <w:lang w:eastAsia="x-none"/>
        </w:rPr>
        <w:tab/>
        <w:t>Moderator (OPPO)</w:t>
      </w:r>
    </w:p>
    <w:p w14:paraId="19C0AE71" w14:textId="6B65CA5C" w:rsidR="004E3EB8" w:rsidRDefault="004E3EB8" w:rsidP="00F74A6F">
      <w:pPr>
        <w:rPr>
          <w:lang w:eastAsia="x-none"/>
        </w:rPr>
      </w:pPr>
      <w:r>
        <w:rPr>
          <w:lang w:eastAsia="x-none"/>
        </w:rPr>
        <w:t>From Wednesday session</w:t>
      </w:r>
    </w:p>
    <w:p w14:paraId="57167774" w14:textId="77777777" w:rsidR="004E3EB8" w:rsidRPr="004E3EB8" w:rsidRDefault="004E3EB8" w:rsidP="004E3EB8">
      <w:r w:rsidRPr="004E3EB8">
        <w:rPr>
          <w:highlight w:val="green"/>
        </w:rPr>
        <w:t>Agreement</w:t>
      </w:r>
    </w:p>
    <w:p w14:paraId="13F178C8" w14:textId="77777777" w:rsidR="004E3EB8" w:rsidRPr="004E3EB8" w:rsidRDefault="004E3EB8" w:rsidP="004E3EB8">
      <w:pPr>
        <w:rPr>
          <w:lang w:eastAsia="zh-CN"/>
        </w:rPr>
      </w:pPr>
      <w:r w:rsidRPr="004E3EB8">
        <w:t>Confirm the working assumption</w:t>
      </w:r>
      <w:r w:rsidRPr="004E3EB8">
        <w:rPr>
          <w:u w:val="words"/>
        </w:rPr>
        <w:t xml:space="preserve"> </w:t>
      </w:r>
      <w:r w:rsidRPr="004E3EB8">
        <w:t>with the following modifications</w:t>
      </w:r>
    </w:p>
    <w:tbl>
      <w:tblPr>
        <w:tblW w:w="0" w:type="auto"/>
        <w:tblInd w:w="704" w:type="dxa"/>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8927"/>
      </w:tblGrid>
      <w:tr w:rsidR="004E3EB8" w:rsidRPr="004E3EB8" w14:paraId="0A77B523" w14:textId="77777777" w:rsidTr="00DE645D">
        <w:tc>
          <w:tcPr>
            <w:tcW w:w="8927" w:type="dxa"/>
            <w:shd w:val="clear" w:color="auto" w:fill="auto"/>
          </w:tcPr>
          <w:p w14:paraId="31B349C1" w14:textId="77777777" w:rsidR="004E3EB8" w:rsidRPr="004E3EB8" w:rsidRDefault="004E3EB8" w:rsidP="004E3EB8">
            <w:pPr>
              <w:rPr>
                <w:rFonts w:ascii="Arial" w:hAnsi="Arial" w:cs="Arial"/>
                <w:sz w:val="16"/>
                <w:szCs w:val="16"/>
                <w:lang w:eastAsia="zh-CN"/>
              </w:rPr>
            </w:pPr>
            <w:r w:rsidRPr="004E3EB8">
              <w:rPr>
                <w:rFonts w:ascii="Arial" w:hAnsi="Arial" w:cs="Arial"/>
                <w:sz w:val="16"/>
                <w:szCs w:val="16"/>
                <w:highlight w:val="darkYellow"/>
              </w:rPr>
              <w:t>Working assumption</w:t>
            </w:r>
            <w:r w:rsidRPr="004E3EB8">
              <w:rPr>
                <w:rFonts w:ascii="Arial" w:hAnsi="Arial" w:cs="Arial"/>
                <w:sz w:val="16"/>
                <w:szCs w:val="16"/>
              </w:rPr>
              <w:t xml:space="preserve"> (RAN1#113)</w:t>
            </w:r>
          </w:p>
          <w:p w14:paraId="46213453" w14:textId="77777777" w:rsidR="004E3EB8" w:rsidRPr="004E3EB8" w:rsidRDefault="004E3EB8" w:rsidP="004E3EB8">
            <w:pPr>
              <w:autoSpaceDE w:val="0"/>
              <w:autoSpaceDN w:val="0"/>
              <w:adjustRightInd w:val="0"/>
              <w:snapToGrid w:val="0"/>
              <w:jc w:val="both"/>
              <w:rPr>
                <w:rFonts w:ascii="Arial" w:eastAsia="SimSun" w:hAnsi="Arial" w:cs="Arial"/>
                <w:sz w:val="16"/>
                <w:szCs w:val="16"/>
                <w:lang w:val="en-US"/>
              </w:rPr>
            </w:pPr>
            <w:r w:rsidRPr="004E3EB8">
              <w:rPr>
                <w:rFonts w:ascii="Arial" w:eastAsia="SimSun" w:hAnsi="Arial" w:cs="Arial"/>
                <w:sz w:val="16"/>
                <w:szCs w:val="16"/>
                <w:lang w:val="en-US"/>
              </w:rPr>
              <w:t>For UE-to-UE COT sharing in SL-U, a parameter “</w:t>
            </w:r>
            <w:r w:rsidRPr="004E3EB8">
              <w:rPr>
                <w:rFonts w:ascii="Arial" w:eastAsia="SimSun" w:hAnsi="Arial" w:cs="Arial"/>
                <w:i/>
                <w:iCs/>
                <w:sz w:val="16"/>
                <w:szCs w:val="16"/>
                <w:lang w:val="en-US"/>
              </w:rPr>
              <w:t>ue-toUE-COT-SharingED-Threshold</w:t>
            </w:r>
            <w:r w:rsidRPr="004E3EB8">
              <w:rPr>
                <w:rFonts w:ascii="Arial" w:eastAsia="SimSun" w:hAnsi="Arial" w:cs="Arial"/>
                <w:sz w:val="16"/>
                <w:szCs w:val="16"/>
                <w:lang w:val="en-US"/>
              </w:rPr>
              <w:t xml:space="preserve">” is </w:t>
            </w:r>
            <w:ins w:id="272" w:author="Kevin Lin2" w:date="2023-11-14T08:55:00Z">
              <w:r w:rsidRPr="004E3EB8">
                <w:rPr>
                  <w:rFonts w:ascii="Arial" w:eastAsia="SimSun" w:hAnsi="Arial" w:cs="Arial"/>
                  <w:sz w:val="16"/>
                  <w:szCs w:val="16"/>
                  <w:lang w:val="en-US"/>
                </w:rPr>
                <w:t>(pre-)</w:t>
              </w:r>
            </w:ins>
            <w:r w:rsidRPr="004E3EB8">
              <w:rPr>
                <w:rFonts w:ascii="Arial" w:eastAsia="SimSun" w:hAnsi="Arial" w:cs="Arial"/>
                <w:sz w:val="16"/>
                <w:szCs w:val="16"/>
                <w:lang w:val="en-US"/>
              </w:rPr>
              <w:t xml:space="preserve">configured </w:t>
            </w:r>
            <w:ins w:id="273" w:author="Kevin Lin2" w:date="2023-11-14T08:56:00Z">
              <w:r w:rsidRPr="004E3EB8">
                <w:rPr>
                  <w:rFonts w:ascii="Arial" w:eastAsia="SimSun" w:hAnsi="Arial" w:cs="Arial"/>
                  <w:sz w:val="16"/>
                  <w:szCs w:val="16"/>
                  <w:lang w:val="en-US"/>
                </w:rPr>
                <w:t>per SL carrier/cell</w:t>
              </w:r>
            </w:ins>
            <w:r w:rsidRPr="004E3EB8">
              <w:rPr>
                <w:rFonts w:ascii="Arial" w:eastAsia="SimSun" w:hAnsi="Arial" w:cs="Arial"/>
                <w:sz w:val="16"/>
                <w:szCs w:val="16"/>
                <w:lang w:val="en-US"/>
              </w:rPr>
              <w:t xml:space="preserve"> to be used in the energy detection threshold adaptation procedure</w:t>
            </w:r>
            <w:del w:id="274" w:author="Kevin Lin2" w:date="2023-11-14T16:25:00Z">
              <w:r w:rsidRPr="004E3EB8" w:rsidDel="00A166A6">
                <w:rPr>
                  <w:rFonts w:ascii="Arial" w:eastAsia="SimSun" w:hAnsi="Arial" w:cs="Arial"/>
                  <w:sz w:val="16"/>
                  <w:szCs w:val="16"/>
                  <w:lang w:val="en-US"/>
                </w:rPr>
                <w:delText xml:space="preserve"> </w:delText>
              </w:r>
              <w:r w:rsidRPr="004E3EB8" w:rsidDel="00A166A6">
                <w:rPr>
                  <w:rFonts w:ascii="Arial" w:eastAsia="SimSun" w:hAnsi="Arial" w:cs="Arial"/>
                  <w:color w:val="000000"/>
                  <w:sz w:val="16"/>
                  <w:szCs w:val="16"/>
                  <w:lang w:val="en-US"/>
                </w:rPr>
                <w:delText xml:space="preserve">(similar to </w:delText>
              </w:r>
              <w:r w:rsidRPr="004E3EB8" w:rsidDel="00A166A6">
                <w:rPr>
                  <w:rFonts w:ascii="Arial" w:eastAsia="SimSun" w:hAnsi="Arial" w:cs="Arial"/>
                  <w:i/>
                  <w:color w:val="000000"/>
                  <w:sz w:val="16"/>
                  <w:szCs w:val="16"/>
                  <w:lang w:val="en-US"/>
                </w:rPr>
                <w:delText xml:space="preserve">ul-toDL-COT-SharingED-Threshold-r16 </w:delText>
              </w:r>
              <w:r w:rsidRPr="004E3EB8" w:rsidDel="00A166A6">
                <w:rPr>
                  <w:rFonts w:ascii="Arial" w:eastAsia="SimSun" w:hAnsi="Arial" w:cs="Arial"/>
                  <w:color w:val="000000"/>
                  <w:sz w:val="16"/>
                  <w:szCs w:val="16"/>
                  <w:lang w:val="en-US"/>
                </w:rPr>
                <w:delText>used for UL-to-DL COT sharing in NR-U)</w:delText>
              </w:r>
            </w:del>
          </w:p>
          <w:p w14:paraId="02E12B5F" w14:textId="77777777" w:rsidR="004E3EB8" w:rsidRPr="004E3EB8" w:rsidRDefault="004E3EB8" w:rsidP="00AA1D48">
            <w:pPr>
              <w:numPr>
                <w:ilvl w:val="0"/>
                <w:numId w:val="144"/>
              </w:numPr>
              <w:rPr>
                <w:ins w:id="275" w:author="Kevin Lin2" w:date="2023-11-14T09:28:00Z"/>
                <w:rFonts w:ascii="Arial" w:hAnsi="Arial" w:cs="Arial"/>
                <w:sz w:val="16"/>
                <w:szCs w:val="16"/>
                <w:lang w:eastAsia="x-none"/>
              </w:rPr>
            </w:pPr>
            <w:del w:id="276" w:author="Kevin Lin2" w:date="2023-11-14T08:59:00Z">
              <w:r w:rsidRPr="004E3EB8" w:rsidDel="00890657">
                <w:rPr>
                  <w:rFonts w:ascii="Arial" w:hAnsi="Arial" w:cs="Arial"/>
                  <w:sz w:val="16"/>
                  <w:szCs w:val="16"/>
                  <w:lang w:eastAsia="x-none"/>
                </w:rPr>
                <w:delText>FFS candidate value(s) (need to take into consideration of different UE power class) and the granularity for the configuration</w:delText>
              </w:r>
            </w:del>
          </w:p>
          <w:p w14:paraId="13499F7A" w14:textId="77777777" w:rsidR="004E3EB8" w:rsidRPr="004E3EB8" w:rsidRDefault="004E3EB8" w:rsidP="00AA1D48">
            <w:pPr>
              <w:numPr>
                <w:ilvl w:val="0"/>
                <w:numId w:val="144"/>
              </w:numPr>
              <w:rPr>
                <w:rFonts w:ascii="Arial" w:hAnsi="Arial" w:cs="Arial"/>
                <w:sz w:val="16"/>
                <w:szCs w:val="16"/>
                <w:lang w:eastAsia="x-none"/>
              </w:rPr>
            </w:pPr>
            <w:ins w:id="277" w:author="Kevin Lin2" w:date="2023-11-14T16:25:00Z">
              <w:r w:rsidRPr="004E3EB8">
                <w:rPr>
                  <w:rFonts w:ascii="Arial" w:hAnsi="Arial" w:cs="Arial"/>
                  <w:color w:val="000000"/>
                  <w:sz w:val="16"/>
                  <w:szCs w:val="16"/>
                  <w:lang w:val="en-US" w:eastAsia="x-none"/>
                </w:rPr>
                <w:t xml:space="preserve">The </w:t>
              </w:r>
              <w:r w:rsidRPr="004E3EB8">
                <w:rPr>
                  <w:rFonts w:ascii="Arial" w:hAnsi="Arial" w:cs="Arial"/>
                  <w:color w:val="000000"/>
                  <w:sz w:val="16"/>
                  <w:szCs w:val="16"/>
                  <w:lang w:eastAsia="x-none"/>
                </w:rPr>
                <w:t>UE that performs channel access procedures to initiate a channel occupancy</w:t>
              </w:r>
              <w:r w:rsidRPr="004E3EB8">
                <w:rPr>
                  <w:rFonts w:ascii="Arial" w:hAnsi="Arial" w:cs="Arial"/>
                  <w:color w:val="000000"/>
                  <w:sz w:val="16"/>
                  <w:szCs w:val="16"/>
                  <w:lang w:val="en-US" w:eastAsia="x-none"/>
                </w:rPr>
                <w:t xml:space="preserve"> to be shared to other UE(s), and another UE that shares the</w:t>
              </w:r>
              <w:r w:rsidRPr="004E3EB8">
                <w:rPr>
                  <w:rFonts w:ascii="Arial" w:hAnsi="Arial" w:cs="Arial"/>
                  <w:color w:val="000000"/>
                  <w:sz w:val="16"/>
                  <w:szCs w:val="16"/>
                  <w:lang w:eastAsia="x-none"/>
                </w:rPr>
                <w:t xml:space="preserve"> initiated channel occupancy</w:t>
              </w:r>
              <w:r w:rsidRPr="004E3EB8">
                <w:rPr>
                  <w:rFonts w:ascii="Arial" w:hAnsi="Arial" w:cs="Arial"/>
                  <w:color w:val="000000"/>
                  <w:sz w:val="16"/>
                  <w:szCs w:val="16"/>
                  <w:lang w:val="en-US" w:eastAsia="x-none"/>
                </w:rPr>
                <w:t xml:space="preserve"> shall use the (pre-)configured “</w:t>
              </w:r>
              <w:r w:rsidRPr="004E3EB8">
                <w:rPr>
                  <w:rFonts w:ascii="Arial" w:hAnsi="Arial" w:cs="Arial"/>
                  <w:i/>
                  <w:iCs/>
                  <w:color w:val="000000"/>
                  <w:sz w:val="16"/>
                  <w:szCs w:val="16"/>
                  <w:lang w:val="en-US" w:eastAsia="x-none"/>
                </w:rPr>
                <w:t>ue-toUE-COT-SharingED-Threshold</w:t>
              </w:r>
              <w:r w:rsidRPr="004E3EB8">
                <w:rPr>
                  <w:rFonts w:ascii="Arial" w:hAnsi="Arial" w:cs="Arial"/>
                  <w:color w:val="000000"/>
                  <w:sz w:val="16"/>
                  <w:szCs w:val="16"/>
                  <w:lang w:val="en-US" w:eastAsia="x-none"/>
                </w:rPr>
                <w:t>” for accessing the channel(s).</w:t>
              </w:r>
            </w:ins>
          </w:p>
        </w:tc>
      </w:tr>
    </w:tbl>
    <w:p w14:paraId="3DE11373" w14:textId="77777777" w:rsidR="004E3EB8" w:rsidRPr="004E3EB8" w:rsidRDefault="004E3EB8" w:rsidP="004E3EB8">
      <w:pPr>
        <w:rPr>
          <w:lang w:eastAsia="zh-CN"/>
        </w:rPr>
      </w:pPr>
    </w:p>
    <w:p w14:paraId="7EB3E7DC" w14:textId="77777777" w:rsidR="004E3EB8" w:rsidRPr="004E3EB8" w:rsidRDefault="004E3EB8" w:rsidP="004E3EB8">
      <w:r w:rsidRPr="004E3EB8">
        <w:rPr>
          <w:highlight w:val="green"/>
        </w:rPr>
        <w:t>Agreement</w:t>
      </w:r>
    </w:p>
    <w:p w14:paraId="56D2CEE4" w14:textId="77777777" w:rsidR="004E3EB8" w:rsidRPr="004E3EB8" w:rsidRDefault="004E3EB8" w:rsidP="004E3EB8">
      <w:pPr>
        <w:rPr>
          <w:lang w:eastAsia="zh-CN"/>
        </w:rPr>
      </w:pPr>
      <w:r w:rsidRPr="004E3EB8">
        <w:t>Modify higher layer parameter “</w:t>
      </w:r>
      <w:r w:rsidRPr="004E3EB8">
        <w:rPr>
          <w:i/>
          <w:iCs/>
        </w:rPr>
        <w:t>ue-toUE-COT-SharingED-Threshold</w:t>
      </w:r>
      <w:r w:rsidRPr="004E3EB8">
        <w:t>” according to the following.</w:t>
      </w:r>
    </w:p>
    <w:tbl>
      <w:tblPr>
        <w:tblW w:w="5000" w:type="pct"/>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955"/>
        <w:gridCol w:w="4581"/>
        <w:gridCol w:w="1282"/>
        <w:gridCol w:w="1303"/>
        <w:gridCol w:w="1562"/>
      </w:tblGrid>
      <w:tr w:rsidR="004E3EB8" w:rsidRPr="004E3EB8" w14:paraId="65621955" w14:textId="77777777" w:rsidTr="004E3EB8">
        <w:tc>
          <w:tcPr>
            <w:tcW w:w="915" w:type="pct"/>
            <w:shd w:val="clear" w:color="auto" w:fill="00B0F0"/>
            <w:vAlign w:val="center"/>
          </w:tcPr>
          <w:p w14:paraId="7057F74A" w14:textId="77777777" w:rsidR="004E3EB8" w:rsidRPr="004E3EB8" w:rsidRDefault="004E3EB8" w:rsidP="004E3EB8">
            <w:pPr>
              <w:autoSpaceDE w:val="0"/>
              <w:autoSpaceDN w:val="0"/>
              <w:jc w:val="center"/>
              <w:rPr>
                <w:rFonts w:ascii="Arial" w:hAnsi="Arial" w:cs="Arial"/>
                <w:b/>
                <w:bCs/>
                <w:color w:val="FFFFFF"/>
                <w:sz w:val="16"/>
                <w:szCs w:val="16"/>
              </w:rPr>
            </w:pPr>
            <w:r w:rsidRPr="004E3EB8">
              <w:rPr>
                <w:rFonts w:ascii="Arial" w:hAnsi="Arial" w:cs="Arial"/>
                <w:b/>
                <w:bCs/>
                <w:color w:val="FFFFFF"/>
                <w:sz w:val="16"/>
                <w:szCs w:val="16"/>
              </w:rPr>
              <w:t>Param Name</w:t>
            </w:r>
          </w:p>
        </w:tc>
        <w:tc>
          <w:tcPr>
            <w:tcW w:w="2144" w:type="pct"/>
            <w:shd w:val="clear" w:color="auto" w:fill="00B0F0"/>
            <w:vAlign w:val="center"/>
          </w:tcPr>
          <w:p w14:paraId="79B6B263" w14:textId="77777777" w:rsidR="004E3EB8" w:rsidRPr="004E3EB8" w:rsidRDefault="004E3EB8" w:rsidP="004E3EB8">
            <w:pPr>
              <w:autoSpaceDE w:val="0"/>
              <w:autoSpaceDN w:val="0"/>
              <w:jc w:val="center"/>
              <w:rPr>
                <w:rFonts w:ascii="Arial" w:hAnsi="Arial" w:cs="Arial"/>
                <w:b/>
                <w:bCs/>
                <w:color w:val="FFFFFF"/>
                <w:sz w:val="16"/>
                <w:szCs w:val="16"/>
              </w:rPr>
            </w:pPr>
            <w:r w:rsidRPr="004E3EB8">
              <w:rPr>
                <w:rFonts w:ascii="Arial" w:hAnsi="Arial" w:cs="Arial"/>
                <w:b/>
                <w:bCs/>
                <w:color w:val="FFFFFF"/>
                <w:sz w:val="16"/>
                <w:szCs w:val="16"/>
              </w:rPr>
              <w:t>Description</w:t>
            </w:r>
          </w:p>
        </w:tc>
        <w:tc>
          <w:tcPr>
            <w:tcW w:w="600" w:type="pct"/>
            <w:shd w:val="clear" w:color="auto" w:fill="00B0F0"/>
            <w:vAlign w:val="center"/>
          </w:tcPr>
          <w:p w14:paraId="70E67E5E" w14:textId="77777777" w:rsidR="004E3EB8" w:rsidRPr="004E3EB8" w:rsidRDefault="004E3EB8" w:rsidP="004E3EB8">
            <w:pPr>
              <w:autoSpaceDE w:val="0"/>
              <w:autoSpaceDN w:val="0"/>
              <w:jc w:val="center"/>
              <w:rPr>
                <w:rFonts w:ascii="Arial" w:hAnsi="Arial" w:cs="Arial"/>
                <w:b/>
                <w:bCs/>
                <w:color w:val="FFFFFF"/>
                <w:sz w:val="16"/>
                <w:szCs w:val="16"/>
              </w:rPr>
            </w:pPr>
            <w:r w:rsidRPr="004E3EB8">
              <w:rPr>
                <w:rFonts w:ascii="Arial" w:hAnsi="Arial" w:cs="Arial"/>
                <w:b/>
                <w:bCs/>
                <w:color w:val="FFFFFF"/>
                <w:sz w:val="16"/>
                <w:szCs w:val="16"/>
              </w:rPr>
              <w:t>Value range</w:t>
            </w:r>
          </w:p>
        </w:tc>
        <w:tc>
          <w:tcPr>
            <w:tcW w:w="610" w:type="pct"/>
            <w:shd w:val="clear" w:color="auto" w:fill="00B0F0"/>
            <w:vAlign w:val="center"/>
          </w:tcPr>
          <w:p w14:paraId="558AC678" w14:textId="77777777" w:rsidR="004E3EB8" w:rsidRPr="004E3EB8" w:rsidRDefault="004E3EB8" w:rsidP="004E3EB8">
            <w:pPr>
              <w:autoSpaceDE w:val="0"/>
              <w:autoSpaceDN w:val="0"/>
              <w:jc w:val="center"/>
              <w:rPr>
                <w:rFonts w:ascii="Arial" w:hAnsi="Arial" w:cs="Arial"/>
                <w:b/>
                <w:bCs/>
                <w:color w:val="FFFFFF"/>
                <w:sz w:val="16"/>
                <w:szCs w:val="16"/>
              </w:rPr>
            </w:pPr>
            <w:r w:rsidRPr="004E3EB8">
              <w:rPr>
                <w:rFonts w:ascii="Arial" w:hAnsi="Arial" w:cs="Arial"/>
                <w:b/>
                <w:bCs/>
                <w:color w:val="FFFFFF"/>
                <w:sz w:val="16"/>
                <w:szCs w:val="16"/>
              </w:rPr>
              <w:t>Per (UE, cell, TRP, …)</w:t>
            </w:r>
          </w:p>
        </w:tc>
        <w:tc>
          <w:tcPr>
            <w:tcW w:w="732" w:type="pct"/>
            <w:shd w:val="clear" w:color="auto" w:fill="00B0F0"/>
            <w:vAlign w:val="center"/>
          </w:tcPr>
          <w:p w14:paraId="47ECE034" w14:textId="77777777" w:rsidR="004E3EB8" w:rsidRPr="004E3EB8" w:rsidRDefault="004E3EB8" w:rsidP="004E3EB8">
            <w:pPr>
              <w:autoSpaceDE w:val="0"/>
              <w:autoSpaceDN w:val="0"/>
              <w:jc w:val="center"/>
              <w:rPr>
                <w:rFonts w:ascii="Arial" w:hAnsi="Arial" w:cs="Arial"/>
                <w:b/>
                <w:bCs/>
                <w:color w:val="FFFFFF"/>
                <w:sz w:val="16"/>
                <w:szCs w:val="16"/>
              </w:rPr>
            </w:pPr>
            <w:r w:rsidRPr="004E3EB8">
              <w:rPr>
                <w:rFonts w:ascii="Arial" w:hAnsi="Arial" w:cs="Arial"/>
                <w:b/>
                <w:bCs/>
                <w:color w:val="FFFFFF"/>
                <w:sz w:val="16"/>
                <w:szCs w:val="16"/>
              </w:rPr>
              <w:t>Required for initial access or IDLE/INACTIVE</w:t>
            </w:r>
          </w:p>
        </w:tc>
      </w:tr>
      <w:tr w:rsidR="004E3EB8" w:rsidRPr="004E3EB8" w14:paraId="54F54306" w14:textId="77777777" w:rsidTr="004E3EB8">
        <w:tc>
          <w:tcPr>
            <w:tcW w:w="915" w:type="pct"/>
            <w:shd w:val="clear" w:color="auto" w:fill="auto"/>
            <w:vAlign w:val="center"/>
          </w:tcPr>
          <w:p w14:paraId="7F72C80A" w14:textId="77777777" w:rsidR="004E3EB8" w:rsidRPr="004E3EB8" w:rsidRDefault="004E3EB8" w:rsidP="004E3EB8">
            <w:pPr>
              <w:autoSpaceDE w:val="0"/>
              <w:autoSpaceDN w:val="0"/>
              <w:rPr>
                <w:rFonts w:ascii="Arial" w:hAnsi="Arial" w:cs="Arial"/>
                <w:color w:val="000000"/>
                <w:sz w:val="16"/>
                <w:szCs w:val="16"/>
              </w:rPr>
            </w:pPr>
            <w:r w:rsidRPr="004E3EB8">
              <w:rPr>
                <w:rFonts w:ascii="Arial" w:hAnsi="Arial" w:cs="Arial"/>
                <w:sz w:val="16"/>
                <w:szCs w:val="16"/>
              </w:rPr>
              <w:t>ue-toUE-COT-SharingED-Threshold</w:t>
            </w:r>
          </w:p>
        </w:tc>
        <w:tc>
          <w:tcPr>
            <w:tcW w:w="2144" w:type="pct"/>
            <w:shd w:val="clear" w:color="auto" w:fill="auto"/>
          </w:tcPr>
          <w:p w14:paraId="717112A1" w14:textId="77777777" w:rsidR="004E3EB8" w:rsidRPr="004E3EB8" w:rsidRDefault="004E3EB8" w:rsidP="004E3EB8">
            <w:pPr>
              <w:autoSpaceDE w:val="0"/>
              <w:autoSpaceDN w:val="0"/>
              <w:rPr>
                <w:rFonts w:ascii="Arial" w:hAnsi="Arial" w:cs="Arial"/>
                <w:color w:val="000000"/>
                <w:sz w:val="16"/>
                <w:szCs w:val="16"/>
              </w:rPr>
            </w:pPr>
            <w:r w:rsidRPr="004E3EB8">
              <w:rPr>
                <w:rFonts w:ascii="Arial" w:hAnsi="Arial" w:cs="Arial"/>
                <w:strike/>
                <w:color w:val="FF0000"/>
                <w:sz w:val="16"/>
                <w:szCs w:val="16"/>
              </w:rPr>
              <w:t>Maximum</w:t>
            </w:r>
            <w:r w:rsidRPr="004E3EB8">
              <w:rPr>
                <w:rFonts w:ascii="Arial" w:hAnsi="Arial" w:cs="Arial"/>
                <w:color w:val="FF0000"/>
                <w:sz w:val="16"/>
                <w:szCs w:val="16"/>
              </w:rPr>
              <w:t xml:space="preserve"> The </w:t>
            </w:r>
            <w:r w:rsidRPr="004E3EB8">
              <w:rPr>
                <w:rFonts w:ascii="Arial" w:hAnsi="Arial" w:cs="Arial"/>
                <w:sz w:val="16"/>
                <w:szCs w:val="16"/>
              </w:rPr>
              <w:t xml:space="preserve">energy detection threshold that </w:t>
            </w:r>
            <w:r w:rsidRPr="004E3EB8">
              <w:rPr>
                <w:rFonts w:ascii="Arial" w:hAnsi="Arial" w:cs="Arial"/>
                <w:strike/>
                <w:color w:val="FF0000"/>
                <w:sz w:val="16"/>
                <w:szCs w:val="16"/>
              </w:rPr>
              <w:t>the</w:t>
            </w:r>
            <w:r w:rsidRPr="004E3EB8">
              <w:rPr>
                <w:rFonts w:ascii="Arial" w:hAnsi="Arial" w:cs="Arial"/>
                <w:color w:val="FF0000"/>
                <w:sz w:val="16"/>
                <w:szCs w:val="16"/>
              </w:rPr>
              <w:t xml:space="preserve"> is to be used by a</w:t>
            </w:r>
            <w:r w:rsidRPr="004E3EB8">
              <w:rPr>
                <w:rFonts w:ascii="Arial" w:hAnsi="Arial" w:cs="Arial"/>
                <w:sz w:val="16"/>
                <w:szCs w:val="16"/>
              </w:rPr>
              <w:t xml:space="preserve"> UE </w:t>
            </w:r>
            <w:r w:rsidRPr="004E3EB8">
              <w:rPr>
                <w:rFonts w:ascii="Arial" w:hAnsi="Arial" w:cs="Arial"/>
                <w:color w:val="FF0000"/>
                <w:sz w:val="16"/>
                <w:szCs w:val="16"/>
              </w:rPr>
              <w:t>to initiate a channel occupancy to be shared to other UE(s), and another</w:t>
            </w:r>
            <w:r w:rsidRPr="004E3EB8">
              <w:rPr>
                <w:rFonts w:ascii="Arial" w:hAnsi="Arial" w:cs="Arial"/>
                <w:sz w:val="16"/>
                <w:szCs w:val="16"/>
              </w:rPr>
              <w:t xml:space="preserve"> </w:t>
            </w:r>
            <w:r w:rsidRPr="004E3EB8">
              <w:rPr>
                <w:rFonts w:ascii="Arial" w:hAnsi="Arial" w:cs="Arial"/>
                <w:color w:val="FF0000"/>
                <w:sz w:val="16"/>
                <w:szCs w:val="16"/>
              </w:rPr>
              <w:t xml:space="preserve">UE that </w:t>
            </w:r>
            <w:r w:rsidRPr="004E3EB8">
              <w:rPr>
                <w:rFonts w:ascii="Arial" w:hAnsi="Arial" w:cs="Arial"/>
                <w:sz w:val="16"/>
                <w:szCs w:val="16"/>
              </w:rPr>
              <w:t>share</w:t>
            </w:r>
            <w:r w:rsidRPr="004E3EB8">
              <w:rPr>
                <w:rFonts w:ascii="Arial" w:hAnsi="Arial" w:cs="Arial"/>
                <w:color w:val="FF0000"/>
                <w:sz w:val="16"/>
                <w:szCs w:val="16"/>
              </w:rPr>
              <w:t>s</w:t>
            </w:r>
            <w:r w:rsidRPr="004E3EB8">
              <w:rPr>
                <w:rFonts w:ascii="Arial" w:hAnsi="Arial" w:cs="Arial"/>
                <w:sz w:val="16"/>
                <w:szCs w:val="16"/>
              </w:rPr>
              <w:t xml:space="preserve"> </w:t>
            </w:r>
            <w:r w:rsidRPr="004E3EB8">
              <w:rPr>
                <w:rFonts w:ascii="Arial" w:hAnsi="Arial" w:cs="Arial"/>
                <w:color w:val="FF0000"/>
                <w:sz w:val="16"/>
                <w:szCs w:val="16"/>
              </w:rPr>
              <w:t>the initiated</w:t>
            </w:r>
            <w:r w:rsidRPr="004E3EB8">
              <w:rPr>
                <w:rFonts w:ascii="Arial" w:hAnsi="Arial" w:cs="Arial"/>
                <w:sz w:val="16"/>
                <w:szCs w:val="16"/>
              </w:rPr>
              <w:t xml:space="preserve"> channel occupancy </w:t>
            </w:r>
            <w:r w:rsidRPr="004E3EB8">
              <w:rPr>
                <w:rFonts w:ascii="Arial" w:hAnsi="Arial" w:cs="Arial"/>
                <w:color w:val="FF0000"/>
                <w:sz w:val="16"/>
                <w:szCs w:val="16"/>
              </w:rPr>
              <w:t>shall use this configured parameter for accessing the channel(s)</w:t>
            </w:r>
            <w:r w:rsidRPr="004E3EB8">
              <w:rPr>
                <w:rFonts w:ascii="Arial" w:hAnsi="Arial" w:cs="Arial"/>
                <w:strike/>
                <w:color w:val="FF0000"/>
                <w:sz w:val="16"/>
                <w:szCs w:val="16"/>
              </w:rPr>
              <w:t xml:space="preserve"> with another UE for SL transmission</w:t>
            </w:r>
            <w:r w:rsidRPr="004E3EB8">
              <w:rPr>
                <w:rFonts w:ascii="Arial" w:hAnsi="Arial" w:cs="Arial"/>
                <w:sz w:val="16"/>
                <w:szCs w:val="16"/>
              </w:rPr>
              <w:t xml:space="preserve"> as specified in TS 37.213 [48], clause </w:t>
            </w:r>
            <w:r w:rsidRPr="004E3EB8">
              <w:rPr>
                <w:rFonts w:ascii="Arial" w:hAnsi="Arial" w:cs="Arial"/>
                <w:strike/>
                <w:color w:val="FF0000"/>
                <w:sz w:val="16"/>
                <w:szCs w:val="16"/>
              </w:rPr>
              <w:t>X.X.X</w:t>
            </w:r>
            <w:r w:rsidRPr="004E3EB8">
              <w:rPr>
                <w:rFonts w:ascii="Arial" w:hAnsi="Arial" w:cs="Arial"/>
                <w:color w:val="FF0000"/>
                <w:sz w:val="16"/>
                <w:szCs w:val="16"/>
              </w:rPr>
              <w:t xml:space="preserve"> 4.5.5</w:t>
            </w:r>
            <w:r w:rsidRPr="004E3EB8">
              <w:rPr>
                <w:rFonts w:ascii="Arial" w:hAnsi="Arial" w:cs="Arial"/>
                <w:sz w:val="16"/>
                <w:szCs w:val="16"/>
              </w:rPr>
              <w:t xml:space="preserve"> for sidelink channel access. Unit in dBm. Value -85 corresponds to -85 dBm, value -84 corresponds to -84 dBm, and so on (i.e. in steps of 1dBm).</w:t>
            </w:r>
          </w:p>
        </w:tc>
        <w:tc>
          <w:tcPr>
            <w:tcW w:w="600" w:type="pct"/>
            <w:shd w:val="clear" w:color="auto" w:fill="auto"/>
            <w:vAlign w:val="center"/>
          </w:tcPr>
          <w:p w14:paraId="19E49304" w14:textId="77777777" w:rsidR="004E3EB8" w:rsidRPr="004E3EB8" w:rsidRDefault="004E3EB8" w:rsidP="004E3EB8">
            <w:pPr>
              <w:autoSpaceDE w:val="0"/>
              <w:autoSpaceDN w:val="0"/>
              <w:rPr>
                <w:rFonts w:ascii="Arial" w:hAnsi="Arial" w:cs="Arial"/>
                <w:color w:val="000000"/>
                <w:sz w:val="16"/>
                <w:szCs w:val="16"/>
              </w:rPr>
            </w:pPr>
            <w:r w:rsidRPr="004E3EB8">
              <w:rPr>
                <w:rFonts w:ascii="Arial" w:hAnsi="Arial" w:cs="Arial"/>
                <w:strike/>
                <w:color w:val="FF0000"/>
                <w:sz w:val="16"/>
                <w:szCs w:val="16"/>
              </w:rPr>
              <w:t>[</w:t>
            </w:r>
            <w:r w:rsidRPr="004E3EB8">
              <w:rPr>
                <w:rFonts w:ascii="Arial" w:hAnsi="Arial" w:cs="Arial"/>
                <w:sz w:val="16"/>
                <w:szCs w:val="16"/>
              </w:rPr>
              <w:t>INTEGER (-85..-52)</w:t>
            </w:r>
            <w:r w:rsidRPr="004E3EB8">
              <w:rPr>
                <w:rFonts w:ascii="Arial" w:hAnsi="Arial" w:cs="Arial"/>
                <w:strike/>
                <w:color w:val="FF0000"/>
                <w:sz w:val="16"/>
                <w:szCs w:val="16"/>
              </w:rPr>
              <w:t>]</w:t>
            </w:r>
          </w:p>
        </w:tc>
        <w:tc>
          <w:tcPr>
            <w:tcW w:w="610" w:type="pct"/>
            <w:shd w:val="clear" w:color="auto" w:fill="auto"/>
            <w:vAlign w:val="center"/>
          </w:tcPr>
          <w:p w14:paraId="70E8C2E9" w14:textId="77777777" w:rsidR="004E3EB8" w:rsidRPr="004E3EB8" w:rsidRDefault="004E3EB8" w:rsidP="004E3EB8">
            <w:pPr>
              <w:autoSpaceDE w:val="0"/>
              <w:autoSpaceDN w:val="0"/>
              <w:rPr>
                <w:rFonts w:ascii="Arial" w:hAnsi="Arial" w:cs="Arial"/>
                <w:color w:val="000000"/>
                <w:sz w:val="16"/>
                <w:szCs w:val="16"/>
              </w:rPr>
            </w:pPr>
            <w:r w:rsidRPr="004E3EB8">
              <w:rPr>
                <w:rFonts w:ascii="Arial" w:hAnsi="Arial" w:cs="Arial"/>
                <w:strike/>
                <w:color w:val="FF0000"/>
                <w:sz w:val="16"/>
                <w:szCs w:val="16"/>
              </w:rPr>
              <w:t>[</w:t>
            </w:r>
            <w:r w:rsidRPr="004E3EB8">
              <w:rPr>
                <w:rFonts w:ascii="Arial" w:hAnsi="Arial" w:cs="Arial"/>
                <w:sz w:val="16"/>
                <w:szCs w:val="16"/>
              </w:rPr>
              <w:t>Per cell / carrier</w:t>
            </w:r>
            <w:r w:rsidRPr="004E3EB8">
              <w:rPr>
                <w:rFonts w:ascii="Arial" w:hAnsi="Arial" w:cs="Arial"/>
                <w:strike/>
                <w:color w:val="FF0000"/>
                <w:sz w:val="16"/>
                <w:szCs w:val="16"/>
              </w:rPr>
              <w:t>]</w:t>
            </w:r>
          </w:p>
        </w:tc>
        <w:tc>
          <w:tcPr>
            <w:tcW w:w="732" w:type="pct"/>
            <w:shd w:val="clear" w:color="auto" w:fill="auto"/>
            <w:vAlign w:val="center"/>
          </w:tcPr>
          <w:p w14:paraId="2C8A6945" w14:textId="77777777" w:rsidR="004E3EB8" w:rsidRPr="004E3EB8" w:rsidRDefault="004E3EB8" w:rsidP="004E3EB8">
            <w:pPr>
              <w:autoSpaceDE w:val="0"/>
              <w:autoSpaceDN w:val="0"/>
              <w:rPr>
                <w:rFonts w:ascii="Arial" w:hAnsi="Arial" w:cs="Arial"/>
                <w:color w:val="000000"/>
                <w:sz w:val="16"/>
                <w:szCs w:val="16"/>
              </w:rPr>
            </w:pPr>
            <w:r w:rsidRPr="004E3EB8">
              <w:rPr>
                <w:rFonts w:ascii="Arial" w:hAnsi="Arial" w:cs="Arial"/>
                <w:strike/>
                <w:color w:val="FF0000"/>
                <w:sz w:val="16"/>
                <w:szCs w:val="16"/>
              </w:rPr>
              <w:t>[</w:t>
            </w:r>
            <w:r w:rsidRPr="004E3EB8">
              <w:rPr>
                <w:rFonts w:ascii="Arial" w:hAnsi="Arial" w:cs="Arial"/>
                <w:sz w:val="16"/>
                <w:szCs w:val="16"/>
              </w:rPr>
              <w:t>UE-specific or Cell-specific</w:t>
            </w:r>
            <w:r w:rsidRPr="004E3EB8">
              <w:rPr>
                <w:rFonts w:ascii="Arial" w:hAnsi="Arial" w:cs="Arial"/>
                <w:strike/>
                <w:color w:val="FF0000"/>
                <w:sz w:val="16"/>
                <w:szCs w:val="16"/>
              </w:rPr>
              <w:t>]</w:t>
            </w:r>
          </w:p>
        </w:tc>
      </w:tr>
    </w:tbl>
    <w:p w14:paraId="6019178B" w14:textId="77777777" w:rsidR="004E3EB8" w:rsidRPr="004E3EB8" w:rsidRDefault="004E3EB8" w:rsidP="004E3EB8"/>
    <w:p w14:paraId="45913A55" w14:textId="77777777" w:rsidR="004E3EB8" w:rsidRPr="004E3EB8" w:rsidRDefault="004E3EB8" w:rsidP="004E3EB8">
      <w:pPr>
        <w:rPr>
          <w:rFonts w:ascii="Times New Roman" w:hAnsi="Times New Roman"/>
          <w:bCs/>
          <w:szCs w:val="20"/>
        </w:rPr>
      </w:pPr>
      <w:r w:rsidRPr="004E3EB8">
        <w:rPr>
          <w:rFonts w:ascii="Times New Roman" w:hAnsi="Times New Roman"/>
          <w:bCs/>
          <w:szCs w:val="20"/>
          <w:highlight w:val="green"/>
        </w:rPr>
        <w:t>Agreement</w:t>
      </w:r>
    </w:p>
    <w:p w14:paraId="6F77B54E" w14:textId="77777777" w:rsidR="004E3EB8" w:rsidRPr="004E3EB8" w:rsidRDefault="004E3EB8" w:rsidP="004E3EB8">
      <w:pPr>
        <w:rPr>
          <w:rFonts w:ascii="Times New Roman" w:hAnsi="Times New Roman"/>
          <w:bCs/>
          <w:szCs w:val="20"/>
        </w:rPr>
      </w:pPr>
      <w:r w:rsidRPr="004E3EB8">
        <w:rPr>
          <w:rFonts w:ascii="Times New Roman" w:hAnsi="Times New Roman"/>
          <w:bCs/>
          <w:szCs w:val="20"/>
        </w:rPr>
        <w:t>The TP below for TS 37.213 is endorsed.</w:t>
      </w:r>
    </w:p>
    <w:tbl>
      <w:tblPr>
        <w:tblW w:w="5000" w:type="pct"/>
        <w:tblCellMar>
          <w:left w:w="42" w:type="dxa"/>
          <w:right w:w="42" w:type="dxa"/>
        </w:tblCellMar>
        <w:tblLook w:val="04A0" w:firstRow="1" w:lastRow="0" w:firstColumn="1" w:lastColumn="0" w:noHBand="0" w:noVBand="1"/>
      </w:tblPr>
      <w:tblGrid>
        <w:gridCol w:w="2515"/>
        <w:gridCol w:w="8036"/>
      </w:tblGrid>
      <w:tr w:rsidR="004E3EB8" w:rsidRPr="004E3EB8" w14:paraId="5915A900" w14:textId="77777777" w:rsidTr="004E3EB8">
        <w:tc>
          <w:tcPr>
            <w:tcW w:w="1192" w:type="pct"/>
            <w:tcBorders>
              <w:top w:val="single" w:sz="4" w:space="0" w:color="auto"/>
              <w:left w:val="single" w:sz="4" w:space="0" w:color="auto"/>
            </w:tcBorders>
          </w:tcPr>
          <w:p w14:paraId="5E7356CA" w14:textId="77777777" w:rsidR="004E3EB8" w:rsidRPr="004E3EB8" w:rsidRDefault="004E3EB8" w:rsidP="004E3EB8">
            <w:pPr>
              <w:tabs>
                <w:tab w:val="right" w:pos="2184"/>
              </w:tabs>
              <w:spacing w:line="259" w:lineRule="auto"/>
              <w:rPr>
                <w:rFonts w:ascii="Arial" w:eastAsia="Times New Roman" w:hAnsi="Arial"/>
                <w:b/>
                <w:i/>
                <w:sz w:val="16"/>
                <w:szCs w:val="16"/>
              </w:rPr>
            </w:pPr>
            <w:r w:rsidRPr="004E3EB8">
              <w:rPr>
                <w:rFonts w:ascii="Arial" w:eastAsia="Times New Roman" w:hAnsi="Arial"/>
                <w:b/>
                <w:i/>
                <w:sz w:val="16"/>
                <w:szCs w:val="16"/>
              </w:rPr>
              <w:t>Reason for change:</w:t>
            </w:r>
          </w:p>
        </w:tc>
        <w:tc>
          <w:tcPr>
            <w:tcW w:w="3808" w:type="pct"/>
            <w:tcBorders>
              <w:top w:val="single" w:sz="4" w:space="0" w:color="auto"/>
              <w:right w:val="single" w:sz="4" w:space="0" w:color="auto"/>
            </w:tcBorders>
            <w:shd w:val="pct30" w:color="FFFF00" w:fill="auto"/>
          </w:tcPr>
          <w:p w14:paraId="09D55B21" w14:textId="77777777" w:rsidR="004E3EB8" w:rsidRPr="004E3EB8" w:rsidRDefault="004E3EB8" w:rsidP="004E3EB8">
            <w:pPr>
              <w:spacing w:line="259" w:lineRule="auto"/>
              <w:ind w:left="100"/>
              <w:rPr>
                <w:rFonts w:ascii="Arial" w:eastAsia="Times New Roman" w:hAnsi="Arial"/>
                <w:sz w:val="16"/>
                <w:szCs w:val="16"/>
              </w:rPr>
            </w:pPr>
            <w:r w:rsidRPr="004E3EB8">
              <w:rPr>
                <w:rFonts w:ascii="Arial" w:eastAsia="Times New Roman" w:hAnsi="Arial"/>
                <w:sz w:val="16"/>
                <w:szCs w:val="16"/>
              </w:rPr>
              <w:t>Time required for the COT initiator to detect a responder UE’s PSFCH and S-SSB transmission(s) for resuming its own channel occupancy is expected to be longer than 1-symbol gap. In order for the initiator to resume using its own COT immediately after responder’s PSFCH and S-SSB, it is necessary to detect responder’s PSFCH and S-SSB transmissions based on an expected manner.</w:t>
            </w:r>
          </w:p>
        </w:tc>
      </w:tr>
      <w:tr w:rsidR="004E3EB8" w:rsidRPr="004E3EB8" w14:paraId="620FCAE6" w14:textId="77777777" w:rsidTr="004E3EB8">
        <w:tc>
          <w:tcPr>
            <w:tcW w:w="1192" w:type="pct"/>
            <w:tcBorders>
              <w:left w:val="single" w:sz="4" w:space="0" w:color="auto"/>
            </w:tcBorders>
          </w:tcPr>
          <w:p w14:paraId="2F013EB1" w14:textId="77777777" w:rsidR="004E3EB8" w:rsidRPr="004E3EB8" w:rsidRDefault="004E3EB8" w:rsidP="004E3EB8">
            <w:pPr>
              <w:spacing w:line="259" w:lineRule="auto"/>
              <w:rPr>
                <w:rFonts w:ascii="Arial" w:eastAsia="Times New Roman" w:hAnsi="Arial"/>
                <w:b/>
                <w:i/>
                <w:sz w:val="16"/>
                <w:szCs w:val="16"/>
              </w:rPr>
            </w:pPr>
          </w:p>
        </w:tc>
        <w:tc>
          <w:tcPr>
            <w:tcW w:w="3808" w:type="pct"/>
            <w:tcBorders>
              <w:right w:val="single" w:sz="4" w:space="0" w:color="auto"/>
            </w:tcBorders>
          </w:tcPr>
          <w:p w14:paraId="5DCED009" w14:textId="77777777" w:rsidR="004E3EB8" w:rsidRPr="004E3EB8" w:rsidRDefault="004E3EB8" w:rsidP="004E3EB8">
            <w:pPr>
              <w:spacing w:line="259" w:lineRule="auto"/>
              <w:rPr>
                <w:rFonts w:ascii="Arial" w:eastAsia="Times New Roman" w:hAnsi="Arial"/>
                <w:sz w:val="16"/>
                <w:szCs w:val="16"/>
              </w:rPr>
            </w:pPr>
          </w:p>
        </w:tc>
      </w:tr>
      <w:tr w:rsidR="004E3EB8" w:rsidRPr="004E3EB8" w14:paraId="07FE803D" w14:textId="77777777" w:rsidTr="004E3EB8">
        <w:tc>
          <w:tcPr>
            <w:tcW w:w="1192" w:type="pct"/>
            <w:tcBorders>
              <w:left w:val="single" w:sz="4" w:space="0" w:color="auto"/>
            </w:tcBorders>
          </w:tcPr>
          <w:p w14:paraId="12E7CD66" w14:textId="77777777" w:rsidR="004E3EB8" w:rsidRPr="004E3EB8" w:rsidRDefault="004E3EB8" w:rsidP="004E3EB8">
            <w:pPr>
              <w:tabs>
                <w:tab w:val="right" w:pos="2184"/>
              </w:tabs>
              <w:spacing w:line="259" w:lineRule="auto"/>
              <w:rPr>
                <w:rFonts w:ascii="Arial" w:eastAsia="Times New Roman" w:hAnsi="Arial"/>
                <w:b/>
                <w:i/>
                <w:sz w:val="16"/>
                <w:szCs w:val="16"/>
              </w:rPr>
            </w:pPr>
            <w:r w:rsidRPr="004E3EB8">
              <w:rPr>
                <w:rFonts w:ascii="Arial" w:eastAsia="Times New Roman" w:hAnsi="Arial"/>
                <w:b/>
                <w:i/>
                <w:sz w:val="16"/>
                <w:szCs w:val="16"/>
              </w:rPr>
              <w:t>Summary of change:</w:t>
            </w:r>
          </w:p>
        </w:tc>
        <w:tc>
          <w:tcPr>
            <w:tcW w:w="3808" w:type="pct"/>
            <w:tcBorders>
              <w:right w:val="single" w:sz="4" w:space="0" w:color="auto"/>
            </w:tcBorders>
            <w:shd w:val="pct30" w:color="FFFF00" w:fill="auto"/>
          </w:tcPr>
          <w:p w14:paraId="61BF6E7C" w14:textId="77777777" w:rsidR="004E3EB8" w:rsidRPr="004E3EB8" w:rsidRDefault="004E3EB8" w:rsidP="004E3EB8">
            <w:pPr>
              <w:spacing w:line="259" w:lineRule="auto"/>
              <w:ind w:left="100"/>
              <w:rPr>
                <w:rFonts w:ascii="Arial" w:eastAsia="Times New Roman" w:hAnsi="Arial"/>
                <w:sz w:val="16"/>
                <w:szCs w:val="16"/>
              </w:rPr>
            </w:pPr>
            <w:r w:rsidRPr="004E3EB8">
              <w:rPr>
                <w:rFonts w:ascii="Arial" w:eastAsia="Times New Roman" w:hAnsi="Arial"/>
                <w:sz w:val="16"/>
                <w:szCs w:val="16"/>
              </w:rPr>
              <w:t>To match the same wordings used in NR-U to resolve the “expected” behaviour.</w:t>
            </w:r>
          </w:p>
        </w:tc>
      </w:tr>
      <w:tr w:rsidR="004E3EB8" w:rsidRPr="004E3EB8" w14:paraId="3BDDE60B" w14:textId="77777777" w:rsidTr="004E3EB8">
        <w:tc>
          <w:tcPr>
            <w:tcW w:w="1192" w:type="pct"/>
            <w:tcBorders>
              <w:left w:val="single" w:sz="4" w:space="0" w:color="auto"/>
            </w:tcBorders>
          </w:tcPr>
          <w:p w14:paraId="498A5AEF" w14:textId="77777777" w:rsidR="004E3EB8" w:rsidRPr="004E3EB8" w:rsidRDefault="004E3EB8" w:rsidP="004E3EB8">
            <w:pPr>
              <w:spacing w:line="259" w:lineRule="auto"/>
              <w:rPr>
                <w:rFonts w:ascii="Arial" w:eastAsia="Times New Roman" w:hAnsi="Arial"/>
                <w:b/>
                <w:i/>
                <w:sz w:val="16"/>
                <w:szCs w:val="16"/>
              </w:rPr>
            </w:pPr>
          </w:p>
        </w:tc>
        <w:tc>
          <w:tcPr>
            <w:tcW w:w="3808" w:type="pct"/>
            <w:tcBorders>
              <w:right w:val="single" w:sz="4" w:space="0" w:color="auto"/>
            </w:tcBorders>
          </w:tcPr>
          <w:p w14:paraId="5BCF5432" w14:textId="77777777" w:rsidR="004E3EB8" w:rsidRPr="004E3EB8" w:rsidRDefault="004E3EB8" w:rsidP="004E3EB8">
            <w:pPr>
              <w:spacing w:line="259" w:lineRule="auto"/>
              <w:rPr>
                <w:rFonts w:ascii="Arial" w:eastAsia="Times New Roman" w:hAnsi="Arial"/>
                <w:sz w:val="16"/>
                <w:szCs w:val="16"/>
              </w:rPr>
            </w:pPr>
          </w:p>
        </w:tc>
      </w:tr>
      <w:tr w:rsidR="004E3EB8" w:rsidRPr="004E3EB8" w14:paraId="70284ACA" w14:textId="77777777" w:rsidTr="004E3EB8">
        <w:tc>
          <w:tcPr>
            <w:tcW w:w="1192" w:type="pct"/>
            <w:tcBorders>
              <w:left w:val="single" w:sz="4" w:space="0" w:color="auto"/>
              <w:bottom w:val="single" w:sz="4" w:space="0" w:color="auto"/>
            </w:tcBorders>
          </w:tcPr>
          <w:p w14:paraId="4ACF12B5" w14:textId="77777777" w:rsidR="004E3EB8" w:rsidRPr="004E3EB8" w:rsidRDefault="004E3EB8" w:rsidP="004E3EB8">
            <w:pPr>
              <w:tabs>
                <w:tab w:val="right" w:pos="2184"/>
              </w:tabs>
              <w:spacing w:line="259" w:lineRule="auto"/>
              <w:rPr>
                <w:rFonts w:ascii="Arial" w:eastAsia="Times New Roman" w:hAnsi="Arial"/>
                <w:b/>
                <w:i/>
                <w:sz w:val="16"/>
                <w:szCs w:val="16"/>
              </w:rPr>
            </w:pPr>
            <w:r w:rsidRPr="004E3EB8">
              <w:rPr>
                <w:rFonts w:ascii="Arial" w:eastAsia="Times New Roman" w:hAnsi="Arial"/>
                <w:b/>
                <w:i/>
                <w:sz w:val="16"/>
                <w:szCs w:val="16"/>
              </w:rPr>
              <w:t>Consequences if not approved:</w:t>
            </w:r>
          </w:p>
        </w:tc>
        <w:tc>
          <w:tcPr>
            <w:tcW w:w="3808" w:type="pct"/>
            <w:tcBorders>
              <w:bottom w:val="single" w:sz="4" w:space="0" w:color="auto"/>
              <w:right w:val="single" w:sz="4" w:space="0" w:color="auto"/>
            </w:tcBorders>
            <w:shd w:val="pct30" w:color="FFFF00" w:fill="auto"/>
          </w:tcPr>
          <w:p w14:paraId="050D7403" w14:textId="77777777" w:rsidR="004E3EB8" w:rsidRPr="004E3EB8" w:rsidRDefault="004E3EB8" w:rsidP="004E3EB8">
            <w:pPr>
              <w:spacing w:line="259" w:lineRule="auto"/>
              <w:ind w:left="100"/>
              <w:rPr>
                <w:rFonts w:ascii="Arial" w:eastAsia="Times New Roman" w:hAnsi="Arial"/>
                <w:sz w:val="16"/>
                <w:szCs w:val="16"/>
              </w:rPr>
            </w:pPr>
            <w:r w:rsidRPr="004E3EB8">
              <w:rPr>
                <w:rFonts w:ascii="Arial" w:eastAsia="Times New Roman" w:hAnsi="Arial"/>
                <w:sz w:val="16"/>
                <w:szCs w:val="16"/>
              </w:rPr>
              <w:t>The COT initiator UE cannot immediately resume transmission in its own COT using Type 2B and 2C channel access procedures after responder’s PSFCH and S-SSB transmissions.</w:t>
            </w:r>
          </w:p>
        </w:tc>
      </w:tr>
    </w:tbl>
    <w:p w14:paraId="54CA0DF5" w14:textId="33214522" w:rsidR="004E3EB8" w:rsidRPr="004E3EB8" w:rsidRDefault="004E3EB8" w:rsidP="004E3EB8"/>
    <w:tbl>
      <w:tblPr>
        <w:tblW w:w="5000" w:type="pct"/>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0683"/>
      </w:tblGrid>
      <w:tr w:rsidR="004E3EB8" w:rsidRPr="004E3EB8" w14:paraId="00AB6468" w14:textId="77777777" w:rsidTr="004E3EB8">
        <w:tc>
          <w:tcPr>
            <w:tcW w:w="5000" w:type="pct"/>
            <w:shd w:val="clear" w:color="auto" w:fill="auto"/>
          </w:tcPr>
          <w:p w14:paraId="66866377" w14:textId="77777777" w:rsidR="004E3EB8" w:rsidRPr="004E3EB8" w:rsidRDefault="004E3EB8" w:rsidP="004E3EB8">
            <w:pPr>
              <w:overflowPunct w:val="0"/>
              <w:autoSpaceDE w:val="0"/>
              <w:autoSpaceDN w:val="0"/>
              <w:adjustRightInd w:val="0"/>
              <w:jc w:val="center"/>
              <w:textAlignment w:val="baseline"/>
              <w:rPr>
                <w:rFonts w:ascii="Arial" w:eastAsia="SimSun" w:hAnsi="Arial" w:cs="Arial"/>
                <w:b/>
                <w:bCs/>
                <w:sz w:val="16"/>
                <w:szCs w:val="16"/>
              </w:rPr>
            </w:pPr>
            <w:r w:rsidRPr="004E3EB8">
              <w:rPr>
                <w:rFonts w:ascii="Arial" w:eastAsia="SimSun" w:hAnsi="Arial" w:cs="Arial"/>
                <w:b/>
                <w:bCs/>
                <w:color w:val="FF0000"/>
                <w:sz w:val="16"/>
                <w:szCs w:val="16"/>
              </w:rPr>
              <w:t>&lt; Start of text proposal &gt;</w:t>
            </w:r>
          </w:p>
          <w:p w14:paraId="4CA2C8E9" w14:textId="77777777" w:rsidR="004E3EB8" w:rsidRPr="009B5DD3" w:rsidRDefault="004E3EB8" w:rsidP="009B5DD3">
            <w:pPr>
              <w:rPr>
                <w:rFonts w:ascii="Arial" w:hAnsi="Arial" w:cs="Arial"/>
                <w:b/>
                <w:bCs/>
                <w:sz w:val="16"/>
                <w:szCs w:val="16"/>
              </w:rPr>
            </w:pPr>
            <w:r w:rsidRPr="009B5DD3">
              <w:rPr>
                <w:rFonts w:ascii="Arial" w:hAnsi="Arial" w:cs="Arial"/>
                <w:b/>
                <w:bCs/>
                <w:sz w:val="16"/>
                <w:szCs w:val="16"/>
              </w:rPr>
              <w:t>4.5.</w:t>
            </w:r>
            <w:r w:rsidRPr="009B5DD3">
              <w:rPr>
                <w:rFonts w:ascii="Arial" w:hAnsi="Arial" w:cs="Arial"/>
                <w:b/>
                <w:bCs/>
                <w:sz w:val="16"/>
                <w:szCs w:val="16"/>
                <w:lang w:val="en-US"/>
              </w:rPr>
              <w:t>3</w:t>
            </w:r>
            <w:r w:rsidRPr="009B5DD3">
              <w:rPr>
                <w:rFonts w:ascii="Arial" w:hAnsi="Arial" w:cs="Arial"/>
                <w:b/>
                <w:bCs/>
                <w:sz w:val="16"/>
                <w:szCs w:val="16"/>
              </w:rPr>
              <w:tab/>
              <w:t>SL channel access procedures in a shared channel occupancy</w:t>
            </w:r>
          </w:p>
          <w:p w14:paraId="1C027614" w14:textId="77777777" w:rsidR="004E3EB8" w:rsidRPr="004E3EB8" w:rsidRDefault="004E3EB8" w:rsidP="004E3EB8">
            <w:pPr>
              <w:overflowPunct w:val="0"/>
              <w:autoSpaceDE w:val="0"/>
              <w:autoSpaceDN w:val="0"/>
              <w:adjustRightInd w:val="0"/>
              <w:jc w:val="center"/>
              <w:textAlignment w:val="baseline"/>
              <w:rPr>
                <w:rFonts w:ascii="Arial" w:eastAsia="SimSun" w:hAnsi="Arial" w:cs="Arial"/>
                <w:b/>
                <w:bCs/>
                <w:sz w:val="16"/>
                <w:szCs w:val="16"/>
              </w:rPr>
            </w:pPr>
            <w:r w:rsidRPr="004E3EB8">
              <w:rPr>
                <w:rFonts w:ascii="Arial" w:eastAsia="SimSun" w:hAnsi="Arial" w:cs="Arial"/>
                <w:b/>
                <w:bCs/>
                <w:color w:val="FF0000"/>
                <w:sz w:val="16"/>
                <w:szCs w:val="16"/>
              </w:rPr>
              <w:t>&lt;Unchanged part omitted&gt;</w:t>
            </w:r>
          </w:p>
          <w:p w14:paraId="2578922B" w14:textId="77777777" w:rsidR="004E3EB8" w:rsidRPr="004E3EB8" w:rsidRDefault="004E3EB8" w:rsidP="004E3EB8">
            <w:pPr>
              <w:rPr>
                <w:rFonts w:ascii="Arial" w:hAnsi="Arial" w:cs="Arial"/>
                <w:sz w:val="16"/>
                <w:szCs w:val="16"/>
                <w:lang w:val="en-US"/>
              </w:rPr>
            </w:pPr>
            <w:r w:rsidRPr="004E3EB8">
              <w:rPr>
                <w:rFonts w:ascii="Arial" w:hAnsi="Arial" w:cs="Arial"/>
                <w:sz w:val="16"/>
                <w:szCs w:val="16"/>
              </w:rPr>
              <w:t xml:space="preserve">When a UE </w:t>
            </w:r>
            <w:r w:rsidRPr="004E3EB8">
              <w:rPr>
                <w:rFonts w:ascii="Arial" w:hAnsi="Arial" w:cs="Arial"/>
                <w:sz w:val="16"/>
                <w:szCs w:val="16"/>
                <w:lang w:val="en-US"/>
              </w:rPr>
              <w:t>uses channel access procedures to initiate a channel occupancy to transmit SL transmission(s) and shares the corresponding channel occupancy with another UE that transmits a SL transmission(s), the UE</w:t>
            </w:r>
            <w:ins w:id="278" w:author="David mazzarese" w:date="2023-11-15T10:28:00Z">
              <w:r w:rsidRPr="004E3EB8">
                <w:rPr>
                  <w:rFonts w:ascii="Arial" w:hAnsi="Arial" w:cs="Arial"/>
                  <w:sz w:val="16"/>
                  <w:szCs w:val="16"/>
                  <w:lang w:val="en-US"/>
                </w:rPr>
                <w:t xml:space="preserve"> that initiated the channel occupancy</w:t>
              </w:r>
            </w:ins>
            <w:r w:rsidRPr="004E3EB8">
              <w:rPr>
                <w:rFonts w:ascii="Arial" w:hAnsi="Arial" w:cs="Arial"/>
                <w:sz w:val="16"/>
                <w:szCs w:val="16"/>
                <w:lang w:val="en-US"/>
              </w:rPr>
              <w:t xml:space="preserve"> may transmit a SL transmission(s) within its channel occupancy that follows the SL transmission(s) </w:t>
            </w:r>
            <w:del w:id="279" w:author="Kevin Lin" w:date="2023-11-15T00:56:00Z">
              <w:r w:rsidRPr="004E3EB8" w:rsidDel="00D965F9">
                <w:rPr>
                  <w:rFonts w:ascii="Arial" w:hAnsi="Arial" w:cs="Arial"/>
                  <w:sz w:val="16"/>
                  <w:szCs w:val="16"/>
                  <w:lang w:val="en-US"/>
                </w:rPr>
                <w:delText xml:space="preserve">that share the initiated channel occupancy </w:delText>
              </w:r>
            </w:del>
            <w:ins w:id="280" w:author="Kevin Lin" w:date="2023-11-15T00:56:00Z">
              <w:r w:rsidRPr="004E3EB8">
                <w:rPr>
                  <w:rFonts w:ascii="Arial" w:hAnsi="Arial" w:cs="Arial"/>
                  <w:sz w:val="16"/>
                  <w:szCs w:val="16"/>
                  <w:lang w:val="en-US"/>
                </w:rPr>
                <w:t xml:space="preserve">from </w:t>
              </w:r>
            </w:ins>
            <w:ins w:id="281" w:author="David mazzarese" w:date="2023-11-15T10:28:00Z">
              <w:r w:rsidRPr="004E3EB8">
                <w:rPr>
                  <w:rFonts w:ascii="Arial" w:hAnsi="Arial" w:cs="Arial"/>
                  <w:sz w:val="16"/>
                  <w:szCs w:val="16"/>
                  <w:lang w:val="en-US"/>
                </w:rPr>
                <w:t xml:space="preserve">the </w:t>
              </w:r>
            </w:ins>
            <w:ins w:id="282" w:author="Kevin Lin" w:date="2023-11-15T00:56:00Z">
              <w:r w:rsidRPr="004E3EB8">
                <w:rPr>
                  <w:rFonts w:ascii="Arial" w:hAnsi="Arial" w:cs="Arial"/>
                  <w:sz w:val="16"/>
                  <w:szCs w:val="16"/>
                  <w:lang w:val="en-US"/>
                </w:rPr>
                <w:t>other UE</w:t>
              </w:r>
            </w:ins>
            <w:ins w:id="283" w:author="David mazzarese" w:date="2023-11-15T10:30:00Z">
              <w:r w:rsidRPr="004E3EB8">
                <w:rPr>
                  <w:rFonts w:ascii="Arial" w:hAnsi="Arial" w:cs="Arial"/>
                  <w:sz w:val="16"/>
                  <w:szCs w:val="16"/>
                  <w:lang w:val="en-US"/>
                </w:rPr>
                <w:t xml:space="preserve"> </w:t>
              </w:r>
            </w:ins>
            <w:r w:rsidRPr="004E3EB8">
              <w:rPr>
                <w:rFonts w:ascii="Arial" w:hAnsi="Arial" w:cs="Arial"/>
                <w:sz w:val="16"/>
                <w:szCs w:val="16"/>
                <w:lang w:val="en-US"/>
              </w:rPr>
              <w:t>as the following.</w:t>
            </w:r>
          </w:p>
          <w:p w14:paraId="1D8C383E" w14:textId="77777777" w:rsidR="004E3EB8" w:rsidRPr="004E3EB8" w:rsidRDefault="004E3EB8" w:rsidP="004E3EB8">
            <w:pPr>
              <w:numPr>
                <w:ilvl w:val="0"/>
                <w:numId w:val="24"/>
              </w:numPr>
              <w:ind w:left="568" w:hanging="284"/>
              <w:rPr>
                <w:rFonts w:ascii="Arial" w:eastAsia="MS Mincho" w:hAnsi="Arial" w:cs="Arial"/>
                <w:sz w:val="16"/>
                <w:szCs w:val="16"/>
                <w:lang w:val="en-US"/>
              </w:rPr>
            </w:pPr>
            <w:r w:rsidRPr="004E3EB8">
              <w:rPr>
                <w:rFonts w:ascii="Arial" w:eastAsia="MS Mincho" w:hAnsi="Arial" w:cs="Arial"/>
                <w:sz w:val="16"/>
                <w:szCs w:val="16"/>
                <w:lang w:val="en-US"/>
              </w:rPr>
              <w:t>-</w:t>
            </w:r>
            <w:r w:rsidRPr="004E3EB8">
              <w:rPr>
                <w:rFonts w:ascii="Arial" w:eastAsia="MS Mincho" w:hAnsi="Arial" w:cs="Arial"/>
                <w:sz w:val="16"/>
                <w:szCs w:val="16"/>
                <w:lang w:val="en-US"/>
              </w:rPr>
              <w:tab/>
              <w:t xml:space="preserve">If the UE determines a transmission gap from </w:t>
            </w:r>
            <w:del w:id="284" w:author="David mazzarese" w:date="2023-11-15T10:29:00Z">
              <w:r w:rsidRPr="004E3EB8" w:rsidDel="00A72307">
                <w:rPr>
                  <w:rFonts w:ascii="Arial" w:eastAsia="MS Mincho" w:hAnsi="Arial" w:cs="Arial"/>
                  <w:sz w:val="16"/>
                  <w:szCs w:val="16"/>
                  <w:lang w:val="en-US"/>
                </w:rPr>
                <w:delText xml:space="preserve">another </w:delText>
              </w:r>
            </w:del>
            <w:ins w:id="285" w:author="David mazzarese" w:date="2023-11-15T10:29:00Z">
              <w:r w:rsidRPr="004E3EB8">
                <w:rPr>
                  <w:rFonts w:ascii="Arial" w:eastAsia="MS Mincho" w:hAnsi="Arial" w:cs="Arial"/>
                  <w:sz w:val="16"/>
                  <w:szCs w:val="16"/>
                  <w:lang w:val="en-US"/>
                </w:rPr>
                <w:t xml:space="preserve">the other </w:t>
              </w:r>
            </w:ins>
            <w:r w:rsidRPr="004E3EB8">
              <w:rPr>
                <w:rFonts w:ascii="Arial" w:eastAsia="MS Mincho" w:hAnsi="Arial" w:cs="Arial"/>
                <w:sz w:val="16"/>
                <w:szCs w:val="16"/>
                <w:lang w:val="en-US"/>
              </w:rPr>
              <w:t>UE’s SL transmission(s), the followings are applicable:</w:t>
            </w:r>
          </w:p>
          <w:p w14:paraId="275653FA" w14:textId="076EB682" w:rsidR="004E3EB8" w:rsidRPr="004E3EB8" w:rsidRDefault="004E3EB8" w:rsidP="004E3EB8">
            <w:pPr>
              <w:ind w:left="851" w:hanging="284"/>
              <w:rPr>
                <w:rFonts w:ascii="Arial" w:eastAsia="MS Mincho" w:hAnsi="Arial" w:cs="Arial"/>
                <w:sz w:val="16"/>
                <w:szCs w:val="16"/>
              </w:rPr>
            </w:pPr>
            <w:r w:rsidRPr="004E3EB8">
              <w:rPr>
                <w:rFonts w:ascii="Arial" w:eastAsia="MS Mincho" w:hAnsi="Arial" w:cs="Arial"/>
                <w:sz w:val="16"/>
                <w:szCs w:val="16"/>
              </w:rPr>
              <w:t>-</w:t>
            </w:r>
            <w:r w:rsidRPr="004E3EB8">
              <w:rPr>
                <w:rFonts w:ascii="Arial" w:eastAsia="MS Mincho" w:hAnsi="Arial" w:cs="Arial"/>
                <w:sz w:val="16"/>
                <w:szCs w:val="16"/>
              </w:rPr>
              <w:tab/>
              <w:t xml:space="preserve">If the transmission gap is at least </w:t>
            </w:r>
            <m:oMath>
              <m:r>
                <w:rPr>
                  <w:rFonts w:ascii="Cambria Math" w:hAnsi="Cambria Math" w:cs="Arial"/>
                  <w:sz w:val="16"/>
                  <w:szCs w:val="16"/>
                </w:rPr>
                <m:t>25μs</m:t>
              </m:r>
            </m:oMath>
            <w:r w:rsidRPr="004E3EB8">
              <w:rPr>
                <w:rFonts w:ascii="Arial" w:eastAsia="MS Mincho" w:hAnsi="Arial" w:cs="Arial"/>
                <w:sz w:val="16"/>
                <w:szCs w:val="16"/>
              </w:rPr>
              <w:t>, the UE can transmit the SL transmission on the channel after performing Type 2A channel access procedures as described in clause 4.5.2.1.</w:t>
            </w:r>
          </w:p>
          <w:p w14:paraId="35E0732A" w14:textId="66F40531" w:rsidR="004E3EB8" w:rsidRPr="004E3EB8" w:rsidRDefault="004E3EB8" w:rsidP="004E3EB8">
            <w:pPr>
              <w:ind w:left="851" w:hanging="284"/>
              <w:rPr>
                <w:rFonts w:ascii="Arial" w:eastAsia="MS Mincho" w:hAnsi="Arial" w:cs="Arial"/>
                <w:sz w:val="16"/>
                <w:szCs w:val="16"/>
              </w:rPr>
            </w:pPr>
            <w:r w:rsidRPr="004E3EB8">
              <w:rPr>
                <w:rFonts w:ascii="Arial" w:eastAsia="MS Mincho" w:hAnsi="Arial" w:cs="Arial"/>
                <w:sz w:val="16"/>
                <w:szCs w:val="16"/>
              </w:rPr>
              <w:t>-</w:t>
            </w:r>
            <w:r w:rsidRPr="004E3EB8">
              <w:rPr>
                <w:rFonts w:ascii="Arial" w:eastAsia="MS Mincho" w:hAnsi="Arial" w:cs="Arial"/>
                <w:sz w:val="16"/>
                <w:szCs w:val="16"/>
              </w:rPr>
              <w:tab/>
              <w:t xml:space="preserve">If the transmission gap is </w:t>
            </w:r>
            <m:oMath>
              <m:r>
                <w:rPr>
                  <w:rFonts w:ascii="Cambria Math" w:hAnsi="Cambria Math" w:cs="Arial"/>
                  <w:sz w:val="16"/>
                  <w:szCs w:val="16"/>
                </w:rPr>
                <m:t>16μs</m:t>
              </m:r>
            </m:oMath>
            <w:r w:rsidRPr="004E3EB8">
              <w:rPr>
                <w:rFonts w:ascii="Arial" w:eastAsia="MS Mincho" w:hAnsi="Arial" w:cs="Arial"/>
                <w:sz w:val="16"/>
                <w:szCs w:val="16"/>
              </w:rPr>
              <w:t>, the UE can transmit the SL transmission on the channel after performing Type 2B channel access procedures as described in clause 4.5.2.2.</w:t>
            </w:r>
          </w:p>
          <w:p w14:paraId="7EAEE7D3" w14:textId="7843C677" w:rsidR="004E3EB8" w:rsidRPr="004E3EB8" w:rsidRDefault="004E3EB8" w:rsidP="004E3EB8">
            <w:pPr>
              <w:ind w:left="851" w:hanging="284"/>
              <w:rPr>
                <w:rFonts w:ascii="Arial" w:eastAsia="MS Mincho" w:hAnsi="Arial" w:cs="Arial"/>
                <w:sz w:val="16"/>
                <w:szCs w:val="16"/>
              </w:rPr>
            </w:pPr>
            <w:r w:rsidRPr="004E3EB8">
              <w:rPr>
                <w:rFonts w:ascii="Arial" w:eastAsia="MS Mincho" w:hAnsi="Arial" w:cs="Arial"/>
                <w:sz w:val="16"/>
                <w:szCs w:val="16"/>
              </w:rPr>
              <w:t>-</w:t>
            </w:r>
            <w:r w:rsidRPr="004E3EB8">
              <w:rPr>
                <w:rFonts w:ascii="Arial" w:eastAsia="MS Mincho" w:hAnsi="Arial" w:cs="Arial"/>
                <w:sz w:val="16"/>
                <w:szCs w:val="16"/>
              </w:rPr>
              <w:tab/>
              <w:t xml:space="preserve">If the transmission gap is up to </w:t>
            </w:r>
            <m:oMath>
              <m:r>
                <w:rPr>
                  <w:rFonts w:ascii="Cambria Math" w:hAnsi="Cambria Math" w:cs="Arial"/>
                  <w:sz w:val="16"/>
                  <w:szCs w:val="16"/>
                </w:rPr>
                <m:t>16μs</m:t>
              </m:r>
            </m:oMath>
            <w:r w:rsidRPr="004E3EB8">
              <w:rPr>
                <w:rFonts w:ascii="Arial" w:eastAsia="MS Mincho" w:hAnsi="Arial" w:cs="Arial"/>
                <w:sz w:val="16"/>
                <w:szCs w:val="16"/>
              </w:rPr>
              <w:t>, the UE can transmit the SL transmission on the channel after performing Type 2C channel access as described in clause 4.5.2.3.</w:t>
            </w:r>
          </w:p>
          <w:p w14:paraId="17007421" w14:textId="77777777" w:rsidR="004E3EB8" w:rsidRPr="004E3EB8" w:rsidRDefault="004E3EB8" w:rsidP="004E3EB8">
            <w:pPr>
              <w:numPr>
                <w:ilvl w:val="0"/>
                <w:numId w:val="24"/>
              </w:numPr>
              <w:ind w:left="568" w:hanging="284"/>
              <w:rPr>
                <w:rFonts w:ascii="Arial" w:eastAsia="MS Mincho" w:hAnsi="Arial" w:cs="Arial"/>
                <w:sz w:val="16"/>
                <w:szCs w:val="16"/>
              </w:rPr>
            </w:pPr>
            <w:r w:rsidRPr="004E3EB8">
              <w:rPr>
                <w:rFonts w:ascii="Arial" w:eastAsia="MS Mincho" w:hAnsi="Arial" w:cs="Arial"/>
                <w:sz w:val="16"/>
                <w:szCs w:val="16"/>
                <w:lang w:val="en-US"/>
              </w:rPr>
              <w:lastRenderedPageBreak/>
              <w:t>-</w:t>
            </w:r>
            <w:r w:rsidRPr="004E3EB8">
              <w:rPr>
                <w:rFonts w:ascii="Arial" w:eastAsia="MS Mincho" w:hAnsi="Arial" w:cs="Arial"/>
                <w:sz w:val="16"/>
                <w:szCs w:val="16"/>
                <w:lang w:val="en-US"/>
              </w:rPr>
              <w:tab/>
              <w:t xml:space="preserve">Otherwise, </w:t>
            </w:r>
            <w:r w:rsidRPr="004E3EB8">
              <w:rPr>
                <w:rFonts w:ascii="Arial" w:eastAsia="MS Mincho" w:hAnsi="Arial" w:cs="Arial"/>
                <w:sz w:val="16"/>
                <w:szCs w:val="16"/>
              </w:rPr>
              <w:t>the UE can transmit the SL transmission on the channel after performing Type 2A channel access procedures as described in clause 4.5.2.1.</w:t>
            </w:r>
          </w:p>
          <w:p w14:paraId="0773CDD0" w14:textId="77777777" w:rsidR="004E3EB8" w:rsidRPr="004E3EB8" w:rsidRDefault="004E3EB8" w:rsidP="004E3EB8">
            <w:pPr>
              <w:overflowPunct w:val="0"/>
              <w:autoSpaceDE w:val="0"/>
              <w:autoSpaceDN w:val="0"/>
              <w:adjustRightInd w:val="0"/>
              <w:jc w:val="center"/>
              <w:textAlignment w:val="baseline"/>
              <w:rPr>
                <w:rFonts w:ascii="Arial" w:eastAsia="SimSun" w:hAnsi="Arial" w:cs="Arial"/>
                <w:b/>
                <w:bCs/>
                <w:color w:val="FF0000"/>
                <w:sz w:val="16"/>
                <w:szCs w:val="16"/>
              </w:rPr>
            </w:pPr>
            <w:r w:rsidRPr="004E3EB8">
              <w:rPr>
                <w:rFonts w:ascii="Arial" w:eastAsia="SimSun" w:hAnsi="Arial" w:cs="Arial"/>
                <w:b/>
                <w:bCs/>
                <w:color w:val="FF0000"/>
                <w:sz w:val="16"/>
                <w:szCs w:val="16"/>
              </w:rPr>
              <w:t>&lt;End of text proposal&gt;</w:t>
            </w:r>
          </w:p>
        </w:tc>
      </w:tr>
    </w:tbl>
    <w:p w14:paraId="5EBB80B7" w14:textId="77777777" w:rsidR="004E3EB8" w:rsidRPr="004E3EB8" w:rsidRDefault="004E3EB8" w:rsidP="004E3EB8">
      <w:pPr>
        <w:rPr>
          <w:rFonts w:ascii="Times New Roman" w:hAnsi="Times New Roman"/>
          <w:bCs/>
          <w:szCs w:val="20"/>
        </w:rPr>
      </w:pPr>
    </w:p>
    <w:p w14:paraId="5A45D0F5" w14:textId="77777777" w:rsidR="004E3EB8" w:rsidRPr="004E3EB8" w:rsidRDefault="004E3EB8" w:rsidP="004E3EB8">
      <w:pPr>
        <w:rPr>
          <w:rFonts w:ascii="Times New Roman" w:hAnsi="Times New Roman"/>
          <w:bCs/>
          <w:szCs w:val="20"/>
          <w:lang w:val="en-US"/>
        </w:rPr>
      </w:pPr>
      <w:bookmarkStart w:id="286" w:name="_Hlk148044389"/>
      <w:r w:rsidRPr="004E3EB8">
        <w:rPr>
          <w:rFonts w:ascii="Times New Roman" w:hAnsi="Times New Roman"/>
          <w:bCs/>
          <w:szCs w:val="20"/>
          <w:highlight w:val="green"/>
          <w:lang w:val="en-US"/>
        </w:rPr>
        <w:t>Agreement</w:t>
      </w:r>
    </w:p>
    <w:p w14:paraId="436E3719" w14:textId="40811230" w:rsidR="004E3EB8" w:rsidRPr="004E3EB8" w:rsidRDefault="004E3EB8" w:rsidP="004E3EB8">
      <w:pPr>
        <w:rPr>
          <w:rFonts w:ascii="Times New Roman" w:hAnsi="Times New Roman"/>
          <w:bCs/>
          <w:szCs w:val="20"/>
          <w:lang w:val="en-US"/>
        </w:rPr>
      </w:pPr>
      <w:r w:rsidRPr="004E3EB8">
        <w:rPr>
          <w:rFonts w:ascii="Times New Roman" w:hAnsi="Times New Roman"/>
          <w:bCs/>
          <w:szCs w:val="20"/>
        </w:rPr>
        <w:t xml:space="preserve">TP#7 in Section 4.7.1 of </w:t>
      </w:r>
      <w:hyperlink r:id="rId989" w:history="1">
        <w:r w:rsidR="00AF7253">
          <w:rPr>
            <w:rStyle w:val="Hyperlink"/>
            <w:rFonts w:ascii="Times New Roman" w:hAnsi="Times New Roman"/>
            <w:bCs/>
            <w:szCs w:val="20"/>
          </w:rPr>
          <w:t>R1-2312250</w:t>
        </w:r>
      </w:hyperlink>
      <w:r w:rsidRPr="004E3EB8">
        <w:rPr>
          <w:rFonts w:ascii="Times New Roman" w:hAnsi="Times New Roman"/>
          <w:bCs/>
          <w:szCs w:val="20"/>
        </w:rPr>
        <w:t xml:space="preserve"> for TS 38.214 is endorsed.</w:t>
      </w:r>
    </w:p>
    <w:bookmarkEnd w:id="286"/>
    <w:p w14:paraId="764489BA" w14:textId="77777777" w:rsidR="004E3EB8" w:rsidRPr="004E3EB8" w:rsidRDefault="004E3EB8" w:rsidP="004E3EB8">
      <w:pPr>
        <w:rPr>
          <w:lang w:eastAsia="x-none"/>
        </w:rPr>
      </w:pPr>
    </w:p>
    <w:p w14:paraId="29D9F4BD" w14:textId="77777777" w:rsidR="004E3EB8" w:rsidRDefault="004E3EB8" w:rsidP="00F74A6F">
      <w:pPr>
        <w:rPr>
          <w:lang w:eastAsia="x-none"/>
        </w:rPr>
      </w:pPr>
    </w:p>
    <w:p w14:paraId="276C8935" w14:textId="3BE40278" w:rsidR="00F74A6F" w:rsidRPr="00B04D25" w:rsidRDefault="005A18DC" w:rsidP="00F74A6F">
      <w:pPr>
        <w:rPr>
          <w:b/>
          <w:bCs/>
          <w:lang w:eastAsia="x-none"/>
        </w:rPr>
      </w:pPr>
      <w:hyperlink r:id="rId990" w:history="1">
        <w:r w:rsidR="00AF7253">
          <w:rPr>
            <w:rStyle w:val="Hyperlink"/>
            <w:b/>
            <w:bCs/>
            <w:lang w:eastAsia="x-none"/>
          </w:rPr>
          <w:t>R1-2312251</w:t>
        </w:r>
      </w:hyperlink>
      <w:r w:rsidR="00F74A6F" w:rsidRPr="00B04D25">
        <w:rPr>
          <w:b/>
          <w:bCs/>
          <w:lang w:eastAsia="x-none"/>
        </w:rPr>
        <w:tab/>
        <w:t>FL summary #4 for AI 8.2.1.1: SL-U channel access mechanism</w:t>
      </w:r>
      <w:r w:rsidR="00F74A6F" w:rsidRPr="00B04D25">
        <w:rPr>
          <w:b/>
          <w:bCs/>
          <w:lang w:eastAsia="x-none"/>
        </w:rPr>
        <w:tab/>
        <w:t>Moderator (OPPO)</w:t>
      </w:r>
    </w:p>
    <w:p w14:paraId="0E50AB6A" w14:textId="47AB84B1" w:rsidR="00B04D25" w:rsidRDefault="00B04D25" w:rsidP="00F74A6F">
      <w:pPr>
        <w:rPr>
          <w:lang w:eastAsia="x-none"/>
        </w:rPr>
      </w:pPr>
      <w:r>
        <w:rPr>
          <w:lang w:eastAsia="x-none"/>
        </w:rPr>
        <w:t>From Thursday session</w:t>
      </w:r>
    </w:p>
    <w:p w14:paraId="47B45DD0" w14:textId="77777777" w:rsidR="00B04D25" w:rsidRPr="00B04D25" w:rsidRDefault="00B04D25" w:rsidP="00B04D25">
      <w:pPr>
        <w:rPr>
          <w:rFonts w:ascii="Times New Roman" w:hAnsi="Times New Roman"/>
          <w:szCs w:val="20"/>
          <w:lang w:val="en-US"/>
        </w:rPr>
      </w:pPr>
      <w:r w:rsidRPr="00B04D25">
        <w:rPr>
          <w:rFonts w:ascii="Times New Roman" w:hAnsi="Times New Roman"/>
          <w:szCs w:val="20"/>
          <w:highlight w:val="green"/>
          <w:lang w:val="en-US"/>
        </w:rPr>
        <w:t>Agreement</w:t>
      </w:r>
    </w:p>
    <w:p w14:paraId="6D7FE208" w14:textId="77777777" w:rsidR="00B04D25" w:rsidRPr="00B04D25" w:rsidRDefault="00B04D25" w:rsidP="00B04D25">
      <w:pPr>
        <w:rPr>
          <w:rFonts w:ascii="Times New Roman" w:hAnsi="Times New Roman"/>
          <w:szCs w:val="20"/>
        </w:rPr>
      </w:pPr>
      <w:r w:rsidRPr="00B04D25">
        <w:rPr>
          <w:rFonts w:ascii="Times New Roman" w:hAnsi="Times New Roman"/>
          <w:szCs w:val="20"/>
        </w:rPr>
        <w:t>Endorse the TP below for TS 37.213.</w:t>
      </w:r>
    </w:p>
    <w:tbl>
      <w:tblPr>
        <w:tblW w:w="5000" w:type="pct"/>
        <w:tblCellMar>
          <w:left w:w="42" w:type="dxa"/>
          <w:right w:w="42" w:type="dxa"/>
        </w:tblCellMar>
        <w:tblLook w:val="04A0" w:firstRow="1" w:lastRow="0" w:firstColumn="1" w:lastColumn="0" w:noHBand="0" w:noVBand="1"/>
      </w:tblPr>
      <w:tblGrid>
        <w:gridCol w:w="2515"/>
        <w:gridCol w:w="8036"/>
      </w:tblGrid>
      <w:tr w:rsidR="00B04D25" w:rsidRPr="00B04D25" w14:paraId="62B3AC76" w14:textId="77777777" w:rsidTr="00B04D25">
        <w:tc>
          <w:tcPr>
            <w:tcW w:w="1192" w:type="pct"/>
            <w:tcBorders>
              <w:top w:val="single" w:sz="4" w:space="0" w:color="auto"/>
              <w:left w:val="single" w:sz="4" w:space="0" w:color="auto"/>
            </w:tcBorders>
          </w:tcPr>
          <w:p w14:paraId="0879061A" w14:textId="77777777" w:rsidR="00B04D25" w:rsidRPr="00B04D25" w:rsidRDefault="00B04D25" w:rsidP="00B04D25">
            <w:pPr>
              <w:tabs>
                <w:tab w:val="right" w:pos="2184"/>
              </w:tabs>
              <w:spacing w:line="259" w:lineRule="auto"/>
              <w:rPr>
                <w:rFonts w:ascii="Arial" w:eastAsia="Times New Roman" w:hAnsi="Arial"/>
                <w:b/>
                <w:i/>
                <w:sz w:val="16"/>
                <w:szCs w:val="16"/>
              </w:rPr>
            </w:pPr>
            <w:r w:rsidRPr="00B04D25">
              <w:rPr>
                <w:rFonts w:ascii="Arial" w:eastAsia="Times New Roman" w:hAnsi="Arial"/>
                <w:b/>
                <w:i/>
                <w:sz w:val="16"/>
                <w:szCs w:val="16"/>
              </w:rPr>
              <w:t>Reason for change:</w:t>
            </w:r>
          </w:p>
        </w:tc>
        <w:tc>
          <w:tcPr>
            <w:tcW w:w="3808" w:type="pct"/>
            <w:tcBorders>
              <w:top w:val="single" w:sz="4" w:space="0" w:color="auto"/>
              <w:right w:val="single" w:sz="4" w:space="0" w:color="auto"/>
            </w:tcBorders>
            <w:shd w:val="pct30" w:color="FFFF00" w:fill="auto"/>
          </w:tcPr>
          <w:p w14:paraId="25EBD0BD" w14:textId="77777777" w:rsidR="00B04D25" w:rsidRPr="00B04D25" w:rsidRDefault="00B04D25" w:rsidP="00B04D25">
            <w:pPr>
              <w:spacing w:line="259" w:lineRule="auto"/>
              <w:ind w:left="100"/>
              <w:rPr>
                <w:rFonts w:ascii="Arial" w:eastAsia="Times New Roman" w:hAnsi="Arial"/>
                <w:sz w:val="16"/>
                <w:szCs w:val="16"/>
              </w:rPr>
            </w:pPr>
            <w:r w:rsidRPr="00B04D25">
              <w:rPr>
                <w:rFonts w:ascii="Arial" w:eastAsia="Times New Roman" w:hAnsi="Arial"/>
                <w:sz w:val="16"/>
                <w:szCs w:val="16"/>
              </w:rPr>
              <w:t xml:space="preserve">Currently UE-to-UE COT sharing energy detection threshold is determined by a UE based on the UE’s transmit power. But a responder UE could use different transmit power to the power used by the COT initiator UE. </w:t>
            </w:r>
          </w:p>
        </w:tc>
      </w:tr>
      <w:tr w:rsidR="00B04D25" w:rsidRPr="00B04D25" w14:paraId="4AA8DEB5" w14:textId="77777777" w:rsidTr="00B04D25">
        <w:tc>
          <w:tcPr>
            <w:tcW w:w="1192" w:type="pct"/>
            <w:tcBorders>
              <w:left w:val="single" w:sz="4" w:space="0" w:color="auto"/>
            </w:tcBorders>
          </w:tcPr>
          <w:p w14:paraId="21EC27DA" w14:textId="77777777" w:rsidR="00B04D25" w:rsidRPr="00B04D25" w:rsidRDefault="00B04D25" w:rsidP="00B04D25">
            <w:pPr>
              <w:spacing w:line="259" w:lineRule="auto"/>
              <w:rPr>
                <w:rFonts w:ascii="Arial" w:eastAsia="Times New Roman" w:hAnsi="Arial"/>
                <w:b/>
                <w:i/>
                <w:sz w:val="16"/>
                <w:szCs w:val="16"/>
              </w:rPr>
            </w:pPr>
          </w:p>
        </w:tc>
        <w:tc>
          <w:tcPr>
            <w:tcW w:w="3808" w:type="pct"/>
            <w:tcBorders>
              <w:right w:val="single" w:sz="4" w:space="0" w:color="auto"/>
            </w:tcBorders>
          </w:tcPr>
          <w:p w14:paraId="7BC188C5" w14:textId="77777777" w:rsidR="00B04D25" w:rsidRPr="00B04D25" w:rsidRDefault="00B04D25" w:rsidP="00B04D25">
            <w:pPr>
              <w:spacing w:line="259" w:lineRule="auto"/>
              <w:rPr>
                <w:rFonts w:ascii="Arial" w:eastAsia="Times New Roman" w:hAnsi="Arial"/>
                <w:sz w:val="16"/>
                <w:szCs w:val="16"/>
              </w:rPr>
            </w:pPr>
          </w:p>
        </w:tc>
      </w:tr>
      <w:tr w:rsidR="00B04D25" w:rsidRPr="00B04D25" w14:paraId="715836C4" w14:textId="77777777" w:rsidTr="00B04D25">
        <w:tc>
          <w:tcPr>
            <w:tcW w:w="1192" w:type="pct"/>
            <w:tcBorders>
              <w:left w:val="single" w:sz="4" w:space="0" w:color="auto"/>
            </w:tcBorders>
          </w:tcPr>
          <w:p w14:paraId="4B74AA62" w14:textId="77777777" w:rsidR="00B04D25" w:rsidRPr="00B04D25" w:rsidRDefault="00B04D25" w:rsidP="00B04D25">
            <w:pPr>
              <w:tabs>
                <w:tab w:val="right" w:pos="2184"/>
              </w:tabs>
              <w:spacing w:line="259" w:lineRule="auto"/>
              <w:rPr>
                <w:rFonts w:ascii="Arial" w:eastAsia="Times New Roman" w:hAnsi="Arial"/>
                <w:b/>
                <w:i/>
                <w:sz w:val="16"/>
                <w:szCs w:val="16"/>
              </w:rPr>
            </w:pPr>
            <w:r w:rsidRPr="00B04D25">
              <w:rPr>
                <w:rFonts w:ascii="Arial" w:eastAsia="Times New Roman" w:hAnsi="Arial"/>
                <w:b/>
                <w:i/>
                <w:sz w:val="16"/>
                <w:szCs w:val="16"/>
              </w:rPr>
              <w:t>Summary of change:</w:t>
            </w:r>
          </w:p>
        </w:tc>
        <w:tc>
          <w:tcPr>
            <w:tcW w:w="3808" w:type="pct"/>
            <w:tcBorders>
              <w:right w:val="single" w:sz="4" w:space="0" w:color="auto"/>
            </w:tcBorders>
            <w:shd w:val="pct30" w:color="FFFF00" w:fill="auto"/>
          </w:tcPr>
          <w:p w14:paraId="55B94944" w14:textId="77777777" w:rsidR="00B04D25" w:rsidRPr="00B04D25" w:rsidRDefault="00B04D25" w:rsidP="00B04D25">
            <w:pPr>
              <w:spacing w:line="259" w:lineRule="auto"/>
              <w:ind w:left="100"/>
              <w:rPr>
                <w:rFonts w:ascii="Arial" w:eastAsia="Times New Roman" w:hAnsi="Arial"/>
                <w:sz w:val="16"/>
                <w:szCs w:val="16"/>
              </w:rPr>
            </w:pPr>
            <w:r w:rsidRPr="00B04D25">
              <w:rPr>
                <w:rFonts w:ascii="Arial" w:eastAsia="Times New Roman" w:hAnsi="Arial" w:cs="Arial"/>
                <w:sz w:val="16"/>
                <w:szCs w:val="16"/>
              </w:rPr>
              <w:t xml:space="preserve">The </w:t>
            </w:r>
            <w:r w:rsidRPr="00B04D25">
              <w:rPr>
                <w:rFonts w:ascii="Arial" w:eastAsia="Times New Roman" w:hAnsi="Arial"/>
                <w:sz w:val="16"/>
                <w:szCs w:val="16"/>
              </w:rPr>
              <w:t xml:space="preserve">UE-to-UE COT sharing energy detection threshold that should be used by both the initiator UE and the responder UE should be (pre-)configured per carrier/cell. </w:t>
            </w:r>
          </w:p>
          <w:p w14:paraId="403CA379" w14:textId="77777777" w:rsidR="00B04D25" w:rsidRPr="00B04D25" w:rsidRDefault="00B04D25" w:rsidP="00B04D25">
            <w:pPr>
              <w:spacing w:line="259" w:lineRule="auto"/>
              <w:ind w:left="100"/>
              <w:rPr>
                <w:rFonts w:ascii="Arial" w:eastAsia="Times New Roman" w:hAnsi="Arial" w:cs="Arial"/>
                <w:sz w:val="16"/>
                <w:szCs w:val="16"/>
              </w:rPr>
            </w:pPr>
            <w:r w:rsidRPr="00B04D25">
              <w:rPr>
                <w:rFonts w:ascii="Arial" w:eastAsia="Times New Roman" w:hAnsi="Arial"/>
                <w:sz w:val="16"/>
                <w:szCs w:val="16"/>
              </w:rPr>
              <w:t>A condition is added to clarify that the UE that performs channel access procedures to initiate a channel occupancy to be shared to other UE(s), and another UE that shares the initiated channel occupancy shall use the (pre-)configured “</w:t>
            </w:r>
            <w:r w:rsidRPr="00B04D25">
              <w:rPr>
                <w:rFonts w:ascii="Arial" w:eastAsia="Times New Roman" w:hAnsi="Arial"/>
                <w:i/>
                <w:iCs/>
                <w:sz w:val="16"/>
                <w:szCs w:val="16"/>
              </w:rPr>
              <w:t>ue-toUE-COT-SharingED-Threshold</w:t>
            </w:r>
            <w:r w:rsidRPr="00B04D25">
              <w:rPr>
                <w:rFonts w:ascii="Arial" w:eastAsia="Times New Roman" w:hAnsi="Arial"/>
                <w:sz w:val="16"/>
                <w:szCs w:val="16"/>
              </w:rPr>
              <w:t>” for accessing the channel(s).</w:t>
            </w:r>
          </w:p>
        </w:tc>
      </w:tr>
      <w:tr w:rsidR="00B04D25" w:rsidRPr="00B04D25" w14:paraId="11891434" w14:textId="77777777" w:rsidTr="00B04D25">
        <w:tc>
          <w:tcPr>
            <w:tcW w:w="1192" w:type="pct"/>
            <w:tcBorders>
              <w:left w:val="single" w:sz="4" w:space="0" w:color="auto"/>
            </w:tcBorders>
          </w:tcPr>
          <w:p w14:paraId="6039E6ED" w14:textId="77777777" w:rsidR="00B04D25" w:rsidRPr="00B04D25" w:rsidRDefault="00B04D25" w:rsidP="00B04D25">
            <w:pPr>
              <w:spacing w:line="259" w:lineRule="auto"/>
              <w:rPr>
                <w:rFonts w:ascii="Arial" w:eastAsia="Times New Roman" w:hAnsi="Arial"/>
                <w:b/>
                <w:i/>
                <w:sz w:val="16"/>
                <w:szCs w:val="16"/>
              </w:rPr>
            </w:pPr>
          </w:p>
        </w:tc>
        <w:tc>
          <w:tcPr>
            <w:tcW w:w="3808" w:type="pct"/>
            <w:tcBorders>
              <w:right w:val="single" w:sz="4" w:space="0" w:color="auto"/>
            </w:tcBorders>
          </w:tcPr>
          <w:p w14:paraId="285CF754" w14:textId="77777777" w:rsidR="00B04D25" w:rsidRPr="00B04D25" w:rsidRDefault="00B04D25" w:rsidP="00B04D25">
            <w:pPr>
              <w:spacing w:line="259" w:lineRule="auto"/>
              <w:rPr>
                <w:rFonts w:ascii="Arial" w:eastAsia="Times New Roman" w:hAnsi="Arial"/>
                <w:sz w:val="16"/>
                <w:szCs w:val="16"/>
              </w:rPr>
            </w:pPr>
          </w:p>
        </w:tc>
      </w:tr>
      <w:tr w:rsidR="00B04D25" w:rsidRPr="00B04D25" w14:paraId="5C9E5DB9" w14:textId="77777777" w:rsidTr="00B04D25">
        <w:tc>
          <w:tcPr>
            <w:tcW w:w="1192" w:type="pct"/>
            <w:tcBorders>
              <w:left w:val="single" w:sz="4" w:space="0" w:color="auto"/>
              <w:bottom w:val="single" w:sz="4" w:space="0" w:color="auto"/>
            </w:tcBorders>
          </w:tcPr>
          <w:p w14:paraId="52D8DBB1" w14:textId="77777777" w:rsidR="00B04D25" w:rsidRPr="00B04D25" w:rsidRDefault="00B04D25" w:rsidP="00B04D25">
            <w:pPr>
              <w:tabs>
                <w:tab w:val="right" w:pos="2184"/>
              </w:tabs>
              <w:spacing w:line="259" w:lineRule="auto"/>
              <w:rPr>
                <w:rFonts w:ascii="Arial" w:eastAsia="Times New Roman" w:hAnsi="Arial"/>
                <w:b/>
                <w:i/>
                <w:sz w:val="16"/>
                <w:szCs w:val="16"/>
              </w:rPr>
            </w:pPr>
            <w:r w:rsidRPr="00B04D25">
              <w:rPr>
                <w:rFonts w:ascii="Arial" w:eastAsia="Times New Roman" w:hAnsi="Arial"/>
                <w:b/>
                <w:i/>
                <w:sz w:val="16"/>
                <w:szCs w:val="16"/>
              </w:rPr>
              <w:t>Consequences if not approved:</w:t>
            </w:r>
          </w:p>
        </w:tc>
        <w:tc>
          <w:tcPr>
            <w:tcW w:w="3808" w:type="pct"/>
            <w:tcBorders>
              <w:bottom w:val="single" w:sz="4" w:space="0" w:color="auto"/>
              <w:right w:val="single" w:sz="4" w:space="0" w:color="auto"/>
            </w:tcBorders>
            <w:shd w:val="pct30" w:color="FFFF00" w:fill="auto"/>
          </w:tcPr>
          <w:p w14:paraId="6470F61B" w14:textId="77777777" w:rsidR="00B04D25" w:rsidRPr="00B04D25" w:rsidRDefault="00B04D25" w:rsidP="00B04D25">
            <w:pPr>
              <w:spacing w:line="259" w:lineRule="auto"/>
              <w:ind w:left="100"/>
              <w:rPr>
                <w:rFonts w:ascii="Arial" w:eastAsia="Times New Roman" w:hAnsi="Arial"/>
                <w:sz w:val="16"/>
                <w:szCs w:val="16"/>
              </w:rPr>
            </w:pPr>
            <w:r w:rsidRPr="00B04D25">
              <w:rPr>
                <w:rFonts w:ascii="Arial" w:eastAsia="Times New Roman" w:hAnsi="Arial"/>
                <w:sz w:val="16"/>
                <w:szCs w:val="16"/>
              </w:rPr>
              <w:t>The responder’s UE transmit power may not complied to the “</w:t>
            </w:r>
            <w:r w:rsidRPr="00B04D25">
              <w:rPr>
                <w:rFonts w:ascii="Arial" w:eastAsia="Times New Roman" w:hAnsi="Arial"/>
                <w:i/>
                <w:iCs/>
                <w:sz w:val="16"/>
                <w:szCs w:val="16"/>
              </w:rPr>
              <w:t>ue-toUE-COT-SharingED-Threshold</w:t>
            </w:r>
            <w:r w:rsidRPr="00B04D25">
              <w:rPr>
                <w:rFonts w:ascii="Arial" w:eastAsia="Times New Roman" w:hAnsi="Arial"/>
                <w:sz w:val="16"/>
                <w:szCs w:val="16"/>
              </w:rPr>
              <w:t>” calculated based on initiator’s transmit power.</w:t>
            </w:r>
          </w:p>
        </w:tc>
      </w:tr>
    </w:tbl>
    <w:p w14:paraId="049B2A2A" w14:textId="77777777" w:rsidR="00B04D25" w:rsidRPr="00B04D25" w:rsidRDefault="00B04D25" w:rsidP="00B04D25">
      <w:pPr>
        <w:overflowPunct w:val="0"/>
        <w:autoSpaceDE w:val="0"/>
        <w:autoSpaceDN w:val="0"/>
        <w:adjustRightInd w:val="0"/>
        <w:textAlignment w:val="baseline"/>
        <w:rPr>
          <w:rFonts w:ascii="Times New Roman" w:eastAsia="SimSun" w:hAnsi="Times New Roman"/>
          <w:szCs w:val="20"/>
        </w:rPr>
      </w:pPr>
      <w:r w:rsidRPr="00B04D25">
        <w:rPr>
          <w:rFonts w:ascii="Times New Roman" w:eastAsia="SimSun" w:hAnsi="Times New Roman"/>
          <w:color w:val="FF0000"/>
          <w:szCs w:val="20"/>
        </w:rPr>
        <w:t>&lt; Start of text proposal &gt;</w:t>
      </w:r>
    </w:p>
    <w:p w14:paraId="4FAD4468" w14:textId="77777777" w:rsidR="00B04D25" w:rsidRPr="00B04D25" w:rsidRDefault="00B04D25" w:rsidP="00B04D25">
      <w:pPr>
        <w:rPr>
          <w:rFonts w:ascii="Arial" w:hAnsi="Arial" w:cs="Arial"/>
          <w:b/>
          <w:bCs/>
          <w:sz w:val="16"/>
          <w:szCs w:val="16"/>
        </w:rPr>
      </w:pPr>
      <w:r w:rsidRPr="00B04D25">
        <w:rPr>
          <w:rFonts w:ascii="Arial" w:hAnsi="Arial" w:cs="Arial"/>
          <w:b/>
          <w:bCs/>
          <w:sz w:val="16"/>
          <w:szCs w:val="16"/>
        </w:rPr>
        <w:t>4.5.5</w:t>
      </w:r>
      <w:r w:rsidRPr="00B04D25">
        <w:rPr>
          <w:rFonts w:ascii="Arial" w:hAnsi="Arial" w:cs="Arial"/>
          <w:b/>
          <w:bCs/>
          <w:sz w:val="16"/>
          <w:szCs w:val="16"/>
        </w:rPr>
        <w:tab/>
        <w:t>Energy detection threshold adaptation procedure</w:t>
      </w:r>
    </w:p>
    <w:p w14:paraId="452617A2" w14:textId="77777777" w:rsidR="00B04D25" w:rsidRPr="00B04D25" w:rsidRDefault="00B04D25" w:rsidP="00B04D25">
      <w:pPr>
        <w:overflowPunct w:val="0"/>
        <w:autoSpaceDE w:val="0"/>
        <w:autoSpaceDN w:val="0"/>
        <w:adjustRightInd w:val="0"/>
        <w:jc w:val="center"/>
        <w:textAlignment w:val="baseline"/>
        <w:rPr>
          <w:rFonts w:ascii="Arial" w:eastAsia="SimSun" w:hAnsi="Arial" w:cs="Arial"/>
          <w:sz w:val="16"/>
          <w:szCs w:val="16"/>
        </w:rPr>
      </w:pPr>
      <w:r w:rsidRPr="00B04D25">
        <w:rPr>
          <w:rFonts w:ascii="Arial" w:eastAsia="SimSun" w:hAnsi="Arial" w:cs="Arial"/>
          <w:color w:val="FF0000"/>
          <w:sz w:val="16"/>
          <w:szCs w:val="16"/>
        </w:rPr>
        <w:t>&lt;Unchanged part omitted&gt;</w:t>
      </w:r>
    </w:p>
    <w:p w14:paraId="61657120" w14:textId="77777777" w:rsidR="00B04D25" w:rsidRPr="00B04D25" w:rsidRDefault="00B04D25" w:rsidP="00B04D25">
      <w:pPr>
        <w:rPr>
          <w:rFonts w:ascii="Arial" w:hAnsi="Arial" w:cs="Arial"/>
          <w:sz w:val="16"/>
          <w:szCs w:val="16"/>
          <w:lang w:val="en-US"/>
        </w:rPr>
      </w:pPr>
      <w:r w:rsidRPr="00B04D25">
        <w:rPr>
          <w:rFonts w:ascii="Arial" w:hAnsi="Arial" w:cs="Arial"/>
          <w:sz w:val="16"/>
          <w:szCs w:val="16"/>
          <w:lang w:val="en-US"/>
        </w:rPr>
        <w:t xml:space="preserve">If the higher layer parameter </w:t>
      </w:r>
      <w:r w:rsidRPr="00B04D25">
        <w:rPr>
          <w:rFonts w:ascii="Arial" w:hAnsi="Arial" w:cs="Arial"/>
          <w:i/>
          <w:iCs/>
          <w:sz w:val="16"/>
          <w:szCs w:val="16"/>
          <w:lang w:val="en-US"/>
        </w:rPr>
        <w:t>sl-</w:t>
      </w:r>
      <w:r w:rsidRPr="00B04D25">
        <w:rPr>
          <w:rFonts w:ascii="Arial" w:hAnsi="Arial" w:cs="Arial"/>
          <w:i/>
          <w:sz w:val="16"/>
          <w:szCs w:val="16"/>
          <w:lang w:val="en-US"/>
        </w:rPr>
        <w:t>absenceOfAnyOtherTechnology-r1</w:t>
      </w:r>
      <w:r w:rsidRPr="00B04D25">
        <w:rPr>
          <w:rFonts w:ascii="Arial" w:hAnsi="Arial" w:cs="Arial"/>
          <w:iCs/>
          <w:sz w:val="16"/>
          <w:szCs w:val="16"/>
          <w:lang w:val="en-US"/>
        </w:rPr>
        <w:t>8</w:t>
      </w:r>
      <w:r w:rsidRPr="00B04D25">
        <w:rPr>
          <w:rFonts w:ascii="Arial" w:hAnsi="Arial" w:cs="Arial"/>
          <w:i/>
          <w:sz w:val="16"/>
          <w:szCs w:val="16"/>
          <w:lang w:val="en-US"/>
        </w:rPr>
        <w:t xml:space="preserve"> </w:t>
      </w:r>
      <w:r w:rsidRPr="00B04D25">
        <w:rPr>
          <w:rFonts w:ascii="Arial" w:hAnsi="Arial" w:cs="Arial"/>
          <w:sz w:val="16"/>
          <w:szCs w:val="16"/>
          <w:lang w:val="en-US"/>
        </w:rPr>
        <w:t>is not configured to a UE,</w:t>
      </w:r>
      <w:del w:id="287" w:author="Kevin Lin" w:date="2023-11-15T00:29:00Z">
        <w:r w:rsidRPr="00B04D25" w:rsidDel="005F6757">
          <w:rPr>
            <w:rFonts w:ascii="Arial" w:hAnsi="Arial" w:cs="Arial"/>
            <w:sz w:val="16"/>
            <w:szCs w:val="16"/>
            <w:lang w:val="en-US"/>
          </w:rPr>
          <w:delText xml:space="preserve"> and the higher layer parameter </w:delText>
        </w:r>
        <w:r w:rsidRPr="00B04D25" w:rsidDel="005F6757">
          <w:rPr>
            <w:rFonts w:ascii="Arial" w:hAnsi="Arial" w:cs="Arial"/>
            <w:i/>
            <w:sz w:val="16"/>
            <w:szCs w:val="16"/>
            <w:lang w:val="en-US"/>
          </w:rPr>
          <w:delText>ue-toUE-COT-SharingED-Threshold</w:delText>
        </w:r>
        <w:r w:rsidRPr="00B04D25" w:rsidDel="005F6757">
          <w:rPr>
            <w:rFonts w:ascii="Arial" w:hAnsi="Arial" w:cs="Arial"/>
            <w:sz w:val="16"/>
            <w:szCs w:val="16"/>
            <w:lang w:val="en-US"/>
          </w:rPr>
          <w:delText xml:space="preserve"> is configured to the UE, the UE should use the UE's transmit power in determining the resulting energy detection threshold </w:delText>
        </w:r>
        <w:r w:rsidRPr="00B04D25" w:rsidDel="005F6757">
          <w:rPr>
            <w:rFonts w:ascii="Arial" w:hAnsi="Arial" w:cs="Arial"/>
            <w:i/>
            <w:sz w:val="16"/>
            <w:szCs w:val="16"/>
            <w:lang w:val="en-US"/>
          </w:rPr>
          <w:delText>ue-toUE-COT-SharingED-Thresho</w:delText>
        </w:r>
        <w:r w:rsidRPr="00B04D25" w:rsidDel="005F6757">
          <w:rPr>
            <w:rFonts w:ascii="Arial" w:hAnsi="Arial" w:cs="Arial"/>
            <w:i/>
            <w:color w:val="000000"/>
            <w:sz w:val="16"/>
            <w:szCs w:val="16"/>
            <w:lang w:val="en-US"/>
          </w:rPr>
          <w:delText>ld</w:delText>
        </w:r>
      </w:del>
      <w:ins w:id="288" w:author="Kevin Lin" w:date="2023-11-15T00:29:00Z">
        <w:r w:rsidRPr="00B04D25">
          <w:rPr>
            <w:rFonts w:ascii="Arial" w:hAnsi="Arial" w:cs="Arial"/>
            <w:i/>
            <w:color w:val="000000"/>
            <w:sz w:val="16"/>
            <w:szCs w:val="16"/>
            <w:lang w:val="en-US"/>
          </w:rPr>
          <w:t xml:space="preserve"> </w:t>
        </w:r>
        <w:r w:rsidRPr="00B04D25">
          <w:rPr>
            <w:rFonts w:ascii="Arial" w:hAnsi="Arial" w:cs="Arial"/>
            <w:color w:val="000000"/>
            <w:sz w:val="16"/>
            <w:szCs w:val="16"/>
            <w:lang w:val="en-US"/>
          </w:rPr>
          <w:t xml:space="preserve">the </w:t>
        </w:r>
        <w:r w:rsidRPr="00B04D25">
          <w:rPr>
            <w:rFonts w:ascii="Arial" w:hAnsi="Arial" w:cs="Arial"/>
            <w:color w:val="000000"/>
            <w:sz w:val="16"/>
            <w:szCs w:val="16"/>
            <w:lang w:eastAsia="x-none"/>
          </w:rPr>
          <w:t>UE that performs channel access procedures to initiate a channel occupancy</w:t>
        </w:r>
        <w:r w:rsidRPr="00B04D25">
          <w:rPr>
            <w:rFonts w:ascii="Arial" w:hAnsi="Arial" w:cs="Arial"/>
            <w:color w:val="000000"/>
            <w:sz w:val="16"/>
            <w:szCs w:val="16"/>
            <w:lang w:val="en-US"/>
          </w:rPr>
          <w:t xml:space="preserve"> to be shared to other UE(s), and another UE that shares the</w:t>
        </w:r>
        <w:r w:rsidRPr="00B04D25">
          <w:rPr>
            <w:rFonts w:ascii="Arial" w:hAnsi="Arial" w:cs="Arial"/>
            <w:color w:val="000000"/>
            <w:sz w:val="16"/>
            <w:szCs w:val="16"/>
          </w:rPr>
          <w:t xml:space="preserve"> initiated channel occupancy</w:t>
        </w:r>
        <w:r w:rsidRPr="00B04D25">
          <w:rPr>
            <w:rFonts w:ascii="Arial" w:hAnsi="Arial" w:cs="Arial"/>
            <w:color w:val="000000"/>
            <w:sz w:val="16"/>
            <w:szCs w:val="16"/>
            <w:lang w:val="en-US"/>
          </w:rPr>
          <w:t xml:space="preserve"> </w:t>
        </w:r>
      </w:ins>
      <w:ins w:id="289" w:author="David mazzarese" w:date="2023-11-16T08:51:00Z">
        <w:r w:rsidRPr="00B04D25">
          <w:rPr>
            <w:rFonts w:ascii="Arial" w:hAnsi="Arial" w:cs="Arial"/>
            <w:color w:val="000000"/>
            <w:sz w:val="16"/>
            <w:szCs w:val="16"/>
            <w:lang w:val="en-US"/>
          </w:rPr>
          <w:t xml:space="preserve">as described in section 4.5.3 </w:t>
        </w:r>
      </w:ins>
      <w:ins w:id="290" w:author="Kevin Lin" w:date="2023-11-15T00:29:00Z">
        <w:r w:rsidRPr="00B04D25">
          <w:rPr>
            <w:rFonts w:ascii="Arial" w:hAnsi="Arial" w:cs="Arial"/>
            <w:color w:val="000000"/>
            <w:sz w:val="16"/>
            <w:szCs w:val="16"/>
            <w:lang w:val="en-US"/>
          </w:rPr>
          <w:t>shall use the (pre-)configured “</w:t>
        </w:r>
        <w:r w:rsidRPr="00B04D25">
          <w:rPr>
            <w:rFonts w:ascii="Arial" w:hAnsi="Arial" w:cs="Arial"/>
            <w:i/>
            <w:iCs/>
            <w:color w:val="000000"/>
            <w:sz w:val="16"/>
            <w:szCs w:val="16"/>
            <w:lang w:val="en-US"/>
          </w:rPr>
          <w:t>ue-toUE-COT-SharingED-Threshold</w:t>
        </w:r>
        <w:r w:rsidRPr="00B04D25">
          <w:rPr>
            <w:rFonts w:ascii="Arial" w:hAnsi="Arial" w:cs="Arial"/>
            <w:color w:val="000000"/>
            <w:sz w:val="16"/>
            <w:szCs w:val="16"/>
            <w:lang w:val="en-US"/>
          </w:rPr>
          <w:t>” for accessing the channel(s)</w:t>
        </w:r>
      </w:ins>
      <w:r w:rsidRPr="00B04D25">
        <w:rPr>
          <w:rFonts w:ascii="Arial" w:hAnsi="Arial" w:cs="Arial"/>
          <w:color w:val="000000"/>
          <w:sz w:val="16"/>
          <w:szCs w:val="16"/>
          <w:lang w:val="en-US"/>
        </w:rPr>
        <w:t xml:space="preserve">. </w:t>
      </w:r>
    </w:p>
    <w:p w14:paraId="3C1B0543" w14:textId="5635D273" w:rsidR="00B04D25" w:rsidRPr="00B04D25" w:rsidRDefault="00B04D25" w:rsidP="00B04D25">
      <w:pPr>
        <w:rPr>
          <w:rFonts w:ascii="Arial" w:hAnsi="Arial" w:cs="Arial"/>
          <w:sz w:val="16"/>
          <w:szCs w:val="16"/>
        </w:rPr>
      </w:pPr>
      <w:r w:rsidRPr="00B04D25">
        <w:rPr>
          <w:rFonts w:ascii="Arial" w:hAnsi="Arial" w:cs="Arial"/>
          <w:sz w:val="16"/>
          <w:szCs w:val="16"/>
          <w:lang w:eastAsia="x-none"/>
        </w:rPr>
        <w:t xml:space="preserve">For the case where a UE performs channel access procedures as described in clause 4.5.1 for SL transmission(s) and indicates channel occupancy sharing information, </w:t>
      </w:r>
      <m:oMath>
        <m:sSub>
          <m:sSubPr>
            <m:ctrlPr>
              <w:rPr>
                <w:rFonts w:ascii="Cambria Math" w:hAnsi="Cambria Math" w:cs="Arial"/>
                <w:i/>
                <w:iCs/>
                <w:sz w:val="16"/>
                <w:szCs w:val="16"/>
              </w:rPr>
            </m:ctrlPr>
          </m:sSubPr>
          <m:e>
            <m:r>
              <w:rPr>
                <w:rFonts w:ascii="Cambria Math" w:hAnsi="Cambria Math" w:cs="Arial"/>
                <w:sz w:val="16"/>
                <w:szCs w:val="16"/>
              </w:rPr>
              <m:t>X</m:t>
            </m:r>
          </m:e>
          <m:sub>
            <m:r>
              <m:rPr>
                <m:nor/>
              </m:rPr>
              <w:rPr>
                <w:rFonts w:ascii="Arial" w:hAnsi="Arial" w:cs="Arial"/>
                <w:i/>
                <w:iCs/>
                <w:sz w:val="16"/>
                <w:szCs w:val="16"/>
              </w:rPr>
              <m:t>Thresh_max</m:t>
            </m:r>
          </m:sub>
        </m:sSub>
      </m:oMath>
      <w:r w:rsidRPr="00B04D25">
        <w:rPr>
          <w:rFonts w:ascii="Arial" w:hAnsi="Arial" w:cs="Arial"/>
          <w:sz w:val="16"/>
          <w:szCs w:val="16"/>
        </w:rPr>
        <w:t xml:space="preserve"> is set equal to the value provided by the higher layer parameter </w:t>
      </w:r>
      <w:r w:rsidRPr="00B04D25">
        <w:rPr>
          <w:rFonts w:ascii="Arial" w:hAnsi="Arial" w:cs="Arial"/>
          <w:i/>
          <w:iCs/>
          <w:sz w:val="16"/>
          <w:szCs w:val="16"/>
        </w:rPr>
        <w:t>ue-toUE-COT-SharingED-Threshold</w:t>
      </w:r>
      <w:del w:id="291" w:author="Kevin Lin" w:date="2023-11-15T00:29:00Z">
        <w:r w:rsidRPr="00B04D25" w:rsidDel="005F6757">
          <w:rPr>
            <w:rFonts w:ascii="Arial" w:hAnsi="Arial" w:cs="Arial"/>
            <w:sz w:val="16"/>
            <w:szCs w:val="16"/>
          </w:rPr>
          <w:delText>, if provided</w:delText>
        </w:r>
      </w:del>
      <w:r w:rsidRPr="00B04D25">
        <w:rPr>
          <w:rFonts w:ascii="Arial" w:hAnsi="Arial" w:cs="Arial"/>
          <w:sz w:val="16"/>
          <w:szCs w:val="16"/>
        </w:rPr>
        <w:t>.</w:t>
      </w:r>
    </w:p>
    <w:p w14:paraId="73A5C177" w14:textId="77777777" w:rsidR="00B04D25" w:rsidRPr="00B04D25" w:rsidRDefault="00B04D25" w:rsidP="00B04D25">
      <w:pPr>
        <w:rPr>
          <w:rFonts w:ascii="Times New Roman" w:hAnsi="Times New Roman"/>
          <w:szCs w:val="20"/>
          <w:lang w:eastAsia="x-none"/>
        </w:rPr>
      </w:pPr>
      <w:r w:rsidRPr="00B04D25">
        <w:rPr>
          <w:rFonts w:ascii="Times New Roman" w:hAnsi="Times New Roman"/>
          <w:color w:val="FF0000"/>
          <w:szCs w:val="20"/>
        </w:rPr>
        <w:t>&lt;End of text proposal&gt;</w:t>
      </w:r>
    </w:p>
    <w:p w14:paraId="32209A36" w14:textId="77777777" w:rsidR="00B04D25" w:rsidRPr="00B04D25" w:rsidRDefault="00B04D25" w:rsidP="00B04D25">
      <w:pPr>
        <w:rPr>
          <w:lang w:eastAsia="x-none"/>
        </w:rPr>
      </w:pPr>
    </w:p>
    <w:p w14:paraId="27C8D67F" w14:textId="77777777" w:rsidR="00B04D25" w:rsidRPr="00B04D25" w:rsidRDefault="00B04D25" w:rsidP="00B04D25">
      <w:pPr>
        <w:rPr>
          <w:lang w:eastAsia="x-none"/>
        </w:rPr>
      </w:pPr>
      <w:r w:rsidRPr="00B04D25">
        <w:rPr>
          <w:highlight w:val="green"/>
          <w:lang w:eastAsia="x-none"/>
        </w:rPr>
        <w:t>Agreement</w:t>
      </w:r>
    </w:p>
    <w:p w14:paraId="5ED9878C" w14:textId="23CBA782" w:rsidR="00B04D25" w:rsidRPr="00B04D25" w:rsidRDefault="00B04D25" w:rsidP="00B04D25">
      <w:pPr>
        <w:rPr>
          <w:lang w:eastAsia="x-none"/>
        </w:rPr>
      </w:pPr>
      <w:r w:rsidRPr="00B04D25">
        <w:rPr>
          <w:lang w:eastAsia="x-none"/>
        </w:rPr>
        <w:t xml:space="preserve">TP#4 in Section 4.4.1 of </w:t>
      </w:r>
      <w:hyperlink r:id="rId991" w:history="1">
        <w:r w:rsidR="00AF7253">
          <w:rPr>
            <w:rStyle w:val="Hyperlink"/>
            <w:lang w:eastAsia="x-none"/>
          </w:rPr>
          <w:t>R1-2312251</w:t>
        </w:r>
      </w:hyperlink>
      <w:r w:rsidRPr="00B04D25">
        <w:rPr>
          <w:lang w:eastAsia="x-none"/>
        </w:rPr>
        <w:t xml:space="preserve"> for TS 37.213 is endorsed.</w:t>
      </w:r>
    </w:p>
    <w:p w14:paraId="5A31F5A7" w14:textId="77777777" w:rsidR="00B04D25" w:rsidRPr="00B04D25" w:rsidRDefault="00B04D25" w:rsidP="00B04D25">
      <w:pPr>
        <w:rPr>
          <w:lang w:eastAsia="x-none"/>
        </w:rPr>
      </w:pPr>
    </w:p>
    <w:p w14:paraId="49A9E1CE" w14:textId="77777777" w:rsidR="00B04D25" w:rsidRPr="00B04D25" w:rsidRDefault="00B04D25" w:rsidP="00B04D25">
      <w:pPr>
        <w:rPr>
          <w:lang w:eastAsia="x-none"/>
        </w:rPr>
      </w:pPr>
      <w:r w:rsidRPr="00B04D25">
        <w:rPr>
          <w:highlight w:val="green"/>
          <w:lang w:eastAsia="x-none"/>
        </w:rPr>
        <w:t>Agreement</w:t>
      </w:r>
    </w:p>
    <w:p w14:paraId="15488962" w14:textId="1E343948" w:rsidR="00B04D25" w:rsidRPr="00B04D25" w:rsidRDefault="00B04D25" w:rsidP="00B04D25">
      <w:pPr>
        <w:rPr>
          <w:lang w:eastAsia="x-none"/>
        </w:rPr>
      </w:pPr>
      <w:r w:rsidRPr="00B04D25">
        <w:rPr>
          <w:lang w:eastAsia="x-none"/>
        </w:rPr>
        <w:t xml:space="preserve">TP#3 in Section 4.3.1 of </w:t>
      </w:r>
      <w:hyperlink r:id="rId992" w:history="1">
        <w:r w:rsidR="00AF7253">
          <w:rPr>
            <w:rStyle w:val="Hyperlink"/>
            <w:lang w:eastAsia="x-none"/>
          </w:rPr>
          <w:t>R1-2312251</w:t>
        </w:r>
      </w:hyperlink>
      <w:r w:rsidRPr="00B04D25">
        <w:rPr>
          <w:lang w:eastAsia="x-none"/>
        </w:rPr>
        <w:t xml:space="preserve"> for TS 37.213 is endorsed.</w:t>
      </w:r>
    </w:p>
    <w:p w14:paraId="1ACB3D82" w14:textId="77777777" w:rsidR="00B04D25" w:rsidRPr="00B04D25" w:rsidRDefault="00B04D25" w:rsidP="00B04D25">
      <w:pPr>
        <w:rPr>
          <w:lang w:eastAsia="x-none"/>
        </w:rPr>
      </w:pPr>
    </w:p>
    <w:p w14:paraId="020373F4" w14:textId="77777777" w:rsidR="00B04D25" w:rsidRPr="00B04D25" w:rsidRDefault="00B04D25" w:rsidP="00B04D25">
      <w:pPr>
        <w:rPr>
          <w:lang w:eastAsia="x-none"/>
        </w:rPr>
      </w:pPr>
      <w:r w:rsidRPr="00B04D25">
        <w:rPr>
          <w:highlight w:val="green"/>
          <w:lang w:eastAsia="x-none"/>
        </w:rPr>
        <w:t>Agreement</w:t>
      </w:r>
    </w:p>
    <w:p w14:paraId="5984154E" w14:textId="3FD2644E" w:rsidR="00B04D25" w:rsidRPr="00B04D25" w:rsidRDefault="00B04D25" w:rsidP="00B04D25">
      <w:pPr>
        <w:rPr>
          <w:lang w:eastAsia="x-none"/>
        </w:rPr>
      </w:pPr>
      <w:r w:rsidRPr="00B04D25">
        <w:rPr>
          <w:lang w:eastAsia="x-none"/>
        </w:rPr>
        <w:t xml:space="preserve">TP#5 in Section 4.5.1 of </w:t>
      </w:r>
      <w:hyperlink r:id="rId993" w:history="1">
        <w:r w:rsidR="00AF7253">
          <w:rPr>
            <w:rStyle w:val="Hyperlink"/>
            <w:lang w:eastAsia="x-none"/>
          </w:rPr>
          <w:t>R1-2312251</w:t>
        </w:r>
      </w:hyperlink>
      <w:r w:rsidRPr="00B04D25">
        <w:rPr>
          <w:lang w:eastAsia="x-none"/>
        </w:rPr>
        <w:t xml:space="preserve"> for TS 38.214 is endorsed.</w:t>
      </w:r>
    </w:p>
    <w:p w14:paraId="3B323DFC" w14:textId="77777777" w:rsidR="00B04D25" w:rsidRPr="00B04D25" w:rsidRDefault="00B04D25" w:rsidP="00B04D25">
      <w:pPr>
        <w:rPr>
          <w:lang w:eastAsia="x-none"/>
        </w:rPr>
      </w:pPr>
    </w:p>
    <w:p w14:paraId="1180C591" w14:textId="77777777" w:rsidR="00B04D25" w:rsidRPr="00B04D25" w:rsidRDefault="00B04D25" w:rsidP="00B04D25">
      <w:pPr>
        <w:rPr>
          <w:lang w:eastAsia="x-none"/>
        </w:rPr>
      </w:pPr>
      <w:r w:rsidRPr="00B04D25">
        <w:rPr>
          <w:highlight w:val="green"/>
          <w:lang w:eastAsia="x-none"/>
        </w:rPr>
        <w:t>Agreement</w:t>
      </w:r>
    </w:p>
    <w:p w14:paraId="1427F710" w14:textId="77777777" w:rsidR="00B04D25" w:rsidRPr="00B04D25" w:rsidRDefault="00B04D25" w:rsidP="00B04D25">
      <w:pPr>
        <w:rPr>
          <w:lang w:eastAsia="x-none"/>
        </w:rPr>
      </w:pPr>
      <w:r w:rsidRPr="00B04D25">
        <w:rPr>
          <w:lang w:eastAsia="x-none"/>
        </w:rPr>
        <w:t xml:space="preserve">Endorse the TP below for </w:t>
      </w:r>
      <w:r w:rsidRPr="00B04D25">
        <w:rPr>
          <w:rFonts w:ascii="Calibri" w:hAnsi="Calibri" w:cs="Calibri"/>
          <w:sz w:val="22"/>
          <w:szCs w:val="22"/>
        </w:rPr>
        <w:t>TS 37.213.</w:t>
      </w:r>
    </w:p>
    <w:tbl>
      <w:tblPr>
        <w:tblW w:w="5000" w:type="pct"/>
        <w:tblCellMar>
          <w:left w:w="42" w:type="dxa"/>
          <w:right w:w="42" w:type="dxa"/>
        </w:tblCellMar>
        <w:tblLook w:val="04A0" w:firstRow="1" w:lastRow="0" w:firstColumn="1" w:lastColumn="0" w:noHBand="0" w:noVBand="1"/>
      </w:tblPr>
      <w:tblGrid>
        <w:gridCol w:w="2515"/>
        <w:gridCol w:w="8036"/>
      </w:tblGrid>
      <w:tr w:rsidR="00B04D25" w:rsidRPr="00B04D25" w14:paraId="012972B1" w14:textId="77777777" w:rsidTr="00B04D25">
        <w:tc>
          <w:tcPr>
            <w:tcW w:w="1192" w:type="pct"/>
            <w:tcBorders>
              <w:top w:val="single" w:sz="4" w:space="0" w:color="auto"/>
              <w:left w:val="single" w:sz="4" w:space="0" w:color="auto"/>
            </w:tcBorders>
          </w:tcPr>
          <w:p w14:paraId="4C00014E" w14:textId="77777777" w:rsidR="00B04D25" w:rsidRPr="00B04D25" w:rsidRDefault="00B04D25" w:rsidP="00B04D25">
            <w:pPr>
              <w:tabs>
                <w:tab w:val="right" w:pos="2184"/>
              </w:tabs>
              <w:spacing w:line="259" w:lineRule="auto"/>
              <w:rPr>
                <w:rFonts w:ascii="Arial" w:eastAsia="Times New Roman" w:hAnsi="Arial" w:cs="Arial"/>
                <w:b/>
                <w:i/>
                <w:sz w:val="16"/>
                <w:szCs w:val="16"/>
              </w:rPr>
            </w:pPr>
            <w:r w:rsidRPr="00B04D25">
              <w:rPr>
                <w:rFonts w:ascii="Arial" w:eastAsia="Times New Roman" w:hAnsi="Arial" w:cs="Arial"/>
                <w:b/>
                <w:i/>
                <w:sz w:val="16"/>
                <w:szCs w:val="16"/>
              </w:rPr>
              <w:t>Reason for change:</w:t>
            </w:r>
          </w:p>
        </w:tc>
        <w:tc>
          <w:tcPr>
            <w:tcW w:w="3808" w:type="pct"/>
            <w:tcBorders>
              <w:top w:val="single" w:sz="4" w:space="0" w:color="auto"/>
              <w:right w:val="single" w:sz="4" w:space="0" w:color="auto"/>
            </w:tcBorders>
            <w:shd w:val="pct30" w:color="FFFF00" w:fill="auto"/>
          </w:tcPr>
          <w:p w14:paraId="373ED977" w14:textId="77777777" w:rsidR="00B04D25" w:rsidRPr="00B04D25" w:rsidRDefault="00B04D25" w:rsidP="00B04D25">
            <w:pPr>
              <w:spacing w:line="259" w:lineRule="auto"/>
              <w:ind w:left="100"/>
              <w:rPr>
                <w:rFonts w:ascii="Arial" w:eastAsia="Times New Roman" w:hAnsi="Arial" w:cs="Arial"/>
                <w:sz w:val="16"/>
                <w:szCs w:val="16"/>
              </w:rPr>
            </w:pPr>
            <w:r w:rsidRPr="00B04D25">
              <w:rPr>
                <w:rFonts w:ascii="Arial" w:eastAsia="Times New Roman" w:hAnsi="Arial" w:cs="Arial"/>
                <w:color w:val="000000"/>
                <w:sz w:val="16"/>
                <w:szCs w:val="16"/>
              </w:rPr>
              <w:t>In NR-U and LAA, channel access procedures are supported for consecutive UL transmissions and UL transmissions with multiple starting positions. Such behaviour is also a common understanding for SL-U operation.</w:t>
            </w:r>
          </w:p>
        </w:tc>
      </w:tr>
      <w:tr w:rsidR="00B04D25" w:rsidRPr="00B04D25" w14:paraId="00D83C6A" w14:textId="77777777" w:rsidTr="00B04D25">
        <w:tc>
          <w:tcPr>
            <w:tcW w:w="1192" w:type="pct"/>
            <w:tcBorders>
              <w:left w:val="single" w:sz="4" w:space="0" w:color="auto"/>
            </w:tcBorders>
          </w:tcPr>
          <w:p w14:paraId="2E219637" w14:textId="77777777" w:rsidR="00B04D25" w:rsidRPr="00B04D25" w:rsidRDefault="00B04D25" w:rsidP="00B04D25">
            <w:pPr>
              <w:spacing w:line="259" w:lineRule="auto"/>
              <w:rPr>
                <w:rFonts w:ascii="Arial" w:eastAsia="Times New Roman" w:hAnsi="Arial" w:cs="Arial"/>
                <w:b/>
                <w:i/>
                <w:sz w:val="16"/>
                <w:szCs w:val="16"/>
              </w:rPr>
            </w:pPr>
          </w:p>
        </w:tc>
        <w:tc>
          <w:tcPr>
            <w:tcW w:w="3808" w:type="pct"/>
            <w:tcBorders>
              <w:right w:val="single" w:sz="4" w:space="0" w:color="auto"/>
            </w:tcBorders>
          </w:tcPr>
          <w:p w14:paraId="598C925F" w14:textId="77777777" w:rsidR="00B04D25" w:rsidRPr="00B04D25" w:rsidRDefault="00B04D25" w:rsidP="00B04D25">
            <w:pPr>
              <w:spacing w:line="259" w:lineRule="auto"/>
              <w:rPr>
                <w:rFonts w:ascii="Arial" w:eastAsia="Times New Roman" w:hAnsi="Arial" w:cs="Arial"/>
                <w:sz w:val="16"/>
                <w:szCs w:val="16"/>
              </w:rPr>
            </w:pPr>
          </w:p>
        </w:tc>
      </w:tr>
      <w:tr w:rsidR="00B04D25" w:rsidRPr="00B04D25" w14:paraId="71DA57D8" w14:textId="77777777" w:rsidTr="00B04D25">
        <w:tc>
          <w:tcPr>
            <w:tcW w:w="1192" w:type="pct"/>
            <w:tcBorders>
              <w:left w:val="single" w:sz="4" w:space="0" w:color="auto"/>
            </w:tcBorders>
          </w:tcPr>
          <w:p w14:paraId="02926DE7" w14:textId="77777777" w:rsidR="00B04D25" w:rsidRPr="00B04D25" w:rsidRDefault="00B04D25" w:rsidP="00B04D25">
            <w:pPr>
              <w:tabs>
                <w:tab w:val="right" w:pos="2184"/>
              </w:tabs>
              <w:spacing w:line="259" w:lineRule="auto"/>
              <w:rPr>
                <w:rFonts w:ascii="Arial" w:eastAsia="Times New Roman" w:hAnsi="Arial" w:cs="Arial"/>
                <w:b/>
                <w:i/>
                <w:sz w:val="16"/>
                <w:szCs w:val="16"/>
              </w:rPr>
            </w:pPr>
            <w:r w:rsidRPr="00B04D25">
              <w:rPr>
                <w:rFonts w:ascii="Arial" w:eastAsia="Times New Roman" w:hAnsi="Arial" w:cs="Arial"/>
                <w:b/>
                <w:i/>
                <w:sz w:val="16"/>
                <w:szCs w:val="16"/>
              </w:rPr>
              <w:t>Summary of change:</w:t>
            </w:r>
          </w:p>
        </w:tc>
        <w:tc>
          <w:tcPr>
            <w:tcW w:w="3808" w:type="pct"/>
            <w:tcBorders>
              <w:right w:val="single" w:sz="4" w:space="0" w:color="auto"/>
            </w:tcBorders>
            <w:shd w:val="pct30" w:color="FFFF00" w:fill="auto"/>
          </w:tcPr>
          <w:p w14:paraId="468EDDA8" w14:textId="77777777" w:rsidR="00B04D25" w:rsidRPr="00B04D25" w:rsidRDefault="00B04D25" w:rsidP="00B04D25">
            <w:pPr>
              <w:spacing w:line="259" w:lineRule="auto"/>
              <w:ind w:left="100"/>
              <w:rPr>
                <w:rFonts w:ascii="Arial" w:eastAsia="Times New Roman" w:hAnsi="Arial" w:cs="Arial"/>
                <w:sz w:val="16"/>
                <w:szCs w:val="16"/>
              </w:rPr>
            </w:pPr>
            <w:r w:rsidRPr="00B04D25">
              <w:rPr>
                <w:rFonts w:ascii="Arial" w:eastAsia="Times New Roman" w:hAnsi="Arial" w:cs="Arial"/>
                <w:sz w:val="16"/>
                <w:szCs w:val="16"/>
              </w:rPr>
              <w:t>Added description to support UE performing channel access procedures for continuous SL transmissions and multiple starting positions in a slot.</w:t>
            </w:r>
          </w:p>
        </w:tc>
      </w:tr>
      <w:tr w:rsidR="00B04D25" w:rsidRPr="00B04D25" w14:paraId="7E95990F" w14:textId="77777777" w:rsidTr="00B04D25">
        <w:tc>
          <w:tcPr>
            <w:tcW w:w="1192" w:type="pct"/>
            <w:tcBorders>
              <w:left w:val="single" w:sz="4" w:space="0" w:color="auto"/>
            </w:tcBorders>
          </w:tcPr>
          <w:p w14:paraId="6068FAF1" w14:textId="77777777" w:rsidR="00B04D25" w:rsidRPr="00B04D25" w:rsidRDefault="00B04D25" w:rsidP="00B04D25">
            <w:pPr>
              <w:spacing w:line="259" w:lineRule="auto"/>
              <w:rPr>
                <w:rFonts w:ascii="Arial" w:eastAsia="Times New Roman" w:hAnsi="Arial" w:cs="Arial"/>
                <w:b/>
                <w:i/>
                <w:sz w:val="16"/>
                <w:szCs w:val="16"/>
              </w:rPr>
            </w:pPr>
          </w:p>
        </w:tc>
        <w:tc>
          <w:tcPr>
            <w:tcW w:w="3808" w:type="pct"/>
            <w:tcBorders>
              <w:right w:val="single" w:sz="4" w:space="0" w:color="auto"/>
            </w:tcBorders>
          </w:tcPr>
          <w:p w14:paraId="366FEAF5" w14:textId="77777777" w:rsidR="00B04D25" w:rsidRPr="00B04D25" w:rsidRDefault="00B04D25" w:rsidP="00B04D25">
            <w:pPr>
              <w:spacing w:line="259" w:lineRule="auto"/>
              <w:rPr>
                <w:rFonts w:ascii="Arial" w:eastAsia="Times New Roman" w:hAnsi="Arial" w:cs="Arial"/>
                <w:sz w:val="16"/>
                <w:szCs w:val="16"/>
              </w:rPr>
            </w:pPr>
          </w:p>
        </w:tc>
      </w:tr>
      <w:tr w:rsidR="00B04D25" w:rsidRPr="00B04D25" w14:paraId="639ABA84" w14:textId="77777777" w:rsidTr="00B04D25">
        <w:tc>
          <w:tcPr>
            <w:tcW w:w="1192" w:type="pct"/>
            <w:tcBorders>
              <w:left w:val="single" w:sz="4" w:space="0" w:color="auto"/>
              <w:bottom w:val="single" w:sz="4" w:space="0" w:color="auto"/>
            </w:tcBorders>
          </w:tcPr>
          <w:p w14:paraId="4C1DCF68" w14:textId="77777777" w:rsidR="00B04D25" w:rsidRPr="00B04D25" w:rsidRDefault="00B04D25" w:rsidP="00B04D25">
            <w:pPr>
              <w:tabs>
                <w:tab w:val="right" w:pos="2184"/>
              </w:tabs>
              <w:spacing w:line="259" w:lineRule="auto"/>
              <w:rPr>
                <w:rFonts w:ascii="Arial" w:eastAsia="Times New Roman" w:hAnsi="Arial" w:cs="Arial"/>
                <w:b/>
                <w:i/>
                <w:sz w:val="16"/>
                <w:szCs w:val="16"/>
              </w:rPr>
            </w:pPr>
            <w:r w:rsidRPr="00B04D25">
              <w:rPr>
                <w:rFonts w:ascii="Arial" w:eastAsia="Times New Roman" w:hAnsi="Arial" w:cs="Arial"/>
                <w:b/>
                <w:i/>
                <w:sz w:val="16"/>
                <w:szCs w:val="16"/>
              </w:rPr>
              <w:t>Consequences if not approved:</w:t>
            </w:r>
          </w:p>
        </w:tc>
        <w:tc>
          <w:tcPr>
            <w:tcW w:w="3808" w:type="pct"/>
            <w:tcBorders>
              <w:bottom w:val="single" w:sz="4" w:space="0" w:color="auto"/>
              <w:right w:val="single" w:sz="4" w:space="0" w:color="auto"/>
            </w:tcBorders>
            <w:shd w:val="pct30" w:color="FFFF00" w:fill="auto"/>
          </w:tcPr>
          <w:p w14:paraId="2EAAA578" w14:textId="77777777" w:rsidR="00B04D25" w:rsidRPr="00B04D25" w:rsidRDefault="00B04D25" w:rsidP="00B04D25">
            <w:pPr>
              <w:spacing w:line="259" w:lineRule="auto"/>
              <w:ind w:left="100"/>
              <w:rPr>
                <w:rFonts w:ascii="Arial" w:eastAsia="Times New Roman" w:hAnsi="Arial" w:cs="Arial"/>
                <w:sz w:val="16"/>
                <w:szCs w:val="16"/>
              </w:rPr>
            </w:pPr>
            <w:r w:rsidRPr="00B04D25">
              <w:rPr>
                <w:rFonts w:ascii="Arial" w:eastAsia="Times New Roman" w:hAnsi="Arial" w:cs="Arial"/>
                <w:sz w:val="16"/>
                <w:szCs w:val="16"/>
              </w:rPr>
              <w:t>Since the behaviour is captured for NR-U and LAA specification, if these are not captured for SL-U, it may be interpreted that these are not supported in SL-U.</w:t>
            </w:r>
          </w:p>
        </w:tc>
      </w:tr>
    </w:tbl>
    <w:p w14:paraId="41F2568F" w14:textId="77777777" w:rsidR="00B04D25" w:rsidRPr="00B04D25" w:rsidRDefault="00B04D25" w:rsidP="00B04D25">
      <w:pPr>
        <w:jc w:val="both"/>
        <w:rPr>
          <w:rFonts w:ascii="Times New Roman" w:eastAsia="Malgun Gothic" w:hAnsi="Times New Roman"/>
          <w:szCs w:val="20"/>
        </w:rPr>
      </w:pPr>
    </w:p>
    <w:tbl>
      <w:tblPr>
        <w:tblW w:w="5000" w:type="pct"/>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0683"/>
      </w:tblGrid>
      <w:tr w:rsidR="00B04D25" w:rsidRPr="00B04D25" w14:paraId="12C5BBF3" w14:textId="77777777" w:rsidTr="00B04D25">
        <w:tc>
          <w:tcPr>
            <w:tcW w:w="5000" w:type="pct"/>
            <w:shd w:val="clear" w:color="auto" w:fill="auto"/>
          </w:tcPr>
          <w:p w14:paraId="08EF886A" w14:textId="77777777" w:rsidR="00B04D25" w:rsidRPr="00B04D25" w:rsidRDefault="00B04D25" w:rsidP="00B04D25">
            <w:pPr>
              <w:overflowPunct w:val="0"/>
              <w:autoSpaceDE w:val="0"/>
              <w:autoSpaceDN w:val="0"/>
              <w:adjustRightInd w:val="0"/>
              <w:jc w:val="center"/>
              <w:textAlignment w:val="baseline"/>
              <w:rPr>
                <w:rFonts w:ascii="Arial" w:eastAsia="SimSun" w:hAnsi="Arial" w:cs="Arial"/>
                <w:b/>
                <w:bCs/>
                <w:sz w:val="16"/>
                <w:szCs w:val="16"/>
              </w:rPr>
            </w:pPr>
            <w:r w:rsidRPr="00B04D25">
              <w:rPr>
                <w:rFonts w:ascii="Arial" w:eastAsia="SimSun" w:hAnsi="Arial" w:cs="Arial"/>
                <w:b/>
                <w:bCs/>
                <w:color w:val="FF0000"/>
                <w:sz w:val="16"/>
                <w:szCs w:val="16"/>
              </w:rPr>
              <w:t>&lt; Start of text proposal &gt;</w:t>
            </w:r>
          </w:p>
          <w:p w14:paraId="68510387" w14:textId="77777777" w:rsidR="00B04D25" w:rsidRPr="009B5DD3" w:rsidRDefault="00B04D25" w:rsidP="009B5DD3">
            <w:pPr>
              <w:rPr>
                <w:rFonts w:ascii="Arial" w:hAnsi="Arial" w:cs="Arial"/>
                <w:b/>
                <w:bCs/>
                <w:sz w:val="16"/>
                <w:szCs w:val="16"/>
              </w:rPr>
            </w:pPr>
            <w:r w:rsidRPr="009B5DD3">
              <w:rPr>
                <w:rFonts w:ascii="Arial" w:hAnsi="Arial" w:cs="Arial"/>
                <w:b/>
                <w:bCs/>
                <w:sz w:val="16"/>
                <w:szCs w:val="16"/>
              </w:rPr>
              <w:t>4.5</w:t>
            </w:r>
            <w:r w:rsidRPr="009B5DD3">
              <w:rPr>
                <w:rFonts w:ascii="Arial" w:hAnsi="Arial" w:cs="Arial"/>
                <w:b/>
                <w:bCs/>
                <w:sz w:val="16"/>
                <w:szCs w:val="16"/>
              </w:rPr>
              <w:tab/>
              <w:t>Sidelink Channel access procedures</w:t>
            </w:r>
          </w:p>
          <w:p w14:paraId="070134A7" w14:textId="77777777" w:rsidR="00B04D25" w:rsidRPr="00B04D25" w:rsidRDefault="00B04D25" w:rsidP="00B04D25">
            <w:pPr>
              <w:rPr>
                <w:rFonts w:ascii="Arial" w:hAnsi="Arial" w:cs="Arial"/>
                <w:sz w:val="16"/>
                <w:szCs w:val="16"/>
                <w:lang w:val="en-US"/>
              </w:rPr>
            </w:pPr>
            <w:r w:rsidRPr="00B04D25">
              <w:rPr>
                <w:rFonts w:ascii="Arial" w:hAnsi="Arial" w:cs="Arial"/>
                <w:sz w:val="16"/>
                <w:szCs w:val="16"/>
                <w:lang w:val="en-US"/>
              </w:rPr>
              <w:t>A UE operating in sidelink resource allocation mode 1 or mode 2 and performing SL transmission(s) on channel(s) shall perform the procedures described in this clause for the UE to access the channel(s) on which the transmission(s) are performed.</w:t>
            </w:r>
          </w:p>
          <w:p w14:paraId="544D9FA4" w14:textId="77777777" w:rsidR="00B04D25" w:rsidRPr="00B04D25" w:rsidRDefault="00B04D25" w:rsidP="00B04D25">
            <w:pPr>
              <w:overflowPunct w:val="0"/>
              <w:autoSpaceDE w:val="0"/>
              <w:autoSpaceDN w:val="0"/>
              <w:adjustRightInd w:val="0"/>
              <w:jc w:val="center"/>
              <w:textAlignment w:val="baseline"/>
              <w:rPr>
                <w:rFonts w:ascii="Arial" w:eastAsia="SimSun" w:hAnsi="Arial" w:cs="Arial"/>
                <w:b/>
                <w:bCs/>
                <w:sz w:val="16"/>
                <w:szCs w:val="16"/>
              </w:rPr>
            </w:pPr>
            <w:r w:rsidRPr="00B04D25">
              <w:rPr>
                <w:rFonts w:ascii="Arial" w:eastAsia="SimSun" w:hAnsi="Arial" w:cs="Arial"/>
                <w:b/>
                <w:bCs/>
                <w:color w:val="FF0000"/>
                <w:sz w:val="16"/>
                <w:szCs w:val="16"/>
              </w:rPr>
              <w:t>&lt;Unchanged part omitted&gt;</w:t>
            </w:r>
          </w:p>
          <w:p w14:paraId="40F24087" w14:textId="77777777" w:rsidR="00B04D25" w:rsidRPr="00B04D25" w:rsidRDefault="00B04D25" w:rsidP="00B04D25">
            <w:pPr>
              <w:jc w:val="both"/>
              <w:rPr>
                <w:rFonts w:ascii="Arial" w:hAnsi="Arial" w:cs="Arial"/>
                <w:color w:val="FF0000"/>
                <w:sz w:val="16"/>
                <w:szCs w:val="16"/>
                <w:u w:val="single"/>
                <w:lang w:eastAsia="x-none"/>
              </w:rPr>
            </w:pPr>
            <w:r w:rsidRPr="00B04D25">
              <w:rPr>
                <w:rFonts w:ascii="Arial" w:hAnsi="Arial" w:cs="Arial"/>
                <w:color w:val="FF0000"/>
                <w:sz w:val="16"/>
                <w:szCs w:val="16"/>
                <w:u w:val="single"/>
                <w:lang w:eastAsia="x-none"/>
              </w:rPr>
              <w:t>For contiguous SL transmission(s), the following are applicable:</w:t>
            </w:r>
          </w:p>
          <w:p w14:paraId="28A24EBD" w14:textId="77777777" w:rsidR="00B04D25" w:rsidRPr="00B04D25" w:rsidRDefault="00B04D25" w:rsidP="00B04D25">
            <w:pPr>
              <w:numPr>
                <w:ilvl w:val="0"/>
                <w:numId w:val="24"/>
              </w:numPr>
              <w:ind w:left="568" w:hanging="284"/>
              <w:rPr>
                <w:rFonts w:ascii="Arial" w:eastAsia="MS Mincho" w:hAnsi="Arial" w:cs="Arial"/>
                <w:color w:val="FF0000"/>
                <w:sz w:val="16"/>
                <w:szCs w:val="16"/>
                <w:u w:val="single"/>
              </w:rPr>
            </w:pPr>
            <w:r w:rsidRPr="00B04D25">
              <w:rPr>
                <w:rFonts w:ascii="Arial" w:eastAsia="MS Mincho" w:hAnsi="Arial" w:cs="Arial"/>
                <w:color w:val="FF0000"/>
                <w:sz w:val="16"/>
                <w:szCs w:val="16"/>
                <w:u w:val="single"/>
              </w:rPr>
              <w:t>-</w:t>
            </w:r>
            <w:r w:rsidRPr="00B04D25">
              <w:rPr>
                <w:rFonts w:ascii="Arial" w:eastAsia="MS Mincho" w:hAnsi="Arial" w:cs="Arial"/>
                <w:color w:val="FF0000"/>
                <w:sz w:val="16"/>
                <w:szCs w:val="16"/>
                <w:u w:val="single"/>
              </w:rPr>
              <w:tab/>
              <w:t xml:space="preserve">If a UE is scheduled or autonomous selected to transmit a set of </w:t>
            </w:r>
            <w:r w:rsidRPr="00B04D25">
              <w:rPr>
                <w:rFonts w:ascii="Arial" w:eastAsia="Malgun Gothic" w:hAnsi="Arial" w:cs="Arial"/>
                <w:color w:val="FF0000"/>
                <w:sz w:val="16"/>
                <w:szCs w:val="16"/>
                <w:u w:val="single"/>
              </w:rPr>
              <w:t xml:space="preserve">SL </w:t>
            </w:r>
            <w:r w:rsidRPr="00B04D25">
              <w:rPr>
                <w:rFonts w:ascii="Arial" w:eastAsia="MS Mincho" w:hAnsi="Arial" w:cs="Arial"/>
                <w:color w:val="FF0000"/>
                <w:sz w:val="16"/>
                <w:szCs w:val="16"/>
                <w:u w:val="single"/>
              </w:rPr>
              <w:t>transmissions using one or more selected SL grant(s), and</w:t>
            </w:r>
          </w:p>
          <w:p w14:paraId="75B37E60" w14:textId="77777777" w:rsidR="00B04D25" w:rsidRPr="00B04D25" w:rsidRDefault="00B04D25" w:rsidP="00B04D25">
            <w:pPr>
              <w:ind w:left="851" w:hanging="284"/>
              <w:rPr>
                <w:rFonts w:ascii="Arial" w:eastAsia="MS Mincho" w:hAnsi="Arial" w:cs="Arial"/>
                <w:color w:val="FF0000"/>
                <w:sz w:val="16"/>
                <w:szCs w:val="16"/>
                <w:u w:val="single"/>
              </w:rPr>
            </w:pPr>
            <w:r w:rsidRPr="00B04D25">
              <w:rPr>
                <w:rFonts w:ascii="Arial" w:eastAsia="MS Mincho" w:hAnsi="Arial" w:cs="Arial"/>
                <w:color w:val="FF0000"/>
                <w:sz w:val="16"/>
                <w:szCs w:val="16"/>
                <w:u w:val="single"/>
              </w:rPr>
              <w:t>-</w:t>
            </w:r>
            <w:r w:rsidRPr="00B04D25">
              <w:rPr>
                <w:rFonts w:ascii="Arial" w:eastAsia="MS Mincho" w:hAnsi="Arial" w:cs="Arial"/>
                <w:color w:val="FF0000"/>
                <w:sz w:val="16"/>
                <w:szCs w:val="16"/>
                <w:u w:val="single"/>
              </w:rPr>
              <w:tab/>
              <w:t xml:space="preserve">if the UE cannot access the channel for a transmission in the set prior to the last transmission according to Type 1 or Type 2 SL channel access procedures, the UE shall attempt to transmit the next transmission according to Type 1 or Type 2 SL channel access procedures. </w:t>
            </w:r>
          </w:p>
          <w:p w14:paraId="0204214A" w14:textId="77777777" w:rsidR="00B04D25" w:rsidRPr="00B04D25" w:rsidRDefault="00B04D25" w:rsidP="00B04D25">
            <w:pPr>
              <w:ind w:left="851" w:hanging="284"/>
              <w:rPr>
                <w:rFonts w:ascii="Arial" w:eastAsia="MS Mincho" w:hAnsi="Arial" w:cs="Arial"/>
                <w:color w:val="FF0000"/>
                <w:sz w:val="16"/>
                <w:szCs w:val="16"/>
                <w:u w:val="single"/>
              </w:rPr>
            </w:pPr>
            <w:r w:rsidRPr="00B04D25">
              <w:rPr>
                <w:rFonts w:ascii="Arial" w:eastAsia="MS Mincho" w:hAnsi="Arial" w:cs="Arial"/>
                <w:color w:val="FF0000"/>
                <w:sz w:val="16"/>
                <w:szCs w:val="16"/>
                <w:u w:val="single"/>
              </w:rPr>
              <w:lastRenderedPageBreak/>
              <w:t>-</w:t>
            </w:r>
            <w:r w:rsidRPr="00B04D25">
              <w:rPr>
                <w:rFonts w:ascii="Arial" w:eastAsia="MS Mincho" w:hAnsi="Arial" w:cs="Arial"/>
                <w:color w:val="FF0000"/>
                <w:sz w:val="16"/>
                <w:szCs w:val="16"/>
                <w:u w:val="single"/>
              </w:rPr>
              <w:tab/>
              <w:t>if the UE cannot access the channel for a transmission in the set prior to the last transmission according to Type 2B SL channel access procedure, the UE shall attempt to transmit the next transmission according to Type 2A SL channel access procedure.</w:t>
            </w:r>
          </w:p>
          <w:p w14:paraId="737DC376" w14:textId="77777777" w:rsidR="00B04D25" w:rsidRPr="00B04D25" w:rsidRDefault="00B04D25" w:rsidP="00B04D25">
            <w:pPr>
              <w:rPr>
                <w:rFonts w:ascii="Arial" w:hAnsi="Arial" w:cs="Arial"/>
                <w:color w:val="FF0000"/>
                <w:sz w:val="16"/>
                <w:szCs w:val="16"/>
                <w:u w:val="single"/>
              </w:rPr>
            </w:pPr>
            <w:r w:rsidRPr="00B04D25">
              <w:rPr>
                <w:rFonts w:ascii="Arial" w:hAnsi="Arial" w:cs="Arial"/>
                <w:color w:val="FF0000"/>
                <w:sz w:val="16"/>
                <w:szCs w:val="16"/>
                <w:u w:val="single"/>
              </w:rPr>
              <w:t>For SL transmission(s) with multiple starting positions in a slot, the following are applicable:</w:t>
            </w:r>
          </w:p>
          <w:p w14:paraId="3AC06CD2" w14:textId="77777777" w:rsidR="00B04D25" w:rsidRPr="00B04D25" w:rsidRDefault="00B04D25" w:rsidP="00B04D25">
            <w:pPr>
              <w:numPr>
                <w:ilvl w:val="0"/>
                <w:numId w:val="24"/>
              </w:numPr>
              <w:ind w:left="568" w:hanging="284"/>
              <w:rPr>
                <w:rFonts w:ascii="Arial" w:eastAsia="MS Mincho" w:hAnsi="Arial" w:cs="Arial"/>
                <w:color w:val="FF0000"/>
                <w:sz w:val="16"/>
                <w:szCs w:val="16"/>
                <w:u w:val="single"/>
              </w:rPr>
            </w:pPr>
            <w:r w:rsidRPr="00B04D25">
              <w:rPr>
                <w:rFonts w:ascii="Arial" w:eastAsia="MS Mincho" w:hAnsi="Arial" w:cs="Arial"/>
                <w:color w:val="FF0000"/>
                <w:sz w:val="16"/>
                <w:szCs w:val="16"/>
                <w:u w:val="single"/>
              </w:rPr>
              <w:t>-</w:t>
            </w:r>
            <w:r w:rsidRPr="00B04D25">
              <w:rPr>
                <w:rFonts w:ascii="Arial" w:eastAsia="MS Mincho" w:hAnsi="Arial" w:cs="Arial"/>
                <w:color w:val="FF0000"/>
                <w:sz w:val="16"/>
                <w:szCs w:val="16"/>
                <w:u w:val="single"/>
              </w:rPr>
              <w:tab/>
            </w:r>
            <w:r w:rsidRPr="00B04D25">
              <w:rPr>
                <w:rFonts w:ascii="Arial" w:eastAsia="MS Mincho" w:hAnsi="Arial" w:cs="Arial"/>
                <w:color w:val="FF0000"/>
                <w:sz w:val="16"/>
                <w:szCs w:val="16"/>
                <w:u w:val="single"/>
                <w:lang w:val="en-US"/>
              </w:rPr>
              <w:t>If a UE intends to transmit PSCCH/PSSCH in sidelink resource allocation mode 1 or mode 2 using a Type 1 channel access procedure, and if the UE cannot access the channel for the transmission from the 1st starting symbol of a slot, the UE shall attempt to transmit PSCCH/PSSCH from the 2nd starting symbol in the same slot according to Type 1 channel access procedure. There is no limit on the number of attempts the UE can make using Type 1 channel access procedure.</w:t>
            </w:r>
            <w:r w:rsidRPr="00B04D25">
              <w:rPr>
                <w:rFonts w:ascii="Arial" w:eastAsia="MS Mincho" w:hAnsi="Arial" w:cs="Arial"/>
                <w:color w:val="FF0000"/>
                <w:sz w:val="16"/>
                <w:szCs w:val="16"/>
                <w:u w:val="single"/>
              </w:rPr>
              <w:t xml:space="preserve"> </w:t>
            </w:r>
          </w:p>
          <w:p w14:paraId="031B94E0" w14:textId="77777777" w:rsidR="00B04D25" w:rsidRPr="00B04D25" w:rsidRDefault="00B04D25" w:rsidP="00B04D25">
            <w:pPr>
              <w:numPr>
                <w:ilvl w:val="0"/>
                <w:numId w:val="24"/>
              </w:numPr>
              <w:ind w:left="568" w:hanging="284"/>
              <w:rPr>
                <w:rFonts w:ascii="Arial" w:eastAsia="MS Mincho" w:hAnsi="Arial" w:cs="Arial"/>
                <w:color w:val="FF0000"/>
                <w:sz w:val="16"/>
                <w:szCs w:val="16"/>
                <w:u w:val="single"/>
                <w:lang w:val="x-none"/>
              </w:rPr>
            </w:pPr>
            <w:r w:rsidRPr="00B04D25">
              <w:rPr>
                <w:rFonts w:ascii="Arial" w:eastAsia="MS Mincho" w:hAnsi="Arial" w:cs="Arial"/>
                <w:color w:val="FF0000"/>
                <w:sz w:val="16"/>
                <w:szCs w:val="16"/>
                <w:u w:val="single"/>
              </w:rPr>
              <w:t>-</w:t>
            </w:r>
            <w:r w:rsidRPr="00B04D25">
              <w:rPr>
                <w:rFonts w:ascii="Arial" w:eastAsia="MS Mincho" w:hAnsi="Arial" w:cs="Arial"/>
                <w:color w:val="FF0000"/>
                <w:sz w:val="16"/>
                <w:szCs w:val="16"/>
                <w:u w:val="single"/>
              </w:rPr>
              <w:tab/>
            </w:r>
            <w:r w:rsidRPr="00B04D25">
              <w:rPr>
                <w:rFonts w:ascii="Arial" w:eastAsia="MS Mincho" w:hAnsi="Arial" w:cs="Arial"/>
                <w:color w:val="FF0000"/>
                <w:sz w:val="16"/>
                <w:szCs w:val="16"/>
                <w:u w:val="single"/>
                <w:lang w:val="en-US"/>
              </w:rPr>
              <w:t>If a UE intends to transmit PSCCH/PSSCH in sidelink resource allocation mode 1 or mode 2 using a Type 2 channel access procedure, and if the UE cannot access the channel for the transmission from the 1st starting symbol of a slot, the UE may attempt to transmit PSCCH/PSSCH from the 2nd starting symbol in the same slot and according to Type 2 channel access procedure.</w:t>
            </w:r>
          </w:p>
          <w:p w14:paraId="542B0E05" w14:textId="77777777" w:rsidR="00B04D25" w:rsidRPr="00B04D25" w:rsidRDefault="00B04D25" w:rsidP="00B04D25">
            <w:pPr>
              <w:overflowPunct w:val="0"/>
              <w:autoSpaceDE w:val="0"/>
              <w:autoSpaceDN w:val="0"/>
              <w:adjustRightInd w:val="0"/>
              <w:jc w:val="center"/>
              <w:textAlignment w:val="baseline"/>
              <w:rPr>
                <w:rFonts w:ascii="Arial" w:eastAsia="SimSun" w:hAnsi="Arial" w:cs="Arial"/>
                <w:b/>
                <w:bCs/>
                <w:color w:val="FF0000"/>
                <w:sz w:val="16"/>
                <w:szCs w:val="16"/>
              </w:rPr>
            </w:pPr>
            <w:r w:rsidRPr="00B04D25">
              <w:rPr>
                <w:rFonts w:ascii="Arial" w:eastAsia="SimSun" w:hAnsi="Arial" w:cs="Arial"/>
                <w:b/>
                <w:bCs/>
                <w:color w:val="FF0000"/>
                <w:sz w:val="16"/>
                <w:szCs w:val="16"/>
              </w:rPr>
              <w:t>&lt;End of text proposal&gt;</w:t>
            </w:r>
          </w:p>
        </w:tc>
      </w:tr>
    </w:tbl>
    <w:p w14:paraId="46C8137F" w14:textId="77777777" w:rsidR="00B04D25" w:rsidRPr="00B04D25" w:rsidRDefault="00B04D25" w:rsidP="00B04D25">
      <w:pPr>
        <w:rPr>
          <w:lang w:eastAsia="x-none"/>
        </w:rPr>
      </w:pPr>
    </w:p>
    <w:p w14:paraId="337C7237" w14:textId="77777777" w:rsidR="00B04D25" w:rsidRDefault="00B04D25" w:rsidP="00F74A6F">
      <w:pPr>
        <w:rPr>
          <w:lang w:eastAsia="x-none"/>
        </w:rPr>
      </w:pPr>
    </w:p>
    <w:p w14:paraId="09D88468" w14:textId="1BB58D8A" w:rsidR="00F74A6F" w:rsidRPr="009537ED" w:rsidRDefault="005A18DC" w:rsidP="00F74A6F">
      <w:pPr>
        <w:rPr>
          <w:lang w:eastAsia="x-none"/>
        </w:rPr>
      </w:pPr>
      <w:hyperlink r:id="rId994" w:history="1">
        <w:r w:rsidR="00AF7253">
          <w:rPr>
            <w:rStyle w:val="Hyperlink"/>
            <w:lang w:eastAsia="x-none"/>
          </w:rPr>
          <w:t>R1-2312252</w:t>
        </w:r>
      </w:hyperlink>
      <w:r w:rsidR="00F74A6F" w:rsidRPr="009537ED">
        <w:rPr>
          <w:lang w:eastAsia="x-none"/>
        </w:rPr>
        <w:tab/>
        <w:t>FL summary #5 for AI 8.2.1.1: SL-U channel access mechanism</w:t>
      </w:r>
      <w:r w:rsidR="00F74A6F" w:rsidRPr="009537ED">
        <w:rPr>
          <w:lang w:eastAsia="x-none"/>
        </w:rPr>
        <w:tab/>
        <w:t>Moderator (OPPO)</w:t>
      </w:r>
    </w:p>
    <w:p w14:paraId="525C4E91" w14:textId="475C287E" w:rsidR="00F74A6F" w:rsidRPr="0045179B" w:rsidRDefault="005A18DC" w:rsidP="00F74A6F">
      <w:pPr>
        <w:rPr>
          <w:b/>
          <w:bCs/>
          <w:lang w:eastAsia="x-none"/>
        </w:rPr>
      </w:pPr>
      <w:hyperlink r:id="rId995" w:history="1">
        <w:r w:rsidR="00AF7253">
          <w:rPr>
            <w:rStyle w:val="Hyperlink"/>
            <w:b/>
            <w:bCs/>
            <w:lang w:eastAsia="x-none"/>
          </w:rPr>
          <w:t>R1-2312253</w:t>
        </w:r>
      </w:hyperlink>
      <w:r w:rsidR="00F74A6F" w:rsidRPr="0045179B">
        <w:rPr>
          <w:b/>
          <w:bCs/>
          <w:lang w:eastAsia="x-none"/>
        </w:rPr>
        <w:tab/>
        <w:t>FL summary #6 for AI 8.2.1.1: SL-U channel access mechanism</w:t>
      </w:r>
      <w:r w:rsidR="00F74A6F" w:rsidRPr="0045179B">
        <w:rPr>
          <w:b/>
          <w:bCs/>
          <w:lang w:eastAsia="x-none"/>
        </w:rPr>
        <w:tab/>
        <w:t>Moderator (OPPO)</w:t>
      </w:r>
    </w:p>
    <w:p w14:paraId="7EEA62EB" w14:textId="59B9296F" w:rsidR="0045179B" w:rsidRDefault="0045179B" w:rsidP="00F74A6F">
      <w:pPr>
        <w:rPr>
          <w:lang w:eastAsia="x-none"/>
        </w:rPr>
      </w:pPr>
      <w:r>
        <w:rPr>
          <w:lang w:eastAsia="x-none"/>
        </w:rPr>
        <w:t>From Friday session</w:t>
      </w:r>
    </w:p>
    <w:p w14:paraId="3EEA078B" w14:textId="77777777" w:rsidR="0045179B" w:rsidRPr="0045179B" w:rsidRDefault="0045179B" w:rsidP="0045179B">
      <w:pPr>
        <w:rPr>
          <w:bCs/>
          <w:lang w:eastAsia="x-none"/>
        </w:rPr>
      </w:pPr>
      <w:r w:rsidRPr="0045179B">
        <w:rPr>
          <w:bCs/>
          <w:highlight w:val="green"/>
          <w:lang w:eastAsia="x-none"/>
        </w:rPr>
        <w:t>Agreement</w:t>
      </w:r>
    </w:p>
    <w:p w14:paraId="33303BBC" w14:textId="3426FC48" w:rsidR="0045179B" w:rsidRPr="0045179B" w:rsidRDefault="0045179B" w:rsidP="0045179B">
      <w:pPr>
        <w:rPr>
          <w:lang w:eastAsia="x-none"/>
        </w:rPr>
      </w:pPr>
      <w:r w:rsidRPr="0045179B">
        <w:rPr>
          <w:bCs/>
          <w:lang w:eastAsia="x-none"/>
        </w:rPr>
        <w:t xml:space="preserve">TP#2 in Section 4.2.2 of </w:t>
      </w:r>
      <w:hyperlink r:id="rId996" w:history="1">
        <w:r w:rsidR="00AF7253">
          <w:rPr>
            <w:rStyle w:val="Hyperlink"/>
            <w:bCs/>
            <w:lang w:eastAsia="x-none"/>
          </w:rPr>
          <w:t>R1-2312253</w:t>
        </w:r>
      </w:hyperlink>
      <w:r w:rsidRPr="0045179B">
        <w:rPr>
          <w:bCs/>
          <w:lang w:eastAsia="x-none"/>
        </w:rPr>
        <w:t xml:space="preserve"> for TS 37.213 is endorsed.</w:t>
      </w:r>
    </w:p>
    <w:p w14:paraId="5C7065C6" w14:textId="77777777" w:rsidR="0045179B" w:rsidRPr="0045179B" w:rsidRDefault="0045179B" w:rsidP="0045179B">
      <w:pPr>
        <w:rPr>
          <w:lang w:eastAsia="x-none"/>
        </w:rPr>
      </w:pPr>
    </w:p>
    <w:p w14:paraId="5EFD4BE6" w14:textId="77777777" w:rsidR="0045179B" w:rsidRPr="0045179B" w:rsidRDefault="0045179B" w:rsidP="0045179B">
      <w:pPr>
        <w:rPr>
          <w:bCs/>
          <w:highlight w:val="green"/>
          <w:lang w:eastAsia="x-none"/>
        </w:rPr>
      </w:pPr>
      <w:r w:rsidRPr="0045179B">
        <w:rPr>
          <w:bCs/>
          <w:highlight w:val="green"/>
          <w:lang w:eastAsia="x-none"/>
        </w:rPr>
        <w:t>Agreement</w:t>
      </w:r>
    </w:p>
    <w:p w14:paraId="365590C5" w14:textId="77777777" w:rsidR="0045179B" w:rsidRPr="0045179B" w:rsidRDefault="0045179B" w:rsidP="0045179B">
      <w:pPr>
        <w:rPr>
          <w:bCs/>
          <w:lang w:eastAsia="x-none"/>
        </w:rPr>
      </w:pPr>
      <w:r w:rsidRPr="0045179B">
        <w:rPr>
          <w:bCs/>
          <w:lang w:eastAsia="x-none"/>
        </w:rPr>
        <w:t>The TP below is endorsed for TS 37.213.</w:t>
      </w:r>
    </w:p>
    <w:tbl>
      <w:tblPr>
        <w:tblW w:w="5000" w:type="pct"/>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0683"/>
      </w:tblGrid>
      <w:tr w:rsidR="0045179B" w:rsidRPr="009B5DD3" w14:paraId="0F457888" w14:textId="77777777" w:rsidTr="0045179B">
        <w:tc>
          <w:tcPr>
            <w:tcW w:w="5000" w:type="pct"/>
            <w:shd w:val="clear" w:color="auto" w:fill="auto"/>
          </w:tcPr>
          <w:p w14:paraId="06588EA2" w14:textId="77777777" w:rsidR="0045179B" w:rsidRPr="009B5DD3" w:rsidRDefault="0045179B" w:rsidP="0045179B">
            <w:pPr>
              <w:overflowPunct w:val="0"/>
              <w:autoSpaceDE w:val="0"/>
              <w:autoSpaceDN w:val="0"/>
              <w:adjustRightInd w:val="0"/>
              <w:jc w:val="center"/>
              <w:textAlignment w:val="baseline"/>
              <w:rPr>
                <w:rFonts w:ascii="Arial" w:eastAsia="SimSun" w:hAnsi="Arial" w:cs="Arial"/>
                <w:b/>
                <w:bCs/>
                <w:sz w:val="16"/>
                <w:szCs w:val="16"/>
              </w:rPr>
            </w:pPr>
            <w:r w:rsidRPr="009B5DD3">
              <w:rPr>
                <w:rFonts w:ascii="Arial" w:eastAsia="SimSun" w:hAnsi="Arial" w:cs="Arial"/>
                <w:b/>
                <w:bCs/>
                <w:color w:val="FF0000"/>
                <w:sz w:val="16"/>
                <w:szCs w:val="16"/>
              </w:rPr>
              <w:t>&lt; Start of text proposal &gt;</w:t>
            </w:r>
          </w:p>
          <w:p w14:paraId="0E648697" w14:textId="77777777" w:rsidR="0045179B" w:rsidRPr="009B5DD3" w:rsidRDefault="0045179B" w:rsidP="009B5DD3">
            <w:pPr>
              <w:rPr>
                <w:rFonts w:ascii="Arial" w:hAnsi="Arial" w:cs="Arial"/>
                <w:b/>
                <w:bCs/>
                <w:sz w:val="16"/>
                <w:szCs w:val="16"/>
              </w:rPr>
            </w:pPr>
            <w:r w:rsidRPr="009B5DD3">
              <w:rPr>
                <w:rFonts w:ascii="Arial" w:hAnsi="Arial" w:cs="Arial"/>
                <w:b/>
                <w:bCs/>
                <w:sz w:val="16"/>
                <w:szCs w:val="16"/>
              </w:rPr>
              <w:t>4.5.6</w:t>
            </w:r>
            <w:r w:rsidRPr="009B5DD3">
              <w:rPr>
                <w:rFonts w:ascii="Arial" w:hAnsi="Arial" w:cs="Arial"/>
                <w:b/>
                <w:bCs/>
                <w:sz w:val="16"/>
                <w:szCs w:val="16"/>
              </w:rPr>
              <w:tab/>
              <w:t>Channel access procedures for transmission(s) on multiple channels</w:t>
            </w:r>
          </w:p>
          <w:p w14:paraId="418C0900" w14:textId="77777777" w:rsidR="0045179B" w:rsidRPr="009B5DD3" w:rsidRDefault="0045179B" w:rsidP="0045179B">
            <w:pPr>
              <w:overflowPunct w:val="0"/>
              <w:autoSpaceDE w:val="0"/>
              <w:autoSpaceDN w:val="0"/>
              <w:adjustRightInd w:val="0"/>
              <w:jc w:val="center"/>
              <w:textAlignment w:val="baseline"/>
              <w:rPr>
                <w:rFonts w:ascii="Arial" w:eastAsia="SimSun" w:hAnsi="Arial" w:cs="Arial"/>
                <w:b/>
                <w:bCs/>
                <w:sz w:val="16"/>
                <w:szCs w:val="16"/>
              </w:rPr>
            </w:pPr>
            <w:r w:rsidRPr="009B5DD3">
              <w:rPr>
                <w:rFonts w:ascii="Arial" w:eastAsia="SimSun" w:hAnsi="Arial" w:cs="Arial"/>
                <w:b/>
                <w:bCs/>
                <w:color w:val="FF0000"/>
                <w:sz w:val="16"/>
                <w:szCs w:val="16"/>
              </w:rPr>
              <w:t>&lt;Unchanged part omitted&gt;</w:t>
            </w:r>
          </w:p>
          <w:p w14:paraId="34421D0B" w14:textId="77777777" w:rsidR="0045179B" w:rsidRPr="009B5DD3" w:rsidRDefault="0045179B" w:rsidP="0045179B">
            <w:pPr>
              <w:rPr>
                <w:rFonts w:ascii="Arial" w:hAnsi="Arial" w:cs="Arial"/>
                <w:sz w:val="16"/>
                <w:szCs w:val="16"/>
              </w:rPr>
            </w:pPr>
            <w:r w:rsidRPr="009B5DD3">
              <w:rPr>
                <w:rFonts w:ascii="Arial" w:hAnsi="Arial" w:cs="Arial"/>
                <w:sz w:val="16"/>
                <w:szCs w:val="16"/>
              </w:rPr>
              <w:t>the followings are applicable:</w:t>
            </w:r>
          </w:p>
          <w:p w14:paraId="6760F2E1" w14:textId="77777777" w:rsidR="0045179B" w:rsidRPr="009B5DD3" w:rsidRDefault="0045179B" w:rsidP="0045179B">
            <w:pPr>
              <w:numPr>
                <w:ilvl w:val="0"/>
                <w:numId w:val="24"/>
              </w:numPr>
              <w:ind w:left="568" w:hanging="284"/>
              <w:rPr>
                <w:rFonts w:ascii="Arial" w:eastAsia="MS Mincho" w:hAnsi="Arial" w:cs="Arial"/>
                <w:sz w:val="16"/>
                <w:szCs w:val="16"/>
              </w:rPr>
            </w:pPr>
            <w:r w:rsidRPr="009B5DD3">
              <w:rPr>
                <w:rFonts w:ascii="Arial" w:eastAsia="MS Mincho" w:hAnsi="Arial" w:cs="Arial"/>
                <w:sz w:val="16"/>
                <w:szCs w:val="16"/>
              </w:rPr>
              <w:t>-</w:t>
            </w:r>
            <w:r w:rsidRPr="009B5DD3">
              <w:rPr>
                <w:rFonts w:ascii="Arial" w:eastAsia="MS Mincho" w:hAnsi="Arial" w:cs="Arial"/>
                <w:sz w:val="16"/>
                <w:szCs w:val="16"/>
              </w:rPr>
              <w:tab/>
            </w:r>
            <w:del w:id="292" w:author="David mazzarese" w:date="2023-11-17T11:51:00Z">
              <w:r w:rsidRPr="009B5DD3" w:rsidDel="002F7C5D">
                <w:rPr>
                  <w:rFonts w:ascii="Arial" w:eastAsia="MS Mincho" w:hAnsi="Arial" w:cs="Arial"/>
                  <w:sz w:val="16"/>
                  <w:szCs w:val="16"/>
                </w:rPr>
                <w:delText xml:space="preserve">A UE can </w:delText>
              </w:r>
            </w:del>
            <w:del w:id="293" w:author="David mazzarese" w:date="2023-11-17T11:49:00Z">
              <w:r w:rsidRPr="009B5DD3" w:rsidDel="002F7C5D">
                <w:rPr>
                  <w:rFonts w:ascii="Arial" w:eastAsia="MS Mincho" w:hAnsi="Arial" w:cs="Arial"/>
                  <w:sz w:val="16"/>
                  <w:szCs w:val="16"/>
                </w:rPr>
                <w:delText xml:space="preserve">access multiple channels </w:delText>
              </w:r>
            </w:del>
            <w:del w:id="294" w:author="David mazzarese" w:date="2023-11-17T11:48:00Z">
              <w:r w:rsidRPr="009B5DD3" w:rsidDel="002F7C5D">
                <w:rPr>
                  <w:rFonts w:ascii="Arial" w:eastAsia="MS Mincho" w:hAnsi="Arial" w:cs="Arial"/>
                  <w:sz w:val="16"/>
                  <w:szCs w:val="16"/>
                </w:rPr>
                <w:delText>on which</w:delText>
              </w:r>
            </w:del>
            <w:del w:id="295" w:author="David mazzarese" w:date="2023-11-17T11:49:00Z">
              <w:r w:rsidRPr="009B5DD3" w:rsidDel="002F7C5D">
                <w:rPr>
                  <w:rFonts w:ascii="Arial" w:eastAsia="MS Mincho" w:hAnsi="Arial" w:cs="Arial"/>
                  <w:sz w:val="16"/>
                  <w:szCs w:val="16"/>
                </w:rPr>
                <w:delText xml:space="preserve"> only PSFCH</w:delText>
              </w:r>
            </w:del>
            <w:ins w:id="296" w:author="Kevin Lin" w:date="2023-11-16T18:03:00Z">
              <w:del w:id="297" w:author="David mazzarese" w:date="2023-11-17T11:49:00Z">
                <w:r w:rsidRPr="009B5DD3" w:rsidDel="002F7C5D">
                  <w:rPr>
                    <w:rFonts w:ascii="Arial" w:eastAsia="MS Mincho" w:hAnsi="Arial" w:cs="Arial"/>
                    <w:sz w:val="16"/>
                    <w:szCs w:val="16"/>
                  </w:rPr>
                  <w:delText xml:space="preserve"> or S-SSB</w:delText>
                </w:r>
              </w:del>
            </w:ins>
            <w:del w:id="298" w:author="David mazzarese" w:date="2023-11-17T11:49:00Z">
              <w:r w:rsidRPr="009B5DD3" w:rsidDel="002F7C5D">
                <w:rPr>
                  <w:rFonts w:ascii="Arial" w:eastAsia="MS Mincho" w:hAnsi="Arial" w:cs="Arial"/>
                  <w:sz w:val="16"/>
                  <w:szCs w:val="16"/>
                </w:rPr>
                <w:delText xml:space="preserve"> transmissions are </w:delText>
              </w:r>
            </w:del>
            <w:del w:id="299" w:author="David mazzarese" w:date="2023-11-17T11:51:00Z">
              <w:r w:rsidRPr="009B5DD3" w:rsidDel="002F7C5D">
                <w:rPr>
                  <w:rFonts w:ascii="Arial" w:eastAsia="MS Mincho" w:hAnsi="Arial" w:cs="Arial"/>
                  <w:sz w:val="16"/>
                  <w:szCs w:val="16"/>
                </w:rPr>
                <w:delText>perform</w:delText>
              </w:r>
            </w:del>
            <w:del w:id="300" w:author="David mazzarese" w:date="2023-11-17T11:49:00Z">
              <w:r w:rsidRPr="009B5DD3" w:rsidDel="002F7C5D">
                <w:rPr>
                  <w:rFonts w:ascii="Arial" w:eastAsia="MS Mincho" w:hAnsi="Arial" w:cs="Arial"/>
                  <w:sz w:val="16"/>
                  <w:szCs w:val="16"/>
                </w:rPr>
                <w:delText xml:space="preserve">ed, according to one of the </w:delText>
              </w:r>
            </w:del>
            <w:r w:rsidRPr="009B5DD3">
              <w:rPr>
                <w:rFonts w:ascii="Arial" w:eastAsia="MS Mincho" w:hAnsi="Arial" w:cs="Arial"/>
                <w:sz w:val="16"/>
                <w:szCs w:val="16"/>
              </w:rPr>
              <w:t>Type A or Type B procedures described in clause 4.5.6.1 and 4.5.6.2, respectively</w:t>
            </w:r>
            <w:ins w:id="301" w:author="David mazzarese" w:date="2023-11-17T11:49:00Z">
              <w:r w:rsidRPr="009B5DD3">
                <w:rPr>
                  <w:rFonts w:ascii="Arial" w:eastAsia="MS Mincho" w:hAnsi="Arial" w:cs="Arial"/>
                  <w:sz w:val="16"/>
                  <w:szCs w:val="16"/>
                </w:rPr>
                <w:t xml:space="preserve">, </w:t>
              </w:r>
            </w:ins>
            <w:ins w:id="302" w:author="David mazzarese" w:date="2023-11-17T11:51:00Z">
              <w:r w:rsidRPr="009B5DD3">
                <w:rPr>
                  <w:rFonts w:ascii="Arial" w:eastAsia="MS Mincho" w:hAnsi="Arial" w:cs="Arial"/>
                  <w:sz w:val="16"/>
                  <w:szCs w:val="16"/>
                </w:rPr>
                <w:t xml:space="preserve">can be used </w:t>
              </w:r>
            </w:ins>
            <w:ins w:id="303" w:author="David mazzarese" w:date="2023-11-17T11:49:00Z">
              <w:r w:rsidRPr="009B5DD3">
                <w:rPr>
                  <w:rFonts w:ascii="Arial" w:eastAsia="MS Mincho" w:hAnsi="Arial" w:cs="Arial"/>
                  <w:sz w:val="16"/>
                  <w:szCs w:val="16"/>
                </w:rPr>
                <w:t xml:space="preserve">for accessing multiple channels </w:t>
              </w:r>
            </w:ins>
            <w:ins w:id="304" w:author="David mazzarese" w:date="2023-11-17T11:52:00Z">
              <w:r w:rsidRPr="009B5DD3">
                <w:rPr>
                  <w:rFonts w:ascii="Arial" w:eastAsia="MS Mincho" w:hAnsi="Arial" w:cs="Arial"/>
                  <w:sz w:val="16"/>
                  <w:szCs w:val="16"/>
                </w:rPr>
                <w:t xml:space="preserve">only </w:t>
              </w:r>
            </w:ins>
            <w:ins w:id="305" w:author="David mazzarese" w:date="2023-11-17T11:49:00Z">
              <w:r w:rsidRPr="009B5DD3">
                <w:rPr>
                  <w:rFonts w:ascii="Arial" w:eastAsia="MS Mincho" w:hAnsi="Arial" w:cs="Arial"/>
                  <w:sz w:val="16"/>
                  <w:szCs w:val="16"/>
                </w:rPr>
                <w:t>for PSFCH or S-SSB transmissions</w:t>
              </w:r>
            </w:ins>
            <w:r w:rsidRPr="009B5DD3">
              <w:rPr>
                <w:rFonts w:ascii="Arial" w:eastAsia="MS Mincho" w:hAnsi="Arial" w:cs="Arial"/>
                <w:sz w:val="16"/>
                <w:szCs w:val="16"/>
              </w:rPr>
              <w:t>.</w:t>
            </w:r>
          </w:p>
          <w:p w14:paraId="0D52914F" w14:textId="77777777" w:rsidR="0045179B" w:rsidRPr="009B5DD3" w:rsidRDefault="0045179B" w:rsidP="0045179B">
            <w:pPr>
              <w:numPr>
                <w:ilvl w:val="0"/>
                <w:numId w:val="24"/>
              </w:numPr>
              <w:ind w:left="568" w:hanging="284"/>
              <w:rPr>
                <w:rFonts w:ascii="Arial" w:eastAsia="MS Mincho" w:hAnsi="Arial" w:cs="Arial"/>
                <w:sz w:val="16"/>
                <w:szCs w:val="16"/>
              </w:rPr>
            </w:pPr>
            <w:r w:rsidRPr="009B5DD3">
              <w:rPr>
                <w:rFonts w:ascii="Arial" w:eastAsia="MS Mincho" w:hAnsi="Arial" w:cs="Arial"/>
                <w:sz w:val="16"/>
                <w:szCs w:val="16"/>
              </w:rPr>
              <w:t>-</w:t>
            </w:r>
            <w:r w:rsidRPr="009B5DD3">
              <w:rPr>
                <w:rFonts w:ascii="Arial" w:eastAsia="MS Mincho" w:hAnsi="Arial" w:cs="Arial"/>
                <w:sz w:val="16"/>
                <w:szCs w:val="16"/>
              </w:rPr>
              <w:tab/>
              <w:t>A UE can access multiple channels on which SL transmissions are performed, according to the procedures described in clause 4.5.6.3.</w:t>
            </w:r>
          </w:p>
          <w:p w14:paraId="339D48EF" w14:textId="77777777" w:rsidR="0045179B" w:rsidRPr="009B5DD3" w:rsidRDefault="0045179B" w:rsidP="009B5DD3">
            <w:pPr>
              <w:rPr>
                <w:rFonts w:ascii="Arial" w:hAnsi="Arial" w:cs="Arial"/>
                <w:b/>
                <w:bCs/>
                <w:sz w:val="16"/>
                <w:szCs w:val="16"/>
              </w:rPr>
            </w:pPr>
            <w:r w:rsidRPr="009B5DD3">
              <w:rPr>
                <w:rFonts w:ascii="Arial" w:hAnsi="Arial" w:cs="Arial"/>
                <w:b/>
                <w:bCs/>
                <w:sz w:val="16"/>
                <w:szCs w:val="16"/>
              </w:rPr>
              <w:t>4.5.6.1</w:t>
            </w:r>
            <w:r w:rsidRPr="009B5DD3">
              <w:rPr>
                <w:rFonts w:ascii="Arial" w:hAnsi="Arial" w:cs="Arial"/>
                <w:b/>
                <w:bCs/>
                <w:sz w:val="16"/>
                <w:szCs w:val="16"/>
              </w:rPr>
              <w:tab/>
              <w:t>Type A multi-channel access procedures for PSFCH</w:t>
            </w:r>
            <w:ins w:id="306" w:author="Kevin Lin" w:date="2023-11-16T18:03:00Z">
              <w:r w:rsidRPr="009B5DD3">
                <w:rPr>
                  <w:rFonts w:ascii="Arial" w:hAnsi="Arial" w:cs="Arial"/>
                  <w:b/>
                  <w:bCs/>
                  <w:sz w:val="16"/>
                  <w:szCs w:val="16"/>
                </w:rPr>
                <w:t xml:space="preserve"> or S-SSB</w:t>
              </w:r>
            </w:ins>
            <w:r w:rsidRPr="009B5DD3">
              <w:rPr>
                <w:rFonts w:ascii="Arial" w:hAnsi="Arial" w:cs="Arial"/>
                <w:b/>
                <w:bCs/>
                <w:sz w:val="16"/>
                <w:szCs w:val="16"/>
              </w:rPr>
              <w:t xml:space="preserve"> transmissions</w:t>
            </w:r>
          </w:p>
          <w:p w14:paraId="3403CC5F" w14:textId="77777777" w:rsidR="0045179B" w:rsidRPr="009B5DD3" w:rsidRDefault="0045179B" w:rsidP="0045179B">
            <w:pPr>
              <w:rPr>
                <w:rFonts w:ascii="Arial" w:hAnsi="Arial" w:cs="Arial"/>
                <w:sz w:val="16"/>
                <w:szCs w:val="16"/>
              </w:rPr>
            </w:pPr>
            <w:del w:id="307" w:author="Kevin Lin" w:date="2023-11-16T18:05:00Z">
              <w:r w:rsidRPr="009B5DD3" w:rsidDel="00897744">
                <w:rPr>
                  <w:rFonts w:ascii="Arial" w:hAnsi="Arial" w:cs="Arial"/>
                  <w:sz w:val="16"/>
                  <w:szCs w:val="16"/>
                </w:rPr>
                <w:delText>A UE can access multiple channels on which only PSFCH transmissions are performed, according to t</w:delText>
              </w:r>
            </w:del>
            <w:ins w:id="308" w:author="Kevin Lin" w:date="2023-11-16T18:05:00Z">
              <w:r w:rsidRPr="009B5DD3">
                <w:rPr>
                  <w:rFonts w:ascii="Arial" w:hAnsi="Arial" w:cs="Arial"/>
                  <w:sz w:val="16"/>
                  <w:szCs w:val="16"/>
                </w:rPr>
                <w:t>T</w:t>
              </w:r>
            </w:ins>
            <w:r w:rsidRPr="009B5DD3">
              <w:rPr>
                <w:rFonts w:ascii="Arial" w:hAnsi="Arial" w:cs="Arial"/>
                <w:sz w:val="16"/>
                <w:szCs w:val="16"/>
              </w:rPr>
              <w:t>he procedures described in this clause</w:t>
            </w:r>
            <w:ins w:id="309" w:author="Kevin Lin" w:date="2023-11-16T18:07:00Z">
              <w:r w:rsidRPr="009B5DD3">
                <w:rPr>
                  <w:rFonts w:ascii="Arial" w:hAnsi="Arial" w:cs="Arial"/>
                  <w:sz w:val="16"/>
                  <w:szCs w:val="16"/>
                </w:rPr>
                <w:t xml:space="preserve"> are applicable for PSFCH/S-SSB transmissions</w:t>
              </w:r>
            </w:ins>
            <w:r w:rsidRPr="009B5DD3">
              <w:rPr>
                <w:rFonts w:ascii="Arial" w:hAnsi="Arial" w:cs="Arial"/>
                <w:sz w:val="16"/>
                <w:szCs w:val="16"/>
              </w:rPr>
              <w:t>.</w:t>
            </w:r>
          </w:p>
          <w:p w14:paraId="10C4204C" w14:textId="1C809D0C" w:rsidR="0045179B" w:rsidRPr="009B5DD3" w:rsidRDefault="0045179B" w:rsidP="0045179B">
            <w:pPr>
              <w:rPr>
                <w:rFonts w:ascii="Arial" w:hAnsi="Arial" w:cs="Arial"/>
                <w:sz w:val="16"/>
                <w:szCs w:val="16"/>
              </w:rPr>
            </w:pPr>
            <w:r w:rsidRPr="009B5DD3">
              <w:rPr>
                <w:rFonts w:ascii="Arial" w:hAnsi="Arial" w:cs="Arial"/>
                <w:sz w:val="16"/>
                <w:szCs w:val="16"/>
              </w:rPr>
              <w:t xml:space="preserve">A UE shall perform channel access on each </w:t>
            </w:r>
            <w:r w:rsidRPr="009B5DD3">
              <w:rPr>
                <w:rFonts w:ascii="Arial" w:hAnsi="Arial" w:cs="Arial"/>
                <w:sz w:val="16"/>
                <w:szCs w:val="16"/>
                <w:lang w:val="en-US"/>
              </w:rPr>
              <w:t xml:space="preserve">channel </w:t>
            </w:r>
            <m:oMath>
              <m:sSub>
                <m:sSubPr>
                  <m:ctrlPr>
                    <w:rPr>
                      <w:rFonts w:ascii="Cambria Math" w:hAnsi="Cambria Math" w:cs="Arial"/>
                      <w:i/>
                      <w:sz w:val="16"/>
                      <w:szCs w:val="16"/>
                    </w:rPr>
                  </m:ctrlPr>
                </m:sSubPr>
                <m:e>
                  <m:r>
                    <w:rPr>
                      <w:rFonts w:ascii="Cambria Math" w:hAnsi="Cambria Math" w:cs="Arial"/>
                      <w:sz w:val="16"/>
                      <w:szCs w:val="16"/>
                    </w:rPr>
                    <m:t>c</m:t>
                  </m:r>
                </m:e>
                <m:sub>
                  <m:r>
                    <w:rPr>
                      <w:rFonts w:ascii="Cambria Math" w:hAnsi="Cambria Math" w:cs="Arial"/>
                      <w:sz w:val="16"/>
                      <w:szCs w:val="16"/>
                    </w:rPr>
                    <m:t>i</m:t>
                  </m:r>
                </m:sub>
              </m:sSub>
              <m:r>
                <w:rPr>
                  <w:rFonts w:ascii="Cambria Math" w:hAnsi="Cambria Math" w:cs="Arial"/>
                  <w:sz w:val="16"/>
                  <w:szCs w:val="16"/>
                  <w:lang w:val="en-US"/>
                </w:rPr>
                <m:t>∈</m:t>
              </m:r>
              <m:r>
                <w:rPr>
                  <w:rFonts w:ascii="Cambria Math" w:hAnsi="Cambria Math" w:cs="Arial"/>
                  <w:sz w:val="16"/>
                  <w:szCs w:val="16"/>
                </w:rPr>
                <m:t>C</m:t>
              </m:r>
            </m:oMath>
            <w:r w:rsidRPr="009B5DD3">
              <w:rPr>
                <w:rFonts w:ascii="Arial" w:hAnsi="Arial" w:cs="Arial"/>
                <w:sz w:val="16"/>
                <w:szCs w:val="16"/>
              </w:rPr>
              <w:t xml:space="preserve">, according to the procedures described in clause 4.5.1, where </w:t>
            </w:r>
            <m:oMath>
              <m:r>
                <w:rPr>
                  <w:rFonts w:ascii="Cambria Math" w:hAnsi="Cambria Math" w:cs="Arial"/>
                  <w:sz w:val="16"/>
                  <w:szCs w:val="16"/>
                </w:rPr>
                <m:t>C</m:t>
              </m:r>
            </m:oMath>
            <w:r w:rsidRPr="009B5DD3">
              <w:rPr>
                <w:rFonts w:ascii="Arial" w:hAnsi="Arial" w:cs="Arial"/>
                <w:sz w:val="16"/>
                <w:szCs w:val="16"/>
              </w:rPr>
              <w:t xml:space="preserve"> is a set of </w:t>
            </w:r>
            <w:r w:rsidRPr="009B5DD3">
              <w:rPr>
                <w:rFonts w:ascii="Arial" w:hAnsi="Arial" w:cs="Arial"/>
                <w:sz w:val="16"/>
                <w:szCs w:val="16"/>
                <w:lang w:val="en-US"/>
              </w:rPr>
              <w:t>channels</w:t>
            </w:r>
            <w:r w:rsidRPr="009B5DD3">
              <w:rPr>
                <w:rFonts w:ascii="Arial" w:hAnsi="Arial" w:cs="Arial"/>
                <w:sz w:val="16"/>
                <w:szCs w:val="16"/>
              </w:rPr>
              <w:t xml:space="preserve"> on which the UE intends to transmit, and </w:t>
            </w:r>
            <m:oMath>
              <m:r>
                <w:rPr>
                  <w:rFonts w:ascii="Cambria Math" w:hAnsi="Cambria Math" w:cs="Arial"/>
                  <w:sz w:val="16"/>
                  <w:szCs w:val="16"/>
                </w:rPr>
                <m:t>i</m:t>
              </m:r>
              <m:r>
                <w:rPr>
                  <w:rFonts w:ascii="Cambria Math" w:hAnsi="Cambria Math" w:cs="Arial"/>
                  <w:sz w:val="16"/>
                  <w:szCs w:val="16"/>
                  <w:lang w:val="en-US"/>
                </w:rPr>
                <m:t>=0,1,…</m:t>
              </m:r>
              <m:r>
                <w:rPr>
                  <w:rFonts w:ascii="Cambria Math" w:hAnsi="Cambria Math" w:cs="Arial"/>
                  <w:sz w:val="16"/>
                  <w:szCs w:val="16"/>
                </w:rPr>
                <m:t>q</m:t>
              </m:r>
              <m:r>
                <w:rPr>
                  <w:rFonts w:ascii="Cambria Math" w:hAnsi="Cambria Math" w:cs="Arial"/>
                  <w:sz w:val="16"/>
                  <w:szCs w:val="16"/>
                  <w:lang w:val="en-US"/>
                </w:rPr>
                <m:t>-1</m:t>
              </m:r>
            </m:oMath>
            <w:r w:rsidRPr="009B5DD3">
              <w:rPr>
                <w:rFonts w:ascii="Arial" w:hAnsi="Arial" w:cs="Arial"/>
                <w:sz w:val="16"/>
                <w:szCs w:val="16"/>
              </w:rPr>
              <w:t xml:space="preserve">, and </w:t>
            </w:r>
            <m:oMath>
              <m:r>
                <w:rPr>
                  <w:rFonts w:ascii="Cambria Math" w:hAnsi="Cambria Math" w:cs="Arial"/>
                  <w:sz w:val="16"/>
                  <w:szCs w:val="16"/>
                </w:rPr>
                <m:t>q</m:t>
              </m:r>
            </m:oMath>
            <w:r w:rsidRPr="009B5DD3">
              <w:rPr>
                <w:rFonts w:ascii="Arial" w:hAnsi="Arial" w:cs="Arial"/>
                <w:sz w:val="16"/>
                <w:szCs w:val="16"/>
              </w:rPr>
              <w:t xml:space="preserve"> is the number of </w:t>
            </w:r>
            <w:r w:rsidRPr="009B5DD3">
              <w:rPr>
                <w:rFonts w:ascii="Arial" w:hAnsi="Arial" w:cs="Arial"/>
                <w:sz w:val="16"/>
                <w:szCs w:val="16"/>
                <w:lang w:val="en-US"/>
              </w:rPr>
              <w:t>channels</w:t>
            </w:r>
            <w:r w:rsidRPr="009B5DD3">
              <w:rPr>
                <w:rFonts w:ascii="Arial" w:hAnsi="Arial" w:cs="Arial"/>
                <w:sz w:val="16"/>
                <w:szCs w:val="16"/>
              </w:rPr>
              <w:t xml:space="preserve"> on which the UE intends to transmit.</w:t>
            </w:r>
          </w:p>
          <w:p w14:paraId="4F17B789" w14:textId="4E9FF964" w:rsidR="0045179B" w:rsidRPr="009B5DD3" w:rsidRDefault="0045179B" w:rsidP="0045179B">
            <w:pPr>
              <w:rPr>
                <w:rFonts w:ascii="Arial" w:hAnsi="Arial" w:cs="Arial"/>
                <w:sz w:val="16"/>
                <w:szCs w:val="16"/>
              </w:rPr>
            </w:pPr>
            <w:r w:rsidRPr="009B5DD3">
              <w:rPr>
                <w:rFonts w:ascii="Arial" w:hAnsi="Arial" w:cs="Arial"/>
                <w:sz w:val="16"/>
                <w:szCs w:val="16"/>
              </w:rPr>
              <w:t xml:space="preserve">The counter </w:t>
            </w:r>
            <m:oMath>
              <m:r>
                <w:rPr>
                  <w:rFonts w:ascii="Cambria Math" w:hAnsi="Cambria Math" w:cs="Arial"/>
                  <w:sz w:val="16"/>
                  <w:szCs w:val="16"/>
                </w:rPr>
                <m:t>N</m:t>
              </m:r>
            </m:oMath>
            <w:r w:rsidRPr="009B5DD3">
              <w:rPr>
                <w:rFonts w:ascii="Arial" w:hAnsi="Arial" w:cs="Arial"/>
                <w:sz w:val="16"/>
                <w:szCs w:val="16"/>
              </w:rPr>
              <w:t xml:space="preserve"> described in clause 4.5.1 is determined for each </w:t>
            </w:r>
            <w:r w:rsidRPr="009B5DD3">
              <w:rPr>
                <w:rFonts w:ascii="Arial" w:hAnsi="Arial" w:cs="Arial"/>
                <w:sz w:val="16"/>
                <w:szCs w:val="16"/>
                <w:lang w:val="en-US"/>
              </w:rPr>
              <w:t xml:space="preserve">channel </w:t>
            </w:r>
            <m:oMath>
              <m:sSub>
                <m:sSubPr>
                  <m:ctrlPr>
                    <w:rPr>
                      <w:rFonts w:ascii="Cambria Math" w:hAnsi="Cambria Math" w:cs="Arial"/>
                      <w:i/>
                      <w:sz w:val="16"/>
                      <w:szCs w:val="16"/>
                    </w:rPr>
                  </m:ctrlPr>
                </m:sSubPr>
                <m:e>
                  <m:r>
                    <w:rPr>
                      <w:rFonts w:ascii="Cambria Math" w:hAnsi="Cambria Math" w:cs="Arial"/>
                      <w:sz w:val="16"/>
                      <w:szCs w:val="16"/>
                    </w:rPr>
                    <m:t>c</m:t>
                  </m:r>
                </m:e>
                <m:sub>
                  <m:r>
                    <w:rPr>
                      <w:rFonts w:ascii="Cambria Math" w:hAnsi="Cambria Math" w:cs="Arial"/>
                      <w:sz w:val="16"/>
                      <w:szCs w:val="16"/>
                    </w:rPr>
                    <m:t>i</m:t>
                  </m:r>
                </m:sub>
              </m:sSub>
            </m:oMath>
            <w:r w:rsidRPr="009B5DD3">
              <w:rPr>
                <w:rFonts w:ascii="Arial" w:hAnsi="Arial" w:cs="Arial"/>
                <w:sz w:val="16"/>
                <w:szCs w:val="16"/>
              </w:rPr>
              <w:t xml:space="preserve"> and is denoted as </w:t>
            </w:r>
            <m:oMath>
              <m:sSub>
                <m:sSubPr>
                  <m:ctrlPr>
                    <w:rPr>
                      <w:rFonts w:ascii="Cambria Math" w:hAnsi="Cambria Math" w:cs="Arial"/>
                      <w:i/>
                      <w:sz w:val="16"/>
                      <w:szCs w:val="16"/>
                    </w:rPr>
                  </m:ctrlPr>
                </m:sSubPr>
                <m:e>
                  <m:r>
                    <w:rPr>
                      <w:rFonts w:ascii="Cambria Math" w:hAnsi="Cambria Math" w:cs="Arial"/>
                      <w:sz w:val="16"/>
                      <w:szCs w:val="16"/>
                    </w:rPr>
                    <m:t>N</m:t>
                  </m:r>
                </m:e>
                <m:sub>
                  <m:sSub>
                    <m:sSubPr>
                      <m:ctrlPr>
                        <w:rPr>
                          <w:rFonts w:ascii="Cambria Math" w:hAnsi="Cambria Math" w:cs="Arial"/>
                          <w:i/>
                          <w:sz w:val="16"/>
                          <w:szCs w:val="16"/>
                        </w:rPr>
                      </m:ctrlPr>
                    </m:sSubPr>
                    <m:e>
                      <m:r>
                        <w:rPr>
                          <w:rFonts w:ascii="Cambria Math" w:hAnsi="Cambria Math" w:cs="Arial"/>
                          <w:sz w:val="16"/>
                          <w:szCs w:val="16"/>
                        </w:rPr>
                        <m:t>c</m:t>
                      </m:r>
                    </m:e>
                    <m:sub>
                      <m:r>
                        <w:rPr>
                          <w:rFonts w:ascii="Cambria Math" w:hAnsi="Cambria Math" w:cs="Arial"/>
                          <w:sz w:val="16"/>
                          <w:szCs w:val="16"/>
                        </w:rPr>
                        <m:t>i</m:t>
                      </m:r>
                    </m:sub>
                  </m:sSub>
                </m:sub>
              </m:sSub>
            </m:oMath>
            <w:r w:rsidRPr="009B5DD3">
              <w:rPr>
                <w:rFonts w:ascii="Arial" w:hAnsi="Arial" w:cs="Arial"/>
                <w:sz w:val="16"/>
                <w:szCs w:val="16"/>
                <w:lang w:val="en-US"/>
              </w:rPr>
              <w:t xml:space="preserve">. </w:t>
            </w:r>
            <m:oMath>
              <m:sSub>
                <m:sSubPr>
                  <m:ctrlPr>
                    <w:rPr>
                      <w:rFonts w:ascii="Cambria Math" w:hAnsi="Cambria Math" w:cs="Arial"/>
                      <w:i/>
                      <w:sz w:val="16"/>
                      <w:szCs w:val="16"/>
                    </w:rPr>
                  </m:ctrlPr>
                </m:sSubPr>
                <m:e>
                  <m:r>
                    <w:rPr>
                      <w:rFonts w:ascii="Cambria Math" w:hAnsi="Cambria Math" w:cs="Arial"/>
                      <w:sz w:val="16"/>
                      <w:szCs w:val="16"/>
                    </w:rPr>
                    <m:t>N</m:t>
                  </m:r>
                </m:e>
                <m:sub>
                  <m:sSub>
                    <m:sSubPr>
                      <m:ctrlPr>
                        <w:rPr>
                          <w:rFonts w:ascii="Cambria Math" w:hAnsi="Cambria Math" w:cs="Arial"/>
                          <w:i/>
                          <w:sz w:val="16"/>
                          <w:szCs w:val="16"/>
                        </w:rPr>
                      </m:ctrlPr>
                    </m:sSubPr>
                    <m:e>
                      <m:r>
                        <w:rPr>
                          <w:rFonts w:ascii="Cambria Math" w:hAnsi="Cambria Math" w:cs="Arial"/>
                          <w:sz w:val="16"/>
                          <w:szCs w:val="16"/>
                        </w:rPr>
                        <m:t>c</m:t>
                      </m:r>
                    </m:e>
                    <m:sub>
                      <m:r>
                        <w:rPr>
                          <w:rFonts w:ascii="Cambria Math" w:hAnsi="Cambria Math" w:cs="Arial"/>
                          <w:sz w:val="16"/>
                          <w:szCs w:val="16"/>
                        </w:rPr>
                        <m:t>i</m:t>
                      </m:r>
                    </m:sub>
                  </m:sSub>
                </m:sub>
              </m:sSub>
            </m:oMath>
            <w:r w:rsidRPr="009B5DD3">
              <w:rPr>
                <w:rFonts w:ascii="Arial" w:hAnsi="Arial" w:cs="Arial"/>
                <w:sz w:val="16"/>
                <w:szCs w:val="16"/>
              </w:rPr>
              <w:t xml:space="preserve"> is maintained according to clause 4.5.6.1.1 or 4.5.6.1.2.</w:t>
            </w:r>
          </w:p>
          <w:p w14:paraId="5BE8D7E3" w14:textId="5B19C26A" w:rsidR="0045179B" w:rsidRPr="009B5DD3" w:rsidDel="00897744" w:rsidRDefault="0045179B" w:rsidP="0045179B">
            <w:pPr>
              <w:overflowPunct w:val="0"/>
              <w:autoSpaceDE w:val="0"/>
              <w:autoSpaceDN w:val="0"/>
              <w:adjustRightInd w:val="0"/>
              <w:jc w:val="center"/>
              <w:textAlignment w:val="baseline"/>
              <w:rPr>
                <w:del w:id="310" w:author="Kevin Lin" w:date="2023-11-16T18:03:00Z"/>
                <w:rFonts w:ascii="Arial" w:eastAsia="SimSun" w:hAnsi="Arial" w:cs="Arial"/>
                <w:sz w:val="16"/>
                <w:szCs w:val="16"/>
                <w:lang w:val="en-US"/>
              </w:rPr>
            </w:pPr>
            <w:del w:id="311" w:author="Kevin Lin" w:date="2023-11-16T18:03:00Z">
              <w:r w:rsidRPr="009B5DD3" w:rsidDel="00897744">
                <w:rPr>
                  <w:rFonts w:ascii="Arial" w:eastAsia="SimSun" w:hAnsi="Arial" w:cs="Arial"/>
                  <w:sz w:val="16"/>
                  <w:szCs w:val="16"/>
                  <w:lang w:val="en-US"/>
                </w:rPr>
                <w:delText xml:space="preserve">[For determining </w:delText>
              </w:r>
            </w:del>
            <m:oMath>
              <m:r>
                <w:del w:id="312" w:author="Kevin Lin" w:date="2023-11-16T18:03:00Z">
                  <w:rPr>
                    <w:rFonts w:ascii="Cambria Math" w:hAnsi="Cambria Math" w:cs="Arial"/>
                    <w:sz w:val="16"/>
                    <w:szCs w:val="16"/>
                  </w:rPr>
                  <m:t>C</m:t>
                </w:del>
              </m:r>
              <m:sSub>
                <m:sSubPr>
                  <m:ctrlPr>
                    <w:del w:id="313" w:author="Kevin Lin" w:date="2023-11-16T18:03:00Z">
                      <w:rPr>
                        <w:rFonts w:ascii="Cambria Math" w:hAnsi="Cambria Math" w:cs="Arial"/>
                        <w:i/>
                        <w:sz w:val="16"/>
                        <w:szCs w:val="16"/>
                      </w:rPr>
                    </w:del>
                  </m:ctrlPr>
                </m:sSubPr>
                <m:e>
                  <m:r>
                    <w:del w:id="314" w:author="Kevin Lin" w:date="2023-11-16T18:03:00Z">
                      <w:rPr>
                        <w:rFonts w:ascii="Cambria Math" w:hAnsi="Cambria Math" w:cs="Arial"/>
                        <w:sz w:val="16"/>
                        <w:szCs w:val="16"/>
                      </w:rPr>
                      <m:t>W</m:t>
                    </w:del>
                  </m:r>
                </m:e>
                <m:sub>
                  <m:r>
                    <w:del w:id="315" w:author="Kevin Lin" w:date="2023-11-16T18:03:00Z">
                      <w:rPr>
                        <w:rFonts w:ascii="Cambria Math" w:hAnsi="Cambria Math" w:cs="Arial"/>
                        <w:sz w:val="16"/>
                        <w:szCs w:val="16"/>
                      </w:rPr>
                      <m:t>p</m:t>
                    </w:del>
                  </m:r>
                </m:sub>
              </m:sSub>
            </m:oMath>
            <w:del w:id="316" w:author="Kevin Lin" w:date="2023-11-16T18:03:00Z">
              <w:r w:rsidRPr="009B5DD3" w:rsidDel="00897744">
                <w:rPr>
                  <w:rFonts w:ascii="Arial" w:eastAsia="SimSun" w:hAnsi="Arial" w:cs="Arial"/>
                  <w:sz w:val="16"/>
                  <w:szCs w:val="16"/>
                  <w:lang w:val="en-US"/>
                </w:rPr>
                <w:delText xml:space="preserve"> for channel </w:delText>
              </w:r>
            </w:del>
            <m:oMath>
              <m:sSub>
                <m:sSubPr>
                  <m:ctrlPr>
                    <w:del w:id="317" w:author="Kevin Lin" w:date="2023-11-16T18:03:00Z">
                      <w:rPr>
                        <w:rFonts w:ascii="Cambria Math" w:hAnsi="Cambria Math" w:cs="Arial"/>
                        <w:i/>
                        <w:sz w:val="16"/>
                        <w:szCs w:val="16"/>
                      </w:rPr>
                    </w:del>
                  </m:ctrlPr>
                </m:sSubPr>
                <m:e>
                  <m:r>
                    <w:del w:id="318" w:author="Kevin Lin" w:date="2023-11-16T18:03:00Z">
                      <w:rPr>
                        <w:rFonts w:ascii="Cambria Math" w:hAnsi="Cambria Math" w:cs="Arial"/>
                        <w:sz w:val="16"/>
                        <w:szCs w:val="16"/>
                      </w:rPr>
                      <m:t>c</m:t>
                    </w:del>
                  </m:r>
                </m:e>
                <m:sub>
                  <m:r>
                    <w:del w:id="319" w:author="Kevin Lin" w:date="2023-11-16T18:03:00Z">
                      <w:rPr>
                        <w:rFonts w:ascii="Cambria Math" w:hAnsi="Cambria Math" w:cs="Arial"/>
                        <w:sz w:val="16"/>
                        <w:szCs w:val="16"/>
                      </w:rPr>
                      <m:t>i</m:t>
                    </w:del>
                  </m:r>
                </m:sub>
              </m:sSub>
            </m:oMath>
            <w:del w:id="320" w:author="Kevin Lin" w:date="2023-11-16T18:03:00Z">
              <w:r w:rsidRPr="009B5DD3" w:rsidDel="00897744">
                <w:rPr>
                  <w:rFonts w:ascii="Arial" w:eastAsia="SimSun" w:hAnsi="Arial" w:cs="Arial"/>
                  <w:sz w:val="16"/>
                  <w:szCs w:val="16"/>
                  <w:lang w:val="en-US"/>
                </w:rPr>
                <w:delText xml:space="preserve">, any PSSCH that fully or partially overlaps with channel </w:delText>
              </w:r>
            </w:del>
            <m:oMath>
              <m:sSub>
                <m:sSubPr>
                  <m:ctrlPr>
                    <w:del w:id="321" w:author="Kevin Lin" w:date="2023-11-16T18:03:00Z">
                      <w:rPr>
                        <w:rFonts w:ascii="Cambria Math" w:hAnsi="Cambria Math" w:cs="Arial"/>
                        <w:i/>
                        <w:sz w:val="16"/>
                        <w:szCs w:val="16"/>
                      </w:rPr>
                    </w:del>
                  </m:ctrlPr>
                </m:sSubPr>
                <m:e>
                  <m:r>
                    <w:del w:id="322" w:author="Kevin Lin" w:date="2023-11-16T18:03:00Z">
                      <w:rPr>
                        <w:rFonts w:ascii="Cambria Math" w:hAnsi="Cambria Math" w:cs="Arial"/>
                        <w:sz w:val="16"/>
                        <w:szCs w:val="16"/>
                      </w:rPr>
                      <m:t>c</m:t>
                    </w:del>
                  </m:r>
                </m:e>
                <m:sub>
                  <m:r>
                    <w:del w:id="323" w:author="Kevin Lin" w:date="2023-11-16T18:03:00Z">
                      <w:rPr>
                        <w:rFonts w:ascii="Cambria Math" w:hAnsi="Cambria Math" w:cs="Arial"/>
                        <w:sz w:val="16"/>
                        <w:szCs w:val="16"/>
                      </w:rPr>
                      <m:t>i</m:t>
                    </w:del>
                  </m:r>
                </m:sub>
              </m:sSub>
            </m:oMath>
            <w:del w:id="324" w:author="Kevin Lin" w:date="2023-11-16T18:03:00Z">
              <w:r w:rsidRPr="009B5DD3" w:rsidDel="00897744">
                <w:rPr>
                  <w:rFonts w:ascii="Arial" w:eastAsia="SimSun" w:hAnsi="Arial" w:cs="Arial"/>
                  <w:sz w:val="16"/>
                  <w:szCs w:val="16"/>
                  <w:lang w:val="en-US"/>
                </w:rPr>
                <w:delText>, is used in the procedures described in clause 4.5.4.]</w:delText>
              </w:r>
            </w:del>
          </w:p>
          <w:p w14:paraId="0EAF067F" w14:textId="77777777" w:rsidR="0045179B" w:rsidRPr="009B5DD3" w:rsidRDefault="0045179B" w:rsidP="0045179B">
            <w:pPr>
              <w:overflowPunct w:val="0"/>
              <w:autoSpaceDE w:val="0"/>
              <w:autoSpaceDN w:val="0"/>
              <w:adjustRightInd w:val="0"/>
              <w:jc w:val="center"/>
              <w:textAlignment w:val="baseline"/>
              <w:rPr>
                <w:rFonts w:ascii="Arial" w:eastAsia="SimSun" w:hAnsi="Arial" w:cs="Arial"/>
                <w:b/>
                <w:bCs/>
                <w:sz w:val="16"/>
                <w:szCs w:val="16"/>
              </w:rPr>
            </w:pPr>
            <w:r w:rsidRPr="009B5DD3">
              <w:rPr>
                <w:rFonts w:ascii="Arial" w:eastAsia="SimSun" w:hAnsi="Arial" w:cs="Arial"/>
                <w:b/>
                <w:bCs/>
                <w:color w:val="FF0000"/>
                <w:sz w:val="16"/>
                <w:szCs w:val="16"/>
              </w:rPr>
              <w:t>&lt;Unchanged part omitted&gt;</w:t>
            </w:r>
          </w:p>
          <w:p w14:paraId="6B98E03E" w14:textId="77777777" w:rsidR="0045179B" w:rsidRPr="009B5DD3" w:rsidRDefault="0045179B" w:rsidP="009B5DD3">
            <w:pPr>
              <w:rPr>
                <w:rFonts w:ascii="Arial" w:hAnsi="Arial" w:cs="Arial"/>
                <w:b/>
                <w:bCs/>
                <w:sz w:val="16"/>
                <w:szCs w:val="16"/>
              </w:rPr>
            </w:pPr>
            <w:r w:rsidRPr="009B5DD3">
              <w:rPr>
                <w:rFonts w:ascii="Arial" w:hAnsi="Arial" w:cs="Arial"/>
                <w:b/>
                <w:bCs/>
                <w:sz w:val="16"/>
                <w:szCs w:val="16"/>
              </w:rPr>
              <w:t>4.5.6.2</w:t>
            </w:r>
            <w:r w:rsidRPr="009B5DD3">
              <w:rPr>
                <w:rFonts w:ascii="Arial" w:hAnsi="Arial" w:cs="Arial"/>
                <w:b/>
                <w:bCs/>
                <w:sz w:val="16"/>
                <w:szCs w:val="16"/>
              </w:rPr>
              <w:tab/>
              <w:t>Type B multi-channel access procedures for PSFCH</w:t>
            </w:r>
            <w:ins w:id="325" w:author="Kevin Lin" w:date="2023-11-16T18:03:00Z">
              <w:r w:rsidRPr="009B5DD3">
                <w:rPr>
                  <w:rFonts w:ascii="Arial" w:hAnsi="Arial" w:cs="Arial"/>
                  <w:b/>
                  <w:bCs/>
                  <w:sz w:val="16"/>
                  <w:szCs w:val="16"/>
                </w:rPr>
                <w:t xml:space="preserve"> or S-SSB</w:t>
              </w:r>
            </w:ins>
            <w:r w:rsidRPr="009B5DD3">
              <w:rPr>
                <w:rFonts w:ascii="Arial" w:hAnsi="Arial" w:cs="Arial"/>
                <w:b/>
                <w:bCs/>
                <w:sz w:val="16"/>
                <w:szCs w:val="16"/>
              </w:rPr>
              <w:t xml:space="preserve"> transmissions</w:t>
            </w:r>
          </w:p>
          <w:p w14:paraId="62DFADDF" w14:textId="77777777" w:rsidR="0045179B" w:rsidRPr="009B5DD3" w:rsidRDefault="0045179B" w:rsidP="0045179B">
            <w:pPr>
              <w:rPr>
                <w:rFonts w:ascii="Arial" w:hAnsi="Arial" w:cs="Arial"/>
                <w:sz w:val="16"/>
                <w:szCs w:val="16"/>
              </w:rPr>
            </w:pPr>
            <w:del w:id="326" w:author="Kevin Lin" w:date="2023-11-16T18:07:00Z">
              <w:r w:rsidRPr="009B5DD3" w:rsidDel="00897744">
                <w:rPr>
                  <w:rFonts w:ascii="Arial" w:hAnsi="Arial" w:cs="Arial"/>
                  <w:sz w:val="16"/>
                  <w:szCs w:val="16"/>
                </w:rPr>
                <w:delText>A UE can access multiple channels on which only PSFCH transmissions are performed, according to t</w:delText>
              </w:r>
            </w:del>
            <w:ins w:id="327" w:author="Kevin Lin" w:date="2023-11-16T18:07:00Z">
              <w:r w:rsidRPr="009B5DD3">
                <w:rPr>
                  <w:rFonts w:ascii="Arial" w:hAnsi="Arial" w:cs="Arial"/>
                  <w:sz w:val="16"/>
                  <w:szCs w:val="16"/>
                </w:rPr>
                <w:t>T</w:t>
              </w:r>
            </w:ins>
            <w:r w:rsidRPr="009B5DD3">
              <w:rPr>
                <w:rFonts w:ascii="Arial" w:hAnsi="Arial" w:cs="Arial"/>
                <w:sz w:val="16"/>
                <w:szCs w:val="16"/>
              </w:rPr>
              <w:t>he procedures described in this clause</w:t>
            </w:r>
            <w:ins w:id="328" w:author="Kevin Lin" w:date="2023-11-16T18:07:00Z">
              <w:r w:rsidRPr="009B5DD3">
                <w:rPr>
                  <w:rFonts w:ascii="Arial" w:hAnsi="Arial" w:cs="Arial"/>
                  <w:sz w:val="16"/>
                  <w:szCs w:val="16"/>
                </w:rPr>
                <w:t xml:space="preserve"> are applicable for PSFCH/S-SSB transmissions</w:t>
              </w:r>
            </w:ins>
            <w:r w:rsidRPr="009B5DD3">
              <w:rPr>
                <w:rFonts w:ascii="Arial" w:hAnsi="Arial" w:cs="Arial"/>
                <w:sz w:val="16"/>
                <w:szCs w:val="16"/>
              </w:rPr>
              <w:t>.</w:t>
            </w:r>
          </w:p>
          <w:p w14:paraId="3A1E2DE3" w14:textId="77777777" w:rsidR="0045179B" w:rsidRPr="009B5DD3" w:rsidRDefault="0045179B" w:rsidP="0045179B">
            <w:pPr>
              <w:overflowPunct w:val="0"/>
              <w:autoSpaceDE w:val="0"/>
              <w:autoSpaceDN w:val="0"/>
              <w:adjustRightInd w:val="0"/>
              <w:jc w:val="center"/>
              <w:textAlignment w:val="baseline"/>
              <w:rPr>
                <w:rFonts w:ascii="Arial" w:eastAsia="SimSun" w:hAnsi="Arial" w:cs="Arial"/>
                <w:b/>
                <w:bCs/>
                <w:sz w:val="16"/>
                <w:szCs w:val="16"/>
              </w:rPr>
            </w:pPr>
            <w:r w:rsidRPr="009B5DD3">
              <w:rPr>
                <w:rFonts w:ascii="Arial" w:eastAsia="SimSun" w:hAnsi="Arial" w:cs="Arial"/>
                <w:b/>
                <w:bCs/>
                <w:color w:val="FF0000"/>
                <w:sz w:val="16"/>
                <w:szCs w:val="16"/>
              </w:rPr>
              <w:t>&lt;Unchanged part omitted&gt;</w:t>
            </w:r>
          </w:p>
          <w:p w14:paraId="32D32A31" w14:textId="5020A148" w:rsidR="0045179B" w:rsidRPr="009B5DD3" w:rsidRDefault="0045179B" w:rsidP="0045179B">
            <w:pPr>
              <w:rPr>
                <w:ins w:id="329" w:author="Kevin Lin" w:date="2023-11-16T18:08:00Z"/>
                <w:rFonts w:ascii="Arial" w:hAnsi="Arial" w:cs="Arial"/>
                <w:sz w:val="16"/>
                <w:szCs w:val="16"/>
              </w:rPr>
            </w:pPr>
            <w:r w:rsidRPr="009B5DD3">
              <w:rPr>
                <w:rFonts w:ascii="Arial" w:hAnsi="Arial" w:cs="Arial"/>
                <w:sz w:val="16"/>
                <w:szCs w:val="16"/>
              </w:rPr>
              <w:t xml:space="preserve">For the procedures in this clause, the channels of the set of channels </w:t>
            </w:r>
            <m:oMath>
              <m:r>
                <w:rPr>
                  <w:rFonts w:ascii="Cambria Math" w:hAnsi="Cambria Math" w:cs="Arial"/>
                  <w:sz w:val="16"/>
                  <w:szCs w:val="16"/>
                </w:rPr>
                <m:t>C</m:t>
              </m:r>
            </m:oMath>
            <w:r w:rsidRPr="009B5DD3">
              <w:rPr>
                <w:rFonts w:ascii="Arial" w:hAnsi="Arial" w:cs="Arial"/>
                <w:sz w:val="16"/>
                <w:szCs w:val="16"/>
              </w:rPr>
              <w:t xml:space="preserve"> selected by the UE for PSFCH transmissions, is a subset of the RB sets in the (pre-)configured sidelink resource pool.</w:t>
            </w:r>
          </w:p>
          <w:p w14:paraId="6A0673A3" w14:textId="77777777" w:rsidR="0045179B" w:rsidRPr="009B5DD3" w:rsidRDefault="0045179B" w:rsidP="009B5DD3">
            <w:pPr>
              <w:rPr>
                <w:rFonts w:ascii="Arial" w:hAnsi="Arial" w:cs="Arial"/>
                <w:b/>
                <w:bCs/>
                <w:sz w:val="16"/>
                <w:szCs w:val="16"/>
              </w:rPr>
            </w:pPr>
            <w:r w:rsidRPr="009B5DD3">
              <w:rPr>
                <w:rFonts w:ascii="Arial" w:hAnsi="Arial" w:cs="Arial"/>
                <w:b/>
                <w:bCs/>
                <w:sz w:val="16"/>
                <w:szCs w:val="16"/>
              </w:rPr>
              <w:t>4.5.6.2.1</w:t>
            </w:r>
            <w:r w:rsidRPr="009B5DD3">
              <w:rPr>
                <w:rFonts w:ascii="Arial" w:hAnsi="Arial" w:cs="Arial"/>
                <w:b/>
                <w:bCs/>
                <w:sz w:val="16"/>
                <w:szCs w:val="16"/>
              </w:rPr>
              <w:tab/>
              <w:t>Type B1 multi-channel access procedure</w:t>
            </w:r>
          </w:p>
          <w:p w14:paraId="148F2C41" w14:textId="55D5D434" w:rsidR="0045179B" w:rsidRPr="009B5DD3" w:rsidRDefault="0045179B" w:rsidP="0045179B">
            <w:pPr>
              <w:rPr>
                <w:rFonts w:ascii="Arial" w:hAnsi="Arial" w:cs="Arial"/>
                <w:sz w:val="16"/>
                <w:szCs w:val="16"/>
                <w:lang w:val="en-US"/>
              </w:rPr>
            </w:pPr>
            <w:r w:rsidRPr="009B5DD3">
              <w:rPr>
                <w:rFonts w:ascii="Arial" w:hAnsi="Arial" w:cs="Arial"/>
                <w:sz w:val="16"/>
                <w:szCs w:val="16"/>
                <w:lang w:val="en-US"/>
              </w:rPr>
              <w:t xml:space="preserve">A single </w:t>
            </w:r>
            <m:oMath>
              <m:r>
                <w:rPr>
                  <w:rFonts w:ascii="Cambria Math" w:hAnsi="Cambria Math" w:cs="Arial"/>
                  <w:sz w:val="16"/>
                  <w:szCs w:val="16"/>
                </w:rPr>
                <m:t>C</m:t>
              </m:r>
              <m:sSub>
                <m:sSubPr>
                  <m:ctrlPr>
                    <w:rPr>
                      <w:rFonts w:ascii="Cambria Math" w:hAnsi="Cambria Math" w:cs="Arial"/>
                      <w:i/>
                      <w:sz w:val="16"/>
                      <w:szCs w:val="16"/>
                    </w:rPr>
                  </m:ctrlPr>
                </m:sSubPr>
                <m:e>
                  <m:r>
                    <w:rPr>
                      <w:rFonts w:ascii="Cambria Math" w:hAnsi="Cambria Math" w:cs="Arial"/>
                      <w:sz w:val="16"/>
                      <w:szCs w:val="16"/>
                    </w:rPr>
                    <m:t>W</m:t>
                  </m:r>
                </m:e>
                <m:sub>
                  <m:r>
                    <w:rPr>
                      <w:rFonts w:ascii="Cambria Math" w:hAnsi="Cambria Math" w:cs="Arial"/>
                      <w:sz w:val="16"/>
                      <w:szCs w:val="16"/>
                    </w:rPr>
                    <m:t>p</m:t>
                  </m:r>
                </m:sub>
              </m:sSub>
            </m:oMath>
            <w:r w:rsidRPr="009B5DD3">
              <w:rPr>
                <w:rFonts w:ascii="Arial" w:hAnsi="Arial" w:cs="Arial"/>
                <w:sz w:val="16"/>
                <w:szCs w:val="16"/>
                <w:lang w:val="en-US"/>
              </w:rPr>
              <w:t xml:space="preserve"> value is maintained for the set of channels </w:t>
            </w:r>
            <m:oMath>
              <m:r>
                <w:rPr>
                  <w:rFonts w:ascii="Cambria Math" w:hAnsi="Cambria Math" w:cs="Arial"/>
                  <w:sz w:val="16"/>
                  <w:szCs w:val="16"/>
                </w:rPr>
                <m:t>C</m:t>
              </m:r>
            </m:oMath>
            <w:r w:rsidRPr="009B5DD3">
              <w:rPr>
                <w:rFonts w:ascii="Arial" w:hAnsi="Arial" w:cs="Arial"/>
                <w:sz w:val="16"/>
                <w:szCs w:val="16"/>
                <w:lang w:val="en-US"/>
              </w:rPr>
              <w:t>.</w:t>
            </w:r>
          </w:p>
          <w:p w14:paraId="53A16CA3" w14:textId="299F6EB0" w:rsidR="0045179B" w:rsidRPr="009B5DD3" w:rsidDel="00897744" w:rsidRDefault="0045179B" w:rsidP="009B5DD3">
            <w:pPr>
              <w:rPr>
                <w:del w:id="330" w:author="Kevin Lin" w:date="2023-11-16T18:02:00Z"/>
                <w:rFonts w:ascii="Arial" w:hAnsi="Arial" w:cs="Arial"/>
                <w:b/>
                <w:bCs/>
                <w:sz w:val="16"/>
                <w:szCs w:val="16"/>
                <w:lang w:val="en-US"/>
              </w:rPr>
            </w:pPr>
            <w:del w:id="331" w:author="Kevin Lin" w:date="2023-11-16T18:02:00Z">
              <w:r w:rsidRPr="009B5DD3" w:rsidDel="00897744">
                <w:rPr>
                  <w:rFonts w:ascii="Arial" w:hAnsi="Arial" w:cs="Arial"/>
                  <w:b/>
                  <w:bCs/>
                  <w:sz w:val="16"/>
                  <w:szCs w:val="16"/>
                  <w:lang w:val="en-US"/>
                </w:rPr>
                <w:delText xml:space="preserve">[For determining </w:delText>
              </w:r>
            </w:del>
            <m:oMath>
              <m:r>
                <w:del w:id="332" w:author="Kevin Lin" w:date="2023-11-16T18:02:00Z">
                  <m:rPr>
                    <m:sty m:val="bi"/>
                  </m:rPr>
                  <w:rPr>
                    <w:rFonts w:ascii="Cambria Math" w:hAnsi="Cambria Math" w:cs="Arial"/>
                    <w:sz w:val="16"/>
                    <w:szCs w:val="16"/>
                  </w:rPr>
                  <m:t>C</m:t>
                </w:del>
              </m:r>
              <m:sSub>
                <m:sSubPr>
                  <m:ctrlPr>
                    <w:del w:id="333" w:author="Kevin Lin" w:date="2023-11-16T18:02:00Z">
                      <w:rPr>
                        <w:rFonts w:ascii="Cambria Math" w:hAnsi="Cambria Math" w:cs="Arial"/>
                        <w:b/>
                        <w:bCs/>
                        <w:i/>
                        <w:sz w:val="16"/>
                        <w:szCs w:val="16"/>
                      </w:rPr>
                    </w:del>
                  </m:ctrlPr>
                </m:sSubPr>
                <m:e>
                  <m:r>
                    <w:del w:id="334" w:author="Kevin Lin" w:date="2023-11-16T18:02:00Z">
                      <m:rPr>
                        <m:sty m:val="bi"/>
                      </m:rPr>
                      <w:rPr>
                        <w:rFonts w:ascii="Cambria Math" w:hAnsi="Cambria Math" w:cs="Arial"/>
                        <w:sz w:val="16"/>
                        <w:szCs w:val="16"/>
                      </w:rPr>
                      <m:t>W</m:t>
                    </w:del>
                  </m:r>
                </m:e>
                <m:sub>
                  <m:r>
                    <w:del w:id="335" w:author="Kevin Lin" w:date="2023-11-16T18:02:00Z">
                      <m:rPr>
                        <m:sty m:val="bi"/>
                      </m:rPr>
                      <w:rPr>
                        <w:rFonts w:ascii="Cambria Math" w:hAnsi="Cambria Math" w:cs="Arial"/>
                        <w:sz w:val="16"/>
                        <w:szCs w:val="16"/>
                      </w:rPr>
                      <m:t>p</m:t>
                    </w:del>
                  </m:r>
                </m:sub>
              </m:sSub>
            </m:oMath>
            <w:del w:id="336" w:author="Kevin Lin" w:date="2023-11-16T18:02:00Z">
              <w:r w:rsidRPr="009B5DD3" w:rsidDel="00897744">
                <w:rPr>
                  <w:rFonts w:ascii="Arial" w:hAnsi="Arial" w:cs="Arial"/>
                  <w:b/>
                  <w:bCs/>
                  <w:sz w:val="16"/>
                  <w:szCs w:val="16"/>
                </w:rPr>
                <w:delText xml:space="preserve"> for channel </w:delText>
              </w:r>
            </w:del>
            <m:oMath>
              <m:sSub>
                <m:sSubPr>
                  <m:ctrlPr>
                    <w:del w:id="337" w:author="Kevin Lin" w:date="2023-11-16T18:02:00Z">
                      <w:rPr>
                        <w:rFonts w:ascii="Cambria Math" w:hAnsi="Cambria Math" w:cs="Arial"/>
                        <w:b/>
                        <w:bCs/>
                        <w:i/>
                        <w:sz w:val="16"/>
                        <w:szCs w:val="16"/>
                      </w:rPr>
                    </w:del>
                  </m:ctrlPr>
                </m:sSubPr>
                <m:e>
                  <m:r>
                    <w:del w:id="338" w:author="Kevin Lin" w:date="2023-11-16T18:02:00Z">
                      <m:rPr>
                        <m:sty m:val="bi"/>
                      </m:rPr>
                      <w:rPr>
                        <w:rFonts w:ascii="Cambria Math" w:hAnsi="Cambria Math" w:cs="Arial"/>
                        <w:sz w:val="16"/>
                        <w:szCs w:val="16"/>
                      </w:rPr>
                      <m:t>c</m:t>
                    </w:del>
                  </m:r>
                </m:e>
                <m:sub>
                  <m:r>
                    <w:del w:id="339" w:author="Kevin Lin" w:date="2023-11-16T18:02:00Z">
                      <m:rPr>
                        <m:sty m:val="bi"/>
                      </m:rPr>
                      <w:rPr>
                        <w:rFonts w:ascii="Cambria Math" w:hAnsi="Cambria Math" w:cs="Arial"/>
                        <w:sz w:val="16"/>
                        <w:szCs w:val="16"/>
                      </w:rPr>
                      <m:t>i</m:t>
                    </w:del>
                  </m:r>
                </m:sub>
              </m:sSub>
            </m:oMath>
            <w:del w:id="340" w:author="Kevin Lin" w:date="2023-11-16T18:02:00Z">
              <w:r w:rsidRPr="009B5DD3" w:rsidDel="00897744">
                <w:rPr>
                  <w:rFonts w:ascii="Arial" w:hAnsi="Arial" w:cs="Arial"/>
                  <w:b/>
                  <w:bCs/>
                  <w:sz w:val="16"/>
                  <w:szCs w:val="16"/>
                </w:rPr>
                <w:delText xml:space="preserve">, any PSSCH that fully or partially overlaps with any channel </w:delText>
              </w:r>
            </w:del>
            <m:oMath>
              <m:sSub>
                <m:sSubPr>
                  <m:ctrlPr>
                    <w:del w:id="341" w:author="Kevin Lin" w:date="2023-11-16T18:02:00Z">
                      <w:rPr>
                        <w:rFonts w:ascii="Cambria Math" w:hAnsi="Cambria Math" w:cs="Arial"/>
                        <w:b/>
                        <w:bCs/>
                        <w:i/>
                        <w:sz w:val="16"/>
                        <w:szCs w:val="16"/>
                      </w:rPr>
                    </w:del>
                  </m:ctrlPr>
                </m:sSubPr>
                <m:e>
                  <m:r>
                    <w:del w:id="342" w:author="Kevin Lin" w:date="2023-11-16T18:02:00Z">
                      <m:rPr>
                        <m:sty m:val="bi"/>
                      </m:rPr>
                      <w:rPr>
                        <w:rFonts w:ascii="Cambria Math" w:hAnsi="Cambria Math" w:cs="Arial"/>
                        <w:sz w:val="16"/>
                        <w:szCs w:val="16"/>
                      </w:rPr>
                      <m:t>c</m:t>
                    </w:del>
                  </m:r>
                </m:e>
                <m:sub>
                  <m:r>
                    <w:del w:id="343" w:author="Kevin Lin" w:date="2023-11-16T18:02:00Z">
                      <m:rPr>
                        <m:sty m:val="bi"/>
                      </m:rPr>
                      <w:rPr>
                        <w:rFonts w:ascii="Cambria Math" w:hAnsi="Cambria Math" w:cs="Arial"/>
                        <w:sz w:val="16"/>
                        <w:szCs w:val="16"/>
                      </w:rPr>
                      <m:t>i</m:t>
                    </w:del>
                  </m:r>
                </m:sub>
              </m:sSub>
              <m:r>
                <w:del w:id="344" w:author="Kevin Lin" w:date="2023-11-16T18:02:00Z">
                  <m:rPr>
                    <m:sty m:val="bi"/>
                  </m:rPr>
                  <w:rPr>
                    <w:rFonts w:ascii="Cambria Math" w:hAnsi="Cambria Math" w:cs="Arial"/>
                    <w:sz w:val="16"/>
                    <w:szCs w:val="16"/>
                    <w:lang w:val="en-US"/>
                  </w:rPr>
                  <m:t>∈</m:t>
                </w:del>
              </m:r>
              <m:r>
                <w:del w:id="345" w:author="Kevin Lin" w:date="2023-11-16T18:02:00Z">
                  <m:rPr>
                    <m:sty m:val="bi"/>
                  </m:rPr>
                  <w:rPr>
                    <w:rFonts w:ascii="Cambria Math" w:hAnsi="Cambria Math" w:cs="Arial"/>
                    <w:sz w:val="16"/>
                    <w:szCs w:val="16"/>
                  </w:rPr>
                  <m:t>C</m:t>
                </w:del>
              </m:r>
            </m:oMath>
            <w:del w:id="346" w:author="Kevin Lin" w:date="2023-11-16T18:02:00Z">
              <w:r w:rsidRPr="009B5DD3" w:rsidDel="00897744">
                <w:rPr>
                  <w:rFonts w:ascii="Arial" w:hAnsi="Arial" w:cs="Arial"/>
                  <w:b/>
                  <w:bCs/>
                  <w:sz w:val="16"/>
                  <w:szCs w:val="16"/>
                </w:rPr>
                <w:delText>, is used in the procedures described in clause 4.5.4.]</w:delText>
              </w:r>
            </w:del>
          </w:p>
          <w:p w14:paraId="72D19DCD" w14:textId="77777777" w:rsidR="0045179B" w:rsidRPr="009B5DD3" w:rsidRDefault="0045179B" w:rsidP="009B5DD3">
            <w:pPr>
              <w:rPr>
                <w:rFonts w:ascii="Arial" w:hAnsi="Arial" w:cs="Arial"/>
                <w:b/>
                <w:bCs/>
                <w:sz w:val="16"/>
                <w:szCs w:val="16"/>
              </w:rPr>
            </w:pPr>
            <w:r w:rsidRPr="009B5DD3">
              <w:rPr>
                <w:rFonts w:ascii="Arial" w:hAnsi="Arial" w:cs="Arial"/>
                <w:b/>
                <w:bCs/>
                <w:sz w:val="16"/>
                <w:szCs w:val="16"/>
              </w:rPr>
              <w:t>4.5.6.2.2</w:t>
            </w:r>
            <w:r w:rsidRPr="009B5DD3">
              <w:rPr>
                <w:rFonts w:ascii="Arial" w:hAnsi="Arial" w:cs="Arial"/>
                <w:b/>
                <w:bCs/>
                <w:sz w:val="16"/>
                <w:szCs w:val="16"/>
              </w:rPr>
              <w:tab/>
              <w:t>Type B2 multi-channel access procedure</w:t>
            </w:r>
          </w:p>
          <w:p w14:paraId="6E9FB396" w14:textId="0F58E179" w:rsidR="0045179B" w:rsidRPr="009B5DD3" w:rsidRDefault="0045179B" w:rsidP="0045179B">
            <w:pPr>
              <w:rPr>
                <w:rFonts w:ascii="Arial" w:hAnsi="Arial" w:cs="Arial"/>
                <w:sz w:val="16"/>
                <w:szCs w:val="16"/>
                <w:lang w:val="en-US"/>
              </w:rPr>
            </w:pPr>
            <w:r w:rsidRPr="009B5DD3">
              <w:rPr>
                <w:rFonts w:ascii="Arial" w:hAnsi="Arial" w:cs="Arial"/>
                <w:sz w:val="16"/>
                <w:szCs w:val="16"/>
                <w:lang w:val="en-US"/>
              </w:rPr>
              <w:t xml:space="preserve">A </w:t>
            </w:r>
            <m:oMath>
              <m:r>
                <w:rPr>
                  <w:rFonts w:ascii="Cambria Math" w:hAnsi="Cambria Math" w:cs="Arial"/>
                  <w:sz w:val="16"/>
                  <w:szCs w:val="16"/>
                </w:rPr>
                <m:t>C</m:t>
              </m:r>
              <m:sSub>
                <m:sSubPr>
                  <m:ctrlPr>
                    <w:rPr>
                      <w:rFonts w:ascii="Cambria Math" w:hAnsi="Cambria Math" w:cs="Arial"/>
                      <w:i/>
                      <w:sz w:val="16"/>
                      <w:szCs w:val="16"/>
                    </w:rPr>
                  </m:ctrlPr>
                </m:sSubPr>
                <m:e>
                  <m:r>
                    <w:rPr>
                      <w:rFonts w:ascii="Cambria Math" w:hAnsi="Cambria Math" w:cs="Arial"/>
                      <w:sz w:val="16"/>
                      <w:szCs w:val="16"/>
                    </w:rPr>
                    <m:t>W</m:t>
                  </m:r>
                </m:e>
                <m:sub>
                  <m:r>
                    <w:rPr>
                      <w:rFonts w:ascii="Cambria Math" w:hAnsi="Cambria Math" w:cs="Arial"/>
                      <w:sz w:val="16"/>
                      <w:szCs w:val="16"/>
                    </w:rPr>
                    <m:t>p</m:t>
                  </m:r>
                </m:sub>
              </m:sSub>
            </m:oMath>
            <w:r w:rsidRPr="009B5DD3">
              <w:rPr>
                <w:rFonts w:ascii="Arial" w:hAnsi="Arial" w:cs="Arial"/>
                <w:sz w:val="16"/>
                <w:szCs w:val="16"/>
                <w:lang w:val="en-US"/>
              </w:rPr>
              <w:t xml:space="preserve"> value is maintained independently for each channel </w:t>
            </w:r>
            <m:oMath>
              <m:sSub>
                <m:sSubPr>
                  <m:ctrlPr>
                    <w:rPr>
                      <w:rFonts w:ascii="Cambria Math" w:hAnsi="Cambria Math" w:cs="Arial"/>
                      <w:i/>
                      <w:sz w:val="16"/>
                      <w:szCs w:val="16"/>
                    </w:rPr>
                  </m:ctrlPr>
                </m:sSubPr>
                <m:e>
                  <m:r>
                    <w:rPr>
                      <w:rFonts w:ascii="Cambria Math" w:hAnsi="Cambria Math" w:cs="Arial"/>
                      <w:sz w:val="16"/>
                      <w:szCs w:val="16"/>
                    </w:rPr>
                    <m:t>c</m:t>
                  </m:r>
                </m:e>
                <m:sub>
                  <m:r>
                    <w:rPr>
                      <w:rFonts w:ascii="Cambria Math" w:hAnsi="Cambria Math" w:cs="Arial"/>
                      <w:sz w:val="16"/>
                      <w:szCs w:val="16"/>
                    </w:rPr>
                    <m:t>i</m:t>
                  </m:r>
                </m:sub>
              </m:sSub>
              <m:r>
                <w:rPr>
                  <w:rFonts w:ascii="Cambria Math" w:hAnsi="Cambria Math" w:cs="Arial"/>
                  <w:sz w:val="16"/>
                  <w:szCs w:val="16"/>
                  <w:lang w:val="en-US"/>
                </w:rPr>
                <m:t>∈</m:t>
              </m:r>
              <m:r>
                <w:rPr>
                  <w:rFonts w:ascii="Cambria Math" w:hAnsi="Cambria Math" w:cs="Arial"/>
                  <w:sz w:val="16"/>
                  <w:szCs w:val="16"/>
                </w:rPr>
                <m:t>C</m:t>
              </m:r>
            </m:oMath>
            <w:r w:rsidRPr="009B5DD3">
              <w:rPr>
                <w:rFonts w:ascii="Arial" w:hAnsi="Arial" w:cs="Arial"/>
                <w:sz w:val="16"/>
                <w:szCs w:val="16"/>
                <w:lang w:val="en-US"/>
              </w:rPr>
              <w:t xml:space="preserve"> using the procedure described in clause 4.5.4.</w:t>
            </w:r>
          </w:p>
          <w:p w14:paraId="7FB973E7" w14:textId="388C5BBD" w:rsidR="0045179B" w:rsidRPr="009B5DD3" w:rsidDel="00897744" w:rsidRDefault="0045179B" w:rsidP="0045179B">
            <w:pPr>
              <w:rPr>
                <w:del w:id="347" w:author="Kevin Lin" w:date="2023-11-16T18:02:00Z"/>
                <w:rFonts w:ascii="Arial" w:hAnsi="Arial" w:cs="Arial"/>
                <w:sz w:val="16"/>
                <w:szCs w:val="16"/>
                <w:lang w:val="en-US"/>
              </w:rPr>
            </w:pPr>
            <w:del w:id="348" w:author="Kevin Lin" w:date="2023-11-16T18:02:00Z">
              <w:r w:rsidRPr="009B5DD3" w:rsidDel="00897744">
                <w:rPr>
                  <w:rFonts w:ascii="Arial" w:hAnsi="Arial" w:cs="Arial"/>
                  <w:sz w:val="16"/>
                  <w:szCs w:val="16"/>
                  <w:lang w:val="en-US"/>
                </w:rPr>
                <w:delText xml:space="preserve">[For determining </w:delText>
              </w:r>
            </w:del>
            <m:oMath>
              <m:r>
                <w:del w:id="349" w:author="Kevin Lin" w:date="2023-11-16T18:02:00Z">
                  <w:rPr>
                    <w:rFonts w:ascii="Cambria Math" w:hAnsi="Cambria Math" w:cs="Arial"/>
                    <w:sz w:val="16"/>
                    <w:szCs w:val="16"/>
                  </w:rPr>
                  <m:t>C</m:t>
                </w:del>
              </m:r>
              <m:sSub>
                <m:sSubPr>
                  <m:ctrlPr>
                    <w:del w:id="350" w:author="Kevin Lin" w:date="2023-11-16T18:02:00Z">
                      <w:rPr>
                        <w:rFonts w:ascii="Cambria Math" w:hAnsi="Cambria Math" w:cs="Arial"/>
                        <w:i/>
                        <w:sz w:val="16"/>
                        <w:szCs w:val="16"/>
                      </w:rPr>
                    </w:del>
                  </m:ctrlPr>
                </m:sSubPr>
                <m:e>
                  <m:r>
                    <w:del w:id="351" w:author="Kevin Lin" w:date="2023-11-16T18:02:00Z">
                      <w:rPr>
                        <w:rFonts w:ascii="Cambria Math" w:hAnsi="Cambria Math" w:cs="Arial"/>
                        <w:sz w:val="16"/>
                        <w:szCs w:val="16"/>
                      </w:rPr>
                      <m:t>W</m:t>
                    </w:del>
                  </m:r>
                </m:e>
                <m:sub>
                  <m:r>
                    <w:del w:id="352" w:author="Kevin Lin" w:date="2023-11-16T18:02:00Z">
                      <w:rPr>
                        <w:rFonts w:ascii="Cambria Math" w:hAnsi="Cambria Math" w:cs="Arial"/>
                        <w:sz w:val="16"/>
                        <w:szCs w:val="16"/>
                      </w:rPr>
                      <m:t>p</m:t>
                    </w:del>
                  </m:r>
                </m:sub>
              </m:sSub>
            </m:oMath>
            <w:del w:id="353" w:author="Kevin Lin" w:date="2023-11-16T18:02:00Z">
              <w:r w:rsidRPr="009B5DD3" w:rsidDel="00897744">
                <w:rPr>
                  <w:rFonts w:ascii="Arial" w:hAnsi="Arial" w:cs="Arial"/>
                  <w:sz w:val="16"/>
                  <w:szCs w:val="16"/>
                </w:rPr>
                <w:delText xml:space="preserve"> for channel </w:delText>
              </w:r>
            </w:del>
            <m:oMath>
              <m:sSub>
                <m:sSubPr>
                  <m:ctrlPr>
                    <w:del w:id="354" w:author="Kevin Lin" w:date="2023-11-16T18:02:00Z">
                      <w:rPr>
                        <w:rFonts w:ascii="Cambria Math" w:hAnsi="Cambria Math" w:cs="Arial"/>
                        <w:i/>
                        <w:sz w:val="16"/>
                        <w:szCs w:val="16"/>
                      </w:rPr>
                    </w:del>
                  </m:ctrlPr>
                </m:sSubPr>
                <m:e>
                  <m:r>
                    <w:del w:id="355" w:author="Kevin Lin" w:date="2023-11-16T18:02:00Z">
                      <w:rPr>
                        <w:rFonts w:ascii="Cambria Math" w:hAnsi="Cambria Math" w:cs="Arial"/>
                        <w:sz w:val="16"/>
                        <w:szCs w:val="16"/>
                      </w:rPr>
                      <m:t>c</m:t>
                    </w:del>
                  </m:r>
                </m:e>
                <m:sub>
                  <m:r>
                    <w:del w:id="356" w:author="Kevin Lin" w:date="2023-11-16T18:02:00Z">
                      <w:rPr>
                        <w:rFonts w:ascii="Cambria Math" w:hAnsi="Cambria Math" w:cs="Arial"/>
                        <w:sz w:val="16"/>
                        <w:szCs w:val="16"/>
                      </w:rPr>
                      <m:t>i</m:t>
                    </w:del>
                  </m:r>
                </m:sub>
              </m:sSub>
            </m:oMath>
            <w:del w:id="357" w:author="Kevin Lin" w:date="2023-11-16T18:02:00Z">
              <w:r w:rsidRPr="009B5DD3" w:rsidDel="00897744">
                <w:rPr>
                  <w:rFonts w:ascii="Arial" w:hAnsi="Arial" w:cs="Arial"/>
                  <w:sz w:val="16"/>
                  <w:szCs w:val="16"/>
                </w:rPr>
                <w:delText xml:space="preserve">, any PSSCH that fully or partially overlaps with any channel </w:delText>
              </w:r>
            </w:del>
            <m:oMath>
              <m:sSub>
                <m:sSubPr>
                  <m:ctrlPr>
                    <w:del w:id="358" w:author="Kevin Lin" w:date="2023-11-16T18:02:00Z">
                      <w:rPr>
                        <w:rFonts w:ascii="Cambria Math" w:hAnsi="Cambria Math" w:cs="Arial"/>
                        <w:i/>
                        <w:sz w:val="16"/>
                        <w:szCs w:val="16"/>
                      </w:rPr>
                    </w:del>
                  </m:ctrlPr>
                </m:sSubPr>
                <m:e>
                  <m:r>
                    <w:del w:id="359" w:author="Kevin Lin" w:date="2023-11-16T18:02:00Z">
                      <w:rPr>
                        <w:rFonts w:ascii="Cambria Math" w:hAnsi="Cambria Math" w:cs="Arial"/>
                        <w:sz w:val="16"/>
                        <w:szCs w:val="16"/>
                      </w:rPr>
                      <m:t>c</m:t>
                    </w:del>
                  </m:r>
                </m:e>
                <m:sub>
                  <m:r>
                    <w:del w:id="360" w:author="Kevin Lin" w:date="2023-11-16T18:02:00Z">
                      <w:rPr>
                        <w:rFonts w:ascii="Cambria Math" w:hAnsi="Cambria Math" w:cs="Arial"/>
                        <w:sz w:val="16"/>
                        <w:szCs w:val="16"/>
                      </w:rPr>
                      <m:t>i</m:t>
                    </w:del>
                  </m:r>
                </m:sub>
              </m:sSub>
              <m:r>
                <w:del w:id="361" w:author="Kevin Lin" w:date="2023-11-16T18:02:00Z">
                  <w:rPr>
                    <w:rFonts w:ascii="Cambria Math" w:hAnsi="Cambria Math" w:cs="Arial"/>
                    <w:sz w:val="16"/>
                    <w:szCs w:val="16"/>
                    <w:lang w:val="en-US"/>
                  </w:rPr>
                  <m:t>∈</m:t>
                </w:del>
              </m:r>
              <m:r>
                <w:del w:id="362" w:author="Kevin Lin" w:date="2023-11-16T18:02:00Z">
                  <w:rPr>
                    <w:rFonts w:ascii="Cambria Math" w:hAnsi="Cambria Math" w:cs="Arial"/>
                    <w:sz w:val="16"/>
                    <w:szCs w:val="16"/>
                  </w:rPr>
                  <m:t>C</m:t>
                </w:del>
              </m:r>
            </m:oMath>
            <w:del w:id="363" w:author="Kevin Lin" w:date="2023-11-16T18:02:00Z">
              <w:r w:rsidRPr="009B5DD3" w:rsidDel="00897744">
                <w:rPr>
                  <w:rFonts w:ascii="Arial" w:hAnsi="Arial" w:cs="Arial"/>
                  <w:sz w:val="16"/>
                  <w:szCs w:val="16"/>
                </w:rPr>
                <w:delText>, is used in the procedures described in clause 4.5.4.]</w:delText>
              </w:r>
            </w:del>
          </w:p>
          <w:p w14:paraId="08A07336" w14:textId="5F89A3B1" w:rsidR="0045179B" w:rsidRPr="009B5DD3" w:rsidRDefault="0045179B" w:rsidP="0045179B">
            <w:pPr>
              <w:rPr>
                <w:rFonts w:ascii="Arial" w:hAnsi="Arial" w:cs="Arial"/>
                <w:sz w:val="16"/>
                <w:szCs w:val="16"/>
                <w:lang w:val="en-US"/>
              </w:rPr>
            </w:pPr>
            <w:r w:rsidRPr="009B5DD3">
              <w:rPr>
                <w:rFonts w:ascii="Arial" w:hAnsi="Arial" w:cs="Arial"/>
                <w:sz w:val="16"/>
                <w:szCs w:val="16"/>
                <w:lang w:val="en-US"/>
              </w:rPr>
              <w:t xml:space="preserve">For determining </w:t>
            </w:r>
            <m:oMath>
              <m:sSub>
                <m:sSubPr>
                  <m:ctrlPr>
                    <w:rPr>
                      <w:rFonts w:ascii="Cambria Math" w:hAnsi="Cambria Math" w:cs="Arial"/>
                      <w:i/>
                      <w:sz w:val="16"/>
                      <w:szCs w:val="16"/>
                    </w:rPr>
                  </m:ctrlPr>
                </m:sSubPr>
                <m:e>
                  <m:r>
                    <w:rPr>
                      <w:rFonts w:ascii="Cambria Math" w:hAnsi="Cambria Math" w:cs="Arial"/>
                      <w:sz w:val="16"/>
                      <w:szCs w:val="16"/>
                    </w:rPr>
                    <m:t>N</m:t>
                  </m:r>
                </m:e>
                <m:sub>
                  <m:r>
                    <w:rPr>
                      <w:rFonts w:ascii="Cambria Math" w:hAnsi="Cambria Math" w:cs="Arial"/>
                      <w:sz w:val="16"/>
                      <w:szCs w:val="16"/>
                    </w:rPr>
                    <m:t>init</m:t>
                  </m:r>
                </m:sub>
              </m:sSub>
            </m:oMath>
            <w:r w:rsidRPr="009B5DD3">
              <w:rPr>
                <w:rFonts w:ascii="Arial" w:hAnsi="Arial" w:cs="Arial"/>
                <w:sz w:val="16"/>
                <w:szCs w:val="16"/>
                <w:lang w:val="en-US"/>
              </w:rPr>
              <w:t xml:space="preserve"> for channel </w:t>
            </w:r>
            <m:oMath>
              <m:sSub>
                <m:sSubPr>
                  <m:ctrlPr>
                    <w:rPr>
                      <w:rFonts w:ascii="Cambria Math" w:hAnsi="Cambria Math" w:cs="Arial"/>
                      <w:i/>
                      <w:sz w:val="16"/>
                      <w:szCs w:val="16"/>
                    </w:rPr>
                  </m:ctrlPr>
                </m:sSubPr>
                <m:e>
                  <m:r>
                    <w:rPr>
                      <w:rFonts w:ascii="Cambria Math" w:hAnsi="Cambria Math" w:cs="Arial"/>
                      <w:sz w:val="16"/>
                      <w:szCs w:val="16"/>
                    </w:rPr>
                    <m:t>c</m:t>
                  </m:r>
                </m:e>
                <m:sub>
                  <m:r>
                    <w:rPr>
                      <w:rFonts w:ascii="Cambria Math" w:hAnsi="Cambria Math" w:cs="Arial"/>
                      <w:sz w:val="16"/>
                      <w:szCs w:val="16"/>
                    </w:rPr>
                    <m:t>j</m:t>
                  </m:r>
                </m:sub>
              </m:sSub>
            </m:oMath>
            <w:r w:rsidRPr="009B5DD3">
              <w:rPr>
                <w:rFonts w:ascii="Arial" w:hAnsi="Arial" w:cs="Arial"/>
                <w:sz w:val="16"/>
                <w:szCs w:val="16"/>
                <w:lang w:val="en-US"/>
              </w:rPr>
              <w:t xml:space="preserve">, </w:t>
            </w:r>
            <m:oMath>
              <m:r>
                <w:rPr>
                  <w:rFonts w:ascii="Cambria Math" w:hAnsi="Cambria Math" w:cs="Arial"/>
                  <w:sz w:val="16"/>
                  <w:szCs w:val="16"/>
                </w:rPr>
                <m:t>C</m:t>
              </m:r>
              <m:sSub>
                <m:sSubPr>
                  <m:ctrlPr>
                    <w:rPr>
                      <w:rFonts w:ascii="Cambria Math" w:hAnsi="Cambria Math" w:cs="Arial"/>
                      <w:i/>
                      <w:sz w:val="16"/>
                      <w:szCs w:val="16"/>
                    </w:rPr>
                  </m:ctrlPr>
                </m:sSubPr>
                <m:e>
                  <m:r>
                    <w:rPr>
                      <w:rFonts w:ascii="Cambria Math" w:hAnsi="Cambria Math" w:cs="Arial"/>
                      <w:sz w:val="16"/>
                      <w:szCs w:val="16"/>
                    </w:rPr>
                    <m:t>W</m:t>
                  </m:r>
                </m:e>
                <m:sub>
                  <m:r>
                    <w:rPr>
                      <w:rFonts w:ascii="Cambria Math" w:hAnsi="Cambria Math" w:cs="Arial"/>
                      <w:sz w:val="16"/>
                      <w:szCs w:val="16"/>
                    </w:rPr>
                    <m:t>p</m:t>
                  </m:r>
                </m:sub>
              </m:sSub>
            </m:oMath>
            <w:r w:rsidRPr="009B5DD3">
              <w:rPr>
                <w:rFonts w:ascii="Arial" w:hAnsi="Arial" w:cs="Arial"/>
                <w:sz w:val="16"/>
                <w:szCs w:val="16"/>
                <w:lang w:val="en-US"/>
              </w:rPr>
              <w:t xml:space="preserve"> value of channel </w:t>
            </w:r>
            <m:oMath>
              <m:sSub>
                <m:sSubPr>
                  <m:ctrlPr>
                    <w:rPr>
                      <w:rFonts w:ascii="Cambria Math" w:hAnsi="Cambria Math" w:cs="Arial"/>
                      <w:i/>
                      <w:sz w:val="16"/>
                      <w:szCs w:val="16"/>
                    </w:rPr>
                  </m:ctrlPr>
                </m:sSubPr>
                <m:e>
                  <m:r>
                    <w:rPr>
                      <w:rFonts w:ascii="Cambria Math" w:hAnsi="Cambria Math" w:cs="Arial"/>
                      <w:sz w:val="16"/>
                      <w:szCs w:val="16"/>
                    </w:rPr>
                    <m:t>c</m:t>
                  </m:r>
                </m:e>
                <m:sub>
                  <m:r>
                    <w:rPr>
                      <w:rFonts w:ascii="Cambria Math" w:hAnsi="Cambria Math" w:cs="Arial"/>
                      <w:sz w:val="16"/>
                      <w:szCs w:val="16"/>
                    </w:rPr>
                    <m:t>j</m:t>
                  </m:r>
                  <m:r>
                    <w:rPr>
                      <w:rFonts w:ascii="Cambria Math" w:hAnsi="Cambria Math" w:cs="Arial"/>
                      <w:sz w:val="16"/>
                      <w:szCs w:val="16"/>
                      <w:lang w:val="en-US"/>
                    </w:rPr>
                    <m:t>1</m:t>
                  </m:r>
                </m:sub>
              </m:sSub>
              <m:r>
                <w:rPr>
                  <w:rFonts w:ascii="Cambria Math" w:hAnsi="Cambria Math" w:cs="Arial"/>
                  <w:sz w:val="16"/>
                  <w:szCs w:val="16"/>
                  <w:lang w:val="en-US"/>
                </w:rPr>
                <m:t>∈</m:t>
              </m:r>
              <m:r>
                <w:rPr>
                  <w:rFonts w:ascii="Cambria Math" w:hAnsi="Cambria Math" w:cs="Arial"/>
                  <w:sz w:val="16"/>
                  <w:szCs w:val="16"/>
                </w:rPr>
                <m:t>C</m:t>
              </m:r>
            </m:oMath>
            <w:r w:rsidRPr="009B5DD3">
              <w:rPr>
                <w:rFonts w:ascii="Arial" w:hAnsi="Arial" w:cs="Arial"/>
                <w:sz w:val="16"/>
                <w:szCs w:val="16"/>
                <w:lang w:val="en-US"/>
              </w:rPr>
              <w:t xml:space="preserve"> is used, where </w:t>
            </w:r>
            <m:oMath>
              <m:sSub>
                <m:sSubPr>
                  <m:ctrlPr>
                    <w:rPr>
                      <w:rFonts w:ascii="Cambria Math" w:hAnsi="Cambria Math" w:cs="Arial"/>
                      <w:i/>
                      <w:sz w:val="16"/>
                      <w:szCs w:val="16"/>
                    </w:rPr>
                  </m:ctrlPr>
                </m:sSubPr>
                <m:e>
                  <m:r>
                    <w:rPr>
                      <w:rFonts w:ascii="Cambria Math" w:hAnsi="Cambria Math" w:cs="Arial"/>
                      <w:sz w:val="16"/>
                      <w:szCs w:val="16"/>
                    </w:rPr>
                    <m:t>c</m:t>
                  </m:r>
                </m:e>
                <m:sub>
                  <m:r>
                    <w:rPr>
                      <w:rFonts w:ascii="Cambria Math" w:hAnsi="Cambria Math" w:cs="Arial"/>
                      <w:sz w:val="16"/>
                      <w:szCs w:val="16"/>
                    </w:rPr>
                    <m:t>j</m:t>
                  </m:r>
                  <m:r>
                    <w:rPr>
                      <w:rFonts w:ascii="Cambria Math" w:hAnsi="Cambria Math" w:cs="Arial"/>
                      <w:sz w:val="16"/>
                      <w:szCs w:val="16"/>
                      <w:lang w:val="en-US"/>
                    </w:rPr>
                    <m:t>1</m:t>
                  </m:r>
                </m:sub>
              </m:sSub>
            </m:oMath>
            <w:r w:rsidRPr="009B5DD3">
              <w:rPr>
                <w:rFonts w:ascii="Arial" w:hAnsi="Arial" w:cs="Arial"/>
                <w:sz w:val="16"/>
                <w:szCs w:val="16"/>
                <w:lang w:val="en-US"/>
              </w:rPr>
              <w:t xml:space="preserve"> is the channel with largest </w:t>
            </w:r>
            <m:oMath>
              <m:r>
                <w:rPr>
                  <w:rFonts w:ascii="Cambria Math" w:hAnsi="Cambria Math" w:cs="Arial"/>
                  <w:sz w:val="16"/>
                  <w:szCs w:val="16"/>
                </w:rPr>
                <m:t>C</m:t>
              </m:r>
              <m:sSub>
                <m:sSubPr>
                  <m:ctrlPr>
                    <w:rPr>
                      <w:rFonts w:ascii="Cambria Math" w:hAnsi="Cambria Math" w:cs="Arial"/>
                      <w:i/>
                      <w:sz w:val="16"/>
                      <w:szCs w:val="16"/>
                    </w:rPr>
                  </m:ctrlPr>
                </m:sSubPr>
                <m:e>
                  <m:r>
                    <w:rPr>
                      <w:rFonts w:ascii="Cambria Math" w:hAnsi="Cambria Math" w:cs="Arial"/>
                      <w:sz w:val="16"/>
                      <w:szCs w:val="16"/>
                    </w:rPr>
                    <m:t>W</m:t>
                  </m:r>
                </m:e>
                <m:sub>
                  <m:r>
                    <w:rPr>
                      <w:rFonts w:ascii="Cambria Math" w:hAnsi="Cambria Math" w:cs="Arial"/>
                      <w:sz w:val="16"/>
                      <w:szCs w:val="16"/>
                    </w:rPr>
                    <m:t>p</m:t>
                  </m:r>
                </m:sub>
              </m:sSub>
            </m:oMath>
            <w:r w:rsidRPr="009B5DD3">
              <w:rPr>
                <w:rFonts w:ascii="Arial" w:hAnsi="Arial" w:cs="Arial"/>
                <w:sz w:val="16"/>
                <w:szCs w:val="16"/>
                <w:lang w:val="en-US"/>
              </w:rPr>
              <w:t xml:space="preserve"> among all </w:t>
            </w:r>
            <w:r w:rsidRPr="009B5DD3">
              <w:rPr>
                <w:rFonts w:ascii="Arial" w:hAnsi="Arial" w:cs="Arial"/>
                <w:sz w:val="16"/>
                <w:szCs w:val="16"/>
                <w:lang w:val="en-US" w:eastAsia="x-none"/>
              </w:rPr>
              <w:t>channel</w:t>
            </w:r>
            <w:r w:rsidRPr="009B5DD3">
              <w:rPr>
                <w:rFonts w:ascii="Arial" w:hAnsi="Arial" w:cs="Arial"/>
                <w:sz w:val="16"/>
                <w:szCs w:val="16"/>
                <w:lang w:val="en-US"/>
              </w:rPr>
              <w:t xml:space="preserve">s in set </w:t>
            </w:r>
            <m:oMath>
              <m:r>
                <w:rPr>
                  <w:rFonts w:ascii="Cambria Math" w:hAnsi="Cambria Math" w:cs="Arial"/>
                  <w:sz w:val="16"/>
                  <w:szCs w:val="16"/>
                </w:rPr>
                <m:t>C</m:t>
              </m:r>
            </m:oMath>
            <w:r w:rsidRPr="009B5DD3">
              <w:rPr>
                <w:rFonts w:ascii="Arial" w:hAnsi="Arial" w:cs="Arial"/>
                <w:sz w:val="16"/>
                <w:szCs w:val="16"/>
                <w:lang w:val="en-US"/>
              </w:rPr>
              <w:t>.</w:t>
            </w:r>
          </w:p>
          <w:p w14:paraId="0E708FB3" w14:textId="77777777" w:rsidR="0045179B" w:rsidRPr="009B5DD3" w:rsidRDefault="0045179B" w:rsidP="0045179B">
            <w:pPr>
              <w:overflowPunct w:val="0"/>
              <w:autoSpaceDE w:val="0"/>
              <w:autoSpaceDN w:val="0"/>
              <w:adjustRightInd w:val="0"/>
              <w:jc w:val="center"/>
              <w:textAlignment w:val="baseline"/>
              <w:rPr>
                <w:rFonts w:ascii="Arial" w:eastAsia="SimSun" w:hAnsi="Arial" w:cs="Arial"/>
                <w:b/>
                <w:bCs/>
                <w:color w:val="FF0000"/>
                <w:sz w:val="16"/>
                <w:szCs w:val="16"/>
              </w:rPr>
            </w:pPr>
            <w:r w:rsidRPr="009B5DD3">
              <w:rPr>
                <w:rFonts w:ascii="Arial" w:eastAsia="SimSun" w:hAnsi="Arial" w:cs="Arial"/>
                <w:b/>
                <w:bCs/>
                <w:color w:val="FF0000"/>
                <w:sz w:val="16"/>
                <w:szCs w:val="16"/>
              </w:rPr>
              <w:t>&lt;End of text proposal&gt;</w:t>
            </w:r>
          </w:p>
        </w:tc>
      </w:tr>
    </w:tbl>
    <w:p w14:paraId="772DBD37" w14:textId="3B9E74E5" w:rsidR="0045179B" w:rsidRPr="0045179B" w:rsidRDefault="0045179B" w:rsidP="00663974"/>
    <w:tbl>
      <w:tblPr>
        <w:tblW w:w="5000" w:type="pct"/>
        <w:tblCellMar>
          <w:left w:w="42" w:type="dxa"/>
          <w:right w:w="42" w:type="dxa"/>
        </w:tblCellMar>
        <w:tblLook w:val="04A0" w:firstRow="1" w:lastRow="0" w:firstColumn="1" w:lastColumn="0" w:noHBand="0" w:noVBand="1"/>
      </w:tblPr>
      <w:tblGrid>
        <w:gridCol w:w="2515"/>
        <w:gridCol w:w="8036"/>
      </w:tblGrid>
      <w:tr w:rsidR="0045179B" w:rsidRPr="0045179B" w14:paraId="3E647838" w14:textId="77777777" w:rsidTr="00663974">
        <w:tc>
          <w:tcPr>
            <w:tcW w:w="1192" w:type="pct"/>
            <w:tcBorders>
              <w:top w:val="single" w:sz="4" w:space="0" w:color="auto"/>
              <w:left w:val="single" w:sz="4" w:space="0" w:color="auto"/>
            </w:tcBorders>
          </w:tcPr>
          <w:p w14:paraId="30C0CF95" w14:textId="77777777" w:rsidR="0045179B" w:rsidRPr="0045179B" w:rsidRDefault="0045179B" w:rsidP="0045179B">
            <w:pPr>
              <w:tabs>
                <w:tab w:val="right" w:pos="2184"/>
              </w:tabs>
              <w:spacing w:line="259" w:lineRule="auto"/>
              <w:rPr>
                <w:rFonts w:ascii="Arial" w:eastAsia="Times New Roman" w:hAnsi="Arial"/>
                <w:b/>
                <w:i/>
                <w:sz w:val="16"/>
                <w:szCs w:val="16"/>
              </w:rPr>
            </w:pPr>
            <w:r w:rsidRPr="0045179B">
              <w:rPr>
                <w:rFonts w:ascii="Arial" w:eastAsia="Times New Roman" w:hAnsi="Arial"/>
                <w:b/>
                <w:i/>
                <w:sz w:val="16"/>
                <w:szCs w:val="16"/>
              </w:rPr>
              <w:t>Reason for change:</w:t>
            </w:r>
          </w:p>
        </w:tc>
        <w:tc>
          <w:tcPr>
            <w:tcW w:w="3808" w:type="pct"/>
            <w:tcBorders>
              <w:top w:val="single" w:sz="4" w:space="0" w:color="auto"/>
              <w:right w:val="single" w:sz="4" w:space="0" w:color="auto"/>
            </w:tcBorders>
            <w:shd w:val="pct30" w:color="FFFF00" w:fill="auto"/>
          </w:tcPr>
          <w:p w14:paraId="6FE8507B" w14:textId="77777777" w:rsidR="0045179B" w:rsidRPr="0045179B" w:rsidRDefault="0045179B" w:rsidP="0045179B">
            <w:pPr>
              <w:spacing w:line="259" w:lineRule="auto"/>
              <w:ind w:left="100"/>
              <w:rPr>
                <w:rFonts w:ascii="Arial" w:eastAsia="Times New Roman" w:hAnsi="Arial"/>
                <w:sz w:val="16"/>
                <w:szCs w:val="16"/>
              </w:rPr>
            </w:pPr>
            <w:r w:rsidRPr="0045179B">
              <w:rPr>
                <w:rFonts w:ascii="Arial" w:eastAsia="Times New Roman" w:hAnsi="Arial"/>
                <w:sz w:val="16"/>
                <w:szCs w:val="16"/>
              </w:rPr>
              <w:t xml:space="preserve">Currently, the Type A and Type B multi-channel procedures are supported only for PSFCH transmissions, but not for other SL channels and signals. And the initiated channel occupancy cannot be used for any subsequent SL transmissions. </w:t>
            </w:r>
          </w:p>
        </w:tc>
      </w:tr>
      <w:tr w:rsidR="0045179B" w:rsidRPr="0045179B" w14:paraId="0162FFC6" w14:textId="77777777" w:rsidTr="00663974">
        <w:tc>
          <w:tcPr>
            <w:tcW w:w="1192" w:type="pct"/>
            <w:tcBorders>
              <w:left w:val="single" w:sz="4" w:space="0" w:color="auto"/>
            </w:tcBorders>
          </w:tcPr>
          <w:p w14:paraId="2F64C7CC" w14:textId="77777777" w:rsidR="0045179B" w:rsidRPr="0045179B" w:rsidRDefault="0045179B" w:rsidP="0045179B">
            <w:pPr>
              <w:spacing w:line="259" w:lineRule="auto"/>
              <w:rPr>
                <w:rFonts w:ascii="Arial" w:eastAsia="Times New Roman" w:hAnsi="Arial"/>
                <w:b/>
                <w:i/>
                <w:sz w:val="16"/>
                <w:szCs w:val="16"/>
              </w:rPr>
            </w:pPr>
          </w:p>
        </w:tc>
        <w:tc>
          <w:tcPr>
            <w:tcW w:w="3808" w:type="pct"/>
            <w:tcBorders>
              <w:right w:val="single" w:sz="4" w:space="0" w:color="auto"/>
            </w:tcBorders>
          </w:tcPr>
          <w:p w14:paraId="4851B394" w14:textId="77777777" w:rsidR="0045179B" w:rsidRPr="0045179B" w:rsidRDefault="0045179B" w:rsidP="0045179B">
            <w:pPr>
              <w:spacing w:line="259" w:lineRule="auto"/>
              <w:rPr>
                <w:rFonts w:ascii="Arial" w:eastAsia="Times New Roman" w:hAnsi="Arial"/>
                <w:sz w:val="16"/>
                <w:szCs w:val="16"/>
              </w:rPr>
            </w:pPr>
          </w:p>
        </w:tc>
      </w:tr>
      <w:tr w:rsidR="0045179B" w:rsidRPr="0045179B" w14:paraId="01409FF3" w14:textId="77777777" w:rsidTr="00663974">
        <w:tc>
          <w:tcPr>
            <w:tcW w:w="1192" w:type="pct"/>
            <w:tcBorders>
              <w:left w:val="single" w:sz="4" w:space="0" w:color="auto"/>
            </w:tcBorders>
          </w:tcPr>
          <w:p w14:paraId="4DFAFB96" w14:textId="77777777" w:rsidR="0045179B" w:rsidRPr="0045179B" w:rsidRDefault="0045179B" w:rsidP="0045179B">
            <w:pPr>
              <w:tabs>
                <w:tab w:val="right" w:pos="2184"/>
              </w:tabs>
              <w:spacing w:line="259" w:lineRule="auto"/>
              <w:rPr>
                <w:rFonts w:ascii="Arial" w:eastAsia="Times New Roman" w:hAnsi="Arial"/>
                <w:b/>
                <w:i/>
                <w:sz w:val="16"/>
                <w:szCs w:val="16"/>
              </w:rPr>
            </w:pPr>
            <w:r w:rsidRPr="0045179B">
              <w:rPr>
                <w:rFonts w:ascii="Arial" w:eastAsia="Times New Roman" w:hAnsi="Arial"/>
                <w:b/>
                <w:i/>
                <w:sz w:val="16"/>
                <w:szCs w:val="16"/>
              </w:rPr>
              <w:t>Summary of change:</w:t>
            </w:r>
          </w:p>
        </w:tc>
        <w:tc>
          <w:tcPr>
            <w:tcW w:w="3808" w:type="pct"/>
            <w:tcBorders>
              <w:right w:val="single" w:sz="4" w:space="0" w:color="auto"/>
            </w:tcBorders>
            <w:shd w:val="pct30" w:color="FFFF00" w:fill="auto"/>
          </w:tcPr>
          <w:p w14:paraId="30928D39" w14:textId="77777777" w:rsidR="0045179B" w:rsidRPr="0045179B" w:rsidRDefault="0045179B" w:rsidP="0045179B">
            <w:pPr>
              <w:spacing w:line="259" w:lineRule="auto"/>
              <w:ind w:left="100"/>
              <w:rPr>
                <w:rFonts w:ascii="Arial" w:eastAsia="Times New Roman" w:hAnsi="Arial" w:cs="Arial"/>
                <w:sz w:val="16"/>
                <w:szCs w:val="16"/>
              </w:rPr>
            </w:pPr>
            <w:r w:rsidRPr="0045179B">
              <w:rPr>
                <w:rFonts w:ascii="Arial" w:eastAsia="Times New Roman" w:hAnsi="Arial" w:cs="Arial"/>
                <w:sz w:val="16"/>
                <w:szCs w:val="16"/>
              </w:rPr>
              <w:t>To enable the support for S-SSB transmissions using Type A and Type B multi-channel access procedures, and enabling the support for own subsequent PSFCH and S-SSB transmissions within the initiated channel occupancy.</w:t>
            </w:r>
          </w:p>
        </w:tc>
      </w:tr>
      <w:tr w:rsidR="0045179B" w:rsidRPr="0045179B" w14:paraId="2B73C153" w14:textId="77777777" w:rsidTr="00663974">
        <w:tc>
          <w:tcPr>
            <w:tcW w:w="1192" w:type="pct"/>
            <w:tcBorders>
              <w:left w:val="single" w:sz="4" w:space="0" w:color="auto"/>
            </w:tcBorders>
          </w:tcPr>
          <w:p w14:paraId="2744D165" w14:textId="77777777" w:rsidR="0045179B" w:rsidRPr="0045179B" w:rsidRDefault="0045179B" w:rsidP="0045179B">
            <w:pPr>
              <w:spacing w:line="259" w:lineRule="auto"/>
              <w:rPr>
                <w:rFonts w:ascii="Arial" w:eastAsia="Times New Roman" w:hAnsi="Arial"/>
                <w:b/>
                <w:i/>
                <w:sz w:val="16"/>
                <w:szCs w:val="16"/>
              </w:rPr>
            </w:pPr>
          </w:p>
        </w:tc>
        <w:tc>
          <w:tcPr>
            <w:tcW w:w="3808" w:type="pct"/>
            <w:tcBorders>
              <w:right w:val="single" w:sz="4" w:space="0" w:color="auto"/>
            </w:tcBorders>
          </w:tcPr>
          <w:p w14:paraId="1621D84D" w14:textId="77777777" w:rsidR="0045179B" w:rsidRPr="0045179B" w:rsidRDefault="0045179B" w:rsidP="0045179B">
            <w:pPr>
              <w:spacing w:line="259" w:lineRule="auto"/>
              <w:rPr>
                <w:rFonts w:ascii="Arial" w:eastAsia="Times New Roman" w:hAnsi="Arial"/>
                <w:sz w:val="16"/>
                <w:szCs w:val="16"/>
              </w:rPr>
            </w:pPr>
          </w:p>
        </w:tc>
      </w:tr>
      <w:tr w:rsidR="0045179B" w:rsidRPr="0045179B" w14:paraId="51BA46FC" w14:textId="77777777" w:rsidTr="00663974">
        <w:tc>
          <w:tcPr>
            <w:tcW w:w="1192" w:type="pct"/>
            <w:tcBorders>
              <w:left w:val="single" w:sz="4" w:space="0" w:color="auto"/>
              <w:bottom w:val="single" w:sz="4" w:space="0" w:color="auto"/>
            </w:tcBorders>
          </w:tcPr>
          <w:p w14:paraId="12CC69F4" w14:textId="77777777" w:rsidR="0045179B" w:rsidRPr="0045179B" w:rsidRDefault="0045179B" w:rsidP="0045179B">
            <w:pPr>
              <w:tabs>
                <w:tab w:val="right" w:pos="2184"/>
              </w:tabs>
              <w:spacing w:line="259" w:lineRule="auto"/>
              <w:rPr>
                <w:rFonts w:ascii="Arial" w:eastAsia="Times New Roman" w:hAnsi="Arial"/>
                <w:b/>
                <w:i/>
                <w:sz w:val="16"/>
                <w:szCs w:val="16"/>
              </w:rPr>
            </w:pPr>
            <w:r w:rsidRPr="0045179B">
              <w:rPr>
                <w:rFonts w:ascii="Arial" w:eastAsia="Times New Roman" w:hAnsi="Arial"/>
                <w:b/>
                <w:i/>
                <w:sz w:val="16"/>
                <w:szCs w:val="16"/>
              </w:rPr>
              <w:t>Consequences if not approved:</w:t>
            </w:r>
          </w:p>
        </w:tc>
        <w:tc>
          <w:tcPr>
            <w:tcW w:w="3808" w:type="pct"/>
            <w:tcBorders>
              <w:bottom w:val="single" w:sz="4" w:space="0" w:color="auto"/>
              <w:right w:val="single" w:sz="4" w:space="0" w:color="auto"/>
            </w:tcBorders>
            <w:shd w:val="pct30" w:color="FFFF00" w:fill="auto"/>
          </w:tcPr>
          <w:p w14:paraId="47097AD6" w14:textId="77777777" w:rsidR="0045179B" w:rsidRPr="0045179B" w:rsidRDefault="0045179B" w:rsidP="0045179B">
            <w:pPr>
              <w:spacing w:line="259" w:lineRule="auto"/>
              <w:ind w:left="100"/>
              <w:rPr>
                <w:rFonts w:ascii="Arial" w:eastAsia="Times New Roman" w:hAnsi="Arial"/>
                <w:sz w:val="16"/>
                <w:szCs w:val="16"/>
              </w:rPr>
            </w:pPr>
            <w:r w:rsidRPr="0045179B">
              <w:rPr>
                <w:rFonts w:ascii="Arial" w:eastAsia="Times New Roman" w:hAnsi="Arial"/>
                <w:sz w:val="16"/>
                <w:szCs w:val="16"/>
              </w:rPr>
              <w:t>Type A and Type B multi-channel procedures are not supported for S-SSB transmissions, and the initiated channel occupancy cannot be used for any subsequent SL transmissions.</w:t>
            </w:r>
          </w:p>
        </w:tc>
      </w:tr>
    </w:tbl>
    <w:p w14:paraId="6B374113" w14:textId="77777777" w:rsidR="0045179B" w:rsidRPr="0045179B" w:rsidRDefault="0045179B" w:rsidP="0045179B">
      <w:pPr>
        <w:rPr>
          <w:lang w:eastAsia="x-none"/>
        </w:rPr>
      </w:pPr>
    </w:p>
    <w:p w14:paraId="41C85DFA" w14:textId="77777777" w:rsidR="0045179B" w:rsidRPr="0045179B" w:rsidRDefault="0045179B" w:rsidP="0045179B">
      <w:pPr>
        <w:rPr>
          <w:lang w:eastAsia="x-none"/>
        </w:rPr>
      </w:pPr>
      <w:r w:rsidRPr="0045179B">
        <w:rPr>
          <w:highlight w:val="green"/>
          <w:lang w:eastAsia="x-none"/>
        </w:rPr>
        <w:t>Agreement</w:t>
      </w:r>
    </w:p>
    <w:p w14:paraId="3ECA2533" w14:textId="77777777" w:rsidR="0045179B" w:rsidRPr="0045179B" w:rsidRDefault="0045179B" w:rsidP="0045179B">
      <w:pPr>
        <w:rPr>
          <w:lang w:eastAsia="x-none"/>
        </w:rPr>
      </w:pPr>
      <w:r w:rsidRPr="0045179B">
        <w:rPr>
          <w:lang w:eastAsia="x-none"/>
        </w:rPr>
        <w:t>The TP below is endorsed for TS38.214</w:t>
      </w:r>
    </w:p>
    <w:p w14:paraId="1FE72ABB" w14:textId="77777777" w:rsidR="0045179B" w:rsidRPr="00663974" w:rsidRDefault="0045179B" w:rsidP="00663974">
      <w:pPr>
        <w:rPr>
          <w:color w:val="FF0000"/>
        </w:rPr>
      </w:pPr>
      <w:r w:rsidRPr="00663974">
        <w:rPr>
          <w:color w:val="FF0000"/>
        </w:rPr>
        <w:t>&lt; Start of text proposal &gt;</w:t>
      </w:r>
    </w:p>
    <w:p w14:paraId="025F0335" w14:textId="77777777" w:rsidR="0045179B" w:rsidRPr="0045179B" w:rsidRDefault="0045179B" w:rsidP="00663974">
      <w:pPr>
        <w:ind w:left="720"/>
        <w:jc w:val="both"/>
        <w:rPr>
          <w:rFonts w:ascii="Arial" w:eastAsia="Malgun Gothic" w:hAnsi="Arial" w:cs="Arial"/>
          <w:b/>
          <w:sz w:val="16"/>
          <w:szCs w:val="16"/>
        </w:rPr>
      </w:pPr>
      <w:r w:rsidRPr="0045179B">
        <w:rPr>
          <w:rFonts w:ascii="Arial" w:eastAsia="Malgun Gothic" w:hAnsi="Arial" w:cs="Arial"/>
          <w:b/>
          <w:sz w:val="16"/>
          <w:szCs w:val="16"/>
        </w:rPr>
        <w:lastRenderedPageBreak/>
        <w:t>8.1.4</w:t>
      </w:r>
      <w:r w:rsidRPr="0045179B">
        <w:rPr>
          <w:rFonts w:ascii="Arial" w:eastAsia="Malgun Gothic" w:hAnsi="Arial" w:cs="Arial"/>
          <w:b/>
          <w:sz w:val="16"/>
          <w:szCs w:val="16"/>
        </w:rPr>
        <w:tab/>
        <w:t>UE procedure for determining the subset of resources to be reported to higher layers in PSSCH resource selection in sidelink resource allocation mode 2</w:t>
      </w:r>
    </w:p>
    <w:p w14:paraId="120AAF5F" w14:textId="77777777" w:rsidR="0045179B" w:rsidRPr="0045179B" w:rsidRDefault="0045179B" w:rsidP="00663974">
      <w:pPr>
        <w:overflowPunct w:val="0"/>
        <w:autoSpaceDE w:val="0"/>
        <w:autoSpaceDN w:val="0"/>
        <w:adjustRightInd w:val="0"/>
        <w:ind w:left="720"/>
        <w:textAlignment w:val="baseline"/>
        <w:rPr>
          <w:rFonts w:ascii="Arial" w:hAnsi="Arial" w:cs="Arial"/>
          <w:sz w:val="16"/>
          <w:szCs w:val="16"/>
          <w:lang w:eastAsia="en-GB"/>
        </w:rPr>
      </w:pPr>
      <w:r w:rsidRPr="0045179B">
        <w:rPr>
          <w:rFonts w:ascii="Arial" w:hAnsi="Arial" w:cs="Arial"/>
          <w:sz w:val="16"/>
          <w:szCs w:val="16"/>
          <w:lang w:eastAsia="en-GB"/>
        </w:rPr>
        <w:t xml:space="preserve">In resource allocation mode 2, the higher layer can request the UE to determine a subset of resources from which the higher layer will select resources for PSSCH/PSCCH transmission. To trigger this procedure, in slot </w:t>
      </w:r>
      <w:r w:rsidRPr="0045179B">
        <w:rPr>
          <w:rFonts w:ascii="Arial" w:hAnsi="Arial" w:cs="Arial"/>
          <w:i/>
          <w:sz w:val="16"/>
          <w:szCs w:val="16"/>
          <w:lang w:eastAsia="en-GB"/>
        </w:rPr>
        <w:t>n,</w:t>
      </w:r>
      <w:r w:rsidRPr="0045179B">
        <w:rPr>
          <w:rFonts w:ascii="Arial" w:hAnsi="Arial" w:cs="Arial"/>
          <w:sz w:val="16"/>
          <w:szCs w:val="16"/>
          <w:lang w:eastAsia="en-GB"/>
        </w:rPr>
        <w:t xml:space="preserve"> the higher layer provides the following parameters for this PSSCH/PSCCH transmission:</w:t>
      </w:r>
    </w:p>
    <w:p w14:paraId="3EF67BF2" w14:textId="77777777" w:rsidR="0045179B" w:rsidRPr="0045179B" w:rsidRDefault="0045179B" w:rsidP="00663974">
      <w:pPr>
        <w:overflowPunct w:val="0"/>
        <w:autoSpaceDE w:val="0"/>
        <w:autoSpaceDN w:val="0"/>
        <w:adjustRightInd w:val="0"/>
        <w:ind w:left="720"/>
        <w:jc w:val="center"/>
        <w:textAlignment w:val="baseline"/>
        <w:rPr>
          <w:rFonts w:ascii="Arial" w:eastAsia="SimSun" w:hAnsi="Arial" w:cs="Arial"/>
          <w:b/>
          <w:bCs/>
          <w:sz w:val="16"/>
          <w:szCs w:val="16"/>
        </w:rPr>
      </w:pPr>
      <w:r w:rsidRPr="0045179B">
        <w:rPr>
          <w:rFonts w:ascii="Arial" w:eastAsia="SimSun" w:hAnsi="Arial" w:cs="Arial"/>
          <w:b/>
          <w:bCs/>
          <w:color w:val="FF0000"/>
          <w:sz w:val="16"/>
          <w:szCs w:val="16"/>
        </w:rPr>
        <w:t>&lt;Unchanged part omitted&gt;</w:t>
      </w:r>
    </w:p>
    <w:p w14:paraId="10FDD8BF" w14:textId="0E559169" w:rsidR="0045179B" w:rsidRPr="0045179B" w:rsidRDefault="0045179B" w:rsidP="00663974">
      <w:pPr>
        <w:overflowPunct w:val="0"/>
        <w:autoSpaceDE w:val="0"/>
        <w:autoSpaceDN w:val="0"/>
        <w:adjustRightInd w:val="0"/>
        <w:ind w:left="1460" w:hanging="425"/>
        <w:textAlignment w:val="baseline"/>
        <w:rPr>
          <w:rFonts w:ascii="Arial" w:eastAsia="SimSun" w:hAnsi="Arial" w:cs="Arial"/>
          <w:sz w:val="16"/>
          <w:szCs w:val="16"/>
          <w:lang w:val="x-none"/>
        </w:rPr>
      </w:pPr>
      <w:r w:rsidRPr="0045179B">
        <w:rPr>
          <w:rFonts w:ascii="Arial" w:eastAsia="SimSun" w:hAnsi="Arial" w:cs="Arial"/>
          <w:sz w:val="16"/>
          <w:szCs w:val="16"/>
          <w:lang w:val="x-none"/>
        </w:rPr>
        <w:t>7a)</w:t>
      </w:r>
      <w:r w:rsidRPr="0045179B">
        <w:rPr>
          <w:rFonts w:ascii="Arial" w:eastAsia="SimSun" w:hAnsi="Arial" w:cs="Arial"/>
          <w:sz w:val="16"/>
          <w:szCs w:val="16"/>
          <w:lang w:val="x-none"/>
        </w:rPr>
        <w:tab/>
        <w:t>If sidelink DRX active time of RX UE is provided by the higher layer and there is no candidate single-slot</w:t>
      </w:r>
      <w:r w:rsidRPr="0045179B">
        <w:rPr>
          <w:rFonts w:ascii="Arial" w:eastAsia="SimSun" w:hAnsi="Arial" w:cs="Arial"/>
          <w:sz w:val="16"/>
          <w:szCs w:val="16"/>
          <w:lang w:val="en-US"/>
        </w:rPr>
        <w:t xml:space="preserve"> or multi-slot</w:t>
      </w:r>
      <w:r w:rsidRPr="0045179B">
        <w:rPr>
          <w:rFonts w:ascii="Arial" w:eastAsia="SimSun" w:hAnsi="Arial" w:cs="Arial"/>
          <w:sz w:val="16"/>
          <w:szCs w:val="16"/>
          <w:lang w:val="x-none"/>
        </w:rPr>
        <w:t xml:space="preserve"> resource remained within the sidelink DRX active time in the set</w:t>
      </w:r>
      <w:r w:rsidRPr="0045179B">
        <w:rPr>
          <w:rFonts w:ascii="Arial" w:eastAsia="SimSun" w:hAnsi="Arial" w:cs="Arial"/>
          <w:sz w:val="16"/>
          <w:szCs w:val="16"/>
          <w:lang w:val="en-US"/>
        </w:rPr>
        <w:t xml:space="preserve"> </w:t>
      </w:r>
      <w:r w:rsidRPr="0045179B">
        <w:rPr>
          <w:rFonts w:ascii="Arial" w:eastAsia="SimSun" w:hAnsi="Arial" w:cs="Arial"/>
          <w:i/>
          <w:sz w:val="16"/>
          <w:szCs w:val="16"/>
          <w:lang w:val="en-US"/>
        </w:rPr>
        <w:t>S</w:t>
      </w:r>
      <w:r w:rsidRPr="0045179B">
        <w:rPr>
          <w:rFonts w:ascii="Arial" w:eastAsia="SimSun" w:hAnsi="Arial" w:cs="Arial"/>
          <w:i/>
          <w:sz w:val="16"/>
          <w:szCs w:val="16"/>
          <w:vertAlign w:val="subscript"/>
          <w:lang w:val="en-US"/>
        </w:rPr>
        <w:t>A</w:t>
      </w:r>
      <w:r w:rsidRPr="0045179B">
        <w:rPr>
          <w:rFonts w:ascii="Arial" w:eastAsia="SimSun" w:hAnsi="Arial" w:cs="Arial"/>
          <w:sz w:val="16"/>
          <w:szCs w:val="16"/>
          <w:lang w:val="en-US"/>
        </w:rPr>
        <w:t>,</w:t>
      </w:r>
      <w:r w:rsidRPr="0045179B">
        <w:rPr>
          <w:rFonts w:ascii="Arial" w:eastAsia="SimSun" w:hAnsi="Arial" w:cs="Arial"/>
          <w:sz w:val="16"/>
          <w:szCs w:val="16"/>
          <w:lang w:val="x-none"/>
        </w:rPr>
        <w:t xml:space="preserve"> the UE based on its implementation additionally selects and includes at least one candidate single-slot resource</w:t>
      </w:r>
      <w:del w:id="364" w:author="Kevin Lin" w:date="2023-11-11T02:25:00Z">
        <w:r w:rsidRPr="0045179B" w:rsidDel="001A4AA9">
          <w:rPr>
            <w:rFonts w:ascii="Arial" w:eastAsia="SimSun" w:hAnsi="Arial" w:cs="Arial"/>
            <w:color w:val="000000"/>
            <w:sz w:val="16"/>
            <w:szCs w:val="16"/>
            <w:lang w:val="x-none"/>
          </w:rPr>
          <w:delText>s</w:delText>
        </w:r>
      </w:del>
      <w:r w:rsidRPr="0045179B">
        <w:rPr>
          <w:rFonts w:ascii="Arial" w:eastAsia="SimSun" w:hAnsi="Arial" w:cs="Arial"/>
          <w:color w:val="000000"/>
          <w:sz w:val="16"/>
          <w:szCs w:val="16"/>
          <w:lang w:val="x-none"/>
        </w:rPr>
        <w:t xml:space="preserve"> </w:t>
      </w:r>
      <w:ins w:id="365" w:author="Kevin Lin" w:date="2023-11-15T01:18:00Z">
        <w:r w:rsidRPr="0045179B">
          <w:rPr>
            <w:rFonts w:ascii="Arial" w:eastAsia="SimSun" w:hAnsi="Arial" w:cs="Arial"/>
            <w:color w:val="000000"/>
            <w:sz w:val="16"/>
            <w:szCs w:val="16"/>
            <w:lang w:val="x-none"/>
          </w:rPr>
          <w:t xml:space="preserve">or </w:t>
        </w:r>
        <w:r w:rsidRPr="0045179B">
          <w:rPr>
            <w:rFonts w:ascii="Arial" w:eastAsia="SimSun" w:hAnsi="Arial" w:cs="Arial"/>
            <w:color w:val="000000"/>
            <w:sz w:val="16"/>
            <w:szCs w:val="16"/>
            <w:lang w:val="en-US"/>
          </w:rPr>
          <w:t>at least one candidate multi-slot resource</w:t>
        </w:r>
        <w:r w:rsidRPr="0045179B">
          <w:rPr>
            <w:rFonts w:ascii="Arial" w:eastAsia="SimSun" w:hAnsi="Arial" w:cs="Arial"/>
            <w:color w:val="000000"/>
            <w:sz w:val="16"/>
            <w:szCs w:val="16"/>
            <w:lang w:val="x-none"/>
          </w:rPr>
          <w:t xml:space="preserve"> </w:t>
        </w:r>
      </w:ins>
      <w:r w:rsidRPr="0045179B">
        <w:rPr>
          <w:rFonts w:ascii="Arial" w:eastAsia="SimSun" w:hAnsi="Arial" w:cs="Arial"/>
          <w:sz w:val="16"/>
          <w:szCs w:val="16"/>
          <w:lang w:val="x-none"/>
        </w:rPr>
        <w:t xml:space="preserve">within the sidelink DRX active time in the set </w:t>
      </w:r>
      <w:r w:rsidRPr="0045179B">
        <w:rPr>
          <w:rFonts w:ascii="Arial" w:eastAsia="SimSun" w:hAnsi="Arial" w:cs="Arial"/>
          <w:i/>
          <w:sz w:val="16"/>
          <w:szCs w:val="16"/>
          <w:lang w:val="en-US"/>
        </w:rPr>
        <w:t>S</w:t>
      </w:r>
      <w:r w:rsidRPr="0045179B">
        <w:rPr>
          <w:rFonts w:ascii="Arial" w:eastAsia="SimSun" w:hAnsi="Arial" w:cs="Arial"/>
          <w:i/>
          <w:sz w:val="16"/>
          <w:szCs w:val="16"/>
          <w:vertAlign w:val="subscript"/>
          <w:lang w:val="en-US"/>
        </w:rPr>
        <w:t>A</w:t>
      </w:r>
      <w:r w:rsidRPr="0045179B">
        <w:rPr>
          <w:rFonts w:ascii="Arial" w:eastAsia="SimSun" w:hAnsi="Arial" w:cs="Arial"/>
          <w:sz w:val="16"/>
          <w:szCs w:val="16"/>
          <w:lang w:val="x-none"/>
        </w:rPr>
        <w:fldChar w:fldCharType="begin"/>
      </w:r>
      <w:r w:rsidRPr="0045179B">
        <w:rPr>
          <w:rFonts w:ascii="Arial" w:eastAsia="SimSun" w:hAnsi="Arial" w:cs="Arial"/>
          <w:sz w:val="16"/>
          <w:szCs w:val="16"/>
          <w:lang w:val="x-none"/>
        </w:rPr>
        <w:instrText xml:space="preserve"> QUOTE </w:instrText>
      </w:r>
      <m:oMath>
        <m:sSub>
          <m:sSubPr>
            <m:ctrlPr>
              <w:rPr>
                <w:rFonts w:ascii="Cambria Math" w:hAnsi="Cambria Math" w:cs="Arial"/>
                <w:i/>
                <w:sz w:val="16"/>
                <w:szCs w:val="16"/>
                <w:lang w:eastAsia="en-GB"/>
              </w:rPr>
            </m:ctrlPr>
          </m:sSubPr>
          <m:e>
            <m:r>
              <m:rPr>
                <m:sty m:val="p"/>
              </m:rPr>
              <w:rPr>
                <w:rFonts w:ascii="Cambria Math" w:hAnsi="Cambria Math" w:cs="Arial"/>
                <w:sz w:val="16"/>
                <w:szCs w:val="16"/>
                <w:lang w:eastAsia="en-GB"/>
              </w:rPr>
              <m:t>S</m:t>
            </m:r>
          </m:e>
          <m:sub>
            <m:r>
              <m:rPr>
                <m:sty m:val="p"/>
              </m:rPr>
              <w:rPr>
                <w:rFonts w:ascii="Cambria Math" w:hAnsi="Cambria Math" w:cs="Arial"/>
                <w:sz w:val="16"/>
                <w:szCs w:val="16"/>
                <w:lang w:eastAsia="en-GB"/>
              </w:rPr>
              <m:t>A</m:t>
            </m:r>
          </m:sub>
        </m:sSub>
      </m:oMath>
      <w:r w:rsidRPr="0045179B">
        <w:rPr>
          <w:rFonts w:ascii="Arial" w:eastAsia="SimSun" w:hAnsi="Arial" w:cs="Arial"/>
          <w:sz w:val="16"/>
          <w:szCs w:val="16"/>
          <w:lang w:val="x-none"/>
        </w:rPr>
        <w:instrText xml:space="preserve"> </w:instrText>
      </w:r>
      <w:r w:rsidR="005A18DC">
        <w:rPr>
          <w:rFonts w:ascii="Arial" w:eastAsia="SimSun" w:hAnsi="Arial" w:cs="Arial"/>
          <w:sz w:val="16"/>
          <w:szCs w:val="16"/>
          <w:lang w:val="x-none"/>
        </w:rPr>
        <w:fldChar w:fldCharType="separate"/>
      </w:r>
      <w:r w:rsidRPr="0045179B">
        <w:rPr>
          <w:rFonts w:ascii="Arial" w:eastAsia="SimSun" w:hAnsi="Arial" w:cs="Arial"/>
          <w:sz w:val="16"/>
          <w:szCs w:val="16"/>
          <w:lang w:val="x-none"/>
        </w:rPr>
        <w:fldChar w:fldCharType="end"/>
      </w:r>
      <w:r w:rsidRPr="0045179B">
        <w:rPr>
          <w:rFonts w:ascii="Arial" w:eastAsia="SimSun" w:hAnsi="Arial" w:cs="Arial"/>
          <w:sz w:val="16"/>
          <w:szCs w:val="16"/>
          <w:lang w:val="x-none"/>
        </w:rPr>
        <w:t>.</w:t>
      </w:r>
    </w:p>
    <w:p w14:paraId="7570C517" w14:textId="77777777" w:rsidR="0045179B" w:rsidRPr="00663974" w:rsidRDefault="0045179B" w:rsidP="00663974">
      <w:pPr>
        <w:rPr>
          <w:color w:val="FF0000"/>
          <w:sz w:val="18"/>
          <w:lang w:eastAsia="x-none"/>
        </w:rPr>
      </w:pPr>
      <w:r w:rsidRPr="00663974">
        <w:rPr>
          <w:color w:val="FF0000"/>
        </w:rPr>
        <w:t>&lt;End of text proposal&gt;</w:t>
      </w:r>
    </w:p>
    <w:p w14:paraId="0245FBEB" w14:textId="77777777" w:rsidR="0045179B" w:rsidRPr="0045179B" w:rsidRDefault="0045179B" w:rsidP="0045179B">
      <w:pPr>
        <w:rPr>
          <w:lang w:eastAsia="x-none"/>
        </w:rPr>
      </w:pPr>
    </w:p>
    <w:p w14:paraId="51DE23E3" w14:textId="0636EEEF" w:rsidR="0045179B" w:rsidRPr="00AA0565" w:rsidRDefault="005A18DC" w:rsidP="0045179B">
      <w:pPr>
        <w:rPr>
          <w:b/>
          <w:lang w:eastAsia="x-none"/>
        </w:rPr>
      </w:pPr>
      <w:hyperlink r:id="rId997" w:history="1">
        <w:r w:rsidR="00AF7253">
          <w:rPr>
            <w:rStyle w:val="Hyperlink"/>
            <w:b/>
            <w:lang w:eastAsia="x-none"/>
          </w:rPr>
          <w:t>R1-2312666</w:t>
        </w:r>
      </w:hyperlink>
      <w:r w:rsidR="0045179B" w:rsidRPr="00AA0565">
        <w:rPr>
          <w:b/>
          <w:lang w:eastAsia="x-none"/>
        </w:rPr>
        <w:tab/>
        <w:t>[Draft] LS on re-evaluation and pre-emption checking for MCSt</w:t>
      </w:r>
      <w:r w:rsidR="0045179B" w:rsidRPr="00AA0565">
        <w:rPr>
          <w:b/>
          <w:lang w:eastAsia="x-none"/>
        </w:rPr>
        <w:tab/>
        <w:t>CATT</w:t>
      </w:r>
    </w:p>
    <w:p w14:paraId="14D3F788" w14:textId="72D2CA84" w:rsidR="0045179B" w:rsidRDefault="00AA0565" w:rsidP="00F74A6F">
      <w:pPr>
        <w:rPr>
          <w:lang w:eastAsia="x-none"/>
        </w:rPr>
      </w:pPr>
      <w:r>
        <w:rPr>
          <w:lang w:eastAsia="x-none"/>
        </w:rPr>
        <w:t>Friday decision: The draft LS is not pursued.</w:t>
      </w:r>
    </w:p>
    <w:p w14:paraId="0254475C" w14:textId="77777777" w:rsidR="0045179B" w:rsidRDefault="0045179B" w:rsidP="00F74A6F">
      <w:pPr>
        <w:rPr>
          <w:lang w:eastAsia="x-none"/>
        </w:rPr>
      </w:pPr>
    </w:p>
    <w:p w14:paraId="4DD5AEBB" w14:textId="77777777" w:rsidR="00AA0565" w:rsidRDefault="00AA0565" w:rsidP="00F74A6F">
      <w:pPr>
        <w:rPr>
          <w:lang w:eastAsia="x-none"/>
        </w:rPr>
      </w:pPr>
    </w:p>
    <w:p w14:paraId="3A3EE0C6" w14:textId="638DEB2C" w:rsidR="00F74A6F" w:rsidRPr="009537ED" w:rsidRDefault="00AA0565" w:rsidP="00F74A6F">
      <w:pPr>
        <w:rPr>
          <w:lang w:eastAsia="x-none"/>
        </w:rPr>
      </w:pPr>
      <w:r>
        <w:rPr>
          <w:lang w:eastAsia="x-none"/>
        </w:rPr>
        <w:t xml:space="preserve">Final summary in </w:t>
      </w:r>
      <w:hyperlink r:id="rId998" w:history="1">
        <w:r w:rsidR="00AF7253">
          <w:rPr>
            <w:rStyle w:val="Hyperlink"/>
            <w:lang w:eastAsia="x-none"/>
          </w:rPr>
          <w:t>R1-2312254</w:t>
        </w:r>
      </w:hyperlink>
      <w:r w:rsidR="00F74A6F" w:rsidRPr="009537ED">
        <w:rPr>
          <w:lang w:eastAsia="x-none"/>
        </w:rPr>
        <w:t>.</w:t>
      </w:r>
    </w:p>
    <w:p w14:paraId="1941EC71" w14:textId="77777777" w:rsidR="00F74A6F" w:rsidRPr="009537ED" w:rsidRDefault="00F74A6F" w:rsidP="000237CF">
      <w:pPr>
        <w:pStyle w:val="Heading4"/>
      </w:pPr>
      <w:bookmarkStart w:id="366" w:name="_Toc150174453"/>
      <w:bookmarkStart w:id="367" w:name="_Toc159250995"/>
      <w:r w:rsidRPr="009537ED">
        <w:t>Physical channel design framework</w:t>
      </w:r>
      <w:bookmarkEnd w:id="366"/>
      <w:bookmarkEnd w:id="367"/>
    </w:p>
    <w:p w14:paraId="11185CBB" w14:textId="6820E1E1" w:rsidR="00F74A6F" w:rsidRPr="009537ED" w:rsidRDefault="005A18DC" w:rsidP="00F74A6F">
      <w:pPr>
        <w:rPr>
          <w:lang w:eastAsia="x-none"/>
        </w:rPr>
      </w:pPr>
      <w:hyperlink r:id="rId999" w:history="1">
        <w:r w:rsidR="00AF7253">
          <w:rPr>
            <w:rStyle w:val="Hyperlink"/>
            <w:lang w:eastAsia="x-none"/>
          </w:rPr>
          <w:t>R1-2310812</w:t>
        </w:r>
      </w:hyperlink>
      <w:r w:rsidR="00F74A6F" w:rsidRPr="009537ED">
        <w:rPr>
          <w:lang w:eastAsia="x-none"/>
        </w:rPr>
        <w:tab/>
        <w:t>Remaining issues for Physical Channel Design Framework for SL-U</w:t>
      </w:r>
      <w:r w:rsidR="00F74A6F" w:rsidRPr="009537ED">
        <w:rPr>
          <w:lang w:eastAsia="x-none"/>
        </w:rPr>
        <w:tab/>
        <w:t>Nokia, Nokia Shanghai Bell</w:t>
      </w:r>
    </w:p>
    <w:p w14:paraId="6EAA35D1" w14:textId="1AE1E94C" w:rsidR="00F74A6F" w:rsidRPr="009537ED" w:rsidRDefault="005A18DC" w:rsidP="00F74A6F">
      <w:pPr>
        <w:rPr>
          <w:lang w:eastAsia="x-none"/>
        </w:rPr>
      </w:pPr>
      <w:hyperlink r:id="rId1000" w:history="1">
        <w:r w:rsidR="00AF7253">
          <w:rPr>
            <w:rStyle w:val="Hyperlink"/>
            <w:lang w:eastAsia="x-none"/>
          </w:rPr>
          <w:t>R1-2310852</w:t>
        </w:r>
      </w:hyperlink>
      <w:r w:rsidR="00F74A6F" w:rsidRPr="009537ED">
        <w:rPr>
          <w:lang w:eastAsia="x-none"/>
        </w:rPr>
        <w:tab/>
        <w:t>Maintenance of physical channel design for sidelink operation over unlicensed spectrum</w:t>
      </w:r>
      <w:r w:rsidR="00F74A6F" w:rsidRPr="009537ED">
        <w:rPr>
          <w:lang w:eastAsia="x-none"/>
        </w:rPr>
        <w:tab/>
        <w:t>Huawei, HiSilicon</w:t>
      </w:r>
    </w:p>
    <w:p w14:paraId="12DF827F" w14:textId="07F1B6FD" w:rsidR="00F74A6F" w:rsidRPr="009537ED" w:rsidRDefault="005A18DC" w:rsidP="00F74A6F">
      <w:pPr>
        <w:rPr>
          <w:lang w:eastAsia="x-none"/>
        </w:rPr>
      </w:pPr>
      <w:hyperlink r:id="rId1001" w:history="1">
        <w:r w:rsidR="00AF7253">
          <w:rPr>
            <w:rStyle w:val="Hyperlink"/>
            <w:lang w:eastAsia="x-none"/>
          </w:rPr>
          <w:t>R1-2310969</w:t>
        </w:r>
      </w:hyperlink>
      <w:r w:rsidR="00F74A6F" w:rsidRPr="009537ED">
        <w:rPr>
          <w:lang w:eastAsia="x-none"/>
        </w:rPr>
        <w:tab/>
        <w:t>Remaining issues on physical channel design of sidelink on unlicensed spectrum</w:t>
      </w:r>
      <w:r w:rsidR="00F74A6F" w:rsidRPr="009537ED">
        <w:rPr>
          <w:lang w:eastAsia="x-none"/>
        </w:rPr>
        <w:tab/>
        <w:t>Quectel</w:t>
      </w:r>
    </w:p>
    <w:p w14:paraId="239E0773" w14:textId="198FF307" w:rsidR="00F74A6F" w:rsidRPr="009537ED" w:rsidRDefault="005A18DC" w:rsidP="00F74A6F">
      <w:pPr>
        <w:rPr>
          <w:lang w:eastAsia="x-none"/>
        </w:rPr>
      </w:pPr>
      <w:hyperlink r:id="rId1002" w:history="1">
        <w:r w:rsidR="00AF7253">
          <w:rPr>
            <w:rStyle w:val="Hyperlink"/>
            <w:lang w:eastAsia="x-none"/>
          </w:rPr>
          <w:t>R1-2311091</w:t>
        </w:r>
      </w:hyperlink>
      <w:r w:rsidR="00F74A6F" w:rsidRPr="009537ED">
        <w:rPr>
          <w:lang w:eastAsia="x-none"/>
        </w:rPr>
        <w:tab/>
        <w:t>Remaining issues on physical channel design framework for sidelink on unlicensed spectrum</w:t>
      </w:r>
      <w:r w:rsidR="00F74A6F" w:rsidRPr="009537ED">
        <w:rPr>
          <w:lang w:eastAsia="x-none"/>
        </w:rPr>
        <w:tab/>
        <w:t>vivo</w:t>
      </w:r>
    </w:p>
    <w:p w14:paraId="00907AEE" w14:textId="5D34217A" w:rsidR="00F74A6F" w:rsidRPr="009537ED" w:rsidRDefault="005A18DC" w:rsidP="00F74A6F">
      <w:pPr>
        <w:rPr>
          <w:lang w:eastAsia="x-none"/>
        </w:rPr>
      </w:pPr>
      <w:hyperlink r:id="rId1003" w:history="1">
        <w:r w:rsidR="00AF7253">
          <w:rPr>
            <w:rStyle w:val="Hyperlink"/>
            <w:lang w:eastAsia="x-none"/>
          </w:rPr>
          <w:t>R1-2311162</w:t>
        </w:r>
      </w:hyperlink>
      <w:r w:rsidR="00F74A6F" w:rsidRPr="009537ED">
        <w:rPr>
          <w:lang w:eastAsia="x-none"/>
        </w:rPr>
        <w:tab/>
        <w:t>Remaining issues on Physical channel design for sidelink on unlicensed spectrum</w:t>
      </w:r>
      <w:r w:rsidR="00F74A6F" w:rsidRPr="009537ED">
        <w:rPr>
          <w:lang w:eastAsia="x-none"/>
        </w:rPr>
        <w:tab/>
        <w:t>Spreadtrum Communications</w:t>
      </w:r>
    </w:p>
    <w:p w14:paraId="41C8C01F" w14:textId="651A43DE" w:rsidR="00F74A6F" w:rsidRPr="009537ED" w:rsidRDefault="005A18DC" w:rsidP="00F74A6F">
      <w:pPr>
        <w:rPr>
          <w:lang w:eastAsia="x-none"/>
        </w:rPr>
      </w:pPr>
      <w:hyperlink r:id="rId1004" w:history="1">
        <w:r w:rsidR="00AF7253">
          <w:rPr>
            <w:rStyle w:val="Hyperlink"/>
            <w:lang w:eastAsia="x-none"/>
          </w:rPr>
          <w:t>R1-2311237</w:t>
        </w:r>
      </w:hyperlink>
      <w:r w:rsidR="00F74A6F" w:rsidRPr="009537ED">
        <w:rPr>
          <w:lang w:eastAsia="x-none"/>
        </w:rPr>
        <w:tab/>
        <w:t>On maintenance of SL-U PHY channel designs and procedures</w:t>
      </w:r>
      <w:r w:rsidR="00F74A6F" w:rsidRPr="009537ED">
        <w:rPr>
          <w:lang w:eastAsia="x-none"/>
        </w:rPr>
        <w:tab/>
        <w:t>OPPO</w:t>
      </w:r>
    </w:p>
    <w:p w14:paraId="4D7F3FED" w14:textId="3B0B97B5" w:rsidR="00F74A6F" w:rsidRPr="009537ED" w:rsidRDefault="005A18DC" w:rsidP="00F74A6F">
      <w:pPr>
        <w:rPr>
          <w:lang w:eastAsia="x-none"/>
        </w:rPr>
      </w:pPr>
      <w:hyperlink r:id="rId1005" w:history="1">
        <w:r w:rsidR="00AF7253">
          <w:rPr>
            <w:rStyle w:val="Hyperlink"/>
            <w:lang w:eastAsia="x-none"/>
          </w:rPr>
          <w:t>R1-2311337</w:t>
        </w:r>
      </w:hyperlink>
      <w:r w:rsidR="00F74A6F" w:rsidRPr="009537ED">
        <w:rPr>
          <w:lang w:eastAsia="x-none"/>
        </w:rPr>
        <w:tab/>
        <w:t>Maintenance on physical channel design framework for sidelink on unlicensed spectrum</w:t>
      </w:r>
      <w:r w:rsidR="00F74A6F" w:rsidRPr="009537ED">
        <w:rPr>
          <w:lang w:eastAsia="x-none"/>
        </w:rPr>
        <w:tab/>
        <w:t>CATT, CICTCI</w:t>
      </w:r>
    </w:p>
    <w:p w14:paraId="25C44429" w14:textId="2CD6CECD" w:rsidR="00F74A6F" w:rsidRPr="009537ED" w:rsidRDefault="005A18DC" w:rsidP="00F74A6F">
      <w:pPr>
        <w:rPr>
          <w:lang w:eastAsia="x-none"/>
        </w:rPr>
      </w:pPr>
      <w:hyperlink r:id="rId1006" w:history="1">
        <w:r w:rsidR="00AF7253">
          <w:rPr>
            <w:rStyle w:val="Hyperlink"/>
            <w:lang w:eastAsia="x-none"/>
          </w:rPr>
          <w:t>R1-2311401</w:t>
        </w:r>
      </w:hyperlink>
      <w:r w:rsidR="00F74A6F" w:rsidRPr="009537ED">
        <w:rPr>
          <w:lang w:eastAsia="x-none"/>
        </w:rPr>
        <w:tab/>
        <w:t>Remaining details on SL-U physical channel structures and procedures</w:t>
      </w:r>
      <w:r w:rsidR="00F74A6F" w:rsidRPr="009537ED">
        <w:rPr>
          <w:lang w:eastAsia="x-none"/>
        </w:rPr>
        <w:tab/>
        <w:t>xiaomi</w:t>
      </w:r>
    </w:p>
    <w:p w14:paraId="7577A34C" w14:textId="40EF99A9" w:rsidR="00F74A6F" w:rsidRPr="009537ED" w:rsidRDefault="005A18DC" w:rsidP="00F74A6F">
      <w:pPr>
        <w:rPr>
          <w:lang w:eastAsia="x-none"/>
        </w:rPr>
      </w:pPr>
      <w:hyperlink r:id="rId1007" w:history="1">
        <w:r w:rsidR="00AF7253">
          <w:rPr>
            <w:rStyle w:val="Hyperlink"/>
            <w:lang w:eastAsia="x-none"/>
          </w:rPr>
          <w:t>R1-2311425</w:t>
        </w:r>
      </w:hyperlink>
      <w:r w:rsidR="00F74A6F" w:rsidRPr="009537ED">
        <w:rPr>
          <w:lang w:eastAsia="x-none"/>
        </w:rPr>
        <w:tab/>
        <w:t>Remaining issues on physical channel design framework</w:t>
      </w:r>
      <w:r w:rsidR="00F74A6F" w:rsidRPr="009537ED">
        <w:rPr>
          <w:lang w:eastAsia="x-none"/>
        </w:rPr>
        <w:tab/>
        <w:t>NEC</w:t>
      </w:r>
    </w:p>
    <w:p w14:paraId="09C0829D" w14:textId="156DC1C7" w:rsidR="00F74A6F" w:rsidRPr="009537ED" w:rsidRDefault="005A18DC" w:rsidP="00F74A6F">
      <w:pPr>
        <w:rPr>
          <w:lang w:eastAsia="x-none"/>
        </w:rPr>
      </w:pPr>
      <w:hyperlink r:id="rId1008" w:history="1">
        <w:r w:rsidR="00AF7253">
          <w:rPr>
            <w:rStyle w:val="Hyperlink"/>
            <w:lang w:eastAsia="x-none"/>
          </w:rPr>
          <w:t>R1-2311516</w:t>
        </w:r>
      </w:hyperlink>
      <w:r w:rsidR="00F74A6F" w:rsidRPr="009537ED">
        <w:rPr>
          <w:lang w:eastAsia="x-none"/>
        </w:rPr>
        <w:tab/>
        <w:t>Discussion on physical layer structures and procedures for SL-U</w:t>
      </w:r>
      <w:r w:rsidR="00F74A6F" w:rsidRPr="009537ED">
        <w:rPr>
          <w:lang w:eastAsia="x-none"/>
        </w:rPr>
        <w:tab/>
        <w:t>ZTE, Sanechips</w:t>
      </w:r>
    </w:p>
    <w:p w14:paraId="395F7902" w14:textId="6489F6C1" w:rsidR="00F74A6F" w:rsidRPr="009537ED" w:rsidRDefault="005A18DC" w:rsidP="00F74A6F">
      <w:pPr>
        <w:rPr>
          <w:lang w:eastAsia="x-none"/>
        </w:rPr>
      </w:pPr>
      <w:hyperlink r:id="rId1009" w:history="1">
        <w:r w:rsidR="00AF7253">
          <w:rPr>
            <w:rStyle w:val="Hyperlink"/>
            <w:lang w:eastAsia="x-none"/>
          </w:rPr>
          <w:t>R1-2311565</w:t>
        </w:r>
      </w:hyperlink>
      <w:r w:rsidR="00F74A6F" w:rsidRPr="009537ED">
        <w:rPr>
          <w:lang w:eastAsia="x-none"/>
        </w:rPr>
        <w:tab/>
        <w:t>Physical channel design for sidelink on unlicensed spectrum</w:t>
      </w:r>
      <w:r w:rsidR="00F74A6F" w:rsidRPr="009537ED">
        <w:rPr>
          <w:lang w:eastAsia="x-none"/>
        </w:rPr>
        <w:tab/>
        <w:t>Panasonic</w:t>
      </w:r>
    </w:p>
    <w:p w14:paraId="1EB20F81" w14:textId="24003FA8" w:rsidR="00F74A6F" w:rsidRPr="009537ED" w:rsidRDefault="005A18DC" w:rsidP="00F74A6F">
      <w:pPr>
        <w:rPr>
          <w:lang w:eastAsia="x-none"/>
        </w:rPr>
      </w:pPr>
      <w:hyperlink r:id="rId1010" w:history="1">
        <w:r w:rsidR="00AF7253">
          <w:rPr>
            <w:rStyle w:val="Hyperlink"/>
            <w:lang w:eastAsia="x-none"/>
          </w:rPr>
          <w:t>R1-2311589</w:t>
        </w:r>
      </w:hyperlink>
      <w:r w:rsidR="00F74A6F" w:rsidRPr="009537ED">
        <w:rPr>
          <w:lang w:eastAsia="x-none"/>
        </w:rPr>
        <w:tab/>
        <w:t>Remaining issues on physical layer design framework for sidelink on unlicensed spectrum</w:t>
      </w:r>
      <w:r w:rsidR="00F74A6F" w:rsidRPr="009537ED">
        <w:rPr>
          <w:lang w:eastAsia="x-none"/>
        </w:rPr>
        <w:tab/>
        <w:t>Lenovo</w:t>
      </w:r>
    </w:p>
    <w:p w14:paraId="3009902C" w14:textId="10567C34" w:rsidR="00F74A6F" w:rsidRPr="009537ED" w:rsidRDefault="005A18DC" w:rsidP="00F74A6F">
      <w:pPr>
        <w:rPr>
          <w:lang w:eastAsia="x-none"/>
        </w:rPr>
      </w:pPr>
      <w:hyperlink r:id="rId1011" w:history="1">
        <w:r w:rsidR="00AF7253">
          <w:rPr>
            <w:rStyle w:val="Hyperlink"/>
            <w:lang w:eastAsia="x-none"/>
          </w:rPr>
          <w:t>R1-2311620</w:t>
        </w:r>
      </w:hyperlink>
      <w:r w:rsidR="00F74A6F" w:rsidRPr="009537ED">
        <w:rPr>
          <w:lang w:eastAsia="x-none"/>
        </w:rPr>
        <w:tab/>
        <w:t>Remaining issues on channel design framework in SL-U</w:t>
      </w:r>
      <w:r w:rsidR="00F74A6F" w:rsidRPr="009537ED">
        <w:rPr>
          <w:lang w:eastAsia="x-none"/>
        </w:rPr>
        <w:tab/>
        <w:t>NTT DOCOMO, INC.</w:t>
      </w:r>
    </w:p>
    <w:p w14:paraId="79ECA652" w14:textId="794B8167" w:rsidR="00F74A6F" w:rsidRPr="009537ED" w:rsidRDefault="005A18DC" w:rsidP="00F74A6F">
      <w:pPr>
        <w:rPr>
          <w:lang w:eastAsia="x-none"/>
        </w:rPr>
      </w:pPr>
      <w:hyperlink r:id="rId1012" w:history="1">
        <w:r w:rsidR="00AF7253">
          <w:rPr>
            <w:rStyle w:val="Hyperlink"/>
            <w:lang w:eastAsia="x-none"/>
          </w:rPr>
          <w:t>R1-2311680</w:t>
        </w:r>
      </w:hyperlink>
      <w:r w:rsidR="00F74A6F" w:rsidRPr="009537ED">
        <w:rPr>
          <w:lang w:eastAsia="x-none"/>
        </w:rPr>
        <w:tab/>
        <w:t>On Remaining Issues of Sidelink Physical Channel Design Framework for Unlicensed Spectrum</w:t>
      </w:r>
      <w:r w:rsidR="00F74A6F" w:rsidRPr="009537ED">
        <w:rPr>
          <w:lang w:eastAsia="x-none"/>
        </w:rPr>
        <w:tab/>
        <w:t>Apple</w:t>
      </w:r>
    </w:p>
    <w:p w14:paraId="06B59CCA" w14:textId="3CA776D0" w:rsidR="00F74A6F" w:rsidRPr="009537ED" w:rsidRDefault="005A18DC" w:rsidP="00F74A6F">
      <w:pPr>
        <w:rPr>
          <w:lang w:eastAsia="x-none"/>
        </w:rPr>
      </w:pPr>
      <w:hyperlink r:id="rId1013" w:history="1">
        <w:r w:rsidR="00AF7253">
          <w:rPr>
            <w:rStyle w:val="Hyperlink"/>
            <w:lang w:eastAsia="x-none"/>
          </w:rPr>
          <w:t>R1-2311752</w:t>
        </w:r>
      </w:hyperlink>
      <w:r w:rsidR="00F74A6F" w:rsidRPr="009537ED">
        <w:rPr>
          <w:lang w:eastAsia="x-none"/>
        </w:rPr>
        <w:tab/>
        <w:t>Remaining issues on physical channel design framework for SL-U</w:t>
      </w:r>
      <w:r w:rsidR="00F74A6F" w:rsidRPr="009537ED">
        <w:rPr>
          <w:lang w:eastAsia="x-none"/>
        </w:rPr>
        <w:tab/>
        <w:t>ETRI</w:t>
      </w:r>
    </w:p>
    <w:p w14:paraId="004CB4BF" w14:textId="7FA7ED25" w:rsidR="00F74A6F" w:rsidRPr="009537ED" w:rsidRDefault="005A18DC" w:rsidP="00F74A6F">
      <w:pPr>
        <w:rPr>
          <w:lang w:eastAsia="x-none"/>
        </w:rPr>
      </w:pPr>
      <w:hyperlink r:id="rId1014" w:history="1">
        <w:r w:rsidR="00AF7253">
          <w:rPr>
            <w:rStyle w:val="Hyperlink"/>
            <w:lang w:eastAsia="x-none"/>
          </w:rPr>
          <w:t>R1-2311767</w:t>
        </w:r>
      </w:hyperlink>
      <w:r w:rsidR="00F74A6F" w:rsidRPr="009537ED">
        <w:rPr>
          <w:lang w:eastAsia="x-none"/>
        </w:rPr>
        <w:tab/>
        <w:t>Remaining issues on physical channel design framework for NR sidelink evolution on unlicensed spectrum</w:t>
      </w:r>
      <w:r w:rsidR="00F74A6F" w:rsidRPr="009537ED">
        <w:rPr>
          <w:lang w:eastAsia="x-none"/>
        </w:rPr>
        <w:tab/>
        <w:t>Sharp</w:t>
      </w:r>
    </w:p>
    <w:p w14:paraId="19BEC22E" w14:textId="23CE8266" w:rsidR="00F74A6F" w:rsidRPr="009537ED" w:rsidRDefault="005A18DC" w:rsidP="00F74A6F">
      <w:pPr>
        <w:rPr>
          <w:lang w:eastAsia="x-none"/>
        </w:rPr>
      </w:pPr>
      <w:hyperlink r:id="rId1015" w:history="1">
        <w:r w:rsidR="00AF7253">
          <w:rPr>
            <w:rStyle w:val="Hyperlink"/>
            <w:lang w:eastAsia="x-none"/>
          </w:rPr>
          <w:t>R1-2311796</w:t>
        </w:r>
      </w:hyperlink>
      <w:r w:rsidR="00F74A6F" w:rsidRPr="009537ED">
        <w:rPr>
          <w:lang w:eastAsia="x-none"/>
        </w:rPr>
        <w:tab/>
        <w:t>Remaining issues of physical channel design for sidelink in unlicensed spectrum</w:t>
      </w:r>
      <w:r w:rsidR="00F74A6F" w:rsidRPr="009537ED">
        <w:rPr>
          <w:lang w:eastAsia="x-none"/>
        </w:rPr>
        <w:tab/>
        <w:t>Transsion Holdings</w:t>
      </w:r>
    </w:p>
    <w:p w14:paraId="462C1A6E" w14:textId="4E7F3814" w:rsidR="00F74A6F" w:rsidRPr="009537ED" w:rsidRDefault="005A18DC" w:rsidP="00F74A6F">
      <w:pPr>
        <w:rPr>
          <w:lang w:eastAsia="x-none"/>
        </w:rPr>
      </w:pPr>
      <w:hyperlink r:id="rId1016" w:history="1">
        <w:r w:rsidR="00AF7253">
          <w:rPr>
            <w:rStyle w:val="Hyperlink"/>
            <w:lang w:eastAsia="x-none"/>
          </w:rPr>
          <w:t>R1-2311838</w:t>
        </w:r>
      </w:hyperlink>
      <w:r w:rsidR="00F74A6F" w:rsidRPr="009537ED">
        <w:rPr>
          <w:lang w:eastAsia="x-none"/>
        </w:rPr>
        <w:tab/>
        <w:t>Remaining issues on physical channel design framework</w:t>
      </w:r>
      <w:r w:rsidR="00F74A6F" w:rsidRPr="009537ED">
        <w:rPr>
          <w:lang w:eastAsia="x-none"/>
        </w:rPr>
        <w:tab/>
        <w:t>Samsung</w:t>
      </w:r>
    </w:p>
    <w:p w14:paraId="24FECD41" w14:textId="19960CFE" w:rsidR="00F74A6F" w:rsidRPr="009537ED" w:rsidRDefault="005A18DC" w:rsidP="00F74A6F">
      <w:pPr>
        <w:rPr>
          <w:lang w:eastAsia="x-none"/>
        </w:rPr>
      </w:pPr>
      <w:hyperlink r:id="rId1017" w:history="1">
        <w:r w:rsidR="00AF7253">
          <w:rPr>
            <w:rStyle w:val="Hyperlink"/>
            <w:lang w:eastAsia="x-none"/>
          </w:rPr>
          <w:t>R1-2311885</w:t>
        </w:r>
      </w:hyperlink>
      <w:r w:rsidR="00F74A6F" w:rsidRPr="009537ED">
        <w:rPr>
          <w:lang w:eastAsia="x-none"/>
        </w:rPr>
        <w:tab/>
        <w:t>Remaining issues for SL U physical layer design</w:t>
      </w:r>
      <w:r w:rsidR="00F74A6F" w:rsidRPr="009537ED">
        <w:rPr>
          <w:lang w:eastAsia="x-none"/>
        </w:rPr>
        <w:tab/>
        <w:t>InterDigital, Inc.</w:t>
      </w:r>
    </w:p>
    <w:p w14:paraId="5E14F3C1" w14:textId="1AF5D377" w:rsidR="00F74A6F" w:rsidRPr="009537ED" w:rsidRDefault="005A18DC" w:rsidP="00F74A6F">
      <w:pPr>
        <w:rPr>
          <w:lang w:eastAsia="x-none"/>
        </w:rPr>
      </w:pPr>
      <w:hyperlink r:id="rId1018" w:history="1">
        <w:r w:rsidR="00AF7253">
          <w:rPr>
            <w:rStyle w:val="Hyperlink"/>
            <w:lang w:eastAsia="x-none"/>
          </w:rPr>
          <w:t>R1-2311976</w:t>
        </w:r>
      </w:hyperlink>
      <w:r w:rsidR="00F74A6F" w:rsidRPr="009537ED">
        <w:rPr>
          <w:lang w:eastAsia="x-none"/>
        </w:rPr>
        <w:tab/>
        <w:t>Discussion on remaining issue for physical channel design framework</w:t>
      </w:r>
      <w:r w:rsidR="00F74A6F" w:rsidRPr="009537ED">
        <w:rPr>
          <w:lang w:eastAsia="x-none"/>
        </w:rPr>
        <w:tab/>
        <w:t>MediaTek Inc.</w:t>
      </w:r>
    </w:p>
    <w:p w14:paraId="64D81558" w14:textId="3C8F60F4" w:rsidR="00F74A6F" w:rsidRPr="009537ED" w:rsidRDefault="005A18DC" w:rsidP="00F74A6F">
      <w:pPr>
        <w:rPr>
          <w:lang w:eastAsia="x-none"/>
        </w:rPr>
      </w:pPr>
      <w:hyperlink r:id="rId1019" w:history="1">
        <w:r w:rsidR="00AF7253">
          <w:rPr>
            <w:rStyle w:val="Hyperlink"/>
            <w:lang w:eastAsia="x-none"/>
          </w:rPr>
          <w:t>R1-2312032</w:t>
        </w:r>
      </w:hyperlink>
      <w:r w:rsidR="00F74A6F" w:rsidRPr="009537ED">
        <w:rPr>
          <w:lang w:eastAsia="x-none"/>
        </w:rPr>
        <w:tab/>
        <w:t>Physical Channel Design for Sidelink on Unlicensed Spectrum</w:t>
      </w:r>
      <w:r w:rsidR="00F74A6F" w:rsidRPr="009537ED">
        <w:rPr>
          <w:lang w:eastAsia="x-none"/>
        </w:rPr>
        <w:tab/>
        <w:t>Qualcomm Incorporated</w:t>
      </w:r>
    </w:p>
    <w:p w14:paraId="50B7AFD4" w14:textId="4DBFC45C" w:rsidR="00F74A6F" w:rsidRPr="009537ED" w:rsidRDefault="005A18DC" w:rsidP="00F74A6F">
      <w:pPr>
        <w:rPr>
          <w:lang w:eastAsia="x-none"/>
        </w:rPr>
      </w:pPr>
      <w:hyperlink r:id="rId1020" w:history="1">
        <w:r w:rsidR="00AF7253">
          <w:rPr>
            <w:rStyle w:val="Hyperlink"/>
            <w:lang w:eastAsia="x-none"/>
          </w:rPr>
          <w:t>R1-2312122</w:t>
        </w:r>
      </w:hyperlink>
      <w:r w:rsidR="00F74A6F" w:rsidRPr="009537ED">
        <w:rPr>
          <w:lang w:eastAsia="x-none"/>
        </w:rPr>
        <w:tab/>
        <w:t>Remaining issues on physical channel design framework for sidelink on unlicensed spectrum</w:t>
      </w:r>
      <w:r w:rsidR="00F74A6F" w:rsidRPr="009537ED">
        <w:rPr>
          <w:lang w:eastAsia="x-none"/>
        </w:rPr>
        <w:tab/>
        <w:t>LG Electronics</w:t>
      </w:r>
    </w:p>
    <w:p w14:paraId="31E13035" w14:textId="7F745590" w:rsidR="00F74A6F" w:rsidRPr="009537ED" w:rsidRDefault="005A18DC" w:rsidP="00F74A6F">
      <w:pPr>
        <w:rPr>
          <w:lang w:eastAsia="x-none"/>
        </w:rPr>
      </w:pPr>
      <w:hyperlink r:id="rId1021" w:history="1">
        <w:r w:rsidR="00AF7253">
          <w:rPr>
            <w:rStyle w:val="Hyperlink"/>
            <w:lang w:eastAsia="x-none"/>
          </w:rPr>
          <w:t>R1-2312135</w:t>
        </w:r>
      </w:hyperlink>
      <w:r w:rsidR="00F74A6F" w:rsidRPr="009537ED">
        <w:rPr>
          <w:lang w:eastAsia="x-none"/>
        </w:rPr>
        <w:tab/>
        <w:t>Discussion on channel design for SL-U</w:t>
      </w:r>
      <w:r w:rsidR="00F74A6F" w:rsidRPr="009537ED">
        <w:rPr>
          <w:lang w:eastAsia="x-none"/>
        </w:rPr>
        <w:tab/>
        <w:t>ASUSTeK</w:t>
      </w:r>
    </w:p>
    <w:p w14:paraId="27033314" w14:textId="2B4349EE" w:rsidR="00F74A6F" w:rsidRPr="009537ED" w:rsidRDefault="005A18DC" w:rsidP="00F74A6F">
      <w:pPr>
        <w:rPr>
          <w:lang w:eastAsia="x-none"/>
        </w:rPr>
      </w:pPr>
      <w:hyperlink r:id="rId1022" w:history="1">
        <w:r w:rsidR="00AF7253">
          <w:rPr>
            <w:rStyle w:val="Hyperlink"/>
            <w:lang w:eastAsia="x-none"/>
          </w:rPr>
          <w:t>R1-2312172</w:t>
        </w:r>
      </w:hyperlink>
      <w:r w:rsidR="00F74A6F" w:rsidRPr="009537ED">
        <w:rPr>
          <w:lang w:eastAsia="x-none"/>
        </w:rPr>
        <w:tab/>
        <w:t>Remaining issues on PHY channel design for SL-U</w:t>
      </w:r>
      <w:r w:rsidR="00F74A6F" w:rsidRPr="009537ED">
        <w:rPr>
          <w:lang w:eastAsia="x-none"/>
        </w:rPr>
        <w:tab/>
        <w:t>WILUS Inc.</w:t>
      </w:r>
    </w:p>
    <w:p w14:paraId="65C4F81B" w14:textId="77777777" w:rsidR="000237CF" w:rsidRPr="009537ED" w:rsidRDefault="000237CF" w:rsidP="00F74A6F">
      <w:pPr>
        <w:rPr>
          <w:lang w:eastAsia="x-none"/>
        </w:rPr>
      </w:pPr>
    </w:p>
    <w:p w14:paraId="66734420" w14:textId="5394D96B" w:rsidR="000237CF" w:rsidRPr="009537ED" w:rsidRDefault="005A18DC" w:rsidP="000237CF">
      <w:pPr>
        <w:rPr>
          <w:lang w:eastAsia="x-none"/>
        </w:rPr>
      </w:pPr>
      <w:hyperlink r:id="rId1023" w:history="1">
        <w:r w:rsidR="00AF7253">
          <w:rPr>
            <w:rStyle w:val="Hyperlink"/>
            <w:lang w:eastAsia="x-none"/>
          </w:rPr>
          <w:t>R1-2312324</w:t>
        </w:r>
      </w:hyperlink>
      <w:r w:rsidR="000237CF" w:rsidRPr="009537ED">
        <w:rPr>
          <w:lang w:eastAsia="x-none"/>
        </w:rPr>
        <w:tab/>
        <w:t>FL summary#1 for AI 8.2.1.2 SL-U physical channel design framework</w:t>
      </w:r>
      <w:r w:rsidR="000237CF" w:rsidRPr="009537ED">
        <w:rPr>
          <w:lang w:eastAsia="x-none"/>
        </w:rPr>
        <w:tab/>
        <w:t>Moderator (Huawei)</w:t>
      </w:r>
    </w:p>
    <w:p w14:paraId="6F09618E" w14:textId="1E4A6475" w:rsidR="000237CF" w:rsidRPr="009537ED" w:rsidRDefault="005A18DC" w:rsidP="000237CF">
      <w:pPr>
        <w:rPr>
          <w:lang w:eastAsia="x-none"/>
        </w:rPr>
      </w:pPr>
      <w:hyperlink r:id="rId1024" w:history="1">
        <w:r w:rsidR="00AF7253">
          <w:rPr>
            <w:rStyle w:val="Hyperlink"/>
            <w:lang w:eastAsia="x-none"/>
          </w:rPr>
          <w:t>R1-2312325</w:t>
        </w:r>
      </w:hyperlink>
      <w:r w:rsidR="000237CF" w:rsidRPr="009537ED">
        <w:rPr>
          <w:lang w:eastAsia="x-none"/>
        </w:rPr>
        <w:tab/>
        <w:t>FL summary#2 for AI 8.2.1.2 SL-U physical channel design framework</w:t>
      </w:r>
      <w:r w:rsidR="000237CF" w:rsidRPr="009537ED">
        <w:rPr>
          <w:lang w:eastAsia="x-none"/>
        </w:rPr>
        <w:tab/>
        <w:t>Moderator (Huawei)</w:t>
      </w:r>
    </w:p>
    <w:p w14:paraId="55F06DEF" w14:textId="2A2CBC34" w:rsidR="000237CF" w:rsidRPr="005579A7" w:rsidRDefault="005A18DC" w:rsidP="000237CF">
      <w:pPr>
        <w:rPr>
          <w:b/>
          <w:bCs/>
          <w:lang w:eastAsia="x-none"/>
        </w:rPr>
      </w:pPr>
      <w:hyperlink r:id="rId1025" w:history="1">
        <w:r w:rsidR="00AF7253">
          <w:rPr>
            <w:rStyle w:val="Hyperlink"/>
            <w:b/>
            <w:bCs/>
            <w:lang w:eastAsia="x-none"/>
          </w:rPr>
          <w:t>R1-2312326</w:t>
        </w:r>
      </w:hyperlink>
      <w:r w:rsidR="000237CF" w:rsidRPr="005579A7">
        <w:rPr>
          <w:b/>
          <w:bCs/>
          <w:lang w:eastAsia="x-none"/>
        </w:rPr>
        <w:tab/>
        <w:t>FL summary#3 for AI 8.2.1.2 SL-U physical channel design framework</w:t>
      </w:r>
      <w:r w:rsidR="000237CF" w:rsidRPr="005579A7">
        <w:rPr>
          <w:b/>
          <w:bCs/>
          <w:lang w:eastAsia="x-none"/>
        </w:rPr>
        <w:tab/>
        <w:t>Moderator (Huawei)</w:t>
      </w:r>
    </w:p>
    <w:p w14:paraId="380C4648" w14:textId="46301770" w:rsidR="005579A7" w:rsidRDefault="005579A7" w:rsidP="000237CF">
      <w:pPr>
        <w:rPr>
          <w:lang w:eastAsia="x-none"/>
        </w:rPr>
      </w:pPr>
      <w:r>
        <w:rPr>
          <w:lang w:eastAsia="x-none"/>
        </w:rPr>
        <w:t>From Wednesday session</w:t>
      </w:r>
    </w:p>
    <w:p w14:paraId="113C7EB1" w14:textId="77777777" w:rsidR="005579A7" w:rsidRPr="005579A7" w:rsidRDefault="005579A7" w:rsidP="005579A7">
      <w:pPr>
        <w:rPr>
          <w:bCs/>
          <w:szCs w:val="20"/>
          <w:lang w:eastAsia="zh-CN"/>
        </w:rPr>
      </w:pPr>
      <w:r w:rsidRPr="005579A7">
        <w:rPr>
          <w:bCs/>
          <w:szCs w:val="20"/>
          <w:highlight w:val="green"/>
          <w:lang w:eastAsia="zh-CN"/>
        </w:rPr>
        <w:t>Agreement</w:t>
      </w:r>
    </w:p>
    <w:p w14:paraId="58D513B5" w14:textId="77777777" w:rsidR="005579A7" w:rsidRPr="005579A7" w:rsidRDefault="005579A7" w:rsidP="005579A7">
      <w:pPr>
        <w:tabs>
          <w:tab w:val="left" w:pos="0"/>
        </w:tabs>
        <w:rPr>
          <w:szCs w:val="20"/>
          <w:lang w:eastAsia="zh-CN"/>
        </w:rPr>
      </w:pPr>
      <w:r w:rsidRPr="005579A7">
        <w:rPr>
          <w:bCs/>
          <w:szCs w:val="20"/>
        </w:rPr>
        <w:t>Support:</w:t>
      </w:r>
    </w:p>
    <w:p w14:paraId="0161E491" w14:textId="77777777" w:rsidR="005579A7" w:rsidRPr="005579A7" w:rsidRDefault="005579A7" w:rsidP="00AA1D48">
      <w:pPr>
        <w:numPr>
          <w:ilvl w:val="0"/>
          <w:numId w:val="145"/>
        </w:numPr>
        <w:rPr>
          <w:szCs w:val="20"/>
          <w:lang w:eastAsia="zh-CN"/>
        </w:rPr>
      </w:pPr>
      <w:r w:rsidRPr="005579A7">
        <w:rPr>
          <w:szCs w:val="20"/>
          <w:lang w:eastAsia="zh-CN"/>
        </w:rPr>
        <w:t xml:space="preserve">R17 SL inter-UE coordination Scheme 2 (conflict indication) </w:t>
      </w:r>
      <w:r w:rsidRPr="005579A7">
        <w:rPr>
          <w:b/>
          <w:szCs w:val="20"/>
          <w:lang w:eastAsia="zh-CN"/>
        </w:rPr>
        <w:t xml:space="preserve">for </w:t>
      </w:r>
      <w:r w:rsidRPr="005579A7">
        <w:rPr>
          <w:b/>
          <w:i/>
          <w:szCs w:val="20"/>
        </w:rPr>
        <w:t>sl-PSFCH-Occasion</w:t>
      </w:r>
      <w:r w:rsidRPr="005579A7">
        <w:rPr>
          <w:b/>
          <w:szCs w:val="20"/>
        </w:rPr>
        <w:t xml:space="preserve"> = '1' </w:t>
      </w:r>
      <w:r w:rsidRPr="005579A7">
        <w:rPr>
          <w:szCs w:val="20"/>
          <w:lang w:eastAsia="zh-CN"/>
        </w:rPr>
        <w:t>uses the same transmission scheme (Alt 1-1b and Alt 2-3a) as HARQ-ACK in R18 SL-U</w:t>
      </w:r>
    </w:p>
    <w:p w14:paraId="238A520A" w14:textId="77777777" w:rsidR="005579A7" w:rsidRPr="005579A7" w:rsidRDefault="005579A7" w:rsidP="00AA1D48">
      <w:pPr>
        <w:numPr>
          <w:ilvl w:val="1"/>
          <w:numId w:val="145"/>
        </w:numPr>
        <w:rPr>
          <w:szCs w:val="20"/>
          <w:lang w:eastAsia="zh-CN"/>
        </w:rPr>
      </w:pPr>
      <w:r w:rsidRPr="005579A7">
        <w:rPr>
          <w:rFonts w:eastAsia="DengXian"/>
          <w:szCs w:val="20"/>
          <w:lang w:eastAsia="zh-CN"/>
        </w:rPr>
        <w:t xml:space="preserve">For </w:t>
      </w:r>
      <w:r w:rsidRPr="005579A7">
        <w:rPr>
          <w:szCs w:val="20"/>
          <w:lang w:eastAsia="zh-CN"/>
        </w:rPr>
        <w:t>Alt 1-1b</w:t>
      </w:r>
      <w:r w:rsidRPr="005579A7">
        <w:rPr>
          <w:rFonts w:eastAsia="DengXian"/>
          <w:szCs w:val="20"/>
          <w:lang w:eastAsia="zh-CN"/>
        </w:rPr>
        <w:t>, common interlace index for conflict indication and HARQ-ACK within the s</w:t>
      </w:r>
      <w:r w:rsidRPr="005579A7">
        <w:rPr>
          <w:rFonts w:eastAsia="DengXian" w:hint="eastAsia"/>
          <w:szCs w:val="20"/>
          <w:lang w:eastAsia="zh-CN"/>
        </w:rPr>
        <w:t>a</w:t>
      </w:r>
      <w:r w:rsidRPr="005579A7">
        <w:rPr>
          <w:rFonts w:eastAsia="DengXian"/>
          <w:szCs w:val="20"/>
          <w:lang w:eastAsia="zh-CN"/>
        </w:rPr>
        <w:t>me RB set are the same</w:t>
      </w:r>
    </w:p>
    <w:p w14:paraId="0C7A086D" w14:textId="77777777" w:rsidR="005579A7" w:rsidRPr="005579A7" w:rsidRDefault="005579A7" w:rsidP="00AA1D48">
      <w:pPr>
        <w:numPr>
          <w:ilvl w:val="1"/>
          <w:numId w:val="145"/>
        </w:numPr>
        <w:rPr>
          <w:szCs w:val="20"/>
          <w:lang w:eastAsia="zh-CN"/>
        </w:rPr>
      </w:pPr>
      <w:r w:rsidRPr="005579A7">
        <w:rPr>
          <w:szCs w:val="20"/>
          <w:lang w:eastAsia="zh-CN"/>
        </w:rPr>
        <w:t>Note: Alt 1-1b and Alt 2-3a in previous agreements are as below</w:t>
      </w:r>
    </w:p>
    <w:p w14:paraId="40A204D1" w14:textId="77777777" w:rsidR="005579A7" w:rsidRPr="005579A7" w:rsidRDefault="005579A7" w:rsidP="00AA1D48">
      <w:pPr>
        <w:numPr>
          <w:ilvl w:val="2"/>
          <w:numId w:val="145"/>
        </w:numPr>
        <w:rPr>
          <w:szCs w:val="20"/>
          <w:lang w:eastAsia="zh-CN"/>
        </w:rPr>
      </w:pPr>
      <w:r w:rsidRPr="005579A7">
        <w:rPr>
          <w:bCs/>
          <w:szCs w:val="20"/>
          <w:lang w:eastAsia="zh-CN"/>
        </w:rPr>
        <w:t>Alt 1-1b: each PSFCH transmission occupies 1 common interlace and K3 dedicated PRB(s)</w:t>
      </w:r>
    </w:p>
    <w:p w14:paraId="229FA580" w14:textId="77777777" w:rsidR="005579A7" w:rsidRPr="005579A7" w:rsidRDefault="005579A7" w:rsidP="00AA1D48">
      <w:pPr>
        <w:numPr>
          <w:ilvl w:val="2"/>
          <w:numId w:val="145"/>
        </w:numPr>
        <w:rPr>
          <w:szCs w:val="20"/>
          <w:lang w:eastAsia="zh-CN"/>
        </w:rPr>
      </w:pPr>
      <w:r w:rsidRPr="005579A7">
        <w:rPr>
          <w:bCs/>
          <w:szCs w:val="20"/>
          <w:lang w:eastAsia="zh-CN"/>
        </w:rPr>
        <w:t>Alt 2-3a: each PSFCH transmission occupies 1 dedicated interlace</w:t>
      </w:r>
    </w:p>
    <w:p w14:paraId="5961E677" w14:textId="77777777" w:rsidR="005579A7" w:rsidRPr="005579A7" w:rsidRDefault="005579A7" w:rsidP="005579A7">
      <w:pPr>
        <w:rPr>
          <w:bCs/>
          <w:lang w:eastAsia="x-none"/>
        </w:rPr>
      </w:pPr>
    </w:p>
    <w:p w14:paraId="1BD33CFF" w14:textId="77777777" w:rsidR="005579A7" w:rsidRPr="005579A7" w:rsidRDefault="005579A7" w:rsidP="005579A7">
      <w:pPr>
        <w:rPr>
          <w:bCs/>
          <w:szCs w:val="20"/>
          <w:lang w:eastAsia="zh-CN"/>
        </w:rPr>
      </w:pPr>
      <w:r w:rsidRPr="005579A7">
        <w:rPr>
          <w:bCs/>
          <w:szCs w:val="20"/>
          <w:highlight w:val="green"/>
          <w:lang w:eastAsia="zh-CN"/>
        </w:rPr>
        <w:t>Agreement</w:t>
      </w:r>
    </w:p>
    <w:p w14:paraId="11D7CD58" w14:textId="77777777" w:rsidR="005579A7" w:rsidRPr="005579A7" w:rsidRDefault="005579A7" w:rsidP="005579A7">
      <w:pPr>
        <w:tabs>
          <w:tab w:val="left" w:pos="0"/>
        </w:tabs>
        <w:rPr>
          <w:szCs w:val="20"/>
          <w:lang w:eastAsia="zh-CN"/>
        </w:rPr>
      </w:pPr>
      <w:r w:rsidRPr="005579A7">
        <w:rPr>
          <w:bCs/>
          <w:szCs w:val="20"/>
        </w:rPr>
        <w:lastRenderedPageBreak/>
        <w:t>Support:</w:t>
      </w:r>
    </w:p>
    <w:p w14:paraId="1EED601E" w14:textId="77777777" w:rsidR="005579A7" w:rsidRPr="005579A7" w:rsidRDefault="005579A7" w:rsidP="00AA1D48">
      <w:pPr>
        <w:numPr>
          <w:ilvl w:val="0"/>
          <w:numId w:val="145"/>
        </w:numPr>
        <w:rPr>
          <w:szCs w:val="20"/>
          <w:lang w:eastAsia="zh-CN"/>
        </w:rPr>
      </w:pPr>
      <w:r w:rsidRPr="005579A7">
        <w:rPr>
          <w:szCs w:val="20"/>
          <w:lang w:eastAsia="zh-CN"/>
        </w:rPr>
        <w:t>“</w:t>
      </w:r>
      <w:r w:rsidRPr="005579A7">
        <w:rPr>
          <w:i/>
          <w:szCs w:val="20"/>
          <w:lang w:eastAsia="zh-CN"/>
        </w:rPr>
        <w:t>One PSCCH/PSSCH transmission has N associated candidate PSFCH occasion(s)</w:t>
      </w:r>
      <w:r w:rsidRPr="005579A7">
        <w:rPr>
          <w:szCs w:val="20"/>
          <w:lang w:eastAsia="zh-CN"/>
        </w:rPr>
        <w:t xml:space="preserve">” applies to R17 SL inter-UE coordination Scheme 2 (conflict indication) for both </w:t>
      </w:r>
      <w:r w:rsidRPr="005579A7">
        <w:rPr>
          <w:i/>
          <w:szCs w:val="20"/>
        </w:rPr>
        <w:t>sl-PSFCH-Occasion</w:t>
      </w:r>
      <w:r w:rsidRPr="005579A7">
        <w:rPr>
          <w:szCs w:val="20"/>
        </w:rPr>
        <w:t xml:space="preserve"> = '0' and</w:t>
      </w:r>
      <w:r w:rsidRPr="005579A7">
        <w:rPr>
          <w:szCs w:val="20"/>
          <w:lang w:eastAsia="zh-CN"/>
        </w:rPr>
        <w:t xml:space="preserve"> </w:t>
      </w:r>
      <w:r w:rsidRPr="005579A7">
        <w:rPr>
          <w:i/>
          <w:szCs w:val="20"/>
        </w:rPr>
        <w:t>sl-PSFCH-Occasion</w:t>
      </w:r>
      <w:r w:rsidRPr="005579A7">
        <w:rPr>
          <w:szCs w:val="20"/>
        </w:rPr>
        <w:t xml:space="preserve"> = '1'</w:t>
      </w:r>
      <w:r w:rsidRPr="005579A7">
        <w:rPr>
          <w:color w:val="7030A0"/>
          <w:szCs w:val="20"/>
        </w:rPr>
        <w:t xml:space="preserve">, </w:t>
      </w:r>
      <w:r w:rsidRPr="005579A7">
        <w:rPr>
          <w:szCs w:val="20"/>
        </w:rPr>
        <w:t>and applies to PSFCH format 0</w:t>
      </w:r>
    </w:p>
    <w:p w14:paraId="138D2CC1" w14:textId="77777777" w:rsidR="005579A7" w:rsidRPr="005579A7" w:rsidRDefault="005579A7" w:rsidP="00AA1D48">
      <w:pPr>
        <w:numPr>
          <w:ilvl w:val="1"/>
          <w:numId w:val="145"/>
        </w:numPr>
        <w:rPr>
          <w:szCs w:val="20"/>
          <w:lang w:eastAsia="zh-CN"/>
        </w:rPr>
      </w:pPr>
      <w:r w:rsidRPr="005579A7">
        <w:rPr>
          <w:rFonts w:eastAsia="Times New Roman"/>
          <w:szCs w:val="20"/>
          <w:lang w:eastAsia="zh-CN"/>
        </w:rPr>
        <w:t xml:space="preserve">UE behaviour of </w:t>
      </w:r>
      <w:r w:rsidRPr="005579A7">
        <w:rPr>
          <w:rFonts w:eastAsia="Times New Roman" w:hint="eastAsia"/>
          <w:szCs w:val="20"/>
          <w:lang w:eastAsia="zh-CN"/>
        </w:rPr>
        <w:t>P</w:t>
      </w:r>
      <w:r w:rsidRPr="005579A7">
        <w:rPr>
          <w:rFonts w:eastAsia="Times New Roman"/>
          <w:szCs w:val="20"/>
          <w:lang w:eastAsia="zh-CN"/>
        </w:rPr>
        <w:t xml:space="preserve">SFCH transmission and </w:t>
      </w:r>
      <w:r w:rsidRPr="005579A7">
        <w:rPr>
          <w:rFonts w:eastAsia="Times New Roman" w:hint="eastAsia"/>
          <w:szCs w:val="20"/>
          <w:lang w:eastAsia="zh-CN"/>
        </w:rPr>
        <w:t>recep</w:t>
      </w:r>
      <w:r w:rsidRPr="005579A7">
        <w:rPr>
          <w:rFonts w:eastAsia="Times New Roman"/>
          <w:szCs w:val="20"/>
          <w:lang w:eastAsia="zh-CN"/>
        </w:rPr>
        <w:t>tion on such N occasion(s) of IUC scheme 2 is the same as HARQ-ACK</w:t>
      </w:r>
    </w:p>
    <w:p w14:paraId="29FA9107" w14:textId="77777777" w:rsidR="005579A7" w:rsidRPr="005579A7" w:rsidRDefault="005579A7" w:rsidP="005579A7">
      <w:pPr>
        <w:rPr>
          <w:rFonts w:eastAsia="PMingLiU"/>
          <w:szCs w:val="20"/>
        </w:rPr>
      </w:pPr>
    </w:p>
    <w:p w14:paraId="0B68381A" w14:textId="77777777" w:rsidR="005579A7" w:rsidRPr="005579A7" w:rsidRDefault="005579A7" w:rsidP="005579A7">
      <w:pPr>
        <w:rPr>
          <w:rFonts w:ascii="Times New Roman" w:hAnsi="Times New Roman"/>
          <w:szCs w:val="20"/>
          <w:highlight w:val="green"/>
          <w:lang w:eastAsia="zh-CN"/>
        </w:rPr>
      </w:pPr>
      <w:r w:rsidRPr="005579A7">
        <w:rPr>
          <w:rFonts w:ascii="Times New Roman" w:hAnsi="Times New Roman"/>
          <w:szCs w:val="20"/>
          <w:highlight w:val="green"/>
          <w:lang w:eastAsia="zh-CN"/>
        </w:rPr>
        <w:t>Agreement</w:t>
      </w:r>
    </w:p>
    <w:p w14:paraId="383CE588" w14:textId="77777777" w:rsidR="005579A7" w:rsidRPr="005579A7" w:rsidRDefault="005579A7" w:rsidP="005579A7">
      <w:pPr>
        <w:rPr>
          <w:rFonts w:ascii="Times New Roman" w:hAnsi="Times New Roman"/>
          <w:szCs w:val="20"/>
          <w:lang w:eastAsia="zh-CN"/>
        </w:rPr>
      </w:pPr>
      <w:r w:rsidRPr="005579A7">
        <w:rPr>
          <w:rFonts w:ascii="Times New Roman" w:eastAsia="Times New Roman" w:hAnsi="Times New Roman"/>
          <w:szCs w:val="20"/>
          <w:lang w:eastAsia="zh-CN"/>
        </w:rPr>
        <w:t>When UE intends to transmit PSFCH, after performing PSFCH prioritization:</w:t>
      </w:r>
    </w:p>
    <w:p w14:paraId="133E7311" w14:textId="77777777" w:rsidR="005579A7" w:rsidRPr="005579A7" w:rsidRDefault="005579A7" w:rsidP="00AA1D48">
      <w:pPr>
        <w:numPr>
          <w:ilvl w:val="0"/>
          <w:numId w:val="145"/>
        </w:numPr>
        <w:rPr>
          <w:rFonts w:ascii="Times New Roman" w:hAnsi="Times New Roman"/>
          <w:szCs w:val="20"/>
          <w:lang w:eastAsia="zh-CN"/>
        </w:rPr>
      </w:pPr>
      <w:r w:rsidRPr="005579A7">
        <w:rPr>
          <w:rFonts w:ascii="Times New Roman" w:eastAsia="Times New Roman" w:hAnsi="Times New Roman"/>
          <w:szCs w:val="20"/>
          <w:u w:val="single"/>
          <w:lang w:eastAsia="zh-CN"/>
        </w:rPr>
        <w:t xml:space="preserve">if LBT fails on all RB set(s) </w:t>
      </w:r>
      <w:r w:rsidRPr="005579A7">
        <w:rPr>
          <w:rFonts w:ascii="Times New Roman" w:eastAsia="Times New Roman" w:hAnsi="Times New Roman"/>
          <w:szCs w:val="20"/>
          <w:lang w:eastAsia="zh-CN"/>
        </w:rPr>
        <w:t>where the UE attempts to transmit PSFCH</w:t>
      </w:r>
      <w:r w:rsidRPr="005579A7">
        <w:rPr>
          <w:rFonts w:ascii="Times New Roman" w:hAnsi="Times New Roman"/>
          <w:szCs w:val="20"/>
        </w:rPr>
        <w:t>:</w:t>
      </w:r>
    </w:p>
    <w:p w14:paraId="5DD112CA" w14:textId="77777777" w:rsidR="005579A7" w:rsidRPr="005579A7" w:rsidRDefault="005579A7" w:rsidP="00AA1D48">
      <w:pPr>
        <w:numPr>
          <w:ilvl w:val="1"/>
          <w:numId w:val="145"/>
        </w:numPr>
        <w:rPr>
          <w:rFonts w:ascii="Times New Roman" w:hAnsi="Times New Roman"/>
          <w:szCs w:val="20"/>
          <w:lang w:eastAsia="zh-CN"/>
        </w:rPr>
      </w:pPr>
      <w:r w:rsidRPr="005579A7">
        <w:rPr>
          <w:rFonts w:ascii="Times New Roman" w:eastAsia="Times New Roman" w:hAnsi="Times New Roman"/>
          <w:szCs w:val="20"/>
          <w:lang w:eastAsia="zh-CN"/>
        </w:rPr>
        <w:t>UE drops PSFCH transmission</w:t>
      </w:r>
    </w:p>
    <w:p w14:paraId="38CAB164" w14:textId="77777777" w:rsidR="005579A7" w:rsidRPr="005579A7" w:rsidRDefault="005579A7" w:rsidP="00AA1D48">
      <w:pPr>
        <w:numPr>
          <w:ilvl w:val="2"/>
          <w:numId w:val="145"/>
        </w:numPr>
        <w:rPr>
          <w:rFonts w:ascii="Times New Roman" w:hAnsi="Times New Roman"/>
          <w:szCs w:val="20"/>
          <w:lang w:eastAsia="zh-CN"/>
        </w:rPr>
      </w:pPr>
      <w:r w:rsidRPr="005579A7">
        <w:rPr>
          <w:rFonts w:ascii="Times New Roman" w:hAnsi="Times New Roman"/>
          <w:szCs w:val="20"/>
          <w:lang w:eastAsia="zh-CN"/>
        </w:rPr>
        <w:t>No RAN1 specification impact</w:t>
      </w:r>
    </w:p>
    <w:p w14:paraId="53041348" w14:textId="77777777" w:rsidR="005579A7" w:rsidRPr="005579A7" w:rsidRDefault="005579A7" w:rsidP="00AA1D48">
      <w:pPr>
        <w:numPr>
          <w:ilvl w:val="0"/>
          <w:numId w:val="145"/>
        </w:numPr>
        <w:rPr>
          <w:rFonts w:ascii="Times New Roman" w:hAnsi="Times New Roman"/>
          <w:szCs w:val="20"/>
          <w:lang w:eastAsia="zh-CN"/>
        </w:rPr>
      </w:pPr>
      <w:r w:rsidRPr="005579A7">
        <w:rPr>
          <w:rFonts w:ascii="Times New Roman" w:eastAsia="Times New Roman" w:hAnsi="Times New Roman"/>
          <w:szCs w:val="20"/>
          <w:u w:val="single"/>
          <w:lang w:eastAsia="zh-CN"/>
        </w:rPr>
        <w:t xml:space="preserve">if TypeA and TypeB LBT fails on part of RB set(s) </w:t>
      </w:r>
      <w:r w:rsidRPr="005579A7">
        <w:rPr>
          <w:rFonts w:ascii="Times New Roman" w:eastAsia="Times New Roman" w:hAnsi="Times New Roman"/>
          <w:szCs w:val="20"/>
          <w:lang w:eastAsia="zh-CN"/>
        </w:rPr>
        <w:t>where the UE attempts to transmit PSFCH</w:t>
      </w:r>
      <w:r w:rsidRPr="005579A7">
        <w:rPr>
          <w:rFonts w:ascii="Times New Roman" w:hAnsi="Times New Roman"/>
          <w:szCs w:val="20"/>
        </w:rPr>
        <w:t>:</w:t>
      </w:r>
    </w:p>
    <w:p w14:paraId="5E6495B5" w14:textId="77777777" w:rsidR="005579A7" w:rsidRPr="005579A7" w:rsidRDefault="005579A7" w:rsidP="00AA1D48">
      <w:pPr>
        <w:numPr>
          <w:ilvl w:val="1"/>
          <w:numId w:val="145"/>
        </w:numPr>
        <w:rPr>
          <w:rFonts w:ascii="Times New Roman" w:hAnsi="Times New Roman"/>
          <w:szCs w:val="20"/>
          <w:lang w:eastAsia="zh-CN"/>
        </w:rPr>
      </w:pPr>
      <w:r w:rsidRPr="005579A7">
        <w:rPr>
          <w:rFonts w:ascii="Times New Roman" w:eastAsia="Times New Roman" w:hAnsi="Times New Roman"/>
          <w:szCs w:val="20"/>
          <w:lang w:eastAsia="zh-CN"/>
        </w:rPr>
        <w:t>The UE may transmit PSFCH on RB set(s) where LBT was successful</w:t>
      </w:r>
    </w:p>
    <w:p w14:paraId="53D037D0" w14:textId="77777777" w:rsidR="005579A7" w:rsidRPr="005579A7" w:rsidRDefault="005579A7" w:rsidP="005579A7">
      <w:pPr>
        <w:rPr>
          <w:rFonts w:ascii="Times New Roman" w:eastAsia="PMingLiU" w:hAnsi="Times New Roman"/>
          <w:szCs w:val="20"/>
        </w:rPr>
      </w:pPr>
    </w:p>
    <w:p w14:paraId="75FA1873" w14:textId="77777777" w:rsidR="005579A7" w:rsidRPr="005579A7" w:rsidRDefault="005579A7" w:rsidP="005579A7">
      <w:pPr>
        <w:rPr>
          <w:rFonts w:ascii="Times New Roman" w:hAnsi="Times New Roman"/>
          <w:szCs w:val="20"/>
          <w:lang w:eastAsia="zh-CN"/>
        </w:rPr>
      </w:pPr>
      <w:r w:rsidRPr="005579A7">
        <w:rPr>
          <w:rFonts w:ascii="Times New Roman" w:hAnsi="Times New Roman"/>
          <w:szCs w:val="20"/>
          <w:highlight w:val="green"/>
          <w:lang w:eastAsia="zh-CN"/>
        </w:rPr>
        <w:t>Agreement</w:t>
      </w:r>
    </w:p>
    <w:p w14:paraId="1688F794" w14:textId="77777777" w:rsidR="005579A7" w:rsidRPr="005579A7" w:rsidRDefault="005579A7" w:rsidP="005579A7">
      <w:pPr>
        <w:rPr>
          <w:rFonts w:ascii="Times New Roman" w:hAnsi="Times New Roman"/>
          <w:szCs w:val="20"/>
          <w:lang w:eastAsia="zh-CN"/>
        </w:rPr>
      </w:pPr>
      <w:r w:rsidRPr="005579A7">
        <w:rPr>
          <w:rFonts w:ascii="Times New Roman" w:hAnsi="Times New Roman"/>
          <w:szCs w:val="20"/>
        </w:rPr>
        <w:t>When a UE does not support PSFCH transmission over non-contiguous RB sets,</w:t>
      </w:r>
      <w:r w:rsidRPr="005579A7">
        <w:rPr>
          <w:rFonts w:ascii="Times New Roman" w:hAnsi="Times New Roman"/>
          <w:sz w:val="14"/>
        </w:rPr>
        <w:t xml:space="preserve"> </w:t>
      </w:r>
      <w:r w:rsidRPr="005579A7">
        <w:rPr>
          <w:rFonts w:ascii="Times New Roman" w:hAnsi="Times New Roman"/>
          <w:szCs w:val="20"/>
        </w:rPr>
        <w:t>the following belongs to PSFCH prioritization</w:t>
      </w:r>
      <w:r w:rsidRPr="005579A7">
        <w:rPr>
          <w:rFonts w:ascii="Times New Roman" w:hAnsi="Times New Roman"/>
          <w:szCs w:val="20"/>
          <w:lang w:eastAsia="zh-CN"/>
        </w:rPr>
        <w:t>:</w:t>
      </w:r>
    </w:p>
    <w:p w14:paraId="1F8EAFBA" w14:textId="77777777" w:rsidR="005579A7" w:rsidRPr="005579A7" w:rsidRDefault="005579A7" w:rsidP="00AA1D48">
      <w:pPr>
        <w:numPr>
          <w:ilvl w:val="0"/>
          <w:numId w:val="146"/>
        </w:numPr>
        <w:rPr>
          <w:rFonts w:ascii="Times New Roman" w:hAnsi="Times New Roman"/>
          <w:lang w:eastAsia="x-none"/>
        </w:rPr>
      </w:pPr>
      <w:r w:rsidRPr="005579A7">
        <w:rPr>
          <w:rFonts w:ascii="Times New Roman" w:hAnsi="Times New Roman"/>
          <w:szCs w:val="20"/>
          <w:lang w:eastAsia="zh-CN"/>
        </w:rPr>
        <w:t>UE selects contiguous RB set(s) including PSFCH(s) with smallest SL priority value. If there are more than one contiguous RB set(s) including PSFCH(s) with the same smallest priority value, it is up to UE implementation to select one contiguous RB set among them.</w:t>
      </w:r>
    </w:p>
    <w:p w14:paraId="3FF82692" w14:textId="77777777" w:rsidR="005579A7" w:rsidRPr="005579A7" w:rsidRDefault="005579A7" w:rsidP="005579A7">
      <w:pPr>
        <w:rPr>
          <w:rFonts w:ascii="Times New Roman" w:hAnsi="Times New Roman"/>
          <w:lang w:eastAsia="x-none"/>
        </w:rPr>
      </w:pPr>
    </w:p>
    <w:p w14:paraId="2DEC8B21" w14:textId="7930EEEB" w:rsidR="005579A7" w:rsidRPr="005579A7" w:rsidRDefault="005579A7" w:rsidP="005579A7">
      <w:pPr>
        <w:rPr>
          <w:rFonts w:ascii="Times New Roman" w:hAnsi="Times New Roman"/>
          <w:szCs w:val="20"/>
          <w:lang w:eastAsia="zh-CN"/>
        </w:rPr>
      </w:pPr>
      <w:r w:rsidRPr="005579A7">
        <w:rPr>
          <w:rFonts w:ascii="Times New Roman" w:hAnsi="Times New Roman"/>
          <w:szCs w:val="20"/>
          <w:highlight w:val="green"/>
          <w:lang w:eastAsia="zh-CN"/>
        </w:rPr>
        <w:t>Agreement</w:t>
      </w:r>
      <w:r w:rsidR="00296448">
        <w:rPr>
          <w:rFonts w:ascii="Times New Roman" w:hAnsi="Times New Roman"/>
          <w:szCs w:val="20"/>
          <w:lang w:eastAsia="zh-CN"/>
        </w:rPr>
        <w:t xml:space="preserve"> (further amended on Friday as shown in red)</w:t>
      </w:r>
    </w:p>
    <w:p w14:paraId="66A22D87" w14:textId="77777777" w:rsidR="005579A7" w:rsidRPr="005579A7" w:rsidRDefault="005579A7" w:rsidP="005579A7">
      <w:pPr>
        <w:tabs>
          <w:tab w:val="left" w:pos="0"/>
        </w:tabs>
        <w:rPr>
          <w:rFonts w:ascii="Times New Roman" w:hAnsi="Times New Roman"/>
          <w:szCs w:val="20"/>
          <w:lang w:eastAsia="zh-CN"/>
        </w:rPr>
      </w:pPr>
      <w:r w:rsidRPr="005579A7">
        <w:rPr>
          <w:rFonts w:ascii="Times New Roman" w:hAnsi="Times New Roman"/>
          <w:szCs w:val="20"/>
        </w:rPr>
        <w:t>For SL-U PHY, following higher layer parameters are endorsed.</w:t>
      </w:r>
    </w:p>
    <w:tbl>
      <w:tblPr>
        <w:tblW w:w="5000" w:type="pct"/>
        <w:tblLayout w:type="fixed"/>
        <w:tblLook w:val="04A0" w:firstRow="1" w:lastRow="0" w:firstColumn="1" w:lastColumn="0" w:noHBand="0" w:noVBand="1"/>
      </w:tblPr>
      <w:tblGrid>
        <w:gridCol w:w="816"/>
        <w:gridCol w:w="1844"/>
        <w:gridCol w:w="3923"/>
        <w:gridCol w:w="2342"/>
        <w:gridCol w:w="758"/>
        <w:gridCol w:w="1000"/>
      </w:tblGrid>
      <w:tr w:rsidR="005579A7" w:rsidRPr="005579A7" w14:paraId="20A84E9A" w14:textId="77777777" w:rsidTr="005579A7">
        <w:trPr>
          <w:trHeight w:val="20"/>
        </w:trPr>
        <w:tc>
          <w:tcPr>
            <w:tcW w:w="382" w:type="pct"/>
            <w:tcBorders>
              <w:top w:val="single" w:sz="4" w:space="0" w:color="auto"/>
              <w:left w:val="single" w:sz="4" w:space="0" w:color="auto"/>
              <w:bottom w:val="single" w:sz="4" w:space="0" w:color="auto"/>
              <w:right w:val="single" w:sz="4" w:space="0" w:color="auto"/>
            </w:tcBorders>
            <w:shd w:val="clear" w:color="auto" w:fill="auto"/>
            <w:vAlign w:val="center"/>
          </w:tcPr>
          <w:p w14:paraId="76B98B40" w14:textId="77777777" w:rsidR="005579A7" w:rsidRPr="005579A7" w:rsidRDefault="005579A7" w:rsidP="005579A7">
            <w:pPr>
              <w:jc w:val="center"/>
              <w:rPr>
                <w:rFonts w:ascii="Arial" w:eastAsia="DengXian" w:hAnsi="Arial" w:cs="Arial"/>
                <w:b/>
                <w:bCs/>
                <w:sz w:val="16"/>
                <w:szCs w:val="16"/>
                <w:lang w:eastAsia="zh-CN"/>
              </w:rPr>
            </w:pPr>
            <w:r w:rsidRPr="005579A7">
              <w:rPr>
                <w:rFonts w:ascii="Arial" w:eastAsia="DengXian" w:hAnsi="Arial" w:cs="Arial"/>
                <w:b/>
                <w:bCs/>
                <w:sz w:val="16"/>
                <w:szCs w:val="16"/>
                <w:lang w:eastAsia="zh-CN"/>
              </w:rPr>
              <w:t>index</w:t>
            </w:r>
          </w:p>
        </w:tc>
        <w:tc>
          <w:tcPr>
            <w:tcW w:w="863" w:type="pct"/>
            <w:tcBorders>
              <w:top w:val="single" w:sz="4" w:space="0" w:color="auto"/>
              <w:left w:val="single" w:sz="4" w:space="0" w:color="auto"/>
              <w:bottom w:val="single" w:sz="4" w:space="0" w:color="auto"/>
              <w:right w:val="single" w:sz="4" w:space="0" w:color="auto"/>
            </w:tcBorders>
            <w:shd w:val="clear" w:color="auto" w:fill="auto"/>
            <w:vAlign w:val="center"/>
          </w:tcPr>
          <w:p w14:paraId="47201614" w14:textId="77777777" w:rsidR="005579A7" w:rsidRPr="005579A7" w:rsidRDefault="005579A7" w:rsidP="005579A7">
            <w:pPr>
              <w:suppressAutoHyphens/>
              <w:jc w:val="center"/>
              <w:rPr>
                <w:rFonts w:ascii="Arial" w:eastAsia="DengXian" w:hAnsi="Arial" w:cs="Arial"/>
                <w:b/>
                <w:bCs/>
                <w:sz w:val="16"/>
                <w:szCs w:val="16"/>
                <w:lang w:eastAsia="zh-CN"/>
              </w:rPr>
            </w:pPr>
            <w:r w:rsidRPr="005579A7">
              <w:rPr>
                <w:rFonts w:ascii="Arial" w:eastAsia="DengXian" w:hAnsi="Arial" w:cs="Arial"/>
                <w:b/>
                <w:bCs/>
                <w:sz w:val="16"/>
                <w:szCs w:val="16"/>
                <w:lang w:eastAsia="zh-CN"/>
              </w:rPr>
              <w:t>Parameter name in the text</w:t>
            </w:r>
          </w:p>
        </w:tc>
        <w:tc>
          <w:tcPr>
            <w:tcW w:w="1836" w:type="pct"/>
            <w:tcBorders>
              <w:top w:val="single" w:sz="4" w:space="0" w:color="auto"/>
              <w:left w:val="nil"/>
              <w:bottom w:val="single" w:sz="4" w:space="0" w:color="auto"/>
              <w:right w:val="single" w:sz="4" w:space="0" w:color="auto"/>
            </w:tcBorders>
            <w:shd w:val="clear" w:color="auto" w:fill="auto"/>
            <w:vAlign w:val="center"/>
          </w:tcPr>
          <w:p w14:paraId="34FBD29C" w14:textId="77777777" w:rsidR="005579A7" w:rsidRPr="005579A7" w:rsidRDefault="005579A7" w:rsidP="005579A7">
            <w:pPr>
              <w:jc w:val="both"/>
              <w:rPr>
                <w:rFonts w:ascii="Arial" w:eastAsia="DengXian" w:hAnsi="Arial" w:cs="Arial"/>
                <w:b/>
                <w:bCs/>
                <w:sz w:val="16"/>
                <w:szCs w:val="16"/>
                <w:lang w:eastAsia="zh-CN"/>
              </w:rPr>
            </w:pPr>
            <w:r w:rsidRPr="005579A7">
              <w:rPr>
                <w:rFonts w:ascii="Arial" w:eastAsia="DengXian" w:hAnsi="Arial" w:cs="Arial"/>
                <w:b/>
                <w:bCs/>
                <w:sz w:val="16"/>
                <w:szCs w:val="16"/>
                <w:lang w:eastAsia="zh-CN"/>
              </w:rPr>
              <w:t>Description</w:t>
            </w:r>
          </w:p>
        </w:tc>
        <w:tc>
          <w:tcPr>
            <w:tcW w:w="1096" w:type="pct"/>
            <w:tcBorders>
              <w:top w:val="single" w:sz="4" w:space="0" w:color="auto"/>
              <w:left w:val="nil"/>
              <w:bottom w:val="single" w:sz="4" w:space="0" w:color="auto"/>
              <w:right w:val="single" w:sz="4" w:space="0" w:color="auto"/>
            </w:tcBorders>
            <w:shd w:val="clear" w:color="auto" w:fill="auto"/>
            <w:vAlign w:val="center"/>
          </w:tcPr>
          <w:p w14:paraId="3BCB803E" w14:textId="77777777" w:rsidR="005579A7" w:rsidRPr="005579A7" w:rsidRDefault="005579A7" w:rsidP="005579A7">
            <w:pPr>
              <w:jc w:val="center"/>
              <w:rPr>
                <w:rFonts w:ascii="Arial" w:eastAsia="DengXian" w:hAnsi="Arial" w:cs="Arial"/>
                <w:b/>
                <w:bCs/>
                <w:sz w:val="16"/>
                <w:szCs w:val="16"/>
                <w:lang w:eastAsia="zh-CN"/>
              </w:rPr>
            </w:pPr>
            <w:r w:rsidRPr="005579A7">
              <w:rPr>
                <w:rFonts w:ascii="Arial" w:eastAsia="DengXian" w:hAnsi="Arial" w:cs="Arial"/>
                <w:b/>
                <w:bCs/>
                <w:sz w:val="16"/>
                <w:szCs w:val="16"/>
                <w:lang w:eastAsia="zh-CN"/>
              </w:rPr>
              <w:t>Value range</w:t>
            </w:r>
          </w:p>
        </w:tc>
        <w:tc>
          <w:tcPr>
            <w:tcW w:w="355" w:type="pct"/>
            <w:tcBorders>
              <w:top w:val="single" w:sz="4" w:space="0" w:color="auto"/>
              <w:left w:val="nil"/>
              <w:bottom w:val="single" w:sz="4" w:space="0" w:color="auto"/>
              <w:right w:val="single" w:sz="4" w:space="0" w:color="auto"/>
            </w:tcBorders>
            <w:shd w:val="clear" w:color="auto" w:fill="auto"/>
            <w:vAlign w:val="center"/>
          </w:tcPr>
          <w:p w14:paraId="09038EA3" w14:textId="77777777" w:rsidR="005579A7" w:rsidRPr="005579A7" w:rsidRDefault="005579A7" w:rsidP="005579A7">
            <w:pPr>
              <w:jc w:val="center"/>
              <w:rPr>
                <w:rFonts w:ascii="Arial" w:eastAsia="DengXian" w:hAnsi="Arial" w:cs="Arial"/>
                <w:b/>
                <w:bCs/>
                <w:sz w:val="16"/>
                <w:szCs w:val="16"/>
                <w:lang w:eastAsia="zh-CN"/>
              </w:rPr>
            </w:pPr>
            <w:r w:rsidRPr="005579A7">
              <w:rPr>
                <w:rFonts w:ascii="Arial" w:eastAsia="DengXian" w:hAnsi="Arial" w:cs="Arial"/>
                <w:b/>
                <w:bCs/>
                <w:sz w:val="16"/>
                <w:szCs w:val="16"/>
                <w:lang w:eastAsia="zh-CN"/>
              </w:rPr>
              <w:t>Default value aspect</w:t>
            </w:r>
          </w:p>
        </w:tc>
        <w:tc>
          <w:tcPr>
            <w:tcW w:w="468" w:type="pct"/>
            <w:tcBorders>
              <w:top w:val="single" w:sz="4" w:space="0" w:color="auto"/>
              <w:left w:val="nil"/>
              <w:bottom w:val="single" w:sz="4" w:space="0" w:color="auto"/>
              <w:right w:val="single" w:sz="4" w:space="0" w:color="auto"/>
            </w:tcBorders>
            <w:shd w:val="clear" w:color="auto" w:fill="auto"/>
            <w:vAlign w:val="center"/>
          </w:tcPr>
          <w:p w14:paraId="6883BAF6" w14:textId="77777777" w:rsidR="005579A7" w:rsidRPr="005579A7" w:rsidRDefault="005579A7" w:rsidP="005579A7">
            <w:pPr>
              <w:jc w:val="center"/>
              <w:rPr>
                <w:rFonts w:ascii="Arial" w:eastAsia="DengXian" w:hAnsi="Arial" w:cs="Arial"/>
                <w:b/>
                <w:bCs/>
                <w:sz w:val="16"/>
                <w:szCs w:val="16"/>
                <w:lang w:eastAsia="zh-CN"/>
              </w:rPr>
            </w:pPr>
            <w:r w:rsidRPr="005579A7">
              <w:rPr>
                <w:rFonts w:ascii="Arial" w:eastAsia="DengXian" w:hAnsi="Arial" w:cs="Arial"/>
                <w:b/>
                <w:bCs/>
                <w:sz w:val="16"/>
                <w:szCs w:val="16"/>
                <w:lang w:eastAsia="zh-CN"/>
              </w:rPr>
              <w:t>Per (UE, cell, TRP, …)</w:t>
            </w:r>
          </w:p>
        </w:tc>
      </w:tr>
      <w:tr w:rsidR="005579A7" w:rsidRPr="005579A7" w14:paraId="1965BFD5" w14:textId="77777777" w:rsidTr="005579A7">
        <w:trPr>
          <w:trHeight w:val="20"/>
        </w:trPr>
        <w:tc>
          <w:tcPr>
            <w:tcW w:w="382" w:type="pct"/>
            <w:tcBorders>
              <w:top w:val="nil"/>
              <w:left w:val="single" w:sz="4" w:space="0" w:color="auto"/>
              <w:bottom w:val="single" w:sz="4" w:space="0" w:color="auto"/>
              <w:right w:val="single" w:sz="4" w:space="0" w:color="auto"/>
            </w:tcBorders>
            <w:shd w:val="clear" w:color="auto" w:fill="auto"/>
            <w:vAlign w:val="center"/>
          </w:tcPr>
          <w:p w14:paraId="73DC3E9D" w14:textId="77777777" w:rsidR="005579A7" w:rsidRPr="005579A7" w:rsidRDefault="005579A7" w:rsidP="005579A7">
            <w:pPr>
              <w:jc w:val="center"/>
              <w:rPr>
                <w:rFonts w:ascii="Arial" w:eastAsia="DengXian" w:hAnsi="Arial" w:cs="Arial"/>
                <w:sz w:val="16"/>
                <w:szCs w:val="16"/>
                <w:lang w:eastAsia="zh-CN"/>
              </w:rPr>
            </w:pPr>
            <w:r w:rsidRPr="005579A7">
              <w:rPr>
                <w:rFonts w:ascii="Arial" w:eastAsia="DengXian" w:hAnsi="Arial" w:cs="Arial"/>
                <w:sz w:val="16"/>
                <w:szCs w:val="16"/>
                <w:lang w:eastAsia="zh-CN"/>
              </w:rPr>
              <w:t>3</w:t>
            </w:r>
          </w:p>
        </w:tc>
        <w:tc>
          <w:tcPr>
            <w:tcW w:w="863" w:type="pct"/>
            <w:tcBorders>
              <w:top w:val="nil"/>
              <w:left w:val="single" w:sz="4" w:space="0" w:color="auto"/>
              <w:bottom w:val="single" w:sz="4" w:space="0" w:color="auto"/>
              <w:right w:val="single" w:sz="4" w:space="0" w:color="auto"/>
            </w:tcBorders>
            <w:shd w:val="clear" w:color="auto" w:fill="auto"/>
            <w:vAlign w:val="center"/>
          </w:tcPr>
          <w:p w14:paraId="635AF09D" w14:textId="77777777" w:rsidR="005579A7" w:rsidRPr="005579A7" w:rsidRDefault="005579A7" w:rsidP="005579A7">
            <w:pPr>
              <w:suppressAutoHyphens/>
              <w:jc w:val="center"/>
              <w:rPr>
                <w:rFonts w:ascii="Arial" w:eastAsia="DengXian" w:hAnsi="Arial" w:cs="Arial"/>
                <w:sz w:val="16"/>
                <w:szCs w:val="16"/>
                <w:lang w:eastAsia="zh-CN"/>
              </w:rPr>
            </w:pPr>
            <w:r w:rsidRPr="005579A7">
              <w:rPr>
                <w:rFonts w:ascii="Arial" w:eastAsia="DengXian" w:hAnsi="Arial" w:cs="Arial"/>
                <w:sz w:val="16"/>
                <w:szCs w:val="16"/>
                <w:lang w:eastAsia="zh-CN"/>
              </w:rPr>
              <w:t>intraCellGuardBandsSL-List</w:t>
            </w:r>
          </w:p>
        </w:tc>
        <w:tc>
          <w:tcPr>
            <w:tcW w:w="1836" w:type="pct"/>
            <w:tcBorders>
              <w:top w:val="nil"/>
              <w:left w:val="nil"/>
              <w:bottom w:val="single" w:sz="4" w:space="0" w:color="auto"/>
              <w:right w:val="single" w:sz="4" w:space="0" w:color="auto"/>
            </w:tcBorders>
            <w:shd w:val="clear" w:color="auto" w:fill="auto"/>
            <w:vAlign w:val="center"/>
          </w:tcPr>
          <w:p w14:paraId="32CDA04F" w14:textId="77777777" w:rsidR="005579A7" w:rsidRPr="005579A7" w:rsidRDefault="005579A7" w:rsidP="005579A7">
            <w:pPr>
              <w:jc w:val="both"/>
              <w:rPr>
                <w:rFonts w:ascii="Arial" w:eastAsia="DengXian" w:hAnsi="Arial" w:cs="Arial"/>
                <w:sz w:val="16"/>
                <w:szCs w:val="16"/>
                <w:lang w:eastAsia="zh-CN"/>
              </w:rPr>
            </w:pPr>
            <w:r w:rsidRPr="005579A7">
              <w:rPr>
                <w:rFonts w:ascii="Arial" w:eastAsia="DengXian" w:hAnsi="Arial" w:cs="Arial"/>
                <w:sz w:val="16"/>
                <w:szCs w:val="16"/>
                <w:lang w:eastAsia="zh-CN"/>
              </w:rPr>
              <w:t>List of intra-cell guard bands for operation with shared spectrum channel access. If not configured, the guard bands are defined according to 38.101-1 [15], see TS 38.214 [19], clause 7. For operation in licensed spectrum, this field is absent, and no UE action is required.</w:t>
            </w:r>
          </w:p>
        </w:tc>
        <w:tc>
          <w:tcPr>
            <w:tcW w:w="1096" w:type="pct"/>
            <w:tcBorders>
              <w:top w:val="nil"/>
              <w:left w:val="nil"/>
              <w:bottom w:val="single" w:sz="4" w:space="0" w:color="auto"/>
              <w:right w:val="single" w:sz="4" w:space="0" w:color="auto"/>
            </w:tcBorders>
            <w:shd w:val="clear" w:color="auto" w:fill="auto"/>
            <w:vAlign w:val="center"/>
          </w:tcPr>
          <w:p w14:paraId="158BD869" w14:textId="77777777" w:rsidR="005579A7" w:rsidRPr="005579A7" w:rsidRDefault="005579A7" w:rsidP="005579A7">
            <w:pPr>
              <w:jc w:val="center"/>
              <w:rPr>
                <w:rFonts w:ascii="Arial" w:eastAsia="DengXian" w:hAnsi="Arial" w:cs="Arial"/>
                <w:sz w:val="16"/>
                <w:szCs w:val="16"/>
                <w:lang w:eastAsia="zh-CN"/>
              </w:rPr>
            </w:pPr>
            <w:r w:rsidRPr="005579A7">
              <w:rPr>
                <w:rFonts w:ascii="Arial" w:eastAsia="DengXian" w:hAnsi="Arial" w:cs="Arial"/>
                <w:sz w:val="16"/>
                <w:szCs w:val="16"/>
                <w:lang w:eastAsia="zh-CN"/>
              </w:rPr>
              <w:t>SEQUENCE (SIZE (1..maxSCSs)) OF IntraCellGuardBandsPerSCS-r16</w:t>
            </w:r>
          </w:p>
          <w:p w14:paraId="30F9E23A" w14:textId="77777777" w:rsidR="005579A7" w:rsidRPr="005579A7" w:rsidRDefault="005579A7" w:rsidP="005579A7">
            <w:pPr>
              <w:jc w:val="center"/>
              <w:rPr>
                <w:rFonts w:ascii="Arial" w:eastAsia="DengXian" w:hAnsi="Arial" w:cs="Arial"/>
                <w:sz w:val="16"/>
                <w:szCs w:val="16"/>
                <w:lang w:eastAsia="zh-CN"/>
              </w:rPr>
            </w:pPr>
          </w:p>
          <w:p w14:paraId="7D6899BE" w14:textId="77777777" w:rsidR="005579A7" w:rsidRPr="00296448" w:rsidRDefault="005579A7" w:rsidP="005579A7">
            <w:pPr>
              <w:jc w:val="center"/>
              <w:rPr>
                <w:rFonts w:ascii="Arial" w:eastAsia="DengXian" w:hAnsi="Arial" w:cs="Arial"/>
                <w:strike/>
                <w:color w:val="FF0000"/>
                <w:sz w:val="16"/>
                <w:szCs w:val="16"/>
                <w:lang w:eastAsia="zh-CN"/>
              </w:rPr>
            </w:pPr>
            <w:r w:rsidRPr="00296448">
              <w:rPr>
                <w:rFonts w:ascii="Arial" w:eastAsia="DengXian" w:hAnsi="Arial" w:cs="Arial"/>
                <w:strike/>
                <w:color w:val="FF0000"/>
                <w:sz w:val="16"/>
                <w:szCs w:val="16"/>
                <w:lang w:eastAsia="zh-CN"/>
              </w:rPr>
              <w:t>FFS: whether to exclude 0 from the value range of</w:t>
            </w:r>
          </w:p>
          <w:p w14:paraId="30DF0396" w14:textId="77777777" w:rsidR="005579A7" w:rsidRPr="005579A7" w:rsidRDefault="005579A7" w:rsidP="005579A7">
            <w:pPr>
              <w:jc w:val="center"/>
              <w:rPr>
                <w:rFonts w:ascii="Arial" w:eastAsia="DengXian" w:hAnsi="Arial" w:cs="Arial"/>
                <w:sz w:val="16"/>
                <w:szCs w:val="16"/>
                <w:lang w:eastAsia="zh-CN"/>
              </w:rPr>
            </w:pPr>
            <w:r w:rsidRPr="00296448">
              <w:rPr>
                <w:rFonts w:ascii="Arial" w:eastAsia="DengXian" w:hAnsi="Arial" w:cs="Arial"/>
                <w:strike/>
                <w:color w:val="FF0000"/>
                <w:sz w:val="16"/>
                <w:szCs w:val="16"/>
                <w:lang w:eastAsia="zh-CN"/>
              </w:rPr>
              <w:t>nrofCRBs.</w:t>
            </w:r>
          </w:p>
        </w:tc>
        <w:tc>
          <w:tcPr>
            <w:tcW w:w="355" w:type="pct"/>
            <w:tcBorders>
              <w:top w:val="nil"/>
              <w:left w:val="nil"/>
              <w:bottom w:val="single" w:sz="4" w:space="0" w:color="auto"/>
              <w:right w:val="single" w:sz="4" w:space="0" w:color="auto"/>
            </w:tcBorders>
            <w:shd w:val="clear" w:color="auto" w:fill="auto"/>
            <w:vAlign w:val="center"/>
          </w:tcPr>
          <w:p w14:paraId="76996B2E" w14:textId="77777777" w:rsidR="005579A7" w:rsidRPr="005579A7" w:rsidRDefault="005579A7" w:rsidP="005579A7">
            <w:pPr>
              <w:jc w:val="center"/>
              <w:rPr>
                <w:rFonts w:ascii="Arial" w:eastAsia="DengXian" w:hAnsi="Arial" w:cs="Arial"/>
                <w:sz w:val="16"/>
                <w:szCs w:val="16"/>
                <w:lang w:eastAsia="zh-CN"/>
              </w:rPr>
            </w:pPr>
            <w:r w:rsidRPr="005579A7">
              <w:rPr>
                <w:rFonts w:ascii="Arial" w:eastAsia="DengXian" w:hAnsi="Arial" w:cs="Arial"/>
                <w:sz w:val="16"/>
                <w:szCs w:val="16"/>
                <w:lang w:eastAsia="zh-CN"/>
              </w:rPr>
              <w:t>N/A</w:t>
            </w:r>
          </w:p>
        </w:tc>
        <w:tc>
          <w:tcPr>
            <w:tcW w:w="468" w:type="pct"/>
            <w:tcBorders>
              <w:top w:val="nil"/>
              <w:left w:val="nil"/>
              <w:bottom w:val="single" w:sz="4" w:space="0" w:color="auto"/>
              <w:right w:val="single" w:sz="4" w:space="0" w:color="auto"/>
            </w:tcBorders>
            <w:shd w:val="clear" w:color="auto" w:fill="auto"/>
            <w:vAlign w:val="center"/>
          </w:tcPr>
          <w:p w14:paraId="76B1ADCE" w14:textId="77777777" w:rsidR="005579A7" w:rsidRPr="005579A7" w:rsidRDefault="005579A7" w:rsidP="005579A7">
            <w:pPr>
              <w:jc w:val="center"/>
              <w:rPr>
                <w:rFonts w:ascii="Arial" w:eastAsia="DengXian" w:hAnsi="Arial" w:cs="Arial"/>
                <w:sz w:val="16"/>
                <w:szCs w:val="16"/>
                <w:lang w:eastAsia="zh-CN"/>
              </w:rPr>
            </w:pPr>
            <w:r w:rsidRPr="005579A7">
              <w:rPr>
                <w:rFonts w:ascii="Arial" w:eastAsia="DengXian" w:hAnsi="Arial" w:cs="Arial"/>
                <w:sz w:val="16"/>
                <w:szCs w:val="16"/>
                <w:lang w:eastAsia="zh-CN"/>
              </w:rPr>
              <w:t>Per SL BWP</w:t>
            </w:r>
          </w:p>
        </w:tc>
      </w:tr>
      <w:tr w:rsidR="005579A7" w:rsidRPr="005579A7" w14:paraId="78CAEAFD" w14:textId="77777777" w:rsidTr="005579A7">
        <w:trPr>
          <w:trHeight w:val="20"/>
        </w:trPr>
        <w:tc>
          <w:tcPr>
            <w:tcW w:w="382" w:type="pct"/>
            <w:tcBorders>
              <w:top w:val="nil"/>
              <w:left w:val="single" w:sz="4" w:space="0" w:color="auto"/>
              <w:bottom w:val="single" w:sz="4" w:space="0" w:color="auto"/>
              <w:right w:val="single" w:sz="4" w:space="0" w:color="auto"/>
            </w:tcBorders>
            <w:shd w:val="clear" w:color="auto" w:fill="auto"/>
            <w:vAlign w:val="center"/>
          </w:tcPr>
          <w:p w14:paraId="6F7D1BED" w14:textId="77777777" w:rsidR="005579A7" w:rsidRPr="005579A7" w:rsidRDefault="005579A7" w:rsidP="005579A7">
            <w:pPr>
              <w:jc w:val="center"/>
              <w:rPr>
                <w:rFonts w:ascii="Arial" w:eastAsia="DengXian" w:hAnsi="Arial" w:cs="Arial"/>
                <w:sz w:val="16"/>
                <w:szCs w:val="16"/>
                <w:lang w:eastAsia="zh-CN"/>
              </w:rPr>
            </w:pPr>
            <w:r w:rsidRPr="005579A7">
              <w:rPr>
                <w:rFonts w:ascii="Arial" w:eastAsia="DengXian" w:hAnsi="Arial" w:cs="Arial"/>
                <w:sz w:val="16"/>
                <w:szCs w:val="16"/>
                <w:lang w:eastAsia="zh-CN"/>
              </w:rPr>
              <w:t>6</w:t>
            </w:r>
          </w:p>
        </w:tc>
        <w:tc>
          <w:tcPr>
            <w:tcW w:w="863" w:type="pct"/>
            <w:tcBorders>
              <w:top w:val="nil"/>
              <w:left w:val="single" w:sz="4" w:space="0" w:color="auto"/>
              <w:bottom w:val="single" w:sz="4" w:space="0" w:color="auto"/>
              <w:right w:val="single" w:sz="4" w:space="0" w:color="auto"/>
            </w:tcBorders>
            <w:shd w:val="clear" w:color="auto" w:fill="auto"/>
            <w:vAlign w:val="center"/>
          </w:tcPr>
          <w:p w14:paraId="2DA5533A" w14:textId="77777777" w:rsidR="005579A7" w:rsidRPr="005579A7" w:rsidRDefault="005579A7" w:rsidP="005579A7">
            <w:pPr>
              <w:suppressAutoHyphens/>
              <w:jc w:val="center"/>
              <w:rPr>
                <w:rFonts w:ascii="Arial" w:eastAsia="DengXian" w:hAnsi="Arial" w:cs="Arial"/>
                <w:sz w:val="16"/>
                <w:szCs w:val="16"/>
                <w:lang w:eastAsia="zh-CN"/>
              </w:rPr>
            </w:pPr>
            <w:r w:rsidRPr="005579A7">
              <w:rPr>
                <w:rFonts w:ascii="Arial" w:eastAsia="DengXian" w:hAnsi="Arial" w:cs="Arial"/>
                <w:sz w:val="16"/>
                <w:szCs w:val="16"/>
                <w:lang w:eastAsia="zh-CN"/>
              </w:rPr>
              <w:t>numRefSymbolLength</w:t>
            </w:r>
          </w:p>
        </w:tc>
        <w:tc>
          <w:tcPr>
            <w:tcW w:w="1836" w:type="pct"/>
            <w:tcBorders>
              <w:top w:val="nil"/>
              <w:left w:val="nil"/>
              <w:bottom w:val="single" w:sz="4" w:space="0" w:color="auto"/>
              <w:right w:val="single" w:sz="4" w:space="0" w:color="auto"/>
            </w:tcBorders>
            <w:shd w:val="clear" w:color="auto" w:fill="auto"/>
            <w:vAlign w:val="center"/>
          </w:tcPr>
          <w:p w14:paraId="3A76A2ED" w14:textId="77777777" w:rsidR="005579A7" w:rsidRPr="005579A7" w:rsidRDefault="005579A7" w:rsidP="005579A7">
            <w:pPr>
              <w:jc w:val="both"/>
              <w:rPr>
                <w:rFonts w:ascii="Arial" w:eastAsia="DengXian" w:hAnsi="Arial" w:cs="Arial"/>
                <w:sz w:val="16"/>
                <w:szCs w:val="16"/>
                <w:lang w:eastAsia="zh-CN"/>
              </w:rPr>
            </w:pPr>
            <w:r w:rsidRPr="005579A7">
              <w:rPr>
                <w:rFonts w:ascii="Arial" w:eastAsia="DengXian" w:hAnsi="Arial" w:cs="Arial"/>
                <w:sz w:val="16"/>
                <w:szCs w:val="16"/>
                <w:lang w:eastAsia="zh-CN"/>
              </w:rPr>
              <w:t>Indicates a reference number of symbols for TBS determination</w:t>
            </w:r>
          </w:p>
        </w:tc>
        <w:tc>
          <w:tcPr>
            <w:tcW w:w="1096" w:type="pct"/>
            <w:tcBorders>
              <w:top w:val="nil"/>
              <w:left w:val="nil"/>
              <w:bottom w:val="single" w:sz="4" w:space="0" w:color="auto"/>
              <w:right w:val="single" w:sz="4" w:space="0" w:color="auto"/>
            </w:tcBorders>
            <w:shd w:val="clear" w:color="auto" w:fill="auto"/>
            <w:vAlign w:val="center"/>
          </w:tcPr>
          <w:p w14:paraId="7455232E" w14:textId="77777777" w:rsidR="005579A7" w:rsidRPr="005579A7" w:rsidRDefault="005579A7" w:rsidP="005579A7">
            <w:pPr>
              <w:jc w:val="center"/>
              <w:rPr>
                <w:rFonts w:ascii="Arial" w:eastAsia="DengXian" w:hAnsi="Arial" w:cs="Arial"/>
                <w:sz w:val="16"/>
                <w:szCs w:val="16"/>
                <w:lang w:eastAsia="zh-CN"/>
              </w:rPr>
            </w:pPr>
            <w:r w:rsidRPr="005579A7">
              <w:rPr>
                <w:rFonts w:ascii="Arial" w:eastAsia="DengXian" w:hAnsi="Arial" w:cs="Arial"/>
                <w:sz w:val="16"/>
                <w:szCs w:val="16"/>
                <w:lang w:eastAsia="zh-CN"/>
              </w:rPr>
              <w:t>ENUMERATED {sym7, sym8, sym9, sym10, sym11, sym12, sym13, sym14}</w:t>
            </w:r>
          </w:p>
        </w:tc>
        <w:tc>
          <w:tcPr>
            <w:tcW w:w="355" w:type="pct"/>
            <w:tcBorders>
              <w:top w:val="nil"/>
              <w:left w:val="nil"/>
              <w:bottom w:val="single" w:sz="4" w:space="0" w:color="auto"/>
              <w:right w:val="single" w:sz="4" w:space="0" w:color="auto"/>
            </w:tcBorders>
            <w:shd w:val="clear" w:color="auto" w:fill="auto"/>
            <w:vAlign w:val="center"/>
          </w:tcPr>
          <w:p w14:paraId="013387B0" w14:textId="77777777" w:rsidR="005579A7" w:rsidRPr="005579A7" w:rsidRDefault="005579A7" w:rsidP="005579A7">
            <w:pPr>
              <w:jc w:val="center"/>
              <w:rPr>
                <w:rFonts w:ascii="Arial" w:eastAsia="DengXian" w:hAnsi="Arial" w:cs="Arial"/>
                <w:sz w:val="16"/>
                <w:szCs w:val="16"/>
                <w:lang w:eastAsia="zh-CN"/>
              </w:rPr>
            </w:pPr>
            <w:r w:rsidRPr="005579A7">
              <w:rPr>
                <w:rFonts w:ascii="Arial" w:eastAsia="DengXian" w:hAnsi="Arial" w:cs="Arial"/>
                <w:sz w:val="16"/>
                <w:szCs w:val="16"/>
                <w:lang w:eastAsia="zh-CN"/>
              </w:rPr>
              <w:t>N/A</w:t>
            </w:r>
          </w:p>
        </w:tc>
        <w:tc>
          <w:tcPr>
            <w:tcW w:w="468" w:type="pct"/>
            <w:tcBorders>
              <w:top w:val="nil"/>
              <w:left w:val="nil"/>
              <w:bottom w:val="single" w:sz="4" w:space="0" w:color="auto"/>
              <w:right w:val="single" w:sz="4" w:space="0" w:color="auto"/>
            </w:tcBorders>
            <w:shd w:val="clear" w:color="auto" w:fill="auto"/>
            <w:vAlign w:val="center"/>
          </w:tcPr>
          <w:p w14:paraId="30E914AC" w14:textId="77777777" w:rsidR="005579A7" w:rsidRPr="005579A7" w:rsidRDefault="005579A7" w:rsidP="005579A7">
            <w:pPr>
              <w:jc w:val="center"/>
              <w:rPr>
                <w:rFonts w:ascii="Arial" w:eastAsia="DengXian" w:hAnsi="Arial" w:cs="Arial"/>
                <w:sz w:val="16"/>
                <w:szCs w:val="16"/>
                <w:highlight w:val="yellow"/>
                <w:lang w:eastAsia="zh-CN"/>
              </w:rPr>
            </w:pPr>
            <w:r w:rsidRPr="005579A7">
              <w:rPr>
                <w:rFonts w:ascii="Arial" w:eastAsia="DengXian" w:hAnsi="Arial" w:cs="Arial"/>
                <w:sz w:val="16"/>
                <w:szCs w:val="16"/>
                <w:lang w:eastAsia="zh-CN"/>
              </w:rPr>
              <w:t>Per resource pool</w:t>
            </w:r>
          </w:p>
        </w:tc>
      </w:tr>
      <w:tr w:rsidR="005579A7" w:rsidRPr="005579A7" w14:paraId="25883F71" w14:textId="77777777" w:rsidTr="005579A7">
        <w:trPr>
          <w:trHeight w:val="20"/>
        </w:trPr>
        <w:tc>
          <w:tcPr>
            <w:tcW w:w="382" w:type="pct"/>
            <w:tcBorders>
              <w:top w:val="nil"/>
              <w:left w:val="single" w:sz="4" w:space="0" w:color="auto"/>
              <w:bottom w:val="single" w:sz="4" w:space="0" w:color="auto"/>
              <w:right w:val="single" w:sz="4" w:space="0" w:color="auto"/>
            </w:tcBorders>
            <w:shd w:val="clear" w:color="auto" w:fill="auto"/>
            <w:vAlign w:val="center"/>
          </w:tcPr>
          <w:p w14:paraId="1BA5F5D1" w14:textId="77777777" w:rsidR="005579A7" w:rsidRPr="005579A7" w:rsidRDefault="005579A7" w:rsidP="005579A7">
            <w:pPr>
              <w:jc w:val="center"/>
              <w:rPr>
                <w:rFonts w:ascii="Arial" w:eastAsia="DengXian" w:hAnsi="Arial" w:cs="Arial"/>
                <w:sz w:val="16"/>
                <w:szCs w:val="16"/>
                <w:lang w:eastAsia="zh-CN"/>
              </w:rPr>
            </w:pPr>
            <w:r w:rsidRPr="005579A7">
              <w:rPr>
                <w:rFonts w:ascii="Arial" w:eastAsia="DengXian" w:hAnsi="Arial" w:cs="Arial"/>
                <w:sz w:val="16"/>
                <w:szCs w:val="16"/>
                <w:lang w:eastAsia="zh-CN"/>
              </w:rPr>
              <w:t>11</w:t>
            </w:r>
          </w:p>
        </w:tc>
        <w:tc>
          <w:tcPr>
            <w:tcW w:w="863" w:type="pct"/>
            <w:tcBorders>
              <w:top w:val="nil"/>
              <w:left w:val="single" w:sz="4" w:space="0" w:color="auto"/>
              <w:bottom w:val="single" w:sz="4" w:space="0" w:color="auto"/>
              <w:right w:val="single" w:sz="4" w:space="0" w:color="auto"/>
            </w:tcBorders>
            <w:shd w:val="clear" w:color="auto" w:fill="auto"/>
            <w:vAlign w:val="center"/>
          </w:tcPr>
          <w:p w14:paraId="48D42592" w14:textId="77777777" w:rsidR="005579A7" w:rsidRPr="005579A7" w:rsidRDefault="005579A7" w:rsidP="005579A7">
            <w:pPr>
              <w:suppressAutoHyphens/>
              <w:jc w:val="center"/>
              <w:rPr>
                <w:rFonts w:ascii="Arial" w:eastAsia="DengXian" w:hAnsi="Arial" w:cs="Arial"/>
                <w:sz w:val="16"/>
                <w:szCs w:val="16"/>
                <w:lang w:eastAsia="zh-CN"/>
              </w:rPr>
            </w:pPr>
            <w:r w:rsidRPr="005579A7">
              <w:rPr>
                <w:rFonts w:ascii="Arial" w:eastAsia="DengXian" w:hAnsi="Arial" w:cs="Arial"/>
                <w:sz w:val="16"/>
                <w:szCs w:val="16"/>
                <w:lang w:eastAsia="zh-CN"/>
              </w:rPr>
              <w:t>gapBetweenSSSBrepetition</w:t>
            </w:r>
          </w:p>
        </w:tc>
        <w:tc>
          <w:tcPr>
            <w:tcW w:w="1836" w:type="pct"/>
            <w:tcBorders>
              <w:top w:val="nil"/>
              <w:left w:val="nil"/>
              <w:bottom w:val="single" w:sz="4" w:space="0" w:color="auto"/>
              <w:right w:val="single" w:sz="4" w:space="0" w:color="auto"/>
            </w:tcBorders>
            <w:shd w:val="clear" w:color="auto" w:fill="auto"/>
            <w:vAlign w:val="center"/>
          </w:tcPr>
          <w:p w14:paraId="0DB2394B" w14:textId="77777777" w:rsidR="005579A7" w:rsidRPr="005579A7" w:rsidRDefault="005579A7" w:rsidP="005579A7">
            <w:pPr>
              <w:jc w:val="both"/>
              <w:rPr>
                <w:rFonts w:ascii="Arial" w:eastAsia="DengXian" w:hAnsi="Arial" w:cs="Arial"/>
                <w:sz w:val="16"/>
                <w:szCs w:val="16"/>
                <w:lang w:eastAsia="zh-CN"/>
              </w:rPr>
            </w:pPr>
            <w:r w:rsidRPr="005579A7">
              <w:rPr>
                <w:rFonts w:ascii="Arial" w:eastAsia="DengXian" w:hAnsi="Arial" w:cs="Arial"/>
                <w:sz w:val="16"/>
                <w:szCs w:val="16"/>
                <w:lang w:eastAsia="zh-CN"/>
              </w:rPr>
              <w:t>Indicate the gap between two adjacent S-SSB repetitions in frequency domain in one RB set, and the gap is between the lowest subcarrier of the upper PSBCH and the highest subcarrier of the lower PSBCH.</w:t>
            </w:r>
          </w:p>
        </w:tc>
        <w:tc>
          <w:tcPr>
            <w:tcW w:w="1096" w:type="pct"/>
            <w:tcBorders>
              <w:top w:val="nil"/>
              <w:left w:val="nil"/>
              <w:bottom w:val="single" w:sz="4" w:space="0" w:color="auto"/>
              <w:right w:val="single" w:sz="4" w:space="0" w:color="auto"/>
            </w:tcBorders>
            <w:shd w:val="clear" w:color="auto" w:fill="auto"/>
            <w:vAlign w:val="center"/>
          </w:tcPr>
          <w:p w14:paraId="094CB144" w14:textId="77777777" w:rsidR="005579A7" w:rsidRPr="005579A7" w:rsidRDefault="005579A7" w:rsidP="005579A7">
            <w:pPr>
              <w:jc w:val="center"/>
              <w:rPr>
                <w:rFonts w:ascii="Arial" w:eastAsia="DengXian" w:hAnsi="Arial" w:cs="Arial"/>
                <w:sz w:val="16"/>
                <w:szCs w:val="16"/>
                <w:lang w:eastAsia="zh-CN"/>
              </w:rPr>
            </w:pPr>
            <w:r w:rsidRPr="005579A7">
              <w:rPr>
                <w:rFonts w:ascii="Arial" w:eastAsia="DengXian" w:hAnsi="Arial" w:cs="Arial"/>
                <w:sz w:val="16"/>
                <w:szCs w:val="16"/>
                <w:lang w:eastAsia="zh-CN"/>
              </w:rPr>
              <w:t>INTEGER(1,2,3,…, 84) PRBs</w:t>
            </w:r>
          </w:p>
        </w:tc>
        <w:tc>
          <w:tcPr>
            <w:tcW w:w="355" w:type="pct"/>
            <w:tcBorders>
              <w:top w:val="nil"/>
              <w:left w:val="nil"/>
              <w:bottom w:val="single" w:sz="4" w:space="0" w:color="auto"/>
              <w:right w:val="single" w:sz="4" w:space="0" w:color="auto"/>
            </w:tcBorders>
            <w:shd w:val="clear" w:color="auto" w:fill="auto"/>
            <w:vAlign w:val="center"/>
          </w:tcPr>
          <w:p w14:paraId="5E3927F6" w14:textId="77777777" w:rsidR="005579A7" w:rsidRPr="005579A7" w:rsidRDefault="005579A7" w:rsidP="005579A7">
            <w:pPr>
              <w:jc w:val="center"/>
              <w:rPr>
                <w:rFonts w:ascii="Arial" w:eastAsia="DengXian" w:hAnsi="Arial" w:cs="Arial"/>
                <w:sz w:val="16"/>
                <w:szCs w:val="16"/>
                <w:lang w:eastAsia="zh-CN"/>
              </w:rPr>
            </w:pPr>
            <w:r w:rsidRPr="005579A7">
              <w:rPr>
                <w:rFonts w:ascii="Arial" w:eastAsia="DengXian" w:hAnsi="Arial" w:cs="Arial"/>
                <w:sz w:val="16"/>
                <w:szCs w:val="16"/>
                <w:lang w:eastAsia="zh-CN"/>
              </w:rPr>
              <w:t>N/A</w:t>
            </w:r>
          </w:p>
        </w:tc>
        <w:tc>
          <w:tcPr>
            <w:tcW w:w="468" w:type="pct"/>
            <w:tcBorders>
              <w:top w:val="nil"/>
              <w:left w:val="nil"/>
              <w:bottom w:val="single" w:sz="4" w:space="0" w:color="auto"/>
              <w:right w:val="single" w:sz="4" w:space="0" w:color="auto"/>
            </w:tcBorders>
            <w:shd w:val="clear" w:color="auto" w:fill="auto"/>
            <w:vAlign w:val="center"/>
          </w:tcPr>
          <w:p w14:paraId="51BEF34A" w14:textId="77777777" w:rsidR="005579A7" w:rsidRPr="005579A7" w:rsidRDefault="005579A7" w:rsidP="005579A7">
            <w:pPr>
              <w:jc w:val="center"/>
              <w:rPr>
                <w:rFonts w:ascii="Arial" w:eastAsia="DengXian" w:hAnsi="Arial" w:cs="Arial"/>
                <w:sz w:val="16"/>
                <w:szCs w:val="16"/>
                <w:lang w:eastAsia="zh-CN"/>
              </w:rPr>
            </w:pPr>
            <w:r w:rsidRPr="005579A7">
              <w:rPr>
                <w:rFonts w:ascii="Arial" w:eastAsia="DengXian" w:hAnsi="Arial" w:cs="Arial"/>
                <w:sz w:val="16"/>
                <w:szCs w:val="16"/>
                <w:lang w:eastAsia="zh-CN"/>
              </w:rPr>
              <w:t>Per RB set</w:t>
            </w:r>
          </w:p>
        </w:tc>
      </w:tr>
      <w:tr w:rsidR="005579A7" w:rsidRPr="005579A7" w14:paraId="2B69B9DE" w14:textId="77777777" w:rsidTr="005579A7">
        <w:trPr>
          <w:trHeight w:val="20"/>
        </w:trPr>
        <w:tc>
          <w:tcPr>
            <w:tcW w:w="382" w:type="pct"/>
            <w:tcBorders>
              <w:top w:val="nil"/>
              <w:left w:val="single" w:sz="4" w:space="0" w:color="auto"/>
              <w:bottom w:val="single" w:sz="4" w:space="0" w:color="auto"/>
              <w:right w:val="single" w:sz="4" w:space="0" w:color="auto"/>
            </w:tcBorders>
            <w:shd w:val="clear" w:color="auto" w:fill="auto"/>
            <w:vAlign w:val="center"/>
          </w:tcPr>
          <w:p w14:paraId="76F6988E" w14:textId="77777777" w:rsidR="005579A7" w:rsidRPr="005579A7" w:rsidRDefault="005579A7" w:rsidP="005579A7">
            <w:pPr>
              <w:jc w:val="center"/>
              <w:rPr>
                <w:rFonts w:ascii="Arial" w:eastAsia="DengXian" w:hAnsi="Arial" w:cs="Arial"/>
                <w:sz w:val="16"/>
                <w:szCs w:val="16"/>
                <w:lang w:eastAsia="zh-CN"/>
              </w:rPr>
            </w:pPr>
            <w:r w:rsidRPr="005579A7">
              <w:rPr>
                <w:rFonts w:ascii="Arial" w:eastAsia="DengXian" w:hAnsi="Arial" w:cs="Arial"/>
                <w:sz w:val="16"/>
                <w:szCs w:val="16"/>
                <w:lang w:eastAsia="zh-CN"/>
              </w:rPr>
              <w:t>12</w:t>
            </w:r>
          </w:p>
        </w:tc>
        <w:tc>
          <w:tcPr>
            <w:tcW w:w="863" w:type="pct"/>
            <w:tcBorders>
              <w:top w:val="nil"/>
              <w:left w:val="single" w:sz="4" w:space="0" w:color="auto"/>
              <w:bottom w:val="single" w:sz="4" w:space="0" w:color="auto"/>
              <w:right w:val="single" w:sz="4" w:space="0" w:color="auto"/>
            </w:tcBorders>
            <w:shd w:val="clear" w:color="auto" w:fill="auto"/>
            <w:vAlign w:val="center"/>
          </w:tcPr>
          <w:p w14:paraId="6D477CDD" w14:textId="77777777" w:rsidR="005579A7" w:rsidRPr="005579A7" w:rsidRDefault="005579A7" w:rsidP="005579A7">
            <w:pPr>
              <w:suppressAutoHyphens/>
              <w:jc w:val="center"/>
              <w:rPr>
                <w:rFonts w:ascii="Arial" w:eastAsia="DengXian" w:hAnsi="Arial" w:cs="Arial"/>
                <w:sz w:val="16"/>
                <w:szCs w:val="16"/>
                <w:lang w:eastAsia="zh-CN"/>
              </w:rPr>
            </w:pPr>
            <w:r w:rsidRPr="005579A7">
              <w:rPr>
                <w:rFonts w:ascii="Arial" w:eastAsia="DengXian" w:hAnsi="Arial" w:cs="Arial"/>
                <w:sz w:val="16"/>
                <w:szCs w:val="16"/>
                <w:lang w:eastAsia="zh-CN"/>
              </w:rPr>
              <w:t>numOfAdditionalSSSBOccasion</w:t>
            </w:r>
          </w:p>
        </w:tc>
        <w:tc>
          <w:tcPr>
            <w:tcW w:w="1836" w:type="pct"/>
            <w:tcBorders>
              <w:top w:val="nil"/>
              <w:left w:val="nil"/>
              <w:bottom w:val="single" w:sz="4" w:space="0" w:color="auto"/>
              <w:right w:val="single" w:sz="4" w:space="0" w:color="auto"/>
            </w:tcBorders>
            <w:shd w:val="clear" w:color="auto" w:fill="auto"/>
            <w:vAlign w:val="center"/>
          </w:tcPr>
          <w:p w14:paraId="6A8E1F19" w14:textId="77777777" w:rsidR="005579A7" w:rsidRPr="005579A7" w:rsidRDefault="005579A7" w:rsidP="005579A7">
            <w:pPr>
              <w:jc w:val="both"/>
              <w:rPr>
                <w:rFonts w:ascii="Arial" w:eastAsia="DengXian" w:hAnsi="Arial" w:cs="Arial"/>
                <w:sz w:val="16"/>
                <w:szCs w:val="16"/>
                <w:lang w:eastAsia="zh-CN"/>
              </w:rPr>
            </w:pPr>
            <w:r w:rsidRPr="005579A7">
              <w:rPr>
                <w:rFonts w:ascii="Arial" w:eastAsia="DengXian" w:hAnsi="Arial" w:cs="Arial"/>
                <w:sz w:val="16"/>
                <w:szCs w:val="16"/>
                <w:lang w:eastAsia="zh-CN"/>
              </w:rPr>
              <w:t>Indicate the number of additional candidate S-SSB occasion(s) for each R16/R17 NR SL S-SSB slot</w:t>
            </w:r>
          </w:p>
        </w:tc>
        <w:tc>
          <w:tcPr>
            <w:tcW w:w="1096" w:type="pct"/>
            <w:tcBorders>
              <w:top w:val="nil"/>
              <w:left w:val="nil"/>
              <w:bottom w:val="single" w:sz="4" w:space="0" w:color="auto"/>
              <w:right w:val="single" w:sz="4" w:space="0" w:color="auto"/>
            </w:tcBorders>
            <w:shd w:val="clear" w:color="auto" w:fill="auto"/>
            <w:vAlign w:val="center"/>
          </w:tcPr>
          <w:p w14:paraId="694BE2D0" w14:textId="77777777" w:rsidR="005579A7" w:rsidRPr="005579A7" w:rsidRDefault="005579A7" w:rsidP="005579A7">
            <w:pPr>
              <w:jc w:val="center"/>
              <w:rPr>
                <w:rFonts w:ascii="Arial" w:eastAsia="DengXian" w:hAnsi="Arial" w:cs="Arial"/>
                <w:sz w:val="16"/>
                <w:szCs w:val="16"/>
                <w:lang w:eastAsia="zh-CN"/>
              </w:rPr>
            </w:pPr>
            <w:r w:rsidRPr="005579A7">
              <w:rPr>
                <w:rFonts w:ascii="Arial" w:eastAsia="DengXian" w:hAnsi="Arial" w:cs="Arial"/>
                <w:sz w:val="16"/>
                <w:szCs w:val="16"/>
                <w:lang w:eastAsia="zh-CN"/>
              </w:rPr>
              <w:t>INTEGER (0,1,2,3,4)</w:t>
            </w:r>
          </w:p>
        </w:tc>
        <w:tc>
          <w:tcPr>
            <w:tcW w:w="355" w:type="pct"/>
            <w:tcBorders>
              <w:top w:val="nil"/>
              <w:left w:val="nil"/>
              <w:bottom w:val="single" w:sz="4" w:space="0" w:color="auto"/>
              <w:right w:val="single" w:sz="4" w:space="0" w:color="auto"/>
            </w:tcBorders>
            <w:shd w:val="clear" w:color="auto" w:fill="auto"/>
            <w:vAlign w:val="center"/>
          </w:tcPr>
          <w:p w14:paraId="1F493283" w14:textId="77777777" w:rsidR="005579A7" w:rsidRPr="005579A7" w:rsidRDefault="005579A7" w:rsidP="005579A7">
            <w:pPr>
              <w:jc w:val="center"/>
              <w:rPr>
                <w:rFonts w:ascii="Arial" w:eastAsia="DengXian" w:hAnsi="Arial" w:cs="Arial"/>
                <w:sz w:val="16"/>
                <w:szCs w:val="16"/>
                <w:highlight w:val="yellow"/>
                <w:lang w:eastAsia="zh-CN"/>
              </w:rPr>
            </w:pPr>
            <w:r w:rsidRPr="005579A7">
              <w:rPr>
                <w:rFonts w:ascii="Arial" w:eastAsia="DengXian" w:hAnsi="Arial" w:cs="Arial"/>
                <w:sz w:val="16"/>
                <w:szCs w:val="16"/>
                <w:lang w:eastAsia="zh-CN"/>
              </w:rPr>
              <w:t>N/A</w:t>
            </w:r>
          </w:p>
        </w:tc>
        <w:tc>
          <w:tcPr>
            <w:tcW w:w="468" w:type="pct"/>
            <w:tcBorders>
              <w:top w:val="nil"/>
              <w:left w:val="nil"/>
              <w:bottom w:val="single" w:sz="4" w:space="0" w:color="auto"/>
              <w:right w:val="single" w:sz="4" w:space="0" w:color="auto"/>
            </w:tcBorders>
            <w:shd w:val="clear" w:color="auto" w:fill="auto"/>
            <w:vAlign w:val="center"/>
          </w:tcPr>
          <w:p w14:paraId="5623831C" w14:textId="77777777" w:rsidR="005579A7" w:rsidRPr="005579A7" w:rsidRDefault="005579A7" w:rsidP="005579A7">
            <w:pPr>
              <w:jc w:val="center"/>
              <w:rPr>
                <w:rFonts w:ascii="Arial" w:eastAsia="DengXian" w:hAnsi="Arial" w:cs="Arial"/>
                <w:sz w:val="16"/>
                <w:szCs w:val="16"/>
                <w:lang w:eastAsia="zh-CN"/>
              </w:rPr>
            </w:pPr>
            <w:r w:rsidRPr="005579A7">
              <w:rPr>
                <w:rFonts w:ascii="Arial" w:eastAsia="DengXian" w:hAnsi="Arial" w:cs="Arial"/>
                <w:sz w:val="16"/>
                <w:szCs w:val="16"/>
                <w:lang w:eastAsia="zh-CN"/>
              </w:rPr>
              <w:t>Per SL BWP</w:t>
            </w:r>
          </w:p>
        </w:tc>
      </w:tr>
      <w:tr w:rsidR="005579A7" w:rsidRPr="005579A7" w14:paraId="7061CF79" w14:textId="77777777" w:rsidTr="005579A7">
        <w:trPr>
          <w:trHeight w:val="20"/>
        </w:trPr>
        <w:tc>
          <w:tcPr>
            <w:tcW w:w="382" w:type="pct"/>
            <w:tcBorders>
              <w:top w:val="nil"/>
              <w:left w:val="single" w:sz="4" w:space="0" w:color="auto"/>
              <w:bottom w:val="single" w:sz="4" w:space="0" w:color="auto"/>
              <w:right w:val="single" w:sz="4" w:space="0" w:color="auto"/>
            </w:tcBorders>
            <w:shd w:val="clear" w:color="auto" w:fill="auto"/>
            <w:vAlign w:val="center"/>
          </w:tcPr>
          <w:p w14:paraId="120C3452" w14:textId="77777777" w:rsidR="005579A7" w:rsidRPr="005579A7" w:rsidRDefault="005579A7" w:rsidP="005579A7">
            <w:pPr>
              <w:jc w:val="center"/>
              <w:rPr>
                <w:rFonts w:ascii="Arial" w:eastAsia="DengXian" w:hAnsi="Arial" w:cs="Arial"/>
                <w:sz w:val="16"/>
                <w:szCs w:val="16"/>
                <w:lang w:eastAsia="zh-CN"/>
              </w:rPr>
            </w:pPr>
            <w:r w:rsidRPr="005579A7">
              <w:rPr>
                <w:rFonts w:ascii="Arial" w:eastAsia="DengXian" w:hAnsi="Arial" w:cs="Arial"/>
                <w:sz w:val="16"/>
                <w:szCs w:val="16"/>
                <w:lang w:eastAsia="zh-CN"/>
              </w:rPr>
              <w:t>18</w:t>
            </w:r>
          </w:p>
        </w:tc>
        <w:tc>
          <w:tcPr>
            <w:tcW w:w="863" w:type="pct"/>
            <w:tcBorders>
              <w:top w:val="nil"/>
              <w:left w:val="single" w:sz="4" w:space="0" w:color="auto"/>
              <w:bottom w:val="single" w:sz="4" w:space="0" w:color="auto"/>
              <w:right w:val="single" w:sz="4" w:space="0" w:color="auto"/>
            </w:tcBorders>
            <w:shd w:val="clear" w:color="auto" w:fill="auto"/>
            <w:vAlign w:val="center"/>
          </w:tcPr>
          <w:p w14:paraId="793FE9E1" w14:textId="77777777" w:rsidR="005579A7" w:rsidRPr="005579A7" w:rsidRDefault="005579A7" w:rsidP="005579A7">
            <w:pPr>
              <w:suppressAutoHyphens/>
              <w:jc w:val="center"/>
              <w:rPr>
                <w:rFonts w:ascii="Arial" w:eastAsia="DengXian" w:hAnsi="Arial" w:cs="Arial"/>
                <w:sz w:val="16"/>
                <w:szCs w:val="16"/>
                <w:lang w:eastAsia="zh-CN"/>
              </w:rPr>
            </w:pPr>
            <w:r w:rsidRPr="005579A7">
              <w:rPr>
                <w:rFonts w:ascii="Arial" w:eastAsia="DengXian" w:hAnsi="Arial" w:cs="Arial"/>
                <w:sz w:val="16"/>
                <w:szCs w:val="16"/>
                <w:lang w:eastAsia="zh-CN"/>
              </w:rPr>
              <w:t>SSSBPowerOffsetOfAnchorRBSet</w:t>
            </w:r>
          </w:p>
        </w:tc>
        <w:tc>
          <w:tcPr>
            <w:tcW w:w="1836" w:type="pct"/>
            <w:tcBorders>
              <w:top w:val="nil"/>
              <w:left w:val="nil"/>
              <w:bottom w:val="single" w:sz="4" w:space="0" w:color="auto"/>
              <w:right w:val="single" w:sz="4" w:space="0" w:color="auto"/>
            </w:tcBorders>
            <w:shd w:val="clear" w:color="auto" w:fill="auto"/>
            <w:vAlign w:val="center"/>
          </w:tcPr>
          <w:p w14:paraId="23FC5081" w14:textId="77777777" w:rsidR="005579A7" w:rsidRPr="005579A7" w:rsidRDefault="005579A7" w:rsidP="005579A7">
            <w:pPr>
              <w:jc w:val="both"/>
              <w:rPr>
                <w:rFonts w:ascii="Arial" w:eastAsia="DengXian" w:hAnsi="Arial" w:cs="Arial"/>
                <w:sz w:val="16"/>
                <w:szCs w:val="16"/>
                <w:lang w:eastAsia="zh-CN"/>
              </w:rPr>
            </w:pPr>
            <w:r w:rsidRPr="005579A7">
              <w:rPr>
                <w:rFonts w:ascii="Arial" w:eastAsia="DengXian" w:hAnsi="Arial" w:cs="Arial"/>
                <w:sz w:val="16"/>
                <w:szCs w:val="16"/>
                <w:lang w:eastAsia="zh-CN"/>
              </w:rPr>
              <w:t>Indicate the power offset for one S-SSB transmission on anchor RB set.</w:t>
            </w:r>
            <w:r w:rsidRPr="005579A7">
              <w:rPr>
                <w:rFonts w:ascii="Arial" w:eastAsia="DengXian" w:hAnsi="Arial" w:cs="Arial"/>
                <w:sz w:val="16"/>
                <w:szCs w:val="16"/>
                <w:lang w:eastAsia="zh-CN"/>
              </w:rPr>
              <w:br/>
              <w:t>anchor RB set refers to the RB set where S-SSB indicated by sl-AbsoluteFrequencySSB-r16 locates</w:t>
            </w:r>
            <w:r w:rsidRPr="005579A7">
              <w:rPr>
                <w:rFonts w:ascii="Arial" w:eastAsia="DengXian" w:hAnsi="Arial" w:cs="Arial"/>
                <w:sz w:val="16"/>
                <w:szCs w:val="16"/>
                <w:lang w:eastAsia="zh-CN"/>
              </w:rPr>
              <w:br/>
              <w:t>N is the number of S-SSB repetitions within the anchor RB set, W is the maximum total number of S-SSB repetitions on RB sets within the SL-BWP</w:t>
            </w:r>
          </w:p>
        </w:tc>
        <w:tc>
          <w:tcPr>
            <w:tcW w:w="1096" w:type="pct"/>
            <w:tcBorders>
              <w:top w:val="nil"/>
              <w:left w:val="nil"/>
              <w:bottom w:val="single" w:sz="4" w:space="0" w:color="auto"/>
              <w:right w:val="single" w:sz="4" w:space="0" w:color="auto"/>
            </w:tcBorders>
            <w:shd w:val="clear" w:color="auto" w:fill="auto"/>
            <w:vAlign w:val="center"/>
          </w:tcPr>
          <w:p w14:paraId="21A930C5" w14:textId="77777777" w:rsidR="005579A7" w:rsidRPr="005579A7" w:rsidRDefault="005579A7" w:rsidP="005579A7">
            <w:pPr>
              <w:jc w:val="center"/>
              <w:rPr>
                <w:rFonts w:ascii="Arial" w:eastAsia="DengXian" w:hAnsi="Arial" w:cs="Arial"/>
                <w:sz w:val="16"/>
                <w:szCs w:val="16"/>
                <w:lang w:eastAsia="zh-CN"/>
              </w:rPr>
            </w:pPr>
            <w:r w:rsidRPr="005579A7">
              <w:rPr>
                <w:rFonts w:ascii="Arial" w:eastAsia="DengXian" w:hAnsi="Arial" w:cs="Arial"/>
                <w:sz w:val="16"/>
                <w:szCs w:val="16"/>
                <w:lang w:eastAsia="zh-CN"/>
              </w:rPr>
              <w:t>EMUNERATED{{10lg(N), 10lg(W)}}</w:t>
            </w:r>
          </w:p>
        </w:tc>
        <w:tc>
          <w:tcPr>
            <w:tcW w:w="355" w:type="pct"/>
            <w:tcBorders>
              <w:top w:val="nil"/>
              <w:left w:val="nil"/>
              <w:bottom w:val="single" w:sz="4" w:space="0" w:color="auto"/>
              <w:right w:val="single" w:sz="4" w:space="0" w:color="auto"/>
            </w:tcBorders>
            <w:shd w:val="clear" w:color="auto" w:fill="auto"/>
            <w:vAlign w:val="center"/>
          </w:tcPr>
          <w:p w14:paraId="72C0A91D" w14:textId="77777777" w:rsidR="005579A7" w:rsidRPr="005579A7" w:rsidRDefault="005579A7" w:rsidP="005579A7">
            <w:pPr>
              <w:jc w:val="center"/>
              <w:rPr>
                <w:rFonts w:ascii="Arial" w:eastAsia="DengXian" w:hAnsi="Arial" w:cs="Arial"/>
                <w:sz w:val="16"/>
                <w:szCs w:val="16"/>
                <w:lang w:eastAsia="zh-CN"/>
              </w:rPr>
            </w:pPr>
            <w:r w:rsidRPr="005579A7">
              <w:rPr>
                <w:rFonts w:ascii="Arial" w:eastAsia="DengXian" w:hAnsi="Arial" w:cs="Arial"/>
                <w:sz w:val="16"/>
                <w:szCs w:val="16"/>
                <w:lang w:eastAsia="zh-CN"/>
              </w:rPr>
              <w:t>N/A</w:t>
            </w:r>
          </w:p>
        </w:tc>
        <w:tc>
          <w:tcPr>
            <w:tcW w:w="468" w:type="pct"/>
            <w:tcBorders>
              <w:top w:val="nil"/>
              <w:left w:val="nil"/>
              <w:bottom w:val="single" w:sz="4" w:space="0" w:color="auto"/>
              <w:right w:val="single" w:sz="4" w:space="0" w:color="auto"/>
            </w:tcBorders>
            <w:shd w:val="clear" w:color="auto" w:fill="auto"/>
            <w:vAlign w:val="center"/>
          </w:tcPr>
          <w:p w14:paraId="6424BC89" w14:textId="77777777" w:rsidR="005579A7" w:rsidRPr="005579A7" w:rsidRDefault="005579A7" w:rsidP="005579A7">
            <w:pPr>
              <w:jc w:val="center"/>
              <w:rPr>
                <w:rFonts w:ascii="Arial" w:eastAsia="DengXian" w:hAnsi="Arial" w:cs="Arial"/>
                <w:sz w:val="16"/>
                <w:szCs w:val="16"/>
                <w:lang w:eastAsia="zh-CN"/>
              </w:rPr>
            </w:pPr>
            <w:r w:rsidRPr="005579A7">
              <w:rPr>
                <w:rFonts w:ascii="Arial" w:eastAsia="DengXian" w:hAnsi="Arial" w:cs="Arial"/>
                <w:sz w:val="16"/>
                <w:szCs w:val="16"/>
                <w:lang w:eastAsia="zh-CN"/>
              </w:rPr>
              <w:t>Per SL BWP</w:t>
            </w:r>
          </w:p>
        </w:tc>
      </w:tr>
      <w:tr w:rsidR="005579A7" w:rsidRPr="005579A7" w14:paraId="4F9A7B2C" w14:textId="77777777" w:rsidTr="005579A7">
        <w:trPr>
          <w:trHeight w:val="20"/>
        </w:trPr>
        <w:tc>
          <w:tcPr>
            <w:tcW w:w="382" w:type="pct"/>
            <w:tcBorders>
              <w:top w:val="nil"/>
              <w:left w:val="single" w:sz="4" w:space="0" w:color="auto"/>
              <w:bottom w:val="single" w:sz="4" w:space="0" w:color="auto"/>
              <w:right w:val="single" w:sz="4" w:space="0" w:color="auto"/>
            </w:tcBorders>
            <w:shd w:val="clear" w:color="auto" w:fill="auto"/>
            <w:vAlign w:val="center"/>
          </w:tcPr>
          <w:p w14:paraId="736150E3" w14:textId="77777777" w:rsidR="005579A7" w:rsidRPr="005579A7" w:rsidRDefault="005579A7" w:rsidP="005579A7">
            <w:pPr>
              <w:jc w:val="center"/>
              <w:rPr>
                <w:rFonts w:ascii="Arial" w:eastAsia="DengXian" w:hAnsi="Arial" w:cs="Arial"/>
                <w:sz w:val="16"/>
                <w:szCs w:val="16"/>
                <w:lang w:eastAsia="zh-CN"/>
              </w:rPr>
            </w:pPr>
            <w:r w:rsidRPr="005579A7">
              <w:rPr>
                <w:rFonts w:ascii="Arial" w:eastAsia="DengXian" w:hAnsi="Arial" w:cs="Arial"/>
                <w:sz w:val="16"/>
                <w:szCs w:val="16"/>
                <w:lang w:eastAsia="zh-CN"/>
              </w:rPr>
              <w:t>19</w:t>
            </w:r>
          </w:p>
        </w:tc>
        <w:tc>
          <w:tcPr>
            <w:tcW w:w="863" w:type="pct"/>
            <w:tcBorders>
              <w:top w:val="nil"/>
              <w:left w:val="single" w:sz="4" w:space="0" w:color="auto"/>
              <w:bottom w:val="single" w:sz="4" w:space="0" w:color="auto"/>
              <w:right w:val="single" w:sz="4" w:space="0" w:color="auto"/>
            </w:tcBorders>
            <w:shd w:val="clear" w:color="auto" w:fill="auto"/>
            <w:vAlign w:val="center"/>
          </w:tcPr>
          <w:p w14:paraId="7768FF16" w14:textId="77777777" w:rsidR="005579A7" w:rsidRPr="005579A7" w:rsidRDefault="005579A7" w:rsidP="005579A7">
            <w:pPr>
              <w:suppressAutoHyphens/>
              <w:jc w:val="center"/>
              <w:rPr>
                <w:rFonts w:ascii="Arial" w:eastAsia="DengXian" w:hAnsi="Arial" w:cs="Arial"/>
                <w:sz w:val="16"/>
                <w:szCs w:val="16"/>
                <w:lang w:eastAsia="zh-CN"/>
              </w:rPr>
            </w:pPr>
            <w:r w:rsidRPr="005579A7">
              <w:rPr>
                <w:rFonts w:ascii="Arial" w:eastAsia="DengXian" w:hAnsi="Arial" w:cs="Arial"/>
                <w:sz w:val="16"/>
                <w:szCs w:val="16"/>
                <w:lang w:eastAsia="zh-CN"/>
              </w:rPr>
              <w:t>sl-PSFCH-RB-SetList</w:t>
            </w:r>
          </w:p>
        </w:tc>
        <w:tc>
          <w:tcPr>
            <w:tcW w:w="1836" w:type="pct"/>
            <w:tcBorders>
              <w:top w:val="nil"/>
              <w:left w:val="nil"/>
              <w:bottom w:val="single" w:sz="4" w:space="0" w:color="auto"/>
              <w:right w:val="single" w:sz="4" w:space="0" w:color="auto"/>
            </w:tcBorders>
            <w:shd w:val="clear" w:color="auto" w:fill="auto"/>
            <w:vAlign w:val="center"/>
          </w:tcPr>
          <w:p w14:paraId="120EDB1E" w14:textId="77777777" w:rsidR="005579A7" w:rsidRPr="005579A7" w:rsidRDefault="005579A7" w:rsidP="005579A7">
            <w:pPr>
              <w:jc w:val="both"/>
              <w:rPr>
                <w:rFonts w:ascii="Arial" w:eastAsia="DengXian" w:hAnsi="Arial" w:cs="Arial"/>
                <w:sz w:val="16"/>
                <w:szCs w:val="16"/>
                <w:lang w:eastAsia="zh-CN"/>
              </w:rPr>
            </w:pPr>
            <w:r w:rsidRPr="005579A7">
              <w:rPr>
                <w:rFonts w:ascii="Arial" w:eastAsia="DengXian" w:hAnsi="Arial" w:cs="Arial"/>
                <w:sz w:val="16"/>
                <w:szCs w:val="16"/>
                <w:lang w:eastAsia="zh-CN"/>
              </w:rPr>
              <w:t>The n-th value in the list indicates the set of PRBs that are actually used for PSFCH transmission and reception of n-th PSFCH occasion of a PSCCH/PSSCH transmission.</w:t>
            </w:r>
          </w:p>
          <w:p w14:paraId="5EF8C592" w14:textId="77777777" w:rsidR="005579A7" w:rsidRPr="005579A7" w:rsidRDefault="005579A7" w:rsidP="005579A7">
            <w:pPr>
              <w:jc w:val="both"/>
              <w:rPr>
                <w:rFonts w:ascii="Arial" w:eastAsia="DengXian" w:hAnsi="Arial" w:cs="Arial"/>
                <w:sz w:val="16"/>
                <w:szCs w:val="16"/>
                <w:lang w:eastAsia="zh-CN"/>
              </w:rPr>
            </w:pPr>
            <w:r w:rsidRPr="005579A7">
              <w:rPr>
                <w:rFonts w:ascii="Arial" w:eastAsia="DengXian" w:hAnsi="Arial" w:cs="Arial"/>
                <w:sz w:val="16"/>
                <w:szCs w:val="16"/>
                <w:lang w:eastAsia="zh-CN"/>
              </w:rPr>
              <w:t>It shall be (pre-)configured such that N candidate PSFCH occasion(s) are associated with N different PRB sets.</w:t>
            </w:r>
          </w:p>
          <w:p w14:paraId="08C04A4F" w14:textId="77777777" w:rsidR="005579A7" w:rsidRPr="005579A7" w:rsidRDefault="005579A7" w:rsidP="005579A7">
            <w:pPr>
              <w:jc w:val="both"/>
              <w:rPr>
                <w:rFonts w:ascii="Arial" w:eastAsia="DengXian" w:hAnsi="Arial" w:cs="Arial"/>
                <w:sz w:val="16"/>
                <w:szCs w:val="16"/>
                <w:lang w:eastAsia="zh-CN"/>
              </w:rPr>
            </w:pPr>
            <w:r w:rsidRPr="005579A7">
              <w:rPr>
                <w:rFonts w:ascii="Arial" w:eastAsia="DengXian" w:hAnsi="Arial" w:cs="Arial"/>
                <w:sz w:val="16"/>
                <w:szCs w:val="16"/>
                <w:lang w:eastAsia="zh-CN"/>
              </w:rPr>
              <w:t>PRBs within intra-cell guard band are not used for PSFCH transmission.</w:t>
            </w:r>
          </w:p>
          <w:p w14:paraId="53EF6B20" w14:textId="77777777" w:rsidR="005579A7" w:rsidRPr="005579A7" w:rsidRDefault="005579A7" w:rsidP="005579A7">
            <w:pPr>
              <w:jc w:val="both"/>
              <w:rPr>
                <w:rFonts w:ascii="Arial" w:eastAsia="DengXian" w:hAnsi="Arial" w:cs="Arial"/>
                <w:sz w:val="16"/>
                <w:szCs w:val="16"/>
                <w:lang w:eastAsia="zh-CN"/>
              </w:rPr>
            </w:pPr>
          </w:p>
          <w:p w14:paraId="22ED8DD5" w14:textId="77777777" w:rsidR="005579A7" w:rsidRPr="005579A7" w:rsidRDefault="005579A7" w:rsidP="005579A7">
            <w:pPr>
              <w:jc w:val="both"/>
              <w:rPr>
                <w:rFonts w:ascii="Arial" w:eastAsia="DengXian" w:hAnsi="Arial" w:cs="Arial"/>
                <w:sz w:val="16"/>
                <w:szCs w:val="16"/>
                <w:lang w:eastAsia="zh-CN"/>
              </w:rPr>
            </w:pPr>
            <w:r w:rsidRPr="005579A7">
              <w:rPr>
                <w:rFonts w:ascii="Arial" w:eastAsia="DengXian" w:hAnsi="Arial" w:cs="Arial"/>
                <w:sz w:val="16"/>
                <w:szCs w:val="16"/>
                <w:lang w:eastAsia="zh-CN"/>
              </w:rPr>
              <w:t xml:space="preserve">N is given by </w:t>
            </w:r>
            <w:r w:rsidRPr="005579A7">
              <w:rPr>
                <w:rFonts w:ascii="Arial" w:eastAsia="DengXian" w:hAnsi="Arial" w:cs="Arial"/>
                <w:i/>
                <w:sz w:val="16"/>
                <w:szCs w:val="16"/>
                <w:lang w:eastAsia="zh-CN"/>
              </w:rPr>
              <w:t>numPSFCHOccasions</w:t>
            </w:r>
            <w:r w:rsidRPr="005579A7">
              <w:rPr>
                <w:rFonts w:ascii="Arial" w:eastAsia="DengXian" w:hAnsi="Arial" w:cs="Arial"/>
                <w:sz w:val="16"/>
                <w:szCs w:val="16"/>
                <w:lang w:eastAsia="zh-CN"/>
              </w:rPr>
              <w:t>.</w:t>
            </w:r>
          </w:p>
        </w:tc>
        <w:tc>
          <w:tcPr>
            <w:tcW w:w="1096" w:type="pct"/>
            <w:tcBorders>
              <w:top w:val="nil"/>
              <w:left w:val="nil"/>
              <w:bottom w:val="single" w:sz="4" w:space="0" w:color="auto"/>
              <w:right w:val="single" w:sz="4" w:space="0" w:color="auto"/>
            </w:tcBorders>
            <w:shd w:val="clear" w:color="auto" w:fill="auto"/>
            <w:vAlign w:val="center"/>
          </w:tcPr>
          <w:p w14:paraId="0E66EABD" w14:textId="77777777" w:rsidR="005579A7" w:rsidRPr="005579A7" w:rsidRDefault="005579A7" w:rsidP="005579A7">
            <w:pPr>
              <w:suppressAutoHyphens/>
              <w:snapToGrid w:val="0"/>
              <w:rPr>
                <w:rFonts w:ascii="Arial" w:eastAsia="DengXian" w:hAnsi="Arial" w:cs="Arial"/>
                <w:sz w:val="16"/>
                <w:szCs w:val="16"/>
                <w:lang w:eastAsia="zh-CN"/>
              </w:rPr>
            </w:pPr>
            <w:r w:rsidRPr="005579A7">
              <w:rPr>
                <w:rFonts w:ascii="Arial" w:eastAsia="DengXian" w:hAnsi="Arial" w:cs="Arial"/>
                <w:sz w:val="16"/>
                <w:szCs w:val="16"/>
                <w:lang w:eastAsia="zh-CN"/>
              </w:rPr>
              <w:t>SEQUENCE (SIZE (1..N)) OF sl-PSFCH-RB-Set</w:t>
            </w:r>
          </w:p>
          <w:p w14:paraId="1D481DA5" w14:textId="77777777" w:rsidR="005579A7" w:rsidRPr="005579A7" w:rsidRDefault="005579A7" w:rsidP="005579A7">
            <w:pPr>
              <w:suppressAutoHyphens/>
              <w:snapToGrid w:val="0"/>
              <w:jc w:val="both"/>
              <w:rPr>
                <w:rFonts w:ascii="Arial" w:eastAsia="DengXian" w:hAnsi="Arial" w:cs="Arial"/>
                <w:sz w:val="16"/>
                <w:szCs w:val="16"/>
                <w:lang w:eastAsia="zh-CN"/>
              </w:rPr>
            </w:pPr>
          </w:p>
          <w:p w14:paraId="72A5F344" w14:textId="77777777" w:rsidR="005579A7" w:rsidRPr="005579A7" w:rsidRDefault="005579A7" w:rsidP="005579A7">
            <w:pPr>
              <w:suppressAutoHyphens/>
              <w:snapToGrid w:val="0"/>
              <w:rPr>
                <w:rFonts w:ascii="Arial" w:eastAsia="DengXian" w:hAnsi="Arial" w:cs="Arial"/>
                <w:sz w:val="16"/>
                <w:szCs w:val="16"/>
                <w:lang w:eastAsia="zh-CN"/>
              </w:rPr>
            </w:pPr>
            <w:r w:rsidRPr="005579A7">
              <w:rPr>
                <w:rFonts w:ascii="Arial" w:eastAsia="DengXian" w:hAnsi="Arial" w:cs="Arial"/>
                <w:sz w:val="16"/>
                <w:szCs w:val="16"/>
                <w:lang w:eastAsia="zh-CN"/>
              </w:rPr>
              <w:t>Note: some companies think that signalling overhead can be optimized by RAN2</w:t>
            </w:r>
          </w:p>
        </w:tc>
        <w:tc>
          <w:tcPr>
            <w:tcW w:w="355" w:type="pct"/>
            <w:tcBorders>
              <w:top w:val="nil"/>
              <w:left w:val="nil"/>
              <w:bottom w:val="single" w:sz="4" w:space="0" w:color="auto"/>
              <w:right w:val="single" w:sz="4" w:space="0" w:color="auto"/>
            </w:tcBorders>
            <w:shd w:val="clear" w:color="auto" w:fill="auto"/>
            <w:vAlign w:val="center"/>
          </w:tcPr>
          <w:p w14:paraId="63727DF9" w14:textId="77777777" w:rsidR="005579A7" w:rsidRPr="005579A7" w:rsidRDefault="005579A7" w:rsidP="005579A7">
            <w:pPr>
              <w:jc w:val="center"/>
              <w:rPr>
                <w:rFonts w:ascii="Arial" w:eastAsia="DengXian" w:hAnsi="Arial" w:cs="Arial"/>
                <w:sz w:val="16"/>
                <w:szCs w:val="16"/>
                <w:lang w:eastAsia="zh-CN"/>
              </w:rPr>
            </w:pPr>
            <w:r w:rsidRPr="005579A7">
              <w:rPr>
                <w:rFonts w:ascii="Arial" w:eastAsia="DengXian" w:hAnsi="Arial" w:cs="Arial"/>
                <w:sz w:val="16"/>
                <w:szCs w:val="16"/>
                <w:lang w:eastAsia="zh-CN"/>
              </w:rPr>
              <w:t>N/A</w:t>
            </w:r>
          </w:p>
        </w:tc>
        <w:tc>
          <w:tcPr>
            <w:tcW w:w="468" w:type="pct"/>
            <w:tcBorders>
              <w:top w:val="nil"/>
              <w:left w:val="nil"/>
              <w:bottom w:val="single" w:sz="4" w:space="0" w:color="auto"/>
              <w:right w:val="single" w:sz="4" w:space="0" w:color="auto"/>
            </w:tcBorders>
            <w:shd w:val="clear" w:color="auto" w:fill="auto"/>
            <w:vAlign w:val="center"/>
          </w:tcPr>
          <w:p w14:paraId="3A57A67A" w14:textId="77777777" w:rsidR="005579A7" w:rsidRPr="005579A7" w:rsidRDefault="005579A7" w:rsidP="005579A7">
            <w:pPr>
              <w:jc w:val="center"/>
              <w:rPr>
                <w:rFonts w:ascii="Arial" w:eastAsia="DengXian" w:hAnsi="Arial" w:cs="Arial"/>
                <w:sz w:val="16"/>
                <w:szCs w:val="16"/>
                <w:lang w:eastAsia="zh-CN"/>
              </w:rPr>
            </w:pPr>
            <w:r w:rsidRPr="005579A7">
              <w:rPr>
                <w:rFonts w:ascii="Arial" w:eastAsia="DengXian" w:hAnsi="Arial" w:cs="Arial"/>
                <w:sz w:val="16"/>
                <w:szCs w:val="16"/>
                <w:lang w:eastAsia="zh-CN"/>
              </w:rPr>
              <w:t>Per resource pool</w:t>
            </w:r>
          </w:p>
        </w:tc>
      </w:tr>
      <w:tr w:rsidR="005579A7" w:rsidRPr="005579A7" w14:paraId="412016A4" w14:textId="77777777" w:rsidTr="005579A7">
        <w:trPr>
          <w:trHeight w:val="20"/>
        </w:trPr>
        <w:tc>
          <w:tcPr>
            <w:tcW w:w="382" w:type="pct"/>
            <w:tcBorders>
              <w:top w:val="nil"/>
              <w:left w:val="single" w:sz="4" w:space="0" w:color="auto"/>
              <w:bottom w:val="single" w:sz="4" w:space="0" w:color="auto"/>
              <w:right w:val="single" w:sz="4" w:space="0" w:color="auto"/>
            </w:tcBorders>
            <w:shd w:val="clear" w:color="auto" w:fill="auto"/>
            <w:vAlign w:val="center"/>
          </w:tcPr>
          <w:p w14:paraId="7474338D" w14:textId="77777777" w:rsidR="005579A7" w:rsidRPr="005579A7" w:rsidRDefault="005579A7" w:rsidP="005579A7">
            <w:pPr>
              <w:jc w:val="center"/>
              <w:rPr>
                <w:rFonts w:ascii="Arial" w:eastAsia="DengXian" w:hAnsi="Arial" w:cs="Arial"/>
                <w:sz w:val="16"/>
                <w:szCs w:val="16"/>
                <w:lang w:eastAsia="zh-CN"/>
              </w:rPr>
            </w:pPr>
            <w:r w:rsidRPr="005579A7">
              <w:rPr>
                <w:rFonts w:ascii="Arial" w:eastAsia="DengXian" w:hAnsi="Arial" w:cs="Arial"/>
                <w:sz w:val="16"/>
                <w:szCs w:val="16"/>
                <w:lang w:eastAsia="zh-CN"/>
              </w:rPr>
              <w:t>21</w:t>
            </w:r>
          </w:p>
        </w:tc>
        <w:tc>
          <w:tcPr>
            <w:tcW w:w="863" w:type="pct"/>
            <w:tcBorders>
              <w:top w:val="nil"/>
              <w:left w:val="single" w:sz="4" w:space="0" w:color="auto"/>
              <w:bottom w:val="single" w:sz="4" w:space="0" w:color="auto"/>
              <w:right w:val="single" w:sz="4" w:space="0" w:color="auto"/>
            </w:tcBorders>
            <w:shd w:val="clear" w:color="auto" w:fill="auto"/>
            <w:vAlign w:val="center"/>
          </w:tcPr>
          <w:p w14:paraId="28EAAFFF" w14:textId="77777777" w:rsidR="005579A7" w:rsidRPr="005579A7" w:rsidRDefault="005579A7" w:rsidP="005579A7">
            <w:pPr>
              <w:suppressAutoHyphens/>
              <w:jc w:val="center"/>
              <w:rPr>
                <w:rFonts w:ascii="Arial" w:eastAsia="DengXian" w:hAnsi="Arial" w:cs="Arial"/>
                <w:sz w:val="16"/>
                <w:szCs w:val="16"/>
                <w:lang w:eastAsia="zh-CN"/>
              </w:rPr>
            </w:pPr>
            <w:r w:rsidRPr="005579A7">
              <w:rPr>
                <w:rFonts w:ascii="Arial" w:eastAsia="DengXian" w:hAnsi="Arial" w:cs="Arial"/>
                <w:sz w:val="16"/>
                <w:szCs w:val="16"/>
                <w:lang w:eastAsia="zh-CN"/>
              </w:rPr>
              <w:t>sl-StartRBsetCG-Type1</w:t>
            </w:r>
          </w:p>
        </w:tc>
        <w:tc>
          <w:tcPr>
            <w:tcW w:w="1836" w:type="pct"/>
            <w:tcBorders>
              <w:top w:val="nil"/>
              <w:left w:val="nil"/>
              <w:bottom w:val="single" w:sz="4" w:space="0" w:color="auto"/>
              <w:right w:val="single" w:sz="4" w:space="0" w:color="auto"/>
            </w:tcBorders>
            <w:shd w:val="clear" w:color="auto" w:fill="auto"/>
            <w:vAlign w:val="center"/>
          </w:tcPr>
          <w:p w14:paraId="4E6E8235" w14:textId="77777777" w:rsidR="005579A7" w:rsidRPr="005579A7" w:rsidRDefault="005579A7" w:rsidP="005579A7">
            <w:pPr>
              <w:jc w:val="both"/>
              <w:rPr>
                <w:rFonts w:ascii="Arial" w:eastAsia="DengXian" w:hAnsi="Arial" w:cs="Arial"/>
                <w:sz w:val="16"/>
                <w:szCs w:val="16"/>
                <w:lang w:eastAsia="zh-CN"/>
              </w:rPr>
            </w:pPr>
            <w:r w:rsidRPr="005579A7">
              <w:rPr>
                <w:rFonts w:ascii="Arial" w:eastAsia="DengXian" w:hAnsi="Arial" w:cs="Arial"/>
                <w:sz w:val="16"/>
                <w:szCs w:val="16"/>
                <w:lang w:eastAsia="zh-CN"/>
              </w:rPr>
              <w:t>Indicates starting RB set index of the initial PSSCH transmission of the sidelink configured grant Type 1 for interlace RB-based PSSCH transmission</w:t>
            </w:r>
          </w:p>
          <w:p w14:paraId="00860A6B" w14:textId="77777777" w:rsidR="005579A7" w:rsidRPr="005579A7" w:rsidRDefault="005579A7" w:rsidP="005579A7">
            <w:pPr>
              <w:jc w:val="both"/>
              <w:rPr>
                <w:rFonts w:ascii="Arial" w:eastAsia="DengXian" w:hAnsi="Arial" w:cs="Arial"/>
                <w:sz w:val="16"/>
                <w:szCs w:val="16"/>
                <w:lang w:eastAsia="zh-CN"/>
              </w:rPr>
            </w:pPr>
            <w:r w:rsidRPr="005579A7">
              <w:rPr>
                <w:rFonts w:ascii="Arial" w:eastAsia="DengXian" w:hAnsi="Arial" w:cs="Arial"/>
                <w:sz w:val="16"/>
                <w:szCs w:val="16"/>
                <w:lang w:eastAsia="zh-CN"/>
              </w:rPr>
              <w:t>Note: M is the number of RB sets within this SL resource pool.</w:t>
            </w:r>
          </w:p>
        </w:tc>
        <w:tc>
          <w:tcPr>
            <w:tcW w:w="1096" w:type="pct"/>
            <w:tcBorders>
              <w:top w:val="nil"/>
              <w:left w:val="nil"/>
              <w:bottom w:val="single" w:sz="4" w:space="0" w:color="auto"/>
              <w:right w:val="single" w:sz="4" w:space="0" w:color="auto"/>
            </w:tcBorders>
            <w:shd w:val="clear" w:color="auto" w:fill="auto"/>
            <w:vAlign w:val="center"/>
          </w:tcPr>
          <w:p w14:paraId="314A5236" w14:textId="77777777" w:rsidR="005579A7" w:rsidRPr="005579A7" w:rsidRDefault="005579A7" w:rsidP="005579A7">
            <w:pPr>
              <w:jc w:val="center"/>
              <w:rPr>
                <w:rFonts w:ascii="Arial" w:eastAsia="DengXian" w:hAnsi="Arial" w:cs="Arial"/>
                <w:sz w:val="16"/>
                <w:szCs w:val="16"/>
                <w:lang w:eastAsia="zh-CN"/>
              </w:rPr>
            </w:pPr>
            <w:r w:rsidRPr="005579A7">
              <w:rPr>
                <w:rFonts w:ascii="Arial" w:eastAsia="DengXian" w:hAnsi="Arial" w:cs="Arial"/>
                <w:sz w:val="16"/>
                <w:szCs w:val="16"/>
                <w:lang w:eastAsia="zh-CN"/>
              </w:rPr>
              <w:t>INTEGER (0,1,2,...,M-1)</w:t>
            </w:r>
          </w:p>
        </w:tc>
        <w:tc>
          <w:tcPr>
            <w:tcW w:w="355" w:type="pct"/>
            <w:tcBorders>
              <w:top w:val="nil"/>
              <w:left w:val="nil"/>
              <w:bottom w:val="single" w:sz="4" w:space="0" w:color="auto"/>
              <w:right w:val="single" w:sz="4" w:space="0" w:color="auto"/>
            </w:tcBorders>
            <w:shd w:val="clear" w:color="auto" w:fill="auto"/>
            <w:vAlign w:val="center"/>
          </w:tcPr>
          <w:p w14:paraId="0B40A2F6" w14:textId="77777777" w:rsidR="005579A7" w:rsidRPr="005579A7" w:rsidRDefault="005579A7" w:rsidP="005579A7">
            <w:pPr>
              <w:jc w:val="center"/>
              <w:rPr>
                <w:rFonts w:ascii="Arial" w:eastAsia="DengXian" w:hAnsi="Arial" w:cs="Arial"/>
                <w:sz w:val="16"/>
                <w:szCs w:val="16"/>
                <w:lang w:eastAsia="zh-CN"/>
              </w:rPr>
            </w:pPr>
            <w:r w:rsidRPr="005579A7">
              <w:rPr>
                <w:rFonts w:ascii="Arial" w:eastAsia="DengXian" w:hAnsi="Arial" w:cs="Arial"/>
                <w:sz w:val="16"/>
                <w:szCs w:val="16"/>
                <w:lang w:eastAsia="zh-CN"/>
              </w:rPr>
              <w:t>N/A</w:t>
            </w:r>
          </w:p>
        </w:tc>
        <w:tc>
          <w:tcPr>
            <w:tcW w:w="468" w:type="pct"/>
            <w:tcBorders>
              <w:top w:val="nil"/>
              <w:left w:val="nil"/>
              <w:bottom w:val="single" w:sz="4" w:space="0" w:color="auto"/>
              <w:right w:val="single" w:sz="4" w:space="0" w:color="auto"/>
            </w:tcBorders>
            <w:shd w:val="clear" w:color="auto" w:fill="auto"/>
            <w:vAlign w:val="center"/>
          </w:tcPr>
          <w:p w14:paraId="49B85EF7" w14:textId="77777777" w:rsidR="005579A7" w:rsidRPr="005579A7" w:rsidRDefault="005579A7" w:rsidP="005579A7">
            <w:pPr>
              <w:jc w:val="center"/>
              <w:rPr>
                <w:rFonts w:ascii="Arial" w:eastAsia="DengXian" w:hAnsi="Arial" w:cs="Arial"/>
                <w:sz w:val="16"/>
                <w:szCs w:val="16"/>
                <w:lang w:eastAsia="zh-CN"/>
              </w:rPr>
            </w:pPr>
            <w:r w:rsidRPr="005579A7">
              <w:rPr>
                <w:rFonts w:ascii="Arial" w:eastAsia="DengXian" w:hAnsi="Arial" w:cs="Arial"/>
                <w:sz w:val="16"/>
                <w:szCs w:val="16"/>
                <w:lang w:eastAsia="zh-CN"/>
              </w:rPr>
              <w:t>Per Configured Grant</w:t>
            </w:r>
          </w:p>
        </w:tc>
      </w:tr>
      <w:tr w:rsidR="005579A7" w:rsidRPr="005579A7" w14:paraId="06BA89EB" w14:textId="77777777" w:rsidTr="005579A7">
        <w:trPr>
          <w:trHeight w:val="20"/>
        </w:trPr>
        <w:tc>
          <w:tcPr>
            <w:tcW w:w="382" w:type="pct"/>
            <w:tcBorders>
              <w:top w:val="single" w:sz="4" w:space="0" w:color="auto"/>
              <w:left w:val="single" w:sz="4" w:space="0" w:color="auto"/>
              <w:bottom w:val="single" w:sz="4" w:space="0" w:color="auto"/>
              <w:right w:val="single" w:sz="4" w:space="0" w:color="auto"/>
            </w:tcBorders>
            <w:shd w:val="clear" w:color="auto" w:fill="auto"/>
            <w:vAlign w:val="center"/>
          </w:tcPr>
          <w:p w14:paraId="071158C4" w14:textId="77777777" w:rsidR="005579A7" w:rsidRPr="005579A7" w:rsidRDefault="005579A7" w:rsidP="005579A7">
            <w:pPr>
              <w:jc w:val="center"/>
              <w:rPr>
                <w:rFonts w:ascii="Arial" w:eastAsia="DengXian" w:hAnsi="Arial" w:cs="Arial"/>
                <w:sz w:val="16"/>
                <w:szCs w:val="16"/>
                <w:lang w:eastAsia="zh-CN"/>
              </w:rPr>
            </w:pPr>
            <w:r w:rsidRPr="005579A7">
              <w:rPr>
                <w:rFonts w:ascii="Arial" w:eastAsia="DengXian" w:hAnsi="Arial" w:cs="Arial"/>
                <w:sz w:val="16"/>
                <w:szCs w:val="16"/>
                <w:lang w:eastAsia="zh-CN"/>
              </w:rPr>
              <w:t>22</w:t>
            </w:r>
          </w:p>
        </w:tc>
        <w:tc>
          <w:tcPr>
            <w:tcW w:w="863" w:type="pct"/>
            <w:tcBorders>
              <w:top w:val="single" w:sz="4" w:space="0" w:color="auto"/>
              <w:left w:val="single" w:sz="4" w:space="0" w:color="auto"/>
              <w:bottom w:val="single" w:sz="4" w:space="0" w:color="auto"/>
              <w:right w:val="single" w:sz="4" w:space="0" w:color="auto"/>
            </w:tcBorders>
            <w:shd w:val="clear" w:color="auto" w:fill="auto"/>
            <w:vAlign w:val="center"/>
          </w:tcPr>
          <w:p w14:paraId="3F86F9BF" w14:textId="77777777" w:rsidR="005579A7" w:rsidRPr="005579A7" w:rsidRDefault="005579A7" w:rsidP="005579A7">
            <w:pPr>
              <w:suppressAutoHyphens/>
              <w:jc w:val="center"/>
              <w:rPr>
                <w:rFonts w:ascii="Arial" w:eastAsia="DengXian" w:hAnsi="Arial" w:cs="Arial"/>
                <w:sz w:val="16"/>
                <w:szCs w:val="16"/>
                <w:lang w:eastAsia="zh-CN"/>
              </w:rPr>
            </w:pPr>
            <w:r w:rsidRPr="005579A7">
              <w:rPr>
                <w:rFonts w:ascii="Arial" w:hAnsi="Arial" w:cs="Arial"/>
                <w:sz w:val="16"/>
                <w:szCs w:val="16"/>
              </w:rPr>
              <w:t>sl-RB-SetPSFCHList</w:t>
            </w:r>
          </w:p>
        </w:tc>
        <w:tc>
          <w:tcPr>
            <w:tcW w:w="1836" w:type="pct"/>
            <w:tcBorders>
              <w:top w:val="single" w:sz="4" w:space="0" w:color="auto"/>
              <w:left w:val="nil"/>
              <w:bottom w:val="single" w:sz="4" w:space="0" w:color="auto"/>
              <w:right w:val="single" w:sz="4" w:space="0" w:color="auto"/>
            </w:tcBorders>
            <w:shd w:val="clear" w:color="auto" w:fill="auto"/>
          </w:tcPr>
          <w:p w14:paraId="3827E41C" w14:textId="77777777" w:rsidR="005579A7" w:rsidRPr="005579A7" w:rsidRDefault="005579A7" w:rsidP="005579A7">
            <w:pPr>
              <w:jc w:val="both"/>
              <w:rPr>
                <w:rFonts w:ascii="Arial" w:hAnsi="Arial" w:cs="Arial"/>
                <w:sz w:val="16"/>
                <w:szCs w:val="16"/>
              </w:rPr>
            </w:pPr>
            <w:r w:rsidRPr="005579A7">
              <w:rPr>
                <w:rFonts w:ascii="Arial" w:hAnsi="Arial" w:cs="Arial"/>
                <w:sz w:val="16"/>
                <w:szCs w:val="16"/>
              </w:rPr>
              <w:t xml:space="preserve">The n-th value in the list indicates the set of PRBs that are actually used for inter-UE coordination </w:t>
            </w:r>
            <w:r w:rsidRPr="005579A7">
              <w:rPr>
                <w:rFonts w:ascii="Arial" w:hAnsi="Arial" w:cs="Arial"/>
                <w:sz w:val="16"/>
                <w:szCs w:val="16"/>
              </w:rPr>
              <w:lastRenderedPageBreak/>
              <w:t>information transmission and reception in Scheme 2.</w:t>
            </w:r>
            <w:r w:rsidRPr="005579A7">
              <w:rPr>
                <w:rFonts w:ascii="Arial" w:hAnsi="Arial" w:cs="Arial"/>
                <w:sz w:val="16"/>
                <w:szCs w:val="16"/>
              </w:rPr>
              <w:br/>
              <w:t>It shall be (pre-)configured such that N candidate PSFCH occasion(s) are associated with N different PRB sets.</w:t>
            </w:r>
            <w:r w:rsidRPr="005579A7">
              <w:rPr>
                <w:rFonts w:ascii="Arial" w:hAnsi="Arial" w:cs="Arial"/>
                <w:sz w:val="16"/>
                <w:szCs w:val="16"/>
              </w:rPr>
              <w:br/>
              <w:t>PRBs within intra-cell guard band are not used for PSFCH transmission.</w:t>
            </w:r>
          </w:p>
          <w:p w14:paraId="6D66EA33" w14:textId="77777777" w:rsidR="005579A7" w:rsidRPr="005579A7" w:rsidRDefault="005579A7" w:rsidP="005579A7">
            <w:pPr>
              <w:jc w:val="both"/>
              <w:rPr>
                <w:rFonts w:ascii="Arial" w:eastAsia="DengXian" w:hAnsi="Arial" w:cs="Arial"/>
                <w:sz w:val="16"/>
                <w:szCs w:val="16"/>
                <w:lang w:eastAsia="zh-CN"/>
              </w:rPr>
            </w:pPr>
          </w:p>
          <w:p w14:paraId="2033932D" w14:textId="77777777" w:rsidR="005579A7" w:rsidRPr="005579A7" w:rsidRDefault="005579A7" w:rsidP="005579A7">
            <w:pPr>
              <w:jc w:val="both"/>
              <w:rPr>
                <w:rFonts w:ascii="Arial" w:eastAsia="DengXian" w:hAnsi="Arial" w:cs="Arial"/>
                <w:sz w:val="16"/>
                <w:szCs w:val="16"/>
                <w:lang w:eastAsia="zh-CN"/>
              </w:rPr>
            </w:pPr>
            <w:r w:rsidRPr="005579A7">
              <w:rPr>
                <w:rFonts w:ascii="Arial" w:eastAsia="DengXian" w:hAnsi="Arial" w:cs="Arial"/>
                <w:sz w:val="16"/>
                <w:szCs w:val="16"/>
                <w:lang w:eastAsia="zh-CN"/>
              </w:rPr>
              <w:t xml:space="preserve">N is given by </w:t>
            </w:r>
            <w:r w:rsidRPr="005579A7">
              <w:rPr>
                <w:rFonts w:ascii="Arial" w:eastAsia="DengXian" w:hAnsi="Arial" w:cs="Arial"/>
                <w:i/>
                <w:sz w:val="16"/>
                <w:szCs w:val="16"/>
                <w:lang w:eastAsia="zh-CN"/>
              </w:rPr>
              <w:t>numPSFCHOccasions</w:t>
            </w:r>
            <w:r w:rsidRPr="005579A7">
              <w:rPr>
                <w:rFonts w:ascii="Arial" w:eastAsia="DengXian" w:hAnsi="Arial" w:cs="Arial"/>
                <w:sz w:val="16"/>
                <w:szCs w:val="16"/>
                <w:lang w:eastAsia="zh-CN"/>
              </w:rPr>
              <w:t>.</w:t>
            </w:r>
          </w:p>
        </w:tc>
        <w:tc>
          <w:tcPr>
            <w:tcW w:w="1096" w:type="pct"/>
            <w:tcBorders>
              <w:top w:val="single" w:sz="4" w:space="0" w:color="auto"/>
              <w:left w:val="nil"/>
              <w:bottom w:val="single" w:sz="4" w:space="0" w:color="auto"/>
              <w:right w:val="single" w:sz="4" w:space="0" w:color="auto"/>
            </w:tcBorders>
            <w:shd w:val="clear" w:color="auto" w:fill="auto"/>
            <w:vAlign w:val="center"/>
          </w:tcPr>
          <w:p w14:paraId="75A1E782" w14:textId="77777777" w:rsidR="005579A7" w:rsidRPr="005579A7" w:rsidRDefault="005579A7" w:rsidP="005579A7">
            <w:pPr>
              <w:suppressAutoHyphens/>
              <w:snapToGrid w:val="0"/>
              <w:rPr>
                <w:rFonts w:ascii="Arial" w:eastAsia="DengXian" w:hAnsi="Arial" w:cs="Arial"/>
                <w:sz w:val="16"/>
                <w:szCs w:val="16"/>
                <w:lang w:eastAsia="zh-CN"/>
              </w:rPr>
            </w:pPr>
            <w:r w:rsidRPr="005579A7">
              <w:rPr>
                <w:rFonts w:ascii="Arial" w:hAnsi="Arial" w:cs="Arial"/>
                <w:sz w:val="16"/>
                <w:szCs w:val="16"/>
                <w:lang w:eastAsia="x-none"/>
              </w:rPr>
              <w:lastRenderedPageBreak/>
              <w:t>SEQUENCE (SIZE (1..N)) OF sl-RB-SetPSFCH</w:t>
            </w:r>
          </w:p>
          <w:p w14:paraId="5F3B4EFA" w14:textId="77777777" w:rsidR="005579A7" w:rsidRPr="005579A7" w:rsidRDefault="005579A7" w:rsidP="005579A7">
            <w:pPr>
              <w:suppressAutoHyphens/>
              <w:snapToGrid w:val="0"/>
              <w:jc w:val="both"/>
              <w:rPr>
                <w:rFonts w:ascii="Arial" w:eastAsia="DengXian" w:hAnsi="Arial" w:cs="Arial"/>
                <w:sz w:val="16"/>
                <w:szCs w:val="16"/>
                <w:lang w:eastAsia="zh-CN"/>
              </w:rPr>
            </w:pPr>
          </w:p>
          <w:p w14:paraId="0151A444" w14:textId="77777777" w:rsidR="005579A7" w:rsidRPr="005579A7" w:rsidRDefault="005579A7" w:rsidP="005579A7">
            <w:pPr>
              <w:suppressAutoHyphens/>
              <w:snapToGrid w:val="0"/>
              <w:rPr>
                <w:rFonts w:ascii="Arial" w:eastAsia="DengXian" w:hAnsi="Arial" w:cs="Arial"/>
                <w:sz w:val="16"/>
                <w:szCs w:val="16"/>
                <w:lang w:eastAsia="zh-CN"/>
              </w:rPr>
            </w:pPr>
            <w:r w:rsidRPr="005579A7">
              <w:rPr>
                <w:rFonts w:ascii="Arial" w:eastAsia="DengXian" w:hAnsi="Arial" w:cs="Arial"/>
                <w:sz w:val="16"/>
                <w:szCs w:val="16"/>
                <w:lang w:eastAsia="zh-CN"/>
              </w:rPr>
              <w:t>Note: some companies think that signalling overhead can be optimized by RAN2</w:t>
            </w:r>
          </w:p>
        </w:tc>
        <w:tc>
          <w:tcPr>
            <w:tcW w:w="355" w:type="pct"/>
            <w:tcBorders>
              <w:top w:val="single" w:sz="4" w:space="0" w:color="auto"/>
              <w:left w:val="nil"/>
              <w:bottom w:val="single" w:sz="4" w:space="0" w:color="auto"/>
              <w:right w:val="single" w:sz="4" w:space="0" w:color="auto"/>
            </w:tcBorders>
            <w:shd w:val="clear" w:color="auto" w:fill="auto"/>
            <w:vAlign w:val="center"/>
          </w:tcPr>
          <w:p w14:paraId="34177735" w14:textId="77777777" w:rsidR="005579A7" w:rsidRPr="005579A7" w:rsidRDefault="005579A7" w:rsidP="005579A7">
            <w:pPr>
              <w:jc w:val="center"/>
              <w:rPr>
                <w:rFonts w:ascii="Arial" w:eastAsia="DengXian" w:hAnsi="Arial" w:cs="Arial"/>
                <w:sz w:val="16"/>
                <w:szCs w:val="16"/>
                <w:lang w:eastAsia="zh-CN"/>
              </w:rPr>
            </w:pPr>
            <w:r w:rsidRPr="005579A7">
              <w:rPr>
                <w:rFonts w:ascii="Arial" w:hAnsi="Arial" w:cs="Arial"/>
                <w:sz w:val="16"/>
                <w:szCs w:val="16"/>
              </w:rPr>
              <w:lastRenderedPageBreak/>
              <w:t>N/A</w:t>
            </w:r>
          </w:p>
        </w:tc>
        <w:tc>
          <w:tcPr>
            <w:tcW w:w="468" w:type="pct"/>
            <w:tcBorders>
              <w:top w:val="single" w:sz="4" w:space="0" w:color="auto"/>
              <w:left w:val="nil"/>
              <w:bottom w:val="single" w:sz="4" w:space="0" w:color="auto"/>
              <w:right w:val="single" w:sz="4" w:space="0" w:color="auto"/>
            </w:tcBorders>
            <w:shd w:val="clear" w:color="auto" w:fill="auto"/>
            <w:vAlign w:val="center"/>
          </w:tcPr>
          <w:p w14:paraId="0344F012" w14:textId="77777777" w:rsidR="005579A7" w:rsidRPr="005579A7" w:rsidRDefault="005579A7" w:rsidP="005579A7">
            <w:pPr>
              <w:jc w:val="center"/>
              <w:rPr>
                <w:rFonts w:ascii="Arial" w:eastAsia="DengXian" w:hAnsi="Arial" w:cs="Arial"/>
                <w:strike/>
                <w:sz w:val="16"/>
                <w:szCs w:val="16"/>
                <w:lang w:eastAsia="zh-CN"/>
              </w:rPr>
            </w:pPr>
            <w:r w:rsidRPr="005579A7">
              <w:rPr>
                <w:rFonts w:ascii="Arial" w:hAnsi="Arial" w:cs="Arial"/>
                <w:sz w:val="16"/>
                <w:szCs w:val="16"/>
              </w:rPr>
              <w:t xml:space="preserve">Per resource </w:t>
            </w:r>
            <w:r w:rsidRPr="005579A7">
              <w:rPr>
                <w:rFonts w:ascii="Arial" w:hAnsi="Arial" w:cs="Arial"/>
                <w:sz w:val="16"/>
                <w:szCs w:val="16"/>
              </w:rPr>
              <w:lastRenderedPageBreak/>
              <w:t>pool</w:t>
            </w:r>
          </w:p>
        </w:tc>
      </w:tr>
      <w:tr w:rsidR="005579A7" w:rsidRPr="005579A7" w14:paraId="0826A120" w14:textId="77777777" w:rsidTr="005579A7">
        <w:trPr>
          <w:trHeight w:val="20"/>
        </w:trPr>
        <w:tc>
          <w:tcPr>
            <w:tcW w:w="382" w:type="pct"/>
            <w:tcBorders>
              <w:top w:val="single" w:sz="4" w:space="0" w:color="auto"/>
              <w:left w:val="single" w:sz="4" w:space="0" w:color="auto"/>
              <w:bottom w:val="single" w:sz="4" w:space="0" w:color="auto"/>
              <w:right w:val="single" w:sz="4" w:space="0" w:color="auto"/>
            </w:tcBorders>
            <w:shd w:val="clear" w:color="auto" w:fill="auto"/>
            <w:vAlign w:val="center"/>
          </w:tcPr>
          <w:p w14:paraId="3D49AE04" w14:textId="77777777" w:rsidR="005579A7" w:rsidRPr="005579A7" w:rsidRDefault="005579A7" w:rsidP="005579A7">
            <w:pPr>
              <w:jc w:val="center"/>
              <w:rPr>
                <w:rFonts w:ascii="Arial" w:eastAsia="DengXian" w:hAnsi="Arial" w:cs="Arial"/>
                <w:sz w:val="16"/>
                <w:szCs w:val="16"/>
                <w:lang w:eastAsia="zh-CN"/>
              </w:rPr>
            </w:pPr>
            <w:r w:rsidRPr="005579A7">
              <w:rPr>
                <w:rFonts w:ascii="Arial" w:eastAsia="DengXian" w:hAnsi="Arial" w:cs="Arial"/>
                <w:sz w:val="16"/>
                <w:szCs w:val="16"/>
                <w:lang w:eastAsia="zh-CN"/>
              </w:rPr>
              <w:lastRenderedPageBreak/>
              <w:t>23</w:t>
            </w:r>
          </w:p>
        </w:tc>
        <w:tc>
          <w:tcPr>
            <w:tcW w:w="863" w:type="pct"/>
            <w:tcBorders>
              <w:top w:val="single" w:sz="4" w:space="0" w:color="auto"/>
              <w:left w:val="single" w:sz="4" w:space="0" w:color="auto"/>
              <w:bottom w:val="single" w:sz="4" w:space="0" w:color="auto"/>
              <w:right w:val="single" w:sz="4" w:space="0" w:color="auto"/>
            </w:tcBorders>
            <w:shd w:val="clear" w:color="auto" w:fill="auto"/>
            <w:vAlign w:val="center"/>
          </w:tcPr>
          <w:p w14:paraId="4EA593AA" w14:textId="77777777" w:rsidR="005579A7" w:rsidRPr="005579A7" w:rsidRDefault="005579A7" w:rsidP="005579A7">
            <w:pPr>
              <w:suppressAutoHyphens/>
              <w:jc w:val="center"/>
              <w:rPr>
                <w:rFonts w:ascii="Arial" w:eastAsia="DengXian" w:hAnsi="Arial" w:cs="Arial"/>
                <w:sz w:val="16"/>
                <w:szCs w:val="16"/>
                <w:lang w:eastAsia="zh-CN"/>
              </w:rPr>
            </w:pPr>
            <w:r w:rsidRPr="005579A7">
              <w:rPr>
                <w:rFonts w:ascii="Arial" w:hAnsi="Arial" w:cs="Arial"/>
                <w:sz w:val="16"/>
                <w:szCs w:val="16"/>
              </w:rPr>
              <w:t>PSFCHPowerOffset</w:t>
            </w:r>
          </w:p>
        </w:tc>
        <w:tc>
          <w:tcPr>
            <w:tcW w:w="1836" w:type="pct"/>
            <w:tcBorders>
              <w:top w:val="single" w:sz="4" w:space="0" w:color="auto"/>
              <w:left w:val="nil"/>
              <w:bottom w:val="single" w:sz="4" w:space="0" w:color="auto"/>
              <w:right w:val="single" w:sz="4" w:space="0" w:color="auto"/>
            </w:tcBorders>
            <w:shd w:val="clear" w:color="auto" w:fill="auto"/>
          </w:tcPr>
          <w:p w14:paraId="411ECD41" w14:textId="77777777" w:rsidR="005579A7" w:rsidRPr="005579A7" w:rsidRDefault="005579A7" w:rsidP="005579A7">
            <w:pPr>
              <w:jc w:val="both"/>
              <w:rPr>
                <w:rFonts w:ascii="Arial" w:hAnsi="Arial" w:cs="Arial"/>
                <w:sz w:val="16"/>
                <w:szCs w:val="16"/>
              </w:rPr>
            </w:pPr>
            <w:r w:rsidRPr="005579A7">
              <w:rPr>
                <w:rFonts w:ascii="Arial" w:hAnsi="Arial" w:cs="Arial"/>
                <w:sz w:val="16"/>
                <w:szCs w:val="16"/>
              </w:rPr>
              <w:t xml:space="preserve">Indicates the power offset between Tx power on one common PRB (P_common) and Tx power on one dedicated PRB (P_dedicated) when </w:t>
            </w:r>
            <w:r w:rsidRPr="005579A7">
              <w:rPr>
                <w:rFonts w:ascii="Arial" w:hAnsi="Arial" w:cs="Arial"/>
                <w:i/>
                <w:iCs/>
                <w:sz w:val="16"/>
                <w:szCs w:val="16"/>
              </w:rPr>
              <w:t>transmissionStructureForPSFCH</w:t>
            </w:r>
            <w:r w:rsidRPr="005579A7">
              <w:rPr>
                <w:rFonts w:ascii="Arial" w:hAnsi="Arial" w:cs="Arial"/>
                <w:sz w:val="16"/>
                <w:szCs w:val="16"/>
              </w:rPr>
              <w:t xml:space="preserve"> is (pre-)configured as </w:t>
            </w:r>
            <w:r w:rsidRPr="005579A7">
              <w:rPr>
                <w:rFonts w:ascii="Arial" w:hAnsi="Arial" w:cs="Arial"/>
                <w:i/>
                <w:iCs/>
                <w:sz w:val="16"/>
                <w:szCs w:val="16"/>
              </w:rPr>
              <w:t>common interlace</w:t>
            </w:r>
            <w:r w:rsidRPr="005579A7">
              <w:rPr>
                <w:rFonts w:ascii="Arial" w:hAnsi="Arial" w:cs="Arial"/>
                <w:sz w:val="16"/>
                <w:szCs w:val="16"/>
              </w:rPr>
              <w:t>, i.e., P_common = P_dedicated - offset.</w:t>
            </w:r>
          </w:p>
          <w:p w14:paraId="55B5110D" w14:textId="77777777" w:rsidR="005579A7" w:rsidRPr="005579A7" w:rsidRDefault="005579A7" w:rsidP="005579A7">
            <w:pPr>
              <w:jc w:val="both"/>
              <w:rPr>
                <w:rFonts w:ascii="Arial" w:eastAsia="DengXian" w:hAnsi="Arial" w:cs="Arial"/>
                <w:sz w:val="16"/>
                <w:szCs w:val="16"/>
                <w:lang w:eastAsia="zh-CN"/>
              </w:rPr>
            </w:pPr>
          </w:p>
          <w:p w14:paraId="1E5C02C8" w14:textId="77777777" w:rsidR="005579A7" w:rsidRPr="005579A7" w:rsidRDefault="005579A7" w:rsidP="005579A7">
            <w:pPr>
              <w:jc w:val="both"/>
              <w:rPr>
                <w:rFonts w:ascii="Arial" w:eastAsia="DengXian" w:hAnsi="Arial" w:cs="Arial"/>
                <w:sz w:val="16"/>
                <w:szCs w:val="16"/>
                <w:lang w:eastAsia="zh-CN"/>
              </w:rPr>
            </w:pPr>
            <w:r w:rsidRPr="005579A7">
              <w:rPr>
                <w:rFonts w:ascii="Arial" w:eastAsia="DengXian" w:hAnsi="Arial" w:cs="Arial"/>
                <w:sz w:val="16"/>
                <w:szCs w:val="16"/>
              </w:rPr>
              <w:t xml:space="preserve">UE expects </w:t>
            </w:r>
            <w:r w:rsidRPr="005579A7">
              <w:rPr>
                <w:rFonts w:ascii="Arial" w:hAnsi="Arial" w:cs="Arial"/>
                <w:bCs/>
                <w:sz w:val="16"/>
                <w:szCs w:val="16"/>
                <w:lang w:eastAsia="zh-CN"/>
              </w:rPr>
              <w:t xml:space="preserve">the same (pre-)configured value of </w:t>
            </w:r>
            <w:r w:rsidRPr="005579A7">
              <w:rPr>
                <w:rFonts w:ascii="Arial" w:eastAsia="DengXian" w:hAnsi="Arial" w:cs="Arial"/>
                <w:sz w:val="16"/>
                <w:szCs w:val="16"/>
              </w:rPr>
              <w:t>PSFCHPowerOffset across all resource pools.</w:t>
            </w:r>
          </w:p>
          <w:p w14:paraId="4AE36B14" w14:textId="77777777" w:rsidR="005579A7" w:rsidRPr="005579A7" w:rsidRDefault="005579A7" w:rsidP="005579A7">
            <w:pPr>
              <w:jc w:val="both"/>
              <w:rPr>
                <w:rFonts w:ascii="Arial" w:eastAsia="DengXian" w:hAnsi="Arial" w:cs="Arial"/>
                <w:sz w:val="16"/>
                <w:szCs w:val="16"/>
                <w:lang w:eastAsia="zh-CN"/>
              </w:rPr>
            </w:pPr>
          </w:p>
          <w:p w14:paraId="118FAF7E" w14:textId="77777777" w:rsidR="005579A7" w:rsidRPr="005579A7" w:rsidRDefault="005579A7" w:rsidP="005579A7">
            <w:pPr>
              <w:jc w:val="both"/>
              <w:rPr>
                <w:rFonts w:ascii="Arial" w:eastAsia="DengXian" w:hAnsi="Arial" w:cs="Arial"/>
                <w:sz w:val="16"/>
                <w:szCs w:val="16"/>
                <w:lang w:eastAsia="zh-CN"/>
              </w:rPr>
            </w:pPr>
            <w:r w:rsidRPr="005579A7">
              <w:rPr>
                <w:rFonts w:ascii="Arial" w:eastAsia="DengXian" w:hAnsi="Arial" w:cs="Arial"/>
                <w:sz w:val="16"/>
                <w:szCs w:val="16"/>
                <w:lang w:eastAsia="zh-CN"/>
              </w:rPr>
              <w:t>The unit is dB.</w:t>
            </w:r>
          </w:p>
        </w:tc>
        <w:tc>
          <w:tcPr>
            <w:tcW w:w="1096" w:type="pct"/>
            <w:tcBorders>
              <w:top w:val="single" w:sz="4" w:space="0" w:color="auto"/>
              <w:left w:val="nil"/>
              <w:bottom w:val="single" w:sz="4" w:space="0" w:color="auto"/>
              <w:right w:val="single" w:sz="4" w:space="0" w:color="auto"/>
            </w:tcBorders>
            <w:shd w:val="clear" w:color="auto" w:fill="auto"/>
            <w:vAlign w:val="center"/>
          </w:tcPr>
          <w:p w14:paraId="504C245A" w14:textId="77777777" w:rsidR="005579A7" w:rsidRPr="005579A7" w:rsidRDefault="005579A7" w:rsidP="005579A7">
            <w:pPr>
              <w:jc w:val="center"/>
              <w:rPr>
                <w:rFonts w:ascii="Arial" w:eastAsia="DengXian" w:hAnsi="Arial" w:cs="Arial"/>
                <w:sz w:val="16"/>
                <w:szCs w:val="16"/>
                <w:lang w:eastAsia="zh-CN"/>
              </w:rPr>
            </w:pPr>
            <w:r w:rsidRPr="005579A7">
              <w:rPr>
                <w:rFonts w:ascii="Arial" w:eastAsia="DengXian" w:hAnsi="Arial" w:cs="Arial"/>
                <w:sz w:val="16"/>
                <w:szCs w:val="16"/>
                <w:lang w:eastAsia="zh-CN"/>
              </w:rPr>
              <w:t>INTEGER (0,1,2,…,10)</w:t>
            </w:r>
          </w:p>
          <w:p w14:paraId="141B77A6" w14:textId="77777777" w:rsidR="005579A7" w:rsidRPr="005579A7" w:rsidRDefault="005579A7" w:rsidP="005579A7">
            <w:pPr>
              <w:jc w:val="center"/>
              <w:rPr>
                <w:rFonts w:ascii="Arial" w:eastAsia="DengXian" w:hAnsi="Arial" w:cs="Arial"/>
                <w:sz w:val="16"/>
                <w:szCs w:val="16"/>
                <w:lang w:eastAsia="zh-CN"/>
              </w:rPr>
            </w:pPr>
          </w:p>
          <w:p w14:paraId="7CC9E4CE" w14:textId="77777777" w:rsidR="005579A7" w:rsidRPr="005579A7" w:rsidRDefault="005579A7" w:rsidP="005579A7">
            <w:pPr>
              <w:jc w:val="center"/>
              <w:rPr>
                <w:rFonts w:ascii="Arial" w:eastAsia="DengXian" w:hAnsi="Arial" w:cs="Arial"/>
                <w:sz w:val="16"/>
                <w:szCs w:val="16"/>
                <w:lang w:eastAsia="zh-CN"/>
              </w:rPr>
            </w:pPr>
            <w:r w:rsidRPr="005579A7">
              <w:rPr>
                <w:rFonts w:ascii="Arial" w:eastAsia="DengXian" w:hAnsi="Arial" w:cs="Arial"/>
                <w:sz w:val="16"/>
                <w:szCs w:val="16"/>
                <w:lang w:eastAsia="zh-CN"/>
              </w:rPr>
              <w:t>Note: this value range may need to be updated based on RAN4 reply LS</w:t>
            </w:r>
          </w:p>
        </w:tc>
        <w:tc>
          <w:tcPr>
            <w:tcW w:w="355" w:type="pct"/>
            <w:tcBorders>
              <w:top w:val="single" w:sz="4" w:space="0" w:color="auto"/>
              <w:left w:val="nil"/>
              <w:bottom w:val="single" w:sz="4" w:space="0" w:color="auto"/>
              <w:right w:val="single" w:sz="4" w:space="0" w:color="auto"/>
            </w:tcBorders>
            <w:shd w:val="clear" w:color="auto" w:fill="auto"/>
            <w:vAlign w:val="center"/>
          </w:tcPr>
          <w:p w14:paraId="685BBA4E" w14:textId="77777777" w:rsidR="005579A7" w:rsidRPr="005579A7" w:rsidRDefault="005579A7" w:rsidP="005579A7">
            <w:pPr>
              <w:jc w:val="center"/>
              <w:rPr>
                <w:rFonts w:ascii="Arial" w:eastAsia="DengXian" w:hAnsi="Arial" w:cs="Arial"/>
                <w:sz w:val="16"/>
                <w:szCs w:val="16"/>
                <w:lang w:eastAsia="zh-CN"/>
              </w:rPr>
            </w:pPr>
            <w:r w:rsidRPr="005579A7">
              <w:rPr>
                <w:rFonts w:ascii="Arial" w:hAnsi="Arial" w:cs="Arial"/>
                <w:sz w:val="16"/>
                <w:szCs w:val="16"/>
              </w:rPr>
              <w:t>N/A</w:t>
            </w:r>
          </w:p>
        </w:tc>
        <w:tc>
          <w:tcPr>
            <w:tcW w:w="468" w:type="pct"/>
            <w:tcBorders>
              <w:top w:val="single" w:sz="4" w:space="0" w:color="auto"/>
              <w:left w:val="nil"/>
              <w:bottom w:val="single" w:sz="4" w:space="0" w:color="auto"/>
              <w:right w:val="single" w:sz="4" w:space="0" w:color="auto"/>
            </w:tcBorders>
            <w:shd w:val="clear" w:color="auto" w:fill="auto"/>
            <w:vAlign w:val="center"/>
          </w:tcPr>
          <w:p w14:paraId="22072BC3" w14:textId="77777777" w:rsidR="005579A7" w:rsidRPr="005579A7" w:rsidRDefault="005579A7" w:rsidP="005579A7">
            <w:pPr>
              <w:jc w:val="center"/>
              <w:rPr>
                <w:rFonts w:ascii="Arial" w:eastAsia="DengXian" w:hAnsi="Arial" w:cs="Arial"/>
                <w:strike/>
                <w:sz w:val="16"/>
                <w:szCs w:val="16"/>
                <w:lang w:eastAsia="zh-CN"/>
              </w:rPr>
            </w:pPr>
            <w:r w:rsidRPr="005579A7">
              <w:rPr>
                <w:rFonts w:ascii="Arial" w:hAnsi="Arial" w:cs="Arial"/>
                <w:sz w:val="16"/>
                <w:szCs w:val="16"/>
              </w:rPr>
              <w:t>Per resource pool</w:t>
            </w:r>
          </w:p>
        </w:tc>
      </w:tr>
      <w:tr w:rsidR="005579A7" w:rsidRPr="005579A7" w14:paraId="7875FBD4" w14:textId="77777777" w:rsidTr="005579A7">
        <w:trPr>
          <w:trHeight w:val="20"/>
        </w:trPr>
        <w:tc>
          <w:tcPr>
            <w:tcW w:w="382" w:type="pct"/>
            <w:tcBorders>
              <w:top w:val="single" w:sz="4" w:space="0" w:color="auto"/>
              <w:left w:val="single" w:sz="4" w:space="0" w:color="auto"/>
              <w:bottom w:val="single" w:sz="4" w:space="0" w:color="auto"/>
              <w:right w:val="single" w:sz="4" w:space="0" w:color="auto"/>
            </w:tcBorders>
            <w:shd w:val="clear" w:color="auto" w:fill="auto"/>
            <w:vAlign w:val="center"/>
          </w:tcPr>
          <w:p w14:paraId="4CFFEE77" w14:textId="77777777" w:rsidR="005579A7" w:rsidRPr="005579A7" w:rsidRDefault="005579A7" w:rsidP="005579A7">
            <w:pPr>
              <w:jc w:val="center"/>
              <w:rPr>
                <w:rFonts w:ascii="Arial" w:eastAsia="DengXian" w:hAnsi="Arial" w:cs="Arial"/>
                <w:sz w:val="16"/>
                <w:szCs w:val="16"/>
                <w:lang w:eastAsia="zh-CN"/>
              </w:rPr>
            </w:pPr>
            <w:del w:id="368" w:author="Mixiang (Shawn)" w:date="2023-11-14T18:38:00Z">
              <w:r w:rsidRPr="005579A7" w:rsidDel="00314499">
                <w:rPr>
                  <w:rFonts w:ascii="Arial" w:eastAsia="DengXian" w:hAnsi="Arial" w:cs="Arial"/>
                  <w:sz w:val="16"/>
                  <w:szCs w:val="16"/>
                  <w:lang w:eastAsia="zh-CN"/>
                </w:rPr>
                <w:delText>1</w:delText>
              </w:r>
            </w:del>
          </w:p>
        </w:tc>
        <w:tc>
          <w:tcPr>
            <w:tcW w:w="863" w:type="pct"/>
            <w:tcBorders>
              <w:top w:val="single" w:sz="4" w:space="0" w:color="auto"/>
              <w:left w:val="single" w:sz="4" w:space="0" w:color="auto"/>
              <w:bottom w:val="single" w:sz="4" w:space="0" w:color="auto"/>
              <w:right w:val="single" w:sz="4" w:space="0" w:color="auto"/>
            </w:tcBorders>
            <w:shd w:val="clear" w:color="auto" w:fill="auto"/>
            <w:vAlign w:val="center"/>
          </w:tcPr>
          <w:p w14:paraId="116C1AA8" w14:textId="77777777" w:rsidR="005579A7" w:rsidRPr="005579A7" w:rsidRDefault="005579A7" w:rsidP="005579A7">
            <w:pPr>
              <w:suppressAutoHyphens/>
              <w:jc w:val="center"/>
              <w:rPr>
                <w:rFonts w:ascii="Arial" w:hAnsi="Arial" w:cs="Arial"/>
                <w:sz w:val="16"/>
                <w:szCs w:val="16"/>
              </w:rPr>
            </w:pPr>
            <w:del w:id="369" w:author="Mixiang (Shawn)" w:date="2023-11-14T18:38:00Z">
              <w:r w:rsidRPr="005579A7" w:rsidDel="00314499">
                <w:rPr>
                  <w:rFonts w:ascii="Arial" w:eastAsia="DengXian" w:hAnsi="Arial" w:cs="Arial"/>
                  <w:sz w:val="16"/>
                  <w:szCs w:val="16"/>
                  <w:lang w:eastAsia="zh-CN"/>
                </w:rPr>
                <w:delText>startRBResourcePool</w:delText>
              </w:r>
            </w:del>
          </w:p>
        </w:tc>
        <w:tc>
          <w:tcPr>
            <w:tcW w:w="1836" w:type="pct"/>
            <w:tcBorders>
              <w:top w:val="single" w:sz="4" w:space="0" w:color="auto"/>
              <w:left w:val="nil"/>
              <w:bottom w:val="single" w:sz="4" w:space="0" w:color="auto"/>
              <w:right w:val="single" w:sz="4" w:space="0" w:color="auto"/>
            </w:tcBorders>
            <w:shd w:val="clear" w:color="auto" w:fill="auto"/>
            <w:vAlign w:val="center"/>
          </w:tcPr>
          <w:p w14:paraId="7D4E7333" w14:textId="06355043" w:rsidR="005579A7" w:rsidRPr="005579A7" w:rsidRDefault="005579A7" w:rsidP="005579A7">
            <w:pPr>
              <w:jc w:val="both"/>
              <w:rPr>
                <w:rFonts w:ascii="Arial" w:hAnsi="Arial" w:cs="Arial"/>
                <w:sz w:val="16"/>
                <w:szCs w:val="16"/>
              </w:rPr>
            </w:pPr>
            <w:del w:id="370" w:author="Mixiang (Shawn)" w:date="2023-11-14T18:38:00Z">
              <w:r w:rsidRPr="005579A7" w:rsidDel="00314499">
                <w:rPr>
                  <w:rFonts w:ascii="Arial" w:eastAsia="DengXian" w:hAnsi="Arial" w:cs="Arial"/>
                  <w:sz w:val="16"/>
                  <w:szCs w:val="16"/>
                  <w:lang w:eastAsia="zh-CN"/>
                </w:rPr>
                <w:delText xml:space="preserve">For contiguous RB based PSCCH/PSSCH, indicates the lowest RB index in the resource pool with respect to the lowest RB index of a SL BWP. </w:delText>
              </w:r>
            </w:del>
          </w:p>
        </w:tc>
        <w:tc>
          <w:tcPr>
            <w:tcW w:w="1096" w:type="pct"/>
            <w:tcBorders>
              <w:top w:val="single" w:sz="4" w:space="0" w:color="auto"/>
              <w:left w:val="nil"/>
              <w:bottom w:val="single" w:sz="4" w:space="0" w:color="auto"/>
              <w:right w:val="single" w:sz="4" w:space="0" w:color="auto"/>
            </w:tcBorders>
            <w:shd w:val="clear" w:color="auto" w:fill="auto"/>
            <w:vAlign w:val="center"/>
          </w:tcPr>
          <w:p w14:paraId="45A678EB" w14:textId="77777777" w:rsidR="005579A7" w:rsidRPr="005579A7" w:rsidRDefault="005579A7" w:rsidP="005579A7">
            <w:pPr>
              <w:jc w:val="center"/>
              <w:rPr>
                <w:rFonts w:ascii="Arial" w:eastAsia="DengXian" w:hAnsi="Arial" w:cs="Arial"/>
                <w:sz w:val="16"/>
                <w:szCs w:val="16"/>
                <w:lang w:eastAsia="zh-CN"/>
              </w:rPr>
            </w:pPr>
            <w:del w:id="371" w:author="Mixiang (Shawn)" w:date="2023-11-14T18:38:00Z">
              <w:r w:rsidRPr="005579A7" w:rsidDel="00314499">
                <w:rPr>
                  <w:rFonts w:ascii="Arial" w:eastAsia="DengXian" w:hAnsi="Arial" w:cs="Arial"/>
                  <w:sz w:val="16"/>
                  <w:szCs w:val="16"/>
                  <w:lang w:eastAsia="zh-CN"/>
                </w:rPr>
                <w:delText>INTEGER (0,1,2,…,224)</w:delText>
              </w:r>
            </w:del>
          </w:p>
        </w:tc>
        <w:tc>
          <w:tcPr>
            <w:tcW w:w="355" w:type="pct"/>
            <w:tcBorders>
              <w:top w:val="single" w:sz="4" w:space="0" w:color="auto"/>
              <w:left w:val="nil"/>
              <w:bottom w:val="single" w:sz="4" w:space="0" w:color="auto"/>
              <w:right w:val="single" w:sz="4" w:space="0" w:color="auto"/>
            </w:tcBorders>
            <w:shd w:val="clear" w:color="auto" w:fill="auto"/>
            <w:vAlign w:val="center"/>
          </w:tcPr>
          <w:p w14:paraId="1E799FEC" w14:textId="77777777" w:rsidR="005579A7" w:rsidRPr="005579A7" w:rsidRDefault="005579A7" w:rsidP="005579A7">
            <w:pPr>
              <w:jc w:val="center"/>
              <w:rPr>
                <w:rFonts w:ascii="Arial" w:hAnsi="Arial" w:cs="Arial"/>
                <w:sz w:val="16"/>
                <w:szCs w:val="16"/>
              </w:rPr>
            </w:pPr>
            <w:del w:id="372" w:author="Mixiang (Shawn)" w:date="2023-11-14T18:38:00Z">
              <w:r w:rsidRPr="005579A7" w:rsidDel="00314499">
                <w:rPr>
                  <w:rFonts w:ascii="Arial" w:eastAsia="DengXian" w:hAnsi="Arial" w:cs="Arial"/>
                  <w:sz w:val="16"/>
                  <w:szCs w:val="16"/>
                  <w:lang w:eastAsia="zh-CN"/>
                </w:rPr>
                <w:delText>N/A</w:delText>
              </w:r>
            </w:del>
          </w:p>
        </w:tc>
        <w:tc>
          <w:tcPr>
            <w:tcW w:w="468" w:type="pct"/>
            <w:tcBorders>
              <w:top w:val="single" w:sz="4" w:space="0" w:color="auto"/>
              <w:left w:val="nil"/>
              <w:bottom w:val="single" w:sz="4" w:space="0" w:color="auto"/>
              <w:right w:val="single" w:sz="4" w:space="0" w:color="auto"/>
            </w:tcBorders>
            <w:shd w:val="clear" w:color="auto" w:fill="auto"/>
            <w:vAlign w:val="center"/>
          </w:tcPr>
          <w:p w14:paraId="3AF8DE53" w14:textId="77777777" w:rsidR="005579A7" w:rsidRPr="005579A7" w:rsidRDefault="005579A7" w:rsidP="005579A7">
            <w:pPr>
              <w:jc w:val="center"/>
              <w:rPr>
                <w:rFonts w:ascii="Arial" w:hAnsi="Arial" w:cs="Arial"/>
                <w:sz w:val="16"/>
                <w:szCs w:val="16"/>
              </w:rPr>
            </w:pPr>
            <w:del w:id="373" w:author="Mixiang (Shawn)" w:date="2023-11-14T18:38:00Z">
              <w:r w:rsidRPr="005579A7" w:rsidDel="00314499">
                <w:rPr>
                  <w:rFonts w:ascii="Arial" w:eastAsia="DengXian" w:hAnsi="Arial" w:cs="Arial"/>
                  <w:sz w:val="16"/>
                  <w:szCs w:val="16"/>
                  <w:lang w:eastAsia="zh-CN"/>
                </w:rPr>
                <w:delText>Per resource pool</w:delText>
              </w:r>
            </w:del>
          </w:p>
        </w:tc>
      </w:tr>
      <w:tr w:rsidR="005579A7" w:rsidRPr="005579A7" w14:paraId="6DDA1E87" w14:textId="77777777" w:rsidTr="005579A7">
        <w:trPr>
          <w:trHeight w:val="20"/>
        </w:trPr>
        <w:tc>
          <w:tcPr>
            <w:tcW w:w="382" w:type="pct"/>
            <w:tcBorders>
              <w:top w:val="single" w:sz="4" w:space="0" w:color="auto"/>
              <w:left w:val="single" w:sz="4" w:space="0" w:color="auto"/>
              <w:bottom w:val="single" w:sz="4" w:space="0" w:color="auto"/>
              <w:right w:val="single" w:sz="4" w:space="0" w:color="auto"/>
            </w:tcBorders>
            <w:shd w:val="clear" w:color="auto" w:fill="auto"/>
            <w:vAlign w:val="center"/>
          </w:tcPr>
          <w:p w14:paraId="614AE083" w14:textId="77777777" w:rsidR="005579A7" w:rsidRPr="005579A7" w:rsidRDefault="005579A7" w:rsidP="005579A7">
            <w:pPr>
              <w:jc w:val="center"/>
              <w:rPr>
                <w:rFonts w:ascii="Arial" w:eastAsia="DengXian" w:hAnsi="Arial" w:cs="Arial"/>
                <w:sz w:val="16"/>
                <w:szCs w:val="16"/>
                <w:lang w:eastAsia="zh-CN"/>
              </w:rPr>
            </w:pPr>
            <w:r w:rsidRPr="005579A7">
              <w:rPr>
                <w:rFonts w:ascii="Arial" w:eastAsia="DengXian" w:hAnsi="Arial" w:cs="Arial"/>
                <w:sz w:val="16"/>
                <w:szCs w:val="16"/>
                <w:lang w:eastAsia="zh-CN"/>
              </w:rPr>
              <w:t>24</w:t>
            </w:r>
          </w:p>
        </w:tc>
        <w:tc>
          <w:tcPr>
            <w:tcW w:w="863" w:type="pct"/>
            <w:tcBorders>
              <w:top w:val="single" w:sz="4" w:space="0" w:color="auto"/>
              <w:left w:val="single" w:sz="4" w:space="0" w:color="auto"/>
              <w:bottom w:val="single" w:sz="4" w:space="0" w:color="auto"/>
              <w:right w:val="single" w:sz="4" w:space="0" w:color="auto"/>
            </w:tcBorders>
            <w:shd w:val="clear" w:color="auto" w:fill="auto"/>
            <w:vAlign w:val="center"/>
          </w:tcPr>
          <w:p w14:paraId="1093DC08" w14:textId="77777777" w:rsidR="005579A7" w:rsidRPr="005579A7" w:rsidRDefault="005579A7" w:rsidP="005579A7">
            <w:pPr>
              <w:suppressAutoHyphens/>
              <w:jc w:val="center"/>
              <w:rPr>
                <w:rFonts w:ascii="Arial" w:hAnsi="Arial" w:cs="Arial"/>
                <w:sz w:val="16"/>
                <w:szCs w:val="16"/>
              </w:rPr>
            </w:pPr>
            <w:r w:rsidRPr="005579A7">
              <w:rPr>
                <w:rFonts w:ascii="Arial" w:eastAsia="DengXian" w:hAnsi="Arial" w:cs="Arial"/>
                <w:sz w:val="16"/>
                <w:szCs w:val="16"/>
              </w:rPr>
              <w:t>RBSetIndexOfResourcePool</w:t>
            </w:r>
          </w:p>
        </w:tc>
        <w:tc>
          <w:tcPr>
            <w:tcW w:w="1836" w:type="pct"/>
            <w:tcBorders>
              <w:top w:val="single" w:sz="4" w:space="0" w:color="auto"/>
              <w:left w:val="nil"/>
              <w:bottom w:val="single" w:sz="4" w:space="0" w:color="auto"/>
              <w:right w:val="single" w:sz="4" w:space="0" w:color="auto"/>
            </w:tcBorders>
            <w:shd w:val="clear" w:color="auto" w:fill="auto"/>
            <w:vAlign w:val="center"/>
          </w:tcPr>
          <w:p w14:paraId="136CDB9A" w14:textId="77777777" w:rsidR="005579A7" w:rsidRPr="00693A15" w:rsidRDefault="005579A7" w:rsidP="005579A7">
            <w:pPr>
              <w:rPr>
                <w:rFonts w:ascii="Arial" w:eastAsia="DengXian" w:hAnsi="Arial" w:cs="Arial"/>
                <w:sz w:val="16"/>
                <w:szCs w:val="16"/>
              </w:rPr>
            </w:pPr>
            <w:r w:rsidRPr="00693A15">
              <w:rPr>
                <w:rFonts w:ascii="Arial" w:eastAsia="DengXian" w:hAnsi="Arial" w:cs="Arial"/>
                <w:sz w:val="16"/>
                <w:szCs w:val="16"/>
                <w:lang w:eastAsia="zh-CN"/>
              </w:rPr>
              <w:t xml:space="preserve">For interlace RB based PSCCH/PSSCH, </w:t>
            </w:r>
            <w:r w:rsidRPr="00693A15">
              <w:rPr>
                <w:rFonts w:ascii="Arial" w:eastAsia="DengXian" w:hAnsi="Arial" w:cs="Arial"/>
                <w:sz w:val="16"/>
                <w:szCs w:val="16"/>
              </w:rPr>
              <w:t xml:space="preserve">indicates the RB set index(s) included in the resource pool. </w:t>
            </w:r>
          </w:p>
          <w:p w14:paraId="52315B5E" w14:textId="77777777" w:rsidR="005579A7" w:rsidRPr="00693A15" w:rsidRDefault="005579A7" w:rsidP="005579A7">
            <w:pPr>
              <w:jc w:val="both"/>
              <w:rPr>
                <w:rFonts w:ascii="Arial" w:eastAsia="DengXian" w:hAnsi="Arial" w:cs="Arial"/>
                <w:sz w:val="16"/>
                <w:szCs w:val="16"/>
                <w:lang w:eastAsia="zh-CN"/>
              </w:rPr>
            </w:pPr>
            <w:r w:rsidRPr="00693A15">
              <w:rPr>
                <w:rFonts w:ascii="Arial" w:eastAsia="DengXian" w:hAnsi="Arial" w:cs="Arial"/>
                <w:sz w:val="16"/>
                <w:szCs w:val="16"/>
                <w:lang w:eastAsia="zh-CN"/>
              </w:rPr>
              <w:t>Contiguous RB sets are (pre-)configured for a resource pool.</w:t>
            </w:r>
          </w:p>
          <w:p w14:paraId="4A8AF65F" w14:textId="77777777" w:rsidR="005579A7" w:rsidRPr="00693A15" w:rsidRDefault="005579A7" w:rsidP="005579A7">
            <w:pPr>
              <w:jc w:val="both"/>
              <w:rPr>
                <w:rFonts w:ascii="Arial" w:eastAsia="PMingLiU" w:hAnsi="Arial" w:cs="Arial"/>
                <w:sz w:val="16"/>
                <w:szCs w:val="16"/>
              </w:rPr>
            </w:pPr>
          </w:p>
          <w:p w14:paraId="501A7074" w14:textId="1CC2C8BF" w:rsidR="005579A7" w:rsidRPr="00693A15" w:rsidRDefault="005A18DC" w:rsidP="005579A7">
            <w:pPr>
              <w:jc w:val="both"/>
              <w:rPr>
                <w:ins w:id="374" w:author="Mixiang (Shawn)" w:date="2023-11-14T18:31:00Z"/>
                <w:rFonts w:ascii="Arial" w:eastAsia="Times New Roman" w:hAnsi="Arial" w:cs="Arial"/>
                <w:sz w:val="16"/>
                <w:szCs w:val="16"/>
                <w:lang w:eastAsia="zh-CN"/>
              </w:rPr>
            </w:pPr>
            <m:oMath>
              <m:sSubSup>
                <m:sSubSupPr>
                  <m:ctrlPr>
                    <w:rPr>
                      <w:rFonts w:ascii="Cambria Math" w:hAnsi="Cambria Math" w:cs="Arial"/>
                      <w:i/>
                      <w:sz w:val="16"/>
                      <w:szCs w:val="16"/>
                    </w:rPr>
                  </m:ctrlPr>
                </m:sSubSupPr>
                <m:e>
                  <m:r>
                    <w:rPr>
                      <w:rFonts w:ascii="Cambria Math" w:hAnsi="Cambria Math" w:cs="Arial"/>
                      <w:sz w:val="16"/>
                      <w:szCs w:val="16"/>
                    </w:rPr>
                    <m:t>N</m:t>
                  </m:r>
                </m:e>
                <m:sub>
                  <m:r>
                    <m:rPr>
                      <m:sty m:val="p"/>
                    </m:rPr>
                    <w:rPr>
                      <w:rFonts w:ascii="Cambria Math" w:hAnsi="Cambria Math" w:cs="Arial"/>
                      <w:sz w:val="16"/>
                      <w:szCs w:val="16"/>
                    </w:rPr>
                    <m:t>RB</m:t>
                  </m:r>
                  <m:r>
                    <m:rPr>
                      <m:nor/>
                    </m:rPr>
                    <w:rPr>
                      <w:rFonts w:ascii="Arial" w:eastAsia="Malgun Gothic" w:hAnsi="Arial" w:cs="Arial"/>
                      <w:kern w:val="2"/>
                      <w:sz w:val="16"/>
                      <w:szCs w:val="16"/>
                      <w:lang w:eastAsia="ko-KR"/>
                    </w:rPr>
                    <m:t>-</m:t>
                  </m:r>
                  <m:r>
                    <m:rPr>
                      <m:sty m:val="p"/>
                    </m:rPr>
                    <w:rPr>
                      <w:rFonts w:ascii="Cambria Math" w:hAnsi="Cambria Math" w:cs="Arial"/>
                      <w:sz w:val="16"/>
                      <w:szCs w:val="16"/>
                    </w:rPr>
                    <m:t>set,</m:t>
                  </m:r>
                  <m:r>
                    <w:rPr>
                      <w:rFonts w:ascii="Cambria Math" w:hAnsi="Cambria Math" w:cs="Arial"/>
                      <w:sz w:val="16"/>
                      <w:szCs w:val="16"/>
                    </w:rPr>
                    <m:t>SL</m:t>
                  </m:r>
                </m:sub>
                <m:sup>
                  <m:r>
                    <m:rPr>
                      <m:nor/>
                    </m:rPr>
                    <w:rPr>
                      <w:rFonts w:ascii="Arial" w:hAnsi="Arial" w:cs="Arial"/>
                      <w:sz w:val="16"/>
                      <w:szCs w:val="16"/>
                    </w:rPr>
                    <m:t>BWP</m:t>
                  </m:r>
                </m:sup>
              </m:sSubSup>
            </m:oMath>
            <w:r w:rsidR="005579A7" w:rsidRPr="00693A15">
              <w:rPr>
                <w:rFonts w:ascii="Arial" w:eastAsia="Times New Roman" w:hAnsi="Arial" w:cs="Arial"/>
                <w:sz w:val="16"/>
                <w:szCs w:val="16"/>
                <w:lang w:eastAsia="zh-CN"/>
              </w:rPr>
              <w:t xml:space="preserve"> is the (pre-)configured number of RB sets within the SL BWP.</w:t>
            </w:r>
          </w:p>
          <w:p w14:paraId="2158F918" w14:textId="77777777" w:rsidR="005579A7" w:rsidRPr="00693A15" w:rsidRDefault="005579A7" w:rsidP="005579A7">
            <w:pPr>
              <w:jc w:val="both"/>
              <w:rPr>
                <w:ins w:id="375" w:author="Mixiang (Shawn)" w:date="2023-11-14T18:31:00Z"/>
                <w:rFonts w:ascii="Arial" w:eastAsia="Times New Roman" w:hAnsi="Arial" w:cs="Arial"/>
                <w:sz w:val="16"/>
                <w:szCs w:val="16"/>
                <w:lang w:eastAsia="zh-CN"/>
              </w:rPr>
            </w:pPr>
          </w:p>
          <w:p w14:paraId="6D58D739" w14:textId="50020793" w:rsidR="005579A7" w:rsidRPr="00693A15" w:rsidRDefault="005A18DC" w:rsidP="005579A7">
            <w:pPr>
              <w:jc w:val="both"/>
              <w:rPr>
                <w:rFonts w:ascii="Arial" w:eastAsia="Times New Roman" w:hAnsi="Arial" w:cs="Arial"/>
                <w:sz w:val="16"/>
                <w:szCs w:val="16"/>
                <w:lang w:eastAsia="zh-CN"/>
              </w:rPr>
            </w:pPr>
            <m:oMath>
              <m:sSubSup>
                <m:sSubSupPr>
                  <m:ctrlPr>
                    <w:ins w:id="376" w:author="Mixiang (Shawn)" w:date="2023-11-14T18:31:00Z">
                      <w:rPr>
                        <w:rFonts w:ascii="Cambria Math" w:hAnsi="Cambria Math" w:cs="Arial"/>
                        <w:i/>
                        <w:sz w:val="16"/>
                        <w:szCs w:val="16"/>
                      </w:rPr>
                    </w:ins>
                  </m:ctrlPr>
                </m:sSubSupPr>
                <m:e>
                  <m:r>
                    <w:ins w:id="377" w:author="Mixiang (Shawn)" w:date="2023-11-14T18:31:00Z">
                      <w:rPr>
                        <w:rFonts w:ascii="Cambria Math" w:hAnsi="Cambria Math" w:cs="Arial"/>
                        <w:sz w:val="16"/>
                        <w:szCs w:val="16"/>
                      </w:rPr>
                      <m:t>N</m:t>
                    </w:ins>
                  </m:r>
                </m:e>
                <m:sub>
                  <m:r>
                    <w:ins w:id="378" w:author="Mixiang (Shawn)" w:date="2023-11-14T18:31:00Z">
                      <m:rPr>
                        <m:sty m:val="p"/>
                      </m:rPr>
                      <w:rPr>
                        <w:rFonts w:ascii="Cambria Math" w:hAnsi="Cambria Math" w:cs="Arial"/>
                        <w:sz w:val="16"/>
                        <w:szCs w:val="16"/>
                      </w:rPr>
                      <m:t>RB</m:t>
                    </w:ins>
                  </m:r>
                  <m:r>
                    <w:ins w:id="379" w:author="Mixiang (Shawn)" w:date="2023-11-14T18:31:00Z">
                      <m:rPr>
                        <m:nor/>
                      </m:rPr>
                      <w:rPr>
                        <w:rFonts w:ascii="Arial" w:eastAsia="Malgun Gothic" w:hAnsi="Arial" w:cs="Arial"/>
                        <w:kern w:val="2"/>
                        <w:sz w:val="16"/>
                        <w:szCs w:val="16"/>
                        <w:lang w:eastAsia="ko-KR"/>
                      </w:rPr>
                      <m:t>-</m:t>
                    </w:ins>
                  </m:r>
                  <m:r>
                    <w:ins w:id="380" w:author="Mixiang (Shawn)" w:date="2023-11-14T18:31:00Z">
                      <m:rPr>
                        <m:sty m:val="p"/>
                      </m:rPr>
                      <w:rPr>
                        <w:rFonts w:ascii="Cambria Math" w:hAnsi="Cambria Math" w:cs="Arial"/>
                        <w:sz w:val="16"/>
                        <w:szCs w:val="16"/>
                      </w:rPr>
                      <m:t>set</m:t>
                    </w:ins>
                  </m:r>
                </m:sub>
                <m:sup>
                  <m:r>
                    <w:ins w:id="381" w:author="Mixiang (Shawn)" w:date="2023-11-14T18:31:00Z">
                      <m:rPr>
                        <m:nor/>
                      </m:rPr>
                      <w:rPr>
                        <w:rFonts w:ascii="Arial" w:hAnsi="Arial" w:cs="Arial"/>
                        <w:sz w:val="16"/>
                        <w:szCs w:val="16"/>
                        <w:lang w:eastAsia="zh-CN"/>
                      </w:rPr>
                      <m:t>RP</m:t>
                    </w:ins>
                  </m:r>
                </m:sup>
              </m:sSubSup>
            </m:oMath>
            <w:ins w:id="382" w:author="Mixiang (Shawn)" w:date="2023-11-14T18:31:00Z">
              <w:r w:rsidR="005579A7" w:rsidRPr="00693A15">
                <w:rPr>
                  <w:rFonts w:ascii="Arial" w:eastAsia="Times New Roman" w:hAnsi="Arial" w:cs="Arial"/>
                  <w:sz w:val="16"/>
                  <w:szCs w:val="16"/>
                  <w:lang w:eastAsia="zh-CN"/>
                </w:rPr>
                <w:t xml:space="preserve"> is the number of RB sets within the resource pool.</w:t>
              </w:r>
            </w:ins>
          </w:p>
        </w:tc>
        <w:tc>
          <w:tcPr>
            <w:tcW w:w="1096" w:type="pct"/>
            <w:tcBorders>
              <w:top w:val="single" w:sz="4" w:space="0" w:color="auto"/>
              <w:left w:val="nil"/>
              <w:bottom w:val="single" w:sz="4" w:space="0" w:color="auto"/>
              <w:right w:val="single" w:sz="4" w:space="0" w:color="auto"/>
            </w:tcBorders>
            <w:shd w:val="clear" w:color="auto" w:fill="auto"/>
            <w:vAlign w:val="center"/>
          </w:tcPr>
          <w:p w14:paraId="044586D1" w14:textId="60C2FBA8" w:rsidR="005579A7" w:rsidRPr="00693A15" w:rsidRDefault="005579A7" w:rsidP="005579A7">
            <w:pPr>
              <w:jc w:val="center"/>
              <w:rPr>
                <w:rFonts w:ascii="Arial" w:eastAsia="DengXian" w:hAnsi="Arial" w:cs="Arial"/>
                <w:sz w:val="16"/>
                <w:szCs w:val="16"/>
              </w:rPr>
            </w:pPr>
            <w:r w:rsidRPr="00693A15">
              <w:rPr>
                <w:rFonts w:ascii="Arial" w:hAnsi="Arial" w:cs="Arial"/>
                <w:sz w:val="16"/>
                <w:szCs w:val="16"/>
              </w:rPr>
              <w:t>SEQUENCE (SIZE (</w:t>
            </w:r>
            <w:r w:rsidRPr="00693A15">
              <w:rPr>
                <w:rFonts w:ascii="Arial" w:eastAsia="DengXian" w:hAnsi="Arial" w:cs="Arial"/>
                <w:sz w:val="16"/>
                <w:szCs w:val="16"/>
              </w:rPr>
              <w:t>1..</w:t>
            </w:r>
            <m:oMath>
              <m:r>
                <w:rPr>
                  <w:rFonts w:ascii="Cambria Math" w:hAnsi="Cambria Math" w:cs="Arial"/>
                  <w:sz w:val="16"/>
                  <w:szCs w:val="16"/>
                </w:rPr>
                <m:t xml:space="preserve"> </m:t>
              </m:r>
              <m:sSubSup>
                <m:sSubSupPr>
                  <m:ctrlPr>
                    <w:rPr>
                      <w:rFonts w:ascii="Cambria Math" w:hAnsi="Cambria Math" w:cs="Arial"/>
                      <w:i/>
                      <w:sz w:val="16"/>
                      <w:szCs w:val="16"/>
                    </w:rPr>
                  </m:ctrlPr>
                </m:sSubSupPr>
                <m:e>
                  <m:r>
                    <w:rPr>
                      <w:rFonts w:ascii="Cambria Math" w:hAnsi="Cambria Math" w:cs="Arial"/>
                      <w:sz w:val="16"/>
                      <w:szCs w:val="16"/>
                    </w:rPr>
                    <m:t>N</m:t>
                  </m:r>
                </m:e>
                <m:sub>
                  <m:r>
                    <m:rPr>
                      <m:sty m:val="p"/>
                    </m:rPr>
                    <w:rPr>
                      <w:rFonts w:ascii="Cambria Math" w:hAnsi="Cambria Math" w:cs="Arial"/>
                      <w:sz w:val="16"/>
                      <w:szCs w:val="16"/>
                    </w:rPr>
                    <m:t>RB</m:t>
                  </m:r>
                  <m:r>
                    <m:rPr>
                      <m:nor/>
                    </m:rPr>
                    <w:rPr>
                      <w:rFonts w:ascii="Arial" w:eastAsia="Malgun Gothic" w:hAnsi="Arial" w:cs="Arial"/>
                      <w:kern w:val="2"/>
                      <w:sz w:val="16"/>
                      <w:szCs w:val="16"/>
                      <w:lang w:eastAsia="ko-KR"/>
                    </w:rPr>
                    <m:t>-</m:t>
                  </m:r>
                  <m:r>
                    <m:rPr>
                      <m:sty m:val="p"/>
                    </m:rPr>
                    <w:rPr>
                      <w:rFonts w:ascii="Cambria Math" w:hAnsi="Cambria Math" w:cs="Arial"/>
                      <w:sz w:val="16"/>
                      <w:szCs w:val="16"/>
                    </w:rPr>
                    <m:t>set</m:t>
                  </m:r>
                  <m:r>
                    <w:del w:id="383" w:author="Mixiang (Shawn)" w:date="2023-11-14T18:31:00Z">
                      <m:rPr>
                        <m:sty m:val="p"/>
                      </m:rPr>
                      <w:rPr>
                        <w:rFonts w:ascii="Cambria Math" w:hAnsi="Cambria Math" w:cs="Arial"/>
                        <w:sz w:val="16"/>
                        <w:szCs w:val="16"/>
                      </w:rPr>
                      <m:t>,</m:t>
                    </w:del>
                  </m:r>
                  <m:r>
                    <w:del w:id="384" w:author="Mixiang (Shawn)" w:date="2023-11-14T18:31:00Z">
                      <w:rPr>
                        <w:rFonts w:ascii="Cambria Math" w:hAnsi="Cambria Math" w:cs="Arial"/>
                        <w:sz w:val="16"/>
                        <w:szCs w:val="16"/>
                      </w:rPr>
                      <m:t>SL</m:t>
                    </w:del>
                  </m:r>
                </m:sub>
                <m:sup>
                  <m:r>
                    <w:del w:id="385" w:author="Mixiang (Shawn)" w:date="2023-11-14T18:31:00Z">
                      <m:rPr>
                        <m:nor/>
                      </m:rPr>
                      <w:rPr>
                        <w:rFonts w:ascii="Arial" w:hAnsi="Arial" w:cs="Arial"/>
                        <w:sz w:val="16"/>
                        <w:szCs w:val="16"/>
                        <w:lang w:eastAsia="zh-CN"/>
                      </w:rPr>
                      <m:t>BWP</m:t>
                    </w:del>
                  </m:r>
                  <m:r>
                    <w:ins w:id="386" w:author="Mixiang (Shawn)" w:date="2023-11-14T18:31:00Z">
                      <m:rPr>
                        <m:nor/>
                      </m:rPr>
                      <w:rPr>
                        <w:rFonts w:ascii="Arial" w:hAnsi="Arial" w:cs="Arial"/>
                        <w:sz w:val="16"/>
                        <w:szCs w:val="16"/>
                        <w:lang w:eastAsia="zh-CN"/>
                      </w:rPr>
                      <m:t>RP</m:t>
                    </w:ins>
                  </m:r>
                </m:sup>
              </m:sSubSup>
            </m:oMath>
            <w:r w:rsidRPr="00693A15">
              <w:rPr>
                <w:rFonts w:ascii="Arial" w:hAnsi="Arial" w:cs="Arial"/>
                <w:sz w:val="16"/>
                <w:szCs w:val="16"/>
              </w:rPr>
              <w:t>)) OF INTEGER (</w:t>
            </w:r>
            <w:r w:rsidRPr="00693A15">
              <w:rPr>
                <w:rFonts w:ascii="Arial" w:eastAsia="DengXian" w:hAnsi="Arial" w:cs="Arial"/>
                <w:sz w:val="16"/>
                <w:szCs w:val="16"/>
              </w:rPr>
              <w:t>0..</w:t>
            </w:r>
            <m:oMath>
              <m:r>
                <w:rPr>
                  <w:rFonts w:ascii="Cambria Math" w:hAnsi="Cambria Math" w:cs="Arial"/>
                  <w:sz w:val="16"/>
                  <w:szCs w:val="16"/>
                </w:rPr>
                <m:t xml:space="preserve"> </m:t>
              </m:r>
              <m:sSubSup>
                <m:sSubSupPr>
                  <m:ctrlPr>
                    <w:rPr>
                      <w:rFonts w:ascii="Cambria Math" w:hAnsi="Cambria Math" w:cs="Arial"/>
                      <w:i/>
                      <w:sz w:val="16"/>
                      <w:szCs w:val="16"/>
                    </w:rPr>
                  </m:ctrlPr>
                </m:sSubSupPr>
                <m:e>
                  <m:r>
                    <w:rPr>
                      <w:rFonts w:ascii="Cambria Math" w:hAnsi="Cambria Math" w:cs="Arial"/>
                      <w:sz w:val="16"/>
                      <w:szCs w:val="16"/>
                    </w:rPr>
                    <m:t>N</m:t>
                  </m:r>
                </m:e>
                <m:sub>
                  <m:r>
                    <m:rPr>
                      <m:sty m:val="p"/>
                    </m:rPr>
                    <w:rPr>
                      <w:rFonts w:ascii="Cambria Math" w:hAnsi="Cambria Math" w:cs="Arial"/>
                      <w:sz w:val="16"/>
                      <w:szCs w:val="16"/>
                    </w:rPr>
                    <m:t>RB</m:t>
                  </m:r>
                  <m:r>
                    <m:rPr>
                      <m:nor/>
                    </m:rPr>
                    <w:rPr>
                      <w:rFonts w:ascii="Arial" w:eastAsia="Malgun Gothic" w:hAnsi="Arial" w:cs="Arial"/>
                      <w:kern w:val="2"/>
                      <w:sz w:val="16"/>
                      <w:szCs w:val="16"/>
                      <w:lang w:eastAsia="ko-KR"/>
                    </w:rPr>
                    <m:t>-</m:t>
                  </m:r>
                  <m:r>
                    <m:rPr>
                      <m:sty m:val="p"/>
                    </m:rPr>
                    <w:rPr>
                      <w:rFonts w:ascii="Cambria Math" w:hAnsi="Cambria Math" w:cs="Arial"/>
                      <w:sz w:val="16"/>
                      <w:szCs w:val="16"/>
                    </w:rPr>
                    <m:t>set,</m:t>
                  </m:r>
                  <m:r>
                    <w:rPr>
                      <w:rFonts w:ascii="Cambria Math" w:hAnsi="Cambria Math" w:cs="Arial"/>
                      <w:sz w:val="16"/>
                      <w:szCs w:val="16"/>
                    </w:rPr>
                    <m:t>SL</m:t>
                  </m:r>
                </m:sub>
                <m:sup>
                  <m:r>
                    <m:rPr>
                      <m:nor/>
                    </m:rPr>
                    <w:rPr>
                      <w:rFonts w:ascii="Arial" w:hAnsi="Arial" w:cs="Arial"/>
                      <w:sz w:val="16"/>
                      <w:szCs w:val="16"/>
                    </w:rPr>
                    <m:t>BWP</m:t>
                  </m:r>
                </m:sup>
              </m:sSubSup>
              <m:r>
                <w:rPr>
                  <w:rFonts w:ascii="Cambria Math" w:hAnsi="Cambria Math" w:cs="Arial"/>
                  <w:sz w:val="16"/>
                  <w:szCs w:val="16"/>
                </w:rPr>
                <m:t>-1</m:t>
              </m:r>
            </m:oMath>
            <w:r w:rsidRPr="00693A15">
              <w:rPr>
                <w:rFonts w:ascii="Arial" w:hAnsi="Arial" w:cs="Arial"/>
                <w:sz w:val="16"/>
                <w:szCs w:val="16"/>
              </w:rPr>
              <w:t>)</w:t>
            </w:r>
          </w:p>
          <w:p w14:paraId="7A51C2FC" w14:textId="77777777" w:rsidR="005579A7" w:rsidRPr="00693A15" w:rsidRDefault="005579A7" w:rsidP="005579A7">
            <w:pPr>
              <w:jc w:val="center"/>
              <w:rPr>
                <w:rFonts w:ascii="Arial" w:eastAsia="DengXian" w:hAnsi="Arial" w:cs="Arial"/>
                <w:sz w:val="16"/>
                <w:szCs w:val="16"/>
                <w:lang w:eastAsia="zh-CN"/>
              </w:rPr>
            </w:pPr>
          </w:p>
        </w:tc>
        <w:tc>
          <w:tcPr>
            <w:tcW w:w="355" w:type="pct"/>
            <w:tcBorders>
              <w:top w:val="single" w:sz="4" w:space="0" w:color="auto"/>
              <w:left w:val="nil"/>
              <w:bottom w:val="single" w:sz="4" w:space="0" w:color="auto"/>
              <w:right w:val="single" w:sz="4" w:space="0" w:color="auto"/>
            </w:tcBorders>
            <w:shd w:val="clear" w:color="auto" w:fill="auto"/>
            <w:vAlign w:val="center"/>
          </w:tcPr>
          <w:p w14:paraId="2DB22D31" w14:textId="77777777" w:rsidR="005579A7" w:rsidRPr="005579A7" w:rsidRDefault="005579A7" w:rsidP="005579A7">
            <w:pPr>
              <w:jc w:val="center"/>
              <w:rPr>
                <w:rFonts w:ascii="Arial" w:hAnsi="Arial" w:cs="Arial"/>
                <w:sz w:val="16"/>
                <w:szCs w:val="16"/>
              </w:rPr>
            </w:pPr>
            <w:r w:rsidRPr="005579A7">
              <w:rPr>
                <w:rFonts w:ascii="Arial" w:eastAsia="DengXian" w:hAnsi="Arial" w:cs="Arial"/>
                <w:sz w:val="16"/>
                <w:szCs w:val="16"/>
              </w:rPr>
              <w:t>N/A</w:t>
            </w:r>
          </w:p>
        </w:tc>
        <w:tc>
          <w:tcPr>
            <w:tcW w:w="468" w:type="pct"/>
            <w:tcBorders>
              <w:top w:val="single" w:sz="4" w:space="0" w:color="auto"/>
              <w:left w:val="nil"/>
              <w:bottom w:val="single" w:sz="4" w:space="0" w:color="auto"/>
              <w:right w:val="single" w:sz="4" w:space="0" w:color="auto"/>
            </w:tcBorders>
            <w:shd w:val="clear" w:color="auto" w:fill="auto"/>
            <w:vAlign w:val="center"/>
          </w:tcPr>
          <w:p w14:paraId="277C7D28" w14:textId="77777777" w:rsidR="005579A7" w:rsidRPr="005579A7" w:rsidRDefault="005579A7" w:rsidP="005579A7">
            <w:pPr>
              <w:jc w:val="center"/>
              <w:rPr>
                <w:rFonts w:ascii="Arial" w:hAnsi="Arial" w:cs="Arial"/>
                <w:sz w:val="16"/>
                <w:szCs w:val="16"/>
              </w:rPr>
            </w:pPr>
            <w:r w:rsidRPr="005579A7">
              <w:rPr>
                <w:rFonts w:ascii="Arial" w:eastAsia="DengXian" w:hAnsi="Arial" w:cs="Arial"/>
                <w:sz w:val="16"/>
                <w:szCs w:val="16"/>
              </w:rPr>
              <w:t>Per resource pool</w:t>
            </w:r>
          </w:p>
        </w:tc>
      </w:tr>
      <w:tr w:rsidR="005579A7" w:rsidRPr="005579A7" w14:paraId="0E7104DE" w14:textId="77777777" w:rsidTr="005579A7">
        <w:trPr>
          <w:trHeight w:val="20"/>
        </w:trPr>
        <w:tc>
          <w:tcPr>
            <w:tcW w:w="382" w:type="pct"/>
            <w:tcBorders>
              <w:top w:val="single" w:sz="4" w:space="0" w:color="auto"/>
              <w:left w:val="single" w:sz="4" w:space="0" w:color="auto"/>
              <w:bottom w:val="single" w:sz="4" w:space="0" w:color="auto"/>
              <w:right w:val="single" w:sz="4" w:space="0" w:color="auto"/>
            </w:tcBorders>
            <w:shd w:val="clear" w:color="auto" w:fill="auto"/>
            <w:vAlign w:val="center"/>
          </w:tcPr>
          <w:p w14:paraId="63D20751" w14:textId="77777777" w:rsidR="005579A7" w:rsidRPr="005579A7" w:rsidRDefault="005579A7" w:rsidP="005579A7">
            <w:pPr>
              <w:jc w:val="center"/>
              <w:rPr>
                <w:rFonts w:ascii="Arial" w:eastAsia="DengXian" w:hAnsi="Arial" w:cs="Arial"/>
                <w:strike/>
                <w:color w:val="7030A0"/>
                <w:sz w:val="16"/>
                <w:szCs w:val="16"/>
                <w:lang w:eastAsia="zh-CN"/>
              </w:rPr>
            </w:pPr>
            <w:r w:rsidRPr="005579A7">
              <w:rPr>
                <w:rFonts w:ascii="Arial" w:eastAsia="DengXian" w:hAnsi="Arial" w:cs="Arial"/>
                <w:strike/>
                <w:color w:val="7030A0"/>
                <w:sz w:val="16"/>
                <w:szCs w:val="16"/>
                <w:lang w:eastAsia="zh-CN"/>
              </w:rPr>
              <w:t>25</w:t>
            </w:r>
          </w:p>
        </w:tc>
        <w:tc>
          <w:tcPr>
            <w:tcW w:w="863" w:type="pct"/>
            <w:tcBorders>
              <w:top w:val="single" w:sz="4" w:space="0" w:color="auto"/>
              <w:left w:val="single" w:sz="4" w:space="0" w:color="auto"/>
              <w:bottom w:val="single" w:sz="4" w:space="0" w:color="auto"/>
              <w:right w:val="single" w:sz="4" w:space="0" w:color="auto"/>
            </w:tcBorders>
            <w:shd w:val="clear" w:color="auto" w:fill="auto"/>
            <w:vAlign w:val="center"/>
          </w:tcPr>
          <w:p w14:paraId="0B6FAC62" w14:textId="77777777" w:rsidR="005579A7" w:rsidRPr="005579A7" w:rsidRDefault="005579A7" w:rsidP="005579A7">
            <w:pPr>
              <w:suppressAutoHyphens/>
              <w:jc w:val="center"/>
              <w:rPr>
                <w:rFonts w:ascii="Arial" w:eastAsia="DengXian" w:hAnsi="Arial" w:cs="Arial"/>
                <w:strike/>
                <w:color w:val="7030A0"/>
                <w:sz w:val="16"/>
                <w:szCs w:val="16"/>
              </w:rPr>
            </w:pPr>
            <w:r w:rsidRPr="005579A7">
              <w:rPr>
                <w:rFonts w:ascii="Arial" w:eastAsia="DengXian" w:hAnsi="Arial" w:cs="Arial"/>
                <w:strike/>
                <w:color w:val="7030A0"/>
                <w:sz w:val="16"/>
                <w:szCs w:val="16"/>
              </w:rPr>
              <w:t>sl-NumRBSetOfResourcePool</w:t>
            </w:r>
          </w:p>
        </w:tc>
        <w:tc>
          <w:tcPr>
            <w:tcW w:w="1836" w:type="pct"/>
            <w:tcBorders>
              <w:top w:val="single" w:sz="4" w:space="0" w:color="auto"/>
              <w:left w:val="nil"/>
              <w:bottom w:val="single" w:sz="4" w:space="0" w:color="auto"/>
              <w:right w:val="single" w:sz="4" w:space="0" w:color="auto"/>
            </w:tcBorders>
            <w:shd w:val="clear" w:color="auto" w:fill="auto"/>
            <w:vAlign w:val="center"/>
          </w:tcPr>
          <w:p w14:paraId="5634EC0A" w14:textId="77777777" w:rsidR="005579A7" w:rsidRPr="005579A7" w:rsidRDefault="005579A7" w:rsidP="005579A7">
            <w:pPr>
              <w:rPr>
                <w:rFonts w:ascii="Arial" w:eastAsia="DengXian" w:hAnsi="Arial" w:cs="Arial"/>
                <w:strike/>
                <w:color w:val="7030A0"/>
                <w:sz w:val="16"/>
                <w:szCs w:val="16"/>
              </w:rPr>
            </w:pPr>
            <w:r w:rsidRPr="005579A7">
              <w:rPr>
                <w:rFonts w:ascii="Arial" w:eastAsia="DengXian" w:hAnsi="Arial" w:cs="Arial"/>
                <w:strike/>
                <w:color w:val="7030A0"/>
                <w:sz w:val="16"/>
                <w:szCs w:val="16"/>
              </w:rPr>
              <w:t>Indicates the number of RB set(s) within one resource pool.</w:t>
            </w:r>
          </w:p>
        </w:tc>
        <w:tc>
          <w:tcPr>
            <w:tcW w:w="1096" w:type="pct"/>
            <w:tcBorders>
              <w:top w:val="single" w:sz="4" w:space="0" w:color="auto"/>
              <w:left w:val="nil"/>
              <w:bottom w:val="single" w:sz="4" w:space="0" w:color="auto"/>
              <w:right w:val="single" w:sz="4" w:space="0" w:color="auto"/>
            </w:tcBorders>
            <w:shd w:val="clear" w:color="auto" w:fill="auto"/>
            <w:vAlign w:val="center"/>
          </w:tcPr>
          <w:p w14:paraId="47501D90" w14:textId="77777777" w:rsidR="005579A7" w:rsidRPr="005579A7" w:rsidRDefault="005579A7" w:rsidP="005579A7">
            <w:pPr>
              <w:jc w:val="center"/>
              <w:rPr>
                <w:rFonts w:ascii="Arial" w:hAnsi="Arial" w:cs="Arial"/>
                <w:strike/>
                <w:color w:val="7030A0"/>
                <w:sz w:val="16"/>
                <w:szCs w:val="16"/>
              </w:rPr>
            </w:pPr>
            <w:r w:rsidRPr="005579A7">
              <w:rPr>
                <w:rFonts w:ascii="Arial" w:eastAsia="DengXian" w:hAnsi="Arial" w:cs="Arial"/>
                <w:strike/>
                <w:color w:val="7030A0"/>
                <w:sz w:val="16"/>
                <w:szCs w:val="16"/>
                <w:lang w:eastAsia="zh-CN"/>
              </w:rPr>
              <w:t>INTEGER (0,1,2,3,4,5)</w:t>
            </w:r>
          </w:p>
        </w:tc>
        <w:tc>
          <w:tcPr>
            <w:tcW w:w="355" w:type="pct"/>
            <w:tcBorders>
              <w:top w:val="single" w:sz="4" w:space="0" w:color="auto"/>
              <w:left w:val="nil"/>
              <w:bottom w:val="single" w:sz="4" w:space="0" w:color="auto"/>
              <w:right w:val="single" w:sz="4" w:space="0" w:color="auto"/>
            </w:tcBorders>
            <w:shd w:val="clear" w:color="auto" w:fill="auto"/>
            <w:vAlign w:val="center"/>
          </w:tcPr>
          <w:p w14:paraId="678B06A9" w14:textId="77777777" w:rsidR="005579A7" w:rsidRPr="005579A7" w:rsidRDefault="005579A7" w:rsidP="005579A7">
            <w:pPr>
              <w:jc w:val="center"/>
              <w:rPr>
                <w:rFonts w:ascii="Arial" w:eastAsia="DengXian" w:hAnsi="Arial" w:cs="Arial"/>
                <w:strike/>
                <w:color w:val="7030A0"/>
                <w:sz w:val="16"/>
                <w:szCs w:val="16"/>
              </w:rPr>
            </w:pPr>
            <w:r w:rsidRPr="005579A7">
              <w:rPr>
                <w:rFonts w:ascii="Arial" w:eastAsia="DengXian" w:hAnsi="Arial" w:cs="Arial"/>
                <w:strike/>
                <w:color w:val="7030A0"/>
                <w:sz w:val="16"/>
                <w:szCs w:val="16"/>
              </w:rPr>
              <w:t>N/A</w:t>
            </w:r>
          </w:p>
        </w:tc>
        <w:tc>
          <w:tcPr>
            <w:tcW w:w="468" w:type="pct"/>
            <w:tcBorders>
              <w:top w:val="single" w:sz="4" w:space="0" w:color="auto"/>
              <w:left w:val="nil"/>
              <w:bottom w:val="single" w:sz="4" w:space="0" w:color="auto"/>
              <w:right w:val="single" w:sz="4" w:space="0" w:color="auto"/>
            </w:tcBorders>
            <w:shd w:val="clear" w:color="auto" w:fill="auto"/>
            <w:vAlign w:val="center"/>
          </w:tcPr>
          <w:p w14:paraId="5B8B6A11" w14:textId="77777777" w:rsidR="005579A7" w:rsidRPr="005579A7" w:rsidRDefault="005579A7" w:rsidP="005579A7">
            <w:pPr>
              <w:jc w:val="center"/>
              <w:rPr>
                <w:rFonts w:ascii="Arial" w:eastAsia="DengXian" w:hAnsi="Arial" w:cs="Arial"/>
                <w:strike/>
                <w:color w:val="7030A0"/>
                <w:sz w:val="16"/>
                <w:szCs w:val="16"/>
              </w:rPr>
            </w:pPr>
            <w:r w:rsidRPr="005579A7">
              <w:rPr>
                <w:rFonts w:ascii="Arial" w:eastAsia="DengXian" w:hAnsi="Arial" w:cs="Arial"/>
                <w:strike/>
                <w:color w:val="7030A0"/>
                <w:sz w:val="16"/>
                <w:szCs w:val="16"/>
              </w:rPr>
              <w:t>Per resource pool</w:t>
            </w:r>
          </w:p>
        </w:tc>
      </w:tr>
      <w:tr w:rsidR="005579A7" w:rsidRPr="005579A7" w14:paraId="0FE9A71B" w14:textId="77777777" w:rsidTr="005579A7">
        <w:trPr>
          <w:trHeight w:val="20"/>
        </w:trPr>
        <w:tc>
          <w:tcPr>
            <w:tcW w:w="382" w:type="pct"/>
            <w:tcBorders>
              <w:top w:val="single" w:sz="4" w:space="0" w:color="auto"/>
              <w:left w:val="single" w:sz="4" w:space="0" w:color="auto"/>
              <w:bottom w:val="single" w:sz="4" w:space="0" w:color="auto"/>
              <w:right w:val="single" w:sz="4" w:space="0" w:color="auto"/>
            </w:tcBorders>
            <w:shd w:val="clear" w:color="auto" w:fill="auto"/>
            <w:vAlign w:val="center"/>
          </w:tcPr>
          <w:p w14:paraId="20D46156" w14:textId="77777777" w:rsidR="005579A7" w:rsidRPr="005579A7" w:rsidRDefault="005579A7" w:rsidP="005579A7">
            <w:pPr>
              <w:jc w:val="center"/>
              <w:rPr>
                <w:rFonts w:ascii="Arial" w:eastAsia="DengXian" w:hAnsi="Arial" w:cs="Arial"/>
                <w:color w:val="FF0000"/>
                <w:sz w:val="16"/>
                <w:szCs w:val="16"/>
                <w:highlight w:val="yellow"/>
                <w:lang w:eastAsia="zh-CN"/>
              </w:rPr>
            </w:pPr>
            <w:r w:rsidRPr="005579A7">
              <w:rPr>
                <w:rFonts w:ascii="Arial" w:eastAsia="DengXian" w:hAnsi="Arial" w:cs="Arial"/>
                <w:sz w:val="16"/>
                <w:szCs w:val="16"/>
                <w:lang w:eastAsia="zh-CN"/>
              </w:rPr>
              <w:t>14</w:t>
            </w:r>
          </w:p>
        </w:tc>
        <w:tc>
          <w:tcPr>
            <w:tcW w:w="863" w:type="pct"/>
            <w:tcBorders>
              <w:top w:val="single" w:sz="4" w:space="0" w:color="auto"/>
              <w:left w:val="single" w:sz="4" w:space="0" w:color="auto"/>
              <w:bottom w:val="single" w:sz="4" w:space="0" w:color="auto"/>
              <w:right w:val="single" w:sz="4" w:space="0" w:color="auto"/>
            </w:tcBorders>
            <w:shd w:val="clear" w:color="auto" w:fill="auto"/>
            <w:vAlign w:val="center"/>
          </w:tcPr>
          <w:p w14:paraId="0EA6EBEC" w14:textId="77777777" w:rsidR="005579A7" w:rsidRPr="005579A7" w:rsidRDefault="005579A7" w:rsidP="005579A7">
            <w:pPr>
              <w:suppressAutoHyphens/>
              <w:jc w:val="center"/>
              <w:rPr>
                <w:rFonts w:ascii="Arial" w:eastAsia="DengXian" w:hAnsi="Arial" w:cs="Arial"/>
                <w:color w:val="FF0000"/>
                <w:sz w:val="16"/>
                <w:szCs w:val="16"/>
                <w:highlight w:val="yellow"/>
              </w:rPr>
            </w:pPr>
            <w:r w:rsidRPr="005579A7">
              <w:rPr>
                <w:rFonts w:ascii="Arial" w:eastAsia="DengXian" w:hAnsi="Arial" w:cs="Arial"/>
                <w:sz w:val="16"/>
                <w:szCs w:val="16"/>
                <w:lang w:eastAsia="zh-CN"/>
              </w:rPr>
              <w:t>transmissionStructureForPSFCH</w:t>
            </w:r>
          </w:p>
        </w:tc>
        <w:tc>
          <w:tcPr>
            <w:tcW w:w="1836" w:type="pct"/>
            <w:tcBorders>
              <w:top w:val="single" w:sz="4" w:space="0" w:color="auto"/>
              <w:left w:val="nil"/>
              <w:bottom w:val="single" w:sz="4" w:space="0" w:color="auto"/>
              <w:right w:val="single" w:sz="4" w:space="0" w:color="auto"/>
            </w:tcBorders>
            <w:shd w:val="clear" w:color="auto" w:fill="auto"/>
            <w:vAlign w:val="center"/>
          </w:tcPr>
          <w:p w14:paraId="34B581BF" w14:textId="77777777" w:rsidR="005579A7" w:rsidRPr="005579A7" w:rsidRDefault="005579A7" w:rsidP="005579A7">
            <w:pPr>
              <w:rPr>
                <w:rFonts w:ascii="Arial" w:eastAsia="DengXian" w:hAnsi="Arial" w:cs="Arial"/>
                <w:sz w:val="16"/>
                <w:szCs w:val="16"/>
                <w:highlight w:val="yellow"/>
              </w:rPr>
            </w:pPr>
            <w:r w:rsidRPr="005579A7">
              <w:rPr>
                <w:rFonts w:ascii="Arial" w:eastAsia="DengXian" w:hAnsi="Arial" w:cs="Arial"/>
                <w:sz w:val="16"/>
                <w:szCs w:val="16"/>
                <w:lang w:eastAsia="zh-CN"/>
              </w:rPr>
              <w:t>Indicate each PSFCH transmission occupies "1 common interlace and K3 dedicated PRB(s)", or "1 dedicated interlace".</w:t>
            </w:r>
          </w:p>
          <w:p w14:paraId="323F3B07" w14:textId="77777777" w:rsidR="005579A7" w:rsidRPr="005579A7" w:rsidRDefault="005579A7" w:rsidP="005579A7">
            <w:pPr>
              <w:rPr>
                <w:rFonts w:ascii="Arial" w:eastAsia="DengXian" w:hAnsi="Arial" w:cs="Arial"/>
                <w:sz w:val="16"/>
                <w:szCs w:val="16"/>
                <w:highlight w:val="yellow"/>
              </w:rPr>
            </w:pPr>
            <w:r w:rsidRPr="005579A7">
              <w:rPr>
                <w:rFonts w:ascii="Arial" w:eastAsia="DengXian" w:hAnsi="Arial" w:cs="Arial"/>
                <w:sz w:val="16"/>
                <w:szCs w:val="16"/>
              </w:rPr>
              <w:t xml:space="preserve">UE expects </w:t>
            </w:r>
            <w:r w:rsidRPr="005579A7">
              <w:rPr>
                <w:rFonts w:ascii="Arial" w:hAnsi="Arial" w:cs="Arial"/>
                <w:bCs/>
                <w:sz w:val="16"/>
                <w:szCs w:val="16"/>
                <w:lang w:eastAsia="zh-CN"/>
              </w:rPr>
              <w:t xml:space="preserve">the same (pre-)configured value of </w:t>
            </w:r>
            <w:r w:rsidRPr="005579A7">
              <w:rPr>
                <w:rFonts w:ascii="Arial" w:eastAsia="DengXian" w:hAnsi="Arial" w:cs="Arial"/>
                <w:sz w:val="16"/>
                <w:szCs w:val="16"/>
              </w:rPr>
              <w:t>transmissionStructureForPSFCH across all resource pools.</w:t>
            </w:r>
          </w:p>
        </w:tc>
        <w:tc>
          <w:tcPr>
            <w:tcW w:w="1096" w:type="pct"/>
            <w:tcBorders>
              <w:top w:val="single" w:sz="4" w:space="0" w:color="auto"/>
              <w:left w:val="nil"/>
              <w:bottom w:val="single" w:sz="4" w:space="0" w:color="auto"/>
              <w:right w:val="single" w:sz="4" w:space="0" w:color="auto"/>
            </w:tcBorders>
            <w:shd w:val="clear" w:color="auto" w:fill="auto"/>
            <w:vAlign w:val="center"/>
          </w:tcPr>
          <w:p w14:paraId="3EC84FB0" w14:textId="77777777" w:rsidR="005579A7" w:rsidRPr="005579A7" w:rsidRDefault="005579A7" w:rsidP="005579A7">
            <w:pPr>
              <w:jc w:val="center"/>
              <w:rPr>
                <w:rFonts w:ascii="Arial" w:eastAsia="DengXian" w:hAnsi="Arial" w:cs="Arial"/>
                <w:color w:val="FF0000"/>
                <w:sz w:val="16"/>
                <w:szCs w:val="16"/>
                <w:highlight w:val="yellow"/>
                <w:lang w:eastAsia="zh-CN"/>
              </w:rPr>
            </w:pPr>
            <w:r w:rsidRPr="005579A7">
              <w:rPr>
                <w:rFonts w:ascii="Arial" w:eastAsia="DengXian" w:hAnsi="Arial" w:cs="Arial"/>
                <w:sz w:val="16"/>
                <w:szCs w:val="16"/>
                <w:lang w:eastAsia="zh-CN"/>
              </w:rPr>
              <w:t>ENUMERATED {common interlace, dedicated interlace}</w:t>
            </w:r>
          </w:p>
        </w:tc>
        <w:tc>
          <w:tcPr>
            <w:tcW w:w="355" w:type="pct"/>
            <w:tcBorders>
              <w:top w:val="single" w:sz="4" w:space="0" w:color="auto"/>
              <w:left w:val="nil"/>
              <w:bottom w:val="single" w:sz="4" w:space="0" w:color="auto"/>
              <w:right w:val="single" w:sz="4" w:space="0" w:color="auto"/>
            </w:tcBorders>
            <w:shd w:val="clear" w:color="auto" w:fill="auto"/>
            <w:vAlign w:val="center"/>
          </w:tcPr>
          <w:p w14:paraId="25A5EC1B" w14:textId="77777777" w:rsidR="005579A7" w:rsidRPr="005579A7" w:rsidRDefault="005579A7" w:rsidP="005579A7">
            <w:pPr>
              <w:jc w:val="center"/>
              <w:rPr>
                <w:rFonts w:ascii="Arial" w:eastAsia="DengXian" w:hAnsi="Arial" w:cs="Arial"/>
                <w:color w:val="FF0000"/>
                <w:sz w:val="16"/>
                <w:szCs w:val="16"/>
                <w:highlight w:val="yellow"/>
              </w:rPr>
            </w:pPr>
            <w:r w:rsidRPr="005579A7">
              <w:rPr>
                <w:rFonts w:ascii="Arial" w:eastAsia="DengXian" w:hAnsi="Arial" w:cs="Arial"/>
                <w:sz w:val="16"/>
                <w:szCs w:val="16"/>
                <w:lang w:eastAsia="zh-CN"/>
              </w:rPr>
              <w:t>N/A</w:t>
            </w:r>
          </w:p>
        </w:tc>
        <w:tc>
          <w:tcPr>
            <w:tcW w:w="468" w:type="pct"/>
            <w:tcBorders>
              <w:top w:val="single" w:sz="4" w:space="0" w:color="auto"/>
              <w:left w:val="nil"/>
              <w:bottom w:val="single" w:sz="4" w:space="0" w:color="auto"/>
              <w:right w:val="single" w:sz="4" w:space="0" w:color="auto"/>
            </w:tcBorders>
            <w:shd w:val="clear" w:color="auto" w:fill="auto"/>
            <w:vAlign w:val="center"/>
          </w:tcPr>
          <w:p w14:paraId="695F8120" w14:textId="77777777" w:rsidR="005579A7" w:rsidRPr="005579A7" w:rsidRDefault="005579A7" w:rsidP="005579A7">
            <w:pPr>
              <w:jc w:val="center"/>
              <w:rPr>
                <w:rFonts w:ascii="Arial" w:eastAsia="DengXian" w:hAnsi="Arial" w:cs="Arial"/>
                <w:color w:val="FF0000"/>
                <w:sz w:val="16"/>
                <w:szCs w:val="16"/>
                <w:highlight w:val="yellow"/>
              </w:rPr>
            </w:pPr>
            <w:r w:rsidRPr="005579A7">
              <w:rPr>
                <w:rFonts w:ascii="Arial" w:eastAsia="DengXian" w:hAnsi="Arial" w:cs="Arial"/>
                <w:sz w:val="16"/>
                <w:szCs w:val="16"/>
                <w:lang w:eastAsia="zh-CN"/>
              </w:rPr>
              <w:t>Per resource pool</w:t>
            </w:r>
          </w:p>
        </w:tc>
      </w:tr>
      <w:tr w:rsidR="005579A7" w:rsidRPr="005579A7" w14:paraId="3212964B" w14:textId="77777777" w:rsidTr="005579A7">
        <w:trPr>
          <w:trHeight w:val="20"/>
        </w:trPr>
        <w:tc>
          <w:tcPr>
            <w:tcW w:w="382" w:type="pct"/>
            <w:tcBorders>
              <w:top w:val="single" w:sz="4" w:space="0" w:color="auto"/>
              <w:left w:val="single" w:sz="4" w:space="0" w:color="auto"/>
              <w:bottom w:val="single" w:sz="4" w:space="0" w:color="auto"/>
              <w:right w:val="single" w:sz="4" w:space="0" w:color="auto"/>
            </w:tcBorders>
            <w:shd w:val="clear" w:color="auto" w:fill="auto"/>
            <w:vAlign w:val="center"/>
          </w:tcPr>
          <w:p w14:paraId="11BC81AA" w14:textId="77777777" w:rsidR="005579A7" w:rsidRPr="005579A7" w:rsidRDefault="005579A7" w:rsidP="005579A7">
            <w:pPr>
              <w:jc w:val="center"/>
              <w:rPr>
                <w:rFonts w:ascii="Arial" w:eastAsia="DengXian" w:hAnsi="Arial" w:cs="Arial"/>
                <w:color w:val="FF0000"/>
                <w:sz w:val="16"/>
                <w:szCs w:val="16"/>
                <w:highlight w:val="yellow"/>
                <w:lang w:eastAsia="zh-CN"/>
              </w:rPr>
            </w:pPr>
            <w:r w:rsidRPr="005579A7">
              <w:rPr>
                <w:rFonts w:ascii="Arial" w:eastAsia="DengXian" w:hAnsi="Arial" w:cs="Arial"/>
                <w:sz w:val="16"/>
                <w:szCs w:val="16"/>
                <w:lang w:eastAsia="zh-CN"/>
              </w:rPr>
              <w:t>15</w:t>
            </w:r>
          </w:p>
        </w:tc>
        <w:tc>
          <w:tcPr>
            <w:tcW w:w="863" w:type="pct"/>
            <w:tcBorders>
              <w:top w:val="single" w:sz="4" w:space="0" w:color="auto"/>
              <w:left w:val="single" w:sz="4" w:space="0" w:color="auto"/>
              <w:bottom w:val="single" w:sz="4" w:space="0" w:color="auto"/>
              <w:right w:val="single" w:sz="4" w:space="0" w:color="auto"/>
            </w:tcBorders>
            <w:shd w:val="clear" w:color="auto" w:fill="auto"/>
            <w:vAlign w:val="center"/>
          </w:tcPr>
          <w:p w14:paraId="07C71BD8" w14:textId="77777777" w:rsidR="005579A7" w:rsidRPr="005579A7" w:rsidRDefault="005579A7" w:rsidP="005579A7">
            <w:pPr>
              <w:suppressAutoHyphens/>
              <w:jc w:val="center"/>
              <w:rPr>
                <w:rFonts w:ascii="Arial" w:eastAsia="DengXian" w:hAnsi="Arial" w:cs="Arial"/>
                <w:color w:val="FF0000"/>
                <w:sz w:val="16"/>
                <w:szCs w:val="16"/>
                <w:highlight w:val="yellow"/>
              </w:rPr>
            </w:pPr>
            <w:r w:rsidRPr="005579A7">
              <w:rPr>
                <w:rFonts w:ascii="Arial" w:eastAsia="DengXian" w:hAnsi="Arial" w:cs="Arial"/>
                <w:sz w:val="16"/>
                <w:szCs w:val="16"/>
                <w:lang w:eastAsia="zh-CN"/>
              </w:rPr>
              <w:t>numDedicatedPRBsForPSFCH</w:t>
            </w:r>
          </w:p>
        </w:tc>
        <w:tc>
          <w:tcPr>
            <w:tcW w:w="1836" w:type="pct"/>
            <w:tcBorders>
              <w:top w:val="single" w:sz="4" w:space="0" w:color="auto"/>
              <w:left w:val="nil"/>
              <w:bottom w:val="single" w:sz="4" w:space="0" w:color="auto"/>
              <w:right w:val="single" w:sz="4" w:space="0" w:color="auto"/>
            </w:tcBorders>
            <w:shd w:val="clear" w:color="auto" w:fill="auto"/>
            <w:vAlign w:val="center"/>
          </w:tcPr>
          <w:p w14:paraId="7C83F313" w14:textId="77777777" w:rsidR="005579A7" w:rsidRPr="005579A7" w:rsidRDefault="005579A7" w:rsidP="005579A7">
            <w:pPr>
              <w:rPr>
                <w:rFonts w:ascii="Arial" w:eastAsia="DengXian" w:hAnsi="Arial" w:cs="Arial"/>
                <w:sz w:val="16"/>
                <w:szCs w:val="16"/>
                <w:lang w:eastAsia="zh-CN"/>
              </w:rPr>
            </w:pPr>
            <w:r w:rsidRPr="005579A7">
              <w:rPr>
                <w:rFonts w:ascii="Arial" w:eastAsia="DengXian" w:hAnsi="Arial" w:cs="Arial"/>
                <w:sz w:val="16"/>
                <w:szCs w:val="16"/>
                <w:lang w:eastAsia="zh-CN"/>
              </w:rPr>
              <w:t>Indicates the value of K3 when each PSFCH transmission occupies "1 common interlace and K3 dedicated PRB(s)"</w:t>
            </w:r>
          </w:p>
          <w:p w14:paraId="6D111649" w14:textId="77777777" w:rsidR="005579A7" w:rsidRPr="005579A7" w:rsidRDefault="005579A7" w:rsidP="005579A7">
            <w:pPr>
              <w:rPr>
                <w:rFonts w:ascii="Arial" w:eastAsia="DengXian" w:hAnsi="Arial" w:cs="Arial"/>
                <w:sz w:val="16"/>
                <w:szCs w:val="16"/>
                <w:highlight w:val="yellow"/>
              </w:rPr>
            </w:pPr>
            <w:r w:rsidRPr="005579A7">
              <w:rPr>
                <w:rFonts w:ascii="Arial" w:eastAsia="DengXian" w:hAnsi="Arial" w:cs="Arial"/>
                <w:sz w:val="16"/>
                <w:szCs w:val="16"/>
              </w:rPr>
              <w:t xml:space="preserve">UE expects </w:t>
            </w:r>
            <w:r w:rsidRPr="005579A7">
              <w:rPr>
                <w:rFonts w:ascii="Arial" w:hAnsi="Arial" w:cs="Arial"/>
                <w:bCs/>
                <w:sz w:val="16"/>
                <w:szCs w:val="16"/>
                <w:lang w:eastAsia="zh-CN"/>
              </w:rPr>
              <w:t xml:space="preserve">the same (pre-)configured value of </w:t>
            </w:r>
            <w:r w:rsidRPr="005579A7">
              <w:rPr>
                <w:rFonts w:ascii="Arial" w:eastAsia="DengXian" w:hAnsi="Arial" w:cs="Arial"/>
                <w:sz w:val="16"/>
                <w:szCs w:val="16"/>
              </w:rPr>
              <w:t>numDedicatedPRBsForPSFCH across all resource pools.</w:t>
            </w:r>
          </w:p>
        </w:tc>
        <w:tc>
          <w:tcPr>
            <w:tcW w:w="1096" w:type="pct"/>
            <w:tcBorders>
              <w:top w:val="single" w:sz="4" w:space="0" w:color="auto"/>
              <w:left w:val="nil"/>
              <w:bottom w:val="single" w:sz="4" w:space="0" w:color="auto"/>
              <w:right w:val="single" w:sz="4" w:space="0" w:color="auto"/>
            </w:tcBorders>
            <w:shd w:val="clear" w:color="auto" w:fill="auto"/>
            <w:vAlign w:val="center"/>
          </w:tcPr>
          <w:p w14:paraId="4390EE6C" w14:textId="77777777" w:rsidR="005579A7" w:rsidRPr="005579A7" w:rsidRDefault="005579A7" w:rsidP="005579A7">
            <w:pPr>
              <w:jc w:val="center"/>
              <w:rPr>
                <w:rFonts w:ascii="Arial" w:eastAsia="DengXian" w:hAnsi="Arial" w:cs="Arial"/>
                <w:color w:val="FF0000"/>
                <w:sz w:val="16"/>
                <w:szCs w:val="16"/>
                <w:highlight w:val="yellow"/>
                <w:lang w:eastAsia="zh-CN"/>
              </w:rPr>
            </w:pPr>
            <w:r w:rsidRPr="005579A7">
              <w:rPr>
                <w:rFonts w:ascii="Arial" w:eastAsia="DengXian" w:hAnsi="Arial" w:cs="Arial"/>
                <w:sz w:val="16"/>
                <w:szCs w:val="16"/>
                <w:lang w:eastAsia="zh-CN"/>
              </w:rPr>
              <w:t>ENUMERATED {1,2,5}</w:t>
            </w:r>
          </w:p>
        </w:tc>
        <w:tc>
          <w:tcPr>
            <w:tcW w:w="355" w:type="pct"/>
            <w:tcBorders>
              <w:top w:val="single" w:sz="4" w:space="0" w:color="auto"/>
              <w:left w:val="nil"/>
              <w:bottom w:val="single" w:sz="4" w:space="0" w:color="auto"/>
              <w:right w:val="single" w:sz="4" w:space="0" w:color="auto"/>
            </w:tcBorders>
            <w:shd w:val="clear" w:color="auto" w:fill="auto"/>
            <w:vAlign w:val="center"/>
          </w:tcPr>
          <w:p w14:paraId="2A178179" w14:textId="77777777" w:rsidR="005579A7" w:rsidRPr="005579A7" w:rsidRDefault="005579A7" w:rsidP="005579A7">
            <w:pPr>
              <w:jc w:val="center"/>
              <w:rPr>
                <w:rFonts w:ascii="Arial" w:eastAsia="DengXian" w:hAnsi="Arial" w:cs="Arial"/>
                <w:color w:val="FF0000"/>
                <w:sz w:val="16"/>
                <w:szCs w:val="16"/>
                <w:highlight w:val="yellow"/>
              </w:rPr>
            </w:pPr>
            <w:r w:rsidRPr="005579A7">
              <w:rPr>
                <w:rFonts w:ascii="Arial" w:eastAsia="DengXian" w:hAnsi="Arial" w:cs="Arial"/>
                <w:sz w:val="16"/>
                <w:szCs w:val="16"/>
                <w:lang w:eastAsia="zh-CN"/>
              </w:rPr>
              <w:t>N/A</w:t>
            </w:r>
          </w:p>
        </w:tc>
        <w:tc>
          <w:tcPr>
            <w:tcW w:w="468" w:type="pct"/>
            <w:tcBorders>
              <w:top w:val="single" w:sz="4" w:space="0" w:color="auto"/>
              <w:left w:val="nil"/>
              <w:bottom w:val="single" w:sz="4" w:space="0" w:color="auto"/>
              <w:right w:val="single" w:sz="4" w:space="0" w:color="auto"/>
            </w:tcBorders>
            <w:shd w:val="clear" w:color="auto" w:fill="auto"/>
            <w:vAlign w:val="center"/>
          </w:tcPr>
          <w:p w14:paraId="62CEC96F" w14:textId="77777777" w:rsidR="005579A7" w:rsidRPr="005579A7" w:rsidRDefault="005579A7" w:rsidP="005579A7">
            <w:pPr>
              <w:jc w:val="center"/>
              <w:rPr>
                <w:rFonts w:ascii="Arial" w:eastAsia="DengXian" w:hAnsi="Arial" w:cs="Arial"/>
                <w:color w:val="FF0000"/>
                <w:sz w:val="16"/>
                <w:szCs w:val="16"/>
                <w:highlight w:val="yellow"/>
              </w:rPr>
            </w:pPr>
            <w:r w:rsidRPr="005579A7">
              <w:rPr>
                <w:rFonts w:ascii="Arial" w:eastAsia="DengXian" w:hAnsi="Arial" w:cs="Arial"/>
                <w:sz w:val="16"/>
                <w:szCs w:val="16"/>
                <w:lang w:eastAsia="zh-CN"/>
              </w:rPr>
              <w:t>Per resource pool</w:t>
            </w:r>
          </w:p>
        </w:tc>
      </w:tr>
    </w:tbl>
    <w:p w14:paraId="0E1C9577" w14:textId="77777777" w:rsidR="005579A7" w:rsidRPr="005579A7" w:rsidRDefault="005579A7" w:rsidP="005579A7">
      <w:pPr>
        <w:rPr>
          <w:rFonts w:eastAsia="PMingLiU"/>
          <w:szCs w:val="20"/>
        </w:rPr>
      </w:pPr>
    </w:p>
    <w:p w14:paraId="44BA7C87" w14:textId="77777777" w:rsidR="005579A7" w:rsidRPr="009537ED" w:rsidRDefault="005579A7" w:rsidP="000237CF">
      <w:pPr>
        <w:rPr>
          <w:lang w:eastAsia="x-none"/>
        </w:rPr>
      </w:pPr>
    </w:p>
    <w:p w14:paraId="03B652A7" w14:textId="32AD9FE1" w:rsidR="000237CF" w:rsidRPr="009537ED" w:rsidRDefault="005A18DC" w:rsidP="000237CF">
      <w:pPr>
        <w:rPr>
          <w:lang w:eastAsia="x-none"/>
        </w:rPr>
      </w:pPr>
      <w:hyperlink r:id="rId1026" w:history="1">
        <w:r w:rsidR="00AF7253">
          <w:rPr>
            <w:rStyle w:val="Hyperlink"/>
            <w:lang w:eastAsia="x-none"/>
          </w:rPr>
          <w:t>R1-2312327</w:t>
        </w:r>
      </w:hyperlink>
      <w:r w:rsidR="000237CF" w:rsidRPr="009537ED">
        <w:rPr>
          <w:lang w:eastAsia="x-none"/>
        </w:rPr>
        <w:tab/>
        <w:t>FL summary#4 for AI 8.2.1.2 SL-U physical channel design framework</w:t>
      </w:r>
      <w:r w:rsidR="000237CF" w:rsidRPr="009537ED">
        <w:rPr>
          <w:lang w:eastAsia="x-none"/>
        </w:rPr>
        <w:tab/>
        <w:t>Moderator (Huawei)</w:t>
      </w:r>
    </w:p>
    <w:p w14:paraId="048D8892" w14:textId="650CE3AB" w:rsidR="000237CF" w:rsidRPr="004344CF" w:rsidRDefault="005A18DC" w:rsidP="000237CF">
      <w:pPr>
        <w:rPr>
          <w:b/>
          <w:bCs/>
          <w:lang w:eastAsia="x-none"/>
        </w:rPr>
      </w:pPr>
      <w:hyperlink r:id="rId1027" w:history="1">
        <w:r w:rsidR="00AF7253">
          <w:rPr>
            <w:rStyle w:val="Hyperlink"/>
            <w:b/>
            <w:bCs/>
            <w:lang w:eastAsia="x-none"/>
          </w:rPr>
          <w:t>R1-2312328</w:t>
        </w:r>
      </w:hyperlink>
      <w:r w:rsidR="000237CF" w:rsidRPr="004344CF">
        <w:rPr>
          <w:b/>
          <w:bCs/>
          <w:lang w:eastAsia="x-none"/>
        </w:rPr>
        <w:tab/>
        <w:t>FL summary#5 for AI 8.2.1.2 SL-U physical channel design framework</w:t>
      </w:r>
      <w:r w:rsidR="000237CF" w:rsidRPr="004344CF">
        <w:rPr>
          <w:b/>
          <w:bCs/>
          <w:lang w:eastAsia="x-none"/>
        </w:rPr>
        <w:tab/>
        <w:t>Moderator (Huawei)</w:t>
      </w:r>
    </w:p>
    <w:p w14:paraId="542965B2" w14:textId="4788773D" w:rsidR="004344CF" w:rsidRDefault="004344CF" w:rsidP="000237CF">
      <w:pPr>
        <w:rPr>
          <w:lang w:eastAsia="x-none"/>
        </w:rPr>
      </w:pPr>
      <w:r>
        <w:rPr>
          <w:lang w:eastAsia="x-none"/>
        </w:rPr>
        <w:t>From Thursday session</w:t>
      </w:r>
    </w:p>
    <w:p w14:paraId="47E64783" w14:textId="77777777" w:rsidR="004344CF" w:rsidRPr="004344CF" w:rsidRDefault="004344CF" w:rsidP="004344CF">
      <w:pPr>
        <w:rPr>
          <w:rFonts w:ascii="Times New Roman" w:eastAsia="Times New Roman" w:hAnsi="Times New Roman"/>
          <w:szCs w:val="20"/>
          <w:highlight w:val="green"/>
          <w:lang w:eastAsia="zh-CN"/>
        </w:rPr>
      </w:pPr>
      <w:r w:rsidRPr="004344CF">
        <w:rPr>
          <w:rFonts w:ascii="Times New Roman" w:hAnsi="Times New Roman"/>
          <w:szCs w:val="20"/>
          <w:highlight w:val="green"/>
          <w:lang w:eastAsia="zh-CN"/>
        </w:rPr>
        <w:t>Agreement</w:t>
      </w:r>
    </w:p>
    <w:p w14:paraId="685242D5" w14:textId="77777777" w:rsidR="004344CF" w:rsidRPr="004344CF" w:rsidRDefault="004344CF" w:rsidP="004344CF">
      <w:pPr>
        <w:rPr>
          <w:rFonts w:ascii="Times New Roman" w:hAnsi="Times New Roman"/>
          <w:szCs w:val="20"/>
          <w:lang w:eastAsia="zh-CN"/>
        </w:rPr>
      </w:pPr>
      <w:r w:rsidRPr="004344CF">
        <w:rPr>
          <w:rFonts w:ascii="Times New Roman" w:hAnsi="Times New Roman"/>
          <w:szCs w:val="20"/>
          <w:lang w:eastAsia="zh-CN"/>
        </w:rPr>
        <w:t>Regarding “SL-U PSFCH occupies more than 1 PRB”:</w:t>
      </w:r>
    </w:p>
    <w:p w14:paraId="36DAC1D7" w14:textId="7C09302F" w:rsidR="004344CF" w:rsidRPr="004344CF" w:rsidRDefault="005A18DC" w:rsidP="00A67145">
      <w:pPr>
        <w:pStyle w:val="ListParagraph"/>
        <w:numPr>
          <w:ilvl w:val="0"/>
          <w:numId w:val="199"/>
        </w:numPr>
        <w:rPr>
          <w:lang w:eastAsia="ko-KR"/>
        </w:rPr>
      </w:pPr>
      <m:oMath>
        <m:sSub>
          <m:sSubPr>
            <m:ctrlPr>
              <w:rPr>
                <w:rFonts w:ascii="Cambria Math" w:hAnsi="Cambria Math"/>
                <w:lang w:eastAsia="ko-KR"/>
              </w:rPr>
            </m:ctrlPr>
          </m:sSubPr>
          <m:e>
            <m:r>
              <m:rPr>
                <m:sty m:val="p"/>
              </m:rPr>
              <w:rPr>
                <w:rFonts w:ascii="Cambria Math" w:hAnsi="Cambria Math"/>
                <w:lang w:eastAsia="ko-KR"/>
              </w:rPr>
              <m:t>P</m:t>
            </m:r>
          </m:e>
          <m:sub>
            <m:r>
              <m:rPr>
                <m:nor/>
              </m:rPr>
              <w:rPr>
                <w:lang w:eastAsia="ko-KR"/>
              </w:rPr>
              <m:t>PSFCH,one</m:t>
            </m:r>
          </m:sub>
        </m:sSub>
      </m:oMath>
      <w:r w:rsidR="004344CF" w:rsidRPr="004344CF">
        <w:rPr>
          <w:lang w:eastAsia="ko-KR"/>
        </w:rPr>
        <w:t xml:space="preserve"> refers to the </w:t>
      </w:r>
      <w:r w:rsidR="004344CF" w:rsidRPr="004344CF">
        <w:rPr>
          <w:lang w:eastAsia="zh-CN"/>
        </w:rPr>
        <w:t>target</w:t>
      </w:r>
      <w:r w:rsidR="004344CF" w:rsidRPr="004344CF">
        <w:rPr>
          <w:lang w:eastAsia="ko-KR"/>
        </w:rPr>
        <w:t xml:space="preserve"> power on one dedicated PRB</w:t>
      </w:r>
      <w:r w:rsidR="004344CF" w:rsidRPr="004344CF">
        <w:rPr>
          <w:lang w:eastAsia="zh-CN"/>
        </w:rPr>
        <w:t xml:space="preserve"> for </w:t>
      </w:r>
      <w:r w:rsidR="004344CF" w:rsidRPr="004344CF">
        <w:t>a PSFCH transmission.</w:t>
      </w:r>
    </w:p>
    <w:p w14:paraId="1FDC463D" w14:textId="77777777" w:rsidR="004344CF" w:rsidRPr="004344CF" w:rsidRDefault="004344CF" w:rsidP="004344CF">
      <w:pPr>
        <w:rPr>
          <w:szCs w:val="20"/>
          <w:lang w:eastAsia="zh-CN"/>
        </w:rPr>
      </w:pPr>
      <w:r w:rsidRPr="004344CF">
        <w:rPr>
          <w:szCs w:val="20"/>
          <w:highlight w:val="green"/>
          <w:lang w:eastAsia="zh-CN"/>
        </w:rPr>
        <w:t>Agreement</w:t>
      </w:r>
    </w:p>
    <w:p w14:paraId="607F4D21" w14:textId="3AD0E58C" w:rsidR="004344CF" w:rsidRPr="004344CF" w:rsidRDefault="004344CF" w:rsidP="004344CF">
      <w:pPr>
        <w:rPr>
          <w:szCs w:val="20"/>
        </w:rPr>
      </w:pPr>
      <w:r w:rsidRPr="004344CF">
        <w:rPr>
          <w:szCs w:val="20"/>
        </w:rPr>
        <w:t xml:space="preserve">TP#5-2 in Section 4.1.8 of </w:t>
      </w:r>
      <w:hyperlink r:id="rId1028" w:history="1">
        <w:r w:rsidR="00AF7253">
          <w:rPr>
            <w:rStyle w:val="Hyperlink"/>
            <w:szCs w:val="20"/>
          </w:rPr>
          <w:t>R1-2312328</w:t>
        </w:r>
      </w:hyperlink>
      <w:r w:rsidRPr="004344CF">
        <w:rPr>
          <w:szCs w:val="20"/>
        </w:rPr>
        <w:t xml:space="preserve"> is endorsed for TS 38.213 clause 16.1.</w:t>
      </w:r>
    </w:p>
    <w:p w14:paraId="0EBEC2F5" w14:textId="77777777" w:rsidR="004344CF" w:rsidRPr="004344CF" w:rsidRDefault="004344CF" w:rsidP="004344CF"/>
    <w:p w14:paraId="4749EDEC" w14:textId="77777777" w:rsidR="004344CF" w:rsidRPr="004344CF" w:rsidRDefault="004344CF" w:rsidP="004344CF">
      <w:pPr>
        <w:rPr>
          <w:szCs w:val="20"/>
          <w:lang w:eastAsia="zh-CN"/>
        </w:rPr>
      </w:pPr>
      <w:r w:rsidRPr="004344CF">
        <w:rPr>
          <w:szCs w:val="20"/>
          <w:highlight w:val="green"/>
          <w:lang w:eastAsia="zh-CN"/>
        </w:rPr>
        <w:t>Agreement</w:t>
      </w:r>
    </w:p>
    <w:p w14:paraId="7A39440F" w14:textId="5DE92CAD" w:rsidR="004344CF" w:rsidRPr="004344CF" w:rsidRDefault="004344CF" w:rsidP="004344CF">
      <w:pPr>
        <w:rPr>
          <w:szCs w:val="20"/>
        </w:rPr>
      </w:pPr>
      <w:r w:rsidRPr="004344CF">
        <w:rPr>
          <w:szCs w:val="20"/>
        </w:rPr>
        <w:t xml:space="preserve">TP#1-1 in Section 4.1.1 of </w:t>
      </w:r>
      <w:hyperlink r:id="rId1029" w:history="1">
        <w:r w:rsidR="00AF7253">
          <w:rPr>
            <w:rStyle w:val="Hyperlink"/>
            <w:szCs w:val="20"/>
          </w:rPr>
          <w:t>R1-2312328</w:t>
        </w:r>
      </w:hyperlink>
      <w:r w:rsidRPr="004344CF">
        <w:rPr>
          <w:szCs w:val="20"/>
        </w:rPr>
        <w:t xml:space="preserve"> is endorsed for TS 38.214 Clause 8.</w:t>
      </w:r>
    </w:p>
    <w:p w14:paraId="01F4DEAD" w14:textId="77777777" w:rsidR="004344CF" w:rsidRPr="004344CF" w:rsidRDefault="004344CF" w:rsidP="004344CF"/>
    <w:p w14:paraId="2A0F43A1" w14:textId="77777777" w:rsidR="004344CF" w:rsidRPr="004344CF" w:rsidRDefault="004344CF" w:rsidP="004344CF">
      <w:pPr>
        <w:rPr>
          <w:szCs w:val="20"/>
          <w:lang w:eastAsia="zh-CN"/>
        </w:rPr>
      </w:pPr>
      <w:r w:rsidRPr="004344CF">
        <w:rPr>
          <w:szCs w:val="20"/>
          <w:highlight w:val="green"/>
          <w:lang w:eastAsia="zh-CN"/>
        </w:rPr>
        <w:t>Agreement</w:t>
      </w:r>
    </w:p>
    <w:p w14:paraId="26A2347C" w14:textId="77777777" w:rsidR="004344CF" w:rsidRPr="004344CF" w:rsidRDefault="004344CF" w:rsidP="004344CF">
      <w:pPr>
        <w:rPr>
          <w:szCs w:val="20"/>
        </w:rPr>
      </w:pPr>
      <w:r w:rsidRPr="004344CF">
        <w:rPr>
          <w:szCs w:val="20"/>
        </w:rPr>
        <w:t>The TP below is endorsed for TS 38.214 Clause 8.1.2.1.</w:t>
      </w:r>
    </w:p>
    <w:tbl>
      <w:tblPr>
        <w:tblW w:w="5000" w:type="pct"/>
        <w:tblCellMar>
          <w:left w:w="42" w:type="dxa"/>
          <w:right w:w="42" w:type="dxa"/>
        </w:tblCellMar>
        <w:tblLook w:val="04A0" w:firstRow="1" w:lastRow="0" w:firstColumn="1" w:lastColumn="0" w:noHBand="0" w:noVBand="1"/>
      </w:tblPr>
      <w:tblGrid>
        <w:gridCol w:w="2948"/>
        <w:gridCol w:w="7603"/>
      </w:tblGrid>
      <w:tr w:rsidR="004344CF" w:rsidRPr="004344CF" w14:paraId="195F4E0B" w14:textId="77777777" w:rsidTr="004344CF">
        <w:tc>
          <w:tcPr>
            <w:tcW w:w="1397" w:type="pct"/>
            <w:tcBorders>
              <w:top w:val="single" w:sz="4" w:space="0" w:color="auto"/>
              <w:left w:val="single" w:sz="4" w:space="0" w:color="auto"/>
            </w:tcBorders>
          </w:tcPr>
          <w:p w14:paraId="27CAD09C" w14:textId="77777777" w:rsidR="004344CF" w:rsidRPr="004344CF" w:rsidRDefault="004344CF" w:rsidP="004344CF">
            <w:pPr>
              <w:tabs>
                <w:tab w:val="right" w:pos="2184"/>
              </w:tabs>
              <w:rPr>
                <w:rFonts w:ascii="Arial" w:hAnsi="Arial" w:cs="Arial"/>
                <w:b/>
                <w:i/>
                <w:sz w:val="16"/>
                <w:szCs w:val="16"/>
              </w:rPr>
            </w:pPr>
            <w:r w:rsidRPr="004344CF">
              <w:rPr>
                <w:rFonts w:ascii="Arial" w:hAnsi="Arial" w:cs="Arial"/>
                <w:b/>
                <w:i/>
                <w:sz w:val="16"/>
                <w:szCs w:val="16"/>
              </w:rPr>
              <w:t>Reason for change:</w:t>
            </w:r>
          </w:p>
        </w:tc>
        <w:tc>
          <w:tcPr>
            <w:tcW w:w="3603" w:type="pct"/>
            <w:tcBorders>
              <w:top w:val="single" w:sz="4" w:space="0" w:color="auto"/>
              <w:right w:val="single" w:sz="4" w:space="0" w:color="auto"/>
            </w:tcBorders>
            <w:shd w:val="pct30" w:color="FFFF00" w:fill="auto"/>
          </w:tcPr>
          <w:p w14:paraId="2AB1C99D" w14:textId="77777777" w:rsidR="004344CF" w:rsidRPr="004344CF" w:rsidRDefault="004344CF" w:rsidP="004344CF">
            <w:pPr>
              <w:widowControl w:val="0"/>
              <w:rPr>
                <w:rFonts w:ascii="Arial" w:hAnsi="Arial" w:cs="Arial"/>
                <w:sz w:val="16"/>
                <w:szCs w:val="16"/>
                <w:lang w:eastAsia="zh-CN"/>
              </w:rPr>
            </w:pPr>
            <w:r w:rsidRPr="004344CF">
              <w:rPr>
                <w:rFonts w:ascii="Arial" w:hAnsi="Arial" w:cs="Arial"/>
                <w:sz w:val="16"/>
                <w:szCs w:val="16"/>
                <w:lang w:eastAsia="zh-CN"/>
              </w:rPr>
              <w:t>1. The starting symbol for PSCCH/PSSCH transmission in a slot with PSFCH symbols is unclear.</w:t>
            </w:r>
          </w:p>
          <w:p w14:paraId="019056D1" w14:textId="77777777" w:rsidR="004344CF" w:rsidRPr="004344CF" w:rsidRDefault="004344CF" w:rsidP="004344CF">
            <w:pPr>
              <w:widowControl w:val="0"/>
              <w:rPr>
                <w:rFonts w:ascii="Arial" w:hAnsi="Arial" w:cs="Arial"/>
                <w:sz w:val="16"/>
                <w:szCs w:val="16"/>
              </w:rPr>
            </w:pPr>
            <w:r w:rsidRPr="004344CF">
              <w:rPr>
                <w:rFonts w:ascii="Arial" w:hAnsi="Arial" w:cs="Arial"/>
                <w:sz w:val="16"/>
                <w:szCs w:val="16"/>
              </w:rPr>
              <w:t>2. It’s inaccurate to say that UE shall not use the second starting symbol in slots with PSFCH symbols since there is only one candidate starting symbols for PSCCH/PSSCH transmission in such slots.</w:t>
            </w:r>
          </w:p>
        </w:tc>
      </w:tr>
      <w:tr w:rsidR="004344CF" w:rsidRPr="004344CF" w14:paraId="79A4BDAA" w14:textId="77777777" w:rsidTr="004344CF">
        <w:tc>
          <w:tcPr>
            <w:tcW w:w="1397" w:type="pct"/>
            <w:tcBorders>
              <w:left w:val="single" w:sz="4" w:space="0" w:color="auto"/>
            </w:tcBorders>
          </w:tcPr>
          <w:p w14:paraId="7841C5B9" w14:textId="77777777" w:rsidR="004344CF" w:rsidRPr="004344CF" w:rsidRDefault="004344CF" w:rsidP="004344CF">
            <w:pPr>
              <w:rPr>
                <w:rFonts w:ascii="Arial" w:hAnsi="Arial" w:cs="Arial"/>
                <w:b/>
                <w:i/>
                <w:sz w:val="16"/>
                <w:szCs w:val="16"/>
              </w:rPr>
            </w:pPr>
          </w:p>
        </w:tc>
        <w:tc>
          <w:tcPr>
            <w:tcW w:w="3603" w:type="pct"/>
            <w:tcBorders>
              <w:right w:val="single" w:sz="4" w:space="0" w:color="auto"/>
            </w:tcBorders>
          </w:tcPr>
          <w:p w14:paraId="0E4B4BB9" w14:textId="77777777" w:rsidR="004344CF" w:rsidRPr="004344CF" w:rsidRDefault="004344CF" w:rsidP="004344CF">
            <w:pPr>
              <w:rPr>
                <w:rFonts w:ascii="Arial" w:hAnsi="Arial" w:cs="Arial"/>
                <w:sz w:val="16"/>
                <w:szCs w:val="16"/>
              </w:rPr>
            </w:pPr>
          </w:p>
        </w:tc>
      </w:tr>
      <w:tr w:rsidR="004344CF" w:rsidRPr="004344CF" w14:paraId="798E9DE8" w14:textId="77777777" w:rsidTr="004344CF">
        <w:tc>
          <w:tcPr>
            <w:tcW w:w="1397" w:type="pct"/>
            <w:tcBorders>
              <w:left w:val="single" w:sz="4" w:space="0" w:color="auto"/>
            </w:tcBorders>
          </w:tcPr>
          <w:p w14:paraId="400D0B35" w14:textId="77777777" w:rsidR="004344CF" w:rsidRPr="004344CF" w:rsidRDefault="004344CF" w:rsidP="004344CF">
            <w:pPr>
              <w:tabs>
                <w:tab w:val="right" w:pos="2184"/>
              </w:tabs>
              <w:rPr>
                <w:rFonts w:ascii="Arial" w:hAnsi="Arial" w:cs="Arial"/>
                <w:b/>
                <w:i/>
                <w:sz w:val="16"/>
                <w:szCs w:val="16"/>
              </w:rPr>
            </w:pPr>
            <w:r w:rsidRPr="004344CF">
              <w:rPr>
                <w:rFonts w:ascii="Arial" w:hAnsi="Arial" w:cs="Arial"/>
                <w:b/>
                <w:i/>
                <w:sz w:val="16"/>
                <w:szCs w:val="16"/>
              </w:rPr>
              <w:t>Summary of change:</w:t>
            </w:r>
          </w:p>
        </w:tc>
        <w:tc>
          <w:tcPr>
            <w:tcW w:w="3603" w:type="pct"/>
            <w:tcBorders>
              <w:right w:val="single" w:sz="4" w:space="0" w:color="auto"/>
            </w:tcBorders>
            <w:shd w:val="pct30" w:color="FFFF00" w:fill="auto"/>
          </w:tcPr>
          <w:p w14:paraId="4F73D22F" w14:textId="77777777" w:rsidR="004344CF" w:rsidRPr="004344CF" w:rsidRDefault="004344CF" w:rsidP="004344CF">
            <w:pPr>
              <w:rPr>
                <w:rFonts w:ascii="Arial" w:hAnsi="Arial" w:cs="Arial"/>
                <w:sz w:val="16"/>
                <w:szCs w:val="16"/>
              </w:rPr>
            </w:pPr>
            <w:r w:rsidRPr="004344CF">
              <w:rPr>
                <w:rFonts w:ascii="Arial" w:hAnsi="Arial" w:cs="Arial"/>
                <w:sz w:val="16"/>
                <w:szCs w:val="16"/>
              </w:rPr>
              <w:t>1. Clarify the starting symbol for transmission in a slot with PSFCH symbols.</w:t>
            </w:r>
          </w:p>
          <w:p w14:paraId="29533E6D" w14:textId="77777777" w:rsidR="004344CF" w:rsidRPr="004344CF" w:rsidRDefault="004344CF" w:rsidP="004344CF">
            <w:pPr>
              <w:rPr>
                <w:rFonts w:ascii="Arial" w:hAnsi="Arial" w:cs="Arial"/>
                <w:sz w:val="16"/>
                <w:szCs w:val="16"/>
              </w:rPr>
            </w:pPr>
            <w:r w:rsidRPr="004344CF">
              <w:rPr>
                <w:rFonts w:ascii="Arial" w:hAnsi="Arial" w:cs="Arial"/>
                <w:sz w:val="16"/>
                <w:szCs w:val="16"/>
              </w:rPr>
              <w:t>2. Delete the sentence “The UE shall not use the second starting symbol in slots with PSFCH symbols”.</w:t>
            </w:r>
          </w:p>
        </w:tc>
      </w:tr>
      <w:tr w:rsidR="004344CF" w:rsidRPr="004344CF" w14:paraId="736BE731" w14:textId="77777777" w:rsidTr="004344CF">
        <w:tc>
          <w:tcPr>
            <w:tcW w:w="1397" w:type="pct"/>
            <w:tcBorders>
              <w:left w:val="single" w:sz="4" w:space="0" w:color="auto"/>
            </w:tcBorders>
          </w:tcPr>
          <w:p w14:paraId="6F4CC3F7" w14:textId="77777777" w:rsidR="004344CF" w:rsidRPr="004344CF" w:rsidRDefault="004344CF" w:rsidP="004344CF">
            <w:pPr>
              <w:rPr>
                <w:rFonts w:ascii="Arial" w:hAnsi="Arial" w:cs="Arial"/>
                <w:b/>
                <w:i/>
                <w:sz w:val="16"/>
                <w:szCs w:val="16"/>
              </w:rPr>
            </w:pPr>
          </w:p>
        </w:tc>
        <w:tc>
          <w:tcPr>
            <w:tcW w:w="3603" w:type="pct"/>
            <w:tcBorders>
              <w:right w:val="single" w:sz="4" w:space="0" w:color="auto"/>
            </w:tcBorders>
          </w:tcPr>
          <w:p w14:paraId="6F06D024" w14:textId="77777777" w:rsidR="004344CF" w:rsidRPr="004344CF" w:rsidRDefault="004344CF" w:rsidP="004344CF">
            <w:pPr>
              <w:rPr>
                <w:rFonts w:ascii="Arial" w:hAnsi="Arial" w:cs="Arial"/>
                <w:sz w:val="16"/>
                <w:szCs w:val="16"/>
              </w:rPr>
            </w:pPr>
          </w:p>
        </w:tc>
      </w:tr>
      <w:tr w:rsidR="004344CF" w:rsidRPr="004344CF" w14:paraId="6B9C1733" w14:textId="77777777" w:rsidTr="004344CF">
        <w:tc>
          <w:tcPr>
            <w:tcW w:w="1397" w:type="pct"/>
            <w:tcBorders>
              <w:left w:val="single" w:sz="4" w:space="0" w:color="auto"/>
              <w:bottom w:val="single" w:sz="4" w:space="0" w:color="auto"/>
            </w:tcBorders>
          </w:tcPr>
          <w:p w14:paraId="0D913538" w14:textId="77777777" w:rsidR="004344CF" w:rsidRPr="004344CF" w:rsidRDefault="004344CF" w:rsidP="004344CF">
            <w:pPr>
              <w:tabs>
                <w:tab w:val="right" w:pos="2184"/>
              </w:tabs>
              <w:rPr>
                <w:rFonts w:ascii="Arial" w:hAnsi="Arial" w:cs="Arial"/>
                <w:b/>
                <w:i/>
                <w:sz w:val="16"/>
                <w:szCs w:val="16"/>
              </w:rPr>
            </w:pPr>
            <w:r w:rsidRPr="004344CF">
              <w:rPr>
                <w:rFonts w:ascii="Arial" w:hAnsi="Arial" w:cs="Arial"/>
                <w:b/>
                <w:i/>
                <w:sz w:val="16"/>
                <w:szCs w:val="16"/>
              </w:rPr>
              <w:t>Consequences if not approved:</w:t>
            </w:r>
          </w:p>
        </w:tc>
        <w:tc>
          <w:tcPr>
            <w:tcW w:w="3603" w:type="pct"/>
            <w:tcBorders>
              <w:bottom w:val="single" w:sz="4" w:space="0" w:color="auto"/>
              <w:right w:val="single" w:sz="4" w:space="0" w:color="auto"/>
            </w:tcBorders>
            <w:shd w:val="pct30" w:color="FFFF00" w:fill="auto"/>
          </w:tcPr>
          <w:p w14:paraId="16B366E9" w14:textId="77777777" w:rsidR="004344CF" w:rsidRPr="004344CF" w:rsidRDefault="004344CF" w:rsidP="004344CF">
            <w:pPr>
              <w:rPr>
                <w:rFonts w:ascii="Arial" w:hAnsi="Arial" w:cs="Arial"/>
                <w:sz w:val="16"/>
                <w:szCs w:val="16"/>
              </w:rPr>
            </w:pPr>
            <w:r w:rsidRPr="004344CF">
              <w:rPr>
                <w:rFonts w:ascii="Arial" w:hAnsi="Arial" w:cs="Arial"/>
                <w:sz w:val="16"/>
                <w:szCs w:val="16"/>
              </w:rPr>
              <w:t>1. The starting symbol for transmission in a slot with PSFCH symbols is undefined.</w:t>
            </w:r>
          </w:p>
          <w:p w14:paraId="7B7FA9A5" w14:textId="77777777" w:rsidR="004344CF" w:rsidRPr="004344CF" w:rsidRDefault="004344CF" w:rsidP="004344CF">
            <w:pPr>
              <w:rPr>
                <w:rFonts w:ascii="Arial" w:hAnsi="Arial" w:cs="Arial"/>
                <w:sz w:val="16"/>
                <w:szCs w:val="16"/>
              </w:rPr>
            </w:pPr>
            <w:r w:rsidRPr="004344CF">
              <w:rPr>
                <w:rFonts w:ascii="Arial" w:hAnsi="Arial" w:cs="Arial"/>
                <w:sz w:val="16"/>
                <w:szCs w:val="16"/>
              </w:rPr>
              <w:t>2. It’s unclear where to transmit PSCCH/PSSCH in slots with PSFCH symbols.</w:t>
            </w:r>
          </w:p>
        </w:tc>
      </w:tr>
    </w:tbl>
    <w:p w14:paraId="62DD5975" w14:textId="77777777" w:rsidR="004344CF" w:rsidRPr="004344CF" w:rsidRDefault="004344CF" w:rsidP="004344CF">
      <w:pPr>
        <w:rPr>
          <w:rFonts w:eastAsia="PMingLiU"/>
          <w:color w:val="FF0000"/>
          <w:szCs w:val="20"/>
        </w:rPr>
      </w:pPr>
      <w:r w:rsidRPr="004344CF">
        <w:rPr>
          <w:color w:val="FF0000"/>
          <w:szCs w:val="20"/>
          <w:lang w:eastAsia="zh-CN"/>
        </w:rPr>
        <w:t>---------------------------- Start of Text Proposal for TS 38.214-----------------------------</w:t>
      </w:r>
    </w:p>
    <w:p w14:paraId="60BDD397" w14:textId="77777777" w:rsidR="004344CF" w:rsidRPr="004344CF" w:rsidRDefault="004344CF" w:rsidP="004344CF">
      <w:pPr>
        <w:jc w:val="both"/>
        <w:rPr>
          <w:rFonts w:ascii="Arial" w:eastAsia="Malgun Gothic" w:hAnsi="Arial" w:cs="Arial"/>
          <w:b/>
          <w:bCs/>
          <w:sz w:val="16"/>
          <w:szCs w:val="16"/>
          <w:lang w:eastAsia="zh-CN"/>
        </w:rPr>
      </w:pPr>
      <w:r w:rsidRPr="004344CF">
        <w:rPr>
          <w:rFonts w:ascii="Arial" w:eastAsia="Malgun Gothic" w:hAnsi="Arial" w:cs="Arial"/>
          <w:b/>
          <w:bCs/>
          <w:sz w:val="16"/>
          <w:szCs w:val="16"/>
          <w:lang w:eastAsia="zh-CN"/>
        </w:rPr>
        <w:t>8.1.2.1</w:t>
      </w:r>
      <w:r w:rsidRPr="004344CF">
        <w:rPr>
          <w:rFonts w:ascii="Arial" w:eastAsia="Malgun Gothic" w:hAnsi="Arial" w:cs="Arial"/>
          <w:b/>
          <w:bCs/>
          <w:sz w:val="16"/>
          <w:szCs w:val="16"/>
          <w:lang w:eastAsia="zh-CN"/>
        </w:rPr>
        <w:tab/>
        <w:t>Resource allocation in time domain</w:t>
      </w:r>
    </w:p>
    <w:p w14:paraId="6D6B2BE2" w14:textId="77777777" w:rsidR="004344CF" w:rsidRPr="004344CF" w:rsidRDefault="004344CF" w:rsidP="004344CF">
      <w:pPr>
        <w:rPr>
          <w:rFonts w:ascii="Arial" w:eastAsia="Malgun Gothic" w:hAnsi="Arial" w:cs="Arial"/>
          <w:sz w:val="16"/>
          <w:szCs w:val="16"/>
          <w:lang w:eastAsia="ja-JP"/>
        </w:rPr>
      </w:pPr>
      <w:r w:rsidRPr="004344CF">
        <w:rPr>
          <w:rFonts w:ascii="Arial" w:eastAsia="Malgun Gothic" w:hAnsi="Arial" w:cs="Arial"/>
          <w:sz w:val="16"/>
          <w:szCs w:val="16"/>
          <w:lang w:eastAsia="ja-JP"/>
        </w:rPr>
        <w:t>The UE shall transmit the PSSCH in the same slot as the associated PSCCH.</w:t>
      </w:r>
    </w:p>
    <w:p w14:paraId="437F69BF" w14:textId="77777777" w:rsidR="004344CF" w:rsidRPr="004344CF" w:rsidRDefault="004344CF" w:rsidP="004344CF">
      <w:pPr>
        <w:rPr>
          <w:rFonts w:ascii="Arial" w:eastAsia="Malgun Gothic" w:hAnsi="Arial" w:cs="Arial"/>
          <w:sz w:val="16"/>
          <w:szCs w:val="16"/>
          <w:lang w:eastAsia="ja-JP"/>
        </w:rPr>
      </w:pPr>
      <w:r w:rsidRPr="004344CF">
        <w:rPr>
          <w:rFonts w:ascii="Arial" w:eastAsia="Malgun Gothic" w:hAnsi="Arial" w:cs="Arial"/>
          <w:sz w:val="16"/>
          <w:szCs w:val="16"/>
          <w:lang w:eastAsia="ja-JP"/>
        </w:rPr>
        <w:t>The minimum resource allocation unit in the time domain is a slot.</w:t>
      </w:r>
    </w:p>
    <w:p w14:paraId="0A08ACEA" w14:textId="77777777" w:rsidR="004344CF" w:rsidRPr="004344CF" w:rsidRDefault="004344CF" w:rsidP="004344CF">
      <w:pPr>
        <w:rPr>
          <w:rFonts w:ascii="Arial" w:eastAsia="Malgun Gothic" w:hAnsi="Arial" w:cs="Arial"/>
          <w:sz w:val="16"/>
          <w:szCs w:val="16"/>
          <w:lang w:eastAsia="ja-JP"/>
        </w:rPr>
      </w:pPr>
      <w:r w:rsidRPr="004344CF">
        <w:rPr>
          <w:rFonts w:ascii="Arial" w:eastAsia="Malgun Gothic" w:hAnsi="Arial" w:cs="Arial"/>
          <w:sz w:val="16"/>
          <w:szCs w:val="16"/>
          <w:lang w:eastAsia="ja-JP"/>
        </w:rPr>
        <w:t>The UE shall transmit the PSSCH in consecutive symbols within the slot, subject to the following restrictions:</w:t>
      </w:r>
    </w:p>
    <w:p w14:paraId="09DE4F66" w14:textId="77777777" w:rsidR="004344CF" w:rsidRPr="004344CF" w:rsidRDefault="004344CF" w:rsidP="004344CF">
      <w:pPr>
        <w:ind w:left="568" w:hanging="284"/>
        <w:rPr>
          <w:rFonts w:ascii="Arial" w:eastAsia="Malgun Gothic" w:hAnsi="Arial" w:cs="Arial"/>
          <w:sz w:val="16"/>
          <w:szCs w:val="16"/>
          <w:lang w:eastAsia="ja-JP"/>
        </w:rPr>
      </w:pPr>
      <w:r w:rsidRPr="004344CF">
        <w:rPr>
          <w:rFonts w:ascii="Arial" w:eastAsia="Malgun Gothic" w:hAnsi="Arial" w:cs="Arial"/>
          <w:sz w:val="16"/>
          <w:szCs w:val="16"/>
          <w:lang w:eastAsia="ja-JP"/>
        </w:rPr>
        <w:t>-</w:t>
      </w:r>
      <w:r w:rsidRPr="004344CF">
        <w:rPr>
          <w:rFonts w:ascii="Arial" w:eastAsia="Malgun Gothic" w:hAnsi="Arial" w:cs="Arial"/>
          <w:sz w:val="16"/>
          <w:szCs w:val="16"/>
          <w:lang w:eastAsia="ja-JP"/>
        </w:rPr>
        <w:tab/>
        <w:t xml:space="preserve">The UE shall not transmit PSSCH in symbols which are not configured for sidelink. A symbol is configured for sidelink, according to higher layer parameters </w:t>
      </w:r>
      <w:r w:rsidRPr="004344CF">
        <w:rPr>
          <w:rFonts w:ascii="Arial" w:eastAsia="Malgun Gothic" w:hAnsi="Arial" w:cs="Arial"/>
          <w:i/>
          <w:sz w:val="16"/>
          <w:szCs w:val="16"/>
          <w:lang w:eastAsia="ja-JP"/>
        </w:rPr>
        <w:t>sl-StartSymbol</w:t>
      </w:r>
      <w:r w:rsidRPr="004344CF">
        <w:rPr>
          <w:rFonts w:ascii="Arial" w:eastAsia="Malgun Gothic" w:hAnsi="Arial" w:cs="Arial"/>
          <w:sz w:val="16"/>
          <w:szCs w:val="16"/>
          <w:lang w:eastAsia="ja-JP"/>
        </w:rPr>
        <w:t xml:space="preserve"> and </w:t>
      </w:r>
      <w:r w:rsidRPr="004344CF">
        <w:rPr>
          <w:rFonts w:ascii="Arial" w:eastAsia="Malgun Gothic" w:hAnsi="Arial" w:cs="Arial"/>
          <w:i/>
          <w:iCs/>
          <w:sz w:val="16"/>
          <w:szCs w:val="16"/>
          <w:lang w:eastAsia="ja-JP"/>
        </w:rPr>
        <w:t>sl-L</w:t>
      </w:r>
      <w:r w:rsidRPr="004344CF">
        <w:rPr>
          <w:rFonts w:ascii="Arial" w:eastAsia="Malgun Gothic" w:hAnsi="Arial" w:cs="Arial"/>
          <w:i/>
          <w:sz w:val="16"/>
          <w:szCs w:val="16"/>
          <w:lang w:eastAsia="ja-JP"/>
        </w:rPr>
        <w:t>engthSymbols</w:t>
      </w:r>
      <w:r w:rsidRPr="004344CF">
        <w:rPr>
          <w:rFonts w:ascii="Arial" w:eastAsia="Malgun Gothic" w:hAnsi="Arial" w:cs="Arial"/>
          <w:sz w:val="16"/>
          <w:szCs w:val="16"/>
          <w:lang w:eastAsia="ja-JP"/>
        </w:rPr>
        <w:t xml:space="preserve">, where </w:t>
      </w:r>
      <w:r w:rsidRPr="004344CF">
        <w:rPr>
          <w:rFonts w:ascii="Arial" w:eastAsia="Malgun Gothic" w:hAnsi="Arial" w:cs="Arial"/>
          <w:i/>
          <w:sz w:val="16"/>
          <w:szCs w:val="16"/>
          <w:lang w:eastAsia="ja-JP"/>
        </w:rPr>
        <w:t>sl-StartSymbol</w:t>
      </w:r>
      <w:r w:rsidRPr="004344CF">
        <w:rPr>
          <w:rFonts w:ascii="Arial" w:eastAsia="Malgun Gothic" w:hAnsi="Arial" w:cs="Arial"/>
          <w:sz w:val="16"/>
          <w:szCs w:val="16"/>
          <w:lang w:eastAsia="ja-JP"/>
        </w:rPr>
        <w:t xml:space="preserve"> is the symbol index of the first symbol of </w:t>
      </w:r>
      <w:r w:rsidRPr="004344CF">
        <w:rPr>
          <w:rFonts w:ascii="Arial" w:eastAsia="Malgun Gothic" w:hAnsi="Arial" w:cs="Arial"/>
          <w:i/>
          <w:iCs/>
          <w:sz w:val="16"/>
          <w:szCs w:val="16"/>
          <w:lang w:eastAsia="ja-JP"/>
        </w:rPr>
        <w:t>sl-L</w:t>
      </w:r>
      <w:r w:rsidRPr="004344CF">
        <w:rPr>
          <w:rFonts w:ascii="Arial" w:eastAsia="Malgun Gothic" w:hAnsi="Arial" w:cs="Arial"/>
          <w:i/>
          <w:sz w:val="16"/>
          <w:szCs w:val="16"/>
          <w:lang w:eastAsia="ja-JP"/>
        </w:rPr>
        <w:t xml:space="preserve">engthSymbols </w:t>
      </w:r>
      <w:r w:rsidRPr="004344CF">
        <w:rPr>
          <w:rFonts w:ascii="Arial" w:eastAsia="Malgun Gothic" w:hAnsi="Arial" w:cs="Arial"/>
          <w:sz w:val="16"/>
          <w:szCs w:val="16"/>
          <w:lang w:eastAsia="ja-JP"/>
        </w:rPr>
        <w:t>consecutive symbols configured for sidelink.</w:t>
      </w:r>
    </w:p>
    <w:p w14:paraId="3098ACFC" w14:textId="77777777" w:rsidR="004344CF" w:rsidRPr="004344CF" w:rsidRDefault="004344CF" w:rsidP="004344CF">
      <w:pPr>
        <w:ind w:left="568" w:hanging="284"/>
        <w:rPr>
          <w:rFonts w:ascii="Arial" w:eastAsia="MS Mincho" w:hAnsi="Arial" w:cs="Arial"/>
          <w:color w:val="FF0000"/>
          <w:sz w:val="16"/>
          <w:szCs w:val="16"/>
          <w:lang w:eastAsia="zh-CN"/>
        </w:rPr>
      </w:pPr>
      <w:r w:rsidRPr="004344CF">
        <w:rPr>
          <w:rFonts w:ascii="Arial" w:eastAsia="Malgun Gothic" w:hAnsi="Arial" w:cs="Arial"/>
          <w:sz w:val="16"/>
          <w:szCs w:val="16"/>
          <w:lang w:eastAsia="ko-KR"/>
        </w:rPr>
        <w:t>-</w:t>
      </w:r>
      <w:r w:rsidRPr="004344CF">
        <w:rPr>
          <w:rFonts w:ascii="Arial" w:eastAsia="Malgun Gothic" w:hAnsi="Arial" w:cs="Arial"/>
          <w:sz w:val="16"/>
          <w:szCs w:val="16"/>
          <w:lang w:eastAsia="ko-KR"/>
        </w:rPr>
        <w:tab/>
        <w:t xml:space="preserve">Within the slot, PSSCH resource allocation starts at symbol </w:t>
      </w:r>
      <w:r w:rsidRPr="004344CF">
        <w:rPr>
          <w:rFonts w:ascii="Arial" w:eastAsia="Malgun Gothic" w:hAnsi="Arial" w:cs="Arial"/>
          <w:i/>
          <w:sz w:val="16"/>
          <w:szCs w:val="16"/>
          <w:lang w:eastAsia="ja-JP"/>
        </w:rPr>
        <w:t xml:space="preserve">sl-StartSymbol+1, </w:t>
      </w:r>
      <w:r w:rsidRPr="004344CF">
        <w:rPr>
          <w:rFonts w:ascii="Arial" w:eastAsia="Malgun Gothic" w:hAnsi="Arial" w:cs="Arial"/>
          <w:sz w:val="16"/>
          <w:szCs w:val="16"/>
          <w:lang w:eastAsia="ja-JP"/>
        </w:rPr>
        <w:t>except wh</w:t>
      </w:r>
      <w:r w:rsidRPr="004344CF">
        <w:rPr>
          <w:rFonts w:ascii="Arial" w:eastAsia="Malgun Gothic" w:hAnsi="Arial" w:cs="Arial"/>
          <w:iCs/>
          <w:sz w:val="16"/>
          <w:szCs w:val="16"/>
          <w:lang w:eastAsia="ja-JP"/>
        </w:rPr>
        <w:t xml:space="preserve">en </w:t>
      </w:r>
      <w:r w:rsidRPr="004344CF">
        <w:rPr>
          <w:rFonts w:ascii="Arial" w:hAnsi="Arial" w:cs="Arial"/>
          <w:i/>
          <w:iCs/>
          <w:sz w:val="16"/>
          <w:szCs w:val="16"/>
          <w:lang w:eastAsia="ko-KR"/>
        </w:rPr>
        <w:t xml:space="preserve">startingSymbolFirst </w:t>
      </w:r>
      <w:r w:rsidRPr="004344CF">
        <w:rPr>
          <w:rFonts w:ascii="Arial" w:hAnsi="Arial" w:cs="Arial"/>
          <w:sz w:val="16"/>
          <w:szCs w:val="16"/>
          <w:lang w:eastAsia="ko-KR"/>
        </w:rPr>
        <w:t xml:space="preserve">and </w:t>
      </w:r>
      <w:r w:rsidRPr="004344CF">
        <w:rPr>
          <w:rFonts w:ascii="Arial" w:hAnsi="Arial" w:cs="Arial"/>
          <w:i/>
          <w:iCs/>
          <w:sz w:val="16"/>
          <w:szCs w:val="16"/>
          <w:lang w:eastAsia="ko-KR"/>
        </w:rPr>
        <w:t>startingSymbolSecond</w:t>
      </w:r>
      <w:r w:rsidRPr="004344CF">
        <w:rPr>
          <w:rFonts w:ascii="Arial" w:hAnsi="Arial" w:cs="Arial"/>
          <w:sz w:val="16"/>
          <w:szCs w:val="16"/>
          <w:lang w:eastAsia="ko-KR"/>
        </w:rPr>
        <w:t xml:space="preserve"> are provided for a SL-BWP</w:t>
      </w:r>
      <w:r w:rsidRPr="004344CF">
        <w:rPr>
          <w:rFonts w:ascii="Arial" w:eastAsia="Malgun Gothic" w:hAnsi="Arial" w:cs="Arial"/>
          <w:i/>
          <w:sz w:val="16"/>
          <w:szCs w:val="16"/>
          <w:lang w:eastAsia="ja-JP"/>
        </w:rPr>
        <w:t>.</w:t>
      </w:r>
      <w:r w:rsidRPr="004344CF">
        <w:rPr>
          <w:rFonts w:ascii="Arial" w:eastAsia="Malgun Gothic" w:hAnsi="Arial" w:cs="Arial"/>
          <w:iCs/>
          <w:sz w:val="16"/>
          <w:szCs w:val="16"/>
          <w:lang w:eastAsia="ja-JP"/>
        </w:rPr>
        <w:t xml:space="preserve"> </w:t>
      </w:r>
      <w:r w:rsidRPr="004344CF">
        <w:rPr>
          <w:rFonts w:ascii="Arial" w:eastAsia="Malgun Gothic" w:hAnsi="Arial" w:cs="Arial"/>
          <w:sz w:val="16"/>
          <w:szCs w:val="16"/>
          <w:lang w:eastAsia="ja-JP"/>
        </w:rPr>
        <w:t xml:space="preserve">If </w:t>
      </w:r>
      <w:r w:rsidRPr="004344CF">
        <w:rPr>
          <w:rFonts w:ascii="Arial" w:hAnsi="Arial" w:cs="Arial"/>
          <w:i/>
          <w:iCs/>
          <w:sz w:val="16"/>
          <w:szCs w:val="16"/>
          <w:lang w:eastAsia="ko-KR"/>
        </w:rPr>
        <w:t xml:space="preserve">startingSymbolFirst </w:t>
      </w:r>
      <w:r w:rsidRPr="004344CF">
        <w:rPr>
          <w:rFonts w:ascii="Arial" w:hAnsi="Arial" w:cs="Arial"/>
          <w:sz w:val="16"/>
          <w:szCs w:val="16"/>
          <w:lang w:eastAsia="ko-KR"/>
        </w:rPr>
        <w:t xml:space="preserve">and </w:t>
      </w:r>
      <w:r w:rsidRPr="004344CF">
        <w:rPr>
          <w:rFonts w:ascii="Arial" w:hAnsi="Arial" w:cs="Arial"/>
          <w:i/>
          <w:iCs/>
          <w:sz w:val="16"/>
          <w:szCs w:val="16"/>
          <w:lang w:eastAsia="ko-KR"/>
        </w:rPr>
        <w:t>startingSymbolSecond</w:t>
      </w:r>
      <w:r w:rsidRPr="004344CF">
        <w:rPr>
          <w:rFonts w:ascii="Arial" w:hAnsi="Arial" w:cs="Arial"/>
          <w:sz w:val="16"/>
          <w:szCs w:val="16"/>
          <w:lang w:eastAsia="ko-KR"/>
        </w:rPr>
        <w:t xml:space="preserve"> are provided</w:t>
      </w:r>
      <w:r w:rsidRPr="004344CF">
        <w:rPr>
          <w:rFonts w:ascii="Arial" w:eastAsia="Malgun Gothic" w:hAnsi="Arial" w:cs="Arial"/>
          <w:sz w:val="16"/>
          <w:szCs w:val="16"/>
          <w:lang w:eastAsia="ja-JP"/>
        </w:rPr>
        <w:t xml:space="preserve"> for the SL-BWP, there are 2 candidate starting symbols</w:t>
      </w:r>
      <w:ins w:id="387" w:author="Author">
        <w:r w:rsidRPr="004344CF">
          <w:rPr>
            <w:rFonts w:ascii="Arial" w:eastAsia="Malgun Gothic" w:hAnsi="Arial" w:cs="Arial"/>
            <w:sz w:val="16"/>
            <w:szCs w:val="16"/>
            <w:lang w:eastAsia="ja-JP"/>
          </w:rPr>
          <w:t>,</w:t>
        </w:r>
      </w:ins>
      <w:r w:rsidRPr="004344CF">
        <w:rPr>
          <w:rFonts w:ascii="Arial" w:eastAsia="Malgun Gothic" w:hAnsi="Arial" w:cs="Arial"/>
          <w:sz w:val="16"/>
          <w:szCs w:val="16"/>
          <w:lang w:eastAsia="ja-JP"/>
        </w:rPr>
        <w:t xml:space="preserve"> </w:t>
      </w:r>
      <w:ins w:id="388" w:author="Author">
        <w:r w:rsidRPr="004344CF">
          <w:rPr>
            <w:rFonts w:ascii="Arial" w:eastAsia="Malgun Gothic" w:hAnsi="Arial" w:cs="Arial"/>
            <w:sz w:val="16"/>
            <w:szCs w:val="16"/>
            <w:lang w:eastAsia="ja-JP"/>
          </w:rPr>
          <w:t xml:space="preserve">given by </w:t>
        </w:r>
        <w:r w:rsidRPr="004344CF">
          <w:rPr>
            <w:rFonts w:ascii="Arial" w:hAnsi="Arial" w:cs="Arial"/>
            <w:i/>
            <w:iCs/>
            <w:sz w:val="16"/>
            <w:szCs w:val="16"/>
            <w:lang w:eastAsia="ko-KR"/>
          </w:rPr>
          <w:t xml:space="preserve">startingSymbolFirst </w:t>
        </w:r>
        <w:r w:rsidRPr="004344CF">
          <w:rPr>
            <w:rFonts w:ascii="Arial" w:hAnsi="Arial" w:cs="Arial"/>
            <w:sz w:val="16"/>
            <w:szCs w:val="16"/>
            <w:lang w:eastAsia="ko-KR"/>
          </w:rPr>
          <w:t xml:space="preserve">and </w:t>
        </w:r>
        <w:r w:rsidRPr="004344CF">
          <w:rPr>
            <w:rFonts w:ascii="Arial" w:hAnsi="Arial" w:cs="Arial"/>
            <w:i/>
            <w:iCs/>
            <w:sz w:val="16"/>
            <w:szCs w:val="16"/>
            <w:lang w:eastAsia="ko-KR"/>
          </w:rPr>
          <w:t>startingSymbolSecond</w:t>
        </w:r>
        <w:r w:rsidRPr="004344CF">
          <w:rPr>
            <w:rFonts w:ascii="Arial" w:hAnsi="Arial" w:cs="Arial"/>
            <w:sz w:val="16"/>
            <w:szCs w:val="16"/>
            <w:lang w:eastAsia="ko-KR"/>
          </w:rPr>
          <w:t xml:space="preserve"> respectively, </w:t>
        </w:r>
      </w:ins>
      <w:r w:rsidRPr="004344CF">
        <w:rPr>
          <w:rFonts w:ascii="Arial" w:eastAsia="Malgun Gothic" w:hAnsi="Arial" w:cs="Arial"/>
          <w:sz w:val="16"/>
          <w:szCs w:val="16"/>
          <w:lang w:eastAsia="ja-JP"/>
        </w:rPr>
        <w:t>for PSSCH transmission for slots without PSFCH symbo</w:t>
      </w:r>
      <w:r w:rsidRPr="004344CF">
        <w:rPr>
          <w:rFonts w:ascii="Arial" w:eastAsia="Malgun Gothic" w:hAnsi="Arial" w:cs="Arial"/>
          <w:color w:val="000000"/>
          <w:sz w:val="16"/>
          <w:szCs w:val="16"/>
          <w:lang w:eastAsia="ja-JP"/>
        </w:rPr>
        <w:t>ls</w:t>
      </w:r>
      <w:ins w:id="389" w:author="David mazzarese" w:date="2023-11-16T09:24:00Z">
        <w:r w:rsidRPr="004344CF">
          <w:rPr>
            <w:rFonts w:ascii="Arial" w:eastAsia="Malgun Gothic" w:hAnsi="Arial" w:cs="Arial"/>
            <w:color w:val="000000"/>
            <w:sz w:val="16"/>
            <w:szCs w:val="16"/>
            <w:lang w:eastAsia="ja-JP"/>
          </w:rPr>
          <w:t>;</w:t>
        </w:r>
      </w:ins>
      <w:ins w:id="390" w:author="David mazzarese" w:date="2023-11-16T09:23:00Z">
        <w:r w:rsidRPr="004344CF">
          <w:rPr>
            <w:rFonts w:ascii="Arial" w:eastAsia="Malgun Gothic" w:hAnsi="Arial" w:cs="Arial"/>
            <w:color w:val="000000"/>
            <w:sz w:val="16"/>
            <w:szCs w:val="16"/>
            <w:lang w:eastAsia="ja-JP"/>
          </w:rPr>
          <w:t xml:space="preserve"> and there is</w:t>
        </w:r>
      </w:ins>
      <w:ins w:id="391" w:author="Huawei - Xiang Mi" w:date="2023-11-10T12:20:00Z">
        <w:r w:rsidRPr="004344CF">
          <w:rPr>
            <w:rFonts w:ascii="Arial" w:eastAsia="Malgun Gothic" w:hAnsi="Arial" w:cs="Arial"/>
            <w:color w:val="000000"/>
            <w:sz w:val="16"/>
            <w:szCs w:val="16"/>
            <w:lang w:eastAsia="ja-JP"/>
          </w:rPr>
          <w:t xml:space="preserve"> </w:t>
        </w:r>
      </w:ins>
      <w:ins w:id="392" w:author="Author">
        <w:r w:rsidRPr="004344CF">
          <w:rPr>
            <w:rFonts w:ascii="Arial" w:eastAsia="Malgun Gothic" w:hAnsi="Arial" w:cs="Arial"/>
            <w:color w:val="000000"/>
            <w:sz w:val="16"/>
            <w:szCs w:val="16"/>
            <w:lang w:eastAsia="ja-JP"/>
          </w:rPr>
          <w:t xml:space="preserve">1 starting symbol, given by </w:t>
        </w:r>
        <w:r w:rsidRPr="004344CF">
          <w:rPr>
            <w:rFonts w:ascii="Arial" w:hAnsi="Arial" w:cs="Arial"/>
            <w:i/>
            <w:iCs/>
            <w:sz w:val="16"/>
            <w:szCs w:val="16"/>
            <w:lang w:eastAsia="ko-KR"/>
          </w:rPr>
          <w:t>startingSymbolFirst</w:t>
        </w:r>
        <w:r w:rsidRPr="004344CF">
          <w:rPr>
            <w:rFonts w:ascii="Arial" w:eastAsia="Malgun Gothic" w:hAnsi="Arial" w:cs="Arial"/>
            <w:color w:val="000000"/>
            <w:sz w:val="16"/>
            <w:szCs w:val="16"/>
            <w:lang w:eastAsia="ja-JP"/>
          </w:rPr>
          <w:t>, for PSSCH transmission for slots with PSFCH symbols</w:t>
        </w:r>
      </w:ins>
      <w:r w:rsidRPr="004344CF">
        <w:rPr>
          <w:rFonts w:ascii="Arial" w:eastAsia="Malgun Gothic" w:hAnsi="Arial" w:cs="Arial"/>
          <w:color w:val="000000"/>
          <w:sz w:val="16"/>
          <w:szCs w:val="16"/>
          <w:lang w:eastAsia="ja-JP"/>
        </w:rPr>
        <w:t>.</w:t>
      </w:r>
      <w:r w:rsidRPr="004344CF">
        <w:rPr>
          <w:rFonts w:ascii="Arial" w:eastAsia="Malgun Gothic" w:hAnsi="Arial" w:cs="Arial"/>
          <w:color w:val="000000"/>
          <w:sz w:val="16"/>
          <w:szCs w:val="16"/>
          <w:lang w:eastAsia="ko-KR"/>
        </w:rPr>
        <w:t xml:space="preserve"> PSSCH resource allocation starts at the next symbol after each candidate starting symbol.</w:t>
      </w:r>
      <w:r w:rsidRPr="004344CF">
        <w:rPr>
          <w:rFonts w:ascii="Arial" w:eastAsia="Malgun Gothic" w:hAnsi="Arial" w:cs="Arial"/>
          <w:color w:val="000000"/>
          <w:sz w:val="16"/>
          <w:szCs w:val="16"/>
          <w:lang w:eastAsia="ja-JP"/>
        </w:rPr>
        <w:t xml:space="preserve"> In a </w:t>
      </w:r>
      <w:r w:rsidRPr="004344CF">
        <w:rPr>
          <w:rFonts w:ascii="Arial" w:eastAsia="Malgun Gothic" w:hAnsi="Arial" w:cs="Arial"/>
          <w:sz w:val="16"/>
          <w:szCs w:val="16"/>
          <w:lang w:eastAsia="ja-JP"/>
        </w:rPr>
        <w:t xml:space="preserve">slot, the UE may use the second candidate starting symbol, provided by </w:t>
      </w:r>
      <w:r w:rsidRPr="004344CF">
        <w:rPr>
          <w:rFonts w:ascii="Arial" w:hAnsi="Arial" w:cs="Arial"/>
          <w:i/>
          <w:iCs/>
          <w:sz w:val="16"/>
          <w:szCs w:val="16"/>
          <w:lang w:eastAsia="ko-KR"/>
        </w:rPr>
        <w:t>startingSymbolSecond</w:t>
      </w:r>
      <w:r w:rsidRPr="004344CF">
        <w:rPr>
          <w:rFonts w:ascii="Arial" w:hAnsi="Arial" w:cs="Arial"/>
          <w:sz w:val="16"/>
          <w:szCs w:val="16"/>
          <w:lang w:eastAsia="ko-KR"/>
        </w:rPr>
        <w:t xml:space="preserve">, only if it fails to access the channel prior to the first </w:t>
      </w:r>
      <w:ins w:id="393" w:author="David mazzarese" w:date="2023-11-16T09:23:00Z">
        <w:r w:rsidRPr="004344CF">
          <w:rPr>
            <w:rFonts w:ascii="Arial" w:eastAsia="Malgun Gothic" w:hAnsi="Arial" w:cs="Arial"/>
            <w:sz w:val="16"/>
            <w:szCs w:val="16"/>
            <w:lang w:eastAsia="ja-JP"/>
          </w:rPr>
          <w:t xml:space="preserve">candidate </w:t>
        </w:r>
      </w:ins>
      <w:r w:rsidRPr="004344CF">
        <w:rPr>
          <w:rFonts w:ascii="Arial" w:hAnsi="Arial" w:cs="Arial"/>
          <w:sz w:val="16"/>
          <w:szCs w:val="16"/>
          <w:lang w:eastAsia="ko-KR"/>
        </w:rPr>
        <w:t xml:space="preserve">starting symbol provided by </w:t>
      </w:r>
      <w:r w:rsidRPr="004344CF">
        <w:rPr>
          <w:rFonts w:ascii="Arial" w:hAnsi="Arial" w:cs="Arial"/>
          <w:i/>
          <w:iCs/>
          <w:sz w:val="16"/>
          <w:szCs w:val="16"/>
          <w:lang w:eastAsia="ko-KR"/>
        </w:rPr>
        <w:t>startingSymbolFirst</w:t>
      </w:r>
      <w:r w:rsidRPr="004344CF">
        <w:rPr>
          <w:rFonts w:ascii="Arial" w:eastAsia="Malgun Gothic" w:hAnsi="Arial" w:cs="Arial"/>
          <w:i/>
          <w:sz w:val="16"/>
          <w:szCs w:val="16"/>
          <w:lang w:eastAsia="ja-JP"/>
        </w:rPr>
        <w:t>.</w:t>
      </w:r>
      <w:del w:id="394" w:author="Author">
        <w:r w:rsidRPr="004344CF">
          <w:rPr>
            <w:rFonts w:ascii="Arial" w:eastAsia="Malgun Gothic" w:hAnsi="Arial" w:cs="Arial"/>
            <w:i/>
            <w:sz w:val="16"/>
            <w:szCs w:val="16"/>
            <w:lang w:eastAsia="ja-JP"/>
          </w:rPr>
          <w:delText xml:space="preserve"> </w:delText>
        </w:r>
        <w:r w:rsidRPr="004344CF">
          <w:rPr>
            <w:rFonts w:ascii="Arial" w:eastAsia="Malgun Gothic" w:hAnsi="Arial" w:cs="Arial"/>
            <w:iCs/>
            <w:sz w:val="16"/>
            <w:szCs w:val="16"/>
            <w:lang w:eastAsia="ja-JP"/>
          </w:rPr>
          <w:delText>The UE shall not use the second starting symbol in slots with PSFCH symbols.</w:delText>
        </w:r>
      </w:del>
      <w:r w:rsidRPr="004344CF">
        <w:rPr>
          <w:rFonts w:ascii="Arial" w:eastAsia="Malgun Gothic" w:hAnsi="Arial" w:cs="Arial"/>
          <w:iCs/>
          <w:sz w:val="16"/>
          <w:szCs w:val="16"/>
          <w:lang w:eastAsia="ja-JP"/>
        </w:rPr>
        <w:t xml:space="preserve">  </w:t>
      </w:r>
    </w:p>
    <w:p w14:paraId="6C310A79" w14:textId="77777777" w:rsidR="004344CF" w:rsidRPr="004344CF" w:rsidRDefault="004344CF" w:rsidP="004344CF">
      <w:pPr>
        <w:jc w:val="center"/>
        <w:rPr>
          <w:rFonts w:ascii="Arial" w:hAnsi="Arial" w:cs="Arial"/>
          <w:color w:val="FF0000"/>
          <w:sz w:val="16"/>
          <w:szCs w:val="16"/>
          <w:lang w:eastAsia="zh-CN"/>
        </w:rPr>
      </w:pPr>
      <w:r w:rsidRPr="004344CF">
        <w:rPr>
          <w:rFonts w:ascii="Arial" w:eastAsia="MS Mincho" w:hAnsi="Arial" w:cs="Arial"/>
          <w:color w:val="FF0000"/>
          <w:sz w:val="16"/>
          <w:szCs w:val="16"/>
          <w:lang w:eastAsia="zh-CN"/>
        </w:rPr>
        <w:t>&lt; Unchanged parts are omitted &gt;</w:t>
      </w:r>
    </w:p>
    <w:p w14:paraId="306BB660" w14:textId="77777777" w:rsidR="004344CF" w:rsidRPr="004344CF" w:rsidRDefault="004344CF" w:rsidP="004344CF">
      <w:pPr>
        <w:suppressAutoHyphens/>
        <w:snapToGrid w:val="0"/>
        <w:jc w:val="both"/>
        <w:rPr>
          <w:rFonts w:ascii="Times New Roman" w:eastAsia="Times New Roman" w:hAnsi="Times New Roman"/>
          <w:color w:val="FF0000"/>
          <w:szCs w:val="20"/>
          <w:lang w:eastAsia="zh-CN"/>
        </w:rPr>
      </w:pPr>
      <w:r w:rsidRPr="004344CF">
        <w:rPr>
          <w:rFonts w:ascii="Times New Roman" w:eastAsia="Times New Roman" w:hAnsi="Times New Roman"/>
          <w:color w:val="FF0000"/>
          <w:szCs w:val="20"/>
          <w:lang w:eastAsia="zh-CN"/>
        </w:rPr>
        <w:t>--------------------------------------- End of Text Proposal ----------------------------------</w:t>
      </w:r>
    </w:p>
    <w:p w14:paraId="4F419A0E" w14:textId="77777777" w:rsidR="004344CF" w:rsidRPr="004344CF" w:rsidRDefault="004344CF" w:rsidP="004344CF">
      <w:pPr>
        <w:rPr>
          <w:lang w:eastAsia="x-none"/>
        </w:rPr>
      </w:pPr>
    </w:p>
    <w:p w14:paraId="22BFDCFC" w14:textId="77777777" w:rsidR="004344CF" w:rsidRPr="004344CF" w:rsidRDefault="004344CF" w:rsidP="004344CF">
      <w:pPr>
        <w:rPr>
          <w:bCs/>
          <w:szCs w:val="20"/>
          <w:lang w:eastAsia="zh-CN"/>
        </w:rPr>
      </w:pPr>
      <w:r w:rsidRPr="004344CF">
        <w:rPr>
          <w:bCs/>
          <w:szCs w:val="20"/>
          <w:highlight w:val="green"/>
          <w:lang w:eastAsia="zh-CN"/>
        </w:rPr>
        <w:t>Agreement</w:t>
      </w:r>
    </w:p>
    <w:p w14:paraId="358D777B" w14:textId="1A553C28" w:rsidR="004344CF" w:rsidRPr="004344CF" w:rsidRDefault="004344CF" w:rsidP="004344CF">
      <w:pPr>
        <w:tabs>
          <w:tab w:val="left" w:pos="0"/>
        </w:tabs>
        <w:rPr>
          <w:bCs/>
          <w:szCs w:val="20"/>
        </w:rPr>
      </w:pPr>
      <w:r w:rsidRPr="004344CF">
        <w:rPr>
          <w:bCs/>
          <w:szCs w:val="20"/>
        </w:rPr>
        <w:t xml:space="preserve">TP#3-1 in Section 4.1.3 of </w:t>
      </w:r>
      <w:hyperlink r:id="rId1030" w:history="1">
        <w:r w:rsidR="00AF7253">
          <w:rPr>
            <w:rStyle w:val="Hyperlink"/>
            <w:bCs/>
            <w:szCs w:val="20"/>
          </w:rPr>
          <w:t>R1-2312328</w:t>
        </w:r>
      </w:hyperlink>
      <w:r w:rsidRPr="004344CF">
        <w:rPr>
          <w:bCs/>
          <w:szCs w:val="20"/>
        </w:rPr>
        <w:t xml:space="preserve"> is endorsed for TS 38.214 Clause 8.</w:t>
      </w:r>
    </w:p>
    <w:p w14:paraId="55712189" w14:textId="77777777" w:rsidR="004344CF" w:rsidRDefault="004344CF" w:rsidP="000237CF">
      <w:pPr>
        <w:rPr>
          <w:lang w:eastAsia="x-none"/>
        </w:rPr>
      </w:pPr>
    </w:p>
    <w:p w14:paraId="24C9191F" w14:textId="77777777" w:rsidR="004344CF" w:rsidRPr="009537ED" w:rsidRDefault="004344CF" w:rsidP="000237CF">
      <w:pPr>
        <w:rPr>
          <w:lang w:eastAsia="x-none"/>
        </w:rPr>
      </w:pPr>
    </w:p>
    <w:p w14:paraId="407ED205" w14:textId="03A6E176" w:rsidR="007E2194" w:rsidRPr="00693A15" w:rsidRDefault="005A18DC" w:rsidP="007E2194">
      <w:pPr>
        <w:rPr>
          <w:b/>
          <w:bCs/>
          <w:lang w:eastAsia="x-none"/>
        </w:rPr>
      </w:pPr>
      <w:hyperlink r:id="rId1031" w:history="1">
        <w:r w:rsidR="00AF7253">
          <w:rPr>
            <w:rStyle w:val="Hyperlink"/>
            <w:b/>
            <w:bCs/>
            <w:lang w:eastAsia="x-none"/>
          </w:rPr>
          <w:t>R1-2312531</w:t>
        </w:r>
      </w:hyperlink>
      <w:r w:rsidR="007E2194" w:rsidRPr="00693A15">
        <w:rPr>
          <w:b/>
          <w:bCs/>
          <w:lang w:eastAsia="x-none"/>
        </w:rPr>
        <w:tab/>
        <w:t>FL summary#6 for AI 8.2.1.2 SL-U physical channel design framework</w:t>
      </w:r>
      <w:r w:rsidR="007E2194" w:rsidRPr="00693A15">
        <w:rPr>
          <w:b/>
          <w:bCs/>
          <w:lang w:eastAsia="x-none"/>
        </w:rPr>
        <w:tab/>
        <w:t>Moderator (Huawei)</w:t>
      </w:r>
    </w:p>
    <w:p w14:paraId="51920445" w14:textId="1549EBDB" w:rsidR="00693A15" w:rsidRDefault="00693A15" w:rsidP="007E2194">
      <w:pPr>
        <w:rPr>
          <w:lang w:eastAsia="x-none"/>
        </w:rPr>
      </w:pPr>
      <w:r>
        <w:rPr>
          <w:lang w:eastAsia="x-none"/>
        </w:rPr>
        <w:t>From Friday session</w:t>
      </w:r>
    </w:p>
    <w:p w14:paraId="19E21A0A" w14:textId="77777777" w:rsidR="00693A15" w:rsidRPr="00693A15" w:rsidRDefault="00693A15" w:rsidP="00693A15">
      <w:pPr>
        <w:rPr>
          <w:bCs/>
          <w:szCs w:val="20"/>
          <w:u w:val="single"/>
          <w:lang w:eastAsia="zh-CN"/>
        </w:rPr>
      </w:pPr>
      <w:r w:rsidRPr="00693A15">
        <w:rPr>
          <w:bCs/>
          <w:szCs w:val="20"/>
          <w:u w:val="single"/>
          <w:lang w:eastAsia="zh-CN"/>
        </w:rPr>
        <w:t>Conclusion</w:t>
      </w:r>
    </w:p>
    <w:p w14:paraId="120DADF4" w14:textId="77777777" w:rsidR="00693A15" w:rsidRPr="00693A15" w:rsidRDefault="00693A15" w:rsidP="00693A15">
      <w:pPr>
        <w:rPr>
          <w:rFonts w:eastAsia="PMingLiU"/>
          <w:szCs w:val="20"/>
        </w:rPr>
      </w:pPr>
      <w:r w:rsidRPr="00693A15">
        <w:rPr>
          <w:rFonts w:eastAsia="PMingLiU"/>
          <w:szCs w:val="20"/>
        </w:rPr>
        <w:t xml:space="preserve">RAN1 does not pursue specific enhancements to </w:t>
      </w:r>
      <w:r w:rsidRPr="00693A15">
        <w:rPr>
          <w:bCs/>
          <w:szCs w:val="20"/>
        </w:rPr>
        <w:t>avoid COT interruption due to PSFCH occasion(s) in R18 NR SL.</w:t>
      </w:r>
    </w:p>
    <w:p w14:paraId="31D72596" w14:textId="77777777" w:rsidR="00693A15" w:rsidRPr="00693A15" w:rsidRDefault="00693A15" w:rsidP="00693A15">
      <w:pPr>
        <w:tabs>
          <w:tab w:val="left" w:pos="0"/>
        </w:tabs>
        <w:rPr>
          <w:bCs/>
          <w:szCs w:val="20"/>
        </w:rPr>
      </w:pPr>
    </w:p>
    <w:p w14:paraId="25C9AAF5" w14:textId="77777777" w:rsidR="00693A15" w:rsidRPr="00693A15" w:rsidRDefault="00693A15" w:rsidP="00693A15">
      <w:pPr>
        <w:rPr>
          <w:bCs/>
          <w:szCs w:val="20"/>
          <w:u w:val="single"/>
          <w:lang w:eastAsia="zh-CN"/>
        </w:rPr>
      </w:pPr>
      <w:r w:rsidRPr="00693A15">
        <w:rPr>
          <w:bCs/>
          <w:szCs w:val="20"/>
          <w:u w:val="single"/>
          <w:lang w:eastAsia="zh-CN"/>
        </w:rPr>
        <w:t>Conclusion</w:t>
      </w:r>
    </w:p>
    <w:p w14:paraId="44B04D13" w14:textId="77777777" w:rsidR="00693A15" w:rsidRPr="00693A15" w:rsidRDefault="00693A15" w:rsidP="00693A15">
      <w:pPr>
        <w:tabs>
          <w:tab w:val="left" w:pos="0"/>
        </w:tabs>
        <w:rPr>
          <w:rFonts w:ascii="Times New Roman" w:eastAsia="Microsoft YaHei" w:hAnsi="Times New Roman"/>
          <w:bCs/>
          <w:szCs w:val="20"/>
          <w:lang w:eastAsia="zh-CN"/>
        </w:rPr>
      </w:pPr>
      <w:r w:rsidRPr="00693A15">
        <w:rPr>
          <w:rFonts w:ascii="Times New Roman" w:eastAsia="Microsoft YaHei" w:hAnsi="Times New Roman"/>
          <w:bCs/>
          <w:szCs w:val="20"/>
          <w:lang w:eastAsia="zh-CN"/>
        </w:rPr>
        <w:t>Regarding “</w:t>
      </w:r>
      <w:r w:rsidRPr="00693A15">
        <w:rPr>
          <w:rFonts w:ascii="Times New Roman" w:eastAsia="Microsoft YaHei" w:hAnsi="Times New Roman"/>
          <w:bCs/>
          <w:i/>
          <w:szCs w:val="20"/>
          <w:lang w:eastAsia="zh-CN"/>
        </w:rPr>
        <w:t>UE may transmit S-SSB repetition in more than one RB set</w:t>
      </w:r>
      <w:r w:rsidRPr="00693A15">
        <w:rPr>
          <w:rFonts w:ascii="Times New Roman" w:eastAsia="Microsoft YaHei" w:hAnsi="Times New Roman"/>
          <w:bCs/>
          <w:szCs w:val="20"/>
          <w:lang w:eastAsia="zh-CN"/>
        </w:rPr>
        <w:t>”, no optimization in Rel-18 for reducing PAPR.</w:t>
      </w:r>
    </w:p>
    <w:p w14:paraId="3A89A419" w14:textId="77777777" w:rsidR="00693A15" w:rsidRPr="00693A15" w:rsidRDefault="00693A15" w:rsidP="00693A15">
      <w:pPr>
        <w:rPr>
          <w:szCs w:val="20"/>
          <w:lang w:eastAsia="x-none"/>
        </w:rPr>
      </w:pPr>
    </w:p>
    <w:p w14:paraId="4D6936E3" w14:textId="77777777" w:rsidR="00693A15" w:rsidRPr="00693A15" w:rsidRDefault="00693A15" w:rsidP="00693A15">
      <w:pPr>
        <w:rPr>
          <w:szCs w:val="20"/>
          <w:lang w:eastAsia="zh-CN"/>
        </w:rPr>
      </w:pPr>
      <w:r w:rsidRPr="00693A15">
        <w:rPr>
          <w:szCs w:val="20"/>
          <w:highlight w:val="green"/>
          <w:lang w:eastAsia="zh-CN"/>
        </w:rPr>
        <w:t>Agreement</w:t>
      </w:r>
    </w:p>
    <w:p w14:paraId="586B7A34" w14:textId="77777777" w:rsidR="00693A15" w:rsidRPr="00693A15" w:rsidRDefault="00693A15" w:rsidP="00693A15">
      <w:pPr>
        <w:tabs>
          <w:tab w:val="left" w:pos="0"/>
        </w:tabs>
        <w:rPr>
          <w:szCs w:val="20"/>
          <w:lang w:eastAsia="zh-CN"/>
        </w:rPr>
      </w:pPr>
      <w:r w:rsidRPr="00693A15">
        <w:rPr>
          <w:bCs/>
          <w:szCs w:val="20"/>
        </w:rPr>
        <w:t xml:space="preserve">When interlace RB based PSCCH/PSSCH transmission is used, </w:t>
      </w:r>
      <w:r w:rsidRPr="00693A15">
        <w:rPr>
          <w:szCs w:val="20"/>
          <w:lang w:eastAsia="zh-CN"/>
        </w:rPr>
        <w:t xml:space="preserve">R17 SL inter-UE coordination Scheme 1 (preferred/non-preferred resources) </w:t>
      </w:r>
      <w:r w:rsidRPr="00693A15">
        <w:rPr>
          <w:szCs w:val="20"/>
          <w:u w:val="single"/>
          <w:lang w:eastAsia="zh-CN"/>
        </w:rPr>
        <w:t>is supported</w:t>
      </w:r>
    </w:p>
    <w:p w14:paraId="2E3C11A1" w14:textId="77777777" w:rsidR="00693A15" w:rsidRPr="00693A15" w:rsidRDefault="00693A15" w:rsidP="00AA1D48">
      <w:pPr>
        <w:numPr>
          <w:ilvl w:val="0"/>
          <w:numId w:val="145"/>
        </w:numPr>
        <w:rPr>
          <w:szCs w:val="20"/>
          <w:lang w:eastAsia="zh-CN"/>
        </w:rPr>
      </w:pPr>
      <w:r w:rsidRPr="00693A15">
        <w:rPr>
          <w:szCs w:val="20"/>
          <w:lang w:eastAsia="zh-CN"/>
        </w:rPr>
        <w:t>SCI format 2C is updated to include RB set related information</w:t>
      </w:r>
    </w:p>
    <w:p w14:paraId="517D272D" w14:textId="77777777" w:rsidR="00693A15" w:rsidRPr="00693A15" w:rsidRDefault="00693A15" w:rsidP="00693A15">
      <w:pPr>
        <w:tabs>
          <w:tab w:val="left" w:pos="0"/>
        </w:tabs>
        <w:rPr>
          <w:bCs/>
          <w:szCs w:val="20"/>
        </w:rPr>
      </w:pPr>
    </w:p>
    <w:p w14:paraId="4954D372" w14:textId="77777777" w:rsidR="00693A15" w:rsidRPr="00693A15" w:rsidRDefault="00693A15" w:rsidP="00693A15">
      <w:pPr>
        <w:rPr>
          <w:bCs/>
          <w:szCs w:val="20"/>
          <w:u w:val="single"/>
          <w:lang w:eastAsia="zh-CN"/>
        </w:rPr>
      </w:pPr>
      <w:r w:rsidRPr="00693A15">
        <w:rPr>
          <w:bCs/>
          <w:szCs w:val="20"/>
          <w:u w:val="single"/>
          <w:lang w:eastAsia="zh-CN"/>
        </w:rPr>
        <w:t>Conclusion</w:t>
      </w:r>
    </w:p>
    <w:p w14:paraId="56409E0B" w14:textId="77777777" w:rsidR="00693A15" w:rsidRPr="00693A15" w:rsidRDefault="00693A15" w:rsidP="00693A15">
      <w:pPr>
        <w:tabs>
          <w:tab w:val="left" w:pos="0"/>
        </w:tabs>
        <w:rPr>
          <w:bCs/>
          <w:szCs w:val="20"/>
        </w:rPr>
      </w:pPr>
      <w:r w:rsidRPr="00693A15">
        <w:rPr>
          <w:rFonts w:ascii="Times New Roman" w:hAnsi="Times New Roman"/>
          <w:bCs/>
          <w:szCs w:val="20"/>
        </w:rPr>
        <w:t>Considering PSD limit in unlicensed spectrum regulation, a UE meets the PSD limits by UE implementation, e.g. by scaling down the power of SL transmissions or dropping some of the PSFCH transmissions, etc.</w:t>
      </w:r>
    </w:p>
    <w:p w14:paraId="07FBFFD7" w14:textId="77777777" w:rsidR="00693A15" w:rsidRPr="00693A15" w:rsidRDefault="00693A15" w:rsidP="00693A15">
      <w:pPr>
        <w:rPr>
          <w:lang w:eastAsia="x-none"/>
        </w:rPr>
      </w:pPr>
    </w:p>
    <w:p w14:paraId="69928789" w14:textId="77777777" w:rsidR="00693A15" w:rsidRPr="00693A15" w:rsidRDefault="00693A15" w:rsidP="00693A15">
      <w:pPr>
        <w:rPr>
          <w:szCs w:val="20"/>
          <w:lang w:eastAsia="zh-CN"/>
        </w:rPr>
      </w:pPr>
      <w:r w:rsidRPr="00693A15">
        <w:rPr>
          <w:szCs w:val="20"/>
          <w:highlight w:val="green"/>
          <w:lang w:eastAsia="zh-CN"/>
        </w:rPr>
        <w:t>Agreement</w:t>
      </w:r>
    </w:p>
    <w:p w14:paraId="356687F5" w14:textId="77777777" w:rsidR="00693A15" w:rsidRPr="00693A15" w:rsidRDefault="00693A15" w:rsidP="00693A15">
      <w:pPr>
        <w:tabs>
          <w:tab w:val="left" w:pos="0"/>
        </w:tabs>
        <w:rPr>
          <w:bCs/>
          <w:szCs w:val="20"/>
        </w:rPr>
      </w:pPr>
      <w:r w:rsidRPr="00693A15">
        <w:rPr>
          <w:bCs/>
          <w:szCs w:val="20"/>
        </w:rPr>
        <w:t>For TS 38.213 Clause 16.2.0, adopt the following TP:</w:t>
      </w:r>
    </w:p>
    <w:p w14:paraId="397A9F24" w14:textId="7E0E9DD7" w:rsidR="00693A15" w:rsidRPr="00693A15" w:rsidRDefault="00693A15" w:rsidP="00AA1D48">
      <w:pPr>
        <w:numPr>
          <w:ilvl w:val="0"/>
          <w:numId w:val="146"/>
        </w:numPr>
        <w:suppressAutoHyphens/>
        <w:snapToGrid w:val="0"/>
        <w:jc w:val="both"/>
        <w:rPr>
          <w:szCs w:val="20"/>
          <w:lang w:eastAsia="zh-CN"/>
        </w:rPr>
      </w:pPr>
      <w:r w:rsidRPr="00693A15">
        <w:rPr>
          <w:szCs w:val="20"/>
          <w:lang w:eastAsia="zh-CN"/>
        </w:rPr>
        <w:t xml:space="preserve">“…, </w:t>
      </w:r>
      <w:r w:rsidRPr="00693A15">
        <w:rPr>
          <w:szCs w:val="20"/>
          <w:lang w:eastAsia="x-none"/>
        </w:rPr>
        <w:t xml:space="preserve">the UE equally allocates power </w:t>
      </w:r>
      <m:oMath>
        <m:sSub>
          <m:sSubPr>
            <m:ctrlPr>
              <w:rPr>
                <w:rFonts w:ascii="Cambria Math" w:hAnsi="Cambria Math"/>
                <w:szCs w:val="20"/>
              </w:rPr>
            </m:ctrlPr>
          </m:sSubPr>
          <m:e>
            <m:r>
              <w:rPr>
                <w:rFonts w:ascii="Cambria Math" w:hAnsi="Cambria Math"/>
                <w:szCs w:val="20"/>
              </w:rPr>
              <m:t>P'</m:t>
            </m:r>
          </m:e>
          <m:sub>
            <m:r>
              <m:rPr>
                <m:nor/>
              </m:rPr>
              <w:rPr>
                <w:szCs w:val="20"/>
              </w:rPr>
              <m:t>S-SSB</m:t>
            </m:r>
          </m:sub>
        </m:sSub>
        <m:r>
          <m:rPr>
            <m:sty m:val="p"/>
          </m:rPr>
          <w:rPr>
            <w:rFonts w:ascii="Cambria Math" w:hAnsi="Cambria Math"/>
            <w:szCs w:val="20"/>
          </w:rPr>
          <m:t>(</m:t>
        </m:r>
        <m:r>
          <w:rPr>
            <w:rFonts w:ascii="Cambria Math" w:hAnsi="Cambria Math"/>
            <w:szCs w:val="20"/>
          </w:rPr>
          <m:t>i</m:t>
        </m:r>
        <m:r>
          <m:rPr>
            <m:sty m:val="p"/>
          </m:rPr>
          <w:rPr>
            <w:rFonts w:ascii="Cambria Math" w:hAnsi="Cambria Math"/>
            <w:szCs w:val="20"/>
          </w:rPr>
          <m:t>)</m:t>
        </m:r>
      </m:oMath>
      <w:r w:rsidRPr="00693A15">
        <w:rPr>
          <w:szCs w:val="20"/>
          <w:lang w:eastAsia="x-none"/>
        </w:rPr>
        <w:t xml:space="preserve"> remaining from </w:t>
      </w:r>
      <m:oMath>
        <m:sSub>
          <m:sSubPr>
            <m:ctrlPr>
              <w:rPr>
                <w:rFonts w:ascii="Cambria Math" w:hAnsi="Cambria Math"/>
                <w:szCs w:val="20"/>
              </w:rPr>
            </m:ctrlPr>
          </m:sSubPr>
          <m:e>
            <m:r>
              <w:rPr>
                <w:rFonts w:ascii="Cambria Math" w:hAnsi="Cambria Math"/>
                <w:szCs w:val="20"/>
              </w:rPr>
              <m:t>P</m:t>
            </m:r>
          </m:e>
          <m:sub>
            <m:r>
              <m:rPr>
                <m:nor/>
              </m:rPr>
              <w:rPr>
                <w:szCs w:val="20"/>
              </w:rPr>
              <m:t>CMAX</m:t>
            </m:r>
          </m:sub>
        </m:sSub>
      </m:oMath>
      <w:r w:rsidRPr="00693A15">
        <w:rPr>
          <w:szCs w:val="20"/>
          <w:lang w:eastAsia="x-none"/>
        </w:rPr>
        <w:t xml:space="preserve">, if any, for transmission of each S-SS/PSBCH block in </w:t>
      </w:r>
      <w:r w:rsidRPr="00693A15">
        <w:rPr>
          <w:color w:val="FF0000"/>
          <w:szCs w:val="20"/>
          <w:lang w:eastAsia="x-none"/>
        </w:rPr>
        <w:t xml:space="preserve">all </w:t>
      </w:r>
      <w:r w:rsidRPr="00693A15">
        <w:rPr>
          <w:szCs w:val="20"/>
          <w:lang w:eastAsia="x-none"/>
        </w:rPr>
        <w:t xml:space="preserve">non-anchor RB-sets </w:t>
      </w:r>
      <w:r w:rsidRPr="00693A15">
        <w:rPr>
          <w:color w:val="FF0000"/>
          <w:szCs w:val="20"/>
          <w:lang w:eastAsia="x-none"/>
        </w:rPr>
        <w:t>within</w:t>
      </w:r>
      <w:r w:rsidRPr="00693A15">
        <w:rPr>
          <w:color w:val="FF0000"/>
          <w:szCs w:val="20"/>
          <w:lang w:eastAsia="zh-CN"/>
        </w:rPr>
        <w:t xml:space="preserve"> the SL BWP</w:t>
      </w:r>
      <w:r w:rsidRPr="00693A15">
        <w:rPr>
          <w:szCs w:val="20"/>
          <w:lang w:eastAsia="zh-CN"/>
        </w:rPr>
        <w:t>”</w:t>
      </w:r>
    </w:p>
    <w:p w14:paraId="3037F974" w14:textId="77777777" w:rsidR="00693A15" w:rsidRPr="00693A15" w:rsidRDefault="00693A15" w:rsidP="00693A15">
      <w:pPr>
        <w:rPr>
          <w:szCs w:val="20"/>
          <w:lang w:eastAsia="zh-CN"/>
        </w:rPr>
      </w:pPr>
    </w:p>
    <w:tbl>
      <w:tblPr>
        <w:tblW w:w="5000" w:type="pct"/>
        <w:tblCellMar>
          <w:left w:w="42" w:type="dxa"/>
          <w:right w:w="42" w:type="dxa"/>
        </w:tblCellMar>
        <w:tblLook w:val="04A0" w:firstRow="1" w:lastRow="0" w:firstColumn="1" w:lastColumn="0" w:noHBand="0" w:noVBand="1"/>
      </w:tblPr>
      <w:tblGrid>
        <w:gridCol w:w="2804"/>
        <w:gridCol w:w="7747"/>
      </w:tblGrid>
      <w:tr w:rsidR="00693A15" w:rsidRPr="00693A15" w14:paraId="2CC67647" w14:textId="77777777" w:rsidTr="00273113">
        <w:tc>
          <w:tcPr>
            <w:tcW w:w="1329" w:type="pct"/>
            <w:tcBorders>
              <w:top w:val="single" w:sz="4" w:space="0" w:color="auto"/>
              <w:left w:val="single" w:sz="4" w:space="0" w:color="auto"/>
            </w:tcBorders>
          </w:tcPr>
          <w:p w14:paraId="6E6994A7" w14:textId="77777777" w:rsidR="00693A15" w:rsidRPr="00693A15" w:rsidRDefault="00693A15" w:rsidP="00693A15">
            <w:pPr>
              <w:tabs>
                <w:tab w:val="right" w:pos="2184"/>
              </w:tabs>
              <w:rPr>
                <w:rFonts w:ascii="Arial" w:hAnsi="Arial" w:cs="Arial"/>
                <w:b/>
                <w:i/>
                <w:sz w:val="16"/>
                <w:szCs w:val="16"/>
              </w:rPr>
            </w:pPr>
            <w:r w:rsidRPr="00693A15">
              <w:rPr>
                <w:rFonts w:ascii="Arial" w:hAnsi="Arial" w:cs="Arial"/>
                <w:b/>
                <w:i/>
                <w:sz w:val="16"/>
                <w:szCs w:val="16"/>
              </w:rPr>
              <w:t>Reason for change:</w:t>
            </w:r>
          </w:p>
        </w:tc>
        <w:tc>
          <w:tcPr>
            <w:tcW w:w="3671" w:type="pct"/>
            <w:tcBorders>
              <w:top w:val="single" w:sz="4" w:space="0" w:color="auto"/>
              <w:right w:val="single" w:sz="4" w:space="0" w:color="auto"/>
            </w:tcBorders>
            <w:shd w:val="pct30" w:color="FFFF00" w:fill="auto"/>
          </w:tcPr>
          <w:p w14:paraId="6378CFBD" w14:textId="2306AFD2" w:rsidR="00693A15" w:rsidRPr="00693A15" w:rsidRDefault="00693A15" w:rsidP="00693A15">
            <w:pPr>
              <w:rPr>
                <w:rFonts w:ascii="Arial" w:eastAsia="Microsoft YaHei" w:hAnsi="Arial" w:cs="Arial"/>
                <w:sz w:val="16"/>
                <w:szCs w:val="16"/>
                <w:lang w:eastAsia="zh-CN"/>
              </w:rPr>
            </w:pPr>
            <w:r w:rsidRPr="00693A15">
              <w:rPr>
                <w:rFonts w:ascii="Arial" w:eastAsia="Microsoft YaHei" w:hAnsi="Arial" w:cs="Arial"/>
                <w:sz w:val="16"/>
                <w:szCs w:val="16"/>
                <w:lang w:eastAsia="zh-CN"/>
              </w:rPr>
              <w:t xml:space="preserve">When UE transmits S-SSB in more than one RB set, how to allocate remaining power from </w:t>
            </w:r>
            <m:oMath>
              <m:sSub>
                <m:sSubPr>
                  <m:ctrlPr>
                    <w:rPr>
                      <w:rFonts w:ascii="Cambria Math" w:hAnsi="Cambria Math" w:cs="Arial"/>
                      <w:sz w:val="16"/>
                      <w:szCs w:val="16"/>
                    </w:rPr>
                  </m:ctrlPr>
                </m:sSubPr>
                <m:e>
                  <m:r>
                    <w:rPr>
                      <w:rFonts w:ascii="Cambria Math" w:hAnsi="Cambria Math" w:cs="Arial"/>
                      <w:sz w:val="16"/>
                      <w:szCs w:val="16"/>
                    </w:rPr>
                    <m:t>P</m:t>
                  </m:r>
                </m:e>
                <m:sub>
                  <m:r>
                    <m:rPr>
                      <m:nor/>
                    </m:rPr>
                    <w:rPr>
                      <w:rFonts w:ascii="Arial" w:hAnsi="Arial" w:cs="Arial"/>
                      <w:sz w:val="16"/>
                      <w:szCs w:val="16"/>
                    </w:rPr>
                    <m:t>CMAX</m:t>
                  </m:r>
                </m:sub>
              </m:sSub>
            </m:oMath>
            <w:r w:rsidRPr="00693A15">
              <w:rPr>
                <w:rFonts w:ascii="Arial" w:eastAsia="Microsoft YaHei" w:hAnsi="Arial" w:cs="Arial"/>
                <w:sz w:val="16"/>
                <w:szCs w:val="16"/>
              </w:rPr>
              <w:t xml:space="preserve"> </w:t>
            </w:r>
            <w:r w:rsidRPr="00693A15">
              <w:rPr>
                <w:rFonts w:ascii="Arial" w:eastAsia="Microsoft YaHei" w:hAnsi="Arial" w:cs="Arial"/>
                <w:sz w:val="16"/>
                <w:szCs w:val="16"/>
                <w:lang w:eastAsia="zh-CN"/>
              </w:rPr>
              <w:t>to non-anchor RB set(s) is unclear.</w:t>
            </w:r>
          </w:p>
        </w:tc>
      </w:tr>
      <w:tr w:rsidR="00693A15" w:rsidRPr="00693A15" w14:paraId="51C856BE" w14:textId="77777777" w:rsidTr="00273113">
        <w:tc>
          <w:tcPr>
            <w:tcW w:w="1329" w:type="pct"/>
            <w:tcBorders>
              <w:left w:val="single" w:sz="4" w:space="0" w:color="auto"/>
            </w:tcBorders>
          </w:tcPr>
          <w:p w14:paraId="54B45BDB" w14:textId="77777777" w:rsidR="00693A15" w:rsidRPr="00693A15" w:rsidRDefault="00693A15" w:rsidP="00693A15">
            <w:pPr>
              <w:rPr>
                <w:rFonts w:ascii="Arial" w:hAnsi="Arial" w:cs="Arial"/>
                <w:b/>
                <w:i/>
                <w:sz w:val="16"/>
                <w:szCs w:val="16"/>
              </w:rPr>
            </w:pPr>
          </w:p>
        </w:tc>
        <w:tc>
          <w:tcPr>
            <w:tcW w:w="3671" w:type="pct"/>
            <w:tcBorders>
              <w:right w:val="single" w:sz="4" w:space="0" w:color="auto"/>
            </w:tcBorders>
          </w:tcPr>
          <w:p w14:paraId="2634C723" w14:textId="77777777" w:rsidR="00693A15" w:rsidRPr="00693A15" w:rsidRDefault="00693A15" w:rsidP="00693A15">
            <w:pPr>
              <w:rPr>
                <w:rFonts w:ascii="Arial" w:eastAsia="Microsoft YaHei" w:hAnsi="Arial" w:cs="Arial"/>
                <w:sz w:val="16"/>
                <w:szCs w:val="16"/>
                <w:lang w:eastAsia="zh-CN"/>
              </w:rPr>
            </w:pPr>
          </w:p>
        </w:tc>
      </w:tr>
      <w:tr w:rsidR="00693A15" w:rsidRPr="00693A15" w14:paraId="7EEE8AB2" w14:textId="77777777" w:rsidTr="00273113">
        <w:tc>
          <w:tcPr>
            <w:tcW w:w="1329" w:type="pct"/>
            <w:tcBorders>
              <w:left w:val="single" w:sz="4" w:space="0" w:color="auto"/>
            </w:tcBorders>
          </w:tcPr>
          <w:p w14:paraId="0DB48660" w14:textId="77777777" w:rsidR="00693A15" w:rsidRPr="00693A15" w:rsidRDefault="00693A15" w:rsidP="00693A15">
            <w:pPr>
              <w:tabs>
                <w:tab w:val="right" w:pos="2184"/>
              </w:tabs>
              <w:rPr>
                <w:rFonts w:ascii="Arial" w:hAnsi="Arial" w:cs="Arial"/>
                <w:b/>
                <w:i/>
                <w:sz w:val="16"/>
                <w:szCs w:val="16"/>
              </w:rPr>
            </w:pPr>
            <w:r w:rsidRPr="00693A15">
              <w:rPr>
                <w:rFonts w:ascii="Arial" w:hAnsi="Arial" w:cs="Arial"/>
                <w:b/>
                <w:i/>
                <w:sz w:val="16"/>
                <w:szCs w:val="16"/>
              </w:rPr>
              <w:t>Summary of change:</w:t>
            </w:r>
          </w:p>
        </w:tc>
        <w:tc>
          <w:tcPr>
            <w:tcW w:w="3671" w:type="pct"/>
            <w:tcBorders>
              <w:right w:val="single" w:sz="4" w:space="0" w:color="auto"/>
            </w:tcBorders>
            <w:shd w:val="pct30" w:color="FFFF00" w:fill="auto"/>
          </w:tcPr>
          <w:p w14:paraId="6193D210" w14:textId="6ADA67E9" w:rsidR="00693A15" w:rsidRPr="00693A15" w:rsidRDefault="00693A15" w:rsidP="00693A15">
            <w:pPr>
              <w:rPr>
                <w:rFonts w:ascii="Arial" w:eastAsia="Microsoft YaHei" w:hAnsi="Arial" w:cs="Arial"/>
                <w:sz w:val="16"/>
                <w:szCs w:val="16"/>
                <w:lang w:eastAsia="zh-CN"/>
              </w:rPr>
            </w:pPr>
            <w:r w:rsidRPr="00693A15">
              <w:rPr>
                <w:rFonts w:ascii="Arial" w:eastAsia="Microsoft YaHei" w:hAnsi="Arial" w:cs="Arial"/>
                <w:sz w:val="16"/>
                <w:szCs w:val="16"/>
                <w:lang w:eastAsia="zh-CN"/>
              </w:rPr>
              <w:t xml:space="preserve">Clarify that </w:t>
            </w:r>
            <w:r w:rsidRPr="00693A15">
              <w:rPr>
                <w:rFonts w:ascii="Arial" w:hAnsi="Arial" w:cs="Arial"/>
                <w:sz w:val="16"/>
                <w:szCs w:val="16"/>
              </w:rPr>
              <w:t xml:space="preserve">the UE equally allocates power </w:t>
            </w:r>
            <m:oMath>
              <m:sSub>
                <m:sSubPr>
                  <m:ctrlPr>
                    <w:rPr>
                      <w:rFonts w:ascii="Cambria Math" w:hAnsi="Cambria Math" w:cs="Arial"/>
                      <w:sz w:val="16"/>
                      <w:szCs w:val="16"/>
                    </w:rPr>
                  </m:ctrlPr>
                </m:sSubPr>
                <m:e>
                  <m:r>
                    <w:rPr>
                      <w:rFonts w:ascii="Cambria Math" w:hAnsi="Cambria Math" w:cs="Arial"/>
                      <w:sz w:val="16"/>
                      <w:szCs w:val="16"/>
                    </w:rPr>
                    <m:t>P'</m:t>
                  </m:r>
                </m:e>
                <m:sub>
                  <m:r>
                    <m:rPr>
                      <m:nor/>
                    </m:rPr>
                    <w:rPr>
                      <w:rFonts w:ascii="Arial" w:hAnsi="Arial" w:cs="Arial"/>
                      <w:sz w:val="16"/>
                      <w:szCs w:val="16"/>
                    </w:rPr>
                    <m:t>S-SSB</m:t>
                  </m:r>
                </m:sub>
              </m:sSub>
              <m:r>
                <m:rPr>
                  <m:sty m:val="p"/>
                </m:rPr>
                <w:rPr>
                  <w:rFonts w:ascii="Cambria Math" w:hAnsi="Cambria Math" w:cs="Arial"/>
                  <w:sz w:val="16"/>
                  <w:szCs w:val="16"/>
                </w:rPr>
                <m:t>(</m:t>
              </m:r>
              <m:r>
                <w:rPr>
                  <w:rFonts w:ascii="Cambria Math" w:hAnsi="Cambria Math" w:cs="Arial"/>
                  <w:sz w:val="16"/>
                  <w:szCs w:val="16"/>
                </w:rPr>
                <m:t>i</m:t>
              </m:r>
              <m:r>
                <m:rPr>
                  <m:sty m:val="p"/>
                </m:rPr>
                <w:rPr>
                  <w:rFonts w:ascii="Cambria Math" w:hAnsi="Cambria Math" w:cs="Arial"/>
                  <w:sz w:val="16"/>
                  <w:szCs w:val="16"/>
                </w:rPr>
                <m:t>)</m:t>
              </m:r>
            </m:oMath>
            <w:r w:rsidRPr="00693A15">
              <w:rPr>
                <w:rFonts w:ascii="Arial" w:hAnsi="Arial" w:cs="Arial"/>
                <w:sz w:val="16"/>
                <w:szCs w:val="16"/>
              </w:rPr>
              <w:t xml:space="preserve"> remaining from </w:t>
            </w:r>
            <m:oMath>
              <m:sSub>
                <m:sSubPr>
                  <m:ctrlPr>
                    <w:rPr>
                      <w:rFonts w:ascii="Cambria Math" w:hAnsi="Cambria Math" w:cs="Arial"/>
                      <w:sz w:val="16"/>
                      <w:szCs w:val="16"/>
                    </w:rPr>
                  </m:ctrlPr>
                </m:sSubPr>
                <m:e>
                  <m:r>
                    <w:rPr>
                      <w:rFonts w:ascii="Cambria Math" w:hAnsi="Cambria Math" w:cs="Arial"/>
                      <w:sz w:val="16"/>
                      <w:szCs w:val="16"/>
                    </w:rPr>
                    <m:t>P</m:t>
                  </m:r>
                </m:e>
                <m:sub>
                  <m:r>
                    <m:rPr>
                      <m:nor/>
                    </m:rPr>
                    <w:rPr>
                      <w:rFonts w:ascii="Arial" w:hAnsi="Arial" w:cs="Arial"/>
                      <w:sz w:val="16"/>
                      <w:szCs w:val="16"/>
                    </w:rPr>
                    <m:t>CMAX</m:t>
                  </m:r>
                </m:sub>
              </m:sSub>
            </m:oMath>
            <w:r w:rsidRPr="00693A15">
              <w:rPr>
                <w:rFonts w:ascii="Arial" w:hAnsi="Arial" w:cs="Arial"/>
                <w:sz w:val="16"/>
                <w:szCs w:val="16"/>
              </w:rPr>
              <w:t xml:space="preserve">, if any, for transmission of each S-SS/PSBCH block in </w:t>
            </w:r>
            <w:r w:rsidRPr="00693A15">
              <w:rPr>
                <w:rFonts w:ascii="Arial" w:hAnsi="Arial" w:cs="Arial"/>
                <w:color w:val="FF0000"/>
                <w:sz w:val="16"/>
                <w:szCs w:val="16"/>
              </w:rPr>
              <w:t xml:space="preserve">all </w:t>
            </w:r>
            <w:r w:rsidRPr="00693A15">
              <w:rPr>
                <w:rFonts w:ascii="Arial" w:hAnsi="Arial" w:cs="Arial"/>
                <w:sz w:val="16"/>
                <w:szCs w:val="16"/>
              </w:rPr>
              <w:t xml:space="preserve">non-anchor RB-sets </w:t>
            </w:r>
            <w:r w:rsidRPr="00693A15">
              <w:rPr>
                <w:rFonts w:ascii="Arial" w:hAnsi="Arial" w:cs="Arial"/>
                <w:color w:val="FF0000"/>
                <w:sz w:val="16"/>
                <w:szCs w:val="16"/>
              </w:rPr>
              <w:t>within</w:t>
            </w:r>
            <w:r w:rsidRPr="00693A15">
              <w:rPr>
                <w:rFonts w:ascii="Arial" w:hAnsi="Arial" w:cs="Arial"/>
                <w:color w:val="FF0000"/>
                <w:sz w:val="16"/>
                <w:szCs w:val="16"/>
                <w:lang w:eastAsia="zh-CN"/>
              </w:rPr>
              <w:t xml:space="preserve"> the SL BWP</w:t>
            </w:r>
            <w:r w:rsidRPr="00693A15">
              <w:rPr>
                <w:rFonts w:ascii="Arial" w:hAnsi="Arial" w:cs="Arial"/>
                <w:sz w:val="16"/>
                <w:szCs w:val="16"/>
                <w:lang w:eastAsia="zh-CN"/>
              </w:rPr>
              <w:t>”</w:t>
            </w:r>
          </w:p>
        </w:tc>
      </w:tr>
      <w:tr w:rsidR="00693A15" w:rsidRPr="00693A15" w14:paraId="2331C6B4" w14:textId="77777777" w:rsidTr="00273113">
        <w:tc>
          <w:tcPr>
            <w:tcW w:w="1329" w:type="pct"/>
            <w:tcBorders>
              <w:left w:val="single" w:sz="4" w:space="0" w:color="auto"/>
            </w:tcBorders>
          </w:tcPr>
          <w:p w14:paraId="204BDB88" w14:textId="77777777" w:rsidR="00693A15" w:rsidRPr="00693A15" w:rsidRDefault="00693A15" w:rsidP="00693A15">
            <w:pPr>
              <w:rPr>
                <w:rFonts w:ascii="Arial" w:hAnsi="Arial" w:cs="Arial"/>
                <w:b/>
                <w:i/>
                <w:sz w:val="16"/>
                <w:szCs w:val="16"/>
              </w:rPr>
            </w:pPr>
          </w:p>
        </w:tc>
        <w:tc>
          <w:tcPr>
            <w:tcW w:w="3671" w:type="pct"/>
            <w:tcBorders>
              <w:right w:val="single" w:sz="4" w:space="0" w:color="auto"/>
            </w:tcBorders>
          </w:tcPr>
          <w:p w14:paraId="1931B678" w14:textId="77777777" w:rsidR="00693A15" w:rsidRPr="00693A15" w:rsidRDefault="00693A15" w:rsidP="00693A15">
            <w:pPr>
              <w:rPr>
                <w:rFonts w:ascii="Arial" w:eastAsia="Microsoft YaHei" w:hAnsi="Arial" w:cs="Arial"/>
                <w:sz w:val="16"/>
                <w:szCs w:val="16"/>
                <w:lang w:eastAsia="zh-CN"/>
              </w:rPr>
            </w:pPr>
          </w:p>
        </w:tc>
      </w:tr>
      <w:tr w:rsidR="00693A15" w:rsidRPr="00693A15" w14:paraId="33DBABB8" w14:textId="77777777" w:rsidTr="00273113">
        <w:tc>
          <w:tcPr>
            <w:tcW w:w="1329" w:type="pct"/>
            <w:tcBorders>
              <w:left w:val="single" w:sz="4" w:space="0" w:color="auto"/>
              <w:bottom w:val="single" w:sz="4" w:space="0" w:color="auto"/>
            </w:tcBorders>
          </w:tcPr>
          <w:p w14:paraId="47A0A834" w14:textId="77777777" w:rsidR="00693A15" w:rsidRPr="00693A15" w:rsidRDefault="00693A15" w:rsidP="00693A15">
            <w:pPr>
              <w:tabs>
                <w:tab w:val="right" w:pos="2184"/>
              </w:tabs>
              <w:rPr>
                <w:rFonts w:ascii="Arial" w:hAnsi="Arial" w:cs="Arial"/>
                <w:b/>
                <w:i/>
                <w:sz w:val="16"/>
                <w:szCs w:val="16"/>
              </w:rPr>
            </w:pPr>
            <w:r w:rsidRPr="00693A15">
              <w:rPr>
                <w:rFonts w:ascii="Arial" w:hAnsi="Arial" w:cs="Arial"/>
                <w:b/>
                <w:i/>
                <w:sz w:val="16"/>
                <w:szCs w:val="16"/>
              </w:rPr>
              <w:t>Consequences if not approved:</w:t>
            </w:r>
          </w:p>
        </w:tc>
        <w:tc>
          <w:tcPr>
            <w:tcW w:w="3671" w:type="pct"/>
            <w:tcBorders>
              <w:bottom w:val="single" w:sz="4" w:space="0" w:color="auto"/>
              <w:right w:val="single" w:sz="4" w:space="0" w:color="auto"/>
            </w:tcBorders>
            <w:shd w:val="pct30" w:color="FFFF00" w:fill="auto"/>
          </w:tcPr>
          <w:p w14:paraId="7961B14C" w14:textId="1CCA4E7A" w:rsidR="00693A15" w:rsidRPr="00693A15" w:rsidRDefault="00693A15" w:rsidP="00693A15">
            <w:pPr>
              <w:rPr>
                <w:rFonts w:ascii="Arial" w:eastAsia="Microsoft YaHei" w:hAnsi="Arial" w:cs="Arial"/>
                <w:sz w:val="16"/>
                <w:szCs w:val="16"/>
                <w:lang w:eastAsia="zh-CN"/>
              </w:rPr>
            </w:pPr>
            <w:r w:rsidRPr="00693A15">
              <w:rPr>
                <w:rFonts w:ascii="Arial" w:eastAsia="Microsoft YaHei" w:hAnsi="Arial" w:cs="Arial"/>
                <w:sz w:val="16"/>
                <w:szCs w:val="16"/>
                <w:lang w:eastAsia="zh-CN"/>
              </w:rPr>
              <w:t xml:space="preserve">When UE transmits S-SSB in more than one RB set, how to allocate remaining power from </w:t>
            </w:r>
            <m:oMath>
              <m:sSub>
                <m:sSubPr>
                  <m:ctrlPr>
                    <w:rPr>
                      <w:rFonts w:ascii="Cambria Math" w:hAnsi="Cambria Math" w:cs="Arial"/>
                      <w:sz w:val="16"/>
                      <w:szCs w:val="16"/>
                    </w:rPr>
                  </m:ctrlPr>
                </m:sSubPr>
                <m:e>
                  <m:r>
                    <w:rPr>
                      <w:rFonts w:ascii="Cambria Math" w:hAnsi="Cambria Math" w:cs="Arial"/>
                      <w:sz w:val="16"/>
                      <w:szCs w:val="16"/>
                    </w:rPr>
                    <m:t>P</m:t>
                  </m:r>
                </m:e>
                <m:sub>
                  <m:r>
                    <m:rPr>
                      <m:nor/>
                    </m:rPr>
                    <w:rPr>
                      <w:rFonts w:ascii="Arial" w:hAnsi="Arial" w:cs="Arial"/>
                      <w:sz w:val="16"/>
                      <w:szCs w:val="16"/>
                    </w:rPr>
                    <m:t>CMAX</m:t>
                  </m:r>
                </m:sub>
              </m:sSub>
            </m:oMath>
            <w:r w:rsidRPr="00693A15">
              <w:rPr>
                <w:rFonts w:ascii="Arial" w:eastAsia="Microsoft YaHei" w:hAnsi="Arial" w:cs="Arial"/>
                <w:sz w:val="16"/>
                <w:szCs w:val="16"/>
              </w:rPr>
              <w:t xml:space="preserve"> </w:t>
            </w:r>
            <w:r w:rsidRPr="00693A15">
              <w:rPr>
                <w:rFonts w:ascii="Arial" w:eastAsia="Microsoft YaHei" w:hAnsi="Arial" w:cs="Arial"/>
                <w:sz w:val="16"/>
                <w:szCs w:val="16"/>
                <w:lang w:eastAsia="zh-CN"/>
              </w:rPr>
              <w:t>to non-anchor RB set(s) is unclear.</w:t>
            </w:r>
          </w:p>
        </w:tc>
      </w:tr>
    </w:tbl>
    <w:p w14:paraId="6F5AAF7D" w14:textId="77777777" w:rsidR="00693A15" w:rsidRPr="00693A15" w:rsidRDefault="00693A15" w:rsidP="00693A15">
      <w:pPr>
        <w:rPr>
          <w:lang w:eastAsia="x-none"/>
        </w:rPr>
      </w:pPr>
    </w:p>
    <w:p w14:paraId="050B4BC5" w14:textId="77777777" w:rsidR="00693A15" w:rsidRPr="00693A15" w:rsidRDefault="00693A15" w:rsidP="00693A15">
      <w:pPr>
        <w:rPr>
          <w:szCs w:val="20"/>
          <w:lang w:eastAsia="zh-CN"/>
        </w:rPr>
      </w:pPr>
      <w:r w:rsidRPr="00693A15">
        <w:rPr>
          <w:szCs w:val="20"/>
          <w:highlight w:val="green"/>
          <w:lang w:eastAsia="zh-CN"/>
        </w:rPr>
        <w:t>Agreement</w:t>
      </w:r>
    </w:p>
    <w:p w14:paraId="1D6673B3" w14:textId="16CE26CD" w:rsidR="00693A15" w:rsidRPr="00693A15" w:rsidRDefault="00693A15" w:rsidP="00693A15">
      <w:pPr>
        <w:tabs>
          <w:tab w:val="left" w:pos="0"/>
        </w:tabs>
        <w:rPr>
          <w:bCs/>
          <w:szCs w:val="20"/>
        </w:rPr>
      </w:pPr>
      <w:r w:rsidRPr="00693A15">
        <w:rPr>
          <w:bCs/>
          <w:szCs w:val="20"/>
        </w:rPr>
        <w:t xml:space="preserve">TP#3-2 in Section 4.1.4 of </w:t>
      </w:r>
      <w:hyperlink r:id="rId1032" w:history="1">
        <w:r w:rsidR="00AF7253">
          <w:rPr>
            <w:rStyle w:val="Hyperlink"/>
            <w:bCs/>
            <w:szCs w:val="20"/>
          </w:rPr>
          <w:t>R1-2312531</w:t>
        </w:r>
      </w:hyperlink>
      <w:r w:rsidRPr="00693A15">
        <w:rPr>
          <w:bCs/>
          <w:szCs w:val="20"/>
        </w:rPr>
        <w:t xml:space="preserve"> is endorsed for TS 38.214 Clause 8.1.5.</w:t>
      </w:r>
    </w:p>
    <w:p w14:paraId="7E71572A" w14:textId="77777777" w:rsidR="00693A15" w:rsidRPr="00693A15" w:rsidRDefault="00693A15" w:rsidP="00693A15">
      <w:pPr>
        <w:tabs>
          <w:tab w:val="left" w:pos="0"/>
        </w:tabs>
        <w:rPr>
          <w:bCs/>
          <w:szCs w:val="20"/>
        </w:rPr>
      </w:pPr>
    </w:p>
    <w:p w14:paraId="5D29EEDA" w14:textId="77777777" w:rsidR="00693A15" w:rsidRPr="00693A15" w:rsidRDefault="00693A15" w:rsidP="00693A15">
      <w:pPr>
        <w:rPr>
          <w:szCs w:val="20"/>
          <w:lang w:eastAsia="zh-CN"/>
        </w:rPr>
      </w:pPr>
      <w:r w:rsidRPr="00693A15">
        <w:rPr>
          <w:szCs w:val="20"/>
          <w:highlight w:val="green"/>
          <w:lang w:eastAsia="zh-CN"/>
        </w:rPr>
        <w:t>Agreement</w:t>
      </w:r>
    </w:p>
    <w:p w14:paraId="2CBD0022" w14:textId="77777777" w:rsidR="00693A15" w:rsidRPr="00693A15" w:rsidRDefault="00693A15" w:rsidP="00693A15">
      <w:pPr>
        <w:rPr>
          <w:lang w:eastAsia="x-none"/>
        </w:rPr>
      </w:pPr>
      <w:r w:rsidRPr="00693A15">
        <w:rPr>
          <w:lang w:eastAsia="x-none"/>
        </w:rPr>
        <w:t xml:space="preserve">The TP below is endorsed </w:t>
      </w:r>
      <w:r w:rsidRPr="00693A15">
        <w:rPr>
          <w:bCs/>
          <w:szCs w:val="20"/>
        </w:rPr>
        <w:t>for TS 38.213 Clause 16.5.</w:t>
      </w:r>
      <w:r w:rsidRPr="00693A15">
        <w:rPr>
          <w:lang w:eastAsia="x-none"/>
        </w:rPr>
        <w:t xml:space="preserve"> </w:t>
      </w:r>
    </w:p>
    <w:tbl>
      <w:tblPr>
        <w:tblW w:w="5000" w:type="pct"/>
        <w:tblCellMar>
          <w:left w:w="42" w:type="dxa"/>
          <w:right w:w="42" w:type="dxa"/>
        </w:tblCellMar>
        <w:tblLook w:val="04A0" w:firstRow="1" w:lastRow="0" w:firstColumn="1" w:lastColumn="0" w:noHBand="0" w:noVBand="1"/>
      </w:tblPr>
      <w:tblGrid>
        <w:gridCol w:w="2728"/>
        <w:gridCol w:w="7823"/>
      </w:tblGrid>
      <w:tr w:rsidR="00693A15" w:rsidRPr="00693A15" w14:paraId="2FF71523" w14:textId="77777777" w:rsidTr="00273113">
        <w:tc>
          <w:tcPr>
            <w:tcW w:w="1293" w:type="pct"/>
            <w:tcBorders>
              <w:top w:val="single" w:sz="4" w:space="0" w:color="auto"/>
              <w:left w:val="single" w:sz="4" w:space="0" w:color="auto"/>
            </w:tcBorders>
          </w:tcPr>
          <w:p w14:paraId="3EF66C81" w14:textId="77777777" w:rsidR="00693A15" w:rsidRPr="00693A15" w:rsidRDefault="00693A15" w:rsidP="00693A15">
            <w:pPr>
              <w:tabs>
                <w:tab w:val="right" w:pos="2184"/>
              </w:tabs>
              <w:rPr>
                <w:rFonts w:ascii="Arial" w:hAnsi="Arial" w:cs="Arial"/>
                <w:b/>
                <w:i/>
                <w:sz w:val="16"/>
                <w:szCs w:val="16"/>
              </w:rPr>
            </w:pPr>
            <w:r w:rsidRPr="00693A15">
              <w:rPr>
                <w:rFonts w:ascii="Arial" w:hAnsi="Arial" w:cs="Arial"/>
                <w:b/>
                <w:i/>
                <w:sz w:val="16"/>
                <w:szCs w:val="16"/>
              </w:rPr>
              <w:t>Reason for change:</w:t>
            </w:r>
          </w:p>
        </w:tc>
        <w:tc>
          <w:tcPr>
            <w:tcW w:w="3707" w:type="pct"/>
            <w:tcBorders>
              <w:top w:val="single" w:sz="4" w:space="0" w:color="auto"/>
              <w:right w:val="single" w:sz="4" w:space="0" w:color="auto"/>
            </w:tcBorders>
            <w:shd w:val="pct30" w:color="FFFF00" w:fill="auto"/>
          </w:tcPr>
          <w:p w14:paraId="0EAD7891" w14:textId="77777777" w:rsidR="00693A15" w:rsidRPr="00693A15" w:rsidRDefault="00693A15" w:rsidP="00693A15">
            <w:pPr>
              <w:widowControl w:val="0"/>
              <w:rPr>
                <w:rFonts w:ascii="Arial" w:hAnsi="Arial" w:cs="Arial"/>
                <w:sz w:val="16"/>
                <w:szCs w:val="16"/>
                <w:lang w:eastAsia="zh-CN"/>
              </w:rPr>
            </w:pPr>
            <w:r w:rsidRPr="00693A15">
              <w:rPr>
                <w:rFonts w:ascii="Arial" w:hAnsi="Arial" w:cs="Arial"/>
                <w:sz w:val="16"/>
                <w:szCs w:val="16"/>
                <w:lang w:eastAsia="zh-CN"/>
              </w:rPr>
              <w:t xml:space="preserve">In SL-U, the “candidate” PSFCH transmission occasions are defined in TS 38.213. The current specification indicates the last PSFCH reception occasion is used as a reference slot in determining the PUCCH or PUSCH transmission slot for reporting sidelink HARQ-ACK information to gNB, which is not accurate. According to RAN1 #114bis agreement, the last “candidate” PSFCH reception occasion is used as a reference slot in determining the PUCCH or PUSCH transmission slot for reporting sidelink HARQ-ACK </w:t>
            </w:r>
            <w:r w:rsidRPr="00693A15">
              <w:rPr>
                <w:rFonts w:ascii="Arial" w:hAnsi="Arial" w:cs="Arial"/>
                <w:sz w:val="16"/>
                <w:szCs w:val="16"/>
                <w:lang w:eastAsia="zh-CN"/>
              </w:rPr>
              <w:lastRenderedPageBreak/>
              <w:t xml:space="preserve">information to gNB. </w:t>
            </w:r>
          </w:p>
        </w:tc>
      </w:tr>
      <w:tr w:rsidR="00693A15" w:rsidRPr="00693A15" w14:paraId="3C927AEA" w14:textId="77777777" w:rsidTr="00273113">
        <w:tc>
          <w:tcPr>
            <w:tcW w:w="1293" w:type="pct"/>
            <w:tcBorders>
              <w:left w:val="single" w:sz="4" w:space="0" w:color="auto"/>
            </w:tcBorders>
          </w:tcPr>
          <w:p w14:paraId="34F2BDFA" w14:textId="77777777" w:rsidR="00693A15" w:rsidRPr="00693A15" w:rsidRDefault="00693A15" w:rsidP="00693A15">
            <w:pPr>
              <w:rPr>
                <w:rFonts w:ascii="Arial" w:hAnsi="Arial" w:cs="Arial"/>
                <w:b/>
                <w:i/>
                <w:sz w:val="16"/>
                <w:szCs w:val="16"/>
              </w:rPr>
            </w:pPr>
          </w:p>
        </w:tc>
        <w:tc>
          <w:tcPr>
            <w:tcW w:w="3707" w:type="pct"/>
            <w:tcBorders>
              <w:right w:val="single" w:sz="4" w:space="0" w:color="auto"/>
            </w:tcBorders>
          </w:tcPr>
          <w:p w14:paraId="5F6EE6A0" w14:textId="77777777" w:rsidR="00693A15" w:rsidRPr="00693A15" w:rsidRDefault="00693A15" w:rsidP="00693A15">
            <w:pPr>
              <w:rPr>
                <w:rFonts w:ascii="Arial" w:hAnsi="Arial" w:cs="Arial"/>
                <w:sz w:val="16"/>
                <w:szCs w:val="16"/>
              </w:rPr>
            </w:pPr>
          </w:p>
        </w:tc>
      </w:tr>
      <w:tr w:rsidR="00693A15" w:rsidRPr="00693A15" w14:paraId="7E6B70F1" w14:textId="77777777" w:rsidTr="00273113">
        <w:tc>
          <w:tcPr>
            <w:tcW w:w="1293" w:type="pct"/>
            <w:tcBorders>
              <w:left w:val="single" w:sz="4" w:space="0" w:color="auto"/>
            </w:tcBorders>
          </w:tcPr>
          <w:p w14:paraId="5A824756" w14:textId="77777777" w:rsidR="00693A15" w:rsidRPr="00693A15" w:rsidRDefault="00693A15" w:rsidP="00693A15">
            <w:pPr>
              <w:tabs>
                <w:tab w:val="right" w:pos="2184"/>
              </w:tabs>
              <w:rPr>
                <w:rFonts w:ascii="Arial" w:hAnsi="Arial" w:cs="Arial"/>
                <w:b/>
                <w:i/>
                <w:sz w:val="16"/>
                <w:szCs w:val="16"/>
              </w:rPr>
            </w:pPr>
            <w:r w:rsidRPr="00693A15">
              <w:rPr>
                <w:rFonts w:ascii="Arial" w:hAnsi="Arial" w:cs="Arial"/>
                <w:b/>
                <w:i/>
                <w:sz w:val="16"/>
                <w:szCs w:val="16"/>
              </w:rPr>
              <w:t>Summary of change:</w:t>
            </w:r>
          </w:p>
        </w:tc>
        <w:tc>
          <w:tcPr>
            <w:tcW w:w="3707" w:type="pct"/>
            <w:tcBorders>
              <w:right w:val="single" w:sz="4" w:space="0" w:color="auto"/>
            </w:tcBorders>
            <w:shd w:val="pct30" w:color="FFFF00" w:fill="auto"/>
          </w:tcPr>
          <w:p w14:paraId="52F79066" w14:textId="77777777" w:rsidR="00693A15" w:rsidRPr="00693A15" w:rsidRDefault="00693A15" w:rsidP="00693A15">
            <w:pPr>
              <w:rPr>
                <w:rFonts w:ascii="Arial" w:hAnsi="Arial" w:cs="Arial"/>
                <w:sz w:val="16"/>
                <w:szCs w:val="16"/>
              </w:rPr>
            </w:pPr>
            <w:r w:rsidRPr="00693A15">
              <w:rPr>
                <w:rFonts w:ascii="Arial" w:hAnsi="Arial" w:cs="Arial"/>
                <w:sz w:val="16"/>
                <w:szCs w:val="16"/>
              </w:rPr>
              <w:t xml:space="preserve">When </w:t>
            </w:r>
            <w:r w:rsidRPr="00693A15">
              <w:rPr>
                <w:rFonts w:ascii="Arial" w:hAnsi="Arial" w:cs="Arial"/>
                <w:i/>
                <w:iCs/>
                <w:sz w:val="16"/>
                <w:szCs w:val="16"/>
              </w:rPr>
              <w:t>numPSFCHOccasion</w:t>
            </w:r>
            <w:r w:rsidRPr="00693A15">
              <w:rPr>
                <w:rFonts w:ascii="Arial" w:hAnsi="Arial" w:cs="Arial"/>
                <w:sz w:val="16"/>
                <w:szCs w:val="16"/>
              </w:rPr>
              <w:t xml:space="preserve"> is (pre-)configured, the last “candidate” PSFCH reception occasion is used as a reference slot in determining the PUCCH or PUSCH transmission slot for reporting sidelink HARQ-ACK information to gNB.</w:t>
            </w:r>
          </w:p>
        </w:tc>
      </w:tr>
      <w:tr w:rsidR="00693A15" w:rsidRPr="00693A15" w14:paraId="59083CE0" w14:textId="77777777" w:rsidTr="00273113">
        <w:tc>
          <w:tcPr>
            <w:tcW w:w="1293" w:type="pct"/>
            <w:tcBorders>
              <w:left w:val="single" w:sz="4" w:space="0" w:color="auto"/>
            </w:tcBorders>
          </w:tcPr>
          <w:p w14:paraId="7AD8D039" w14:textId="77777777" w:rsidR="00693A15" w:rsidRPr="00693A15" w:rsidRDefault="00693A15" w:rsidP="00693A15">
            <w:pPr>
              <w:rPr>
                <w:rFonts w:ascii="Arial" w:hAnsi="Arial" w:cs="Arial"/>
                <w:b/>
                <w:i/>
                <w:sz w:val="16"/>
                <w:szCs w:val="16"/>
              </w:rPr>
            </w:pPr>
          </w:p>
        </w:tc>
        <w:tc>
          <w:tcPr>
            <w:tcW w:w="3707" w:type="pct"/>
            <w:tcBorders>
              <w:right w:val="single" w:sz="4" w:space="0" w:color="auto"/>
            </w:tcBorders>
          </w:tcPr>
          <w:p w14:paraId="6AB91284" w14:textId="77777777" w:rsidR="00693A15" w:rsidRPr="00693A15" w:rsidRDefault="00693A15" w:rsidP="00693A15">
            <w:pPr>
              <w:rPr>
                <w:rFonts w:ascii="Arial" w:hAnsi="Arial" w:cs="Arial"/>
                <w:sz w:val="16"/>
                <w:szCs w:val="16"/>
              </w:rPr>
            </w:pPr>
          </w:p>
        </w:tc>
      </w:tr>
      <w:tr w:rsidR="00693A15" w:rsidRPr="00693A15" w14:paraId="01D51CCD" w14:textId="77777777" w:rsidTr="00273113">
        <w:tc>
          <w:tcPr>
            <w:tcW w:w="1293" w:type="pct"/>
            <w:tcBorders>
              <w:left w:val="single" w:sz="4" w:space="0" w:color="auto"/>
              <w:bottom w:val="single" w:sz="4" w:space="0" w:color="auto"/>
            </w:tcBorders>
          </w:tcPr>
          <w:p w14:paraId="2C143EEF" w14:textId="77777777" w:rsidR="00693A15" w:rsidRPr="00693A15" w:rsidRDefault="00693A15" w:rsidP="00693A15">
            <w:pPr>
              <w:tabs>
                <w:tab w:val="right" w:pos="2184"/>
              </w:tabs>
              <w:rPr>
                <w:rFonts w:ascii="Arial" w:hAnsi="Arial" w:cs="Arial"/>
                <w:b/>
                <w:i/>
                <w:sz w:val="16"/>
                <w:szCs w:val="16"/>
              </w:rPr>
            </w:pPr>
            <w:r w:rsidRPr="00693A15">
              <w:rPr>
                <w:rFonts w:ascii="Arial" w:hAnsi="Arial" w:cs="Arial"/>
                <w:b/>
                <w:i/>
                <w:sz w:val="16"/>
                <w:szCs w:val="16"/>
              </w:rPr>
              <w:t>Consequences if not approved:</w:t>
            </w:r>
          </w:p>
        </w:tc>
        <w:tc>
          <w:tcPr>
            <w:tcW w:w="3707" w:type="pct"/>
            <w:tcBorders>
              <w:bottom w:val="single" w:sz="4" w:space="0" w:color="auto"/>
              <w:right w:val="single" w:sz="4" w:space="0" w:color="auto"/>
            </w:tcBorders>
            <w:shd w:val="pct30" w:color="FFFF00" w:fill="auto"/>
          </w:tcPr>
          <w:p w14:paraId="1FBF1D56" w14:textId="77777777" w:rsidR="00693A15" w:rsidRPr="00693A15" w:rsidRDefault="00693A15" w:rsidP="00693A15">
            <w:pPr>
              <w:rPr>
                <w:rFonts w:ascii="Arial" w:hAnsi="Arial" w:cs="Arial"/>
                <w:sz w:val="16"/>
                <w:szCs w:val="16"/>
              </w:rPr>
            </w:pPr>
            <w:r w:rsidRPr="00693A15">
              <w:rPr>
                <w:rFonts w:ascii="Arial" w:hAnsi="Arial" w:cs="Arial"/>
                <w:sz w:val="16"/>
                <w:szCs w:val="16"/>
              </w:rPr>
              <w:t xml:space="preserve">There is ambiguity on which PSFCH reception occasion is used as reference slot in determining the PUCCH or PUSCH transmission slot for reporting HARQ-ACK information to gNB. </w:t>
            </w:r>
          </w:p>
        </w:tc>
      </w:tr>
    </w:tbl>
    <w:p w14:paraId="14232A9D" w14:textId="77777777" w:rsidR="00693A15" w:rsidRPr="00273113" w:rsidRDefault="00693A15" w:rsidP="00273113">
      <w:pPr>
        <w:rPr>
          <w:color w:val="FF0000"/>
          <w:szCs w:val="20"/>
          <w:lang w:eastAsia="zh-CN"/>
        </w:rPr>
      </w:pPr>
      <w:r w:rsidRPr="00273113">
        <w:rPr>
          <w:color w:val="FF0000"/>
          <w:szCs w:val="20"/>
          <w:lang w:eastAsia="zh-CN"/>
        </w:rPr>
        <w:t>-------------------------- Start of Text Proposal for TS 38.213-----------------------------</w:t>
      </w:r>
    </w:p>
    <w:p w14:paraId="2426794A" w14:textId="77777777" w:rsidR="00693A15" w:rsidRPr="00693A15" w:rsidRDefault="00693A15" w:rsidP="00273113">
      <w:pPr>
        <w:ind w:left="799"/>
        <w:rPr>
          <w:rFonts w:ascii="Arial" w:hAnsi="Arial" w:cs="Arial"/>
          <w:b/>
          <w:sz w:val="16"/>
          <w:szCs w:val="16"/>
        </w:rPr>
      </w:pPr>
      <w:r w:rsidRPr="00693A15">
        <w:rPr>
          <w:rFonts w:ascii="Arial" w:hAnsi="Arial" w:cs="Arial"/>
          <w:b/>
          <w:sz w:val="16"/>
          <w:szCs w:val="16"/>
        </w:rPr>
        <w:t>16.5</w:t>
      </w:r>
      <w:r w:rsidRPr="00693A15">
        <w:rPr>
          <w:rFonts w:ascii="Arial" w:hAnsi="Arial" w:cs="Arial"/>
          <w:b/>
          <w:sz w:val="16"/>
          <w:szCs w:val="16"/>
        </w:rPr>
        <w:tab/>
        <w:t>UE procedure for reporting HARQ-ACK on uplink</w:t>
      </w:r>
    </w:p>
    <w:p w14:paraId="7307E4D2" w14:textId="77777777" w:rsidR="00693A15" w:rsidRPr="00693A15" w:rsidRDefault="00693A15" w:rsidP="00273113">
      <w:pPr>
        <w:ind w:left="799"/>
        <w:jc w:val="center"/>
        <w:rPr>
          <w:rFonts w:ascii="Arial" w:hAnsi="Arial" w:cs="Arial"/>
          <w:color w:val="FF0000"/>
          <w:sz w:val="16"/>
          <w:szCs w:val="16"/>
        </w:rPr>
      </w:pPr>
      <w:r w:rsidRPr="00693A15">
        <w:rPr>
          <w:rFonts w:ascii="Arial" w:hAnsi="Arial" w:cs="Arial"/>
          <w:color w:val="FF0000"/>
          <w:sz w:val="16"/>
          <w:szCs w:val="16"/>
        </w:rPr>
        <w:t>*** Unchanged parts are omitted ***</w:t>
      </w:r>
    </w:p>
    <w:p w14:paraId="10E23D6F" w14:textId="687DC7F5" w:rsidR="00693A15" w:rsidRPr="00693A15" w:rsidRDefault="00693A15" w:rsidP="00273113">
      <w:pPr>
        <w:ind w:left="799"/>
        <w:rPr>
          <w:rFonts w:ascii="Arial" w:eastAsia="PMingLiU" w:hAnsi="Arial" w:cs="Arial"/>
          <w:sz w:val="16"/>
          <w:szCs w:val="16"/>
        </w:rPr>
      </w:pPr>
      <w:r w:rsidRPr="00693A15">
        <w:rPr>
          <w:rFonts w:ascii="Arial" w:hAnsi="Arial" w:cs="Arial"/>
          <w:sz w:val="16"/>
          <w:szCs w:val="16"/>
        </w:rPr>
        <w:t xml:space="preserve">A UE does not expect to be provided PUCCH resources or PUSCH resources to report HARQ-ACK information that start earlier than </w:t>
      </w:r>
      <m:oMath>
        <m:sSub>
          <m:sSubPr>
            <m:ctrlPr>
              <w:rPr>
                <w:rFonts w:ascii="Cambria Math" w:hAnsi="Cambria Math" w:cs="Arial"/>
                <w:i/>
                <w:sz w:val="16"/>
                <w:szCs w:val="16"/>
              </w:rPr>
            </m:ctrlPr>
          </m:sSubPr>
          <m:e>
            <m:r>
              <w:rPr>
                <w:rFonts w:ascii="Cambria Math" w:hAnsi="Cambria Math" w:cs="Arial"/>
                <w:sz w:val="16"/>
                <w:szCs w:val="16"/>
              </w:rPr>
              <m:t>T</m:t>
            </m:r>
          </m:e>
          <m:sub>
            <m:r>
              <w:rPr>
                <w:rFonts w:ascii="Cambria Math" w:hAnsi="Cambria Math" w:cs="Arial"/>
                <w:sz w:val="16"/>
                <w:szCs w:val="16"/>
              </w:rPr>
              <m:t>prep</m:t>
            </m:r>
          </m:sub>
        </m:sSub>
        <m:r>
          <w:rPr>
            <w:rFonts w:ascii="Cambria Math" w:hAnsi="Cambria Math" w:cs="Arial"/>
            <w:sz w:val="16"/>
            <w:szCs w:val="16"/>
          </w:rPr>
          <m:t>=</m:t>
        </m:r>
      </m:oMath>
      <w:r w:rsidRPr="00693A15">
        <w:rPr>
          <w:rFonts w:ascii="Arial" w:hAnsi="Arial" w:cs="Arial"/>
          <w:sz w:val="16"/>
          <w:szCs w:val="16"/>
        </w:rPr>
        <w:t xml:space="preserve"> </w:t>
      </w:r>
      <m:oMath>
        <m:d>
          <m:dPr>
            <m:ctrlPr>
              <w:rPr>
                <w:rFonts w:ascii="Cambria Math" w:hAnsi="Cambria Math" w:cs="Arial"/>
                <w:i/>
                <w:sz w:val="16"/>
                <w:szCs w:val="16"/>
              </w:rPr>
            </m:ctrlPr>
          </m:dPr>
          <m:e>
            <m:r>
              <w:rPr>
                <w:rFonts w:ascii="Cambria Math" w:hAnsi="Cambria Math" w:cs="Arial"/>
                <w:sz w:val="16"/>
                <w:szCs w:val="16"/>
              </w:rPr>
              <m:t>N+1</m:t>
            </m:r>
          </m:e>
        </m:d>
        <m:r>
          <w:rPr>
            <w:rFonts w:ascii="Cambria Math" w:hAnsi="Cambria Math" w:cs="Arial"/>
            <w:sz w:val="16"/>
            <w:szCs w:val="16"/>
          </w:rPr>
          <m:t>∙</m:t>
        </m:r>
        <m:d>
          <m:dPr>
            <m:ctrlPr>
              <w:rPr>
                <w:rFonts w:ascii="Cambria Math" w:hAnsi="Cambria Math" w:cs="Arial"/>
                <w:i/>
                <w:sz w:val="16"/>
                <w:szCs w:val="16"/>
              </w:rPr>
            </m:ctrlPr>
          </m:dPr>
          <m:e>
            <m:r>
              <w:rPr>
                <w:rFonts w:ascii="Cambria Math" w:hAnsi="Cambria Math" w:cs="Arial"/>
                <w:sz w:val="16"/>
                <w:szCs w:val="16"/>
              </w:rPr>
              <m:t>2048+144</m:t>
            </m:r>
          </m:e>
        </m:d>
        <m:r>
          <w:rPr>
            <w:rFonts w:ascii="Cambria Math" w:hAnsi="Cambria Math" w:cs="Arial"/>
            <w:sz w:val="16"/>
            <w:szCs w:val="16"/>
          </w:rPr>
          <m:t>∙κ∙</m:t>
        </m:r>
        <m:sSup>
          <m:sSupPr>
            <m:ctrlPr>
              <w:rPr>
                <w:rFonts w:ascii="Cambria Math" w:hAnsi="Cambria Math" w:cs="Arial"/>
                <w:i/>
                <w:sz w:val="16"/>
                <w:szCs w:val="16"/>
              </w:rPr>
            </m:ctrlPr>
          </m:sSupPr>
          <m:e>
            <m:r>
              <w:rPr>
                <w:rFonts w:ascii="Cambria Math" w:hAnsi="Cambria Math" w:cs="Arial"/>
                <w:sz w:val="16"/>
                <w:szCs w:val="16"/>
              </w:rPr>
              <m:t>2</m:t>
            </m:r>
          </m:e>
          <m:sup>
            <m:r>
              <w:rPr>
                <w:rFonts w:ascii="Cambria Math" w:hAnsi="Cambria Math" w:cs="Arial"/>
                <w:sz w:val="16"/>
                <w:szCs w:val="16"/>
              </w:rPr>
              <m:t>-μ</m:t>
            </m:r>
          </m:sup>
        </m:sSup>
        <m:r>
          <w:rPr>
            <w:rFonts w:ascii="Cambria Math" w:hAnsi="Cambria Math" w:cs="Arial"/>
            <w:sz w:val="16"/>
            <w:szCs w:val="16"/>
          </w:rPr>
          <m:t>∙</m:t>
        </m:r>
        <m:sSub>
          <m:sSubPr>
            <m:ctrlPr>
              <w:rPr>
                <w:rFonts w:ascii="Cambria Math" w:hAnsi="Cambria Math" w:cs="Arial"/>
                <w:i/>
                <w:sz w:val="16"/>
                <w:szCs w:val="16"/>
              </w:rPr>
            </m:ctrlPr>
          </m:sSubPr>
          <m:e>
            <m:r>
              <w:rPr>
                <w:rFonts w:ascii="Cambria Math" w:hAnsi="Cambria Math" w:cs="Arial"/>
                <w:sz w:val="16"/>
                <w:szCs w:val="16"/>
              </w:rPr>
              <m:t>T</m:t>
            </m:r>
          </m:e>
          <m:sub>
            <m:r>
              <w:rPr>
                <w:rFonts w:ascii="Cambria Math" w:hAnsi="Cambria Math" w:cs="Arial"/>
                <w:sz w:val="16"/>
                <w:szCs w:val="16"/>
              </w:rPr>
              <m:t>c</m:t>
            </m:r>
          </m:sub>
        </m:sSub>
      </m:oMath>
      <w:r w:rsidRPr="00693A15">
        <w:rPr>
          <w:rFonts w:ascii="Arial" w:hAnsi="Arial" w:cs="Arial"/>
          <w:sz w:val="16"/>
          <w:szCs w:val="16"/>
        </w:rPr>
        <w:t xml:space="preserve"> after the end of a last symbol of a last PSFCH reception occasion</w:t>
      </w:r>
      <w:ins w:id="395" w:author="Mixiang (Shawn)" w:date="2023-11-16T18:44:00Z">
        <w:r w:rsidRPr="00693A15">
          <w:rPr>
            <w:rFonts w:ascii="Arial" w:hAnsi="Arial" w:cs="Arial"/>
            <w:sz w:val="16"/>
            <w:szCs w:val="16"/>
          </w:rPr>
          <w:t xml:space="preserve"> if </w:t>
        </w:r>
        <w:r w:rsidRPr="00693A15">
          <w:rPr>
            <w:rFonts w:ascii="Arial" w:hAnsi="Arial" w:cs="Arial"/>
            <w:i/>
            <w:sz w:val="16"/>
            <w:szCs w:val="16"/>
          </w:rPr>
          <w:t>numPSFCHOccasions</w:t>
        </w:r>
        <w:r w:rsidRPr="00693A15">
          <w:rPr>
            <w:rFonts w:ascii="Arial" w:hAnsi="Arial" w:cs="Arial"/>
            <w:sz w:val="16"/>
            <w:szCs w:val="16"/>
          </w:rPr>
          <w:t xml:space="preserve"> is </w:t>
        </w:r>
      </w:ins>
      <w:ins w:id="396" w:author="David mazzarese" w:date="2023-11-17T11:42:00Z">
        <w:r w:rsidRPr="00693A15">
          <w:rPr>
            <w:rFonts w:ascii="Arial" w:hAnsi="Arial" w:cs="Arial"/>
            <w:sz w:val="16"/>
            <w:szCs w:val="16"/>
          </w:rPr>
          <w:t xml:space="preserve">not </w:t>
        </w:r>
      </w:ins>
      <w:ins w:id="397" w:author="Mixiang (Shawn)" w:date="2023-11-16T18:44:00Z">
        <w:r w:rsidRPr="00693A15">
          <w:rPr>
            <w:rFonts w:ascii="Arial" w:hAnsi="Arial" w:cs="Arial"/>
            <w:sz w:val="16"/>
            <w:szCs w:val="16"/>
          </w:rPr>
          <w:t>(pre-)configured</w:t>
        </w:r>
      </w:ins>
      <w:r w:rsidRPr="00693A15">
        <w:rPr>
          <w:rFonts w:ascii="Arial" w:hAnsi="Arial" w:cs="Arial"/>
          <w:sz w:val="16"/>
          <w:szCs w:val="16"/>
        </w:rPr>
        <w:t xml:space="preserve"> </w:t>
      </w:r>
      <w:ins w:id="398" w:author="Mixiang (Shawn)" w:date="2023-11-16T18:44:00Z">
        <w:r w:rsidRPr="00693A15">
          <w:rPr>
            <w:rFonts w:ascii="Arial" w:hAnsi="Arial" w:cs="Arial"/>
            <w:sz w:val="16"/>
            <w:szCs w:val="16"/>
          </w:rPr>
          <w:t xml:space="preserve">or of a last candidate PSFCH reception occasion if </w:t>
        </w:r>
        <w:r w:rsidRPr="00693A15">
          <w:rPr>
            <w:rFonts w:ascii="Arial" w:hAnsi="Arial" w:cs="Arial"/>
            <w:i/>
            <w:sz w:val="16"/>
            <w:szCs w:val="16"/>
          </w:rPr>
          <w:t>numPSFCHOccasions</w:t>
        </w:r>
        <w:r w:rsidRPr="00693A15">
          <w:rPr>
            <w:rFonts w:ascii="Arial" w:hAnsi="Arial" w:cs="Arial"/>
            <w:sz w:val="16"/>
            <w:szCs w:val="16"/>
          </w:rPr>
          <w:t xml:space="preserve"> is (pre-)configured</w:t>
        </w:r>
      </w:ins>
      <w:r w:rsidRPr="00693A15">
        <w:rPr>
          <w:rFonts w:ascii="Arial" w:hAnsi="Arial" w:cs="Arial"/>
          <w:sz w:val="16"/>
          <w:szCs w:val="16"/>
        </w:rPr>
        <w:t xml:space="preserve">, from a number of PSFCH reception occasions </w:t>
      </w:r>
      <w:ins w:id="399" w:author="Mixiang (Shawn)" w:date="2023-11-16T18:44:00Z">
        <w:r w:rsidRPr="00693A15">
          <w:rPr>
            <w:rFonts w:ascii="Arial" w:hAnsi="Arial" w:cs="Arial"/>
            <w:sz w:val="16"/>
            <w:szCs w:val="16"/>
          </w:rPr>
          <w:t xml:space="preserve">if </w:t>
        </w:r>
        <w:r w:rsidRPr="00693A15">
          <w:rPr>
            <w:rFonts w:ascii="Arial" w:hAnsi="Arial" w:cs="Arial"/>
            <w:i/>
            <w:sz w:val="16"/>
            <w:szCs w:val="16"/>
          </w:rPr>
          <w:t>numPSFCHOccasions</w:t>
        </w:r>
        <w:r w:rsidRPr="00693A15">
          <w:rPr>
            <w:rFonts w:ascii="Arial" w:hAnsi="Arial" w:cs="Arial"/>
            <w:sz w:val="16"/>
            <w:szCs w:val="16"/>
          </w:rPr>
          <w:t xml:space="preserve"> is </w:t>
        </w:r>
      </w:ins>
      <w:ins w:id="400" w:author="David mazzarese" w:date="2023-11-17T11:42:00Z">
        <w:r w:rsidRPr="00693A15">
          <w:rPr>
            <w:rFonts w:ascii="Arial" w:hAnsi="Arial" w:cs="Arial"/>
            <w:sz w:val="16"/>
            <w:szCs w:val="16"/>
          </w:rPr>
          <w:t xml:space="preserve">not </w:t>
        </w:r>
      </w:ins>
      <w:ins w:id="401" w:author="Mixiang (Shawn)" w:date="2023-11-16T18:44:00Z">
        <w:r w:rsidRPr="00693A15">
          <w:rPr>
            <w:rFonts w:ascii="Arial" w:hAnsi="Arial" w:cs="Arial"/>
            <w:sz w:val="16"/>
            <w:szCs w:val="16"/>
          </w:rPr>
          <w:t>(pre-)configured</w:t>
        </w:r>
      </w:ins>
      <w:r w:rsidRPr="00693A15">
        <w:rPr>
          <w:rFonts w:ascii="Arial" w:hAnsi="Arial" w:cs="Arial"/>
          <w:sz w:val="16"/>
          <w:szCs w:val="16"/>
        </w:rPr>
        <w:t xml:space="preserve"> </w:t>
      </w:r>
      <w:ins w:id="402" w:author="Mixiang (Shawn)" w:date="2023-11-16T18:44:00Z">
        <w:r w:rsidRPr="00693A15">
          <w:rPr>
            <w:rFonts w:ascii="Arial" w:hAnsi="Arial" w:cs="Arial"/>
            <w:sz w:val="16"/>
            <w:szCs w:val="16"/>
          </w:rPr>
          <w:t xml:space="preserve">or a number of candidate PSFCH reception occasions if </w:t>
        </w:r>
        <w:r w:rsidRPr="00693A15">
          <w:rPr>
            <w:rFonts w:ascii="Arial" w:hAnsi="Arial" w:cs="Arial"/>
            <w:i/>
            <w:sz w:val="16"/>
            <w:szCs w:val="16"/>
          </w:rPr>
          <w:t>numPSFCHOccasions</w:t>
        </w:r>
        <w:r w:rsidRPr="00693A15">
          <w:rPr>
            <w:rFonts w:ascii="Arial" w:hAnsi="Arial" w:cs="Arial"/>
            <w:sz w:val="16"/>
            <w:szCs w:val="16"/>
          </w:rPr>
          <w:t xml:space="preserve"> is (pre-)configured, </w:t>
        </w:r>
      </w:ins>
      <w:r w:rsidRPr="00693A15">
        <w:rPr>
          <w:rFonts w:ascii="Arial" w:hAnsi="Arial" w:cs="Arial"/>
          <w:sz w:val="16"/>
          <w:szCs w:val="16"/>
        </w:rPr>
        <w:t>that the UE generates HARQ-ACK information to report in a PUCCH or PUSCH transmission, where</w:t>
      </w:r>
    </w:p>
    <w:p w14:paraId="525B8997" w14:textId="77777777" w:rsidR="00693A15" w:rsidRPr="00693A15" w:rsidRDefault="00693A15" w:rsidP="00273113">
      <w:pPr>
        <w:ind w:left="799"/>
        <w:jc w:val="center"/>
        <w:rPr>
          <w:rFonts w:ascii="Arial" w:hAnsi="Arial" w:cs="Arial"/>
          <w:color w:val="FF0000"/>
          <w:sz w:val="16"/>
          <w:szCs w:val="16"/>
        </w:rPr>
      </w:pPr>
      <w:r w:rsidRPr="00693A15">
        <w:rPr>
          <w:rFonts w:ascii="Arial" w:hAnsi="Arial" w:cs="Arial"/>
          <w:color w:val="FF0000"/>
          <w:sz w:val="16"/>
          <w:szCs w:val="16"/>
        </w:rPr>
        <w:t>*** Unchanged parts are omitted ***</w:t>
      </w:r>
    </w:p>
    <w:p w14:paraId="1CBA3D86" w14:textId="6A0847BB" w:rsidR="00693A15" w:rsidRPr="00693A15" w:rsidRDefault="00693A15" w:rsidP="00273113">
      <w:pPr>
        <w:ind w:left="799"/>
        <w:rPr>
          <w:rFonts w:ascii="Arial" w:eastAsia="PMingLiU" w:hAnsi="Arial" w:cs="Arial"/>
          <w:sz w:val="16"/>
          <w:szCs w:val="16"/>
        </w:rPr>
      </w:pPr>
      <w:r w:rsidRPr="00693A15">
        <w:rPr>
          <w:rFonts w:ascii="Arial" w:hAnsi="Arial" w:cs="Arial"/>
          <w:sz w:val="16"/>
          <w:szCs w:val="16"/>
        </w:rPr>
        <w:t xml:space="preserve">With reference to slots for PUCCH transmissions and for a number of PSFCH reception occasions </w:t>
      </w:r>
      <w:ins w:id="403" w:author="Mixiang (Shawn)" w:date="2023-11-16T18:44:00Z">
        <w:r w:rsidRPr="00693A15">
          <w:rPr>
            <w:rFonts w:ascii="Arial" w:hAnsi="Arial" w:cs="Arial"/>
            <w:sz w:val="16"/>
            <w:szCs w:val="16"/>
          </w:rPr>
          <w:t xml:space="preserve">if </w:t>
        </w:r>
        <w:r w:rsidRPr="00693A15">
          <w:rPr>
            <w:rFonts w:ascii="Arial" w:hAnsi="Arial" w:cs="Arial"/>
            <w:i/>
            <w:sz w:val="16"/>
            <w:szCs w:val="16"/>
          </w:rPr>
          <w:t>numPSFCHOccasions</w:t>
        </w:r>
        <w:r w:rsidRPr="00693A15">
          <w:rPr>
            <w:rFonts w:ascii="Arial" w:hAnsi="Arial" w:cs="Arial"/>
            <w:sz w:val="16"/>
            <w:szCs w:val="16"/>
          </w:rPr>
          <w:t xml:space="preserve"> is </w:t>
        </w:r>
      </w:ins>
      <w:ins w:id="404" w:author="David mazzarese" w:date="2023-11-17T11:42:00Z">
        <w:r w:rsidRPr="00693A15">
          <w:rPr>
            <w:rFonts w:ascii="Arial" w:hAnsi="Arial" w:cs="Arial"/>
            <w:sz w:val="16"/>
            <w:szCs w:val="16"/>
          </w:rPr>
          <w:t xml:space="preserve">not </w:t>
        </w:r>
      </w:ins>
      <w:ins w:id="405" w:author="Mixiang (Shawn)" w:date="2023-11-16T18:44:00Z">
        <w:r w:rsidRPr="00693A15">
          <w:rPr>
            <w:rFonts w:ascii="Arial" w:hAnsi="Arial" w:cs="Arial"/>
            <w:sz w:val="16"/>
            <w:szCs w:val="16"/>
          </w:rPr>
          <w:t>(pre-)configured</w:t>
        </w:r>
      </w:ins>
      <w:r w:rsidRPr="00693A15">
        <w:rPr>
          <w:rFonts w:ascii="Arial" w:hAnsi="Arial" w:cs="Arial"/>
          <w:sz w:val="16"/>
          <w:szCs w:val="16"/>
        </w:rPr>
        <w:t xml:space="preserve"> </w:t>
      </w:r>
      <w:ins w:id="406" w:author="Mixiang (Shawn)" w:date="2023-11-16T18:45:00Z">
        <w:r w:rsidRPr="00693A15">
          <w:rPr>
            <w:rFonts w:ascii="Arial" w:hAnsi="Arial" w:cs="Arial"/>
            <w:sz w:val="16"/>
            <w:szCs w:val="16"/>
          </w:rPr>
          <w:t xml:space="preserve">or candidate PSFCH reception occasions if </w:t>
        </w:r>
        <w:r w:rsidRPr="00693A15">
          <w:rPr>
            <w:rFonts w:ascii="Arial" w:hAnsi="Arial" w:cs="Arial"/>
            <w:i/>
            <w:sz w:val="16"/>
            <w:szCs w:val="16"/>
          </w:rPr>
          <w:t>numPSFCHOccasions</w:t>
        </w:r>
        <w:r w:rsidRPr="00693A15">
          <w:rPr>
            <w:rFonts w:ascii="Arial" w:hAnsi="Arial" w:cs="Arial"/>
            <w:sz w:val="16"/>
            <w:szCs w:val="16"/>
          </w:rPr>
          <w:t xml:space="preserve"> is (pre-)configured, </w:t>
        </w:r>
      </w:ins>
      <w:r w:rsidRPr="00693A15">
        <w:rPr>
          <w:rFonts w:ascii="Arial" w:hAnsi="Arial" w:cs="Arial"/>
          <w:sz w:val="16"/>
          <w:szCs w:val="16"/>
        </w:rPr>
        <w:t xml:space="preserve">ending in slot </w:t>
      </w:r>
      <m:oMath>
        <m:r>
          <w:rPr>
            <w:rFonts w:ascii="Cambria Math" w:hAnsi="Cambria Math" w:cs="Arial"/>
            <w:sz w:val="16"/>
            <w:szCs w:val="16"/>
          </w:rPr>
          <m:t>n</m:t>
        </m:r>
      </m:oMath>
      <w:r w:rsidRPr="00693A15">
        <w:rPr>
          <w:rFonts w:ascii="Arial" w:hAnsi="Arial" w:cs="Arial"/>
          <w:sz w:val="16"/>
          <w:szCs w:val="16"/>
        </w:rPr>
        <w:t xml:space="preserve">, the UE provides the generated HARQ-ACK information in a PUCCH transmission within slot </w:t>
      </w:r>
      <m:oMath>
        <m:r>
          <w:rPr>
            <w:rFonts w:ascii="Cambria Math" w:hAnsi="Cambria Math" w:cs="Arial"/>
            <w:sz w:val="16"/>
            <w:szCs w:val="16"/>
          </w:rPr>
          <m:t>n+k</m:t>
        </m:r>
      </m:oMath>
      <w:r w:rsidRPr="00693A15">
        <w:rPr>
          <w:rFonts w:ascii="Arial" w:hAnsi="Arial" w:cs="Arial"/>
          <w:sz w:val="16"/>
          <w:szCs w:val="16"/>
        </w:rPr>
        <w:t xml:space="preserve">, subject to the overlapping conditions in clause 9.2.5, where </w:t>
      </w:r>
      <m:oMath>
        <m:r>
          <w:rPr>
            <w:rFonts w:ascii="Cambria Math" w:hAnsi="Cambria Math" w:cs="Arial"/>
            <w:sz w:val="16"/>
            <w:szCs w:val="16"/>
          </w:rPr>
          <m:t>k</m:t>
        </m:r>
      </m:oMath>
      <w:r w:rsidRPr="00693A15">
        <w:rPr>
          <w:rFonts w:ascii="Arial" w:hAnsi="Arial" w:cs="Arial"/>
          <w:sz w:val="16"/>
          <w:szCs w:val="16"/>
        </w:rPr>
        <w:t xml:space="preserve"> is a number of slots indicated by a PSFCH-to-HARQ feedback timing indicator field, if present, in a DCI format </w:t>
      </w:r>
      <w:r w:rsidRPr="00693A15">
        <w:rPr>
          <w:rFonts w:ascii="Arial" w:hAnsi="Arial" w:cs="Arial"/>
          <w:sz w:val="16"/>
          <w:szCs w:val="16"/>
          <w:lang w:eastAsia="zh-CN"/>
        </w:rPr>
        <w:t>indicating a slot for PUCCH transmission to report the HARQ-ACK information</w:t>
      </w:r>
      <w:r w:rsidRPr="00693A15">
        <w:rPr>
          <w:rFonts w:ascii="Arial" w:hAnsi="Arial" w:cs="Arial"/>
          <w:sz w:val="16"/>
          <w:szCs w:val="16"/>
        </w:rPr>
        <w:t xml:space="preserve">, or </w:t>
      </w:r>
      <m:oMath>
        <m:r>
          <w:rPr>
            <w:rFonts w:ascii="Cambria Math" w:hAnsi="Cambria Math" w:cs="Arial"/>
            <w:sz w:val="16"/>
            <w:szCs w:val="16"/>
          </w:rPr>
          <m:t>k</m:t>
        </m:r>
      </m:oMath>
      <w:r w:rsidRPr="00693A15">
        <w:rPr>
          <w:rFonts w:ascii="Arial" w:hAnsi="Arial" w:cs="Arial"/>
          <w:sz w:val="16"/>
          <w:szCs w:val="16"/>
        </w:rPr>
        <w:t xml:space="preserve"> is provided by </w:t>
      </w:r>
      <w:r w:rsidRPr="00693A15">
        <w:rPr>
          <w:rFonts w:ascii="Arial" w:hAnsi="Arial" w:cs="Arial"/>
          <w:i/>
          <w:iCs/>
          <w:sz w:val="16"/>
          <w:szCs w:val="16"/>
        </w:rPr>
        <w:t>sl-PSFCH-ToPUCCH</w:t>
      </w:r>
      <w:r w:rsidRPr="00693A15">
        <w:rPr>
          <w:rFonts w:ascii="Arial" w:hAnsi="Arial" w:cs="Arial"/>
          <w:sz w:val="16"/>
          <w:szCs w:val="16"/>
        </w:rPr>
        <w:t xml:space="preserve"> for a transmission scheduled by a DCI format or for a SL configured grant type 2, or by </w:t>
      </w:r>
      <w:r w:rsidRPr="00693A15">
        <w:rPr>
          <w:rFonts w:ascii="Arial" w:hAnsi="Arial" w:cs="Arial"/>
          <w:i/>
          <w:sz w:val="16"/>
          <w:szCs w:val="16"/>
        </w:rPr>
        <w:t xml:space="preserve">sl-PSFCH-ToPUCCH-CG-Type1 </w:t>
      </w:r>
      <w:r w:rsidRPr="00693A15">
        <w:rPr>
          <w:rFonts w:ascii="Arial" w:hAnsi="Arial" w:cs="Arial"/>
          <w:iCs/>
          <w:sz w:val="16"/>
          <w:szCs w:val="16"/>
        </w:rPr>
        <w:t>for a SL configured grant type 1</w:t>
      </w:r>
      <w:r w:rsidRPr="00693A15">
        <w:rPr>
          <w:rFonts w:ascii="Arial" w:hAnsi="Arial" w:cs="Arial"/>
          <w:sz w:val="16"/>
          <w:szCs w:val="16"/>
        </w:rPr>
        <w:t xml:space="preserve">. </w:t>
      </w:r>
      <m:oMath>
        <m:r>
          <w:rPr>
            <w:rFonts w:ascii="Cambria Math" w:hAnsi="Cambria Math" w:cs="Arial"/>
            <w:sz w:val="16"/>
            <w:szCs w:val="16"/>
          </w:rPr>
          <m:t>k=0</m:t>
        </m:r>
      </m:oMath>
      <w:r w:rsidRPr="00693A15">
        <w:rPr>
          <w:rFonts w:ascii="Arial" w:hAnsi="Arial" w:cs="Arial"/>
          <w:sz w:val="16"/>
          <w:szCs w:val="16"/>
        </w:rPr>
        <w:t xml:space="preserve"> corresponds to a last slot for a PUCCH transmission that would overlap with the last PSFCH reception occasion </w:t>
      </w:r>
      <w:ins w:id="407" w:author="Mixiang (Shawn)" w:date="2023-11-16T18:44:00Z">
        <w:r w:rsidRPr="00693A15">
          <w:rPr>
            <w:rFonts w:ascii="Arial" w:hAnsi="Arial" w:cs="Arial"/>
            <w:sz w:val="16"/>
            <w:szCs w:val="16"/>
          </w:rPr>
          <w:t xml:space="preserve">if </w:t>
        </w:r>
        <w:r w:rsidRPr="00693A15">
          <w:rPr>
            <w:rFonts w:ascii="Arial" w:hAnsi="Arial" w:cs="Arial"/>
            <w:i/>
            <w:sz w:val="16"/>
            <w:szCs w:val="16"/>
          </w:rPr>
          <w:t>numPSFCHOccasions</w:t>
        </w:r>
        <w:r w:rsidRPr="00693A15">
          <w:rPr>
            <w:rFonts w:ascii="Arial" w:hAnsi="Arial" w:cs="Arial"/>
            <w:sz w:val="16"/>
            <w:szCs w:val="16"/>
          </w:rPr>
          <w:t xml:space="preserve"> is </w:t>
        </w:r>
      </w:ins>
      <w:ins w:id="408" w:author="David mazzarese" w:date="2023-11-17T11:42:00Z">
        <w:r w:rsidRPr="00693A15">
          <w:rPr>
            <w:rFonts w:ascii="Arial" w:hAnsi="Arial" w:cs="Arial"/>
            <w:sz w:val="16"/>
            <w:szCs w:val="16"/>
          </w:rPr>
          <w:t xml:space="preserve">not </w:t>
        </w:r>
      </w:ins>
      <w:ins w:id="409" w:author="Mixiang (Shawn)" w:date="2023-11-16T18:44:00Z">
        <w:r w:rsidRPr="00693A15">
          <w:rPr>
            <w:rFonts w:ascii="Arial" w:hAnsi="Arial" w:cs="Arial"/>
            <w:sz w:val="16"/>
            <w:szCs w:val="16"/>
          </w:rPr>
          <w:t>(pre-)configured</w:t>
        </w:r>
      </w:ins>
      <w:r w:rsidRPr="00693A15">
        <w:rPr>
          <w:rFonts w:ascii="Arial" w:hAnsi="Arial" w:cs="Arial"/>
          <w:sz w:val="16"/>
          <w:szCs w:val="16"/>
        </w:rPr>
        <w:t xml:space="preserve"> </w:t>
      </w:r>
      <w:ins w:id="410" w:author="Mixiang (Shawn)" w:date="2023-11-16T18:45:00Z">
        <w:r w:rsidRPr="00693A15">
          <w:rPr>
            <w:rFonts w:ascii="Arial" w:hAnsi="Arial" w:cs="Arial"/>
            <w:sz w:val="16"/>
            <w:szCs w:val="16"/>
          </w:rPr>
          <w:t xml:space="preserve">or the last candidate PSFCH reception occasion if </w:t>
        </w:r>
        <w:r w:rsidRPr="00693A15">
          <w:rPr>
            <w:rFonts w:ascii="Arial" w:hAnsi="Arial" w:cs="Arial"/>
            <w:i/>
            <w:sz w:val="16"/>
            <w:szCs w:val="16"/>
          </w:rPr>
          <w:t>numPSFCHOccasions</w:t>
        </w:r>
        <w:r w:rsidRPr="00693A15">
          <w:rPr>
            <w:rFonts w:ascii="Arial" w:hAnsi="Arial" w:cs="Arial"/>
            <w:sz w:val="16"/>
            <w:szCs w:val="16"/>
          </w:rPr>
          <w:t xml:space="preserve"> is (pre-)configured, </w:t>
        </w:r>
      </w:ins>
      <w:r w:rsidRPr="00693A15">
        <w:rPr>
          <w:rFonts w:ascii="Arial" w:hAnsi="Arial" w:cs="Arial"/>
          <w:sz w:val="16"/>
          <w:szCs w:val="16"/>
        </w:rPr>
        <w:t>assuming that the start of the sidelink frame is same as the start of the downlink frame [4, TS 38.211].</w:t>
      </w:r>
    </w:p>
    <w:p w14:paraId="2FD70516" w14:textId="77777777" w:rsidR="00693A15" w:rsidRPr="00693A15" w:rsidRDefault="00693A15" w:rsidP="00273113">
      <w:pPr>
        <w:ind w:left="799"/>
        <w:jc w:val="center"/>
        <w:rPr>
          <w:rFonts w:ascii="Arial" w:hAnsi="Arial" w:cs="Arial"/>
          <w:color w:val="FF0000"/>
          <w:sz w:val="16"/>
          <w:szCs w:val="16"/>
          <w:lang w:eastAsia="zh-CN"/>
        </w:rPr>
      </w:pPr>
      <w:r w:rsidRPr="00693A15">
        <w:rPr>
          <w:rFonts w:ascii="Arial" w:hAnsi="Arial" w:cs="Arial"/>
          <w:color w:val="FF0000"/>
          <w:sz w:val="16"/>
          <w:szCs w:val="16"/>
        </w:rPr>
        <w:t>*** Unchanged parts are omitted ***</w:t>
      </w:r>
    </w:p>
    <w:p w14:paraId="05BF68CD" w14:textId="35E83EA4" w:rsidR="00273113" w:rsidRPr="00273113" w:rsidRDefault="00273113" w:rsidP="00273113">
      <w:pPr>
        <w:rPr>
          <w:color w:val="FF0000"/>
          <w:szCs w:val="20"/>
          <w:lang w:eastAsia="zh-CN"/>
        </w:rPr>
      </w:pPr>
      <w:r w:rsidRPr="00273113">
        <w:rPr>
          <w:color w:val="FF0000"/>
          <w:szCs w:val="20"/>
          <w:lang w:eastAsia="zh-CN"/>
        </w:rPr>
        <w:t xml:space="preserve">-------------------------- </w:t>
      </w:r>
      <w:r>
        <w:rPr>
          <w:color w:val="FF0000"/>
          <w:szCs w:val="20"/>
          <w:lang w:eastAsia="zh-CN"/>
        </w:rPr>
        <w:t>End</w:t>
      </w:r>
      <w:r w:rsidRPr="00273113">
        <w:rPr>
          <w:color w:val="FF0000"/>
          <w:szCs w:val="20"/>
          <w:lang w:eastAsia="zh-CN"/>
        </w:rPr>
        <w:t xml:space="preserve"> of Text Proposal for TS 38.213-----------------------------</w:t>
      </w:r>
    </w:p>
    <w:p w14:paraId="5F0D4125" w14:textId="77777777" w:rsidR="00693A15" w:rsidRDefault="00693A15" w:rsidP="007E2194">
      <w:pPr>
        <w:rPr>
          <w:lang w:eastAsia="x-none"/>
        </w:rPr>
      </w:pPr>
    </w:p>
    <w:p w14:paraId="169F0505" w14:textId="77777777" w:rsidR="00693A15" w:rsidRDefault="00693A15" w:rsidP="007E2194">
      <w:pPr>
        <w:rPr>
          <w:lang w:eastAsia="x-none"/>
        </w:rPr>
      </w:pPr>
    </w:p>
    <w:p w14:paraId="4E616B54" w14:textId="1E94FC33" w:rsidR="000237CF" w:rsidRPr="009537ED" w:rsidRDefault="00273113" w:rsidP="007E2194">
      <w:pPr>
        <w:rPr>
          <w:lang w:eastAsia="x-none"/>
        </w:rPr>
      </w:pPr>
      <w:r>
        <w:rPr>
          <w:lang w:eastAsia="x-none"/>
        </w:rPr>
        <w:t xml:space="preserve">Final summary in </w:t>
      </w:r>
      <w:hyperlink r:id="rId1033" w:history="1">
        <w:r w:rsidR="00AF7253">
          <w:rPr>
            <w:rStyle w:val="Hyperlink"/>
            <w:lang w:eastAsia="x-none"/>
          </w:rPr>
          <w:t>R1-2312532</w:t>
        </w:r>
      </w:hyperlink>
      <w:r w:rsidR="007E2194">
        <w:rPr>
          <w:lang w:eastAsia="x-none"/>
        </w:rPr>
        <w:t>.</w:t>
      </w:r>
    </w:p>
    <w:p w14:paraId="40CB473B" w14:textId="77777777" w:rsidR="00F74A6F" w:rsidRPr="009537ED" w:rsidRDefault="00F74A6F" w:rsidP="000237CF">
      <w:pPr>
        <w:pStyle w:val="Heading3"/>
      </w:pPr>
      <w:bookmarkStart w:id="411" w:name="_Toc150174454"/>
      <w:bookmarkStart w:id="412" w:name="_Toc159250996"/>
      <w:r w:rsidRPr="009537ED">
        <w:t>Co-channel coexistence for LTE sidelink and NR sidelink</w:t>
      </w:r>
      <w:bookmarkEnd w:id="411"/>
      <w:bookmarkEnd w:id="412"/>
    </w:p>
    <w:p w14:paraId="5178686A" w14:textId="7711EB94" w:rsidR="00F74A6F" w:rsidRPr="009537ED" w:rsidRDefault="005A18DC" w:rsidP="00F74A6F">
      <w:pPr>
        <w:rPr>
          <w:lang w:eastAsia="x-none"/>
        </w:rPr>
      </w:pPr>
      <w:hyperlink r:id="rId1034" w:history="1">
        <w:r w:rsidR="00AF7253">
          <w:rPr>
            <w:rStyle w:val="Hyperlink"/>
            <w:lang w:eastAsia="x-none"/>
          </w:rPr>
          <w:t>R1-2310813</w:t>
        </w:r>
      </w:hyperlink>
      <w:r w:rsidR="00F74A6F" w:rsidRPr="009537ED">
        <w:rPr>
          <w:lang w:eastAsia="x-none"/>
        </w:rPr>
        <w:tab/>
        <w:t>Remaining issues for Co-channel Coexistence for LTE Sidelink and NR Sidelink</w:t>
      </w:r>
      <w:r w:rsidR="00F74A6F" w:rsidRPr="009537ED">
        <w:rPr>
          <w:lang w:eastAsia="x-none"/>
        </w:rPr>
        <w:tab/>
        <w:t>Nokia, Nokia Shanghai Bell</w:t>
      </w:r>
    </w:p>
    <w:p w14:paraId="134A9D60" w14:textId="0C7D9E03" w:rsidR="00F74A6F" w:rsidRPr="009537ED" w:rsidRDefault="005A18DC" w:rsidP="00F74A6F">
      <w:pPr>
        <w:rPr>
          <w:lang w:eastAsia="x-none"/>
        </w:rPr>
      </w:pPr>
      <w:hyperlink r:id="rId1035" w:history="1">
        <w:r w:rsidR="00AF7253">
          <w:rPr>
            <w:rStyle w:val="Hyperlink"/>
            <w:lang w:eastAsia="x-none"/>
          </w:rPr>
          <w:t>R1-2310853</w:t>
        </w:r>
      </w:hyperlink>
      <w:r w:rsidR="00F74A6F" w:rsidRPr="009537ED">
        <w:rPr>
          <w:lang w:eastAsia="x-none"/>
        </w:rPr>
        <w:tab/>
        <w:t>Maintenance of co-channel coexistence for LTE sidelink and NR sidelink</w:t>
      </w:r>
      <w:r w:rsidR="00F74A6F" w:rsidRPr="009537ED">
        <w:rPr>
          <w:lang w:eastAsia="x-none"/>
        </w:rPr>
        <w:tab/>
        <w:t>Huawei, HiSilicon</w:t>
      </w:r>
    </w:p>
    <w:p w14:paraId="308430CF" w14:textId="6C1040AB" w:rsidR="00F74A6F" w:rsidRPr="009537ED" w:rsidRDefault="005A18DC" w:rsidP="00F74A6F">
      <w:pPr>
        <w:rPr>
          <w:lang w:eastAsia="x-none"/>
        </w:rPr>
      </w:pPr>
      <w:hyperlink r:id="rId1036" w:history="1">
        <w:r w:rsidR="00AF7253">
          <w:rPr>
            <w:rStyle w:val="Hyperlink"/>
            <w:lang w:eastAsia="x-none"/>
          </w:rPr>
          <w:t>R1-2311092</w:t>
        </w:r>
      </w:hyperlink>
      <w:r w:rsidR="00F74A6F" w:rsidRPr="009537ED">
        <w:rPr>
          <w:lang w:eastAsia="x-none"/>
        </w:rPr>
        <w:tab/>
        <w:t>Remaining issues on co-channel coexistence for LTE sidelink and NR sidelink</w:t>
      </w:r>
      <w:r w:rsidR="00F74A6F" w:rsidRPr="009537ED">
        <w:rPr>
          <w:lang w:eastAsia="x-none"/>
        </w:rPr>
        <w:tab/>
        <w:t>vivo</w:t>
      </w:r>
    </w:p>
    <w:p w14:paraId="5A51533C" w14:textId="36C281B4" w:rsidR="00F74A6F" w:rsidRPr="009537ED" w:rsidRDefault="005A18DC" w:rsidP="00F74A6F">
      <w:pPr>
        <w:rPr>
          <w:lang w:eastAsia="x-none"/>
        </w:rPr>
      </w:pPr>
      <w:hyperlink r:id="rId1037" w:history="1">
        <w:r w:rsidR="00AF7253">
          <w:rPr>
            <w:rStyle w:val="Hyperlink"/>
            <w:lang w:eastAsia="x-none"/>
          </w:rPr>
          <w:t>R1-2311238</w:t>
        </w:r>
      </w:hyperlink>
      <w:r w:rsidR="00F74A6F" w:rsidRPr="009537ED">
        <w:rPr>
          <w:lang w:eastAsia="x-none"/>
        </w:rPr>
        <w:tab/>
        <w:t>On maintenance of co-channel coexistence for LTE and NR SL</w:t>
      </w:r>
      <w:r w:rsidR="00F74A6F" w:rsidRPr="009537ED">
        <w:rPr>
          <w:lang w:eastAsia="x-none"/>
        </w:rPr>
        <w:tab/>
        <w:t>OPPO</w:t>
      </w:r>
    </w:p>
    <w:p w14:paraId="7CF2FD0F" w14:textId="661C329F" w:rsidR="00F74A6F" w:rsidRPr="009537ED" w:rsidRDefault="005A18DC" w:rsidP="00F74A6F">
      <w:pPr>
        <w:rPr>
          <w:lang w:eastAsia="x-none"/>
        </w:rPr>
      </w:pPr>
      <w:hyperlink r:id="rId1038" w:history="1">
        <w:r w:rsidR="00AF7253">
          <w:rPr>
            <w:rStyle w:val="Hyperlink"/>
            <w:lang w:eastAsia="x-none"/>
          </w:rPr>
          <w:t>R1-2311338</w:t>
        </w:r>
      </w:hyperlink>
      <w:r w:rsidR="00F74A6F" w:rsidRPr="009537ED">
        <w:rPr>
          <w:lang w:eastAsia="x-none"/>
        </w:rPr>
        <w:tab/>
        <w:t>Maintenance on co-channel coexistence for LTE sidelink and NR sidelink</w:t>
      </w:r>
      <w:r w:rsidR="00F74A6F" w:rsidRPr="009537ED">
        <w:rPr>
          <w:lang w:eastAsia="x-none"/>
        </w:rPr>
        <w:tab/>
        <w:t>CATT, CICTCI</w:t>
      </w:r>
    </w:p>
    <w:p w14:paraId="10E3279B" w14:textId="71EF9F56" w:rsidR="00F74A6F" w:rsidRPr="009537ED" w:rsidRDefault="005A18DC" w:rsidP="00F74A6F">
      <w:pPr>
        <w:rPr>
          <w:lang w:eastAsia="x-none"/>
        </w:rPr>
      </w:pPr>
      <w:hyperlink r:id="rId1039" w:history="1">
        <w:r w:rsidR="00AF7253">
          <w:rPr>
            <w:rStyle w:val="Hyperlink"/>
            <w:lang w:eastAsia="x-none"/>
          </w:rPr>
          <w:t>R1-2311517</w:t>
        </w:r>
      </w:hyperlink>
      <w:r w:rsidR="00F74A6F" w:rsidRPr="009537ED">
        <w:rPr>
          <w:lang w:eastAsia="x-none"/>
        </w:rPr>
        <w:tab/>
        <w:t>Maintenance on co-channel coexistence for LTE sidelink and NR sidelink</w:t>
      </w:r>
      <w:r w:rsidR="00F74A6F" w:rsidRPr="009537ED">
        <w:rPr>
          <w:lang w:eastAsia="x-none"/>
        </w:rPr>
        <w:tab/>
        <w:t>ZTE, Sanechips</w:t>
      </w:r>
    </w:p>
    <w:p w14:paraId="75732239" w14:textId="7364239C" w:rsidR="00F74A6F" w:rsidRPr="009537ED" w:rsidRDefault="005A18DC" w:rsidP="00F74A6F">
      <w:pPr>
        <w:rPr>
          <w:lang w:eastAsia="x-none"/>
        </w:rPr>
      </w:pPr>
      <w:hyperlink r:id="rId1040" w:history="1">
        <w:r w:rsidR="00AF7253">
          <w:rPr>
            <w:rStyle w:val="Hyperlink"/>
            <w:lang w:eastAsia="x-none"/>
          </w:rPr>
          <w:t>R1-2311621</w:t>
        </w:r>
      </w:hyperlink>
      <w:r w:rsidR="00F74A6F" w:rsidRPr="009537ED">
        <w:rPr>
          <w:lang w:eastAsia="x-none"/>
        </w:rPr>
        <w:tab/>
        <w:t>Maintenance on co-channel coexistence for LTE sidelink and NR sidelink</w:t>
      </w:r>
      <w:r w:rsidR="00F74A6F" w:rsidRPr="009537ED">
        <w:rPr>
          <w:lang w:eastAsia="x-none"/>
        </w:rPr>
        <w:tab/>
        <w:t>NTT DOCOMO, INC.</w:t>
      </w:r>
    </w:p>
    <w:p w14:paraId="5CF4D865" w14:textId="3CB789EA" w:rsidR="00F74A6F" w:rsidRPr="009537ED" w:rsidRDefault="005A18DC" w:rsidP="00F74A6F">
      <w:pPr>
        <w:rPr>
          <w:lang w:eastAsia="x-none"/>
        </w:rPr>
      </w:pPr>
      <w:hyperlink r:id="rId1041" w:history="1">
        <w:r w:rsidR="00AF7253">
          <w:rPr>
            <w:rStyle w:val="Hyperlink"/>
            <w:lang w:eastAsia="x-none"/>
          </w:rPr>
          <w:t>R1-2311768</w:t>
        </w:r>
      </w:hyperlink>
      <w:r w:rsidR="00F74A6F" w:rsidRPr="009537ED">
        <w:rPr>
          <w:lang w:eastAsia="x-none"/>
        </w:rPr>
        <w:tab/>
        <w:t>Remaining issues on co-channel coexistence for LTE sidelink and NR sidelink</w:t>
      </w:r>
      <w:r w:rsidR="00F74A6F" w:rsidRPr="009537ED">
        <w:rPr>
          <w:lang w:eastAsia="x-none"/>
        </w:rPr>
        <w:tab/>
        <w:t>Sharp</w:t>
      </w:r>
    </w:p>
    <w:p w14:paraId="381E85EA" w14:textId="05B1E744" w:rsidR="00F74A6F" w:rsidRPr="009537ED" w:rsidRDefault="005A18DC" w:rsidP="00F74A6F">
      <w:pPr>
        <w:rPr>
          <w:lang w:eastAsia="x-none"/>
        </w:rPr>
      </w:pPr>
      <w:hyperlink r:id="rId1042" w:history="1">
        <w:r w:rsidR="00AF7253">
          <w:rPr>
            <w:rStyle w:val="Hyperlink"/>
            <w:lang w:eastAsia="x-none"/>
          </w:rPr>
          <w:t>R1-2311839</w:t>
        </w:r>
      </w:hyperlink>
      <w:r w:rsidR="00F74A6F" w:rsidRPr="009537ED">
        <w:rPr>
          <w:lang w:eastAsia="x-none"/>
        </w:rPr>
        <w:tab/>
        <w:t>Remaining issues on co-channel coexistence for LTE sidelink and NR sidelink</w:t>
      </w:r>
      <w:r w:rsidR="00F74A6F" w:rsidRPr="009537ED">
        <w:rPr>
          <w:lang w:eastAsia="x-none"/>
        </w:rPr>
        <w:tab/>
        <w:t>Samsung</w:t>
      </w:r>
    </w:p>
    <w:p w14:paraId="06043914" w14:textId="79F8638E" w:rsidR="00F74A6F" w:rsidRPr="009537ED" w:rsidRDefault="005A18DC" w:rsidP="00F74A6F">
      <w:pPr>
        <w:rPr>
          <w:lang w:eastAsia="x-none"/>
        </w:rPr>
      </w:pPr>
      <w:hyperlink r:id="rId1043" w:history="1">
        <w:r w:rsidR="00AF7253">
          <w:rPr>
            <w:rStyle w:val="Hyperlink"/>
            <w:lang w:eastAsia="x-none"/>
          </w:rPr>
          <w:t>R1-2311886</w:t>
        </w:r>
      </w:hyperlink>
      <w:r w:rsidR="00F74A6F" w:rsidRPr="009537ED">
        <w:rPr>
          <w:lang w:eastAsia="x-none"/>
        </w:rPr>
        <w:tab/>
        <w:t>Remaining issues for Co-channel coexistence between LTE sidelink and NR sidelink</w:t>
      </w:r>
      <w:r w:rsidR="00F74A6F" w:rsidRPr="009537ED">
        <w:rPr>
          <w:lang w:eastAsia="x-none"/>
        </w:rPr>
        <w:tab/>
        <w:t>InterDigital, Inc.</w:t>
      </w:r>
    </w:p>
    <w:p w14:paraId="00C33AB6" w14:textId="77777777" w:rsidR="00376887" w:rsidRPr="009537ED" w:rsidRDefault="00376887" w:rsidP="00376887">
      <w:pPr>
        <w:rPr>
          <w:rFonts w:ascii="Times New Roman" w:hAnsi="Times New Roman"/>
          <w:szCs w:val="20"/>
          <w:lang w:eastAsia="x-none"/>
        </w:rPr>
      </w:pPr>
    </w:p>
    <w:p w14:paraId="6F767221" w14:textId="4F7F206F" w:rsidR="00376887" w:rsidRPr="009537ED" w:rsidRDefault="005A18DC" w:rsidP="00376887">
      <w:pPr>
        <w:rPr>
          <w:rFonts w:ascii="Times New Roman" w:hAnsi="Times New Roman"/>
          <w:b/>
          <w:bCs/>
          <w:szCs w:val="20"/>
          <w:lang w:eastAsia="x-none"/>
        </w:rPr>
      </w:pPr>
      <w:hyperlink r:id="rId1044" w:history="1">
        <w:r w:rsidR="00AF7253">
          <w:rPr>
            <w:rStyle w:val="Hyperlink"/>
            <w:rFonts w:ascii="Times New Roman" w:hAnsi="Times New Roman"/>
            <w:b/>
            <w:bCs/>
            <w:szCs w:val="20"/>
            <w:lang w:eastAsia="x-none"/>
          </w:rPr>
          <w:t>R1-2312259</w:t>
        </w:r>
      </w:hyperlink>
      <w:r w:rsidR="00376887" w:rsidRPr="009537ED">
        <w:rPr>
          <w:rFonts w:ascii="Times New Roman" w:hAnsi="Times New Roman"/>
          <w:b/>
          <w:bCs/>
          <w:szCs w:val="20"/>
          <w:lang w:eastAsia="x-none"/>
        </w:rPr>
        <w:tab/>
        <w:t>FL Summary #1 for AI 8.2.2: Co-channel coexistence for LTE sidelink and NR sidelink</w:t>
      </w:r>
      <w:r w:rsidR="00376887" w:rsidRPr="009537ED">
        <w:rPr>
          <w:rFonts w:ascii="Times New Roman" w:hAnsi="Times New Roman"/>
          <w:b/>
          <w:bCs/>
          <w:szCs w:val="20"/>
          <w:lang w:eastAsia="x-none"/>
        </w:rPr>
        <w:tab/>
        <w:t>Moderator (LG Electronics)</w:t>
      </w:r>
    </w:p>
    <w:p w14:paraId="2E055A18" w14:textId="5FFD2FAD" w:rsidR="00376887" w:rsidRPr="009537ED" w:rsidRDefault="00376887" w:rsidP="00376887">
      <w:pPr>
        <w:rPr>
          <w:rFonts w:ascii="Times New Roman" w:hAnsi="Times New Roman"/>
          <w:szCs w:val="20"/>
          <w:lang w:eastAsia="x-none"/>
        </w:rPr>
      </w:pPr>
      <w:r w:rsidRPr="009537ED">
        <w:rPr>
          <w:rFonts w:ascii="Times New Roman" w:hAnsi="Times New Roman"/>
          <w:szCs w:val="20"/>
          <w:lang w:eastAsia="x-none"/>
        </w:rPr>
        <w:t>From Monday session</w:t>
      </w:r>
    </w:p>
    <w:p w14:paraId="1E5E192C" w14:textId="77777777" w:rsidR="00376887" w:rsidRPr="009537ED" w:rsidRDefault="00376887" w:rsidP="00376887">
      <w:pPr>
        <w:rPr>
          <w:rFonts w:ascii="Times New Roman" w:hAnsi="Times New Roman"/>
          <w:szCs w:val="20"/>
          <w:u w:val="single"/>
          <w:lang w:eastAsia="x-none"/>
        </w:rPr>
      </w:pPr>
      <w:r w:rsidRPr="009537ED">
        <w:rPr>
          <w:rFonts w:ascii="Times New Roman" w:hAnsi="Times New Roman"/>
          <w:szCs w:val="20"/>
          <w:u w:val="single"/>
          <w:lang w:eastAsia="x-none"/>
        </w:rPr>
        <w:t>Conclusion</w:t>
      </w:r>
    </w:p>
    <w:p w14:paraId="1AF86748" w14:textId="2B9F26A5" w:rsidR="00376887" w:rsidRPr="009537ED" w:rsidRDefault="00376887" w:rsidP="00376887">
      <w:pPr>
        <w:rPr>
          <w:rFonts w:ascii="Times New Roman" w:hAnsi="Times New Roman"/>
          <w:szCs w:val="20"/>
          <w:lang w:eastAsia="x-none"/>
        </w:rPr>
      </w:pPr>
      <w:r w:rsidRPr="009537ED">
        <w:rPr>
          <w:rFonts w:ascii="Times New Roman" w:hAnsi="Times New Roman"/>
          <w:szCs w:val="20"/>
          <w:lang w:eastAsia="x-none"/>
        </w:rPr>
        <w:t xml:space="preserve">There is no consensus in RAN1 to endorse Text Proposal 2 (I) in Section 4.1.2 of </w:t>
      </w:r>
      <w:hyperlink r:id="rId1045" w:history="1">
        <w:r w:rsidR="00AF7253">
          <w:rPr>
            <w:rStyle w:val="Hyperlink"/>
            <w:rFonts w:ascii="Times New Roman" w:hAnsi="Times New Roman"/>
            <w:szCs w:val="20"/>
            <w:lang w:eastAsia="x-none"/>
          </w:rPr>
          <w:t>R1-2312259</w:t>
        </w:r>
      </w:hyperlink>
      <w:r w:rsidRPr="009537ED">
        <w:rPr>
          <w:rFonts w:ascii="Times New Roman" w:hAnsi="Times New Roman"/>
          <w:szCs w:val="20"/>
          <w:lang w:eastAsia="x-none"/>
        </w:rPr>
        <w:t xml:space="preserve"> (for TS 38.214 clause 8.1.4) for capturing the information shared by the E-UTRA radio access, and the TP is not pursued in Rel-18.</w:t>
      </w:r>
    </w:p>
    <w:p w14:paraId="469EF4C5" w14:textId="77777777" w:rsidR="00376887" w:rsidRPr="009537ED" w:rsidRDefault="00376887" w:rsidP="00376887">
      <w:pPr>
        <w:rPr>
          <w:rFonts w:ascii="Times New Roman" w:hAnsi="Times New Roman"/>
          <w:szCs w:val="20"/>
          <w:lang w:eastAsia="x-none"/>
        </w:rPr>
      </w:pPr>
    </w:p>
    <w:p w14:paraId="18E3AFA6" w14:textId="77777777" w:rsidR="00376887" w:rsidRPr="009537ED" w:rsidRDefault="00376887" w:rsidP="00376887">
      <w:pPr>
        <w:rPr>
          <w:rFonts w:ascii="Times New Roman" w:hAnsi="Times New Roman"/>
          <w:szCs w:val="20"/>
          <w:u w:val="single"/>
          <w:lang w:eastAsia="x-none"/>
        </w:rPr>
      </w:pPr>
      <w:r w:rsidRPr="009537ED">
        <w:rPr>
          <w:rFonts w:ascii="Times New Roman" w:hAnsi="Times New Roman"/>
          <w:szCs w:val="20"/>
          <w:u w:val="single"/>
          <w:lang w:eastAsia="x-none"/>
        </w:rPr>
        <w:t>Conclusion</w:t>
      </w:r>
    </w:p>
    <w:p w14:paraId="1DC5D05C" w14:textId="6D35FB59" w:rsidR="00376887" w:rsidRPr="009537ED" w:rsidRDefault="00376887" w:rsidP="00376887">
      <w:pPr>
        <w:rPr>
          <w:rFonts w:ascii="Times New Roman" w:hAnsi="Times New Roman"/>
          <w:szCs w:val="20"/>
          <w:lang w:eastAsia="x-none"/>
        </w:rPr>
      </w:pPr>
      <w:r w:rsidRPr="009537ED">
        <w:rPr>
          <w:rFonts w:ascii="Times New Roman" w:hAnsi="Times New Roman"/>
          <w:szCs w:val="20"/>
          <w:lang w:eastAsia="x-none"/>
        </w:rPr>
        <w:t xml:space="preserve">There is no consensus in RAN1 to endorse Text Proposal 3 (I) in Section 4.1.3 of </w:t>
      </w:r>
      <w:hyperlink r:id="rId1046" w:history="1">
        <w:r w:rsidR="00AF7253">
          <w:rPr>
            <w:rStyle w:val="Hyperlink"/>
            <w:rFonts w:ascii="Times New Roman" w:hAnsi="Times New Roman"/>
            <w:szCs w:val="20"/>
            <w:lang w:eastAsia="x-none"/>
          </w:rPr>
          <w:t>R1-2312259</w:t>
        </w:r>
      </w:hyperlink>
      <w:r w:rsidRPr="009537ED">
        <w:rPr>
          <w:rFonts w:ascii="Times New Roman" w:hAnsi="Times New Roman"/>
          <w:szCs w:val="20"/>
          <w:lang w:eastAsia="x-none"/>
        </w:rPr>
        <w:t xml:space="preserve"> (for TS 38.214 clause 8.1.4), for the conditions under which NR SL candidate resource exclusion based on LTE SL own transmissions is performed in Step 5LTE2, and the TP is not pursued in Rel-18.</w:t>
      </w:r>
    </w:p>
    <w:p w14:paraId="48D7179D" w14:textId="77777777" w:rsidR="00376887" w:rsidRPr="009537ED" w:rsidRDefault="00376887" w:rsidP="00376887">
      <w:pPr>
        <w:rPr>
          <w:rFonts w:ascii="Times New Roman" w:hAnsi="Times New Roman"/>
          <w:szCs w:val="20"/>
          <w:lang w:eastAsia="x-none"/>
        </w:rPr>
      </w:pPr>
    </w:p>
    <w:p w14:paraId="71D63397" w14:textId="77777777" w:rsidR="00376887" w:rsidRPr="009537ED" w:rsidRDefault="00376887" w:rsidP="00376887">
      <w:pPr>
        <w:rPr>
          <w:rFonts w:ascii="Times New Roman" w:hAnsi="Times New Roman"/>
          <w:szCs w:val="20"/>
          <w:u w:val="single"/>
          <w:lang w:eastAsia="x-none"/>
        </w:rPr>
      </w:pPr>
      <w:r w:rsidRPr="009537ED">
        <w:rPr>
          <w:rFonts w:ascii="Times New Roman" w:hAnsi="Times New Roman"/>
          <w:szCs w:val="20"/>
          <w:u w:val="single"/>
          <w:lang w:eastAsia="x-none"/>
        </w:rPr>
        <w:t>Conclusion</w:t>
      </w:r>
    </w:p>
    <w:p w14:paraId="0222A1D4" w14:textId="6D381563" w:rsidR="00376887" w:rsidRPr="009537ED" w:rsidRDefault="00376887" w:rsidP="00376887">
      <w:pPr>
        <w:rPr>
          <w:rFonts w:ascii="Times New Roman" w:hAnsi="Times New Roman"/>
          <w:szCs w:val="20"/>
          <w:lang w:eastAsia="x-none"/>
        </w:rPr>
      </w:pPr>
      <w:r w:rsidRPr="009537ED">
        <w:rPr>
          <w:rFonts w:ascii="Times New Roman" w:hAnsi="Times New Roman"/>
          <w:szCs w:val="20"/>
          <w:lang w:eastAsia="x-none"/>
        </w:rPr>
        <w:t xml:space="preserve">There is no consensus in RAN1 to endorse Text Proposal 5 (I) in Section 4.1.4 of </w:t>
      </w:r>
      <w:hyperlink r:id="rId1047" w:history="1">
        <w:r w:rsidR="00AF7253">
          <w:rPr>
            <w:rStyle w:val="Hyperlink"/>
            <w:rFonts w:ascii="Times New Roman" w:hAnsi="Times New Roman"/>
            <w:szCs w:val="20"/>
            <w:lang w:eastAsia="x-none"/>
          </w:rPr>
          <w:t>R1-2312259</w:t>
        </w:r>
      </w:hyperlink>
      <w:r w:rsidRPr="009537ED">
        <w:rPr>
          <w:rFonts w:ascii="Times New Roman" w:hAnsi="Times New Roman"/>
          <w:szCs w:val="20"/>
          <w:lang w:eastAsia="x-none"/>
        </w:rPr>
        <w:t xml:space="preserve"> (for TS 38.214 clause 8.1.4), for performing exclusion of NR SL candidate resource overlapping with LTE PSCCH resources for non-adjacent LTE PSCCH/PSSCH resources in Step 5LTE1, and the TP is not pursued in Rel-18.</w:t>
      </w:r>
    </w:p>
    <w:p w14:paraId="05A6F918" w14:textId="77777777" w:rsidR="00376887" w:rsidRPr="009537ED" w:rsidRDefault="00376887" w:rsidP="00376887">
      <w:pPr>
        <w:rPr>
          <w:rFonts w:ascii="Times New Roman" w:hAnsi="Times New Roman"/>
          <w:szCs w:val="20"/>
          <w:lang w:eastAsia="x-none"/>
        </w:rPr>
      </w:pPr>
    </w:p>
    <w:p w14:paraId="41862237" w14:textId="77777777" w:rsidR="00376887" w:rsidRPr="009537ED" w:rsidRDefault="00376887" w:rsidP="00376887">
      <w:pPr>
        <w:rPr>
          <w:rFonts w:ascii="Times New Roman" w:hAnsi="Times New Roman"/>
          <w:szCs w:val="20"/>
          <w:u w:val="single"/>
          <w:lang w:eastAsia="x-none"/>
        </w:rPr>
      </w:pPr>
      <w:r w:rsidRPr="009537ED">
        <w:rPr>
          <w:rFonts w:ascii="Times New Roman" w:hAnsi="Times New Roman"/>
          <w:szCs w:val="20"/>
          <w:u w:val="single"/>
          <w:lang w:eastAsia="x-none"/>
        </w:rPr>
        <w:t>Conclusion</w:t>
      </w:r>
    </w:p>
    <w:p w14:paraId="555F448C" w14:textId="4D76CA4D" w:rsidR="00376887" w:rsidRPr="009537ED" w:rsidRDefault="00376887" w:rsidP="00376887">
      <w:pPr>
        <w:rPr>
          <w:rFonts w:ascii="Times New Roman" w:hAnsi="Times New Roman"/>
          <w:szCs w:val="20"/>
          <w:lang w:eastAsia="x-none"/>
        </w:rPr>
      </w:pPr>
      <w:r w:rsidRPr="009537ED">
        <w:rPr>
          <w:rFonts w:ascii="Times New Roman" w:hAnsi="Times New Roman"/>
          <w:szCs w:val="20"/>
          <w:lang w:eastAsia="x-none"/>
        </w:rPr>
        <w:lastRenderedPageBreak/>
        <w:t xml:space="preserve">There is no consensus in RAN1 to endorse Text Proposal 6 (I) in Section 4.1.5 of </w:t>
      </w:r>
      <w:hyperlink r:id="rId1048" w:history="1">
        <w:r w:rsidR="00AF7253">
          <w:rPr>
            <w:rStyle w:val="Hyperlink"/>
            <w:rFonts w:ascii="Times New Roman" w:hAnsi="Times New Roman"/>
            <w:szCs w:val="20"/>
            <w:lang w:eastAsia="x-none"/>
          </w:rPr>
          <w:t>R1-2312259</w:t>
        </w:r>
      </w:hyperlink>
      <w:r w:rsidRPr="009537ED">
        <w:rPr>
          <w:rFonts w:ascii="Times New Roman" w:hAnsi="Times New Roman"/>
          <w:szCs w:val="20"/>
          <w:lang w:eastAsia="x-none"/>
        </w:rPr>
        <w:t xml:space="preserve"> (for TS 38.214 clause 8.1.4), for Clarification of LTE SCI format 1 being received by LTE SL module in Step 5LTE3, and the TP is not pursued in Rel-18.</w:t>
      </w:r>
    </w:p>
    <w:p w14:paraId="42D59D3B" w14:textId="77777777" w:rsidR="00376887" w:rsidRPr="009537ED" w:rsidRDefault="00376887" w:rsidP="00376887">
      <w:pPr>
        <w:rPr>
          <w:rFonts w:ascii="Times New Roman" w:hAnsi="Times New Roman"/>
          <w:szCs w:val="20"/>
          <w:lang w:eastAsia="x-none"/>
        </w:rPr>
      </w:pPr>
    </w:p>
    <w:p w14:paraId="51DB6348" w14:textId="77777777" w:rsidR="00376887" w:rsidRPr="009537ED" w:rsidRDefault="00376887" w:rsidP="00376887">
      <w:pPr>
        <w:rPr>
          <w:rFonts w:ascii="Times New Roman" w:hAnsi="Times New Roman"/>
          <w:szCs w:val="20"/>
          <w:u w:val="single"/>
          <w:lang w:eastAsia="x-none"/>
        </w:rPr>
      </w:pPr>
      <w:r w:rsidRPr="009537ED">
        <w:rPr>
          <w:rFonts w:ascii="Times New Roman" w:hAnsi="Times New Roman"/>
          <w:szCs w:val="20"/>
          <w:u w:val="single"/>
          <w:lang w:eastAsia="x-none"/>
        </w:rPr>
        <w:t>Conclusion</w:t>
      </w:r>
    </w:p>
    <w:p w14:paraId="02B250BF" w14:textId="2A58408D" w:rsidR="00376887" w:rsidRPr="009537ED" w:rsidRDefault="00376887" w:rsidP="00376887">
      <w:pPr>
        <w:rPr>
          <w:rFonts w:ascii="Times New Roman" w:hAnsi="Times New Roman"/>
          <w:szCs w:val="20"/>
          <w:lang w:eastAsia="x-none"/>
        </w:rPr>
      </w:pPr>
      <w:r w:rsidRPr="009537ED">
        <w:rPr>
          <w:rFonts w:ascii="Times New Roman" w:hAnsi="Times New Roman"/>
          <w:szCs w:val="20"/>
          <w:lang w:eastAsia="x-none"/>
        </w:rPr>
        <w:t xml:space="preserve">There is no consensus in RAN1 to endorse Text Proposal 12 (I) in Section 4.1.11 of </w:t>
      </w:r>
      <w:hyperlink r:id="rId1049" w:history="1">
        <w:r w:rsidR="00AF7253">
          <w:rPr>
            <w:rStyle w:val="Hyperlink"/>
            <w:rFonts w:ascii="Times New Roman" w:hAnsi="Times New Roman"/>
            <w:szCs w:val="20"/>
            <w:lang w:eastAsia="x-none"/>
          </w:rPr>
          <w:t>R1-2312259</w:t>
        </w:r>
      </w:hyperlink>
      <w:r w:rsidRPr="009537ED">
        <w:rPr>
          <w:rFonts w:ascii="Times New Roman" w:hAnsi="Times New Roman"/>
          <w:szCs w:val="20"/>
          <w:lang w:eastAsia="x-none"/>
        </w:rPr>
        <w:t xml:space="preserve"> (for TS 38.214 clause 8.1.4), for Further enhancement of performing pre-emption of NR SL resources overlapping with LTE SL resources selected to be used by its own LTE SL module, and the TP is not pursued in Rel-18.</w:t>
      </w:r>
    </w:p>
    <w:p w14:paraId="0DD055D4" w14:textId="77777777" w:rsidR="00376887" w:rsidRPr="009537ED" w:rsidRDefault="00376887" w:rsidP="00376887">
      <w:pPr>
        <w:rPr>
          <w:rFonts w:ascii="Times New Roman" w:hAnsi="Times New Roman"/>
          <w:szCs w:val="20"/>
          <w:lang w:eastAsia="x-none"/>
        </w:rPr>
      </w:pPr>
    </w:p>
    <w:p w14:paraId="0C796BF6" w14:textId="77777777" w:rsidR="00376887" w:rsidRPr="009537ED" w:rsidRDefault="00376887" w:rsidP="00376887">
      <w:pPr>
        <w:rPr>
          <w:rFonts w:ascii="Times New Roman" w:hAnsi="Times New Roman"/>
          <w:szCs w:val="20"/>
          <w:lang w:eastAsia="x-none"/>
        </w:rPr>
      </w:pPr>
    </w:p>
    <w:p w14:paraId="292F8191" w14:textId="2FC361B3" w:rsidR="00376887" w:rsidRPr="007E2194" w:rsidRDefault="005A18DC" w:rsidP="00376887">
      <w:pPr>
        <w:rPr>
          <w:rFonts w:ascii="Times New Roman" w:hAnsi="Times New Roman"/>
          <w:b/>
          <w:bCs/>
          <w:szCs w:val="20"/>
          <w:lang w:eastAsia="x-none"/>
        </w:rPr>
      </w:pPr>
      <w:hyperlink r:id="rId1050" w:history="1">
        <w:r w:rsidR="00AF7253">
          <w:rPr>
            <w:rStyle w:val="Hyperlink"/>
            <w:rFonts w:ascii="Times New Roman" w:hAnsi="Times New Roman"/>
            <w:b/>
            <w:bCs/>
            <w:szCs w:val="20"/>
            <w:lang w:eastAsia="x-none"/>
          </w:rPr>
          <w:t>R1-2312260</w:t>
        </w:r>
      </w:hyperlink>
      <w:r w:rsidR="00376887" w:rsidRPr="007E2194">
        <w:rPr>
          <w:rFonts w:ascii="Times New Roman" w:hAnsi="Times New Roman"/>
          <w:b/>
          <w:bCs/>
          <w:szCs w:val="20"/>
          <w:lang w:eastAsia="x-none"/>
        </w:rPr>
        <w:tab/>
        <w:t>FL Summary #2 for AI 8.2.2: Co-channel coexistence for LTE sidelink and NR sidelink</w:t>
      </w:r>
      <w:r w:rsidR="00376887" w:rsidRPr="007E2194">
        <w:rPr>
          <w:rFonts w:ascii="Times New Roman" w:hAnsi="Times New Roman"/>
          <w:b/>
          <w:bCs/>
          <w:szCs w:val="20"/>
          <w:lang w:eastAsia="x-none"/>
        </w:rPr>
        <w:tab/>
        <w:t>Moderator (LG Electronics)</w:t>
      </w:r>
    </w:p>
    <w:p w14:paraId="7B00733A" w14:textId="0D91892E" w:rsidR="007E2194" w:rsidRDefault="007E2194" w:rsidP="00376887">
      <w:pPr>
        <w:rPr>
          <w:rFonts w:ascii="Times New Roman" w:hAnsi="Times New Roman"/>
          <w:szCs w:val="20"/>
          <w:lang w:eastAsia="x-none"/>
        </w:rPr>
      </w:pPr>
      <w:r>
        <w:rPr>
          <w:rFonts w:ascii="Times New Roman" w:hAnsi="Times New Roman"/>
          <w:szCs w:val="20"/>
          <w:lang w:eastAsia="x-none"/>
        </w:rPr>
        <w:t>From Thursday</w:t>
      </w:r>
    </w:p>
    <w:p w14:paraId="6A89E6DF" w14:textId="77777777" w:rsidR="007E2194" w:rsidRPr="007E2194" w:rsidRDefault="007E2194" w:rsidP="007E2194">
      <w:pPr>
        <w:rPr>
          <w:rFonts w:ascii="Times New Roman" w:hAnsi="Times New Roman"/>
          <w:lang w:eastAsia="x-none"/>
        </w:rPr>
      </w:pPr>
      <w:r w:rsidRPr="007E2194">
        <w:rPr>
          <w:rFonts w:ascii="Times New Roman" w:hAnsi="Times New Roman"/>
          <w:highlight w:val="green"/>
          <w:lang w:eastAsia="x-none"/>
        </w:rPr>
        <w:t>Agreement</w:t>
      </w:r>
    </w:p>
    <w:p w14:paraId="476AED86" w14:textId="440C02A7" w:rsidR="007E2194" w:rsidRPr="007E2194" w:rsidRDefault="007E2194" w:rsidP="007E2194">
      <w:pPr>
        <w:rPr>
          <w:rFonts w:ascii="Times New Roman" w:hAnsi="Times New Roman"/>
          <w:lang w:eastAsia="x-none"/>
        </w:rPr>
      </w:pPr>
      <w:r w:rsidRPr="007E2194">
        <w:rPr>
          <w:rFonts w:ascii="Times New Roman" w:hAnsi="Times New Roman"/>
          <w:lang w:eastAsia="x-none"/>
        </w:rPr>
        <w:t xml:space="preserve">Text Proposal 1 (II) in Section 4.2.1 of </w:t>
      </w:r>
      <w:hyperlink r:id="rId1051" w:history="1">
        <w:r w:rsidR="00AF7253">
          <w:rPr>
            <w:rStyle w:val="Hyperlink"/>
            <w:rFonts w:ascii="Times New Roman" w:hAnsi="Times New Roman"/>
            <w:lang w:eastAsia="x-none"/>
          </w:rPr>
          <w:t>R1-2312260</w:t>
        </w:r>
      </w:hyperlink>
      <w:r w:rsidRPr="007E2194">
        <w:rPr>
          <w:rFonts w:ascii="Times New Roman" w:hAnsi="Times New Roman"/>
          <w:lang w:eastAsia="x-none"/>
        </w:rPr>
        <w:t xml:space="preserve"> is endorsed for TS 38.214 clause 8.1.4.</w:t>
      </w:r>
    </w:p>
    <w:p w14:paraId="6C2718D3" w14:textId="77777777" w:rsidR="007E2194" w:rsidRPr="007E2194" w:rsidRDefault="007E2194" w:rsidP="007E2194">
      <w:pPr>
        <w:rPr>
          <w:rFonts w:ascii="Times New Roman" w:hAnsi="Times New Roman"/>
          <w:lang w:eastAsia="x-none"/>
        </w:rPr>
      </w:pPr>
    </w:p>
    <w:p w14:paraId="32F04D1D" w14:textId="77777777" w:rsidR="007E2194" w:rsidRPr="007E2194" w:rsidRDefault="007E2194" w:rsidP="007E2194">
      <w:pPr>
        <w:rPr>
          <w:rFonts w:ascii="Times New Roman" w:hAnsi="Times New Roman"/>
          <w:u w:val="single"/>
          <w:lang w:eastAsia="x-none"/>
        </w:rPr>
      </w:pPr>
      <w:r w:rsidRPr="007E2194">
        <w:rPr>
          <w:rFonts w:ascii="Times New Roman" w:hAnsi="Times New Roman"/>
          <w:u w:val="single"/>
          <w:lang w:eastAsia="x-none"/>
        </w:rPr>
        <w:t>Conclusion</w:t>
      </w:r>
    </w:p>
    <w:p w14:paraId="47CB321E" w14:textId="77777777" w:rsidR="007E2194" w:rsidRPr="007E2194" w:rsidRDefault="007E2194" w:rsidP="007E2194">
      <w:pPr>
        <w:rPr>
          <w:rFonts w:ascii="Times New Roman" w:hAnsi="Times New Roman"/>
          <w:lang w:eastAsia="x-none"/>
        </w:rPr>
      </w:pPr>
      <w:r w:rsidRPr="007E2194">
        <w:rPr>
          <w:rFonts w:ascii="Times New Roman" w:hAnsi="Times New Roman"/>
          <w:lang w:eastAsia="x-none"/>
        </w:rPr>
        <w:t>RAN1 does not pursue specific enhancement on alignment between reserved slots of NR SL and reserved subframes of LTE SL.</w:t>
      </w:r>
    </w:p>
    <w:p w14:paraId="594E87E8" w14:textId="77777777" w:rsidR="007E2194" w:rsidRPr="007E2194" w:rsidRDefault="007E2194" w:rsidP="007E2194">
      <w:pPr>
        <w:rPr>
          <w:rFonts w:ascii="Times New Roman" w:hAnsi="Times New Roman"/>
          <w:lang w:eastAsia="x-none"/>
        </w:rPr>
      </w:pPr>
    </w:p>
    <w:p w14:paraId="34C0B569" w14:textId="77777777" w:rsidR="007E2194" w:rsidRPr="007E2194" w:rsidRDefault="007E2194" w:rsidP="007E2194">
      <w:pPr>
        <w:rPr>
          <w:rFonts w:ascii="Times New Roman" w:hAnsi="Times New Roman"/>
          <w:u w:val="single"/>
          <w:lang w:eastAsia="x-none"/>
        </w:rPr>
      </w:pPr>
      <w:r w:rsidRPr="007E2194">
        <w:rPr>
          <w:rFonts w:ascii="Times New Roman" w:hAnsi="Times New Roman"/>
          <w:u w:val="single"/>
          <w:lang w:eastAsia="x-none"/>
        </w:rPr>
        <w:t>Conclusion</w:t>
      </w:r>
    </w:p>
    <w:p w14:paraId="5FFC46B9" w14:textId="77777777" w:rsidR="007E2194" w:rsidRPr="007E2194" w:rsidRDefault="007E2194" w:rsidP="007E2194">
      <w:pPr>
        <w:rPr>
          <w:rFonts w:ascii="Times New Roman" w:hAnsi="Times New Roman"/>
          <w:lang w:eastAsia="zh-CN"/>
        </w:rPr>
      </w:pPr>
      <w:r w:rsidRPr="007E2194">
        <w:rPr>
          <w:rFonts w:ascii="Times New Roman" w:hAnsi="Times New Roman"/>
          <w:lang w:eastAsia="zh-CN"/>
        </w:rPr>
        <w:t>RAN1 does not pursue specific enhancement on alignment of SFN/DFN indices</w:t>
      </w:r>
      <w:r w:rsidRPr="007E2194">
        <w:rPr>
          <w:rFonts w:ascii="Times New Roman" w:hAnsi="Times New Roman"/>
        </w:rPr>
        <w:t xml:space="preserve"> </w:t>
      </w:r>
      <w:r w:rsidRPr="007E2194">
        <w:rPr>
          <w:rFonts w:ascii="Times New Roman" w:hAnsi="Times New Roman"/>
          <w:lang w:eastAsia="zh-CN"/>
        </w:rPr>
        <w:t>between LTE SL and NR SL for dynamic resource pool sharing.</w:t>
      </w:r>
    </w:p>
    <w:p w14:paraId="6C320F48" w14:textId="77777777" w:rsidR="007E2194" w:rsidRPr="007E2194" w:rsidRDefault="007E2194" w:rsidP="007E2194">
      <w:pPr>
        <w:rPr>
          <w:rFonts w:ascii="Times New Roman" w:hAnsi="Times New Roman"/>
          <w:lang w:eastAsia="x-none"/>
        </w:rPr>
      </w:pPr>
    </w:p>
    <w:p w14:paraId="57812275" w14:textId="77777777" w:rsidR="007E2194" w:rsidRPr="007E2194" w:rsidRDefault="007E2194" w:rsidP="007E2194">
      <w:pPr>
        <w:rPr>
          <w:rFonts w:ascii="Times New Roman" w:hAnsi="Times New Roman"/>
          <w:u w:val="single"/>
          <w:lang w:eastAsia="x-none"/>
        </w:rPr>
      </w:pPr>
      <w:r w:rsidRPr="007E2194">
        <w:rPr>
          <w:rFonts w:ascii="Times New Roman" w:hAnsi="Times New Roman"/>
          <w:u w:val="single"/>
          <w:lang w:eastAsia="x-none"/>
        </w:rPr>
        <w:t>Conclusion</w:t>
      </w:r>
    </w:p>
    <w:p w14:paraId="1013D286" w14:textId="77777777" w:rsidR="007E2194" w:rsidRPr="007E2194" w:rsidRDefault="007E2194" w:rsidP="007E2194">
      <w:pPr>
        <w:rPr>
          <w:rFonts w:ascii="Times New Roman" w:hAnsi="Times New Roman"/>
          <w:lang w:eastAsia="x-none"/>
        </w:rPr>
      </w:pPr>
      <w:r w:rsidRPr="007E2194">
        <w:rPr>
          <w:rFonts w:ascii="Times New Roman" w:hAnsi="Times New Roman"/>
          <w:lang w:eastAsia="x-none"/>
        </w:rPr>
        <w:t>RAN1 does not pursue specific enhancement on further exclusion of NR SL candidate resources of which PSFCH slots overlapping with its own LTE SL resources for dynamic resource pool sharing.</w:t>
      </w:r>
    </w:p>
    <w:p w14:paraId="6380275C" w14:textId="77777777" w:rsidR="007E2194" w:rsidRPr="007E2194" w:rsidRDefault="007E2194" w:rsidP="007E2194">
      <w:pPr>
        <w:rPr>
          <w:rFonts w:ascii="Times New Roman" w:hAnsi="Times New Roman"/>
          <w:lang w:eastAsia="x-none"/>
        </w:rPr>
      </w:pPr>
    </w:p>
    <w:p w14:paraId="4672D59B" w14:textId="77777777" w:rsidR="007E2194" w:rsidRPr="007E2194" w:rsidRDefault="007E2194" w:rsidP="007E2194">
      <w:pPr>
        <w:rPr>
          <w:rFonts w:ascii="Times New Roman" w:hAnsi="Times New Roman"/>
          <w:u w:val="single"/>
          <w:lang w:eastAsia="x-none"/>
        </w:rPr>
      </w:pPr>
      <w:r w:rsidRPr="007E2194">
        <w:rPr>
          <w:rFonts w:ascii="Times New Roman" w:hAnsi="Times New Roman"/>
          <w:u w:val="single"/>
          <w:lang w:eastAsia="x-none"/>
        </w:rPr>
        <w:t>Conclusion</w:t>
      </w:r>
    </w:p>
    <w:p w14:paraId="3E796557" w14:textId="77777777" w:rsidR="007E2194" w:rsidRPr="007E2194" w:rsidRDefault="007E2194" w:rsidP="007E2194">
      <w:pPr>
        <w:rPr>
          <w:rFonts w:ascii="Times New Roman" w:hAnsi="Times New Roman"/>
          <w:lang w:eastAsia="x-none"/>
        </w:rPr>
      </w:pPr>
      <w:r w:rsidRPr="007E2194">
        <w:rPr>
          <w:rFonts w:ascii="Times New Roman" w:hAnsi="Times New Roman"/>
          <w:lang w:eastAsia="x-none"/>
        </w:rPr>
        <w:t>RAN1 does not pursue specific enhancement on Q formula to derive periodic LTE SL resources for dynamic resource pool sharing.</w:t>
      </w:r>
    </w:p>
    <w:p w14:paraId="52317FC3" w14:textId="77777777" w:rsidR="007E2194" w:rsidRDefault="007E2194" w:rsidP="007E2194">
      <w:pPr>
        <w:rPr>
          <w:rFonts w:ascii="Times New Roman" w:hAnsi="Times New Roman"/>
          <w:lang w:eastAsia="x-none"/>
        </w:rPr>
      </w:pPr>
    </w:p>
    <w:p w14:paraId="62D03A4C" w14:textId="77777777" w:rsidR="007E2194" w:rsidRDefault="007E2194" w:rsidP="007E2194">
      <w:pPr>
        <w:rPr>
          <w:rFonts w:ascii="Times New Roman" w:hAnsi="Times New Roman"/>
          <w:lang w:eastAsia="x-none"/>
        </w:rPr>
      </w:pPr>
    </w:p>
    <w:p w14:paraId="662475A2" w14:textId="5FEC4E07" w:rsidR="00376887" w:rsidRPr="009537ED" w:rsidRDefault="00980CAF" w:rsidP="00376887">
      <w:pPr>
        <w:rPr>
          <w:rFonts w:ascii="Times New Roman" w:hAnsi="Times New Roman"/>
          <w:szCs w:val="20"/>
          <w:lang w:eastAsia="x-none"/>
        </w:rPr>
      </w:pPr>
      <w:r>
        <w:rPr>
          <w:rFonts w:ascii="Times New Roman" w:hAnsi="Times New Roman"/>
          <w:lang w:eastAsia="x-none"/>
        </w:rPr>
        <w:t xml:space="preserve">Final summary in </w:t>
      </w:r>
      <w:hyperlink r:id="rId1052" w:history="1">
        <w:r w:rsidR="00AF7253">
          <w:rPr>
            <w:rStyle w:val="Hyperlink"/>
            <w:rFonts w:ascii="Times New Roman" w:hAnsi="Times New Roman"/>
            <w:lang w:eastAsia="x-none"/>
          </w:rPr>
          <w:t>R1-2312261</w:t>
        </w:r>
      </w:hyperlink>
      <w:r w:rsidR="007E2194">
        <w:rPr>
          <w:lang w:eastAsia="x-none"/>
        </w:rPr>
        <w:t>.</w:t>
      </w:r>
    </w:p>
    <w:p w14:paraId="6B0E6A49" w14:textId="77777777" w:rsidR="00F74A6F" w:rsidRPr="009537ED" w:rsidRDefault="00F74A6F" w:rsidP="00376887">
      <w:pPr>
        <w:pStyle w:val="Heading3"/>
      </w:pPr>
      <w:bookmarkStart w:id="413" w:name="_Toc150174455"/>
      <w:bookmarkStart w:id="414" w:name="_Toc159250997"/>
      <w:r w:rsidRPr="009537ED">
        <w:t>Sidelink CA operation</w:t>
      </w:r>
      <w:bookmarkEnd w:id="413"/>
      <w:bookmarkEnd w:id="414"/>
    </w:p>
    <w:p w14:paraId="2310714D" w14:textId="1F086098" w:rsidR="00F74A6F" w:rsidRPr="009537ED" w:rsidRDefault="005A18DC" w:rsidP="00F74A6F">
      <w:pPr>
        <w:rPr>
          <w:lang w:eastAsia="x-none"/>
        </w:rPr>
      </w:pPr>
      <w:hyperlink r:id="rId1053" w:history="1">
        <w:r w:rsidR="00AF7253">
          <w:rPr>
            <w:rStyle w:val="Hyperlink"/>
            <w:lang w:eastAsia="x-none"/>
          </w:rPr>
          <w:t>R1-2310814</w:t>
        </w:r>
      </w:hyperlink>
      <w:r w:rsidR="00F74A6F" w:rsidRPr="009537ED">
        <w:rPr>
          <w:lang w:eastAsia="x-none"/>
        </w:rPr>
        <w:tab/>
        <w:t>Remaining issues for Sidelink Carrier Aggregation for NR</w:t>
      </w:r>
      <w:r w:rsidR="00F74A6F" w:rsidRPr="009537ED">
        <w:rPr>
          <w:lang w:eastAsia="x-none"/>
        </w:rPr>
        <w:tab/>
        <w:t>Nokia, Nokia Shanghai Bell</w:t>
      </w:r>
    </w:p>
    <w:p w14:paraId="48D75756" w14:textId="5626127D" w:rsidR="00F74A6F" w:rsidRPr="009537ED" w:rsidRDefault="005A18DC" w:rsidP="00F74A6F">
      <w:pPr>
        <w:rPr>
          <w:lang w:eastAsia="x-none"/>
        </w:rPr>
      </w:pPr>
      <w:hyperlink r:id="rId1054" w:history="1">
        <w:r w:rsidR="00AF7253">
          <w:rPr>
            <w:rStyle w:val="Hyperlink"/>
            <w:lang w:eastAsia="x-none"/>
          </w:rPr>
          <w:t>R1-2310854</w:t>
        </w:r>
      </w:hyperlink>
      <w:r w:rsidR="00F74A6F" w:rsidRPr="009537ED">
        <w:rPr>
          <w:lang w:eastAsia="x-none"/>
        </w:rPr>
        <w:tab/>
        <w:t>Maintenance of sidelink CA operation</w:t>
      </w:r>
      <w:r w:rsidR="00F74A6F" w:rsidRPr="009537ED">
        <w:rPr>
          <w:lang w:eastAsia="x-none"/>
        </w:rPr>
        <w:tab/>
        <w:t>Huawei, HiSilicon</w:t>
      </w:r>
    </w:p>
    <w:p w14:paraId="083E5935" w14:textId="28F1E5F7" w:rsidR="00F74A6F" w:rsidRPr="009537ED" w:rsidRDefault="005A18DC" w:rsidP="00F74A6F">
      <w:pPr>
        <w:rPr>
          <w:lang w:eastAsia="x-none"/>
        </w:rPr>
      </w:pPr>
      <w:hyperlink r:id="rId1055" w:history="1">
        <w:r w:rsidR="00AF7253">
          <w:rPr>
            <w:rStyle w:val="Hyperlink"/>
            <w:lang w:eastAsia="x-none"/>
          </w:rPr>
          <w:t>R1-2311093</w:t>
        </w:r>
      </w:hyperlink>
      <w:r w:rsidR="00F74A6F" w:rsidRPr="009537ED">
        <w:rPr>
          <w:lang w:eastAsia="x-none"/>
        </w:rPr>
        <w:tab/>
        <w:t>Remaining issues on Rel-18 sidelink CA</w:t>
      </w:r>
      <w:r w:rsidR="00F74A6F" w:rsidRPr="009537ED">
        <w:rPr>
          <w:lang w:eastAsia="x-none"/>
        </w:rPr>
        <w:tab/>
        <w:t>vivo</w:t>
      </w:r>
    </w:p>
    <w:p w14:paraId="5AF10D5C" w14:textId="10D9CF3F" w:rsidR="00F74A6F" w:rsidRPr="009537ED" w:rsidRDefault="005A18DC" w:rsidP="00F74A6F">
      <w:pPr>
        <w:rPr>
          <w:lang w:eastAsia="x-none"/>
        </w:rPr>
      </w:pPr>
      <w:hyperlink r:id="rId1056" w:history="1">
        <w:r w:rsidR="00AF7253">
          <w:rPr>
            <w:rStyle w:val="Hyperlink"/>
            <w:lang w:eastAsia="x-none"/>
          </w:rPr>
          <w:t>R1-2311239</w:t>
        </w:r>
      </w:hyperlink>
      <w:r w:rsidR="00F74A6F" w:rsidRPr="009537ED">
        <w:rPr>
          <w:lang w:eastAsia="x-none"/>
        </w:rPr>
        <w:tab/>
        <w:t>On maintenance of carrier aggregation in NR Sidelink evolution</w:t>
      </w:r>
      <w:r w:rsidR="00F74A6F" w:rsidRPr="009537ED">
        <w:rPr>
          <w:lang w:eastAsia="x-none"/>
        </w:rPr>
        <w:tab/>
        <w:t>OPPO</w:t>
      </w:r>
    </w:p>
    <w:p w14:paraId="6C9A6AB8" w14:textId="40AA217C" w:rsidR="00F74A6F" w:rsidRPr="009537ED" w:rsidRDefault="005A18DC" w:rsidP="00F74A6F">
      <w:pPr>
        <w:rPr>
          <w:lang w:eastAsia="x-none"/>
        </w:rPr>
      </w:pPr>
      <w:hyperlink r:id="rId1057" w:history="1">
        <w:r w:rsidR="00AF7253">
          <w:rPr>
            <w:rStyle w:val="Hyperlink"/>
            <w:lang w:eastAsia="x-none"/>
          </w:rPr>
          <w:t>R1-2311518</w:t>
        </w:r>
      </w:hyperlink>
      <w:r w:rsidR="00F74A6F" w:rsidRPr="009537ED">
        <w:rPr>
          <w:lang w:eastAsia="x-none"/>
        </w:rPr>
        <w:tab/>
        <w:t>Remaining issues for sidelink CA operation</w:t>
      </w:r>
      <w:r w:rsidR="00F74A6F" w:rsidRPr="009537ED">
        <w:rPr>
          <w:lang w:eastAsia="x-none"/>
        </w:rPr>
        <w:tab/>
        <w:t>ZTE, Sanechips</w:t>
      </w:r>
    </w:p>
    <w:p w14:paraId="7AFD0F0C" w14:textId="6B8EEDB3" w:rsidR="00F74A6F" w:rsidRPr="009537ED" w:rsidRDefault="005A18DC" w:rsidP="00F74A6F">
      <w:pPr>
        <w:rPr>
          <w:lang w:eastAsia="x-none"/>
        </w:rPr>
      </w:pPr>
      <w:hyperlink r:id="rId1058" w:history="1">
        <w:r w:rsidR="00AF7253">
          <w:rPr>
            <w:rStyle w:val="Hyperlink"/>
            <w:lang w:eastAsia="x-none"/>
          </w:rPr>
          <w:t>R1-2311681</w:t>
        </w:r>
      </w:hyperlink>
      <w:r w:rsidR="00F74A6F" w:rsidRPr="009537ED">
        <w:rPr>
          <w:lang w:eastAsia="x-none"/>
        </w:rPr>
        <w:tab/>
        <w:t>On Remaining Issue of Sidelink CA Operation</w:t>
      </w:r>
      <w:r w:rsidR="00F74A6F" w:rsidRPr="009537ED">
        <w:rPr>
          <w:lang w:eastAsia="x-none"/>
        </w:rPr>
        <w:tab/>
        <w:t>Apple</w:t>
      </w:r>
    </w:p>
    <w:p w14:paraId="59374973" w14:textId="6B684351" w:rsidR="00F74A6F" w:rsidRPr="009537ED" w:rsidRDefault="005A18DC" w:rsidP="00F74A6F">
      <w:pPr>
        <w:rPr>
          <w:lang w:eastAsia="x-none"/>
        </w:rPr>
      </w:pPr>
      <w:hyperlink r:id="rId1059" w:history="1">
        <w:r w:rsidR="00AF7253">
          <w:rPr>
            <w:rStyle w:val="Hyperlink"/>
            <w:lang w:eastAsia="x-none"/>
          </w:rPr>
          <w:t>R1-2311753</w:t>
        </w:r>
      </w:hyperlink>
      <w:r w:rsidR="00F74A6F" w:rsidRPr="009537ED">
        <w:rPr>
          <w:lang w:eastAsia="x-none"/>
        </w:rPr>
        <w:tab/>
        <w:t>Remaining issues on sidelink CA operation</w:t>
      </w:r>
      <w:r w:rsidR="00F74A6F" w:rsidRPr="009537ED">
        <w:rPr>
          <w:lang w:eastAsia="x-none"/>
        </w:rPr>
        <w:tab/>
        <w:t>ETRI</w:t>
      </w:r>
    </w:p>
    <w:p w14:paraId="3909B7FD" w14:textId="624B8BE7" w:rsidR="00F74A6F" w:rsidRPr="009537ED" w:rsidRDefault="005A18DC" w:rsidP="00F74A6F">
      <w:pPr>
        <w:rPr>
          <w:lang w:eastAsia="x-none"/>
        </w:rPr>
      </w:pPr>
      <w:hyperlink r:id="rId1060" w:history="1">
        <w:r w:rsidR="00AF7253">
          <w:rPr>
            <w:rStyle w:val="Hyperlink"/>
            <w:lang w:eastAsia="x-none"/>
          </w:rPr>
          <w:t>R1-2311769</w:t>
        </w:r>
      </w:hyperlink>
      <w:r w:rsidR="00F74A6F" w:rsidRPr="009537ED">
        <w:rPr>
          <w:lang w:eastAsia="x-none"/>
        </w:rPr>
        <w:tab/>
        <w:t>Remaining issues on Carrier Aggregation for NR sidelink evolution</w:t>
      </w:r>
      <w:r w:rsidR="00F74A6F" w:rsidRPr="009537ED">
        <w:rPr>
          <w:lang w:eastAsia="x-none"/>
        </w:rPr>
        <w:tab/>
        <w:t>Sharp</w:t>
      </w:r>
    </w:p>
    <w:p w14:paraId="44E43E60" w14:textId="260EED2F" w:rsidR="00F74A6F" w:rsidRPr="009537ED" w:rsidRDefault="005A18DC" w:rsidP="00F74A6F">
      <w:pPr>
        <w:rPr>
          <w:lang w:eastAsia="x-none"/>
        </w:rPr>
      </w:pPr>
      <w:hyperlink r:id="rId1061" w:history="1">
        <w:r w:rsidR="00AF7253">
          <w:rPr>
            <w:rStyle w:val="Hyperlink"/>
            <w:lang w:eastAsia="x-none"/>
          </w:rPr>
          <w:t>R1-2311840</w:t>
        </w:r>
      </w:hyperlink>
      <w:r w:rsidR="00F74A6F" w:rsidRPr="009537ED">
        <w:rPr>
          <w:lang w:eastAsia="x-none"/>
        </w:rPr>
        <w:tab/>
        <w:t>Remaining issues on sidelink CA operation</w:t>
      </w:r>
      <w:r w:rsidR="00F74A6F" w:rsidRPr="009537ED">
        <w:rPr>
          <w:lang w:eastAsia="x-none"/>
        </w:rPr>
        <w:tab/>
        <w:t>Samsung</w:t>
      </w:r>
    </w:p>
    <w:p w14:paraId="0339BE13" w14:textId="026F1D2F" w:rsidR="00F74A6F" w:rsidRPr="009537ED" w:rsidRDefault="005A18DC" w:rsidP="00F74A6F">
      <w:pPr>
        <w:rPr>
          <w:lang w:eastAsia="x-none"/>
        </w:rPr>
      </w:pPr>
      <w:hyperlink r:id="rId1062" w:history="1">
        <w:r w:rsidR="00AF7253">
          <w:rPr>
            <w:rStyle w:val="Hyperlink"/>
            <w:lang w:eastAsia="x-none"/>
          </w:rPr>
          <w:t>R1-2311887</w:t>
        </w:r>
      </w:hyperlink>
      <w:r w:rsidR="00F74A6F" w:rsidRPr="009537ED">
        <w:rPr>
          <w:lang w:eastAsia="x-none"/>
        </w:rPr>
        <w:tab/>
        <w:t>Remaining issues for Sidelink CA operation</w:t>
      </w:r>
      <w:r w:rsidR="00F74A6F" w:rsidRPr="009537ED">
        <w:rPr>
          <w:lang w:eastAsia="x-none"/>
        </w:rPr>
        <w:tab/>
        <w:t>InterDigital, Inc.</w:t>
      </w:r>
    </w:p>
    <w:p w14:paraId="593D802B" w14:textId="77777777" w:rsidR="00F74A6F" w:rsidRPr="009537ED" w:rsidRDefault="00F74A6F" w:rsidP="00F74A6F">
      <w:pPr>
        <w:rPr>
          <w:lang w:eastAsia="x-none"/>
        </w:rPr>
      </w:pPr>
    </w:p>
    <w:p w14:paraId="09AEEB76" w14:textId="583C72E6" w:rsidR="00376887" w:rsidRPr="009537ED" w:rsidRDefault="005A18DC" w:rsidP="00376887">
      <w:pPr>
        <w:rPr>
          <w:b/>
          <w:lang w:eastAsia="x-none"/>
        </w:rPr>
      </w:pPr>
      <w:hyperlink r:id="rId1063" w:history="1">
        <w:r w:rsidR="00AF7253">
          <w:rPr>
            <w:rStyle w:val="Hyperlink"/>
            <w:b/>
            <w:lang w:eastAsia="x-none"/>
          </w:rPr>
          <w:t>R1-2312262</w:t>
        </w:r>
      </w:hyperlink>
      <w:r w:rsidR="00376887" w:rsidRPr="009537ED">
        <w:rPr>
          <w:b/>
          <w:lang w:eastAsia="x-none"/>
        </w:rPr>
        <w:tab/>
        <w:t>FL Summary #1 for AI 8.2.3: Sidelink CA operation</w:t>
      </w:r>
      <w:r w:rsidR="00376887" w:rsidRPr="009537ED">
        <w:rPr>
          <w:b/>
          <w:lang w:eastAsia="x-none"/>
        </w:rPr>
        <w:tab/>
        <w:t>Moderator (LG Electronics)</w:t>
      </w:r>
    </w:p>
    <w:p w14:paraId="168BC265" w14:textId="255C0933" w:rsidR="00376887" w:rsidRPr="009537ED" w:rsidRDefault="00376887" w:rsidP="00376887">
      <w:pPr>
        <w:rPr>
          <w:rFonts w:ascii="Times New Roman" w:hAnsi="Times New Roman"/>
          <w:szCs w:val="20"/>
          <w:lang w:eastAsia="x-none"/>
        </w:rPr>
      </w:pPr>
      <w:r w:rsidRPr="009537ED">
        <w:rPr>
          <w:rFonts w:ascii="Times New Roman" w:hAnsi="Times New Roman"/>
          <w:szCs w:val="20"/>
          <w:lang w:eastAsia="x-none"/>
        </w:rPr>
        <w:t>From Monday session</w:t>
      </w:r>
    </w:p>
    <w:p w14:paraId="1E553D5F" w14:textId="77777777" w:rsidR="00376887" w:rsidRPr="009537ED" w:rsidRDefault="00376887" w:rsidP="00376887">
      <w:pPr>
        <w:rPr>
          <w:rFonts w:ascii="Times New Roman" w:hAnsi="Times New Roman"/>
          <w:szCs w:val="20"/>
          <w:u w:val="single"/>
          <w:lang w:eastAsia="x-none"/>
        </w:rPr>
      </w:pPr>
      <w:r w:rsidRPr="009537ED">
        <w:rPr>
          <w:rFonts w:ascii="Times New Roman" w:hAnsi="Times New Roman"/>
          <w:szCs w:val="20"/>
          <w:u w:val="single"/>
          <w:lang w:eastAsia="x-none"/>
        </w:rPr>
        <w:t>Conclusion</w:t>
      </w:r>
    </w:p>
    <w:p w14:paraId="472022F4" w14:textId="5AEC9369" w:rsidR="00376887" w:rsidRPr="009537ED" w:rsidRDefault="00376887" w:rsidP="00376887">
      <w:pPr>
        <w:rPr>
          <w:rFonts w:ascii="Times New Roman" w:hAnsi="Times New Roman"/>
          <w:szCs w:val="20"/>
          <w:lang w:eastAsia="x-none"/>
        </w:rPr>
      </w:pPr>
      <w:r w:rsidRPr="009537ED">
        <w:rPr>
          <w:rFonts w:ascii="Times New Roman" w:hAnsi="Times New Roman"/>
          <w:szCs w:val="20"/>
          <w:lang w:eastAsia="x-none"/>
        </w:rPr>
        <w:t xml:space="preserve">There is no consensus in RAN1 to endorse Text Proposal 3 (I) in Section 4.1.3 of </w:t>
      </w:r>
      <w:hyperlink r:id="rId1064" w:history="1">
        <w:r w:rsidR="00AF7253">
          <w:rPr>
            <w:rStyle w:val="Hyperlink"/>
            <w:rFonts w:ascii="Times New Roman" w:hAnsi="Times New Roman"/>
            <w:szCs w:val="20"/>
            <w:lang w:eastAsia="x-none"/>
          </w:rPr>
          <w:t>R1-2312262</w:t>
        </w:r>
      </w:hyperlink>
      <w:r w:rsidRPr="009537ED">
        <w:rPr>
          <w:rFonts w:ascii="Times New Roman" w:hAnsi="Times New Roman"/>
          <w:szCs w:val="20"/>
          <w:lang w:eastAsia="x-none"/>
        </w:rPr>
        <w:t xml:space="preserve"> (for TS 38.213 clause 16.2.5), for clarification of ensuring the same power of PSFCH transmissions in SL CA, and the TP is not pursued in Rel-18.</w:t>
      </w:r>
    </w:p>
    <w:p w14:paraId="40D2F7FA" w14:textId="77777777" w:rsidR="00376887" w:rsidRPr="009537ED" w:rsidRDefault="00376887" w:rsidP="00376887">
      <w:pPr>
        <w:rPr>
          <w:rFonts w:ascii="Times New Roman" w:hAnsi="Times New Roman"/>
          <w:szCs w:val="20"/>
          <w:lang w:eastAsia="x-none"/>
        </w:rPr>
      </w:pPr>
    </w:p>
    <w:p w14:paraId="78800B82" w14:textId="77777777" w:rsidR="00376887" w:rsidRPr="009537ED" w:rsidRDefault="00376887" w:rsidP="00376887">
      <w:pPr>
        <w:rPr>
          <w:rFonts w:ascii="Times New Roman" w:hAnsi="Times New Roman"/>
          <w:szCs w:val="20"/>
          <w:lang w:eastAsia="x-none"/>
        </w:rPr>
      </w:pPr>
      <w:r w:rsidRPr="009537ED">
        <w:rPr>
          <w:rFonts w:ascii="Times New Roman" w:hAnsi="Times New Roman"/>
          <w:szCs w:val="20"/>
          <w:highlight w:val="green"/>
          <w:lang w:eastAsia="x-none"/>
        </w:rPr>
        <w:t>Agreement</w:t>
      </w:r>
    </w:p>
    <w:p w14:paraId="63466453" w14:textId="3843D977" w:rsidR="00376887" w:rsidRPr="009537ED" w:rsidRDefault="00376887" w:rsidP="00376887">
      <w:pPr>
        <w:rPr>
          <w:rFonts w:ascii="Times New Roman" w:hAnsi="Times New Roman"/>
          <w:szCs w:val="20"/>
          <w:lang w:eastAsia="x-none"/>
        </w:rPr>
      </w:pPr>
      <w:r w:rsidRPr="009537ED">
        <w:rPr>
          <w:rFonts w:ascii="Times New Roman" w:hAnsi="Times New Roman"/>
          <w:szCs w:val="20"/>
          <w:lang w:eastAsia="x-none"/>
        </w:rPr>
        <w:t xml:space="preserve">Text Proposal 5 (I) in Section 4.1.5 of </w:t>
      </w:r>
      <w:hyperlink r:id="rId1065" w:history="1">
        <w:r w:rsidR="00AF7253">
          <w:rPr>
            <w:rStyle w:val="Hyperlink"/>
            <w:rFonts w:ascii="Times New Roman" w:hAnsi="Times New Roman"/>
            <w:szCs w:val="20"/>
            <w:lang w:eastAsia="x-none"/>
          </w:rPr>
          <w:t>R1-2312262</w:t>
        </w:r>
      </w:hyperlink>
      <w:r w:rsidRPr="009537ED">
        <w:rPr>
          <w:rFonts w:ascii="Times New Roman" w:hAnsi="Times New Roman"/>
          <w:szCs w:val="20"/>
          <w:lang w:eastAsia="x-none"/>
        </w:rPr>
        <w:t xml:space="preserve"> is endorsed for TS 38.213 clause 16.2.5.</w:t>
      </w:r>
    </w:p>
    <w:p w14:paraId="3B7BDD7F" w14:textId="77777777" w:rsidR="00376887" w:rsidRPr="009537ED" w:rsidRDefault="00376887" w:rsidP="00376887">
      <w:pPr>
        <w:rPr>
          <w:rFonts w:ascii="Times New Roman" w:hAnsi="Times New Roman"/>
          <w:szCs w:val="20"/>
          <w:lang w:eastAsia="x-none"/>
        </w:rPr>
      </w:pPr>
    </w:p>
    <w:p w14:paraId="23DBC53F" w14:textId="77777777" w:rsidR="00376887" w:rsidRPr="009537ED" w:rsidRDefault="00376887" w:rsidP="00376887">
      <w:pPr>
        <w:rPr>
          <w:rFonts w:ascii="Times New Roman" w:hAnsi="Times New Roman"/>
          <w:szCs w:val="20"/>
          <w:highlight w:val="green"/>
          <w:lang w:eastAsia="x-none"/>
        </w:rPr>
      </w:pPr>
      <w:r w:rsidRPr="009537ED">
        <w:rPr>
          <w:rFonts w:ascii="Times New Roman" w:hAnsi="Times New Roman"/>
          <w:szCs w:val="20"/>
          <w:highlight w:val="green"/>
          <w:lang w:eastAsia="x-none"/>
        </w:rPr>
        <w:t>Agreement</w:t>
      </w:r>
    </w:p>
    <w:p w14:paraId="412ACC24" w14:textId="1925C8C1" w:rsidR="00376887" w:rsidRPr="009537ED" w:rsidRDefault="00376887" w:rsidP="00376887">
      <w:pPr>
        <w:rPr>
          <w:rFonts w:ascii="Times New Roman" w:hAnsi="Times New Roman"/>
          <w:szCs w:val="20"/>
          <w:lang w:eastAsia="x-none"/>
        </w:rPr>
      </w:pPr>
      <w:r w:rsidRPr="009537ED">
        <w:rPr>
          <w:rFonts w:ascii="Times New Roman" w:hAnsi="Times New Roman"/>
          <w:szCs w:val="20"/>
          <w:lang w:eastAsia="x-none"/>
        </w:rPr>
        <w:t xml:space="preserve">The Text Proposal 4 (I) in Section 4.1.4 of </w:t>
      </w:r>
      <w:hyperlink r:id="rId1066" w:history="1">
        <w:r w:rsidR="00AF7253">
          <w:rPr>
            <w:rStyle w:val="Hyperlink"/>
            <w:rFonts w:ascii="Times New Roman" w:hAnsi="Times New Roman"/>
            <w:szCs w:val="20"/>
            <w:lang w:eastAsia="x-none"/>
          </w:rPr>
          <w:t>R1-2312262</w:t>
        </w:r>
      </w:hyperlink>
      <w:r w:rsidRPr="009537ED">
        <w:rPr>
          <w:rFonts w:ascii="Times New Roman" w:hAnsi="Times New Roman"/>
          <w:szCs w:val="20"/>
          <w:lang w:eastAsia="x-none"/>
        </w:rPr>
        <w:t xml:space="preserve"> (for TS 38.213 clause 16.2.5) is endorsed.</w:t>
      </w:r>
    </w:p>
    <w:p w14:paraId="21E65B25" w14:textId="77777777" w:rsidR="00376887" w:rsidRPr="009537ED" w:rsidRDefault="00376887" w:rsidP="00376887">
      <w:pPr>
        <w:rPr>
          <w:rFonts w:ascii="Times New Roman" w:hAnsi="Times New Roman"/>
          <w:szCs w:val="20"/>
          <w:lang w:eastAsia="x-none"/>
        </w:rPr>
      </w:pPr>
    </w:p>
    <w:p w14:paraId="1D435AA8" w14:textId="77777777" w:rsidR="00376887" w:rsidRPr="009537ED" w:rsidRDefault="00376887" w:rsidP="00376887">
      <w:pPr>
        <w:rPr>
          <w:rFonts w:ascii="Times New Roman" w:hAnsi="Times New Roman"/>
          <w:szCs w:val="20"/>
          <w:u w:val="single"/>
          <w:lang w:eastAsia="x-none"/>
        </w:rPr>
      </w:pPr>
      <w:r w:rsidRPr="009537ED">
        <w:rPr>
          <w:rFonts w:ascii="Times New Roman" w:hAnsi="Times New Roman"/>
          <w:szCs w:val="20"/>
          <w:u w:val="single"/>
          <w:lang w:eastAsia="x-none"/>
        </w:rPr>
        <w:t>Conclusion</w:t>
      </w:r>
    </w:p>
    <w:p w14:paraId="3BF9AC0F" w14:textId="1FA37F69" w:rsidR="00376887" w:rsidRPr="009537ED" w:rsidRDefault="00376887" w:rsidP="00376887">
      <w:pPr>
        <w:rPr>
          <w:rFonts w:ascii="Times New Roman" w:hAnsi="Times New Roman"/>
          <w:szCs w:val="20"/>
          <w:lang w:eastAsia="x-none"/>
        </w:rPr>
      </w:pPr>
      <w:r w:rsidRPr="009537ED">
        <w:rPr>
          <w:rFonts w:ascii="Times New Roman" w:hAnsi="Times New Roman"/>
          <w:szCs w:val="20"/>
          <w:lang w:eastAsia="x-none"/>
        </w:rPr>
        <w:t xml:space="preserve">There is no consensus in RAN1 to endorse Text Proposal 6 (I) in Section 4.1.6 of </w:t>
      </w:r>
      <w:hyperlink r:id="rId1067" w:history="1">
        <w:r w:rsidR="00AF7253">
          <w:rPr>
            <w:rStyle w:val="Hyperlink"/>
            <w:rFonts w:ascii="Times New Roman" w:hAnsi="Times New Roman"/>
            <w:szCs w:val="20"/>
            <w:lang w:eastAsia="x-none"/>
          </w:rPr>
          <w:t>R1-2312262</w:t>
        </w:r>
      </w:hyperlink>
      <w:r w:rsidRPr="009537ED">
        <w:rPr>
          <w:rFonts w:ascii="Times New Roman" w:hAnsi="Times New Roman"/>
          <w:szCs w:val="20"/>
          <w:lang w:eastAsia="x-none"/>
        </w:rPr>
        <w:t xml:space="preserve"> (for TS 38.213 clause 16.2.5), for clarification of SL resource allocation mode in SL CA, and the TP is not pursued in Rel-18.</w:t>
      </w:r>
    </w:p>
    <w:p w14:paraId="6ABB9BA8" w14:textId="77777777" w:rsidR="00376887" w:rsidRPr="009537ED" w:rsidRDefault="00376887" w:rsidP="00376887">
      <w:pPr>
        <w:rPr>
          <w:rFonts w:ascii="Times New Roman" w:hAnsi="Times New Roman"/>
          <w:szCs w:val="20"/>
          <w:lang w:eastAsia="x-none"/>
        </w:rPr>
      </w:pPr>
    </w:p>
    <w:p w14:paraId="3A4F7D6F" w14:textId="77777777" w:rsidR="00376887" w:rsidRPr="009537ED" w:rsidRDefault="00376887" w:rsidP="00376887">
      <w:pPr>
        <w:rPr>
          <w:rFonts w:ascii="Times New Roman" w:hAnsi="Times New Roman"/>
          <w:szCs w:val="20"/>
          <w:lang w:eastAsia="x-none"/>
        </w:rPr>
      </w:pPr>
    </w:p>
    <w:p w14:paraId="168BD967" w14:textId="576E4647" w:rsidR="00376887" w:rsidRPr="007E2194" w:rsidRDefault="005A18DC" w:rsidP="00376887">
      <w:pPr>
        <w:rPr>
          <w:rFonts w:ascii="Times New Roman" w:hAnsi="Times New Roman"/>
          <w:b/>
          <w:bCs/>
          <w:szCs w:val="20"/>
          <w:lang w:eastAsia="x-none"/>
        </w:rPr>
      </w:pPr>
      <w:hyperlink r:id="rId1068" w:history="1">
        <w:r w:rsidR="00AF7253">
          <w:rPr>
            <w:rStyle w:val="Hyperlink"/>
            <w:rFonts w:ascii="Times New Roman" w:hAnsi="Times New Roman"/>
            <w:b/>
            <w:bCs/>
            <w:szCs w:val="20"/>
            <w:lang w:eastAsia="x-none"/>
          </w:rPr>
          <w:t>R1-2312263</w:t>
        </w:r>
      </w:hyperlink>
      <w:r w:rsidR="00376887" w:rsidRPr="007E2194">
        <w:rPr>
          <w:rFonts w:ascii="Times New Roman" w:hAnsi="Times New Roman"/>
          <w:b/>
          <w:bCs/>
          <w:szCs w:val="20"/>
          <w:lang w:eastAsia="x-none"/>
        </w:rPr>
        <w:tab/>
        <w:t>FL Summary #2 for AI 8.2.3: Sidelink CA operation</w:t>
      </w:r>
      <w:r w:rsidR="00376887" w:rsidRPr="007E2194">
        <w:rPr>
          <w:rFonts w:ascii="Times New Roman" w:hAnsi="Times New Roman"/>
          <w:b/>
          <w:bCs/>
          <w:szCs w:val="20"/>
          <w:lang w:eastAsia="x-none"/>
        </w:rPr>
        <w:tab/>
        <w:t>Moderator (LG Electronics)</w:t>
      </w:r>
    </w:p>
    <w:p w14:paraId="239FD110" w14:textId="43EEB6F0" w:rsidR="007E2194" w:rsidRDefault="007E2194" w:rsidP="00376887">
      <w:pPr>
        <w:rPr>
          <w:rFonts w:ascii="Times New Roman" w:hAnsi="Times New Roman"/>
          <w:szCs w:val="20"/>
          <w:lang w:eastAsia="x-none"/>
        </w:rPr>
      </w:pPr>
      <w:r>
        <w:rPr>
          <w:rFonts w:ascii="Times New Roman" w:hAnsi="Times New Roman"/>
          <w:szCs w:val="20"/>
          <w:lang w:eastAsia="x-none"/>
        </w:rPr>
        <w:t>From Thursday session</w:t>
      </w:r>
    </w:p>
    <w:p w14:paraId="65BF5EC6" w14:textId="77777777" w:rsidR="007E2194" w:rsidRDefault="007E2194" w:rsidP="007E2194">
      <w:pPr>
        <w:rPr>
          <w:lang w:eastAsia="x-none"/>
        </w:rPr>
      </w:pPr>
      <w:r w:rsidRPr="009A419F">
        <w:rPr>
          <w:highlight w:val="green"/>
          <w:lang w:eastAsia="x-none"/>
        </w:rPr>
        <w:t>Agreement</w:t>
      </w:r>
    </w:p>
    <w:p w14:paraId="79A3B847" w14:textId="77777777" w:rsidR="007E2194" w:rsidRPr="007E2194" w:rsidRDefault="007E2194" w:rsidP="007E2194">
      <w:r w:rsidRPr="007E2194">
        <w:t xml:space="preserve">Text Proposal below is endorsed for </w:t>
      </w:r>
      <w:r w:rsidRPr="007E2194">
        <w:rPr>
          <w:lang w:eastAsia="x-none"/>
        </w:rPr>
        <w:t>TS 38.213 clause 16.2.5</w:t>
      </w:r>
    </w:p>
    <w:p w14:paraId="1E10EF5E" w14:textId="6B5DFFFD" w:rsidR="007E2194" w:rsidRPr="007E2194" w:rsidRDefault="007E2194" w:rsidP="00A67145">
      <w:pPr>
        <w:pStyle w:val="ListParagraph"/>
        <w:numPr>
          <w:ilvl w:val="0"/>
          <w:numId w:val="199"/>
        </w:numPr>
        <w:rPr>
          <w:kern w:val="2"/>
        </w:rPr>
      </w:pPr>
      <w:r w:rsidRPr="007E2194">
        <w:rPr>
          <w:kern w:val="2"/>
        </w:rPr>
        <w:t xml:space="preserve">Reason for change: </w:t>
      </w:r>
      <w:r w:rsidRPr="007E2194">
        <w:rPr>
          <w:rFonts w:hint="eastAsia"/>
          <w:kern w:val="2"/>
        </w:rPr>
        <w:t xml:space="preserve">It </w:t>
      </w:r>
      <w:r w:rsidRPr="007E2194">
        <w:rPr>
          <w:kern w:val="2"/>
        </w:rPr>
        <w:t>is not clear how to ensure alignment of PSFCH time resources across SL aggregated carriers.</w:t>
      </w:r>
    </w:p>
    <w:p w14:paraId="5D62B60B" w14:textId="10327776" w:rsidR="007E2194" w:rsidRPr="007E2194" w:rsidRDefault="007E2194" w:rsidP="00A67145">
      <w:pPr>
        <w:pStyle w:val="ListParagraph"/>
        <w:numPr>
          <w:ilvl w:val="0"/>
          <w:numId w:val="199"/>
        </w:numPr>
        <w:rPr>
          <w:kern w:val="2"/>
        </w:rPr>
      </w:pPr>
      <w:r w:rsidRPr="007E2194">
        <w:rPr>
          <w:kern w:val="2"/>
        </w:rPr>
        <w:t>Summary of change: Clarify that a UE expects to be provided with a (pre)configuration to have time resource alignment for each of PSFCH transmissions on SL aggregated carriers.</w:t>
      </w:r>
    </w:p>
    <w:p w14:paraId="057F20A2" w14:textId="3BDEF6FC" w:rsidR="007E2194" w:rsidRPr="007E2194" w:rsidRDefault="007E2194" w:rsidP="00A67145">
      <w:pPr>
        <w:pStyle w:val="ListParagraph"/>
        <w:numPr>
          <w:ilvl w:val="0"/>
          <w:numId w:val="199"/>
        </w:numPr>
        <w:rPr>
          <w:kern w:val="2"/>
        </w:rPr>
      </w:pPr>
      <w:r w:rsidRPr="007E2194">
        <w:rPr>
          <w:kern w:val="2"/>
        </w:rPr>
        <w:t xml:space="preserve">Consequences if not approved: </w:t>
      </w:r>
      <w:r w:rsidRPr="007E2194">
        <w:rPr>
          <w:rFonts w:hint="eastAsia"/>
          <w:kern w:val="2"/>
        </w:rPr>
        <w:t xml:space="preserve">It is ambiguous </w:t>
      </w:r>
      <w:r w:rsidRPr="007E2194">
        <w:rPr>
          <w:kern w:val="2"/>
        </w:rPr>
        <w:t>how time resources for PSFCH are aligned across SL aggregated carriers from the UE’s perspective.</w:t>
      </w:r>
    </w:p>
    <w:tbl>
      <w:tblPr>
        <w:tblW w:w="5000" w:type="pct"/>
        <w:jc w:val="cente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0683"/>
      </w:tblGrid>
      <w:tr w:rsidR="007E2194" w:rsidRPr="007E2194" w14:paraId="39A73FC5" w14:textId="77777777" w:rsidTr="007E2194">
        <w:trPr>
          <w:jc w:val="center"/>
        </w:trPr>
        <w:tc>
          <w:tcPr>
            <w:tcW w:w="5000" w:type="pct"/>
            <w:shd w:val="clear" w:color="auto" w:fill="auto"/>
          </w:tcPr>
          <w:p w14:paraId="7913ABB5" w14:textId="77777777" w:rsidR="007E2194" w:rsidRPr="007E2194" w:rsidRDefault="007E2194" w:rsidP="007E2194">
            <w:pPr>
              <w:rPr>
                <w:rFonts w:ascii="Arial" w:hAnsi="Arial" w:cs="Arial"/>
                <w:color w:val="FF0000"/>
                <w:sz w:val="16"/>
                <w:szCs w:val="16"/>
                <w:lang w:eastAsia="zh-CN"/>
              </w:rPr>
            </w:pPr>
            <w:r w:rsidRPr="007E2194">
              <w:rPr>
                <w:rFonts w:ascii="Arial" w:hAnsi="Arial" w:cs="Arial"/>
                <w:color w:val="FF0000"/>
                <w:sz w:val="16"/>
                <w:szCs w:val="16"/>
                <w:lang w:eastAsia="zh-CN"/>
              </w:rPr>
              <w:t>---------------- Start of Text Proposal for TS 38.213 -----------------------------</w:t>
            </w:r>
          </w:p>
          <w:p w14:paraId="02AF3C30" w14:textId="77777777" w:rsidR="007E2194" w:rsidRPr="007E1765" w:rsidRDefault="007E2194" w:rsidP="007E1765">
            <w:pPr>
              <w:rPr>
                <w:rFonts w:ascii="Arial" w:hAnsi="Arial" w:cs="Arial"/>
                <w:b/>
                <w:bCs/>
                <w:sz w:val="16"/>
                <w:szCs w:val="16"/>
              </w:rPr>
            </w:pPr>
            <w:r w:rsidRPr="007E1765">
              <w:rPr>
                <w:rFonts w:ascii="Arial" w:hAnsi="Arial" w:cs="Arial"/>
                <w:b/>
                <w:bCs/>
                <w:sz w:val="16"/>
                <w:szCs w:val="16"/>
              </w:rPr>
              <w:t>16.2.5</w:t>
            </w:r>
            <w:r w:rsidRPr="007E1765">
              <w:rPr>
                <w:rFonts w:ascii="Arial" w:hAnsi="Arial" w:cs="Arial"/>
                <w:b/>
                <w:bCs/>
                <w:sz w:val="16"/>
                <w:szCs w:val="16"/>
              </w:rPr>
              <w:tab/>
              <w:t>SL Carrier Aggregation</w:t>
            </w:r>
          </w:p>
          <w:p w14:paraId="17A4B39D" w14:textId="77777777" w:rsidR="007E2194" w:rsidRPr="007E2194" w:rsidRDefault="007E2194" w:rsidP="007E2194">
            <w:pPr>
              <w:jc w:val="center"/>
              <w:rPr>
                <w:rFonts w:ascii="Arial" w:hAnsi="Arial" w:cs="Arial"/>
                <w:color w:val="FF0000"/>
                <w:sz w:val="16"/>
                <w:szCs w:val="16"/>
              </w:rPr>
            </w:pPr>
            <w:r w:rsidRPr="007E2194">
              <w:rPr>
                <w:rFonts w:ascii="Arial" w:hAnsi="Arial" w:cs="Arial"/>
                <w:color w:val="FF0000"/>
                <w:sz w:val="16"/>
                <w:szCs w:val="16"/>
              </w:rPr>
              <w:t>&lt;Unchanged part omitted&gt;</w:t>
            </w:r>
          </w:p>
          <w:p w14:paraId="248B4E07" w14:textId="669E5E92" w:rsidR="007E2194" w:rsidRPr="007E2194" w:rsidRDefault="007E2194" w:rsidP="007E2194">
            <w:pPr>
              <w:jc w:val="both"/>
              <w:rPr>
                <w:rFonts w:ascii="Arial" w:eastAsia="Times New Roman" w:hAnsi="Arial" w:cs="Arial"/>
                <w:kern w:val="2"/>
                <w:sz w:val="16"/>
                <w:szCs w:val="16"/>
                <w:lang w:eastAsia="zh-CN"/>
              </w:rPr>
            </w:pPr>
            <w:r w:rsidRPr="007E2194">
              <w:rPr>
                <w:rFonts w:ascii="Arial" w:eastAsia="SimSun" w:hAnsi="Arial" w:cs="Arial"/>
                <w:sz w:val="16"/>
                <w:szCs w:val="16"/>
                <w:lang w:eastAsia="zh-CN"/>
              </w:rPr>
              <w:t xml:space="preserve">If a UE would simultaneously transmit PSFCHs and receive PSFCHs on multiple carriers, the UE performs the procedures in Clause 16.2.4.2 by considering all the PSFCHs for transmission and all the PSFCHs for reception in order to determine either PSFCHs to transmit or PSFCHs to receive. If a UE would simultaneously transmit PSFCHs on multiple carriers, the UE performs the procedures for single carrier in Clause 16.2.3 by considering all the PSFCHs for transmission using a corresponding </w:t>
            </w:r>
            <m:oMath>
              <m:sSub>
                <m:sSubPr>
                  <m:ctrlPr>
                    <w:rPr>
                      <w:rFonts w:ascii="Cambria Math" w:eastAsia="Malgun Gothic" w:hAnsi="Cambria Math" w:cs="Arial"/>
                      <w:sz w:val="16"/>
                      <w:szCs w:val="16"/>
                    </w:rPr>
                  </m:ctrlPr>
                </m:sSubPr>
                <m:e>
                  <m:r>
                    <w:rPr>
                      <w:rFonts w:ascii="Cambria Math" w:eastAsia="Malgun Gothic" w:hAnsi="Cambria Math" w:cs="Arial"/>
                      <w:sz w:val="16"/>
                      <w:szCs w:val="16"/>
                    </w:rPr>
                    <m:t>P</m:t>
                  </m:r>
                </m:e>
                <m:sub>
                  <m:r>
                    <m:rPr>
                      <m:nor/>
                    </m:rPr>
                    <w:rPr>
                      <w:rFonts w:ascii="Arial" w:eastAsia="Malgun Gothic" w:hAnsi="Arial" w:cs="Arial"/>
                      <w:sz w:val="16"/>
                      <w:szCs w:val="16"/>
                    </w:rPr>
                    <m:t>CMAX</m:t>
                  </m:r>
                </m:sub>
              </m:sSub>
            </m:oMath>
            <w:r w:rsidRPr="007E2194">
              <w:rPr>
                <w:rFonts w:ascii="Arial" w:eastAsia="SimSun" w:hAnsi="Arial" w:cs="Arial"/>
                <w:sz w:val="16"/>
                <w:szCs w:val="16"/>
              </w:rPr>
              <w:t xml:space="preserve"> </w:t>
            </w:r>
            <w:r w:rsidRPr="007E2194">
              <w:rPr>
                <w:rFonts w:ascii="Arial" w:eastAsia="SimSun" w:hAnsi="Arial" w:cs="Arial"/>
                <w:sz w:val="16"/>
                <w:szCs w:val="16"/>
                <w:lang w:eastAsia="zh-CN"/>
              </w:rPr>
              <w:t xml:space="preserve">in order to determine PSFCHs to transmit and a corresponding power per PSFCH transmission. </w:t>
            </w:r>
            <w:r w:rsidRPr="007E2194">
              <w:rPr>
                <w:rFonts w:ascii="Arial" w:eastAsia="Times New Roman" w:hAnsi="Arial" w:cs="Arial"/>
                <w:kern w:val="2"/>
                <w:sz w:val="16"/>
                <w:szCs w:val="16"/>
                <w:lang w:eastAsia="zh-CN"/>
              </w:rPr>
              <w:t xml:space="preserve">The UE expects to </w:t>
            </w:r>
            <w:r w:rsidRPr="007E2194">
              <w:rPr>
                <w:rFonts w:ascii="Arial" w:eastAsia="Times New Roman" w:hAnsi="Arial" w:cs="Arial"/>
                <w:strike/>
                <w:color w:val="FF0000"/>
                <w:kern w:val="2"/>
                <w:sz w:val="16"/>
                <w:szCs w:val="16"/>
                <w:lang w:eastAsia="zh-CN"/>
              </w:rPr>
              <w:t>determine</w:t>
            </w:r>
            <w:r w:rsidRPr="007E2194">
              <w:rPr>
                <w:rFonts w:ascii="Arial" w:eastAsia="Times New Roman" w:hAnsi="Arial" w:cs="Arial"/>
                <w:color w:val="FF0000"/>
                <w:kern w:val="2"/>
                <w:sz w:val="16"/>
                <w:szCs w:val="16"/>
                <w:lang w:eastAsia="zh-CN"/>
              </w:rPr>
              <w:t xml:space="preserve"> be provided with a (pre)configuration to ensure time resource alignment </w:t>
            </w:r>
            <w:r w:rsidRPr="007E2194">
              <w:rPr>
                <w:rFonts w:ascii="Arial" w:eastAsia="Times New Roman" w:hAnsi="Arial" w:cs="Arial"/>
                <w:strike/>
                <w:color w:val="FF0000"/>
                <w:kern w:val="2"/>
                <w:sz w:val="16"/>
                <w:szCs w:val="16"/>
                <w:lang w:eastAsia="zh-CN"/>
              </w:rPr>
              <w:t xml:space="preserve">a same time resource </w:t>
            </w:r>
            <w:r w:rsidRPr="007E2194">
              <w:rPr>
                <w:rFonts w:ascii="Arial" w:eastAsia="Times New Roman" w:hAnsi="Arial" w:cs="Arial"/>
                <w:kern w:val="2"/>
                <w:sz w:val="16"/>
                <w:szCs w:val="16"/>
                <w:lang w:eastAsia="zh-CN"/>
              </w:rPr>
              <w:t xml:space="preserve">and a same power for each of the PSFCH transmissions on </w:t>
            </w:r>
            <w:r w:rsidRPr="007E2194">
              <w:rPr>
                <w:rFonts w:ascii="Arial" w:eastAsia="Times New Roman" w:hAnsi="Arial" w:cs="Arial"/>
                <w:color w:val="FF0000"/>
                <w:kern w:val="2"/>
                <w:sz w:val="16"/>
                <w:szCs w:val="16"/>
                <w:lang w:eastAsia="zh-CN"/>
              </w:rPr>
              <w:t>those</w:t>
            </w:r>
            <w:r w:rsidRPr="007E2194">
              <w:rPr>
                <w:rFonts w:ascii="Arial" w:eastAsia="Times New Roman" w:hAnsi="Arial" w:cs="Arial"/>
                <w:kern w:val="2"/>
                <w:sz w:val="16"/>
                <w:szCs w:val="16"/>
                <w:lang w:eastAsia="zh-CN"/>
              </w:rPr>
              <w:t xml:space="preserve"> multiple carriers.</w:t>
            </w:r>
          </w:p>
          <w:p w14:paraId="0F3D31AC" w14:textId="77777777" w:rsidR="007E2194" w:rsidRPr="007E2194" w:rsidRDefault="007E2194" w:rsidP="007E2194">
            <w:pPr>
              <w:rPr>
                <w:rFonts w:ascii="Arial" w:hAnsi="Arial" w:cs="Arial"/>
                <w:sz w:val="16"/>
                <w:szCs w:val="16"/>
              </w:rPr>
            </w:pPr>
            <w:r w:rsidRPr="007E2194">
              <w:rPr>
                <w:rFonts w:ascii="Arial" w:hAnsi="Arial" w:cs="Arial"/>
                <w:color w:val="FF0000"/>
                <w:sz w:val="16"/>
                <w:szCs w:val="16"/>
                <w:lang w:eastAsia="zh-CN"/>
              </w:rPr>
              <w:t>---------------- End of Text Proposal for TS 38.213 ------------------------------</w:t>
            </w:r>
          </w:p>
        </w:tc>
      </w:tr>
    </w:tbl>
    <w:p w14:paraId="60462974" w14:textId="77777777" w:rsidR="007E2194" w:rsidRDefault="007E2194" w:rsidP="007E2194">
      <w:pPr>
        <w:rPr>
          <w:lang w:eastAsia="x-none"/>
        </w:rPr>
      </w:pPr>
    </w:p>
    <w:p w14:paraId="6C249842" w14:textId="62289CDD" w:rsidR="00980CAF" w:rsidRPr="00AD125A" w:rsidRDefault="005A18DC" w:rsidP="00980CAF">
      <w:pPr>
        <w:rPr>
          <w:b/>
          <w:bCs/>
          <w:lang w:eastAsia="x-none"/>
        </w:rPr>
      </w:pPr>
      <w:hyperlink r:id="rId1069" w:history="1">
        <w:r w:rsidR="00AF7253">
          <w:rPr>
            <w:rStyle w:val="Hyperlink"/>
            <w:b/>
            <w:bCs/>
            <w:lang w:eastAsia="x-none"/>
          </w:rPr>
          <w:t>R1-2312494</w:t>
        </w:r>
      </w:hyperlink>
      <w:r w:rsidR="00980CAF" w:rsidRPr="00AD125A">
        <w:rPr>
          <w:b/>
          <w:bCs/>
          <w:lang w:eastAsia="x-none"/>
        </w:rPr>
        <w:tab/>
        <w:t>LS on Sidelink CSI Reporting MAC-CE for SL-CA</w:t>
      </w:r>
      <w:r w:rsidR="00980CAF" w:rsidRPr="00AD125A">
        <w:rPr>
          <w:b/>
          <w:bCs/>
          <w:lang w:eastAsia="x-none"/>
        </w:rPr>
        <w:tab/>
        <w:t>RAN2, OPPO</w:t>
      </w:r>
    </w:p>
    <w:p w14:paraId="133FE8FA" w14:textId="50CAC07B" w:rsidR="007E2194" w:rsidRDefault="00980CAF" w:rsidP="00376887">
      <w:pPr>
        <w:rPr>
          <w:rFonts w:ascii="Times New Roman" w:hAnsi="Times New Roman"/>
          <w:szCs w:val="20"/>
          <w:lang w:eastAsia="x-none"/>
        </w:rPr>
      </w:pPr>
      <w:r w:rsidRPr="009A14E0">
        <w:rPr>
          <w:rFonts w:ascii="Times New Roman" w:hAnsi="Times New Roman"/>
          <w:b/>
          <w:bCs/>
          <w:szCs w:val="20"/>
          <w:lang w:eastAsia="x-none"/>
        </w:rPr>
        <w:t>Friday decision:</w:t>
      </w:r>
      <w:r>
        <w:rPr>
          <w:rFonts w:ascii="Times New Roman" w:hAnsi="Times New Roman"/>
          <w:szCs w:val="20"/>
          <w:lang w:eastAsia="x-none"/>
        </w:rPr>
        <w:t xml:space="preserve"> Some companies believe </w:t>
      </w:r>
      <w:r w:rsidR="009A14E0">
        <w:rPr>
          <w:rFonts w:ascii="Times New Roman" w:hAnsi="Times New Roman"/>
          <w:szCs w:val="20"/>
          <w:lang w:eastAsia="x-none"/>
        </w:rPr>
        <w:t xml:space="preserve">that </w:t>
      </w:r>
      <w:r>
        <w:rPr>
          <w:rFonts w:ascii="Times New Roman" w:hAnsi="Times New Roman"/>
          <w:szCs w:val="20"/>
          <w:lang w:eastAsia="x-none"/>
        </w:rPr>
        <w:t xml:space="preserve">a response is needed. Due to lack of time, the LS is postponed </w:t>
      </w:r>
      <w:r w:rsidR="009A14E0">
        <w:rPr>
          <w:rFonts w:ascii="Times New Roman" w:hAnsi="Times New Roman"/>
          <w:szCs w:val="20"/>
          <w:lang w:eastAsia="x-none"/>
        </w:rPr>
        <w:t>and should go to the next meeting.</w:t>
      </w:r>
    </w:p>
    <w:p w14:paraId="61465F35" w14:textId="77777777" w:rsidR="009A14E0" w:rsidRDefault="009A14E0" w:rsidP="00376887">
      <w:pPr>
        <w:rPr>
          <w:rFonts w:ascii="Times New Roman" w:hAnsi="Times New Roman"/>
          <w:szCs w:val="20"/>
          <w:lang w:eastAsia="x-none"/>
        </w:rPr>
      </w:pPr>
    </w:p>
    <w:p w14:paraId="3F79A57E" w14:textId="77777777" w:rsidR="009A14E0" w:rsidRDefault="009A14E0" w:rsidP="00376887">
      <w:pPr>
        <w:rPr>
          <w:rFonts w:ascii="Times New Roman" w:hAnsi="Times New Roman"/>
          <w:szCs w:val="20"/>
          <w:lang w:eastAsia="x-none"/>
        </w:rPr>
      </w:pPr>
    </w:p>
    <w:p w14:paraId="127AB5F9" w14:textId="56BDD933" w:rsidR="00376887" w:rsidRPr="009A14E0" w:rsidRDefault="009A14E0" w:rsidP="00F74A6F">
      <w:pPr>
        <w:rPr>
          <w:rFonts w:ascii="Times New Roman" w:hAnsi="Times New Roman"/>
          <w:szCs w:val="20"/>
          <w:lang w:eastAsia="x-none"/>
        </w:rPr>
      </w:pPr>
      <w:r>
        <w:rPr>
          <w:rFonts w:ascii="Times New Roman" w:hAnsi="Times New Roman"/>
          <w:szCs w:val="20"/>
          <w:lang w:eastAsia="x-none"/>
        </w:rPr>
        <w:t xml:space="preserve">Final summary in </w:t>
      </w:r>
      <w:hyperlink r:id="rId1070" w:history="1">
        <w:r w:rsidR="00AF7253">
          <w:rPr>
            <w:rStyle w:val="Hyperlink"/>
            <w:rFonts w:ascii="Times New Roman" w:hAnsi="Times New Roman"/>
            <w:szCs w:val="20"/>
            <w:lang w:eastAsia="x-none"/>
          </w:rPr>
          <w:t>R1-2312264</w:t>
        </w:r>
      </w:hyperlink>
      <w:r w:rsidR="00376887" w:rsidRPr="009537ED">
        <w:rPr>
          <w:rFonts w:ascii="Times New Roman" w:hAnsi="Times New Roman"/>
          <w:szCs w:val="20"/>
          <w:lang w:eastAsia="x-none"/>
        </w:rPr>
        <w:t>.</w:t>
      </w:r>
    </w:p>
    <w:p w14:paraId="276AE457" w14:textId="77777777" w:rsidR="00F74A6F" w:rsidRDefault="00F74A6F" w:rsidP="00F74A6F">
      <w:pPr>
        <w:pStyle w:val="Heading2"/>
      </w:pPr>
      <w:bookmarkStart w:id="415" w:name="_Toc150174456"/>
      <w:bookmarkStart w:id="416" w:name="_Toc159250998"/>
      <w:r w:rsidRPr="009537ED">
        <w:t>Maintenance on Expanded and Improved NR Positioning</w:t>
      </w:r>
      <w:bookmarkEnd w:id="415"/>
      <w:bookmarkEnd w:id="416"/>
    </w:p>
    <w:p w14:paraId="623361F0" w14:textId="7DF5DF44" w:rsidR="004B3090" w:rsidRPr="004B3090" w:rsidRDefault="005A18DC" w:rsidP="004B3090">
      <w:pPr>
        <w:rPr>
          <w:b/>
          <w:bCs/>
        </w:rPr>
      </w:pPr>
      <w:hyperlink r:id="rId1071" w:history="1">
        <w:r w:rsidR="00AF7253">
          <w:rPr>
            <w:rStyle w:val="Hyperlink"/>
            <w:b/>
            <w:bCs/>
          </w:rPr>
          <w:t>R1-2312504</w:t>
        </w:r>
      </w:hyperlink>
      <w:r w:rsidR="004B3090" w:rsidRPr="004B3090">
        <w:rPr>
          <w:b/>
          <w:bCs/>
        </w:rPr>
        <w:tab/>
        <w:t>Session notes for 8.3 (Maintenance on expanded and improved NR positioning)</w:t>
      </w:r>
      <w:r w:rsidR="004B3090" w:rsidRPr="004B3090">
        <w:rPr>
          <w:b/>
          <w:bCs/>
        </w:rPr>
        <w:tab/>
        <w:t>Ad-Hoc Chair (Huawei)</w:t>
      </w:r>
    </w:p>
    <w:p w14:paraId="68411A50" w14:textId="77777777" w:rsidR="004B3090" w:rsidRPr="00D96FAE" w:rsidRDefault="004B3090" w:rsidP="004B3090">
      <w:pPr>
        <w:rPr>
          <w:lang w:eastAsia="x-none"/>
        </w:rPr>
      </w:pPr>
      <w:r w:rsidRPr="00F05EFE">
        <w:rPr>
          <w:b/>
          <w:bCs/>
        </w:rPr>
        <w:t>Friday decision:</w:t>
      </w:r>
      <w:r>
        <w:t xml:space="preserve"> The </w:t>
      </w:r>
      <w:r>
        <w:rPr>
          <w:lang w:val="en-US" w:eastAsia="x-none"/>
        </w:rPr>
        <w:t>s</w:t>
      </w:r>
      <w:r w:rsidRPr="00663F3A">
        <w:rPr>
          <w:lang w:val="en-US" w:eastAsia="x-none"/>
        </w:rPr>
        <w:t>ession notes</w:t>
      </w:r>
      <w:r>
        <w:rPr>
          <w:lang w:val="en-US" w:eastAsia="x-none"/>
        </w:rPr>
        <w:t xml:space="preserve"> are </w:t>
      </w:r>
      <w:r>
        <w:rPr>
          <w:highlight w:val="green"/>
          <w:lang w:eastAsia="x-none"/>
        </w:rPr>
        <w:t>e</w:t>
      </w:r>
      <w:r w:rsidRPr="00D96FAE">
        <w:rPr>
          <w:highlight w:val="green"/>
          <w:lang w:eastAsia="x-none"/>
        </w:rPr>
        <w:t xml:space="preserve">ndorsed </w:t>
      </w:r>
      <w:r w:rsidRPr="00D96FAE">
        <w:rPr>
          <w:lang w:eastAsia="x-none"/>
        </w:rPr>
        <w:t>and contents reflected below.</w:t>
      </w:r>
    </w:p>
    <w:p w14:paraId="1410C3C7" w14:textId="77777777" w:rsidR="004B3090" w:rsidRPr="004B3090" w:rsidRDefault="004B3090" w:rsidP="004B3090"/>
    <w:p w14:paraId="1FFDE605" w14:textId="77777777" w:rsidR="00CA0940" w:rsidRPr="009537ED" w:rsidRDefault="00F74A6F" w:rsidP="00F74A6F">
      <w:pPr>
        <w:rPr>
          <w:lang w:eastAsia="x-none"/>
        </w:rPr>
      </w:pPr>
      <w:r w:rsidRPr="009537ED">
        <w:rPr>
          <w:lang w:eastAsia="x-none"/>
        </w:rPr>
        <w:t xml:space="preserve">[115-R18-Pos] </w:t>
      </w:r>
      <w:r w:rsidR="00CA0940" w:rsidRPr="009537ED">
        <w:rPr>
          <w:lang w:eastAsia="x-none"/>
        </w:rPr>
        <w:t>– Debdeep (Intel)</w:t>
      </w:r>
    </w:p>
    <w:p w14:paraId="4AC6AB9B" w14:textId="318A4175" w:rsidR="00F74A6F" w:rsidRPr="009537ED" w:rsidRDefault="00F74A6F" w:rsidP="00F74A6F">
      <w:pPr>
        <w:rPr>
          <w:lang w:eastAsia="x-none"/>
        </w:rPr>
      </w:pPr>
      <w:r w:rsidRPr="009537ED">
        <w:rPr>
          <w:lang w:eastAsia="x-none"/>
        </w:rPr>
        <w:t>Email discussion on NR positioning</w:t>
      </w:r>
    </w:p>
    <w:p w14:paraId="42B23685" w14:textId="77777777" w:rsidR="00F74A6F" w:rsidRPr="009537ED" w:rsidRDefault="00F74A6F" w:rsidP="00F74A6F">
      <w:pPr>
        <w:numPr>
          <w:ilvl w:val="0"/>
          <w:numId w:val="69"/>
        </w:numPr>
        <w:rPr>
          <w:lang w:eastAsia="x-none"/>
        </w:rPr>
      </w:pPr>
      <w:r w:rsidRPr="009537ED">
        <w:rPr>
          <w:lang w:eastAsia="x-none"/>
        </w:rPr>
        <w:t>To be used for sharing updates on online/offline schedule, details on what is to be discussed in online/offline sessions, tdoc number of the moderator summary for online session, etc</w:t>
      </w:r>
    </w:p>
    <w:p w14:paraId="49E264A8" w14:textId="77777777" w:rsidR="00F74A6F" w:rsidRPr="009537ED" w:rsidRDefault="00F74A6F" w:rsidP="00F74A6F">
      <w:pPr>
        <w:rPr>
          <w:lang w:eastAsia="x-none"/>
        </w:rPr>
      </w:pPr>
    </w:p>
    <w:p w14:paraId="0D3C60CB" w14:textId="315DF67F" w:rsidR="00F74A6F" w:rsidRDefault="005A18DC" w:rsidP="00F74A6F">
      <w:pPr>
        <w:rPr>
          <w:lang w:eastAsia="x-none"/>
        </w:rPr>
      </w:pPr>
      <w:hyperlink r:id="rId1072" w:history="1">
        <w:r w:rsidR="00AF7253">
          <w:rPr>
            <w:rStyle w:val="Hyperlink"/>
            <w:lang w:eastAsia="x-none"/>
          </w:rPr>
          <w:t>R1-2311141</w:t>
        </w:r>
      </w:hyperlink>
      <w:r w:rsidR="00F74A6F" w:rsidRPr="009537ED">
        <w:rPr>
          <w:lang w:eastAsia="x-none"/>
        </w:rPr>
        <w:tab/>
        <w:t>Higher layer parameters for Rel-18 Expanded and Improved NR Positioning</w:t>
      </w:r>
      <w:r w:rsidR="00F74A6F" w:rsidRPr="009537ED">
        <w:rPr>
          <w:lang w:eastAsia="x-none"/>
        </w:rPr>
        <w:tab/>
        <w:t>Rapporteur (Intel Corporation)</w:t>
      </w:r>
    </w:p>
    <w:p w14:paraId="25DCB6AC" w14:textId="77777777" w:rsidR="001155ED" w:rsidRPr="009537ED" w:rsidRDefault="001155ED" w:rsidP="00F74A6F">
      <w:pPr>
        <w:rPr>
          <w:lang w:eastAsia="x-none"/>
        </w:rPr>
      </w:pPr>
    </w:p>
    <w:p w14:paraId="21BB78AF" w14:textId="4D7E66B1" w:rsidR="00CA0940" w:rsidRDefault="005A18DC" w:rsidP="00F74A6F">
      <w:pPr>
        <w:rPr>
          <w:lang w:eastAsia="x-none"/>
        </w:rPr>
      </w:pPr>
      <w:hyperlink r:id="rId1073" w:history="1">
        <w:r w:rsidR="00AF7253">
          <w:rPr>
            <w:rStyle w:val="Hyperlink"/>
            <w:lang w:eastAsia="x-none"/>
          </w:rPr>
          <w:t>R1-2312690</w:t>
        </w:r>
      </w:hyperlink>
      <w:r w:rsidR="001155ED" w:rsidRPr="001155ED">
        <w:rPr>
          <w:lang w:eastAsia="x-none"/>
        </w:rPr>
        <w:tab/>
        <w:t>RAN1 agreements for Rel-18 WI on Expanded and Improved NR Positioning</w:t>
      </w:r>
      <w:r w:rsidR="001155ED" w:rsidRPr="001155ED">
        <w:rPr>
          <w:lang w:eastAsia="x-none"/>
        </w:rPr>
        <w:tab/>
        <w:t>Rapporteur (Intel Corporation)</w:t>
      </w:r>
    </w:p>
    <w:p w14:paraId="5D0866C0" w14:textId="77777777" w:rsidR="00A4295B" w:rsidRDefault="00A4295B" w:rsidP="00F74A6F">
      <w:pPr>
        <w:rPr>
          <w:lang w:eastAsia="x-none"/>
        </w:rPr>
      </w:pPr>
    </w:p>
    <w:p w14:paraId="629C5371" w14:textId="77777777" w:rsidR="001155ED" w:rsidRPr="009537ED" w:rsidRDefault="001155ED" w:rsidP="00F74A6F">
      <w:pPr>
        <w:rPr>
          <w:lang w:eastAsia="x-none"/>
        </w:rPr>
      </w:pPr>
    </w:p>
    <w:p w14:paraId="2D889A1C" w14:textId="75D01806" w:rsidR="00CA0940" w:rsidRPr="009537ED" w:rsidRDefault="00CA0940" w:rsidP="00F74A6F">
      <w:pPr>
        <w:rPr>
          <w:lang w:eastAsia="x-none"/>
        </w:rPr>
      </w:pPr>
      <w:r w:rsidRPr="009537ED">
        <w:rPr>
          <w:lang w:eastAsia="x-none"/>
        </w:rPr>
        <w:t>From AI 5</w:t>
      </w:r>
    </w:p>
    <w:p w14:paraId="0DEE3092" w14:textId="2CCDAA70" w:rsidR="00CA0940" w:rsidRPr="009537ED" w:rsidRDefault="005A18DC" w:rsidP="00CA0940">
      <w:pPr>
        <w:rPr>
          <w:b/>
          <w:bCs/>
          <w:lang w:eastAsia="x-none"/>
        </w:rPr>
      </w:pPr>
      <w:hyperlink r:id="rId1074" w:history="1">
        <w:r w:rsidR="00AF7253">
          <w:rPr>
            <w:rStyle w:val="Hyperlink"/>
            <w:b/>
            <w:bCs/>
            <w:lang w:eastAsia="x-none"/>
          </w:rPr>
          <w:t>R1-2310787</w:t>
        </w:r>
      </w:hyperlink>
      <w:r w:rsidR="00CA0940" w:rsidRPr="009537ED">
        <w:rPr>
          <w:b/>
          <w:bCs/>
          <w:lang w:eastAsia="x-none"/>
        </w:rPr>
        <w:tab/>
        <w:t>LS on request for clarifications on RedCap positioning, carrier phase positioning, and bandwidth aggregation for positioning</w:t>
      </w:r>
      <w:r w:rsidR="00CA0940" w:rsidRPr="009537ED">
        <w:rPr>
          <w:b/>
          <w:bCs/>
          <w:lang w:eastAsia="x-none"/>
        </w:rPr>
        <w:tab/>
        <w:t>RAN2, Nokia</w:t>
      </w:r>
    </w:p>
    <w:p w14:paraId="1A970EB4" w14:textId="43CD40FC" w:rsidR="00CA0940" w:rsidRPr="009537ED" w:rsidRDefault="00CA0940" w:rsidP="00CA0940">
      <w:pPr>
        <w:rPr>
          <w:lang w:eastAsia="x-none"/>
        </w:rPr>
      </w:pPr>
      <w:r w:rsidRPr="00C93C68">
        <w:rPr>
          <w:b/>
          <w:bCs/>
          <w:lang w:eastAsia="x-none"/>
        </w:rPr>
        <w:t>Decision:</w:t>
      </w:r>
      <w:r w:rsidRPr="00C93C68">
        <w:rPr>
          <w:lang w:eastAsia="x-none"/>
        </w:rPr>
        <w:t xml:space="preserve"> To be handled in agenda item 8.3 - To be moderated by Hyunsu (Nokia).</w:t>
      </w:r>
    </w:p>
    <w:p w14:paraId="5C57B6B1" w14:textId="77777777" w:rsidR="00E96B29" w:rsidRPr="00E96B29" w:rsidRDefault="00E96B29" w:rsidP="00E96B29">
      <w:pPr>
        <w:rPr>
          <w:bCs/>
          <w:lang w:eastAsia="x-none"/>
        </w:rPr>
      </w:pPr>
    </w:p>
    <w:p w14:paraId="2B95ADED" w14:textId="1DC9D2A9" w:rsidR="00E96B29" w:rsidRPr="00E96B29" w:rsidRDefault="005A18DC" w:rsidP="00E96B29">
      <w:pPr>
        <w:rPr>
          <w:b/>
          <w:lang w:eastAsia="x-none"/>
        </w:rPr>
      </w:pPr>
      <w:hyperlink r:id="rId1075" w:history="1">
        <w:r w:rsidR="00AF7253">
          <w:rPr>
            <w:rStyle w:val="Hyperlink"/>
            <w:b/>
            <w:lang w:eastAsia="x-none"/>
          </w:rPr>
          <w:t>R1-2312380</w:t>
        </w:r>
      </w:hyperlink>
      <w:r w:rsidR="00E96B29" w:rsidRPr="00E96B29">
        <w:rPr>
          <w:b/>
          <w:lang w:eastAsia="x-none"/>
        </w:rPr>
        <w:tab/>
        <w:t>Moderator Summary #1 on Reply LS on request for clarifications on RedCap positioning, carrier phase positioning, and bandwidth aggregation for positioning</w:t>
      </w:r>
      <w:r w:rsidR="00E96B29" w:rsidRPr="00E96B29">
        <w:rPr>
          <w:b/>
          <w:lang w:eastAsia="x-none"/>
        </w:rPr>
        <w:tab/>
        <w:t>Moderator (Nokia)</w:t>
      </w:r>
    </w:p>
    <w:p w14:paraId="03F5FD13" w14:textId="424B0707" w:rsidR="00E96B29" w:rsidRPr="00E96B29" w:rsidRDefault="00E96B29" w:rsidP="00E96B29">
      <w:pPr>
        <w:rPr>
          <w:rFonts w:ascii="Times New Roman" w:hAnsi="Times New Roman"/>
          <w:szCs w:val="20"/>
          <w:lang w:eastAsia="x-none"/>
        </w:rPr>
      </w:pPr>
      <w:r>
        <w:rPr>
          <w:rFonts w:ascii="Times New Roman" w:hAnsi="Times New Roman"/>
          <w:szCs w:val="20"/>
          <w:lang w:eastAsia="x-none"/>
        </w:rPr>
        <w:t>From Tuesday session</w:t>
      </w:r>
    </w:p>
    <w:p w14:paraId="0EFA7562" w14:textId="77777777" w:rsidR="00E96B29" w:rsidRPr="00E96B29" w:rsidRDefault="00E96B29" w:rsidP="00E96B29">
      <w:pPr>
        <w:rPr>
          <w:rFonts w:ascii="Times New Roman" w:hAnsi="Times New Roman"/>
          <w:szCs w:val="20"/>
          <w:lang w:eastAsia="x-none"/>
        </w:rPr>
      </w:pPr>
      <w:r w:rsidRPr="00E96B29">
        <w:rPr>
          <w:rFonts w:ascii="Times New Roman" w:hAnsi="Times New Roman"/>
          <w:szCs w:val="20"/>
          <w:highlight w:val="green"/>
          <w:lang w:eastAsia="x-none"/>
        </w:rPr>
        <w:t>Answer for Q2 and Q3</w:t>
      </w:r>
    </w:p>
    <w:tbl>
      <w:tblPr>
        <w:tblW w:w="5000" w:type="pct"/>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0683"/>
      </w:tblGrid>
      <w:tr w:rsidR="00E96B29" w:rsidRPr="00E96B29" w14:paraId="17B84E7F" w14:textId="77777777" w:rsidTr="00E96B29">
        <w:tc>
          <w:tcPr>
            <w:tcW w:w="5000" w:type="pct"/>
            <w:shd w:val="clear" w:color="auto" w:fill="auto"/>
          </w:tcPr>
          <w:p w14:paraId="3975DBE9" w14:textId="77777777" w:rsidR="00E96B29" w:rsidRPr="00E96B29" w:rsidRDefault="00E96B29" w:rsidP="00E96B29">
            <w:pPr>
              <w:overflowPunct w:val="0"/>
              <w:autoSpaceDE w:val="0"/>
              <w:autoSpaceDN w:val="0"/>
              <w:adjustRightInd w:val="0"/>
              <w:textAlignment w:val="baseline"/>
              <w:rPr>
                <w:rFonts w:ascii="Arial" w:eastAsia="SimSun" w:hAnsi="Arial" w:cs="Arial"/>
                <w:sz w:val="16"/>
                <w:szCs w:val="16"/>
              </w:rPr>
            </w:pPr>
            <w:r w:rsidRPr="00E96B29">
              <w:rPr>
                <w:rFonts w:ascii="Arial" w:eastAsia="SimSun" w:hAnsi="Arial" w:cs="Arial"/>
                <w:sz w:val="16"/>
                <w:szCs w:val="16"/>
              </w:rPr>
              <w:t>Q2) For RedCap UEs to support SRS for positioning frequency hopping by using a BWP configuration separate from the existing BWP configuration, is the separate BWP configuration inside each existing data BWP or outside any data BWP?</w:t>
            </w:r>
          </w:p>
          <w:p w14:paraId="79825308" w14:textId="77777777" w:rsidR="00E96B29" w:rsidRPr="00E96B29" w:rsidRDefault="00E96B29" w:rsidP="00E96B29">
            <w:pPr>
              <w:overflowPunct w:val="0"/>
              <w:autoSpaceDE w:val="0"/>
              <w:autoSpaceDN w:val="0"/>
              <w:adjustRightInd w:val="0"/>
              <w:textAlignment w:val="baseline"/>
              <w:rPr>
                <w:rFonts w:ascii="Arial" w:eastAsia="SimSun" w:hAnsi="Arial" w:cs="Arial"/>
                <w:sz w:val="16"/>
                <w:szCs w:val="16"/>
              </w:rPr>
            </w:pPr>
            <w:r w:rsidRPr="00E96B29">
              <w:rPr>
                <w:rFonts w:ascii="Arial" w:eastAsia="SimSun" w:hAnsi="Arial" w:cs="Arial"/>
                <w:sz w:val="16"/>
                <w:szCs w:val="16"/>
              </w:rPr>
              <w:t>Q3) Please confirm if UE/gNB measurement reported with frequency hopping applies to RSTD, RSRP, RTOA, UE Rx-Tx time difference and gNB Rx-Tx time difference measurements for DL-TDOA, UL-TDOA and Multi-RTT positioning methods.</w:t>
            </w:r>
          </w:p>
        </w:tc>
      </w:tr>
    </w:tbl>
    <w:p w14:paraId="14A829E4" w14:textId="77777777" w:rsidR="00E96B29" w:rsidRPr="00E96B29" w:rsidRDefault="00E96B29" w:rsidP="00AA1D48">
      <w:pPr>
        <w:pStyle w:val="ListParagraph"/>
        <w:numPr>
          <w:ilvl w:val="0"/>
          <w:numId w:val="107"/>
        </w:numPr>
        <w:rPr>
          <w:lang w:val="en-US"/>
        </w:rPr>
      </w:pPr>
      <w:r w:rsidRPr="00E96B29">
        <w:rPr>
          <w:lang w:val="en-US"/>
        </w:rPr>
        <w:t>From RAN1 perspective, the separate BWP configuration is outside any data BWP configuration.</w:t>
      </w:r>
    </w:p>
    <w:p w14:paraId="125BDBCF" w14:textId="77777777" w:rsidR="00E96B29" w:rsidRPr="00E96B29" w:rsidRDefault="00E96B29" w:rsidP="00AA1D48">
      <w:pPr>
        <w:pStyle w:val="ListParagraph"/>
        <w:numPr>
          <w:ilvl w:val="0"/>
          <w:numId w:val="107"/>
        </w:numPr>
        <w:rPr>
          <w:lang w:val="en-US"/>
        </w:rPr>
      </w:pPr>
      <w:r w:rsidRPr="00E96B29">
        <w:rPr>
          <w:lang w:val="en-US"/>
        </w:rPr>
        <w:t>Yes, RAN1 confirms RAN2 understanding. Also, the UE/gNB measurement reported with frequency hopping applies to RSRPP measurement.</w:t>
      </w:r>
    </w:p>
    <w:p w14:paraId="1834BD5E" w14:textId="77777777" w:rsidR="00E96B29" w:rsidRPr="00E96B29" w:rsidRDefault="00E96B29" w:rsidP="00E96B29">
      <w:pPr>
        <w:overflowPunct w:val="0"/>
        <w:autoSpaceDE w:val="0"/>
        <w:autoSpaceDN w:val="0"/>
        <w:adjustRightInd w:val="0"/>
        <w:textAlignment w:val="baseline"/>
        <w:rPr>
          <w:rFonts w:ascii="Times New Roman" w:eastAsia="SimSun" w:hAnsi="Times New Roman"/>
          <w:szCs w:val="20"/>
          <w:lang w:val="en-US"/>
        </w:rPr>
      </w:pPr>
      <w:r w:rsidRPr="00E96B29">
        <w:rPr>
          <w:rFonts w:ascii="Times New Roman" w:eastAsia="SimSun" w:hAnsi="Times New Roman"/>
          <w:szCs w:val="20"/>
          <w:highlight w:val="green"/>
          <w:lang w:val="en-US"/>
        </w:rPr>
        <w:lastRenderedPageBreak/>
        <w:t>Answer for Q1)</w:t>
      </w:r>
    </w:p>
    <w:tbl>
      <w:tblPr>
        <w:tblW w:w="5000" w:type="pct"/>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0683"/>
      </w:tblGrid>
      <w:tr w:rsidR="00E96B29" w:rsidRPr="00E96B29" w14:paraId="61063D0A" w14:textId="77777777" w:rsidTr="00E96B29">
        <w:tc>
          <w:tcPr>
            <w:tcW w:w="5000" w:type="pct"/>
            <w:shd w:val="clear" w:color="auto" w:fill="auto"/>
          </w:tcPr>
          <w:p w14:paraId="3A516E6E" w14:textId="77777777" w:rsidR="00E96B29" w:rsidRPr="00E96B29" w:rsidRDefault="00E96B29" w:rsidP="00E96B29">
            <w:pPr>
              <w:overflowPunct w:val="0"/>
              <w:autoSpaceDE w:val="0"/>
              <w:autoSpaceDN w:val="0"/>
              <w:adjustRightInd w:val="0"/>
              <w:textAlignment w:val="baseline"/>
              <w:rPr>
                <w:rFonts w:ascii="Arial" w:eastAsia="SimSun" w:hAnsi="Arial" w:cs="Arial"/>
                <w:sz w:val="16"/>
                <w:szCs w:val="16"/>
              </w:rPr>
            </w:pPr>
            <w:r w:rsidRPr="00E96B29">
              <w:rPr>
                <w:rFonts w:ascii="Arial" w:eastAsia="SimSun" w:hAnsi="Arial" w:cs="Arial"/>
                <w:sz w:val="16"/>
                <w:szCs w:val="16"/>
              </w:rPr>
              <w:t>Q1) For DL PRS Rx frequency hopping, does LMF have to signal the hopping pattern configuration to the UE or not? What about the same for UL SRS Tx frequency hopping?</w:t>
            </w:r>
          </w:p>
        </w:tc>
      </w:tr>
    </w:tbl>
    <w:p w14:paraId="4760829F" w14:textId="77777777" w:rsidR="00E96B29" w:rsidRPr="00E96B29" w:rsidRDefault="00E96B29" w:rsidP="00E96B29">
      <w:pPr>
        <w:rPr>
          <w:lang w:val="en-US"/>
        </w:rPr>
      </w:pPr>
      <w:r w:rsidRPr="00E96B29">
        <w:rPr>
          <w:lang w:val="en-US"/>
        </w:rPr>
        <w:t>LMF does not need to provide the UE with the hopping pattern configuration for DL PRS Rx frequency hopping or UL SRS Tx hopping.</w:t>
      </w:r>
    </w:p>
    <w:p w14:paraId="5C7FED5E" w14:textId="77777777" w:rsidR="00E96B29" w:rsidRPr="00E96B29" w:rsidRDefault="00E96B29" w:rsidP="00AA1D48">
      <w:pPr>
        <w:pStyle w:val="ListParagraph"/>
        <w:numPr>
          <w:ilvl w:val="0"/>
          <w:numId w:val="133"/>
        </w:numPr>
        <w:rPr>
          <w:lang w:val="en-US"/>
        </w:rPr>
      </w:pPr>
      <w:r w:rsidRPr="00E96B29">
        <w:rPr>
          <w:lang w:val="en-US"/>
        </w:rPr>
        <w:t>For DL PRS Rx frequency hopping, LMF sends an explicit request for DL PRS Rx hopping measurement and reporting</w:t>
      </w:r>
      <w:r w:rsidRPr="00E96B29">
        <w:rPr>
          <w:color w:val="FF0000"/>
          <w:lang w:val="en-US"/>
        </w:rPr>
        <w:t xml:space="preserve">, and optionally include the total bandwidth of all hops </w:t>
      </w:r>
      <w:r w:rsidRPr="00E96B29">
        <w:rPr>
          <w:lang w:val="en-US"/>
        </w:rPr>
        <w:t>in the location request signaling based on the following agreement.</w:t>
      </w:r>
    </w:p>
    <w:tbl>
      <w:tblPr>
        <w:tblW w:w="0" w:type="auto"/>
        <w:tblInd w:w="704" w:type="dxa"/>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9894"/>
      </w:tblGrid>
      <w:tr w:rsidR="00E96B29" w:rsidRPr="00E96B29" w14:paraId="499020D6" w14:textId="77777777" w:rsidTr="00E96B29">
        <w:tc>
          <w:tcPr>
            <w:tcW w:w="9894" w:type="dxa"/>
            <w:shd w:val="clear" w:color="auto" w:fill="auto"/>
          </w:tcPr>
          <w:p w14:paraId="32C226A9" w14:textId="77777777" w:rsidR="00E96B29" w:rsidRPr="00E96B29" w:rsidRDefault="00E96B29" w:rsidP="00E96B29">
            <w:pPr>
              <w:rPr>
                <w:rFonts w:ascii="Arial" w:hAnsi="Arial" w:cs="Arial"/>
                <w:sz w:val="16"/>
                <w:szCs w:val="16"/>
                <w:lang w:eastAsia="zh-CN"/>
              </w:rPr>
            </w:pPr>
            <w:r w:rsidRPr="00E96B29">
              <w:rPr>
                <w:rFonts w:ascii="Arial" w:hAnsi="Arial" w:cs="Arial"/>
                <w:sz w:val="16"/>
                <w:szCs w:val="16"/>
                <w:highlight w:val="green"/>
                <w:lang w:eastAsia="zh-CN"/>
              </w:rPr>
              <w:t>Agreement</w:t>
            </w:r>
          </w:p>
          <w:p w14:paraId="5D51F05E" w14:textId="77777777" w:rsidR="00E96B29" w:rsidRPr="00E96B29" w:rsidRDefault="00E96B29" w:rsidP="00E96B29">
            <w:pPr>
              <w:rPr>
                <w:rFonts w:ascii="Arial" w:hAnsi="Arial" w:cs="Arial"/>
                <w:sz w:val="16"/>
                <w:szCs w:val="16"/>
                <w:lang w:eastAsia="zh-CN"/>
              </w:rPr>
            </w:pPr>
            <w:r w:rsidRPr="00E96B29">
              <w:rPr>
                <w:rFonts w:ascii="Arial" w:hAnsi="Arial" w:cs="Arial"/>
                <w:sz w:val="16"/>
                <w:szCs w:val="16"/>
                <w:lang w:eastAsia="zh-CN"/>
              </w:rPr>
              <w:t xml:space="preserve">For DL PRS Rx hopping, support the LMF to include an explicit request for DL PRS Rx hopping measurements and reporting in the location request signaling. </w:t>
            </w:r>
          </w:p>
          <w:p w14:paraId="2B7F3139" w14:textId="77777777" w:rsidR="00E96B29" w:rsidRPr="00E96B29" w:rsidRDefault="00E96B29" w:rsidP="00E96B29">
            <w:pPr>
              <w:overflowPunct w:val="0"/>
              <w:autoSpaceDE w:val="0"/>
              <w:autoSpaceDN w:val="0"/>
              <w:adjustRightInd w:val="0"/>
              <w:textAlignment w:val="baseline"/>
              <w:rPr>
                <w:rFonts w:ascii="Arial" w:eastAsia="SimSun" w:hAnsi="Arial" w:cs="Arial"/>
                <w:sz w:val="16"/>
                <w:szCs w:val="16"/>
                <w:lang w:val="en-US"/>
              </w:rPr>
            </w:pPr>
            <w:r w:rsidRPr="00E96B29">
              <w:rPr>
                <w:rFonts w:ascii="Arial" w:eastAsia="SimSun" w:hAnsi="Arial" w:cs="Arial"/>
                <w:sz w:val="16"/>
                <w:szCs w:val="16"/>
                <w:lang w:val="en-US" w:eastAsia="zh-CN"/>
              </w:rPr>
              <w:t>The location information request can also optionally include the total bandwidth of all hops.</w:t>
            </w:r>
          </w:p>
        </w:tc>
      </w:tr>
    </w:tbl>
    <w:p w14:paraId="3948965F" w14:textId="77777777" w:rsidR="00E96B29" w:rsidRPr="009E4205" w:rsidRDefault="00E96B29" w:rsidP="00AA1D48">
      <w:pPr>
        <w:pStyle w:val="ListParagraph"/>
        <w:numPr>
          <w:ilvl w:val="0"/>
          <w:numId w:val="133"/>
        </w:numPr>
        <w:rPr>
          <w:lang w:val="en-US"/>
        </w:rPr>
      </w:pPr>
      <w:r w:rsidRPr="009E4205">
        <w:rPr>
          <w:lang w:val="en-US"/>
        </w:rPr>
        <w:t>For UL SRS frequency hopping, a serving gNB provides the UE with a SRS Tx frequency hopping pattern.</w:t>
      </w:r>
    </w:p>
    <w:p w14:paraId="04607AB6" w14:textId="77777777" w:rsidR="00E96B29" w:rsidRPr="00E96B29" w:rsidRDefault="00E96B29" w:rsidP="00E96B29">
      <w:pPr>
        <w:overflowPunct w:val="0"/>
        <w:autoSpaceDE w:val="0"/>
        <w:autoSpaceDN w:val="0"/>
        <w:adjustRightInd w:val="0"/>
        <w:textAlignment w:val="baseline"/>
        <w:rPr>
          <w:rFonts w:ascii="Times New Roman" w:eastAsia="SimSun" w:hAnsi="Times New Roman"/>
          <w:szCs w:val="20"/>
          <w:highlight w:val="green"/>
          <w:lang w:val="en-US"/>
        </w:rPr>
      </w:pPr>
      <w:r w:rsidRPr="00E96B29">
        <w:rPr>
          <w:rFonts w:ascii="Times New Roman" w:eastAsia="SimSun" w:hAnsi="Times New Roman"/>
          <w:szCs w:val="20"/>
          <w:highlight w:val="green"/>
          <w:lang w:val="en-US"/>
        </w:rPr>
        <w:t>Answer for Q4 and Q5</w:t>
      </w:r>
    </w:p>
    <w:tbl>
      <w:tblPr>
        <w:tblW w:w="5000" w:type="pct"/>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0683"/>
      </w:tblGrid>
      <w:tr w:rsidR="00E96B29" w:rsidRPr="00E96B29" w14:paraId="3166D00A" w14:textId="77777777" w:rsidTr="00E96B29">
        <w:tc>
          <w:tcPr>
            <w:tcW w:w="5000" w:type="pct"/>
            <w:shd w:val="clear" w:color="auto" w:fill="auto"/>
          </w:tcPr>
          <w:p w14:paraId="04505B7B" w14:textId="77777777" w:rsidR="00E96B29" w:rsidRPr="00E96B29" w:rsidRDefault="00E96B29" w:rsidP="00E96B29">
            <w:pPr>
              <w:overflowPunct w:val="0"/>
              <w:autoSpaceDE w:val="0"/>
              <w:autoSpaceDN w:val="0"/>
              <w:adjustRightInd w:val="0"/>
              <w:textAlignment w:val="baseline"/>
              <w:rPr>
                <w:rFonts w:ascii="Arial" w:eastAsia="SimSun" w:hAnsi="Arial" w:cs="Arial"/>
                <w:sz w:val="16"/>
                <w:szCs w:val="16"/>
              </w:rPr>
            </w:pPr>
            <w:r w:rsidRPr="00E96B29">
              <w:rPr>
                <w:rFonts w:ascii="Arial" w:eastAsia="SimSun" w:hAnsi="Arial" w:cs="Arial"/>
                <w:sz w:val="16"/>
                <w:szCs w:val="16"/>
              </w:rPr>
              <w:t>Q4) Has RAN1 discussed the interaction between carrier phase positioning and bandwidth aggregation for positioning? When bandwidth aggregation is used involving 2 or 3 positioning frequency layers (PFL), does the UE report the carrier phase measurement for each PFL or only one PFL?</w:t>
            </w:r>
          </w:p>
          <w:p w14:paraId="19D23C7A" w14:textId="77777777" w:rsidR="00E96B29" w:rsidRPr="00E96B29" w:rsidRDefault="00E96B29" w:rsidP="00E96B29">
            <w:pPr>
              <w:overflowPunct w:val="0"/>
              <w:autoSpaceDE w:val="0"/>
              <w:autoSpaceDN w:val="0"/>
              <w:adjustRightInd w:val="0"/>
              <w:textAlignment w:val="baseline"/>
              <w:rPr>
                <w:rFonts w:ascii="Arial" w:eastAsia="SimSun" w:hAnsi="Arial" w:cs="Arial"/>
                <w:sz w:val="16"/>
                <w:szCs w:val="16"/>
              </w:rPr>
            </w:pPr>
            <w:r w:rsidRPr="00E96B29">
              <w:rPr>
                <w:rFonts w:ascii="Arial" w:eastAsia="SimSun" w:hAnsi="Arial" w:cs="Arial"/>
                <w:sz w:val="16"/>
                <w:szCs w:val="16"/>
              </w:rPr>
              <w:t>Q5) Is the simultaneous measurement on same DL PRS by a target UE and a PRU applies only for carrier phase measurements (RSCP/RSCPD) or applies also to the legacy measurement along which the carrier phase measurements are reported? Please clarify if simultaneous measurement applies to all legacy measurements (e.g., timing, power measurements) or not.</w:t>
            </w:r>
          </w:p>
        </w:tc>
      </w:tr>
    </w:tbl>
    <w:p w14:paraId="5047E08E" w14:textId="77777777" w:rsidR="00E96B29" w:rsidRPr="009E4205" w:rsidRDefault="00E96B29" w:rsidP="00AA1D48">
      <w:pPr>
        <w:pStyle w:val="ListParagraph"/>
        <w:numPr>
          <w:ilvl w:val="0"/>
          <w:numId w:val="133"/>
        </w:numPr>
        <w:rPr>
          <w:lang w:val="en-US"/>
        </w:rPr>
      </w:pPr>
      <w:r w:rsidRPr="009E4205">
        <w:rPr>
          <w:lang w:val="en-US"/>
        </w:rPr>
        <w:t xml:space="preserve">No, the interaction of carrier phase positioning and bandwidth aggregation for positioning has not been discussed. </w:t>
      </w:r>
      <w:r w:rsidRPr="00E96B29">
        <w:t>The UE reports the carrier phase measurement for only one PFL.</w:t>
      </w:r>
    </w:p>
    <w:p w14:paraId="707E8804" w14:textId="77777777" w:rsidR="00E96B29" w:rsidRPr="009E4205" w:rsidRDefault="00E96B29" w:rsidP="00AA1D48">
      <w:pPr>
        <w:pStyle w:val="ListParagraph"/>
        <w:numPr>
          <w:ilvl w:val="0"/>
          <w:numId w:val="133"/>
        </w:numPr>
        <w:rPr>
          <w:lang w:val="en-US"/>
        </w:rPr>
      </w:pPr>
      <w:r w:rsidRPr="009E4205">
        <w:rPr>
          <w:lang w:val="en-US"/>
        </w:rPr>
        <w:t>The simultaneous measurement on same DL PRS by a target UE and a PRU also applies to all legacy measurements.</w:t>
      </w:r>
    </w:p>
    <w:p w14:paraId="283D0AFC" w14:textId="77777777" w:rsidR="00E96B29" w:rsidRPr="00E96B29" w:rsidRDefault="00E96B29" w:rsidP="00E96B29">
      <w:pPr>
        <w:overflowPunct w:val="0"/>
        <w:autoSpaceDE w:val="0"/>
        <w:autoSpaceDN w:val="0"/>
        <w:adjustRightInd w:val="0"/>
        <w:textAlignment w:val="baseline"/>
        <w:rPr>
          <w:rFonts w:ascii="Times New Roman" w:eastAsia="SimSun" w:hAnsi="Times New Roman"/>
          <w:szCs w:val="20"/>
          <w:highlight w:val="green"/>
          <w:lang w:val="en-US"/>
        </w:rPr>
      </w:pPr>
      <w:r w:rsidRPr="00E96B29">
        <w:rPr>
          <w:rFonts w:ascii="Times New Roman" w:eastAsia="SimSun" w:hAnsi="Times New Roman"/>
          <w:szCs w:val="20"/>
          <w:highlight w:val="green"/>
          <w:lang w:val="en-US"/>
        </w:rPr>
        <w:t>Answer for Q6 and Q7</w:t>
      </w:r>
    </w:p>
    <w:tbl>
      <w:tblPr>
        <w:tblW w:w="5000" w:type="pct"/>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0683"/>
      </w:tblGrid>
      <w:tr w:rsidR="00E96B29" w:rsidRPr="00E96B29" w14:paraId="785B7316" w14:textId="77777777" w:rsidTr="00E96B29">
        <w:tc>
          <w:tcPr>
            <w:tcW w:w="5000" w:type="pct"/>
            <w:shd w:val="clear" w:color="auto" w:fill="auto"/>
          </w:tcPr>
          <w:p w14:paraId="48DB3C50" w14:textId="77777777" w:rsidR="00E96B29" w:rsidRPr="00E96B29" w:rsidRDefault="00E96B29" w:rsidP="00E96B29">
            <w:pPr>
              <w:overflowPunct w:val="0"/>
              <w:autoSpaceDE w:val="0"/>
              <w:autoSpaceDN w:val="0"/>
              <w:adjustRightInd w:val="0"/>
              <w:textAlignment w:val="baseline"/>
              <w:rPr>
                <w:rFonts w:ascii="Arial" w:eastAsia="SimSun" w:hAnsi="Arial" w:cs="Arial"/>
                <w:sz w:val="16"/>
                <w:szCs w:val="16"/>
              </w:rPr>
            </w:pPr>
            <w:r w:rsidRPr="00E96B29">
              <w:rPr>
                <w:rFonts w:ascii="Arial" w:eastAsia="SimSun" w:hAnsi="Arial" w:cs="Arial"/>
                <w:sz w:val="16"/>
                <w:szCs w:val="16"/>
              </w:rPr>
              <w:t>Q6) For simultaneous measurement on same DL PRS by a target UE and a PRU, is multiple instances of time window configurations need to be signalled to the target UE and PRU or is the set of time window configuration parameters results in multiple time domain windows for the measurement? RAN2 would like additional clarification on need for multiple time windows.</w:t>
            </w:r>
          </w:p>
          <w:p w14:paraId="1DA5AFF1" w14:textId="77777777" w:rsidR="00E96B29" w:rsidRPr="00E96B29" w:rsidRDefault="00E96B29" w:rsidP="00E96B29">
            <w:pPr>
              <w:overflowPunct w:val="0"/>
              <w:autoSpaceDE w:val="0"/>
              <w:autoSpaceDN w:val="0"/>
              <w:adjustRightInd w:val="0"/>
              <w:textAlignment w:val="baseline"/>
              <w:rPr>
                <w:rFonts w:ascii="Arial" w:eastAsia="SimSun" w:hAnsi="Arial" w:cs="Arial"/>
                <w:sz w:val="16"/>
                <w:szCs w:val="16"/>
              </w:rPr>
            </w:pPr>
            <w:r w:rsidRPr="00E96B29">
              <w:rPr>
                <w:rFonts w:ascii="Arial" w:eastAsia="SimSun" w:hAnsi="Arial" w:cs="Arial"/>
                <w:sz w:val="16"/>
                <w:szCs w:val="16"/>
              </w:rPr>
              <w:t>Q7) For simultaneous transmission of UL SRS from a target UE and a PRU, is there a need for gNB to indicate the time window(s) directly to UE?</w:t>
            </w:r>
          </w:p>
        </w:tc>
      </w:tr>
    </w:tbl>
    <w:p w14:paraId="675AF838" w14:textId="77777777" w:rsidR="00E96B29" w:rsidRPr="009E4205" w:rsidRDefault="00E96B29" w:rsidP="00AA1D48">
      <w:pPr>
        <w:pStyle w:val="ListParagraph"/>
        <w:numPr>
          <w:ilvl w:val="0"/>
          <w:numId w:val="134"/>
        </w:numPr>
        <w:rPr>
          <w:lang w:val="en-US"/>
        </w:rPr>
      </w:pPr>
      <w:r w:rsidRPr="009E4205">
        <w:rPr>
          <w:lang w:val="en-US"/>
        </w:rPr>
        <w:t>Each time window configuration optionally includes a periodicity, which results in multiple instances of the time window. Up to 2 different window configurations can be provided.</w:t>
      </w:r>
    </w:p>
    <w:p w14:paraId="27F16578" w14:textId="77777777" w:rsidR="00E96B29" w:rsidRPr="009E4205" w:rsidRDefault="00E96B29" w:rsidP="00AA1D48">
      <w:pPr>
        <w:pStyle w:val="ListParagraph"/>
        <w:numPr>
          <w:ilvl w:val="0"/>
          <w:numId w:val="134"/>
        </w:numPr>
        <w:rPr>
          <w:lang w:val="en-US"/>
        </w:rPr>
      </w:pPr>
      <w:r w:rsidRPr="009E4205">
        <w:rPr>
          <w:lang w:val="en-US"/>
        </w:rPr>
        <w:t>For Q7, there is no such need.</w:t>
      </w:r>
    </w:p>
    <w:p w14:paraId="06C58BF6" w14:textId="77777777" w:rsidR="00E96B29" w:rsidRPr="00E96B29" w:rsidRDefault="00E96B29" w:rsidP="00E96B29">
      <w:pPr>
        <w:overflowPunct w:val="0"/>
        <w:autoSpaceDE w:val="0"/>
        <w:autoSpaceDN w:val="0"/>
        <w:adjustRightInd w:val="0"/>
        <w:textAlignment w:val="baseline"/>
        <w:rPr>
          <w:rFonts w:ascii="Times New Roman" w:eastAsia="SimSun" w:hAnsi="Times New Roman"/>
          <w:szCs w:val="20"/>
          <w:highlight w:val="green"/>
          <w:lang w:val="en-US"/>
        </w:rPr>
      </w:pPr>
      <w:r w:rsidRPr="00E96B29">
        <w:rPr>
          <w:rFonts w:ascii="Times New Roman" w:eastAsia="SimSun" w:hAnsi="Times New Roman"/>
          <w:szCs w:val="20"/>
          <w:highlight w:val="green"/>
          <w:lang w:val="en-US"/>
        </w:rPr>
        <w:t>Answer for Q9</w:t>
      </w:r>
    </w:p>
    <w:tbl>
      <w:tblPr>
        <w:tblW w:w="5000" w:type="pct"/>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0683"/>
      </w:tblGrid>
      <w:tr w:rsidR="00E96B29" w:rsidRPr="00E96B29" w14:paraId="35CBDD31" w14:textId="77777777" w:rsidTr="00E96B29">
        <w:tc>
          <w:tcPr>
            <w:tcW w:w="5000" w:type="pct"/>
            <w:shd w:val="clear" w:color="auto" w:fill="auto"/>
          </w:tcPr>
          <w:p w14:paraId="6397134A" w14:textId="77777777" w:rsidR="00E96B29" w:rsidRPr="00E96B29" w:rsidRDefault="00E96B29" w:rsidP="00E96B29">
            <w:pPr>
              <w:overflowPunct w:val="0"/>
              <w:autoSpaceDE w:val="0"/>
              <w:autoSpaceDN w:val="0"/>
              <w:adjustRightInd w:val="0"/>
              <w:textAlignment w:val="baseline"/>
              <w:rPr>
                <w:rFonts w:ascii="Arial" w:eastAsia="SimSun" w:hAnsi="Arial" w:cs="Arial"/>
                <w:sz w:val="16"/>
                <w:szCs w:val="16"/>
              </w:rPr>
            </w:pPr>
            <w:r w:rsidRPr="00E96B29">
              <w:rPr>
                <w:rFonts w:ascii="Arial" w:eastAsia="SimSun" w:hAnsi="Arial" w:cs="Arial"/>
                <w:sz w:val="16"/>
                <w:szCs w:val="16"/>
              </w:rPr>
              <w:t>Q9) Are carrier phase measurements reported by UE for additional paths also or only for the first path of the associated legacy timing measurement?</w:t>
            </w:r>
          </w:p>
        </w:tc>
      </w:tr>
    </w:tbl>
    <w:p w14:paraId="68F17C70" w14:textId="77777777" w:rsidR="00E96B29" w:rsidRPr="009E4205" w:rsidRDefault="00E96B29" w:rsidP="00AA1D48">
      <w:pPr>
        <w:pStyle w:val="ListParagraph"/>
        <w:numPr>
          <w:ilvl w:val="0"/>
          <w:numId w:val="135"/>
        </w:numPr>
        <w:rPr>
          <w:lang w:val="en-US"/>
        </w:rPr>
      </w:pPr>
      <w:r w:rsidRPr="009E4205">
        <w:rPr>
          <w:lang w:val="en-US"/>
        </w:rPr>
        <w:t>UE reports carrier phase measurements only for the first path.</w:t>
      </w:r>
    </w:p>
    <w:p w14:paraId="0DEED905" w14:textId="65C980E8" w:rsidR="00E96B29" w:rsidRPr="00E96B29" w:rsidRDefault="00E96B29" w:rsidP="00E96B29">
      <w:pPr>
        <w:overflowPunct w:val="0"/>
        <w:autoSpaceDE w:val="0"/>
        <w:autoSpaceDN w:val="0"/>
        <w:adjustRightInd w:val="0"/>
        <w:textAlignment w:val="baseline"/>
        <w:rPr>
          <w:rFonts w:ascii="Times New Roman" w:eastAsia="SimSun" w:hAnsi="Times New Roman"/>
          <w:szCs w:val="20"/>
          <w:highlight w:val="green"/>
          <w:lang w:val="en-US"/>
        </w:rPr>
      </w:pPr>
      <w:r w:rsidRPr="00E96B29">
        <w:rPr>
          <w:rFonts w:ascii="Times New Roman" w:eastAsia="SimSun" w:hAnsi="Times New Roman"/>
          <w:szCs w:val="20"/>
          <w:highlight w:val="green"/>
          <w:lang w:val="en-US"/>
        </w:rPr>
        <w:t>Answer</w:t>
      </w:r>
      <w:r w:rsidR="000E6940">
        <w:rPr>
          <w:rFonts w:ascii="Times New Roman" w:eastAsia="SimSun" w:hAnsi="Times New Roman"/>
          <w:szCs w:val="20"/>
          <w:highlight w:val="green"/>
          <w:lang w:val="en-US"/>
        </w:rPr>
        <w:t>s</w:t>
      </w:r>
      <w:r w:rsidRPr="00E96B29">
        <w:rPr>
          <w:rFonts w:ascii="Times New Roman" w:eastAsia="SimSun" w:hAnsi="Times New Roman"/>
          <w:szCs w:val="20"/>
          <w:highlight w:val="green"/>
          <w:lang w:val="en-US"/>
        </w:rPr>
        <w:t xml:space="preserve"> for Q11, Q12, and Q13</w:t>
      </w:r>
    </w:p>
    <w:p w14:paraId="1F0845AC" w14:textId="77777777" w:rsidR="00E96B29" w:rsidRPr="009E4205" w:rsidRDefault="00E96B29" w:rsidP="00AA1D48">
      <w:pPr>
        <w:pStyle w:val="ListParagraph"/>
        <w:numPr>
          <w:ilvl w:val="0"/>
          <w:numId w:val="135"/>
        </w:numPr>
        <w:rPr>
          <w:lang w:val="en-US"/>
        </w:rPr>
      </w:pPr>
      <w:r w:rsidRPr="009E4205">
        <w:rPr>
          <w:lang w:val="en-US"/>
        </w:rPr>
        <w:t>UE Rx-Tx time difference measurement in RRC_IDLE is not supported using bandwidth aggregation or without using bandwidth aggregation.</w:t>
      </w:r>
    </w:p>
    <w:p w14:paraId="1B659B72" w14:textId="77777777" w:rsidR="00E96B29" w:rsidRPr="009E4205" w:rsidRDefault="00E96B29" w:rsidP="00AA1D48">
      <w:pPr>
        <w:pStyle w:val="ListParagraph"/>
        <w:numPr>
          <w:ilvl w:val="0"/>
          <w:numId w:val="135"/>
        </w:numPr>
        <w:rPr>
          <w:lang w:val="en-US"/>
        </w:rPr>
      </w:pPr>
      <w:r w:rsidRPr="009E4205">
        <w:rPr>
          <w:lang w:val="en-US"/>
        </w:rPr>
        <w:t>The condition on “The same number of PRS resource sets and resources for a TRP” is not needed.</w:t>
      </w:r>
    </w:p>
    <w:p w14:paraId="24093497" w14:textId="77777777" w:rsidR="00E96B29" w:rsidRPr="009E4205" w:rsidRDefault="00E96B29" w:rsidP="00AA1D48">
      <w:pPr>
        <w:pStyle w:val="ListParagraph"/>
        <w:numPr>
          <w:ilvl w:val="0"/>
          <w:numId w:val="135"/>
        </w:numPr>
        <w:rPr>
          <w:u w:val="single"/>
          <w:lang w:val="en-US"/>
        </w:rPr>
      </w:pPr>
      <w:r w:rsidRPr="009E4205">
        <w:rPr>
          <w:lang w:val="en-US"/>
        </w:rPr>
        <w:t>The aggregated reference RSTD means a reference RSTD, where the reference RSTD is derived from aggregated DL PRS Resources. RAN1 have not discussed the aggregated reference RSTD reporting requirement, which is up to RAN4.</w:t>
      </w:r>
    </w:p>
    <w:p w14:paraId="103345F9" w14:textId="77777777" w:rsidR="00E96B29" w:rsidRPr="00E96B29" w:rsidRDefault="00E96B29" w:rsidP="00E96B29">
      <w:pPr>
        <w:rPr>
          <w:rFonts w:ascii="Times New Roman" w:hAnsi="Times New Roman"/>
          <w:szCs w:val="20"/>
          <w:lang w:eastAsia="x-none"/>
        </w:rPr>
      </w:pPr>
    </w:p>
    <w:p w14:paraId="545B69E0" w14:textId="614D9A7A" w:rsidR="00E96B29" w:rsidRDefault="005A18DC" w:rsidP="00E96B29">
      <w:pPr>
        <w:rPr>
          <w:bCs/>
          <w:lang w:eastAsia="x-none"/>
        </w:rPr>
      </w:pPr>
      <w:hyperlink r:id="rId1076" w:history="1">
        <w:r w:rsidR="00AF7253">
          <w:rPr>
            <w:rStyle w:val="Hyperlink"/>
            <w:b/>
            <w:lang w:eastAsia="x-none"/>
          </w:rPr>
          <w:t>R1-2312432</w:t>
        </w:r>
      </w:hyperlink>
      <w:r w:rsidR="00E96B29" w:rsidRPr="00A4295B">
        <w:rPr>
          <w:b/>
          <w:lang w:eastAsia="x-none"/>
        </w:rPr>
        <w:tab/>
        <w:t>Moderator Summary #2 on Reply LS on request for clarifications on RedCap positioning, carrier phase</w:t>
      </w:r>
      <w:r w:rsidR="00E96B29" w:rsidRPr="00E96B29">
        <w:rPr>
          <w:bCs/>
          <w:lang w:eastAsia="x-none"/>
        </w:rPr>
        <w:t xml:space="preserve"> positioning, and bandwidth aggregation for positioning</w:t>
      </w:r>
      <w:r w:rsidR="00E96B29" w:rsidRPr="00E96B29">
        <w:rPr>
          <w:bCs/>
          <w:lang w:eastAsia="x-none"/>
        </w:rPr>
        <w:tab/>
        <w:t>Moderator (Nokia)</w:t>
      </w:r>
    </w:p>
    <w:p w14:paraId="041AB97B" w14:textId="6EE00347" w:rsidR="00A4295B" w:rsidRDefault="00A4295B" w:rsidP="00E96B29">
      <w:pPr>
        <w:rPr>
          <w:bCs/>
          <w:lang w:eastAsia="x-none"/>
        </w:rPr>
      </w:pPr>
      <w:r>
        <w:rPr>
          <w:bCs/>
          <w:lang w:eastAsia="x-none"/>
        </w:rPr>
        <w:t>From Wednesday session</w:t>
      </w:r>
    </w:p>
    <w:p w14:paraId="684C49E7" w14:textId="77777777" w:rsidR="00A4295B" w:rsidRPr="00A4295B" w:rsidRDefault="00A4295B" w:rsidP="00A4295B">
      <w:pPr>
        <w:rPr>
          <w:rFonts w:cs="Times"/>
          <w:szCs w:val="20"/>
          <w:lang w:eastAsia="x-none"/>
        </w:rPr>
      </w:pPr>
      <w:r w:rsidRPr="00A4295B">
        <w:rPr>
          <w:rFonts w:cs="Times"/>
          <w:szCs w:val="20"/>
          <w:highlight w:val="green"/>
          <w:lang w:eastAsia="x-none"/>
        </w:rPr>
        <w:t>Agreement</w:t>
      </w:r>
    </w:p>
    <w:tbl>
      <w:tblPr>
        <w:tblW w:w="5000" w:type="pct"/>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0683"/>
      </w:tblGrid>
      <w:tr w:rsidR="00A4295B" w:rsidRPr="00A4295B" w14:paraId="3588BCE1" w14:textId="77777777" w:rsidTr="00A4295B">
        <w:tc>
          <w:tcPr>
            <w:tcW w:w="5000" w:type="pct"/>
            <w:shd w:val="clear" w:color="auto" w:fill="auto"/>
          </w:tcPr>
          <w:p w14:paraId="51BC07EC" w14:textId="77777777" w:rsidR="00A4295B" w:rsidRPr="00A4295B" w:rsidRDefault="00A4295B" w:rsidP="00A4295B">
            <w:pPr>
              <w:overflowPunct w:val="0"/>
              <w:autoSpaceDE w:val="0"/>
              <w:autoSpaceDN w:val="0"/>
              <w:adjustRightInd w:val="0"/>
              <w:spacing w:before="120" w:after="120"/>
              <w:textAlignment w:val="baseline"/>
              <w:rPr>
                <w:rFonts w:ascii="Arial" w:eastAsia="SimSun" w:hAnsi="Arial" w:cs="Arial"/>
                <w:sz w:val="16"/>
                <w:szCs w:val="16"/>
              </w:rPr>
            </w:pPr>
            <w:r w:rsidRPr="00A4295B">
              <w:rPr>
                <w:rFonts w:ascii="Arial" w:eastAsia="SimSun" w:hAnsi="Arial" w:cs="Arial"/>
                <w:sz w:val="16"/>
                <w:szCs w:val="16"/>
              </w:rPr>
              <w:t>Q8) For UE-based carrier phase positioning, RAN1 agreement says the LMF forwards the DL carrier phase measurement reported by a PRU, with additional information of the same PRU to a target UE in the positioning assistance data. Regarding the forwarded measurement, does the LMF forward only the carrier phase measurement or also the legacy measurement associated with the carrier phase measurement? Also, how often does the LMF have to forward the positioning assistance data containing PRU measurement (and additional information of the same PRU) to the target UE i.e., is this supposed to be a periodic provisioning of assistance data from LMF to target UE? Can the UE send a request to the LMF to initiate the periodic provisioning of assistance data?</w:t>
            </w:r>
          </w:p>
        </w:tc>
      </w:tr>
    </w:tbl>
    <w:p w14:paraId="59C2DCE7" w14:textId="77777777" w:rsidR="00A4295B" w:rsidRPr="00A4295B" w:rsidRDefault="00A4295B" w:rsidP="00A4295B">
      <w:pPr>
        <w:rPr>
          <w:lang w:val="en-US"/>
        </w:rPr>
      </w:pPr>
      <w:r w:rsidRPr="00A4295B">
        <w:t xml:space="preserve">The LMF can forward the carrier phase measurements together with the legacy measurement associated with the carrier phase measurement. </w:t>
      </w:r>
    </w:p>
    <w:p w14:paraId="23A1699A" w14:textId="77777777" w:rsidR="00A4295B" w:rsidRPr="00A4295B" w:rsidRDefault="00A4295B" w:rsidP="00A67145">
      <w:pPr>
        <w:pStyle w:val="ListParagraph"/>
        <w:numPr>
          <w:ilvl w:val="0"/>
          <w:numId w:val="159"/>
        </w:numPr>
        <w:rPr>
          <w:lang w:val="en-US"/>
        </w:rPr>
      </w:pPr>
      <w:r w:rsidRPr="00A4295B">
        <w:t>Note1: there is no consensus in RAN1 that the LMF can forward UE Rx-Tx time difference measurement.</w:t>
      </w:r>
    </w:p>
    <w:p w14:paraId="025D1111" w14:textId="77777777" w:rsidR="00A4295B" w:rsidRPr="00A4295B" w:rsidRDefault="00A4295B" w:rsidP="00A67145">
      <w:pPr>
        <w:pStyle w:val="ListParagraph"/>
        <w:numPr>
          <w:ilvl w:val="0"/>
          <w:numId w:val="159"/>
        </w:numPr>
        <w:rPr>
          <w:lang w:val="en-US"/>
        </w:rPr>
      </w:pPr>
      <w:r w:rsidRPr="00A4295B">
        <w:rPr>
          <w:lang w:val="en-US"/>
        </w:rPr>
        <w:t xml:space="preserve">Note2: </w:t>
      </w:r>
      <w:r w:rsidRPr="00A4295B">
        <w:t>carrier phase measurements include both RSCP and RSCPD</w:t>
      </w:r>
    </w:p>
    <w:p w14:paraId="47645DAA" w14:textId="77777777" w:rsidR="00A4295B" w:rsidRPr="00A4295B" w:rsidRDefault="00A4295B" w:rsidP="00A4295B">
      <w:pPr>
        <w:rPr>
          <w:lang w:val="en-US"/>
        </w:rPr>
      </w:pPr>
      <w:r w:rsidRPr="00A4295B">
        <w:rPr>
          <w:lang w:val="en-US"/>
        </w:rPr>
        <w:lastRenderedPageBreak/>
        <w:t>Both one time (aperiodic) and periodic provision of PRU carrier phase</w:t>
      </w:r>
      <w:r w:rsidRPr="00A4295B">
        <w:rPr>
          <w:color w:val="C00000"/>
          <w:lang w:val="en-US"/>
        </w:rPr>
        <w:t xml:space="preserve"> </w:t>
      </w:r>
      <w:r w:rsidRPr="00A4295B">
        <w:rPr>
          <w:lang w:val="en-US"/>
        </w:rPr>
        <w:t xml:space="preserve">measurements should be supported, which could be requested by the UE. </w:t>
      </w:r>
    </w:p>
    <w:p w14:paraId="706A2E34" w14:textId="77777777" w:rsidR="00A4295B" w:rsidRPr="00A4295B" w:rsidRDefault="00A4295B" w:rsidP="00A4295B">
      <w:pPr>
        <w:rPr>
          <w:u w:val="single"/>
          <w:lang w:val="en-US"/>
        </w:rPr>
      </w:pPr>
    </w:p>
    <w:p w14:paraId="017EA29C" w14:textId="2B4B41EB" w:rsidR="00A4295B" w:rsidRPr="00A4295B" w:rsidRDefault="00A4295B" w:rsidP="00A4295B">
      <w:pPr>
        <w:rPr>
          <w:rFonts w:cs="Times"/>
          <w:szCs w:val="20"/>
          <w:lang w:eastAsia="x-none"/>
        </w:rPr>
      </w:pPr>
      <w:r w:rsidRPr="00E96B29">
        <w:rPr>
          <w:rFonts w:ascii="Times New Roman" w:eastAsia="SimSun" w:hAnsi="Times New Roman"/>
          <w:szCs w:val="20"/>
          <w:highlight w:val="green"/>
          <w:lang w:val="en-US"/>
        </w:rPr>
        <w:t>Answer for</w:t>
      </w:r>
      <w:r w:rsidRPr="00A4295B">
        <w:rPr>
          <w:rFonts w:cs="Times"/>
          <w:szCs w:val="20"/>
          <w:highlight w:val="green"/>
          <w:lang w:eastAsia="x-none"/>
        </w:rPr>
        <w:t xml:space="preserve"> Q10</w:t>
      </w:r>
    </w:p>
    <w:tbl>
      <w:tblPr>
        <w:tblW w:w="5000" w:type="pct"/>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0683"/>
      </w:tblGrid>
      <w:tr w:rsidR="00A4295B" w:rsidRPr="00A4295B" w14:paraId="5A411892" w14:textId="77777777" w:rsidTr="00A4295B">
        <w:tc>
          <w:tcPr>
            <w:tcW w:w="5000" w:type="pct"/>
            <w:shd w:val="clear" w:color="auto" w:fill="auto"/>
          </w:tcPr>
          <w:p w14:paraId="7230EEAB" w14:textId="77777777" w:rsidR="00A4295B" w:rsidRPr="00A4295B" w:rsidRDefault="00A4295B" w:rsidP="00A4295B">
            <w:pPr>
              <w:tabs>
                <w:tab w:val="center" w:pos="4153"/>
                <w:tab w:val="right" w:pos="8306"/>
              </w:tabs>
              <w:rPr>
                <w:rFonts w:ascii="Arial" w:eastAsia="Yu Mincho" w:hAnsi="Arial" w:cs="Arial"/>
                <w:sz w:val="16"/>
                <w:szCs w:val="16"/>
              </w:rPr>
            </w:pPr>
            <w:r w:rsidRPr="00A4295B">
              <w:rPr>
                <w:rFonts w:ascii="Arial" w:eastAsia="Yu Mincho" w:hAnsi="Arial" w:cs="Arial"/>
                <w:sz w:val="16"/>
                <w:szCs w:val="16"/>
              </w:rPr>
              <w:t>Q10) For PRS bandwidth aggregation should the LMF indicate to the UE that one TRP can have multiple pairs of aggregated PFLs i.e., multiple combinations of linked PFLs e.g., 2+2 and other combinations? Also, can the same PFL(s) be configured in different combinations of linked PFLs?</w:t>
            </w:r>
          </w:p>
        </w:tc>
      </w:tr>
    </w:tbl>
    <w:p w14:paraId="0E588790" w14:textId="77777777" w:rsidR="00A4295B" w:rsidRPr="00A4295B" w:rsidRDefault="00A4295B" w:rsidP="00A4295B">
      <w:pPr>
        <w:rPr>
          <w:lang w:val="en-US"/>
        </w:rPr>
      </w:pPr>
      <w:r w:rsidRPr="00A4295B">
        <w:rPr>
          <w:lang w:val="en-US"/>
        </w:rPr>
        <w:t>For the 1</w:t>
      </w:r>
      <w:r w:rsidRPr="00A4295B">
        <w:rPr>
          <w:vertAlign w:val="superscript"/>
          <w:lang w:val="en-US"/>
        </w:rPr>
        <w:t>st</w:t>
      </w:r>
      <w:r w:rsidRPr="00A4295B">
        <w:rPr>
          <w:lang w:val="en-US"/>
        </w:rPr>
        <w:t xml:space="preserve"> question, Yes, up to two PFL combinations can be supported from the following agreement.</w:t>
      </w:r>
    </w:p>
    <w:tbl>
      <w:tblPr>
        <w:tblW w:w="0" w:type="auto"/>
        <w:jc w:val="right"/>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9350"/>
      </w:tblGrid>
      <w:tr w:rsidR="00A4295B" w:rsidRPr="00A4295B" w14:paraId="4C101760" w14:textId="77777777" w:rsidTr="00A4295B">
        <w:trPr>
          <w:jc w:val="right"/>
        </w:trPr>
        <w:tc>
          <w:tcPr>
            <w:tcW w:w="9350" w:type="dxa"/>
            <w:shd w:val="clear" w:color="auto" w:fill="auto"/>
          </w:tcPr>
          <w:p w14:paraId="75554FB7" w14:textId="77777777" w:rsidR="00A4295B" w:rsidRPr="00A4295B" w:rsidRDefault="00A4295B" w:rsidP="00A4295B">
            <w:pPr>
              <w:ind w:left="1440" w:hanging="1440"/>
              <w:rPr>
                <w:rFonts w:ascii="Arial" w:hAnsi="Arial" w:cs="Arial"/>
                <w:sz w:val="16"/>
                <w:szCs w:val="16"/>
                <w:lang w:eastAsia="zh-CN"/>
              </w:rPr>
            </w:pPr>
            <w:r w:rsidRPr="00A4295B">
              <w:rPr>
                <w:rFonts w:ascii="Arial" w:hAnsi="Arial" w:cs="Arial"/>
                <w:sz w:val="16"/>
                <w:szCs w:val="16"/>
                <w:highlight w:val="green"/>
                <w:lang w:eastAsia="zh-CN"/>
              </w:rPr>
              <w:t>Agreement</w:t>
            </w:r>
          </w:p>
          <w:p w14:paraId="64E0065B" w14:textId="77777777" w:rsidR="00A4295B" w:rsidRPr="00A4295B" w:rsidRDefault="00A4295B" w:rsidP="00A4295B">
            <w:pPr>
              <w:rPr>
                <w:rFonts w:ascii="Arial" w:hAnsi="Arial" w:cs="Arial"/>
                <w:sz w:val="16"/>
                <w:szCs w:val="16"/>
                <w:lang w:eastAsia="zh-CN"/>
              </w:rPr>
            </w:pPr>
            <w:r w:rsidRPr="00A4295B">
              <w:rPr>
                <w:rFonts w:ascii="Arial" w:hAnsi="Arial" w:cs="Arial"/>
                <w:sz w:val="16"/>
                <w:szCs w:val="16"/>
                <w:lang w:eastAsia="zh-CN"/>
              </w:rPr>
              <w:t xml:space="preserve">Configuring up to two PFL combinations is supported (e.g. PFL1 aggregated with PFL2 and PFL3 aggregated with PFL4). </w:t>
            </w:r>
          </w:p>
          <w:p w14:paraId="0160BA0A" w14:textId="77777777" w:rsidR="00A4295B" w:rsidRPr="00A4295B" w:rsidRDefault="00A4295B" w:rsidP="00A67145">
            <w:pPr>
              <w:numPr>
                <w:ilvl w:val="0"/>
                <w:numId w:val="158"/>
              </w:numPr>
              <w:rPr>
                <w:rFonts w:ascii="Arial" w:hAnsi="Arial" w:cs="Arial"/>
                <w:sz w:val="16"/>
                <w:szCs w:val="16"/>
              </w:rPr>
            </w:pPr>
            <w:r w:rsidRPr="00A4295B">
              <w:rPr>
                <w:rFonts w:ascii="Arial" w:hAnsi="Arial" w:cs="Arial"/>
                <w:sz w:val="16"/>
                <w:szCs w:val="16"/>
              </w:rPr>
              <w:t>Send an LS to RAN4 (CC to RAN2 and RAN3) to inform them with the above agreement and specify corre-sponding requirements.</w:t>
            </w:r>
          </w:p>
          <w:p w14:paraId="76CDB11A" w14:textId="77777777" w:rsidR="00A4295B" w:rsidRPr="00A4295B" w:rsidRDefault="00A4295B" w:rsidP="00A67145">
            <w:pPr>
              <w:numPr>
                <w:ilvl w:val="0"/>
                <w:numId w:val="158"/>
              </w:numPr>
              <w:rPr>
                <w:rFonts w:ascii="Arial" w:hAnsi="Arial" w:cs="Arial"/>
                <w:sz w:val="16"/>
                <w:szCs w:val="16"/>
              </w:rPr>
            </w:pPr>
            <w:r w:rsidRPr="00A4295B">
              <w:rPr>
                <w:rFonts w:ascii="Arial" w:hAnsi="Arial" w:cs="Arial"/>
                <w:sz w:val="16"/>
                <w:szCs w:val="16"/>
              </w:rPr>
              <w:t>Note: more than one combinations are measured in TDMed manner</w:t>
            </w:r>
          </w:p>
        </w:tc>
      </w:tr>
    </w:tbl>
    <w:p w14:paraId="205D96AB" w14:textId="77777777" w:rsidR="00A4295B" w:rsidRPr="00A4295B" w:rsidRDefault="00A4295B" w:rsidP="00A4295B">
      <w:pPr>
        <w:rPr>
          <w:lang w:val="en-US"/>
        </w:rPr>
      </w:pPr>
      <w:r w:rsidRPr="00A4295B">
        <w:rPr>
          <w:lang w:val="en-US"/>
        </w:rPr>
        <w:t>For the 2</w:t>
      </w:r>
      <w:r w:rsidRPr="00A4295B">
        <w:rPr>
          <w:vertAlign w:val="superscript"/>
          <w:lang w:val="en-US"/>
        </w:rPr>
        <w:t>nd</w:t>
      </w:r>
      <w:r w:rsidRPr="00A4295B">
        <w:rPr>
          <w:lang w:val="en-US"/>
        </w:rPr>
        <w:t xml:space="preserve"> question,</w:t>
      </w:r>
    </w:p>
    <w:p w14:paraId="4169DAF7" w14:textId="77777777" w:rsidR="00A4295B" w:rsidRPr="00A4295B" w:rsidRDefault="00A4295B" w:rsidP="00A67145">
      <w:pPr>
        <w:pStyle w:val="ListParagraph"/>
        <w:numPr>
          <w:ilvl w:val="0"/>
          <w:numId w:val="160"/>
        </w:numPr>
        <w:rPr>
          <w:lang w:val="en-US"/>
        </w:rPr>
      </w:pPr>
      <w:r w:rsidRPr="00A4295B">
        <w:rPr>
          <w:lang w:val="en-US"/>
        </w:rPr>
        <w:t xml:space="preserve">Yes, RAN1 understanding is that the same PFL </w:t>
      </w:r>
      <w:r w:rsidRPr="00A4295B">
        <w:rPr>
          <w:bCs/>
          <w:lang w:val="en-US"/>
        </w:rPr>
        <w:t>can</w:t>
      </w:r>
      <w:r w:rsidRPr="00A4295B">
        <w:rPr>
          <w:lang w:val="en-US"/>
        </w:rPr>
        <w:t xml:space="preserve"> be configured in different combinations of the linked PFLs. For example, different PRS resource sets in the same PFL can be configured in different combinations of the linked PFLs.</w:t>
      </w:r>
    </w:p>
    <w:p w14:paraId="1501FC17" w14:textId="77777777" w:rsidR="00A4295B" w:rsidRPr="00A4295B" w:rsidRDefault="00A4295B" w:rsidP="00A67145">
      <w:pPr>
        <w:pStyle w:val="ListParagraph"/>
        <w:numPr>
          <w:ilvl w:val="1"/>
          <w:numId w:val="160"/>
        </w:numPr>
        <w:rPr>
          <w:lang w:val="en-US"/>
        </w:rPr>
      </w:pPr>
      <w:r w:rsidRPr="00A4295B">
        <w:rPr>
          <w:lang w:val="en-US"/>
        </w:rPr>
        <w:t>Note: From RAN1 perspective, it is unnecessary to configure the same PRS resource set in different combinations of linked PFLs.</w:t>
      </w:r>
    </w:p>
    <w:p w14:paraId="0830C757" w14:textId="77777777" w:rsidR="00A4295B" w:rsidRPr="00A4295B" w:rsidRDefault="00A4295B" w:rsidP="00A4295B">
      <w:pPr>
        <w:rPr>
          <w:lang w:val="en-US"/>
        </w:rPr>
      </w:pPr>
    </w:p>
    <w:p w14:paraId="78B63F2F" w14:textId="21F1BB0F" w:rsidR="00A4295B" w:rsidRPr="00A4295B" w:rsidRDefault="005A18DC" w:rsidP="00A4295B">
      <w:pPr>
        <w:rPr>
          <w:b/>
          <w:lang w:eastAsia="x-none"/>
        </w:rPr>
      </w:pPr>
      <w:hyperlink r:id="rId1077" w:history="1">
        <w:r w:rsidR="00AF7253">
          <w:rPr>
            <w:rStyle w:val="Hyperlink"/>
            <w:b/>
            <w:lang w:eastAsia="x-none"/>
          </w:rPr>
          <w:t>R1-2312433</w:t>
        </w:r>
      </w:hyperlink>
      <w:r w:rsidR="00A4295B" w:rsidRPr="00A4295B">
        <w:rPr>
          <w:b/>
          <w:lang w:eastAsia="x-none"/>
        </w:rPr>
        <w:tab/>
        <w:t>Draft Reply LS on request for clarifications on RedCap positioning, carrier phase positioning, and bandwidth aggregation for positioning</w:t>
      </w:r>
      <w:r w:rsidR="00A4295B" w:rsidRPr="00A4295B">
        <w:rPr>
          <w:b/>
          <w:lang w:eastAsia="x-none"/>
        </w:rPr>
        <w:tab/>
        <w:t>Moderator (Nokia)</w:t>
      </w:r>
    </w:p>
    <w:p w14:paraId="7313A37E" w14:textId="465DF21D" w:rsidR="00A4295B" w:rsidRPr="00A4295B" w:rsidRDefault="00A4295B" w:rsidP="00A4295B">
      <w:pPr>
        <w:rPr>
          <w:lang w:val="en-US"/>
        </w:rPr>
      </w:pPr>
      <w:r w:rsidRPr="00A4295B">
        <w:rPr>
          <w:b/>
          <w:bCs/>
        </w:rPr>
        <w:t xml:space="preserve">Decision: </w:t>
      </w:r>
      <w:r w:rsidRPr="00A4295B">
        <w:rPr>
          <w:lang w:val="en-US"/>
        </w:rPr>
        <w:t xml:space="preserve">The draft LS reply to RAN2 in </w:t>
      </w:r>
      <w:hyperlink r:id="rId1078" w:history="1">
        <w:r w:rsidR="00AF7253">
          <w:rPr>
            <w:rStyle w:val="Hyperlink"/>
            <w:lang w:val="en-US"/>
          </w:rPr>
          <w:t>R1-2312433</w:t>
        </w:r>
      </w:hyperlink>
      <w:r w:rsidRPr="00A4295B">
        <w:rPr>
          <w:lang w:val="en-US"/>
        </w:rPr>
        <w:t xml:space="preserve"> is endorsed with the following correction:</w:t>
      </w:r>
    </w:p>
    <w:p w14:paraId="53740558" w14:textId="77777777" w:rsidR="00A4295B" w:rsidRPr="00A4295B" w:rsidRDefault="00A4295B" w:rsidP="00A67145">
      <w:pPr>
        <w:pStyle w:val="ListParagraph"/>
        <w:numPr>
          <w:ilvl w:val="0"/>
          <w:numId w:val="160"/>
        </w:numPr>
        <w:spacing w:after="0"/>
        <w:ind w:left="714" w:hanging="357"/>
        <w:rPr>
          <w:lang w:val="en-US"/>
        </w:rPr>
      </w:pPr>
      <w:r w:rsidRPr="00A4295B">
        <w:rPr>
          <w:lang w:val="en-US"/>
        </w:rPr>
        <w:t xml:space="preserve">To: </w:t>
      </w:r>
      <w:r w:rsidRPr="00A4295B">
        <w:rPr>
          <w:rFonts w:hint="eastAsia"/>
          <w:lang w:val="en-US"/>
        </w:rPr>
        <w:t>RAN</w:t>
      </w:r>
      <w:r w:rsidRPr="00A4295B">
        <w:rPr>
          <w:lang w:val="en-US"/>
        </w:rPr>
        <w:t>2</w:t>
      </w:r>
    </w:p>
    <w:p w14:paraId="24FDE274" w14:textId="77777777" w:rsidR="00A4295B" w:rsidRPr="00A4295B" w:rsidRDefault="00A4295B" w:rsidP="00A67145">
      <w:pPr>
        <w:pStyle w:val="ListParagraph"/>
        <w:numPr>
          <w:ilvl w:val="0"/>
          <w:numId w:val="160"/>
        </w:numPr>
        <w:spacing w:after="0"/>
        <w:ind w:left="714" w:hanging="357"/>
        <w:rPr>
          <w:lang w:val="en-US"/>
        </w:rPr>
      </w:pPr>
      <w:r w:rsidRPr="00A4295B">
        <w:rPr>
          <w:lang w:val="en-US"/>
        </w:rPr>
        <w:t xml:space="preserve">Cc: </w:t>
      </w:r>
      <w:r w:rsidRPr="00A4295B">
        <w:rPr>
          <w:rFonts w:hint="eastAsia"/>
          <w:lang w:val="en-US"/>
        </w:rPr>
        <w:t>RAN</w:t>
      </w:r>
      <w:r w:rsidRPr="00A4295B">
        <w:rPr>
          <w:lang w:val="en-US"/>
        </w:rPr>
        <w:t>3, RAN4</w:t>
      </w:r>
    </w:p>
    <w:p w14:paraId="3AE53BAE" w14:textId="6E5EB61F" w:rsidR="00A4295B" w:rsidRPr="00A4295B" w:rsidRDefault="00A4295B" w:rsidP="00A4295B">
      <w:pPr>
        <w:rPr>
          <w:lang w:val="en-US"/>
        </w:rPr>
      </w:pPr>
      <w:r w:rsidRPr="00A4295B">
        <w:rPr>
          <w:lang w:val="en-US"/>
        </w:rPr>
        <w:t xml:space="preserve">Final LS is </w:t>
      </w:r>
      <w:r w:rsidRPr="00A4295B">
        <w:rPr>
          <w:highlight w:val="green"/>
          <w:lang w:val="en-US"/>
        </w:rPr>
        <w:t>a</w:t>
      </w:r>
      <w:r>
        <w:rPr>
          <w:highlight w:val="green"/>
          <w:lang w:val="en-US"/>
        </w:rPr>
        <w:t xml:space="preserve">pproved </w:t>
      </w:r>
      <w:r w:rsidRPr="00A4295B">
        <w:rPr>
          <w:highlight w:val="green"/>
          <w:lang w:val="en-US"/>
        </w:rPr>
        <w:t xml:space="preserve">in </w:t>
      </w:r>
      <w:hyperlink r:id="rId1079" w:history="1">
        <w:r w:rsidR="00AF7253">
          <w:rPr>
            <w:rStyle w:val="Hyperlink"/>
            <w:highlight w:val="green"/>
            <w:lang w:val="en-US"/>
          </w:rPr>
          <w:t>R1-2312434</w:t>
        </w:r>
      </w:hyperlink>
      <w:r w:rsidRPr="00A4295B">
        <w:rPr>
          <w:highlight w:val="green"/>
          <w:lang w:val="en-US"/>
        </w:rPr>
        <w:t>.</w:t>
      </w:r>
    </w:p>
    <w:p w14:paraId="605A0477" w14:textId="77777777" w:rsidR="00F74A6F" w:rsidRPr="009537ED" w:rsidRDefault="00F74A6F" w:rsidP="00CA0940">
      <w:pPr>
        <w:pStyle w:val="Heading3"/>
      </w:pPr>
      <w:bookmarkStart w:id="417" w:name="_Toc150174457"/>
      <w:bookmarkStart w:id="418" w:name="_Toc159250999"/>
      <w:r w:rsidRPr="009537ED">
        <w:t>Sidelink positioning</w:t>
      </w:r>
      <w:bookmarkEnd w:id="417"/>
      <w:bookmarkEnd w:id="418"/>
    </w:p>
    <w:p w14:paraId="786A3653" w14:textId="77777777" w:rsidR="00F74A6F" w:rsidRPr="009537ED" w:rsidRDefault="00F74A6F" w:rsidP="00CA0940">
      <w:pPr>
        <w:pStyle w:val="Heading4"/>
      </w:pPr>
      <w:bookmarkStart w:id="419" w:name="_Toc150174458"/>
      <w:bookmarkStart w:id="420" w:name="_Toc159251000"/>
      <w:r w:rsidRPr="009537ED">
        <w:t>SL positioning reference signal</w:t>
      </w:r>
      <w:bookmarkEnd w:id="419"/>
      <w:bookmarkEnd w:id="420"/>
    </w:p>
    <w:p w14:paraId="1DB2F9FA" w14:textId="69B30136" w:rsidR="00F74A6F" w:rsidRPr="009537ED" w:rsidRDefault="005A18DC" w:rsidP="00F74A6F">
      <w:pPr>
        <w:rPr>
          <w:lang w:eastAsia="x-none"/>
        </w:rPr>
      </w:pPr>
      <w:hyperlink r:id="rId1080" w:history="1">
        <w:r w:rsidR="00AF7253">
          <w:rPr>
            <w:rStyle w:val="Hyperlink"/>
            <w:lang w:eastAsia="x-none"/>
          </w:rPr>
          <w:t>R1-2310815</w:t>
        </w:r>
      </w:hyperlink>
      <w:r w:rsidR="00F74A6F" w:rsidRPr="009537ED">
        <w:rPr>
          <w:lang w:eastAsia="x-none"/>
        </w:rPr>
        <w:tab/>
        <w:t>Remaining issues for design of SL positioning reference signal SL PRS</w:t>
      </w:r>
      <w:r w:rsidR="00F74A6F" w:rsidRPr="009537ED">
        <w:rPr>
          <w:lang w:eastAsia="x-none"/>
        </w:rPr>
        <w:tab/>
        <w:t>Nokia, Nokia Shanghai Bell</w:t>
      </w:r>
    </w:p>
    <w:p w14:paraId="762CADFB" w14:textId="1A5ECC3C" w:rsidR="00F74A6F" w:rsidRPr="009537ED" w:rsidRDefault="005A18DC" w:rsidP="00F74A6F">
      <w:pPr>
        <w:rPr>
          <w:lang w:eastAsia="x-none"/>
        </w:rPr>
      </w:pPr>
      <w:hyperlink r:id="rId1081" w:history="1">
        <w:r w:rsidR="00AF7253">
          <w:rPr>
            <w:rStyle w:val="Hyperlink"/>
            <w:lang w:eastAsia="x-none"/>
          </w:rPr>
          <w:t>R1-2310836</w:t>
        </w:r>
      </w:hyperlink>
      <w:r w:rsidR="00F74A6F" w:rsidRPr="009537ED">
        <w:rPr>
          <w:lang w:eastAsia="x-none"/>
        </w:rPr>
        <w:tab/>
        <w:t>Maintenance of SL-PRS</w:t>
      </w:r>
      <w:r w:rsidR="00F74A6F" w:rsidRPr="009537ED">
        <w:rPr>
          <w:lang w:eastAsia="x-none"/>
        </w:rPr>
        <w:tab/>
        <w:t>Huawei, HiSilicon</w:t>
      </w:r>
    </w:p>
    <w:p w14:paraId="2B1B5EEF" w14:textId="727EEEC6" w:rsidR="00F74A6F" w:rsidRPr="009537ED" w:rsidRDefault="005A18DC" w:rsidP="00F74A6F">
      <w:pPr>
        <w:rPr>
          <w:lang w:eastAsia="x-none"/>
        </w:rPr>
      </w:pPr>
      <w:hyperlink r:id="rId1082" w:history="1">
        <w:r w:rsidR="00AF7253">
          <w:rPr>
            <w:rStyle w:val="Hyperlink"/>
            <w:lang w:eastAsia="x-none"/>
          </w:rPr>
          <w:t>R1-2311094</w:t>
        </w:r>
      </w:hyperlink>
      <w:r w:rsidR="00F74A6F" w:rsidRPr="009537ED">
        <w:rPr>
          <w:lang w:eastAsia="x-none"/>
        </w:rPr>
        <w:tab/>
        <w:t>Remaining issues on SL positioning reference signal</w:t>
      </w:r>
      <w:r w:rsidR="00F74A6F" w:rsidRPr="009537ED">
        <w:rPr>
          <w:lang w:eastAsia="x-none"/>
        </w:rPr>
        <w:tab/>
        <w:t>vivo</w:t>
      </w:r>
    </w:p>
    <w:p w14:paraId="5415CE44" w14:textId="45A815C9" w:rsidR="00F74A6F" w:rsidRPr="009537ED" w:rsidRDefault="005A18DC" w:rsidP="00F74A6F">
      <w:pPr>
        <w:rPr>
          <w:lang w:eastAsia="x-none"/>
        </w:rPr>
      </w:pPr>
      <w:hyperlink r:id="rId1083" w:history="1">
        <w:r w:rsidR="00AF7253">
          <w:rPr>
            <w:rStyle w:val="Hyperlink"/>
            <w:lang w:eastAsia="x-none"/>
          </w:rPr>
          <w:t>R1-2311163</w:t>
        </w:r>
      </w:hyperlink>
      <w:r w:rsidR="00F74A6F" w:rsidRPr="009537ED">
        <w:rPr>
          <w:lang w:eastAsia="x-none"/>
        </w:rPr>
        <w:tab/>
        <w:t>Remaining issues on SL positioning reference signal</w:t>
      </w:r>
      <w:r w:rsidR="00F74A6F" w:rsidRPr="009537ED">
        <w:rPr>
          <w:lang w:eastAsia="x-none"/>
        </w:rPr>
        <w:tab/>
        <w:t>Spreadtrum Communications</w:t>
      </w:r>
    </w:p>
    <w:p w14:paraId="6396DF91" w14:textId="79EA267D" w:rsidR="00F74A6F" w:rsidRPr="009537ED" w:rsidRDefault="005A18DC" w:rsidP="00F74A6F">
      <w:pPr>
        <w:rPr>
          <w:lang w:eastAsia="x-none"/>
        </w:rPr>
      </w:pPr>
      <w:hyperlink r:id="rId1084" w:history="1">
        <w:r w:rsidR="00AF7253">
          <w:rPr>
            <w:rStyle w:val="Hyperlink"/>
            <w:lang w:eastAsia="x-none"/>
          </w:rPr>
          <w:t>R1-2311240</w:t>
        </w:r>
      </w:hyperlink>
      <w:r w:rsidR="00F74A6F" w:rsidRPr="009537ED">
        <w:rPr>
          <w:lang w:eastAsia="x-none"/>
        </w:rPr>
        <w:tab/>
        <w:t>Remaining issues on SL positioning reference signal</w:t>
      </w:r>
      <w:r w:rsidR="00F74A6F" w:rsidRPr="009537ED">
        <w:rPr>
          <w:lang w:eastAsia="x-none"/>
        </w:rPr>
        <w:tab/>
        <w:t>OPPO</w:t>
      </w:r>
    </w:p>
    <w:p w14:paraId="2E0BA7DA" w14:textId="170EDD2E" w:rsidR="00F74A6F" w:rsidRPr="009537ED" w:rsidRDefault="005A18DC" w:rsidP="00F74A6F">
      <w:pPr>
        <w:rPr>
          <w:lang w:eastAsia="x-none"/>
        </w:rPr>
      </w:pPr>
      <w:hyperlink r:id="rId1085" w:history="1">
        <w:r w:rsidR="00AF7253">
          <w:rPr>
            <w:rStyle w:val="Hyperlink"/>
            <w:lang w:eastAsia="x-none"/>
          </w:rPr>
          <w:t>R1-2311339</w:t>
        </w:r>
      </w:hyperlink>
      <w:r w:rsidR="00F74A6F" w:rsidRPr="009537ED">
        <w:rPr>
          <w:lang w:eastAsia="x-none"/>
        </w:rPr>
        <w:tab/>
        <w:t>Maintenance issues on SL positioning reference signal</w:t>
      </w:r>
      <w:r w:rsidR="00F74A6F" w:rsidRPr="009537ED">
        <w:rPr>
          <w:lang w:eastAsia="x-none"/>
        </w:rPr>
        <w:tab/>
        <w:t>CATT, CICTCI</w:t>
      </w:r>
    </w:p>
    <w:p w14:paraId="1033186F" w14:textId="5CFCE6A6" w:rsidR="00F74A6F" w:rsidRPr="009537ED" w:rsidRDefault="005A18DC" w:rsidP="00F74A6F">
      <w:pPr>
        <w:rPr>
          <w:lang w:eastAsia="x-none"/>
        </w:rPr>
      </w:pPr>
      <w:hyperlink r:id="rId1086" w:history="1">
        <w:r w:rsidR="00AF7253">
          <w:rPr>
            <w:rStyle w:val="Hyperlink"/>
            <w:lang w:eastAsia="x-none"/>
          </w:rPr>
          <w:t>R1-2311402</w:t>
        </w:r>
      </w:hyperlink>
      <w:r w:rsidR="00F74A6F" w:rsidRPr="009537ED">
        <w:rPr>
          <w:lang w:eastAsia="x-none"/>
        </w:rPr>
        <w:tab/>
        <w:t>Remaining details on SL positioning reference signal</w:t>
      </w:r>
      <w:r w:rsidR="00F74A6F" w:rsidRPr="009537ED">
        <w:rPr>
          <w:lang w:eastAsia="x-none"/>
        </w:rPr>
        <w:tab/>
        <w:t>xiaomi</w:t>
      </w:r>
    </w:p>
    <w:p w14:paraId="133D23AF" w14:textId="1AEF7B22" w:rsidR="00F74A6F" w:rsidRPr="009537ED" w:rsidRDefault="005A18DC" w:rsidP="00F74A6F">
      <w:pPr>
        <w:rPr>
          <w:lang w:eastAsia="x-none"/>
        </w:rPr>
      </w:pPr>
      <w:hyperlink r:id="rId1087" w:history="1">
        <w:r w:rsidR="00AF7253">
          <w:rPr>
            <w:rStyle w:val="Hyperlink"/>
            <w:lang w:eastAsia="x-none"/>
          </w:rPr>
          <w:t>R1-2311430</w:t>
        </w:r>
      </w:hyperlink>
      <w:r w:rsidR="00F74A6F" w:rsidRPr="009537ED">
        <w:rPr>
          <w:lang w:eastAsia="x-none"/>
        </w:rPr>
        <w:tab/>
        <w:t>Remaining issues on SL positioning reference signal</w:t>
      </w:r>
      <w:r w:rsidR="00F74A6F" w:rsidRPr="009537ED">
        <w:rPr>
          <w:lang w:eastAsia="x-none"/>
        </w:rPr>
        <w:tab/>
        <w:t>NEC</w:t>
      </w:r>
    </w:p>
    <w:p w14:paraId="2B8E9D62" w14:textId="4C467B63" w:rsidR="00F74A6F" w:rsidRPr="009537ED" w:rsidRDefault="005A18DC" w:rsidP="00F74A6F">
      <w:pPr>
        <w:rPr>
          <w:lang w:eastAsia="x-none"/>
        </w:rPr>
      </w:pPr>
      <w:hyperlink r:id="rId1088" w:history="1">
        <w:r w:rsidR="00AF7253">
          <w:rPr>
            <w:rStyle w:val="Hyperlink"/>
            <w:lang w:eastAsia="x-none"/>
          </w:rPr>
          <w:t>R1-2311456</w:t>
        </w:r>
      </w:hyperlink>
      <w:r w:rsidR="00F74A6F" w:rsidRPr="009537ED">
        <w:rPr>
          <w:lang w:eastAsia="x-none"/>
        </w:rPr>
        <w:tab/>
        <w:t>Maintenance on SL positioning reference signal</w:t>
      </w:r>
      <w:r w:rsidR="00F74A6F" w:rsidRPr="009537ED">
        <w:rPr>
          <w:lang w:eastAsia="x-none"/>
        </w:rPr>
        <w:tab/>
        <w:t>ZTE</w:t>
      </w:r>
    </w:p>
    <w:p w14:paraId="193883E8" w14:textId="4EB4DEFC" w:rsidR="00F74A6F" w:rsidRPr="009537ED" w:rsidRDefault="005A18DC" w:rsidP="00F74A6F">
      <w:pPr>
        <w:rPr>
          <w:lang w:eastAsia="x-none"/>
        </w:rPr>
      </w:pPr>
      <w:hyperlink r:id="rId1089" w:history="1">
        <w:r w:rsidR="00AF7253">
          <w:rPr>
            <w:rStyle w:val="Hyperlink"/>
            <w:lang w:eastAsia="x-none"/>
          </w:rPr>
          <w:t>R1-2311559</w:t>
        </w:r>
      </w:hyperlink>
      <w:r w:rsidR="00F74A6F" w:rsidRPr="009537ED">
        <w:rPr>
          <w:lang w:eastAsia="x-none"/>
        </w:rPr>
        <w:tab/>
        <w:t>Maintenance on sidelink positioning reference signal</w:t>
      </w:r>
      <w:r w:rsidR="00F74A6F" w:rsidRPr="009537ED">
        <w:rPr>
          <w:lang w:eastAsia="x-none"/>
        </w:rPr>
        <w:tab/>
        <w:t>ASUSTeK</w:t>
      </w:r>
    </w:p>
    <w:p w14:paraId="282923D0" w14:textId="20F948AA" w:rsidR="00F74A6F" w:rsidRPr="009537ED" w:rsidRDefault="005A18DC" w:rsidP="00F74A6F">
      <w:pPr>
        <w:rPr>
          <w:lang w:eastAsia="x-none"/>
        </w:rPr>
      </w:pPr>
      <w:hyperlink r:id="rId1090" w:history="1">
        <w:r w:rsidR="00AF7253">
          <w:rPr>
            <w:rStyle w:val="Hyperlink"/>
            <w:lang w:eastAsia="x-none"/>
          </w:rPr>
          <w:t>R1-2311595</w:t>
        </w:r>
      </w:hyperlink>
      <w:r w:rsidR="00F74A6F" w:rsidRPr="009537ED">
        <w:rPr>
          <w:lang w:eastAsia="x-none"/>
        </w:rPr>
        <w:tab/>
        <w:t>Remaining issues on SL-PRS design and power control for SL-PRS</w:t>
      </w:r>
      <w:r w:rsidR="00F74A6F" w:rsidRPr="009537ED">
        <w:rPr>
          <w:lang w:eastAsia="x-none"/>
        </w:rPr>
        <w:tab/>
        <w:t>InterDigital, Inc.</w:t>
      </w:r>
    </w:p>
    <w:p w14:paraId="4D4FB5CF" w14:textId="3B1E3AE3" w:rsidR="00F74A6F" w:rsidRPr="009537ED" w:rsidRDefault="005A18DC" w:rsidP="00F74A6F">
      <w:pPr>
        <w:rPr>
          <w:lang w:eastAsia="x-none"/>
        </w:rPr>
      </w:pPr>
      <w:hyperlink r:id="rId1091" w:history="1">
        <w:r w:rsidR="00AF7253">
          <w:rPr>
            <w:rStyle w:val="Hyperlink"/>
            <w:lang w:eastAsia="x-none"/>
          </w:rPr>
          <w:t>R1-2311682</w:t>
        </w:r>
      </w:hyperlink>
      <w:r w:rsidR="00F74A6F" w:rsidRPr="009537ED">
        <w:rPr>
          <w:lang w:eastAsia="x-none"/>
        </w:rPr>
        <w:tab/>
        <w:t>Remaining Issues On SL positioning reference signal</w:t>
      </w:r>
      <w:r w:rsidR="00F74A6F" w:rsidRPr="009537ED">
        <w:rPr>
          <w:lang w:eastAsia="x-none"/>
        </w:rPr>
        <w:tab/>
        <w:t>Apple</w:t>
      </w:r>
    </w:p>
    <w:p w14:paraId="05FE9879" w14:textId="18AEBD55" w:rsidR="00F74A6F" w:rsidRPr="009537ED" w:rsidRDefault="005A18DC" w:rsidP="00F74A6F">
      <w:pPr>
        <w:rPr>
          <w:lang w:eastAsia="x-none"/>
        </w:rPr>
      </w:pPr>
      <w:hyperlink r:id="rId1092" w:history="1">
        <w:r w:rsidR="00AF7253">
          <w:rPr>
            <w:rStyle w:val="Hyperlink"/>
            <w:lang w:eastAsia="x-none"/>
          </w:rPr>
          <w:t>R1-2311747</w:t>
        </w:r>
      </w:hyperlink>
      <w:r w:rsidR="00F74A6F" w:rsidRPr="009537ED">
        <w:rPr>
          <w:lang w:eastAsia="x-none"/>
        </w:rPr>
        <w:tab/>
        <w:t>Remaining issues on SL positioning reference signal</w:t>
      </w:r>
      <w:r w:rsidR="00F74A6F" w:rsidRPr="009537ED">
        <w:rPr>
          <w:lang w:eastAsia="x-none"/>
        </w:rPr>
        <w:tab/>
        <w:t>Sharp</w:t>
      </w:r>
    </w:p>
    <w:p w14:paraId="132C1E5F" w14:textId="283D7DEC" w:rsidR="00F74A6F" w:rsidRPr="009537ED" w:rsidRDefault="005A18DC" w:rsidP="00F74A6F">
      <w:pPr>
        <w:rPr>
          <w:lang w:eastAsia="x-none"/>
        </w:rPr>
      </w:pPr>
      <w:hyperlink r:id="rId1093" w:history="1">
        <w:r w:rsidR="00AF7253">
          <w:rPr>
            <w:rStyle w:val="Hyperlink"/>
            <w:lang w:eastAsia="x-none"/>
          </w:rPr>
          <w:t>R1-2311841</w:t>
        </w:r>
      </w:hyperlink>
      <w:r w:rsidR="00F74A6F" w:rsidRPr="009537ED">
        <w:rPr>
          <w:lang w:eastAsia="x-none"/>
        </w:rPr>
        <w:tab/>
        <w:t>Maintenance on SL Positioning Reference Signal</w:t>
      </w:r>
      <w:r w:rsidR="00F74A6F" w:rsidRPr="009537ED">
        <w:rPr>
          <w:lang w:eastAsia="x-none"/>
        </w:rPr>
        <w:tab/>
        <w:t>Samsung</w:t>
      </w:r>
    </w:p>
    <w:p w14:paraId="1E95CFC5" w14:textId="455C4871" w:rsidR="00F74A6F" w:rsidRPr="009537ED" w:rsidRDefault="005A18DC" w:rsidP="00F74A6F">
      <w:pPr>
        <w:rPr>
          <w:lang w:eastAsia="x-none"/>
        </w:rPr>
      </w:pPr>
      <w:hyperlink r:id="rId1094" w:history="1">
        <w:r w:rsidR="00AF7253">
          <w:rPr>
            <w:rStyle w:val="Hyperlink"/>
            <w:lang w:eastAsia="x-none"/>
          </w:rPr>
          <w:t>R1-2311932</w:t>
        </w:r>
      </w:hyperlink>
      <w:r w:rsidR="00F74A6F" w:rsidRPr="009537ED">
        <w:rPr>
          <w:lang w:eastAsia="x-none"/>
        </w:rPr>
        <w:tab/>
        <w:t>Remaining issues on SL positioning reference signal</w:t>
      </w:r>
      <w:r w:rsidR="00F74A6F" w:rsidRPr="009537ED">
        <w:rPr>
          <w:lang w:eastAsia="x-none"/>
        </w:rPr>
        <w:tab/>
        <w:t>Ruijie Network Co. Ltd</w:t>
      </w:r>
    </w:p>
    <w:p w14:paraId="74508750" w14:textId="6F1ABFEE" w:rsidR="00F74A6F" w:rsidRPr="009537ED" w:rsidRDefault="005A18DC" w:rsidP="00F74A6F">
      <w:pPr>
        <w:rPr>
          <w:lang w:eastAsia="x-none"/>
        </w:rPr>
      </w:pPr>
      <w:hyperlink r:id="rId1095" w:history="1">
        <w:r w:rsidR="00AF7253">
          <w:rPr>
            <w:rStyle w:val="Hyperlink"/>
            <w:lang w:eastAsia="x-none"/>
          </w:rPr>
          <w:t>R1-2312033</w:t>
        </w:r>
      </w:hyperlink>
      <w:r w:rsidR="00F74A6F" w:rsidRPr="009537ED">
        <w:rPr>
          <w:lang w:eastAsia="x-none"/>
        </w:rPr>
        <w:tab/>
        <w:t>Reference Signal Design for SL Positioning</w:t>
      </w:r>
      <w:r w:rsidR="00F74A6F" w:rsidRPr="009537ED">
        <w:rPr>
          <w:lang w:eastAsia="x-none"/>
        </w:rPr>
        <w:tab/>
        <w:t>Qualcomm Incorporated</w:t>
      </w:r>
    </w:p>
    <w:p w14:paraId="50640498" w14:textId="2BC83A3C" w:rsidR="00F74A6F" w:rsidRPr="009537ED" w:rsidRDefault="005A18DC" w:rsidP="00F74A6F">
      <w:pPr>
        <w:rPr>
          <w:lang w:eastAsia="x-none"/>
        </w:rPr>
      </w:pPr>
      <w:hyperlink r:id="rId1096" w:history="1">
        <w:r w:rsidR="00AF7253">
          <w:rPr>
            <w:rStyle w:val="Hyperlink"/>
            <w:lang w:eastAsia="x-none"/>
          </w:rPr>
          <w:t>R1-2312092</w:t>
        </w:r>
      </w:hyperlink>
      <w:r w:rsidR="00F74A6F" w:rsidRPr="009537ED">
        <w:rPr>
          <w:lang w:eastAsia="x-none"/>
        </w:rPr>
        <w:tab/>
        <w:t>Maintenance for SL-PRS design</w:t>
      </w:r>
      <w:r w:rsidR="00F74A6F" w:rsidRPr="009537ED">
        <w:rPr>
          <w:lang w:eastAsia="x-none"/>
        </w:rPr>
        <w:tab/>
        <w:t>MediaTek Korea Inc.</w:t>
      </w:r>
    </w:p>
    <w:p w14:paraId="281110DD" w14:textId="66642108" w:rsidR="00F74A6F" w:rsidRPr="009537ED" w:rsidRDefault="005A18DC" w:rsidP="00F74A6F">
      <w:pPr>
        <w:rPr>
          <w:lang w:eastAsia="x-none"/>
        </w:rPr>
      </w:pPr>
      <w:hyperlink r:id="rId1097" w:history="1">
        <w:r w:rsidR="00AF7253">
          <w:rPr>
            <w:rStyle w:val="Hyperlink"/>
            <w:lang w:eastAsia="x-none"/>
          </w:rPr>
          <w:t>R1-2312123</w:t>
        </w:r>
      </w:hyperlink>
      <w:r w:rsidR="00F74A6F" w:rsidRPr="009537ED">
        <w:rPr>
          <w:lang w:eastAsia="x-none"/>
        </w:rPr>
        <w:tab/>
        <w:t>Remaining issues on SL positioning reference signal</w:t>
      </w:r>
      <w:r w:rsidR="00F74A6F" w:rsidRPr="009537ED">
        <w:rPr>
          <w:lang w:eastAsia="x-none"/>
        </w:rPr>
        <w:tab/>
        <w:t>LG Electronics</w:t>
      </w:r>
    </w:p>
    <w:p w14:paraId="31C0B95D" w14:textId="63157266" w:rsidR="00F74A6F" w:rsidRPr="009537ED" w:rsidRDefault="005A18DC" w:rsidP="00F74A6F">
      <w:pPr>
        <w:rPr>
          <w:lang w:eastAsia="x-none"/>
        </w:rPr>
      </w:pPr>
      <w:hyperlink r:id="rId1098" w:history="1">
        <w:r w:rsidR="00AF7253">
          <w:rPr>
            <w:rStyle w:val="Hyperlink"/>
            <w:lang w:eastAsia="x-none"/>
          </w:rPr>
          <w:t>R1-2312185</w:t>
        </w:r>
      </w:hyperlink>
      <w:r w:rsidR="00F74A6F" w:rsidRPr="009537ED">
        <w:rPr>
          <w:lang w:eastAsia="x-none"/>
        </w:rPr>
        <w:tab/>
        <w:t>Remaining issues on SL positioning reference signal design</w:t>
      </w:r>
      <w:r w:rsidR="00F74A6F" w:rsidRPr="009537ED">
        <w:rPr>
          <w:lang w:eastAsia="x-none"/>
        </w:rPr>
        <w:tab/>
        <w:t>Ericsson</w:t>
      </w:r>
    </w:p>
    <w:p w14:paraId="03A4371B" w14:textId="77777777" w:rsidR="00CA0940" w:rsidRPr="009537ED" w:rsidRDefault="00CA0940" w:rsidP="00F74A6F">
      <w:pPr>
        <w:rPr>
          <w:lang w:eastAsia="x-none"/>
        </w:rPr>
      </w:pPr>
    </w:p>
    <w:bookmarkStart w:id="421" w:name="_Toc150174459"/>
    <w:p w14:paraId="7DD005FC" w14:textId="5B29B783" w:rsidR="00CA0940" w:rsidRPr="00165594" w:rsidRDefault="00AF7253" w:rsidP="00CA0940">
      <w:pPr>
        <w:rPr>
          <w:b/>
          <w:bCs/>
          <w:lang w:eastAsia="x-none"/>
        </w:rPr>
      </w:pPr>
      <w:r>
        <w:rPr>
          <w:b/>
          <w:bCs/>
          <w:lang w:eastAsia="x-none"/>
        </w:rPr>
        <w:fldChar w:fldCharType="begin"/>
      </w:r>
      <w:r>
        <w:rPr>
          <w:b/>
          <w:bCs/>
          <w:lang w:eastAsia="x-none"/>
        </w:rPr>
        <w:instrText>HYPERLINK "../Docs/R1-2312295.zip"</w:instrText>
      </w:r>
      <w:r>
        <w:rPr>
          <w:b/>
          <w:bCs/>
          <w:lang w:eastAsia="x-none"/>
        </w:rPr>
      </w:r>
      <w:r>
        <w:rPr>
          <w:b/>
          <w:bCs/>
          <w:lang w:eastAsia="x-none"/>
        </w:rPr>
        <w:fldChar w:fldCharType="separate"/>
      </w:r>
      <w:r>
        <w:rPr>
          <w:rStyle w:val="Hyperlink"/>
          <w:b/>
          <w:bCs/>
          <w:lang w:eastAsia="x-none"/>
        </w:rPr>
        <w:t>R1-2312295</w:t>
      </w:r>
      <w:r>
        <w:rPr>
          <w:b/>
          <w:bCs/>
          <w:lang w:eastAsia="x-none"/>
        </w:rPr>
        <w:fldChar w:fldCharType="end"/>
      </w:r>
      <w:r w:rsidR="00CA0940" w:rsidRPr="00165594">
        <w:rPr>
          <w:b/>
          <w:bCs/>
          <w:lang w:eastAsia="x-none"/>
        </w:rPr>
        <w:tab/>
        <w:t>FL summary #1 on SL positioning reference signal</w:t>
      </w:r>
      <w:r w:rsidR="00CA0940" w:rsidRPr="00165594">
        <w:rPr>
          <w:b/>
          <w:bCs/>
          <w:lang w:eastAsia="x-none"/>
        </w:rPr>
        <w:tab/>
        <w:t>Moderator (Intel Corporation)</w:t>
      </w:r>
    </w:p>
    <w:p w14:paraId="20D456AE" w14:textId="4C3C1A44" w:rsidR="00165594" w:rsidRDefault="00165594" w:rsidP="00CA0940">
      <w:pPr>
        <w:rPr>
          <w:lang w:eastAsia="x-none"/>
        </w:rPr>
      </w:pPr>
      <w:r>
        <w:rPr>
          <w:lang w:eastAsia="x-none"/>
        </w:rPr>
        <w:t>From Tuesday session</w:t>
      </w:r>
    </w:p>
    <w:p w14:paraId="4FEDAC37" w14:textId="77777777" w:rsidR="00165594" w:rsidRPr="00165594" w:rsidRDefault="00165594" w:rsidP="00165594">
      <w:pPr>
        <w:rPr>
          <w:lang w:val="en-US" w:eastAsia="x-none"/>
        </w:rPr>
      </w:pPr>
      <w:r w:rsidRPr="00165594">
        <w:rPr>
          <w:highlight w:val="green"/>
          <w:lang w:val="en-US" w:eastAsia="x-none"/>
        </w:rPr>
        <w:t>Agreement</w:t>
      </w:r>
    </w:p>
    <w:p w14:paraId="6BF4AAF8" w14:textId="00D1E087" w:rsidR="00165594" w:rsidRPr="00165594" w:rsidRDefault="00165594" w:rsidP="00165594">
      <w:pPr>
        <w:rPr>
          <w:lang w:val="en-US" w:eastAsia="x-none"/>
        </w:rPr>
      </w:pPr>
      <w:r>
        <w:rPr>
          <w:lang w:val="en-US" w:eastAsia="x-none"/>
        </w:rPr>
        <w:t>T</w:t>
      </w:r>
      <w:r w:rsidRPr="00165594">
        <w:rPr>
          <w:lang w:val="en-US" w:eastAsia="x-none"/>
        </w:rPr>
        <w:t>he TP below is endorsed for TS 38.214</w:t>
      </w:r>
    </w:p>
    <w:tbl>
      <w:tblPr>
        <w:tblW w:w="5000" w:type="pct"/>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2109"/>
        <w:gridCol w:w="8574"/>
      </w:tblGrid>
      <w:tr w:rsidR="00165594" w:rsidRPr="00165594" w14:paraId="2EA5DD3B" w14:textId="77777777" w:rsidTr="00165594">
        <w:tc>
          <w:tcPr>
            <w:tcW w:w="987" w:type="pct"/>
            <w:shd w:val="clear" w:color="auto" w:fill="auto"/>
          </w:tcPr>
          <w:p w14:paraId="244FE900" w14:textId="77777777" w:rsidR="00165594" w:rsidRPr="00165594" w:rsidRDefault="00165594" w:rsidP="00165594">
            <w:pPr>
              <w:jc w:val="both"/>
              <w:rPr>
                <w:rFonts w:ascii="Arial" w:eastAsia="SimSun" w:hAnsi="Arial" w:cs="Arial"/>
                <w:sz w:val="16"/>
                <w:szCs w:val="16"/>
                <w:lang w:val="en-US" w:eastAsia="zh-CN"/>
              </w:rPr>
            </w:pPr>
            <w:r w:rsidRPr="00165594">
              <w:rPr>
                <w:rFonts w:ascii="Arial" w:eastAsia="SimSun" w:hAnsi="Arial" w:cs="Arial"/>
                <w:sz w:val="16"/>
                <w:szCs w:val="16"/>
                <w:lang w:val="en-US" w:eastAsia="zh-CN"/>
              </w:rPr>
              <w:t>Reason for change</w:t>
            </w:r>
          </w:p>
        </w:tc>
        <w:tc>
          <w:tcPr>
            <w:tcW w:w="4013" w:type="pct"/>
            <w:shd w:val="clear" w:color="auto" w:fill="auto"/>
          </w:tcPr>
          <w:p w14:paraId="28AA770C" w14:textId="77777777" w:rsidR="00165594" w:rsidRPr="00165594" w:rsidRDefault="00165594" w:rsidP="00165594">
            <w:pPr>
              <w:jc w:val="both"/>
              <w:rPr>
                <w:rFonts w:ascii="Arial" w:eastAsia="SimSun" w:hAnsi="Arial" w:cs="Arial"/>
                <w:sz w:val="16"/>
                <w:szCs w:val="16"/>
                <w:lang w:val="en-US" w:eastAsia="zh-CN"/>
              </w:rPr>
            </w:pPr>
            <w:r w:rsidRPr="00165594">
              <w:rPr>
                <w:rFonts w:ascii="Arial" w:eastAsia="SimSun" w:hAnsi="Arial" w:cs="Arial"/>
                <w:sz w:val="16"/>
                <w:szCs w:val="16"/>
                <w:lang w:val="en-US" w:eastAsia="zh-CN"/>
              </w:rPr>
              <w:t>Correct the description for unique determination of a SL PRS resource in a slot of a shared SL PRS resource pool.</w:t>
            </w:r>
          </w:p>
        </w:tc>
      </w:tr>
      <w:tr w:rsidR="00165594" w:rsidRPr="00165594" w14:paraId="64CD0B2D" w14:textId="77777777" w:rsidTr="00165594">
        <w:tc>
          <w:tcPr>
            <w:tcW w:w="987" w:type="pct"/>
            <w:shd w:val="clear" w:color="auto" w:fill="auto"/>
          </w:tcPr>
          <w:p w14:paraId="2C24DA0E" w14:textId="77777777" w:rsidR="00165594" w:rsidRPr="00165594" w:rsidRDefault="00165594" w:rsidP="00165594">
            <w:pPr>
              <w:jc w:val="both"/>
              <w:rPr>
                <w:rFonts w:ascii="Arial" w:eastAsia="SimSun" w:hAnsi="Arial" w:cs="Arial"/>
                <w:sz w:val="16"/>
                <w:szCs w:val="16"/>
                <w:lang w:val="en-US" w:eastAsia="zh-CN"/>
              </w:rPr>
            </w:pPr>
            <w:r w:rsidRPr="00165594">
              <w:rPr>
                <w:rFonts w:ascii="Arial" w:eastAsia="SimSun" w:hAnsi="Arial" w:cs="Arial"/>
                <w:sz w:val="16"/>
                <w:szCs w:val="16"/>
                <w:lang w:val="en-US" w:eastAsia="zh-CN"/>
              </w:rPr>
              <w:t>Summary of change</w:t>
            </w:r>
          </w:p>
        </w:tc>
        <w:tc>
          <w:tcPr>
            <w:tcW w:w="4013" w:type="pct"/>
            <w:shd w:val="clear" w:color="auto" w:fill="auto"/>
          </w:tcPr>
          <w:p w14:paraId="1CCE18B7" w14:textId="77777777" w:rsidR="00165594" w:rsidRPr="00165594" w:rsidRDefault="00165594" w:rsidP="00165594">
            <w:pPr>
              <w:jc w:val="both"/>
              <w:rPr>
                <w:rFonts w:ascii="Arial" w:eastAsia="SimSun" w:hAnsi="Arial" w:cs="Arial"/>
                <w:sz w:val="16"/>
                <w:szCs w:val="16"/>
                <w:lang w:val="en-US" w:eastAsia="zh-CN"/>
              </w:rPr>
            </w:pPr>
            <w:r w:rsidRPr="00165594">
              <w:rPr>
                <w:rFonts w:ascii="Arial" w:eastAsia="SimSun" w:hAnsi="Arial" w:cs="Arial"/>
                <w:sz w:val="16"/>
                <w:szCs w:val="16"/>
                <w:lang w:val="en-US" w:eastAsia="zh-CN"/>
              </w:rPr>
              <w:t xml:space="preserve">Section 8.2.4 in TS 38.214: </w:t>
            </w:r>
          </w:p>
          <w:p w14:paraId="2996DEDA" w14:textId="77777777" w:rsidR="00165594" w:rsidRPr="00165594" w:rsidRDefault="00165594" w:rsidP="00165594">
            <w:pPr>
              <w:jc w:val="both"/>
              <w:rPr>
                <w:rFonts w:ascii="Arial" w:eastAsia="SimSun" w:hAnsi="Arial" w:cs="Arial"/>
                <w:sz w:val="16"/>
                <w:szCs w:val="16"/>
                <w:lang w:val="en-US" w:eastAsia="zh-CN"/>
              </w:rPr>
            </w:pPr>
            <w:r w:rsidRPr="00165594">
              <w:rPr>
                <w:rFonts w:ascii="Arial" w:eastAsia="SimSun" w:hAnsi="Arial" w:cs="Arial"/>
                <w:sz w:val="16"/>
                <w:szCs w:val="16"/>
                <w:lang w:val="en-US" w:eastAsia="zh-CN"/>
              </w:rPr>
              <w:t>1. In clause 8.2.4 of TS 38.214, correct the description for unique determination of a SL PRS resource in a shared SL PRS resource pool.</w:t>
            </w:r>
          </w:p>
          <w:p w14:paraId="1BF017C8" w14:textId="77777777" w:rsidR="00165594" w:rsidRPr="00165594" w:rsidRDefault="00165594" w:rsidP="00165594">
            <w:pPr>
              <w:jc w:val="both"/>
              <w:rPr>
                <w:rFonts w:ascii="Arial" w:eastAsia="SimSun" w:hAnsi="Arial" w:cs="Arial"/>
                <w:sz w:val="16"/>
                <w:szCs w:val="16"/>
                <w:lang w:val="en-US" w:eastAsia="zh-CN"/>
              </w:rPr>
            </w:pPr>
            <w:r w:rsidRPr="00165594">
              <w:rPr>
                <w:rFonts w:ascii="Arial" w:eastAsia="SimSun" w:hAnsi="Arial" w:cs="Arial"/>
                <w:sz w:val="16"/>
                <w:szCs w:val="16"/>
                <w:lang w:val="en-US" w:eastAsia="zh-CN"/>
              </w:rPr>
              <w:t>2. Add reference to SCI format 1-A for indication of “frequency resource assignment” for a SL PRS resource in a slot of a shared SL PRS resource pool.</w:t>
            </w:r>
          </w:p>
        </w:tc>
      </w:tr>
      <w:tr w:rsidR="00165594" w:rsidRPr="00165594" w14:paraId="26DFDA37" w14:textId="77777777" w:rsidTr="00165594">
        <w:tc>
          <w:tcPr>
            <w:tcW w:w="987" w:type="pct"/>
            <w:shd w:val="clear" w:color="auto" w:fill="auto"/>
          </w:tcPr>
          <w:p w14:paraId="2932AE0B" w14:textId="77777777" w:rsidR="00165594" w:rsidRPr="00165594" w:rsidRDefault="00165594" w:rsidP="00165594">
            <w:pPr>
              <w:jc w:val="both"/>
              <w:rPr>
                <w:rFonts w:ascii="Arial" w:eastAsia="SimSun" w:hAnsi="Arial" w:cs="Arial"/>
                <w:sz w:val="16"/>
                <w:szCs w:val="16"/>
                <w:lang w:val="en-US" w:eastAsia="zh-CN"/>
              </w:rPr>
            </w:pPr>
            <w:r w:rsidRPr="00165594">
              <w:rPr>
                <w:rFonts w:ascii="Arial" w:eastAsia="SimSun" w:hAnsi="Arial" w:cs="Arial"/>
                <w:sz w:val="16"/>
                <w:szCs w:val="16"/>
                <w:lang w:val="en-US" w:eastAsia="zh-CN"/>
              </w:rPr>
              <w:t>Consequences if not approved</w:t>
            </w:r>
          </w:p>
        </w:tc>
        <w:tc>
          <w:tcPr>
            <w:tcW w:w="4013" w:type="pct"/>
            <w:shd w:val="clear" w:color="auto" w:fill="auto"/>
          </w:tcPr>
          <w:p w14:paraId="184B96AB" w14:textId="77777777" w:rsidR="00165594" w:rsidRPr="00165594" w:rsidRDefault="00165594" w:rsidP="00165594">
            <w:pPr>
              <w:jc w:val="both"/>
              <w:rPr>
                <w:rFonts w:ascii="Arial" w:eastAsia="SimSun" w:hAnsi="Arial" w:cs="Arial"/>
                <w:sz w:val="16"/>
                <w:szCs w:val="16"/>
                <w:lang w:val="en-US" w:eastAsia="zh-CN"/>
              </w:rPr>
            </w:pPr>
            <w:r w:rsidRPr="00165594">
              <w:rPr>
                <w:rFonts w:ascii="Arial" w:eastAsia="SimSun" w:hAnsi="Arial" w:cs="Arial"/>
                <w:sz w:val="16"/>
                <w:szCs w:val="16"/>
                <w:lang w:val="en-US" w:eastAsia="zh-CN"/>
              </w:rPr>
              <w:t>Incorrect description for unique determination of a SL PRS resource in a slot of a shared SL PRS resource pool.</w:t>
            </w:r>
          </w:p>
        </w:tc>
      </w:tr>
      <w:tr w:rsidR="00165594" w:rsidRPr="00165594" w14:paraId="650B1682" w14:textId="77777777" w:rsidTr="00165594">
        <w:tc>
          <w:tcPr>
            <w:tcW w:w="987" w:type="pct"/>
            <w:shd w:val="clear" w:color="auto" w:fill="auto"/>
          </w:tcPr>
          <w:p w14:paraId="74C33D61" w14:textId="77777777" w:rsidR="00165594" w:rsidRPr="00165594" w:rsidRDefault="00165594" w:rsidP="00165594">
            <w:pPr>
              <w:jc w:val="both"/>
              <w:rPr>
                <w:rFonts w:ascii="Arial" w:eastAsia="SimSun" w:hAnsi="Arial" w:cs="Arial"/>
                <w:sz w:val="16"/>
                <w:szCs w:val="16"/>
                <w:lang w:val="en-US" w:eastAsia="zh-CN"/>
              </w:rPr>
            </w:pPr>
            <w:r w:rsidRPr="00165594">
              <w:rPr>
                <w:rFonts w:ascii="Arial" w:eastAsia="SimSun" w:hAnsi="Arial" w:cs="Arial"/>
                <w:sz w:val="16"/>
                <w:szCs w:val="16"/>
                <w:lang w:val="en-US" w:eastAsia="zh-CN"/>
              </w:rPr>
              <w:t>Text proposal</w:t>
            </w:r>
          </w:p>
        </w:tc>
        <w:tc>
          <w:tcPr>
            <w:tcW w:w="4013" w:type="pct"/>
            <w:shd w:val="clear" w:color="auto" w:fill="auto"/>
          </w:tcPr>
          <w:p w14:paraId="0116A46F" w14:textId="77777777" w:rsidR="00165594" w:rsidRPr="00165594" w:rsidRDefault="00165594" w:rsidP="00165594">
            <w:pPr>
              <w:spacing w:line="280" w:lineRule="exact"/>
              <w:jc w:val="center"/>
              <w:rPr>
                <w:rFonts w:ascii="Arial" w:hAnsi="Arial" w:cs="Arial"/>
                <w:b/>
                <w:bCs/>
                <w:iCs/>
                <w:color w:val="0070C0"/>
                <w:sz w:val="16"/>
                <w:szCs w:val="16"/>
              </w:rPr>
            </w:pPr>
            <w:r w:rsidRPr="00165594">
              <w:rPr>
                <w:rFonts w:ascii="Arial" w:hAnsi="Arial" w:cs="Arial"/>
                <w:b/>
                <w:bCs/>
                <w:iCs/>
                <w:color w:val="0070C0"/>
                <w:sz w:val="16"/>
                <w:szCs w:val="16"/>
              </w:rPr>
              <w:t>------------------------------   TP#1: TS 38.214 -----------------------------------</w:t>
            </w:r>
          </w:p>
          <w:p w14:paraId="5CAEE2E8" w14:textId="77777777" w:rsidR="00165594" w:rsidRPr="007E1765" w:rsidRDefault="00165594" w:rsidP="007E1765">
            <w:pPr>
              <w:rPr>
                <w:rFonts w:ascii="Arial" w:hAnsi="Arial" w:cs="Arial"/>
                <w:b/>
                <w:bCs/>
                <w:sz w:val="16"/>
                <w:szCs w:val="16"/>
              </w:rPr>
            </w:pPr>
            <w:r w:rsidRPr="007E1765">
              <w:rPr>
                <w:rFonts w:ascii="Arial" w:hAnsi="Arial" w:cs="Arial"/>
                <w:b/>
                <w:bCs/>
                <w:sz w:val="16"/>
                <w:szCs w:val="16"/>
              </w:rPr>
              <w:lastRenderedPageBreak/>
              <w:t>8.2.4</w:t>
            </w:r>
            <w:r w:rsidRPr="007E1765">
              <w:rPr>
                <w:rFonts w:ascii="Arial" w:hAnsi="Arial" w:cs="Arial"/>
                <w:b/>
                <w:bCs/>
                <w:sz w:val="16"/>
                <w:szCs w:val="16"/>
              </w:rPr>
              <w:tab/>
              <w:t>SL PRS transmission procedure</w:t>
            </w:r>
          </w:p>
          <w:p w14:paraId="3C43BB0B" w14:textId="77777777" w:rsidR="00165594" w:rsidRPr="00165594" w:rsidRDefault="00165594" w:rsidP="00165594">
            <w:pPr>
              <w:rPr>
                <w:rFonts w:ascii="Arial" w:hAnsi="Arial" w:cs="Arial"/>
                <w:sz w:val="16"/>
                <w:szCs w:val="16"/>
              </w:rPr>
            </w:pPr>
            <w:r w:rsidRPr="00165594">
              <w:rPr>
                <w:rFonts w:ascii="Arial" w:hAnsi="Arial" w:cs="Arial"/>
                <w:sz w:val="16"/>
                <w:szCs w:val="16"/>
              </w:rPr>
              <w:t>The following parameters for SL PRS transmission are associated with each SL PRS resource:</w:t>
            </w:r>
          </w:p>
          <w:p w14:paraId="0D6B755B" w14:textId="77777777" w:rsidR="00165594" w:rsidRPr="00165594" w:rsidRDefault="00165594" w:rsidP="00165594">
            <w:pPr>
              <w:numPr>
                <w:ilvl w:val="0"/>
                <w:numId w:val="24"/>
              </w:numPr>
              <w:ind w:left="568" w:hanging="284"/>
              <w:rPr>
                <w:rFonts w:ascii="Arial" w:eastAsia="Calibri" w:hAnsi="Arial" w:cs="Arial"/>
                <w:sz w:val="16"/>
                <w:szCs w:val="16"/>
              </w:rPr>
            </w:pPr>
            <w:r w:rsidRPr="00165594">
              <w:rPr>
                <w:rFonts w:ascii="Arial" w:eastAsia="Calibri" w:hAnsi="Arial" w:cs="Arial"/>
                <w:sz w:val="16"/>
                <w:szCs w:val="16"/>
              </w:rPr>
              <w:t>-</w:t>
            </w:r>
            <w:r w:rsidRPr="00165594">
              <w:rPr>
                <w:rFonts w:ascii="Arial" w:eastAsia="Calibri" w:hAnsi="Arial" w:cs="Arial"/>
                <w:sz w:val="16"/>
                <w:szCs w:val="16"/>
              </w:rPr>
              <w:tab/>
              <w:t>[</w:t>
            </w:r>
            <w:r w:rsidRPr="00165594">
              <w:rPr>
                <w:rFonts w:ascii="Arial" w:eastAsia="Calibri" w:hAnsi="Arial" w:cs="Arial"/>
                <w:i/>
                <w:iCs/>
                <w:sz w:val="16"/>
                <w:szCs w:val="16"/>
              </w:rPr>
              <w:t>SL PRS resource ID</w:t>
            </w:r>
            <w:r w:rsidRPr="00165594">
              <w:rPr>
                <w:rFonts w:ascii="Arial" w:eastAsia="Calibri" w:hAnsi="Arial" w:cs="Arial"/>
                <w:sz w:val="16"/>
                <w:szCs w:val="16"/>
              </w:rPr>
              <w:t xml:space="preserve">] indicates an identity of a SL PRS resource. The SL PRS resource is identified by the SL PRS resource ID that is unique within a slot of a dedicated SL PRS resource pool. For a shared SL PRS resource pool, </w:t>
            </w:r>
            <w:r w:rsidRPr="00165594">
              <w:rPr>
                <w:rFonts w:ascii="Arial" w:eastAsia="Calibri" w:hAnsi="Arial" w:cs="Arial"/>
                <w:iCs/>
                <w:sz w:val="16"/>
                <w:szCs w:val="16"/>
              </w:rPr>
              <w:t xml:space="preserve">a  SL PRS resource is uniquely identified by a combination of the SL PRS resource ID, a SL PRS frequency domain allocation within a slot indicated by “frequency resource assignment” field in the associated SCI format 1-A, </w:t>
            </w:r>
            <w:r w:rsidRPr="00165594">
              <w:rPr>
                <w:rFonts w:ascii="Arial" w:eastAsia="MS Mincho" w:hAnsi="Arial" w:cs="Arial"/>
                <w:iCs/>
                <w:sz w:val="16"/>
                <w:szCs w:val="16"/>
              </w:rPr>
              <w:t xml:space="preserve">and a starting symbol </w:t>
            </w:r>
            <w:r w:rsidRPr="00165594">
              <w:rPr>
                <w:rFonts w:ascii="Arial" w:eastAsia="Calibri" w:hAnsi="Arial" w:cs="Arial"/>
                <w:iCs/>
                <w:sz w:val="16"/>
                <w:szCs w:val="16"/>
              </w:rPr>
              <w:t xml:space="preserve">within the slot </w:t>
            </w:r>
            <w:r w:rsidRPr="00165594">
              <w:rPr>
                <w:rFonts w:ascii="Arial" w:eastAsia="MS Mincho" w:hAnsi="Arial" w:cs="Arial"/>
                <w:iCs/>
                <w:sz w:val="16"/>
                <w:szCs w:val="16"/>
              </w:rPr>
              <w:t>as determined by clause 8.2.4.1.1</w:t>
            </w:r>
            <w:r w:rsidRPr="00165594">
              <w:rPr>
                <w:rFonts w:ascii="Arial" w:eastAsia="Calibri" w:hAnsi="Arial" w:cs="Arial"/>
                <w:iCs/>
                <w:sz w:val="16"/>
                <w:szCs w:val="16"/>
              </w:rPr>
              <w:t>.</w:t>
            </w:r>
          </w:p>
          <w:p w14:paraId="6E81EE29" w14:textId="77777777" w:rsidR="00165594" w:rsidRPr="00165594" w:rsidRDefault="00165594" w:rsidP="00165594">
            <w:pPr>
              <w:numPr>
                <w:ilvl w:val="0"/>
                <w:numId w:val="24"/>
              </w:numPr>
              <w:ind w:left="568" w:hanging="284"/>
              <w:rPr>
                <w:rFonts w:ascii="Arial" w:eastAsia="Calibri" w:hAnsi="Arial" w:cs="Arial"/>
                <w:sz w:val="16"/>
                <w:szCs w:val="16"/>
              </w:rPr>
            </w:pPr>
            <w:r w:rsidRPr="00165594">
              <w:rPr>
                <w:rFonts w:ascii="Arial" w:eastAsia="Calibri" w:hAnsi="Arial" w:cs="Arial"/>
                <w:sz w:val="16"/>
                <w:szCs w:val="16"/>
              </w:rPr>
              <w:t>-</w:t>
            </w:r>
            <w:r w:rsidRPr="00165594">
              <w:rPr>
                <w:rFonts w:ascii="Arial" w:eastAsia="Calibri" w:hAnsi="Arial" w:cs="Arial"/>
                <w:sz w:val="16"/>
                <w:szCs w:val="16"/>
              </w:rPr>
              <w:tab/>
            </w:r>
            <w:r w:rsidRPr="00165594">
              <w:rPr>
                <w:rFonts w:ascii="Arial" w:eastAsia="Calibri" w:hAnsi="Arial" w:cs="Arial"/>
                <w:iCs/>
                <w:sz w:val="16"/>
                <w:szCs w:val="16"/>
              </w:rPr>
              <w:t>[</w:t>
            </w:r>
            <w:r w:rsidRPr="00165594">
              <w:rPr>
                <w:rFonts w:ascii="Arial" w:eastAsia="Calibri" w:hAnsi="Arial" w:cs="Arial"/>
                <w:i/>
                <w:sz w:val="16"/>
                <w:szCs w:val="16"/>
              </w:rPr>
              <w:t>SL PRS comb offset and comb size</w:t>
            </w:r>
            <w:r w:rsidRPr="00165594">
              <w:rPr>
                <w:rFonts w:ascii="Arial" w:eastAsia="Calibri" w:hAnsi="Arial" w:cs="Arial"/>
                <w:iCs/>
                <w:sz w:val="16"/>
                <w:szCs w:val="16"/>
              </w:rPr>
              <w:t>] indicates a comb offset and a comb size of the SL PRS resource</w:t>
            </w:r>
          </w:p>
          <w:p w14:paraId="099A8D63" w14:textId="77777777" w:rsidR="00165594" w:rsidRPr="00165594" w:rsidRDefault="00165594" w:rsidP="00165594">
            <w:pPr>
              <w:numPr>
                <w:ilvl w:val="0"/>
                <w:numId w:val="24"/>
              </w:numPr>
              <w:ind w:left="568" w:hanging="284"/>
              <w:rPr>
                <w:rFonts w:ascii="Arial" w:eastAsia="Calibri" w:hAnsi="Arial" w:cs="Arial"/>
                <w:sz w:val="16"/>
                <w:szCs w:val="16"/>
              </w:rPr>
            </w:pPr>
            <w:r w:rsidRPr="00165594">
              <w:rPr>
                <w:rFonts w:ascii="Arial" w:eastAsia="Calibri" w:hAnsi="Arial" w:cs="Arial"/>
                <w:sz w:val="16"/>
                <w:szCs w:val="16"/>
              </w:rPr>
              <w:t>-</w:t>
            </w:r>
            <w:r w:rsidRPr="00165594">
              <w:rPr>
                <w:rFonts w:ascii="Arial" w:eastAsia="Calibri" w:hAnsi="Arial" w:cs="Arial"/>
                <w:sz w:val="16"/>
                <w:szCs w:val="16"/>
              </w:rPr>
              <w:tab/>
            </w:r>
            <w:r w:rsidRPr="00165594">
              <w:rPr>
                <w:rFonts w:ascii="Arial" w:eastAsia="Calibri" w:hAnsi="Arial" w:cs="Arial"/>
                <w:iCs/>
                <w:sz w:val="16"/>
                <w:szCs w:val="16"/>
              </w:rPr>
              <w:t>[</w:t>
            </w:r>
            <w:r w:rsidRPr="00165594">
              <w:rPr>
                <w:rFonts w:ascii="Arial" w:eastAsia="Calibri" w:hAnsi="Arial" w:cs="Arial"/>
                <w:i/>
                <w:sz w:val="16"/>
                <w:szCs w:val="16"/>
              </w:rPr>
              <w:t>Starting symbol and the number of SL PRS symbols</w:t>
            </w:r>
            <w:r w:rsidRPr="00165594">
              <w:rPr>
                <w:rFonts w:ascii="Arial" w:eastAsia="Calibri" w:hAnsi="Arial" w:cs="Arial"/>
                <w:iCs/>
                <w:sz w:val="16"/>
                <w:szCs w:val="16"/>
              </w:rPr>
              <w:t>] indicates the starting symbol index and the number of symbols of the SL PRS resource within a slot in a dedicated SL PRS resource pool. [</w:t>
            </w:r>
            <w:r w:rsidRPr="00165594">
              <w:rPr>
                <w:rFonts w:ascii="Arial" w:eastAsia="Calibri" w:hAnsi="Arial" w:cs="Arial"/>
                <w:i/>
                <w:sz w:val="16"/>
                <w:szCs w:val="16"/>
              </w:rPr>
              <w:t>number of SL PRS symbols</w:t>
            </w:r>
            <w:r w:rsidRPr="00165594">
              <w:rPr>
                <w:rFonts w:ascii="Arial" w:eastAsia="Calibri" w:hAnsi="Arial" w:cs="Arial"/>
                <w:iCs/>
                <w:sz w:val="16"/>
                <w:szCs w:val="16"/>
              </w:rPr>
              <w:t>] indicates the number of symbols of the SL PRS resource within a slot in a shared SL PRS resource pool.</w:t>
            </w:r>
          </w:p>
          <w:p w14:paraId="092ED76D" w14:textId="77777777" w:rsidR="00165594" w:rsidRPr="00165594" w:rsidRDefault="00165594" w:rsidP="00165594">
            <w:pPr>
              <w:jc w:val="center"/>
              <w:rPr>
                <w:rFonts w:ascii="Arial" w:hAnsi="Arial" w:cs="Arial"/>
                <w:color w:val="FF0000"/>
                <w:sz w:val="16"/>
                <w:szCs w:val="16"/>
              </w:rPr>
            </w:pPr>
            <w:r w:rsidRPr="00165594">
              <w:rPr>
                <w:rFonts w:ascii="Arial" w:hAnsi="Arial" w:cs="Arial"/>
                <w:b/>
                <w:bCs/>
                <w:color w:val="FF0000"/>
                <w:sz w:val="16"/>
                <w:szCs w:val="16"/>
                <w:lang w:eastAsia="zh-CN"/>
              </w:rPr>
              <w:t>&lt; Unchanged text omitted &gt;</w:t>
            </w:r>
          </w:p>
        </w:tc>
      </w:tr>
    </w:tbl>
    <w:p w14:paraId="369A0895" w14:textId="77777777" w:rsidR="00165594" w:rsidRPr="00165594" w:rsidRDefault="00165594" w:rsidP="00165594">
      <w:pPr>
        <w:rPr>
          <w:rFonts w:ascii="Times New Roman" w:hAnsi="Times New Roman"/>
          <w:szCs w:val="20"/>
          <w:lang w:val="en-US" w:eastAsia="x-none"/>
        </w:rPr>
      </w:pPr>
    </w:p>
    <w:p w14:paraId="4E481345" w14:textId="77777777" w:rsidR="00165594" w:rsidRPr="00165594" w:rsidRDefault="00165594" w:rsidP="00165594">
      <w:pPr>
        <w:rPr>
          <w:rFonts w:ascii="Times New Roman" w:hAnsi="Times New Roman"/>
          <w:szCs w:val="20"/>
          <w:lang w:val="en-US" w:eastAsia="x-none"/>
        </w:rPr>
      </w:pPr>
      <w:r w:rsidRPr="00165594">
        <w:rPr>
          <w:rFonts w:ascii="Times New Roman" w:hAnsi="Times New Roman"/>
          <w:szCs w:val="20"/>
          <w:highlight w:val="green"/>
          <w:lang w:val="en-US" w:eastAsia="x-none"/>
        </w:rPr>
        <w:t>Agreement</w:t>
      </w:r>
    </w:p>
    <w:p w14:paraId="3E18216C" w14:textId="6B9B24FE" w:rsidR="00165594" w:rsidRPr="00165594" w:rsidRDefault="00165594" w:rsidP="00165594">
      <w:pPr>
        <w:rPr>
          <w:rFonts w:ascii="Times New Roman" w:hAnsi="Times New Roman"/>
          <w:szCs w:val="20"/>
          <w:lang w:val="en-US" w:eastAsia="x-none"/>
        </w:rPr>
      </w:pPr>
      <w:r w:rsidRPr="00165594">
        <w:rPr>
          <w:rFonts w:ascii="Times New Roman" w:hAnsi="Times New Roman"/>
          <w:szCs w:val="20"/>
          <w:lang w:val="en-US" w:eastAsia="x-none"/>
        </w:rPr>
        <w:t xml:space="preserve">Endorse TP#2 in Section 6 of </w:t>
      </w:r>
      <w:hyperlink r:id="rId1099" w:history="1">
        <w:r w:rsidR="00AF7253">
          <w:rPr>
            <w:rStyle w:val="Hyperlink"/>
            <w:rFonts w:ascii="Times New Roman" w:hAnsi="Times New Roman"/>
            <w:szCs w:val="20"/>
            <w:lang w:val="en-US" w:eastAsia="x-none"/>
          </w:rPr>
          <w:t>R1-2312295</w:t>
        </w:r>
      </w:hyperlink>
      <w:r w:rsidRPr="00165594">
        <w:rPr>
          <w:rFonts w:ascii="Times New Roman" w:hAnsi="Times New Roman"/>
          <w:szCs w:val="20"/>
          <w:lang w:val="en-US" w:eastAsia="x-none"/>
        </w:rPr>
        <w:t xml:space="preserve"> for Section 8.4.1.6.3 of TS 38.211 to add “common” to description of resource blocks for mapping of SL PRS and to correct terminology for dedicated and shared SL PRS re-source pools</w:t>
      </w:r>
      <w:r>
        <w:rPr>
          <w:rFonts w:ascii="Times New Roman" w:hAnsi="Times New Roman"/>
          <w:szCs w:val="20"/>
          <w:lang w:val="en-US" w:eastAsia="x-none"/>
        </w:rPr>
        <w:t>.</w:t>
      </w:r>
    </w:p>
    <w:p w14:paraId="3EC70087" w14:textId="77777777" w:rsidR="00165594" w:rsidRPr="00165594" w:rsidRDefault="00165594" w:rsidP="00165594">
      <w:pPr>
        <w:rPr>
          <w:rFonts w:ascii="Times New Roman" w:hAnsi="Times New Roman"/>
          <w:szCs w:val="20"/>
          <w:lang w:val="en-US" w:eastAsia="x-none"/>
        </w:rPr>
      </w:pPr>
    </w:p>
    <w:p w14:paraId="736C2224" w14:textId="77777777" w:rsidR="00165594" w:rsidRPr="00165594" w:rsidRDefault="00165594" w:rsidP="00165594">
      <w:pPr>
        <w:rPr>
          <w:rFonts w:ascii="Times New Roman" w:hAnsi="Times New Roman"/>
          <w:szCs w:val="20"/>
          <w:lang w:val="en-US" w:eastAsia="x-none"/>
        </w:rPr>
      </w:pPr>
      <w:r w:rsidRPr="00165594">
        <w:rPr>
          <w:rFonts w:ascii="Times New Roman" w:hAnsi="Times New Roman"/>
          <w:szCs w:val="20"/>
          <w:highlight w:val="green"/>
          <w:lang w:val="en-US" w:eastAsia="x-none"/>
        </w:rPr>
        <w:t>Agreement</w:t>
      </w:r>
    </w:p>
    <w:p w14:paraId="1666BCE3" w14:textId="13F18DAA" w:rsidR="00165594" w:rsidRPr="00165594" w:rsidRDefault="00165594" w:rsidP="00165594">
      <w:pPr>
        <w:rPr>
          <w:rFonts w:ascii="Times New Roman" w:hAnsi="Times New Roman"/>
          <w:szCs w:val="20"/>
          <w:lang w:val="en-US" w:eastAsia="x-none"/>
        </w:rPr>
      </w:pPr>
      <w:r w:rsidRPr="00165594">
        <w:rPr>
          <w:rFonts w:ascii="Times New Roman" w:hAnsi="Times New Roman"/>
          <w:szCs w:val="20"/>
          <w:lang w:val="en-US" w:eastAsia="x-none"/>
        </w:rPr>
        <w:t xml:space="preserve">Endorse TP#3 in Section 6 of </w:t>
      </w:r>
      <w:hyperlink r:id="rId1100" w:history="1">
        <w:r w:rsidR="00AF7253">
          <w:rPr>
            <w:rStyle w:val="Hyperlink"/>
            <w:rFonts w:ascii="Times New Roman" w:hAnsi="Times New Roman"/>
            <w:szCs w:val="20"/>
            <w:lang w:val="en-US" w:eastAsia="x-none"/>
          </w:rPr>
          <w:t>R1-2312295</w:t>
        </w:r>
      </w:hyperlink>
      <w:r w:rsidRPr="00165594">
        <w:rPr>
          <w:rFonts w:ascii="Times New Roman" w:hAnsi="Times New Roman"/>
          <w:szCs w:val="20"/>
          <w:lang w:val="en-US" w:eastAsia="x-none"/>
        </w:rPr>
        <w:t xml:space="preserve"> for Section 16.2.3A of TS 38.213 to align terminology for shared SL PRS resource pool.</w:t>
      </w:r>
    </w:p>
    <w:p w14:paraId="7E69030A" w14:textId="46DD6445" w:rsidR="00165594" w:rsidRPr="00165594" w:rsidRDefault="00165594" w:rsidP="00AA1D48">
      <w:pPr>
        <w:pStyle w:val="ListParagraph"/>
        <w:numPr>
          <w:ilvl w:val="0"/>
          <w:numId w:val="136"/>
        </w:numPr>
        <w:rPr>
          <w:lang w:val="en-US"/>
        </w:rPr>
      </w:pPr>
      <w:r w:rsidRPr="00165594">
        <w:rPr>
          <w:lang w:val="en-US"/>
        </w:rPr>
        <w:t>Note: clause and TS in summary of change should be fixed by the editor.</w:t>
      </w:r>
    </w:p>
    <w:p w14:paraId="18B39B90" w14:textId="77777777" w:rsidR="00165594" w:rsidRPr="00165594" w:rsidRDefault="00165594" w:rsidP="00165594">
      <w:pPr>
        <w:rPr>
          <w:rFonts w:ascii="Times New Roman" w:hAnsi="Times New Roman"/>
          <w:szCs w:val="20"/>
          <w:lang w:val="en-US" w:eastAsia="x-none"/>
        </w:rPr>
      </w:pPr>
      <w:r w:rsidRPr="00165594">
        <w:rPr>
          <w:rFonts w:ascii="Times New Roman" w:hAnsi="Times New Roman"/>
          <w:szCs w:val="20"/>
          <w:highlight w:val="green"/>
          <w:lang w:val="en-US" w:eastAsia="x-none"/>
        </w:rPr>
        <w:t>Agreement</w:t>
      </w:r>
    </w:p>
    <w:p w14:paraId="3D63949E" w14:textId="0B4FC642" w:rsidR="00165594" w:rsidRPr="00165594" w:rsidRDefault="00165594" w:rsidP="00165594">
      <w:pPr>
        <w:rPr>
          <w:rFonts w:ascii="Times New Roman" w:hAnsi="Times New Roman"/>
          <w:szCs w:val="20"/>
          <w:lang w:val="en-US" w:eastAsia="x-none"/>
        </w:rPr>
      </w:pPr>
      <w:r w:rsidRPr="00165594">
        <w:rPr>
          <w:rFonts w:ascii="Times New Roman" w:hAnsi="Times New Roman"/>
          <w:szCs w:val="20"/>
          <w:lang w:val="en-US" w:eastAsia="x-none"/>
        </w:rPr>
        <w:t xml:space="preserve">Endorse TP#4 in Section 6 of </w:t>
      </w:r>
      <w:hyperlink r:id="rId1101" w:history="1">
        <w:r w:rsidR="00AF7253">
          <w:rPr>
            <w:rStyle w:val="Hyperlink"/>
            <w:rFonts w:ascii="Times New Roman" w:hAnsi="Times New Roman"/>
            <w:szCs w:val="20"/>
            <w:lang w:val="en-US" w:eastAsia="x-none"/>
          </w:rPr>
          <w:t>R1-2312295</w:t>
        </w:r>
      </w:hyperlink>
      <w:r w:rsidRPr="00165594">
        <w:rPr>
          <w:rFonts w:ascii="Times New Roman" w:hAnsi="Times New Roman"/>
          <w:szCs w:val="20"/>
          <w:lang w:val="en-US" w:eastAsia="x-none"/>
        </w:rPr>
        <w:t xml:space="preserve"> for Clause 8 and Subclause 8.2.4.1.2 of TS 38.214 to reflect that the bandwidth of SL PRS in a dedicated SL PRS resource pool is same as the resource pool bandwidth in number of RBs.</w:t>
      </w:r>
    </w:p>
    <w:p w14:paraId="304938CE" w14:textId="77777777" w:rsidR="00165594" w:rsidRPr="00165594" w:rsidRDefault="00165594" w:rsidP="00165594">
      <w:pPr>
        <w:rPr>
          <w:rFonts w:ascii="Times New Roman" w:hAnsi="Times New Roman"/>
          <w:szCs w:val="20"/>
          <w:lang w:val="en-US" w:eastAsia="x-none"/>
        </w:rPr>
      </w:pPr>
    </w:p>
    <w:p w14:paraId="041514A6" w14:textId="77777777" w:rsidR="00165594" w:rsidRPr="00165594" w:rsidRDefault="00165594" w:rsidP="00165594">
      <w:pPr>
        <w:rPr>
          <w:rFonts w:ascii="Times New Roman" w:hAnsi="Times New Roman"/>
          <w:szCs w:val="20"/>
          <w:lang w:val="en-US" w:eastAsia="x-none"/>
        </w:rPr>
      </w:pPr>
      <w:r w:rsidRPr="00165594">
        <w:rPr>
          <w:rFonts w:ascii="Times New Roman" w:hAnsi="Times New Roman"/>
          <w:szCs w:val="20"/>
          <w:highlight w:val="green"/>
          <w:lang w:val="en-US" w:eastAsia="x-none"/>
        </w:rPr>
        <w:t>Agreement</w:t>
      </w:r>
    </w:p>
    <w:p w14:paraId="37C5E7AB" w14:textId="0FAFF7B6" w:rsidR="00165594" w:rsidRPr="00165594" w:rsidRDefault="00165594" w:rsidP="00165594">
      <w:pPr>
        <w:snapToGrid w:val="0"/>
        <w:rPr>
          <w:rFonts w:ascii="Times New Roman" w:hAnsi="Times New Roman"/>
          <w:iCs/>
          <w:szCs w:val="20"/>
        </w:rPr>
      </w:pPr>
      <w:r w:rsidRPr="00165594">
        <w:rPr>
          <w:rFonts w:ascii="Times New Roman" w:hAnsi="Times New Roman"/>
          <w:szCs w:val="20"/>
        </w:rPr>
        <w:t xml:space="preserve">Endorse TP#5 and TP#6 in Section 6 of </w:t>
      </w:r>
      <w:hyperlink r:id="rId1102" w:history="1">
        <w:r w:rsidR="00AF7253">
          <w:rPr>
            <w:rStyle w:val="Hyperlink"/>
            <w:rFonts w:ascii="Times New Roman" w:hAnsi="Times New Roman"/>
            <w:szCs w:val="20"/>
          </w:rPr>
          <w:t>R1-2312295</w:t>
        </w:r>
      </w:hyperlink>
      <w:r w:rsidRPr="00165594">
        <w:rPr>
          <w:rFonts w:ascii="Times New Roman" w:hAnsi="Times New Roman"/>
          <w:szCs w:val="20"/>
        </w:rPr>
        <w:t xml:space="preserve"> to correctly reflect the resource mapping and UE behavior for multiplexing between SL PRS and each of PSSCH and PSFCH in a slot of a shared SL PRS resource pool:</w:t>
      </w:r>
    </w:p>
    <w:p w14:paraId="3E5549E9" w14:textId="365C8595" w:rsidR="00165594" w:rsidRPr="00165594" w:rsidRDefault="00165594" w:rsidP="00AA1D48">
      <w:pPr>
        <w:pStyle w:val="ListParagraph"/>
        <w:numPr>
          <w:ilvl w:val="0"/>
          <w:numId w:val="136"/>
        </w:numPr>
        <w:rPr>
          <w:iCs/>
        </w:rPr>
      </w:pPr>
      <w:r w:rsidRPr="00165594">
        <w:t>TP#5 for subclauses 8.3.1.5 and 8.4.1.1.2 of TS 38.211</w:t>
      </w:r>
      <w:r>
        <w:t>.</w:t>
      </w:r>
    </w:p>
    <w:p w14:paraId="690151B9" w14:textId="167D766E" w:rsidR="00165594" w:rsidRPr="00165594" w:rsidRDefault="00165594" w:rsidP="00AA1D48">
      <w:pPr>
        <w:pStyle w:val="ListParagraph"/>
        <w:numPr>
          <w:ilvl w:val="0"/>
          <w:numId w:val="136"/>
        </w:numPr>
        <w:rPr>
          <w:lang w:val="en-US" w:eastAsia="x-none"/>
        </w:rPr>
      </w:pPr>
      <w:r w:rsidRPr="00165594">
        <w:t>TP#6 for subclause 8.2.4.1.1 of TS 38.214</w:t>
      </w:r>
      <w:r>
        <w:t>.</w:t>
      </w:r>
    </w:p>
    <w:p w14:paraId="3F358A9E" w14:textId="77777777" w:rsidR="00165594" w:rsidRPr="00165594" w:rsidRDefault="00165594" w:rsidP="00165594">
      <w:pPr>
        <w:rPr>
          <w:lang w:val="en-US" w:eastAsia="x-none"/>
        </w:rPr>
      </w:pPr>
    </w:p>
    <w:p w14:paraId="308282EB" w14:textId="43F3F889" w:rsidR="00CA0940" w:rsidRPr="000E6940" w:rsidRDefault="005A18DC" w:rsidP="00CA0940">
      <w:pPr>
        <w:rPr>
          <w:b/>
          <w:bCs/>
          <w:lang w:eastAsia="x-none"/>
        </w:rPr>
      </w:pPr>
      <w:hyperlink r:id="rId1103" w:history="1">
        <w:r w:rsidR="00AF7253">
          <w:rPr>
            <w:rStyle w:val="Hyperlink"/>
            <w:b/>
            <w:bCs/>
            <w:lang w:eastAsia="x-none"/>
          </w:rPr>
          <w:t>R1-2312296</w:t>
        </w:r>
      </w:hyperlink>
      <w:r w:rsidR="00CA0940" w:rsidRPr="000E6940">
        <w:rPr>
          <w:b/>
          <w:bCs/>
          <w:lang w:eastAsia="x-none"/>
        </w:rPr>
        <w:tab/>
        <w:t>FL summary #2 on SL positioning reference signal</w:t>
      </w:r>
      <w:r w:rsidR="00CA0940" w:rsidRPr="000E6940">
        <w:rPr>
          <w:b/>
          <w:bCs/>
          <w:lang w:eastAsia="x-none"/>
        </w:rPr>
        <w:tab/>
        <w:t>Moderator (Intel Corporation)</w:t>
      </w:r>
    </w:p>
    <w:p w14:paraId="3D5EC7BA" w14:textId="439B12E4" w:rsidR="000E6940" w:rsidRDefault="00C676E9" w:rsidP="00CA0940">
      <w:pPr>
        <w:rPr>
          <w:lang w:eastAsia="x-none"/>
        </w:rPr>
      </w:pPr>
      <w:r>
        <w:rPr>
          <w:lang w:eastAsia="x-none"/>
        </w:rPr>
        <w:t>Presented in</w:t>
      </w:r>
      <w:r w:rsidR="000E6940">
        <w:rPr>
          <w:lang w:eastAsia="x-none"/>
        </w:rPr>
        <w:t xml:space="preserve"> Thursday session</w:t>
      </w:r>
      <w:r>
        <w:rPr>
          <w:lang w:eastAsia="x-none"/>
        </w:rPr>
        <w:t>.</w:t>
      </w:r>
    </w:p>
    <w:p w14:paraId="22CC425E" w14:textId="77777777" w:rsidR="000E6940" w:rsidRPr="000E6940" w:rsidRDefault="000E6940" w:rsidP="00CA0940">
      <w:pPr>
        <w:rPr>
          <w:lang w:val="en-US" w:eastAsia="x-none"/>
        </w:rPr>
      </w:pPr>
    </w:p>
    <w:p w14:paraId="19E53A47" w14:textId="1B4797C1" w:rsidR="00CA0940" w:rsidRPr="009537ED" w:rsidRDefault="00C676E9" w:rsidP="00CA0940">
      <w:pPr>
        <w:rPr>
          <w:lang w:eastAsia="x-none"/>
        </w:rPr>
      </w:pPr>
      <w:r>
        <w:rPr>
          <w:lang w:eastAsia="x-none"/>
        </w:rPr>
        <w:t xml:space="preserve">Final summary in </w:t>
      </w:r>
      <w:hyperlink r:id="rId1104" w:history="1">
        <w:r w:rsidR="00AF7253">
          <w:rPr>
            <w:rStyle w:val="Hyperlink"/>
            <w:lang w:eastAsia="x-none"/>
          </w:rPr>
          <w:t>R1-2312297</w:t>
        </w:r>
      </w:hyperlink>
      <w:r>
        <w:rPr>
          <w:lang w:eastAsia="x-none"/>
        </w:rPr>
        <w:t>.</w:t>
      </w:r>
    </w:p>
    <w:p w14:paraId="4993FEC6" w14:textId="77777777" w:rsidR="00F74A6F" w:rsidRPr="009537ED" w:rsidRDefault="00F74A6F" w:rsidP="00CA0940">
      <w:pPr>
        <w:pStyle w:val="Heading4"/>
      </w:pPr>
      <w:bookmarkStart w:id="422" w:name="_Toc159251001"/>
      <w:r w:rsidRPr="009537ED">
        <w:t>Measurements and reporting for SL positioning</w:t>
      </w:r>
      <w:bookmarkEnd w:id="421"/>
      <w:bookmarkEnd w:id="422"/>
    </w:p>
    <w:p w14:paraId="4DA1D18A" w14:textId="4F6699C6" w:rsidR="00F74A6F" w:rsidRPr="009537ED" w:rsidRDefault="005A18DC" w:rsidP="00F74A6F">
      <w:pPr>
        <w:rPr>
          <w:lang w:eastAsia="x-none"/>
        </w:rPr>
      </w:pPr>
      <w:hyperlink r:id="rId1105" w:history="1">
        <w:r w:rsidR="00AF7253">
          <w:rPr>
            <w:rStyle w:val="Hyperlink"/>
            <w:lang w:eastAsia="x-none"/>
          </w:rPr>
          <w:t>R1-2310816</w:t>
        </w:r>
      </w:hyperlink>
      <w:r w:rsidR="00F74A6F" w:rsidRPr="009537ED">
        <w:rPr>
          <w:lang w:eastAsia="x-none"/>
        </w:rPr>
        <w:tab/>
        <w:t>Remaining issues for measurements and reporting for SL positioning</w:t>
      </w:r>
      <w:r w:rsidR="00F74A6F" w:rsidRPr="009537ED">
        <w:rPr>
          <w:lang w:eastAsia="x-none"/>
        </w:rPr>
        <w:tab/>
        <w:t>Nokia, Nokia Shanghai Bell</w:t>
      </w:r>
    </w:p>
    <w:p w14:paraId="53F06C47" w14:textId="37D475F6" w:rsidR="00F74A6F" w:rsidRPr="009537ED" w:rsidRDefault="005A18DC" w:rsidP="00F74A6F">
      <w:pPr>
        <w:rPr>
          <w:lang w:eastAsia="x-none"/>
        </w:rPr>
      </w:pPr>
      <w:hyperlink r:id="rId1106" w:history="1">
        <w:r w:rsidR="00AF7253">
          <w:rPr>
            <w:rStyle w:val="Hyperlink"/>
            <w:lang w:eastAsia="x-none"/>
          </w:rPr>
          <w:t>R1-2310837</w:t>
        </w:r>
      </w:hyperlink>
      <w:r w:rsidR="00F74A6F" w:rsidRPr="009537ED">
        <w:rPr>
          <w:lang w:eastAsia="x-none"/>
        </w:rPr>
        <w:tab/>
        <w:t>Maintenance of SL measurements</w:t>
      </w:r>
      <w:r w:rsidR="00F74A6F" w:rsidRPr="009537ED">
        <w:rPr>
          <w:lang w:eastAsia="x-none"/>
        </w:rPr>
        <w:tab/>
        <w:t>Huawei, HiSilicon</w:t>
      </w:r>
    </w:p>
    <w:p w14:paraId="4976D521" w14:textId="02181F04" w:rsidR="00F74A6F" w:rsidRPr="009537ED" w:rsidRDefault="005A18DC" w:rsidP="00F74A6F">
      <w:pPr>
        <w:rPr>
          <w:lang w:eastAsia="x-none"/>
        </w:rPr>
      </w:pPr>
      <w:hyperlink r:id="rId1107" w:history="1">
        <w:r w:rsidR="00AF7253">
          <w:rPr>
            <w:rStyle w:val="Hyperlink"/>
            <w:lang w:eastAsia="x-none"/>
          </w:rPr>
          <w:t>R1-2311095</w:t>
        </w:r>
      </w:hyperlink>
      <w:r w:rsidR="00F74A6F" w:rsidRPr="009537ED">
        <w:rPr>
          <w:lang w:eastAsia="x-none"/>
        </w:rPr>
        <w:tab/>
        <w:t>Remaining issues on measurements and reporting for SL positioning</w:t>
      </w:r>
      <w:r w:rsidR="00F74A6F" w:rsidRPr="009537ED">
        <w:rPr>
          <w:lang w:eastAsia="x-none"/>
        </w:rPr>
        <w:tab/>
        <w:t>vivo</w:t>
      </w:r>
    </w:p>
    <w:p w14:paraId="6EDB3E0F" w14:textId="64B84E8A" w:rsidR="00F74A6F" w:rsidRPr="009537ED" w:rsidRDefault="005A18DC" w:rsidP="00F74A6F">
      <w:pPr>
        <w:rPr>
          <w:lang w:eastAsia="x-none"/>
        </w:rPr>
      </w:pPr>
      <w:hyperlink r:id="rId1108" w:history="1">
        <w:r w:rsidR="00AF7253">
          <w:rPr>
            <w:rStyle w:val="Hyperlink"/>
            <w:lang w:eastAsia="x-none"/>
          </w:rPr>
          <w:t>R1-2311142</w:t>
        </w:r>
      </w:hyperlink>
      <w:r w:rsidR="00F74A6F" w:rsidRPr="009537ED">
        <w:rPr>
          <w:lang w:eastAsia="x-none"/>
        </w:rPr>
        <w:tab/>
        <w:t>Remaining issues on SL Positioning Measurements and Reporting</w:t>
      </w:r>
      <w:r w:rsidR="00F74A6F" w:rsidRPr="009537ED">
        <w:rPr>
          <w:lang w:eastAsia="x-none"/>
        </w:rPr>
        <w:tab/>
        <w:t>Intel Corporation</w:t>
      </w:r>
    </w:p>
    <w:p w14:paraId="6BE8B4F1" w14:textId="7D4910C1" w:rsidR="00F74A6F" w:rsidRPr="009537ED" w:rsidRDefault="005A18DC" w:rsidP="00F74A6F">
      <w:pPr>
        <w:rPr>
          <w:lang w:eastAsia="x-none"/>
        </w:rPr>
      </w:pPr>
      <w:hyperlink r:id="rId1109" w:history="1">
        <w:r w:rsidR="00AF7253">
          <w:rPr>
            <w:rStyle w:val="Hyperlink"/>
            <w:lang w:eastAsia="x-none"/>
          </w:rPr>
          <w:t>R1-2311164</w:t>
        </w:r>
      </w:hyperlink>
      <w:r w:rsidR="00F74A6F" w:rsidRPr="009537ED">
        <w:rPr>
          <w:lang w:eastAsia="x-none"/>
        </w:rPr>
        <w:tab/>
        <w:t>Remaining issues on measurements and reporting for SL positioning</w:t>
      </w:r>
      <w:r w:rsidR="00F74A6F" w:rsidRPr="009537ED">
        <w:rPr>
          <w:lang w:eastAsia="x-none"/>
        </w:rPr>
        <w:tab/>
        <w:t>Spreadtrum Communications</w:t>
      </w:r>
    </w:p>
    <w:p w14:paraId="5972662E" w14:textId="43138153" w:rsidR="00F74A6F" w:rsidRPr="009537ED" w:rsidRDefault="005A18DC" w:rsidP="00F74A6F">
      <w:pPr>
        <w:rPr>
          <w:lang w:eastAsia="x-none"/>
        </w:rPr>
      </w:pPr>
      <w:hyperlink r:id="rId1110" w:history="1">
        <w:r w:rsidR="00AF7253">
          <w:rPr>
            <w:rStyle w:val="Hyperlink"/>
            <w:lang w:eastAsia="x-none"/>
          </w:rPr>
          <w:t>R1-2311241</w:t>
        </w:r>
      </w:hyperlink>
      <w:r w:rsidR="00F74A6F" w:rsidRPr="009537ED">
        <w:rPr>
          <w:lang w:eastAsia="x-none"/>
        </w:rPr>
        <w:tab/>
        <w:t>Remaining issues on measurements and reporting for SL positioning</w:t>
      </w:r>
      <w:r w:rsidR="00F74A6F" w:rsidRPr="009537ED">
        <w:rPr>
          <w:lang w:eastAsia="x-none"/>
        </w:rPr>
        <w:tab/>
        <w:t>OPPO</w:t>
      </w:r>
    </w:p>
    <w:p w14:paraId="14C6CA74" w14:textId="40451A11" w:rsidR="00F74A6F" w:rsidRPr="009537ED" w:rsidRDefault="005A18DC" w:rsidP="00F74A6F">
      <w:pPr>
        <w:rPr>
          <w:lang w:eastAsia="x-none"/>
        </w:rPr>
      </w:pPr>
      <w:hyperlink r:id="rId1111" w:history="1">
        <w:r w:rsidR="00AF7253">
          <w:rPr>
            <w:rStyle w:val="Hyperlink"/>
            <w:lang w:eastAsia="x-none"/>
          </w:rPr>
          <w:t>R1-2311340</w:t>
        </w:r>
      </w:hyperlink>
      <w:r w:rsidR="00F74A6F" w:rsidRPr="009537ED">
        <w:rPr>
          <w:lang w:eastAsia="x-none"/>
        </w:rPr>
        <w:tab/>
        <w:t>Maintenance issues on measurements and reporting for SL positioning</w:t>
      </w:r>
      <w:r w:rsidR="00F74A6F" w:rsidRPr="009537ED">
        <w:rPr>
          <w:lang w:eastAsia="x-none"/>
        </w:rPr>
        <w:tab/>
        <w:t>CATT, CICTCI</w:t>
      </w:r>
    </w:p>
    <w:p w14:paraId="29519284" w14:textId="28942FF6" w:rsidR="00F74A6F" w:rsidRPr="009537ED" w:rsidRDefault="005A18DC" w:rsidP="00F74A6F">
      <w:pPr>
        <w:rPr>
          <w:lang w:eastAsia="x-none"/>
        </w:rPr>
      </w:pPr>
      <w:hyperlink r:id="rId1112" w:history="1">
        <w:r w:rsidR="00AF7253">
          <w:rPr>
            <w:rStyle w:val="Hyperlink"/>
            <w:lang w:eastAsia="x-none"/>
          </w:rPr>
          <w:t>R1-2311457</w:t>
        </w:r>
      </w:hyperlink>
      <w:r w:rsidR="00F74A6F" w:rsidRPr="009537ED">
        <w:rPr>
          <w:lang w:eastAsia="x-none"/>
        </w:rPr>
        <w:tab/>
        <w:t>Maintenance on SL positioning measurements and reporting</w:t>
      </w:r>
      <w:r w:rsidR="00F74A6F" w:rsidRPr="009537ED">
        <w:rPr>
          <w:lang w:eastAsia="x-none"/>
        </w:rPr>
        <w:tab/>
        <w:t>ZTE</w:t>
      </w:r>
    </w:p>
    <w:p w14:paraId="396EABA5" w14:textId="0B0CE036" w:rsidR="00F74A6F" w:rsidRPr="009537ED" w:rsidRDefault="005A18DC" w:rsidP="00F74A6F">
      <w:pPr>
        <w:rPr>
          <w:lang w:eastAsia="x-none"/>
        </w:rPr>
      </w:pPr>
      <w:hyperlink r:id="rId1113" w:history="1">
        <w:r w:rsidR="00AF7253">
          <w:rPr>
            <w:rStyle w:val="Hyperlink"/>
            <w:lang w:eastAsia="x-none"/>
          </w:rPr>
          <w:t>R1-2311481</w:t>
        </w:r>
      </w:hyperlink>
      <w:r w:rsidR="00F74A6F" w:rsidRPr="009537ED">
        <w:rPr>
          <w:lang w:eastAsia="x-none"/>
        </w:rPr>
        <w:tab/>
        <w:t>Maintenance on measurements and reporting for SL positioning</w:t>
      </w:r>
      <w:r w:rsidR="00F74A6F" w:rsidRPr="009537ED">
        <w:rPr>
          <w:lang w:eastAsia="x-none"/>
        </w:rPr>
        <w:tab/>
        <w:t>CMCC</w:t>
      </w:r>
    </w:p>
    <w:p w14:paraId="65BB9CAD" w14:textId="3C24B423" w:rsidR="00F74A6F" w:rsidRPr="009537ED" w:rsidRDefault="005A18DC" w:rsidP="00F74A6F">
      <w:pPr>
        <w:rPr>
          <w:lang w:eastAsia="x-none"/>
        </w:rPr>
      </w:pPr>
      <w:hyperlink r:id="rId1114" w:history="1">
        <w:r w:rsidR="00AF7253">
          <w:rPr>
            <w:rStyle w:val="Hyperlink"/>
            <w:lang w:eastAsia="x-none"/>
          </w:rPr>
          <w:t>R1-2311596</w:t>
        </w:r>
      </w:hyperlink>
      <w:r w:rsidR="00F74A6F" w:rsidRPr="009537ED">
        <w:rPr>
          <w:lang w:eastAsia="x-none"/>
        </w:rPr>
        <w:tab/>
        <w:t>Remaining issues on measurement and reporting for SL positioning</w:t>
      </w:r>
      <w:r w:rsidR="00F74A6F" w:rsidRPr="009537ED">
        <w:rPr>
          <w:lang w:eastAsia="x-none"/>
        </w:rPr>
        <w:tab/>
        <w:t>InterDigital, Inc.</w:t>
      </w:r>
    </w:p>
    <w:p w14:paraId="69767A7A" w14:textId="6FAFDFE5" w:rsidR="00F74A6F" w:rsidRPr="009537ED" w:rsidRDefault="005A18DC" w:rsidP="00F74A6F">
      <w:pPr>
        <w:rPr>
          <w:lang w:eastAsia="x-none"/>
        </w:rPr>
      </w:pPr>
      <w:hyperlink r:id="rId1115" w:history="1">
        <w:r w:rsidR="00AF7253">
          <w:rPr>
            <w:rStyle w:val="Hyperlink"/>
            <w:lang w:eastAsia="x-none"/>
          </w:rPr>
          <w:t>R1-2311683</w:t>
        </w:r>
      </w:hyperlink>
      <w:r w:rsidR="00F74A6F" w:rsidRPr="009537ED">
        <w:rPr>
          <w:lang w:eastAsia="x-none"/>
        </w:rPr>
        <w:tab/>
        <w:t>Remaining Issues On Measurements and reporting for SL positioning</w:t>
      </w:r>
      <w:r w:rsidR="00F74A6F" w:rsidRPr="009537ED">
        <w:rPr>
          <w:lang w:eastAsia="x-none"/>
        </w:rPr>
        <w:tab/>
        <w:t>Apple</w:t>
      </w:r>
    </w:p>
    <w:p w14:paraId="01458E2A" w14:textId="788009EB" w:rsidR="00F74A6F" w:rsidRPr="009537ED" w:rsidRDefault="005A18DC" w:rsidP="00F74A6F">
      <w:pPr>
        <w:rPr>
          <w:lang w:eastAsia="x-none"/>
        </w:rPr>
      </w:pPr>
      <w:hyperlink r:id="rId1116" w:history="1">
        <w:r w:rsidR="00AF7253">
          <w:rPr>
            <w:rStyle w:val="Hyperlink"/>
            <w:lang w:eastAsia="x-none"/>
          </w:rPr>
          <w:t>R1-2311842</w:t>
        </w:r>
      </w:hyperlink>
      <w:r w:rsidR="00F74A6F" w:rsidRPr="009537ED">
        <w:rPr>
          <w:lang w:eastAsia="x-none"/>
        </w:rPr>
        <w:tab/>
        <w:t>Maintenance on Measurements and Reporting for SL Positioning</w:t>
      </w:r>
      <w:r w:rsidR="00F74A6F" w:rsidRPr="009537ED">
        <w:rPr>
          <w:lang w:eastAsia="x-none"/>
        </w:rPr>
        <w:tab/>
        <w:t>Samsung</w:t>
      </w:r>
    </w:p>
    <w:p w14:paraId="646B8DB0" w14:textId="495728AB" w:rsidR="00F74A6F" w:rsidRPr="009537ED" w:rsidRDefault="005A18DC" w:rsidP="00F74A6F">
      <w:pPr>
        <w:rPr>
          <w:lang w:eastAsia="x-none"/>
        </w:rPr>
      </w:pPr>
      <w:hyperlink r:id="rId1117" w:history="1">
        <w:r w:rsidR="00AF7253">
          <w:rPr>
            <w:rStyle w:val="Hyperlink"/>
            <w:lang w:eastAsia="x-none"/>
          </w:rPr>
          <w:t>R1-2311949</w:t>
        </w:r>
      </w:hyperlink>
      <w:r w:rsidR="00F74A6F" w:rsidRPr="009537ED">
        <w:rPr>
          <w:lang w:eastAsia="x-none"/>
        </w:rPr>
        <w:tab/>
        <w:t>SL Pos. Measurement and Reporting Maintenance</w:t>
      </w:r>
      <w:r w:rsidR="00F74A6F" w:rsidRPr="009537ED">
        <w:rPr>
          <w:lang w:eastAsia="x-none"/>
        </w:rPr>
        <w:tab/>
        <w:t>Lenovo</w:t>
      </w:r>
    </w:p>
    <w:p w14:paraId="0D278E21" w14:textId="75C7BBFB" w:rsidR="00F74A6F" w:rsidRPr="009537ED" w:rsidRDefault="005A18DC" w:rsidP="00F74A6F">
      <w:pPr>
        <w:rPr>
          <w:lang w:eastAsia="x-none"/>
        </w:rPr>
      </w:pPr>
      <w:hyperlink r:id="rId1118" w:history="1">
        <w:r w:rsidR="00AF7253">
          <w:rPr>
            <w:rStyle w:val="Hyperlink"/>
            <w:lang w:eastAsia="x-none"/>
          </w:rPr>
          <w:t>R1-2312034</w:t>
        </w:r>
      </w:hyperlink>
      <w:r w:rsidR="00F74A6F" w:rsidRPr="009537ED">
        <w:rPr>
          <w:lang w:eastAsia="x-none"/>
        </w:rPr>
        <w:tab/>
        <w:t>Measurements and Reporting for SL Positioning</w:t>
      </w:r>
      <w:r w:rsidR="00F74A6F" w:rsidRPr="009537ED">
        <w:rPr>
          <w:lang w:eastAsia="x-none"/>
        </w:rPr>
        <w:tab/>
        <w:t>Qualcomm Incorporated</w:t>
      </w:r>
    </w:p>
    <w:p w14:paraId="41844A3A" w14:textId="03A9E550" w:rsidR="00F74A6F" w:rsidRPr="009537ED" w:rsidRDefault="005A18DC" w:rsidP="00F74A6F">
      <w:pPr>
        <w:rPr>
          <w:lang w:eastAsia="x-none"/>
        </w:rPr>
      </w:pPr>
      <w:hyperlink r:id="rId1119" w:history="1">
        <w:r w:rsidR="00AF7253">
          <w:rPr>
            <w:rStyle w:val="Hyperlink"/>
            <w:lang w:eastAsia="x-none"/>
          </w:rPr>
          <w:t>R1-2312124</w:t>
        </w:r>
      </w:hyperlink>
      <w:r w:rsidR="00F74A6F" w:rsidRPr="009537ED">
        <w:rPr>
          <w:lang w:eastAsia="x-none"/>
        </w:rPr>
        <w:tab/>
        <w:t>Remaining issues on measurements and reporting for SL positioning</w:t>
      </w:r>
      <w:r w:rsidR="00F74A6F" w:rsidRPr="009537ED">
        <w:rPr>
          <w:lang w:eastAsia="x-none"/>
        </w:rPr>
        <w:tab/>
        <w:t>LG Electronics</w:t>
      </w:r>
    </w:p>
    <w:p w14:paraId="0B205C6E" w14:textId="7FD7CDAF" w:rsidR="00F74A6F" w:rsidRDefault="005A18DC" w:rsidP="00F74A6F">
      <w:pPr>
        <w:rPr>
          <w:lang w:eastAsia="x-none"/>
        </w:rPr>
      </w:pPr>
      <w:hyperlink r:id="rId1120" w:history="1">
        <w:r w:rsidR="00AF7253">
          <w:rPr>
            <w:rStyle w:val="Hyperlink"/>
            <w:lang w:eastAsia="x-none"/>
          </w:rPr>
          <w:t>R1-2312186</w:t>
        </w:r>
      </w:hyperlink>
      <w:r w:rsidR="00F74A6F" w:rsidRPr="009537ED">
        <w:rPr>
          <w:lang w:eastAsia="x-none"/>
        </w:rPr>
        <w:tab/>
        <w:t>Remaining issues on measurements and reporting for SL positioning</w:t>
      </w:r>
      <w:r w:rsidR="00F74A6F" w:rsidRPr="009537ED">
        <w:rPr>
          <w:lang w:eastAsia="x-none"/>
        </w:rPr>
        <w:tab/>
        <w:t>Ericsson</w:t>
      </w:r>
    </w:p>
    <w:p w14:paraId="666F7943" w14:textId="77777777" w:rsidR="005B12B1" w:rsidRDefault="005B12B1" w:rsidP="00F74A6F">
      <w:pPr>
        <w:rPr>
          <w:lang w:eastAsia="x-none"/>
        </w:rPr>
      </w:pPr>
    </w:p>
    <w:p w14:paraId="49D2ABB4" w14:textId="5FB3D0F4" w:rsidR="005B12B1" w:rsidRDefault="005A18DC" w:rsidP="005B12B1">
      <w:pPr>
        <w:rPr>
          <w:b/>
          <w:lang w:val="en-US" w:eastAsia="x-none"/>
        </w:rPr>
      </w:pPr>
      <w:hyperlink r:id="rId1121" w:history="1">
        <w:r w:rsidR="00AF7253">
          <w:rPr>
            <w:rStyle w:val="Hyperlink"/>
            <w:b/>
            <w:lang w:val="en-US" w:eastAsia="x-none"/>
          </w:rPr>
          <w:t>R1-2312416</w:t>
        </w:r>
      </w:hyperlink>
      <w:r w:rsidR="005B12B1" w:rsidRPr="005B12B1">
        <w:rPr>
          <w:b/>
          <w:lang w:val="en-US" w:eastAsia="x-none"/>
        </w:rPr>
        <w:tab/>
        <w:t>Summary #1 on Measurements and reporting for SL positioning</w:t>
      </w:r>
      <w:r w:rsidR="005B12B1" w:rsidRPr="005B12B1">
        <w:rPr>
          <w:b/>
          <w:lang w:val="en-US" w:eastAsia="x-none"/>
        </w:rPr>
        <w:tab/>
        <w:t>Moderator (vivo)</w:t>
      </w:r>
    </w:p>
    <w:p w14:paraId="0BCC4440" w14:textId="6A299890" w:rsidR="005B12B1" w:rsidRPr="005B12B1" w:rsidRDefault="005B12B1" w:rsidP="005B12B1">
      <w:pPr>
        <w:rPr>
          <w:bCs/>
          <w:lang w:val="en-US" w:eastAsia="x-none"/>
        </w:rPr>
      </w:pPr>
      <w:r w:rsidRPr="005B12B1">
        <w:rPr>
          <w:bCs/>
          <w:lang w:val="en-US" w:eastAsia="x-none"/>
        </w:rPr>
        <w:t>From Wednesday session</w:t>
      </w:r>
    </w:p>
    <w:p w14:paraId="59307254" w14:textId="77777777" w:rsidR="005B12B1" w:rsidRPr="005B12B1" w:rsidRDefault="005B12B1" w:rsidP="005B12B1">
      <w:pPr>
        <w:rPr>
          <w:lang w:val="en-US"/>
        </w:rPr>
      </w:pPr>
      <w:r w:rsidRPr="005B12B1">
        <w:rPr>
          <w:highlight w:val="green"/>
          <w:lang w:val="en-US"/>
        </w:rPr>
        <w:t>Agreement</w:t>
      </w:r>
    </w:p>
    <w:p w14:paraId="329EF5A1" w14:textId="77777777" w:rsidR="005B12B1" w:rsidRPr="005B12B1" w:rsidRDefault="005B12B1" w:rsidP="005B12B1">
      <w:pPr>
        <w:rPr>
          <w:rFonts w:eastAsia="Times New Roman"/>
          <w:bCs/>
          <w:iCs/>
          <w:szCs w:val="20"/>
          <w:lang w:eastAsia="zh-CN"/>
        </w:rPr>
      </w:pPr>
      <w:r w:rsidRPr="005B12B1">
        <w:rPr>
          <w:rFonts w:eastAsia="Times New Roman"/>
          <w:bCs/>
          <w:iCs/>
          <w:szCs w:val="20"/>
          <w:lang w:eastAsia="zh-CN"/>
        </w:rPr>
        <w:t>Regarding the time stamp information in measurement report, support the following:</w:t>
      </w:r>
    </w:p>
    <w:p w14:paraId="1741F7A9" w14:textId="77777777" w:rsidR="005B12B1" w:rsidRPr="005B12B1" w:rsidRDefault="005B12B1" w:rsidP="00A67145">
      <w:pPr>
        <w:pStyle w:val="ListParagraph"/>
        <w:numPr>
          <w:ilvl w:val="0"/>
          <w:numId w:val="162"/>
        </w:numPr>
        <w:spacing w:after="0"/>
        <w:ind w:left="714" w:hanging="357"/>
        <w:rPr>
          <w:rFonts w:eastAsia="Times New Roman"/>
          <w:bCs/>
          <w:iCs/>
          <w:lang w:eastAsia="zh-CN"/>
        </w:rPr>
      </w:pPr>
      <w:r w:rsidRPr="005B12B1">
        <w:rPr>
          <w:rFonts w:eastAsia="Times New Roman" w:hint="eastAsia"/>
          <w:bCs/>
          <w:iCs/>
          <w:lang w:eastAsia="zh-CN"/>
        </w:rPr>
        <w:t>F</w:t>
      </w:r>
      <w:r w:rsidRPr="005B12B1">
        <w:rPr>
          <w:rFonts w:eastAsia="Times New Roman"/>
          <w:bCs/>
          <w:iCs/>
          <w:lang w:eastAsia="zh-CN"/>
        </w:rPr>
        <w:t>or the timestamp of SFN and slot number</w:t>
      </w:r>
      <w:r w:rsidRPr="005B12B1">
        <w:rPr>
          <w:bCs/>
          <w:iCs/>
        </w:rPr>
        <w:t>,</w:t>
      </w:r>
      <w:r w:rsidRPr="005B12B1">
        <w:rPr>
          <w:rFonts w:eastAsia="Times New Roman"/>
          <w:bCs/>
          <w:iCs/>
          <w:lang w:eastAsia="zh-CN"/>
        </w:rPr>
        <w:t xml:space="preserve"> </w:t>
      </w:r>
      <w:r w:rsidRPr="005B12B1">
        <w:rPr>
          <w:rFonts w:eastAsia="DengXian"/>
          <w:bCs/>
          <w:iCs/>
          <w:szCs w:val="16"/>
          <w:lang w:val="en-US"/>
        </w:rPr>
        <w:t>at least one of nr-PhysCellID, nr-ARFCN, nr-CellGlobalID is included.</w:t>
      </w:r>
    </w:p>
    <w:p w14:paraId="58C6BD86" w14:textId="77777777" w:rsidR="005B12B1" w:rsidRPr="005B12B1" w:rsidRDefault="005B12B1" w:rsidP="00A67145">
      <w:pPr>
        <w:pStyle w:val="ListParagraph"/>
        <w:numPr>
          <w:ilvl w:val="0"/>
          <w:numId w:val="162"/>
        </w:numPr>
        <w:spacing w:after="0"/>
        <w:ind w:left="714" w:hanging="357"/>
        <w:rPr>
          <w:rFonts w:eastAsia="Times New Roman"/>
          <w:bCs/>
          <w:iCs/>
          <w:lang w:eastAsia="zh-CN"/>
        </w:rPr>
      </w:pPr>
      <w:r w:rsidRPr="005B12B1">
        <w:rPr>
          <w:rFonts w:eastAsia="Times New Roman"/>
          <w:bCs/>
          <w:iCs/>
          <w:lang w:eastAsia="zh-CN"/>
        </w:rPr>
        <w:lastRenderedPageBreak/>
        <w:t>For the timestamp of DFN and slot number, the synchronization reference source indication ‘GNSS or UE’ can be optionally included.</w:t>
      </w:r>
    </w:p>
    <w:p w14:paraId="5B61A12F" w14:textId="77777777" w:rsidR="005B12B1" w:rsidRPr="005B12B1" w:rsidRDefault="005B12B1" w:rsidP="005B12B1">
      <w:pPr>
        <w:rPr>
          <w:rFonts w:eastAsia="Times New Roman"/>
          <w:bCs/>
          <w:iCs/>
          <w:szCs w:val="20"/>
          <w:lang w:eastAsia="zh-CN"/>
        </w:rPr>
      </w:pPr>
      <w:r w:rsidRPr="005B12B1">
        <w:rPr>
          <w:rFonts w:eastAsia="Times New Roman"/>
          <w:bCs/>
          <w:iCs/>
          <w:lang w:eastAsia="zh-CN"/>
        </w:rPr>
        <w:t xml:space="preserve">Note: The number of SL-PRS symbols is not signalled in the SL positioning measurement report. </w:t>
      </w:r>
    </w:p>
    <w:p w14:paraId="4B716A4E" w14:textId="77777777" w:rsidR="005B12B1" w:rsidRPr="005B12B1" w:rsidRDefault="005B12B1" w:rsidP="005B12B1">
      <w:pPr>
        <w:rPr>
          <w:lang w:val="en-US"/>
        </w:rPr>
      </w:pPr>
    </w:p>
    <w:p w14:paraId="59081132" w14:textId="77777777" w:rsidR="005B12B1" w:rsidRPr="005B12B1" w:rsidRDefault="005B12B1" w:rsidP="005B12B1">
      <w:pPr>
        <w:rPr>
          <w:lang w:val="en-US"/>
        </w:rPr>
      </w:pPr>
      <w:r w:rsidRPr="005B12B1">
        <w:rPr>
          <w:highlight w:val="green"/>
          <w:lang w:val="en-US"/>
        </w:rPr>
        <w:t>Agreement</w:t>
      </w:r>
    </w:p>
    <w:p w14:paraId="2588835B" w14:textId="77777777" w:rsidR="005B12B1" w:rsidRPr="005B12B1" w:rsidRDefault="005B12B1" w:rsidP="005B12B1">
      <w:pPr>
        <w:rPr>
          <w:lang w:val="en-US"/>
        </w:rPr>
      </w:pPr>
      <w:r w:rsidRPr="005B12B1">
        <w:rPr>
          <w:rFonts w:hint="eastAsia"/>
          <w:lang w:val="en-US"/>
        </w:rPr>
        <w:t xml:space="preserve">Define the maximum number of additional paths for SL-RSTD, SL-RTOA and SL Rx </w:t>
      </w:r>
      <w:r w:rsidRPr="005B12B1">
        <w:rPr>
          <w:rFonts w:hint="eastAsia"/>
          <w:lang w:val="en-US"/>
        </w:rPr>
        <w:t>–</w:t>
      </w:r>
      <w:r w:rsidRPr="005B12B1">
        <w:rPr>
          <w:rFonts w:hint="eastAsia"/>
          <w:lang w:val="en-US"/>
        </w:rPr>
        <w:t xml:space="preserve"> Tx time difference to be equal to 8.</w:t>
      </w:r>
      <w:r w:rsidRPr="005B12B1">
        <w:rPr>
          <w:lang w:val="en-US"/>
        </w:rPr>
        <w:t xml:space="preserve"> T</w:t>
      </w:r>
      <w:r w:rsidRPr="005B12B1">
        <w:rPr>
          <w:rFonts w:hint="eastAsia"/>
          <w:lang w:val="en-US"/>
        </w:rPr>
        <w:t>he maximum number of additional paths for</w:t>
      </w:r>
      <w:r w:rsidRPr="005B12B1">
        <w:rPr>
          <w:lang w:val="en-US"/>
        </w:rPr>
        <w:t xml:space="preserve"> SL-AoA is equal to 2.</w:t>
      </w:r>
    </w:p>
    <w:p w14:paraId="01240BE2" w14:textId="77777777" w:rsidR="005B12B1" w:rsidRPr="005B12B1" w:rsidRDefault="005B12B1" w:rsidP="005B12B1">
      <w:pPr>
        <w:rPr>
          <w:lang w:val="en-US"/>
        </w:rPr>
      </w:pPr>
    </w:p>
    <w:p w14:paraId="7C0A9B37" w14:textId="77777777" w:rsidR="005B12B1" w:rsidRPr="005B12B1" w:rsidRDefault="005B12B1" w:rsidP="005B12B1">
      <w:pPr>
        <w:rPr>
          <w:lang w:val="en-US"/>
        </w:rPr>
      </w:pPr>
      <w:r w:rsidRPr="005B12B1">
        <w:rPr>
          <w:highlight w:val="green"/>
          <w:lang w:val="en-US"/>
        </w:rPr>
        <w:t>Agreement</w:t>
      </w:r>
    </w:p>
    <w:p w14:paraId="3DF17834" w14:textId="77777777" w:rsidR="005B12B1" w:rsidRPr="005B12B1" w:rsidRDefault="005B12B1" w:rsidP="005B12B1">
      <w:pPr>
        <w:rPr>
          <w:szCs w:val="20"/>
          <w:lang w:eastAsia="zh-CN"/>
        </w:rPr>
      </w:pPr>
      <w:r w:rsidRPr="005B12B1">
        <w:rPr>
          <w:szCs w:val="20"/>
          <w:lang w:eastAsia="zh-CN"/>
        </w:rPr>
        <w:t>Update previous agreement on synchronization information exchange with the following modification:</w:t>
      </w:r>
    </w:p>
    <w:tbl>
      <w:tblPr>
        <w:tblW w:w="0" w:type="auto"/>
        <w:tblInd w:w="378" w:type="dxa"/>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8682"/>
      </w:tblGrid>
      <w:tr w:rsidR="005B12B1" w:rsidRPr="005B12B1" w14:paraId="0A4FDFE4" w14:textId="77777777" w:rsidTr="00DE645D">
        <w:tc>
          <w:tcPr>
            <w:tcW w:w="8682" w:type="dxa"/>
            <w:shd w:val="clear" w:color="auto" w:fill="auto"/>
          </w:tcPr>
          <w:p w14:paraId="739D3A08" w14:textId="77777777" w:rsidR="005B12B1" w:rsidRPr="005B12B1" w:rsidRDefault="005B12B1" w:rsidP="005B12B1">
            <w:pPr>
              <w:rPr>
                <w:rFonts w:ascii="Arial" w:hAnsi="Arial" w:cs="Arial"/>
                <w:sz w:val="16"/>
                <w:szCs w:val="16"/>
              </w:rPr>
            </w:pPr>
            <w:r w:rsidRPr="005B12B1">
              <w:rPr>
                <w:rFonts w:ascii="Arial" w:hAnsi="Arial" w:cs="Arial"/>
                <w:sz w:val="16"/>
                <w:szCs w:val="16"/>
              </w:rPr>
              <w:t>To mitigate the impact of synchronization errors between anchor UEs for SL-PRS based measurement, the exchanged synchronization information of anchor UEs between a UE and LMF or another UE includes the following:</w:t>
            </w:r>
          </w:p>
          <w:p w14:paraId="71C82842" w14:textId="77777777" w:rsidR="005B12B1" w:rsidRPr="005B12B1" w:rsidRDefault="005B12B1" w:rsidP="00A67145">
            <w:pPr>
              <w:numPr>
                <w:ilvl w:val="0"/>
                <w:numId w:val="161"/>
              </w:numPr>
              <w:overflowPunct w:val="0"/>
              <w:autoSpaceDE w:val="0"/>
              <w:autoSpaceDN w:val="0"/>
              <w:adjustRightInd w:val="0"/>
              <w:contextualSpacing/>
              <w:textAlignment w:val="baseline"/>
              <w:rPr>
                <w:rFonts w:ascii="Arial" w:eastAsia="Times New Roman" w:hAnsi="Arial" w:cs="Arial"/>
                <w:sz w:val="16"/>
                <w:szCs w:val="16"/>
                <w:lang w:eastAsia="zh-CN"/>
              </w:rPr>
            </w:pPr>
            <w:r w:rsidRPr="005B12B1">
              <w:rPr>
                <w:rFonts w:ascii="Arial" w:eastAsia="Times New Roman" w:hAnsi="Arial" w:cs="Arial"/>
                <w:sz w:val="16"/>
                <w:szCs w:val="16"/>
                <w:lang w:eastAsia="zh-CN"/>
              </w:rPr>
              <w:t xml:space="preserve">The synchronization source type (GNSS, gNB/eNB, and UE) of anchor UEs, </w:t>
            </w:r>
          </w:p>
          <w:p w14:paraId="26BD66C9" w14:textId="77777777" w:rsidR="005B12B1" w:rsidRPr="005B12B1" w:rsidRDefault="005B12B1" w:rsidP="00A67145">
            <w:pPr>
              <w:numPr>
                <w:ilvl w:val="1"/>
                <w:numId w:val="161"/>
              </w:numPr>
              <w:overflowPunct w:val="0"/>
              <w:autoSpaceDE w:val="0"/>
              <w:autoSpaceDN w:val="0"/>
              <w:adjustRightInd w:val="0"/>
              <w:contextualSpacing/>
              <w:textAlignment w:val="baseline"/>
              <w:rPr>
                <w:rFonts w:ascii="Arial" w:eastAsia="Times New Roman" w:hAnsi="Arial" w:cs="Arial"/>
                <w:strike/>
                <w:color w:val="FF0000"/>
                <w:sz w:val="16"/>
                <w:szCs w:val="16"/>
                <w:lang w:eastAsia="zh-CN"/>
              </w:rPr>
            </w:pPr>
            <w:r w:rsidRPr="005B12B1">
              <w:rPr>
                <w:rFonts w:ascii="Arial" w:eastAsia="Times New Roman" w:hAnsi="Arial" w:cs="Arial"/>
                <w:strike/>
                <w:color w:val="FF0000"/>
                <w:sz w:val="16"/>
                <w:szCs w:val="16"/>
                <w:lang w:eastAsia="zh-CN"/>
              </w:rPr>
              <w:t>[If the synchronization source of an anchor UE is SyncRef UE, the anchor UE can optionally indicate the coverage status and synchronization connection status (whether the SyncRef UE is directly or indirectly synchronized to GNSS/gNB, or other SyncRef UE) of the SyncRef UE]</w:t>
            </w:r>
          </w:p>
          <w:p w14:paraId="4B1CFBC5" w14:textId="77777777" w:rsidR="005B12B1" w:rsidRPr="005B12B1" w:rsidRDefault="005B12B1" w:rsidP="00A67145">
            <w:pPr>
              <w:numPr>
                <w:ilvl w:val="1"/>
                <w:numId w:val="161"/>
              </w:numPr>
              <w:overflowPunct w:val="0"/>
              <w:autoSpaceDE w:val="0"/>
              <w:autoSpaceDN w:val="0"/>
              <w:adjustRightInd w:val="0"/>
              <w:contextualSpacing/>
              <w:textAlignment w:val="baseline"/>
              <w:rPr>
                <w:rFonts w:ascii="Arial" w:eastAsia="Times New Roman" w:hAnsi="Arial" w:cs="Arial"/>
                <w:sz w:val="16"/>
                <w:szCs w:val="16"/>
                <w:lang w:eastAsia="zh-CN"/>
              </w:rPr>
            </w:pPr>
            <w:r w:rsidRPr="005B12B1">
              <w:rPr>
                <w:rFonts w:ascii="Arial" w:eastAsia="Times New Roman" w:hAnsi="Arial" w:cs="Arial"/>
                <w:color w:val="FF0000"/>
                <w:sz w:val="16"/>
                <w:szCs w:val="16"/>
                <w:lang w:eastAsia="zh-CN"/>
              </w:rPr>
              <w:t>If the synchronization source of an anchor UE is gNB/eNB, the anchor UE can further provide cell identity information</w:t>
            </w:r>
          </w:p>
          <w:p w14:paraId="31F38ABC" w14:textId="77777777" w:rsidR="005B12B1" w:rsidRPr="005B12B1" w:rsidRDefault="005B12B1" w:rsidP="00A67145">
            <w:pPr>
              <w:numPr>
                <w:ilvl w:val="0"/>
                <w:numId w:val="161"/>
              </w:numPr>
              <w:overflowPunct w:val="0"/>
              <w:autoSpaceDE w:val="0"/>
              <w:autoSpaceDN w:val="0"/>
              <w:adjustRightInd w:val="0"/>
              <w:contextualSpacing/>
              <w:textAlignment w:val="baseline"/>
              <w:rPr>
                <w:rFonts w:ascii="Arial" w:eastAsia="Times New Roman" w:hAnsi="Arial" w:cs="Arial"/>
                <w:strike/>
                <w:color w:val="FF0000"/>
                <w:sz w:val="16"/>
                <w:szCs w:val="16"/>
                <w:lang w:eastAsia="zh-CN"/>
              </w:rPr>
            </w:pPr>
            <w:r w:rsidRPr="005B12B1">
              <w:rPr>
                <w:rFonts w:ascii="Arial" w:eastAsia="Times New Roman" w:hAnsi="Arial" w:cs="Arial"/>
                <w:strike/>
                <w:color w:val="FF0000"/>
                <w:sz w:val="16"/>
                <w:szCs w:val="16"/>
                <w:lang w:eastAsia="zh-CN"/>
              </w:rPr>
              <w:t>[Synchronization quality/accuracy information]</w:t>
            </w:r>
          </w:p>
          <w:p w14:paraId="671E23CA" w14:textId="77777777" w:rsidR="005B12B1" w:rsidRPr="005B12B1" w:rsidRDefault="005B12B1" w:rsidP="00A67145">
            <w:pPr>
              <w:numPr>
                <w:ilvl w:val="0"/>
                <w:numId w:val="161"/>
              </w:numPr>
              <w:overflowPunct w:val="0"/>
              <w:autoSpaceDE w:val="0"/>
              <w:autoSpaceDN w:val="0"/>
              <w:adjustRightInd w:val="0"/>
              <w:contextualSpacing/>
              <w:textAlignment w:val="baseline"/>
              <w:rPr>
                <w:rFonts w:ascii="Arial" w:eastAsia="Times New Roman" w:hAnsi="Arial" w:cs="Arial"/>
                <w:sz w:val="16"/>
                <w:szCs w:val="16"/>
                <w:lang w:eastAsia="zh-CN"/>
              </w:rPr>
            </w:pPr>
            <w:r w:rsidRPr="005B12B1">
              <w:rPr>
                <w:rFonts w:ascii="Arial" w:eastAsia="Times New Roman" w:hAnsi="Arial" w:cs="Arial"/>
                <w:sz w:val="16"/>
                <w:szCs w:val="16"/>
                <w:lang w:eastAsia="zh-CN"/>
              </w:rPr>
              <w:t>The RTD between anchor UEs</w:t>
            </w:r>
          </w:p>
        </w:tc>
      </w:tr>
    </w:tbl>
    <w:p w14:paraId="354CE9B2" w14:textId="77777777" w:rsidR="005B12B1" w:rsidRPr="005B12B1" w:rsidRDefault="005B12B1" w:rsidP="005B12B1">
      <w:pPr>
        <w:rPr>
          <w:lang w:val="en-US" w:eastAsia="x-none"/>
        </w:rPr>
      </w:pPr>
    </w:p>
    <w:p w14:paraId="6EA16230" w14:textId="77777777" w:rsidR="005B12B1" w:rsidRPr="005B12B1" w:rsidRDefault="005B12B1" w:rsidP="005B12B1">
      <w:pPr>
        <w:rPr>
          <w:lang w:val="en-US"/>
        </w:rPr>
      </w:pPr>
      <w:r w:rsidRPr="005B12B1">
        <w:rPr>
          <w:highlight w:val="green"/>
          <w:lang w:val="en-US"/>
        </w:rPr>
        <w:t>Agreement</w:t>
      </w:r>
    </w:p>
    <w:p w14:paraId="4040CFD6" w14:textId="77777777" w:rsidR="005B12B1" w:rsidRPr="005B12B1" w:rsidRDefault="005B12B1" w:rsidP="005B12B1">
      <w:r w:rsidRPr="005B12B1">
        <w:t xml:space="preserve">The TP below is endorsed for TS38.214 clause </w:t>
      </w:r>
      <w:r w:rsidRPr="005B12B1">
        <w:rPr>
          <w:szCs w:val="20"/>
        </w:rPr>
        <w:t>8.4.4</w:t>
      </w:r>
      <w:r w:rsidRPr="005B12B1">
        <w:t>.</w:t>
      </w:r>
    </w:p>
    <w:tbl>
      <w:tblPr>
        <w:tblW w:w="5000" w:type="pct"/>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763"/>
        <w:gridCol w:w="8920"/>
      </w:tblGrid>
      <w:tr w:rsidR="005B12B1" w:rsidRPr="005B12B1" w14:paraId="4424F874" w14:textId="77777777" w:rsidTr="005B12B1">
        <w:tc>
          <w:tcPr>
            <w:tcW w:w="825" w:type="pct"/>
            <w:shd w:val="clear" w:color="auto" w:fill="auto"/>
          </w:tcPr>
          <w:p w14:paraId="61D28E63" w14:textId="77777777" w:rsidR="005B12B1" w:rsidRPr="005B12B1" w:rsidRDefault="005B12B1" w:rsidP="005B12B1">
            <w:pPr>
              <w:jc w:val="both"/>
              <w:rPr>
                <w:rFonts w:ascii="Arial" w:eastAsia="SimSun" w:hAnsi="Arial" w:cs="Arial"/>
                <w:sz w:val="16"/>
                <w:szCs w:val="16"/>
                <w:lang w:val="en-US" w:eastAsia="zh-CN"/>
              </w:rPr>
            </w:pPr>
            <w:r w:rsidRPr="005B12B1">
              <w:rPr>
                <w:rFonts w:ascii="Arial" w:eastAsia="SimSun" w:hAnsi="Arial" w:cs="Arial"/>
                <w:sz w:val="16"/>
                <w:szCs w:val="16"/>
                <w:lang w:val="en-US" w:eastAsia="zh-CN"/>
              </w:rPr>
              <w:t>Reason for change</w:t>
            </w:r>
          </w:p>
        </w:tc>
        <w:tc>
          <w:tcPr>
            <w:tcW w:w="4175" w:type="pct"/>
            <w:shd w:val="clear" w:color="auto" w:fill="auto"/>
          </w:tcPr>
          <w:p w14:paraId="65AD4B0C" w14:textId="77777777" w:rsidR="005B12B1" w:rsidRPr="005B12B1" w:rsidRDefault="005B12B1" w:rsidP="005B12B1">
            <w:pPr>
              <w:snapToGrid w:val="0"/>
              <w:rPr>
                <w:rFonts w:ascii="Arial" w:eastAsia="DengXian" w:hAnsi="Arial" w:cs="Arial"/>
                <w:sz w:val="16"/>
                <w:szCs w:val="16"/>
                <w:lang w:val="en-US"/>
              </w:rPr>
            </w:pPr>
            <w:r w:rsidRPr="005B12B1">
              <w:rPr>
                <w:rFonts w:ascii="Arial" w:hAnsi="Arial" w:cs="Arial"/>
                <w:iCs/>
                <w:sz w:val="16"/>
                <w:szCs w:val="16"/>
              </w:rPr>
              <w:t>In current spec, UE may provide the ARP location information in assistance data for the ARP ID reported in the measurement report. However, those two reporting should be decoupled, for example, a UE can provide ARP location information in assistance data but do not report any ARP ID in measurement report.</w:t>
            </w:r>
          </w:p>
        </w:tc>
      </w:tr>
      <w:tr w:rsidR="005B12B1" w:rsidRPr="005B12B1" w14:paraId="4A03282B" w14:textId="77777777" w:rsidTr="005B12B1">
        <w:tc>
          <w:tcPr>
            <w:tcW w:w="825" w:type="pct"/>
            <w:shd w:val="clear" w:color="auto" w:fill="auto"/>
          </w:tcPr>
          <w:p w14:paraId="595C65F6" w14:textId="77777777" w:rsidR="005B12B1" w:rsidRPr="005B12B1" w:rsidRDefault="005B12B1" w:rsidP="005B12B1">
            <w:pPr>
              <w:jc w:val="both"/>
              <w:rPr>
                <w:rFonts w:ascii="Arial" w:eastAsia="SimSun" w:hAnsi="Arial" w:cs="Arial"/>
                <w:sz w:val="16"/>
                <w:szCs w:val="16"/>
                <w:lang w:val="en-US" w:eastAsia="zh-CN"/>
              </w:rPr>
            </w:pPr>
            <w:r w:rsidRPr="005B12B1">
              <w:rPr>
                <w:rFonts w:ascii="Arial" w:eastAsia="SimSun" w:hAnsi="Arial" w:cs="Arial"/>
                <w:sz w:val="16"/>
                <w:szCs w:val="16"/>
                <w:lang w:val="en-US" w:eastAsia="zh-CN"/>
              </w:rPr>
              <w:t>Summary of change</w:t>
            </w:r>
          </w:p>
        </w:tc>
        <w:tc>
          <w:tcPr>
            <w:tcW w:w="4175" w:type="pct"/>
            <w:shd w:val="clear" w:color="auto" w:fill="auto"/>
          </w:tcPr>
          <w:p w14:paraId="48C076D1" w14:textId="77777777" w:rsidR="005B12B1" w:rsidRPr="005B12B1" w:rsidRDefault="005B12B1" w:rsidP="005B12B1">
            <w:pPr>
              <w:jc w:val="both"/>
              <w:rPr>
                <w:rFonts w:ascii="Arial" w:eastAsia="SimSun" w:hAnsi="Arial" w:cs="Arial"/>
                <w:sz w:val="16"/>
                <w:szCs w:val="16"/>
                <w:lang w:val="en-US" w:eastAsia="zh-CN"/>
              </w:rPr>
            </w:pPr>
            <w:r w:rsidRPr="005B12B1">
              <w:rPr>
                <w:rFonts w:ascii="Arial" w:eastAsia="SimSun" w:hAnsi="Arial" w:cs="Arial"/>
                <w:sz w:val="16"/>
                <w:szCs w:val="16"/>
                <w:lang w:val="en-US" w:eastAsia="zh-CN"/>
              </w:rPr>
              <w:t xml:space="preserve">Section 8.4.4 in TS 38.214: </w:t>
            </w:r>
          </w:p>
          <w:p w14:paraId="1A9B11B6" w14:textId="77777777" w:rsidR="005B12B1" w:rsidRPr="005B12B1" w:rsidRDefault="005B12B1" w:rsidP="005B12B1">
            <w:pPr>
              <w:jc w:val="both"/>
              <w:rPr>
                <w:rFonts w:ascii="Arial" w:eastAsia="SimSun" w:hAnsi="Arial" w:cs="Arial"/>
                <w:sz w:val="16"/>
                <w:szCs w:val="16"/>
                <w:lang w:val="en-US" w:eastAsia="zh-CN"/>
              </w:rPr>
            </w:pPr>
            <w:r w:rsidRPr="005B12B1">
              <w:rPr>
                <w:rFonts w:ascii="Arial" w:eastAsia="SimSun" w:hAnsi="Arial" w:cs="Arial"/>
                <w:sz w:val="16"/>
                <w:szCs w:val="16"/>
                <w:lang w:val="en-US" w:eastAsia="zh-CN"/>
              </w:rPr>
              <w:t>Decouple ARP ID report in measurement report and ARP location information provision in assistance data</w:t>
            </w:r>
          </w:p>
        </w:tc>
      </w:tr>
      <w:tr w:rsidR="005B12B1" w:rsidRPr="005B12B1" w14:paraId="72EE50F9" w14:textId="77777777" w:rsidTr="005B12B1">
        <w:tc>
          <w:tcPr>
            <w:tcW w:w="825" w:type="pct"/>
            <w:shd w:val="clear" w:color="auto" w:fill="auto"/>
          </w:tcPr>
          <w:p w14:paraId="7628C42C" w14:textId="77777777" w:rsidR="005B12B1" w:rsidRPr="005B12B1" w:rsidRDefault="005B12B1" w:rsidP="005B12B1">
            <w:pPr>
              <w:jc w:val="both"/>
              <w:rPr>
                <w:rFonts w:ascii="Arial" w:eastAsia="SimSun" w:hAnsi="Arial" w:cs="Arial"/>
                <w:sz w:val="16"/>
                <w:szCs w:val="16"/>
                <w:lang w:val="en-US" w:eastAsia="zh-CN"/>
              </w:rPr>
            </w:pPr>
            <w:r w:rsidRPr="005B12B1">
              <w:rPr>
                <w:rFonts w:ascii="Arial" w:eastAsia="SimSun" w:hAnsi="Arial" w:cs="Arial"/>
                <w:sz w:val="16"/>
                <w:szCs w:val="16"/>
                <w:lang w:val="en-US" w:eastAsia="zh-CN"/>
              </w:rPr>
              <w:t>Consequences if not approved</w:t>
            </w:r>
          </w:p>
        </w:tc>
        <w:tc>
          <w:tcPr>
            <w:tcW w:w="4175" w:type="pct"/>
            <w:shd w:val="clear" w:color="auto" w:fill="auto"/>
          </w:tcPr>
          <w:p w14:paraId="14FAC1ED" w14:textId="77777777" w:rsidR="005B12B1" w:rsidRPr="005B12B1" w:rsidRDefault="005B12B1" w:rsidP="005B12B1">
            <w:pPr>
              <w:jc w:val="both"/>
              <w:rPr>
                <w:rFonts w:ascii="Arial" w:eastAsia="SimSun" w:hAnsi="Arial" w:cs="Arial"/>
                <w:sz w:val="16"/>
                <w:szCs w:val="16"/>
                <w:lang w:val="en-US" w:eastAsia="zh-CN"/>
              </w:rPr>
            </w:pPr>
            <w:r w:rsidRPr="005B12B1">
              <w:rPr>
                <w:rFonts w:ascii="Arial" w:eastAsia="SimSun" w:hAnsi="Arial" w:cs="Arial"/>
                <w:sz w:val="16"/>
                <w:szCs w:val="16"/>
                <w:lang w:val="en-US" w:eastAsia="zh-CN"/>
              </w:rPr>
              <w:t>unnecessary association between the provision of ARP location information in assistance data and the reporting of ARP ID in measurement report.</w:t>
            </w:r>
          </w:p>
        </w:tc>
      </w:tr>
      <w:tr w:rsidR="005B12B1" w:rsidRPr="005B12B1" w14:paraId="1B32F1C8" w14:textId="77777777" w:rsidTr="005B12B1">
        <w:tc>
          <w:tcPr>
            <w:tcW w:w="825" w:type="pct"/>
            <w:shd w:val="clear" w:color="auto" w:fill="auto"/>
          </w:tcPr>
          <w:p w14:paraId="3BA56348" w14:textId="77777777" w:rsidR="005B12B1" w:rsidRPr="005B12B1" w:rsidRDefault="005B12B1" w:rsidP="005B12B1">
            <w:pPr>
              <w:jc w:val="both"/>
              <w:rPr>
                <w:rFonts w:ascii="Arial" w:eastAsia="SimSun" w:hAnsi="Arial" w:cs="Arial"/>
                <w:sz w:val="16"/>
                <w:szCs w:val="16"/>
                <w:lang w:val="en-US" w:eastAsia="zh-CN"/>
              </w:rPr>
            </w:pPr>
            <w:r w:rsidRPr="005B12B1">
              <w:rPr>
                <w:rFonts w:ascii="Arial" w:eastAsia="SimSun" w:hAnsi="Arial" w:cs="Arial"/>
                <w:sz w:val="16"/>
                <w:szCs w:val="16"/>
                <w:lang w:val="en-US" w:eastAsia="zh-CN"/>
              </w:rPr>
              <w:t>Text proposal</w:t>
            </w:r>
          </w:p>
        </w:tc>
        <w:tc>
          <w:tcPr>
            <w:tcW w:w="4175" w:type="pct"/>
            <w:shd w:val="clear" w:color="auto" w:fill="auto"/>
          </w:tcPr>
          <w:p w14:paraId="52DEA0B0" w14:textId="0BADC68C" w:rsidR="005B12B1" w:rsidRPr="007E1765" w:rsidRDefault="005B12B1" w:rsidP="007E1765">
            <w:pPr>
              <w:rPr>
                <w:rFonts w:ascii="Arial" w:hAnsi="Arial" w:cs="Arial"/>
                <w:b/>
                <w:bCs/>
                <w:sz w:val="16"/>
                <w:szCs w:val="16"/>
              </w:rPr>
            </w:pPr>
            <w:r w:rsidRPr="007E1765">
              <w:rPr>
                <w:rFonts w:ascii="Arial" w:hAnsi="Arial" w:cs="Arial"/>
                <w:b/>
                <w:bCs/>
                <w:sz w:val="16"/>
                <w:szCs w:val="16"/>
              </w:rPr>
              <w:t>8.4.4</w:t>
            </w:r>
            <w:r w:rsidRPr="007E1765">
              <w:rPr>
                <w:rFonts w:ascii="Arial" w:hAnsi="Arial" w:cs="Arial"/>
                <w:b/>
                <w:bCs/>
                <w:sz w:val="16"/>
                <w:szCs w:val="16"/>
              </w:rPr>
              <w:tab/>
              <w:t>SL PRS reception procedure</w:t>
            </w:r>
          </w:p>
          <w:p w14:paraId="41C7707B" w14:textId="77777777" w:rsidR="005B12B1" w:rsidRPr="005B12B1" w:rsidRDefault="005B12B1" w:rsidP="005B12B1">
            <w:pPr>
              <w:spacing w:line="280" w:lineRule="exact"/>
              <w:rPr>
                <w:rFonts w:ascii="Arial" w:eastAsia="Times New Roman" w:hAnsi="Arial" w:cs="Arial"/>
                <w:bCs/>
                <w:color w:val="FF0000"/>
                <w:sz w:val="16"/>
                <w:szCs w:val="16"/>
                <w:lang w:eastAsia="zh-CN"/>
              </w:rPr>
            </w:pPr>
            <w:r w:rsidRPr="005B12B1">
              <w:rPr>
                <w:rFonts w:ascii="Arial" w:eastAsia="DengXian" w:hAnsi="Arial" w:cs="Arial"/>
                <w:bCs/>
                <w:color w:val="000000"/>
                <w:sz w:val="16"/>
                <w:szCs w:val="16"/>
              </w:rPr>
              <w:t>The UE may be configured, via [</w:t>
            </w:r>
            <w:r w:rsidRPr="005B12B1">
              <w:rPr>
                <w:rFonts w:ascii="Arial" w:eastAsia="DengXian" w:hAnsi="Arial" w:cs="Arial"/>
                <w:bCs/>
                <w:i/>
                <w:iCs/>
                <w:color w:val="000000"/>
                <w:sz w:val="16"/>
                <w:szCs w:val="16"/>
              </w:rPr>
              <w:t>higher layer parameter(s)</w:t>
            </w:r>
            <w:r w:rsidRPr="005B12B1">
              <w:rPr>
                <w:rFonts w:ascii="Arial" w:eastAsia="DengXian" w:hAnsi="Arial" w:cs="Arial"/>
                <w:bCs/>
                <w:color w:val="000000"/>
                <w:sz w:val="16"/>
                <w:szCs w:val="16"/>
              </w:rPr>
              <w:t xml:space="preserve">], to measure and report one or more of the SL RSTD, SL Rx-Tx time difference, SL RTOA, SL AoA, SL PRS-RSRP, and SL PRS-RSRPP measurements, for the first detected path and/or additional detected paths. The UE may report an ARP ID associated with the reported measurements. The UE may provide the ARP location information </w:t>
            </w:r>
            <w:del w:id="423" w:author="ZTE-Mengzhen" w:date="2023-10-26T18:49:00Z">
              <w:r w:rsidRPr="005B12B1">
                <w:rPr>
                  <w:rFonts w:ascii="Arial" w:eastAsia="DengXian" w:hAnsi="Arial" w:cs="Arial"/>
                  <w:bCs/>
                  <w:color w:val="000000"/>
                  <w:sz w:val="16"/>
                  <w:szCs w:val="16"/>
                </w:rPr>
                <w:delText xml:space="preserve">of the ARP ID </w:delText>
              </w:r>
            </w:del>
            <w:r w:rsidRPr="005B12B1">
              <w:rPr>
                <w:rFonts w:ascii="Arial" w:eastAsia="DengXian" w:hAnsi="Arial" w:cs="Arial"/>
                <w:bCs/>
                <w:color w:val="000000"/>
                <w:sz w:val="16"/>
                <w:szCs w:val="16"/>
              </w:rPr>
              <w:t>via [</w:t>
            </w:r>
            <w:r w:rsidRPr="005B12B1">
              <w:rPr>
                <w:rFonts w:ascii="Arial" w:eastAsia="DengXian" w:hAnsi="Arial" w:cs="Arial"/>
                <w:bCs/>
                <w:i/>
                <w:iCs/>
                <w:color w:val="000000"/>
                <w:sz w:val="16"/>
                <w:szCs w:val="16"/>
              </w:rPr>
              <w:t>higher layer parameter(s)</w:t>
            </w:r>
            <w:r w:rsidRPr="005B12B1">
              <w:rPr>
                <w:rFonts w:ascii="Arial" w:eastAsia="DengXian" w:hAnsi="Arial" w:cs="Arial"/>
                <w:bCs/>
                <w:color w:val="000000"/>
                <w:sz w:val="16"/>
                <w:szCs w:val="16"/>
              </w:rPr>
              <w:t>].</w:t>
            </w:r>
          </w:p>
        </w:tc>
      </w:tr>
    </w:tbl>
    <w:p w14:paraId="0C7249FF" w14:textId="77777777" w:rsidR="005B12B1" w:rsidRPr="005B12B1" w:rsidRDefault="005B12B1" w:rsidP="005B12B1">
      <w:pPr>
        <w:rPr>
          <w:lang w:val="en-US" w:eastAsia="zh-CN"/>
        </w:rPr>
      </w:pPr>
    </w:p>
    <w:p w14:paraId="178D61EE" w14:textId="77777777" w:rsidR="005B12B1" w:rsidRPr="005B12B1" w:rsidRDefault="005B12B1" w:rsidP="005B12B1">
      <w:pPr>
        <w:rPr>
          <w:lang w:val="en-US"/>
        </w:rPr>
      </w:pPr>
      <w:r w:rsidRPr="005B12B1">
        <w:rPr>
          <w:highlight w:val="green"/>
          <w:lang w:val="en-US"/>
        </w:rPr>
        <w:t>Agreement</w:t>
      </w:r>
    </w:p>
    <w:p w14:paraId="25F293F8" w14:textId="77777777" w:rsidR="005B12B1" w:rsidRPr="005B12B1" w:rsidRDefault="005B12B1" w:rsidP="005B12B1">
      <w:pPr>
        <w:rPr>
          <w:rFonts w:eastAsia="DengXian"/>
          <w:bCs/>
          <w:sz w:val="22"/>
          <w:lang w:val="en-US" w:eastAsia="zh-CN"/>
        </w:rPr>
      </w:pPr>
      <w:r w:rsidRPr="005B12B1">
        <w:t xml:space="preserve">The TP below is endorsed for TS38.214 clause </w:t>
      </w:r>
      <w:r w:rsidRPr="005B12B1">
        <w:rPr>
          <w:szCs w:val="20"/>
        </w:rPr>
        <w:t>8.4.4</w:t>
      </w:r>
      <w:r w:rsidRPr="005B12B1">
        <w:t>.</w:t>
      </w:r>
    </w:p>
    <w:tbl>
      <w:tblPr>
        <w:tblW w:w="5000" w:type="pct"/>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763"/>
        <w:gridCol w:w="8920"/>
      </w:tblGrid>
      <w:tr w:rsidR="005B12B1" w:rsidRPr="005B12B1" w14:paraId="254D1F65" w14:textId="77777777" w:rsidTr="005B12B1">
        <w:tc>
          <w:tcPr>
            <w:tcW w:w="825" w:type="pct"/>
            <w:shd w:val="clear" w:color="auto" w:fill="auto"/>
          </w:tcPr>
          <w:p w14:paraId="662366E2" w14:textId="77777777" w:rsidR="005B12B1" w:rsidRPr="005B12B1" w:rsidRDefault="005B12B1" w:rsidP="005B12B1">
            <w:pPr>
              <w:jc w:val="both"/>
              <w:rPr>
                <w:rFonts w:ascii="Arial" w:eastAsia="SimSun" w:hAnsi="Arial" w:cs="Arial"/>
                <w:sz w:val="16"/>
                <w:szCs w:val="16"/>
                <w:lang w:val="en-US" w:eastAsia="zh-CN"/>
              </w:rPr>
            </w:pPr>
            <w:r w:rsidRPr="005B12B1">
              <w:rPr>
                <w:rFonts w:ascii="Arial" w:eastAsia="SimSun" w:hAnsi="Arial" w:cs="Arial"/>
                <w:sz w:val="16"/>
                <w:szCs w:val="16"/>
                <w:lang w:val="en-US" w:eastAsia="zh-CN"/>
              </w:rPr>
              <w:t>Reason for change</w:t>
            </w:r>
          </w:p>
        </w:tc>
        <w:tc>
          <w:tcPr>
            <w:tcW w:w="4175" w:type="pct"/>
            <w:shd w:val="clear" w:color="auto" w:fill="auto"/>
          </w:tcPr>
          <w:p w14:paraId="772EEB7A" w14:textId="77777777" w:rsidR="005B12B1" w:rsidRPr="005B12B1" w:rsidRDefault="005B12B1" w:rsidP="00A67145">
            <w:pPr>
              <w:widowControl w:val="0"/>
              <w:numPr>
                <w:ilvl w:val="1"/>
                <w:numId w:val="224"/>
              </w:numPr>
              <w:spacing w:line="260" w:lineRule="exact"/>
              <w:jc w:val="both"/>
              <w:rPr>
                <w:rFonts w:ascii="Arial" w:eastAsia="Times New Roman" w:hAnsi="Arial" w:cs="Arial"/>
                <w:sz w:val="16"/>
                <w:szCs w:val="16"/>
                <w:lang w:eastAsia="zh-CN"/>
              </w:rPr>
            </w:pPr>
            <w:r w:rsidRPr="005B12B1">
              <w:rPr>
                <w:rFonts w:ascii="Arial" w:hAnsi="Arial" w:cs="Arial"/>
                <w:iCs/>
                <w:sz w:val="16"/>
                <w:szCs w:val="16"/>
                <w:lang w:eastAsia="x-none"/>
              </w:rPr>
              <w:t>Based on current agreements, the exchanged synchronization information of anchor UEs between a UE and LMF or another UE includes: (1)</w:t>
            </w:r>
            <w:r w:rsidRPr="005B12B1">
              <w:rPr>
                <w:rFonts w:ascii="Arial" w:hAnsi="Arial" w:cs="Arial"/>
                <w:bCs/>
                <w:iCs/>
                <w:sz w:val="16"/>
                <w:szCs w:val="16"/>
                <w:lang w:eastAsia="x-none"/>
              </w:rPr>
              <w:t xml:space="preserve"> synchronization source type; (2) RTD between anchor UEs. The description in 38.214 is redundant.</w:t>
            </w:r>
          </w:p>
          <w:p w14:paraId="5E0C9F6E" w14:textId="77777777" w:rsidR="005B12B1" w:rsidRPr="005B12B1" w:rsidRDefault="005B12B1" w:rsidP="00A67145">
            <w:pPr>
              <w:widowControl w:val="0"/>
              <w:numPr>
                <w:ilvl w:val="1"/>
                <w:numId w:val="224"/>
              </w:numPr>
              <w:spacing w:line="260" w:lineRule="exact"/>
              <w:jc w:val="both"/>
              <w:rPr>
                <w:rFonts w:ascii="Arial" w:eastAsia="Times New Roman" w:hAnsi="Arial" w:cs="Arial"/>
                <w:sz w:val="16"/>
                <w:szCs w:val="16"/>
                <w:lang w:eastAsia="zh-CN"/>
              </w:rPr>
            </w:pPr>
            <w:r w:rsidRPr="005B12B1">
              <w:rPr>
                <w:rFonts w:ascii="Arial" w:eastAsia="Times New Roman" w:hAnsi="Arial" w:cs="Arial"/>
                <w:sz w:val="16"/>
                <w:szCs w:val="16"/>
                <w:lang w:eastAsia="zh-CN"/>
              </w:rPr>
              <w:t xml:space="preserve">Based on the description in TS38.214, it seems that UE may report </w:t>
            </w:r>
            <w:r w:rsidRPr="005B12B1">
              <w:rPr>
                <w:rFonts w:ascii="Arial" w:hAnsi="Arial" w:cs="Arial"/>
                <w:sz w:val="16"/>
                <w:szCs w:val="16"/>
                <w:lang w:eastAsia="x-none"/>
              </w:rPr>
              <w:t xml:space="preserve">synchronization source type and/or RTD via the same higher layer parameter, however, </w:t>
            </w:r>
            <w:r w:rsidRPr="005B12B1">
              <w:rPr>
                <w:rFonts w:ascii="Arial" w:eastAsia="Times New Roman" w:hAnsi="Arial" w:cs="Arial"/>
                <w:sz w:val="16"/>
                <w:szCs w:val="16"/>
                <w:lang w:eastAsia="zh-CN"/>
              </w:rPr>
              <w:t>they should be associated with different higher layer parameters.</w:t>
            </w:r>
          </w:p>
        </w:tc>
      </w:tr>
      <w:tr w:rsidR="005B12B1" w:rsidRPr="005B12B1" w14:paraId="4F6F76A2" w14:textId="77777777" w:rsidTr="005B12B1">
        <w:tc>
          <w:tcPr>
            <w:tcW w:w="825" w:type="pct"/>
            <w:shd w:val="clear" w:color="auto" w:fill="auto"/>
          </w:tcPr>
          <w:p w14:paraId="1ABA36C4" w14:textId="77777777" w:rsidR="005B12B1" w:rsidRPr="005B12B1" w:rsidRDefault="005B12B1" w:rsidP="005B12B1">
            <w:pPr>
              <w:jc w:val="both"/>
              <w:rPr>
                <w:rFonts w:ascii="Arial" w:eastAsia="SimSun" w:hAnsi="Arial" w:cs="Arial"/>
                <w:sz w:val="16"/>
                <w:szCs w:val="16"/>
                <w:lang w:val="en-US" w:eastAsia="zh-CN"/>
              </w:rPr>
            </w:pPr>
            <w:r w:rsidRPr="005B12B1">
              <w:rPr>
                <w:rFonts w:ascii="Arial" w:eastAsia="SimSun" w:hAnsi="Arial" w:cs="Arial"/>
                <w:sz w:val="16"/>
                <w:szCs w:val="16"/>
                <w:lang w:val="en-US" w:eastAsia="zh-CN"/>
              </w:rPr>
              <w:t>Summary of change</w:t>
            </w:r>
          </w:p>
        </w:tc>
        <w:tc>
          <w:tcPr>
            <w:tcW w:w="4175" w:type="pct"/>
            <w:shd w:val="clear" w:color="auto" w:fill="auto"/>
          </w:tcPr>
          <w:p w14:paraId="74D3C535" w14:textId="77777777" w:rsidR="005B12B1" w:rsidRPr="005B12B1" w:rsidRDefault="005B12B1" w:rsidP="005B12B1">
            <w:pPr>
              <w:jc w:val="both"/>
              <w:rPr>
                <w:rFonts w:ascii="Arial" w:eastAsia="SimSun" w:hAnsi="Arial" w:cs="Arial"/>
                <w:sz w:val="16"/>
                <w:szCs w:val="16"/>
                <w:lang w:val="en-US" w:eastAsia="zh-CN"/>
              </w:rPr>
            </w:pPr>
            <w:r w:rsidRPr="005B12B1">
              <w:rPr>
                <w:rFonts w:ascii="Arial" w:eastAsia="SimSun" w:hAnsi="Arial" w:cs="Arial"/>
                <w:sz w:val="16"/>
                <w:szCs w:val="16"/>
                <w:lang w:val="en-US" w:eastAsia="zh-CN"/>
              </w:rPr>
              <w:t xml:space="preserve">Section 8.4.4 in TS 38.214: </w:t>
            </w:r>
          </w:p>
          <w:p w14:paraId="7B417172" w14:textId="77777777" w:rsidR="005B12B1" w:rsidRPr="005B12B1" w:rsidRDefault="005B12B1" w:rsidP="00A67145">
            <w:pPr>
              <w:numPr>
                <w:ilvl w:val="1"/>
                <w:numId w:val="225"/>
              </w:numPr>
              <w:jc w:val="both"/>
              <w:rPr>
                <w:rFonts w:ascii="Arial" w:eastAsia="SimSun" w:hAnsi="Arial" w:cs="Arial"/>
                <w:sz w:val="16"/>
                <w:szCs w:val="16"/>
                <w:lang w:val="en-US" w:eastAsia="zh-CN"/>
              </w:rPr>
            </w:pPr>
            <w:r w:rsidRPr="005B12B1">
              <w:rPr>
                <w:rFonts w:ascii="Arial" w:eastAsia="SimSun" w:hAnsi="Arial" w:cs="Arial"/>
                <w:sz w:val="16"/>
                <w:szCs w:val="16"/>
                <w:lang w:val="en-US" w:eastAsia="zh-CN"/>
              </w:rPr>
              <w:t>Change “The UE may report synchronization information synchronization source type and/or…” to “The UE may report synchronization source type and/or…”</w:t>
            </w:r>
          </w:p>
          <w:p w14:paraId="18AA1189" w14:textId="77777777" w:rsidR="005B12B1" w:rsidRPr="005B12B1" w:rsidRDefault="005B12B1" w:rsidP="00A67145">
            <w:pPr>
              <w:numPr>
                <w:ilvl w:val="1"/>
                <w:numId w:val="225"/>
              </w:numPr>
              <w:jc w:val="both"/>
              <w:rPr>
                <w:rFonts w:ascii="Arial" w:eastAsia="SimSun" w:hAnsi="Arial" w:cs="Arial"/>
                <w:sz w:val="16"/>
                <w:szCs w:val="16"/>
                <w:lang w:val="en-US" w:eastAsia="zh-CN"/>
              </w:rPr>
            </w:pPr>
            <w:r w:rsidRPr="005B12B1">
              <w:rPr>
                <w:rFonts w:ascii="Arial" w:eastAsia="SimSun" w:hAnsi="Arial" w:cs="Arial"/>
                <w:sz w:val="16"/>
                <w:szCs w:val="16"/>
                <w:lang w:val="en-US" w:eastAsia="zh-CN"/>
              </w:rPr>
              <w:t>Add separate higher layer parameter for ‘synchronization source type’.</w:t>
            </w:r>
          </w:p>
        </w:tc>
      </w:tr>
      <w:tr w:rsidR="005B12B1" w:rsidRPr="005B12B1" w14:paraId="553B60FB" w14:textId="77777777" w:rsidTr="005B12B1">
        <w:tc>
          <w:tcPr>
            <w:tcW w:w="825" w:type="pct"/>
            <w:shd w:val="clear" w:color="auto" w:fill="auto"/>
          </w:tcPr>
          <w:p w14:paraId="0226F1BB" w14:textId="77777777" w:rsidR="005B12B1" w:rsidRPr="005B12B1" w:rsidRDefault="005B12B1" w:rsidP="005B12B1">
            <w:pPr>
              <w:jc w:val="both"/>
              <w:rPr>
                <w:rFonts w:ascii="Arial" w:eastAsia="SimSun" w:hAnsi="Arial" w:cs="Arial"/>
                <w:sz w:val="16"/>
                <w:szCs w:val="16"/>
                <w:lang w:val="en-US" w:eastAsia="zh-CN"/>
              </w:rPr>
            </w:pPr>
            <w:r w:rsidRPr="005B12B1">
              <w:rPr>
                <w:rFonts w:ascii="Arial" w:eastAsia="SimSun" w:hAnsi="Arial" w:cs="Arial"/>
                <w:sz w:val="16"/>
                <w:szCs w:val="16"/>
                <w:lang w:val="en-US" w:eastAsia="zh-CN"/>
              </w:rPr>
              <w:t>Consequences if not approved</w:t>
            </w:r>
          </w:p>
        </w:tc>
        <w:tc>
          <w:tcPr>
            <w:tcW w:w="4175" w:type="pct"/>
            <w:shd w:val="clear" w:color="auto" w:fill="auto"/>
          </w:tcPr>
          <w:p w14:paraId="2B145459" w14:textId="77777777" w:rsidR="005B12B1" w:rsidRPr="005B12B1" w:rsidRDefault="005B12B1" w:rsidP="00A67145">
            <w:pPr>
              <w:numPr>
                <w:ilvl w:val="1"/>
                <w:numId w:val="226"/>
              </w:numPr>
              <w:jc w:val="both"/>
              <w:rPr>
                <w:rFonts w:ascii="Arial" w:eastAsia="SimSun" w:hAnsi="Arial" w:cs="Arial"/>
                <w:sz w:val="16"/>
                <w:szCs w:val="16"/>
                <w:lang w:val="en-US" w:eastAsia="zh-CN"/>
              </w:rPr>
            </w:pPr>
            <w:r w:rsidRPr="005B12B1">
              <w:rPr>
                <w:rFonts w:ascii="Arial" w:eastAsia="SimSun" w:hAnsi="Arial" w:cs="Arial"/>
                <w:sz w:val="16"/>
                <w:szCs w:val="16"/>
                <w:lang w:val="en-US" w:eastAsia="zh-CN"/>
              </w:rPr>
              <w:t>Redundant specification.</w:t>
            </w:r>
          </w:p>
          <w:p w14:paraId="45F4A3C4" w14:textId="77777777" w:rsidR="005B12B1" w:rsidRPr="005B12B1" w:rsidRDefault="005B12B1" w:rsidP="00A67145">
            <w:pPr>
              <w:numPr>
                <w:ilvl w:val="1"/>
                <w:numId w:val="226"/>
              </w:numPr>
              <w:jc w:val="both"/>
              <w:rPr>
                <w:rFonts w:ascii="Arial" w:eastAsia="SimSun" w:hAnsi="Arial" w:cs="Arial"/>
                <w:sz w:val="16"/>
                <w:szCs w:val="16"/>
                <w:lang w:val="en-US" w:eastAsia="zh-CN"/>
              </w:rPr>
            </w:pPr>
            <w:r w:rsidRPr="005B12B1">
              <w:rPr>
                <w:rFonts w:ascii="Arial" w:eastAsia="SimSun" w:hAnsi="Arial" w:cs="Arial"/>
                <w:sz w:val="16"/>
                <w:szCs w:val="16"/>
                <w:lang w:val="en-US" w:eastAsia="zh-CN"/>
              </w:rPr>
              <w:t>Incorrect higher layer parameter association for synchronization source type and RTD.</w:t>
            </w:r>
          </w:p>
        </w:tc>
      </w:tr>
      <w:tr w:rsidR="005B12B1" w:rsidRPr="005B12B1" w14:paraId="05DA3AFF" w14:textId="77777777" w:rsidTr="005B12B1">
        <w:tc>
          <w:tcPr>
            <w:tcW w:w="825" w:type="pct"/>
            <w:shd w:val="clear" w:color="auto" w:fill="auto"/>
          </w:tcPr>
          <w:p w14:paraId="620461A9" w14:textId="77777777" w:rsidR="005B12B1" w:rsidRPr="005B12B1" w:rsidRDefault="005B12B1" w:rsidP="005B12B1">
            <w:pPr>
              <w:jc w:val="both"/>
              <w:rPr>
                <w:rFonts w:ascii="Arial" w:eastAsia="SimSun" w:hAnsi="Arial" w:cs="Arial"/>
                <w:sz w:val="16"/>
                <w:szCs w:val="16"/>
                <w:lang w:val="en-US" w:eastAsia="zh-CN"/>
              </w:rPr>
            </w:pPr>
            <w:r w:rsidRPr="005B12B1">
              <w:rPr>
                <w:rFonts w:ascii="Arial" w:eastAsia="SimSun" w:hAnsi="Arial" w:cs="Arial"/>
                <w:sz w:val="16"/>
                <w:szCs w:val="16"/>
                <w:lang w:val="en-US" w:eastAsia="zh-CN"/>
              </w:rPr>
              <w:t>Text proposal</w:t>
            </w:r>
          </w:p>
        </w:tc>
        <w:tc>
          <w:tcPr>
            <w:tcW w:w="4175" w:type="pct"/>
            <w:shd w:val="clear" w:color="auto" w:fill="auto"/>
          </w:tcPr>
          <w:p w14:paraId="5D23807C" w14:textId="77777777" w:rsidR="005B12B1" w:rsidRPr="005B12B1" w:rsidRDefault="005B12B1" w:rsidP="005B12B1">
            <w:pPr>
              <w:spacing w:line="280" w:lineRule="exact"/>
              <w:jc w:val="center"/>
              <w:rPr>
                <w:rFonts w:ascii="Arial" w:hAnsi="Arial" w:cs="Arial"/>
                <w:b/>
                <w:bCs/>
                <w:color w:val="FF0000"/>
                <w:sz w:val="16"/>
                <w:szCs w:val="16"/>
                <w:lang w:eastAsia="zh-CN"/>
              </w:rPr>
            </w:pPr>
            <w:r w:rsidRPr="005B12B1">
              <w:rPr>
                <w:rFonts w:ascii="Arial" w:hAnsi="Arial" w:cs="Arial"/>
                <w:b/>
                <w:bCs/>
                <w:color w:val="FF0000"/>
                <w:sz w:val="16"/>
                <w:szCs w:val="16"/>
                <w:lang w:eastAsia="zh-CN"/>
              </w:rPr>
              <w:t>&lt; Unchanged text omitted &gt;</w:t>
            </w:r>
          </w:p>
          <w:p w14:paraId="36050B0F" w14:textId="77777777" w:rsidR="005B12B1" w:rsidRPr="005B12B1" w:rsidRDefault="005B12B1" w:rsidP="005B12B1">
            <w:pPr>
              <w:spacing w:line="280" w:lineRule="exact"/>
              <w:jc w:val="both"/>
              <w:rPr>
                <w:rFonts w:ascii="Arial" w:hAnsi="Arial" w:cs="Arial"/>
                <w:sz w:val="16"/>
                <w:szCs w:val="16"/>
                <w:lang w:val="en-US"/>
              </w:rPr>
            </w:pPr>
            <w:r w:rsidRPr="005B12B1">
              <w:rPr>
                <w:rFonts w:ascii="Arial" w:hAnsi="Arial" w:cs="Arial"/>
                <w:sz w:val="16"/>
                <w:szCs w:val="16"/>
              </w:rPr>
              <w:t xml:space="preserve">The UE may report </w:t>
            </w:r>
            <w:del w:id="424" w:author="Peng Sun(vivo)" w:date="2023-11-14T16:59:00Z">
              <w:r w:rsidRPr="005B12B1" w:rsidDel="007231E8">
                <w:rPr>
                  <w:rFonts w:ascii="Arial" w:hAnsi="Arial" w:cs="Arial"/>
                  <w:sz w:val="16"/>
                  <w:szCs w:val="16"/>
                </w:rPr>
                <w:delText xml:space="preserve">synchronization information </w:delText>
              </w:r>
            </w:del>
            <w:r w:rsidRPr="005B12B1">
              <w:rPr>
                <w:rFonts w:ascii="Arial" w:hAnsi="Arial" w:cs="Arial"/>
                <w:sz w:val="16"/>
                <w:szCs w:val="16"/>
              </w:rPr>
              <w:t xml:space="preserve">synchronization source type </w:t>
            </w:r>
            <w:r w:rsidRPr="005B12B1">
              <w:rPr>
                <w:rFonts w:ascii="Arial" w:hAnsi="Arial" w:cs="Arial"/>
                <w:color w:val="FF0000"/>
                <w:sz w:val="16"/>
                <w:szCs w:val="16"/>
                <w:u w:val="single"/>
              </w:rPr>
              <w:t>via [</w:t>
            </w:r>
            <w:r w:rsidRPr="005B12B1">
              <w:rPr>
                <w:rFonts w:ascii="Arial" w:hAnsi="Arial" w:cs="Arial"/>
                <w:i/>
                <w:iCs/>
                <w:color w:val="FF0000"/>
                <w:sz w:val="16"/>
                <w:szCs w:val="16"/>
                <w:u w:val="single"/>
              </w:rPr>
              <w:t>higher layer parameter(s)</w:t>
            </w:r>
            <w:r w:rsidRPr="005B12B1">
              <w:rPr>
                <w:rFonts w:ascii="Arial" w:hAnsi="Arial" w:cs="Arial"/>
                <w:color w:val="FF0000"/>
                <w:sz w:val="16"/>
                <w:szCs w:val="16"/>
                <w:u w:val="single"/>
              </w:rPr>
              <w:t>]</w:t>
            </w:r>
            <w:r w:rsidRPr="005B12B1">
              <w:rPr>
                <w:rFonts w:ascii="Arial" w:hAnsi="Arial" w:cs="Arial"/>
                <w:sz w:val="16"/>
                <w:szCs w:val="16"/>
              </w:rPr>
              <w:t xml:space="preserve"> and/or relative time difference with the associated quality metric</w:t>
            </w:r>
            <w:r w:rsidRPr="005B12B1">
              <w:rPr>
                <w:rFonts w:ascii="Arial" w:hAnsi="Arial" w:cs="Arial"/>
                <w:strike/>
                <w:color w:val="FF0000"/>
                <w:sz w:val="16"/>
                <w:szCs w:val="16"/>
              </w:rPr>
              <w:t>,</w:t>
            </w:r>
            <w:r w:rsidRPr="005B12B1">
              <w:rPr>
                <w:rFonts w:ascii="Arial" w:hAnsi="Arial" w:cs="Arial"/>
                <w:sz w:val="16"/>
                <w:szCs w:val="16"/>
              </w:rPr>
              <w:t xml:space="preserve"> via [</w:t>
            </w:r>
            <w:r w:rsidRPr="005B12B1">
              <w:rPr>
                <w:rFonts w:ascii="Arial" w:hAnsi="Arial" w:cs="Arial"/>
                <w:i/>
                <w:iCs/>
                <w:sz w:val="16"/>
                <w:szCs w:val="16"/>
              </w:rPr>
              <w:t>higher layer parameter(s)</w:t>
            </w:r>
            <w:r w:rsidRPr="005B12B1">
              <w:rPr>
                <w:rFonts w:ascii="Arial" w:hAnsi="Arial" w:cs="Arial"/>
                <w:sz w:val="16"/>
                <w:szCs w:val="16"/>
              </w:rPr>
              <w:t>]. For the SL RSTD measurement, the UE may report a reference UE information.</w:t>
            </w:r>
          </w:p>
          <w:p w14:paraId="7A861B82" w14:textId="77777777" w:rsidR="005B12B1" w:rsidRPr="005B12B1" w:rsidRDefault="005B12B1" w:rsidP="005B12B1">
            <w:pPr>
              <w:spacing w:line="280" w:lineRule="exact"/>
              <w:jc w:val="center"/>
              <w:rPr>
                <w:rFonts w:ascii="Arial" w:eastAsia="Times New Roman" w:hAnsi="Arial" w:cs="Arial"/>
                <w:b/>
                <w:bCs/>
                <w:color w:val="FF0000"/>
                <w:sz w:val="16"/>
                <w:szCs w:val="16"/>
                <w:lang w:eastAsia="zh-CN"/>
              </w:rPr>
            </w:pPr>
            <w:r w:rsidRPr="005B12B1">
              <w:rPr>
                <w:rFonts w:ascii="Arial" w:hAnsi="Arial" w:cs="Arial"/>
                <w:b/>
                <w:bCs/>
                <w:color w:val="FF0000"/>
                <w:sz w:val="16"/>
                <w:szCs w:val="16"/>
                <w:lang w:eastAsia="zh-CN"/>
              </w:rPr>
              <w:t>&lt; Unchanged text omitted &gt;</w:t>
            </w:r>
          </w:p>
        </w:tc>
      </w:tr>
    </w:tbl>
    <w:p w14:paraId="0897DDA4" w14:textId="77777777" w:rsidR="005B12B1" w:rsidRPr="005B12B1" w:rsidRDefault="005B12B1" w:rsidP="005B12B1">
      <w:pPr>
        <w:rPr>
          <w:lang w:val="en-US"/>
        </w:rPr>
      </w:pPr>
    </w:p>
    <w:p w14:paraId="451E7FDF" w14:textId="77777777" w:rsidR="005B12B1" w:rsidRPr="005B12B1" w:rsidRDefault="005B12B1" w:rsidP="005B12B1">
      <w:pPr>
        <w:rPr>
          <w:lang w:val="en-US"/>
        </w:rPr>
      </w:pPr>
      <w:r w:rsidRPr="005B12B1">
        <w:rPr>
          <w:highlight w:val="green"/>
          <w:lang w:val="en-US"/>
        </w:rPr>
        <w:t>Agreement</w:t>
      </w:r>
    </w:p>
    <w:p w14:paraId="3E1C56B1" w14:textId="77777777" w:rsidR="005B12B1" w:rsidRPr="005B12B1" w:rsidRDefault="005B12B1" w:rsidP="005B12B1">
      <w:pPr>
        <w:rPr>
          <w:rFonts w:eastAsia="DengXian"/>
          <w:bCs/>
          <w:sz w:val="21"/>
          <w:lang w:val="en-US" w:eastAsia="zh-CN"/>
        </w:rPr>
      </w:pPr>
      <w:r w:rsidRPr="005B12B1">
        <w:t xml:space="preserve">The TP below is endorsed for TS38.214 clause </w:t>
      </w:r>
      <w:r w:rsidRPr="005B12B1">
        <w:rPr>
          <w:szCs w:val="20"/>
        </w:rPr>
        <w:t>8.2.4</w:t>
      </w:r>
      <w:r w:rsidRPr="005B12B1">
        <w:t>.</w:t>
      </w:r>
    </w:p>
    <w:tbl>
      <w:tblPr>
        <w:tblW w:w="5000" w:type="pct"/>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812"/>
        <w:gridCol w:w="8871"/>
      </w:tblGrid>
      <w:tr w:rsidR="005B12B1" w:rsidRPr="005B12B1" w14:paraId="2DAD262D" w14:textId="77777777" w:rsidTr="005B12B1">
        <w:tc>
          <w:tcPr>
            <w:tcW w:w="848" w:type="pct"/>
            <w:shd w:val="clear" w:color="auto" w:fill="auto"/>
          </w:tcPr>
          <w:p w14:paraId="6036A57B" w14:textId="77777777" w:rsidR="005B12B1" w:rsidRPr="005B12B1" w:rsidRDefault="005B12B1" w:rsidP="005B12B1">
            <w:pPr>
              <w:jc w:val="both"/>
              <w:rPr>
                <w:rFonts w:ascii="Arial" w:eastAsia="SimSun" w:hAnsi="Arial" w:cs="Arial"/>
                <w:sz w:val="16"/>
                <w:szCs w:val="16"/>
                <w:lang w:val="en-US" w:eastAsia="zh-CN"/>
              </w:rPr>
            </w:pPr>
            <w:r w:rsidRPr="005B12B1">
              <w:rPr>
                <w:rFonts w:ascii="Arial" w:eastAsia="SimSun" w:hAnsi="Arial" w:cs="Arial"/>
                <w:sz w:val="16"/>
                <w:szCs w:val="16"/>
                <w:lang w:val="en-US" w:eastAsia="zh-CN"/>
              </w:rPr>
              <w:t>Reason for change</w:t>
            </w:r>
          </w:p>
        </w:tc>
        <w:tc>
          <w:tcPr>
            <w:tcW w:w="4152" w:type="pct"/>
            <w:shd w:val="clear" w:color="auto" w:fill="auto"/>
          </w:tcPr>
          <w:p w14:paraId="2B775014" w14:textId="3A26A3A5" w:rsidR="005B12B1" w:rsidRPr="005B12B1" w:rsidRDefault="005B12B1" w:rsidP="005B12B1">
            <w:pPr>
              <w:jc w:val="both"/>
              <w:rPr>
                <w:rFonts w:ascii="Arial" w:eastAsia="Times New Roman" w:hAnsi="Arial" w:cs="Arial"/>
                <w:sz w:val="16"/>
                <w:szCs w:val="16"/>
                <w:lang w:val="en-US" w:eastAsia="zh-CN"/>
              </w:rPr>
            </w:pPr>
            <w:r w:rsidRPr="005B12B1">
              <w:rPr>
                <w:rFonts w:ascii="Arial" w:eastAsia="Times New Roman" w:hAnsi="Arial" w:cs="Arial"/>
                <w:sz w:val="16"/>
                <w:szCs w:val="16"/>
                <w:lang w:val="en-US" w:eastAsia="zh-CN"/>
              </w:rPr>
              <w:t>1. In TS 38.214 section 8.2.4, the bracket around ‘</w:t>
            </w:r>
            <w:r w:rsidRPr="005B12B1">
              <w:rPr>
                <w:rFonts w:ascii="Arial" w:eastAsia="SimSun" w:hAnsi="Arial" w:cs="Arial"/>
                <w:sz w:val="16"/>
                <w:szCs w:val="16"/>
                <w:lang w:val="en-US" w:eastAsia="zh-CN"/>
              </w:rPr>
              <w:t>SL PRSs of SL PRS resources</w:t>
            </w:r>
            <w:r w:rsidRPr="005B12B1">
              <w:rPr>
                <w:rFonts w:ascii="Arial" w:eastAsia="Times New Roman" w:hAnsi="Arial" w:cs="Arial"/>
                <w:sz w:val="16"/>
                <w:szCs w:val="16"/>
                <w:lang w:val="en-US" w:eastAsia="zh-CN"/>
              </w:rPr>
              <w:t xml:space="preserve">’ should be addressed. </w:t>
            </w:r>
          </w:p>
          <w:p w14:paraId="1B47D46D" w14:textId="77777777" w:rsidR="005B12B1" w:rsidRPr="005B12B1" w:rsidRDefault="005B12B1" w:rsidP="005B12B1">
            <w:pPr>
              <w:jc w:val="both"/>
              <w:rPr>
                <w:rFonts w:ascii="Arial" w:eastAsia="SimSun" w:hAnsi="Arial" w:cs="Arial"/>
                <w:sz w:val="16"/>
                <w:szCs w:val="16"/>
                <w:lang w:val="en-US" w:eastAsia="zh-CN"/>
              </w:rPr>
            </w:pPr>
            <w:r w:rsidRPr="005B12B1">
              <w:rPr>
                <w:rFonts w:ascii="Arial" w:eastAsia="Times New Roman" w:hAnsi="Arial" w:cs="Arial"/>
                <w:sz w:val="16"/>
                <w:szCs w:val="16"/>
                <w:lang w:val="en-US" w:eastAsia="zh-CN"/>
              </w:rPr>
              <w:t>2. It has been agreed that SL PRS resource ID is ‘optional’ for the association information between the already transmitted SL PRSs of SL PRS resources and UE Tx ARP ID. But the agreement is not correctly captured in the current RAN1 specification.</w:t>
            </w:r>
          </w:p>
        </w:tc>
      </w:tr>
      <w:tr w:rsidR="005B12B1" w:rsidRPr="005B12B1" w14:paraId="3B5F32D8" w14:textId="77777777" w:rsidTr="005B12B1">
        <w:tc>
          <w:tcPr>
            <w:tcW w:w="848" w:type="pct"/>
            <w:shd w:val="clear" w:color="auto" w:fill="auto"/>
          </w:tcPr>
          <w:p w14:paraId="669E583F" w14:textId="77777777" w:rsidR="005B12B1" w:rsidRPr="005B12B1" w:rsidRDefault="005B12B1" w:rsidP="005B12B1">
            <w:pPr>
              <w:jc w:val="both"/>
              <w:rPr>
                <w:rFonts w:ascii="Arial" w:eastAsia="SimSun" w:hAnsi="Arial" w:cs="Arial"/>
                <w:sz w:val="16"/>
                <w:szCs w:val="16"/>
                <w:lang w:val="en-US" w:eastAsia="zh-CN"/>
              </w:rPr>
            </w:pPr>
            <w:r w:rsidRPr="005B12B1">
              <w:rPr>
                <w:rFonts w:ascii="Arial" w:eastAsia="SimSun" w:hAnsi="Arial" w:cs="Arial"/>
                <w:sz w:val="16"/>
                <w:szCs w:val="16"/>
                <w:lang w:val="en-US" w:eastAsia="zh-CN"/>
              </w:rPr>
              <w:lastRenderedPageBreak/>
              <w:t>Summary of change</w:t>
            </w:r>
          </w:p>
        </w:tc>
        <w:tc>
          <w:tcPr>
            <w:tcW w:w="4152" w:type="pct"/>
            <w:shd w:val="clear" w:color="auto" w:fill="auto"/>
          </w:tcPr>
          <w:p w14:paraId="63AC6929" w14:textId="77777777" w:rsidR="005B12B1" w:rsidRPr="005B12B1" w:rsidRDefault="005B12B1" w:rsidP="005B12B1">
            <w:pPr>
              <w:jc w:val="both"/>
              <w:rPr>
                <w:rFonts w:ascii="Arial" w:eastAsia="SimSun" w:hAnsi="Arial" w:cs="Arial"/>
                <w:sz w:val="16"/>
                <w:szCs w:val="16"/>
                <w:lang w:val="en-US" w:eastAsia="zh-CN"/>
              </w:rPr>
            </w:pPr>
            <w:r w:rsidRPr="005B12B1">
              <w:rPr>
                <w:rFonts w:ascii="Arial" w:eastAsia="SimSun" w:hAnsi="Arial" w:cs="Arial"/>
                <w:sz w:val="16"/>
                <w:szCs w:val="16"/>
                <w:lang w:val="en-US" w:eastAsia="zh-CN"/>
              </w:rPr>
              <w:t xml:space="preserve">Section 8.2.4 in TS 38.214: </w:t>
            </w:r>
          </w:p>
          <w:p w14:paraId="684B48E5" w14:textId="7760B652" w:rsidR="005B12B1" w:rsidRPr="005B12B1" w:rsidRDefault="005B12B1" w:rsidP="005B12B1">
            <w:pPr>
              <w:jc w:val="both"/>
              <w:rPr>
                <w:rFonts w:ascii="Arial" w:eastAsia="Times New Roman" w:hAnsi="Arial" w:cs="Arial"/>
                <w:sz w:val="16"/>
                <w:szCs w:val="16"/>
                <w:lang w:val="en-US" w:eastAsia="zh-CN"/>
              </w:rPr>
            </w:pPr>
            <w:r w:rsidRPr="005B12B1">
              <w:rPr>
                <w:rFonts w:ascii="Arial" w:eastAsia="Times New Roman" w:hAnsi="Arial" w:cs="Arial"/>
                <w:sz w:val="16"/>
                <w:szCs w:val="16"/>
                <w:lang w:val="en-US" w:eastAsia="zh-CN"/>
              </w:rPr>
              <w:t>1. Remove brackets around ‘</w:t>
            </w:r>
            <w:r w:rsidRPr="005B12B1">
              <w:rPr>
                <w:rFonts w:ascii="Arial" w:eastAsia="SimSun" w:hAnsi="Arial" w:cs="Arial"/>
                <w:sz w:val="16"/>
                <w:szCs w:val="16"/>
                <w:lang w:val="en-US" w:eastAsia="zh-CN"/>
              </w:rPr>
              <w:t>SL PRSs of SL PRS resources</w:t>
            </w:r>
            <w:r w:rsidRPr="005B12B1">
              <w:rPr>
                <w:rFonts w:ascii="Arial" w:eastAsia="Times New Roman" w:hAnsi="Arial" w:cs="Arial"/>
                <w:sz w:val="16"/>
                <w:szCs w:val="16"/>
                <w:lang w:val="en-US" w:eastAsia="zh-CN"/>
              </w:rPr>
              <w:t>’.</w:t>
            </w:r>
          </w:p>
          <w:p w14:paraId="2B3874D3" w14:textId="77777777" w:rsidR="005B12B1" w:rsidRPr="005B12B1" w:rsidRDefault="005B12B1" w:rsidP="005B12B1">
            <w:pPr>
              <w:jc w:val="both"/>
              <w:rPr>
                <w:rFonts w:ascii="Arial" w:eastAsia="Times New Roman" w:hAnsi="Arial" w:cs="Arial"/>
                <w:sz w:val="16"/>
                <w:szCs w:val="16"/>
                <w:lang w:val="en-US" w:eastAsia="zh-CN"/>
              </w:rPr>
            </w:pPr>
            <w:r w:rsidRPr="005B12B1">
              <w:rPr>
                <w:rFonts w:ascii="Arial" w:eastAsia="Times New Roman" w:hAnsi="Arial" w:cs="Arial"/>
                <w:sz w:val="16"/>
                <w:szCs w:val="16"/>
                <w:lang w:val="en-US" w:eastAsia="zh-CN"/>
              </w:rPr>
              <w:t>2.</w:t>
            </w:r>
            <w:r w:rsidRPr="005B12B1">
              <w:rPr>
                <w:rFonts w:ascii="Arial" w:eastAsia="SimSun" w:hAnsi="Arial" w:cs="Arial"/>
                <w:b/>
                <w:sz w:val="16"/>
                <w:szCs w:val="16"/>
                <w:lang w:val="en-US" w:eastAsia="zh-CN"/>
              </w:rPr>
              <w:t xml:space="preserve"> </w:t>
            </w:r>
            <w:r w:rsidRPr="005B12B1">
              <w:rPr>
                <w:rFonts w:ascii="Arial" w:eastAsia="Times New Roman" w:hAnsi="Arial" w:cs="Arial"/>
                <w:sz w:val="16"/>
                <w:szCs w:val="16"/>
                <w:lang w:val="en-US" w:eastAsia="zh-CN"/>
              </w:rPr>
              <w:t>Capture ‘optional’ SL PRS resource ID included in the association information between the already transmitted SL PRS resource and UE Tx ARP ID.</w:t>
            </w:r>
          </w:p>
          <w:p w14:paraId="2FE69141" w14:textId="77777777" w:rsidR="005B12B1" w:rsidRPr="005B12B1" w:rsidRDefault="005B12B1" w:rsidP="005B12B1">
            <w:pPr>
              <w:jc w:val="both"/>
              <w:rPr>
                <w:rFonts w:ascii="Arial" w:eastAsia="SimSun" w:hAnsi="Arial" w:cs="Arial"/>
                <w:sz w:val="16"/>
                <w:szCs w:val="16"/>
                <w:lang w:val="en-US" w:eastAsia="zh-CN"/>
              </w:rPr>
            </w:pPr>
          </w:p>
        </w:tc>
      </w:tr>
      <w:tr w:rsidR="005B12B1" w:rsidRPr="005B12B1" w14:paraId="008029B1" w14:textId="77777777" w:rsidTr="005B12B1">
        <w:tc>
          <w:tcPr>
            <w:tcW w:w="848" w:type="pct"/>
            <w:shd w:val="clear" w:color="auto" w:fill="auto"/>
          </w:tcPr>
          <w:p w14:paraId="4E2E6634" w14:textId="77777777" w:rsidR="005B12B1" w:rsidRPr="005B12B1" w:rsidRDefault="005B12B1" w:rsidP="005B12B1">
            <w:pPr>
              <w:jc w:val="both"/>
              <w:rPr>
                <w:rFonts w:ascii="Arial" w:eastAsia="SimSun" w:hAnsi="Arial" w:cs="Arial"/>
                <w:sz w:val="16"/>
                <w:szCs w:val="16"/>
                <w:lang w:val="en-US" w:eastAsia="zh-CN"/>
              </w:rPr>
            </w:pPr>
            <w:r w:rsidRPr="005B12B1">
              <w:rPr>
                <w:rFonts w:ascii="Arial" w:eastAsia="SimSun" w:hAnsi="Arial" w:cs="Arial"/>
                <w:sz w:val="16"/>
                <w:szCs w:val="16"/>
                <w:lang w:val="en-US" w:eastAsia="zh-CN"/>
              </w:rPr>
              <w:t>Consequences if not approved</w:t>
            </w:r>
          </w:p>
        </w:tc>
        <w:tc>
          <w:tcPr>
            <w:tcW w:w="4152" w:type="pct"/>
            <w:shd w:val="clear" w:color="auto" w:fill="auto"/>
          </w:tcPr>
          <w:p w14:paraId="6513BBA5" w14:textId="77777777" w:rsidR="005B12B1" w:rsidRPr="005B12B1" w:rsidRDefault="005B12B1" w:rsidP="005B12B1">
            <w:pPr>
              <w:jc w:val="both"/>
              <w:rPr>
                <w:rFonts w:ascii="Arial" w:eastAsia="Times New Roman" w:hAnsi="Arial" w:cs="Arial"/>
                <w:sz w:val="16"/>
                <w:szCs w:val="16"/>
                <w:lang w:val="en-US" w:eastAsia="zh-CN"/>
              </w:rPr>
            </w:pPr>
            <w:r w:rsidRPr="005B12B1">
              <w:rPr>
                <w:rFonts w:ascii="Arial" w:eastAsia="Times New Roman" w:hAnsi="Arial" w:cs="Arial"/>
                <w:sz w:val="16"/>
                <w:szCs w:val="16"/>
                <w:lang w:val="en-US" w:eastAsia="zh-CN"/>
              </w:rPr>
              <w:t>1. Unclear specification for [</w:t>
            </w:r>
            <w:r w:rsidRPr="005B12B1">
              <w:rPr>
                <w:rFonts w:ascii="Arial" w:eastAsia="SimSun" w:hAnsi="Arial" w:cs="Arial"/>
                <w:sz w:val="16"/>
                <w:szCs w:val="16"/>
                <w:lang w:val="en-US" w:eastAsia="zh-CN"/>
              </w:rPr>
              <w:t>SL PRSs of SL PRS resources</w:t>
            </w:r>
            <w:r w:rsidRPr="005B12B1">
              <w:rPr>
                <w:rFonts w:ascii="Arial" w:eastAsia="Times New Roman" w:hAnsi="Arial" w:cs="Arial"/>
                <w:sz w:val="16"/>
                <w:szCs w:val="16"/>
                <w:lang w:val="en-US" w:eastAsia="zh-CN"/>
              </w:rPr>
              <w:t>] in TS38.214.</w:t>
            </w:r>
          </w:p>
          <w:p w14:paraId="41129237" w14:textId="77777777" w:rsidR="005B12B1" w:rsidRPr="005B12B1" w:rsidRDefault="005B12B1" w:rsidP="005B12B1">
            <w:pPr>
              <w:jc w:val="both"/>
              <w:rPr>
                <w:rFonts w:ascii="Arial" w:eastAsia="SimSun" w:hAnsi="Arial" w:cs="Arial"/>
                <w:sz w:val="16"/>
                <w:szCs w:val="16"/>
                <w:lang w:val="en-US" w:eastAsia="zh-CN"/>
              </w:rPr>
            </w:pPr>
            <w:r w:rsidRPr="005B12B1">
              <w:rPr>
                <w:rFonts w:ascii="Arial" w:eastAsia="Times New Roman" w:hAnsi="Arial" w:cs="Arial"/>
                <w:sz w:val="16"/>
                <w:szCs w:val="16"/>
                <w:lang w:val="en-US" w:eastAsia="zh-CN"/>
              </w:rPr>
              <w:t>2. The agreement is not correctly captured for SL PRS resource ID.</w:t>
            </w:r>
          </w:p>
        </w:tc>
      </w:tr>
      <w:tr w:rsidR="005B12B1" w:rsidRPr="005B12B1" w14:paraId="559436DE" w14:textId="77777777" w:rsidTr="005B12B1">
        <w:tc>
          <w:tcPr>
            <w:tcW w:w="848" w:type="pct"/>
            <w:shd w:val="clear" w:color="auto" w:fill="auto"/>
          </w:tcPr>
          <w:p w14:paraId="4FCC1962" w14:textId="77777777" w:rsidR="005B12B1" w:rsidRPr="005B12B1" w:rsidRDefault="005B12B1" w:rsidP="005B12B1">
            <w:pPr>
              <w:jc w:val="both"/>
              <w:rPr>
                <w:rFonts w:ascii="Arial" w:eastAsia="SimSun" w:hAnsi="Arial" w:cs="Arial"/>
                <w:sz w:val="16"/>
                <w:szCs w:val="16"/>
                <w:lang w:val="en-US" w:eastAsia="zh-CN"/>
              </w:rPr>
            </w:pPr>
            <w:r w:rsidRPr="005B12B1">
              <w:rPr>
                <w:rFonts w:ascii="Arial" w:eastAsia="SimSun" w:hAnsi="Arial" w:cs="Arial"/>
                <w:sz w:val="16"/>
                <w:szCs w:val="16"/>
                <w:lang w:val="en-US" w:eastAsia="zh-CN"/>
              </w:rPr>
              <w:t>Text proposal</w:t>
            </w:r>
          </w:p>
        </w:tc>
        <w:tc>
          <w:tcPr>
            <w:tcW w:w="4152" w:type="pct"/>
            <w:shd w:val="clear" w:color="auto" w:fill="auto"/>
          </w:tcPr>
          <w:p w14:paraId="63F69347" w14:textId="77777777" w:rsidR="005B12B1" w:rsidRPr="005B12B1" w:rsidRDefault="005B12B1" w:rsidP="000E6940">
            <w:pPr>
              <w:spacing w:line="280" w:lineRule="exact"/>
              <w:jc w:val="center"/>
              <w:rPr>
                <w:rFonts w:ascii="Arial" w:hAnsi="Arial" w:cs="Arial"/>
                <w:b/>
                <w:bCs/>
                <w:color w:val="FF0000"/>
                <w:sz w:val="16"/>
                <w:szCs w:val="16"/>
                <w:lang w:eastAsia="zh-CN"/>
              </w:rPr>
            </w:pPr>
            <w:r w:rsidRPr="005B12B1">
              <w:rPr>
                <w:rFonts w:ascii="Arial" w:hAnsi="Arial" w:cs="Arial"/>
                <w:b/>
                <w:bCs/>
                <w:color w:val="FF0000"/>
                <w:sz w:val="16"/>
                <w:szCs w:val="16"/>
                <w:lang w:eastAsia="zh-CN"/>
              </w:rPr>
              <w:t>&lt; Unchanged text omitted &gt;</w:t>
            </w:r>
          </w:p>
          <w:p w14:paraId="057CE576" w14:textId="77777777" w:rsidR="005B12B1" w:rsidRPr="005B12B1" w:rsidRDefault="005B12B1" w:rsidP="000E6940">
            <w:pPr>
              <w:spacing w:line="280" w:lineRule="exact"/>
              <w:jc w:val="both"/>
              <w:rPr>
                <w:rFonts w:ascii="Arial" w:hAnsi="Arial" w:cs="Arial"/>
                <w:sz w:val="16"/>
                <w:szCs w:val="16"/>
                <w:lang w:val="en-US"/>
              </w:rPr>
            </w:pPr>
            <w:r w:rsidRPr="005B12B1">
              <w:rPr>
                <w:rFonts w:ascii="Arial" w:hAnsi="Arial" w:cs="Arial"/>
                <w:sz w:val="16"/>
                <w:szCs w:val="16"/>
              </w:rPr>
              <w:t xml:space="preserve">The UE may report the association information between the already transmitted </w:t>
            </w:r>
            <w:r w:rsidRPr="005B12B1">
              <w:rPr>
                <w:rFonts w:ascii="Arial" w:hAnsi="Arial" w:cs="Arial"/>
                <w:strike/>
                <w:color w:val="FF0000"/>
                <w:sz w:val="16"/>
                <w:szCs w:val="16"/>
              </w:rPr>
              <w:t>[</w:t>
            </w:r>
            <w:r w:rsidRPr="005B12B1">
              <w:rPr>
                <w:rFonts w:ascii="Arial" w:hAnsi="Arial" w:cs="Arial"/>
                <w:sz w:val="16"/>
                <w:szCs w:val="16"/>
              </w:rPr>
              <w:t>SL PRSs of SL PRS resources</w:t>
            </w:r>
            <w:r w:rsidRPr="005B12B1">
              <w:rPr>
                <w:rFonts w:ascii="Arial" w:hAnsi="Arial" w:cs="Arial"/>
                <w:strike/>
                <w:color w:val="FF0000"/>
                <w:sz w:val="16"/>
                <w:szCs w:val="16"/>
              </w:rPr>
              <w:t>]</w:t>
            </w:r>
            <w:r w:rsidRPr="005B12B1">
              <w:rPr>
                <w:rFonts w:ascii="Arial" w:hAnsi="Arial" w:cs="Arial"/>
                <w:sz w:val="16"/>
                <w:szCs w:val="16"/>
              </w:rPr>
              <w:t xml:space="preserve"> and UE Tx ARP ID. The association information includes ARP ID(s), SL PRS transmission timestamp(s) [</w:t>
            </w:r>
            <w:r w:rsidRPr="005B12B1">
              <w:rPr>
                <w:rFonts w:ascii="Arial" w:hAnsi="Arial" w:cs="Arial"/>
                <w:i/>
                <w:iCs/>
                <w:sz w:val="16"/>
                <w:szCs w:val="16"/>
              </w:rPr>
              <w:t>sl-prs-time-stamp</w:t>
            </w:r>
            <w:r w:rsidRPr="005B12B1">
              <w:rPr>
                <w:rFonts w:ascii="Arial" w:hAnsi="Arial" w:cs="Arial"/>
                <w:sz w:val="16"/>
                <w:szCs w:val="16"/>
              </w:rPr>
              <w:t xml:space="preserve">], and </w:t>
            </w:r>
            <w:r w:rsidRPr="005B12B1">
              <w:rPr>
                <w:rFonts w:ascii="Arial" w:hAnsi="Arial" w:cs="Arial"/>
                <w:color w:val="FF0000"/>
                <w:sz w:val="16"/>
                <w:szCs w:val="16"/>
                <w:u w:val="single"/>
              </w:rPr>
              <w:t>optional</w:t>
            </w:r>
            <w:r w:rsidRPr="005B12B1">
              <w:rPr>
                <w:rFonts w:ascii="Arial" w:hAnsi="Arial" w:cs="Arial"/>
                <w:sz w:val="16"/>
                <w:szCs w:val="16"/>
              </w:rPr>
              <w:t xml:space="preserve"> SL PRS resource ID(s).</w:t>
            </w:r>
          </w:p>
          <w:p w14:paraId="237B8B1A" w14:textId="77777777" w:rsidR="005B12B1" w:rsidRPr="005B12B1" w:rsidRDefault="005B12B1" w:rsidP="000E6940">
            <w:pPr>
              <w:spacing w:line="280" w:lineRule="exact"/>
              <w:jc w:val="center"/>
              <w:rPr>
                <w:rFonts w:ascii="Arial" w:eastAsia="Times New Roman" w:hAnsi="Arial" w:cs="Arial"/>
                <w:b/>
                <w:bCs/>
                <w:color w:val="FF0000"/>
                <w:sz w:val="16"/>
                <w:szCs w:val="16"/>
                <w:lang w:eastAsia="zh-CN"/>
              </w:rPr>
            </w:pPr>
            <w:r w:rsidRPr="005B12B1">
              <w:rPr>
                <w:rFonts w:ascii="Arial" w:hAnsi="Arial" w:cs="Arial"/>
                <w:b/>
                <w:bCs/>
                <w:color w:val="FF0000"/>
                <w:sz w:val="16"/>
                <w:szCs w:val="16"/>
                <w:lang w:eastAsia="zh-CN"/>
              </w:rPr>
              <w:t>&lt; Unchanged text omitted &gt;</w:t>
            </w:r>
          </w:p>
        </w:tc>
      </w:tr>
    </w:tbl>
    <w:p w14:paraId="3209B4FF" w14:textId="77777777" w:rsidR="005B12B1" w:rsidRPr="005B12B1" w:rsidRDefault="005B12B1" w:rsidP="005B12B1">
      <w:pPr>
        <w:rPr>
          <w:lang w:val="en-US"/>
        </w:rPr>
      </w:pPr>
    </w:p>
    <w:p w14:paraId="39716604" w14:textId="77777777" w:rsidR="005B12B1" w:rsidRPr="005B12B1" w:rsidRDefault="005B12B1" w:rsidP="005B12B1">
      <w:pPr>
        <w:rPr>
          <w:lang w:val="en-US"/>
        </w:rPr>
      </w:pPr>
      <w:r w:rsidRPr="005B12B1">
        <w:rPr>
          <w:highlight w:val="green"/>
          <w:lang w:val="en-US"/>
        </w:rPr>
        <w:t>Agreement</w:t>
      </w:r>
    </w:p>
    <w:p w14:paraId="4E6376F4" w14:textId="77777777" w:rsidR="005B12B1" w:rsidRPr="005B12B1" w:rsidRDefault="005B12B1" w:rsidP="005B12B1">
      <w:pPr>
        <w:rPr>
          <w:rFonts w:eastAsia="DengXian"/>
          <w:bCs/>
          <w:sz w:val="22"/>
          <w:lang w:val="en-US" w:eastAsia="zh-CN"/>
        </w:rPr>
      </w:pPr>
      <w:r w:rsidRPr="005B12B1">
        <w:t xml:space="preserve">The TP below is endorsed for TS38.214 clause </w:t>
      </w:r>
      <w:r w:rsidRPr="005B12B1">
        <w:rPr>
          <w:szCs w:val="20"/>
        </w:rPr>
        <w:t>8.4.4</w:t>
      </w:r>
      <w:r w:rsidRPr="005B12B1">
        <w:t>.</w:t>
      </w:r>
    </w:p>
    <w:tbl>
      <w:tblPr>
        <w:tblW w:w="5000" w:type="pct"/>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2109"/>
        <w:gridCol w:w="8574"/>
      </w:tblGrid>
      <w:tr w:rsidR="005B12B1" w:rsidRPr="005B12B1" w14:paraId="68CF1E15" w14:textId="77777777" w:rsidTr="005B12B1">
        <w:tc>
          <w:tcPr>
            <w:tcW w:w="987" w:type="pct"/>
            <w:shd w:val="clear" w:color="auto" w:fill="auto"/>
          </w:tcPr>
          <w:p w14:paraId="58D73DC4" w14:textId="77777777" w:rsidR="005B12B1" w:rsidRPr="005B12B1" w:rsidRDefault="005B12B1" w:rsidP="005B12B1">
            <w:pPr>
              <w:jc w:val="both"/>
              <w:rPr>
                <w:rFonts w:ascii="Arial" w:eastAsia="SimSun" w:hAnsi="Arial" w:cs="Arial"/>
                <w:sz w:val="16"/>
                <w:szCs w:val="16"/>
                <w:lang w:val="en-US" w:eastAsia="zh-CN"/>
              </w:rPr>
            </w:pPr>
            <w:r w:rsidRPr="005B12B1">
              <w:rPr>
                <w:rFonts w:ascii="Arial" w:eastAsia="SimSun" w:hAnsi="Arial" w:cs="Arial"/>
                <w:sz w:val="16"/>
                <w:szCs w:val="16"/>
                <w:lang w:val="en-US" w:eastAsia="zh-CN"/>
              </w:rPr>
              <w:t>Reason for change</w:t>
            </w:r>
          </w:p>
        </w:tc>
        <w:tc>
          <w:tcPr>
            <w:tcW w:w="4013" w:type="pct"/>
            <w:shd w:val="clear" w:color="auto" w:fill="auto"/>
          </w:tcPr>
          <w:p w14:paraId="54695AD9" w14:textId="77777777" w:rsidR="005B12B1" w:rsidRPr="005B12B1" w:rsidRDefault="005B12B1" w:rsidP="005B12B1">
            <w:pPr>
              <w:jc w:val="both"/>
              <w:rPr>
                <w:rFonts w:ascii="Arial" w:eastAsia="SimSun" w:hAnsi="Arial" w:cs="Arial"/>
                <w:sz w:val="16"/>
                <w:szCs w:val="16"/>
                <w:lang w:val="en-US" w:eastAsia="zh-CN"/>
              </w:rPr>
            </w:pPr>
            <w:r w:rsidRPr="005B12B1">
              <w:rPr>
                <w:rFonts w:ascii="Arial" w:eastAsia="SimSun" w:hAnsi="Arial" w:cs="Arial"/>
                <w:sz w:val="16"/>
                <w:szCs w:val="16"/>
                <w:lang w:val="en-US" w:eastAsia="zh-CN"/>
              </w:rPr>
              <w:t>SL PRS-RSRP measurement is not defined for the first detected path and/or additional paths, which is not correctly captured by the specification.</w:t>
            </w:r>
          </w:p>
        </w:tc>
      </w:tr>
      <w:tr w:rsidR="005B12B1" w:rsidRPr="005B12B1" w14:paraId="2F0CB62C" w14:textId="77777777" w:rsidTr="005B12B1">
        <w:tc>
          <w:tcPr>
            <w:tcW w:w="987" w:type="pct"/>
            <w:shd w:val="clear" w:color="auto" w:fill="auto"/>
          </w:tcPr>
          <w:p w14:paraId="6CC1F101" w14:textId="77777777" w:rsidR="005B12B1" w:rsidRPr="005B12B1" w:rsidRDefault="005B12B1" w:rsidP="005B12B1">
            <w:pPr>
              <w:jc w:val="both"/>
              <w:rPr>
                <w:rFonts w:ascii="Arial" w:eastAsia="SimSun" w:hAnsi="Arial" w:cs="Arial"/>
                <w:sz w:val="16"/>
                <w:szCs w:val="16"/>
                <w:lang w:val="en-US" w:eastAsia="zh-CN"/>
              </w:rPr>
            </w:pPr>
            <w:r w:rsidRPr="005B12B1">
              <w:rPr>
                <w:rFonts w:ascii="Arial" w:eastAsia="SimSun" w:hAnsi="Arial" w:cs="Arial"/>
                <w:sz w:val="16"/>
                <w:szCs w:val="16"/>
                <w:lang w:val="en-US" w:eastAsia="zh-CN"/>
              </w:rPr>
              <w:t>Summary of change</w:t>
            </w:r>
          </w:p>
        </w:tc>
        <w:tc>
          <w:tcPr>
            <w:tcW w:w="4013" w:type="pct"/>
            <w:shd w:val="clear" w:color="auto" w:fill="auto"/>
          </w:tcPr>
          <w:p w14:paraId="6747AA59" w14:textId="77777777" w:rsidR="005B12B1" w:rsidRPr="005B12B1" w:rsidRDefault="005B12B1" w:rsidP="005B12B1">
            <w:pPr>
              <w:jc w:val="both"/>
              <w:rPr>
                <w:rFonts w:ascii="Arial" w:eastAsia="SimSun" w:hAnsi="Arial" w:cs="Arial"/>
                <w:sz w:val="16"/>
                <w:szCs w:val="16"/>
                <w:lang w:val="en-US" w:eastAsia="zh-CN"/>
              </w:rPr>
            </w:pPr>
            <w:r w:rsidRPr="005B12B1">
              <w:rPr>
                <w:rFonts w:ascii="Arial" w:eastAsia="SimSun" w:hAnsi="Arial" w:cs="Arial"/>
                <w:sz w:val="16"/>
                <w:szCs w:val="16"/>
                <w:lang w:val="en-US" w:eastAsia="zh-CN"/>
              </w:rPr>
              <w:t xml:space="preserve">Section 8.4.4 in TS 38.214: </w:t>
            </w:r>
          </w:p>
          <w:p w14:paraId="435F0341" w14:textId="77777777" w:rsidR="005B12B1" w:rsidRPr="005B12B1" w:rsidRDefault="005B12B1" w:rsidP="005B12B1">
            <w:pPr>
              <w:jc w:val="both"/>
              <w:rPr>
                <w:rFonts w:ascii="Arial" w:eastAsia="SimSun" w:hAnsi="Arial" w:cs="Arial"/>
                <w:sz w:val="16"/>
                <w:szCs w:val="16"/>
                <w:lang w:val="en-US" w:eastAsia="zh-CN"/>
              </w:rPr>
            </w:pPr>
            <w:r w:rsidRPr="005B12B1">
              <w:rPr>
                <w:rFonts w:ascii="Arial" w:eastAsia="SimSun" w:hAnsi="Arial" w:cs="Arial"/>
                <w:sz w:val="16"/>
                <w:szCs w:val="16"/>
                <w:lang w:val="en-US" w:eastAsia="zh-CN"/>
              </w:rPr>
              <w:t xml:space="preserve">Delete the association between the first detected path and/or additional detected paths and SL PRS-RSRP measurement. </w:t>
            </w:r>
          </w:p>
        </w:tc>
      </w:tr>
      <w:tr w:rsidR="005B12B1" w:rsidRPr="005B12B1" w14:paraId="370788C0" w14:textId="77777777" w:rsidTr="005B12B1">
        <w:tc>
          <w:tcPr>
            <w:tcW w:w="987" w:type="pct"/>
            <w:shd w:val="clear" w:color="auto" w:fill="auto"/>
          </w:tcPr>
          <w:p w14:paraId="15B57C7F" w14:textId="77777777" w:rsidR="005B12B1" w:rsidRPr="005B12B1" w:rsidRDefault="005B12B1" w:rsidP="005B12B1">
            <w:pPr>
              <w:jc w:val="both"/>
              <w:rPr>
                <w:rFonts w:ascii="Arial" w:eastAsia="SimSun" w:hAnsi="Arial" w:cs="Arial"/>
                <w:sz w:val="16"/>
                <w:szCs w:val="16"/>
                <w:lang w:val="en-US" w:eastAsia="zh-CN"/>
              </w:rPr>
            </w:pPr>
            <w:r w:rsidRPr="005B12B1">
              <w:rPr>
                <w:rFonts w:ascii="Arial" w:eastAsia="SimSun" w:hAnsi="Arial" w:cs="Arial"/>
                <w:sz w:val="16"/>
                <w:szCs w:val="16"/>
                <w:lang w:val="en-US" w:eastAsia="zh-CN"/>
              </w:rPr>
              <w:t>Consequences if not approved</w:t>
            </w:r>
          </w:p>
        </w:tc>
        <w:tc>
          <w:tcPr>
            <w:tcW w:w="4013" w:type="pct"/>
            <w:shd w:val="clear" w:color="auto" w:fill="auto"/>
          </w:tcPr>
          <w:p w14:paraId="6E75C4B0" w14:textId="77777777" w:rsidR="005B12B1" w:rsidRPr="005B12B1" w:rsidRDefault="005B12B1" w:rsidP="005B12B1">
            <w:pPr>
              <w:jc w:val="both"/>
              <w:rPr>
                <w:rFonts w:ascii="Arial" w:eastAsia="SimSun" w:hAnsi="Arial" w:cs="Arial"/>
                <w:sz w:val="16"/>
                <w:szCs w:val="16"/>
                <w:lang w:val="en-US" w:eastAsia="zh-CN"/>
              </w:rPr>
            </w:pPr>
            <w:r w:rsidRPr="005B12B1">
              <w:rPr>
                <w:rFonts w:ascii="Arial" w:eastAsia="SimSun" w:hAnsi="Arial" w:cs="Arial"/>
                <w:sz w:val="16"/>
                <w:szCs w:val="16"/>
                <w:lang w:val="en-US" w:eastAsia="zh-CN"/>
              </w:rPr>
              <w:t>Incorrect description for the association between the first detected path and/or additional detected paths and SL PRS-RSRP measurement.</w:t>
            </w:r>
          </w:p>
        </w:tc>
      </w:tr>
      <w:tr w:rsidR="005B12B1" w:rsidRPr="005B12B1" w14:paraId="3E8BA7EC" w14:textId="77777777" w:rsidTr="005B12B1">
        <w:tc>
          <w:tcPr>
            <w:tcW w:w="987" w:type="pct"/>
            <w:shd w:val="clear" w:color="auto" w:fill="auto"/>
          </w:tcPr>
          <w:p w14:paraId="37160E7C" w14:textId="77777777" w:rsidR="005B12B1" w:rsidRPr="005B12B1" w:rsidRDefault="005B12B1" w:rsidP="005B12B1">
            <w:pPr>
              <w:jc w:val="both"/>
              <w:rPr>
                <w:rFonts w:ascii="Arial" w:eastAsia="SimSun" w:hAnsi="Arial" w:cs="Arial"/>
                <w:sz w:val="16"/>
                <w:szCs w:val="16"/>
                <w:lang w:val="en-US" w:eastAsia="zh-CN"/>
              </w:rPr>
            </w:pPr>
            <w:r w:rsidRPr="005B12B1">
              <w:rPr>
                <w:rFonts w:ascii="Arial" w:eastAsia="SimSun" w:hAnsi="Arial" w:cs="Arial"/>
                <w:sz w:val="16"/>
                <w:szCs w:val="16"/>
                <w:lang w:val="en-US" w:eastAsia="zh-CN"/>
              </w:rPr>
              <w:t>Text proposal</w:t>
            </w:r>
          </w:p>
        </w:tc>
        <w:tc>
          <w:tcPr>
            <w:tcW w:w="4013" w:type="pct"/>
            <w:shd w:val="clear" w:color="auto" w:fill="auto"/>
          </w:tcPr>
          <w:p w14:paraId="643671A1" w14:textId="77777777" w:rsidR="005B12B1" w:rsidRPr="005B12B1" w:rsidRDefault="005B12B1" w:rsidP="005B12B1">
            <w:pPr>
              <w:spacing w:line="280" w:lineRule="exact"/>
              <w:jc w:val="center"/>
              <w:rPr>
                <w:rFonts w:ascii="Arial" w:hAnsi="Arial" w:cs="Arial"/>
                <w:b/>
                <w:bCs/>
                <w:color w:val="FF0000"/>
                <w:sz w:val="16"/>
                <w:szCs w:val="16"/>
                <w:lang w:eastAsia="zh-CN"/>
              </w:rPr>
            </w:pPr>
            <w:r w:rsidRPr="005B12B1">
              <w:rPr>
                <w:rFonts w:ascii="Arial" w:hAnsi="Arial" w:cs="Arial"/>
                <w:b/>
                <w:bCs/>
                <w:color w:val="FF0000"/>
                <w:sz w:val="16"/>
                <w:szCs w:val="16"/>
                <w:lang w:eastAsia="zh-CN"/>
              </w:rPr>
              <w:t>&lt; Unchanged text omitted &gt;</w:t>
            </w:r>
          </w:p>
          <w:p w14:paraId="17B20B60" w14:textId="77777777" w:rsidR="005B12B1" w:rsidRPr="005B12B1" w:rsidRDefault="005B12B1" w:rsidP="005B12B1">
            <w:pPr>
              <w:spacing w:line="280" w:lineRule="exact"/>
              <w:jc w:val="both"/>
              <w:rPr>
                <w:rFonts w:ascii="Arial" w:hAnsi="Arial" w:cs="Arial"/>
                <w:sz w:val="16"/>
                <w:szCs w:val="16"/>
                <w:lang w:val="en-US"/>
              </w:rPr>
            </w:pPr>
            <w:r w:rsidRPr="005B12B1">
              <w:rPr>
                <w:rFonts w:ascii="Arial" w:hAnsi="Arial" w:cs="Arial"/>
                <w:sz w:val="16"/>
                <w:szCs w:val="16"/>
              </w:rPr>
              <w:t>The UE may be configured, via [</w:t>
            </w:r>
            <w:r w:rsidRPr="005B12B1">
              <w:rPr>
                <w:rFonts w:ascii="Arial" w:hAnsi="Arial" w:cs="Arial"/>
                <w:i/>
                <w:iCs/>
                <w:sz w:val="16"/>
                <w:szCs w:val="16"/>
              </w:rPr>
              <w:t>higher layer parameter(s)</w:t>
            </w:r>
            <w:r w:rsidRPr="005B12B1">
              <w:rPr>
                <w:rFonts w:ascii="Arial" w:hAnsi="Arial" w:cs="Arial"/>
                <w:sz w:val="16"/>
                <w:szCs w:val="16"/>
              </w:rPr>
              <w:t xml:space="preserve">], to measure and report one or more of the SL RSTD, SL Rx-Tx time difference, SL RTOA, SL AoA, </w:t>
            </w:r>
            <w:r w:rsidRPr="005B12B1">
              <w:rPr>
                <w:rFonts w:ascii="Arial" w:hAnsi="Arial" w:cs="Arial"/>
                <w:strike/>
                <w:color w:val="FF0000"/>
                <w:sz w:val="16"/>
                <w:szCs w:val="16"/>
              </w:rPr>
              <w:t xml:space="preserve">SL PRS-RSRP, and </w:t>
            </w:r>
            <w:r w:rsidRPr="005B12B1">
              <w:rPr>
                <w:rFonts w:ascii="Arial" w:hAnsi="Arial" w:cs="Arial"/>
                <w:sz w:val="16"/>
                <w:szCs w:val="16"/>
              </w:rPr>
              <w:t xml:space="preserve">SL PRS-RSRPP </w:t>
            </w:r>
            <w:r w:rsidRPr="005B12B1">
              <w:rPr>
                <w:rFonts w:ascii="Arial" w:hAnsi="Arial" w:cs="Arial"/>
                <w:strike/>
                <w:color w:val="FF0000"/>
                <w:sz w:val="16"/>
                <w:szCs w:val="16"/>
              </w:rPr>
              <w:t>measurements</w:t>
            </w:r>
            <w:r w:rsidRPr="005B12B1">
              <w:rPr>
                <w:rFonts w:ascii="Arial" w:hAnsi="Arial" w:cs="Arial"/>
                <w:sz w:val="16"/>
                <w:szCs w:val="16"/>
              </w:rPr>
              <w:t xml:space="preserve">, for the first detected path and/or additional detected paths </w:t>
            </w:r>
            <w:r w:rsidRPr="005B12B1">
              <w:rPr>
                <w:rFonts w:ascii="Arial" w:hAnsi="Arial" w:cs="Arial"/>
                <w:color w:val="FF0000"/>
                <w:sz w:val="16"/>
                <w:szCs w:val="16"/>
                <w:u w:val="single"/>
              </w:rPr>
              <w:t>and SL PRS-RSRP measurements</w:t>
            </w:r>
            <w:r w:rsidRPr="005B12B1">
              <w:rPr>
                <w:rFonts w:ascii="Arial" w:hAnsi="Arial" w:cs="Arial"/>
                <w:sz w:val="16"/>
                <w:szCs w:val="16"/>
              </w:rPr>
              <w:t>. The UE may report an ARP ID associated with the reported measurements. The UE may provide the ARP location information of the ARP ID via [</w:t>
            </w:r>
            <w:r w:rsidRPr="005B12B1">
              <w:rPr>
                <w:rFonts w:ascii="Arial" w:hAnsi="Arial" w:cs="Arial"/>
                <w:i/>
                <w:iCs/>
                <w:sz w:val="16"/>
                <w:szCs w:val="16"/>
              </w:rPr>
              <w:t>higher layer parameter(s)</w:t>
            </w:r>
            <w:r w:rsidRPr="005B12B1">
              <w:rPr>
                <w:rFonts w:ascii="Arial" w:hAnsi="Arial" w:cs="Arial"/>
                <w:sz w:val="16"/>
                <w:szCs w:val="16"/>
              </w:rPr>
              <w:t>]</w:t>
            </w:r>
          </w:p>
          <w:p w14:paraId="246B2C35" w14:textId="77777777" w:rsidR="005B12B1" w:rsidRPr="005B12B1" w:rsidRDefault="005B12B1" w:rsidP="005B12B1">
            <w:pPr>
              <w:spacing w:line="280" w:lineRule="exact"/>
              <w:jc w:val="center"/>
              <w:rPr>
                <w:rFonts w:ascii="Arial" w:eastAsia="Times New Roman" w:hAnsi="Arial" w:cs="Arial"/>
                <w:b/>
                <w:bCs/>
                <w:color w:val="FF0000"/>
                <w:sz w:val="16"/>
                <w:szCs w:val="16"/>
                <w:lang w:eastAsia="zh-CN"/>
              </w:rPr>
            </w:pPr>
            <w:r w:rsidRPr="005B12B1">
              <w:rPr>
                <w:rFonts w:ascii="Arial" w:hAnsi="Arial" w:cs="Arial"/>
                <w:b/>
                <w:bCs/>
                <w:color w:val="FF0000"/>
                <w:sz w:val="16"/>
                <w:szCs w:val="16"/>
                <w:lang w:eastAsia="zh-CN"/>
              </w:rPr>
              <w:t>&lt; Unchanged text omitted &gt;</w:t>
            </w:r>
          </w:p>
        </w:tc>
      </w:tr>
    </w:tbl>
    <w:p w14:paraId="0EB5EB32" w14:textId="77777777" w:rsidR="005B12B1" w:rsidRPr="005B12B1" w:rsidRDefault="005B12B1" w:rsidP="005B12B1">
      <w:pPr>
        <w:rPr>
          <w:lang w:val="en-US" w:eastAsia="zh-CN"/>
        </w:rPr>
      </w:pPr>
    </w:p>
    <w:p w14:paraId="5B4AF209" w14:textId="77777777" w:rsidR="005B12B1" w:rsidRDefault="005B12B1" w:rsidP="005B12B1"/>
    <w:p w14:paraId="4C97A686" w14:textId="7E95534E" w:rsidR="005B12B1" w:rsidRPr="000E6940" w:rsidRDefault="005A18DC" w:rsidP="005B12B1">
      <w:pPr>
        <w:rPr>
          <w:b/>
          <w:bCs/>
          <w:lang w:val="en-US"/>
        </w:rPr>
      </w:pPr>
      <w:hyperlink r:id="rId1122" w:history="1">
        <w:r w:rsidR="00AF7253">
          <w:rPr>
            <w:rStyle w:val="Hyperlink"/>
            <w:b/>
            <w:bCs/>
            <w:lang w:val="en-US"/>
          </w:rPr>
          <w:t>R1-2312417</w:t>
        </w:r>
      </w:hyperlink>
      <w:r w:rsidR="005B12B1" w:rsidRPr="000E6940">
        <w:rPr>
          <w:b/>
          <w:bCs/>
          <w:lang w:val="en-US"/>
        </w:rPr>
        <w:tab/>
        <w:t>Summary #2 on Measurements and reporting for SL positioning</w:t>
      </w:r>
      <w:r w:rsidR="005B12B1" w:rsidRPr="000E6940">
        <w:rPr>
          <w:b/>
          <w:bCs/>
          <w:lang w:val="en-US"/>
        </w:rPr>
        <w:tab/>
        <w:t>Moderator (vivo)</w:t>
      </w:r>
    </w:p>
    <w:p w14:paraId="7F24E023" w14:textId="5378B061" w:rsidR="000E6940" w:rsidRDefault="000E6940" w:rsidP="005B12B1">
      <w:pPr>
        <w:rPr>
          <w:bCs/>
          <w:lang w:val="en-US"/>
        </w:rPr>
      </w:pPr>
      <w:r>
        <w:rPr>
          <w:bCs/>
          <w:lang w:val="en-US"/>
        </w:rPr>
        <w:t>From Thursday session</w:t>
      </w:r>
    </w:p>
    <w:p w14:paraId="54282EF0" w14:textId="77777777" w:rsidR="000E6940" w:rsidRPr="000E6940" w:rsidRDefault="000E6940" w:rsidP="000E6940">
      <w:pPr>
        <w:rPr>
          <w:lang w:val="en-US"/>
        </w:rPr>
      </w:pPr>
      <w:r w:rsidRPr="000E6940">
        <w:rPr>
          <w:highlight w:val="green"/>
          <w:lang w:val="en-US"/>
        </w:rPr>
        <w:t>Agreement</w:t>
      </w:r>
    </w:p>
    <w:p w14:paraId="249D800F" w14:textId="77777777" w:rsidR="000E6940" w:rsidRPr="000E6940" w:rsidRDefault="000E6940" w:rsidP="000E6940">
      <w:pPr>
        <w:rPr>
          <w:lang w:val="en-US"/>
        </w:rPr>
      </w:pPr>
      <w:r w:rsidRPr="000E6940">
        <w:rPr>
          <w:lang w:val="en-US"/>
        </w:rPr>
        <w:t>For SL RTT, support LMF/UE to request with higher layer signaling the measuring UE to report the associated SL-PRS transmission timestamp.</w:t>
      </w:r>
    </w:p>
    <w:p w14:paraId="4946953E" w14:textId="77777777" w:rsidR="000E6940" w:rsidRPr="000E6940" w:rsidRDefault="000E6940" w:rsidP="00A67145">
      <w:pPr>
        <w:pStyle w:val="ListParagraph"/>
        <w:numPr>
          <w:ilvl w:val="0"/>
          <w:numId w:val="206"/>
        </w:numPr>
        <w:rPr>
          <w:lang w:val="en-US"/>
        </w:rPr>
      </w:pPr>
      <w:r w:rsidRPr="000E6940">
        <w:rPr>
          <w:lang w:val="en-US"/>
        </w:rPr>
        <w:t>Up to RAN4 to determine conditions (if any) for reporting of the associated SL-PRS transmission timestamp.</w:t>
      </w:r>
    </w:p>
    <w:p w14:paraId="54B71F57" w14:textId="77777777" w:rsidR="000E6940" w:rsidRDefault="000E6940" w:rsidP="005B12B1">
      <w:pPr>
        <w:rPr>
          <w:bCs/>
          <w:lang w:val="en-US"/>
        </w:rPr>
      </w:pPr>
    </w:p>
    <w:p w14:paraId="0948E576" w14:textId="3FA30057" w:rsidR="005B12B1" w:rsidRPr="00FD5134" w:rsidRDefault="00FD5134" w:rsidP="00F74A6F">
      <w:pPr>
        <w:rPr>
          <w:bCs/>
          <w:lang w:val="en-US"/>
        </w:rPr>
      </w:pPr>
      <w:r>
        <w:rPr>
          <w:bCs/>
          <w:lang w:val="en-US"/>
        </w:rPr>
        <w:t xml:space="preserve">Final summary in </w:t>
      </w:r>
      <w:hyperlink r:id="rId1123" w:history="1">
        <w:r w:rsidR="00AF7253">
          <w:rPr>
            <w:rStyle w:val="Hyperlink"/>
            <w:bCs/>
            <w:lang w:val="en-US"/>
          </w:rPr>
          <w:t>R1-2312418</w:t>
        </w:r>
      </w:hyperlink>
      <w:r>
        <w:rPr>
          <w:bCs/>
          <w:lang w:val="en-US"/>
        </w:rPr>
        <w:t>.</w:t>
      </w:r>
    </w:p>
    <w:p w14:paraId="738694C4" w14:textId="77777777" w:rsidR="00F74A6F" w:rsidRPr="009537ED" w:rsidRDefault="00F74A6F" w:rsidP="00BF09FD">
      <w:pPr>
        <w:pStyle w:val="Heading4"/>
      </w:pPr>
      <w:bookmarkStart w:id="425" w:name="_Toc150174460"/>
      <w:bookmarkStart w:id="426" w:name="_Toc159251002"/>
      <w:r w:rsidRPr="009537ED">
        <w:t>Resource allocation for SL positioning reference signal</w:t>
      </w:r>
      <w:bookmarkEnd w:id="425"/>
      <w:bookmarkEnd w:id="426"/>
    </w:p>
    <w:p w14:paraId="0D0614DF" w14:textId="5858D446" w:rsidR="00F74A6F" w:rsidRPr="009537ED" w:rsidRDefault="005A18DC" w:rsidP="00F74A6F">
      <w:pPr>
        <w:rPr>
          <w:lang w:eastAsia="x-none"/>
        </w:rPr>
      </w:pPr>
      <w:hyperlink r:id="rId1124" w:history="1">
        <w:r w:rsidR="00AF7253">
          <w:rPr>
            <w:rStyle w:val="Hyperlink"/>
            <w:lang w:eastAsia="x-none"/>
          </w:rPr>
          <w:t>R1-2310817</w:t>
        </w:r>
      </w:hyperlink>
      <w:r w:rsidR="00F74A6F" w:rsidRPr="009537ED">
        <w:rPr>
          <w:lang w:eastAsia="x-none"/>
        </w:rPr>
        <w:tab/>
        <w:t>Remaining issues for resource allocation for SL positioning reference signal SL PRS</w:t>
      </w:r>
      <w:r w:rsidR="00F74A6F" w:rsidRPr="009537ED">
        <w:rPr>
          <w:lang w:eastAsia="x-none"/>
        </w:rPr>
        <w:tab/>
        <w:t>Nokia, Nokia Shanghai Bell</w:t>
      </w:r>
    </w:p>
    <w:p w14:paraId="3D5B779E" w14:textId="0A663CDE" w:rsidR="00F74A6F" w:rsidRPr="009537ED" w:rsidRDefault="005A18DC" w:rsidP="00F74A6F">
      <w:pPr>
        <w:rPr>
          <w:lang w:eastAsia="x-none"/>
        </w:rPr>
      </w:pPr>
      <w:hyperlink r:id="rId1125" w:history="1">
        <w:r w:rsidR="00AF7253">
          <w:rPr>
            <w:rStyle w:val="Hyperlink"/>
            <w:lang w:eastAsia="x-none"/>
          </w:rPr>
          <w:t>R1-2310838</w:t>
        </w:r>
      </w:hyperlink>
      <w:r w:rsidR="00F74A6F" w:rsidRPr="009537ED">
        <w:rPr>
          <w:lang w:eastAsia="x-none"/>
        </w:rPr>
        <w:tab/>
        <w:t>Maintenance of SL-PRS resource allocation</w:t>
      </w:r>
      <w:r w:rsidR="00F74A6F" w:rsidRPr="009537ED">
        <w:rPr>
          <w:lang w:eastAsia="x-none"/>
        </w:rPr>
        <w:tab/>
        <w:t>Huawei, HiSilicon</w:t>
      </w:r>
    </w:p>
    <w:p w14:paraId="7908C29C" w14:textId="2107D891" w:rsidR="00F74A6F" w:rsidRDefault="005A18DC" w:rsidP="00F74A6F">
      <w:pPr>
        <w:rPr>
          <w:lang w:eastAsia="x-none"/>
        </w:rPr>
      </w:pPr>
      <w:hyperlink r:id="rId1126" w:history="1">
        <w:r w:rsidR="00AF7253">
          <w:rPr>
            <w:rStyle w:val="Hyperlink"/>
            <w:lang w:eastAsia="x-none"/>
          </w:rPr>
          <w:t>R1-2311096</w:t>
        </w:r>
      </w:hyperlink>
      <w:r w:rsidR="00F74A6F" w:rsidRPr="009537ED">
        <w:rPr>
          <w:lang w:eastAsia="x-none"/>
        </w:rPr>
        <w:tab/>
        <w:t>Remaining issues on resource allocation for SL positioning reference signal</w:t>
      </w:r>
      <w:r w:rsidR="00F74A6F" w:rsidRPr="009537ED">
        <w:rPr>
          <w:lang w:eastAsia="x-none"/>
        </w:rPr>
        <w:tab/>
        <w:t>vivo</w:t>
      </w:r>
    </w:p>
    <w:p w14:paraId="601ECF2F" w14:textId="47BE760C" w:rsidR="00F74A6F" w:rsidRPr="009537ED" w:rsidRDefault="005A18DC" w:rsidP="00F74A6F">
      <w:pPr>
        <w:rPr>
          <w:lang w:eastAsia="x-none"/>
        </w:rPr>
      </w:pPr>
      <w:hyperlink r:id="rId1127" w:history="1">
        <w:r w:rsidR="00AF7253">
          <w:rPr>
            <w:rStyle w:val="Hyperlink"/>
            <w:lang w:eastAsia="x-none"/>
          </w:rPr>
          <w:t>R1-2312293</w:t>
        </w:r>
      </w:hyperlink>
      <w:r w:rsidR="001C256A">
        <w:rPr>
          <w:lang w:eastAsia="x-none"/>
        </w:rPr>
        <w:tab/>
        <w:t>Remaining issues on resource allocation for SL positioning</w:t>
      </w:r>
      <w:r w:rsidR="001C256A">
        <w:rPr>
          <w:lang w:eastAsia="x-none"/>
        </w:rPr>
        <w:tab/>
        <w:t>Intel Corporation</w:t>
      </w:r>
      <w:r w:rsidR="001C256A">
        <w:rPr>
          <w:lang w:eastAsia="x-none"/>
        </w:rPr>
        <w:tab/>
        <w:t xml:space="preserve">(rev of </w:t>
      </w:r>
      <w:hyperlink r:id="rId1128" w:history="1">
        <w:r w:rsidR="00AF7253">
          <w:rPr>
            <w:rStyle w:val="Hyperlink"/>
            <w:lang w:eastAsia="x-none"/>
          </w:rPr>
          <w:t>R1-2311143</w:t>
        </w:r>
      </w:hyperlink>
      <w:r w:rsidR="001C256A">
        <w:rPr>
          <w:lang w:eastAsia="x-none"/>
        </w:rPr>
        <w:t>)</w:t>
      </w:r>
    </w:p>
    <w:p w14:paraId="18FF294D" w14:textId="09048295" w:rsidR="00F74A6F" w:rsidRPr="009537ED" w:rsidRDefault="005A18DC" w:rsidP="00F74A6F">
      <w:pPr>
        <w:rPr>
          <w:lang w:eastAsia="x-none"/>
        </w:rPr>
      </w:pPr>
      <w:hyperlink r:id="rId1129" w:history="1">
        <w:r w:rsidR="00AF7253">
          <w:rPr>
            <w:rStyle w:val="Hyperlink"/>
            <w:lang w:eastAsia="x-none"/>
          </w:rPr>
          <w:t>R1-2311165</w:t>
        </w:r>
      </w:hyperlink>
      <w:r w:rsidR="00F74A6F" w:rsidRPr="009537ED">
        <w:rPr>
          <w:lang w:eastAsia="x-none"/>
        </w:rPr>
        <w:tab/>
        <w:t>Remaining issues on resource allocation for SL positioning reference signal</w:t>
      </w:r>
      <w:r w:rsidR="00F74A6F" w:rsidRPr="009537ED">
        <w:rPr>
          <w:lang w:eastAsia="x-none"/>
        </w:rPr>
        <w:tab/>
        <w:t>Spreadtrum Communications</w:t>
      </w:r>
    </w:p>
    <w:p w14:paraId="0FE01FAE" w14:textId="55F869FD" w:rsidR="00F74A6F" w:rsidRPr="009537ED" w:rsidRDefault="005A18DC" w:rsidP="00F74A6F">
      <w:pPr>
        <w:rPr>
          <w:lang w:eastAsia="x-none"/>
        </w:rPr>
      </w:pPr>
      <w:hyperlink r:id="rId1130" w:history="1">
        <w:r w:rsidR="00AF7253">
          <w:rPr>
            <w:rStyle w:val="Hyperlink"/>
            <w:lang w:eastAsia="x-none"/>
          </w:rPr>
          <w:t>R1-2311242</w:t>
        </w:r>
      </w:hyperlink>
      <w:r w:rsidR="00F74A6F" w:rsidRPr="009537ED">
        <w:rPr>
          <w:lang w:eastAsia="x-none"/>
        </w:rPr>
        <w:tab/>
        <w:t>Remaining issues on resource allocation for SL positioning reference signal</w:t>
      </w:r>
      <w:r w:rsidR="00F74A6F" w:rsidRPr="009537ED">
        <w:rPr>
          <w:lang w:eastAsia="x-none"/>
        </w:rPr>
        <w:tab/>
        <w:t>OPPO</w:t>
      </w:r>
    </w:p>
    <w:p w14:paraId="242C0C3C" w14:textId="59805774" w:rsidR="00F74A6F" w:rsidRPr="009537ED" w:rsidRDefault="005A18DC" w:rsidP="00F74A6F">
      <w:pPr>
        <w:rPr>
          <w:lang w:eastAsia="x-none"/>
        </w:rPr>
      </w:pPr>
      <w:hyperlink r:id="rId1131" w:history="1">
        <w:r w:rsidR="00AF7253">
          <w:rPr>
            <w:rStyle w:val="Hyperlink"/>
            <w:lang w:eastAsia="x-none"/>
          </w:rPr>
          <w:t>R1-2311341</w:t>
        </w:r>
      </w:hyperlink>
      <w:r w:rsidR="00F74A6F" w:rsidRPr="009537ED">
        <w:rPr>
          <w:lang w:eastAsia="x-none"/>
        </w:rPr>
        <w:tab/>
        <w:t>Maintenance issues on resource allocation for SL positioning reference signal</w:t>
      </w:r>
      <w:r w:rsidR="00F74A6F" w:rsidRPr="009537ED">
        <w:rPr>
          <w:lang w:eastAsia="x-none"/>
        </w:rPr>
        <w:tab/>
        <w:t>CATT, CICTCI</w:t>
      </w:r>
    </w:p>
    <w:p w14:paraId="48DE3236" w14:textId="729132F0" w:rsidR="00F74A6F" w:rsidRPr="009537ED" w:rsidRDefault="005A18DC" w:rsidP="00F74A6F">
      <w:pPr>
        <w:rPr>
          <w:lang w:eastAsia="x-none"/>
        </w:rPr>
      </w:pPr>
      <w:hyperlink r:id="rId1132" w:history="1">
        <w:r w:rsidR="00AF7253">
          <w:rPr>
            <w:rStyle w:val="Hyperlink"/>
            <w:lang w:eastAsia="x-none"/>
          </w:rPr>
          <w:t>R1-2311403</w:t>
        </w:r>
      </w:hyperlink>
      <w:r w:rsidR="00F74A6F" w:rsidRPr="009537ED">
        <w:rPr>
          <w:lang w:eastAsia="x-none"/>
        </w:rPr>
        <w:tab/>
        <w:t>Remaining details on resource allocation for SL positioning reference signal</w:t>
      </w:r>
      <w:r w:rsidR="00F74A6F" w:rsidRPr="009537ED">
        <w:rPr>
          <w:lang w:eastAsia="x-none"/>
        </w:rPr>
        <w:tab/>
        <w:t>xiaomi</w:t>
      </w:r>
    </w:p>
    <w:p w14:paraId="0F392859" w14:textId="65BCC365" w:rsidR="00F74A6F" w:rsidRPr="009537ED" w:rsidRDefault="005A18DC" w:rsidP="00F74A6F">
      <w:pPr>
        <w:rPr>
          <w:lang w:eastAsia="x-none"/>
        </w:rPr>
      </w:pPr>
      <w:hyperlink r:id="rId1133" w:history="1">
        <w:r w:rsidR="00AF7253">
          <w:rPr>
            <w:rStyle w:val="Hyperlink"/>
            <w:lang w:eastAsia="x-none"/>
          </w:rPr>
          <w:t>R1-2311431</w:t>
        </w:r>
      </w:hyperlink>
      <w:r w:rsidR="00F74A6F" w:rsidRPr="009537ED">
        <w:rPr>
          <w:lang w:eastAsia="x-none"/>
        </w:rPr>
        <w:tab/>
        <w:t>Remaining issues on resource allocation for SL positioning reference signal</w:t>
      </w:r>
      <w:r w:rsidR="00F74A6F" w:rsidRPr="009537ED">
        <w:rPr>
          <w:lang w:eastAsia="x-none"/>
        </w:rPr>
        <w:tab/>
        <w:t>NEC</w:t>
      </w:r>
    </w:p>
    <w:p w14:paraId="1ECD92EF" w14:textId="09B675BE" w:rsidR="00F74A6F" w:rsidRPr="009537ED" w:rsidRDefault="005A18DC" w:rsidP="00F74A6F">
      <w:pPr>
        <w:rPr>
          <w:lang w:eastAsia="x-none"/>
        </w:rPr>
      </w:pPr>
      <w:hyperlink r:id="rId1134" w:history="1">
        <w:r w:rsidR="00AF7253">
          <w:rPr>
            <w:rStyle w:val="Hyperlink"/>
            <w:lang w:eastAsia="x-none"/>
          </w:rPr>
          <w:t>R1-2311458</w:t>
        </w:r>
      </w:hyperlink>
      <w:r w:rsidR="00F74A6F" w:rsidRPr="009537ED">
        <w:rPr>
          <w:lang w:eastAsia="x-none"/>
        </w:rPr>
        <w:tab/>
        <w:t>Maintenance on resource allocation for SL positioning reference signal</w:t>
      </w:r>
      <w:r w:rsidR="00F74A6F" w:rsidRPr="009537ED">
        <w:rPr>
          <w:lang w:eastAsia="x-none"/>
        </w:rPr>
        <w:tab/>
        <w:t>ZTE</w:t>
      </w:r>
    </w:p>
    <w:p w14:paraId="4F8AA1EE" w14:textId="68607175" w:rsidR="00F74A6F" w:rsidRPr="009537ED" w:rsidRDefault="005A18DC" w:rsidP="00F74A6F">
      <w:pPr>
        <w:rPr>
          <w:lang w:eastAsia="x-none"/>
        </w:rPr>
      </w:pPr>
      <w:hyperlink r:id="rId1135" w:history="1">
        <w:r w:rsidR="00AF7253">
          <w:rPr>
            <w:rStyle w:val="Hyperlink"/>
            <w:lang w:eastAsia="x-none"/>
          </w:rPr>
          <w:t>R1-2311482</w:t>
        </w:r>
      </w:hyperlink>
      <w:r w:rsidR="00F74A6F" w:rsidRPr="009537ED">
        <w:rPr>
          <w:lang w:eastAsia="x-none"/>
        </w:rPr>
        <w:tab/>
        <w:t>Maintenance on resource allocation for SL positioning reference signal</w:t>
      </w:r>
      <w:r w:rsidR="00F74A6F" w:rsidRPr="009537ED">
        <w:rPr>
          <w:lang w:eastAsia="x-none"/>
        </w:rPr>
        <w:tab/>
        <w:t>CMCC</w:t>
      </w:r>
    </w:p>
    <w:p w14:paraId="14730FC4" w14:textId="2F072DA5" w:rsidR="00F74A6F" w:rsidRPr="009537ED" w:rsidRDefault="005A18DC" w:rsidP="00F74A6F">
      <w:pPr>
        <w:rPr>
          <w:lang w:eastAsia="x-none"/>
        </w:rPr>
      </w:pPr>
      <w:hyperlink r:id="rId1136" w:history="1">
        <w:r w:rsidR="00AF7253">
          <w:rPr>
            <w:rStyle w:val="Hyperlink"/>
            <w:lang w:eastAsia="x-none"/>
          </w:rPr>
          <w:t>R1-2311544</w:t>
        </w:r>
      </w:hyperlink>
      <w:r w:rsidR="00F74A6F" w:rsidRPr="009537ED">
        <w:rPr>
          <w:lang w:eastAsia="x-none"/>
        </w:rPr>
        <w:tab/>
        <w:t>Remaining issues on resource allocation for SL PRS</w:t>
      </w:r>
      <w:r w:rsidR="00F74A6F" w:rsidRPr="009537ED">
        <w:rPr>
          <w:lang w:eastAsia="x-none"/>
        </w:rPr>
        <w:tab/>
        <w:t>China Telecom</w:t>
      </w:r>
    </w:p>
    <w:p w14:paraId="1D307FB0" w14:textId="27C396CC" w:rsidR="00F74A6F" w:rsidRPr="009537ED" w:rsidRDefault="005A18DC" w:rsidP="00F74A6F">
      <w:pPr>
        <w:rPr>
          <w:lang w:eastAsia="x-none"/>
        </w:rPr>
      </w:pPr>
      <w:hyperlink r:id="rId1137" w:history="1">
        <w:r w:rsidR="00AF7253">
          <w:rPr>
            <w:rStyle w:val="Hyperlink"/>
            <w:lang w:eastAsia="x-none"/>
          </w:rPr>
          <w:t>R1-2311560</w:t>
        </w:r>
      </w:hyperlink>
      <w:r w:rsidR="00F74A6F" w:rsidRPr="009537ED">
        <w:rPr>
          <w:lang w:eastAsia="x-none"/>
        </w:rPr>
        <w:tab/>
        <w:t>Maintenance on Resource allocation for SL PRS</w:t>
      </w:r>
      <w:r w:rsidR="00F74A6F" w:rsidRPr="009537ED">
        <w:rPr>
          <w:lang w:eastAsia="x-none"/>
        </w:rPr>
        <w:tab/>
        <w:t>ASUSTeK</w:t>
      </w:r>
    </w:p>
    <w:p w14:paraId="689F403A" w14:textId="1EDF6864" w:rsidR="00F74A6F" w:rsidRPr="009537ED" w:rsidRDefault="005A18DC" w:rsidP="00F74A6F">
      <w:pPr>
        <w:rPr>
          <w:lang w:eastAsia="x-none"/>
        </w:rPr>
      </w:pPr>
      <w:hyperlink r:id="rId1138" w:history="1">
        <w:r w:rsidR="00AF7253">
          <w:rPr>
            <w:rStyle w:val="Hyperlink"/>
            <w:lang w:eastAsia="x-none"/>
          </w:rPr>
          <w:t>R1-2311597</w:t>
        </w:r>
      </w:hyperlink>
      <w:r w:rsidR="00F74A6F" w:rsidRPr="009537ED">
        <w:rPr>
          <w:lang w:eastAsia="x-none"/>
        </w:rPr>
        <w:tab/>
        <w:t>Remaining issues on SL PRS resource allocation</w:t>
      </w:r>
      <w:r w:rsidR="00F74A6F" w:rsidRPr="009537ED">
        <w:rPr>
          <w:lang w:eastAsia="x-none"/>
        </w:rPr>
        <w:tab/>
        <w:t>InterDigital, Inc.</w:t>
      </w:r>
    </w:p>
    <w:p w14:paraId="406FE13D" w14:textId="4E441D18" w:rsidR="00F74A6F" w:rsidRPr="009537ED" w:rsidRDefault="005A18DC" w:rsidP="00F74A6F">
      <w:pPr>
        <w:rPr>
          <w:lang w:eastAsia="x-none"/>
        </w:rPr>
      </w:pPr>
      <w:hyperlink r:id="rId1139" w:history="1">
        <w:r w:rsidR="00AF7253">
          <w:rPr>
            <w:rStyle w:val="Hyperlink"/>
            <w:lang w:eastAsia="x-none"/>
          </w:rPr>
          <w:t>R1-2311684</w:t>
        </w:r>
      </w:hyperlink>
      <w:r w:rsidR="00F74A6F" w:rsidRPr="009537ED">
        <w:rPr>
          <w:lang w:eastAsia="x-none"/>
        </w:rPr>
        <w:tab/>
        <w:t>Remaining Issues On Resource allocation for SL positioning reference signal</w:t>
      </w:r>
      <w:r w:rsidR="00F74A6F" w:rsidRPr="009537ED">
        <w:rPr>
          <w:lang w:eastAsia="x-none"/>
        </w:rPr>
        <w:tab/>
        <w:t>Apple</w:t>
      </w:r>
    </w:p>
    <w:p w14:paraId="1F20B7C8" w14:textId="0F77CED8" w:rsidR="00F74A6F" w:rsidRPr="009537ED" w:rsidRDefault="005A18DC" w:rsidP="00F74A6F">
      <w:pPr>
        <w:rPr>
          <w:lang w:eastAsia="x-none"/>
        </w:rPr>
      </w:pPr>
      <w:hyperlink r:id="rId1140" w:history="1">
        <w:r w:rsidR="00AF7253">
          <w:rPr>
            <w:rStyle w:val="Hyperlink"/>
            <w:lang w:eastAsia="x-none"/>
          </w:rPr>
          <w:t>R1-2311748</w:t>
        </w:r>
      </w:hyperlink>
      <w:r w:rsidR="00F74A6F" w:rsidRPr="009537ED">
        <w:rPr>
          <w:lang w:eastAsia="x-none"/>
        </w:rPr>
        <w:tab/>
        <w:t>Remaining issues on resource allocation for SL positioning reference signal</w:t>
      </w:r>
      <w:r w:rsidR="00F74A6F" w:rsidRPr="009537ED">
        <w:rPr>
          <w:lang w:eastAsia="x-none"/>
        </w:rPr>
        <w:tab/>
        <w:t>Sharp</w:t>
      </w:r>
    </w:p>
    <w:p w14:paraId="4537263C" w14:textId="260585EE" w:rsidR="00F74A6F" w:rsidRPr="009537ED" w:rsidRDefault="005A18DC" w:rsidP="00F74A6F">
      <w:pPr>
        <w:rPr>
          <w:lang w:eastAsia="x-none"/>
        </w:rPr>
      </w:pPr>
      <w:hyperlink r:id="rId1141" w:history="1">
        <w:r w:rsidR="00AF7253">
          <w:rPr>
            <w:rStyle w:val="Hyperlink"/>
            <w:lang w:eastAsia="x-none"/>
          </w:rPr>
          <w:t>R1-2311843</w:t>
        </w:r>
      </w:hyperlink>
      <w:r w:rsidR="00F74A6F" w:rsidRPr="009537ED">
        <w:rPr>
          <w:lang w:eastAsia="x-none"/>
        </w:rPr>
        <w:tab/>
        <w:t>Maintenance on Resource Allocation for SL Positioning Reference Signal</w:t>
      </w:r>
      <w:r w:rsidR="00F74A6F" w:rsidRPr="009537ED">
        <w:rPr>
          <w:lang w:eastAsia="x-none"/>
        </w:rPr>
        <w:tab/>
        <w:t>Samsung</w:t>
      </w:r>
    </w:p>
    <w:p w14:paraId="6FC29693" w14:textId="36BCC59A" w:rsidR="00F74A6F" w:rsidRPr="009537ED" w:rsidRDefault="005A18DC" w:rsidP="00F74A6F">
      <w:pPr>
        <w:rPr>
          <w:lang w:eastAsia="x-none"/>
        </w:rPr>
      </w:pPr>
      <w:hyperlink r:id="rId1142" w:history="1">
        <w:r w:rsidR="00AF7253">
          <w:rPr>
            <w:rStyle w:val="Hyperlink"/>
            <w:lang w:eastAsia="x-none"/>
          </w:rPr>
          <w:t>R1-2312035</w:t>
        </w:r>
      </w:hyperlink>
      <w:r w:rsidR="00F74A6F" w:rsidRPr="009537ED">
        <w:rPr>
          <w:lang w:eastAsia="x-none"/>
        </w:rPr>
        <w:tab/>
        <w:t>Resource Allocation for SL-PRS</w:t>
      </w:r>
      <w:r w:rsidR="00F74A6F" w:rsidRPr="009537ED">
        <w:rPr>
          <w:lang w:eastAsia="x-none"/>
        </w:rPr>
        <w:tab/>
        <w:t>Qualcomm Incorporated</w:t>
      </w:r>
    </w:p>
    <w:p w14:paraId="171769E2" w14:textId="53A7B8B9" w:rsidR="00F74A6F" w:rsidRPr="009537ED" w:rsidRDefault="005A18DC" w:rsidP="00F74A6F">
      <w:pPr>
        <w:rPr>
          <w:lang w:eastAsia="x-none"/>
        </w:rPr>
      </w:pPr>
      <w:hyperlink r:id="rId1143" w:history="1">
        <w:r w:rsidR="00AF7253">
          <w:rPr>
            <w:rStyle w:val="Hyperlink"/>
            <w:lang w:eastAsia="x-none"/>
          </w:rPr>
          <w:t>R1-2312125</w:t>
        </w:r>
      </w:hyperlink>
      <w:r w:rsidR="00F74A6F" w:rsidRPr="009537ED">
        <w:rPr>
          <w:lang w:eastAsia="x-none"/>
        </w:rPr>
        <w:tab/>
        <w:t>Remaining issues on resource allocation for SL positioning reference signal</w:t>
      </w:r>
      <w:r w:rsidR="00F74A6F" w:rsidRPr="009537ED">
        <w:rPr>
          <w:lang w:eastAsia="x-none"/>
        </w:rPr>
        <w:tab/>
        <w:t>LG Electronics</w:t>
      </w:r>
    </w:p>
    <w:p w14:paraId="7845CCE7" w14:textId="59D48724" w:rsidR="00F74A6F" w:rsidRPr="009537ED" w:rsidRDefault="005A18DC" w:rsidP="00F74A6F">
      <w:pPr>
        <w:rPr>
          <w:lang w:eastAsia="x-none"/>
        </w:rPr>
      </w:pPr>
      <w:hyperlink r:id="rId1144" w:history="1">
        <w:r w:rsidR="00AF7253">
          <w:rPr>
            <w:rStyle w:val="Hyperlink"/>
            <w:lang w:eastAsia="x-none"/>
          </w:rPr>
          <w:t>R1-2312157</w:t>
        </w:r>
      </w:hyperlink>
      <w:r w:rsidR="00F74A6F" w:rsidRPr="009537ED">
        <w:rPr>
          <w:lang w:eastAsia="x-none"/>
        </w:rPr>
        <w:tab/>
        <w:t>Remaining issues on resource allocation for SL positioning reference signal</w:t>
      </w:r>
      <w:r w:rsidR="00F74A6F" w:rsidRPr="009537ED">
        <w:rPr>
          <w:lang w:eastAsia="x-none"/>
        </w:rPr>
        <w:tab/>
        <w:t>CEWiT</w:t>
      </w:r>
    </w:p>
    <w:p w14:paraId="28D2B6E6" w14:textId="4DA02E97" w:rsidR="00F74A6F" w:rsidRDefault="005A18DC" w:rsidP="00F74A6F">
      <w:pPr>
        <w:rPr>
          <w:lang w:eastAsia="x-none"/>
        </w:rPr>
      </w:pPr>
      <w:hyperlink r:id="rId1145" w:history="1">
        <w:r w:rsidR="00AF7253">
          <w:rPr>
            <w:rStyle w:val="Hyperlink"/>
            <w:lang w:eastAsia="x-none"/>
          </w:rPr>
          <w:t>R1-2312187</w:t>
        </w:r>
      </w:hyperlink>
      <w:r w:rsidR="00F74A6F" w:rsidRPr="009537ED">
        <w:rPr>
          <w:lang w:eastAsia="x-none"/>
        </w:rPr>
        <w:tab/>
        <w:t>Remaining issues on resource allocation for SL positioning reference signal</w:t>
      </w:r>
      <w:r w:rsidR="00F74A6F" w:rsidRPr="009537ED">
        <w:rPr>
          <w:lang w:eastAsia="x-none"/>
        </w:rPr>
        <w:tab/>
        <w:t>Ericsson</w:t>
      </w:r>
    </w:p>
    <w:p w14:paraId="2056119A" w14:textId="77777777" w:rsidR="00BF09FD" w:rsidRDefault="00BF09FD" w:rsidP="00F74A6F">
      <w:pPr>
        <w:rPr>
          <w:lang w:eastAsia="x-none"/>
        </w:rPr>
      </w:pPr>
    </w:p>
    <w:p w14:paraId="63AFA5F0" w14:textId="2E402C45" w:rsidR="00BF09FD" w:rsidRPr="001C256A" w:rsidRDefault="005A18DC" w:rsidP="001C256A">
      <w:pPr>
        <w:rPr>
          <w:b/>
          <w:bCs/>
          <w:lang w:eastAsia="x-none"/>
        </w:rPr>
      </w:pPr>
      <w:hyperlink r:id="rId1146" w:history="1">
        <w:r w:rsidR="00AF7253">
          <w:rPr>
            <w:rStyle w:val="Hyperlink"/>
            <w:b/>
            <w:bCs/>
            <w:lang w:eastAsia="x-none"/>
          </w:rPr>
          <w:t>R1-2312420</w:t>
        </w:r>
      </w:hyperlink>
      <w:r w:rsidR="001C256A" w:rsidRPr="001C256A">
        <w:rPr>
          <w:b/>
          <w:bCs/>
          <w:lang w:eastAsia="x-none"/>
        </w:rPr>
        <w:tab/>
        <w:t>Moderator Summary #0 on resource allocation for SL PRS</w:t>
      </w:r>
      <w:r w:rsidR="001C256A" w:rsidRPr="001C256A">
        <w:rPr>
          <w:b/>
          <w:bCs/>
          <w:lang w:eastAsia="x-none"/>
        </w:rPr>
        <w:tab/>
        <w:t>Moderator (Qualcomm)</w:t>
      </w:r>
    </w:p>
    <w:p w14:paraId="0026CCE9" w14:textId="53A55530" w:rsidR="001C256A" w:rsidRDefault="001C256A" w:rsidP="001C256A">
      <w:pPr>
        <w:rPr>
          <w:lang w:eastAsia="x-none"/>
        </w:rPr>
      </w:pPr>
      <w:r>
        <w:rPr>
          <w:lang w:eastAsia="x-none"/>
        </w:rPr>
        <w:t>From Tuesday session</w:t>
      </w:r>
    </w:p>
    <w:p w14:paraId="237C9791" w14:textId="77777777" w:rsidR="001C256A" w:rsidRPr="001C256A" w:rsidRDefault="001C256A" w:rsidP="001C256A">
      <w:pPr>
        <w:rPr>
          <w:rFonts w:ascii="Times New Roman" w:hAnsi="Times New Roman"/>
          <w:szCs w:val="20"/>
        </w:rPr>
      </w:pPr>
      <w:r w:rsidRPr="001C256A">
        <w:rPr>
          <w:rFonts w:ascii="Times New Roman" w:hAnsi="Times New Roman"/>
          <w:szCs w:val="20"/>
          <w:highlight w:val="green"/>
        </w:rPr>
        <w:t>Agreement</w:t>
      </w:r>
    </w:p>
    <w:p w14:paraId="36C96F35" w14:textId="7B476907" w:rsidR="001C256A" w:rsidRPr="001C256A" w:rsidRDefault="001C256A" w:rsidP="001C256A">
      <w:pPr>
        <w:rPr>
          <w:rFonts w:ascii="Times New Roman" w:hAnsi="Times New Roman"/>
          <w:szCs w:val="20"/>
          <w:lang w:eastAsia="x-none"/>
        </w:rPr>
      </w:pPr>
      <w:r w:rsidRPr="001C256A">
        <w:rPr>
          <w:rFonts w:ascii="Times New Roman" w:hAnsi="Times New Roman"/>
          <w:szCs w:val="20"/>
        </w:rPr>
        <w:t xml:space="preserve">For DCI format 3-2, the resource pool index “I” should be an index over </w:t>
      </w:r>
      <w:r w:rsidRPr="001C256A">
        <w:rPr>
          <w:rFonts w:ascii="Times New Roman" w:eastAsia="Times New Roman" w:hAnsi="Times New Roman"/>
          <w:szCs w:val="20"/>
          <w:lang w:eastAsia="x-none"/>
        </w:rPr>
        <w:t>the number of dedicated SL PRS resource pools (pre-)configured to the UE</w:t>
      </w:r>
      <w:r w:rsidR="00402D80">
        <w:rPr>
          <w:rFonts w:ascii="Times New Roman" w:eastAsia="Times New Roman" w:hAnsi="Times New Roman"/>
          <w:szCs w:val="20"/>
          <w:lang w:eastAsia="x-none"/>
        </w:rPr>
        <w:t>.</w:t>
      </w:r>
    </w:p>
    <w:p w14:paraId="68BC21EA" w14:textId="77777777" w:rsidR="001C256A" w:rsidRPr="001C256A" w:rsidRDefault="001C256A" w:rsidP="001C256A">
      <w:pPr>
        <w:rPr>
          <w:rFonts w:ascii="Times New Roman" w:hAnsi="Times New Roman"/>
          <w:szCs w:val="20"/>
          <w:lang w:eastAsia="x-none"/>
        </w:rPr>
      </w:pPr>
    </w:p>
    <w:p w14:paraId="146DE9CC" w14:textId="529D1D09" w:rsidR="001C256A" w:rsidRPr="001C256A" w:rsidRDefault="001C256A" w:rsidP="001C256A">
      <w:pPr>
        <w:rPr>
          <w:rFonts w:ascii="Times New Roman" w:hAnsi="Times New Roman"/>
          <w:bCs/>
          <w:szCs w:val="20"/>
          <w:u w:val="single"/>
        </w:rPr>
      </w:pPr>
      <w:r w:rsidRPr="001C256A">
        <w:rPr>
          <w:rFonts w:ascii="Times New Roman" w:hAnsi="Times New Roman"/>
          <w:bCs/>
          <w:szCs w:val="20"/>
          <w:u w:val="single"/>
        </w:rPr>
        <w:t>Conclusio</w:t>
      </w:r>
      <w:r w:rsidR="00402D80">
        <w:rPr>
          <w:rFonts w:ascii="Times New Roman" w:hAnsi="Times New Roman"/>
          <w:bCs/>
          <w:szCs w:val="20"/>
          <w:u w:val="single"/>
        </w:rPr>
        <w:t>n</w:t>
      </w:r>
    </w:p>
    <w:p w14:paraId="57AEFE24" w14:textId="77777777" w:rsidR="001C256A" w:rsidRPr="001C256A" w:rsidRDefault="001C256A" w:rsidP="001C256A">
      <w:pPr>
        <w:rPr>
          <w:rFonts w:ascii="Times New Roman" w:hAnsi="Times New Roman"/>
          <w:szCs w:val="20"/>
        </w:rPr>
      </w:pPr>
      <w:r w:rsidRPr="001C256A">
        <w:rPr>
          <w:rFonts w:ascii="Times New Roman" w:hAnsi="Times New Roman"/>
          <w:szCs w:val="20"/>
        </w:rPr>
        <w:t>For sidelink resource allocation scheme 1 (i.e. mode 1 in the specs), dynamic grant, configured grant type 1, and configured grant type 2 are supported for both dedicated and shared SL PRS resource pools.</w:t>
      </w:r>
    </w:p>
    <w:p w14:paraId="6F588C68" w14:textId="77777777" w:rsidR="001C256A" w:rsidRPr="001C256A" w:rsidRDefault="001C256A" w:rsidP="001C256A">
      <w:pPr>
        <w:rPr>
          <w:rFonts w:ascii="Times New Roman" w:hAnsi="Times New Roman"/>
          <w:szCs w:val="20"/>
        </w:rPr>
      </w:pPr>
    </w:p>
    <w:p w14:paraId="0925F4A2" w14:textId="77777777" w:rsidR="00402D80" w:rsidRPr="001C256A" w:rsidRDefault="00402D80" w:rsidP="00402D80">
      <w:pPr>
        <w:rPr>
          <w:rFonts w:ascii="Times New Roman" w:hAnsi="Times New Roman"/>
          <w:szCs w:val="20"/>
        </w:rPr>
      </w:pPr>
      <w:r w:rsidRPr="00FD5134">
        <w:rPr>
          <w:rFonts w:ascii="Times New Roman" w:hAnsi="Times New Roman"/>
          <w:szCs w:val="20"/>
          <w:highlight w:val="green"/>
        </w:rPr>
        <w:t>Agreement</w:t>
      </w:r>
    </w:p>
    <w:p w14:paraId="330F701D" w14:textId="77777777" w:rsidR="001C256A" w:rsidRPr="001C256A" w:rsidRDefault="001C256A" w:rsidP="001C256A">
      <w:pPr>
        <w:rPr>
          <w:rFonts w:ascii="Times New Roman" w:hAnsi="Times New Roman"/>
          <w:szCs w:val="20"/>
        </w:rPr>
      </w:pPr>
      <w:r w:rsidRPr="001C256A">
        <w:rPr>
          <w:rFonts w:ascii="Times New Roman" w:hAnsi="Times New Roman"/>
          <w:szCs w:val="20"/>
        </w:rPr>
        <w:t>Support the following TP for 38.214 clause 8.2.4.1:</w:t>
      </w:r>
    </w:p>
    <w:tbl>
      <w:tblPr>
        <w:tblW w:w="5000" w:type="pct"/>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0683"/>
      </w:tblGrid>
      <w:tr w:rsidR="001C256A" w:rsidRPr="001C256A" w14:paraId="33545463" w14:textId="77777777" w:rsidTr="00402D80">
        <w:tc>
          <w:tcPr>
            <w:tcW w:w="5000" w:type="pct"/>
            <w:shd w:val="clear" w:color="auto" w:fill="auto"/>
          </w:tcPr>
          <w:p w14:paraId="724CC599" w14:textId="77777777" w:rsidR="001C256A" w:rsidRPr="001C256A" w:rsidRDefault="001C256A" w:rsidP="001C256A">
            <w:pPr>
              <w:jc w:val="both"/>
              <w:rPr>
                <w:rFonts w:ascii="Arial" w:hAnsi="Arial" w:cs="Arial"/>
                <w:sz w:val="16"/>
                <w:szCs w:val="16"/>
              </w:rPr>
            </w:pPr>
            <w:r w:rsidRPr="001C256A">
              <w:rPr>
                <w:rFonts w:ascii="Arial" w:hAnsi="Arial" w:cs="Arial"/>
                <w:sz w:val="16"/>
                <w:szCs w:val="16"/>
              </w:rPr>
              <w:t xml:space="preserve">In sidelink resource allocation mode 1: </w:t>
            </w:r>
          </w:p>
          <w:p w14:paraId="06458036" w14:textId="34611084" w:rsidR="001C256A" w:rsidRPr="001C256A" w:rsidRDefault="001C256A" w:rsidP="001C256A">
            <w:pPr>
              <w:jc w:val="both"/>
              <w:rPr>
                <w:rFonts w:ascii="Arial" w:hAnsi="Arial" w:cs="Arial"/>
                <w:sz w:val="16"/>
                <w:szCs w:val="16"/>
              </w:rPr>
            </w:pPr>
            <w:r w:rsidRPr="001C256A">
              <w:rPr>
                <w:rFonts w:ascii="Arial" w:hAnsi="Arial" w:cs="Arial"/>
                <w:sz w:val="16"/>
                <w:szCs w:val="16"/>
              </w:rPr>
              <w:t>-</w:t>
            </w:r>
            <w:r w:rsidR="00402D80">
              <w:rPr>
                <w:rFonts w:ascii="Arial" w:hAnsi="Arial" w:cs="Arial"/>
                <w:sz w:val="16"/>
                <w:szCs w:val="16"/>
              </w:rPr>
              <w:t xml:space="preserve"> </w:t>
            </w:r>
            <w:r w:rsidRPr="001C256A">
              <w:rPr>
                <w:rFonts w:ascii="Arial" w:hAnsi="Arial" w:cs="Arial"/>
                <w:sz w:val="16"/>
                <w:szCs w:val="16"/>
              </w:rPr>
              <w:t>For SL PRS transmission,</w:t>
            </w:r>
            <w:r w:rsidRPr="001C256A">
              <w:rPr>
                <w:rFonts w:ascii="Arial" w:hAnsi="Arial" w:cs="Arial"/>
                <w:color w:val="FF0000"/>
                <w:sz w:val="16"/>
                <w:szCs w:val="16"/>
              </w:rPr>
              <w:t xml:space="preserve"> </w:t>
            </w:r>
            <w:r w:rsidRPr="001C256A">
              <w:rPr>
                <w:rFonts w:ascii="Arial" w:hAnsi="Arial" w:cs="Arial"/>
                <w:strike/>
                <w:color w:val="FF0000"/>
                <w:sz w:val="16"/>
                <w:szCs w:val="16"/>
              </w:rPr>
              <w:t>a UE may be configured with</w:t>
            </w:r>
            <w:r w:rsidRPr="001C256A">
              <w:rPr>
                <w:rFonts w:ascii="Arial" w:hAnsi="Arial" w:cs="Arial"/>
                <w:color w:val="FF0000"/>
                <w:sz w:val="16"/>
                <w:szCs w:val="16"/>
              </w:rPr>
              <w:t xml:space="preserve"> </w:t>
            </w:r>
            <w:r w:rsidRPr="001C256A">
              <w:rPr>
                <w:rFonts w:ascii="Arial" w:hAnsi="Arial" w:cs="Arial"/>
                <w:sz w:val="16"/>
                <w:szCs w:val="16"/>
              </w:rPr>
              <w:t>dynamic grant, configured grant type 1,</w:t>
            </w:r>
            <w:r w:rsidRPr="001C256A">
              <w:rPr>
                <w:rFonts w:ascii="Arial" w:hAnsi="Arial" w:cs="Arial"/>
                <w:color w:val="FF0000"/>
                <w:sz w:val="16"/>
                <w:szCs w:val="16"/>
                <w:u w:val="single"/>
              </w:rPr>
              <w:t xml:space="preserve"> and</w:t>
            </w:r>
            <w:r w:rsidRPr="001C256A">
              <w:rPr>
                <w:rFonts w:ascii="Arial" w:hAnsi="Arial" w:cs="Arial"/>
                <w:sz w:val="16"/>
                <w:szCs w:val="16"/>
              </w:rPr>
              <w:t xml:space="preserve"> </w:t>
            </w:r>
            <w:r w:rsidRPr="001C256A">
              <w:rPr>
                <w:rFonts w:ascii="Arial" w:hAnsi="Arial" w:cs="Arial"/>
                <w:strike/>
                <w:color w:val="FF0000"/>
                <w:sz w:val="16"/>
                <w:szCs w:val="16"/>
              </w:rPr>
              <w:t xml:space="preserve">[/]or </w:t>
            </w:r>
            <w:r w:rsidRPr="001C256A">
              <w:rPr>
                <w:rFonts w:ascii="Arial" w:hAnsi="Arial" w:cs="Arial"/>
                <w:sz w:val="16"/>
                <w:szCs w:val="16"/>
              </w:rPr>
              <w:t xml:space="preserve">configured grant type 2 </w:t>
            </w:r>
            <w:r w:rsidRPr="001C256A">
              <w:rPr>
                <w:rFonts w:ascii="Arial" w:hAnsi="Arial" w:cs="Arial"/>
                <w:color w:val="FF0000"/>
                <w:sz w:val="16"/>
                <w:szCs w:val="16"/>
                <w:u w:val="single"/>
              </w:rPr>
              <w:t>are supported</w:t>
            </w:r>
          </w:p>
        </w:tc>
      </w:tr>
    </w:tbl>
    <w:p w14:paraId="4F3C4C36" w14:textId="77777777" w:rsidR="001C256A" w:rsidRPr="001C256A" w:rsidRDefault="001C256A" w:rsidP="001C256A">
      <w:pPr>
        <w:rPr>
          <w:rFonts w:ascii="Times New Roman" w:hAnsi="Times New Roman"/>
          <w:szCs w:val="20"/>
          <w:lang w:eastAsia="x-none"/>
        </w:rPr>
      </w:pPr>
    </w:p>
    <w:p w14:paraId="5744970C" w14:textId="77777777" w:rsidR="001C256A" w:rsidRPr="001C256A" w:rsidRDefault="001C256A" w:rsidP="001C256A">
      <w:pPr>
        <w:rPr>
          <w:rFonts w:ascii="Times New Roman" w:hAnsi="Times New Roman"/>
          <w:szCs w:val="20"/>
        </w:rPr>
      </w:pPr>
      <w:r w:rsidRPr="001C256A">
        <w:rPr>
          <w:rFonts w:ascii="Times New Roman" w:hAnsi="Times New Roman"/>
          <w:szCs w:val="20"/>
          <w:highlight w:val="green"/>
        </w:rPr>
        <w:t>Agreement</w:t>
      </w:r>
    </w:p>
    <w:p w14:paraId="7D63829E" w14:textId="77777777" w:rsidR="001C256A" w:rsidRPr="001C256A" w:rsidRDefault="001C256A" w:rsidP="00402D80">
      <w:r w:rsidRPr="001C256A">
        <w:t>Use SL PRS delay budget instead of packet delay budget in SL PRS resource selection in a dedicated SL PRS resource pool in sidelink resource allocation mode 2.</w:t>
      </w:r>
    </w:p>
    <w:p w14:paraId="6D96F0BD" w14:textId="77777777" w:rsidR="001C256A" w:rsidRPr="001C256A" w:rsidRDefault="001C256A" w:rsidP="00AA1D48">
      <w:pPr>
        <w:pStyle w:val="ListParagraph"/>
        <w:numPr>
          <w:ilvl w:val="0"/>
          <w:numId w:val="137"/>
        </w:numPr>
      </w:pPr>
      <w:r w:rsidRPr="001C256A">
        <w:t>Agree the below text proposal on Clause 8.2.4.2 of TS 38.214.</w:t>
      </w:r>
    </w:p>
    <w:tbl>
      <w:tblPr>
        <w:tblW w:w="0" w:type="auto"/>
        <w:tblInd w:w="895" w:type="dxa"/>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8370"/>
      </w:tblGrid>
      <w:tr w:rsidR="001C256A" w:rsidRPr="001C256A" w14:paraId="7DAC5345" w14:textId="77777777" w:rsidTr="00124274">
        <w:tc>
          <w:tcPr>
            <w:tcW w:w="8370" w:type="dxa"/>
            <w:shd w:val="clear" w:color="auto" w:fill="auto"/>
          </w:tcPr>
          <w:p w14:paraId="25C46D65" w14:textId="77777777" w:rsidR="001C256A" w:rsidRPr="001C256A" w:rsidRDefault="001C256A" w:rsidP="00BC0551">
            <w:pPr>
              <w:jc w:val="center"/>
              <w:rPr>
                <w:rFonts w:ascii="Arial" w:hAnsi="Arial" w:cs="Arial"/>
                <w:sz w:val="16"/>
                <w:szCs w:val="16"/>
              </w:rPr>
            </w:pPr>
            <w:r w:rsidRPr="001C256A">
              <w:rPr>
                <w:rFonts w:ascii="Arial" w:hAnsi="Arial" w:cs="Arial"/>
                <w:sz w:val="16"/>
                <w:szCs w:val="16"/>
              </w:rPr>
              <w:t>&lt;omitted text&gt;</w:t>
            </w:r>
          </w:p>
          <w:p w14:paraId="7BA5941A" w14:textId="77777777" w:rsidR="001C256A" w:rsidRPr="001C256A" w:rsidRDefault="001C256A" w:rsidP="00BC0551">
            <w:pPr>
              <w:rPr>
                <w:rFonts w:ascii="Arial" w:hAnsi="Arial" w:cs="Arial"/>
                <w:sz w:val="16"/>
                <w:szCs w:val="16"/>
              </w:rPr>
            </w:pPr>
            <w:r w:rsidRPr="001C256A">
              <w:rPr>
                <w:rFonts w:ascii="Arial" w:hAnsi="Arial" w:cs="Arial"/>
                <w:sz w:val="16"/>
                <w:szCs w:val="16"/>
              </w:rPr>
              <w:t>The UE shall perform this procedure according to clause 8.1.4, with the following modifications:</w:t>
            </w:r>
          </w:p>
          <w:p w14:paraId="1A2FB68A" w14:textId="11801AB1" w:rsidR="001C256A" w:rsidRPr="00BC0551" w:rsidRDefault="001C256A" w:rsidP="00BC0551">
            <w:pPr>
              <w:pStyle w:val="ListParagraph"/>
              <w:numPr>
                <w:ilvl w:val="0"/>
                <w:numId w:val="69"/>
              </w:numPr>
              <w:spacing w:after="0"/>
              <w:rPr>
                <w:rFonts w:ascii="Arial" w:hAnsi="Arial" w:cs="Arial"/>
                <w:sz w:val="16"/>
                <w:szCs w:val="16"/>
              </w:rPr>
            </w:pPr>
            <w:r w:rsidRPr="00BC0551">
              <w:rPr>
                <w:rFonts w:ascii="Arial" w:hAnsi="Arial" w:cs="Arial"/>
                <w:color w:val="FF0000"/>
                <w:sz w:val="16"/>
                <w:szCs w:val="16"/>
              </w:rPr>
              <w:t>“packet delay budget” is replaced by “SL PRS delay budget”</w:t>
            </w:r>
          </w:p>
          <w:p w14:paraId="337A80CF" w14:textId="77777777" w:rsidR="001C256A" w:rsidRPr="001C256A" w:rsidRDefault="001C256A" w:rsidP="00BC0551">
            <w:pPr>
              <w:jc w:val="center"/>
              <w:rPr>
                <w:rFonts w:ascii="Arial" w:hAnsi="Arial" w:cs="Arial"/>
                <w:sz w:val="16"/>
                <w:szCs w:val="16"/>
              </w:rPr>
            </w:pPr>
            <w:r w:rsidRPr="001C256A">
              <w:rPr>
                <w:rFonts w:ascii="Arial" w:hAnsi="Arial" w:cs="Arial"/>
                <w:sz w:val="16"/>
                <w:szCs w:val="16"/>
              </w:rPr>
              <w:t>&lt;omitted text&gt;</w:t>
            </w:r>
          </w:p>
        </w:tc>
      </w:tr>
    </w:tbl>
    <w:p w14:paraId="3C3E96D5" w14:textId="77777777" w:rsidR="001C256A" w:rsidRPr="001C256A" w:rsidRDefault="001C256A" w:rsidP="001C256A">
      <w:pPr>
        <w:rPr>
          <w:rFonts w:ascii="Times New Roman" w:hAnsi="Times New Roman"/>
          <w:szCs w:val="20"/>
          <w:lang w:eastAsia="x-none"/>
        </w:rPr>
      </w:pPr>
    </w:p>
    <w:p w14:paraId="482D40D2" w14:textId="77777777" w:rsidR="001C256A" w:rsidRPr="001C256A" w:rsidRDefault="001C256A" w:rsidP="001C256A">
      <w:pPr>
        <w:rPr>
          <w:rFonts w:ascii="Times New Roman" w:hAnsi="Times New Roman"/>
          <w:bCs/>
          <w:szCs w:val="20"/>
          <w:u w:val="single"/>
          <w:lang w:eastAsia="x-none"/>
        </w:rPr>
      </w:pPr>
      <w:r w:rsidRPr="001C256A">
        <w:rPr>
          <w:rFonts w:ascii="Times New Roman" w:hAnsi="Times New Roman"/>
          <w:bCs/>
          <w:szCs w:val="20"/>
          <w:u w:val="single"/>
          <w:lang w:eastAsia="x-none"/>
        </w:rPr>
        <w:t>Conclusion</w:t>
      </w:r>
    </w:p>
    <w:p w14:paraId="0B1C9128" w14:textId="77777777" w:rsidR="001C256A" w:rsidRPr="001C256A" w:rsidRDefault="001C256A" w:rsidP="001C256A">
      <w:pPr>
        <w:jc w:val="both"/>
        <w:rPr>
          <w:rFonts w:ascii="Times New Roman" w:eastAsia="Malgun Gothic" w:hAnsi="Times New Roman"/>
          <w:bCs/>
          <w:szCs w:val="20"/>
        </w:rPr>
      </w:pPr>
      <w:r w:rsidRPr="001C256A">
        <w:rPr>
          <w:rFonts w:ascii="Times New Roman" w:eastAsia="Malgun Gothic" w:hAnsi="Times New Roman"/>
          <w:bCs/>
          <w:szCs w:val="20"/>
        </w:rPr>
        <w:t>For a dedicated resource pool, the periodicity of SL PRS cannot be restricted by congestion control.</w:t>
      </w:r>
    </w:p>
    <w:p w14:paraId="0B580B0C" w14:textId="77777777" w:rsidR="001C256A" w:rsidRPr="001C256A" w:rsidRDefault="001C256A" w:rsidP="001C256A">
      <w:pPr>
        <w:rPr>
          <w:rFonts w:ascii="Times New Roman" w:hAnsi="Times New Roman"/>
          <w:szCs w:val="20"/>
          <w:lang w:eastAsia="x-none"/>
        </w:rPr>
      </w:pPr>
    </w:p>
    <w:p w14:paraId="4BAC8820" w14:textId="77777777" w:rsidR="001C256A" w:rsidRPr="001C256A" w:rsidRDefault="001C256A" w:rsidP="001C256A">
      <w:pPr>
        <w:rPr>
          <w:rFonts w:ascii="Times New Roman" w:hAnsi="Times New Roman"/>
          <w:szCs w:val="20"/>
          <w:lang w:eastAsia="x-none"/>
        </w:rPr>
      </w:pPr>
      <w:r w:rsidRPr="001C256A">
        <w:rPr>
          <w:rFonts w:ascii="Times New Roman" w:hAnsi="Times New Roman"/>
          <w:szCs w:val="20"/>
          <w:highlight w:val="green"/>
          <w:lang w:eastAsia="x-none"/>
        </w:rPr>
        <w:t>Agreement</w:t>
      </w:r>
    </w:p>
    <w:p w14:paraId="34EF1961" w14:textId="77777777" w:rsidR="001C256A" w:rsidRPr="001C256A" w:rsidRDefault="001C256A" w:rsidP="001C256A">
      <w:pPr>
        <w:rPr>
          <w:rFonts w:ascii="Times New Roman" w:hAnsi="Times New Roman"/>
          <w:szCs w:val="20"/>
          <w:lang w:eastAsia="x-none"/>
        </w:rPr>
      </w:pPr>
      <w:r w:rsidRPr="001C256A">
        <w:rPr>
          <w:rFonts w:ascii="Times New Roman" w:hAnsi="Times New Roman"/>
          <w:szCs w:val="20"/>
          <w:lang w:eastAsia="x-none"/>
        </w:rPr>
        <w:t>The TP below is endorsed</w:t>
      </w:r>
    </w:p>
    <w:tbl>
      <w:tblPr>
        <w:tblW w:w="5000" w:type="pct"/>
        <w:tblCellMar>
          <w:left w:w="42" w:type="dxa"/>
          <w:right w:w="42" w:type="dxa"/>
        </w:tblCellMar>
        <w:tblLook w:val="04A0" w:firstRow="1" w:lastRow="0" w:firstColumn="1" w:lastColumn="0" w:noHBand="0" w:noVBand="1"/>
      </w:tblPr>
      <w:tblGrid>
        <w:gridCol w:w="3134"/>
        <w:gridCol w:w="7417"/>
      </w:tblGrid>
      <w:tr w:rsidR="001C256A" w:rsidRPr="001C256A" w14:paraId="41F45E4C" w14:textId="77777777" w:rsidTr="00402D80">
        <w:tc>
          <w:tcPr>
            <w:tcW w:w="1485" w:type="pct"/>
            <w:tcBorders>
              <w:top w:val="single" w:sz="4" w:space="0" w:color="auto"/>
              <w:left w:val="single" w:sz="4" w:space="0" w:color="auto"/>
            </w:tcBorders>
          </w:tcPr>
          <w:p w14:paraId="5AD8472A" w14:textId="77777777" w:rsidR="001C256A" w:rsidRPr="001C256A" w:rsidRDefault="001C256A" w:rsidP="001C256A">
            <w:pPr>
              <w:tabs>
                <w:tab w:val="right" w:pos="2184"/>
              </w:tabs>
              <w:rPr>
                <w:rFonts w:ascii="Arial" w:eastAsia="MS Mincho" w:hAnsi="Arial" w:cs="Arial"/>
                <w:b/>
                <w:i/>
                <w:sz w:val="16"/>
                <w:szCs w:val="16"/>
              </w:rPr>
            </w:pPr>
            <w:r w:rsidRPr="001C256A">
              <w:rPr>
                <w:rFonts w:ascii="Arial" w:eastAsia="MS Mincho" w:hAnsi="Arial" w:cs="Arial"/>
                <w:b/>
                <w:i/>
                <w:sz w:val="16"/>
                <w:szCs w:val="16"/>
              </w:rPr>
              <w:t>Reason for change:</w:t>
            </w:r>
          </w:p>
        </w:tc>
        <w:tc>
          <w:tcPr>
            <w:tcW w:w="3515" w:type="pct"/>
            <w:tcBorders>
              <w:top w:val="single" w:sz="4" w:space="0" w:color="auto"/>
              <w:right w:val="single" w:sz="4" w:space="0" w:color="auto"/>
            </w:tcBorders>
            <w:shd w:val="pct30" w:color="FFFF00" w:fill="auto"/>
          </w:tcPr>
          <w:p w14:paraId="362EF185" w14:textId="77777777" w:rsidR="001C256A" w:rsidRPr="001C256A" w:rsidRDefault="001C256A" w:rsidP="001C256A">
            <w:pPr>
              <w:ind w:left="100"/>
              <w:rPr>
                <w:rFonts w:ascii="Arial" w:eastAsia="MS Mincho" w:hAnsi="Arial" w:cs="Arial"/>
                <w:sz w:val="16"/>
                <w:szCs w:val="16"/>
              </w:rPr>
            </w:pPr>
            <w:r w:rsidRPr="001C256A">
              <w:rPr>
                <w:rFonts w:ascii="Arial" w:eastAsia="MS Mincho" w:hAnsi="Arial" w:cs="Arial"/>
                <w:sz w:val="16"/>
                <w:szCs w:val="16"/>
              </w:rPr>
              <w:t xml:space="preserve">Correction on step 6 of SL-PRS </w:t>
            </w:r>
            <w:r w:rsidRPr="001C256A">
              <w:rPr>
                <w:rFonts w:ascii="Arial" w:eastAsia="MS Mincho" w:hAnsi="Arial" w:cs="Arial"/>
                <w:sz w:val="16"/>
                <w:szCs w:val="16"/>
                <w:lang w:eastAsia="zh-CN"/>
              </w:rPr>
              <w:t>resource allocation</w:t>
            </w:r>
          </w:p>
        </w:tc>
      </w:tr>
      <w:tr w:rsidR="001C256A" w:rsidRPr="001C256A" w14:paraId="24D05E1F" w14:textId="77777777" w:rsidTr="00402D80">
        <w:tc>
          <w:tcPr>
            <w:tcW w:w="1485" w:type="pct"/>
            <w:tcBorders>
              <w:left w:val="single" w:sz="4" w:space="0" w:color="auto"/>
            </w:tcBorders>
          </w:tcPr>
          <w:p w14:paraId="56D2616D" w14:textId="77777777" w:rsidR="001C256A" w:rsidRPr="001C256A" w:rsidRDefault="001C256A" w:rsidP="001C256A">
            <w:pPr>
              <w:rPr>
                <w:rFonts w:ascii="Arial" w:eastAsia="MS Mincho" w:hAnsi="Arial" w:cs="Arial"/>
                <w:b/>
                <w:i/>
                <w:sz w:val="16"/>
                <w:szCs w:val="16"/>
              </w:rPr>
            </w:pPr>
          </w:p>
        </w:tc>
        <w:tc>
          <w:tcPr>
            <w:tcW w:w="3515" w:type="pct"/>
            <w:tcBorders>
              <w:right w:val="single" w:sz="4" w:space="0" w:color="auto"/>
            </w:tcBorders>
          </w:tcPr>
          <w:p w14:paraId="5FF067F0" w14:textId="77777777" w:rsidR="001C256A" w:rsidRPr="001C256A" w:rsidRDefault="001C256A" w:rsidP="001C256A">
            <w:pPr>
              <w:rPr>
                <w:rFonts w:ascii="Arial" w:eastAsia="MS Mincho" w:hAnsi="Arial" w:cs="Arial"/>
                <w:sz w:val="16"/>
                <w:szCs w:val="16"/>
              </w:rPr>
            </w:pPr>
          </w:p>
        </w:tc>
      </w:tr>
      <w:tr w:rsidR="001C256A" w:rsidRPr="001C256A" w14:paraId="678B6BFE" w14:textId="77777777" w:rsidTr="00402D80">
        <w:tc>
          <w:tcPr>
            <w:tcW w:w="1485" w:type="pct"/>
            <w:tcBorders>
              <w:left w:val="single" w:sz="4" w:space="0" w:color="auto"/>
            </w:tcBorders>
          </w:tcPr>
          <w:p w14:paraId="68B78F5F" w14:textId="77777777" w:rsidR="001C256A" w:rsidRPr="001C256A" w:rsidRDefault="001C256A" w:rsidP="001C256A">
            <w:pPr>
              <w:tabs>
                <w:tab w:val="right" w:pos="2184"/>
              </w:tabs>
              <w:rPr>
                <w:rFonts w:ascii="Arial" w:eastAsia="MS Mincho" w:hAnsi="Arial" w:cs="Arial"/>
                <w:b/>
                <w:i/>
                <w:sz w:val="16"/>
                <w:szCs w:val="16"/>
              </w:rPr>
            </w:pPr>
            <w:r w:rsidRPr="001C256A">
              <w:rPr>
                <w:rFonts w:ascii="Arial" w:eastAsia="MS Mincho" w:hAnsi="Arial" w:cs="Arial"/>
                <w:b/>
                <w:i/>
                <w:sz w:val="16"/>
                <w:szCs w:val="16"/>
              </w:rPr>
              <w:t>Summary of change:</w:t>
            </w:r>
          </w:p>
        </w:tc>
        <w:tc>
          <w:tcPr>
            <w:tcW w:w="3515" w:type="pct"/>
            <w:tcBorders>
              <w:right w:val="single" w:sz="4" w:space="0" w:color="auto"/>
            </w:tcBorders>
            <w:shd w:val="pct30" w:color="FFFF00" w:fill="auto"/>
          </w:tcPr>
          <w:p w14:paraId="65040D9F" w14:textId="77777777" w:rsidR="001C256A" w:rsidRPr="001C256A" w:rsidRDefault="001C256A" w:rsidP="001C256A">
            <w:pPr>
              <w:ind w:left="100"/>
              <w:rPr>
                <w:rFonts w:ascii="Arial" w:eastAsia="MS Mincho" w:hAnsi="Arial" w:cs="Arial"/>
                <w:sz w:val="16"/>
                <w:szCs w:val="16"/>
                <w:lang w:eastAsia="zh-CN"/>
              </w:rPr>
            </w:pPr>
            <w:r w:rsidRPr="001C256A">
              <w:rPr>
                <w:rFonts w:ascii="Arial" w:eastAsia="MS Mincho" w:hAnsi="Arial" w:cs="Arial"/>
                <w:sz w:val="16"/>
                <w:szCs w:val="16"/>
                <w:lang w:eastAsia="zh-CN"/>
              </w:rPr>
              <w:t>In clause 8.2.4.2, add modification on step 6 regarding the SL-PRS resource and slot determination based on 8.2.4.2A.</w:t>
            </w:r>
          </w:p>
        </w:tc>
      </w:tr>
      <w:tr w:rsidR="001C256A" w:rsidRPr="001C256A" w14:paraId="7A731B34" w14:textId="77777777" w:rsidTr="00402D80">
        <w:tc>
          <w:tcPr>
            <w:tcW w:w="1485" w:type="pct"/>
            <w:tcBorders>
              <w:left w:val="single" w:sz="4" w:space="0" w:color="auto"/>
            </w:tcBorders>
          </w:tcPr>
          <w:p w14:paraId="6ABAEA4E" w14:textId="77777777" w:rsidR="001C256A" w:rsidRPr="001C256A" w:rsidRDefault="001C256A" w:rsidP="001C256A">
            <w:pPr>
              <w:rPr>
                <w:rFonts w:ascii="Arial" w:eastAsia="MS Mincho" w:hAnsi="Arial" w:cs="Arial"/>
                <w:b/>
                <w:i/>
                <w:sz w:val="16"/>
                <w:szCs w:val="16"/>
              </w:rPr>
            </w:pPr>
          </w:p>
        </w:tc>
        <w:tc>
          <w:tcPr>
            <w:tcW w:w="3515" w:type="pct"/>
            <w:tcBorders>
              <w:right w:val="single" w:sz="4" w:space="0" w:color="auto"/>
            </w:tcBorders>
          </w:tcPr>
          <w:p w14:paraId="1FBB95EB" w14:textId="77777777" w:rsidR="001C256A" w:rsidRPr="001C256A" w:rsidRDefault="001C256A" w:rsidP="001C256A">
            <w:pPr>
              <w:rPr>
                <w:rFonts w:ascii="Arial" w:eastAsia="MS Mincho" w:hAnsi="Arial" w:cs="Arial"/>
                <w:sz w:val="16"/>
                <w:szCs w:val="16"/>
              </w:rPr>
            </w:pPr>
          </w:p>
        </w:tc>
      </w:tr>
      <w:tr w:rsidR="001C256A" w:rsidRPr="001C256A" w14:paraId="2FA81847" w14:textId="77777777" w:rsidTr="00402D80">
        <w:tc>
          <w:tcPr>
            <w:tcW w:w="1485" w:type="pct"/>
            <w:tcBorders>
              <w:left w:val="single" w:sz="4" w:space="0" w:color="auto"/>
              <w:bottom w:val="single" w:sz="4" w:space="0" w:color="auto"/>
            </w:tcBorders>
          </w:tcPr>
          <w:p w14:paraId="2CE79AFE" w14:textId="77777777" w:rsidR="001C256A" w:rsidRPr="001C256A" w:rsidRDefault="001C256A" w:rsidP="001C256A">
            <w:pPr>
              <w:tabs>
                <w:tab w:val="right" w:pos="2184"/>
              </w:tabs>
              <w:rPr>
                <w:rFonts w:ascii="Arial" w:eastAsia="MS Mincho" w:hAnsi="Arial" w:cs="Arial"/>
                <w:b/>
                <w:i/>
                <w:sz w:val="16"/>
                <w:szCs w:val="16"/>
              </w:rPr>
            </w:pPr>
            <w:r w:rsidRPr="001C256A">
              <w:rPr>
                <w:rFonts w:ascii="Arial" w:eastAsia="MS Mincho" w:hAnsi="Arial" w:cs="Arial"/>
                <w:b/>
                <w:i/>
                <w:sz w:val="16"/>
                <w:szCs w:val="16"/>
              </w:rPr>
              <w:t>Consequences if not approved:</w:t>
            </w:r>
          </w:p>
        </w:tc>
        <w:tc>
          <w:tcPr>
            <w:tcW w:w="3515" w:type="pct"/>
            <w:tcBorders>
              <w:bottom w:val="single" w:sz="4" w:space="0" w:color="auto"/>
              <w:right w:val="single" w:sz="4" w:space="0" w:color="auto"/>
            </w:tcBorders>
            <w:shd w:val="pct30" w:color="FFFF00" w:fill="auto"/>
          </w:tcPr>
          <w:p w14:paraId="4C31DAEA" w14:textId="77777777" w:rsidR="001C256A" w:rsidRPr="001C256A" w:rsidRDefault="001C256A" w:rsidP="001C256A">
            <w:pPr>
              <w:ind w:left="100"/>
              <w:rPr>
                <w:rFonts w:ascii="Arial" w:eastAsia="MS Mincho" w:hAnsi="Arial" w:cs="Arial"/>
                <w:sz w:val="16"/>
                <w:szCs w:val="16"/>
              </w:rPr>
            </w:pPr>
            <w:r w:rsidRPr="001C256A">
              <w:rPr>
                <w:rFonts w:ascii="Arial" w:eastAsia="MS Mincho" w:hAnsi="Arial" w:cs="Arial"/>
                <w:sz w:val="16"/>
                <w:szCs w:val="16"/>
                <w:lang w:eastAsia="zh-CN"/>
              </w:rPr>
              <w:t>The determination of resources applied for SL-PRS resource exclusion is not clear</w:t>
            </w:r>
            <w:r w:rsidRPr="001C256A">
              <w:rPr>
                <w:rFonts w:ascii="Arial" w:eastAsia="Times New Roman" w:hAnsi="Arial" w:cs="Arial"/>
                <w:sz w:val="16"/>
                <w:szCs w:val="16"/>
                <w:lang w:eastAsia="zh-CN"/>
              </w:rPr>
              <w:t>.</w:t>
            </w:r>
          </w:p>
        </w:tc>
      </w:tr>
    </w:tbl>
    <w:p w14:paraId="5EB82A64" w14:textId="77777777" w:rsidR="001C256A" w:rsidRPr="001C256A" w:rsidRDefault="001C256A" w:rsidP="001C256A">
      <w:pPr>
        <w:rPr>
          <w:rFonts w:ascii="Times New Roman" w:eastAsia="Times New Roman" w:hAnsi="Times New Roman"/>
          <w:color w:val="493118"/>
          <w:szCs w:val="20"/>
          <w:lang w:val="en-US" w:eastAsia="zh-CN"/>
        </w:rPr>
      </w:pPr>
    </w:p>
    <w:tbl>
      <w:tblPr>
        <w:tblW w:w="5000" w:type="pct"/>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0683"/>
      </w:tblGrid>
      <w:tr w:rsidR="001C256A" w:rsidRPr="001C256A" w14:paraId="6F74E1B2" w14:textId="77777777" w:rsidTr="00402D80">
        <w:tc>
          <w:tcPr>
            <w:tcW w:w="5000" w:type="pct"/>
            <w:shd w:val="clear" w:color="auto" w:fill="auto"/>
          </w:tcPr>
          <w:p w14:paraId="5A3F2CEC" w14:textId="77777777" w:rsidR="001C256A" w:rsidRPr="001C256A" w:rsidRDefault="001C256A" w:rsidP="00402D80">
            <w:pPr>
              <w:jc w:val="center"/>
              <w:rPr>
                <w:rFonts w:ascii="Arial" w:hAnsi="Arial" w:cs="Arial"/>
                <w:color w:val="FF0000"/>
                <w:sz w:val="16"/>
                <w:szCs w:val="16"/>
                <w:lang w:eastAsia="zh-CN"/>
              </w:rPr>
            </w:pPr>
            <w:r w:rsidRPr="001C256A">
              <w:rPr>
                <w:rFonts w:ascii="Arial" w:hAnsi="Arial" w:cs="Arial"/>
                <w:color w:val="FF0000"/>
                <w:sz w:val="16"/>
                <w:szCs w:val="16"/>
                <w:lang w:eastAsia="zh-CN"/>
              </w:rPr>
              <w:t>*** Unchanged parts are omitted ***</w:t>
            </w:r>
          </w:p>
          <w:p w14:paraId="777BD959" w14:textId="77777777" w:rsidR="001C256A" w:rsidRPr="00D34F92" w:rsidRDefault="001C256A" w:rsidP="00D34F92">
            <w:pPr>
              <w:rPr>
                <w:rFonts w:ascii="Arial" w:hAnsi="Arial" w:cs="Arial"/>
                <w:b/>
                <w:bCs/>
                <w:sz w:val="16"/>
                <w:szCs w:val="16"/>
              </w:rPr>
            </w:pPr>
            <w:r w:rsidRPr="00D34F92">
              <w:rPr>
                <w:rFonts w:ascii="Arial" w:hAnsi="Arial" w:cs="Arial"/>
                <w:b/>
                <w:bCs/>
                <w:sz w:val="16"/>
                <w:szCs w:val="16"/>
              </w:rPr>
              <w:t>8.2.4.2</w:t>
            </w:r>
            <w:r w:rsidRPr="00D34F92">
              <w:rPr>
                <w:rFonts w:ascii="Arial" w:hAnsi="Arial" w:cs="Arial"/>
                <w:b/>
                <w:bCs/>
                <w:sz w:val="16"/>
                <w:szCs w:val="16"/>
              </w:rPr>
              <w:tab/>
              <w:t xml:space="preserve">UE procedure for determining the subset of resources to be reported to higher layers in SL PRS resource selection in a dedicated </w:t>
            </w:r>
            <w:r w:rsidRPr="00D34F92">
              <w:rPr>
                <w:rFonts w:ascii="Arial" w:hAnsi="Arial" w:cs="Arial"/>
                <w:b/>
                <w:bCs/>
                <w:sz w:val="16"/>
                <w:szCs w:val="16"/>
                <w:lang w:val="de-DE"/>
              </w:rPr>
              <w:t xml:space="preserve">SL PRS </w:t>
            </w:r>
            <w:r w:rsidRPr="00D34F92">
              <w:rPr>
                <w:rFonts w:ascii="Arial" w:hAnsi="Arial" w:cs="Arial"/>
                <w:b/>
                <w:bCs/>
                <w:sz w:val="16"/>
                <w:szCs w:val="16"/>
              </w:rPr>
              <w:t>resource pool in sidelink resource allocation mode 2</w:t>
            </w:r>
          </w:p>
          <w:p w14:paraId="654E149B" w14:textId="77777777" w:rsidR="001C256A" w:rsidRPr="001C256A" w:rsidRDefault="001C256A" w:rsidP="00402D80">
            <w:pPr>
              <w:rPr>
                <w:rFonts w:ascii="Arial" w:hAnsi="Arial" w:cs="Arial"/>
                <w:sz w:val="16"/>
                <w:szCs w:val="16"/>
                <w:lang w:eastAsia="en-GB"/>
              </w:rPr>
            </w:pPr>
          </w:p>
          <w:p w14:paraId="7F796016" w14:textId="77777777" w:rsidR="001C256A" w:rsidRPr="001C256A" w:rsidRDefault="001C256A" w:rsidP="00402D80">
            <w:pPr>
              <w:rPr>
                <w:rFonts w:ascii="Arial" w:hAnsi="Arial" w:cs="Arial"/>
                <w:sz w:val="16"/>
                <w:szCs w:val="16"/>
                <w:lang w:eastAsia="en-GB"/>
              </w:rPr>
            </w:pPr>
            <w:r w:rsidRPr="001C256A">
              <w:rPr>
                <w:rFonts w:ascii="Arial" w:hAnsi="Arial" w:cs="Arial"/>
                <w:sz w:val="16"/>
                <w:szCs w:val="16"/>
                <w:lang w:eastAsia="en-GB"/>
              </w:rPr>
              <w:t xml:space="preserve">In resource allocation mode 2 in a dedicated SL PRS resource pool, the higher layer can request the UE to determine a subset of resources from which the higher layer will select resources for SL PRS/PSCCH transmission. To trigger this procedure, in slot </w:t>
            </w:r>
            <w:r w:rsidRPr="001C256A">
              <w:rPr>
                <w:rFonts w:ascii="Arial" w:hAnsi="Arial" w:cs="Arial"/>
                <w:i/>
                <w:sz w:val="16"/>
                <w:szCs w:val="16"/>
                <w:lang w:eastAsia="en-GB"/>
              </w:rPr>
              <w:t>n,</w:t>
            </w:r>
            <w:r w:rsidRPr="001C256A">
              <w:rPr>
                <w:rFonts w:ascii="Arial" w:hAnsi="Arial" w:cs="Arial"/>
                <w:sz w:val="16"/>
                <w:szCs w:val="16"/>
                <w:lang w:eastAsia="en-GB"/>
              </w:rPr>
              <w:t xml:space="preserve"> the higher layer provides the following parameters for this SL PRS/PSCCH transmission:</w:t>
            </w:r>
          </w:p>
          <w:p w14:paraId="6E682DC4" w14:textId="77777777" w:rsidR="001C256A" w:rsidRPr="001C256A" w:rsidRDefault="001C256A" w:rsidP="00402D80">
            <w:pPr>
              <w:jc w:val="center"/>
              <w:rPr>
                <w:rFonts w:ascii="Arial" w:hAnsi="Arial" w:cs="Arial"/>
                <w:color w:val="FF0000"/>
                <w:sz w:val="16"/>
                <w:szCs w:val="16"/>
                <w:lang w:eastAsia="zh-CN"/>
              </w:rPr>
            </w:pPr>
            <w:r w:rsidRPr="001C256A">
              <w:rPr>
                <w:rFonts w:ascii="Arial" w:hAnsi="Arial" w:cs="Arial"/>
                <w:color w:val="FF0000"/>
                <w:sz w:val="16"/>
                <w:szCs w:val="16"/>
                <w:lang w:eastAsia="zh-CN"/>
              </w:rPr>
              <w:t>*** Unchanged parts are omitted ***</w:t>
            </w:r>
          </w:p>
          <w:p w14:paraId="6D54D9E8" w14:textId="77777777" w:rsidR="001C256A" w:rsidRPr="001C256A" w:rsidRDefault="001C256A" w:rsidP="00402D80">
            <w:pPr>
              <w:rPr>
                <w:rFonts w:ascii="Arial" w:hAnsi="Arial" w:cs="Arial"/>
                <w:sz w:val="16"/>
                <w:szCs w:val="16"/>
              </w:rPr>
            </w:pPr>
            <w:r w:rsidRPr="001C256A">
              <w:rPr>
                <w:rFonts w:ascii="Arial" w:hAnsi="Arial" w:cs="Arial"/>
                <w:sz w:val="16"/>
                <w:szCs w:val="16"/>
              </w:rPr>
              <w:t>The UE shall perform this procedure according to clause 8.1.4, with the following modifications:</w:t>
            </w:r>
          </w:p>
          <w:p w14:paraId="6B389CB4" w14:textId="77777777" w:rsidR="001C256A" w:rsidRPr="001C256A" w:rsidRDefault="001C256A" w:rsidP="00402D80">
            <w:pPr>
              <w:ind w:left="568" w:hanging="284"/>
              <w:rPr>
                <w:rFonts w:ascii="Arial" w:hAnsi="Arial" w:cs="Arial"/>
                <w:sz w:val="16"/>
                <w:szCs w:val="16"/>
              </w:rPr>
            </w:pPr>
            <w:r w:rsidRPr="001C256A">
              <w:rPr>
                <w:rFonts w:ascii="Arial" w:hAnsi="Arial" w:cs="Arial"/>
                <w:sz w:val="16"/>
                <w:szCs w:val="16"/>
              </w:rPr>
              <w:t>-</w:t>
            </w:r>
            <w:r w:rsidRPr="001C256A">
              <w:rPr>
                <w:rFonts w:ascii="Arial" w:hAnsi="Arial" w:cs="Arial"/>
                <w:sz w:val="16"/>
                <w:szCs w:val="16"/>
              </w:rPr>
              <w:tab/>
              <w:t>Partial sensing is not applicable in a dedicated SL PRS resource pool;</w:t>
            </w:r>
          </w:p>
          <w:p w14:paraId="75E0964E" w14:textId="218C7EBD" w:rsidR="001C256A" w:rsidRPr="001C256A" w:rsidRDefault="001C256A" w:rsidP="00402D80">
            <w:pPr>
              <w:ind w:left="568" w:hanging="284"/>
              <w:rPr>
                <w:rFonts w:ascii="Arial" w:hAnsi="Arial" w:cs="Arial"/>
                <w:sz w:val="16"/>
                <w:szCs w:val="16"/>
              </w:rPr>
            </w:pPr>
            <w:r w:rsidRPr="001C256A">
              <w:rPr>
                <w:rFonts w:ascii="Arial" w:eastAsia="Malgun Gothic" w:hAnsi="Arial" w:cs="Arial"/>
                <w:sz w:val="16"/>
                <w:szCs w:val="16"/>
                <w:lang w:eastAsia="ko-KR"/>
              </w:rPr>
              <w:t>-</w:t>
            </w:r>
            <w:r w:rsidRPr="001C256A">
              <w:rPr>
                <w:rFonts w:ascii="Arial" w:eastAsia="Malgun Gothic" w:hAnsi="Arial" w:cs="Arial"/>
                <w:sz w:val="16"/>
                <w:szCs w:val="16"/>
                <w:lang w:eastAsia="ko-KR"/>
              </w:rPr>
              <w:tab/>
              <w:t xml:space="preserve">A candidate single-slot resource for transmission </w:t>
            </w:r>
            <m:oMath>
              <m:sSub>
                <m:sSubPr>
                  <m:ctrlPr>
                    <w:rPr>
                      <w:rFonts w:ascii="Cambria Math" w:hAnsi="Cambria Math" w:cs="Arial"/>
                      <w:i/>
                      <w:sz w:val="16"/>
                      <w:szCs w:val="16"/>
                      <w:lang w:val="zh-CN" w:eastAsia="en-GB"/>
                    </w:rPr>
                  </m:ctrlPr>
                </m:sSubPr>
                <m:e>
                  <m:r>
                    <w:rPr>
                      <w:rFonts w:ascii="Cambria Math" w:hAnsi="Cambria Math" w:cs="Arial"/>
                      <w:sz w:val="16"/>
                      <w:szCs w:val="16"/>
                      <w:lang w:val="zh-CN" w:eastAsia="en-GB"/>
                    </w:rPr>
                    <m:t>R</m:t>
                  </m:r>
                </m:e>
                <m:sub>
                  <m:r>
                    <m:rPr>
                      <m:nor/>
                    </m:rPr>
                    <w:rPr>
                      <w:rFonts w:ascii="Arial" w:hAnsi="Arial" w:cs="Arial"/>
                      <w:sz w:val="16"/>
                      <w:szCs w:val="16"/>
                      <w:lang w:eastAsia="en-GB"/>
                    </w:rPr>
                    <m:t>x,y</m:t>
                  </m:r>
                  <m:ctrlPr>
                    <w:rPr>
                      <w:rFonts w:ascii="Cambria Math" w:hAnsi="Cambria Math" w:cs="Arial"/>
                      <w:sz w:val="16"/>
                      <w:szCs w:val="16"/>
                      <w:lang w:val="zh-CN" w:eastAsia="en-GB"/>
                    </w:rPr>
                  </m:ctrlPr>
                </m:sub>
              </m:sSub>
            </m:oMath>
            <w:r w:rsidRPr="001C256A">
              <w:rPr>
                <w:rFonts w:ascii="Arial" w:eastAsia="Malgun Gothic" w:hAnsi="Arial" w:cs="Arial"/>
                <w:sz w:val="16"/>
                <w:szCs w:val="16"/>
                <w:lang w:eastAsia="ko-KR"/>
              </w:rPr>
              <w:t xml:space="preserve"> is defined as the SL PRS resource with index </w:t>
            </w:r>
            <m:oMath>
              <m:r>
                <m:rPr>
                  <m:nor/>
                </m:rPr>
                <w:rPr>
                  <w:rFonts w:ascii="Arial" w:eastAsia="Malgun Gothic" w:hAnsi="Arial" w:cs="Arial"/>
                  <w:sz w:val="16"/>
                  <w:szCs w:val="16"/>
                  <w:lang w:eastAsia="ko-KR"/>
                </w:rPr>
                <m:t>x</m:t>
              </m:r>
            </m:oMath>
            <w:r w:rsidRPr="001C256A">
              <w:rPr>
                <w:rFonts w:ascii="Arial" w:eastAsia="Malgun Gothic" w:hAnsi="Arial" w:cs="Arial"/>
                <w:sz w:val="16"/>
                <w:szCs w:val="16"/>
                <w:lang w:eastAsia="ko-KR"/>
              </w:rPr>
              <w:t xml:space="preserve"> within the</w:t>
            </w:r>
            <w:r w:rsidRPr="001C256A">
              <w:rPr>
                <w:rFonts w:ascii="Arial" w:hAnsi="Arial" w:cs="Arial"/>
                <w:sz w:val="16"/>
                <w:szCs w:val="16"/>
              </w:rPr>
              <w:t xml:space="preserve"> Set of SL-PRS resource ID(s) provided by the higher layer and</w:t>
            </w:r>
            <w:r w:rsidRPr="001C256A">
              <w:rPr>
                <w:rFonts w:ascii="Arial" w:eastAsia="Malgun Gothic" w:hAnsi="Arial" w:cs="Arial"/>
                <w:sz w:val="16"/>
                <w:szCs w:val="16"/>
                <w:lang w:eastAsia="ko-KR"/>
              </w:rPr>
              <w:t xml:space="preserve"> in slot </w:t>
            </w:r>
            <m:oMath>
              <m:sSubSup>
                <m:sSubSupPr>
                  <m:ctrlPr>
                    <w:rPr>
                      <w:rFonts w:ascii="Cambria Math" w:eastAsia="Malgun Gothic" w:hAnsi="Cambria Math" w:cs="Arial"/>
                      <w:i/>
                      <w:sz w:val="16"/>
                      <w:szCs w:val="16"/>
                      <w:lang w:val="zh-CN"/>
                    </w:rPr>
                  </m:ctrlPr>
                </m:sSubSupPr>
                <m:e>
                  <m:r>
                    <w:rPr>
                      <w:rFonts w:ascii="Cambria Math" w:eastAsia="Malgun Gothic" w:hAnsi="Cambria Math" w:cs="Arial"/>
                      <w:sz w:val="16"/>
                      <w:szCs w:val="16"/>
                      <w:lang w:val="zh-CN"/>
                    </w:rPr>
                    <m:t>t</m:t>
                  </m:r>
                  <m:r>
                    <w:rPr>
                      <w:rFonts w:ascii="Cambria Math" w:eastAsia="Malgun Gothic" w:hAnsi="Cambria Math" w:cs="Arial"/>
                      <w:sz w:val="16"/>
                      <w:szCs w:val="16"/>
                    </w:rPr>
                    <m:t>'</m:t>
                  </m:r>
                </m:e>
                <m:sub>
                  <m:r>
                    <w:rPr>
                      <w:rFonts w:ascii="Cambria Math" w:eastAsia="Malgun Gothic" w:hAnsi="Cambria Math" w:cs="Arial"/>
                      <w:sz w:val="16"/>
                      <w:szCs w:val="16"/>
                      <w:lang w:val="zh-CN"/>
                    </w:rPr>
                    <m:t>y</m:t>
                  </m:r>
                </m:sub>
                <m:sup>
                  <m:r>
                    <w:rPr>
                      <w:rFonts w:ascii="Cambria Math" w:eastAsia="Malgun Gothic" w:hAnsi="Cambria Math" w:cs="Arial"/>
                      <w:sz w:val="16"/>
                      <w:szCs w:val="16"/>
                      <w:lang w:val="zh-CN"/>
                    </w:rPr>
                    <m:t>SL</m:t>
                  </m:r>
                </m:sup>
              </m:sSubSup>
            </m:oMath>
          </w:p>
          <w:p w14:paraId="43F32459" w14:textId="77777777" w:rsidR="001C256A" w:rsidRPr="001C256A" w:rsidRDefault="001C256A" w:rsidP="00402D80">
            <w:pPr>
              <w:ind w:left="568" w:hanging="284"/>
              <w:rPr>
                <w:rFonts w:ascii="Arial" w:eastAsia="Malgun Gothic" w:hAnsi="Arial" w:cs="Arial"/>
                <w:sz w:val="16"/>
                <w:szCs w:val="16"/>
                <w:lang w:eastAsia="ko-KR"/>
              </w:rPr>
            </w:pPr>
            <w:r w:rsidRPr="001C256A">
              <w:rPr>
                <w:rFonts w:ascii="Arial" w:eastAsia="Malgun Gothic" w:hAnsi="Arial" w:cs="Arial"/>
                <w:sz w:val="16"/>
                <w:szCs w:val="16"/>
                <w:lang w:eastAsia="ko-KR"/>
              </w:rPr>
              <w:t>-</w:t>
            </w:r>
            <w:r w:rsidRPr="001C256A">
              <w:rPr>
                <w:rFonts w:ascii="Arial" w:eastAsia="Malgun Gothic" w:hAnsi="Arial" w:cs="Arial"/>
                <w:sz w:val="16"/>
                <w:szCs w:val="16"/>
                <w:lang w:eastAsia="ko-KR"/>
              </w:rPr>
              <w:tab/>
              <w:t>"SCI format 1-A” is replaced by “SCI format 1-B",</w:t>
            </w:r>
          </w:p>
          <w:p w14:paraId="61C64777" w14:textId="3EDDF406" w:rsidR="001C256A" w:rsidRPr="001C256A" w:rsidRDefault="001C256A" w:rsidP="00402D80">
            <w:pPr>
              <w:ind w:left="568" w:hanging="284"/>
              <w:rPr>
                <w:rFonts w:ascii="Arial" w:hAnsi="Arial" w:cs="Arial"/>
                <w:sz w:val="16"/>
                <w:szCs w:val="16"/>
              </w:rPr>
            </w:pPr>
            <w:r w:rsidRPr="001C256A">
              <w:rPr>
                <w:rFonts w:ascii="Arial" w:hAnsi="Arial" w:cs="Arial"/>
                <w:sz w:val="16"/>
                <w:szCs w:val="16"/>
              </w:rPr>
              <w:t>-</w:t>
            </w:r>
            <w:r w:rsidRPr="001C256A">
              <w:rPr>
                <w:rFonts w:ascii="Arial" w:hAnsi="Arial" w:cs="Arial"/>
                <w:sz w:val="16"/>
                <w:szCs w:val="16"/>
              </w:rPr>
              <w:tab/>
              <w:t xml:space="preserve">In step 5, the second condition </w:t>
            </w:r>
            <w:r w:rsidRPr="001C256A">
              <w:rPr>
                <w:rFonts w:ascii="Arial" w:hAnsi="Arial" w:cs="Arial"/>
                <w:sz w:val="16"/>
                <w:szCs w:val="16"/>
                <w:lang w:eastAsia="zh-CN"/>
              </w:rPr>
              <w:t>is</w:t>
            </w:r>
            <w:r w:rsidRPr="001C256A">
              <w:rPr>
                <w:rFonts w:ascii="Arial" w:hAnsi="Arial" w:cs="Arial"/>
                <w:sz w:val="16"/>
                <w:szCs w:val="16"/>
              </w:rPr>
              <w:t xml:space="preserve"> modified as follows: </w:t>
            </w:r>
            <w:r w:rsidRPr="001C256A">
              <w:rPr>
                <w:rFonts w:ascii="Arial" w:hAnsi="Arial" w:cs="Arial"/>
                <w:bCs/>
                <w:sz w:val="16"/>
                <w:szCs w:val="16"/>
              </w:rPr>
              <w:t xml:space="preserve">for any periodicity value allowed by the higher layer parameter </w:t>
            </w:r>
            <w:r w:rsidRPr="001C256A">
              <w:rPr>
                <w:rFonts w:ascii="Arial" w:hAnsi="Arial" w:cs="Arial"/>
                <w:bCs/>
                <w:i/>
                <w:iCs/>
                <w:sz w:val="16"/>
                <w:szCs w:val="16"/>
              </w:rPr>
              <w:t xml:space="preserve">reservationPeriodAllowed-Dedicated-SL-PRS-RP </w:t>
            </w:r>
            <w:r w:rsidRPr="001C256A">
              <w:rPr>
                <w:rFonts w:ascii="Arial" w:hAnsi="Arial" w:cs="Arial"/>
                <w:bCs/>
                <w:sz w:val="16"/>
                <w:szCs w:val="16"/>
                <w:lang w:eastAsia="zh-CN"/>
              </w:rPr>
              <w:t>and any SL PRS resource ID in the set of SL PRS resource ID(s) provided by the higher layer</w:t>
            </w:r>
            <w:r w:rsidRPr="001C256A">
              <w:rPr>
                <w:rFonts w:ascii="Arial" w:hAnsi="Arial" w:cs="Arial"/>
                <w:sz w:val="16"/>
                <w:szCs w:val="16"/>
                <w:lang w:eastAsia="zh-CN"/>
              </w:rPr>
              <w:t xml:space="preserve">, </w:t>
            </w:r>
            <w:r w:rsidRPr="001C256A">
              <w:rPr>
                <w:rFonts w:ascii="Arial" w:hAnsi="Arial" w:cs="Arial"/>
                <w:sz w:val="16"/>
                <w:szCs w:val="16"/>
              </w:rPr>
              <w:t>and a</w:t>
            </w:r>
            <w:r w:rsidRPr="001C256A">
              <w:rPr>
                <w:rFonts w:ascii="Arial" w:hAnsi="Arial" w:cs="Arial"/>
                <w:sz w:val="16"/>
                <w:szCs w:val="16"/>
                <w:lang w:eastAsia="zh-CN"/>
              </w:rPr>
              <w:t xml:space="preserve"> </w:t>
            </w:r>
            <w:r w:rsidRPr="001C256A">
              <w:rPr>
                <w:rFonts w:ascii="Arial" w:hAnsi="Arial" w:cs="Arial"/>
                <w:bCs/>
                <w:sz w:val="16"/>
                <w:szCs w:val="16"/>
              </w:rPr>
              <w:t>hypothetical SCI format 1-B</w:t>
            </w:r>
            <w:r w:rsidRPr="001C256A">
              <w:rPr>
                <w:rFonts w:ascii="Arial" w:hAnsi="Arial" w:cs="Arial"/>
                <w:sz w:val="16"/>
                <w:szCs w:val="16"/>
              </w:rPr>
              <w:t xml:space="preserve"> received in slot </w:t>
            </w:r>
            <m:oMath>
              <m:sSubSup>
                <m:sSubSupPr>
                  <m:ctrlPr>
                    <w:rPr>
                      <w:rFonts w:ascii="Cambria Math" w:hAnsi="Cambria Math" w:cs="Arial"/>
                      <w:i/>
                      <w:iCs/>
                      <w:sz w:val="16"/>
                      <w:szCs w:val="16"/>
                    </w:rPr>
                  </m:ctrlPr>
                </m:sSubSupPr>
                <m:e>
                  <m:r>
                    <w:rPr>
                      <w:rFonts w:ascii="Cambria Math" w:hAnsi="Cambria Math" w:cs="Arial"/>
                      <w:sz w:val="16"/>
                      <w:szCs w:val="16"/>
                    </w:rPr>
                    <m:t>t'</m:t>
                  </m:r>
                </m:e>
                <m:sub>
                  <m:r>
                    <w:rPr>
                      <w:rFonts w:ascii="Cambria Math" w:hAnsi="Cambria Math" w:cs="Arial"/>
                      <w:sz w:val="16"/>
                      <w:szCs w:val="16"/>
                    </w:rPr>
                    <m:t>m</m:t>
                  </m:r>
                </m:sub>
                <m:sup>
                  <m:r>
                    <w:rPr>
                      <w:rFonts w:ascii="Cambria Math" w:hAnsi="Cambria Math" w:cs="Arial"/>
                      <w:sz w:val="16"/>
                      <w:szCs w:val="16"/>
                    </w:rPr>
                    <m:t>SL</m:t>
                  </m:r>
                </m:sup>
              </m:sSubSup>
            </m:oMath>
            <w:r w:rsidRPr="001C256A">
              <w:rPr>
                <w:rFonts w:ascii="Arial" w:hAnsi="Arial" w:cs="Arial"/>
                <w:sz w:val="16"/>
                <w:szCs w:val="16"/>
              </w:rPr>
              <w:t xml:space="preserve"> with '</w:t>
            </w:r>
            <w:r w:rsidRPr="001C256A">
              <w:rPr>
                <w:rFonts w:ascii="Arial" w:hAnsi="Arial" w:cs="Arial"/>
                <w:i/>
                <w:iCs/>
                <w:sz w:val="16"/>
                <w:szCs w:val="16"/>
              </w:rPr>
              <w:t>Resource reservation period</w:t>
            </w:r>
            <w:r w:rsidRPr="001C256A">
              <w:rPr>
                <w:rFonts w:ascii="Arial" w:hAnsi="Arial" w:cs="Arial"/>
                <w:sz w:val="16"/>
                <w:szCs w:val="16"/>
              </w:rPr>
              <w:t xml:space="preserve">' field set to that periodicity value and </w:t>
            </w:r>
            <w:r w:rsidRPr="001C256A">
              <w:rPr>
                <w:rFonts w:ascii="Arial" w:hAnsi="Arial" w:cs="Arial"/>
                <w:bCs/>
                <w:sz w:val="16"/>
                <w:szCs w:val="16"/>
              </w:rPr>
              <w:t xml:space="preserve">indicating </w:t>
            </w:r>
            <w:r w:rsidRPr="001C256A">
              <w:rPr>
                <w:rFonts w:ascii="Arial" w:hAnsi="Arial" w:cs="Arial"/>
                <w:bCs/>
                <w:sz w:val="16"/>
                <w:szCs w:val="16"/>
                <w:lang w:eastAsia="zh-CN"/>
              </w:rPr>
              <w:t>that</w:t>
            </w:r>
            <w:r w:rsidRPr="001C256A">
              <w:rPr>
                <w:rFonts w:ascii="Arial" w:hAnsi="Arial" w:cs="Arial"/>
                <w:bCs/>
                <w:sz w:val="16"/>
                <w:szCs w:val="16"/>
              </w:rPr>
              <w:t xml:space="preserve"> SL-PRS resource ID</w:t>
            </w:r>
            <w:r w:rsidRPr="001C256A">
              <w:rPr>
                <w:rFonts w:ascii="Arial" w:hAnsi="Arial" w:cs="Arial"/>
                <w:sz w:val="16"/>
                <w:szCs w:val="16"/>
              </w:rPr>
              <w:t>, condition c in step 6 would be met.</w:t>
            </w:r>
          </w:p>
          <w:p w14:paraId="0EB097F8" w14:textId="77777777" w:rsidR="001C256A" w:rsidRPr="001C256A" w:rsidRDefault="001C256A" w:rsidP="00402D80">
            <w:pPr>
              <w:ind w:left="568" w:hanging="284"/>
              <w:rPr>
                <w:rFonts w:ascii="Arial" w:hAnsi="Arial" w:cs="Arial"/>
                <w:color w:val="FF0000"/>
                <w:sz w:val="16"/>
                <w:szCs w:val="16"/>
              </w:rPr>
            </w:pPr>
            <w:r w:rsidRPr="001C256A">
              <w:rPr>
                <w:rFonts w:ascii="Arial" w:hAnsi="Arial" w:cs="Arial"/>
                <w:color w:val="FF0000"/>
                <w:sz w:val="16"/>
                <w:szCs w:val="16"/>
              </w:rPr>
              <w:t>-</w:t>
            </w:r>
            <w:r w:rsidRPr="001C256A">
              <w:rPr>
                <w:rFonts w:ascii="Arial" w:hAnsi="Arial" w:cs="Arial"/>
                <w:color w:val="FF0000"/>
                <w:sz w:val="16"/>
                <w:szCs w:val="16"/>
              </w:rPr>
              <w:tab/>
              <w:t>In condition c of step 6 “determines according to clause 8.1.5 the set of resource blocks and slots” is replaced by “determines according to clause 8.2.4.2A the set of SL PRS resources and slots”.</w:t>
            </w:r>
          </w:p>
          <w:p w14:paraId="17C4AEDC" w14:textId="03A9C6D2" w:rsidR="001C256A" w:rsidRPr="001C256A" w:rsidRDefault="001C256A" w:rsidP="00402D80">
            <w:pPr>
              <w:jc w:val="center"/>
              <w:rPr>
                <w:rFonts w:ascii="Arial" w:hAnsi="Arial" w:cs="Arial"/>
                <w:b/>
                <w:bCs/>
                <w:sz w:val="16"/>
                <w:szCs w:val="16"/>
                <w:lang w:eastAsia="zh-CN"/>
              </w:rPr>
            </w:pPr>
            <w:r w:rsidRPr="001C256A">
              <w:rPr>
                <w:rFonts w:ascii="Arial" w:hAnsi="Arial" w:cs="Arial"/>
                <w:color w:val="FF0000"/>
                <w:sz w:val="16"/>
                <w:szCs w:val="16"/>
                <w:lang w:eastAsia="zh-CN"/>
              </w:rPr>
              <w:t>*** Unchanged parts are omitted ***</w:t>
            </w:r>
          </w:p>
        </w:tc>
      </w:tr>
    </w:tbl>
    <w:p w14:paraId="72035735" w14:textId="77777777" w:rsidR="001C256A" w:rsidRPr="001C256A" w:rsidRDefault="001C256A" w:rsidP="001C256A">
      <w:pPr>
        <w:rPr>
          <w:rFonts w:ascii="Times New Roman" w:hAnsi="Times New Roman"/>
          <w:szCs w:val="20"/>
          <w:lang w:eastAsia="x-none"/>
        </w:rPr>
      </w:pPr>
    </w:p>
    <w:p w14:paraId="05357BAD" w14:textId="77777777" w:rsidR="001C256A" w:rsidRPr="001C256A" w:rsidRDefault="001C256A" w:rsidP="001C256A">
      <w:pPr>
        <w:rPr>
          <w:rFonts w:ascii="Times New Roman" w:hAnsi="Times New Roman"/>
          <w:szCs w:val="20"/>
          <w:lang w:eastAsia="x-none"/>
        </w:rPr>
      </w:pPr>
      <w:r w:rsidRPr="001C256A">
        <w:rPr>
          <w:rFonts w:ascii="Times New Roman" w:hAnsi="Times New Roman"/>
          <w:szCs w:val="20"/>
          <w:highlight w:val="green"/>
          <w:lang w:eastAsia="x-none"/>
        </w:rPr>
        <w:t>Agreement</w:t>
      </w:r>
    </w:p>
    <w:p w14:paraId="6FD65338" w14:textId="77777777" w:rsidR="001C256A" w:rsidRPr="001C256A" w:rsidRDefault="001C256A" w:rsidP="001C256A">
      <w:pPr>
        <w:rPr>
          <w:rFonts w:ascii="Times New Roman" w:hAnsi="Times New Roman"/>
          <w:szCs w:val="20"/>
        </w:rPr>
      </w:pPr>
      <w:r w:rsidRPr="001C256A">
        <w:rPr>
          <w:rFonts w:ascii="Times New Roman" w:hAnsi="Times New Roman"/>
          <w:szCs w:val="20"/>
        </w:rPr>
        <w:t>With regards to the UE SL PRS preparation procedure time, the TP below is endorsed</w:t>
      </w:r>
    </w:p>
    <w:p w14:paraId="0C436E1A" w14:textId="77777777" w:rsidR="001C256A" w:rsidRPr="001C256A" w:rsidRDefault="001C256A" w:rsidP="00AA1D48">
      <w:pPr>
        <w:pStyle w:val="ListParagraph"/>
        <w:numPr>
          <w:ilvl w:val="0"/>
          <w:numId w:val="137"/>
        </w:numPr>
      </w:pPr>
      <w:r w:rsidRPr="001C256A">
        <w:lastRenderedPageBreak/>
        <w:t>Note to the editor of TS 38.214: it is up to the editor whether to create a new section or add this text to an existing section as appropriate</w:t>
      </w:r>
    </w:p>
    <w:tbl>
      <w:tblPr>
        <w:tblW w:w="0" w:type="auto"/>
        <w:tblInd w:w="720" w:type="dxa"/>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9926"/>
      </w:tblGrid>
      <w:tr w:rsidR="001C256A" w:rsidRPr="001C256A" w14:paraId="1FCBEE20" w14:textId="77777777" w:rsidTr="00124274">
        <w:tc>
          <w:tcPr>
            <w:tcW w:w="9926" w:type="dxa"/>
            <w:shd w:val="clear" w:color="auto" w:fill="auto"/>
          </w:tcPr>
          <w:p w14:paraId="6444AA81" w14:textId="77777777" w:rsidR="001C256A" w:rsidRPr="001C256A" w:rsidRDefault="001C256A" w:rsidP="001C256A">
            <w:pPr>
              <w:rPr>
                <w:rFonts w:ascii="Arial" w:eastAsia="SimSun" w:hAnsi="Arial" w:cs="Arial"/>
                <w:sz w:val="16"/>
                <w:szCs w:val="16"/>
              </w:rPr>
            </w:pPr>
            <w:r w:rsidRPr="001C256A">
              <w:rPr>
                <w:rFonts w:ascii="Arial" w:eastAsia="SimSun" w:hAnsi="Arial" w:cs="Arial"/>
                <w:sz w:val="16"/>
                <w:szCs w:val="16"/>
              </w:rPr>
              <w:t>In sidelink resource allocation mode 1 for a dedicated SL PRS resource pool,</w:t>
            </w:r>
            <w:r w:rsidRPr="001C256A">
              <w:rPr>
                <w:rFonts w:ascii="Arial" w:eastAsia="SimSun" w:hAnsi="Arial" w:cs="Arial"/>
                <w:sz w:val="16"/>
                <w:szCs w:val="16"/>
                <w:lang w:eastAsia="zh-CN"/>
              </w:rPr>
              <w:t xml:space="preserve"> t</w:t>
            </w:r>
            <w:r w:rsidRPr="001C256A">
              <w:rPr>
                <w:rFonts w:ascii="Arial" w:eastAsia="SimSun" w:hAnsi="Arial" w:cs="Arial"/>
                <w:sz w:val="16"/>
                <w:szCs w:val="16"/>
              </w:rPr>
              <w:t>he UE shall perform this procedure according to clause 8.</w:t>
            </w:r>
            <w:r w:rsidRPr="001C256A">
              <w:rPr>
                <w:rFonts w:ascii="Arial" w:eastAsia="SimSun" w:hAnsi="Arial" w:cs="Arial"/>
                <w:sz w:val="16"/>
                <w:szCs w:val="16"/>
                <w:lang w:eastAsia="zh-CN"/>
              </w:rPr>
              <w:t xml:space="preserve">6 (excluding the case of PSSCH for retransmission of a transport block), </w:t>
            </w:r>
            <w:r w:rsidRPr="001C256A">
              <w:rPr>
                <w:rFonts w:ascii="Arial" w:eastAsia="SimSun" w:hAnsi="Arial" w:cs="Arial"/>
                <w:sz w:val="16"/>
                <w:szCs w:val="16"/>
              </w:rPr>
              <w:t>with the following modifications:</w:t>
            </w:r>
          </w:p>
          <w:p w14:paraId="394E096E" w14:textId="77777777" w:rsidR="001C256A" w:rsidRPr="001C256A" w:rsidRDefault="001C256A" w:rsidP="001C256A">
            <w:pPr>
              <w:rPr>
                <w:rFonts w:ascii="Arial" w:eastAsia="SimSun" w:hAnsi="Arial" w:cs="Arial"/>
                <w:sz w:val="16"/>
                <w:szCs w:val="16"/>
              </w:rPr>
            </w:pPr>
            <w:r w:rsidRPr="001C256A">
              <w:rPr>
                <w:rFonts w:ascii="Arial" w:eastAsia="SimSun" w:hAnsi="Arial" w:cs="Arial"/>
                <w:sz w:val="16"/>
                <w:szCs w:val="16"/>
              </w:rPr>
              <w:t>-</w:t>
            </w:r>
            <w:r w:rsidRPr="001C256A">
              <w:rPr>
                <w:rFonts w:ascii="Arial" w:eastAsia="SimSun" w:hAnsi="Arial" w:cs="Arial"/>
                <w:sz w:val="16"/>
                <w:szCs w:val="16"/>
              </w:rPr>
              <w:tab/>
              <w:t>"PSSCH for a transport block" is replaced by "SL PRS"</w:t>
            </w:r>
          </w:p>
          <w:p w14:paraId="01CC9064" w14:textId="77777777" w:rsidR="001C256A" w:rsidRPr="001C256A" w:rsidRDefault="001C256A" w:rsidP="001C256A">
            <w:pPr>
              <w:rPr>
                <w:rFonts w:ascii="Arial" w:eastAsia="SimSun" w:hAnsi="Arial" w:cs="Arial"/>
                <w:sz w:val="16"/>
                <w:szCs w:val="16"/>
              </w:rPr>
            </w:pPr>
            <w:r w:rsidRPr="001C256A">
              <w:rPr>
                <w:rFonts w:ascii="Arial" w:eastAsia="SimSun" w:hAnsi="Arial" w:cs="Arial"/>
                <w:sz w:val="16"/>
                <w:szCs w:val="16"/>
              </w:rPr>
              <w:t>-</w:t>
            </w:r>
            <w:r w:rsidRPr="001C256A">
              <w:rPr>
                <w:rFonts w:ascii="Arial" w:eastAsia="SimSun" w:hAnsi="Arial" w:cs="Arial"/>
                <w:sz w:val="16"/>
                <w:szCs w:val="16"/>
              </w:rPr>
              <w:tab/>
              <w:t>"PSSCH" is replaced by "SL PRS"</w:t>
            </w:r>
          </w:p>
        </w:tc>
      </w:tr>
    </w:tbl>
    <w:p w14:paraId="20A3F46D" w14:textId="77777777" w:rsidR="001C256A" w:rsidRPr="001C256A" w:rsidRDefault="001C256A" w:rsidP="001C256A">
      <w:pPr>
        <w:rPr>
          <w:rFonts w:ascii="Times New Roman" w:hAnsi="Times New Roman"/>
          <w:szCs w:val="20"/>
          <w:lang w:eastAsia="x-none"/>
        </w:rPr>
      </w:pPr>
    </w:p>
    <w:p w14:paraId="4CE4B311" w14:textId="77777777" w:rsidR="001C256A" w:rsidRPr="001C256A" w:rsidRDefault="001C256A" w:rsidP="001C256A">
      <w:pPr>
        <w:rPr>
          <w:rFonts w:ascii="Times New Roman" w:hAnsi="Times New Roman"/>
          <w:szCs w:val="20"/>
          <w:lang w:eastAsia="x-none"/>
        </w:rPr>
      </w:pPr>
      <w:r w:rsidRPr="001C256A">
        <w:rPr>
          <w:rFonts w:ascii="Times New Roman" w:hAnsi="Times New Roman"/>
          <w:szCs w:val="20"/>
          <w:highlight w:val="green"/>
          <w:lang w:eastAsia="x-none"/>
        </w:rPr>
        <w:t>Agreement</w:t>
      </w:r>
    </w:p>
    <w:p w14:paraId="7CB6793A" w14:textId="77777777" w:rsidR="001C256A" w:rsidRPr="001C256A" w:rsidRDefault="001C256A" w:rsidP="001C256A">
      <w:pPr>
        <w:rPr>
          <w:rFonts w:ascii="Times New Roman" w:hAnsi="Times New Roman"/>
          <w:szCs w:val="20"/>
        </w:rPr>
      </w:pPr>
      <w:r w:rsidRPr="001C256A">
        <w:rPr>
          <w:rFonts w:ascii="Times New Roman" w:hAnsi="Times New Roman"/>
          <w:szCs w:val="20"/>
        </w:rPr>
        <w:t>The TPs below related to the description of SCI format 2-D are endorsed</w:t>
      </w:r>
    </w:p>
    <w:p w14:paraId="7F558F0B" w14:textId="77777777" w:rsidR="001C256A" w:rsidRPr="001C256A" w:rsidRDefault="001C256A" w:rsidP="00AA1D48">
      <w:pPr>
        <w:pStyle w:val="ListParagraph"/>
        <w:numPr>
          <w:ilvl w:val="0"/>
          <w:numId w:val="137"/>
        </w:numPr>
      </w:pPr>
      <w:r w:rsidRPr="001C256A">
        <w:t>In clause 8.1.3/8.2.1/8.3/8.5.1.2/8.5.2.2/8.5.2.3 of TS 38.214, SCI format 2-D is captured as shown below:</w:t>
      </w:r>
    </w:p>
    <w:tbl>
      <w:tblPr>
        <w:tblW w:w="5000" w:type="pct"/>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0683"/>
      </w:tblGrid>
      <w:tr w:rsidR="001C256A" w:rsidRPr="001C256A" w14:paraId="4955BF11" w14:textId="77777777" w:rsidTr="007A7C51">
        <w:tc>
          <w:tcPr>
            <w:tcW w:w="5000" w:type="pct"/>
            <w:shd w:val="clear" w:color="auto" w:fill="auto"/>
          </w:tcPr>
          <w:p w14:paraId="105D8545" w14:textId="48A989CD" w:rsidR="001C256A" w:rsidRPr="001C256A" w:rsidRDefault="001C256A" w:rsidP="001C256A">
            <w:pPr>
              <w:jc w:val="both"/>
              <w:rPr>
                <w:rFonts w:ascii="Arial" w:eastAsia="Times New Roman" w:hAnsi="Arial" w:cs="Arial"/>
                <w:color w:val="FF0000"/>
                <w:sz w:val="16"/>
                <w:szCs w:val="16"/>
                <w:lang w:val="en-US" w:eastAsia="zh-CN"/>
              </w:rPr>
            </w:pPr>
            <w:r w:rsidRPr="001C256A">
              <w:rPr>
                <w:rFonts w:ascii="Arial" w:eastAsia="Times New Roman" w:hAnsi="Arial" w:cs="Arial"/>
                <w:color w:val="FF0000"/>
                <w:sz w:val="16"/>
                <w:szCs w:val="16"/>
                <w:lang w:val="en-US" w:eastAsia="zh-CN"/>
              </w:rPr>
              <w:t xml:space="preserve">-------------------------- Start of text proposal to TS 38.214 v18.0.0 with draft CR </w:t>
            </w:r>
            <w:hyperlink r:id="rId1147" w:history="1">
              <w:r w:rsidR="00AF7253">
                <w:rPr>
                  <w:rStyle w:val="Hyperlink"/>
                  <w:rFonts w:ascii="Arial" w:eastAsia="Times New Roman" w:hAnsi="Arial" w:cs="Arial"/>
                  <w:sz w:val="16"/>
                  <w:szCs w:val="16"/>
                  <w:lang w:val="en-US" w:eastAsia="zh-CN"/>
                </w:rPr>
                <w:t>R1-2310764</w:t>
              </w:r>
            </w:hyperlink>
            <w:r w:rsidRPr="001C256A">
              <w:rPr>
                <w:rFonts w:ascii="Arial" w:eastAsia="Times New Roman" w:hAnsi="Arial" w:cs="Arial"/>
                <w:color w:val="FF0000"/>
                <w:sz w:val="16"/>
                <w:szCs w:val="16"/>
                <w:lang w:val="en-US" w:eastAsia="zh-CN"/>
              </w:rPr>
              <w:t>-------------------------</w:t>
            </w:r>
          </w:p>
          <w:p w14:paraId="6ECE6DAC" w14:textId="77777777" w:rsidR="001C256A" w:rsidRPr="007A7C51" w:rsidRDefault="001C256A" w:rsidP="007A7C51">
            <w:pPr>
              <w:rPr>
                <w:rFonts w:ascii="Arial" w:hAnsi="Arial" w:cs="Arial"/>
                <w:b/>
                <w:bCs/>
                <w:sz w:val="16"/>
                <w:szCs w:val="16"/>
              </w:rPr>
            </w:pPr>
            <w:r w:rsidRPr="007A7C51">
              <w:rPr>
                <w:rFonts w:ascii="Arial" w:hAnsi="Arial" w:cs="Arial"/>
                <w:b/>
                <w:bCs/>
                <w:sz w:val="16"/>
                <w:szCs w:val="16"/>
              </w:rPr>
              <w:t>8.1.3</w:t>
            </w:r>
            <w:r w:rsidRPr="007A7C51">
              <w:rPr>
                <w:rFonts w:ascii="Arial" w:hAnsi="Arial" w:cs="Arial"/>
                <w:b/>
                <w:bCs/>
                <w:sz w:val="16"/>
                <w:szCs w:val="16"/>
              </w:rPr>
              <w:tab/>
              <w:t>Modulation order, target code rate, redundancy version and transport block size determination</w:t>
            </w:r>
          </w:p>
          <w:p w14:paraId="005255E0" w14:textId="77777777" w:rsidR="001C256A" w:rsidRPr="001C256A" w:rsidRDefault="001C256A" w:rsidP="001C256A">
            <w:pPr>
              <w:rPr>
                <w:rFonts w:ascii="Arial" w:hAnsi="Arial" w:cs="Arial"/>
                <w:sz w:val="16"/>
                <w:szCs w:val="16"/>
              </w:rPr>
            </w:pPr>
            <w:r w:rsidRPr="001C256A">
              <w:rPr>
                <w:rFonts w:ascii="Arial" w:hAnsi="Arial" w:cs="Arial"/>
                <w:sz w:val="16"/>
                <w:szCs w:val="16"/>
              </w:rPr>
              <w:t xml:space="preserve">The redundancy version is given by the "Redundancy version" field in SCI format 2-A, 2-B, </w:t>
            </w:r>
            <w:r w:rsidRPr="001C256A">
              <w:rPr>
                <w:rFonts w:ascii="Arial" w:hAnsi="Arial" w:cs="Arial"/>
                <w:strike/>
                <w:sz w:val="16"/>
                <w:szCs w:val="16"/>
              </w:rPr>
              <w:t xml:space="preserve">or </w:t>
            </w:r>
            <w:r w:rsidRPr="001C256A">
              <w:rPr>
                <w:rFonts w:ascii="Arial" w:hAnsi="Arial" w:cs="Arial"/>
                <w:sz w:val="16"/>
                <w:szCs w:val="16"/>
              </w:rPr>
              <w:t>2-C or 2-D.</w:t>
            </w:r>
          </w:p>
          <w:p w14:paraId="4D6E6E63" w14:textId="77777777" w:rsidR="001C256A" w:rsidRPr="001C256A" w:rsidRDefault="001C256A" w:rsidP="001C256A">
            <w:pPr>
              <w:ind w:left="568" w:hanging="284"/>
              <w:jc w:val="center"/>
              <w:rPr>
                <w:rFonts w:ascii="Arial" w:eastAsia="Malgun Gothic" w:hAnsi="Arial" w:cs="Arial"/>
                <w:b/>
                <w:bCs/>
                <w:color w:val="FF0000"/>
                <w:sz w:val="16"/>
                <w:szCs w:val="16"/>
                <w:lang w:eastAsia="ko-KR"/>
              </w:rPr>
            </w:pPr>
            <w:r w:rsidRPr="001C256A">
              <w:rPr>
                <w:rFonts w:ascii="Arial" w:eastAsia="Malgun Gothic" w:hAnsi="Arial" w:cs="Arial"/>
                <w:b/>
                <w:bCs/>
                <w:color w:val="FF0000"/>
                <w:sz w:val="16"/>
                <w:szCs w:val="16"/>
                <w:lang w:eastAsia="ko-KR"/>
              </w:rPr>
              <w:t>&lt;&lt;&lt; UNCHANGED PARTS OMITTED &gt;&gt;&gt;</w:t>
            </w:r>
          </w:p>
          <w:p w14:paraId="208D9DDD" w14:textId="77777777" w:rsidR="001C256A" w:rsidRPr="007A7C51" w:rsidRDefault="001C256A" w:rsidP="007A7C51">
            <w:pPr>
              <w:rPr>
                <w:rFonts w:ascii="Arial" w:hAnsi="Arial" w:cs="Arial"/>
                <w:b/>
                <w:bCs/>
                <w:sz w:val="16"/>
                <w:szCs w:val="16"/>
              </w:rPr>
            </w:pPr>
            <w:r w:rsidRPr="007A7C51">
              <w:rPr>
                <w:rFonts w:ascii="Arial" w:hAnsi="Arial" w:cs="Arial"/>
                <w:b/>
                <w:bCs/>
                <w:sz w:val="16"/>
                <w:szCs w:val="16"/>
              </w:rPr>
              <w:t>8.2.1</w:t>
            </w:r>
            <w:r w:rsidRPr="007A7C51">
              <w:rPr>
                <w:rFonts w:ascii="Arial" w:hAnsi="Arial" w:cs="Arial"/>
                <w:b/>
                <w:bCs/>
                <w:sz w:val="16"/>
                <w:szCs w:val="16"/>
              </w:rPr>
              <w:tab/>
              <w:t>CSI-RS transmission procedure</w:t>
            </w:r>
          </w:p>
          <w:p w14:paraId="73EDEF37" w14:textId="77777777" w:rsidR="001C256A" w:rsidRPr="001C256A" w:rsidRDefault="001C256A" w:rsidP="001C256A">
            <w:pPr>
              <w:rPr>
                <w:rFonts w:ascii="Arial" w:hAnsi="Arial" w:cs="Arial"/>
                <w:sz w:val="16"/>
                <w:szCs w:val="16"/>
              </w:rPr>
            </w:pPr>
            <w:r w:rsidRPr="001C256A">
              <w:rPr>
                <w:rFonts w:ascii="Arial" w:hAnsi="Arial" w:cs="Arial"/>
                <w:sz w:val="16"/>
                <w:szCs w:val="16"/>
              </w:rPr>
              <w:t>A UE transmits sidelink CSI-RS within a unicast PSSCH transmission if the following conditions hold:</w:t>
            </w:r>
          </w:p>
          <w:p w14:paraId="09FEF936" w14:textId="77777777" w:rsidR="001C256A" w:rsidRPr="001C256A" w:rsidRDefault="001C256A" w:rsidP="001C256A">
            <w:pPr>
              <w:numPr>
                <w:ilvl w:val="0"/>
                <w:numId w:val="24"/>
              </w:numPr>
              <w:ind w:left="568" w:hanging="284"/>
              <w:rPr>
                <w:rFonts w:ascii="Arial" w:eastAsia="MS Mincho" w:hAnsi="Arial" w:cs="Arial"/>
                <w:sz w:val="16"/>
                <w:szCs w:val="16"/>
              </w:rPr>
            </w:pPr>
            <w:r w:rsidRPr="001C256A">
              <w:rPr>
                <w:rFonts w:ascii="Arial" w:eastAsia="MS Mincho" w:hAnsi="Arial" w:cs="Arial"/>
                <w:sz w:val="16"/>
                <w:szCs w:val="16"/>
              </w:rPr>
              <w:t>-</w:t>
            </w:r>
            <w:r w:rsidRPr="001C256A">
              <w:rPr>
                <w:rFonts w:ascii="Arial" w:eastAsia="MS Mincho" w:hAnsi="Arial" w:cs="Arial"/>
                <w:sz w:val="16"/>
                <w:szCs w:val="16"/>
              </w:rPr>
              <w:tab/>
              <w:t xml:space="preserve">CSI reporting is enabled by higher layer parameter </w:t>
            </w:r>
            <w:r w:rsidRPr="001C256A">
              <w:rPr>
                <w:rFonts w:ascii="Arial" w:eastAsia="MS Mincho" w:hAnsi="Arial" w:cs="Arial"/>
                <w:i/>
                <w:sz w:val="16"/>
                <w:szCs w:val="16"/>
              </w:rPr>
              <w:t>sl-CSI-Acquisition</w:t>
            </w:r>
            <w:r w:rsidRPr="001C256A">
              <w:rPr>
                <w:rFonts w:ascii="Arial" w:eastAsia="MS Mincho" w:hAnsi="Arial" w:cs="Arial"/>
                <w:sz w:val="16"/>
                <w:szCs w:val="16"/>
              </w:rPr>
              <w:t>; and</w:t>
            </w:r>
          </w:p>
          <w:p w14:paraId="15AB3335" w14:textId="77777777" w:rsidR="001C256A" w:rsidRPr="001C256A" w:rsidRDefault="001C256A" w:rsidP="001C256A">
            <w:pPr>
              <w:numPr>
                <w:ilvl w:val="0"/>
                <w:numId w:val="24"/>
              </w:numPr>
              <w:ind w:left="568" w:hanging="284"/>
              <w:rPr>
                <w:rFonts w:ascii="Arial" w:eastAsia="MS Mincho" w:hAnsi="Arial" w:cs="Arial"/>
                <w:sz w:val="16"/>
                <w:szCs w:val="16"/>
              </w:rPr>
            </w:pPr>
            <w:r w:rsidRPr="001C256A">
              <w:rPr>
                <w:rFonts w:ascii="Arial" w:eastAsia="MS Mincho" w:hAnsi="Arial" w:cs="Arial"/>
                <w:sz w:val="16"/>
                <w:szCs w:val="16"/>
              </w:rPr>
              <w:t>-</w:t>
            </w:r>
            <w:r w:rsidRPr="001C256A">
              <w:rPr>
                <w:rFonts w:ascii="Arial" w:eastAsia="MS Mincho" w:hAnsi="Arial" w:cs="Arial"/>
                <w:sz w:val="16"/>
                <w:szCs w:val="16"/>
              </w:rPr>
              <w:tab/>
              <w:t xml:space="preserve">the </w:t>
            </w:r>
            <w:r w:rsidRPr="001C256A">
              <w:rPr>
                <w:rFonts w:ascii="Arial" w:eastAsia="MS Mincho" w:hAnsi="Arial" w:cs="Arial"/>
                <w:sz w:val="16"/>
                <w:szCs w:val="16"/>
                <w:lang w:val="en-US"/>
              </w:rPr>
              <w:t>'</w:t>
            </w:r>
            <w:r w:rsidRPr="001C256A">
              <w:rPr>
                <w:rFonts w:ascii="Arial" w:eastAsia="MS Mincho" w:hAnsi="Arial" w:cs="Arial"/>
                <w:i/>
                <w:iCs/>
                <w:sz w:val="16"/>
                <w:szCs w:val="16"/>
              </w:rPr>
              <w:t>CSI request</w:t>
            </w:r>
            <w:r w:rsidRPr="001C256A">
              <w:rPr>
                <w:rFonts w:ascii="Arial" w:eastAsia="MS Mincho" w:hAnsi="Arial" w:cs="Arial"/>
                <w:sz w:val="16"/>
                <w:szCs w:val="16"/>
                <w:lang w:val="en-US"/>
              </w:rPr>
              <w:t>'</w:t>
            </w:r>
            <w:r w:rsidRPr="001C256A">
              <w:rPr>
                <w:rFonts w:ascii="Arial" w:eastAsia="MS Mincho" w:hAnsi="Arial" w:cs="Arial"/>
                <w:sz w:val="16"/>
                <w:szCs w:val="16"/>
              </w:rPr>
              <w:t xml:space="preserve"> field in the corresponding SCI format 2-A,</w:t>
            </w:r>
            <w:r w:rsidRPr="001C256A">
              <w:rPr>
                <w:rFonts w:ascii="Arial" w:eastAsia="MS Mincho" w:hAnsi="Arial" w:cs="Arial"/>
                <w:strike/>
                <w:sz w:val="16"/>
                <w:szCs w:val="16"/>
              </w:rPr>
              <w:t xml:space="preserve"> or</w:t>
            </w:r>
            <w:r w:rsidRPr="001C256A">
              <w:rPr>
                <w:rFonts w:ascii="Arial" w:eastAsia="MS Mincho" w:hAnsi="Arial" w:cs="Arial"/>
                <w:sz w:val="16"/>
                <w:szCs w:val="16"/>
              </w:rPr>
              <w:t xml:space="preserve"> 2-C or 2-D is set to 1.</w:t>
            </w:r>
          </w:p>
          <w:p w14:paraId="63D840A2" w14:textId="77777777" w:rsidR="001C256A" w:rsidRPr="001C256A" w:rsidRDefault="001C256A" w:rsidP="001C256A">
            <w:pPr>
              <w:ind w:left="568" w:hanging="284"/>
              <w:jc w:val="center"/>
              <w:rPr>
                <w:rFonts w:ascii="Arial" w:eastAsia="Malgun Gothic" w:hAnsi="Arial" w:cs="Arial"/>
                <w:b/>
                <w:bCs/>
                <w:color w:val="FF0000"/>
                <w:sz w:val="16"/>
                <w:szCs w:val="16"/>
                <w:lang w:eastAsia="ko-KR"/>
              </w:rPr>
            </w:pPr>
            <w:r w:rsidRPr="001C256A">
              <w:rPr>
                <w:rFonts w:ascii="Arial" w:eastAsia="Malgun Gothic" w:hAnsi="Arial" w:cs="Arial"/>
                <w:b/>
                <w:bCs/>
                <w:color w:val="FF0000"/>
                <w:sz w:val="16"/>
                <w:szCs w:val="16"/>
                <w:lang w:eastAsia="ko-KR"/>
              </w:rPr>
              <w:t>&lt;&lt;&lt; UNCHANGED PARTS OMITTED &gt;&gt;&gt;</w:t>
            </w:r>
          </w:p>
          <w:p w14:paraId="7A347285" w14:textId="77777777" w:rsidR="001C256A" w:rsidRPr="007A7C51" w:rsidRDefault="001C256A" w:rsidP="007A7C51">
            <w:pPr>
              <w:rPr>
                <w:rFonts w:ascii="Arial" w:hAnsi="Arial" w:cs="Arial"/>
                <w:b/>
                <w:bCs/>
                <w:sz w:val="16"/>
                <w:szCs w:val="16"/>
              </w:rPr>
            </w:pPr>
            <w:r w:rsidRPr="007A7C51">
              <w:rPr>
                <w:rFonts w:ascii="Arial" w:hAnsi="Arial" w:cs="Arial"/>
                <w:b/>
                <w:bCs/>
                <w:sz w:val="16"/>
                <w:szCs w:val="16"/>
              </w:rPr>
              <w:t>8.3</w:t>
            </w:r>
            <w:r w:rsidRPr="007A7C51">
              <w:rPr>
                <w:rFonts w:ascii="Arial" w:hAnsi="Arial" w:cs="Arial"/>
                <w:b/>
                <w:bCs/>
                <w:sz w:val="16"/>
                <w:szCs w:val="16"/>
              </w:rPr>
              <w:tab/>
              <w:t>UE procedure for receiving the physical sidelink shared channel</w:t>
            </w:r>
          </w:p>
          <w:p w14:paraId="491A5931" w14:textId="77777777" w:rsidR="001C256A" w:rsidRPr="001C256A" w:rsidRDefault="001C256A" w:rsidP="001C256A">
            <w:pPr>
              <w:rPr>
                <w:rFonts w:ascii="Arial" w:eastAsia="MS Mincho" w:hAnsi="Arial" w:cs="Arial"/>
                <w:sz w:val="16"/>
                <w:szCs w:val="16"/>
              </w:rPr>
            </w:pPr>
            <w:r w:rsidRPr="001C256A">
              <w:rPr>
                <w:rFonts w:ascii="Arial" w:eastAsia="MS Mincho" w:hAnsi="Arial" w:cs="Arial"/>
                <w:sz w:val="16"/>
                <w:szCs w:val="16"/>
              </w:rPr>
              <w:t xml:space="preserve">For sidelink resource allocation mode 1, a UE upon detection of SCI format </w:t>
            </w:r>
            <w:r w:rsidRPr="001C256A">
              <w:rPr>
                <w:rFonts w:ascii="Arial" w:eastAsia="Malgun Gothic" w:hAnsi="Arial" w:cs="Arial"/>
                <w:sz w:val="16"/>
                <w:szCs w:val="16"/>
                <w:lang w:eastAsia="ko-KR"/>
              </w:rPr>
              <w:t>1-A</w:t>
            </w:r>
            <w:r w:rsidRPr="001C256A">
              <w:rPr>
                <w:rFonts w:ascii="Arial" w:hAnsi="Arial" w:cs="Arial"/>
                <w:sz w:val="16"/>
                <w:szCs w:val="16"/>
              </w:rPr>
              <w:t xml:space="preserve"> on PSCCH can decode </w:t>
            </w:r>
            <w:r w:rsidRPr="001C256A">
              <w:rPr>
                <w:rFonts w:ascii="Arial" w:eastAsia="MS Mincho" w:hAnsi="Arial" w:cs="Arial"/>
                <w:sz w:val="16"/>
                <w:szCs w:val="16"/>
              </w:rPr>
              <w:t xml:space="preserve">PSSCH according to the detected SCI formats 2-A, 2-B, </w:t>
            </w:r>
            <w:r w:rsidRPr="001C256A">
              <w:rPr>
                <w:rFonts w:ascii="Arial" w:eastAsia="MS Mincho" w:hAnsi="Arial" w:cs="Arial"/>
                <w:strike/>
                <w:sz w:val="16"/>
                <w:szCs w:val="16"/>
              </w:rPr>
              <w:t>and</w:t>
            </w:r>
            <w:r w:rsidRPr="001C256A">
              <w:rPr>
                <w:rFonts w:ascii="Arial" w:eastAsia="MS Mincho" w:hAnsi="Arial" w:cs="Arial"/>
                <w:sz w:val="16"/>
                <w:szCs w:val="16"/>
              </w:rPr>
              <w:t xml:space="preserve"> 2-C and 2-D, and associated PSSCH resource configuration configured by higher layers. The UE is not required to decode more than one PSCCH at each PSCCH resource candidate.</w:t>
            </w:r>
          </w:p>
          <w:p w14:paraId="12DC96D4" w14:textId="77777777" w:rsidR="001C256A" w:rsidRPr="001C256A" w:rsidRDefault="001C256A" w:rsidP="001C256A">
            <w:pPr>
              <w:rPr>
                <w:rFonts w:ascii="Arial" w:eastAsia="MS Mincho" w:hAnsi="Arial" w:cs="Arial"/>
                <w:sz w:val="16"/>
                <w:szCs w:val="16"/>
              </w:rPr>
            </w:pPr>
            <w:r w:rsidRPr="001C256A">
              <w:rPr>
                <w:rFonts w:ascii="Arial" w:eastAsia="MS Mincho" w:hAnsi="Arial" w:cs="Arial"/>
                <w:sz w:val="16"/>
                <w:szCs w:val="16"/>
              </w:rPr>
              <w:t xml:space="preserve">For sidelink resource allocation mode 2, a UE upon detection of SCI format </w:t>
            </w:r>
            <w:r w:rsidRPr="001C256A">
              <w:rPr>
                <w:rFonts w:ascii="Arial" w:eastAsia="Malgun Gothic" w:hAnsi="Arial" w:cs="Arial"/>
                <w:sz w:val="16"/>
                <w:szCs w:val="16"/>
                <w:lang w:eastAsia="ko-KR"/>
              </w:rPr>
              <w:t>1-A</w:t>
            </w:r>
            <w:r w:rsidRPr="001C256A">
              <w:rPr>
                <w:rFonts w:ascii="Arial" w:hAnsi="Arial" w:cs="Arial"/>
                <w:sz w:val="16"/>
                <w:szCs w:val="16"/>
              </w:rPr>
              <w:t xml:space="preserve"> on PSCCH can decode </w:t>
            </w:r>
            <w:r w:rsidRPr="001C256A">
              <w:rPr>
                <w:rFonts w:ascii="Arial" w:eastAsia="MS Mincho" w:hAnsi="Arial" w:cs="Arial"/>
                <w:sz w:val="16"/>
                <w:szCs w:val="16"/>
              </w:rPr>
              <w:t xml:space="preserve">PSSCH according to the detected SCI formats 2-A, 2-B, </w:t>
            </w:r>
            <w:r w:rsidRPr="001C256A">
              <w:rPr>
                <w:rFonts w:ascii="Arial" w:eastAsia="MS Mincho" w:hAnsi="Arial" w:cs="Arial"/>
                <w:strike/>
                <w:sz w:val="16"/>
                <w:szCs w:val="16"/>
              </w:rPr>
              <w:t>and</w:t>
            </w:r>
            <w:r w:rsidRPr="001C256A">
              <w:rPr>
                <w:rFonts w:ascii="Arial" w:eastAsia="MS Mincho" w:hAnsi="Arial" w:cs="Arial"/>
                <w:sz w:val="16"/>
                <w:szCs w:val="16"/>
              </w:rPr>
              <w:t xml:space="preserve"> 2-C and 2-D, and associated PSSCH resource configuration configured by higher layers. The UE is not required to decode more than one PSCCH at each PSCCH resource candidate.</w:t>
            </w:r>
          </w:p>
          <w:p w14:paraId="3392F751" w14:textId="77777777" w:rsidR="001C256A" w:rsidRPr="001C256A" w:rsidRDefault="001C256A" w:rsidP="001C256A">
            <w:pPr>
              <w:rPr>
                <w:rFonts w:ascii="Arial" w:hAnsi="Arial" w:cs="Arial"/>
                <w:sz w:val="16"/>
                <w:szCs w:val="16"/>
              </w:rPr>
            </w:pPr>
            <w:r w:rsidRPr="001C256A">
              <w:rPr>
                <w:rFonts w:ascii="Arial" w:hAnsi="Arial" w:cs="Arial"/>
                <w:sz w:val="16"/>
                <w:szCs w:val="16"/>
              </w:rPr>
              <w:t>A UE is required to decode neither the corresponding SCI formats 2-A, 2-B,</w:t>
            </w:r>
            <w:r w:rsidRPr="001C256A">
              <w:rPr>
                <w:rFonts w:ascii="Arial" w:eastAsia="MS Mincho" w:hAnsi="Arial" w:cs="Arial"/>
                <w:strike/>
                <w:sz w:val="16"/>
                <w:szCs w:val="16"/>
              </w:rPr>
              <w:t xml:space="preserve"> and</w:t>
            </w:r>
            <w:r w:rsidRPr="001C256A">
              <w:rPr>
                <w:rFonts w:ascii="Arial" w:eastAsia="MS Mincho" w:hAnsi="Arial" w:cs="Arial"/>
                <w:sz w:val="16"/>
                <w:szCs w:val="16"/>
              </w:rPr>
              <w:t xml:space="preserve"> 2-C and 2-D</w:t>
            </w:r>
            <w:r w:rsidRPr="001C256A">
              <w:rPr>
                <w:rFonts w:ascii="Arial" w:hAnsi="Arial" w:cs="Arial"/>
                <w:sz w:val="16"/>
                <w:szCs w:val="16"/>
              </w:rPr>
              <w:t xml:space="preserve"> nor the PSSCH associated with an SCI format </w:t>
            </w:r>
            <w:r w:rsidRPr="001C256A">
              <w:rPr>
                <w:rFonts w:ascii="Arial" w:eastAsia="Malgun Gothic" w:hAnsi="Arial" w:cs="Arial"/>
                <w:sz w:val="16"/>
                <w:szCs w:val="16"/>
                <w:lang w:eastAsia="ko-KR"/>
              </w:rPr>
              <w:t>1-A</w:t>
            </w:r>
            <w:r w:rsidRPr="001C256A">
              <w:rPr>
                <w:rFonts w:ascii="Arial" w:hAnsi="Arial" w:cs="Arial"/>
                <w:sz w:val="16"/>
                <w:szCs w:val="16"/>
              </w:rPr>
              <w:t xml:space="preserve"> if the SCI format </w:t>
            </w:r>
            <w:r w:rsidRPr="001C256A">
              <w:rPr>
                <w:rFonts w:ascii="Arial" w:eastAsia="Malgun Gothic" w:hAnsi="Arial" w:cs="Arial"/>
                <w:sz w:val="16"/>
                <w:szCs w:val="16"/>
                <w:lang w:eastAsia="ko-KR"/>
              </w:rPr>
              <w:t>1-A</w:t>
            </w:r>
            <w:r w:rsidRPr="001C256A">
              <w:rPr>
                <w:rFonts w:ascii="Arial" w:hAnsi="Arial" w:cs="Arial"/>
                <w:sz w:val="16"/>
                <w:szCs w:val="16"/>
              </w:rPr>
              <w:t xml:space="preserve"> indicates an MCS table that the UE does not support.</w:t>
            </w:r>
          </w:p>
          <w:p w14:paraId="6F3BA899" w14:textId="77777777" w:rsidR="001C256A" w:rsidRPr="001C256A" w:rsidRDefault="001C256A" w:rsidP="001C256A">
            <w:pPr>
              <w:ind w:left="568" w:hanging="284"/>
              <w:jc w:val="center"/>
              <w:rPr>
                <w:rFonts w:ascii="Arial" w:eastAsia="Malgun Gothic" w:hAnsi="Arial" w:cs="Arial"/>
                <w:b/>
                <w:bCs/>
                <w:color w:val="FF0000"/>
                <w:sz w:val="16"/>
                <w:szCs w:val="16"/>
                <w:lang w:eastAsia="ko-KR"/>
              </w:rPr>
            </w:pPr>
            <w:r w:rsidRPr="001C256A">
              <w:rPr>
                <w:rFonts w:ascii="Arial" w:eastAsia="Malgun Gothic" w:hAnsi="Arial" w:cs="Arial"/>
                <w:b/>
                <w:bCs/>
                <w:color w:val="FF0000"/>
                <w:sz w:val="16"/>
                <w:szCs w:val="16"/>
                <w:lang w:eastAsia="ko-KR"/>
              </w:rPr>
              <w:t>&lt;&lt;&lt; UNCHANGED PARTS OMITTED &gt;&gt;&gt;</w:t>
            </w:r>
          </w:p>
          <w:p w14:paraId="5EBFEE4A" w14:textId="77777777" w:rsidR="001C256A" w:rsidRPr="007A7C51" w:rsidRDefault="001C256A" w:rsidP="007A7C51">
            <w:pPr>
              <w:rPr>
                <w:rFonts w:ascii="Arial" w:hAnsi="Arial" w:cs="Arial"/>
                <w:b/>
                <w:bCs/>
                <w:sz w:val="16"/>
                <w:szCs w:val="16"/>
              </w:rPr>
            </w:pPr>
            <w:r w:rsidRPr="007A7C51">
              <w:rPr>
                <w:rFonts w:ascii="Arial" w:hAnsi="Arial" w:cs="Arial"/>
                <w:b/>
                <w:bCs/>
                <w:sz w:val="16"/>
                <w:szCs w:val="16"/>
              </w:rPr>
              <w:t>8.5.1.2</w:t>
            </w:r>
            <w:r w:rsidRPr="007A7C51">
              <w:rPr>
                <w:rFonts w:ascii="Arial" w:hAnsi="Arial" w:cs="Arial"/>
                <w:b/>
                <w:bCs/>
                <w:sz w:val="16"/>
                <w:szCs w:val="16"/>
              </w:rPr>
              <w:tab/>
              <w:t>Triggering of sidelink CSI reports</w:t>
            </w:r>
          </w:p>
          <w:p w14:paraId="04257EB4" w14:textId="77777777" w:rsidR="001C256A" w:rsidRPr="001C256A" w:rsidRDefault="001C256A" w:rsidP="001C256A">
            <w:pPr>
              <w:rPr>
                <w:rFonts w:ascii="Arial" w:eastAsia="Malgun Gothic" w:hAnsi="Arial" w:cs="Arial"/>
                <w:color w:val="000000"/>
                <w:sz w:val="16"/>
                <w:szCs w:val="16"/>
              </w:rPr>
            </w:pPr>
            <w:r w:rsidRPr="001C256A">
              <w:rPr>
                <w:rFonts w:ascii="Arial" w:eastAsia="Malgun Gothic" w:hAnsi="Arial" w:cs="Arial"/>
                <w:color w:val="000000"/>
                <w:sz w:val="16"/>
                <w:szCs w:val="16"/>
              </w:rPr>
              <w:t>The CSI-triggering UE is not allowed to trigger another aperiodic CSI report for the same UE before the last slot of the expected reception or completion of the ongoing aperiodic CSI report associated with the SCI format 2-A ,</w:t>
            </w:r>
            <w:r w:rsidRPr="001C256A">
              <w:rPr>
                <w:rFonts w:ascii="Arial" w:eastAsia="Malgun Gothic" w:hAnsi="Arial" w:cs="Arial"/>
                <w:strike/>
                <w:color w:val="000000"/>
                <w:sz w:val="16"/>
                <w:szCs w:val="16"/>
              </w:rPr>
              <w:t xml:space="preserve">or </w:t>
            </w:r>
            <w:r w:rsidRPr="001C256A">
              <w:rPr>
                <w:rFonts w:ascii="Arial" w:eastAsia="Malgun Gothic" w:hAnsi="Arial" w:cs="Arial"/>
                <w:color w:val="000000"/>
                <w:sz w:val="16"/>
                <w:szCs w:val="16"/>
              </w:rPr>
              <w:t>2-C or 2-D with the '</w:t>
            </w:r>
            <w:r w:rsidRPr="001C256A">
              <w:rPr>
                <w:rFonts w:ascii="Arial" w:eastAsia="Malgun Gothic" w:hAnsi="Arial" w:cs="Arial"/>
                <w:i/>
                <w:iCs/>
                <w:color w:val="000000"/>
                <w:sz w:val="16"/>
                <w:szCs w:val="16"/>
              </w:rPr>
              <w:t>CSI request</w:t>
            </w:r>
            <w:r w:rsidRPr="001C256A">
              <w:rPr>
                <w:rFonts w:ascii="Arial" w:eastAsia="Malgun Gothic" w:hAnsi="Arial" w:cs="Arial"/>
                <w:color w:val="000000"/>
                <w:sz w:val="16"/>
                <w:szCs w:val="16"/>
              </w:rPr>
              <w:t>' field set to 1, where the last slot of the expected reception of the ongoing aperiodic CSI report is given by [10, TS38.321].</w:t>
            </w:r>
          </w:p>
          <w:p w14:paraId="2D7A6F7F" w14:textId="77777777" w:rsidR="001C256A" w:rsidRPr="001C256A" w:rsidRDefault="001C256A" w:rsidP="001C256A">
            <w:pPr>
              <w:rPr>
                <w:rFonts w:ascii="Arial" w:hAnsi="Arial" w:cs="Arial"/>
                <w:sz w:val="16"/>
                <w:szCs w:val="16"/>
              </w:rPr>
            </w:pPr>
            <w:r w:rsidRPr="001C256A">
              <w:rPr>
                <w:rFonts w:ascii="Arial" w:hAnsi="Arial" w:cs="Arial"/>
                <w:sz w:val="16"/>
                <w:szCs w:val="16"/>
              </w:rPr>
              <w:t>An aperiodic CSI report is triggered by an SCI format 2-A,</w:t>
            </w:r>
            <w:r w:rsidRPr="001C256A">
              <w:rPr>
                <w:rFonts w:ascii="Arial" w:eastAsia="Malgun Gothic" w:hAnsi="Arial" w:cs="Arial"/>
                <w:color w:val="000000"/>
                <w:sz w:val="16"/>
                <w:szCs w:val="16"/>
              </w:rPr>
              <w:t xml:space="preserve"> </w:t>
            </w:r>
            <w:r w:rsidRPr="001C256A">
              <w:rPr>
                <w:rFonts w:ascii="Arial" w:eastAsia="Malgun Gothic" w:hAnsi="Arial" w:cs="Arial"/>
                <w:strike/>
                <w:color w:val="000000"/>
                <w:sz w:val="16"/>
                <w:szCs w:val="16"/>
              </w:rPr>
              <w:t xml:space="preserve">or </w:t>
            </w:r>
            <w:r w:rsidRPr="001C256A">
              <w:rPr>
                <w:rFonts w:ascii="Arial" w:eastAsia="Malgun Gothic" w:hAnsi="Arial" w:cs="Arial"/>
                <w:color w:val="000000"/>
                <w:sz w:val="16"/>
                <w:szCs w:val="16"/>
              </w:rPr>
              <w:t>2-C</w:t>
            </w:r>
            <w:r w:rsidRPr="001C256A">
              <w:rPr>
                <w:rFonts w:ascii="Arial" w:hAnsi="Arial" w:cs="Arial"/>
                <w:sz w:val="16"/>
                <w:szCs w:val="16"/>
              </w:rPr>
              <w:t xml:space="preserve"> or 2-D with the '</w:t>
            </w:r>
            <w:r w:rsidRPr="001C256A">
              <w:rPr>
                <w:rFonts w:ascii="Arial" w:hAnsi="Arial" w:cs="Arial"/>
                <w:i/>
                <w:iCs/>
                <w:sz w:val="16"/>
                <w:szCs w:val="16"/>
              </w:rPr>
              <w:t>CSI request</w:t>
            </w:r>
            <w:r w:rsidRPr="001C256A">
              <w:rPr>
                <w:rFonts w:ascii="Arial" w:hAnsi="Arial" w:cs="Arial"/>
                <w:sz w:val="16"/>
                <w:szCs w:val="16"/>
              </w:rPr>
              <w:t xml:space="preserve">' field set to 1. </w:t>
            </w:r>
          </w:p>
          <w:p w14:paraId="1908061A" w14:textId="77777777" w:rsidR="001C256A" w:rsidRPr="001C256A" w:rsidRDefault="001C256A" w:rsidP="001C256A">
            <w:pPr>
              <w:ind w:left="568" w:hanging="284"/>
              <w:jc w:val="center"/>
              <w:rPr>
                <w:rFonts w:ascii="Arial" w:eastAsia="Malgun Gothic" w:hAnsi="Arial" w:cs="Arial"/>
                <w:b/>
                <w:bCs/>
                <w:color w:val="FF0000"/>
                <w:sz w:val="16"/>
                <w:szCs w:val="16"/>
                <w:lang w:eastAsia="ko-KR"/>
              </w:rPr>
            </w:pPr>
            <w:r w:rsidRPr="001C256A">
              <w:rPr>
                <w:rFonts w:ascii="Arial" w:eastAsia="Malgun Gothic" w:hAnsi="Arial" w:cs="Arial"/>
                <w:b/>
                <w:bCs/>
                <w:color w:val="FF0000"/>
                <w:sz w:val="16"/>
                <w:szCs w:val="16"/>
                <w:lang w:eastAsia="ko-KR"/>
              </w:rPr>
              <w:t>&lt;&lt;&lt; UNCHANGED PARTS OMITTED &gt;&gt;&gt;</w:t>
            </w:r>
          </w:p>
          <w:p w14:paraId="63DED0CF" w14:textId="77777777" w:rsidR="001C256A" w:rsidRPr="007A7C51" w:rsidRDefault="001C256A" w:rsidP="007A7C51">
            <w:pPr>
              <w:rPr>
                <w:rFonts w:ascii="Arial" w:hAnsi="Arial" w:cs="Arial"/>
                <w:b/>
                <w:bCs/>
                <w:sz w:val="16"/>
                <w:szCs w:val="16"/>
              </w:rPr>
            </w:pPr>
            <w:r w:rsidRPr="007A7C51">
              <w:rPr>
                <w:rFonts w:ascii="Arial" w:hAnsi="Arial" w:cs="Arial"/>
                <w:b/>
                <w:bCs/>
                <w:sz w:val="16"/>
                <w:szCs w:val="16"/>
              </w:rPr>
              <w:t>8.5.2.2</w:t>
            </w:r>
            <w:r w:rsidRPr="007A7C51">
              <w:rPr>
                <w:rFonts w:ascii="Arial" w:hAnsi="Arial" w:cs="Arial"/>
                <w:b/>
                <w:bCs/>
                <w:sz w:val="16"/>
                <w:szCs w:val="16"/>
              </w:rPr>
              <w:tab/>
              <w:t>Reference signal (CSI-RS)</w:t>
            </w:r>
          </w:p>
          <w:p w14:paraId="75FD8C55" w14:textId="77777777" w:rsidR="001C256A" w:rsidRPr="001C256A" w:rsidRDefault="001C256A" w:rsidP="001C256A">
            <w:pPr>
              <w:rPr>
                <w:rFonts w:ascii="Arial" w:hAnsi="Arial" w:cs="Arial"/>
                <w:sz w:val="16"/>
                <w:szCs w:val="16"/>
              </w:rPr>
            </w:pPr>
            <w:r w:rsidRPr="001C256A">
              <w:rPr>
                <w:rFonts w:ascii="Arial" w:hAnsi="Arial" w:cs="Arial"/>
                <w:sz w:val="16"/>
                <w:szCs w:val="16"/>
              </w:rPr>
              <w:t xml:space="preserve">The UE can be configured with one CSI-RS pattern as indicated by the higher layer parameters </w:t>
            </w:r>
            <w:r w:rsidRPr="001C256A">
              <w:rPr>
                <w:rFonts w:ascii="Arial" w:hAnsi="Arial" w:cs="Arial"/>
                <w:i/>
                <w:iCs/>
                <w:color w:val="000000"/>
                <w:sz w:val="16"/>
                <w:szCs w:val="16"/>
              </w:rPr>
              <w:t xml:space="preserve">sl-CSI-RS-FreqAllocation, sl-CSI-RS-FirstSymbol </w:t>
            </w:r>
            <w:r w:rsidRPr="001C256A">
              <w:rPr>
                <w:rFonts w:ascii="Arial" w:hAnsi="Arial" w:cs="Arial"/>
                <w:color w:val="000000"/>
                <w:sz w:val="16"/>
                <w:szCs w:val="16"/>
              </w:rPr>
              <w:t>in</w:t>
            </w:r>
            <w:r w:rsidRPr="001C256A">
              <w:rPr>
                <w:rFonts w:ascii="Arial" w:hAnsi="Arial" w:cs="Arial"/>
                <w:i/>
                <w:iCs/>
                <w:color w:val="000000"/>
                <w:sz w:val="16"/>
                <w:szCs w:val="16"/>
              </w:rPr>
              <w:t xml:space="preserve"> SL-CSI-RS-Config</w:t>
            </w:r>
            <w:r w:rsidRPr="001C256A">
              <w:rPr>
                <w:rFonts w:ascii="Arial" w:hAnsi="Arial" w:cs="Arial"/>
                <w:sz w:val="16"/>
                <w:szCs w:val="16"/>
              </w:rPr>
              <w:t>.</w:t>
            </w:r>
          </w:p>
          <w:p w14:paraId="1AFD91BE" w14:textId="77777777" w:rsidR="001C256A" w:rsidRPr="001C256A" w:rsidRDefault="001C256A" w:rsidP="001C256A">
            <w:pPr>
              <w:rPr>
                <w:rFonts w:ascii="Arial" w:hAnsi="Arial" w:cs="Arial"/>
                <w:color w:val="000000"/>
                <w:sz w:val="16"/>
                <w:szCs w:val="16"/>
              </w:rPr>
            </w:pPr>
            <w:r w:rsidRPr="001C256A">
              <w:rPr>
                <w:rFonts w:ascii="Arial" w:hAnsi="Arial" w:cs="Arial"/>
                <w:color w:val="000000"/>
                <w:sz w:val="16"/>
                <w:szCs w:val="16"/>
              </w:rPr>
              <w:t xml:space="preserve">Parameters for which the UE shall assume non-zero transmission power for CSI-RS are configured according to clause 8.2.1. </w:t>
            </w:r>
          </w:p>
          <w:p w14:paraId="0CCCD90E" w14:textId="77777777" w:rsidR="001C256A" w:rsidRPr="001C256A" w:rsidRDefault="001C256A" w:rsidP="001C256A">
            <w:pPr>
              <w:rPr>
                <w:rFonts w:ascii="Arial" w:hAnsi="Arial" w:cs="Arial"/>
                <w:sz w:val="16"/>
                <w:szCs w:val="16"/>
              </w:rPr>
            </w:pPr>
            <w:r w:rsidRPr="001C256A">
              <w:rPr>
                <w:rFonts w:ascii="Arial" w:hAnsi="Arial" w:cs="Arial"/>
                <w:sz w:val="16"/>
                <w:szCs w:val="16"/>
              </w:rPr>
              <w:t>A UE is not expected to be configured such that a CSI-RS and the corresponding PSCCH can be mapped to the same resource element. A UE is not expected to receive sidelink CSI-RS and PSSCH DM-RS, nor CSI-RS and 2nd-stage SCI, on the same symbol.</w:t>
            </w:r>
          </w:p>
          <w:p w14:paraId="29AF95F3" w14:textId="77777777" w:rsidR="001C256A" w:rsidRPr="001C256A" w:rsidRDefault="001C256A" w:rsidP="001C256A">
            <w:pPr>
              <w:rPr>
                <w:rFonts w:ascii="Arial" w:eastAsia="Malgun Gothic" w:hAnsi="Arial" w:cs="Arial"/>
                <w:color w:val="000000"/>
                <w:sz w:val="16"/>
                <w:szCs w:val="16"/>
              </w:rPr>
            </w:pPr>
            <w:r w:rsidRPr="001C256A">
              <w:rPr>
                <w:rFonts w:ascii="Arial" w:hAnsi="Arial" w:cs="Arial"/>
                <w:color w:val="000000"/>
                <w:sz w:val="16"/>
                <w:szCs w:val="16"/>
              </w:rPr>
              <w:t>Sidelink CSI-RS shall be transmitted according to [4, TS 38.211] in the resource blocks used for the PSSCH associated with the SCI format 2-A,</w:t>
            </w:r>
            <w:r w:rsidRPr="001C256A">
              <w:rPr>
                <w:rFonts w:ascii="Arial" w:eastAsia="Malgun Gothic" w:hAnsi="Arial" w:cs="Arial"/>
                <w:color w:val="000000"/>
                <w:sz w:val="16"/>
                <w:szCs w:val="16"/>
              </w:rPr>
              <w:t xml:space="preserve"> </w:t>
            </w:r>
            <w:r w:rsidRPr="001C256A">
              <w:rPr>
                <w:rFonts w:ascii="Arial" w:eastAsia="Malgun Gothic" w:hAnsi="Arial" w:cs="Arial"/>
                <w:strike/>
                <w:color w:val="000000"/>
                <w:sz w:val="16"/>
                <w:szCs w:val="16"/>
              </w:rPr>
              <w:t xml:space="preserve">or </w:t>
            </w:r>
            <w:r w:rsidRPr="001C256A">
              <w:rPr>
                <w:rFonts w:ascii="Arial" w:eastAsia="Malgun Gothic" w:hAnsi="Arial" w:cs="Arial"/>
                <w:color w:val="000000"/>
                <w:sz w:val="16"/>
                <w:szCs w:val="16"/>
              </w:rPr>
              <w:t>2-C or 2-D</w:t>
            </w:r>
            <w:r w:rsidRPr="001C256A">
              <w:rPr>
                <w:rFonts w:ascii="Arial" w:hAnsi="Arial" w:cs="Arial"/>
                <w:color w:val="000000"/>
                <w:sz w:val="16"/>
                <w:szCs w:val="16"/>
              </w:rPr>
              <w:t xml:space="preserve"> triggering a report.</w:t>
            </w:r>
          </w:p>
          <w:p w14:paraId="50185707" w14:textId="77777777" w:rsidR="001C256A" w:rsidRPr="001C256A" w:rsidRDefault="001C256A" w:rsidP="001C256A">
            <w:pPr>
              <w:ind w:left="568" w:hanging="284"/>
              <w:jc w:val="center"/>
              <w:rPr>
                <w:rFonts w:ascii="Arial" w:eastAsia="Malgun Gothic" w:hAnsi="Arial" w:cs="Arial"/>
                <w:b/>
                <w:bCs/>
                <w:color w:val="FF0000"/>
                <w:sz w:val="16"/>
                <w:szCs w:val="16"/>
                <w:lang w:eastAsia="ko-KR"/>
              </w:rPr>
            </w:pPr>
            <w:r w:rsidRPr="001C256A">
              <w:rPr>
                <w:rFonts w:ascii="Arial" w:eastAsia="Malgun Gothic" w:hAnsi="Arial" w:cs="Arial"/>
                <w:b/>
                <w:bCs/>
                <w:color w:val="FF0000"/>
                <w:sz w:val="16"/>
                <w:szCs w:val="16"/>
                <w:lang w:eastAsia="ko-KR"/>
              </w:rPr>
              <w:t>&lt;&lt;&lt; UNCHANGED PARTS OMITTED &gt;&gt;&gt;</w:t>
            </w:r>
          </w:p>
          <w:p w14:paraId="474F53FC" w14:textId="252F1CA5" w:rsidR="001C256A" w:rsidRPr="001C256A" w:rsidRDefault="001C256A" w:rsidP="007A7C51">
            <w:pPr>
              <w:jc w:val="both"/>
              <w:rPr>
                <w:rFonts w:ascii="Arial" w:eastAsia="Malgun Gothic" w:hAnsi="Arial" w:cs="Arial"/>
                <w:b/>
                <w:bCs/>
                <w:color w:val="FF0000"/>
                <w:sz w:val="16"/>
                <w:szCs w:val="16"/>
                <w:lang w:eastAsia="ko-KR"/>
              </w:rPr>
            </w:pPr>
            <w:r w:rsidRPr="001C256A">
              <w:rPr>
                <w:rFonts w:ascii="Arial" w:eastAsia="Times New Roman" w:hAnsi="Arial" w:cs="Arial"/>
                <w:color w:val="FF0000"/>
                <w:sz w:val="16"/>
                <w:szCs w:val="16"/>
                <w:lang w:val="en-US" w:eastAsia="zh-CN"/>
              </w:rPr>
              <w:t xml:space="preserve">-------------------------- End of text proposal to TS 38.214 v18.0.0 with draft CR </w:t>
            </w:r>
            <w:hyperlink r:id="rId1148" w:history="1">
              <w:r w:rsidR="00AF7253">
                <w:rPr>
                  <w:rStyle w:val="Hyperlink"/>
                  <w:rFonts w:ascii="Arial" w:eastAsia="Times New Roman" w:hAnsi="Arial" w:cs="Arial"/>
                  <w:sz w:val="16"/>
                  <w:szCs w:val="16"/>
                  <w:lang w:val="en-US" w:eastAsia="zh-CN"/>
                </w:rPr>
                <w:t>R1-2310764</w:t>
              </w:r>
            </w:hyperlink>
            <w:r w:rsidRPr="001C256A">
              <w:rPr>
                <w:rFonts w:ascii="Arial" w:eastAsia="Times New Roman" w:hAnsi="Arial" w:cs="Arial"/>
                <w:color w:val="FF0000"/>
                <w:sz w:val="16"/>
                <w:szCs w:val="16"/>
                <w:lang w:val="en-US" w:eastAsia="zh-CN"/>
              </w:rPr>
              <w:t>-------------------------</w:t>
            </w:r>
          </w:p>
        </w:tc>
      </w:tr>
    </w:tbl>
    <w:p w14:paraId="798FC4D1" w14:textId="77777777" w:rsidR="001C256A" w:rsidRPr="001C256A" w:rsidRDefault="001C256A" w:rsidP="001C256A">
      <w:pPr>
        <w:rPr>
          <w:rFonts w:ascii="Times New Roman" w:hAnsi="Times New Roman"/>
          <w:szCs w:val="20"/>
        </w:rPr>
      </w:pPr>
    </w:p>
    <w:p w14:paraId="1B7E775F" w14:textId="77777777" w:rsidR="001C256A" w:rsidRPr="001C256A" w:rsidRDefault="001C256A" w:rsidP="001C256A">
      <w:pPr>
        <w:rPr>
          <w:rFonts w:ascii="Times New Roman" w:hAnsi="Times New Roman"/>
          <w:szCs w:val="20"/>
          <w:lang w:eastAsia="x-none"/>
        </w:rPr>
      </w:pPr>
      <w:r w:rsidRPr="001C256A">
        <w:rPr>
          <w:rFonts w:ascii="Times New Roman" w:hAnsi="Times New Roman"/>
          <w:szCs w:val="20"/>
          <w:highlight w:val="green"/>
          <w:lang w:eastAsia="x-none"/>
        </w:rPr>
        <w:t>Agreement</w:t>
      </w:r>
    </w:p>
    <w:p w14:paraId="5DB62B49" w14:textId="77777777" w:rsidR="001C256A" w:rsidRPr="001C256A" w:rsidRDefault="001C256A" w:rsidP="001C256A">
      <w:pPr>
        <w:widowControl w:val="0"/>
        <w:spacing w:line="288" w:lineRule="auto"/>
        <w:jc w:val="both"/>
        <w:rPr>
          <w:rFonts w:ascii="Times New Roman" w:hAnsi="Times New Roman"/>
          <w:bCs/>
          <w:szCs w:val="20"/>
          <w:lang w:eastAsia="zh-CN"/>
        </w:rPr>
      </w:pPr>
      <w:r w:rsidRPr="001C256A">
        <w:rPr>
          <w:rFonts w:ascii="Times New Roman" w:hAnsi="Times New Roman"/>
          <w:bCs/>
          <w:szCs w:val="20"/>
          <w:lang w:eastAsia="zh-CN"/>
        </w:rPr>
        <w:t>The following TP for TS 38.214 Clause 8.1 is endorsed</w:t>
      </w:r>
    </w:p>
    <w:tbl>
      <w:tblPr>
        <w:tblW w:w="5000" w:type="pct"/>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936"/>
        <w:gridCol w:w="8747"/>
      </w:tblGrid>
      <w:tr w:rsidR="001C256A" w:rsidRPr="001C256A" w14:paraId="5409FB5A" w14:textId="77777777" w:rsidTr="007A7C51">
        <w:tc>
          <w:tcPr>
            <w:tcW w:w="906" w:type="pct"/>
            <w:shd w:val="clear" w:color="auto" w:fill="auto"/>
          </w:tcPr>
          <w:p w14:paraId="30A77D11" w14:textId="77777777" w:rsidR="001C256A" w:rsidRPr="001C256A" w:rsidRDefault="001C256A" w:rsidP="001C256A">
            <w:pPr>
              <w:rPr>
                <w:rFonts w:ascii="Arial" w:hAnsi="Arial" w:cs="Arial"/>
                <w:b/>
                <w:bCs/>
                <w:sz w:val="16"/>
                <w:szCs w:val="16"/>
              </w:rPr>
            </w:pPr>
            <w:r w:rsidRPr="001C256A">
              <w:rPr>
                <w:rFonts w:ascii="Arial" w:hAnsi="Arial" w:cs="Arial"/>
                <w:b/>
                <w:bCs/>
                <w:sz w:val="16"/>
                <w:szCs w:val="16"/>
              </w:rPr>
              <w:t>Reasons for change</w:t>
            </w:r>
          </w:p>
        </w:tc>
        <w:tc>
          <w:tcPr>
            <w:tcW w:w="4094" w:type="pct"/>
            <w:shd w:val="clear" w:color="auto" w:fill="auto"/>
          </w:tcPr>
          <w:p w14:paraId="2475BE15" w14:textId="77777777" w:rsidR="001C256A" w:rsidRPr="001C256A" w:rsidRDefault="001C256A" w:rsidP="001C256A">
            <w:pPr>
              <w:rPr>
                <w:rFonts w:ascii="Arial" w:hAnsi="Arial" w:cs="Arial"/>
                <w:sz w:val="16"/>
                <w:szCs w:val="16"/>
                <w:lang w:eastAsia="zh-CN"/>
              </w:rPr>
            </w:pPr>
            <w:r w:rsidRPr="001C256A">
              <w:rPr>
                <w:rFonts w:ascii="Arial" w:hAnsi="Arial" w:cs="Arial"/>
                <w:sz w:val="16"/>
                <w:szCs w:val="16"/>
                <w:lang w:eastAsia="zh-CN"/>
              </w:rPr>
              <w:t>The description of UE setting ‘Embedded SCI format’ field of SCI format 2-D is not correct.</w:t>
            </w:r>
          </w:p>
        </w:tc>
      </w:tr>
      <w:tr w:rsidR="001C256A" w:rsidRPr="001C256A" w14:paraId="334ECB92" w14:textId="77777777" w:rsidTr="007A7C51">
        <w:tc>
          <w:tcPr>
            <w:tcW w:w="906" w:type="pct"/>
            <w:shd w:val="clear" w:color="auto" w:fill="auto"/>
          </w:tcPr>
          <w:p w14:paraId="1DFC8FBA" w14:textId="77777777" w:rsidR="001C256A" w:rsidRPr="001C256A" w:rsidRDefault="001C256A" w:rsidP="001C256A">
            <w:pPr>
              <w:rPr>
                <w:rFonts w:ascii="Arial" w:hAnsi="Arial" w:cs="Arial"/>
                <w:b/>
                <w:bCs/>
                <w:sz w:val="16"/>
                <w:szCs w:val="16"/>
              </w:rPr>
            </w:pPr>
            <w:r w:rsidRPr="001C256A">
              <w:rPr>
                <w:rFonts w:ascii="Arial" w:hAnsi="Arial" w:cs="Arial"/>
                <w:b/>
                <w:bCs/>
                <w:sz w:val="16"/>
                <w:szCs w:val="16"/>
              </w:rPr>
              <w:t>Summary of change</w:t>
            </w:r>
          </w:p>
        </w:tc>
        <w:tc>
          <w:tcPr>
            <w:tcW w:w="4094" w:type="pct"/>
            <w:shd w:val="clear" w:color="auto" w:fill="auto"/>
          </w:tcPr>
          <w:p w14:paraId="7D2298DA" w14:textId="77777777" w:rsidR="001C256A" w:rsidRPr="001C256A" w:rsidRDefault="001C256A" w:rsidP="001C256A">
            <w:pPr>
              <w:rPr>
                <w:rFonts w:ascii="Arial" w:hAnsi="Arial" w:cs="Arial"/>
                <w:sz w:val="16"/>
                <w:szCs w:val="16"/>
                <w:lang w:eastAsia="zh-CN"/>
              </w:rPr>
            </w:pPr>
            <w:r w:rsidRPr="001C256A">
              <w:rPr>
                <w:rFonts w:ascii="Arial" w:hAnsi="Arial" w:cs="Arial"/>
                <w:sz w:val="16"/>
                <w:szCs w:val="16"/>
                <w:lang w:eastAsia="zh-CN"/>
              </w:rPr>
              <w:t>Change the description of UE setting ‘Embedded SCI format’ field of SCI format 2-D.</w:t>
            </w:r>
          </w:p>
        </w:tc>
      </w:tr>
      <w:tr w:rsidR="001C256A" w:rsidRPr="001C256A" w14:paraId="02EC2602" w14:textId="77777777" w:rsidTr="007A7C51">
        <w:tc>
          <w:tcPr>
            <w:tcW w:w="906" w:type="pct"/>
            <w:shd w:val="clear" w:color="auto" w:fill="auto"/>
          </w:tcPr>
          <w:p w14:paraId="70E47AED" w14:textId="77777777" w:rsidR="001C256A" w:rsidRPr="001C256A" w:rsidRDefault="001C256A" w:rsidP="001C256A">
            <w:pPr>
              <w:rPr>
                <w:rFonts w:ascii="Arial" w:hAnsi="Arial" w:cs="Arial"/>
                <w:b/>
                <w:bCs/>
                <w:sz w:val="16"/>
                <w:szCs w:val="16"/>
              </w:rPr>
            </w:pPr>
            <w:r w:rsidRPr="001C256A">
              <w:rPr>
                <w:rFonts w:ascii="Arial" w:hAnsi="Arial" w:cs="Arial"/>
                <w:b/>
                <w:bCs/>
                <w:sz w:val="16"/>
                <w:szCs w:val="16"/>
              </w:rPr>
              <w:t>Consequences if not approved</w:t>
            </w:r>
          </w:p>
        </w:tc>
        <w:tc>
          <w:tcPr>
            <w:tcW w:w="4094" w:type="pct"/>
            <w:shd w:val="clear" w:color="auto" w:fill="auto"/>
          </w:tcPr>
          <w:p w14:paraId="084CBC9A" w14:textId="77777777" w:rsidR="001C256A" w:rsidRPr="001C256A" w:rsidRDefault="001C256A" w:rsidP="001C256A">
            <w:pPr>
              <w:rPr>
                <w:rFonts w:ascii="Arial" w:hAnsi="Arial" w:cs="Arial"/>
                <w:b/>
                <w:bCs/>
                <w:sz w:val="16"/>
                <w:szCs w:val="16"/>
                <w:lang w:eastAsia="zh-CN"/>
              </w:rPr>
            </w:pPr>
            <w:r w:rsidRPr="001C256A">
              <w:rPr>
                <w:rFonts w:ascii="Arial" w:hAnsi="Arial" w:cs="Arial"/>
                <w:sz w:val="16"/>
                <w:szCs w:val="16"/>
                <w:lang w:eastAsia="zh-CN"/>
              </w:rPr>
              <w:t>The specification is not aligned with the agreement.</w:t>
            </w:r>
          </w:p>
        </w:tc>
      </w:tr>
      <w:tr w:rsidR="001C256A" w:rsidRPr="001C256A" w14:paraId="3612F57C" w14:textId="77777777" w:rsidTr="007A7C51">
        <w:tc>
          <w:tcPr>
            <w:tcW w:w="906" w:type="pct"/>
            <w:shd w:val="clear" w:color="auto" w:fill="auto"/>
          </w:tcPr>
          <w:p w14:paraId="387AC7D6" w14:textId="77777777" w:rsidR="001C256A" w:rsidRPr="001C256A" w:rsidRDefault="001C256A" w:rsidP="001C256A">
            <w:pPr>
              <w:rPr>
                <w:rFonts w:ascii="Arial" w:hAnsi="Arial" w:cs="Arial"/>
                <w:b/>
                <w:bCs/>
                <w:sz w:val="16"/>
                <w:szCs w:val="16"/>
              </w:rPr>
            </w:pPr>
            <w:r w:rsidRPr="001C256A">
              <w:rPr>
                <w:rFonts w:ascii="Arial" w:hAnsi="Arial" w:cs="Arial"/>
                <w:b/>
                <w:bCs/>
                <w:sz w:val="16"/>
                <w:szCs w:val="16"/>
              </w:rPr>
              <w:t>Text proposal</w:t>
            </w:r>
          </w:p>
        </w:tc>
        <w:tc>
          <w:tcPr>
            <w:tcW w:w="4094" w:type="pct"/>
            <w:shd w:val="clear" w:color="auto" w:fill="auto"/>
          </w:tcPr>
          <w:p w14:paraId="59511D8E" w14:textId="77777777" w:rsidR="001C256A" w:rsidRPr="001C256A" w:rsidRDefault="001C256A" w:rsidP="001C256A">
            <w:pPr>
              <w:rPr>
                <w:rFonts w:ascii="Arial" w:hAnsi="Arial" w:cs="Arial"/>
                <w:color w:val="000000"/>
                <w:sz w:val="16"/>
                <w:szCs w:val="16"/>
                <w:lang w:eastAsia="zh-CN"/>
              </w:rPr>
            </w:pPr>
            <w:r w:rsidRPr="001C256A">
              <w:rPr>
                <w:rFonts w:ascii="Arial" w:hAnsi="Arial" w:cs="Arial"/>
                <w:color w:val="000000"/>
                <w:sz w:val="16"/>
                <w:szCs w:val="16"/>
                <w:lang w:eastAsia="zh-CN"/>
              </w:rPr>
              <w:t>The UE shall set the contents of the SCI format 2-D as follows:</w:t>
            </w:r>
          </w:p>
          <w:p w14:paraId="17E7C600" w14:textId="77777777" w:rsidR="001C256A" w:rsidRPr="001C256A" w:rsidRDefault="001C256A" w:rsidP="001C256A">
            <w:pPr>
              <w:numPr>
                <w:ilvl w:val="0"/>
                <w:numId w:val="24"/>
              </w:numPr>
              <w:ind w:left="568" w:hanging="284"/>
              <w:rPr>
                <w:rFonts w:ascii="Arial" w:eastAsia="MS Mincho" w:hAnsi="Arial" w:cs="Arial"/>
                <w:sz w:val="16"/>
                <w:szCs w:val="16"/>
                <w:lang w:val="en-US" w:eastAsia="zh-CN"/>
              </w:rPr>
            </w:pPr>
            <w:r w:rsidRPr="001C256A">
              <w:rPr>
                <w:rFonts w:ascii="Arial" w:eastAsia="MS Mincho" w:hAnsi="Arial" w:cs="Arial"/>
                <w:sz w:val="16"/>
                <w:szCs w:val="16"/>
                <w:lang w:eastAsia="zh-CN"/>
              </w:rPr>
              <w:t>-</w:t>
            </w:r>
            <w:r w:rsidRPr="001C256A">
              <w:rPr>
                <w:rFonts w:ascii="Arial" w:eastAsia="MS Mincho" w:hAnsi="Arial" w:cs="Arial"/>
                <w:sz w:val="16"/>
                <w:szCs w:val="16"/>
                <w:lang w:eastAsia="zh-CN"/>
              </w:rPr>
              <w:tab/>
              <w:t xml:space="preserve">the UE shall set value of the </w:t>
            </w:r>
            <w:r w:rsidRPr="001C256A">
              <w:rPr>
                <w:rFonts w:ascii="Arial" w:eastAsia="MS Mincho" w:hAnsi="Arial" w:cs="Arial"/>
                <w:i/>
                <w:iCs/>
                <w:sz w:val="16"/>
                <w:szCs w:val="16"/>
                <w:lang w:eastAsia="zh-CN"/>
              </w:rPr>
              <w:t>'[SL PRS resource ID]</w:t>
            </w:r>
            <w:r w:rsidRPr="001C256A">
              <w:rPr>
                <w:rFonts w:ascii="Arial" w:eastAsia="MS Mincho" w:hAnsi="Arial" w:cs="Arial"/>
                <w:i/>
                <w:iCs/>
                <w:sz w:val="16"/>
                <w:szCs w:val="16"/>
                <w:lang w:val="en-US" w:eastAsia="zh-CN"/>
              </w:rPr>
              <w:t>'</w:t>
            </w:r>
            <w:r w:rsidRPr="001C256A">
              <w:rPr>
                <w:rFonts w:ascii="Arial" w:eastAsia="MS Mincho" w:hAnsi="Arial" w:cs="Arial"/>
                <w:sz w:val="16"/>
                <w:szCs w:val="16"/>
                <w:lang w:eastAsia="zh-CN"/>
              </w:rPr>
              <w:t xml:space="preserve"> field as indicated by higher layers.</w:t>
            </w:r>
          </w:p>
          <w:p w14:paraId="31A3B9AE" w14:textId="77777777" w:rsidR="001C256A" w:rsidRPr="001C256A" w:rsidRDefault="001C256A" w:rsidP="001C256A">
            <w:pPr>
              <w:numPr>
                <w:ilvl w:val="0"/>
                <w:numId w:val="24"/>
              </w:numPr>
              <w:ind w:left="568" w:hanging="284"/>
              <w:rPr>
                <w:rFonts w:ascii="Arial" w:eastAsia="MS Mincho" w:hAnsi="Arial" w:cs="Arial"/>
                <w:sz w:val="16"/>
                <w:szCs w:val="16"/>
                <w:lang w:eastAsia="zh-CN"/>
              </w:rPr>
            </w:pPr>
            <w:r w:rsidRPr="001C256A">
              <w:rPr>
                <w:rFonts w:ascii="Arial" w:eastAsia="MS Mincho" w:hAnsi="Arial" w:cs="Arial"/>
                <w:sz w:val="16"/>
                <w:szCs w:val="16"/>
                <w:lang w:eastAsia="zh-CN"/>
              </w:rPr>
              <w:t>-</w:t>
            </w:r>
            <w:r w:rsidRPr="001C256A">
              <w:rPr>
                <w:rFonts w:ascii="Arial" w:eastAsia="MS Mincho" w:hAnsi="Arial" w:cs="Arial"/>
                <w:sz w:val="16"/>
                <w:szCs w:val="16"/>
                <w:lang w:eastAsia="zh-CN"/>
              </w:rPr>
              <w:tab/>
              <w:t xml:space="preserve">the UE shall set value of the </w:t>
            </w:r>
            <w:r w:rsidRPr="001C256A">
              <w:rPr>
                <w:rFonts w:ascii="Arial" w:eastAsia="MS Mincho" w:hAnsi="Arial" w:cs="Arial"/>
                <w:i/>
                <w:iCs/>
                <w:sz w:val="16"/>
                <w:szCs w:val="16"/>
                <w:lang w:eastAsia="zh-CN"/>
              </w:rPr>
              <w:t>'[SL PRS request]</w:t>
            </w:r>
            <w:r w:rsidRPr="001C256A">
              <w:rPr>
                <w:rFonts w:ascii="Arial" w:eastAsia="MS Mincho" w:hAnsi="Arial" w:cs="Arial"/>
                <w:i/>
                <w:iCs/>
                <w:sz w:val="16"/>
                <w:szCs w:val="16"/>
                <w:lang w:val="en-US" w:eastAsia="zh-CN"/>
              </w:rPr>
              <w:t>'</w:t>
            </w:r>
            <w:r w:rsidRPr="001C256A">
              <w:rPr>
                <w:rFonts w:ascii="Arial" w:eastAsia="MS Mincho" w:hAnsi="Arial" w:cs="Arial"/>
                <w:sz w:val="16"/>
                <w:szCs w:val="16"/>
                <w:lang w:eastAsia="zh-CN"/>
              </w:rPr>
              <w:t xml:space="preserve"> field as indicated by higher layers.</w:t>
            </w:r>
          </w:p>
          <w:p w14:paraId="71170D38" w14:textId="77777777" w:rsidR="001C256A" w:rsidRPr="001C256A" w:rsidRDefault="001C256A" w:rsidP="001C256A">
            <w:pPr>
              <w:numPr>
                <w:ilvl w:val="0"/>
                <w:numId w:val="24"/>
              </w:numPr>
              <w:ind w:left="568" w:hanging="284"/>
              <w:rPr>
                <w:rFonts w:ascii="Arial" w:eastAsia="MS Mincho" w:hAnsi="Arial" w:cs="Arial"/>
                <w:sz w:val="16"/>
                <w:szCs w:val="16"/>
                <w:lang w:eastAsia="zh-CN"/>
              </w:rPr>
            </w:pPr>
            <w:r w:rsidRPr="001C256A">
              <w:rPr>
                <w:rFonts w:ascii="Arial" w:eastAsia="MS Mincho" w:hAnsi="Arial" w:cs="Arial"/>
                <w:sz w:val="16"/>
                <w:szCs w:val="16"/>
                <w:lang w:eastAsia="zh-CN"/>
              </w:rPr>
              <w:t>-</w:t>
            </w:r>
            <w:r w:rsidRPr="001C256A">
              <w:rPr>
                <w:rFonts w:ascii="Arial" w:eastAsia="MS Mincho" w:hAnsi="Arial" w:cs="Arial"/>
                <w:sz w:val="16"/>
                <w:szCs w:val="16"/>
                <w:lang w:eastAsia="zh-CN"/>
              </w:rPr>
              <w:tab/>
              <w:t xml:space="preserve">the UE shall set value of the </w:t>
            </w:r>
            <w:r w:rsidRPr="001C256A">
              <w:rPr>
                <w:rFonts w:ascii="Arial" w:eastAsia="MS Mincho" w:hAnsi="Arial" w:cs="Arial"/>
                <w:i/>
                <w:iCs/>
                <w:sz w:val="16"/>
                <w:szCs w:val="16"/>
                <w:lang w:eastAsia="zh-CN"/>
              </w:rPr>
              <w:t>'[Embedded SCI format]</w:t>
            </w:r>
            <w:r w:rsidRPr="001C256A">
              <w:rPr>
                <w:rFonts w:ascii="Arial" w:eastAsia="MS Mincho" w:hAnsi="Arial" w:cs="Arial"/>
                <w:i/>
                <w:iCs/>
                <w:sz w:val="16"/>
                <w:szCs w:val="16"/>
                <w:lang w:val="en-US" w:eastAsia="zh-CN"/>
              </w:rPr>
              <w:t>'</w:t>
            </w:r>
            <w:r w:rsidRPr="001C256A">
              <w:rPr>
                <w:rFonts w:ascii="Arial" w:eastAsia="MS Mincho" w:hAnsi="Arial" w:cs="Arial"/>
                <w:sz w:val="16"/>
                <w:szCs w:val="16"/>
                <w:lang w:eastAsia="zh-CN"/>
              </w:rPr>
              <w:t xml:space="preserve"> field as indicated by higher layers.</w:t>
            </w:r>
          </w:p>
          <w:p w14:paraId="1C630259" w14:textId="77777777" w:rsidR="001C256A" w:rsidRPr="001C256A" w:rsidRDefault="001C256A" w:rsidP="001C256A">
            <w:pPr>
              <w:numPr>
                <w:ilvl w:val="0"/>
                <w:numId w:val="24"/>
              </w:numPr>
              <w:ind w:left="568" w:hanging="284"/>
              <w:rPr>
                <w:rFonts w:ascii="Arial" w:eastAsia="MS Mincho" w:hAnsi="Arial" w:cs="Arial"/>
                <w:sz w:val="16"/>
                <w:szCs w:val="16"/>
                <w:lang w:eastAsia="zh-CN"/>
              </w:rPr>
            </w:pPr>
            <w:r w:rsidRPr="001C256A">
              <w:rPr>
                <w:rFonts w:ascii="Arial" w:eastAsia="MS Mincho" w:hAnsi="Arial" w:cs="Arial"/>
                <w:sz w:val="16"/>
                <w:szCs w:val="16"/>
                <w:lang w:eastAsia="zh-CN"/>
              </w:rPr>
              <w:t>-</w:t>
            </w:r>
            <w:r w:rsidRPr="001C256A">
              <w:rPr>
                <w:rFonts w:ascii="Arial" w:eastAsia="MS Mincho" w:hAnsi="Arial" w:cs="Arial"/>
                <w:sz w:val="16"/>
                <w:szCs w:val="16"/>
                <w:lang w:eastAsia="zh-CN"/>
              </w:rPr>
              <w:tab/>
              <w:t xml:space="preserve">if </w:t>
            </w:r>
            <w:r w:rsidRPr="001C256A">
              <w:rPr>
                <w:rFonts w:ascii="Arial" w:eastAsia="MS Mincho" w:hAnsi="Arial" w:cs="Arial"/>
                <w:i/>
                <w:iCs/>
                <w:sz w:val="16"/>
                <w:szCs w:val="16"/>
                <w:lang w:eastAsia="zh-CN"/>
              </w:rPr>
              <w:t>'Embedded SCI format</w:t>
            </w:r>
            <w:r w:rsidRPr="001C256A">
              <w:rPr>
                <w:rFonts w:ascii="Arial" w:eastAsia="MS Mincho" w:hAnsi="Arial" w:cs="Arial"/>
                <w:i/>
                <w:iCs/>
                <w:sz w:val="16"/>
                <w:szCs w:val="16"/>
                <w:lang w:val="en-US" w:eastAsia="zh-CN"/>
              </w:rPr>
              <w:t>'</w:t>
            </w:r>
            <w:r w:rsidRPr="001C256A">
              <w:rPr>
                <w:rFonts w:ascii="Arial" w:eastAsia="MS Mincho" w:hAnsi="Arial" w:cs="Arial"/>
                <w:sz w:val="16"/>
                <w:szCs w:val="16"/>
                <w:lang w:val="en-US" w:eastAsia="zh-CN"/>
              </w:rPr>
              <w:t xml:space="preserve"> </w:t>
            </w:r>
            <w:r w:rsidRPr="001C256A">
              <w:rPr>
                <w:rFonts w:ascii="Arial" w:eastAsia="MS Mincho" w:hAnsi="Arial" w:cs="Arial"/>
                <w:sz w:val="16"/>
                <w:szCs w:val="16"/>
                <w:lang w:eastAsia="zh-CN"/>
              </w:rPr>
              <w:t xml:space="preserve">indicates that SCI format 2-A is embedded within this SCI format 2-D then the UE shall include in the </w:t>
            </w:r>
            <w:r w:rsidRPr="001C256A">
              <w:rPr>
                <w:rFonts w:ascii="Arial" w:eastAsia="MS Mincho" w:hAnsi="Arial" w:cs="Arial"/>
                <w:i/>
                <w:iCs/>
                <w:sz w:val="16"/>
                <w:szCs w:val="16"/>
                <w:lang w:eastAsia="zh-CN"/>
              </w:rPr>
              <w:t>'[Embedded SCI format payload]</w:t>
            </w:r>
            <w:r w:rsidRPr="001C256A">
              <w:rPr>
                <w:rFonts w:ascii="Arial" w:eastAsia="MS Mincho" w:hAnsi="Arial" w:cs="Arial"/>
                <w:i/>
                <w:iCs/>
                <w:sz w:val="16"/>
                <w:szCs w:val="16"/>
                <w:lang w:val="en-US" w:eastAsia="zh-CN"/>
              </w:rPr>
              <w:t>'</w:t>
            </w:r>
            <w:r w:rsidRPr="001C256A">
              <w:rPr>
                <w:rFonts w:ascii="Arial" w:eastAsia="MS Mincho" w:hAnsi="Arial" w:cs="Arial"/>
                <w:sz w:val="16"/>
                <w:szCs w:val="16"/>
                <w:lang w:val="en-US" w:eastAsia="zh-CN"/>
              </w:rPr>
              <w:t xml:space="preserve"> </w:t>
            </w:r>
            <w:r w:rsidRPr="001C256A">
              <w:rPr>
                <w:rFonts w:ascii="Arial" w:eastAsia="MS Mincho" w:hAnsi="Arial" w:cs="Arial"/>
                <w:sz w:val="16"/>
                <w:szCs w:val="16"/>
                <w:lang w:eastAsia="zh-CN"/>
              </w:rPr>
              <w:t>field the fields of SCI format 2-A, set as specified above.</w:t>
            </w:r>
          </w:p>
          <w:p w14:paraId="1D5DE47B" w14:textId="77777777" w:rsidR="001C256A" w:rsidRPr="001C256A" w:rsidRDefault="001C256A" w:rsidP="001C256A">
            <w:pPr>
              <w:numPr>
                <w:ilvl w:val="0"/>
                <w:numId w:val="24"/>
              </w:numPr>
              <w:ind w:left="568" w:hanging="284"/>
              <w:rPr>
                <w:rFonts w:ascii="Arial" w:eastAsia="MS Mincho" w:hAnsi="Arial" w:cs="Arial"/>
                <w:sz w:val="16"/>
                <w:szCs w:val="16"/>
                <w:lang w:eastAsia="zh-CN"/>
              </w:rPr>
            </w:pPr>
            <w:r w:rsidRPr="001C256A">
              <w:rPr>
                <w:rFonts w:ascii="Arial" w:eastAsia="MS Mincho" w:hAnsi="Arial" w:cs="Arial"/>
                <w:sz w:val="16"/>
                <w:szCs w:val="16"/>
                <w:lang w:eastAsia="zh-CN"/>
              </w:rPr>
              <w:t>-</w:t>
            </w:r>
            <w:r w:rsidRPr="001C256A">
              <w:rPr>
                <w:rFonts w:ascii="Arial" w:eastAsia="MS Mincho" w:hAnsi="Arial" w:cs="Arial"/>
                <w:sz w:val="16"/>
                <w:szCs w:val="16"/>
                <w:lang w:eastAsia="zh-CN"/>
              </w:rPr>
              <w:tab/>
              <w:t xml:space="preserve">if </w:t>
            </w:r>
            <w:r w:rsidRPr="001C256A">
              <w:rPr>
                <w:rFonts w:ascii="Arial" w:eastAsia="MS Mincho" w:hAnsi="Arial" w:cs="Arial"/>
                <w:i/>
                <w:iCs/>
                <w:sz w:val="16"/>
                <w:szCs w:val="16"/>
                <w:lang w:eastAsia="zh-CN"/>
              </w:rPr>
              <w:t>'Embedded SCI format</w:t>
            </w:r>
            <w:r w:rsidRPr="001C256A">
              <w:rPr>
                <w:rFonts w:ascii="Arial" w:eastAsia="MS Mincho" w:hAnsi="Arial" w:cs="Arial"/>
                <w:i/>
                <w:iCs/>
                <w:sz w:val="16"/>
                <w:szCs w:val="16"/>
                <w:lang w:val="en-US" w:eastAsia="zh-CN"/>
              </w:rPr>
              <w:t>'</w:t>
            </w:r>
            <w:r w:rsidRPr="001C256A">
              <w:rPr>
                <w:rFonts w:ascii="Arial" w:eastAsia="MS Mincho" w:hAnsi="Arial" w:cs="Arial"/>
                <w:sz w:val="16"/>
                <w:szCs w:val="16"/>
                <w:lang w:val="en-US" w:eastAsia="zh-CN"/>
              </w:rPr>
              <w:t xml:space="preserve"> </w:t>
            </w:r>
            <w:r w:rsidRPr="001C256A">
              <w:rPr>
                <w:rFonts w:ascii="Arial" w:eastAsia="MS Mincho" w:hAnsi="Arial" w:cs="Arial"/>
                <w:sz w:val="16"/>
                <w:szCs w:val="16"/>
                <w:lang w:eastAsia="zh-CN"/>
              </w:rPr>
              <w:t xml:space="preserve">indicates that SCI format 2-B is embedded within this SCI format 2-D then the UE shall include in the </w:t>
            </w:r>
            <w:r w:rsidRPr="001C256A">
              <w:rPr>
                <w:rFonts w:ascii="Arial" w:eastAsia="MS Mincho" w:hAnsi="Arial" w:cs="Arial"/>
                <w:i/>
                <w:iCs/>
                <w:sz w:val="16"/>
                <w:szCs w:val="16"/>
                <w:lang w:eastAsia="zh-CN"/>
              </w:rPr>
              <w:t>'[Embedded SCI format payload]</w:t>
            </w:r>
            <w:r w:rsidRPr="001C256A">
              <w:rPr>
                <w:rFonts w:ascii="Arial" w:eastAsia="MS Mincho" w:hAnsi="Arial" w:cs="Arial"/>
                <w:i/>
                <w:iCs/>
                <w:sz w:val="16"/>
                <w:szCs w:val="16"/>
                <w:lang w:val="en-US" w:eastAsia="zh-CN"/>
              </w:rPr>
              <w:t>'</w:t>
            </w:r>
            <w:r w:rsidRPr="001C256A">
              <w:rPr>
                <w:rFonts w:ascii="Arial" w:eastAsia="MS Mincho" w:hAnsi="Arial" w:cs="Arial"/>
                <w:sz w:val="16"/>
                <w:szCs w:val="16"/>
                <w:lang w:val="en-US" w:eastAsia="zh-CN"/>
              </w:rPr>
              <w:t xml:space="preserve"> </w:t>
            </w:r>
            <w:r w:rsidRPr="001C256A">
              <w:rPr>
                <w:rFonts w:ascii="Arial" w:eastAsia="MS Mincho" w:hAnsi="Arial" w:cs="Arial"/>
                <w:sz w:val="16"/>
                <w:szCs w:val="16"/>
                <w:lang w:eastAsia="zh-CN"/>
              </w:rPr>
              <w:t>field the fields of SCI format 2-B, set as specified above.</w:t>
            </w:r>
          </w:p>
        </w:tc>
      </w:tr>
    </w:tbl>
    <w:p w14:paraId="5F915F0C" w14:textId="77777777" w:rsidR="001C256A" w:rsidRPr="001C256A" w:rsidRDefault="001C256A" w:rsidP="001C256A">
      <w:pPr>
        <w:rPr>
          <w:rFonts w:ascii="Times New Roman" w:hAnsi="Times New Roman"/>
          <w:szCs w:val="20"/>
          <w:lang w:eastAsia="x-none"/>
        </w:rPr>
      </w:pPr>
    </w:p>
    <w:p w14:paraId="11F6F874" w14:textId="77777777" w:rsidR="001C256A" w:rsidRPr="001C256A" w:rsidRDefault="001C256A" w:rsidP="001C256A">
      <w:pPr>
        <w:rPr>
          <w:rFonts w:ascii="Times New Roman" w:hAnsi="Times New Roman"/>
          <w:szCs w:val="20"/>
          <w:lang w:eastAsia="x-none"/>
        </w:rPr>
      </w:pPr>
    </w:p>
    <w:p w14:paraId="2D447AF3" w14:textId="53A35C2A" w:rsidR="00BC0551" w:rsidRPr="00BC0551" w:rsidRDefault="005A18DC" w:rsidP="00BC0551">
      <w:pPr>
        <w:rPr>
          <w:b/>
          <w:lang w:eastAsia="x-none"/>
        </w:rPr>
      </w:pPr>
      <w:hyperlink r:id="rId1149" w:history="1">
        <w:r w:rsidR="00AF7253">
          <w:rPr>
            <w:rStyle w:val="Hyperlink"/>
            <w:b/>
            <w:lang w:eastAsia="x-none"/>
          </w:rPr>
          <w:t>R1-2312472</w:t>
        </w:r>
      </w:hyperlink>
      <w:r w:rsidR="00BC0551" w:rsidRPr="00BC0551">
        <w:rPr>
          <w:b/>
          <w:lang w:eastAsia="x-none"/>
        </w:rPr>
        <w:tab/>
        <w:t>Moderator Summary #1 on resource allocation for SL PRS</w:t>
      </w:r>
      <w:r w:rsidR="00BC0551" w:rsidRPr="00BC0551">
        <w:rPr>
          <w:b/>
          <w:lang w:eastAsia="x-none"/>
        </w:rPr>
        <w:tab/>
        <w:t>Moderator (Qualcomm)</w:t>
      </w:r>
    </w:p>
    <w:p w14:paraId="372D8329" w14:textId="644AC33F" w:rsidR="00BC0551" w:rsidRPr="00BC0551" w:rsidRDefault="00BC0551" w:rsidP="00BC0551">
      <w:pPr>
        <w:rPr>
          <w:lang w:eastAsia="x-none"/>
        </w:rPr>
      </w:pPr>
      <w:r>
        <w:rPr>
          <w:lang w:eastAsia="x-none"/>
        </w:rPr>
        <w:t>From Thursday session</w:t>
      </w:r>
    </w:p>
    <w:p w14:paraId="680D8F4A" w14:textId="77777777" w:rsidR="00BC0551" w:rsidRPr="00BC0551" w:rsidRDefault="00BC0551" w:rsidP="00BC0551">
      <w:pPr>
        <w:rPr>
          <w:rFonts w:ascii="Times New Roman" w:hAnsi="Times New Roman"/>
          <w:szCs w:val="20"/>
          <w:u w:val="single"/>
          <w:lang w:val="en-US" w:eastAsia="zh-CN"/>
        </w:rPr>
      </w:pPr>
      <w:r w:rsidRPr="00BC0551">
        <w:rPr>
          <w:rFonts w:ascii="Times New Roman" w:hAnsi="Times New Roman"/>
          <w:szCs w:val="20"/>
          <w:u w:val="single"/>
          <w:lang w:val="en-US" w:eastAsia="zh-CN"/>
        </w:rPr>
        <w:t>Conclusion</w:t>
      </w:r>
    </w:p>
    <w:p w14:paraId="6B3EEA17" w14:textId="77777777" w:rsidR="00BC0551" w:rsidRPr="00FD5134" w:rsidRDefault="00BC0551" w:rsidP="00BC0551">
      <w:pPr>
        <w:rPr>
          <w:rFonts w:ascii="Times New Roman" w:hAnsi="Times New Roman"/>
          <w:szCs w:val="20"/>
          <w:lang w:eastAsia="zh-CN"/>
        </w:rPr>
      </w:pPr>
      <w:r w:rsidRPr="00FD5134">
        <w:rPr>
          <w:rFonts w:ascii="Times New Roman" w:hAnsi="Times New Roman"/>
          <w:szCs w:val="20"/>
          <w:lang w:eastAsia="zh-CN"/>
        </w:rPr>
        <w:t>With regards to the SL PRS (re)transmission(s):</w:t>
      </w:r>
    </w:p>
    <w:p w14:paraId="67A756E2" w14:textId="77777777" w:rsidR="00BC0551" w:rsidRPr="00FD5134" w:rsidRDefault="00BC0551" w:rsidP="00A67145">
      <w:pPr>
        <w:pStyle w:val="ListParagraph"/>
        <w:numPr>
          <w:ilvl w:val="0"/>
          <w:numId w:val="208"/>
        </w:numPr>
        <w:rPr>
          <w:lang w:eastAsia="zh-CN"/>
        </w:rPr>
      </w:pPr>
      <w:r w:rsidRPr="00FD5134">
        <w:rPr>
          <w:lang w:eastAsia="zh-CN"/>
        </w:rPr>
        <w:lastRenderedPageBreak/>
        <w:t>RAN1 assumes that higher layers may provide to PHY layer more than one SL-PRS resource(s), which are used for the (re-)transmission of multiple SL-PRS(s) on different slots to the same target UE(s)</w:t>
      </w:r>
    </w:p>
    <w:p w14:paraId="19BD16E9" w14:textId="13711BAA" w:rsidR="00BC0551" w:rsidRPr="00FD5134" w:rsidRDefault="00BC0551" w:rsidP="00A67145">
      <w:pPr>
        <w:pStyle w:val="ListParagraph"/>
        <w:numPr>
          <w:ilvl w:val="1"/>
          <w:numId w:val="208"/>
        </w:numPr>
        <w:rPr>
          <w:lang w:eastAsia="zh-CN"/>
        </w:rPr>
      </w:pPr>
      <w:r w:rsidRPr="00FD5134">
        <w:rPr>
          <w:lang w:eastAsia="zh-CN"/>
        </w:rPr>
        <w:t>It is up to RAN2 to specify a mechanism for selection of multiple resources for SL-PRS.</w:t>
      </w:r>
    </w:p>
    <w:p w14:paraId="0624B753" w14:textId="77777777" w:rsidR="00BC0551" w:rsidRPr="00BC0551" w:rsidRDefault="00BC0551" w:rsidP="00BC0551">
      <w:pPr>
        <w:rPr>
          <w:rFonts w:ascii="Times New Roman" w:hAnsi="Times New Roman"/>
          <w:szCs w:val="20"/>
          <w:u w:val="single"/>
        </w:rPr>
      </w:pPr>
      <w:r w:rsidRPr="00BC0551">
        <w:rPr>
          <w:rFonts w:ascii="Times New Roman" w:hAnsi="Times New Roman"/>
          <w:szCs w:val="20"/>
          <w:u w:val="single"/>
        </w:rPr>
        <w:t>Conclusion</w:t>
      </w:r>
    </w:p>
    <w:p w14:paraId="499993FD" w14:textId="77777777" w:rsidR="00BC0551" w:rsidRPr="00BC0551" w:rsidRDefault="00BC0551" w:rsidP="00BC0551">
      <w:pPr>
        <w:rPr>
          <w:rFonts w:ascii="Times New Roman" w:hAnsi="Times New Roman"/>
          <w:szCs w:val="20"/>
        </w:rPr>
      </w:pPr>
      <w:r w:rsidRPr="00BC0551">
        <w:rPr>
          <w:rFonts w:ascii="Times New Roman" w:hAnsi="Times New Roman"/>
          <w:szCs w:val="20"/>
        </w:rPr>
        <w:t>“Maximum Number of SL PRS (re-)transmissions” parameter is applicable to SL-PRS resource (re)-selection.</w:t>
      </w:r>
    </w:p>
    <w:p w14:paraId="23CF2A87" w14:textId="77777777" w:rsidR="00BC0551" w:rsidRPr="00BC0551" w:rsidRDefault="00BC0551" w:rsidP="00BC0551">
      <w:pPr>
        <w:rPr>
          <w:rFonts w:ascii="Times New Roman" w:hAnsi="Times New Roman"/>
          <w:szCs w:val="20"/>
        </w:rPr>
      </w:pPr>
    </w:p>
    <w:p w14:paraId="5D9F39CF" w14:textId="77777777" w:rsidR="00BC0551" w:rsidRPr="00BC0551" w:rsidRDefault="00BC0551" w:rsidP="00BC0551">
      <w:pPr>
        <w:rPr>
          <w:rFonts w:ascii="Times New Roman" w:hAnsi="Times New Roman"/>
          <w:szCs w:val="20"/>
        </w:rPr>
      </w:pPr>
      <w:r w:rsidRPr="00BC0551">
        <w:rPr>
          <w:rFonts w:ascii="Times New Roman" w:hAnsi="Times New Roman"/>
          <w:szCs w:val="20"/>
          <w:highlight w:val="green"/>
        </w:rPr>
        <w:t>Agreement</w:t>
      </w:r>
    </w:p>
    <w:p w14:paraId="40799FF4" w14:textId="77777777" w:rsidR="00BC0551" w:rsidRPr="00BC0551" w:rsidRDefault="00BC0551" w:rsidP="00BC0551">
      <w:pPr>
        <w:rPr>
          <w:rFonts w:ascii="Times New Roman" w:hAnsi="Times New Roman"/>
          <w:szCs w:val="20"/>
        </w:rPr>
      </w:pPr>
      <w:r w:rsidRPr="00BC0551">
        <w:rPr>
          <w:rFonts w:ascii="Times New Roman" w:hAnsi="Times New Roman"/>
          <w:szCs w:val="20"/>
        </w:rPr>
        <w:t>Modify the description of current specification associated with definition of SL PRS-CBR and adopt TP #4 for TS38.215.</w:t>
      </w:r>
    </w:p>
    <w:tbl>
      <w:tblPr>
        <w:tblW w:w="5000" w:type="pct"/>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0683"/>
      </w:tblGrid>
      <w:tr w:rsidR="00BC0551" w:rsidRPr="00BC0551" w14:paraId="3A612AFD" w14:textId="77777777" w:rsidTr="00BC0551">
        <w:tc>
          <w:tcPr>
            <w:tcW w:w="5000" w:type="pct"/>
            <w:shd w:val="clear" w:color="auto" w:fill="auto"/>
          </w:tcPr>
          <w:p w14:paraId="5AC6EF57" w14:textId="77777777" w:rsidR="00BC0551" w:rsidRPr="00BC0551" w:rsidRDefault="00BC0551" w:rsidP="00BC0551">
            <w:pPr>
              <w:rPr>
                <w:rFonts w:ascii="Arial" w:hAnsi="Arial" w:cs="Arial"/>
                <w:sz w:val="16"/>
                <w:szCs w:val="16"/>
              </w:rPr>
            </w:pPr>
            <w:r w:rsidRPr="00BC0551">
              <w:rPr>
                <w:rFonts w:ascii="Arial" w:hAnsi="Arial" w:cs="Arial"/>
                <w:sz w:val="16"/>
                <w:szCs w:val="16"/>
              </w:rPr>
              <w:t>TP #4</w:t>
            </w:r>
          </w:p>
          <w:tbl>
            <w:tblPr>
              <w:tblW w:w="9072" w:type="dxa"/>
              <w:tblInd w:w="42" w:type="dxa"/>
              <w:tblCellMar>
                <w:left w:w="42" w:type="dxa"/>
                <w:right w:w="42" w:type="dxa"/>
              </w:tblCellMar>
              <w:tblLook w:val="04A0" w:firstRow="1" w:lastRow="0" w:firstColumn="1" w:lastColumn="0" w:noHBand="0" w:noVBand="1"/>
            </w:tblPr>
            <w:tblGrid>
              <w:gridCol w:w="2694"/>
              <w:gridCol w:w="6378"/>
            </w:tblGrid>
            <w:tr w:rsidR="00BC0551" w:rsidRPr="00BC0551" w14:paraId="76F0E862" w14:textId="77777777" w:rsidTr="00F47DE3">
              <w:tc>
                <w:tcPr>
                  <w:tcW w:w="2694" w:type="dxa"/>
                  <w:tcBorders>
                    <w:top w:val="single" w:sz="4" w:space="0" w:color="auto"/>
                    <w:left w:val="single" w:sz="4" w:space="0" w:color="auto"/>
                  </w:tcBorders>
                </w:tcPr>
                <w:p w14:paraId="1CD8C00A" w14:textId="77777777" w:rsidR="00BC0551" w:rsidRPr="00BC0551" w:rsidRDefault="00BC0551" w:rsidP="00BC0551">
                  <w:pPr>
                    <w:tabs>
                      <w:tab w:val="right" w:pos="2184"/>
                    </w:tabs>
                    <w:rPr>
                      <w:rFonts w:ascii="Arial" w:eastAsia="MS Mincho" w:hAnsi="Arial" w:cs="Arial"/>
                      <w:b/>
                      <w:i/>
                      <w:sz w:val="16"/>
                      <w:szCs w:val="16"/>
                    </w:rPr>
                  </w:pPr>
                  <w:r w:rsidRPr="00BC0551">
                    <w:rPr>
                      <w:rFonts w:ascii="Arial" w:eastAsia="MS Mincho" w:hAnsi="Arial" w:cs="Arial"/>
                      <w:b/>
                      <w:i/>
                      <w:sz w:val="16"/>
                      <w:szCs w:val="16"/>
                    </w:rPr>
                    <w:t>Reason for change:</w:t>
                  </w:r>
                </w:p>
              </w:tc>
              <w:tc>
                <w:tcPr>
                  <w:tcW w:w="6378" w:type="dxa"/>
                  <w:tcBorders>
                    <w:top w:val="single" w:sz="4" w:space="0" w:color="auto"/>
                    <w:right w:val="single" w:sz="4" w:space="0" w:color="auto"/>
                  </w:tcBorders>
                  <w:shd w:val="pct30" w:color="FFFF00" w:fill="auto"/>
                </w:tcPr>
                <w:p w14:paraId="424BF488" w14:textId="77777777" w:rsidR="00BC0551" w:rsidRPr="00BC0551" w:rsidRDefault="00BC0551" w:rsidP="00BC0551">
                  <w:pPr>
                    <w:ind w:left="100"/>
                    <w:jc w:val="both"/>
                    <w:rPr>
                      <w:rFonts w:ascii="Arial" w:eastAsia="MS Mincho" w:hAnsi="Arial" w:cs="Arial"/>
                      <w:sz w:val="16"/>
                      <w:szCs w:val="16"/>
                    </w:rPr>
                  </w:pPr>
                  <w:r w:rsidRPr="00BC0551">
                    <w:rPr>
                      <w:rFonts w:ascii="Arial" w:eastAsia="MS Mincho" w:hAnsi="Arial" w:cs="Arial"/>
                      <w:sz w:val="16"/>
                      <w:szCs w:val="16"/>
                    </w:rPr>
                    <w:t xml:space="preserve">The current definition on SL </w:t>
                  </w:r>
                  <w:r w:rsidRPr="00BC0551">
                    <w:rPr>
                      <w:rFonts w:ascii="Arial" w:eastAsia="MS Mincho" w:hAnsi="Arial" w:cs="Arial"/>
                      <w:sz w:val="16"/>
                      <w:szCs w:val="16"/>
                      <w:lang w:eastAsia="zh-CN"/>
                    </w:rPr>
                    <w:t>PRS-</w:t>
                  </w:r>
                  <w:r w:rsidRPr="00BC0551">
                    <w:rPr>
                      <w:rFonts w:ascii="Arial" w:eastAsia="MS Mincho" w:hAnsi="Arial" w:cs="Arial"/>
                      <w:sz w:val="16"/>
                      <w:szCs w:val="16"/>
                    </w:rPr>
                    <w:t xml:space="preserve">CBR in </w:t>
                  </w:r>
                  <w:r w:rsidRPr="00BC0551">
                    <w:rPr>
                      <w:rFonts w:ascii="Arial" w:eastAsia="MS Mincho" w:hAnsi="Arial" w:cs="Arial"/>
                      <w:sz w:val="16"/>
                      <w:szCs w:val="16"/>
                      <w:lang w:eastAsia="zh-CN"/>
                    </w:rPr>
                    <w:t>clause</w:t>
                  </w:r>
                  <w:r w:rsidRPr="00BC0551">
                    <w:rPr>
                      <w:rFonts w:ascii="Arial" w:eastAsia="MS Mincho" w:hAnsi="Arial" w:cs="Arial"/>
                      <w:sz w:val="16"/>
                      <w:szCs w:val="16"/>
                    </w:rPr>
                    <w:t xml:space="preserve"> 5.1.</w:t>
                  </w:r>
                  <w:r w:rsidRPr="00BC0551">
                    <w:rPr>
                      <w:rFonts w:ascii="Arial" w:eastAsia="MS Mincho" w:hAnsi="Arial" w:cs="Arial"/>
                      <w:sz w:val="16"/>
                      <w:szCs w:val="16"/>
                      <w:lang w:eastAsia="zh-CN"/>
                    </w:rPr>
                    <w:t>49</w:t>
                  </w:r>
                  <w:r w:rsidRPr="00BC0551">
                    <w:rPr>
                      <w:rFonts w:ascii="Arial" w:eastAsia="MS Mincho" w:hAnsi="Arial" w:cs="Arial"/>
                      <w:sz w:val="16"/>
                      <w:szCs w:val="16"/>
                    </w:rPr>
                    <w:t xml:space="preserve"> misses the RRC parameter name for the SL </w:t>
                  </w:r>
                  <w:r w:rsidRPr="00BC0551">
                    <w:rPr>
                      <w:rFonts w:ascii="Arial" w:eastAsia="MS Mincho" w:hAnsi="Arial" w:cs="Arial"/>
                      <w:sz w:val="16"/>
                      <w:szCs w:val="16"/>
                      <w:lang w:eastAsia="zh-CN"/>
                    </w:rPr>
                    <w:t xml:space="preserve">PRS </w:t>
                  </w:r>
                  <w:r w:rsidRPr="00BC0551">
                    <w:rPr>
                      <w:rFonts w:ascii="Arial" w:eastAsia="MS Mincho" w:hAnsi="Arial" w:cs="Arial"/>
                      <w:sz w:val="16"/>
                      <w:szCs w:val="16"/>
                    </w:rPr>
                    <w:t>RSSI measurement threshold</w:t>
                  </w:r>
                  <w:r w:rsidRPr="00BC0551">
                    <w:rPr>
                      <w:rFonts w:ascii="Arial" w:eastAsia="MS Mincho" w:hAnsi="Arial" w:cs="Arial"/>
                      <w:sz w:val="16"/>
                      <w:szCs w:val="16"/>
                      <w:lang w:eastAsia="zh-CN"/>
                    </w:rPr>
                    <w:t xml:space="preserve"> </w:t>
                  </w:r>
                  <w:r w:rsidRPr="00BC0551">
                    <w:rPr>
                      <w:rFonts w:ascii="Arial" w:eastAsia="Times New Roman" w:hAnsi="Arial" w:cs="Arial"/>
                      <w:sz w:val="16"/>
                      <w:szCs w:val="16"/>
                      <w:lang w:eastAsia="zh-CN"/>
                    </w:rPr>
                    <w:t xml:space="preserve">which is </w:t>
                  </w:r>
                  <w:r w:rsidRPr="00BC0551">
                    <w:rPr>
                      <w:rFonts w:ascii="Arial" w:eastAsia="MS Mincho" w:hAnsi="Arial" w:cs="Arial"/>
                      <w:sz w:val="16"/>
                      <w:szCs w:val="16"/>
                    </w:rPr>
                    <w:t>[</w:t>
                  </w:r>
                  <w:r w:rsidRPr="00BC0551">
                    <w:rPr>
                      <w:rFonts w:ascii="Arial" w:eastAsia="MS Mincho" w:hAnsi="Arial" w:cs="Arial"/>
                      <w:i/>
                      <w:sz w:val="16"/>
                      <w:szCs w:val="16"/>
                    </w:rPr>
                    <w:t>sl-ThreshS-PRS-RSSI-CBR</w:t>
                  </w:r>
                  <w:r w:rsidRPr="00BC0551">
                    <w:rPr>
                      <w:rFonts w:ascii="Arial" w:eastAsia="MS Mincho" w:hAnsi="Arial" w:cs="Arial"/>
                      <w:sz w:val="16"/>
                      <w:szCs w:val="16"/>
                    </w:rPr>
                    <w:t>]</w:t>
                  </w:r>
                  <w:r w:rsidRPr="00BC0551">
                    <w:rPr>
                      <w:rFonts w:ascii="Arial" w:eastAsia="Times New Roman" w:hAnsi="Arial" w:cs="Arial"/>
                      <w:sz w:val="16"/>
                      <w:szCs w:val="16"/>
                      <w:lang w:eastAsia="zh-CN"/>
                    </w:rPr>
                    <w:t>.</w:t>
                  </w:r>
                </w:p>
              </w:tc>
            </w:tr>
            <w:tr w:rsidR="00BC0551" w:rsidRPr="00BC0551" w14:paraId="5E960891" w14:textId="77777777" w:rsidTr="00F47DE3">
              <w:tc>
                <w:tcPr>
                  <w:tcW w:w="2694" w:type="dxa"/>
                  <w:tcBorders>
                    <w:left w:val="single" w:sz="4" w:space="0" w:color="auto"/>
                  </w:tcBorders>
                </w:tcPr>
                <w:p w14:paraId="130FF5C9" w14:textId="77777777" w:rsidR="00BC0551" w:rsidRPr="00BC0551" w:rsidRDefault="00BC0551" w:rsidP="00BC0551">
                  <w:pPr>
                    <w:rPr>
                      <w:rFonts w:ascii="Arial" w:eastAsia="MS Mincho" w:hAnsi="Arial" w:cs="Arial"/>
                      <w:b/>
                      <w:i/>
                      <w:sz w:val="16"/>
                      <w:szCs w:val="16"/>
                    </w:rPr>
                  </w:pPr>
                </w:p>
              </w:tc>
              <w:tc>
                <w:tcPr>
                  <w:tcW w:w="6378" w:type="dxa"/>
                  <w:tcBorders>
                    <w:right w:val="single" w:sz="4" w:space="0" w:color="auto"/>
                  </w:tcBorders>
                </w:tcPr>
                <w:p w14:paraId="6654CEFF" w14:textId="77777777" w:rsidR="00BC0551" w:rsidRPr="00BC0551" w:rsidRDefault="00BC0551" w:rsidP="00BC0551">
                  <w:pPr>
                    <w:jc w:val="both"/>
                    <w:rPr>
                      <w:rFonts w:ascii="Arial" w:eastAsia="MS Mincho" w:hAnsi="Arial" w:cs="Arial"/>
                      <w:sz w:val="16"/>
                      <w:szCs w:val="16"/>
                    </w:rPr>
                  </w:pPr>
                </w:p>
              </w:tc>
            </w:tr>
            <w:tr w:rsidR="00BC0551" w:rsidRPr="00BC0551" w14:paraId="565A983E" w14:textId="77777777" w:rsidTr="00F47DE3">
              <w:tc>
                <w:tcPr>
                  <w:tcW w:w="2694" w:type="dxa"/>
                  <w:tcBorders>
                    <w:left w:val="single" w:sz="4" w:space="0" w:color="auto"/>
                  </w:tcBorders>
                </w:tcPr>
                <w:p w14:paraId="3CD38D26" w14:textId="77777777" w:rsidR="00BC0551" w:rsidRPr="00BC0551" w:rsidRDefault="00BC0551" w:rsidP="00BC0551">
                  <w:pPr>
                    <w:tabs>
                      <w:tab w:val="right" w:pos="2184"/>
                    </w:tabs>
                    <w:rPr>
                      <w:rFonts w:ascii="Arial" w:eastAsia="MS Mincho" w:hAnsi="Arial" w:cs="Arial"/>
                      <w:b/>
                      <w:i/>
                      <w:sz w:val="16"/>
                      <w:szCs w:val="16"/>
                    </w:rPr>
                  </w:pPr>
                  <w:r w:rsidRPr="00BC0551">
                    <w:rPr>
                      <w:rFonts w:ascii="Arial" w:eastAsia="MS Mincho" w:hAnsi="Arial" w:cs="Arial"/>
                      <w:b/>
                      <w:i/>
                      <w:sz w:val="16"/>
                      <w:szCs w:val="16"/>
                    </w:rPr>
                    <w:t>Summary of change:</w:t>
                  </w:r>
                </w:p>
              </w:tc>
              <w:tc>
                <w:tcPr>
                  <w:tcW w:w="6378" w:type="dxa"/>
                  <w:tcBorders>
                    <w:right w:val="single" w:sz="4" w:space="0" w:color="auto"/>
                  </w:tcBorders>
                  <w:shd w:val="pct30" w:color="FFFF00" w:fill="auto"/>
                </w:tcPr>
                <w:p w14:paraId="1ADAC8EB" w14:textId="77777777" w:rsidR="00BC0551" w:rsidRPr="00BC0551" w:rsidRDefault="00BC0551" w:rsidP="00BC0551">
                  <w:pPr>
                    <w:ind w:left="100"/>
                    <w:jc w:val="both"/>
                    <w:rPr>
                      <w:rFonts w:ascii="Arial" w:eastAsia="MS Mincho" w:hAnsi="Arial" w:cs="Arial"/>
                      <w:sz w:val="16"/>
                      <w:szCs w:val="16"/>
                      <w:lang w:eastAsia="zh-CN"/>
                    </w:rPr>
                  </w:pPr>
                  <w:r w:rsidRPr="00BC0551">
                    <w:rPr>
                      <w:rFonts w:ascii="Arial" w:eastAsia="MS Mincho" w:hAnsi="Arial" w:cs="Arial"/>
                      <w:sz w:val="16"/>
                      <w:szCs w:val="16"/>
                    </w:rPr>
                    <w:t xml:space="preserve">Add the RRC parameter name for the SL </w:t>
                  </w:r>
                  <w:r w:rsidRPr="00BC0551">
                    <w:rPr>
                      <w:rFonts w:ascii="Arial" w:eastAsia="MS Mincho" w:hAnsi="Arial" w:cs="Arial"/>
                      <w:sz w:val="16"/>
                      <w:szCs w:val="16"/>
                      <w:lang w:eastAsia="zh-CN"/>
                    </w:rPr>
                    <w:t xml:space="preserve">PRS </w:t>
                  </w:r>
                  <w:r w:rsidRPr="00BC0551">
                    <w:rPr>
                      <w:rFonts w:ascii="Arial" w:eastAsia="MS Mincho" w:hAnsi="Arial" w:cs="Arial"/>
                      <w:sz w:val="16"/>
                      <w:szCs w:val="16"/>
                    </w:rPr>
                    <w:t>RSSI measurement threshold.</w:t>
                  </w:r>
                </w:p>
              </w:tc>
            </w:tr>
            <w:tr w:rsidR="00BC0551" w:rsidRPr="00BC0551" w14:paraId="6AFD3083" w14:textId="77777777" w:rsidTr="00F47DE3">
              <w:tc>
                <w:tcPr>
                  <w:tcW w:w="2694" w:type="dxa"/>
                  <w:tcBorders>
                    <w:left w:val="single" w:sz="4" w:space="0" w:color="auto"/>
                  </w:tcBorders>
                </w:tcPr>
                <w:p w14:paraId="6C8F5731" w14:textId="77777777" w:rsidR="00BC0551" w:rsidRPr="00BC0551" w:rsidRDefault="00BC0551" w:rsidP="00BC0551">
                  <w:pPr>
                    <w:rPr>
                      <w:rFonts w:ascii="Arial" w:eastAsia="MS Mincho" w:hAnsi="Arial" w:cs="Arial"/>
                      <w:b/>
                      <w:i/>
                      <w:sz w:val="16"/>
                      <w:szCs w:val="16"/>
                    </w:rPr>
                  </w:pPr>
                </w:p>
              </w:tc>
              <w:tc>
                <w:tcPr>
                  <w:tcW w:w="6378" w:type="dxa"/>
                  <w:tcBorders>
                    <w:right w:val="single" w:sz="4" w:space="0" w:color="auto"/>
                  </w:tcBorders>
                </w:tcPr>
                <w:p w14:paraId="5210D661" w14:textId="77777777" w:rsidR="00BC0551" w:rsidRPr="00BC0551" w:rsidRDefault="00BC0551" w:rsidP="00BC0551">
                  <w:pPr>
                    <w:jc w:val="both"/>
                    <w:rPr>
                      <w:rFonts w:ascii="Arial" w:eastAsia="MS Mincho" w:hAnsi="Arial" w:cs="Arial"/>
                      <w:sz w:val="16"/>
                      <w:szCs w:val="16"/>
                    </w:rPr>
                  </w:pPr>
                </w:p>
              </w:tc>
            </w:tr>
            <w:tr w:rsidR="00BC0551" w:rsidRPr="00BC0551" w14:paraId="09DB0AC4" w14:textId="77777777" w:rsidTr="00F47DE3">
              <w:tc>
                <w:tcPr>
                  <w:tcW w:w="2694" w:type="dxa"/>
                  <w:tcBorders>
                    <w:left w:val="single" w:sz="4" w:space="0" w:color="auto"/>
                    <w:bottom w:val="single" w:sz="4" w:space="0" w:color="auto"/>
                  </w:tcBorders>
                </w:tcPr>
                <w:p w14:paraId="0E3AF34D" w14:textId="77777777" w:rsidR="00BC0551" w:rsidRPr="00BC0551" w:rsidRDefault="00BC0551" w:rsidP="00BC0551">
                  <w:pPr>
                    <w:tabs>
                      <w:tab w:val="right" w:pos="2184"/>
                    </w:tabs>
                    <w:rPr>
                      <w:rFonts w:ascii="Arial" w:eastAsia="MS Mincho" w:hAnsi="Arial" w:cs="Arial"/>
                      <w:b/>
                      <w:i/>
                      <w:sz w:val="16"/>
                      <w:szCs w:val="16"/>
                    </w:rPr>
                  </w:pPr>
                  <w:r w:rsidRPr="00BC0551">
                    <w:rPr>
                      <w:rFonts w:ascii="Arial" w:eastAsia="MS Mincho" w:hAnsi="Arial" w:cs="Arial"/>
                      <w:b/>
                      <w:i/>
                      <w:sz w:val="16"/>
                      <w:szCs w:val="16"/>
                    </w:rPr>
                    <w:t>Consequences if not approved:</w:t>
                  </w:r>
                </w:p>
              </w:tc>
              <w:tc>
                <w:tcPr>
                  <w:tcW w:w="6378" w:type="dxa"/>
                  <w:tcBorders>
                    <w:bottom w:val="single" w:sz="4" w:space="0" w:color="auto"/>
                    <w:right w:val="single" w:sz="4" w:space="0" w:color="auto"/>
                  </w:tcBorders>
                  <w:shd w:val="pct30" w:color="FFFF00" w:fill="auto"/>
                </w:tcPr>
                <w:p w14:paraId="06947F0F" w14:textId="77777777" w:rsidR="00BC0551" w:rsidRPr="00BC0551" w:rsidRDefault="00BC0551" w:rsidP="00BC0551">
                  <w:pPr>
                    <w:ind w:left="100"/>
                    <w:jc w:val="both"/>
                    <w:rPr>
                      <w:rFonts w:ascii="Arial" w:eastAsia="Times New Roman" w:hAnsi="Arial" w:cs="Arial"/>
                      <w:sz w:val="16"/>
                      <w:szCs w:val="16"/>
                    </w:rPr>
                  </w:pPr>
                  <w:r w:rsidRPr="00BC0551">
                    <w:rPr>
                      <w:rFonts w:ascii="Arial" w:eastAsia="MS Mincho" w:hAnsi="Arial" w:cs="Arial"/>
                      <w:sz w:val="16"/>
                      <w:szCs w:val="16"/>
                    </w:rPr>
                    <w:t>Unclear which RRC parameter is referred by the current specification</w:t>
                  </w:r>
                  <w:r w:rsidRPr="00BC0551">
                    <w:rPr>
                      <w:rFonts w:ascii="Arial" w:eastAsia="MS Mincho" w:hAnsi="Arial" w:cs="Arial"/>
                      <w:sz w:val="16"/>
                      <w:szCs w:val="16"/>
                      <w:lang w:eastAsia="zh-CN"/>
                    </w:rPr>
                    <w:t>.</w:t>
                  </w:r>
                </w:p>
              </w:tc>
            </w:tr>
          </w:tbl>
          <w:p w14:paraId="1FE01B40" w14:textId="69D9A068" w:rsidR="00BC0551" w:rsidRPr="00BC0551" w:rsidRDefault="00BC0551" w:rsidP="00BC0551">
            <w:pPr>
              <w:overflowPunct w:val="0"/>
              <w:autoSpaceDE w:val="0"/>
              <w:autoSpaceDN w:val="0"/>
              <w:adjustRightInd w:val="0"/>
              <w:jc w:val="both"/>
              <w:textAlignment w:val="baseline"/>
              <w:rPr>
                <w:rFonts w:ascii="Arial" w:eastAsia="SimSun" w:hAnsi="Arial" w:cs="Arial"/>
                <w:sz w:val="16"/>
                <w:szCs w:val="16"/>
                <w:lang w:val="en-US" w:eastAsia="zh-CN"/>
              </w:rPr>
            </w:pPr>
            <w:r w:rsidRPr="00BC0551">
              <w:rPr>
                <w:rFonts w:ascii="Arial" w:eastAsia="SimSun" w:hAnsi="Arial" w:cs="Arial"/>
                <w:color w:val="FF0000"/>
                <w:sz w:val="16"/>
                <w:szCs w:val="16"/>
                <w:lang w:val="en-US"/>
              </w:rPr>
              <w:t>-------------------------- Start of text proposal to TS 38.21</w:t>
            </w:r>
            <w:r w:rsidRPr="00BC0551">
              <w:rPr>
                <w:rFonts w:ascii="Arial" w:eastAsia="SimSun" w:hAnsi="Arial" w:cs="Arial"/>
                <w:color w:val="FF0000"/>
                <w:sz w:val="16"/>
                <w:szCs w:val="16"/>
                <w:lang w:val="en-US" w:eastAsia="zh-CN"/>
              </w:rPr>
              <w:t>5</w:t>
            </w:r>
            <w:r w:rsidRPr="00BC0551">
              <w:rPr>
                <w:rFonts w:ascii="Arial" w:eastAsia="SimSun" w:hAnsi="Arial" w:cs="Arial"/>
                <w:color w:val="FF0000"/>
                <w:sz w:val="16"/>
                <w:szCs w:val="16"/>
                <w:lang w:val="en-US"/>
              </w:rPr>
              <w:t xml:space="preserve"> v18.0.0 with draft CR </w:t>
            </w:r>
            <w:hyperlink r:id="rId1150" w:history="1">
              <w:r w:rsidR="00AF7253">
                <w:rPr>
                  <w:rStyle w:val="Hyperlink"/>
                  <w:rFonts w:ascii="Arial" w:eastAsia="SimSun" w:hAnsi="Arial" w:cs="Arial"/>
                  <w:sz w:val="16"/>
                  <w:szCs w:val="16"/>
                  <w:lang w:val="en-US"/>
                </w:rPr>
                <w:t>R1-2310743</w:t>
              </w:r>
            </w:hyperlink>
            <w:r w:rsidRPr="00BC0551">
              <w:rPr>
                <w:rFonts w:ascii="Arial" w:eastAsia="SimSun" w:hAnsi="Arial" w:cs="Arial"/>
                <w:color w:val="FF0000"/>
                <w:sz w:val="16"/>
                <w:szCs w:val="16"/>
                <w:lang w:val="en-US"/>
              </w:rPr>
              <w:t>-------------------------</w:t>
            </w:r>
          </w:p>
          <w:p w14:paraId="73822304" w14:textId="77777777" w:rsidR="00BC0551" w:rsidRPr="00BC0551" w:rsidRDefault="00BC0551" w:rsidP="00BC0551">
            <w:pPr>
              <w:jc w:val="both"/>
              <w:rPr>
                <w:ins w:id="427" w:author="Lee, Daewon" w:date="2023-10-18T14:21:00Z"/>
                <w:rFonts w:ascii="Arial" w:eastAsia="Malgun Gothic" w:hAnsi="Arial" w:cs="Arial"/>
                <w:b/>
                <w:sz w:val="16"/>
                <w:szCs w:val="16"/>
                <w:lang w:eastAsia="ko-KR"/>
              </w:rPr>
            </w:pPr>
            <w:ins w:id="428" w:author="Lee, Daewon" w:date="2023-10-18T14:21:00Z">
              <w:r w:rsidRPr="00BC0551">
                <w:rPr>
                  <w:rFonts w:ascii="Arial" w:eastAsia="Malgun Gothic" w:hAnsi="Arial" w:cs="Arial"/>
                  <w:b/>
                  <w:sz w:val="16"/>
                  <w:szCs w:val="16"/>
                </w:rPr>
                <w:t>5.1.49</w:t>
              </w:r>
              <w:r w:rsidRPr="00BC0551">
                <w:rPr>
                  <w:rFonts w:ascii="Arial" w:eastAsia="Malgun Gothic" w:hAnsi="Arial" w:cs="Arial"/>
                  <w:b/>
                  <w:sz w:val="16"/>
                  <w:szCs w:val="16"/>
                </w:rPr>
                <w:tab/>
                <w:t xml:space="preserve">Sidelink </w:t>
              </w:r>
            </w:ins>
            <w:ins w:id="429" w:author="Lee, Daewon" w:date="2023-10-18T14:22:00Z">
              <w:r w:rsidRPr="00BC0551">
                <w:rPr>
                  <w:rFonts w:ascii="Arial" w:eastAsia="Malgun Gothic" w:hAnsi="Arial" w:cs="Arial"/>
                  <w:b/>
                  <w:sz w:val="16"/>
                  <w:szCs w:val="16"/>
                </w:rPr>
                <w:t xml:space="preserve">PRS </w:t>
              </w:r>
            </w:ins>
            <w:ins w:id="430" w:author="Lee, Daewon" w:date="2023-10-18T14:21:00Z">
              <w:r w:rsidRPr="00BC0551">
                <w:rPr>
                  <w:rFonts w:ascii="Arial" w:eastAsia="Malgun Gothic" w:hAnsi="Arial" w:cs="Arial"/>
                  <w:b/>
                  <w:sz w:val="16"/>
                  <w:szCs w:val="16"/>
                  <w:lang w:eastAsia="ko-KR"/>
                </w:rPr>
                <w:t xml:space="preserve">channel busy ratio (SL </w:t>
              </w:r>
            </w:ins>
            <w:ins w:id="431" w:author="Lee, Daewon" w:date="2023-10-18T14:22:00Z">
              <w:r w:rsidRPr="00BC0551">
                <w:rPr>
                  <w:rFonts w:ascii="Arial" w:eastAsia="Malgun Gothic" w:hAnsi="Arial" w:cs="Arial"/>
                  <w:b/>
                  <w:sz w:val="16"/>
                  <w:szCs w:val="16"/>
                  <w:lang w:eastAsia="ko-KR"/>
                </w:rPr>
                <w:t>PRS-</w:t>
              </w:r>
            </w:ins>
            <w:ins w:id="432" w:author="Lee, Daewon" w:date="2023-10-18T14:21:00Z">
              <w:r w:rsidRPr="00BC0551">
                <w:rPr>
                  <w:rFonts w:ascii="Arial" w:eastAsia="Malgun Gothic" w:hAnsi="Arial" w:cs="Arial"/>
                  <w:b/>
                  <w:sz w:val="16"/>
                  <w:szCs w:val="16"/>
                  <w:lang w:eastAsia="ko-KR"/>
                </w:rPr>
                <w:t>CBR)</w:t>
              </w:r>
            </w:ins>
          </w:p>
          <w:p w14:paraId="62863634" w14:textId="77777777" w:rsidR="00BC0551" w:rsidRPr="00BC0551" w:rsidRDefault="00BC0551" w:rsidP="00BC0551">
            <w:pPr>
              <w:keepNext/>
              <w:keepLines/>
              <w:overflowPunct w:val="0"/>
              <w:autoSpaceDE w:val="0"/>
              <w:autoSpaceDN w:val="0"/>
              <w:adjustRightInd w:val="0"/>
              <w:jc w:val="center"/>
              <w:textAlignment w:val="baseline"/>
              <w:rPr>
                <w:ins w:id="433" w:author="Lee, Daewon" w:date="2023-10-18T14:21:00Z"/>
                <w:rFonts w:ascii="Arial" w:eastAsia="Times New Roman" w:hAnsi="Arial" w:cs="Arial"/>
                <w:b/>
                <w:sz w:val="16"/>
                <w:szCs w:val="16"/>
                <w:lang w:eastAsia="ko-KR"/>
              </w:rPr>
            </w:pPr>
          </w:p>
          <w:tbl>
            <w:tblPr>
              <w:tblW w:w="91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333"/>
              <w:gridCol w:w="7787"/>
            </w:tblGrid>
            <w:tr w:rsidR="00BC0551" w:rsidRPr="00BC0551" w14:paraId="263F6702" w14:textId="77777777" w:rsidTr="00F47DE3">
              <w:trPr>
                <w:cantSplit/>
                <w:jc w:val="center"/>
                <w:ins w:id="434" w:author="Lee, Daewon" w:date="2023-10-18T14:21:00Z"/>
              </w:trPr>
              <w:tc>
                <w:tcPr>
                  <w:tcW w:w="1333" w:type="dxa"/>
                  <w:tcBorders>
                    <w:top w:val="single" w:sz="4" w:space="0" w:color="auto"/>
                    <w:left w:val="single" w:sz="4" w:space="0" w:color="auto"/>
                    <w:bottom w:val="single" w:sz="4" w:space="0" w:color="auto"/>
                    <w:right w:val="single" w:sz="4" w:space="0" w:color="auto"/>
                  </w:tcBorders>
                </w:tcPr>
                <w:p w14:paraId="51DA5C81" w14:textId="77777777" w:rsidR="00BC0551" w:rsidRPr="00BC0551" w:rsidRDefault="00BC0551" w:rsidP="00BC0551">
                  <w:pPr>
                    <w:keepNext/>
                    <w:keepLines/>
                    <w:rPr>
                      <w:ins w:id="435" w:author="Lee, Daewon" w:date="2023-10-18T14:21:00Z"/>
                      <w:rFonts w:ascii="Arial" w:eastAsia="MS Mincho" w:hAnsi="Arial" w:cs="Arial"/>
                      <w:b/>
                      <w:sz w:val="16"/>
                      <w:szCs w:val="16"/>
                      <w:lang w:eastAsia="en-GB"/>
                    </w:rPr>
                  </w:pPr>
                  <w:ins w:id="436" w:author="Lee, Daewon" w:date="2023-10-18T14:21:00Z">
                    <w:r w:rsidRPr="00BC0551">
                      <w:rPr>
                        <w:rFonts w:ascii="Arial" w:eastAsia="MS Mincho" w:hAnsi="Arial" w:cs="Arial"/>
                        <w:b/>
                        <w:sz w:val="16"/>
                        <w:szCs w:val="16"/>
                        <w:lang w:eastAsia="en-GB"/>
                      </w:rPr>
                      <w:t>Definition</w:t>
                    </w:r>
                  </w:ins>
                </w:p>
              </w:tc>
              <w:tc>
                <w:tcPr>
                  <w:tcW w:w="7787" w:type="dxa"/>
                  <w:tcBorders>
                    <w:top w:val="single" w:sz="4" w:space="0" w:color="auto"/>
                    <w:left w:val="single" w:sz="4" w:space="0" w:color="auto"/>
                    <w:bottom w:val="single" w:sz="4" w:space="0" w:color="auto"/>
                    <w:right w:val="single" w:sz="4" w:space="0" w:color="auto"/>
                  </w:tcBorders>
                </w:tcPr>
                <w:p w14:paraId="411BA51E" w14:textId="77777777" w:rsidR="00BC0551" w:rsidRPr="00BC0551" w:rsidRDefault="00BC0551" w:rsidP="00BC0551">
                  <w:pPr>
                    <w:keepNext/>
                    <w:keepLines/>
                    <w:rPr>
                      <w:ins w:id="437" w:author="Lee, Daewon" w:date="2023-10-18T14:34:00Z"/>
                      <w:rFonts w:ascii="Arial" w:eastAsia="MS Mincho" w:hAnsi="Arial" w:cs="Arial"/>
                      <w:sz w:val="16"/>
                      <w:szCs w:val="16"/>
                    </w:rPr>
                  </w:pPr>
                  <w:ins w:id="438" w:author="Lee, Daewon" w:date="2023-10-18T14:22:00Z">
                    <w:r w:rsidRPr="00BC0551">
                      <w:rPr>
                        <w:rFonts w:ascii="Arial" w:eastAsia="MS Mincho" w:hAnsi="Arial" w:cs="Arial"/>
                        <w:sz w:val="16"/>
                        <w:szCs w:val="16"/>
                      </w:rPr>
                      <w:t xml:space="preserve">SL PRS Channel Busy Ratio (SL </w:t>
                    </w:r>
                  </w:ins>
                  <w:ins w:id="439" w:author="Lee, Daewon" w:date="2023-10-18T15:00:00Z">
                    <w:r w:rsidRPr="00BC0551">
                      <w:rPr>
                        <w:rFonts w:ascii="Arial" w:eastAsia="MS Mincho" w:hAnsi="Arial" w:cs="Arial"/>
                        <w:sz w:val="16"/>
                        <w:szCs w:val="16"/>
                      </w:rPr>
                      <w:t>PRS-</w:t>
                    </w:r>
                  </w:ins>
                  <w:ins w:id="440" w:author="Lee, Daewon" w:date="2023-10-18T14:22:00Z">
                    <w:r w:rsidRPr="00BC0551">
                      <w:rPr>
                        <w:rFonts w:ascii="Arial" w:eastAsia="MS Mincho" w:hAnsi="Arial" w:cs="Arial"/>
                        <w:sz w:val="16"/>
                        <w:szCs w:val="16"/>
                      </w:rPr>
                      <w:t xml:space="preserve">CBR) measured in slot </w:t>
                    </w:r>
                    <w:r w:rsidRPr="00BC0551">
                      <w:rPr>
                        <w:rFonts w:ascii="Arial" w:eastAsia="MS Mincho" w:hAnsi="Arial" w:cs="Arial"/>
                        <w:i/>
                        <w:sz w:val="16"/>
                        <w:szCs w:val="16"/>
                      </w:rPr>
                      <w:t>n</w:t>
                    </w:r>
                    <w:r w:rsidRPr="00BC0551">
                      <w:rPr>
                        <w:rFonts w:ascii="Arial" w:eastAsia="MS Mincho" w:hAnsi="Arial" w:cs="Arial"/>
                        <w:sz w:val="16"/>
                        <w:szCs w:val="16"/>
                      </w:rPr>
                      <w:t xml:space="preserve"> is defined as the number of SL PRS resources in the dedicated SL PRS resource pool whose SL PRS RSSI measured by the UE exceed a (pre-)configured threshold </w:t>
                    </w:r>
                  </w:ins>
                  <w:ins w:id="441" w:author="CATT" w:date="2023-10-30T17:51:00Z">
                    <w:r w:rsidRPr="00BC0551">
                      <w:rPr>
                        <w:rFonts w:ascii="Arial" w:eastAsia="MS Mincho" w:hAnsi="Arial" w:cs="Arial"/>
                        <w:sz w:val="16"/>
                        <w:szCs w:val="16"/>
                      </w:rPr>
                      <w:t xml:space="preserve">provided by the higher layer parameter </w:t>
                    </w:r>
                  </w:ins>
                  <w:r w:rsidRPr="00BC0551">
                    <w:rPr>
                      <w:rFonts w:ascii="Arial" w:eastAsia="MS Mincho" w:hAnsi="Arial" w:cs="Arial"/>
                      <w:sz w:val="16"/>
                      <w:szCs w:val="16"/>
                      <w:lang w:eastAsia="zh-CN"/>
                    </w:rPr>
                    <w:t>[</w:t>
                  </w:r>
                  <w:ins w:id="442" w:author="CATT" w:date="2023-10-30T17:51:00Z">
                    <w:r w:rsidRPr="00BC0551">
                      <w:rPr>
                        <w:rFonts w:ascii="Arial" w:eastAsia="MS Mincho" w:hAnsi="Arial" w:cs="Arial"/>
                        <w:i/>
                        <w:sz w:val="16"/>
                        <w:szCs w:val="16"/>
                      </w:rPr>
                      <w:t>sl-ThreshS-</w:t>
                    </w:r>
                  </w:ins>
                  <w:ins w:id="443" w:author="CATT" w:date="2023-10-30T18:12:00Z">
                    <w:r w:rsidRPr="00BC0551">
                      <w:rPr>
                        <w:rFonts w:ascii="Arial" w:eastAsia="MS Mincho" w:hAnsi="Arial" w:cs="Arial"/>
                        <w:i/>
                        <w:sz w:val="16"/>
                        <w:szCs w:val="16"/>
                      </w:rPr>
                      <w:t>PRS</w:t>
                    </w:r>
                    <w:r w:rsidRPr="00BC0551">
                      <w:rPr>
                        <w:rFonts w:ascii="Arial" w:eastAsia="MS Mincho" w:hAnsi="Arial" w:cs="Arial"/>
                        <w:i/>
                        <w:sz w:val="16"/>
                        <w:szCs w:val="16"/>
                        <w:lang w:eastAsia="zh-CN"/>
                      </w:rPr>
                      <w:t>-</w:t>
                    </w:r>
                  </w:ins>
                  <w:ins w:id="444" w:author="CATT" w:date="2023-10-30T17:51:00Z">
                    <w:r w:rsidRPr="00BC0551">
                      <w:rPr>
                        <w:rFonts w:ascii="Arial" w:eastAsia="MS Mincho" w:hAnsi="Arial" w:cs="Arial"/>
                        <w:i/>
                        <w:sz w:val="16"/>
                        <w:szCs w:val="16"/>
                      </w:rPr>
                      <w:t>RSSI-CBR</w:t>
                    </w:r>
                  </w:ins>
                  <w:r w:rsidRPr="00BC0551">
                    <w:rPr>
                      <w:rFonts w:ascii="Arial" w:eastAsia="MS Mincho" w:hAnsi="Arial" w:cs="Arial"/>
                      <w:sz w:val="16"/>
                      <w:szCs w:val="16"/>
                      <w:lang w:eastAsia="zh-CN"/>
                    </w:rPr>
                    <w:t>]</w:t>
                  </w:r>
                  <w:ins w:id="445" w:author="CATT" w:date="2023-10-30T17:51:00Z">
                    <w:r w:rsidRPr="00BC0551">
                      <w:rPr>
                        <w:rFonts w:ascii="Arial" w:eastAsia="MS Mincho" w:hAnsi="Arial" w:cs="Arial"/>
                        <w:sz w:val="16"/>
                        <w:szCs w:val="16"/>
                      </w:rPr>
                      <w:t xml:space="preserve"> </w:t>
                    </w:r>
                  </w:ins>
                  <w:ins w:id="446" w:author="Lee, Daewon" w:date="2023-10-18T14:22:00Z">
                    <w:r w:rsidRPr="00BC0551">
                      <w:rPr>
                        <w:rFonts w:ascii="Arial" w:eastAsia="MS Mincho" w:hAnsi="Arial" w:cs="Arial"/>
                        <w:sz w:val="16"/>
                        <w:szCs w:val="16"/>
                      </w:rPr>
                      <w:t>sensed over a SL PRS-CBR measurement window [</w:t>
                    </w:r>
                    <w:r w:rsidRPr="00BC0551">
                      <w:rPr>
                        <w:rFonts w:ascii="Arial" w:eastAsia="MS Mincho" w:hAnsi="Arial" w:cs="Arial"/>
                        <w:i/>
                        <w:sz w:val="16"/>
                        <w:szCs w:val="16"/>
                      </w:rPr>
                      <w:t>n</w:t>
                    </w:r>
                    <w:r w:rsidRPr="00BC0551">
                      <w:rPr>
                        <w:rFonts w:ascii="Arial" w:eastAsia="MS Mincho" w:hAnsi="Arial" w:cs="Arial"/>
                        <w:sz w:val="16"/>
                        <w:szCs w:val="16"/>
                      </w:rPr>
                      <w:t>-</w:t>
                    </w:r>
                    <w:r w:rsidRPr="00BC0551">
                      <w:rPr>
                        <w:rFonts w:ascii="Arial" w:eastAsia="MS Mincho" w:hAnsi="Arial" w:cs="Arial"/>
                        <w:i/>
                        <w:sz w:val="16"/>
                        <w:szCs w:val="16"/>
                      </w:rPr>
                      <w:t>a</w:t>
                    </w:r>
                    <w:r w:rsidRPr="00BC0551">
                      <w:rPr>
                        <w:rFonts w:ascii="Arial" w:eastAsia="MS Mincho" w:hAnsi="Arial" w:cs="Arial"/>
                        <w:sz w:val="16"/>
                        <w:szCs w:val="16"/>
                      </w:rPr>
                      <w:t xml:space="preserve">, </w:t>
                    </w:r>
                    <w:r w:rsidRPr="00BC0551">
                      <w:rPr>
                        <w:rFonts w:ascii="Arial" w:eastAsia="MS Mincho" w:hAnsi="Arial" w:cs="Arial"/>
                        <w:i/>
                        <w:sz w:val="16"/>
                        <w:szCs w:val="16"/>
                      </w:rPr>
                      <w:t>n</w:t>
                    </w:r>
                    <w:r w:rsidRPr="00BC0551">
                      <w:rPr>
                        <w:rFonts w:ascii="Arial" w:eastAsia="MS Mincho" w:hAnsi="Arial" w:cs="Arial"/>
                        <w:sz w:val="16"/>
                        <w:szCs w:val="16"/>
                      </w:rPr>
                      <w:t xml:space="preserve">-1], wherein </w:t>
                    </w:r>
                    <w:r w:rsidRPr="00BC0551">
                      <w:rPr>
                        <w:rFonts w:ascii="Arial" w:eastAsia="MS Mincho" w:hAnsi="Arial" w:cs="Arial"/>
                        <w:i/>
                        <w:sz w:val="16"/>
                        <w:szCs w:val="16"/>
                      </w:rPr>
                      <w:t>a</w:t>
                    </w:r>
                    <w:r w:rsidRPr="00BC0551">
                      <w:rPr>
                        <w:rFonts w:ascii="Arial" w:eastAsia="MS Mincho" w:hAnsi="Arial" w:cs="Arial"/>
                        <w:sz w:val="16"/>
                        <w:szCs w:val="16"/>
                      </w:rPr>
                      <w:t xml:space="preserve"> is equal to 100 or 100·2</w:t>
                    </w:r>
                    <w:r w:rsidRPr="00BC0551">
                      <w:rPr>
                        <w:rFonts w:ascii="Arial" w:eastAsia="MS Mincho" w:hAnsi="Arial" w:cs="Arial"/>
                        <w:sz w:val="16"/>
                        <w:szCs w:val="16"/>
                        <w:vertAlign w:val="superscript"/>
                      </w:rPr>
                      <w:t>µ</w:t>
                    </w:r>
                    <w:r w:rsidRPr="00BC0551">
                      <w:rPr>
                        <w:rFonts w:ascii="Arial" w:eastAsia="MS Mincho" w:hAnsi="Arial" w:cs="Arial"/>
                        <w:sz w:val="16"/>
                        <w:szCs w:val="16"/>
                      </w:rPr>
                      <w:t xml:space="preserve"> slots,</w:t>
                    </w:r>
                    <w:r w:rsidRPr="00BC0551">
                      <w:rPr>
                        <w:rFonts w:ascii="Arial" w:eastAsia="MS Mincho" w:hAnsi="Arial" w:cs="Arial"/>
                        <w:iCs/>
                        <w:sz w:val="16"/>
                        <w:szCs w:val="16"/>
                        <w:lang w:eastAsia="ko-KR"/>
                      </w:rPr>
                      <w:t xml:space="preserve"> </w:t>
                    </w:r>
                    <w:r w:rsidRPr="00BC0551">
                      <w:rPr>
                        <w:rFonts w:ascii="Arial" w:eastAsia="MS Mincho" w:hAnsi="Arial" w:cs="Arial"/>
                        <w:sz w:val="16"/>
                        <w:szCs w:val="16"/>
                      </w:rPr>
                      <w:t xml:space="preserve">according to higher layer parameter </w:t>
                    </w:r>
                    <w:r w:rsidRPr="00BC0551">
                      <w:rPr>
                        <w:rFonts w:ascii="Arial" w:eastAsia="MS Mincho" w:hAnsi="Arial" w:cs="Arial"/>
                        <w:bCs/>
                        <w:sz w:val="16"/>
                        <w:szCs w:val="16"/>
                      </w:rPr>
                      <w:t>[sl-TimeWindowSize</w:t>
                    </w:r>
                  </w:ins>
                  <w:ins w:id="447" w:author="Lee, Daewon" w:date="2023-10-18T14:52:00Z">
                    <w:r w:rsidRPr="00BC0551">
                      <w:rPr>
                        <w:rFonts w:ascii="Arial" w:eastAsia="MS Mincho" w:hAnsi="Arial" w:cs="Arial"/>
                        <w:bCs/>
                        <w:sz w:val="16"/>
                        <w:szCs w:val="16"/>
                      </w:rPr>
                      <w:t>-PRS-</w:t>
                    </w:r>
                  </w:ins>
                  <w:ins w:id="448" w:author="Lee, Daewon" w:date="2023-10-18T14:22:00Z">
                    <w:r w:rsidRPr="00BC0551">
                      <w:rPr>
                        <w:rFonts w:ascii="Arial" w:eastAsia="MS Mincho" w:hAnsi="Arial" w:cs="Arial"/>
                        <w:bCs/>
                        <w:sz w:val="16"/>
                        <w:szCs w:val="16"/>
                      </w:rPr>
                      <w:t xml:space="preserve">CBR-positioning] divided by the </w:t>
                    </w:r>
                  </w:ins>
                  <w:ins w:id="449" w:author="Lee, Daewon" w:date="2023-10-18T14:33:00Z">
                    <w:r w:rsidRPr="00BC0551">
                      <w:rPr>
                        <w:rFonts w:ascii="Arial" w:eastAsia="MS Mincho" w:hAnsi="Arial" w:cs="Arial"/>
                        <w:bCs/>
                        <w:sz w:val="16"/>
                        <w:szCs w:val="16"/>
                      </w:rPr>
                      <w:t>t</w:t>
                    </w:r>
                  </w:ins>
                  <w:ins w:id="450" w:author="Lee, Daewon" w:date="2023-10-18T14:22:00Z">
                    <w:r w:rsidRPr="00BC0551">
                      <w:rPr>
                        <w:rFonts w:ascii="Arial" w:eastAsia="MS Mincho" w:hAnsi="Arial" w:cs="Arial"/>
                        <w:bCs/>
                        <w:sz w:val="16"/>
                        <w:szCs w:val="16"/>
                      </w:rPr>
                      <w:t>otal number of the configured SL PRS resources in the transmission pool over [</w:t>
                    </w:r>
                    <w:r w:rsidRPr="00BC0551">
                      <w:rPr>
                        <w:rFonts w:ascii="Arial" w:eastAsia="MS Mincho" w:hAnsi="Arial" w:cs="Arial"/>
                        <w:bCs/>
                        <w:i/>
                        <w:iCs/>
                        <w:sz w:val="16"/>
                        <w:szCs w:val="16"/>
                      </w:rPr>
                      <w:t>n</w:t>
                    </w:r>
                    <w:r w:rsidRPr="00BC0551">
                      <w:rPr>
                        <w:rFonts w:ascii="Arial" w:eastAsia="MS Mincho" w:hAnsi="Arial" w:cs="Arial"/>
                        <w:bCs/>
                        <w:sz w:val="16"/>
                        <w:szCs w:val="16"/>
                      </w:rPr>
                      <w:t>-</w:t>
                    </w:r>
                    <w:r w:rsidRPr="00BC0551">
                      <w:rPr>
                        <w:rFonts w:ascii="Arial" w:eastAsia="MS Mincho" w:hAnsi="Arial" w:cs="Arial"/>
                        <w:bCs/>
                        <w:i/>
                        <w:iCs/>
                        <w:sz w:val="16"/>
                        <w:szCs w:val="16"/>
                      </w:rPr>
                      <w:t>a</w:t>
                    </w:r>
                    <w:r w:rsidRPr="00BC0551">
                      <w:rPr>
                        <w:rFonts w:ascii="Arial" w:eastAsia="MS Mincho" w:hAnsi="Arial" w:cs="Arial"/>
                        <w:bCs/>
                        <w:sz w:val="16"/>
                        <w:szCs w:val="16"/>
                      </w:rPr>
                      <w:t>,</w:t>
                    </w:r>
                    <w:r w:rsidRPr="00BC0551">
                      <w:rPr>
                        <w:rFonts w:ascii="Arial" w:eastAsia="MS Mincho" w:hAnsi="Arial" w:cs="Arial"/>
                        <w:bCs/>
                        <w:i/>
                        <w:iCs/>
                        <w:sz w:val="16"/>
                        <w:szCs w:val="16"/>
                      </w:rPr>
                      <w:t>n</w:t>
                    </w:r>
                    <w:r w:rsidRPr="00BC0551">
                      <w:rPr>
                        <w:rFonts w:ascii="Arial" w:eastAsia="MS Mincho" w:hAnsi="Arial" w:cs="Arial"/>
                        <w:bCs/>
                        <w:sz w:val="16"/>
                        <w:szCs w:val="16"/>
                      </w:rPr>
                      <w:t>-1].</w:t>
                    </w:r>
                    <w:r w:rsidRPr="00BC0551">
                      <w:rPr>
                        <w:rFonts w:ascii="Arial" w:eastAsia="MS Mincho" w:hAnsi="Arial" w:cs="Arial"/>
                        <w:sz w:val="16"/>
                        <w:szCs w:val="16"/>
                      </w:rPr>
                      <w:t xml:space="preserve"> </w:t>
                    </w:r>
                  </w:ins>
                </w:p>
                <w:p w14:paraId="5C9A4B16" w14:textId="77777777" w:rsidR="00BC0551" w:rsidRPr="00BC0551" w:rsidRDefault="00BC0551" w:rsidP="00BC0551">
                  <w:pPr>
                    <w:keepNext/>
                    <w:keepLines/>
                    <w:rPr>
                      <w:ins w:id="451" w:author="Lee, Daewon" w:date="2023-10-18T14:21:00Z"/>
                      <w:rFonts w:ascii="Arial" w:eastAsia="MS Mincho" w:hAnsi="Arial" w:cs="Arial"/>
                      <w:sz w:val="16"/>
                      <w:szCs w:val="16"/>
                      <w:lang w:eastAsia="ko-KR"/>
                    </w:rPr>
                  </w:pPr>
                  <w:ins w:id="452" w:author="Lee, Daewon" w:date="2023-10-18T14:22:00Z">
                    <w:r w:rsidRPr="00BC0551">
                      <w:rPr>
                        <w:rFonts w:ascii="Arial" w:eastAsia="MS Mincho" w:hAnsi="Arial" w:cs="Arial"/>
                        <w:sz w:val="16"/>
                        <w:szCs w:val="16"/>
                      </w:rPr>
                      <w:t xml:space="preserve">The calculation of SL PRS-CBR is limited within the slots for which the SL </w:t>
                    </w:r>
                  </w:ins>
                  <w:ins w:id="453" w:author="Lee, Daewon" w:date="2023-10-18T14:35:00Z">
                    <w:r w:rsidRPr="00BC0551">
                      <w:rPr>
                        <w:rFonts w:ascii="Arial" w:eastAsia="MS Mincho" w:hAnsi="Arial" w:cs="Arial"/>
                        <w:sz w:val="16"/>
                        <w:szCs w:val="16"/>
                      </w:rPr>
                      <w:t>PRS-</w:t>
                    </w:r>
                  </w:ins>
                  <w:ins w:id="454" w:author="Lee, Daewon" w:date="2023-10-18T14:22:00Z">
                    <w:r w:rsidRPr="00BC0551">
                      <w:rPr>
                        <w:rFonts w:ascii="Arial" w:eastAsia="MS Mincho" w:hAnsi="Arial" w:cs="Arial"/>
                        <w:sz w:val="16"/>
                        <w:szCs w:val="16"/>
                      </w:rPr>
                      <w:t xml:space="preserve">RSSI is measured. If the number of SL </w:t>
                    </w:r>
                  </w:ins>
                  <w:ins w:id="455" w:author="Lee, Daewon" w:date="2023-10-18T14:35:00Z">
                    <w:r w:rsidRPr="00BC0551">
                      <w:rPr>
                        <w:rFonts w:ascii="Arial" w:eastAsia="MS Mincho" w:hAnsi="Arial" w:cs="Arial"/>
                        <w:sz w:val="16"/>
                        <w:szCs w:val="16"/>
                      </w:rPr>
                      <w:t>PRS-</w:t>
                    </w:r>
                  </w:ins>
                  <w:ins w:id="456" w:author="Lee, Daewon" w:date="2023-10-18T14:22:00Z">
                    <w:r w:rsidRPr="00BC0551">
                      <w:rPr>
                        <w:rFonts w:ascii="Arial" w:eastAsia="MS Mincho" w:hAnsi="Arial" w:cs="Arial"/>
                        <w:sz w:val="16"/>
                        <w:szCs w:val="16"/>
                      </w:rPr>
                      <w:t>RSSI measurement slots within the SL PRS-CBR measurement window is below a (pre-)configured threshold, a (pre-)configured SL PRS-CBR value is used.</w:t>
                    </w:r>
                  </w:ins>
                </w:p>
              </w:tc>
            </w:tr>
            <w:tr w:rsidR="00BC0551" w:rsidRPr="00BC0551" w14:paraId="148FEE99" w14:textId="77777777" w:rsidTr="00F47DE3">
              <w:trPr>
                <w:cantSplit/>
                <w:jc w:val="center"/>
                <w:ins w:id="457" w:author="Lee, Daewon" w:date="2023-10-18T14:21:00Z"/>
              </w:trPr>
              <w:tc>
                <w:tcPr>
                  <w:tcW w:w="1333" w:type="dxa"/>
                  <w:tcBorders>
                    <w:top w:val="single" w:sz="4" w:space="0" w:color="auto"/>
                    <w:left w:val="single" w:sz="4" w:space="0" w:color="auto"/>
                    <w:bottom w:val="single" w:sz="4" w:space="0" w:color="auto"/>
                    <w:right w:val="single" w:sz="4" w:space="0" w:color="auto"/>
                  </w:tcBorders>
                </w:tcPr>
                <w:p w14:paraId="695F6D4C" w14:textId="77777777" w:rsidR="00BC0551" w:rsidRPr="00BC0551" w:rsidRDefault="00BC0551" w:rsidP="00BC0551">
                  <w:pPr>
                    <w:keepNext/>
                    <w:keepLines/>
                    <w:rPr>
                      <w:ins w:id="458" w:author="Lee, Daewon" w:date="2023-10-18T14:21:00Z"/>
                      <w:rFonts w:ascii="Arial" w:eastAsia="MS Mincho" w:hAnsi="Arial" w:cs="Arial"/>
                      <w:b/>
                      <w:sz w:val="16"/>
                      <w:szCs w:val="16"/>
                      <w:lang w:eastAsia="en-GB"/>
                    </w:rPr>
                  </w:pPr>
                  <w:ins w:id="459" w:author="Lee, Daewon" w:date="2023-10-18T14:21:00Z">
                    <w:r w:rsidRPr="00BC0551">
                      <w:rPr>
                        <w:rFonts w:ascii="Arial" w:eastAsia="MS Mincho" w:hAnsi="Arial" w:cs="Arial"/>
                        <w:b/>
                        <w:sz w:val="16"/>
                        <w:szCs w:val="16"/>
                        <w:lang w:eastAsia="en-GB"/>
                      </w:rPr>
                      <w:t>Applicable for</w:t>
                    </w:r>
                  </w:ins>
                </w:p>
              </w:tc>
              <w:tc>
                <w:tcPr>
                  <w:tcW w:w="7787" w:type="dxa"/>
                  <w:tcBorders>
                    <w:top w:val="single" w:sz="4" w:space="0" w:color="auto"/>
                    <w:left w:val="single" w:sz="4" w:space="0" w:color="auto"/>
                    <w:bottom w:val="single" w:sz="4" w:space="0" w:color="auto"/>
                    <w:right w:val="single" w:sz="4" w:space="0" w:color="auto"/>
                  </w:tcBorders>
                </w:tcPr>
                <w:p w14:paraId="0CF0F7F2" w14:textId="77777777" w:rsidR="00BC0551" w:rsidRPr="00BC0551" w:rsidRDefault="00BC0551" w:rsidP="00BC0551">
                  <w:pPr>
                    <w:keepNext/>
                    <w:keepLines/>
                    <w:rPr>
                      <w:ins w:id="460" w:author="Lee, Daewon" w:date="2023-10-18T14:21:00Z"/>
                      <w:rFonts w:ascii="Arial" w:eastAsia="MS Mincho" w:hAnsi="Arial" w:cs="Arial"/>
                      <w:sz w:val="16"/>
                      <w:szCs w:val="16"/>
                      <w:lang w:eastAsia="en-GB"/>
                    </w:rPr>
                  </w:pPr>
                  <w:ins w:id="461" w:author="Lee, Daewon" w:date="2023-10-18T14:21:00Z">
                    <w:r w:rsidRPr="00BC0551">
                      <w:rPr>
                        <w:rFonts w:ascii="Arial" w:eastAsia="MS Mincho" w:hAnsi="Arial" w:cs="Arial"/>
                        <w:sz w:val="16"/>
                        <w:szCs w:val="16"/>
                        <w:lang w:eastAsia="en-GB"/>
                      </w:rPr>
                      <w:t>RRC_IDLE intra-frequency,</w:t>
                    </w:r>
                  </w:ins>
                </w:p>
                <w:p w14:paraId="1364B1A5" w14:textId="77777777" w:rsidR="00BC0551" w:rsidRPr="00BC0551" w:rsidRDefault="00BC0551" w:rsidP="00BC0551">
                  <w:pPr>
                    <w:keepNext/>
                    <w:keepLines/>
                    <w:rPr>
                      <w:ins w:id="462" w:author="Lee, Daewon" w:date="2023-10-18T14:21:00Z"/>
                      <w:rFonts w:ascii="Arial" w:eastAsia="MS Mincho" w:hAnsi="Arial" w:cs="Arial"/>
                      <w:sz w:val="16"/>
                      <w:szCs w:val="16"/>
                      <w:lang w:eastAsia="en-GB"/>
                    </w:rPr>
                  </w:pPr>
                  <w:ins w:id="463" w:author="Lee, Daewon" w:date="2023-10-18T14:21:00Z">
                    <w:r w:rsidRPr="00BC0551">
                      <w:rPr>
                        <w:rFonts w:ascii="Arial" w:eastAsia="MS Mincho" w:hAnsi="Arial" w:cs="Arial"/>
                        <w:sz w:val="16"/>
                        <w:szCs w:val="16"/>
                        <w:lang w:eastAsia="en-GB"/>
                      </w:rPr>
                      <w:t>RRC_IDLE inter-frequency,</w:t>
                    </w:r>
                  </w:ins>
                </w:p>
                <w:p w14:paraId="18FFB94C" w14:textId="77777777" w:rsidR="00BC0551" w:rsidRPr="00BC0551" w:rsidRDefault="00BC0551" w:rsidP="00BC0551">
                  <w:pPr>
                    <w:keepNext/>
                    <w:keepLines/>
                    <w:rPr>
                      <w:ins w:id="464" w:author="Lee, Daewon" w:date="2023-10-18T14:30:00Z"/>
                      <w:rFonts w:ascii="Arial" w:hAnsi="Arial" w:cs="Arial"/>
                      <w:sz w:val="16"/>
                      <w:szCs w:val="16"/>
                      <w:lang w:eastAsia="en-GB"/>
                    </w:rPr>
                  </w:pPr>
                  <w:ins w:id="465" w:author="Lee, Daewon" w:date="2023-10-18T14:30:00Z">
                    <w:r w:rsidRPr="00BC0551">
                      <w:rPr>
                        <w:rFonts w:ascii="Arial" w:hAnsi="Arial" w:cs="Arial"/>
                        <w:sz w:val="16"/>
                        <w:szCs w:val="16"/>
                        <w:lang w:eastAsia="en-GB"/>
                      </w:rPr>
                      <w:t>RRC_INACTIVE intra-frequency,</w:t>
                    </w:r>
                  </w:ins>
                </w:p>
                <w:p w14:paraId="25744E7C" w14:textId="77777777" w:rsidR="00BC0551" w:rsidRPr="00BC0551" w:rsidRDefault="00BC0551" w:rsidP="00BC0551">
                  <w:pPr>
                    <w:keepNext/>
                    <w:keepLines/>
                    <w:rPr>
                      <w:ins w:id="466" w:author="Lee, Daewon" w:date="2023-10-18T14:30:00Z"/>
                      <w:rFonts w:ascii="Arial" w:hAnsi="Arial" w:cs="Arial"/>
                      <w:sz w:val="16"/>
                      <w:szCs w:val="16"/>
                      <w:lang w:eastAsia="en-GB"/>
                    </w:rPr>
                  </w:pPr>
                  <w:ins w:id="467" w:author="Lee, Daewon" w:date="2023-10-18T14:30:00Z">
                    <w:r w:rsidRPr="00BC0551">
                      <w:rPr>
                        <w:rFonts w:ascii="Arial" w:hAnsi="Arial" w:cs="Arial"/>
                        <w:sz w:val="16"/>
                        <w:szCs w:val="16"/>
                        <w:lang w:eastAsia="en-GB"/>
                      </w:rPr>
                      <w:t>RRC_INACTIVE inter-frequency,</w:t>
                    </w:r>
                  </w:ins>
                </w:p>
                <w:p w14:paraId="79F3B586" w14:textId="77777777" w:rsidR="00BC0551" w:rsidRPr="00BC0551" w:rsidRDefault="00BC0551" w:rsidP="00BC0551">
                  <w:pPr>
                    <w:keepNext/>
                    <w:keepLines/>
                    <w:rPr>
                      <w:ins w:id="468" w:author="Lee, Daewon" w:date="2023-10-18T14:21:00Z"/>
                      <w:rFonts w:ascii="Arial" w:eastAsia="MS Mincho" w:hAnsi="Arial" w:cs="Arial"/>
                      <w:sz w:val="16"/>
                      <w:szCs w:val="16"/>
                      <w:lang w:eastAsia="en-GB"/>
                    </w:rPr>
                  </w:pPr>
                  <w:ins w:id="469" w:author="Lee, Daewon" w:date="2023-10-18T14:21:00Z">
                    <w:r w:rsidRPr="00BC0551">
                      <w:rPr>
                        <w:rFonts w:ascii="Arial" w:eastAsia="MS Mincho" w:hAnsi="Arial" w:cs="Arial"/>
                        <w:sz w:val="16"/>
                        <w:szCs w:val="16"/>
                        <w:lang w:eastAsia="en-GB"/>
                      </w:rPr>
                      <w:t>RRC_CONNECTED intra-frequency,</w:t>
                    </w:r>
                  </w:ins>
                </w:p>
                <w:p w14:paraId="1587C4A7" w14:textId="77777777" w:rsidR="00BC0551" w:rsidRPr="00BC0551" w:rsidRDefault="00BC0551" w:rsidP="00BC0551">
                  <w:pPr>
                    <w:keepNext/>
                    <w:keepLines/>
                    <w:rPr>
                      <w:ins w:id="470" w:author="Lee, Daewon" w:date="2023-10-18T14:21:00Z"/>
                      <w:rFonts w:ascii="Arial" w:eastAsia="MS Mincho" w:hAnsi="Arial" w:cs="Arial"/>
                      <w:sz w:val="16"/>
                      <w:szCs w:val="16"/>
                      <w:lang w:eastAsia="en-GB"/>
                    </w:rPr>
                  </w:pPr>
                  <w:ins w:id="471" w:author="Lee, Daewon" w:date="2023-10-18T14:21:00Z">
                    <w:r w:rsidRPr="00BC0551">
                      <w:rPr>
                        <w:rFonts w:ascii="Arial" w:eastAsia="MS Mincho" w:hAnsi="Arial" w:cs="Arial"/>
                        <w:sz w:val="16"/>
                        <w:szCs w:val="16"/>
                        <w:lang w:eastAsia="en-GB"/>
                      </w:rPr>
                      <w:t>RRC_CONNECTED inter-frequency</w:t>
                    </w:r>
                  </w:ins>
                </w:p>
              </w:tc>
            </w:tr>
          </w:tbl>
          <w:p w14:paraId="70C11256" w14:textId="77777777" w:rsidR="00BC0551" w:rsidRPr="00BC0551" w:rsidRDefault="00BC0551" w:rsidP="00BC0551">
            <w:pPr>
              <w:rPr>
                <w:ins w:id="472" w:author="Lee, Daewon" w:date="2023-10-18T14:21:00Z"/>
                <w:rFonts w:ascii="Arial" w:eastAsia="SimSun" w:hAnsi="Arial" w:cs="Arial"/>
                <w:sz w:val="16"/>
                <w:szCs w:val="16"/>
              </w:rPr>
            </w:pPr>
          </w:p>
          <w:p w14:paraId="39E95445" w14:textId="77777777" w:rsidR="00BC0551" w:rsidRPr="00BC0551" w:rsidRDefault="00BC0551" w:rsidP="00A67145">
            <w:pPr>
              <w:keepLines/>
              <w:numPr>
                <w:ilvl w:val="0"/>
                <w:numId w:val="207"/>
              </w:numPr>
              <w:ind w:left="1135" w:hanging="851"/>
              <w:rPr>
                <w:ins w:id="473" w:author="Lee, Daewon" w:date="2023-10-18T14:21:00Z"/>
                <w:rFonts w:ascii="Arial" w:hAnsi="Arial" w:cs="Arial"/>
                <w:sz w:val="16"/>
                <w:szCs w:val="16"/>
              </w:rPr>
            </w:pPr>
            <w:ins w:id="474" w:author="Lee, Daewon" w:date="2023-10-18T14:21:00Z">
              <w:r w:rsidRPr="00BC0551">
                <w:rPr>
                  <w:rFonts w:ascii="Arial" w:hAnsi="Arial" w:cs="Arial"/>
                  <w:sz w:val="16"/>
                  <w:szCs w:val="16"/>
                </w:rPr>
                <w:t>NOTE 1:</w:t>
              </w:r>
              <w:r w:rsidRPr="00BC0551">
                <w:rPr>
                  <w:rFonts w:ascii="Arial" w:hAnsi="Arial" w:cs="Arial"/>
                  <w:sz w:val="16"/>
                  <w:szCs w:val="16"/>
                </w:rPr>
                <w:tab/>
                <w:t>The slot index is based on physical slot index.</w:t>
              </w:r>
            </w:ins>
          </w:p>
          <w:p w14:paraId="4752AB9D" w14:textId="77777777" w:rsidR="00BC0551" w:rsidRPr="00BC0551" w:rsidRDefault="00BC0551" w:rsidP="00BC0551">
            <w:pPr>
              <w:rPr>
                <w:rFonts w:ascii="Arial" w:hAnsi="Arial" w:cs="Arial"/>
                <w:i/>
                <w:iCs/>
                <w:color w:val="C00000"/>
                <w:sz w:val="16"/>
                <w:szCs w:val="16"/>
              </w:rPr>
            </w:pPr>
            <w:r w:rsidRPr="00BC0551">
              <w:rPr>
                <w:rFonts w:ascii="Arial" w:hAnsi="Arial" w:cs="Arial"/>
                <w:i/>
                <w:iCs/>
                <w:color w:val="C00000"/>
                <w:sz w:val="16"/>
                <w:szCs w:val="16"/>
              </w:rPr>
              <w:t>--- unchanged text omitted ---</w:t>
            </w:r>
          </w:p>
          <w:p w14:paraId="7C509496" w14:textId="1174DE16" w:rsidR="00BC0551" w:rsidRPr="00BC0551" w:rsidRDefault="00BC0551" w:rsidP="00BC0551">
            <w:pPr>
              <w:jc w:val="both"/>
              <w:rPr>
                <w:rFonts w:ascii="Arial" w:hAnsi="Arial" w:cs="Arial"/>
                <w:sz w:val="16"/>
                <w:szCs w:val="16"/>
                <w:lang w:eastAsia="ko-KR"/>
              </w:rPr>
            </w:pPr>
            <w:r w:rsidRPr="00BC0551">
              <w:rPr>
                <w:rFonts w:ascii="Arial" w:eastAsia="Times New Roman" w:hAnsi="Arial" w:cs="Arial"/>
                <w:color w:val="FF0000"/>
                <w:sz w:val="16"/>
                <w:szCs w:val="16"/>
                <w:lang w:val="en-US" w:eastAsia="zh-CN"/>
              </w:rPr>
              <w:t xml:space="preserve">-------------------------- End of text proposal to TS 38.215 v18.0.0 with draft CR </w:t>
            </w:r>
            <w:hyperlink r:id="rId1151" w:history="1">
              <w:r w:rsidR="00AF7253">
                <w:rPr>
                  <w:rStyle w:val="Hyperlink"/>
                  <w:rFonts w:ascii="Arial" w:eastAsia="Times New Roman" w:hAnsi="Arial" w:cs="Arial"/>
                  <w:sz w:val="16"/>
                  <w:szCs w:val="16"/>
                  <w:lang w:val="en-US" w:eastAsia="zh-CN"/>
                </w:rPr>
                <w:t>R1-2310743</w:t>
              </w:r>
            </w:hyperlink>
            <w:r w:rsidRPr="00BC0551">
              <w:rPr>
                <w:rFonts w:ascii="Arial" w:eastAsia="Times New Roman" w:hAnsi="Arial" w:cs="Arial"/>
                <w:color w:val="FF0000"/>
                <w:sz w:val="16"/>
                <w:szCs w:val="16"/>
                <w:lang w:val="en-US" w:eastAsia="zh-CN"/>
              </w:rPr>
              <w:t>-------------------------</w:t>
            </w:r>
          </w:p>
        </w:tc>
      </w:tr>
    </w:tbl>
    <w:p w14:paraId="3CBB0659" w14:textId="77777777" w:rsidR="00BC0551" w:rsidRPr="00BC0551" w:rsidRDefault="00BC0551" w:rsidP="00BC0551">
      <w:pPr>
        <w:rPr>
          <w:rFonts w:ascii="Times New Roman" w:hAnsi="Times New Roman"/>
          <w:szCs w:val="20"/>
        </w:rPr>
      </w:pPr>
    </w:p>
    <w:p w14:paraId="145E1FC1" w14:textId="77777777" w:rsidR="00BC0551" w:rsidRPr="00BC0551" w:rsidRDefault="00BC0551" w:rsidP="00BC0551">
      <w:pPr>
        <w:rPr>
          <w:rFonts w:ascii="Times New Roman" w:hAnsi="Times New Roman"/>
          <w:bCs/>
          <w:szCs w:val="20"/>
          <w:u w:val="single"/>
        </w:rPr>
      </w:pPr>
      <w:r w:rsidRPr="00BC0551">
        <w:rPr>
          <w:rFonts w:ascii="Times New Roman" w:hAnsi="Times New Roman"/>
          <w:bCs/>
          <w:szCs w:val="20"/>
          <w:u w:val="single"/>
        </w:rPr>
        <w:t>Conclusion</w:t>
      </w:r>
    </w:p>
    <w:p w14:paraId="79F4DA0B" w14:textId="77777777" w:rsidR="00BC0551" w:rsidRPr="00BC0551" w:rsidRDefault="00BC0551" w:rsidP="00BC0551">
      <w:pPr>
        <w:rPr>
          <w:rFonts w:ascii="Times New Roman" w:eastAsia="Malgun Gothic" w:hAnsi="Times New Roman"/>
          <w:szCs w:val="20"/>
        </w:rPr>
      </w:pPr>
      <w:r w:rsidRPr="00BC0551">
        <w:rPr>
          <w:rFonts w:ascii="Times New Roman" w:eastAsia="Malgun Gothic" w:hAnsi="Times New Roman"/>
          <w:szCs w:val="20"/>
        </w:rPr>
        <w:t xml:space="preserve">For a dedicated SL-PRS resource pool, for comparing priority between SL-PRS and UL, support two threshold parameters, similar to legacy, which are used for comparing SL-PRS priority versus the threshold, </w:t>
      </w:r>
    </w:p>
    <w:p w14:paraId="415DDB45" w14:textId="77777777" w:rsidR="00BC0551" w:rsidRPr="00BC0551" w:rsidRDefault="00BC0551" w:rsidP="00A67145">
      <w:pPr>
        <w:pStyle w:val="ListParagraph"/>
        <w:numPr>
          <w:ilvl w:val="0"/>
          <w:numId w:val="208"/>
        </w:numPr>
        <w:rPr>
          <w:rFonts w:eastAsia="Malgun Gothic"/>
        </w:rPr>
      </w:pPr>
      <w:r w:rsidRPr="00BC0551">
        <w:rPr>
          <w:rFonts w:eastAsia="Malgun Gothic"/>
        </w:rPr>
        <w:t>if the priority value of SL-PRS is lower than the threshold, SL-PRS has higher priority;</w:t>
      </w:r>
    </w:p>
    <w:p w14:paraId="48B1C8E6" w14:textId="77777777" w:rsidR="00BC0551" w:rsidRPr="00BC0551" w:rsidRDefault="00BC0551" w:rsidP="00A67145">
      <w:pPr>
        <w:pStyle w:val="ListParagraph"/>
        <w:numPr>
          <w:ilvl w:val="0"/>
          <w:numId w:val="208"/>
        </w:numPr>
        <w:spacing w:after="0"/>
        <w:ind w:left="714" w:hanging="357"/>
        <w:rPr>
          <w:rFonts w:eastAsia="Malgun Gothic"/>
        </w:rPr>
      </w:pPr>
      <w:r w:rsidRPr="00BC0551">
        <w:rPr>
          <w:rFonts w:eastAsia="Malgun Gothic"/>
        </w:rPr>
        <w:t>otherwise, UL has higher priority.</w:t>
      </w:r>
    </w:p>
    <w:p w14:paraId="6774E96F" w14:textId="77777777" w:rsidR="00BC0551" w:rsidRPr="00BC0551" w:rsidRDefault="00BC0551" w:rsidP="00BC0551">
      <w:pPr>
        <w:rPr>
          <w:rFonts w:ascii="Times New Roman" w:eastAsia="Malgun Gothic" w:hAnsi="Times New Roman"/>
          <w:szCs w:val="20"/>
        </w:rPr>
      </w:pPr>
      <w:r w:rsidRPr="00BC0551">
        <w:rPr>
          <w:rFonts w:ascii="Times New Roman" w:eastAsia="Malgun Gothic" w:hAnsi="Times New Roman"/>
          <w:szCs w:val="20"/>
        </w:rPr>
        <w:t xml:space="preserve">Note: No RAN1 specification change is expected from the above. </w:t>
      </w:r>
    </w:p>
    <w:p w14:paraId="3790D377" w14:textId="77777777" w:rsidR="00BC0551" w:rsidRPr="00BC0551" w:rsidRDefault="00BC0551" w:rsidP="00BC0551">
      <w:pPr>
        <w:rPr>
          <w:rFonts w:ascii="Times New Roman" w:hAnsi="Times New Roman"/>
          <w:szCs w:val="20"/>
        </w:rPr>
      </w:pPr>
    </w:p>
    <w:p w14:paraId="4A0D4762" w14:textId="77777777" w:rsidR="00BC0551" w:rsidRPr="00BC0551" w:rsidRDefault="00BC0551" w:rsidP="00BC0551">
      <w:pPr>
        <w:rPr>
          <w:rFonts w:ascii="Times New Roman" w:hAnsi="Times New Roman"/>
          <w:szCs w:val="20"/>
        </w:rPr>
      </w:pPr>
      <w:r w:rsidRPr="00BC0551">
        <w:rPr>
          <w:rFonts w:ascii="Times New Roman" w:hAnsi="Times New Roman"/>
          <w:szCs w:val="20"/>
          <w:highlight w:val="green"/>
        </w:rPr>
        <w:t>Agreement</w:t>
      </w:r>
    </w:p>
    <w:p w14:paraId="7A785B8E" w14:textId="77777777" w:rsidR="00BC0551" w:rsidRPr="00BC0551" w:rsidRDefault="00BC0551" w:rsidP="00BC0551">
      <w:pPr>
        <w:rPr>
          <w:rFonts w:ascii="Times New Roman" w:hAnsi="Times New Roman"/>
          <w:szCs w:val="20"/>
        </w:rPr>
      </w:pPr>
      <w:r w:rsidRPr="00BC0551">
        <w:rPr>
          <w:rFonts w:ascii="Times New Roman" w:hAnsi="Times New Roman"/>
          <w:szCs w:val="20"/>
        </w:rPr>
        <w:t>The TP below is endorsed for TS38.214</w:t>
      </w:r>
    </w:p>
    <w:tbl>
      <w:tblPr>
        <w:tblW w:w="5000" w:type="pct"/>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0683"/>
      </w:tblGrid>
      <w:tr w:rsidR="00BC0551" w:rsidRPr="00BC0551" w14:paraId="6F048F06" w14:textId="77777777" w:rsidTr="00BC0551">
        <w:tc>
          <w:tcPr>
            <w:tcW w:w="5000" w:type="pct"/>
            <w:shd w:val="clear" w:color="auto" w:fill="auto"/>
          </w:tcPr>
          <w:tbl>
            <w:tblPr>
              <w:tblW w:w="9072" w:type="dxa"/>
              <w:tblInd w:w="42" w:type="dxa"/>
              <w:tblCellMar>
                <w:left w:w="42" w:type="dxa"/>
                <w:right w:w="42" w:type="dxa"/>
              </w:tblCellMar>
              <w:tblLook w:val="04A0" w:firstRow="1" w:lastRow="0" w:firstColumn="1" w:lastColumn="0" w:noHBand="0" w:noVBand="1"/>
            </w:tblPr>
            <w:tblGrid>
              <w:gridCol w:w="2694"/>
              <w:gridCol w:w="6378"/>
            </w:tblGrid>
            <w:tr w:rsidR="00BC0551" w:rsidRPr="00BC0551" w14:paraId="4923EBD8" w14:textId="77777777" w:rsidTr="00F47DE3">
              <w:tc>
                <w:tcPr>
                  <w:tcW w:w="2694" w:type="dxa"/>
                  <w:tcBorders>
                    <w:top w:val="single" w:sz="4" w:space="0" w:color="auto"/>
                    <w:left w:val="single" w:sz="4" w:space="0" w:color="auto"/>
                  </w:tcBorders>
                </w:tcPr>
                <w:p w14:paraId="76169248" w14:textId="77777777" w:rsidR="00BC0551" w:rsidRPr="00BC0551" w:rsidRDefault="00BC0551" w:rsidP="00BC0551">
                  <w:pPr>
                    <w:tabs>
                      <w:tab w:val="right" w:pos="2184"/>
                    </w:tabs>
                    <w:rPr>
                      <w:rFonts w:ascii="Arial" w:eastAsia="MS Mincho" w:hAnsi="Arial" w:cs="Arial"/>
                      <w:b/>
                      <w:i/>
                      <w:sz w:val="16"/>
                      <w:szCs w:val="16"/>
                    </w:rPr>
                  </w:pPr>
                  <w:r w:rsidRPr="00BC0551">
                    <w:rPr>
                      <w:rFonts w:ascii="Arial" w:eastAsia="MS Mincho" w:hAnsi="Arial" w:cs="Arial"/>
                      <w:b/>
                      <w:i/>
                      <w:sz w:val="16"/>
                      <w:szCs w:val="16"/>
                    </w:rPr>
                    <w:t>Reason for change:</w:t>
                  </w:r>
                </w:p>
              </w:tc>
              <w:tc>
                <w:tcPr>
                  <w:tcW w:w="6378" w:type="dxa"/>
                  <w:tcBorders>
                    <w:top w:val="single" w:sz="4" w:space="0" w:color="auto"/>
                    <w:right w:val="single" w:sz="4" w:space="0" w:color="auto"/>
                  </w:tcBorders>
                  <w:shd w:val="pct30" w:color="FFFF00" w:fill="auto"/>
                </w:tcPr>
                <w:p w14:paraId="5AF6CD04" w14:textId="77777777" w:rsidR="00BC0551" w:rsidRPr="00BC0551" w:rsidRDefault="00BC0551" w:rsidP="00BC0551">
                  <w:pPr>
                    <w:ind w:left="100"/>
                    <w:jc w:val="both"/>
                    <w:rPr>
                      <w:rFonts w:ascii="Arial" w:eastAsia="MS Mincho" w:hAnsi="Arial" w:cs="Arial"/>
                      <w:sz w:val="16"/>
                      <w:szCs w:val="16"/>
                    </w:rPr>
                  </w:pPr>
                  <w:r w:rsidRPr="00BC0551">
                    <w:rPr>
                      <w:rFonts w:ascii="Arial" w:eastAsia="MS Mincho" w:hAnsi="Arial" w:cs="Arial"/>
                      <w:sz w:val="16"/>
                      <w:szCs w:val="16"/>
                    </w:rPr>
                    <w:t xml:space="preserve">Corrections on </w:t>
                  </w:r>
                  <w:r w:rsidRPr="00BC0551">
                    <w:rPr>
                      <w:rFonts w:ascii="Arial" w:eastAsia="MS Mincho" w:hAnsi="Arial" w:cs="Arial"/>
                      <w:sz w:val="16"/>
                      <w:szCs w:val="16"/>
                      <w:lang w:eastAsia="zh-CN"/>
                    </w:rPr>
                    <w:t>description associated with resource allocation in a dedicated SL PRS resource pool.</w:t>
                  </w:r>
                </w:p>
              </w:tc>
            </w:tr>
            <w:tr w:rsidR="00BC0551" w:rsidRPr="00BC0551" w14:paraId="06828FDB" w14:textId="77777777" w:rsidTr="00F47DE3">
              <w:tc>
                <w:tcPr>
                  <w:tcW w:w="2694" w:type="dxa"/>
                  <w:tcBorders>
                    <w:left w:val="single" w:sz="4" w:space="0" w:color="auto"/>
                  </w:tcBorders>
                </w:tcPr>
                <w:p w14:paraId="021B8BB3" w14:textId="77777777" w:rsidR="00BC0551" w:rsidRPr="00BC0551" w:rsidRDefault="00BC0551" w:rsidP="00BC0551">
                  <w:pPr>
                    <w:rPr>
                      <w:rFonts w:ascii="Arial" w:eastAsia="MS Mincho" w:hAnsi="Arial" w:cs="Arial"/>
                      <w:b/>
                      <w:i/>
                      <w:sz w:val="16"/>
                      <w:szCs w:val="16"/>
                    </w:rPr>
                  </w:pPr>
                </w:p>
              </w:tc>
              <w:tc>
                <w:tcPr>
                  <w:tcW w:w="6378" w:type="dxa"/>
                  <w:tcBorders>
                    <w:right w:val="single" w:sz="4" w:space="0" w:color="auto"/>
                  </w:tcBorders>
                </w:tcPr>
                <w:p w14:paraId="75CAF76A" w14:textId="77777777" w:rsidR="00BC0551" w:rsidRPr="00BC0551" w:rsidRDefault="00BC0551" w:rsidP="00BC0551">
                  <w:pPr>
                    <w:jc w:val="both"/>
                    <w:rPr>
                      <w:rFonts w:ascii="Arial" w:eastAsia="MS Mincho" w:hAnsi="Arial" w:cs="Arial"/>
                      <w:sz w:val="16"/>
                      <w:szCs w:val="16"/>
                    </w:rPr>
                  </w:pPr>
                </w:p>
              </w:tc>
            </w:tr>
            <w:tr w:rsidR="00BC0551" w:rsidRPr="00BC0551" w14:paraId="5183F0F7" w14:textId="77777777" w:rsidTr="00F47DE3">
              <w:tc>
                <w:tcPr>
                  <w:tcW w:w="2694" w:type="dxa"/>
                  <w:tcBorders>
                    <w:left w:val="single" w:sz="4" w:space="0" w:color="auto"/>
                  </w:tcBorders>
                </w:tcPr>
                <w:p w14:paraId="59D56FCA" w14:textId="77777777" w:rsidR="00BC0551" w:rsidRPr="00BC0551" w:rsidRDefault="00BC0551" w:rsidP="00BC0551">
                  <w:pPr>
                    <w:tabs>
                      <w:tab w:val="right" w:pos="2184"/>
                    </w:tabs>
                    <w:rPr>
                      <w:rFonts w:ascii="Arial" w:eastAsia="MS Mincho" w:hAnsi="Arial" w:cs="Arial"/>
                      <w:b/>
                      <w:i/>
                      <w:sz w:val="16"/>
                      <w:szCs w:val="16"/>
                    </w:rPr>
                  </w:pPr>
                  <w:r w:rsidRPr="00BC0551">
                    <w:rPr>
                      <w:rFonts w:ascii="Arial" w:eastAsia="MS Mincho" w:hAnsi="Arial" w:cs="Arial"/>
                      <w:b/>
                      <w:i/>
                      <w:sz w:val="16"/>
                      <w:szCs w:val="16"/>
                    </w:rPr>
                    <w:t>Summary of change:</w:t>
                  </w:r>
                </w:p>
              </w:tc>
              <w:tc>
                <w:tcPr>
                  <w:tcW w:w="6378" w:type="dxa"/>
                  <w:tcBorders>
                    <w:right w:val="single" w:sz="4" w:space="0" w:color="auto"/>
                  </w:tcBorders>
                  <w:shd w:val="pct30" w:color="FFFF00" w:fill="auto"/>
                </w:tcPr>
                <w:p w14:paraId="6C2E912A" w14:textId="77777777" w:rsidR="00BC0551" w:rsidRPr="00BC0551" w:rsidRDefault="00BC0551" w:rsidP="00BC0551">
                  <w:pPr>
                    <w:ind w:left="100"/>
                    <w:jc w:val="both"/>
                    <w:rPr>
                      <w:rFonts w:ascii="Arial" w:eastAsia="MS Mincho" w:hAnsi="Arial" w:cs="Arial"/>
                      <w:sz w:val="16"/>
                      <w:szCs w:val="16"/>
                      <w:lang w:eastAsia="zh-CN"/>
                    </w:rPr>
                  </w:pPr>
                  <w:r w:rsidRPr="00BC0551">
                    <w:rPr>
                      <w:rFonts w:ascii="Arial" w:eastAsia="MS Mincho" w:hAnsi="Arial" w:cs="Arial"/>
                      <w:sz w:val="16"/>
                      <w:szCs w:val="16"/>
                      <w:lang w:eastAsia="zh-CN"/>
                    </w:rPr>
                    <w:t xml:space="preserve">In clause </w:t>
                  </w:r>
                  <w:r w:rsidRPr="00BC0551">
                    <w:rPr>
                      <w:rFonts w:ascii="Arial" w:eastAsia="Times New Roman" w:hAnsi="Arial" w:cs="Arial"/>
                      <w:iCs/>
                      <w:sz w:val="16"/>
                      <w:szCs w:val="16"/>
                      <w:lang w:eastAsia="zh-CN"/>
                    </w:rPr>
                    <w:t xml:space="preserve">8.2.4.1.1 and 8.2.4.2 of </w:t>
                  </w:r>
                  <w:r w:rsidRPr="00BC0551">
                    <w:rPr>
                      <w:rFonts w:ascii="Arial" w:eastAsia="MS Mincho" w:hAnsi="Arial" w:cs="Arial"/>
                      <w:sz w:val="16"/>
                      <w:szCs w:val="16"/>
                      <w:lang w:eastAsia="zh-CN"/>
                    </w:rPr>
                    <w:t>TS 38.214, minimum resource allocation unit of SL PRS is captured.</w:t>
                  </w:r>
                </w:p>
              </w:tc>
            </w:tr>
            <w:tr w:rsidR="00BC0551" w:rsidRPr="00BC0551" w14:paraId="7D965B84" w14:textId="77777777" w:rsidTr="00F47DE3">
              <w:tc>
                <w:tcPr>
                  <w:tcW w:w="2694" w:type="dxa"/>
                  <w:tcBorders>
                    <w:left w:val="single" w:sz="4" w:space="0" w:color="auto"/>
                  </w:tcBorders>
                </w:tcPr>
                <w:p w14:paraId="4DC0258C" w14:textId="77777777" w:rsidR="00BC0551" w:rsidRPr="00BC0551" w:rsidRDefault="00BC0551" w:rsidP="00BC0551">
                  <w:pPr>
                    <w:rPr>
                      <w:rFonts w:ascii="Arial" w:eastAsia="MS Mincho" w:hAnsi="Arial" w:cs="Arial"/>
                      <w:b/>
                      <w:i/>
                      <w:sz w:val="16"/>
                      <w:szCs w:val="16"/>
                    </w:rPr>
                  </w:pPr>
                </w:p>
              </w:tc>
              <w:tc>
                <w:tcPr>
                  <w:tcW w:w="6378" w:type="dxa"/>
                  <w:tcBorders>
                    <w:right w:val="single" w:sz="4" w:space="0" w:color="auto"/>
                  </w:tcBorders>
                </w:tcPr>
                <w:p w14:paraId="5F6D4253" w14:textId="77777777" w:rsidR="00BC0551" w:rsidRPr="00BC0551" w:rsidRDefault="00BC0551" w:rsidP="00BC0551">
                  <w:pPr>
                    <w:jc w:val="both"/>
                    <w:rPr>
                      <w:rFonts w:ascii="Arial" w:eastAsia="MS Mincho" w:hAnsi="Arial" w:cs="Arial"/>
                      <w:sz w:val="16"/>
                      <w:szCs w:val="16"/>
                    </w:rPr>
                  </w:pPr>
                </w:p>
              </w:tc>
            </w:tr>
            <w:tr w:rsidR="00BC0551" w:rsidRPr="00BC0551" w14:paraId="2D2F5F3B" w14:textId="77777777" w:rsidTr="00F47DE3">
              <w:tc>
                <w:tcPr>
                  <w:tcW w:w="2694" w:type="dxa"/>
                  <w:tcBorders>
                    <w:left w:val="single" w:sz="4" w:space="0" w:color="auto"/>
                    <w:bottom w:val="single" w:sz="4" w:space="0" w:color="auto"/>
                  </w:tcBorders>
                </w:tcPr>
                <w:p w14:paraId="0C41D057" w14:textId="77777777" w:rsidR="00BC0551" w:rsidRPr="00BC0551" w:rsidRDefault="00BC0551" w:rsidP="00BC0551">
                  <w:pPr>
                    <w:tabs>
                      <w:tab w:val="right" w:pos="2184"/>
                    </w:tabs>
                    <w:rPr>
                      <w:rFonts w:ascii="Arial" w:eastAsia="MS Mincho" w:hAnsi="Arial" w:cs="Arial"/>
                      <w:b/>
                      <w:i/>
                      <w:sz w:val="16"/>
                      <w:szCs w:val="16"/>
                    </w:rPr>
                  </w:pPr>
                  <w:r w:rsidRPr="00BC0551">
                    <w:rPr>
                      <w:rFonts w:ascii="Arial" w:eastAsia="MS Mincho" w:hAnsi="Arial" w:cs="Arial"/>
                      <w:b/>
                      <w:i/>
                      <w:sz w:val="16"/>
                      <w:szCs w:val="16"/>
                    </w:rPr>
                    <w:t>Consequences if not approved:</w:t>
                  </w:r>
                </w:p>
              </w:tc>
              <w:tc>
                <w:tcPr>
                  <w:tcW w:w="6378" w:type="dxa"/>
                  <w:tcBorders>
                    <w:bottom w:val="single" w:sz="4" w:space="0" w:color="auto"/>
                    <w:right w:val="single" w:sz="4" w:space="0" w:color="auto"/>
                  </w:tcBorders>
                  <w:shd w:val="pct30" w:color="FFFF00" w:fill="auto"/>
                </w:tcPr>
                <w:p w14:paraId="53E256F9" w14:textId="77777777" w:rsidR="00BC0551" w:rsidRPr="00BC0551" w:rsidRDefault="00BC0551" w:rsidP="00BC0551">
                  <w:pPr>
                    <w:ind w:leftChars="50" w:left="100"/>
                    <w:jc w:val="both"/>
                    <w:rPr>
                      <w:rFonts w:ascii="Arial" w:eastAsia="Times New Roman" w:hAnsi="Arial" w:cs="Arial"/>
                      <w:sz w:val="16"/>
                      <w:szCs w:val="16"/>
                    </w:rPr>
                  </w:pPr>
                  <w:r w:rsidRPr="00BC0551">
                    <w:rPr>
                      <w:rFonts w:ascii="Arial" w:eastAsia="MS Mincho" w:hAnsi="Arial" w:cs="Arial"/>
                      <w:sz w:val="16"/>
                      <w:szCs w:val="16"/>
                      <w:lang w:eastAsia="zh-CN"/>
                    </w:rPr>
                    <w:t>The description associated with resource allocation in a dedicated SL PRS resource pool is inaccurate.</w:t>
                  </w:r>
                </w:p>
              </w:tc>
            </w:tr>
          </w:tbl>
          <w:p w14:paraId="0D652CEF" w14:textId="2046B991" w:rsidR="00BC0551" w:rsidRPr="00BC0551" w:rsidRDefault="00BC0551" w:rsidP="00BC0551">
            <w:pPr>
              <w:overflowPunct w:val="0"/>
              <w:autoSpaceDE w:val="0"/>
              <w:autoSpaceDN w:val="0"/>
              <w:adjustRightInd w:val="0"/>
              <w:jc w:val="both"/>
              <w:textAlignment w:val="baseline"/>
              <w:rPr>
                <w:rFonts w:ascii="Arial" w:eastAsia="SimSun" w:hAnsi="Arial" w:cs="Arial"/>
                <w:sz w:val="16"/>
                <w:szCs w:val="16"/>
                <w:lang w:val="en-US" w:eastAsia="zh-CN"/>
              </w:rPr>
            </w:pPr>
            <w:r w:rsidRPr="00BC0551">
              <w:rPr>
                <w:rFonts w:ascii="Arial" w:eastAsia="SimSun" w:hAnsi="Arial" w:cs="Arial"/>
                <w:color w:val="FF0000"/>
                <w:sz w:val="16"/>
                <w:szCs w:val="16"/>
                <w:lang w:val="en-US"/>
              </w:rPr>
              <w:t xml:space="preserve">-------------------------- Start of text proposal to TS 38.214 v18.0.0 with draft CR </w:t>
            </w:r>
            <w:hyperlink r:id="rId1152" w:history="1">
              <w:r w:rsidR="00AF7253">
                <w:rPr>
                  <w:rStyle w:val="Hyperlink"/>
                  <w:rFonts w:ascii="Arial" w:eastAsia="SimSun" w:hAnsi="Arial" w:cs="Arial"/>
                  <w:sz w:val="16"/>
                  <w:szCs w:val="16"/>
                  <w:lang w:val="en-US"/>
                </w:rPr>
                <w:t>R1-2310764</w:t>
              </w:r>
            </w:hyperlink>
            <w:r w:rsidRPr="00BC0551">
              <w:rPr>
                <w:rFonts w:ascii="Arial" w:eastAsia="SimSun" w:hAnsi="Arial" w:cs="Arial"/>
                <w:color w:val="FF0000"/>
                <w:sz w:val="16"/>
                <w:szCs w:val="16"/>
                <w:lang w:val="en-US"/>
              </w:rPr>
              <w:t>-------------------------</w:t>
            </w:r>
          </w:p>
          <w:p w14:paraId="7D797FC6" w14:textId="77777777" w:rsidR="00BC0551" w:rsidRPr="00BC0551" w:rsidRDefault="00BC0551" w:rsidP="00BC0551">
            <w:pPr>
              <w:jc w:val="both"/>
              <w:rPr>
                <w:rFonts w:ascii="Arial" w:eastAsia="Malgun Gothic" w:hAnsi="Arial" w:cs="Arial"/>
                <w:b/>
                <w:sz w:val="16"/>
                <w:szCs w:val="16"/>
              </w:rPr>
            </w:pPr>
            <w:r w:rsidRPr="00BC0551">
              <w:rPr>
                <w:rFonts w:ascii="Arial" w:eastAsia="Malgun Gothic" w:hAnsi="Arial" w:cs="Arial"/>
                <w:b/>
                <w:sz w:val="16"/>
                <w:szCs w:val="16"/>
              </w:rPr>
              <w:t>8.2.4.1.1</w:t>
            </w:r>
            <w:r w:rsidRPr="00BC0551">
              <w:rPr>
                <w:rFonts w:ascii="Arial" w:eastAsia="Malgun Gothic" w:hAnsi="Arial" w:cs="Arial"/>
                <w:b/>
                <w:sz w:val="16"/>
                <w:szCs w:val="16"/>
              </w:rPr>
              <w:tab/>
              <w:t>Resource allocation in time domain</w:t>
            </w:r>
          </w:p>
          <w:p w14:paraId="3927BC8D" w14:textId="77777777" w:rsidR="00BC0551" w:rsidRPr="00BC0551" w:rsidRDefault="00BC0551" w:rsidP="00BC0551">
            <w:pPr>
              <w:rPr>
                <w:rFonts w:ascii="Arial" w:hAnsi="Arial" w:cs="Arial"/>
                <w:sz w:val="16"/>
                <w:szCs w:val="16"/>
              </w:rPr>
            </w:pPr>
            <w:r w:rsidRPr="00BC0551">
              <w:rPr>
                <w:rFonts w:ascii="Arial" w:hAnsi="Arial" w:cs="Arial"/>
                <w:sz w:val="16"/>
                <w:szCs w:val="16"/>
              </w:rPr>
              <w:t>The UE shall transmit the SL PRS in the same slot as the associated PSCCH.</w:t>
            </w:r>
          </w:p>
          <w:p w14:paraId="44793D2C" w14:textId="77777777" w:rsidR="00BC0551" w:rsidRPr="00BC0551" w:rsidRDefault="00BC0551" w:rsidP="00BC0551">
            <w:pPr>
              <w:overflowPunct w:val="0"/>
              <w:autoSpaceDE w:val="0"/>
              <w:autoSpaceDN w:val="0"/>
              <w:adjustRightInd w:val="0"/>
              <w:jc w:val="both"/>
              <w:textAlignment w:val="baseline"/>
              <w:rPr>
                <w:rFonts w:ascii="Arial" w:eastAsia="SimSun" w:hAnsi="Arial" w:cs="Arial"/>
                <w:sz w:val="16"/>
                <w:szCs w:val="16"/>
                <w:lang w:val="en-US" w:eastAsia="zh-CN"/>
              </w:rPr>
            </w:pPr>
            <w:ins w:id="475" w:author="CATT" w:date="2023-10-31T13:17:00Z">
              <w:r w:rsidRPr="00BC0551">
                <w:rPr>
                  <w:rFonts w:ascii="Arial" w:eastAsia="SimSun" w:hAnsi="Arial" w:cs="Arial"/>
                  <w:sz w:val="16"/>
                  <w:szCs w:val="16"/>
                  <w:lang w:val="en-US" w:eastAsia="zh-CN"/>
                </w:rPr>
                <w:t>For a dedicated SL PRS resource pool, t</w:t>
              </w:r>
            </w:ins>
            <w:ins w:id="476" w:author="CATT" w:date="2023-10-26T15:10:00Z">
              <w:r w:rsidRPr="00BC0551">
                <w:rPr>
                  <w:rFonts w:ascii="Arial" w:eastAsia="SimSun" w:hAnsi="Arial" w:cs="Arial"/>
                  <w:sz w:val="16"/>
                  <w:szCs w:val="16"/>
                  <w:lang w:val="en-US" w:eastAsia="zh-CN"/>
                </w:rPr>
                <w:t>he minimum resource allocation unit in the time domain is a SL PRS resource</w:t>
              </w:r>
            </w:ins>
            <w:ins w:id="477" w:author="Patrick Merias" w:date="2023-11-16T14:53:00Z">
              <w:r w:rsidRPr="00BC0551">
                <w:rPr>
                  <w:rFonts w:ascii="Arial" w:eastAsia="SimSun" w:hAnsi="Arial" w:cs="Arial"/>
                  <w:sz w:val="16"/>
                  <w:szCs w:val="16"/>
                  <w:lang w:val="en-US" w:eastAsia="zh-CN"/>
                </w:rPr>
                <w:t xml:space="preserve"> in a slot</w:t>
              </w:r>
            </w:ins>
            <w:ins w:id="478" w:author="CATT" w:date="2023-10-26T15:11:00Z">
              <w:r w:rsidRPr="00BC0551">
                <w:rPr>
                  <w:rFonts w:ascii="Arial" w:eastAsia="SimSun" w:hAnsi="Arial" w:cs="Arial"/>
                  <w:sz w:val="16"/>
                  <w:szCs w:val="16"/>
                  <w:lang w:val="en-US" w:eastAsia="zh-CN"/>
                </w:rPr>
                <w:t>.</w:t>
              </w:r>
            </w:ins>
          </w:p>
          <w:p w14:paraId="7A2C938D" w14:textId="77777777" w:rsidR="00BC0551" w:rsidRPr="00BC0551" w:rsidRDefault="00BC0551" w:rsidP="00BC0551">
            <w:pPr>
              <w:rPr>
                <w:rFonts w:ascii="Arial" w:hAnsi="Arial" w:cs="Arial"/>
                <w:sz w:val="16"/>
                <w:szCs w:val="16"/>
              </w:rPr>
            </w:pPr>
            <w:r w:rsidRPr="00BC0551">
              <w:rPr>
                <w:rFonts w:ascii="Arial" w:hAnsi="Arial" w:cs="Arial"/>
                <w:sz w:val="16"/>
                <w:szCs w:val="16"/>
              </w:rPr>
              <w:t>The UE shall transmit the SL PRS in consecutive symbols within the slot.</w:t>
            </w:r>
          </w:p>
          <w:p w14:paraId="0AE6C43A" w14:textId="1C3029BF" w:rsidR="00BC0551" w:rsidRPr="00BC0551" w:rsidRDefault="00BC0551" w:rsidP="00BC0551">
            <w:pPr>
              <w:rPr>
                <w:rFonts w:ascii="Arial" w:eastAsia="SimSun" w:hAnsi="Arial" w:cs="Arial"/>
                <w:sz w:val="16"/>
                <w:szCs w:val="16"/>
                <w:lang w:val="en-US" w:eastAsia="zh-CN"/>
              </w:rPr>
            </w:pPr>
            <w:r w:rsidRPr="00BC0551">
              <w:rPr>
                <w:rFonts w:ascii="Arial" w:hAnsi="Arial" w:cs="Arial"/>
                <w:sz w:val="16"/>
                <w:szCs w:val="16"/>
              </w:rPr>
              <w:t>A UE does not transmit multiple SL PRS resources in the same slot.</w:t>
            </w:r>
          </w:p>
          <w:p w14:paraId="520295EC" w14:textId="77777777" w:rsidR="00BC0551" w:rsidRPr="00BC0551" w:rsidRDefault="00BC0551" w:rsidP="00BC0551">
            <w:pPr>
              <w:ind w:left="568" w:hanging="284"/>
              <w:jc w:val="center"/>
              <w:rPr>
                <w:rFonts w:ascii="Arial" w:eastAsia="Malgun Gothic" w:hAnsi="Arial" w:cs="Arial"/>
                <w:b/>
                <w:bCs/>
                <w:color w:val="FF0000"/>
                <w:sz w:val="16"/>
                <w:szCs w:val="16"/>
                <w:lang w:eastAsia="ko-KR"/>
              </w:rPr>
            </w:pPr>
            <w:r w:rsidRPr="00BC0551">
              <w:rPr>
                <w:rFonts w:ascii="Arial" w:eastAsia="Malgun Gothic" w:hAnsi="Arial" w:cs="Arial"/>
                <w:b/>
                <w:bCs/>
                <w:color w:val="FF0000"/>
                <w:sz w:val="16"/>
                <w:szCs w:val="16"/>
                <w:lang w:eastAsia="ko-KR"/>
              </w:rPr>
              <w:t>&lt;&lt;&lt; UNCHANGED PARTS OMITTED &gt;&gt;&gt;</w:t>
            </w:r>
          </w:p>
          <w:p w14:paraId="1D5134A0" w14:textId="77777777" w:rsidR="00BC0551" w:rsidRPr="00BC0551" w:rsidRDefault="00BC0551" w:rsidP="00BC0551">
            <w:pPr>
              <w:spacing w:line="264" w:lineRule="auto"/>
              <w:jc w:val="both"/>
              <w:rPr>
                <w:rFonts w:ascii="Arial" w:eastAsia="SimSun" w:hAnsi="Arial" w:cs="Arial"/>
                <w:b/>
                <w:sz w:val="16"/>
                <w:szCs w:val="16"/>
                <w:lang w:val="en-US" w:eastAsia="zh-CN"/>
              </w:rPr>
            </w:pPr>
            <w:r w:rsidRPr="00BC0551">
              <w:rPr>
                <w:rFonts w:ascii="Arial" w:eastAsia="SimSun" w:hAnsi="Arial" w:cs="Arial"/>
                <w:b/>
                <w:sz w:val="16"/>
                <w:szCs w:val="16"/>
                <w:lang w:val="en-US" w:eastAsia="zh-CN"/>
              </w:rPr>
              <w:t>8.2.4.2</w:t>
            </w:r>
            <w:r w:rsidRPr="00BC0551">
              <w:rPr>
                <w:rFonts w:ascii="Arial" w:eastAsia="SimSun" w:hAnsi="Arial" w:cs="Arial"/>
                <w:b/>
                <w:sz w:val="16"/>
                <w:szCs w:val="16"/>
                <w:lang w:val="en-US" w:eastAsia="zh-CN"/>
              </w:rPr>
              <w:tab/>
              <w:t>UE procedure for determining the subset of resources to be reported to higher layers in SL PRS resource selection in a dedicated resource pool in sidelink resource allocation mode 2</w:t>
            </w:r>
          </w:p>
          <w:p w14:paraId="4F5C9F3D" w14:textId="77777777" w:rsidR="00BC0551" w:rsidRPr="00BC0551" w:rsidRDefault="00BC0551" w:rsidP="00BC0551">
            <w:pPr>
              <w:ind w:left="568" w:hanging="284"/>
              <w:jc w:val="center"/>
              <w:rPr>
                <w:rFonts w:ascii="Arial" w:eastAsia="Malgun Gothic" w:hAnsi="Arial" w:cs="Arial"/>
                <w:b/>
                <w:bCs/>
                <w:color w:val="FF0000"/>
                <w:sz w:val="16"/>
                <w:szCs w:val="16"/>
                <w:lang w:eastAsia="ko-KR"/>
              </w:rPr>
            </w:pPr>
            <w:r w:rsidRPr="00BC0551">
              <w:rPr>
                <w:rFonts w:ascii="Arial" w:eastAsia="Malgun Gothic" w:hAnsi="Arial" w:cs="Arial"/>
                <w:b/>
                <w:bCs/>
                <w:color w:val="FF0000"/>
                <w:sz w:val="16"/>
                <w:szCs w:val="16"/>
                <w:lang w:eastAsia="ko-KR"/>
              </w:rPr>
              <w:t>&lt;&lt;&lt; UNCHANGED PARTS OMITTED &gt;&gt;&gt;</w:t>
            </w:r>
          </w:p>
          <w:p w14:paraId="2F55BB15" w14:textId="77777777" w:rsidR="00BC0551" w:rsidRPr="00BC0551" w:rsidRDefault="00BC0551" w:rsidP="00BC0551">
            <w:pPr>
              <w:rPr>
                <w:rFonts w:ascii="Arial" w:hAnsi="Arial" w:cs="Arial"/>
                <w:sz w:val="16"/>
                <w:szCs w:val="16"/>
              </w:rPr>
            </w:pPr>
            <w:r w:rsidRPr="00BC0551">
              <w:rPr>
                <w:rFonts w:ascii="Arial" w:hAnsi="Arial" w:cs="Arial"/>
                <w:sz w:val="16"/>
                <w:szCs w:val="16"/>
              </w:rPr>
              <w:t>The UE shall perform this procedure according to clause 8.1.4, with the following modifications:</w:t>
            </w:r>
          </w:p>
          <w:p w14:paraId="06F6D8E4" w14:textId="77777777" w:rsidR="00BC0551" w:rsidRPr="00BC0551" w:rsidRDefault="00BC0551" w:rsidP="00BC0551">
            <w:pPr>
              <w:ind w:left="568" w:hanging="284"/>
              <w:rPr>
                <w:ins w:id="479" w:author="CATT" w:date="2023-10-26T15:16:00Z"/>
                <w:rFonts w:ascii="Arial" w:eastAsia="SimSun" w:hAnsi="Arial" w:cs="Arial"/>
                <w:sz w:val="16"/>
                <w:szCs w:val="16"/>
              </w:rPr>
            </w:pPr>
            <w:r w:rsidRPr="00BC0551">
              <w:rPr>
                <w:rFonts w:ascii="Arial" w:hAnsi="Arial" w:cs="Arial"/>
                <w:sz w:val="16"/>
                <w:szCs w:val="16"/>
              </w:rPr>
              <w:t>-</w:t>
            </w:r>
            <w:r w:rsidRPr="00BC0551">
              <w:rPr>
                <w:rFonts w:ascii="Arial" w:eastAsia="SimSun" w:hAnsi="Arial" w:cs="Arial"/>
                <w:sz w:val="16"/>
                <w:szCs w:val="16"/>
              </w:rPr>
              <w:tab/>
              <w:t>Partial sensing is not applicable in a dedicated SL PRS resource pool;</w:t>
            </w:r>
          </w:p>
          <w:p w14:paraId="46EB6883" w14:textId="3B7170B5" w:rsidR="00BC0551" w:rsidRPr="00BC0551" w:rsidRDefault="00BC0551" w:rsidP="00BC0551">
            <w:pPr>
              <w:ind w:left="568" w:hanging="284"/>
              <w:rPr>
                <w:rFonts w:ascii="Arial" w:eastAsia="SimSun" w:hAnsi="Arial" w:cs="Arial"/>
                <w:sz w:val="16"/>
                <w:szCs w:val="16"/>
              </w:rPr>
            </w:pPr>
            <w:ins w:id="480" w:author="CATT" w:date="2023-10-26T15:16:00Z">
              <w:r w:rsidRPr="00BC0551">
                <w:rPr>
                  <w:rFonts w:ascii="Arial" w:eastAsia="SimSun" w:hAnsi="Arial" w:cs="Arial"/>
                  <w:sz w:val="16"/>
                  <w:szCs w:val="16"/>
                </w:rPr>
                <w:t>-</w:t>
              </w:r>
            </w:ins>
            <w:r w:rsidRPr="00BC0551">
              <w:rPr>
                <w:rFonts w:ascii="Arial" w:eastAsia="SimSun" w:hAnsi="Arial" w:cs="Arial"/>
                <w:sz w:val="16"/>
                <w:szCs w:val="16"/>
              </w:rPr>
              <w:tab/>
            </w:r>
            <w:ins w:id="481" w:author="CATT" w:date="2023-10-26T15:17:00Z">
              <w:r w:rsidRPr="00BC0551">
                <w:rPr>
                  <w:rFonts w:ascii="Arial" w:eastAsia="Times New Roman" w:hAnsi="Arial" w:cs="Arial"/>
                  <w:sz w:val="16"/>
                  <w:szCs w:val="16"/>
                  <w:lang w:eastAsia="zh-CN"/>
                </w:rPr>
                <w:t>‘</w:t>
              </w:r>
            </w:ins>
            <w:ins w:id="482" w:author="Patrick Merias" w:date="2023-11-16T14:56:00Z">
              <w:r w:rsidRPr="00BC0551">
                <w:rPr>
                  <w:rFonts w:ascii="Arial" w:eastAsia="Times New Roman" w:hAnsi="Arial" w:cs="Arial"/>
                  <w:sz w:val="16"/>
                  <w:szCs w:val="16"/>
                  <w:lang w:eastAsia="zh-CN"/>
                </w:rPr>
                <w:t>C</w:t>
              </w:r>
            </w:ins>
            <w:ins w:id="483" w:author="CATT" w:date="2023-10-26T15:17:00Z">
              <w:r w:rsidRPr="00BC0551">
                <w:rPr>
                  <w:rFonts w:ascii="Arial" w:eastAsia="Times New Roman" w:hAnsi="Arial" w:cs="Arial"/>
                  <w:sz w:val="16"/>
                  <w:szCs w:val="16"/>
                  <w:lang w:eastAsia="zh-CN"/>
                </w:rPr>
                <w:t>andidate single-slot resource’ is replaced by ’candidate SL PRS resource’.</w:t>
              </w:r>
            </w:ins>
          </w:p>
          <w:p w14:paraId="50154095" w14:textId="3C1CE6F1" w:rsidR="00BC0551" w:rsidRPr="00BC0551" w:rsidRDefault="00BC0551" w:rsidP="00BC0551">
            <w:pPr>
              <w:ind w:left="568" w:hanging="284"/>
              <w:rPr>
                <w:rFonts w:ascii="Arial" w:eastAsia="SimSun" w:hAnsi="Arial" w:cs="Arial"/>
                <w:sz w:val="16"/>
                <w:szCs w:val="16"/>
              </w:rPr>
            </w:pPr>
            <w:r w:rsidRPr="00BC0551">
              <w:rPr>
                <w:rFonts w:ascii="Arial" w:eastAsia="Malgun Gothic" w:hAnsi="Arial" w:cs="Arial"/>
                <w:sz w:val="16"/>
                <w:szCs w:val="16"/>
                <w:lang w:eastAsia="ko-KR"/>
              </w:rPr>
              <w:lastRenderedPageBreak/>
              <w:t>-</w:t>
            </w:r>
            <w:r w:rsidRPr="00BC0551">
              <w:rPr>
                <w:rFonts w:ascii="Arial" w:eastAsia="Malgun Gothic" w:hAnsi="Arial" w:cs="Arial"/>
                <w:sz w:val="16"/>
                <w:szCs w:val="16"/>
                <w:lang w:eastAsia="ko-KR"/>
              </w:rPr>
              <w:tab/>
              <w:t xml:space="preserve">A candidate </w:t>
            </w:r>
            <w:r w:rsidRPr="00BC0551">
              <w:rPr>
                <w:rFonts w:ascii="Arial" w:eastAsia="Malgun Gothic" w:hAnsi="Arial" w:cs="Arial"/>
                <w:strike/>
                <w:sz w:val="16"/>
                <w:szCs w:val="16"/>
                <w:lang w:eastAsia="ko-KR"/>
              </w:rPr>
              <w:t>single</w:t>
            </w:r>
            <w:del w:id="484" w:author="CATT" w:date="2023-10-26T15:17:00Z">
              <w:r w:rsidRPr="00BC0551">
                <w:rPr>
                  <w:rFonts w:ascii="Arial" w:eastAsia="Malgun Gothic" w:hAnsi="Arial" w:cs="Arial"/>
                  <w:sz w:val="16"/>
                  <w:szCs w:val="16"/>
                  <w:lang w:eastAsia="ko-KR"/>
                </w:rPr>
                <w:delText>-slot</w:delText>
              </w:r>
            </w:del>
            <w:ins w:id="485" w:author="CATT" w:date="2023-10-26T15:17:00Z">
              <w:r w:rsidRPr="00BC0551">
                <w:rPr>
                  <w:rFonts w:ascii="Arial" w:eastAsia="Malgun Gothic" w:hAnsi="Arial" w:cs="Arial"/>
                  <w:sz w:val="16"/>
                  <w:szCs w:val="16"/>
                  <w:lang w:eastAsia="ko-KR"/>
                </w:rPr>
                <w:t xml:space="preserve"> SL PRS</w:t>
              </w:r>
            </w:ins>
            <w:r w:rsidRPr="00BC0551">
              <w:rPr>
                <w:rFonts w:ascii="Arial" w:eastAsia="Malgun Gothic" w:hAnsi="Arial" w:cs="Arial"/>
                <w:sz w:val="16"/>
                <w:szCs w:val="16"/>
                <w:lang w:eastAsia="ko-KR"/>
              </w:rPr>
              <w:t xml:space="preserve"> resource for transmission </w:t>
            </w:r>
            <m:oMath>
              <m:sSub>
                <m:sSubPr>
                  <m:ctrlPr>
                    <w:rPr>
                      <w:rFonts w:ascii="Cambria Math" w:eastAsia="SimSun" w:hAnsi="Cambria Math" w:cs="Arial"/>
                      <w:i/>
                      <w:sz w:val="16"/>
                      <w:szCs w:val="16"/>
                      <w:lang w:val="zh-CN" w:eastAsia="en-GB"/>
                    </w:rPr>
                  </m:ctrlPr>
                </m:sSubPr>
                <m:e>
                  <m:r>
                    <w:rPr>
                      <w:rFonts w:ascii="Cambria Math" w:eastAsia="SimSun" w:hAnsi="Cambria Math" w:cs="Arial"/>
                      <w:sz w:val="16"/>
                      <w:szCs w:val="16"/>
                      <w:lang w:val="zh-CN" w:eastAsia="en-GB"/>
                    </w:rPr>
                    <m:t>R</m:t>
                  </m:r>
                </m:e>
                <m:sub>
                  <m:r>
                    <m:rPr>
                      <m:nor/>
                    </m:rPr>
                    <w:rPr>
                      <w:rFonts w:ascii="Arial" w:eastAsia="SimSun" w:hAnsi="Arial" w:cs="Arial"/>
                      <w:sz w:val="16"/>
                      <w:szCs w:val="16"/>
                      <w:lang w:eastAsia="en-GB"/>
                    </w:rPr>
                    <m:t>x,y</m:t>
                  </m:r>
                  <m:ctrlPr>
                    <w:rPr>
                      <w:rFonts w:ascii="Cambria Math" w:eastAsia="SimSun" w:hAnsi="Cambria Math" w:cs="Arial"/>
                      <w:sz w:val="16"/>
                      <w:szCs w:val="16"/>
                      <w:lang w:val="zh-CN" w:eastAsia="en-GB"/>
                    </w:rPr>
                  </m:ctrlPr>
                </m:sub>
              </m:sSub>
            </m:oMath>
            <w:r w:rsidRPr="00BC0551">
              <w:rPr>
                <w:rFonts w:ascii="Arial" w:eastAsia="Malgun Gothic" w:hAnsi="Arial" w:cs="Arial"/>
                <w:sz w:val="16"/>
                <w:szCs w:val="16"/>
                <w:lang w:eastAsia="ko-KR"/>
              </w:rPr>
              <w:t xml:space="preserve"> is defined as the SL PRS resource with index </w:t>
            </w:r>
            <m:oMath>
              <m:r>
                <m:rPr>
                  <m:nor/>
                </m:rPr>
                <w:rPr>
                  <w:rFonts w:ascii="Arial" w:eastAsia="Malgun Gothic" w:hAnsi="Arial" w:cs="Arial"/>
                  <w:sz w:val="16"/>
                  <w:szCs w:val="16"/>
                  <w:lang w:eastAsia="ko-KR"/>
                </w:rPr>
                <m:t>x</m:t>
              </m:r>
            </m:oMath>
            <w:r w:rsidRPr="00BC0551">
              <w:rPr>
                <w:rFonts w:ascii="Arial" w:eastAsia="Malgun Gothic" w:hAnsi="Arial" w:cs="Arial"/>
                <w:sz w:val="16"/>
                <w:szCs w:val="16"/>
                <w:lang w:eastAsia="ko-KR"/>
              </w:rPr>
              <w:t xml:space="preserve"> within the</w:t>
            </w:r>
            <w:r w:rsidRPr="00BC0551">
              <w:rPr>
                <w:rFonts w:ascii="Arial" w:eastAsia="SimSun" w:hAnsi="Arial" w:cs="Arial"/>
                <w:sz w:val="16"/>
                <w:szCs w:val="16"/>
              </w:rPr>
              <w:t xml:space="preserve"> Set of SL-PRS resource ID(s) provided by the higher layer and</w:t>
            </w:r>
            <w:r w:rsidRPr="00BC0551">
              <w:rPr>
                <w:rFonts w:ascii="Arial" w:eastAsia="Malgun Gothic" w:hAnsi="Arial" w:cs="Arial"/>
                <w:sz w:val="16"/>
                <w:szCs w:val="16"/>
                <w:lang w:eastAsia="ko-KR"/>
              </w:rPr>
              <w:t xml:space="preserve"> in slot </w:t>
            </w:r>
            <m:oMath>
              <m:sSubSup>
                <m:sSubSupPr>
                  <m:ctrlPr>
                    <w:rPr>
                      <w:rFonts w:ascii="Cambria Math" w:eastAsia="Malgun Gothic" w:hAnsi="Cambria Math" w:cs="Arial"/>
                      <w:i/>
                      <w:sz w:val="16"/>
                      <w:szCs w:val="16"/>
                      <w:lang w:val="zh-CN"/>
                    </w:rPr>
                  </m:ctrlPr>
                </m:sSubSupPr>
                <m:e>
                  <m:r>
                    <w:rPr>
                      <w:rFonts w:ascii="Cambria Math" w:eastAsia="Malgun Gothic" w:hAnsi="Cambria Math" w:cs="Arial"/>
                      <w:sz w:val="16"/>
                      <w:szCs w:val="16"/>
                      <w:lang w:val="zh-CN"/>
                    </w:rPr>
                    <m:t>t</m:t>
                  </m:r>
                  <m:r>
                    <w:rPr>
                      <w:rFonts w:ascii="Cambria Math" w:eastAsia="Malgun Gothic" w:hAnsi="Cambria Math" w:cs="Arial"/>
                      <w:sz w:val="16"/>
                      <w:szCs w:val="16"/>
                    </w:rPr>
                    <m:t>'</m:t>
                  </m:r>
                </m:e>
                <m:sub>
                  <m:r>
                    <w:rPr>
                      <w:rFonts w:ascii="Cambria Math" w:eastAsia="Malgun Gothic" w:hAnsi="Cambria Math" w:cs="Arial"/>
                      <w:sz w:val="16"/>
                      <w:szCs w:val="16"/>
                      <w:lang w:val="zh-CN"/>
                    </w:rPr>
                    <m:t>y</m:t>
                  </m:r>
                </m:sub>
                <m:sup>
                  <m:r>
                    <w:rPr>
                      <w:rFonts w:ascii="Cambria Math" w:eastAsia="Malgun Gothic" w:hAnsi="Cambria Math" w:cs="Arial"/>
                      <w:sz w:val="16"/>
                      <w:szCs w:val="16"/>
                      <w:lang w:val="zh-CN"/>
                    </w:rPr>
                    <m:t>SL</m:t>
                  </m:r>
                </m:sup>
              </m:sSubSup>
            </m:oMath>
          </w:p>
          <w:p w14:paraId="5A5B698C" w14:textId="77777777" w:rsidR="00BC0551" w:rsidRPr="00BC0551" w:rsidRDefault="00BC0551" w:rsidP="00BC0551">
            <w:pPr>
              <w:ind w:left="568" w:hanging="284"/>
              <w:rPr>
                <w:rFonts w:ascii="Arial" w:eastAsia="Malgun Gothic" w:hAnsi="Arial" w:cs="Arial"/>
                <w:sz w:val="16"/>
                <w:szCs w:val="16"/>
                <w:lang w:eastAsia="ko-KR"/>
              </w:rPr>
            </w:pPr>
            <w:r w:rsidRPr="00BC0551">
              <w:rPr>
                <w:rFonts w:ascii="Arial" w:eastAsia="Malgun Gothic" w:hAnsi="Arial" w:cs="Arial"/>
                <w:sz w:val="16"/>
                <w:szCs w:val="16"/>
                <w:lang w:eastAsia="ko-KR"/>
              </w:rPr>
              <w:t>-</w:t>
            </w:r>
            <w:r w:rsidRPr="00BC0551">
              <w:rPr>
                <w:rFonts w:ascii="Arial" w:eastAsia="Malgun Gothic" w:hAnsi="Arial" w:cs="Arial"/>
                <w:sz w:val="16"/>
                <w:szCs w:val="16"/>
                <w:lang w:eastAsia="ko-KR"/>
              </w:rPr>
              <w:tab/>
              <w:t>"SCI format 1-A” is replaced by “SCI format 1-B",</w:t>
            </w:r>
          </w:p>
          <w:p w14:paraId="7FECFC64" w14:textId="64B78CA9" w:rsidR="00BC0551" w:rsidRPr="00BC0551" w:rsidRDefault="00BC0551" w:rsidP="00BC0551">
            <w:pPr>
              <w:ind w:left="568" w:hanging="284"/>
              <w:rPr>
                <w:rFonts w:ascii="Arial" w:eastAsia="SimSun" w:hAnsi="Arial" w:cs="Arial"/>
                <w:sz w:val="16"/>
                <w:szCs w:val="16"/>
              </w:rPr>
            </w:pPr>
            <w:ins w:id="486" w:author="Mihai Enescu" w:date="2023-10-17T12:35:00Z">
              <w:r w:rsidRPr="00BC0551">
                <w:rPr>
                  <w:rFonts w:ascii="Arial" w:eastAsia="SimSun" w:hAnsi="Arial" w:cs="Arial"/>
                  <w:sz w:val="16"/>
                  <w:szCs w:val="16"/>
                </w:rPr>
                <w:t>-</w:t>
              </w:r>
            </w:ins>
            <w:r w:rsidRPr="00BC0551">
              <w:rPr>
                <w:rFonts w:ascii="Arial" w:eastAsia="SimSun" w:hAnsi="Arial" w:cs="Arial"/>
                <w:sz w:val="16"/>
                <w:szCs w:val="16"/>
              </w:rPr>
              <w:tab/>
              <w:t>In step 5</w:t>
            </w:r>
            <w:ins w:id="487" w:author="Mihai Enescu" w:date="2023-10-17T12:35:00Z">
              <w:r w:rsidRPr="00BC0551">
                <w:rPr>
                  <w:rFonts w:ascii="Arial" w:eastAsia="SimSun" w:hAnsi="Arial" w:cs="Arial"/>
                  <w:sz w:val="16"/>
                  <w:szCs w:val="16"/>
                </w:rPr>
                <w:t xml:space="preserve">, the second condition </w:t>
              </w:r>
              <w:r w:rsidRPr="00BC0551">
                <w:rPr>
                  <w:rFonts w:ascii="Arial" w:eastAsia="SimSun" w:hAnsi="Arial" w:cs="Arial"/>
                  <w:sz w:val="16"/>
                  <w:szCs w:val="16"/>
                  <w:lang w:eastAsia="zh-CN"/>
                </w:rPr>
                <w:t>is</w:t>
              </w:r>
              <w:r w:rsidRPr="00BC0551">
                <w:rPr>
                  <w:rFonts w:ascii="Arial" w:eastAsia="SimSun" w:hAnsi="Arial" w:cs="Arial"/>
                  <w:sz w:val="16"/>
                  <w:szCs w:val="16"/>
                </w:rPr>
                <w:t xml:space="preserve"> modified as follows: </w:t>
              </w:r>
              <w:r w:rsidRPr="00BC0551">
                <w:rPr>
                  <w:rFonts w:ascii="Arial" w:eastAsia="SimSun" w:hAnsi="Arial" w:cs="Arial"/>
                  <w:bCs/>
                  <w:sz w:val="16"/>
                  <w:szCs w:val="16"/>
                </w:rPr>
                <w:t xml:space="preserve">for any periodicity value allowed by the higher layer parameter </w:t>
              </w:r>
            </w:ins>
            <w:ins w:id="488" w:author="Mihai Enescu" w:date="2023-10-20T08:31:00Z">
              <w:r w:rsidRPr="00BC0551">
                <w:rPr>
                  <w:rFonts w:ascii="Arial" w:eastAsia="SimSun" w:hAnsi="Arial" w:cs="Arial"/>
                  <w:bCs/>
                  <w:i/>
                  <w:iCs/>
                  <w:sz w:val="16"/>
                  <w:szCs w:val="16"/>
                </w:rPr>
                <w:t>reservationPeriodAllowed-Dedicated-SL-PRS-RP</w:t>
              </w:r>
            </w:ins>
            <w:ins w:id="489" w:author="Mihai Enescu" w:date="2023-10-17T12:35:00Z">
              <w:r w:rsidRPr="00BC0551">
                <w:rPr>
                  <w:rFonts w:ascii="Arial" w:eastAsia="SimSun" w:hAnsi="Arial" w:cs="Arial"/>
                  <w:bCs/>
                  <w:i/>
                  <w:iCs/>
                  <w:sz w:val="16"/>
                  <w:szCs w:val="16"/>
                </w:rPr>
                <w:t xml:space="preserve"> </w:t>
              </w:r>
              <w:r w:rsidRPr="00BC0551">
                <w:rPr>
                  <w:rFonts w:ascii="Arial" w:eastAsia="SimSun" w:hAnsi="Arial" w:cs="Arial"/>
                  <w:bCs/>
                  <w:sz w:val="16"/>
                  <w:szCs w:val="16"/>
                  <w:lang w:eastAsia="zh-CN"/>
                </w:rPr>
                <w:t>and any SL PRS resource ID in the set of SL PRS resource ID(s) provided by the higher layer</w:t>
              </w:r>
              <w:r w:rsidRPr="00BC0551">
                <w:rPr>
                  <w:rFonts w:ascii="Arial" w:eastAsia="SimSun" w:hAnsi="Arial" w:cs="Arial"/>
                  <w:sz w:val="16"/>
                  <w:szCs w:val="16"/>
                  <w:lang w:eastAsia="zh-CN"/>
                </w:rPr>
                <w:t xml:space="preserve">, </w:t>
              </w:r>
              <w:r w:rsidRPr="00BC0551">
                <w:rPr>
                  <w:rFonts w:ascii="Arial" w:eastAsia="SimSun" w:hAnsi="Arial" w:cs="Arial"/>
                  <w:sz w:val="16"/>
                  <w:szCs w:val="16"/>
                </w:rPr>
                <w:t>and a</w:t>
              </w:r>
              <w:r w:rsidRPr="00BC0551">
                <w:rPr>
                  <w:rFonts w:ascii="Arial" w:eastAsia="SimSun" w:hAnsi="Arial" w:cs="Arial"/>
                  <w:sz w:val="16"/>
                  <w:szCs w:val="16"/>
                  <w:lang w:eastAsia="zh-CN"/>
                </w:rPr>
                <w:t xml:space="preserve"> </w:t>
              </w:r>
              <w:r w:rsidRPr="00BC0551">
                <w:rPr>
                  <w:rFonts w:ascii="Arial" w:eastAsia="SimSun" w:hAnsi="Arial" w:cs="Arial"/>
                  <w:bCs/>
                  <w:sz w:val="16"/>
                  <w:szCs w:val="16"/>
                </w:rPr>
                <w:t>hypothetical SCI format 1-B</w:t>
              </w:r>
              <w:r w:rsidRPr="00BC0551">
                <w:rPr>
                  <w:rFonts w:ascii="Arial" w:eastAsia="SimSun" w:hAnsi="Arial" w:cs="Arial"/>
                  <w:sz w:val="16"/>
                  <w:szCs w:val="16"/>
                </w:rPr>
                <w:t xml:space="preserve"> received in slot </w:t>
              </w:r>
            </w:ins>
            <m:oMath>
              <m:sSubSup>
                <m:sSubSupPr>
                  <m:ctrlPr>
                    <w:ins w:id="490" w:author="Mihai Enescu" w:date="2023-10-17T12:35:00Z">
                      <w:rPr>
                        <w:rFonts w:ascii="Cambria Math" w:eastAsia="SimSun" w:hAnsi="Cambria Math" w:cs="Arial"/>
                        <w:i/>
                        <w:iCs/>
                        <w:sz w:val="16"/>
                        <w:szCs w:val="16"/>
                      </w:rPr>
                    </w:ins>
                  </m:ctrlPr>
                </m:sSubSupPr>
                <m:e>
                  <m:r>
                    <w:ins w:id="491" w:author="Mihai Enescu" w:date="2023-10-17T12:35:00Z">
                      <w:rPr>
                        <w:rFonts w:ascii="Cambria Math" w:eastAsia="SimSun" w:hAnsi="Cambria Math" w:cs="Arial"/>
                        <w:sz w:val="16"/>
                        <w:szCs w:val="16"/>
                      </w:rPr>
                      <m:t>t'</m:t>
                    </w:ins>
                  </m:r>
                </m:e>
                <m:sub>
                  <m:r>
                    <w:ins w:id="492" w:author="Mihai Enescu" w:date="2023-10-17T12:35:00Z">
                      <w:rPr>
                        <w:rFonts w:ascii="Cambria Math" w:eastAsia="SimSun" w:hAnsi="Cambria Math" w:cs="Arial"/>
                        <w:sz w:val="16"/>
                        <w:szCs w:val="16"/>
                      </w:rPr>
                      <m:t>m</m:t>
                    </w:ins>
                  </m:r>
                </m:sub>
                <m:sup>
                  <m:r>
                    <w:ins w:id="493" w:author="Mihai Enescu" w:date="2023-10-17T12:35:00Z">
                      <w:rPr>
                        <w:rFonts w:ascii="Cambria Math" w:eastAsia="SimSun" w:hAnsi="Cambria Math" w:cs="Arial"/>
                        <w:sz w:val="16"/>
                        <w:szCs w:val="16"/>
                      </w:rPr>
                      <m:t>SL</m:t>
                    </w:ins>
                  </m:r>
                </m:sup>
              </m:sSubSup>
            </m:oMath>
            <w:ins w:id="494" w:author="Mihai Enescu" w:date="2023-10-17T12:35:00Z">
              <w:r w:rsidRPr="00BC0551">
                <w:rPr>
                  <w:rFonts w:ascii="Arial" w:eastAsia="SimSun" w:hAnsi="Arial" w:cs="Arial"/>
                  <w:sz w:val="16"/>
                  <w:szCs w:val="16"/>
                </w:rPr>
                <w:t xml:space="preserve"> with '</w:t>
              </w:r>
              <w:r w:rsidRPr="00BC0551">
                <w:rPr>
                  <w:rFonts w:ascii="Arial" w:eastAsia="SimSun" w:hAnsi="Arial" w:cs="Arial"/>
                  <w:i/>
                  <w:iCs/>
                  <w:sz w:val="16"/>
                  <w:szCs w:val="16"/>
                </w:rPr>
                <w:t>Resource reservation period</w:t>
              </w:r>
              <w:r w:rsidRPr="00BC0551">
                <w:rPr>
                  <w:rFonts w:ascii="Arial" w:eastAsia="SimSun" w:hAnsi="Arial" w:cs="Arial"/>
                  <w:sz w:val="16"/>
                  <w:szCs w:val="16"/>
                </w:rPr>
                <w:t xml:space="preserve">' field set to that periodicity value and </w:t>
              </w:r>
              <w:r w:rsidRPr="00BC0551">
                <w:rPr>
                  <w:rFonts w:ascii="Arial" w:eastAsia="SimSun" w:hAnsi="Arial" w:cs="Arial"/>
                  <w:bCs/>
                  <w:sz w:val="16"/>
                  <w:szCs w:val="16"/>
                </w:rPr>
                <w:t xml:space="preserve">indicating </w:t>
              </w:r>
              <w:r w:rsidRPr="00BC0551">
                <w:rPr>
                  <w:rFonts w:ascii="Arial" w:eastAsia="SimSun" w:hAnsi="Arial" w:cs="Arial"/>
                  <w:bCs/>
                  <w:sz w:val="16"/>
                  <w:szCs w:val="16"/>
                  <w:lang w:eastAsia="zh-CN"/>
                </w:rPr>
                <w:t>that</w:t>
              </w:r>
              <w:r w:rsidRPr="00BC0551">
                <w:rPr>
                  <w:rFonts w:ascii="Arial" w:eastAsia="SimSun" w:hAnsi="Arial" w:cs="Arial"/>
                  <w:bCs/>
                  <w:sz w:val="16"/>
                  <w:szCs w:val="16"/>
                </w:rPr>
                <w:t xml:space="preserve"> SL-PRS resource ID</w:t>
              </w:r>
              <w:r w:rsidRPr="00BC0551">
                <w:rPr>
                  <w:rFonts w:ascii="Arial" w:eastAsia="SimSun" w:hAnsi="Arial" w:cs="Arial"/>
                  <w:sz w:val="16"/>
                  <w:szCs w:val="16"/>
                </w:rPr>
                <w:t>, condition c in step 6 would be met.</w:t>
              </w:r>
            </w:ins>
            <w:del w:id="495" w:author="Mihai Enescu" w:date="2023-10-17T12:35:00Z">
              <w:r w:rsidRPr="00BC0551">
                <w:rPr>
                  <w:rFonts w:ascii="Arial" w:eastAsia="SimSun" w:hAnsi="Arial" w:cs="Arial"/>
                  <w:sz w:val="16"/>
                  <w:szCs w:val="16"/>
                </w:rPr>
                <w:delText xml:space="preserve"> []</w:delText>
              </w:r>
            </w:del>
          </w:p>
          <w:p w14:paraId="419B950B" w14:textId="77777777" w:rsidR="00BC0551" w:rsidRPr="00BC0551" w:rsidRDefault="00BC0551" w:rsidP="00995997">
            <w:pPr>
              <w:ind w:left="568" w:hanging="284"/>
              <w:rPr>
                <w:rFonts w:ascii="Arial" w:eastAsia="MS Mincho" w:hAnsi="Arial" w:cs="Arial"/>
                <w:sz w:val="16"/>
                <w:szCs w:val="16"/>
              </w:rPr>
            </w:pPr>
            <w:r w:rsidRPr="00BC0551">
              <w:rPr>
                <w:rFonts w:ascii="Arial" w:eastAsia="MS Mincho" w:hAnsi="Arial" w:cs="Arial"/>
                <w:sz w:val="16"/>
                <w:szCs w:val="16"/>
              </w:rPr>
              <w:t>-</w:t>
            </w:r>
            <w:r w:rsidRPr="00BC0551">
              <w:rPr>
                <w:rFonts w:ascii="Arial" w:eastAsia="MS Mincho" w:hAnsi="Arial" w:cs="Arial"/>
                <w:sz w:val="16"/>
                <w:szCs w:val="16"/>
              </w:rPr>
              <w:tab/>
              <w:t>In condition b of step 6, the RSRP measurement is the PSCCH-RSRP over the DM-RS resource elements of the PSSCH;</w:t>
            </w:r>
          </w:p>
          <w:p w14:paraId="08B1A5A2" w14:textId="77777777" w:rsidR="00BC0551" w:rsidRPr="00BC0551" w:rsidRDefault="00BC0551" w:rsidP="00995997">
            <w:pPr>
              <w:ind w:left="568" w:hanging="284"/>
              <w:rPr>
                <w:rFonts w:ascii="Arial" w:eastAsia="MS Mincho" w:hAnsi="Arial" w:cs="Arial"/>
                <w:sz w:val="16"/>
                <w:szCs w:val="16"/>
              </w:rPr>
            </w:pPr>
            <w:r w:rsidRPr="00BC0551">
              <w:rPr>
                <w:rFonts w:ascii="Arial" w:eastAsia="MS Mincho" w:hAnsi="Arial" w:cs="Arial"/>
                <w:sz w:val="16"/>
                <w:szCs w:val="16"/>
              </w:rPr>
              <w:t>-</w:t>
            </w:r>
            <w:r w:rsidRPr="00BC0551">
              <w:rPr>
                <w:rFonts w:ascii="Arial" w:eastAsia="MS Mincho" w:hAnsi="Arial" w:cs="Arial"/>
                <w:sz w:val="16"/>
                <w:szCs w:val="16"/>
              </w:rPr>
              <w:tab/>
              <w:t>In condition c of step 6 "determines according to clause 8.1.5 the set of resource blocks and slots" is replaced by "determines according to clause 8.2.4.</w:t>
            </w:r>
            <w:del w:id="496" w:author="CATT" w:date="2023-10-26T15:16:00Z">
              <w:r w:rsidRPr="00BC0551">
                <w:rPr>
                  <w:rFonts w:ascii="Arial" w:eastAsia="MS Mincho" w:hAnsi="Arial" w:cs="Arial"/>
                  <w:sz w:val="16"/>
                  <w:szCs w:val="16"/>
                </w:rPr>
                <w:delText xml:space="preserve">X </w:delText>
              </w:r>
            </w:del>
            <w:ins w:id="497" w:author="CATT" w:date="2023-10-26T15:16:00Z">
              <w:r w:rsidRPr="00BC0551">
                <w:rPr>
                  <w:rFonts w:ascii="Arial" w:eastAsia="MS Mincho" w:hAnsi="Arial" w:cs="Arial"/>
                  <w:sz w:val="16"/>
                  <w:szCs w:val="16"/>
                </w:rPr>
                <w:t xml:space="preserve">2A </w:t>
              </w:r>
            </w:ins>
            <w:r w:rsidRPr="00BC0551">
              <w:rPr>
                <w:rFonts w:ascii="Arial" w:eastAsia="MS Mincho" w:hAnsi="Arial" w:cs="Arial"/>
                <w:sz w:val="16"/>
                <w:szCs w:val="16"/>
              </w:rPr>
              <w:t>the set of slots and SL PRS resources".</w:t>
            </w:r>
          </w:p>
          <w:p w14:paraId="222BFB24" w14:textId="77777777" w:rsidR="00BC0551" w:rsidRPr="00BC0551" w:rsidRDefault="00BC0551" w:rsidP="00BC0551">
            <w:pPr>
              <w:ind w:left="568" w:hanging="284"/>
              <w:jc w:val="center"/>
              <w:rPr>
                <w:rFonts w:ascii="Arial" w:eastAsia="Malgun Gothic" w:hAnsi="Arial" w:cs="Arial"/>
                <w:b/>
                <w:bCs/>
                <w:color w:val="FF0000"/>
                <w:sz w:val="16"/>
                <w:szCs w:val="16"/>
                <w:lang w:eastAsia="ko-KR"/>
              </w:rPr>
            </w:pPr>
            <w:r w:rsidRPr="00BC0551">
              <w:rPr>
                <w:rFonts w:ascii="Arial" w:eastAsia="Malgun Gothic" w:hAnsi="Arial" w:cs="Arial"/>
                <w:b/>
                <w:bCs/>
                <w:color w:val="FF0000"/>
                <w:sz w:val="16"/>
                <w:szCs w:val="16"/>
                <w:lang w:eastAsia="ko-KR"/>
              </w:rPr>
              <w:t>&lt;&lt;&lt; UNCHANGED PARTS OMITTED &gt;&gt;&gt;</w:t>
            </w:r>
          </w:p>
          <w:p w14:paraId="32C29CC2" w14:textId="5BE1CFE0" w:rsidR="00BC0551" w:rsidRPr="00BC0551" w:rsidRDefault="00BC0551" w:rsidP="00BC0551">
            <w:pPr>
              <w:jc w:val="both"/>
              <w:rPr>
                <w:rFonts w:ascii="Arial" w:hAnsi="Arial" w:cs="Arial"/>
                <w:sz w:val="16"/>
                <w:szCs w:val="16"/>
                <w:lang w:eastAsia="ko-KR"/>
              </w:rPr>
            </w:pPr>
            <w:r w:rsidRPr="00BC0551">
              <w:rPr>
                <w:rFonts w:ascii="Arial" w:eastAsia="Times New Roman" w:hAnsi="Arial" w:cs="Arial"/>
                <w:color w:val="FF0000"/>
                <w:sz w:val="16"/>
                <w:szCs w:val="16"/>
                <w:lang w:val="en-US" w:eastAsia="zh-CN"/>
              </w:rPr>
              <w:t xml:space="preserve">-------------------------- End of text proposal to TS 38.214 v18.0.0 with draft CR </w:t>
            </w:r>
            <w:hyperlink r:id="rId1153" w:history="1">
              <w:r w:rsidR="00AF7253">
                <w:rPr>
                  <w:rStyle w:val="Hyperlink"/>
                  <w:rFonts w:ascii="Arial" w:eastAsia="Times New Roman" w:hAnsi="Arial" w:cs="Arial"/>
                  <w:sz w:val="16"/>
                  <w:szCs w:val="16"/>
                  <w:lang w:val="en-US" w:eastAsia="zh-CN"/>
                </w:rPr>
                <w:t>R1-2310764</w:t>
              </w:r>
            </w:hyperlink>
            <w:r w:rsidRPr="00BC0551">
              <w:rPr>
                <w:rFonts w:ascii="Arial" w:eastAsia="Times New Roman" w:hAnsi="Arial" w:cs="Arial"/>
                <w:color w:val="FF0000"/>
                <w:sz w:val="16"/>
                <w:szCs w:val="16"/>
                <w:lang w:val="en-US" w:eastAsia="zh-CN"/>
              </w:rPr>
              <w:t>-------------------------</w:t>
            </w:r>
          </w:p>
        </w:tc>
      </w:tr>
    </w:tbl>
    <w:p w14:paraId="1CEFBD23" w14:textId="77777777" w:rsidR="00BC0551" w:rsidRPr="00995997" w:rsidRDefault="00BC0551" w:rsidP="00995997">
      <w:pPr>
        <w:rPr>
          <w:rFonts w:ascii="Times New Roman" w:hAnsi="Times New Roman"/>
          <w:szCs w:val="20"/>
        </w:rPr>
      </w:pPr>
    </w:p>
    <w:p w14:paraId="0CC618BF" w14:textId="77777777" w:rsidR="00BC0551" w:rsidRPr="00995997" w:rsidRDefault="00BC0551" w:rsidP="00995997">
      <w:pPr>
        <w:rPr>
          <w:rFonts w:ascii="Times New Roman" w:hAnsi="Times New Roman"/>
          <w:szCs w:val="20"/>
        </w:rPr>
      </w:pPr>
      <w:r w:rsidRPr="00995997">
        <w:rPr>
          <w:rFonts w:ascii="Times New Roman" w:hAnsi="Times New Roman"/>
          <w:szCs w:val="20"/>
          <w:highlight w:val="green"/>
        </w:rPr>
        <w:t>Agreement</w:t>
      </w:r>
    </w:p>
    <w:p w14:paraId="26B01B20" w14:textId="77777777" w:rsidR="00BC0551" w:rsidRPr="00995997" w:rsidRDefault="00BC0551" w:rsidP="00995997">
      <w:pPr>
        <w:rPr>
          <w:rFonts w:ascii="Times New Roman" w:eastAsia="Malgun Gothic" w:hAnsi="Times New Roman"/>
          <w:szCs w:val="20"/>
        </w:rPr>
      </w:pPr>
      <w:r w:rsidRPr="00995997">
        <w:rPr>
          <w:rFonts w:ascii="Times New Roman" w:eastAsia="Malgun Gothic" w:hAnsi="Times New Roman"/>
          <w:szCs w:val="20"/>
        </w:rPr>
        <w:t>Send an LS to RAN2 and RAN3 with the following:</w:t>
      </w:r>
    </w:p>
    <w:p w14:paraId="4D0D55E5" w14:textId="77777777" w:rsidR="00BC0551" w:rsidRPr="00995997" w:rsidRDefault="00BC0551" w:rsidP="00A67145">
      <w:pPr>
        <w:pStyle w:val="ListParagraph"/>
        <w:numPr>
          <w:ilvl w:val="0"/>
          <w:numId w:val="210"/>
        </w:numPr>
      </w:pPr>
      <w:r w:rsidRPr="00995997">
        <w:rPr>
          <w:rFonts w:eastAsia="Malgun Gothic"/>
        </w:rPr>
        <w:t>From RAN1 perspective, for scheme 1, it is important for the following request to be specified:</w:t>
      </w:r>
    </w:p>
    <w:p w14:paraId="13A4FFAC" w14:textId="77777777" w:rsidR="00BC0551" w:rsidRPr="00995997" w:rsidRDefault="00BC0551" w:rsidP="00A67145">
      <w:pPr>
        <w:pStyle w:val="ListParagraph"/>
        <w:numPr>
          <w:ilvl w:val="1"/>
          <w:numId w:val="210"/>
        </w:numPr>
      </w:pPr>
      <w:r w:rsidRPr="00995997">
        <w:rPr>
          <w:rFonts w:eastAsia="Malgun Gothic"/>
        </w:rPr>
        <w:t>a gNB is able to receive a request from either LMF or UE for SL-PRS bandwidth</w:t>
      </w:r>
    </w:p>
    <w:p w14:paraId="3BF115EB" w14:textId="77777777" w:rsidR="00BC0551" w:rsidRPr="00995997" w:rsidRDefault="00BC0551" w:rsidP="00A67145">
      <w:pPr>
        <w:pStyle w:val="ListParagraph"/>
        <w:numPr>
          <w:ilvl w:val="0"/>
          <w:numId w:val="210"/>
        </w:numPr>
      </w:pPr>
      <w:r w:rsidRPr="00995997">
        <w:t>Action to RAN2 and RAN3 to consider how to specify support for such request, if not already specified.</w:t>
      </w:r>
    </w:p>
    <w:p w14:paraId="5435064D" w14:textId="77777777" w:rsidR="00BC0551" w:rsidRPr="00FD5134" w:rsidRDefault="00BC0551" w:rsidP="00995997">
      <w:pPr>
        <w:rPr>
          <w:rFonts w:ascii="Times New Roman" w:hAnsi="Times New Roman"/>
          <w:szCs w:val="20"/>
        </w:rPr>
      </w:pPr>
      <w:r w:rsidRPr="00FD5134">
        <w:rPr>
          <w:rFonts w:ascii="Times New Roman" w:hAnsi="Times New Roman"/>
          <w:szCs w:val="20"/>
        </w:rPr>
        <w:t>Comeback for draft LS on Friday.</w:t>
      </w:r>
    </w:p>
    <w:p w14:paraId="6CD1C30D" w14:textId="080ADA02" w:rsidR="00FD5134" w:rsidRPr="00FD5134" w:rsidRDefault="005A18DC" w:rsidP="00FD5134">
      <w:pPr>
        <w:rPr>
          <w:rFonts w:ascii="Times New Roman" w:hAnsi="Times New Roman"/>
          <w:b/>
          <w:bCs/>
          <w:szCs w:val="20"/>
        </w:rPr>
      </w:pPr>
      <w:hyperlink r:id="rId1154" w:history="1">
        <w:r w:rsidR="00AF7253">
          <w:rPr>
            <w:rStyle w:val="Hyperlink"/>
            <w:rFonts w:ascii="Times New Roman" w:hAnsi="Times New Roman"/>
            <w:b/>
            <w:bCs/>
            <w:szCs w:val="20"/>
          </w:rPr>
          <w:t>R1-2312629</w:t>
        </w:r>
      </w:hyperlink>
      <w:r w:rsidR="00FD5134" w:rsidRPr="00FD5134">
        <w:rPr>
          <w:rFonts w:ascii="Times New Roman" w:hAnsi="Times New Roman"/>
          <w:b/>
          <w:bCs/>
          <w:szCs w:val="20"/>
        </w:rPr>
        <w:tab/>
        <w:t>Draft LS on the request for specific SL PRS resource characteristic(s)/SL-PRS resource configuration</w:t>
      </w:r>
      <w:r w:rsidR="00FD5134" w:rsidRPr="00FD5134">
        <w:rPr>
          <w:rFonts w:ascii="Times New Roman" w:hAnsi="Times New Roman"/>
          <w:b/>
          <w:bCs/>
          <w:szCs w:val="20"/>
        </w:rPr>
        <w:tab/>
        <w:t>Qualcomm Incorporated</w:t>
      </w:r>
    </w:p>
    <w:p w14:paraId="705A3FC1" w14:textId="69746670" w:rsidR="00FD5134" w:rsidRDefault="00FD5134" w:rsidP="00FD5134">
      <w:pPr>
        <w:rPr>
          <w:rFonts w:cs="Times"/>
          <w:szCs w:val="20"/>
          <w:lang w:eastAsia="x-none"/>
        </w:rPr>
      </w:pPr>
      <w:r w:rsidRPr="00FD5134">
        <w:rPr>
          <w:rFonts w:ascii="Times New Roman" w:hAnsi="Times New Roman"/>
          <w:b/>
          <w:bCs/>
          <w:szCs w:val="20"/>
        </w:rPr>
        <w:t>Friday decision:</w:t>
      </w:r>
      <w:r>
        <w:rPr>
          <w:rFonts w:ascii="Times New Roman" w:hAnsi="Times New Roman"/>
          <w:szCs w:val="20"/>
        </w:rPr>
        <w:t xml:space="preserve"> </w:t>
      </w:r>
      <w:r>
        <w:rPr>
          <w:rFonts w:cs="Times"/>
          <w:szCs w:val="20"/>
          <w:lang w:eastAsia="x-none"/>
        </w:rPr>
        <w:t xml:space="preserve">The draft LS in </w:t>
      </w:r>
      <w:hyperlink r:id="rId1155" w:history="1">
        <w:r w:rsidR="00AF7253">
          <w:rPr>
            <w:rStyle w:val="Hyperlink"/>
            <w:rFonts w:cs="Times"/>
            <w:szCs w:val="20"/>
            <w:lang w:eastAsia="x-none"/>
          </w:rPr>
          <w:t>R1-2312629</w:t>
        </w:r>
      </w:hyperlink>
      <w:r>
        <w:rPr>
          <w:rFonts w:cs="Times"/>
          <w:szCs w:val="20"/>
          <w:lang w:eastAsia="x-none"/>
        </w:rPr>
        <w:t xml:space="preserve"> is endorsed, with clarification that it goes to RAN WG2 and RAN WG3. Final LS is </w:t>
      </w:r>
      <w:r w:rsidRPr="007B3936">
        <w:rPr>
          <w:rFonts w:cs="Times"/>
          <w:szCs w:val="20"/>
          <w:highlight w:val="green"/>
          <w:lang w:eastAsia="x-none"/>
        </w:rPr>
        <w:t xml:space="preserve">approved in </w:t>
      </w:r>
      <w:hyperlink r:id="rId1156" w:history="1">
        <w:r w:rsidR="00AF7253">
          <w:rPr>
            <w:rStyle w:val="Hyperlink"/>
            <w:rFonts w:cs="Times"/>
            <w:szCs w:val="20"/>
            <w:highlight w:val="green"/>
            <w:lang w:eastAsia="x-none"/>
          </w:rPr>
          <w:t>R1-2312630</w:t>
        </w:r>
      </w:hyperlink>
      <w:r>
        <w:rPr>
          <w:rFonts w:cs="Times"/>
          <w:szCs w:val="20"/>
          <w:lang w:eastAsia="x-none"/>
        </w:rPr>
        <w:t>.</w:t>
      </w:r>
    </w:p>
    <w:p w14:paraId="113F8959" w14:textId="514CD05D" w:rsidR="00BC0551" w:rsidRPr="00995997" w:rsidRDefault="00BC0551" w:rsidP="00995997">
      <w:pPr>
        <w:rPr>
          <w:rFonts w:ascii="Times New Roman" w:hAnsi="Times New Roman"/>
          <w:szCs w:val="20"/>
        </w:rPr>
      </w:pPr>
    </w:p>
    <w:p w14:paraId="4D84D8D9" w14:textId="77777777" w:rsidR="00BC0551" w:rsidRPr="00995997" w:rsidRDefault="00BC0551" w:rsidP="00995997">
      <w:pPr>
        <w:rPr>
          <w:rFonts w:ascii="Times New Roman" w:hAnsi="Times New Roman"/>
          <w:szCs w:val="20"/>
        </w:rPr>
      </w:pPr>
    </w:p>
    <w:p w14:paraId="7C7FDB8A" w14:textId="77777777" w:rsidR="00BC0551" w:rsidRPr="00995997" w:rsidRDefault="00BC0551" w:rsidP="00995997">
      <w:pPr>
        <w:rPr>
          <w:rFonts w:ascii="Times New Roman" w:hAnsi="Times New Roman"/>
          <w:szCs w:val="20"/>
        </w:rPr>
      </w:pPr>
      <w:r w:rsidRPr="00995997">
        <w:rPr>
          <w:rFonts w:ascii="Times New Roman" w:hAnsi="Times New Roman"/>
          <w:szCs w:val="20"/>
          <w:highlight w:val="green"/>
        </w:rPr>
        <w:t>Agreement</w:t>
      </w:r>
    </w:p>
    <w:p w14:paraId="50162DC0" w14:textId="77777777" w:rsidR="00BC0551" w:rsidRPr="00995997" w:rsidRDefault="00BC0551" w:rsidP="00995997">
      <w:pPr>
        <w:rPr>
          <w:rFonts w:ascii="Times New Roman" w:eastAsia="Malgun Gothic" w:hAnsi="Times New Roman"/>
          <w:szCs w:val="20"/>
        </w:rPr>
      </w:pPr>
      <w:r w:rsidRPr="00995997">
        <w:rPr>
          <w:rFonts w:ascii="Times New Roman" w:eastAsia="Malgun Gothic" w:hAnsi="Times New Roman"/>
          <w:szCs w:val="20"/>
        </w:rPr>
        <w:t>The total number of SL configured grants (including both Type1 and Type2) at a UE across all resource pools is not larger than 8.</w:t>
      </w:r>
    </w:p>
    <w:p w14:paraId="7DE5F8E3" w14:textId="77777777" w:rsidR="00BC0551" w:rsidRPr="00995997" w:rsidRDefault="00BC0551" w:rsidP="00995997">
      <w:pPr>
        <w:rPr>
          <w:rFonts w:ascii="Times New Roman" w:hAnsi="Times New Roman"/>
          <w:szCs w:val="20"/>
        </w:rPr>
      </w:pPr>
    </w:p>
    <w:p w14:paraId="7A8A0A02" w14:textId="77777777" w:rsidR="00BC0551" w:rsidRPr="00995997" w:rsidRDefault="00BC0551" w:rsidP="00995997">
      <w:pPr>
        <w:rPr>
          <w:rFonts w:ascii="Times New Roman" w:hAnsi="Times New Roman"/>
          <w:szCs w:val="20"/>
        </w:rPr>
      </w:pPr>
      <w:r w:rsidRPr="00995997">
        <w:rPr>
          <w:rFonts w:ascii="Times New Roman" w:hAnsi="Times New Roman"/>
          <w:szCs w:val="20"/>
          <w:highlight w:val="green"/>
        </w:rPr>
        <w:t>Agreement</w:t>
      </w:r>
    </w:p>
    <w:p w14:paraId="1CAEDE26" w14:textId="77777777" w:rsidR="00BC0551" w:rsidRPr="00995997" w:rsidRDefault="00BC0551" w:rsidP="00995997">
      <w:pPr>
        <w:rPr>
          <w:rFonts w:ascii="Times New Roman" w:eastAsia="Malgun Gothic" w:hAnsi="Times New Roman"/>
          <w:szCs w:val="20"/>
        </w:rPr>
      </w:pPr>
      <w:r w:rsidRPr="00995997">
        <w:rPr>
          <w:rFonts w:ascii="Times New Roman" w:eastAsia="Malgun Gothic" w:hAnsi="Times New Roman"/>
          <w:szCs w:val="20"/>
        </w:rPr>
        <w:t xml:space="preserve">For support of IUC in shared SL PRS resource pool, value 1 of parameter </w:t>
      </w:r>
      <w:r w:rsidRPr="00995997">
        <w:rPr>
          <w:rFonts w:ascii="Times New Roman" w:eastAsia="Malgun Gothic" w:hAnsi="Times New Roman"/>
          <w:i/>
          <w:iCs/>
          <w:szCs w:val="20"/>
        </w:rPr>
        <w:t>sl-TriggerConditionRequest</w:t>
      </w:r>
      <w:r w:rsidRPr="00995997">
        <w:rPr>
          <w:rFonts w:ascii="Times New Roman" w:eastAsia="Malgun Gothic" w:hAnsi="Times New Roman"/>
          <w:szCs w:val="20"/>
        </w:rPr>
        <w:t xml:space="preserve"> means the explicit request can be triggered only when UE-B has data </w:t>
      </w:r>
      <w:r w:rsidRPr="00995997">
        <w:rPr>
          <w:rFonts w:ascii="Times New Roman" w:eastAsia="Malgun Gothic" w:hAnsi="Times New Roman"/>
          <w:b/>
          <w:bCs/>
          <w:i/>
          <w:iCs/>
          <w:szCs w:val="20"/>
          <w:u w:val="single"/>
        </w:rPr>
        <w:t>or SL PRS</w:t>
      </w:r>
      <w:r w:rsidRPr="00995997">
        <w:rPr>
          <w:rFonts w:ascii="Times New Roman" w:eastAsia="Malgun Gothic" w:hAnsi="Times New Roman"/>
          <w:szCs w:val="20"/>
        </w:rPr>
        <w:t xml:space="preserve"> to be transmitted to UE-A. </w:t>
      </w:r>
    </w:p>
    <w:p w14:paraId="7B8D0F2C" w14:textId="77777777" w:rsidR="00BC0551" w:rsidRPr="00995997" w:rsidRDefault="00BC0551" w:rsidP="00A67145">
      <w:pPr>
        <w:pStyle w:val="ListParagraph"/>
        <w:numPr>
          <w:ilvl w:val="0"/>
          <w:numId w:val="209"/>
        </w:numPr>
        <w:rPr>
          <w:rFonts w:eastAsia="Malgun Gothic"/>
        </w:rPr>
      </w:pPr>
      <w:r w:rsidRPr="00995997">
        <w:rPr>
          <w:rFonts w:eastAsia="Malgun Gothic"/>
        </w:rPr>
        <w:t>Including this into the higher parameter list.</w:t>
      </w:r>
    </w:p>
    <w:p w14:paraId="36BF6E7F" w14:textId="77777777" w:rsidR="00F74A6F" w:rsidRPr="009537ED" w:rsidRDefault="00F74A6F" w:rsidP="00CA0940">
      <w:pPr>
        <w:pStyle w:val="Heading3"/>
      </w:pPr>
      <w:bookmarkStart w:id="498" w:name="_Toc150174461"/>
      <w:bookmarkStart w:id="499" w:name="_Toc159251003"/>
      <w:r w:rsidRPr="009537ED">
        <w:t>NR DL and UL carrier phase positioning</w:t>
      </w:r>
      <w:bookmarkEnd w:id="498"/>
      <w:bookmarkEnd w:id="499"/>
    </w:p>
    <w:p w14:paraId="68FEC8EA" w14:textId="00D5D52F" w:rsidR="00F74A6F" w:rsidRPr="009537ED" w:rsidRDefault="005A18DC" w:rsidP="00F74A6F">
      <w:pPr>
        <w:rPr>
          <w:lang w:eastAsia="x-none"/>
        </w:rPr>
      </w:pPr>
      <w:hyperlink r:id="rId1157" w:history="1">
        <w:r w:rsidR="00AF7253">
          <w:rPr>
            <w:rStyle w:val="Hyperlink"/>
            <w:lang w:eastAsia="x-none"/>
          </w:rPr>
          <w:t>R1-2310839</w:t>
        </w:r>
      </w:hyperlink>
      <w:r w:rsidR="00F74A6F" w:rsidRPr="009537ED">
        <w:rPr>
          <w:lang w:eastAsia="x-none"/>
        </w:rPr>
        <w:tab/>
        <w:t>Maintenance of CPP</w:t>
      </w:r>
      <w:r w:rsidR="00F74A6F" w:rsidRPr="009537ED">
        <w:rPr>
          <w:lang w:eastAsia="x-none"/>
        </w:rPr>
        <w:tab/>
        <w:t>Huawei, HiSilicon</w:t>
      </w:r>
    </w:p>
    <w:p w14:paraId="116E9D7D" w14:textId="5FDD0858" w:rsidR="00F74A6F" w:rsidRPr="009537ED" w:rsidRDefault="005A18DC" w:rsidP="00F74A6F">
      <w:pPr>
        <w:rPr>
          <w:lang w:eastAsia="x-none"/>
        </w:rPr>
      </w:pPr>
      <w:hyperlink r:id="rId1158" w:history="1">
        <w:r w:rsidR="00AF7253">
          <w:rPr>
            <w:rStyle w:val="Hyperlink"/>
            <w:lang w:eastAsia="x-none"/>
          </w:rPr>
          <w:t>R1-2310978</w:t>
        </w:r>
      </w:hyperlink>
      <w:r w:rsidR="00F74A6F" w:rsidRPr="009537ED">
        <w:rPr>
          <w:lang w:eastAsia="x-none"/>
        </w:rPr>
        <w:tab/>
        <w:t>Remaining issues on NR DL and UL carrier phase positioning</w:t>
      </w:r>
      <w:r w:rsidR="00F74A6F" w:rsidRPr="009537ED">
        <w:rPr>
          <w:lang w:eastAsia="x-none"/>
        </w:rPr>
        <w:tab/>
        <w:t>Nokia, Nokia Shanghai Bell</w:t>
      </w:r>
    </w:p>
    <w:p w14:paraId="5B9C8E23" w14:textId="1C95B102" w:rsidR="00F74A6F" w:rsidRPr="009537ED" w:rsidRDefault="005A18DC" w:rsidP="00F74A6F">
      <w:pPr>
        <w:rPr>
          <w:lang w:eastAsia="x-none"/>
        </w:rPr>
      </w:pPr>
      <w:hyperlink r:id="rId1159" w:history="1">
        <w:r w:rsidR="00AF7253">
          <w:rPr>
            <w:rStyle w:val="Hyperlink"/>
            <w:lang w:eastAsia="x-none"/>
          </w:rPr>
          <w:t>R1-2311097</w:t>
        </w:r>
      </w:hyperlink>
      <w:r w:rsidR="00F74A6F" w:rsidRPr="009537ED">
        <w:rPr>
          <w:lang w:eastAsia="x-none"/>
        </w:rPr>
        <w:tab/>
        <w:t>Remaining issues on carrier phase positioning</w:t>
      </w:r>
      <w:r w:rsidR="00F74A6F" w:rsidRPr="009537ED">
        <w:rPr>
          <w:lang w:eastAsia="x-none"/>
        </w:rPr>
        <w:tab/>
        <w:t>vivo</w:t>
      </w:r>
    </w:p>
    <w:p w14:paraId="2005CABB" w14:textId="6EEF9B22" w:rsidR="00F74A6F" w:rsidRPr="009537ED" w:rsidRDefault="005A18DC" w:rsidP="00F74A6F">
      <w:pPr>
        <w:rPr>
          <w:lang w:eastAsia="x-none"/>
        </w:rPr>
      </w:pPr>
      <w:hyperlink r:id="rId1160" w:history="1">
        <w:r w:rsidR="00AF7253">
          <w:rPr>
            <w:rStyle w:val="Hyperlink"/>
            <w:lang w:eastAsia="x-none"/>
          </w:rPr>
          <w:t>R1-2311144</w:t>
        </w:r>
      </w:hyperlink>
      <w:r w:rsidR="00F74A6F" w:rsidRPr="009537ED">
        <w:rPr>
          <w:lang w:eastAsia="x-none"/>
        </w:rPr>
        <w:tab/>
        <w:t>Maintenance for DL and UL Carrier Phase Positioning</w:t>
      </w:r>
      <w:r w:rsidR="00F74A6F" w:rsidRPr="009537ED">
        <w:rPr>
          <w:lang w:eastAsia="x-none"/>
        </w:rPr>
        <w:tab/>
        <w:t>Intel Corporation</w:t>
      </w:r>
    </w:p>
    <w:p w14:paraId="193F1EA2" w14:textId="1DCD0F3B" w:rsidR="00F74A6F" w:rsidRPr="009537ED" w:rsidRDefault="005A18DC" w:rsidP="00F74A6F">
      <w:pPr>
        <w:rPr>
          <w:lang w:eastAsia="x-none"/>
        </w:rPr>
      </w:pPr>
      <w:hyperlink r:id="rId1161" w:history="1">
        <w:r w:rsidR="00AF7253">
          <w:rPr>
            <w:rStyle w:val="Hyperlink"/>
            <w:lang w:eastAsia="x-none"/>
          </w:rPr>
          <w:t>R1-2311166</w:t>
        </w:r>
      </w:hyperlink>
      <w:r w:rsidR="00F74A6F" w:rsidRPr="009537ED">
        <w:rPr>
          <w:lang w:eastAsia="x-none"/>
        </w:rPr>
        <w:tab/>
        <w:t>Remaining issues on NR DL and UL carrier phase positioning</w:t>
      </w:r>
      <w:r w:rsidR="00F74A6F" w:rsidRPr="009537ED">
        <w:rPr>
          <w:lang w:eastAsia="x-none"/>
        </w:rPr>
        <w:tab/>
        <w:t>Spreadtrum Communications</w:t>
      </w:r>
    </w:p>
    <w:p w14:paraId="2586F742" w14:textId="50516585" w:rsidR="00F74A6F" w:rsidRPr="009537ED" w:rsidRDefault="005A18DC" w:rsidP="00F74A6F">
      <w:pPr>
        <w:rPr>
          <w:lang w:eastAsia="x-none"/>
        </w:rPr>
      </w:pPr>
      <w:hyperlink r:id="rId1162" w:history="1">
        <w:r w:rsidR="00AF7253">
          <w:rPr>
            <w:rStyle w:val="Hyperlink"/>
            <w:lang w:eastAsia="x-none"/>
          </w:rPr>
          <w:t>R1-2311224</w:t>
        </w:r>
      </w:hyperlink>
      <w:r w:rsidR="00F74A6F" w:rsidRPr="009537ED">
        <w:rPr>
          <w:lang w:eastAsia="x-none"/>
        </w:rPr>
        <w:tab/>
        <w:t>Remaining Issues of NR carrier phase positioning</w:t>
      </w:r>
      <w:r w:rsidR="00F74A6F" w:rsidRPr="009537ED">
        <w:rPr>
          <w:lang w:eastAsia="x-none"/>
        </w:rPr>
        <w:tab/>
        <w:t>OPPO</w:t>
      </w:r>
    </w:p>
    <w:p w14:paraId="45C8609D" w14:textId="206AE44D" w:rsidR="00F74A6F" w:rsidRPr="009537ED" w:rsidRDefault="005A18DC" w:rsidP="00F74A6F">
      <w:pPr>
        <w:rPr>
          <w:lang w:eastAsia="x-none"/>
        </w:rPr>
      </w:pPr>
      <w:hyperlink r:id="rId1163" w:history="1">
        <w:r w:rsidR="00AF7253">
          <w:rPr>
            <w:rStyle w:val="Hyperlink"/>
            <w:lang w:eastAsia="x-none"/>
          </w:rPr>
          <w:t>R1-2311342</w:t>
        </w:r>
      </w:hyperlink>
      <w:r w:rsidR="00F74A6F" w:rsidRPr="009537ED">
        <w:rPr>
          <w:lang w:eastAsia="x-none"/>
        </w:rPr>
        <w:tab/>
        <w:t>Maintenance issues on NR DL and UL carrier phase positioning</w:t>
      </w:r>
      <w:r w:rsidR="00F74A6F" w:rsidRPr="009537ED">
        <w:rPr>
          <w:lang w:eastAsia="x-none"/>
        </w:rPr>
        <w:tab/>
        <w:t>CATT</w:t>
      </w:r>
    </w:p>
    <w:p w14:paraId="332F455F" w14:textId="47FCD7CA" w:rsidR="00F74A6F" w:rsidRPr="009537ED" w:rsidRDefault="005A18DC" w:rsidP="00F74A6F">
      <w:pPr>
        <w:rPr>
          <w:lang w:eastAsia="x-none"/>
        </w:rPr>
      </w:pPr>
      <w:hyperlink r:id="rId1164" w:history="1">
        <w:r w:rsidR="00AF7253">
          <w:rPr>
            <w:rStyle w:val="Hyperlink"/>
            <w:lang w:eastAsia="x-none"/>
          </w:rPr>
          <w:t>R1-2311404</w:t>
        </w:r>
      </w:hyperlink>
      <w:r w:rsidR="00F74A6F" w:rsidRPr="009537ED">
        <w:rPr>
          <w:lang w:eastAsia="x-none"/>
        </w:rPr>
        <w:tab/>
        <w:t>Remaining issues on NR DL and UL carrier phase positioning</w:t>
      </w:r>
      <w:r w:rsidR="00F74A6F" w:rsidRPr="009537ED">
        <w:rPr>
          <w:lang w:eastAsia="x-none"/>
        </w:rPr>
        <w:tab/>
        <w:t>xiaomi</w:t>
      </w:r>
    </w:p>
    <w:p w14:paraId="37851B4A" w14:textId="5D787585" w:rsidR="00F74A6F" w:rsidRPr="009537ED" w:rsidRDefault="005A18DC" w:rsidP="00F74A6F">
      <w:pPr>
        <w:rPr>
          <w:lang w:eastAsia="x-none"/>
        </w:rPr>
      </w:pPr>
      <w:hyperlink r:id="rId1165" w:history="1">
        <w:r w:rsidR="00AF7253">
          <w:rPr>
            <w:rStyle w:val="Hyperlink"/>
            <w:lang w:eastAsia="x-none"/>
          </w:rPr>
          <w:t>R1-2311459</w:t>
        </w:r>
      </w:hyperlink>
      <w:r w:rsidR="00F74A6F" w:rsidRPr="009537ED">
        <w:rPr>
          <w:lang w:eastAsia="x-none"/>
        </w:rPr>
        <w:tab/>
        <w:t>Maintenance on carrier phase positioning</w:t>
      </w:r>
      <w:r w:rsidR="00F74A6F" w:rsidRPr="009537ED">
        <w:rPr>
          <w:lang w:eastAsia="x-none"/>
        </w:rPr>
        <w:tab/>
        <w:t>ZTE</w:t>
      </w:r>
    </w:p>
    <w:p w14:paraId="0874AE31" w14:textId="333ED4F0" w:rsidR="00F74A6F" w:rsidRPr="009537ED" w:rsidRDefault="005A18DC" w:rsidP="00F74A6F">
      <w:pPr>
        <w:rPr>
          <w:lang w:eastAsia="x-none"/>
        </w:rPr>
      </w:pPr>
      <w:hyperlink r:id="rId1166" w:history="1">
        <w:r w:rsidR="00AF7253">
          <w:rPr>
            <w:rStyle w:val="Hyperlink"/>
            <w:lang w:eastAsia="x-none"/>
          </w:rPr>
          <w:t>R1-2311598</w:t>
        </w:r>
      </w:hyperlink>
      <w:r w:rsidR="00F74A6F" w:rsidRPr="009537ED">
        <w:rPr>
          <w:lang w:eastAsia="x-none"/>
        </w:rPr>
        <w:tab/>
        <w:t>Remaining issues for positioning based on NR carrier phase measurement</w:t>
      </w:r>
      <w:r w:rsidR="00F74A6F" w:rsidRPr="009537ED">
        <w:rPr>
          <w:lang w:eastAsia="x-none"/>
        </w:rPr>
        <w:tab/>
        <w:t>InterDigital, Inc.</w:t>
      </w:r>
    </w:p>
    <w:p w14:paraId="7F4B4C23" w14:textId="6A565DB8" w:rsidR="00F74A6F" w:rsidRPr="009537ED" w:rsidRDefault="005A18DC" w:rsidP="00F74A6F">
      <w:pPr>
        <w:rPr>
          <w:lang w:eastAsia="x-none"/>
        </w:rPr>
      </w:pPr>
      <w:hyperlink r:id="rId1167" w:history="1">
        <w:r w:rsidR="00AF7253">
          <w:rPr>
            <w:rStyle w:val="Hyperlink"/>
            <w:lang w:eastAsia="x-none"/>
          </w:rPr>
          <w:t>R1-2311622</w:t>
        </w:r>
      </w:hyperlink>
      <w:r w:rsidR="00F74A6F" w:rsidRPr="009537ED">
        <w:rPr>
          <w:lang w:eastAsia="x-none"/>
        </w:rPr>
        <w:tab/>
        <w:t>Remaining issues on NR DL and UL carrier phase positioning</w:t>
      </w:r>
      <w:r w:rsidR="00F74A6F" w:rsidRPr="009537ED">
        <w:rPr>
          <w:lang w:eastAsia="x-none"/>
        </w:rPr>
        <w:tab/>
        <w:t>NTT DOCOMO, INC.</w:t>
      </w:r>
    </w:p>
    <w:p w14:paraId="06B4DFB7" w14:textId="7884A283" w:rsidR="00F74A6F" w:rsidRPr="009537ED" w:rsidRDefault="005A18DC" w:rsidP="00F74A6F">
      <w:pPr>
        <w:rPr>
          <w:lang w:eastAsia="x-none"/>
        </w:rPr>
      </w:pPr>
      <w:hyperlink r:id="rId1168" w:history="1">
        <w:r w:rsidR="00AF7253">
          <w:rPr>
            <w:rStyle w:val="Hyperlink"/>
            <w:lang w:eastAsia="x-none"/>
          </w:rPr>
          <w:t>R1-2311685</w:t>
        </w:r>
      </w:hyperlink>
      <w:r w:rsidR="00F74A6F" w:rsidRPr="009537ED">
        <w:rPr>
          <w:lang w:eastAsia="x-none"/>
        </w:rPr>
        <w:tab/>
        <w:t>Remaining Issues On NR DL and UL carrier phase positioning</w:t>
      </w:r>
      <w:r w:rsidR="00F74A6F" w:rsidRPr="009537ED">
        <w:rPr>
          <w:lang w:eastAsia="x-none"/>
        </w:rPr>
        <w:tab/>
        <w:t>Apple</w:t>
      </w:r>
    </w:p>
    <w:p w14:paraId="63F732D7" w14:textId="2769F364" w:rsidR="00F74A6F" w:rsidRPr="009537ED" w:rsidRDefault="005A18DC" w:rsidP="00F74A6F">
      <w:pPr>
        <w:rPr>
          <w:lang w:eastAsia="x-none"/>
        </w:rPr>
      </w:pPr>
      <w:hyperlink r:id="rId1169" w:history="1">
        <w:r w:rsidR="00AF7253">
          <w:rPr>
            <w:rStyle w:val="Hyperlink"/>
            <w:lang w:eastAsia="x-none"/>
          </w:rPr>
          <w:t>R1-2311844</w:t>
        </w:r>
      </w:hyperlink>
      <w:r w:rsidR="00F74A6F" w:rsidRPr="009537ED">
        <w:rPr>
          <w:lang w:eastAsia="x-none"/>
        </w:rPr>
        <w:tab/>
        <w:t>Maintenance on NR DL and UL Carrier Phase Positioning</w:t>
      </w:r>
      <w:r w:rsidR="00F74A6F" w:rsidRPr="009537ED">
        <w:rPr>
          <w:lang w:eastAsia="x-none"/>
        </w:rPr>
        <w:tab/>
        <w:t>Samsung</w:t>
      </w:r>
    </w:p>
    <w:p w14:paraId="1D664743" w14:textId="581425A1" w:rsidR="00F74A6F" w:rsidRPr="009537ED" w:rsidRDefault="005A18DC" w:rsidP="00F74A6F">
      <w:pPr>
        <w:rPr>
          <w:lang w:eastAsia="x-none"/>
        </w:rPr>
      </w:pPr>
      <w:hyperlink r:id="rId1170" w:history="1">
        <w:r w:rsidR="00AF7253">
          <w:rPr>
            <w:rStyle w:val="Hyperlink"/>
            <w:lang w:eastAsia="x-none"/>
          </w:rPr>
          <w:t>R1-2311911</w:t>
        </w:r>
      </w:hyperlink>
      <w:r w:rsidR="00F74A6F" w:rsidRPr="009537ED">
        <w:rPr>
          <w:lang w:eastAsia="x-none"/>
        </w:rPr>
        <w:tab/>
        <w:t>Remaining issues on carrier phase positioning in NR</w:t>
      </w:r>
      <w:r w:rsidR="00F74A6F" w:rsidRPr="009537ED">
        <w:rPr>
          <w:lang w:eastAsia="x-none"/>
        </w:rPr>
        <w:tab/>
        <w:t>LG Electronics</w:t>
      </w:r>
    </w:p>
    <w:p w14:paraId="77C8910E" w14:textId="082622EA" w:rsidR="00F74A6F" w:rsidRPr="009537ED" w:rsidRDefault="005A18DC" w:rsidP="00F74A6F">
      <w:pPr>
        <w:rPr>
          <w:lang w:eastAsia="x-none"/>
        </w:rPr>
      </w:pPr>
      <w:hyperlink r:id="rId1171" w:history="1">
        <w:r w:rsidR="00AF7253">
          <w:rPr>
            <w:rStyle w:val="Hyperlink"/>
            <w:lang w:eastAsia="x-none"/>
          </w:rPr>
          <w:t>R1-2311950</w:t>
        </w:r>
      </w:hyperlink>
      <w:r w:rsidR="00F74A6F" w:rsidRPr="009537ED">
        <w:rPr>
          <w:lang w:eastAsia="x-none"/>
        </w:rPr>
        <w:tab/>
        <w:t>CPP Maintenance Discussion</w:t>
      </w:r>
      <w:r w:rsidR="00F74A6F" w:rsidRPr="009537ED">
        <w:rPr>
          <w:lang w:eastAsia="x-none"/>
        </w:rPr>
        <w:tab/>
        <w:t>Lenovo</w:t>
      </w:r>
    </w:p>
    <w:p w14:paraId="6471BD5F" w14:textId="28AB0F46" w:rsidR="00F74A6F" w:rsidRPr="009537ED" w:rsidRDefault="005A18DC" w:rsidP="00F74A6F">
      <w:pPr>
        <w:rPr>
          <w:lang w:eastAsia="x-none"/>
        </w:rPr>
      </w:pPr>
      <w:hyperlink r:id="rId1172" w:history="1">
        <w:r w:rsidR="00AF7253">
          <w:rPr>
            <w:rStyle w:val="Hyperlink"/>
            <w:lang w:eastAsia="x-none"/>
          </w:rPr>
          <w:t>R1-2312036</w:t>
        </w:r>
      </w:hyperlink>
      <w:r w:rsidR="00F74A6F" w:rsidRPr="009537ED">
        <w:rPr>
          <w:lang w:eastAsia="x-none"/>
        </w:rPr>
        <w:tab/>
        <w:t>NR Carrier Phase Positioning</w:t>
      </w:r>
      <w:r w:rsidR="00F74A6F" w:rsidRPr="009537ED">
        <w:rPr>
          <w:lang w:eastAsia="x-none"/>
        </w:rPr>
        <w:tab/>
        <w:t>Qualcomm Incorporated</w:t>
      </w:r>
    </w:p>
    <w:p w14:paraId="7A7AC5F1" w14:textId="03C270C5" w:rsidR="00F74A6F" w:rsidRPr="009537ED" w:rsidRDefault="005A18DC" w:rsidP="00F74A6F">
      <w:pPr>
        <w:rPr>
          <w:lang w:eastAsia="x-none"/>
        </w:rPr>
      </w:pPr>
      <w:hyperlink r:id="rId1173" w:history="1">
        <w:r w:rsidR="00AF7253">
          <w:rPr>
            <w:rStyle w:val="Hyperlink"/>
            <w:lang w:eastAsia="x-none"/>
          </w:rPr>
          <w:t>R1-2312119</w:t>
        </w:r>
      </w:hyperlink>
      <w:r w:rsidR="00F74A6F" w:rsidRPr="009537ED">
        <w:rPr>
          <w:lang w:eastAsia="x-none"/>
        </w:rPr>
        <w:tab/>
        <w:t>Remaining issues on NR DL and UL carrier phase positioning</w:t>
      </w:r>
      <w:r w:rsidR="00F74A6F" w:rsidRPr="009537ED">
        <w:rPr>
          <w:lang w:eastAsia="x-none"/>
        </w:rPr>
        <w:tab/>
        <w:t>Ruijie Network Co. Ltd</w:t>
      </w:r>
    </w:p>
    <w:p w14:paraId="5308A5FC" w14:textId="5AC98658" w:rsidR="00F74A6F" w:rsidRPr="009537ED" w:rsidRDefault="005A18DC" w:rsidP="00F74A6F">
      <w:pPr>
        <w:rPr>
          <w:lang w:eastAsia="x-none"/>
        </w:rPr>
      </w:pPr>
      <w:hyperlink r:id="rId1174" w:history="1">
        <w:r w:rsidR="00AF7253">
          <w:rPr>
            <w:rStyle w:val="Hyperlink"/>
            <w:lang w:eastAsia="x-none"/>
          </w:rPr>
          <w:t>R1-2312188</w:t>
        </w:r>
      </w:hyperlink>
      <w:r w:rsidR="00F74A6F" w:rsidRPr="009537ED">
        <w:rPr>
          <w:lang w:eastAsia="x-none"/>
        </w:rPr>
        <w:tab/>
        <w:t>Remaining issues on NR DL and UL carrier phase positioning</w:t>
      </w:r>
      <w:r w:rsidR="00F74A6F" w:rsidRPr="009537ED">
        <w:rPr>
          <w:lang w:eastAsia="x-none"/>
        </w:rPr>
        <w:tab/>
        <w:t>Ericsson</w:t>
      </w:r>
    </w:p>
    <w:p w14:paraId="1F96FA49" w14:textId="77777777" w:rsidR="00CA0940" w:rsidRPr="009537ED" w:rsidRDefault="00CA0940" w:rsidP="00F74A6F">
      <w:pPr>
        <w:rPr>
          <w:lang w:eastAsia="x-none"/>
        </w:rPr>
      </w:pPr>
    </w:p>
    <w:p w14:paraId="2E120788" w14:textId="44ABD00D" w:rsidR="00CA0940" w:rsidRPr="009537ED" w:rsidRDefault="005A18DC" w:rsidP="00CA0940">
      <w:pPr>
        <w:rPr>
          <w:b/>
          <w:lang w:eastAsia="x-none"/>
        </w:rPr>
      </w:pPr>
      <w:hyperlink r:id="rId1175" w:history="1">
        <w:r w:rsidR="00AF7253">
          <w:rPr>
            <w:rStyle w:val="Hyperlink"/>
            <w:b/>
            <w:lang w:eastAsia="x-none"/>
          </w:rPr>
          <w:t>R1-2312269</w:t>
        </w:r>
      </w:hyperlink>
      <w:r w:rsidR="00CA0940" w:rsidRPr="009537ED">
        <w:rPr>
          <w:b/>
          <w:lang w:eastAsia="x-none"/>
        </w:rPr>
        <w:tab/>
        <w:t>FL Summary #1 for maintenance on NR DL and UL carrier phase positioning</w:t>
      </w:r>
      <w:r w:rsidR="00CA0940" w:rsidRPr="009537ED">
        <w:rPr>
          <w:b/>
          <w:lang w:eastAsia="x-none"/>
        </w:rPr>
        <w:tab/>
        <w:t>Moderator (CATT)</w:t>
      </w:r>
    </w:p>
    <w:p w14:paraId="0F69E42F" w14:textId="77777777" w:rsidR="00CA0940" w:rsidRPr="009537ED" w:rsidRDefault="00CA0940" w:rsidP="00CA0940">
      <w:pPr>
        <w:rPr>
          <w:lang w:eastAsia="x-none"/>
        </w:rPr>
      </w:pPr>
      <w:r w:rsidRPr="009537ED">
        <w:rPr>
          <w:lang w:eastAsia="x-none"/>
        </w:rPr>
        <w:t>From Monday session</w:t>
      </w:r>
    </w:p>
    <w:p w14:paraId="4415221F" w14:textId="77777777" w:rsidR="00CA0940" w:rsidRPr="009537ED" w:rsidRDefault="00CA0940" w:rsidP="00CA0940">
      <w:r w:rsidRPr="009537ED">
        <w:t>From AI 5</w:t>
      </w:r>
    </w:p>
    <w:p w14:paraId="79CAE755" w14:textId="6266C384" w:rsidR="00CA0940" w:rsidRPr="009537ED" w:rsidRDefault="005A18DC" w:rsidP="00CA0940">
      <w:pPr>
        <w:rPr>
          <w:b/>
          <w:bCs/>
          <w:lang w:eastAsia="x-none"/>
        </w:rPr>
      </w:pPr>
      <w:hyperlink r:id="rId1176" w:history="1">
        <w:r w:rsidR="00AF7253">
          <w:rPr>
            <w:rStyle w:val="Hyperlink"/>
            <w:b/>
            <w:bCs/>
            <w:lang w:eastAsia="x-none"/>
          </w:rPr>
          <w:t>R1-2310789</w:t>
        </w:r>
      </w:hyperlink>
      <w:r w:rsidR="00CA0940" w:rsidRPr="009537ED">
        <w:rPr>
          <w:b/>
          <w:bCs/>
          <w:lang w:eastAsia="x-none"/>
        </w:rPr>
        <w:tab/>
        <w:t xml:space="preserve">Reply LS on </w:t>
      </w:r>
      <w:hyperlink r:id="rId1177" w:history="1">
        <w:r w:rsidR="00AF7253">
          <w:rPr>
            <w:rStyle w:val="Hyperlink"/>
            <w:b/>
            <w:bCs/>
            <w:lang w:eastAsia="x-none"/>
          </w:rPr>
          <w:t>R1-2308644</w:t>
        </w:r>
      </w:hyperlink>
      <w:r w:rsidR="00CA0940" w:rsidRPr="009537ED">
        <w:rPr>
          <w:b/>
          <w:bCs/>
          <w:lang w:eastAsia="x-none"/>
        </w:rPr>
        <w:t xml:space="preserve"> for CPP</w:t>
      </w:r>
      <w:r w:rsidR="00CA0940" w:rsidRPr="009537ED">
        <w:rPr>
          <w:b/>
          <w:bCs/>
          <w:lang w:eastAsia="x-none"/>
        </w:rPr>
        <w:tab/>
        <w:t>RAN2, CATT</w:t>
      </w:r>
    </w:p>
    <w:p w14:paraId="7819B38B" w14:textId="77777777" w:rsidR="00CA0940" w:rsidRPr="009537ED" w:rsidRDefault="00CA0940" w:rsidP="00CA0940">
      <w:pPr>
        <w:rPr>
          <w:lang w:eastAsia="x-none"/>
        </w:rPr>
      </w:pPr>
      <w:r w:rsidRPr="00B900EC">
        <w:rPr>
          <w:b/>
          <w:bCs/>
          <w:lang w:eastAsia="x-none"/>
        </w:rPr>
        <w:t>Decision:</w:t>
      </w:r>
      <w:r w:rsidRPr="00B900EC">
        <w:rPr>
          <w:lang w:eastAsia="x-none"/>
        </w:rPr>
        <w:t xml:space="preserve"> To be handled in agenda item 8.3 - To be moderated by Ren Da (CATT).</w:t>
      </w:r>
    </w:p>
    <w:p w14:paraId="3C123B40" w14:textId="77777777" w:rsidR="00CA0940" w:rsidRPr="009537ED" w:rsidRDefault="00CA0940" w:rsidP="00CA0940">
      <w:pPr>
        <w:rPr>
          <w:lang w:eastAsia="x-none"/>
        </w:rPr>
      </w:pPr>
      <w:r w:rsidRPr="009537ED">
        <w:rPr>
          <w:highlight w:val="green"/>
          <w:lang w:eastAsia="x-none"/>
        </w:rPr>
        <w:t>Agreement</w:t>
      </w:r>
    </w:p>
    <w:p w14:paraId="2277ECAE" w14:textId="77777777" w:rsidR="00CA0940" w:rsidRPr="009537ED" w:rsidRDefault="00CA0940" w:rsidP="00CA0940">
      <w:pPr>
        <w:rPr>
          <w:lang w:eastAsia="x-none"/>
        </w:rPr>
      </w:pPr>
      <w:r w:rsidRPr="009537ED">
        <w:rPr>
          <w:lang w:eastAsia="x-none"/>
        </w:rPr>
        <w:t>Answer to Q1 as follows:</w:t>
      </w:r>
    </w:p>
    <w:p w14:paraId="6DBF8E4C" w14:textId="77777777" w:rsidR="00CA0940" w:rsidRPr="009537ED" w:rsidRDefault="00CA0940" w:rsidP="00CA0940">
      <w:pPr>
        <w:ind w:left="720"/>
        <w:rPr>
          <w:sz w:val="18"/>
          <w:szCs w:val="18"/>
          <w:lang w:eastAsia="x-none"/>
        </w:rPr>
      </w:pPr>
      <w:r w:rsidRPr="009537ED">
        <w:rPr>
          <w:sz w:val="18"/>
          <w:szCs w:val="18"/>
          <w:lang w:eastAsia="x-none"/>
        </w:rPr>
        <w:lastRenderedPageBreak/>
        <w:t xml:space="preserve">The associated resource ID and resource Set ID in the report of RSCP can be one of the resource ID(s) and resource Set ID(s) used to obtain the associated </w:t>
      </w:r>
      <w:r w:rsidRPr="009537ED">
        <w:rPr>
          <w:rFonts w:eastAsia="Times New Roman"/>
          <w:bCs/>
          <w:sz w:val="18"/>
          <w:szCs w:val="18"/>
        </w:rPr>
        <w:t>UE Rx-Tx time difference</w:t>
      </w:r>
      <w:r w:rsidRPr="009537ED">
        <w:rPr>
          <w:sz w:val="18"/>
          <w:szCs w:val="18"/>
          <w:lang w:eastAsia="x-none"/>
        </w:rPr>
        <w:t xml:space="preserve"> when UE report these measurements, as explained below.</w:t>
      </w:r>
    </w:p>
    <w:p w14:paraId="68C2F790" w14:textId="77777777" w:rsidR="00CA0940" w:rsidRPr="009537ED" w:rsidRDefault="00CA0940" w:rsidP="00CA0940">
      <w:pPr>
        <w:ind w:left="720"/>
        <w:rPr>
          <w:sz w:val="18"/>
          <w:szCs w:val="18"/>
          <w:lang w:eastAsia="x-none"/>
        </w:rPr>
      </w:pPr>
    </w:p>
    <w:p w14:paraId="1AA03631" w14:textId="77777777" w:rsidR="00CA0940" w:rsidRPr="009537ED" w:rsidRDefault="00CA0940" w:rsidP="00CA0940">
      <w:pPr>
        <w:ind w:left="720"/>
        <w:rPr>
          <w:rFonts w:eastAsia="Times New Roman"/>
          <w:bCs/>
          <w:sz w:val="18"/>
          <w:szCs w:val="18"/>
        </w:rPr>
      </w:pPr>
      <w:r w:rsidRPr="009537ED">
        <w:rPr>
          <w:rFonts w:eastAsia="Times New Roman"/>
          <w:bCs/>
          <w:sz w:val="18"/>
          <w:szCs w:val="18"/>
        </w:rPr>
        <w:t>Each DL RSCP measurement is obtained from a single DL PRS resource, and each DL RSCP measurement is associated with a single UE Rx-Tx time difference measurement.</w:t>
      </w:r>
    </w:p>
    <w:p w14:paraId="0F4BB857" w14:textId="77777777" w:rsidR="00CA0940" w:rsidRPr="009537ED" w:rsidRDefault="00CA0940" w:rsidP="00CA0940">
      <w:pPr>
        <w:ind w:left="720"/>
        <w:rPr>
          <w:rFonts w:eastAsia="Times New Roman"/>
          <w:bCs/>
          <w:sz w:val="18"/>
          <w:szCs w:val="18"/>
        </w:rPr>
      </w:pPr>
      <w:r w:rsidRPr="009537ED">
        <w:rPr>
          <w:rFonts w:eastAsia="Times New Roman"/>
          <w:bCs/>
          <w:sz w:val="18"/>
          <w:szCs w:val="18"/>
        </w:rPr>
        <w:t>The DL PRS resource used to obtain the DL RSCP is:</w:t>
      </w:r>
    </w:p>
    <w:p w14:paraId="66EBA078" w14:textId="77777777" w:rsidR="00CA0940" w:rsidRPr="009537ED" w:rsidRDefault="00CA0940" w:rsidP="00BC5BE9">
      <w:pPr>
        <w:numPr>
          <w:ilvl w:val="0"/>
          <w:numId w:val="81"/>
        </w:numPr>
        <w:ind w:left="1440"/>
        <w:rPr>
          <w:rFonts w:eastAsia="Times New Roman"/>
          <w:bCs/>
          <w:sz w:val="18"/>
          <w:szCs w:val="18"/>
          <w:lang w:eastAsia="x-none"/>
        </w:rPr>
      </w:pPr>
      <w:r w:rsidRPr="009537ED">
        <w:rPr>
          <w:rFonts w:eastAsia="Times New Roman"/>
          <w:bCs/>
          <w:sz w:val="18"/>
          <w:szCs w:val="18"/>
          <w:lang w:eastAsia="x-none"/>
        </w:rPr>
        <w:t>the same as the DL PRS resource used to obtain the associated UE Rx-Tx time difference measurement, if the DL UE Rx-Tx time difference is obtained from a single DL PRS resource, or</w:t>
      </w:r>
    </w:p>
    <w:p w14:paraId="787804A4" w14:textId="77777777" w:rsidR="00CA0940" w:rsidRPr="009537ED" w:rsidRDefault="00CA0940" w:rsidP="00BC5BE9">
      <w:pPr>
        <w:numPr>
          <w:ilvl w:val="0"/>
          <w:numId w:val="81"/>
        </w:numPr>
        <w:ind w:left="1440"/>
        <w:rPr>
          <w:rFonts w:eastAsia="Times New Roman"/>
          <w:bCs/>
          <w:sz w:val="18"/>
          <w:szCs w:val="18"/>
          <w:lang w:eastAsia="x-none"/>
        </w:rPr>
      </w:pPr>
      <w:r w:rsidRPr="009537ED">
        <w:rPr>
          <w:rFonts w:eastAsia="Times New Roman"/>
          <w:bCs/>
          <w:sz w:val="18"/>
          <w:szCs w:val="18"/>
          <w:lang w:eastAsia="x-none"/>
        </w:rPr>
        <w:t>one of the DL PRS resources used to obtain the associated UE Rx-Tx time difference measurement, if the DL UE Rx-Tx time difference is obtained from multiple DL PRS resources.</w:t>
      </w:r>
    </w:p>
    <w:p w14:paraId="2F56FABF" w14:textId="77777777" w:rsidR="00CA0940" w:rsidRPr="009537ED" w:rsidRDefault="00CA0940" w:rsidP="00CA0940">
      <w:pPr>
        <w:ind w:left="720"/>
        <w:rPr>
          <w:sz w:val="18"/>
          <w:szCs w:val="18"/>
          <w:lang w:eastAsia="x-none"/>
        </w:rPr>
      </w:pPr>
      <w:r w:rsidRPr="009537ED">
        <w:rPr>
          <w:sz w:val="18"/>
          <w:szCs w:val="18"/>
          <w:lang w:eastAsia="x-none"/>
        </w:rPr>
        <w:t>The associated resource IDs and resource Set IDs in the report of RSCPD can be one of the resource IDs and resource Set IDs used to obtain the associated RSTD when UE report these measurements, as explained below.</w:t>
      </w:r>
    </w:p>
    <w:p w14:paraId="36DE2BE8" w14:textId="77777777" w:rsidR="00CA0940" w:rsidRPr="009537ED" w:rsidRDefault="00CA0940" w:rsidP="00CA0940">
      <w:pPr>
        <w:ind w:left="720"/>
        <w:rPr>
          <w:sz w:val="18"/>
          <w:szCs w:val="18"/>
          <w:lang w:eastAsia="x-none"/>
        </w:rPr>
      </w:pPr>
    </w:p>
    <w:p w14:paraId="044737CE" w14:textId="77777777" w:rsidR="00CA0940" w:rsidRPr="009537ED" w:rsidRDefault="00CA0940" w:rsidP="00CA0940">
      <w:pPr>
        <w:ind w:left="720"/>
        <w:rPr>
          <w:rFonts w:eastAsia="Times New Roman"/>
          <w:bCs/>
          <w:sz w:val="18"/>
          <w:szCs w:val="18"/>
        </w:rPr>
      </w:pPr>
      <w:r w:rsidRPr="009537ED">
        <w:rPr>
          <w:rFonts w:eastAsia="Times New Roman"/>
          <w:bCs/>
          <w:sz w:val="18"/>
          <w:szCs w:val="18"/>
        </w:rPr>
        <w:t>Each DL RSCPD is obtained from a pair of DL PRS resources, and each DL RSCPD is associated with a single UE RSTD measurement.</w:t>
      </w:r>
    </w:p>
    <w:p w14:paraId="3B34891E" w14:textId="77777777" w:rsidR="00CA0940" w:rsidRPr="009537ED" w:rsidRDefault="00CA0940" w:rsidP="00CA0940">
      <w:pPr>
        <w:ind w:left="720"/>
        <w:rPr>
          <w:rFonts w:eastAsia="Times New Roman"/>
          <w:bCs/>
          <w:sz w:val="18"/>
          <w:szCs w:val="18"/>
        </w:rPr>
      </w:pPr>
      <w:r w:rsidRPr="009537ED">
        <w:rPr>
          <w:rFonts w:eastAsia="Times New Roman"/>
          <w:bCs/>
          <w:sz w:val="18"/>
          <w:szCs w:val="18"/>
        </w:rPr>
        <w:t>The DL PRS resource pair used to obtain the DL RSCPD is:</w:t>
      </w:r>
    </w:p>
    <w:p w14:paraId="697D0EF9" w14:textId="77777777" w:rsidR="00CA0940" w:rsidRPr="009537ED" w:rsidRDefault="00CA0940" w:rsidP="00BC5BE9">
      <w:pPr>
        <w:numPr>
          <w:ilvl w:val="0"/>
          <w:numId w:val="81"/>
        </w:numPr>
        <w:ind w:left="1440"/>
        <w:rPr>
          <w:rFonts w:eastAsia="Times New Roman"/>
          <w:bCs/>
          <w:sz w:val="18"/>
          <w:szCs w:val="18"/>
          <w:lang w:eastAsia="x-none"/>
        </w:rPr>
      </w:pPr>
      <w:r w:rsidRPr="009537ED">
        <w:rPr>
          <w:rFonts w:eastAsia="Times New Roman"/>
          <w:bCs/>
          <w:sz w:val="18"/>
          <w:szCs w:val="18"/>
          <w:lang w:eastAsia="x-none"/>
        </w:rPr>
        <w:t xml:space="preserve">the same as the DL PRS resource pair used to obtain the associated UE RSTD measurement, if the DL RSTD is obtained from a pair of DL PRS resources, or </w:t>
      </w:r>
    </w:p>
    <w:p w14:paraId="7DB466CE" w14:textId="77777777" w:rsidR="00CA0940" w:rsidRPr="009537ED" w:rsidRDefault="00CA0940" w:rsidP="00BC5BE9">
      <w:pPr>
        <w:numPr>
          <w:ilvl w:val="0"/>
          <w:numId w:val="81"/>
        </w:numPr>
        <w:ind w:left="1440"/>
        <w:rPr>
          <w:rFonts w:eastAsia="Times New Roman"/>
          <w:bCs/>
          <w:sz w:val="18"/>
          <w:szCs w:val="18"/>
          <w:lang w:eastAsia="x-none"/>
        </w:rPr>
      </w:pPr>
      <w:r w:rsidRPr="009537ED">
        <w:rPr>
          <w:rFonts w:eastAsia="Times New Roman"/>
          <w:bCs/>
          <w:sz w:val="18"/>
          <w:szCs w:val="18"/>
          <w:lang w:eastAsia="x-none"/>
        </w:rPr>
        <w:t xml:space="preserve">one of the DL PRS resource pairs used to obtain the associated UE RSTD measurement, if the TOA for DL RSTD is obtained from multiple DL PRS resources </w:t>
      </w:r>
      <w:r w:rsidRPr="009537ED">
        <w:rPr>
          <w:rFonts w:eastAsia="Times New Roman"/>
          <w:bCs/>
          <w:strike/>
          <w:sz w:val="18"/>
          <w:szCs w:val="18"/>
          <w:lang w:eastAsia="x-none"/>
        </w:rPr>
        <w:t>pairs, or from a pair of DL PRS resource sets</w:t>
      </w:r>
      <w:r w:rsidRPr="009537ED">
        <w:rPr>
          <w:rFonts w:eastAsia="Times New Roman"/>
          <w:bCs/>
          <w:sz w:val="18"/>
          <w:szCs w:val="18"/>
          <w:lang w:eastAsia="x-none"/>
        </w:rPr>
        <w:t>.</w:t>
      </w:r>
    </w:p>
    <w:p w14:paraId="0CD8F2D0" w14:textId="77777777" w:rsidR="00CA0940" w:rsidRPr="009537ED" w:rsidRDefault="00CA0940" w:rsidP="00CA0940">
      <w:pPr>
        <w:ind w:left="720"/>
        <w:rPr>
          <w:bCs/>
          <w:sz w:val="18"/>
          <w:szCs w:val="18"/>
          <w:lang w:eastAsia="zh-CN"/>
        </w:rPr>
      </w:pPr>
      <w:r w:rsidRPr="009537ED">
        <w:rPr>
          <w:rFonts w:eastAsia="Times New Roman"/>
          <w:bCs/>
          <w:sz w:val="18"/>
          <w:szCs w:val="18"/>
        </w:rPr>
        <w:t>Include the following agreements in RAN1#114bis as a reference:</w:t>
      </w:r>
    </w:p>
    <w:tbl>
      <w:tblPr>
        <w:tblW w:w="9861" w:type="dxa"/>
        <w:tblInd w:w="1155" w:type="dxa"/>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9861"/>
      </w:tblGrid>
      <w:tr w:rsidR="00CA0940" w:rsidRPr="009537ED" w14:paraId="7BF655D9" w14:textId="77777777" w:rsidTr="00CA0940">
        <w:tc>
          <w:tcPr>
            <w:tcW w:w="9861" w:type="dxa"/>
            <w:shd w:val="clear" w:color="auto" w:fill="auto"/>
          </w:tcPr>
          <w:p w14:paraId="79E7C058" w14:textId="77777777" w:rsidR="00CA0940" w:rsidRPr="009537ED" w:rsidRDefault="00CA0940" w:rsidP="00CA0940">
            <w:pPr>
              <w:rPr>
                <w:rFonts w:eastAsia="Times New Roman"/>
                <w:sz w:val="18"/>
                <w:szCs w:val="18"/>
                <w:lang w:eastAsia="zh-CN"/>
              </w:rPr>
            </w:pPr>
            <w:r w:rsidRPr="009537ED">
              <w:rPr>
                <w:sz w:val="18"/>
                <w:szCs w:val="18"/>
                <w:highlight w:val="green"/>
                <w:lang w:eastAsia="zh-CN"/>
              </w:rPr>
              <w:t>Agreement</w:t>
            </w:r>
            <w:r w:rsidRPr="009537ED">
              <w:rPr>
                <w:rFonts w:eastAsia="Times New Roman"/>
                <w:sz w:val="18"/>
                <w:szCs w:val="18"/>
                <w:highlight w:val="green"/>
                <w:lang w:eastAsia="zh-CN"/>
              </w:rPr>
              <w:t xml:space="preserve"> </w:t>
            </w:r>
            <w:r w:rsidRPr="009537ED">
              <w:rPr>
                <w:rFonts w:eastAsia="Times New Roman"/>
                <w:color w:val="000000"/>
                <w:sz w:val="18"/>
                <w:szCs w:val="18"/>
                <w:highlight w:val="green"/>
                <w:lang w:eastAsia="zh-CN"/>
              </w:rPr>
              <w:t>(</w:t>
            </w:r>
            <w:r w:rsidRPr="009537ED">
              <w:rPr>
                <w:color w:val="000000"/>
                <w:sz w:val="18"/>
                <w:szCs w:val="18"/>
                <w:highlight w:val="green"/>
              </w:rPr>
              <w:t>RAN1#114bis</w:t>
            </w:r>
            <w:r w:rsidRPr="009537ED">
              <w:rPr>
                <w:rFonts w:eastAsia="Times New Roman"/>
                <w:color w:val="000000"/>
                <w:sz w:val="18"/>
                <w:szCs w:val="18"/>
                <w:lang w:eastAsia="zh-CN"/>
              </w:rPr>
              <w:t>)</w:t>
            </w:r>
          </w:p>
          <w:p w14:paraId="4ACAE54E" w14:textId="77777777" w:rsidR="00CA0940" w:rsidRPr="009537ED" w:rsidRDefault="00CA0940" w:rsidP="00CA0940">
            <w:pPr>
              <w:rPr>
                <w:color w:val="000000"/>
                <w:sz w:val="18"/>
                <w:szCs w:val="18"/>
                <w:lang w:eastAsia="zh-CN"/>
              </w:rPr>
            </w:pPr>
            <w:r w:rsidRPr="009537ED">
              <w:rPr>
                <w:color w:val="000000"/>
                <w:sz w:val="18"/>
                <w:szCs w:val="18"/>
                <w:lang w:eastAsia="zh-CN"/>
              </w:rPr>
              <w:t>The pair of the DL PRS resources used to obtain a DL RSCPD measurement are either the same as the pair of DL PRS resources used to obtain the associated DL RSTD measurement, or one of the pairs of DL PRS resources used to obtain the associated DL RSTD measurement.</w:t>
            </w:r>
          </w:p>
          <w:p w14:paraId="64CBCC8E" w14:textId="77777777" w:rsidR="00CA0940" w:rsidRPr="009537ED" w:rsidRDefault="00CA0940" w:rsidP="00CA0940">
            <w:pPr>
              <w:numPr>
                <w:ilvl w:val="0"/>
                <w:numId w:val="69"/>
              </w:numPr>
              <w:rPr>
                <w:sz w:val="18"/>
                <w:szCs w:val="18"/>
                <w:lang w:eastAsia="zh-CN"/>
              </w:rPr>
            </w:pPr>
            <w:r w:rsidRPr="009537ED">
              <w:rPr>
                <w:sz w:val="18"/>
                <w:szCs w:val="18"/>
                <w:lang w:eastAsia="zh-CN"/>
              </w:rPr>
              <w:t>Note 1: It has no RAN1 impact. It is up to RAN2 on how the DL PRS resource IDs of DL RSCPD measurements are identified/reported.</w:t>
            </w:r>
          </w:p>
          <w:p w14:paraId="79736103" w14:textId="77777777" w:rsidR="00CA0940" w:rsidRPr="009537ED" w:rsidRDefault="00CA0940" w:rsidP="00CA0940">
            <w:pPr>
              <w:rPr>
                <w:rFonts w:eastAsia="Times New Roman"/>
                <w:sz w:val="18"/>
                <w:szCs w:val="18"/>
                <w:lang w:eastAsia="zh-CN"/>
              </w:rPr>
            </w:pPr>
            <w:r w:rsidRPr="009537ED">
              <w:rPr>
                <w:sz w:val="18"/>
                <w:szCs w:val="18"/>
                <w:highlight w:val="green"/>
                <w:lang w:eastAsia="zh-CN"/>
              </w:rPr>
              <w:t>Agreement</w:t>
            </w:r>
            <w:r w:rsidRPr="009537ED">
              <w:rPr>
                <w:rFonts w:eastAsia="Times New Roman"/>
                <w:sz w:val="18"/>
                <w:szCs w:val="18"/>
                <w:highlight w:val="green"/>
                <w:lang w:eastAsia="zh-CN"/>
              </w:rPr>
              <w:t xml:space="preserve"> </w:t>
            </w:r>
            <w:r w:rsidRPr="009537ED">
              <w:rPr>
                <w:rFonts w:eastAsia="Times New Roman"/>
                <w:color w:val="000000"/>
                <w:sz w:val="18"/>
                <w:szCs w:val="18"/>
                <w:highlight w:val="green"/>
                <w:lang w:eastAsia="zh-CN"/>
              </w:rPr>
              <w:t>(</w:t>
            </w:r>
            <w:r w:rsidRPr="009537ED">
              <w:rPr>
                <w:color w:val="000000"/>
                <w:sz w:val="18"/>
                <w:szCs w:val="18"/>
                <w:highlight w:val="green"/>
              </w:rPr>
              <w:t>RAN1#114bis</w:t>
            </w:r>
            <w:r w:rsidRPr="009537ED">
              <w:rPr>
                <w:rFonts w:eastAsia="Times New Roman"/>
                <w:color w:val="000000"/>
                <w:sz w:val="18"/>
                <w:szCs w:val="18"/>
                <w:lang w:eastAsia="zh-CN"/>
              </w:rPr>
              <w:t>)</w:t>
            </w:r>
          </w:p>
          <w:p w14:paraId="5A5DB2D7" w14:textId="77777777" w:rsidR="00CA0940" w:rsidRPr="009537ED" w:rsidRDefault="00CA0940" w:rsidP="00CA0940">
            <w:pPr>
              <w:rPr>
                <w:sz w:val="18"/>
                <w:szCs w:val="18"/>
                <w:lang w:eastAsia="zh-CN"/>
              </w:rPr>
            </w:pPr>
            <w:r w:rsidRPr="009537ED">
              <w:rPr>
                <w:sz w:val="18"/>
                <w:szCs w:val="18"/>
                <w:lang w:eastAsia="zh-CN"/>
              </w:rPr>
              <w:t>The DL PRS resource used to obtain a DL RSCP measurement is either the same DL PRS resource used to obtain the associated UE Rx-Tx time difference measurement, or one of the DL PRS resources used to obtain the associated UE Rx-Tx time difference measurement.</w:t>
            </w:r>
          </w:p>
          <w:p w14:paraId="57A2BA98" w14:textId="77777777" w:rsidR="00CA0940" w:rsidRPr="009537ED" w:rsidRDefault="00CA0940" w:rsidP="00CA0940">
            <w:pPr>
              <w:numPr>
                <w:ilvl w:val="0"/>
                <w:numId w:val="69"/>
              </w:numPr>
              <w:rPr>
                <w:sz w:val="18"/>
                <w:szCs w:val="18"/>
                <w:lang w:eastAsia="zh-CN"/>
              </w:rPr>
            </w:pPr>
            <w:r w:rsidRPr="009537ED">
              <w:rPr>
                <w:sz w:val="18"/>
                <w:szCs w:val="18"/>
                <w:lang w:eastAsia="zh-CN"/>
              </w:rPr>
              <w:t>Note 1: a DL RSCP measurement is obtained by measuring a single DL PRS resource from a TRP.</w:t>
            </w:r>
          </w:p>
          <w:p w14:paraId="18DD46EB" w14:textId="77777777" w:rsidR="00CA0940" w:rsidRPr="009537ED" w:rsidRDefault="00CA0940" w:rsidP="00CA0940">
            <w:pPr>
              <w:numPr>
                <w:ilvl w:val="0"/>
                <w:numId w:val="69"/>
              </w:numPr>
              <w:rPr>
                <w:sz w:val="18"/>
                <w:szCs w:val="18"/>
                <w:lang w:eastAsia="zh-CN"/>
              </w:rPr>
            </w:pPr>
            <w:r w:rsidRPr="009537ED">
              <w:rPr>
                <w:sz w:val="18"/>
                <w:szCs w:val="18"/>
                <w:lang w:eastAsia="zh-CN"/>
              </w:rPr>
              <w:t>Note 2: It has no RAN1 impact. It is up to RAN2 on how the DL PRS resource IDs of DL RSCP measurements are identified/reported.</w:t>
            </w:r>
          </w:p>
        </w:tc>
      </w:tr>
    </w:tbl>
    <w:p w14:paraId="344853AE" w14:textId="77777777" w:rsidR="00CA0940" w:rsidRPr="009537ED" w:rsidRDefault="00CA0940" w:rsidP="00CA0940">
      <w:pPr>
        <w:rPr>
          <w:bCs/>
          <w:iCs/>
        </w:rPr>
      </w:pPr>
    </w:p>
    <w:p w14:paraId="216D68C3" w14:textId="77777777" w:rsidR="00CA0940" w:rsidRPr="009537ED" w:rsidRDefault="00CA0940" w:rsidP="00CA0940">
      <w:pPr>
        <w:rPr>
          <w:lang w:eastAsia="x-none"/>
        </w:rPr>
      </w:pPr>
      <w:r w:rsidRPr="009537ED">
        <w:rPr>
          <w:highlight w:val="green"/>
          <w:lang w:eastAsia="x-none"/>
        </w:rPr>
        <w:t>Agreement</w:t>
      </w:r>
    </w:p>
    <w:p w14:paraId="1A5AB779" w14:textId="77777777" w:rsidR="00CA0940" w:rsidRPr="009537ED" w:rsidRDefault="00CA0940" w:rsidP="00CA0940">
      <w:pPr>
        <w:rPr>
          <w:rFonts w:eastAsia="Times New Roman"/>
          <w:bCs/>
        </w:rPr>
      </w:pPr>
      <w:r w:rsidRPr="009537ED">
        <w:rPr>
          <w:rFonts w:eastAsia="Times New Roman"/>
          <w:bCs/>
        </w:rPr>
        <w:t>Answer to Q2:</w:t>
      </w:r>
    </w:p>
    <w:p w14:paraId="253D53E2" w14:textId="77777777" w:rsidR="00CA0940" w:rsidRPr="009537ED" w:rsidRDefault="00CA0940" w:rsidP="00CA0940">
      <w:pPr>
        <w:ind w:left="720"/>
        <w:rPr>
          <w:sz w:val="18"/>
          <w:szCs w:val="18"/>
          <w:lang w:eastAsia="zh-CN"/>
        </w:rPr>
      </w:pPr>
      <w:r w:rsidRPr="009537ED">
        <w:rPr>
          <w:rFonts w:eastAsia="Times New Roman"/>
          <w:bCs/>
          <w:sz w:val="18"/>
          <w:szCs w:val="18"/>
        </w:rPr>
        <w:t xml:space="preserve">LOS/NLOS indication associated with the resource of RSCP/RSCPD is not required. </w:t>
      </w:r>
      <w:r w:rsidRPr="009537ED">
        <w:rPr>
          <w:sz w:val="18"/>
          <w:szCs w:val="18"/>
          <w:lang w:eastAsia="zh-CN"/>
        </w:rPr>
        <w:t>Rel-17 LOS/NLOS indication for UE RSTD/Rx-Tx time difference measurements applies for the RSCP/RSCPD measurement(s) in the same report.</w:t>
      </w:r>
    </w:p>
    <w:p w14:paraId="3CC7BE0C" w14:textId="77777777" w:rsidR="00CA0940" w:rsidRPr="009537ED" w:rsidRDefault="00CA0940" w:rsidP="00CA0940">
      <w:pPr>
        <w:rPr>
          <w:lang w:eastAsia="x-none"/>
        </w:rPr>
      </w:pPr>
    </w:p>
    <w:p w14:paraId="375934FD" w14:textId="77777777" w:rsidR="00CA0940" w:rsidRPr="009537ED" w:rsidRDefault="00CA0940" w:rsidP="00CA0940">
      <w:pPr>
        <w:rPr>
          <w:lang w:eastAsia="x-none"/>
        </w:rPr>
      </w:pPr>
    </w:p>
    <w:p w14:paraId="55D2ADFF" w14:textId="77777777" w:rsidR="00CA0940" w:rsidRPr="009537ED" w:rsidRDefault="00CA0940" w:rsidP="00CA0940">
      <w:pPr>
        <w:rPr>
          <w:lang w:eastAsia="x-none"/>
        </w:rPr>
      </w:pPr>
      <w:r w:rsidRPr="009537ED">
        <w:rPr>
          <w:highlight w:val="green"/>
          <w:lang w:eastAsia="x-none"/>
        </w:rPr>
        <w:t>Agreement</w:t>
      </w:r>
    </w:p>
    <w:p w14:paraId="0E69EF19" w14:textId="77777777" w:rsidR="00CA0940" w:rsidRPr="009537ED" w:rsidRDefault="00CA0940" w:rsidP="00191F40">
      <w:r w:rsidRPr="009537ED">
        <w:t>Response to Q3 will be based on the following:</w:t>
      </w:r>
    </w:p>
    <w:p w14:paraId="1106554C" w14:textId="77777777" w:rsidR="00CA0940" w:rsidRPr="009537ED" w:rsidRDefault="00CA0940" w:rsidP="00CA0940">
      <w:pPr>
        <w:ind w:left="720"/>
        <w:rPr>
          <w:rFonts w:ascii="Times New Roman" w:eastAsia="Times New Roman" w:hAnsi="Times New Roman"/>
          <w:bCs/>
          <w:iCs/>
          <w:sz w:val="18"/>
          <w:szCs w:val="18"/>
        </w:rPr>
      </w:pPr>
      <w:r w:rsidRPr="009537ED">
        <w:rPr>
          <w:rFonts w:ascii="Times New Roman" w:eastAsia="Times New Roman" w:hAnsi="Times New Roman"/>
          <w:bCs/>
          <w:iCs/>
          <w:sz w:val="18"/>
          <w:szCs w:val="18"/>
        </w:rPr>
        <w:t>Additional DL/UL RSCP measurements and additional RSCPD measurements are supported.</w:t>
      </w:r>
    </w:p>
    <w:p w14:paraId="7B8F9A30" w14:textId="77777777" w:rsidR="00CA0940" w:rsidRPr="009537ED" w:rsidRDefault="00CA0940" w:rsidP="00BC5BE9">
      <w:pPr>
        <w:numPr>
          <w:ilvl w:val="0"/>
          <w:numId w:val="82"/>
        </w:numPr>
        <w:ind w:left="1440"/>
        <w:rPr>
          <w:rFonts w:ascii="Times New Roman" w:eastAsia="Times New Roman" w:hAnsi="Times New Roman"/>
          <w:bCs/>
          <w:iCs/>
          <w:sz w:val="18"/>
          <w:szCs w:val="18"/>
          <w:lang w:eastAsia="x-none"/>
        </w:rPr>
      </w:pPr>
      <w:r w:rsidRPr="009537ED">
        <w:rPr>
          <w:rFonts w:ascii="Times New Roman" w:eastAsia="Times New Roman" w:hAnsi="Times New Roman"/>
          <w:bCs/>
          <w:iCs/>
          <w:sz w:val="18"/>
          <w:szCs w:val="18"/>
          <w:lang w:eastAsia="x-none"/>
        </w:rPr>
        <w:t xml:space="preserve">For each reported additional UE Rx-Tx time difference/RSTD measurement, support UE to report up to N_sample associated DL RSCP/RSCPD measurements. </w:t>
      </w:r>
    </w:p>
    <w:p w14:paraId="5DC04D15" w14:textId="77777777" w:rsidR="00CA0940" w:rsidRPr="009537ED" w:rsidRDefault="00CA0940" w:rsidP="00BC5BE9">
      <w:pPr>
        <w:numPr>
          <w:ilvl w:val="0"/>
          <w:numId w:val="82"/>
        </w:numPr>
        <w:ind w:left="1440"/>
        <w:rPr>
          <w:rFonts w:ascii="Times New Roman" w:eastAsia="Times New Roman" w:hAnsi="Times New Roman"/>
          <w:bCs/>
          <w:iCs/>
          <w:sz w:val="18"/>
          <w:szCs w:val="18"/>
          <w:lang w:eastAsia="x-none"/>
        </w:rPr>
      </w:pPr>
      <w:r w:rsidRPr="009537ED">
        <w:rPr>
          <w:rFonts w:ascii="Times New Roman" w:eastAsia="Times New Roman" w:hAnsi="Times New Roman"/>
          <w:bCs/>
          <w:iCs/>
          <w:sz w:val="18"/>
          <w:szCs w:val="18"/>
          <w:lang w:eastAsia="x-none"/>
        </w:rPr>
        <w:t>For each reported additional UL RTOA/gNB Rx-Tx time difference measurement, support gNB to report up to N_sample associated UL RSCP measurements.</w:t>
      </w:r>
    </w:p>
    <w:p w14:paraId="355A007C" w14:textId="77777777" w:rsidR="00CA0940" w:rsidRPr="009537ED" w:rsidRDefault="00CA0940" w:rsidP="00CA0940">
      <w:pPr>
        <w:rPr>
          <w:rFonts w:ascii="Times New Roman" w:hAnsi="Times New Roman"/>
          <w:szCs w:val="20"/>
          <w:lang w:eastAsia="x-none"/>
        </w:rPr>
      </w:pPr>
    </w:p>
    <w:p w14:paraId="58D1776D" w14:textId="77777777" w:rsidR="00CA0940" w:rsidRPr="009537ED" w:rsidRDefault="00CA0940" w:rsidP="00CA0940">
      <w:pPr>
        <w:rPr>
          <w:rFonts w:ascii="Times New Roman" w:hAnsi="Times New Roman"/>
          <w:szCs w:val="20"/>
          <w:lang w:eastAsia="x-none"/>
        </w:rPr>
      </w:pPr>
      <w:r w:rsidRPr="009537ED">
        <w:rPr>
          <w:rFonts w:ascii="Times New Roman" w:hAnsi="Times New Roman"/>
          <w:szCs w:val="20"/>
          <w:highlight w:val="green"/>
          <w:lang w:eastAsia="x-none"/>
        </w:rPr>
        <w:t>Agreement</w:t>
      </w:r>
    </w:p>
    <w:p w14:paraId="76DF7D64" w14:textId="77777777" w:rsidR="00CA0940" w:rsidRPr="009537ED" w:rsidRDefault="00CA0940" w:rsidP="00CA0940">
      <w:pPr>
        <w:rPr>
          <w:rFonts w:ascii="Times New Roman" w:eastAsia="Times New Roman" w:hAnsi="Times New Roman"/>
          <w:bCs/>
          <w:iCs/>
          <w:szCs w:val="20"/>
        </w:rPr>
      </w:pPr>
      <w:r w:rsidRPr="009537ED">
        <w:rPr>
          <w:rFonts w:ascii="Times New Roman" w:eastAsia="Times New Roman" w:hAnsi="Times New Roman"/>
          <w:bCs/>
          <w:iCs/>
          <w:szCs w:val="20"/>
        </w:rPr>
        <w:t>Response to Q4 will be based on the following:</w:t>
      </w:r>
    </w:p>
    <w:p w14:paraId="76DA5BA3" w14:textId="77777777" w:rsidR="00CA0940" w:rsidRPr="009537ED" w:rsidRDefault="00CA0940" w:rsidP="00CA0940">
      <w:pPr>
        <w:ind w:left="720"/>
        <w:rPr>
          <w:rFonts w:ascii="Times New Roman" w:hAnsi="Times New Roman"/>
          <w:sz w:val="18"/>
          <w:szCs w:val="18"/>
          <w:lang w:eastAsia="x-none"/>
        </w:rPr>
      </w:pPr>
      <w:r w:rsidRPr="009537ED">
        <w:rPr>
          <w:rFonts w:ascii="Times New Roman" w:hAnsi="Times New Roman"/>
          <w:sz w:val="18"/>
          <w:szCs w:val="18"/>
          <w:lang w:eastAsia="x-none"/>
        </w:rPr>
        <w:t>Each indicated DL-PRS resourceSet can be associated with one indicated time window, or two indicated time windows.</w:t>
      </w:r>
    </w:p>
    <w:p w14:paraId="31FA753A" w14:textId="77777777" w:rsidR="00CA0940" w:rsidRPr="009537ED" w:rsidRDefault="00CA0940" w:rsidP="00CA0940">
      <w:pPr>
        <w:rPr>
          <w:rFonts w:ascii="Times New Roman" w:hAnsi="Times New Roman"/>
          <w:szCs w:val="20"/>
          <w:lang w:eastAsia="x-none"/>
        </w:rPr>
      </w:pPr>
    </w:p>
    <w:p w14:paraId="706FF308" w14:textId="77777777" w:rsidR="00CA0940" w:rsidRPr="009537ED" w:rsidRDefault="00CA0940" w:rsidP="00CA0940">
      <w:pPr>
        <w:rPr>
          <w:rFonts w:ascii="Times New Roman" w:hAnsi="Times New Roman"/>
          <w:szCs w:val="20"/>
          <w:lang w:eastAsia="x-none"/>
        </w:rPr>
      </w:pPr>
      <w:r w:rsidRPr="00B900EC">
        <w:rPr>
          <w:rFonts w:ascii="Times New Roman" w:hAnsi="Times New Roman"/>
          <w:szCs w:val="20"/>
          <w:lang w:eastAsia="x-none"/>
        </w:rPr>
        <w:t>Comeback for draft LS</w:t>
      </w:r>
    </w:p>
    <w:p w14:paraId="4CAFB246" w14:textId="6ADEF210" w:rsidR="00B900EC" w:rsidRPr="00B900EC" w:rsidRDefault="005A18DC" w:rsidP="00B900EC">
      <w:pPr>
        <w:rPr>
          <w:b/>
          <w:bCs/>
          <w:lang w:eastAsia="x-none"/>
        </w:rPr>
      </w:pPr>
      <w:hyperlink r:id="rId1178" w:history="1">
        <w:r w:rsidR="00AF7253">
          <w:rPr>
            <w:rStyle w:val="Hyperlink"/>
            <w:b/>
            <w:bCs/>
            <w:lang w:eastAsia="x-none"/>
          </w:rPr>
          <w:t>R1-2312392</w:t>
        </w:r>
      </w:hyperlink>
      <w:r w:rsidR="00B900EC" w:rsidRPr="00B900EC">
        <w:rPr>
          <w:b/>
          <w:bCs/>
          <w:lang w:eastAsia="x-none"/>
        </w:rPr>
        <w:tab/>
        <w:t>Draft reply LS on CPP</w:t>
      </w:r>
      <w:r w:rsidR="00B900EC" w:rsidRPr="00B900EC">
        <w:rPr>
          <w:b/>
          <w:bCs/>
          <w:lang w:eastAsia="x-none"/>
        </w:rPr>
        <w:tab/>
        <w:t>CATT</w:t>
      </w:r>
    </w:p>
    <w:p w14:paraId="2C3C517E" w14:textId="6CE8DF23" w:rsidR="00B900EC" w:rsidRPr="00B900EC" w:rsidRDefault="00B900EC" w:rsidP="00B900EC">
      <w:pPr>
        <w:rPr>
          <w:rFonts w:cs="Times"/>
          <w:lang w:eastAsia="x-none"/>
        </w:rPr>
      </w:pPr>
      <w:r w:rsidRPr="00B900EC">
        <w:rPr>
          <w:b/>
          <w:bCs/>
          <w:lang w:eastAsia="x-none"/>
        </w:rPr>
        <w:t>Wed decision:</w:t>
      </w:r>
      <w:r>
        <w:rPr>
          <w:lang w:eastAsia="x-none"/>
        </w:rPr>
        <w:t xml:space="preserve"> The d</w:t>
      </w:r>
      <w:r w:rsidRPr="00B900EC">
        <w:rPr>
          <w:rFonts w:cs="Times"/>
          <w:lang w:eastAsia="x-none"/>
        </w:rPr>
        <w:t xml:space="preserve">raft LS reply to RAN2 in </w:t>
      </w:r>
      <w:hyperlink r:id="rId1179" w:history="1">
        <w:r w:rsidR="00AF7253">
          <w:rPr>
            <w:rStyle w:val="Hyperlink"/>
            <w:rFonts w:cs="Times"/>
            <w:lang w:eastAsia="x-none"/>
          </w:rPr>
          <w:t>R1-2312392</w:t>
        </w:r>
      </w:hyperlink>
      <w:r w:rsidRPr="00B900EC">
        <w:rPr>
          <w:rFonts w:cs="Times"/>
          <w:lang w:eastAsia="x-none"/>
        </w:rPr>
        <w:t xml:space="preserve"> is endorsed without the note below:</w:t>
      </w:r>
    </w:p>
    <w:p w14:paraId="210F14AF" w14:textId="77777777" w:rsidR="00B900EC" w:rsidRPr="00B900EC" w:rsidRDefault="00B900EC" w:rsidP="00B900EC">
      <w:pPr>
        <w:numPr>
          <w:ilvl w:val="0"/>
          <w:numId w:val="82"/>
        </w:numPr>
        <w:rPr>
          <w:rFonts w:eastAsia="Times New Roman"/>
          <w:bCs/>
          <w:iCs/>
          <w:lang w:val="en-US" w:eastAsia="x-none"/>
        </w:rPr>
      </w:pPr>
      <w:r w:rsidRPr="00B900EC">
        <w:rPr>
          <w:rFonts w:eastAsia="Times New Roman"/>
          <w:bCs/>
          <w:iCs/>
          <w:lang w:val="en-US" w:eastAsia="x-none"/>
        </w:rPr>
        <w:t xml:space="preserve">Note: N_sample = 4 by default. N_sample can be set to 1 or 2 (e.g., via </w:t>
      </w:r>
      <w:r w:rsidRPr="00B900EC">
        <w:rPr>
          <w:color w:val="000000"/>
          <w:lang w:eastAsia="x-none"/>
        </w:rPr>
        <w:t xml:space="preserve">higher layer parameter </w:t>
      </w:r>
      <w:r w:rsidRPr="00B900EC">
        <w:rPr>
          <w:rFonts w:eastAsia="Times New Roman"/>
          <w:bCs/>
          <w:i/>
          <w:lang w:val="en-US" w:eastAsia="x-none"/>
        </w:rPr>
        <w:t xml:space="preserve">reducedDL-PRS-ProcessingSamples </w:t>
      </w:r>
      <w:r w:rsidRPr="00B900EC">
        <w:rPr>
          <w:rFonts w:eastAsia="Times New Roman"/>
          <w:bCs/>
          <w:iCs/>
          <w:lang w:val="en-US" w:eastAsia="x-none"/>
        </w:rPr>
        <w:t>in TS 37.355)</w:t>
      </w:r>
      <w:r w:rsidRPr="00B900EC">
        <w:rPr>
          <w:rFonts w:eastAsia="Times New Roman"/>
          <w:bCs/>
          <w:i/>
          <w:lang w:val="en-US" w:eastAsia="x-none"/>
        </w:rPr>
        <w:t>.</w:t>
      </w:r>
    </w:p>
    <w:p w14:paraId="5A99431B" w14:textId="00BF21A1" w:rsidR="00B900EC" w:rsidRPr="00B900EC" w:rsidRDefault="00B900EC" w:rsidP="00B900EC">
      <w:pPr>
        <w:rPr>
          <w:rFonts w:cs="Times"/>
          <w:bCs/>
          <w:lang w:eastAsia="x-none"/>
        </w:rPr>
      </w:pPr>
      <w:r w:rsidRPr="00B900EC">
        <w:rPr>
          <w:rFonts w:cs="Times"/>
          <w:lang w:eastAsia="x-none"/>
        </w:rPr>
        <w:t xml:space="preserve">Final LS is </w:t>
      </w:r>
      <w:r w:rsidRPr="00B900EC">
        <w:rPr>
          <w:rFonts w:cs="Times"/>
          <w:highlight w:val="green"/>
          <w:lang w:eastAsia="x-none"/>
        </w:rPr>
        <w:t>a</w:t>
      </w:r>
      <w:r>
        <w:rPr>
          <w:rFonts w:cs="Times"/>
          <w:highlight w:val="green"/>
          <w:lang w:eastAsia="x-none"/>
        </w:rPr>
        <w:t xml:space="preserve">pproved </w:t>
      </w:r>
      <w:r w:rsidRPr="00B900EC">
        <w:rPr>
          <w:rFonts w:cs="Times"/>
          <w:highlight w:val="green"/>
          <w:lang w:eastAsia="x-none"/>
        </w:rPr>
        <w:t xml:space="preserve">in </w:t>
      </w:r>
      <w:hyperlink r:id="rId1180" w:history="1">
        <w:r w:rsidR="00AF7253">
          <w:rPr>
            <w:rStyle w:val="Hyperlink"/>
            <w:rFonts w:cs="Times"/>
            <w:highlight w:val="green"/>
            <w:lang w:eastAsia="x-none"/>
          </w:rPr>
          <w:t>R1-2312393</w:t>
        </w:r>
      </w:hyperlink>
      <w:r w:rsidRPr="00B900EC">
        <w:rPr>
          <w:rFonts w:cs="Times"/>
          <w:highlight w:val="green"/>
          <w:lang w:eastAsia="x-none"/>
        </w:rPr>
        <w:t>.</w:t>
      </w:r>
    </w:p>
    <w:p w14:paraId="6F9BAF6A" w14:textId="44B0523A" w:rsidR="00B900EC" w:rsidRPr="00B900EC" w:rsidRDefault="00B900EC" w:rsidP="00B900EC">
      <w:pPr>
        <w:rPr>
          <w:bCs/>
          <w:lang w:eastAsia="x-none"/>
        </w:rPr>
      </w:pPr>
    </w:p>
    <w:p w14:paraId="4420A3C7" w14:textId="77777777" w:rsidR="00CA0940" w:rsidRPr="00B900EC" w:rsidRDefault="00CA0940" w:rsidP="00CA0940">
      <w:pPr>
        <w:rPr>
          <w:bCs/>
          <w:lang w:eastAsia="x-none"/>
        </w:rPr>
      </w:pPr>
    </w:p>
    <w:p w14:paraId="04B7B10B" w14:textId="586832AD" w:rsidR="00CA0940" w:rsidRPr="00294F1A" w:rsidRDefault="005A18DC" w:rsidP="00CA0940">
      <w:pPr>
        <w:rPr>
          <w:b/>
          <w:bCs/>
          <w:lang w:eastAsia="x-none"/>
        </w:rPr>
      </w:pPr>
      <w:hyperlink r:id="rId1181" w:history="1">
        <w:r w:rsidR="00AF7253">
          <w:rPr>
            <w:rStyle w:val="Hyperlink"/>
            <w:b/>
            <w:bCs/>
            <w:lang w:eastAsia="x-none"/>
          </w:rPr>
          <w:t>R1-2312270</w:t>
        </w:r>
      </w:hyperlink>
      <w:r w:rsidR="00CA0940" w:rsidRPr="00294F1A">
        <w:rPr>
          <w:b/>
          <w:bCs/>
          <w:lang w:eastAsia="x-none"/>
        </w:rPr>
        <w:tab/>
        <w:t>FL Summary #2 for maintenance on NR DL and UL carrier phase positioning</w:t>
      </w:r>
      <w:r w:rsidR="00CA0940" w:rsidRPr="00294F1A">
        <w:rPr>
          <w:b/>
          <w:bCs/>
          <w:lang w:eastAsia="x-none"/>
        </w:rPr>
        <w:tab/>
        <w:t>Moderator (CATT)</w:t>
      </w:r>
    </w:p>
    <w:p w14:paraId="675C0A21" w14:textId="7CFC7E91" w:rsidR="00294F1A" w:rsidRDefault="00294F1A" w:rsidP="00CA0940">
      <w:pPr>
        <w:rPr>
          <w:lang w:eastAsia="x-none"/>
        </w:rPr>
      </w:pPr>
      <w:r>
        <w:rPr>
          <w:lang w:eastAsia="x-none"/>
        </w:rPr>
        <w:t>From Wednesday session</w:t>
      </w:r>
    </w:p>
    <w:p w14:paraId="4E542D35" w14:textId="77777777" w:rsidR="00294F1A" w:rsidRPr="00294F1A" w:rsidRDefault="00294F1A" w:rsidP="00294F1A">
      <w:pPr>
        <w:rPr>
          <w:lang w:eastAsia="x-none"/>
        </w:rPr>
      </w:pPr>
      <w:r w:rsidRPr="00294F1A">
        <w:rPr>
          <w:highlight w:val="green"/>
          <w:lang w:eastAsia="x-none"/>
        </w:rPr>
        <w:t>Agreement</w:t>
      </w:r>
    </w:p>
    <w:p w14:paraId="0E572D76" w14:textId="77777777" w:rsidR="00294F1A" w:rsidRPr="00294F1A" w:rsidRDefault="00294F1A" w:rsidP="00294F1A">
      <w:r w:rsidRPr="00294F1A">
        <w:lastRenderedPageBreak/>
        <w:t>Support the following for the values of the phase quality index and phase quality resolution for the RSCP quality indication:</w:t>
      </w:r>
    </w:p>
    <w:p w14:paraId="4177CE3A" w14:textId="77777777" w:rsidR="00294F1A" w:rsidRPr="00294F1A" w:rsidRDefault="00294F1A" w:rsidP="00AA1D48">
      <w:pPr>
        <w:pStyle w:val="ListParagraph"/>
        <w:numPr>
          <w:ilvl w:val="0"/>
          <w:numId w:val="137"/>
        </w:numPr>
        <w:spacing w:after="0"/>
        <w:ind w:left="714" w:hanging="357"/>
      </w:pPr>
      <w:r w:rsidRPr="00294F1A">
        <w:t>phase quality index can be set as [0, …, 179]</w:t>
      </w:r>
    </w:p>
    <w:p w14:paraId="2C2F500D" w14:textId="77777777" w:rsidR="00294F1A" w:rsidRPr="00294F1A" w:rsidRDefault="00294F1A" w:rsidP="00AA1D48">
      <w:pPr>
        <w:pStyle w:val="ListParagraph"/>
        <w:numPr>
          <w:ilvl w:val="0"/>
          <w:numId w:val="137"/>
        </w:numPr>
        <w:spacing w:after="0"/>
        <w:ind w:left="714" w:hanging="357"/>
      </w:pPr>
      <w:r w:rsidRPr="00294F1A">
        <w:t>phase quality resolution can be set as [0.1, 1} degree.</w:t>
      </w:r>
    </w:p>
    <w:p w14:paraId="2E1ED96B" w14:textId="77777777" w:rsidR="00294F1A" w:rsidRPr="00294F1A" w:rsidRDefault="00294F1A" w:rsidP="00294F1A">
      <w:r w:rsidRPr="00294F1A">
        <w:t>Note 1: Reporting “phase quality index” = 179 and “phase quality resolution” = 1 degree implies the phase error may exceed 179 degrees.</w:t>
      </w:r>
    </w:p>
    <w:p w14:paraId="7087976A" w14:textId="77777777" w:rsidR="00294F1A" w:rsidRPr="00294F1A" w:rsidRDefault="00294F1A" w:rsidP="00294F1A"/>
    <w:p w14:paraId="1CC8AA88" w14:textId="77777777" w:rsidR="00294F1A" w:rsidRPr="00294F1A" w:rsidRDefault="00294F1A" w:rsidP="00294F1A">
      <w:r w:rsidRPr="00294F1A">
        <w:rPr>
          <w:highlight w:val="green"/>
        </w:rPr>
        <w:t>Agreement</w:t>
      </w:r>
    </w:p>
    <w:p w14:paraId="5942E1F8" w14:textId="77777777" w:rsidR="00294F1A" w:rsidRPr="00294F1A" w:rsidRDefault="00294F1A" w:rsidP="00294F1A">
      <w:pPr>
        <w:rPr>
          <w:rFonts w:ascii="Times New Roman" w:eastAsia="SimSun" w:hAnsi="Times New Roman"/>
          <w:lang w:val="en-US" w:eastAsia="zh-CN"/>
        </w:rPr>
      </w:pPr>
      <w:r w:rsidRPr="00294F1A">
        <w:rPr>
          <w:rFonts w:ascii="Times New Roman" w:eastAsia="SimSun" w:hAnsi="Times New Roman"/>
          <w:lang w:val="en-US" w:eastAsia="zh-CN"/>
        </w:rPr>
        <w:t>The TP below is endorsed for TS 38.214</w:t>
      </w:r>
    </w:p>
    <w:tbl>
      <w:tblPr>
        <w:tblW w:w="10573" w:type="dxa"/>
        <w:tblInd w:w="42" w:type="dxa"/>
        <w:tblCellMar>
          <w:left w:w="42" w:type="dxa"/>
          <w:right w:w="42" w:type="dxa"/>
        </w:tblCellMar>
        <w:tblLook w:val="04A0" w:firstRow="1" w:lastRow="0" w:firstColumn="1" w:lastColumn="0" w:noHBand="0" w:noVBand="1"/>
      </w:tblPr>
      <w:tblGrid>
        <w:gridCol w:w="2023"/>
        <w:gridCol w:w="8550"/>
      </w:tblGrid>
      <w:tr w:rsidR="00294F1A" w:rsidRPr="00294F1A" w14:paraId="60B4678A" w14:textId="77777777" w:rsidTr="00DE645D">
        <w:tc>
          <w:tcPr>
            <w:tcW w:w="2023" w:type="dxa"/>
            <w:tcBorders>
              <w:top w:val="single" w:sz="4" w:space="0" w:color="auto"/>
              <w:left w:val="single" w:sz="4" w:space="0" w:color="auto"/>
            </w:tcBorders>
          </w:tcPr>
          <w:p w14:paraId="75E3DAA1" w14:textId="77777777" w:rsidR="00294F1A" w:rsidRPr="00294F1A" w:rsidRDefault="00294F1A" w:rsidP="00294F1A">
            <w:pPr>
              <w:tabs>
                <w:tab w:val="right" w:pos="2184"/>
              </w:tabs>
              <w:rPr>
                <w:rFonts w:ascii="Arial" w:eastAsia="MS Mincho" w:hAnsi="Arial" w:cs="Arial"/>
                <w:b/>
                <w:i/>
                <w:sz w:val="16"/>
                <w:szCs w:val="16"/>
              </w:rPr>
            </w:pPr>
            <w:r w:rsidRPr="00294F1A">
              <w:rPr>
                <w:rFonts w:ascii="Arial" w:eastAsia="MS Mincho" w:hAnsi="Arial" w:cs="Arial"/>
                <w:b/>
                <w:i/>
                <w:sz w:val="16"/>
                <w:szCs w:val="16"/>
              </w:rPr>
              <w:t>Reason for change:</w:t>
            </w:r>
          </w:p>
        </w:tc>
        <w:tc>
          <w:tcPr>
            <w:tcW w:w="8550" w:type="dxa"/>
            <w:tcBorders>
              <w:top w:val="single" w:sz="4" w:space="0" w:color="auto"/>
              <w:right w:val="single" w:sz="4" w:space="0" w:color="auto"/>
            </w:tcBorders>
            <w:shd w:val="pct30" w:color="FFFF00" w:fill="auto"/>
          </w:tcPr>
          <w:p w14:paraId="41475623" w14:textId="77777777" w:rsidR="00294F1A" w:rsidRPr="00294F1A" w:rsidRDefault="00294F1A" w:rsidP="00294F1A">
            <w:pPr>
              <w:spacing w:line="264" w:lineRule="auto"/>
              <w:jc w:val="both"/>
              <w:rPr>
                <w:rFonts w:ascii="Arial" w:eastAsia="SimSun" w:hAnsi="Arial" w:cs="Arial"/>
                <w:sz w:val="16"/>
                <w:szCs w:val="16"/>
                <w:lang w:val="en-US" w:eastAsia="zh-CN"/>
              </w:rPr>
            </w:pPr>
            <w:r w:rsidRPr="00294F1A">
              <w:rPr>
                <w:rFonts w:ascii="Arial" w:eastAsia="SimSun" w:hAnsi="Arial" w:cs="Arial"/>
                <w:sz w:val="16"/>
                <w:szCs w:val="16"/>
                <w:lang w:eastAsia="zh-CN"/>
              </w:rPr>
              <w:t>T</w:t>
            </w:r>
            <w:r w:rsidRPr="00294F1A">
              <w:rPr>
                <w:rFonts w:ascii="Arial" w:eastAsia="SimSun" w:hAnsi="Arial" w:cs="Arial"/>
                <w:sz w:val="16"/>
                <w:szCs w:val="16"/>
                <w:lang w:val="en-US" w:eastAsia="zh-CN"/>
              </w:rPr>
              <w:t>he number of samples for carrier phase measurements and the timestamp of carrier phase measurements in the following agreement are not accurately captured in the specification:</w:t>
            </w:r>
          </w:p>
          <w:p w14:paraId="68C05C19" w14:textId="77777777" w:rsidR="00294F1A" w:rsidRPr="00294F1A" w:rsidRDefault="00294F1A" w:rsidP="00294F1A">
            <w:pPr>
              <w:rPr>
                <w:rFonts w:ascii="Arial" w:hAnsi="Arial" w:cs="Arial"/>
                <w:sz w:val="16"/>
                <w:szCs w:val="16"/>
                <w:lang w:eastAsia="zh-CN"/>
              </w:rPr>
            </w:pPr>
            <w:r w:rsidRPr="00294F1A">
              <w:rPr>
                <w:rFonts w:ascii="Arial" w:hAnsi="Arial" w:cs="Arial"/>
                <w:sz w:val="16"/>
                <w:szCs w:val="16"/>
                <w:highlight w:val="green"/>
                <w:lang w:eastAsia="zh-CN"/>
              </w:rPr>
              <w:t>Agreement</w:t>
            </w:r>
          </w:p>
          <w:p w14:paraId="369A0DB0" w14:textId="77777777" w:rsidR="00294F1A" w:rsidRPr="00294F1A" w:rsidRDefault="00294F1A" w:rsidP="00294F1A">
            <w:pPr>
              <w:rPr>
                <w:rFonts w:ascii="Arial" w:hAnsi="Arial" w:cs="Arial"/>
                <w:sz w:val="16"/>
                <w:szCs w:val="16"/>
                <w:lang w:val="en-US" w:eastAsia="zh-CN"/>
              </w:rPr>
            </w:pPr>
            <w:r w:rsidRPr="00294F1A">
              <w:rPr>
                <w:rFonts w:ascii="Arial" w:hAnsi="Arial" w:cs="Arial"/>
                <w:sz w:val="16"/>
                <w:szCs w:val="16"/>
                <w:lang w:val="en-US" w:eastAsia="zh-CN"/>
              </w:rPr>
              <w:t>Subject to UE’s capability, if a UE Rx-Tx time difference/DL RSTD measurement is obtained with N</w:t>
            </w:r>
            <w:r w:rsidRPr="00294F1A">
              <w:rPr>
                <w:rFonts w:ascii="Arial" w:hAnsi="Arial" w:cs="Arial"/>
                <w:sz w:val="16"/>
                <w:szCs w:val="16"/>
                <w:vertAlign w:val="subscript"/>
                <w:lang w:val="en-US" w:eastAsia="zh-CN"/>
              </w:rPr>
              <w:t>sample</w:t>
            </w:r>
            <w:r w:rsidRPr="00294F1A">
              <w:rPr>
                <w:rFonts w:ascii="Arial" w:hAnsi="Arial" w:cs="Arial"/>
                <w:sz w:val="16"/>
                <w:szCs w:val="16"/>
                <w:lang w:val="en-US" w:eastAsia="zh-CN"/>
              </w:rPr>
              <w:t xml:space="preserve"> (=2, 4) samples, as defined in TS 38.133, the UE Rx-Tx time difference/DL RSTD measurement can be associated with (i.e., reported together with) up to N</w:t>
            </w:r>
            <w:r w:rsidRPr="00294F1A">
              <w:rPr>
                <w:rFonts w:ascii="Arial" w:hAnsi="Arial" w:cs="Arial"/>
                <w:sz w:val="16"/>
                <w:szCs w:val="16"/>
                <w:vertAlign w:val="subscript"/>
                <w:lang w:val="en-US" w:eastAsia="zh-CN"/>
              </w:rPr>
              <w:t>sample</w:t>
            </w:r>
            <w:r w:rsidRPr="00294F1A">
              <w:rPr>
                <w:rFonts w:ascii="Arial" w:hAnsi="Arial" w:cs="Arial"/>
                <w:sz w:val="16"/>
                <w:szCs w:val="16"/>
                <w:lang w:val="en-US" w:eastAsia="zh-CN"/>
              </w:rPr>
              <w:t xml:space="preserve"> RSCP/RSCPD measurements.</w:t>
            </w:r>
          </w:p>
          <w:p w14:paraId="4F0BF446" w14:textId="77777777" w:rsidR="00294F1A" w:rsidRPr="00294F1A" w:rsidRDefault="00294F1A" w:rsidP="00A67145">
            <w:pPr>
              <w:numPr>
                <w:ilvl w:val="0"/>
                <w:numId w:val="163"/>
              </w:numPr>
              <w:rPr>
                <w:rFonts w:ascii="Arial" w:hAnsi="Arial" w:cs="Arial"/>
                <w:sz w:val="16"/>
                <w:szCs w:val="16"/>
                <w:lang w:eastAsia="x-none"/>
              </w:rPr>
            </w:pPr>
            <w:r w:rsidRPr="00294F1A">
              <w:rPr>
                <w:rFonts w:ascii="Arial" w:hAnsi="Arial" w:cs="Arial"/>
                <w:sz w:val="16"/>
                <w:szCs w:val="16"/>
                <w:lang w:eastAsia="x-none"/>
              </w:rPr>
              <w:t>A single RSCP/RSCPD measurement is obtained within one sample</w:t>
            </w:r>
          </w:p>
          <w:p w14:paraId="18A70B62" w14:textId="77777777" w:rsidR="00294F1A" w:rsidRPr="00294F1A" w:rsidRDefault="00294F1A" w:rsidP="00A67145">
            <w:pPr>
              <w:numPr>
                <w:ilvl w:val="0"/>
                <w:numId w:val="163"/>
              </w:numPr>
              <w:rPr>
                <w:rFonts w:ascii="Arial" w:hAnsi="Arial" w:cs="Arial"/>
                <w:sz w:val="16"/>
                <w:szCs w:val="16"/>
                <w:lang w:eastAsia="x-none"/>
              </w:rPr>
            </w:pPr>
            <w:r w:rsidRPr="00294F1A">
              <w:rPr>
                <w:rFonts w:ascii="Arial" w:hAnsi="Arial" w:cs="Arial"/>
                <w:sz w:val="16"/>
                <w:szCs w:val="16"/>
                <w:lang w:eastAsia="x-none"/>
              </w:rPr>
              <w:t xml:space="preserve">Each RSCP/RSCPD measurement has its own timestamp. </w:t>
            </w:r>
          </w:p>
          <w:p w14:paraId="5B6C5BEF" w14:textId="77777777" w:rsidR="00294F1A" w:rsidRPr="00294F1A" w:rsidRDefault="00294F1A" w:rsidP="00A67145">
            <w:pPr>
              <w:numPr>
                <w:ilvl w:val="0"/>
                <w:numId w:val="163"/>
              </w:numPr>
              <w:rPr>
                <w:rFonts w:ascii="Arial" w:hAnsi="Arial" w:cs="Arial"/>
                <w:sz w:val="16"/>
                <w:szCs w:val="16"/>
                <w:lang w:eastAsia="x-none"/>
              </w:rPr>
            </w:pPr>
            <w:r w:rsidRPr="00294F1A">
              <w:rPr>
                <w:rFonts w:ascii="Arial" w:hAnsi="Arial" w:cs="Arial"/>
                <w:sz w:val="16"/>
                <w:szCs w:val="16"/>
                <w:lang w:eastAsia="x-none"/>
              </w:rPr>
              <w:t>Note: It is up to RAN2 on how to define signalling support for the reporting of the timestamps of the RSCP/RSCPD measurements.</w:t>
            </w:r>
          </w:p>
          <w:p w14:paraId="670FB58A" w14:textId="77777777" w:rsidR="00294F1A" w:rsidRPr="00294F1A" w:rsidRDefault="00294F1A" w:rsidP="00294F1A">
            <w:pPr>
              <w:jc w:val="both"/>
              <w:rPr>
                <w:rFonts w:ascii="Arial" w:eastAsia="MS Mincho" w:hAnsi="Arial" w:cs="Arial"/>
                <w:sz w:val="16"/>
                <w:szCs w:val="16"/>
              </w:rPr>
            </w:pPr>
          </w:p>
        </w:tc>
      </w:tr>
      <w:tr w:rsidR="00294F1A" w:rsidRPr="00294F1A" w14:paraId="25900332" w14:textId="77777777" w:rsidTr="00DE645D">
        <w:tc>
          <w:tcPr>
            <w:tcW w:w="2023" w:type="dxa"/>
            <w:tcBorders>
              <w:left w:val="single" w:sz="4" w:space="0" w:color="auto"/>
            </w:tcBorders>
          </w:tcPr>
          <w:p w14:paraId="03F5155E" w14:textId="77777777" w:rsidR="00294F1A" w:rsidRPr="00294F1A" w:rsidRDefault="00294F1A" w:rsidP="00294F1A">
            <w:pPr>
              <w:tabs>
                <w:tab w:val="right" w:pos="2184"/>
              </w:tabs>
              <w:rPr>
                <w:rFonts w:ascii="Arial" w:eastAsia="MS Mincho" w:hAnsi="Arial" w:cs="Arial"/>
                <w:b/>
                <w:i/>
                <w:sz w:val="16"/>
                <w:szCs w:val="16"/>
              </w:rPr>
            </w:pPr>
            <w:r w:rsidRPr="00294F1A">
              <w:rPr>
                <w:rFonts w:ascii="Arial" w:eastAsia="MS Mincho" w:hAnsi="Arial" w:cs="Arial"/>
                <w:b/>
                <w:i/>
                <w:sz w:val="16"/>
                <w:szCs w:val="16"/>
              </w:rPr>
              <w:t>Summary of change:</w:t>
            </w:r>
          </w:p>
        </w:tc>
        <w:tc>
          <w:tcPr>
            <w:tcW w:w="8550" w:type="dxa"/>
            <w:tcBorders>
              <w:right w:val="single" w:sz="4" w:space="0" w:color="auto"/>
            </w:tcBorders>
            <w:shd w:val="pct30" w:color="FFFF00" w:fill="auto"/>
          </w:tcPr>
          <w:p w14:paraId="6C4170C4" w14:textId="77777777" w:rsidR="00294F1A" w:rsidRPr="00294F1A" w:rsidRDefault="00294F1A" w:rsidP="00294F1A">
            <w:pPr>
              <w:jc w:val="both"/>
              <w:rPr>
                <w:rFonts w:ascii="Arial" w:eastAsia="MS Mincho" w:hAnsi="Arial" w:cs="Arial"/>
                <w:sz w:val="16"/>
                <w:szCs w:val="16"/>
              </w:rPr>
            </w:pPr>
            <w:r w:rsidRPr="00294F1A">
              <w:rPr>
                <w:rFonts w:ascii="Arial" w:eastAsia="MS Mincho" w:hAnsi="Arial" w:cs="Arial"/>
                <w:sz w:val="16"/>
                <w:szCs w:val="16"/>
              </w:rPr>
              <w:t>Change the description of Section 5.1.6.5.2 in TS 38.214 to accurately capture the agreement.</w:t>
            </w:r>
          </w:p>
        </w:tc>
      </w:tr>
      <w:tr w:rsidR="00294F1A" w:rsidRPr="00294F1A" w14:paraId="1727B795" w14:textId="77777777" w:rsidTr="00DE645D">
        <w:tc>
          <w:tcPr>
            <w:tcW w:w="2023" w:type="dxa"/>
            <w:tcBorders>
              <w:left w:val="single" w:sz="4" w:space="0" w:color="auto"/>
              <w:bottom w:val="single" w:sz="4" w:space="0" w:color="auto"/>
            </w:tcBorders>
          </w:tcPr>
          <w:p w14:paraId="20D74F89" w14:textId="77777777" w:rsidR="00294F1A" w:rsidRPr="00294F1A" w:rsidRDefault="00294F1A" w:rsidP="00294F1A">
            <w:pPr>
              <w:tabs>
                <w:tab w:val="right" w:pos="2184"/>
              </w:tabs>
              <w:rPr>
                <w:rFonts w:ascii="Arial" w:eastAsia="MS Mincho" w:hAnsi="Arial" w:cs="Arial"/>
                <w:b/>
                <w:i/>
                <w:sz w:val="16"/>
                <w:szCs w:val="16"/>
              </w:rPr>
            </w:pPr>
            <w:r w:rsidRPr="00294F1A">
              <w:rPr>
                <w:rFonts w:ascii="Arial" w:eastAsia="MS Mincho" w:hAnsi="Arial" w:cs="Arial"/>
                <w:b/>
                <w:i/>
                <w:sz w:val="16"/>
                <w:szCs w:val="16"/>
              </w:rPr>
              <w:t>Consequences if not approved:</w:t>
            </w:r>
          </w:p>
        </w:tc>
        <w:tc>
          <w:tcPr>
            <w:tcW w:w="8550" w:type="dxa"/>
            <w:tcBorders>
              <w:bottom w:val="single" w:sz="4" w:space="0" w:color="auto"/>
              <w:right w:val="single" w:sz="4" w:space="0" w:color="auto"/>
            </w:tcBorders>
            <w:shd w:val="pct30" w:color="FFFF00" w:fill="auto"/>
          </w:tcPr>
          <w:p w14:paraId="7F130159" w14:textId="77777777" w:rsidR="00294F1A" w:rsidRPr="00294F1A" w:rsidRDefault="00294F1A" w:rsidP="00294F1A">
            <w:pPr>
              <w:rPr>
                <w:rFonts w:ascii="Arial" w:eastAsia="MS Mincho" w:hAnsi="Arial" w:cs="Arial"/>
                <w:sz w:val="16"/>
                <w:szCs w:val="16"/>
              </w:rPr>
            </w:pPr>
            <w:r w:rsidRPr="00294F1A">
              <w:rPr>
                <w:rFonts w:ascii="Arial" w:eastAsia="MS Mincho" w:hAnsi="Arial" w:cs="Arial"/>
                <w:sz w:val="16"/>
                <w:szCs w:val="16"/>
              </w:rPr>
              <w:t>The specification is not aligned with the agreement.</w:t>
            </w:r>
          </w:p>
        </w:tc>
      </w:tr>
    </w:tbl>
    <w:p w14:paraId="69BA9988" w14:textId="4963119A" w:rsidR="00294F1A" w:rsidRPr="00294F1A" w:rsidRDefault="00294F1A" w:rsidP="00294F1A">
      <w:pPr>
        <w:rPr>
          <w:color w:val="FF0000"/>
          <w:lang w:eastAsia="zh-CN"/>
        </w:rPr>
      </w:pPr>
      <w:r w:rsidRPr="00294F1A">
        <w:rPr>
          <w:color w:val="FF0000"/>
          <w:lang w:eastAsia="zh-CN"/>
        </w:rPr>
        <w:t>---------------- Start of TP ----------------</w:t>
      </w:r>
    </w:p>
    <w:p w14:paraId="36A0DE68" w14:textId="77777777" w:rsidR="00294F1A" w:rsidRPr="00294F1A" w:rsidRDefault="00294F1A" w:rsidP="00294F1A">
      <w:pPr>
        <w:rPr>
          <w:rFonts w:ascii="Arial" w:hAnsi="Arial" w:cs="Arial"/>
          <w:b/>
          <w:bCs/>
          <w:sz w:val="16"/>
          <w:szCs w:val="16"/>
          <w:lang w:val="en-US"/>
        </w:rPr>
      </w:pPr>
      <w:r w:rsidRPr="00294F1A">
        <w:rPr>
          <w:rFonts w:ascii="Arial" w:hAnsi="Arial" w:cs="Arial"/>
          <w:b/>
          <w:bCs/>
          <w:sz w:val="16"/>
          <w:szCs w:val="16"/>
        </w:rPr>
        <w:t>5.1.6.</w:t>
      </w:r>
      <w:r w:rsidRPr="00294F1A">
        <w:rPr>
          <w:rFonts w:ascii="Arial" w:hAnsi="Arial" w:cs="Arial"/>
          <w:b/>
          <w:bCs/>
          <w:sz w:val="16"/>
          <w:szCs w:val="16"/>
          <w:lang w:val="en-US"/>
        </w:rPr>
        <w:t>5</w:t>
      </w:r>
      <w:r w:rsidRPr="00294F1A">
        <w:rPr>
          <w:rFonts w:ascii="Arial" w:hAnsi="Arial" w:cs="Arial"/>
          <w:b/>
          <w:bCs/>
          <w:sz w:val="16"/>
          <w:szCs w:val="16"/>
        </w:rPr>
        <w:t>.</w:t>
      </w:r>
      <w:r w:rsidRPr="00294F1A">
        <w:rPr>
          <w:rFonts w:ascii="Arial" w:hAnsi="Arial" w:cs="Arial"/>
          <w:b/>
          <w:bCs/>
          <w:sz w:val="16"/>
          <w:szCs w:val="16"/>
          <w:lang w:val="en-US"/>
        </w:rPr>
        <w:t>2</w:t>
      </w:r>
      <w:r w:rsidRPr="00294F1A">
        <w:rPr>
          <w:rFonts w:ascii="Arial" w:hAnsi="Arial" w:cs="Arial"/>
          <w:b/>
          <w:bCs/>
          <w:sz w:val="16"/>
          <w:szCs w:val="16"/>
        </w:rPr>
        <w:tab/>
      </w:r>
      <w:r w:rsidRPr="00294F1A">
        <w:rPr>
          <w:rFonts w:ascii="Arial" w:hAnsi="Arial" w:cs="Arial"/>
          <w:b/>
          <w:bCs/>
          <w:sz w:val="16"/>
          <w:szCs w:val="16"/>
          <w:lang w:val="en-US"/>
        </w:rPr>
        <w:t>PRS for carrier phase positioning</w:t>
      </w:r>
    </w:p>
    <w:p w14:paraId="54811A1D" w14:textId="77777777" w:rsidR="00294F1A" w:rsidRPr="00294F1A" w:rsidRDefault="00294F1A" w:rsidP="00294F1A">
      <w:pPr>
        <w:snapToGrid w:val="0"/>
        <w:spacing w:beforeLines="50" w:before="120" w:afterLines="50" w:after="120"/>
        <w:jc w:val="center"/>
        <w:rPr>
          <w:rFonts w:ascii="Arial" w:hAnsi="Arial" w:cs="Arial"/>
          <w:color w:val="FF0000"/>
          <w:sz w:val="16"/>
          <w:szCs w:val="16"/>
        </w:rPr>
      </w:pPr>
      <w:r w:rsidRPr="00294F1A">
        <w:rPr>
          <w:rFonts w:ascii="Arial" w:hAnsi="Arial" w:cs="Arial"/>
          <w:color w:val="FF0000"/>
          <w:sz w:val="16"/>
          <w:szCs w:val="16"/>
          <w:lang w:eastAsia="zh-CN"/>
        </w:rPr>
        <w:t>&lt;Unrelated part omitted&gt;</w:t>
      </w:r>
    </w:p>
    <w:p w14:paraId="77D3BEAC" w14:textId="4B2A9840" w:rsidR="00294F1A" w:rsidRPr="00294F1A" w:rsidRDefault="00294F1A" w:rsidP="00294F1A">
      <w:pPr>
        <w:rPr>
          <w:ins w:id="500" w:author="Mihai Enescu" w:date="2023-10-19T06:55:00Z"/>
          <w:rFonts w:ascii="Arial" w:hAnsi="Arial" w:cs="Arial"/>
          <w:sz w:val="16"/>
          <w:szCs w:val="16"/>
        </w:rPr>
      </w:pPr>
      <w:r w:rsidRPr="00294F1A">
        <w:rPr>
          <w:rFonts w:ascii="Arial" w:hAnsi="Arial" w:cs="Arial"/>
          <w:sz w:val="16"/>
          <w:szCs w:val="16"/>
        </w:rPr>
        <w:t xml:space="preserve">The UE is expected to obtain </w:t>
      </w:r>
      <w:del w:id="501" w:author="CATT - Ren Da" w:date="2023-11-14T15:20:00Z">
        <w:r w:rsidRPr="00294F1A" w:rsidDel="00D8567C">
          <w:rPr>
            <w:rFonts w:ascii="Arial" w:hAnsi="Arial" w:cs="Arial"/>
            <w:sz w:val="16"/>
            <w:szCs w:val="16"/>
          </w:rPr>
          <w:delText>1</w:delText>
        </w:r>
      </w:del>
      <w:ins w:id="502" w:author="CATT - Ren Da" w:date="2023-11-14T15:19:00Z">
        <w:r w:rsidRPr="00294F1A">
          <w:rPr>
            <w:rFonts w:ascii="Arial" w:hAnsi="Arial" w:cs="Arial"/>
            <w:sz w:val="16"/>
            <w:szCs w:val="16"/>
          </w:rPr>
          <w:t>ea</w:t>
        </w:r>
      </w:ins>
      <w:ins w:id="503" w:author="CATT - Ren Da" w:date="2023-11-14T15:20:00Z">
        <w:r w:rsidRPr="00294F1A">
          <w:rPr>
            <w:rFonts w:ascii="Arial" w:hAnsi="Arial" w:cs="Arial"/>
            <w:sz w:val="16"/>
            <w:szCs w:val="16"/>
          </w:rPr>
          <w:t>ch</w:t>
        </w:r>
      </w:ins>
      <w:r w:rsidRPr="00294F1A">
        <w:rPr>
          <w:rFonts w:ascii="Arial" w:hAnsi="Arial" w:cs="Arial"/>
          <w:sz w:val="16"/>
          <w:szCs w:val="16"/>
        </w:rPr>
        <w:t xml:space="preserve"> DL RSCP or DL RSCPD measurement with </w:t>
      </w:r>
      <m:oMath>
        <m:sSub>
          <m:sSubPr>
            <m:ctrlPr>
              <w:rPr>
                <w:rFonts w:ascii="Cambria Math" w:hAnsi="Cambria Math" w:cs="Arial"/>
                <w:i/>
                <w:sz w:val="16"/>
                <w:szCs w:val="16"/>
              </w:rPr>
            </m:ctrlPr>
          </m:sSubPr>
          <m:e>
            <m:r>
              <w:rPr>
                <w:rFonts w:ascii="Cambria Math" w:hAnsi="Cambria Math" w:cs="Arial"/>
                <w:sz w:val="16"/>
                <w:szCs w:val="16"/>
              </w:rPr>
              <m:t>N</m:t>
            </m:r>
          </m:e>
          <m:sub>
            <m:r>
              <w:rPr>
                <w:rFonts w:ascii="Cambria Math" w:hAnsi="Cambria Math" w:cs="Arial"/>
                <w:sz w:val="16"/>
                <w:szCs w:val="16"/>
              </w:rPr>
              <m:t>sample</m:t>
            </m:r>
          </m:sub>
        </m:sSub>
        <m:r>
          <w:rPr>
            <w:rFonts w:ascii="Cambria Math" w:hAnsi="Cambria Math" w:cs="Arial"/>
            <w:sz w:val="16"/>
            <w:szCs w:val="16"/>
          </w:rPr>
          <m:t>=1</m:t>
        </m:r>
      </m:oMath>
      <w:r w:rsidRPr="00294F1A">
        <w:rPr>
          <w:rFonts w:ascii="Arial" w:hAnsi="Arial" w:cs="Arial"/>
          <w:sz w:val="16"/>
          <w:szCs w:val="16"/>
        </w:rPr>
        <w:t xml:space="preserve"> as defined in [11, TS 38.133].</w:t>
      </w:r>
      <w:ins w:id="504" w:author="Mihai Enescu" w:date="2023-10-19T06:30:00Z">
        <w:r w:rsidRPr="00294F1A">
          <w:rPr>
            <w:rFonts w:ascii="Arial" w:hAnsi="Arial" w:cs="Arial"/>
            <w:sz w:val="16"/>
            <w:szCs w:val="16"/>
          </w:rPr>
          <w:t xml:space="preserve"> </w:t>
        </w:r>
      </w:ins>
      <w:ins w:id="505" w:author="CATT - Ren Da" w:date="2023-11-14T15:20:00Z">
        <w:r w:rsidRPr="00294F1A">
          <w:rPr>
            <w:rFonts w:ascii="Arial" w:hAnsi="Arial" w:cs="Arial"/>
            <w:sz w:val="16"/>
            <w:szCs w:val="16"/>
          </w:rPr>
          <w:t xml:space="preserve">If </w:t>
        </w:r>
      </w:ins>
      <w:ins w:id="506" w:author="Mihai Enescu" w:date="2023-10-19T06:52:00Z">
        <w:del w:id="507" w:author="CATT - Ren Da" w:date="2023-11-14T15:20:00Z">
          <w:r w:rsidRPr="00294F1A" w:rsidDel="00D8567C">
            <w:rPr>
              <w:rFonts w:ascii="Arial" w:hAnsi="Arial" w:cs="Arial"/>
              <w:sz w:val="16"/>
              <w:szCs w:val="16"/>
            </w:rPr>
            <w:delText>T</w:delText>
          </w:r>
        </w:del>
      </w:ins>
      <w:ins w:id="508" w:author="CATT - Ren Da" w:date="2023-11-14T15:20:00Z">
        <w:r w:rsidRPr="00294F1A">
          <w:rPr>
            <w:rFonts w:ascii="Arial" w:hAnsi="Arial" w:cs="Arial"/>
            <w:sz w:val="16"/>
            <w:szCs w:val="16"/>
          </w:rPr>
          <w:t>t</w:t>
        </w:r>
      </w:ins>
      <w:ins w:id="509" w:author="Mihai Enescu" w:date="2023-10-19T06:30:00Z">
        <w:r w:rsidRPr="00294F1A">
          <w:rPr>
            <w:rFonts w:ascii="Arial" w:hAnsi="Arial" w:cs="Arial"/>
            <w:sz w:val="16"/>
            <w:szCs w:val="16"/>
          </w:rPr>
          <w:t xml:space="preserve">he UE </w:t>
        </w:r>
      </w:ins>
      <w:ins w:id="510" w:author="Mihai Enescu" w:date="2023-10-19T06:51:00Z">
        <w:del w:id="511" w:author="CATT - Ren Da" w:date="2023-11-14T15:20:00Z">
          <w:r w:rsidRPr="00294F1A" w:rsidDel="00D8567C">
            <w:rPr>
              <w:rFonts w:ascii="Arial" w:hAnsi="Arial" w:cs="Arial"/>
              <w:sz w:val="16"/>
              <w:szCs w:val="16"/>
            </w:rPr>
            <w:delText xml:space="preserve">may </w:delText>
          </w:r>
        </w:del>
        <w:r w:rsidRPr="00294F1A">
          <w:rPr>
            <w:rFonts w:ascii="Arial" w:hAnsi="Arial" w:cs="Arial"/>
            <w:sz w:val="16"/>
            <w:szCs w:val="16"/>
          </w:rPr>
          <w:t>report</w:t>
        </w:r>
      </w:ins>
      <w:ins w:id="512" w:author="CATT - Ren Da" w:date="2023-11-14T15:20:00Z">
        <w:r w:rsidRPr="00294F1A">
          <w:rPr>
            <w:rFonts w:ascii="Arial" w:hAnsi="Arial" w:cs="Arial"/>
            <w:sz w:val="16"/>
            <w:szCs w:val="16"/>
          </w:rPr>
          <w:t>s</w:t>
        </w:r>
      </w:ins>
      <w:ins w:id="513" w:author="Mihai Enescu" w:date="2023-10-19T06:30:00Z">
        <w:r w:rsidRPr="00294F1A">
          <w:rPr>
            <w:rFonts w:ascii="Arial" w:hAnsi="Arial" w:cs="Arial"/>
            <w:sz w:val="16"/>
            <w:szCs w:val="16"/>
          </w:rPr>
          <w:t xml:space="preserve"> </w:t>
        </w:r>
      </w:ins>
      <w:ins w:id="514" w:author="Mihai Enescu" w:date="2023-10-19T06:34:00Z">
        <w:r w:rsidRPr="00294F1A">
          <w:rPr>
            <w:rFonts w:ascii="Arial" w:hAnsi="Arial" w:cs="Arial"/>
            <w:sz w:val="16"/>
            <w:szCs w:val="16"/>
          </w:rPr>
          <w:t xml:space="preserve">a </w:t>
        </w:r>
      </w:ins>
      <w:ins w:id="515" w:author="Mihai Enescu" w:date="2023-10-19T06:30:00Z">
        <w:r w:rsidRPr="00294F1A">
          <w:rPr>
            <w:rFonts w:ascii="Arial" w:hAnsi="Arial" w:cs="Arial"/>
            <w:sz w:val="16"/>
            <w:szCs w:val="16"/>
          </w:rPr>
          <w:t xml:space="preserve">DL RSTD measurement with </w:t>
        </w:r>
      </w:ins>
      <m:oMath>
        <m:sSub>
          <m:sSubPr>
            <m:ctrlPr>
              <w:ins w:id="516" w:author="Mihai Enescu" w:date="2023-10-19T06:50:00Z">
                <w:rPr>
                  <w:rFonts w:ascii="Cambria Math" w:hAnsi="Cambria Math" w:cs="Arial"/>
                  <w:i/>
                  <w:sz w:val="16"/>
                  <w:szCs w:val="16"/>
                </w:rPr>
              </w:ins>
            </m:ctrlPr>
          </m:sSubPr>
          <m:e>
            <m:r>
              <w:ins w:id="517" w:author="Mihai Enescu" w:date="2023-10-19T06:50:00Z">
                <w:rPr>
                  <w:rFonts w:ascii="Cambria Math" w:hAnsi="Cambria Math" w:cs="Arial"/>
                  <w:sz w:val="16"/>
                  <w:szCs w:val="16"/>
                </w:rPr>
                <m:t>N</m:t>
              </w:ins>
            </m:r>
          </m:e>
          <m:sub>
            <m:r>
              <w:ins w:id="518" w:author="Mihai Enescu" w:date="2023-10-19T06:50:00Z">
                <w:rPr>
                  <w:rFonts w:ascii="Cambria Math" w:hAnsi="Cambria Math" w:cs="Arial"/>
                  <w:sz w:val="16"/>
                  <w:szCs w:val="16"/>
                </w:rPr>
                <m:t>sample</m:t>
              </w:ins>
            </m:r>
          </m:sub>
        </m:sSub>
      </m:oMath>
      <w:ins w:id="519" w:author="Mihai Enescu" w:date="2023-10-19T06:50:00Z">
        <w:r w:rsidRPr="00294F1A">
          <w:rPr>
            <w:rFonts w:ascii="Arial" w:hAnsi="Arial" w:cs="Arial"/>
            <w:sz w:val="16"/>
            <w:szCs w:val="16"/>
            <w:lang w:val="en-US" w:eastAsia="zh-CN"/>
          </w:rPr>
          <w:t xml:space="preserve"> </w:t>
        </w:r>
        <w:r w:rsidRPr="00294F1A">
          <w:rPr>
            <w:rFonts w:ascii="Arial" w:hAnsi="Arial" w:cs="Arial"/>
            <w:color w:val="000000"/>
            <w:sz w:val="16"/>
            <w:szCs w:val="16"/>
            <w:lang w:val="en-US" w:eastAsia="zh-CN"/>
          </w:rPr>
          <w:t>= 2 or 4 samples</w:t>
        </w:r>
      </w:ins>
      <w:ins w:id="520" w:author="Mihai Enescu" w:date="2023-10-19T06:52:00Z">
        <w:r w:rsidRPr="00294F1A">
          <w:rPr>
            <w:rFonts w:ascii="Arial" w:hAnsi="Arial" w:cs="Arial"/>
            <w:color w:val="000000"/>
            <w:sz w:val="16"/>
            <w:szCs w:val="16"/>
            <w:lang w:val="en-US" w:eastAsia="zh-CN"/>
          </w:rPr>
          <w:t xml:space="preserve"> as </w:t>
        </w:r>
        <w:r w:rsidRPr="00294F1A">
          <w:rPr>
            <w:rFonts w:ascii="Arial" w:hAnsi="Arial" w:cs="Arial"/>
            <w:color w:val="000000"/>
            <w:sz w:val="16"/>
            <w:szCs w:val="16"/>
          </w:rPr>
          <w:t>defined in [11, TS 38.133]</w:t>
        </w:r>
      </w:ins>
      <w:ins w:id="521" w:author="CATT - Ren Da" w:date="2023-11-14T15:20:00Z">
        <w:r w:rsidRPr="00294F1A">
          <w:rPr>
            <w:rFonts w:ascii="Arial" w:hAnsi="Arial" w:cs="Arial"/>
            <w:color w:val="000000"/>
            <w:sz w:val="16"/>
            <w:szCs w:val="16"/>
          </w:rPr>
          <w:t xml:space="preserve">, </w:t>
        </w:r>
      </w:ins>
      <w:ins w:id="522" w:author="Mihai Enescu" w:date="2023-10-19T06:53:00Z">
        <w:del w:id="523" w:author="CATT - Ren Da" w:date="2023-11-14T15:20:00Z">
          <w:r w:rsidRPr="00294F1A" w:rsidDel="00D8567C">
            <w:rPr>
              <w:rFonts w:ascii="Arial" w:hAnsi="Arial" w:cs="Arial"/>
              <w:color w:val="000000"/>
              <w:sz w:val="16"/>
              <w:szCs w:val="16"/>
            </w:rPr>
            <w:delText xml:space="preserve"> and</w:delText>
          </w:r>
        </w:del>
      </w:ins>
      <w:ins w:id="524" w:author="CATT - Ren Da" w:date="2023-11-14T15:20:00Z">
        <w:r w:rsidRPr="00294F1A">
          <w:rPr>
            <w:rFonts w:ascii="Arial" w:hAnsi="Arial" w:cs="Arial"/>
            <w:color w:val="000000"/>
            <w:sz w:val="16"/>
            <w:szCs w:val="16"/>
          </w:rPr>
          <w:t xml:space="preserve"> up to</w:t>
        </w:r>
      </w:ins>
      <w:ins w:id="525" w:author="Mihai Enescu" w:date="2023-10-19T06:53:00Z">
        <w:r w:rsidRPr="00294F1A">
          <w:rPr>
            <w:rFonts w:ascii="Arial" w:hAnsi="Arial" w:cs="Arial"/>
            <w:color w:val="000000"/>
            <w:sz w:val="16"/>
            <w:szCs w:val="16"/>
          </w:rPr>
          <w:t xml:space="preserve"> </w:t>
        </w:r>
      </w:ins>
      <m:oMath>
        <m:sSub>
          <m:sSubPr>
            <m:ctrlPr>
              <w:ins w:id="526" w:author="Mihai Enescu" w:date="2023-10-19T06:54:00Z">
                <w:rPr>
                  <w:rFonts w:ascii="Cambria Math" w:hAnsi="Cambria Math" w:cs="Arial"/>
                  <w:i/>
                  <w:sz w:val="16"/>
                  <w:szCs w:val="16"/>
                </w:rPr>
              </w:ins>
            </m:ctrlPr>
          </m:sSubPr>
          <m:e>
            <m:r>
              <w:ins w:id="527" w:author="Mihai Enescu" w:date="2023-10-19T06:54:00Z">
                <w:rPr>
                  <w:rFonts w:ascii="Cambria Math" w:hAnsi="Cambria Math" w:cs="Arial"/>
                  <w:sz w:val="16"/>
                  <w:szCs w:val="16"/>
                </w:rPr>
                <m:t>N</m:t>
              </w:ins>
            </m:r>
          </m:e>
          <m:sub>
            <m:r>
              <w:ins w:id="528" w:author="Mihai Enescu" w:date="2023-10-19T06:54:00Z">
                <w:rPr>
                  <w:rFonts w:ascii="Cambria Math" w:hAnsi="Cambria Math" w:cs="Arial"/>
                  <w:sz w:val="16"/>
                  <w:szCs w:val="16"/>
                </w:rPr>
                <m:t>sample</m:t>
              </w:ins>
            </m:r>
          </m:sub>
        </m:sSub>
      </m:oMath>
      <w:ins w:id="529" w:author="Mihai Enescu" w:date="2023-10-19T06:54:00Z">
        <w:r w:rsidRPr="00294F1A">
          <w:rPr>
            <w:rFonts w:ascii="Arial" w:hAnsi="Arial" w:cs="Arial"/>
            <w:sz w:val="16"/>
            <w:szCs w:val="16"/>
          </w:rPr>
          <w:t xml:space="preserve"> </w:t>
        </w:r>
      </w:ins>
      <w:ins w:id="530" w:author="CATT - Ren Da" w:date="2023-11-14T15:20:00Z">
        <w:r w:rsidRPr="00294F1A">
          <w:rPr>
            <w:rFonts w:ascii="Arial" w:hAnsi="Arial" w:cs="Arial"/>
            <w:sz w:val="16"/>
            <w:szCs w:val="16"/>
          </w:rPr>
          <w:t xml:space="preserve">DL </w:t>
        </w:r>
      </w:ins>
      <w:ins w:id="531" w:author="Mihai Enescu" w:date="2023-10-19T06:54:00Z">
        <w:r w:rsidRPr="00294F1A">
          <w:rPr>
            <w:rFonts w:ascii="Arial" w:hAnsi="Arial" w:cs="Arial"/>
            <w:sz w:val="16"/>
            <w:szCs w:val="16"/>
          </w:rPr>
          <w:t xml:space="preserve">RSCPD measurements </w:t>
        </w:r>
      </w:ins>
      <w:ins w:id="532" w:author="CATT - Ren Da" w:date="2023-11-14T15:22:00Z">
        <w:r w:rsidRPr="00294F1A">
          <w:rPr>
            <w:rFonts w:ascii="Arial" w:hAnsi="Arial" w:cs="Arial"/>
            <w:sz w:val="16"/>
            <w:szCs w:val="16"/>
          </w:rPr>
          <w:t>can be reported</w:t>
        </w:r>
      </w:ins>
      <w:r w:rsidRPr="00294F1A">
        <w:rPr>
          <w:rFonts w:ascii="Arial" w:hAnsi="Arial" w:cs="Arial"/>
          <w:sz w:val="16"/>
          <w:szCs w:val="16"/>
        </w:rPr>
        <w:t xml:space="preserve"> </w:t>
      </w:r>
      <w:ins w:id="533" w:author="Mihai Enescu" w:date="2023-10-19T06:54:00Z">
        <w:r w:rsidRPr="00294F1A">
          <w:rPr>
            <w:rFonts w:ascii="Arial" w:hAnsi="Arial" w:cs="Arial"/>
            <w:sz w:val="16"/>
            <w:szCs w:val="16"/>
          </w:rPr>
          <w:t>associated with the DL RSTD measurement.</w:t>
        </w:r>
      </w:ins>
      <w:ins w:id="534" w:author="Mihai Enescu" w:date="2023-10-19T06:30:00Z">
        <w:r w:rsidRPr="00294F1A">
          <w:rPr>
            <w:rFonts w:ascii="Arial" w:hAnsi="Arial" w:cs="Arial"/>
            <w:sz w:val="16"/>
            <w:szCs w:val="16"/>
          </w:rPr>
          <w:t xml:space="preserve"> </w:t>
        </w:r>
      </w:ins>
      <w:ins w:id="535" w:author="CATT - Ren Da" w:date="2023-11-14T15:21:00Z">
        <w:r w:rsidRPr="00294F1A">
          <w:rPr>
            <w:rFonts w:ascii="Arial" w:hAnsi="Arial" w:cs="Arial"/>
            <w:sz w:val="16"/>
            <w:szCs w:val="16"/>
          </w:rPr>
          <w:t xml:space="preserve">If </w:t>
        </w:r>
      </w:ins>
      <w:ins w:id="536" w:author="Mihai Enescu" w:date="2023-10-19T06:55:00Z">
        <w:del w:id="537" w:author="CATT - Ren Da" w:date="2023-11-14T15:21:00Z">
          <w:r w:rsidRPr="00294F1A" w:rsidDel="00D8567C">
            <w:rPr>
              <w:rFonts w:ascii="Arial" w:hAnsi="Arial" w:cs="Arial"/>
              <w:sz w:val="16"/>
              <w:szCs w:val="16"/>
            </w:rPr>
            <w:delText>T</w:delText>
          </w:r>
        </w:del>
      </w:ins>
      <w:ins w:id="538" w:author="CATT - Ren Da" w:date="2023-11-14T15:21:00Z">
        <w:r w:rsidRPr="00294F1A">
          <w:rPr>
            <w:rFonts w:ascii="Arial" w:hAnsi="Arial" w:cs="Arial"/>
            <w:sz w:val="16"/>
            <w:szCs w:val="16"/>
          </w:rPr>
          <w:t>t</w:t>
        </w:r>
      </w:ins>
      <w:ins w:id="539" w:author="Mihai Enescu" w:date="2023-10-19T06:55:00Z">
        <w:r w:rsidRPr="00294F1A">
          <w:rPr>
            <w:rFonts w:ascii="Arial" w:hAnsi="Arial" w:cs="Arial"/>
            <w:sz w:val="16"/>
            <w:szCs w:val="16"/>
          </w:rPr>
          <w:t xml:space="preserve">he UE </w:t>
        </w:r>
        <w:del w:id="540" w:author="CATT - Ren Da" w:date="2023-11-14T15:21:00Z">
          <w:r w:rsidRPr="00294F1A" w:rsidDel="00D8567C">
            <w:rPr>
              <w:rFonts w:ascii="Arial" w:hAnsi="Arial" w:cs="Arial"/>
              <w:sz w:val="16"/>
              <w:szCs w:val="16"/>
            </w:rPr>
            <w:delText xml:space="preserve">may </w:delText>
          </w:r>
        </w:del>
        <w:r w:rsidRPr="00294F1A">
          <w:rPr>
            <w:rFonts w:ascii="Arial" w:hAnsi="Arial" w:cs="Arial"/>
            <w:sz w:val="16"/>
            <w:szCs w:val="16"/>
          </w:rPr>
          <w:t>report</w:t>
        </w:r>
      </w:ins>
      <w:ins w:id="541" w:author="CATT - Ren Da" w:date="2023-11-14T15:21:00Z">
        <w:r w:rsidRPr="00294F1A">
          <w:rPr>
            <w:rFonts w:ascii="Arial" w:hAnsi="Arial" w:cs="Arial"/>
            <w:sz w:val="16"/>
            <w:szCs w:val="16"/>
          </w:rPr>
          <w:t>s</w:t>
        </w:r>
      </w:ins>
      <w:ins w:id="542" w:author="Mihai Enescu" w:date="2023-10-19T06:55:00Z">
        <w:r w:rsidRPr="00294F1A">
          <w:rPr>
            <w:rFonts w:ascii="Arial" w:hAnsi="Arial" w:cs="Arial"/>
            <w:sz w:val="16"/>
            <w:szCs w:val="16"/>
          </w:rPr>
          <w:t xml:space="preserve"> a UE Rx-Tx time difference measurement with </w:t>
        </w:r>
      </w:ins>
      <m:oMath>
        <m:sSub>
          <m:sSubPr>
            <m:ctrlPr>
              <w:ins w:id="543" w:author="Mihai Enescu" w:date="2023-10-19T06:55:00Z">
                <w:rPr>
                  <w:rFonts w:ascii="Cambria Math" w:hAnsi="Cambria Math" w:cs="Arial"/>
                  <w:i/>
                  <w:sz w:val="16"/>
                  <w:szCs w:val="16"/>
                </w:rPr>
              </w:ins>
            </m:ctrlPr>
          </m:sSubPr>
          <m:e>
            <m:r>
              <w:ins w:id="544" w:author="Mihai Enescu" w:date="2023-10-19T06:55:00Z">
                <w:rPr>
                  <w:rFonts w:ascii="Cambria Math" w:hAnsi="Cambria Math" w:cs="Arial"/>
                  <w:sz w:val="16"/>
                  <w:szCs w:val="16"/>
                </w:rPr>
                <m:t>N</m:t>
              </w:ins>
            </m:r>
          </m:e>
          <m:sub>
            <m:r>
              <w:ins w:id="545" w:author="Mihai Enescu" w:date="2023-10-19T06:55:00Z">
                <w:rPr>
                  <w:rFonts w:ascii="Cambria Math" w:hAnsi="Cambria Math" w:cs="Arial"/>
                  <w:sz w:val="16"/>
                  <w:szCs w:val="16"/>
                </w:rPr>
                <m:t>sample</m:t>
              </w:ins>
            </m:r>
          </m:sub>
        </m:sSub>
      </m:oMath>
      <w:ins w:id="546" w:author="Mihai Enescu" w:date="2023-10-19T06:55:00Z">
        <w:r w:rsidRPr="00294F1A">
          <w:rPr>
            <w:rFonts w:ascii="Arial" w:hAnsi="Arial" w:cs="Arial"/>
            <w:sz w:val="16"/>
            <w:szCs w:val="16"/>
            <w:lang w:val="en-US" w:eastAsia="zh-CN"/>
          </w:rPr>
          <w:t xml:space="preserve"> </w:t>
        </w:r>
        <w:r w:rsidRPr="00294F1A">
          <w:rPr>
            <w:rFonts w:ascii="Arial" w:hAnsi="Arial" w:cs="Arial"/>
            <w:color w:val="000000"/>
            <w:sz w:val="16"/>
            <w:szCs w:val="16"/>
            <w:lang w:val="en-US" w:eastAsia="zh-CN"/>
          </w:rPr>
          <w:t xml:space="preserve">= 2 or 4 samples as </w:t>
        </w:r>
        <w:r w:rsidRPr="00294F1A">
          <w:rPr>
            <w:rFonts w:ascii="Arial" w:hAnsi="Arial" w:cs="Arial"/>
            <w:color w:val="000000"/>
            <w:sz w:val="16"/>
            <w:szCs w:val="16"/>
          </w:rPr>
          <w:t>defined in [11, TS 38.133]</w:t>
        </w:r>
      </w:ins>
      <w:ins w:id="547" w:author="CATT - Ren Da" w:date="2023-11-14T15:21:00Z">
        <w:r w:rsidRPr="00294F1A">
          <w:rPr>
            <w:rFonts w:ascii="Arial" w:hAnsi="Arial" w:cs="Arial"/>
            <w:color w:val="000000"/>
            <w:sz w:val="16"/>
            <w:szCs w:val="16"/>
          </w:rPr>
          <w:t>, up to</w:t>
        </w:r>
      </w:ins>
      <w:ins w:id="548" w:author="Mihai Enescu" w:date="2023-10-19T06:55:00Z">
        <w:r w:rsidRPr="00294F1A">
          <w:rPr>
            <w:rFonts w:ascii="Arial" w:hAnsi="Arial" w:cs="Arial"/>
            <w:color w:val="000000"/>
            <w:sz w:val="16"/>
            <w:szCs w:val="16"/>
          </w:rPr>
          <w:t xml:space="preserve"> </w:t>
        </w:r>
        <w:del w:id="549" w:author="CATT - Ren Da" w:date="2023-11-14T15:21:00Z">
          <w:r w:rsidRPr="00294F1A" w:rsidDel="00D8567C">
            <w:rPr>
              <w:rFonts w:ascii="Arial" w:hAnsi="Arial" w:cs="Arial"/>
              <w:color w:val="000000"/>
              <w:sz w:val="16"/>
              <w:szCs w:val="16"/>
            </w:rPr>
            <w:delText xml:space="preserve">and </w:delText>
          </w:r>
        </w:del>
      </w:ins>
      <m:oMath>
        <m:sSub>
          <m:sSubPr>
            <m:ctrlPr>
              <w:ins w:id="550" w:author="Mihai Enescu" w:date="2023-10-19T06:55:00Z">
                <w:rPr>
                  <w:rFonts w:ascii="Cambria Math" w:hAnsi="Cambria Math" w:cs="Arial"/>
                  <w:i/>
                  <w:sz w:val="16"/>
                  <w:szCs w:val="16"/>
                </w:rPr>
              </w:ins>
            </m:ctrlPr>
          </m:sSubPr>
          <m:e>
            <m:r>
              <w:ins w:id="551" w:author="Mihai Enescu" w:date="2023-10-19T06:55:00Z">
                <w:rPr>
                  <w:rFonts w:ascii="Cambria Math" w:hAnsi="Cambria Math" w:cs="Arial"/>
                  <w:sz w:val="16"/>
                  <w:szCs w:val="16"/>
                </w:rPr>
                <m:t>N</m:t>
              </w:ins>
            </m:r>
          </m:e>
          <m:sub>
            <m:r>
              <w:ins w:id="552" w:author="Mihai Enescu" w:date="2023-10-19T06:55:00Z">
                <w:rPr>
                  <w:rFonts w:ascii="Cambria Math" w:hAnsi="Cambria Math" w:cs="Arial"/>
                  <w:sz w:val="16"/>
                  <w:szCs w:val="16"/>
                </w:rPr>
                <m:t>sample</m:t>
              </w:ins>
            </m:r>
          </m:sub>
        </m:sSub>
      </m:oMath>
      <w:ins w:id="553" w:author="Mihai Enescu" w:date="2023-10-19T06:55:00Z">
        <w:r w:rsidRPr="00294F1A">
          <w:rPr>
            <w:rFonts w:ascii="Arial" w:hAnsi="Arial" w:cs="Arial"/>
            <w:sz w:val="16"/>
            <w:szCs w:val="16"/>
          </w:rPr>
          <w:t xml:space="preserve"> </w:t>
        </w:r>
      </w:ins>
      <w:ins w:id="554" w:author="CATT - Ren Da" w:date="2023-11-14T15:21:00Z">
        <w:r w:rsidRPr="00294F1A">
          <w:rPr>
            <w:rFonts w:ascii="Arial" w:hAnsi="Arial" w:cs="Arial"/>
            <w:sz w:val="16"/>
            <w:szCs w:val="16"/>
          </w:rPr>
          <w:t xml:space="preserve">DL </w:t>
        </w:r>
      </w:ins>
      <w:ins w:id="555" w:author="Mihai Enescu" w:date="2023-10-19T06:55:00Z">
        <w:r w:rsidRPr="00294F1A">
          <w:rPr>
            <w:rFonts w:ascii="Arial" w:hAnsi="Arial" w:cs="Arial"/>
            <w:sz w:val="16"/>
            <w:szCs w:val="16"/>
          </w:rPr>
          <w:t xml:space="preserve">RSCP measurements </w:t>
        </w:r>
      </w:ins>
      <w:ins w:id="556" w:author="CATT - Ren Da" w:date="2023-11-14T15:21:00Z">
        <w:r w:rsidRPr="00294F1A">
          <w:rPr>
            <w:rFonts w:ascii="Arial" w:hAnsi="Arial" w:cs="Arial"/>
            <w:sz w:val="16"/>
            <w:szCs w:val="16"/>
          </w:rPr>
          <w:t>can be reported</w:t>
        </w:r>
      </w:ins>
      <w:r w:rsidRPr="00294F1A">
        <w:rPr>
          <w:rFonts w:ascii="Arial" w:hAnsi="Arial" w:cs="Arial"/>
          <w:sz w:val="16"/>
          <w:szCs w:val="16"/>
        </w:rPr>
        <w:t xml:space="preserve"> </w:t>
      </w:r>
      <w:ins w:id="557" w:author="Mihai Enescu" w:date="2023-10-19T06:55:00Z">
        <w:r w:rsidRPr="00294F1A">
          <w:rPr>
            <w:rFonts w:ascii="Arial" w:hAnsi="Arial" w:cs="Arial"/>
            <w:sz w:val="16"/>
            <w:szCs w:val="16"/>
          </w:rPr>
          <w:t xml:space="preserve">associated with the UE Rx-Tx time difference measurement. </w:t>
        </w:r>
      </w:ins>
      <w:ins w:id="558" w:author="CATT - Ren Da" w:date="2023-11-14T15:22:00Z">
        <w:r w:rsidRPr="00294F1A">
          <w:rPr>
            <w:rFonts w:ascii="Arial" w:hAnsi="Arial" w:cs="Arial"/>
            <w:sz w:val="16"/>
            <w:szCs w:val="16"/>
          </w:rPr>
          <w:t>Each DL RSCP or DL RSCPD measurement has its own timestamp.</w:t>
        </w:r>
      </w:ins>
    </w:p>
    <w:p w14:paraId="205C0919" w14:textId="6FEA6221" w:rsidR="00294F1A" w:rsidRPr="00294F1A" w:rsidRDefault="00294F1A" w:rsidP="00294F1A">
      <w:pPr>
        <w:rPr>
          <w:color w:val="FF0000"/>
          <w:lang w:eastAsia="zh-CN"/>
        </w:rPr>
      </w:pPr>
      <w:r w:rsidRPr="00294F1A">
        <w:rPr>
          <w:color w:val="FF0000"/>
          <w:lang w:eastAsia="zh-CN"/>
        </w:rPr>
        <w:t xml:space="preserve">---------------- </w:t>
      </w:r>
      <w:r>
        <w:rPr>
          <w:color w:val="FF0000"/>
          <w:lang w:eastAsia="zh-CN"/>
        </w:rPr>
        <w:t>End</w:t>
      </w:r>
      <w:r w:rsidRPr="00294F1A">
        <w:rPr>
          <w:color w:val="FF0000"/>
          <w:lang w:eastAsia="zh-CN"/>
        </w:rPr>
        <w:t xml:space="preserve"> of TP ----------------</w:t>
      </w:r>
    </w:p>
    <w:p w14:paraId="067F4885" w14:textId="77777777" w:rsidR="00294F1A" w:rsidRPr="00294F1A" w:rsidRDefault="00294F1A" w:rsidP="00294F1A"/>
    <w:p w14:paraId="5C0DD57B" w14:textId="77777777" w:rsidR="00294F1A" w:rsidRPr="00294F1A" w:rsidRDefault="00294F1A" w:rsidP="00294F1A">
      <w:r w:rsidRPr="00294F1A">
        <w:rPr>
          <w:highlight w:val="green"/>
        </w:rPr>
        <w:t>Agreement</w:t>
      </w:r>
    </w:p>
    <w:p w14:paraId="40EAA432" w14:textId="34DD9853" w:rsidR="00294F1A" w:rsidRPr="00294F1A" w:rsidRDefault="00294F1A" w:rsidP="00294F1A">
      <w:pPr>
        <w:rPr>
          <w:rFonts w:eastAsia="SimSun"/>
          <w:lang w:val="en-US" w:eastAsia="zh-CN"/>
        </w:rPr>
      </w:pPr>
      <w:r w:rsidRPr="00294F1A">
        <w:rPr>
          <w:rFonts w:eastAsia="SimSun"/>
          <w:lang w:val="en-US" w:eastAsia="zh-CN"/>
        </w:rPr>
        <w:t xml:space="preserve">Endorse TP#3 in Section 9 of </w:t>
      </w:r>
      <w:hyperlink r:id="rId1182" w:history="1">
        <w:r w:rsidR="00AF7253">
          <w:rPr>
            <w:rStyle w:val="Hyperlink"/>
            <w:rFonts w:eastAsia="SimSun"/>
            <w:lang w:val="en-US" w:eastAsia="zh-CN"/>
          </w:rPr>
          <w:t>R1-2312270</w:t>
        </w:r>
      </w:hyperlink>
      <w:r w:rsidRPr="00294F1A">
        <w:rPr>
          <w:rFonts w:eastAsia="SimSun"/>
          <w:lang w:val="en-US" w:eastAsia="zh-CN"/>
        </w:rPr>
        <w:t xml:space="preserve"> for TS 38.214 Clauses 5.1.6.5.</w:t>
      </w:r>
    </w:p>
    <w:tbl>
      <w:tblPr>
        <w:tblW w:w="5000" w:type="pct"/>
        <w:tblCellMar>
          <w:left w:w="42" w:type="dxa"/>
          <w:right w:w="42" w:type="dxa"/>
        </w:tblCellMar>
        <w:tblLook w:val="04A0" w:firstRow="1" w:lastRow="0" w:firstColumn="1" w:lastColumn="0" w:noHBand="0" w:noVBand="1"/>
      </w:tblPr>
      <w:tblGrid>
        <w:gridCol w:w="2948"/>
        <w:gridCol w:w="7603"/>
      </w:tblGrid>
      <w:tr w:rsidR="00294F1A" w:rsidRPr="00294F1A" w14:paraId="146D4319" w14:textId="77777777" w:rsidTr="00294F1A">
        <w:tc>
          <w:tcPr>
            <w:tcW w:w="1397" w:type="pct"/>
            <w:tcBorders>
              <w:top w:val="single" w:sz="4" w:space="0" w:color="auto"/>
              <w:left w:val="single" w:sz="4" w:space="0" w:color="auto"/>
            </w:tcBorders>
          </w:tcPr>
          <w:p w14:paraId="04A9F7FF" w14:textId="77777777" w:rsidR="00294F1A" w:rsidRPr="00294F1A" w:rsidRDefault="00294F1A" w:rsidP="00294F1A">
            <w:pPr>
              <w:tabs>
                <w:tab w:val="right" w:pos="2184"/>
              </w:tabs>
              <w:rPr>
                <w:rFonts w:ascii="Arial" w:eastAsia="MS Mincho" w:hAnsi="Arial" w:cs="Arial"/>
                <w:b/>
                <w:i/>
                <w:sz w:val="16"/>
                <w:szCs w:val="16"/>
              </w:rPr>
            </w:pPr>
            <w:r w:rsidRPr="00294F1A">
              <w:rPr>
                <w:rFonts w:ascii="Arial" w:eastAsia="MS Mincho" w:hAnsi="Arial" w:cs="Arial"/>
                <w:b/>
                <w:i/>
                <w:sz w:val="16"/>
                <w:szCs w:val="16"/>
              </w:rPr>
              <w:t>Reason for change:</w:t>
            </w:r>
          </w:p>
        </w:tc>
        <w:tc>
          <w:tcPr>
            <w:tcW w:w="3603" w:type="pct"/>
            <w:tcBorders>
              <w:top w:val="single" w:sz="4" w:space="0" w:color="auto"/>
              <w:right w:val="single" w:sz="4" w:space="0" w:color="auto"/>
            </w:tcBorders>
            <w:shd w:val="pct30" w:color="FFFF00" w:fill="auto"/>
          </w:tcPr>
          <w:p w14:paraId="7BAF3D75" w14:textId="40EA2D0A" w:rsidR="00294F1A" w:rsidRPr="00294F1A" w:rsidRDefault="00294F1A" w:rsidP="00294F1A">
            <w:pPr>
              <w:ind w:left="100"/>
              <w:jc w:val="both"/>
              <w:rPr>
                <w:rFonts w:ascii="Arial" w:eastAsia="MS Mincho" w:hAnsi="Arial" w:cs="Arial"/>
                <w:sz w:val="16"/>
                <w:szCs w:val="16"/>
              </w:rPr>
            </w:pPr>
            <w:r w:rsidRPr="00294F1A">
              <w:rPr>
                <w:rFonts w:ascii="Arial" w:eastAsia="MS Mincho" w:hAnsi="Arial" w:cs="Arial"/>
                <w:sz w:val="16"/>
                <w:szCs w:val="16"/>
              </w:rPr>
              <w:t>The following agreement made in RAN1#114bis is not fully or clearly captured in the specification, e.g., the number of windows, the number of the indicated DL PRS resource set(s) for all TRPs should be the same.</w:t>
            </w:r>
          </w:p>
          <w:p w14:paraId="0CD5BC80" w14:textId="77777777" w:rsidR="00294F1A" w:rsidRPr="00294F1A" w:rsidRDefault="00294F1A" w:rsidP="00294F1A">
            <w:pPr>
              <w:rPr>
                <w:rFonts w:ascii="Arial" w:hAnsi="Arial" w:cs="Arial"/>
                <w:b/>
                <w:bCs/>
                <w:sz w:val="16"/>
                <w:szCs w:val="16"/>
                <w:lang w:eastAsia="zh-CN"/>
              </w:rPr>
            </w:pPr>
            <w:r w:rsidRPr="00294F1A">
              <w:rPr>
                <w:rFonts w:ascii="Arial" w:hAnsi="Arial" w:cs="Arial"/>
                <w:b/>
                <w:bCs/>
                <w:sz w:val="16"/>
                <w:szCs w:val="16"/>
                <w:highlight w:val="green"/>
                <w:lang w:eastAsia="zh-CN"/>
              </w:rPr>
              <w:t>Agreement</w:t>
            </w:r>
            <w:r w:rsidRPr="00294F1A">
              <w:rPr>
                <w:rFonts w:ascii="Arial" w:hAnsi="Arial" w:cs="Arial"/>
                <w:b/>
                <w:sz w:val="16"/>
                <w:szCs w:val="16"/>
                <w:lang w:val="en-US" w:eastAsia="zh-CN"/>
              </w:rPr>
              <w:t xml:space="preserve"> </w:t>
            </w:r>
            <w:r w:rsidRPr="00294F1A">
              <w:rPr>
                <w:rFonts w:ascii="Arial" w:hAnsi="Arial" w:cs="Arial"/>
                <w:b/>
                <w:bCs/>
                <w:sz w:val="16"/>
                <w:szCs w:val="16"/>
              </w:rPr>
              <w:t>(RAN1#114bis)</w:t>
            </w:r>
          </w:p>
          <w:p w14:paraId="7EAD2BE0" w14:textId="77777777" w:rsidR="00294F1A" w:rsidRPr="00294F1A" w:rsidRDefault="00294F1A" w:rsidP="00294F1A">
            <w:pPr>
              <w:rPr>
                <w:rFonts w:ascii="Arial" w:hAnsi="Arial" w:cs="Arial"/>
                <w:sz w:val="16"/>
                <w:szCs w:val="16"/>
                <w:lang w:eastAsia="zh-CN"/>
              </w:rPr>
            </w:pPr>
            <w:r w:rsidRPr="00294F1A">
              <w:rPr>
                <w:rFonts w:ascii="Arial" w:hAnsi="Arial" w:cs="Arial"/>
                <w:sz w:val="16"/>
                <w:szCs w:val="16"/>
                <w:lang w:eastAsia="zh-CN"/>
              </w:rPr>
              <w:t>Adopt the following changes to the previous agreement made in RAN1#114:</w:t>
            </w:r>
          </w:p>
          <w:tbl>
            <w:tblPr>
              <w:tblW w:w="0" w:type="auto"/>
              <w:tblInd w:w="250" w:type="dxa"/>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7239"/>
            </w:tblGrid>
            <w:tr w:rsidR="00294F1A" w:rsidRPr="00294F1A" w14:paraId="3EA05287" w14:textId="77777777" w:rsidTr="00DE645D">
              <w:tc>
                <w:tcPr>
                  <w:tcW w:w="9607" w:type="dxa"/>
                  <w:shd w:val="clear" w:color="auto" w:fill="auto"/>
                </w:tcPr>
                <w:p w14:paraId="5479251D" w14:textId="77777777" w:rsidR="00294F1A" w:rsidRPr="00294F1A" w:rsidRDefault="00294F1A" w:rsidP="00294F1A">
                  <w:pPr>
                    <w:rPr>
                      <w:rFonts w:ascii="Arial" w:hAnsi="Arial" w:cs="Arial"/>
                      <w:sz w:val="16"/>
                      <w:szCs w:val="16"/>
                      <w:lang w:eastAsia="zh-CN"/>
                    </w:rPr>
                  </w:pPr>
                  <w:r w:rsidRPr="00294F1A">
                    <w:rPr>
                      <w:rFonts w:ascii="Arial" w:hAnsi="Arial" w:cs="Arial"/>
                      <w:sz w:val="16"/>
                      <w:szCs w:val="16"/>
                      <w:highlight w:val="green"/>
                      <w:lang w:eastAsia="zh-CN"/>
                    </w:rPr>
                    <w:t>Agreement</w:t>
                  </w:r>
                </w:p>
                <w:p w14:paraId="4691A360" w14:textId="77777777" w:rsidR="00294F1A" w:rsidRPr="00294F1A" w:rsidRDefault="00294F1A" w:rsidP="00294F1A">
                  <w:pPr>
                    <w:rPr>
                      <w:rFonts w:ascii="Arial" w:hAnsi="Arial" w:cs="Arial"/>
                      <w:iCs/>
                      <w:sz w:val="16"/>
                      <w:szCs w:val="16"/>
                    </w:rPr>
                  </w:pPr>
                  <w:r w:rsidRPr="00294F1A">
                    <w:rPr>
                      <w:rFonts w:ascii="Arial" w:hAnsi="Arial" w:cs="Arial"/>
                      <w:iCs/>
                      <w:sz w:val="16"/>
                      <w:szCs w:val="16"/>
                    </w:rPr>
                    <w:t>When an LMF requests the UEs, including target UE and PRU(s), to perform measurements on indicated DL PRS resource set(s) occurring within indicated time window(s)</w:t>
                  </w:r>
                </w:p>
                <w:p w14:paraId="5C356B8C" w14:textId="77777777" w:rsidR="00294F1A" w:rsidRPr="00294F1A" w:rsidRDefault="00294F1A" w:rsidP="00A67145">
                  <w:pPr>
                    <w:numPr>
                      <w:ilvl w:val="0"/>
                      <w:numId w:val="165"/>
                    </w:numPr>
                    <w:rPr>
                      <w:rFonts w:ascii="Arial" w:hAnsi="Arial" w:cs="Arial"/>
                      <w:iCs/>
                      <w:sz w:val="16"/>
                      <w:szCs w:val="16"/>
                      <w:lang w:eastAsia="x-none"/>
                    </w:rPr>
                  </w:pPr>
                  <w:r w:rsidRPr="00294F1A">
                    <w:rPr>
                      <w:rFonts w:ascii="Arial" w:hAnsi="Arial" w:cs="Arial"/>
                      <w:iCs/>
                      <w:sz w:val="16"/>
                      <w:szCs w:val="16"/>
                      <w:lang w:eastAsia="x-none"/>
                    </w:rPr>
                    <w:t>The duration of a time window can be configured as follows:</w:t>
                  </w:r>
                </w:p>
                <w:p w14:paraId="086BB341" w14:textId="77777777" w:rsidR="00294F1A" w:rsidRPr="00294F1A" w:rsidRDefault="00294F1A" w:rsidP="00A67145">
                  <w:pPr>
                    <w:numPr>
                      <w:ilvl w:val="1"/>
                      <w:numId w:val="164"/>
                    </w:numPr>
                    <w:contextualSpacing/>
                    <w:jc w:val="both"/>
                    <w:rPr>
                      <w:rFonts w:ascii="Arial" w:eastAsia="SimSun" w:hAnsi="Arial" w:cs="Arial"/>
                      <w:bCs/>
                      <w:iCs/>
                      <w:sz w:val="16"/>
                      <w:szCs w:val="16"/>
                      <w:lang w:eastAsia="x-none"/>
                    </w:rPr>
                  </w:pPr>
                  <w:r w:rsidRPr="00294F1A">
                    <w:rPr>
                      <w:rFonts w:ascii="Arial" w:eastAsia="DengXian" w:hAnsi="Arial" w:cs="Arial"/>
                      <w:bCs/>
                      <w:iCs/>
                      <w:snapToGrid w:val="0"/>
                      <w:sz w:val="16"/>
                      <w:szCs w:val="16"/>
                      <w:lang w:eastAsia="x-none"/>
                    </w:rPr>
                    <w:t>{1, 2, 4, 6, 8, 12, 16} slots.</w:t>
                  </w:r>
                </w:p>
                <w:p w14:paraId="26C86C7A" w14:textId="77777777" w:rsidR="00294F1A" w:rsidRPr="00294F1A" w:rsidRDefault="00294F1A" w:rsidP="00A67145">
                  <w:pPr>
                    <w:numPr>
                      <w:ilvl w:val="0"/>
                      <w:numId w:val="164"/>
                    </w:numPr>
                    <w:autoSpaceDE w:val="0"/>
                    <w:autoSpaceDN w:val="0"/>
                    <w:adjustRightInd w:val="0"/>
                    <w:snapToGrid w:val="0"/>
                    <w:jc w:val="both"/>
                    <w:rPr>
                      <w:rFonts w:ascii="Arial" w:eastAsia="SimSun" w:hAnsi="Arial" w:cs="Arial"/>
                      <w:iCs/>
                      <w:sz w:val="16"/>
                      <w:szCs w:val="16"/>
                      <w:lang w:val="en-US"/>
                    </w:rPr>
                  </w:pPr>
                  <w:r w:rsidRPr="00294F1A">
                    <w:rPr>
                      <w:rFonts w:ascii="Arial" w:eastAsia="SimSun" w:hAnsi="Arial" w:cs="Arial"/>
                      <w:iCs/>
                      <w:sz w:val="16"/>
                      <w:szCs w:val="16"/>
                      <w:lang w:val="en-US"/>
                    </w:rPr>
                    <w:t>the number of the time windows can be:</w:t>
                  </w:r>
                </w:p>
                <w:p w14:paraId="71F65012" w14:textId="77777777" w:rsidR="00294F1A" w:rsidRPr="00294F1A" w:rsidRDefault="00294F1A" w:rsidP="00A67145">
                  <w:pPr>
                    <w:numPr>
                      <w:ilvl w:val="1"/>
                      <w:numId w:val="164"/>
                    </w:numPr>
                    <w:autoSpaceDE w:val="0"/>
                    <w:autoSpaceDN w:val="0"/>
                    <w:adjustRightInd w:val="0"/>
                    <w:snapToGrid w:val="0"/>
                    <w:jc w:val="both"/>
                    <w:rPr>
                      <w:rFonts w:ascii="Arial" w:eastAsia="SimSun" w:hAnsi="Arial" w:cs="Arial"/>
                      <w:iCs/>
                      <w:sz w:val="16"/>
                      <w:szCs w:val="16"/>
                      <w:lang w:val="en-US"/>
                    </w:rPr>
                  </w:pPr>
                  <w:r w:rsidRPr="00294F1A">
                    <w:rPr>
                      <w:rFonts w:ascii="Arial" w:eastAsia="SimSun" w:hAnsi="Arial" w:cs="Arial"/>
                      <w:iCs/>
                      <w:sz w:val="16"/>
                      <w:szCs w:val="16"/>
                      <w:lang w:val="en-US"/>
                    </w:rPr>
                    <w:t>{1, 2}</w:t>
                  </w:r>
                </w:p>
                <w:p w14:paraId="116AB4E2" w14:textId="77777777" w:rsidR="00294F1A" w:rsidRPr="00294F1A" w:rsidRDefault="00294F1A" w:rsidP="00A67145">
                  <w:pPr>
                    <w:numPr>
                      <w:ilvl w:val="1"/>
                      <w:numId w:val="164"/>
                    </w:numPr>
                    <w:autoSpaceDE w:val="0"/>
                    <w:autoSpaceDN w:val="0"/>
                    <w:adjustRightInd w:val="0"/>
                    <w:snapToGrid w:val="0"/>
                    <w:jc w:val="both"/>
                    <w:rPr>
                      <w:ins w:id="559" w:author="CATT - Ren Da" w:date="2023-10-12T06:20:00Z"/>
                      <w:rFonts w:ascii="Arial" w:eastAsia="SimSun" w:hAnsi="Arial" w:cs="Arial"/>
                      <w:iCs/>
                      <w:sz w:val="16"/>
                      <w:szCs w:val="16"/>
                      <w:lang w:val="en-US"/>
                    </w:rPr>
                  </w:pPr>
                  <w:r w:rsidRPr="00294F1A">
                    <w:rPr>
                      <w:rFonts w:ascii="Arial" w:eastAsia="SimSun" w:hAnsi="Arial" w:cs="Arial"/>
                      <w:iCs/>
                      <w:strike/>
                      <w:sz w:val="16"/>
                      <w:szCs w:val="16"/>
                      <w:lang w:val="en-US"/>
                    </w:rPr>
                    <w:t>FFS: {4, 8}</w:t>
                  </w:r>
                </w:p>
                <w:p w14:paraId="45A9FCC5" w14:textId="77777777" w:rsidR="00294F1A" w:rsidRPr="00294F1A" w:rsidRDefault="00294F1A" w:rsidP="00A67145">
                  <w:pPr>
                    <w:numPr>
                      <w:ilvl w:val="0"/>
                      <w:numId w:val="164"/>
                    </w:numPr>
                    <w:autoSpaceDE w:val="0"/>
                    <w:autoSpaceDN w:val="0"/>
                    <w:adjustRightInd w:val="0"/>
                    <w:snapToGrid w:val="0"/>
                    <w:jc w:val="both"/>
                    <w:rPr>
                      <w:ins w:id="560" w:author="CATT - Ren Da" w:date="2023-10-12T08:50:00Z"/>
                      <w:rFonts w:ascii="Arial" w:eastAsia="SimSun" w:hAnsi="Arial" w:cs="Arial"/>
                      <w:iCs/>
                      <w:sz w:val="16"/>
                      <w:szCs w:val="16"/>
                      <w:lang w:val="en-US"/>
                    </w:rPr>
                  </w:pPr>
                  <w:ins w:id="561" w:author="CATT - Ren Da" w:date="2023-10-12T08:50:00Z">
                    <w:r w:rsidRPr="00294F1A">
                      <w:rPr>
                        <w:rFonts w:ascii="Arial" w:eastAsia="SimSun" w:hAnsi="Arial" w:cs="Arial"/>
                        <w:iCs/>
                        <w:sz w:val="16"/>
                        <w:szCs w:val="16"/>
                        <w:lang w:val="en-US"/>
                      </w:rPr>
                      <w:t xml:space="preserve">the number of the </w:t>
                    </w:r>
                  </w:ins>
                  <w:ins w:id="562" w:author="CATT - Ren Da" w:date="2023-10-12T09:02:00Z">
                    <w:r w:rsidRPr="00294F1A">
                      <w:rPr>
                        <w:rFonts w:ascii="Arial" w:eastAsia="SimSun" w:hAnsi="Arial" w:cs="Arial"/>
                        <w:iCs/>
                        <w:sz w:val="16"/>
                        <w:szCs w:val="16"/>
                        <w:lang w:val="en-US"/>
                      </w:rPr>
                      <w:t xml:space="preserve">indicated </w:t>
                    </w:r>
                  </w:ins>
                  <w:ins w:id="563" w:author="CATT - Ren Da" w:date="2023-10-12T08:50:00Z">
                    <w:r w:rsidRPr="00294F1A">
                      <w:rPr>
                        <w:rFonts w:ascii="Arial" w:eastAsia="SimSun" w:hAnsi="Arial" w:cs="Arial"/>
                        <w:iCs/>
                        <w:sz w:val="16"/>
                        <w:szCs w:val="16"/>
                        <w:lang w:val="en-US"/>
                      </w:rPr>
                      <w:t xml:space="preserve">DL PRS resource set(s) per TRP </w:t>
                    </w:r>
                  </w:ins>
                  <w:ins w:id="564" w:author="CATT - Ren Da" w:date="2023-10-12T09:02:00Z">
                    <w:r w:rsidRPr="00294F1A">
                      <w:rPr>
                        <w:rFonts w:ascii="Arial" w:eastAsia="SimSun" w:hAnsi="Arial" w:cs="Arial"/>
                        <w:iCs/>
                        <w:sz w:val="16"/>
                        <w:szCs w:val="16"/>
                        <w:lang w:val="en-US"/>
                      </w:rPr>
                      <w:t xml:space="preserve">within </w:t>
                    </w:r>
                  </w:ins>
                  <w:ins w:id="565" w:author="CATT - Ren Da" w:date="2023-10-12T08:50:00Z">
                    <w:r w:rsidRPr="00294F1A">
                      <w:rPr>
                        <w:rFonts w:ascii="Arial" w:eastAsia="SimSun" w:hAnsi="Arial" w:cs="Arial"/>
                        <w:iCs/>
                        <w:sz w:val="16"/>
                        <w:szCs w:val="16"/>
                        <w:lang w:val="en-US"/>
                      </w:rPr>
                      <w:t>a time window can be</w:t>
                    </w:r>
                  </w:ins>
                  <w:ins w:id="566" w:author="CATT - Ren Da" w:date="2023-10-12T09:01:00Z">
                    <w:r w:rsidRPr="00294F1A">
                      <w:rPr>
                        <w:rFonts w:ascii="Arial" w:eastAsia="SimSun" w:hAnsi="Arial" w:cs="Arial"/>
                        <w:iCs/>
                        <w:sz w:val="16"/>
                        <w:szCs w:val="16"/>
                        <w:lang w:val="en-US"/>
                      </w:rPr>
                      <w:t xml:space="preserve"> {1, 2}</w:t>
                    </w:r>
                  </w:ins>
                  <w:ins w:id="567" w:author="CATT - Ren Da" w:date="2023-10-12T08:50:00Z">
                    <w:r w:rsidRPr="00294F1A">
                      <w:rPr>
                        <w:rFonts w:ascii="Arial" w:eastAsia="SimSun" w:hAnsi="Arial" w:cs="Arial"/>
                        <w:iCs/>
                        <w:sz w:val="16"/>
                        <w:szCs w:val="16"/>
                        <w:lang w:val="en-US"/>
                      </w:rPr>
                      <w:t>:</w:t>
                    </w:r>
                  </w:ins>
                </w:p>
                <w:p w14:paraId="2552F406" w14:textId="77777777" w:rsidR="00294F1A" w:rsidRPr="00294F1A" w:rsidRDefault="00294F1A" w:rsidP="00A67145">
                  <w:pPr>
                    <w:numPr>
                      <w:ilvl w:val="1"/>
                      <w:numId w:val="164"/>
                    </w:numPr>
                    <w:autoSpaceDE w:val="0"/>
                    <w:autoSpaceDN w:val="0"/>
                    <w:adjustRightInd w:val="0"/>
                    <w:snapToGrid w:val="0"/>
                    <w:jc w:val="both"/>
                    <w:rPr>
                      <w:rFonts w:ascii="Arial" w:eastAsia="SimSun" w:hAnsi="Arial" w:cs="Arial"/>
                      <w:sz w:val="16"/>
                      <w:szCs w:val="16"/>
                      <w:lang w:val="en-US" w:eastAsia="zh-CN"/>
                    </w:rPr>
                  </w:pPr>
                  <w:ins w:id="568" w:author="CATT - Ren Da" w:date="2023-10-12T06:24:00Z">
                    <w:r w:rsidRPr="00294F1A">
                      <w:rPr>
                        <w:rFonts w:ascii="Arial" w:eastAsia="SimSun" w:hAnsi="Arial" w:cs="Arial"/>
                        <w:iCs/>
                        <w:sz w:val="16"/>
                        <w:szCs w:val="16"/>
                        <w:lang w:val="en-US"/>
                      </w:rPr>
                      <w:t xml:space="preserve">DL PRS resource sets </w:t>
                    </w:r>
                  </w:ins>
                  <w:ins w:id="569" w:author="CATT - Ren Da" w:date="2023-10-12T08:55:00Z">
                    <w:r w:rsidRPr="00294F1A">
                      <w:rPr>
                        <w:rFonts w:ascii="Arial" w:eastAsia="SimSun" w:hAnsi="Arial" w:cs="Arial"/>
                        <w:iCs/>
                        <w:sz w:val="16"/>
                        <w:szCs w:val="16"/>
                        <w:lang w:val="en-US"/>
                      </w:rPr>
                      <w:t xml:space="preserve">across all TRPs </w:t>
                    </w:r>
                  </w:ins>
                  <w:ins w:id="570" w:author="CATT - Ren Da" w:date="2023-10-12T06:25:00Z">
                    <w:r w:rsidRPr="00294F1A">
                      <w:rPr>
                        <w:rFonts w:ascii="Arial" w:eastAsia="SimSun" w:hAnsi="Arial" w:cs="Arial"/>
                        <w:iCs/>
                        <w:sz w:val="16"/>
                        <w:szCs w:val="16"/>
                        <w:lang w:val="en-US"/>
                      </w:rPr>
                      <w:t>are</w:t>
                    </w:r>
                  </w:ins>
                  <w:ins w:id="571" w:author="CATT - Ren Da" w:date="2023-10-12T06:24:00Z">
                    <w:r w:rsidRPr="00294F1A">
                      <w:rPr>
                        <w:rFonts w:ascii="Arial" w:eastAsia="SimSun" w:hAnsi="Arial" w:cs="Arial"/>
                        <w:iCs/>
                        <w:sz w:val="16"/>
                        <w:szCs w:val="16"/>
                        <w:lang w:val="en-US"/>
                      </w:rPr>
                      <w:t xml:space="preserve"> in </w:t>
                    </w:r>
                  </w:ins>
                  <w:ins w:id="572" w:author="CATT - Ren Da" w:date="2023-10-12T06:25:00Z">
                    <w:r w:rsidRPr="00294F1A">
                      <w:rPr>
                        <w:rFonts w:ascii="Arial" w:eastAsia="SimSun" w:hAnsi="Arial" w:cs="Arial"/>
                        <w:iCs/>
                        <w:sz w:val="16"/>
                        <w:szCs w:val="16"/>
                        <w:lang w:val="en-US"/>
                      </w:rPr>
                      <w:t xml:space="preserve">one </w:t>
                    </w:r>
                  </w:ins>
                  <w:ins w:id="573" w:author="CATT - Ren Da" w:date="2023-10-12T06:24:00Z">
                    <w:r w:rsidRPr="00294F1A">
                      <w:rPr>
                        <w:rFonts w:ascii="Arial" w:eastAsia="SimSun" w:hAnsi="Arial" w:cs="Arial"/>
                        <w:iCs/>
                        <w:sz w:val="16"/>
                        <w:szCs w:val="16"/>
                        <w:lang w:val="en-US"/>
                      </w:rPr>
                      <w:t>DL PFL</w:t>
                    </w:r>
                  </w:ins>
                </w:p>
                <w:p w14:paraId="7A685794" w14:textId="77777777" w:rsidR="00294F1A" w:rsidRPr="00294F1A" w:rsidRDefault="00294F1A" w:rsidP="00A67145">
                  <w:pPr>
                    <w:numPr>
                      <w:ilvl w:val="2"/>
                      <w:numId w:val="164"/>
                    </w:numPr>
                    <w:autoSpaceDE w:val="0"/>
                    <w:autoSpaceDN w:val="0"/>
                    <w:adjustRightInd w:val="0"/>
                    <w:snapToGrid w:val="0"/>
                    <w:jc w:val="both"/>
                    <w:rPr>
                      <w:rFonts w:ascii="Arial" w:eastAsia="SimSun" w:hAnsi="Arial" w:cs="Arial"/>
                      <w:sz w:val="16"/>
                      <w:szCs w:val="16"/>
                      <w:lang w:val="en-US" w:eastAsia="zh-CN"/>
                    </w:rPr>
                  </w:pPr>
                  <w:r w:rsidRPr="00294F1A">
                    <w:rPr>
                      <w:rFonts w:ascii="Arial" w:eastAsia="SimSun" w:hAnsi="Arial" w:cs="Arial"/>
                      <w:sz w:val="16"/>
                      <w:szCs w:val="16"/>
                      <w:lang w:val="en-US" w:eastAsia="zh-CN"/>
                    </w:rPr>
                    <w:t xml:space="preserve">FFS: For PRS bandwidth aggregation, an </w:t>
                  </w:r>
                  <w:ins w:id="574" w:author="CATT - Ren Da" w:date="2023-10-12T09:02:00Z">
                    <w:r w:rsidRPr="00294F1A">
                      <w:rPr>
                        <w:rFonts w:ascii="Arial" w:eastAsia="SimSun" w:hAnsi="Arial" w:cs="Arial"/>
                        <w:iCs/>
                        <w:sz w:val="16"/>
                        <w:szCs w:val="16"/>
                        <w:lang w:val="en-US"/>
                      </w:rPr>
                      <w:t xml:space="preserve">indicated </w:t>
                    </w:r>
                  </w:ins>
                  <w:ins w:id="575" w:author="CATT - Ren Da" w:date="2023-10-12T08:50:00Z">
                    <w:r w:rsidRPr="00294F1A">
                      <w:rPr>
                        <w:rFonts w:ascii="Arial" w:eastAsia="SimSun" w:hAnsi="Arial" w:cs="Arial"/>
                        <w:iCs/>
                        <w:sz w:val="16"/>
                        <w:szCs w:val="16"/>
                        <w:lang w:val="en-US"/>
                      </w:rPr>
                      <w:t>DL PRS resource set</w:t>
                    </w:r>
                  </w:ins>
                  <w:r w:rsidRPr="00294F1A">
                    <w:rPr>
                      <w:rFonts w:ascii="Arial" w:eastAsia="SimSun" w:hAnsi="Arial" w:cs="Arial"/>
                      <w:iCs/>
                      <w:sz w:val="16"/>
                      <w:szCs w:val="16"/>
                      <w:lang w:val="en-US"/>
                    </w:rPr>
                    <w:t xml:space="preserve"> refers to a combination of linked PRS resource sets</w:t>
                  </w:r>
                </w:p>
                <w:p w14:paraId="0FF4BAF6" w14:textId="77777777" w:rsidR="00294F1A" w:rsidRPr="00294F1A" w:rsidRDefault="00294F1A" w:rsidP="00A67145">
                  <w:pPr>
                    <w:numPr>
                      <w:ilvl w:val="1"/>
                      <w:numId w:val="164"/>
                    </w:numPr>
                    <w:autoSpaceDE w:val="0"/>
                    <w:autoSpaceDN w:val="0"/>
                    <w:adjustRightInd w:val="0"/>
                    <w:snapToGrid w:val="0"/>
                    <w:jc w:val="both"/>
                    <w:rPr>
                      <w:ins w:id="576" w:author="CATT - Ren Da" w:date="2023-10-12T06:24:00Z"/>
                      <w:rFonts w:ascii="Arial" w:eastAsia="SimSun" w:hAnsi="Arial" w:cs="Arial"/>
                      <w:sz w:val="16"/>
                      <w:szCs w:val="16"/>
                      <w:lang w:val="en-US" w:eastAsia="zh-CN"/>
                    </w:rPr>
                  </w:pPr>
                  <w:ins w:id="577" w:author="CATT - Ren Da" w:date="2023-10-12T09:04:00Z">
                    <w:r w:rsidRPr="00294F1A">
                      <w:rPr>
                        <w:rFonts w:ascii="Arial" w:eastAsia="SimSun" w:hAnsi="Arial" w:cs="Arial"/>
                        <w:sz w:val="16"/>
                        <w:szCs w:val="16"/>
                        <w:lang w:val="en-US" w:eastAsia="zh-CN"/>
                      </w:rPr>
                      <w:t xml:space="preserve">The number of the </w:t>
                    </w:r>
                    <w:r w:rsidRPr="00294F1A">
                      <w:rPr>
                        <w:rFonts w:ascii="Arial" w:eastAsia="SimSun" w:hAnsi="Arial" w:cs="Arial"/>
                        <w:iCs/>
                        <w:sz w:val="16"/>
                        <w:szCs w:val="16"/>
                        <w:lang w:val="en-US"/>
                      </w:rPr>
                      <w:t>indicated DL PRS resource set(s) for all TRPs should be the same</w:t>
                    </w:r>
                  </w:ins>
                </w:p>
                <w:p w14:paraId="3AB51BF3" w14:textId="77777777" w:rsidR="00294F1A" w:rsidRPr="00294F1A" w:rsidRDefault="00294F1A" w:rsidP="00A67145">
                  <w:pPr>
                    <w:numPr>
                      <w:ilvl w:val="0"/>
                      <w:numId w:val="164"/>
                    </w:numPr>
                    <w:autoSpaceDE w:val="0"/>
                    <w:autoSpaceDN w:val="0"/>
                    <w:adjustRightInd w:val="0"/>
                    <w:snapToGrid w:val="0"/>
                    <w:jc w:val="both"/>
                    <w:rPr>
                      <w:ins w:id="578" w:author="CATT - Ren Da" w:date="2023-10-12T08:55:00Z"/>
                      <w:rFonts w:ascii="Arial" w:eastAsia="SimSun" w:hAnsi="Arial" w:cs="Arial"/>
                      <w:sz w:val="16"/>
                      <w:szCs w:val="16"/>
                      <w:lang w:val="en-US" w:eastAsia="zh-CN"/>
                    </w:rPr>
                  </w:pPr>
                  <w:ins w:id="579" w:author="CATT - Ren Da" w:date="2023-10-12T08:58:00Z">
                    <w:r w:rsidRPr="00294F1A">
                      <w:rPr>
                        <w:rFonts w:ascii="Arial" w:eastAsia="SimSun" w:hAnsi="Arial" w:cs="Arial"/>
                        <w:sz w:val="16"/>
                        <w:szCs w:val="16"/>
                        <w:lang w:val="en-US" w:eastAsia="zh-CN"/>
                      </w:rPr>
                      <w:t xml:space="preserve">Note: Different </w:t>
                    </w:r>
                  </w:ins>
                  <w:ins w:id="580" w:author="CATT - Ren Da" w:date="2023-10-12T08:55:00Z">
                    <w:r w:rsidRPr="00294F1A">
                      <w:rPr>
                        <w:rFonts w:ascii="Arial" w:eastAsia="SimSun" w:hAnsi="Arial" w:cs="Arial"/>
                        <w:sz w:val="16"/>
                        <w:szCs w:val="16"/>
                        <w:lang w:val="en-US" w:eastAsia="zh-CN"/>
                      </w:rPr>
                      <w:t>PRS res</w:t>
                    </w:r>
                  </w:ins>
                  <w:ins w:id="581" w:author="CATT - Ren Da" w:date="2023-10-12T08:56:00Z">
                    <w:r w:rsidRPr="00294F1A">
                      <w:rPr>
                        <w:rFonts w:ascii="Arial" w:eastAsia="SimSun" w:hAnsi="Arial" w:cs="Arial"/>
                        <w:sz w:val="16"/>
                        <w:szCs w:val="16"/>
                        <w:lang w:val="en-US" w:eastAsia="zh-CN"/>
                      </w:rPr>
                      <w:t>ource sets</w:t>
                    </w:r>
                  </w:ins>
                  <w:ins w:id="582" w:author="CATT - Ren Da" w:date="2023-10-12T09:01:00Z">
                    <w:r w:rsidRPr="00294F1A">
                      <w:rPr>
                        <w:rFonts w:ascii="Arial" w:eastAsia="SimSun" w:hAnsi="Arial" w:cs="Arial"/>
                        <w:sz w:val="16"/>
                        <w:szCs w:val="16"/>
                        <w:lang w:val="en-US" w:eastAsia="zh-CN"/>
                      </w:rPr>
                      <w:t xml:space="preserve"> and/or </w:t>
                    </w:r>
                  </w:ins>
                  <w:ins w:id="583" w:author="CATT - Ren Da" w:date="2023-10-12T09:00:00Z">
                    <w:r w:rsidRPr="00294F1A">
                      <w:rPr>
                        <w:rFonts w:ascii="Arial" w:eastAsia="SimSun" w:hAnsi="Arial" w:cs="Arial"/>
                        <w:sz w:val="16"/>
                        <w:szCs w:val="16"/>
                        <w:lang w:val="en-US" w:eastAsia="zh-CN"/>
                      </w:rPr>
                      <w:t>PFLs</w:t>
                    </w:r>
                  </w:ins>
                  <w:ins w:id="584" w:author="CATT - Ren Da" w:date="2023-10-12T09:01:00Z">
                    <w:r w:rsidRPr="00294F1A">
                      <w:rPr>
                        <w:rFonts w:ascii="Arial" w:eastAsia="SimSun" w:hAnsi="Arial" w:cs="Arial"/>
                        <w:sz w:val="16"/>
                        <w:szCs w:val="16"/>
                        <w:lang w:val="en-US" w:eastAsia="zh-CN"/>
                      </w:rPr>
                      <w:t xml:space="preserve"> </w:t>
                    </w:r>
                  </w:ins>
                  <w:ins w:id="585" w:author="CATT - Ren Da" w:date="2023-10-12T08:56:00Z">
                    <w:r w:rsidRPr="00294F1A">
                      <w:rPr>
                        <w:rFonts w:ascii="Arial" w:eastAsia="SimSun" w:hAnsi="Arial" w:cs="Arial"/>
                        <w:sz w:val="16"/>
                        <w:szCs w:val="16"/>
                        <w:lang w:val="en-US" w:eastAsia="zh-CN"/>
                      </w:rPr>
                      <w:t xml:space="preserve">can be </w:t>
                    </w:r>
                  </w:ins>
                  <w:ins w:id="586" w:author="CATT - Ren Da" w:date="2023-10-12T09:00:00Z">
                    <w:r w:rsidRPr="00294F1A">
                      <w:rPr>
                        <w:rFonts w:ascii="Arial" w:eastAsia="SimSun" w:hAnsi="Arial" w:cs="Arial"/>
                        <w:sz w:val="16"/>
                        <w:szCs w:val="16"/>
                        <w:lang w:val="en-US" w:eastAsia="zh-CN"/>
                      </w:rPr>
                      <w:t xml:space="preserve">associated with </w:t>
                    </w:r>
                  </w:ins>
                  <w:ins w:id="587" w:author="CATT - Ren Da" w:date="2023-10-12T08:56:00Z">
                    <w:r w:rsidRPr="00294F1A">
                      <w:rPr>
                        <w:rFonts w:ascii="Arial" w:eastAsia="SimSun" w:hAnsi="Arial" w:cs="Arial"/>
                        <w:sz w:val="16"/>
                        <w:szCs w:val="16"/>
                        <w:lang w:val="en-US" w:eastAsia="zh-CN"/>
                      </w:rPr>
                      <w:t>different time windows</w:t>
                    </w:r>
                  </w:ins>
                </w:p>
                <w:p w14:paraId="50FE160A" w14:textId="77777777" w:rsidR="00294F1A" w:rsidRPr="00294F1A" w:rsidRDefault="00294F1A" w:rsidP="00A67145">
                  <w:pPr>
                    <w:numPr>
                      <w:ilvl w:val="0"/>
                      <w:numId w:val="164"/>
                    </w:numPr>
                    <w:autoSpaceDE w:val="0"/>
                    <w:autoSpaceDN w:val="0"/>
                    <w:adjustRightInd w:val="0"/>
                    <w:snapToGrid w:val="0"/>
                    <w:jc w:val="both"/>
                    <w:rPr>
                      <w:rFonts w:ascii="Arial" w:eastAsia="SimSun" w:hAnsi="Arial" w:cs="Arial"/>
                      <w:sz w:val="16"/>
                      <w:szCs w:val="16"/>
                      <w:lang w:val="en-US" w:eastAsia="zh-CN"/>
                    </w:rPr>
                  </w:pPr>
                  <w:ins w:id="588" w:author="CATT - Ren Da" w:date="2023-10-12T08:51:00Z">
                    <w:r w:rsidRPr="00294F1A">
                      <w:rPr>
                        <w:rFonts w:ascii="Arial" w:eastAsia="SimSun" w:hAnsi="Arial" w:cs="Arial"/>
                        <w:sz w:val="16"/>
                        <w:szCs w:val="16"/>
                        <w:lang w:val="en-US" w:eastAsia="zh-CN"/>
                      </w:rPr>
                      <w:t>Note:</w:t>
                    </w:r>
                  </w:ins>
                  <w:ins w:id="589" w:author="CATT - Ren Da" w:date="2023-10-12T08:52:00Z">
                    <w:r w:rsidRPr="00294F1A">
                      <w:rPr>
                        <w:rFonts w:ascii="Arial" w:eastAsia="SimSun" w:hAnsi="Arial" w:cs="Arial"/>
                        <w:sz w:val="16"/>
                        <w:szCs w:val="16"/>
                        <w:lang w:val="en-US" w:eastAsia="zh-CN"/>
                      </w:rPr>
                      <w:t xml:space="preserve"> the </w:t>
                    </w:r>
                  </w:ins>
                  <w:ins w:id="590" w:author="CATT - Ren Da" w:date="2023-10-12T09:06:00Z">
                    <w:r w:rsidRPr="00294F1A">
                      <w:rPr>
                        <w:rFonts w:ascii="Arial" w:eastAsia="SimSun" w:hAnsi="Arial" w:cs="Arial"/>
                        <w:sz w:val="16"/>
                        <w:szCs w:val="16"/>
                        <w:lang w:val="en-US" w:eastAsia="zh-CN"/>
                      </w:rPr>
                      <w:t>signaling</w:t>
                    </w:r>
                  </w:ins>
                  <w:ins w:id="591" w:author="CATT - Ren Da" w:date="2023-10-12T08:52:00Z">
                    <w:r w:rsidRPr="00294F1A">
                      <w:rPr>
                        <w:rFonts w:ascii="Arial" w:eastAsia="SimSun" w:hAnsi="Arial" w:cs="Arial"/>
                        <w:sz w:val="16"/>
                        <w:szCs w:val="16"/>
                        <w:lang w:val="en-US" w:eastAsia="zh-CN"/>
                      </w:rPr>
                      <w:t xml:space="preserve"> design</w:t>
                    </w:r>
                  </w:ins>
                  <w:ins w:id="592" w:author="CATT - Ren Da" w:date="2023-10-12T08:54:00Z">
                    <w:r w:rsidRPr="00294F1A">
                      <w:rPr>
                        <w:rFonts w:ascii="Arial" w:eastAsia="SimSun" w:hAnsi="Arial" w:cs="Arial"/>
                        <w:sz w:val="16"/>
                        <w:szCs w:val="16"/>
                        <w:lang w:val="en-US" w:eastAsia="zh-CN"/>
                      </w:rPr>
                      <w:t xml:space="preserve"> for the indication of the </w:t>
                    </w:r>
                    <w:r w:rsidRPr="00294F1A">
                      <w:rPr>
                        <w:rFonts w:ascii="Arial" w:eastAsia="SimSun" w:hAnsi="Arial" w:cs="Arial"/>
                        <w:iCs/>
                        <w:sz w:val="16"/>
                        <w:szCs w:val="16"/>
                        <w:lang w:val="en-US"/>
                      </w:rPr>
                      <w:t>DL PRS resource set</w:t>
                    </w:r>
                  </w:ins>
                  <w:ins w:id="593" w:author="CATT - Ren Da" w:date="2023-10-12T08:55:00Z">
                    <w:r w:rsidRPr="00294F1A">
                      <w:rPr>
                        <w:rFonts w:ascii="Arial" w:eastAsia="SimSun" w:hAnsi="Arial" w:cs="Arial"/>
                        <w:iCs/>
                        <w:sz w:val="16"/>
                        <w:szCs w:val="16"/>
                        <w:lang w:val="en-US"/>
                      </w:rPr>
                      <w:t>s in the time windows</w:t>
                    </w:r>
                  </w:ins>
                  <w:r w:rsidRPr="00294F1A">
                    <w:rPr>
                      <w:rFonts w:ascii="Arial" w:eastAsia="SimSun" w:hAnsi="Arial" w:cs="Arial"/>
                      <w:iCs/>
                      <w:sz w:val="16"/>
                      <w:szCs w:val="16"/>
                      <w:lang w:val="en-US"/>
                    </w:rPr>
                    <w:t xml:space="preserve"> </w:t>
                  </w:r>
                  <w:ins w:id="594" w:author="CATT - Ren Da" w:date="2023-10-12T08:52:00Z">
                    <w:r w:rsidRPr="00294F1A">
                      <w:rPr>
                        <w:rFonts w:ascii="Arial" w:eastAsia="SimSun" w:hAnsi="Arial" w:cs="Arial"/>
                        <w:sz w:val="16"/>
                        <w:szCs w:val="16"/>
                        <w:lang w:val="en-US" w:eastAsia="zh-CN"/>
                      </w:rPr>
                      <w:t>is up to RAN2/RAN3</w:t>
                    </w:r>
                  </w:ins>
                  <w:ins w:id="595" w:author="CATT - Ren Da" w:date="2023-10-12T08:55:00Z">
                    <w:r w:rsidRPr="00294F1A">
                      <w:rPr>
                        <w:rFonts w:ascii="Arial" w:eastAsia="SimSun" w:hAnsi="Arial" w:cs="Arial"/>
                        <w:iCs/>
                        <w:sz w:val="16"/>
                        <w:szCs w:val="16"/>
                        <w:lang w:val="en-US"/>
                      </w:rPr>
                      <w:t>.</w:t>
                    </w:r>
                  </w:ins>
                </w:p>
              </w:tc>
            </w:tr>
          </w:tbl>
          <w:p w14:paraId="278AD72B" w14:textId="77777777" w:rsidR="00294F1A" w:rsidRPr="00294F1A" w:rsidRDefault="00294F1A" w:rsidP="00294F1A">
            <w:pPr>
              <w:ind w:left="100"/>
              <w:jc w:val="both"/>
              <w:rPr>
                <w:rFonts w:ascii="Arial" w:eastAsia="MS Mincho" w:hAnsi="Arial" w:cs="Arial"/>
                <w:sz w:val="16"/>
                <w:szCs w:val="16"/>
              </w:rPr>
            </w:pPr>
          </w:p>
        </w:tc>
      </w:tr>
      <w:tr w:rsidR="00294F1A" w:rsidRPr="00294F1A" w14:paraId="1AEA8C34" w14:textId="77777777" w:rsidTr="00294F1A">
        <w:tc>
          <w:tcPr>
            <w:tcW w:w="1397" w:type="pct"/>
            <w:tcBorders>
              <w:left w:val="single" w:sz="4" w:space="0" w:color="auto"/>
            </w:tcBorders>
          </w:tcPr>
          <w:p w14:paraId="3EB3CB95" w14:textId="77777777" w:rsidR="00294F1A" w:rsidRPr="00294F1A" w:rsidRDefault="00294F1A" w:rsidP="00294F1A">
            <w:pPr>
              <w:tabs>
                <w:tab w:val="right" w:pos="2184"/>
              </w:tabs>
              <w:rPr>
                <w:rFonts w:ascii="Arial" w:eastAsia="MS Mincho" w:hAnsi="Arial" w:cs="Arial"/>
                <w:b/>
                <w:i/>
                <w:sz w:val="16"/>
                <w:szCs w:val="16"/>
              </w:rPr>
            </w:pPr>
            <w:r w:rsidRPr="00294F1A">
              <w:rPr>
                <w:rFonts w:ascii="Arial" w:eastAsia="MS Mincho" w:hAnsi="Arial" w:cs="Arial"/>
                <w:b/>
                <w:i/>
                <w:sz w:val="16"/>
                <w:szCs w:val="16"/>
              </w:rPr>
              <w:t>Summary of change:</w:t>
            </w:r>
          </w:p>
        </w:tc>
        <w:tc>
          <w:tcPr>
            <w:tcW w:w="3603" w:type="pct"/>
            <w:tcBorders>
              <w:right w:val="single" w:sz="4" w:space="0" w:color="auto"/>
            </w:tcBorders>
            <w:shd w:val="pct30" w:color="FFFF00" w:fill="auto"/>
          </w:tcPr>
          <w:p w14:paraId="1295E122" w14:textId="77777777" w:rsidR="00294F1A" w:rsidRPr="00294F1A" w:rsidRDefault="00294F1A" w:rsidP="00294F1A">
            <w:pPr>
              <w:ind w:left="100"/>
              <w:jc w:val="both"/>
              <w:rPr>
                <w:rFonts w:ascii="Arial" w:eastAsia="MS Mincho" w:hAnsi="Arial" w:cs="Arial"/>
                <w:sz w:val="16"/>
                <w:szCs w:val="16"/>
              </w:rPr>
            </w:pPr>
            <w:r w:rsidRPr="00294F1A">
              <w:rPr>
                <w:rFonts w:ascii="Arial" w:eastAsia="MS Mincho" w:hAnsi="Arial" w:cs="Arial"/>
                <w:sz w:val="16"/>
                <w:szCs w:val="16"/>
              </w:rPr>
              <w:t>Modify the text to fully capture the agreement.</w:t>
            </w:r>
          </w:p>
        </w:tc>
      </w:tr>
      <w:tr w:rsidR="00294F1A" w:rsidRPr="00294F1A" w14:paraId="62CDA0DD" w14:textId="77777777" w:rsidTr="00294F1A">
        <w:tc>
          <w:tcPr>
            <w:tcW w:w="1397" w:type="pct"/>
            <w:tcBorders>
              <w:left w:val="single" w:sz="4" w:space="0" w:color="auto"/>
              <w:bottom w:val="single" w:sz="4" w:space="0" w:color="auto"/>
            </w:tcBorders>
          </w:tcPr>
          <w:p w14:paraId="331158DE" w14:textId="77777777" w:rsidR="00294F1A" w:rsidRPr="00294F1A" w:rsidRDefault="00294F1A" w:rsidP="00294F1A">
            <w:pPr>
              <w:tabs>
                <w:tab w:val="right" w:pos="2184"/>
              </w:tabs>
              <w:rPr>
                <w:rFonts w:ascii="Arial" w:eastAsia="MS Mincho" w:hAnsi="Arial" w:cs="Arial"/>
                <w:b/>
                <w:i/>
                <w:sz w:val="16"/>
                <w:szCs w:val="16"/>
              </w:rPr>
            </w:pPr>
            <w:r w:rsidRPr="00294F1A">
              <w:rPr>
                <w:rFonts w:ascii="Arial" w:eastAsia="MS Mincho" w:hAnsi="Arial" w:cs="Arial"/>
                <w:b/>
                <w:i/>
                <w:sz w:val="16"/>
                <w:szCs w:val="16"/>
              </w:rPr>
              <w:t>Consequences if not approved:</w:t>
            </w:r>
          </w:p>
        </w:tc>
        <w:tc>
          <w:tcPr>
            <w:tcW w:w="3603" w:type="pct"/>
            <w:tcBorders>
              <w:bottom w:val="single" w:sz="4" w:space="0" w:color="auto"/>
              <w:right w:val="single" w:sz="4" w:space="0" w:color="auto"/>
            </w:tcBorders>
            <w:shd w:val="pct30" w:color="FFFF00" w:fill="auto"/>
          </w:tcPr>
          <w:p w14:paraId="3B8B1C68" w14:textId="77777777" w:rsidR="00294F1A" w:rsidRPr="00294F1A" w:rsidRDefault="00294F1A" w:rsidP="00294F1A">
            <w:pPr>
              <w:ind w:left="100"/>
              <w:rPr>
                <w:rFonts w:ascii="Arial" w:eastAsia="MS Mincho" w:hAnsi="Arial" w:cs="Arial"/>
                <w:sz w:val="16"/>
                <w:szCs w:val="16"/>
              </w:rPr>
            </w:pPr>
            <w:r w:rsidRPr="00294F1A">
              <w:rPr>
                <w:rFonts w:ascii="Arial" w:eastAsia="MS Mincho" w:hAnsi="Arial" w:cs="Arial"/>
                <w:sz w:val="16"/>
                <w:szCs w:val="16"/>
              </w:rPr>
              <w:t>Misalignment between the agreement and the specification.</w:t>
            </w:r>
          </w:p>
        </w:tc>
      </w:tr>
    </w:tbl>
    <w:p w14:paraId="6EDF1269" w14:textId="77777777" w:rsidR="00294F1A" w:rsidRPr="00294F1A" w:rsidRDefault="00294F1A" w:rsidP="00294F1A">
      <w:pPr>
        <w:rPr>
          <w:color w:val="FF0000"/>
          <w:lang w:eastAsia="zh-CN"/>
        </w:rPr>
      </w:pPr>
      <w:r w:rsidRPr="00294F1A">
        <w:rPr>
          <w:color w:val="FF0000"/>
          <w:lang w:eastAsia="zh-CN"/>
        </w:rPr>
        <w:t>---------------- Start of TP ----------------</w:t>
      </w:r>
    </w:p>
    <w:p w14:paraId="130A1410" w14:textId="77777777" w:rsidR="00294F1A" w:rsidRPr="00294F1A" w:rsidRDefault="00294F1A" w:rsidP="00294F1A">
      <w:pPr>
        <w:rPr>
          <w:rFonts w:ascii="Arial" w:hAnsi="Arial" w:cs="Arial"/>
          <w:b/>
          <w:bCs/>
          <w:sz w:val="16"/>
          <w:szCs w:val="16"/>
        </w:rPr>
      </w:pPr>
      <w:r w:rsidRPr="00294F1A">
        <w:rPr>
          <w:rFonts w:ascii="Arial" w:hAnsi="Arial" w:cs="Arial"/>
          <w:b/>
          <w:bCs/>
          <w:sz w:val="16"/>
          <w:szCs w:val="16"/>
        </w:rPr>
        <w:t>5.1.6.5</w:t>
      </w:r>
      <w:r w:rsidRPr="00294F1A">
        <w:rPr>
          <w:rFonts w:ascii="Arial" w:hAnsi="Arial" w:cs="Arial"/>
          <w:b/>
          <w:bCs/>
          <w:sz w:val="16"/>
          <w:szCs w:val="16"/>
        </w:rPr>
        <w:tab/>
        <w:t>PRS reception procedure</w:t>
      </w:r>
    </w:p>
    <w:p w14:paraId="04B06BE7" w14:textId="77777777" w:rsidR="00294F1A" w:rsidRPr="00294F1A" w:rsidRDefault="00294F1A" w:rsidP="00294F1A">
      <w:pPr>
        <w:jc w:val="center"/>
        <w:rPr>
          <w:rFonts w:ascii="Arial" w:hAnsi="Arial" w:cs="Arial"/>
          <w:b/>
          <w:i/>
          <w:sz w:val="16"/>
          <w:szCs w:val="16"/>
          <w:lang w:eastAsia="zh-CN"/>
        </w:rPr>
      </w:pPr>
      <w:r w:rsidRPr="00294F1A">
        <w:rPr>
          <w:rFonts w:ascii="Arial" w:hAnsi="Arial" w:cs="Arial"/>
          <w:color w:val="FF0000"/>
          <w:sz w:val="16"/>
          <w:szCs w:val="16"/>
          <w:lang w:eastAsia="zh-CN"/>
        </w:rPr>
        <w:t>===================== Unchanged parts omitted ======================</w:t>
      </w:r>
    </w:p>
    <w:p w14:paraId="450616A8" w14:textId="77777777" w:rsidR="00294F1A" w:rsidRPr="00294F1A" w:rsidRDefault="00294F1A" w:rsidP="00294F1A">
      <w:pPr>
        <w:rPr>
          <w:rFonts w:ascii="Arial" w:hAnsi="Arial" w:cs="Arial"/>
          <w:sz w:val="16"/>
          <w:szCs w:val="16"/>
        </w:rPr>
      </w:pPr>
      <w:r w:rsidRPr="00294F1A">
        <w:rPr>
          <w:rFonts w:ascii="Arial" w:hAnsi="Arial" w:cs="Arial"/>
          <w:sz w:val="16"/>
          <w:szCs w:val="16"/>
        </w:rPr>
        <w:t xml:space="preserve">The UE, subject to UE capability, may be requested via [higher layer parameter] to perform positioning measurements on indicated DL PRS resource sets occurring within one or </w:t>
      </w:r>
      <w:del w:id="596" w:author="CATT - Ren Da" w:date="2023-11-14T12:37:00Z">
        <w:r w:rsidRPr="00294F1A" w:rsidDel="00DF4EED">
          <w:rPr>
            <w:rFonts w:ascii="Arial" w:hAnsi="Arial" w:cs="Arial"/>
            <w:sz w:val="16"/>
            <w:szCs w:val="16"/>
          </w:rPr>
          <w:delText xml:space="preserve">more </w:delText>
        </w:r>
      </w:del>
      <w:ins w:id="597" w:author="CATT - Ren Da" w:date="2023-11-14T12:37:00Z">
        <w:r w:rsidRPr="00294F1A">
          <w:rPr>
            <w:rFonts w:ascii="Arial" w:hAnsi="Arial" w:cs="Arial"/>
            <w:sz w:val="16"/>
            <w:szCs w:val="16"/>
          </w:rPr>
          <w:t xml:space="preserve">two </w:t>
        </w:r>
      </w:ins>
      <w:r w:rsidRPr="00294F1A">
        <w:rPr>
          <w:rFonts w:ascii="Arial" w:hAnsi="Arial" w:cs="Arial"/>
          <w:sz w:val="16"/>
          <w:szCs w:val="16"/>
        </w:rPr>
        <w:t>time window(s) indicated by [</w:t>
      </w:r>
      <w:r w:rsidRPr="00294F1A">
        <w:rPr>
          <w:rFonts w:ascii="Arial" w:hAnsi="Arial" w:cs="Arial"/>
          <w:i/>
          <w:iCs/>
          <w:sz w:val="16"/>
          <w:szCs w:val="16"/>
        </w:rPr>
        <w:t>higher layer parameter</w:t>
      </w:r>
      <w:r w:rsidRPr="00294F1A">
        <w:rPr>
          <w:rFonts w:ascii="Arial" w:hAnsi="Arial" w:cs="Arial"/>
          <w:sz w:val="16"/>
          <w:szCs w:val="16"/>
        </w:rPr>
        <w:t xml:space="preserve">]. Within </w:t>
      </w:r>
      <w:del w:id="598" w:author="CATT - Ren Da" w:date="2023-11-07T10:03:00Z">
        <w:r w:rsidRPr="00294F1A">
          <w:rPr>
            <w:rFonts w:ascii="Arial" w:hAnsi="Arial" w:cs="Arial"/>
            <w:sz w:val="16"/>
            <w:szCs w:val="16"/>
          </w:rPr>
          <w:delText xml:space="preserve">the </w:delText>
        </w:r>
      </w:del>
      <w:ins w:id="599" w:author="CATT - Ren Da" w:date="2023-11-07T10:03:00Z">
        <w:r w:rsidRPr="00294F1A">
          <w:rPr>
            <w:rFonts w:ascii="Arial" w:hAnsi="Arial" w:cs="Arial"/>
            <w:sz w:val="16"/>
            <w:szCs w:val="16"/>
          </w:rPr>
          <w:t xml:space="preserve">each </w:t>
        </w:r>
      </w:ins>
      <w:r w:rsidRPr="00294F1A">
        <w:rPr>
          <w:rFonts w:ascii="Arial" w:hAnsi="Arial" w:cs="Arial"/>
          <w:sz w:val="16"/>
          <w:szCs w:val="16"/>
        </w:rPr>
        <w:t xml:space="preserve">window indicated by [higher layer parameter], the UE expects </w:t>
      </w:r>
      <w:ins w:id="600" w:author="CATT - Ren Da" w:date="2023-11-14T12:39:00Z">
        <w:r w:rsidRPr="00294F1A">
          <w:rPr>
            <w:rFonts w:ascii="Arial" w:hAnsi="Arial" w:cs="Arial"/>
            <w:sz w:val="16"/>
            <w:szCs w:val="16"/>
          </w:rPr>
          <w:t xml:space="preserve">that </w:t>
        </w:r>
      </w:ins>
      <w:r w:rsidRPr="00294F1A">
        <w:rPr>
          <w:rFonts w:ascii="Arial" w:hAnsi="Arial" w:cs="Arial"/>
          <w:sz w:val="16"/>
          <w:szCs w:val="16"/>
        </w:rPr>
        <w:t xml:space="preserve">the indicated DL PRS resource sets </w:t>
      </w:r>
      <w:ins w:id="601" w:author="CATT - Ren Da" w:date="2023-11-07T10:04:00Z">
        <w:r w:rsidRPr="00294F1A">
          <w:rPr>
            <w:rFonts w:ascii="Arial" w:hAnsi="Arial" w:cs="Arial"/>
            <w:sz w:val="16"/>
            <w:szCs w:val="16"/>
          </w:rPr>
          <w:t xml:space="preserve">across all </w:t>
        </w:r>
        <w:r w:rsidRPr="00294F1A">
          <w:rPr>
            <w:rFonts w:ascii="Arial" w:hAnsi="Arial" w:cs="Arial"/>
            <w:i/>
            <w:iCs/>
            <w:sz w:val="16"/>
            <w:szCs w:val="16"/>
          </w:rPr>
          <w:t>dl-PRS-ID</w:t>
        </w:r>
      </w:ins>
      <w:ins w:id="602" w:author="CATT - Ren Da" w:date="2023-11-07T10:05:00Z">
        <w:r w:rsidRPr="00294F1A">
          <w:rPr>
            <w:rFonts w:ascii="Arial" w:hAnsi="Arial" w:cs="Arial"/>
            <w:i/>
            <w:iCs/>
            <w:sz w:val="16"/>
            <w:szCs w:val="16"/>
          </w:rPr>
          <w:t xml:space="preserve">s </w:t>
        </w:r>
      </w:ins>
      <w:r w:rsidRPr="00294F1A">
        <w:rPr>
          <w:rFonts w:ascii="Arial" w:hAnsi="Arial" w:cs="Arial"/>
          <w:sz w:val="16"/>
          <w:szCs w:val="16"/>
        </w:rPr>
        <w:t xml:space="preserve">are from one DL PRS positioning frequency layer, and </w:t>
      </w:r>
      <w:ins w:id="603" w:author="CATT - Ren Da" w:date="2023-11-14T12:39:00Z">
        <w:r w:rsidRPr="00294F1A">
          <w:rPr>
            <w:rFonts w:ascii="Arial" w:hAnsi="Arial" w:cs="Arial"/>
            <w:sz w:val="16"/>
            <w:szCs w:val="16"/>
          </w:rPr>
          <w:t xml:space="preserve">that </w:t>
        </w:r>
      </w:ins>
      <w:r w:rsidRPr="00294F1A">
        <w:rPr>
          <w:rFonts w:ascii="Arial" w:hAnsi="Arial" w:cs="Arial"/>
          <w:sz w:val="16"/>
          <w:szCs w:val="16"/>
        </w:rPr>
        <w:t xml:space="preserve">the </w:t>
      </w:r>
      <w:del w:id="604" w:author="CATT - Ren Da" w:date="2023-11-07T10:00:00Z">
        <w:r w:rsidRPr="00294F1A">
          <w:rPr>
            <w:rFonts w:ascii="Arial" w:hAnsi="Arial" w:cs="Arial"/>
            <w:sz w:val="16"/>
            <w:szCs w:val="16"/>
          </w:rPr>
          <w:delText xml:space="preserve">same </w:delText>
        </w:r>
      </w:del>
      <w:r w:rsidRPr="00294F1A">
        <w:rPr>
          <w:rFonts w:ascii="Arial" w:hAnsi="Arial" w:cs="Arial"/>
          <w:sz w:val="16"/>
          <w:szCs w:val="16"/>
        </w:rPr>
        <w:t xml:space="preserve">number of indicated DL PRS resource sets associated with each </w:t>
      </w:r>
      <w:r w:rsidRPr="00294F1A">
        <w:rPr>
          <w:rFonts w:ascii="Arial" w:hAnsi="Arial" w:cs="Arial"/>
          <w:i/>
          <w:iCs/>
          <w:sz w:val="16"/>
          <w:szCs w:val="16"/>
        </w:rPr>
        <w:t>dl-PRS-ID</w:t>
      </w:r>
      <w:ins w:id="605" w:author="CATT - Ren Da" w:date="2023-11-07T10:00:00Z">
        <w:r w:rsidRPr="00294F1A">
          <w:rPr>
            <w:rFonts w:ascii="Arial" w:hAnsi="Arial" w:cs="Arial"/>
            <w:i/>
            <w:iCs/>
            <w:sz w:val="16"/>
            <w:szCs w:val="16"/>
          </w:rPr>
          <w:t xml:space="preserve"> </w:t>
        </w:r>
      </w:ins>
      <w:ins w:id="606" w:author="CATT - Ren Da" w:date="2023-11-07T10:02:00Z">
        <w:r w:rsidRPr="00294F1A">
          <w:rPr>
            <w:rFonts w:ascii="Arial" w:hAnsi="Arial" w:cs="Arial"/>
            <w:sz w:val="16"/>
            <w:szCs w:val="16"/>
          </w:rPr>
          <w:t>are</w:t>
        </w:r>
      </w:ins>
      <w:ins w:id="607" w:author="CATT - Ren Da" w:date="2023-11-07T10:01:00Z">
        <w:r w:rsidRPr="00294F1A">
          <w:rPr>
            <w:rFonts w:ascii="Arial" w:hAnsi="Arial" w:cs="Arial"/>
            <w:sz w:val="16"/>
            <w:szCs w:val="16"/>
          </w:rPr>
          <w:t xml:space="preserve"> the same</w:t>
        </w:r>
      </w:ins>
      <w:r w:rsidRPr="00294F1A">
        <w:rPr>
          <w:rFonts w:ascii="Arial" w:hAnsi="Arial" w:cs="Arial"/>
          <w:sz w:val="16"/>
          <w:szCs w:val="16"/>
        </w:rPr>
        <w:t>.</w:t>
      </w:r>
    </w:p>
    <w:p w14:paraId="349D4B11" w14:textId="77777777" w:rsidR="00294F1A" w:rsidRPr="00294F1A" w:rsidRDefault="00294F1A" w:rsidP="00294F1A">
      <w:pPr>
        <w:jc w:val="center"/>
        <w:rPr>
          <w:rFonts w:ascii="Arial" w:hAnsi="Arial" w:cs="Arial"/>
          <w:b/>
          <w:i/>
          <w:sz w:val="16"/>
          <w:szCs w:val="16"/>
          <w:lang w:eastAsia="zh-CN"/>
        </w:rPr>
      </w:pPr>
      <w:r w:rsidRPr="00294F1A">
        <w:rPr>
          <w:rFonts w:ascii="Arial" w:hAnsi="Arial" w:cs="Arial"/>
          <w:color w:val="FF0000"/>
          <w:sz w:val="16"/>
          <w:szCs w:val="16"/>
          <w:lang w:eastAsia="zh-CN"/>
        </w:rPr>
        <w:t>===================== Unchanged parts omitted ======================</w:t>
      </w:r>
    </w:p>
    <w:p w14:paraId="61523390" w14:textId="77777777" w:rsidR="00294F1A" w:rsidRPr="00294F1A" w:rsidRDefault="00294F1A" w:rsidP="00294F1A">
      <w:pPr>
        <w:rPr>
          <w:color w:val="FF0000"/>
          <w:lang w:eastAsia="zh-CN"/>
        </w:rPr>
      </w:pPr>
      <w:r w:rsidRPr="00294F1A">
        <w:rPr>
          <w:color w:val="FF0000"/>
          <w:lang w:eastAsia="zh-CN"/>
        </w:rPr>
        <w:t xml:space="preserve">---------------- </w:t>
      </w:r>
      <w:r>
        <w:rPr>
          <w:color w:val="FF0000"/>
          <w:lang w:eastAsia="zh-CN"/>
        </w:rPr>
        <w:t>End</w:t>
      </w:r>
      <w:r w:rsidRPr="00294F1A">
        <w:rPr>
          <w:color w:val="FF0000"/>
          <w:lang w:eastAsia="zh-CN"/>
        </w:rPr>
        <w:t xml:space="preserve"> of TP ----------------</w:t>
      </w:r>
    </w:p>
    <w:p w14:paraId="2AB5D49C" w14:textId="77777777" w:rsidR="00294F1A" w:rsidRDefault="00294F1A" w:rsidP="00CA0940">
      <w:pPr>
        <w:rPr>
          <w:lang w:eastAsia="x-none"/>
        </w:rPr>
      </w:pPr>
    </w:p>
    <w:p w14:paraId="46C8E051" w14:textId="77777777" w:rsidR="00294F1A" w:rsidRPr="009537ED" w:rsidRDefault="00294F1A" w:rsidP="00CA0940">
      <w:pPr>
        <w:rPr>
          <w:lang w:eastAsia="x-none"/>
        </w:rPr>
      </w:pPr>
    </w:p>
    <w:p w14:paraId="160FB529" w14:textId="455D7691" w:rsidR="00CA0940" w:rsidRPr="00D60CFE" w:rsidRDefault="005A18DC" w:rsidP="00CA0940">
      <w:pPr>
        <w:rPr>
          <w:b/>
          <w:bCs/>
          <w:lang w:eastAsia="x-none"/>
        </w:rPr>
      </w:pPr>
      <w:hyperlink r:id="rId1183" w:history="1">
        <w:r w:rsidR="00AF7253">
          <w:rPr>
            <w:rStyle w:val="Hyperlink"/>
            <w:b/>
            <w:bCs/>
            <w:lang w:eastAsia="x-none"/>
          </w:rPr>
          <w:t>R1-2312271</w:t>
        </w:r>
      </w:hyperlink>
      <w:r w:rsidR="00CA0940" w:rsidRPr="00D60CFE">
        <w:rPr>
          <w:b/>
          <w:bCs/>
          <w:lang w:eastAsia="x-none"/>
        </w:rPr>
        <w:tab/>
        <w:t>FL Summary #3 for maintenance on NR DL and UL carrier phase positioning</w:t>
      </w:r>
      <w:r w:rsidR="00CA0940" w:rsidRPr="00D60CFE">
        <w:rPr>
          <w:b/>
          <w:bCs/>
          <w:lang w:eastAsia="x-none"/>
        </w:rPr>
        <w:tab/>
        <w:t>Moderator (CATT)</w:t>
      </w:r>
    </w:p>
    <w:p w14:paraId="7453DF62" w14:textId="6B445CE2" w:rsidR="00D60CFE" w:rsidRDefault="00D60CFE" w:rsidP="00CA0940">
      <w:pPr>
        <w:rPr>
          <w:lang w:eastAsia="x-none"/>
        </w:rPr>
      </w:pPr>
      <w:r>
        <w:rPr>
          <w:lang w:eastAsia="x-none"/>
        </w:rPr>
        <w:t>From Thursday session</w:t>
      </w:r>
    </w:p>
    <w:p w14:paraId="51BDE461" w14:textId="77777777" w:rsidR="00D60CFE" w:rsidRPr="00D60CFE" w:rsidRDefault="00D60CFE" w:rsidP="00D60CFE">
      <w:pPr>
        <w:rPr>
          <w:rFonts w:ascii="Times New Roman" w:hAnsi="Times New Roman"/>
          <w:szCs w:val="20"/>
          <w:lang w:eastAsia="x-none"/>
        </w:rPr>
      </w:pPr>
      <w:r w:rsidRPr="00D60CFE">
        <w:rPr>
          <w:rFonts w:ascii="Times New Roman" w:hAnsi="Times New Roman"/>
          <w:szCs w:val="20"/>
          <w:highlight w:val="green"/>
          <w:lang w:eastAsia="x-none"/>
        </w:rPr>
        <w:t>Agreement</w:t>
      </w:r>
    </w:p>
    <w:p w14:paraId="7CEF4DB4" w14:textId="77777777" w:rsidR="00D60CFE" w:rsidRPr="00D60CFE" w:rsidRDefault="00D60CFE" w:rsidP="00D60CFE">
      <w:pPr>
        <w:rPr>
          <w:rFonts w:ascii="Times New Roman" w:hAnsi="Times New Roman"/>
          <w:iCs/>
          <w:szCs w:val="20"/>
        </w:rPr>
      </w:pPr>
      <w:r w:rsidRPr="00D60CFE">
        <w:rPr>
          <w:rFonts w:ascii="Times New Roman" w:hAnsi="Times New Roman"/>
          <w:iCs/>
          <w:szCs w:val="20"/>
        </w:rPr>
        <w:t>When an LMF requests a UE, which can be a target UE and a PRU, to perform measurements on indicated DL PRS resource set(s) occurring within an indicated time window.</w:t>
      </w:r>
    </w:p>
    <w:p w14:paraId="0384E4E3" w14:textId="77777777" w:rsidR="00D60CFE" w:rsidRPr="00D60CFE" w:rsidRDefault="00D60CFE" w:rsidP="00D60CFE">
      <w:pPr>
        <w:numPr>
          <w:ilvl w:val="0"/>
          <w:numId w:val="82"/>
        </w:numPr>
        <w:rPr>
          <w:rFonts w:ascii="Times New Roman" w:hAnsi="Times New Roman"/>
          <w:szCs w:val="20"/>
          <w:lang w:eastAsia="x-none"/>
        </w:rPr>
      </w:pPr>
      <w:r w:rsidRPr="00D60CFE">
        <w:rPr>
          <w:rFonts w:ascii="Times New Roman" w:hAnsi="Times New Roman"/>
          <w:iCs/>
          <w:szCs w:val="20"/>
        </w:rPr>
        <w:t>T</w:t>
      </w:r>
      <w:r w:rsidRPr="00D60CFE">
        <w:rPr>
          <w:rFonts w:ascii="Times New Roman" w:hAnsi="Times New Roman"/>
          <w:szCs w:val="20"/>
        </w:rPr>
        <w:t xml:space="preserve">he UE may use the </w:t>
      </w:r>
      <w:r w:rsidRPr="00D60CFE">
        <w:rPr>
          <w:rFonts w:ascii="Times New Roman" w:hAnsi="Times New Roman"/>
          <w:iCs/>
          <w:szCs w:val="20"/>
        </w:rPr>
        <w:t xml:space="preserve">indicated </w:t>
      </w:r>
      <w:r w:rsidRPr="00D60CFE">
        <w:rPr>
          <w:rFonts w:ascii="Times New Roman" w:hAnsi="Times New Roman"/>
          <w:szCs w:val="20"/>
        </w:rPr>
        <w:t xml:space="preserve">DL PRS resource set(s) occurring outside the indicated time window for legacy measurements in addition to the </w:t>
      </w:r>
      <w:r w:rsidRPr="00D60CFE">
        <w:rPr>
          <w:rFonts w:ascii="Times New Roman" w:hAnsi="Times New Roman"/>
          <w:iCs/>
          <w:szCs w:val="20"/>
        </w:rPr>
        <w:t xml:space="preserve">indicated </w:t>
      </w:r>
      <w:r w:rsidRPr="00D60CFE">
        <w:rPr>
          <w:rFonts w:ascii="Times New Roman" w:hAnsi="Times New Roman"/>
          <w:szCs w:val="20"/>
        </w:rPr>
        <w:t>DL PRS resource set(s) occurring inside the indicated time window.</w:t>
      </w:r>
    </w:p>
    <w:p w14:paraId="4025BD27" w14:textId="27A582E8" w:rsidR="00CA0940" w:rsidRPr="00191F40" w:rsidRDefault="00D60CFE" w:rsidP="00F74A6F">
      <w:pPr>
        <w:numPr>
          <w:ilvl w:val="0"/>
          <w:numId w:val="82"/>
        </w:numPr>
        <w:rPr>
          <w:rFonts w:ascii="Times New Roman" w:hAnsi="Times New Roman"/>
          <w:szCs w:val="20"/>
          <w:lang w:eastAsia="x-none"/>
        </w:rPr>
      </w:pPr>
      <w:r w:rsidRPr="00D60CFE">
        <w:rPr>
          <w:rFonts w:ascii="Times New Roman" w:hAnsi="Times New Roman"/>
          <w:iCs/>
          <w:szCs w:val="20"/>
        </w:rPr>
        <w:t>Introduce an optional UE capability for supporting to perform legacy measurements inside the indicated time window only, and an associated configuration to enable legacy measurements inside the time window only.</w:t>
      </w:r>
    </w:p>
    <w:p w14:paraId="0DD4A312" w14:textId="77777777" w:rsidR="00F74A6F" w:rsidRPr="009537ED" w:rsidRDefault="00F74A6F" w:rsidP="009870E1">
      <w:pPr>
        <w:pStyle w:val="Heading3"/>
      </w:pPr>
      <w:bookmarkStart w:id="608" w:name="_Toc150174462"/>
      <w:bookmarkStart w:id="609" w:name="_Toc159251004"/>
      <w:r w:rsidRPr="009537ED">
        <w:t>LPHAP (Low Power High Accuracy Positioning)</w:t>
      </w:r>
      <w:bookmarkEnd w:id="608"/>
      <w:bookmarkEnd w:id="609"/>
    </w:p>
    <w:p w14:paraId="318099F2" w14:textId="7421F9ED" w:rsidR="00F74A6F" w:rsidRPr="009537ED" w:rsidRDefault="005A18DC" w:rsidP="00F74A6F">
      <w:pPr>
        <w:rPr>
          <w:lang w:eastAsia="x-none"/>
        </w:rPr>
      </w:pPr>
      <w:hyperlink r:id="rId1184" w:history="1">
        <w:r w:rsidR="00AF7253">
          <w:rPr>
            <w:rStyle w:val="Hyperlink"/>
            <w:lang w:eastAsia="x-none"/>
          </w:rPr>
          <w:t>R1-2310840</w:t>
        </w:r>
      </w:hyperlink>
      <w:r w:rsidR="00F74A6F" w:rsidRPr="009537ED">
        <w:rPr>
          <w:lang w:eastAsia="x-none"/>
        </w:rPr>
        <w:tab/>
        <w:t>Maintenance of LPHAP</w:t>
      </w:r>
      <w:r w:rsidR="00F74A6F" w:rsidRPr="009537ED">
        <w:rPr>
          <w:lang w:eastAsia="x-none"/>
        </w:rPr>
        <w:tab/>
        <w:t>Huawei, HiSilicon</w:t>
      </w:r>
    </w:p>
    <w:p w14:paraId="3870D380" w14:textId="01E91A70" w:rsidR="00F74A6F" w:rsidRPr="009537ED" w:rsidRDefault="005A18DC" w:rsidP="00F74A6F">
      <w:pPr>
        <w:rPr>
          <w:color w:val="FF0000"/>
          <w:lang w:eastAsia="x-none"/>
        </w:rPr>
      </w:pPr>
      <w:hyperlink r:id="rId1185" w:history="1">
        <w:r w:rsidR="00AF7253">
          <w:rPr>
            <w:rStyle w:val="Hyperlink"/>
            <w:lang w:eastAsia="x-none"/>
          </w:rPr>
          <w:t>R1-2310979</w:t>
        </w:r>
      </w:hyperlink>
      <w:r w:rsidR="00F74A6F" w:rsidRPr="009537ED">
        <w:rPr>
          <w:color w:val="FF0000"/>
          <w:lang w:eastAsia="x-none"/>
        </w:rPr>
        <w:tab/>
        <w:t>Remaining issues on LPHAP</w:t>
      </w:r>
      <w:r w:rsidR="00F74A6F" w:rsidRPr="009537ED">
        <w:rPr>
          <w:color w:val="FF0000"/>
          <w:lang w:eastAsia="x-none"/>
        </w:rPr>
        <w:tab/>
        <w:t>Nokia, Nokia Shanghai Bell</w:t>
      </w:r>
      <w:r w:rsidR="009870E1" w:rsidRPr="009537ED">
        <w:rPr>
          <w:color w:val="FF0000"/>
          <w:lang w:eastAsia="x-none"/>
        </w:rPr>
        <w:tab/>
      </w:r>
      <w:r w:rsidR="00F74A6F" w:rsidRPr="009537ED">
        <w:rPr>
          <w:color w:val="FF0000"/>
          <w:lang w:eastAsia="x-none"/>
        </w:rPr>
        <w:t>Late submission</w:t>
      </w:r>
    </w:p>
    <w:p w14:paraId="5B6E945D" w14:textId="5C651400" w:rsidR="00F74A6F" w:rsidRPr="009537ED" w:rsidRDefault="005A18DC" w:rsidP="00F74A6F">
      <w:pPr>
        <w:rPr>
          <w:lang w:eastAsia="x-none"/>
        </w:rPr>
      </w:pPr>
      <w:hyperlink r:id="rId1186" w:history="1">
        <w:r w:rsidR="00AF7253">
          <w:rPr>
            <w:rStyle w:val="Hyperlink"/>
            <w:lang w:eastAsia="x-none"/>
          </w:rPr>
          <w:t>R1-2311098</w:t>
        </w:r>
      </w:hyperlink>
      <w:r w:rsidR="00F74A6F" w:rsidRPr="009537ED">
        <w:rPr>
          <w:lang w:eastAsia="x-none"/>
        </w:rPr>
        <w:tab/>
        <w:t>Remaining issues on low power high accuracy positioning</w:t>
      </w:r>
      <w:r w:rsidR="00F74A6F" w:rsidRPr="009537ED">
        <w:rPr>
          <w:lang w:eastAsia="x-none"/>
        </w:rPr>
        <w:tab/>
        <w:t>vivo</w:t>
      </w:r>
    </w:p>
    <w:p w14:paraId="3C3E9CD6" w14:textId="0445CF43" w:rsidR="00F74A6F" w:rsidRPr="009537ED" w:rsidRDefault="005A18DC" w:rsidP="00F74A6F">
      <w:pPr>
        <w:rPr>
          <w:lang w:eastAsia="x-none"/>
        </w:rPr>
      </w:pPr>
      <w:hyperlink r:id="rId1187" w:history="1">
        <w:r w:rsidR="00AF7253">
          <w:rPr>
            <w:rStyle w:val="Hyperlink"/>
            <w:lang w:eastAsia="x-none"/>
          </w:rPr>
          <w:t>R1-2311226</w:t>
        </w:r>
      </w:hyperlink>
      <w:r w:rsidR="00F74A6F" w:rsidRPr="009537ED">
        <w:rPr>
          <w:lang w:eastAsia="x-none"/>
        </w:rPr>
        <w:tab/>
        <w:t>Remaining issues of low power high accuracy positioning</w:t>
      </w:r>
      <w:r w:rsidR="00F74A6F" w:rsidRPr="009537ED">
        <w:rPr>
          <w:lang w:eastAsia="x-none"/>
        </w:rPr>
        <w:tab/>
        <w:t>OPPO</w:t>
      </w:r>
    </w:p>
    <w:p w14:paraId="49138A8B" w14:textId="7C9EB5C8" w:rsidR="00F74A6F" w:rsidRPr="009537ED" w:rsidRDefault="005A18DC" w:rsidP="00F74A6F">
      <w:pPr>
        <w:rPr>
          <w:lang w:eastAsia="x-none"/>
        </w:rPr>
      </w:pPr>
      <w:hyperlink r:id="rId1188" w:history="1">
        <w:r w:rsidR="00AF7253">
          <w:rPr>
            <w:rStyle w:val="Hyperlink"/>
            <w:lang w:eastAsia="x-none"/>
          </w:rPr>
          <w:t>R1-2311343</w:t>
        </w:r>
      </w:hyperlink>
      <w:r w:rsidR="00F74A6F" w:rsidRPr="009537ED">
        <w:rPr>
          <w:lang w:eastAsia="x-none"/>
        </w:rPr>
        <w:tab/>
        <w:t>Maintenance issues on low power high accuracy positioning</w:t>
      </w:r>
      <w:r w:rsidR="00F74A6F" w:rsidRPr="009537ED">
        <w:rPr>
          <w:lang w:eastAsia="x-none"/>
        </w:rPr>
        <w:tab/>
        <w:t>CATT</w:t>
      </w:r>
    </w:p>
    <w:p w14:paraId="0DB6D74F" w14:textId="1A9BE550" w:rsidR="00F74A6F" w:rsidRPr="009537ED" w:rsidRDefault="005A18DC" w:rsidP="00F74A6F">
      <w:pPr>
        <w:rPr>
          <w:lang w:eastAsia="x-none"/>
        </w:rPr>
      </w:pPr>
      <w:hyperlink r:id="rId1189" w:history="1">
        <w:r w:rsidR="00AF7253">
          <w:rPr>
            <w:rStyle w:val="Hyperlink"/>
            <w:lang w:eastAsia="x-none"/>
          </w:rPr>
          <w:t>R1-2311419</w:t>
        </w:r>
      </w:hyperlink>
      <w:r w:rsidR="00F74A6F" w:rsidRPr="009537ED">
        <w:rPr>
          <w:lang w:eastAsia="x-none"/>
        </w:rPr>
        <w:tab/>
        <w:t>Remaining issues on low power high accuracy positioning</w:t>
      </w:r>
      <w:r w:rsidR="00F74A6F" w:rsidRPr="009537ED">
        <w:rPr>
          <w:lang w:eastAsia="x-none"/>
        </w:rPr>
        <w:tab/>
        <w:t>NEC</w:t>
      </w:r>
    </w:p>
    <w:p w14:paraId="3A6E98E3" w14:textId="4F159D23" w:rsidR="00F74A6F" w:rsidRPr="009537ED" w:rsidRDefault="005A18DC" w:rsidP="00F74A6F">
      <w:pPr>
        <w:rPr>
          <w:lang w:eastAsia="x-none"/>
        </w:rPr>
      </w:pPr>
      <w:hyperlink r:id="rId1190" w:history="1">
        <w:r w:rsidR="00AF7253">
          <w:rPr>
            <w:rStyle w:val="Hyperlink"/>
            <w:lang w:eastAsia="x-none"/>
          </w:rPr>
          <w:t>R1-2311460</w:t>
        </w:r>
      </w:hyperlink>
      <w:r w:rsidR="00F74A6F" w:rsidRPr="009537ED">
        <w:rPr>
          <w:lang w:eastAsia="x-none"/>
        </w:rPr>
        <w:tab/>
        <w:t>Maintenance on low power high accuracy positioning</w:t>
      </w:r>
      <w:r w:rsidR="00F74A6F" w:rsidRPr="009537ED">
        <w:rPr>
          <w:lang w:eastAsia="x-none"/>
        </w:rPr>
        <w:tab/>
        <w:t>ZTE</w:t>
      </w:r>
    </w:p>
    <w:p w14:paraId="3FEC163B" w14:textId="012D6330" w:rsidR="00F74A6F" w:rsidRPr="009537ED" w:rsidRDefault="005A18DC" w:rsidP="00F74A6F">
      <w:pPr>
        <w:rPr>
          <w:lang w:eastAsia="x-none"/>
        </w:rPr>
      </w:pPr>
      <w:hyperlink r:id="rId1191" w:history="1">
        <w:r w:rsidR="00AF7253">
          <w:rPr>
            <w:rStyle w:val="Hyperlink"/>
            <w:lang w:eastAsia="x-none"/>
          </w:rPr>
          <w:t>R1-2311483</w:t>
        </w:r>
      </w:hyperlink>
      <w:r w:rsidR="00F74A6F" w:rsidRPr="009537ED">
        <w:rPr>
          <w:lang w:eastAsia="x-none"/>
        </w:rPr>
        <w:tab/>
        <w:t>Maintenance on low power high accuracy positioning</w:t>
      </w:r>
      <w:r w:rsidR="00F74A6F" w:rsidRPr="009537ED">
        <w:rPr>
          <w:lang w:eastAsia="x-none"/>
        </w:rPr>
        <w:tab/>
        <w:t>CMCC</w:t>
      </w:r>
    </w:p>
    <w:p w14:paraId="5F1DA023" w14:textId="30982702" w:rsidR="00F74A6F" w:rsidRPr="009537ED" w:rsidRDefault="005A18DC" w:rsidP="00F74A6F">
      <w:pPr>
        <w:rPr>
          <w:lang w:eastAsia="x-none"/>
        </w:rPr>
      </w:pPr>
      <w:hyperlink r:id="rId1192" w:history="1">
        <w:r w:rsidR="00AF7253">
          <w:rPr>
            <w:rStyle w:val="Hyperlink"/>
            <w:lang w:eastAsia="x-none"/>
          </w:rPr>
          <w:t>R1-2311599</w:t>
        </w:r>
      </w:hyperlink>
      <w:r w:rsidR="00F74A6F" w:rsidRPr="009537ED">
        <w:rPr>
          <w:lang w:eastAsia="x-none"/>
        </w:rPr>
        <w:tab/>
        <w:t>Remaining issues on Low Power High Accuracy Positioning (LPHAP)</w:t>
      </w:r>
      <w:r w:rsidR="00F74A6F" w:rsidRPr="009537ED">
        <w:rPr>
          <w:lang w:eastAsia="x-none"/>
        </w:rPr>
        <w:tab/>
        <w:t>InterDigital, Inc.</w:t>
      </w:r>
    </w:p>
    <w:p w14:paraId="0E953C3B" w14:textId="209226A6" w:rsidR="00F74A6F" w:rsidRPr="009537ED" w:rsidRDefault="005A18DC" w:rsidP="00F74A6F">
      <w:pPr>
        <w:rPr>
          <w:lang w:eastAsia="x-none"/>
        </w:rPr>
      </w:pPr>
      <w:hyperlink r:id="rId1193" w:history="1">
        <w:r w:rsidR="00AF7253">
          <w:rPr>
            <w:rStyle w:val="Hyperlink"/>
            <w:lang w:eastAsia="x-none"/>
          </w:rPr>
          <w:t>R1-2311623</w:t>
        </w:r>
      </w:hyperlink>
      <w:r w:rsidR="00F74A6F" w:rsidRPr="009537ED">
        <w:rPr>
          <w:lang w:eastAsia="x-none"/>
        </w:rPr>
        <w:tab/>
        <w:t>Remaining issues on low power high accuracy positioning</w:t>
      </w:r>
      <w:r w:rsidR="00F74A6F" w:rsidRPr="009537ED">
        <w:rPr>
          <w:lang w:eastAsia="x-none"/>
        </w:rPr>
        <w:tab/>
        <w:t>NTT DOCOMO, INC.</w:t>
      </w:r>
    </w:p>
    <w:p w14:paraId="0E344AED" w14:textId="12C79191" w:rsidR="00F74A6F" w:rsidRPr="009537ED" w:rsidRDefault="005A18DC" w:rsidP="00F74A6F">
      <w:pPr>
        <w:rPr>
          <w:lang w:eastAsia="x-none"/>
        </w:rPr>
      </w:pPr>
      <w:hyperlink r:id="rId1194" w:history="1">
        <w:r w:rsidR="00AF7253">
          <w:rPr>
            <w:rStyle w:val="Hyperlink"/>
            <w:lang w:eastAsia="x-none"/>
          </w:rPr>
          <w:t>R1-2311845</w:t>
        </w:r>
      </w:hyperlink>
      <w:r w:rsidR="00F74A6F" w:rsidRPr="009537ED">
        <w:rPr>
          <w:lang w:eastAsia="x-none"/>
        </w:rPr>
        <w:tab/>
        <w:t>Maintenance on Low Power High Accuracy Positioning</w:t>
      </w:r>
      <w:r w:rsidR="00F74A6F" w:rsidRPr="009537ED">
        <w:rPr>
          <w:lang w:eastAsia="x-none"/>
        </w:rPr>
        <w:tab/>
        <w:t>Samsung</w:t>
      </w:r>
    </w:p>
    <w:p w14:paraId="072B0F03" w14:textId="5C0D25D2" w:rsidR="00F74A6F" w:rsidRPr="009537ED" w:rsidRDefault="005A18DC" w:rsidP="00F74A6F">
      <w:pPr>
        <w:rPr>
          <w:lang w:eastAsia="x-none"/>
        </w:rPr>
      </w:pPr>
      <w:hyperlink r:id="rId1195" w:history="1">
        <w:r w:rsidR="00AF7253">
          <w:rPr>
            <w:rStyle w:val="Hyperlink"/>
            <w:lang w:eastAsia="x-none"/>
          </w:rPr>
          <w:t>R1-2312037</w:t>
        </w:r>
      </w:hyperlink>
      <w:r w:rsidR="00F74A6F" w:rsidRPr="009537ED">
        <w:rPr>
          <w:lang w:eastAsia="x-none"/>
        </w:rPr>
        <w:tab/>
        <w:t>Discussion on LPHAP Positioning</w:t>
      </w:r>
      <w:r w:rsidR="00F74A6F" w:rsidRPr="009537ED">
        <w:rPr>
          <w:lang w:eastAsia="x-none"/>
        </w:rPr>
        <w:tab/>
        <w:t>Qualcomm Incorporated</w:t>
      </w:r>
    </w:p>
    <w:p w14:paraId="19EBA050" w14:textId="375609FF" w:rsidR="00F74A6F" w:rsidRPr="009537ED" w:rsidRDefault="005A18DC" w:rsidP="00F74A6F">
      <w:pPr>
        <w:rPr>
          <w:lang w:eastAsia="x-none"/>
        </w:rPr>
      </w:pPr>
      <w:hyperlink r:id="rId1196" w:history="1">
        <w:r w:rsidR="00AF7253">
          <w:rPr>
            <w:rStyle w:val="Hyperlink"/>
            <w:lang w:eastAsia="x-none"/>
          </w:rPr>
          <w:t>R1-2312105</w:t>
        </w:r>
      </w:hyperlink>
      <w:r w:rsidR="00F74A6F" w:rsidRPr="009537ED">
        <w:rPr>
          <w:lang w:eastAsia="x-none"/>
        </w:rPr>
        <w:tab/>
        <w:t>Remaining Issues on Low Power High Accuracy Positioning</w:t>
      </w:r>
      <w:r w:rsidR="00F74A6F" w:rsidRPr="009537ED">
        <w:rPr>
          <w:lang w:eastAsia="x-none"/>
        </w:rPr>
        <w:tab/>
        <w:t>Quectel</w:t>
      </w:r>
    </w:p>
    <w:p w14:paraId="7F71D5B4" w14:textId="0C938B8C" w:rsidR="00F74A6F" w:rsidRPr="009537ED" w:rsidRDefault="005A18DC" w:rsidP="00F74A6F">
      <w:pPr>
        <w:rPr>
          <w:lang w:eastAsia="x-none"/>
        </w:rPr>
      </w:pPr>
      <w:hyperlink r:id="rId1197" w:history="1">
        <w:r w:rsidR="00AF7253">
          <w:rPr>
            <w:rStyle w:val="Hyperlink"/>
            <w:lang w:eastAsia="x-none"/>
          </w:rPr>
          <w:t>R1-2312189</w:t>
        </w:r>
      </w:hyperlink>
      <w:r w:rsidR="00F74A6F" w:rsidRPr="009537ED">
        <w:rPr>
          <w:lang w:eastAsia="x-none"/>
        </w:rPr>
        <w:tab/>
        <w:t>Remaining issues on Low Power High Accuracy Positioning</w:t>
      </w:r>
      <w:r w:rsidR="00F74A6F" w:rsidRPr="009537ED">
        <w:rPr>
          <w:lang w:eastAsia="x-none"/>
        </w:rPr>
        <w:tab/>
        <w:t>Ericsson</w:t>
      </w:r>
    </w:p>
    <w:p w14:paraId="6891C25D" w14:textId="77777777" w:rsidR="009870E1" w:rsidRPr="009537ED" w:rsidRDefault="009870E1" w:rsidP="00F74A6F">
      <w:pPr>
        <w:rPr>
          <w:lang w:eastAsia="x-none"/>
        </w:rPr>
      </w:pPr>
    </w:p>
    <w:p w14:paraId="0A04D999" w14:textId="603873E7" w:rsidR="009870E1" w:rsidRPr="009537ED" w:rsidRDefault="005A18DC" w:rsidP="009870E1">
      <w:pPr>
        <w:rPr>
          <w:b/>
          <w:lang w:eastAsia="x-none"/>
        </w:rPr>
      </w:pPr>
      <w:hyperlink r:id="rId1198" w:history="1">
        <w:r w:rsidR="00AF7253">
          <w:rPr>
            <w:rStyle w:val="Hyperlink"/>
            <w:b/>
            <w:lang w:eastAsia="x-none"/>
          </w:rPr>
          <w:t>R1-2312302</w:t>
        </w:r>
      </w:hyperlink>
      <w:r w:rsidR="009870E1" w:rsidRPr="009537ED">
        <w:rPr>
          <w:b/>
          <w:lang w:eastAsia="x-none"/>
        </w:rPr>
        <w:tab/>
        <w:t>Summary #1 for low power high accuracy positioning</w:t>
      </w:r>
      <w:r w:rsidR="009870E1" w:rsidRPr="009537ED">
        <w:rPr>
          <w:b/>
          <w:lang w:eastAsia="x-none"/>
        </w:rPr>
        <w:tab/>
        <w:t>Moderator (Huawei, CMCC)</w:t>
      </w:r>
    </w:p>
    <w:p w14:paraId="771C7874" w14:textId="4855243F" w:rsidR="009870E1" w:rsidRPr="009537ED" w:rsidRDefault="009870E1" w:rsidP="009870E1">
      <w:pPr>
        <w:rPr>
          <w:lang w:eastAsia="x-none"/>
        </w:rPr>
      </w:pPr>
      <w:r w:rsidRPr="009537ED">
        <w:rPr>
          <w:lang w:eastAsia="x-none"/>
        </w:rPr>
        <w:t>From Monday session</w:t>
      </w:r>
    </w:p>
    <w:p w14:paraId="1A45EAFC" w14:textId="77777777" w:rsidR="009870E1" w:rsidRPr="009537ED" w:rsidRDefault="009870E1" w:rsidP="009870E1">
      <w:pPr>
        <w:rPr>
          <w:rFonts w:ascii="Times New Roman" w:hAnsi="Times New Roman"/>
          <w:szCs w:val="20"/>
          <w:lang w:eastAsia="x-none"/>
        </w:rPr>
      </w:pPr>
      <w:r w:rsidRPr="009537ED">
        <w:rPr>
          <w:rFonts w:ascii="Times New Roman" w:hAnsi="Times New Roman"/>
          <w:szCs w:val="20"/>
          <w:highlight w:val="green"/>
          <w:lang w:eastAsia="x-none"/>
        </w:rPr>
        <w:t>Agreement</w:t>
      </w:r>
    </w:p>
    <w:p w14:paraId="07548E4E" w14:textId="77777777" w:rsidR="009870E1" w:rsidRPr="009537ED" w:rsidRDefault="009870E1" w:rsidP="009870E1">
      <w:pPr>
        <w:rPr>
          <w:rFonts w:ascii="Times New Roman" w:hAnsi="Times New Roman"/>
          <w:szCs w:val="20"/>
          <w:lang w:eastAsia="x-none"/>
        </w:rPr>
      </w:pPr>
      <w:r w:rsidRPr="009537ED">
        <w:rPr>
          <w:rFonts w:ascii="Times New Roman" w:hAnsi="Times New Roman"/>
          <w:szCs w:val="20"/>
          <w:lang w:eastAsia="x-none"/>
        </w:rPr>
        <w:t xml:space="preserve">The periodicity value of 20480ms is introduced for positioning SRS for RRC_INACTIVE state. </w:t>
      </w:r>
    </w:p>
    <w:p w14:paraId="51E4081F" w14:textId="77777777" w:rsidR="009870E1" w:rsidRPr="009537ED" w:rsidRDefault="009870E1" w:rsidP="009870E1">
      <w:pPr>
        <w:rPr>
          <w:rFonts w:ascii="Times New Roman" w:hAnsi="Times New Roman"/>
          <w:szCs w:val="20"/>
          <w:lang w:eastAsia="x-none"/>
        </w:rPr>
      </w:pPr>
    </w:p>
    <w:p w14:paraId="34187989" w14:textId="77777777" w:rsidR="009870E1" w:rsidRPr="009537ED" w:rsidRDefault="009870E1" w:rsidP="009870E1">
      <w:pPr>
        <w:rPr>
          <w:rFonts w:ascii="Times New Roman" w:hAnsi="Times New Roman"/>
          <w:bCs/>
          <w:szCs w:val="20"/>
          <w:u w:val="single"/>
          <w:lang w:eastAsia="x-none"/>
        </w:rPr>
      </w:pPr>
      <w:r w:rsidRPr="009537ED">
        <w:rPr>
          <w:rFonts w:ascii="Times New Roman" w:hAnsi="Times New Roman"/>
          <w:bCs/>
          <w:szCs w:val="20"/>
          <w:u w:val="single"/>
          <w:lang w:eastAsia="x-none"/>
        </w:rPr>
        <w:t>Conclusion</w:t>
      </w:r>
    </w:p>
    <w:p w14:paraId="29FB424E" w14:textId="77777777" w:rsidR="009870E1" w:rsidRPr="009537ED" w:rsidRDefault="009870E1" w:rsidP="009870E1">
      <w:pPr>
        <w:rPr>
          <w:rFonts w:ascii="Times New Roman" w:hAnsi="Times New Roman"/>
          <w:szCs w:val="20"/>
          <w:lang w:eastAsia="x-none"/>
        </w:rPr>
      </w:pPr>
      <w:r w:rsidRPr="009537ED">
        <w:rPr>
          <w:rFonts w:ascii="Times New Roman" w:hAnsi="Times New Roman"/>
          <w:szCs w:val="20"/>
          <w:lang w:eastAsia="x-none"/>
        </w:rPr>
        <w:t>The periodicity values larger than 10240ms are not introduced for DL PRS in Rel-18.</w:t>
      </w:r>
    </w:p>
    <w:p w14:paraId="272B7365" w14:textId="77777777" w:rsidR="009870E1" w:rsidRPr="009537ED" w:rsidRDefault="009870E1" w:rsidP="009870E1">
      <w:pPr>
        <w:rPr>
          <w:rFonts w:ascii="Times New Roman" w:hAnsi="Times New Roman"/>
          <w:szCs w:val="20"/>
          <w:lang w:eastAsia="x-none"/>
        </w:rPr>
      </w:pPr>
    </w:p>
    <w:p w14:paraId="48F6A0FD" w14:textId="77777777" w:rsidR="009870E1" w:rsidRPr="009537ED" w:rsidRDefault="009870E1" w:rsidP="009870E1">
      <w:pPr>
        <w:rPr>
          <w:rFonts w:ascii="Times New Roman" w:hAnsi="Times New Roman"/>
          <w:szCs w:val="20"/>
          <w:lang w:eastAsia="x-none"/>
        </w:rPr>
      </w:pPr>
      <w:r w:rsidRPr="009537ED">
        <w:rPr>
          <w:rFonts w:ascii="Times New Roman" w:hAnsi="Times New Roman"/>
          <w:szCs w:val="20"/>
          <w:highlight w:val="green"/>
          <w:lang w:eastAsia="x-none"/>
        </w:rPr>
        <w:t>Agreement</w:t>
      </w:r>
    </w:p>
    <w:p w14:paraId="388AE5B3" w14:textId="77777777" w:rsidR="009870E1" w:rsidRPr="009537ED" w:rsidRDefault="009870E1" w:rsidP="009870E1">
      <w:pPr>
        <w:rPr>
          <w:rFonts w:ascii="Times New Roman" w:hAnsi="Times New Roman"/>
          <w:szCs w:val="20"/>
          <w:lang w:eastAsia="zh-CN"/>
        </w:rPr>
      </w:pPr>
      <w:r w:rsidRPr="009537ED">
        <w:rPr>
          <w:rFonts w:ascii="Times New Roman" w:hAnsi="Times New Roman"/>
          <w:szCs w:val="20"/>
          <w:lang w:eastAsia="zh-CN"/>
        </w:rPr>
        <w:t xml:space="preserve">Introduce a new RRC parameter to indicate hyper SFN information in which the positioning SRS is transmitted for the </w:t>
      </w:r>
      <w:r w:rsidRPr="009537ED">
        <w:rPr>
          <w:rFonts w:ascii="Times New Roman" w:hAnsi="Times New Roman"/>
          <w:bCs/>
          <w:szCs w:val="20"/>
          <w:lang w:eastAsia="zh-CN"/>
        </w:rPr>
        <w:t>periodicity value of 20480ms.</w:t>
      </w:r>
    </w:p>
    <w:p w14:paraId="439ACB0F" w14:textId="77777777" w:rsidR="009870E1" w:rsidRPr="009537ED" w:rsidRDefault="009870E1" w:rsidP="00BC5BE9">
      <w:pPr>
        <w:pStyle w:val="ListParagraph"/>
        <w:numPr>
          <w:ilvl w:val="0"/>
          <w:numId w:val="80"/>
        </w:numPr>
        <w:rPr>
          <w:lang w:eastAsia="zh-CN"/>
        </w:rPr>
      </w:pPr>
      <w:r w:rsidRPr="009537ED">
        <w:rPr>
          <w:lang w:eastAsia="zh-CN"/>
        </w:rPr>
        <w:t>The value range is {0, 1} to indicate even or odd hyper SFN.</w:t>
      </w:r>
    </w:p>
    <w:p w14:paraId="246CDFC8" w14:textId="77777777" w:rsidR="009870E1" w:rsidRPr="009537ED" w:rsidRDefault="009870E1" w:rsidP="00BC5BE9">
      <w:pPr>
        <w:pStyle w:val="ListParagraph"/>
        <w:numPr>
          <w:ilvl w:val="0"/>
          <w:numId w:val="80"/>
        </w:numPr>
        <w:rPr>
          <w:lang w:eastAsia="zh-CN"/>
        </w:rPr>
      </w:pPr>
      <w:r w:rsidRPr="009537ED">
        <w:rPr>
          <w:lang w:eastAsia="zh-CN"/>
        </w:rPr>
        <w:t>The parameter is absent when the periodicity of positioning SRS is less than or equal to 10240ms.</w:t>
      </w:r>
    </w:p>
    <w:p w14:paraId="2FB05E0B" w14:textId="77777777" w:rsidR="009870E1" w:rsidRPr="009537ED" w:rsidRDefault="009870E1" w:rsidP="009870E1">
      <w:pPr>
        <w:rPr>
          <w:rFonts w:ascii="Times New Roman" w:hAnsi="Times New Roman"/>
          <w:szCs w:val="20"/>
          <w:lang w:eastAsia="x-none"/>
        </w:rPr>
      </w:pPr>
      <w:r w:rsidRPr="009537ED">
        <w:rPr>
          <w:rFonts w:ascii="Times New Roman" w:hAnsi="Times New Roman"/>
          <w:szCs w:val="20"/>
          <w:highlight w:val="green"/>
          <w:lang w:eastAsia="x-none"/>
        </w:rPr>
        <w:t>Agreement</w:t>
      </w:r>
    </w:p>
    <w:p w14:paraId="1C149966" w14:textId="7D785178" w:rsidR="009870E1" w:rsidRPr="009537ED" w:rsidRDefault="009870E1" w:rsidP="00BC5BE9">
      <w:pPr>
        <w:pStyle w:val="ListParagraph"/>
        <w:numPr>
          <w:ilvl w:val="0"/>
          <w:numId w:val="84"/>
        </w:numPr>
        <w:rPr>
          <w:lang w:eastAsia="x-none"/>
        </w:rPr>
      </w:pPr>
      <w:r w:rsidRPr="009537ED">
        <w:rPr>
          <w:lang w:eastAsia="x-none"/>
        </w:rPr>
        <w:t xml:space="preserve">TP#1 in section 2.2 of </w:t>
      </w:r>
      <w:hyperlink r:id="rId1199" w:history="1">
        <w:r w:rsidR="00AF7253">
          <w:rPr>
            <w:rStyle w:val="Hyperlink"/>
            <w:lang w:eastAsia="x-none"/>
          </w:rPr>
          <w:t>R1-2312302</w:t>
        </w:r>
      </w:hyperlink>
      <w:r w:rsidRPr="009537ED">
        <w:rPr>
          <w:lang w:eastAsia="x-none"/>
        </w:rPr>
        <w:t xml:space="preserve"> is endorsed for TS38.213 clause 4.2.</w:t>
      </w:r>
    </w:p>
    <w:p w14:paraId="1809A720" w14:textId="77777777" w:rsidR="009870E1" w:rsidRPr="009537ED" w:rsidRDefault="009870E1" w:rsidP="009870E1">
      <w:pPr>
        <w:rPr>
          <w:rFonts w:ascii="Times New Roman" w:hAnsi="Times New Roman"/>
          <w:szCs w:val="20"/>
          <w:lang w:eastAsia="x-none"/>
        </w:rPr>
      </w:pPr>
      <w:r w:rsidRPr="009537ED">
        <w:rPr>
          <w:rFonts w:ascii="Times New Roman" w:hAnsi="Times New Roman"/>
          <w:szCs w:val="20"/>
          <w:highlight w:val="green"/>
          <w:lang w:eastAsia="x-none"/>
        </w:rPr>
        <w:t>Agreement</w:t>
      </w:r>
    </w:p>
    <w:p w14:paraId="455D2528" w14:textId="77777777" w:rsidR="009870E1" w:rsidRPr="009537ED" w:rsidRDefault="009870E1" w:rsidP="00BC5BE9">
      <w:pPr>
        <w:pStyle w:val="ListParagraph"/>
        <w:numPr>
          <w:ilvl w:val="0"/>
          <w:numId w:val="84"/>
        </w:numPr>
      </w:pPr>
      <w:r w:rsidRPr="009537ED">
        <w:t>TP#2 below is endorsed for TS38.213 clause 4.2.</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980"/>
        <w:gridCol w:w="7982"/>
      </w:tblGrid>
      <w:tr w:rsidR="009870E1" w:rsidRPr="009537ED" w14:paraId="0CD5C741" w14:textId="77777777" w:rsidTr="007D1FDB">
        <w:tc>
          <w:tcPr>
            <w:tcW w:w="1980" w:type="dxa"/>
            <w:shd w:val="clear" w:color="auto" w:fill="auto"/>
          </w:tcPr>
          <w:p w14:paraId="0BA4B0BB" w14:textId="77777777" w:rsidR="009870E1" w:rsidRPr="009537ED" w:rsidRDefault="009870E1" w:rsidP="009870E1">
            <w:pPr>
              <w:rPr>
                <w:rFonts w:ascii="Arial" w:hAnsi="Arial" w:cs="Arial"/>
                <w:b/>
                <w:bCs/>
                <w:sz w:val="16"/>
                <w:szCs w:val="16"/>
              </w:rPr>
            </w:pPr>
            <w:r w:rsidRPr="009537ED">
              <w:rPr>
                <w:rFonts w:ascii="Arial" w:hAnsi="Arial" w:cs="Arial"/>
                <w:b/>
                <w:bCs/>
                <w:sz w:val="16"/>
                <w:szCs w:val="16"/>
              </w:rPr>
              <w:t>Reasons for change</w:t>
            </w:r>
          </w:p>
        </w:tc>
        <w:tc>
          <w:tcPr>
            <w:tcW w:w="7982" w:type="dxa"/>
            <w:shd w:val="clear" w:color="auto" w:fill="auto"/>
          </w:tcPr>
          <w:p w14:paraId="481C9D92" w14:textId="77777777" w:rsidR="009870E1" w:rsidRPr="009537ED" w:rsidRDefault="009870E1" w:rsidP="009870E1">
            <w:pPr>
              <w:rPr>
                <w:rFonts w:ascii="Arial" w:hAnsi="Arial" w:cs="Arial"/>
                <w:sz w:val="16"/>
                <w:szCs w:val="16"/>
                <w:lang w:eastAsia="zh-CN"/>
              </w:rPr>
            </w:pPr>
            <w:r w:rsidRPr="009537ED">
              <w:rPr>
                <w:rFonts w:ascii="Arial" w:hAnsi="Arial" w:cs="Arial"/>
                <w:sz w:val="16"/>
                <w:szCs w:val="16"/>
                <w:lang w:eastAsia="zh-CN"/>
              </w:rPr>
              <w:t>The condition for maintaining the TA from the last serving cell is unclear – what condition “else” referring to is confusing.</w:t>
            </w:r>
          </w:p>
        </w:tc>
      </w:tr>
      <w:tr w:rsidR="009870E1" w:rsidRPr="009537ED" w14:paraId="2A3EF01F" w14:textId="77777777" w:rsidTr="007D1FDB">
        <w:tc>
          <w:tcPr>
            <w:tcW w:w="1980" w:type="dxa"/>
            <w:shd w:val="clear" w:color="auto" w:fill="auto"/>
          </w:tcPr>
          <w:p w14:paraId="0049BA98" w14:textId="77777777" w:rsidR="009870E1" w:rsidRPr="009537ED" w:rsidRDefault="009870E1" w:rsidP="009870E1">
            <w:pPr>
              <w:rPr>
                <w:rFonts w:ascii="Arial" w:hAnsi="Arial" w:cs="Arial"/>
                <w:b/>
                <w:bCs/>
                <w:sz w:val="16"/>
                <w:szCs w:val="16"/>
              </w:rPr>
            </w:pPr>
            <w:r w:rsidRPr="009537ED">
              <w:rPr>
                <w:rFonts w:ascii="Arial" w:hAnsi="Arial" w:cs="Arial"/>
                <w:b/>
                <w:bCs/>
                <w:sz w:val="16"/>
                <w:szCs w:val="16"/>
              </w:rPr>
              <w:t>Summary of change</w:t>
            </w:r>
          </w:p>
        </w:tc>
        <w:tc>
          <w:tcPr>
            <w:tcW w:w="7982" w:type="dxa"/>
            <w:shd w:val="clear" w:color="auto" w:fill="auto"/>
          </w:tcPr>
          <w:p w14:paraId="2788129E" w14:textId="77777777" w:rsidR="009870E1" w:rsidRPr="009537ED" w:rsidRDefault="009870E1" w:rsidP="009870E1">
            <w:pPr>
              <w:rPr>
                <w:rFonts w:ascii="Arial" w:hAnsi="Arial" w:cs="Arial"/>
                <w:sz w:val="16"/>
                <w:szCs w:val="16"/>
                <w:lang w:eastAsia="zh-CN"/>
              </w:rPr>
            </w:pPr>
            <w:r w:rsidRPr="009537ED">
              <w:rPr>
                <w:rFonts w:ascii="Arial" w:hAnsi="Arial" w:cs="Arial"/>
                <w:sz w:val="16"/>
                <w:szCs w:val="16"/>
                <w:lang w:eastAsia="zh-CN"/>
              </w:rPr>
              <w:t>Remove the confusing wording “else” and reorganize the structure.</w:t>
            </w:r>
          </w:p>
        </w:tc>
      </w:tr>
      <w:tr w:rsidR="009870E1" w:rsidRPr="009537ED" w14:paraId="03342B2E" w14:textId="77777777" w:rsidTr="007D1FDB">
        <w:tc>
          <w:tcPr>
            <w:tcW w:w="1980" w:type="dxa"/>
            <w:shd w:val="clear" w:color="auto" w:fill="auto"/>
          </w:tcPr>
          <w:p w14:paraId="4B8EAA61" w14:textId="77777777" w:rsidR="009870E1" w:rsidRPr="009537ED" w:rsidRDefault="009870E1" w:rsidP="009870E1">
            <w:pPr>
              <w:rPr>
                <w:rFonts w:ascii="Arial" w:hAnsi="Arial" w:cs="Arial"/>
                <w:b/>
                <w:bCs/>
                <w:sz w:val="16"/>
                <w:szCs w:val="16"/>
              </w:rPr>
            </w:pPr>
            <w:r w:rsidRPr="009537ED">
              <w:rPr>
                <w:rFonts w:ascii="Arial" w:hAnsi="Arial" w:cs="Arial"/>
                <w:b/>
                <w:bCs/>
                <w:sz w:val="16"/>
                <w:szCs w:val="16"/>
              </w:rPr>
              <w:t>Consequences if not approved</w:t>
            </w:r>
          </w:p>
        </w:tc>
        <w:tc>
          <w:tcPr>
            <w:tcW w:w="7982" w:type="dxa"/>
            <w:shd w:val="clear" w:color="auto" w:fill="auto"/>
          </w:tcPr>
          <w:p w14:paraId="3B2B3244" w14:textId="77777777" w:rsidR="009870E1" w:rsidRPr="009537ED" w:rsidRDefault="009870E1" w:rsidP="009870E1">
            <w:pPr>
              <w:rPr>
                <w:rFonts w:ascii="Arial" w:hAnsi="Arial" w:cs="Arial"/>
                <w:sz w:val="16"/>
                <w:szCs w:val="16"/>
                <w:lang w:eastAsia="zh-CN"/>
              </w:rPr>
            </w:pPr>
            <w:r w:rsidRPr="009537ED">
              <w:rPr>
                <w:rFonts w:ascii="Arial" w:hAnsi="Arial" w:cs="Arial"/>
                <w:sz w:val="16"/>
                <w:szCs w:val="16"/>
                <w:lang w:eastAsia="zh-CN"/>
              </w:rPr>
              <w:t>Current wording in the specification is misleading and may cause confusion in implementation.</w:t>
            </w:r>
          </w:p>
        </w:tc>
      </w:tr>
      <w:tr w:rsidR="009870E1" w:rsidRPr="009537ED" w14:paraId="636F87FD" w14:textId="77777777" w:rsidTr="007D1FDB">
        <w:tc>
          <w:tcPr>
            <w:tcW w:w="1980" w:type="dxa"/>
            <w:shd w:val="clear" w:color="auto" w:fill="auto"/>
          </w:tcPr>
          <w:p w14:paraId="03693A56" w14:textId="77777777" w:rsidR="009870E1" w:rsidRPr="009537ED" w:rsidRDefault="009870E1" w:rsidP="009870E1">
            <w:pPr>
              <w:rPr>
                <w:rFonts w:ascii="Arial" w:hAnsi="Arial" w:cs="Arial"/>
                <w:b/>
                <w:bCs/>
                <w:sz w:val="16"/>
                <w:szCs w:val="16"/>
              </w:rPr>
            </w:pPr>
            <w:r w:rsidRPr="009537ED">
              <w:rPr>
                <w:rFonts w:ascii="Arial" w:hAnsi="Arial" w:cs="Arial"/>
                <w:b/>
                <w:bCs/>
                <w:sz w:val="16"/>
                <w:szCs w:val="16"/>
              </w:rPr>
              <w:t>Text proposal</w:t>
            </w:r>
          </w:p>
        </w:tc>
        <w:tc>
          <w:tcPr>
            <w:tcW w:w="7982" w:type="dxa"/>
            <w:shd w:val="clear" w:color="auto" w:fill="auto"/>
          </w:tcPr>
          <w:p w14:paraId="76EFB8AD" w14:textId="77777777" w:rsidR="009870E1" w:rsidRPr="009537ED" w:rsidRDefault="009870E1" w:rsidP="009870E1">
            <w:pPr>
              <w:widowControl w:val="0"/>
              <w:autoSpaceDE w:val="0"/>
              <w:autoSpaceDN w:val="0"/>
              <w:adjustRightInd w:val="0"/>
              <w:snapToGrid w:val="0"/>
              <w:rPr>
                <w:rFonts w:ascii="Arial" w:eastAsia="SimSun" w:hAnsi="Arial" w:cs="Arial"/>
                <w:color w:val="FF0000"/>
                <w:sz w:val="16"/>
                <w:szCs w:val="16"/>
              </w:rPr>
            </w:pPr>
            <w:r w:rsidRPr="009537ED">
              <w:rPr>
                <w:rFonts w:ascii="Arial" w:hAnsi="Arial" w:cs="Arial"/>
                <w:sz w:val="16"/>
                <w:szCs w:val="16"/>
                <w:lang w:eastAsia="zh-CN"/>
              </w:rPr>
              <w:t>4.2 Transmission timing adjustments</w:t>
            </w:r>
          </w:p>
          <w:p w14:paraId="658CC7F6" w14:textId="77777777" w:rsidR="009870E1" w:rsidRPr="009537ED" w:rsidRDefault="009870E1" w:rsidP="009870E1">
            <w:pPr>
              <w:widowControl w:val="0"/>
              <w:autoSpaceDE w:val="0"/>
              <w:autoSpaceDN w:val="0"/>
              <w:adjustRightInd w:val="0"/>
              <w:snapToGrid w:val="0"/>
              <w:jc w:val="center"/>
              <w:rPr>
                <w:rFonts w:ascii="Arial" w:eastAsia="SimSun" w:hAnsi="Arial" w:cs="Arial"/>
                <w:color w:val="FF0000"/>
                <w:sz w:val="16"/>
                <w:szCs w:val="16"/>
              </w:rPr>
            </w:pPr>
            <w:r w:rsidRPr="009537ED">
              <w:rPr>
                <w:rFonts w:ascii="Arial" w:eastAsia="SimSun" w:hAnsi="Arial" w:cs="Arial"/>
                <w:color w:val="FF0000"/>
                <w:sz w:val="16"/>
                <w:szCs w:val="16"/>
              </w:rPr>
              <w:t>&lt; Unchanged parts are omitted &gt;</w:t>
            </w:r>
          </w:p>
          <w:p w14:paraId="64E0147D" w14:textId="6CC1148F" w:rsidR="009870E1" w:rsidRPr="009537ED" w:rsidRDefault="009870E1" w:rsidP="009870E1">
            <w:pPr>
              <w:rPr>
                <w:ins w:id="610" w:author="Xiajinhuan" w:date="2023-11-13T13:31:00Z"/>
                <w:rFonts w:ascii="Arial" w:hAnsi="Arial" w:cs="Arial"/>
                <w:sz w:val="16"/>
                <w:szCs w:val="16"/>
                <w:lang w:eastAsia="zh-CN"/>
              </w:rPr>
            </w:pPr>
            <w:r w:rsidRPr="009537ED">
              <w:rPr>
                <w:rFonts w:ascii="Arial" w:eastAsia="MS Mincho" w:hAnsi="Arial" w:cs="Arial"/>
                <w:sz w:val="16"/>
                <w:szCs w:val="16"/>
              </w:rPr>
              <w:t xml:space="preserve">If the received downlink timing changes and is not compensated or is only partly compensated by the uplink timing adjustment without timing advance command as described in </w:t>
            </w:r>
            <w:r w:rsidRPr="009537ED">
              <w:rPr>
                <w:rFonts w:ascii="Arial" w:hAnsi="Arial" w:cs="Arial"/>
                <w:sz w:val="16"/>
                <w:szCs w:val="16"/>
              </w:rPr>
              <w:t>[10, TS 38.133]</w:t>
            </w:r>
            <w:r w:rsidRPr="009537ED">
              <w:rPr>
                <w:rFonts w:ascii="Arial" w:eastAsia="MS Mincho" w:hAnsi="Arial" w:cs="Arial"/>
                <w:sz w:val="16"/>
                <w:szCs w:val="16"/>
              </w:rPr>
              <w:t xml:space="preserve">, the UE changes </w:t>
            </w:r>
            <m:oMath>
              <m:sSub>
                <m:sSubPr>
                  <m:ctrlPr>
                    <w:rPr>
                      <w:rFonts w:ascii="Cambria Math" w:eastAsia="DengXian" w:hAnsi="Cambria Math" w:cs="Arial"/>
                      <w:i/>
                      <w:sz w:val="16"/>
                      <w:szCs w:val="16"/>
                      <w:lang w:eastAsia="zh-CN"/>
                    </w:rPr>
                  </m:ctrlPr>
                </m:sSubPr>
                <m:e>
                  <m:r>
                    <w:rPr>
                      <w:rFonts w:ascii="Cambria Math" w:eastAsia="DengXian" w:hAnsi="Cambria Math" w:cs="Arial"/>
                      <w:sz w:val="16"/>
                      <w:szCs w:val="16"/>
                      <w:lang w:eastAsia="zh-CN"/>
                    </w:rPr>
                    <m:t>N</m:t>
                  </m:r>
                </m:e>
                <m:sub>
                  <m:r>
                    <m:rPr>
                      <m:sty m:val="p"/>
                    </m:rPr>
                    <w:rPr>
                      <w:rFonts w:ascii="Cambria Math" w:eastAsia="DengXian" w:hAnsi="Cambria Math" w:cs="Arial"/>
                      <w:sz w:val="16"/>
                      <w:szCs w:val="16"/>
                      <w:lang w:eastAsia="zh-CN"/>
                    </w:rPr>
                    <m:t>TA</m:t>
                  </m:r>
                </m:sub>
              </m:sSub>
            </m:oMath>
            <w:r w:rsidRPr="009537ED">
              <w:rPr>
                <w:rFonts w:ascii="Arial" w:eastAsia="MS Mincho" w:hAnsi="Arial" w:cs="Arial"/>
                <w:sz w:val="16"/>
                <w:szCs w:val="16"/>
              </w:rPr>
              <w:t xml:space="preserve"> accordingly. If a UE operates with two TAGs on an active UL BWP of a serving cell, the UE expects that a difference between a first downlink timing associated with a first TAG and a second downlink timing associated with a second TAG is not larger than the CP length for the active UL BWP unless the UE indicates </w:t>
            </w:r>
            <w:r w:rsidRPr="009537ED">
              <w:rPr>
                <w:rFonts w:ascii="Arial" w:eastAsia="MS Mincho" w:hAnsi="Arial" w:cs="Arial"/>
                <w:i/>
                <w:iCs/>
                <w:sz w:val="16"/>
                <w:szCs w:val="16"/>
              </w:rPr>
              <w:t>larger-thanCP-capability</w:t>
            </w:r>
            <w:r w:rsidRPr="009537ED">
              <w:rPr>
                <w:rFonts w:ascii="Arial" w:eastAsia="MS Mincho" w:hAnsi="Arial" w:cs="Arial"/>
                <w:sz w:val="16"/>
                <w:szCs w:val="16"/>
              </w:rPr>
              <w:t xml:space="preserve">. </w:t>
            </w:r>
            <w:r w:rsidRPr="009537ED">
              <w:rPr>
                <w:rFonts w:ascii="Arial" w:hAnsi="Arial" w:cs="Arial"/>
                <w:sz w:val="16"/>
                <w:szCs w:val="16"/>
                <w:lang w:eastAsia="zh-CN"/>
              </w:rPr>
              <w:t xml:space="preserve">If a UE indicates </w:t>
            </w:r>
            <w:r w:rsidRPr="009537ED">
              <w:rPr>
                <w:rFonts w:ascii="Arial" w:hAnsi="Arial" w:cs="Arial"/>
                <w:i/>
                <w:iCs/>
                <w:sz w:val="16"/>
                <w:szCs w:val="16"/>
                <w:lang w:eastAsia="zh-CN"/>
              </w:rPr>
              <w:t>XYZ_capability</w:t>
            </w:r>
            <w:r w:rsidRPr="009537ED">
              <w:rPr>
                <w:rFonts w:ascii="Arial" w:hAnsi="Arial" w:cs="Arial"/>
                <w:strike/>
                <w:color w:val="FF0000"/>
                <w:sz w:val="16"/>
                <w:szCs w:val="16"/>
                <w:lang w:eastAsia="zh-CN"/>
              </w:rPr>
              <w:t xml:space="preserve">, is provided </w:t>
            </w:r>
            <w:r w:rsidRPr="009537ED">
              <w:rPr>
                <w:rFonts w:ascii="Arial" w:hAnsi="Arial" w:cs="Arial"/>
                <w:i/>
                <w:iCs/>
                <w:strike/>
                <w:color w:val="FF0000"/>
                <w:sz w:val="16"/>
                <w:szCs w:val="16"/>
                <w:lang w:eastAsia="zh-CN"/>
              </w:rPr>
              <w:t>SRS-autonomousTAupdate</w:t>
            </w:r>
            <w:r w:rsidRPr="009537ED">
              <w:rPr>
                <w:rFonts w:ascii="Arial" w:hAnsi="Arial" w:cs="Arial"/>
                <w:strike/>
                <w:color w:val="FF0000"/>
                <w:sz w:val="16"/>
                <w:szCs w:val="16"/>
                <w:lang w:eastAsia="zh-CN"/>
              </w:rPr>
              <w:t xml:space="preserve"> [10, TS 38.133],</w:t>
            </w:r>
            <w:r w:rsidRPr="009537ED">
              <w:rPr>
                <w:rFonts w:ascii="Arial" w:hAnsi="Arial" w:cs="Arial"/>
                <w:sz w:val="16"/>
                <w:szCs w:val="16"/>
                <w:lang w:eastAsia="zh-CN"/>
              </w:rPr>
              <w:t xml:space="preserve"> and transmits SRS based on a configuration by </w:t>
            </w:r>
            <w:r w:rsidRPr="009537ED">
              <w:rPr>
                <w:rFonts w:ascii="Arial" w:hAnsi="Arial" w:cs="Arial"/>
                <w:i/>
                <w:sz w:val="16"/>
                <w:szCs w:val="16"/>
                <w:lang w:eastAsia="zh-CN"/>
              </w:rPr>
              <w:t>SRS-PosResourceSet</w:t>
            </w:r>
            <w:r w:rsidRPr="009537ED">
              <w:rPr>
                <w:rFonts w:ascii="Arial" w:hAnsi="Arial" w:cs="Arial"/>
                <w:iCs/>
                <w:sz w:val="16"/>
                <w:szCs w:val="16"/>
                <w:lang w:eastAsia="zh-CN"/>
              </w:rPr>
              <w:t xml:space="preserve"> in </w:t>
            </w:r>
            <w:r w:rsidRPr="009537ED">
              <w:rPr>
                <w:rFonts w:ascii="Arial" w:hAnsi="Arial" w:cs="Arial"/>
                <w:i/>
                <w:sz w:val="16"/>
                <w:szCs w:val="16"/>
                <w:lang w:eastAsia="zh-CN"/>
              </w:rPr>
              <w:t>SRS-PosRRC-InactiveConfig-ValidityArea</w:t>
            </w:r>
            <w:r w:rsidRPr="009537ED">
              <w:rPr>
                <w:rFonts w:ascii="Arial" w:hAnsi="Arial" w:cs="Arial"/>
                <w:iCs/>
                <w:sz w:val="16"/>
                <w:szCs w:val="16"/>
                <w:lang w:eastAsia="zh-CN"/>
              </w:rPr>
              <w:t xml:space="preserve"> </w:t>
            </w:r>
            <w:r w:rsidRPr="009537ED">
              <w:rPr>
                <w:rFonts w:ascii="Arial" w:hAnsi="Arial" w:cs="Arial"/>
                <w:sz w:val="16"/>
                <w:szCs w:val="16"/>
                <w:lang w:eastAsia="zh-CN"/>
              </w:rPr>
              <w:t xml:space="preserve">in RRC_INACTIVE state, </w:t>
            </w:r>
          </w:p>
          <w:p w14:paraId="037EDD60" w14:textId="69CCD33B" w:rsidR="009870E1" w:rsidRPr="009537ED" w:rsidRDefault="009870E1" w:rsidP="00BC5BE9">
            <w:pPr>
              <w:numPr>
                <w:ilvl w:val="0"/>
                <w:numId w:val="83"/>
              </w:numPr>
              <w:spacing w:line="280" w:lineRule="atLeast"/>
              <w:jc w:val="both"/>
              <w:rPr>
                <w:ins w:id="611" w:author="Xiajinhuan" w:date="2023-11-13T13:33:00Z"/>
                <w:rFonts w:ascii="Arial" w:hAnsi="Arial" w:cs="Arial"/>
                <w:sz w:val="16"/>
                <w:szCs w:val="16"/>
                <w:lang w:eastAsia="x-none"/>
              </w:rPr>
            </w:pPr>
            <w:ins w:id="612" w:author="Xiajinhuan" w:date="2023-11-13T13:32:00Z">
              <w:r w:rsidRPr="009537ED">
                <w:rPr>
                  <w:rFonts w:ascii="Arial" w:hAnsi="Arial" w:cs="Arial"/>
                  <w:sz w:val="16"/>
                  <w:szCs w:val="16"/>
                  <w:lang w:eastAsia="zh-CN"/>
                </w:rPr>
                <w:lastRenderedPageBreak/>
                <w:t xml:space="preserve">if the UE is provided </w:t>
              </w:r>
              <w:r w:rsidRPr="009537ED">
                <w:rPr>
                  <w:rFonts w:ascii="Arial" w:hAnsi="Arial" w:cs="Arial"/>
                  <w:i/>
                  <w:iCs/>
                  <w:sz w:val="16"/>
                  <w:szCs w:val="16"/>
                  <w:lang w:eastAsia="zh-CN"/>
                </w:rPr>
                <w:t>SRS-autonomousTAupdate</w:t>
              </w:r>
              <w:r w:rsidRPr="009537ED">
                <w:rPr>
                  <w:rFonts w:ascii="Arial" w:hAnsi="Arial" w:cs="Arial"/>
                  <w:sz w:val="16"/>
                  <w:szCs w:val="16"/>
                  <w:lang w:eastAsia="zh-CN"/>
                </w:rPr>
                <w:t xml:space="preserve">, </w:t>
              </w:r>
            </w:ins>
            <w:r w:rsidRPr="009537ED">
              <w:rPr>
                <w:rFonts w:ascii="Arial" w:hAnsi="Arial" w:cs="Arial"/>
                <w:sz w:val="16"/>
                <w:szCs w:val="16"/>
                <w:lang w:eastAsia="zh-CN"/>
              </w:rPr>
              <w:t xml:space="preserve">the UE may autonomously update </w:t>
            </w:r>
            <m:oMath>
              <m:sSub>
                <m:sSubPr>
                  <m:ctrlPr>
                    <w:rPr>
                      <w:rFonts w:ascii="Cambria Math" w:eastAsia="DengXian" w:hAnsi="Cambria Math" w:cs="Arial"/>
                      <w:i/>
                      <w:sz w:val="16"/>
                      <w:szCs w:val="16"/>
                      <w:lang w:eastAsia="zh-CN"/>
                    </w:rPr>
                  </m:ctrlPr>
                </m:sSubPr>
                <m:e>
                  <m:r>
                    <w:rPr>
                      <w:rFonts w:ascii="Cambria Math" w:eastAsia="DengXian" w:hAnsi="Cambria Math" w:cs="Arial"/>
                      <w:sz w:val="16"/>
                      <w:szCs w:val="16"/>
                      <w:lang w:eastAsia="zh-CN"/>
                    </w:rPr>
                    <m:t>N</m:t>
                  </m:r>
                </m:e>
                <m:sub>
                  <m:r>
                    <m:rPr>
                      <m:sty m:val="p"/>
                    </m:rPr>
                    <w:rPr>
                      <w:rFonts w:ascii="Cambria Math" w:eastAsia="DengXian" w:hAnsi="Cambria Math" w:cs="Arial"/>
                      <w:sz w:val="16"/>
                      <w:szCs w:val="16"/>
                      <w:lang w:eastAsia="zh-CN"/>
                    </w:rPr>
                    <m:t>TA</m:t>
                  </m:r>
                </m:sub>
              </m:sSub>
            </m:oMath>
            <w:r w:rsidRPr="009537ED">
              <w:rPr>
                <w:rFonts w:ascii="Arial" w:hAnsi="Arial" w:cs="Arial"/>
                <w:sz w:val="16"/>
                <w:szCs w:val="16"/>
                <w:lang w:eastAsia="zh-CN"/>
              </w:rPr>
              <w:t xml:space="preserve"> at cell reselection; </w:t>
            </w:r>
          </w:p>
          <w:p w14:paraId="42B2201C" w14:textId="061FCDFE" w:rsidR="009870E1" w:rsidRPr="009537ED" w:rsidRDefault="009870E1" w:rsidP="00BC5BE9">
            <w:pPr>
              <w:numPr>
                <w:ilvl w:val="0"/>
                <w:numId w:val="83"/>
              </w:numPr>
              <w:spacing w:line="280" w:lineRule="atLeast"/>
              <w:jc w:val="both"/>
              <w:rPr>
                <w:rFonts w:ascii="Arial" w:hAnsi="Arial" w:cs="Arial"/>
                <w:sz w:val="16"/>
                <w:szCs w:val="16"/>
              </w:rPr>
            </w:pPr>
            <w:del w:id="613" w:author="Xiajinhuan" w:date="2023-11-13T13:33:00Z">
              <w:r w:rsidRPr="009537ED" w:rsidDel="009D28AF">
                <w:rPr>
                  <w:rFonts w:ascii="Arial" w:hAnsi="Arial" w:cs="Arial"/>
                  <w:sz w:val="16"/>
                  <w:szCs w:val="16"/>
                  <w:lang w:eastAsia="zh-CN"/>
                </w:rPr>
                <w:delText xml:space="preserve">else, </w:delText>
              </w:r>
            </w:del>
            <w:r w:rsidRPr="009537ED">
              <w:rPr>
                <w:rFonts w:ascii="Arial" w:hAnsi="Arial" w:cs="Arial"/>
                <w:sz w:val="16"/>
                <w:szCs w:val="16"/>
                <w:lang w:eastAsia="zh-CN"/>
              </w:rPr>
              <w:t xml:space="preserve">if the UE is not provided </w:t>
            </w:r>
            <w:r w:rsidRPr="009537ED">
              <w:rPr>
                <w:rFonts w:ascii="Arial" w:hAnsi="Arial" w:cs="Arial"/>
                <w:i/>
                <w:iCs/>
                <w:sz w:val="16"/>
                <w:szCs w:val="16"/>
                <w:lang w:eastAsia="zh-CN"/>
              </w:rPr>
              <w:t>SRS-autonomousTAupdate</w:t>
            </w:r>
            <w:r w:rsidRPr="009537ED">
              <w:rPr>
                <w:rFonts w:ascii="Arial" w:hAnsi="Arial" w:cs="Arial"/>
                <w:sz w:val="16"/>
                <w:szCs w:val="16"/>
                <w:lang w:eastAsia="zh-CN"/>
              </w:rPr>
              <w:t xml:space="preserve">, the UE maintains the </w:t>
            </w:r>
            <m:oMath>
              <m:sSub>
                <m:sSubPr>
                  <m:ctrlPr>
                    <w:rPr>
                      <w:rFonts w:ascii="Cambria Math" w:eastAsia="DengXian" w:hAnsi="Cambria Math" w:cs="Arial"/>
                      <w:i/>
                      <w:sz w:val="16"/>
                      <w:szCs w:val="16"/>
                      <w:lang w:eastAsia="zh-CN"/>
                    </w:rPr>
                  </m:ctrlPr>
                </m:sSubPr>
                <m:e>
                  <m:r>
                    <w:rPr>
                      <w:rFonts w:ascii="Cambria Math" w:eastAsia="DengXian" w:hAnsi="Cambria Math" w:cs="Arial"/>
                      <w:sz w:val="16"/>
                      <w:szCs w:val="16"/>
                      <w:lang w:eastAsia="zh-CN"/>
                    </w:rPr>
                    <m:t>N</m:t>
                  </m:r>
                </m:e>
                <m:sub>
                  <m:r>
                    <m:rPr>
                      <m:sty m:val="p"/>
                    </m:rPr>
                    <w:rPr>
                      <w:rFonts w:ascii="Cambria Math" w:eastAsia="DengXian" w:hAnsi="Cambria Math" w:cs="Arial"/>
                      <w:sz w:val="16"/>
                      <w:szCs w:val="16"/>
                      <w:lang w:eastAsia="zh-CN"/>
                    </w:rPr>
                    <m:t>TA</m:t>
                  </m:r>
                </m:sub>
              </m:sSub>
            </m:oMath>
            <w:r w:rsidRPr="009537ED">
              <w:rPr>
                <w:rFonts w:ascii="Arial" w:hAnsi="Arial" w:cs="Arial"/>
                <w:sz w:val="16"/>
                <w:szCs w:val="16"/>
                <w:lang w:eastAsia="zh-CN"/>
              </w:rPr>
              <w:t xml:space="preserve"> of a last serving cell prior to the </w:t>
            </w:r>
            <w:r w:rsidRPr="009537ED">
              <w:rPr>
                <w:rFonts w:ascii="Arial" w:hAnsi="Arial" w:cs="Arial"/>
                <w:iCs/>
                <w:sz w:val="16"/>
                <w:szCs w:val="16"/>
                <w:lang w:eastAsia="x-none"/>
              </w:rPr>
              <w:t>release of a dedicated RRC connection [11, TS 38.321].</w:t>
            </w:r>
          </w:p>
          <w:p w14:paraId="38CE751C" w14:textId="44AE0E11" w:rsidR="009870E1" w:rsidRPr="009537ED" w:rsidRDefault="009870E1" w:rsidP="009870E1">
            <w:pPr>
              <w:jc w:val="center"/>
              <w:rPr>
                <w:rFonts w:ascii="Arial" w:hAnsi="Arial" w:cs="Arial"/>
                <w:sz w:val="16"/>
                <w:szCs w:val="16"/>
              </w:rPr>
            </w:pPr>
            <w:r w:rsidRPr="009537ED">
              <w:rPr>
                <w:rFonts w:ascii="Arial" w:eastAsia="SimSun" w:hAnsi="Arial" w:cs="Arial"/>
                <w:color w:val="FF0000"/>
                <w:sz w:val="16"/>
                <w:szCs w:val="16"/>
              </w:rPr>
              <w:t>&lt; Unchanged parts are omitted &gt;</w:t>
            </w:r>
          </w:p>
        </w:tc>
      </w:tr>
    </w:tbl>
    <w:p w14:paraId="2B54C48E" w14:textId="77777777" w:rsidR="009870E1" w:rsidRPr="009537ED" w:rsidRDefault="009870E1" w:rsidP="009870E1">
      <w:pPr>
        <w:rPr>
          <w:lang w:eastAsia="x-none"/>
        </w:rPr>
      </w:pPr>
    </w:p>
    <w:p w14:paraId="6E055712" w14:textId="77777777" w:rsidR="009870E1" w:rsidRPr="009537ED" w:rsidRDefault="009870E1" w:rsidP="009870E1">
      <w:pPr>
        <w:rPr>
          <w:lang w:eastAsia="x-none"/>
        </w:rPr>
      </w:pPr>
    </w:p>
    <w:p w14:paraId="6F4778EC" w14:textId="49263D6C" w:rsidR="009870E1" w:rsidRPr="00B12ED6" w:rsidRDefault="005A18DC" w:rsidP="009870E1">
      <w:pPr>
        <w:rPr>
          <w:b/>
          <w:bCs/>
          <w:lang w:eastAsia="x-none"/>
        </w:rPr>
      </w:pPr>
      <w:hyperlink r:id="rId1200" w:history="1">
        <w:r w:rsidR="00AF7253">
          <w:rPr>
            <w:rStyle w:val="Hyperlink"/>
            <w:b/>
            <w:bCs/>
            <w:lang w:eastAsia="x-none"/>
          </w:rPr>
          <w:t>R1-2312303</w:t>
        </w:r>
      </w:hyperlink>
      <w:r w:rsidR="009870E1" w:rsidRPr="00B12ED6">
        <w:rPr>
          <w:b/>
          <w:bCs/>
          <w:lang w:eastAsia="x-none"/>
        </w:rPr>
        <w:tab/>
        <w:t>Summary #2 for low power high accuracy positioning</w:t>
      </w:r>
      <w:r w:rsidR="009870E1" w:rsidRPr="00B12ED6">
        <w:rPr>
          <w:b/>
          <w:bCs/>
          <w:lang w:eastAsia="x-none"/>
        </w:rPr>
        <w:tab/>
        <w:t>Moderator (Huawei, CMCC)</w:t>
      </w:r>
    </w:p>
    <w:p w14:paraId="28565151" w14:textId="151D0F8E" w:rsidR="00B12ED6" w:rsidRDefault="00B12ED6" w:rsidP="009870E1">
      <w:pPr>
        <w:rPr>
          <w:lang w:eastAsia="x-none"/>
        </w:rPr>
      </w:pPr>
      <w:r>
        <w:rPr>
          <w:lang w:eastAsia="x-none"/>
        </w:rPr>
        <w:t>From Wednesday session</w:t>
      </w:r>
    </w:p>
    <w:p w14:paraId="0A3C5338" w14:textId="77777777" w:rsidR="00B12ED6" w:rsidRPr="00B12ED6" w:rsidRDefault="00B12ED6" w:rsidP="00B12ED6">
      <w:pPr>
        <w:rPr>
          <w:rFonts w:ascii="Times New Roman" w:hAnsi="Times New Roman"/>
          <w:szCs w:val="20"/>
        </w:rPr>
      </w:pPr>
      <w:r w:rsidRPr="00B12ED6">
        <w:rPr>
          <w:rFonts w:ascii="Times New Roman" w:hAnsi="Times New Roman"/>
          <w:szCs w:val="20"/>
          <w:highlight w:val="green"/>
        </w:rPr>
        <w:t>Agreement</w:t>
      </w:r>
    </w:p>
    <w:p w14:paraId="47513022" w14:textId="77777777" w:rsidR="00B12ED6" w:rsidRPr="00B12ED6" w:rsidRDefault="00B12ED6" w:rsidP="00B12ED6">
      <w:pPr>
        <w:rPr>
          <w:rFonts w:ascii="Times New Roman" w:eastAsia="DengXian" w:hAnsi="Times New Roman"/>
          <w:szCs w:val="20"/>
          <w:lang w:eastAsia="zh-CN"/>
        </w:rPr>
      </w:pPr>
      <w:r w:rsidRPr="00B12ED6">
        <w:rPr>
          <w:rFonts w:ascii="Times New Roman" w:hAnsi="Times New Roman"/>
          <w:szCs w:val="20"/>
        </w:rPr>
        <w:t xml:space="preserve">From RAN1 perspective, for TA adjustment upon cell reselection within the validity area, </w:t>
      </w:r>
      <w:r w:rsidRPr="00B12ED6">
        <w:rPr>
          <w:rFonts w:ascii="Times New Roman" w:eastAsia="DengXian" w:hAnsi="Times New Roman"/>
          <w:szCs w:val="20"/>
          <w:lang w:eastAsia="zh-CN"/>
        </w:rPr>
        <w:t>UE is not expected to reduce the TA value to be a negative value. There is no RAN1 specification impact.</w:t>
      </w:r>
    </w:p>
    <w:p w14:paraId="10B06950" w14:textId="77777777" w:rsidR="00B12ED6" w:rsidRPr="00B12ED6" w:rsidRDefault="00B12ED6" w:rsidP="00B12ED6">
      <w:pPr>
        <w:rPr>
          <w:rFonts w:ascii="Times New Roman" w:hAnsi="Times New Roman"/>
          <w:szCs w:val="20"/>
        </w:rPr>
      </w:pPr>
    </w:p>
    <w:p w14:paraId="5AC4D72F" w14:textId="77777777" w:rsidR="00B12ED6" w:rsidRPr="00B12ED6" w:rsidRDefault="00B12ED6" w:rsidP="00B12ED6">
      <w:pPr>
        <w:rPr>
          <w:rFonts w:ascii="Times New Roman" w:hAnsi="Times New Roman"/>
          <w:szCs w:val="20"/>
        </w:rPr>
      </w:pPr>
      <w:r w:rsidRPr="00B12ED6">
        <w:rPr>
          <w:rFonts w:ascii="Times New Roman" w:hAnsi="Times New Roman"/>
          <w:szCs w:val="20"/>
          <w:highlight w:val="green"/>
        </w:rPr>
        <w:t>Agreement</w:t>
      </w:r>
    </w:p>
    <w:p w14:paraId="4C801DF6" w14:textId="77777777" w:rsidR="00B12ED6" w:rsidRPr="00B12ED6" w:rsidRDefault="00B12ED6" w:rsidP="00B12ED6">
      <w:pPr>
        <w:rPr>
          <w:rFonts w:ascii="Times New Roman" w:hAnsi="Times New Roman"/>
          <w:szCs w:val="20"/>
          <w:lang w:eastAsia="zh-CN"/>
        </w:rPr>
      </w:pPr>
      <w:r w:rsidRPr="00B12ED6">
        <w:rPr>
          <w:rFonts w:ascii="Times New Roman" w:hAnsi="Times New Roman"/>
          <w:szCs w:val="20"/>
          <w:lang w:eastAsia="zh-CN"/>
        </w:rPr>
        <w:t xml:space="preserve">For indication of the NCD-SSB as the pathloss reference RS for the positioning SRS resource set configured in the </w:t>
      </w:r>
      <w:r w:rsidRPr="00B12ED6">
        <w:rPr>
          <w:rFonts w:ascii="Times New Roman" w:hAnsi="Times New Roman"/>
          <w:i/>
          <w:noProof/>
          <w:szCs w:val="20"/>
        </w:rPr>
        <w:t>RRCRelease</w:t>
      </w:r>
      <w:r w:rsidRPr="00B12ED6">
        <w:rPr>
          <w:rFonts w:ascii="Times New Roman" w:hAnsi="Times New Roman"/>
          <w:szCs w:val="20"/>
          <w:lang w:eastAsia="zh-CN"/>
        </w:rPr>
        <w:t xml:space="preserve"> message, the fields </w:t>
      </w:r>
      <w:r w:rsidRPr="00B12ED6">
        <w:rPr>
          <w:rFonts w:ascii="Times New Roman" w:hAnsi="Times New Roman"/>
          <w:i/>
          <w:szCs w:val="20"/>
          <w:lang w:eastAsia="zh-CN"/>
        </w:rPr>
        <w:t>PhysCellId</w:t>
      </w:r>
      <w:r w:rsidRPr="00B12ED6">
        <w:rPr>
          <w:rFonts w:ascii="Times New Roman" w:hAnsi="Times New Roman"/>
          <w:szCs w:val="20"/>
          <w:lang w:eastAsia="zh-CN"/>
        </w:rPr>
        <w:t xml:space="preserve"> and </w:t>
      </w:r>
      <w:r w:rsidRPr="00B12ED6">
        <w:rPr>
          <w:rFonts w:ascii="Times New Roman" w:hAnsi="Times New Roman"/>
          <w:i/>
          <w:szCs w:val="20"/>
          <w:lang w:eastAsia="zh-CN"/>
        </w:rPr>
        <w:t>ssb-IndexNcell</w:t>
      </w:r>
      <w:r w:rsidRPr="00B12ED6">
        <w:rPr>
          <w:rFonts w:ascii="Times New Roman" w:hAnsi="Times New Roman"/>
          <w:szCs w:val="20"/>
          <w:lang w:eastAsia="zh-CN"/>
        </w:rPr>
        <w:t xml:space="preserve"> pertaining to the IE </w:t>
      </w:r>
      <w:r w:rsidRPr="00B12ED6">
        <w:rPr>
          <w:rFonts w:ascii="Times New Roman" w:hAnsi="Times New Roman"/>
          <w:i/>
          <w:szCs w:val="20"/>
          <w:lang w:eastAsia="zh-CN"/>
        </w:rPr>
        <w:t>SSB-InfoNCell</w:t>
      </w:r>
      <w:r w:rsidRPr="00B12ED6">
        <w:rPr>
          <w:rFonts w:ascii="Times New Roman" w:hAnsi="Times New Roman"/>
          <w:szCs w:val="20"/>
          <w:lang w:eastAsia="zh-CN"/>
        </w:rPr>
        <w:t xml:space="preserve"> need to be updated to clarify NCD-SSB can be configured, from RAN1 perspective, for example, </w:t>
      </w:r>
    </w:p>
    <w:tbl>
      <w:tblPr>
        <w:tblW w:w="9322" w:type="dxa"/>
        <w:tblInd w:w="738" w:type="dxa"/>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9322"/>
      </w:tblGrid>
      <w:tr w:rsidR="00B12ED6" w:rsidRPr="00B12ED6" w14:paraId="58FCBDB4" w14:textId="77777777" w:rsidTr="00DE645D">
        <w:tc>
          <w:tcPr>
            <w:tcW w:w="9322" w:type="dxa"/>
            <w:shd w:val="clear" w:color="auto" w:fill="auto"/>
          </w:tcPr>
          <w:p w14:paraId="24261BC2" w14:textId="77777777" w:rsidR="00B12ED6" w:rsidRPr="00B12ED6" w:rsidRDefault="00B12ED6" w:rsidP="00B12ED6">
            <w:pPr>
              <w:rPr>
                <w:rFonts w:ascii="Arial" w:hAnsi="Arial" w:cs="Arial"/>
                <w:b/>
                <w:bCs/>
                <w:i/>
                <w:iCs/>
                <w:sz w:val="16"/>
                <w:szCs w:val="16"/>
              </w:rPr>
            </w:pPr>
            <w:r w:rsidRPr="00B12ED6">
              <w:rPr>
                <w:rFonts w:ascii="Arial" w:hAnsi="Arial" w:cs="Arial"/>
                <w:b/>
                <w:bCs/>
                <w:i/>
                <w:iCs/>
                <w:sz w:val="16"/>
                <w:szCs w:val="16"/>
              </w:rPr>
              <w:t>physicalCellId</w:t>
            </w:r>
          </w:p>
          <w:p w14:paraId="6503AC7A" w14:textId="77777777" w:rsidR="00B12ED6" w:rsidRPr="00B12ED6" w:rsidRDefault="00B12ED6" w:rsidP="00B12ED6">
            <w:pPr>
              <w:rPr>
                <w:rFonts w:ascii="Arial" w:hAnsi="Arial" w:cs="Arial"/>
                <w:sz w:val="16"/>
                <w:szCs w:val="16"/>
                <w:lang w:eastAsia="zh-CN"/>
              </w:rPr>
            </w:pPr>
            <w:r w:rsidRPr="00B12ED6">
              <w:rPr>
                <w:rFonts w:ascii="Arial" w:hAnsi="Arial" w:cs="Arial"/>
                <w:sz w:val="16"/>
                <w:szCs w:val="16"/>
              </w:rPr>
              <w:t xml:space="preserve">This field specifies the physical cell ID of the neighbour cell </w:t>
            </w:r>
            <w:r w:rsidRPr="00B12ED6">
              <w:rPr>
                <w:rFonts w:ascii="Arial" w:hAnsi="Arial" w:cs="Arial"/>
                <w:color w:val="FF0000"/>
                <w:sz w:val="16"/>
                <w:szCs w:val="16"/>
                <w:u w:val="single"/>
              </w:rPr>
              <w:t>or NCD-SSB of the serving cell</w:t>
            </w:r>
            <w:r w:rsidRPr="00B12ED6">
              <w:rPr>
                <w:rFonts w:ascii="Arial" w:hAnsi="Arial" w:cs="Arial"/>
                <w:sz w:val="16"/>
                <w:szCs w:val="16"/>
              </w:rPr>
              <w:t xml:space="preserve"> for which SSB configuration is provided.</w:t>
            </w:r>
          </w:p>
        </w:tc>
      </w:tr>
      <w:tr w:rsidR="00B12ED6" w:rsidRPr="00B12ED6" w14:paraId="025BDB43" w14:textId="77777777" w:rsidTr="00DE645D">
        <w:tc>
          <w:tcPr>
            <w:tcW w:w="9322" w:type="dxa"/>
            <w:shd w:val="clear" w:color="auto" w:fill="auto"/>
          </w:tcPr>
          <w:p w14:paraId="7306861E" w14:textId="77777777" w:rsidR="00B12ED6" w:rsidRPr="00B12ED6" w:rsidRDefault="00B12ED6" w:rsidP="00B12ED6">
            <w:pPr>
              <w:rPr>
                <w:rFonts w:ascii="Arial" w:hAnsi="Arial" w:cs="Arial"/>
                <w:b/>
                <w:bCs/>
                <w:i/>
                <w:iCs/>
                <w:sz w:val="16"/>
                <w:szCs w:val="16"/>
              </w:rPr>
            </w:pPr>
            <w:r w:rsidRPr="00B12ED6">
              <w:rPr>
                <w:rFonts w:ascii="Arial" w:hAnsi="Arial" w:cs="Arial"/>
                <w:b/>
                <w:bCs/>
                <w:i/>
                <w:iCs/>
                <w:sz w:val="16"/>
                <w:szCs w:val="16"/>
              </w:rPr>
              <w:t>ssb-IndexNcell</w:t>
            </w:r>
          </w:p>
          <w:p w14:paraId="5C542408" w14:textId="77777777" w:rsidR="00B12ED6" w:rsidRPr="00B12ED6" w:rsidRDefault="00B12ED6" w:rsidP="00B12ED6">
            <w:pPr>
              <w:keepNext/>
              <w:keepLines/>
              <w:rPr>
                <w:rFonts w:ascii="Arial" w:eastAsia="MS Mincho" w:hAnsi="Arial" w:cs="Arial"/>
                <w:i/>
                <w:sz w:val="16"/>
                <w:szCs w:val="16"/>
              </w:rPr>
            </w:pPr>
            <w:r w:rsidRPr="00B12ED6">
              <w:rPr>
                <w:rFonts w:ascii="Arial" w:eastAsia="MS Mincho" w:hAnsi="Arial" w:cs="Arial"/>
                <w:sz w:val="16"/>
                <w:szCs w:val="16"/>
              </w:rPr>
              <w:t>This field specifies the index of the SSB for a neighbour cell</w:t>
            </w:r>
            <w:r w:rsidRPr="00B12ED6">
              <w:rPr>
                <w:rFonts w:ascii="Arial" w:eastAsia="MS Mincho" w:hAnsi="Arial" w:cs="Arial"/>
                <w:color w:val="FF0000"/>
                <w:sz w:val="16"/>
                <w:szCs w:val="16"/>
                <w:u w:val="single"/>
              </w:rPr>
              <w:t xml:space="preserve"> or of a NCD-SSB of the serving cell</w:t>
            </w:r>
            <w:r w:rsidRPr="00B12ED6">
              <w:rPr>
                <w:rFonts w:ascii="Arial" w:eastAsia="MS Mincho" w:hAnsi="Arial" w:cs="Arial"/>
                <w:sz w:val="16"/>
                <w:szCs w:val="16"/>
              </w:rPr>
              <w:t xml:space="preserve">. See TS 38.213 [13]. If this field is absent, the UE determines the </w:t>
            </w:r>
            <w:r w:rsidRPr="00B12ED6">
              <w:rPr>
                <w:rFonts w:ascii="Arial" w:eastAsia="MS Mincho" w:hAnsi="Arial" w:cs="Arial"/>
                <w:i/>
                <w:iCs/>
                <w:sz w:val="16"/>
                <w:szCs w:val="16"/>
              </w:rPr>
              <w:t>ssb-IndexNcell</w:t>
            </w:r>
            <w:r w:rsidRPr="00B12ED6">
              <w:rPr>
                <w:rFonts w:ascii="Arial" w:eastAsia="MS Mincho" w:hAnsi="Arial" w:cs="Arial"/>
                <w:sz w:val="16"/>
                <w:szCs w:val="16"/>
              </w:rPr>
              <w:t xml:space="preserve"> of the </w:t>
            </w:r>
            <w:r w:rsidRPr="00B12ED6">
              <w:rPr>
                <w:rFonts w:ascii="Arial" w:eastAsia="MS Mincho" w:hAnsi="Arial" w:cs="Arial"/>
                <w:i/>
                <w:sz w:val="16"/>
                <w:szCs w:val="16"/>
              </w:rPr>
              <w:t>physicalCellId</w:t>
            </w:r>
          </w:p>
          <w:p w14:paraId="22F73FEB" w14:textId="77777777" w:rsidR="00B12ED6" w:rsidRPr="00B12ED6" w:rsidRDefault="00B12ED6" w:rsidP="00B12ED6">
            <w:pPr>
              <w:rPr>
                <w:rFonts w:ascii="Arial" w:hAnsi="Arial" w:cs="Arial"/>
                <w:sz w:val="16"/>
                <w:szCs w:val="16"/>
                <w:lang w:eastAsia="zh-CN"/>
              </w:rPr>
            </w:pPr>
            <w:r w:rsidRPr="00B12ED6">
              <w:rPr>
                <w:rFonts w:ascii="Arial" w:hAnsi="Arial" w:cs="Arial"/>
                <w:sz w:val="16"/>
                <w:szCs w:val="16"/>
              </w:rPr>
              <w:t>based on its SSB measurement from the cell.</w:t>
            </w:r>
          </w:p>
        </w:tc>
      </w:tr>
    </w:tbl>
    <w:p w14:paraId="6304FB6C" w14:textId="77777777" w:rsidR="009870E1" w:rsidRPr="009537ED" w:rsidRDefault="009870E1" w:rsidP="00B12ED6"/>
    <w:p w14:paraId="4D2066E1" w14:textId="77777777" w:rsidR="00F74A6F" w:rsidRPr="009537ED" w:rsidRDefault="00F74A6F" w:rsidP="007E0937">
      <w:pPr>
        <w:pStyle w:val="Heading3"/>
      </w:pPr>
      <w:bookmarkStart w:id="614" w:name="_Toc150174463"/>
      <w:bookmarkStart w:id="615" w:name="_Toc159251005"/>
      <w:r w:rsidRPr="009537ED">
        <w:t>Bandwidth aggregation for positioning measurements</w:t>
      </w:r>
      <w:bookmarkEnd w:id="614"/>
      <w:bookmarkEnd w:id="615"/>
    </w:p>
    <w:p w14:paraId="6F17B5C1" w14:textId="4775BF58" w:rsidR="00F74A6F" w:rsidRPr="009537ED" w:rsidRDefault="005A18DC" w:rsidP="00F74A6F">
      <w:pPr>
        <w:rPr>
          <w:lang w:eastAsia="x-none"/>
        </w:rPr>
      </w:pPr>
      <w:hyperlink r:id="rId1201" w:history="1">
        <w:r w:rsidR="00AF7253">
          <w:rPr>
            <w:rStyle w:val="Hyperlink"/>
            <w:lang w:eastAsia="x-none"/>
          </w:rPr>
          <w:t>R1-2310841</w:t>
        </w:r>
      </w:hyperlink>
      <w:r w:rsidR="00F74A6F" w:rsidRPr="009537ED">
        <w:rPr>
          <w:lang w:eastAsia="x-none"/>
        </w:rPr>
        <w:tab/>
        <w:t>Maintenance of positioning with BW aggregation</w:t>
      </w:r>
      <w:r w:rsidR="00F74A6F" w:rsidRPr="009537ED">
        <w:rPr>
          <w:lang w:eastAsia="x-none"/>
        </w:rPr>
        <w:tab/>
        <w:t>Huawei, HiSilicon, China Telecom, China Unicom</w:t>
      </w:r>
    </w:p>
    <w:p w14:paraId="75078BDC" w14:textId="7DCE828C" w:rsidR="00F74A6F" w:rsidRPr="009537ED" w:rsidRDefault="005A18DC" w:rsidP="00F74A6F">
      <w:pPr>
        <w:rPr>
          <w:color w:val="FF0000"/>
          <w:lang w:eastAsia="x-none"/>
        </w:rPr>
      </w:pPr>
      <w:hyperlink r:id="rId1202" w:history="1">
        <w:r w:rsidR="00AF7253">
          <w:rPr>
            <w:rStyle w:val="Hyperlink"/>
            <w:lang w:eastAsia="x-none"/>
          </w:rPr>
          <w:t>R1-2310980</w:t>
        </w:r>
      </w:hyperlink>
      <w:r w:rsidR="00F74A6F" w:rsidRPr="009537ED">
        <w:rPr>
          <w:color w:val="FF0000"/>
          <w:lang w:eastAsia="x-none"/>
        </w:rPr>
        <w:tab/>
        <w:t>Remaining issues on bandwidth aggregation for positioning measurements</w:t>
      </w:r>
      <w:r w:rsidR="00F74A6F" w:rsidRPr="009537ED">
        <w:rPr>
          <w:color w:val="FF0000"/>
          <w:lang w:eastAsia="x-none"/>
        </w:rPr>
        <w:tab/>
        <w:t>Nokia, Nokia Shanghai Bell</w:t>
      </w:r>
      <w:r w:rsidR="007E0937" w:rsidRPr="009537ED">
        <w:rPr>
          <w:color w:val="FF0000"/>
          <w:lang w:eastAsia="x-none"/>
        </w:rPr>
        <w:tab/>
      </w:r>
      <w:r w:rsidR="00F74A6F" w:rsidRPr="009537ED">
        <w:rPr>
          <w:color w:val="FF0000"/>
          <w:lang w:eastAsia="x-none"/>
        </w:rPr>
        <w:t>Late submission</w:t>
      </w:r>
    </w:p>
    <w:p w14:paraId="3D8D7554" w14:textId="5C856DD9" w:rsidR="00F74A6F" w:rsidRPr="009537ED" w:rsidRDefault="005A18DC" w:rsidP="00F74A6F">
      <w:pPr>
        <w:rPr>
          <w:lang w:eastAsia="x-none"/>
        </w:rPr>
      </w:pPr>
      <w:hyperlink r:id="rId1203" w:history="1">
        <w:r w:rsidR="00AF7253">
          <w:rPr>
            <w:rStyle w:val="Hyperlink"/>
            <w:lang w:eastAsia="x-none"/>
          </w:rPr>
          <w:t>R1-2311099</w:t>
        </w:r>
      </w:hyperlink>
      <w:r w:rsidR="00F74A6F" w:rsidRPr="009537ED">
        <w:rPr>
          <w:lang w:eastAsia="x-none"/>
        </w:rPr>
        <w:tab/>
        <w:t>Remaining issues on bandwidth aggregation for positioning measurements</w:t>
      </w:r>
      <w:r w:rsidR="00F74A6F" w:rsidRPr="009537ED">
        <w:rPr>
          <w:lang w:eastAsia="x-none"/>
        </w:rPr>
        <w:tab/>
        <w:t>vivo</w:t>
      </w:r>
    </w:p>
    <w:p w14:paraId="76DADB79" w14:textId="6FB54CF7" w:rsidR="00F74A6F" w:rsidRPr="009537ED" w:rsidRDefault="005A18DC" w:rsidP="00F74A6F">
      <w:pPr>
        <w:rPr>
          <w:lang w:eastAsia="x-none"/>
        </w:rPr>
      </w:pPr>
      <w:hyperlink r:id="rId1204" w:history="1">
        <w:r w:rsidR="00AF7253">
          <w:rPr>
            <w:rStyle w:val="Hyperlink"/>
            <w:lang w:eastAsia="x-none"/>
          </w:rPr>
          <w:t>R1-2311145</w:t>
        </w:r>
      </w:hyperlink>
      <w:r w:rsidR="00F74A6F" w:rsidRPr="009537ED">
        <w:rPr>
          <w:lang w:eastAsia="x-none"/>
        </w:rPr>
        <w:tab/>
        <w:t>Maintenance for Bandwidth Aggregation for Positioning</w:t>
      </w:r>
      <w:r w:rsidR="00F74A6F" w:rsidRPr="009537ED">
        <w:rPr>
          <w:lang w:eastAsia="x-none"/>
        </w:rPr>
        <w:tab/>
        <w:t>Intel Corporation</w:t>
      </w:r>
    </w:p>
    <w:p w14:paraId="4522A77E" w14:textId="052887DF" w:rsidR="00F74A6F" w:rsidRPr="009537ED" w:rsidRDefault="005A18DC" w:rsidP="00F74A6F">
      <w:pPr>
        <w:rPr>
          <w:lang w:eastAsia="x-none"/>
        </w:rPr>
      </w:pPr>
      <w:hyperlink r:id="rId1205" w:history="1">
        <w:r w:rsidR="00AF7253">
          <w:rPr>
            <w:rStyle w:val="Hyperlink"/>
            <w:lang w:eastAsia="x-none"/>
          </w:rPr>
          <w:t>R1-2311167</w:t>
        </w:r>
      </w:hyperlink>
      <w:r w:rsidR="00F74A6F" w:rsidRPr="009537ED">
        <w:rPr>
          <w:lang w:eastAsia="x-none"/>
        </w:rPr>
        <w:tab/>
        <w:t>Remaining issues on bandwidth aggregation for positioning measurements</w:t>
      </w:r>
      <w:r w:rsidR="00F74A6F" w:rsidRPr="009537ED">
        <w:rPr>
          <w:lang w:eastAsia="x-none"/>
        </w:rPr>
        <w:tab/>
        <w:t>Spreadtrum Communications</w:t>
      </w:r>
    </w:p>
    <w:p w14:paraId="5D807466" w14:textId="3B5C7C97" w:rsidR="00F74A6F" w:rsidRPr="009537ED" w:rsidRDefault="005A18DC" w:rsidP="00F74A6F">
      <w:pPr>
        <w:rPr>
          <w:lang w:eastAsia="x-none"/>
        </w:rPr>
      </w:pPr>
      <w:hyperlink r:id="rId1206" w:history="1">
        <w:r w:rsidR="00AF7253">
          <w:rPr>
            <w:rStyle w:val="Hyperlink"/>
            <w:lang w:eastAsia="x-none"/>
          </w:rPr>
          <w:t>R1-2311225</w:t>
        </w:r>
      </w:hyperlink>
      <w:r w:rsidR="00F74A6F" w:rsidRPr="009537ED">
        <w:rPr>
          <w:lang w:eastAsia="x-none"/>
        </w:rPr>
        <w:tab/>
        <w:t>Remaining Issues of bandwidth aggregation for positioning measurement</w:t>
      </w:r>
      <w:r w:rsidR="00F74A6F" w:rsidRPr="009537ED">
        <w:rPr>
          <w:lang w:eastAsia="x-none"/>
        </w:rPr>
        <w:tab/>
        <w:t>OPPO</w:t>
      </w:r>
    </w:p>
    <w:p w14:paraId="23FE4EEA" w14:textId="09878B5D" w:rsidR="00F74A6F" w:rsidRPr="009537ED" w:rsidRDefault="005A18DC" w:rsidP="00F74A6F">
      <w:pPr>
        <w:rPr>
          <w:lang w:eastAsia="x-none"/>
        </w:rPr>
      </w:pPr>
      <w:hyperlink r:id="rId1207" w:history="1">
        <w:r w:rsidR="00AF7253">
          <w:rPr>
            <w:rStyle w:val="Hyperlink"/>
            <w:lang w:eastAsia="x-none"/>
          </w:rPr>
          <w:t>R1-2311344</w:t>
        </w:r>
      </w:hyperlink>
      <w:r w:rsidR="00F74A6F" w:rsidRPr="009537ED">
        <w:rPr>
          <w:lang w:eastAsia="x-none"/>
        </w:rPr>
        <w:tab/>
        <w:t>Maintenance issues on bandwidth aggregation for positioning measurements</w:t>
      </w:r>
      <w:r w:rsidR="00F74A6F" w:rsidRPr="009537ED">
        <w:rPr>
          <w:lang w:eastAsia="x-none"/>
        </w:rPr>
        <w:tab/>
        <w:t>CATT</w:t>
      </w:r>
    </w:p>
    <w:p w14:paraId="6E262306" w14:textId="38680CDA" w:rsidR="00F74A6F" w:rsidRPr="009537ED" w:rsidRDefault="005A18DC" w:rsidP="00F74A6F">
      <w:pPr>
        <w:rPr>
          <w:lang w:eastAsia="x-none"/>
        </w:rPr>
      </w:pPr>
      <w:hyperlink r:id="rId1208" w:history="1">
        <w:r w:rsidR="00AF7253">
          <w:rPr>
            <w:rStyle w:val="Hyperlink"/>
            <w:lang w:eastAsia="x-none"/>
          </w:rPr>
          <w:t>R1-2311405</w:t>
        </w:r>
      </w:hyperlink>
      <w:r w:rsidR="00F74A6F" w:rsidRPr="009537ED">
        <w:rPr>
          <w:lang w:eastAsia="x-none"/>
        </w:rPr>
        <w:tab/>
        <w:t>Remaining issues on bandwidth aggregation for positioning measurement</w:t>
      </w:r>
      <w:r w:rsidR="00F74A6F" w:rsidRPr="009537ED">
        <w:rPr>
          <w:lang w:eastAsia="x-none"/>
        </w:rPr>
        <w:tab/>
        <w:t>xiaomi</w:t>
      </w:r>
    </w:p>
    <w:p w14:paraId="481A89FA" w14:textId="250B9D54" w:rsidR="00F74A6F" w:rsidRPr="009537ED" w:rsidRDefault="005A18DC" w:rsidP="00F74A6F">
      <w:pPr>
        <w:rPr>
          <w:lang w:eastAsia="x-none"/>
        </w:rPr>
      </w:pPr>
      <w:hyperlink r:id="rId1209" w:history="1">
        <w:r w:rsidR="00AF7253">
          <w:rPr>
            <w:rStyle w:val="Hyperlink"/>
            <w:lang w:eastAsia="x-none"/>
          </w:rPr>
          <w:t>R1-2311461</w:t>
        </w:r>
      </w:hyperlink>
      <w:r w:rsidR="00F74A6F" w:rsidRPr="009537ED">
        <w:rPr>
          <w:lang w:eastAsia="x-none"/>
        </w:rPr>
        <w:tab/>
        <w:t>Maintenance on BW aggregation for positioning</w:t>
      </w:r>
      <w:r w:rsidR="00F74A6F" w:rsidRPr="009537ED">
        <w:rPr>
          <w:lang w:eastAsia="x-none"/>
        </w:rPr>
        <w:tab/>
        <w:t>ZTE</w:t>
      </w:r>
    </w:p>
    <w:p w14:paraId="3D2C0BC5" w14:textId="1B7A7599" w:rsidR="00F74A6F" w:rsidRPr="009537ED" w:rsidRDefault="005A18DC" w:rsidP="00F74A6F">
      <w:pPr>
        <w:rPr>
          <w:lang w:eastAsia="x-none"/>
        </w:rPr>
      </w:pPr>
      <w:hyperlink r:id="rId1210" w:history="1">
        <w:r w:rsidR="00AF7253">
          <w:rPr>
            <w:rStyle w:val="Hyperlink"/>
            <w:lang w:eastAsia="x-none"/>
          </w:rPr>
          <w:t>R1-2311464</w:t>
        </w:r>
      </w:hyperlink>
      <w:r w:rsidR="00F74A6F" w:rsidRPr="009537ED">
        <w:rPr>
          <w:lang w:eastAsia="x-none"/>
        </w:rPr>
        <w:tab/>
        <w:t>Summary #1 for BW aggregation positioning</w:t>
      </w:r>
      <w:r w:rsidR="00F74A6F" w:rsidRPr="009537ED">
        <w:rPr>
          <w:lang w:eastAsia="x-none"/>
        </w:rPr>
        <w:tab/>
        <w:t>Moderator (ZTE)</w:t>
      </w:r>
    </w:p>
    <w:p w14:paraId="5DCC5723" w14:textId="68B8F53A" w:rsidR="00F74A6F" w:rsidRPr="009537ED" w:rsidRDefault="005A18DC" w:rsidP="00F74A6F">
      <w:pPr>
        <w:rPr>
          <w:lang w:eastAsia="x-none"/>
        </w:rPr>
      </w:pPr>
      <w:hyperlink r:id="rId1211" w:history="1">
        <w:r w:rsidR="00AF7253">
          <w:rPr>
            <w:rStyle w:val="Hyperlink"/>
            <w:lang w:eastAsia="x-none"/>
          </w:rPr>
          <w:t>R1-2311465</w:t>
        </w:r>
      </w:hyperlink>
      <w:r w:rsidR="00F74A6F" w:rsidRPr="009537ED">
        <w:rPr>
          <w:lang w:eastAsia="x-none"/>
        </w:rPr>
        <w:tab/>
        <w:t>Summary #2 for BW aggregation positioning</w:t>
      </w:r>
      <w:r w:rsidR="00F74A6F" w:rsidRPr="009537ED">
        <w:rPr>
          <w:lang w:eastAsia="x-none"/>
        </w:rPr>
        <w:tab/>
        <w:t>Moderator (ZTE)</w:t>
      </w:r>
    </w:p>
    <w:p w14:paraId="0337BA00" w14:textId="60CAF717" w:rsidR="00F74A6F" w:rsidRPr="009537ED" w:rsidRDefault="005A18DC" w:rsidP="00F74A6F">
      <w:pPr>
        <w:rPr>
          <w:lang w:eastAsia="x-none"/>
        </w:rPr>
      </w:pPr>
      <w:hyperlink r:id="rId1212" w:history="1">
        <w:r w:rsidR="00AF7253">
          <w:rPr>
            <w:rStyle w:val="Hyperlink"/>
            <w:lang w:eastAsia="x-none"/>
          </w:rPr>
          <w:t>R1-2311484</w:t>
        </w:r>
      </w:hyperlink>
      <w:r w:rsidR="00F74A6F" w:rsidRPr="009537ED">
        <w:rPr>
          <w:lang w:eastAsia="x-none"/>
        </w:rPr>
        <w:tab/>
        <w:t>Maintenance on BW aggregation for positioning measurements</w:t>
      </w:r>
      <w:r w:rsidR="00F74A6F" w:rsidRPr="009537ED">
        <w:rPr>
          <w:lang w:eastAsia="x-none"/>
        </w:rPr>
        <w:tab/>
        <w:t>CMCC</w:t>
      </w:r>
    </w:p>
    <w:p w14:paraId="0BE75524" w14:textId="0CC0583B" w:rsidR="00F74A6F" w:rsidRPr="009537ED" w:rsidRDefault="005A18DC" w:rsidP="00F74A6F">
      <w:pPr>
        <w:rPr>
          <w:lang w:eastAsia="x-none"/>
        </w:rPr>
      </w:pPr>
      <w:hyperlink r:id="rId1213" w:history="1">
        <w:r w:rsidR="00AF7253">
          <w:rPr>
            <w:rStyle w:val="Hyperlink"/>
            <w:lang w:eastAsia="x-none"/>
          </w:rPr>
          <w:t>R1-2311600</w:t>
        </w:r>
      </w:hyperlink>
      <w:r w:rsidR="00F74A6F" w:rsidRPr="009537ED">
        <w:rPr>
          <w:lang w:eastAsia="x-none"/>
        </w:rPr>
        <w:tab/>
        <w:t>Remaining issues on bandwidth aggregation for positioning measurements</w:t>
      </w:r>
      <w:r w:rsidR="00F74A6F" w:rsidRPr="009537ED">
        <w:rPr>
          <w:lang w:eastAsia="x-none"/>
        </w:rPr>
        <w:tab/>
        <w:t>InterDigital, Inc.</w:t>
      </w:r>
    </w:p>
    <w:p w14:paraId="44B9EFF7" w14:textId="732FA3E4" w:rsidR="00F74A6F" w:rsidRPr="009537ED" w:rsidRDefault="005A18DC" w:rsidP="00F74A6F">
      <w:pPr>
        <w:rPr>
          <w:lang w:eastAsia="x-none"/>
        </w:rPr>
      </w:pPr>
      <w:hyperlink r:id="rId1214" w:history="1">
        <w:r w:rsidR="00AF7253">
          <w:rPr>
            <w:rStyle w:val="Hyperlink"/>
            <w:lang w:eastAsia="x-none"/>
          </w:rPr>
          <w:t>R1-2311624</w:t>
        </w:r>
      </w:hyperlink>
      <w:r w:rsidR="00F74A6F" w:rsidRPr="009537ED">
        <w:rPr>
          <w:lang w:eastAsia="x-none"/>
        </w:rPr>
        <w:tab/>
        <w:t>Remaining issues on bandwidth aggregation for positioning measurements</w:t>
      </w:r>
      <w:r w:rsidR="00F74A6F" w:rsidRPr="009537ED">
        <w:rPr>
          <w:lang w:eastAsia="x-none"/>
        </w:rPr>
        <w:tab/>
        <w:t>NTT DOCOMO, INC.</w:t>
      </w:r>
    </w:p>
    <w:p w14:paraId="2C37B5CE" w14:textId="381933FB" w:rsidR="00F74A6F" w:rsidRPr="009537ED" w:rsidRDefault="005A18DC" w:rsidP="00F74A6F">
      <w:pPr>
        <w:rPr>
          <w:lang w:eastAsia="x-none"/>
        </w:rPr>
      </w:pPr>
      <w:hyperlink r:id="rId1215" w:history="1">
        <w:r w:rsidR="00AF7253">
          <w:rPr>
            <w:rStyle w:val="Hyperlink"/>
            <w:lang w:eastAsia="x-none"/>
          </w:rPr>
          <w:t>R1-2311686</w:t>
        </w:r>
      </w:hyperlink>
      <w:r w:rsidR="00F74A6F" w:rsidRPr="009537ED">
        <w:rPr>
          <w:lang w:eastAsia="x-none"/>
        </w:rPr>
        <w:tab/>
        <w:t>Remaining Issues On Bandwidth aggregation for positioning measurements</w:t>
      </w:r>
      <w:r w:rsidR="00F74A6F" w:rsidRPr="009537ED">
        <w:rPr>
          <w:lang w:eastAsia="x-none"/>
        </w:rPr>
        <w:tab/>
        <w:t>Apple</w:t>
      </w:r>
    </w:p>
    <w:p w14:paraId="70467DA5" w14:textId="15196B4A" w:rsidR="00F74A6F" w:rsidRPr="009537ED" w:rsidRDefault="005A18DC" w:rsidP="00F74A6F">
      <w:pPr>
        <w:rPr>
          <w:lang w:eastAsia="x-none"/>
        </w:rPr>
      </w:pPr>
      <w:hyperlink r:id="rId1216" w:history="1">
        <w:r w:rsidR="00AF7253">
          <w:rPr>
            <w:rStyle w:val="Hyperlink"/>
            <w:lang w:eastAsia="x-none"/>
          </w:rPr>
          <w:t>R1-2311846</w:t>
        </w:r>
      </w:hyperlink>
      <w:r w:rsidR="00F74A6F" w:rsidRPr="009537ED">
        <w:rPr>
          <w:lang w:eastAsia="x-none"/>
        </w:rPr>
        <w:tab/>
        <w:t>Maintenance on Bandwidth Aggregation for Positioning Measurements</w:t>
      </w:r>
      <w:r w:rsidR="00F74A6F" w:rsidRPr="009537ED">
        <w:rPr>
          <w:lang w:eastAsia="x-none"/>
        </w:rPr>
        <w:tab/>
        <w:t>Samsung</w:t>
      </w:r>
    </w:p>
    <w:p w14:paraId="5B4F0CAA" w14:textId="2E91BE36" w:rsidR="00F74A6F" w:rsidRPr="009537ED" w:rsidRDefault="005A18DC" w:rsidP="00F74A6F">
      <w:pPr>
        <w:rPr>
          <w:lang w:eastAsia="x-none"/>
        </w:rPr>
      </w:pPr>
      <w:hyperlink r:id="rId1217" w:history="1">
        <w:r w:rsidR="00AF7253">
          <w:rPr>
            <w:rStyle w:val="Hyperlink"/>
            <w:lang w:eastAsia="x-none"/>
          </w:rPr>
          <w:t>R1-2311912</w:t>
        </w:r>
      </w:hyperlink>
      <w:r w:rsidR="00F74A6F" w:rsidRPr="009537ED">
        <w:rPr>
          <w:lang w:eastAsia="x-none"/>
        </w:rPr>
        <w:tab/>
        <w:t>Remaining issues on Bandwidth aggregation for positioning measurements</w:t>
      </w:r>
      <w:r w:rsidR="00F74A6F" w:rsidRPr="009537ED">
        <w:rPr>
          <w:lang w:eastAsia="x-none"/>
        </w:rPr>
        <w:tab/>
        <w:t>LG Electronics</w:t>
      </w:r>
    </w:p>
    <w:p w14:paraId="02A5BAFD" w14:textId="46E8922E" w:rsidR="00F74A6F" w:rsidRPr="009537ED" w:rsidRDefault="005A18DC" w:rsidP="00F74A6F">
      <w:pPr>
        <w:rPr>
          <w:lang w:eastAsia="x-none"/>
        </w:rPr>
      </w:pPr>
      <w:hyperlink r:id="rId1218" w:history="1">
        <w:r w:rsidR="00AF7253">
          <w:rPr>
            <w:rStyle w:val="Hyperlink"/>
            <w:lang w:eastAsia="x-none"/>
          </w:rPr>
          <w:t>R1-2312038</w:t>
        </w:r>
      </w:hyperlink>
      <w:r w:rsidR="00F74A6F" w:rsidRPr="009537ED">
        <w:rPr>
          <w:lang w:eastAsia="x-none"/>
        </w:rPr>
        <w:tab/>
        <w:t>Discussion on Bandwidth aggregation for Positioning</w:t>
      </w:r>
      <w:r w:rsidR="00F74A6F" w:rsidRPr="009537ED">
        <w:rPr>
          <w:lang w:eastAsia="x-none"/>
        </w:rPr>
        <w:tab/>
        <w:t>Qualcomm Incorporated</w:t>
      </w:r>
    </w:p>
    <w:p w14:paraId="2B033E99" w14:textId="172BF5AE" w:rsidR="00F74A6F" w:rsidRPr="009537ED" w:rsidRDefault="005A18DC" w:rsidP="00F74A6F">
      <w:pPr>
        <w:rPr>
          <w:lang w:eastAsia="x-none"/>
        </w:rPr>
      </w:pPr>
      <w:hyperlink r:id="rId1219" w:history="1">
        <w:r w:rsidR="00AF7253">
          <w:rPr>
            <w:rStyle w:val="Hyperlink"/>
            <w:lang w:eastAsia="x-none"/>
          </w:rPr>
          <w:t>R1-2312093</w:t>
        </w:r>
      </w:hyperlink>
      <w:r w:rsidR="00F74A6F" w:rsidRPr="009537ED">
        <w:rPr>
          <w:lang w:eastAsia="x-none"/>
        </w:rPr>
        <w:tab/>
        <w:t>Maintenance for bandwidth aggregation for positioning</w:t>
      </w:r>
      <w:r w:rsidR="00F74A6F" w:rsidRPr="009537ED">
        <w:rPr>
          <w:lang w:eastAsia="x-none"/>
        </w:rPr>
        <w:tab/>
        <w:t>MediaTek Korea Inc.</w:t>
      </w:r>
    </w:p>
    <w:p w14:paraId="36854063" w14:textId="0E2A8155" w:rsidR="00F74A6F" w:rsidRPr="009537ED" w:rsidRDefault="005A18DC" w:rsidP="00F74A6F">
      <w:pPr>
        <w:rPr>
          <w:lang w:eastAsia="x-none"/>
        </w:rPr>
      </w:pPr>
      <w:hyperlink r:id="rId1220" w:history="1">
        <w:r w:rsidR="00AF7253">
          <w:rPr>
            <w:rStyle w:val="Hyperlink"/>
            <w:lang w:eastAsia="x-none"/>
          </w:rPr>
          <w:t>R1-2312190</w:t>
        </w:r>
      </w:hyperlink>
      <w:r w:rsidR="00F74A6F" w:rsidRPr="009537ED">
        <w:rPr>
          <w:lang w:eastAsia="x-none"/>
        </w:rPr>
        <w:tab/>
        <w:t>Remaining issues on bandwidth aggregation for positioning measurements</w:t>
      </w:r>
      <w:r w:rsidR="00F74A6F" w:rsidRPr="009537ED">
        <w:rPr>
          <w:lang w:eastAsia="x-none"/>
        </w:rPr>
        <w:tab/>
        <w:t>Ericsson</w:t>
      </w:r>
    </w:p>
    <w:p w14:paraId="317CF306" w14:textId="77777777" w:rsidR="007E0937" w:rsidRPr="009537ED" w:rsidRDefault="007E0937" w:rsidP="00F74A6F">
      <w:pPr>
        <w:rPr>
          <w:lang w:eastAsia="x-none"/>
        </w:rPr>
      </w:pPr>
    </w:p>
    <w:p w14:paraId="5671FAA5" w14:textId="16EFA5F0" w:rsidR="007E0937" w:rsidRPr="009537ED" w:rsidRDefault="005A18DC" w:rsidP="007E0937">
      <w:pPr>
        <w:rPr>
          <w:b/>
          <w:lang w:eastAsia="x-none"/>
        </w:rPr>
      </w:pPr>
      <w:hyperlink r:id="rId1221" w:history="1">
        <w:r w:rsidR="00AF7253">
          <w:rPr>
            <w:rStyle w:val="Hyperlink"/>
            <w:b/>
            <w:lang w:eastAsia="x-none"/>
          </w:rPr>
          <w:t>R1-2311464</w:t>
        </w:r>
      </w:hyperlink>
      <w:r w:rsidR="007E0937" w:rsidRPr="009537ED">
        <w:rPr>
          <w:b/>
          <w:lang w:eastAsia="x-none"/>
        </w:rPr>
        <w:tab/>
        <w:t>Summary #1 for BW aggregation positioning</w:t>
      </w:r>
      <w:r w:rsidR="007E0937" w:rsidRPr="009537ED">
        <w:rPr>
          <w:b/>
          <w:lang w:eastAsia="x-none"/>
        </w:rPr>
        <w:tab/>
        <w:t>Moderator (ZTE)</w:t>
      </w:r>
    </w:p>
    <w:p w14:paraId="6DA960E8" w14:textId="20BFFA03" w:rsidR="007E0937" w:rsidRPr="009537ED" w:rsidRDefault="007E0937" w:rsidP="007E0937">
      <w:pPr>
        <w:rPr>
          <w:rFonts w:ascii="Times New Roman" w:hAnsi="Times New Roman"/>
          <w:szCs w:val="20"/>
          <w:lang w:eastAsia="x-none"/>
        </w:rPr>
      </w:pPr>
      <w:r w:rsidRPr="009537ED">
        <w:rPr>
          <w:rFonts w:ascii="Times New Roman" w:hAnsi="Times New Roman"/>
          <w:szCs w:val="20"/>
          <w:lang w:eastAsia="x-none"/>
        </w:rPr>
        <w:t>From Monday session</w:t>
      </w:r>
    </w:p>
    <w:p w14:paraId="15F7A3BD" w14:textId="77777777" w:rsidR="007E0937" w:rsidRPr="009537ED" w:rsidRDefault="007E0937" w:rsidP="007E0937">
      <w:pPr>
        <w:rPr>
          <w:rFonts w:ascii="Times New Roman" w:hAnsi="Times New Roman"/>
          <w:szCs w:val="20"/>
          <w:lang w:eastAsia="x-none"/>
        </w:rPr>
      </w:pPr>
      <w:r w:rsidRPr="009537ED">
        <w:rPr>
          <w:rFonts w:ascii="Times New Roman" w:hAnsi="Times New Roman"/>
          <w:szCs w:val="20"/>
          <w:highlight w:val="green"/>
          <w:lang w:eastAsia="x-none"/>
        </w:rPr>
        <w:t>Agreement</w:t>
      </w:r>
    </w:p>
    <w:p w14:paraId="58513C16" w14:textId="77777777" w:rsidR="007E0937" w:rsidRPr="009537ED" w:rsidRDefault="007E0937" w:rsidP="007E0937">
      <w:pPr>
        <w:snapToGrid w:val="0"/>
        <w:jc w:val="both"/>
        <w:rPr>
          <w:rFonts w:ascii="Times New Roman" w:hAnsi="Times New Roman"/>
          <w:szCs w:val="20"/>
        </w:rPr>
      </w:pPr>
      <w:r w:rsidRPr="009537ED">
        <w:rPr>
          <w:rFonts w:ascii="Times New Roman" w:eastAsia="SimSun" w:hAnsi="Times New Roman"/>
          <w:szCs w:val="20"/>
          <w:lang w:eastAsia="zh-CN"/>
        </w:rPr>
        <w:t>T</w:t>
      </w:r>
      <w:r w:rsidRPr="009537ED">
        <w:rPr>
          <w:rFonts w:ascii="Times New Roman" w:hAnsi="Times New Roman"/>
          <w:szCs w:val="20"/>
        </w:rPr>
        <w:t xml:space="preserve">he new </w:t>
      </w:r>
      <w:r w:rsidRPr="009537ED">
        <w:rPr>
          <w:rFonts w:ascii="Times New Roman" w:hAnsi="Times New Roman"/>
          <w:i/>
          <w:iCs/>
          <w:szCs w:val="20"/>
        </w:rPr>
        <w:t xml:space="preserve">ReportingGranularityfactor </w:t>
      </w:r>
      <w:r w:rsidRPr="009537ED">
        <w:rPr>
          <w:rFonts w:ascii="Times New Roman" w:hAnsi="Times New Roman"/>
          <w:szCs w:val="20"/>
        </w:rPr>
        <w:t>also support</w:t>
      </w:r>
      <w:r w:rsidRPr="009537ED">
        <w:rPr>
          <w:rFonts w:ascii="Times New Roman" w:eastAsia="SimSun" w:hAnsi="Times New Roman"/>
          <w:szCs w:val="20"/>
          <w:lang w:eastAsia="zh-CN"/>
        </w:rPr>
        <w:t>s</w:t>
      </w:r>
      <w:r w:rsidRPr="009537ED">
        <w:rPr>
          <w:rFonts w:ascii="Times New Roman" w:hAnsi="Times New Roman"/>
          <w:szCs w:val="20"/>
        </w:rPr>
        <w:t xml:space="preserve"> k = {-3, -4, -5, -6} in addition to {-1, -2} </w:t>
      </w:r>
    </w:p>
    <w:p w14:paraId="3F7AFB33" w14:textId="77777777" w:rsidR="007E0937" w:rsidRPr="009537ED" w:rsidRDefault="007E0937" w:rsidP="00BC5BE9">
      <w:pPr>
        <w:numPr>
          <w:ilvl w:val="0"/>
          <w:numId w:val="85"/>
        </w:numPr>
        <w:snapToGrid w:val="0"/>
        <w:contextualSpacing/>
        <w:textAlignment w:val="baseline"/>
        <w:rPr>
          <w:rFonts w:ascii="Times New Roman" w:hAnsi="Times New Roman"/>
          <w:szCs w:val="20"/>
          <w:lang w:eastAsia="zh-CN"/>
        </w:rPr>
      </w:pPr>
      <w:r w:rsidRPr="009537ED">
        <w:rPr>
          <w:rFonts w:ascii="Times New Roman" w:hAnsi="Times New Roman"/>
          <w:szCs w:val="20"/>
          <w:lang w:eastAsia="zh-CN"/>
        </w:rPr>
        <w:t>These k values are applicable for timing measurements for all applicable positioning methods</w:t>
      </w:r>
    </w:p>
    <w:p w14:paraId="6C0399E2" w14:textId="77777777" w:rsidR="007E0937" w:rsidRPr="009537ED" w:rsidRDefault="007E0937" w:rsidP="00BC5BE9">
      <w:pPr>
        <w:numPr>
          <w:ilvl w:val="1"/>
          <w:numId w:val="85"/>
        </w:numPr>
        <w:snapToGrid w:val="0"/>
        <w:contextualSpacing/>
        <w:textAlignment w:val="baseline"/>
        <w:rPr>
          <w:rFonts w:ascii="Times New Roman" w:hAnsi="Times New Roman"/>
          <w:szCs w:val="20"/>
          <w:lang w:eastAsia="zh-CN"/>
        </w:rPr>
      </w:pPr>
      <w:r w:rsidRPr="009537ED">
        <w:rPr>
          <w:rFonts w:ascii="Times New Roman" w:hAnsi="Times New Roman"/>
          <w:szCs w:val="20"/>
          <w:lang w:eastAsia="zh-CN"/>
        </w:rPr>
        <w:t>Support for both DL and UL</w:t>
      </w:r>
    </w:p>
    <w:p w14:paraId="61336271" w14:textId="77777777" w:rsidR="007E0937" w:rsidRPr="009537ED" w:rsidRDefault="007E0937" w:rsidP="00BC5BE9">
      <w:pPr>
        <w:numPr>
          <w:ilvl w:val="1"/>
          <w:numId w:val="85"/>
        </w:numPr>
        <w:snapToGrid w:val="0"/>
        <w:contextualSpacing/>
        <w:textAlignment w:val="baseline"/>
        <w:rPr>
          <w:rFonts w:ascii="Times New Roman" w:hAnsi="Times New Roman"/>
          <w:szCs w:val="20"/>
          <w:lang w:eastAsia="zh-CN"/>
        </w:rPr>
      </w:pPr>
      <w:r w:rsidRPr="009537ED">
        <w:rPr>
          <w:rFonts w:ascii="Times New Roman" w:hAnsi="Times New Roman"/>
          <w:szCs w:val="20"/>
          <w:lang w:eastAsia="zh-CN"/>
        </w:rPr>
        <w:t>Support for both FR1 and FR2</w:t>
      </w:r>
    </w:p>
    <w:p w14:paraId="0B548642" w14:textId="10467E78" w:rsidR="007E0937" w:rsidRPr="009537ED" w:rsidRDefault="007E0937" w:rsidP="00BC5BE9">
      <w:pPr>
        <w:numPr>
          <w:ilvl w:val="0"/>
          <w:numId w:val="85"/>
        </w:numPr>
        <w:snapToGrid w:val="0"/>
        <w:contextualSpacing/>
        <w:textAlignment w:val="baseline"/>
        <w:rPr>
          <w:rFonts w:ascii="Times New Roman" w:hAnsi="Times New Roman"/>
          <w:szCs w:val="20"/>
          <w:lang w:eastAsia="zh-CN"/>
        </w:rPr>
      </w:pPr>
      <w:r w:rsidRPr="009537ED">
        <w:rPr>
          <w:rFonts w:ascii="Times New Roman" w:hAnsi="Times New Roman"/>
          <w:szCs w:val="20"/>
          <w:lang w:eastAsia="zh-CN"/>
        </w:rPr>
        <w:t xml:space="preserve">Reply the RAN4 LS </w:t>
      </w:r>
      <w:hyperlink r:id="rId1222" w:history="1">
        <w:r w:rsidR="00AF7253">
          <w:rPr>
            <w:rStyle w:val="Hyperlink"/>
            <w:rFonts w:ascii="Times New Roman" w:hAnsi="Times New Roman"/>
            <w:szCs w:val="20"/>
            <w:lang w:eastAsia="zh-CN"/>
          </w:rPr>
          <w:t>R1-2310797</w:t>
        </w:r>
      </w:hyperlink>
      <w:r w:rsidRPr="009537ED">
        <w:rPr>
          <w:rFonts w:ascii="Times New Roman" w:hAnsi="Times New Roman"/>
          <w:szCs w:val="20"/>
          <w:lang w:eastAsia="zh-CN"/>
        </w:rPr>
        <w:t>, and CC to RAN2 and RAN3.</w:t>
      </w:r>
    </w:p>
    <w:p w14:paraId="44AF5975" w14:textId="77777777" w:rsidR="007E0937" w:rsidRPr="009537ED" w:rsidRDefault="007E0937" w:rsidP="007E0937">
      <w:pPr>
        <w:rPr>
          <w:rFonts w:ascii="Times New Roman" w:hAnsi="Times New Roman"/>
          <w:szCs w:val="20"/>
          <w:lang w:eastAsia="x-none"/>
        </w:rPr>
      </w:pPr>
    </w:p>
    <w:p w14:paraId="1607C249" w14:textId="77777777" w:rsidR="007E0937" w:rsidRPr="009537ED" w:rsidRDefault="007E0937" w:rsidP="007E0937">
      <w:pPr>
        <w:rPr>
          <w:rFonts w:ascii="Times New Roman" w:hAnsi="Times New Roman"/>
          <w:szCs w:val="20"/>
          <w:lang w:eastAsia="x-none"/>
        </w:rPr>
      </w:pPr>
      <w:r w:rsidRPr="00E473AD">
        <w:rPr>
          <w:rFonts w:ascii="Times New Roman" w:hAnsi="Times New Roman"/>
          <w:szCs w:val="20"/>
          <w:lang w:eastAsia="x-none"/>
        </w:rPr>
        <w:t>Comeback for draft LS</w:t>
      </w:r>
    </w:p>
    <w:p w14:paraId="794EF2B6" w14:textId="3EDB3461" w:rsidR="00E473AD" w:rsidRPr="00E473AD" w:rsidRDefault="005A18DC" w:rsidP="00E473AD">
      <w:pPr>
        <w:rPr>
          <w:rFonts w:ascii="Times New Roman" w:hAnsi="Times New Roman"/>
          <w:b/>
          <w:bCs/>
          <w:szCs w:val="20"/>
          <w:lang w:eastAsia="x-none"/>
        </w:rPr>
      </w:pPr>
      <w:hyperlink r:id="rId1223" w:history="1">
        <w:r w:rsidR="00AF7253">
          <w:rPr>
            <w:rStyle w:val="Hyperlink"/>
            <w:rFonts w:ascii="Times New Roman" w:hAnsi="Times New Roman"/>
            <w:b/>
            <w:bCs/>
            <w:szCs w:val="20"/>
            <w:lang w:eastAsia="x-none"/>
          </w:rPr>
          <w:t>R1-2312394</w:t>
        </w:r>
      </w:hyperlink>
      <w:r w:rsidR="00E473AD" w:rsidRPr="00E473AD">
        <w:rPr>
          <w:rFonts w:ascii="Times New Roman" w:hAnsi="Times New Roman"/>
          <w:b/>
          <w:bCs/>
          <w:szCs w:val="20"/>
          <w:lang w:eastAsia="x-none"/>
        </w:rPr>
        <w:tab/>
        <w:t>Draft Reply LS on SRS and PRS bandwidth aggregation for positioning</w:t>
      </w:r>
      <w:r w:rsidR="00E473AD" w:rsidRPr="00E473AD">
        <w:rPr>
          <w:rFonts w:ascii="Times New Roman" w:hAnsi="Times New Roman"/>
          <w:b/>
          <w:bCs/>
          <w:szCs w:val="20"/>
          <w:lang w:eastAsia="x-none"/>
        </w:rPr>
        <w:tab/>
        <w:t>Moderator (ZTE)</w:t>
      </w:r>
    </w:p>
    <w:p w14:paraId="02BBE98A" w14:textId="2FF7649F" w:rsidR="00E473AD" w:rsidRDefault="00E473AD" w:rsidP="00E473AD">
      <w:pPr>
        <w:rPr>
          <w:szCs w:val="20"/>
          <w:lang w:eastAsia="x-none"/>
        </w:rPr>
      </w:pPr>
      <w:r w:rsidRPr="00E473AD">
        <w:rPr>
          <w:rFonts w:ascii="Times New Roman" w:hAnsi="Times New Roman"/>
          <w:b/>
          <w:bCs/>
          <w:szCs w:val="20"/>
          <w:lang w:eastAsia="x-none"/>
        </w:rPr>
        <w:lastRenderedPageBreak/>
        <w:t>Wed decision:</w:t>
      </w:r>
      <w:r>
        <w:rPr>
          <w:rFonts w:ascii="Times New Roman" w:hAnsi="Times New Roman"/>
          <w:szCs w:val="20"/>
          <w:lang w:eastAsia="x-none"/>
        </w:rPr>
        <w:t xml:space="preserve"> The d</w:t>
      </w:r>
      <w:r>
        <w:rPr>
          <w:szCs w:val="20"/>
          <w:lang w:eastAsia="x-none"/>
        </w:rPr>
        <w:t xml:space="preserve">raft LS reply to RAN4 in </w:t>
      </w:r>
      <w:hyperlink r:id="rId1224" w:history="1">
        <w:r w:rsidR="00AF7253">
          <w:rPr>
            <w:rStyle w:val="Hyperlink"/>
            <w:szCs w:val="20"/>
            <w:lang w:eastAsia="x-none"/>
          </w:rPr>
          <w:t>R1-2312394</w:t>
        </w:r>
      </w:hyperlink>
      <w:r>
        <w:rPr>
          <w:szCs w:val="20"/>
          <w:lang w:eastAsia="x-none"/>
        </w:rPr>
        <w:t xml:space="preserve"> is endorsed. Final LS is </w:t>
      </w:r>
      <w:r w:rsidRPr="00E473AD">
        <w:rPr>
          <w:szCs w:val="20"/>
          <w:highlight w:val="green"/>
          <w:lang w:eastAsia="x-none"/>
        </w:rPr>
        <w:t xml:space="preserve">approved in </w:t>
      </w:r>
      <w:hyperlink r:id="rId1225" w:history="1">
        <w:r w:rsidR="00AF7253">
          <w:rPr>
            <w:rStyle w:val="Hyperlink"/>
            <w:szCs w:val="20"/>
            <w:highlight w:val="green"/>
            <w:lang w:eastAsia="x-none"/>
          </w:rPr>
          <w:t>R1-2312395</w:t>
        </w:r>
      </w:hyperlink>
      <w:r w:rsidRPr="005B040D">
        <w:rPr>
          <w:lang w:eastAsia="x-none"/>
        </w:rPr>
        <w:t>.</w:t>
      </w:r>
    </w:p>
    <w:p w14:paraId="42B529C2" w14:textId="77777777" w:rsidR="007E0937" w:rsidRPr="009537ED" w:rsidRDefault="007E0937" w:rsidP="007E0937">
      <w:pPr>
        <w:rPr>
          <w:rFonts w:ascii="Times New Roman" w:hAnsi="Times New Roman"/>
          <w:szCs w:val="20"/>
          <w:lang w:eastAsia="x-none"/>
        </w:rPr>
      </w:pPr>
    </w:p>
    <w:p w14:paraId="3B0FDD01" w14:textId="77777777" w:rsidR="007E0937" w:rsidRPr="009537ED" w:rsidRDefault="007E0937" w:rsidP="007E0937">
      <w:pPr>
        <w:rPr>
          <w:rFonts w:ascii="Times New Roman" w:hAnsi="Times New Roman"/>
          <w:szCs w:val="20"/>
          <w:lang w:eastAsia="x-none"/>
        </w:rPr>
      </w:pPr>
    </w:p>
    <w:p w14:paraId="6A9E4DEC" w14:textId="77777777" w:rsidR="007E0937" w:rsidRPr="009537ED" w:rsidRDefault="007E0937" w:rsidP="007E0937">
      <w:pPr>
        <w:rPr>
          <w:rFonts w:ascii="Times New Roman" w:hAnsi="Times New Roman"/>
          <w:bCs/>
          <w:szCs w:val="20"/>
          <w:u w:val="single"/>
          <w:lang w:eastAsia="x-none"/>
        </w:rPr>
      </w:pPr>
      <w:r w:rsidRPr="009537ED">
        <w:rPr>
          <w:rFonts w:ascii="Times New Roman" w:hAnsi="Times New Roman"/>
          <w:bCs/>
          <w:szCs w:val="20"/>
          <w:u w:val="single"/>
          <w:lang w:eastAsia="x-none"/>
        </w:rPr>
        <w:t>Conclusion</w:t>
      </w:r>
    </w:p>
    <w:p w14:paraId="5620396A" w14:textId="77777777" w:rsidR="007E0937" w:rsidRPr="009537ED" w:rsidRDefault="007E0937" w:rsidP="007E0937">
      <w:pPr>
        <w:rPr>
          <w:rFonts w:ascii="Times New Roman" w:hAnsi="Times New Roman"/>
          <w:szCs w:val="20"/>
          <w:lang w:eastAsia="x-none"/>
        </w:rPr>
      </w:pPr>
      <w:r w:rsidRPr="009537ED">
        <w:rPr>
          <w:rFonts w:ascii="Times New Roman" w:eastAsia="SimSun" w:hAnsi="Times New Roman"/>
          <w:szCs w:val="20"/>
        </w:rPr>
        <w:t>With regards to TEG reporting for PRS/SRS bandwidth aggregation, for Rx, a single Rx or RxTx TEG ID is reported for the aggregated measurement.</w:t>
      </w:r>
    </w:p>
    <w:p w14:paraId="2A190664" w14:textId="77777777" w:rsidR="007E0937" w:rsidRPr="009537ED" w:rsidRDefault="007E0937" w:rsidP="007E0937">
      <w:pPr>
        <w:rPr>
          <w:rFonts w:ascii="Times New Roman" w:hAnsi="Times New Roman"/>
          <w:szCs w:val="20"/>
          <w:lang w:eastAsia="x-none"/>
        </w:rPr>
      </w:pPr>
    </w:p>
    <w:p w14:paraId="1D16FE66" w14:textId="77777777" w:rsidR="007E0937" w:rsidRPr="009537ED" w:rsidRDefault="007E0937" w:rsidP="007E0937">
      <w:pPr>
        <w:snapToGrid w:val="0"/>
        <w:rPr>
          <w:rFonts w:ascii="Times New Roman" w:eastAsia="SimSun" w:hAnsi="Times New Roman"/>
          <w:szCs w:val="20"/>
        </w:rPr>
      </w:pPr>
      <w:bookmarkStart w:id="616" w:name="OLE_LINK49"/>
      <w:r w:rsidRPr="009537ED">
        <w:rPr>
          <w:rFonts w:ascii="Times New Roman" w:eastAsia="SimSun" w:hAnsi="Times New Roman"/>
          <w:szCs w:val="20"/>
          <w:highlight w:val="green"/>
        </w:rPr>
        <w:t>Agreement</w:t>
      </w:r>
    </w:p>
    <w:bookmarkEnd w:id="616"/>
    <w:p w14:paraId="162A6141" w14:textId="77777777" w:rsidR="007E0937" w:rsidRPr="009537ED" w:rsidRDefault="007E0937" w:rsidP="007E0937">
      <w:pPr>
        <w:snapToGrid w:val="0"/>
        <w:rPr>
          <w:rFonts w:ascii="Times New Roman" w:eastAsia="SimSun" w:hAnsi="Times New Roman"/>
          <w:szCs w:val="20"/>
        </w:rPr>
      </w:pPr>
      <w:r w:rsidRPr="009537ED">
        <w:rPr>
          <w:rFonts w:ascii="Times New Roman" w:hAnsi="Times New Roman"/>
          <w:szCs w:val="20"/>
        </w:rPr>
        <w:t>When the LMF requests aggregated measurements, the following existing requested fields can also be applicable</w:t>
      </w:r>
      <w:r w:rsidRPr="009537ED">
        <w:rPr>
          <w:rFonts w:ascii="Times New Roman" w:eastAsia="SimSun" w:hAnsi="Times New Roman"/>
          <w:szCs w:val="20"/>
        </w:rPr>
        <w:t>:</w:t>
      </w:r>
    </w:p>
    <w:p w14:paraId="72E1B80D" w14:textId="77777777" w:rsidR="007E0937" w:rsidRPr="009537ED" w:rsidRDefault="007E0937" w:rsidP="00BC5BE9">
      <w:pPr>
        <w:numPr>
          <w:ilvl w:val="0"/>
          <w:numId w:val="86"/>
        </w:numPr>
        <w:snapToGrid w:val="0"/>
        <w:contextualSpacing/>
        <w:textAlignment w:val="baseline"/>
        <w:rPr>
          <w:rFonts w:ascii="Times New Roman" w:hAnsi="Times New Roman"/>
          <w:szCs w:val="20"/>
          <w:lang w:eastAsia="x-none"/>
        </w:rPr>
      </w:pPr>
      <w:r w:rsidRPr="009537ED">
        <w:rPr>
          <w:rFonts w:ascii="Times New Roman" w:hAnsi="Times New Roman"/>
          <w:szCs w:val="20"/>
          <w:lang w:eastAsia="x-none"/>
        </w:rPr>
        <w:t>A request for configuring the UE to measure the same aggregated DL-PRS Resources of a TRP with N different UE Rx TEGs</w:t>
      </w:r>
    </w:p>
    <w:p w14:paraId="585EC8D3" w14:textId="77777777" w:rsidR="007E0937" w:rsidRPr="009537ED" w:rsidRDefault="007E0937" w:rsidP="00BC5BE9">
      <w:pPr>
        <w:numPr>
          <w:ilvl w:val="1"/>
          <w:numId w:val="86"/>
        </w:numPr>
        <w:snapToGrid w:val="0"/>
        <w:contextualSpacing/>
        <w:textAlignment w:val="baseline"/>
        <w:rPr>
          <w:rFonts w:ascii="Times New Roman" w:hAnsi="Times New Roman"/>
          <w:szCs w:val="20"/>
          <w:lang w:eastAsia="x-none"/>
        </w:rPr>
      </w:pPr>
      <w:r w:rsidRPr="009537ED">
        <w:rPr>
          <w:rFonts w:ascii="Times New Roman" w:hAnsi="Times New Roman"/>
          <w:szCs w:val="20"/>
          <w:lang w:eastAsia="x-none"/>
        </w:rPr>
        <w:t xml:space="preserve">Reuse the existing IE: </w:t>
      </w:r>
      <w:r w:rsidRPr="009537ED">
        <w:rPr>
          <w:rFonts w:ascii="Times New Roman" w:hAnsi="Times New Roman"/>
          <w:i/>
          <w:iCs/>
          <w:szCs w:val="20"/>
          <w:lang w:eastAsia="x-none"/>
        </w:rPr>
        <w:t>measureSameDL-PRS-ResourceWithDifferentRxTEGs</w:t>
      </w:r>
    </w:p>
    <w:p w14:paraId="474B3B77" w14:textId="77777777" w:rsidR="007E0937" w:rsidRPr="009537ED" w:rsidRDefault="007E0937" w:rsidP="00BC5BE9">
      <w:pPr>
        <w:numPr>
          <w:ilvl w:val="0"/>
          <w:numId w:val="86"/>
        </w:numPr>
        <w:snapToGrid w:val="0"/>
        <w:contextualSpacing/>
        <w:textAlignment w:val="baseline"/>
        <w:rPr>
          <w:rFonts w:ascii="Times New Roman" w:hAnsi="Times New Roman"/>
          <w:szCs w:val="20"/>
          <w:lang w:eastAsia="x-none"/>
        </w:rPr>
      </w:pPr>
      <w:r w:rsidRPr="009537ED">
        <w:rPr>
          <w:rFonts w:ascii="Times New Roman" w:hAnsi="Times New Roman"/>
          <w:szCs w:val="20"/>
          <w:lang w:eastAsia="x-none"/>
        </w:rPr>
        <w:t>A request for configuring the UE to measure the same aggregated DL-PRS Resources of a TRP with N different UE RxTx TEGs</w:t>
      </w:r>
    </w:p>
    <w:p w14:paraId="2C3524E4" w14:textId="77777777" w:rsidR="007E0937" w:rsidRPr="009537ED" w:rsidRDefault="007E0937" w:rsidP="00BC5BE9">
      <w:pPr>
        <w:numPr>
          <w:ilvl w:val="1"/>
          <w:numId w:val="86"/>
        </w:numPr>
        <w:snapToGrid w:val="0"/>
        <w:contextualSpacing/>
        <w:textAlignment w:val="baseline"/>
        <w:rPr>
          <w:rFonts w:ascii="Times New Roman" w:hAnsi="Times New Roman"/>
          <w:szCs w:val="20"/>
          <w:lang w:eastAsia="x-none"/>
        </w:rPr>
      </w:pPr>
      <w:r w:rsidRPr="009537ED">
        <w:rPr>
          <w:rFonts w:ascii="Times New Roman" w:hAnsi="Times New Roman"/>
          <w:szCs w:val="20"/>
          <w:lang w:eastAsia="x-none"/>
        </w:rPr>
        <w:t xml:space="preserve">Reuse the existing IE: </w:t>
      </w:r>
      <w:r w:rsidRPr="009537ED">
        <w:rPr>
          <w:rFonts w:ascii="Times New Roman" w:hAnsi="Times New Roman"/>
          <w:i/>
          <w:iCs/>
          <w:szCs w:val="20"/>
          <w:lang w:eastAsia="x-none"/>
        </w:rPr>
        <w:t>measureSameDL-PRS-ResourceWithDifferentRxTxTEGs</w:t>
      </w:r>
    </w:p>
    <w:p w14:paraId="3F32170F" w14:textId="77777777" w:rsidR="007E0937" w:rsidRPr="009537ED" w:rsidRDefault="007E0937" w:rsidP="007E0937">
      <w:pPr>
        <w:rPr>
          <w:rFonts w:ascii="Times New Roman" w:hAnsi="Times New Roman"/>
          <w:szCs w:val="20"/>
          <w:lang w:eastAsia="x-none"/>
        </w:rPr>
      </w:pPr>
    </w:p>
    <w:p w14:paraId="7FAB6466" w14:textId="77777777" w:rsidR="007E0937" w:rsidRPr="009537ED" w:rsidRDefault="007E0937" w:rsidP="007E0937">
      <w:pPr>
        <w:snapToGrid w:val="0"/>
        <w:rPr>
          <w:rFonts w:ascii="Times New Roman" w:eastAsia="SimSun" w:hAnsi="Times New Roman"/>
          <w:szCs w:val="20"/>
        </w:rPr>
      </w:pPr>
      <w:r w:rsidRPr="009537ED">
        <w:rPr>
          <w:rFonts w:ascii="Times New Roman" w:eastAsia="SimSun" w:hAnsi="Times New Roman"/>
          <w:szCs w:val="20"/>
          <w:highlight w:val="green"/>
        </w:rPr>
        <w:t>Agreement</w:t>
      </w:r>
    </w:p>
    <w:p w14:paraId="6D37A7F8" w14:textId="13C2CB86" w:rsidR="007E0937" w:rsidRPr="009537ED" w:rsidRDefault="007E0937" w:rsidP="00BC5BE9">
      <w:pPr>
        <w:pStyle w:val="ListParagraph"/>
        <w:numPr>
          <w:ilvl w:val="0"/>
          <w:numId w:val="84"/>
        </w:numPr>
        <w:snapToGrid w:val="0"/>
        <w:jc w:val="both"/>
      </w:pPr>
      <w:r w:rsidRPr="009537ED">
        <w:t xml:space="preserve">Endorse the TP 2.1-2 in section 2.1.2 of </w:t>
      </w:r>
      <w:hyperlink r:id="rId1226" w:history="1">
        <w:r w:rsidR="00AF7253">
          <w:rPr>
            <w:rStyle w:val="Hyperlink"/>
          </w:rPr>
          <w:t>R1-2311464</w:t>
        </w:r>
      </w:hyperlink>
      <w:r w:rsidRPr="009537ED">
        <w:t xml:space="preserve"> for TS 38.212 clause 7.3.1.1.2</w:t>
      </w:r>
    </w:p>
    <w:p w14:paraId="5D31A5E0" w14:textId="77777777" w:rsidR="007E0937" w:rsidRPr="009537ED" w:rsidRDefault="007E0937" w:rsidP="007E0937">
      <w:pPr>
        <w:snapToGrid w:val="0"/>
        <w:rPr>
          <w:rFonts w:ascii="Times New Roman" w:eastAsia="SimSun" w:hAnsi="Times New Roman"/>
          <w:szCs w:val="20"/>
        </w:rPr>
      </w:pPr>
      <w:r w:rsidRPr="009537ED">
        <w:rPr>
          <w:rFonts w:ascii="Times New Roman" w:eastAsia="SimSun" w:hAnsi="Times New Roman"/>
          <w:szCs w:val="20"/>
          <w:highlight w:val="green"/>
        </w:rPr>
        <w:t>Agreement</w:t>
      </w:r>
    </w:p>
    <w:p w14:paraId="54B55E89" w14:textId="277C753C" w:rsidR="007E0937" w:rsidRPr="009537ED" w:rsidRDefault="007E0937" w:rsidP="00BC5BE9">
      <w:pPr>
        <w:pStyle w:val="ListParagraph"/>
        <w:numPr>
          <w:ilvl w:val="0"/>
          <w:numId w:val="84"/>
        </w:numPr>
        <w:snapToGrid w:val="0"/>
        <w:jc w:val="both"/>
        <w:rPr>
          <w:lang w:eastAsia="x-none"/>
        </w:rPr>
      </w:pPr>
      <w:r w:rsidRPr="009537ED">
        <w:t xml:space="preserve">Endorse the TP 3.1-1 in section 3.1.1 of </w:t>
      </w:r>
      <w:hyperlink r:id="rId1227" w:history="1">
        <w:r w:rsidR="00AF7253">
          <w:rPr>
            <w:rStyle w:val="Hyperlink"/>
          </w:rPr>
          <w:t>R1-2311464</w:t>
        </w:r>
      </w:hyperlink>
      <w:r w:rsidRPr="009537ED">
        <w:t xml:space="preserve"> for TS 38.214 clause 6.2.1.4.2</w:t>
      </w:r>
    </w:p>
    <w:p w14:paraId="77DE61AA" w14:textId="77777777" w:rsidR="007E0937" w:rsidRPr="009537ED" w:rsidRDefault="007E0937" w:rsidP="007E0937">
      <w:pPr>
        <w:rPr>
          <w:rFonts w:ascii="Times New Roman" w:hAnsi="Times New Roman"/>
          <w:szCs w:val="20"/>
          <w:lang w:eastAsia="x-none"/>
        </w:rPr>
      </w:pPr>
      <w:r w:rsidRPr="009537ED">
        <w:rPr>
          <w:rFonts w:ascii="Times New Roman" w:hAnsi="Times New Roman"/>
          <w:szCs w:val="20"/>
          <w:highlight w:val="green"/>
          <w:lang w:eastAsia="x-none"/>
        </w:rPr>
        <w:t>Agreement</w:t>
      </w:r>
    </w:p>
    <w:p w14:paraId="2955B6F6" w14:textId="77777777" w:rsidR="007E0937" w:rsidRPr="009537ED" w:rsidRDefault="007E0937" w:rsidP="007E0937">
      <w:pPr>
        <w:rPr>
          <w:rFonts w:ascii="Times New Roman" w:hAnsi="Times New Roman"/>
          <w:szCs w:val="20"/>
        </w:rPr>
      </w:pPr>
      <w:r w:rsidRPr="009537ED">
        <w:rPr>
          <w:rFonts w:ascii="Times New Roman" w:eastAsia="SimSun" w:hAnsi="Times New Roman"/>
          <w:szCs w:val="20"/>
        </w:rPr>
        <w:t>If the UE/gNB reports aggregated timing measurement, t</w:t>
      </w:r>
      <w:r w:rsidRPr="009537ED">
        <w:rPr>
          <w:rFonts w:ascii="Times New Roman" w:hAnsi="Times New Roman"/>
          <w:szCs w:val="20"/>
        </w:rPr>
        <w:t xml:space="preserve">he single reported RSRP/RSRPP (if reported) is based on aggregated </w:t>
      </w:r>
      <w:r w:rsidRPr="009537ED">
        <w:rPr>
          <w:rFonts w:ascii="Times New Roman" w:eastAsia="SimSun" w:hAnsi="Times New Roman"/>
          <w:szCs w:val="20"/>
        </w:rPr>
        <w:t>PRS/</w:t>
      </w:r>
      <w:r w:rsidRPr="009537ED">
        <w:rPr>
          <w:rFonts w:ascii="Times New Roman" w:hAnsi="Times New Roman"/>
          <w:szCs w:val="20"/>
        </w:rPr>
        <w:t>SRS resources across aggregated PFLs/carriers.</w:t>
      </w:r>
    </w:p>
    <w:p w14:paraId="5858CD1D" w14:textId="77777777" w:rsidR="007E0937" w:rsidRPr="009537ED" w:rsidRDefault="007E0937" w:rsidP="00BC5BE9">
      <w:pPr>
        <w:numPr>
          <w:ilvl w:val="0"/>
          <w:numId w:val="87"/>
        </w:numPr>
        <w:rPr>
          <w:rFonts w:ascii="Times New Roman" w:hAnsi="Times New Roman"/>
          <w:szCs w:val="20"/>
        </w:rPr>
      </w:pPr>
      <w:r w:rsidRPr="009537ED">
        <w:rPr>
          <w:rFonts w:ascii="Times New Roman" w:hAnsi="Times New Roman"/>
          <w:szCs w:val="20"/>
        </w:rPr>
        <w:t>Note1: it is up to RAN4 whether to define a corresponding requirement</w:t>
      </w:r>
    </w:p>
    <w:p w14:paraId="61C1B1E4" w14:textId="77777777" w:rsidR="007E0937" w:rsidRPr="009537ED" w:rsidRDefault="007E0937" w:rsidP="00BC5BE9">
      <w:pPr>
        <w:numPr>
          <w:ilvl w:val="0"/>
          <w:numId w:val="87"/>
        </w:numPr>
        <w:rPr>
          <w:rFonts w:ascii="Times New Roman" w:hAnsi="Times New Roman"/>
          <w:szCs w:val="20"/>
        </w:rPr>
      </w:pPr>
      <w:r w:rsidRPr="009537ED">
        <w:rPr>
          <w:rFonts w:ascii="Times New Roman" w:hAnsi="Times New Roman"/>
          <w:szCs w:val="20"/>
        </w:rPr>
        <w:t>Note2: for UL, measured SRS signals refer to aggregated SRS resources. For DL, measured PRS signals refer to aggregated PRS resources.</w:t>
      </w:r>
    </w:p>
    <w:p w14:paraId="5ED2684B" w14:textId="77777777" w:rsidR="007E0937" w:rsidRPr="009537ED" w:rsidRDefault="007E0937" w:rsidP="007E0937">
      <w:pPr>
        <w:rPr>
          <w:rFonts w:ascii="Times New Roman" w:hAnsi="Times New Roman"/>
          <w:szCs w:val="20"/>
          <w:lang w:eastAsia="x-none"/>
        </w:rPr>
      </w:pPr>
    </w:p>
    <w:p w14:paraId="48F7F7BC" w14:textId="77777777" w:rsidR="007E0937" w:rsidRPr="009537ED" w:rsidRDefault="007E0937" w:rsidP="007E0937">
      <w:pPr>
        <w:rPr>
          <w:rFonts w:ascii="Times New Roman" w:hAnsi="Times New Roman"/>
          <w:szCs w:val="20"/>
          <w:lang w:eastAsia="x-none"/>
        </w:rPr>
      </w:pPr>
    </w:p>
    <w:p w14:paraId="380E092D" w14:textId="325B9978" w:rsidR="007E0937" w:rsidRPr="00E473AD" w:rsidRDefault="005A18DC" w:rsidP="007E0937">
      <w:pPr>
        <w:rPr>
          <w:rFonts w:ascii="Times New Roman" w:hAnsi="Times New Roman"/>
          <w:b/>
          <w:bCs/>
          <w:szCs w:val="20"/>
          <w:lang w:eastAsia="x-none"/>
        </w:rPr>
      </w:pPr>
      <w:hyperlink r:id="rId1228" w:history="1">
        <w:r w:rsidR="00AF7253">
          <w:rPr>
            <w:rStyle w:val="Hyperlink"/>
            <w:rFonts w:ascii="Times New Roman" w:hAnsi="Times New Roman"/>
            <w:b/>
            <w:bCs/>
            <w:szCs w:val="20"/>
            <w:lang w:eastAsia="x-none"/>
          </w:rPr>
          <w:t>R1-2311465</w:t>
        </w:r>
      </w:hyperlink>
      <w:r w:rsidR="007E0937" w:rsidRPr="00E473AD">
        <w:rPr>
          <w:rFonts w:ascii="Times New Roman" w:hAnsi="Times New Roman"/>
          <w:b/>
          <w:bCs/>
          <w:szCs w:val="20"/>
          <w:lang w:eastAsia="x-none"/>
        </w:rPr>
        <w:tab/>
        <w:t>Summary #2 for BW aggregation positioning</w:t>
      </w:r>
      <w:r w:rsidR="007E0937" w:rsidRPr="00E473AD">
        <w:rPr>
          <w:rFonts w:ascii="Times New Roman" w:hAnsi="Times New Roman"/>
          <w:b/>
          <w:bCs/>
          <w:szCs w:val="20"/>
          <w:lang w:eastAsia="x-none"/>
        </w:rPr>
        <w:tab/>
        <w:t>Moderator (ZTE)</w:t>
      </w:r>
    </w:p>
    <w:p w14:paraId="3A5CFAE8" w14:textId="45DCFBD6" w:rsidR="00E473AD" w:rsidRDefault="00E473AD" w:rsidP="007E0937">
      <w:pPr>
        <w:rPr>
          <w:rFonts w:ascii="Times New Roman" w:hAnsi="Times New Roman"/>
          <w:szCs w:val="20"/>
          <w:lang w:eastAsia="x-none"/>
        </w:rPr>
      </w:pPr>
      <w:r>
        <w:rPr>
          <w:rFonts w:ascii="Times New Roman" w:hAnsi="Times New Roman"/>
          <w:szCs w:val="20"/>
          <w:lang w:eastAsia="x-none"/>
        </w:rPr>
        <w:t>From Wednesday session</w:t>
      </w:r>
    </w:p>
    <w:p w14:paraId="1976CF5F" w14:textId="77777777" w:rsidR="00E473AD" w:rsidRPr="00E473AD" w:rsidRDefault="00E473AD" w:rsidP="00E473AD">
      <w:r w:rsidRPr="00E473AD">
        <w:rPr>
          <w:highlight w:val="green"/>
        </w:rPr>
        <w:t>Agreement</w:t>
      </w:r>
    </w:p>
    <w:p w14:paraId="7DFE2EAC" w14:textId="4DD589E9" w:rsidR="00E473AD" w:rsidRPr="00E473AD" w:rsidRDefault="00E473AD" w:rsidP="00E473AD">
      <w:pPr>
        <w:rPr>
          <w:rFonts w:eastAsia="SimSun"/>
          <w:szCs w:val="20"/>
        </w:rPr>
      </w:pPr>
      <w:r w:rsidRPr="00E473AD">
        <w:rPr>
          <w:rFonts w:eastAsia="SimSun" w:hint="eastAsia"/>
          <w:szCs w:val="20"/>
        </w:rPr>
        <w:t xml:space="preserve">Endorse the TP 2.1-1 in section 2.1.1 of </w:t>
      </w:r>
      <w:hyperlink r:id="rId1229" w:history="1">
        <w:r w:rsidR="00AF7253">
          <w:rPr>
            <w:rStyle w:val="Hyperlink"/>
            <w:rFonts w:eastAsia="SimSun"/>
            <w:szCs w:val="20"/>
          </w:rPr>
          <w:t>R1-2311465</w:t>
        </w:r>
      </w:hyperlink>
      <w:r w:rsidRPr="00E473AD">
        <w:rPr>
          <w:rFonts w:eastAsia="SimSun" w:hint="eastAsia"/>
          <w:szCs w:val="20"/>
        </w:rPr>
        <w:t xml:space="preserve"> for TS 38.214 clause 6.2.1.4.2</w:t>
      </w:r>
      <w:r>
        <w:rPr>
          <w:rFonts w:eastAsia="SimSun"/>
          <w:szCs w:val="20"/>
        </w:rPr>
        <w:t>.</w:t>
      </w:r>
    </w:p>
    <w:p w14:paraId="1B518169" w14:textId="77777777" w:rsidR="00E473AD" w:rsidRPr="00E473AD" w:rsidRDefault="00E473AD" w:rsidP="00E473AD"/>
    <w:p w14:paraId="20DE559D" w14:textId="77777777" w:rsidR="00E473AD" w:rsidRPr="00E473AD" w:rsidRDefault="00E473AD" w:rsidP="00E473AD">
      <w:r w:rsidRPr="00E473AD">
        <w:rPr>
          <w:highlight w:val="green"/>
        </w:rPr>
        <w:t>Agreement</w:t>
      </w:r>
    </w:p>
    <w:p w14:paraId="0C8731EB" w14:textId="7E4870D6" w:rsidR="00E473AD" w:rsidRPr="00E473AD" w:rsidRDefault="00E473AD" w:rsidP="00E473AD">
      <w:pPr>
        <w:rPr>
          <w:rFonts w:eastAsia="SimSun"/>
          <w:szCs w:val="20"/>
        </w:rPr>
      </w:pPr>
      <w:r w:rsidRPr="00E473AD">
        <w:rPr>
          <w:rFonts w:eastAsia="SimSun" w:hint="eastAsia"/>
          <w:szCs w:val="20"/>
        </w:rPr>
        <w:t xml:space="preserve">Endorse the TP 4.1-1 in section 4.1.1 of </w:t>
      </w:r>
      <w:hyperlink r:id="rId1230" w:history="1">
        <w:r w:rsidR="00AF7253">
          <w:rPr>
            <w:rStyle w:val="Hyperlink"/>
            <w:rFonts w:eastAsia="SimSun"/>
            <w:szCs w:val="20"/>
          </w:rPr>
          <w:t>R1-2311465</w:t>
        </w:r>
      </w:hyperlink>
      <w:r w:rsidRPr="00E473AD">
        <w:rPr>
          <w:rFonts w:eastAsia="SimSun" w:hint="eastAsia"/>
          <w:szCs w:val="20"/>
        </w:rPr>
        <w:t xml:space="preserve"> for TS 38.214 clause 5.1.6.5.3</w:t>
      </w:r>
      <w:r>
        <w:rPr>
          <w:rFonts w:eastAsia="SimSun"/>
          <w:szCs w:val="20"/>
        </w:rPr>
        <w:t>.</w:t>
      </w:r>
    </w:p>
    <w:p w14:paraId="3992BB98" w14:textId="77777777" w:rsidR="00E473AD" w:rsidRPr="00E473AD" w:rsidRDefault="00E473AD" w:rsidP="00E473AD"/>
    <w:p w14:paraId="4D338B09" w14:textId="77777777" w:rsidR="00E473AD" w:rsidRPr="00E473AD" w:rsidRDefault="00E473AD" w:rsidP="00E473AD">
      <w:r w:rsidRPr="00E473AD">
        <w:rPr>
          <w:highlight w:val="green"/>
        </w:rPr>
        <w:t>Agreement</w:t>
      </w:r>
    </w:p>
    <w:p w14:paraId="4D69C9C9" w14:textId="77777777" w:rsidR="00E473AD" w:rsidRPr="00E473AD" w:rsidRDefault="00E473AD" w:rsidP="00E473AD">
      <w:pPr>
        <w:rPr>
          <w:rFonts w:eastAsia="SimSun"/>
          <w:szCs w:val="20"/>
        </w:rPr>
      </w:pPr>
      <w:r w:rsidRPr="00E473AD">
        <w:rPr>
          <w:rFonts w:eastAsia="SimSun"/>
          <w:szCs w:val="20"/>
        </w:rPr>
        <w:t>The TP below is endorsed for TS38.214</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9"/>
        <w:gridCol w:w="8574"/>
      </w:tblGrid>
      <w:tr w:rsidR="00E473AD" w:rsidRPr="00E473AD" w14:paraId="341EC64F" w14:textId="77777777" w:rsidTr="00E473AD">
        <w:tc>
          <w:tcPr>
            <w:tcW w:w="5000" w:type="pct"/>
            <w:gridSpan w:val="2"/>
            <w:shd w:val="clear" w:color="auto" w:fill="auto"/>
          </w:tcPr>
          <w:p w14:paraId="6E6F04F9" w14:textId="77777777" w:rsidR="00E473AD" w:rsidRPr="00E473AD" w:rsidRDefault="00E473AD" w:rsidP="00E473AD">
            <w:pPr>
              <w:snapToGrid w:val="0"/>
              <w:jc w:val="both"/>
              <w:rPr>
                <w:rFonts w:ascii="Arial" w:eastAsia="SimSun" w:hAnsi="Arial" w:cs="Arial"/>
                <w:sz w:val="16"/>
                <w:szCs w:val="16"/>
                <w:lang w:val="en-US" w:eastAsia="zh-CN"/>
              </w:rPr>
            </w:pPr>
            <w:r w:rsidRPr="00E473AD">
              <w:rPr>
                <w:rFonts w:ascii="Arial" w:eastAsia="SimSun" w:hAnsi="Arial" w:cs="Arial"/>
                <w:sz w:val="16"/>
                <w:szCs w:val="16"/>
                <w:lang w:val="en-US" w:eastAsia="zh-CN"/>
              </w:rPr>
              <w:t>TP 10.1-2</w:t>
            </w:r>
          </w:p>
        </w:tc>
      </w:tr>
      <w:tr w:rsidR="00E473AD" w:rsidRPr="00E473AD" w14:paraId="1E8B6941" w14:textId="77777777" w:rsidTr="00E473AD">
        <w:tc>
          <w:tcPr>
            <w:tcW w:w="987" w:type="pct"/>
            <w:shd w:val="clear" w:color="auto" w:fill="auto"/>
          </w:tcPr>
          <w:p w14:paraId="1BAA964C" w14:textId="77777777" w:rsidR="00E473AD" w:rsidRPr="00E473AD" w:rsidRDefault="00E473AD" w:rsidP="00E473AD">
            <w:pPr>
              <w:snapToGrid w:val="0"/>
              <w:jc w:val="both"/>
              <w:rPr>
                <w:rFonts w:ascii="Arial" w:eastAsia="SimSun" w:hAnsi="Arial" w:cs="Arial"/>
                <w:sz w:val="16"/>
                <w:szCs w:val="16"/>
                <w:lang w:val="en-US" w:eastAsia="zh-CN"/>
              </w:rPr>
            </w:pPr>
            <w:r w:rsidRPr="00E473AD">
              <w:rPr>
                <w:rFonts w:ascii="Arial" w:eastAsia="SimSun" w:hAnsi="Arial" w:cs="Arial"/>
                <w:sz w:val="16"/>
                <w:szCs w:val="16"/>
                <w:lang w:val="en-US" w:eastAsia="zh-CN"/>
              </w:rPr>
              <w:t>Reason for change</w:t>
            </w:r>
          </w:p>
        </w:tc>
        <w:tc>
          <w:tcPr>
            <w:tcW w:w="4013" w:type="pct"/>
            <w:shd w:val="clear" w:color="auto" w:fill="auto"/>
          </w:tcPr>
          <w:p w14:paraId="7A54B407" w14:textId="77777777" w:rsidR="00E473AD" w:rsidRPr="00E473AD" w:rsidRDefault="00E473AD" w:rsidP="00E473AD">
            <w:pPr>
              <w:snapToGrid w:val="0"/>
              <w:jc w:val="both"/>
              <w:rPr>
                <w:rFonts w:ascii="Arial" w:eastAsia="SimSun" w:hAnsi="Arial" w:cs="Arial"/>
                <w:sz w:val="16"/>
                <w:szCs w:val="16"/>
                <w:lang w:val="en-US" w:eastAsia="zh-CN"/>
              </w:rPr>
            </w:pPr>
            <w:r w:rsidRPr="00E473AD">
              <w:rPr>
                <w:rFonts w:ascii="Arial" w:eastAsia="SimSun" w:hAnsi="Arial" w:cs="Arial"/>
                <w:bCs/>
                <w:sz w:val="16"/>
                <w:szCs w:val="16"/>
                <w:lang w:val="en-US" w:eastAsia="zh-CN"/>
              </w:rPr>
              <w:t xml:space="preserve">In the current RAN1 specification, it specifies that the UE may assume that the PRS/SRS resources across the linked PRS/SRS resource sets are linked for bandwidth aggregation. If the linked PRS/SRS resource sets satisfy the listed conditions, the UE should assume these resource sets are linked for the bandwidth aggregation. The current “may assume” is not a clear wording. </w:t>
            </w:r>
          </w:p>
        </w:tc>
      </w:tr>
      <w:tr w:rsidR="00E473AD" w:rsidRPr="00E473AD" w14:paraId="64DFBCF1" w14:textId="77777777" w:rsidTr="00E473AD">
        <w:tc>
          <w:tcPr>
            <w:tcW w:w="987" w:type="pct"/>
            <w:shd w:val="clear" w:color="auto" w:fill="auto"/>
          </w:tcPr>
          <w:p w14:paraId="6551AE10" w14:textId="77777777" w:rsidR="00E473AD" w:rsidRPr="00E473AD" w:rsidRDefault="00E473AD" w:rsidP="00E473AD">
            <w:pPr>
              <w:snapToGrid w:val="0"/>
              <w:jc w:val="both"/>
              <w:rPr>
                <w:rFonts w:ascii="Arial" w:eastAsia="SimSun" w:hAnsi="Arial" w:cs="Arial"/>
                <w:sz w:val="16"/>
                <w:szCs w:val="16"/>
                <w:lang w:val="en-US" w:eastAsia="zh-CN"/>
              </w:rPr>
            </w:pPr>
            <w:r w:rsidRPr="00E473AD">
              <w:rPr>
                <w:rFonts w:ascii="Arial" w:eastAsia="SimSun" w:hAnsi="Arial" w:cs="Arial"/>
                <w:sz w:val="16"/>
                <w:szCs w:val="16"/>
                <w:lang w:val="en-US" w:eastAsia="zh-CN"/>
              </w:rPr>
              <w:t>Summary of change</w:t>
            </w:r>
          </w:p>
        </w:tc>
        <w:tc>
          <w:tcPr>
            <w:tcW w:w="4013" w:type="pct"/>
            <w:shd w:val="clear" w:color="auto" w:fill="auto"/>
          </w:tcPr>
          <w:p w14:paraId="098F98A6" w14:textId="77777777" w:rsidR="00E473AD" w:rsidRPr="00E473AD" w:rsidRDefault="00E473AD" w:rsidP="00E473AD">
            <w:pPr>
              <w:snapToGrid w:val="0"/>
              <w:jc w:val="both"/>
              <w:rPr>
                <w:rFonts w:ascii="Arial" w:eastAsia="SimSun" w:hAnsi="Arial" w:cs="Arial"/>
                <w:sz w:val="16"/>
                <w:szCs w:val="16"/>
                <w:lang w:val="en-US" w:eastAsia="zh-CN"/>
              </w:rPr>
            </w:pPr>
            <w:r w:rsidRPr="00E473AD">
              <w:rPr>
                <w:rFonts w:ascii="Arial" w:eastAsia="SimSun" w:hAnsi="Arial" w:cs="Arial"/>
                <w:bCs/>
                <w:sz w:val="16"/>
                <w:szCs w:val="16"/>
                <w:lang w:val="en-US" w:eastAsia="zh-CN"/>
              </w:rPr>
              <w:t>The UE should assume or should determine that DL PRS resources across the linked DL PRS resource sets which satisfy the above conditions are linked for bandwidth aggregation.</w:t>
            </w:r>
          </w:p>
        </w:tc>
      </w:tr>
      <w:tr w:rsidR="00E473AD" w:rsidRPr="00E473AD" w14:paraId="6E926E6E" w14:textId="77777777" w:rsidTr="00E473AD">
        <w:tc>
          <w:tcPr>
            <w:tcW w:w="987" w:type="pct"/>
            <w:shd w:val="clear" w:color="auto" w:fill="auto"/>
          </w:tcPr>
          <w:p w14:paraId="766062EE" w14:textId="77777777" w:rsidR="00E473AD" w:rsidRPr="00E473AD" w:rsidRDefault="00E473AD" w:rsidP="00E473AD">
            <w:pPr>
              <w:snapToGrid w:val="0"/>
              <w:jc w:val="both"/>
              <w:rPr>
                <w:rFonts w:ascii="Arial" w:eastAsia="SimSun" w:hAnsi="Arial" w:cs="Arial"/>
                <w:sz w:val="16"/>
                <w:szCs w:val="16"/>
                <w:lang w:val="en-US" w:eastAsia="zh-CN"/>
              </w:rPr>
            </w:pPr>
            <w:r w:rsidRPr="00E473AD">
              <w:rPr>
                <w:rFonts w:ascii="Arial" w:eastAsia="SimSun" w:hAnsi="Arial" w:cs="Arial"/>
                <w:sz w:val="16"/>
                <w:szCs w:val="16"/>
                <w:lang w:val="en-US" w:eastAsia="zh-CN"/>
              </w:rPr>
              <w:t>Consequences if not approved</w:t>
            </w:r>
          </w:p>
        </w:tc>
        <w:tc>
          <w:tcPr>
            <w:tcW w:w="4013" w:type="pct"/>
            <w:shd w:val="clear" w:color="auto" w:fill="auto"/>
          </w:tcPr>
          <w:p w14:paraId="6AC04E8D" w14:textId="77777777" w:rsidR="00E473AD" w:rsidRPr="00E473AD" w:rsidRDefault="00E473AD" w:rsidP="00E473AD">
            <w:pPr>
              <w:snapToGrid w:val="0"/>
              <w:jc w:val="both"/>
              <w:rPr>
                <w:rFonts w:ascii="Arial" w:eastAsia="SimSun" w:hAnsi="Arial" w:cs="Arial"/>
                <w:sz w:val="16"/>
                <w:szCs w:val="16"/>
                <w:lang w:val="en-US" w:eastAsia="zh-CN"/>
              </w:rPr>
            </w:pPr>
            <w:r w:rsidRPr="00E473AD">
              <w:rPr>
                <w:rFonts w:ascii="Arial" w:eastAsia="SimSun" w:hAnsi="Arial" w:cs="Arial"/>
                <w:bCs/>
                <w:sz w:val="16"/>
                <w:szCs w:val="16"/>
                <w:lang w:val="en-US" w:eastAsia="zh-CN"/>
              </w:rPr>
              <w:t>The current “may assume” is not a clear wording.</w:t>
            </w:r>
          </w:p>
        </w:tc>
      </w:tr>
      <w:tr w:rsidR="00E473AD" w:rsidRPr="00E473AD" w14:paraId="3C7D1AB0" w14:textId="77777777" w:rsidTr="00E473AD">
        <w:tc>
          <w:tcPr>
            <w:tcW w:w="987" w:type="pct"/>
            <w:shd w:val="clear" w:color="auto" w:fill="auto"/>
          </w:tcPr>
          <w:p w14:paraId="02A371CB" w14:textId="77777777" w:rsidR="00E473AD" w:rsidRPr="00E473AD" w:rsidRDefault="00E473AD" w:rsidP="00E473AD">
            <w:pPr>
              <w:snapToGrid w:val="0"/>
              <w:jc w:val="both"/>
              <w:rPr>
                <w:rFonts w:ascii="Arial" w:eastAsia="SimSun" w:hAnsi="Arial" w:cs="Arial"/>
                <w:sz w:val="16"/>
                <w:szCs w:val="16"/>
                <w:lang w:val="en-US" w:eastAsia="zh-CN"/>
              </w:rPr>
            </w:pPr>
            <w:r w:rsidRPr="00E473AD">
              <w:rPr>
                <w:rFonts w:ascii="Arial" w:eastAsia="SimSun" w:hAnsi="Arial" w:cs="Arial"/>
                <w:sz w:val="16"/>
                <w:szCs w:val="16"/>
                <w:lang w:val="en-US" w:eastAsia="zh-CN"/>
              </w:rPr>
              <w:t>Text proposal</w:t>
            </w:r>
          </w:p>
        </w:tc>
        <w:tc>
          <w:tcPr>
            <w:tcW w:w="4013" w:type="pct"/>
            <w:shd w:val="clear" w:color="auto" w:fill="auto"/>
          </w:tcPr>
          <w:p w14:paraId="535127BA" w14:textId="77777777" w:rsidR="00E473AD" w:rsidRPr="00AC5692" w:rsidRDefault="00E473AD" w:rsidP="00AC5692">
            <w:pPr>
              <w:rPr>
                <w:rFonts w:ascii="Arial" w:hAnsi="Arial" w:cs="Arial"/>
                <w:bCs/>
                <w:sz w:val="16"/>
                <w:szCs w:val="16"/>
                <w:lang w:val="en-US"/>
              </w:rPr>
            </w:pPr>
            <w:r w:rsidRPr="00AC5692">
              <w:rPr>
                <w:rFonts w:ascii="Arial" w:hAnsi="Arial" w:cs="Arial"/>
                <w:sz w:val="16"/>
                <w:szCs w:val="16"/>
                <w:lang w:val="en-US"/>
              </w:rPr>
              <w:t>-------------------------------------- TS 38.214 -----------------------------------------------------</w:t>
            </w:r>
          </w:p>
          <w:p w14:paraId="6B6DE023" w14:textId="77777777" w:rsidR="00E473AD" w:rsidRPr="00AC5692" w:rsidRDefault="00E473AD" w:rsidP="00E473AD">
            <w:pPr>
              <w:snapToGrid w:val="0"/>
              <w:jc w:val="center"/>
              <w:rPr>
                <w:rFonts w:ascii="Arial" w:hAnsi="Arial" w:cs="Arial"/>
                <w:sz w:val="16"/>
                <w:szCs w:val="16"/>
              </w:rPr>
            </w:pPr>
            <w:r w:rsidRPr="00AC5692">
              <w:rPr>
                <w:rFonts w:ascii="Arial" w:hAnsi="Arial" w:cs="Arial"/>
                <w:color w:val="FF0000"/>
                <w:sz w:val="16"/>
                <w:szCs w:val="16"/>
              </w:rPr>
              <w:t>&lt; Unchanged text omitted &gt;</w:t>
            </w:r>
          </w:p>
          <w:p w14:paraId="713CA030" w14:textId="77777777" w:rsidR="00E473AD" w:rsidRPr="00AC5692" w:rsidRDefault="00E473AD" w:rsidP="00AC5692">
            <w:pPr>
              <w:rPr>
                <w:rFonts w:ascii="Arial" w:hAnsi="Arial" w:cs="Arial"/>
                <w:b/>
                <w:bCs/>
                <w:sz w:val="16"/>
                <w:szCs w:val="16"/>
              </w:rPr>
            </w:pPr>
            <w:r w:rsidRPr="00AC5692">
              <w:rPr>
                <w:rFonts w:ascii="Arial" w:hAnsi="Arial" w:cs="Arial"/>
                <w:b/>
                <w:bCs/>
                <w:sz w:val="16"/>
                <w:szCs w:val="16"/>
              </w:rPr>
              <w:t>5.1.6.5.3</w:t>
            </w:r>
            <w:r w:rsidRPr="00AC5692">
              <w:rPr>
                <w:rFonts w:ascii="Arial" w:hAnsi="Arial" w:cs="Arial"/>
                <w:b/>
                <w:bCs/>
                <w:sz w:val="16"/>
                <w:szCs w:val="16"/>
              </w:rPr>
              <w:tab/>
              <w:t>PRS bandwidth aggregation for positioning measurements</w:t>
            </w:r>
          </w:p>
          <w:p w14:paraId="3DDA4CD8" w14:textId="77777777" w:rsidR="00E473AD" w:rsidRPr="00AC5692" w:rsidRDefault="00E473AD" w:rsidP="00E473AD">
            <w:pPr>
              <w:rPr>
                <w:rFonts w:ascii="Arial" w:hAnsi="Arial" w:cs="Arial"/>
                <w:color w:val="FF0000"/>
                <w:sz w:val="16"/>
                <w:szCs w:val="16"/>
              </w:rPr>
            </w:pPr>
            <w:r w:rsidRPr="00AC5692">
              <w:rPr>
                <w:rFonts w:ascii="Arial" w:hAnsi="Arial" w:cs="Arial"/>
                <w:sz w:val="16"/>
                <w:szCs w:val="16"/>
              </w:rPr>
              <w:t>When the UE is expected to perform aggregated measurements for bandwidth aggregation across DL PRS positioning frequency layers, the UE expects to be configured with linkage information, via higher layer parameter [</w:t>
            </w:r>
            <w:r w:rsidRPr="00AC5692">
              <w:rPr>
                <w:rFonts w:ascii="Arial" w:hAnsi="Arial" w:cs="Arial"/>
                <w:i/>
                <w:iCs/>
                <w:sz w:val="16"/>
                <w:szCs w:val="16"/>
              </w:rPr>
              <w:t>linkage</w:t>
            </w:r>
            <w:r w:rsidRPr="00AC5692">
              <w:rPr>
                <w:rFonts w:ascii="Arial" w:hAnsi="Arial" w:cs="Arial"/>
                <w:sz w:val="16"/>
                <w:szCs w:val="16"/>
              </w:rPr>
              <w:t xml:space="preserve">], between DL PRS resource sets across DL PRS positioning frequency layers. For the linked DL PRS resource sets, the UE is expected to be configured with the same values of QCL, </w:t>
            </w:r>
            <w:r w:rsidRPr="00AC5692">
              <w:rPr>
                <w:rFonts w:ascii="Arial" w:hAnsi="Arial" w:cs="Arial"/>
                <w:i/>
                <w:iCs/>
                <w:sz w:val="16"/>
                <w:szCs w:val="16"/>
              </w:rPr>
              <w:t>dl-PRS-Periodicity-and-ResourceSetSlotOffset, dl-PRS-NumSymbols</w:t>
            </w:r>
            <w:r w:rsidRPr="00AC5692">
              <w:rPr>
                <w:rFonts w:ascii="Arial" w:hAnsi="Arial" w:cs="Arial"/>
                <w:sz w:val="16"/>
                <w:szCs w:val="16"/>
              </w:rPr>
              <w:t>,</w:t>
            </w:r>
            <w:r w:rsidRPr="00AC5692">
              <w:rPr>
                <w:rFonts w:ascii="Arial" w:hAnsi="Arial" w:cs="Arial"/>
                <w:i/>
                <w:sz w:val="16"/>
                <w:szCs w:val="16"/>
              </w:rPr>
              <w:t xml:space="preserve"> dl-PRS-ResourceTimeGap, dl-PRS-ResourceRepetitionFactor, </w:t>
            </w:r>
            <w:r w:rsidRPr="00AC5692">
              <w:rPr>
                <w:rFonts w:ascii="Arial" w:hAnsi="Arial" w:cs="Arial"/>
                <w:i/>
                <w:iCs/>
                <w:sz w:val="16"/>
                <w:szCs w:val="16"/>
              </w:rPr>
              <w:t>dl-PRS-ResourceSymbolOffset,</w:t>
            </w:r>
            <w:r w:rsidRPr="00AC5692">
              <w:rPr>
                <w:rFonts w:ascii="Arial" w:hAnsi="Arial" w:cs="Arial"/>
                <w:sz w:val="16"/>
                <w:szCs w:val="16"/>
              </w:rPr>
              <w:t xml:space="preserve"> </w:t>
            </w:r>
            <w:r w:rsidRPr="00AC5692">
              <w:rPr>
                <w:rFonts w:ascii="Arial" w:hAnsi="Arial" w:cs="Arial"/>
                <w:i/>
                <w:iCs/>
                <w:snapToGrid w:val="0"/>
                <w:sz w:val="16"/>
                <w:szCs w:val="16"/>
              </w:rPr>
              <w:t>dl-prs-MutingBitRepetitionFactor,</w:t>
            </w:r>
            <w:r w:rsidRPr="00AC5692">
              <w:rPr>
                <w:rFonts w:ascii="Arial" w:hAnsi="Arial" w:cs="Arial"/>
                <w:sz w:val="16"/>
                <w:szCs w:val="16"/>
              </w:rPr>
              <w:t xml:space="preserve"> </w:t>
            </w:r>
            <w:r w:rsidRPr="00AC5692">
              <w:rPr>
                <w:rFonts w:ascii="Arial" w:hAnsi="Arial" w:cs="Arial"/>
                <w:i/>
                <w:iCs/>
                <w:sz w:val="16"/>
                <w:szCs w:val="16"/>
                <w:lang w:eastAsia="ko-KR"/>
              </w:rPr>
              <w:t>dl-PRS-CyclicPrefix</w:t>
            </w:r>
            <w:r w:rsidRPr="00AC5692">
              <w:rPr>
                <w:rFonts w:ascii="Arial" w:hAnsi="Arial" w:cs="Arial"/>
                <w:sz w:val="16"/>
                <w:szCs w:val="16"/>
              </w:rPr>
              <w:t xml:space="preserve">, comb size, power per subcarrier, </w:t>
            </w:r>
            <w:r w:rsidRPr="00AC5692">
              <w:rPr>
                <w:rFonts w:ascii="Arial" w:hAnsi="Arial" w:cs="Arial"/>
                <w:i/>
                <w:iCs/>
                <w:sz w:val="16"/>
                <w:szCs w:val="16"/>
              </w:rPr>
              <w:t>NR-MutingPattern</w:t>
            </w:r>
            <w:r w:rsidRPr="00AC5692">
              <w:rPr>
                <w:rFonts w:ascii="Arial" w:hAnsi="Arial" w:cs="Arial"/>
                <w:sz w:val="16"/>
                <w:szCs w:val="16"/>
              </w:rPr>
              <w:t xml:space="preserve">, and </w:t>
            </w:r>
            <w:r w:rsidRPr="00AC5692">
              <w:rPr>
                <w:rFonts w:ascii="Arial" w:hAnsi="Arial" w:cs="Arial"/>
                <w:i/>
                <w:iCs/>
                <w:sz w:val="16"/>
                <w:szCs w:val="16"/>
              </w:rPr>
              <w:t xml:space="preserve">NR-DL-PRS-SFN0-Offset, </w:t>
            </w:r>
            <w:r w:rsidRPr="00AC5692">
              <w:rPr>
                <w:rFonts w:ascii="Arial" w:hAnsi="Arial" w:cs="Arial"/>
                <w:sz w:val="16"/>
                <w:szCs w:val="16"/>
              </w:rPr>
              <w:t xml:space="preserve">and the UE is expected to be configured with DL PRS resources that maintain uniformly spaced DL PRS RE pattern within a symbol across aggregated DL PRS positioning frequency layers. The UE </w:t>
            </w:r>
            <w:r w:rsidRPr="00AC5692">
              <w:rPr>
                <w:rFonts w:ascii="Arial" w:hAnsi="Arial" w:cs="Arial"/>
                <w:strike/>
                <w:color w:val="FF0000"/>
                <w:sz w:val="16"/>
                <w:szCs w:val="16"/>
              </w:rPr>
              <w:t>may</w:t>
            </w:r>
            <w:r w:rsidRPr="00AC5692">
              <w:rPr>
                <w:rFonts w:ascii="Arial" w:hAnsi="Arial" w:cs="Arial"/>
                <w:sz w:val="16"/>
                <w:szCs w:val="16"/>
              </w:rPr>
              <w:t xml:space="preserve"> assume</w:t>
            </w:r>
            <w:r w:rsidRPr="00AC5692">
              <w:rPr>
                <w:rFonts w:ascii="Arial" w:hAnsi="Arial" w:cs="Arial"/>
                <w:color w:val="FF0000"/>
                <w:sz w:val="16"/>
                <w:szCs w:val="16"/>
              </w:rPr>
              <w:t>s</w:t>
            </w:r>
            <w:r w:rsidRPr="00AC5692">
              <w:rPr>
                <w:rFonts w:ascii="Arial" w:hAnsi="Arial" w:cs="Arial"/>
                <w:sz w:val="16"/>
                <w:szCs w:val="16"/>
              </w:rPr>
              <w:t xml:space="preserve"> that DL PRS resources across the linked DL PRS resource sets which satisfy the above conditions are linked for bandwidth aggregation, and the UE may assume phase continuity on the DL PRS resources on same symbol(s); otherwise, the UE does not assume that PRS resources from the linked DL PRS resource sets are linked for bandwidth aggregation.</w:t>
            </w:r>
          </w:p>
          <w:p w14:paraId="7AC2DA99" w14:textId="77777777" w:rsidR="00E473AD" w:rsidRPr="00AC5692" w:rsidRDefault="00E473AD" w:rsidP="00E473AD">
            <w:pPr>
              <w:snapToGrid w:val="0"/>
              <w:jc w:val="center"/>
              <w:rPr>
                <w:rFonts w:ascii="Arial" w:hAnsi="Arial" w:cs="Arial"/>
                <w:color w:val="FF0000"/>
                <w:sz w:val="16"/>
                <w:szCs w:val="16"/>
              </w:rPr>
            </w:pPr>
            <w:r w:rsidRPr="00AC5692">
              <w:rPr>
                <w:rFonts w:ascii="Arial" w:hAnsi="Arial" w:cs="Arial"/>
                <w:color w:val="FF0000"/>
                <w:sz w:val="16"/>
                <w:szCs w:val="16"/>
              </w:rPr>
              <w:t>&lt; Unchanged text omitted &gt;</w:t>
            </w:r>
          </w:p>
          <w:p w14:paraId="309750DE" w14:textId="77777777" w:rsidR="00E473AD" w:rsidRPr="00AC5692" w:rsidRDefault="00E473AD" w:rsidP="00AC5692">
            <w:pPr>
              <w:rPr>
                <w:rFonts w:ascii="Arial" w:hAnsi="Arial" w:cs="Arial"/>
                <w:b/>
                <w:bCs/>
                <w:sz w:val="16"/>
                <w:szCs w:val="16"/>
                <w:lang w:val="en-US"/>
              </w:rPr>
            </w:pPr>
            <w:r w:rsidRPr="00AC5692">
              <w:rPr>
                <w:rFonts w:ascii="Arial" w:hAnsi="Arial" w:cs="Arial"/>
                <w:b/>
                <w:bCs/>
                <w:sz w:val="16"/>
                <w:szCs w:val="16"/>
              </w:rPr>
              <w:lastRenderedPageBreak/>
              <w:t>6.2.1.</w:t>
            </w:r>
            <w:r w:rsidRPr="00AC5692">
              <w:rPr>
                <w:rFonts w:ascii="Arial" w:hAnsi="Arial" w:cs="Arial"/>
                <w:b/>
                <w:bCs/>
                <w:sz w:val="16"/>
                <w:szCs w:val="16"/>
                <w:lang w:val="en-US"/>
              </w:rPr>
              <w:t>4</w:t>
            </w:r>
            <w:r w:rsidRPr="00AC5692">
              <w:rPr>
                <w:rFonts w:ascii="Arial" w:hAnsi="Arial" w:cs="Arial"/>
                <w:b/>
                <w:bCs/>
                <w:sz w:val="16"/>
                <w:szCs w:val="16"/>
              </w:rPr>
              <w:t>.</w:t>
            </w:r>
            <w:r w:rsidRPr="00AC5692">
              <w:rPr>
                <w:rFonts w:ascii="Arial" w:hAnsi="Arial" w:cs="Arial"/>
                <w:b/>
                <w:bCs/>
                <w:sz w:val="16"/>
                <w:szCs w:val="16"/>
                <w:lang w:val="en-US"/>
              </w:rPr>
              <w:t>2</w:t>
            </w:r>
            <w:r w:rsidRPr="00AC5692">
              <w:rPr>
                <w:rFonts w:ascii="Arial" w:hAnsi="Arial" w:cs="Arial"/>
                <w:b/>
                <w:bCs/>
                <w:sz w:val="16"/>
                <w:szCs w:val="16"/>
              </w:rPr>
              <w:tab/>
            </w:r>
            <w:r w:rsidRPr="00AC5692">
              <w:rPr>
                <w:rFonts w:ascii="Arial" w:hAnsi="Arial" w:cs="Arial"/>
                <w:b/>
                <w:bCs/>
                <w:sz w:val="16"/>
                <w:szCs w:val="16"/>
                <w:lang w:val="en-US"/>
              </w:rPr>
              <w:t>SRS bandwidth aggregation for positioning measurements</w:t>
            </w:r>
          </w:p>
          <w:p w14:paraId="380629EB" w14:textId="77777777" w:rsidR="00E473AD" w:rsidRPr="00AC5692" w:rsidRDefault="00E473AD" w:rsidP="00E473AD">
            <w:pPr>
              <w:rPr>
                <w:rFonts w:ascii="Arial" w:hAnsi="Arial" w:cs="Arial"/>
                <w:color w:val="FF0000"/>
                <w:sz w:val="16"/>
                <w:szCs w:val="16"/>
              </w:rPr>
            </w:pPr>
            <w:r w:rsidRPr="00AC5692">
              <w:rPr>
                <w:rFonts w:ascii="Arial" w:hAnsi="Arial" w:cs="Arial"/>
                <w:sz w:val="16"/>
                <w:szCs w:val="16"/>
              </w:rPr>
              <w:t>The UE is expected to be configured with linkage information [</w:t>
            </w:r>
            <w:r w:rsidRPr="00AC5692">
              <w:rPr>
                <w:rFonts w:ascii="Arial" w:hAnsi="Arial" w:cs="Arial"/>
                <w:i/>
                <w:iCs/>
                <w:sz w:val="16"/>
                <w:szCs w:val="16"/>
              </w:rPr>
              <w:t>linkage</w:t>
            </w:r>
            <w:r w:rsidRPr="00AC5692">
              <w:rPr>
                <w:rFonts w:ascii="Arial" w:hAnsi="Arial" w:cs="Arial"/>
                <w:sz w:val="16"/>
                <w:szCs w:val="16"/>
              </w:rPr>
              <w:t xml:space="preserve">] on SRS resource sets for positioning across two or three CCs which are linked for bandwidth aggregation. For the linked SRS resource sets, the UE is expected to be configured with the same values of </w:t>
            </w:r>
            <w:r w:rsidRPr="00AC5692">
              <w:rPr>
                <w:rFonts w:ascii="Arial" w:hAnsi="Arial" w:cs="Arial"/>
                <w:i/>
                <w:sz w:val="16"/>
                <w:szCs w:val="16"/>
              </w:rPr>
              <w:t>startPosition, nrofSymbols,</w:t>
            </w:r>
            <w:r w:rsidRPr="00AC5692">
              <w:rPr>
                <w:rFonts w:ascii="Arial" w:hAnsi="Arial" w:cs="Arial"/>
                <w:sz w:val="16"/>
                <w:szCs w:val="16"/>
              </w:rPr>
              <w:t xml:space="preserve"> </w:t>
            </w:r>
            <w:r w:rsidRPr="00AC5692">
              <w:rPr>
                <w:rFonts w:ascii="Arial" w:hAnsi="Arial" w:cs="Arial"/>
                <w:i/>
                <w:sz w:val="16"/>
                <w:szCs w:val="16"/>
              </w:rPr>
              <w:t>periodicityAndOffset, slotOffset, alpha, p0,</w:t>
            </w:r>
            <w:r w:rsidRPr="00AC5692">
              <w:rPr>
                <w:rFonts w:ascii="Arial" w:hAnsi="Arial" w:cs="Arial"/>
                <w:sz w:val="16"/>
                <w:szCs w:val="16"/>
              </w:rPr>
              <w:t xml:space="preserve"> subcarrier spacing, CP, and comb size, and the UE is expected to maintain phase continuity for the SRS transmission. The UE </w:t>
            </w:r>
            <w:r w:rsidRPr="00AC5692">
              <w:rPr>
                <w:rFonts w:ascii="Arial" w:hAnsi="Arial" w:cs="Arial"/>
                <w:strike/>
                <w:color w:val="FF0000"/>
                <w:sz w:val="16"/>
                <w:szCs w:val="16"/>
              </w:rPr>
              <w:t>may</w:t>
            </w:r>
            <w:r w:rsidRPr="00AC5692">
              <w:rPr>
                <w:rFonts w:ascii="Arial" w:hAnsi="Arial" w:cs="Arial"/>
                <w:sz w:val="16"/>
                <w:szCs w:val="16"/>
              </w:rPr>
              <w:t xml:space="preserve"> assume</w:t>
            </w:r>
            <w:r w:rsidRPr="00AC5692">
              <w:rPr>
                <w:rFonts w:ascii="Arial" w:hAnsi="Arial" w:cs="Arial"/>
                <w:color w:val="FF0000"/>
                <w:sz w:val="16"/>
                <w:szCs w:val="16"/>
              </w:rPr>
              <w:t>s</w:t>
            </w:r>
            <w:r w:rsidRPr="00AC5692">
              <w:rPr>
                <w:rFonts w:ascii="Arial" w:hAnsi="Arial" w:cs="Arial"/>
                <w:sz w:val="16"/>
                <w:szCs w:val="16"/>
              </w:rPr>
              <w:t xml:space="preserve"> that SRS resources across the linked SRS resource sets which satisfy the above conditions are linked for bandwidth aggregation, otherwise, the UE does not assume that SRS resources of the linked SRS resource sets are linked for bandwidth aggregation. For the linked SRS resource sets for bandwidth aggregation across CCs, if an SRS configured by the higher layer parameter </w:t>
            </w:r>
            <w:r w:rsidRPr="00AC5692">
              <w:rPr>
                <w:rFonts w:ascii="Arial" w:hAnsi="Arial" w:cs="Arial"/>
                <w:i/>
                <w:iCs/>
                <w:sz w:val="16"/>
                <w:szCs w:val="16"/>
              </w:rPr>
              <w:t>SRS-PosResource,</w:t>
            </w:r>
            <w:r w:rsidRPr="00AC5692">
              <w:rPr>
                <w:rFonts w:ascii="Arial" w:hAnsi="Arial" w:cs="Arial"/>
                <w:sz w:val="16"/>
                <w:szCs w:val="16"/>
              </w:rPr>
              <w:t xml:space="preserve"> along with the [switching period] when applicable</w:t>
            </w:r>
            <w:r w:rsidRPr="00AC5692">
              <w:rPr>
                <w:rFonts w:ascii="Arial" w:hAnsi="Arial" w:cs="Arial"/>
                <w:i/>
                <w:iCs/>
                <w:sz w:val="16"/>
                <w:szCs w:val="16"/>
              </w:rPr>
              <w:t xml:space="preserve">, </w:t>
            </w:r>
            <w:r w:rsidRPr="00AC5692">
              <w:rPr>
                <w:rFonts w:ascii="Arial" w:hAnsi="Arial" w:cs="Arial"/>
                <w:sz w:val="16"/>
                <w:szCs w:val="16"/>
              </w:rPr>
              <w:t>collides with other signals or channels on a symbol and if the SRS in that symbol is dropped, SRS transmission of the linked SRS resource sets across all CCs is dropped on that symbol.</w:t>
            </w:r>
          </w:p>
          <w:p w14:paraId="5F82EAF8" w14:textId="77777777" w:rsidR="00E473AD" w:rsidRPr="00AC5692" w:rsidRDefault="00E473AD" w:rsidP="00E473AD">
            <w:pPr>
              <w:snapToGrid w:val="0"/>
              <w:jc w:val="center"/>
              <w:rPr>
                <w:rFonts w:ascii="Arial" w:hAnsi="Arial" w:cs="Arial"/>
                <w:color w:val="FF0000"/>
                <w:sz w:val="16"/>
                <w:szCs w:val="16"/>
              </w:rPr>
            </w:pPr>
            <w:r w:rsidRPr="00AC5692">
              <w:rPr>
                <w:rFonts w:ascii="Arial" w:hAnsi="Arial" w:cs="Arial"/>
                <w:color w:val="FF0000"/>
                <w:sz w:val="16"/>
                <w:szCs w:val="16"/>
              </w:rPr>
              <w:t>&lt; Unchanged text omitted &gt;</w:t>
            </w:r>
          </w:p>
        </w:tc>
      </w:tr>
    </w:tbl>
    <w:p w14:paraId="2675AFAD" w14:textId="77777777" w:rsidR="00E473AD" w:rsidRPr="00E473AD" w:rsidRDefault="00E473AD" w:rsidP="00E473AD"/>
    <w:p w14:paraId="0D82D9E5" w14:textId="77777777" w:rsidR="007E0937" w:rsidRDefault="007E0937" w:rsidP="00E473AD">
      <w:pPr>
        <w:rPr>
          <w:rFonts w:ascii="Times New Roman" w:hAnsi="Times New Roman"/>
          <w:lang w:eastAsia="x-none"/>
        </w:rPr>
      </w:pPr>
    </w:p>
    <w:p w14:paraId="5ECF365A" w14:textId="7C0A5A13" w:rsidR="007E0937" w:rsidRPr="009537ED" w:rsidRDefault="00191F40" w:rsidP="00E473AD">
      <w:pPr>
        <w:rPr>
          <w:rFonts w:ascii="Times New Roman" w:hAnsi="Times New Roman"/>
          <w:szCs w:val="20"/>
          <w:lang w:eastAsia="x-none"/>
        </w:rPr>
      </w:pPr>
      <w:r>
        <w:rPr>
          <w:rFonts w:ascii="Times New Roman" w:hAnsi="Times New Roman"/>
          <w:lang w:eastAsia="x-none"/>
        </w:rPr>
        <w:t xml:space="preserve">Final summary in </w:t>
      </w:r>
      <w:hyperlink r:id="rId1231" w:history="1">
        <w:r w:rsidR="00AF7253">
          <w:rPr>
            <w:rStyle w:val="Hyperlink"/>
            <w:rFonts w:ascii="Times New Roman" w:hAnsi="Times New Roman"/>
            <w:lang w:eastAsia="x-none"/>
          </w:rPr>
          <w:t>R1-2312396</w:t>
        </w:r>
      </w:hyperlink>
      <w:r>
        <w:rPr>
          <w:rFonts w:ascii="Times New Roman" w:hAnsi="Times New Roman"/>
          <w:szCs w:val="20"/>
          <w:lang w:eastAsia="x-none"/>
        </w:rPr>
        <w:t>.</w:t>
      </w:r>
    </w:p>
    <w:p w14:paraId="3103E76A" w14:textId="77777777" w:rsidR="00F74A6F" w:rsidRPr="009537ED" w:rsidRDefault="00F74A6F" w:rsidP="00C11A96">
      <w:pPr>
        <w:pStyle w:val="Heading3"/>
      </w:pPr>
      <w:bookmarkStart w:id="617" w:name="_Toc150174464"/>
      <w:bookmarkStart w:id="618" w:name="_Toc159251006"/>
      <w:r w:rsidRPr="009537ED">
        <w:t>Positioning for RedCap UEs</w:t>
      </w:r>
      <w:bookmarkEnd w:id="617"/>
      <w:bookmarkEnd w:id="618"/>
    </w:p>
    <w:p w14:paraId="7DD191FD" w14:textId="6668CB7F" w:rsidR="00F74A6F" w:rsidRPr="009537ED" w:rsidRDefault="005A18DC" w:rsidP="00F74A6F">
      <w:pPr>
        <w:rPr>
          <w:lang w:eastAsia="x-none"/>
        </w:rPr>
      </w:pPr>
      <w:hyperlink r:id="rId1232" w:history="1">
        <w:r w:rsidR="00AF7253">
          <w:rPr>
            <w:rStyle w:val="Hyperlink"/>
            <w:lang w:eastAsia="x-none"/>
          </w:rPr>
          <w:t>R1-2310823</w:t>
        </w:r>
      </w:hyperlink>
      <w:r w:rsidR="00F74A6F" w:rsidRPr="009537ED">
        <w:rPr>
          <w:lang w:eastAsia="x-none"/>
        </w:rPr>
        <w:tab/>
        <w:t>On remaining open issues and maintenance for RedCap UE Positioning</w:t>
      </w:r>
      <w:r w:rsidR="00F74A6F" w:rsidRPr="009537ED">
        <w:rPr>
          <w:lang w:eastAsia="x-none"/>
        </w:rPr>
        <w:tab/>
        <w:t>FUTUREWEI</w:t>
      </w:r>
    </w:p>
    <w:p w14:paraId="6BDA97DC" w14:textId="016BF8AB" w:rsidR="00F74A6F" w:rsidRPr="009537ED" w:rsidRDefault="005A18DC" w:rsidP="00F74A6F">
      <w:pPr>
        <w:rPr>
          <w:lang w:eastAsia="x-none"/>
        </w:rPr>
      </w:pPr>
      <w:hyperlink r:id="rId1233" w:history="1">
        <w:r w:rsidR="00AF7253">
          <w:rPr>
            <w:rStyle w:val="Hyperlink"/>
            <w:lang w:eastAsia="x-none"/>
          </w:rPr>
          <w:t>R1-2310842</w:t>
        </w:r>
      </w:hyperlink>
      <w:r w:rsidR="00F74A6F" w:rsidRPr="009537ED">
        <w:rPr>
          <w:lang w:eastAsia="x-none"/>
        </w:rPr>
        <w:tab/>
        <w:t>Maintenance of RedCap positioning</w:t>
      </w:r>
      <w:r w:rsidR="00F74A6F" w:rsidRPr="009537ED">
        <w:rPr>
          <w:lang w:eastAsia="x-none"/>
        </w:rPr>
        <w:tab/>
        <w:t>Huawei, HiSilicon</w:t>
      </w:r>
    </w:p>
    <w:p w14:paraId="046B9E80" w14:textId="00C75636" w:rsidR="00F74A6F" w:rsidRPr="009537ED" w:rsidRDefault="005A18DC" w:rsidP="00F74A6F">
      <w:pPr>
        <w:rPr>
          <w:color w:val="FF0000"/>
          <w:lang w:eastAsia="x-none"/>
        </w:rPr>
      </w:pPr>
      <w:hyperlink r:id="rId1234" w:history="1">
        <w:r w:rsidR="00AF7253">
          <w:rPr>
            <w:rStyle w:val="Hyperlink"/>
            <w:lang w:eastAsia="x-none"/>
          </w:rPr>
          <w:t>R1-2310981</w:t>
        </w:r>
      </w:hyperlink>
      <w:r w:rsidR="00F74A6F" w:rsidRPr="009537ED">
        <w:rPr>
          <w:color w:val="FF0000"/>
          <w:lang w:eastAsia="x-none"/>
        </w:rPr>
        <w:tab/>
        <w:t>Remaining issues on Positioning for RedCap UEs</w:t>
      </w:r>
      <w:r w:rsidR="00F74A6F" w:rsidRPr="009537ED">
        <w:rPr>
          <w:color w:val="FF0000"/>
          <w:lang w:eastAsia="x-none"/>
        </w:rPr>
        <w:tab/>
        <w:t>Nokia, Nokia Shanghai Bell</w:t>
      </w:r>
      <w:r w:rsidR="00C11A96" w:rsidRPr="009537ED">
        <w:rPr>
          <w:color w:val="FF0000"/>
          <w:lang w:eastAsia="x-none"/>
        </w:rPr>
        <w:tab/>
      </w:r>
      <w:r w:rsidR="00F74A6F" w:rsidRPr="009537ED">
        <w:rPr>
          <w:color w:val="FF0000"/>
          <w:lang w:eastAsia="x-none"/>
        </w:rPr>
        <w:t>Late submission</w:t>
      </w:r>
    </w:p>
    <w:p w14:paraId="2FAC42F5" w14:textId="5411E22C" w:rsidR="00F74A6F" w:rsidRPr="009537ED" w:rsidRDefault="005A18DC" w:rsidP="00F74A6F">
      <w:pPr>
        <w:rPr>
          <w:lang w:eastAsia="x-none"/>
        </w:rPr>
      </w:pPr>
      <w:hyperlink r:id="rId1235" w:history="1">
        <w:r w:rsidR="00AF7253">
          <w:rPr>
            <w:rStyle w:val="Hyperlink"/>
            <w:lang w:eastAsia="x-none"/>
          </w:rPr>
          <w:t>R1-2310989</w:t>
        </w:r>
      </w:hyperlink>
      <w:r w:rsidR="00F74A6F" w:rsidRPr="009537ED">
        <w:rPr>
          <w:lang w:eastAsia="x-none"/>
        </w:rPr>
        <w:tab/>
        <w:t>Remaining issues of positioning for RedCap UEs</w:t>
      </w:r>
      <w:r w:rsidR="00F74A6F" w:rsidRPr="009537ED">
        <w:rPr>
          <w:lang w:eastAsia="x-none"/>
        </w:rPr>
        <w:tab/>
        <w:t>New H3C Technologies Co., Ltd.</w:t>
      </w:r>
    </w:p>
    <w:p w14:paraId="7E917C27" w14:textId="3152C80D" w:rsidR="00F74A6F" w:rsidRPr="009537ED" w:rsidRDefault="005A18DC" w:rsidP="00F74A6F">
      <w:pPr>
        <w:rPr>
          <w:lang w:eastAsia="x-none"/>
        </w:rPr>
      </w:pPr>
      <w:hyperlink r:id="rId1236" w:history="1">
        <w:r w:rsidR="00AF7253">
          <w:rPr>
            <w:rStyle w:val="Hyperlink"/>
            <w:lang w:eastAsia="x-none"/>
          </w:rPr>
          <w:t>R1-2311100</w:t>
        </w:r>
      </w:hyperlink>
      <w:r w:rsidR="00F74A6F" w:rsidRPr="009537ED">
        <w:rPr>
          <w:lang w:eastAsia="x-none"/>
        </w:rPr>
        <w:tab/>
        <w:t>Remaining issues on positioning for RedCap UEs</w:t>
      </w:r>
      <w:r w:rsidR="00F74A6F" w:rsidRPr="009537ED">
        <w:rPr>
          <w:lang w:eastAsia="x-none"/>
        </w:rPr>
        <w:tab/>
        <w:t>vivo</w:t>
      </w:r>
    </w:p>
    <w:p w14:paraId="2E54EB7D" w14:textId="55622BB1" w:rsidR="00F74A6F" w:rsidRPr="009537ED" w:rsidRDefault="005A18DC" w:rsidP="00F74A6F">
      <w:pPr>
        <w:rPr>
          <w:lang w:eastAsia="x-none"/>
        </w:rPr>
      </w:pPr>
      <w:hyperlink r:id="rId1237" w:history="1">
        <w:r w:rsidR="00AF7253">
          <w:rPr>
            <w:rStyle w:val="Hyperlink"/>
            <w:lang w:eastAsia="x-none"/>
          </w:rPr>
          <w:t>R1-2311146</w:t>
        </w:r>
      </w:hyperlink>
      <w:r w:rsidR="00F74A6F" w:rsidRPr="009537ED">
        <w:rPr>
          <w:lang w:eastAsia="x-none"/>
        </w:rPr>
        <w:tab/>
        <w:t>Remaining details of Positioning for RedCap Ues</w:t>
      </w:r>
      <w:r w:rsidR="00F74A6F" w:rsidRPr="009537ED">
        <w:rPr>
          <w:lang w:eastAsia="x-none"/>
        </w:rPr>
        <w:tab/>
        <w:t>Intel Corporation</w:t>
      </w:r>
    </w:p>
    <w:p w14:paraId="0ADAF60D" w14:textId="4D6A66CF" w:rsidR="00F74A6F" w:rsidRPr="009537ED" w:rsidRDefault="005A18DC" w:rsidP="00F74A6F">
      <w:pPr>
        <w:rPr>
          <w:lang w:eastAsia="x-none"/>
        </w:rPr>
      </w:pPr>
      <w:hyperlink r:id="rId1238" w:history="1">
        <w:r w:rsidR="00AF7253">
          <w:rPr>
            <w:rStyle w:val="Hyperlink"/>
            <w:lang w:eastAsia="x-none"/>
          </w:rPr>
          <w:t>R1-2311168</w:t>
        </w:r>
      </w:hyperlink>
      <w:r w:rsidR="00F74A6F" w:rsidRPr="009537ED">
        <w:rPr>
          <w:lang w:eastAsia="x-none"/>
        </w:rPr>
        <w:tab/>
        <w:t>Remaining issues on positioning for RedCap UEs</w:t>
      </w:r>
      <w:r w:rsidR="00F74A6F" w:rsidRPr="009537ED">
        <w:rPr>
          <w:lang w:eastAsia="x-none"/>
        </w:rPr>
        <w:tab/>
        <w:t>Spreadtrum Communications</w:t>
      </w:r>
    </w:p>
    <w:p w14:paraId="0D1E09D2" w14:textId="47EC4D9C" w:rsidR="00F74A6F" w:rsidRPr="009537ED" w:rsidRDefault="005A18DC" w:rsidP="00F74A6F">
      <w:pPr>
        <w:rPr>
          <w:lang w:eastAsia="x-none"/>
        </w:rPr>
      </w:pPr>
      <w:hyperlink r:id="rId1239" w:history="1">
        <w:r w:rsidR="00AF7253">
          <w:rPr>
            <w:rStyle w:val="Hyperlink"/>
            <w:lang w:eastAsia="x-none"/>
          </w:rPr>
          <w:t>R1-2311227</w:t>
        </w:r>
      </w:hyperlink>
      <w:r w:rsidR="00F74A6F" w:rsidRPr="009537ED">
        <w:rPr>
          <w:lang w:eastAsia="x-none"/>
        </w:rPr>
        <w:tab/>
        <w:t>Remaining issues of positioning for RedCap UEs</w:t>
      </w:r>
      <w:r w:rsidR="00F74A6F" w:rsidRPr="009537ED">
        <w:rPr>
          <w:lang w:eastAsia="x-none"/>
        </w:rPr>
        <w:tab/>
        <w:t>OPPO</w:t>
      </w:r>
    </w:p>
    <w:p w14:paraId="546B8080" w14:textId="79B33537" w:rsidR="00F74A6F" w:rsidRPr="009537ED" w:rsidRDefault="005A18DC" w:rsidP="00F74A6F">
      <w:pPr>
        <w:rPr>
          <w:lang w:eastAsia="x-none"/>
        </w:rPr>
      </w:pPr>
      <w:hyperlink r:id="rId1240" w:history="1">
        <w:r w:rsidR="00AF7253">
          <w:rPr>
            <w:rStyle w:val="Hyperlink"/>
            <w:lang w:eastAsia="x-none"/>
          </w:rPr>
          <w:t>R1-2311345</w:t>
        </w:r>
      </w:hyperlink>
      <w:r w:rsidR="00F74A6F" w:rsidRPr="009537ED">
        <w:rPr>
          <w:lang w:eastAsia="x-none"/>
        </w:rPr>
        <w:tab/>
        <w:t>Maintenance issues on positioning for RedCap UEs</w:t>
      </w:r>
      <w:r w:rsidR="00F74A6F" w:rsidRPr="009537ED">
        <w:rPr>
          <w:lang w:eastAsia="x-none"/>
        </w:rPr>
        <w:tab/>
        <w:t>CATT</w:t>
      </w:r>
    </w:p>
    <w:p w14:paraId="3B2D85B8" w14:textId="35AF3522" w:rsidR="00F74A6F" w:rsidRPr="009537ED" w:rsidRDefault="005A18DC" w:rsidP="00F74A6F">
      <w:pPr>
        <w:rPr>
          <w:lang w:eastAsia="x-none"/>
        </w:rPr>
      </w:pPr>
      <w:hyperlink r:id="rId1241" w:history="1">
        <w:r w:rsidR="00AF7253">
          <w:rPr>
            <w:rStyle w:val="Hyperlink"/>
            <w:lang w:eastAsia="x-none"/>
          </w:rPr>
          <w:t>R1-2311418</w:t>
        </w:r>
      </w:hyperlink>
      <w:r w:rsidR="00F74A6F" w:rsidRPr="009537ED">
        <w:rPr>
          <w:lang w:eastAsia="x-none"/>
        </w:rPr>
        <w:tab/>
        <w:t>Remaining issues on positioning for RedCap UEs</w:t>
      </w:r>
      <w:r w:rsidR="00F74A6F" w:rsidRPr="009537ED">
        <w:rPr>
          <w:lang w:eastAsia="x-none"/>
        </w:rPr>
        <w:tab/>
        <w:t>NEC</w:t>
      </w:r>
    </w:p>
    <w:p w14:paraId="5C6FA7CD" w14:textId="1E6FE1B7" w:rsidR="00F74A6F" w:rsidRPr="009537ED" w:rsidRDefault="005A18DC" w:rsidP="00F74A6F">
      <w:pPr>
        <w:rPr>
          <w:lang w:eastAsia="x-none"/>
        </w:rPr>
      </w:pPr>
      <w:hyperlink r:id="rId1242" w:history="1">
        <w:r w:rsidR="00AF7253">
          <w:rPr>
            <w:rStyle w:val="Hyperlink"/>
            <w:lang w:eastAsia="x-none"/>
          </w:rPr>
          <w:t>R1-2311462</w:t>
        </w:r>
      </w:hyperlink>
      <w:r w:rsidR="00F74A6F" w:rsidRPr="009537ED">
        <w:rPr>
          <w:lang w:eastAsia="x-none"/>
        </w:rPr>
        <w:tab/>
        <w:t>Maintenance on Positioning for RedCap UEs</w:t>
      </w:r>
      <w:r w:rsidR="00F74A6F" w:rsidRPr="009537ED">
        <w:rPr>
          <w:lang w:eastAsia="x-none"/>
        </w:rPr>
        <w:tab/>
        <w:t>ZTE</w:t>
      </w:r>
    </w:p>
    <w:p w14:paraId="42855A02" w14:textId="52010B22" w:rsidR="00F74A6F" w:rsidRPr="009537ED" w:rsidRDefault="005A18DC" w:rsidP="00F74A6F">
      <w:pPr>
        <w:rPr>
          <w:lang w:eastAsia="x-none"/>
        </w:rPr>
      </w:pPr>
      <w:hyperlink r:id="rId1243" w:history="1">
        <w:r w:rsidR="00AF7253">
          <w:rPr>
            <w:rStyle w:val="Hyperlink"/>
            <w:lang w:eastAsia="x-none"/>
          </w:rPr>
          <w:t>R1-2311485</w:t>
        </w:r>
      </w:hyperlink>
      <w:r w:rsidR="00F74A6F" w:rsidRPr="009537ED">
        <w:rPr>
          <w:lang w:eastAsia="x-none"/>
        </w:rPr>
        <w:tab/>
        <w:t>Maintenance on RedCap UE positioning</w:t>
      </w:r>
      <w:r w:rsidR="00F74A6F" w:rsidRPr="009537ED">
        <w:rPr>
          <w:lang w:eastAsia="x-none"/>
        </w:rPr>
        <w:tab/>
        <w:t>CMCC</w:t>
      </w:r>
    </w:p>
    <w:p w14:paraId="10DAE635" w14:textId="2D613710" w:rsidR="00F74A6F" w:rsidRPr="009537ED" w:rsidRDefault="005A18DC" w:rsidP="00F74A6F">
      <w:pPr>
        <w:rPr>
          <w:lang w:eastAsia="x-none"/>
        </w:rPr>
      </w:pPr>
      <w:hyperlink r:id="rId1244" w:history="1">
        <w:r w:rsidR="00AF7253">
          <w:rPr>
            <w:rStyle w:val="Hyperlink"/>
            <w:lang w:eastAsia="x-none"/>
          </w:rPr>
          <w:t>R1-2311601</w:t>
        </w:r>
      </w:hyperlink>
      <w:r w:rsidR="00F74A6F" w:rsidRPr="009537ED">
        <w:rPr>
          <w:lang w:eastAsia="x-none"/>
        </w:rPr>
        <w:tab/>
        <w:t>Remaining issues on positioning for RedCap UEs</w:t>
      </w:r>
      <w:r w:rsidR="00F74A6F" w:rsidRPr="009537ED">
        <w:rPr>
          <w:lang w:eastAsia="x-none"/>
        </w:rPr>
        <w:tab/>
        <w:t>InterDigital, Inc.</w:t>
      </w:r>
    </w:p>
    <w:p w14:paraId="38BE2CD0" w14:textId="1E868A1B" w:rsidR="00F74A6F" w:rsidRPr="009537ED" w:rsidRDefault="005A18DC" w:rsidP="00F74A6F">
      <w:pPr>
        <w:rPr>
          <w:lang w:eastAsia="x-none"/>
        </w:rPr>
      </w:pPr>
      <w:hyperlink r:id="rId1245" w:history="1">
        <w:r w:rsidR="00AF7253">
          <w:rPr>
            <w:rStyle w:val="Hyperlink"/>
            <w:lang w:eastAsia="x-none"/>
          </w:rPr>
          <w:t>R1-2311625</w:t>
        </w:r>
      </w:hyperlink>
      <w:r w:rsidR="00F74A6F" w:rsidRPr="009537ED">
        <w:rPr>
          <w:lang w:eastAsia="x-none"/>
        </w:rPr>
        <w:tab/>
        <w:t>Remaining issues on positioning for RedCap UEs</w:t>
      </w:r>
      <w:r w:rsidR="00F74A6F" w:rsidRPr="009537ED">
        <w:rPr>
          <w:lang w:eastAsia="x-none"/>
        </w:rPr>
        <w:tab/>
        <w:t>NTT DOCOMO, INC.</w:t>
      </w:r>
    </w:p>
    <w:p w14:paraId="72C9EBD2" w14:textId="5B5E4010" w:rsidR="00F74A6F" w:rsidRPr="009537ED" w:rsidRDefault="005A18DC" w:rsidP="00F74A6F">
      <w:pPr>
        <w:rPr>
          <w:lang w:eastAsia="x-none"/>
        </w:rPr>
      </w:pPr>
      <w:hyperlink r:id="rId1246" w:history="1">
        <w:r w:rsidR="00AF7253">
          <w:rPr>
            <w:rStyle w:val="Hyperlink"/>
            <w:lang w:eastAsia="x-none"/>
          </w:rPr>
          <w:t>R1-2311687</w:t>
        </w:r>
      </w:hyperlink>
      <w:r w:rsidR="00F74A6F" w:rsidRPr="009537ED">
        <w:rPr>
          <w:lang w:eastAsia="x-none"/>
        </w:rPr>
        <w:tab/>
        <w:t>Remaining Issues On Positioning for RedCap UEs</w:t>
      </w:r>
      <w:r w:rsidR="00F74A6F" w:rsidRPr="009537ED">
        <w:rPr>
          <w:lang w:eastAsia="x-none"/>
        </w:rPr>
        <w:tab/>
        <w:t>Apple</w:t>
      </w:r>
    </w:p>
    <w:p w14:paraId="4768C356" w14:textId="63168004" w:rsidR="00F74A6F" w:rsidRPr="009537ED" w:rsidRDefault="005A18DC" w:rsidP="00F74A6F">
      <w:pPr>
        <w:rPr>
          <w:lang w:eastAsia="x-none"/>
        </w:rPr>
      </w:pPr>
      <w:hyperlink r:id="rId1247" w:history="1">
        <w:r w:rsidR="00AF7253">
          <w:rPr>
            <w:rStyle w:val="Hyperlink"/>
            <w:lang w:eastAsia="x-none"/>
          </w:rPr>
          <w:t>R1-2311847</w:t>
        </w:r>
      </w:hyperlink>
      <w:r w:rsidR="00F74A6F" w:rsidRPr="009537ED">
        <w:rPr>
          <w:lang w:eastAsia="x-none"/>
        </w:rPr>
        <w:tab/>
        <w:t>Maintenance on Positioning for RedCap UEs</w:t>
      </w:r>
      <w:r w:rsidR="00F74A6F" w:rsidRPr="009537ED">
        <w:rPr>
          <w:lang w:eastAsia="x-none"/>
        </w:rPr>
        <w:tab/>
        <w:t>Samsung</w:t>
      </w:r>
    </w:p>
    <w:p w14:paraId="191A9163" w14:textId="47F42560" w:rsidR="00F74A6F" w:rsidRPr="009537ED" w:rsidRDefault="005A18DC" w:rsidP="00F74A6F">
      <w:pPr>
        <w:rPr>
          <w:lang w:eastAsia="x-none"/>
        </w:rPr>
      </w:pPr>
      <w:hyperlink r:id="rId1248" w:history="1">
        <w:r w:rsidR="00AF7253">
          <w:rPr>
            <w:rStyle w:val="Hyperlink"/>
            <w:lang w:eastAsia="x-none"/>
          </w:rPr>
          <w:t>R1-2311913</w:t>
        </w:r>
      </w:hyperlink>
      <w:r w:rsidR="00F74A6F" w:rsidRPr="009537ED">
        <w:rPr>
          <w:lang w:eastAsia="x-none"/>
        </w:rPr>
        <w:tab/>
        <w:t>Remaining issues on positioning support for RedCap UEs</w:t>
      </w:r>
      <w:r w:rsidR="00F74A6F" w:rsidRPr="009537ED">
        <w:rPr>
          <w:lang w:eastAsia="x-none"/>
        </w:rPr>
        <w:tab/>
        <w:t>LG Electronics</w:t>
      </w:r>
    </w:p>
    <w:p w14:paraId="2B483FF5" w14:textId="3282567A" w:rsidR="00F74A6F" w:rsidRPr="009537ED" w:rsidRDefault="005A18DC" w:rsidP="00F74A6F">
      <w:pPr>
        <w:rPr>
          <w:lang w:eastAsia="x-none"/>
        </w:rPr>
      </w:pPr>
      <w:hyperlink r:id="rId1249" w:history="1">
        <w:r w:rsidR="00AF7253">
          <w:rPr>
            <w:rStyle w:val="Hyperlink"/>
            <w:lang w:eastAsia="x-none"/>
          </w:rPr>
          <w:t>R1-2312039</w:t>
        </w:r>
      </w:hyperlink>
      <w:r w:rsidR="00F74A6F" w:rsidRPr="009537ED">
        <w:rPr>
          <w:lang w:eastAsia="x-none"/>
        </w:rPr>
        <w:tab/>
        <w:t>Maintenance for Positioning for Reduced Capabilities UEs</w:t>
      </w:r>
      <w:r w:rsidR="00F74A6F" w:rsidRPr="009537ED">
        <w:rPr>
          <w:lang w:eastAsia="x-none"/>
        </w:rPr>
        <w:tab/>
        <w:t>Qualcomm Incorporated</w:t>
      </w:r>
    </w:p>
    <w:p w14:paraId="0DCA6E4D" w14:textId="19D1B9D9" w:rsidR="00F74A6F" w:rsidRPr="009537ED" w:rsidRDefault="005A18DC" w:rsidP="00F74A6F">
      <w:pPr>
        <w:rPr>
          <w:lang w:eastAsia="x-none"/>
        </w:rPr>
      </w:pPr>
      <w:hyperlink r:id="rId1250" w:history="1">
        <w:r w:rsidR="00AF7253">
          <w:rPr>
            <w:rStyle w:val="Hyperlink"/>
            <w:lang w:eastAsia="x-none"/>
          </w:rPr>
          <w:t>R1-2312094</w:t>
        </w:r>
      </w:hyperlink>
      <w:r w:rsidR="00F74A6F" w:rsidRPr="009537ED">
        <w:rPr>
          <w:lang w:eastAsia="x-none"/>
        </w:rPr>
        <w:tab/>
        <w:t>Maintenance for RedCap UE for positioning</w:t>
      </w:r>
      <w:r w:rsidR="00F74A6F" w:rsidRPr="009537ED">
        <w:rPr>
          <w:lang w:eastAsia="x-none"/>
        </w:rPr>
        <w:tab/>
        <w:t>MediaTek Korea Inc.</w:t>
      </w:r>
    </w:p>
    <w:p w14:paraId="29F640B6" w14:textId="7994F92D" w:rsidR="00F74A6F" w:rsidRPr="009537ED" w:rsidRDefault="005A18DC" w:rsidP="00F74A6F">
      <w:pPr>
        <w:rPr>
          <w:lang w:eastAsia="x-none"/>
        </w:rPr>
      </w:pPr>
      <w:hyperlink r:id="rId1251" w:history="1">
        <w:r w:rsidR="00AF7253">
          <w:rPr>
            <w:rStyle w:val="Hyperlink"/>
            <w:lang w:eastAsia="x-none"/>
          </w:rPr>
          <w:t>R1-2312191</w:t>
        </w:r>
      </w:hyperlink>
      <w:r w:rsidR="00F74A6F" w:rsidRPr="009537ED">
        <w:rPr>
          <w:lang w:eastAsia="x-none"/>
        </w:rPr>
        <w:tab/>
        <w:t>Remaining issues on positioning for RedCap Ues</w:t>
      </w:r>
      <w:r w:rsidR="00F74A6F" w:rsidRPr="009537ED">
        <w:rPr>
          <w:lang w:eastAsia="x-none"/>
        </w:rPr>
        <w:tab/>
        <w:t>Ericsson</w:t>
      </w:r>
    </w:p>
    <w:p w14:paraId="41D7E08A" w14:textId="77777777" w:rsidR="00C11A96" w:rsidRPr="009537ED" w:rsidRDefault="00C11A96" w:rsidP="00F74A6F">
      <w:pPr>
        <w:rPr>
          <w:lang w:eastAsia="x-none"/>
        </w:rPr>
      </w:pPr>
    </w:p>
    <w:p w14:paraId="6A040805" w14:textId="7C4447BD" w:rsidR="00C11A96" w:rsidRPr="009537ED" w:rsidRDefault="005A18DC" w:rsidP="00C11A96">
      <w:hyperlink r:id="rId1252" w:history="1">
        <w:r w:rsidR="00AF7253">
          <w:rPr>
            <w:rStyle w:val="Hyperlink"/>
          </w:rPr>
          <w:t>R1-2312342</w:t>
        </w:r>
      </w:hyperlink>
      <w:r w:rsidR="00C11A96" w:rsidRPr="009537ED">
        <w:tab/>
        <w:t>Feature Lead summary #1 for Positioning for RedCap UEs</w:t>
      </w:r>
      <w:r w:rsidR="00C11A96" w:rsidRPr="009537ED">
        <w:tab/>
        <w:t>Moderator (Ericsson)</w:t>
      </w:r>
    </w:p>
    <w:p w14:paraId="37B4AA1E" w14:textId="1BC45174" w:rsidR="00C11A96" w:rsidRPr="006255C6" w:rsidRDefault="005A18DC" w:rsidP="00C11A96">
      <w:pPr>
        <w:rPr>
          <w:b/>
          <w:bCs/>
        </w:rPr>
      </w:pPr>
      <w:hyperlink r:id="rId1253" w:history="1">
        <w:r w:rsidR="00AF7253">
          <w:rPr>
            <w:rStyle w:val="Hyperlink"/>
            <w:b/>
            <w:bCs/>
          </w:rPr>
          <w:t>R1-2312343</w:t>
        </w:r>
      </w:hyperlink>
      <w:r w:rsidR="00C11A96" w:rsidRPr="006255C6">
        <w:rPr>
          <w:b/>
          <w:bCs/>
        </w:rPr>
        <w:tab/>
        <w:t>Feature Lead summary #2 for Positioning for RedCap UEs</w:t>
      </w:r>
      <w:r w:rsidR="00C11A96" w:rsidRPr="006255C6">
        <w:rPr>
          <w:b/>
          <w:bCs/>
        </w:rPr>
        <w:tab/>
        <w:t>Moderator (Ericsson)</w:t>
      </w:r>
    </w:p>
    <w:p w14:paraId="0859D599" w14:textId="13EE878C" w:rsidR="006255C6" w:rsidRDefault="006255C6" w:rsidP="00C11A96">
      <w:r>
        <w:t>From Tuesday session</w:t>
      </w:r>
    </w:p>
    <w:p w14:paraId="567BAE3F" w14:textId="77777777" w:rsidR="006255C6" w:rsidRPr="006255C6" w:rsidRDefault="006255C6" w:rsidP="006255C6">
      <w:pPr>
        <w:rPr>
          <w:rFonts w:ascii="Times New Roman" w:hAnsi="Times New Roman"/>
          <w:szCs w:val="20"/>
        </w:rPr>
      </w:pPr>
      <w:r w:rsidRPr="006255C6">
        <w:rPr>
          <w:rFonts w:ascii="Times New Roman" w:hAnsi="Times New Roman"/>
          <w:szCs w:val="20"/>
          <w:highlight w:val="green"/>
        </w:rPr>
        <w:t>Agreement</w:t>
      </w:r>
    </w:p>
    <w:p w14:paraId="61D87928" w14:textId="2582018E" w:rsidR="006255C6" w:rsidRPr="006255C6" w:rsidRDefault="006255C6" w:rsidP="006255C6">
      <w:pPr>
        <w:rPr>
          <w:rFonts w:ascii="Times New Roman" w:hAnsi="Times New Roman"/>
          <w:szCs w:val="20"/>
        </w:rPr>
      </w:pPr>
      <w:r w:rsidRPr="006255C6">
        <w:rPr>
          <w:rFonts w:ascii="Times New Roman" w:hAnsi="Times New Roman"/>
          <w:szCs w:val="20"/>
        </w:rPr>
        <w:t xml:space="preserve">Endorse the TP 2.4-1 in section 2.5.1 of </w:t>
      </w:r>
      <w:hyperlink r:id="rId1254" w:history="1">
        <w:r w:rsidR="00AF7253">
          <w:rPr>
            <w:rStyle w:val="Hyperlink"/>
            <w:rFonts w:ascii="Times New Roman" w:hAnsi="Times New Roman"/>
            <w:szCs w:val="20"/>
          </w:rPr>
          <w:t>R1-2312343</w:t>
        </w:r>
      </w:hyperlink>
      <w:r>
        <w:rPr>
          <w:rFonts w:ascii="Times New Roman" w:hAnsi="Times New Roman"/>
          <w:szCs w:val="20"/>
        </w:rPr>
        <w:t>.</w:t>
      </w:r>
    </w:p>
    <w:p w14:paraId="48ACDE4E" w14:textId="77777777" w:rsidR="006255C6" w:rsidRPr="006255C6" w:rsidRDefault="006255C6" w:rsidP="006255C6">
      <w:pPr>
        <w:rPr>
          <w:rFonts w:ascii="Times New Roman" w:hAnsi="Times New Roman"/>
          <w:szCs w:val="20"/>
        </w:rPr>
      </w:pPr>
    </w:p>
    <w:p w14:paraId="2AD929F5" w14:textId="77777777" w:rsidR="006255C6" w:rsidRPr="006255C6" w:rsidRDefault="006255C6" w:rsidP="006255C6">
      <w:pPr>
        <w:rPr>
          <w:rFonts w:ascii="Times New Roman" w:hAnsi="Times New Roman"/>
          <w:szCs w:val="20"/>
        </w:rPr>
      </w:pPr>
      <w:r w:rsidRPr="006255C6">
        <w:rPr>
          <w:rFonts w:ascii="Times New Roman" w:hAnsi="Times New Roman"/>
          <w:szCs w:val="20"/>
          <w:highlight w:val="green"/>
        </w:rPr>
        <w:t>Agreement</w:t>
      </w:r>
    </w:p>
    <w:p w14:paraId="682B6AC0" w14:textId="0138138D" w:rsidR="006255C6" w:rsidRPr="006255C6" w:rsidRDefault="006255C6" w:rsidP="006255C6">
      <w:pPr>
        <w:rPr>
          <w:rFonts w:ascii="Times New Roman" w:hAnsi="Times New Roman"/>
          <w:szCs w:val="20"/>
        </w:rPr>
      </w:pPr>
      <w:r w:rsidRPr="006255C6">
        <w:rPr>
          <w:rFonts w:ascii="Times New Roman" w:hAnsi="Times New Roman"/>
          <w:szCs w:val="20"/>
        </w:rPr>
        <w:t xml:space="preserve">Endorse the TP 2.6-1 in section 2.7.1 of </w:t>
      </w:r>
      <w:hyperlink r:id="rId1255" w:history="1">
        <w:r w:rsidR="00AF7253">
          <w:rPr>
            <w:rStyle w:val="Hyperlink"/>
            <w:rFonts w:ascii="Times New Roman" w:hAnsi="Times New Roman"/>
            <w:szCs w:val="20"/>
          </w:rPr>
          <w:t>R1-2312343</w:t>
        </w:r>
      </w:hyperlink>
      <w:r>
        <w:rPr>
          <w:rFonts w:ascii="Times New Roman" w:hAnsi="Times New Roman"/>
          <w:szCs w:val="20"/>
        </w:rPr>
        <w:t>.</w:t>
      </w:r>
    </w:p>
    <w:p w14:paraId="64AB4447" w14:textId="77777777" w:rsidR="006255C6" w:rsidRPr="006255C6" w:rsidRDefault="006255C6" w:rsidP="006255C6">
      <w:pPr>
        <w:rPr>
          <w:rFonts w:ascii="Times New Roman" w:hAnsi="Times New Roman"/>
          <w:szCs w:val="20"/>
        </w:rPr>
      </w:pPr>
    </w:p>
    <w:p w14:paraId="4DD3FFD2" w14:textId="77777777" w:rsidR="006255C6" w:rsidRPr="006255C6" w:rsidRDefault="006255C6" w:rsidP="006255C6">
      <w:pPr>
        <w:rPr>
          <w:rFonts w:ascii="Times New Roman" w:hAnsi="Times New Roman"/>
          <w:szCs w:val="20"/>
        </w:rPr>
      </w:pPr>
      <w:r w:rsidRPr="006255C6">
        <w:rPr>
          <w:rFonts w:ascii="Times New Roman" w:hAnsi="Times New Roman"/>
          <w:szCs w:val="20"/>
          <w:highlight w:val="green"/>
        </w:rPr>
        <w:t>Agreement</w:t>
      </w:r>
    </w:p>
    <w:p w14:paraId="5909F37A" w14:textId="77777777" w:rsidR="006255C6" w:rsidRPr="006255C6" w:rsidRDefault="006255C6" w:rsidP="006255C6">
      <w:pPr>
        <w:rPr>
          <w:rFonts w:ascii="Times New Roman" w:hAnsi="Times New Roman"/>
          <w:szCs w:val="20"/>
        </w:rPr>
      </w:pPr>
      <w:r w:rsidRPr="006255C6">
        <w:rPr>
          <w:rFonts w:ascii="Times New Roman" w:hAnsi="Times New Roman"/>
          <w:szCs w:val="20"/>
        </w:rPr>
        <w:t>For the values of the starting slot offset for each of the hops following the first hop in time:</w:t>
      </w:r>
    </w:p>
    <w:p w14:paraId="6DCE8781" w14:textId="77777777" w:rsidR="006255C6" w:rsidRPr="006255C6" w:rsidRDefault="006255C6" w:rsidP="00BC5BE9">
      <w:pPr>
        <w:pStyle w:val="ListParagraph"/>
        <w:numPr>
          <w:ilvl w:val="0"/>
          <w:numId w:val="84"/>
        </w:numPr>
      </w:pPr>
      <w:r w:rsidRPr="006255C6">
        <w:t xml:space="preserve">Alt1: the value range can be {0,1,2…, nrof slot in periodicity </w:t>
      </w:r>
      <w:r w:rsidRPr="006255C6">
        <w:rPr>
          <w:color w:val="FF0000"/>
        </w:rPr>
        <w:t>-1</w:t>
      </w:r>
      <w:r w:rsidRPr="006255C6">
        <w:t>} in slots for the slot offset.</w:t>
      </w:r>
    </w:p>
    <w:p w14:paraId="27314731" w14:textId="77777777" w:rsidR="006255C6" w:rsidRPr="006255C6" w:rsidRDefault="006255C6" w:rsidP="00BC5BE9">
      <w:pPr>
        <w:pStyle w:val="ListParagraph"/>
        <w:numPr>
          <w:ilvl w:val="0"/>
          <w:numId w:val="84"/>
        </w:numPr>
        <w:rPr>
          <w:strike/>
        </w:rPr>
      </w:pPr>
      <w:r w:rsidRPr="006255C6">
        <w:rPr>
          <w:strike/>
        </w:rPr>
        <w:t>Alt2: the slot offset for each hop is relative to the preceding hop with range (0,1,2…,6)</w:t>
      </w:r>
    </w:p>
    <w:p w14:paraId="2884E8DC" w14:textId="77777777" w:rsidR="006255C6" w:rsidRPr="006255C6" w:rsidRDefault="006255C6" w:rsidP="00BC5BE9">
      <w:pPr>
        <w:pStyle w:val="ListParagraph"/>
        <w:numPr>
          <w:ilvl w:val="0"/>
          <w:numId w:val="84"/>
        </w:numPr>
      </w:pPr>
      <w:r w:rsidRPr="006255C6">
        <w:t>The value range slot offset for each hop applies to both the periodic and semi-persistent SRS.</w:t>
      </w:r>
    </w:p>
    <w:p w14:paraId="0DE61365" w14:textId="77777777" w:rsidR="006255C6" w:rsidRPr="00F6756B" w:rsidRDefault="006255C6" w:rsidP="00BC5BE9">
      <w:pPr>
        <w:pStyle w:val="ListParagraph"/>
        <w:numPr>
          <w:ilvl w:val="0"/>
          <w:numId w:val="84"/>
        </w:numPr>
      </w:pPr>
      <w:r w:rsidRPr="00F6756B">
        <w:t>The periodicity in PeriodicityandOffset configured for each hop for a SRS resource with Tx hopping must be the same.</w:t>
      </w:r>
    </w:p>
    <w:p w14:paraId="7A0E9590" w14:textId="77777777" w:rsidR="006255C6" w:rsidRPr="006255C6" w:rsidRDefault="006255C6" w:rsidP="006255C6">
      <w:pPr>
        <w:rPr>
          <w:rFonts w:ascii="Times New Roman" w:hAnsi="Times New Roman"/>
          <w:szCs w:val="20"/>
        </w:rPr>
      </w:pPr>
      <w:r w:rsidRPr="006255C6">
        <w:rPr>
          <w:rFonts w:ascii="Times New Roman" w:hAnsi="Times New Roman"/>
          <w:szCs w:val="20"/>
          <w:highlight w:val="green"/>
        </w:rPr>
        <w:t>Agreement</w:t>
      </w:r>
    </w:p>
    <w:p w14:paraId="1C8CB60B" w14:textId="77777777" w:rsidR="006255C6" w:rsidRPr="006255C6" w:rsidRDefault="006255C6" w:rsidP="006255C6">
      <w:pPr>
        <w:rPr>
          <w:rFonts w:ascii="Times New Roman" w:hAnsi="Times New Roman"/>
          <w:szCs w:val="20"/>
        </w:rPr>
      </w:pPr>
      <w:r w:rsidRPr="006255C6">
        <w:rPr>
          <w:rFonts w:ascii="Times New Roman" w:hAnsi="Times New Roman"/>
          <w:szCs w:val="20"/>
        </w:rPr>
        <w:t xml:space="preserve">The configuration of SRS for positioning with Tx hopping including SCS, CP size and reference point for bandwidth determination is common to all configured SRS for positioning with Tx hopping resource(s). </w:t>
      </w:r>
    </w:p>
    <w:p w14:paraId="5D3079DE" w14:textId="77777777" w:rsidR="006255C6" w:rsidRPr="006255C6" w:rsidRDefault="006255C6" w:rsidP="00AA1D48">
      <w:pPr>
        <w:pStyle w:val="ListParagraph"/>
        <w:numPr>
          <w:ilvl w:val="0"/>
          <w:numId w:val="138"/>
        </w:numPr>
      </w:pPr>
      <w:r w:rsidRPr="006255C6">
        <w:t>The configuration for positioning SRS with frequency hopping is outside any data BWP configuration.</w:t>
      </w:r>
    </w:p>
    <w:p w14:paraId="6E8A5C02" w14:textId="77777777" w:rsidR="006255C6" w:rsidRPr="006255C6" w:rsidRDefault="006255C6" w:rsidP="00C11A96"/>
    <w:p w14:paraId="28EF15DE" w14:textId="28BF9231" w:rsidR="00C11A96" w:rsidRPr="00391840" w:rsidRDefault="005A18DC" w:rsidP="00C11A96">
      <w:pPr>
        <w:rPr>
          <w:b/>
          <w:bCs/>
        </w:rPr>
      </w:pPr>
      <w:hyperlink r:id="rId1256" w:history="1">
        <w:r w:rsidR="00AF7253">
          <w:rPr>
            <w:rStyle w:val="Hyperlink"/>
            <w:b/>
            <w:bCs/>
          </w:rPr>
          <w:t>R1-2312344</w:t>
        </w:r>
      </w:hyperlink>
      <w:r w:rsidR="00C11A96" w:rsidRPr="00391840">
        <w:rPr>
          <w:b/>
          <w:bCs/>
        </w:rPr>
        <w:tab/>
        <w:t>Feature Lead summary #3 for Positioning for RedCap UEs</w:t>
      </w:r>
      <w:r w:rsidR="00C11A96" w:rsidRPr="00391840">
        <w:rPr>
          <w:b/>
          <w:bCs/>
        </w:rPr>
        <w:tab/>
        <w:t>Moderator (Ericsson)</w:t>
      </w:r>
    </w:p>
    <w:p w14:paraId="3ED4FF3D" w14:textId="1B5D2F67" w:rsidR="00391840" w:rsidRDefault="00391840" w:rsidP="00C11A96">
      <w:r>
        <w:t>From Wednesday session</w:t>
      </w:r>
    </w:p>
    <w:p w14:paraId="767B45D2" w14:textId="77777777" w:rsidR="00391840" w:rsidRPr="00391840" w:rsidRDefault="00391840" w:rsidP="00391840">
      <w:pPr>
        <w:rPr>
          <w:rFonts w:cs="Times"/>
          <w:szCs w:val="20"/>
          <w:lang w:eastAsia="ja-JP"/>
        </w:rPr>
      </w:pPr>
      <w:r w:rsidRPr="00391840">
        <w:rPr>
          <w:rFonts w:cs="Times"/>
          <w:szCs w:val="20"/>
          <w:highlight w:val="green"/>
          <w:lang w:eastAsia="ja-JP"/>
        </w:rPr>
        <w:lastRenderedPageBreak/>
        <w:t>Agreement</w:t>
      </w:r>
    </w:p>
    <w:p w14:paraId="723272C9" w14:textId="77777777" w:rsidR="00391840" w:rsidRPr="00391840" w:rsidRDefault="00391840" w:rsidP="00391840">
      <w:pPr>
        <w:rPr>
          <w:rFonts w:cs="Times"/>
          <w:szCs w:val="20"/>
          <w:lang w:eastAsia="ja-JP"/>
        </w:rPr>
      </w:pPr>
      <w:r w:rsidRPr="00391840">
        <w:rPr>
          <w:rFonts w:cs="Times"/>
          <w:szCs w:val="20"/>
          <w:lang w:eastAsia="ja-JP"/>
        </w:rPr>
        <w:t>For measurements based on DL PRS with Rx frequency hopping or UL SRS with Tx hopping:</w:t>
      </w:r>
    </w:p>
    <w:p w14:paraId="146A7FA2" w14:textId="77777777" w:rsidR="00391840" w:rsidRPr="00391840" w:rsidRDefault="00391840" w:rsidP="00AA1D48">
      <w:pPr>
        <w:pStyle w:val="ListParagraph"/>
        <w:numPr>
          <w:ilvl w:val="0"/>
          <w:numId w:val="138"/>
        </w:numPr>
        <w:rPr>
          <w:rFonts w:cs="Times"/>
        </w:rPr>
      </w:pPr>
      <w:r w:rsidRPr="00391840">
        <w:rPr>
          <w:rFonts w:cs="Times"/>
        </w:rPr>
        <w:t>UE/gNB can report either a single-hop or multi-hops measurement.</w:t>
      </w:r>
    </w:p>
    <w:p w14:paraId="54AF3202" w14:textId="77777777" w:rsidR="00391840" w:rsidRPr="00391840" w:rsidRDefault="00391840" w:rsidP="00AA1D48">
      <w:pPr>
        <w:pStyle w:val="ListParagraph"/>
        <w:numPr>
          <w:ilvl w:val="0"/>
          <w:numId w:val="138"/>
        </w:numPr>
        <w:rPr>
          <w:rFonts w:cs="Times"/>
        </w:rPr>
      </w:pPr>
      <w:r w:rsidRPr="00391840">
        <w:rPr>
          <w:rFonts w:cs="Times"/>
        </w:rPr>
        <w:t>Indication of which of a single-hop or multi-hops measurement is optionally reported.</w:t>
      </w:r>
    </w:p>
    <w:p w14:paraId="601E4D7E" w14:textId="77777777" w:rsidR="00391840" w:rsidRPr="00391840" w:rsidRDefault="00391840" w:rsidP="00AA1D48">
      <w:pPr>
        <w:pStyle w:val="ListParagraph"/>
        <w:numPr>
          <w:ilvl w:val="1"/>
          <w:numId w:val="138"/>
        </w:numPr>
        <w:rPr>
          <w:rFonts w:cs="Times"/>
        </w:rPr>
      </w:pPr>
      <w:r w:rsidRPr="00391840">
        <w:rPr>
          <w:rFonts w:cs="Times"/>
        </w:rPr>
        <w:t>Note: mapping of the indicator to performance requirement(s), or impact to performance requirement(s), is up to RAN4</w:t>
      </w:r>
    </w:p>
    <w:p w14:paraId="7704E634" w14:textId="77777777" w:rsidR="00391840" w:rsidRPr="00391840" w:rsidRDefault="00391840" w:rsidP="00391840">
      <w:pPr>
        <w:rPr>
          <w:rFonts w:cs="Times"/>
          <w:szCs w:val="20"/>
          <w:highlight w:val="green"/>
        </w:rPr>
      </w:pPr>
      <w:r w:rsidRPr="00391840">
        <w:rPr>
          <w:rFonts w:cs="Times"/>
          <w:szCs w:val="20"/>
          <w:highlight w:val="green"/>
        </w:rPr>
        <w:t>Agreement</w:t>
      </w:r>
    </w:p>
    <w:p w14:paraId="12003E1F" w14:textId="77777777" w:rsidR="00391840" w:rsidRPr="00391840" w:rsidRDefault="00391840" w:rsidP="00391840">
      <w:pPr>
        <w:rPr>
          <w:rFonts w:cs="Times"/>
          <w:szCs w:val="20"/>
        </w:rPr>
      </w:pPr>
      <w:r w:rsidRPr="00391840">
        <w:rPr>
          <w:rFonts w:cs="Times"/>
          <w:szCs w:val="20"/>
        </w:rPr>
        <w:t>For SRS for positioning with Tx hopping n_0 is the initial frequency hop index defined as n_0=floor(n_FirstHop^RB/(m_hop^SRS-m_overlap^hop))</w:t>
      </w:r>
    </w:p>
    <w:p w14:paraId="2E5BEE06" w14:textId="77777777" w:rsidR="00391840" w:rsidRPr="00391840" w:rsidRDefault="00391840" w:rsidP="00A67145">
      <w:pPr>
        <w:pStyle w:val="ListParagraph"/>
        <w:numPr>
          <w:ilvl w:val="0"/>
          <w:numId w:val="166"/>
        </w:numPr>
        <w:tabs>
          <w:tab w:val="left" w:pos="720"/>
        </w:tabs>
        <w:spacing w:after="0"/>
        <w:ind w:left="714" w:hanging="357"/>
        <w:rPr>
          <w:rFonts w:cs="Times"/>
        </w:rPr>
      </w:pPr>
      <w:r w:rsidRPr="00391840">
        <w:rPr>
          <w:rFonts w:cs="Times"/>
        </w:rPr>
        <w:t>No new parameter is defined</w:t>
      </w:r>
    </w:p>
    <w:p w14:paraId="17C72FF4" w14:textId="77777777" w:rsidR="00391840" w:rsidRPr="00391840" w:rsidRDefault="00391840" w:rsidP="00391840">
      <w:pPr>
        <w:rPr>
          <w:rFonts w:cs="Times"/>
          <w:szCs w:val="20"/>
        </w:rPr>
      </w:pPr>
      <w:r w:rsidRPr="00391840">
        <w:rPr>
          <w:rFonts w:cs="Times"/>
          <w:szCs w:val="20"/>
        </w:rPr>
        <w:t>Note: the corresponding working assumption from RAN1#114bis is confirmed with this agreement.</w:t>
      </w:r>
    </w:p>
    <w:p w14:paraId="4F8759F7" w14:textId="77777777" w:rsidR="00391840" w:rsidRPr="00391840" w:rsidRDefault="00391840" w:rsidP="00391840">
      <w:pPr>
        <w:rPr>
          <w:rFonts w:cs="Times"/>
          <w:szCs w:val="20"/>
        </w:rPr>
      </w:pPr>
    </w:p>
    <w:p w14:paraId="3CAF5061" w14:textId="77777777" w:rsidR="00391840" w:rsidRPr="009537ED" w:rsidRDefault="00391840" w:rsidP="00C11A96"/>
    <w:p w14:paraId="7726BEBC" w14:textId="253E2BC3" w:rsidR="00C11A96" w:rsidRPr="00B830FE" w:rsidRDefault="005A18DC" w:rsidP="00C11A96">
      <w:pPr>
        <w:rPr>
          <w:b/>
          <w:bCs/>
        </w:rPr>
      </w:pPr>
      <w:hyperlink r:id="rId1257" w:history="1">
        <w:r w:rsidR="00AF7253">
          <w:rPr>
            <w:rStyle w:val="Hyperlink"/>
            <w:b/>
            <w:bCs/>
          </w:rPr>
          <w:t>R1-2312345</w:t>
        </w:r>
      </w:hyperlink>
      <w:r w:rsidR="00C11A96" w:rsidRPr="00B830FE">
        <w:rPr>
          <w:b/>
          <w:bCs/>
        </w:rPr>
        <w:tab/>
        <w:t>Feature Lead summary #4 for Positioning for RedCap UEs</w:t>
      </w:r>
      <w:r w:rsidR="00C11A96" w:rsidRPr="00B830FE">
        <w:rPr>
          <w:b/>
          <w:bCs/>
        </w:rPr>
        <w:tab/>
        <w:t>Moderator (Ericsson)</w:t>
      </w:r>
    </w:p>
    <w:p w14:paraId="61DA69F4" w14:textId="1A553943" w:rsidR="00B830FE" w:rsidRPr="009537ED" w:rsidRDefault="00B830FE" w:rsidP="00C11A96">
      <w:r>
        <w:t>From Thursday session</w:t>
      </w:r>
    </w:p>
    <w:p w14:paraId="389EE2EE" w14:textId="77777777" w:rsidR="00B830FE" w:rsidRPr="00B830FE" w:rsidRDefault="00B830FE" w:rsidP="00B830FE">
      <w:r w:rsidRPr="00B830FE">
        <w:rPr>
          <w:highlight w:val="green"/>
        </w:rPr>
        <w:t>Agreement</w:t>
      </w:r>
    </w:p>
    <w:p w14:paraId="42749B27" w14:textId="77777777" w:rsidR="00B830FE" w:rsidRPr="00B830FE" w:rsidRDefault="00B830FE" w:rsidP="00B830FE">
      <w:pPr>
        <w:rPr>
          <w:rFonts w:ascii="Times New Roman" w:hAnsi="Times New Roman"/>
          <w:szCs w:val="20"/>
        </w:rPr>
      </w:pPr>
      <w:r w:rsidRPr="00B830FE">
        <w:rPr>
          <w:rFonts w:ascii="Times New Roman" w:hAnsi="Times New Roman"/>
          <w:szCs w:val="20"/>
        </w:rPr>
        <w:t>For aperiodic positioning SRS with frequency hopping, switching time to/from active UL BWP is added in the minimal time interval between the last symbol of PDCCH triggering A-SRS and the first symbol of the triggered SRS in the first hop.</w:t>
      </w:r>
    </w:p>
    <w:p w14:paraId="0E710714" w14:textId="77777777" w:rsidR="00B830FE" w:rsidRPr="00B830FE" w:rsidRDefault="00B830FE" w:rsidP="00B830FE">
      <w:pPr>
        <w:rPr>
          <w:rFonts w:ascii="Times New Roman" w:hAnsi="Times New Roman"/>
          <w:szCs w:val="20"/>
        </w:rPr>
      </w:pPr>
    </w:p>
    <w:p w14:paraId="290CCC62" w14:textId="77777777" w:rsidR="00B830FE" w:rsidRPr="00B830FE" w:rsidRDefault="00B830FE" w:rsidP="00B830FE">
      <w:pPr>
        <w:rPr>
          <w:rFonts w:ascii="Times New Roman" w:hAnsi="Times New Roman"/>
          <w:szCs w:val="20"/>
        </w:rPr>
      </w:pPr>
      <w:r w:rsidRPr="00B830FE">
        <w:rPr>
          <w:rFonts w:ascii="Times New Roman" w:hAnsi="Times New Roman"/>
          <w:szCs w:val="20"/>
          <w:highlight w:val="green"/>
        </w:rPr>
        <w:t>Agreement</w:t>
      </w:r>
    </w:p>
    <w:p w14:paraId="6B09951B" w14:textId="77777777" w:rsidR="00B830FE" w:rsidRPr="00B830FE" w:rsidRDefault="00B830FE" w:rsidP="00B830FE">
      <w:pPr>
        <w:rPr>
          <w:rFonts w:ascii="Times New Roman" w:hAnsi="Times New Roman"/>
          <w:szCs w:val="20"/>
        </w:rPr>
      </w:pPr>
      <w:r w:rsidRPr="00B830FE">
        <w:rPr>
          <w:rFonts w:ascii="Times New Roman" w:hAnsi="Times New Roman"/>
          <w:szCs w:val="20"/>
        </w:rPr>
        <w:t>For the determination of collision between PUSCH or PUCCH and the SRS with tx hopping:</w:t>
      </w:r>
    </w:p>
    <w:p w14:paraId="69AA0DEA" w14:textId="1348D56E" w:rsidR="00B830FE" w:rsidRPr="00B830FE" w:rsidRDefault="00B830FE" w:rsidP="00A67145">
      <w:pPr>
        <w:numPr>
          <w:ilvl w:val="0"/>
          <w:numId w:val="211"/>
        </w:numPr>
        <w:rPr>
          <w:rFonts w:ascii="Times New Roman" w:hAnsi="Times New Roman"/>
          <w:color w:val="000000"/>
          <w:szCs w:val="20"/>
          <w:lang w:eastAsia="x-none"/>
        </w:rPr>
      </w:pPr>
      <w:r w:rsidRPr="00B830FE">
        <w:rPr>
          <w:rFonts w:ascii="Times New Roman" w:hAnsi="Times New Roman"/>
          <w:color w:val="000000"/>
          <w:szCs w:val="20"/>
          <w:lang w:eastAsia="x-none"/>
        </w:rPr>
        <w:t xml:space="preserve">For a transmission of an SRS for positioning symbol with frequency hopping in a hop in symbol </w:t>
      </w:r>
      <m:oMath>
        <m:sSub>
          <m:sSubPr>
            <m:ctrlPr>
              <w:rPr>
                <w:rFonts w:ascii="Cambria Math" w:hAnsi="Cambria Math"/>
                <w:color w:val="000000"/>
                <w:szCs w:val="20"/>
              </w:rPr>
            </m:ctrlPr>
          </m:sSubPr>
          <m:e>
            <m:r>
              <m:rPr>
                <m:sty m:val="p"/>
              </m:rPr>
              <w:rPr>
                <w:rFonts w:ascii="Cambria Math" w:hAnsi="Cambria Math"/>
                <w:color w:val="000000"/>
                <w:szCs w:val="20"/>
              </w:rPr>
              <m:t>N</m:t>
            </m:r>
          </m:e>
          <m:sub>
            <m:sSub>
              <m:sSubPr>
                <m:ctrlPr>
                  <w:rPr>
                    <w:rFonts w:ascii="Cambria Math" w:hAnsi="Cambria Math"/>
                    <w:color w:val="000000"/>
                    <w:szCs w:val="20"/>
                  </w:rPr>
                </m:ctrlPr>
              </m:sSubPr>
              <m:e>
                <m:r>
                  <m:rPr>
                    <m:sty m:val="p"/>
                  </m:rPr>
                  <w:rPr>
                    <w:rFonts w:ascii="Cambria Math" w:hAnsi="Cambria Math"/>
                    <w:color w:val="000000"/>
                    <w:szCs w:val="20"/>
                  </w:rPr>
                  <m:t>c</m:t>
                </m:r>
              </m:e>
              <m:sub>
                <m:r>
                  <m:rPr>
                    <m:sty m:val="p"/>
                  </m:rPr>
                  <w:rPr>
                    <w:rFonts w:ascii="Cambria Math" w:hAnsi="Cambria Math"/>
                    <w:color w:val="000000"/>
                    <w:szCs w:val="20"/>
                  </w:rPr>
                  <m:t>1</m:t>
                </m:r>
              </m:sub>
            </m:sSub>
          </m:sub>
        </m:sSub>
      </m:oMath>
      <w:r w:rsidRPr="00B830FE">
        <w:rPr>
          <w:rFonts w:ascii="Times New Roman" w:hAnsi="Times New Roman"/>
          <w:color w:val="000000"/>
          <w:szCs w:val="20"/>
          <w:lang w:eastAsia="x-none"/>
        </w:rPr>
        <w:t xml:space="preserve"> and a PUSCH or PUCCH transmission</w:t>
      </w:r>
      <m:oMath>
        <m:r>
          <m:rPr>
            <m:sty m:val="p"/>
          </m:rPr>
          <w:rPr>
            <w:rFonts w:ascii="Cambria Math" w:hAnsi="Cambria Math"/>
            <w:szCs w:val="20"/>
          </w:rPr>
          <m:t xml:space="preserve"> </m:t>
        </m:r>
      </m:oMath>
      <w:r w:rsidRPr="00B830FE">
        <w:rPr>
          <w:rFonts w:ascii="Times New Roman" w:hAnsi="Times New Roman"/>
          <w:color w:val="000000"/>
          <w:szCs w:val="20"/>
          <w:lang w:eastAsia="x-none"/>
        </w:rPr>
        <w:t>starting in symbol</w:t>
      </w:r>
      <m:oMath>
        <m:r>
          <m:rPr>
            <m:sty m:val="p"/>
          </m:rPr>
          <w:rPr>
            <w:rFonts w:ascii="Cambria Math" w:hAnsi="Cambria Math"/>
            <w:color w:val="000000"/>
            <w:szCs w:val="20"/>
          </w:rPr>
          <m:t xml:space="preserve"> </m:t>
        </m:r>
        <m:sSub>
          <m:sSubPr>
            <m:ctrlPr>
              <w:rPr>
                <w:rFonts w:ascii="Cambria Math" w:hAnsi="Cambria Math"/>
                <w:color w:val="000000"/>
                <w:szCs w:val="20"/>
              </w:rPr>
            </m:ctrlPr>
          </m:sSubPr>
          <m:e>
            <m:r>
              <m:rPr>
                <m:sty m:val="p"/>
              </m:rPr>
              <w:rPr>
                <w:rFonts w:ascii="Cambria Math" w:hAnsi="Cambria Math"/>
                <w:color w:val="000000"/>
                <w:szCs w:val="20"/>
              </w:rPr>
              <m:t>N</m:t>
            </m:r>
          </m:e>
          <m:sub>
            <m:r>
              <m:rPr>
                <m:sty m:val="p"/>
              </m:rPr>
              <w:rPr>
                <w:rFonts w:ascii="Cambria Math" w:hAnsi="Cambria Math"/>
                <w:color w:val="000000"/>
                <w:szCs w:val="20"/>
              </w:rPr>
              <m:t>S</m:t>
            </m:r>
          </m:sub>
        </m:sSub>
      </m:oMath>
      <w:r w:rsidRPr="00B830FE">
        <w:rPr>
          <w:rFonts w:ascii="Times New Roman" w:hAnsi="Times New Roman"/>
          <w:color w:val="000000"/>
          <w:szCs w:val="20"/>
          <w:lang w:eastAsia="x-none"/>
        </w:rPr>
        <w:t xml:space="preserve">, where </w:t>
      </w:r>
      <m:oMath>
        <m:sSub>
          <m:sSubPr>
            <m:ctrlPr>
              <w:rPr>
                <w:rFonts w:ascii="Cambria Math" w:hAnsi="Cambria Math"/>
                <w:color w:val="000000"/>
                <w:szCs w:val="20"/>
              </w:rPr>
            </m:ctrlPr>
          </m:sSubPr>
          <m:e>
            <m:r>
              <m:rPr>
                <m:sty m:val="p"/>
              </m:rPr>
              <w:rPr>
                <w:rFonts w:ascii="Cambria Math" w:hAnsi="Cambria Math"/>
                <w:color w:val="000000"/>
                <w:szCs w:val="20"/>
              </w:rPr>
              <m:t>T</m:t>
            </m:r>
          </m:e>
          <m:sub>
            <m:r>
              <m:rPr>
                <m:sty m:val="p"/>
              </m:rPr>
              <w:rPr>
                <w:rFonts w:ascii="Cambria Math" w:hAnsi="Cambria Math"/>
                <w:color w:val="000000"/>
                <w:szCs w:val="20"/>
              </w:rPr>
              <m:t>SR</m:t>
            </m:r>
            <m:sSub>
              <m:sSubPr>
                <m:ctrlPr>
                  <w:rPr>
                    <w:rFonts w:ascii="Cambria Math" w:hAnsi="Cambria Math"/>
                    <w:color w:val="000000"/>
                    <w:szCs w:val="20"/>
                  </w:rPr>
                </m:ctrlPr>
              </m:sSubPr>
              <m:e>
                <m:r>
                  <m:rPr>
                    <m:sty m:val="p"/>
                  </m:rPr>
                  <w:rPr>
                    <w:rFonts w:ascii="Cambria Math" w:hAnsi="Cambria Math"/>
                    <w:color w:val="000000"/>
                    <w:szCs w:val="20"/>
                  </w:rPr>
                  <m:t>S</m:t>
                </m:r>
              </m:e>
              <m:sub>
                <m:r>
                  <m:rPr>
                    <m:sty m:val="p"/>
                  </m:rPr>
                  <w:rPr>
                    <w:rFonts w:ascii="Cambria Math" w:hAnsi="Cambria Math"/>
                    <w:color w:val="000000"/>
                    <w:szCs w:val="20"/>
                  </w:rPr>
                  <m:t>h</m:t>
                </m:r>
              </m:sub>
            </m:sSub>
          </m:sub>
        </m:sSub>
      </m:oMath>
      <w:r w:rsidRPr="00B830FE">
        <w:rPr>
          <w:rFonts w:ascii="Times New Roman" w:hAnsi="Times New Roman"/>
          <w:color w:val="000000"/>
          <w:szCs w:val="20"/>
          <w:lang w:eastAsia="x-none"/>
        </w:rPr>
        <w:t xml:space="preserve"> is the switching time to/from the active BWP, the UE shall apply the dropping rules taking into account:</w:t>
      </w:r>
    </w:p>
    <w:p w14:paraId="3BE4B36F" w14:textId="35354E81" w:rsidR="00B830FE" w:rsidRPr="00B830FE" w:rsidRDefault="00B830FE" w:rsidP="00A67145">
      <w:pPr>
        <w:numPr>
          <w:ilvl w:val="1"/>
          <w:numId w:val="211"/>
        </w:numPr>
        <w:contextualSpacing/>
        <w:jc w:val="both"/>
        <w:rPr>
          <w:rFonts w:ascii="Times New Roman" w:hAnsi="Times New Roman"/>
          <w:szCs w:val="20"/>
          <w:lang w:eastAsia="x-none"/>
        </w:rPr>
      </w:pPr>
      <w:r w:rsidRPr="00B830FE">
        <w:rPr>
          <w:rFonts w:ascii="Times New Roman" w:hAnsi="Times New Roman"/>
          <w:szCs w:val="20"/>
          <w:lang w:eastAsia="x-none"/>
        </w:rPr>
        <w:t xml:space="preserve">DCI(s) for which the time interval between the last symbol of PDCCH and the SRS in symbol </w:t>
      </w:r>
      <m:oMath>
        <m:sSub>
          <m:sSubPr>
            <m:ctrlPr>
              <w:rPr>
                <w:rFonts w:ascii="Cambria Math" w:hAnsi="Cambria Math"/>
                <w:color w:val="000000"/>
                <w:szCs w:val="20"/>
              </w:rPr>
            </m:ctrlPr>
          </m:sSubPr>
          <m:e>
            <m:r>
              <m:rPr>
                <m:sty m:val="p"/>
              </m:rPr>
              <w:rPr>
                <w:rFonts w:ascii="Cambria Math" w:hAnsi="Cambria Math"/>
                <w:color w:val="000000"/>
                <w:szCs w:val="20"/>
              </w:rPr>
              <m:t>N</m:t>
            </m:r>
          </m:e>
          <m:sub>
            <m:sSub>
              <m:sSubPr>
                <m:ctrlPr>
                  <w:rPr>
                    <w:rFonts w:ascii="Cambria Math" w:hAnsi="Cambria Math"/>
                    <w:color w:val="000000"/>
                    <w:szCs w:val="20"/>
                  </w:rPr>
                </m:ctrlPr>
              </m:sSubPr>
              <m:e>
                <m:r>
                  <m:rPr>
                    <m:sty m:val="p"/>
                  </m:rPr>
                  <w:rPr>
                    <w:rFonts w:ascii="Cambria Math" w:hAnsi="Cambria Math"/>
                    <w:color w:val="000000"/>
                    <w:szCs w:val="20"/>
                  </w:rPr>
                  <m:t>c</m:t>
                </m:r>
              </m:e>
              <m:sub>
                <m:r>
                  <m:rPr>
                    <m:sty m:val="p"/>
                  </m:rPr>
                  <w:rPr>
                    <w:rFonts w:ascii="Cambria Math" w:hAnsi="Cambria Math"/>
                    <w:color w:val="000000"/>
                    <w:szCs w:val="20"/>
                  </w:rPr>
                  <m:t>1</m:t>
                </m:r>
              </m:sub>
            </m:sSub>
          </m:sub>
        </m:sSub>
      </m:oMath>
      <w:r w:rsidRPr="00B830FE">
        <w:rPr>
          <w:rFonts w:ascii="Times New Roman" w:hAnsi="Times New Roman"/>
          <w:color w:val="000000"/>
          <w:szCs w:val="20"/>
          <w:lang w:eastAsia="x-none"/>
        </w:rPr>
        <w:t xml:space="preserve"> </w:t>
      </w:r>
      <w:r w:rsidRPr="00B830FE">
        <w:rPr>
          <w:rFonts w:ascii="Times New Roman" w:hAnsi="Times New Roman"/>
          <w:szCs w:val="20"/>
          <w:lang w:eastAsia="x-none"/>
        </w:rPr>
        <w:t>is at least (</w:t>
      </w:r>
      <m:oMath>
        <m:sSub>
          <m:sSubPr>
            <m:ctrlPr>
              <w:rPr>
                <w:rFonts w:ascii="Cambria Math" w:hAnsi="Cambria Math"/>
                <w:szCs w:val="20"/>
              </w:rPr>
            </m:ctrlPr>
          </m:sSubPr>
          <m:e>
            <m:r>
              <m:rPr>
                <m:sty m:val="p"/>
              </m:rPr>
              <w:rPr>
                <w:rFonts w:ascii="Cambria Math" w:hAnsi="Cambria Math"/>
                <w:szCs w:val="20"/>
              </w:rPr>
              <m:t>N</m:t>
            </m:r>
          </m:e>
          <m:sub>
            <m:r>
              <m:rPr>
                <m:sty m:val="p"/>
              </m:rPr>
              <w:rPr>
                <w:rFonts w:ascii="Cambria Math" w:hAnsi="Cambria Math"/>
                <w:szCs w:val="20"/>
              </w:rPr>
              <m:t>2</m:t>
            </m:r>
          </m:sub>
        </m:sSub>
      </m:oMath>
      <w:r w:rsidRPr="00B830FE">
        <w:rPr>
          <w:rFonts w:ascii="Times New Roman" w:hAnsi="Times New Roman"/>
          <w:szCs w:val="20"/>
          <w:lang w:eastAsia="x-none"/>
        </w:rPr>
        <w:t xml:space="preserve"> + </w:t>
      </w:r>
      <m:oMath>
        <m:sSub>
          <m:sSubPr>
            <m:ctrlPr>
              <w:rPr>
                <w:rFonts w:ascii="Cambria Math" w:hAnsi="Cambria Math"/>
                <w:szCs w:val="20"/>
              </w:rPr>
            </m:ctrlPr>
          </m:sSubPr>
          <m:e>
            <m:r>
              <m:rPr>
                <m:sty m:val="p"/>
              </m:rPr>
              <w:rPr>
                <w:rFonts w:ascii="Cambria Math" w:hAnsi="Cambria Math"/>
                <w:szCs w:val="20"/>
              </w:rPr>
              <m:t>T</m:t>
            </m:r>
          </m:e>
          <m:sub>
            <m:r>
              <m:rPr>
                <m:sty m:val="p"/>
              </m:rPr>
              <w:rPr>
                <w:rFonts w:ascii="Cambria Math" w:hAnsi="Cambria Math"/>
                <w:szCs w:val="20"/>
              </w:rPr>
              <m:t>SR</m:t>
            </m:r>
            <m:sSub>
              <m:sSubPr>
                <m:ctrlPr>
                  <w:rPr>
                    <w:rFonts w:ascii="Cambria Math" w:hAnsi="Cambria Math"/>
                    <w:szCs w:val="20"/>
                  </w:rPr>
                </m:ctrlPr>
              </m:sSubPr>
              <m:e>
                <m:r>
                  <m:rPr>
                    <m:sty m:val="p"/>
                  </m:rPr>
                  <w:rPr>
                    <w:rFonts w:ascii="Cambria Math" w:hAnsi="Cambria Math"/>
                    <w:szCs w:val="20"/>
                  </w:rPr>
                  <m:t>S</m:t>
                </m:r>
              </m:e>
              <m:sub>
                <m:r>
                  <m:rPr>
                    <m:sty m:val="p"/>
                  </m:rPr>
                  <w:rPr>
                    <w:rFonts w:ascii="Cambria Math" w:hAnsi="Cambria Math"/>
                    <w:szCs w:val="20"/>
                  </w:rPr>
                  <m:t>h</m:t>
                </m:r>
              </m:sub>
            </m:sSub>
          </m:sub>
        </m:sSub>
      </m:oMath>
      <w:r w:rsidRPr="00B830FE">
        <w:rPr>
          <w:rFonts w:ascii="Times New Roman" w:hAnsi="Times New Roman"/>
          <w:szCs w:val="20"/>
          <w:lang w:eastAsia="x-none"/>
        </w:rPr>
        <w:t xml:space="preserve">) symbols  </w:t>
      </w:r>
    </w:p>
    <w:p w14:paraId="4FC4729A" w14:textId="7B620A8A" w:rsidR="00B830FE" w:rsidRPr="00B830FE" w:rsidRDefault="00B830FE" w:rsidP="00A67145">
      <w:pPr>
        <w:numPr>
          <w:ilvl w:val="1"/>
          <w:numId w:val="211"/>
        </w:numPr>
        <w:contextualSpacing/>
        <w:jc w:val="both"/>
        <w:rPr>
          <w:rFonts w:ascii="Times New Roman" w:hAnsi="Times New Roman"/>
          <w:szCs w:val="20"/>
          <w:lang w:eastAsia="x-none"/>
        </w:rPr>
      </w:pPr>
      <w:r w:rsidRPr="00B830FE">
        <w:rPr>
          <w:rFonts w:ascii="Times New Roman" w:hAnsi="Times New Roman"/>
          <w:szCs w:val="20"/>
          <w:lang w:eastAsia="x-none"/>
        </w:rPr>
        <w:t xml:space="preserve">DCI(s) for which the time interval between the last symbol of PDCCH and the colliding PUSCH/PUCCH in symbol </w:t>
      </w:r>
      <m:oMath>
        <m:sSub>
          <m:sSubPr>
            <m:ctrlPr>
              <w:rPr>
                <w:rFonts w:ascii="Cambria Math" w:hAnsi="Cambria Math"/>
                <w:color w:val="000000"/>
                <w:szCs w:val="20"/>
              </w:rPr>
            </m:ctrlPr>
          </m:sSubPr>
          <m:e>
            <m:r>
              <m:rPr>
                <m:sty m:val="p"/>
              </m:rPr>
              <w:rPr>
                <w:rFonts w:ascii="Cambria Math" w:hAnsi="Cambria Math"/>
                <w:color w:val="000000"/>
                <w:szCs w:val="20"/>
              </w:rPr>
              <m:t>N</m:t>
            </m:r>
          </m:e>
          <m:sub>
            <m:r>
              <m:rPr>
                <m:sty m:val="p"/>
              </m:rPr>
              <w:rPr>
                <w:rFonts w:ascii="Cambria Math" w:hAnsi="Cambria Math"/>
                <w:color w:val="000000"/>
                <w:szCs w:val="20"/>
              </w:rPr>
              <m:t>S</m:t>
            </m:r>
          </m:sub>
        </m:sSub>
      </m:oMath>
      <w:r w:rsidRPr="00B830FE">
        <w:rPr>
          <w:rFonts w:ascii="Times New Roman" w:hAnsi="Times New Roman"/>
          <w:szCs w:val="20"/>
          <w:lang w:eastAsia="x-none"/>
        </w:rPr>
        <w:t xml:space="preserve"> is at least N</w:t>
      </w:r>
      <w:r w:rsidRPr="00B830FE">
        <w:rPr>
          <w:rFonts w:ascii="Times New Roman" w:hAnsi="Times New Roman"/>
          <w:szCs w:val="20"/>
          <w:vertAlign w:val="subscript"/>
          <w:lang w:eastAsia="x-none"/>
        </w:rPr>
        <w:t>2</w:t>
      </w:r>
      <w:r w:rsidRPr="00B830FE">
        <w:rPr>
          <w:rFonts w:ascii="Times New Roman" w:hAnsi="Times New Roman"/>
          <w:szCs w:val="20"/>
          <w:lang w:eastAsia="x-none"/>
        </w:rPr>
        <w:t xml:space="preserve"> symbols</w:t>
      </w:r>
    </w:p>
    <w:p w14:paraId="3E6D7083" w14:textId="77777777" w:rsidR="00B830FE" w:rsidRPr="00B830FE" w:rsidRDefault="00B830FE" w:rsidP="00A67145">
      <w:pPr>
        <w:numPr>
          <w:ilvl w:val="2"/>
          <w:numId w:val="211"/>
        </w:numPr>
        <w:contextualSpacing/>
        <w:jc w:val="both"/>
        <w:rPr>
          <w:rFonts w:ascii="Times New Roman" w:hAnsi="Times New Roman"/>
          <w:szCs w:val="20"/>
          <w:lang w:eastAsia="x-none"/>
        </w:rPr>
      </w:pPr>
      <w:r w:rsidRPr="00B830FE">
        <w:rPr>
          <w:rFonts w:ascii="Times New Roman" w:hAnsi="Times New Roman"/>
          <w:szCs w:val="20"/>
          <w:lang w:eastAsia="x-none"/>
        </w:rPr>
        <w:t>Note: as in legacy</w:t>
      </w:r>
    </w:p>
    <w:p w14:paraId="07822105" w14:textId="77777777" w:rsidR="00B830FE" w:rsidRPr="00B830FE" w:rsidRDefault="00B830FE" w:rsidP="00A67145">
      <w:pPr>
        <w:numPr>
          <w:ilvl w:val="1"/>
          <w:numId w:val="211"/>
        </w:numPr>
        <w:contextualSpacing/>
        <w:jc w:val="both"/>
        <w:rPr>
          <w:rFonts w:ascii="Times New Roman" w:hAnsi="Times New Roman"/>
          <w:szCs w:val="20"/>
          <w:lang w:eastAsia="x-none"/>
        </w:rPr>
      </w:pPr>
      <w:r w:rsidRPr="00B830FE">
        <w:rPr>
          <w:rFonts w:ascii="Times New Roman" w:hAnsi="Times New Roman"/>
          <w:szCs w:val="20"/>
          <w:lang w:eastAsia="x-none"/>
        </w:rPr>
        <w:t>For the calculation of N</w:t>
      </w:r>
      <w:r w:rsidRPr="00B830FE">
        <w:rPr>
          <w:rFonts w:ascii="Times New Roman" w:hAnsi="Times New Roman"/>
          <w:szCs w:val="20"/>
          <w:vertAlign w:val="subscript"/>
          <w:lang w:eastAsia="x-none"/>
        </w:rPr>
        <w:t>2</w:t>
      </w:r>
      <w:r w:rsidRPr="00B830FE">
        <w:rPr>
          <w:rFonts w:ascii="Times New Roman" w:hAnsi="Times New Roman"/>
          <w:szCs w:val="20"/>
          <w:lang w:eastAsia="x-none"/>
        </w:rPr>
        <w:t xml:space="preserve">, use the smallest SCS between the SCS configured for the SRS with tx hopping and the SCS of the PUSCH </w:t>
      </w:r>
    </w:p>
    <w:p w14:paraId="26395E9C" w14:textId="77777777" w:rsidR="00B830FE" w:rsidRPr="00B830FE" w:rsidRDefault="00B830FE" w:rsidP="00B830FE">
      <w:pPr>
        <w:rPr>
          <w:rFonts w:ascii="Times New Roman" w:hAnsi="Times New Roman"/>
          <w:szCs w:val="20"/>
        </w:rPr>
      </w:pPr>
    </w:p>
    <w:p w14:paraId="01EF5D71" w14:textId="77777777" w:rsidR="00B830FE" w:rsidRPr="00B830FE" w:rsidRDefault="00B830FE" w:rsidP="00B830FE">
      <w:pPr>
        <w:rPr>
          <w:rFonts w:ascii="Times New Roman" w:hAnsi="Times New Roman"/>
          <w:szCs w:val="20"/>
        </w:rPr>
      </w:pPr>
      <w:r w:rsidRPr="00B830FE">
        <w:rPr>
          <w:rFonts w:ascii="Times New Roman" w:hAnsi="Times New Roman"/>
          <w:szCs w:val="20"/>
          <w:highlight w:val="green"/>
        </w:rPr>
        <w:t>Agreement</w:t>
      </w:r>
    </w:p>
    <w:p w14:paraId="56E07890" w14:textId="77777777" w:rsidR="00B830FE" w:rsidRPr="00B830FE" w:rsidRDefault="00B830FE" w:rsidP="00B830FE">
      <w:pPr>
        <w:rPr>
          <w:rFonts w:ascii="Times New Roman" w:hAnsi="Times New Roman"/>
          <w:szCs w:val="20"/>
        </w:rPr>
      </w:pPr>
      <w:r w:rsidRPr="00B830FE">
        <w:rPr>
          <w:rFonts w:ascii="Times New Roman" w:hAnsi="Times New Roman"/>
          <w:szCs w:val="20"/>
        </w:rPr>
        <w:t xml:space="preserve">The UE is expected to switch back to the active BWP when the time between two consecutive hops exceeds twice the switching time to/from the BWP. </w:t>
      </w:r>
    </w:p>
    <w:p w14:paraId="7C7E1536" w14:textId="5B6807A1" w:rsidR="00B830FE" w:rsidRPr="00B830FE" w:rsidRDefault="00B830FE" w:rsidP="00A67145">
      <w:pPr>
        <w:pStyle w:val="ListParagraph"/>
        <w:numPr>
          <w:ilvl w:val="0"/>
          <w:numId w:val="211"/>
        </w:numPr>
      </w:pPr>
      <w:r w:rsidRPr="00B830FE">
        <w:t xml:space="preserve">Note: this is applicable when UTW is configured or not configured. </w:t>
      </w:r>
    </w:p>
    <w:p w14:paraId="1226C8F8" w14:textId="77777777" w:rsidR="00B830FE" w:rsidRPr="00B830FE" w:rsidRDefault="00B830FE" w:rsidP="00B830FE">
      <w:pPr>
        <w:rPr>
          <w:rFonts w:ascii="Times New Roman" w:hAnsi="Times New Roman"/>
          <w:szCs w:val="20"/>
          <w:u w:val="single"/>
        </w:rPr>
      </w:pPr>
      <w:r w:rsidRPr="00B830FE">
        <w:rPr>
          <w:rFonts w:ascii="Times New Roman" w:hAnsi="Times New Roman"/>
          <w:szCs w:val="20"/>
          <w:u w:val="single"/>
        </w:rPr>
        <w:t>Conclusion</w:t>
      </w:r>
    </w:p>
    <w:p w14:paraId="74F8874A" w14:textId="77777777" w:rsidR="00B830FE" w:rsidRPr="00B830FE" w:rsidRDefault="00B830FE" w:rsidP="00B830FE">
      <w:pPr>
        <w:rPr>
          <w:rFonts w:ascii="Times New Roman" w:hAnsi="Times New Roman"/>
          <w:szCs w:val="20"/>
        </w:rPr>
      </w:pPr>
      <w:r w:rsidRPr="00B830FE">
        <w:rPr>
          <w:rFonts w:ascii="Times New Roman" w:hAnsi="Times New Roman"/>
          <w:szCs w:val="20"/>
        </w:rPr>
        <w:t>Comb offset hopping is not supported for positioning SRS with frequency hopping for RedCap UEs.</w:t>
      </w:r>
    </w:p>
    <w:p w14:paraId="7D6B20BC" w14:textId="77777777" w:rsidR="00B830FE" w:rsidRPr="00B830FE" w:rsidRDefault="00B830FE" w:rsidP="00B830FE">
      <w:pPr>
        <w:rPr>
          <w:rFonts w:ascii="Times New Roman" w:hAnsi="Times New Roman"/>
          <w:szCs w:val="20"/>
        </w:rPr>
      </w:pPr>
    </w:p>
    <w:p w14:paraId="11D3BA12" w14:textId="77777777" w:rsidR="00B830FE" w:rsidRPr="00B830FE" w:rsidRDefault="00B830FE" w:rsidP="00B830FE">
      <w:pPr>
        <w:rPr>
          <w:rFonts w:ascii="Times New Roman" w:hAnsi="Times New Roman"/>
          <w:szCs w:val="20"/>
        </w:rPr>
      </w:pPr>
      <w:r w:rsidRPr="00B830FE">
        <w:rPr>
          <w:rFonts w:ascii="Times New Roman" w:hAnsi="Times New Roman"/>
          <w:szCs w:val="20"/>
          <w:highlight w:val="green"/>
        </w:rPr>
        <w:t>Agreement</w:t>
      </w:r>
    </w:p>
    <w:p w14:paraId="0295FC11" w14:textId="70877FC0" w:rsidR="00B830FE" w:rsidRPr="00B830FE" w:rsidRDefault="00B830FE" w:rsidP="00B830FE">
      <w:pPr>
        <w:rPr>
          <w:rFonts w:ascii="Times New Roman" w:hAnsi="Times New Roman"/>
          <w:szCs w:val="20"/>
        </w:rPr>
      </w:pPr>
      <w:r w:rsidRPr="00B830FE">
        <w:rPr>
          <w:rFonts w:ascii="Times New Roman" w:hAnsi="Times New Roman"/>
          <w:szCs w:val="20"/>
        </w:rPr>
        <w:t xml:space="preserve">Endorse the TP 2.9-1 in section 2.10.1 of </w:t>
      </w:r>
      <w:hyperlink r:id="rId1258" w:history="1">
        <w:r w:rsidR="00AF7253">
          <w:rPr>
            <w:rStyle w:val="Hyperlink"/>
            <w:rFonts w:ascii="Times New Roman" w:hAnsi="Times New Roman"/>
            <w:szCs w:val="20"/>
          </w:rPr>
          <w:t>R1-2312344</w:t>
        </w:r>
      </w:hyperlink>
      <w:r w:rsidRPr="00B830FE">
        <w:rPr>
          <w:rFonts w:ascii="Times New Roman" w:hAnsi="Times New Roman"/>
          <w:szCs w:val="20"/>
        </w:rPr>
        <w:t>, with deletion of “s” in this text: “</w:t>
      </w:r>
      <w:r w:rsidRPr="00B830FE">
        <w:rPr>
          <w:rFonts w:ascii="Times New Roman" w:eastAsia="SimSun" w:hAnsi="Times New Roman"/>
          <w:szCs w:val="20"/>
          <w:lang w:val="en-US"/>
        </w:rPr>
        <w:t>in each hops”.</w:t>
      </w:r>
    </w:p>
    <w:p w14:paraId="4EF3BC24" w14:textId="77777777" w:rsidR="00B830FE" w:rsidRPr="00B830FE" w:rsidRDefault="00B830FE" w:rsidP="00B830FE">
      <w:pPr>
        <w:rPr>
          <w:rFonts w:ascii="Times New Roman" w:hAnsi="Times New Roman"/>
          <w:szCs w:val="20"/>
        </w:rPr>
      </w:pPr>
    </w:p>
    <w:p w14:paraId="7785921C" w14:textId="77777777" w:rsidR="00B830FE" w:rsidRPr="00B830FE" w:rsidRDefault="00B830FE" w:rsidP="00B830FE">
      <w:pPr>
        <w:rPr>
          <w:rFonts w:ascii="Times New Roman" w:hAnsi="Times New Roman"/>
          <w:szCs w:val="20"/>
        </w:rPr>
      </w:pPr>
      <w:r w:rsidRPr="00B830FE">
        <w:rPr>
          <w:rFonts w:ascii="Times New Roman" w:hAnsi="Times New Roman"/>
          <w:szCs w:val="20"/>
          <w:highlight w:val="green"/>
        </w:rPr>
        <w:t>Agreement</w:t>
      </w:r>
    </w:p>
    <w:p w14:paraId="5A4335A1" w14:textId="1B3B7171" w:rsidR="00B830FE" w:rsidRPr="00B830FE" w:rsidRDefault="00B830FE" w:rsidP="00B830FE">
      <w:pPr>
        <w:rPr>
          <w:rFonts w:ascii="Times New Roman" w:hAnsi="Times New Roman"/>
          <w:szCs w:val="20"/>
        </w:rPr>
      </w:pPr>
      <w:r w:rsidRPr="00B830FE">
        <w:rPr>
          <w:rFonts w:ascii="Times New Roman" w:hAnsi="Times New Roman"/>
          <w:szCs w:val="20"/>
        </w:rPr>
        <w:t xml:space="preserve">Endorse the TP 2.10-1b in section 2.11.1 of </w:t>
      </w:r>
      <w:hyperlink r:id="rId1259" w:history="1">
        <w:r w:rsidR="00AF7253">
          <w:rPr>
            <w:rStyle w:val="Hyperlink"/>
            <w:rFonts w:ascii="Times New Roman" w:hAnsi="Times New Roman"/>
            <w:szCs w:val="20"/>
          </w:rPr>
          <w:t>R1-2312344</w:t>
        </w:r>
      </w:hyperlink>
    </w:p>
    <w:p w14:paraId="5F6D4C42" w14:textId="77777777" w:rsidR="00B830FE" w:rsidRPr="00B830FE" w:rsidRDefault="00B830FE" w:rsidP="00B830FE">
      <w:pPr>
        <w:rPr>
          <w:rFonts w:ascii="Times New Roman" w:hAnsi="Times New Roman"/>
          <w:szCs w:val="20"/>
        </w:rPr>
      </w:pPr>
    </w:p>
    <w:p w14:paraId="7F1379F5" w14:textId="77777777" w:rsidR="00B830FE" w:rsidRPr="00B830FE" w:rsidRDefault="00B830FE" w:rsidP="00B830FE">
      <w:pPr>
        <w:rPr>
          <w:rFonts w:ascii="Times New Roman" w:hAnsi="Times New Roman"/>
          <w:szCs w:val="20"/>
        </w:rPr>
      </w:pPr>
      <w:r w:rsidRPr="00B830FE">
        <w:rPr>
          <w:rFonts w:ascii="Times New Roman" w:hAnsi="Times New Roman"/>
          <w:szCs w:val="20"/>
          <w:highlight w:val="green"/>
        </w:rPr>
        <w:t>Agreement</w:t>
      </w:r>
    </w:p>
    <w:p w14:paraId="293AA11E" w14:textId="37F41DBC" w:rsidR="00B830FE" w:rsidRPr="00B830FE" w:rsidRDefault="00B830FE" w:rsidP="00B830FE">
      <w:pPr>
        <w:rPr>
          <w:rFonts w:ascii="Times New Roman" w:hAnsi="Times New Roman"/>
          <w:szCs w:val="20"/>
        </w:rPr>
      </w:pPr>
      <w:r w:rsidRPr="00B830FE">
        <w:rPr>
          <w:rFonts w:ascii="Times New Roman" w:hAnsi="Times New Roman"/>
          <w:szCs w:val="20"/>
        </w:rPr>
        <w:t xml:space="preserve">Endorse the TP 2.12-1 in section 2.13.1 of </w:t>
      </w:r>
      <w:hyperlink r:id="rId1260" w:history="1">
        <w:r w:rsidR="00AF7253">
          <w:rPr>
            <w:rStyle w:val="Hyperlink"/>
            <w:rFonts w:ascii="Times New Roman" w:hAnsi="Times New Roman"/>
            <w:szCs w:val="20"/>
          </w:rPr>
          <w:t>R1-2312344</w:t>
        </w:r>
      </w:hyperlink>
    </w:p>
    <w:p w14:paraId="4943D224" w14:textId="77777777" w:rsidR="00B830FE" w:rsidRPr="00B830FE" w:rsidRDefault="00B830FE" w:rsidP="00B830FE">
      <w:pPr>
        <w:rPr>
          <w:rFonts w:ascii="Times New Roman" w:hAnsi="Times New Roman"/>
          <w:szCs w:val="20"/>
        </w:rPr>
      </w:pPr>
    </w:p>
    <w:p w14:paraId="5C059C99" w14:textId="77777777" w:rsidR="00B830FE" w:rsidRPr="00B830FE" w:rsidRDefault="00B830FE" w:rsidP="00B830FE">
      <w:pPr>
        <w:rPr>
          <w:rFonts w:ascii="Times New Roman" w:hAnsi="Times New Roman"/>
          <w:szCs w:val="20"/>
        </w:rPr>
      </w:pPr>
      <w:r w:rsidRPr="00B830FE">
        <w:rPr>
          <w:rFonts w:ascii="Times New Roman" w:hAnsi="Times New Roman"/>
          <w:szCs w:val="20"/>
          <w:highlight w:val="green"/>
        </w:rPr>
        <w:t>Agreement</w:t>
      </w:r>
    </w:p>
    <w:p w14:paraId="5E5591FE" w14:textId="0E9B1ED2" w:rsidR="00B830FE" w:rsidRPr="00B830FE" w:rsidRDefault="00B830FE" w:rsidP="00B830FE">
      <w:pPr>
        <w:rPr>
          <w:rFonts w:ascii="Times New Roman" w:hAnsi="Times New Roman"/>
          <w:szCs w:val="20"/>
        </w:rPr>
      </w:pPr>
      <w:r w:rsidRPr="00B830FE">
        <w:rPr>
          <w:rFonts w:ascii="Times New Roman" w:hAnsi="Times New Roman"/>
          <w:szCs w:val="20"/>
        </w:rPr>
        <w:t xml:space="preserve">Endorse the TP 2.17-1b in section 2.18.1 of </w:t>
      </w:r>
      <w:hyperlink r:id="rId1261" w:history="1">
        <w:r w:rsidR="00AF7253">
          <w:rPr>
            <w:rStyle w:val="Hyperlink"/>
            <w:rFonts w:ascii="Times New Roman" w:hAnsi="Times New Roman"/>
            <w:szCs w:val="20"/>
          </w:rPr>
          <w:t>R1-2312344</w:t>
        </w:r>
      </w:hyperlink>
    </w:p>
    <w:p w14:paraId="2126E5B4" w14:textId="77777777" w:rsidR="00C11A96" w:rsidRDefault="00C11A96" w:rsidP="00F74A6F">
      <w:pPr>
        <w:rPr>
          <w:rFonts w:ascii="Times New Roman" w:hAnsi="Times New Roman"/>
          <w:szCs w:val="20"/>
          <w:lang w:eastAsia="x-none"/>
        </w:rPr>
      </w:pPr>
    </w:p>
    <w:p w14:paraId="007F7196" w14:textId="77777777" w:rsidR="00B830FE" w:rsidRDefault="00B830FE" w:rsidP="00F74A6F">
      <w:pPr>
        <w:rPr>
          <w:rFonts w:ascii="Times New Roman" w:hAnsi="Times New Roman"/>
          <w:szCs w:val="20"/>
          <w:lang w:eastAsia="x-none"/>
        </w:rPr>
      </w:pPr>
    </w:p>
    <w:p w14:paraId="129AE2CE" w14:textId="036D772A" w:rsidR="00B830FE" w:rsidRPr="00191F40" w:rsidRDefault="005A18DC" w:rsidP="00B830FE">
      <w:pPr>
        <w:rPr>
          <w:rFonts w:ascii="Times New Roman" w:hAnsi="Times New Roman"/>
          <w:b/>
          <w:bCs/>
          <w:szCs w:val="20"/>
          <w:lang w:eastAsia="x-none"/>
        </w:rPr>
      </w:pPr>
      <w:hyperlink r:id="rId1262" w:history="1">
        <w:r w:rsidR="00AF7253">
          <w:rPr>
            <w:rStyle w:val="Hyperlink"/>
            <w:rFonts w:ascii="Times New Roman" w:hAnsi="Times New Roman"/>
            <w:b/>
            <w:bCs/>
            <w:szCs w:val="20"/>
            <w:lang w:eastAsia="x-none"/>
          </w:rPr>
          <w:t>R1-2312652</w:t>
        </w:r>
      </w:hyperlink>
      <w:r w:rsidR="00B830FE" w:rsidRPr="00191F40">
        <w:rPr>
          <w:rFonts w:ascii="Times New Roman" w:hAnsi="Times New Roman"/>
          <w:b/>
          <w:bCs/>
          <w:szCs w:val="20"/>
          <w:lang w:eastAsia="x-none"/>
        </w:rPr>
        <w:tab/>
        <w:t>Feature Lead summary #5 for Positioning for RedCap UEs</w:t>
      </w:r>
      <w:r w:rsidR="00B830FE" w:rsidRPr="00191F40">
        <w:rPr>
          <w:rFonts w:ascii="Times New Roman" w:hAnsi="Times New Roman"/>
          <w:b/>
          <w:bCs/>
          <w:szCs w:val="20"/>
          <w:lang w:eastAsia="x-none"/>
        </w:rPr>
        <w:tab/>
        <w:t>Moderator (Ericsson)</w:t>
      </w:r>
    </w:p>
    <w:p w14:paraId="3C595239" w14:textId="10583ECF" w:rsidR="00191F40" w:rsidRDefault="00191F40" w:rsidP="00B830FE">
      <w:pPr>
        <w:rPr>
          <w:rFonts w:ascii="Times New Roman" w:hAnsi="Times New Roman"/>
          <w:szCs w:val="20"/>
          <w:lang w:eastAsia="x-none"/>
        </w:rPr>
      </w:pPr>
      <w:r>
        <w:rPr>
          <w:rFonts w:ascii="Times New Roman" w:hAnsi="Times New Roman"/>
          <w:szCs w:val="20"/>
          <w:lang w:eastAsia="x-none"/>
        </w:rPr>
        <w:t>From Friday session</w:t>
      </w:r>
    </w:p>
    <w:p w14:paraId="5B39536F" w14:textId="77777777" w:rsidR="00191F40" w:rsidRPr="00191F40" w:rsidRDefault="00191F40" w:rsidP="00191F40">
      <w:pPr>
        <w:rPr>
          <w:bCs/>
        </w:rPr>
      </w:pPr>
      <w:r w:rsidRPr="00191F40">
        <w:rPr>
          <w:bCs/>
          <w:highlight w:val="green"/>
        </w:rPr>
        <w:t>Agreement</w:t>
      </w:r>
    </w:p>
    <w:p w14:paraId="4142A5F0" w14:textId="2328DA76" w:rsidR="00191F40" w:rsidRPr="00191F40" w:rsidRDefault="00191F40" w:rsidP="00191F40">
      <w:pPr>
        <w:rPr>
          <w:bCs/>
        </w:rPr>
      </w:pPr>
      <w:r w:rsidRPr="00191F40">
        <w:rPr>
          <w:bCs/>
        </w:rPr>
        <w:t xml:space="preserve">TP 2.8-1b in section 2.9.1 of </w:t>
      </w:r>
      <w:hyperlink r:id="rId1263" w:history="1">
        <w:r w:rsidR="00AF7253">
          <w:rPr>
            <w:rStyle w:val="Hyperlink"/>
            <w:bCs/>
          </w:rPr>
          <w:t>R1-2312652</w:t>
        </w:r>
      </w:hyperlink>
      <w:r w:rsidRPr="00191F40">
        <w:rPr>
          <w:bCs/>
        </w:rPr>
        <w:t xml:space="preserve"> is endorsed for Section 6.2.1.4.1 in TS 38.214.</w:t>
      </w:r>
    </w:p>
    <w:p w14:paraId="34E4AF25" w14:textId="77777777" w:rsidR="00191F40" w:rsidRPr="00191F40" w:rsidRDefault="00191F40" w:rsidP="00191F40">
      <w:pPr>
        <w:rPr>
          <w:bCs/>
        </w:rPr>
      </w:pPr>
    </w:p>
    <w:p w14:paraId="441FF8CE" w14:textId="77777777" w:rsidR="00191F40" w:rsidRPr="00191F40" w:rsidRDefault="00191F40" w:rsidP="00191F40">
      <w:pPr>
        <w:rPr>
          <w:bCs/>
        </w:rPr>
      </w:pPr>
      <w:r w:rsidRPr="00191F40">
        <w:rPr>
          <w:bCs/>
          <w:highlight w:val="green"/>
        </w:rPr>
        <w:t>Agreement</w:t>
      </w:r>
    </w:p>
    <w:p w14:paraId="1998D2ED" w14:textId="77777777" w:rsidR="00191F40" w:rsidRPr="00191F40" w:rsidRDefault="00191F40" w:rsidP="00191F40">
      <w:pPr>
        <w:pStyle w:val="ListParagraph"/>
        <w:ind w:left="0"/>
        <w:rPr>
          <w:lang w:eastAsia="ko-KR"/>
        </w:rPr>
      </w:pPr>
      <w:r w:rsidRPr="00191F40">
        <w:rPr>
          <w:lang w:eastAsia="ko-KR"/>
        </w:rPr>
        <w:lastRenderedPageBreak/>
        <w:t>Update the earlier agreement as follows:</w:t>
      </w:r>
    </w:p>
    <w:tbl>
      <w:tblPr>
        <w:tblW w:w="0" w:type="auto"/>
        <w:jc w:val="right"/>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9251"/>
      </w:tblGrid>
      <w:tr w:rsidR="00191F40" w:rsidRPr="00191F40" w14:paraId="142466DA" w14:textId="77777777" w:rsidTr="00191F40">
        <w:trPr>
          <w:jc w:val="right"/>
        </w:trPr>
        <w:tc>
          <w:tcPr>
            <w:tcW w:w="9251" w:type="dxa"/>
            <w:shd w:val="clear" w:color="auto" w:fill="auto"/>
          </w:tcPr>
          <w:p w14:paraId="16E08AA4" w14:textId="77777777" w:rsidR="00191F40" w:rsidRPr="00191F40" w:rsidRDefault="00191F40" w:rsidP="00191F40">
            <w:pPr>
              <w:rPr>
                <w:sz w:val="18"/>
                <w:szCs w:val="18"/>
                <w:lang w:val="en-US" w:eastAsia="ja-JP"/>
              </w:rPr>
            </w:pPr>
            <w:r w:rsidRPr="00191F40">
              <w:rPr>
                <w:sz w:val="18"/>
                <w:szCs w:val="18"/>
                <w:highlight w:val="green"/>
                <w:lang w:val="en-US" w:eastAsia="ja-JP"/>
              </w:rPr>
              <w:t>Agreement</w:t>
            </w:r>
          </w:p>
          <w:p w14:paraId="3F33866D" w14:textId="77777777" w:rsidR="00191F40" w:rsidRPr="00191F40" w:rsidRDefault="00191F40" w:rsidP="00191F40">
            <w:pPr>
              <w:rPr>
                <w:sz w:val="18"/>
                <w:szCs w:val="18"/>
                <w:lang w:val="en-US" w:eastAsia="ja-JP"/>
              </w:rPr>
            </w:pPr>
            <w:r w:rsidRPr="00191F40">
              <w:rPr>
                <w:sz w:val="18"/>
                <w:szCs w:val="18"/>
                <w:lang w:val="en-US" w:eastAsia="ja-JP"/>
              </w:rPr>
              <w:t xml:space="preserve">For RedCap UEs positioning transmitting the UL SRS with frequency hopping, regarding the collisions between other UL and DL signals/channels and the UL SRS with frequency hopping, support both of the following options </w:t>
            </w:r>
          </w:p>
          <w:p w14:paraId="36B8DD10" w14:textId="77777777" w:rsidR="00191F40" w:rsidRPr="00191F40" w:rsidRDefault="00191F40" w:rsidP="00A67145">
            <w:pPr>
              <w:numPr>
                <w:ilvl w:val="0"/>
                <w:numId w:val="227"/>
              </w:numPr>
              <w:rPr>
                <w:sz w:val="18"/>
                <w:szCs w:val="18"/>
                <w:lang w:val="en-US" w:eastAsia="ja-JP"/>
              </w:rPr>
            </w:pPr>
            <w:r w:rsidRPr="00191F40">
              <w:rPr>
                <w:sz w:val="18"/>
                <w:szCs w:val="18"/>
                <w:lang w:val="en-US" w:eastAsia="ja-JP"/>
              </w:rPr>
              <w:t>Option 1: UL time window where the UE is not expected to transmit other signals/channels and is only expected to transmit FH SRS for positioning.</w:t>
            </w:r>
          </w:p>
          <w:p w14:paraId="6D058401" w14:textId="77777777" w:rsidR="00191F40" w:rsidRPr="00191F40" w:rsidRDefault="00191F40" w:rsidP="00A67145">
            <w:pPr>
              <w:numPr>
                <w:ilvl w:val="1"/>
                <w:numId w:val="227"/>
              </w:numPr>
              <w:ind w:leftChars="853" w:left="2066"/>
              <w:rPr>
                <w:sz w:val="18"/>
                <w:szCs w:val="18"/>
                <w:lang w:val="en-US" w:eastAsia="ja-JP"/>
              </w:rPr>
            </w:pPr>
            <w:r w:rsidRPr="00191F40">
              <w:rPr>
                <w:sz w:val="18"/>
                <w:szCs w:val="18"/>
                <w:lang w:val="en-US" w:eastAsia="ja-JP"/>
              </w:rPr>
              <w:t>FFS details of an UL time window</w:t>
            </w:r>
          </w:p>
          <w:p w14:paraId="07A6085D" w14:textId="77777777" w:rsidR="00191F40" w:rsidRPr="00191F40" w:rsidRDefault="00191F40" w:rsidP="00A67145">
            <w:pPr>
              <w:numPr>
                <w:ilvl w:val="1"/>
                <w:numId w:val="227"/>
              </w:numPr>
              <w:ind w:leftChars="853" w:left="2066"/>
              <w:rPr>
                <w:sz w:val="18"/>
                <w:szCs w:val="18"/>
                <w:lang w:val="en-US" w:eastAsia="ja-JP"/>
              </w:rPr>
            </w:pPr>
            <w:r w:rsidRPr="00191F40">
              <w:rPr>
                <w:sz w:val="18"/>
                <w:szCs w:val="18"/>
                <w:lang w:val="en-US" w:eastAsia="ja-JP"/>
              </w:rPr>
              <w:t>Note: it implies that UE drops the transmission of other signals/channels and transmits SRS for positioning</w:t>
            </w:r>
          </w:p>
          <w:p w14:paraId="079B7DC7" w14:textId="77777777" w:rsidR="00191F40" w:rsidRPr="00191F40" w:rsidRDefault="00191F40" w:rsidP="00A67145">
            <w:pPr>
              <w:numPr>
                <w:ilvl w:val="0"/>
                <w:numId w:val="227"/>
              </w:numPr>
              <w:rPr>
                <w:sz w:val="18"/>
                <w:szCs w:val="18"/>
                <w:lang w:val="en-US" w:eastAsia="ja-JP"/>
              </w:rPr>
            </w:pPr>
            <w:r w:rsidRPr="00191F40">
              <w:rPr>
                <w:sz w:val="18"/>
                <w:szCs w:val="18"/>
                <w:lang w:val="en-US" w:eastAsia="ja-JP"/>
              </w:rPr>
              <w:t>Option 2: new collision rules between the UL SRS with frequency hopping and other UL and DL signals/channels/. Option 2 can apply without or outside UL time window (i.e. option 1)</w:t>
            </w:r>
          </w:p>
          <w:p w14:paraId="7334F24A" w14:textId="77777777" w:rsidR="00191F40" w:rsidRPr="00191F40" w:rsidRDefault="00191F40" w:rsidP="00A67145">
            <w:pPr>
              <w:numPr>
                <w:ilvl w:val="1"/>
                <w:numId w:val="227"/>
              </w:numPr>
              <w:ind w:leftChars="853" w:left="2066"/>
              <w:rPr>
                <w:sz w:val="18"/>
                <w:szCs w:val="18"/>
                <w:lang w:val="en-US" w:eastAsia="ja-JP"/>
              </w:rPr>
            </w:pPr>
            <w:r w:rsidRPr="00191F40">
              <w:rPr>
                <w:sz w:val="18"/>
                <w:szCs w:val="18"/>
                <w:lang w:val="en-US" w:eastAsia="ja-JP"/>
              </w:rPr>
              <w:t>FFS: details on the collision rules</w:t>
            </w:r>
          </w:p>
          <w:p w14:paraId="513FE729" w14:textId="77777777" w:rsidR="00191F40" w:rsidRPr="00191F40" w:rsidRDefault="00191F40" w:rsidP="00191F40">
            <w:pPr>
              <w:rPr>
                <w:sz w:val="18"/>
                <w:szCs w:val="18"/>
                <w:lang w:val="en-US" w:eastAsia="ja-JP"/>
              </w:rPr>
            </w:pPr>
            <w:r w:rsidRPr="00191F40">
              <w:rPr>
                <w:sz w:val="18"/>
                <w:szCs w:val="18"/>
                <w:lang w:val="en-US" w:eastAsia="ja-JP"/>
              </w:rPr>
              <w:t>Note: it is understood that option 2 is a component of the feature for UL SRS Tx hopping (FG 41-5-2), and option 1 is a separate feature group.</w:t>
            </w:r>
          </w:p>
          <w:p w14:paraId="1B93E77D" w14:textId="77777777" w:rsidR="00191F40" w:rsidRPr="00191F40" w:rsidRDefault="00191F40" w:rsidP="00191F40">
            <w:pPr>
              <w:rPr>
                <w:sz w:val="18"/>
                <w:szCs w:val="18"/>
                <w:lang w:val="en-US" w:eastAsia="ko-KR"/>
              </w:rPr>
            </w:pPr>
            <w:r w:rsidRPr="00191F40">
              <w:rPr>
                <w:sz w:val="18"/>
                <w:szCs w:val="18"/>
                <w:lang w:val="en-US" w:eastAsia="ja-JP"/>
              </w:rPr>
              <w:t>Note: UE is not expected to be configured with a SRS for positioning hopping cycle</w:t>
            </w:r>
            <w:r w:rsidRPr="00191F40">
              <w:rPr>
                <w:sz w:val="18"/>
                <w:szCs w:val="18"/>
                <w:lang w:val="en-US" w:eastAsia="ko-KR"/>
              </w:rPr>
              <w:t>,</w:t>
            </w:r>
            <w:ins w:id="619" w:author="Florent Munier" w:date="2023-11-16T23:43:00Z">
              <w:r w:rsidRPr="00191F40">
                <w:rPr>
                  <w:sz w:val="18"/>
                  <w:szCs w:val="18"/>
                  <w:lang w:val="en-US" w:eastAsia="ko-KR"/>
                </w:rPr>
                <w:t xml:space="preserve"> including the switching time from/to active BWP required ahead of the first hop and after the last hop, </w:t>
              </w:r>
            </w:ins>
            <w:r w:rsidRPr="00191F40">
              <w:rPr>
                <w:sz w:val="18"/>
                <w:szCs w:val="18"/>
                <w:lang w:val="en-US" w:eastAsia="ja-JP"/>
              </w:rPr>
              <w:t>partially overlapping with UTW.</w:t>
            </w:r>
          </w:p>
        </w:tc>
      </w:tr>
    </w:tbl>
    <w:p w14:paraId="538A74C3" w14:textId="77777777" w:rsidR="00191F40" w:rsidRPr="00191F40" w:rsidRDefault="00191F40" w:rsidP="00191F40">
      <w:pPr>
        <w:rPr>
          <w:bCs/>
        </w:rPr>
      </w:pPr>
    </w:p>
    <w:p w14:paraId="364A2ECB" w14:textId="77777777" w:rsidR="00191F40" w:rsidRPr="00B830FE" w:rsidRDefault="00191F40" w:rsidP="00B830FE">
      <w:pPr>
        <w:rPr>
          <w:rFonts w:ascii="Times New Roman" w:hAnsi="Times New Roman"/>
          <w:szCs w:val="20"/>
          <w:lang w:eastAsia="x-none"/>
        </w:rPr>
      </w:pPr>
    </w:p>
    <w:p w14:paraId="637CAB96" w14:textId="26637BCF" w:rsidR="00DB78EB" w:rsidRPr="00B830FE" w:rsidRDefault="005A18DC" w:rsidP="00B830FE">
      <w:pPr>
        <w:rPr>
          <w:rFonts w:ascii="Times New Roman" w:hAnsi="Times New Roman"/>
          <w:szCs w:val="20"/>
          <w:lang w:eastAsia="x-none"/>
        </w:rPr>
      </w:pPr>
      <w:hyperlink r:id="rId1264" w:history="1">
        <w:r w:rsidR="00AF7253">
          <w:rPr>
            <w:rStyle w:val="Hyperlink"/>
            <w:rFonts w:ascii="Times New Roman" w:hAnsi="Times New Roman"/>
            <w:szCs w:val="20"/>
            <w:lang w:eastAsia="x-none"/>
          </w:rPr>
          <w:t>R1-2312653</w:t>
        </w:r>
      </w:hyperlink>
      <w:r w:rsidR="00B830FE" w:rsidRPr="00B830FE">
        <w:rPr>
          <w:rFonts w:ascii="Times New Roman" w:hAnsi="Times New Roman"/>
          <w:szCs w:val="20"/>
          <w:lang w:eastAsia="x-none"/>
        </w:rPr>
        <w:tab/>
        <w:t>Feature Lead final summary for Positioning for RedCap UEs</w:t>
      </w:r>
      <w:r w:rsidR="00B830FE" w:rsidRPr="00B830FE">
        <w:rPr>
          <w:rFonts w:ascii="Times New Roman" w:hAnsi="Times New Roman"/>
          <w:szCs w:val="20"/>
          <w:lang w:eastAsia="x-none"/>
        </w:rPr>
        <w:tab/>
        <w:t>Moderator (Ericsson)</w:t>
      </w:r>
    </w:p>
    <w:p w14:paraId="671D5D8E" w14:textId="739ECD39" w:rsidR="00F74A6F" w:rsidRDefault="00F74A6F" w:rsidP="00F74A6F">
      <w:pPr>
        <w:pStyle w:val="Heading2"/>
      </w:pPr>
      <w:bookmarkStart w:id="620" w:name="_Toc150174465"/>
      <w:bookmarkStart w:id="621" w:name="_Toc159251007"/>
      <w:r w:rsidRPr="009537ED">
        <w:t>Maintenance on Enhanced Support of Reduced Capability NR device</w:t>
      </w:r>
      <w:bookmarkEnd w:id="620"/>
      <w:bookmarkEnd w:id="621"/>
    </w:p>
    <w:p w14:paraId="68419E11" w14:textId="028FA315" w:rsidR="004B3090" w:rsidRPr="004B3090" w:rsidRDefault="005A18DC" w:rsidP="004B3090">
      <w:pPr>
        <w:rPr>
          <w:b/>
          <w:bCs/>
        </w:rPr>
      </w:pPr>
      <w:hyperlink r:id="rId1265" w:history="1">
        <w:r w:rsidR="00AF7253">
          <w:rPr>
            <w:rStyle w:val="Hyperlink"/>
            <w:b/>
            <w:bCs/>
          </w:rPr>
          <w:t>R1-2312505</w:t>
        </w:r>
      </w:hyperlink>
      <w:r w:rsidR="004B3090" w:rsidRPr="004B3090">
        <w:rPr>
          <w:b/>
          <w:bCs/>
        </w:rPr>
        <w:tab/>
        <w:t>Session notes for 8.4 (Maintenance on enhanced support of reduced capability NR device)</w:t>
      </w:r>
      <w:r w:rsidR="004B3090" w:rsidRPr="004B3090">
        <w:rPr>
          <w:b/>
          <w:bCs/>
        </w:rPr>
        <w:tab/>
        <w:t>Ad-Hoc Chair (Huawei)</w:t>
      </w:r>
    </w:p>
    <w:p w14:paraId="3859EB56" w14:textId="77777777" w:rsidR="004B3090" w:rsidRPr="00D96FAE" w:rsidRDefault="004B3090" w:rsidP="004B3090">
      <w:pPr>
        <w:rPr>
          <w:lang w:eastAsia="x-none"/>
        </w:rPr>
      </w:pPr>
      <w:r w:rsidRPr="00F05EFE">
        <w:rPr>
          <w:b/>
          <w:bCs/>
        </w:rPr>
        <w:t>Friday decision:</w:t>
      </w:r>
      <w:r>
        <w:t xml:space="preserve"> The </w:t>
      </w:r>
      <w:r>
        <w:rPr>
          <w:lang w:val="en-US" w:eastAsia="x-none"/>
        </w:rPr>
        <w:t>s</w:t>
      </w:r>
      <w:r w:rsidRPr="00663F3A">
        <w:rPr>
          <w:lang w:val="en-US" w:eastAsia="x-none"/>
        </w:rPr>
        <w:t>ession notes</w:t>
      </w:r>
      <w:r>
        <w:rPr>
          <w:lang w:val="en-US" w:eastAsia="x-none"/>
        </w:rPr>
        <w:t xml:space="preserve"> are </w:t>
      </w:r>
      <w:r>
        <w:rPr>
          <w:highlight w:val="green"/>
          <w:lang w:eastAsia="x-none"/>
        </w:rPr>
        <w:t>e</w:t>
      </w:r>
      <w:r w:rsidRPr="00D96FAE">
        <w:rPr>
          <w:highlight w:val="green"/>
          <w:lang w:eastAsia="x-none"/>
        </w:rPr>
        <w:t xml:space="preserve">ndorsed </w:t>
      </w:r>
      <w:r w:rsidRPr="00D96FAE">
        <w:rPr>
          <w:lang w:eastAsia="x-none"/>
        </w:rPr>
        <w:t>and contents reflected below.</w:t>
      </w:r>
    </w:p>
    <w:p w14:paraId="1936D978" w14:textId="77777777" w:rsidR="004B3090" w:rsidRPr="004B3090" w:rsidRDefault="004B3090" w:rsidP="004B3090"/>
    <w:p w14:paraId="09AB6719" w14:textId="77777777" w:rsidR="00E452A8" w:rsidRPr="004B3090" w:rsidRDefault="00F74A6F" w:rsidP="00F74A6F">
      <w:pPr>
        <w:rPr>
          <w:lang w:eastAsia="x-none"/>
        </w:rPr>
      </w:pPr>
      <w:r w:rsidRPr="004B3090">
        <w:rPr>
          <w:lang w:eastAsia="x-none"/>
        </w:rPr>
        <w:t xml:space="preserve">[115-R18-RedCap] </w:t>
      </w:r>
      <w:r w:rsidR="00E452A8" w:rsidRPr="004B3090">
        <w:rPr>
          <w:lang w:eastAsia="x-none"/>
        </w:rPr>
        <w:t>– Johan (Ericsson)</w:t>
      </w:r>
    </w:p>
    <w:p w14:paraId="6C9B0FD0" w14:textId="301DFE24" w:rsidR="00F74A6F" w:rsidRPr="004B3090" w:rsidRDefault="00F74A6F" w:rsidP="00F74A6F">
      <w:pPr>
        <w:rPr>
          <w:lang w:eastAsia="x-none"/>
        </w:rPr>
      </w:pPr>
      <w:r w:rsidRPr="004B3090">
        <w:rPr>
          <w:lang w:eastAsia="x-none"/>
        </w:rPr>
        <w:t>Email discussion on eRedCap</w:t>
      </w:r>
    </w:p>
    <w:p w14:paraId="13BA88BD" w14:textId="77777777" w:rsidR="00F74A6F" w:rsidRPr="004B3090" w:rsidRDefault="00F74A6F" w:rsidP="00F74A6F">
      <w:pPr>
        <w:numPr>
          <w:ilvl w:val="0"/>
          <w:numId w:val="69"/>
        </w:numPr>
        <w:rPr>
          <w:lang w:eastAsia="x-none"/>
        </w:rPr>
      </w:pPr>
      <w:r w:rsidRPr="004B3090">
        <w:rPr>
          <w:lang w:eastAsia="x-none"/>
        </w:rPr>
        <w:t>To be used for sharing updates on online/offline schedule, details on what is to be discussed in online/offline sessions, tdoc number of the moderator summary for online session, etc</w:t>
      </w:r>
    </w:p>
    <w:p w14:paraId="761C7CF8" w14:textId="77777777" w:rsidR="00F74A6F" w:rsidRDefault="00F74A6F" w:rsidP="00F74A6F">
      <w:pPr>
        <w:rPr>
          <w:lang w:eastAsia="x-none"/>
        </w:rPr>
      </w:pPr>
    </w:p>
    <w:p w14:paraId="05C9C185" w14:textId="3BB18BE5" w:rsidR="00E452A8" w:rsidRPr="001B4AF9" w:rsidRDefault="005A18DC" w:rsidP="00E452A8">
      <w:pPr>
        <w:rPr>
          <w:lang w:val="en-US" w:eastAsia="x-none"/>
        </w:rPr>
      </w:pPr>
      <w:hyperlink r:id="rId1266" w:history="1">
        <w:r w:rsidR="00AF7253">
          <w:rPr>
            <w:rStyle w:val="Hyperlink"/>
            <w:lang w:val="en-US" w:eastAsia="x-none"/>
          </w:rPr>
          <w:t>R1-2312283</w:t>
        </w:r>
      </w:hyperlink>
      <w:r w:rsidR="00E452A8" w:rsidRPr="007B1FF1">
        <w:rPr>
          <w:lang w:val="en-US" w:eastAsia="x-none"/>
        </w:rPr>
        <w:tab/>
        <w:t>RAN1 agreements for Rel-18 NR RedCap</w:t>
      </w:r>
      <w:r w:rsidR="00E452A8" w:rsidRPr="007B1FF1">
        <w:rPr>
          <w:lang w:val="en-US" w:eastAsia="x-none"/>
        </w:rPr>
        <w:tab/>
        <w:t>Rapporteur (Ericsson)</w:t>
      </w:r>
    </w:p>
    <w:p w14:paraId="3DF32CC8" w14:textId="77777777" w:rsidR="00F74A6F" w:rsidRPr="009537ED" w:rsidRDefault="00F74A6F" w:rsidP="00E452A8">
      <w:pPr>
        <w:pStyle w:val="Heading3"/>
      </w:pPr>
      <w:bookmarkStart w:id="622" w:name="_Toc150174466"/>
      <w:bookmarkStart w:id="623" w:name="_Toc159251008"/>
      <w:r w:rsidRPr="009537ED">
        <w:t>UE complexity reduction</w:t>
      </w:r>
      <w:bookmarkEnd w:id="622"/>
      <w:bookmarkEnd w:id="623"/>
    </w:p>
    <w:p w14:paraId="3509C3B5" w14:textId="445C4542" w:rsidR="00F74A6F" w:rsidRPr="009537ED" w:rsidRDefault="005A18DC" w:rsidP="00F74A6F">
      <w:pPr>
        <w:rPr>
          <w:lang w:eastAsia="x-none"/>
        </w:rPr>
      </w:pPr>
      <w:hyperlink r:id="rId1267" w:history="1">
        <w:r w:rsidR="00AF7253">
          <w:rPr>
            <w:rStyle w:val="Hyperlink"/>
            <w:lang w:eastAsia="x-none"/>
          </w:rPr>
          <w:t>R1-2310820</w:t>
        </w:r>
      </w:hyperlink>
      <w:r w:rsidR="00F74A6F" w:rsidRPr="009537ED">
        <w:rPr>
          <w:lang w:eastAsia="x-none"/>
        </w:rPr>
        <w:tab/>
        <w:t>Maintenance of R18 RedCap</w:t>
      </w:r>
      <w:r w:rsidR="00F74A6F" w:rsidRPr="009537ED">
        <w:rPr>
          <w:lang w:eastAsia="x-none"/>
        </w:rPr>
        <w:tab/>
        <w:t>FUTUREWEI</w:t>
      </w:r>
    </w:p>
    <w:p w14:paraId="52A5C26E" w14:textId="5B7043E7" w:rsidR="00F74A6F" w:rsidRPr="009537ED" w:rsidRDefault="005A18DC" w:rsidP="00F74A6F">
      <w:pPr>
        <w:rPr>
          <w:lang w:eastAsia="x-none"/>
        </w:rPr>
      </w:pPr>
      <w:hyperlink r:id="rId1268" w:history="1">
        <w:r w:rsidR="00AF7253">
          <w:rPr>
            <w:rStyle w:val="Hyperlink"/>
            <w:lang w:eastAsia="x-none"/>
          </w:rPr>
          <w:t>R1-2310857</w:t>
        </w:r>
      </w:hyperlink>
      <w:r w:rsidR="00F74A6F" w:rsidRPr="009537ED">
        <w:rPr>
          <w:lang w:eastAsia="x-none"/>
        </w:rPr>
        <w:tab/>
        <w:t>Maintenance on Rel-18 RedCap</w:t>
      </w:r>
      <w:r w:rsidR="00F74A6F" w:rsidRPr="009537ED">
        <w:rPr>
          <w:lang w:eastAsia="x-none"/>
        </w:rPr>
        <w:tab/>
        <w:t>Huawei, HiSilicon</w:t>
      </w:r>
    </w:p>
    <w:p w14:paraId="3C20E155" w14:textId="66F76947" w:rsidR="00F74A6F" w:rsidRPr="009537ED" w:rsidRDefault="005A18DC" w:rsidP="00F74A6F">
      <w:pPr>
        <w:rPr>
          <w:lang w:eastAsia="x-none"/>
        </w:rPr>
      </w:pPr>
      <w:hyperlink r:id="rId1269" w:history="1">
        <w:r w:rsidR="00AF7253">
          <w:rPr>
            <w:rStyle w:val="Hyperlink"/>
            <w:lang w:eastAsia="x-none"/>
          </w:rPr>
          <w:t>R1-2310992</w:t>
        </w:r>
      </w:hyperlink>
      <w:r w:rsidR="00F74A6F" w:rsidRPr="009537ED">
        <w:rPr>
          <w:lang w:eastAsia="x-none"/>
        </w:rPr>
        <w:tab/>
        <w:t>Discussion on further UE complexity reduction</w:t>
      </w:r>
      <w:r w:rsidR="00F74A6F" w:rsidRPr="009537ED">
        <w:rPr>
          <w:lang w:eastAsia="x-none"/>
        </w:rPr>
        <w:tab/>
        <w:t>ZTE, Sanechips</w:t>
      </w:r>
    </w:p>
    <w:p w14:paraId="54715EE2" w14:textId="5DCFC46F" w:rsidR="00F74A6F" w:rsidRPr="009537ED" w:rsidRDefault="005A18DC" w:rsidP="00F74A6F">
      <w:pPr>
        <w:rPr>
          <w:lang w:eastAsia="x-none"/>
        </w:rPr>
      </w:pPr>
      <w:hyperlink r:id="rId1270" w:history="1">
        <w:r w:rsidR="00AF7253">
          <w:rPr>
            <w:rStyle w:val="Hyperlink"/>
            <w:lang w:eastAsia="x-none"/>
          </w:rPr>
          <w:t>R1-2311000</w:t>
        </w:r>
      </w:hyperlink>
      <w:r w:rsidR="00F74A6F" w:rsidRPr="009537ED">
        <w:rPr>
          <w:lang w:eastAsia="x-none"/>
        </w:rPr>
        <w:tab/>
        <w:t>Maintenance on UE complexity reduction for eRedCap</w:t>
      </w:r>
      <w:r w:rsidR="00F74A6F" w:rsidRPr="009537ED">
        <w:rPr>
          <w:lang w:eastAsia="x-none"/>
        </w:rPr>
        <w:tab/>
        <w:t>Panasonic</w:t>
      </w:r>
    </w:p>
    <w:p w14:paraId="1C51D840" w14:textId="14D23A4A" w:rsidR="00F74A6F" w:rsidRPr="009537ED" w:rsidRDefault="005A18DC" w:rsidP="00F74A6F">
      <w:pPr>
        <w:rPr>
          <w:lang w:eastAsia="x-none"/>
        </w:rPr>
      </w:pPr>
      <w:hyperlink r:id="rId1271" w:history="1">
        <w:r w:rsidR="00AF7253">
          <w:rPr>
            <w:rStyle w:val="Hyperlink"/>
            <w:lang w:eastAsia="x-none"/>
          </w:rPr>
          <w:t>R1-2311101</w:t>
        </w:r>
      </w:hyperlink>
      <w:r w:rsidR="00F74A6F" w:rsidRPr="009537ED">
        <w:rPr>
          <w:lang w:eastAsia="x-none"/>
        </w:rPr>
        <w:tab/>
        <w:t>Remaining issues on further UE complexity reduction</w:t>
      </w:r>
      <w:r w:rsidR="00F74A6F" w:rsidRPr="009537ED">
        <w:rPr>
          <w:lang w:eastAsia="x-none"/>
        </w:rPr>
        <w:tab/>
        <w:t>vivo</w:t>
      </w:r>
    </w:p>
    <w:p w14:paraId="0AE1C20E" w14:textId="4BD9C503" w:rsidR="00F74A6F" w:rsidRPr="009537ED" w:rsidRDefault="005A18DC" w:rsidP="00F74A6F">
      <w:pPr>
        <w:rPr>
          <w:lang w:eastAsia="x-none"/>
        </w:rPr>
      </w:pPr>
      <w:hyperlink r:id="rId1272" w:history="1">
        <w:r w:rsidR="00AF7253">
          <w:rPr>
            <w:rStyle w:val="Hyperlink"/>
            <w:lang w:eastAsia="x-none"/>
          </w:rPr>
          <w:t>R1-2311169</w:t>
        </w:r>
      </w:hyperlink>
      <w:r w:rsidR="00F74A6F" w:rsidRPr="009537ED">
        <w:rPr>
          <w:lang w:eastAsia="x-none"/>
        </w:rPr>
        <w:tab/>
        <w:t>Remaining issues on enhanced support of RedCap devices</w:t>
      </w:r>
      <w:r w:rsidR="00F74A6F" w:rsidRPr="009537ED">
        <w:rPr>
          <w:lang w:eastAsia="x-none"/>
        </w:rPr>
        <w:tab/>
        <w:t>Spreadtrum Communications</w:t>
      </w:r>
    </w:p>
    <w:p w14:paraId="11DE4C69" w14:textId="116B495C" w:rsidR="00F74A6F" w:rsidRPr="009537ED" w:rsidRDefault="005A18DC" w:rsidP="00F74A6F">
      <w:pPr>
        <w:rPr>
          <w:lang w:eastAsia="x-none"/>
        </w:rPr>
      </w:pPr>
      <w:hyperlink r:id="rId1273" w:history="1">
        <w:r w:rsidR="00AF7253">
          <w:rPr>
            <w:rStyle w:val="Hyperlink"/>
            <w:lang w:eastAsia="x-none"/>
          </w:rPr>
          <w:t>R1-2311262</w:t>
        </w:r>
      </w:hyperlink>
      <w:r w:rsidR="00F74A6F" w:rsidRPr="009537ED">
        <w:rPr>
          <w:lang w:eastAsia="x-none"/>
        </w:rPr>
        <w:tab/>
        <w:t>Further consideration on specification for Rel-18 RedCap</w:t>
      </w:r>
      <w:r w:rsidR="00F74A6F" w:rsidRPr="009537ED">
        <w:rPr>
          <w:lang w:eastAsia="x-none"/>
        </w:rPr>
        <w:tab/>
        <w:t>OPPO</w:t>
      </w:r>
    </w:p>
    <w:p w14:paraId="182609E6" w14:textId="21516157" w:rsidR="00F74A6F" w:rsidRPr="009537ED" w:rsidRDefault="005A18DC" w:rsidP="00F74A6F">
      <w:pPr>
        <w:rPr>
          <w:lang w:eastAsia="x-none"/>
        </w:rPr>
      </w:pPr>
      <w:hyperlink r:id="rId1274" w:history="1">
        <w:r w:rsidR="00AF7253">
          <w:rPr>
            <w:rStyle w:val="Hyperlink"/>
            <w:lang w:eastAsia="x-none"/>
          </w:rPr>
          <w:t>R1-2311346</w:t>
        </w:r>
      </w:hyperlink>
      <w:r w:rsidR="00F74A6F" w:rsidRPr="009537ED">
        <w:rPr>
          <w:lang w:eastAsia="x-none"/>
        </w:rPr>
        <w:tab/>
        <w:t>Remaining issues of Rel-18 RedCap</w:t>
      </w:r>
      <w:r w:rsidR="00F74A6F" w:rsidRPr="009537ED">
        <w:rPr>
          <w:lang w:eastAsia="x-none"/>
        </w:rPr>
        <w:tab/>
        <w:t>CATT</w:t>
      </w:r>
    </w:p>
    <w:p w14:paraId="06568769" w14:textId="3D65ACD9" w:rsidR="00F74A6F" w:rsidRPr="009537ED" w:rsidRDefault="005A18DC" w:rsidP="00F74A6F">
      <w:pPr>
        <w:rPr>
          <w:lang w:eastAsia="x-none"/>
        </w:rPr>
      </w:pPr>
      <w:hyperlink r:id="rId1275" w:history="1">
        <w:r w:rsidR="00AF7253">
          <w:rPr>
            <w:rStyle w:val="Hyperlink"/>
            <w:lang w:eastAsia="x-none"/>
          </w:rPr>
          <w:t>R1-2311406</w:t>
        </w:r>
      </w:hyperlink>
      <w:r w:rsidR="00F74A6F" w:rsidRPr="009537ED">
        <w:rPr>
          <w:lang w:eastAsia="x-none"/>
        </w:rPr>
        <w:tab/>
        <w:t>Discussion on further complexity reduction for eRedCap UEs</w:t>
      </w:r>
      <w:r w:rsidR="00F74A6F" w:rsidRPr="009537ED">
        <w:rPr>
          <w:lang w:eastAsia="x-none"/>
        </w:rPr>
        <w:tab/>
        <w:t>xiaomi</w:t>
      </w:r>
    </w:p>
    <w:p w14:paraId="40958C3B" w14:textId="1C74EE6C" w:rsidR="00F74A6F" w:rsidRPr="009537ED" w:rsidRDefault="005A18DC" w:rsidP="00F74A6F">
      <w:pPr>
        <w:rPr>
          <w:lang w:eastAsia="x-none"/>
        </w:rPr>
      </w:pPr>
      <w:hyperlink r:id="rId1276" w:history="1">
        <w:r w:rsidR="00AF7253">
          <w:rPr>
            <w:rStyle w:val="Hyperlink"/>
            <w:lang w:eastAsia="x-none"/>
          </w:rPr>
          <w:t>R1-2311486</w:t>
        </w:r>
      </w:hyperlink>
      <w:r w:rsidR="00F74A6F" w:rsidRPr="009537ED">
        <w:rPr>
          <w:lang w:eastAsia="x-none"/>
        </w:rPr>
        <w:tab/>
        <w:t>Maintenance on further complexity reduction for eRedCap</w:t>
      </w:r>
      <w:r w:rsidR="00F74A6F" w:rsidRPr="009537ED">
        <w:rPr>
          <w:lang w:eastAsia="x-none"/>
        </w:rPr>
        <w:tab/>
        <w:t>CMCC</w:t>
      </w:r>
    </w:p>
    <w:p w14:paraId="4431790B" w14:textId="0A779BCC" w:rsidR="00F74A6F" w:rsidRPr="009537ED" w:rsidRDefault="005A18DC" w:rsidP="00F74A6F">
      <w:pPr>
        <w:rPr>
          <w:lang w:eastAsia="x-none"/>
        </w:rPr>
      </w:pPr>
      <w:hyperlink r:id="rId1277" w:history="1">
        <w:r w:rsidR="00AF7253">
          <w:rPr>
            <w:rStyle w:val="Hyperlink"/>
            <w:lang w:eastAsia="x-none"/>
          </w:rPr>
          <w:t>R1-2311541</w:t>
        </w:r>
      </w:hyperlink>
      <w:r w:rsidR="00F74A6F" w:rsidRPr="009537ED">
        <w:rPr>
          <w:lang w:eastAsia="x-none"/>
        </w:rPr>
        <w:tab/>
        <w:t>Maintenance on Rel-18 RedCap UE</w:t>
      </w:r>
      <w:r w:rsidR="00F74A6F" w:rsidRPr="009537ED">
        <w:rPr>
          <w:lang w:eastAsia="x-none"/>
        </w:rPr>
        <w:tab/>
        <w:t>NEC</w:t>
      </w:r>
    </w:p>
    <w:p w14:paraId="38FD6B05" w14:textId="67B341B2" w:rsidR="00F74A6F" w:rsidRPr="009537ED" w:rsidRDefault="005A18DC" w:rsidP="00F74A6F">
      <w:pPr>
        <w:rPr>
          <w:lang w:eastAsia="x-none"/>
        </w:rPr>
      </w:pPr>
      <w:hyperlink r:id="rId1278" w:history="1">
        <w:r w:rsidR="00AF7253">
          <w:rPr>
            <w:rStyle w:val="Hyperlink"/>
            <w:lang w:eastAsia="x-none"/>
          </w:rPr>
          <w:t>R1-2311545</w:t>
        </w:r>
      </w:hyperlink>
      <w:r w:rsidR="00F74A6F" w:rsidRPr="009537ED">
        <w:rPr>
          <w:lang w:eastAsia="x-none"/>
        </w:rPr>
        <w:tab/>
        <w:t>Remaining issues on UE complexity reduction for eRedCap UEs</w:t>
      </w:r>
      <w:r w:rsidR="00F74A6F" w:rsidRPr="009537ED">
        <w:rPr>
          <w:lang w:eastAsia="x-none"/>
        </w:rPr>
        <w:tab/>
        <w:t>China Telecom</w:t>
      </w:r>
    </w:p>
    <w:p w14:paraId="6CFF785A" w14:textId="305A1DD0" w:rsidR="00F74A6F" w:rsidRPr="009537ED" w:rsidRDefault="005A18DC" w:rsidP="00F74A6F">
      <w:pPr>
        <w:rPr>
          <w:lang w:eastAsia="x-none"/>
        </w:rPr>
      </w:pPr>
      <w:hyperlink r:id="rId1279" w:history="1">
        <w:r w:rsidR="00AF7253">
          <w:rPr>
            <w:rStyle w:val="Hyperlink"/>
            <w:lang w:eastAsia="x-none"/>
          </w:rPr>
          <w:t>R1-2311626</w:t>
        </w:r>
      </w:hyperlink>
      <w:r w:rsidR="00F74A6F" w:rsidRPr="009537ED">
        <w:rPr>
          <w:lang w:eastAsia="x-none"/>
        </w:rPr>
        <w:tab/>
        <w:t>Maintenance on further UE complexity reduction for eRedCap</w:t>
      </w:r>
      <w:r w:rsidR="00F74A6F" w:rsidRPr="009537ED">
        <w:rPr>
          <w:lang w:eastAsia="x-none"/>
        </w:rPr>
        <w:tab/>
        <w:t>NTT DOCOMO, INC.</w:t>
      </w:r>
    </w:p>
    <w:p w14:paraId="1FB91739" w14:textId="2FA682E9" w:rsidR="00F74A6F" w:rsidRPr="009537ED" w:rsidRDefault="005A18DC" w:rsidP="00F74A6F">
      <w:pPr>
        <w:rPr>
          <w:lang w:eastAsia="x-none"/>
        </w:rPr>
      </w:pPr>
      <w:hyperlink r:id="rId1280" w:history="1">
        <w:r w:rsidR="00AF7253">
          <w:rPr>
            <w:rStyle w:val="Hyperlink"/>
            <w:lang w:eastAsia="x-none"/>
          </w:rPr>
          <w:t>R1-2311688</w:t>
        </w:r>
      </w:hyperlink>
      <w:r w:rsidR="00F74A6F" w:rsidRPr="009537ED">
        <w:rPr>
          <w:lang w:eastAsia="x-none"/>
        </w:rPr>
        <w:tab/>
        <w:t>Further RedCap UE complexity reduction</w:t>
      </w:r>
      <w:r w:rsidR="00F74A6F" w:rsidRPr="009537ED">
        <w:rPr>
          <w:lang w:eastAsia="x-none"/>
        </w:rPr>
        <w:tab/>
        <w:t>Apple</w:t>
      </w:r>
    </w:p>
    <w:p w14:paraId="1ABCA95F" w14:textId="21631684" w:rsidR="00F74A6F" w:rsidRPr="009537ED" w:rsidRDefault="005A18DC" w:rsidP="00F74A6F">
      <w:pPr>
        <w:rPr>
          <w:lang w:eastAsia="x-none"/>
        </w:rPr>
      </w:pPr>
      <w:hyperlink r:id="rId1281" w:history="1">
        <w:r w:rsidR="00AF7253">
          <w:rPr>
            <w:rStyle w:val="Hyperlink"/>
            <w:lang w:eastAsia="x-none"/>
          </w:rPr>
          <w:t>R1-2311746</w:t>
        </w:r>
      </w:hyperlink>
      <w:r w:rsidR="00F74A6F" w:rsidRPr="009537ED">
        <w:rPr>
          <w:lang w:eastAsia="x-none"/>
        </w:rPr>
        <w:tab/>
        <w:t>Discussion on UE complexity reduction</w:t>
      </w:r>
      <w:r w:rsidR="00F74A6F" w:rsidRPr="009537ED">
        <w:rPr>
          <w:lang w:eastAsia="x-none"/>
        </w:rPr>
        <w:tab/>
        <w:t>DENSO CORPORATION</w:t>
      </w:r>
    </w:p>
    <w:p w14:paraId="52BA55D0" w14:textId="49A22E20" w:rsidR="00F74A6F" w:rsidRPr="009537ED" w:rsidRDefault="005A18DC" w:rsidP="00F74A6F">
      <w:pPr>
        <w:rPr>
          <w:lang w:eastAsia="x-none"/>
        </w:rPr>
      </w:pPr>
      <w:hyperlink r:id="rId1282" w:history="1">
        <w:r w:rsidR="00AF7253">
          <w:rPr>
            <w:rStyle w:val="Hyperlink"/>
            <w:lang w:eastAsia="x-none"/>
          </w:rPr>
          <w:t>R1-2311749</w:t>
        </w:r>
      </w:hyperlink>
      <w:r w:rsidR="00F74A6F" w:rsidRPr="009537ED">
        <w:rPr>
          <w:lang w:eastAsia="x-none"/>
        </w:rPr>
        <w:tab/>
        <w:t>Remaining issues on UE complexity reduction</w:t>
      </w:r>
      <w:r w:rsidR="00F74A6F" w:rsidRPr="009537ED">
        <w:rPr>
          <w:lang w:eastAsia="x-none"/>
        </w:rPr>
        <w:tab/>
        <w:t>Sharp</w:t>
      </w:r>
    </w:p>
    <w:p w14:paraId="517ADE29" w14:textId="522C1C63" w:rsidR="00F74A6F" w:rsidRPr="009537ED" w:rsidRDefault="005A18DC" w:rsidP="00F74A6F">
      <w:pPr>
        <w:rPr>
          <w:lang w:eastAsia="x-none"/>
        </w:rPr>
      </w:pPr>
      <w:hyperlink r:id="rId1283" w:history="1">
        <w:r w:rsidR="00AF7253">
          <w:rPr>
            <w:rStyle w:val="Hyperlink"/>
            <w:lang w:eastAsia="x-none"/>
          </w:rPr>
          <w:t>R1-2311786</w:t>
        </w:r>
      </w:hyperlink>
      <w:r w:rsidR="00F74A6F" w:rsidRPr="009537ED">
        <w:rPr>
          <w:lang w:eastAsia="x-none"/>
        </w:rPr>
        <w:tab/>
        <w:t>Remaining Issues for eRedCap</w:t>
      </w:r>
      <w:r w:rsidR="00F74A6F" w:rsidRPr="009537ED">
        <w:rPr>
          <w:lang w:eastAsia="x-none"/>
        </w:rPr>
        <w:tab/>
        <w:t>Nokia, Nokia Shanghai Bell</w:t>
      </w:r>
    </w:p>
    <w:p w14:paraId="71A99D50" w14:textId="367E0951" w:rsidR="00F74A6F" w:rsidRPr="009537ED" w:rsidRDefault="005A18DC" w:rsidP="00F74A6F">
      <w:pPr>
        <w:rPr>
          <w:lang w:eastAsia="x-none"/>
        </w:rPr>
      </w:pPr>
      <w:hyperlink r:id="rId1284" w:history="1">
        <w:r w:rsidR="00AF7253">
          <w:rPr>
            <w:rStyle w:val="Hyperlink"/>
            <w:lang w:eastAsia="x-none"/>
          </w:rPr>
          <w:t>R1-2311797</w:t>
        </w:r>
      </w:hyperlink>
      <w:r w:rsidR="00F74A6F" w:rsidRPr="009537ED">
        <w:rPr>
          <w:lang w:eastAsia="x-none"/>
        </w:rPr>
        <w:tab/>
        <w:t>Remaining issues on UE complexity reduction</w:t>
      </w:r>
      <w:r w:rsidR="00F74A6F" w:rsidRPr="009537ED">
        <w:rPr>
          <w:lang w:eastAsia="x-none"/>
        </w:rPr>
        <w:tab/>
        <w:t>Transsion Holdings</w:t>
      </w:r>
    </w:p>
    <w:p w14:paraId="1304FEC6" w14:textId="1028DA1C" w:rsidR="00F74A6F" w:rsidRPr="009537ED" w:rsidRDefault="005A18DC" w:rsidP="00F74A6F">
      <w:pPr>
        <w:rPr>
          <w:lang w:eastAsia="x-none"/>
        </w:rPr>
      </w:pPr>
      <w:hyperlink r:id="rId1285" w:history="1">
        <w:r w:rsidR="00AF7253">
          <w:rPr>
            <w:rStyle w:val="Hyperlink"/>
            <w:lang w:eastAsia="x-none"/>
          </w:rPr>
          <w:t>R1-2311848</w:t>
        </w:r>
      </w:hyperlink>
      <w:r w:rsidR="00F74A6F" w:rsidRPr="009537ED">
        <w:rPr>
          <w:lang w:eastAsia="x-none"/>
        </w:rPr>
        <w:tab/>
        <w:t>Remaining issues on further UE complexity reduction for eRedCap</w:t>
      </w:r>
      <w:r w:rsidR="00F74A6F" w:rsidRPr="009537ED">
        <w:rPr>
          <w:lang w:eastAsia="x-none"/>
        </w:rPr>
        <w:tab/>
        <w:t>Samsung</w:t>
      </w:r>
    </w:p>
    <w:p w14:paraId="41AEBD62" w14:textId="5A9C256C" w:rsidR="00F74A6F" w:rsidRPr="009537ED" w:rsidRDefault="005A18DC" w:rsidP="00F74A6F">
      <w:pPr>
        <w:rPr>
          <w:lang w:eastAsia="x-none"/>
        </w:rPr>
      </w:pPr>
      <w:hyperlink r:id="rId1286" w:history="1">
        <w:r w:rsidR="00AF7253">
          <w:rPr>
            <w:rStyle w:val="Hyperlink"/>
            <w:lang w:eastAsia="x-none"/>
          </w:rPr>
          <w:t>R1-2311894</w:t>
        </w:r>
      </w:hyperlink>
      <w:r w:rsidR="00F74A6F" w:rsidRPr="009537ED">
        <w:rPr>
          <w:lang w:eastAsia="x-none"/>
        </w:rPr>
        <w:tab/>
        <w:t>Remaining issues of further UE complexity reduction for eRedCap</w:t>
      </w:r>
      <w:r w:rsidR="00F74A6F" w:rsidRPr="009537ED">
        <w:rPr>
          <w:lang w:eastAsia="x-none"/>
        </w:rPr>
        <w:tab/>
        <w:t>LG Electronics</w:t>
      </w:r>
    </w:p>
    <w:p w14:paraId="67A42F11" w14:textId="71D3B50A" w:rsidR="00F74A6F" w:rsidRPr="009537ED" w:rsidRDefault="005A18DC" w:rsidP="00F74A6F">
      <w:pPr>
        <w:rPr>
          <w:lang w:eastAsia="x-none"/>
        </w:rPr>
      </w:pPr>
      <w:hyperlink r:id="rId1287" w:history="1">
        <w:r w:rsidR="00AF7253">
          <w:rPr>
            <w:rStyle w:val="Hyperlink"/>
            <w:lang w:eastAsia="x-none"/>
          </w:rPr>
          <w:t>R1-2311978</w:t>
        </w:r>
      </w:hyperlink>
      <w:r w:rsidR="00F74A6F" w:rsidRPr="009537ED">
        <w:rPr>
          <w:lang w:eastAsia="x-none"/>
        </w:rPr>
        <w:tab/>
        <w:t>Maintenance on eRedCap UE complexity reduction</w:t>
      </w:r>
      <w:r w:rsidR="00F74A6F" w:rsidRPr="009537ED">
        <w:rPr>
          <w:lang w:eastAsia="x-none"/>
        </w:rPr>
        <w:tab/>
        <w:t>MediaTek Inc.</w:t>
      </w:r>
    </w:p>
    <w:p w14:paraId="20AE908B" w14:textId="143ABFB2" w:rsidR="00F74A6F" w:rsidRPr="009537ED" w:rsidRDefault="005A18DC" w:rsidP="00F74A6F">
      <w:pPr>
        <w:rPr>
          <w:lang w:eastAsia="x-none"/>
        </w:rPr>
      </w:pPr>
      <w:hyperlink r:id="rId1288" w:history="1">
        <w:r w:rsidR="00AF7253">
          <w:rPr>
            <w:rStyle w:val="Hyperlink"/>
            <w:lang w:eastAsia="x-none"/>
          </w:rPr>
          <w:t>R1-2312040</w:t>
        </w:r>
      </w:hyperlink>
      <w:r w:rsidR="00F74A6F" w:rsidRPr="009537ED">
        <w:rPr>
          <w:lang w:eastAsia="x-none"/>
        </w:rPr>
        <w:tab/>
        <w:t>UE complexity reduction for eRedCap</w:t>
      </w:r>
      <w:r w:rsidR="00F74A6F" w:rsidRPr="009537ED">
        <w:rPr>
          <w:lang w:eastAsia="x-none"/>
        </w:rPr>
        <w:tab/>
        <w:t>Qualcomm Incorporated</w:t>
      </w:r>
    </w:p>
    <w:p w14:paraId="63EBF784" w14:textId="0E0238CF" w:rsidR="00F74A6F" w:rsidRPr="009537ED" w:rsidRDefault="005A18DC" w:rsidP="00F74A6F">
      <w:pPr>
        <w:rPr>
          <w:lang w:eastAsia="x-none"/>
        </w:rPr>
      </w:pPr>
      <w:hyperlink r:id="rId1289" w:history="1">
        <w:r w:rsidR="00AF7253">
          <w:rPr>
            <w:rStyle w:val="Hyperlink"/>
            <w:lang w:eastAsia="x-none"/>
          </w:rPr>
          <w:t>R1-2312126</w:t>
        </w:r>
      </w:hyperlink>
      <w:r w:rsidR="00F74A6F" w:rsidRPr="009537ED">
        <w:rPr>
          <w:lang w:eastAsia="x-none"/>
        </w:rPr>
        <w:tab/>
        <w:t>On maintenance of further complexity reduction of NR UE</w:t>
      </w:r>
      <w:r w:rsidR="00F74A6F" w:rsidRPr="009537ED">
        <w:rPr>
          <w:lang w:eastAsia="x-none"/>
        </w:rPr>
        <w:tab/>
        <w:t>Nordic Semiconductor ASA</w:t>
      </w:r>
    </w:p>
    <w:p w14:paraId="6E8366AE" w14:textId="38C3C1BE" w:rsidR="00F74A6F" w:rsidRPr="009537ED" w:rsidRDefault="005A18DC" w:rsidP="00F74A6F">
      <w:pPr>
        <w:rPr>
          <w:lang w:eastAsia="x-none"/>
        </w:rPr>
      </w:pPr>
      <w:hyperlink r:id="rId1290" w:history="1">
        <w:r w:rsidR="00AF7253">
          <w:rPr>
            <w:rStyle w:val="Hyperlink"/>
            <w:lang w:eastAsia="x-none"/>
          </w:rPr>
          <w:t>R1-2312167</w:t>
        </w:r>
      </w:hyperlink>
      <w:r w:rsidR="00F74A6F" w:rsidRPr="009537ED">
        <w:rPr>
          <w:lang w:eastAsia="x-none"/>
        </w:rPr>
        <w:tab/>
        <w:t>Maintenance issues for Rel-18 eRedCap</w:t>
      </w:r>
      <w:r w:rsidR="00F74A6F" w:rsidRPr="009537ED">
        <w:rPr>
          <w:lang w:eastAsia="x-none"/>
        </w:rPr>
        <w:tab/>
        <w:t>Ericsson</w:t>
      </w:r>
    </w:p>
    <w:p w14:paraId="42071859" w14:textId="5CE0C800" w:rsidR="00F74A6F" w:rsidRDefault="005A18DC" w:rsidP="00F74A6F">
      <w:pPr>
        <w:rPr>
          <w:lang w:eastAsia="x-none"/>
        </w:rPr>
      </w:pPr>
      <w:hyperlink r:id="rId1291" w:history="1">
        <w:r w:rsidR="00AF7253">
          <w:rPr>
            <w:rStyle w:val="Hyperlink"/>
            <w:lang w:eastAsia="x-none"/>
          </w:rPr>
          <w:t>R1-2312204</w:t>
        </w:r>
      </w:hyperlink>
      <w:r w:rsidR="00F74A6F" w:rsidRPr="009537ED">
        <w:rPr>
          <w:lang w:eastAsia="x-none"/>
        </w:rPr>
        <w:tab/>
        <w:t>Maintenance issues for UE Redcap</w:t>
      </w:r>
      <w:r w:rsidR="00F74A6F" w:rsidRPr="009537ED">
        <w:rPr>
          <w:lang w:eastAsia="x-none"/>
        </w:rPr>
        <w:tab/>
        <w:t>Sony</w:t>
      </w:r>
    </w:p>
    <w:p w14:paraId="5F7DC7E6" w14:textId="77777777" w:rsidR="00E452A8" w:rsidRDefault="00E452A8" w:rsidP="00F74A6F">
      <w:pPr>
        <w:rPr>
          <w:lang w:eastAsia="x-none"/>
        </w:rPr>
      </w:pPr>
    </w:p>
    <w:p w14:paraId="1CB1A506" w14:textId="0AD4FA94" w:rsidR="00E452A8" w:rsidRPr="00E452A8" w:rsidRDefault="005A18DC" w:rsidP="00E452A8">
      <w:pPr>
        <w:rPr>
          <w:b/>
          <w:lang w:val="en-US" w:eastAsia="x-none"/>
        </w:rPr>
      </w:pPr>
      <w:hyperlink r:id="rId1292" w:history="1">
        <w:r w:rsidR="00AF7253">
          <w:rPr>
            <w:rStyle w:val="Hyperlink"/>
            <w:b/>
            <w:lang w:val="en-US" w:eastAsia="x-none"/>
          </w:rPr>
          <w:t>R1-2312280</w:t>
        </w:r>
      </w:hyperlink>
      <w:r w:rsidR="00E452A8" w:rsidRPr="00E452A8">
        <w:rPr>
          <w:b/>
          <w:lang w:val="en-US" w:eastAsia="x-none"/>
        </w:rPr>
        <w:tab/>
        <w:t>FL summary #1 on Rel-18 RedCap UE complexity reduction</w:t>
      </w:r>
      <w:r w:rsidR="00E452A8" w:rsidRPr="00E452A8">
        <w:rPr>
          <w:b/>
          <w:lang w:val="en-US" w:eastAsia="x-none"/>
        </w:rPr>
        <w:tab/>
        <w:t>Moderator (Ericsson)</w:t>
      </w:r>
    </w:p>
    <w:p w14:paraId="66149B23" w14:textId="708CB9FF" w:rsidR="00E452A8" w:rsidRPr="00E452A8" w:rsidRDefault="00E452A8" w:rsidP="00E452A8">
      <w:pPr>
        <w:rPr>
          <w:lang w:val="en-US" w:eastAsia="x-none"/>
        </w:rPr>
      </w:pPr>
      <w:r>
        <w:rPr>
          <w:lang w:val="en-US" w:eastAsia="x-none"/>
        </w:rPr>
        <w:lastRenderedPageBreak/>
        <w:t>From Tuesday session</w:t>
      </w:r>
    </w:p>
    <w:p w14:paraId="262E72BA" w14:textId="77777777" w:rsidR="00E452A8" w:rsidRPr="00E452A8" w:rsidRDefault="00E452A8" w:rsidP="00E452A8">
      <w:pPr>
        <w:rPr>
          <w:bCs/>
          <w:lang w:val="en-US"/>
        </w:rPr>
      </w:pPr>
      <w:r w:rsidRPr="00E452A8">
        <w:rPr>
          <w:bCs/>
          <w:highlight w:val="green"/>
          <w:lang w:val="en-US"/>
        </w:rPr>
        <w:t>Agreement</w:t>
      </w:r>
    </w:p>
    <w:p w14:paraId="5EF41D7D" w14:textId="77777777" w:rsidR="00E452A8" w:rsidRPr="00E452A8" w:rsidRDefault="00E452A8" w:rsidP="00AA1D48">
      <w:pPr>
        <w:numPr>
          <w:ilvl w:val="0"/>
          <w:numId w:val="140"/>
        </w:numPr>
        <w:spacing w:after="180" w:line="252" w:lineRule="auto"/>
        <w:contextualSpacing/>
        <w:jc w:val="both"/>
        <w:rPr>
          <w:bCs/>
          <w:szCs w:val="22"/>
          <w:lang w:val="en-US" w:eastAsia="x-none"/>
        </w:rPr>
      </w:pPr>
      <w:r w:rsidRPr="00E452A8">
        <w:rPr>
          <w:bCs/>
          <w:szCs w:val="22"/>
          <w:lang w:val="en-US" w:eastAsia="x-none"/>
        </w:rPr>
        <w:t>If MsgA PRACH early indication for Rel-17 RedCap UEs is configured, a Rel-18 eRedCap UE shall share the MsgA PRACH that is configured for Rel-17 RedCap UEs if the Rel-18 eRedCap UE performs 2-step RACH.</w:t>
      </w:r>
    </w:p>
    <w:p w14:paraId="561C2F08" w14:textId="77777777" w:rsidR="00E452A8" w:rsidRPr="00E452A8" w:rsidRDefault="00E452A8" w:rsidP="00AA1D48">
      <w:pPr>
        <w:numPr>
          <w:ilvl w:val="1"/>
          <w:numId w:val="140"/>
        </w:numPr>
        <w:spacing w:after="180" w:line="252" w:lineRule="auto"/>
        <w:contextualSpacing/>
        <w:jc w:val="both"/>
        <w:rPr>
          <w:bCs/>
          <w:szCs w:val="22"/>
          <w:lang w:val="en-US" w:eastAsia="x-none"/>
        </w:rPr>
      </w:pPr>
      <w:r w:rsidRPr="00E452A8">
        <w:rPr>
          <w:bCs/>
          <w:szCs w:val="22"/>
          <w:lang w:val="en-US" w:eastAsia="x-none"/>
        </w:rPr>
        <w:t>Send LS to RAN2 to inform about this agreement.</w:t>
      </w:r>
    </w:p>
    <w:p w14:paraId="039A34A3" w14:textId="77777777" w:rsidR="00E452A8" w:rsidRPr="00E452A8" w:rsidRDefault="00E452A8" w:rsidP="00E452A8">
      <w:pPr>
        <w:rPr>
          <w:bCs/>
          <w:lang w:val="en-US" w:eastAsia="x-none"/>
        </w:rPr>
      </w:pPr>
    </w:p>
    <w:p w14:paraId="4DE20045" w14:textId="77777777" w:rsidR="00E452A8" w:rsidRPr="00E452A8" w:rsidRDefault="00E452A8" w:rsidP="00E452A8">
      <w:pPr>
        <w:rPr>
          <w:bCs/>
          <w:u w:val="single"/>
          <w:lang w:val="en-US"/>
        </w:rPr>
      </w:pPr>
      <w:r w:rsidRPr="00E452A8">
        <w:rPr>
          <w:bCs/>
          <w:u w:val="single"/>
          <w:lang w:val="en-US"/>
        </w:rPr>
        <w:t>Conclusion</w:t>
      </w:r>
    </w:p>
    <w:p w14:paraId="7231339A" w14:textId="77777777" w:rsidR="00E452A8" w:rsidRPr="00E452A8" w:rsidRDefault="00E452A8" w:rsidP="00E452A8">
      <w:pPr>
        <w:rPr>
          <w:bCs/>
          <w:lang w:val="en-US"/>
        </w:rPr>
      </w:pPr>
      <w:r w:rsidRPr="00E452A8">
        <w:rPr>
          <w:bCs/>
          <w:lang w:val="en-US"/>
        </w:rPr>
        <w:t>It is up to RAN2 to decide whether or not to change the current default values of the peak rate related UE capability parameters.</w:t>
      </w:r>
    </w:p>
    <w:p w14:paraId="6495814C" w14:textId="77777777" w:rsidR="00E452A8" w:rsidRDefault="00E452A8" w:rsidP="00E452A8">
      <w:pPr>
        <w:rPr>
          <w:bCs/>
          <w:lang w:val="en-US" w:eastAsia="x-none"/>
        </w:rPr>
      </w:pPr>
      <w:r w:rsidRPr="00E452A8">
        <w:rPr>
          <w:bCs/>
          <w:lang w:val="en-US" w:eastAsia="x-none"/>
        </w:rPr>
        <w:t>Send this conclusion in LS to RAN2.</w:t>
      </w:r>
    </w:p>
    <w:p w14:paraId="004B7A71" w14:textId="4C7FEAEF" w:rsidR="00434344" w:rsidRPr="00434344" w:rsidRDefault="005A18DC" w:rsidP="00434344">
      <w:pPr>
        <w:rPr>
          <w:b/>
          <w:bCs/>
          <w:lang w:val="en-US" w:eastAsia="x-none"/>
        </w:rPr>
      </w:pPr>
      <w:hyperlink r:id="rId1293" w:history="1">
        <w:r w:rsidR="00AF7253">
          <w:rPr>
            <w:rStyle w:val="Hyperlink"/>
            <w:b/>
            <w:bCs/>
            <w:lang w:val="en-US" w:eastAsia="x-none"/>
          </w:rPr>
          <w:t>R1-2312617</w:t>
        </w:r>
      </w:hyperlink>
      <w:r w:rsidR="00434344" w:rsidRPr="00434344">
        <w:rPr>
          <w:b/>
          <w:bCs/>
          <w:lang w:val="en-US" w:eastAsia="x-none"/>
        </w:rPr>
        <w:tab/>
        <w:t>Draft LS on eRedCap agreements on early indication in MsgA PRACH and on peak rate related capability parameters</w:t>
      </w:r>
      <w:r w:rsidR="00434344" w:rsidRPr="00434344">
        <w:rPr>
          <w:b/>
          <w:bCs/>
          <w:lang w:val="en-US" w:eastAsia="x-none"/>
        </w:rPr>
        <w:tab/>
        <w:t>Ericsson</w:t>
      </w:r>
    </w:p>
    <w:p w14:paraId="062BC06A" w14:textId="06B70922" w:rsidR="00434344" w:rsidRDefault="00434344" w:rsidP="00434344">
      <w:pPr>
        <w:rPr>
          <w:lang w:val="en-US" w:eastAsia="x-none"/>
        </w:rPr>
      </w:pPr>
      <w:r w:rsidRPr="00434344">
        <w:rPr>
          <w:b/>
          <w:lang w:val="en-US" w:eastAsia="x-none"/>
        </w:rPr>
        <w:t>Thursday decision:</w:t>
      </w:r>
      <w:r>
        <w:rPr>
          <w:bCs/>
          <w:lang w:val="en-US" w:eastAsia="x-none"/>
        </w:rPr>
        <w:t xml:space="preserve"> The d</w:t>
      </w:r>
      <w:r>
        <w:rPr>
          <w:lang w:val="en-US" w:eastAsia="x-none"/>
        </w:rPr>
        <w:t xml:space="preserve">raft LS in </w:t>
      </w:r>
      <w:hyperlink r:id="rId1294" w:history="1">
        <w:r w:rsidR="00AF7253">
          <w:rPr>
            <w:rStyle w:val="Hyperlink"/>
            <w:lang w:val="en-US" w:eastAsia="x-none"/>
          </w:rPr>
          <w:t>R1-2312617</w:t>
        </w:r>
      </w:hyperlink>
      <w:r>
        <w:rPr>
          <w:b/>
          <w:lang w:val="en-US" w:eastAsia="x-none"/>
        </w:rPr>
        <w:t xml:space="preserve"> </w:t>
      </w:r>
      <w:r w:rsidRPr="000A0DED">
        <w:rPr>
          <w:lang w:val="en-US" w:eastAsia="x-none"/>
        </w:rPr>
        <w:t xml:space="preserve">is endorsed. Final LS is </w:t>
      </w:r>
      <w:r w:rsidRPr="00434344">
        <w:rPr>
          <w:highlight w:val="green"/>
          <w:lang w:val="en-US" w:eastAsia="x-none"/>
        </w:rPr>
        <w:t xml:space="preserve">approved in </w:t>
      </w:r>
      <w:hyperlink r:id="rId1295" w:history="1">
        <w:r w:rsidR="00AF7253">
          <w:rPr>
            <w:rStyle w:val="Hyperlink"/>
            <w:highlight w:val="green"/>
            <w:lang w:val="en-US" w:eastAsia="x-none"/>
          </w:rPr>
          <w:t>R1-2312618</w:t>
        </w:r>
      </w:hyperlink>
      <w:r w:rsidRPr="000A0DED">
        <w:rPr>
          <w:lang w:val="en-US" w:eastAsia="x-none"/>
        </w:rPr>
        <w:t>.</w:t>
      </w:r>
    </w:p>
    <w:p w14:paraId="55AA4F34" w14:textId="57814B6B" w:rsidR="00434344" w:rsidRPr="00E452A8" w:rsidRDefault="00434344" w:rsidP="00E452A8">
      <w:pPr>
        <w:rPr>
          <w:bCs/>
          <w:lang w:val="en-US" w:eastAsia="x-none"/>
        </w:rPr>
      </w:pPr>
    </w:p>
    <w:p w14:paraId="4155B12B" w14:textId="77777777" w:rsidR="00E452A8" w:rsidRPr="00E452A8" w:rsidRDefault="00E452A8" w:rsidP="00E452A8">
      <w:pPr>
        <w:rPr>
          <w:bCs/>
          <w:lang w:val="en-US" w:eastAsia="x-none"/>
        </w:rPr>
      </w:pPr>
    </w:p>
    <w:p w14:paraId="0F7AA4D4" w14:textId="77777777" w:rsidR="00E452A8" w:rsidRPr="00E452A8" w:rsidRDefault="00E452A8" w:rsidP="00E452A8">
      <w:pPr>
        <w:rPr>
          <w:bCs/>
          <w:lang w:val="en-US"/>
        </w:rPr>
      </w:pPr>
      <w:r w:rsidRPr="00E452A8">
        <w:rPr>
          <w:bCs/>
          <w:highlight w:val="green"/>
          <w:lang w:val="en-US"/>
        </w:rPr>
        <w:t>Agreement</w:t>
      </w:r>
    </w:p>
    <w:p w14:paraId="6F120333" w14:textId="77777777" w:rsidR="00E452A8" w:rsidRPr="00E452A8" w:rsidRDefault="00E452A8" w:rsidP="00E452A8">
      <w:pPr>
        <w:rPr>
          <w:bCs/>
          <w:lang w:val="en-US"/>
        </w:rPr>
      </w:pPr>
      <w:r w:rsidRPr="00E452A8">
        <w:rPr>
          <w:bCs/>
          <w:lang w:val="en-US"/>
        </w:rPr>
        <w:t>Adopt the following TP for TS 38.213 clause 17.1A:</w:t>
      </w:r>
    </w:p>
    <w:tbl>
      <w:tblPr>
        <w:tblW w:w="5000" w:type="pct"/>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0683"/>
      </w:tblGrid>
      <w:tr w:rsidR="00E452A8" w:rsidRPr="00E452A8" w14:paraId="3C201783" w14:textId="77777777" w:rsidTr="005E7606">
        <w:tc>
          <w:tcPr>
            <w:tcW w:w="5000" w:type="pct"/>
            <w:shd w:val="clear" w:color="auto" w:fill="auto"/>
          </w:tcPr>
          <w:p w14:paraId="21119F7C" w14:textId="77777777" w:rsidR="00E452A8" w:rsidRPr="00E452A8" w:rsidRDefault="00E452A8" w:rsidP="00E452A8">
            <w:pPr>
              <w:rPr>
                <w:rFonts w:ascii="Arial" w:hAnsi="Arial" w:cs="Arial"/>
                <w:b/>
                <w:sz w:val="16"/>
                <w:szCs w:val="16"/>
                <w:lang w:val="en-US"/>
              </w:rPr>
            </w:pPr>
            <w:r w:rsidRPr="00E452A8">
              <w:rPr>
                <w:rFonts w:ascii="Arial" w:eastAsia="PMingLiU" w:hAnsi="Arial" w:cs="Arial"/>
                <w:kern w:val="2"/>
                <w:sz w:val="16"/>
                <w:szCs w:val="16"/>
                <w:lang w:eastAsia="zh-TW"/>
              </w:rPr>
              <w:t xml:space="preserve">A UE </w:t>
            </w:r>
            <w:r w:rsidRPr="00E452A8">
              <w:rPr>
                <w:rFonts w:ascii="Arial" w:eastAsia="PMingLiU" w:hAnsi="Arial" w:cs="Arial"/>
                <w:strike/>
                <w:color w:val="FF0000"/>
                <w:kern w:val="2"/>
                <w:sz w:val="16"/>
                <w:szCs w:val="16"/>
                <w:lang w:eastAsia="zh-TW"/>
              </w:rPr>
              <w:t>that indicated FG 48-2</w:t>
            </w:r>
            <w:r w:rsidRPr="00E452A8">
              <w:rPr>
                <w:rFonts w:ascii="Arial" w:eastAsia="PMingLiU" w:hAnsi="Arial" w:cs="Arial"/>
                <w:color w:val="FF0000"/>
                <w:kern w:val="2"/>
                <w:sz w:val="16"/>
                <w:szCs w:val="16"/>
                <w:lang w:eastAsia="zh-TW"/>
              </w:rPr>
              <w:t xml:space="preserve"> </w:t>
            </w:r>
            <w:r w:rsidRPr="00E452A8">
              <w:rPr>
                <w:rFonts w:ascii="Arial" w:eastAsia="PMingLiU" w:hAnsi="Arial" w:cs="Arial"/>
                <w:kern w:val="2"/>
                <w:sz w:val="16"/>
                <w:szCs w:val="16"/>
                <w:lang w:eastAsia="zh-TW"/>
              </w:rPr>
              <w:t>does not expect to transmit a PUSCH over a bandwidth that is larger than 25 PRBs for 15 kHz SCS, or larger than 12 PRBs for 30 kHz SCS, per hop in a slot, where the PUSCH is scheduled by RAR UL grant or by a DCI scrambled by a TC-RNTI, or is configured for a Type-2 random access procedure</w:t>
            </w:r>
            <w:r w:rsidRPr="00E452A8">
              <w:rPr>
                <w:rFonts w:ascii="Arial" w:hAnsi="Arial" w:cs="Arial"/>
                <w:kern w:val="2"/>
                <w:sz w:val="16"/>
                <w:szCs w:val="16"/>
              </w:rPr>
              <w:t>.</w:t>
            </w:r>
          </w:p>
        </w:tc>
      </w:tr>
      <w:tr w:rsidR="00E452A8" w:rsidRPr="00E452A8" w14:paraId="567BB597" w14:textId="77777777" w:rsidTr="005E7606">
        <w:tc>
          <w:tcPr>
            <w:tcW w:w="5000" w:type="pct"/>
            <w:shd w:val="clear" w:color="auto" w:fill="auto"/>
          </w:tcPr>
          <w:p w14:paraId="3632D0A9" w14:textId="77777777" w:rsidR="00E452A8" w:rsidRPr="00E452A8" w:rsidRDefault="00E452A8" w:rsidP="00E452A8">
            <w:pPr>
              <w:rPr>
                <w:rFonts w:ascii="Arial" w:eastAsia="PMingLiU" w:hAnsi="Arial" w:cs="Arial"/>
                <w:kern w:val="2"/>
                <w:sz w:val="16"/>
                <w:szCs w:val="16"/>
                <w:lang w:eastAsia="zh-TW"/>
              </w:rPr>
            </w:pPr>
            <w:r w:rsidRPr="00E452A8">
              <w:rPr>
                <w:rFonts w:ascii="Arial" w:hAnsi="Arial" w:cs="Arial"/>
                <w:b/>
                <w:sz w:val="16"/>
                <w:szCs w:val="16"/>
                <w:lang w:val="en-US"/>
              </w:rPr>
              <w:t>Reason for change:</w:t>
            </w:r>
            <w:r w:rsidRPr="00E452A8">
              <w:rPr>
                <w:rFonts w:ascii="Arial" w:hAnsi="Arial" w:cs="Arial"/>
                <w:bCs/>
                <w:sz w:val="16"/>
                <w:szCs w:val="16"/>
                <w:lang w:val="en-US"/>
              </w:rPr>
              <w:t xml:space="preserve"> The formulation “A UE that indicated FG 48-2” may have ambiguous interpretation since the UE may not yet have indicated FG 48-2 when it transmits Msg3.</w:t>
            </w:r>
          </w:p>
        </w:tc>
      </w:tr>
      <w:tr w:rsidR="00E452A8" w:rsidRPr="00E452A8" w14:paraId="03673C24" w14:textId="77777777" w:rsidTr="005E7606">
        <w:tc>
          <w:tcPr>
            <w:tcW w:w="5000" w:type="pct"/>
            <w:shd w:val="clear" w:color="auto" w:fill="auto"/>
          </w:tcPr>
          <w:p w14:paraId="62F245A8" w14:textId="77777777" w:rsidR="00E452A8" w:rsidRPr="00E452A8" w:rsidRDefault="00E452A8" w:rsidP="00E452A8">
            <w:pPr>
              <w:rPr>
                <w:rFonts w:ascii="Arial" w:eastAsia="PMingLiU" w:hAnsi="Arial" w:cs="Arial"/>
                <w:kern w:val="2"/>
                <w:sz w:val="16"/>
                <w:szCs w:val="16"/>
                <w:lang w:eastAsia="zh-TW"/>
              </w:rPr>
            </w:pPr>
            <w:r w:rsidRPr="00E452A8">
              <w:rPr>
                <w:rFonts w:ascii="Arial" w:hAnsi="Arial" w:cs="Arial"/>
                <w:b/>
                <w:sz w:val="16"/>
                <w:szCs w:val="16"/>
                <w:lang w:val="en-US"/>
              </w:rPr>
              <w:t>Summary of change:</w:t>
            </w:r>
            <w:r w:rsidRPr="00E452A8">
              <w:rPr>
                <w:rFonts w:ascii="Arial" w:hAnsi="Arial" w:cs="Arial"/>
                <w:bCs/>
                <w:sz w:val="16"/>
                <w:szCs w:val="16"/>
                <w:lang w:val="en-US"/>
              </w:rPr>
              <w:t xml:space="preserve"> Replace “A UE that indicated FG 48-2” with “A UE”.</w:t>
            </w:r>
          </w:p>
        </w:tc>
      </w:tr>
      <w:tr w:rsidR="00E452A8" w:rsidRPr="00E452A8" w14:paraId="45E7210B" w14:textId="77777777" w:rsidTr="005E7606">
        <w:tc>
          <w:tcPr>
            <w:tcW w:w="5000" w:type="pct"/>
            <w:shd w:val="clear" w:color="auto" w:fill="auto"/>
          </w:tcPr>
          <w:p w14:paraId="2A7AD917" w14:textId="77777777" w:rsidR="00E452A8" w:rsidRPr="00E452A8" w:rsidRDefault="00E452A8" w:rsidP="00E452A8">
            <w:pPr>
              <w:rPr>
                <w:rFonts w:ascii="Arial" w:eastAsia="PMingLiU" w:hAnsi="Arial" w:cs="Arial"/>
                <w:kern w:val="2"/>
                <w:sz w:val="16"/>
                <w:szCs w:val="16"/>
                <w:lang w:eastAsia="zh-TW"/>
              </w:rPr>
            </w:pPr>
            <w:r w:rsidRPr="00E452A8">
              <w:rPr>
                <w:rFonts w:ascii="Arial" w:hAnsi="Arial" w:cs="Arial"/>
                <w:b/>
                <w:sz w:val="16"/>
                <w:szCs w:val="16"/>
                <w:lang w:val="en-US"/>
              </w:rPr>
              <w:t>Consequences if not approved:</w:t>
            </w:r>
            <w:r w:rsidRPr="00E452A8">
              <w:rPr>
                <w:rFonts w:ascii="Arial" w:hAnsi="Arial" w:cs="Arial"/>
                <w:bCs/>
                <w:sz w:val="16"/>
                <w:szCs w:val="16"/>
                <w:lang w:val="en-US"/>
              </w:rPr>
              <w:t xml:space="preserve"> Different interpretations of the current text may result in different implementations of the Msg3 PUSCH transmission for FG 48-2 UEs.</w:t>
            </w:r>
          </w:p>
        </w:tc>
      </w:tr>
    </w:tbl>
    <w:p w14:paraId="3D90B35A" w14:textId="77777777" w:rsidR="00E452A8" w:rsidRPr="00E452A8" w:rsidRDefault="00E452A8" w:rsidP="00E452A8">
      <w:pPr>
        <w:rPr>
          <w:rFonts w:ascii="Times New Roman" w:hAnsi="Times New Roman"/>
          <w:bCs/>
          <w:lang w:val="en-US" w:eastAsia="x-none"/>
        </w:rPr>
      </w:pPr>
    </w:p>
    <w:p w14:paraId="733D512B" w14:textId="77777777" w:rsidR="00E452A8" w:rsidRPr="00E452A8" w:rsidRDefault="00E452A8" w:rsidP="00E452A8">
      <w:pPr>
        <w:rPr>
          <w:rFonts w:ascii="Times New Roman" w:hAnsi="Times New Roman"/>
          <w:bCs/>
          <w:lang w:val="en-US" w:eastAsia="x-none"/>
        </w:rPr>
      </w:pPr>
    </w:p>
    <w:p w14:paraId="5036496A" w14:textId="1D5AA7AD" w:rsidR="00E452A8" w:rsidRPr="00094EF7" w:rsidRDefault="005A18DC" w:rsidP="00E452A8">
      <w:pPr>
        <w:rPr>
          <w:b/>
          <w:bCs/>
          <w:lang w:val="en-US" w:eastAsia="x-none"/>
        </w:rPr>
      </w:pPr>
      <w:hyperlink r:id="rId1296" w:history="1">
        <w:r w:rsidR="00AF7253">
          <w:rPr>
            <w:rStyle w:val="Hyperlink"/>
            <w:b/>
            <w:bCs/>
            <w:lang w:val="en-US" w:eastAsia="x-none"/>
          </w:rPr>
          <w:t>R1-2312281</w:t>
        </w:r>
      </w:hyperlink>
      <w:r w:rsidR="00E452A8" w:rsidRPr="00094EF7">
        <w:rPr>
          <w:b/>
          <w:bCs/>
          <w:lang w:val="en-US" w:eastAsia="x-none"/>
        </w:rPr>
        <w:tab/>
        <w:t>FL summary #2 on Rel-18 RedCap UE complexity reduction</w:t>
      </w:r>
      <w:r w:rsidR="00E452A8" w:rsidRPr="00094EF7">
        <w:rPr>
          <w:b/>
          <w:bCs/>
          <w:lang w:val="en-US" w:eastAsia="x-none"/>
        </w:rPr>
        <w:tab/>
        <w:t>Moderator (Ericsson)</w:t>
      </w:r>
    </w:p>
    <w:p w14:paraId="7A1379B0" w14:textId="3C04550D" w:rsidR="00094EF7" w:rsidRDefault="00094EF7" w:rsidP="00E452A8">
      <w:pPr>
        <w:rPr>
          <w:lang w:val="en-US" w:eastAsia="x-none"/>
        </w:rPr>
      </w:pPr>
      <w:r>
        <w:rPr>
          <w:lang w:val="en-US" w:eastAsia="x-none"/>
        </w:rPr>
        <w:t>From Thursday session</w:t>
      </w:r>
    </w:p>
    <w:p w14:paraId="79D949E8" w14:textId="77777777" w:rsidR="00094EF7" w:rsidRPr="00094EF7" w:rsidRDefault="00094EF7" w:rsidP="00094EF7">
      <w:pPr>
        <w:rPr>
          <w:color w:val="000000"/>
          <w:kern w:val="2"/>
          <w:lang w:val="en-US" w:eastAsia="zh-CN"/>
        </w:rPr>
      </w:pPr>
      <w:r w:rsidRPr="00094EF7">
        <w:rPr>
          <w:color w:val="000000"/>
          <w:kern w:val="2"/>
          <w:highlight w:val="green"/>
          <w:lang w:val="en-US" w:eastAsia="zh-CN"/>
        </w:rPr>
        <w:t>Agreement</w:t>
      </w:r>
    </w:p>
    <w:p w14:paraId="1FF52FB6" w14:textId="77777777" w:rsidR="00094EF7" w:rsidRPr="00094EF7" w:rsidRDefault="00094EF7" w:rsidP="00094EF7">
      <w:pPr>
        <w:rPr>
          <w:color w:val="000000"/>
          <w:kern w:val="2"/>
          <w:lang w:val="en-US" w:eastAsia="zh-CN"/>
        </w:rPr>
      </w:pPr>
      <w:r w:rsidRPr="00094EF7">
        <w:rPr>
          <w:color w:val="000000"/>
          <w:kern w:val="2"/>
          <w:lang w:val="en-US" w:eastAsia="zh-CN"/>
        </w:rPr>
        <w:t xml:space="preserve">TP #3 below is endorsed for </w:t>
      </w:r>
      <w:r w:rsidRPr="00094EF7">
        <w:rPr>
          <w:lang w:val="en-US" w:eastAsia="zh-CN"/>
        </w:rPr>
        <w:t>TS 38.214 clause 5.1</w:t>
      </w:r>
    </w:p>
    <w:tbl>
      <w:tblPr>
        <w:tblW w:w="5000" w:type="pct"/>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0683"/>
      </w:tblGrid>
      <w:tr w:rsidR="00094EF7" w:rsidRPr="00094EF7" w14:paraId="10D11A34" w14:textId="77777777" w:rsidTr="00094EF7">
        <w:tc>
          <w:tcPr>
            <w:tcW w:w="5000" w:type="pct"/>
            <w:shd w:val="clear" w:color="auto" w:fill="auto"/>
          </w:tcPr>
          <w:p w14:paraId="1C341849" w14:textId="77777777" w:rsidR="00094EF7" w:rsidRPr="00094EF7" w:rsidRDefault="00094EF7" w:rsidP="00094EF7">
            <w:pPr>
              <w:rPr>
                <w:rFonts w:ascii="Arial" w:hAnsi="Arial" w:cs="Arial"/>
                <w:color w:val="000000"/>
                <w:kern w:val="2"/>
                <w:sz w:val="16"/>
                <w:szCs w:val="16"/>
                <w:lang w:eastAsia="zh-CN"/>
              </w:rPr>
            </w:pPr>
            <w:r w:rsidRPr="00094EF7">
              <w:rPr>
                <w:rFonts w:ascii="Arial" w:hAnsi="Arial" w:cs="Arial"/>
                <w:color w:val="000000"/>
                <w:kern w:val="2"/>
                <w:sz w:val="16"/>
                <w:szCs w:val="16"/>
                <w:lang w:eastAsia="zh-CN"/>
              </w:rPr>
              <w:t>For a</w:t>
            </w:r>
            <w:r w:rsidRPr="00094EF7">
              <w:rPr>
                <w:rFonts w:ascii="Arial" w:hAnsi="Arial" w:cs="Arial"/>
                <w:sz w:val="16"/>
                <w:szCs w:val="16"/>
                <w:lang w:eastAsia="zh-CN"/>
              </w:rPr>
              <w:t xml:space="preserve"> reduced capability UE that indicates </w:t>
            </w:r>
            <w:r w:rsidRPr="00094EF7">
              <w:rPr>
                <w:rFonts w:ascii="Arial" w:hAnsi="Arial" w:cs="Arial"/>
                <w:i/>
                <w:iCs/>
                <w:sz w:val="16"/>
                <w:szCs w:val="16"/>
              </w:rPr>
              <w:t>supportOfRedCap-r18</w:t>
            </w:r>
            <w:r w:rsidRPr="00094EF7">
              <w:rPr>
                <w:rFonts w:ascii="Arial" w:hAnsi="Arial" w:cs="Arial"/>
                <w:sz w:val="16"/>
                <w:szCs w:val="16"/>
              </w:rPr>
              <w:t xml:space="preserve"> </w:t>
            </w:r>
            <w:r w:rsidRPr="00094EF7">
              <w:rPr>
                <w:rFonts w:ascii="Arial" w:hAnsi="Arial" w:cs="Arial"/>
                <w:sz w:val="16"/>
                <w:szCs w:val="16"/>
                <w:lang w:eastAsia="sv-SE"/>
              </w:rPr>
              <w:t>but not indicating FG 48-2</w:t>
            </w:r>
            <w:r w:rsidRPr="00094EF7">
              <w:rPr>
                <w:rFonts w:ascii="Arial" w:hAnsi="Arial" w:cs="Arial"/>
                <w:color w:val="000000"/>
                <w:kern w:val="2"/>
                <w:sz w:val="16"/>
                <w:szCs w:val="16"/>
                <w:lang w:eastAsia="zh-CN"/>
              </w:rPr>
              <w:t xml:space="preserve">, if the UE is capable of receiving FDMed unicast and multicast/broadcast PDSCH per slot, </w:t>
            </w:r>
            <w:r w:rsidRPr="00094EF7">
              <w:rPr>
                <w:rFonts w:ascii="Arial" w:hAnsi="Arial" w:cs="Arial"/>
                <w:sz w:val="16"/>
                <w:szCs w:val="16"/>
                <w:lang w:eastAsia="zh-CN"/>
              </w:rPr>
              <w:t>the UE</w:t>
            </w:r>
            <w:r w:rsidRPr="00094EF7">
              <w:rPr>
                <w:rFonts w:ascii="Arial" w:hAnsi="Arial" w:cs="Arial"/>
                <w:sz w:val="16"/>
                <w:szCs w:val="16"/>
                <w:lang w:val="en-US"/>
              </w:rPr>
              <w:t xml:space="preserve"> </w:t>
            </w:r>
            <w:r w:rsidRPr="00094EF7">
              <w:rPr>
                <w:rFonts w:ascii="Arial" w:hAnsi="Arial" w:cs="Arial"/>
                <w:sz w:val="16"/>
                <w:szCs w:val="16"/>
                <w:lang w:eastAsia="zh-CN"/>
              </w:rPr>
              <w:t xml:space="preserve">can decode </w:t>
            </w:r>
            <w:r w:rsidRPr="00094EF7">
              <w:rPr>
                <w:rFonts w:ascii="Arial" w:hAnsi="Arial" w:cs="Arial"/>
                <w:color w:val="000000"/>
                <w:kern w:val="2"/>
                <w:sz w:val="16"/>
                <w:szCs w:val="16"/>
                <w:lang w:eastAsia="zh-CN"/>
              </w:rPr>
              <w:t xml:space="preserve">the two PDSCHs, with the two PDSCHs partially or fully overlapping in time in non-overlapping PRBs, </w:t>
            </w:r>
          </w:p>
          <w:p w14:paraId="159460B8" w14:textId="77777777" w:rsidR="00094EF7" w:rsidRPr="00094EF7" w:rsidRDefault="00094EF7" w:rsidP="00A67145">
            <w:pPr>
              <w:numPr>
                <w:ilvl w:val="0"/>
                <w:numId w:val="205"/>
              </w:numPr>
              <w:rPr>
                <w:rFonts w:ascii="Arial" w:hAnsi="Arial" w:cs="Arial"/>
                <w:sz w:val="16"/>
                <w:szCs w:val="16"/>
                <w:lang w:val="en-US"/>
              </w:rPr>
            </w:pPr>
            <w:r w:rsidRPr="00094EF7">
              <w:rPr>
                <w:rFonts w:ascii="Arial" w:hAnsi="Arial" w:cs="Arial"/>
                <w:color w:val="000000"/>
                <w:kern w:val="2"/>
                <w:sz w:val="16"/>
                <w:szCs w:val="16"/>
                <w:lang w:eastAsia="zh-CN"/>
              </w:rPr>
              <w:t xml:space="preserve">if the total number of PRBs allocated is </w:t>
            </w:r>
            <w:r w:rsidRPr="00094EF7">
              <w:rPr>
                <w:rFonts w:ascii="Arial" w:hAnsi="Arial" w:cs="Arial"/>
                <w:sz w:val="16"/>
                <w:szCs w:val="16"/>
                <w:lang w:eastAsia="zh-CN"/>
              </w:rPr>
              <w:t xml:space="preserve">no more than 25 PRBs when configured with SCS </w:t>
            </w:r>
            <w:r w:rsidRPr="00094EF7">
              <w:rPr>
                <w:rFonts w:ascii="Arial" w:hAnsi="Arial" w:cs="Arial"/>
                <w:sz w:val="16"/>
                <w:szCs w:val="16"/>
                <w:lang w:eastAsia="zh-CN"/>
              </w:rPr>
              <w:t xml:space="preserve"> = 0 or no more than 12 PRBs when configured with SCS </w:t>
            </w:r>
            <w:r w:rsidRPr="00094EF7">
              <w:rPr>
                <w:rFonts w:ascii="Arial" w:hAnsi="Arial" w:cs="Arial"/>
                <w:sz w:val="16"/>
                <w:szCs w:val="16"/>
                <w:lang w:eastAsia="zh-CN"/>
              </w:rPr>
              <w:t> = 1</w:t>
            </w:r>
            <w:r w:rsidRPr="00094EF7">
              <w:rPr>
                <w:rFonts w:ascii="Arial" w:hAnsi="Arial" w:cs="Arial"/>
                <w:color w:val="C00000"/>
                <w:sz w:val="16"/>
                <w:szCs w:val="16"/>
                <w:u w:val="single"/>
                <w:lang w:eastAsia="zh-CN"/>
              </w:rPr>
              <w:t>,</w:t>
            </w:r>
          </w:p>
          <w:p w14:paraId="784F2F28" w14:textId="77777777" w:rsidR="00094EF7" w:rsidRPr="00094EF7" w:rsidRDefault="00094EF7" w:rsidP="00A67145">
            <w:pPr>
              <w:numPr>
                <w:ilvl w:val="0"/>
                <w:numId w:val="205"/>
              </w:numPr>
              <w:rPr>
                <w:rFonts w:ascii="Arial" w:hAnsi="Arial" w:cs="Arial"/>
                <w:sz w:val="16"/>
                <w:szCs w:val="16"/>
                <w:lang w:val="en-US"/>
              </w:rPr>
            </w:pPr>
            <w:r w:rsidRPr="00094EF7">
              <w:rPr>
                <w:rFonts w:ascii="Arial" w:hAnsi="Arial" w:cs="Arial"/>
                <w:color w:val="C00000"/>
                <w:kern w:val="2"/>
                <w:sz w:val="16"/>
                <w:szCs w:val="16"/>
                <w:u w:val="single"/>
                <w:lang w:eastAsia="zh-CN"/>
              </w:rPr>
              <w:t>otherwise the UE may skip decoding one of the two PDSCHs</w:t>
            </w:r>
            <w:r w:rsidRPr="00094EF7">
              <w:rPr>
                <w:rFonts w:ascii="Arial" w:hAnsi="Arial" w:cs="Arial"/>
                <w:color w:val="000000"/>
                <w:kern w:val="2"/>
                <w:sz w:val="16"/>
                <w:szCs w:val="16"/>
                <w:lang w:eastAsia="zh-CN"/>
              </w:rPr>
              <w:t>.</w:t>
            </w:r>
          </w:p>
        </w:tc>
      </w:tr>
    </w:tbl>
    <w:p w14:paraId="40E6FC5B" w14:textId="0C2CE66A" w:rsidR="00094EF7" w:rsidRPr="00094EF7" w:rsidRDefault="00094EF7" w:rsidP="00094EF7">
      <w:pPr>
        <w:rPr>
          <w:lang w:val="en-US" w:eastAsia="x-none"/>
        </w:rPr>
      </w:pPr>
    </w:p>
    <w:p w14:paraId="786C0320" w14:textId="77777777" w:rsidR="00094EF7" w:rsidRPr="00094EF7" w:rsidRDefault="00094EF7" w:rsidP="00094EF7">
      <w:pPr>
        <w:rPr>
          <w:lang w:val="en-US" w:eastAsia="x-none"/>
        </w:rPr>
      </w:pPr>
    </w:p>
    <w:p w14:paraId="54A78AB1" w14:textId="51428578" w:rsidR="00E452A8" w:rsidRDefault="004756D3" w:rsidP="00F74A6F">
      <w:pPr>
        <w:rPr>
          <w:lang w:val="en-US" w:eastAsia="x-none"/>
        </w:rPr>
      </w:pPr>
      <w:r>
        <w:rPr>
          <w:lang w:val="en-US" w:eastAsia="x-none"/>
        </w:rPr>
        <w:t xml:space="preserve">Final summary in </w:t>
      </w:r>
      <w:hyperlink r:id="rId1297" w:history="1">
        <w:r w:rsidR="00AF7253">
          <w:rPr>
            <w:rStyle w:val="Hyperlink"/>
            <w:lang w:val="en-US" w:eastAsia="x-none"/>
          </w:rPr>
          <w:t>R1-2312282</w:t>
        </w:r>
      </w:hyperlink>
      <w:r>
        <w:rPr>
          <w:lang w:val="en-US" w:eastAsia="x-none"/>
        </w:rPr>
        <w:t>.</w:t>
      </w:r>
    </w:p>
    <w:p w14:paraId="253DE0FB" w14:textId="77777777" w:rsidR="00F74A6F" w:rsidRPr="009537ED" w:rsidRDefault="00F74A6F" w:rsidP="00F74A6F">
      <w:pPr>
        <w:pStyle w:val="Heading2"/>
      </w:pPr>
      <w:bookmarkStart w:id="624" w:name="_Toc150174467"/>
      <w:bookmarkStart w:id="625" w:name="_Toc159251009"/>
      <w:r w:rsidRPr="009537ED">
        <w:t>Maintenance on Network Energy Savings for NR</w:t>
      </w:r>
      <w:bookmarkEnd w:id="624"/>
      <w:bookmarkEnd w:id="625"/>
    </w:p>
    <w:p w14:paraId="6AC27BEC" w14:textId="77777777" w:rsidR="00314D6C" w:rsidRPr="009537ED" w:rsidRDefault="00F74A6F" w:rsidP="00F74A6F">
      <w:pPr>
        <w:rPr>
          <w:lang w:eastAsia="x-none"/>
        </w:rPr>
      </w:pPr>
      <w:r w:rsidRPr="009537ED">
        <w:rPr>
          <w:lang w:eastAsia="x-none"/>
        </w:rPr>
        <w:t xml:space="preserve">[115-R18-NES] </w:t>
      </w:r>
      <w:r w:rsidR="00314D6C" w:rsidRPr="009537ED">
        <w:rPr>
          <w:lang w:eastAsia="x-none"/>
        </w:rPr>
        <w:t>– Yi (Huawei)</w:t>
      </w:r>
    </w:p>
    <w:p w14:paraId="51ECBE12" w14:textId="5736C222" w:rsidR="00F74A6F" w:rsidRPr="009537ED" w:rsidRDefault="00F74A6F" w:rsidP="00F74A6F">
      <w:pPr>
        <w:rPr>
          <w:lang w:eastAsia="x-none"/>
        </w:rPr>
      </w:pPr>
      <w:r w:rsidRPr="009537ED">
        <w:rPr>
          <w:lang w:eastAsia="x-none"/>
        </w:rPr>
        <w:t>Email discussion on NR network energy savings</w:t>
      </w:r>
    </w:p>
    <w:p w14:paraId="02449DEC" w14:textId="77777777" w:rsidR="00F74A6F" w:rsidRDefault="00F74A6F" w:rsidP="00F74A6F">
      <w:pPr>
        <w:numPr>
          <w:ilvl w:val="0"/>
          <w:numId w:val="69"/>
        </w:numPr>
        <w:rPr>
          <w:lang w:eastAsia="x-none"/>
        </w:rPr>
      </w:pPr>
      <w:r w:rsidRPr="009537ED">
        <w:rPr>
          <w:lang w:eastAsia="x-none"/>
        </w:rPr>
        <w:t>To be used for sharing updates on online/offline schedule, details on what is to be discussed in online/offline sessions, tdoc number of the moderator summary for online session, etc</w:t>
      </w:r>
    </w:p>
    <w:p w14:paraId="2F77CB33" w14:textId="77777777" w:rsidR="00F74A6F" w:rsidRPr="009537ED" w:rsidRDefault="00F74A6F" w:rsidP="00314D6C">
      <w:pPr>
        <w:pStyle w:val="Heading3"/>
      </w:pPr>
      <w:bookmarkStart w:id="626" w:name="_Toc150174468"/>
      <w:bookmarkStart w:id="627" w:name="_Toc159251010"/>
      <w:r w:rsidRPr="009537ED">
        <w:t>Techniques in spatial and power domains</w:t>
      </w:r>
      <w:bookmarkEnd w:id="626"/>
      <w:bookmarkEnd w:id="627"/>
    </w:p>
    <w:p w14:paraId="21BB35BA" w14:textId="4A4ADFBF" w:rsidR="00F74A6F" w:rsidRPr="009537ED" w:rsidRDefault="005A18DC" w:rsidP="00F74A6F">
      <w:pPr>
        <w:rPr>
          <w:lang w:eastAsia="x-none"/>
        </w:rPr>
      </w:pPr>
      <w:hyperlink r:id="rId1298" w:history="1">
        <w:r w:rsidR="00AF7253">
          <w:rPr>
            <w:rStyle w:val="Hyperlink"/>
            <w:lang w:eastAsia="x-none"/>
          </w:rPr>
          <w:t>R1-2310863</w:t>
        </w:r>
      </w:hyperlink>
      <w:r w:rsidR="00F74A6F" w:rsidRPr="009537ED">
        <w:rPr>
          <w:lang w:eastAsia="x-none"/>
        </w:rPr>
        <w:tab/>
        <w:t>Maintenance of CSI enhancements for NES</w:t>
      </w:r>
      <w:r w:rsidR="00F74A6F" w:rsidRPr="009537ED">
        <w:rPr>
          <w:lang w:eastAsia="x-none"/>
        </w:rPr>
        <w:tab/>
        <w:t>Huawei, HiSilicon</w:t>
      </w:r>
    </w:p>
    <w:p w14:paraId="2608DE03" w14:textId="333916DB" w:rsidR="00F74A6F" w:rsidRPr="009537ED" w:rsidRDefault="005A18DC" w:rsidP="00F74A6F">
      <w:pPr>
        <w:rPr>
          <w:lang w:eastAsia="x-none"/>
        </w:rPr>
      </w:pPr>
      <w:hyperlink r:id="rId1299" w:history="1">
        <w:r w:rsidR="00AF7253">
          <w:rPr>
            <w:rStyle w:val="Hyperlink"/>
            <w:lang w:eastAsia="x-none"/>
          </w:rPr>
          <w:t>R1-2310985</w:t>
        </w:r>
      </w:hyperlink>
      <w:r w:rsidR="00F74A6F" w:rsidRPr="009537ED">
        <w:rPr>
          <w:lang w:eastAsia="x-none"/>
        </w:rPr>
        <w:tab/>
        <w:t>Techniques in spatial and power domains</w:t>
      </w:r>
      <w:r w:rsidR="00F74A6F" w:rsidRPr="009537ED">
        <w:rPr>
          <w:lang w:eastAsia="x-none"/>
        </w:rPr>
        <w:tab/>
        <w:t>Nokia, Nokia Shanghai Bell</w:t>
      </w:r>
    </w:p>
    <w:p w14:paraId="3D39F0D5" w14:textId="3F0DB23E" w:rsidR="00F74A6F" w:rsidRPr="009537ED" w:rsidRDefault="005A18DC" w:rsidP="00F74A6F">
      <w:pPr>
        <w:rPr>
          <w:lang w:eastAsia="x-none"/>
        </w:rPr>
      </w:pPr>
      <w:hyperlink r:id="rId1300" w:history="1">
        <w:r w:rsidR="00AF7253">
          <w:rPr>
            <w:rStyle w:val="Hyperlink"/>
            <w:lang w:eastAsia="x-none"/>
          </w:rPr>
          <w:t>R1-2310993</w:t>
        </w:r>
      </w:hyperlink>
      <w:r w:rsidR="00F74A6F" w:rsidRPr="009537ED">
        <w:rPr>
          <w:lang w:eastAsia="x-none"/>
        </w:rPr>
        <w:tab/>
        <w:t>Discussion on NES techniques in spatial and power domains</w:t>
      </w:r>
      <w:r w:rsidR="00F74A6F" w:rsidRPr="009537ED">
        <w:rPr>
          <w:lang w:eastAsia="x-none"/>
        </w:rPr>
        <w:tab/>
        <w:t>ZTE, Sanechips</w:t>
      </w:r>
    </w:p>
    <w:p w14:paraId="72D8E9C0" w14:textId="0A56D11B" w:rsidR="00F74A6F" w:rsidRPr="009537ED" w:rsidRDefault="005A18DC" w:rsidP="00F74A6F">
      <w:pPr>
        <w:rPr>
          <w:lang w:eastAsia="x-none"/>
        </w:rPr>
      </w:pPr>
      <w:hyperlink r:id="rId1301" w:history="1">
        <w:r w:rsidR="00AF7253">
          <w:rPr>
            <w:rStyle w:val="Hyperlink"/>
            <w:lang w:eastAsia="x-none"/>
          </w:rPr>
          <w:t>R1-2311051</w:t>
        </w:r>
      </w:hyperlink>
      <w:r w:rsidR="00F74A6F" w:rsidRPr="009537ED">
        <w:rPr>
          <w:lang w:eastAsia="x-none"/>
        </w:rPr>
        <w:tab/>
        <w:t>Remaining details on NW energy saving techniques in spatial and power domains</w:t>
      </w:r>
      <w:r w:rsidR="00F74A6F" w:rsidRPr="009537ED">
        <w:rPr>
          <w:lang w:eastAsia="x-none"/>
        </w:rPr>
        <w:tab/>
        <w:t>Fujitsu</w:t>
      </w:r>
    </w:p>
    <w:p w14:paraId="068C6ACE" w14:textId="164F430B" w:rsidR="00F74A6F" w:rsidRPr="009537ED" w:rsidRDefault="005A18DC" w:rsidP="00F74A6F">
      <w:pPr>
        <w:rPr>
          <w:lang w:eastAsia="x-none"/>
        </w:rPr>
      </w:pPr>
      <w:hyperlink r:id="rId1302" w:history="1">
        <w:r w:rsidR="00AF7253">
          <w:rPr>
            <w:rStyle w:val="Hyperlink"/>
            <w:lang w:eastAsia="x-none"/>
          </w:rPr>
          <w:t>R1-2311102</w:t>
        </w:r>
      </w:hyperlink>
      <w:r w:rsidR="00F74A6F" w:rsidRPr="009537ED">
        <w:rPr>
          <w:lang w:eastAsia="x-none"/>
        </w:rPr>
        <w:tab/>
        <w:t>Remaining issues on NES techniques in spatial and power domain</w:t>
      </w:r>
      <w:r w:rsidR="00F74A6F" w:rsidRPr="009537ED">
        <w:rPr>
          <w:lang w:eastAsia="x-none"/>
        </w:rPr>
        <w:tab/>
        <w:t>vivo</w:t>
      </w:r>
    </w:p>
    <w:p w14:paraId="53EA24A5" w14:textId="671F8339" w:rsidR="00F74A6F" w:rsidRPr="009537ED" w:rsidRDefault="005A18DC" w:rsidP="00F74A6F">
      <w:pPr>
        <w:rPr>
          <w:lang w:eastAsia="x-none"/>
        </w:rPr>
      </w:pPr>
      <w:hyperlink r:id="rId1303" w:history="1">
        <w:r w:rsidR="00AF7253">
          <w:rPr>
            <w:rStyle w:val="Hyperlink"/>
            <w:lang w:eastAsia="x-none"/>
          </w:rPr>
          <w:t>R1-2311137</w:t>
        </w:r>
      </w:hyperlink>
      <w:r w:rsidR="00F74A6F" w:rsidRPr="009537ED">
        <w:rPr>
          <w:lang w:eastAsia="x-none"/>
        </w:rPr>
        <w:tab/>
      </w:r>
      <w:r w:rsidR="00314D6C" w:rsidRPr="009537ED">
        <w:rPr>
          <w:lang w:eastAsia="x-none"/>
        </w:rPr>
        <w:t>Maintenance</w:t>
      </w:r>
      <w:r w:rsidR="00F74A6F" w:rsidRPr="009537ED">
        <w:rPr>
          <w:lang w:eastAsia="x-none"/>
        </w:rPr>
        <w:t xml:space="preserve"> issues of NES spatial and power domain operations</w:t>
      </w:r>
      <w:r w:rsidR="00F74A6F" w:rsidRPr="009537ED">
        <w:rPr>
          <w:lang w:eastAsia="x-none"/>
        </w:rPr>
        <w:tab/>
        <w:t>Intel Corporation</w:t>
      </w:r>
    </w:p>
    <w:p w14:paraId="588CB68A" w14:textId="11DF2EDC" w:rsidR="00F74A6F" w:rsidRPr="009537ED" w:rsidRDefault="005A18DC" w:rsidP="00F74A6F">
      <w:pPr>
        <w:rPr>
          <w:lang w:eastAsia="x-none"/>
        </w:rPr>
      </w:pPr>
      <w:hyperlink r:id="rId1304" w:history="1">
        <w:r w:rsidR="00AF7253">
          <w:rPr>
            <w:rStyle w:val="Hyperlink"/>
            <w:lang w:eastAsia="x-none"/>
          </w:rPr>
          <w:t>R1-2311170</w:t>
        </w:r>
      </w:hyperlink>
      <w:r w:rsidR="00F74A6F" w:rsidRPr="009537ED">
        <w:rPr>
          <w:lang w:eastAsia="x-none"/>
        </w:rPr>
        <w:tab/>
        <w:t>Remaining issues on NES techniques in spatial and power domains</w:t>
      </w:r>
      <w:r w:rsidR="00F74A6F" w:rsidRPr="009537ED">
        <w:rPr>
          <w:lang w:eastAsia="x-none"/>
        </w:rPr>
        <w:tab/>
        <w:t>Spreadtrum Communications</w:t>
      </w:r>
    </w:p>
    <w:p w14:paraId="2943BBDA" w14:textId="77C4A134" w:rsidR="00F74A6F" w:rsidRPr="009537ED" w:rsidRDefault="005A18DC" w:rsidP="00F74A6F">
      <w:pPr>
        <w:rPr>
          <w:lang w:eastAsia="x-none"/>
        </w:rPr>
      </w:pPr>
      <w:hyperlink r:id="rId1305" w:history="1">
        <w:r w:rsidR="00AF7253">
          <w:rPr>
            <w:rStyle w:val="Hyperlink"/>
            <w:lang w:eastAsia="x-none"/>
          </w:rPr>
          <w:t>R1-2311243</w:t>
        </w:r>
      </w:hyperlink>
      <w:r w:rsidR="00F74A6F" w:rsidRPr="009537ED">
        <w:rPr>
          <w:lang w:eastAsia="x-none"/>
        </w:rPr>
        <w:tab/>
        <w:t>Discussion on remaining issue for techniques in spatial and power domains</w:t>
      </w:r>
      <w:r w:rsidR="00F74A6F" w:rsidRPr="009537ED">
        <w:rPr>
          <w:lang w:eastAsia="x-none"/>
        </w:rPr>
        <w:tab/>
        <w:t>OPPO</w:t>
      </w:r>
    </w:p>
    <w:p w14:paraId="268A6D5E" w14:textId="5B0CEFDE" w:rsidR="00F74A6F" w:rsidRPr="009537ED" w:rsidRDefault="005A18DC" w:rsidP="00F74A6F">
      <w:pPr>
        <w:rPr>
          <w:lang w:eastAsia="x-none"/>
        </w:rPr>
      </w:pPr>
      <w:hyperlink r:id="rId1306" w:history="1">
        <w:r w:rsidR="00AF7253">
          <w:rPr>
            <w:rStyle w:val="Hyperlink"/>
            <w:lang w:eastAsia="x-none"/>
          </w:rPr>
          <w:t>R1-2311347</w:t>
        </w:r>
      </w:hyperlink>
      <w:r w:rsidR="00F74A6F" w:rsidRPr="009537ED">
        <w:rPr>
          <w:lang w:eastAsia="x-none"/>
        </w:rPr>
        <w:tab/>
        <w:t>Network Energy Saving techniques in spatial and power domain</w:t>
      </w:r>
      <w:r w:rsidR="00F74A6F" w:rsidRPr="009537ED">
        <w:rPr>
          <w:lang w:eastAsia="x-none"/>
        </w:rPr>
        <w:tab/>
        <w:t>CATT</w:t>
      </w:r>
    </w:p>
    <w:p w14:paraId="27927A74" w14:textId="2D3ECBBB" w:rsidR="00F74A6F" w:rsidRPr="009537ED" w:rsidRDefault="005A18DC" w:rsidP="00F74A6F">
      <w:pPr>
        <w:rPr>
          <w:lang w:eastAsia="x-none"/>
        </w:rPr>
      </w:pPr>
      <w:hyperlink r:id="rId1307" w:history="1">
        <w:r w:rsidR="00AF7253">
          <w:rPr>
            <w:rStyle w:val="Hyperlink"/>
            <w:lang w:eastAsia="x-none"/>
          </w:rPr>
          <w:t>R1-2311358</w:t>
        </w:r>
      </w:hyperlink>
      <w:r w:rsidR="00F74A6F" w:rsidRPr="009537ED">
        <w:rPr>
          <w:lang w:eastAsia="x-none"/>
        </w:rPr>
        <w:tab/>
        <w:t>Remaining issues on Spatial NES</w:t>
      </w:r>
      <w:r w:rsidR="00F74A6F" w:rsidRPr="009537ED">
        <w:rPr>
          <w:lang w:eastAsia="x-none"/>
        </w:rPr>
        <w:tab/>
        <w:t>FUTUREWEI</w:t>
      </w:r>
    </w:p>
    <w:p w14:paraId="39707CAC" w14:textId="0AE40750" w:rsidR="00F74A6F" w:rsidRPr="009537ED" w:rsidRDefault="005A18DC" w:rsidP="00F74A6F">
      <w:pPr>
        <w:rPr>
          <w:lang w:eastAsia="x-none"/>
        </w:rPr>
      </w:pPr>
      <w:hyperlink r:id="rId1308" w:history="1">
        <w:r w:rsidR="00AF7253">
          <w:rPr>
            <w:rStyle w:val="Hyperlink"/>
            <w:lang w:eastAsia="x-none"/>
          </w:rPr>
          <w:t>R1-2311413</w:t>
        </w:r>
      </w:hyperlink>
      <w:r w:rsidR="00F74A6F" w:rsidRPr="009537ED">
        <w:rPr>
          <w:lang w:eastAsia="x-none"/>
        </w:rPr>
        <w:tab/>
        <w:t>Remaining issues on NES techniques in spatial and power domains</w:t>
      </w:r>
      <w:r w:rsidR="00F74A6F" w:rsidRPr="009537ED">
        <w:rPr>
          <w:lang w:eastAsia="x-none"/>
        </w:rPr>
        <w:tab/>
        <w:t>Beijing Xiaomi Mobile Software</w:t>
      </w:r>
    </w:p>
    <w:p w14:paraId="2B6BA5BB" w14:textId="14915017" w:rsidR="00F74A6F" w:rsidRPr="009537ED" w:rsidRDefault="005A18DC" w:rsidP="00F74A6F">
      <w:pPr>
        <w:rPr>
          <w:lang w:eastAsia="x-none"/>
        </w:rPr>
      </w:pPr>
      <w:hyperlink r:id="rId1309" w:history="1">
        <w:r w:rsidR="00AF7253">
          <w:rPr>
            <w:rStyle w:val="Hyperlink"/>
            <w:lang w:eastAsia="x-none"/>
          </w:rPr>
          <w:t>R1-2311487</w:t>
        </w:r>
      </w:hyperlink>
      <w:r w:rsidR="00F74A6F" w:rsidRPr="009537ED">
        <w:rPr>
          <w:lang w:eastAsia="x-none"/>
        </w:rPr>
        <w:tab/>
        <w:t>Remaining issues on spatial and power domains enhancements for network energy saving</w:t>
      </w:r>
      <w:r w:rsidR="00F74A6F" w:rsidRPr="009537ED">
        <w:rPr>
          <w:lang w:eastAsia="x-none"/>
        </w:rPr>
        <w:tab/>
        <w:t>CMCC</w:t>
      </w:r>
    </w:p>
    <w:p w14:paraId="5BC1C934" w14:textId="3E293A9A" w:rsidR="00F74A6F" w:rsidRPr="009537ED" w:rsidRDefault="005A18DC" w:rsidP="00F74A6F">
      <w:pPr>
        <w:rPr>
          <w:lang w:eastAsia="x-none"/>
        </w:rPr>
      </w:pPr>
      <w:hyperlink r:id="rId1310" w:history="1">
        <w:r w:rsidR="00AF7253">
          <w:rPr>
            <w:rStyle w:val="Hyperlink"/>
            <w:lang w:eastAsia="x-none"/>
          </w:rPr>
          <w:t>R1-2311509</w:t>
        </w:r>
      </w:hyperlink>
      <w:r w:rsidR="00F74A6F" w:rsidRPr="009537ED">
        <w:rPr>
          <w:lang w:eastAsia="x-none"/>
        </w:rPr>
        <w:tab/>
        <w:t>Remaining issues on network energy saving techniques in spatial and power domains</w:t>
      </w:r>
      <w:r w:rsidR="00F74A6F" w:rsidRPr="009537ED">
        <w:rPr>
          <w:lang w:eastAsia="x-none"/>
        </w:rPr>
        <w:tab/>
        <w:t>NEC</w:t>
      </w:r>
    </w:p>
    <w:p w14:paraId="3450BAAA" w14:textId="1E0DAA44" w:rsidR="00F74A6F" w:rsidRPr="009537ED" w:rsidRDefault="005A18DC" w:rsidP="00F74A6F">
      <w:pPr>
        <w:rPr>
          <w:lang w:eastAsia="x-none"/>
        </w:rPr>
      </w:pPr>
      <w:hyperlink r:id="rId1311" w:history="1">
        <w:r w:rsidR="00AF7253">
          <w:rPr>
            <w:rStyle w:val="Hyperlink"/>
            <w:lang w:eastAsia="x-none"/>
          </w:rPr>
          <w:t>R1-2311535</w:t>
        </w:r>
      </w:hyperlink>
      <w:r w:rsidR="00F74A6F" w:rsidRPr="009537ED">
        <w:rPr>
          <w:lang w:eastAsia="x-none"/>
        </w:rPr>
        <w:tab/>
        <w:t>Remaining issues on NES techniques in spatial and power domains</w:t>
      </w:r>
      <w:r w:rsidR="00F74A6F" w:rsidRPr="009537ED">
        <w:rPr>
          <w:lang w:eastAsia="x-none"/>
        </w:rPr>
        <w:tab/>
        <w:t>InterDigital, Inc.</w:t>
      </w:r>
    </w:p>
    <w:p w14:paraId="1815DF61" w14:textId="442C65B2" w:rsidR="00F74A6F" w:rsidRPr="009537ED" w:rsidRDefault="005A18DC" w:rsidP="00F74A6F">
      <w:pPr>
        <w:rPr>
          <w:lang w:eastAsia="x-none"/>
        </w:rPr>
      </w:pPr>
      <w:hyperlink r:id="rId1312" w:history="1">
        <w:r w:rsidR="00AF7253">
          <w:rPr>
            <w:rStyle w:val="Hyperlink"/>
            <w:lang w:eastAsia="x-none"/>
          </w:rPr>
          <w:t>R1-2311546</w:t>
        </w:r>
      </w:hyperlink>
      <w:r w:rsidR="00F74A6F" w:rsidRPr="009537ED">
        <w:rPr>
          <w:lang w:eastAsia="x-none"/>
        </w:rPr>
        <w:tab/>
        <w:t>Remaining issues on CSI enhancement for NES</w:t>
      </w:r>
      <w:r w:rsidR="00F74A6F" w:rsidRPr="009537ED">
        <w:rPr>
          <w:lang w:eastAsia="x-none"/>
        </w:rPr>
        <w:tab/>
        <w:t>China Telecom</w:t>
      </w:r>
    </w:p>
    <w:p w14:paraId="1A275AFE" w14:textId="5D0F8683" w:rsidR="00F74A6F" w:rsidRPr="009537ED" w:rsidRDefault="005A18DC" w:rsidP="00F74A6F">
      <w:pPr>
        <w:rPr>
          <w:lang w:eastAsia="x-none"/>
        </w:rPr>
      </w:pPr>
      <w:hyperlink r:id="rId1313" w:history="1">
        <w:r w:rsidR="00AF7253">
          <w:rPr>
            <w:rStyle w:val="Hyperlink"/>
            <w:lang w:eastAsia="x-none"/>
          </w:rPr>
          <w:t>R1-2311574</w:t>
        </w:r>
      </w:hyperlink>
      <w:r w:rsidR="00F74A6F" w:rsidRPr="009537ED">
        <w:rPr>
          <w:lang w:eastAsia="x-none"/>
        </w:rPr>
        <w:tab/>
        <w:t>Network Energy Saving in Spatial and Power Domain</w:t>
      </w:r>
      <w:r w:rsidR="00F74A6F" w:rsidRPr="009537ED">
        <w:rPr>
          <w:lang w:eastAsia="x-none"/>
        </w:rPr>
        <w:tab/>
        <w:t>Google</w:t>
      </w:r>
    </w:p>
    <w:p w14:paraId="72DA7213" w14:textId="4AA6537D" w:rsidR="00F74A6F" w:rsidRPr="009537ED" w:rsidRDefault="005A18DC" w:rsidP="00F74A6F">
      <w:pPr>
        <w:rPr>
          <w:lang w:eastAsia="x-none"/>
        </w:rPr>
      </w:pPr>
      <w:hyperlink r:id="rId1314" w:history="1">
        <w:r w:rsidR="00AF7253">
          <w:rPr>
            <w:rStyle w:val="Hyperlink"/>
            <w:lang w:eastAsia="x-none"/>
          </w:rPr>
          <w:t>R1-2311656</w:t>
        </w:r>
      </w:hyperlink>
      <w:r w:rsidR="00F74A6F" w:rsidRPr="009537ED">
        <w:rPr>
          <w:lang w:eastAsia="x-none"/>
        </w:rPr>
        <w:tab/>
        <w:t>Maintenance of spatial and power domain enhancements for NW energy savings</w:t>
      </w:r>
      <w:r w:rsidR="00F74A6F" w:rsidRPr="009537ED">
        <w:rPr>
          <w:lang w:eastAsia="x-none"/>
        </w:rPr>
        <w:tab/>
        <w:t>NTT DOCOMO, INC.</w:t>
      </w:r>
    </w:p>
    <w:p w14:paraId="41573EC2" w14:textId="189DEA1F" w:rsidR="00F74A6F" w:rsidRPr="009537ED" w:rsidRDefault="005A18DC" w:rsidP="00F74A6F">
      <w:pPr>
        <w:rPr>
          <w:lang w:eastAsia="x-none"/>
        </w:rPr>
      </w:pPr>
      <w:hyperlink r:id="rId1315" w:history="1">
        <w:r w:rsidR="00AF7253">
          <w:rPr>
            <w:rStyle w:val="Hyperlink"/>
            <w:lang w:eastAsia="x-none"/>
          </w:rPr>
          <w:t>R1-2311689</w:t>
        </w:r>
      </w:hyperlink>
      <w:r w:rsidR="00F74A6F" w:rsidRPr="009537ED">
        <w:rPr>
          <w:lang w:eastAsia="x-none"/>
        </w:rPr>
        <w:tab/>
        <w:t>On remaining issues for spatial and power domain enhancements to support network energy saving</w:t>
      </w:r>
      <w:r w:rsidR="00F74A6F" w:rsidRPr="009537ED">
        <w:rPr>
          <w:lang w:eastAsia="x-none"/>
        </w:rPr>
        <w:tab/>
        <w:t>Apple</w:t>
      </w:r>
    </w:p>
    <w:p w14:paraId="4B0F7C0E" w14:textId="2C9F8D82" w:rsidR="00F74A6F" w:rsidRPr="009537ED" w:rsidRDefault="005A18DC" w:rsidP="00F74A6F">
      <w:pPr>
        <w:rPr>
          <w:lang w:eastAsia="x-none"/>
        </w:rPr>
      </w:pPr>
      <w:hyperlink r:id="rId1316" w:history="1">
        <w:r w:rsidR="00AF7253">
          <w:rPr>
            <w:rStyle w:val="Hyperlink"/>
            <w:lang w:eastAsia="x-none"/>
          </w:rPr>
          <w:t>R1-2311763</w:t>
        </w:r>
      </w:hyperlink>
      <w:r w:rsidR="00F74A6F" w:rsidRPr="009537ED">
        <w:rPr>
          <w:lang w:eastAsia="x-none"/>
        </w:rPr>
        <w:tab/>
        <w:t>Remaining issues of spatial and power domain adaptation for network energy saving</w:t>
      </w:r>
      <w:r w:rsidR="00F74A6F" w:rsidRPr="009537ED">
        <w:rPr>
          <w:lang w:eastAsia="x-none"/>
        </w:rPr>
        <w:tab/>
        <w:t>Panasonic</w:t>
      </w:r>
    </w:p>
    <w:p w14:paraId="2C170E49" w14:textId="0DD1FA9F" w:rsidR="00F74A6F" w:rsidRPr="009537ED" w:rsidRDefault="005A18DC" w:rsidP="00F74A6F">
      <w:pPr>
        <w:rPr>
          <w:lang w:eastAsia="x-none"/>
        </w:rPr>
      </w:pPr>
      <w:hyperlink r:id="rId1317" w:history="1">
        <w:r w:rsidR="00AF7253">
          <w:rPr>
            <w:rStyle w:val="Hyperlink"/>
            <w:lang w:eastAsia="x-none"/>
          </w:rPr>
          <w:t>R1-2311798</w:t>
        </w:r>
      </w:hyperlink>
      <w:r w:rsidR="00F74A6F" w:rsidRPr="009537ED">
        <w:rPr>
          <w:lang w:eastAsia="x-none"/>
        </w:rPr>
        <w:tab/>
        <w:t>Remaining issues of NES techniques in spatial and power domains</w:t>
      </w:r>
      <w:r w:rsidR="00F74A6F" w:rsidRPr="009537ED">
        <w:rPr>
          <w:lang w:eastAsia="x-none"/>
        </w:rPr>
        <w:tab/>
        <w:t>Transsion Holdings</w:t>
      </w:r>
    </w:p>
    <w:p w14:paraId="0B8BE143" w14:textId="0D715A80" w:rsidR="00F74A6F" w:rsidRPr="009537ED" w:rsidRDefault="005A18DC" w:rsidP="00F74A6F">
      <w:pPr>
        <w:rPr>
          <w:lang w:eastAsia="x-none"/>
        </w:rPr>
      </w:pPr>
      <w:hyperlink r:id="rId1318" w:history="1">
        <w:r w:rsidR="00AF7253">
          <w:rPr>
            <w:rStyle w:val="Hyperlink"/>
            <w:lang w:eastAsia="x-none"/>
          </w:rPr>
          <w:t>R1-2311849</w:t>
        </w:r>
      </w:hyperlink>
      <w:r w:rsidR="00F74A6F" w:rsidRPr="009537ED">
        <w:rPr>
          <w:lang w:eastAsia="x-none"/>
        </w:rPr>
        <w:tab/>
        <w:t>Remaining issues on NES techniques in spatial and power domains</w:t>
      </w:r>
      <w:r w:rsidR="00F74A6F" w:rsidRPr="009537ED">
        <w:rPr>
          <w:lang w:eastAsia="x-none"/>
        </w:rPr>
        <w:tab/>
        <w:t>Samsung</w:t>
      </w:r>
    </w:p>
    <w:p w14:paraId="104D798C" w14:textId="715E1AC5" w:rsidR="00F74A6F" w:rsidRPr="009537ED" w:rsidRDefault="005A18DC" w:rsidP="00F74A6F">
      <w:pPr>
        <w:rPr>
          <w:lang w:eastAsia="x-none"/>
        </w:rPr>
      </w:pPr>
      <w:hyperlink r:id="rId1319" w:history="1">
        <w:r w:rsidR="00AF7253">
          <w:rPr>
            <w:rStyle w:val="Hyperlink"/>
            <w:lang w:eastAsia="x-none"/>
          </w:rPr>
          <w:t>R1-2311895</w:t>
        </w:r>
      </w:hyperlink>
      <w:r w:rsidR="00F74A6F" w:rsidRPr="009537ED">
        <w:rPr>
          <w:lang w:eastAsia="x-none"/>
        </w:rPr>
        <w:tab/>
        <w:t>Remaining issues of NES techniques in spatial and power domains</w:t>
      </w:r>
      <w:r w:rsidR="00F74A6F" w:rsidRPr="009537ED">
        <w:rPr>
          <w:lang w:eastAsia="x-none"/>
        </w:rPr>
        <w:tab/>
        <w:t>LG Electronics</w:t>
      </w:r>
    </w:p>
    <w:p w14:paraId="073C97CD" w14:textId="320D99F2" w:rsidR="00F74A6F" w:rsidRPr="009537ED" w:rsidRDefault="005A18DC" w:rsidP="00F74A6F">
      <w:pPr>
        <w:rPr>
          <w:lang w:eastAsia="x-none"/>
        </w:rPr>
      </w:pPr>
      <w:hyperlink r:id="rId1320" w:history="1">
        <w:r w:rsidR="00AF7253">
          <w:rPr>
            <w:rStyle w:val="Hyperlink"/>
            <w:lang w:eastAsia="x-none"/>
          </w:rPr>
          <w:t>R1-2311933</w:t>
        </w:r>
      </w:hyperlink>
      <w:r w:rsidR="00F74A6F" w:rsidRPr="009537ED">
        <w:rPr>
          <w:lang w:eastAsia="x-none"/>
        </w:rPr>
        <w:tab/>
        <w:t>Remaining issues on techniques in spatial and power domains</w:t>
      </w:r>
      <w:r w:rsidR="00F74A6F" w:rsidRPr="009537ED">
        <w:rPr>
          <w:lang w:eastAsia="x-none"/>
        </w:rPr>
        <w:tab/>
        <w:t>Ruijie Network Co. Ltd</w:t>
      </w:r>
    </w:p>
    <w:p w14:paraId="3A983FD5" w14:textId="1BFF0F4B" w:rsidR="00F74A6F" w:rsidRPr="009537ED" w:rsidRDefault="005A18DC" w:rsidP="00F74A6F">
      <w:pPr>
        <w:rPr>
          <w:lang w:eastAsia="x-none"/>
        </w:rPr>
      </w:pPr>
      <w:hyperlink r:id="rId1321" w:history="1">
        <w:r w:rsidR="00AF7253">
          <w:rPr>
            <w:rStyle w:val="Hyperlink"/>
            <w:lang w:eastAsia="x-none"/>
          </w:rPr>
          <w:t>R1-2311938</w:t>
        </w:r>
      </w:hyperlink>
      <w:r w:rsidR="00F74A6F" w:rsidRPr="009537ED">
        <w:rPr>
          <w:lang w:eastAsia="x-none"/>
        </w:rPr>
        <w:tab/>
        <w:t>Maintenance on Network energy saving techniques in spatial and power domains</w:t>
      </w:r>
      <w:r w:rsidR="00F74A6F" w:rsidRPr="009537ED">
        <w:rPr>
          <w:lang w:eastAsia="x-none"/>
        </w:rPr>
        <w:tab/>
        <w:t>Lenovo</w:t>
      </w:r>
    </w:p>
    <w:p w14:paraId="7DD5963B" w14:textId="6D9F7AFE" w:rsidR="00F74A6F" w:rsidRPr="009537ED" w:rsidRDefault="005A18DC" w:rsidP="00F74A6F">
      <w:pPr>
        <w:rPr>
          <w:lang w:eastAsia="x-none"/>
        </w:rPr>
      </w:pPr>
      <w:hyperlink r:id="rId1322" w:history="1">
        <w:r w:rsidR="00AF7253">
          <w:rPr>
            <w:rStyle w:val="Hyperlink"/>
            <w:lang w:eastAsia="x-none"/>
          </w:rPr>
          <w:t>R1-2311980</w:t>
        </w:r>
      </w:hyperlink>
      <w:r w:rsidR="00F74A6F" w:rsidRPr="009537ED">
        <w:rPr>
          <w:lang w:eastAsia="x-none"/>
        </w:rPr>
        <w:tab/>
        <w:t>Maintenance on NES techniques in spatial and power domains</w:t>
      </w:r>
      <w:r w:rsidR="00F74A6F" w:rsidRPr="009537ED">
        <w:rPr>
          <w:lang w:eastAsia="x-none"/>
        </w:rPr>
        <w:tab/>
        <w:t>MediaTek Inc.</w:t>
      </w:r>
    </w:p>
    <w:p w14:paraId="05F15D0F" w14:textId="6028CD58" w:rsidR="00F74A6F" w:rsidRPr="009537ED" w:rsidRDefault="005A18DC" w:rsidP="00F74A6F">
      <w:pPr>
        <w:rPr>
          <w:lang w:eastAsia="x-none"/>
        </w:rPr>
      </w:pPr>
      <w:hyperlink r:id="rId1323" w:history="1">
        <w:r w:rsidR="00AF7253">
          <w:rPr>
            <w:rStyle w:val="Hyperlink"/>
            <w:lang w:eastAsia="x-none"/>
          </w:rPr>
          <w:t>R1-2312041</w:t>
        </w:r>
      </w:hyperlink>
      <w:r w:rsidR="00F74A6F" w:rsidRPr="009537ED">
        <w:rPr>
          <w:lang w:eastAsia="x-none"/>
        </w:rPr>
        <w:tab/>
        <w:t>Remaining aspects of spatial and power domain adaptation</w:t>
      </w:r>
      <w:r w:rsidR="00F74A6F" w:rsidRPr="009537ED">
        <w:rPr>
          <w:lang w:eastAsia="x-none"/>
        </w:rPr>
        <w:tab/>
        <w:t>Qualcomm Incorporated</w:t>
      </w:r>
    </w:p>
    <w:p w14:paraId="178BB33C" w14:textId="7272E744" w:rsidR="00F74A6F" w:rsidRPr="009537ED" w:rsidRDefault="005A18DC" w:rsidP="00F74A6F">
      <w:pPr>
        <w:rPr>
          <w:lang w:eastAsia="x-none"/>
        </w:rPr>
      </w:pPr>
      <w:hyperlink r:id="rId1324" w:history="1">
        <w:r w:rsidR="00AF7253">
          <w:rPr>
            <w:rStyle w:val="Hyperlink"/>
            <w:lang w:eastAsia="x-none"/>
          </w:rPr>
          <w:t>R1-2312100</w:t>
        </w:r>
      </w:hyperlink>
      <w:r w:rsidR="00F74A6F" w:rsidRPr="009537ED">
        <w:rPr>
          <w:lang w:eastAsia="x-none"/>
        </w:rPr>
        <w:tab/>
        <w:t>Maintenance of NW energy saving techniques in spatial and power domains</w:t>
      </w:r>
      <w:r w:rsidR="00F74A6F" w:rsidRPr="009537ED">
        <w:rPr>
          <w:lang w:eastAsia="x-none"/>
        </w:rPr>
        <w:tab/>
        <w:t>Ericsson</w:t>
      </w:r>
    </w:p>
    <w:p w14:paraId="6567D3C5" w14:textId="3342D760" w:rsidR="00F74A6F" w:rsidRPr="009537ED" w:rsidRDefault="005A18DC" w:rsidP="00F74A6F">
      <w:pPr>
        <w:rPr>
          <w:lang w:eastAsia="x-none"/>
        </w:rPr>
      </w:pPr>
      <w:hyperlink r:id="rId1325" w:history="1">
        <w:r w:rsidR="00AF7253">
          <w:rPr>
            <w:rStyle w:val="Hyperlink"/>
            <w:lang w:eastAsia="x-none"/>
          </w:rPr>
          <w:t>R1-2312113</w:t>
        </w:r>
      </w:hyperlink>
      <w:r w:rsidR="00F74A6F" w:rsidRPr="009537ED">
        <w:rPr>
          <w:lang w:eastAsia="x-none"/>
        </w:rPr>
        <w:tab/>
        <w:t>Correction on spatial adaptation</w:t>
      </w:r>
      <w:r w:rsidR="00F74A6F" w:rsidRPr="009537ED">
        <w:rPr>
          <w:lang w:eastAsia="x-none"/>
        </w:rPr>
        <w:tab/>
        <w:t>ASUSTeK</w:t>
      </w:r>
    </w:p>
    <w:p w14:paraId="5B3417A3" w14:textId="5219AF6A" w:rsidR="00F74A6F" w:rsidRPr="009537ED" w:rsidRDefault="005A18DC" w:rsidP="00F74A6F">
      <w:pPr>
        <w:rPr>
          <w:lang w:eastAsia="x-none"/>
        </w:rPr>
      </w:pPr>
      <w:hyperlink r:id="rId1326" w:history="1">
        <w:r w:rsidR="00AF7253">
          <w:rPr>
            <w:rStyle w:val="Hyperlink"/>
            <w:lang w:eastAsia="x-none"/>
          </w:rPr>
          <w:t>R1-2312159</w:t>
        </w:r>
      </w:hyperlink>
      <w:r w:rsidR="00F74A6F" w:rsidRPr="009537ED">
        <w:rPr>
          <w:lang w:eastAsia="x-none"/>
        </w:rPr>
        <w:tab/>
        <w:t>Remaining issues on techniques in spatial and power domains</w:t>
      </w:r>
      <w:r w:rsidR="00F74A6F" w:rsidRPr="009537ED">
        <w:rPr>
          <w:lang w:eastAsia="x-none"/>
        </w:rPr>
        <w:tab/>
        <w:t>CEWiT</w:t>
      </w:r>
    </w:p>
    <w:p w14:paraId="7D7C6B22" w14:textId="77777777" w:rsidR="00314D6C" w:rsidRPr="009537ED" w:rsidRDefault="00314D6C" w:rsidP="00F74A6F">
      <w:pPr>
        <w:rPr>
          <w:lang w:eastAsia="x-none"/>
        </w:rPr>
      </w:pPr>
    </w:p>
    <w:p w14:paraId="411CD1F0" w14:textId="277DFBDF" w:rsidR="00314D6C" w:rsidRPr="009537ED" w:rsidRDefault="005A18DC" w:rsidP="00314D6C">
      <w:pPr>
        <w:rPr>
          <w:b/>
          <w:bCs/>
          <w:lang w:eastAsia="x-none"/>
        </w:rPr>
      </w:pPr>
      <w:hyperlink r:id="rId1327" w:history="1">
        <w:r w:rsidR="00AF7253">
          <w:rPr>
            <w:rStyle w:val="Hyperlink"/>
            <w:b/>
            <w:bCs/>
            <w:lang w:eastAsia="x-none"/>
          </w:rPr>
          <w:t>R1-2312346</w:t>
        </w:r>
      </w:hyperlink>
      <w:r w:rsidR="00314D6C" w:rsidRPr="009537ED">
        <w:rPr>
          <w:b/>
          <w:bCs/>
          <w:lang w:eastAsia="x-none"/>
        </w:rPr>
        <w:tab/>
        <w:t>FL summary#1 for SD and PD adaptation for R18 NES</w:t>
      </w:r>
      <w:r w:rsidR="00314D6C" w:rsidRPr="009537ED">
        <w:rPr>
          <w:b/>
          <w:bCs/>
          <w:lang w:eastAsia="x-none"/>
        </w:rPr>
        <w:tab/>
        <w:t>Moderator (Huawei)</w:t>
      </w:r>
    </w:p>
    <w:p w14:paraId="64D91EC5" w14:textId="6F969C1C" w:rsidR="00314D6C" w:rsidRPr="009537ED" w:rsidRDefault="00314D6C" w:rsidP="00314D6C">
      <w:pPr>
        <w:rPr>
          <w:lang w:eastAsia="x-none"/>
        </w:rPr>
      </w:pPr>
      <w:r w:rsidRPr="009537ED">
        <w:rPr>
          <w:lang w:eastAsia="x-none"/>
        </w:rPr>
        <w:t>From Monday session</w:t>
      </w:r>
    </w:p>
    <w:p w14:paraId="1BC593AB" w14:textId="77777777" w:rsidR="00314D6C" w:rsidRPr="009537ED" w:rsidRDefault="00314D6C" w:rsidP="00314D6C">
      <w:pPr>
        <w:rPr>
          <w:rFonts w:ascii="Times New Roman" w:hAnsi="Times New Roman"/>
          <w:szCs w:val="20"/>
          <w:highlight w:val="green"/>
          <w:lang w:eastAsia="x-none"/>
        </w:rPr>
      </w:pPr>
      <w:r w:rsidRPr="009537ED">
        <w:rPr>
          <w:rFonts w:ascii="Times New Roman" w:hAnsi="Times New Roman"/>
          <w:szCs w:val="20"/>
          <w:highlight w:val="green"/>
          <w:lang w:eastAsia="x-none"/>
        </w:rPr>
        <w:t>Agreement</w:t>
      </w:r>
    </w:p>
    <w:p w14:paraId="05BED99F" w14:textId="77777777" w:rsidR="00314D6C" w:rsidRPr="009537ED" w:rsidRDefault="00314D6C" w:rsidP="00314D6C">
      <w:pPr>
        <w:spacing w:after="60"/>
        <w:rPr>
          <w:rFonts w:ascii="Times New Roman" w:hAnsi="Times New Roman"/>
          <w:szCs w:val="20"/>
        </w:rPr>
      </w:pPr>
      <w:r w:rsidRPr="009537ED">
        <w:rPr>
          <w:rFonts w:ascii="Times New Roman" w:hAnsi="Times New Roman"/>
          <w:szCs w:val="20"/>
        </w:rPr>
        <w:t xml:space="preserve">Report quantities of </w:t>
      </w:r>
      <w:r w:rsidRPr="009537ED">
        <w:rPr>
          <w:rFonts w:ascii="Times New Roman" w:hAnsi="Times New Roman"/>
          <w:szCs w:val="20"/>
          <w:lang w:eastAsia="zh-CN"/>
        </w:rPr>
        <w:t>'cri-RSRP-Index', 'none', 'ssb-Index-RSRP', 'ssb-Index-SINR', 'ssb-Index-RSRP- Index', 'ssb-Index-SINR- Index' or 'tdcp'</w:t>
      </w:r>
      <w:r w:rsidRPr="009537ED">
        <w:rPr>
          <w:rFonts w:ascii="Times New Roman" w:hAnsi="Times New Roman"/>
          <w:szCs w:val="20"/>
        </w:rPr>
        <w:t xml:space="preserve"> are NOT applicable to Rel-18 NES.</w:t>
      </w:r>
    </w:p>
    <w:p w14:paraId="42331C89" w14:textId="77777777" w:rsidR="00314D6C" w:rsidRPr="009537ED" w:rsidRDefault="00314D6C" w:rsidP="00314D6C">
      <w:pPr>
        <w:rPr>
          <w:rFonts w:ascii="Times New Roman" w:hAnsi="Times New Roman"/>
          <w:szCs w:val="20"/>
          <w:lang w:eastAsia="x-none"/>
        </w:rPr>
      </w:pPr>
    </w:p>
    <w:p w14:paraId="3DDA7F5F" w14:textId="5C862DC7" w:rsidR="00314D6C" w:rsidRPr="009537ED" w:rsidRDefault="00314D6C" w:rsidP="00314D6C">
      <w:pPr>
        <w:rPr>
          <w:rFonts w:ascii="Times New Roman" w:hAnsi="Times New Roman"/>
          <w:szCs w:val="20"/>
          <w:highlight w:val="green"/>
          <w:lang w:eastAsia="x-none"/>
        </w:rPr>
      </w:pPr>
      <w:r w:rsidRPr="009537ED">
        <w:rPr>
          <w:rFonts w:ascii="Times New Roman" w:hAnsi="Times New Roman"/>
          <w:szCs w:val="20"/>
          <w:highlight w:val="green"/>
          <w:lang w:eastAsia="x-none"/>
        </w:rPr>
        <w:t>Agreement</w:t>
      </w:r>
      <w:r w:rsidR="007E71C7" w:rsidRPr="007E71C7">
        <w:rPr>
          <w:rFonts w:ascii="Times New Roman" w:hAnsi="Times New Roman"/>
          <w:szCs w:val="20"/>
          <w:lang w:eastAsia="x-none"/>
        </w:rPr>
        <w:t xml:space="preserve"> (further amended in Friday session as shown in red)</w:t>
      </w:r>
    </w:p>
    <w:p w14:paraId="025543EB" w14:textId="77777777" w:rsidR="00314D6C" w:rsidRPr="009537ED" w:rsidRDefault="00314D6C" w:rsidP="00BC5BE9">
      <w:pPr>
        <w:pStyle w:val="ListParagraph"/>
        <w:numPr>
          <w:ilvl w:val="0"/>
          <w:numId w:val="84"/>
        </w:numPr>
        <w:rPr>
          <w:lang w:eastAsia="zh-CN"/>
        </w:rPr>
      </w:pPr>
      <w:r w:rsidRPr="009537ED">
        <w:rPr>
          <w:lang w:eastAsia="zh-CN"/>
        </w:rPr>
        <w:t xml:space="preserve">For Type 2 SD adaptation or joint operation of Type 2 SD and PD adaptation, </w:t>
      </w:r>
    </w:p>
    <w:p w14:paraId="1C1B5122" w14:textId="77777777" w:rsidR="00314D6C" w:rsidRPr="007E71C7" w:rsidRDefault="00314D6C" w:rsidP="00BC5BE9">
      <w:pPr>
        <w:pStyle w:val="ListParagraph"/>
        <w:numPr>
          <w:ilvl w:val="1"/>
          <w:numId w:val="84"/>
        </w:numPr>
        <w:rPr>
          <w:strike/>
          <w:color w:val="FF0000"/>
        </w:rPr>
      </w:pPr>
      <w:r w:rsidRPr="007E71C7">
        <w:rPr>
          <w:strike/>
          <w:color w:val="FF0000"/>
        </w:rPr>
        <w:t>It is up to gNB configuration whether or not the list of NZP CSI-RS resources configured for a sub-configuration is identical to or has no intersection with the list of NZP CSI-RS resources configured for the other sub-configuration(s) within the same CSI-ReportConfig.</w:t>
      </w:r>
    </w:p>
    <w:p w14:paraId="5F04591F" w14:textId="77777777" w:rsidR="00314D6C" w:rsidRPr="009537ED" w:rsidRDefault="00314D6C" w:rsidP="00BC5BE9">
      <w:pPr>
        <w:pStyle w:val="ListParagraph"/>
        <w:numPr>
          <w:ilvl w:val="1"/>
          <w:numId w:val="84"/>
        </w:numPr>
      </w:pPr>
      <w:r w:rsidRPr="009537ED">
        <w:t xml:space="preserve">The </w:t>
      </w:r>
      <w:r w:rsidRPr="009537ED">
        <w:rPr>
          <w:i/>
        </w:rPr>
        <w:t>non-PMI-PortIndication</w:t>
      </w:r>
      <w:r w:rsidRPr="009537ED">
        <w:t xml:space="preserve">, or </w:t>
      </w:r>
      <w:r w:rsidRPr="009537ED">
        <w:rPr>
          <w:i/>
        </w:rPr>
        <w:t>typeISinglePanel-codebookSubsetRestriction-i2</w:t>
      </w:r>
      <w:r w:rsidRPr="009537ED">
        <w:t xml:space="preserve"> can be configured in CSI-ReportConfig instead of in sub-configuration.</w:t>
      </w:r>
    </w:p>
    <w:p w14:paraId="5BC68BAD" w14:textId="77777777" w:rsidR="00314D6C" w:rsidRPr="009537ED" w:rsidRDefault="00314D6C" w:rsidP="00314D6C">
      <w:pPr>
        <w:rPr>
          <w:rFonts w:ascii="Times New Roman" w:hAnsi="Times New Roman"/>
          <w:szCs w:val="20"/>
          <w:highlight w:val="green"/>
          <w:lang w:eastAsia="x-none"/>
        </w:rPr>
      </w:pPr>
      <w:r w:rsidRPr="009537ED">
        <w:rPr>
          <w:rFonts w:ascii="Times New Roman" w:hAnsi="Times New Roman"/>
          <w:szCs w:val="20"/>
          <w:highlight w:val="green"/>
          <w:lang w:eastAsia="x-none"/>
        </w:rPr>
        <w:t>Agreement</w:t>
      </w:r>
    </w:p>
    <w:p w14:paraId="6983E90A" w14:textId="77777777" w:rsidR="00F52967" w:rsidRPr="00F52967" w:rsidRDefault="00F52967" w:rsidP="00A67145">
      <w:pPr>
        <w:pStyle w:val="ListParagraph"/>
        <w:numPr>
          <w:ilvl w:val="0"/>
          <w:numId w:val="180"/>
        </w:numPr>
      </w:pPr>
      <w:r w:rsidRPr="00F52967">
        <w:t>CSI-IM is supported for Rel-18 NES without need of spec update, i.e. resource-wise association is maintained between NZP CSI-RS for CM and CSI-IM.</w:t>
      </w:r>
    </w:p>
    <w:p w14:paraId="049026DD" w14:textId="2B1DF9F3" w:rsidR="00F52967" w:rsidRPr="00F52967" w:rsidRDefault="00F52967" w:rsidP="00A67145">
      <w:pPr>
        <w:pStyle w:val="ListParagraph"/>
        <w:numPr>
          <w:ilvl w:val="0"/>
          <w:numId w:val="180"/>
        </w:numPr>
      </w:pPr>
      <w:r w:rsidRPr="00F52967">
        <w:t>NZP CSI-RS for IM is supported for Rel-18 NES</w:t>
      </w:r>
      <w:r w:rsidR="00B4478D">
        <w:t>.</w:t>
      </w:r>
    </w:p>
    <w:p w14:paraId="214AA1F3" w14:textId="173DE12E" w:rsidR="00F52967" w:rsidRPr="00F52967" w:rsidRDefault="00F52967" w:rsidP="00A67145">
      <w:pPr>
        <w:pStyle w:val="ListParagraph"/>
        <w:numPr>
          <w:ilvl w:val="1"/>
          <w:numId w:val="180"/>
        </w:numPr>
      </w:pPr>
      <w:r w:rsidRPr="00F52967">
        <w:t>Above applies only for the case of PD only adaptation with a single CSI-RS resource for channel measurement</w:t>
      </w:r>
      <w:r w:rsidR="00B4478D">
        <w:t>.</w:t>
      </w:r>
    </w:p>
    <w:p w14:paraId="309D35C3" w14:textId="77777777" w:rsidR="00314D6C" w:rsidRPr="009537ED" w:rsidRDefault="00314D6C" w:rsidP="00314D6C">
      <w:pPr>
        <w:rPr>
          <w:rFonts w:ascii="Times New Roman" w:hAnsi="Times New Roman"/>
          <w:szCs w:val="20"/>
          <w:lang w:eastAsia="x-none"/>
        </w:rPr>
      </w:pPr>
    </w:p>
    <w:p w14:paraId="09AEAA8C" w14:textId="062DF1FB" w:rsidR="00314D6C" w:rsidRPr="004A041D" w:rsidRDefault="005A18DC" w:rsidP="00314D6C">
      <w:pPr>
        <w:rPr>
          <w:b/>
          <w:bCs/>
          <w:lang w:eastAsia="x-none"/>
        </w:rPr>
      </w:pPr>
      <w:hyperlink r:id="rId1328" w:history="1">
        <w:r w:rsidR="00AF7253">
          <w:rPr>
            <w:rStyle w:val="Hyperlink"/>
            <w:b/>
            <w:bCs/>
            <w:lang w:eastAsia="x-none"/>
          </w:rPr>
          <w:t>R1-2312347</w:t>
        </w:r>
      </w:hyperlink>
      <w:r w:rsidR="00314D6C" w:rsidRPr="004A041D">
        <w:rPr>
          <w:b/>
          <w:bCs/>
          <w:lang w:eastAsia="x-none"/>
        </w:rPr>
        <w:tab/>
        <w:t>FL summary#2 for SD and PD adaptation for R18 NES</w:t>
      </w:r>
      <w:r w:rsidR="00314D6C" w:rsidRPr="004A041D">
        <w:rPr>
          <w:b/>
          <w:bCs/>
          <w:lang w:eastAsia="x-none"/>
        </w:rPr>
        <w:tab/>
        <w:t>Moderator (Huawei)</w:t>
      </w:r>
    </w:p>
    <w:p w14:paraId="09A60CED" w14:textId="4AEBF91F" w:rsidR="004A041D" w:rsidRDefault="004A041D" w:rsidP="00314D6C">
      <w:pPr>
        <w:rPr>
          <w:lang w:eastAsia="x-none"/>
        </w:rPr>
      </w:pPr>
      <w:r>
        <w:rPr>
          <w:lang w:eastAsia="x-none"/>
        </w:rPr>
        <w:t>From Tuesday session</w:t>
      </w:r>
    </w:p>
    <w:p w14:paraId="022561E5" w14:textId="77777777" w:rsidR="004A041D" w:rsidRPr="004A041D" w:rsidRDefault="004A041D" w:rsidP="004A041D">
      <w:pPr>
        <w:rPr>
          <w:rFonts w:ascii="Times New Roman" w:hAnsi="Times New Roman"/>
          <w:szCs w:val="20"/>
          <w:highlight w:val="green"/>
        </w:rPr>
      </w:pPr>
      <w:r w:rsidRPr="004A041D">
        <w:rPr>
          <w:rFonts w:ascii="Times New Roman" w:hAnsi="Times New Roman"/>
          <w:szCs w:val="20"/>
          <w:highlight w:val="green"/>
        </w:rPr>
        <w:t>Agreement</w:t>
      </w:r>
    </w:p>
    <w:p w14:paraId="6F29512D" w14:textId="77777777" w:rsidR="004A041D" w:rsidRPr="004A041D" w:rsidRDefault="004A041D" w:rsidP="004A041D">
      <w:pPr>
        <w:rPr>
          <w:rFonts w:ascii="Times New Roman" w:hAnsi="Times New Roman"/>
          <w:szCs w:val="20"/>
          <w:lang w:eastAsia="zh-CN"/>
        </w:rPr>
      </w:pPr>
      <w:r w:rsidRPr="004A041D">
        <w:rPr>
          <w:rFonts w:ascii="Times New Roman" w:hAnsi="Times New Roman"/>
          <w:szCs w:val="20"/>
          <w:lang w:eastAsia="zh-CN"/>
        </w:rPr>
        <w:t xml:space="preserve">When the report setting is configured with report quantity other than </w:t>
      </w:r>
      <w:r w:rsidRPr="004A041D">
        <w:rPr>
          <w:rFonts w:ascii="Times New Roman" w:hAnsi="Times New Roman"/>
          <w:i/>
          <w:iCs/>
          <w:szCs w:val="20"/>
          <w:lang w:eastAsia="zh-CN"/>
        </w:rPr>
        <w:t>CRI-RI-CQI</w:t>
      </w:r>
      <w:r w:rsidRPr="004A041D">
        <w:rPr>
          <w:rFonts w:ascii="Times New Roman" w:hAnsi="Times New Roman"/>
          <w:szCs w:val="20"/>
          <w:lang w:eastAsia="zh-CN"/>
        </w:rPr>
        <w:t>, for a CSI report containing Type 1 SD sub-configuration(s), support port re-indexing to enable consecutive port indices for CQI calculation purpose.</w:t>
      </w:r>
    </w:p>
    <w:p w14:paraId="1F1C1407" w14:textId="77777777" w:rsidR="004A041D" w:rsidRPr="004A041D" w:rsidRDefault="004A041D" w:rsidP="004A041D">
      <w:pPr>
        <w:rPr>
          <w:rFonts w:ascii="Times New Roman" w:hAnsi="Times New Roman"/>
          <w:szCs w:val="20"/>
        </w:rPr>
      </w:pPr>
    </w:p>
    <w:p w14:paraId="0F616E36" w14:textId="77777777" w:rsidR="004A041D" w:rsidRPr="004A041D" w:rsidRDefault="004A041D" w:rsidP="004A041D">
      <w:pPr>
        <w:rPr>
          <w:rFonts w:ascii="Times New Roman" w:hAnsi="Times New Roman"/>
          <w:szCs w:val="20"/>
          <w:highlight w:val="green"/>
        </w:rPr>
      </w:pPr>
      <w:r w:rsidRPr="004A041D">
        <w:rPr>
          <w:rFonts w:ascii="Times New Roman" w:hAnsi="Times New Roman"/>
          <w:szCs w:val="20"/>
          <w:highlight w:val="green"/>
        </w:rPr>
        <w:t>Agreement</w:t>
      </w:r>
    </w:p>
    <w:p w14:paraId="27CDDA1F" w14:textId="77777777" w:rsidR="004A041D" w:rsidRPr="004A041D" w:rsidRDefault="004A041D" w:rsidP="004A041D">
      <w:pPr>
        <w:rPr>
          <w:rFonts w:ascii="Times New Roman" w:hAnsi="Times New Roman"/>
          <w:szCs w:val="20"/>
          <w:lang w:eastAsia="zh-CN"/>
        </w:rPr>
      </w:pPr>
      <w:r w:rsidRPr="004A041D">
        <w:rPr>
          <w:rFonts w:ascii="Times New Roman" w:hAnsi="Times New Roman"/>
          <w:szCs w:val="20"/>
          <w:lang w:eastAsia="zh-CN"/>
        </w:rPr>
        <w:t xml:space="preserve">For Type 2 SD only, </w:t>
      </w:r>
    </w:p>
    <w:p w14:paraId="1F359C33" w14:textId="77777777" w:rsidR="004A041D" w:rsidRPr="004A041D" w:rsidRDefault="004A041D" w:rsidP="00AA1D48">
      <w:pPr>
        <w:pStyle w:val="ListParagraph"/>
        <w:numPr>
          <w:ilvl w:val="0"/>
          <w:numId w:val="143"/>
        </w:numPr>
        <w:rPr>
          <w:lang w:val="en-US" w:eastAsia="zh-CN"/>
        </w:rPr>
      </w:pPr>
      <w:r w:rsidRPr="004A041D">
        <w:rPr>
          <w:lang w:val="en-US" w:eastAsia="zh-CN"/>
        </w:rPr>
        <w:t xml:space="preserve">The list of NZP CSI-RS resources </w:t>
      </w:r>
      <w:r w:rsidRPr="004A041D">
        <w:rPr>
          <w:strike/>
          <w:color w:val="FF0000"/>
          <w:lang w:val="en-US" w:eastAsia="zh-CN"/>
        </w:rPr>
        <w:t xml:space="preserve">is identical to or </w:t>
      </w:r>
      <w:r w:rsidRPr="004A041D">
        <w:rPr>
          <w:lang w:val="en-US" w:eastAsia="zh-CN"/>
        </w:rPr>
        <w:t>has no intersection with the list of NZP CSI-RS resources configured for any other sub-configuration(s) within the CSI-ReportConfig.</w:t>
      </w:r>
    </w:p>
    <w:p w14:paraId="706564CA" w14:textId="77777777" w:rsidR="004A041D" w:rsidRPr="004A041D" w:rsidRDefault="004A041D" w:rsidP="004A041D">
      <w:pPr>
        <w:rPr>
          <w:rFonts w:ascii="Times New Roman" w:hAnsi="Times New Roman"/>
          <w:szCs w:val="20"/>
          <w:highlight w:val="green"/>
        </w:rPr>
      </w:pPr>
      <w:r w:rsidRPr="004A041D">
        <w:rPr>
          <w:rFonts w:ascii="Times New Roman" w:hAnsi="Times New Roman"/>
          <w:szCs w:val="20"/>
          <w:highlight w:val="green"/>
        </w:rPr>
        <w:t>Agreement</w:t>
      </w:r>
    </w:p>
    <w:p w14:paraId="7CD89888" w14:textId="77777777" w:rsidR="004A041D" w:rsidRPr="004A041D" w:rsidRDefault="004A041D" w:rsidP="004A041D">
      <w:pPr>
        <w:rPr>
          <w:rFonts w:ascii="Times New Roman" w:hAnsi="Times New Roman"/>
          <w:szCs w:val="20"/>
          <w:lang w:eastAsia="zh-CN"/>
        </w:rPr>
      </w:pPr>
      <w:r w:rsidRPr="004A041D">
        <w:rPr>
          <w:rFonts w:ascii="Times New Roman" w:hAnsi="Times New Roman"/>
          <w:szCs w:val="20"/>
          <w:lang w:eastAsia="zh-CN"/>
        </w:rPr>
        <w:t>For Type 1 SD adaptation, or joint operation of Type 1 SD and PD adaptation,</w:t>
      </w:r>
    </w:p>
    <w:p w14:paraId="1C60A30D" w14:textId="5137181A" w:rsidR="004A041D" w:rsidRPr="004A041D" w:rsidRDefault="004A041D" w:rsidP="00AA1D48">
      <w:pPr>
        <w:pStyle w:val="ListParagraph"/>
        <w:numPr>
          <w:ilvl w:val="0"/>
          <w:numId w:val="143"/>
        </w:numPr>
        <w:rPr>
          <w:lang w:val="en-US" w:eastAsia="zh-CN"/>
        </w:rPr>
      </w:pPr>
      <w:r w:rsidRPr="004A041D">
        <w:t xml:space="preserve">For a CSI report with </w:t>
      </w:r>
      <w:r w:rsidRPr="004A041D">
        <w:rPr>
          <w:i/>
        </w:rPr>
        <w:t>reportQuantity</w:t>
      </w:r>
      <w:r w:rsidRPr="004A041D">
        <w:t xml:space="preserve"> set to 'cri-RI-i1-CQI', UE expects that </w:t>
      </w:r>
      <w:r w:rsidRPr="004A041D">
        <w:rPr>
          <w:i/>
        </w:rPr>
        <w:t>typeISinglePanel-codebookSubsetRestriction-i2</w:t>
      </w:r>
      <w:r w:rsidRPr="004A041D">
        <w:t xml:space="preserve"> to be configured in each sub-configuration that contains </w:t>
      </w:r>
      <w:r w:rsidRPr="004A041D">
        <w:rPr>
          <w:i/>
        </w:rPr>
        <w:t>port-subsetIndicator</w:t>
      </w:r>
      <w:r w:rsidR="007E71C7">
        <w:rPr>
          <w:i/>
        </w:rPr>
        <w:t>.</w:t>
      </w:r>
    </w:p>
    <w:p w14:paraId="425BF720" w14:textId="5EFAA920" w:rsidR="004A041D" w:rsidRPr="004A041D" w:rsidRDefault="004A041D" w:rsidP="00AA1D48">
      <w:pPr>
        <w:pStyle w:val="ListParagraph"/>
        <w:numPr>
          <w:ilvl w:val="0"/>
          <w:numId w:val="143"/>
        </w:numPr>
      </w:pPr>
      <w:r w:rsidRPr="004A041D">
        <w:t xml:space="preserve">If there is at least one sub-configuration </w:t>
      </w:r>
      <w:r w:rsidRPr="004A041D">
        <w:rPr>
          <w:lang w:val="en-US" w:eastAsia="zh-CN"/>
        </w:rPr>
        <w:t>corresponding to</w:t>
      </w:r>
      <w:r w:rsidRPr="004A041D">
        <w:t xml:space="preserve"> </w:t>
      </w:r>
      <w:r w:rsidRPr="004A041D">
        <w:rPr>
          <w:lang w:val="en-US" w:eastAsia="zh-CN"/>
        </w:rPr>
        <w:t xml:space="preserve">'typeI-SinglePanel' and at least one sub-configuration corresponding to 'typeI-MultiPanel' in the same CSI report configuration, </w:t>
      </w:r>
      <w:r w:rsidRPr="004A041D">
        <w:t>UE expects that</w:t>
      </w:r>
      <w:r w:rsidRPr="004A041D">
        <w:rPr>
          <w:i/>
        </w:rPr>
        <w:t xml:space="preserve"> codebookMode</w:t>
      </w:r>
      <w:r w:rsidRPr="004A041D">
        <w:t xml:space="preserve"> to be configured in each sub-configuration that contains </w:t>
      </w:r>
      <w:r w:rsidRPr="004A041D">
        <w:rPr>
          <w:i/>
        </w:rPr>
        <w:t>port-subsetIndicator</w:t>
      </w:r>
      <w:r w:rsidR="007E71C7">
        <w:rPr>
          <w:i/>
        </w:rPr>
        <w:t>.</w:t>
      </w:r>
    </w:p>
    <w:p w14:paraId="10F5CBC2" w14:textId="77777777" w:rsidR="004A041D" w:rsidRPr="004A041D" w:rsidRDefault="004A041D" w:rsidP="004A041D">
      <w:pPr>
        <w:rPr>
          <w:rFonts w:ascii="Times New Roman" w:hAnsi="Times New Roman"/>
          <w:szCs w:val="20"/>
          <w:highlight w:val="green"/>
        </w:rPr>
      </w:pPr>
      <w:r w:rsidRPr="004A041D">
        <w:rPr>
          <w:rFonts w:ascii="Times New Roman" w:hAnsi="Times New Roman"/>
          <w:szCs w:val="20"/>
          <w:highlight w:val="green"/>
        </w:rPr>
        <w:t>Agreement</w:t>
      </w:r>
    </w:p>
    <w:p w14:paraId="40968002" w14:textId="1C22D361" w:rsidR="004A041D" w:rsidRPr="004A041D" w:rsidRDefault="004A041D" w:rsidP="004A041D">
      <w:pPr>
        <w:rPr>
          <w:rFonts w:ascii="Times New Roman" w:hAnsi="Times New Roman"/>
          <w:szCs w:val="20"/>
          <w:lang w:val="en-US" w:eastAsia="zh-CN"/>
        </w:rPr>
      </w:pPr>
      <w:r w:rsidRPr="004A041D">
        <w:rPr>
          <w:rFonts w:ascii="Times New Roman" w:hAnsi="Times New Roman"/>
          <w:szCs w:val="20"/>
          <w:lang w:val="en-US" w:eastAsia="zh-CN"/>
        </w:rPr>
        <w:t xml:space="preserve">For Type 1 SD adaptation, or joint operation of Type 1 SD and PD adaptation, </w:t>
      </w:r>
      <w:r w:rsidRPr="004A041D">
        <w:rPr>
          <w:rFonts w:ascii="Times New Roman" w:hAnsi="Times New Roman"/>
          <w:szCs w:val="20"/>
        </w:rPr>
        <w:t xml:space="preserve">for a CSI report with </w:t>
      </w:r>
      <w:r w:rsidRPr="004A041D">
        <w:rPr>
          <w:rFonts w:ascii="Times New Roman" w:hAnsi="Times New Roman"/>
          <w:i/>
          <w:szCs w:val="20"/>
        </w:rPr>
        <w:t>reportQuantity</w:t>
      </w:r>
      <w:r w:rsidRPr="004A041D">
        <w:rPr>
          <w:rFonts w:ascii="Times New Roman" w:hAnsi="Times New Roman"/>
          <w:szCs w:val="20"/>
        </w:rPr>
        <w:t xml:space="preserve"> set to 'cri-RI-CQI',</w:t>
      </w:r>
    </w:p>
    <w:p w14:paraId="68B99ED9" w14:textId="373B252E" w:rsidR="004A041D" w:rsidRPr="00F52967" w:rsidRDefault="004A041D" w:rsidP="00A67145">
      <w:pPr>
        <w:pStyle w:val="ListParagraph"/>
        <w:numPr>
          <w:ilvl w:val="0"/>
          <w:numId w:val="181"/>
        </w:numPr>
        <w:rPr>
          <w:lang w:val="en-US" w:eastAsia="zh-CN"/>
        </w:rPr>
      </w:pPr>
      <w:r w:rsidRPr="004A041D">
        <w:lastRenderedPageBreak/>
        <w:t xml:space="preserve">UE expects that </w:t>
      </w:r>
      <w:r w:rsidRPr="00F52967">
        <w:rPr>
          <w:i/>
        </w:rPr>
        <w:t>non-PMI-PortIndication</w:t>
      </w:r>
      <w:r w:rsidRPr="004A041D">
        <w:t>, if configured, to be configured in each sub-configuration containing port-subsetIndicator</w:t>
      </w:r>
      <w:r w:rsidR="007E71C7">
        <w:t>.</w:t>
      </w:r>
    </w:p>
    <w:p w14:paraId="340FC7AB" w14:textId="7E355494" w:rsidR="004A041D" w:rsidRPr="00F52967" w:rsidRDefault="004A041D" w:rsidP="00A67145">
      <w:pPr>
        <w:pStyle w:val="ListParagraph"/>
        <w:numPr>
          <w:ilvl w:val="1"/>
          <w:numId w:val="181"/>
        </w:numPr>
        <w:rPr>
          <w:lang w:val="en-US" w:eastAsia="zh-CN"/>
        </w:rPr>
      </w:pPr>
      <w:r w:rsidRPr="004A041D">
        <w:t xml:space="preserve">Ports selected in the </w:t>
      </w:r>
      <w:r w:rsidRPr="00F52967">
        <w:rPr>
          <w:i/>
        </w:rPr>
        <w:t xml:space="preserve">non-PMI-PortIndication correspond to </w:t>
      </w:r>
      <w:r w:rsidRPr="004A041D">
        <w:t xml:space="preserve">enabled ports in the bitmap </w:t>
      </w:r>
      <w:r w:rsidRPr="00F52967">
        <w:rPr>
          <w:i/>
        </w:rPr>
        <w:t>port-subsetIndicator</w:t>
      </w:r>
      <w:r w:rsidR="007E71C7">
        <w:rPr>
          <w:i/>
        </w:rPr>
        <w:t>.</w:t>
      </w:r>
    </w:p>
    <w:p w14:paraId="64B75A6A" w14:textId="3E860A05" w:rsidR="00F52967" w:rsidRDefault="00F52967" w:rsidP="00A67145">
      <w:pPr>
        <w:pStyle w:val="ListParagraph"/>
        <w:numPr>
          <w:ilvl w:val="0"/>
          <w:numId w:val="181"/>
        </w:numPr>
      </w:pPr>
      <w:r>
        <w:t xml:space="preserve">If </w:t>
      </w:r>
      <w:r w:rsidRPr="00F52967">
        <w:rPr>
          <w:i/>
        </w:rPr>
        <w:t>non-PMI-PortIndication</w:t>
      </w:r>
      <w:r>
        <w:t xml:space="preserve"> is not configured</w:t>
      </w:r>
      <w:ins w:id="628" w:author="Seonwook Kim" w:date="2023-11-15T15:50:00Z">
        <w:r>
          <w:t xml:space="preserve"> in a sub-configuration</w:t>
        </w:r>
      </w:ins>
      <w:r>
        <w:t xml:space="preserve">, UE </w:t>
      </w:r>
      <w:ins w:id="629" w:author="Seonwook Kim" w:date="2023-11-15T11:57:00Z">
        <w:r>
          <w:t xml:space="preserve">applies legacy behavior </w:t>
        </w:r>
      </w:ins>
      <w:ins w:id="630" w:author="Seonwook Kim" w:date="2023-11-15T11:58:00Z">
        <w:r>
          <w:t xml:space="preserve">for the case where </w:t>
        </w:r>
        <w:r w:rsidRPr="00F52967">
          <w:rPr>
            <w:i/>
          </w:rPr>
          <w:t>non-PMI-PortIndication</w:t>
        </w:r>
        <w:r>
          <w:t xml:space="preserve"> is not configured </w:t>
        </w:r>
      </w:ins>
      <w:ins w:id="631" w:author="Seonwook Kim" w:date="2023-11-15T11:59:00Z">
        <w:r>
          <w:t xml:space="preserve">after re-indexing CSI-RS port indices, </w:t>
        </w:r>
      </w:ins>
      <w:ins w:id="632" w:author="Seonwook Kim" w:date="2023-11-15T11:57:00Z">
        <w:r>
          <w:t xml:space="preserve">by </w:t>
        </w:r>
      </w:ins>
      <w:ins w:id="633" w:author="Seonwook Kim" w:date="2023-11-15T11:59:00Z">
        <w:r>
          <w:t xml:space="preserve">replacing </w:t>
        </w:r>
      </w:ins>
      <w:ins w:id="634" w:author="Seonwook Kim" w:date="2023-11-15T11:58:00Z">
        <w:r>
          <w:t>P with</w:t>
        </w:r>
      </w:ins>
      <w:r>
        <w:t xml:space="preserve"> the number of enabled ports in the bitmap </w:t>
      </w:r>
      <w:r w:rsidRPr="00F52967">
        <w:rPr>
          <w:i/>
        </w:rPr>
        <w:t>port-subsetIndicator</w:t>
      </w:r>
      <w:ins w:id="635" w:author="Seonwook Kim" w:date="2023-11-15T15:50:00Z">
        <w:r w:rsidRPr="00F52967">
          <w:rPr>
            <w:iCs/>
          </w:rPr>
          <w:t xml:space="preserve"> co</w:t>
        </w:r>
        <w:r>
          <w:t>nfigured for the sub-configuration</w:t>
        </w:r>
      </w:ins>
      <w:r w:rsidR="007E71C7">
        <w:t>.</w:t>
      </w:r>
    </w:p>
    <w:p w14:paraId="2DBD7F8C" w14:textId="77777777" w:rsidR="004A041D" w:rsidRPr="004A041D" w:rsidRDefault="004A041D" w:rsidP="004A041D">
      <w:pPr>
        <w:rPr>
          <w:rFonts w:ascii="Times New Roman" w:hAnsi="Times New Roman"/>
          <w:szCs w:val="20"/>
        </w:rPr>
      </w:pPr>
    </w:p>
    <w:p w14:paraId="5D447CC0" w14:textId="77777777" w:rsidR="004A041D" w:rsidRPr="009537ED" w:rsidRDefault="004A041D" w:rsidP="00314D6C">
      <w:pPr>
        <w:rPr>
          <w:lang w:eastAsia="x-none"/>
        </w:rPr>
      </w:pPr>
    </w:p>
    <w:p w14:paraId="0CD185D8" w14:textId="70CD6F81" w:rsidR="00314D6C" w:rsidRDefault="005A18DC" w:rsidP="00314D6C">
      <w:pPr>
        <w:rPr>
          <w:b/>
          <w:bCs/>
          <w:lang w:eastAsia="x-none"/>
        </w:rPr>
      </w:pPr>
      <w:hyperlink r:id="rId1329" w:history="1">
        <w:r w:rsidR="00AF7253">
          <w:rPr>
            <w:rStyle w:val="Hyperlink"/>
            <w:b/>
            <w:bCs/>
            <w:lang w:eastAsia="x-none"/>
          </w:rPr>
          <w:t>R1-2312348</w:t>
        </w:r>
      </w:hyperlink>
      <w:r w:rsidR="00314D6C" w:rsidRPr="00F52967">
        <w:rPr>
          <w:b/>
          <w:bCs/>
          <w:lang w:eastAsia="x-none"/>
        </w:rPr>
        <w:tab/>
        <w:t>FL summary#3 for SD and PD adaptation for R18 NES</w:t>
      </w:r>
      <w:r w:rsidR="00314D6C" w:rsidRPr="00F52967">
        <w:rPr>
          <w:b/>
          <w:bCs/>
          <w:lang w:eastAsia="x-none"/>
        </w:rPr>
        <w:tab/>
        <w:t>Moderator (Huawei)</w:t>
      </w:r>
    </w:p>
    <w:p w14:paraId="6C486170" w14:textId="12E5FD50" w:rsidR="00F52967" w:rsidRDefault="00F52967" w:rsidP="00314D6C">
      <w:pPr>
        <w:rPr>
          <w:lang w:eastAsia="x-none"/>
        </w:rPr>
      </w:pPr>
      <w:r w:rsidRPr="006A26B7">
        <w:rPr>
          <w:lang w:eastAsia="x-none"/>
        </w:rPr>
        <w:t>From Wednesday session</w:t>
      </w:r>
    </w:p>
    <w:p w14:paraId="7DD563CD" w14:textId="77777777" w:rsidR="006A26B7" w:rsidRPr="006A26B7" w:rsidRDefault="006A26B7" w:rsidP="006A26B7">
      <w:pPr>
        <w:rPr>
          <w:u w:val="single"/>
          <w:lang w:eastAsia="x-none"/>
        </w:rPr>
      </w:pPr>
      <w:r w:rsidRPr="006A26B7">
        <w:rPr>
          <w:u w:val="single"/>
          <w:lang w:eastAsia="x-none"/>
        </w:rPr>
        <w:t>Conclusion</w:t>
      </w:r>
    </w:p>
    <w:p w14:paraId="7E62A6FB" w14:textId="77777777" w:rsidR="006A26B7" w:rsidRDefault="006A26B7" w:rsidP="006A26B7">
      <w:pPr>
        <w:rPr>
          <w:szCs w:val="22"/>
          <w:lang w:eastAsia="zh-CN"/>
        </w:rPr>
      </w:pPr>
      <w:r>
        <w:rPr>
          <w:rFonts w:eastAsia="MS Mincho"/>
          <w:bCs/>
          <w:color w:val="000000"/>
          <w:szCs w:val="22"/>
          <w:lang w:eastAsia="ja-JP"/>
        </w:rPr>
        <w:t>For CSI report with multiple sub-configurations,</w:t>
      </w:r>
    </w:p>
    <w:p w14:paraId="29ACE099" w14:textId="77777777" w:rsidR="006A26B7" w:rsidRDefault="006A26B7" w:rsidP="00A67145">
      <w:pPr>
        <w:pStyle w:val="ListParagraph"/>
        <w:numPr>
          <w:ilvl w:val="0"/>
          <w:numId w:val="217"/>
        </w:numPr>
      </w:pPr>
      <w:r>
        <w:t>When a CSI report with only one part/part 1 CSI is determined as the lowest priority and to be omitted, the one part/part1 CSI corresponding to all sub-configurations is dropped together</w:t>
      </w:r>
    </w:p>
    <w:p w14:paraId="6D9FD089" w14:textId="77777777" w:rsidR="006A26B7" w:rsidRDefault="006A26B7" w:rsidP="00314D6C">
      <w:pPr>
        <w:rPr>
          <w:lang w:eastAsia="x-none"/>
        </w:rPr>
      </w:pPr>
    </w:p>
    <w:p w14:paraId="58FEFCCB" w14:textId="1C956312" w:rsidR="00314D6C" w:rsidRPr="00B4478D" w:rsidRDefault="005A18DC" w:rsidP="00314D6C">
      <w:pPr>
        <w:rPr>
          <w:b/>
          <w:bCs/>
          <w:lang w:eastAsia="x-none"/>
        </w:rPr>
      </w:pPr>
      <w:hyperlink r:id="rId1330" w:history="1">
        <w:r w:rsidR="00AF7253">
          <w:rPr>
            <w:rStyle w:val="Hyperlink"/>
            <w:b/>
            <w:bCs/>
            <w:lang w:eastAsia="x-none"/>
          </w:rPr>
          <w:t>R1-2312349</w:t>
        </w:r>
      </w:hyperlink>
      <w:r w:rsidR="00314D6C" w:rsidRPr="00B4478D">
        <w:rPr>
          <w:b/>
          <w:bCs/>
          <w:lang w:eastAsia="x-none"/>
        </w:rPr>
        <w:tab/>
        <w:t>FL summary#4 for SD and PD adaptation for R18 NES</w:t>
      </w:r>
      <w:r w:rsidR="00314D6C" w:rsidRPr="00B4478D">
        <w:rPr>
          <w:b/>
          <w:bCs/>
          <w:lang w:eastAsia="x-none"/>
        </w:rPr>
        <w:tab/>
        <w:t>Moderator (Huawei)</w:t>
      </w:r>
    </w:p>
    <w:p w14:paraId="20D8F7E2" w14:textId="0EE8FBB7" w:rsidR="00B4478D" w:rsidRDefault="00B4478D" w:rsidP="00314D6C">
      <w:pPr>
        <w:rPr>
          <w:lang w:eastAsia="x-none"/>
        </w:rPr>
      </w:pPr>
      <w:r>
        <w:rPr>
          <w:lang w:eastAsia="x-none"/>
        </w:rPr>
        <w:t>From Thursday session</w:t>
      </w:r>
    </w:p>
    <w:p w14:paraId="676FEC20" w14:textId="48E8FA6B" w:rsidR="00B4478D" w:rsidRDefault="00B4478D" w:rsidP="00314D6C">
      <w:pPr>
        <w:rPr>
          <w:lang w:eastAsia="x-none"/>
        </w:rPr>
      </w:pPr>
      <w:r w:rsidRPr="00B4478D">
        <w:rPr>
          <w:highlight w:val="green"/>
          <w:lang w:eastAsia="x-none"/>
        </w:rPr>
        <w:t>Agreement</w:t>
      </w:r>
    </w:p>
    <w:p w14:paraId="4282023D" w14:textId="77777777" w:rsidR="00B4478D" w:rsidRPr="00B4478D" w:rsidRDefault="00B4478D" w:rsidP="00B4478D">
      <w:pPr>
        <w:spacing w:after="60"/>
        <w:rPr>
          <w:szCs w:val="18"/>
          <w:lang w:eastAsia="zh-CN"/>
        </w:rPr>
      </w:pPr>
      <w:r w:rsidRPr="00B4478D">
        <w:rPr>
          <w:szCs w:val="18"/>
          <w:lang w:eastAsia="zh-CN"/>
        </w:rPr>
        <w:t>Adopt the following TP for TS 38.214</w:t>
      </w:r>
    </w:p>
    <w:tbl>
      <w:tblPr>
        <w:tblW w:w="5000" w:type="pct"/>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0683"/>
      </w:tblGrid>
      <w:tr w:rsidR="00B4478D" w14:paraId="2001B193" w14:textId="77777777" w:rsidTr="00B4478D">
        <w:tc>
          <w:tcPr>
            <w:tcW w:w="5000" w:type="pct"/>
            <w:tcBorders>
              <w:top w:val="double" w:sz="4" w:space="0" w:color="A5A5A5"/>
              <w:left w:val="double" w:sz="4" w:space="0" w:color="A5A5A5"/>
              <w:bottom w:val="double" w:sz="4" w:space="0" w:color="A5A5A5"/>
              <w:right w:val="double" w:sz="4" w:space="0" w:color="A5A5A5"/>
            </w:tcBorders>
            <w:hideMark/>
          </w:tcPr>
          <w:p w14:paraId="109CB741" w14:textId="77777777" w:rsidR="00B4478D" w:rsidRPr="00B4478D" w:rsidRDefault="00B4478D" w:rsidP="00B4478D">
            <w:pPr>
              <w:rPr>
                <w:rFonts w:ascii="Arial" w:hAnsi="Arial" w:cs="Arial"/>
                <w:sz w:val="16"/>
                <w:szCs w:val="16"/>
              </w:rPr>
            </w:pPr>
            <w:r w:rsidRPr="00B4478D">
              <w:rPr>
                <w:rFonts w:ascii="Arial" w:hAnsi="Arial" w:cs="Arial"/>
                <w:b/>
                <w:bCs/>
                <w:sz w:val="16"/>
                <w:szCs w:val="16"/>
              </w:rPr>
              <w:t>Reason for change:</w:t>
            </w:r>
            <w:r w:rsidRPr="00B4478D">
              <w:rPr>
                <w:rFonts w:ascii="Arial" w:hAnsi="Arial" w:cs="Arial"/>
                <w:sz w:val="16"/>
                <w:szCs w:val="16"/>
              </w:rPr>
              <w:t xml:space="preserve"> </w:t>
            </w:r>
          </w:p>
          <w:p w14:paraId="672EEAF7" w14:textId="77777777" w:rsidR="00B4478D" w:rsidRPr="00B4478D" w:rsidRDefault="00B4478D" w:rsidP="00A67145">
            <w:pPr>
              <w:pStyle w:val="ListParagraph"/>
              <w:numPr>
                <w:ilvl w:val="0"/>
                <w:numId w:val="218"/>
              </w:numPr>
              <w:overflowPunct/>
              <w:autoSpaceDE/>
              <w:autoSpaceDN/>
              <w:adjustRightInd/>
              <w:spacing w:after="0"/>
              <w:contextualSpacing w:val="0"/>
              <w:jc w:val="both"/>
              <w:textAlignment w:val="auto"/>
              <w:rPr>
                <w:rFonts w:ascii="Arial" w:hAnsi="Arial" w:cs="Arial"/>
                <w:sz w:val="16"/>
                <w:szCs w:val="16"/>
                <w:lang w:val="en-US"/>
              </w:rPr>
            </w:pPr>
            <w:r w:rsidRPr="00B4478D">
              <w:rPr>
                <w:rFonts w:ascii="Arial" w:hAnsi="Arial" w:cs="Arial"/>
                <w:sz w:val="16"/>
                <w:szCs w:val="16"/>
                <w:lang w:val="en-US"/>
              </w:rPr>
              <w:t>The definition of X sub-configuration is not clear.</w:t>
            </w:r>
          </w:p>
          <w:p w14:paraId="0DF8E1F8" w14:textId="77777777" w:rsidR="00B4478D" w:rsidRPr="00B4478D" w:rsidRDefault="00B4478D" w:rsidP="00A67145">
            <w:pPr>
              <w:pStyle w:val="ListParagraph"/>
              <w:numPr>
                <w:ilvl w:val="0"/>
                <w:numId w:val="218"/>
              </w:numPr>
              <w:overflowPunct/>
              <w:autoSpaceDE/>
              <w:autoSpaceDN/>
              <w:adjustRightInd/>
              <w:spacing w:after="0"/>
              <w:contextualSpacing w:val="0"/>
              <w:jc w:val="both"/>
              <w:textAlignment w:val="auto"/>
              <w:rPr>
                <w:rFonts w:ascii="Arial" w:hAnsi="Arial" w:cs="Arial"/>
                <w:b/>
                <w:bCs/>
                <w:sz w:val="16"/>
                <w:szCs w:val="16"/>
              </w:rPr>
            </w:pPr>
            <w:r w:rsidRPr="00B4478D">
              <w:rPr>
                <w:rFonts w:ascii="Arial" w:hAnsi="Arial" w:cs="Arial"/>
                <w:sz w:val="16"/>
                <w:szCs w:val="16"/>
                <w:lang w:val="en-US"/>
              </w:rPr>
              <w:t>The SD and PD joint operation case Is not counted</w:t>
            </w:r>
          </w:p>
        </w:tc>
      </w:tr>
      <w:tr w:rsidR="00B4478D" w14:paraId="24F6842D" w14:textId="77777777" w:rsidTr="00B4478D">
        <w:tc>
          <w:tcPr>
            <w:tcW w:w="5000" w:type="pct"/>
            <w:tcBorders>
              <w:top w:val="double" w:sz="4" w:space="0" w:color="A5A5A5"/>
              <w:left w:val="double" w:sz="4" w:space="0" w:color="A5A5A5"/>
              <w:bottom w:val="double" w:sz="4" w:space="0" w:color="A5A5A5"/>
              <w:right w:val="double" w:sz="4" w:space="0" w:color="A5A5A5"/>
            </w:tcBorders>
            <w:hideMark/>
          </w:tcPr>
          <w:p w14:paraId="7C061D01" w14:textId="77777777" w:rsidR="00B4478D" w:rsidRPr="00B4478D" w:rsidRDefault="00B4478D" w:rsidP="00B4478D">
            <w:pPr>
              <w:rPr>
                <w:rFonts w:ascii="Arial" w:hAnsi="Arial" w:cs="Arial"/>
                <w:b/>
                <w:bCs/>
                <w:sz w:val="16"/>
                <w:szCs w:val="16"/>
              </w:rPr>
            </w:pPr>
            <w:r w:rsidRPr="00B4478D">
              <w:rPr>
                <w:rFonts w:ascii="Arial" w:hAnsi="Arial" w:cs="Arial"/>
                <w:b/>
                <w:bCs/>
                <w:sz w:val="16"/>
                <w:szCs w:val="16"/>
              </w:rPr>
              <w:t xml:space="preserve">Summary of change: </w:t>
            </w:r>
          </w:p>
          <w:p w14:paraId="1193AFF2" w14:textId="77777777" w:rsidR="00B4478D" w:rsidRPr="00B4478D" w:rsidRDefault="00B4478D" w:rsidP="00A67145">
            <w:pPr>
              <w:pStyle w:val="ListParagraph"/>
              <w:numPr>
                <w:ilvl w:val="0"/>
                <w:numId w:val="218"/>
              </w:numPr>
              <w:overflowPunct/>
              <w:autoSpaceDE/>
              <w:autoSpaceDN/>
              <w:adjustRightInd/>
              <w:spacing w:after="0"/>
              <w:contextualSpacing w:val="0"/>
              <w:jc w:val="both"/>
              <w:textAlignment w:val="auto"/>
              <w:rPr>
                <w:rFonts w:ascii="Arial" w:hAnsi="Arial" w:cs="Arial"/>
                <w:b/>
                <w:bCs/>
                <w:sz w:val="16"/>
                <w:szCs w:val="16"/>
              </w:rPr>
            </w:pPr>
            <w:r w:rsidRPr="00B4478D">
              <w:rPr>
                <w:rFonts w:ascii="Arial" w:hAnsi="Arial" w:cs="Arial"/>
                <w:sz w:val="16"/>
                <w:szCs w:val="16"/>
                <w:lang w:val="en-US"/>
              </w:rPr>
              <w:t>Clarified the definition of X sub-configurations.</w:t>
            </w:r>
          </w:p>
          <w:p w14:paraId="69D17EB3" w14:textId="77777777" w:rsidR="00B4478D" w:rsidRPr="00B4478D" w:rsidRDefault="00B4478D" w:rsidP="00A67145">
            <w:pPr>
              <w:pStyle w:val="ListParagraph"/>
              <w:numPr>
                <w:ilvl w:val="0"/>
                <w:numId w:val="218"/>
              </w:numPr>
              <w:overflowPunct/>
              <w:autoSpaceDE/>
              <w:autoSpaceDN/>
              <w:adjustRightInd/>
              <w:spacing w:after="0"/>
              <w:contextualSpacing w:val="0"/>
              <w:jc w:val="both"/>
              <w:textAlignment w:val="auto"/>
              <w:rPr>
                <w:rFonts w:ascii="Arial" w:hAnsi="Arial" w:cs="Arial"/>
                <w:b/>
                <w:bCs/>
                <w:sz w:val="16"/>
                <w:szCs w:val="16"/>
              </w:rPr>
            </w:pPr>
            <w:r w:rsidRPr="00B4478D">
              <w:rPr>
                <w:rFonts w:ascii="Arial" w:hAnsi="Arial" w:cs="Arial"/>
                <w:sz w:val="16"/>
                <w:szCs w:val="16"/>
                <w:lang w:val="en-US"/>
              </w:rPr>
              <w:t>Added the counting rule for consideration of SD and PD joint operation</w:t>
            </w:r>
          </w:p>
        </w:tc>
      </w:tr>
      <w:tr w:rsidR="00B4478D" w14:paraId="0BA1BE2E" w14:textId="77777777" w:rsidTr="00B4478D">
        <w:tc>
          <w:tcPr>
            <w:tcW w:w="5000" w:type="pct"/>
            <w:tcBorders>
              <w:top w:val="double" w:sz="4" w:space="0" w:color="A5A5A5"/>
              <w:left w:val="double" w:sz="4" w:space="0" w:color="A5A5A5"/>
              <w:bottom w:val="double" w:sz="4" w:space="0" w:color="A5A5A5"/>
              <w:right w:val="double" w:sz="4" w:space="0" w:color="A5A5A5"/>
            </w:tcBorders>
            <w:hideMark/>
          </w:tcPr>
          <w:p w14:paraId="20398273" w14:textId="77777777" w:rsidR="00B4478D" w:rsidRPr="00B4478D" w:rsidRDefault="00B4478D" w:rsidP="00B4478D">
            <w:pPr>
              <w:rPr>
                <w:rFonts w:ascii="Arial" w:hAnsi="Arial" w:cs="Arial"/>
                <w:b/>
                <w:iCs/>
                <w:sz w:val="16"/>
                <w:szCs w:val="16"/>
                <w:lang w:val="en-US"/>
              </w:rPr>
            </w:pPr>
            <w:r w:rsidRPr="00B4478D">
              <w:rPr>
                <w:rFonts w:ascii="Arial" w:hAnsi="Arial" w:cs="Arial"/>
                <w:b/>
                <w:iCs/>
                <w:sz w:val="16"/>
                <w:szCs w:val="16"/>
              </w:rPr>
              <w:t>Consequences if not approved:</w:t>
            </w:r>
            <w:r w:rsidRPr="00B4478D">
              <w:rPr>
                <w:rFonts w:ascii="Arial" w:hAnsi="Arial" w:cs="Arial"/>
                <w:b/>
                <w:iCs/>
                <w:sz w:val="16"/>
                <w:szCs w:val="16"/>
                <w:lang w:val="en-US"/>
              </w:rPr>
              <w:t xml:space="preserve"> </w:t>
            </w:r>
          </w:p>
          <w:p w14:paraId="594E2FEC" w14:textId="77777777" w:rsidR="00B4478D" w:rsidRPr="00B4478D" w:rsidRDefault="00B4478D" w:rsidP="00A67145">
            <w:pPr>
              <w:pStyle w:val="ListParagraph"/>
              <w:numPr>
                <w:ilvl w:val="0"/>
                <w:numId w:val="218"/>
              </w:numPr>
              <w:overflowPunct/>
              <w:autoSpaceDE/>
              <w:autoSpaceDN/>
              <w:adjustRightInd/>
              <w:spacing w:after="0"/>
              <w:contextualSpacing w:val="0"/>
              <w:jc w:val="both"/>
              <w:textAlignment w:val="auto"/>
              <w:rPr>
                <w:rFonts w:ascii="Arial" w:hAnsi="Arial" w:cs="Arial"/>
                <w:sz w:val="16"/>
                <w:szCs w:val="16"/>
                <w:lang w:val="en-US"/>
              </w:rPr>
            </w:pPr>
            <w:r w:rsidRPr="00B4478D">
              <w:rPr>
                <w:rFonts w:ascii="Arial" w:hAnsi="Arial" w:cs="Arial"/>
                <w:sz w:val="16"/>
                <w:szCs w:val="16"/>
                <w:lang w:val="en-US"/>
              </w:rPr>
              <w:t>The result of CSI-RS resource/port counting for CSI report configuration containing sub-configurations is not clear.</w:t>
            </w:r>
          </w:p>
          <w:p w14:paraId="279148C7" w14:textId="77777777" w:rsidR="00B4478D" w:rsidRPr="00B4478D" w:rsidRDefault="00B4478D" w:rsidP="00A67145">
            <w:pPr>
              <w:pStyle w:val="ListParagraph"/>
              <w:numPr>
                <w:ilvl w:val="0"/>
                <w:numId w:val="218"/>
              </w:numPr>
              <w:overflowPunct/>
              <w:autoSpaceDE/>
              <w:autoSpaceDN/>
              <w:adjustRightInd/>
              <w:spacing w:after="0"/>
              <w:contextualSpacing w:val="0"/>
              <w:jc w:val="both"/>
              <w:textAlignment w:val="auto"/>
              <w:rPr>
                <w:rFonts w:ascii="Arial" w:hAnsi="Arial" w:cs="Arial"/>
                <w:sz w:val="16"/>
                <w:szCs w:val="16"/>
                <w:lang w:eastAsia="zh-CN"/>
              </w:rPr>
            </w:pPr>
            <w:r w:rsidRPr="00B4478D">
              <w:rPr>
                <w:rFonts w:ascii="Arial" w:hAnsi="Arial" w:cs="Arial"/>
                <w:sz w:val="16"/>
                <w:szCs w:val="16"/>
                <w:lang w:val="en-US"/>
              </w:rPr>
              <w:t xml:space="preserve">The counting rule is not clear when PD adaptation is jointly operated </w:t>
            </w:r>
          </w:p>
        </w:tc>
      </w:tr>
      <w:tr w:rsidR="00B4478D" w14:paraId="246EAA95" w14:textId="77777777" w:rsidTr="00B4478D">
        <w:tc>
          <w:tcPr>
            <w:tcW w:w="5000" w:type="pct"/>
            <w:tcBorders>
              <w:top w:val="double" w:sz="4" w:space="0" w:color="A5A5A5"/>
              <w:left w:val="double" w:sz="4" w:space="0" w:color="A5A5A5"/>
              <w:bottom w:val="double" w:sz="4" w:space="0" w:color="A5A5A5"/>
              <w:right w:val="double" w:sz="4" w:space="0" w:color="A5A5A5"/>
            </w:tcBorders>
            <w:hideMark/>
          </w:tcPr>
          <w:p w14:paraId="5709B3EA" w14:textId="77777777" w:rsidR="00B4478D" w:rsidRPr="00B4478D" w:rsidRDefault="00B4478D" w:rsidP="00B4478D">
            <w:pPr>
              <w:rPr>
                <w:rFonts w:ascii="Arial" w:hAnsi="Arial" w:cs="Arial"/>
                <w:sz w:val="16"/>
                <w:szCs w:val="16"/>
              </w:rPr>
            </w:pPr>
            <w:r w:rsidRPr="00B4478D">
              <w:rPr>
                <w:rFonts w:ascii="Arial" w:hAnsi="Arial" w:cs="Arial"/>
                <w:sz w:val="16"/>
                <w:szCs w:val="16"/>
                <w:lang w:val="en-US"/>
              </w:rPr>
              <w:t>-----------------------------------------------------------Text proposal -----------------------------------------------------------</w:t>
            </w:r>
          </w:p>
          <w:p w14:paraId="2A48039B" w14:textId="77777777" w:rsidR="00B4478D" w:rsidRPr="00B4478D" w:rsidRDefault="00B4478D" w:rsidP="00B4478D">
            <w:pPr>
              <w:spacing w:line="252" w:lineRule="auto"/>
              <w:rPr>
                <w:rFonts w:ascii="Arial" w:hAnsi="Arial" w:cs="Arial"/>
                <w:b/>
                <w:bCs/>
                <w:sz w:val="16"/>
                <w:szCs w:val="16"/>
              </w:rPr>
            </w:pPr>
            <w:r w:rsidRPr="00B4478D">
              <w:rPr>
                <w:rFonts w:ascii="Arial" w:hAnsi="Arial" w:cs="Arial"/>
                <w:b/>
                <w:bCs/>
                <w:sz w:val="16"/>
                <w:szCs w:val="16"/>
              </w:rPr>
              <w:t>5.2.1.6</w:t>
            </w:r>
            <w:r w:rsidRPr="00B4478D">
              <w:rPr>
                <w:rFonts w:ascii="Arial" w:hAnsi="Arial" w:cs="Arial"/>
                <w:b/>
                <w:bCs/>
                <w:sz w:val="16"/>
                <w:szCs w:val="16"/>
              </w:rPr>
              <w:tab/>
              <w:t>CSI processing criteria</w:t>
            </w:r>
          </w:p>
          <w:p w14:paraId="27BF24DB" w14:textId="77777777" w:rsidR="00B4478D" w:rsidRPr="00B4478D" w:rsidRDefault="00B4478D" w:rsidP="00B4478D">
            <w:pPr>
              <w:spacing w:line="252" w:lineRule="auto"/>
              <w:jc w:val="center"/>
              <w:rPr>
                <w:rFonts w:ascii="Arial" w:eastAsia="PMingLiU" w:hAnsi="Arial" w:cs="Arial"/>
                <w:color w:val="FF0000"/>
                <w:sz w:val="16"/>
                <w:szCs w:val="16"/>
                <w:lang w:eastAsia="zh-TW"/>
              </w:rPr>
            </w:pPr>
            <w:r w:rsidRPr="00B4478D">
              <w:rPr>
                <w:rFonts w:ascii="Arial" w:eastAsia="PMingLiU" w:hAnsi="Arial" w:cs="Arial"/>
                <w:color w:val="FF0000"/>
                <w:sz w:val="16"/>
                <w:szCs w:val="16"/>
                <w:lang w:eastAsia="zh-TW"/>
              </w:rPr>
              <w:t>&lt;omitted text&gt;</w:t>
            </w:r>
          </w:p>
          <w:p w14:paraId="6AF5AD56" w14:textId="77777777" w:rsidR="00B4478D" w:rsidRPr="00B4478D" w:rsidRDefault="00B4478D" w:rsidP="00B4478D">
            <w:pPr>
              <w:spacing w:line="252" w:lineRule="auto"/>
              <w:rPr>
                <w:rFonts w:ascii="Arial" w:hAnsi="Arial" w:cs="Arial"/>
                <w:color w:val="FF0000"/>
                <w:sz w:val="16"/>
                <w:szCs w:val="16"/>
              </w:rPr>
            </w:pPr>
            <w:r w:rsidRPr="00B4478D">
              <w:rPr>
                <w:rFonts w:ascii="Arial" w:eastAsia="SimSun" w:hAnsi="Arial" w:cs="Arial"/>
                <w:sz w:val="16"/>
                <w:szCs w:val="16"/>
              </w:rPr>
              <w:t xml:space="preserve">In any slot, the UE is not expected to have more active CSI-RS ports or active CSI-RS resources in active BWPs than reported as capability. NZP CSI-RS resource is active in a duration of time defined as follows. For aperiodic CSI-RS, starting from the end of the PDCCH containing the request and ending at the end of the scheduled PUSCH containing the report associated with this aperiodic CSI-RS. When the PDCCH candidates are associated with a search space set configured with </w:t>
            </w:r>
            <w:r w:rsidRPr="00B4478D">
              <w:rPr>
                <w:rFonts w:ascii="Arial" w:eastAsia="SimSun" w:hAnsi="Arial" w:cs="Arial"/>
                <w:i/>
                <w:iCs/>
                <w:sz w:val="16"/>
                <w:szCs w:val="16"/>
              </w:rPr>
              <w:t>searchSpaceLinking</w:t>
            </w:r>
            <w:r w:rsidRPr="00B4478D">
              <w:rPr>
                <w:rFonts w:ascii="Arial" w:eastAsia="SimSun" w:hAnsi="Arial" w:cs="Arial"/>
                <w:sz w:val="16"/>
                <w:szCs w:val="16"/>
              </w:rPr>
              <w:t>,</w:t>
            </w:r>
            <w:r w:rsidRPr="00B4478D">
              <w:rPr>
                <w:rFonts w:ascii="Arial" w:eastAsia="SimSun" w:hAnsi="Arial" w:cs="Arial"/>
                <w:color w:val="000000"/>
                <w:sz w:val="16"/>
                <w:szCs w:val="16"/>
              </w:rPr>
              <w:t xml:space="preserve"> for the purpose of determining </w:t>
            </w:r>
            <w:r w:rsidRPr="00B4478D">
              <w:rPr>
                <w:rFonts w:ascii="Arial" w:eastAsia="SimSun" w:hAnsi="Arial" w:cs="Arial"/>
                <w:sz w:val="16"/>
                <w:szCs w:val="16"/>
              </w:rPr>
              <w:t xml:space="preserve">the NZP CSI-RS resource active duration, </w:t>
            </w:r>
            <w:r w:rsidRPr="00B4478D">
              <w:rPr>
                <w:rFonts w:ascii="Arial" w:eastAsia="SimSun" w:hAnsi="Arial" w:cs="Arial"/>
                <w:color w:val="000000"/>
                <w:sz w:val="16"/>
                <w:szCs w:val="16"/>
              </w:rPr>
              <w:t xml:space="preserve">the PDCCH candidate that ends later in time among the two linked PDCCH candidates is used. </w:t>
            </w:r>
            <w:r w:rsidRPr="00B4478D">
              <w:rPr>
                <w:rFonts w:ascii="Arial" w:eastAsia="SimSun" w:hAnsi="Arial" w:cs="Arial"/>
                <w:sz w:val="16"/>
                <w:szCs w:val="16"/>
              </w:rPr>
              <w:t xml:space="preserve">For semi-persistent CSI-RS, starting from the end of when the activation command is applied, and ending at the end of when the deactivation command is applied. For periodic CSI-RS, starting when the periodic CSI-RS is configured by higher layer signalling, and ending when the periodic CSI-RS configuration is released. If a CSI-RS resource is referred </w:t>
            </w:r>
            <w:r w:rsidRPr="00B4478D">
              <w:rPr>
                <w:rFonts w:ascii="Arial" w:eastAsia="SimSun" w:hAnsi="Arial" w:cs="Arial"/>
                <w:i/>
                <w:sz w:val="16"/>
                <w:szCs w:val="16"/>
              </w:rPr>
              <w:t>N</w:t>
            </w:r>
            <w:r w:rsidRPr="00B4478D">
              <w:rPr>
                <w:rFonts w:ascii="Arial" w:eastAsia="SimSun" w:hAnsi="Arial" w:cs="Arial"/>
                <w:sz w:val="16"/>
                <w:szCs w:val="16"/>
              </w:rPr>
              <w:t xml:space="preserve"> times by one or more CSI Reporting Settings </w:t>
            </w:r>
            <w:r w:rsidRPr="00B4478D">
              <w:rPr>
                <w:rFonts w:ascii="Arial" w:eastAsia="SimSun" w:hAnsi="Arial" w:cs="Arial"/>
                <w:color w:val="FF0000"/>
                <w:sz w:val="16"/>
                <w:szCs w:val="16"/>
              </w:rPr>
              <w:t>not configured with higher layer parameter [</w:t>
            </w:r>
            <w:r w:rsidRPr="00B4478D">
              <w:rPr>
                <w:rFonts w:ascii="Arial" w:eastAsia="SimSun" w:hAnsi="Arial" w:cs="Arial"/>
                <w:i/>
                <w:iCs/>
                <w:color w:val="FF0000"/>
                <w:sz w:val="16"/>
                <w:szCs w:val="16"/>
              </w:rPr>
              <w:t>csi-ReportSubConfigList</w:t>
            </w:r>
            <w:r w:rsidRPr="00B4478D">
              <w:rPr>
                <w:rFonts w:ascii="Arial" w:eastAsia="SimSun" w:hAnsi="Arial" w:cs="Arial"/>
                <w:color w:val="FF0000"/>
                <w:sz w:val="16"/>
                <w:szCs w:val="16"/>
              </w:rPr>
              <w:t>]</w:t>
            </w:r>
            <w:r w:rsidRPr="00B4478D">
              <w:rPr>
                <w:rFonts w:ascii="Arial" w:eastAsia="SimSun" w:hAnsi="Arial" w:cs="Arial"/>
                <w:sz w:val="16"/>
                <w:szCs w:val="16"/>
              </w:rPr>
              <w:t xml:space="preserve">, the CSI-RS resource and the CSI-RS ports within the CSI-RS resource are counted </w:t>
            </w:r>
            <w:r w:rsidRPr="00B4478D">
              <w:rPr>
                <w:rFonts w:ascii="Arial" w:eastAsia="SimSun" w:hAnsi="Arial" w:cs="Arial"/>
                <w:i/>
                <w:sz w:val="16"/>
                <w:szCs w:val="16"/>
              </w:rPr>
              <w:t>N</w:t>
            </w:r>
            <w:r w:rsidRPr="00B4478D">
              <w:rPr>
                <w:rFonts w:ascii="Arial" w:eastAsia="SimSun" w:hAnsi="Arial" w:cs="Arial"/>
                <w:sz w:val="16"/>
                <w:szCs w:val="16"/>
              </w:rPr>
              <w:t xml:space="preserve"> times. For a </w:t>
            </w:r>
            <w:r w:rsidRPr="00B4478D">
              <w:rPr>
                <w:rFonts w:ascii="Arial" w:eastAsia="MS Mincho" w:hAnsi="Arial" w:cs="Arial"/>
                <w:color w:val="000000"/>
                <w:sz w:val="16"/>
                <w:szCs w:val="16"/>
              </w:rPr>
              <w:t xml:space="preserve">CSI-RS Resource Set for channel measurement configured with two Resource Groups and </w:t>
            </w:r>
            <w:r w:rsidRPr="00B4478D">
              <w:rPr>
                <w:rFonts w:ascii="Arial" w:eastAsia="MS Mincho" w:hAnsi="Arial" w:cs="Arial"/>
                <w:color w:val="000000"/>
                <w:sz w:val="16"/>
                <w:szCs w:val="16"/>
              </w:rPr>
              <w:fldChar w:fldCharType="begin"/>
            </w:r>
            <w:r w:rsidRPr="00B4478D">
              <w:rPr>
                <w:rFonts w:ascii="Arial" w:eastAsia="MS Mincho" w:hAnsi="Arial" w:cs="Arial"/>
                <w:color w:val="000000"/>
                <w:sz w:val="16"/>
                <w:szCs w:val="16"/>
              </w:rPr>
              <w:instrText xml:space="preserve"> QUOTE </w:instrText>
            </w:r>
            <w:r w:rsidR="00A6784C">
              <w:rPr>
                <w:rFonts w:ascii="Arial" w:hAnsi="Arial" w:cs="Arial"/>
                <w:position w:val="-5"/>
                <w:sz w:val="16"/>
                <w:szCs w:val="16"/>
              </w:rPr>
              <w:pict w14:anchorId="3F6CBEF8">
                <v:shape id="_x0000_i1158" type="#_x0000_t75" style="width:7.5pt;height:12pt" equationxml="&lt;">
                  <v:imagedata r:id="rId1331" o:title="" chromakey="white"/>
                </v:shape>
              </w:pict>
            </w:r>
            <w:r w:rsidRPr="00B4478D">
              <w:rPr>
                <w:rFonts w:ascii="Arial" w:eastAsia="MS Mincho" w:hAnsi="Arial" w:cs="Arial"/>
                <w:color w:val="000000"/>
                <w:sz w:val="16"/>
                <w:szCs w:val="16"/>
              </w:rPr>
              <w:instrText xml:space="preserve"> </w:instrText>
            </w:r>
            <w:r w:rsidRPr="00B4478D">
              <w:rPr>
                <w:rFonts w:ascii="Arial" w:eastAsia="MS Mincho" w:hAnsi="Arial" w:cs="Arial"/>
                <w:color w:val="000000"/>
                <w:sz w:val="16"/>
                <w:szCs w:val="16"/>
              </w:rPr>
              <w:fldChar w:fldCharType="separate"/>
            </w:r>
            <w:r w:rsidR="00A6784C">
              <w:rPr>
                <w:rFonts w:ascii="Arial" w:hAnsi="Arial" w:cs="Arial"/>
                <w:position w:val="-5"/>
                <w:sz w:val="16"/>
                <w:szCs w:val="16"/>
              </w:rPr>
              <w:pict w14:anchorId="49E6FDC8">
                <v:shape id="_x0000_i1159" type="#_x0000_t75" style="width:7.5pt;height:12pt" equationxml="&lt;">
                  <v:imagedata r:id="rId1331" o:title="" chromakey="white"/>
                </v:shape>
              </w:pict>
            </w:r>
            <w:r w:rsidRPr="00B4478D">
              <w:rPr>
                <w:rFonts w:ascii="Arial" w:eastAsia="MS Mincho" w:hAnsi="Arial" w:cs="Arial"/>
                <w:color w:val="000000"/>
                <w:sz w:val="16"/>
                <w:szCs w:val="16"/>
              </w:rPr>
              <w:fldChar w:fldCharType="end"/>
            </w:r>
            <w:r w:rsidRPr="00B4478D">
              <w:rPr>
                <w:rFonts w:ascii="Arial" w:eastAsia="MS Mincho" w:hAnsi="Arial" w:cs="Arial"/>
                <w:color w:val="000000"/>
                <w:sz w:val="16"/>
                <w:szCs w:val="16"/>
              </w:rPr>
              <w:t xml:space="preserve"> Resource Pairs,</w:t>
            </w:r>
            <w:r w:rsidRPr="00B4478D">
              <w:rPr>
                <w:rFonts w:ascii="Arial" w:eastAsia="SimSun" w:hAnsi="Arial" w:cs="Arial"/>
                <w:sz w:val="16"/>
                <w:szCs w:val="16"/>
              </w:rPr>
              <w:t xml:space="preserve"> if a CSI-RS resource is referred </w:t>
            </w:r>
            <w:r w:rsidRPr="00B4478D">
              <w:rPr>
                <w:rFonts w:ascii="Arial" w:eastAsia="SimSun" w:hAnsi="Arial" w:cs="Arial"/>
                <w:sz w:val="16"/>
                <w:szCs w:val="16"/>
              </w:rPr>
              <w:fldChar w:fldCharType="begin"/>
            </w:r>
            <w:r w:rsidRPr="00B4478D">
              <w:rPr>
                <w:rFonts w:ascii="Arial" w:eastAsia="SimSun" w:hAnsi="Arial" w:cs="Arial"/>
                <w:sz w:val="16"/>
                <w:szCs w:val="16"/>
              </w:rPr>
              <w:instrText xml:space="preserve"> QUOTE </w:instrText>
            </w:r>
            <w:r w:rsidR="00A6784C">
              <w:rPr>
                <w:rFonts w:ascii="Arial" w:hAnsi="Arial" w:cs="Arial"/>
                <w:position w:val="-5"/>
                <w:sz w:val="16"/>
                <w:szCs w:val="16"/>
              </w:rPr>
              <w:pict w14:anchorId="3DA2B281">
                <v:shape id="_x0000_i1160" type="#_x0000_t75" style="width:6.75pt;height:12pt" equationxml="&lt;">
                  <v:imagedata r:id="rId1332" o:title="" chromakey="white"/>
                </v:shape>
              </w:pict>
            </w:r>
            <w:r w:rsidRPr="00B4478D">
              <w:rPr>
                <w:rFonts w:ascii="Arial" w:eastAsia="SimSun" w:hAnsi="Arial" w:cs="Arial"/>
                <w:sz w:val="16"/>
                <w:szCs w:val="16"/>
              </w:rPr>
              <w:instrText xml:space="preserve"> </w:instrText>
            </w:r>
            <w:r w:rsidRPr="00B4478D">
              <w:rPr>
                <w:rFonts w:ascii="Arial" w:eastAsia="SimSun" w:hAnsi="Arial" w:cs="Arial"/>
                <w:sz w:val="16"/>
                <w:szCs w:val="16"/>
              </w:rPr>
              <w:fldChar w:fldCharType="separate"/>
            </w:r>
            <w:r w:rsidR="00A6784C">
              <w:rPr>
                <w:rFonts w:ascii="Arial" w:hAnsi="Arial" w:cs="Arial"/>
                <w:position w:val="-5"/>
                <w:sz w:val="16"/>
                <w:szCs w:val="16"/>
              </w:rPr>
              <w:pict w14:anchorId="25A6D854">
                <v:shape id="_x0000_i1161" type="#_x0000_t75" style="width:6.75pt;height:12pt" equationxml="&lt;">
                  <v:imagedata r:id="rId1332" o:title="" chromakey="white"/>
                </v:shape>
              </w:pict>
            </w:r>
            <w:r w:rsidRPr="00B4478D">
              <w:rPr>
                <w:rFonts w:ascii="Arial" w:eastAsia="SimSun" w:hAnsi="Arial" w:cs="Arial"/>
                <w:sz w:val="16"/>
                <w:szCs w:val="16"/>
              </w:rPr>
              <w:fldChar w:fldCharType="end"/>
            </w:r>
            <w:r w:rsidRPr="00B4478D">
              <w:rPr>
                <w:rFonts w:ascii="Arial" w:eastAsia="SimSun" w:hAnsi="Arial" w:cs="Arial"/>
                <w:sz w:val="16"/>
                <w:szCs w:val="16"/>
              </w:rPr>
              <w:t xml:space="preserve"> times by one of the </w:t>
            </w:r>
            <w:r w:rsidRPr="00B4478D">
              <w:rPr>
                <w:rFonts w:ascii="Arial" w:eastAsia="SimSun" w:hAnsi="Arial" w:cs="Arial"/>
                <w:sz w:val="16"/>
                <w:szCs w:val="16"/>
              </w:rPr>
              <w:fldChar w:fldCharType="begin"/>
            </w:r>
            <w:r w:rsidRPr="00B4478D">
              <w:rPr>
                <w:rFonts w:ascii="Arial" w:eastAsia="SimSun" w:hAnsi="Arial" w:cs="Arial"/>
                <w:sz w:val="16"/>
                <w:szCs w:val="16"/>
              </w:rPr>
              <w:instrText xml:space="preserve"> QUOTE </w:instrText>
            </w:r>
            <w:r w:rsidR="005A18DC">
              <w:rPr>
                <w:rFonts w:ascii="Arial" w:hAnsi="Arial" w:cs="Arial"/>
                <w:position w:val="-5"/>
                <w:sz w:val="16"/>
                <w:szCs w:val="16"/>
              </w:rPr>
              <w:pict w14:anchorId="0CC5E3B6">
                <v:shape id="_x0000_i1162" type="#_x0000_t75" style="width:9pt;height:12pt" equationxml="&lt;">
                  <v:imagedata r:id="rId1333" o:title="" chromakey="white"/>
                </v:shape>
              </w:pict>
            </w:r>
            <w:r w:rsidRPr="00B4478D">
              <w:rPr>
                <w:rFonts w:ascii="Arial" w:eastAsia="SimSun" w:hAnsi="Arial" w:cs="Arial"/>
                <w:sz w:val="16"/>
                <w:szCs w:val="16"/>
              </w:rPr>
              <w:instrText xml:space="preserve"> </w:instrText>
            </w:r>
            <w:r w:rsidRPr="00B4478D">
              <w:rPr>
                <w:rFonts w:ascii="Arial" w:eastAsia="SimSun" w:hAnsi="Arial" w:cs="Arial"/>
                <w:sz w:val="16"/>
                <w:szCs w:val="16"/>
              </w:rPr>
              <w:fldChar w:fldCharType="separate"/>
            </w:r>
            <w:r w:rsidR="005A18DC">
              <w:rPr>
                <w:rFonts w:ascii="Arial" w:hAnsi="Arial" w:cs="Arial"/>
                <w:position w:val="-5"/>
                <w:sz w:val="16"/>
                <w:szCs w:val="16"/>
              </w:rPr>
              <w:pict w14:anchorId="1EBD84C0">
                <v:shape id="_x0000_i1163" type="#_x0000_t75" style="width:9pt;height:12pt" equationxml="&lt;">
                  <v:imagedata r:id="rId1333" o:title="" chromakey="white"/>
                </v:shape>
              </w:pict>
            </w:r>
            <w:r w:rsidRPr="00B4478D">
              <w:rPr>
                <w:rFonts w:ascii="Arial" w:eastAsia="SimSun" w:hAnsi="Arial" w:cs="Arial"/>
                <w:sz w:val="16"/>
                <w:szCs w:val="16"/>
              </w:rPr>
              <w:fldChar w:fldCharType="end"/>
            </w:r>
            <w:r w:rsidRPr="00B4478D">
              <w:rPr>
                <w:rFonts w:ascii="Arial" w:eastAsia="SimSun" w:hAnsi="Arial" w:cs="Arial"/>
                <w:sz w:val="16"/>
                <w:szCs w:val="16"/>
              </w:rPr>
              <w:t xml:space="preserve"> CSI-RS resources, </w:t>
            </w:r>
            <w:r w:rsidRPr="00B4478D">
              <w:rPr>
                <w:rFonts w:ascii="Arial" w:eastAsia="MS Mincho" w:hAnsi="Arial" w:cs="Arial"/>
                <w:sz w:val="16"/>
                <w:szCs w:val="16"/>
              </w:rPr>
              <w:t xml:space="preserve">where </w:t>
            </w:r>
            <w:r w:rsidRPr="00B4478D">
              <w:rPr>
                <w:rFonts w:ascii="Arial" w:eastAsia="MS Mincho" w:hAnsi="Arial" w:cs="Arial"/>
                <w:sz w:val="16"/>
                <w:szCs w:val="16"/>
              </w:rPr>
              <w:fldChar w:fldCharType="begin"/>
            </w:r>
            <w:r w:rsidRPr="00B4478D">
              <w:rPr>
                <w:rFonts w:ascii="Arial" w:eastAsia="MS Mincho" w:hAnsi="Arial" w:cs="Arial"/>
                <w:sz w:val="16"/>
                <w:szCs w:val="16"/>
              </w:rPr>
              <w:instrText xml:space="preserve"> QUOTE </w:instrText>
            </w:r>
            <w:r w:rsidR="005A18DC">
              <w:rPr>
                <w:rFonts w:ascii="Arial" w:hAnsi="Arial" w:cs="Arial"/>
                <w:position w:val="-5"/>
                <w:sz w:val="16"/>
                <w:szCs w:val="16"/>
              </w:rPr>
              <w:pict w14:anchorId="679A861A">
                <v:shape id="_x0000_i1164" type="#_x0000_t75" style="width:9pt;height:12pt" equationxml="&lt;">
                  <v:imagedata r:id="rId1333" o:title="" chromakey="white"/>
                </v:shape>
              </w:pict>
            </w:r>
            <w:r w:rsidRPr="00B4478D">
              <w:rPr>
                <w:rFonts w:ascii="Arial" w:eastAsia="MS Mincho" w:hAnsi="Arial" w:cs="Arial"/>
                <w:sz w:val="16"/>
                <w:szCs w:val="16"/>
              </w:rPr>
              <w:instrText xml:space="preserve"> </w:instrText>
            </w:r>
            <w:r w:rsidRPr="00B4478D">
              <w:rPr>
                <w:rFonts w:ascii="Arial" w:eastAsia="MS Mincho" w:hAnsi="Arial" w:cs="Arial"/>
                <w:sz w:val="16"/>
                <w:szCs w:val="16"/>
              </w:rPr>
              <w:fldChar w:fldCharType="separate"/>
            </w:r>
            <w:r w:rsidR="005A18DC">
              <w:rPr>
                <w:rFonts w:ascii="Arial" w:hAnsi="Arial" w:cs="Arial"/>
                <w:position w:val="-5"/>
                <w:sz w:val="16"/>
                <w:szCs w:val="16"/>
              </w:rPr>
              <w:pict w14:anchorId="2E1770CF">
                <v:shape id="_x0000_i1165" type="#_x0000_t75" style="width:9pt;height:12pt" equationxml="&lt;">
                  <v:imagedata r:id="rId1333" o:title="" chromakey="white"/>
                </v:shape>
              </w:pict>
            </w:r>
            <w:r w:rsidRPr="00B4478D">
              <w:rPr>
                <w:rFonts w:ascii="Arial" w:eastAsia="MS Mincho" w:hAnsi="Arial" w:cs="Arial"/>
                <w:sz w:val="16"/>
                <w:szCs w:val="16"/>
              </w:rPr>
              <w:fldChar w:fldCharType="end"/>
            </w:r>
            <w:r w:rsidRPr="00B4478D">
              <w:rPr>
                <w:rFonts w:ascii="Arial" w:eastAsia="MS Mincho" w:hAnsi="Arial" w:cs="Arial"/>
                <w:sz w:val="16"/>
                <w:szCs w:val="16"/>
              </w:rPr>
              <w:t xml:space="preserve"> is defined in clause 5.2.1.4.2,</w:t>
            </w:r>
            <w:r w:rsidRPr="00B4478D">
              <w:rPr>
                <w:rFonts w:ascii="Arial" w:eastAsia="SimSun" w:hAnsi="Arial" w:cs="Arial"/>
                <w:sz w:val="16"/>
                <w:szCs w:val="16"/>
              </w:rPr>
              <w:t xml:space="preserve"> and/or one or two Resource Pairs, the CSI-RS resource and the CSI-RS ports within the CSI-RS resource are counted </w:t>
            </w:r>
            <w:r w:rsidRPr="00B4478D">
              <w:rPr>
                <w:rFonts w:ascii="Arial" w:eastAsia="SimSun" w:hAnsi="Arial" w:cs="Arial"/>
                <w:sz w:val="16"/>
                <w:szCs w:val="16"/>
              </w:rPr>
              <w:fldChar w:fldCharType="begin"/>
            </w:r>
            <w:r w:rsidRPr="00B4478D">
              <w:rPr>
                <w:rFonts w:ascii="Arial" w:eastAsia="SimSun" w:hAnsi="Arial" w:cs="Arial"/>
                <w:sz w:val="16"/>
                <w:szCs w:val="16"/>
              </w:rPr>
              <w:instrText xml:space="preserve"> QUOTE </w:instrText>
            </w:r>
            <w:r w:rsidR="00A6784C">
              <w:rPr>
                <w:rFonts w:ascii="Arial" w:hAnsi="Arial" w:cs="Arial"/>
                <w:position w:val="-5"/>
                <w:sz w:val="16"/>
                <w:szCs w:val="16"/>
              </w:rPr>
              <w:pict w14:anchorId="544F751D">
                <v:shape id="_x0000_i1166" type="#_x0000_t75" style="width:6.75pt;height:12pt" equationxml="&lt;">
                  <v:imagedata r:id="rId1332" o:title="" chromakey="white"/>
                </v:shape>
              </w:pict>
            </w:r>
            <w:r w:rsidRPr="00B4478D">
              <w:rPr>
                <w:rFonts w:ascii="Arial" w:eastAsia="SimSun" w:hAnsi="Arial" w:cs="Arial"/>
                <w:sz w:val="16"/>
                <w:szCs w:val="16"/>
              </w:rPr>
              <w:instrText xml:space="preserve"> </w:instrText>
            </w:r>
            <w:r w:rsidRPr="00B4478D">
              <w:rPr>
                <w:rFonts w:ascii="Arial" w:eastAsia="SimSun" w:hAnsi="Arial" w:cs="Arial"/>
                <w:sz w:val="16"/>
                <w:szCs w:val="16"/>
              </w:rPr>
              <w:fldChar w:fldCharType="separate"/>
            </w:r>
            <w:r w:rsidR="00A6784C">
              <w:rPr>
                <w:rFonts w:ascii="Arial" w:hAnsi="Arial" w:cs="Arial"/>
                <w:position w:val="-5"/>
                <w:sz w:val="16"/>
                <w:szCs w:val="16"/>
              </w:rPr>
              <w:pict w14:anchorId="074CB10E">
                <v:shape id="_x0000_i1167" type="#_x0000_t75" style="width:6.75pt;height:12pt" equationxml="&lt;">
                  <v:imagedata r:id="rId1332" o:title="" chromakey="white"/>
                </v:shape>
              </w:pict>
            </w:r>
            <w:r w:rsidRPr="00B4478D">
              <w:rPr>
                <w:rFonts w:ascii="Arial" w:eastAsia="SimSun" w:hAnsi="Arial" w:cs="Arial"/>
                <w:sz w:val="16"/>
                <w:szCs w:val="16"/>
              </w:rPr>
              <w:fldChar w:fldCharType="end"/>
            </w:r>
            <w:r w:rsidRPr="00B4478D">
              <w:rPr>
                <w:rFonts w:ascii="Arial" w:eastAsia="SimSun" w:hAnsi="Arial" w:cs="Arial"/>
                <w:sz w:val="16"/>
                <w:szCs w:val="16"/>
              </w:rPr>
              <w:t xml:space="preserve"> times. </w:t>
            </w:r>
          </w:p>
          <w:p w14:paraId="6E07BCE4" w14:textId="77777777" w:rsidR="00B4478D" w:rsidRPr="00B4478D" w:rsidRDefault="00B4478D" w:rsidP="00B4478D">
            <w:pPr>
              <w:spacing w:line="252" w:lineRule="auto"/>
              <w:rPr>
                <w:rFonts w:ascii="Arial" w:hAnsi="Arial" w:cs="Arial"/>
                <w:bCs/>
                <w:iCs/>
                <w:sz w:val="16"/>
                <w:szCs w:val="16"/>
              </w:rPr>
            </w:pPr>
            <w:r w:rsidRPr="00B4478D">
              <w:rPr>
                <w:rFonts w:ascii="Arial" w:eastAsia="SimSun" w:hAnsi="Arial" w:cs="Arial"/>
                <w:sz w:val="16"/>
                <w:szCs w:val="16"/>
              </w:rPr>
              <w:t xml:space="preserve">For a </w:t>
            </w:r>
            <w:r w:rsidRPr="00B4478D">
              <w:rPr>
                <w:rFonts w:ascii="Arial" w:eastAsia="SimSun" w:hAnsi="Arial" w:cs="Arial"/>
                <w:strike/>
                <w:color w:val="FF0000"/>
                <w:sz w:val="16"/>
                <w:szCs w:val="16"/>
              </w:rPr>
              <w:t>CSI report configuration</w:t>
            </w:r>
            <w:r w:rsidRPr="00B4478D">
              <w:rPr>
                <w:rFonts w:ascii="Arial" w:eastAsia="SimSun" w:hAnsi="Arial" w:cs="Arial"/>
                <w:color w:val="FF0000"/>
                <w:sz w:val="16"/>
                <w:szCs w:val="16"/>
              </w:rPr>
              <w:t xml:space="preserve"> </w:t>
            </w:r>
            <w:r w:rsidRPr="00B4478D">
              <w:rPr>
                <w:rFonts w:ascii="Arial" w:eastAsia="SimSun" w:hAnsi="Arial" w:cs="Arial"/>
                <w:i/>
                <w:color w:val="FF0000"/>
                <w:sz w:val="16"/>
                <w:szCs w:val="16"/>
              </w:rPr>
              <w:t>CSI-ReportConfig</w:t>
            </w:r>
            <w:r w:rsidRPr="00B4478D">
              <w:rPr>
                <w:rFonts w:ascii="Arial" w:eastAsia="SimSun" w:hAnsi="Arial" w:cs="Arial"/>
                <w:color w:val="FF0000"/>
                <w:sz w:val="16"/>
                <w:szCs w:val="16"/>
              </w:rPr>
              <w:t xml:space="preserve"> containing </w:t>
            </w:r>
            <w:r w:rsidRPr="00B4478D">
              <w:rPr>
                <w:rFonts w:ascii="Arial" w:eastAsia="Microsoft YaHei" w:hAnsi="Arial" w:cs="Arial"/>
                <w:color w:val="FF0000"/>
                <w:sz w:val="16"/>
                <w:szCs w:val="16"/>
              </w:rPr>
              <w:t xml:space="preserve">a list of </w:t>
            </w:r>
            <w:r w:rsidRPr="00B4478D">
              <w:rPr>
                <w:rFonts w:ascii="Arial" w:eastAsia="Microsoft YaHei" w:hAnsi="Arial" w:cs="Arial"/>
                <w:i/>
                <w:iCs/>
                <w:color w:val="FF0000"/>
                <w:sz w:val="16"/>
                <w:szCs w:val="16"/>
              </w:rPr>
              <w:t>L</w:t>
            </w:r>
            <w:r w:rsidRPr="00B4478D">
              <w:rPr>
                <w:rFonts w:ascii="Arial" w:eastAsia="Microsoft YaHei" w:hAnsi="Arial" w:cs="Arial"/>
                <w:color w:val="FF0000"/>
                <w:sz w:val="16"/>
                <w:szCs w:val="16"/>
              </w:rPr>
              <w:t xml:space="preserve"> </w:t>
            </w:r>
            <w:r w:rsidRPr="00B4478D">
              <w:rPr>
                <w:rFonts w:ascii="Arial" w:eastAsia="SimSun" w:hAnsi="Arial" w:cs="Arial"/>
                <w:sz w:val="16"/>
                <w:szCs w:val="16"/>
              </w:rPr>
              <w:t xml:space="preserve">sub-configuration(s) </w:t>
            </w:r>
            <w:r w:rsidRPr="00B4478D">
              <w:rPr>
                <w:rFonts w:ascii="Arial" w:eastAsia="SimSun" w:hAnsi="Arial" w:cs="Arial"/>
                <w:strike/>
                <w:color w:val="FF0000"/>
                <w:sz w:val="16"/>
                <w:szCs w:val="16"/>
              </w:rPr>
              <w:t xml:space="preserve">indicated in a </w:t>
            </w:r>
            <w:r w:rsidRPr="00B4478D">
              <w:rPr>
                <w:rFonts w:ascii="Arial" w:eastAsia="SimSun" w:hAnsi="Arial" w:cs="Arial"/>
                <w:i/>
                <w:strike/>
                <w:color w:val="FF0000"/>
                <w:sz w:val="16"/>
                <w:szCs w:val="16"/>
              </w:rPr>
              <w:t>CSI-ReportConfig</w:t>
            </w:r>
            <w:r w:rsidRPr="00B4478D">
              <w:rPr>
                <w:rFonts w:ascii="Arial" w:eastAsia="SimSun" w:hAnsi="Arial" w:cs="Arial"/>
                <w:iCs/>
                <w:color w:val="FF0000"/>
                <w:sz w:val="16"/>
                <w:szCs w:val="16"/>
              </w:rPr>
              <w:t xml:space="preserve"> provided by </w:t>
            </w:r>
            <w:r w:rsidRPr="00B4478D">
              <w:rPr>
                <w:rFonts w:ascii="Arial" w:eastAsia="SimSun" w:hAnsi="Arial" w:cs="Arial"/>
                <w:color w:val="FF0000"/>
                <w:sz w:val="16"/>
                <w:szCs w:val="16"/>
              </w:rPr>
              <w:t>higher layer parameter [</w:t>
            </w:r>
            <w:r w:rsidRPr="00B4478D">
              <w:rPr>
                <w:rFonts w:ascii="Arial" w:eastAsia="SimSun" w:hAnsi="Arial" w:cs="Arial"/>
                <w:i/>
                <w:iCs/>
                <w:color w:val="FF0000"/>
                <w:sz w:val="16"/>
                <w:szCs w:val="16"/>
              </w:rPr>
              <w:t>csi-ReportSubConfigList</w:t>
            </w:r>
            <w:r w:rsidRPr="00B4478D">
              <w:rPr>
                <w:rFonts w:ascii="Arial" w:eastAsia="SimSun" w:hAnsi="Arial" w:cs="Arial"/>
                <w:color w:val="FF0000"/>
                <w:sz w:val="16"/>
                <w:szCs w:val="16"/>
              </w:rPr>
              <w:t>]</w:t>
            </w:r>
            <w:r w:rsidRPr="00B4478D">
              <w:rPr>
                <w:rFonts w:ascii="Arial" w:hAnsi="Arial" w:cs="Arial"/>
                <w:i/>
                <w:sz w:val="16"/>
                <w:szCs w:val="16"/>
              </w:rPr>
              <w:t>,</w:t>
            </w:r>
            <w:r w:rsidRPr="00B4478D">
              <w:rPr>
                <w:rFonts w:ascii="Arial" w:hAnsi="Arial" w:cs="Arial"/>
                <w:bCs/>
                <w:iCs/>
                <w:sz w:val="16"/>
                <w:szCs w:val="16"/>
              </w:rPr>
              <w:t xml:space="preserve"> </w:t>
            </w:r>
            <w:r w:rsidRPr="00B4478D">
              <w:rPr>
                <w:rFonts w:ascii="Arial" w:hAnsi="Arial" w:cs="Arial"/>
                <w:bCs/>
                <w:sz w:val="16"/>
                <w:szCs w:val="16"/>
              </w:rPr>
              <w:t xml:space="preserve">if a CSI-RS resource is referred by </w:t>
            </w:r>
            <w:r w:rsidRPr="00B4478D">
              <w:rPr>
                <w:rFonts w:ascii="Arial" w:hAnsi="Arial" w:cs="Arial"/>
                <w:bCs/>
                <w:i/>
                <w:iCs/>
                <w:sz w:val="16"/>
                <w:szCs w:val="16"/>
              </w:rPr>
              <w:t>M</w:t>
            </w:r>
            <w:r w:rsidRPr="00B4478D">
              <w:rPr>
                <w:rFonts w:ascii="Arial" w:hAnsi="Arial" w:cs="Arial"/>
                <w:bCs/>
                <w:sz w:val="16"/>
                <w:szCs w:val="16"/>
              </w:rPr>
              <w:t xml:space="preserve"> sub-configurations among </w:t>
            </w:r>
            <w:r w:rsidRPr="00B4478D">
              <w:rPr>
                <w:rFonts w:ascii="Arial" w:hAnsi="Arial" w:cs="Arial"/>
                <w:bCs/>
                <w:i/>
                <w:iCs/>
                <w:strike/>
                <w:color w:val="FF0000"/>
                <w:sz w:val="16"/>
                <w:szCs w:val="16"/>
              </w:rPr>
              <w:t>X</w:t>
            </w:r>
            <w:r w:rsidRPr="00B4478D">
              <w:rPr>
                <w:rFonts w:ascii="Arial" w:hAnsi="Arial" w:cs="Arial"/>
                <w:bCs/>
                <w:i/>
                <w:iCs/>
                <w:color w:val="FF0000"/>
                <w:sz w:val="16"/>
                <w:szCs w:val="16"/>
              </w:rPr>
              <w:t>N</w:t>
            </w:r>
            <w:r w:rsidRPr="00B4478D">
              <w:rPr>
                <w:rFonts w:ascii="Arial" w:hAnsi="Arial" w:cs="Arial"/>
                <w:bCs/>
                <w:color w:val="FF0000"/>
                <w:sz w:val="16"/>
                <w:szCs w:val="16"/>
              </w:rPr>
              <w:t xml:space="preserve"> triggered </w:t>
            </w:r>
            <w:r w:rsidRPr="00B4478D">
              <w:rPr>
                <w:rFonts w:ascii="Arial" w:hAnsi="Arial" w:cs="Arial"/>
                <w:bCs/>
                <w:sz w:val="16"/>
                <w:szCs w:val="16"/>
              </w:rPr>
              <w:t>sub-configurations</w:t>
            </w:r>
            <w:r w:rsidRPr="00B4478D">
              <w:rPr>
                <w:rFonts w:ascii="Arial" w:eastAsia="SimSun" w:hAnsi="Arial" w:cs="Arial"/>
                <w:color w:val="FF0000"/>
                <w:sz w:val="16"/>
                <w:szCs w:val="16"/>
              </w:rPr>
              <w:t xml:space="preserve"> for CSI reporting for aperiodic CSI-RS resource, or </w:t>
            </w:r>
            <w:r w:rsidRPr="00B4478D">
              <w:rPr>
                <w:rFonts w:ascii="Arial" w:eastAsia="SimSun" w:hAnsi="Arial" w:cs="Arial"/>
                <w:i/>
                <w:color w:val="FF0000"/>
                <w:sz w:val="16"/>
                <w:szCs w:val="16"/>
              </w:rPr>
              <w:t>L</w:t>
            </w:r>
            <w:r w:rsidRPr="00B4478D">
              <w:rPr>
                <w:rFonts w:ascii="Arial" w:eastAsia="SimSun" w:hAnsi="Arial" w:cs="Arial"/>
                <w:color w:val="FF0000"/>
                <w:sz w:val="16"/>
                <w:szCs w:val="16"/>
              </w:rPr>
              <w:t xml:space="preserve"> configured sub-configurations for CSI reporting for semi-persistent CSI-RS resource or periodic CSI-RS resource</w:t>
            </w:r>
            <w:r w:rsidRPr="00B4478D">
              <w:rPr>
                <w:rFonts w:ascii="Arial" w:hAnsi="Arial" w:cs="Arial"/>
                <w:bCs/>
                <w:sz w:val="16"/>
                <w:szCs w:val="16"/>
              </w:rPr>
              <w:t xml:space="preserve">, </w:t>
            </w:r>
            <w:r w:rsidRPr="00B4478D">
              <w:rPr>
                <w:rFonts w:ascii="Arial" w:hAnsi="Arial" w:cs="Arial"/>
                <w:bCs/>
                <w:iCs/>
                <w:sz w:val="16"/>
                <w:szCs w:val="16"/>
              </w:rPr>
              <w:t xml:space="preserve">the CSI-RS resource is counted </w:t>
            </w:r>
            <w:r w:rsidRPr="00B4478D">
              <w:rPr>
                <w:rFonts w:ascii="Arial" w:hAnsi="Arial" w:cs="Arial"/>
                <w:bCs/>
                <w:i/>
                <w:sz w:val="16"/>
                <w:szCs w:val="16"/>
              </w:rPr>
              <w:t>M</w:t>
            </w:r>
            <w:r w:rsidRPr="00B4478D">
              <w:rPr>
                <w:rFonts w:ascii="Arial" w:hAnsi="Arial" w:cs="Arial"/>
                <w:bCs/>
                <w:iCs/>
                <w:sz w:val="16"/>
                <w:szCs w:val="16"/>
              </w:rPr>
              <w:t xml:space="preserve"> times and the CSI-RS ports within the CSI-RS resource are counted as follows:</w:t>
            </w:r>
          </w:p>
          <w:p w14:paraId="39E67263" w14:textId="77777777" w:rsidR="00B4478D" w:rsidRPr="00B4478D" w:rsidRDefault="00B4478D" w:rsidP="00B4478D">
            <w:pPr>
              <w:pStyle w:val="B1"/>
              <w:spacing w:after="0"/>
              <w:rPr>
                <w:rFonts w:ascii="Arial" w:hAnsi="Arial" w:cs="Arial"/>
                <w:strike/>
                <w:color w:val="FF0000"/>
                <w:sz w:val="16"/>
                <w:szCs w:val="16"/>
              </w:rPr>
            </w:pPr>
            <w:r w:rsidRPr="00B4478D">
              <w:rPr>
                <w:rFonts w:ascii="Arial" w:hAnsi="Arial" w:cs="Arial"/>
                <w:strike/>
                <w:color w:val="FF0000"/>
                <w:sz w:val="16"/>
                <w:szCs w:val="16"/>
              </w:rPr>
              <w:t>-</w:t>
            </w:r>
            <w:r w:rsidRPr="00B4478D">
              <w:rPr>
                <w:rFonts w:ascii="Arial" w:hAnsi="Arial" w:cs="Arial"/>
                <w:strike/>
                <w:color w:val="FF0000"/>
                <w:sz w:val="16"/>
                <w:szCs w:val="16"/>
              </w:rPr>
              <w:tab/>
            </w:r>
            <w:r w:rsidRPr="00B4478D">
              <w:rPr>
                <w:rFonts w:ascii="Arial" w:hAnsi="Arial" w:cs="Arial"/>
                <w:color w:val="FF0000"/>
                <w:sz w:val="16"/>
                <w:szCs w:val="16"/>
              </w:rPr>
              <w:fldChar w:fldCharType="begin"/>
            </w:r>
            <w:r w:rsidRPr="00B4478D">
              <w:rPr>
                <w:rFonts w:ascii="Arial" w:hAnsi="Arial" w:cs="Arial"/>
                <w:color w:val="FF0000"/>
                <w:sz w:val="16"/>
                <w:szCs w:val="16"/>
              </w:rPr>
              <w:instrText xml:space="preserve"> QUOTE </w:instrText>
            </w:r>
            <w:r w:rsidR="00A6784C">
              <w:rPr>
                <w:rFonts w:ascii="Arial" w:hAnsi="Arial" w:cs="Arial"/>
                <w:position w:val="-5"/>
                <w:sz w:val="16"/>
                <w:szCs w:val="16"/>
              </w:rPr>
              <w:pict w14:anchorId="24311F8F">
                <v:shape id="_x0000_i1168" type="#_x0000_t75" style="width:67.5pt;height:12pt" equationxml="&lt;">
                  <v:imagedata r:id="rId1334" o:title="" chromakey="white"/>
                </v:shape>
              </w:pict>
            </w:r>
            <w:r w:rsidRPr="00B4478D">
              <w:rPr>
                <w:rFonts w:ascii="Arial" w:hAnsi="Arial" w:cs="Arial"/>
                <w:color w:val="FF0000"/>
                <w:sz w:val="16"/>
                <w:szCs w:val="16"/>
              </w:rPr>
              <w:instrText xml:space="preserve"> </w:instrText>
            </w:r>
            <w:r w:rsidRPr="00B4478D">
              <w:rPr>
                <w:rFonts w:ascii="Arial" w:hAnsi="Arial" w:cs="Arial"/>
                <w:color w:val="FF0000"/>
                <w:sz w:val="16"/>
                <w:szCs w:val="16"/>
              </w:rPr>
              <w:fldChar w:fldCharType="separate"/>
            </w:r>
            <w:r w:rsidR="00A6784C">
              <w:rPr>
                <w:rFonts w:ascii="Arial" w:hAnsi="Arial" w:cs="Arial"/>
                <w:position w:val="-5"/>
                <w:sz w:val="16"/>
                <w:szCs w:val="16"/>
              </w:rPr>
              <w:pict w14:anchorId="0B9470A4">
                <v:shape id="_x0000_i1169" type="#_x0000_t75" style="width:67.5pt;height:12pt" equationxml="&lt;">
                  <v:imagedata r:id="rId1334" o:title="" chromakey="white"/>
                </v:shape>
              </w:pict>
            </w:r>
            <w:r w:rsidRPr="00B4478D">
              <w:rPr>
                <w:rFonts w:ascii="Arial" w:hAnsi="Arial" w:cs="Arial"/>
                <w:color w:val="FF0000"/>
                <w:sz w:val="16"/>
                <w:szCs w:val="16"/>
              </w:rPr>
              <w:fldChar w:fldCharType="end"/>
            </w:r>
            <w:r w:rsidRPr="00B4478D">
              <w:rPr>
                <w:rFonts w:ascii="Arial" w:hAnsi="Arial" w:cs="Arial"/>
                <w:color w:val="FF0000"/>
                <w:sz w:val="16"/>
                <w:szCs w:val="16"/>
              </w:rPr>
              <w:t xml:space="preserve"> </w:t>
            </w:r>
            <w:r w:rsidRPr="00B4478D">
              <w:rPr>
                <w:rFonts w:ascii="Arial" w:hAnsi="Arial" w:cs="Arial"/>
                <w:strike/>
                <w:color w:val="FF0000"/>
                <w:sz w:val="16"/>
                <w:szCs w:val="16"/>
              </w:rPr>
              <w:t xml:space="preserve">if each sub-configuration, of the </w:t>
            </w:r>
            <w:r w:rsidRPr="00B4478D">
              <w:rPr>
                <w:rFonts w:ascii="Arial" w:hAnsi="Arial" w:cs="Arial"/>
                <w:bCs/>
                <w:i/>
                <w:iCs/>
                <w:strike/>
                <w:color w:val="FF0000"/>
                <w:sz w:val="16"/>
                <w:szCs w:val="16"/>
              </w:rPr>
              <w:t>M</w:t>
            </w:r>
            <w:r w:rsidRPr="00B4478D">
              <w:rPr>
                <w:rFonts w:ascii="Arial" w:hAnsi="Arial" w:cs="Arial"/>
                <w:bCs/>
                <w:strike/>
                <w:color w:val="FF0000"/>
                <w:sz w:val="16"/>
                <w:szCs w:val="16"/>
              </w:rPr>
              <w:t xml:space="preserve"> sub-configurations</w:t>
            </w:r>
            <w:r w:rsidRPr="00B4478D">
              <w:rPr>
                <w:rFonts w:ascii="Arial" w:hAnsi="Arial" w:cs="Arial"/>
                <w:strike/>
                <w:color w:val="FF0000"/>
                <w:sz w:val="16"/>
                <w:szCs w:val="16"/>
              </w:rPr>
              <w:t xml:space="preserve">, is configured with a CSI-RS antenna port subset, provided by </w:t>
            </w:r>
            <w:r w:rsidRPr="00B4478D">
              <w:rPr>
                <w:rFonts w:ascii="Arial" w:hAnsi="Arial" w:cs="Arial"/>
                <w:bCs/>
                <w:iCs/>
                <w:strike/>
                <w:color w:val="FF0000"/>
                <w:sz w:val="16"/>
                <w:szCs w:val="16"/>
              </w:rPr>
              <w:t>[</w:t>
            </w:r>
            <w:r w:rsidRPr="00B4478D">
              <w:rPr>
                <w:rFonts w:ascii="Arial" w:hAnsi="Arial" w:cs="Arial"/>
                <w:bCs/>
                <w:i/>
                <w:iCs/>
                <w:strike/>
                <w:color w:val="FF0000"/>
                <w:sz w:val="16"/>
                <w:szCs w:val="16"/>
              </w:rPr>
              <w:t>port-subsetIndicator</w:t>
            </w:r>
            <w:r w:rsidRPr="00B4478D">
              <w:rPr>
                <w:rFonts w:ascii="Arial" w:hAnsi="Arial" w:cs="Arial"/>
                <w:bCs/>
                <w:iCs/>
                <w:strike/>
                <w:color w:val="FF0000"/>
                <w:sz w:val="16"/>
                <w:szCs w:val="16"/>
              </w:rPr>
              <w:t>],</w:t>
            </w:r>
            <w:r w:rsidRPr="00B4478D">
              <w:rPr>
                <w:rFonts w:ascii="Arial" w:hAnsi="Arial" w:cs="Arial"/>
                <w:strike/>
                <w:color w:val="FF0000"/>
                <w:sz w:val="16"/>
                <w:szCs w:val="16"/>
              </w:rPr>
              <w:t xml:space="preserve"> </w:t>
            </w:r>
            <w:r w:rsidRPr="00B4478D">
              <w:rPr>
                <w:rFonts w:ascii="Arial" w:eastAsia="Microsoft YaHei" w:hAnsi="Arial" w:cs="Arial"/>
                <w:strike/>
                <w:color w:val="FF0000"/>
                <w:sz w:val="16"/>
                <w:szCs w:val="16"/>
              </w:rPr>
              <w:t>or</w:t>
            </w:r>
            <w:r w:rsidRPr="00B4478D">
              <w:rPr>
                <w:rFonts w:ascii="Arial" w:hAnsi="Arial" w:cs="Arial"/>
                <w:bCs/>
                <w:iCs/>
                <w:strike/>
                <w:color w:val="FF0000"/>
                <w:sz w:val="16"/>
                <w:szCs w:val="16"/>
              </w:rPr>
              <w:t xml:space="preserve"> is configured with a list of one or more CSI-RS resources, provided by [nzp-CSI-RS-resourceList], or is configured with a power offset, provided by [powerOffset],</w:t>
            </w:r>
          </w:p>
          <w:p w14:paraId="58BF07AC" w14:textId="77777777" w:rsidR="00B4478D" w:rsidRPr="00B4478D" w:rsidRDefault="00B4478D" w:rsidP="00B4478D">
            <w:pPr>
              <w:pStyle w:val="B1"/>
              <w:spacing w:after="0"/>
              <w:rPr>
                <w:rFonts w:ascii="Arial" w:hAnsi="Arial" w:cs="Arial"/>
                <w:strike/>
                <w:color w:val="000000"/>
                <w:sz w:val="16"/>
                <w:szCs w:val="16"/>
              </w:rPr>
            </w:pPr>
            <w:r w:rsidRPr="00B4478D">
              <w:rPr>
                <w:rFonts w:ascii="Arial" w:hAnsi="Arial" w:cs="Arial"/>
                <w:strike/>
                <w:color w:val="FF0000"/>
                <w:sz w:val="16"/>
                <w:szCs w:val="16"/>
              </w:rPr>
              <w:t>-</w:t>
            </w:r>
            <w:r w:rsidRPr="00B4478D">
              <w:rPr>
                <w:rFonts w:ascii="Arial" w:hAnsi="Arial" w:cs="Arial"/>
                <w:strike/>
                <w:color w:val="FF0000"/>
                <w:sz w:val="16"/>
                <w:szCs w:val="16"/>
              </w:rPr>
              <w:tab/>
            </w:r>
            <w:r w:rsidRPr="00B4478D">
              <w:rPr>
                <w:rFonts w:ascii="Arial" w:hAnsi="Arial" w:cs="Arial"/>
                <w:bCs/>
                <w:i/>
                <w:strike/>
                <w:color w:val="FF0000"/>
                <w:sz w:val="16"/>
                <w:szCs w:val="16"/>
              </w:rPr>
              <w:t>M</w:t>
            </w:r>
            <w:r w:rsidRPr="00B4478D">
              <w:rPr>
                <w:rFonts w:ascii="Arial" w:hAnsi="Arial" w:cs="Arial"/>
                <w:bCs/>
                <w:iCs/>
                <w:strike/>
                <w:color w:val="FF0000"/>
                <w:sz w:val="16"/>
                <w:szCs w:val="16"/>
              </w:rPr>
              <w:t xml:space="preserve"> × </w:t>
            </w:r>
            <w:r w:rsidRPr="00B4478D">
              <w:rPr>
                <w:rFonts w:ascii="Arial" w:hAnsi="Arial" w:cs="Arial"/>
                <w:bCs/>
                <w:i/>
                <w:strike/>
                <w:color w:val="FF0000"/>
                <w:sz w:val="16"/>
                <w:szCs w:val="16"/>
              </w:rPr>
              <w:t>P</w:t>
            </w:r>
            <w:r w:rsidRPr="00B4478D">
              <w:rPr>
                <w:rFonts w:ascii="Arial" w:hAnsi="Arial" w:cs="Arial"/>
                <w:bCs/>
                <w:iCs/>
                <w:strike/>
                <w:color w:val="FF0000"/>
                <w:sz w:val="16"/>
                <w:szCs w:val="16"/>
              </w:rPr>
              <w:t xml:space="preserve"> </w:t>
            </w:r>
            <w:r w:rsidRPr="00B4478D">
              <w:rPr>
                <w:rFonts w:ascii="Arial" w:hAnsi="Arial" w:cs="Arial"/>
                <w:strike/>
                <w:color w:val="FF0000"/>
                <w:sz w:val="16"/>
                <w:szCs w:val="16"/>
              </w:rPr>
              <w:t xml:space="preserve">if each sub-configuration, of the </w:t>
            </w:r>
            <w:r w:rsidRPr="00B4478D">
              <w:rPr>
                <w:rFonts w:ascii="Arial" w:hAnsi="Arial" w:cs="Arial"/>
                <w:bCs/>
                <w:i/>
                <w:iCs/>
                <w:strike/>
                <w:color w:val="FF0000"/>
                <w:sz w:val="16"/>
                <w:szCs w:val="16"/>
              </w:rPr>
              <w:t>M</w:t>
            </w:r>
            <w:r w:rsidRPr="00B4478D">
              <w:rPr>
                <w:rFonts w:ascii="Arial" w:hAnsi="Arial" w:cs="Arial"/>
                <w:bCs/>
                <w:strike/>
                <w:color w:val="FF0000"/>
                <w:sz w:val="16"/>
                <w:szCs w:val="16"/>
              </w:rPr>
              <w:t xml:space="preserve"> sub-configurations</w:t>
            </w:r>
            <w:r w:rsidRPr="00B4478D">
              <w:rPr>
                <w:rFonts w:ascii="Arial" w:hAnsi="Arial" w:cs="Arial"/>
                <w:strike/>
                <w:color w:val="FF0000"/>
                <w:sz w:val="16"/>
                <w:szCs w:val="16"/>
              </w:rPr>
              <w:t xml:space="preserve">, is configured with </w:t>
            </w:r>
            <w:r w:rsidRPr="00B4478D">
              <w:rPr>
                <w:rFonts w:ascii="Arial" w:eastAsia="Microsoft YaHei" w:hAnsi="Arial" w:cs="Arial"/>
                <w:strike/>
                <w:color w:val="FF0000"/>
                <w:sz w:val="16"/>
                <w:szCs w:val="16"/>
              </w:rPr>
              <w:t xml:space="preserve">a list of one or more CSI-RS resources, provided by </w:t>
            </w:r>
            <w:r w:rsidRPr="00B4478D">
              <w:rPr>
                <w:rFonts w:ascii="Arial" w:hAnsi="Arial" w:cs="Arial"/>
                <w:strike/>
                <w:color w:val="FF0000"/>
                <w:sz w:val="16"/>
                <w:szCs w:val="16"/>
              </w:rPr>
              <w:t>[</w:t>
            </w:r>
            <w:r w:rsidRPr="00B4478D">
              <w:rPr>
                <w:rFonts w:ascii="Arial" w:hAnsi="Arial" w:cs="Arial"/>
                <w:i/>
                <w:iCs/>
                <w:strike/>
                <w:color w:val="FF0000"/>
                <w:sz w:val="16"/>
                <w:szCs w:val="16"/>
              </w:rPr>
              <w:t>nzp-CSI-RS-resourceList</w:t>
            </w:r>
            <w:r w:rsidRPr="00B4478D">
              <w:rPr>
                <w:rFonts w:ascii="Arial" w:hAnsi="Arial" w:cs="Arial"/>
                <w:strike/>
                <w:color w:val="FF0000"/>
                <w:sz w:val="16"/>
                <w:szCs w:val="16"/>
              </w:rPr>
              <w:t>],</w:t>
            </w:r>
            <w:r w:rsidRPr="00B4478D">
              <w:rPr>
                <w:rFonts w:ascii="Arial" w:eastAsia="Microsoft YaHei" w:hAnsi="Arial" w:cs="Arial"/>
                <w:strike/>
                <w:color w:val="FF0000"/>
                <w:sz w:val="16"/>
                <w:szCs w:val="16"/>
              </w:rPr>
              <w:t xml:space="preserve"> [and/] or is configured with a power offset, provided by</w:t>
            </w:r>
            <w:r w:rsidRPr="00B4478D">
              <w:rPr>
                <w:rFonts w:ascii="Arial" w:eastAsia="Microsoft YaHei" w:hAnsi="Arial" w:cs="Arial"/>
                <w:i/>
                <w:iCs/>
                <w:strike/>
                <w:color w:val="FF0000"/>
                <w:sz w:val="16"/>
                <w:szCs w:val="16"/>
              </w:rPr>
              <w:t xml:space="preserve"> [powerOffset]</w:t>
            </w:r>
            <w:r w:rsidRPr="00B4478D">
              <w:rPr>
                <w:rFonts w:ascii="Arial" w:eastAsia="Microsoft YaHei" w:hAnsi="Arial" w:cs="Arial"/>
                <w:strike/>
                <w:color w:val="FF0000"/>
                <w:sz w:val="16"/>
                <w:szCs w:val="16"/>
              </w:rPr>
              <w:t>,</w:t>
            </w:r>
          </w:p>
          <w:p w14:paraId="339624CE" w14:textId="77777777" w:rsidR="00B4478D" w:rsidRPr="00B4478D" w:rsidRDefault="00B4478D" w:rsidP="00B4478D">
            <w:pPr>
              <w:rPr>
                <w:rFonts w:ascii="Arial" w:hAnsi="Arial" w:cs="Arial"/>
                <w:bCs/>
                <w:iCs/>
                <w:sz w:val="16"/>
                <w:szCs w:val="16"/>
              </w:rPr>
            </w:pPr>
            <w:r w:rsidRPr="00B4478D">
              <w:rPr>
                <w:rFonts w:ascii="Arial" w:hAnsi="Arial" w:cs="Arial"/>
                <w:bCs/>
                <w:iCs/>
                <w:sz w:val="16"/>
                <w:szCs w:val="16"/>
              </w:rPr>
              <w:t xml:space="preserve">Where </w:t>
            </w:r>
            <w:r w:rsidRPr="00B4478D">
              <w:rPr>
                <w:rFonts w:ascii="Arial" w:hAnsi="Arial" w:cs="Arial"/>
                <w:bCs/>
                <w:i/>
                <w:sz w:val="16"/>
                <w:szCs w:val="16"/>
              </w:rPr>
              <w:t xml:space="preserve">P </w:t>
            </w:r>
            <w:r w:rsidRPr="00B4478D">
              <w:rPr>
                <w:rFonts w:ascii="Arial" w:hAnsi="Arial" w:cs="Arial"/>
                <w:bCs/>
                <w:iCs/>
                <w:sz w:val="16"/>
                <w:szCs w:val="16"/>
              </w:rPr>
              <w:t>is the number of ports configured by</w:t>
            </w:r>
            <w:r w:rsidRPr="00B4478D">
              <w:rPr>
                <w:rFonts w:ascii="Arial" w:hAnsi="Arial" w:cs="Arial"/>
                <w:bCs/>
                <w:iCs/>
                <w:sz w:val="16"/>
                <w:szCs w:val="16"/>
                <w:lang w:eastAsia="zh-CN"/>
              </w:rPr>
              <w:t xml:space="preserve"> </w:t>
            </w:r>
            <w:r w:rsidRPr="00B4478D">
              <w:rPr>
                <w:rFonts w:ascii="Arial" w:hAnsi="Arial" w:cs="Arial"/>
                <w:bCs/>
                <w:i/>
                <w:sz w:val="16"/>
                <w:szCs w:val="16"/>
              </w:rPr>
              <w:t>nrofPorts</w:t>
            </w:r>
            <w:r w:rsidRPr="00B4478D">
              <w:rPr>
                <w:rFonts w:ascii="Arial" w:hAnsi="Arial" w:cs="Arial"/>
                <w:bCs/>
                <w:iCs/>
                <w:sz w:val="16"/>
                <w:szCs w:val="16"/>
              </w:rPr>
              <w:t xml:space="preserve"> and </w:t>
            </w:r>
            <w:r w:rsidRPr="00B4478D">
              <w:rPr>
                <w:rFonts w:ascii="Arial" w:hAnsi="Arial" w:cs="Arial"/>
                <w:bCs/>
                <w:iCs/>
                <w:sz w:val="16"/>
                <w:szCs w:val="16"/>
              </w:rPr>
              <w:fldChar w:fldCharType="begin"/>
            </w:r>
            <w:r w:rsidRPr="00B4478D">
              <w:rPr>
                <w:rFonts w:ascii="Arial" w:hAnsi="Arial" w:cs="Arial"/>
                <w:bCs/>
                <w:iCs/>
                <w:sz w:val="16"/>
                <w:szCs w:val="16"/>
              </w:rPr>
              <w:instrText xml:space="preserve"> QUOTE </w:instrText>
            </w:r>
            <w:r w:rsidR="00A6784C">
              <w:rPr>
                <w:rFonts w:ascii="Arial" w:hAnsi="Arial" w:cs="Arial"/>
                <w:position w:val="-5"/>
                <w:sz w:val="16"/>
                <w:szCs w:val="16"/>
              </w:rPr>
              <w:pict w14:anchorId="58B20630">
                <v:shape id="_x0000_i1170" type="#_x0000_t75" style="width:8.25pt;height:12pt" equationxml="&lt;">
                  <v:imagedata r:id="rId1335" o:title="" chromakey="white"/>
                </v:shape>
              </w:pict>
            </w:r>
            <w:r w:rsidRPr="00B4478D">
              <w:rPr>
                <w:rFonts w:ascii="Arial" w:hAnsi="Arial" w:cs="Arial"/>
                <w:bCs/>
                <w:iCs/>
                <w:sz w:val="16"/>
                <w:szCs w:val="16"/>
              </w:rPr>
              <w:instrText xml:space="preserve"> </w:instrText>
            </w:r>
            <w:r w:rsidRPr="00B4478D">
              <w:rPr>
                <w:rFonts w:ascii="Arial" w:hAnsi="Arial" w:cs="Arial"/>
                <w:bCs/>
                <w:iCs/>
                <w:sz w:val="16"/>
                <w:szCs w:val="16"/>
              </w:rPr>
              <w:fldChar w:fldCharType="separate"/>
            </w:r>
            <w:r w:rsidR="00A6784C">
              <w:rPr>
                <w:rFonts w:ascii="Arial" w:hAnsi="Arial" w:cs="Arial"/>
                <w:position w:val="-5"/>
                <w:sz w:val="16"/>
                <w:szCs w:val="16"/>
              </w:rPr>
              <w:pict w14:anchorId="40A44BA2">
                <v:shape id="_x0000_i1171" type="#_x0000_t75" style="width:8.25pt;height:12pt" equationxml="&lt;">
                  <v:imagedata r:id="rId1335" o:title="" chromakey="white"/>
                </v:shape>
              </w:pict>
            </w:r>
            <w:r w:rsidRPr="00B4478D">
              <w:rPr>
                <w:rFonts w:ascii="Arial" w:hAnsi="Arial" w:cs="Arial"/>
                <w:bCs/>
                <w:iCs/>
                <w:sz w:val="16"/>
                <w:szCs w:val="16"/>
              </w:rPr>
              <w:fldChar w:fldCharType="end"/>
            </w:r>
            <w:r w:rsidRPr="00B4478D">
              <w:rPr>
                <w:rFonts w:ascii="Arial" w:hAnsi="Arial" w:cs="Arial"/>
                <w:bCs/>
                <w:iCs/>
                <w:sz w:val="16"/>
                <w:szCs w:val="16"/>
              </w:rPr>
              <w:t xml:space="preserve"> is the number of CSI-RS ports in sub-configuration </w:t>
            </w:r>
            <w:r w:rsidRPr="00B4478D">
              <w:rPr>
                <w:rFonts w:ascii="Arial" w:hAnsi="Arial" w:cs="Arial"/>
                <w:bCs/>
                <w:i/>
                <w:sz w:val="16"/>
                <w:szCs w:val="16"/>
              </w:rPr>
              <w:t>s</w:t>
            </w:r>
            <w:r w:rsidRPr="00B4478D">
              <w:rPr>
                <w:rFonts w:ascii="Arial" w:hAnsi="Arial" w:cs="Arial"/>
                <w:bCs/>
                <w:iCs/>
                <w:sz w:val="16"/>
                <w:szCs w:val="16"/>
              </w:rPr>
              <w:t xml:space="preserve"> derived from the corresponding antenna port subset indicator [</w:t>
            </w:r>
            <w:r w:rsidRPr="00B4478D">
              <w:rPr>
                <w:rFonts w:ascii="Arial" w:hAnsi="Arial" w:cs="Arial"/>
                <w:bCs/>
                <w:i/>
                <w:iCs/>
                <w:sz w:val="16"/>
                <w:szCs w:val="16"/>
              </w:rPr>
              <w:t>port-subsetIndicator</w:t>
            </w:r>
            <w:r w:rsidRPr="00B4478D">
              <w:rPr>
                <w:rFonts w:ascii="Arial" w:hAnsi="Arial" w:cs="Arial"/>
                <w:bCs/>
                <w:iCs/>
                <w:sz w:val="16"/>
                <w:szCs w:val="16"/>
              </w:rPr>
              <w:t>]</w:t>
            </w:r>
            <w:r w:rsidRPr="00B4478D">
              <w:rPr>
                <w:rFonts w:ascii="Arial" w:hAnsi="Arial" w:cs="Arial"/>
                <w:sz w:val="16"/>
                <w:szCs w:val="16"/>
              </w:rPr>
              <w:t xml:space="preserve"> according to</w:t>
            </w:r>
            <w:r w:rsidRPr="00B4478D">
              <w:rPr>
                <w:rFonts w:ascii="Arial" w:hAnsi="Arial" w:cs="Arial"/>
                <w:sz w:val="16"/>
                <w:szCs w:val="16"/>
                <w:lang w:val="en-US"/>
              </w:rPr>
              <w:t xml:space="preserve"> clause 5.2.1.4.2 </w:t>
            </w:r>
            <w:r w:rsidRPr="00B4478D">
              <w:rPr>
                <w:rFonts w:ascii="Arial" w:hAnsi="Arial" w:cs="Arial"/>
                <w:bCs/>
                <w:iCs/>
                <w:color w:val="FF0000"/>
                <w:sz w:val="16"/>
                <w:szCs w:val="16"/>
              </w:rPr>
              <w:t xml:space="preserve">if configured, otherwise </w:t>
            </w:r>
            <w:r w:rsidRPr="00B4478D">
              <w:rPr>
                <w:rFonts w:ascii="Arial" w:hAnsi="Arial" w:cs="Arial"/>
                <w:bCs/>
                <w:iCs/>
                <w:color w:val="FF0000"/>
                <w:sz w:val="16"/>
                <w:szCs w:val="16"/>
              </w:rPr>
              <w:fldChar w:fldCharType="begin"/>
            </w:r>
            <w:r w:rsidRPr="00B4478D">
              <w:rPr>
                <w:rFonts w:ascii="Arial" w:hAnsi="Arial" w:cs="Arial"/>
                <w:bCs/>
                <w:iCs/>
                <w:color w:val="FF0000"/>
                <w:sz w:val="16"/>
                <w:szCs w:val="16"/>
              </w:rPr>
              <w:instrText xml:space="preserve"> QUOTE </w:instrText>
            </w:r>
            <w:r w:rsidR="00A6784C">
              <w:rPr>
                <w:rFonts w:ascii="Arial" w:hAnsi="Arial" w:cs="Arial"/>
                <w:position w:val="-5"/>
                <w:sz w:val="16"/>
                <w:szCs w:val="16"/>
              </w:rPr>
              <w:pict w14:anchorId="79F66AC7">
                <v:shape id="_x0000_i1172" type="#_x0000_t75" style="width:8.25pt;height:12pt" equationxml="&lt;">
                  <v:imagedata r:id="rId1336" o:title="" chromakey="white"/>
                </v:shape>
              </w:pict>
            </w:r>
            <w:r w:rsidRPr="00B4478D">
              <w:rPr>
                <w:rFonts w:ascii="Arial" w:hAnsi="Arial" w:cs="Arial"/>
                <w:bCs/>
                <w:iCs/>
                <w:color w:val="FF0000"/>
                <w:sz w:val="16"/>
                <w:szCs w:val="16"/>
              </w:rPr>
              <w:instrText xml:space="preserve"> </w:instrText>
            </w:r>
            <w:r w:rsidRPr="00B4478D">
              <w:rPr>
                <w:rFonts w:ascii="Arial" w:hAnsi="Arial" w:cs="Arial"/>
                <w:bCs/>
                <w:iCs/>
                <w:color w:val="FF0000"/>
                <w:sz w:val="16"/>
                <w:szCs w:val="16"/>
              </w:rPr>
              <w:fldChar w:fldCharType="separate"/>
            </w:r>
            <w:r w:rsidR="00A6784C">
              <w:rPr>
                <w:rFonts w:ascii="Arial" w:hAnsi="Arial" w:cs="Arial"/>
                <w:position w:val="-5"/>
                <w:sz w:val="16"/>
                <w:szCs w:val="16"/>
              </w:rPr>
              <w:pict w14:anchorId="7D6B47D4">
                <v:shape id="_x0000_i1173" type="#_x0000_t75" style="width:8.25pt;height:12pt" equationxml="&lt;">
                  <v:imagedata r:id="rId1336" o:title="" chromakey="white"/>
                </v:shape>
              </w:pict>
            </w:r>
            <w:r w:rsidRPr="00B4478D">
              <w:rPr>
                <w:rFonts w:ascii="Arial" w:hAnsi="Arial" w:cs="Arial"/>
                <w:bCs/>
                <w:iCs/>
                <w:color w:val="FF0000"/>
                <w:sz w:val="16"/>
                <w:szCs w:val="16"/>
              </w:rPr>
              <w:fldChar w:fldCharType="end"/>
            </w:r>
            <w:r w:rsidRPr="00B4478D">
              <w:rPr>
                <w:rFonts w:ascii="Arial" w:hAnsi="Arial" w:cs="Arial"/>
                <w:bCs/>
                <w:iCs/>
                <w:color w:val="FF0000"/>
                <w:sz w:val="16"/>
                <w:szCs w:val="16"/>
              </w:rPr>
              <w:t xml:space="preserve"> equals to </w:t>
            </w:r>
            <w:r w:rsidRPr="00B4478D">
              <w:rPr>
                <w:rFonts w:ascii="Arial" w:hAnsi="Arial" w:cs="Arial"/>
                <w:bCs/>
                <w:i/>
                <w:color w:val="FF0000"/>
                <w:sz w:val="16"/>
                <w:szCs w:val="16"/>
              </w:rPr>
              <w:t>P</w:t>
            </w:r>
            <w:r w:rsidRPr="00B4478D">
              <w:rPr>
                <w:rFonts w:ascii="Arial" w:hAnsi="Arial" w:cs="Arial"/>
                <w:bCs/>
                <w:iCs/>
                <w:sz w:val="16"/>
                <w:szCs w:val="16"/>
              </w:rPr>
              <w:t>.</w:t>
            </w:r>
          </w:p>
          <w:p w14:paraId="220ECC14" w14:textId="77777777" w:rsidR="00B4478D" w:rsidRPr="00B4478D" w:rsidRDefault="00B4478D" w:rsidP="00B4478D">
            <w:pPr>
              <w:jc w:val="center"/>
              <w:rPr>
                <w:rFonts w:ascii="Arial" w:hAnsi="Arial" w:cs="Arial"/>
                <w:sz w:val="16"/>
                <w:szCs w:val="16"/>
              </w:rPr>
            </w:pPr>
            <w:r w:rsidRPr="00B4478D">
              <w:rPr>
                <w:rFonts w:ascii="Arial" w:eastAsia="PMingLiU" w:hAnsi="Arial" w:cs="Arial"/>
                <w:color w:val="FF0000"/>
                <w:sz w:val="16"/>
                <w:szCs w:val="16"/>
                <w:lang w:eastAsia="zh-TW"/>
              </w:rPr>
              <w:t>&lt;omitted text&gt;</w:t>
            </w:r>
          </w:p>
          <w:p w14:paraId="2CB7DB8E" w14:textId="77777777" w:rsidR="00B4478D" w:rsidRPr="00B4478D" w:rsidRDefault="00B4478D" w:rsidP="00B4478D">
            <w:pPr>
              <w:rPr>
                <w:rFonts w:ascii="Arial" w:hAnsi="Arial" w:cs="Arial"/>
                <w:b/>
                <w:bCs/>
                <w:sz w:val="16"/>
                <w:szCs w:val="16"/>
              </w:rPr>
            </w:pPr>
            <w:r w:rsidRPr="00B4478D">
              <w:rPr>
                <w:rFonts w:ascii="Arial" w:hAnsi="Arial" w:cs="Arial"/>
                <w:sz w:val="16"/>
                <w:szCs w:val="16"/>
                <w:lang w:val="en-US"/>
              </w:rPr>
              <w:t>-------------------------------------------------------End of Text proposal ------------------------------------------------------</w:t>
            </w:r>
          </w:p>
        </w:tc>
      </w:tr>
    </w:tbl>
    <w:p w14:paraId="4492E15B" w14:textId="77777777" w:rsidR="00B4478D" w:rsidRDefault="00B4478D" w:rsidP="00B4478D">
      <w:pPr>
        <w:rPr>
          <w:lang w:eastAsia="zh-CN"/>
        </w:rPr>
      </w:pPr>
    </w:p>
    <w:p w14:paraId="0651A35E" w14:textId="77777777" w:rsidR="00B4478D" w:rsidRDefault="00B4478D" w:rsidP="00B4478D">
      <w:pPr>
        <w:rPr>
          <w:lang w:eastAsia="x-none"/>
        </w:rPr>
      </w:pPr>
      <w:r w:rsidRPr="00B4478D">
        <w:rPr>
          <w:highlight w:val="green"/>
          <w:lang w:eastAsia="x-none"/>
        </w:rPr>
        <w:t>Agreement</w:t>
      </w:r>
    </w:p>
    <w:p w14:paraId="51DC47FC" w14:textId="77777777" w:rsidR="00B4478D" w:rsidRPr="00B4478D" w:rsidRDefault="00B4478D" w:rsidP="00B4478D">
      <w:pPr>
        <w:rPr>
          <w:lang w:eastAsia="zh-CN"/>
        </w:rPr>
      </w:pPr>
      <w:r w:rsidRPr="00B4478D">
        <w:rPr>
          <w:lang w:eastAsia="zh-CN"/>
        </w:rPr>
        <w:t>Adopt the following TP from [Docomo] for TS 38.214 Clause 5.2.1.4.2</w:t>
      </w:r>
    </w:p>
    <w:tbl>
      <w:tblPr>
        <w:tblW w:w="5000" w:type="pct"/>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0683"/>
      </w:tblGrid>
      <w:tr w:rsidR="00B4478D" w:rsidRPr="00B4478D" w14:paraId="0F349933" w14:textId="77777777" w:rsidTr="00B4478D">
        <w:tc>
          <w:tcPr>
            <w:tcW w:w="5000" w:type="pct"/>
            <w:tcBorders>
              <w:top w:val="double" w:sz="4" w:space="0" w:color="A5A5A5"/>
              <w:left w:val="double" w:sz="4" w:space="0" w:color="A5A5A5"/>
              <w:bottom w:val="double" w:sz="4" w:space="0" w:color="A5A5A5"/>
              <w:right w:val="double" w:sz="4" w:space="0" w:color="A5A5A5"/>
            </w:tcBorders>
            <w:hideMark/>
          </w:tcPr>
          <w:p w14:paraId="0AC265EB" w14:textId="77777777" w:rsidR="00B4478D" w:rsidRPr="00B4478D" w:rsidRDefault="00B4478D" w:rsidP="00A67145">
            <w:pPr>
              <w:pStyle w:val="ListParagraph"/>
              <w:numPr>
                <w:ilvl w:val="0"/>
                <w:numId w:val="219"/>
              </w:numPr>
              <w:overflowPunct/>
              <w:autoSpaceDE/>
              <w:autoSpaceDN/>
              <w:adjustRightInd/>
              <w:spacing w:after="0"/>
              <w:contextualSpacing w:val="0"/>
              <w:jc w:val="both"/>
              <w:textAlignment w:val="auto"/>
              <w:rPr>
                <w:rFonts w:ascii="Arial" w:hAnsi="Arial" w:cs="Arial"/>
                <w:sz w:val="16"/>
                <w:szCs w:val="16"/>
                <w:lang w:val="en-US" w:eastAsia="zh-CN"/>
              </w:rPr>
            </w:pPr>
            <w:r w:rsidRPr="00B4478D">
              <w:rPr>
                <w:rFonts w:ascii="Arial" w:hAnsi="Arial" w:cs="Arial"/>
                <w:sz w:val="16"/>
                <w:szCs w:val="16"/>
              </w:rPr>
              <w:t>Reason for changes:</w:t>
            </w:r>
          </w:p>
          <w:p w14:paraId="5ECC93E7" w14:textId="77777777" w:rsidR="00B4478D" w:rsidRPr="00B4478D" w:rsidRDefault="00B4478D" w:rsidP="00A67145">
            <w:pPr>
              <w:pStyle w:val="ListParagraph"/>
              <w:numPr>
                <w:ilvl w:val="1"/>
                <w:numId w:val="219"/>
              </w:numPr>
              <w:overflowPunct/>
              <w:autoSpaceDE/>
              <w:autoSpaceDN/>
              <w:adjustRightInd/>
              <w:spacing w:after="0"/>
              <w:contextualSpacing w:val="0"/>
              <w:jc w:val="both"/>
              <w:textAlignment w:val="auto"/>
              <w:rPr>
                <w:rFonts w:ascii="Arial" w:hAnsi="Arial" w:cs="Arial"/>
                <w:sz w:val="16"/>
                <w:szCs w:val="16"/>
                <w:lang w:eastAsia="x-none"/>
              </w:rPr>
            </w:pPr>
            <w:r w:rsidRPr="00B4478D">
              <w:rPr>
                <w:rFonts w:ascii="Arial" w:hAnsi="Arial" w:cs="Arial"/>
                <w:sz w:val="16"/>
                <w:szCs w:val="16"/>
              </w:rPr>
              <w:t>There is no description on the mapping between CRI and CSI-RS resource for a sub-configuration configured with CSI-RS ID list</w:t>
            </w:r>
          </w:p>
          <w:p w14:paraId="6952F336" w14:textId="77777777" w:rsidR="00B4478D" w:rsidRPr="00B4478D" w:rsidRDefault="00B4478D" w:rsidP="00A67145">
            <w:pPr>
              <w:pStyle w:val="ListParagraph"/>
              <w:numPr>
                <w:ilvl w:val="0"/>
                <w:numId w:val="219"/>
              </w:numPr>
              <w:overflowPunct/>
              <w:autoSpaceDE/>
              <w:autoSpaceDN/>
              <w:adjustRightInd/>
              <w:spacing w:after="0"/>
              <w:contextualSpacing w:val="0"/>
              <w:jc w:val="both"/>
              <w:textAlignment w:val="auto"/>
              <w:rPr>
                <w:rFonts w:ascii="Arial" w:hAnsi="Arial" w:cs="Arial"/>
                <w:sz w:val="16"/>
                <w:szCs w:val="16"/>
              </w:rPr>
            </w:pPr>
            <w:r w:rsidRPr="00B4478D">
              <w:rPr>
                <w:rFonts w:ascii="Arial" w:hAnsi="Arial" w:cs="Arial"/>
                <w:sz w:val="16"/>
                <w:szCs w:val="16"/>
              </w:rPr>
              <w:t>Summary of changes:</w:t>
            </w:r>
          </w:p>
          <w:p w14:paraId="2E4946D8" w14:textId="77777777" w:rsidR="00B4478D" w:rsidRPr="00B4478D" w:rsidRDefault="00B4478D" w:rsidP="00A67145">
            <w:pPr>
              <w:pStyle w:val="ListParagraph"/>
              <w:numPr>
                <w:ilvl w:val="1"/>
                <w:numId w:val="219"/>
              </w:numPr>
              <w:overflowPunct/>
              <w:autoSpaceDE/>
              <w:autoSpaceDN/>
              <w:adjustRightInd/>
              <w:spacing w:after="0"/>
              <w:contextualSpacing w:val="0"/>
              <w:jc w:val="both"/>
              <w:textAlignment w:val="auto"/>
              <w:rPr>
                <w:rFonts w:ascii="Arial" w:hAnsi="Arial" w:cs="Arial"/>
                <w:sz w:val="16"/>
                <w:szCs w:val="16"/>
              </w:rPr>
            </w:pPr>
            <w:r w:rsidRPr="00B4478D">
              <w:rPr>
                <w:rFonts w:ascii="Arial" w:hAnsi="Arial" w:cs="Arial"/>
                <w:sz w:val="16"/>
                <w:szCs w:val="16"/>
              </w:rPr>
              <w:t>Add the mapping between CRI and CSI-RS resource for a sub-configuration configured with CSI-RS ID list</w:t>
            </w:r>
          </w:p>
          <w:p w14:paraId="4C2F9958" w14:textId="77777777" w:rsidR="00B4478D" w:rsidRPr="00B4478D" w:rsidRDefault="00B4478D" w:rsidP="00A67145">
            <w:pPr>
              <w:pStyle w:val="ListParagraph"/>
              <w:numPr>
                <w:ilvl w:val="0"/>
                <w:numId w:val="219"/>
              </w:numPr>
              <w:overflowPunct/>
              <w:autoSpaceDE/>
              <w:autoSpaceDN/>
              <w:adjustRightInd/>
              <w:spacing w:after="0"/>
              <w:contextualSpacing w:val="0"/>
              <w:jc w:val="both"/>
              <w:textAlignment w:val="auto"/>
              <w:rPr>
                <w:rFonts w:ascii="Arial" w:hAnsi="Arial" w:cs="Arial"/>
                <w:sz w:val="16"/>
                <w:szCs w:val="16"/>
              </w:rPr>
            </w:pPr>
            <w:r w:rsidRPr="00B4478D">
              <w:rPr>
                <w:rFonts w:ascii="Arial" w:hAnsi="Arial" w:cs="Arial"/>
                <w:sz w:val="16"/>
                <w:szCs w:val="16"/>
              </w:rPr>
              <w:lastRenderedPageBreak/>
              <w:t>Consequences if not approved</w:t>
            </w:r>
          </w:p>
          <w:p w14:paraId="591AACBE" w14:textId="77777777" w:rsidR="00B4478D" w:rsidRPr="00B4478D" w:rsidRDefault="00B4478D" w:rsidP="00A67145">
            <w:pPr>
              <w:pStyle w:val="ListParagraph"/>
              <w:numPr>
                <w:ilvl w:val="1"/>
                <w:numId w:val="219"/>
              </w:numPr>
              <w:overflowPunct/>
              <w:autoSpaceDE/>
              <w:autoSpaceDN/>
              <w:adjustRightInd/>
              <w:spacing w:after="0"/>
              <w:contextualSpacing w:val="0"/>
              <w:jc w:val="both"/>
              <w:textAlignment w:val="auto"/>
              <w:rPr>
                <w:rFonts w:ascii="Arial" w:hAnsi="Arial" w:cs="Arial"/>
                <w:sz w:val="16"/>
                <w:szCs w:val="16"/>
              </w:rPr>
            </w:pPr>
            <w:r w:rsidRPr="00B4478D">
              <w:rPr>
                <w:rFonts w:ascii="Arial" w:hAnsi="Arial" w:cs="Arial"/>
                <w:sz w:val="16"/>
                <w:szCs w:val="16"/>
              </w:rPr>
              <w:t>The mapping between CRI and CSI-RS resource for a sub-configuration configured with CSI-RS ID list is unclear</w:t>
            </w:r>
          </w:p>
          <w:p w14:paraId="17E39F1F" w14:textId="77777777" w:rsidR="007E71C7" w:rsidRPr="007E71C7" w:rsidRDefault="007E71C7" w:rsidP="007E71C7">
            <w:pPr>
              <w:jc w:val="center"/>
              <w:rPr>
                <w:rFonts w:ascii="Arial" w:eastAsia="SimSun" w:hAnsi="Arial" w:cs="Arial"/>
                <w:color w:val="C00000"/>
                <w:sz w:val="16"/>
                <w:szCs w:val="16"/>
                <w:lang w:eastAsia="zh-CN"/>
              </w:rPr>
            </w:pPr>
            <w:r w:rsidRPr="007E71C7">
              <w:rPr>
                <w:rFonts w:ascii="Arial" w:eastAsia="SimSun" w:hAnsi="Arial" w:cs="Arial"/>
                <w:color w:val="C00000"/>
                <w:sz w:val="16"/>
                <w:szCs w:val="16"/>
                <w:lang w:eastAsia="zh-CN"/>
              </w:rPr>
              <w:t>&lt;omitted texts&gt;</w:t>
            </w:r>
          </w:p>
          <w:p w14:paraId="125C23AF" w14:textId="77777777" w:rsidR="007E71C7" w:rsidRPr="007E71C7" w:rsidRDefault="007E71C7" w:rsidP="007E71C7">
            <w:pPr>
              <w:rPr>
                <w:rFonts w:ascii="Arial" w:eastAsia="SimSun" w:hAnsi="Arial" w:cs="Arial"/>
                <w:sz w:val="16"/>
                <w:szCs w:val="16"/>
              </w:rPr>
            </w:pPr>
            <w:r w:rsidRPr="007E71C7">
              <w:rPr>
                <w:rFonts w:ascii="Arial" w:eastAsia="SimSun" w:hAnsi="Arial" w:cs="Arial"/>
                <w:sz w:val="16"/>
                <w:szCs w:val="16"/>
              </w:rPr>
              <w:t xml:space="preserve">If the UE is configured with a </w:t>
            </w:r>
            <w:r w:rsidRPr="007E71C7">
              <w:rPr>
                <w:rFonts w:ascii="Arial" w:eastAsia="SimSun" w:hAnsi="Arial" w:cs="Arial"/>
                <w:i/>
                <w:sz w:val="16"/>
                <w:szCs w:val="16"/>
              </w:rPr>
              <w:t>CSI-ReportConfig</w:t>
            </w:r>
            <w:r w:rsidRPr="007E71C7">
              <w:rPr>
                <w:rFonts w:ascii="Arial" w:eastAsia="SimSun" w:hAnsi="Arial" w:cs="Arial"/>
                <w:sz w:val="16"/>
                <w:szCs w:val="16"/>
              </w:rPr>
              <w:t xml:space="preserve"> that contains a list of sub-configurations</w:t>
            </w:r>
            <w:r w:rsidRPr="007E71C7">
              <w:rPr>
                <w:rFonts w:ascii="Arial" w:eastAsia="Microsoft YaHei" w:hAnsi="Arial" w:cs="Arial"/>
                <w:sz w:val="16"/>
                <w:szCs w:val="16"/>
              </w:rPr>
              <w:t>, provided by the higher layer parameter [</w:t>
            </w:r>
            <w:r w:rsidRPr="007E71C7">
              <w:rPr>
                <w:rFonts w:ascii="Arial" w:eastAsia="Microsoft YaHei" w:hAnsi="Arial" w:cs="Arial"/>
                <w:i/>
                <w:iCs/>
                <w:sz w:val="16"/>
                <w:szCs w:val="16"/>
              </w:rPr>
              <w:t>csi-ReportSubConfigList]</w:t>
            </w:r>
            <w:r w:rsidRPr="007E71C7">
              <w:rPr>
                <w:rFonts w:ascii="Arial" w:eastAsia="SimSun" w:hAnsi="Arial" w:cs="Arial"/>
                <w:sz w:val="16"/>
                <w:szCs w:val="16"/>
              </w:rPr>
              <w:t>:</w:t>
            </w:r>
          </w:p>
          <w:p w14:paraId="73D1A59F" w14:textId="77777777" w:rsidR="007E71C7" w:rsidRPr="007E71C7" w:rsidRDefault="007E71C7" w:rsidP="007E71C7">
            <w:pPr>
              <w:spacing w:after="200" w:line="276" w:lineRule="auto"/>
              <w:ind w:left="567" w:hanging="283"/>
              <w:contextualSpacing/>
              <w:rPr>
                <w:rFonts w:ascii="Arial" w:eastAsia="MS Mincho" w:hAnsi="Arial" w:cs="Arial"/>
                <w:color w:val="000000"/>
                <w:sz w:val="16"/>
                <w:szCs w:val="16"/>
              </w:rPr>
            </w:pPr>
            <w:r w:rsidRPr="007E71C7">
              <w:rPr>
                <w:rFonts w:ascii="Arial" w:eastAsia="Calibri" w:hAnsi="Arial" w:cs="Arial"/>
                <w:sz w:val="16"/>
                <w:szCs w:val="16"/>
              </w:rPr>
              <w:t>-</w:t>
            </w:r>
            <w:r w:rsidRPr="007E71C7">
              <w:rPr>
                <w:rFonts w:ascii="Arial" w:eastAsia="Calibri" w:hAnsi="Arial" w:cs="Arial"/>
                <w:sz w:val="16"/>
                <w:szCs w:val="16"/>
              </w:rPr>
              <w:tab/>
            </w:r>
            <w:r w:rsidRPr="007E71C7">
              <w:rPr>
                <w:rFonts w:ascii="Arial" w:eastAsia="MS Mincho" w:hAnsi="Arial" w:cs="Arial"/>
                <w:color w:val="000000"/>
                <w:sz w:val="16"/>
                <w:szCs w:val="16"/>
              </w:rPr>
              <w:t xml:space="preserve">the UE expects to be configured with the higher layer parameter </w:t>
            </w:r>
            <w:r w:rsidRPr="007E71C7">
              <w:rPr>
                <w:rFonts w:ascii="Arial" w:eastAsia="MS Mincho" w:hAnsi="Arial" w:cs="Arial"/>
                <w:i/>
                <w:iCs/>
                <w:color w:val="000000"/>
                <w:sz w:val="16"/>
                <w:szCs w:val="16"/>
              </w:rPr>
              <w:t>codebookType</w:t>
            </w:r>
            <w:r w:rsidRPr="007E71C7">
              <w:rPr>
                <w:rFonts w:ascii="Arial" w:eastAsia="MS Mincho" w:hAnsi="Arial" w:cs="Arial"/>
                <w:color w:val="000000"/>
                <w:sz w:val="16"/>
                <w:szCs w:val="16"/>
              </w:rPr>
              <w:t xml:space="preserve"> set to 'typeI-SinglePanel' or </w:t>
            </w:r>
            <w:r w:rsidRPr="007E71C7">
              <w:rPr>
                <w:rFonts w:ascii="Arial" w:eastAsia="Calibri" w:hAnsi="Arial" w:cs="Arial"/>
                <w:sz w:val="16"/>
                <w:szCs w:val="16"/>
              </w:rPr>
              <w:t>'typeI-MultiPanel'</w:t>
            </w:r>
            <w:r w:rsidRPr="007E71C7">
              <w:rPr>
                <w:rFonts w:ascii="Arial" w:eastAsia="MS Mincho" w:hAnsi="Arial" w:cs="Arial"/>
                <w:color w:val="000000"/>
                <w:sz w:val="16"/>
                <w:szCs w:val="16"/>
              </w:rPr>
              <w:t xml:space="preserve">. If the UE indicates a capability for supporting mixed codebook combination in a slot with [ABC], each sub-configuration can be configured with the higher layer parameter </w:t>
            </w:r>
            <w:r w:rsidRPr="007E71C7">
              <w:rPr>
                <w:rFonts w:ascii="Arial" w:eastAsia="MS Mincho" w:hAnsi="Arial" w:cs="Arial"/>
                <w:i/>
                <w:iCs/>
                <w:color w:val="000000"/>
                <w:sz w:val="16"/>
                <w:szCs w:val="16"/>
              </w:rPr>
              <w:t>codebookType</w:t>
            </w:r>
            <w:r w:rsidRPr="007E71C7">
              <w:rPr>
                <w:rFonts w:ascii="Arial" w:eastAsia="MS Mincho" w:hAnsi="Arial" w:cs="Arial"/>
                <w:color w:val="000000"/>
                <w:sz w:val="16"/>
                <w:szCs w:val="16"/>
              </w:rPr>
              <w:t xml:space="preserve"> set to 'typeI-SinglePanel' or </w:t>
            </w:r>
            <w:r w:rsidRPr="007E71C7">
              <w:rPr>
                <w:rFonts w:ascii="Arial" w:eastAsia="Calibri" w:hAnsi="Arial" w:cs="Arial"/>
                <w:sz w:val="16"/>
                <w:szCs w:val="16"/>
              </w:rPr>
              <w:t>'typeI-MultiPanel'</w:t>
            </w:r>
            <w:r w:rsidRPr="007E71C7">
              <w:rPr>
                <w:rFonts w:ascii="Arial" w:eastAsia="MS Mincho" w:hAnsi="Arial" w:cs="Arial"/>
                <w:color w:val="000000"/>
                <w:sz w:val="16"/>
                <w:szCs w:val="16"/>
              </w:rPr>
              <w:t xml:space="preserve">. </w:t>
            </w:r>
          </w:p>
          <w:p w14:paraId="4CCBB5AE" w14:textId="2AB2C992" w:rsidR="007E71C7" w:rsidRPr="007E71C7" w:rsidRDefault="007E71C7" w:rsidP="007E71C7">
            <w:pPr>
              <w:spacing w:after="200" w:line="276" w:lineRule="auto"/>
              <w:ind w:left="567" w:hanging="283"/>
              <w:contextualSpacing/>
              <w:rPr>
                <w:rFonts w:ascii="Arial" w:eastAsia="Calibri" w:hAnsi="Arial" w:cs="Arial"/>
                <w:sz w:val="16"/>
                <w:szCs w:val="16"/>
              </w:rPr>
            </w:pPr>
            <w:r w:rsidRPr="007E71C7">
              <w:rPr>
                <w:rFonts w:ascii="Arial" w:eastAsia="Calibri" w:hAnsi="Arial" w:cs="Arial"/>
                <w:sz w:val="16"/>
                <w:szCs w:val="16"/>
              </w:rPr>
              <w:t>-</w:t>
            </w:r>
            <w:r w:rsidRPr="007E71C7">
              <w:rPr>
                <w:rFonts w:ascii="Arial" w:eastAsia="Calibri" w:hAnsi="Arial" w:cs="Arial"/>
                <w:sz w:val="16"/>
                <w:szCs w:val="16"/>
              </w:rPr>
              <w:tab/>
              <w:t>Each sub-configuration can be configured with an antenna port subset using the higher layer bitmap parameter [</w:t>
            </w:r>
            <w:r w:rsidRPr="007E71C7">
              <w:rPr>
                <w:rFonts w:ascii="Arial" w:eastAsia="Calibri" w:hAnsi="Arial" w:cs="Arial"/>
                <w:i/>
                <w:iCs/>
                <w:sz w:val="16"/>
                <w:szCs w:val="16"/>
              </w:rPr>
              <w:t>port-subsetIndicator</w:t>
            </w:r>
            <w:r w:rsidRPr="007E71C7">
              <w:rPr>
                <w:rFonts w:ascii="Arial" w:eastAsia="Calibri" w:hAnsi="Arial" w:cs="Arial"/>
                <w:sz w:val="16"/>
                <w:szCs w:val="16"/>
              </w:rPr>
              <w:t xml:space="preserve">] which contains the bit sequence </w:t>
            </w:r>
            <m:oMath>
              <m:sSub>
                <m:sSubPr>
                  <m:ctrlPr>
                    <w:rPr>
                      <w:rFonts w:ascii="Cambria Math" w:eastAsia="Calibri" w:hAnsi="Cambria Math" w:cs="Arial"/>
                      <w:i/>
                      <w:sz w:val="16"/>
                      <w:szCs w:val="16"/>
                    </w:rPr>
                  </m:ctrlPr>
                </m:sSubPr>
                <m:e>
                  <m:r>
                    <w:rPr>
                      <w:rFonts w:ascii="Cambria Math" w:eastAsia="Calibri" w:hAnsi="Cambria Math" w:cs="Arial"/>
                      <w:sz w:val="16"/>
                      <w:szCs w:val="16"/>
                    </w:rPr>
                    <m:t>p</m:t>
                  </m:r>
                </m:e>
                <m:sub>
                  <m:r>
                    <w:rPr>
                      <w:rFonts w:ascii="Cambria Math" w:eastAsia="Calibri" w:hAnsi="Cambria Math" w:cs="Arial"/>
                      <w:sz w:val="16"/>
                      <w:szCs w:val="16"/>
                    </w:rPr>
                    <m:t>0</m:t>
                  </m:r>
                </m:sub>
              </m:sSub>
              <m:r>
                <w:rPr>
                  <w:rFonts w:ascii="Cambria Math" w:eastAsia="Calibri" w:hAnsi="Cambria Math" w:cs="Arial"/>
                  <w:sz w:val="16"/>
                  <w:szCs w:val="16"/>
                </w:rPr>
                <m:t>,</m:t>
              </m:r>
              <m:sSub>
                <m:sSubPr>
                  <m:ctrlPr>
                    <w:rPr>
                      <w:rFonts w:ascii="Cambria Math" w:eastAsia="Calibri" w:hAnsi="Cambria Math" w:cs="Arial"/>
                      <w:i/>
                      <w:sz w:val="16"/>
                      <w:szCs w:val="16"/>
                    </w:rPr>
                  </m:ctrlPr>
                </m:sSubPr>
                <m:e>
                  <m:r>
                    <w:rPr>
                      <w:rFonts w:ascii="Cambria Math" w:eastAsia="Calibri" w:hAnsi="Cambria Math" w:cs="Arial"/>
                      <w:sz w:val="16"/>
                      <w:szCs w:val="16"/>
                    </w:rPr>
                    <m:t>p</m:t>
                  </m:r>
                </m:e>
                <m:sub>
                  <m:r>
                    <w:rPr>
                      <w:rFonts w:ascii="Cambria Math" w:eastAsia="Calibri" w:hAnsi="Cambria Math" w:cs="Arial"/>
                      <w:sz w:val="16"/>
                      <w:szCs w:val="16"/>
                    </w:rPr>
                    <m:t>1</m:t>
                  </m:r>
                </m:sub>
              </m:sSub>
              <m:r>
                <w:rPr>
                  <w:rFonts w:ascii="Cambria Math" w:eastAsia="Calibri" w:hAnsi="Cambria Math" w:cs="Arial"/>
                  <w:sz w:val="16"/>
                  <w:szCs w:val="16"/>
                </w:rPr>
                <m:t>,...,</m:t>
              </m:r>
              <m:sSub>
                <m:sSubPr>
                  <m:ctrlPr>
                    <w:rPr>
                      <w:rFonts w:ascii="Cambria Math" w:eastAsia="Calibri" w:hAnsi="Cambria Math" w:cs="Arial"/>
                      <w:i/>
                      <w:sz w:val="16"/>
                      <w:szCs w:val="16"/>
                    </w:rPr>
                  </m:ctrlPr>
                </m:sSubPr>
                <m:e>
                  <m:r>
                    <w:rPr>
                      <w:rFonts w:ascii="Cambria Math" w:eastAsia="Calibri" w:hAnsi="Cambria Math" w:cs="Arial"/>
                      <w:sz w:val="16"/>
                      <w:szCs w:val="16"/>
                    </w:rPr>
                    <m:t>p</m:t>
                  </m:r>
                </m:e>
                <m:sub>
                  <m:r>
                    <w:rPr>
                      <w:rFonts w:ascii="Cambria Math" w:eastAsia="Calibri" w:hAnsi="Cambria Math" w:cs="Arial"/>
                      <w:sz w:val="16"/>
                      <w:szCs w:val="16"/>
                    </w:rPr>
                    <m:t>Pm-1</m:t>
                  </m:r>
                </m:sub>
              </m:sSub>
            </m:oMath>
            <w:r w:rsidRPr="007E71C7">
              <w:rPr>
                <w:rFonts w:ascii="Arial" w:eastAsia="Calibri" w:hAnsi="Arial" w:cs="Arial"/>
                <w:sz w:val="16"/>
                <w:szCs w:val="16"/>
              </w:rPr>
              <w:t xml:space="preserve">, where </w:t>
            </w:r>
            <m:oMath>
              <m:sSub>
                <m:sSubPr>
                  <m:ctrlPr>
                    <w:rPr>
                      <w:rFonts w:ascii="Cambria Math" w:eastAsia="Calibri" w:hAnsi="Cambria Math" w:cs="Arial"/>
                      <w:i/>
                      <w:sz w:val="16"/>
                      <w:szCs w:val="16"/>
                    </w:rPr>
                  </m:ctrlPr>
                </m:sSubPr>
                <m:e>
                  <m:r>
                    <w:rPr>
                      <w:rFonts w:ascii="Cambria Math" w:eastAsia="Calibri" w:hAnsi="Cambria Math" w:cs="Arial"/>
                      <w:sz w:val="16"/>
                      <w:szCs w:val="16"/>
                    </w:rPr>
                    <m:t>p</m:t>
                  </m:r>
                </m:e>
                <m:sub>
                  <m:r>
                    <w:rPr>
                      <w:rFonts w:ascii="Cambria Math" w:eastAsia="Calibri" w:hAnsi="Cambria Math" w:cs="Arial"/>
                      <w:sz w:val="16"/>
                      <w:szCs w:val="16"/>
                    </w:rPr>
                    <m:t>0</m:t>
                  </m:r>
                </m:sub>
              </m:sSub>
            </m:oMath>
            <w:r w:rsidRPr="007E71C7">
              <w:rPr>
                <w:rFonts w:ascii="Arial" w:eastAsia="Calibri" w:hAnsi="Arial" w:cs="Arial"/>
                <w:sz w:val="16"/>
                <w:szCs w:val="16"/>
              </w:rPr>
              <w:t xml:space="preserve"> is the MSB and </w:t>
            </w:r>
            <m:oMath>
              <m:sSub>
                <m:sSubPr>
                  <m:ctrlPr>
                    <w:rPr>
                      <w:rFonts w:ascii="Cambria Math" w:eastAsia="Calibri" w:hAnsi="Cambria Math" w:cs="Arial"/>
                      <w:i/>
                      <w:sz w:val="16"/>
                      <w:szCs w:val="16"/>
                    </w:rPr>
                  </m:ctrlPr>
                </m:sSubPr>
                <m:e>
                  <m:r>
                    <w:rPr>
                      <w:rFonts w:ascii="Cambria Math" w:eastAsia="Calibri" w:hAnsi="Cambria Math" w:cs="Arial"/>
                      <w:sz w:val="16"/>
                      <w:szCs w:val="16"/>
                    </w:rPr>
                    <m:t>p</m:t>
                  </m:r>
                </m:e>
                <m:sub>
                  <m:r>
                    <w:rPr>
                      <w:rFonts w:ascii="Cambria Math" w:eastAsia="Calibri" w:hAnsi="Cambria Math" w:cs="Arial"/>
                      <w:sz w:val="16"/>
                      <w:szCs w:val="16"/>
                    </w:rPr>
                    <m:t>P</m:t>
                  </m:r>
                  <m:r>
                    <m:rPr>
                      <m:sty m:val="p"/>
                    </m:rPr>
                    <w:rPr>
                      <w:rFonts w:ascii="Cambria Math" w:eastAsia="Calibri" w:hAnsi="Cambria Math" w:cs="Arial"/>
                      <w:sz w:val="16"/>
                      <w:szCs w:val="16"/>
                    </w:rPr>
                    <m:t>m</m:t>
                  </m:r>
                  <m:r>
                    <w:rPr>
                      <w:rFonts w:ascii="Cambria Math" w:eastAsia="Calibri" w:hAnsi="Cambria Math" w:cs="Arial"/>
                      <w:sz w:val="16"/>
                      <w:szCs w:val="16"/>
                    </w:rPr>
                    <m:t>-1</m:t>
                  </m:r>
                </m:sub>
              </m:sSub>
            </m:oMath>
            <w:r w:rsidRPr="007E71C7">
              <w:rPr>
                <w:rFonts w:ascii="Arial" w:eastAsia="Calibri" w:hAnsi="Arial" w:cs="Arial"/>
                <w:sz w:val="16"/>
                <w:szCs w:val="16"/>
              </w:rPr>
              <w:t xml:space="preserve"> is the LSB, bit </w:t>
            </w:r>
            <m:oMath>
              <m:sSub>
                <m:sSubPr>
                  <m:ctrlPr>
                    <w:rPr>
                      <w:rFonts w:ascii="Cambria Math" w:eastAsia="Calibri" w:hAnsi="Cambria Math" w:cs="Arial"/>
                      <w:i/>
                      <w:sz w:val="16"/>
                      <w:szCs w:val="16"/>
                    </w:rPr>
                  </m:ctrlPr>
                </m:sSubPr>
                <m:e>
                  <m:r>
                    <w:rPr>
                      <w:rFonts w:ascii="Cambria Math" w:eastAsia="Calibri" w:hAnsi="Cambria Math" w:cs="Arial"/>
                      <w:sz w:val="16"/>
                      <w:szCs w:val="16"/>
                    </w:rPr>
                    <m:t>p</m:t>
                  </m:r>
                </m:e>
                <m:sub>
                  <m:r>
                    <w:rPr>
                      <w:rFonts w:ascii="Cambria Math" w:eastAsia="Calibri" w:hAnsi="Cambria Math" w:cs="Arial"/>
                      <w:sz w:val="16"/>
                      <w:szCs w:val="16"/>
                    </w:rPr>
                    <m:t>i</m:t>
                  </m:r>
                </m:sub>
              </m:sSub>
            </m:oMath>
            <w:r w:rsidRPr="007E71C7">
              <w:rPr>
                <w:rFonts w:ascii="Arial" w:eastAsia="Calibri" w:hAnsi="Arial" w:cs="Arial"/>
                <w:iCs/>
                <w:sz w:val="16"/>
                <w:szCs w:val="16"/>
              </w:rPr>
              <w:t xml:space="preserve"> corresponds to antenna port </w:t>
            </w:r>
            <m:oMath>
              <m:r>
                <w:rPr>
                  <w:rFonts w:ascii="Cambria Math" w:eastAsia="Calibri" w:hAnsi="Cambria Math" w:cs="Arial"/>
                  <w:sz w:val="16"/>
                  <w:szCs w:val="16"/>
                </w:rPr>
                <m:t>3000+</m:t>
              </m:r>
              <m:r>
                <m:rPr>
                  <m:sty m:val="p"/>
                </m:rPr>
                <w:rPr>
                  <w:rFonts w:ascii="Cambria Math" w:eastAsia="Calibri" w:hAnsi="Cambria Math" w:cs="Arial"/>
                  <w:sz w:val="16"/>
                  <w:szCs w:val="16"/>
                </w:rPr>
                <m:t>i</m:t>
              </m:r>
            </m:oMath>
            <w:r w:rsidRPr="007E71C7">
              <w:rPr>
                <w:rFonts w:ascii="Arial" w:eastAsia="Calibri" w:hAnsi="Arial" w:cs="Arial"/>
                <w:sz w:val="16"/>
                <w:szCs w:val="16"/>
              </w:rPr>
              <w:t xml:space="preserve">, and </w:t>
            </w:r>
            <m:oMath>
              <m:r>
                <w:rPr>
                  <w:rFonts w:ascii="Cambria Math" w:eastAsia="Calibri" w:hAnsi="Cambria Math" w:cs="Arial"/>
                  <w:sz w:val="16"/>
                  <w:szCs w:val="16"/>
                </w:rPr>
                <m:t>P</m:t>
              </m:r>
              <m:r>
                <m:rPr>
                  <m:sty m:val="p"/>
                </m:rPr>
                <w:rPr>
                  <w:rFonts w:ascii="Cambria Math" w:eastAsia="Calibri" w:hAnsi="Cambria Math" w:cs="Arial"/>
                  <w:sz w:val="16"/>
                  <w:szCs w:val="16"/>
                </w:rPr>
                <m:t>m</m:t>
              </m:r>
            </m:oMath>
            <w:r w:rsidRPr="007E71C7">
              <w:rPr>
                <w:rFonts w:ascii="Arial" w:eastAsia="Calibri" w:hAnsi="Arial" w:cs="Arial"/>
                <w:sz w:val="16"/>
                <w:szCs w:val="16"/>
              </w:rPr>
              <w:t xml:space="preserve"> is the number of ports </w:t>
            </w:r>
            <w:r w:rsidRPr="007E71C7">
              <w:rPr>
                <w:rFonts w:ascii="Arial" w:eastAsia="Calibri" w:hAnsi="Arial" w:cs="Arial"/>
                <w:i/>
                <w:iCs/>
                <w:sz w:val="16"/>
                <w:szCs w:val="16"/>
              </w:rPr>
              <w:t>nrofPorts</w:t>
            </w:r>
            <w:r w:rsidRPr="007E71C7">
              <w:rPr>
                <w:rFonts w:ascii="Arial" w:eastAsia="Calibri" w:hAnsi="Arial" w:cs="Arial"/>
                <w:sz w:val="16"/>
                <w:szCs w:val="16"/>
              </w:rPr>
              <w:t xml:space="preserve"> configured for the CSI-RS resources(s) within the </w:t>
            </w:r>
            <w:r w:rsidRPr="007E71C7">
              <w:rPr>
                <w:rFonts w:ascii="Arial" w:eastAsia="Calibri" w:hAnsi="Arial" w:cs="Arial"/>
                <w:i/>
                <w:iCs/>
                <w:sz w:val="16"/>
                <w:szCs w:val="16"/>
              </w:rPr>
              <w:t xml:space="preserve">NZP-CSI-RS-ResourceSet </w:t>
            </w:r>
            <w:r w:rsidRPr="007E71C7">
              <w:rPr>
                <w:rFonts w:ascii="Arial" w:eastAsia="Calibri" w:hAnsi="Arial" w:cs="Arial"/>
                <w:sz w:val="16"/>
                <w:szCs w:val="16"/>
              </w:rPr>
              <w:t xml:space="preserve">contained in the </w:t>
            </w:r>
            <w:r w:rsidRPr="007E71C7">
              <w:rPr>
                <w:rFonts w:ascii="Arial" w:eastAsia="Calibri" w:hAnsi="Arial" w:cs="Arial"/>
                <w:i/>
                <w:iCs/>
                <w:sz w:val="16"/>
                <w:szCs w:val="16"/>
              </w:rPr>
              <w:t>CSI-ResourceConfig</w:t>
            </w:r>
            <w:r w:rsidRPr="007E71C7">
              <w:rPr>
                <w:rFonts w:ascii="Arial" w:eastAsia="Calibri" w:hAnsi="Arial" w:cs="Arial"/>
                <w:sz w:val="16"/>
                <w:szCs w:val="16"/>
              </w:rPr>
              <w:t xml:space="preserve"> for channel measurement that corresponds to the </w:t>
            </w:r>
            <w:r w:rsidRPr="007E71C7">
              <w:rPr>
                <w:rFonts w:ascii="Arial" w:eastAsia="Calibri" w:hAnsi="Arial" w:cs="Arial"/>
                <w:i/>
                <w:sz w:val="16"/>
                <w:szCs w:val="16"/>
              </w:rPr>
              <w:t>CSI-ReportConfig</w:t>
            </w:r>
            <w:r w:rsidRPr="007E71C7">
              <w:rPr>
                <w:rFonts w:ascii="Arial" w:eastAsia="Calibri" w:hAnsi="Arial" w:cs="Arial"/>
                <w:sz w:val="16"/>
                <w:szCs w:val="16"/>
              </w:rPr>
              <w:t>. A bit value 0 in [</w:t>
            </w:r>
            <w:r w:rsidRPr="007E71C7">
              <w:rPr>
                <w:rFonts w:ascii="Arial" w:eastAsia="Calibri" w:hAnsi="Arial" w:cs="Arial"/>
                <w:i/>
                <w:iCs/>
                <w:sz w:val="16"/>
                <w:szCs w:val="16"/>
              </w:rPr>
              <w:t>port-subsetIndicator</w:t>
            </w:r>
            <w:r w:rsidRPr="007E71C7">
              <w:rPr>
                <w:rFonts w:ascii="Arial" w:eastAsia="Calibri" w:hAnsi="Arial" w:cs="Arial"/>
                <w:sz w:val="16"/>
                <w:szCs w:val="16"/>
              </w:rPr>
              <w:t xml:space="preserve">] indicates that the corresponding antenna port is disabled for the sub-configuration, whereas bit value 1 indicates that the antenna port is enabled and belongs to the antenna port subset for the sub-configuration. </w:t>
            </w:r>
          </w:p>
          <w:p w14:paraId="3E05A3DC" w14:textId="77777777" w:rsidR="007E71C7" w:rsidRPr="007E71C7" w:rsidRDefault="007E71C7" w:rsidP="007E71C7">
            <w:pPr>
              <w:spacing w:after="200" w:line="276" w:lineRule="auto"/>
              <w:ind w:left="567" w:hanging="283"/>
              <w:contextualSpacing/>
              <w:rPr>
                <w:rFonts w:ascii="Arial" w:eastAsia="MS Mincho" w:hAnsi="Arial" w:cs="Arial"/>
                <w:color w:val="000000"/>
                <w:sz w:val="16"/>
                <w:szCs w:val="16"/>
              </w:rPr>
            </w:pPr>
            <w:r w:rsidRPr="007E71C7">
              <w:rPr>
                <w:rFonts w:ascii="Arial" w:eastAsia="Calibri" w:hAnsi="Arial" w:cs="Arial"/>
                <w:sz w:val="16"/>
                <w:szCs w:val="16"/>
              </w:rPr>
              <w:t>-</w:t>
            </w:r>
            <w:r w:rsidRPr="007E71C7">
              <w:rPr>
                <w:rFonts w:ascii="Arial" w:eastAsia="Calibri" w:hAnsi="Arial" w:cs="Arial"/>
                <w:sz w:val="16"/>
                <w:szCs w:val="16"/>
              </w:rPr>
              <w:tab/>
            </w:r>
            <w:r w:rsidRPr="007E71C7">
              <w:rPr>
                <w:rFonts w:ascii="Arial" w:eastAsia="MS Mincho" w:hAnsi="Arial" w:cs="Arial"/>
                <w:color w:val="000000"/>
                <w:sz w:val="16"/>
                <w:szCs w:val="16"/>
              </w:rPr>
              <w:t>If a sub-configuration is configured with an antenna port subset, then the sub-configuration can be configured with a [RI restriction parameter] and, if the number of antenna ports of the subset greater than 2, with [</w:t>
            </w:r>
            <w:r w:rsidRPr="007E71C7">
              <w:rPr>
                <w:rFonts w:ascii="Arial" w:eastAsia="Calibri" w:hAnsi="Arial" w:cs="Arial"/>
                <w:i/>
                <w:color w:val="000000"/>
                <w:sz w:val="16"/>
                <w:szCs w:val="16"/>
              </w:rPr>
              <w:t>n1-n2</w:t>
            </w:r>
            <w:r w:rsidRPr="007E71C7">
              <w:rPr>
                <w:rFonts w:ascii="Arial" w:eastAsia="Calibri" w:hAnsi="Arial" w:cs="Arial"/>
                <w:color w:val="000000"/>
                <w:sz w:val="16"/>
                <w:szCs w:val="16"/>
              </w:rPr>
              <w:t xml:space="preserve"> parameter] </w:t>
            </w:r>
            <w:r w:rsidRPr="007E71C7">
              <w:rPr>
                <w:rFonts w:ascii="Arial" w:eastAsia="MS Mincho" w:hAnsi="Arial" w:cs="Arial"/>
                <w:color w:val="000000"/>
                <w:sz w:val="16"/>
                <w:szCs w:val="16"/>
              </w:rPr>
              <w:t xml:space="preserve">if the higher layer parameter </w:t>
            </w:r>
            <w:r w:rsidRPr="007E71C7">
              <w:rPr>
                <w:rFonts w:ascii="Arial" w:eastAsia="Calibri" w:hAnsi="Arial" w:cs="Arial"/>
                <w:i/>
                <w:iCs/>
                <w:sz w:val="16"/>
                <w:szCs w:val="16"/>
              </w:rPr>
              <w:t>codebookType</w:t>
            </w:r>
            <w:r w:rsidRPr="007E71C7">
              <w:rPr>
                <w:rFonts w:ascii="Arial" w:eastAsia="Calibri" w:hAnsi="Arial" w:cs="Arial"/>
                <w:color w:val="000000"/>
                <w:sz w:val="16"/>
                <w:szCs w:val="16"/>
              </w:rPr>
              <w:t xml:space="preserve"> </w:t>
            </w:r>
            <w:r w:rsidRPr="007E71C7">
              <w:rPr>
                <w:rFonts w:ascii="Arial" w:eastAsia="Calibri" w:hAnsi="Arial" w:cs="Arial"/>
                <w:sz w:val="16"/>
                <w:szCs w:val="16"/>
              </w:rPr>
              <w:t xml:space="preserve">is set to 'typeI-SinglePanel' </w:t>
            </w:r>
            <w:r w:rsidRPr="007E71C7">
              <w:rPr>
                <w:rFonts w:ascii="Arial" w:eastAsia="Calibri" w:hAnsi="Arial" w:cs="Arial"/>
                <w:color w:val="000000"/>
                <w:sz w:val="16"/>
                <w:szCs w:val="16"/>
              </w:rPr>
              <w:t>or with [</w:t>
            </w:r>
            <w:r w:rsidRPr="007E71C7">
              <w:rPr>
                <w:rFonts w:ascii="Arial" w:eastAsia="Calibri" w:hAnsi="Arial" w:cs="Arial"/>
                <w:i/>
                <w:iCs/>
                <w:color w:val="000000"/>
                <w:sz w:val="16"/>
                <w:szCs w:val="16"/>
              </w:rPr>
              <w:t>ng</w:t>
            </w:r>
            <w:r w:rsidRPr="007E71C7">
              <w:rPr>
                <w:rFonts w:ascii="Arial" w:eastAsia="Calibri" w:hAnsi="Arial" w:cs="Arial"/>
                <w:color w:val="000000"/>
                <w:sz w:val="16"/>
                <w:szCs w:val="16"/>
              </w:rPr>
              <w:t>-</w:t>
            </w:r>
            <w:r w:rsidRPr="007E71C7">
              <w:rPr>
                <w:rFonts w:ascii="Arial" w:eastAsia="Calibri" w:hAnsi="Arial" w:cs="Arial"/>
                <w:i/>
                <w:color w:val="000000"/>
                <w:sz w:val="16"/>
                <w:szCs w:val="16"/>
              </w:rPr>
              <w:t>n1-n2</w:t>
            </w:r>
            <w:r w:rsidRPr="007E71C7">
              <w:rPr>
                <w:rFonts w:ascii="Arial" w:eastAsia="Calibri" w:hAnsi="Arial" w:cs="Arial"/>
                <w:color w:val="000000"/>
                <w:sz w:val="16"/>
                <w:szCs w:val="16"/>
              </w:rPr>
              <w:t xml:space="preserve"> </w:t>
            </w:r>
            <w:r w:rsidRPr="007E71C7">
              <w:rPr>
                <w:rFonts w:ascii="Arial" w:eastAsia="MS Mincho" w:hAnsi="Arial" w:cs="Arial"/>
                <w:color w:val="000000"/>
                <w:sz w:val="16"/>
                <w:szCs w:val="16"/>
              </w:rPr>
              <w:t xml:space="preserve">parameter] if the higher layer parameter </w:t>
            </w:r>
            <w:r w:rsidRPr="007E71C7">
              <w:rPr>
                <w:rFonts w:ascii="Arial" w:eastAsia="Calibri" w:hAnsi="Arial" w:cs="Arial"/>
                <w:i/>
                <w:iCs/>
                <w:sz w:val="16"/>
                <w:szCs w:val="16"/>
              </w:rPr>
              <w:t>codebookType</w:t>
            </w:r>
            <w:r w:rsidRPr="007E71C7">
              <w:rPr>
                <w:rFonts w:ascii="Arial" w:eastAsia="Calibri" w:hAnsi="Arial" w:cs="Arial"/>
                <w:sz w:val="16"/>
                <w:szCs w:val="16"/>
              </w:rPr>
              <w:t xml:space="preserve"> is set to 'typeI-MultiPanel', and, if the corresponding number of antenna ports of the subset is 2, with </w:t>
            </w:r>
            <w:r w:rsidRPr="007E71C7">
              <w:rPr>
                <w:rFonts w:ascii="Arial" w:eastAsia="Calibri" w:hAnsi="Arial" w:cs="Arial"/>
                <w:i/>
                <w:iCs/>
                <w:sz w:val="16"/>
                <w:szCs w:val="16"/>
              </w:rPr>
              <w:t>twoTX-CodebookSubsetRestriction</w:t>
            </w:r>
            <w:r w:rsidRPr="007E71C7">
              <w:rPr>
                <w:rFonts w:ascii="Arial" w:eastAsia="Calibri" w:hAnsi="Arial" w:cs="Arial"/>
                <w:sz w:val="16"/>
                <w:szCs w:val="16"/>
              </w:rPr>
              <w:t>, where the parameters [RI restriction],  [</w:t>
            </w:r>
            <w:r w:rsidRPr="007E71C7">
              <w:rPr>
                <w:rFonts w:ascii="Arial" w:eastAsia="Calibri" w:hAnsi="Arial" w:cs="Arial"/>
                <w:i/>
                <w:color w:val="000000"/>
                <w:sz w:val="16"/>
                <w:szCs w:val="16"/>
              </w:rPr>
              <w:t>n1-n2],</w:t>
            </w:r>
            <w:r w:rsidRPr="007E71C7">
              <w:rPr>
                <w:rFonts w:ascii="Arial" w:eastAsia="Calibri" w:hAnsi="Arial" w:cs="Arial"/>
                <w:color w:val="000000"/>
                <w:sz w:val="16"/>
                <w:szCs w:val="16"/>
              </w:rPr>
              <w:t xml:space="preserve"> [</w:t>
            </w:r>
            <w:r w:rsidRPr="007E71C7">
              <w:rPr>
                <w:rFonts w:ascii="Arial" w:eastAsia="Calibri" w:hAnsi="Arial" w:cs="Arial"/>
                <w:i/>
                <w:iCs/>
                <w:color w:val="000000"/>
                <w:sz w:val="16"/>
                <w:szCs w:val="16"/>
              </w:rPr>
              <w:t>ng</w:t>
            </w:r>
            <w:r w:rsidRPr="007E71C7">
              <w:rPr>
                <w:rFonts w:ascii="Arial" w:eastAsia="Calibri" w:hAnsi="Arial" w:cs="Arial"/>
                <w:color w:val="000000"/>
                <w:sz w:val="16"/>
                <w:szCs w:val="16"/>
              </w:rPr>
              <w:t>-</w:t>
            </w:r>
            <w:r w:rsidRPr="007E71C7">
              <w:rPr>
                <w:rFonts w:ascii="Arial" w:eastAsia="Calibri" w:hAnsi="Arial" w:cs="Arial"/>
                <w:i/>
                <w:color w:val="000000"/>
                <w:sz w:val="16"/>
                <w:szCs w:val="16"/>
              </w:rPr>
              <w:t>n1-n2],</w:t>
            </w:r>
            <w:r w:rsidRPr="007E71C7">
              <w:rPr>
                <w:rFonts w:ascii="Arial" w:eastAsia="Calibri" w:hAnsi="Arial" w:cs="Arial"/>
                <w:color w:val="000000"/>
                <w:sz w:val="16"/>
                <w:szCs w:val="16"/>
              </w:rPr>
              <w:t xml:space="preserve"> </w:t>
            </w:r>
            <w:r w:rsidRPr="007E71C7">
              <w:rPr>
                <w:rFonts w:ascii="Arial" w:eastAsia="Calibri" w:hAnsi="Arial" w:cs="Arial"/>
                <w:i/>
                <w:iCs/>
                <w:sz w:val="16"/>
                <w:szCs w:val="16"/>
              </w:rPr>
              <w:t>twoTX-CodebookSubsetRestriction</w:t>
            </w:r>
            <w:r w:rsidRPr="007E71C7">
              <w:rPr>
                <w:rFonts w:ascii="Arial" w:eastAsia="Calibri" w:hAnsi="Arial" w:cs="Arial"/>
                <w:sz w:val="16"/>
                <w:szCs w:val="16"/>
              </w:rPr>
              <w:t xml:space="preserve"> are as described in Clauses 5.2.2.2.1 and 5.2.2.2.2.</w:t>
            </w:r>
          </w:p>
          <w:p w14:paraId="796C0BFB" w14:textId="77777777" w:rsidR="007E71C7" w:rsidRPr="007E71C7" w:rsidRDefault="007E71C7" w:rsidP="007E71C7">
            <w:pPr>
              <w:spacing w:after="200" w:line="276" w:lineRule="auto"/>
              <w:ind w:left="567" w:hanging="283"/>
              <w:contextualSpacing/>
              <w:rPr>
                <w:rFonts w:ascii="Arial" w:eastAsia="MS Mincho" w:hAnsi="Arial" w:cs="Arial"/>
                <w:color w:val="000000"/>
                <w:sz w:val="16"/>
                <w:szCs w:val="16"/>
              </w:rPr>
            </w:pPr>
            <w:r w:rsidRPr="007E71C7">
              <w:rPr>
                <w:rFonts w:ascii="Arial" w:eastAsia="Calibri" w:hAnsi="Arial" w:cs="Arial"/>
                <w:sz w:val="16"/>
                <w:szCs w:val="16"/>
              </w:rPr>
              <w:t>-</w:t>
            </w:r>
            <w:r w:rsidRPr="007E71C7">
              <w:rPr>
                <w:rFonts w:ascii="Arial" w:eastAsia="Calibri" w:hAnsi="Arial" w:cs="Arial"/>
                <w:sz w:val="16"/>
                <w:szCs w:val="16"/>
              </w:rPr>
              <w:tab/>
            </w:r>
            <w:r w:rsidRPr="007E71C7">
              <w:rPr>
                <w:rFonts w:ascii="Arial" w:eastAsia="MS Mincho" w:hAnsi="Arial" w:cs="Arial"/>
                <w:color w:val="000000"/>
                <w:sz w:val="16"/>
                <w:szCs w:val="16"/>
              </w:rPr>
              <w:t>A sub-configuration can be configured with a list of NZP CSI-RS resources, provided by [</w:t>
            </w:r>
            <w:r w:rsidRPr="007E71C7">
              <w:rPr>
                <w:rFonts w:ascii="Arial" w:eastAsia="MS Mincho" w:hAnsi="Arial" w:cs="Arial"/>
                <w:i/>
                <w:iCs/>
                <w:color w:val="000000"/>
                <w:sz w:val="16"/>
                <w:szCs w:val="16"/>
              </w:rPr>
              <w:t>nzp-CSI-RS-resourceList</w:t>
            </w:r>
            <w:r w:rsidRPr="007E71C7">
              <w:rPr>
                <w:rFonts w:ascii="Arial" w:eastAsia="MS Mincho" w:hAnsi="Arial" w:cs="Arial"/>
                <w:color w:val="000000"/>
                <w:sz w:val="16"/>
                <w:szCs w:val="16"/>
              </w:rPr>
              <w:t xml:space="preserve">], which indicates one or more NZP CSI-RS resources, within the </w:t>
            </w:r>
            <w:r w:rsidRPr="007E71C7">
              <w:rPr>
                <w:rFonts w:ascii="Arial" w:eastAsia="MS Mincho" w:hAnsi="Arial" w:cs="Arial"/>
                <w:i/>
                <w:iCs/>
                <w:color w:val="000000"/>
                <w:sz w:val="16"/>
                <w:szCs w:val="16"/>
              </w:rPr>
              <w:t xml:space="preserve">NZP-CSI-RS-ResourceSet </w:t>
            </w:r>
            <w:r w:rsidRPr="007E71C7">
              <w:rPr>
                <w:rFonts w:ascii="Arial" w:eastAsia="MS Mincho" w:hAnsi="Arial" w:cs="Arial"/>
                <w:color w:val="000000"/>
                <w:sz w:val="16"/>
                <w:szCs w:val="16"/>
              </w:rPr>
              <w:t xml:space="preserve">contained in the </w:t>
            </w:r>
            <w:r w:rsidRPr="007E71C7">
              <w:rPr>
                <w:rFonts w:ascii="Arial" w:eastAsia="MS Mincho" w:hAnsi="Arial" w:cs="Arial"/>
                <w:i/>
                <w:iCs/>
                <w:color w:val="000000"/>
                <w:sz w:val="16"/>
                <w:szCs w:val="16"/>
              </w:rPr>
              <w:t>CSI-ResourceConfig</w:t>
            </w:r>
            <w:r w:rsidRPr="007E71C7">
              <w:rPr>
                <w:rFonts w:ascii="Arial" w:eastAsia="MS Mincho" w:hAnsi="Arial" w:cs="Arial"/>
                <w:color w:val="000000"/>
                <w:sz w:val="16"/>
                <w:szCs w:val="16"/>
              </w:rPr>
              <w:t xml:space="preserve"> for channel measurement which corresponds to the </w:t>
            </w:r>
            <w:r w:rsidRPr="007E71C7">
              <w:rPr>
                <w:rFonts w:ascii="Arial" w:eastAsia="MS Mincho" w:hAnsi="Arial" w:cs="Arial"/>
                <w:i/>
                <w:color w:val="000000"/>
                <w:sz w:val="16"/>
                <w:szCs w:val="16"/>
              </w:rPr>
              <w:t>CSI-ReportConfig.</w:t>
            </w:r>
          </w:p>
          <w:p w14:paraId="41148CF3" w14:textId="77777777" w:rsidR="007E71C7" w:rsidRPr="007E71C7" w:rsidRDefault="007E71C7" w:rsidP="007E71C7">
            <w:pPr>
              <w:spacing w:after="200" w:line="276" w:lineRule="auto"/>
              <w:ind w:left="567"/>
              <w:contextualSpacing/>
              <w:rPr>
                <w:rFonts w:ascii="Arial" w:eastAsia="MS Mincho" w:hAnsi="Arial" w:cs="Arial"/>
                <w:iCs/>
                <w:color w:val="000000"/>
                <w:sz w:val="16"/>
                <w:szCs w:val="16"/>
              </w:rPr>
            </w:pPr>
            <w:r w:rsidRPr="007E71C7">
              <w:rPr>
                <w:rFonts w:ascii="Arial" w:eastAsia="MS Mincho" w:hAnsi="Arial" w:cs="Arial"/>
                <w:iCs/>
                <w:color w:val="000000"/>
                <w:sz w:val="16"/>
                <w:szCs w:val="16"/>
              </w:rPr>
              <w:t xml:space="preserve">[The list of NZP CSI-RS resources is identical to or has no intersection with a list of NZP CSI-RS resources configured for any other sub-configuration(s) within the </w:t>
            </w:r>
            <w:r w:rsidRPr="007E71C7">
              <w:rPr>
                <w:rFonts w:ascii="Arial" w:eastAsia="MS Mincho" w:hAnsi="Arial" w:cs="Arial"/>
                <w:i/>
                <w:iCs/>
                <w:color w:val="000000"/>
                <w:sz w:val="16"/>
                <w:szCs w:val="16"/>
              </w:rPr>
              <w:t>CSI-ReportConfig</w:t>
            </w:r>
            <w:r w:rsidRPr="007E71C7">
              <w:rPr>
                <w:rFonts w:ascii="Arial" w:eastAsia="MS Mincho" w:hAnsi="Arial" w:cs="Arial"/>
                <w:iCs/>
                <w:color w:val="000000"/>
                <w:sz w:val="16"/>
                <w:szCs w:val="16"/>
              </w:rPr>
              <w:t>.]</w:t>
            </w:r>
          </w:p>
          <w:p w14:paraId="4C702E5A" w14:textId="77777777" w:rsidR="007E71C7" w:rsidRPr="007E71C7" w:rsidRDefault="007E71C7" w:rsidP="007E71C7">
            <w:pPr>
              <w:spacing w:after="200" w:line="276" w:lineRule="auto"/>
              <w:ind w:left="567" w:hanging="283"/>
              <w:contextualSpacing/>
              <w:rPr>
                <w:rFonts w:ascii="Arial" w:eastAsia="MS Mincho" w:hAnsi="Arial" w:cs="Arial"/>
                <w:color w:val="FF0000"/>
                <w:sz w:val="16"/>
                <w:szCs w:val="16"/>
              </w:rPr>
            </w:pPr>
            <w:r w:rsidRPr="007E71C7">
              <w:rPr>
                <w:rFonts w:ascii="Arial" w:eastAsia="MS Mincho" w:hAnsi="Arial" w:cs="Arial"/>
                <w:color w:val="000000"/>
                <w:sz w:val="16"/>
                <w:szCs w:val="16"/>
              </w:rPr>
              <w:t xml:space="preserve">-  </w:t>
            </w:r>
            <w:r w:rsidRPr="007E71C7">
              <w:rPr>
                <w:rFonts w:ascii="Arial" w:eastAsia="MS Mincho" w:hAnsi="Arial" w:cs="Arial"/>
                <w:color w:val="FF0000"/>
                <w:sz w:val="16"/>
                <w:szCs w:val="16"/>
              </w:rPr>
              <w:t>If a sub-configuration is configured with a list of NZP CSI-RS resources with more than one resources, the UE shall derive the CSI parameters other than CRI conditioned on the reported CRI, where the CRI k (k ≥ 0) for the sub-configuration corresponds to the configured (k+1)-th entry of associated nzp-CSI-RS-Resources in the list of NZP CSI-RS resources.</w:t>
            </w:r>
          </w:p>
          <w:p w14:paraId="06AF1801" w14:textId="77777777" w:rsidR="007E71C7" w:rsidRPr="007E71C7" w:rsidRDefault="007E71C7" w:rsidP="007E71C7">
            <w:pPr>
              <w:spacing w:after="200" w:line="276" w:lineRule="auto"/>
              <w:ind w:left="567" w:hanging="283"/>
              <w:contextualSpacing/>
              <w:rPr>
                <w:rFonts w:ascii="Arial" w:eastAsia="MS Mincho" w:hAnsi="Arial" w:cs="Arial"/>
                <w:color w:val="000000"/>
                <w:sz w:val="16"/>
                <w:szCs w:val="16"/>
              </w:rPr>
            </w:pPr>
            <w:r w:rsidRPr="007E71C7">
              <w:rPr>
                <w:rFonts w:ascii="Arial" w:eastAsia="Calibri" w:hAnsi="Arial" w:cs="Arial"/>
                <w:sz w:val="16"/>
                <w:szCs w:val="16"/>
              </w:rPr>
              <w:t>-</w:t>
            </w:r>
            <w:r w:rsidRPr="007E71C7">
              <w:rPr>
                <w:rFonts w:ascii="Arial" w:eastAsia="Calibri" w:hAnsi="Arial" w:cs="Arial"/>
                <w:sz w:val="16"/>
                <w:szCs w:val="16"/>
              </w:rPr>
              <w:tab/>
            </w:r>
            <w:r w:rsidRPr="007E71C7">
              <w:rPr>
                <w:rFonts w:ascii="Arial" w:eastAsia="MS Mincho" w:hAnsi="Arial" w:cs="Arial"/>
                <w:color w:val="000000"/>
                <w:sz w:val="16"/>
                <w:szCs w:val="16"/>
              </w:rPr>
              <w:t>A sub-configuration can be configured with a power offset provided by [</w:t>
            </w:r>
            <w:r w:rsidRPr="007E71C7">
              <w:rPr>
                <w:rFonts w:ascii="Arial" w:eastAsia="MS Mincho" w:hAnsi="Arial" w:cs="Arial"/>
                <w:i/>
                <w:iCs/>
                <w:color w:val="000000"/>
                <w:sz w:val="16"/>
                <w:szCs w:val="16"/>
              </w:rPr>
              <w:t>powerOffse</w:t>
            </w:r>
            <w:r w:rsidRPr="007E71C7">
              <w:rPr>
                <w:rFonts w:ascii="Arial" w:eastAsia="MS Mincho" w:hAnsi="Arial" w:cs="Arial"/>
                <w:color w:val="000000"/>
                <w:sz w:val="16"/>
                <w:szCs w:val="16"/>
              </w:rPr>
              <w:t>t].</w:t>
            </w:r>
          </w:p>
          <w:p w14:paraId="063881A9" w14:textId="77777777" w:rsidR="007E71C7" w:rsidRPr="007E71C7" w:rsidRDefault="007E71C7" w:rsidP="007E71C7">
            <w:pPr>
              <w:spacing w:after="200" w:line="276" w:lineRule="auto"/>
              <w:ind w:left="567" w:hanging="283"/>
              <w:contextualSpacing/>
              <w:rPr>
                <w:rFonts w:ascii="Arial" w:eastAsia="MS Mincho" w:hAnsi="Arial" w:cs="Arial"/>
                <w:color w:val="000000"/>
                <w:sz w:val="16"/>
                <w:szCs w:val="16"/>
              </w:rPr>
            </w:pPr>
            <w:r w:rsidRPr="007E71C7">
              <w:rPr>
                <w:rFonts w:ascii="Arial" w:eastAsia="Calibri" w:hAnsi="Arial" w:cs="Arial"/>
                <w:sz w:val="16"/>
                <w:szCs w:val="16"/>
              </w:rPr>
              <w:t>-</w:t>
            </w:r>
            <w:r w:rsidRPr="007E71C7">
              <w:rPr>
                <w:rFonts w:ascii="Arial" w:eastAsia="Calibri" w:hAnsi="Arial" w:cs="Arial"/>
                <w:sz w:val="16"/>
                <w:szCs w:val="16"/>
              </w:rPr>
              <w:tab/>
            </w:r>
            <w:r w:rsidRPr="007E71C7">
              <w:rPr>
                <w:rFonts w:ascii="Arial" w:eastAsia="MS Mincho" w:hAnsi="Arial" w:cs="Arial"/>
                <w:color w:val="000000"/>
                <w:sz w:val="16"/>
                <w:szCs w:val="16"/>
              </w:rPr>
              <w:t>If a sub-configurations is not configured with [</w:t>
            </w:r>
            <w:r w:rsidRPr="007E71C7">
              <w:rPr>
                <w:rFonts w:ascii="Arial" w:eastAsia="MS Mincho" w:hAnsi="Arial" w:cs="Arial"/>
                <w:i/>
                <w:iCs/>
                <w:color w:val="000000"/>
                <w:sz w:val="16"/>
                <w:szCs w:val="16"/>
              </w:rPr>
              <w:t>nzp-CSI-RS-resourceList</w:t>
            </w:r>
            <w:r w:rsidRPr="007E71C7">
              <w:rPr>
                <w:rFonts w:ascii="Arial" w:eastAsia="MS Mincho" w:hAnsi="Arial" w:cs="Arial"/>
                <w:color w:val="000000"/>
                <w:sz w:val="16"/>
                <w:szCs w:val="16"/>
              </w:rPr>
              <w:t xml:space="preserve">] then the sub-configuration shall be associated with all the NZP CSI-RS resources within the </w:t>
            </w:r>
            <w:r w:rsidRPr="007E71C7">
              <w:rPr>
                <w:rFonts w:ascii="Arial" w:eastAsia="MS Mincho" w:hAnsi="Arial" w:cs="Arial"/>
                <w:i/>
                <w:iCs/>
                <w:color w:val="000000"/>
                <w:sz w:val="16"/>
                <w:szCs w:val="16"/>
              </w:rPr>
              <w:t xml:space="preserve">NZP-CSI-RS-ResourceSet </w:t>
            </w:r>
            <w:r w:rsidRPr="007E71C7">
              <w:rPr>
                <w:rFonts w:ascii="Arial" w:eastAsia="MS Mincho" w:hAnsi="Arial" w:cs="Arial"/>
                <w:color w:val="000000"/>
                <w:sz w:val="16"/>
                <w:szCs w:val="16"/>
              </w:rPr>
              <w:t xml:space="preserve">contained in the </w:t>
            </w:r>
            <w:r w:rsidRPr="007E71C7">
              <w:rPr>
                <w:rFonts w:ascii="Arial" w:eastAsia="MS Mincho" w:hAnsi="Arial" w:cs="Arial"/>
                <w:i/>
                <w:iCs/>
                <w:color w:val="000000"/>
                <w:sz w:val="16"/>
                <w:szCs w:val="16"/>
              </w:rPr>
              <w:t>CSI-ResourceConfig</w:t>
            </w:r>
            <w:r w:rsidRPr="007E71C7">
              <w:rPr>
                <w:rFonts w:ascii="Arial" w:eastAsia="MS Mincho" w:hAnsi="Arial" w:cs="Arial"/>
                <w:color w:val="000000"/>
                <w:sz w:val="16"/>
                <w:szCs w:val="16"/>
              </w:rPr>
              <w:t xml:space="preserve"> for channel measurement which corresponds to the </w:t>
            </w:r>
            <w:r w:rsidRPr="007E71C7">
              <w:rPr>
                <w:rFonts w:ascii="Arial" w:eastAsia="MS Mincho" w:hAnsi="Arial" w:cs="Arial"/>
                <w:i/>
                <w:color w:val="000000"/>
                <w:sz w:val="16"/>
                <w:szCs w:val="16"/>
              </w:rPr>
              <w:t>CSI-ReportConfig.</w:t>
            </w:r>
          </w:p>
          <w:p w14:paraId="40D2D2B6" w14:textId="77777777" w:rsidR="007E71C7" w:rsidRPr="007E71C7" w:rsidRDefault="007E71C7" w:rsidP="007E71C7">
            <w:pPr>
              <w:spacing w:after="200" w:line="276" w:lineRule="auto"/>
              <w:ind w:left="567" w:hanging="283"/>
              <w:contextualSpacing/>
              <w:rPr>
                <w:rFonts w:ascii="Arial" w:eastAsia="MS Mincho" w:hAnsi="Arial" w:cs="Arial"/>
                <w:color w:val="000000"/>
                <w:sz w:val="16"/>
                <w:szCs w:val="16"/>
              </w:rPr>
            </w:pPr>
            <w:r w:rsidRPr="007E71C7">
              <w:rPr>
                <w:rFonts w:ascii="Arial" w:eastAsia="Calibri" w:hAnsi="Arial" w:cs="Arial"/>
                <w:sz w:val="16"/>
                <w:szCs w:val="16"/>
              </w:rPr>
              <w:t>-</w:t>
            </w:r>
            <w:r w:rsidRPr="007E71C7">
              <w:rPr>
                <w:rFonts w:ascii="Arial" w:eastAsia="Calibri" w:hAnsi="Arial" w:cs="Arial"/>
                <w:sz w:val="16"/>
                <w:szCs w:val="16"/>
              </w:rPr>
              <w:tab/>
            </w:r>
            <w:r w:rsidRPr="007E71C7">
              <w:rPr>
                <w:rFonts w:ascii="Arial" w:eastAsia="MS Mincho" w:hAnsi="Arial" w:cs="Arial"/>
                <w:color w:val="000000"/>
                <w:sz w:val="16"/>
                <w:szCs w:val="16"/>
              </w:rPr>
              <w:t xml:space="preserve">the UE reports CSI(s) for one or more sub-configurations according to Clauses 5.2.1.5.1, 5.2.1.5.2, 5.2.3 and 5.2.4, and according to the higher layer parameter </w:t>
            </w:r>
            <w:r w:rsidRPr="007E71C7">
              <w:rPr>
                <w:rFonts w:ascii="Arial" w:eastAsia="MS Mincho" w:hAnsi="Arial" w:cs="Arial"/>
                <w:i/>
                <w:iCs/>
                <w:color w:val="000000"/>
                <w:sz w:val="16"/>
                <w:szCs w:val="16"/>
              </w:rPr>
              <w:t>reportQuantity</w:t>
            </w:r>
            <w:r w:rsidRPr="007E71C7">
              <w:rPr>
                <w:rFonts w:ascii="Arial" w:eastAsia="MS Mincho" w:hAnsi="Arial" w:cs="Arial"/>
                <w:color w:val="000000"/>
                <w:sz w:val="16"/>
                <w:szCs w:val="16"/>
              </w:rPr>
              <w:t xml:space="preserve"> configured for that </w:t>
            </w:r>
            <w:r w:rsidRPr="007E71C7">
              <w:rPr>
                <w:rFonts w:ascii="Arial" w:eastAsia="MS Mincho" w:hAnsi="Arial" w:cs="Arial"/>
                <w:i/>
                <w:iCs/>
                <w:color w:val="000000"/>
                <w:sz w:val="16"/>
                <w:szCs w:val="16"/>
              </w:rPr>
              <w:t>CSI-ReportConfig</w:t>
            </w:r>
            <w:r w:rsidRPr="007E71C7">
              <w:rPr>
                <w:rFonts w:ascii="Arial" w:eastAsia="MS Mincho" w:hAnsi="Arial" w:cs="Arial"/>
                <w:color w:val="000000"/>
                <w:sz w:val="16"/>
                <w:szCs w:val="16"/>
              </w:rPr>
              <w:t>.</w:t>
            </w:r>
          </w:p>
          <w:p w14:paraId="5DD3536E" w14:textId="47AD1072" w:rsidR="00B4478D" w:rsidRPr="00B4478D" w:rsidRDefault="007E71C7" w:rsidP="007E71C7">
            <w:pPr>
              <w:jc w:val="center"/>
              <w:rPr>
                <w:rFonts w:ascii="Arial" w:eastAsia="Malgun Gothic" w:hAnsi="Arial" w:cs="Arial"/>
                <w:sz w:val="16"/>
                <w:szCs w:val="16"/>
                <w:lang w:eastAsia="ko-KR"/>
              </w:rPr>
            </w:pPr>
            <w:r w:rsidRPr="007E71C7">
              <w:rPr>
                <w:rFonts w:ascii="Arial" w:eastAsia="SimSun" w:hAnsi="Arial" w:cs="Arial"/>
                <w:color w:val="C00000"/>
                <w:sz w:val="16"/>
                <w:szCs w:val="16"/>
                <w:lang w:eastAsia="zh-CN"/>
              </w:rPr>
              <w:t>&lt;omitted texts&gt;</w:t>
            </w:r>
          </w:p>
        </w:tc>
      </w:tr>
    </w:tbl>
    <w:p w14:paraId="6FE60521" w14:textId="77777777" w:rsidR="00B4478D" w:rsidRPr="00B4478D" w:rsidRDefault="00B4478D" w:rsidP="00B4478D">
      <w:pPr>
        <w:rPr>
          <w:lang w:eastAsia="zh-CN"/>
        </w:rPr>
      </w:pPr>
    </w:p>
    <w:p w14:paraId="665FA764" w14:textId="77777777" w:rsidR="00B4478D" w:rsidRPr="00B4478D" w:rsidRDefault="00B4478D" w:rsidP="00B4478D">
      <w:pPr>
        <w:rPr>
          <w:szCs w:val="20"/>
          <w:highlight w:val="green"/>
          <w:lang w:eastAsia="zh-CN"/>
        </w:rPr>
      </w:pPr>
      <w:r w:rsidRPr="00B4478D">
        <w:rPr>
          <w:szCs w:val="20"/>
          <w:highlight w:val="green"/>
          <w:lang w:eastAsia="zh-CN"/>
        </w:rPr>
        <w:t>Agreement</w:t>
      </w:r>
    </w:p>
    <w:p w14:paraId="7EA59073" w14:textId="77777777" w:rsidR="00B4478D" w:rsidRPr="00B4478D" w:rsidRDefault="00B4478D" w:rsidP="00B4478D">
      <w:pPr>
        <w:rPr>
          <w:szCs w:val="20"/>
          <w:lang w:val="en-US"/>
        </w:rPr>
      </w:pPr>
      <w:r w:rsidRPr="00B4478D">
        <w:rPr>
          <w:szCs w:val="20"/>
          <w:lang w:val="en-US"/>
        </w:rPr>
        <w:t>For CPU occupation time for CSI report with one or more sub-configurations,</w:t>
      </w:r>
    </w:p>
    <w:p w14:paraId="30A385E9" w14:textId="77777777" w:rsidR="00B4478D" w:rsidRPr="00B4478D" w:rsidRDefault="00B4478D" w:rsidP="00A67145">
      <w:pPr>
        <w:pStyle w:val="ListParagraph"/>
        <w:numPr>
          <w:ilvl w:val="0"/>
          <w:numId w:val="220"/>
        </w:numPr>
        <w:rPr>
          <w:rFonts w:eastAsia="MS Mincho"/>
          <w:color w:val="000000"/>
        </w:rPr>
      </w:pPr>
      <w:r w:rsidRPr="00B4478D">
        <w:rPr>
          <w:rFonts w:eastAsia="MS Mincho"/>
          <w:color w:val="000000"/>
        </w:rPr>
        <w:t xml:space="preserve">For periodic CSI report which contains a list of sub-configurations, </w:t>
      </w:r>
    </w:p>
    <w:p w14:paraId="0C55187C" w14:textId="77777777" w:rsidR="00B4478D" w:rsidRPr="00B4478D" w:rsidRDefault="00B4478D" w:rsidP="00A67145">
      <w:pPr>
        <w:pStyle w:val="ListParagraph"/>
        <w:numPr>
          <w:ilvl w:val="1"/>
          <w:numId w:val="220"/>
        </w:numPr>
        <w:rPr>
          <w:rFonts w:eastAsia="MS Mincho"/>
          <w:color w:val="000000"/>
        </w:rPr>
      </w:pPr>
      <w:r w:rsidRPr="00B4478D">
        <w:rPr>
          <w:lang w:val="en-US"/>
        </w:rPr>
        <w:t>It occupies CPU(s) from the first symbol of the earliest one of each CSI-RS/CSI-IM</w:t>
      </w:r>
      <w:r w:rsidRPr="00B4478D">
        <w:rPr>
          <w:strike/>
          <w:lang w:val="en-US"/>
        </w:rPr>
        <w:t>/SSB</w:t>
      </w:r>
      <w:r w:rsidRPr="00B4478D">
        <w:rPr>
          <w:lang w:val="en-US"/>
        </w:rPr>
        <w:t xml:space="preserve"> resource for channel or interference measurement within </w:t>
      </w:r>
      <w:r w:rsidRPr="00B4478D">
        <w:rPr>
          <w:u w:val="single"/>
          <w:lang w:val="en-US"/>
        </w:rPr>
        <w:t>all L configured sub-configurations</w:t>
      </w:r>
      <w:r w:rsidRPr="00B4478D">
        <w:rPr>
          <w:lang w:val="en-US"/>
        </w:rPr>
        <w:t>, respective latest CSI-RS/CSI-IM</w:t>
      </w:r>
      <w:r w:rsidRPr="00B4478D">
        <w:rPr>
          <w:strike/>
          <w:lang w:val="en-US"/>
        </w:rPr>
        <w:t>/SSB</w:t>
      </w:r>
      <w:r w:rsidRPr="00B4478D">
        <w:rPr>
          <w:lang w:val="en-US"/>
        </w:rPr>
        <w:t xml:space="preserve"> occasion no later than the corresponding CSI reference resource, until the last symbol of the configured PUSCH/PUCCH carrying the report. </w:t>
      </w:r>
    </w:p>
    <w:p w14:paraId="3799028C" w14:textId="77777777" w:rsidR="00B4478D" w:rsidRPr="00B4478D" w:rsidRDefault="00B4478D" w:rsidP="00A67145">
      <w:pPr>
        <w:pStyle w:val="ListParagraph"/>
        <w:numPr>
          <w:ilvl w:val="0"/>
          <w:numId w:val="220"/>
        </w:numPr>
        <w:rPr>
          <w:rFonts w:eastAsia="MS Mincho"/>
          <w:color w:val="000000"/>
        </w:rPr>
      </w:pPr>
      <w:r w:rsidRPr="00B4478D">
        <w:rPr>
          <w:rFonts w:eastAsia="MS Mincho"/>
          <w:color w:val="000000"/>
        </w:rPr>
        <w:t>For semi-persistent CSI report on PUSCH (excluding an initial semi-persistent CSI report on PUSCH after the PDCCH triggering the report) or semi-persistent CSI report on PUCCH which contains a list of sub-configurations</w:t>
      </w:r>
    </w:p>
    <w:p w14:paraId="040382DD" w14:textId="77777777" w:rsidR="00B4478D" w:rsidRPr="00B4478D" w:rsidRDefault="00B4478D" w:rsidP="00A67145">
      <w:pPr>
        <w:pStyle w:val="ListParagraph"/>
        <w:numPr>
          <w:ilvl w:val="1"/>
          <w:numId w:val="220"/>
        </w:numPr>
        <w:rPr>
          <w:lang w:val="en-US"/>
        </w:rPr>
      </w:pPr>
      <w:r w:rsidRPr="00B4478D">
        <w:rPr>
          <w:lang w:val="en-US"/>
        </w:rPr>
        <w:t>It occupies CPU(s) from the first symbol of the earliest one of each CSI-RS/CSI-IM</w:t>
      </w:r>
      <w:r w:rsidRPr="00B4478D">
        <w:rPr>
          <w:strike/>
          <w:lang w:val="en-US"/>
        </w:rPr>
        <w:t>/SSB</w:t>
      </w:r>
      <w:r w:rsidRPr="00B4478D">
        <w:rPr>
          <w:lang w:val="en-US"/>
        </w:rPr>
        <w:t xml:space="preserve"> resource for channel or interference measurement </w:t>
      </w:r>
      <w:r w:rsidRPr="00B4478D">
        <w:rPr>
          <w:color w:val="FF0000"/>
          <w:u w:val="single"/>
          <w:lang w:val="en-US"/>
        </w:rPr>
        <w:t>within N triggered sub-configurations</w:t>
      </w:r>
      <w:r w:rsidRPr="00B4478D">
        <w:rPr>
          <w:lang w:val="en-US"/>
        </w:rPr>
        <w:t>, until the last symbol of the configured PUSCH/PUCCH carrying the report.</w:t>
      </w:r>
    </w:p>
    <w:p w14:paraId="15C00F23" w14:textId="77777777" w:rsidR="00B4478D" w:rsidRPr="00B4478D" w:rsidRDefault="00B4478D" w:rsidP="00B4478D">
      <w:pPr>
        <w:rPr>
          <w:szCs w:val="20"/>
        </w:rPr>
      </w:pPr>
      <w:r w:rsidRPr="00B4478D">
        <w:rPr>
          <w:szCs w:val="20"/>
        </w:rPr>
        <w:t xml:space="preserve">For </w:t>
      </w:r>
      <w:r w:rsidRPr="00B4478D">
        <w:rPr>
          <w:szCs w:val="20"/>
          <w:lang w:eastAsia="zh-CN"/>
        </w:rPr>
        <w:t>CSI</w:t>
      </w:r>
      <w:r w:rsidRPr="00B4478D">
        <w:rPr>
          <w:szCs w:val="20"/>
        </w:rPr>
        <w:t xml:space="preserve"> computation time (Z2, Z2’),</w:t>
      </w:r>
    </w:p>
    <w:p w14:paraId="041163B2" w14:textId="77777777" w:rsidR="00B4478D" w:rsidRPr="00B4478D" w:rsidRDefault="00B4478D" w:rsidP="00A67145">
      <w:pPr>
        <w:pStyle w:val="ListParagraph"/>
        <w:numPr>
          <w:ilvl w:val="0"/>
          <w:numId w:val="221"/>
        </w:numPr>
        <w:rPr>
          <w:rFonts w:eastAsia="MS Mincho"/>
          <w:color w:val="000000"/>
        </w:rPr>
      </w:pPr>
      <w:r w:rsidRPr="00B4478D">
        <w:rPr>
          <w:rFonts w:eastAsia="MS Mincho"/>
          <w:color w:val="000000"/>
        </w:rPr>
        <w:t>For a CSI-ReportConfig with sub-configurations, the definition of the corresponding CSI computation time is based on the CSI-RS resources for channel measurement, the CSI-RS resources for interference measurement and the CSI-IM resources for all triggered sub-configurations for AP-CSI report.</w:t>
      </w:r>
    </w:p>
    <w:p w14:paraId="2A2A5D10" w14:textId="77777777" w:rsidR="00B4478D" w:rsidRPr="00B4478D" w:rsidRDefault="00B4478D" w:rsidP="00B4478D">
      <w:pPr>
        <w:rPr>
          <w:rFonts w:eastAsia="MS Mincho"/>
          <w:color w:val="000000"/>
          <w:szCs w:val="22"/>
          <w:lang w:eastAsia="ja-JP"/>
        </w:rPr>
      </w:pPr>
      <w:r w:rsidRPr="00B4478D">
        <w:rPr>
          <w:rFonts w:eastAsia="MS Mincho"/>
          <w:color w:val="000000"/>
          <w:szCs w:val="22"/>
          <w:lang w:eastAsia="ja-JP"/>
        </w:rPr>
        <w:t>Editors to draft TP if needed.</w:t>
      </w:r>
    </w:p>
    <w:p w14:paraId="3640E789" w14:textId="77777777" w:rsidR="00B4478D" w:rsidRPr="00B4478D" w:rsidRDefault="00B4478D" w:rsidP="00B4478D">
      <w:pPr>
        <w:rPr>
          <w:rFonts w:eastAsia="MS Mincho"/>
          <w:color w:val="000000"/>
          <w:szCs w:val="22"/>
          <w:lang w:eastAsia="ja-JP"/>
        </w:rPr>
      </w:pPr>
    </w:p>
    <w:p w14:paraId="72FF3980" w14:textId="77777777" w:rsidR="00B4478D" w:rsidRPr="00B4478D" w:rsidRDefault="00B4478D" w:rsidP="00B4478D">
      <w:pPr>
        <w:rPr>
          <w:szCs w:val="20"/>
          <w:u w:val="single"/>
          <w:lang w:eastAsia="zh-CN"/>
        </w:rPr>
      </w:pPr>
      <w:r w:rsidRPr="00B4478D">
        <w:rPr>
          <w:szCs w:val="20"/>
          <w:u w:val="single"/>
          <w:lang w:eastAsia="zh-CN"/>
        </w:rPr>
        <w:t>Conclusion</w:t>
      </w:r>
    </w:p>
    <w:p w14:paraId="444DCF52" w14:textId="77777777" w:rsidR="00B4478D" w:rsidRPr="00B4478D" w:rsidRDefault="00B4478D" w:rsidP="00B4478D">
      <w:pPr>
        <w:rPr>
          <w:szCs w:val="20"/>
          <w:lang w:val="en-US" w:eastAsia="zh-CN"/>
        </w:rPr>
      </w:pPr>
      <w:r w:rsidRPr="00B4478D">
        <w:rPr>
          <w:szCs w:val="20"/>
          <w:lang w:val="en-US" w:eastAsia="zh-CN"/>
        </w:rPr>
        <w:t>The powerControlOffset configured in TRS still indicates the power offset between PDSCH and TRS.</w:t>
      </w:r>
    </w:p>
    <w:p w14:paraId="78176550" w14:textId="66509506" w:rsidR="00B4478D" w:rsidRPr="00B4478D" w:rsidRDefault="00B4478D" w:rsidP="00A67145">
      <w:pPr>
        <w:pStyle w:val="ListParagraph"/>
        <w:numPr>
          <w:ilvl w:val="0"/>
          <w:numId w:val="221"/>
        </w:numPr>
        <w:rPr>
          <w:lang w:val="en-US" w:eastAsia="zh-CN"/>
        </w:rPr>
      </w:pPr>
      <w:r w:rsidRPr="00B4478D">
        <w:rPr>
          <w:lang w:val="en-US" w:eastAsia="zh-CN"/>
        </w:rPr>
        <w:t>New L1 signalling is not introduced</w:t>
      </w:r>
      <w:r>
        <w:rPr>
          <w:lang w:val="en-US" w:eastAsia="zh-CN"/>
        </w:rPr>
        <w:t>.</w:t>
      </w:r>
    </w:p>
    <w:p w14:paraId="349696D0" w14:textId="3C71F9BF" w:rsidR="00B4478D" w:rsidRPr="00B4478D" w:rsidRDefault="00B4478D" w:rsidP="00A67145">
      <w:pPr>
        <w:pStyle w:val="ListParagraph"/>
        <w:numPr>
          <w:ilvl w:val="0"/>
          <w:numId w:val="221"/>
        </w:numPr>
        <w:rPr>
          <w:lang w:val="en-US" w:eastAsia="zh-CN"/>
        </w:rPr>
      </w:pPr>
      <w:r w:rsidRPr="00B4478D">
        <w:rPr>
          <w:lang w:val="en-US" w:eastAsia="zh-CN"/>
        </w:rPr>
        <w:t>No spec impact is needed</w:t>
      </w:r>
      <w:r>
        <w:rPr>
          <w:lang w:val="en-US" w:eastAsia="zh-CN"/>
        </w:rPr>
        <w:t>.</w:t>
      </w:r>
    </w:p>
    <w:p w14:paraId="3B8E873F" w14:textId="77777777" w:rsidR="00B4478D" w:rsidRPr="00B4478D" w:rsidRDefault="00B4478D" w:rsidP="00B4478D">
      <w:pPr>
        <w:rPr>
          <w:szCs w:val="18"/>
          <w:u w:val="single"/>
          <w:lang w:eastAsia="zh-CN"/>
        </w:rPr>
      </w:pPr>
      <w:r w:rsidRPr="00B4478D">
        <w:rPr>
          <w:szCs w:val="18"/>
          <w:u w:val="single"/>
          <w:lang w:eastAsia="zh-CN"/>
        </w:rPr>
        <w:t>Conclusion</w:t>
      </w:r>
    </w:p>
    <w:p w14:paraId="65E73E1F" w14:textId="77C2F56A" w:rsidR="00B4478D" w:rsidRPr="00B4478D" w:rsidRDefault="00B4478D" w:rsidP="00B4478D">
      <w:pPr>
        <w:rPr>
          <w:szCs w:val="18"/>
          <w:lang w:eastAsia="zh-CN"/>
        </w:rPr>
      </w:pPr>
      <w:r w:rsidRPr="00B4478D">
        <w:rPr>
          <w:szCs w:val="18"/>
          <w:lang w:eastAsia="zh-CN"/>
        </w:rPr>
        <w:t>NC-JT operation is not applicable for Rel-18 NES</w:t>
      </w:r>
      <w:r>
        <w:rPr>
          <w:szCs w:val="18"/>
          <w:lang w:eastAsia="zh-CN"/>
        </w:rPr>
        <w:t>.</w:t>
      </w:r>
    </w:p>
    <w:p w14:paraId="73471AFA" w14:textId="0D4DD5DA" w:rsidR="00B4478D" w:rsidRPr="00B4478D" w:rsidRDefault="00B4478D" w:rsidP="00A67145">
      <w:pPr>
        <w:pStyle w:val="ListParagraph"/>
        <w:numPr>
          <w:ilvl w:val="0"/>
          <w:numId w:val="222"/>
        </w:numPr>
        <w:rPr>
          <w:szCs w:val="18"/>
          <w:lang w:eastAsia="zh-CN"/>
        </w:rPr>
      </w:pPr>
      <w:r w:rsidRPr="00B4478D">
        <w:rPr>
          <w:szCs w:val="18"/>
          <w:lang w:eastAsia="zh-CN"/>
        </w:rPr>
        <w:t>No further spec impact is needed</w:t>
      </w:r>
      <w:r>
        <w:rPr>
          <w:szCs w:val="18"/>
          <w:lang w:eastAsia="zh-CN"/>
        </w:rPr>
        <w:t>.</w:t>
      </w:r>
    </w:p>
    <w:p w14:paraId="0B06EEBF" w14:textId="77777777" w:rsidR="00B4478D" w:rsidRPr="00B4478D" w:rsidRDefault="00B4478D" w:rsidP="00B4478D">
      <w:pPr>
        <w:rPr>
          <w:szCs w:val="20"/>
          <w:highlight w:val="green"/>
          <w:lang w:eastAsia="zh-CN"/>
        </w:rPr>
      </w:pPr>
      <w:r w:rsidRPr="00B4478D">
        <w:rPr>
          <w:szCs w:val="20"/>
          <w:highlight w:val="green"/>
          <w:lang w:eastAsia="zh-CN"/>
        </w:rPr>
        <w:lastRenderedPageBreak/>
        <w:t>Agreement</w:t>
      </w:r>
    </w:p>
    <w:p w14:paraId="5C9F6A73" w14:textId="77777777" w:rsidR="00B4478D" w:rsidRPr="00B4478D" w:rsidRDefault="00B4478D" w:rsidP="00B4478D">
      <w:pPr>
        <w:rPr>
          <w:lang w:eastAsia="zh-CN"/>
        </w:rPr>
      </w:pPr>
      <w:r w:rsidRPr="00B4478D">
        <w:rPr>
          <w:lang w:eastAsia="zh-CN"/>
        </w:rPr>
        <w:t>Adopt the following TP</w:t>
      </w:r>
      <w:r w:rsidRPr="00B4478D">
        <w:t xml:space="preserve"> </w:t>
      </w:r>
      <w:r w:rsidRPr="00B4478D">
        <w:rPr>
          <w:lang w:eastAsia="zh-CN"/>
        </w:rPr>
        <w:t>for 38.214, Section 5.2.3 and 5.2.4</w:t>
      </w:r>
    </w:p>
    <w:tbl>
      <w:tblPr>
        <w:tblW w:w="5000" w:type="pct"/>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0683"/>
      </w:tblGrid>
      <w:tr w:rsidR="007E71C7" w:rsidRPr="007E71C7" w14:paraId="0F3D42C6" w14:textId="77777777" w:rsidTr="007E71C7">
        <w:tc>
          <w:tcPr>
            <w:tcW w:w="5000" w:type="pct"/>
            <w:shd w:val="clear" w:color="auto" w:fill="auto"/>
          </w:tcPr>
          <w:p w14:paraId="08AD9421" w14:textId="77777777" w:rsidR="007E71C7" w:rsidRPr="007E71C7" w:rsidRDefault="007E71C7" w:rsidP="00A67145">
            <w:pPr>
              <w:widowControl w:val="0"/>
              <w:numPr>
                <w:ilvl w:val="0"/>
                <w:numId w:val="182"/>
              </w:numPr>
              <w:autoSpaceDE w:val="0"/>
              <w:autoSpaceDN w:val="0"/>
              <w:adjustRightInd w:val="0"/>
              <w:jc w:val="both"/>
              <w:rPr>
                <w:rFonts w:ascii="Arial" w:hAnsi="Arial" w:cs="Arial"/>
                <w:sz w:val="16"/>
                <w:szCs w:val="16"/>
                <w:lang w:eastAsia="x-none"/>
              </w:rPr>
            </w:pPr>
            <w:r w:rsidRPr="007E71C7">
              <w:rPr>
                <w:rFonts w:ascii="Arial" w:hAnsi="Arial" w:cs="Arial"/>
                <w:sz w:val="16"/>
                <w:szCs w:val="16"/>
                <w:lang w:eastAsia="x-none"/>
              </w:rPr>
              <w:t>Reason for changes</w:t>
            </w:r>
          </w:p>
          <w:p w14:paraId="06185949" w14:textId="77777777" w:rsidR="007E71C7" w:rsidRPr="007E71C7" w:rsidRDefault="007E71C7" w:rsidP="00A67145">
            <w:pPr>
              <w:widowControl w:val="0"/>
              <w:numPr>
                <w:ilvl w:val="1"/>
                <w:numId w:val="182"/>
              </w:numPr>
              <w:autoSpaceDE w:val="0"/>
              <w:autoSpaceDN w:val="0"/>
              <w:adjustRightInd w:val="0"/>
              <w:jc w:val="both"/>
              <w:rPr>
                <w:rFonts w:ascii="Arial" w:hAnsi="Arial" w:cs="Arial"/>
                <w:sz w:val="16"/>
                <w:szCs w:val="16"/>
                <w:lang w:eastAsia="x-none"/>
              </w:rPr>
            </w:pPr>
            <w:r w:rsidRPr="007E71C7">
              <w:rPr>
                <w:rFonts w:ascii="Arial" w:hAnsi="Arial" w:cs="Arial"/>
                <w:sz w:val="16"/>
                <w:szCs w:val="16"/>
                <w:lang w:eastAsia="x-none"/>
              </w:rPr>
              <w:t>Terminology of CSIs between 38.214 and 38.212 is misaligned for the description of CSI Part 2 omission</w:t>
            </w:r>
          </w:p>
          <w:p w14:paraId="6F25E7D6" w14:textId="77777777" w:rsidR="007E71C7" w:rsidRPr="007E71C7" w:rsidRDefault="007E71C7" w:rsidP="00A67145">
            <w:pPr>
              <w:widowControl w:val="0"/>
              <w:numPr>
                <w:ilvl w:val="0"/>
                <w:numId w:val="182"/>
              </w:numPr>
              <w:autoSpaceDE w:val="0"/>
              <w:autoSpaceDN w:val="0"/>
              <w:adjustRightInd w:val="0"/>
              <w:jc w:val="both"/>
              <w:rPr>
                <w:rFonts w:ascii="Arial" w:hAnsi="Arial" w:cs="Arial"/>
                <w:sz w:val="16"/>
                <w:szCs w:val="16"/>
                <w:lang w:eastAsia="x-none"/>
              </w:rPr>
            </w:pPr>
            <w:r w:rsidRPr="007E71C7">
              <w:rPr>
                <w:rFonts w:ascii="Arial" w:hAnsi="Arial" w:cs="Arial"/>
                <w:sz w:val="16"/>
                <w:szCs w:val="16"/>
                <w:lang w:eastAsia="x-none"/>
              </w:rPr>
              <w:t>Summary of changes</w:t>
            </w:r>
          </w:p>
          <w:p w14:paraId="1C3BDDED" w14:textId="77777777" w:rsidR="007E71C7" w:rsidRPr="007E71C7" w:rsidRDefault="007E71C7" w:rsidP="00A67145">
            <w:pPr>
              <w:widowControl w:val="0"/>
              <w:numPr>
                <w:ilvl w:val="1"/>
                <w:numId w:val="182"/>
              </w:numPr>
              <w:autoSpaceDE w:val="0"/>
              <w:autoSpaceDN w:val="0"/>
              <w:adjustRightInd w:val="0"/>
              <w:jc w:val="both"/>
              <w:rPr>
                <w:rFonts w:ascii="Arial" w:hAnsi="Arial" w:cs="Arial"/>
                <w:sz w:val="16"/>
                <w:szCs w:val="16"/>
                <w:lang w:eastAsia="x-none"/>
              </w:rPr>
            </w:pPr>
            <w:r w:rsidRPr="007E71C7">
              <w:rPr>
                <w:rFonts w:ascii="Arial" w:hAnsi="Arial" w:cs="Arial"/>
                <w:sz w:val="16"/>
                <w:szCs w:val="16"/>
                <w:lang w:eastAsia="x-none"/>
              </w:rPr>
              <w:t>Change “CSIs” in 38.214 to “CSI sub-reports”</w:t>
            </w:r>
          </w:p>
          <w:p w14:paraId="3FBD9734" w14:textId="77777777" w:rsidR="007E71C7" w:rsidRPr="007E71C7" w:rsidRDefault="007E71C7" w:rsidP="00A67145">
            <w:pPr>
              <w:widowControl w:val="0"/>
              <w:numPr>
                <w:ilvl w:val="0"/>
                <w:numId w:val="182"/>
              </w:numPr>
              <w:autoSpaceDE w:val="0"/>
              <w:autoSpaceDN w:val="0"/>
              <w:adjustRightInd w:val="0"/>
              <w:jc w:val="both"/>
              <w:rPr>
                <w:rFonts w:ascii="Arial" w:hAnsi="Arial" w:cs="Arial"/>
                <w:sz w:val="16"/>
                <w:szCs w:val="16"/>
                <w:lang w:eastAsia="x-none"/>
              </w:rPr>
            </w:pPr>
            <w:r w:rsidRPr="007E71C7">
              <w:rPr>
                <w:rFonts w:ascii="Arial" w:hAnsi="Arial" w:cs="Arial"/>
                <w:sz w:val="16"/>
                <w:szCs w:val="16"/>
                <w:lang w:eastAsia="x-none"/>
              </w:rPr>
              <w:t>Consequences if not approved</w:t>
            </w:r>
          </w:p>
          <w:p w14:paraId="675E7204" w14:textId="77777777" w:rsidR="007E71C7" w:rsidRPr="007E71C7" w:rsidRDefault="007E71C7" w:rsidP="00A67145">
            <w:pPr>
              <w:widowControl w:val="0"/>
              <w:numPr>
                <w:ilvl w:val="1"/>
                <w:numId w:val="182"/>
              </w:numPr>
              <w:autoSpaceDE w:val="0"/>
              <w:autoSpaceDN w:val="0"/>
              <w:adjustRightInd w:val="0"/>
              <w:jc w:val="both"/>
              <w:rPr>
                <w:rFonts w:ascii="Arial" w:hAnsi="Arial" w:cs="Arial"/>
                <w:sz w:val="16"/>
                <w:szCs w:val="16"/>
                <w:lang w:eastAsia="x-none"/>
              </w:rPr>
            </w:pPr>
            <w:r w:rsidRPr="007E71C7">
              <w:rPr>
                <w:rFonts w:ascii="Arial" w:hAnsi="Arial" w:cs="Arial"/>
                <w:sz w:val="16"/>
                <w:szCs w:val="16"/>
                <w:lang w:eastAsia="x-none"/>
              </w:rPr>
              <w:t>Inconsistent terminology between different specifications for description of CSI Part 2 omission</w:t>
            </w:r>
          </w:p>
          <w:p w14:paraId="2D48F246" w14:textId="77777777" w:rsidR="007E71C7" w:rsidRPr="007E71C7" w:rsidRDefault="007E71C7" w:rsidP="007E71C7">
            <w:pPr>
              <w:jc w:val="both"/>
              <w:rPr>
                <w:rFonts w:ascii="Arial" w:hAnsi="Arial" w:cs="Arial"/>
                <w:sz w:val="16"/>
                <w:szCs w:val="16"/>
                <w:lang w:eastAsia="x-none"/>
              </w:rPr>
            </w:pPr>
          </w:p>
          <w:p w14:paraId="628333B4" w14:textId="77777777" w:rsidR="007E71C7" w:rsidRPr="007E71C7" w:rsidRDefault="007E71C7" w:rsidP="007E71C7">
            <w:pPr>
              <w:jc w:val="both"/>
              <w:rPr>
                <w:rFonts w:ascii="Arial" w:hAnsi="Arial" w:cs="Arial"/>
                <w:color w:val="FF0000"/>
                <w:sz w:val="16"/>
                <w:szCs w:val="16"/>
                <w:lang w:eastAsia="x-none"/>
              </w:rPr>
            </w:pPr>
            <w:r w:rsidRPr="007E71C7">
              <w:rPr>
                <w:rFonts w:ascii="Arial" w:hAnsi="Arial" w:cs="Arial"/>
                <w:color w:val="FF0000"/>
                <w:sz w:val="16"/>
                <w:szCs w:val="16"/>
                <w:lang w:eastAsia="x-none"/>
              </w:rPr>
              <w:t>-------------------------------- Text Proposal for 38.214, Section 5.2.3 and 5.2.4 -----------------------------------</w:t>
            </w:r>
          </w:p>
          <w:p w14:paraId="29C4DED7" w14:textId="77777777" w:rsidR="007E71C7" w:rsidRPr="007E71C7" w:rsidRDefault="007E71C7" w:rsidP="007E71C7">
            <w:pPr>
              <w:jc w:val="both"/>
              <w:rPr>
                <w:rFonts w:ascii="Arial" w:hAnsi="Arial" w:cs="Arial"/>
                <w:b/>
                <w:bCs/>
                <w:sz w:val="16"/>
                <w:szCs w:val="16"/>
                <w:lang w:eastAsia="x-none"/>
              </w:rPr>
            </w:pPr>
            <w:r w:rsidRPr="007E71C7">
              <w:rPr>
                <w:rFonts w:ascii="Arial" w:hAnsi="Arial" w:cs="Arial"/>
                <w:b/>
                <w:bCs/>
                <w:sz w:val="16"/>
                <w:szCs w:val="16"/>
                <w:lang w:eastAsia="x-none"/>
              </w:rPr>
              <w:t>5.2.3</w:t>
            </w:r>
            <w:r w:rsidRPr="007E71C7">
              <w:rPr>
                <w:rFonts w:ascii="Arial" w:hAnsi="Arial" w:cs="Arial"/>
                <w:b/>
                <w:bCs/>
                <w:sz w:val="16"/>
                <w:szCs w:val="16"/>
                <w:lang w:eastAsia="x-none"/>
              </w:rPr>
              <w:tab/>
              <w:t>CSI reporting using PUSCH</w:t>
            </w:r>
          </w:p>
          <w:p w14:paraId="00A5B540" w14:textId="77777777" w:rsidR="007E71C7" w:rsidRPr="007E71C7" w:rsidRDefault="007E71C7" w:rsidP="007E71C7">
            <w:pPr>
              <w:jc w:val="center"/>
              <w:rPr>
                <w:rFonts w:ascii="Arial" w:hAnsi="Arial" w:cs="Arial"/>
                <w:color w:val="FF0000"/>
                <w:sz w:val="16"/>
                <w:szCs w:val="16"/>
                <w:lang w:eastAsia="x-none"/>
              </w:rPr>
            </w:pPr>
            <w:r w:rsidRPr="007E71C7">
              <w:rPr>
                <w:rFonts w:ascii="Arial" w:hAnsi="Arial" w:cs="Arial"/>
                <w:color w:val="FF0000"/>
                <w:sz w:val="16"/>
                <w:szCs w:val="16"/>
                <w:lang w:eastAsia="x-none"/>
              </w:rPr>
              <w:t>*** Unchanged text omitted ***</w:t>
            </w:r>
          </w:p>
          <w:p w14:paraId="7027153D" w14:textId="77777777" w:rsidR="007E71C7" w:rsidRPr="007E71C7" w:rsidRDefault="007E71C7" w:rsidP="007E71C7">
            <w:pPr>
              <w:rPr>
                <w:rFonts w:ascii="Arial" w:eastAsia="SimSun" w:hAnsi="Arial" w:cs="Arial"/>
                <w:color w:val="000000"/>
                <w:sz w:val="16"/>
                <w:szCs w:val="16"/>
              </w:rPr>
            </w:pPr>
            <w:r w:rsidRPr="007E71C7">
              <w:rPr>
                <w:rFonts w:ascii="Arial" w:eastAsia="SimSun" w:hAnsi="Arial" w:cs="Arial"/>
                <w:color w:val="000000"/>
                <w:sz w:val="16"/>
                <w:szCs w:val="16"/>
              </w:rPr>
              <w:t>For both Type I and Type II reports configured for PUCCH but transmitted on PUSCH, the determination of the payload for CSI part 1 and CSI part 2 follows that of PUCCH as described in Clause 5.2.4.</w:t>
            </w:r>
          </w:p>
          <w:p w14:paraId="2666BFD2" w14:textId="77777777" w:rsidR="007E71C7" w:rsidRPr="007E71C7" w:rsidRDefault="007E71C7" w:rsidP="007E71C7">
            <w:pPr>
              <w:rPr>
                <w:rFonts w:ascii="Arial" w:eastAsia="SimSun" w:hAnsi="Arial" w:cs="Arial"/>
                <w:color w:val="000000"/>
                <w:sz w:val="16"/>
                <w:szCs w:val="16"/>
              </w:rPr>
            </w:pPr>
            <w:r w:rsidRPr="007E71C7">
              <w:rPr>
                <w:rFonts w:ascii="Arial" w:eastAsia="SimSun" w:hAnsi="Arial" w:cs="Arial"/>
                <w:color w:val="000000"/>
                <w:sz w:val="16"/>
                <w:szCs w:val="16"/>
              </w:rPr>
              <w:t xml:space="preserve">When CSI reporting on PUSCH comprises two parts, the UE may omit a portion of the Part 2 CSI. Omission of Part 2 CSI is according to the priority order shown in Table 5.2.3-1, where </w:t>
            </w:r>
            <w:r w:rsidRPr="007E71C7">
              <w:rPr>
                <w:rFonts w:ascii="Arial" w:eastAsia="SimSun" w:hAnsi="Arial" w:cs="Arial"/>
                <w:color w:val="000000"/>
                <w:position w:val="-14"/>
                <w:sz w:val="16"/>
                <w:szCs w:val="16"/>
              </w:rPr>
              <w:object w:dxaOrig="428" w:dyaOrig="273" w14:anchorId="4C10BE4E">
                <v:shape id="_x0000_i1174" type="#_x0000_t75" style="width:21.75pt;height:13.5pt" o:ole="">
                  <v:imagedata r:id="rId1337" o:title=""/>
                </v:shape>
                <o:OLEObject Type="Embed" ProgID="Equation.DSMT4" ShapeID="_x0000_i1174" DrawAspect="Content" ObjectID="_1769863829" r:id="rId1338"/>
              </w:object>
            </w:r>
            <w:r w:rsidRPr="007E71C7">
              <w:rPr>
                <w:rFonts w:ascii="Arial" w:eastAsia="SimSun" w:hAnsi="Arial" w:cs="Arial"/>
                <w:color w:val="000000"/>
                <w:sz w:val="16"/>
                <w:szCs w:val="16"/>
              </w:rPr>
              <w:t xml:space="preserve"> is the number of CSI reports configured to be carried on the PUSCH. Priority 0 is the highest priority and priority </w:t>
            </w:r>
            <w:r w:rsidRPr="007E71C7">
              <w:rPr>
                <w:rFonts w:ascii="Arial" w:eastAsia="SimSun" w:hAnsi="Arial" w:cs="Arial"/>
                <w:color w:val="000000"/>
                <w:position w:val="-14"/>
                <w:sz w:val="16"/>
                <w:szCs w:val="16"/>
              </w:rPr>
              <w:object w:dxaOrig="565" w:dyaOrig="273" w14:anchorId="396185FC">
                <v:shape id="_x0000_i1175" type="#_x0000_t75" style="width:27.75pt;height:13.5pt" o:ole="">
                  <v:imagedata r:id="rId1339" o:title=""/>
                </v:shape>
                <o:OLEObject Type="Embed" ProgID="Equation.DSMT4" ShapeID="_x0000_i1175" DrawAspect="Content" ObjectID="_1769863830" r:id="rId1340"/>
              </w:object>
            </w:r>
            <w:r w:rsidRPr="007E71C7">
              <w:rPr>
                <w:rFonts w:ascii="Arial" w:eastAsia="SimSun" w:hAnsi="Arial" w:cs="Arial"/>
                <w:color w:val="000000"/>
                <w:sz w:val="16"/>
                <w:szCs w:val="16"/>
              </w:rPr>
              <w:t xml:space="preserve"> is the lowest priority and the CSI report </w:t>
            </w:r>
            <w:r w:rsidRPr="007E71C7">
              <w:rPr>
                <w:rFonts w:ascii="Arial" w:eastAsia="SimSun" w:hAnsi="Arial" w:cs="Arial"/>
                <w:i/>
                <w:color w:val="000000"/>
                <w:sz w:val="16"/>
                <w:szCs w:val="16"/>
              </w:rPr>
              <w:t>n</w:t>
            </w:r>
            <w:r w:rsidRPr="007E71C7">
              <w:rPr>
                <w:rFonts w:ascii="Arial" w:eastAsia="SimSun" w:hAnsi="Arial" w:cs="Arial"/>
                <w:color w:val="000000"/>
                <w:sz w:val="16"/>
                <w:szCs w:val="16"/>
              </w:rPr>
              <w:t xml:space="preserve"> corresponds to the CSI report with the </w:t>
            </w:r>
            <w:r w:rsidRPr="007E71C7">
              <w:rPr>
                <w:rFonts w:ascii="Arial" w:eastAsia="SimSun" w:hAnsi="Arial" w:cs="Arial"/>
                <w:i/>
                <w:color w:val="000000"/>
                <w:sz w:val="16"/>
                <w:szCs w:val="16"/>
              </w:rPr>
              <w:t>n</w:t>
            </w:r>
            <w:r w:rsidRPr="007E71C7">
              <w:rPr>
                <w:rFonts w:ascii="Arial" w:eastAsia="SimSun" w:hAnsi="Arial" w:cs="Arial"/>
                <w:color w:val="000000"/>
                <w:sz w:val="16"/>
                <w:szCs w:val="16"/>
              </w:rPr>
              <w:t>th smallest Pri</w:t>
            </w:r>
            <w:r w:rsidRPr="007E71C7">
              <w:rPr>
                <w:rFonts w:ascii="Arial" w:eastAsia="SimSun" w:hAnsi="Arial" w:cs="Arial"/>
                <w:color w:val="000000"/>
                <w:sz w:val="16"/>
                <w:szCs w:val="16"/>
                <w:vertAlign w:val="subscript"/>
              </w:rPr>
              <w:t>i,CSI</w:t>
            </w:r>
            <w:r w:rsidRPr="007E71C7">
              <w:rPr>
                <w:rFonts w:ascii="Arial" w:eastAsia="SimSun" w:hAnsi="Arial" w:cs="Arial"/>
                <w:color w:val="000000"/>
                <w:sz w:val="16"/>
                <w:szCs w:val="16"/>
              </w:rPr>
              <w:t>(</w:t>
            </w:r>
            <w:r w:rsidRPr="007E71C7">
              <w:rPr>
                <w:rFonts w:ascii="Arial" w:eastAsia="SimSun" w:hAnsi="Arial" w:cs="Arial"/>
                <w:i/>
                <w:color w:val="000000"/>
                <w:sz w:val="16"/>
                <w:szCs w:val="16"/>
              </w:rPr>
              <w:t>y,k,c,s</w:t>
            </w:r>
            <w:r w:rsidRPr="007E71C7">
              <w:rPr>
                <w:rFonts w:ascii="Arial" w:eastAsia="SimSun" w:hAnsi="Arial" w:cs="Arial"/>
                <w:color w:val="000000"/>
                <w:sz w:val="16"/>
                <w:szCs w:val="16"/>
              </w:rPr>
              <w:t xml:space="preserve">) value among the </w:t>
            </w:r>
            <w:r w:rsidRPr="007E71C7">
              <w:rPr>
                <w:rFonts w:ascii="Arial" w:eastAsia="SimSun" w:hAnsi="Arial" w:cs="Arial"/>
                <w:color w:val="000000"/>
                <w:position w:val="-14"/>
                <w:sz w:val="16"/>
                <w:szCs w:val="16"/>
              </w:rPr>
              <w:object w:dxaOrig="428" w:dyaOrig="273" w14:anchorId="6D5DF19B">
                <v:shape id="_x0000_i1176" type="#_x0000_t75" style="width:21.75pt;height:13.5pt" o:ole="">
                  <v:imagedata r:id="rId1337" o:title=""/>
                </v:shape>
                <o:OLEObject Type="Embed" ProgID="Equation.DSMT4" ShapeID="_x0000_i1176" DrawAspect="Content" ObjectID="_1769863831" r:id="rId1341"/>
              </w:object>
            </w:r>
            <w:r w:rsidRPr="007E71C7">
              <w:rPr>
                <w:rFonts w:ascii="Arial" w:eastAsia="SimSun" w:hAnsi="Arial" w:cs="Arial"/>
                <w:color w:val="000000"/>
                <w:sz w:val="16"/>
                <w:szCs w:val="16"/>
              </w:rPr>
              <w:t xml:space="preserve"> CSI reports as defined in Clause 5.2.5. The subbands for a given CSI report </w:t>
            </w:r>
            <w:r w:rsidRPr="007E71C7">
              <w:rPr>
                <w:rFonts w:ascii="Arial" w:eastAsia="SimSun" w:hAnsi="Arial" w:cs="Arial"/>
                <w:i/>
                <w:color w:val="000000"/>
                <w:sz w:val="16"/>
                <w:szCs w:val="16"/>
              </w:rPr>
              <w:t>n</w:t>
            </w:r>
            <w:r w:rsidRPr="007E71C7">
              <w:rPr>
                <w:rFonts w:ascii="Arial" w:eastAsia="SimSun" w:hAnsi="Arial" w:cs="Arial"/>
                <w:color w:val="000000"/>
                <w:sz w:val="16"/>
                <w:szCs w:val="16"/>
              </w:rPr>
              <w:t xml:space="preserve"> indicated by the higher layer parameter </w:t>
            </w:r>
            <w:r w:rsidRPr="007E71C7">
              <w:rPr>
                <w:rFonts w:ascii="Arial" w:eastAsia="SimSun" w:hAnsi="Arial" w:cs="Arial"/>
                <w:i/>
                <w:color w:val="000000"/>
                <w:sz w:val="16"/>
                <w:szCs w:val="16"/>
              </w:rPr>
              <w:t>csi-ReportingBand</w:t>
            </w:r>
            <w:r w:rsidRPr="007E71C7">
              <w:rPr>
                <w:rFonts w:ascii="Arial" w:eastAsia="SimSun" w:hAnsi="Arial" w:cs="Arial"/>
                <w:color w:val="000000"/>
                <w:sz w:val="16"/>
                <w:szCs w:val="16"/>
              </w:rPr>
              <w:t xml:space="preserve"> with value '1' are numbered continuously in increasing order with the lowest subband of </w:t>
            </w:r>
            <w:r w:rsidRPr="007E71C7">
              <w:rPr>
                <w:rFonts w:ascii="Arial" w:eastAsia="SimSun" w:hAnsi="Arial" w:cs="Arial"/>
                <w:i/>
                <w:color w:val="000000"/>
                <w:sz w:val="16"/>
                <w:szCs w:val="16"/>
              </w:rPr>
              <w:t>csi-ReportingBand</w:t>
            </w:r>
            <w:r w:rsidRPr="007E71C7">
              <w:rPr>
                <w:rFonts w:ascii="Arial" w:eastAsia="SimSun" w:hAnsi="Arial" w:cs="Arial"/>
                <w:color w:val="000000"/>
                <w:sz w:val="16"/>
                <w:szCs w:val="16"/>
              </w:rPr>
              <w:t xml:space="preserve"> with value set to '1' as subband 0. When omitting Part 2 CSI information for a particular priority level, the UE shall omit all of the information at that priority level, except when the corresponding CSI report contains multiple </w:t>
            </w:r>
            <w:r w:rsidRPr="007E71C7">
              <w:rPr>
                <w:rFonts w:ascii="Arial" w:eastAsia="SimSun" w:hAnsi="Arial" w:cs="Arial"/>
                <w:strike/>
                <w:color w:val="FF0000"/>
                <w:sz w:val="16"/>
                <w:szCs w:val="16"/>
              </w:rPr>
              <w:t>Part 2</w:t>
            </w:r>
            <w:r w:rsidRPr="007E71C7">
              <w:rPr>
                <w:rFonts w:ascii="Arial" w:eastAsia="SimSun" w:hAnsi="Arial" w:cs="Arial"/>
                <w:color w:val="FF0000"/>
                <w:sz w:val="16"/>
                <w:szCs w:val="16"/>
              </w:rPr>
              <w:t xml:space="preserve"> </w:t>
            </w:r>
            <w:r w:rsidRPr="007E71C7">
              <w:rPr>
                <w:rFonts w:ascii="Arial" w:eastAsia="SimSun" w:hAnsi="Arial" w:cs="Arial"/>
                <w:color w:val="000000"/>
                <w:sz w:val="16"/>
                <w:szCs w:val="16"/>
              </w:rPr>
              <w:t>CSI</w:t>
            </w:r>
            <w:r w:rsidRPr="007E71C7">
              <w:rPr>
                <w:rFonts w:ascii="Arial" w:eastAsia="SimSun" w:hAnsi="Arial" w:cs="Arial"/>
                <w:strike/>
                <w:color w:val="FF0000"/>
                <w:sz w:val="16"/>
                <w:szCs w:val="16"/>
              </w:rPr>
              <w:t>s</w:t>
            </w:r>
            <w:r w:rsidRPr="007E71C7">
              <w:rPr>
                <w:rFonts w:ascii="Arial" w:eastAsia="SimSun" w:hAnsi="Arial" w:cs="Arial"/>
                <w:color w:val="000000"/>
                <w:sz w:val="16"/>
                <w:szCs w:val="16"/>
              </w:rPr>
              <w:t xml:space="preserve"> </w:t>
            </w:r>
            <w:r w:rsidRPr="007E71C7">
              <w:rPr>
                <w:rFonts w:ascii="Arial" w:eastAsia="SimSun" w:hAnsi="Arial" w:cs="Arial"/>
                <w:color w:val="FF0000"/>
                <w:sz w:val="16"/>
                <w:szCs w:val="16"/>
              </w:rPr>
              <w:t xml:space="preserve">sub-reports with Part 2 </w:t>
            </w:r>
            <w:r w:rsidRPr="007E71C7">
              <w:rPr>
                <w:rFonts w:ascii="Arial" w:eastAsia="SimSun" w:hAnsi="Arial" w:cs="Arial"/>
                <w:color w:val="000000"/>
                <w:sz w:val="16"/>
                <w:szCs w:val="16"/>
              </w:rPr>
              <w:t xml:space="preserve">each </w:t>
            </w:r>
            <w:r w:rsidRPr="007E71C7">
              <w:rPr>
                <w:rFonts w:ascii="Arial" w:eastAsia="SimSun" w:hAnsi="Arial" w:cs="Arial"/>
                <w:strike/>
                <w:color w:val="FF0000"/>
                <w:sz w:val="16"/>
                <w:szCs w:val="16"/>
              </w:rPr>
              <w:t>of which</w:t>
            </w:r>
            <w:r w:rsidRPr="007E71C7">
              <w:rPr>
                <w:rFonts w:ascii="Arial" w:eastAsia="SimSun" w:hAnsi="Arial" w:cs="Arial"/>
                <w:color w:val="FF0000"/>
                <w:sz w:val="16"/>
                <w:szCs w:val="16"/>
              </w:rPr>
              <w:t xml:space="preserve"> </w:t>
            </w:r>
            <w:r w:rsidRPr="007E71C7">
              <w:rPr>
                <w:rFonts w:ascii="Arial" w:eastAsia="SimSun" w:hAnsi="Arial" w:cs="Arial"/>
                <w:color w:val="000000"/>
                <w:sz w:val="16"/>
                <w:szCs w:val="16"/>
              </w:rPr>
              <w:t xml:space="preserve">corresponding to a sub-configuration from a list of sub-configurations contained in the </w:t>
            </w:r>
            <w:r w:rsidRPr="007E71C7">
              <w:rPr>
                <w:rFonts w:ascii="Arial" w:eastAsia="SimSun" w:hAnsi="Arial" w:cs="Arial"/>
                <w:i/>
                <w:iCs/>
                <w:color w:val="000000"/>
                <w:sz w:val="16"/>
                <w:szCs w:val="16"/>
              </w:rPr>
              <w:t>CSI-ReportConfig</w:t>
            </w:r>
            <w:r w:rsidRPr="007E71C7">
              <w:rPr>
                <w:rFonts w:ascii="Arial" w:eastAsia="SimSun" w:hAnsi="Arial" w:cs="Arial"/>
                <w:color w:val="000000"/>
                <w:sz w:val="16"/>
                <w:szCs w:val="16"/>
              </w:rPr>
              <w:t xml:space="preserve"> as described in Clause 5.2.1.1. </w:t>
            </w:r>
          </w:p>
          <w:p w14:paraId="4ED9A7A4" w14:textId="77777777" w:rsidR="007E71C7" w:rsidRPr="007E71C7" w:rsidRDefault="007E71C7" w:rsidP="007E71C7">
            <w:pPr>
              <w:jc w:val="center"/>
              <w:rPr>
                <w:rFonts w:ascii="Arial" w:hAnsi="Arial" w:cs="Arial"/>
                <w:color w:val="FF0000"/>
                <w:sz w:val="16"/>
                <w:szCs w:val="16"/>
                <w:lang w:eastAsia="x-none"/>
              </w:rPr>
            </w:pPr>
            <w:r w:rsidRPr="007E71C7">
              <w:rPr>
                <w:rFonts w:ascii="Arial" w:hAnsi="Arial" w:cs="Arial"/>
                <w:color w:val="FF0000"/>
                <w:sz w:val="16"/>
                <w:szCs w:val="16"/>
                <w:lang w:eastAsia="x-none"/>
              </w:rPr>
              <w:t>*** Unchanged text omitted ***</w:t>
            </w:r>
          </w:p>
          <w:p w14:paraId="0F011BF1" w14:textId="3C511325" w:rsidR="007E71C7" w:rsidRPr="007E71C7" w:rsidRDefault="007E71C7" w:rsidP="007E71C7">
            <w:pPr>
              <w:ind w:left="568" w:hanging="284"/>
              <w:rPr>
                <w:rFonts w:ascii="Arial" w:eastAsia="SimSun" w:hAnsi="Arial" w:cs="Arial"/>
                <w:sz w:val="16"/>
                <w:szCs w:val="16"/>
              </w:rPr>
            </w:pPr>
            <w:r w:rsidRPr="007E71C7">
              <w:rPr>
                <w:rFonts w:ascii="Arial" w:eastAsia="SimSun" w:hAnsi="Arial" w:cs="Arial"/>
                <w:sz w:val="16"/>
                <w:szCs w:val="16"/>
              </w:rPr>
              <w:t>-</w:t>
            </w:r>
            <w:r w:rsidRPr="007E71C7">
              <w:rPr>
                <w:rFonts w:ascii="Arial" w:eastAsia="SimSun" w:hAnsi="Arial" w:cs="Arial"/>
                <w:sz w:val="16"/>
                <w:szCs w:val="16"/>
              </w:rPr>
              <w:tab/>
              <w:t xml:space="preserve">For a Reporting Setting for which the </w:t>
            </w:r>
            <w:r w:rsidRPr="007E71C7">
              <w:rPr>
                <w:rFonts w:ascii="Arial" w:eastAsia="SimSun" w:hAnsi="Arial" w:cs="Arial"/>
                <w:i/>
                <w:iCs/>
                <w:sz w:val="16"/>
                <w:szCs w:val="16"/>
              </w:rPr>
              <w:t>CSI-ReportConfig</w:t>
            </w:r>
            <w:r w:rsidRPr="007E71C7">
              <w:rPr>
                <w:rFonts w:ascii="Arial" w:eastAsia="SimSun" w:hAnsi="Arial" w:cs="Arial"/>
                <w:sz w:val="16"/>
                <w:szCs w:val="16"/>
              </w:rPr>
              <w:t xml:space="preserve"> contains a list of sub-configurations provided by the higher layer parameter [</w:t>
            </w:r>
            <w:r w:rsidRPr="007E71C7">
              <w:rPr>
                <w:rFonts w:ascii="Arial" w:eastAsia="SimSun" w:hAnsi="Arial" w:cs="Arial"/>
                <w:i/>
                <w:iCs/>
                <w:sz w:val="16"/>
                <w:szCs w:val="16"/>
              </w:rPr>
              <w:t>csi-ReportSubConfigList</w:t>
            </w:r>
            <w:r w:rsidRPr="007E71C7">
              <w:rPr>
                <w:rFonts w:ascii="Arial" w:eastAsia="SimSun" w:hAnsi="Arial" w:cs="Arial"/>
                <w:sz w:val="16"/>
                <w:szCs w:val="16"/>
              </w:rPr>
              <w:t xml:space="preserve">], for a corresponding CSI report </w:t>
            </w:r>
            <m:oMath>
              <m:r>
                <w:rPr>
                  <w:rFonts w:ascii="Cambria Math" w:eastAsia="SimSun" w:hAnsi="Cambria Math" w:cs="Arial"/>
                  <w:sz w:val="16"/>
                  <w:szCs w:val="16"/>
                </w:rPr>
                <m:t>n</m:t>
              </m:r>
            </m:oMath>
            <w:r w:rsidRPr="007E71C7">
              <w:rPr>
                <w:rFonts w:ascii="Arial" w:eastAsia="SimSun" w:hAnsi="Arial" w:cs="Arial"/>
                <w:sz w:val="16"/>
                <w:szCs w:val="16"/>
              </w:rPr>
              <w:t xml:space="preserve"> which contains one or more CSI</w:t>
            </w:r>
            <w:r w:rsidRPr="007E71C7">
              <w:rPr>
                <w:rFonts w:ascii="Arial" w:eastAsia="SimSun" w:hAnsi="Arial" w:cs="Arial"/>
                <w:strike/>
                <w:color w:val="FF0000"/>
                <w:sz w:val="16"/>
                <w:szCs w:val="16"/>
              </w:rPr>
              <w:t>s</w:t>
            </w:r>
            <w:r w:rsidRPr="007E71C7">
              <w:rPr>
                <w:rFonts w:ascii="Arial" w:eastAsia="SimSun" w:hAnsi="Arial" w:cs="Arial"/>
                <w:sz w:val="16"/>
                <w:szCs w:val="16"/>
              </w:rPr>
              <w:t xml:space="preserve"> </w:t>
            </w:r>
            <w:r w:rsidRPr="007E71C7">
              <w:rPr>
                <w:rFonts w:ascii="Arial" w:eastAsia="SimSun" w:hAnsi="Arial" w:cs="Arial"/>
                <w:color w:val="FF0000"/>
                <w:sz w:val="16"/>
                <w:szCs w:val="16"/>
              </w:rPr>
              <w:t>sub-reports</w:t>
            </w:r>
            <w:r w:rsidRPr="007E71C7">
              <w:rPr>
                <w:rFonts w:ascii="Arial" w:eastAsia="SimSun" w:hAnsi="Arial" w:cs="Arial"/>
                <w:sz w:val="16"/>
                <w:szCs w:val="16"/>
              </w:rPr>
              <w:t>, omission of Part 2 CSI is done at a sub-configuration level within the same priority level defined by Table 5.2.3-1 where a sub-configuration with an index, provided by [</w:t>
            </w:r>
            <w:r w:rsidRPr="007E71C7">
              <w:rPr>
                <w:rFonts w:ascii="Arial" w:eastAsia="SimSun" w:hAnsi="Arial" w:cs="Arial"/>
                <w:i/>
                <w:iCs/>
                <w:sz w:val="16"/>
                <w:szCs w:val="16"/>
              </w:rPr>
              <w:t>csi-ReportSubConfigID</w:t>
            </w:r>
            <w:r w:rsidRPr="007E71C7">
              <w:rPr>
                <w:rFonts w:ascii="Arial" w:eastAsia="SimSun" w:hAnsi="Arial" w:cs="Arial"/>
                <w:sz w:val="16"/>
                <w:szCs w:val="16"/>
              </w:rPr>
              <w:t>], with lower value has higher priority.</w:t>
            </w:r>
          </w:p>
          <w:p w14:paraId="3899AC77" w14:textId="77777777" w:rsidR="007E71C7" w:rsidRPr="007E71C7" w:rsidRDefault="007E71C7" w:rsidP="007E71C7">
            <w:pPr>
              <w:jc w:val="center"/>
              <w:rPr>
                <w:rFonts w:ascii="Arial" w:hAnsi="Arial" w:cs="Arial"/>
                <w:color w:val="FF0000"/>
                <w:sz w:val="16"/>
                <w:szCs w:val="16"/>
                <w:lang w:eastAsia="x-none"/>
              </w:rPr>
            </w:pPr>
            <w:r w:rsidRPr="007E71C7">
              <w:rPr>
                <w:rFonts w:ascii="Arial" w:hAnsi="Arial" w:cs="Arial"/>
                <w:color w:val="FF0000"/>
                <w:sz w:val="16"/>
                <w:szCs w:val="16"/>
                <w:lang w:eastAsia="x-none"/>
              </w:rPr>
              <w:t>*** Unchanged text omitted ***</w:t>
            </w:r>
          </w:p>
          <w:p w14:paraId="7A7A28BE" w14:textId="77777777" w:rsidR="007E71C7" w:rsidRPr="007E71C7" w:rsidRDefault="007E71C7" w:rsidP="007E71C7">
            <w:pPr>
              <w:jc w:val="both"/>
              <w:rPr>
                <w:rFonts w:ascii="Arial" w:hAnsi="Arial" w:cs="Arial"/>
                <w:b/>
                <w:bCs/>
                <w:sz w:val="16"/>
                <w:szCs w:val="16"/>
                <w:lang w:eastAsia="x-none"/>
              </w:rPr>
            </w:pPr>
            <w:r w:rsidRPr="007E71C7">
              <w:rPr>
                <w:rFonts w:ascii="Arial" w:hAnsi="Arial" w:cs="Arial"/>
                <w:b/>
                <w:bCs/>
                <w:sz w:val="16"/>
                <w:szCs w:val="16"/>
                <w:lang w:eastAsia="x-none"/>
              </w:rPr>
              <w:t>5.2.4</w:t>
            </w:r>
            <w:r w:rsidRPr="007E71C7">
              <w:rPr>
                <w:rFonts w:ascii="Arial" w:hAnsi="Arial" w:cs="Arial"/>
                <w:b/>
                <w:bCs/>
                <w:sz w:val="16"/>
                <w:szCs w:val="16"/>
                <w:lang w:eastAsia="x-none"/>
              </w:rPr>
              <w:tab/>
              <w:t>CSI reporting using PUCCH</w:t>
            </w:r>
          </w:p>
          <w:p w14:paraId="3B7A0738" w14:textId="77777777" w:rsidR="007E71C7" w:rsidRPr="007E71C7" w:rsidRDefault="007E71C7" w:rsidP="007E71C7">
            <w:pPr>
              <w:jc w:val="center"/>
              <w:rPr>
                <w:rFonts w:ascii="Arial" w:hAnsi="Arial" w:cs="Arial"/>
                <w:color w:val="FF0000"/>
                <w:sz w:val="16"/>
                <w:szCs w:val="16"/>
                <w:lang w:eastAsia="x-none"/>
              </w:rPr>
            </w:pPr>
            <w:r w:rsidRPr="007E71C7">
              <w:rPr>
                <w:rFonts w:ascii="Arial" w:hAnsi="Arial" w:cs="Arial"/>
                <w:color w:val="FF0000"/>
                <w:sz w:val="16"/>
                <w:szCs w:val="16"/>
                <w:lang w:eastAsia="x-none"/>
              </w:rPr>
              <w:t>*** Unchanged text omitted ***</w:t>
            </w:r>
          </w:p>
          <w:p w14:paraId="5373D578" w14:textId="77777777" w:rsidR="007E71C7" w:rsidRPr="007E71C7" w:rsidRDefault="007E71C7" w:rsidP="007E71C7">
            <w:pPr>
              <w:rPr>
                <w:rFonts w:ascii="Arial" w:eastAsia="SimSun" w:hAnsi="Arial" w:cs="Arial"/>
                <w:sz w:val="16"/>
                <w:szCs w:val="16"/>
              </w:rPr>
            </w:pPr>
            <w:r w:rsidRPr="007E71C7">
              <w:rPr>
                <w:rFonts w:ascii="Arial" w:eastAsia="SimSun" w:hAnsi="Arial" w:cs="Arial"/>
                <w:sz w:val="16"/>
                <w:szCs w:val="16"/>
              </w:rPr>
              <w:t xml:space="preserve">If any of the CSI reports consist of two parts, the UE may omit a portion of Part 2 CSI. Omission of Part 2 CSI is according to the priority order shown in Table 5.2.3-1. For a Reporting Setting for which the </w:t>
            </w:r>
            <w:r w:rsidRPr="007E71C7">
              <w:rPr>
                <w:rFonts w:ascii="Arial" w:eastAsia="SimSun" w:hAnsi="Arial" w:cs="Arial"/>
                <w:i/>
                <w:iCs/>
                <w:sz w:val="16"/>
                <w:szCs w:val="16"/>
              </w:rPr>
              <w:t>CSI-ReportConfig</w:t>
            </w:r>
            <w:r w:rsidRPr="007E71C7">
              <w:rPr>
                <w:rFonts w:ascii="Arial" w:eastAsia="SimSun" w:hAnsi="Arial" w:cs="Arial"/>
                <w:sz w:val="16"/>
                <w:szCs w:val="16"/>
              </w:rPr>
              <w:t xml:space="preserve"> contains a list of sub-configurations provided by the higher layer parameter [</w:t>
            </w:r>
            <w:r w:rsidRPr="007E71C7">
              <w:rPr>
                <w:rFonts w:ascii="Arial" w:eastAsia="SimSun" w:hAnsi="Arial" w:cs="Arial"/>
                <w:i/>
                <w:iCs/>
                <w:sz w:val="16"/>
                <w:szCs w:val="16"/>
              </w:rPr>
              <w:t>csi-ReportSubConfigList</w:t>
            </w:r>
            <w:r w:rsidRPr="007E71C7">
              <w:rPr>
                <w:rFonts w:ascii="Arial" w:eastAsia="SimSun" w:hAnsi="Arial" w:cs="Arial"/>
                <w:sz w:val="16"/>
                <w:szCs w:val="16"/>
              </w:rPr>
              <w:t>], for a given CSI report which contains one or more CSI</w:t>
            </w:r>
            <w:r w:rsidRPr="007E71C7">
              <w:rPr>
                <w:rFonts w:ascii="Arial" w:eastAsia="SimSun" w:hAnsi="Arial" w:cs="Arial"/>
                <w:strike/>
                <w:color w:val="FF0000"/>
                <w:sz w:val="16"/>
                <w:szCs w:val="16"/>
              </w:rPr>
              <w:t>s</w:t>
            </w:r>
            <w:r w:rsidRPr="007E71C7">
              <w:rPr>
                <w:rFonts w:ascii="Arial" w:eastAsia="SimSun" w:hAnsi="Arial" w:cs="Arial"/>
                <w:sz w:val="16"/>
                <w:szCs w:val="16"/>
              </w:rPr>
              <w:t xml:space="preserve"> </w:t>
            </w:r>
            <w:r w:rsidRPr="007E71C7">
              <w:rPr>
                <w:rFonts w:ascii="Arial" w:eastAsia="SimSun" w:hAnsi="Arial" w:cs="Arial"/>
                <w:color w:val="FF0000"/>
                <w:sz w:val="16"/>
                <w:szCs w:val="16"/>
              </w:rPr>
              <w:t>sub-reports</w:t>
            </w:r>
            <w:r w:rsidRPr="007E71C7">
              <w:rPr>
                <w:rFonts w:ascii="Arial" w:eastAsia="SimSun" w:hAnsi="Arial" w:cs="Arial"/>
                <w:sz w:val="16"/>
                <w:szCs w:val="16"/>
              </w:rPr>
              <w:t xml:space="preserve">, omission of Part 2 CSI is defined in Clause 5.2.3. Part 2 CSI is omitted beginning with the lowest priority level until the Part 2 CSI code rate is less or equal to the one configured by higher layer parameter </w:t>
            </w:r>
            <w:r w:rsidRPr="007E71C7">
              <w:rPr>
                <w:rFonts w:ascii="Arial" w:eastAsia="SimSun" w:hAnsi="Arial" w:cs="Arial"/>
                <w:i/>
                <w:sz w:val="16"/>
                <w:szCs w:val="16"/>
              </w:rPr>
              <w:t>maxCodeRate</w:t>
            </w:r>
            <w:r w:rsidRPr="007E71C7">
              <w:rPr>
                <w:rFonts w:ascii="Arial" w:eastAsia="SimSun" w:hAnsi="Arial" w:cs="Arial"/>
                <w:sz w:val="16"/>
                <w:szCs w:val="16"/>
              </w:rPr>
              <w:t>.</w:t>
            </w:r>
          </w:p>
          <w:p w14:paraId="1DD14C8A" w14:textId="77777777" w:rsidR="007E71C7" w:rsidRPr="007E71C7" w:rsidRDefault="007E71C7" w:rsidP="007E71C7">
            <w:pPr>
              <w:jc w:val="center"/>
              <w:rPr>
                <w:rFonts w:ascii="Arial" w:hAnsi="Arial" w:cs="Arial"/>
                <w:color w:val="FF0000"/>
                <w:sz w:val="16"/>
                <w:szCs w:val="16"/>
                <w:lang w:eastAsia="x-none"/>
              </w:rPr>
            </w:pPr>
            <w:r w:rsidRPr="007E71C7">
              <w:rPr>
                <w:rFonts w:ascii="Arial" w:hAnsi="Arial" w:cs="Arial"/>
                <w:color w:val="FF0000"/>
                <w:sz w:val="16"/>
                <w:szCs w:val="16"/>
                <w:lang w:eastAsia="x-none"/>
              </w:rPr>
              <w:t>*** Unchanged text omitted ***</w:t>
            </w:r>
          </w:p>
          <w:p w14:paraId="01720BD9" w14:textId="77777777" w:rsidR="007E71C7" w:rsidRPr="007E71C7" w:rsidRDefault="007E71C7" w:rsidP="007E71C7">
            <w:pPr>
              <w:jc w:val="both"/>
              <w:rPr>
                <w:rFonts w:ascii="Arial" w:hAnsi="Arial" w:cs="Arial"/>
                <w:color w:val="FF0000"/>
                <w:sz w:val="16"/>
                <w:szCs w:val="16"/>
                <w:lang w:eastAsia="x-none"/>
              </w:rPr>
            </w:pPr>
            <w:r w:rsidRPr="007E71C7">
              <w:rPr>
                <w:rFonts w:ascii="Arial" w:hAnsi="Arial" w:cs="Arial"/>
                <w:color w:val="FF0000"/>
                <w:sz w:val="16"/>
                <w:szCs w:val="16"/>
                <w:lang w:eastAsia="x-none"/>
              </w:rPr>
              <w:t>----------------------------------------------------------- End Text Proposal ---------------------------------------------------------</w:t>
            </w:r>
          </w:p>
        </w:tc>
      </w:tr>
    </w:tbl>
    <w:p w14:paraId="6CACE484" w14:textId="77777777" w:rsidR="00B4478D" w:rsidRDefault="00B4478D" w:rsidP="00B4478D">
      <w:pPr>
        <w:rPr>
          <w:highlight w:val="green"/>
          <w:lang w:eastAsia="zh-CN"/>
        </w:rPr>
      </w:pPr>
    </w:p>
    <w:p w14:paraId="0B870E06" w14:textId="56C01E07" w:rsidR="00B4478D" w:rsidRDefault="00B4478D" w:rsidP="00B4478D">
      <w:pPr>
        <w:rPr>
          <w:highlight w:val="green"/>
          <w:lang w:eastAsia="zh-CN"/>
        </w:rPr>
      </w:pPr>
      <w:r>
        <w:rPr>
          <w:highlight w:val="green"/>
          <w:lang w:eastAsia="zh-CN"/>
        </w:rPr>
        <w:t>Agreement</w:t>
      </w:r>
    </w:p>
    <w:p w14:paraId="5731B3A0" w14:textId="77777777" w:rsidR="00B4478D" w:rsidRPr="00981F88" w:rsidRDefault="00B4478D" w:rsidP="00B4478D">
      <w:r w:rsidRPr="00981F88">
        <w:t>For a CSI report configuration containing a list of sub-configurations, after the CSI report (re)configuration, serving cell activation, BWP change, or activation of SP-CSI, the UE reports a CSI report including one or more sub-reports only after receiving at least one CSI-RS transmission occasion for channel measurement and CSI-RS and/or CSI-IM occasion for interference measurement</w:t>
      </w:r>
      <w:r w:rsidRPr="00981F88">
        <w:rPr>
          <w:lang w:eastAsia="zh-CN"/>
        </w:rPr>
        <w:t>, per sub-configuration,</w:t>
      </w:r>
      <w:r w:rsidRPr="00981F88">
        <w:t xml:space="preserve"> no later than CSI reference resource and drops the report otherwise.</w:t>
      </w:r>
    </w:p>
    <w:p w14:paraId="28C4EADA" w14:textId="77777777" w:rsidR="00B4478D" w:rsidRPr="00981F88" w:rsidRDefault="00B4478D" w:rsidP="00B4478D">
      <w:pPr>
        <w:rPr>
          <w:lang w:eastAsia="zh-CN"/>
        </w:rPr>
      </w:pPr>
      <w:r w:rsidRPr="00981F88">
        <w:rPr>
          <w:lang w:eastAsia="zh-CN"/>
        </w:rPr>
        <w:t>For the above “per sub-configuration”, it is a sub-configuration that is</w:t>
      </w:r>
    </w:p>
    <w:p w14:paraId="25726BFD" w14:textId="77777777" w:rsidR="00B4478D" w:rsidRPr="00981F88" w:rsidRDefault="00B4478D" w:rsidP="00A67145">
      <w:pPr>
        <w:pStyle w:val="ListParagraph"/>
        <w:numPr>
          <w:ilvl w:val="0"/>
          <w:numId w:val="222"/>
        </w:numPr>
        <w:rPr>
          <w:lang w:eastAsia="zh-CN"/>
        </w:rPr>
      </w:pPr>
      <w:r w:rsidRPr="00981F88">
        <w:rPr>
          <w:lang w:eastAsia="zh-CN"/>
        </w:rPr>
        <w:t>Alt 1: the activated/triggered one for SP-CSI reporting</w:t>
      </w:r>
    </w:p>
    <w:p w14:paraId="022F4D1F" w14:textId="77777777" w:rsidR="00B4478D" w:rsidRDefault="00B4478D" w:rsidP="00314D6C">
      <w:pPr>
        <w:rPr>
          <w:lang w:eastAsia="x-none"/>
        </w:rPr>
      </w:pPr>
    </w:p>
    <w:p w14:paraId="4AFE830F" w14:textId="151FEA82" w:rsidR="00981F88" w:rsidRPr="00981F88" w:rsidRDefault="005A18DC" w:rsidP="00981F88">
      <w:pPr>
        <w:jc w:val="both"/>
        <w:rPr>
          <w:rFonts w:eastAsia="MS Mincho"/>
          <w:b/>
          <w:color w:val="000000"/>
          <w:szCs w:val="22"/>
          <w:lang w:eastAsia="ja-JP"/>
        </w:rPr>
      </w:pPr>
      <w:hyperlink r:id="rId1342" w:history="1">
        <w:r w:rsidR="00AF7253">
          <w:rPr>
            <w:rStyle w:val="Hyperlink"/>
            <w:rFonts w:eastAsia="MS Mincho"/>
            <w:b/>
            <w:szCs w:val="22"/>
            <w:lang w:eastAsia="ja-JP"/>
          </w:rPr>
          <w:t>R1-2312638</w:t>
        </w:r>
      </w:hyperlink>
      <w:r w:rsidR="00981F88" w:rsidRPr="00981F88">
        <w:rPr>
          <w:rFonts w:eastAsia="MS Mincho"/>
          <w:b/>
          <w:color w:val="000000"/>
          <w:szCs w:val="22"/>
          <w:lang w:eastAsia="ja-JP"/>
        </w:rPr>
        <w:tab/>
        <w:t>FL summary#5 for SD and PD adaptation for R18 NES</w:t>
      </w:r>
      <w:r w:rsidR="00981F88" w:rsidRPr="00981F88">
        <w:rPr>
          <w:rFonts w:eastAsia="MS Mincho"/>
          <w:b/>
          <w:color w:val="000000"/>
          <w:szCs w:val="22"/>
          <w:lang w:eastAsia="ja-JP"/>
        </w:rPr>
        <w:tab/>
        <w:t>Moderator (Huawei)</w:t>
      </w:r>
    </w:p>
    <w:p w14:paraId="20F6B1CA" w14:textId="3F2690FB" w:rsidR="00981F88" w:rsidRPr="00981F88" w:rsidRDefault="00981F88" w:rsidP="00981F88">
      <w:pPr>
        <w:jc w:val="both"/>
        <w:rPr>
          <w:rFonts w:eastAsia="MS Mincho"/>
          <w:bCs/>
          <w:color w:val="000000"/>
          <w:szCs w:val="22"/>
          <w:lang w:eastAsia="ja-JP"/>
        </w:rPr>
      </w:pPr>
      <w:r>
        <w:rPr>
          <w:rFonts w:eastAsia="MS Mincho"/>
          <w:bCs/>
          <w:color w:val="000000"/>
          <w:szCs w:val="22"/>
          <w:lang w:eastAsia="ja-JP"/>
        </w:rPr>
        <w:t>From Friday session</w:t>
      </w:r>
    </w:p>
    <w:p w14:paraId="330F55F8" w14:textId="77777777" w:rsidR="00981F88" w:rsidRPr="00981F88" w:rsidRDefault="00981F88" w:rsidP="00981F88">
      <w:pPr>
        <w:jc w:val="both"/>
        <w:rPr>
          <w:rFonts w:eastAsia="MS Mincho"/>
          <w:bCs/>
          <w:color w:val="000000"/>
          <w:szCs w:val="22"/>
          <w:highlight w:val="green"/>
          <w:lang w:eastAsia="ja-JP"/>
        </w:rPr>
      </w:pPr>
      <w:r w:rsidRPr="00981F88">
        <w:rPr>
          <w:rFonts w:eastAsia="MS Mincho"/>
          <w:bCs/>
          <w:color w:val="000000"/>
          <w:szCs w:val="22"/>
          <w:highlight w:val="green"/>
          <w:lang w:eastAsia="ja-JP"/>
        </w:rPr>
        <w:t>Agreement</w:t>
      </w:r>
    </w:p>
    <w:p w14:paraId="6E61DEC9" w14:textId="0DFDDF3C" w:rsidR="00981F88" w:rsidRPr="00981F88" w:rsidRDefault="00981F88" w:rsidP="00981F88">
      <w:pPr>
        <w:spacing w:after="60"/>
        <w:rPr>
          <w:lang w:eastAsia="zh-CN"/>
        </w:rPr>
      </w:pPr>
      <w:r w:rsidRPr="00981F88">
        <w:rPr>
          <w:lang w:eastAsia="zh-CN"/>
        </w:rPr>
        <w:t>Adopt the following TP for TS 38.214, 5.2.1.4.2</w:t>
      </w:r>
    </w:p>
    <w:tbl>
      <w:tblPr>
        <w:tblW w:w="5000" w:type="pct"/>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0683"/>
      </w:tblGrid>
      <w:tr w:rsidR="00981F88" w:rsidRPr="00981F88" w14:paraId="5B294194" w14:textId="77777777" w:rsidTr="00981F88">
        <w:tc>
          <w:tcPr>
            <w:tcW w:w="5000" w:type="pct"/>
            <w:shd w:val="clear" w:color="auto" w:fill="auto"/>
          </w:tcPr>
          <w:p w14:paraId="3BACC11A" w14:textId="77777777" w:rsidR="00981F88" w:rsidRPr="00981F88" w:rsidRDefault="00981F88" w:rsidP="00A67145">
            <w:pPr>
              <w:numPr>
                <w:ilvl w:val="0"/>
                <w:numId w:val="234"/>
              </w:numPr>
              <w:jc w:val="both"/>
              <w:rPr>
                <w:rFonts w:ascii="Arial" w:hAnsi="Arial" w:cs="Arial"/>
                <w:sz w:val="16"/>
                <w:szCs w:val="16"/>
                <w:lang w:val="en-US" w:eastAsia="zh-CN"/>
              </w:rPr>
            </w:pPr>
            <w:r w:rsidRPr="00981F88">
              <w:rPr>
                <w:rFonts w:ascii="Arial" w:hAnsi="Arial" w:cs="Arial"/>
                <w:sz w:val="16"/>
                <w:szCs w:val="16"/>
                <w:lang w:eastAsia="x-none"/>
              </w:rPr>
              <w:t>Reason for changes:</w:t>
            </w:r>
          </w:p>
          <w:p w14:paraId="6D78D47D" w14:textId="77777777" w:rsidR="00981F88" w:rsidRPr="00981F88" w:rsidRDefault="00981F88" w:rsidP="00A67145">
            <w:pPr>
              <w:numPr>
                <w:ilvl w:val="1"/>
                <w:numId w:val="234"/>
              </w:numPr>
              <w:jc w:val="both"/>
              <w:rPr>
                <w:rFonts w:ascii="Arial" w:hAnsi="Arial" w:cs="Arial"/>
                <w:sz w:val="16"/>
                <w:szCs w:val="16"/>
                <w:lang w:eastAsia="x-none"/>
              </w:rPr>
            </w:pPr>
            <w:r w:rsidRPr="00981F88">
              <w:rPr>
                <w:rFonts w:ascii="Arial" w:hAnsi="Arial" w:cs="Arial"/>
                <w:sz w:val="16"/>
                <w:szCs w:val="16"/>
                <w:lang w:eastAsia="x-none"/>
              </w:rPr>
              <w:t xml:space="preserve">The Rel-18 spec in Section 5.2.1.4.2 seems to limit a CSI-ReportConfig to be associated with only a single CSI-RS resource set the due to the word “the” in the text </w:t>
            </w:r>
          </w:p>
          <w:p w14:paraId="4F7CBBA4" w14:textId="77777777" w:rsidR="00981F88" w:rsidRPr="00981F88" w:rsidRDefault="00981F88" w:rsidP="00A67145">
            <w:pPr>
              <w:numPr>
                <w:ilvl w:val="0"/>
                <w:numId w:val="234"/>
              </w:numPr>
              <w:jc w:val="both"/>
              <w:rPr>
                <w:rFonts w:ascii="Arial" w:hAnsi="Arial" w:cs="Arial"/>
                <w:sz w:val="16"/>
                <w:szCs w:val="16"/>
                <w:lang w:eastAsia="x-none"/>
              </w:rPr>
            </w:pPr>
            <w:r w:rsidRPr="00981F88">
              <w:rPr>
                <w:rFonts w:ascii="Arial" w:hAnsi="Arial" w:cs="Arial"/>
                <w:sz w:val="16"/>
                <w:szCs w:val="16"/>
                <w:lang w:eastAsia="x-none"/>
              </w:rPr>
              <w:t>Summary of changes:</w:t>
            </w:r>
          </w:p>
          <w:p w14:paraId="7F3762B5" w14:textId="77777777" w:rsidR="00981F88" w:rsidRPr="00981F88" w:rsidRDefault="00981F88" w:rsidP="00A67145">
            <w:pPr>
              <w:numPr>
                <w:ilvl w:val="1"/>
                <w:numId w:val="234"/>
              </w:numPr>
              <w:jc w:val="both"/>
              <w:rPr>
                <w:rFonts w:ascii="Arial" w:hAnsi="Arial" w:cs="Arial"/>
                <w:sz w:val="16"/>
                <w:szCs w:val="16"/>
                <w:lang w:eastAsia="x-none"/>
              </w:rPr>
            </w:pPr>
            <w:r w:rsidRPr="00981F88">
              <w:rPr>
                <w:rFonts w:ascii="Arial" w:hAnsi="Arial" w:cs="Arial"/>
                <w:sz w:val="16"/>
                <w:szCs w:val="16"/>
                <w:lang w:eastAsia="x-none"/>
              </w:rPr>
              <w:t>Remove the restriction for the association of single resource set</w:t>
            </w:r>
          </w:p>
          <w:p w14:paraId="0AD2BBAF" w14:textId="77777777" w:rsidR="00981F88" w:rsidRPr="00981F88" w:rsidRDefault="00981F88" w:rsidP="00A67145">
            <w:pPr>
              <w:numPr>
                <w:ilvl w:val="0"/>
                <w:numId w:val="234"/>
              </w:numPr>
              <w:jc w:val="both"/>
              <w:rPr>
                <w:rFonts w:ascii="Arial" w:hAnsi="Arial" w:cs="Arial"/>
                <w:sz w:val="16"/>
                <w:szCs w:val="16"/>
                <w:lang w:eastAsia="x-none"/>
              </w:rPr>
            </w:pPr>
            <w:r w:rsidRPr="00981F88">
              <w:rPr>
                <w:rFonts w:ascii="Arial" w:hAnsi="Arial" w:cs="Arial"/>
                <w:sz w:val="16"/>
                <w:szCs w:val="16"/>
                <w:lang w:eastAsia="x-none"/>
              </w:rPr>
              <w:t>Consequences if not approved</w:t>
            </w:r>
          </w:p>
          <w:p w14:paraId="5176DADA" w14:textId="77777777" w:rsidR="00981F88" w:rsidRPr="00981F88" w:rsidRDefault="00981F88" w:rsidP="00A67145">
            <w:pPr>
              <w:numPr>
                <w:ilvl w:val="1"/>
                <w:numId w:val="234"/>
              </w:numPr>
              <w:jc w:val="both"/>
              <w:rPr>
                <w:rFonts w:ascii="Arial" w:hAnsi="Arial" w:cs="Arial"/>
                <w:sz w:val="16"/>
                <w:szCs w:val="16"/>
                <w:lang w:eastAsia="x-none"/>
              </w:rPr>
            </w:pPr>
            <w:r w:rsidRPr="00981F88">
              <w:rPr>
                <w:rFonts w:ascii="Arial" w:hAnsi="Arial" w:cs="Arial"/>
                <w:sz w:val="16"/>
                <w:szCs w:val="16"/>
                <w:lang w:eastAsia="x-none"/>
              </w:rPr>
              <w:t>The association of resource set and reportConfig is single, which is against legacy function</w:t>
            </w:r>
          </w:p>
          <w:p w14:paraId="57B6B276" w14:textId="77777777" w:rsidR="00981F88" w:rsidRPr="008102FC" w:rsidRDefault="00981F88" w:rsidP="008102FC">
            <w:pPr>
              <w:rPr>
                <w:rFonts w:ascii="Arial" w:hAnsi="Arial" w:cs="Arial"/>
                <w:b/>
                <w:bCs/>
                <w:sz w:val="16"/>
                <w:szCs w:val="16"/>
              </w:rPr>
            </w:pPr>
            <w:r w:rsidRPr="008102FC">
              <w:rPr>
                <w:rFonts w:ascii="Arial" w:hAnsi="Arial" w:cs="Arial"/>
                <w:b/>
                <w:bCs/>
                <w:sz w:val="16"/>
                <w:szCs w:val="16"/>
              </w:rPr>
              <w:t>5.2.1.4.2</w:t>
            </w:r>
            <w:r w:rsidRPr="008102FC">
              <w:rPr>
                <w:rFonts w:ascii="Arial" w:hAnsi="Arial" w:cs="Arial"/>
                <w:b/>
                <w:bCs/>
                <w:sz w:val="16"/>
                <w:szCs w:val="16"/>
              </w:rPr>
              <w:tab/>
              <w:t>Report quantity configurations</w:t>
            </w:r>
          </w:p>
          <w:p w14:paraId="16E94DD5" w14:textId="77777777" w:rsidR="00981F88" w:rsidRPr="00981F88" w:rsidRDefault="00981F88" w:rsidP="00981F88">
            <w:pPr>
              <w:jc w:val="center"/>
              <w:rPr>
                <w:rFonts w:ascii="Arial" w:eastAsia="Times New Roman" w:hAnsi="Arial" w:cs="Arial"/>
                <w:color w:val="FF0000"/>
                <w:sz w:val="16"/>
                <w:szCs w:val="16"/>
              </w:rPr>
            </w:pPr>
            <w:r w:rsidRPr="00981F88">
              <w:rPr>
                <w:rFonts w:ascii="Arial" w:eastAsia="Times New Roman" w:hAnsi="Arial" w:cs="Arial"/>
                <w:color w:val="FF0000"/>
                <w:sz w:val="16"/>
                <w:szCs w:val="16"/>
              </w:rPr>
              <w:t>*** Text omitted ***</w:t>
            </w:r>
          </w:p>
          <w:p w14:paraId="0F5BAC9D" w14:textId="77777777" w:rsidR="00981F88" w:rsidRPr="00981F88" w:rsidRDefault="00981F88" w:rsidP="00981F88">
            <w:pPr>
              <w:rPr>
                <w:rFonts w:ascii="Arial" w:eastAsia="SimSun" w:hAnsi="Arial" w:cs="Arial"/>
                <w:sz w:val="16"/>
                <w:szCs w:val="16"/>
              </w:rPr>
            </w:pPr>
            <w:r w:rsidRPr="00981F88">
              <w:rPr>
                <w:rFonts w:ascii="Arial" w:eastAsia="SimSun" w:hAnsi="Arial" w:cs="Arial"/>
                <w:sz w:val="16"/>
                <w:szCs w:val="16"/>
              </w:rPr>
              <w:t xml:space="preserve">If the UE is configured with a </w:t>
            </w:r>
            <w:r w:rsidRPr="00981F88">
              <w:rPr>
                <w:rFonts w:ascii="Arial" w:eastAsia="SimSun" w:hAnsi="Arial" w:cs="Arial"/>
                <w:i/>
                <w:sz w:val="16"/>
                <w:szCs w:val="16"/>
              </w:rPr>
              <w:t>CSI-ReportConfig</w:t>
            </w:r>
            <w:r w:rsidRPr="00981F88">
              <w:rPr>
                <w:rFonts w:ascii="Arial" w:eastAsia="SimSun" w:hAnsi="Arial" w:cs="Arial"/>
                <w:sz w:val="16"/>
                <w:szCs w:val="16"/>
              </w:rPr>
              <w:t xml:space="preserve"> that contains a list of sub-configurations</w:t>
            </w:r>
            <w:r w:rsidRPr="00981F88">
              <w:rPr>
                <w:rFonts w:ascii="Arial" w:eastAsia="Microsoft YaHei" w:hAnsi="Arial" w:cs="Arial"/>
                <w:sz w:val="16"/>
                <w:szCs w:val="16"/>
                <w:lang w:val="en-US"/>
              </w:rPr>
              <w:t>, provided by the higher layer parameter [</w:t>
            </w:r>
            <w:r w:rsidRPr="00981F88">
              <w:rPr>
                <w:rFonts w:ascii="Arial" w:eastAsia="Microsoft YaHei" w:hAnsi="Arial" w:cs="Arial"/>
                <w:i/>
                <w:iCs/>
                <w:sz w:val="16"/>
                <w:szCs w:val="16"/>
                <w:lang w:val="en-US"/>
              </w:rPr>
              <w:t>csi-ReportSubConfigList]</w:t>
            </w:r>
            <w:r w:rsidRPr="00981F88">
              <w:rPr>
                <w:rFonts w:ascii="Arial" w:eastAsia="SimSun" w:hAnsi="Arial" w:cs="Arial"/>
                <w:sz w:val="16"/>
                <w:szCs w:val="16"/>
              </w:rPr>
              <w:t>:</w:t>
            </w:r>
          </w:p>
          <w:p w14:paraId="4AF9BA68" w14:textId="77777777" w:rsidR="00981F88" w:rsidRPr="00981F88" w:rsidRDefault="00981F88" w:rsidP="00981F88">
            <w:pPr>
              <w:ind w:left="568" w:hanging="284"/>
              <w:rPr>
                <w:rFonts w:ascii="Arial" w:eastAsia="SimSun" w:hAnsi="Arial" w:cs="Arial"/>
                <w:sz w:val="16"/>
                <w:szCs w:val="16"/>
                <w:lang w:val="en-US"/>
              </w:rPr>
            </w:pPr>
            <w:r w:rsidRPr="00981F88">
              <w:rPr>
                <w:rFonts w:ascii="Arial" w:eastAsia="SimSun" w:hAnsi="Arial" w:cs="Arial"/>
                <w:sz w:val="16"/>
                <w:szCs w:val="16"/>
                <w:lang w:val="en-US"/>
              </w:rPr>
              <w:t>-</w:t>
            </w:r>
            <w:r w:rsidRPr="00981F88">
              <w:rPr>
                <w:rFonts w:ascii="Arial" w:eastAsia="SimSun" w:hAnsi="Arial" w:cs="Arial"/>
                <w:sz w:val="16"/>
                <w:szCs w:val="16"/>
                <w:lang w:val="en-US"/>
              </w:rPr>
              <w:tab/>
              <w:t xml:space="preserve">the UE expects to be configured with the higher layer parameter </w:t>
            </w:r>
            <w:r w:rsidRPr="00981F88">
              <w:rPr>
                <w:rFonts w:ascii="Arial" w:eastAsia="SimSun" w:hAnsi="Arial" w:cs="Arial"/>
                <w:i/>
                <w:iCs/>
                <w:sz w:val="16"/>
                <w:szCs w:val="16"/>
                <w:lang w:val="en-US"/>
              </w:rPr>
              <w:t>codebookType</w:t>
            </w:r>
            <w:r w:rsidRPr="00981F88">
              <w:rPr>
                <w:rFonts w:ascii="Arial" w:eastAsia="SimSun" w:hAnsi="Arial" w:cs="Arial"/>
                <w:sz w:val="16"/>
                <w:szCs w:val="16"/>
                <w:lang w:val="en-US"/>
              </w:rPr>
              <w:t xml:space="preserve"> set to 'typeI-SinglePanel' or 'typeI-MultiPanel'. If the UE indicates a capability for supporting mixed codebook combination in a slot with [ABC], each sub-configuration can be configured with the higher layer parameter </w:t>
            </w:r>
            <w:r w:rsidRPr="00981F88">
              <w:rPr>
                <w:rFonts w:ascii="Arial" w:eastAsia="SimSun" w:hAnsi="Arial" w:cs="Arial"/>
                <w:i/>
                <w:iCs/>
                <w:sz w:val="16"/>
                <w:szCs w:val="16"/>
                <w:lang w:val="en-US"/>
              </w:rPr>
              <w:t>codebookType</w:t>
            </w:r>
            <w:r w:rsidRPr="00981F88">
              <w:rPr>
                <w:rFonts w:ascii="Arial" w:eastAsia="SimSun" w:hAnsi="Arial" w:cs="Arial"/>
                <w:sz w:val="16"/>
                <w:szCs w:val="16"/>
                <w:lang w:val="en-US"/>
              </w:rPr>
              <w:t xml:space="preserve"> set to 'typeI-SinglePanel' or 'typeI-MultiPanel'.</w:t>
            </w:r>
          </w:p>
          <w:p w14:paraId="69710A89" w14:textId="2D41D8E3" w:rsidR="00981F88" w:rsidRPr="00981F88" w:rsidRDefault="00981F88" w:rsidP="00981F88">
            <w:pPr>
              <w:ind w:left="568" w:hanging="284"/>
              <w:contextualSpacing/>
              <w:rPr>
                <w:rFonts w:ascii="Arial" w:eastAsia="Times New Roman" w:hAnsi="Arial" w:cs="Arial"/>
                <w:sz w:val="16"/>
                <w:szCs w:val="16"/>
              </w:rPr>
            </w:pPr>
            <w:r w:rsidRPr="00981F88">
              <w:rPr>
                <w:rFonts w:ascii="Arial" w:eastAsia="SimSun" w:hAnsi="Arial" w:cs="Arial"/>
                <w:sz w:val="16"/>
                <w:szCs w:val="16"/>
                <w:lang w:val="en-US"/>
              </w:rPr>
              <w:t>-</w:t>
            </w:r>
            <w:r w:rsidRPr="00981F88">
              <w:rPr>
                <w:rFonts w:ascii="Arial" w:eastAsia="SimSun" w:hAnsi="Arial" w:cs="Arial"/>
                <w:sz w:val="16"/>
                <w:szCs w:val="16"/>
                <w:lang w:val="en-US"/>
              </w:rPr>
              <w:tab/>
              <w:t>Each sub-configuration can be configured with an antenna port subset using the higher layer bitmap parameter [</w:t>
            </w:r>
            <w:r w:rsidRPr="00981F88">
              <w:rPr>
                <w:rFonts w:ascii="Arial" w:eastAsia="SimSun" w:hAnsi="Arial" w:cs="Arial"/>
                <w:i/>
                <w:iCs/>
                <w:sz w:val="16"/>
                <w:szCs w:val="16"/>
                <w:lang w:val="en-US"/>
              </w:rPr>
              <w:t>port-subsetIndicator</w:t>
            </w:r>
            <w:r w:rsidRPr="00981F88">
              <w:rPr>
                <w:rFonts w:ascii="Arial" w:eastAsia="SimSun" w:hAnsi="Arial" w:cs="Arial"/>
                <w:sz w:val="16"/>
                <w:szCs w:val="16"/>
                <w:lang w:val="en-US"/>
              </w:rPr>
              <w:t xml:space="preserve">] which contains the bit sequence </w:t>
            </w:r>
            <m:oMath>
              <m:sSub>
                <m:sSubPr>
                  <m:ctrlPr>
                    <w:rPr>
                      <w:rFonts w:ascii="Cambria Math" w:eastAsia="SimSun" w:hAnsi="Cambria Math" w:cs="Arial"/>
                      <w:i/>
                      <w:sz w:val="16"/>
                      <w:szCs w:val="16"/>
                      <w:lang w:val="zh-CN"/>
                    </w:rPr>
                  </m:ctrlPr>
                </m:sSubPr>
                <m:e>
                  <m:r>
                    <w:rPr>
                      <w:rFonts w:ascii="Cambria Math" w:eastAsia="SimSun" w:hAnsi="Cambria Math" w:cs="Arial"/>
                      <w:sz w:val="16"/>
                      <w:szCs w:val="16"/>
                      <w:lang w:val="zh-CN"/>
                    </w:rPr>
                    <m:t>p</m:t>
                  </m:r>
                </m:e>
                <m:sub>
                  <m:r>
                    <w:rPr>
                      <w:rFonts w:ascii="Cambria Math" w:eastAsia="SimSun" w:hAnsi="Cambria Math" w:cs="Arial"/>
                      <w:sz w:val="16"/>
                      <w:szCs w:val="16"/>
                      <w:lang w:val="en-US"/>
                    </w:rPr>
                    <m:t>0</m:t>
                  </m:r>
                </m:sub>
              </m:sSub>
              <m:r>
                <w:rPr>
                  <w:rFonts w:ascii="Cambria Math" w:eastAsia="SimSun" w:hAnsi="Cambria Math" w:cs="Arial"/>
                  <w:sz w:val="16"/>
                  <w:szCs w:val="16"/>
                  <w:lang w:val="en-US"/>
                </w:rPr>
                <m:t>,</m:t>
              </m:r>
              <m:sSub>
                <m:sSubPr>
                  <m:ctrlPr>
                    <w:rPr>
                      <w:rFonts w:ascii="Cambria Math" w:eastAsia="SimSun" w:hAnsi="Cambria Math" w:cs="Arial"/>
                      <w:i/>
                      <w:sz w:val="16"/>
                      <w:szCs w:val="16"/>
                      <w:lang w:val="zh-CN"/>
                    </w:rPr>
                  </m:ctrlPr>
                </m:sSubPr>
                <m:e>
                  <m:r>
                    <w:rPr>
                      <w:rFonts w:ascii="Cambria Math" w:eastAsia="SimSun" w:hAnsi="Cambria Math" w:cs="Arial"/>
                      <w:sz w:val="16"/>
                      <w:szCs w:val="16"/>
                      <w:lang w:val="zh-CN"/>
                    </w:rPr>
                    <m:t>p</m:t>
                  </m:r>
                </m:e>
                <m:sub>
                  <m:r>
                    <w:rPr>
                      <w:rFonts w:ascii="Cambria Math" w:eastAsia="SimSun" w:hAnsi="Cambria Math" w:cs="Arial"/>
                      <w:sz w:val="16"/>
                      <w:szCs w:val="16"/>
                      <w:lang w:val="en-US"/>
                    </w:rPr>
                    <m:t>1</m:t>
                  </m:r>
                </m:sub>
              </m:sSub>
              <m:r>
                <w:rPr>
                  <w:rFonts w:ascii="Cambria Math" w:eastAsia="SimSun" w:hAnsi="Cambria Math" w:cs="Arial"/>
                  <w:sz w:val="16"/>
                  <w:szCs w:val="16"/>
                  <w:lang w:val="en-US"/>
                </w:rPr>
                <m:t>,...,</m:t>
              </m:r>
              <m:sSub>
                <m:sSubPr>
                  <m:ctrlPr>
                    <w:rPr>
                      <w:rFonts w:ascii="Cambria Math" w:eastAsia="SimSun" w:hAnsi="Cambria Math" w:cs="Arial"/>
                      <w:i/>
                      <w:sz w:val="16"/>
                      <w:szCs w:val="16"/>
                      <w:lang w:val="zh-CN"/>
                    </w:rPr>
                  </m:ctrlPr>
                </m:sSubPr>
                <m:e>
                  <m:r>
                    <w:rPr>
                      <w:rFonts w:ascii="Cambria Math" w:eastAsia="SimSun" w:hAnsi="Cambria Math" w:cs="Arial"/>
                      <w:sz w:val="16"/>
                      <w:szCs w:val="16"/>
                      <w:lang w:val="zh-CN"/>
                    </w:rPr>
                    <m:t>p</m:t>
                  </m:r>
                </m:e>
                <m:sub>
                  <m:r>
                    <w:rPr>
                      <w:rFonts w:ascii="Cambria Math" w:eastAsia="SimSun" w:hAnsi="Cambria Math" w:cs="Arial"/>
                      <w:sz w:val="16"/>
                      <w:szCs w:val="16"/>
                      <w:lang w:val="zh-CN"/>
                    </w:rPr>
                    <m:t>Pm</m:t>
                  </m:r>
                  <m:r>
                    <w:rPr>
                      <w:rFonts w:ascii="Cambria Math" w:eastAsia="SimSun" w:hAnsi="Cambria Math" w:cs="Arial"/>
                      <w:sz w:val="16"/>
                      <w:szCs w:val="16"/>
                      <w:lang w:val="en-US"/>
                    </w:rPr>
                    <m:t>-1</m:t>
                  </m:r>
                </m:sub>
              </m:sSub>
            </m:oMath>
            <w:r w:rsidRPr="00981F88">
              <w:rPr>
                <w:rFonts w:ascii="Arial" w:eastAsia="SimSun" w:hAnsi="Arial" w:cs="Arial"/>
                <w:sz w:val="16"/>
                <w:szCs w:val="16"/>
                <w:lang w:val="en-US"/>
              </w:rPr>
              <w:t xml:space="preserve">, where </w:t>
            </w:r>
            <m:oMath>
              <m:sSub>
                <m:sSubPr>
                  <m:ctrlPr>
                    <w:rPr>
                      <w:rFonts w:ascii="Cambria Math" w:eastAsia="SimSun" w:hAnsi="Cambria Math" w:cs="Arial"/>
                      <w:i/>
                      <w:sz w:val="16"/>
                      <w:szCs w:val="16"/>
                      <w:lang w:val="zh-CN"/>
                    </w:rPr>
                  </m:ctrlPr>
                </m:sSubPr>
                <m:e>
                  <m:r>
                    <w:rPr>
                      <w:rFonts w:ascii="Cambria Math" w:eastAsia="SimSun" w:hAnsi="Cambria Math" w:cs="Arial"/>
                      <w:sz w:val="16"/>
                      <w:szCs w:val="16"/>
                      <w:lang w:val="zh-CN"/>
                    </w:rPr>
                    <m:t>p</m:t>
                  </m:r>
                </m:e>
                <m:sub>
                  <m:r>
                    <w:rPr>
                      <w:rFonts w:ascii="Cambria Math" w:eastAsia="SimSun" w:hAnsi="Cambria Math" w:cs="Arial"/>
                      <w:sz w:val="16"/>
                      <w:szCs w:val="16"/>
                      <w:lang w:val="en-US"/>
                    </w:rPr>
                    <m:t>0</m:t>
                  </m:r>
                </m:sub>
              </m:sSub>
            </m:oMath>
            <w:r w:rsidRPr="00981F88">
              <w:rPr>
                <w:rFonts w:ascii="Arial" w:eastAsia="SimSun" w:hAnsi="Arial" w:cs="Arial"/>
                <w:sz w:val="16"/>
                <w:szCs w:val="16"/>
                <w:lang w:val="en-US"/>
              </w:rPr>
              <w:t xml:space="preserve"> is the MSB and </w:t>
            </w:r>
            <m:oMath>
              <m:sSub>
                <m:sSubPr>
                  <m:ctrlPr>
                    <w:rPr>
                      <w:rFonts w:ascii="Cambria Math" w:eastAsia="SimSun" w:hAnsi="Cambria Math" w:cs="Arial"/>
                      <w:i/>
                      <w:sz w:val="16"/>
                      <w:szCs w:val="16"/>
                      <w:lang w:val="zh-CN"/>
                    </w:rPr>
                  </m:ctrlPr>
                </m:sSubPr>
                <m:e>
                  <m:r>
                    <w:rPr>
                      <w:rFonts w:ascii="Cambria Math" w:eastAsia="SimSun" w:hAnsi="Cambria Math" w:cs="Arial"/>
                      <w:sz w:val="16"/>
                      <w:szCs w:val="16"/>
                      <w:lang w:val="zh-CN"/>
                    </w:rPr>
                    <m:t>p</m:t>
                  </m:r>
                </m:e>
                <m:sub>
                  <m:r>
                    <w:rPr>
                      <w:rFonts w:ascii="Cambria Math" w:eastAsia="SimSun" w:hAnsi="Cambria Math" w:cs="Arial"/>
                      <w:sz w:val="16"/>
                      <w:szCs w:val="16"/>
                      <w:lang w:val="zh-CN"/>
                    </w:rPr>
                    <m:t>P</m:t>
                  </m:r>
                  <m:r>
                    <m:rPr>
                      <m:sty m:val="p"/>
                    </m:rPr>
                    <w:rPr>
                      <w:rFonts w:ascii="Cambria Math" w:eastAsia="SimSun" w:hAnsi="Cambria Math" w:cs="Arial"/>
                      <w:sz w:val="16"/>
                      <w:szCs w:val="16"/>
                      <w:lang w:val="en-US"/>
                    </w:rPr>
                    <m:t>m</m:t>
                  </m:r>
                  <m:r>
                    <w:rPr>
                      <w:rFonts w:ascii="Cambria Math" w:eastAsia="SimSun" w:hAnsi="Cambria Math" w:cs="Arial"/>
                      <w:sz w:val="16"/>
                      <w:szCs w:val="16"/>
                      <w:lang w:val="en-US"/>
                    </w:rPr>
                    <m:t>-1</m:t>
                  </m:r>
                </m:sub>
              </m:sSub>
            </m:oMath>
            <w:r w:rsidRPr="00981F88">
              <w:rPr>
                <w:rFonts w:ascii="Arial" w:eastAsia="SimSun" w:hAnsi="Arial" w:cs="Arial"/>
                <w:sz w:val="16"/>
                <w:szCs w:val="16"/>
                <w:lang w:val="en-US"/>
              </w:rPr>
              <w:t xml:space="preserve"> is the LSB, bit </w:t>
            </w:r>
            <m:oMath>
              <m:sSub>
                <m:sSubPr>
                  <m:ctrlPr>
                    <w:rPr>
                      <w:rFonts w:ascii="Cambria Math" w:eastAsia="SimSun" w:hAnsi="Cambria Math" w:cs="Arial"/>
                      <w:i/>
                      <w:sz w:val="16"/>
                      <w:szCs w:val="16"/>
                    </w:rPr>
                  </m:ctrlPr>
                </m:sSubPr>
                <m:e>
                  <m:r>
                    <w:rPr>
                      <w:rFonts w:ascii="Cambria Math" w:eastAsia="SimSun" w:hAnsi="Cambria Math" w:cs="Arial"/>
                      <w:sz w:val="16"/>
                      <w:szCs w:val="16"/>
                    </w:rPr>
                    <m:t>p</m:t>
                  </m:r>
                </m:e>
                <m:sub>
                  <m:r>
                    <w:rPr>
                      <w:rFonts w:ascii="Cambria Math" w:eastAsia="SimSun" w:hAnsi="Cambria Math" w:cs="Arial"/>
                      <w:sz w:val="16"/>
                      <w:szCs w:val="16"/>
                    </w:rPr>
                    <m:t>i</m:t>
                  </m:r>
                </m:sub>
              </m:sSub>
            </m:oMath>
            <w:r w:rsidRPr="00981F88">
              <w:rPr>
                <w:rFonts w:ascii="Arial" w:eastAsia="SimSun" w:hAnsi="Arial" w:cs="Arial"/>
                <w:iCs/>
                <w:sz w:val="16"/>
                <w:szCs w:val="16"/>
              </w:rPr>
              <w:t xml:space="preserve"> corresponds to antenna port </w:t>
            </w:r>
            <m:oMath>
              <m:r>
                <w:rPr>
                  <w:rFonts w:ascii="Cambria Math" w:eastAsia="SimSun" w:hAnsi="Cambria Math" w:cs="Arial"/>
                  <w:sz w:val="16"/>
                  <w:szCs w:val="16"/>
                </w:rPr>
                <m:t>3000+</m:t>
              </m:r>
              <m:r>
                <m:rPr>
                  <m:sty m:val="p"/>
                </m:rPr>
                <w:rPr>
                  <w:rFonts w:ascii="Cambria Math" w:eastAsia="SimSun" w:hAnsi="Cambria Math" w:cs="Arial"/>
                  <w:sz w:val="16"/>
                  <w:szCs w:val="16"/>
                  <w:lang w:val="en-US"/>
                </w:rPr>
                <m:t>i</m:t>
              </m:r>
            </m:oMath>
            <w:r w:rsidRPr="00981F88">
              <w:rPr>
                <w:rFonts w:ascii="Arial" w:eastAsia="SimSun" w:hAnsi="Arial" w:cs="Arial"/>
                <w:sz w:val="16"/>
                <w:szCs w:val="16"/>
                <w:lang w:val="en-US"/>
              </w:rPr>
              <w:t xml:space="preserve">, and </w:t>
            </w:r>
            <m:oMath>
              <m:r>
                <w:rPr>
                  <w:rFonts w:ascii="Cambria Math" w:eastAsia="SimSun" w:hAnsi="Cambria Math" w:cs="Arial"/>
                  <w:sz w:val="16"/>
                  <w:szCs w:val="16"/>
                  <w:lang w:val="zh-CN"/>
                </w:rPr>
                <m:t>P</m:t>
              </m:r>
              <m:r>
                <m:rPr>
                  <m:sty m:val="p"/>
                </m:rPr>
                <w:rPr>
                  <w:rFonts w:ascii="Cambria Math" w:eastAsia="SimSun" w:hAnsi="Cambria Math" w:cs="Arial"/>
                  <w:sz w:val="16"/>
                  <w:szCs w:val="16"/>
                  <w:lang w:val="en-US"/>
                </w:rPr>
                <m:t>m</m:t>
              </m:r>
            </m:oMath>
            <w:r w:rsidRPr="00981F88">
              <w:rPr>
                <w:rFonts w:ascii="Arial" w:eastAsia="SimSun" w:hAnsi="Arial" w:cs="Arial"/>
                <w:sz w:val="16"/>
                <w:szCs w:val="16"/>
                <w:lang w:val="en-US"/>
              </w:rPr>
              <w:t xml:space="preserve"> is the number of ports </w:t>
            </w:r>
            <w:r w:rsidRPr="00981F88">
              <w:rPr>
                <w:rFonts w:ascii="Arial" w:eastAsia="SimSun" w:hAnsi="Arial" w:cs="Arial"/>
                <w:i/>
                <w:iCs/>
                <w:sz w:val="16"/>
                <w:szCs w:val="16"/>
                <w:lang w:val="en-US"/>
              </w:rPr>
              <w:t>nrofPorts</w:t>
            </w:r>
            <w:r w:rsidRPr="00981F88">
              <w:rPr>
                <w:rFonts w:ascii="Arial" w:eastAsia="SimSun" w:hAnsi="Arial" w:cs="Arial"/>
                <w:sz w:val="16"/>
                <w:szCs w:val="16"/>
                <w:lang w:val="en-US"/>
              </w:rPr>
              <w:t xml:space="preserve"> configured for the CSI-RS resources(s) within </w:t>
            </w:r>
            <w:del w:id="636" w:author="Stephen Grant" w:date="2023-11-16T17:59:00Z">
              <w:r w:rsidRPr="00981F88">
                <w:rPr>
                  <w:rFonts w:ascii="Arial" w:eastAsia="SimSun" w:hAnsi="Arial" w:cs="Arial"/>
                  <w:sz w:val="16"/>
                  <w:szCs w:val="16"/>
                  <w:lang w:val="en-US"/>
                </w:rPr>
                <w:delText xml:space="preserve">the </w:delText>
              </w:r>
            </w:del>
            <w:ins w:id="637" w:author="Stephen Grant" w:date="2023-11-16T17:59:00Z">
              <w:r w:rsidRPr="00981F88">
                <w:rPr>
                  <w:rFonts w:ascii="Arial" w:eastAsia="SimSun" w:hAnsi="Arial" w:cs="Arial"/>
                  <w:sz w:val="16"/>
                  <w:szCs w:val="16"/>
                  <w:lang w:val="en-US"/>
                </w:rPr>
                <w:t xml:space="preserve">a </w:t>
              </w:r>
            </w:ins>
            <w:r w:rsidRPr="00981F88">
              <w:rPr>
                <w:rFonts w:ascii="Arial" w:eastAsia="SimSun" w:hAnsi="Arial" w:cs="Arial"/>
                <w:i/>
                <w:iCs/>
                <w:sz w:val="16"/>
                <w:szCs w:val="16"/>
                <w:lang w:val="en-US"/>
              </w:rPr>
              <w:t xml:space="preserve">NZP-CSI-RS-ResourceSet </w:t>
            </w:r>
            <w:r w:rsidRPr="00981F88">
              <w:rPr>
                <w:rFonts w:ascii="Arial" w:eastAsia="SimSun" w:hAnsi="Arial" w:cs="Arial"/>
                <w:sz w:val="16"/>
                <w:szCs w:val="16"/>
                <w:lang w:val="en-US"/>
              </w:rPr>
              <w:t xml:space="preserve">contained in the </w:t>
            </w:r>
            <w:r w:rsidRPr="00981F88">
              <w:rPr>
                <w:rFonts w:ascii="Arial" w:eastAsia="SimSun" w:hAnsi="Arial" w:cs="Arial"/>
                <w:i/>
                <w:iCs/>
                <w:sz w:val="16"/>
                <w:szCs w:val="16"/>
                <w:lang w:val="en-US"/>
              </w:rPr>
              <w:t>CSI-ResourceConfig</w:t>
            </w:r>
            <w:r w:rsidRPr="00981F88">
              <w:rPr>
                <w:rFonts w:ascii="Arial" w:eastAsia="SimSun" w:hAnsi="Arial" w:cs="Arial"/>
                <w:sz w:val="16"/>
                <w:szCs w:val="16"/>
                <w:lang w:val="en-US"/>
              </w:rPr>
              <w:t xml:space="preserve"> for channel measurement that corresponds to the </w:t>
            </w:r>
            <w:r w:rsidRPr="00981F88">
              <w:rPr>
                <w:rFonts w:ascii="Arial" w:eastAsia="SimSun" w:hAnsi="Arial" w:cs="Arial"/>
                <w:i/>
                <w:sz w:val="16"/>
                <w:szCs w:val="16"/>
              </w:rPr>
              <w:t>CSI-ReportConfig</w:t>
            </w:r>
            <w:r w:rsidRPr="00981F88">
              <w:rPr>
                <w:rFonts w:ascii="Arial" w:eastAsia="SimSun" w:hAnsi="Arial" w:cs="Arial"/>
                <w:sz w:val="16"/>
                <w:szCs w:val="16"/>
                <w:lang w:val="en-US"/>
              </w:rPr>
              <w:t>. A bit value 0 in [</w:t>
            </w:r>
            <w:r w:rsidRPr="00981F88">
              <w:rPr>
                <w:rFonts w:ascii="Arial" w:eastAsia="SimSun" w:hAnsi="Arial" w:cs="Arial"/>
                <w:i/>
                <w:iCs/>
                <w:sz w:val="16"/>
                <w:szCs w:val="16"/>
                <w:lang w:val="en-US"/>
              </w:rPr>
              <w:t>port-subsetIndicator</w:t>
            </w:r>
            <w:r w:rsidRPr="00981F88">
              <w:rPr>
                <w:rFonts w:ascii="Arial" w:eastAsia="SimSun" w:hAnsi="Arial" w:cs="Arial"/>
                <w:sz w:val="16"/>
                <w:szCs w:val="16"/>
                <w:lang w:val="en-US"/>
              </w:rPr>
              <w:t xml:space="preserve">] indicates that </w:t>
            </w:r>
            <w:r w:rsidRPr="00981F88">
              <w:rPr>
                <w:rFonts w:ascii="Arial" w:eastAsia="SimSun" w:hAnsi="Arial" w:cs="Arial"/>
                <w:sz w:val="16"/>
                <w:szCs w:val="16"/>
                <w:lang w:val="en-US"/>
              </w:rPr>
              <w:lastRenderedPageBreak/>
              <w:t xml:space="preserve">the corresponding antenna port is disabled for the sub-configuration, whereas bit value 1 indicates that the antenna port is enabled and belongs to the antenna port subset for the sub-configuration. </w:t>
            </w:r>
          </w:p>
          <w:p w14:paraId="30AE130C" w14:textId="77777777" w:rsidR="00981F88" w:rsidRPr="00981F88" w:rsidRDefault="00981F88" w:rsidP="00981F88">
            <w:pPr>
              <w:ind w:left="568" w:hanging="284"/>
              <w:rPr>
                <w:rFonts w:ascii="Arial" w:eastAsia="SimSun" w:hAnsi="Arial" w:cs="Arial"/>
                <w:sz w:val="16"/>
                <w:szCs w:val="16"/>
                <w:lang w:val="en-US"/>
              </w:rPr>
            </w:pPr>
            <w:r w:rsidRPr="00981F88">
              <w:rPr>
                <w:rFonts w:ascii="Arial" w:eastAsia="SimSun" w:hAnsi="Arial" w:cs="Arial"/>
                <w:sz w:val="16"/>
                <w:szCs w:val="16"/>
                <w:lang w:val="en-US"/>
              </w:rPr>
              <w:t>-</w:t>
            </w:r>
            <w:r w:rsidRPr="00981F88">
              <w:rPr>
                <w:rFonts w:ascii="Arial" w:eastAsia="SimSun" w:hAnsi="Arial" w:cs="Arial"/>
                <w:sz w:val="16"/>
                <w:szCs w:val="16"/>
                <w:lang w:val="en-US"/>
              </w:rPr>
              <w:tab/>
              <w:t>If a</w:t>
            </w:r>
            <w:r w:rsidRPr="00981F88">
              <w:rPr>
                <w:rFonts w:ascii="Arial" w:eastAsia="SimSun" w:hAnsi="Arial" w:cs="Arial"/>
                <w:sz w:val="16"/>
                <w:szCs w:val="16"/>
              </w:rPr>
              <w:t xml:space="preserve"> </w:t>
            </w:r>
            <w:r w:rsidRPr="00981F88">
              <w:rPr>
                <w:rFonts w:ascii="Arial" w:eastAsia="SimSun" w:hAnsi="Arial" w:cs="Arial"/>
                <w:sz w:val="16"/>
                <w:szCs w:val="16"/>
                <w:lang w:val="en-US"/>
              </w:rPr>
              <w:t>sub-configuration is configured with an antenna port subset, then the sub-configuration can be configured with a [RI restriction parameter] and, if the number of antenna ports of the subset greater than 2, with [</w:t>
            </w:r>
            <w:r w:rsidRPr="00981F88">
              <w:rPr>
                <w:rFonts w:ascii="Arial" w:eastAsia="SimSun" w:hAnsi="Arial" w:cs="Arial"/>
                <w:i/>
                <w:sz w:val="16"/>
                <w:szCs w:val="16"/>
                <w:lang w:val="en-US"/>
              </w:rPr>
              <w:t>n1-n2</w:t>
            </w:r>
            <w:r w:rsidRPr="00981F88">
              <w:rPr>
                <w:rFonts w:ascii="Arial" w:eastAsia="SimSun" w:hAnsi="Arial" w:cs="Arial"/>
                <w:sz w:val="16"/>
                <w:szCs w:val="16"/>
                <w:lang w:val="en-US"/>
              </w:rPr>
              <w:t xml:space="preserve"> parameter] if the higher layer parameter </w:t>
            </w:r>
            <w:r w:rsidRPr="00981F88">
              <w:rPr>
                <w:rFonts w:ascii="Arial" w:eastAsia="SimSun" w:hAnsi="Arial" w:cs="Arial"/>
                <w:i/>
                <w:iCs/>
                <w:sz w:val="16"/>
                <w:szCs w:val="16"/>
                <w:lang w:val="en-US"/>
              </w:rPr>
              <w:t>codebookType</w:t>
            </w:r>
            <w:r w:rsidRPr="00981F88">
              <w:rPr>
                <w:rFonts w:ascii="Arial" w:eastAsia="SimSun" w:hAnsi="Arial" w:cs="Arial"/>
                <w:sz w:val="16"/>
                <w:szCs w:val="16"/>
                <w:lang w:val="en-US"/>
              </w:rPr>
              <w:t xml:space="preserve"> is set to 'typeI-SinglePanel' or with [</w:t>
            </w:r>
            <w:r w:rsidRPr="00981F88">
              <w:rPr>
                <w:rFonts w:ascii="Arial" w:eastAsia="SimSun" w:hAnsi="Arial" w:cs="Arial"/>
                <w:i/>
                <w:iCs/>
                <w:sz w:val="16"/>
                <w:szCs w:val="16"/>
                <w:lang w:val="en-US"/>
              </w:rPr>
              <w:t>ng</w:t>
            </w:r>
            <w:r w:rsidRPr="00981F88">
              <w:rPr>
                <w:rFonts w:ascii="Arial" w:eastAsia="SimSun" w:hAnsi="Arial" w:cs="Arial"/>
                <w:sz w:val="16"/>
                <w:szCs w:val="16"/>
                <w:lang w:val="en-US"/>
              </w:rPr>
              <w:t>-</w:t>
            </w:r>
            <w:r w:rsidRPr="00981F88">
              <w:rPr>
                <w:rFonts w:ascii="Arial" w:eastAsia="SimSun" w:hAnsi="Arial" w:cs="Arial"/>
                <w:i/>
                <w:sz w:val="16"/>
                <w:szCs w:val="16"/>
                <w:lang w:val="en-US"/>
              </w:rPr>
              <w:t>n1-n2</w:t>
            </w:r>
            <w:r w:rsidRPr="00981F88">
              <w:rPr>
                <w:rFonts w:ascii="Arial" w:eastAsia="SimSun" w:hAnsi="Arial" w:cs="Arial"/>
                <w:sz w:val="16"/>
                <w:szCs w:val="16"/>
                <w:lang w:val="en-US"/>
              </w:rPr>
              <w:t xml:space="preserve"> parameter] if the higher layer parameter </w:t>
            </w:r>
            <w:r w:rsidRPr="00981F88">
              <w:rPr>
                <w:rFonts w:ascii="Arial" w:eastAsia="SimSun" w:hAnsi="Arial" w:cs="Arial"/>
                <w:i/>
                <w:iCs/>
                <w:sz w:val="16"/>
                <w:szCs w:val="16"/>
                <w:lang w:val="en-US"/>
              </w:rPr>
              <w:t>codebookType</w:t>
            </w:r>
            <w:r w:rsidRPr="00981F88">
              <w:rPr>
                <w:rFonts w:ascii="Arial" w:eastAsia="SimSun" w:hAnsi="Arial" w:cs="Arial"/>
                <w:sz w:val="16"/>
                <w:szCs w:val="16"/>
                <w:lang w:val="en-US"/>
              </w:rPr>
              <w:t xml:space="preserve"> is set to 'typeI-MultiPanel', and, if the corresponding number of antenna ports of the subset is 2, with </w:t>
            </w:r>
            <w:r w:rsidRPr="00981F88">
              <w:rPr>
                <w:rFonts w:ascii="Arial" w:eastAsia="SimSun" w:hAnsi="Arial" w:cs="Arial"/>
                <w:i/>
                <w:iCs/>
                <w:sz w:val="16"/>
                <w:szCs w:val="16"/>
                <w:lang w:val="en-US"/>
              </w:rPr>
              <w:t>twoTX-CodebookSubsetRestriction</w:t>
            </w:r>
            <w:r w:rsidRPr="00981F88">
              <w:rPr>
                <w:rFonts w:ascii="Arial" w:eastAsia="SimSun" w:hAnsi="Arial" w:cs="Arial"/>
                <w:sz w:val="16"/>
                <w:szCs w:val="16"/>
                <w:lang w:val="en-US"/>
              </w:rPr>
              <w:t>, where the parameters [RI restriction],  [</w:t>
            </w:r>
            <w:r w:rsidRPr="00981F88">
              <w:rPr>
                <w:rFonts w:ascii="Arial" w:eastAsia="SimSun" w:hAnsi="Arial" w:cs="Arial"/>
                <w:i/>
                <w:sz w:val="16"/>
                <w:szCs w:val="16"/>
                <w:lang w:val="en-US"/>
              </w:rPr>
              <w:t>n1-n2],</w:t>
            </w:r>
            <w:r w:rsidRPr="00981F88">
              <w:rPr>
                <w:rFonts w:ascii="Arial" w:eastAsia="SimSun" w:hAnsi="Arial" w:cs="Arial"/>
                <w:sz w:val="16"/>
                <w:szCs w:val="16"/>
                <w:lang w:val="en-US"/>
              </w:rPr>
              <w:t xml:space="preserve"> [</w:t>
            </w:r>
            <w:r w:rsidRPr="00981F88">
              <w:rPr>
                <w:rFonts w:ascii="Arial" w:eastAsia="SimSun" w:hAnsi="Arial" w:cs="Arial"/>
                <w:i/>
                <w:iCs/>
                <w:sz w:val="16"/>
                <w:szCs w:val="16"/>
                <w:lang w:val="en-US"/>
              </w:rPr>
              <w:t>ng</w:t>
            </w:r>
            <w:r w:rsidRPr="00981F88">
              <w:rPr>
                <w:rFonts w:ascii="Arial" w:eastAsia="SimSun" w:hAnsi="Arial" w:cs="Arial"/>
                <w:sz w:val="16"/>
                <w:szCs w:val="16"/>
                <w:lang w:val="en-US"/>
              </w:rPr>
              <w:t>-</w:t>
            </w:r>
            <w:r w:rsidRPr="00981F88">
              <w:rPr>
                <w:rFonts w:ascii="Arial" w:eastAsia="SimSun" w:hAnsi="Arial" w:cs="Arial"/>
                <w:i/>
                <w:sz w:val="16"/>
                <w:szCs w:val="16"/>
                <w:lang w:val="en-US"/>
              </w:rPr>
              <w:t>n1-n2],</w:t>
            </w:r>
            <w:r w:rsidRPr="00981F88">
              <w:rPr>
                <w:rFonts w:ascii="Arial" w:eastAsia="SimSun" w:hAnsi="Arial" w:cs="Arial"/>
                <w:sz w:val="16"/>
                <w:szCs w:val="16"/>
                <w:lang w:val="en-US"/>
              </w:rPr>
              <w:t xml:space="preserve"> </w:t>
            </w:r>
            <w:r w:rsidRPr="00981F88">
              <w:rPr>
                <w:rFonts w:ascii="Arial" w:eastAsia="SimSun" w:hAnsi="Arial" w:cs="Arial"/>
                <w:i/>
                <w:iCs/>
                <w:sz w:val="16"/>
                <w:szCs w:val="16"/>
                <w:lang w:val="en-US"/>
              </w:rPr>
              <w:t>twoTX-CodebookSubsetRestriction</w:t>
            </w:r>
            <w:r w:rsidRPr="00981F88">
              <w:rPr>
                <w:rFonts w:ascii="Arial" w:eastAsia="SimSun" w:hAnsi="Arial" w:cs="Arial"/>
                <w:sz w:val="16"/>
                <w:szCs w:val="16"/>
                <w:lang w:val="en-US"/>
              </w:rPr>
              <w:t xml:space="preserve"> are as described in Clauses 5.2.2.2.1 and 5.2.2.2.2.</w:t>
            </w:r>
          </w:p>
          <w:p w14:paraId="211D6EB4" w14:textId="77777777" w:rsidR="00981F88" w:rsidRPr="00981F88" w:rsidRDefault="00981F88" w:rsidP="00981F88">
            <w:pPr>
              <w:ind w:left="568" w:hanging="284"/>
              <w:rPr>
                <w:rFonts w:ascii="Arial" w:eastAsia="SimSun" w:hAnsi="Arial" w:cs="Arial"/>
                <w:iCs/>
                <w:sz w:val="16"/>
                <w:szCs w:val="16"/>
                <w:lang w:val="en-US"/>
              </w:rPr>
            </w:pPr>
            <w:r w:rsidRPr="00981F88">
              <w:rPr>
                <w:rFonts w:ascii="Arial" w:eastAsia="SimSun" w:hAnsi="Arial" w:cs="Arial"/>
                <w:sz w:val="16"/>
                <w:szCs w:val="16"/>
                <w:lang w:val="en-US"/>
              </w:rPr>
              <w:t>-</w:t>
            </w:r>
            <w:r w:rsidRPr="00981F88">
              <w:rPr>
                <w:rFonts w:ascii="Arial" w:eastAsia="SimSun" w:hAnsi="Arial" w:cs="Arial"/>
                <w:sz w:val="16"/>
                <w:szCs w:val="16"/>
                <w:lang w:val="en-US"/>
              </w:rPr>
              <w:tab/>
            </w:r>
            <w:r w:rsidRPr="00981F88">
              <w:rPr>
                <w:rFonts w:ascii="Arial" w:eastAsia="SimSun" w:hAnsi="Arial" w:cs="Arial"/>
                <w:sz w:val="16"/>
                <w:szCs w:val="16"/>
              </w:rPr>
              <w:t>A sub-configuration can be configured with a list of NZP CSI-RS resources, provided by [</w:t>
            </w:r>
            <w:r w:rsidRPr="00981F88">
              <w:rPr>
                <w:rFonts w:ascii="Arial" w:eastAsia="SimSun" w:hAnsi="Arial" w:cs="Arial"/>
                <w:i/>
                <w:iCs/>
                <w:sz w:val="16"/>
                <w:szCs w:val="16"/>
              </w:rPr>
              <w:t>nzp-CSI-RS-resourceList</w:t>
            </w:r>
            <w:r w:rsidRPr="00981F88">
              <w:rPr>
                <w:rFonts w:ascii="Arial" w:eastAsia="SimSun" w:hAnsi="Arial" w:cs="Arial"/>
                <w:sz w:val="16"/>
                <w:szCs w:val="16"/>
              </w:rPr>
              <w:t xml:space="preserve">], which indicates one or more NZP CSI-RS resources, within </w:t>
            </w:r>
            <w:del w:id="638" w:author="Stephen Grant" w:date="2023-11-16T18:00:00Z">
              <w:r w:rsidRPr="00981F88">
                <w:rPr>
                  <w:rFonts w:ascii="Arial" w:eastAsia="SimSun" w:hAnsi="Arial" w:cs="Arial"/>
                  <w:sz w:val="16"/>
                  <w:szCs w:val="16"/>
                </w:rPr>
                <w:delText xml:space="preserve">the </w:delText>
              </w:r>
            </w:del>
            <w:ins w:id="639" w:author="Stephen Grant" w:date="2023-11-16T18:00:00Z">
              <w:r w:rsidRPr="00981F88">
                <w:rPr>
                  <w:rFonts w:ascii="Arial" w:eastAsia="SimSun" w:hAnsi="Arial" w:cs="Arial"/>
                  <w:sz w:val="16"/>
                  <w:szCs w:val="16"/>
                </w:rPr>
                <w:t xml:space="preserve">a </w:t>
              </w:r>
            </w:ins>
            <w:r w:rsidRPr="00981F88">
              <w:rPr>
                <w:rFonts w:ascii="Arial" w:eastAsia="SimSun" w:hAnsi="Arial" w:cs="Arial"/>
                <w:i/>
                <w:iCs/>
                <w:sz w:val="16"/>
                <w:szCs w:val="16"/>
              </w:rPr>
              <w:t xml:space="preserve">NZP-CSI-RS-ResourceSet </w:t>
            </w:r>
            <w:r w:rsidRPr="00981F88">
              <w:rPr>
                <w:rFonts w:ascii="Arial" w:eastAsia="SimSun" w:hAnsi="Arial" w:cs="Arial"/>
                <w:sz w:val="16"/>
                <w:szCs w:val="16"/>
              </w:rPr>
              <w:t xml:space="preserve">contained in the </w:t>
            </w:r>
            <w:r w:rsidRPr="00981F88">
              <w:rPr>
                <w:rFonts w:ascii="Arial" w:eastAsia="SimSun" w:hAnsi="Arial" w:cs="Arial"/>
                <w:i/>
                <w:iCs/>
                <w:sz w:val="16"/>
                <w:szCs w:val="16"/>
              </w:rPr>
              <w:t>CSI-ResourceConfig</w:t>
            </w:r>
            <w:r w:rsidRPr="00981F88">
              <w:rPr>
                <w:rFonts w:ascii="Arial" w:eastAsia="SimSun" w:hAnsi="Arial" w:cs="Arial"/>
                <w:sz w:val="16"/>
                <w:szCs w:val="16"/>
              </w:rPr>
              <w:t xml:space="preserve"> for channel measurement which corresponds to the </w:t>
            </w:r>
            <w:r w:rsidRPr="00981F88">
              <w:rPr>
                <w:rFonts w:ascii="Arial" w:eastAsia="SimSun" w:hAnsi="Arial" w:cs="Arial"/>
                <w:i/>
                <w:sz w:val="16"/>
                <w:szCs w:val="16"/>
              </w:rPr>
              <w:t>CSI-ReportConfig.</w:t>
            </w:r>
            <w:ins w:id="640" w:author="Stephen Grant" w:date="2023-11-16T18:21:00Z">
              <w:r w:rsidRPr="00981F88">
                <w:rPr>
                  <w:rFonts w:ascii="Arial" w:eastAsia="SimSun" w:hAnsi="Arial" w:cs="Arial"/>
                  <w:iCs/>
                  <w:sz w:val="16"/>
                  <w:szCs w:val="16"/>
                </w:rPr>
                <w:t xml:space="preserve"> </w:t>
              </w:r>
            </w:ins>
          </w:p>
          <w:p w14:paraId="012CC3D7" w14:textId="77777777" w:rsidR="00981F88" w:rsidRPr="00981F88" w:rsidRDefault="00981F88" w:rsidP="00981F88">
            <w:pPr>
              <w:ind w:left="568" w:hanging="284"/>
              <w:rPr>
                <w:rFonts w:ascii="Arial" w:eastAsia="SimSun" w:hAnsi="Arial" w:cs="Arial"/>
                <w:sz w:val="16"/>
                <w:szCs w:val="16"/>
                <w:lang w:val="en-US"/>
              </w:rPr>
            </w:pPr>
            <w:r w:rsidRPr="00981F88">
              <w:rPr>
                <w:rFonts w:ascii="Arial" w:eastAsia="SimSun" w:hAnsi="Arial" w:cs="Arial"/>
                <w:iCs/>
                <w:sz w:val="16"/>
                <w:szCs w:val="16"/>
              </w:rPr>
              <w:t xml:space="preserve">[The list of NZP CSI-RS resources is identical to or has no intersection with a list of NZP CSI-RS resources configured for any other sub-configuration(s) within the </w:t>
            </w:r>
            <w:r w:rsidRPr="00981F88">
              <w:rPr>
                <w:rFonts w:ascii="Arial" w:eastAsia="SimSun" w:hAnsi="Arial" w:cs="Arial"/>
                <w:i/>
                <w:iCs/>
                <w:sz w:val="16"/>
                <w:szCs w:val="16"/>
              </w:rPr>
              <w:t>CSI-ReportConfig</w:t>
            </w:r>
            <w:r w:rsidRPr="00981F88">
              <w:rPr>
                <w:rFonts w:ascii="Arial" w:eastAsia="SimSun" w:hAnsi="Arial" w:cs="Arial"/>
                <w:iCs/>
                <w:sz w:val="16"/>
                <w:szCs w:val="16"/>
              </w:rPr>
              <w:t>.]</w:t>
            </w:r>
          </w:p>
          <w:p w14:paraId="2D61B76B" w14:textId="77777777" w:rsidR="00981F88" w:rsidRPr="00981F88" w:rsidRDefault="00981F88" w:rsidP="00981F88">
            <w:pPr>
              <w:ind w:left="568" w:hanging="284"/>
              <w:rPr>
                <w:rFonts w:ascii="Arial" w:eastAsia="SimSun" w:hAnsi="Arial" w:cs="Arial"/>
                <w:sz w:val="16"/>
                <w:szCs w:val="16"/>
                <w:lang w:val="en-US"/>
              </w:rPr>
            </w:pPr>
            <w:r w:rsidRPr="00981F88">
              <w:rPr>
                <w:rFonts w:ascii="Arial" w:eastAsia="SimSun" w:hAnsi="Arial" w:cs="Arial"/>
                <w:sz w:val="16"/>
                <w:szCs w:val="16"/>
                <w:lang w:val="en-US"/>
              </w:rPr>
              <w:t>-</w:t>
            </w:r>
            <w:r w:rsidRPr="00981F88">
              <w:rPr>
                <w:rFonts w:ascii="Arial" w:eastAsia="SimSun" w:hAnsi="Arial" w:cs="Arial"/>
                <w:sz w:val="16"/>
                <w:szCs w:val="16"/>
                <w:lang w:val="en-US"/>
              </w:rPr>
              <w:tab/>
            </w:r>
            <w:r w:rsidRPr="00981F88">
              <w:rPr>
                <w:rFonts w:ascii="Arial" w:eastAsia="SimSun" w:hAnsi="Arial" w:cs="Arial"/>
                <w:sz w:val="16"/>
                <w:szCs w:val="16"/>
              </w:rPr>
              <w:t>A sub-configuration can be configured with a power offset provided by [</w:t>
            </w:r>
            <w:r w:rsidRPr="00981F88">
              <w:rPr>
                <w:rFonts w:ascii="Arial" w:eastAsia="SimSun" w:hAnsi="Arial" w:cs="Arial"/>
                <w:i/>
                <w:iCs/>
                <w:sz w:val="16"/>
                <w:szCs w:val="16"/>
              </w:rPr>
              <w:t>powerOffse</w:t>
            </w:r>
            <w:r w:rsidRPr="00981F88">
              <w:rPr>
                <w:rFonts w:ascii="Arial" w:eastAsia="SimSun" w:hAnsi="Arial" w:cs="Arial"/>
                <w:sz w:val="16"/>
                <w:szCs w:val="16"/>
              </w:rPr>
              <w:t>t].</w:t>
            </w:r>
          </w:p>
          <w:p w14:paraId="18C65313" w14:textId="77777777" w:rsidR="00981F88" w:rsidRPr="00981F88" w:rsidRDefault="00981F88" w:rsidP="00981F88">
            <w:pPr>
              <w:ind w:left="568" w:hanging="284"/>
              <w:rPr>
                <w:rFonts w:ascii="Arial" w:eastAsia="SimSun" w:hAnsi="Arial" w:cs="Arial"/>
                <w:sz w:val="16"/>
                <w:szCs w:val="16"/>
                <w:lang w:val="en-US"/>
              </w:rPr>
            </w:pPr>
            <w:r w:rsidRPr="00981F88">
              <w:rPr>
                <w:rFonts w:ascii="Arial" w:eastAsia="SimSun" w:hAnsi="Arial" w:cs="Arial"/>
                <w:sz w:val="16"/>
                <w:szCs w:val="16"/>
                <w:lang w:val="en-US"/>
              </w:rPr>
              <w:t>-</w:t>
            </w:r>
            <w:r w:rsidRPr="00981F88">
              <w:rPr>
                <w:rFonts w:ascii="Arial" w:eastAsia="SimSun" w:hAnsi="Arial" w:cs="Arial"/>
                <w:sz w:val="16"/>
                <w:szCs w:val="16"/>
                <w:lang w:val="en-US"/>
              </w:rPr>
              <w:tab/>
            </w:r>
            <w:r w:rsidRPr="00981F88">
              <w:rPr>
                <w:rFonts w:ascii="Arial" w:eastAsia="SimSun" w:hAnsi="Arial" w:cs="Arial"/>
                <w:sz w:val="16"/>
                <w:szCs w:val="16"/>
              </w:rPr>
              <w:t xml:space="preserve">If </w:t>
            </w:r>
            <w:r w:rsidRPr="00981F88">
              <w:rPr>
                <w:rFonts w:ascii="Arial" w:eastAsia="SimSun" w:hAnsi="Arial" w:cs="Arial"/>
                <w:sz w:val="16"/>
                <w:szCs w:val="16"/>
                <w:lang w:val="en-US"/>
              </w:rPr>
              <w:t xml:space="preserve">a </w:t>
            </w:r>
            <w:r w:rsidRPr="00981F88">
              <w:rPr>
                <w:rFonts w:ascii="Arial" w:eastAsia="SimSun" w:hAnsi="Arial" w:cs="Arial"/>
                <w:sz w:val="16"/>
                <w:szCs w:val="16"/>
              </w:rPr>
              <w:t>sub-configuration</w:t>
            </w:r>
            <w:del w:id="641" w:author="Stephen Grant" w:date="2023-11-16T18:25:00Z">
              <w:r w:rsidRPr="00981F88">
                <w:rPr>
                  <w:rFonts w:ascii="Arial" w:eastAsia="SimSun" w:hAnsi="Arial" w:cs="Arial"/>
                  <w:sz w:val="16"/>
                  <w:szCs w:val="16"/>
                </w:rPr>
                <w:delText>s</w:delText>
              </w:r>
            </w:del>
            <w:r w:rsidRPr="00981F88">
              <w:rPr>
                <w:rFonts w:ascii="Arial" w:eastAsia="SimSun" w:hAnsi="Arial" w:cs="Arial"/>
                <w:sz w:val="16"/>
                <w:szCs w:val="16"/>
              </w:rPr>
              <w:t xml:space="preserve"> </w:t>
            </w:r>
            <w:r w:rsidRPr="00981F88">
              <w:rPr>
                <w:rFonts w:ascii="Arial" w:eastAsia="SimSun" w:hAnsi="Arial" w:cs="Arial"/>
                <w:sz w:val="16"/>
                <w:szCs w:val="16"/>
                <w:lang w:val="en-US"/>
              </w:rPr>
              <w:t>is not configured with [</w:t>
            </w:r>
            <w:r w:rsidRPr="00981F88">
              <w:rPr>
                <w:rFonts w:ascii="Arial" w:eastAsia="SimSun" w:hAnsi="Arial" w:cs="Arial"/>
                <w:i/>
                <w:iCs/>
                <w:sz w:val="16"/>
                <w:szCs w:val="16"/>
                <w:lang w:val="en-US"/>
              </w:rPr>
              <w:t>nzp-CSI-RS-resourceList</w:t>
            </w:r>
            <w:r w:rsidRPr="00981F88">
              <w:rPr>
                <w:rFonts w:ascii="Arial" w:eastAsia="SimSun" w:hAnsi="Arial" w:cs="Arial"/>
                <w:sz w:val="16"/>
                <w:szCs w:val="16"/>
                <w:lang w:val="en-US"/>
              </w:rPr>
              <w:t>]</w:t>
            </w:r>
            <w:r w:rsidRPr="00981F88">
              <w:rPr>
                <w:rFonts w:ascii="Arial" w:eastAsia="SimSun" w:hAnsi="Arial" w:cs="Arial"/>
                <w:sz w:val="16"/>
                <w:szCs w:val="16"/>
              </w:rPr>
              <w:t xml:space="preserve"> then </w:t>
            </w:r>
            <w:r w:rsidRPr="00981F88">
              <w:rPr>
                <w:rFonts w:ascii="Arial" w:eastAsia="SimSun" w:hAnsi="Arial" w:cs="Arial"/>
                <w:sz w:val="16"/>
                <w:szCs w:val="16"/>
                <w:lang w:val="en-US"/>
              </w:rPr>
              <w:t xml:space="preserve">the </w:t>
            </w:r>
            <w:r w:rsidRPr="00981F88">
              <w:rPr>
                <w:rFonts w:ascii="Arial" w:eastAsia="SimSun" w:hAnsi="Arial" w:cs="Arial"/>
                <w:sz w:val="16"/>
                <w:szCs w:val="16"/>
              </w:rPr>
              <w:t xml:space="preserve">sub-configuration shall be associated with all the NZP CSI-RS resources within </w:t>
            </w:r>
            <w:del w:id="642" w:author="Stephen Grant" w:date="2023-11-16T18:00:00Z">
              <w:r w:rsidRPr="00981F88">
                <w:rPr>
                  <w:rFonts w:ascii="Arial" w:eastAsia="SimSun" w:hAnsi="Arial" w:cs="Arial"/>
                  <w:sz w:val="16"/>
                  <w:szCs w:val="16"/>
                </w:rPr>
                <w:delText xml:space="preserve">the </w:delText>
              </w:r>
            </w:del>
            <w:ins w:id="643" w:author="Stephen Grant" w:date="2023-11-16T18:00:00Z">
              <w:r w:rsidRPr="00981F88">
                <w:rPr>
                  <w:rFonts w:ascii="Arial" w:eastAsia="SimSun" w:hAnsi="Arial" w:cs="Arial"/>
                  <w:sz w:val="16"/>
                  <w:szCs w:val="16"/>
                </w:rPr>
                <w:t xml:space="preserve">a </w:t>
              </w:r>
            </w:ins>
            <w:r w:rsidRPr="00981F88">
              <w:rPr>
                <w:rFonts w:ascii="Arial" w:eastAsia="SimSun" w:hAnsi="Arial" w:cs="Arial"/>
                <w:i/>
                <w:iCs/>
                <w:sz w:val="16"/>
                <w:szCs w:val="16"/>
              </w:rPr>
              <w:t xml:space="preserve">NZP-CSI-RS-ResourceSet </w:t>
            </w:r>
            <w:r w:rsidRPr="00981F88">
              <w:rPr>
                <w:rFonts w:ascii="Arial" w:eastAsia="SimSun" w:hAnsi="Arial" w:cs="Arial"/>
                <w:sz w:val="16"/>
                <w:szCs w:val="16"/>
              </w:rPr>
              <w:t xml:space="preserve">contained in the </w:t>
            </w:r>
            <w:r w:rsidRPr="00981F88">
              <w:rPr>
                <w:rFonts w:ascii="Arial" w:eastAsia="SimSun" w:hAnsi="Arial" w:cs="Arial"/>
                <w:i/>
                <w:iCs/>
                <w:sz w:val="16"/>
                <w:szCs w:val="16"/>
              </w:rPr>
              <w:t>CSI-ResourceConfig</w:t>
            </w:r>
            <w:r w:rsidRPr="00981F88">
              <w:rPr>
                <w:rFonts w:ascii="Arial" w:eastAsia="SimSun" w:hAnsi="Arial" w:cs="Arial"/>
                <w:sz w:val="16"/>
                <w:szCs w:val="16"/>
              </w:rPr>
              <w:t xml:space="preserve"> for channel measurement which corresponds to the </w:t>
            </w:r>
            <w:r w:rsidRPr="00981F88">
              <w:rPr>
                <w:rFonts w:ascii="Arial" w:eastAsia="SimSun" w:hAnsi="Arial" w:cs="Arial"/>
                <w:i/>
                <w:sz w:val="16"/>
                <w:szCs w:val="16"/>
              </w:rPr>
              <w:t>CSI-ReportConfig.</w:t>
            </w:r>
          </w:p>
          <w:p w14:paraId="0B6DBEA9" w14:textId="77777777" w:rsidR="00981F88" w:rsidRPr="00981F88" w:rsidRDefault="00981F88" w:rsidP="00981F88">
            <w:pPr>
              <w:ind w:left="568" w:hanging="284"/>
              <w:rPr>
                <w:rFonts w:ascii="Arial" w:eastAsia="SimSun" w:hAnsi="Arial" w:cs="Arial"/>
                <w:sz w:val="16"/>
                <w:szCs w:val="16"/>
                <w:lang w:val="en-US"/>
              </w:rPr>
            </w:pPr>
            <w:r w:rsidRPr="00981F88">
              <w:rPr>
                <w:rFonts w:ascii="Arial" w:eastAsia="SimSun" w:hAnsi="Arial" w:cs="Arial"/>
                <w:sz w:val="16"/>
                <w:szCs w:val="16"/>
                <w:lang w:val="en-US"/>
              </w:rPr>
              <w:t>-</w:t>
            </w:r>
            <w:r w:rsidRPr="00981F88">
              <w:rPr>
                <w:rFonts w:ascii="Arial" w:eastAsia="SimSun" w:hAnsi="Arial" w:cs="Arial"/>
                <w:sz w:val="16"/>
                <w:szCs w:val="16"/>
                <w:lang w:val="en-US"/>
              </w:rPr>
              <w:tab/>
              <w:t xml:space="preserve">the UE reports CSI(s) for one or more sub-configurations according to Clauses 5.2.1.5.1, 5.2.1.5.2, 5.2.3 and 5.2.4, and according to the higher layer parameter </w:t>
            </w:r>
            <w:r w:rsidRPr="00981F88">
              <w:rPr>
                <w:rFonts w:ascii="Arial" w:eastAsia="SimSun" w:hAnsi="Arial" w:cs="Arial"/>
                <w:i/>
                <w:iCs/>
                <w:sz w:val="16"/>
                <w:szCs w:val="16"/>
                <w:lang w:val="en-US"/>
              </w:rPr>
              <w:t>reportQuantity</w:t>
            </w:r>
            <w:r w:rsidRPr="00981F88">
              <w:rPr>
                <w:rFonts w:ascii="Arial" w:eastAsia="SimSun" w:hAnsi="Arial" w:cs="Arial"/>
                <w:sz w:val="16"/>
                <w:szCs w:val="16"/>
                <w:lang w:val="en-US"/>
              </w:rPr>
              <w:t xml:space="preserve"> configured for that </w:t>
            </w:r>
            <w:r w:rsidRPr="00981F88">
              <w:rPr>
                <w:rFonts w:ascii="Arial" w:eastAsia="SimSun" w:hAnsi="Arial" w:cs="Arial"/>
                <w:i/>
                <w:iCs/>
                <w:sz w:val="16"/>
                <w:szCs w:val="16"/>
                <w:lang w:val="en-US"/>
              </w:rPr>
              <w:t>CSI-ReportConfig</w:t>
            </w:r>
            <w:r w:rsidRPr="00981F88">
              <w:rPr>
                <w:rFonts w:ascii="Arial" w:eastAsia="SimSun" w:hAnsi="Arial" w:cs="Arial"/>
                <w:sz w:val="16"/>
                <w:szCs w:val="16"/>
                <w:lang w:val="en-US"/>
              </w:rPr>
              <w:t>.</w:t>
            </w:r>
          </w:p>
          <w:p w14:paraId="0C37FE73" w14:textId="77777777" w:rsidR="00981F88" w:rsidRPr="00981F88" w:rsidRDefault="00981F88" w:rsidP="00981F88">
            <w:pPr>
              <w:jc w:val="center"/>
              <w:rPr>
                <w:rFonts w:ascii="Arial" w:eastAsia="Times New Roman" w:hAnsi="Arial" w:cs="Arial"/>
                <w:color w:val="FF0000"/>
                <w:sz w:val="16"/>
                <w:szCs w:val="16"/>
              </w:rPr>
            </w:pPr>
            <w:r w:rsidRPr="00981F88">
              <w:rPr>
                <w:rFonts w:ascii="Arial" w:eastAsia="Times New Roman" w:hAnsi="Arial" w:cs="Arial"/>
                <w:color w:val="FF0000"/>
                <w:sz w:val="16"/>
                <w:szCs w:val="16"/>
              </w:rPr>
              <w:t>*** Text omitted ***</w:t>
            </w:r>
          </w:p>
        </w:tc>
      </w:tr>
    </w:tbl>
    <w:p w14:paraId="24A4CBA1" w14:textId="77777777" w:rsidR="00B4478D" w:rsidRDefault="00B4478D" w:rsidP="00314D6C">
      <w:pPr>
        <w:rPr>
          <w:lang w:eastAsia="x-none"/>
        </w:rPr>
      </w:pPr>
    </w:p>
    <w:p w14:paraId="6DD3DDB5" w14:textId="77777777" w:rsidR="00981F88" w:rsidRDefault="00981F88" w:rsidP="00314D6C">
      <w:pPr>
        <w:rPr>
          <w:lang w:eastAsia="x-none"/>
        </w:rPr>
      </w:pPr>
    </w:p>
    <w:p w14:paraId="741E7506" w14:textId="4419F86D" w:rsidR="00981F88" w:rsidRPr="009537ED" w:rsidRDefault="00981F88" w:rsidP="00314D6C">
      <w:pPr>
        <w:rPr>
          <w:lang w:eastAsia="x-none"/>
        </w:rPr>
      </w:pPr>
      <w:r>
        <w:rPr>
          <w:lang w:eastAsia="x-none"/>
        </w:rPr>
        <w:t xml:space="preserve">Final summary in </w:t>
      </w:r>
      <w:hyperlink r:id="rId1343" w:history="1">
        <w:r w:rsidR="00AF7253">
          <w:rPr>
            <w:rStyle w:val="Hyperlink"/>
            <w:lang w:eastAsia="x-none"/>
          </w:rPr>
          <w:t>R1-2312639</w:t>
        </w:r>
      </w:hyperlink>
      <w:r>
        <w:rPr>
          <w:lang w:eastAsia="x-none"/>
        </w:rPr>
        <w:t>.</w:t>
      </w:r>
    </w:p>
    <w:p w14:paraId="787BB7B4" w14:textId="77777777" w:rsidR="00F74A6F" w:rsidRPr="009537ED" w:rsidRDefault="00F74A6F" w:rsidP="003065A3">
      <w:pPr>
        <w:pStyle w:val="Heading3"/>
      </w:pPr>
      <w:bookmarkStart w:id="644" w:name="_Toc150174469"/>
      <w:bookmarkStart w:id="645" w:name="_Toc159251011"/>
      <w:r w:rsidRPr="009537ED">
        <w:t>Enhancements on cell DTX/DRX mechanism</w:t>
      </w:r>
      <w:bookmarkEnd w:id="644"/>
      <w:bookmarkEnd w:id="645"/>
      <w:r w:rsidRPr="009537ED" w:rsidDel="00AB348F">
        <w:t xml:space="preserve"> </w:t>
      </w:r>
    </w:p>
    <w:p w14:paraId="3D437F62" w14:textId="70C68313" w:rsidR="00F74A6F" w:rsidRPr="009537ED" w:rsidRDefault="005A18DC" w:rsidP="00F74A6F">
      <w:pPr>
        <w:rPr>
          <w:lang w:eastAsia="x-none"/>
        </w:rPr>
      </w:pPr>
      <w:hyperlink r:id="rId1344" w:history="1">
        <w:r w:rsidR="00AF7253">
          <w:rPr>
            <w:rStyle w:val="Hyperlink"/>
            <w:lang w:eastAsia="x-none"/>
          </w:rPr>
          <w:t>R1-2310864</w:t>
        </w:r>
      </w:hyperlink>
      <w:r w:rsidR="00F74A6F" w:rsidRPr="009537ED">
        <w:rPr>
          <w:lang w:eastAsia="x-none"/>
        </w:rPr>
        <w:tab/>
        <w:t>Maintenance of Cell DTX/DRX for NES</w:t>
      </w:r>
      <w:r w:rsidR="00F74A6F" w:rsidRPr="009537ED">
        <w:rPr>
          <w:lang w:eastAsia="x-none"/>
        </w:rPr>
        <w:tab/>
        <w:t>Huawei, HiSilicon</w:t>
      </w:r>
    </w:p>
    <w:p w14:paraId="617AAA57" w14:textId="51CB5653" w:rsidR="00F74A6F" w:rsidRPr="009537ED" w:rsidRDefault="005A18DC" w:rsidP="00F74A6F">
      <w:pPr>
        <w:rPr>
          <w:lang w:eastAsia="x-none"/>
        </w:rPr>
      </w:pPr>
      <w:hyperlink r:id="rId1345" w:history="1">
        <w:r w:rsidR="00AF7253">
          <w:rPr>
            <w:rStyle w:val="Hyperlink"/>
            <w:lang w:eastAsia="x-none"/>
          </w:rPr>
          <w:t>R1-2310986</w:t>
        </w:r>
      </w:hyperlink>
      <w:r w:rsidR="00F74A6F" w:rsidRPr="009537ED">
        <w:rPr>
          <w:lang w:eastAsia="x-none"/>
        </w:rPr>
        <w:tab/>
        <w:t>Enhancements on cell DTX/DRX mechanism</w:t>
      </w:r>
      <w:r w:rsidR="00F74A6F" w:rsidRPr="009537ED">
        <w:rPr>
          <w:lang w:eastAsia="x-none"/>
        </w:rPr>
        <w:tab/>
        <w:t>Nokia, Nokia Shanghai Bell</w:t>
      </w:r>
    </w:p>
    <w:p w14:paraId="39E5C058" w14:textId="54804549" w:rsidR="00F74A6F" w:rsidRPr="009537ED" w:rsidRDefault="005A18DC" w:rsidP="00F74A6F">
      <w:pPr>
        <w:rPr>
          <w:lang w:eastAsia="x-none"/>
        </w:rPr>
      </w:pPr>
      <w:hyperlink r:id="rId1346" w:history="1">
        <w:r w:rsidR="00AF7253">
          <w:rPr>
            <w:rStyle w:val="Hyperlink"/>
            <w:lang w:eastAsia="x-none"/>
          </w:rPr>
          <w:t>R1-2310994</w:t>
        </w:r>
      </w:hyperlink>
      <w:r w:rsidR="00F74A6F" w:rsidRPr="009537ED">
        <w:rPr>
          <w:lang w:eastAsia="x-none"/>
        </w:rPr>
        <w:tab/>
        <w:t>Discussion on cell DTX/DRX</w:t>
      </w:r>
      <w:r w:rsidR="00F74A6F" w:rsidRPr="009537ED">
        <w:rPr>
          <w:lang w:eastAsia="x-none"/>
        </w:rPr>
        <w:tab/>
        <w:t>ZTE, Sanechips</w:t>
      </w:r>
    </w:p>
    <w:p w14:paraId="3E10C9A9" w14:textId="6B7678DC" w:rsidR="00F74A6F" w:rsidRPr="009537ED" w:rsidRDefault="005A18DC" w:rsidP="00F74A6F">
      <w:pPr>
        <w:rPr>
          <w:lang w:eastAsia="x-none"/>
        </w:rPr>
      </w:pPr>
      <w:hyperlink r:id="rId1347" w:history="1">
        <w:r w:rsidR="00AF7253">
          <w:rPr>
            <w:rStyle w:val="Hyperlink"/>
            <w:lang w:eastAsia="x-none"/>
          </w:rPr>
          <w:t>R1-2311052</w:t>
        </w:r>
      </w:hyperlink>
      <w:r w:rsidR="00F74A6F" w:rsidRPr="009537ED">
        <w:rPr>
          <w:lang w:eastAsia="x-none"/>
        </w:rPr>
        <w:tab/>
        <w:t>Remaining details on cell DTX DRX mechanism</w:t>
      </w:r>
      <w:r w:rsidR="00F74A6F" w:rsidRPr="009537ED">
        <w:rPr>
          <w:lang w:eastAsia="x-none"/>
        </w:rPr>
        <w:tab/>
        <w:t>Fujitsu</w:t>
      </w:r>
    </w:p>
    <w:p w14:paraId="25151C22" w14:textId="06DFA540" w:rsidR="00F74A6F" w:rsidRPr="009537ED" w:rsidRDefault="005A18DC" w:rsidP="00F74A6F">
      <w:pPr>
        <w:rPr>
          <w:lang w:eastAsia="x-none"/>
        </w:rPr>
      </w:pPr>
      <w:hyperlink r:id="rId1348" w:history="1">
        <w:r w:rsidR="00AF7253">
          <w:rPr>
            <w:rStyle w:val="Hyperlink"/>
            <w:lang w:eastAsia="x-none"/>
          </w:rPr>
          <w:t>R1-2311103</w:t>
        </w:r>
      </w:hyperlink>
      <w:r w:rsidR="00F74A6F" w:rsidRPr="009537ED">
        <w:rPr>
          <w:lang w:eastAsia="x-none"/>
        </w:rPr>
        <w:tab/>
        <w:t>Remaining issues on enhancements on cell DTX/DRX mechanism</w:t>
      </w:r>
      <w:r w:rsidR="00F74A6F" w:rsidRPr="009537ED">
        <w:rPr>
          <w:lang w:eastAsia="x-none"/>
        </w:rPr>
        <w:tab/>
        <w:t>vivo</w:t>
      </w:r>
    </w:p>
    <w:p w14:paraId="35E4FF9F" w14:textId="09B44827" w:rsidR="00F74A6F" w:rsidRPr="009537ED" w:rsidRDefault="005A18DC" w:rsidP="00F74A6F">
      <w:pPr>
        <w:rPr>
          <w:lang w:eastAsia="x-none"/>
        </w:rPr>
      </w:pPr>
      <w:hyperlink r:id="rId1349" w:history="1">
        <w:r w:rsidR="00AF7253">
          <w:rPr>
            <w:rStyle w:val="Hyperlink"/>
            <w:lang w:eastAsia="x-none"/>
          </w:rPr>
          <w:t>R1-2311138</w:t>
        </w:r>
      </w:hyperlink>
      <w:r w:rsidR="00F74A6F" w:rsidRPr="009537ED">
        <w:rPr>
          <w:lang w:eastAsia="x-none"/>
        </w:rPr>
        <w:tab/>
      </w:r>
      <w:r w:rsidR="003065A3" w:rsidRPr="009537ED">
        <w:rPr>
          <w:lang w:eastAsia="x-none"/>
        </w:rPr>
        <w:t>Maintenance</w:t>
      </w:r>
      <w:r w:rsidR="00F74A6F" w:rsidRPr="009537ED">
        <w:rPr>
          <w:lang w:eastAsia="x-none"/>
        </w:rPr>
        <w:t xml:space="preserve"> issues of NES cell DTX/DRX operations</w:t>
      </w:r>
      <w:r w:rsidR="00F74A6F" w:rsidRPr="009537ED">
        <w:rPr>
          <w:lang w:eastAsia="x-none"/>
        </w:rPr>
        <w:tab/>
        <w:t>Intel Corporation</w:t>
      </w:r>
    </w:p>
    <w:p w14:paraId="2D2F443D" w14:textId="48CEBC1F" w:rsidR="00F74A6F" w:rsidRPr="009537ED" w:rsidRDefault="005A18DC" w:rsidP="00F74A6F">
      <w:pPr>
        <w:rPr>
          <w:lang w:eastAsia="x-none"/>
        </w:rPr>
      </w:pPr>
      <w:hyperlink r:id="rId1350" w:history="1">
        <w:r w:rsidR="00AF7253">
          <w:rPr>
            <w:rStyle w:val="Hyperlink"/>
            <w:lang w:eastAsia="x-none"/>
          </w:rPr>
          <w:t>R1-2311171</w:t>
        </w:r>
      </w:hyperlink>
      <w:r w:rsidR="00F74A6F" w:rsidRPr="009537ED">
        <w:rPr>
          <w:lang w:eastAsia="x-none"/>
        </w:rPr>
        <w:tab/>
        <w:t>Remaining issues on enhancements on cell DTX/DRX mechanism</w:t>
      </w:r>
      <w:r w:rsidR="00F74A6F" w:rsidRPr="009537ED">
        <w:rPr>
          <w:lang w:eastAsia="x-none"/>
        </w:rPr>
        <w:tab/>
        <w:t>Spreadtrum Communications</w:t>
      </w:r>
    </w:p>
    <w:p w14:paraId="0959AAF6" w14:textId="0A8D7137" w:rsidR="00F74A6F" w:rsidRPr="009537ED" w:rsidRDefault="005A18DC" w:rsidP="00F74A6F">
      <w:pPr>
        <w:rPr>
          <w:lang w:eastAsia="x-none"/>
        </w:rPr>
      </w:pPr>
      <w:hyperlink r:id="rId1351" w:history="1">
        <w:r w:rsidR="00AF7253">
          <w:rPr>
            <w:rStyle w:val="Hyperlink"/>
            <w:lang w:eastAsia="x-none"/>
          </w:rPr>
          <w:t>R1-2311244</w:t>
        </w:r>
      </w:hyperlink>
      <w:r w:rsidR="00F74A6F" w:rsidRPr="009537ED">
        <w:rPr>
          <w:lang w:eastAsia="x-none"/>
        </w:rPr>
        <w:tab/>
        <w:t>Discussion on remaining issue for enhancements on cell DTX/DRX mechanism</w:t>
      </w:r>
      <w:r w:rsidR="00F74A6F" w:rsidRPr="009537ED">
        <w:rPr>
          <w:lang w:eastAsia="x-none"/>
        </w:rPr>
        <w:tab/>
        <w:t>OPPO</w:t>
      </w:r>
    </w:p>
    <w:p w14:paraId="500047D4" w14:textId="4B6E0CDC" w:rsidR="00F74A6F" w:rsidRPr="009537ED" w:rsidRDefault="005A18DC" w:rsidP="00F74A6F">
      <w:pPr>
        <w:rPr>
          <w:lang w:eastAsia="x-none"/>
        </w:rPr>
      </w:pPr>
      <w:hyperlink r:id="rId1352" w:history="1">
        <w:r w:rsidR="00AF7253">
          <w:rPr>
            <w:rStyle w:val="Hyperlink"/>
            <w:lang w:eastAsia="x-none"/>
          </w:rPr>
          <w:t>R1-2311348</w:t>
        </w:r>
      </w:hyperlink>
      <w:r w:rsidR="00F74A6F" w:rsidRPr="009537ED">
        <w:rPr>
          <w:lang w:eastAsia="x-none"/>
        </w:rPr>
        <w:tab/>
        <w:t>DTX/DRX for network Energy Saving</w:t>
      </w:r>
      <w:r w:rsidR="00F74A6F" w:rsidRPr="009537ED">
        <w:rPr>
          <w:lang w:eastAsia="x-none"/>
        </w:rPr>
        <w:tab/>
        <w:t>CATT</w:t>
      </w:r>
    </w:p>
    <w:p w14:paraId="35D06D27" w14:textId="7532C72A" w:rsidR="00F74A6F" w:rsidRPr="009537ED" w:rsidRDefault="005A18DC" w:rsidP="00F74A6F">
      <w:pPr>
        <w:rPr>
          <w:lang w:eastAsia="x-none"/>
        </w:rPr>
      </w:pPr>
      <w:hyperlink r:id="rId1353" w:history="1">
        <w:r w:rsidR="00AF7253">
          <w:rPr>
            <w:rStyle w:val="Hyperlink"/>
            <w:lang w:eastAsia="x-none"/>
          </w:rPr>
          <w:t>R1-2311359</w:t>
        </w:r>
      </w:hyperlink>
      <w:r w:rsidR="00F74A6F" w:rsidRPr="009537ED">
        <w:rPr>
          <w:lang w:eastAsia="x-none"/>
        </w:rPr>
        <w:tab/>
        <w:t>Remaining Issues on Cell DTX/DRX</w:t>
      </w:r>
      <w:r w:rsidR="00F74A6F" w:rsidRPr="009537ED">
        <w:rPr>
          <w:lang w:eastAsia="x-none"/>
        </w:rPr>
        <w:tab/>
        <w:t>FUTUREWEI</w:t>
      </w:r>
    </w:p>
    <w:p w14:paraId="17F8428B" w14:textId="2DFDEA39" w:rsidR="00F74A6F" w:rsidRPr="009537ED" w:rsidRDefault="005A18DC" w:rsidP="00F74A6F">
      <w:pPr>
        <w:rPr>
          <w:lang w:eastAsia="x-none"/>
        </w:rPr>
      </w:pPr>
      <w:hyperlink r:id="rId1354" w:history="1">
        <w:r w:rsidR="00AF7253">
          <w:rPr>
            <w:rStyle w:val="Hyperlink"/>
            <w:lang w:eastAsia="x-none"/>
          </w:rPr>
          <w:t>R1-2311407</w:t>
        </w:r>
      </w:hyperlink>
      <w:r w:rsidR="00F74A6F" w:rsidRPr="009537ED">
        <w:rPr>
          <w:lang w:eastAsia="x-none"/>
        </w:rPr>
        <w:tab/>
        <w:t>Discussions on cell DTX-DRX for network energy saving</w:t>
      </w:r>
      <w:r w:rsidR="00F74A6F" w:rsidRPr="009537ED">
        <w:rPr>
          <w:lang w:eastAsia="x-none"/>
        </w:rPr>
        <w:tab/>
        <w:t>xiaomi</w:t>
      </w:r>
    </w:p>
    <w:p w14:paraId="2A1D8C04" w14:textId="08411DE5" w:rsidR="00F74A6F" w:rsidRPr="009537ED" w:rsidRDefault="005A18DC" w:rsidP="00F74A6F">
      <w:pPr>
        <w:rPr>
          <w:lang w:eastAsia="x-none"/>
        </w:rPr>
      </w:pPr>
      <w:hyperlink r:id="rId1355" w:history="1">
        <w:r w:rsidR="00AF7253">
          <w:rPr>
            <w:rStyle w:val="Hyperlink"/>
            <w:lang w:eastAsia="x-none"/>
          </w:rPr>
          <w:t>R1-2311488</w:t>
        </w:r>
      </w:hyperlink>
      <w:r w:rsidR="00F74A6F" w:rsidRPr="009537ED">
        <w:rPr>
          <w:lang w:eastAsia="x-none"/>
        </w:rPr>
        <w:tab/>
        <w:t>Remaining issues on cell DTX DRX mechanism for NES</w:t>
      </w:r>
      <w:r w:rsidR="00F74A6F" w:rsidRPr="009537ED">
        <w:rPr>
          <w:lang w:eastAsia="x-none"/>
        </w:rPr>
        <w:tab/>
        <w:t>CMCC</w:t>
      </w:r>
    </w:p>
    <w:p w14:paraId="4A912DCD" w14:textId="2CEE962A" w:rsidR="00F74A6F" w:rsidRPr="009537ED" w:rsidRDefault="005A18DC" w:rsidP="00F74A6F">
      <w:pPr>
        <w:rPr>
          <w:lang w:eastAsia="x-none"/>
        </w:rPr>
      </w:pPr>
      <w:hyperlink r:id="rId1356" w:history="1">
        <w:r w:rsidR="00AF7253">
          <w:rPr>
            <w:rStyle w:val="Hyperlink"/>
            <w:lang w:eastAsia="x-none"/>
          </w:rPr>
          <w:t>R1-2311511</w:t>
        </w:r>
      </w:hyperlink>
      <w:r w:rsidR="00F74A6F" w:rsidRPr="009537ED">
        <w:rPr>
          <w:lang w:eastAsia="x-none"/>
        </w:rPr>
        <w:tab/>
        <w:t>Remaining issues on cell DTX/DRX configuration for Network Energy Saving</w:t>
      </w:r>
      <w:r w:rsidR="00F74A6F" w:rsidRPr="009537ED">
        <w:rPr>
          <w:lang w:eastAsia="x-none"/>
        </w:rPr>
        <w:tab/>
        <w:t>NEC</w:t>
      </w:r>
    </w:p>
    <w:p w14:paraId="3E96DBBA" w14:textId="075EE369" w:rsidR="00F74A6F" w:rsidRPr="009537ED" w:rsidRDefault="005A18DC" w:rsidP="00F74A6F">
      <w:pPr>
        <w:rPr>
          <w:lang w:eastAsia="x-none"/>
        </w:rPr>
      </w:pPr>
      <w:hyperlink r:id="rId1357" w:history="1">
        <w:r w:rsidR="00AF7253">
          <w:rPr>
            <w:rStyle w:val="Hyperlink"/>
            <w:lang w:eastAsia="x-none"/>
          </w:rPr>
          <w:t>R1-2311536</w:t>
        </w:r>
      </w:hyperlink>
      <w:r w:rsidR="00F74A6F" w:rsidRPr="009537ED">
        <w:rPr>
          <w:lang w:eastAsia="x-none"/>
        </w:rPr>
        <w:tab/>
        <w:t>Remaining issues on cell DTX/DRX mechanism</w:t>
      </w:r>
      <w:r w:rsidR="00F74A6F" w:rsidRPr="009537ED">
        <w:rPr>
          <w:lang w:eastAsia="x-none"/>
        </w:rPr>
        <w:tab/>
        <w:t>InterDigital, Inc.</w:t>
      </w:r>
    </w:p>
    <w:p w14:paraId="3C7848A2" w14:textId="58604862" w:rsidR="00F74A6F" w:rsidRPr="009537ED" w:rsidRDefault="005A18DC" w:rsidP="00F74A6F">
      <w:pPr>
        <w:rPr>
          <w:lang w:eastAsia="x-none"/>
        </w:rPr>
      </w:pPr>
      <w:hyperlink r:id="rId1358" w:history="1">
        <w:r w:rsidR="00AF7253">
          <w:rPr>
            <w:rStyle w:val="Hyperlink"/>
            <w:lang w:eastAsia="x-none"/>
          </w:rPr>
          <w:t>R1-2311547</w:t>
        </w:r>
      </w:hyperlink>
      <w:r w:rsidR="00F74A6F" w:rsidRPr="009537ED">
        <w:rPr>
          <w:lang w:eastAsia="x-none"/>
        </w:rPr>
        <w:tab/>
        <w:t>Remaining issues on mechanism of Cell DTX/DRX</w:t>
      </w:r>
      <w:r w:rsidR="00F74A6F" w:rsidRPr="009537ED">
        <w:rPr>
          <w:lang w:eastAsia="x-none"/>
        </w:rPr>
        <w:tab/>
        <w:t>China Telecom</w:t>
      </w:r>
    </w:p>
    <w:p w14:paraId="6D87556D" w14:textId="339A8757" w:rsidR="00F74A6F" w:rsidRPr="009537ED" w:rsidRDefault="005A18DC" w:rsidP="00F74A6F">
      <w:pPr>
        <w:rPr>
          <w:lang w:eastAsia="x-none"/>
        </w:rPr>
      </w:pPr>
      <w:hyperlink r:id="rId1359" w:history="1">
        <w:r w:rsidR="00AF7253">
          <w:rPr>
            <w:rStyle w:val="Hyperlink"/>
            <w:lang w:eastAsia="x-none"/>
          </w:rPr>
          <w:t>R1-2311575</w:t>
        </w:r>
      </w:hyperlink>
      <w:r w:rsidR="00F74A6F" w:rsidRPr="009537ED">
        <w:rPr>
          <w:lang w:eastAsia="x-none"/>
        </w:rPr>
        <w:tab/>
        <w:t>Network Energy Saving on Cell DTX and DRX</w:t>
      </w:r>
      <w:r w:rsidR="00F74A6F" w:rsidRPr="009537ED">
        <w:rPr>
          <w:lang w:eastAsia="x-none"/>
        </w:rPr>
        <w:tab/>
        <w:t>Google</w:t>
      </w:r>
    </w:p>
    <w:p w14:paraId="7BE529FC" w14:textId="51D9990D" w:rsidR="00F74A6F" w:rsidRPr="009537ED" w:rsidRDefault="005A18DC" w:rsidP="00F74A6F">
      <w:pPr>
        <w:rPr>
          <w:lang w:eastAsia="x-none"/>
        </w:rPr>
      </w:pPr>
      <w:hyperlink r:id="rId1360" w:history="1">
        <w:r w:rsidR="00AF7253">
          <w:rPr>
            <w:rStyle w:val="Hyperlink"/>
            <w:lang w:eastAsia="x-none"/>
          </w:rPr>
          <w:t>R1-2311627</w:t>
        </w:r>
      </w:hyperlink>
      <w:r w:rsidR="00F74A6F" w:rsidRPr="009537ED">
        <w:rPr>
          <w:lang w:eastAsia="x-none"/>
        </w:rPr>
        <w:tab/>
        <w:t>Maintenance on enhancements on Cell DTX/DRX mechanism</w:t>
      </w:r>
      <w:r w:rsidR="00F74A6F" w:rsidRPr="009537ED">
        <w:rPr>
          <w:lang w:eastAsia="x-none"/>
        </w:rPr>
        <w:tab/>
        <w:t>NTT DOCOMO, INC.</w:t>
      </w:r>
    </w:p>
    <w:p w14:paraId="21889E43" w14:textId="01939673" w:rsidR="00F74A6F" w:rsidRPr="009537ED" w:rsidRDefault="005A18DC" w:rsidP="00F74A6F">
      <w:pPr>
        <w:rPr>
          <w:lang w:eastAsia="x-none"/>
        </w:rPr>
      </w:pPr>
      <w:hyperlink r:id="rId1361" w:history="1">
        <w:r w:rsidR="00AF7253">
          <w:rPr>
            <w:rStyle w:val="Hyperlink"/>
            <w:lang w:eastAsia="x-none"/>
          </w:rPr>
          <w:t>R1-2311690</w:t>
        </w:r>
      </w:hyperlink>
      <w:r w:rsidR="00F74A6F" w:rsidRPr="009537ED">
        <w:rPr>
          <w:lang w:eastAsia="x-none"/>
        </w:rPr>
        <w:tab/>
        <w:t>On remaining issues for cell DTX/DRX mechanism</w:t>
      </w:r>
      <w:r w:rsidR="00F74A6F" w:rsidRPr="009537ED">
        <w:rPr>
          <w:lang w:eastAsia="x-none"/>
        </w:rPr>
        <w:tab/>
        <w:t>Apple</w:t>
      </w:r>
    </w:p>
    <w:p w14:paraId="112C319B" w14:textId="6B540FDE" w:rsidR="00F74A6F" w:rsidRPr="009537ED" w:rsidRDefault="005A18DC" w:rsidP="00F74A6F">
      <w:pPr>
        <w:rPr>
          <w:lang w:eastAsia="x-none"/>
        </w:rPr>
      </w:pPr>
      <w:hyperlink r:id="rId1362" w:history="1">
        <w:r w:rsidR="00AF7253">
          <w:rPr>
            <w:rStyle w:val="Hyperlink"/>
            <w:lang w:eastAsia="x-none"/>
          </w:rPr>
          <w:t>R1-2311754</w:t>
        </w:r>
      </w:hyperlink>
      <w:r w:rsidR="00F74A6F" w:rsidRPr="009537ED">
        <w:rPr>
          <w:lang w:eastAsia="x-none"/>
        </w:rPr>
        <w:tab/>
        <w:t>Remaining issues on cell DTX/DRX mechanism</w:t>
      </w:r>
      <w:r w:rsidR="00F74A6F" w:rsidRPr="009537ED">
        <w:rPr>
          <w:lang w:eastAsia="x-none"/>
        </w:rPr>
        <w:tab/>
        <w:t>ETRI</w:t>
      </w:r>
    </w:p>
    <w:p w14:paraId="6777C2CD" w14:textId="1C63AE39" w:rsidR="00F74A6F" w:rsidRPr="009537ED" w:rsidRDefault="005A18DC" w:rsidP="00F74A6F">
      <w:pPr>
        <w:rPr>
          <w:lang w:eastAsia="x-none"/>
        </w:rPr>
      </w:pPr>
      <w:hyperlink r:id="rId1363" w:history="1">
        <w:r w:rsidR="00AF7253">
          <w:rPr>
            <w:rStyle w:val="Hyperlink"/>
            <w:lang w:eastAsia="x-none"/>
          </w:rPr>
          <w:t>R1-2311764</w:t>
        </w:r>
      </w:hyperlink>
      <w:r w:rsidR="00F74A6F" w:rsidRPr="009537ED">
        <w:rPr>
          <w:lang w:eastAsia="x-none"/>
        </w:rPr>
        <w:tab/>
        <w:t>Remaining issues of Cell DTX/DRX enhancement for network energy saving</w:t>
      </w:r>
      <w:r w:rsidR="00F74A6F" w:rsidRPr="009537ED">
        <w:rPr>
          <w:lang w:eastAsia="x-none"/>
        </w:rPr>
        <w:tab/>
        <w:t>Panasonic</w:t>
      </w:r>
    </w:p>
    <w:p w14:paraId="787914DA" w14:textId="533F9B4E" w:rsidR="00F74A6F" w:rsidRPr="009537ED" w:rsidRDefault="005A18DC" w:rsidP="00F74A6F">
      <w:pPr>
        <w:rPr>
          <w:lang w:eastAsia="x-none"/>
        </w:rPr>
      </w:pPr>
      <w:hyperlink r:id="rId1364" w:history="1">
        <w:r w:rsidR="00AF7253">
          <w:rPr>
            <w:rStyle w:val="Hyperlink"/>
            <w:lang w:eastAsia="x-none"/>
          </w:rPr>
          <w:t>R1-2311799</w:t>
        </w:r>
      </w:hyperlink>
      <w:r w:rsidR="00F74A6F" w:rsidRPr="009537ED">
        <w:rPr>
          <w:lang w:eastAsia="x-none"/>
        </w:rPr>
        <w:tab/>
        <w:t>Remaining issues on enhancement on cell DTXDRX mechanism</w:t>
      </w:r>
      <w:r w:rsidR="00F74A6F" w:rsidRPr="009537ED">
        <w:rPr>
          <w:lang w:eastAsia="x-none"/>
        </w:rPr>
        <w:tab/>
        <w:t>Transsion Holdings</w:t>
      </w:r>
    </w:p>
    <w:p w14:paraId="5821DBFD" w14:textId="73963F13" w:rsidR="00F74A6F" w:rsidRPr="009537ED" w:rsidRDefault="005A18DC" w:rsidP="00F74A6F">
      <w:pPr>
        <w:rPr>
          <w:lang w:eastAsia="x-none"/>
        </w:rPr>
      </w:pPr>
      <w:hyperlink r:id="rId1365" w:history="1">
        <w:r w:rsidR="00AF7253">
          <w:rPr>
            <w:rStyle w:val="Hyperlink"/>
            <w:lang w:eastAsia="x-none"/>
          </w:rPr>
          <w:t>R1-2311850</w:t>
        </w:r>
      </w:hyperlink>
      <w:r w:rsidR="00F74A6F" w:rsidRPr="009537ED">
        <w:rPr>
          <w:lang w:eastAsia="x-none"/>
        </w:rPr>
        <w:tab/>
        <w:t>Remaining issues on cell DTX/DRX mechanism</w:t>
      </w:r>
      <w:r w:rsidR="00F74A6F" w:rsidRPr="009537ED">
        <w:rPr>
          <w:lang w:eastAsia="x-none"/>
        </w:rPr>
        <w:tab/>
        <w:t>Samsung</w:t>
      </w:r>
    </w:p>
    <w:p w14:paraId="26016F39" w14:textId="45490435" w:rsidR="00F74A6F" w:rsidRPr="009537ED" w:rsidRDefault="005A18DC" w:rsidP="00F74A6F">
      <w:pPr>
        <w:rPr>
          <w:lang w:eastAsia="x-none"/>
        </w:rPr>
      </w:pPr>
      <w:hyperlink r:id="rId1366" w:history="1">
        <w:r w:rsidR="00AF7253">
          <w:rPr>
            <w:rStyle w:val="Hyperlink"/>
            <w:lang w:eastAsia="x-none"/>
          </w:rPr>
          <w:t>R1-2311896</w:t>
        </w:r>
      </w:hyperlink>
      <w:r w:rsidR="00F74A6F" w:rsidRPr="009537ED">
        <w:rPr>
          <w:lang w:eastAsia="x-none"/>
        </w:rPr>
        <w:tab/>
        <w:t>Remaining issues of cell DTX/DRX mechanism</w:t>
      </w:r>
      <w:r w:rsidR="00F74A6F" w:rsidRPr="009537ED">
        <w:rPr>
          <w:lang w:eastAsia="x-none"/>
        </w:rPr>
        <w:tab/>
        <w:t>LG Electronics</w:t>
      </w:r>
    </w:p>
    <w:p w14:paraId="2014B048" w14:textId="1B7B4FE2" w:rsidR="00F74A6F" w:rsidRPr="009537ED" w:rsidRDefault="005A18DC" w:rsidP="00F74A6F">
      <w:pPr>
        <w:rPr>
          <w:lang w:eastAsia="x-none"/>
        </w:rPr>
      </w:pPr>
      <w:hyperlink r:id="rId1367" w:history="1">
        <w:r w:rsidR="00AF7253">
          <w:rPr>
            <w:rStyle w:val="Hyperlink"/>
            <w:lang w:eastAsia="x-none"/>
          </w:rPr>
          <w:t>R1-2311939</w:t>
        </w:r>
      </w:hyperlink>
      <w:r w:rsidR="00F74A6F" w:rsidRPr="009537ED">
        <w:rPr>
          <w:lang w:eastAsia="x-none"/>
        </w:rPr>
        <w:tab/>
        <w:t>Maintenance on enhancements on cell DTX/DRX mechanism</w:t>
      </w:r>
      <w:r w:rsidR="00F74A6F" w:rsidRPr="009537ED">
        <w:rPr>
          <w:lang w:eastAsia="x-none"/>
        </w:rPr>
        <w:tab/>
        <w:t>Lenovo</w:t>
      </w:r>
    </w:p>
    <w:p w14:paraId="54BB7413" w14:textId="3FAEC95E" w:rsidR="00F74A6F" w:rsidRPr="009537ED" w:rsidRDefault="005A18DC" w:rsidP="00F74A6F">
      <w:pPr>
        <w:rPr>
          <w:lang w:eastAsia="x-none"/>
        </w:rPr>
      </w:pPr>
      <w:hyperlink r:id="rId1368" w:history="1">
        <w:r w:rsidR="00AF7253">
          <w:rPr>
            <w:rStyle w:val="Hyperlink"/>
            <w:lang w:eastAsia="x-none"/>
          </w:rPr>
          <w:t>R1-2311981</w:t>
        </w:r>
      </w:hyperlink>
      <w:r w:rsidR="00F74A6F" w:rsidRPr="009537ED">
        <w:rPr>
          <w:lang w:eastAsia="x-none"/>
        </w:rPr>
        <w:tab/>
        <w:t>Maintenance on cell DTX/DRX mechanism</w:t>
      </w:r>
      <w:r w:rsidR="00F74A6F" w:rsidRPr="009537ED">
        <w:rPr>
          <w:lang w:eastAsia="x-none"/>
        </w:rPr>
        <w:tab/>
        <w:t>MediaTek Inc.</w:t>
      </w:r>
    </w:p>
    <w:p w14:paraId="3660E667" w14:textId="6072DBBB" w:rsidR="00F74A6F" w:rsidRPr="009537ED" w:rsidRDefault="005A18DC" w:rsidP="00F74A6F">
      <w:pPr>
        <w:rPr>
          <w:lang w:eastAsia="x-none"/>
        </w:rPr>
      </w:pPr>
      <w:hyperlink r:id="rId1369" w:history="1">
        <w:r w:rsidR="00AF7253">
          <w:rPr>
            <w:rStyle w:val="Hyperlink"/>
            <w:lang w:eastAsia="x-none"/>
          </w:rPr>
          <w:t>R1-2312042</w:t>
        </w:r>
      </w:hyperlink>
      <w:r w:rsidR="00F74A6F" w:rsidRPr="009537ED">
        <w:rPr>
          <w:lang w:eastAsia="x-none"/>
        </w:rPr>
        <w:tab/>
        <w:t>Remaining aspects of cell DTX and DRX</w:t>
      </w:r>
      <w:r w:rsidR="00F74A6F" w:rsidRPr="009537ED">
        <w:rPr>
          <w:lang w:eastAsia="x-none"/>
        </w:rPr>
        <w:tab/>
        <w:t>Qualcomm Incorporated</w:t>
      </w:r>
    </w:p>
    <w:p w14:paraId="3E73CDAB" w14:textId="563A832F" w:rsidR="00F74A6F" w:rsidRPr="009537ED" w:rsidRDefault="005A18DC" w:rsidP="00F74A6F">
      <w:pPr>
        <w:rPr>
          <w:lang w:eastAsia="x-none"/>
        </w:rPr>
      </w:pPr>
      <w:hyperlink r:id="rId1370" w:history="1">
        <w:r w:rsidR="00AF7253">
          <w:rPr>
            <w:rStyle w:val="Hyperlink"/>
            <w:lang w:eastAsia="x-none"/>
          </w:rPr>
          <w:t>R1-2312101</w:t>
        </w:r>
      </w:hyperlink>
      <w:r w:rsidR="00F74A6F" w:rsidRPr="009537ED">
        <w:rPr>
          <w:lang w:eastAsia="x-none"/>
        </w:rPr>
        <w:tab/>
        <w:t>Maintenance for cell DTX/DRX</w:t>
      </w:r>
      <w:r w:rsidR="00F74A6F" w:rsidRPr="009537ED">
        <w:rPr>
          <w:lang w:eastAsia="x-none"/>
        </w:rPr>
        <w:tab/>
        <w:t>Ericsson</w:t>
      </w:r>
    </w:p>
    <w:p w14:paraId="7BA5E133" w14:textId="33E0DFEE" w:rsidR="00F74A6F" w:rsidRPr="009537ED" w:rsidRDefault="005A18DC" w:rsidP="00F74A6F">
      <w:pPr>
        <w:rPr>
          <w:lang w:eastAsia="x-none"/>
        </w:rPr>
      </w:pPr>
      <w:hyperlink r:id="rId1371" w:history="1">
        <w:r w:rsidR="00AF7253">
          <w:rPr>
            <w:rStyle w:val="Hyperlink"/>
            <w:lang w:eastAsia="x-none"/>
          </w:rPr>
          <w:t>R1-2312112</w:t>
        </w:r>
      </w:hyperlink>
      <w:r w:rsidR="00F74A6F" w:rsidRPr="009537ED">
        <w:rPr>
          <w:lang w:eastAsia="x-none"/>
        </w:rPr>
        <w:tab/>
        <w:t>Correction on cell DTX DRX</w:t>
      </w:r>
      <w:r w:rsidR="00F74A6F" w:rsidRPr="009537ED">
        <w:rPr>
          <w:lang w:eastAsia="x-none"/>
        </w:rPr>
        <w:tab/>
        <w:t>ASUSTeK</w:t>
      </w:r>
    </w:p>
    <w:p w14:paraId="25BD57B1" w14:textId="27BF3E05" w:rsidR="00F74A6F" w:rsidRPr="009537ED" w:rsidRDefault="005A18DC" w:rsidP="00F74A6F">
      <w:pPr>
        <w:rPr>
          <w:lang w:eastAsia="x-none"/>
        </w:rPr>
      </w:pPr>
      <w:hyperlink r:id="rId1372" w:history="1">
        <w:r w:rsidR="00AF7253">
          <w:rPr>
            <w:rStyle w:val="Hyperlink"/>
            <w:lang w:eastAsia="x-none"/>
          </w:rPr>
          <w:t>R1-2312161</w:t>
        </w:r>
      </w:hyperlink>
      <w:r w:rsidR="00F74A6F" w:rsidRPr="009537ED">
        <w:rPr>
          <w:lang w:eastAsia="x-none"/>
        </w:rPr>
        <w:tab/>
        <w:t>Discussion on cell DTX/DRX mechanism</w:t>
      </w:r>
      <w:r w:rsidR="00F74A6F" w:rsidRPr="009537ED">
        <w:rPr>
          <w:lang w:eastAsia="x-none"/>
        </w:rPr>
        <w:tab/>
        <w:t>CEWiT</w:t>
      </w:r>
    </w:p>
    <w:p w14:paraId="096B72E8" w14:textId="77777777" w:rsidR="003065A3" w:rsidRPr="009537ED" w:rsidRDefault="003065A3" w:rsidP="00F74A6F">
      <w:pPr>
        <w:rPr>
          <w:lang w:eastAsia="x-none"/>
        </w:rPr>
      </w:pPr>
    </w:p>
    <w:p w14:paraId="0E23C0EB" w14:textId="110F3752" w:rsidR="003065A3" w:rsidRPr="009537ED" w:rsidRDefault="005A18DC" w:rsidP="003065A3">
      <w:pPr>
        <w:rPr>
          <w:lang w:eastAsia="x-none"/>
        </w:rPr>
      </w:pPr>
      <w:hyperlink r:id="rId1373" w:history="1">
        <w:r w:rsidR="00AF7253">
          <w:rPr>
            <w:rStyle w:val="Hyperlink"/>
            <w:lang w:eastAsia="x-none"/>
          </w:rPr>
          <w:t>R1-2312313</w:t>
        </w:r>
      </w:hyperlink>
      <w:r w:rsidR="003065A3" w:rsidRPr="009537ED">
        <w:rPr>
          <w:lang w:eastAsia="x-none"/>
        </w:rPr>
        <w:tab/>
        <w:t>Summary of maintenance issues for enhancements on cell DTX/DRX mechanism</w:t>
      </w:r>
      <w:r w:rsidR="003065A3" w:rsidRPr="009537ED">
        <w:rPr>
          <w:lang w:eastAsia="x-none"/>
        </w:rPr>
        <w:tab/>
        <w:t>Moderator (Intel Corporation)</w:t>
      </w:r>
    </w:p>
    <w:p w14:paraId="0CACAF6C" w14:textId="5876CAF5" w:rsidR="003065A3" w:rsidRPr="009537ED" w:rsidRDefault="005A18DC" w:rsidP="003065A3">
      <w:pPr>
        <w:rPr>
          <w:b/>
          <w:bCs/>
          <w:lang w:eastAsia="x-none"/>
        </w:rPr>
      </w:pPr>
      <w:hyperlink r:id="rId1374" w:history="1">
        <w:r w:rsidR="00AF7253">
          <w:rPr>
            <w:rStyle w:val="Hyperlink"/>
            <w:b/>
            <w:bCs/>
            <w:lang w:eastAsia="x-none"/>
          </w:rPr>
          <w:t>R1-2312314</w:t>
        </w:r>
      </w:hyperlink>
      <w:r w:rsidR="003065A3" w:rsidRPr="009537ED">
        <w:rPr>
          <w:b/>
          <w:bCs/>
          <w:lang w:eastAsia="x-none"/>
        </w:rPr>
        <w:tab/>
        <w:t>Discussion summary #1 for enhancements on cell DTX/DRX mechanism</w:t>
      </w:r>
      <w:r w:rsidR="003065A3" w:rsidRPr="009537ED">
        <w:rPr>
          <w:b/>
          <w:bCs/>
          <w:lang w:eastAsia="x-none"/>
        </w:rPr>
        <w:tab/>
        <w:t>Moderator (Intel Corporation)</w:t>
      </w:r>
    </w:p>
    <w:p w14:paraId="1F5C941A" w14:textId="25FC6A5E" w:rsidR="003065A3" w:rsidRPr="009537ED" w:rsidRDefault="003065A3" w:rsidP="003065A3">
      <w:pPr>
        <w:rPr>
          <w:lang w:eastAsia="x-none"/>
        </w:rPr>
      </w:pPr>
      <w:r w:rsidRPr="009537ED">
        <w:rPr>
          <w:lang w:eastAsia="x-none"/>
        </w:rPr>
        <w:t>From Monday session</w:t>
      </w:r>
    </w:p>
    <w:p w14:paraId="3DAA79EB" w14:textId="77777777" w:rsidR="003065A3" w:rsidRPr="009537ED" w:rsidRDefault="003065A3" w:rsidP="003065A3">
      <w:pPr>
        <w:rPr>
          <w:highlight w:val="green"/>
          <w:lang w:eastAsia="x-none"/>
        </w:rPr>
      </w:pPr>
      <w:r w:rsidRPr="009537ED">
        <w:rPr>
          <w:highlight w:val="green"/>
          <w:lang w:eastAsia="x-none"/>
        </w:rPr>
        <w:t>Agreement</w:t>
      </w:r>
    </w:p>
    <w:p w14:paraId="5014095B" w14:textId="77777777" w:rsidR="003065A3" w:rsidRPr="009537ED" w:rsidRDefault="003065A3" w:rsidP="00A76E0D">
      <w:pPr>
        <w:numPr>
          <w:ilvl w:val="0"/>
          <w:numId w:val="92"/>
        </w:numPr>
        <w:suppressAutoHyphens/>
        <w:overflowPunct w:val="0"/>
        <w:spacing w:line="254" w:lineRule="auto"/>
        <w:rPr>
          <w:lang w:eastAsia="x-none"/>
        </w:rPr>
      </w:pPr>
      <w:r w:rsidRPr="009537ED">
        <w:rPr>
          <w:szCs w:val="20"/>
          <w:lang w:eastAsia="zh-CN"/>
        </w:rPr>
        <w:t>In DCI format 2-9, add NES-mode indication in block for Pcell.</w:t>
      </w:r>
    </w:p>
    <w:p w14:paraId="2BB7D1DC" w14:textId="77777777" w:rsidR="003065A3" w:rsidRPr="009537ED" w:rsidRDefault="003065A3" w:rsidP="00A76E0D">
      <w:pPr>
        <w:numPr>
          <w:ilvl w:val="1"/>
          <w:numId w:val="92"/>
        </w:numPr>
        <w:suppressAutoHyphens/>
        <w:overflowPunct w:val="0"/>
        <w:spacing w:line="254" w:lineRule="auto"/>
        <w:rPr>
          <w:lang w:eastAsia="x-none"/>
        </w:rPr>
      </w:pPr>
      <w:r w:rsidRPr="009537ED">
        <w:rPr>
          <w:szCs w:val="20"/>
          <w:lang w:eastAsia="zh-CN"/>
        </w:rPr>
        <w:t>NES-mode indication may be 0 or 1 bit for Pcell depending on the indication for CHO is configured.</w:t>
      </w:r>
    </w:p>
    <w:p w14:paraId="45FAAAAE" w14:textId="77777777" w:rsidR="003065A3" w:rsidRPr="009537ED" w:rsidRDefault="003065A3" w:rsidP="00A76E0D">
      <w:pPr>
        <w:numPr>
          <w:ilvl w:val="1"/>
          <w:numId w:val="92"/>
        </w:numPr>
        <w:suppressAutoHyphens/>
        <w:overflowPunct w:val="0"/>
        <w:spacing w:line="254" w:lineRule="auto"/>
        <w:rPr>
          <w:lang w:eastAsia="x-none"/>
        </w:rPr>
      </w:pPr>
      <w:r w:rsidRPr="009537ED">
        <w:rPr>
          <w:szCs w:val="20"/>
          <w:lang w:eastAsia="zh-CN"/>
        </w:rPr>
        <w:lastRenderedPageBreak/>
        <w:t>Number of bits for cell DTX/DRX (de)activation between 0, 1, and 2 bits and number of bits for NES-mode between 0 and 1 bit is determined by RRC parameters.</w:t>
      </w:r>
    </w:p>
    <w:p w14:paraId="3C72B32C" w14:textId="77777777" w:rsidR="003065A3" w:rsidRPr="009537ED" w:rsidRDefault="003065A3" w:rsidP="003065A3">
      <w:pPr>
        <w:jc w:val="both"/>
        <w:rPr>
          <w:sz w:val="22"/>
          <w:szCs w:val="22"/>
          <w:lang w:eastAsia="zh-CN"/>
        </w:rPr>
      </w:pPr>
    </w:p>
    <w:p w14:paraId="17507049" w14:textId="77777777" w:rsidR="003065A3" w:rsidRPr="009537ED" w:rsidRDefault="003065A3" w:rsidP="003065A3">
      <w:pPr>
        <w:rPr>
          <w:highlight w:val="green"/>
          <w:lang w:eastAsia="x-none"/>
        </w:rPr>
      </w:pPr>
      <w:r w:rsidRPr="009537ED">
        <w:rPr>
          <w:highlight w:val="green"/>
          <w:lang w:eastAsia="x-none"/>
        </w:rPr>
        <w:t>Agreement</w:t>
      </w:r>
    </w:p>
    <w:p w14:paraId="03F05712" w14:textId="77777777" w:rsidR="003065A3" w:rsidRPr="009537ED" w:rsidRDefault="003065A3" w:rsidP="00A76E0D">
      <w:pPr>
        <w:numPr>
          <w:ilvl w:val="0"/>
          <w:numId w:val="92"/>
        </w:numPr>
        <w:suppressAutoHyphens/>
        <w:overflowPunct w:val="0"/>
        <w:spacing w:line="254" w:lineRule="auto"/>
        <w:rPr>
          <w:lang w:eastAsia="x-none"/>
        </w:rPr>
      </w:pPr>
      <w:r w:rsidRPr="009537ED">
        <w:rPr>
          <w:lang w:eastAsia="x-none"/>
        </w:rPr>
        <w:t>Adopt the follow TP for TS38.213</w:t>
      </w:r>
    </w:p>
    <w:tbl>
      <w:tblPr>
        <w:tblW w:w="5000" w:type="pct"/>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0683"/>
      </w:tblGrid>
      <w:tr w:rsidR="003065A3" w:rsidRPr="008102FC" w14:paraId="2B11B89C" w14:textId="77777777" w:rsidTr="003065A3">
        <w:tc>
          <w:tcPr>
            <w:tcW w:w="5000" w:type="pct"/>
            <w:shd w:val="clear" w:color="auto" w:fill="auto"/>
          </w:tcPr>
          <w:p w14:paraId="36490A02" w14:textId="77777777" w:rsidR="003065A3" w:rsidRPr="008102FC" w:rsidRDefault="003065A3" w:rsidP="003065A3">
            <w:pPr>
              <w:rPr>
                <w:rFonts w:ascii="Arial" w:hAnsi="Arial" w:cs="Arial"/>
                <w:b/>
                <w:bCs/>
                <w:sz w:val="16"/>
                <w:szCs w:val="16"/>
              </w:rPr>
            </w:pPr>
            <w:r w:rsidRPr="008102FC">
              <w:rPr>
                <w:rFonts w:ascii="Arial" w:hAnsi="Arial" w:cs="Arial"/>
                <w:b/>
                <w:bCs/>
                <w:sz w:val="16"/>
                <w:szCs w:val="16"/>
              </w:rPr>
              <w:t>Reason for change:</w:t>
            </w:r>
            <w:r w:rsidRPr="008102FC">
              <w:rPr>
                <w:rFonts w:ascii="Arial" w:hAnsi="Arial" w:cs="Arial"/>
                <w:sz w:val="16"/>
                <w:szCs w:val="16"/>
              </w:rPr>
              <w:t xml:space="preserve"> The parameter that defines cell DTX/DRX patterns in RAN1 spec does not align with RAN2 running CR. </w:t>
            </w:r>
          </w:p>
        </w:tc>
      </w:tr>
      <w:tr w:rsidR="003065A3" w:rsidRPr="008102FC" w14:paraId="0076F904" w14:textId="77777777" w:rsidTr="003065A3">
        <w:tc>
          <w:tcPr>
            <w:tcW w:w="5000" w:type="pct"/>
            <w:shd w:val="clear" w:color="auto" w:fill="auto"/>
          </w:tcPr>
          <w:p w14:paraId="61E3EFE4" w14:textId="77777777" w:rsidR="003065A3" w:rsidRPr="008102FC" w:rsidRDefault="003065A3" w:rsidP="003065A3">
            <w:pPr>
              <w:rPr>
                <w:rFonts w:ascii="Arial" w:hAnsi="Arial" w:cs="Arial"/>
                <w:b/>
                <w:bCs/>
                <w:sz w:val="16"/>
                <w:szCs w:val="16"/>
              </w:rPr>
            </w:pPr>
            <w:r w:rsidRPr="008102FC">
              <w:rPr>
                <w:rFonts w:ascii="Arial" w:hAnsi="Arial" w:cs="Arial"/>
                <w:b/>
                <w:bCs/>
                <w:sz w:val="16"/>
                <w:szCs w:val="16"/>
              </w:rPr>
              <w:t xml:space="preserve">Summary of change: </w:t>
            </w:r>
            <w:r w:rsidRPr="008102FC">
              <w:rPr>
                <w:rFonts w:ascii="Arial" w:hAnsi="Arial" w:cs="Arial"/>
                <w:sz w:val="16"/>
                <w:szCs w:val="16"/>
              </w:rPr>
              <w:t>Align parameter name with RAN2 .</w:t>
            </w:r>
          </w:p>
        </w:tc>
      </w:tr>
      <w:tr w:rsidR="003065A3" w:rsidRPr="008102FC" w14:paraId="6058327B" w14:textId="77777777" w:rsidTr="003065A3">
        <w:tc>
          <w:tcPr>
            <w:tcW w:w="5000" w:type="pct"/>
            <w:shd w:val="clear" w:color="auto" w:fill="auto"/>
          </w:tcPr>
          <w:p w14:paraId="6F3BB33E" w14:textId="77777777" w:rsidR="003065A3" w:rsidRPr="008102FC" w:rsidRDefault="003065A3" w:rsidP="003065A3">
            <w:pPr>
              <w:rPr>
                <w:rFonts w:ascii="Arial" w:hAnsi="Arial" w:cs="Arial"/>
                <w:b/>
                <w:bCs/>
                <w:sz w:val="16"/>
                <w:szCs w:val="16"/>
              </w:rPr>
            </w:pPr>
            <w:r w:rsidRPr="008102FC">
              <w:rPr>
                <w:rFonts w:ascii="Arial" w:hAnsi="Arial" w:cs="Arial"/>
                <w:b/>
                <w:iCs/>
                <w:sz w:val="16"/>
                <w:szCs w:val="16"/>
              </w:rPr>
              <w:t xml:space="preserve">Consequences if not approved: </w:t>
            </w:r>
            <w:r w:rsidRPr="008102FC">
              <w:rPr>
                <w:rFonts w:ascii="Arial" w:hAnsi="Arial" w:cs="Arial"/>
                <w:bCs/>
                <w:iCs/>
                <w:sz w:val="16"/>
                <w:szCs w:val="16"/>
              </w:rPr>
              <w:t xml:space="preserve">Unmatched specs. </w:t>
            </w:r>
          </w:p>
        </w:tc>
      </w:tr>
      <w:tr w:rsidR="003065A3" w:rsidRPr="008102FC" w14:paraId="348486C0" w14:textId="77777777" w:rsidTr="003065A3">
        <w:tc>
          <w:tcPr>
            <w:tcW w:w="5000" w:type="pct"/>
            <w:shd w:val="clear" w:color="auto" w:fill="auto"/>
          </w:tcPr>
          <w:p w14:paraId="32957FB6" w14:textId="77777777" w:rsidR="003065A3" w:rsidRPr="008102FC" w:rsidRDefault="003065A3" w:rsidP="008102FC">
            <w:pPr>
              <w:jc w:val="center"/>
              <w:rPr>
                <w:rFonts w:ascii="Arial" w:hAnsi="Arial" w:cs="Arial"/>
                <w:color w:val="FF0000"/>
                <w:sz w:val="16"/>
                <w:szCs w:val="16"/>
              </w:rPr>
            </w:pPr>
            <w:r w:rsidRPr="008102FC">
              <w:rPr>
                <w:rFonts w:ascii="Arial" w:hAnsi="Arial" w:cs="Arial"/>
                <w:color w:val="FF0000"/>
                <w:sz w:val="16"/>
                <w:szCs w:val="16"/>
                <w:lang w:eastAsia="zh-CN"/>
              </w:rPr>
              <w:t xml:space="preserve">*** </w:t>
            </w:r>
            <w:r w:rsidRPr="008102FC">
              <w:rPr>
                <w:rFonts w:ascii="Arial" w:hAnsi="Arial" w:cs="Arial"/>
                <w:color w:val="FF0000"/>
                <w:sz w:val="16"/>
                <w:szCs w:val="16"/>
              </w:rPr>
              <w:t>Unchanged parts are omitted</w:t>
            </w:r>
            <w:r w:rsidRPr="008102FC">
              <w:rPr>
                <w:rFonts w:ascii="Arial" w:hAnsi="Arial" w:cs="Arial"/>
                <w:color w:val="FF0000"/>
                <w:sz w:val="16"/>
                <w:szCs w:val="16"/>
                <w:lang w:eastAsia="zh-CN"/>
              </w:rPr>
              <w:t xml:space="preserve"> ***</w:t>
            </w:r>
          </w:p>
          <w:p w14:paraId="2C513997" w14:textId="77777777" w:rsidR="003065A3" w:rsidRPr="008102FC" w:rsidRDefault="003065A3" w:rsidP="008102FC">
            <w:pPr>
              <w:rPr>
                <w:rFonts w:ascii="Arial" w:hAnsi="Arial" w:cs="Arial"/>
                <w:b/>
                <w:bCs/>
                <w:sz w:val="16"/>
                <w:szCs w:val="16"/>
              </w:rPr>
            </w:pPr>
            <w:r w:rsidRPr="008102FC">
              <w:rPr>
                <w:rFonts w:ascii="Arial" w:hAnsi="Arial" w:cs="Arial"/>
                <w:b/>
                <w:bCs/>
                <w:sz w:val="16"/>
                <w:szCs w:val="16"/>
                <w:lang w:eastAsia="zh-CN"/>
              </w:rPr>
              <w:t>11.5</w:t>
            </w:r>
            <w:r w:rsidRPr="008102FC">
              <w:rPr>
                <w:rFonts w:ascii="Arial" w:hAnsi="Arial" w:cs="Arial"/>
                <w:b/>
                <w:bCs/>
                <w:sz w:val="16"/>
                <w:szCs w:val="16"/>
                <w:lang w:eastAsia="zh-CN"/>
              </w:rPr>
              <w:tab/>
              <w:t>Adaptation of cell operation</w:t>
            </w:r>
          </w:p>
          <w:p w14:paraId="431B32D7" w14:textId="77777777" w:rsidR="003065A3" w:rsidRPr="008102FC" w:rsidRDefault="003065A3" w:rsidP="003065A3">
            <w:pPr>
              <w:rPr>
                <w:rFonts w:ascii="Arial" w:hAnsi="Arial" w:cs="Arial"/>
                <w:sz w:val="16"/>
                <w:szCs w:val="16"/>
              </w:rPr>
            </w:pPr>
            <w:r w:rsidRPr="008102FC">
              <w:rPr>
                <w:rFonts w:ascii="Arial" w:hAnsi="Arial" w:cs="Arial"/>
                <w:sz w:val="16"/>
                <w:szCs w:val="16"/>
                <w:lang w:eastAsia="zh-CN"/>
              </w:rPr>
              <w:t xml:space="preserve">A UE configured for operation on a serving cell according to </w:t>
            </w:r>
            <w:r w:rsidRPr="008102FC">
              <w:rPr>
                <w:rFonts w:ascii="Arial" w:hAnsi="Arial" w:cs="Arial"/>
                <w:color w:val="FF0000"/>
                <w:sz w:val="16"/>
                <w:szCs w:val="16"/>
                <w:lang w:eastAsia="zh-CN"/>
              </w:rPr>
              <w:t xml:space="preserve"> </w:t>
            </w:r>
            <w:r w:rsidRPr="008102FC">
              <w:rPr>
                <w:rFonts w:ascii="Arial" w:hAnsi="Arial" w:cs="Arial"/>
                <w:sz w:val="16"/>
                <w:szCs w:val="16"/>
                <w:lang w:eastAsia="zh-CN"/>
              </w:rPr>
              <w:t xml:space="preserve">one or both of a cell DTX operation </w:t>
            </w:r>
            <w:r w:rsidRPr="008102FC">
              <w:rPr>
                <w:rFonts w:ascii="Arial" w:hAnsi="Arial" w:cs="Arial"/>
                <w:strike/>
                <w:color w:val="FF0000"/>
                <w:sz w:val="16"/>
                <w:szCs w:val="16"/>
                <w:lang w:eastAsia="zh-CN"/>
              </w:rPr>
              <w:t xml:space="preserve">by </w:t>
            </w:r>
            <w:r w:rsidRPr="008102FC">
              <w:rPr>
                <w:rFonts w:ascii="Arial" w:hAnsi="Arial" w:cs="Arial"/>
                <w:i/>
                <w:iCs/>
                <w:strike/>
                <w:color w:val="FF0000"/>
                <w:sz w:val="16"/>
                <w:szCs w:val="16"/>
                <w:lang w:eastAsia="zh-CN"/>
              </w:rPr>
              <w:t>cellDTXConfig</w:t>
            </w:r>
            <w:r w:rsidRPr="008102FC">
              <w:rPr>
                <w:rFonts w:ascii="Arial" w:hAnsi="Arial" w:cs="Arial"/>
                <w:strike/>
                <w:color w:val="FF0000"/>
                <w:sz w:val="16"/>
                <w:szCs w:val="16"/>
                <w:lang w:eastAsia="zh-CN"/>
              </w:rPr>
              <w:t xml:space="preserve"> </w:t>
            </w:r>
            <w:r w:rsidRPr="008102FC">
              <w:rPr>
                <w:rFonts w:ascii="Arial" w:hAnsi="Arial" w:cs="Arial"/>
                <w:sz w:val="16"/>
                <w:szCs w:val="16"/>
                <w:lang w:eastAsia="zh-CN"/>
              </w:rPr>
              <w:t xml:space="preserve">and a cell DRX operation by </w:t>
            </w:r>
            <w:r w:rsidRPr="008102FC">
              <w:rPr>
                <w:rFonts w:ascii="Arial" w:hAnsi="Arial" w:cs="Arial"/>
                <w:color w:val="FF0000"/>
                <w:sz w:val="16"/>
                <w:szCs w:val="16"/>
                <w:u w:val="single"/>
                <w:lang w:eastAsia="zh-CN"/>
              </w:rPr>
              <w:t>c</w:t>
            </w:r>
            <w:r w:rsidRPr="008102FC">
              <w:rPr>
                <w:rFonts w:ascii="Arial" w:hAnsi="Arial" w:cs="Arial"/>
                <w:i/>
                <w:iCs/>
                <w:color w:val="FF0000"/>
                <w:sz w:val="16"/>
                <w:szCs w:val="16"/>
                <w:u w:val="single"/>
                <w:lang w:eastAsia="zh-CN"/>
              </w:rPr>
              <w:t>ellDTXDRX-Config</w:t>
            </w:r>
            <w:r w:rsidRPr="008102FC">
              <w:rPr>
                <w:rFonts w:ascii="Arial" w:hAnsi="Arial" w:cs="Arial"/>
                <w:color w:val="FF0000"/>
                <w:sz w:val="16"/>
                <w:szCs w:val="16"/>
                <w:lang w:eastAsia="zh-CN"/>
              </w:rPr>
              <w:t xml:space="preserve"> </w:t>
            </w:r>
            <w:r w:rsidRPr="008102FC">
              <w:rPr>
                <w:rFonts w:ascii="Arial" w:hAnsi="Arial" w:cs="Arial"/>
                <w:i/>
                <w:iCs/>
                <w:strike/>
                <w:color w:val="FF0000"/>
                <w:sz w:val="16"/>
                <w:szCs w:val="16"/>
                <w:lang w:eastAsia="zh-CN"/>
              </w:rPr>
              <w:t>cellDRXConfig</w:t>
            </w:r>
            <w:r w:rsidRPr="008102FC">
              <w:rPr>
                <w:rFonts w:ascii="Arial" w:hAnsi="Arial" w:cs="Arial"/>
                <w:strike/>
                <w:color w:val="FF0000"/>
                <w:sz w:val="16"/>
                <w:szCs w:val="16"/>
                <w:lang w:eastAsia="zh-CN"/>
              </w:rPr>
              <w:t xml:space="preserve"> </w:t>
            </w:r>
            <w:r w:rsidRPr="008102FC">
              <w:rPr>
                <w:rFonts w:ascii="Arial" w:hAnsi="Arial" w:cs="Arial"/>
                <w:sz w:val="16"/>
                <w:szCs w:val="16"/>
                <w:lang w:eastAsia="zh-CN"/>
              </w:rPr>
              <w:t xml:space="preserve">for the serving cell </w:t>
            </w:r>
            <w:r w:rsidRPr="008102FC">
              <w:rPr>
                <w:rFonts w:ascii="Arial" w:hAnsi="Arial" w:cs="Arial"/>
                <w:sz w:val="16"/>
                <w:szCs w:val="16"/>
              </w:rPr>
              <w:t>[11, TS 38.331],</w:t>
            </w:r>
            <w:r w:rsidRPr="008102FC">
              <w:rPr>
                <w:rFonts w:ascii="Arial" w:hAnsi="Arial" w:cs="Arial"/>
                <w:sz w:val="16"/>
                <w:szCs w:val="16"/>
                <w:lang w:eastAsia="zh-CN"/>
              </w:rPr>
              <w:t xml:space="preserve"> </w:t>
            </w:r>
            <w:r w:rsidRPr="008102FC">
              <w:rPr>
                <w:rFonts w:ascii="Arial" w:hAnsi="Arial" w:cs="Arial"/>
                <w:sz w:val="16"/>
                <w:szCs w:val="16"/>
              </w:rPr>
              <w:t xml:space="preserve">can be additionally provided by </w:t>
            </w:r>
            <w:r w:rsidRPr="008102FC">
              <w:rPr>
                <w:rFonts w:ascii="Arial" w:hAnsi="Arial" w:cs="Arial"/>
                <w:i/>
                <w:iCs/>
                <w:sz w:val="16"/>
                <w:szCs w:val="16"/>
              </w:rPr>
              <w:t>dci-Format2-9</w:t>
            </w:r>
            <w:r w:rsidRPr="008102FC">
              <w:rPr>
                <w:rFonts w:ascii="Arial" w:hAnsi="Arial" w:cs="Arial"/>
                <w:sz w:val="16"/>
                <w:szCs w:val="16"/>
              </w:rPr>
              <w:t xml:space="preserve"> a Type3-PDCCH search spaceCSS set to monitor PDCCH for detection of DCI format 2_9 </w:t>
            </w:r>
            <w:r w:rsidRPr="008102FC">
              <w:rPr>
                <w:rFonts w:ascii="Arial" w:hAnsi="Arial" w:cs="Arial"/>
                <w:sz w:val="16"/>
                <w:szCs w:val="16"/>
                <w:lang w:eastAsia="zh-CN"/>
              </w:rPr>
              <w:t xml:space="preserve">according to a common search space as described in clause 10.1, </w:t>
            </w:r>
            <w:r w:rsidRPr="008102FC">
              <w:rPr>
                <w:rFonts w:ascii="Arial" w:hAnsi="Arial" w:cs="Arial"/>
                <w:iCs/>
                <w:sz w:val="16"/>
                <w:szCs w:val="16"/>
              </w:rPr>
              <w:t xml:space="preserve">and </w:t>
            </w:r>
            <w:r w:rsidRPr="008102FC">
              <w:rPr>
                <w:rFonts w:ascii="Arial" w:hAnsi="Arial" w:cs="Arial"/>
                <w:sz w:val="16"/>
                <w:szCs w:val="16"/>
              </w:rPr>
              <w:t xml:space="preserve">a location in DCI format 2_9 by </w:t>
            </w:r>
            <w:r w:rsidRPr="008102FC">
              <w:rPr>
                <w:rFonts w:ascii="Arial" w:hAnsi="Arial" w:cs="Arial"/>
                <w:i/>
                <w:iCs/>
                <w:sz w:val="16"/>
                <w:szCs w:val="16"/>
              </w:rPr>
              <w:t>position-inDCI-NES</w:t>
            </w:r>
            <w:r w:rsidRPr="008102FC">
              <w:rPr>
                <w:rFonts w:ascii="Arial" w:hAnsi="Arial" w:cs="Arial"/>
                <w:sz w:val="16"/>
                <w:szCs w:val="16"/>
              </w:rPr>
              <w:t xml:space="preserve"> of a cell DTX/DRX indicator field for the serving cell</w:t>
            </w:r>
            <w:r w:rsidRPr="008102FC">
              <w:rPr>
                <w:rFonts w:ascii="Arial" w:hAnsi="Arial" w:cs="Arial"/>
                <w:sz w:val="16"/>
                <w:szCs w:val="16"/>
                <w:lang w:eastAsia="zh-CN"/>
              </w:rPr>
              <w:t xml:space="preserve"> </w:t>
            </w:r>
          </w:p>
          <w:p w14:paraId="057A4BE8" w14:textId="77777777" w:rsidR="003065A3" w:rsidRPr="008102FC" w:rsidRDefault="003065A3" w:rsidP="003065A3">
            <w:pPr>
              <w:numPr>
                <w:ilvl w:val="0"/>
                <w:numId w:val="56"/>
              </w:numPr>
              <w:ind w:left="568" w:hanging="284"/>
              <w:rPr>
                <w:rFonts w:ascii="Arial" w:eastAsia="MS Mincho" w:hAnsi="Arial" w:cs="Arial"/>
                <w:sz w:val="16"/>
                <w:szCs w:val="16"/>
              </w:rPr>
            </w:pPr>
            <w:r w:rsidRPr="008102FC">
              <w:rPr>
                <w:rFonts w:ascii="Arial" w:eastAsia="MS Mincho" w:hAnsi="Arial" w:cs="Arial"/>
                <w:sz w:val="16"/>
                <w:szCs w:val="16"/>
              </w:rPr>
              <w:t>-</w:t>
            </w:r>
            <w:r w:rsidRPr="008102FC">
              <w:rPr>
                <w:rFonts w:ascii="Arial" w:eastAsia="MS Mincho" w:hAnsi="Arial" w:cs="Arial"/>
                <w:sz w:val="16"/>
                <w:szCs w:val="16"/>
              </w:rPr>
              <w:tab/>
              <w:t>if the UE is configured with both cell DTX operation and cell DRX operation for the serving cell, the cell DTX/DRX indicator field includes two bits where the first bit indicates the cell DTX operation and the second bit indicates the cell DRX operation</w:t>
            </w:r>
          </w:p>
          <w:p w14:paraId="3FBEC90A" w14:textId="77777777" w:rsidR="003065A3" w:rsidRPr="008102FC" w:rsidRDefault="003065A3" w:rsidP="003065A3">
            <w:pPr>
              <w:numPr>
                <w:ilvl w:val="0"/>
                <w:numId w:val="56"/>
              </w:numPr>
              <w:ind w:left="568" w:hanging="284"/>
              <w:rPr>
                <w:rFonts w:ascii="Arial" w:eastAsia="MS Mincho" w:hAnsi="Arial" w:cs="Arial"/>
                <w:sz w:val="16"/>
                <w:szCs w:val="16"/>
              </w:rPr>
            </w:pPr>
            <w:r w:rsidRPr="008102FC">
              <w:rPr>
                <w:rFonts w:ascii="Arial" w:eastAsia="MS Mincho" w:hAnsi="Arial" w:cs="Arial"/>
                <w:sz w:val="16"/>
                <w:szCs w:val="16"/>
              </w:rPr>
              <w:t>-</w:t>
            </w:r>
            <w:r w:rsidRPr="008102FC">
              <w:rPr>
                <w:rFonts w:ascii="Arial" w:eastAsia="MS Mincho" w:hAnsi="Arial" w:cs="Arial"/>
                <w:sz w:val="16"/>
                <w:szCs w:val="16"/>
              </w:rPr>
              <w:tab/>
              <w:t>if the UE is configured with only one of the cell DTX operation and cell DRX operation for the serving cell, the cell DTX/DRX indicator field includes one bit indicating one of the cell DTX operation and cell DRX operation, respectively, for the serving cell</w:t>
            </w:r>
          </w:p>
          <w:p w14:paraId="15336299" w14:textId="77777777" w:rsidR="003065A3" w:rsidRPr="008102FC" w:rsidRDefault="003065A3" w:rsidP="003065A3">
            <w:pPr>
              <w:numPr>
                <w:ilvl w:val="0"/>
                <w:numId w:val="56"/>
              </w:numPr>
              <w:ind w:left="568" w:hanging="284"/>
              <w:rPr>
                <w:rFonts w:ascii="Arial" w:eastAsia="MS Mincho" w:hAnsi="Arial" w:cs="Arial"/>
                <w:sz w:val="16"/>
                <w:szCs w:val="16"/>
              </w:rPr>
            </w:pPr>
            <w:r w:rsidRPr="008102FC">
              <w:rPr>
                <w:rFonts w:ascii="Arial" w:eastAsia="MS Mincho" w:hAnsi="Arial" w:cs="Arial"/>
                <w:sz w:val="16"/>
                <w:szCs w:val="16"/>
              </w:rPr>
              <w:t>-</w:t>
            </w:r>
            <w:r w:rsidRPr="008102FC">
              <w:rPr>
                <w:rFonts w:ascii="Arial" w:eastAsia="MS Mincho" w:hAnsi="Arial" w:cs="Arial"/>
                <w:sz w:val="16"/>
                <w:szCs w:val="16"/>
              </w:rPr>
              <w:tab/>
              <w:t xml:space="preserve">a '0' value for a bit of the cell DTX/DRX indicator field indicates </w:t>
            </w:r>
            <w:r w:rsidRPr="008102FC">
              <w:rPr>
                <w:rFonts w:ascii="Arial" w:eastAsia="MS Mincho" w:hAnsi="Arial" w:cs="Arial"/>
                <w:sz w:val="16"/>
                <w:szCs w:val="16"/>
                <w:lang w:eastAsia="zh-CN"/>
              </w:rPr>
              <w:t xml:space="preserve">deactivation of cell </w:t>
            </w:r>
            <w:r w:rsidRPr="008102FC">
              <w:rPr>
                <w:rFonts w:ascii="Arial" w:eastAsia="MS Mincho" w:hAnsi="Arial" w:cs="Arial"/>
                <w:sz w:val="16"/>
                <w:szCs w:val="16"/>
              </w:rPr>
              <w:t>DTX or of cell DRX</w:t>
            </w:r>
          </w:p>
          <w:p w14:paraId="6F5A3283" w14:textId="77777777" w:rsidR="003065A3" w:rsidRPr="008102FC" w:rsidRDefault="003065A3" w:rsidP="003065A3">
            <w:pPr>
              <w:numPr>
                <w:ilvl w:val="0"/>
                <w:numId w:val="56"/>
              </w:numPr>
              <w:ind w:left="568" w:hanging="284"/>
              <w:rPr>
                <w:rFonts w:ascii="Arial" w:eastAsia="MS Mincho" w:hAnsi="Arial" w:cs="Arial"/>
                <w:sz w:val="16"/>
                <w:szCs w:val="16"/>
              </w:rPr>
            </w:pPr>
            <w:r w:rsidRPr="008102FC">
              <w:rPr>
                <w:rFonts w:ascii="Arial" w:eastAsia="MS Mincho" w:hAnsi="Arial" w:cs="Arial"/>
                <w:sz w:val="16"/>
                <w:szCs w:val="16"/>
              </w:rPr>
              <w:t>-</w:t>
            </w:r>
            <w:r w:rsidRPr="008102FC">
              <w:rPr>
                <w:rFonts w:ascii="Arial" w:eastAsia="MS Mincho" w:hAnsi="Arial" w:cs="Arial"/>
                <w:sz w:val="16"/>
                <w:szCs w:val="16"/>
              </w:rPr>
              <w:tab/>
              <w:t>a '1' value for a bit of the cell DTX/DRX indicator field indicates activation of cell DTX or of cell DRX</w:t>
            </w:r>
          </w:p>
          <w:p w14:paraId="7250CEDD" w14:textId="77777777" w:rsidR="003065A3" w:rsidRPr="008102FC" w:rsidRDefault="003065A3" w:rsidP="003065A3">
            <w:pPr>
              <w:numPr>
                <w:ilvl w:val="0"/>
                <w:numId w:val="56"/>
              </w:numPr>
              <w:ind w:left="568" w:hanging="284"/>
              <w:rPr>
                <w:rFonts w:ascii="Arial" w:eastAsia="MS Mincho" w:hAnsi="Arial" w:cs="Arial"/>
                <w:sz w:val="16"/>
                <w:szCs w:val="16"/>
              </w:rPr>
            </w:pPr>
            <w:r w:rsidRPr="008102FC">
              <w:rPr>
                <w:rFonts w:ascii="Arial" w:eastAsia="MS Mincho" w:hAnsi="Arial" w:cs="Arial"/>
                <w:sz w:val="16"/>
                <w:szCs w:val="16"/>
              </w:rPr>
              <w:t>-</w:t>
            </w:r>
            <w:r w:rsidRPr="008102FC">
              <w:rPr>
                <w:rFonts w:ascii="Arial" w:eastAsia="MS Mincho" w:hAnsi="Arial" w:cs="Arial"/>
                <w:sz w:val="16"/>
                <w:szCs w:val="16"/>
              </w:rPr>
              <w:tab/>
              <w:t>if the serving cell is configured with a SUL carrier, the cell DTX/DRX indicator field indication for activation or deactivation of cell DRX applies to both the UL carrier and the SUL carrier</w:t>
            </w:r>
          </w:p>
          <w:p w14:paraId="211CD71E" w14:textId="77777777" w:rsidR="003065A3" w:rsidRPr="008102FC" w:rsidRDefault="003065A3" w:rsidP="003065A3">
            <w:pPr>
              <w:rPr>
                <w:rFonts w:ascii="Arial" w:hAnsi="Arial" w:cs="Arial"/>
                <w:sz w:val="16"/>
                <w:szCs w:val="16"/>
              </w:rPr>
            </w:pPr>
            <w:r w:rsidRPr="008102FC">
              <w:rPr>
                <w:rFonts w:ascii="Arial" w:hAnsi="Arial" w:cs="Arial"/>
                <w:sz w:val="16"/>
                <w:szCs w:val="16"/>
                <w:lang w:eastAsia="zh-CN"/>
              </w:rPr>
              <w:t>A UE does not expect to monitor PDCCH for detection of DCI format 2_9 on more than one serving cells.</w:t>
            </w:r>
          </w:p>
          <w:p w14:paraId="6A7563DA" w14:textId="77777777" w:rsidR="003065A3" w:rsidRPr="008102FC" w:rsidRDefault="003065A3" w:rsidP="008102FC">
            <w:pPr>
              <w:jc w:val="center"/>
              <w:rPr>
                <w:rFonts w:ascii="Arial" w:hAnsi="Arial" w:cs="Arial"/>
                <w:color w:val="FF0000"/>
                <w:sz w:val="16"/>
                <w:szCs w:val="16"/>
              </w:rPr>
            </w:pPr>
            <w:r w:rsidRPr="008102FC">
              <w:rPr>
                <w:rFonts w:ascii="Arial" w:hAnsi="Arial" w:cs="Arial"/>
                <w:color w:val="FF0000"/>
                <w:sz w:val="16"/>
                <w:szCs w:val="16"/>
                <w:lang w:eastAsia="zh-CN"/>
              </w:rPr>
              <w:t xml:space="preserve">*** </w:t>
            </w:r>
            <w:r w:rsidRPr="008102FC">
              <w:rPr>
                <w:rFonts w:ascii="Arial" w:hAnsi="Arial" w:cs="Arial"/>
                <w:color w:val="FF0000"/>
                <w:sz w:val="16"/>
                <w:szCs w:val="16"/>
              </w:rPr>
              <w:t>Unchanged parts are omitted</w:t>
            </w:r>
            <w:r w:rsidRPr="008102FC">
              <w:rPr>
                <w:rFonts w:ascii="Arial" w:hAnsi="Arial" w:cs="Arial"/>
                <w:color w:val="FF0000"/>
                <w:sz w:val="16"/>
                <w:szCs w:val="16"/>
                <w:lang w:eastAsia="zh-CN"/>
              </w:rPr>
              <w:t xml:space="preserve"> ***</w:t>
            </w:r>
          </w:p>
        </w:tc>
      </w:tr>
    </w:tbl>
    <w:p w14:paraId="5B324472" w14:textId="77777777" w:rsidR="003065A3" w:rsidRPr="009537ED" w:rsidRDefault="003065A3" w:rsidP="003065A3">
      <w:pPr>
        <w:rPr>
          <w:lang w:eastAsia="x-none"/>
        </w:rPr>
      </w:pPr>
    </w:p>
    <w:p w14:paraId="5CB67CC5" w14:textId="77777777" w:rsidR="003065A3" w:rsidRPr="009537ED" w:rsidRDefault="003065A3" w:rsidP="003065A3">
      <w:pPr>
        <w:rPr>
          <w:highlight w:val="green"/>
          <w:lang w:eastAsia="x-none"/>
        </w:rPr>
      </w:pPr>
      <w:r w:rsidRPr="009537ED">
        <w:rPr>
          <w:highlight w:val="green"/>
          <w:lang w:eastAsia="x-none"/>
        </w:rPr>
        <w:t>Agreement</w:t>
      </w:r>
    </w:p>
    <w:p w14:paraId="5FDD7ECF" w14:textId="3448C2BC" w:rsidR="003065A3" w:rsidRPr="009537ED" w:rsidRDefault="003065A3" w:rsidP="003065A3">
      <w:pPr>
        <w:suppressAutoHyphens/>
        <w:overflowPunct w:val="0"/>
        <w:rPr>
          <w:szCs w:val="20"/>
          <w:lang w:eastAsia="zh-CN"/>
        </w:rPr>
      </w:pPr>
      <w:r w:rsidRPr="009537ED">
        <w:rPr>
          <w:szCs w:val="20"/>
          <w:lang w:eastAsia="x-none"/>
        </w:rPr>
        <w:t>UE transmits a subset of the repetitions in a CG bundle that do not overlap with the cell DRX non-active period.</w:t>
      </w:r>
    </w:p>
    <w:p w14:paraId="4F56C4F5" w14:textId="77777777" w:rsidR="003065A3" w:rsidRPr="009537ED" w:rsidRDefault="003065A3" w:rsidP="003065A3">
      <w:pPr>
        <w:rPr>
          <w:lang w:eastAsia="x-none"/>
        </w:rPr>
      </w:pPr>
    </w:p>
    <w:p w14:paraId="4ECECB36" w14:textId="77777777" w:rsidR="003065A3" w:rsidRPr="009537ED" w:rsidRDefault="003065A3" w:rsidP="003065A3">
      <w:pPr>
        <w:rPr>
          <w:highlight w:val="green"/>
          <w:lang w:eastAsia="x-none"/>
        </w:rPr>
      </w:pPr>
      <w:r w:rsidRPr="009537ED">
        <w:rPr>
          <w:highlight w:val="green"/>
          <w:lang w:eastAsia="x-none"/>
        </w:rPr>
        <w:t>Agreement</w:t>
      </w:r>
    </w:p>
    <w:p w14:paraId="6E56B925" w14:textId="699AC81C" w:rsidR="003065A3" w:rsidRPr="009537ED" w:rsidRDefault="003065A3" w:rsidP="00A76E0D">
      <w:pPr>
        <w:numPr>
          <w:ilvl w:val="0"/>
          <w:numId w:val="93"/>
        </w:numPr>
        <w:suppressAutoHyphens/>
        <w:overflowPunct w:val="0"/>
        <w:rPr>
          <w:lang w:eastAsia="x-none"/>
        </w:rPr>
      </w:pPr>
      <w:r w:rsidRPr="009537ED">
        <w:rPr>
          <w:lang w:eastAsia="x-none"/>
        </w:rPr>
        <w:t>Send an LS to RAN2 to ask RAN2 to decide whether/how to capture the following agreement.</w:t>
      </w:r>
    </w:p>
    <w:tbl>
      <w:tblPr>
        <w:tblW w:w="0" w:type="auto"/>
        <w:jc w:val="cente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5637"/>
      </w:tblGrid>
      <w:tr w:rsidR="003065A3" w:rsidRPr="009537ED" w14:paraId="22C32D26" w14:textId="77777777" w:rsidTr="003065A3">
        <w:trPr>
          <w:jc w:val="center"/>
        </w:trPr>
        <w:tc>
          <w:tcPr>
            <w:tcW w:w="5637" w:type="dxa"/>
            <w:shd w:val="clear" w:color="auto" w:fill="auto"/>
          </w:tcPr>
          <w:p w14:paraId="1009BB2D" w14:textId="77777777" w:rsidR="003065A3" w:rsidRPr="009537ED" w:rsidRDefault="003065A3" w:rsidP="003065A3">
            <w:pPr>
              <w:jc w:val="both"/>
              <w:rPr>
                <w:rFonts w:ascii="Arial" w:hAnsi="Arial" w:cs="Arial"/>
                <w:sz w:val="16"/>
                <w:szCs w:val="16"/>
                <w:highlight w:val="green"/>
                <w:lang w:eastAsia="zh-CN"/>
              </w:rPr>
            </w:pPr>
            <w:r w:rsidRPr="009537ED">
              <w:rPr>
                <w:rFonts w:ascii="Arial" w:hAnsi="Arial" w:cs="Arial"/>
                <w:sz w:val="16"/>
                <w:szCs w:val="16"/>
                <w:highlight w:val="green"/>
                <w:lang w:eastAsia="zh-CN"/>
              </w:rPr>
              <w:t>Agreement</w:t>
            </w:r>
          </w:p>
          <w:p w14:paraId="605E7534" w14:textId="77777777" w:rsidR="003065A3" w:rsidRPr="009537ED" w:rsidRDefault="003065A3" w:rsidP="003065A3">
            <w:pPr>
              <w:tabs>
                <w:tab w:val="left" w:pos="1480"/>
              </w:tabs>
              <w:jc w:val="both"/>
              <w:rPr>
                <w:rFonts w:ascii="Arial" w:hAnsi="Arial" w:cs="Arial"/>
                <w:sz w:val="16"/>
                <w:szCs w:val="16"/>
                <w:lang w:eastAsia="zh-CN"/>
              </w:rPr>
            </w:pPr>
            <w:r w:rsidRPr="009537ED">
              <w:rPr>
                <w:rFonts w:ascii="Arial" w:hAnsi="Arial" w:cs="Arial"/>
                <w:sz w:val="16"/>
                <w:szCs w:val="16"/>
                <w:lang w:eastAsia="zh-CN"/>
              </w:rPr>
              <w:t>Cell DTX/DRX operation is only supported for sTRP.</w:t>
            </w:r>
          </w:p>
        </w:tc>
      </w:tr>
    </w:tbl>
    <w:p w14:paraId="7FF3275E" w14:textId="4A48E186" w:rsidR="00420DB1" w:rsidRPr="00420DB1" w:rsidRDefault="005A18DC" w:rsidP="00420DB1">
      <w:pPr>
        <w:rPr>
          <w:b/>
          <w:bCs/>
          <w:lang w:eastAsia="x-none"/>
        </w:rPr>
      </w:pPr>
      <w:hyperlink r:id="rId1375" w:history="1">
        <w:r w:rsidR="00AF7253">
          <w:rPr>
            <w:rStyle w:val="Hyperlink"/>
            <w:b/>
            <w:bCs/>
            <w:highlight w:val="green"/>
            <w:lang w:eastAsia="x-none"/>
          </w:rPr>
          <w:t>R1-2312409</w:t>
        </w:r>
      </w:hyperlink>
      <w:r w:rsidR="00420DB1" w:rsidRPr="00420DB1">
        <w:rPr>
          <w:b/>
          <w:bCs/>
          <w:lang w:eastAsia="x-none"/>
        </w:rPr>
        <w:tab/>
        <w:t>LS on Cell DTX/DRX operations for sTRP</w:t>
      </w:r>
      <w:r w:rsidR="00420DB1" w:rsidRPr="00420DB1">
        <w:rPr>
          <w:b/>
          <w:bCs/>
          <w:lang w:eastAsia="x-none"/>
        </w:rPr>
        <w:tab/>
        <w:t>RAN1, Intel Corporation</w:t>
      </w:r>
    </w:p>
    <w:p w14:paraId="6129FDC4" w14:textId="52FCEF05" w:rsidR="00420DB1" w:rsidRDefault="00420DB1" w:rsidP="00420DB1">
      <w:pPr>
        <w:tabs>
          <w:tab w:val="left" w:pos="1480"/>
        </w:tabs>
        <w:jc w:val="both"/>
        <w:rPr>
          <w:rFonts w:ascii="Times New Roman" w:hAnsi="Times New Roman"/>
          <w:szCs w:val="20"/>
          <w:lang w:eastAsia="zh-CN"/>
        </w:rPr>
      </w:pPr>
      <w:r w:rsidRPr="00420DB1">
        <w:rPr>
          <w:rFonts w:ascii="Times New Roman" w:hAnsi="Times New Roman"/>
          <w:b/>
          <w:bCs/>
          <w:szCs w:val="20"/>
          <w:lang w:eastAsia="zh-CN"/>
        </w:rPr>
        <w:t>Wednesday decision:</w:t>
      </w:r>
      <w:r>
        <w:rPr>
          <w:rFonts w:ascii="Times New Roman" w:hAnsi="Times New Roman"/>
          <w:szCs w:val="20"/>
          <w:lang w:eastAsia="zh-CN"/>
        </w:rPr>
        <w:t xml:space="preserve"> The LS is approved.</w:t>
      </w:r>
    </w:p>
    <w:p w14:paraId="2CFC167E" w14:textId="77777777" w:rsidR="00420DB1" w:rsidRDefault="00420DB1" w:rsidP="00420DB1">
      <w:pPr>
        <w:tabs>
          <w:tab w:val="left" w:pos="1480"/>
        </w:tabs>
        <w:jc w:val="both"/>
        <w:rPr>
          <w:rFonts w:ascii="Times New Roman" w:hAnsi="Times New Roman"/>
          <w:szCs w:val="20"/>
          <w:lang w:eastAsia="zh-CN"/>
        </w:rPr>
      </w:pPr>
    </w:p>
    <w:p w14:paraId="4E703773" w14:textId="77777777" w:rsidR="003065A3" w:rsidRPr="009537ED" w:rsidRDefault="003065A3" w:rsidP="00F74A6F">
      <w:pPr>
        <w:rPr>
          <w:lang w:eastAsia="x-none"/>
        </w:rPr>
      </w:pPr>
    </w:p>
    <w:p w14:paraId="697B87CE" w14:textId="67186164" w:rsidR="00BC5BE9" w:rsidRPr="009537ED" w:rsidRDefault="005A18DC" w:rsidP="00BC5BE9">
      <w:pPr>
        <w:rPr>
          <w:b/>
          <w:bCs/>
          <w:lang w:eastAsia="x-none"/>
        </w:rPr>
      </w:pPr>
      <w:hyperlink r:id="rId1376" w:history="1">
        <w:r w:rsidR="00AF7253">
          <w:rPr>
            <w:rStyle w:val="Hyperlink"/>
            <w:b/>
            <w:bCs/>
            <w:lang w:eastAsia="x-none"/>
          </w:rPr>
          <w:t>R1-2312315</w:t>
        </w:r>
      </w:hyperlink>
      <w:r w:rsidR="003065A3" w:rsidRPr="004A041D">
        <w:rPr>
          <w:b/>
          <w:bCs/>
          <w:lang w:eastAsia="x-none"/>
        </w:rPr>
        <w:tab/>
        <w:t>Discussion summary #2 for enhancements on cell DTX/DRX mechanism</w:t>
      </w:r>
      <w:r w:rsidR="003065A3" w:rsidRPr="004A041D">
        <w:rPr>
          <w:b/>
          <w:bCs/>
          <w:lang w:eastAsia="x-none"/>
        </w:rPr>
        <w:tab/>
        <w:t>Moderator (Intel</w:t>
      </w:r>
      <w:r w:rsidR="00BC5BE9">
        <w:rPr>
          <w:b/>
          <w:bCs/>
          <w:lang w:eastAsia="x-none"/>
        </w:rPr>
        <w:t xml:space="preserve"> </w:t>
      </w:r>
      <w:r w:rsidR="00BC5BE9" w:rsidRPr="009537ED">
        <w:rPr>
          <w:b/>
          <w:bCs/>
          <w:lang w:eastAsia="x-none"/>
        </w:rPr>
        <w:t>Corporation)</w:t>
      </w:r>
    </w:p>
    <w:p w14:paraId="54B00E95" w14:textId="7A4B650C" w:rsidR="004A041D" w:rsidRDefault="004A041D" w:rsidP="00F74A6F">
      <w:pPr>
        <w:rPr>
          <w:lang w:eastAsia="x-none"/>
        </w:rPr>
      </w:pPr>
      <w:r>
        <w:rPr>
          <w:lang w:eastAsia="x-none"/>
        </w:rPr>
        <w:t>From Tuesday session</w:t>
      </w:r>
    </w:p>
    <w:p w14:paraId="029D704C" w14:textId="77777777" w:rsidR="004A041D" w:rsidRPr="004A041D" w:rsidRDefault="004A041D" w:rsidP="00BC5BE9">
      <w:pPr>
        <w:rPr>
          <w:highlight w:val="green"/>
        </w:rPr>
      </w:pPr>
      <w:r w:rsidRPr="004A041D">
        <w:rPr>
          <w:highlight w:val="green"/>
        </w:rPr>
        <w:t>Agreement</w:t>
      </w:r>
    </w:p>
    <w:p w14:paraId="6CE9B33A" w14:textId="3DA0DF07" w:rsidR="004A041D" w:rsidRPr="004A041D" w:rsidRDefault="004A041D" w:rsidP="00BC5BE9">
      <w:pPr>
        <w:rPr>
          <w:szCs w:val="20"/>
          <w:lang w:eastAsia="zh-CN"/>
        </w:rPr>
      </w:pPr>
      <w:r w:rsidRPr="004A041D">
        <w:rPr>
          <w:szCs w:val="20"/>
          <w:lang w:eastAsia="zh-CN"/>
        </w:rPr>
        <w:t>UE is expected to monitor DCI format 2_9 during active periods of C-DRX</w:t>
      </w:r>
      <w:r w:rsidR="00BC5BE9">
        <w:rPr>
          <w:szCs w:val="20"/>
          <w:lang w:eastAsia="zh-CN"/>
        </w:rPr>
        <w:t>.</w:t>
      </w:r>
    </w:p>
    <w:p w14:paraId="5C8DAAF0" w14:textId="77777777" w:rsidR="004A041D" w:rsidRPr="004A041D" w:rsidRDefault="004A041D" w:rsidP="00BC5BE9">
      <w:pPr>
        <w:rPr>
          <w:szCs w:val="20"/>
          <w:highlight w:val="yellow"/>
          <w:lang w:eastAsia="zh-CN"/>
        </w:rPr>
      </w:pPr>
    </w:p>
    <w:p w14:paraId="41E39520" w14:textId="77777777" w:rsidR="004A041D" w:rsidRPr="00BC5BE9" w:rsidRDefault="004A041D" w:rsidP="00BC5BE9">
      <w:pPr>
        <w:rPr>
          <w:szCs w:val="20"/>
          <w:u w:val="single"/>
          <w:lang w:eastAsia="zh-CN"/>
        </w:rPr>
      </w:pPr>
      <w:r w:rsidRPr="00BC5BE9">
        <w:rPr>
          <w:szCs w:val="20"/>
          <w:u w:val="single"/>
          <w:lang w:eastAsia="zh-CN"/>
        </w:rPr>
        <w:t>Conclusion</w:t>
      </w:r>
    </w:p>
    <w:p w14:paraId="52DCC198" w14:textId="5F98F1EC" w:rsidR="004A041D" w:rsidRPr="004A041D" w:rsidRDefault="004A041D" w:rsidP="00BC5BE9">
      <w:pPr>
        <w:rPr>
          <w:szCs w:val="20"/>
          <w:lang w:eastAsia="zh-CN"/>
        </w:rPr>
      </w:pPr>
      <w:r w:rsidRPr="004A041D">
        <w:rPr>
          <w:szCs w:val="20"/>
          <w:lang w:eastAsia="zh-CN"/>
        </w:rPr>
        <w:t>There is no consensus in RAN1 on whether or not the UE is expected to monitor DCI format 2_9 during non-active periods on C-DRX</w:t>
      </w:r>
      <w:r w:rsidR="00BC5BE9">
        <w:rPr>
          <w:szCs w:val="20"/>
          <w:lang w:eastAsia="zh-CN"/>
        </w:rPr>
        <w:t>.</w:t>
      </w:r>
    </w:p>
    <w:p w14:paraId="79FBBD4E" w14:textId="77777777" w:rsidR="004A041D" w:rsidRPr="004A041D" w:rsidRDefault="004A041D" w:rsidP="00BC5BE9"/>
    <w:p w14:paraId="499A586A" w14:textId="77777777" w:rsidR="004A041D" w:rsidRPr="004A041D" w:rsidRDefault="004A041D" w:rsidP="00BC5BE9"/>
    <w:p w14:paraId="20DC471D" w14:textId="7ED48B07" w:rsidR="00BC5BE9" w:rsidRPr="00BC5BE9" w:rsidRDefault="005A18DC" w:rsidP="00BC5BE9">
      <w:pPr>
        <w:rPr>
          <w:b/>
          <w:bCs/>
        </w:rPr>
      </w:pPr>
      <w:hyperlink r:id="rId1377" w:history="1">
        <w:r w:rsidR="00AF7253">
          <w:rPr>
            <w:rStyle w:val="Hyperlink"/>
            <w:b/>
            <w:bCs/>
          </w:rPr>
          <w:t>R1-2312410</w:t>
        </w:r>
      </w:hyperlink>
      <w:r w:rsidR="00BC5BE9" w:rsidRPr="00BC5BE9">
        <w:rPr>
          <w:b/>
          <w:bCs/>
        </w:rPr>
        <w:tab/>
        <w:t>Discussion summary #3 for enhancements on cell DTX/DRX mechanism</w:t>
      </w:r>
      <w:r w:rsidR="00BC5BE9" w:rsidRPr="00BC5BE9">
        <w:rPr>
          <w:b/>
          <w:bCs/>
        </w:rPr>
        <w:tab/>
        <w:t>Moderator (Intel Corporation)</w:t>
      </w:r>
    </w:p>
    <w:p w14:paraId="6EAA4C5A" w14:textId="70AC386E" w:rsidR="00BC5BE9" w:rsidRDefault="00981F88" w:rsidP="00BC5BE9">
      <w:pPr>
        <w:rPr>
          <w:lang w:eastAsia="x-none"/>
        </w:rPr>
      </w:pPr>
      <w:r>
        <w:rPr>
          <w:lang w:eastAsia="x-none"/>
        </w:rPr>
        <w:t>Presented in Tuesd</w:t>
      </w:r>
      <w:r w:rsidR="00BC5BE9">
        <w:rPr>
          <w:lang w:eastAsia="x-none"/>
        </w:rPr>
        <w:t>ay session</w:t>
      </w:r>
    </w:p>
    <w:p w14:paraId="1DF587DE" w14:textId="77777777" w:rsidR="004A041D" w:rsidRPr="004A041D" w:rsidRDefault="004A041D" w:rsidP="00BC5BE9"/>
    <w:p w14:paraId="7C021687" w14:textId="79E71FE4" w:rsidR="00BC5BE9" w:rsidRPr="00420DB1" w:rsidRDefault="005A18DC" w:rsidP="00BC5BE9">
      <w:pPr>
        <w:rPr>
          <w:b/>
          <w:bCs/>
          <w:lang w:eastAsia="x-none"/>
        </w:rPr>
      </w:pPr>
      <w:hyperlink r:id="rId1378" w:history="1">
        <w:r w:rsidR="00AF7253">
          <w:rPr>
            <w:rStyle w:val="Hyperlink"/>
            <w:b/>
            <w:bCs/>
            <w:lang w:eastAsia="x-none"/>
          </w:rPr>
          <w:t>R1-2312411</w:t>
        </w:r>
      </w:hyperlink>
      <w:r w:rsidR="00BC5BE9" w:rsidRPr="00420DB1">
        <w:rPr>
          <w:b/>
          <w:bCs/>
          <w:lang w:eastAsia="x-none"/>
        </w:rPr>
        <w:tab/>
        <w:t>Discussion summary #4 for enhancements on cell DTX/DRX mechanism</w:t>
      </w:r>
      <w:r w:rsidR="00BC5BE9" w:rsidRPr="00420DB1">
        <w:rPr>
          <w:b/>
          <w:bCs/>
          <w:lang w:eastAsia="x-none"/>
        </w:rPr>
        <w:tab/>
        <w:t>Moderator (Intel Corporation)</w:t>
      </w:r>
    </w:p>
    <w:p w14:paraId="08B9902D" w14:textId="1BC5B90D" w:rsidR="00420DB1" w:rsidRDefault="00420DB1" w:rsidP="00BC5BE9">
      <w:pPr>
        <w:rPr>
          <w:lang w:eastAsia="x-none"/>
        </w:rPr>
      </w:pPr>
      <w:r>
        <w:rPr>
          <w:lang w:eastAsia="x-none"/>
        </w:rPr>
        <w:t>From Wednesday session</w:t>
      </w:r>
    </w:p>
    <w:p w14:paraId="05DF178B" w14:textId="77777777" w:rsidR="00420DB1" w:rsidRDefault="00420DB1" w:rsidP="00420DB1">
      <w:pPr>
        <w:rPr>
          <w:highlight w:val="green"/>
          <w:lang w:eastAsia="x-none"/>
        </w:rPr>
      </w:pPr>
      <w:r>
        <w:rPr>
          <w:highlight w:val="green"/>
          <w:lang w:eastAsia="x-none"/>
        </w:rPr>
        <w:t>Agreement</w:t>
      </w:r>
    </w:p>
    <w:p w14:paraId="5A96E5F8" w14:textId="77777777" w:rsidR="00420DB1" w:rsidRDefault="00420DB1" w:rsidP="002A53F5">
      <w:pPr>
        <w:rPr>
          <w:lang w:eastAsia="zh-CN"/>
        </w:rPr>
      </w:pPr>
      <w:r>
        <w:rPr>
          <w:lang w:eastAsia="zh-CN"/>
        </w:rPr>
        <w:t>Adopt the following specification change in TS38.213</w:t>
      </w:r>
    </w:p>
    <w:p w14:paraId="6A0136F4" w14:textId="3A509EDA" w:rsidR="00420DB1" w:rsidRPr="002A53F5" w:rsidRDefault="002A53F5" w:rsidP="002A53F5">
      <w:pPr>
        <w:rPr>
          <w:color w:val="FF0000"/>
          <w:lang w:eastAsia="zh-CN"/>
        </w:rPr>
      </w:pPr>
      <w:r w:rsidRPr="002A53F5">
        <w:rPr>
          <w:color w:val="FF0000"/>
          <w:lang w:eastAsia="zh-CN"/>
        </w:rPr>
        <w:t>------------ Start of TP -----------</w:t>
      </w:r>
    </w:p>
    <w:p w14:paraId="4BA62301" w14:textId="77777777" w:rsidR="00420DB1" w:rsidRPr="002A53F5" w:rsidRDefault="00420DB1" w:rsidP="00420DB1">
      <w:pPr>
        <w:rPr>
          <w:rFonts w:ascii="Arial" w:hAnsi="Arial" w:cs="Arial"/>
          <w:b/>
          <w:bCs/>
          <w:sz w:val="16"/>
          <w:szCs w:val="16"/>
          <w:lang w:eastAsia="x-none"/>
        </w:rPr>
      </w:pPr>
      <w:r w:rsidRPr="002A53F5">
        <w:rPr>
          <w:rFonts w:ascii="Arial" w:hAnsi="Arial" w:cs="Arial"/>
          <w:b/>
          <w:bCs/>
          <w:sz w:val="16"/>
          <w:szCs w:val="16"/>
          <w:lang w:eastAsia="x-none"/>
        </w:rPr>
        <w:t>11.5</w:t>
      </w:r>
      <w:r w:rsidRPr="002A53F5">
        <w:rPr>
          <w:rFonts w:ascii="Arial" w:hAnsi="Arial" w:cs="Arial"/>
          <w:b/>
          <w:bCs/>
          <w:sz w:val="16"/>
          <w:szCs w:val="16"/>
          <w:lang w:eastAsia="x-none"/>
        </w:rPr>
        <w:tab/>
        <w:t>Adaptation of cell operation</w:t>
      </w:r>
    </w:p>
    <w:p w14:paraId="3F99BA93" w14:textId="77777777" w:rsidR="00420DB1" w:rsidRPr="002A53F5" w:rsidRDefault="00420DB1" w:rsidP="00420DB1">
      <w:pPr>
        <w:rPr>
          <w:rFonts w:ascii="Arial" w:hAnsi="Arial" w:cs="Arial"/>
          <w:sz w:val="16"/>
          <w:szCs w:val="16"/>
        </w:rPr>
      </w:pPr>
      <w:r w:rsidRPr="002A53F5">
        <w:rPr>
          <w:rFonts w:ascii="Arial" w:hAnsi="Arial" w:cs="Arial"/>
          <w:sz w:val="16"/>
          <w:szCs w:val="16"/>
        </w:rPr>
        <w:t xml:space="preserve">A UE does not expect to monitor PDCCH for detection of DCI format 2_9 on more than one serving cells </w:t>
      </w:r>
      <w:r w:rsidRPr="002A53F5">
        <w:rPr>
          <w:rFonts w:ascii="Arial" w:hAnsi="Arial" w:cs="Arial"/>
          <w:color w:val="FF0000"/>
          <w:sz w:val="16"/>
          <w:szCs w:val="16"/>
        </w:rPr>
        <w:t>in one cell group</w:t>
      </w:r>
      <w:r w:rsidRPr="002A53F5">
        <w:rPr>
          <w:rFonts w:ascii="Arial" w:hAnsi="Arial" w:cs="Arial"/>
          <w:sz w:val="16"/>
          <w:szCs w:val="16"/>
        </w:rPr>
        <w:t>.</w:t>
      </w:r>
    </w:p>
    <w:p w14:paraId="079771BF" w14:textId="77777777" w:rsidR="00420DB1" w:rsidRPr="008102FC" w:rsidRDefault="00420DB1" w:rsidP="008102FC">
      <w:pPr>
        <w:jc w:val="center"/>
        <w:rPr>
          <w:rFonts w:ascii="Arial" w:hAnsi="Arial" w:cs="Arial"/>
          <w:color w:val="FF0000"/>
          <w:sz w:val="16"/>
          <w:szCs w:val="16"/>
          <w:lang w:eastAsia="zh-CN"/>
        </w:rPr>
      </w:pPr>
      <w:r w:rsidRPr="008102FC">
        <w:rPr>
          <w:rFonts w:ascii="Arial" w:hAnsi="Arial" w:cs="Arial"/>
          <w:color w:val="FF0000"/>
          <w:sz w:val="16"/>
          <w:szCs w:val="16"/>
        </w:rPr>
        <w:t>*** Unchanged parts are omitted ***</w:t>
      </w:r>
    </w:p>
    <w:p w14:paraId="0948065F" w14:textId="091E9E5F" w:rsidR="002A53F5" w:rsidRPr="002A53F5" w:rsidRDefault="002A53F5" w:rsidP="002A53F5">
      <w:pPr>
        <w:rPr>
          <w:color w:val="FF0000"/>
          <w:lang w:eastAsia="zh-CN"/>
        </w:rPr>
      </w:pPr>
      <w:r w:rsidRPr="002A53F5">
        <w:rPr>
          <w:color w:val="FF0000"/>
          <w:lang w:eastAsia="zh-CN"/>
        </w:rPr>
        <w:t xml:space="preserve">------------ </w:t>
      </w:r>
      <w:r>
        <w:rPr>
          <w:color w:val="FF0000"/>
          <w:lang w:eastAsia="zh-CN"/>
        </w:rPr>
        <w:t>End</w:t>
      </w:r>
      <w:r w:rsidRPr="002A53F5">
        <w:rPr>
          <w:color w:val="FF0000"/>
          <w:lang w:eastAsia="zh-CN"/>
        </w:rPr>
        <w:t xml:space="preserve"> of TP -----------</w:t>
      </w:r>
    </w:p>
    <w:p w14:paraId="2F9488BE" w14:textId="77777777" w:rsidR="00420DB1" w:rsidRDefault="00420DB1" w:rsidP="00420DB1"/>
    <w:p w14:paraId="01CE05D0" w14:textId="77777777" w:rsidR="002A53F5" w:rsidRDefault="002A53F5" w:rsidP="002A53F5">
      <w:pPr>
        <w:rPr>
          <w:highlight w:val="green"/>
          <w:lang w:eastAsia="x-none"/>
        </w:rPr>
      </w:pPr>
      <w:r>
        <w:rPr>
          <w:highlight w:val="green"/>
          <w:lang w:eastAsia="x-none"/>
        </w:rPr>
        <w:t>Agreement</w:t>
      </w:r>
    </w:p>
    <w:p w14:paraId="0759F35A" w14:textId="77777777" w:rsidR="00420DB1" w:rsidRDefault="00420DB1" w:rsidP="00A67145">
      <w:pPr>
        <w:pStyle w:val="ListParagraph"/>
        <w:numPr>
          <w:ilvl w:val="0"/>
          <w:numId w:val="184"/>
        </w:numPr>
        <w:suppressAutoHyphens/>
        <w:autoSpaceDE/>
        <w:autoSpaceDN/>
        <w:adjustRightInd/>
        <w:spacing w:after="0" w:line="252" w:lineRule="auto"/>
        <w:contextualSpacing w:val="0"/>
        <w:textAlignment w:val="auto"/>
        <w:rPr>
          <w:lang w:eastAsia="x-none"/>
        </w:rPr>
      </w:pPr>
      <w:r>
        <w:t>For Cell DTX/DRX indication of a block in DCI format 2_9</w:t>
      </w:r>
    </w:p>
    <w:p w14:paraId="20D98616" w14:textId="77777777" w:rsidR="00420DB1" w:rsidRDefault="00420DB1" w:rsidP="00A67145">
      <w:pPr>
        <w:pStyle w:val="ListParagraph"/>
        <w:numPr>
          <w:ilvl w:val="1"/>
          <w:numId w:val="184"/>
        </w:numPr>
        <w:suppressAutoHyphens/>
        <w:autoSpaceDE/>
        <w:autoSpaceDN/>
        <w:adjustRightInd/>
        <w:spacing w:after="0" w:line="252" w:lineRule="auto"/>
        <w:contextualSpacing w:val="0"/>
        <w:textAlignment w:val="auto"/>
      </w:pPr>
      <w:r>
        <w:lastRenderedPageBreak/>
        <w:t>if [cellDTXDRX-L1activation] is configured,</w:t>
      </w:r>
    </w:p>
    <w:p w14:paraId="53F9AAEB" w14:textId="77777777" w:rsidR="00420DB1" w:rsidRDefault="00420DB1" w:rsidP="00A67145">
      <w:pPr>
        <w:pStyle w:val="ListParagraph"/>
        <w:numPr>
          <w:ilvl w:val="2"/>
          <w:numId w:val="184"/>
        </w:numPr>
        <w:suppressAutoHyphens/>
        <w:autoSpaceDE/>
        <w:autoSpaceDN/>
        <w:adjustRightInd/>
        <w:spacing w:after="0" w:line="252" w:lineRule="auto"/>
        <w:contextualSpacing w:val="0"/>
        <w:textAlignment w:val="auto"/>
      </w:pPr>
      <w:r>
        <w:t>2 bits if c</w:t>
      </w:r>
      <w:r>
        <w:rPr>
          <w:i/>
        </w:rPr>
        <w:t>ellDTXDRXconfigType</w:t>
      </w:r>
      <w:r>
        <w:t xml:space="preserve"> is configured to </w:t>
      </w:r>
      <w:r>
        <w:rPr>
          <w:i/>
          <w:iCs/>
        </w:rPr>
        <w:t xml:space="preserve">dtxdrx </w:t>
      </w:r>
      <w:r>
        <w:t>for the serving cell;</w:t>
      </w:r>
    </w:p>
    <w:p w14:paraId="2C1EEAAA" w14:textId="77777777" w:rsidR="00420DB1" w:rsidRDefault="00420DB1" w:rsidP="00A67145">
      <w:pPr>
        <w:pStyle w:val="ListParagraph"/>
        <w:numPr>
          <w:ilvl w:val="2"/>
          <w:numId w:val="184"/>
        </w:numPr>
        <w:suppressAutoHyphens/>
        <w:autoSpaceDE/>
        <w:autoSpaceDN/>
        <w:adjustRightInd/>
        <w:spacing w:after="0" w:line="252" w:lineRule="auto"/>
        <w:contextualSpacing w:val="0"/>
        <w:textAlignment w:val="auto"/>
      </w:pPr>
      <w:r>
        <w:t xml:space="preserve">1 bit if </w:t>
      </w:r>
      <w:r>
        <w:rPr>
          <w:i/>
        </w:rPr>
        <w:t>cellDTXDRXconfigType</w:t>
      </w:r>
      <w:r>
        <w:t xml:space="preserve"> is configured to either </w:t>
      </w:r>
      <w:r>
        <w:rPr>
          <w:i/>
          <w:iCs/>
        </w:rPr>
        <w:t>dtx</w:t>
      </w:r>
      <w:r>
        <w:t xml:space="preserve"> or </w:t>
      </w:r>
      <w:r>
        <w:rPr>
          <w:i/>
          <w:iCs/>
        </w:rPr>
        <w:t xml:space="preserve">drx </w:t>
      </w:r>
      <w:r>
        <w:t>for the serving cell</w:t>
      </w:r>
      <w:r>
        <w:rPr>
          <w:i/>
          <w:iCs/>
        </w:rPr>
        <w:t>;</w:t>
      </w:r>
      <w:r>
        <w:t xml:space="preserve"> </w:t>
      </w:r>
    </w:p>
    <w:p w14:paraId="391D47D0" w14:textId="77777777" w:rsidR="00420DB1" w:rsidRDefault="00420DB1" w:rsidP="00A67145">
      <w:pPr>
        <w:pStyle w:val="ListParagraph"/>
        <w:numPr>
          <w:ilvl w:val="1"/>
          <w:numId w:val="184"/>
        </w:numPr>
        <w:suppressAutoHyphens/>
        <w:autoSpaceDE/>
        <w:autoSpaceDN/>
        <w:adjustRightInd/>
        <w:spacing w:after="0" w:line="252" w:lineRule="auto"/>
        <w:contextualSpacing w:val="0"/>
        <w:textAlignment w:val="auto"/>
      </w:pPr>
      <w:r>
        <w:t>otherwise 0 bit.</w:t>
      </w:r>
    </w:p>
    <w:p w14:paraId="3358B80D" w14:textId="77777777" w:rsidR="00420DB1" w:rsidRDefault="00420DB1" w:rsidP="00A67145">
      <w:pPr>
        <w:pStyle w:val="ListParagraph"/>
        <w:numPr>
          <w:ilvl w:val="1"/>
          <w:numId w:val="184"/>
        </w:numPr>
        <w:suppressAutoHyphens/>
        <w:autoSpaceDE/>
        <w:autoSpaceDN/>
        <w:adjustRightInd/>
        <w:spacing w:after="0" w:line="252" w:lineRule="auto"/>
        <w:contextualSpacing w:val="0"/>
        <w:textAlignment w:val="auto"/>
      </w:pPr>
      <w:r>
        <w:t xml:space="preserve">[cellDTXDRX-L1activation] is a new RRC parameter </w:t>
      </w:r>
    </w:p>
    <w:p w14:paraId="22BCF3B7" w14:textId="77777777" w:rsidR="00420DB1" w:rsidRDefault="00420DB1" w:rsidP="00420DB1">
      <w:pPr>
        <w:rPr>
          <w:lang w:eastAsia="x-none"/>
        </w:rPr>
      </w:pPr>
    </w:p>
    <w:p w14:paraId="45DE78DD" w14:textId="77777777" w:rsidR="00420DB1" w:rsidRDefault="00420DB1" w:rsidP="00420DB1">
      <w:pPr>
        <w:rPr>
          <w:highlight w:val="green"/>
          <w:lang w:eastAsia="x-none"/>
        </w:rPr>
      </w:pPr>
      <w:r>
        <w:rPr>
          <w:highlight w:val="green"/>
          <w:lang w:eastAsia="x-none"/>
        </w:rPr>
        <w:t>Agreement</w:t>
      </w:r>
    </w:p>
    <w:p w14:paraId="02CF97C5" w14:textId="77777777" w:rsidR="00420DB1" w:rsidRDefault="00420DB1" w:rsidP="00A67145">
      <w:pPr>
        <w:pStyle w:val="ListParagraph"/>
        <w:numPr>
          <w:ilvl w:val="0"/>
          <w:numId w:val="183"/>
        </w:numPr>
        <w:suppressAutoHyphens/>
        <w:autoSpaceDE/>
        <w:autoSpaceDN/>
        <w:adjustRightInd/>
        <w:spacing w:after="0" w:line="252" w:lineRule="auto"/>
        <w:contextualSpacing w:val="0"/>
        <w:textAlignment w:val="auto"/>
        <w:rPr>
          <w:lang w:eastAsia="x-none"/>
        </w:rPr>
      </w:pPr>
      <w:r>
        <w:t>Introduce a new RRC parameter [cellDTXDRX-L1activation], that indicates configuration of L1 based cell DTX/DRX activation/deactivation for each serving cell.</w:t>
      </w:r>
    </w:p>
    <w:p w14:paraId="70FE201A" w14:textId="77777777" w:rsidR="00420DB1" w:rsidRDefault="00420DB1" w:rsidP="00A67145">
      <w:pPr>
        <w:pStyle w:val="ListParagraph"/>
        <w:numPr>
          <w:ilvl w:val="0"/>
          <w:numId w:val="183"/>
        </w:numPr>
        <w:suppressAutoHyphens/>
        <w:autoSpaceDE/>
        <w:autoSpaceDN/>
        <w:adjustRightInd/>
        <w:spacing w:after="0" w:line="252" w:lineRule="auto"/>
        <w:contextualSpacing w:val="0"/>
        <w:textAlignment w:val="auto"/>
      </w:pPr>
      <w:r>
        <w:t>Adopt the follow TP for TS38.212</w:t>
      </w:r>
    </w:p>
    <w:tbl>
      <w:tblPr>
        <w:tblW w:w="5000" w:type="pct"/>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0683"/>
      </w:tblGrid>
      <w:tr w:rsidR="00420DB1" w:rsidRPr="002A53F5" w14:paraId="769AD95F" w14:textId="77777777" w:rsidTr="002A53F5">
        <w:tc>
          <w:tcPr>
            <w:tcW w:w="5000" w:type="pct"/>
            <w:tcBorders>
              <w:top w:val="double" w:sz="4" w:space="0" w:color="A5A5A5"/>
              <w:left w:val="double" w:sz="4" w:space="0" w:color="A5A5A5"/>
              <w:bottom w:val="double" w:sz="4" w:space="0" w:color="A5A5A5"/>
              <w:right w:val="double" w:sz="4" w:space="0" w:color="A5A5A5"/>
            </w:tcBorders>
            <w:hideMark/>
          </w:tcPr>
          <w:p w14:paraId="602286D9" w14:textId="77777777" w:rsidR="00420DB1" w:rsidRPr="002A53F5" w:rsidRDefault="00420DB1">
            <w:pPr>
              <w:rPr>
                <w:rFonts w:ascii="Arial" w:hAnsi="Arial" w:cs="Arial"/>
                <w:sz w:val="16"/>
                <w:szCs w:val="16"/>
              </w:rPr>
            </w:pPr>
            <w:r w:rsidRPr="002A53F5">
              <w:rPr>
                <w:rFonts w:ascii="Arial" w:hAnsi="Arial" w:cs="Arial"/>
                <w:b/>
                <w:bCs/>
                <w:sz w:val="16"/>
                <w:szCs w:val="16"/>
              </w:rPr>
              <w:t>Reason for change</w:t>
            </w:r>
            <w:r w:rsidRPr="002A53F5">
              <w:rPr>
                <w:rFonts w:ascii="Arial" w:hAnsi="Arial" w:cs="Arial"/>
                <w:sz w:val="16"/>
                <w:szCs w:val="16"/>
              </w:rPr>
              <w:t>:</w:t>
            </w:r>
          </w:p>
          <w:p w14:paraId="279C17EA" w14:textId="77777777" w:rsidR="00420DB1" w:rsidRPr="002A53F5" w:rsidRDefault="00420DB1">
            <w:pPr>
              <w:rPr>
                <w:rFonts w:ascii="Arial" w:hAnsi="Arial" w:cs="Arial"/>
                <w:sz w:val="16"/>
                <w:szCs w:val="16"/>
              </w:rPr>
            </w:pPr>
            <w:r w:rsidRPr="002A53F5">
              <w:rPr>
                <w:rFonts w:ascii="Arial" w:hAnsi="Arial" w:cs="Arial"/>
                <w:sz w:val="16"/>
                <w:szCs w:val="16"/>
              </w:rPr>
              <w:t>Clarify that 2 bits are needed if both cell DTX and cell DRX are configured for a serving cell; otherwise (i.e. only one cell DTX or cell DRX is configured), 1 bit is needed which corresponds to cell DTX or cell DRX configuration activation/deactivation and if not cell DTX and DRX is not configured 0 bits.</w:t>
            </w:r>
          </w:p>
          <w:p w14:paraId="2A4E20C2" w14:textId="77777777" w:rsidR="00420DB1" w:rsidRPr="002A53F5" w:rsidRDefault="00420DB1">
            <w:pPr>
              <w:rPr>
                <w:rFonts w:ascii="Arial" w:hAnsi="Arial" w:cs="Arial"/>
                <w:sz w:val="16"/>
                <w:szCs w:val="16"/>
              </w:rPr>
            </w:pPr>
            <w:r w:rsidRPr="002A53F5">
              <w:rPr>
                <w:rFonts w:ascii="Arial" w:hAnsi="Arial" w:cs="Arial"/>
                <w:sz w:val="16"/>
                <w:szCs w:val="16"/>
              </w:rPr>
              <w:t>Clarify that 1 bit for NES mode indication if configured by higher layers.</w:t>
            </w:r>
          </w:p>
          <w:p w14:paraId="124B8786" w14:textId="77777777" w:rsidR="00420DB1" w:rsidRPr="002A53F5" w:rsidRDefault="00420DB1">
            <w:pPr>
              <w:rPr>
                <w:rFonts w:ascii="Arial" w:eastAsia="Times New Roman" w:hAnsi="Arial" w:cs="Arial"/>
                <w:sz w:val="16"/>
                <w:szCs w:val="16"/>
              </w:rPr>
            </w:pPr>
            <w:r w:rsidRPr="002A53F5">
              <w:rPr>
                <w:rFonts w:ascii="Arial" w:hAnsi="Arial" w:cs="Arial"/>
                <w:sz w:val="16"/>
                <w:szCs w:val="16"/>
              </w:rPr>
              <w:t>Update RRC parameter names in the specification.</w:t>
            </w:r>
          </w:p>
        </w:tc>
      </w:tr>
      <w:tr w:rsidR="00420DB1" w:rsidRPr="002A53F5" w14:paraId="0EA54B58" w14:textId="77777777" w:rsidTr="002A53F5">
        <w:tc>
          <w:tcPr>
            <w:tcW w:w="5000" w:type="pct"/>
            <w:tcBorders>
              <w:top w:val="double" w:sz="4" w:space="0" w:color="A5A5A5"/>
              <w:left w:val="double" w:sz="4" w:space="0" w:color="A5A5A5"/>
              <w:bottom w:val="double" w:sz="4" w:space="0" w:color="A5A5A5"/>
              <w:right w:val="double" w:sz="4" w:space="0" w:color="A5A5A5"/>
            </w:tcBorders>
            <w:hideMark/>
          </w:tcPr>
          <w:p w14:paraId="2D920C78" w14:textId="77777777" w:rsidR="00420DB1" w:rsidRPr="002A53F5" w:rsidRDefault="00420DB1">
            <w:pPr>
              <w:rPr>
                <w:rFonts w:ascii="Arial" w:hAnsi="Arial" w:cs="Arial"/>
                <w:sz w:val="16"/>
                <w:szCs w:val="16"/>
              </w:rPr>
            </w:pPr>
            <w:r w:rsidRPr="002A53F5">
              <w:rPr>
                <w:rFonts w:ascii="Arial" w:hAnsi="Arial" w:cs="Arial"/>
                <w:b/>
                <w:bCs/>
                <w:sz w:val="16"/>
                <w:szCs w:val="16"/>
              </w:rPr>
              <w:t>Summary of change</w:t>
            </w:r>
            <w:r w:rsidRPr="002A53F5">
              <w:rPr>
                <w:rFonts w:ascii="Arial" w:hAnsi="Arial" w:cs="Arial"/>
                <w:sz w:val="16"/>
                <w:szCs w:val="16"/>
              </w:rPr>
              <w:t xml:space="preserve">: </w:t>
            </w:r>
          </w:p>
          <w:p w14:paraId="56F53447" w14:textId="77777777" w:rsidR="00420DB1" w:rsidRPr="002A53F5" w:rsidRDefault="00420DB1" w:rsidP="00A67145">
            <w:pPr>
              <w:pStyle w:val="ListParagraph"/>
              <w:numPr>
                <w:ilvl w:val="0"/>
                <w:numId w:val="183"/>
              </w:numPr>
              <w:suppressAutoHyphens/>
              <w:autoSpaceDE/>
              <w:autoSpaceDN/>
              <w:adjustRightInd/>
              <w:spacing w:after="0"/>
              <w:contextualSpacing w:val="0"/>
              <w:jc w:val="both"/>
              <w:textAlignment w:val="auto"/>
              <w:rPr>
                <w:rFonts w:ascii="Arial" w:hAnsi="Arial" w:cs="Arial"/>
                <w:sz w:val="16"/>
                <w:szCs w:val="16"/>
              </w:rPr>
            </w:pPr>
            <w:r w:rsidRPr="002A53F5">
              <w:rPr>
                <w:rFonts w:ascii="Arial" w:hAnsi="Arial" w:cs="Arial"/>
                <w:sz w:val="16"/>
                <w:szCs w:val="16"/>
              </w:rPr>
              <w:t>update NES-RNTI as cellDTRX-RNTI.</w:t>
            </w:r>
          </w:p>
          <w:p w14:paraId="17E37C16" w14:textId="77777777" w:rsidR="00420DB1" w:rsidRPr="002A53F5" w:rsidRDefault="00420DB1" w:rsidP="00A67145">
            <w:pPr>
              <w:pStyle w:val="ListParagraph"/>
              <w:numPr>
                <w:ilvl w:val="0"/>
                <w:numId w:val="183"/>
              </w:numPr>
              <w:suppressAutoHyphens/>
              <w:autoSpaceDE/>
              <w:autoSpaceDN/>
              <w:adjustRightInd/>
              <w:spacing w:after="0"/>
              <w:contextualSpacing w:val="0"/>
              <w:jc w:val="both"/>
              <w:textAlignment w:val="auto"/>
              <w:rPr>
                <w:rFonts w:ascii="Arial" w:hAnsi="Arial" w:cs="Arial"/>
                <w:sz w:val="16"/>
                <w:szCs w:val="16"/>
              </w:rPr>
            </w:pPr>
            <w:r w:rsidRPr="002A53F5">
              <w:rPr>
                <w:rFonts w:ascii="Arial" w:hAnsi="Arial" w:cs="Arial"/>
                <w:sz w:val="16"/>
                <w:szCs w:val="16"/>
              </w:rPr>
              <w:t xml:space="preserve">Associate the starting position of a block in DCI format 2_9 with a serving cell. </w:t>
            </w:r>
          </w:p>
          <w:p w14:paraId="0D1C07E0" w14:textId="77777777" w:rsidR="00420DB1" w:rsidRPr="002A53F5" w:rsidRDefault="00420DB1" w:rsidP="00A67145">
            <w:pPr>
              <w:pStyle w:val="ListParagraph"/>
              <w:numPr>
                <w:ilvl w:val="0"/>
                <w:numId w:val="183"/>
              </w:numPr>
              <w:suppressAutoHyphens/>
              <w:autoSpaceDE/>
              <w:autoSpaceDN/>
              <w:adjustRightInd/>
              <w:spacing w:after="0"/>
              <w:contextualSpacing w:val="0"/>
              <w:jc w:val="both"/>
              <w:textAlignment w:val="auto"/>
              <w:rPr>
                <w:rFonts w:ascii="Arial" w:hAnsi="Arial" w:cs="Arial"/>
                <w:sz w:val="16"/>
                <w:szCs w:val="16"/>
              </w:rPr>
            </w:pPr>
            <w:r w:rsidRPr="002A53F5">
              <w:rPr>
                <w:rFonts w:ascii="Arial" w:hAnsi="Arial" w:cs="Arial"/>
                <w:sz w:val="16"/>
                <w:szCs w:val="16"/>
              </w:rPr>
              <w:t xml:space="preserve">clarify the bitwidth of dynamic cell DTX/DRX information field in DCI format 2_9. </w:t>
            </w:r>
          </w:p>
          <w:p w14:paraId="0766D27A" w14:textId="77777777" w:rsidR="00420DB1" w:rsidRPr="002A53F5" w:rsidRDefault="00420DB1" w:rsidP="00A67145">
            <w:pPr>
              <w:pStyle w:val="ListParagraph"/>
              <w:numPr>
                <w:ilvl w:val="0"/>
                <w:numId w:val="183"/>
              </w:numPr>
              <w:suppressAutoHyphens/>
              <w:autoSpaceDE/>
              <w:autoSpaceDN/>
              <w:adjustRightInd/>
              <w:spacing w:after="0"/>
              <w:contextualSpacing w:val="0"/>
              <w:jc w:val="both"/>
              <w:textAlignment w:val="auto"/>
              <w:rPr>
                <w:rFonts w:ascii="Arial" w:eastAsia="Times New Roman" w:hAnsi="Arial" w:cs="Arial"/>
                <w:sz w:val="16"/>
                <w:szCs w:val="16"/>
              </w:rPr>
            </w:pPr>
            <w:r w:rsidRPr="002A53F5">
              <w:rPr>
                <w:rFonts w:ascii="Arial" w:hAnsi="Arial" w:cs="Arial"/>
                <w:sz w:val="16"/>
                <w:szCs w:val="16"/>
              </w:rPr>
              <w:t>add NES-mode indication to block definition.</w:t>
            </w:r>
          </w:p>
        </w:tc>
      </w:tr>
      <w:tr w:rsidR="00420DB1" w:rsidRPr="002A53F5" w14:paraId="3E587F6C" w14:textId="77777777" w:rsidTr="002A53F5">
        <w:tc>
          <w:tcPr>
            <w:tcW w:w="5000" w:type="pct"/>
            <w:tcBorders>
              <w:top w:val="double" w:sz="4" w:space="0" w:color="A5A5A5"/>
              <w:left w:val="double" w:sz="4" w:space="0" w:color="A5A5A5"/>
              <w:bottom w:val="double" w:sz="4" w:space="0" w:color="A5A5A5"/>
              <w:right w:val="double" w:sz="4" w:space="0" w:color="A5A5A5"/>
            </w:tcBorders>
            <w:hideMark/>
          </w:tcPr>
          <w:p w14:paraId="76482B35" w14:textId="77777777" w:rsidR="00420DB1" w:rsidRPr="002A53F5" w:rsidRDefault="00420DB1">
            <w:pPr>
              <w:rPr>
                <w:rFonts w:ascii="Arial" w:hAnsi="Arial" w:cs="Arial"/>
                <w:b/>
                <w:iCs/>
                <w:sz w:val="16"/>
                <w:szCs w:val="16"/>
              </w:rPr>
            </w:pPr>
            <w:r w:rsidRPr="002A53F5">
              <w:rPr>
                <w:rFonts w:ascii="Arial" w:hAnsi="Arial" w:cs="Arial"/>
                <w:b/>
                <w:iCs/>
                <w:sz w:val="16"/>
                <w:szCs w:val="16"/>
              </w:rPr>
              <w:t>Consequences if not approved:</w:t>
            </w:r>
          </w:p>
          <w:p w14:paraId="49AE91F4" w14:textId="77777777" w:rsidR="00420DB1" w:rsidRPr="002A53F5" w:rsidRDefault="00420DB1">
            <w:pPr>
              <w:rPr>
                <w:rFonts w:ascii="Arial" w:hAnsi="Arial" w:cs="Arial"/>
                <w:sz w:val="16"/>
                <w:szCs w:val="16"/>
              </w:rPr>
            </w:pPr>
            <w:r w:rsidRPr="002A53F5">
              <w:rPr>
                <w:rFonts w:ascii="Arial" w:hAnsi="Arial" w:cs="Arial"/>
                <w:sz w:val="16"/>
                <w:szCs w:val="16"/>
              </w:rPr>
              <w:t>The starting position and bitwidth of dynamic cell DTX/DRX information field in DCI format 2_9 is unclear.</w:t>
            </w:r>
          </w:p>
          <w:p w14:paraId="492227AA" w14:textId="77777777" w:rsidR="00420DB1" w:rsidRPr="002A53F5" w:rsidRDefault="00420DB1">
            <w:pPr>
              <w:rPr>
                <w:rFonts w:ascii="Arial" w:eastAsia="Times New Roman" w:hAnsi="Arial" w:cs="Arial"/>
                <w:sz w:val="16"/>
                <w:szCs w:val="16"/>
              </w:rPr>
            </w:pPr>
            <w:r w:rsidRPr="002A53F5">
              <w:rPr>
                <w:rFonts w:ascii="Arial" w:hAnsi="Arial" w:cs="Arial"/>
                <w:sz w:val="16"/>
                <w:szCs w:val="16"/>
              </w:rPr>
              <w:t>NES-mode indication associated with nesEvent configuration is missing from specification.</w:t>
            </w:r>
          </w:p>
        </w:tc>
      </w:tr>
      <w:tr w:rsidR="00420DB1" w:rsidRPr="002A53F5" w14:paraId="55E0592F" w14:textId="77777777" w:rsidTr="002A53F5">
        <w:tc>
          <w:tcPr>
            <w:tcW w:w="5000" w:type="pct"/>
            <w:tcBorders>
              <w:top w:val="double" w:sz="4" w:space="0" w:color="A5A5A5"/>
              <w:left w:val="double" w:sz="4" w:space="0" w:color="A5A5A5"/>
              <w:bottom w:val="double" w:sz="4" w:space="0" w:color="A5A5A5"/>
              <w:right w:val="double" w:sz="4" w:space="0" w:color="A5A5A5"/>
            </w:tcBorders>
          </w:tcPr>
          <w:p w14:paraId="641D23D4" w14:textId="56F414A0" w:rsidR="00420DB1" w:rsidRPr="002A53F5" w:rsidRDefault="00420DB1" w:rsidP="002A53F5">
            <w:pPr>
              <w:rPr>
                <w:lang w:eastAsia="x-none"/>
              </w:rPr>
            </w:pPr>
            <w:r w:rsidRPr="002A53F5">
              <w:rPr>
                <w:rFonts w:ascii="Arial" w:hAnsi="Arial" w:cs="Arial"/>
                <w:b/>
                <w:bCs/>
                <w:sz w:val="16"/>
                <w:szCs w:val="16"/>
              </w:rPr>
              <w:t>7.3.1.3.10</w:t>
            </w:r>
            <w:r w:rsidR="002A53F5">
              <w:rPr>
                <w:lang w:eastAsia="x-none"/>
              </w:rPr>
              <w:tab/>
            </w:r>
            <w:r w:rsidRPr="002A53F5">
              <w:rPr>
                <w:rFonts w:ascii="Arial" w:hAnsi="Arial" w:cs="Arial"/>
                <w:b/>
                <w:bCs/>
                <w:sz w:val="16"/>
                <w:szCs w:val="16"/>
              </w:rPr>
              <w:t>Format 2_9</w:t>
            </w:r>
          </w:p>
          <w:p w14:paraId="4CF474CD" w14:textId="77777777" w:rsidR="00420DB1" w:rsidRPr="002A53F5" w:rsidRDefault="00420DB1">
            <w:pPr>
              <w:overflowPunct w:val="0"/>
              <w:autoSpaceDE w:val="0"/>
              <w:autoSpaceDN w:val="0"/>
              <w:adjustRightInd w:val="0"/>
              <w:textAlignment w:val="baseline"/>
              <w:rPr>
                <w:rFonts w:ascii="Arial" w:eastAsia="Times New Roman" w:hAnsi="Arial" w:cs="Arial"/>
                <w:sz w:val="16"/>
                <w:szCs w:val="16"/>
              </w:rPr>
            </w:pPr>
            <w:r w:rsidRPr="002A53F5">
              <w:rPr>
                <w:rFonts w:ascii="Arial" w:eastAsia="Times New Roman" w:hAnsi="Arial" w:cs="Arial"/>
                <w:sz w:val="16"/>
                <w:szCs w:val="16"/>
              </w:rPr>
              <w:t>DCI format 2_9 is used for activating or de-activating the cell DTX</w:t>
            </w:r>
            <w:r w:rsidRPr="002A53F5">
              <w:rPr>
                <w:rFonts w:ascii="Arial" w:hAnsi="Arial" w:cs="Arial"/>
                <w:sz w:val="16"/>
                <w:szCs w:val="16"/>
              </w:rPr>
              <w:t xml:space="preserve"> </w:t>
            </w:r>
            <w:r w:rsidRPr="002A53F5">
              <w:rPr>
                <w:rFonts w:ascii="Arial" w:hAnsi="Arial" w:cs="Arial"/>
                <w:color w:val="C00000"/>
                <w:sz w:val="16"/>
                <w:szCs w:val="16"/>
                <w:u w:val="single"/>
              </w:rPr>
              <w:t xml:space="preserve">and/or </w:t>
            </w:r>
            <w:r w:rsidRPr="002A53F5">
              <w:rPr>
                <w:rFonts w:ascii="Arial" w:eastAsia="Times New Roman" w:hAnsi="Arial" w:cs="Arial"/>
                <w:sz w:val="16"/>
                <w:szCs w:val="16"/>
              </w:rPr>
              <w:t xml:space="preserve">DRX configuration of one or multiple serving cells </w:t>
            </w:r>
            <w:r w:rsidRPr="002A53F5">
              <w:rPr>
                <w:rFonts w:ascii="Arial" w:hAnsi="Arial" w:cs="Arial"/>
                <w:bCs/>
                <w:sz w:val="16"/>
                <w:szCs w:val="16"/>
              </w:rPr>
              <w:t>for one or more UEs</w:t>
            </w:r>
            <w:r w:rsidRPr="002A53F5">
              <w:rPr>
                <w:rFonts w:ascii="Arial" w:hAnsi="Arial" w:cs="Arial"/>
                <w:color w:val="0070C0"/>
                <w:sz w:val="16"/>
                <w:szCs w:val="16"/>
                <w:lang w:eastAsia="zh-CN"/>
              </w:rPr>
              <w:t xml:space="preserve"> </w:t>
            </w:r>
            <w:r w:rsidRPr="002A53F5">
              <w:rPr>
                <w:rFonts w:ascii="Arial" w:hAnsi="Arial" w:cs="Arial"/>
                <w:color w:val="C00000"/>
                <w:sz w:val="16"/>
                <w:szCs w:val="16"/>
                <w:u w:val="single"/>
                <w:lang w:eastAsia="zh-CN"/>
              </w:rPr>
              <w:t xml:space="preserve">and/or to provide </w:t>
            </w:r>
            <w:r w:rsidRPr="002A53F5">
              <w:rPr>
                <w:rFonts w:ascii="Arial" w:eastAsia="Times New Roman" w:hAnsi="Arial" w:cs="Arial"/>
                <w:color w:val="C00000"/>
                <w:sz w:val="16"/>
                <w:szCs w:val="16"/>
                <w:u w:val="single"/>
                <w:lang w:val="nb-NO" w:eastAsia="en-GB"/>
              </w:rPr>
              <w:t>NES-mode</w:t>
            </w:r>
            <w:r w:rsidRPr="002A53F5">
              <w:rPr>
                <w:rFonts w:ascii="Arial" w:hAnsi="Arial" w:cs="Arial"/>
                <w:color w:val="C00000"/>
                <w:sz w:val="16"/>
                <w:szCs w:val="16"/>
                <w:u w:val="single"/>
              </w:rPr>
              <w:t xml:space="preserve"> indication</w:t>
            </w:r>
            <w:r w:rsidRPr="002A53F5">
              <w:rPr>
                <w:rFonts w:ascii="Arial" w:eastAsia="Times New Roman" w:hAnsi="Arial" w:cs="Arial"/>
                <w:sz w:val="16"/>
                <w:szCs w:val="16"/>
              </w:rPr>
              <w:t xml:space="preserve">. </w:t>
            </w:r>
          </w:p>
          <w:p w14:paraId="5931AED1" w14:textId="77777777" w:rsidR="00420DB1" w:rsidRPr="002A53F5" w:rsidRDefault="00420DB1">
            <w:pPr>
              <w:overflowPunct w:val="0"/>
              <w:autoSpaceDE w:val="0"/>
              <w:autoSpaceDN w:val="0"/>
              <w:adjustRightInd w:val="0"/>
              <w:textAlignment w:val="baseline"/>
              <w:rPr>
                <w:rFonts w:ascii="Arial" w:eastAsia="Times New Roman" w:hAnsi="Arial" w:cs="Arial"/>
                <w:sz w:val="16"/>
                <w:szCs w:val="16"/>
              </w:rPr>
            </w:pPr>
            <w:r w:rsidRPr="002A53F5">
              <w:rPr>
                <w:rFonts w:ascii="Arial" w:eastAsia="Times New Roman" w:hAnsi="Arial" w:cs="Arial"/>
                <w:sz w:val="16"/>
                <w:szCs w:val="16"/>
              </w:rPr>
              <w:t xml:space="preserve">The following information is transmitted by means of the DCI format 2_9 with CRC scrambled by </w:t>
            </w:r>
            <w:r w:rsidRPr="002A53F5">
              <w:rPr>
                <w:rFonts w:ascii="Arial" w:eastAsia="Times New Roman" w:hAnsi="Arial" w:cs="Arial"/>
                <w:strike/>
                <w:color w:val="C00000"/>
                <w:sz w:val="16"/>
                <w:szCs w:val="16"/>
              </w:rPr>
              <w:t>NES</w:t>
            </w:r>
            <w:r w:rsidRPr="002A53F5">
              <w:rPr>
                <w:rFonts w:ascii="Arial" w:hAnsi="Arial" w:cs="Arial"/>
                <w:color w:val="C00000"/>
                <w:sz w:val="16"/>
                <w:szCs w:val="16"/>
                <w:u w:val="single"/>
              </w:rPr>
              <w:t>cellDTRX</w:t>
            </w:r>
            <w:r w:rsidRPr="002A53F5">
              <w:rPr>
                <w:rFonts w:ascii="Arial" w:eastAsia="Times New Roman" w:hAnsi="Arial" w:cs="Arial"/>
                <w:sz w:val="16"/>
                <w:szCs w:val="16"/>
              </w:rPr>
              <w:t>-RNTI:</w:t>
            </w:r>
          </w:p>
          <w:p w14:paraId="620C79AA" w14:textId="77777777" w:rsidR="00420DB1" w:rsidRPr="002A53F5" w:rsidRDefault="00420DB1">
            <w:pPr>
              <w:overflowPunct w:val="0"/>
              <w:autoSpaceDE w:val="0"/>
              <w:autoSpaceDN w:val="0"/>
              <w:adjustRightInd w:val="0"/>
              <w:ind w:left="568" w:hanging="284"/>
              <w:textAlignment w:val="baseline"/>
              <w:rPr>
                <w:rFonts w:ascii="Arial" w:eastAsia="Times New Roman" w:hAnsi="Arial" w:cs="Arial"/>
                <w:i/>
                <w:sz w:val="16"/>
                <w:szCs w:val="16"/>
                <w:lang w:val="nb-NO" w:eastAsia="en-GB"/>
              </w:rPr>
            </w:pPr>
            <w:r w:rsidRPr="002A53F5">
              <w:rPr>
                <w:rFonts w:ascii="Arial" w:eastAsia="Times New Roman" w:hAnsi="Arial" w:cs="Arial"/>
                <w:sz w:val="16"/>
                <w:szCs w:val="16"/>
                <w:lang w:val="nb-NO" w:eastAsia="en-GB"/>
              </w:rPr>
              <w:t>-</w:t>
            </w:r>
            <w:r w:rsidRPr="002A53F5">
              <w:rPr>
                <w:rFonts w:ascii="Arial" w:eastAsia="Times New Roman" w:hAnsi="Arial" w:cs="Arial"/>
                <w:sz w:val="16"/>
                <w:szCs w:val="16"/>
                <w:lang w:val="nb-NO"/>
              </w:rPr>
              <w:tab/>
              <w:t xml:space="preserve">block </w:t>
            </w:r>
            <w:r w:rsidRPr="002A53F5">
              <w:rPr>
                <w:rFonts w:ascii="Arial" w:eastAsia="Times New Roman" w:hAnsi="Arial" w:cs="Arial"/>
                <w:sz w:val="16"/>
                <w:szCs w:val="16"/>
                <w:lang w:val="nb-NO" w:eastAsia="en-GB"/>
              </w:rPr>
              <w:t xml:space="preserve">number 1, </w:t>
            </w:r>
            <w:r w:rsidRPr="002A53F5">
              <w:rPr>
                <w:rFonts w:ascii="Arial" w:eastAsia="Times New Roman" w:hAnsi="Arial" w:cs="Arial"/>
                <w:sz w:val="16"/>
                <w:szCs w:val="16"/>
                <w:lang w:val="nb-NO"/>
              </w:rPr>
              <w:t>block</w:t>
            </w:r>
            <w:r w:rsidRPr="002A53F5">
              <w:rPr>
                <w:rFonts w:ascii="Arial" w:eastAsia="Times New Roman" w:hAnsi="Arial" w:cs="Arial"/>
                <w:sz w:val="16"/>
                <w:szCs w:val="16"/>
                <w:lang w:val="nb-NO" w:eastAsia="en-GB"/>
              </w:rPr>
              <w:t xml:space="preserve"> number 2,…, </w:t>
            </w:r>
            <w:r w:rsidRPr="002A53F5">
              <w:rPr>
                <w:rFonts w:ascii="Arial" w:eastAsia="Times New Roman" w:hAnsi="Arial" w:cs="Arial"/>
                <w:sz w:val="16"/>
                <w:szCs w:val="16"/>
                <w:lang w:val="nb-NO"/>
              </w:rPr>
              <w:t>block</w:t>
            </w:r>
            <w:r w:rsidRPr="002A53F5">
              <w:rPr>
                <w:rFonts w:ascii="Arial" w:eastAsia="Times New Roman" w:hAnsi="Arial" w:cs="Arial"/>
                <w:sz w:val="16"/>
                <w:szCs w:val="16"/>
                <w:lang w:val="nb-NO" w:eastAsia="en-GB"/>
              </w:rPr>
              <w:t xml:space="preserve"> number </w:t>
            </w:r>
            <w:r w:rsidRPr="002A53F5">
              <w:rPr>
                <w:rFonts w:ascii="Arial" w:eastAsia="Times New Roman" w:hAnsi="Arial" w:cs="Arial"/>
                <w:i/>
                <w:sz w:val="16"/>
                <w:szCs w:val="16"/>
                <w:lang w:val="nb-NO" w:eastAsia="en-GB"/>
              </w:rPr>
              <w:t>N</w:t>
            </w:r>
          </w:p>
          <w:p w14:paraId="13A4649F" w14:textId="77777777" w:rsidR="00420DB1" w:rsidRPr="002A53F5" w:rsidRDefault="00420DB1">
            <w:pPr>
              <w:overflowPunct w:val="0"/>
              <w:autoSpaceDE w:val="0"/>
              <w:autoSpaceDN w:val="0"/>
              <w:adjustRightInd w:val="0"/>
              <w:ind w:left="568" w:hanging="284"/>
              <w:textAlignment w:val="baseline"/>
              <w:rPr>
                <w:rFonts w:ascii="Arial" w:eastAsia="Times New Roman" w:hAnsi="Arial" w:cs="Arial"/>
                <w:sz w:val="16"/>
                <w:szCs w:val="16"/>
                <w:lang w:eastAsia="en-GB"/>
              </w:rPr>
            </w:pPr>
            <w:r w:rsidRPr="002A53F5">
              <w:rPr>
                <w:rFonts w:ascii="Arial" w:eastAsia="Times New Roman" w:hAnsi="Arial" w:cs="Arial"/>
                <w:sz w:val="16"/>
                <w:szCs w:val="16"/>
                <w:lang w:eastAsia="en-GB"/>
              </w:rPr>
              <w:tab/>
              <w:t xml:space="preserve">where </w:t>
            </w:r>
            <w:r w:rsidRPr="002A53F5">
              <w:rPr>
                <w:rFonts w:ascii="Arial" w:eastAsia="Times New Roman" w:hAnsi="Arial" w:cs="Arial"/>
                <w:sz w:val="16"/>
                <w:szCs w:val="16"/>
                <w:lang w:eastAsia="ko-KR"/>
              </w:rPr>
              <w:t xml:space="preserve">the starting position of a block </w:t>
            </w:r>
            <w:r w:rsidRPr="002A53F5">
              <w:rPr>
                <w:rFonts w:ascii="Arial" w:hAnsi="Arial" w:cs="Arial"/>
                <w:color w:val="C00000"/>
                <w:sz w:val="16"/>
                <w:szCs w:val="16"/>
                <w:u w:val="single"/>
              </w:rPr>
              <w:t xml:space="preserve">associated with a serving cell </w:t>
            </w:r>
            <w:r w:rsidRPr="002A53F5">
              <w:rPr>
                <w:rFonts w:ascii="Arial" w:eastAsia="Times New Roman" w:hAnsi="Arial" w:cs="Arial"/>
                <w:sz w:val="16"/>
                <w:szCs w:val="16"/>
                <w:lang w:eastAsia="en-GB"/>
              </w:rPr>
              <w:t xml:space="preserve">is determined by the parameter </w:t>
            </w:r>
            <w:r w:rsidRPr="002A53F5">
              <w:rPr>
                <w:rFonts w:ascii="Arial" w:eastAsia="Times New Roman" w:hAnsi="Arial" w:cs="Arial"/>
                <w:i/>
                <w:sz w:val="16"/>
                <w:szCs w:val="16"/>
                <w:lang w:eastAsia="en-GB"/>
              </w:rPr>
              <w:t xml:space="preserve">positionInDCI-cellDTRX </w:t>
            </w:r>
            <w:r w:rsidRPr="002A53F5">
              <w:rPr>
                <w:rFonts w:ascii="Arial" w:eastAsia="Times New Roman" w:hAnsi="Arial" w:cs="Arial"/>
                <w:sz w:val="16"/>
                <w:szCs w:val="16"/>
                <w:lang w:eastAsia="ko-KR"/>
              </w:rPr>
              <w:t>provided by higher layers for the UE.</w:t>
            </w:r>
          </w:p>
          <w:p w14:paraId="24B4F6E3" w14:textId="77777777" w:rsidR="00420DB1" w:rsidRPr="002A53F5" w:rsidRDefault="00420DB1">
            <w:pPr>
              <w:rPr>
                <w:rFonts w:ascii="Arial" w:hAnsi="Arial" w:cs="Arial"/>
                <w:sz w:val="16"/>
                <w:szCs w:val="16"/>
              </w:rPr>
            </w:pPr>
            <w:r w:rsidRPr="002A53F5">
              <w:rPr>
                <w:rFonts w:ascii="Arial" w:hAnsi="Arial" w:cs="Arial"/>
                <w:sz w:val="16"/>
                <w:szCs w:val="16"/>
              </w:rPr>
              <w:t xml:space="preserve">If the UE is configured </w:t>
            </w:r>
            <w:r w:rsidRPr="002A53F5">
              <w:rPr>
                <w:rFonts w:ascii="Arial" w:hAnsi="Arial" w:cs="Arial"/>
                <w:i/>
                <w:iCs/>
                <w:strike/>
                <w:color w:val="C00000"/>
                <w:sz w:val="16"/>
                <w:szCs w:val="16"/>
                <w:u w:val="single"/>
              </w:rPr>
              <w:t xml:space="preserve">with higher layer parameter </w:t>
            </w:r>
            <w:r w:rsidRPr="002A53F5">
              <w:rPr>
                <w:rFonts w:ascii="Arial" w:hAnsi="Arial" w:cs="Arial"/>
                <w:color w:val="C00000"/>
                <w:sz w:val="16"/>
                <w:szCs w:val="16"/>
                <w:u w:val="single"/>
              </w:rPr>
              <w:t xml:space="preserve">to monitor DCI 2_9 with CRC scrambled by </w:t>
            </w:r>
            <w:r w:rsidRPr="002A53F5">
              <w:rPr>
                <w:rFonts w:ascii="Arial" w:hAnsi="Arial" w:cs="Arial"/>
                <w:i/>
                <w:iCs/>
                <w:strike/>
                <w:color w:val="C00000"/>
                <w:sz w:val="16"/>
                <w:szCs w:val="16"/>
                <w:u w:val="single"/>
              </w:rPr>
              <w:t>XYZ</w:t>
            </w:r>
            <w:r w:rsidRPr="002A53F5">
              <w:rPr>
                <w:rFonts w:ascii="Arial" w:hAnsi="Arial" w:cs="Arial"/>
                <w:i/>
                <w:iCs/>
                <w:color w:val="C00000"/>
                <w:sz w:val="16"/>
                <w:szCs w:val="16"/>
                <w:u w:val="single"/>
              </w:rPr>
              <w:t xml:space="preserve"> </w:t>
            </w:r>
            <w:r w:rsidRPr="002A53F5">
              <w:rPr>
                <w:rFonts w:ascii="Arial" w:hAnsi="Arial" w:cs="Arial"/>
                <w:color w:val="C00000"/>
                <w:sz w:val="16"/>
                <w:szCs w:val="16"/>
                <w:u w:val="single"/>
              </w:rPr>
              <w:t>cellDTRX-RNTI</w:t>
            </w:r>
            <w:r w:rsidRPr="002A53F5">
              <w:rPr>
                <w:rFonts w:ascii="Arial" w:hAnsi="Arial" w:cs="Arial"/>
                <w:sz w:val="16"/>
                <w:szCs w:val="16"/>
              </w:rPr>
              <w:t>, one or more blocks are configured for the UE by higher layers, with t</w:t>
            </w:r>
            <w:r w:rsidRPr="002A53F5">
              <w:rPr>
                <w:rFonts w:ascii="Arial" w:hAnsi="Arial" w:cs="Arial"/>
                <w:sz w:val="16"/>
                <w:szCs w:val="16"/>
                <w:lang w:eastAsia="ko-KR"/>
              </w:rPr>
              <w:t xml:space="preserve">he following field defined </w:t>
            </w:r>
            <w:r w:rsidRPr="002A53F5">
              <w:rPr>
                <w:rFonts w:ascii="Arial" w:hAnsi="Arial" w:cs="Arial"/>
                <w:color w:val="C00000"/>
                <w:sz w:val="16"/>
                <w:szCs w:val="16"/>
                <w:u w:val="single"/>
                <w:lang w:eastAsia="ko-KR"/>
              </w:rPr>
              <w:t>in the following order</w:t>
            </w:r>
            <w:r w:rsidRPr="002A53F5">
              <w:rPr>
                <w:rFonts w:ascii="Arial" w:hAnsi="Arial" w:cs="Arial"/>
                <w:color w:val="C00000"/>
                <w:sz w:val="16"/>
                <w:szCs w:val="16"/>
                <w:lang w:eastAsia="ko-KR"/>
              </w:rPr>
              <w:t xml:space="preserve"> </w:t>
            </w:r>
            <w:r w:rsidRPr="002A53F5">
              <w:rPr>
                <w:rFonts w:ascii="Arial" w:hAnsi="Arial" w:cs="Arial"/>
                <w:sz w:val="16"/>
                <w:szCs w:val="16"/>
                <w:lang w:eastAsia="ko-KR"/>
              </w:rPr>
              <w:t>for each block:</w:t>
            </w:r>
          </w:p>
          <w:p w14:paraId="4D70351C" w14:textId="77777777" w:rsidR="00420DB1" w:rsidRPr="002A53F5" w:rsidRDefault="00420DB1">
            <w:pPr>
              <w:pStyle w:val="B1"/>
              <w:spacing w:after="0"/>
              <w:rPr>
                <w:rFonts w:ascii="Arial" w:hAnsi="Arial" w:cs="Arial"/>
                <w:sz w:val="16"/>
                <w:szCs w:val="16"/>
              </w:rPr>
            </w:pPr>
            <w:r w:rsidRPr="002A53F5">
              <w:rPr>
                <w:rFonts w:ascii="Arial" w:eastAsia="Times New Roman" w:hAnsi="Arial" w:cs="Arial"/>
                <w:sz w:val="16"/>
                <w:szCs w:val="16"/>
                <w:lang w:val="nb-NO" w:eastAsia="en-GB"/>
              </w:rPr>
              <w:t>-</w:t>
            </w:r>
            <w:r w:rsidRPr="002A53F5">
              <w:rPr>
                <w:rFonts w:ascii="Arial" w:eastAsia="Times New Roman" w:hAnsi="Arial" w:cs="Arial"/>
                <w:sz w:val="16"/>
                <w:szCs w:val="16"/>
                <w:lang w:val="nb-NO" w:eastAsia="en-GB"/>
              </w:rPr>
              <w:tab/>
            </w:r>
            <w:r w:rsidRPr="002A53F5">
              <w:rPr>
                <w:rFonts w:ascii="Arial" w:hAnsi="Arial" w:cs="Arial"/>
                <w:sz w:val="16"/>
                <w:szCs w:val="16"/>
              </w:rPr>
              <w:t xml:space="preserve">Cell DTX/DRX indication – </w:t>
            </w:r>
          </w:p>
          <w:p w14:paraId="64B25A6C" w14:textId="77777777" w:rsidR="00420DB1" w:rsidRPr="002A53F5" w:rsidRDefault="00420DB1">
            <w:pPr>
              <w:pStyle w:val="B1"/>
              <w:spacing w:after="0"/>
              <w:ind w:left="852"/>
              <w:rPr>
                <w:rFonts w:ascii="Arial" w:hAnsi="Arial" w:cs="Arial"/>
                <w:sz w:val="16"/>
                <w:szCs w:val="16"/>
              </w:rPr>
            </w:pPr>
            <w:r w:rsidRPr="002A53F5">
              <w:rPr>
                <w:rFonts w:ascii="Arial" w:eastAsia="Times New Roman" w:hAnsi="Arial" w:cs="Arial"/>
                <w:color w:val="C00000"/>
                <w:sz w:val="16"/>
                <w:szCs w:val="16"/>
                <w:u w:val="single"/>
                <w:lang w:val="nb-NO" w:eastAsia="en-GB"/>
              </w:rPr>
              <w:t>-</w:t>
            </w:r>
            <w:r w:rsidRPr="002A53F5">
              <w:rPr>
                <w:rFonts w:ascii="Arial" w:eastAsia="Times New Roman" w:hAnsi="Arial" w:cs="Arial"/>
                <w:color w:val="C00000"/>
                <w:sz w:val="16"/>
                <w:szCs w:val="16"/>
                <w:u w:val="single"/>
                <w:lang w:val="nb-NO" w:eastAsia="en-GB"/>
              </w:rPr>
              <w:tab/>
            </w:r>
            <w:r w:rsidRPr="002A53F5">
              <w:rPr>
                <w:rFonts w:ascii="Arial" w:hAnsi="Arial" w:cs="Arial"/>
                <w:color w:val="C00000"/>
                <w:sz w:val="16"/>
                <w:szCs w:val="16"/>
                <w:u w:val="single"/>
              </w:rPr>
              <w:t>if [</w:t>
            </w:r>
            <w:r w:rsidRPr="002A53F5">
              <w:rPr>
                <w:rFonts w:ascii="Arial" w:hAnsi="Arial" w:cs="Arial"/>
                <w:i/>
                <w:color w:val="C00000"/>
                <w:sz w:val="16"/>
                <w:szCs w:val="16"/>
                <w:u w:val="single"/>
              </w:rPr>
              <w:t>cellDTXDRX-L1activation</w:t>
            </w:r>
            <w:r w:rsidRPr="002A53F5">
              <w:rPr>
                <w:rFonts w:ascii="Arial" w:hAnsi="Arial" w:cs="Arial"/>
                <w:iCs/>
                <w:color w:val="C00000"/>
                <w:sz w:val="16"/>
                <w:szCs w:val="16"/>
                <w:u w:val="single"/>
              </w:rPr>
              <w:t xml:space="preserve">] is configured, </w:t>
            </w:r>
            <w:r w:rsidRPr="002A53F5">
              <w:rPr>
                <w:rFonts w:ascii="Arial" w:hAnsi="Arial" w:cs="Arial"/>
                <w:sz w:val="16"/>
                <w:szCs w:val="16"/>
              </w:rPr>
              <w:t xml:space="preserve">2 bits if </w:t>
            </w:r>
            <w:r w:rsidRPr="002A53F5">
              <w:rPr>
                <w:rFonts w:ascii="Arial" w:hAnsi="Arial" w:cs="Arial"/>
                <w:i/>
                <w:strike/>
                <w:color w:val="C00000"/>
                <w:sz w:val="16"/>
                <w:szCs w:val="16"/>
              </w:rPr>
              <w:t>XYZ</w:t>
            </w:r>
            <w:r w:rsidRPr="002A53F5">
              <w:rPr>
                <w:rFonts w:ascii="Arial" w:hAnsi="Arial" w:cs="Arial"/>
                <w:i/>
                <w:color w:val="C00000"/>
                <w:sz w:val="16"/>
                <w:szCs w:val="16"/>
                <w:u w:val="single"/>
              </w:rPr>
              <w:t>cellDTXDRXconfigType</w:t>
            </w:r>
            <w:r w:rsidRPr="002A53F5">
              <w:rPr>
                <w:rFonts w:ascii="Arial" w:hAnsi="Arial" w:cs="Arial"/>
                <w:color w:val="C00000"/>
                <w:sz w:val="16"/>
                <w:szCs w:val="16"/>
                <w:u w:val="single"/>
              </w:rPr>
              <w:t xml:space="preserve"> is configured to </w:t>
            </w:r>
            <w:r w:rsidRPr="002A53F5">
              <w:rPr>
                <w:rFonts w:ascii="Arial" w:hAnsi="Arial" w:cs="Arial"/>
                <w:i/>
                <w:iCs/>
                <w:color w:val="C00000"/>
                <w:sz w:val="16"/>
                <w:szCs w:val="16"/>
                <w:u w:val="single"/>
              </w:rPr>
              <w:t xml:space="preserve">dtxdrx </w:t>
            </w:r>
            <w:r w:rsidRPr="002A53F5">
              <w:rPr>
                <w:rFonts w:ascii="Arial" w:hAnsi="Arial" w:cs="Arial"/>
                <w:color w:val="C00000"/>
                <w:sz w:val="16"/>
                <w:szCs w:val="16"/>
                <w:u w:val="single"/>
              </w:rPr>
              <w:t>for the serving cell</w:t>
            </w:r>
            <w:r w:rsidRPr="002A53F5">
              <w:rPr>
                <w:rFonts w:ascii="Arial" w:hAnsi="Arial" w:cs="Arial"/>
                <w:sz w:val="16"/>
                <w:szCs w:val="16"/>
              </w:rPr>
              <w:t xml:space="preserve">, with the MSB corresponding to cell DTX configuration and the LSB corresponding to cell DRX configuration; </w:t>
            </w:r>
            <w:r w:rsidRPr="002A53F5">
              <w:rPr>
                <w:rFonts w:ascii="Arial" w:hAnsi="Arial" w:cs="Arial"/>
                <w:color w:val="C00000"/>
                <w:sz w:val="16"/>
                <w:szCs w:val="16"/>
                <w:u w:val="single"/>
              </w:rPr>
              <w:t xml:space="preserve">1 bit if </w:t>
            </w:r>
            <w:r w:rsidRPr="002A53F5">
              <w:rPr>
                <w:rFonts w:ascii="Arial" w:hAnsi="Arial" w:cs="Arial"/>
                <w:i/>
                <w:iCs/>
                <w:color w:val="C00000"/>
                <w:sz w:val="16"/>
                <w:szCs w:val="16"/>
                <w:u w:val="single"/>
              </w:rPr>
              <w:t>cellDTXDRXconfigType</w:t>
            </w:r>
            <w:r w:rsidRPr="002A53F5">
              <w:rPr>
                <w:rFonts w:ascii="Arial" w:hAnsi="Arial" w:cs="Arial"/>
                <w:color w:val="C00000"/>
                <w:sz w:val="16"/>
                <w:szCs w:val="16"/>
                <w:u w:val="single"/>
              </w:rPr>
              <w:t xml:space="preserve"> is configured to either </w:t>
            </w:r>
            <w:r w:rsidRPr="002A53F5">
              <w:rPr>
                <w:rFonts w:ascii="Arial" w:hAnsi="Arial" w:cs="Arial"/>
                <w:i/>
                <w:iCs/>
                <w:color w:val="C00000"/>
                <w:sz w:val="16"/>
                <w:szCs w:val="16"/>
                <w:u w:val="single"/>
              </w:rPr>
              <w:t>dtx</w:t>
            </w:r>
            <w:r w:rsidRPr="002A53F5">
              <w:rPr>
                <w:rFonts w:ascii="Arial" w:hAnsi="Arial" w:cs="Arial"/>
                <w:color w:val="C00000"/>
                <w:sz w:val="16"/>
                <w:szCs w:val="16"/>
                <w:u w:val="single"/>
              </w:rPr>
              <w:t xml:space="preserve"> or </w:t>
            </w:r>
            <w:r w:rsidRPr="002A53F5">
              <w:rPr>
                <w:rFonts w:ascii="Arial" w:hAnsi="Arial" w:cs="Arial"/>
                <w:i/>
                <w:iCs/>
                <w:color w:val="C00000"/>
                <w:sz w:val="16"/>
                <w:szCs w:val="16"/>
                <w:u w:val="single"/>
              </w:rPr>
              <w:t xml:space="preserve">drx </w:t>
            </w:r>
            <w:r w:rsidRPr="002A53F5">
              <w:rPr>
                <w:rFonts w:ascii="Arial" w:hAnsi="Arial" w:cs="Arial"/>
                <w:color w:val="C00000"/>
                <w:sz w:val="16"/>
                <w:szCs w:val="16"/>
                <w:u w:val="single"/>
              </w:rPr>
              <w:t>for the serving cell</w:t>
            </w:r>
            <w:r w:rsidRPr="002A53F5">
              <w:rPr>
                <w:rFonts w:ascii="Arial" w:hAnsi="Arial" w:cs="Arial"/>
                <w:i/>
                <w:iCs/>
                <w:color w:val="C00000"/>
                <w:sz w:val="16"/>
                <w:szCs w:val="16"/>
                <w:u w:val="single"/>
              </w:rPr>
              <w:t>;</w:t>
            </w:r>
            <w:r w:rsidRPr="002A53F5">
              <w:rPr>
                <w:rFonts w:ascii="Arial" w:hAnsi="Arial" w:cs="Arial"/>
                <w:sz w:val="16"/>
                <w:szCs w:val="16"/>
              </w:rPr>
              <w:t xml:space="preserve"> </w:t>
            </w:r>
          </w:p>
          <w:p w14:paraId="2943C69D" w14:textId="77777777" w:rsidR="00420DB1" w:rsidRPr="002A53F5" w:rsidRDefault="00420DB1">
            <w:pPr>
              <w:pStyle w:val="B1"/>
              <w:spacing w:after="0"/>
              <w:ind w:left="852"/>
              <w:rPr>
                <w:rFonts w:ascii="Arial" w:hAnsi="Arial" w:cs="Arial"/>
                <w:sz w:val="16"/>
                <w:szCs w:val="16"/>
              </w:rPr>
            </w:pPr>
            <w:r w:rsidRPr="002A53F5">
              <w:rPr>
                <w:rFonts w:ascii="Arial" w:eastAsia="Times New Roman" w:hAnsi="Arial" w:cs="Arial"/>
                <w:color w:val="C00000"/>
                <w:sz w:val="16"/>
                <w:szCs w:val="16"/>
                <w:u w:val="single"/>
                <w:lang w:val="nb-NO" w:eastAsia="en-GB"/>
              </w:rPr>
              <w:t>-</w:t>
            </w:r>
            <w:r w:rsidRPr="002A53F5">
              <w:rPr>
                <w:rFonts w:ascii="Arial" w:eastAsia="Times New Roman" w:hAnsi="Arial" w:cs="Arial"/>
                <w:color w:val="C00000"/>
                <w:sz w:val="16"/>
                <w:szCs w:val="16"/>
                <w:u w:val="single"/>
                <w:lang w:val="nb-NO" w:eastAsia="en-GB"/>
              </w:rPr>
              <w:tab/>
            </w:r>
            <w:r w:rsidRPr="002A53F5">
              <w:rPr>
                <w:rFonts w:ascii="Arial" w:hAnsi="Arial" w:cs="Arial"/>
                <w:sz w:val="16"/>
                <w:szCs w:val="16"/>
              </w:rPr>
              <w:t xml:space="preserve">otherwise </w:t>
            </w:r>
            <w:r w:rsidRPr="002A53F5">
              <w:rPr>
                <w:rFonts w:ascii="Arial" w:hAnsi="Arial" w:cs="Arial"/>
                <w:color w:val="C00000"/>
                <w:sz w:val="16"/>
                <w:szCs w:val="16"/>
                <w:u w:val="single"/>
              </w:rPr>
              <w:t>0</w:t>
            </w:r>
            <w:r w:rsidRPr="002A53F5">
              <w:rPr>
                <w:rFonts w:ascii="Arial" w:hAnsi="Arial" w:cs="Arial"/>
                <w:strike/>
                <w:color w:val="C00000"/>
                <w:sz w:val="16"/>
                <w:szCs w:val="16"/>
              </w:rPr>
              <w:t>1</w:t>
            </w:r>
            <w:r w:rsidRPr="002A53F5">
              <w:rPr>
                <w:rFonts w:ascii="Arial" w:hAnsi="Arial" w:cs="Arial"/>
                <w:sz w:val="16"/>
                <w:szCs w:val="16"/>
              </w:rPr>
              <w:t xml:space="preserve"> bit.</w:t>
            </w:r>
          </w:p>
          <w:p w14:paraId="282745A9" w14:textId="77777777" w:rsidR="00420DB1" w:rsidRPr="002A53F5" w:rsidRDefault="00420DB1">
            <w:pPr>
              <w:pStyle w:val="B1"/>
              <w:spacing w:after="0"/>
              <w:rPr>
                <w:rFonts w:ascii="Arial" w:hAnsi="Arial" w:cs="Arial"/>
                <w:color w:val="0070C0"/>
                <w:sz w:val="16"/>
                <w:szCs w:val="16"/>
                <w:u w:val="single"/>
              </w:rPr>
            </w:pPr>
            <w:r w:rsidRPr="002A53F5">
              <w:rPr>
                <w:rFonts w:ascii="Arial" w:eastAsia="Times New Roman" w:hAnsi="Arial" w:cs="Arial"/>
                <w:color w:val="C00000"/>
                <w:sz w:val="16"/>
                <w:szCs w:val="16"/>
                <w:u w:val="single"/>
                <w:lang w:val="nb-NO" w:eastAsia="en-GB"/>
              </w:rPr>
              <w:t>-</w:t>
            </w:r>
            <w:r w:rsidRPr="002A53F5">
              <w:rPr>
                <w:rFonts w:ascii="Arial" w:eastAsia="Times New Roman" w:hAnsi="Arial" w:cs="Arial"/>
                <w:color w:val="C00000"/>
                <w:sz w:val="16"/>
                <w:szCs w:val="16"/>
                <w:u w:val="single"/>
                <w:lang w:val="nb-NO" w:eastAsia="en-GB"/>
              </w:rPr>
              <w:tab/>
              <w:t>NES-mode</w:t>
            </w:r>
            <w:r w:rsidRPr="002A53F5">
              <w:rPr>
                <w:rFonts w:ascii="Arial" w:hAnsi="Arial" w:cs="Arial"/>
                <w:color w:val="C00000"/>
                <w:sz w:val="16"/>
                <w:szCs w:val="16"/>
                <w:u w:val="single"/>
              </w:rPr>
              <w:t xml:space="preserve"> indication – 1 bit if </w:t>
            </w:r>
            <w:r w:rsidRPr="002A53F5">
              <w:rPr>
                <w:rFonts w:ascii="Arial" w:hAnsi="Arial" w:cs="Arial"/>
                <w:i/>
                <w:iCs/>
                <w:color w:val="C00000"/>
                <w:sz w:val="16"/>
                <w:szCs w:val="16"/>
                <w:u w:val="single"/>
              </w:rPr>
              <w:t>nesEvent</w:t>
            </w:r>
            <w:r w:rsidRPr="002A53F5">
              <w:rPr>
                <w:rFonts w:ascii="Arial" w:hAnsi="Arial" w:cs="Arial"/>
                <w:color w:val="C00000"/>
                <w:sz w:val="16"/>
                <w:szCs w:val="16"/>
                <w:u w:val="single"/>
              </w:rPr>
              <w:t xml:space="preserve"> is configured and the serving cell is Pcell; otherwise, 0 bit. </w:t>
            </w:r>
          </w:p>
          <w:p w14:paraId="05A828F5" w14:textId="77777777" w:rsidR="00420DB1" w:rsidRPr="002A53F5" w:rsidRDefault="00420DB1">
            <w:pPr>
              <w:overflowPunct w:val="0"/>
              <w:autoSpaceDE w:val="0"/>
              <w:autoSpaceDN w:val="0"/>
              <w:adjustRightInd w:val="0"/>
              <w:textAlignment w:val="baseline"/>
              <w:rPr>
                <w:rFonts w:ascii="Arial" w:eastAsia="Times New Roman" w:hAnsi="Arial" w:cs="Arial"/>
                <w:sz w:val="16"/>
                <w:szCs w:val="16"/>
                <w:lang w:eastAsia="en-GB"/>
              </w:rPr>
            </w:pPr>
          </w:p>
          <w:p w14:paraId="1F37FA33" w14:textId="77777777" w:rsidR="00420DB1" w:rsidRPr="002A53F5" w:rsidRDefault="00420DB1">
            <w:pPr>
              <w:overflowPunct w:val="0"/>
              <w:autoSpaceDE w:val="0"/>
              <w:autoSpaceDN w:val="0"/>
              <w:adjustRightInd w:val="0"/>
              <w:textAlignment w:val="baseline"/>
              <w:rPr>
                <w:rFonts w:ascii="Arial" w:eastAsia="Times New Roman" w:hAnsi="Arial" w:cs="Arial"/>
                <w:sz w:val="16"/>
                <w:szCs w:val="16"/>
              </w:rPr>
            </w:pPr>
            <w:r w:rsidRPr="002A53F5">
              <w:rPr>
                <w:rFonts w:ascii="Arial" w:eastAsia="Times New Roman" w:hAnsi="Arial" w:cs="Arial"/>
                <w:sz w:val="16"/>
                <w:szCs w:val="16"/>
              </w:rPr>
              <w:t xml:space="preserve">The size of DCI format 2_9 is indicated by the higher layer parameter </w:t>
            </w:r>
            <w:r w:rsidRPr="002A53F5">
              <w:rPr>
                <w:rFonts w:ascii="Arial" w:eastAsia="Times New Roman" w:hAnsi="Arial" w:cs="Arial"/>
                <w:i/>
                <w:sz w:val="16"/>
                <w:szCs w:val="16"/>
                <w:lang w:eastAsia="en-GB"/>
              </w:rPr>
              <w:t>sizeDCI-2-9</w:t>
            </w:r>
            <w:r w:rsidRPr="002A53F5">
              <w:rPr>
                <w:rFonts w:ascii="Arial" w:eastAsia="Times New Roman" w:hAnsi="Arial" w:cs="Arial"/>
                <w:sz w:val="16"/>
                <w:szCs w:val="16"/>
              </w:rPr>
              <w:t>.</w:t>
            </w:r>
          </w:p>
          <w:p w14:paraId="41863D09" w14:textId="77777777" w:rsidR="00420DB1" w:rsidRPr="008102FC" w:rsidRDefault="00420DB1" w:rsidP="008102FC">
            <w:pPr>
              <w:jc w:val="center"/>
              <w:rPr>
                <w:rFonts w:ascii="Arial" w:eastAsia="Times New Roman" w:hAnsi="Arial" w:cs="Arial"/>
                <w:color w:val="FF0000"/>
                <w:sz w:val="16"/>
                <w:szCs w:val="16"/>
              </w:rPr>
            </w:pPr>
            <w:r w:rsidRPr="008102FC">
              <w:rPr>
                <w:rFonts w:ascii="Arial" w:hAnsi="Arial" w:cs="Arial"/>
                <w:color w:val="FF0000"/>
                <w:sz w:val="16"/>
                <w:szCs w:val="16"/>
              </w:rPr>
              <w:t>*** Unchanged parts are omitted ***</w:t>
            </w:r>
          </w:p>
        </w:tc>
      </w:tr>
    </w:tbl>
    <w:p w14:paraId="1ACA54E4" w14:textId="77777777" w:rsidR="00420DB1" w:rsidRDefault="00420DB1" w:rsidP="00420DB1"/>
    <w:p w14:paraId="3448BE12" w14:textId="27E4A7A0" w:rsidR="00420DB1" w:rsidRPr="008C1EBB" w:rsidRDefault="00420DB1" w:rsidP="00420DB1">
      <w:pPr>
        <w:rPr>
          <w:highlight w:val="green"/>
          <w:lang w:eastAsia="x-none"/>
        </w:rPr>
      </w:pPr>
      <w:r w:rsidRPr="008C1EBB">
        <w:rPr>
          <w:highlight w:val="green"/>
          <w:lang w:eastAsia="x-none"/>
        </w:rPr>
        <w:t>Agreement</w:t>
      </w:r>
    </w:p>
    <w:p w14:paraId="65B090BA" w14:textId="77777777" w:rsidR="00420DB1" w:rsidRDefault="00420DB1" w:rsidP="008C1EBB">
      <w:r>
        <w:t>Adopt the following TP for TS38.213</w:t>
      </w:r>
    </w:p>
    <w:tbl>
      <w:tblPr>
        <w:tblW w:w="5000" w:type="pct"/>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0683"/>
      </w:tblGrid>
      <w:tr w:rsidR="008C1EBB" w14:paraId="013C9C40" w14:textId="77777777" w:rsidTr="008C1EBB">
        <w:trPr>
          <w:trHeight w:val="53"/>
        </w:trPr>
        <w:tc>
          <w:tcPr>
            <w:tcW w:w="5000" w:type="pct"/>
            <w:tcBorders>
              <w:top w:val="double" w:sz="4" w:space="0" w:color="A5A5A5"/>
              <w:left w:val="double" w:sz="4" w:space="0" w:color="A5A5A5"/>
              <w:bottom w:val="double" w:sz="4" w:space="0" w:color="A5A5A5"/>
              <w:right w:val="double" w:sz="4" w:space="0" w:color="A5A5A5"/>
            </w:tcBorders>
            <w:hideMark/>
          </w:tcPr>
          <w:p w14:paraId="2DC3101E" w14:textId="1CB4F1FF" w:rsidR="008C1EBB" w:rsidRPr="008C1EBB" w:rsidRDefault="008C1EBB">
            <w:pPr>
              <w:pStyle w:val="BodyText"/>
              <w:tabs>
                <w:tab w:val="left" w:pos="1480"/>
              </w:tabs>
              <w:spacing w:after="0"/>
              <w:rPr>
                <w:rFonts w:ascii="Arial" w:hAnsi="Arial" w:cs="Arial"/>
                <w:sz w:val="16"/>
                <w:szCs w:val="16"/>
                <w:lang w:eastAsia="zh-CN"/>
              </w:rPr>
            </w:pPr>
            <w:r w:rsidRPr="008C1EBB">
              <w:rPr>
                <w:rFonts w:ascii="Arial" w:hAnsi="Arial" w:cs="Arial"/>
                <w:b/>
                <w:bCs/>
                <w:sz w:val="16"/>
                <w:szCs w:val="16"/>
                <w:lang w:eastAsia="zh-CN"/>
              </w:rPr>
              <w:t>Reasons for change:</w:t>
            </w:r>
            <w:r w:rsidR="00DA51D2">
              <w:rPr>
                <w:rFonts w:ascii="Arial" w:hAnsi="Arial" w:cs="Arial"/>
                <w:b/>
                <w:bCs/>
                <w:sz w:val="16"/>
                <w:szCs w:val="16"/>
                <w:lang w:eastAsia="zh-CN"/>
              </w:rPr>
              <w:t xml:space="preserve"> </w:t>
            </w:r>
            <w:r w:rsidRPr="008C1EBB">
              <w:rPr>
                <w:rFonts w:ascii="Arial" w:hAnsi="Arial" w:cs="Arial"/>
                <w:sz w:val="16"/>
                <w:szCs w:val="16"/>
                <w:lang w:eastAsia="zh-CN"/>
              </w:rPr>
              <w:t xml:space="preserve">Unclear how HARQ feedback for cancelled SPS PDSCH in cell DRX/DRX operation should be handled by specification. </w:t>
            </w:r>
          </w:p>
          <w:p w14:paraId="6532C42F" w14:textId="7B7B177F" w:rsidR="008C1EBB" w:rsidRPr="008C1EBB" w:rsidRDefault="008C1EBB">
            <w:pPr>
              <w:pStyle w:val="BodyText"/>
              <w:tabs>
                <w:tab w:val="left" w:pos="1480"/>
              </w:tabs>
              <w:spacing w:after="0"/>
              <w:rPr>
                <w:rFonts w:ascii="Arial" w:hAnsi="Arial" w:cs="Arial"/>
                <w:sz w:val="16"/>
                <w:szCs w:val="16"/>
                <w:lang w:eastAsia="zh-CN"/>
              </w:rPr>
            </w:pPr>
            <w:r w:rsidRPr="008C1EBB">
              <w:rPr>
                <w:rFonts w:ascii="Arial" w:hAnsi="Arial" w:cs="Arial"/>
                <w:b/>
                <w:bCs/>
                <w:sz w:val="16"/>
                <w:szCs w:val="16"/>
                <w:lang w:eastAsia="zh-CN"/>
              </w:rPr>
              <w:t>Summary of change:</w:t>
            </w:r>
            <w:r w:rsidR="00DA51D2">
              <w:rPr>
                <w:rFonts w:ascii="Arial" w:hAnsi="Arial" w:cs="Arial"/>
                <w:b/>
                <w:bCs/>
                <w:sz w:val="16"/>
                <w:szCs w:val="16"/>
                <w:lang w:eastAsia="zh-CN"/>
              </w:rPr>
              <w:t xml:space="preserve"> </w:t>
            </w:r>
            <w:r w:rsidRPr="008C1EBB">
              <w:rPr>
                <w:rFonts w:ascii="Arial" w:hAnsi="Arial" w:cs="Arial"/>
                <w:sz w:val="16"/>
                <w:szCs w:val="16"/>
                <w:lang w:eastAsia="zh-CN"/>
              </w:rPr>
              <w:t>Clarify that HARQ feedback of cancelled SPS PDSCH by non-active period of cell DTX is not transmitted by UE.</w:t>
            </w:r>
          </w:p>
          <w:p w14:paraId="12166C12" w14:textId="31426CBC" w:rsidR="008C1EBB" w:rsidRPr="008C1EBB" w:rsidRDefault="008C1EBB" w:rsidP="00DA51D2">
            <w:pPr>
              <w:pStyle w:val="BodyText"/>
              <w:tabs>
                <w:tab w:val="left" w:pos="1480"/>
              </w:tabs>
              <w:spacing w:after="0"/>
              <w:rPr>
                <w:rFonts w:ascii="Arial" w:eastAsia="Malgun Gothic" w:hAnsi="Arial" w:cs="Arial"/>
                <w:sz w:val="16"/>
                <w:szCs w:val="16"/>
                <w:highlight w:val="yellow"/>
                <w:lang w:eastAsia="zh-CN"/>
              </w:rPr>
            </w:pPr>
            <w:r w:rsidRPr="008C1EBB">
              <w:rPr>
                <w:rFonts w:ascii="Arial" w:hAnsi="Arial" w:cs="Arial"/>
                <w:b/>
                <w:bCs/>
                <w:sz w:val="16"/>
                <w:szCs w:val="16"/>
                <w:lang w:eastAsia="zh-CN"/>
              </w:rPr>
              <w:t>Consequences if not adopted:</w:t>
            </w:r>
            <w:r w:rsidR="00DA51D2">
              <w:rPr>
                <w:rFonts w:ascii="Arial" w:hAnsi="Arial" w:cs="Arial"/>
                <w:b/>
                <w:bCs/>
                <w:sz w:val="16"/>
                <w:szCs w:val="16"/>
                <w:lang w:eastAsia="zh-CN"/>
              </w:rPr>
              <w:t xml:space="preserve"> </w:t>
            </w:r>
            <w:r w:rsidRPr="008C1EBB">
              <w:rPr>
                <w:rFonts w:ascii="Arial" w:hAnsi="Arial" w:cs="Arial"/>
                <w:sz w:val="16"/>
                <w:szCs w:val="16"/>
                <w:lang w:eastAsia="zh-CN"/>
              </w:rPr>
              <w:t>Incomplete specification</w:t>
            </w:r>
          </w:p>
        </w:tc>
      </w:tr>
      <w:tr w:rsidR="008C1EBB" w14:paraId="6011381E" w14:textId="77777777" w:rsidTr="008C1EBB">
        <w:trPr>
          <w:trHeight w:val="2078"/>
        </w:trPr>
        <w:tc>
          <w:tcPr>
            <w:tcW w:w="5000" w:type="pct"/>
            <w:tcBorders>
              <w:top w:val="double" w:sz="4" w:space="0" w:color="A5A5A5"/>
              <w:left w:val="double" w:sz="4" w:space="0" w:color="A5A5A5"/>
              <w:bottom w:val="double" w:sz="4" w:space="0" w:color="A5A5A5"/>
              <w:right w:val="double" w:sz="4" w:space="0" w:color="A5A5A5"/>
            </w:tcBorders>
            <w:hideMark/>
          </w:tcPr>
          <w:p w14:paraId="0D42EF16" w14:textId="77777777" w:rsidR="008C1EBB" w:rsidRPr="008C1EBB" w:rsidRDefault="008C1EBB">
            <w:pPr>
              <w:rPr>
                <w:rFonts w:ascii="Arial" w:hAnsi="Arial" w:cs="Arial"/>
                <w:b/>
                <w:bCs/>
                <w:sz w:val="16"/>
                <w:szCs w:val="16"/>
              </w:rPr>
            </w:pPr>
            <w:r w:rsidRPr="008C1EBB">
              <w:rPr>
                <w:rFonts w:ascii="Arial" w:hAnsi="Arial" w:cs="Arial"/>
                <w:b/>
                <w:bCs/>
                <w:sz w:val="16"/>
                <w:szCs w:val="16"/>
              </w:rPr>
              <w:t>9.1.2</w:t>
            </w:r>
            <w:r w:rsidRPr="008C1EBB">
              <w:rPr>
                <w:rFonts w:ascii="Arial" w:hAnsi="Arial" w:cs="Arial"/>
                <w:b/>
                <w:bCs/>
                <w:sz w:val="16"/>
                <w:szCs w:val="16"/>
              </w:rPr>
              <w:tab/>
              <w:t>Type-1 HARQ-ACK codebook determination</w:t>
            </w:r>
          </w:p>
          <w:p w14:paraId="5BDADC6F" w14:textId="77777777" w:rsidR="008C1EBB" w:rsidRPr="008C1EBB" w:rsidRDefault="008C1EBB">
            <w:pPr>
              <w:jc w:val="center"/>
              <w:rPr>
                <w:rFonts w:ascii="Arial" w:eastAsia="Malgun Gothic" w:hAnsi="Arial" w:cs="Arial"/>
                <w:sz w:val="16"/>
                <w:szCs w:val="16"/>
              </w:rPr>
            </w:pPr>
            <w:r w:rsidRPr="008C1EBB">
              <w:rPr>
                <w:rFonts w:ascii="Arial" w:hAnsi="Arial" w:cs="Arial"/>
                <w:color w:val="FF0000"/>
                <w:sz w:val="16"/>
                <w:szCs w:val="16"/>
              </w:rPr>
              <w:t>*** Unchanged text omitted ***</w:t>
            </w:r>
          </w:p>
          <w:p w14:paraId="76477190" w14:textId="77777777" w:rsidR="008C1EBB" w:rsidRPr="008C1EBB" w:rsidRDefault="008C1EBB">
            <w:pPr>
              <w:rPr>
                <w:rFonts w:ascii="Arial" w:hAnsi="Arial" w:cs="Arial"/>
                <w:sz w:val="16"/>
                <w:szCs w:val="16"/>
                <w:lang w:eastAsia="zh-CN"/>
              </w:rPr>
            </w:pPr>
            <w:r w:rsidRPr="008C1EBB">
              <w:rPr>
                <w:rFonts w:ascii="Arial" w:hAnsi="Arial" w:cs="Arial"/>
                <w:sz w:val="16"/>
                <w:szCs w:val="16"/>
                <w:lang w:eastAsia="zh-CN"/>
              </w:rPr>
              <w:t>In the following pseudo-code, SPS PDSCH receptions associated with a SPS PDSCH configuration are activated by a DCI format with CRC scrambled by a CS-RNTI or by a DCI format with CRC scrambled by a G-CS-RNTI.</w:t>
            </w:r>
          </w:p>
          <w:p w14:paraId="2DDCA4BD" w14:textId="77777777" w:rsidR="008C1EBB" w:rsidRPr="008C1EBB" w:rsidRDefault="008C1EBB">
            <w:pPr>
              <w:rPr>
                <w:rFonts w:ascii="Arial" w:hAnsi="Arial" w:cs="Arial"/>
                <w:sz w:val="16"/>
                <w:szCs w:val="16"/>
              </w:rPr>
            </w:pPr>
            <w:r w:rsidRPr="008C1EBB">
              <w:rPr>
                <w:rFonts w:ascii="Arial" w:hAnsi="Arial" w:cs="Arial"/>
                <w:sz w:val="16"/>
                <w:szCs w:val="16"/>
                <w:lang w:eastAsia="zh-CN"/>
              </w:rPr>
              <w:t xml:space="preserve">Set </w:t>
            </w:r>
            <w:r w:rsidRPr="008C1EBB">
              <w:rPr>
                <w:rFonts w:ascii="Arial" w:hAnsi="Arial" w:cs="Arial"/>
                <w:sz w:val="16"/>
                <w:szCs w:val="16"/>
              </w:rPr>
              <w:fldChar w:fldCharType="begin"/>
            </w:r>
            <w:r w:rsidRPr="008C1EBB">
              <w:rPr>
                <w:rFonts w:ascii="Arial" w:hAnsi="Arial" w:cs="Arial"/>
                <w:sz w:val="16"/>
                <w:szCs w:val="16"/>
              </w:rPr>
              <w:instrText xml:space="preserve"> QUOTE </w:instrText>
            </w:r>
            <w:r w:rsidR="00A6784C">
              <w:rPr>
                <w:rFonts w:ascii="Arial" w:hAnsi="Arial" w:cs="Arial"/>
                <w:position w:val="-5"/>
                <w:sz w:val="16"/>
                <w:szCs w:val="16"/>
              </w:rPr>
              <w:pict w14:anchorId="3D834393">
                <v:shape id="_x0000_i1177" type="#_x0000_t75" style="width:22.5pt;height:12.75pt" equationxml="&lt;">
                  <v:imagedata r:id="rId1379" o:title="" chromakey="white"/>
                </v:shape>
              </w:pict>
            </w:r>
            <w:r w:rsidRPr="008C1EBB">
              <w:rPr>
                <w:rFonts w:ascii="Arial" w:hAnsi="Arial" w:cs="Arial"/>
                <w:sz w:val="16"/>
                <w:szCs w:val="16"/>
              </w:rPr>
              <w:instrText xml:space="preserve"> </w:instrText>
            </w:r>
            <w:r w:rsidRPr="008C1EBB">
              <w:rPr>
                <w:rFonts w:ascii="Arial" w:hAnsi="Arial" w:cs="Arial"/>
                <w:sz w:val="16"/>
                <w:szCs w:val="16"/>
              </w:rPr>
              <w:fldChar w:fldCharType="separate"/>
            </w:r>
            <w:r w:rsidR="00A6784C">
              <w:rPr>
                <w:rFonts w:ascii="Arial" w:hAnsi="Arial" w:cs="Arial"/>
                <w:position w:val="-5"/>
                <w:sz w:val="16"/>
                <w:szCs w:val="16"/>
              </w:rPr>
              <w:pict w14:anchorId="6FC42DC0">
                <v:shape id="_x0000_i1178" type="#_x0000_t75" style="width:22.5pt;height:12.75pt" equationxml="&lt;">
                  <v:imagedata r:id="rId1379" o:title="" chromakey="white"/>
                </v:shape>
              </w:pict>
            </w:r>
            <w:r w:rsidRPr="008C1EBB">
              <w:rPr>
                <w:rFonts w:ascii="Arial" w:hAnsi="Arial" w:cs="Arial"/>
                <w:sz w:val="16"/>
                <w:szCs w:val="16"/>
              </w:rPr>
              <w:fldChar w:fldCharType="end"/>
            </w:r>
            <w:r w:rsidRPr="008C1EBB">
              <w:rPr>
                <w:rFonts w:ascii="Arial" w:hAnsi="Arial" w:cs="Arial"/>
                <w:sz w:val="16"/>
                <w:szCs w:val="16"/>
              </w:rPr>
              <w:t xml:space="preserve"> to the number of serving cells configured to the UE</w:t>
            </w:r>
          </w:p>
          <w:p w14:paraId="04A8B138" w14:textId="77777777" w:rsidR="008C1EBB" w:rsidRPr="008C1EBB" w:rsidRDefault="008C1EBB">
            <w:pPr>
              <w:rPr>
                <w:rFonts w:ascii="Arial" w:hAnsi="Arial" w:cs="Arial"/>
                <w:sz w:val="16"/>
                <w:szCs w:val="16"/>
                <w:lang w:eastAsia="zh-CN"/>
              </w:rPr>
            </w:pPr>
            <w:r w:rsidRPr="008C1EBB">
              <w:rPr>
                <w:rFonts w:ascii="Arial" w:hAnsi="Arial" w:cs="Arial"/>
                <w:sz w:val="16"/>
                <w:szCs w:val="16"/>
                <w:lang w:eastAsia="zh-CN"/>
              </w:rPr>
              <w:t xml:space="preserve">Set </w:t>
            </w:r>
            <w:r w:rsidRPr="008C1EBB">
              <w:rPr>
                <w:rFonts w:ascii="Arial" w:hAnsi="Arial" w:cs="Arial"/>
                <w:sz w:val="16"/>
                <w:szCs w:val="16"/>
              </w:rPr>
              <w:fldChar w:fldCharType="begin"/>
            </w:r>
            <w:r w:rsidRPr="008C1EBB">
              <w:rPr>
                <w:rFonts w:ascii="Arial" w:hAnsi="Arial" w:cs="Arial"/>
                <w:sz w:val="16"/>
                <w:szCs w:val="16"/>
              </w:rPr>
              <w:instrText xml:space="preserve"> QUOTE </w:instrText>
            </w:r>
            <w:r w:rsidR="00A6784C">
              <w:rPr>
                <w:rFonts w:ascii="Arial" w:hAnsi="Arial" w:cs="Arial"/>
                <w:position w:val="-5"/>
                <w:sz w:val="16"/>
                <w:szCs w:val="16"/>
              </w:rPr>
              <w:pict w14:anchorId="541C064D">
                <v:shape id="_x0000_i1179" type="#_x0000_t75" style="width:20.25pt;height:12pt" equationxml="&lt;">
                  <v:imagedata r:id="rId1380" o:title="" chromakey="white"/>
                </v:shape>
              </w:pict>
            </w:r>
            <w:r w:rsidRPr="008C1EBB">
              <w:rPr>
                <w:rFonts w:ascii="Arial" w:hAnsi="Arial" w:cs="Arial"/>
                <w:sz w:val="16"/>
                <w:szCs w:val="16"/>
              </w:rPr>
              <w:instrText xml:space="preserve"> </w:instrText>
            </w:r>
            <w:r w:rsidRPr="008C1EBB">
              <w:rPr>
                <w:rFonts w:ascii="Arial" w:hAnsi="Arial" w:cs="Arial"/>
                <w:sz w:val="16"/>
                <w:szCs w:val="16"/>
              </w:rPr>
              <w:fldChar w:fldCharType="separate"/>
            </w:r>
            <w:r w:rsidR="00A6784C">
              <w:rPr>
                <w:rFonts w:ascii="Arial" w:hAnsi="Arial" w:cs="Arial"/>
                <w:position w:val="-5"/>
                <w:sz w:val="16"/>
                <w:szCs w:val="16"/>
              </w:rPr>
              <w:pict w14:anchorId="522A9302">
                <v:shape id="_x0000_i1180" type="#_x0000_t75" style="width:20.25pt;height:12pt" equationxml="&lt;">
                  <v:imagedata r:id="rId1380" o:title="" chromakey="white"/>
                </v:shape>
              </w:pict>
            </w:r>
            <w:r w:rsidRPr="008C1EBB">
              <w:rPr>
                <w:rFonts w:ascii="Arial" w:hAnsi="Arial" w:cs="Arial"/>
                <w:sz w:val="16"/>
                <w:szCs w:val="16"/>
              </w:rPr>
              <w:fldChar w:fldCharType="end"/>
            </w:r>
            <w:r w:rsidRPr="008C1EBB">
              <w:rPr>
                <w:rFonts w:ascii="Arial" w:hAnsi="Arial" w:cs="Arial"/>
                <w:sz w:val="16"/>
                <w:szCs w:val="16"/>
              </w:rPr>
              <w:t xml:space="preserve"> to the number of SPS PDSCH configurations configured to the UE for serving cell </w:t>
            </w:r>
            <w:r w:rsidRPr="008C1EBB">
              <w:rPr>
                <w:rFonts w:ascii="Arial" w:hAnsi="Arial" w:cs="Arial"/>
                <w:sz w:val="16"/>
                <w:szCs w:val="16"/>
                <w:lang w:eastAsia="zh-CN"/>
              </w:rPr>
              <w:fldChar w:fldCharType="begin"/>
            </w:r>
            <w:r w:rsidRPr="008C1EBB">
              <w:rPr>
                <w:rFonts w:ascii="Arial" w:hAnsi="Arial" w:cs="Arial"/>
                <w:sz w:val="16"/>
                <w:szCs w:val="16"/>
                <w:lang w:eastAsia="zh-CN"/>
              </w:rPr>
              <w:instrText xml:space="preserve"> QUOTE </w:instrText>
            </w:r>
            <w:r w:rsidR="00A6784C">
              <w:rPr>
                <w:rFonts w:ascii="Arial" w:hAnsi="Arial" w:cs="Arial"/>
                <w:position w:val="-5"/>
                <w:sz w:val="16"/>
                <w:szCs w:val="16"/>
              </w:rPr>
              <w:pict w14:anchorId="4656A82A">
                <v:shape id="_x0000_i1181" type="#_x0000_t75" style="width:4.5pt;height:12pt" equationxml="&lt;">
                  <v:imagedata r:id="rId1381" o:title="" chromakey="white"/>
                </v:shape>
              </w:pict>
            </w:r>
            <w:r w:rsidRPr="008C1EBB">
              <w:rPr>
                <w:rFonts w:ascii="Arial" w:hAnsi="Arial" w:cs="Arial"/>
                <w:sz w:val="16"/>
                <w:szCs w:val="16"/>
                <w:lang w:eastAsia="zh-CN"/>
              </w:rPr>
              <w:instrText xml:space="preserve"> </w:instrText>
            </w:r>
            <w:r w:rsidRPr="008C1EBB">
              <w:rPr>
                <w:rFonts w:ascii="Arial" w:hAnsi="Arial" w:cs="Arial"/>
                <w:sz w:val="16"/>
                <w:szCs w:val="16"/>
                <w:lang w:eastAsia="zh-CN"/>
              </w:rPr>
              <w:fldChar w:fldCharType="separate"/>
            </w:r>
            <w:r w:rsidR="00A6784C">
              <w:rPr>
                <w:rFonts w:ascii="Arial" w:hAnsi="Arial" w:cs="Arial"/>
                <w:position w:val="-5"/>
                <w:sz w:val="16"/>
                <w:szCs w:val="16"/>
              </w:rPr>
              <w:pict w14:anchorId="057E3771">
                <v:shape id="_x0000_i1182" type="#_x0000_t75" style="width:4.5pt;height:12pt" equationxml="&lt;">
                  <v:imagedata r:id="rId1381" o:title="" chromakey="white"/>
                </v:shape>
              </w:pict>
            </w:r>
            <w:r w:rsidRPr="008C1EBB">
              <w:rPr>
                <w:rFonts w:ascii="Arial" w:hAnsi="Arial" w:cs="Arial"/>
                <w:sz w:val="16"/>
                <w:szCs w:val="16"/>
                <w:lang w:eastAsia="zh-CN"/>
              </w:rPr>
              <w:fldChar w:fldCharType="end"/>
            </w:r>
          </w:p>
          <w:p w14:paraId="56A35A8E" w14:textId="77777777" w:rsidR="008C1EBB" w:rsidRPr="008C1EBB" w:rsidRDefault="008C1EBB">
            <w:pPr>
              <w:rPr>
                <w:rFonts w:ascii="Arial" w:hAnsi="Arial" w:cs="Arial"/>
                <w:sz w:val="16"/>
                <w:szCs w:val="16"/>
                <w:lang w:eastAsia="zh-CN"/>
              </w:rPr>
            </w:pPr>
            <w:r w:rsidRPr="008C1EBB">
              <w:rPr>
                <w:rFonts w:ascii="Arial" w:hAnsi="Arial" w:cs="Arial"/>
                <w:sz w:val="16"/>
                <w:szCs w:val="16"/>
                <w:lang w:eastAsia="zh-CN"/>
              </w:rPr>
              <w:t xml:space="preserve">Set </w:t>
            </w:r>
            <w:r w:rsidRPr="008C1EBB">
              <w:rPr>
                <w:rFonts w:ascii="Arial" w:hAnsi="Arial" w:cs="Arial"/>
                <w:sz w:val="16"/>
                <w:szCs w:val="16"/>
              </w:rPr>
              <w:fldChar w:fldCharType="begin"/>
            </w:r>
            <w:r w:rsidRPr="008C1EBB">
              <w:rPr>
                <w:rFonts w:ascii="Arial" w:hAnsi="Arial" w:cs="Arial"/>
                <w:sz w:val="16"/>
                <w:szCs w:val="16"/>
              </w:rPr>
              <w:instrText xml:space="preserve"> QUOTE </w:instrText>
            </w:r>
            <w:r w:rsidR="00A6784C">
              <w:rPr>
                <w:rFonts w:ascii="Arial" w:hAnsi="Arial" w:cs="Arial"/>
                <w:position w:val="-5"/>
                <w:sz w:val="16"/>
                <w:szCs w:val="16"/>
              </w:rPr>
              <w:pict w14:anchorId="562197E8">
                <v:shape id="_x0000_i1183" type="#_x0000_t75" style="width:17.25pt;height:12pt" equationxml="&lt;">
                  <v:imagedata r:id="rId1382" o:title="" chromakey="white"/>
                </v:shape>
              </w:pict>
            </w:r>
            <w:r w:rsidRPr="008C1EBB">
              <w:rPr>
                <w:rFonts w:ascii="Arial" w:hAnsi="Arial" w:cs="Arial"/>
                <w:sz w:val="16"/>
                <w:szCs w:val="16"/>
              </w:rPr>
              <w:instrText xml:space="preserve"> </w:instrText>
            </w:r>
            <w:r w:rsidRPr="008C1EBB">
              <w:rPr>
                <w:rFonts w:ascii="Arial" w:hAnsi="Arial" w:cs="Arial"/>
                <w:sz w:val="16"/>
                <w:szCs w:val="16"/>
              </w:rPr>
              <w:fldChar w:fldCharType="separate"/>
            </w:r>
            <w:r w:rsidR="00A6784C">
              <w:rPr>
                <w:rFonts w:ascii="Arial" w:hAnsi="Arial" w:cs="Arial"/>
                <w:position w:val="-5"/>
                <w:sz w:val="16"/>
                <w:szCs w:val="16"/>
              </w:rPr>
              <w:pict w14:anchorId="61CD7F6A">
                <v:shape id="_x0000_i1184" type="#_x0000_t75" style="width:17.25pt;height:12pt" equationxml="&lt;">
                  <v:imagedata r:id="rId1382" o:title="" chromakey="white"/>
                </v:shape>
              </w:pict>
            </w:r>
            <w:r w:rsidRPr="008C1EBB">
              <w:rPr>
                <w:rFonts w:ascii="Arial" w:hAnsi="Arial" w:cs="Arial"/>
                <w:sz w:val="16"/>
                <w:szCs w:val="16"/>
              </w:rPr>
              <w:fldChar w:fldCharType="end"/>
            </w:r>
            <w:r w:rsidRPr="008C1EBB">
              <w:rPr>
                <w:rFonts w:ascii="Arial" w:hAnsi="Arial" w:cs="Arial"/>
                <w:sz w:val="16"/>
                <w:szCs w:val="16"/>
              </w:rPr>
              <w:t xml:space="preserve"> to the number of DL slots for SPS PDSCH receptions on serving cell </w:t>
            </w:r>
            <w:r w:rsidRPr="008C1EBB">
              <w:rPr>
                <w:rFonts w:ascii="Arial" w:hAnsi="Arial" w:cs="Arial"/>
                <w:sz w:val="16"/>
                <w:szCs w:val="16"/>
              </w:rPr>
              <w:fldChar w:fldCharType="begin"/>
            </w:r>
            <w:r w:rsidRPr="008C1EBB">
              <w:rPr>
                <w:rFonts w:ascii="Arial" w:hAnsi="Arial" w:cs="Arial"/>
                <w:sz w:val="16"/>
                <w:szCs w:val="16"/>
              </w:rPr>
              <w:instrText xml:space="preserve"> QUOTE </w:instrText>
            </w:r>
            <w:r w:rsidR="00A6784C">
              <w:rPr>
                <w:rFonts w:ascii="Arial" w:hAnsi="Arial" w:cs="Arial"/>
                <w:position w:val="-5"/>
                <w:sz w:val="16"/>
                <w:szCs w:val="16"/>
              </w:rPr>
              <w:pict w14:anchorId="239DE112">
                <v:shape id="_x0000_i1185" type="#_x0000_t75" style="width:4.5pt;height:12pt" equationxml="&lt;">
                  <v:imagedata r:id="rId1381" o:title="" chromakey="white"/>
                </v:shape>
              </w:pict>
            </w:r>
            <w:r w:rsidRPr="008C1EBB">
              <w:rPr>
                <w:rFonts w:ascii="Arial" w:hAnsi="Arial" w:cs="Arial"/>
                <w:sz w:val="16"/>
                <w:szCs w:val="16"/>
              </w:rPr>
              <w:instrText xml:space="preserve"> </w:instrText>
            </w:r>
            <w:r w:rsidRPr="008C1EBB">
              <w:rPr>
                <w:rFonts w:ascii="Arial" w:hAnsi="Arial" w:cs="Arial"/>
                <w:sz w:val="16"/>
                <w:szCs w:val="16"/>
              </w:rPr>
              <w:fldChar w:fldCharType="separate"/>
            </w:r>
            <w:r w:rsidR="00A6784C">
              <w:rPr>
                <w:rFonts w:ascii="Arial" w:hAnsi="Arial" w:cs="Arial"/>
                <w:position w:val="-5"/>
                <w:sz w:val="16"/>
                <w:szCs w:val="16"/>
              </w:rPr>
              <w:pict w14:anchorId="7AD04807">
                <v:shape id="_x0000_i1186" type="#_x0000_t75" style="width:4.5pt;height:12pt" equationxml="&lt;">
                  <v:imagedata r:id="rId1381" o:title="" chromakey="white"/>
                </v:shape>
              </w:pict>
            </w:r>
            <w:r w:rsidRPr="008C1EBB">
              <w:rPr>
                <w:rFonts w:ascii="Arial" w:hAnsi="Arial" w:cs="Arial"/>
                <w:sz w:val="16"/>
                <w:szCs w:val="16"/>
              </w:rPr>
              <w:fldChar w:fldCharType="end"/>
            </w:r>
            <w:r w:rsidRPr="008C1EBB">
              <w:rPr>
                <w:rFonts w:ascii="Arial" w:hAnsi="Arial" w:cs="Arial"/>
                <w:sz w:val="16"/>
                <w:szCs w:val="16"/>
              </w:rPr>
              <w:t xml:space="preserve"> with HARQ-ACK information multiplexed on the PUCCH</w:t>
            </w:r>
          </w:p>
          <w:p w14:paraId="53D5CFAD" w14:textId="77777777" w:rsidR="008C1EBB" w:rsidRPr="008C1EBB" w:rsidRDefault="008C1EBB">
            <w:pPr>
              <w:rPr>
                <w:rFonts w:ascii="Arial" w:hAnsi="Arial" w:cs="Arial"/>
                <w:sz w:val="16"/>
                <w:szCs w:val="16"/>
                <w:lang w:eastAsia="zh-CN"/>
              </w:rPr>
            </w:pPr>
            <w:r w:rsidRPr="008C1EBB">
              <w:rPr>
                <w:rFonts w:ascii="Arial" w:hAnsi="Arial" w:cs="Arial"/>
                <w:sz w:val="16"/>
                <w:szCs w:val="16"/>
                <w:lang w:eastAsia="zh-CN"/>
              </w:rPr>
              <w:t xml:space="preserve">Set </w:t>
            </w:r>
            <w:r w:rsidRPr="008C1EBB">
              <w:rPr>
                <w:rFonts w:ascii="Arial" w:hAnsi="Arial" w:cs="Arial"/>
                <w:sz w:val="16"/>
                <w:szCs w:val="16"/>
                <w:lang w:eastAsia="zh-CN"/>
              </w:rPr>
              <w:fldChar w:fldCharType="begin"/>
            </w:r>
            <w:r w:rsidRPr="008C1EBB">
              <w:rPr>
                <w:rFonts w:ascii="Arial" w:hAnsi="Arial" w:cs="Arial"/>
                <w:sz w:val="16"/>
                <w:szCs w:val="16"/>
                <w:lang w:eastAsia="zh-CN"/>
              </w:rPr>
              <w:instrText xml:space="preserve"> QUOTE </w:instrText>
            </w:r>
            <w:r w:rsidR="00A6784C">
              <w:rPr>
                <w:rFonts w:ascii="Arial" w:hAnsi="Arial" w:cs="Arial"/>
                <w:position w:val="-5"/>
                <w:sz w:val="16"/>
                <w:szCs w:val="16"/>
              </w:rPr>
              <w:pict w14:anchorId="2368223D">
                <v:shape id="_x0000_i1187" type="#_x0000_t75" style="width:22.5pt;height:12pt" equationxml="&lt;">
                  <v:imagedata r:id="rId1383" o:title="" chromakey="white"/>
                </v:shape>
              </w:pict>
            </w:r>
            <w:r w:rsidRPr="008C1EBB">
              <w:rPr>
                <w:rFonts w:ascii="Arial" w:hAnsi="Arial" w:cs="Arial"/>
                <w:sz w:val="16"/>
                <w:szCs w:val="16"/>
                <w:lang w:eastAsia="zh-CN"/>
              </w:rPr>
              <w:instrText xml:space="preserve"> </w:instrText>
            </w:r>
            <w:r w:rsidRPr="008C1EBB">
              <w:rPr>
                <w:rFonts w:ascii="Arial" w:hAnsi="Arial" w:cs="Arial"/>
                <w:sz w:val="16"/>
                <w:szCs w:val="16"/>
                <w:lang w:eastAsia="zh-CN"/>
              </w:rPr>
              <w:fldChar w:fldCharType="separate"/>
            </w:r>
            <w:r w:rsidR="00A6784C">
              <w:rPr>
                <w:rFonts w:ascii="Arial" w:hAnsi="Arial" w:cs="Arial"/>
                <w:position w:val="-5"/>
                <w:sz w:val="16"/>
                <w:szCs w:val="16"/>
              </w:rPr>
              <w:pict w14:anchorId="6CF65500">
                <v:shape id="_x0000_i1188" type="#_x0000_t75" style="width:22.5pt;height:12pt" equationxml="&lt;">
                  <v:imagedata r:id="rId1383" o:title="" chromakey="white"/>
                </v:shape>
              </w:pict>
            </w:r>
            <w:r w:rsidRPr="008C1EBB">
              <w:rPr>
                <w:rFonts w:ascii="Arial" w:hAnsi="Arial" w:cs="Arial"/>
                <w:sz w:val="16"/>
                <w:szCs w:val="16"/>
                <w:lang w:eastAsia="zh-CN"/>
              </w:rPr>
              <w:fldChar w:fldCharType="end"/>
            </w:r>
            <w:r w:rsidRPr="008C1EBB">
              <w:rPr>
                <w:rFonts w:ascii="Arial" w:hAnsi="Arial" w:cs="Arial"/>
                <w:sz w:val="16"/>
                <w:szCs w:val="16"/>
                <w:lang w:eastAsia="zh-CN"/>
              </w:rPr>
              <w:t xml:space="preserve"> –</w:t>
            </w:r>
            <w:r w:rsidRPr="008C1EBB">
              <w:rPr>
                <w:rFonts w:ascii="Arial" w:hAnsi="Arial" w:cs="Arial"/>
                <w:sz w:val="16"/>
                <w:szCs w:val="16"/>
              </w:rPr>
              <w:t xml:space="preserve"> HARQ-ACK information bit index</w:t>
            </w:r>
          </w:p>
          <w:p w14:paraId="4C8D14BC" w14:textId="77777777" w:rsidR="008C1EBB" w:rsidRPr="008C1EBB" w:rsidRDefault="008C1EBB">
            <w:pPr>
              <w:rPr>
                <w:rFonts w:ascii="Arial" w:hAnsi="Arial" w:cs="Arial"/>
                <w:sz w:val="16"/>
                <w:szCs w:val="16"/>
                <w:lang w:eastAsia="zh-CN"/>
              </w:rPr>
            </w:pPr>
            <w:r w:rsidRPr="008C1EBB">
              <w:rPr>
                <w:rFonts w:ascii="Arial" w:hAnsi="Arial" w:cs="Arial"/>
                <w:sz w:val="16"/>
                <w:szCs w:val="16"/>
                <w:lang w:eastAsia="zh-CN"/>
              </w:rPr>
              <w:t xml:space="preserve">Set </w:t>
            </w:r>
            <w:r w:rsidRPr="008C1EBB">
              <w:rPr>
                <w:rFonts w:ascii="Arial" w:hAnsi="Arial" w:cs="Arial"/>
                <w:sz w:val="16"/>
                <w:szCs w:val="16"/>
                <w:lang w:eastAsia="zh-CN"/>
              </w:rPr>
              <w:fldChar w:fldCharType="begin"/>
            </w:r>
            <w:r w:rsidRPr="008C1EBB">
              <w:rPr>
                <w:rFonts w:ascii="Arial" w:hAnsi="Arial" w:cs="Arial"/>
                <w:sz w:val="16"/>
                <w:szCs w:val="16"/>
                <w:lang w:eastAsia="zh-CN"/>
              </w:rPr>
              <w:instrText xml:space="preserve"> QUOTE </w:instrText>
            </w:r>
            <w:r w:rsidR="00A6784C">
              <w:rPr>
                <w:rFonts w:ascii="Arial" w:hAnsi="Arial" w:cs="Arial"/>
                <w:position w:val="-5"/>
                <w:sz w:val="16"/>
                <w:szCs w:val="16"/>
              </w:rPr>
              <w:pict w14:anchorId="4127CED8">
                <v:shape id="_x0000_i1189" type="#_x0000_t75" style="width:23.25pt;height:12pt" equationxml="&lt;">
                  <v:imagedata r:id="rId1384" o:title="" chromakey="white"/>
                </v:shape>
              </w:pict>
            </w:r>
            <w:r w:rsidRPr="008C1EBB">
              <w:rPr>
                <w:rFonts w:ascii="Arial" w:hAnsi="Arial" w:cs="Arial"/>
                <w:sz w:val="16"/>
                <w:szCs w:val="16"/>
                <w:lang w:eastAsia="zh-CN"/>
              </w:rPr>
              <w:instrText xml:space="preserve"> </w:instrText>
            </w:r>
            <w:r w:rsidRPr="008C1EBB">
              <w:rPr>
                <w:rFonts w:ascii="Arial" w:hAnsi="Arial" w:cs="Arial"/>
                <w:sz w:val="16"/>
                <w:szCs w:val="16"/>
                <w:lang w:eastAsia="zh-CN"/>
              </w:rPr>
              <w:fldChar w:fldCharType="separate"/>
            </w:r>
            <w:r w:rsidR="00A6784C">
              <w:rPr>
                <w:rFonts w:ascii="Arial" w:hAnsi="Arial" w:cs="Arial"/>
                <w:position w:val="-5"/>
                <w:sz w:val="16"/>
                <w:szCs w:val="16"/>
              </w:rPr>
              <w:pict w14:anchorId="2F371966">
                <v:shape id="_x0000_i1190" type="#_x0000_t75" style="width:23.25pt;height:12pt" equationxml="&lt;">
                  <v:imagedata r:id="rId1384" o:title="" chromakey="white"/>
                </v:shape>
              </w:pict>
            </w:r>
            <w:r w:rsidRPr="008C1EBB">
              <w:rPr>
                <w:rFonts w:ascii="Arial" w:hAnsi="Arial" w:cs="Arial"/>
                <w:sz w:val="16"/>
                <w:szCs w:val="16"/>
                <w:lang w:eastAsia="zh-CN"/>
              </w:rPr>
              <w:fldChar w:fldCharType="end"/>
            </w:r>
            <w:r w:rsidRPr="008C1EBB">
              <w:rPr>
                <w:rFonts w:ascii="Arial" w:hAnsi="Arial" w:cs="Arial"/>
                <w:sz w:val="16"/>
                <w:szCs w:val="16"/>
                <w:lang w:eastAsia="zh-CN"/>
              </w:rPr>
              <w:t xml:space="preserve"> – serving cell index: lower indexes correspond to lower RRC indexes of corresponding cell</w:t>
            </w:r>
          </w:p>
          <w:p w14:paraId="5B6157EC" w14:textId="77777777" w:rsidR="008C1EBB" w:rsidRPr="008C1EBB" w:rsidRDefault="008C1EBB">
            <w:pPr>
              <w:pStyle w:val="B1"/>
              <w:rPr>
                <w:rFonts w:ascii="Arial" w:hAnsi="Arial" w:cs="Arial"/>
                <w:sz w:val="16"/>
                <w:szCs w:val="16"/>
              </w:rPr>
            </w:pPr>
            <w:r w:rsidRPr="008C1EBB">
              <w:rPr>
                <w:rFonts w:ascii="Arial" w:hAnsi="Arial" w:cs="Arial"/>
                <w:sz w:val="16"/>
                <w:szCs w:val="16"/>
              </w:rPr>
              <w:t xml:space="preserve">while </w:t>
            </w:r>
            <w:r w:rsidRPr="008C1EBB">
              <w:rPr>
                <w:rFonts w:ascii="Arial" w:hAnsi="Arial" w:cs="Arial"/>
                <w:sz w:val="16"/>
                <w:szCs w:val="16"/>
              </w:rPr>
              <w:fldChar w:fldCharType="begin"/>
            </w:r>
            <w:r w:rsidRPr="008C1EBB">
              <w:rPr>
                <w:rFonts w:ascii="Arial" w:hAnsi="Arial" w:cs="Arial"/>
                <w:sz w:val="16"/>
                <w:szCs w:val="16"/>
              </w:rPr>
              <w:instrText xml:space="preserve"> QUOTE </w:instrText>
            </w:r>
            <w:r w:rsidR="00A6784C">
              <w:rPr>
                <w:rFonts w:ascii="Arial" w:hAnsi="Arial" w:cs="Arial"/>
                <w:position w:val="-5"/>
                <w:sz w:val="16"/>
                <w:szCs w:val="16"/>
              </w:rPr>
              <w:pict w14:anchorId="6FD62B3A">
                <v:shape id="_x0000_i1191" type="#_x0000_t75" style="width:40.5pt;height:12.75pt" equationxml="&lt;">
                  <v:imagedata r:id="rId1385" o:title="" chromakey="white"/>
                </v:shape>
              </w:pict>
            </w:r>
            <w:r w:rsidRPr="008C1EBB">
              <w:rPr>
                <w:rFonts w:ascii="Arial" w:hAnsi="Arial" w:cs="Arial"/>
                <w:sz w:val="16"/>
                <w:szCs w:val="16"/>
              </w:rPr>
              <w:instrText xml:space="preserve"> </w:instrText>
            </w:r>
            <w:r w:rsidRPr="008C1EBB">
              <w:rPr>
                <w:rFonts w:ascii="Arial" w:hAnsi="Arial" w:cs="Arial"/>
                <w:sz w:val="16"/>
                <w:szCs w:val="16"/>
              </w:rPr>
              <w:fldChar w:fldCharType="separate"/>
            </w:r>
            <w:r w:rsidR="00A6784C">
              <w:rPr>
                <w:rFonts w:ascii="Arial" w:hAnsi="Arial" w:cs="Arial"/>
                <w:position w:val="-5"/>
                <w:sz w:val="16"/>
                <w:szCs w:val="16"/>
              </w:rPr>
              <w:pict w14:anchorId="064553B9">
                <v:shape id="_x0000_i1192" type="#_x0000_t75" style="width:40.5pt;height:12.75pt" equationxml="&lt;">
                  <v:imagedata r:id="rId1385" o:title="" chromakey="white"/>
                </v:shape>
              </w:pict>
            </w:r>
            <w:r w:rsidRPr="008C1EBB">
              <w:rPr>
                <w:rFonts w:ascii="Arial" w:hAnsi="Arial" w:cs="Arial"/>
                <w:sz w:val="16"/>
                <w:szCs w:val="16"/>
              </w:rPr>
              <w:fldChar w:fldCharType="end"/>
            </w:r>
            <w:r w:rsidRPr="008C1EBB">
              <w:rPr>
                <w:rFonts w:ascii="Arial" w:hAnsi="Arial" w:cs="Arial"/>
                <w:sz w:val="16"/>
                <w:szCs w:val="16"/>
              </w:rPr>
              <w:t xml:space="preserve"> </w:t>
            </w:r>
          </w:p>
          <w:p w14:paraId="4076DA97" w14:textId="77777777" w:rsidR="008C1EBB" w:rsidRPr="008C1EBB" w:rsidRDefault="008C1EBB">
            <w:pPr>
              <w:pStyle w:val="B1"/>
              <w:rPr>
                <w:rFonts w:ascii="Arial" w:hAnsi="Arial" w:cs="Arial"/>
                <w:sz w:val="16"/>
                <w:szCs w:val="16"/>
                <w:lang w:eastAsia="zh-CN"/>
              </w:rPr>
            </w:pPr>
            <w:r w:rsidRPr="008C1EBB">
              <w:rPr>
                <w:rFonts w:ascii="Arial" w:hAnsi="Arial" w:cs="Arial"/>
                <w:sz w:val="16"/>
                <w:szCs w:val="16"/>
                <w:lang w:eastAsia="zh-CN"/>
              </w:rPr>
              <w:t xml:space="preserve">Set </w:t>
            </w:r>
            <w:r w:rsidRPr="008C1EBB">
              <w:rPr>
                <w:rFonts w:ascii="Arial" w:hAnsi="Arial" w:cs="Arial"/>
                <w:sz w:val="16"/>
                <w:szCs w:val="16"/>
                <w:lang w:eastAsia="zh-CN"/>
              </w:rPr>
              <w:fldChar w:fldCharType="begin"/>
            </w:r>
            <w:r w:rsidRPr="008C1EBB">
              <w:rPr>
                <w:rFonts w:ascii="Arial" w:hAnsi="Arial" w:cs="Arial"/>
                <w:sz w:val="16"/>
                <w:szCs w:val="16"/>
                <w:lang w:eastAsia="zh-CN"/>
              </w:rPr>
              <w:instrText xml:space="preserve"> QUOTE </w:instrText>
            </w:r>
            <w:r w:rsidR="00A6784C">
              <w:rPr>
                <w:rFonts w:ascii="Arial" w:hAnsi="Arial" w:cs="Arial"/>
                <w:position w:val="-5"/>
                <w:sz w:val="16"/>
                <w:szCs w:val="16"/>
              </w:rPr>
              <w:pict w14:anchorId="2CA9993B">
                <v:shape id="_x0000_i1193" type="#_x0000_t75" style="width:23.25pt;height:12pt" equationxml="&lt;">
                  <v:imagedata r:id="rId1386" o:title="" chromakey="white"/>
                </v:shape>
              </w:pict>
            </w:r>
            <w:r w:rsidRPr="008C1EBB">
              <w:rPr>
                <w:rFonts w:ascii="Arial" w:hAnsi="Arial" w:cs="Arial"/>
                <w:sz w:val="16"/>
                <w:szCs w:val="16"/>
                <w:lang w:eastAsia="zh-CN"/>
              </w:rPr>
              <w:instrText xml:space="preserve"> </w:instrText>
            </w:r>
            <w:r w:rsidRPr="008C1EBB">
              <w:rPr>
                <w:rFonts w:ascii="Arial" w:hAnsi="Arial" w:cs="Arial"/>
                <w:sz w:val="16"/>
                <w:szCs w:val="16"/>
                <w:lang w:eastAsia="zh-CN"/>
              </w:rPr>
              <w:fldChar w:fldCharType="separate"/>
            </w:r>
            <w:r w:rsidR="00A6784C">
              <w:rPr>
                <w:rFonts w:ascii="Arial" w:hAnsi="Arial" w:cs="Arial"/>
                <w:position w:val="-5"/>
                <w:sz w:val="16"/>
                <w:szCs w:val="16"/>
              </w:rPr>
              <w:pict w14:anchorId="016828AE">
                <v:shape id="_x0000_i1194" type="#_x0000_t75" style="width:23.25pt;height:12pt" equationxml="&lt;">
                  <v:imagedata r:id="rId1386" o:title="" chromakey="white"/>
                </v:shape>
              </w:pict>
            </w:r>
            <w:r w:rsidRPr="008C1EBB">
              <w:rPr>
                <w:rFonts w:ascii="Arial" w:hAnsi="Arial" w:cs="Arial"/>
                <w:sz w:val="16"/>
                <w:szCs w:val="16"/>
                <w:lang w:eastAsia="zh-CN"/>
              </w:rPr>
              <w:fldChar w:fldCharType="end"/>
            </w:r>
            <w:r w:rsidRPr="008C1EBB">
              <w:rPr>
                <w:rFonts w:ascii="Arial" w:hAnsi="Arial" w:cs="Arial"/>
                <w:sz w:val="16"/>
                <w:szCs w:val="16"/>
                <w:lang w:eastAsia="zh-CN"/>
              </w:rPr>
              <w:t xml:space="preserve"> – SPS PDSCH configuration index: lower indexes correspond to lower RRC indexes of corresponding SPS configurations </w:t>
            </w:r>
          </w:p>
          <w:p w14:paraId="2AACB53D" w14:textId="77777777" w:rsidR="008C1EBB" w:rsidRPr="008C1EBB" w:rsidRDefault="008C1EBB">
            <w:pPr>
              <w:pStyle w:val="B2"/>
              <w:rPr>
                <w:rFonts w:ascii="Arial" w:hAnsi="Arial" w:cs="Arial"/>
                <w:sz w:val="16"/>
                <w:szCs w:val="16"/>
              </w:rPr>
            </w:pPr>
            <w:r w:rsidRPr="008C1EBB">
              <w:rPr>
                <w:rFonts w:ascii="Arial" w:hAnsi="Arial" w:cs="Arial"/>
                <w:sz w:val="16"/>
                <w:szCs w:val="16"/>
              </w:rPr>
              <w:t xml:space="preserve">while </w:t>
            </w:r>
            <w:r w:rsidRPr="008C1EBB">
              <w:rPr>
                <w:rFonts w:ascii="Arial" w:hAnsi="Arial" w:cs="Arial"/>
                <w:sz w:val="16"/>
                <w:szCs w:val="16"/>
              </w:rPr>
              <w:fldChar w:fldCharType="begin"/>
            </w:r>
            <w:r w:rsidRPr="008C1EBB">
              <w:rPr>
                <w:rFonts w:ascii="Arial" w:hAnsi="Arial" w:cs="Arial"/>
                <w:sz w:val="16"/>
                <w:szCs w:val="16"/>
              </w:rPr>
              <w:instrText xml:space="preserve"> QUOTE </w:instrText>
            </w:r>
            <w:r w:rsidR="00A6784C">
              <w:rPr>
                <w:rFonts w:ascii="Arial" w:hAnsi="Arial" w:cs="Arial"/>
                <w:position w:val="-5"/>
                <w:sz w:val="16"/>
                <w:szCs w:val="16"/>
              </w:rPr>
              <w:pict w14:anchorId="13ED5030">
                <v:shape id="_x0000_i1195" type="#_x0000_t75" style="width:38.25pt;height:12pt" equationxml="&lt;">
                  <v:imagedata r:id="rId1387" o:title="" chromakey="white"/>
                </v:shape>
              </w:pict>
            </w:r>
            <w:r w:rsidRPr="008C1EBB">
              <w:rPr>
                <w:rFonts w:ascii="Arial" w:hAnsi="Arial" w:cs="Arial"/>
                <w:sz w:val="16"/>
                <w:szCs w:val="16"/>
              </w:rPr>
              <w:instrText xml:space="preserve"> </w:instrText>
            </w:r>
            <w:r w:rsidRPr="008C1EBB">
              <w:rPr>
                <w:rFonts w:ascii="Arial" w:hAnsi="Arial" w:cs="Arial"/>
                <w:sz w:val="16"/>
                <w:szCs w:val="16"/>
              </w:rPr>
              <w:fldChar w:fldCharType="separate"/>
            </w:r>
            <w:r w:rsidR="00A6784C">
              <w:rPr>
                <w:rFonts w:ascii="Arial" w:hAnsi="Arial" w:cs="Arial"/>
                <w:position w:val="-5"/>
                <w:sz w:val="16"/>
                <w:szCs w:val="16"/>
              </w:rPr>
              <w:pict w14:anchorId="122A0507">
                <v:shape id="_x0000_i1196" type="#_x0000_t75" style="width:38.25pt;height:12pt" equationxml="&lt;">
                  <v:imagedata r:id="rId1387" o:title="" chromakey="white"/>
                </v:shape>
              </w:pict>
            </w:r>
            <w:r w:rsidRPr="008C1EBB">
              <w:rPr>
                <w:rFonts w:ascii="Arial" w:hAnsi="Arial" w:cs="Arial"/>
                <w:sz w:val="16"/>
                <w:szCs w:val="16"/>
              </w:rPr>
              <w:fldChar w:fldCharType="end"/>
            </w:r>
          </w:p>
          <w:p w14:paraId="3EB1AB98" w14:textId="77777777" w:rsidR="008C1EBB" w:rsidRPr="008C1EBB" w:rsidRDefault="008C1EBB">
            <w:pPr>
              <w:pStyle w:val="B3"/>
              <w:rPr>
                <w:rFonts w:ascii="Arial" w:hAnsi="Arial" w:cs="Arial"/>
                <w:sz w:val="16"/>
                <w:szCs w:val="16"/>
                <w:lang w:eastAsia="zh-CN"/>
              </w:rPr>
            </w:pPr>
            <w:r w:rsidRPr="008C1EBB">
              <w:rPr>
                <w:rFonts w:ascii="Arial" w:hAnsi="Arial" w:cs="Arial"/>
                <w:sz w:val="16"/>
                <w:szCs w:val="16"/>
                <w:lang w:eastAsia="zh-CN"/>
              </w:rPr>
              <w:t xml:space="preserve">Set </w:t>
            </w:r>
            <w:r w:rsidRPr="008C1EBB">
              <w:rPr>
                <w:rFonts w:ascii="Arial" w:hAnsi="Arial" w:cs="Arial"/>
                <w:sz w:val="16"/>
                <w:szCs w:val="16"/>
                <w:lang w:eastAsia="zh-CN"/>
              </w:rPr>
              <w:fldChar w:fldCharType="begin"/>
            </w:r>
            <w:r w:rsidRPr="008C1EBB">
              <w:rPr>
                <w:rFonts w:ascii="Arial" w:hAnsi="Arial" w:cs="Arial"/>
                <w:sz w:val="16"/>
                <w:szCs w:val="16"/>
                <w:lang w:eastAsia="zh-CN"/>
              </w:rPr>
              <w:instrText xml:space="preserve"> QUOTE </w:instrText>
            </w:r>
            <w:r w:rsidR="00A6784C">
              <w:rPr>
                <w:rFonts w:ascii="Arial" w:hAnsi="Arial" w:cs="Arial"/>
                <w:position w:val="-6"/>
                <w:sz w:val="16"/>
                <w:szCs w:val="16"/>
              </w:rPr>
              <w:pict w14:anchorId="710F9660">
                <v:shape id="_x0000_i1197" type="#_x0000_t75" style="width:30pt;height:12.75pt" equationxml="&lt;">
                  <v:imagedata r:id="rId1388" o:title="" chromakey="white"/>
                </v:shape>
              </w:pict>
            </w:r>
            <w:r w:rsidRPr="008C1EBB">
              <w:rPr>
                <w:rFonts w:ascii="Arial" w:hAnsi="Arial" w:cs="Arial"/>
                <w:sz w:val="16"/>
                <w:szCs w:val="16"/>
                <w:lang w:eastAsia="zh-CN"/>
              </w:rPr>
              <w:instrText xml:space="preserve"> </w:instrText>
            </w:r>
            <w:r w:rsidRPr="008C1EBB">
              <w:rPr>
                <w:rFonts w:ascii="Arial" w:hAnsi="Arial" w:cs="Arial"/>
                <w:sz w:val="16"/>
                <w:szCs w:val="16"/>
                <w:lang w:eastAsia="zh-CN"/>
              </w:rPr>
              <w:fldChar w:fldCharType="separate"/>
            </w:r>
            <w:r w:rsidR="00A6784C">
              <w:rPr>
                <w:rFonts w:ascii="Arial" w:hAnsi="Arial" w:cs="Arial"/>
                <w:position w:val="-6"/>
                <w:sz w:val="16"/>
                <w:szCs w:val="16"/>
              </w:rPr>
              <w:pict w14:anchorId="7E08C53D">
                <v:shape id="_x0000_i1198" type="#_x0000_t75" style="width:30pt;height:12.75pt" equationxml="&lt;">
                  <v:imagedata r:id="rId1388" o:title="" chromakey="white"/>
                </v:shape>
              </w:pict>
            </w:r>
            <w:r w:rsidRPr="008C1EBB">
              <w:rPr>
                <w:rFonts w:ascii="Arial" w:hAnsi="Arial" w:cs="Arial"/>
                <w:sz w:val="16"/>
                <w:szCs w:val="16"/>
                <w:lang w:eastAsia="zh-CN"/>
              </w:rPr>
              <w:fldChar w:fldCharType="end"/>
            </w:r>
            <w:r w:rsidRPr="008C1EBB">
              <w:rPr>
                <w:rFonts w:ascii="Arial" w:hAnsi="Arial" w:cs="Arial"/>
                <w:sz w:val="16"/>
                <w:szCs w:val="16"/>
                <w:lang w:eastAsia="zh-CN"/>
              </w:rPr>
              <w:t xml:space="preserve"> – slot index </w:t>
            </w:r>
          </w:p>
          <w:p w14:paraId="4110B62B" w14:textId="77777777" w:rsidR="008C1EBB" w:rsidRPr="008C1EBB" w:rsidRDefault="008C1EBB">
            <w:pPr>
              <w:pStyle w:val="B4"/>
              <w:rPr>
                <w:rFonts w:ascii="Arial" w:hAnsi="Arial" w:cs="Arial"/>
                <w:sz w:val="16"/>
                <w:szCs w:val="16"/>
                <w:lang w:eastAsia="en-US"/>
              </w:rPr>
            </w:pPr>
            <w:r w:rsidRPr="008C1EBB">
              <w:rPr>
                <w:rFonts w:ascii="Arial" w:hAnsi="Arial" w:cs="Arial"/>
                <w:sz w:val="16"/>
                <w:szCs w:val="16"/>
              </w:rPr>
              <w:t xml:space="preserve">while </w:t>
            </w:r>
            <w:r w:rsidRPr="008C1EBB">
              <w:rPr>
                <w:rFonts w:ascii="Arial" w:hAnsi="Arial" w:cs="Arial"/>
                <w:sz w:val="16"/>
                <w:szCs w:val="16"/>
              </w:rPr>
              <w:fldChar w:fldCharType="begin"/>
            </w:r>
            <w:r w:rsidRPr="008C1EBB">
              <w:rPr>
                <w:rFonts w:ascii="Arial" w:hAnsi="Arial" w:cs="Arial"/>
                <w:sz w:val="16"/>
                <w:szCs w:val="16"/>
              </w:rPr>
              <w:instrText xml:space="preserve"> QUOTE </w:instrText>
            </w:r>
            <w:r w:rsidR="00A6784C">
              <w:rPr>
                <w:rFonts w:ascii="Arial" w:hAnsi="Arial" w:cs="Arial"/>
                <w:position w:val="-6"/>
                <w:sz w:val="16"/>
                <w:szCs w:val="16"/>
              </w:rPr>
              <w:pict w14:anchorId="3183AE05">
                <v:shape id="_x0000_i1199" type="#_x0000_t75" style="width:42pt;height:12.75pt" equationxml="&lt;">
                  <v:imagedata r:id="rId1389" o:title="" chromakey="white"/>
                </v:shape>
              </w:pict>
            </w:r>
            <w:r w:rsidRPr="008C1EBB">
              <w:rPr>
                <w:rFonts w:ascii="Arial" w:hAnsi="Arial" w:cs="Arial"/>
                <w:sz w:val="16"/>
                <w:szCs w:val="16"/>
              </w:rPr>
              <w:instrText xml:space="preserve"> </w:instrText>
            </w:r>
            <w:r w:rsidRPr="008C1EBB">
              <w:rPr>
                <w:rFonts w:ascii="Arial" w:hAnsi="Arial" w:cs="Arial"/>
                <w:sz w:val="16"/>
                <w:szCs w:val="16"/>
              </w:rPr>
              <w:fldChar w:fldCharType="separate"/>
            </w:r>
            <w:r w:rsidR="00A6784C">
              <w:rPr>
                <w:rFonts w:ascii="Arial" w:hAnsi="Arial" w:cs="Arial"/>
                <w:position w:val="-6"/>
                <w:sz w:val="16"/>
                <w:szCs w:val="16"/>
              </w:rPr>
              <w:pict w14:anchorId="23B7CF35">
                <v:shape id="_x0000_i1200" type="#_x0000_t75" style="width:42pt;height:12.75pt" equationxml="&lt;">
                  <v:imagedata r:id="rId1389" o:title="" chromakey="white"/>
                </v:shape>
              </w:pict>
            </w:r>
            <w:r w:rsidRPr="008C1EBB">
              <w:rPr>
                <w:rFonts w:ascii="Arial" w:hAnsi="Arial" w:cs="Arial"/>
                <w:sz w:val="16"/>
                <w:szCs w:val="16"/>
              </w:rPr>
              <w:fldChar w:fldCharType="end"/>
            </w:r>
          </w:p>
          <w:p w14:paraId="39296231" w14:textId="77777777" w:rsidR="008C1EBB" w:rsidRPr="008C1EBB" w:rsidRDefault="008C1EBB">
            <w:pPr>
              <w:pStyle w:val="B5"/>
              <w:rPr>
                <w:rFonts w:ascii="Arial" w:hAnsi="Arial" w:cs="Arial"/>
                <w:sz w:val="16"/>
                <w:szCs w:val="16"/>
              </w:rPr>
            </w:pPr>
            <w:r w:rsidRPr="008C1EBB">
              <w:rPr>
                <w:rFonts w:ascii="Arial" w:hAnsi="Arial" w:cs="Arial"/>
                <w:sz w:val="16"/>
                <w:szCs w:val="16"/>
              </w:rPr>
              <w:lastRenderedPageBreak/>
              <w:t>if {</w:t>
            </w:r>
          </w:p>
          <w:p w14:paraId="03A8D216" w14:textId="77777777" w:rsidR="008C1EBB" w:rsidRPr="008C1EBB" w:rsidRDefault="008C1EBB">
            <w:pPr>
              <w:pStyle w:val="B5"/>
              <w:ind w:left="1701" w:firstLine="0"/>
              <w:rPr>
                <w:rFonts w:ascii="Arial" w:hAnsi="Arial" w:cs="Arial"/>
                <w:sz w:val="16"/>
                <w:szCs w:val="16"/>
                <w:lang w:eastAsia="zh-CN"/>
              </w:rPr>
            </w:pPr>
            <w:r w:rsidRPr="008C1EBB">
              <w:rPr>
                <w:rFonts w:ascii="Arial" w:hAnsi="Arial" w:cs="Arial"/>
                <w:sz w:val="16"/>
                <w:szCs w:val="16"/>
              </w:rPr>
              <w:t xml:space="preserve">a UE is configured to receive SPS PDSCHs from slot </w:t>
            </w:r>
            <w:r w:rsidRPr="008C1EBB">
              <w:rPr>
                <w:rFonts w:ascii="Arial" w:eastAsia="Malgun Gothic" w:hAnsi="Arial" w:cs="Arial"/>
                <w:sz w:val="16"/>
                <w:szCs w:val="16"/>
                <w:lang w:eastAsia="ko-KR"/>
              </w:rPr>
              <w:fldChar w:fldCharType="begin"/>
            </w:r>
            <w:r w:rsidRPr="008C1EBB">
              <w:rPr>
                <w:rFonts w:ascii="Arial" w:eastAsia="Malgun Gothic" w:hAnsi="Arial" w:cs="Arial"/>
                <w:sz w:val="16"/>
                <w:szCs w:val="16"/>
                <w:lang w:eastAsia="ko-KR"/>
              </w:rPr>
              <w:instrText xml:space="preserve"> QUOTE </w:instrText>
            </w:r>
            <w:r w:rsidR="00A6784C">
              <w:rPr>
                <w:rFonts w:ascii="Arial" w:hAnsi="Arial" w:cs="Arial"/>
                <w:position w:val="-8"/>
                <w:sz w:val="16"/>
                <w:szCs w:val="16"/>
              </w:rPr>
              <w:pict w14:anchorId="5D94F27A">
                <v:shape id="_x0000_i1201" type="#_x0000_t75" style="width:72.75pt;height:14.25pt" equationxml="&lt;">
                  <v:imagedata r:id="rId1390" o:title="" chromakey="white"/>
                </v:shape>
              </w:pict>
            </w:r>
            <w:r w:rsidRPr="008C1EBB">
              <w:rPr>
                <w:rFonts w:ascii="Arial" w:eastAsia="Malgun Gothic" w:hAnsi="Arial" w:cs="Arial"/>
                <w:sz w:val="16"/>
                <w:szCs w:val="16"/>
                <w:lang w:eastAsia="ko-KR"/>
              </w:rPr>
              <w:instrText xml:space="preserve"> </w:instrText>
            </w:r>
            <w:r w:rsidRPr="008C1EBB">
              <w:rPr>
                <w:rFonts w:ascii="Arial" w:eastAsia="Malgun Gothic" w:hAnsi="Arial" w:cs="Arial"/>
                <w:sz w:val="16"/>
                <w:szCs w:val="16"/>
                <w:lang w:eastAsia="ko-KR"/>
              </w:rPr>
              <w:fldChar w:fldCharType="separate"/>
            </w:r>
            <w:r w:rsidR="00A6784C">
              <w:rPr>
                <w:rFonts w:ascii="Arial" w:hAnsi="Arial" w:cs="Arial"/>
                <w:position w:val="-8"/>
                <w:sz w:val="16"/>
                <w:szCs w:val="16"/>
              </w:rPr>
              <w:pict w14:anchorId="36272470">
                <v:shape id="_x0000_i1202" type="#_x0000_t75" style="width:72.75pt;height:14.25pt" equationxml="&lt;">
                  <v:imagedata r:id="rId1390" o:title="" chromakey="white"/>
                </v:shape>
              </w:pict>
            </w:r>
            <w:r w:rsidRPr="008C1EBB">
              <w:rPr>
                <w:rFonts w:ascii="Arial" w:eastAsia="Malgun Gothic" w:hAnsi="Arial" w:cs="Arial"/>
                <w:sz w:val="16"/>
                <w:szCs w:val="16"/>
                <w:lang w:eastAsia="ko-KR"/>
              </w:rPr>
              <w:fldChar w:fldCharType="end"/>
            </w:r>
            <w:r w:rsidRPr="008C1EBB">
              <w:rPr>
                <w:rFonts w:ascii="Arial" w:eastAsia="Malgun Gothic" w:hAnsi="Arial" w:cs="Arial"/>
                <w:sz w:val="16"/>
                <w:szCs w:val="16"/>
                <w:lang w:eastAsia="ko-KR"/>
              </w:rPr>
              <w:t xml:space="preserve"> to</w:t>
            </w:r>
            <w:r w:rsidRPr="008C1EBB">
              <w:rPr>
                <w:rFonts w:ascii="Arial" w:hAnsi="Arial" w:cs="Arial"/>
                <w:sz w:val="16"/>
                <w:szCs w:val="16"/>
              </w:rPr>
              <w:t xml:space="preserve"> slot </w:t>
            </w:r>
            <w:r w:rsidRPr="008C1EBB">
              <w:rPr>
                <w:rFonts w:ascii="Arial" w:hAnsi="Arial" w:cs="Arial"/>
                <w:sz w:val="16"/>
                <w:szCs w:val="16"/>
              </w:rPr>
              <w:fldChar w:fldCharType="begin"/>
            </w:r>
            <w:r w:rsidRPr="008C1EBB">
              <w:rPr>
                <w:rFonts w:ascii="Arial" w:hAnsi="Arial" w:cs="Arial"/>
                <w:sz w:val="16"/>
                <w:szCs w:val="16"/>
              </w:rPr>
              <w:instrText xml:space="preserve"> QUOTE </w:instrText>
            </w:r>
            <w:r w:rsidR="00A6784C">
              <w:rPr>
                <w:rFonts w:ascii="Arial" w:hAnsi="Arial" w:cs="Arial"/>
                <w:position w:val="-6"/>
                <w:sz w:val="16"/>
                <w:szCs w:val="16"/>
              </w:rPr>
              <w:pict w14:anchorId="16ADA8AB">
                <v:shape id="_x0000_i1203" type="#_x0000_t75" style="width:11.25pt;height:12.75pt" equationxml="&lt;">
                  <v:imagedata r:id="rId1391" o:title="" chromakey="white"/>
                </v:shape>
              </w:pict>
            </w:r>
            <w:r w:rsidRPr="008C1EBB">
              <w:rPr>
                <w:rFonts w:ascii="Arial" w:hAnsi="Arial" w:cs="Arial"/>
                <w:sz w:val="16"/>
                <w:szCs w:val="16"/>
              </w:rPr>
              <w:instrText xml:space="preserve"> </w:instrText>
            </w:r>
            <w:r w:rsidRPr="008C1EBB">
              <w:rPr>
                <w:rFonts w:ascii="Arial" w:hAnsi="Arial" w:cs="Arial"/>
                <w:sz w:val="16"/>
                <w:szCs w:val="16"/>
              </w:rPr>
              <w:fldChar w:fldCharType="separate"/>
            </w:r>
            <w:r w:rsidR="00A6784C">
              <w:rPr>
                <w:rFonts w:ascii="Arial" w:hAnsi="Arial" w:cs="Arial"/>
                <w:position w:val="-6"/>
                <w:sz w:val="16"/>
                <w:szCs w:val="16"/>
              </w:rPr>
              <w:pict w14:anchorId="1F2C62A4">
                <v:shape id="_x0000_i1204" type="#_x0000_t75" style="width:11.25pt;height:12.75pt" equationxml="&lt;">
                  <v:imagedata r:id="rId1391" o:title="" chromakey="white"/>
                </v:shape>
              </w:pict>
            </w:r>
            <w:r w:rsidRPr="008C1EBB">
              <w:rPr>
                <w:rFonts w:ascii="Arial" w:hAnsi="Arial" w:cs="Arial"/>
                <w:sz w:val="16"/>
                <w:szCs w:val="16"/>
              </w:rPr>
              <w:fldChar w:fldCharType="end"/>
            </w:r>
            <w:r w:rsidRPr="008C1EBB">
              <w:rPr>
                <w:rFonts w:ascii="Arial" w:hAnsi="Arial" w:cs="Arial"/>
                <w:sz w:val="16"/>
                <w:szCs w:val="16"/>
              </w:rPr>
              <w:t xml:space="preserve"> for SPS PDSCH configuration </w:t>
            </w:r>
            <w:r w:rsidRPr="008C1EBB">
              <w:rPr>
                <w:rFonts w:ascii="Arial" w:hAnsi="Arial" w:cs="Arial"/>
                <w:sz w:val="16"/>
                <w:szCs w:val="16"/>
                <w:lang w:eastAsia="zh-CN"/>
              </w:rPr>
              <w:fldChar w:fldCharType="begin"/>
            </w:r>
            <w:r w:rsidRPr="008C1EBB">
              <w:rPr>
                <w:rFonts w:ascii="Arial" w:hAnsi="Arial" w:cs="Arial"/>
                <w:sz w:val="16"/>
                <w:szCs w:val="16"/>
                <w:lang w:eastAsia="zh-CN"/>
              </w:rPr>
              <w:instrText xml:space="preserve"> QUOTE </w:instrText>
            </w:r>
            <w:r w:rsidR="00A6784C">
              <w:rPr>
                <w:rFonts w:ascii="Arial" w:hAnsi="Arial" w:cs="Arial"/>
                <w:position w:val="-6"/>
                <w:sz w:val="16"/>
                <w:szCs w:val="16"/>
              </w:rPr>
              <w:pict w14:anchorId="04D1021A">
                <v:shape id="_x0000_i1205" type="#_x0000_t75" style="width:4.5pt;height:12.75pt" equationxml="&lt;">
                  <v:imagedata r:id="rId1392" o:title="" chromakey="white"/>
                </v:shape>
              </w:pict>
            </w:r>
            <w:r w:rsidRPr="008C1EBB">
              <w:rPr>
                <w:rFonts w:ascii="Arial" w:hAnsi="Arial" w:cs="Arial"/>
                <w:sz w:val="16"/>
                <w:szCs w:val="16"/>
                <w:lang w:eastAsia="zh-CN"/>
              </w:rPr>
              <w:instrText xml:space="preserve"> </w:instrText>
            </w:r>
            <w:r w:rsidRPr="008C1EBB">
              <w:rPr>
                <w:rFonts w:ascii="Arial" w:hAnsi="Arial" w:cs="Arial"/>
                <w:sz w:val="16"/>
                <w:szCs w:val="16"/>
                <w:lang w:eastAsia="zh-CN"/>
              </w:rPr>
              <w:fldChar w:fldCharType="separate"/>
            </w:r>
            <w:r w:rsidR="00A6784C">
              <w:rPr>
                <w:rFonts w:ascii="Arial" w:hAnsi="Arial" w:cs="Arial"/>
                <w:position w:val="-6"/>
                <w:sz w:val="16"/>
                <w:szCs w:val="16"/>
              </w:rPr>
              <w:pict w14:anchorId="614A4EB9">
                <v:shape id="_x0000_i1206" type="#_x0000_t75" style="width:4.5pt;height:12.75pt" equationxml="&lt;">
                  <v:imagedata r:id="rId1392" o:title="" chromakey="white"/>
                </v:shape>
              </w:pict>
            </w:r>
            <w:r w:rsidRPr="008C1EBB">
              <w:rPr>
                <w:rFonts w:ascii="Arial" w:hAnsi="Arial" w:cs="Arial"/>
                <w:sz w:val="16"/>
                <w:szCs w:val="16"/>
                <w:lang w:eastAsia="zh-CN"/>
              </w:rPr>
              <w:fldChar w:fldCharType="end"/>
            </w:r>
            <w:r w:rsidRPr="008C1EBB">
              <w:rPr>
                <w:rFonts w:ascii="Arial" w:hAnsi="Arial" w:cs="Arial"/>
                <w:sz w:val="16"/>
                <w:szCs w:val="16"/>
                <w:lang w:eastAsia="zh-CN"/>
              </w:rPr>
              <w:t xml:space="preserve"> </w:t>
            </w:r>
            <w:r w:rsidRPr="008C1EBB">
              <w:rPr>
                <w:rFonts w:ascii="Arial" w:hAnsi="Arial" w:cs="Arial"/>
                <w:sz w:val="16"/>
                <w:szCs w:val="16"/>
              </w:rPr>
              <w:t xml:space="preserve">on serving cell </w:t>
            </w:r>
            <w:r w:rsidRPr="008C1EBB">
              <w:rPr>
                <w:rFonts w:ascii="Arial" w:hAnsi="Arial" w:cs="Arial"/>
                <w:sz w:val="16"/>
                <w:szCs w:val="16"/>
                <w:lang w:eastAsia="zh-CN"/>
              </w:rPr>
              <w:fldChar w:fldCharType="begin"/>
            </w:r>
            <w:r w:rsidRPr="008C1EBB">
              <w:rPr>
                <w:rFonts w:ascii="Arial" w:hAnsi="Arial" w:cs="Arial"/>
                <w:sz w:val="16"/>
                <w:szCs w:val="16"/>
                <w:lang w:eastAsia="zh-CN"/>
              </w:rPr>
              <w:instrText xml:space="preserve"> QUOTE </w:instrText>
            </w:r>
            <w:r w:rsidR="00A6784C">
              <w:rPr>
                <w:rFonts w:ascii="Arial" w:hAnsi="Arial" w:cs="Arial"/>
                <w:position w:val="-6"/>
                <w:sz w:val="16"/>
                <w:szCs w:val="16"/>
              </w:rPr>
              <w:pict w14:anchorId="7ABB00A5">
                <v:shape id="_x0000_i1207" type="#_x0000_t75" style="width:4.5pt;height:12.75pt" equationxml="&lt;">
                  <v:imagedata r:id="rId1393" o:title="" chromakey="white"/>
                </v:shape>
              </w:pict>
            </w:r>
            <w:r w:rsidRPr="008C1EBB">
              <w:rPr>
                <w:rFonts w:ascii="Arial" w:hAnsi="Arial" w:cs="Arial"/>
                <w:sz w:val="16"/>
                <w:szCs w:val="16"/>
                <w:lang w:eastAsia="zh-CN"/>
              </w:rPr>
              <w:instrText xml:space="preserve"> </w:instrText>
            </w:r>
            <w:r w:rsidRPr="008C1EBB">
              <w:rPr>
                <w:rFonts w:ascii="Arial" w:hAnsi="Arial" w:cs="Arial"/>
                <w:sz w:val="16"/>
                <w:szCs w:val="16"/>
                <w:lang w:eastAsia="zh-CN"/>
              </w:rPr>
              <w:fldChar w:fldCharType="separate"/>
            </w:r>
            <w:r w:rsidR="00A6784C">
              <w:rPr>
                <w:rFonts w:ascii="Arial" w:hAnsi="Arial" w:cs="Arial"/>
                <w:position w:val="-6"/>
                <w:sz w:val="16"/>
                <w:szCs w:val="16"/>
              </w:rPr>
              <w:pict w14:anchorId="7314BA4A">
                <v:shape id="_x0000_i1208" type="#_x0000_t75" style="width:4.5pt;height:12.75pt" equationxml="&lt;">
                  <v:imagedata r:id="rId1393" o:title="" chromakey="white"/>
                </v:shape>
              </w:pict>
            </w:r>
            <w:r w:rsidRPr="008C1EBB">
              <w:rPr>
                <w:rFonts w:ascii="Arial" w:hAnsi="Arial" w:cs="Arial"/>
                <w:sz w:val="16"/>
                <w:szCs w:val="16"/>
                <w:lang w:eastAsia="zh-CN"/>
              </w:rPr>
              <w:fldChar w:fldCharType="end"/>
            </w:r>
            <w:r w:rsidRPr="008C1EBB">
              <w:rPr>
                <w:rFonts w:ascii="Arial" w:hAnsi="Arial" w:cs="Arial"/>
                <w:sz w:val="16"/>
                <w:szCs w:val="16"/>
                <w:lang w:eastAsia="zh-CN"/>
              </w:rPr>
              <w:t xml:space="preserve">, excluding SPS PDSCHs that are not required to be received in any slot among overlapping SPS PDSCHs, if any according to [6, TS 38.214], or based on a UE capability for a number of PDSCH receptions in a slot according to [6, TS 38.214], or due to overlapping with a set of symbols indicated as uplink by </w:t>
            </w:r>
            <w:r w:rsidRPr="008C1EBB">
              <w:rPr>
                <w:rFonts w:ascii="Arial" w:hAnsi="Arial" w:cs="Arial"/>
                <w:i/>
                <w:sz w:val="16"/>
                <w:szCs w:val="16"/>
                <w:lang w:eastAsia="zh-CN"/>
              </w:rPr>
              <w:t>tdd-UL-DL-ConfigurationCommon</w:t>
            </w:r>
            <w:r w:rsidRPr="008C1EBB">
              <w:rPr>
                <w:rFonts w:ascii="Arial" w:hAnsi="Arial" w:cs="Arial"/>
                <w:iCs/>
                <w:color w:val="FF0000"/>
                <w:sz w:val="16"/>
                <w:szCs w:val="16"/>
                <w:lang w:eastAsia="zh-CN"/>
              </w:rPr>
              <w:t>,</w:t>
            </w:r>
            <w:r w:rsidRPr="008C1EBB">
              <w:rPr>
                <w:rFonts w:ascii="Arial" w:hAnsi="Arial" w:cs="Arial"/>
                <w:sz w:val="16"/>
                <w:szCs w:val="16"/>
                <w:lang w:eastAsia="zh-CN"/>
              </w:rPr>
              <w:t xml:space="preserve"> or by </w:t>
            </w:r>
            <w:r w:rsidRPr="008C1EBB">
              <w:rPr>
                <w:rFonts w:ascii="Arial" w:hAnsi="Arial" w:cs="Arial"/>
                <w:i/>
                <w:sz w:val="16"/>
                <w:szCs w:val="16"/>
                <w:lang w:eastAsia="zh-CN"/>
              </w:rPr>
              <w:t>tdd-UL-DL-ConfigurationDedicated</w:t>
            </w:r>
            <w:r w:rsidRPr="008C1EBB">
              <w:rPr>
                <w:rFonts w:ascii="Arial" w:hAnsi="Arial" w:cs="Arial"/>
                <w:iCs/>
                <w:color w:val="FF0000"/>
                <w:sz w:val="16"/>
                <w:szCs w:val="16"/>
                <w:lang w:eastAsia="zh-CN"/>
              </w:rPr>
              <w:t>,</w:t>
            </w:r>
            <w:r w:rsidRPr="008C1EBB">
              <w:rPr>
                <w:rFonts w:ascii="Arial" w:hAnsi="Arial" w:cs="Arial"/>
                <w:iCs/>
                <w:sz w:val="16"/>
                <w:szCs w:val="16"/>
                <w:lang w:eastAsia="zh-CN"/>
              </w:rPr>
              <w:t xml:space="preserve"> </w:t>
            </w:r>
            <w:r w:rsidRPr="008C1EBB">
              <w:rPr>
                <w:rFonts w:ascii="Arial" w:hAnsi="Arial" w:cs="Arial"/>
                <w:color w:val="C00000"/>
                <w:sz w:val="16"/>
                <w:szCs w:val="16"/>
                <w:u w:val="single"/>
                <w:lang w:eastAsia="zh-CN"/>
              </w:rPr>
              <w:t>or due to overlapping with non-active period of cell DTX</w:t>
            </w:r>
            <w:r w:rsidRPr="008C1EBB">
              <w:rPr>
                <w:rFonts w:ascii="Arial" w:hAnsi="Arial" w:cs="Arial"/>
                <w:sz w:val="16"/>
                <w:szCs w:val="16"/>
                <w:lang w:eastAsia="zh-CN"/>
              </w:rPr>
              <w:t xml:space="preserve"> where, for unicast SPS PDSCHs, </w:t>
            </w:r>
            <w:r w:rsidRPr="008C1EBB">
              <w:rPr>
                <w:rFonts w:ascii="Arial" w:eastAsia="Malgun Gothic" w:hAnsi="Arial" w:cs="Arial"/>
                <w:sz w:val="16"/>
                <w:szCs w:val="16"/>
                <w:lang w:eastAsia="ko-KR"/>
              </w:rPr>
              <w:fldChar w:fldCharType="begin"/>
            </w:r>
            <w:r w:rsidRPr="008C1EBB">
              <w:rPr>
                <w:rFonts w:ascii="Arial" w:eastAsia="Malgun Gothic" w:hAnsi="Arial" w:cs="Arial"/>
                <w:sz w:val="16"/>
                <w:szCs w:val="16"/>
                <w:lang w:eastAsia="ko-KR"/>
              </w:rPr>
              <w:instrText xml:space="preserve"> QUOTE </w:instrText>
            </w:r>
            <w:r w:rsidR="00A6784C">
              <w:rPr>
                <w:rFonts w:ascii="Arial" w:hAnsi="Arial" w:cs="Arial"/>
                <w:position w:val="-8"/>
                <w:sz w:val="16"/>
                <w:szCs w:val="16"/>
              </w:rPr>
              <w:pict w14:anchorId="7D3BAEED">
                <v:shape id="_x0000_i1209" type="#_x0000_t75" style="width:31.5pt;height:14.25pt" equationxml="&lt;">
                  <v:imagedata r:id="rId1394" o:title="" chromakey="white"/>
                </v:shape>
              </w:pict>
            </w:r>
            <w:r w:rsidRPr="008C1EBB">
              <w:rPr>
                <w:rFonts w:ascii="Arial" w:eastAsia="Malgun Gothic" w:hAnsi="Arial" w:cs="Arial"/>
                <w:sz w:val="16"/>
                <w:szCs w:val="16"/>
                <w:lang w:eastAsia="ko-KR"/>
              </w:rPr>
              <w:instrText xml:space="preserve"> </w:instrText>
            </w:r>
            <w:r w:rsidRPr="008C1EBB">
              <w:rPr>
                <w:rFonts w:ascii="Arial" w:eastAsia="Malgun Gothic" w:hAnsi="Arial" w:cs="Arial"/>
                <w:sz w:val="16"/>
                <w:szCs w:val="16"/>
                <w:lang w:eastAsia="ko-KR"/>
              </w:rPr>
              <w:fldChar w:fldCharType="separate"/>
            </w:r>
            <w:r w:rsidR="00A6784C">
              <w:rPr>
                <w:rFonts w:ascii="Arial" w:hAnsi="Arial" w:cs="Arial"/>
                <w:position w:val="-8"/>
                <w:sz w:val="16"/>
                <w:szCs w:val="16"/>
              </w:rPr>
              <w:pict w14:anchorId="75B2B8A6">
                <v:shape id="_x0000_i1210" type="#_x0000_t75" style="width:31.5pt;height:14.25pt" equationxml="&lt;">
                  <v:imagedata r:id="rId1394" o:title="" chromakey="white"/>
                </v:shape>
              </w:pict>
            </w:r>
            <w:r w:rsidRPr="008C1EBB">
              <w:rPr>
                <w:rFonts w:ascii="Arial" w:eastAsia="Malgun Gothic" w:hAnsi="Arial" w:cs="Arial"/>
                <w:sz w:val="16"/>
                <w:szCs w:val="16"/>
                <w:lang w:eastAsia="ko-KR"/>
              </w:rPr>
              <w:fldChar w:fldCharType="end"/>
            </w:r>
            <w:r w:rsidRPr="008C1EBB">
              <w:rPr>
                <w:rFonts w:ascii="Arial" w:eastAsia="Malgun Gothic" w:hAnsi="Arial" w:cs="Arial"/>
                <w:sz w:val="16"/>
                <w:szCs w:val="16"/>
                <w:lang w:eastAsia="ko-KR"/>
              </w:rPr>
              <w:t xml:space="preserve"> is provided by </w:t>
            </w:r>
            <w:r w:rsidRPr="008C1EBB">
              <w:rPr>
                <w:rFonts w:ascii="Arial" w:eastAsia="Malgun Gothic" w:hAnsi="Arial" w:cs="Arial"/>
                <w:i/>
                <w:sz w:val="16"/>
                <w:szCs w:val="16"/>
                <w:lang w:eastAsia="ko-KR"/>
              </w:rPr>
              <w:t>pdsch-AggregationFactor-r16</w:t>
            </w:r>
            <w:r w:rsidRPr="008C1EBB">
              <w:rPr>
                <w:rFonts w:ascii="Arial" w:eastAsia="Malgun Gothic" w:hAnsi="Arial" w:cs="Arial"/>
                <w:sz w:val="16"/>
                <w:szCs w:val="16"/>
                <w:lang w:eastAsia="ko-KR"/>
              </w:rPr>
              <w:t xml:space="preserve"> in </w:t>
            </w:r>
            <w:r w:rsidRPr="008C1EBB">
              <w:rPr>
                <w:rFonts w:ascii="Arial" w:eastAsia="Malgun Gothic" w:hAnsi="Arial" w:cs="Arial"/>
                <w:i/>
                <w:sz w:val="16"/>
                <w:szCs w:val="16"/>
                <w:lang w:eastAsia="ko-KR"/>
              </w:rPr>
              <w:t>SPS-Config</w:t>
            </w:r>
            <w:r w:rsidRPr="008C1EBB">
              <w:rPr>
                <w:rFonts w:ascii="Arial" w:eastAsia="Malgun Gothic" w:hAnsi="Arial" w:cs="Arial"/>
                <w:iCs/>
                <w:sz w:val="16"/>
                <w:szCs w:val="16"/>
                <w:lang w:eastAsia="ko-KR"/>
              </w:rPr>
              <w:t xml:space="preserve"> or</w:t>
            </w:r>
            <w:r w:rsidRPr="008C1EBB">
              <w:rPr>
                <w:rFonts w:ascii="Arial" w:eastAsia="Malgun Gothic" w:hAnsi="Arial" w:cs="Arial"/>
                <w:sz w:val="16"/>
                <w:szCs w:val="16"/>
                <w:lang w:eastAsia="ko-KR"/>
              </w:rPr>
              <w:t xml:space="preserve">, if </w:t>
            </w:r>
            <w:r w:rsidRPr="008C1EBB">
              <w:rPr>
                <w:rFonts w:ascii="Arial" w:eastAsia="Malgun Gothic" w:hAnsi="Arial" w:cs="Arial"/>
                <w:i/>
                <w:sz w:val="16"/>
                <w:szCs w:val="16"/>
                <w:lang w:eastAsia="ko-KR"/>
              </w:rPr>
              <w:t>pdsch-AggregationFactor-r16</w:t>
            </w:r>
            <w:r w:rsidRPr="008C1EBB">
              <w:rPr>
                <w:rFonts w:ascii="Arial" w:eastAsia="Malgun Gothic" w:hAnsi="Arial" w:cs="Arial"/>
                <w:sz w:val="16"/>
                <w:szCs w:val="16"/>
                <w:lang w:eastAsia="ko-KR"/>
              </w:rPr>
              <w:t xml:space="preserve"> is not included in </w:t>
            </w:r>
            <w:r w:rsidRPr="008C1EBB">
              <w:rPr>
                <w:rFonts w:ascii="Arial" w:eastAsia="Malgun Gothic" w:hAnsi="Arial" w:cs="Arial"/>
                <w:i/>
                <w:sz w:val="16"/>
                <w:szCs w:val="16"/>
                <w:lang w:eastAsia="ko-KR"/>
              </w:rPr>
              <w:t>SPS-Config</w:t>
            </w:r>
            <w:r w:rsidRPr="008C1EBB">
              <w:rPr>
                <w:rFonts w:ascii="Arial" w:eastAsia="Malgun Gothic" w:hAnsi="Arial" w:cs="Arial"/>
                <w:sz w:val="16"/>
                <w:szCs w:val="16"/>
                <w:lang w:eastAsia="ko-KR"/>
              </w:rPr>
              <w:t xml:space="preserve">, by </w:t>
            </w:r>
            <w:r w:rsidRPr="008C1EBB">
              <w:rPr>
                <w:rFonts w:ascii="Arial" w:eastAsia="Malgun Gothic" w:hAnsi="Arial" w:cs="Arial"/>
                <w:i/>
                <w:sz w:val="16"/>
                <w:szCs w:val="16"/>
                <w:lang w:eastAsia="ko-KR"/>
              </w:rPr>
              <w:t>pdsch-AggregationFactor</w:t>
            </w:r>
            <w:r w:rsidRPr="008C1EBB">
              <w:rPr>
                <w:rFonts w:ascii="Arial" w:eastAsia="Malgun Gothic" w:hAnsi="Arial" w:cs="Arial"/>
                <w:sz w:val="16"/>
                <w:szCs w:val="16"/>
                <w:lang w:eastAsia="ko-KR"/>
              </w:rPr>
              <w:t xml:space="preserve"> in </w:t>
            </w:r>
            <w:r w:rsidRPr="008C1EBB">
              <w:rPr>
                <w:rFonts w:ascii="Arial" w:eastAsia="Malgun Gothic" w:hAnsi="Arial" w:cs="Arial"/>
                <w:i/>
                <w:sz w:val="16"/>
                <w:szCs w:val="16"/>
                <w:lang w:eastAsia="ko-KR"/>
              </w:rPr>
              <w:t>PDSCH-config</w:t>
            </w:r>
            <w:r w:rsidRPr="008C1EBB">
              <w:rPr>
                <w:rFonts w:ascii="Arial" w:hAnsi="Arial" w:cs="Arial"/>
                <w:iCs/>
                <w:sz w:val="16"/>
                <w:szCs w:val="16"/>
                <w:lang w:eastAsia="zh-CN"/>
              </w:rPr>
              <w:t xml:space="preserve"> and, </w:t>
            </w:r>
            <w:r w:rsidRPr="008C1EBB">
              <w:rPr>
                <w:rFonts w:ascii="Arial" w:hAnsi="Arial" w:cs="Arial"/>
                <w:sz w:val="16"/>
                <w:szCs w:val="16"/>
                <w:lang w:eastAsia="zh-CN"/>
              </w:rPr>
              <w:t xml:space="preserve">for multicast SPS PDSCHs, </w:t>
            </w:r>
            <w:r w:rsidRPr="008C1EBB">
              <w:rPr>
                <w:rFonts w:ascii="Arial" w:hAnsi="Arial" w:cs="Arial"/>
                <w:sz w:val="16"/>
                <w:szCs w:val="16"/>
                <w:lang w:eastAsia="zh-CN"/>
              </w:rPr>
              <w:fldChar w:fldCharType="begin"/>
            </w:r>
            <w:r w:rsidRPr="008C1EBB">
              <w:rPr>
                <w:rFonts w:ascii="Arial" w:hAnsi="Arial" w:cs="Arial"/>
                <w:sz w:val="16"/>
                <w:szCs w:val="16"/>
                <w:lang w:eastAsia="zh-CN"/>
              </w:rPr>
              <w:instrText xml:space="preserve"> QUOTE </w:instrText>
            </w:r>
            <w:r w:rsidR="00A6784C">
              <w:rPr>
                <w:rFonts w:ascii="Arial" w:hAnsi="Arial" w:cs="Arial"/>
                <w:position w:val="-8"/>
                <w:sz w:val="16"/>
                <w:szCs w:val="16"/>
              </w:rPr>
              <w:pict w14:anchorId="6462B090">
                <v:shape id="_x0000_i1211" type="#_x0000_t75" style="width:31.5pt;height:14.25pt" equationxml="&lt;">
                  <v:imagedata r:id="rId1394" o:title="" chromakey="white"/>
                </v:shape>
              </w:pict>
            </w:r>
            <w:r w:rsidRPr="008C1EBB">
              <w:rPr>
                <w:rFonts w:ascii="Arial" w:hAnsi="Arial" w:cs="Arial"/>
                <w:sz w:val="16"/>
                <w:szCs w:val="16"/>
                <w:lang w:eastAsia="zh-CN"/>
              </w:rPr>
              <w:instrText xml:space="preserve"> </w:instrText>
            </w:r>
            <w:r w:rsidRPr="008C1EBB">
              <w:rPr>
                <w:rFonts w:ascii="Arial" w:hAnsi="Arial" w:cs="Arial"/>
                <w:sz w:val="16"/>
                <w:szCs w:val="16"/>
                <w:lang w:eastAsia="zh-CN"/>
              </w:rPr>
              <w:fldChar w:fldCharType="separate"/>
            </w:r>
            <w:r w:rsidR="00A6784C">
              <w:rPr>
                <w:rFonts w:ascii="Arial" w:hAnsi="Arial" w:cs="Arial"/>
                <w:position w:val="-8"/>
                <w:sz w:val="16"/>
                <w:szCs w:val="16"/>
              </w:rPr>
              <w:pict w14:anchorId="391C72AF">
                <v:shape id="_x0000_i1212" type="#_x0000_t75" style="width:31.5pt;height:14.25pt" equationxml="&lt;">
                  <v:imagedata r:id="rId1394" o:title="" chromakey="white"/>
                </v:shape>
              </w:pict>
            </w:r>
            <w:r w:rsidRPr="008C1EBB">
              <w:rPr>
                <w:rFonts w:ascii="Arial" w:hAnsi="Arial" w:cs="Arial"/>
                <w:sz w:val="16"/>
                <w:szCs w:val="16"/>
                <w:lang w:eastAsia="zh-CN"/>
              </w:rPr>
              <w:fldChar w:fldCharType="end"/>
            </w:r>
            <w:r w:rsidRPr="008C1EBB">
              <w:rPr>
                <w:rFonts w:ascii="Arial" w:hAnsi="Arial" w:cs="Arial"/>
                <w:sz w:val="16"/>
                <w:szCs w:val="16"/>
                <w:lang w:eastAsia="zh-CN"/>
              </w:rPr>
              <w:t xml:space="preserve"> is provided by </w:t>
            </w:r>
            <w:r w:rsidRPr="008C1EBB">
              <w:rPr>
                <w:rFonts w:ascii="Arial" w:hAnsi="Arial" w:cs="Arial"/>
                <w:sz w:val="16"/>
                <w:szCs w:val="16"/>
                <w:lang w:eastAsia="zh-CN"/>
              </w:rPr>
              <w:fldChar w:fldCharType="begin"/>
            </w:r>
            <w:r w:rsidRPr="008C1EBB">
              <w:rPr>
                <w:rFonts w:ascii="Arial" w:hAnsi="Arial" w:cs="Arial"/>
                <w:sz w:val="16"/>
                <w:szCs w:val="16"/>
                <w:lang w:eastAsia="zh-CN"/>
              </w:rPr>
              <w:instrText xml:space="preserve"> QUOTE </w:instrText>
            </w:r>
            <w:r w:rsidR="00A6784C">
              <w:rPr>
                <w:rFonts w:ascii="Arial" w:hAnsi="Arial" w:cs="Arial"/>
                <w:position w:val="-6"/>
                <w:sz w:val="16"/>
                <w:szCs w:val="16"/>
              </w:rPr>
              <w:pict w14:anchorId="13686C68">
                <v:shape id="_x0000_i1213" type="#_x0000_t75" style="width:83.25pt;height:12.75pt" equationxml="&lt;">
                  <v:imagedata r:id="rId1395" o:title="" chromakey="white"/>
                </v:shape>
              </w:pict>
            </w:r>
            <w:r w:rsidRPr="008C1EBB">
              <w:rPr>
                <w:rFonts w:ascii="Arial" w:hAnsi="Arial" w:cs="Arial"/>
                <w:sz w:val="16"/>
                <w:szCs w:val="16"/>
                <w:lang w:eastAsia="zh-CN"/>
              </w:rPr>
              <w:instrText xml:space="preserve"> </w:instrText>
            </w:r>
            <w:r w:rsidRPr="008C1EBB">
              <w:rPr>
                <w:rFonts w:ascii="Arial" w:hAnsi="Arial" w:cs="Arial"/>
                <w:sz w:val="16"/>
                <w:szCs w:val="16"/>
                <w:lang w:eastAsia="zh-CN"/>
              </w:rPr>
              <w:fldChar w:fldCharType="separate"/>
            </w:r>
            <w:r w:rsidR="00A6784C">
              <w:rPr>
                <w:rFonts w:ascii="Arial" w:hAnsi="Arial" w:cs="Arial"/>
                <w:position w:val="-6"/>
                <w:sz w:val="16"/>
                <w:szCs w:val="16"/>
              </w:rPr>
              <w:pict w14:anchorId="28139A8A">
                <v:shape id="_x0000_i1214" type="#_x0000_t75" style="width:83.25pt;height:12.75pt" equationxml="&lt;">
                  <v:imagedata r:id="rId1395" o:title="" chromakey="white"/>
                </v:shape>
              </w:pict>
            </w:r>
            <w:r w:rsidRPr="008C1EBB">
              <w:rPr>
                <w:rFonts w:ascii="Arial" w:hAnsi="Arial" w:cs="Arial"/>
                <w:sz w:val="16"/>
                <w:szCs w:val="16"/>
                <w:lang w:eastAsia="zh-CN"/>
              </w:rPr>
              <w:fldChar w:fldCharType="end"/>
            </w:r>
            <w:r w:rsidRPr="008C1EBB">
              <w:rPr>
                <w:rFonts w:ascii="Arial" w:hAnsi="Arial" w:cs="Arial"/>
                <w:sz w:val="16"/>
                <w:szCs w:val="16"/>
                <w:lang w:eastAsia="zh-CN"/>
              </w:rPr>
              <w:t xml:space="preserve"> if contained in an entry indicated by the time domain resource assignment field in the DCI format scheduling the PDSCH repetition, or provided by </w:t>
            </w:r>
            <w:r w:rsidRPr="008C1EBB">
              <w:rPr>
                <w:rFonts w:ascii="Arial" w:hAnsi="Arial" w:cs="Arial"/>
                <w:i/>
                <w:sz w:val="16"/>
                <w:szCs w:val="16"/>
                <w:lang w:eastAsia="zh-CN"/>
              </w:rPr>
              <w:t>pdsch-AggregationFactor-r16</w:t>
            </w:r>
            <w:r w:rsidRPr="008C1EBB">
              <w:rPr>
                <w:rFonts w:ascii="Arial" w:hAnsi="Arial" w:cs="Arial"/>
                <w:sz w:val="16"/>
                <w:szCs w:val="16"/>
                <w:lang w:eastAsia="zh-CN"/>
              </w:rPr>
              <w:t xml:space="preserve"> if included in </w:t>
            </w:r>
            <w:r w:rsidRPr="008C1EBB">
              <w:rPr>
                <w:rFonts w:ascii="Arial" w:hAnsi="Arial" w:cs="Arial"/>
                <w:i/>
                <w:sz w:val="16"/>
                <w:szCs w:val="16"/>
                <w:lang w:eastAsia="zh-CN"/>
              </w:rPr>
              <w:t xml:space="preserve">SPS-Config </w:t>
            </w:r>
            <w:r w:rsidRPr="008C1EBB">
              <w:rPr>
                <w:rFonts w:ascii="Arial" w:hAnsi="Arial" w:cs="Arial"/>
                <w:sz w:val="16"/>
                <w:szCs w:val="16"/>
                <w:lang w:eastAsia="zh-CN"/>
              </w:rPr>
              <w:t xml:space="preserve">or, </w:t>
            </w:r>
            <w:r w:rsidRPr="008C1EBB">
              <w:rPr>
                <w:rFonts w:ascii="Arial" w:hAnsi="Arial" w:cs="Arial"/>
                <w:iCs/>
                <w:sz w:val="16"/>
                <w:szCs w:val="16"/>
                <w:lang w:eastAsia="zh-CN"/>
              </w:rPr>
              <w:t>otherwise,</w:t>
            </w:r>
            <w:r w:rsidRPr="008C1EBB">
              <w:rPr>
                <w:rFonts w:ascii="Arial" w:hAnsi="Arial" w:cs="Arial"/>
                <w:i/>
                <w:sz w:val="16"/>
                <w:szCs w:val="16"/>
                <w:lang w:eastAsia="zh-CN"/>
              </w:rPr>
              <w:t xml:space="preserve"> </w:t>
            </w:r>
            <w:r w:rsidRPr="008C1EBB">
              <w:rPr>
                <w:rFonts w:ascii="Arial" w:hAnsi="Arial" w:cs="Arial"/>
                <w:iCs/>
                <w:sz w:val="16"/>
                <w:szCs w:val="16"/>
                <w:lang w:eastAsia="zh-CN"/>
              </w:rPr>
              <w:fldChar w:fldCharType="begin"/>
            </w:r>
            <w:r w:rsidRPr="008C1EBB">
              <w:rPr>
                <w:rFonts w:ascii="Arial" w:hAnsi="Arial" w:cs="Arial"/>
                <w:iCs/>
                <w:sz w:val="16"/>
                <w:szCs w:val="16"/>
                <w:lang w:eastAsia="zh-CN"/>
              </w:rPr>
              <w:instrText xml:space="preserve"> QUOTE </w:instrText>
            </w:r>
            <w:r w:rsidR="00A6784C">
              <w:rPr>
                <w:rFonts w:ascii="Arial" w:hAnsi="Arial" w:cs="Arial"/>
                <w:position w:val="-8"/>
                <w:sz w:val="16"/>
                <w:szCs w:val="16"/>
              </w:rPr>
              <w:pict w14:anchorId="131C61EC">
                <v:shape id="_x0000_i1215" type="#_x0000_t75" style="width:50.25pt;height:14.25pt" equationxml="&lt;">
                  <v:imagedata r:id="rId1396" o:title="" chromakey="white"/>
                </v:shape>
              </w:pict>
            </w:r>
            <w:r w:rsidRPr="008C1EBB">
              <w:rPr>
                <w:rFonts w:ascii="Arial" w:hAnsi="Arial" w:cs="Arial"/>
                <w:iCs/>
                <w:sz w:val="16"/>
                <w:szCs w:val="16"/>
                <w:lang w:eastAsia="zh-CN"/>
              </w:rPr>
              <w:instrText xml:space="preserve"> </w:instrText>
            </w:r>
            <w:r w:rsidRPr="008C1EBB">
              <w:rPr>
                <w:rFonts w:ascii="Arial" w:hAnsi="Arial" w:cs="Arial"/>
                <w:iCs/>
                <w:sz w:val="16"/>
                <w:szCs w:val="16"/>
                <w:lang w:eastAsia="zh-CN"/>
              </w:rPr>
              <w:fldChar w:fldCharType="separate"/>
            </w:r>
            <w:r w:rsidR="00A6784C">
              <w:rPr>
                <w:rFonts w:ascii="Arial" w:hAnsi="Arial" w:cs="Arial"/>
                <w:position w:val="-8"/>
                <w:sz w:val="16"/>
                <w:szCs w:val="16"/>
              </w:rPr>
              <w:pict w14:anchorId="42E560A5">
                <v:shape id="_x0000_i1216" type="#_x0000_t75" style="width:50.25pt;height:14.25pt" equationxml="&lt;">
                  <v:imagedata r:id="rId1396" o:title="" chromakey="white"/>
                </v:shape>
              </w:pict>
            </w:r>
            <w:r w:rsidRPr="008C1EBB">
              <w:rPr>
                <w:rFonts w:ascii="Arial" w:hAnsi="Arial" w:cs="Arial"/>
                <w:iCs/>
                <w:sz w:val="16"/>
                <w:szCs w:val="16"/>
                <w:lang w:eastAsia="zh-CN"/>
              </w:rPr>
              <w:fldChar w:fldCharType="end"/>
            </w:r>
            <w:r w:rsidRPr="008C1EBB">
              <w:rPr>
                <w:rFonts w:ascii="Arial" w:hAnsi="Arial" w:cs="Arial"/>
                <w:iCs/>
                <w:sz w:val="16"/>
                <w:szCs w:val="16"/>
                <w:lang w:eastAsia="zh-CN"/>
              </w:rPr>
              <w:t>,</w:t>
            </w:r>
            <w:r w:rsidRPr="008C1EBB">
              <w:rPr>
                <w:rFonts w:ascii="Arial" w:hAnsi="Arial" w:cs="Arial"/>
                <w:sz w:val="16"/>
                <w:szCs w:val="16"/>
                <w:lang w:eastAsia="zh-CN"/>
              </w:rPr>
              <w:t xml:space="preserve"> and</w:t>
            </w:r>
          </w:p>
          <w:p w14:paraId="7E905920" w14:textId="77777777" w:rsidR="008C1EBB" w:rsidRPr="008C1EBB" w:rsidRDefault="008C1EBB">
            <w:pPr>
              <w:pStyle w:val="B5"/>
              <w:ind w:left="1701" w:hanging="1"/>
              <w:rPr>
                <w:rFonts w:ascii="Arial" w:eastAsia="Batang" w:hAnsi="Arial" w:cs="Arial"/>
                <w:sz w:val="16"/>
                <w:szCs w:val="16"/>
                <w:lang w:eastAsia="en-US"/>
              </w:rPr>
            </w:pPr>
            <w:r w:rsidRPr="008C1EBB">
              <w:rPr>
                <w:rFonts w:ascii="Arial" w:eastAsia="Batang" w:hAnsi="Arial" w:cs="Arial"/>
                <w:sz w:val="16"/>
                <w:szCs w:val="16"/>
              </w:rPr>
              <w:t>HARQ-ACK information for the SPS PDSCH is associated with the PUCCH</w:t>
            </w:r>
          </w:p>
          <w:p w14:paraId="02B8173E" w14:textId="77777777" w:rsidR="008C1EBB" w:rsidRPr="008C1EBB" w:rsidRDefault="008C1EBB">
            <w:pPr>
              <w:pStyle w:val="B5"/>
              <w:ind w:left="1701" w:hanging="1"/>
              <w:rPr>
                <w:rFonts w:ascii="Arial" w:hAnsi="Arial" w:cs="Arial"/>
                <w:sz w:val="16"/>
                <w:szCs w:val="16"/>
              </w:rPr>
            </w:pPr>
            <w:r w:rsidRPr="008C1EBB">
              <w:rPr>
                <w:rFonts w:ascii="Arial" w:eastAsia="Batang" w:hAnsi="Arial" w:cs="Arial"/>
                <w:sz w:val="16"/>
                <w:szCs w:val="16"/>
              </w:rPr>
              <w:t>}</w:t>
            </w:r>
          </w:p>
          <w:p w14:paraId="6B604750" w14:textId="77777777" w:rsidR="008C1EBB" w:rsidRPr="008C1EBB" w:rsidRDefault="008C1EBB">
            <w:pPr>
              <w:pStyle w:val="B5"/>
              <w:ind w:left="1701" w:firstLine="0"/>
              <w:rPr>
                <w:rFonts w:ascii="Arial" w:hAnsi="Arial" w:cs="Arial"/>
                <w:sz w:val="16"/>
                <w:szCs w:val="16"/>
              </w:rPr>
            </w:pPr>
            <w:r w:rsidRPr="008C1EBB">
              <w:rPr>
                <w:rFonts w:ascii="Arial" w:hAnsi="Arial" w:cs="Arial"/>
                <w:sz w:val="16"/>
                <w:szCs w:val="16"/>
              </w:rPr>
              <w:fldChar w:fldCharType="begin"/>
            </w:r>
            <w:r w:rsidRPr="008C1EBB">
              <w:rPr>
                <w:rFonts w:ascii="Arial" w:hAnsi="Arial" w:cs="Arial"/>
                <w:sz w:val="16"/>
                <w:szCs w:val="16"/>
              </w:rPr>
              <w:instrText xml:space="preserve"> QUOTE </w:instrText>
            </w:r>
            <w:r w:rsidR="00A6784C">
              <w:rPr>
                <w:rFonts w:ascii="Arial" w:hAnsi="Arial" w:cs="Arial"/>
                <w:position w:val="-9"/>
                <w:sz w:val="16"/>
                <w:szCs w:val="16"/>
              </w:rPr>
              <w:pict w14:anchorId="74B95F79">
                <v:shape id="_x0000_i1217" type="#_x0000_t75" style="width:20.25pt;height:14.25pt" equationxml="&lt;">
                  <v:imagedata r:id="rId1397" o:title="" chromakey="white"/>
                </v:shape>
              </w:pict>
            </w:r>
            <w:r w:rsidRPr="008C1EBB">
              <w:rPr>
                <w:rFonts w:ascii="Arial" w:hAnsi="Arial" w:cs="Arial"/>
                <w:sz w:val="16"/>
                <w:szCs w:val="16"/>
              </w:rPr>
              <w:instrText xml:space="preserve"> </w:instrText>
            </w:r>
            <w:r w:rsidRPr="008C1EBB">
              <w:rPr>
                <w:rFonts w:ascii="Arial" w:hAnsi="Arial" w:cs="Arial"/>
                <w:sz w:val="16"/>
                <w:szCs w:val="16"/>
              </w:rPr>
              <w:fldChar w:fldCharType="separate"/>
            </w:r>
            <w:r w:rsidR="00A6784C">
              <w:rPr>
                <w:rFonts w:ascii="Arial" w:hAnsi="Arial" w:cs="Arial"/>
                <w:position w:val="-9"/>
                <w:sz w:val="16"/>
                <w:szCs w:val="16"/>
              </w:rPr>
              <w:pict w14:anchorId="06909461">
                <v:shape id="_x0000_i1218" type="#_x0000_t75" style="width:20.25pt;height:14.25pt" equationxml="&lt;">
                  <v:imagedata r:id="rId1397" o:title="" chromakey="white"/>
                </v:shape>
              </w:pict>
            </w:r>
            <w:r w:rsidRPr="008C1EBB">
              <w:rPr>
                <w:rFonts w:ascii="Arial" w:hAnsi="Arial" w:cs="Arial"/>
                <w:sz w:val="16"/>
                <w:szCs w:val="16"/>
              </w:rPr>
              <w:fldChar w:fldCharType="end"/>
            </w:r>
            <w:r w:rsidRPr="008C1EBB">
              <w:rPr>
                <w:rFonts w:ascii="Arial" w:hAnsi="Arial" w:cs="Arial"/>
                <w:sz w:val="16"/>
                <w:szCs w:val="16"/>
              </w:rPr>
              <w:t xml:space="preserve"> </w:t>
            </w:r>
            <w:r w:rsidRPr="008C1EBB">
              <w:rPr>
                <w:rFonts w:ascii="Arial" w:hAnsi="Arial" w:cs="Arial"/>
                <w:sz w:val="16"/>
                <w:szCs w:val="16"/>
                <w:lang w:eastAsia="zh-CN"/>
              </w:rPr>
              <w:t>=</w:t>
            </w:r>
            <w:r w:rsidRPr="008C1EBB">
              <w:rPr>
                <w:rFonts w:ascii="Arial" w:hAnsi="Arial" w:cs="Arial"/>
                <w:sz w:val="16"/>
                <w:szCs w:val="16"/>
              </w:rPr>
              <w:t xml:space="preserve"> HARQ-ACK information bit for this SPS PDSCH reception </w:t>
            </w:r>
          </w:p>
          <w:p w14:paraId="679CC531" w14:textId="77777777" w:rsidR="008C1EBB" w:rsidRPr="008C1EBB" w:rsidRDefault="008C1EBB">
            <w:pPr>
              <w:pStyle w:val="B5"/>
              <w:ind w:left="1701" w:firstLine="0"/>
              <w:rPr>
                <w:rFonts w:ascii="Arial" w:hAnsi="Arial" w:cs="Arial"/>
                <w:sz w:val="16"/>
                <w:szCs w:val="16"/>
              </w:rPr>
            </w:pPr>
            <w:r w:rsidRPr="008C1EBB">
              <w:rPr>
                <w:rFonts w:ascii="Arial" w:hAnsi="Arial" w:cs="Arial"/>
                <w:sz w:val="16"/>
                <w:szCs w:val="16"/>
              </w:rPr>
              <w:fldChar w:fldCharType="begin"/>
            </w:r>
            <w:r w:rsidRPr="008C1EBB">
              <w:rPr>
                <w:rFonts w:ascii="Arial" w:hAnsi="Arial" w:cs="Arial"/>
                <w:sz w:val="16"/>
                <w:szCs w:val="16"/>
              </w:rPr>
              <w:instrText xml:space="preserve"> QUOTE </w:instrText>
            </w:r>
            <w:r w:rsidR="00A6784C">
              <w:rPr>
                <w:rFonts w:ascii="Arial" w:hAnsi="Arial" w:cs="Arial"/>
                <w:position w:val="-6"/>
                <w:sz w:val="16"/>
                <w:szCs w:val="16"/>
              </w:rPr>
              <w:pict w14:anchorId="7399049C">
                <v:shape id="_x0000_i1219" type="#_x0000_t75" style="width:37.5pt;height:12.75pt" equationxml="&lt;">
                  <v:imagedata r:id="rId1398" o:title="" chromakey="white"/>
                </v:shape>
              </w:pict>
            </w:r>
            <w:r w:rsidRPr="008C1EBB">
              <w:rPr>
                <w:rFonts w:ascii="Arial" w:hAnsi="Arial" w:cs="Arial"/>
                <w:sz w:val="16"/>
                <w:szCs w:val="16"/>
              </w:rPr>
              <w:instrText xml:space="preserve"> </w:instrText>
            </w:r>
            <w:r w:rsidRPr="008C1EBB">
              <w:rPr>
                <w:rFonts w:ascii="Arial" w:hAnsi="Arial" w:cs="Arial"/>
                <w:sz w:val="16"/>
                <w:szCs w:val="16"/>
              </w:rPr>
              <w:fldChar w:fldCharType="separate"/>
            </w:r>
            <w:r w:rsidR="00A6784C">
              <w:rPr>
                <w:rFonts w:ascii="Arial" w:hAnsi="Arial" w:cs="Arial"/>
                <w:position w:val="-6"/>
                <w:sz w:val="16"/>
                <w:szCs w:val="16"/>
              </w:rPr>
              <w:pict w14:anchorId="5052B76D">
                <v:shape id="_x0000_i1220" type="#_x0000_t75" style="width:37.5pt;height:12.75pt" equationxml="&lt;">
                  <v:imagedata r:id="rId1398" o:title="" chromakey="white"/>
                </v:shape>
              </w:pict>
            </w:r>
            <w:r w:rsidRPr="008C1EBB">
              <w:rPr>
                <w:rFonts w:ascii="Arial" w:hAnsi="Arial" w:cs="Arial"/>
                <w:sz w:val="16"/>
                <w:szCs w:val="16"/>
              </w:rPr>
              <w:fldChar w:fldCharType="end"/>
            </w:r>
            <w:r w:rsidRPr="008C1EBB">
              <w:rPr>
                <w:rFonts w:ascii="Arial" w:hAnsi="Arial" w:cs="Arial"/>
                <w:sz w:val="16"/>
                <w:szCs w:val="16"/>
              </w:rPr>
              <w:t>;</w:t>
            </w:r>
          </w:p>
          <w:p w14:paraId="0445E6C2" w14:textId="77777777" w:rsidR="008C1EBB" w:rsidRPr="008C1EBB" w:rsidRDefault="008C1EBB">
            <w:pPr>
              <w:pStyle w:val="B5"/>
              <w:rPr>
                <w:rFonts w:ascii="Arial" w:hAnsi="Arial" w:cs="Arial"/>
                <w:sz w:val="16"/>
                <w:szCs w:val="16"/>
              </w:rPr>
            </w:pPr>
            <w:r w:rsidRPr="008C1EBB">
              <w:rPr>
                <w:rFonts w:ascii="Arial" w:hAnsi="Arial" w:cs="Arial"/>
                <w:sz w:val="16"/>
                <w:szCs w:val="16"/>
              </w:rPr>
              <w:t>end if</w:t>
            </w:r>
          </w:p>
          <w:p w14:paraId="08B260EB" w14:textId="77777777" w:rsidR="008C1EBB" w:rsidRPr="008C1EBB" w:rsidRDefault="008C1EBB">
            <w:pPr>
              <w:pStyle w:val="B5"/>
              <w:rPr>
                <w:rFonts w:ascii="Arial" w:hAnsi="Arial" w:cs="Arial"/>
                <w:sz w:val="16"/>
                <w:szCs w:val="16"/>
              </w:rPr>
            </w:pPr>
            <w:r w:rsidRPr="008C1EBB">
              <w:rPr>
                <w:rFonts w:ascii="Arial" w:hAnsi="Arial" w:cs="Arial"/>
                <w:sz w:val="16"/>
                <w:szCs w:val="16"/>
              </w:rPr>
              <w:fldChar w:fldCharType="begin"/>
            </w:r>
            <w:r w:rsidRPr="008C1EBB">
              <w:rPr>
                <w:rFonts w:ascii="Arial" w:hAnsi="Arial" w:cs="Arial"/>
                <w:sz w:val="16"/>
                <w:szCs w:val="16"/>
              </w:rPr>
              <w:instrText xml:space="preserve"> QUOTE </w:instrText>
            </w:r>
            <w:r w:rsidR="00A6784C">
              <w:rPr>
                <w:rFonts w:ascii="Arial" w:hAnsi="Arial" w:cs="Arial"/>
                <w:position w:val="-6"/>
                <w:sz w:val="16"/>
                <w:szCs w:val="16"/>
              </w:rPr>
              <w:pict w14:anchorId="1053BA06">
                <v:shape id="_x0000_i1221" type="#_x0000_t75" style="width:53.25pt;height:12.75pt" equationxml="&lt;">
                  <v:imagedata r:id="rId1399" o:title="" chromakey="white"/>
                </v:shape>
              </w:pict>
            </w:r>
            <w:r w:rsidRPr="008C1EBB">
              <w:rPr>
                <w:rFonts w:ascii="Arial" w:hAnsi="Arial" w:cs="Arial"/>
                <w:sz w:val="16"/>
                <w:szCs w:val="16"/>
              </w:rPr>
              <w:instrText xml:space="preserve"> </w:instrText>
            </w:r>
            <w:r w:rsidRPr="008C1EBB">
              <w:rPr>
                <w:rFonts w:ascii="Arial" w:hAnsi="Arial" w:cs="Arial"/>
                <w:sz w:val="16"/>
                <w:szCs w:val="16"/>
              </w:rPr>
              <w:fldChar w:fldCharType="separate"/>
            </w:r>
            <w:r w:rsidR="00A6784C">
              <w:rPr>
                <w:rFonts w:ascii="Arial" w:hAnsi="Arial" w:cs="Arial"/>
                <w:position w:val="-6"/>
                <w:sz w:val="16"/>
                <w:szCs w:val="16"/>
              </w:rPr>
              <w:pict w14:anchorId="77144175">
                <v:shape id="_x0000_i1222" type="#_x0000_t75" style="width:53.25pt;height:12.75pt" equationxml="&lt;">
                  <v:imagedata r:id="rId1399" o:title="" chromakey="white"/>
                </v:shape>
              </w:pict>
            </w:r>
            <w:r w:rsidRPr="008C1EBB">
              <w:rPr>
                <w:rFonts w:ascii="Arial" w:hAnsi="Arial" w:cs="Arial"/>
                <w:sz w:val="16"/>
                <w:szCs w:val="16"/>
              </w:rPr>
              <w:fldChar w:fldCharType="end"/>
            </w:r>
            <w:r w:rsidRPr="008C1EBB">
              <w:rPr>
                <w:rFonts w:ascii="Arial" w:hAnsi="Arial" w:cs="Arial"/>
                <w:sz w:val="16"/>
                <w:szCs w:val="16"/>
              </w:rPr>
              <w:t>;</w:t>
            </w:r>
          </w:p>
          <w:p w14:paraId="3E3CD2F1" w14:textId="77777777" w:rsidR="008C1EBB" w:rsidRPr="008C1EBB" w:rsidRDefault="008C1EBB">
            <w:pPr>
              <w:pStyle w:val="B4"/>
              <w:rPr>
                <w:rFonts w:ascii="Arial" w:hAnsi="Arial" w:cs="Arial"/>
                <w:sz w:val="16"/>
                <w:szCs w:val="16"/>
              </w:rPr>
            </w:pPr>
            <w:r w:rsidRPr="008C1EBB">
              <w:rPr>
                <w:rFonts w:ascii="Arial" w:hAnsi="Arial" w:cs="Arial"/>
                <w:sz w:val="16"/>
                <w:szCs w:val="16"/>
              </w:rPr>
              <w:t>end while</w:t>
            </w:r>
          </w:p>
          <w:p w14:paraId="3E752A89" w14:textId="77777777" w:rsidR="008C1EBB" w:rsidRPr="008C1EBB" w:rsidRDefault="008C1EBB">
            <w:pPr>
              <w:pStyle w:val="B4"/>
              <w:rPr>
                <w:rFonts w:ascii="Arial" w:hAnsi="Arial" w:cs="Arial"/>
                <w:sz w:val="16"/>
                <w:szCs w:val="16"/>
              </w:rPr>
            </w:pPr>
            <w:r w:rsidRPr="008C1EBB">
              <w:rPr>
                <w:rFonts w:ascii="Arial" w:hAnsi="Arial" w:cs="Arial"/>
                <w:sz w:val="16"/>
                <w:szCs w:val="16"/>
              </w:rPr>
              <w:fldChar w:fldCharType="begin"/>
            </w:r>
            <w:r w:rsidRPr="008C1EBB">
              <w:rPr>
                <w:rFonts w:ascii="Arial" w:hAnsi="Arial" w:cs="Arial"/>
                <w:sz w:val="16"/>
                <w:szCs w:val="16"/>
              </w:rPr>
              <w:instrText xml:space="preserve"> QUOTE </w:instrText>
            </w:r>
            <w:r w:rsidR="00A6784C">
              <w:rPr>
                <w:rFonts w:ascii="Arial" w:hAnsi="Arial" w:cs="Arial"/>
                <w:position w:val="-6"/>
                <w:sz w:val="16"/>
                <w:szCs w:val="16"/>
              </w:rPr>
              <w:pict w14:anchorId="5F201811">
                <v:shape id="_x0000_i1223" type="#_x0000_t75" style="width:40.5pt;height:12.75pt" equationxml="&lt;">
                  <v:imagedata r:id="rId1400" o:title="" chromakey="white"/>
                </v:shape>
              </w:pict>
            </w:r>
            <w:r w:rsidRPr="008C1EBB">
              <w:rPr>
                <w:rFonts w:ascii="Arial" w:hAnsi="Arial" w:cs="Arial"/>
                <w:sz w:val="16"/>
                <w:szCs w:val="16"/>
              </w:rPr>
              <w:instrText xml:space="preserve"> </w:instrText>
            </w:r>
            <w:r w:rsidRPr="008C1EBB">
              <w:rPr>
                <w:rFonts w:ascii="Arial" w:hAnsi="Arial" w:cs="Arial"/>
                <w:sz w:val="16"/>
                <w:szCs w:val="16"/>
              </w:rPr>
              <w:fldChar w:fldCharType="separate"/>
            </w:r>
            <w:r w:rsidR="00A6784C">
              <w:rPr>
                <w:rFonts w:ascii="Arial" w:hAnsi="Arial" w:cs="Arial"/>
                <w:position w:val="-6"/>
                <w:sz w:val="16"/>
                <w:szCs w:val="16"/>
              </w:rPr>
              <w:pict w14:anchorId="6D483A09">
                <v:shape id="_x0000_i1224" type="#_x0000_t75" style="width:40.5pt;height:12.75pt" equationxml="&lt;">
                  <v:imagedata r:id="rId1400" o:title="" chromakey="white"/>
                </v:shape>
              </w:pict>
            </w:r>
            <w:r w:rsidRPr="008C1EBB">
              <w:rPr>
                <w:rFonts w:ascii="Arial" w:hAnsi="Arial" w:cs="Arial"/>
                <w:sz w:val="16"/>
                <w:szCs w:val="16"/>
              </w:rPr>
              <w:fldChar w:fldCharType="end"/>
            </w:r>
            <w:r w:rsidRPr="008C1EBB">
              <w:rPr>
                <w:rFonts w:ascii="Arial" w:hAnsi="Arial" w:cs="Arial"/>
                <w:sz w:val="16"/>
                <w:szCs w:val="16"/>
              </w:rPr>
              <w:t>;</w:t>
            </w:r>
          </w:p>
          <w:p w14:paraId="2FEDB272" w14:textId="77777777" w:rsidR="008C1EBB" w:rsidRPr="008C1EBB" w:rsidRDefault="008C1EBB">
            <w:pPr>
              <w:pStyle w:val="B2"/>
              <w:rPr>
                <w:rFonts w:ascii="Arial" w:hAnsi="Arial" w:cs="Arial"/>
                <w:sz w:val="16"/>
                <w:szCs w:val="16"/>
              </w:rPr>
            </w:pPr>
            <w:r w:rsidRPr="008C1EBB">
              <w:rPr>
                <w:rFonts w:ascii="Arial" w:hAnsi="Arial" w:cs="Arial"/>
                <w:sz w:val="16"/>
                <w:szCs w:val="16"/>
              </w:rPr>
              <w:t>end while</w:t>
            </w:r>
          </w:p>
          <w:p w14:paraId="4CE38FBD" w14:textId="77777777" w:rsidR="008C1EBB" w:rsidRPr="008C1EBB" w:rsidRDefault="008C1EBB">
            <w:pPr>
              <w:pStyle w:val="B2"/>
              <w:rPr>
                <w:rFonts w:ascii="Arial" w:hAnsi="Arial" w:cs="Arial"/>
                <w:sz w:val="16"/>
                <w:szCs w:val="16"/>
              </w:rPr>
            </w:pPr>
            <w:r w:rsidRPr="008C1EBB">
              <w:rPr>
                <w:rFonts w:ascii="Arial" w:hAnsi="Arial" w:cs="Arial"/>
                <w:sz w:val="16"/>
                <w:szCs w:val="16"/>
              </w:rPr>
              <w:fldChar w:fldCharType="begin"/>
            </w:r>
            <w:r w:rsidRPr="008C1EBB">
              <w:rPr>
                <w:rFonts w:ascii="Arial" w:hAnsi="Arial" w:cs="Arial"/>
                <w:sz w:val="16"/>
                <w:szCs w:val="16"/>
              </w:rPr>
              <w:instrText xml:space="preserve"> QUOTE </w:instrText>
            </w:r>
            <w:r w:rsidR="00A6784C">
              <w:rPr>
                <w:rFonts w:ascii="Arial" w:hAnsi="Arial" w:cs="Arial"/>
                <w:position w:val="-5"/>
                <w:sz w:val="16"/>
                <w:szCs w:val="16"/>
              </w:rPr>
              <w:pict w14:anchorId="06E760C3">
                <v:shape id="_x0000_i1225" type="#_x0000_t75" style="width:40.5pt;height:12pt" equationxml="&lt;">
                  <v:imagedata r:id="rId1401" o:title="" chromakey="white"/>
                </v:shape>
              </w:pict>
            </w:r>
            <w:r w:rsidRPr="008C1EBB">
              <w:rPr>
                <w:rFonts w:ascii="Arial" w:hAnsi="Arial" w:cs="Arial"/>
                <w:sz w:val="16"/>
                <w:szCs w:val="16"/>
              </w:rPr>
              <w:instrText xml:space="preserve"> </w:instrText>
            </w:r>
            <w:r w:rsidRPr="008C1EBB">
              <w:rPr>
                <w:rFonts w:ascii="Arial" w:hAnsi="Arial" w:cs="Arial"/>
                <w:sz w:val="16"/>
                <w:szCs w:val="16"/>
              </w:rPr>
              <w:fldChar w:fldCharType="separate"/>
            </w:r>
            <w:r w:rsidR="00A6784C">
              <w:rPr>
                <w:rFonts w:ascii="Arial" w:hAnsi="Arial" w:cs="Arial"/>
                <w:position w:val="-5"/>
                <w:sz w:val="16"/>
                <w:szCs w:val="16"/>
              </w:rPr>
              <w:pict w14:anchorId="7577C51F">
                <v:shape id="_x0000_i1226" type="#_x0000_t75" style="width:40.5pt;height:12pt" equationxml="&lt;">
                  <v:imagedata r:id="rId1401" o:title="" chromakey="white"/>
                </v:shape>
              </w:pict>
            </w:r>
            <w:r w:rsidRPr="008C1EBB">
              <w:rPr>
                <w:rFonts w:ascii="Arial" w:hAnsi="Arial" w:cs="Arial"/>
                <w:sz w:val="16"/>
                <w:szCs w:val="16"/>
              </w:rPr>
              <w:fldChar w:fldCharType="end"/>
            </w:r>
            <w:r w:rsidRPr="008C1EBB">
              <w:rPr>
                <w:rFonts w:ascii="Arial" w:hAnsi="Arial" w:cs="Arial"/>
                <w:sz w:val="16"/>
                <w:szCs w:val="16"/>
              </w:rPr>
              <w:t>;</w:t>
            </w:r>
          </w:p>
          <w:p w14:paraId="510E14B5" w14:textId="77777777" w:rsidR="008C1EBB" w:rsidRPr="008C1EBB" w:rsidRDefault="008C1EBB">
            <w:pPr>
              <w:pStyle w:val="B1"/>
              <w:rPr>
                <w:rFonts w:ascii="Arial" w:hAnsi="Arial" w:cs="Arial"/>
                <w:sz w:val="16"/>
                <w:szCs w:val="16"/>
                <w:lang w:eastAsia="x-none"/>
              </w:rPr>
            </w:pPr>
            <w:r w:rsidRPr="008C1EBB">
              <w:rPr>
                <w:rFonts w:ascii="Arial" w:hAnsi="Arial" w:cs="Arial"/>
                <w:sz w:val="16"/>
                <w:szCs w:val="16"/>
              </w:rPr>
              <w:t>end while</w:t>
            </w:r>
          </w:p>
          <w:p w14:paraId="243D55CC" w14:textId="77777777" w:rsidR="008C1EBB" w:rsidRPr="008C1EBB" w:rsidRDefault="008C1EBB">
            <w:pPr>
              <w:pStyle w:val="BodyText"/>
              <w:spacing w:after="0"/>
              <w:jc w:val="center"/>
              <w:rPr>
                <w:rFonts w:ascii="Arial" w:hAnsi="Arial" w:cs="Arial"/>
                <w:sz w:val="16"/>
                <w:szCs w:val="16"/>
                <w:lang w:eastAsia="zh-CN"/>
              </w:rPr>
            </w:pPr>
            <w:r w:rsidRPr="008C1EBB">
              <w:rPr>
                <w:rFonts w:ascii="Arial" w:hAnsi="Arial" w:cs="Arial"/>
                <w:color w:val="FF0000"/>
                <w:sz w:val="16"/>
                <w:szCs w:val="16"/>
              </w:rPr>
              <w:t>*** Unchanged text omitted ***</w:t>
            </w:r>
          </w:p>
        </w:tc>
      </w:tr>
    </w:tbl>
    <w:p w14:paraId="1B2A42AA" w14:textId="77777777" w:rsidR="00420DB1" w:rsidRDefault="00420DB1" w:rsidP="00BC5BE9">
      <w:pPr>
        <w:rPr>
          <w:lang w:eastAsia="x-none"/>
        </w:rPr>
      </w:pPr>
    </w:p>
    <w:p w14:paraId="6BA32B43" w14:textId="77777777" w:rsidR="00420DB1" w:rsidRDefault="00420DB1" w:rsidP="00BC5BE9">
      <w:pPr>
        <w:rPr>
          <w:lang w:eastAsia="x-none"/>
        </w:rPr>
      </w:pPr>
    </w:p>
    <w:p w14:paraId="2B90AEDB" w14:textId="54514B6A" w:rsidR="004A041D" w:rsidRPr="00981F88" w:rsidRDefault="005A18DC" w:rsidP="00BC5BE9">
      <w:pPr>
        <w:rPr>
          <w:b/>
          <w:bCs/>
          <w:lang w:eastAsia="x-none"/>
        </w:rPr>
      </w:pPr>
      <w:hyperlink r:id="rId1402" w:history="1">
        <w:r w:rsidR="00AF7253">
          <w:rPr>
            <w:rStyle w:val="Hyperlink"/>
            <w:b/>
            <w:bCs/>
            <w:lang w:eastAsia="x-none"/>
          </w:rPr>
          <w:t>R1-2312412</w:t>
        </w:r>
      </w:hyperlink>
      <w:r w:rsidR="00BC5BE9" w:rsidRPr="00981F88">
        <w:rPr>
          <w:b/>
          <w:bCs/>
          <w:lang w:eastAsia="x-none"/>
        </w:rPr>
        <w:tab/>
        <w:t>Discussion summary #5 for enhancements on cell DTX/DRX mechanism</w:t>
      </w:r>
      <w:r w:rsidR="00BC5BE9" w:rsidRPr="00981F88">
        <w:rPr>
          <w:b/>
          <w:bCs/>
          <w:lang w:eastAsia="x-none"/>
        </w:rPr>
        <w:tab/>
        <w:t>Moderator (Intel Corporation)</w:t>
      </w:r>
    </w:p>
    <w:p w14:paraId="0BF6300F" w14:textId="5B5FCBB4" w:rsidR="008C1EBB" w:rsidRDefault="008C1EBB" w:rsidP="00BC5BE9">
      <w:pPr>
        <w:rPr>
          <w:lang w:eastAsia="x-none"/>
        </w:rPr>
      </w:pPr>
      <w:r>
        <w:rPr>
          <w:lang w:eastAsia="x-none"/>
        </w:rPr>
        <w:t>From Thursday session</w:t>
      </w:r>
    </w:p>
    <w:p w14:paraId="32659A0E" w14:textId="77777777" w:rsidR="008C1EBB" w:rsidRPr="008C1EBB" w:rsidRDefault="008C1EBB" w:rsidP="008C1EBB">
      <w:pPr>
        <w:rPr>
          <w:highlight w:val="green"/>
          <w:lang w:eastAsia="zh-CN"/>
        </w:rPr>
      </w:pPr>
      <w:r w:rsidRPr="008C1EBB">
        <w:rPr>
          <w:highlight w:val="green"/>
          <w:lang w:eastAsia="zh-CN"/>
        </w:rPr>
        <w:t>Agreement</w:t>
      </w:r>
    </w:p>
    <w:p w14:paraId="7ED3EC31" w14:textId="77777777" w:rsidR="008C1EBB" w:rsidRDefault="008C1EBB" w:rsidP="00A67145">
      <w:pPr>
        <w:pStyle w:val="ListParagraph"/>
        <w:numPr>
          <w:ilvl w:val="0"/>
          <w:numId w:val="222"/>
        </w:numPr>
      </w:pPr>
      <w:r>
        <w:t>Adopt the follow TP for TS38.213</w:t>
      </w:r>
    </w:p>
    <w:tbl>
      <w:tblPr>
        <w:tblW w:w="5000" w:type="pct"/>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0683"/>
      </w:tblGrid>
      <w:tr w:rsidR="008C1EBB" w14:paraId="19C8FB70" w14:textId="77777777" w:rsidTr="008C1EBB">
        <w:tc>
          <w:tcPr>
            <w:tcW w:w="5000" w:type="pct"/>
            <w:tcBorders>
              <w:top w:val="double" w:sz="4" w:space="0" w:color="A5A5A5"/>
              <w:left w:val="double" w:sz="4" w:space="0" w:color="A5A5A5"/>
              <w:bottom w:val="double" w:sz="4" w:space="0" w:color="A5A5A5"/>
              <w:right w:val="double" w:sz="4" w:space="0" w:color="A5A5A5"/>
            </w:tcBorders>
            <w:hideMark/>
          </w:tcPr>
          <w:p w14:paraId="666E1FC4" w14:textId="5B3BA4D3" w:rsidR="008C1EBB" w:rsidRPr="00DA51D2" w:rsidRDefault="008C1EBB">
            <w:pPr>
              <w:pStyle w:val="BodyText"/>
              <w:tabs>
                <w:tab w:val="left" w:pos="1480"/>
              </w:tabs>
              <w:spacing w:after="0"/>
              <w:rPr>
                <w:rFonts w:ascii="Arial" w:hAnsi="Arial" w:cs="Arial"/>
                <w:sz w:val="16"/>
                <w:szCs w:val="16"/>
                <w:lang w:eastAsia="zh-CN"/>
              </w:rPr>
            </w:pPr>
            <w:r w:rsidRPr="00DA51D2">
              <w:rPr>
                <w:rFonts w:ascii="Arial" w:hAnsi="Arial" w:cs="Arial"/>
                <w:b/>
                <w:bCs/>
                <w:sz w:val="16"/>
                <w:szCs w:val="16"/>
                <w:lang w:eastAsia="zh-CN"/>
              </w:rPr>
              <w:t>Reasons for change:</w:t>
            </w:r>
            <w:r w:rsidR="00DA51D2">
              <w:rPr>
                <w:rFonts w:ascii="Arial" w:hAnsi="Arial" w:cs="Arial"/>
                <w:b/>
                <w:bCs/>
                <w:sz w:val="16"/>
                <w:szCs w:val="16"/>
                <w:lang w:eastAsia="zh-CN"/>
              </w:rPr>
              <w:t xml:space="preserve"> </w:t>
            </w:r>
            <w:r w:rsidRPr="00DA51D2">
              <w:rPr>
                <w:rFonts w:ascii="Arial" w:hAnsi="Arial" w:cs="Arial"/>
                <w:sz w:val="16"/>
                <w:szCs w:val="16"/>
                <w:lang w:eastAsia="zh-CN"/>
              </w:rPr>
              <w:t>TS38.331 specification does not provide the definition of 0 or 1 for NES-mode indication and is current missing from 3GPP specification. Field naming between TS38.212 and TS38.213 is not consistent.</w:t>
            </w:r>
          </w:p>
          <w:p w14:paraId="29C593DF" w14:textId="77777777" w:rsidR="008C1EBB" w:rsidRPr="00DA51D2" w:rsidRDefault="008C1EBB">
            <w:pPr>
              <w:pStyle w:val="BodyText"/>
              <w:tabs>
                <w:tab w:val="left" w:pos="1480"/>
              </w:tabs>
              <w:spacing w:after="0"/>
              <w:rPr>
                <w:rFonts w:ascii="Arial" w:hAnsi="Arial" w:cs="Arial"/>
                <w:b/>
                <w:bCs/>
                <w:sz w:val="16"/>
                <w:szCs w:val="16"/>
                <w:lang w:eastAsia="zh-CN"/>
              </w:rPr>
            </w:pPr>
            <w:r w:rsidRPr="00DA51D2">
              <w:rPr>
                <w:rFonts w:ascii="Arial" w:hAnsi="Arial" w:cs="Arial"/>
                <w:b/>
                <w:bCs/>
                <w:sz w:val="16"/>
                <w:szCs w:val="16"/>
                <w:lang w:eastAsia="zh-CN"/>
              </w:rPr>
              <w:t>Summary of change:</w:t>
            </w:r>
          </w:p>
          <w:p w14:paraId="1BC69A8B" w14:textId="77777777" w:rsidR="008C1EBB" w:rsidRPr="00DA51D2" w:rsidRDefault="008C1EBB">
            <w:pPr>
              <w:pStyle w:val="BodyText"/>
              <w:tabs>
                <w:tab w:val="left" w:pos="1480"/>
              </w:tabs>
              <w:spacing w:after="0"/>
              <w:rPr>
                <w:rFonts w:ascii="Arial" w:hAnsi="Arial" w:cs="Arial"/>
                <w:sz w:val="16"/>
                <w:szCs w:val="16"/>
                <w:lang w:eastAsia="zh-CN"/>
              </w:rPr>
            </w:pPr>
            <w:r w:rsidRPr="00DA51D2">
              <w:rPr>
                <w:rFonts w:ascii="Arial" w:hAnsi="Arial" w:cs="Arial"/>
                <w:sz w:val="16"/>
                <w:szCs w:val="16"/>
                <w:lang w:eastAsia="zh-CN"/>
              </w:rPr>
              <w:t>Clarify that 0 refers to NES-specific CHO execution condition is not met, and 1 refers to condition met.</w:t>
            </w:r>
          </w:p>
          <w:p w14:paraId="2D2399BE" w14:textId="77777777" w:rsidR="008C1EBB" w:rsidRPr="00DA51D2" w:rsidRDefault="008C1EBB">
            <w:pPr>
              <w:pStyle w:val="BodyText"/>
              <w:tabs>
                <w:tab w:val="left" w:pos="1480"/>
              </w:tabs>
              <w:spacing w:after="0"/>
              <w:rPr>
                <w:rFonts w:ascii="Arial" w:hAnsi="Arial" w:cs="Arial"/>
                <w:sz w:val="16"/>
                <w:szCs w:val="16"/>
                <w:lang w:eastAsia="zh-CN"/>
              </w:rPr>
            </w:pPr>
            <w:r w:rsidRPr="00DA51D2">
              <w:rPr>
                <w:rFonts w:ascii="Arial" w:hAnsi="Arial" w:cs="Arial"/>
                <w:sz w:val="16"/>
                <w:szCs w:val="16"/>
                <w:lang w:eastAsia="zh-CN"/>
              </w:rPr>
              <w:t>Align the field names between TS38.212 and TS38.213.</w:t>
            </w:r>
          </w:p>
          <w:p w14:paraId="7A228804" w14:textId="1C1E5701" w:rsidR="008C1EBB" w:rsidRPr="00DA51D2" w:rsidRDefault="008C1EBB" w:rsidP="00DA51D2">
            <w:pPr>
              <w:pStyle w:val="BodyText"/>
              <w:tabs>
                <w:tab w:val="left" w:pos="1480"/>
              </w:tabs>
              <w:spacing w:after="0"/>
              <w:rPr>
                <w:rFonts w:ascii="Arial" w:hAnsi="Arial" w:cs="Arial"/>
                <w:sz w:val="16"/>
                <w:szCs w:val="16"/>
                <w:lang w:eastAsia="zh-CN"/>
              </w:rPr>
            </w:pPr>
            <w:r w:rsidRPr="00DA51D2">
              <w:rPr>
                <w:rFonts w:ascii="Arial" w:hAnsi="Arial" w:cs="Arial"/>
                <w:b/>
                <w:bCs/>
                <w:sz w:val="16"/>
                <w:szCs w:val="16"/>
                <w:lang w:eastAsia="zh-CN"/>
              </w:rPr>
              <w:t>Consequence if not adopted:</w:t>
            </w:r>
            <w:r w:rsidR="00DA51D2">
              <w:rPr>
                <w:rFonts w:ascii="Arial" w:hAnsi="Arial" w:cs="Arial"/>
                <w:b/>
                <w:bCs/>
                <w:sz w:val="16"/>
                <w:szCs w:val="16"/>
                <w:lang w:eastAsia="zh-CN"/>
              </w:rPr>
              <w:t xml:space="preserve"> </w:t>
            </w:r>
            <w:r w:rsidRPr="00DA51D2">
              <w:rPr>
                <w:rFonts w:ascii="Arial" w:hAnsi="Arial" w:cs="Arial"/>
                <w:sz w:val="16"/>
                <w:szCs w:val="16"/>
                <w:lang w:eastAsia="zh-CN"/>
              </w:rPr>
              <w:t>Incomplete specifications.</w:t>
            </w:r>
          </w:p>
        </w:tc>
      </w:tr>
      <w:tr w:rsidR="008C1EBB" w14:paraId="0F86EB4D" w14:textId="77777777" w:rsidTr="008C1EBB">
        <w:tc>
          <w:tcPr>
            <w:tcW w:w="5000" w:type="pct"/>
            <w:tcBorders>
              <w:top w:val="double" w:sz="4" w:space="0" w:color="A5A5A5"/>
              <w:left w:val="double" w:sz="4" w:space="0" w:color="A5A5A5"/>
              <w:bottom w:val="double" w:sz="4" w:space="0" w:color="A5A5A5"/>
              <w:right w:val="double" w:sz="4" w:space="0" w:color="A5A5A5"/>
            </w:tcBorders>
          </w:tcPr>
          <w:p w14:paraId="4E62C670" w14:textId="77777777" w:rsidR="008C1EBB" w:rsidRPr="00DA51D2" w:rsidRDefault="008C1EBB">
            <w:pPr>
              <w:pStyle w:val="BodyText"/>
              <w:tabs>
                <w:tab w:val="left" w:pos="1480"/>
              </w:tabs>
              <w:spacing w:after="0"/>
              <w:rPr>
                <w:rFonts w:ascii="Arial" w:hAnsi="Arial" w:cs="Arial"/>
                <w:b/>
                <w:bCs/>
                <w:sz w:val="16"/>
                <w:szCs w:val="16"/>
                <w:lang w:eastAsia="zh-CN"/>
              </w:rPr>
            </w:pPr>
            <w:r w:rsidRPr="00DA51D2">
              <w:rPr>
                <w:rFonts w:ascii="Arial" w:hAnsi="Arial" w:cs="Arial"/>
                <w:b/>
                <w:bCs/>
                <w:sz w:val="16"/>
                <w:szCs w:val="16"/>
                <w:lang w:eastAsia="zh-CN"/>
              </w:rPr>
              <w:t>11.5</w:t>
            </w:r>
            <w:r w:rsidRPr="00DA51D2">
              <w:rPr>
                <w:rFonts w:ascii="Arial" w:hAnsi="Arial" w:cs="Arial"/>
                <w:b/>
                <w:bCs/>
                <w:sz w:val="16"/>
                <w:szCs w:val="16"/>
                <w:lang w:eastAsia="zh-CN"/>
              </w:rPr>
              <w:tab/>
              <w:t>Adaptation of cell operation</w:t>
            </w:r>
          </w:p>
          <w:p w14:paraId="3E638CDB" w14:textId="77777777" w:rsidR="008C1EBB" w:rsidRPr="00DA51D2" w:rsidRDefault="008C1EBB">
            <w:pPr>
              <w:rPr>
                <w:rFonts w:ascii="Arial" w:hAnsi="Arial" w:cs="Arial"/>
                <w:sz w:val="16"/>
                <w:szCs w:val="16"/>
                <w:lang w:eastAsia="zh-CN"/>
              </w:rPr>
            </w:pPr>
            <w:r w:rsidRPr="00DA51D2">
              <w:rPr>
                <w:rFonts w:ascii="Arial" w:hAnsi="Arial" w:cs="Arial"/>
                <w:sz w:val="16"/>
                <w:szCs w:val="16"/>
                <w:lang w:eastAsia="zh-CN"/>
              </w:rPr>
              <w:t xml:space="preserve">A UE configured for operation on a serving cell according to one or both of a cell DTX operation by </w:t>
            </w:r>
            <w:r w:rsidRPr="00DA51D2">
              <w:rPr>
                <w:rFonts w:ascii="Arial" w:hAnsi="Arial" w:cs="Arial"/>
                <w:i/>
                <w:iCs/>
                <w:sz w:val="16"/>
                <w:szCs w:val="16"/>
                <w:lang w:eastAsia="zh-CN"/>
              </w:rPr>
              <w:t>cellDTXConfig</w:t>
            </w:r>
            <w:r w:rsidRPr="00DA51D2">
              <w:rPr>
                <w:rFonts w:ascii="Arial" w:hAnsi="Arial" w:cs="Arial"/>
                <w:sz w:val="16"/>
                <w:szCs w:val="16"/>
                <w:lang w:eastAsia="zh-CN"/>
              </w:rPr>
              <w:t xml:space="preserve"> and a cell DRX operation by </w:t>
            </w:r>
            <w:r w:rsidRPr="00DA51D2">
              <w:rPr>
                <w:rFonts w:ascii="Arial" w:hAnsi="Arial" w:cs="Arial"/>
                <w:i/>
                <w:iCs/>
                <w:sz w:val="16"/>
                <w:szCs w:val="16"/>
                <w:lang w:eastAsia="zh-CN"/>
              </w:rPr>
              <w:t>cellDRXConfig</w:t>
            </w:r>
            <w:r w:rsidRPr="00DA51D2">
              <w:rPr>
                <w:rFonts w:ascii="Arial" w:hAnsi="Arial" w:cs="Arial"/>
                <w:sz w:val="16"/>
                <w:szCs w:val="16"/>
                <w:lang w:eastAsia="zh-CN"/>
              </w:rPr>
              <w:t xml:space="preserve"> for the serving cell </w:t>
            </w:r>
            <w:r w:rsidRPr="00DA51D2">
              <w:rPr>
                <w:rFonts w:ascii="Arial" w:hAnsi="Arial" w:cs="Arial"/>
                <w:sz w:val="16"/>
                <w:szCs w:val="16"/>
              </w:rPr>
              <w:t>[11, TS 38.331],</w:t>
            </w:r>
            <w:r w:rsidRPr="00DA51D2">
              <w:rPr>
                <w:rFonts w:ascii="Arial" w:hAnsi="Arial" w:cs="Arial"/>
                <w:sz w:val="16"/>
                <w:szCs w:val="16"/>
                <w:lang w:eastAsia="zh-CN"/>
              </w:rPr>
              <w:t xml:space="preserve"> </w:t>
            </w:r>
            <w:r w:rsidRPr="00DA51D2">
              <w:rPr>
                <w:rFonts w:ascii="Arial" w:hAnsi="Arial" w:cs="Arial"/>
                <w:sz w:val="16"/>
                <w:szCs w:val="16"/>
              </w:rPr>
              <w:t xml:space="preserve">can be additionally provided by </w:t>
            </w:r>
            <w:r w:rsidRPr="00DA51D2">
              <w:rPr>
                <w:rFonts w:ascii="Arial" w:hAnsi="Arial" w:cs="Arial"/>
                <w:i/>
                <w:iCs/>
                <w:sz w:val="16"/>
                <w:szCs w:val="16"/>
              </w:rPr>
              <w:t>dci-Format2-9</w:t>
            </w:r>
            <w:r w:rsidRPr="00DA51D2">
              <w:rPr>
                <w:rFonts w:ascii="Arial" w:hAnsi="Arial" w:cs="Arial"/>
                <w:sz w:val="16"/>
                <w:szCs w:val="16"/>
              </w:rPr>
              <w:t xml:space="preserve"> a search space set to monitor PDCCH for detection of DCI format 2_9 </w:t>
            </w:r>
            <w:r w:rsidRPr="00DA51D2">
              <w:rPr>
                <w:rFonts w:ascii="Arial" w:hAnsi="Arial" w:cs="Arial"/>
                <w:sz w:val="16"/>
                <w:szCs w:val="16"/>
                <w:lang w:eastAsia="zh-CN"/>
              </w:rPr>
              <w:t xml:space="preserve">according to a common search space as described in clause 10.1, </w:t>
            </w:r>
            <w:r w:rsidRPr="00DA51D2">
              <w:rPr>
                <w:rFonts w:ascii="Arial" w:hAnsi="Arial" w:cs="Arial"/>
                <w:iCs/>
                <w:sz w:val="16"/>
                <w:szCs w:val="16"/>
              </w:rPr>
              <w:t xml:space="preserve">and </w:t>
            </w:r>
            <w:r w:rsidRPr="00DA51D2">
              <w:rPr>
                <w:rFonts w:ascii="Arial" w:hAnsi="Arial" w:cs="Arial"/>
                <w:sz w:val="16"/>
                <w:szCs w:val="16"/>
              </w:rPr>
              <w:t xml:space="preserve">a location in DCI format 2_9 by </w:t>
            </w:r>
            <w:r w:rsidRPr="00DA51D2">
              <w:rPr>
                <w:rFonts w:ascii="Arial" w:hAnsi="Arial" w:cs="Arial"/>
                <w:i/>
                <w:iCs/>
                <w:strike/>
                <w:color w:val="FF0000"/>
                <w:sz w:val="16"/>
                <w:szCs w:val="16"/>
              </w:rPr>
              <w:t>position-inDCI-NES</w:t>
            </w:r>
            <w:r w:rsidRPr="00DA51D2">
              <w:rPr>
                <w:rFonts w:ascii="Arial" w:hAnsi="Arial" w:cs="Arial"/>
                <w:i/>
                <w:iCs/>
                <w:color w:val="FF0000"/>
                <w:sz w:val="16"/>
                <w:szCs w:val="16"/>
                <w:u w:val="single"/>
              </w:rPr>
              <w:t>positionInDCI-cellDTRX</w:t>
            </w:r>
            <w:r w:rsidRPr="00DA51D2">
              <w:rPr>
                <w:rFonts w:ascii="Arial" w:hAnsi="Arial" w:cs="Arial"/>
                <w:sz w:val="16"/>
                <w:szCs w:val="16"/>
              </w:rPr>
              <w:t xml:space="preserve"> of a cell DTX/DRX </w:t>
            </w:r>
            <w:r w:rsidRPr="00DA51D2">
              <w:rPr>
                <w:rFonts w:ascii="Arial" w:hAnsi="Arial" w:cs="Arial"/>
                <w:color w:val="FF0000"/>
                <w:sz w:val="16"/>
                <w:szCs w:val="16"/>
                <w:u w:val="single"/>
              </w:rPr>
              <w:t>indication</w:t>
            </w:r>
            <w:r w:rsidRPr="00DA51D2">
              <w:rPr>
                <w:rFonts w:ascii="Arial" w:hAnsi="Arial" w:cs="Arial"/>
                <w:strike/>
                <w:color w:val="FF0000"/>
                <w:sz w:val="16"/>
                <w:szCs w:val="16"/>
              </w:rPr>
              <w:t>indicator</w:t>
            </w:r>
            <w:r w:rsidRPr="00DA51D2">
              <w:rPr>
                <w:rFonts w:ascii="Arial" w:hAnsi="Arial" w:cs="Arial"/>
                <w:color w:val="FF0000"/>
                <w:sz w:val="16"/>
                <w:szCs w:val="16"/>
              </w:rPr>
              <w:t xml:space="preserve"> </w:t>
            </w:r>
            <w:r w:rsidRPr="00DA51D2">
              <w:rPr>
                <w:rFonts w:ascii="Arial" w:hAnsi="Arial" w:cs="Arial"/>
                <w:sz w:val="16"/>
                <w:szCs w:val="16"/>
              </w:rPr>
              <w:t>field for the serving cell</w:t>
            </w:r>
            <w:r w:rsidRPr="00DA51D2">
              <w:rPr>
                <w:rFonts w:ascii="Arial" w:hAnsi="Arial" w:cs="Arial"/>
                <w:sz w:val="16"/>
                <w:szCs w:val="16"/>
                <w:lang w:eastAsia="zh-CN"/>
              </w:rPr>
              <w:t xml:space="preserve"> </w:t>
            </w:r>
            <w:r w:rsidRPr="00DA51D2">
              <w:rPr>
                <w:rFonts w:ascii="Arial" w:hAnsi="Arial" w:cs="Arial"/>
                <w:color w:val="FF0000"/>
                <w:sz w:val="16"/>
                <w:szCs w:val="16"/>
                <w:u w:val="single"/>
              </w:rPr>
              <w:t>and/or a NES-</w:t>
            </w:r>
            <w:r w:rsidRPr="00DA51D2">
              <w:rPr>
                <w:rFonts w:ascii="Arial" w:eastAsia="PMingLiU" w:hAnsi="Arial" w:cs="Arial"/>
                <w:color w:val="FF0000"/>
                <w:sz w:val="16"/>
                <w:szCs w:val="16"/>
                <w:u w:val="single"/>
                <w:lang w:eastAsia="zh-TW"/>
              </w:rPr>
              <w:t>mode</w:t>
            </w:r>
            <w:r w:rsidRPr="00DA51D2">
              <w:rPr>
                <w:rFonts w:ascii="Arial" w:hAnsi="Arial" w:cs="Arial"/>
                <w:color w:val="FF0000"/>
                <w:sz w:val="16"/>
                <w:szCs w:val="16"/>
                <w:u w:val="single"/>
              </w:rPr>
              <w:t xml:space="preserve"> indication field for Pcell</w:t>
            </w:r>
          </w:p>
          <w:p w14:paraId="0C1F830E" w14:textId="77777777" w:rsidR="008C1EBB" w:rsidRPr="00DA51D2" w:rsidRDefault="008C1EBB">
            <w:pPr>
              <w:pStyle w:val="B1"/>
              <w:rPr>
                <w:rFonts w:ascii="Arial" w:hAnsi="Arial" w:cs="Arial"/>
                <w:sz w:val="16"/>
                <w:szCs w:val="16"/>
              </w:rPr>
            </w:pPr>
            <w:r w:rsidRPr="00DA51D2">
              <w:rPr>
                <w:rFonts w:ascii="Arial" w:hAnsi="Arial" w:cs="Arial"/>
                <w:sz w:val="16"/>
                <w:szCs w:val="16"/>
              </w:rPr>
              <w:t>-</w:t>
            </w:r>
            <w:r w:rsidRPr="00DA51D2">
              <w:rPr>
                <w:rFonts w:ascii="Arial" w:hAnsi="Arial" w:cs="Arial"/>
                <w:sz w:val="16"/>
                <w:szCs w:val="16"/>
              </w:rPr>
              <w:tab/>
              <w:t xml:space="preserve">if the UE is configured with both cell DTX operation and cell DRX operation for the serving cell </w:t>
            </w:r>
            <w:r w:rsidRPr="00DA51D2">
              <w:rPr>
                <w:rFonts w:ascii="Arial" w:hAnsi="Arial" w:cs="Arial"/>
                <w:color w:val="FF0000"/>
                <w:sz w:val="16"/>
                <w:szCs w:val="16"/>
              </w:rPr>
              <w:t xml:space="preserve">and </w:t>
            </w:r>
            <w:r w:rsidRPr="00DA51D2">
              <w:rPr>
                <w:rFonts w:ascii="Arial" w:hAnsi="Arial" w:cs="Arial"/>
                <w:color w:val="FF0000"/>
                <w:sz w:val="16"/>
                <w:szCs w:val="16"/>
                <w:u w:val="single"/>
              </w:rPr>
              <w:t>if [</w:t>
            </w:r>
            <w:r w:rsidRPr="00DA51D2">
              <w:rPr>
                <w:rFonts w:ascii="Arial" w:hAnsi="Arial" w:cs="Arial"/>
                <w:i/>
                <w:color w:val="FF0000"/>
                <w:sz w:val="16"/>
                <w:szCs w:val="16"/>
                <w:u w:val="single"/>
              </w:rPr>
              <w:t>cellDTXDRX-L1activation</w:t>
            </w:r>
            <w:r w:rsidRPr="00DA51D2">
              <w:rPr>
                <w:rFonts w:ascii="Arial" w:hAnsi="Arial" w:cs="Arial"/>
                <w:iCs/>
                <w:color w:val="FF0000"/>
                <w:sz w:val="16"/>
                <w:szCs w:val="16"/>
                <w:u w:val="single"/>
              </w:rPr>
              <w:t>] is configured</w:t>
            </w:r>
            <w:r w:rsidRPr="00DA51D2">
              <w:rPr>
                <w:rFonts w:ascii="Arial" w:hAnsi="Arial" w:cs="Arial"/>
                <w:sz w:val="16"/>
                <w:szCs w:val="16"/>
              </w:rPr>
              <w:t xml:space="preserve">, the cell DTX/DRX </w:t>
            </w:r>
            <w:r w:rsidRPr="00DA51D2">
              <w:rPr>
                <w:rFonts w:ascii="Arial" w:hAnsi="Arial" w:cs="Arial"/>
                <w:color w:val="FF0000"/>
                <w:sz w:val="16"/>
                <w:szCs w:val="16"/>
                <w:u w:val="single"/>
              </w:rPr>
              <w:t>indication</w:t>
            </w:r>
            <w:r w:rsidRPr="00DA51D2">
              <w:rPr>
                <w:rFonts w:ascii="Arial" w:hAnsi="Arial" w:cs="Arial"/>
                <w:strike/>
                <w:color w:val="FF0000"/>
                <w:sz w:val="16"/>
                <w:szCs w:val="16"/>
              </w:rPr>
              <w:t>indicator</w:t>
            </w:r>
            <w:r w:rsidRPr="00DA51D2">
              <w:rPr>
                <w:rFonts w:ascii="Arial" w:hAnsi="Arial" w:cs="Arial"/>
                <w:sz w:val="16"/>
                <w:szCs w:val="16"/>
              </w:rPr>
              <w:t xml:space="preserve"> field includes two bits where the first bit indicates the cell DTX operation and the second bit indicates the cell DRX operation</w:t>
            </w:r>
          </w:p>
          <w:p w14:paraId="2FF36D3B" w14:textId="77777777" w:rsidR="008C1EBB" w:rsidRPr="00DA51D2" w:rsidRDefault="008C1EBB">
            <w:pPr>
              <w:pStyle w:val="B1"/>
              <w:rPr>
                <w:rFonts w:ascii="Arial" w:hAnsi="Arial" w:cs="Arial"/>
                <w:sz w:val="16"/>
                <w:szCs w:val="16"/>
              </w:rPr>
            </w:pPr>
            <w:r w:rsidRPr="00DA51D2">
              <w:rPr>
                <w:rFonts w:ascii="Arial" w:hAnsi="Arial" w:cs="Arial"/>
                <w:sz w:val="16"/>
                <w:szCs w:val="16"/>
              </w:rPr>
              <w:t>-</w:t>
            </w:r>
            <w:r w:rsidRPr="00DA51D2">
              <w:rPr>
                <w:rFonts w:ascii="Arial" w:hAnsi="Arial" w:cs="Arial"/>
                <w:sz w:val="16"/>
                <w:szCs w:val="16"/>
              </w:rPr>
              <w:tab/>
              <w:t xml:space="preserve">if the UE is configured with only one of the cell DTX operation and cell DRX operation for the serving cell, the cell DTX/DRX </w:t>
            </w:r>
            <w:r w:rsidRPr="00DA51D2">
              <w:rPr>
                <w:rFonts w:ascii="Arial" w:hAnsi="Arial" w:cs="Arial"/>
                <w:color w:val="FF0000"/>
                <w:sz w:val="16"/>
                <w:szCs w:val="16"/>
                <w:u w:val="single"/>
              </w:rPr>
              <w:t>indication</w:t>
            </w:r>
            <w:r w:rsidRPr="00DA51D2">
              <w:rPr>
                <w:rFonts w:ascii="Arial" w:hAnsi="Arial" w:cs="Arial"/>
                <w:strike/>
                <w:color w:val="FF0000"/>
                <w:sz w:val="16"/>
                <w:szCs w:val="16"/>
              </w:rPr>
              <w:t>indicator</w:t>
            </w:r>
            <w:r w:rsidRPr="00DA51D2">
              <w:rPr>
                <w:rFonts w:ascii="Arial" w:hAnsi="Arial" w:cs="Arial"/>
                <w:sz w:val="16"/>
                <w:szCs w:val="16"/>
              </w:rPr>
              <w:t xml:space="preserve"> field includes one bit indicating one of the cell DTX operation and cell DRX operation, respectively, for the serving cell</w:t>
            </w:r>
          </w:p>
          <w:p w14:paraId="28B22C4E" w14:textId="77777777" w:rsidR="008C1EBB" w:rsidRPr="00DA51D2" w:rsidRDefault="008C1EBB">
            <w:pPr>
              <w:pStyle w:val="B1"/>
              <w:rPr>
                <w:rFonts w:ascii="Arial" w:hAnsi="Arial" w:cs="Arial"/>
                <w:sz w:val="16"/>
                <w:szCs w:val="16"/>
              </w:rPr>
            </w:pPr>
            <w:r w:rsidRPr="00DA51D2">
              <w:rPr>
                <w:rFonts w:ascii="Arial" w:hAnsi="Arial" w:cs="Arial"/>
                <w:sz w:val="16"/>
                <w:szCs w:val="16"/>
              </w:rPr>
              <w:t>-</w:t>
            </w:r>
            <w:r w:rsidRPr="00DA51D2">
              <w:rPr>
                <w:rFonts w:ascii="Arial" w:hAnsi="Arial" w:cs="Arial"/>
                <w:sz w:val="16"/>
                <w:szCs w:val="16"/>
              </w:rPr>
              <w:tab/>
              <w:t xml:space="preserve">a '0' value for a bit of the cell DTX/DRX </w:t>
            </w:r>
            <w:r w:rsidRPr="00DA51D2">
              <w:rPr>
                <w:rFonts w:ascii="Arial" w:hAnsi="Arial" w:cs="Arial"/>
                <w:color w:val="FF0000"/>
                <w:sz w:val="16"/>
                <w:szCs w:val="16"/>
                <w:u w:val="single"/>
              </w:rPr>
              <w:t>indication</w:t>
            </w:r>
            <w:r w:rsidRPr="00DA51D2">
              <w:rPr>
                <w:rFonts w:ascii="Arial" w:hAnsi="Arial" w:cs="Arial"/>
                <w:strike/>
                <w:color w:val="FF0000"/>
                <w:sz w:val="16"/>
                <w:szCs w:val="16"/>
              </w:rPr>
              <w:t>indicator</w:t>
            </w:r>
            <w:r w:rsidRPr="00DA51D2">
              <w:rPr>
                <w:rFonts w:ascii="Arial" w:hAnsi="Arial" w:cs="Arial"/>
                <w:sz w:val="16"/>
                <w:szCs w:val="16"/>
              </w:rPr>
              <w:t xml:space="preserve"> field indicates </w:t>
            </w:r>
            <w:r w:rsidRPr="00DA51D2">
              <w:rPr>
                <w:rFonts w:ascii="Arial" w:hAnsi="Arial" w:cs="Arial"/>
                <w:sz w:val="16"/>
                <w:szCs w:val="16"/>
                <w:lang w:eastAsia="zh-CN"/>
              </w:rPr>
              <w:t xml:space="preserve">deactivation of cell </w:t>
            </w:r>
            <w:r w:rsidRPr="00DA51D2">
              <w:rPr>
                <w:rFonts w:ascii="Arial" w:hAnsi="Arial" w:cs="Arial"/>
                <w:sz w:val="16"/>
                <w:szCs w:val="16"/>
              </w:rPr>
              <w:t>DTX or of cell DRX</w:t>
            </w:r>
          </w:p>
          <w:p w14:paraId="565A64D5" w14:textId="77777777" w:rsidR="008C1EBB" w:rsidRPr="00DA51D2" w:rsidRDefault="008C1EBB">
            <w:pPr>
              <w:pStyle w:val="B1"/>
              <w:rPr>
                <w:rFonts w:ascii="Arial" w:hAnsi="Arial" w:cs="Arial"/>
                <w:sz w:val="16"/>
                <w:szCs w:val="16"/>
              </w:rPr>
            </w:pPr>
            <w:r w:rsidRPr="00DA51D2">
              <w:rPr>
                <w:rFonts w:ascii="Arial" w:hAnsi="Arial" w:cs="Arial"/>
                <w:sz w:val="16"/>
                <w:szCs w:val="16"/>
              </w:rPr>
              <w:t>-</w:t>
            </w:r>
            <w:r w:rsidRPr="00DA51D2">
              <w:rPr>
                <w:rFonts w:ascii="Arial" w:hAnsi="Arial" w:cs="Arial"/>
                <w:sz w:val="16"/>
                <w:szCs w:val="16"/>
              </w:rPr>
              <w:tab/>
              <w:t xml:space="preserve">a '1' value for a bit of the cell DTX/DRX </w:t>
            </w:r>
            <w:r w:rsidRPr="00DA51D2">
              <w:rPr>
                <w:rFonts w:ascii="Arial" w:hAnsi="Arial" w:cs="Arial"/>
                <w:color w:val="FF0000"/>
                <w:sz w:val="16"/>
                <w:szCs w:val="16"/>
                <w:u w:val="single"/>
              </w:rPr>
              <w:t>indication</w:t>
            </w:r>
            <w:r w:rsidRPr="00DA51D2">
              <w:rPr>
                <w:rFonts w:ascii="Arial" w:hAnsi="Arial" w:cs="Arial"/>
                <w:strike/>
                <w:color w:val="FF0000"/>
                <w:sz w:val="16"/>
                <w:szCs w:val="16"/>
              </w:rPr>
              <w:t>indicator</w:t>
            </w:r>
            <w:r w:rsidRPr="00DA51D2">
              <w:rPr>
                <w:rFonts w:ascii="Arial" w:hAnsi="Arial" w:cs="Arial"/>
                <w:sz w:val="16"/>
                <w:szCs w:val="16"/>
              </w:rPr>
              <w:t xml:space="preserve"> field indicates activation of cell DTX or of cell DRX</w:t>
            </w:r>
          </w:p>
          <w:p w14:paraId="64DB1791" w14:textId="77777777" w:rsidR="008C1EBB" w:rsidRPr="00DA51D2" w:rsidRDefault="008C1EBB">
            <w:pPr>
              <w:pStyle w:val="B1"/>
              <w:rPr>
                <w:rFonts w:ascii="Arial" w:hAnsi="Arial" w:cs="Arial"/>
                <w:color w:val="FF0000"/>
                <w:sz w:val="16"/>
                <w:szCs w:val="16"/>
                <w:u w:val="single"/>
              </w:rPr>
            </w:pPr>
            <w:r w:rsidRPr="00DA51D2">
              <w:rPr>
                <w:rFonts w:ascii="Arial" w:hAnsi="Arial" w:cs="Arial"/>
                <w:color w:val="FF0000"/>
                <w:sz w:val="16"/>
                <w:szCs w:val="16"/>
                <w:u w:val="single"/>
              </w:rPr>
              <w:t>-</w:t>
            </w:r>
            <w:r w:rsidRPr="00DA51D2">
              <w:rPr>
                <w:rFonts w:ascii="Arial" w:hAnsi="Arial" w:cs="Arial"/>
                <w:color w:val="FF0000"/>
                <w:sz w:val="16"/>
                <w:szCs w:val="16"/>
                <w:u w:val="single"/>
              </w:rPr>
              <w:tab/>
              <w:t xml:space="preserve">if </w:t>
            </w:r>
            <w:r w:rsidRPr="00DA51D2">
              <w:rPr>
                <w:rFonts w:ascii="Arial" w:eastAsia="DengXian" w:hAnsi="Arial" w:cs="Arial"/>
                <w:i/>
                <w:color w:val="FF0000"/>
                <w:sz w:val="16"/>
                <w:szCs w:val="16"/>
                <w:u w:val="single"/>
                <w:lang w:eastAsia="zh-CN"/>
              </w:rPr>
              <w:t>nesEvent</w:t>
            </w:r>
            <w:r w:rsidRPr="00DA51D2">
              <w:rPr>
                <w:rFonts w:ascii="Arial" w:hAnsi="Arial" w:cs="Arial"/>
                <w:color w:val="FF0000"/>
                <w:sz w:val="16"/>
                <w:szCs w:val="16"/>
                <w:u w:val="single"/>
              </w:rPr>
              <w:t xml:space="preserve"> is configured, the NES-</w:t>
            </w:r>
            <w:r w:rsidRPr="00DA51D2">
              <w:rPr>
                <w:rFonts w:ascii="Arial" w:eastAsia="Microsoft JhengHei" w:hAnsi="Arial" w:cs="Arial"/>
                <w:color w:val="FF0000"/>
                <w:sz w:val="16"/>
                <w:szCs w:val="16"/>
                <w:u w:val="single"/>
                <w:lang w:eastAsia="zh-TW"/>
              </w:rPr>
              <w:t>mode</w:t>
            </w:r>
            <w:r w:rsidRPr="00DA51D2">
              <w:rPr>
                <w:rFonts w:ascii="Arial" w:hAnsi="Arial" w:cs="Arial"/>
                <w:color w:val="FF0000"/>
                <w:sz w:val="16"/>
                <w:szCs w:val="16"/>
                <w:u w:val="single"/>
              </w:rPr>
              <w:t xml:space="preserve"> indication field includes one bit indicating NES-specific CHO execution condition, as described in </w:t>
            </w:r>
            <w:r w:rsidRPr="00DA51D2">
              <w:rPr>
                <w:rFonts w:ascii="Arial" w:hAnsi="Arial" w:cs="Arial"/>
                <w:color w:val="FF0000"/>
                <w:sz w:val="16"/>
                <w:szCs w:val="16"/>
                <w:u w:val="single"/>
              </w:rPr>
              <w:lastRenderedPageBreak/>
              <w:t>[12, TS 38.331]</w:t>
            </w:r>
          </w:p>
          <w:p w14:paraId="44240DDC" w14:textId="77777777" w:rsidR="008C1EBB" w:rsidRPr="00DA51D2" w:rsidRDefault="008C1EBB">
            <w:pPr>
              <w:pStyle w:val="B1"/>
              <w:rPr>
                <w:rFonts w:ascii="Arial" w:hAnsi="Arial" w:cs="Arial"/>
                <w:color w:val="FF0000"/>
                <w:sz w:val="16"/>
                <w:szCs w:val="16"/>
                <w:u w:val="single"/>
              </w:rPr>
            </w:pPr>
            <w:r w:rsidRPr="00DA51D2">
              <w:rPr>
                <w:rFonts w:ascii="Arial" w:hAnsi="Arial" w:cs="Arial"/>
                <w:color w:val="FF0000"/>
                <w:sz w:val="16"/>
                <w:szCs w:val="16"/>
                <w:u w:val="single"/>
              </w:rPr>
              <w:t>-</w:t>
            </w:r>
            <w:r w:rsidRPr="00DA51D2">
              <w:rPr>
                <w:rFonts w:ascii="Arial" w:hAnsi="Arial" w:cs="Arial"/>
                <w:color w:val="FF0000"/>
                <w:sz w:val="16"/>
                <w:szCs w:val="16"/>
                <w:u w:val="single"/>
              </w:rPr>
              <w:tab/>
              <w:t>a ‘0’ value for a bit of the NES-mode indication field, indicates NES-specific CHO execution condition is disabled [12, TS 38.331]</w:t>
            </w:r>
          </w:p>
          <w:p w14:paraId="1AC1953C" w14:textId="52FC8F23" w:rsidR="008C1EBB" w:rsidRPr="00DA51D2" w:rsidRDefault="008C1EBB" w:rsidP="00DA51D2">
            <w:pPr>
              <w:pStyle w:val="B1"/>
              <w:rPr>
                <w:rFonts w:ascii="Arial" w:hAnsi="Arial" w:cs="Arial"/>
                <w:sz w:val="16"/>
                <w:szCs w:val="16"/>
                <w:lang w:eastAsia="zh-CN"/>
              </w:rPr>
            </w:pPr>
            <w:r w:rsidRPr="00DA51D2">
              <w:rPr>
                <w:rFonts w:ascii="Arial" w:hAnsi="Arial" w:cs="Arial"/>
                <w:color w:val="FF0000"/>
                <w:sz w:val="16"/>
                <w:szCs w:val="16"/>
                <w:u w:val="single"/>
              </w:rPr>
              <w:tab/>
              <w:t>a '1' value for a bit of the NES-mode indication field, indicates NES-specific CHO execution condition is enabled [12, TS 38.331]</w:t>
            </w:r>
          </w:p>
        </w:tc>
      </w:tr>
    </w:tbl>
    <w:p w14:paraId="30057B51" w14:textId="77777777" w:rsidR="008C1EBB" w:rsidRDefault="008C1EBB" w:rsidP="00DA51D2"/>
    <w:p w14:paraId="5D58AAB1" w14:textId="22BD8760" w:rsidR="008C1EBB" w:rsidRDefault="008C1EBB" w:rsidP="00DA51D2">
      <w:pPr>
        <w:rPr>
          <w:highlight w:val="green"/>
        </w:rPr>
      </w:pPr>
      <w:r>
        <w:rPr>
          <w:highlight w:val="green"/>
        </w:rPr>
        <w:t>Agreement</w:t>
      </w:r>
    </w:p>
    <w:p w14:paraId="2D992118" w14:textId="77777777" w:rsidR="008C1EBB" w:rsidRDefault="008C1EBB" w:rsidP="00A67145">
      <w:pPr>
        <w:pStyle w:val="ListParagraph"/>
        <w:numPr>
          <w:ilvl w:val="0"/>
          <w:numId w:val="222"/>
        </w:numPr>
        <w:rPr>
          <w:lang w:eastAsia="zh-CN"/>
        </w:rPr>
      </w:pPr>
      <w:r>
        <w:rPr>
          <w:lang w:eastAsia="zh-CN"/>
        </w:rPr>
        <w:t>Adopt the following TP for TS38.214</w:t>
      </w:r>
    </w:p>
    <w:tbl>
      <w:tblPr>
        <w:tblW w:w="5000" w:type="pct"/>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0683"/>
      </w:tblGrid>
      <w:tr w:rsidR="008C1EBB" w14:paraId="740DC811" w14:textId="77777777" w:rsidTr="00DA51D2">
        <w:trPr>
          <w:trHeight w:val="238"/>
        </w:trPr>
        <w:tc>
          <w:tcPr>
            <w:tcW w:w="5000" w:type="pct"/>
            <w:tcBorders>
              <w:top w:val="double" w:sz="4" w:space="0" w:color="A5A5A5"/>
              <w:left w:val="double" w:sz="4" w:space="0" w:color="A5A5A5"/>
              <w:bottom w:val="double" w:sz="4" w:space="0" w:color="A5A5A5"/>
              <w:right w:val="double" w:sz="4" w:space="0" w:color="A5A5A5"/>
            </w:tcBorders>
            <w:hideMark/>
          </w:tcPr>
          <w:p w14:paraId="0256A378" w14:textId="30B8A363" w:rsidR="008C1EBB" w:rsidRPr="00DA51D2" w:rsidRDefault="008C1EBB" w:rsidP="00DA51D2">
            <w:pPr>
              <w:rPr>
                <w:rFonts w:ascii="Arial" w:hAnsi="Arial" w:cs="Arial"/>
                <w:sz w:val="16"/>
                <w:szCs w:val="16"/>
              </w:rPr>
            </w:pPr>
            <w:r w:rsidRPr="00DA51D2">
              <w:rPr>
                <w:rFonts w:ascii="Arial" w:hAnsi="Arial" w:cs="Arial"/>
                <w:b/>
                <w:bCs/>
                <w:sz w:val="16"/>
                <w:szCs w:val="16"/>
              </w:rPr>
              <w:t>Reasons for change:</w:t>
            </w:r>
            <w:r w:rsidR="00DA51D2">
              <w:rPr>
                <w:rFonts w:ascii="Arial" w:hAnsi="Arial" w:cs="Arial"/>
                <w:b/>
                <w:bCs/>
                <w:sz w:val="16"/>
                <w:szCs w:val="16"/>
              </w:rPr>
              <w:t xml:space="preserve"> </w:t>
            </w:r>
            <w:r w:rsidRPr="00DA51D2">
              <w:rPr>
                <w:rFonts w:ascii="Arial" w:hAnsi="Arial" w:cs="Arial"/>
                <w:sz w:val="16"/>
                <w:szCs w:val="16"/>
              </w:rPr>
              <w:t xml:space="preserve">For a CSI reporting, </w:t>
            </w:r>
            <w:r w:rsidRPr="00DA51D2">
              <w:rPr>
                <w:rFonts w:ascii="Arial" w:hAnsi="Arial" w:cs="Arial"/>
                <w:sz w:val="16"/>
                <w:szCs w:val="16"/>
                <w:lang w:eastAsia="zh-CN"/>
              </w:rPr>
              <w:t xml:space="preserve">the </w:t>
            </w:r>
            <w:r w:rsidRPr="00DA51D2">
              <w:rPr>
                <w:rFonts w:ascii="Arial" w:hAnsi="Arial" w:cs="Arial"/>
                <w:color w:val="000000"/>
                <w:sz w:val="16"/>
                <w:szCs w:val="16"/>
              </w:rPr>
              <w:t>most recent CSI-RS</w:t>
            </w:r>
            <w:r w:rsidRPr="00DA51D2">
              <w:rPr>
                <w:rFonts w:ascii="Arial" w:hAnsi="Arial" w:cs="Arial"/>
                <w:color w:val="000000"/>
                <w:sz w:val="16"/>
                <w:szCs w:val="16"/>
                <w:lang w:eastAsia="zh-CN"/>
              </w:rPr>
              <w:t xml:space="preserve"> measurement occasion is unclear when cell DTX is activated by RRC or DCI format 2-9</w:t>
            </w:r>
            <w:r w:rsidRPr="00DA51D2">
              <w:rPr>
                <w:rFonts w:ascii="Arial" w:hAnsi="Arial" w:cs="Arial"/>
                <w:sz w:val="16"/>
                <w:szCs w:val="16"/>
              </w:rPr>
              <w:t>.</w:t>
            </w:r>
          </w:p>
          <w:p w14:paraId="6C1357A4" w14:textId="3F831300" w:rsidR="008C1EBB" w:rsidRPr="00DA51D2" w:rsidRDefault="008C1EBB" w:rsidP="00DA51D2">
            <w:pPr>
              <w:rPr>
                <w:rFonts w:ascii="Arial" w:hAnsi="Arial" w:cs="Arial"/>
                <w:color w:val="000000"/>
                <w:sz w:val="16"/>
                <w:szCs w:val="16"/>
                <w:lang w:eastAsia="zh-CN"/>
              </w:rPr>
            </w:pPr>
            <w:r w:rsidRPr="00DA51D2">
              <w:rPr>
                <w:rFonts w:ascii="Arial" w:hAnsi="Arial" w:cs="Arial"/>
                <w:b/>
                <w:bCs/>
                <w:sz w:val="16"/>
                <w:szCs w:val="16"/>
              </w:rPr>
              <w:t>Summary of change:</w:t>
            </w:r>
            <w:r w:rsidR="00DA51D2">
              <w:rPr>
                <w:rFonts w:ascii="Arial" w:hAnsi="Arial" w:cs="Arial"/>
                <w:b/>
                <w:bCs/>
                <w:sz w:val="16"/>
                <w:szCs w:val="16"/>
              </w:rPr>
              <w:t xml:space="preserve"> </w:t>
            </w:r>
            <w:r w:rsidRPr="00DA51D2">
              <w:rPr>
                <w:rFonts w:ascii="Arial" w:hAnsi="Arial" w:cs="Arial"/>
                <w:color w:val="000000"/>
                <w:sz w:val="16"/>
                <w:szCs w:val="16"/>
                <w:lang w:eastAsia="zh-CN"/>
              </w:rPr>
              <w:t xml:space="preserve">When cell DTX is activated by RRC or DCI format 2-9, the </w:t>
            </w:r>
            <w:r w:rsidRPr="00DA51D2">
              <w:rPr>
                <w:rFonts w:ascii="Arial" w:hAnsi="Arial" w:cs="Arial"/>
                <w:color w:val="000000"/>
                <w:sz w:val="16"/>
                <w:szCs w:val="16"/>
              </w:rPr>
              <w:t>most recent CSI-RS</w:t>
            </w:r>
            <w:r w:rsidRPr="00DA51D2">
              <w:rPr>
                <w:rFonts w:ascii="Arial" w:hAnsi="Arial" w:cs="Arial"/>
                <w:color w:val="000000"/>
                <w:sz w:val="16"/>
                <w:szCs w:val="16"/>
                <w:lang w:eastAsia="zh-CN"/>
              </w:rPr>
              <w:t xml:space="preserve"> measurement occasion occurs in active period of cell DTX.</w:t>
            </w:r>
          </w:p>
          <w:p w14:paraId="17A019E3" w14:textId="23B48FAC" w:rsidR="008C1EBB" w:rsidRPr="00DA51D2" w:rsidRDefault="008C1EBB" w:rsidP="00DA51D2">
            <w:pPr>
              <w:rPr>
                <w:rFonts w:ascii="Arial" w:hAnsi="Arial" w:cs="Arial"/>
                <w:sz w:val="16"/>
                <w:szCs w:val="16"/>
              </w:rPr>
            </w:pPr>
            <w:r w:rsidRPr="00DA51D2">
              <w:rPr>
                <w:rFonts w:ascii="Arial" w:hAnsi="Arial" w:cs="Arial"/>
                <w:b/>
                <w:bCs/>
                <w:sz w:val="16"/>
                <w:szCs w:val="16"/>
              </w:rPr>
              <w:t>Consequences if not approved:</w:t>
            </w:r>
            <w:r w:rsidR="00DA51D2">
              <w:rPr>
                <w:rFonts w:ascii="Arial" w:hAnsi="Arial" w:cs="Arial"/>
                <w:b/>
                <w:bCs/>
                <w:sz w:val="16"/>
                <w:szCs w:val="16"/>
              </w:rPr>
              <w:t xml:space="preserve"> </w:t>
            </w:r>
            <w:r w:rsidRPr="00DA51D2">
              <w:rPr>
                <w:rFonts w:ascii="Arial" w:hAnsi="Arial" w:cs="Arial"/>
                <w:sz w:val="16"/>
                <w:szCs w:val="16"/>
              </w:rPr>
              <w:t xml:space="preserve">For a CSI reporting, </w:t>
            </w:r>
            <w:r w:rsidRPr="00DA51D2">
              <w:rPr>
                <w:rFonts w:ascii="Arial" w:hAnsi="Arial" w:cs="Arial"/>
                <w:sz w:val="16"/>
                <w:szCs w:val="16"/>
                <w:lang w:eastAsia="zh-CN"/>
              </w:rPr>
              <w:t xml:space="preserve">the </w:t>
            </w:r>
            <w:r w:rsidRPr="00DA51D2">
              <w:rPr>
                <w:rFonts w:ascii="Arial" w:hAnsi="Arial" w:cs="Arial"/>
                <w:color w:val="000000"/>
                <w:sz w:val="16"/>
                <w:szCs w:val="16"/>
              </w:rPr>
              <w:t>most recent CSI-RS</w:t>
            </w:r>
            <w:r w:rsidRPr="00DA51D2">
              <w:rPr>
                <w:rFonts w:ascii="Arial" w:hAnsi="Arial" w:cs="Arial"/>
                <w:color w:val="000000"/>
                <w:sz w:val="16"/>
                <w:szCs w:val="16"/>
                <w:lang w:eastAsia="zh-CN"/>
              </w:rPr>
              <w:t xml:space="preserve"> measurement occasion is unclear when cell DTX is activated</w:t>
            </w:r>
            <w:r w:rsidRPr="00DA51D2">
              <w:rPr>
                <w:rFonts w:ascii="Arial" w:hAnsi="Arial" w:cs="Arial"/>
                <w:sz w:val="16"/>
                <w:szCs w:val="16"/>
              </w:rPr>
              <w:t>.</w:t>
            </w:r>
          </w:p>
        </w:tc>
      </w:tr>
      <w:tr w:rsidR="008C1EBB" w14:paraId="66E65760" w14:textId="77777777" w:rsidTr="00DA51D2">
        <w:trPr>
          <w:trHeight w:val="64"/>
        </w:trPr>
        <w:tc>
          <w:tcPr>
            <w:tcW w:w="5000" w:type="pct"/>
            <w:tcBorders>
              <w:top w:val="double" w:sz="4" w:space="0" w:color="A5A5A5"/>
              <w:left w:val="double" w:sz="4" w:space="0" w:color="A5A5A5"/>
              <w:bottom w:val="double" w:sz="4" w:space="0" w:color="A5A5A5"/>
              <w:right w:val="double" w:sz="4" w:space="0" w:color="A5A5A5"/>
            </w:tcBorders>
            <w:hideMark/>
          </w:tcPr>
          <w:p w14:paraId="4FC133A1" w14:textId="77777777" w:rsidR="008C1EBB" w:rsidRPr="00DA51D2" w:rsidRDefault="008C1EBB" w:rsidP="00DA51D2">
            <w:pPr>
              <w:rPr>
                <w:rFonts w:ascii="Arial" w:hAnsi="Arial" w:cs="Arial"/>
                <w:b/>
                <w:bCs/>
                <w:sz w:val="16"/>
                <w:szCs w:val="16"/>
              </w:rPr>
            </w:pPr>
            <w:r w:rsidRPr="00DA51D2">
              <w:rPr>
                <w:rFonts w:ascii="Arial" w:hAnsi="Arial" w:cs="Arial"/>
                <w:b/>
                <w:bCs/>
                <w:sz w:val="16"/>
                <w:szCs w:val="16"/>
              </w:rPr>
              <w:t>5.1.6.1</w:t>
            </w:r>
            <w:r w:rsidRPr="00DA51D2">
              <w:rPr>
                <w:rFonts w:ascii="Arial" w:hAnsi="Arial" w:cs="Arial"/>
                <w:b/>
                <w:bCs/>
                <w:sz w:val="16"/>
                <w:szCs w:val="16"/>
              </w:rPr>
              <w:tab/>
              <w:t>CSI-RS reception procedure</w:t>
            </w:r>
          </w:p>
          <w:p w14:paraId="41E68047" w14:textId="77777777" w:rsidR="008C1EBB" w:rsidRPr="00DA51D2" w:rsidRDefault="008C1EBB" w:rsidP="00DA51D2">
            <w:pPr>
              <w:overflowPunct w:val="0"/>
              <w:autoSpaceDE w:val="0"/>
              <w:autoSpaceDN w:val="0"/>
              <w:adjustRightInd w:val="0"/>
              <w:jc w:val="center"/>
              <w:rPr>
                <w:rFonts w:ascii="Arial" w:eastAsia="Malgun Gothic" w:hAnsi="Arial" w:cs="Arial"/>
                <w:sz w:val="16"/>
                <w:szCs w:val="16"/>
              </w:rPr>
            </w:pPr>
            <w:r w:rsidRPr="00DA51D2">
              <w:rPr>
                <w:rFonts w:ascii="Arial" w:eastAsia="MS Mincho" w:hAnsi="Arial" w:cs="Arial"/>
                <w:color w:val="FF0000"/>
                <w:sz w:val="16"/>
                <w:szCs w:val="16"/>
              </w:rPr>
              <w:t>&lt; Unchanged parts are omitted &gt;</w:t>
            </w:r>
          </w:p>
          <w:p w14:paraId="42D40700" w14:textId="77777777" w:rsidR="008C1EBB" w:rsidRPr="00DA51D2" w:rsidRDefault="008C1EBB" w:rsidP="00DA51D2">
            <w:pPr>
              <w:rPr>
                <w:rFonts w:ascii="Arial" w:eastAsia="MS Mincho" w:hAnsi="Arial" w:cs="Arial"/>
                <w:color w:val="000000"/>
                <w:sz w:val="16"/>
                <w:szCs w:val="16"/>
              </w:rPr>
            </w:pPr>
            <w:r w:rsidRPr="00DA51D2">
              <w:rPr>
                <w:rFonts w:ascii="Arial" w:eastAsia="MS Mincho" w:hAnsi="Arial" w:cs="Arial"/>
                <w:color w:val="000000"/>
                <w:sz w:val="16"/>
                <w:szCs w:val="16"/>
              </w:rPr>
              <w:t xml:space="preserve">If the UE is configured with DRX, </w:t>
            </w:r>
          </w:p>
          <w:p w14:paraId="5B1D515B" w14:textId="77777777" w:rsidR="008C1EBB" w:rsidRPr="00DA51D2" w:rsidRDefault="008C1EBB" w:rsidP="00DA51D2">
            <w:pPr>
              <w:pStyle w:val="B1"/>
              <w:spacing w:after="0"/>
              <w:rPr>
                <w:rFonts w:ascii="Arial" w:eastAsia="MS Mincho" w:hAnsi="Arial" w:cs="Arial"/>
                <w:sz w:val="16"/>
                <w:szCs w:val="16"/>
              </w:rPr>
            </w:pPr>
            <w:r w:rsidRPr="00DA51D2">
              <w:rPr>
                <w:rFonts w:ascii="Arial" w:hAnsi="Arial" w:cs="Arial"/>
                <w:sz w:val="16"/>
                <w:szCs w:val="16"/>
              </w:rPr>
              <w:t>-</w:t>
            </w:r>
            <w:r w:rsidRPr="00DA51D2">
              <w:rPr>
                <w:rFonts w:ascii="Arial" w:hAnsi="Arial" w:cs="Arial"/>
                <w:sz w:val="16"/>
                <w:szCs w:val="16"/>
              </w:rPr>
              <w:tab/>
              <w:t xml:space="preserve">if  the UE is configured to monitor DCI format 2_6 and configured by higher layer parameter </w:t>
            </w:r>
            <w:r w:rsidRPr="00DA51D2">
              <w:rPr>
                <w:rFonts w:ascii="Arial" w:hAnsi="Arial" w:cs="Arial"/>
                <w:i/>
                <w:iCs/>
                <w:sz w:val="16"/>
                <w:szCs w:val="16"/>
              </w:rPr>
              <w:t>ps-TransmitOtherPeriodicCSI</w:t>
            </w:r>
            <w:r w:rsidRPr="00DA51D2">
              <w:rPr>
                <w:rFonts w:ascii="Arial" w:hAnsi="Arial" w:cs="Arial"/>
                <w:sz w:val="16"/>
                <w:szCs w:val="16"/>
              </w:rPr>
              <w:t xml:space="preserve"> to report CSI with the higher layer parameter </w:t>
            </w:r>
            <w:r w:rsidRPr="00DA51D2">
              <w:rPr>
                <w:rFonts w:ascii="Arial" w:hAnsi="Arial" w:cs="Arial"/>
                <w:i/>
                <w:sz w:val="16"/>
                <w:szCs w:val="16"/>
              </w:rPr>
              <w:t>reportConfigType</w:t>
            </w:r>
            <w:r w:rsidRPr="00DA51D2">
              <w:rPr>
                <w:rFonts w:ascii="Arial" w:hAnsi="Arial" w:cs="Arial"/>
                <w:sz w:val="16"/>
                <w:szCs w:val="16"/>
              </w:rPr>
              <w:t xml:space="preserve"> set to 'periodic' and </w:t>
            </w:r>
            <w:r w:rsidRPr="00DA51D2">
              <w:rPr>
                <w:rFonts w:ascii="Arial" w:hAnsi="Arial" w:cs="Arial"/>
                <w:i/>
                <w:iCs/>
                <w:sz w:val="16"/>
                <w:szCs w:val="16"/>
              </w:rPr>
              <w:t>reportQuantity</w:t>
            </w:r>
            <w:r w:rsidRPr="00DA51D2">
              <w:rPr>
                <w:rFonts w:ascii="Arial" w:hAnsi="Arial" w:cs="Arial"/>
                <w:sz w:val="16"/>
                <w:szCs w:val="16"/>
              </w:rPr>
              <w:t xml:space="preserve"> set to quantities other than 'cri-RSRP' and 'ssb-Index-RSRP' when </w:t>
            </w:r>
            <w:r w:rsidRPr="00DA51D2">
              <w:rPr>
                <w:rFonts w:ascii="Arial" w:hAnsi="Arial" w:cs="Arial"/>
                <w:i/>
                <w:sz w:val="16"/>
                <w:szCs w:val="16"/>
              </w:rPr>
              <w:t>drx-onDurationTimer</w:t>
            </w:r>
            <w:r w:rsidRPr="00DA51D2">
              <w:rPr>
                <w:rFonts w:ascii="Arial" w:hAnsi="Arial" w:cs="Arial"/>
                <w:sz w:val="16"/>
                <w:szCs w:val="16"/>
              </w:rPr>
              <w:t xml:space="preserve"> in </w:t>
            </w:r>
            <w:r w:rsidRPr="00DA51D2">
              <w:rPr>
                <w:rFonts w:ascii="Arial" w:hAnsi="Arial" w:cs="Arial"/>
                <w:i/>
                <w:iCs/>
                <w:sz w:val="16"/>
                <w:szCs w:val="16"/>
              </w:rPr>
              <w:t>DRX-Config</w:t>
            </w:r>
            <w:r w:rsidRPr="00DA51D2">
              <w:rPr>
                <w:rFonts w:ascii="Arial" w:hAnsi="Arial" w:cs="Arial"/>
                <w:sz w:val="16"/>
                <w:szCs w:val="16"/>
              </w:rPr>
              <w:t xml:space="preserve"> is not started, the most recent CSI measurement occasion occurs in DRX active time or during the time duration indicated by </w:t>
            </w:r>
            <w:r w:rsidRPr="00DA51D2">
              <w:rPr>
                <w:rFonts w:ascii="Arial" w:hAnsi="Arial" w:cs="Arial"/>
                <w:i/>
                <w:sz w:val="16"/>
                <w:szCs w:val="16"/>
              </w:rPr>
              <w:t>drx-onDurationTimer</w:t>
            </w:r>
            <w:r w:rsidRPr="00DA51D2">
              <w:rPr>
                <w:rFonts w:ascii="Arial" w:hAnsi="Arial" w:cs="Arial"/>
                <w:sz w:val="16"/>
                <w:szCs w:val="16"/>
              </w:rPr>
              <w:t xml:space="preserve"> in </w:t>
            </w:r>
            <w:r w:rsidRPr="00DA51D2">
              <w:rPr>
                <w:rFonts w:ascii="Arial" w:hAnsi="Arial" w:cs="Arial"/>
                <w:i/>
                <w:iCs/>
                <w:sz w:val="16"/>
                <w:szCs w:val="16"/>
              </w:rPr>
              <w:t>DRX-Config</w:t>
            </w:r>
            <w:r w:rsidRPr="00DA51D2">
              <w:rPr>
                <w:rFonts w:ascii="Arial" w:hAnsi="Arial" w:cs="Arial"/>
                <w:sz w:val="16"/>
                <w:szCs w:val="16"/>
              </w:rPr>
              <w:t xml:space="preserve"> also outside DRX active time for CSI to be reported;</w:t>
            </w:r>
          </w:p>
          <w:p w14:paraId="0EC6FF68" w14:textId="77777777" w:rsidR="008C1EBB" w:rsidRPr="00DA51D2" w:rsidRDefault="008C1EBB" w:rsidP="00DA51D2">
            <w:pPr>
              <w:pStyle w:val="B1"/>
              <w:spacing w:after="0"/>
              <w:rPr>
                <w:rFonts w:ascii="Arial" w:hAnsi="Arial" w:cs="Arial"/>
                <w:sz w:val="16"/>
                <w:szCs w:val="16"/>
              </w:rPr>
            </w:pPr>
            <w:r w:rsidRPr="00DA51D2">
              <w:rPr>
                <w:rFonts w:ascii="Arial" w:hAnsi="Arial" w:cs="Arial"/>
                <w:sz w:val="16"/>
                <w:szCs w:val="16"/>
              </w:rPr>
              <w:t>-</w:t>
            </w:r>
            <w:r w:rsidRPr="00DA51D2">
              <w:rPr>
                <w:rFonts w:ascii="Arial" w:hAnsi="Arial" w:cs="Arial"/>
                <w:sz w:val="16"/>
                <w:szCs w:val="16"/>
              </w:rPr>
              <w:tab/>
              <w:t xml:space="preserve">if the UE is configured to monitor DCI format 2_6 and configured by higher layer parameter </w:t>
            </w:r>
            <w:r w:rsidRPr="00DA51D2">
              <w:rPr>
                <w:rFonts w:ascii="Arial" w:hAnsi="Arial" w:cs="Arial"/>
                <w:i/>
                <w:iCs/>
                <w:sz w:val="16"/>
                <w:szCs w:val="16"/>
              </w:rPr>
              <w:t>ps-TransmitPeriodicL1-RSRP</w:t>
            </w:r>
            <w:r w:rsidRPr="00DA51D2">
              <w:rPr>
                <w:rFonts w:ascii="Arial" w:hAnsi="Arial" w:cs="Arial"/>
                <w:sz w:val="16"/>
                <w:szCs w:val="16"/>
              </w:rPr>
              <w:t xml:space="preserve"> to report L1-RSRP with the higher layer parameter </w:t>
            </w:r>
            <w:r w:rsidRPr="00DA51D2">
              <w:rPr>
                <w:rFonts w:ascii="Arial" w:hAnsi="Arial" w:cs="Arial"/>
                <w:i/>
                <w:sz w:val="16"/>
                <w:szCs w:val="16"/>
              </w:rPr>
              <w:t>reportConfigType</w:t>
            </w:r>
            <w:r w:rsidRPr="00DA51D2">
              <w:rPr>
                <w:rFonts w:ascii="Arial" w:hAnsi="Arial" w:cs="Arial"/>
                <w:sz w:val="16"/>
                <w:szCs w:val="16"/>
              </w:rPr>
              <w:t xml:space="preserve"> set to 'periodic' and </w:t>
            </w:r>
            <w:r w:rsidRPr="00DA51D2">
              <w:rPr>
                <w:rFonts w:ascii="Arial" w:hAnsi="Arial" w:cs="Arial"/>
                <w:i/>
                <w:sz w:val="16"/>
                <w:szCs w:val="16"/>
              </w:rPr>
              <w:t>reportQuantity</w:t>
            </w:r>
            <w:r w:rsidRPr="00DA51D2">
              <w:rPr>
                <w:rFonts w:ascii="Arial" w:hAnsi="Arial" w:cs="Arial"/>
                <w:sz w:val="16"/>
                <w:szCs w:val="16"/>
              </w:rPr>
              <w:t xml:space="preserve"> set to cri-RSRP when </w:t>
            </w:r>
            <w:r w:rsidRPr="00DA51D2">
              <w:rPr>
                <w:rFonts w:ascii="Arial" w:hAnsi="Arial" w:cs="Arial"/>
                <w:i/>
                <w:sz w:val="16"/>
                <w:szCs w:val="16"/>
              </w:rPr>
              <w:t>drx-onDurationTimer</w:t>
            </w:r>
            <w:r w:rsidRPr="00DA51D2">
              <w:rPr>
                <w:rFonts w:ascii="Arial" w:hAnsi="Arial" w:cs="Arial"/>
                <w:sz w:val="16"/>
                <w:szCs w:val="16"/>
              </w:rPr>
              <w:t xml:space="preserve"> in </w:t>
            </w:r>
            <w:r w:rsidRPr="00DA51D2">
              <w:rPr>
                <w:rFonts w:ascii="Arial" w:hAnsi="Arial" w:cs="Arial"/>
                <w:i/>
                <w:iCs/>
                <w:sz w:val="16"/>
                <w:szCs w:val="16"/>
              </w:rPr>
              <w:t>DRX-Config</w:t>
            </w:r>
            <w:r w:rsidRPr="00DA51D2">
              <w:rPr>
                <w:rFonts w:ascii="Arial" w:hAnsi="Arial" w:cs="Arial"/>
                <w:sz w:val="16"/>
                <w:szCs w:val="16"/>
              </w:rPr>
              <w:t xml:space="preserve"> is not started, the most recent CSI measurement occasion occurs in DRX active time or during the time duration indicated by </w:t>
            </w:r>
            <w:r w:rsidRPr="00DA51D2">
              <w:rPr>
                <w:rFonts w:ascii="Arial" w:hAnsi="Arial" w:cs="Arial"/>
                <w:i/>
                <w:sz w:val="16"/>
                <w:szCs w:val="16"/>
              </w:rPr>
              <w:t>drx-onDurationTimer</w:t>
            </w:r>
            <w:r w:rsidRPr="00DA51D2">
              <w:rPr>
                <w:rFonts w:ascii="Arial" w:hAnsi="Arial" w:cs="Arial"/>
                <w:sz w:val="16"/>
                <w:szCs w:val="16"/>
              </w:rPr>
              <w:t xml:space="preserve"> in </w:t>
            </w:r>
            <w:r w:rsidRPr="00DA51D2">
              <w:rPr>
                <w:rFonts w:ascii="Arial" w:hAnsi="Arial" w:cs="Arial"/>
                <w:i/>
                <w:iCs/>
                <w:sz w:val="16"/>
                <w:szCs w:val="16"/>
              </w:rPr>
              <w:t>DRX-Config</w:t>
            </w:r>
            <w:r w:rsidRPr="00DA51D2">
              <w:rPr>
                <w:rFonts w:ascii="Arial" w:hAnsi="Arial" w:cs="Arial"/>
                <w:sz w:val="16"/>
                <w:szCs w:val="16"/>
              </w:rPr>
              <w:t xml:space="preserve"> also outside DRX active time for CSI to be reported;</w:t>
            </w:r>
          </w:p>
          <w:p w14:paraId="0340E91D" w14:textId="77777777" w:rsidR="008C1EBB" w:rsidRPr="00DA51D2" w:rsidRDefault="008C1EBB" w:rsidP="00DA51D2">
            <w:pPr>
              <w:pStyle w:val="B1"/>
              <w:spacing w:after="0"/>
              <w:rPr>
                <w:rFonts w:ascii="Arial" w:hAnsi="Arial" w:cs="Arial"/>
                <w:color w:val="000000"/>
                <w:sz w:val="16"/>
                <w:szCs w:val="16"/>
              </w:rPr>
            </w:pPr>
            <w:r w:rsidRPr="00DA51D2">
              <w:rPr>
                <w:rFonts w:ascii="Arial" w:hAnsi="Arial" w:cs="Arial"/>
                <w:sz w:val="16"/>
                <w:szCs w:val="16"/>
              </w:rPr>
              <w:t>-</w:t>
            </w:r>
            <w:r w:rsidRPr="00DA51D2">
              <w:rPr>
                <w:rFonts w:ascii="Arial" w:hAnsi="Arial" w:cs="Arial"/>
                <w:sz w:val="16"/>
                <w:szCs w:val="16"/>
              </w:rPr>
              <w:tab/>
              <w:t xml:space="preserve">otherwise, </w:t>
            </w:r>
            <w:r w:rsidRPr="00DA51D2">
              <w:rPr>
                <w:rFonts w:ascii="Arial" w:hAnsi="Arial" w:cs="Arial"/>
                <w:color w:val="000000"/>
                <w:sz w:val="16"/>
                <w:szCs w:val="16"/>
              </w:rPr>
              <w:t>the most recent CSI measurement occasion occurs in active time for CSI to be reported.</w:t>
            </w:r>
          </w:p>
          <w:p w14:paraId="6C3BB714" w14:textId="77777777" w:rsidR="008C1EBB" w:rsidRPr="00DA51D2" w:rsidRDefault="008C1EBB" w:rsidP="00DA51D2">
            <w:pPr>
              <w:rPr>
                <w:rFonts w:ascii="Arial" w:eastAsia="MS Mincho" w:hAnsi="Arial" w:cs="Arial"/>
                <w:color w:val="FF0000"/>
                <w:sz w:val="16"/>
                <w:szCs w:val="16"/>
                <w:u w:val="single"/>
              </w:rPr>
            </w:pPr>
            <w:r w:rsidRPr="00DA51D2">
              <w:rPr>
                <w:rFonts w:ascii="Arial" w:hAnsi="Arial" w:cs="Arial"/>
                <w:color w:val="000000"/>
                <w:sz w:val="16"/>
                <w:szCs w:val="16"/>
              </w:rPr>
              <w:t>During non-active periods of cell DTX, the UE configured with cell DTX is not expected to receive the periodic CSI-RS and semi-persistent CSI-RS configured in CSI report configuration in CSI-</w:t>
            </w:r>
            <w:r w:rsidRPr="00DA51D2">
              <w:rPr>
                <w:rFonts w:ascii="Arial" w:hAnsi="Arial" w:cs="Arial"/>
                <w:i/>
                <w:iCs/>
                <w:color w:val="000000"/>
                <w:sz w:val="16"/>
                <w:szCs w:val="16"/>
              </w:rPr>
              <w:t>ReportConfig</w:t>
            </w:r>
            <w:r w:rsidRPr="00DA51D2">
              <w:rPr>
                <w:rFonts w:ascii="Arial" w:hAnsi="Arial" w:cs="Arial"/>
                <w:color w:val="000000"/>
                <w:sz w:val="16"/>
                <w:szCs w:val="16"/>
              </w:rPr>
              <w:t xml:space="preserve"> associated with the higher layer parameter </w:t>
            </w:r>
            <w:r w:rsidRPr="00DA51D2">
              <w:rPr>
                <w:rFonts w:ascii="Arial" w:hAnsi="Arial" w:cs="Arial"/>
                <w:i/>
                <w:iCs/>
                <w:color w:val="000000"/>
                <w:sz w:val="16"/>
                <w:szCs w:val="16"/>
              </w:rPr>
              <w:t>reportQuantity</w:t>
            </w:r>
            <w:r w:rsidRPr="00DA51D2">
              <w:rPr>
                <w:rFonts w:ascii="Arial" w:hAnsi="Arial" w:cs="Arial"/>
                <w:color w:val="000000"/>
                <w:sz w:val="16"/>
                <w:szCs w:val="16"/>
              </w:rPr>
              <w:t xml:space="preserve"> comprising at least ‘RI’. </w:t>
            </w:r>
            <w:r w:rsidRPr="00DA51D2">
              <w:rPr>
                <w:rFonts w:ascii="Arial" w:eastAsia="MS Mincho" w:hAnsi="Arial" w:cs="Arial"/>
                <w:color w:val="FF0000"/>
                <w:sz w:val="16"/>
                <w:szCs w:val="16"/>
                <w:u w:val="single"/>
              </w:rPr>
              <w:t xml:space="preserve">If the </w:t>
            </w:r>
            <w:r w:rsidRPr="00DA51D2">
              <w:rPr>
                <w:rFonts w:ascii="Arial" w:hAnsi="Arial" w:cs="Arial"/>
                <w:color w:val="FF0000"/>
                <w:sz w:val="16"/>
                <w:szCs w:val="16"/>
                <w:u w:val="single"/>
              </w:rPr>
              <w:t xml:space="preserve">cell </w:t>
            </w:r>
            <w:r w:rsidRPr="00DA51D2">
              <w:rPr>
                <w:rFonts w:ascii="Arial" w:eastAsia="MS Mincho" w:hAnsi="Arial" w:cs="Arial"/>
                <w:color w:val="FF0000"/>
                <w:sz w:val="16"/>
                <w:szCs w:val="16"/>
                <w:u w:val="single"/>
              </w:rPr>
              <w:t>D</w:t>
            </w:r>
            <w:r w:rsidRPr="00DA51D2">
              <w:rPr>
                <w:rFonts w:ascii="Arial" w:hAnsi="Arial" w:cs="Arial"/>
                <w:color w:val="FF0000"/>
                <w:sz w:val="16"/>
                <w:szCs w:val="16"/>
                <w:u w:val="single"/>
              </w:rPr>
              <w:t>T</w:t>
            </w:r>
            <w:r w:rsidRPr="00DA51D2">
              <w:rPr>
                <w:rFonts w:ascii="Arial" w:eastAsia="MS Mincho" w:hAnsi="Arial" w:cs="Arial"/>
                <w:color w:val="FF0000"/>
                <w:sz w:val="16"/>
                <w:szCs w:val="16"/>
                <w:u w:val="single"/>
              </w:rPr>
              <w:t>X</w:t>
            </w:r>
            <w:r w:rsidRPr="00DA51D2">
              <w:rPr>
                <w:rFonts w:ascii="Arial" w:hAnsi="Arial" w:cs="Arial"/>
                <w:color w:val="FF0000"/>
                <w:sz w:val="16"/>
                <w:szCs w:val="16"/>
                <w:u w:val="single"/>
              </w:rPr>
              <w:t xml:space="preserve"> is activated</w:t>
            </w:r>
            <w:r w:rsidRPr="00DA51D2">
              <w:rPr>
                <w:rFonts w:ascii="Arial" w:eastAsia="MS Mincho" w:hAnsi="Arial" w:cs="Arial"/>
                <w:color w:val="FF0000"/>
                <w:sz w:val="16"/>
                <w:szCs w:val="16"/>
                <w:u w:val="single"/>
              </w:rPr>
              <w:t xml:space="preserve">, the most recent CSI measurement occasion of semi-persistent CSI-RS resource or periodic CSI-RS resource occurs in </w:t>
            </w:r>
            <w:r w:rsidRPr="00DA51D2">
              <w:rPr>
                <w:rFonts w:ascii="Arial" w:hAnsi="Arial" w:cs="Arial"/>
                <w:color w:val="FF0000"/>
                <w:sz w:val="16"/>
                <w:szCs w:val="16"/>
                <w:u w:val="single"/>
              </w:rPr>
              <w:t>active periods of cell DTX</w:t>
            </w:r>
            <w:r w:rsidRPr="00DA51D2">
              <w:rPr>
                <w:rFonts w:ascii="Arial" w:eastAsia="MS Mincho" w:hAnsi="Arial" w:cs="Arial"/>
                <w:color w:val="FF0000"/>
                <w:sz w:val="16"/>
                <w:szCs w:val="16"/>
                <w:u w:val="single"/>
              </w:rPr>
              <w:t xml:space="preserve"> for CSI report configured by </w:t>
            </w:r>
            <w:r w:rsidRPr="00DA51D2">
              <w:rPr>
                <w:rFonts w:ascii="Arial" w:eastAsia="MS Mincho" w:hAnsi="Arial" w:cs="Arial"/>
                <w:i/>
                <w:iCs/>
                <w:color w:val="FF0000"/>
                <w:sz w:val="16"/>
                <w:szCs w:val="16"/>
                <w:u w:val="single"/>
              </w:rPr>
              <w:t>CSI-ReportConfig</w:t>
            </w:r>
            <w:r w:rsidRPr="00DA51D2">
              <w:rPr>
                <w:rFonts w:ascii="Arial" w:eastAsia="MS Mincho" w:hAnsi="Arial" w:cs="Arial"/>
                <w:color w:val="FF0000"/>
                <w:sz w:val="16"/>
                <w:szCs w:val="16"/>
                <w:u w:val="single"/>
              </w:rPr>
              <w:t xml:space="preserve"> associated with the higher layer parameter </w:t>
            </w:r>
            <w:r w:rsidRPr="00DA51D2">
              <w:rPr>
                <w:rFonts w:ascii="Arial" w:eastAsia="MS Mincho" w:hAnsi="Arial" w:cs="Arial"/>
                <w:i/>
                <w:iCs/>
                <w:color w:val="FF0000"/>
                <w:sz w:val="16"/>
                <w:szCs w:val="16"/>
                <w:u w:val="single"/>
              </w:rPr>
              <w:t>reportQuantity</w:t>
            </w:r>
            <w:r w:rsidRPr="00DA51D2">
              <w:rPr>
                <w:rFonts w:ascii="Arial" w:eastAsia="MS Mincho" w:hAnsi="Arial" w:cs="Arial"/>
                <w:color w:val="FF0000"/>
                <w:sz w:val="16"/>
                <w:szCs w:val="16"/>
                <w:u w:val="single"/>
              </w:rPr>
              <w:t xml:space="preserve"> comprising at least ‘RI’.</w:t>
            </w:r>
          </w:p>
          <w:p w14:paraId="49EB674A" w14:textId="77777777" w:rsidR="008C1EBB" w:rsidRPr="00DA51D2" w:rsidRDefault="008C1EBB" w:rsidP="00DA51D2">
            <w:pPr>
              <w:autoSpaceDE w:val="0"/>
              <w:autoSpaceDN w:val="0"/>
              <w:adjustRightInd w:val="0"/>
              <w:snapToGrid w:val="0"/>
              <w:jc w:val="center"/>
              <w:rPr>
                <w:rFonts w:ascii="Arial" w:hAnsi="Arial" w:cs="Arial"/>
                <w:color w:val="FF0000"/>
                <w:sz w:val="16"/>
                <w:szCs w:val="16"/>
              </w:rPr>
            </w:pPr>
            <w:r w:rsidRPr="00DA51D2">
              <w:rPr>
                <w:rFonts w:ascii="Arial" w:hAnsi="Arial" w:cs="Arial"/>
                <w:color w:val="FF0000"/>
                <w:sz w:val="16"/>
                <w:szCs w:val="16"/>
              </w:rPr>
              <w:t>&lt; Unchanged parts are omitted &gt;</w:t>
            </w:r>
          </w:p>
        </w:tc>
      </w:tr>
    </w:tbl>
    <w:p w14:paraId="2DB2E162" w14:textId="77777777" w:rsidR="008C1EBB" w:rsidRPr="00981F88" w:rsidRDefault="008C1EBB" w:rsidP="008C1EBB">
      <w:pPr>
        <w:pStyle w:val="BodyText"/>
        <w:tabs>
          <w:tab w:val="left" w:pos="1480"/>
        </w:tabs>
        <w:spacing w:after="0"/>
        <w:rPr>
          <w:rFonts w:ascii="Times New Roman" w:hAnsi="Times New Roman"/>
          <w:szCs w:val="20"/>
          <w:lang w:eastAsia="zh-CN"/>
        </w:rPr>
      </w:pPr>
    </w:p>
    <w:p w14:paraId="13CAF822" w14:textId="77777777" w:rsidR="008C1EBB" w:rsidRPr="00981F88" w:rsidRDefault="008C1EBB" w:rsidP="00DA51D2">
      <w:pPr>
        <w:rPr>
          <w:highlight w:val="green"/>
          <w:lang w:eastAsia="zh-CN"/>
        </w:rPr>
      </w:pPr>
      <w:r w:rsidRPr="00981F88">
        <w:rPr>
          <w:highlight w:val="green"/>
          <w:lang w:eastAsia="zh-CN"/>
        </w:rPr>
        <w:t>Agreement</w:t>
      </w:r>
    </w:p>
    <w:p w14:paraId="6C9DDBBC" w14:textId="7E5DEADC" w:rsidR="008C1EBB" w:rsidRDefault="008C1EBB" w:rsidP="00DA51D2">
      <w:pPr>
        <w:rPr>
          <w:lang w:eastAsia="zh-CN"/>
        </w:rPr>
      </w:pPr>
      <w:r>
        <w:rPr>
          <w:lang w:eastAsia="zh-CN"/>
        </w:rPr>
        <w:t>If a UE would transmit multiple overlapping PUCCHs in a slot or overlapping PUCCH(s) and PUSCH(s) in a slot, where at least one PUCCH/PUSCH overlaps with non-active periods of cell DRX on the respective serving cell, down-select form the following options for the interaction between the Operation A (Resolve the overlapping among PUCCHs/PUSCHs (TS 38.213 clause 9 including sub-clauses)) and Operation B (Determine whether to transmit a PUCCH/PUSCH overlapping with non-active period of cell DRX)</w:t>
      </w:r>
      <w:r w:rsidR="00981F88">
        <w:rPr>
          <w:lang w:eastAsia="zh-CN"/>
        </w:rPr>
        <w:t>.</w:t>
      </w:r>
    </w:p>
    <w:p w14:paraId="7F039BA7" w14:textId="19FDCB40" w:rsidR="008C1EBB" w:rsidRDefault="008C1EBB" w:rsidP="00A67145">
      <w:pPr>
        <w:pStyle w:val="ListParagraph"/>
        <w:numPr>
          <w:ilvl w:val="0"/>
          <w:numId w:val="222"/>
        </w:numPr>
        <w:rPr>
          <w:lang w:eastAsia="zh-CN"/>
        </w:rPr>
      </w:pPr>
      <w:r>
        <w:rPr>
          <w:lang w:eastAsia="zh-CN"/>
        </w:rPr>
        <w:t>Option 1: UE first performs Operation A and then performs Operation B</w:t>
      </w:r>
      <w:r w:rsidR="00981F88">
        <w:rPr>
          <w:lang w:eastAsia="zh-CN"/>
        </w:rPr>
        <w:t>.</w:t>
      </w:r>
    </w:p>
    <w:p w14:paraId="48774649" w14:textId="77777777" w:rsidR="008C1EBB" w:rsidRDefault="008C1EBB" w:rsidP="00DA51D2">
      <w:pPr>
        <w:rPr>
          <w:lang w:eastAsia="zh-CN"/>
        </w:rPr>
      </w:pPr>
    </w:p>
    <w:p w14:paraId="7813ECD7" w14:textId="0AC7979D" w:rsidR="004E537C" w:rsidRPr="004E537C" w:rsidRDefault="005A18DC" w:rsidP="004E537C">
      <w:pPr>
        <w:rPr>
          <w:b/>
          <w:bCs/>
          <w:lang w:eastAsia="x-none"/>
        </w:rPr>
      </w:pPr>
      <w:hyperlink r:id="rId1403" w:history="1">
        <w:r w:rsidR="00AF7253">
          <w:rPr>
            <w:rStyle w:val="Hyperlink"/>
            <w:b/>
            <w:bCs/>
            <w:lang w:eastAsia="x-none"/>
          </w:rPr>
          <w:t>R1-2312606</w:t>
        </w:r>
      </w:hyperlink>
      <w:r w:rsidR="004E537C" w:rsidRPr="004E537C">
        <w:rPr>
          <w:b/>
          <w:bCs/>
          <w:lang w:eastAsia="x-none"/>
        </w:rPr>
        <w:tab/>
        <w:t>Discussion summary #6 for enhancements on cell DTX/DRX mechanism</w:t>
      </w:r>
      <w:r w:rsidR="004E537C" w:rsidRPr="004E537C">
        <w:rPr>
          <w:b/>
          <w:bCs/>
          <w:lang w:eastAsia="x-none"/>
        </w:rPr>
        <w:tab/>
        <w:t>Moderator (Intel Corporation)</w:t>
      </w:r>
    </w:p>
    <w:p w14:paraId="2F71EC38" w14:textId="7E04DB91" w:rsidR="004E537C" w:rsidRPr="004E537C" w:rsidRDefault="004E537C" w:rsidP="004E537C">
      <w:pPr>
        <w:rPr>
          <w:lang w:eastAsia="x-none"/>
        </w:rPr>
      </w:pPr>
      <w:r>
        <w:rPr>
          <w:lang w:eastAsia="x-none"/>
        </w:rPr>
        <w:t>From Friday session</w:t>
      </w:r>
    </w:p>
    <w:p w14:paraId="407FDA6A" w14:textId="77777777" w:rsidR="004E537C" w:rsidRPr="004E537C" w:rsidRDefault="004E537C" w:rsidP="004E537C">
      <w:pPr>
        <w:rPr>
          <w:highlight w:val="green"/>
          <w:lang w:eastAsia="x-none"/>
        </w:rPr>
      </w:pPr>
      <w:r w:rsidRPr="004E537C">
        <w:rPr>
          <w:highlight w:val="green"/>
          <w:lang w:eastAsia="x-none"/>
        </w:rPr>
        <w:t>Agreement</w:t>
      </w:r>
    </w:p>
    <w:tbl>
      <w:tblPr>
        <w:tblW w:w="5000" w:type="pct"/>
        <w:tblCellMar>
          <w:left w:w="0" w:type="dxa"/>
          <w:right w:w="0" w:type="dxa"/>
        </w:tblCellMar>
        <w:tblLook w:val="04A0" w:firstRow="1" w:lastRow="0" w:firstColumn="1" w:lastColumn="0" w:noHBand="0" w:noVBand="1"/>
      </w:tblPr>
      <w:tblGrid>
        <w:gridCol w:w="10683"/>
      </w:tblGrid>
      <w:tr w:rsidR="004E537C" w:rsidRPr="004E537C" w14:paraId="07A56559" w14:textId="77777777" w:rsidTr="004E537C">
        <w:tc>
          <w:tcPr>
            <w:tcW w:w="500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3EAE596" w14:textId="77777777" w:rsidR="004E537C" w:rsidRPr="004E537C" w:rsidRDefault="004E537C" w:rsidP="00A67145">
            <w:pPr>
              <w:pStyle w:val="ListParagraph"/>
              <w:numPr>
                <w:ilvl w:val="0"/>
                <w:numId w:val="222"/>
              </w:numPr>
              <w:rPr>
                <w:rFonts w:ascii="Arial" w:hAnsi="Arial" w:cs="Arial"/>
                <w:color w:val="000000"/>
                <w:sz w:val="16"/>
                <w:szCs w:val="16"/>
              </w:rPr>
            </w:pPr>
            <w:r w:rsidRPr="004E537C">
              <w:rPr>
                <w:rFonts w:ascii="Arial" w:hAnsi="Arial" w:cs="Arial"/>
                <w:b/>
                <w:bCs/>
                <w:color w:val="000000"/>
                <w:sz w:val="16"/>
                <w:szCs w:val="16"/>
              </w:rPr>
              <w:t xml:space="preserve">Reason for change: </w:t>
            </w:r>
            <w:r w:rsidRPr="004E537C">
              <w:rPr>
                <w:rFonts w:ascii="Arial" w:hAnsi="Arial" w:cs="Arial"/>
                <w:color w:val="000000"/>
                <w:sz w:val="16"/>
                <w:szCs w:val="16"/>
              </w:rPr>
              <w:t xml:space="preserve">The order of </w:t>
            </w:r>
            <w:r w:rsidRPr="004E537C">
              <w:rPr>
                <w:rFonts w:ascii="Arial" w:hAnsi="Arial" w:cs="Arial"/>
                <w:color w:val="000000"/>
                <w:sz w:val="16"/>
                <w:szCs w:val="16"/>
                <w:lang w:eastAsia="zh-CN"/>
              </w:rPr>
              <w:t xml:space="preserve">resolving </w:t>
            </w:r>
            <w:r w:rsidRPr="004E537C">
              <w:rPr>
                <w:rFonts w:ascii="Arial" w:hAnsi="Arial" w:cs="Arial"/>
                <w:color w:val="000000"/>
                <w:sz w:val="16"/>
                <w:szCs w:val="16"/>
              </w:rPr>
              <w:t>overlapping PUCCH(s) and/or PUSCH(s) and performing cell DRX operation is not clear in spec.</w:t>
            </w:r>
          </w:p>
          <w:p w14:paraId="067A008D" w14:textId="77777777" w:rsidR="004E537C" w:rsidRPr="004E537C" w:rsidRDefault="004E537C" w:rsidP="00A67145">
            <w:pPr>
              <w:pStyle w:val="ListParagraph"/>
              <w:numPr>
                <w:ilvl w:val="0"/>
                <w:numId w:val="222"/>
              </w:numPr>
              <w:rPr>
                <w:rFonts w:ascii="Arial" w:hAnsi="Arial" w:cs="Arial"/>
                <w:color w:val="000000"/>
                <w:sz w:val="16"/>
                <w:szCs w:val="16"/>
                <w:lang w:eastAsia="zh-CN"/>
              </w:rPr>
            </w:pPr>
            <w:r w:rsidRPr="004E537C">
              <w:rPr>
                <w:rFonts w:ascii="Arial" w:hAnsi="Arial" w:cs="Arial"/>
                <w:b/>
                <w:bCs/>
                <w:color w:val="000000"/>
                <w:sz w:val="16"/>
                <w:szCs w:val="16"/>
              </w:rPr>
              <w:t xml:space="preserve">Summary of change: </w:t>
            </w:r>
            <w:r w:rsidRPr="004E537C">
              <w:rPr>
                <w:rFonts w:ascii="Arial" w:hAnsi="Arial" w:cs="Arial"/>
                <w:color w:val="000000"/>
                <w:sz w:val="16"/>
                <w:szCs w:val="16"/>
                <w:lang w:eastAsia="zh-CN"/>
              </w:rPr>
              <w:t>First resolving overlapping PUCCH(s) and/or PUSCH(s) and then performing cell DRX operation</w:t>
            </w:r>
          </w:p>
          <w:p w14:paraId="21244630" w14:textId="77777777" w:rsidR="004E537C" w:rsidRPr="004E537C" w:rsidRDefault="004E537C" w:rsidP="00A67145">
            <w:pPr>
              <w:pStyle w:val="ListParagraph"/>
              <w:numPr>
                <w:ilvl w:val="0"/>
                <w:numId w:val="222"/>
              </w:numPr>
              <w:rPr>
                <w:rFonts w:ascii="Arial" w:hAnsi="Arial" w:cs="Arial"/>
                <w:b/>
                <w:bCs/>
                <w:sz w:val="16"/>
                <w:szCs w:val="16"/>
                <w:lang w:eastAsia="ko-KR"/>
              </w:rPr>
            </w:pPr>
            <w:r w:rsidRPr="004E537C">
              <w:rPr>
                <w:rFonts w:ascii="Arial" w:hAnsi="Arial" w:cs="Arial"/>
                <w:b/>
                <w:bCs/>
                <w:color w:val="000000"/>
                <w:sz w:val="16"/>
                <w:szCs w:val="16"/>
              </w:rPr>
              <w:t>Consequences if not approved:</w:t>
            </w:r>
            <w:r w:rsidRPr="004E537C">
              <w:rPr>
                <w:rFonts w:ascii="Arial" w:hAnsi="Arial" w:cs="Arial"/>
                <w:b/>
                <w:bCs/>
                <w:i/>
                <w:iCs/>
                <w:color w:val="000000"/>
                <w:sz w:val="16"/>
                <w:szCs w:val="16"/>
              </w:rPr>
              <w:t xml:space="preserve"> </w:t>
            </w:r>
            <w:r w:rsidRPr="004E537C">
              <w:rPr>
                <w:rFonts w:ascii="Arial" w:hAnsi="Arial" w:cs="Arial"/>
                <w:color w:val="000000"/>
                <w:sz w:val="16"/>
                <w:szCs w:val="16"/>
              </w:rPr>
              <w:t xml:space="preserve">The order of </w:t>
            </w:r>
            <w:r w:rsidRPr="004E537C">
              <w:rPr>
                <w:rFonts w:ascii="Arial" w:hAnsi="Arial" w:cs="Arial"/>
                <w:color w:val="000000"/>
                <w:sz w:val="16"/>
                <w:szCs w:val="16"/>
                <w:lang w:eastAsia="zh-CN"/>
              </w:rPr>
              <w:t xml:space="preserve">resolving </w:t>
            </w:r>
            <w:r w:rsidRPr="004E537C">
              <w:rPr>
                <w:rFonts w:ascii="Arial" w:hAnsi="Arial" w:cs="Arial"/>
                <w:color w:val="000000"/>
                <w:sz w:val="16"/>
                <w:szCs w:val="16"/>
              </w:rPr>
              <w:t>overlapping PUCCH(s) and/or PUSCH(s) and performing cell DRX operation is not defined in spec.</w:t>
            </w:r>
          </w:p>
        </w:tc>
      </w:tr>
      <w:tr w:rsidR="004E537C" w:rsidRPr="004E537C" w14:paraId="1E2AE330" w14:textId="77777777" w:rsidTr="004E537C">
        <w:tc>
          <w:tcPr>
            <w:tcW w:w="50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F2DCCDD" w14:textId="51542230" w:rsidR="004E537C" w:rsidRPr="004E537C" w:rsidRDefault="004E537C" w:rsidP="004E537C">
            <w:pPr>
              <w:rPr>
                <w:rFonts w:ascii="Arial" w:hAnsi="Arial" w:cs="Arial"/>
                <w:b/>
                <w:bCs/>
                <w:sz w:val="16"/>
                <w:szCs w:val="16"/>
              </w:rPr>
            </w:pPr>
            <w:r w:rsidRPr="004E537C">
              <w:rPr>
                <w:rFonts w:ascii="Arial" w:hAnsi="Arial" w:cs="Arial"/>
                <w:b/>
                <w:bCs/>
                <w:sz w:val="16"/>
                <w:szCs w:val="16"/>
              </w:rPr>
              <w:t>9</w:t>
            </w:r>
            <w:r w:rsidRPr="004E537C">
              <w:rPr>
                <w:rFonts w:ascii="Arial" w:hAnsi="Arial" w:cs="Arial"/>
                <w:b/>
                <w:bCs/>
                <w:sz w:val="16"/>
                <w:szCs w:val="16"/>
              </w:rPr>
              <w:tab/>
              <w:t>UE procedure for reporting control information</w:t>
            </w:r>
          </w:p>
          <w:p w14:paraId="4B1929B4" w14:textId="77777777" w:rsidR="004E537C" w:rsidRPr="004E537C" w:rsidRDefault="004E537C" w:rsidP="004E537C">
            <w:pPr>
              <w:ind w:left="568" w:hanging="284"/>
              <w:jc w:val="center"/>
              <w:rPr>
                <w:rFonts w:ascii="Arial" w:hAnsi="Arial" w:cs="Arial"/>
                <w:color w:val="000000"/>
                <w:sz w:val="16"/>
                <w:szCs w:val="16"/>
                <w:lang w:eastAsia="ko-KR"/>
              </w:rPr>
            </w:pPr>
            <w:r w:rsidRPr="004E537C">
              <w:rPr>
                <w:rFonts w:ascii="Arial" w:hAnsi="Arial" w:cs="Arial"/>
                <w:color w:val="FF0000"/>
                <w:sz w:val="16"/>
                <w:szCs w:val="16"/>
              </w:rPr>
              <w:t>*** Unchanged text is omitted ***</w:t>
            </w:r>
          </w:p>
          <w:p w14:paraId="1F61BC21" w14:textId="77777777" w:rsidR="004E537C" w:rsidRPr="004E537C" w:rsidRDefault="004E537C" w:rsidP="004E537C">
            <w:pPr>
              <w:rPr>
                <w:rFonts w:ascii="Arial" w:hAnsi="Arial" w:cs="Arial"/>
                <w:sz w:val="16"/>
                <w:szCs w:val="16"/>
              </w:rPr>
            </w:pPr>
            <w:r w:rsidRPr="004E537C">
              <w:rPr>
                <w:rFonts w:ascii="Arial" w:hAnsi="Arial" w:cs="Arial"/>
                <w:sz w:val="16"/>
                <w:szCs w:val="16"/>
              </w:rPr>
              <w:t xml:space="preserve">When a UE determines overlapping for PUCCH and/or PUSCH transmissions of the same priority index other than PUCCH transmissions with SL HARQ-ACK reports before considering limitations for UE transmission </w:t>
            </w:r>
            <w:r w:rsidRPr="004E537C">
              <w:rPr>
                <w:rFonts w:ascii="Arial" w:hAnsi="Arial" w:cs="Arial"/>
                <w:color w:val="FF0000"/>
                <w:sz w:val="16"/>
                <w:szCs w:val="16"/>
                <w:u w:val="single"/>
              </w:rPr>
              <w:t>due to cell DRX operation or</w:t>
            </w:r>
            <w:r w:rsidRPr="004E537C">
              <w:rPr>
                <w:rFonts w:ascii="Arial" w:hAnsi="Arial" w:cs="Arial"/>
                <w:sz w:val="16"/>
                <w:szCs w:val="16"/>
              </w:rPr>
              <w:t xml:space="preserve"> as described in clauses 11.1, 11.1.1, 11.2A, 15 and 17.2, including repetitions if any, </w:t>
            </w:r>
          </w:p>
          <w:p w14:paraId="037AFA62" w14:textId="6EB06B4D" w:rsidR="004E537C" w:rsidRPr="004E537C" w:rsidRDefault="004E537C" w:rsidP="004E537C">
            <w:pPr>
              <w:ind w:left="709" w:hanging="309"/>
              <w:rPr>
                <w:rFonts w:ascii="Arial" w:hAnsi="Arial" w:cs="Arial"/>
                <w:sz w:val="16"/>
                <w:szCs w:val="16"/>
              </w:rPr>
            </w:pPr>
            <w:r w:rsidRPr="004E537C">
              <w:rPr>
                <w:rFonts w:ascii="Arial" w:hAnsi="Arial" w:cs="Arial"/>
                <w:sz w:val="16"/>
                <w:szCs w:val="16"/>
              </w:rPr>
              <w:t>-</w:t>
            </w:r>
            <w:r w:rsidRPr="004E537C">
              <w:rPr>
                <w:rFonts w:ascii="Arial" w:hAnsi="Arial" w:cs="Arial"/>
                <w:b/>
                <w:bCs/>
                <w:sz w:val="16"/>
                <w:szCs w:val="16"/>
              </w:rPr>
              <w:tab/>
            </w:r>
            <w:r w:rsidRPr="004E537C">
              <w:rPr>
                <w:rFonts w:ascii="Arial" w:hAnsi="Arial" w:cs="Arial"/>
                <w:sz w:val="16"/>
                <w:szCs w:val="16"/>
              </w:rPr>
              <w:t>first, the UE resolves the overlapping for PUCCHs with repetitions as described in clause 9.2.6, if any</w:t>
            </w:r>
          </w:p>
          <w:p w14:paraId="1FE44484" w14:textId="136E7CF3" w:rsidR="004E537C" w:rsidRPr="004E537C" w:rsidRDefault="004E537C" w:rsidP="004E537C">
            <w:pPr>
              <w:ind w:left="709" w:hanging="309"/>
              <w:rPr>
                <w:rFonts w:ascii="Arial" w:hAnsi="Arial" w:cs="Arial"/>
                <w:sz w:val="16"/>
                <w:szCs w:val="16"/>
              </w:rPr>
            </w:pPr>
            <w:r w:rsidRPr="004E537C">
              <w:rPr>
                <w:rFonts w:ascii="Arial" w:hAnsi="Arial" w:cs="Arial"/>
                <w:sz w:val="16"/>
                <w:szCs w:val="16"/>
              </w:rPr>
              <w:t>-</w:t>
            </w:r>
            <w:r w:rsidRPr="004E537C">
              <w:rPr>
                <w:rFonts w:ascii="Arial" w:hAnsi="Arial" w:cs="Arial"/>
                <w:b/>
                <w:bCs/>
                <w:sz w:val="16"/>
                <w:szCs w:val="16"/>
              </w:rPr>
              <w:tab/>
            </w:r>
            <w:r w:rsidRPr="004E537C">
              <w:rPr>
                <w:rFonts w:ascii="Arial" w:hAnsi="Arial" w:cs="Arial"/>
                <w:sz w:val="16"/>
                <w:szCs w:val="16"/>
              </w:rPr>
              <w:t>second, the UE resolves the overlapping for PUCCHs without repetitions as described in clauses 9.2.5</w:t>
            </w:r>
          </w:p>
          <w:p w14:paraId="1325374D" w14:textId="5083412F" w:rsidR="004E537C" w:rsidRPr="004E537C" w:rsidRDefault="004E537C" w:rsidP="004E537C">
            <w:pPr>
              <w:ind w:leftChars="200" w:left="801" w:hanging="401"/>
              <w:rPr>
                <w:rFonts w:ascii="Arial" w:hAnsi="Arial" w:cs="Arial"/>
                <w:sz w:val="16"/>
                <w:szCs w:val="16"/>
              </w:rPr>
            </w:pPr>
            <w:r w:rsidRPr="004E537C">
              <w:rPr>
                <w:rFonts w:ascii="Arial" w:hAnsi="Arial" w:cs="Arial"/>
                <w:sz w:val="16"/>
                <w:szCs w:val="16"/>
              </w:rPr>
              <w:t>-</w:t>
            </w:r>
            <w:r w:rsidRPr="004E537C">
              <w:rPr>
                <w:rFonts w:ascii="Arial" w:hAnsi="Arial" w:cs="Arial"/>
                <w:b/>
                <w:bCs/>
                <w:sz w:val="16"/>
                <w:szCs w:val="16"/>
              </w:rPr>
              <w:tab/>
            </w:r>
            <w:r w:rsidRPr="004E537C">
              <w:rPr>
                <w:rFonts w:ascii="Arial" w:hAnsi="Arial" w:cs="Arial"/>
                <w:sz w:val="16"/>
                <w:szCs w:val="16"/>
              </w:rPr>
              <w:t>third, the UE resolves the overlapping for PUSCHs and PUCCHs with repetitions as described in clause 9.2.6</w:t>
            </w:r>
          </w:p>
          <w:p w14:paraId="15C7330E" w14:textId="2385A834" w:rsidR="004E537C" w:rsidRPr="004E537C" w:rsidRDefault="004E537C" w:rsidP="004E537C">
            <w:pPr>
              <w:ind w:leftChars="200" w:left="800" w:hanging="400"/>
              <w:rPr>
                <w:rFonts w:ascii="Arial" w:hAnsi="Arial" w:cs="Arial"/>
                <w:sz w:val="16"/>
                <w:szCs w:val="16"/>
              </w:rPr>
            </w:pPr>
            <w:r w:rsidRPr="004E537C">
              <w:rPr>
                <w:rFonts w:ascii="Arial" w:hAnsi="Arial" w:cs="Arial"/>
                <w:sz w:val="16"/>
                <w:szCs w:val="16"/>
              </w:rPr>
              <w:t>-</w:t>
            </w:r>
            <w:r w:rsidRPr="004E537C">
              <w:rPr>
                <w:rFonts w:ascii="Arial" w:hAnsi="Arial" w:cs="Arial"/>
                <w:b/>
                <w:bCs/>
                <w:sz w:val="16"/>
                <w:szCs w:val="16"/>
              </w:rPr>
              <w:tab/>
            </w:r>
            <w:r w:rsidRPr="004E537C">
              <w:rPr>
                <w:rFonts w:ascii="Arial" w:hAnsi="Arial" w:cs="Arial"/>
                <w:sz w:val="16"/>
                <w:szCs w:val="16"/>
              </w:rPr>
              <w:t>fourth, the UE resolves the overlapping for PUSCHs and PUCCHs without repetitions as is subsequently described in this clause.</w:t>
            </w:r>
          </w:p>
          <w:p w14:paraId="15FE6EC3" w14:textId="77777777" w:rsidR="004E537C" w:rsidRPr="004E537C" w:rsidRDefault="004E537C" w:rsidP="004E537C">
            <w:pPr>
              <w:rPr>
                <w:rFonts w:ascii="Arial" w:hAnsi="Arial" w:cs="Arial"/>
                <w:sz w:val="16"/>
                <w:szCs w:val="16"/>
              </w:rPr>
            </w:pPr>
            <w:r w:rsidRPr="004E537C">
              <w:rPr>
                <w:rFonts w:ascii="Arial" w:hAnsi="Arial" w:cs="Arial"/>
                <w:sz w:val="16"/>
                <w:szCs w:val="16"/>
              </w:rPr>
              <w:t>If a UE</w:t>
            </w:r>
          </w:p>
          <w:p w14:paraId="5CEBFE0A" w14:textId="2527B284" w:rsidR="004E537C" w:rsidRPr="004E537C" w:rsidRDefault="004E537C" w:rsidP="004E537C">
            <w:pPr>
              <w:ind w:left="568" w:hanging="284"/>
              <w:rPr>
                <w:rFonts w:ascii="Arial" w:hAnsi="Arial" w:cs="Arial"/>
                <w:sz w:val="16"/>
                <w:szCs w:val="16"/>
                <w:lang w:eastAsia="ko-KR"/>
              </w:rPr>
            </w:pPr>
            <w:r w:rsidRPr="004E537C">
              <w:rPr>
                <w:rFonts w:ascii="Arial" w:hAnsi="Arial" w:cs="Arial"/>
                <w:sz w:val="16"/>
                <w:szCs w:val="16"/>
              </w:rPr>
              <w:t>-</w:t>
            </w:r>
            <w:r w:rsidRPr="004E537C">
              <w:rPr>
                <w:rFonts w:ascii="Arial" w:hAnsi="Arial" w:cs="Arial"/>
                <w:b/>
                <w:bCs/>
                <w:sz w:val="16"/>
                <w:szCs w:val="16"/>
              </w:rPr>
              <w:tab/>
            </w:r>
            <w:r w:rsidRPr="004E537C">
              <w:rPr>
                <w:rFonts w:ascii="Arial" w:hAnsi="Arial" w:cs="Arial"/>
                <w:sz w:val="16"/>
                <w:szCs w:val="16"/>
              </w:rPr>
              <w:t xml:space="preserve">is provided </w:t>
            </w:r>
            <w:r w:rsidRPr="004E537C">
              <w:rPr>
                <w:rFonts w:ascii="Arial" w:hAnsi="Arial" w:cs="Arial"/>
                <w:i/>
                <w:iCs/>
                <w:sz w:val="16"/>
                <w:szCs w:val="16"/>
              </w:rPr>
              <w:t>simultaneousPUCCH-PUSCH</w:t>
            </w:r>
            <w:r w:rsidRPr="004E537C">
              <w:rPr>
                <w:rFonts w:ascii="Arial" w:hAnsi="Arial" w:cs="Arial"/>
                <w:sz w:val="16"/>
                <w:szCs w:val="16"/>
              </w:rPr>
              <w:t xml:space="preserve"> and would transmit a PUCCH with a first priority index and PUSCHs with a second priority index that is different than the first priority index, where the PUCCH and the PUSCHs overlap in time</w:t>
            </w:r>
          </w:p>
          <w:p w14:paraId="647D9F3F" w14:textId="5C6082B1" w:rsidR="004E537C" w:rsidRPr="004E537C" w:rsidRDefault="004E537C" w:rsidP="004E537C">
            <w:pPr>
              <w:ind w:left="568" w:hanging="284"/>
              <w:rPr>
                <w:rFonts w:ascii="Arial" w:hAnsi="Arial" w:cs="Arial"/>
                <w:sz w:val="16"/>
                <w:szCs w:val="16"/>
              </w:rPr>
            </w:pPr>
            <w:r w:rsidRPr="004E537C">
              <w:rPr>
                <w:rFonts w:ascii="Arial" w:hAnsi="Arial" w:cs="Arial"/>
                <w:sz w:val="16"/>
                <w:szCs w:val="16"/>
              </w:rPr>
              <w:t>-</w:t>
            </w:r>
            <w:r w:rsidRPr="004E537C">
              <w:rPr>
                <w:rFonts w:ascii="Arial" w:hAnsi="Arial" w:cs="Arial"/>
                <w:b/>
                <w:bCs/>
                <w:sz w:val="16"/>
                <w:szCs w:val="16"/>
              </w:rPr>
              <w:tab/>
            </w:r>
            <w:r w:rsidRPr="004E537C">
              <w:rPr>
                <w:rFonts w:ascii="Arial" w:hAnsi="Arial" w:cs="Arial"/>
                <w:sz w:val="16"/>
                <w:szCs w:val="16"/>
              </w:rPr>
              <w:t>can simultaneously transmit the PUCCH and the PUSCHs [18, TS 38.306],</w:t>
            </w:r>
          </w:p>
          <w:p w14:paraId="42531704" w14:textId="77777777" w:rsidR="004E537C" w:rsidRPr="004E537C" w:rsidRDefault="004E537C" w:rsidP="004E537C">
            <w:pPr>
              <w:rPr>
                <w:rFonts w:ascii="Arial" w:hAnsi="Arial" w:cs="Arial"/>
                <w:sz w:val="16"/>
                <w:szCs w:val="16"/>
              </w:rPr>
            </w:pPr>
            <w:r w:rsidRPr="004E537C">
              <w:rPr>
                <w:rFonts w:ascii="Arial" w:hAnsi="Arial" w:cs="Arial"/>
                <w:sz w:val="16"/>
                <w:szCs w:val="16"/>
              </w:rPr>
              <w:t xml:space="preserve">the UE excludes the PUSCHs for resolving the time overlapping between the PUCCH and PUSCHs, where the timeline conditions are not required for the excluded PUSCHs. </w:t>
            </w:r>
          </w:p>
          <w:p w14:paraId="08A6DA36" w14:textId="77777777" w:rsidR="004E537C" w:rsidRPr="004E537C" w:rsidRDefault="004E537C" w:rsidP="004E537C">
            <w:pPr>
              <w:rPr>
                <w:rFonts w:ascii="Arial" w:hAnsi="Arial" w:cs="Arial"/>
                <w:sz w:val="16"/>
                <w:szCs w:val="16"/>
              </w:rPr>
            </w:pPr>
            <w:r w:rsidRPr="004E537C">
              <w:rPr>
                <w:rFonts w:ascii="Arial" w:hAnsi="Arial" w:cs="Arial"/>
                <w:sz w:val="16"/>
                <w:szCs w:val="16"/>
              </w:rPr>
              <w:t xml:space="preserve">When a UE determines overlapping for PUCCH and/or PUSCH transmissions of different priority indexes, other than PUCCH transmissions with SL HARQ-ACK reports, before considering limitations for transmission </w:t>
            </w:r>
            <w:r w:rsidRPr="004E537C">
              <w:rPr>
                <w:rFonts w:ascii="Arial" w:hAnsi="Arial" w:cs="Arial"/>
                <w:color w:val="FF0000"/>
                <w:sz w:val="16"/>
                <w:szCs w:val="16"/>
                <w:u w:val="single"/>
              </w:rPr>
              <w:t>due to cell DRX operation or</w:t>
            </w:r>
            <w:r w:rsidRPr="004E537C">
              <w:rPr>
                <w:rFonts w:ascii="Arial" w:hAnsi="Arial" w:cs="Arial"/>
                <w:sz w:val="16"/>
                <w:szCs w:val="16"/>
              </w:rPr>
              <w:t xml:space="preserve"> as described in clauses 11.1, 11.1.1, 11.2A</w:t>
            </w:r>
            <w:r w:rsidRPr="004E537C">
              <w:rPr>
                <w:rFonts w:ascii="Arial" w:eastAsia="Malgun Gothic" w:hAnsi="Arial" w:cs="Arial"/>
                <w:sz w:val="16"/>
                <w:szCs w:val="16"/>
              </w:rPr>
              <w:t xml:space="preserve">, </w:t>
            </w:r>
            <w:r w:rsidRPr="004E537C">
              <w:rPr>
                <w:rFonts w:ascii="Arial" w:hAnsi="Arial" w:cs="Arial"/>
                <w:sz w:val="16"/>
                <w:szCs w:val="16"/>
              </w:rPr>
              <w:t xml:space="preserve">15 and </w:t>
            </w:r>
            <w:r w:rsidRPr="004E537C">
              <w:rPr>
                <w:rFonts w:ascii="Arial" w:hAnsi="Arial" w:cs="Arial"/>
                <w:sz w:val="16"/>
                <w:szCs w:val="16"/>
              </w:rPr>
              <w:lastRenderedPageBreak/>
              <w:t xml:space="preserve">17.2, including repetitions if any, if the UE is provided </w:t>
            </w:r>
            <w:r w:rsidRPr="004E537C">
              <w:rPr>
                <w:rFonts w:ascii="Arial" w:hAnsi="Arial" w:cs="Arial"/>
                <w:i/>
                <w:iCs/>
                <w:sz w:val="16"/>
                <w:szCs w:val="16"/>
              </w:rPr>
              <w:t>uci-MuxWithDiffPrio</w:t>
            </w:r>
            <w:r w:rsidRPr="004E537C">
              <w:rPr>
                <w:rFonts w:ascii="Arial" w:hAnsi="Arial" w:cs="Arial"/>
                <w:sz w:val="16"/>
                <w:szCs w:val="16"/>
              </w:rPr>
              <w:t xml:space="preserve"> and the timeline conditions in clause 9.2.5 for multiplexing UCI in a PUCCH or a PUSCH are satisfied</w:t>
            </w:r>
          </w:p>
          <w:p w14:paraId="040DF05C" w14:textId="77777777" w:rsidR="004E537C" w:rsidRPr="004E537C" w:rsidRDefault="004E537C" w:rsidP="004E537C">
            <w:pPr>
              <w:ind w:left="568" w:hanging="284"/>
              <w:jc w:val="center"/>
              <w:rPr>
                <w:rFonts w:ascii="Arial" w:hAnsi="Arial" w:cs="Arial"/>
                <w:color w:val="000000"/>
                <w:sz w:val="16"/>
                <w:szCs w:val="16"/>
                <w:lang w:eastAsia="ko-KR"/>
              </w:rPr>
            </w:pPr>
            <w:r w:rsidRPr="004E537C">
              <w:rPr>
                <w:rFonts w:ascii="Arial" w:hAnsi="Arial" w:cs="Arial"/>
                <w:color w:val="FF0000"/>
                <w:sz w:val="16"/>
                <w:szCs w:val="16"/>
              </w:rPr>
              <w:t>*** Unchanged text is omitted ***</w:t>
            </w:r>
          </w:p>
          <w:p w14:paraId="25CAA961" w14:textId="77777777" w:rsidR="004E537C" w:rsidRPr="004E537C" w:rsidRDefault="004E537C" w:rsidP="004E537C">
            <w:pPr>
              <w:rPr>
                <w:rFonts w:ascii="Arial" w:hAnsi="Arial" w:cs="Arial"/>
                <w:sz w:val="16"/>
                <w:szCs w:val="16"/>
              </w:rPr>
            </w:pPr>
            <w:r w:rsidRPr="004E537C">
              <w:rPr>
                <w:rFonts w:ascii="Arial" w:hAnsi="Arial" w:cs="Arial"/>
                <w:sz w:val="16"/>
                <w:szCs w:val="16"/>
              </w:rPr>
              <w:t xml:space="preserve">When a UE determines overlapping for PUCCH and/or PUSCH transmissions of different priority indexes, other than PUCCH transmissions with SL HARQ-ACK reports, before considering limitations for transmissions including with repetitions, if any, </w:t>
            </w:r>
            <w:r w:rsidRPr="004E537C">
              <w:rPr>
                <w:rFonts w:ascii="Arial" w:hAnsi="Arial" w:cs="Arial"/>
                <w:color w:val="FF0000"/>
                <w:sz w:val="16"/>
                <w:szCs w:val="16"/>
                <w:u w:val="single"/>
              </w:rPr>
              <w:t>due to cell DRX operation or</w:t>
            </w:r>
            <w:r w:rsidRPr="004E537C">
              <w:rPr>
                <w:rFonts w:ascii="Arial" w:hAnsi="Arial" w:cs="Arial"/>
                <w:sz w:val="16"/>
                <w:szCs w:val="16"/>
              </w:rPr>
              <w:t xml:space="preserve"> as described in clauses 11.1, 11.1.1, 11.2A, 15 and 17.2, if the UE is not provided </w:t>
            </w:r>
            <w:r w:rsidRPr="004E537C">
              <w:rPr>
                <w:rFonts w:ascii="Arial" w:hAnsi="Arial" w:cs="Arial"/>
                <w:i/>
                <w:iCs/>
                <w:sz w:val="16"/>
                <w:szCs w:val="16"/>
              </w:rPr>
              <w:t>uci-MuxWithDiffPrio</w:t>
            </w:r>
            <w:r w:rsidRPr="004E537C">
              <w:rPr>
                <w:rFonts w:ascii="Arial" w:hAnsi="Arial" w:cs="Arial"/>
                <w:sz w:val="16"/>
                <w:szCs w:val="16"/>
              </w:rPr>
              <w:t xml:space="preserve">, the UE first resolves overlapping for PUCCH and/or PUSCH transmissions of smaller priority index as described in clauses 9.2.5 and 9.2.6. Then, </w:t>
            </w:r>
          </w:p>
          <w:p w14:paraId="6AD0AB4D" w14:textId="49C497CD" w:rsidR="004E537C" w:rsidRPr="004E537C" w:rsidRDefault="004E537C" w:rsidP="004E537C">
            <w:pPr>
              <w:ind w:left="568" w:hanging="284"/>
              <w:rPr>
                <w:rFonts w:ascii="Arial" w:hAnsi="Arial" w:cs="Arial"/>
                <w:sz w:val="16"/>
                <w:szCs w:val="16"/>
              </w:rPr>
            </w:pPr>
            <w:r w:rsidRPr="004E537C">
              <w:rPr>
                <w:rFonts w:ascii="Arial" w:hAnsi="Arial" w:cs="Arial"/>
                <w:sz w:val="16"/>
                <w:szCs w:val="16"/>
              </w:rPr>
              <w:t>-</w:t>
            </w:r>
            <w:r w:rsidRPr="004E537C">
              <w:rPr>
                <w:rFonts w:ascii="Arial" w:hAnsi="Arial" w:cs="Arial"/>
                <w:b/>
                <w:bCs/>
                <w:sz w:val="16"/>
                <w:szCs w:val="16"/>
              </w:rPr>
              <w:tab/>
            </w:r>
            <w:r w:rsidRPr="004E537C">
              <w:rPr>
                <w:rFonts w:ascii="Arial" w:hAnsi="Arial" w:cs="Arial"/>
                <w:sz w:val="16"/>
                <w:szCs w:val="16"/>
              </w:rPr>
              <w:t>if a transmission of a first PUCCH of larger priority index scheduled by a DCI format in a PDCCH reception would overlap in time with a repetition of a transmission of a second PUSCH or a second PUCCH of smaller priority index, the UE cancels the repetition of a transmission of the second PUSCH or the second PUCCH before the first symbol that would overlap with the first PUCCH transmission</w:t>
            </w:r>
          </w:p>
          <w:p w14:paraId="6248AA99" w14:textId="13EB1B3B" w:rsidR="004E537C" w:rsidRPr="004E537C" w:rsidRDefault="004E537C" w:rsidP="004E537C">
            <w:pPr>
              <w:ind w:left="568" w:hanging="284"/>
              <w:rPr>
                <w:rFonts w:ascii="Arial" w:hAnsi="Arial" w:cs="Arial"/>
                <w:sz w:val="16"/>
                <w:szCs w:val="16"/>
              </w:rPr>
            </w:pPr>
            <w:r w:rsidRPr="004E537C">
              <w:rPr>
                <w:rFonts w:ascii="Arial" w:hAnsi="Arial" w:cs="Arial"/>
                <w:sz w:val="16"/>
                <w:szCs w:val="16"/>
              </w:rPr>
              <w:t>-</w:t>
            </w:r>
            <w:r w:rsidRPr="004E537C">
              <w:rPr>
                <w:rFonts w:ascii="Arial" w:hAnsi="Arial" w:cs="Arial"/>
                <w:b/>
                <w:bCs/>
                <w:sz w:val="16"/>
                <w:szCs w:val="16"/>
              </w:rPr>
              <w:tab/>
            </w:r>
            <w:r w:rsidRPr="004E537C">
              <w:rPr>
                <w:rFonts w:ascii="Arial" w:hAnsi="Arial" w:cs="Arial"/>
                <w:sz w:val="16"/>
                <w:szCs w:val="16"/>
              </w:rPr>
              <w:t>if a transmission of a first PUSCH of larger priority index scheduled by a DCI format in a PDCCH reception would overlap in time with a repetition of the transmission of a second PUCCH of smaller priority index, the UE cancels the repetition of the transmission of the second PUCCH before the first symbol that would overlap with the first PUSCH transmission</w:t>
            </w:r>
          </w:p>
          <w:p w14:paraId="18C592B7" w14:textId="77777777" w:rsidR="004E537C" w:rsidRPr="004E537C" w:rsidRDefault="004E537C" w:rsidP="004E537C">
            <w:pPr>
              <w:ind w:left="568" w:hanging="284"/>
              <w:rPr>
                <w:rFonts w:ascii="Arial" w:hAnsi="Arial" w:cs="Arial"/>
                <w:sz w:val="16"/>
                <w:szCs w:val="16"/>
              </w:rPr>
            </w:pPr>
            <w:r w:rsidRPr="004E537C">
              <w:rPr>
                <w:rFonts w:ascii="Arial" w:hAnsi="Arial" w:cs="Arial"/>
                <w:sz w:val="16"/>
                <w:szCs w:val="16"/>
              </w:rPr>
              <w:t xml:space="preserve">where </w:t>
            </w:r>
          </w:p>
          <w:p w14:paraId="6E9A35DE" w14:textId="34633C5D" w:rsidR="004E537C" w:rsidRPr="004E537C" w:rsidRDefault="004E537C" w:rsidP="004E537C">
            <w:pPr>
              <w:ind w:left="568" w:hanging="284"/>
              <w:rPr>
                <w:rFonts w:ascii="Arial" w:hAnsi="Arial" w:cs="Arial"/>
                <w:sz w:val="16"/>
                <w:szCs w:val="16"/>
              </w:rPr>
            </w:pPr>
            <w:r w:rsidRPr="004E537C">
              <w:rPr>
                <w:rFonts w:ascii="Arial" w:hAnsi="Arial" w:cs="Arial"/>
                <w:sz w:val="16"/>
                <w:szCs w:val="16"/>
              </w:rPr>
              <w:t>-</w:t>
            </w:r>
            <w:r w:rsidRPr="004E537C">
              <w:rPr>
                <w:rFonts w:ascii="Arial" w:hAnsi="Arial" w:cs="Arial"/>
                <w:b/>
                <w:bCs/>
                <w:sz w:val="16"/>
                <w:szCs w:val="16"/>
              </w:rPr>
              <w:tab/>
            </w:r>
            <w:r w:rsidRPr="004E537C">
              <w:rPr>
                <w:rFonts w:ascii="Arial" w:hAnsi="Arial" w:cs="Arial"/>
                <w:sz w:val="16"/>
                <w:szCs w:val="16"/>
              </w:rPr>
              <w:t>the overlapping is applicable before or after resolving overlapping among channels of larger priority index, if any, as described in clauses 9.2.5 and 9.2.6</w:t>
            </w:r>
          </w:p>
          <w:p w14:paraId="2D11791D" w14:textId="64B6BDE5" w:rsidR="004E537C" w:rsidRPr="004E537C" w:rsidRDefault="004E537C" w:rsidP="004E537C">
            <w:pPr>
              <w:ind w:left="568" w:hanging="284"/>
              <w:rPr>
                <w:rFonts w:ascii="Arial" w:hAnsi="Arial" w:cs="Arial"/>
                <w:sz w:val="16"/>
                <w:szCs w:val="16"/>
              </w:rPr>
            </w:pPr>
            <w:r w:rsidRPr="004E537C">
              <w:rPr>
                <w:rFonts w:ascii="Arial" w:hAnsi="Arial" w:cs="Arial"/>
                <w:sz w:val="16"/>
                <w:szCs w:val="16"/>
              </w:rPr>
              <w:t>-</w:t>
            </w:r>
            <w:r w:rsidRPr="004E537C">
              <w:rPr>
                <w:rFonts w:ascii="Arial" w:hAnsi="Arial" w:cs="Arial"/>
                <w:b/>
                <w:bCs/>
                <w:sz w:val="16"/>
                <w:szCs w:val="16"/>
              </w:rPr>
              <w:tab/>
            </w:r>
            <w:r w:rsidRPr="004E537C">
              <w:rPr>
                <w:rFonts w:ascii="Arial" w:hAnsi="Arial" w:cs="Arial"/>
                <w:sz w:val="16"/>
                <w:szCs w:val="16"/>
              </w:rPr>
              <w:t xml:space="preserve">any remaining PUCCH and/or PUSCH transmission after overlapping resolution is subjected to the limitations for UE transmission </w:t>
            </w:r>
            <w:r w:rsidRPr="004E537C">
              <w:rPr>
                <w:rFonts w:ascii="Arial" w:hAnsi="Arial" w:cs="Arial"/>
                <w:color w:val="FF0000"/>
                <w:sz w:val="16"/>
                <w:szCs w:val="16"/>
                <w:u w:val="single"/>
              </w:rPr>
              <w:t>due to cell DRX operation or</w:t>
            </w:r>
            <w:r w:rsidRPr="004E537C">
              <w:rPr>
                <w:rFonts w:ascii="Arial" w:hAnsi="Arial" w:cs="Arial"/>
                <w:sz w:val="16"/>
                <w:szCs w:val="16"/>
              </w:rPr>
              <w:t xml:space="preserve"> as described in clauses 11.1, 11.1.1, 11.2A, 15 and 17.2,</w:t>
            </w:r>
          </w:p>
          <w:p w14:paraId="126023EE" w14:textId="7423CE18" w:rsidR="004E537C" w:rsidRPr="004E537C" w:rsidRDefault="004E537C" w:rsidP="004E537C">
            <w:pPr>
              <w:ind w:left="568" w:hanging="284"/>
              <w:rPr>
                <w:rFonts w:ascii="Arial" w:hAnsi="Arial" w:cs="Arial"/>
                <w:sz w:val="16"/>
                <w:szCs w:val="16"/>
              </w:rPr>
            </w:pPr>
            <w:r w:rsidRPr="004E537C">
              <w:rPr>
                <w:rFonts w:ascii="Arial" w:hAnsi="Arial" w:cs="Arial"/>
                <w:sz w:val="16"/>
                <w:szCs w:val="16"/>
              </w:rPr>
              <w:t>-</w:t>
            </w:r>
            <w:r w:rsidRPr="004E537C">
              <w:rPr>
                <w:rFonts w:ascii="Arial" w:hAnsi="Arial" w:cs="Arial"/>
                <w:b/>
                <w:bCs/>
                <w:sz w:val="16"/>
                <w:szCs w:val="16"/>
              </w:rPr>
              <w:tab/>
            </w:r>
            <w:r w:rsidRPr="004E537C">
              <w:rPr>
                <w:rFonts w:ascii="Arial" w:hAnsi="Arial" w:cs="Arial"/>
                <w:sz w:val="16"/>
                <w:szCs w:val="16"/>
              </w:rPr>
              <w:t xml:space="preserve">the UE expects that the transmission of the first PUCCH or the first PUSCH, respectively, would not start before </w:t>
            </w:r>
            <m:oMath>
              <m:sSub>
                <m:sSubPr>
                  <m:ctrlPr>
                    <w:rPr>
                      <w:rFonts w:ascii="Cambria Math" w:eastAsia="DengXian" w:hAnsi="Cambria Math" w:cs="Arial"/>
                      <w:i/>
                      <w:iCs/>
                      <w:sz w:val="16"/>
                      <w:szCs w:val="16"/>
                    </w:rPr>
                  </m:ctrlPr>
                </m:sSubPr>
                <m:e>
                  <m:r>
                    <w:rPr>
                      <w:rFonts w:ascii="Cambria Math" w:hAnsi="Cambria Math" w:cs="Arial"/>
                      <w:sz w:val="16"/>
                      <w:szCs w:val="16"/>
                    </w:rPr>
                    <m:t>T</m:t>
                  </m:r>
                </m:e>
                <m:sub>
                  <m:r>
                    <w:rPr>
                      <w:rFonts w:ascii="Cambria Math" w:hAnsi="Cambria Math" w:cs="Arial"/>
                      <w:sz w:val="16"/>
                      <w:szCs w:val="16"/>
                    </w:rPr>
                    <m:t>proc,2</m:t>
                  </m:r>
                </m:sub>
              </m:sSub>
            </m:oMath>
            <w:r w:rsidRPr="004E537C">
              <w:rPr>
                <w:rFonts w:ascii="Arial" w:hAnsi="Arial" w:cs="Arial"/>
                <w:sz w:val="16"/>
                <w:szCs w:val="16"/>
              </w:rPr>
              <w:t xml:space="preserve"> after a last symbol of the corresponding PDCCH reception</w:t>
            </w:r>
          </w:p>
          <w:p w14:paraId="0D4F2580" w14:textId="68127DAF" w:rsidR="004E537C" w:rsidRPr="004E537C" w:rsidRDefault="004E537C" w:rsidP="004E537C">
            <w:pPr>
              <w:ind w:leftChars="100" w:left="600" w:hanging="400"/>
              <w:rPr>
                <w:rFonts w:ascii="Arial" w:hAnsi="Arial" w:cs="Arial"/>
                <w:sz w:val="16"/>
                <w:szCs w:val="16"/>
              </w:rPr>
            </w:pPr>
            <w:r w:rsidRPr="004E537C">
              <w:rPr>
                <w:rFonts w:ascii="Arial" w:hAnsi="Arial" w:cs="Arial"/>
                <w:sz w:val="16"/>
                <w:szCs w:val="16"/>
              </w:rPr>
              <w:t>-</w:t>
            </w:r>
            <w:r w:rsidRPr="004E537C">
              <w:rPr>
                <w:rFonts w:ascii="Arial" w:hAnsi="Arial" w:cs="Arial"/>
                <w:b/>
                <w:bCs/>
                <w:sz w:val="16"/>
                <w:szCs w:val="16"/>
              </w:rPr>
              <w:tab/>
            </w:r>
            <m:oMath>
              <m:sSub>
                <m:sSubPr>
                  <m:ctrlPr>
                    <w:rPr>
                      <w:rFonts w:ascii="Cambria Math" w:eastAsia="DengXian" w:hAnsi="Cambria Math" w:cs="Arial"/>
                      <w:sz w:val="16"/>
                      <w:szCs w:val="16"/>
                    </w:rPr>
                  </m:ctrlPr>
                </m:sSubPr>
                <m:e>
                  <m:r>
                    <w:rPr>
                      <w:rFonts w:ascii="Cambria Math" w:hAnsi="Cambria Math" w:cs="Arial"/>
                      <w:sz w:val="16"/>
                      <w:szCs w:val="16"/>
                    </w:rPr>
                    <m:t>T</m:t>
                  </m:r>
                </m:e>
                <m:sub>
                  <m:r>
                    <w:rPr>
                      <w:rFonts w:ascii="Cambria Math" w:hAnsi="Cambria Math" w:cs="Arial"/>
                      <w:sz w:val="16"/>
                      <w:szCs w:val="16"/>
                    </w:rPr>
                    <m:t>proc</m:t>
                  </m:r>
                  <m:r>
                    <m:rPr>
                      <m:sty m:val="p"/>
                    </m:rPr>
                    <w:rPr>
                      <w:rFonts w:ascii="Cambria Math" w:hAnsi="Cambria Math" w:cs="Arial"/>
                      <w:sz w:val="16"/>
                      <w:szCs w:val="16"/>
                    </w:rPr>
                    <m:t>,2</m:t>
                  </m:r>
                </m:sub>
              </m:sSub>
              <m:r>
                <m:rPr>
                  <m:sty m:val="p"/>
                </m:rPr>
                <w:rPr>
                  <w:rFonts w:ascii="Cambria Math" w:hAnsi="Cambria Math" w:cs="Arial"/>
                  <w:sz w:val="16"/>
                  <w:szCs w:val="16"/>
                </w:rPr>
                <m:t xml:space="preserve"> </m:t>
              </m:r>
            </m:oMath>
            <w:r w:rsidRPr="004E537C">
              <w:rPr>
                <w:rFonts w:ascii="Arial" w:hAnsi="Arial" w:cs="Arial"/>
                <w:sz w:val="16"/>
                <w:szCs w:val="16"/>
              </w:rPr>
              <w:t xml:space="preserve">is the PUSCH preparation time for a corresponding UE processing capability assuming </w:t>
            </w:r>
            <m:oMath>
              <m:sSub>
                <m:sSubPr>
                  <m:ctrlPr>
                    <w:rPr>
                      <w:rFonts w:ascii="Cambria Math" w:eastAsia="DengXian" w:hAnsi="Cambria Math" w:cs="Arial"/>
                      <w:sz w:val="16"/>
                      <w:szCs w:val="16"/>
                    </w:rPr>
                  </m:ctrlPr>
                </m:sSubPr>
                <m:e>
                  <m:r>
                    <w:rPr>
                      <w:rFonts w:ascii="Cambria Math" w:hAnsi="Cambria Math" w:cs="Arial"/>
                      <w:sz w:val="16"/>
                      <w:szCs w:val="16"/>
                    </w:rPr>
                    <m:t>d</m:t>
                  </m:r>
                </m:e>
                <m:sub>
                  <m:r>
                    <m:rPr>
                      <m:sty m:val="p"/>
                    </m:rPr>
                    <w:rPr>
                      <w:rFonts w:ascii="Cambria Math" w:hAnsi="Cambria Math" w:cs="Arial"/>
                      <w:sz w:val="16"/>
                      <w:szCs w:val="16"/>
                    </w:rPr>
                    <m:t>2,1</m:t>
                  </m:r>
                </m:sub>
              </m:sSub>
              <m:r>
                <m:rPr>
                  <m:sty m:val="p"/>
                </m:rPr>
                <w:rPr>
                  <w:rFonts w:ascii="Cambria Math" w:hAnsi="Cambria Math" w:cs="Arial"/>
                  <w:sz w:val="16"/>
                  <w:szCs w:val="16"/>
                </w:rPr>
                <m:t xml:space="preserve">= </m:t>
              </m:r>
              <m:sSub>
                <m:sSubPr>
                  <m:ctrlPr>
                    <w:rPr>
                      <w:rFonts w:ascii="Cambria Math" w:eastAsia="DengXian" w:hAnsi="Cambria Math" w:cs="Arial"/>
                      <w:sz w:val="16"/>
                      <w:szCs w:val="16"/>
                    </w:rPr>
                  </m:ctrlPr>
                </m:sSubPr>
                <m:e>
                  <m:r>
                    <w:rPr>
                      <w:rFonts w:ascii="Cambria Math" w:hAnsi="Cambria Math" w:cs="Arial"/>
                      <w:sz w:val="16"/>
                      <w:szCs w:val="16"/>
                    </w:rPr>
                    <m:t>d</m:t>
                  </m:r>
                </m:e>
                <m:sub>
                  <m:r>
                    <m:rPr>
                      <m:sty m:val="p"/>
                    </m:rPr>
                    <w:rPr>
                      <w:rFonts w:ascii="Cambria Math" w:hAnsi="Cambria Math" w:cs="Arial"/>
                      <w:sz w:val="16"/>
                      <w:szCs w:val="16"/>
                    </w:rPr>
                    <m:t>1</m:t>
                  </m:r>
                </m:sub>
              </m:sSub>
            </m:oMath>
            <w:r w:rsidRPr="004E537C">
              <w:rPr>
                <w:rFonts w:ascii="Arial" w:hAnsi="Arial" w:cs="Arial"/>
                <w:sz w:val="16"/>
                <w:szCs w:val="16"/>
              </w:rPr>
              <w:t xml:space="preserve"> [6, TS 38.214], based on </w:t>
            </w:r>
            <m:oMath>
              <m:r>
                <w:rPr>
                  <w:rFonts w:ascii="Cambria Math" w:hAnsi="Cambria Math" w:cs="Arial"/>
                  <w:sz w:val="16"/>
                  <w:szCs w:val="16"/>
                </w:rPr>
                <m:t>μ</m:t>
              </m:r>
            </m:oMath>
            <w:r w:rsidRPr="004E537C">
              <w:rPr>
                <w:rFonts w:ascii="Arial" w:hAnsi="Arial" w:cs="Arial"/>
                <w:sz w:val="16"/>
                <w:szCs w:val="16"/>
              </w:rPr>
              <w:t xml:space="preserve"> and </w:t>
            </w:r>
            <m:oMath>
              <m:sSub>
                <m:sSubPr>
                  <m:ctrlPr>
                    <w:rPr>
                      <w:rFonts w:ascii="Cambria Math" w:eastAsia="DengXian" w:hAnsi="Cambria Math" w:cs="Arial"/>
                      <w:sz w:val="16"/>
                      <w:szCs w:val="16"/>
                    </w:rPr>
                  </m:ctrlPr>
                </m:sSubPr>
                <m:e>
                  <m:r>
                    <w:rPr>
                      <w:rFonts w:ascii="Cambria Math" w:hAnsi="Cambria Math" w:cs="Arial"/>
                      <w:sz w:val="16"/>
                      <w:szCs w:val="16"/>
                    </w:rPr>
                    <m:t>N</m:t>
                  </m:r>
                </m:e>
                <m:sub>
                  <m:r>
                    <m:rPr>
                      <m:sty m:val="p"/>
                    </m:rPr>
                    <w:rPr>
                      <w:rFonts w:ascii="Cambria Math" w:hAnsi="Cambria Math" w:cs="Arial"/>
                      <w:sz w:val="16"/>
                      <w:szCs w:val="16"/>
                    </w:rPr>
                    <m:t>2</m:t>
                  </m:r>
                </m:sub>
              </m:sSub>
            </m:oMath>
            <w:r w:rsidRPr="004E537C">
              <w:rPr>
                <w:rFonts w:ascii="Arial" w:hAnsi="Arial" w:cs="Arial"/>
                <w:sz w:val="16"/>
                <w:szCs w:val="16"/>
              </w:rPr>
              <w:t xml:space="preserve"> as subsequently defined in this clause, and </w:t>
            </w:r>
            <m:oMath>
              <m:sSub>
                <m:sSubPr>
                  <m:ctrlPr>
                    <w:rPr>
                      <w:rFonts w:ascii="Cambria Math" w:eastAsia="DengXian" w:hAnsi="Cambria Math" w:cs="Arial"/>
                      <w:sz w:val="16"/>
                      <w:szCs w:val="16"/>
                    </w:rPr>
                  </m:ctrlPr>
                </m:sSubPr>
                <m:e>
                  <m:r>
                    <w:rPr>
                      <w:rFonts w:ascii="Cambria Math" w:hAnsi="Cambria Math" w:cs="Arial"/>
                      <w:sz w:val="16"/>
                      <w:szCs w:val="16"/>
                    </w:rPr>
                    <m:t>d</m:t>
                  </m:r>
                </m:e>
                <m:sub>
                  <m:r>
                    <m:rPr>
                      <m:sty m:val="p"/>
                    </m:rPr>
                    <w:rPr>
                      <w:rFonts w:ascii="Cambria Math" w:hAnsi="Cambria Math" w:cs="Arial"/>
                      <w:sz w:val="16"/>
                      <w:szCs w:val="16"/>
                    </w:rPr>
                    <m:t>1</m:t>
                  </m:r>
                </m:sub>
              </m:sSub>
            </m:oMath>
            <w:r w:rsidRPr="004E537C">
              <w:rPr>
                <w:rFonts w:ascii="Arial" w:hAnsi="Arial" w:cs="Arial"/>
                <w:sz w:val="16"/>
                <w:szCs w:val="16"/>
              </w:rPr>
              <w:t xml:space="preserve"> is determined by a reported UE capability</w:t>
            </w:r>
          </w:p>
          <w:p w14:paraId="305E5048" w14:textId="77777777" w:rsidR="004E537C" w:rsidRPr="004E537C" w:rsidRDefault="004E537C" w:rsidP="004E537C">
            <w:pPr>
              <w:ind w:left="568" w:hanging="284"/>
              <w:jc w:val="center"/>
              <w:rPr>
                <w:rFonts w:ascii="Arial" w:hAnsi="Arial" w:cs="Arial"/>
                <w:color w:val="000000"/>
                <w:sz w:val="16"/>
                <w:szCs w:val="16"/>
              </w:rPr>
            </w:pPr>
            <w:r w:rsidRPr="004E537C">
              <w:rPr>
                <w:rFonts w:ascii="Arial" w:hAnsi="Arial" w:cs="Arial"/>
                <w:color w:val="FF0000"/>
                <w:sz w:val="16"/>
                <w:szCs w:val="16"/>
              </w:rPr>
              <w:t>*** Unchanged text is omitted ***</w:t>
            </w:r>
          </w:p>
          <w:p w14:paraId="2D3A9726" w14:textId="77777777" w:rsidR="004E537C" w:rsidRPr="004E537C" w:rsidRDefault="004E537C" w:rsidP="004E537C">
            <w:pPr>
              <w:ind w:left="568"/>
              <w:rPr>
                <w:rFonts w:ascii="Arial" w:hAnsi="Arial" w:cs="Arial"/>
                <w:sz w:val="16"/>
                <w:szCs w:val="16"/>
              </w:rPr>
            </w:pPr>
            <w:r w:rsidRPr="004E537C">
              <w:rPr>
                <w:rFonts w:ascii="Arial" w:hAnsi="Arial" w:cs="Arial"/>
                <w:sz w:val="16"/>
                <w:szCs w:val="16"/>
              </w:rPr>
              <w:t xml:space="preserve">In the remaining of this clause, a UE multiplexes UCIs with same priority index in a PUCCH or a PUSCH before considering limitations for UE transmission </w:t>
            </w:r>
            <w:r w:rsidRPr="004E537C">
              <w:rPr>
                <w:rFonts w:ascii="Arial" w:hAnsi="Arial" w:cs="Arial"/>
                <w:color w:val="FF0000"/>
                <w:sz w:val="16"/>
                <w:szCs w:val="16"/>
                <w:u w:val="single"/>
              </w:rPr>
              <w:t>due to cell DRX operation or</w:t>
            </w:r>
            <w:r w:rsidRPr="004E537C">
              <w:rPr>
                <w:rFonts w:ascii="Arial" w:hAnsi="Arial" w:cs="Arial"/>
                <w:sz w:val="16"/>
                <w:szCs w:val="16"/>
              </w:rPr>
              <w:t xml:space="preserve"> as described in clauses 11.1, 11.1.1, 11.2A, 15 and 17.2. A PUCCH or a PUSCH is assumed to have a same priority index as a priority index of UCIs a UE multiplexes in the PUCCH or the PUSCH.</w:t>
            </w:r>
          </w:p>
          <w:p w14:paraId="3BC56119" w14:textId="77777777" w:rsidR="004E537C" w:rsidRPr="004E537C" w:rsidRDefault="004E537C" w:rsidP="004E537C">
            <w:pPr>
              <w:ind w:left="568" w:hanging="284"/>
              <w:jc w:val="center"/>
              <w:rPr>
                <w:rFonts w:ascii="Arial" w:hAnsi="Arial" w:cs="Arial"/>
                <w:color w:val="000000"/>
                <w:sz w:val="16"/>
                <w:szCs w:val="16"/>
              </w:rPr>
            </w:pPr>
            <w:r w:rsidRPr="004E537C">
              <w:rPr>
                <w:rFonts w:ascii="Arial" w:hAnsi="Arial" w:cs="Arial"/>
                <w:color w:val="FF0000"/>
                <w:sz w:val="16"/>
                <w:szCs w:val="16"/>
              </w:rPr>
              <w:t>*** Unchanged text is omitted ***</w:t>
            </w:r>
          </w:p>
        </w:tc>
      </w:tr>
    </w:tbl>
    <w:p w14:paraId="6E5A5983" w14:textId="77777777" w:rsidR="004E537C" w:rsidRPr="004E537C" w:rsidRDefault="004E537C" w:rsidP="004E537C">
      <w:pPr>
        <w:tabs>
          <w:tab w:val="left" w:pos="1480"/>
        </w:tabs>
        <w:jc w:val="both"/>
        <w:rPr>
          <w:rFonts w:ascii="Times New Roman" w:hAnsi="Times New Roman"/>
          <w:szCs w:val="20"/>
          <w:lang w:eastAsia="zh-CN"/>
        </w:rPr>
      </w:pPr>
    </w:p>
    <w:p w14:paraId="503F18B9" w14:textId="77777777" w:rsidR="008C1EBB" w:rsidRDefault="008C1EBB" w:rsidP="00BC5BE9">
      <w:pPr>
        <w:rPr>
          <w:lang w:eastAsia="x-none"/>
        </w:rPr>
      </w:pPr>
    </w:p>
    <w:p w14:paraId="7A190CFF" w14:textId="64005C8D" w:rsidR="004E537C" w:rsidRPr="009537ED" w:rsidRDefault="004E537C" w:rsidP="00BC5BE9">
      <w:pPr>
        <w:rPr>
          <w:lang w:eastAsia="x-none"/>
        </w:rPr>
      </w:pPr>
      <w:r>
        <w:rPr>
          <w:lang w:eastAsia="x-none"/>
        </w:rPr>
        <w:t xml:space="preserve">Final summary in </w:t>
      </w:r>
      <w:hyperlink r:id="rId1404" w:history="1">
        <w:r w:rsidR="00AF7253">
          <w:rPr>
            <w:rStyle w:val="Hyperlink"/>
            <w:lang w:eastAsia="x-none"/>
          </w:rPr>
          <w:t>R1-2312607</w:t>
        </w:r>
      </w:hyperlink>
      <w:r>
        <w:rPr>
          <w:lang w:eastAsia="x-none"/>
        </w:rPr>
        <w:t>.</w:t>
      </w:r>
    </w:p>
    <w:p w14:paraId="6BD9E602" w14:textId="77777777" w:rsidR="00F74A6F" w:rsidRPr="009537ED" w:rsidRDefault="00F74A6F" w:rsidP="00F74A6F">
      <w:pPr>
        <w:pStyle w:val="Heading2"/>
      </w:pPr>
      <w:bookmarkStart w:id="646" w:name="_Toc150174470"/>
      <w:bookmarkStart w:id="647" w:name="_Toc159251012"/>
      <w:r w:rsidRPr="009537ED">
        <w:t>Maintenance on XR Enhancements for NR</w:t>
      </w:r>
      <w:bookmarkEnd w:id="646"/>
      <w:bookmarkEnd w:id="647"/>
    </w:p>
    <w:p w14:paraId="244FC833" w14:textId="77777777" w:rsidR="00570EA9" w:rsidRPr="00570EA9" w:rsidRDefault="00F74A6F" w:rsidP="00F74A6F">
      <w:pPr>
        <w:rPr>
          <w:lang w:eastAsia="x-none"/>
        </w:rPr>
      </w:pPr>
      <w:r w:rsidRPr="00570EA9">
        <w:rPr>
          <w:lang w:eastAsia="x-none"/>
        </w:rPr>
        <w:t xml:space="preserve">[115-R18-XR] </w:t>
      </w:r>
      <w:r w:rsidR="00570EA9" w:rsidRPr="00570EA9">
        <w:rPr>
          <w:lang w:eastAsia="x-none"/>
        </w:rPr>
        <w:t>– Sorour (Ericsson)</w:t>
      </w:r>
    </w:p>
    <w:p w14:paraId="2159CA39" w14:textId="7A943F5D" w:rsidR="00F74A6F" w:rsidRPr="00570EA9" w:rsidRDefault="00F74A6F" w:rsidP="00F74A6F">
      <w:pPr>
        <w:rPr>
          <w:lang w:eastAsia="x-none"/>
        </w:rPr>
      </w:pPr>
      <w:r w:rsidRPr="00570EA9">
        <w:rPr>
          <w:lang w:eastAsia="x-none"/>
        </w:rPr>
        <w:t>Email discussion on XR</w:t>
      </w:r>
    </w:p>
    <w:p w14:paraId="0CAFAAFA" w14:textId="77777777" w:rsidR="00F74A6F" w:rsidRPr="00570EA9" w:rsidRDefault="00F74A6F" w:rsidP="00F74A6F">
      <w:pPr>
        <w:numPr>
          <w:ilvl w:val="0"/>
          <w:numId w:val="69"/>
        </w:numPr>
        <w:rPr>
          <w:lang w:eastAsia="x-none"/>
        </w:rPr>
      </w:pPr>
      <w:r w:rsidRPr="00570EA9">
        <w:rPr>
          <w:lang w:eastAsia="x-none"/>
        </w:rPr>
        <w:t>To be used for sharing updates on online/offline schedule, details on what is to be discussed in online/offline sessions, tdoc number of the moderator summary for online session, etc</w:t>
      </w:r>
    </w:p>
    <w:p w14:paraId="6AA89508" w14:textId="77777777" w:rsidR="00F74A6F" w:rsidRPr="009537ED" w:rsidRDefault="00F74A6F" w:rsidP="00570EA9">
      <w:pPr>
        <w:pStyle w:val="Heading3"/>
      </w:pPr>
      <w:bookmarkStart w:id="648" w:name="_Toc150174471"/>
      <w:bookmarkStart w:id="649" w:name="_Toc159251013"/>
      <w:r w:rsidRPr="009537ED">
        <w:t>XR-specific capacity enhancements</w:t>
      </w:r>
      <w:bookmarkEnd w:id="648"/>
      <w:bookmarkEnd w:id="649"/>
    </w:p>
    <w:p w14:paraId="606A31B7" w14:textId="5E2D8664" w:rsidR="00F74A6F" w:rsidRPr="009537ED" w:rsidRDefault="005A18DC" w:rsidP="00F74A6F">
      <w:pPr>
        <w:rPr>
          <w:lang w:eastAsia="x-none"/>
        </w:rPr>
      </w:pPr>
      <w:hyperlink r:id="rId1405" w:history="1">
        <w:r w:rsidR="00AF7253">
          <w:rPr>
            <w:rStyle w:val="Hyperlink"/>
            <w:lang w:eastAsia="x-none"/>
          </w:rPr>
          <w:t>R1-2310832</w:t>
        </w:r>
      </w:hyperlink>
      <w:r w:rsidR="00F74A6F" w:rsidRPr="009537ED">
        <w:rPr>
          <w:lang w:eastAsia="x-none"/>
        </w:rPr>
        <w:tab/>
        <w:t>Remaining issues of XR-specific capacity enhancements</w:t>
      </w:r>
      <w:r w:rsidR="00F74A6F" w:rsidRPr="009537ED">
        <w:rPr>
          <w:lang w:eastAsia="x-none"/>
        </w:rPr>
        <w:tab/>
        <w:t>FUTUREWEI</w:t>
      </w:r>
    </w:p>
    <w:p w14:paraId="65022334" w14:textId="457E36BA" w:rsidR="00F74A6F" w:rsidRPr="009537ED" w:rsidRDefault="005A18DC" w:rsidP="00F74A6F">
      <w:pPr>
        <w:rPr>
          <w:lang w:eastAsia="x-none"/>
        </w:rPr>
      </w:pPr>
      <w:hyperlink r:id="rId1406" w:history="1">
        <w:r w:rsidR="00AF7253">
          <w:rPr>
            <w:rStyle w:val="Hyperlink"/>
            <w:lang w:eastAsia="x-none"/>
          </w:rPr>
          <w:t>R1-2310995</w:t>
        </w:r>
      </w:hyperlink>
      <w:r w:rsidR="00F74A6F" w:rsidRPr="009537ED">
        <w:rPr>
          <w:lang w:eastAsia="x-none"/>
        </w:rPr>
        <w:tab/>
        <w:t>Discussion on remaining issues of XR</w:t>
      </w:r>
      <w:r w:rsidR="00F74A6F" w:rsidRPr="009537ED">
        <w:rPr>
          <w:lang w:eastAsia="x-none"/>
        </w:rPr>
        <w:tab/>
        <w:t>ZTE, Sanechips</w:t>
      </w:r>
    </w:p>
    <w:p w14:paraId="1E0D670C" w14:textId="59304725" w:rsidR="00F74A6F" w:rsidRPr="009537ED" w:rsidRDefault="005A18DC" w:rsidP="00F74A6F">
      <w:pPr>
        <w:rPr>
          <w:lang w:eastAsia="x-none"/>
        </w:rPr>
      </w:pPr>
      <w:hyperlink r:id="rId1407" w:history="1">
        <w:r w:rsidR="00AF7253">
          <w:rPr>
            <w:rStyle w:val="Hyperlink"/>
            <w:lang w:eastAsia="x-none"/>
          </w:rPr>
          <w:t>R1-2311104</w:t>
        </w:r>
      </w:hyperlink>
      <w:r w:rsidR="00F74A6F" w:rsidRPr="009537ED">
        <w:rPr>
          <w:lang w:eastAsia="x-none"/>
        </w:rPr>
        <w:tab/>
        <w:t>Remaining issue on XR specific capacity enhancements</w:t>
      </w:r>
      <w:r w:rsidR="00F74A6F" w:rsidRPr="009537ED">
        <w:rPr>
          <w:lang w:eastAsia="x-none"/>
        </w:rPr>
        <w:tab/>
        <w:t>vivo</w:t>
      </w:r>
    </w:p>
    <w:p w14:paraId="0336F315" w14:textId="54A374F2" w:rsidR="00F74A6F" w:rsidRPr="009537ED" w:rsidRDefault="005A18DC" w:rsidP="00F74A6F">
      <w:pPr>
        <w:rPr>
          <w:lang w:eastAsia="x-none"/>
        </w:rPr>
      </w:pPr>
      <w:hyperlink r:id="rId1408" w:history="1">
        <w:r w:rsidR="00AF7253">
          <w:rPr>
            <w:rStyle w:val="Hyperlink"/>
            <w:lang w:eastAsia="x-none"/>
          </w:rPr>
          <w:t>R1-2311273</w:t>
        </w:r>
      </w:hyperlink>
      <w:r w:rsidR="00F74A6F" w:rsidRPr="009537ED">
        <w:rPr>
          <w:lang w:eastAsia="x-none"/>
        </w:rPr>
        <w:tab/>
        <w:t>Remaining issues on XR specific capacity enhancements</w:t>
      </w:r>
      <w:r w:rsidR="00F74A6F" w:rsidRPr="009537ED">
        <w:rPr>
          <w:lang w:eastAsia="x-none"/>
        </w:rPr>
        <w:tab/>
        <w:t>OPPO</w:t>
      </w:r>
    </w:p>
    <w:p w14:paraId="6E181730" w14:textId="615E7A77" w:rsidR="00F74A6F" w:rsidRPr="009537ED" w:rsidRDefault="005A18DC" w:rsidP="00F74A6F">
      <w:pPr>
        <w:rPr>
          <w:lang w:eastAsia="x-none"/>
        </w:rPr>
      </w:pPr>
      <w:hyperlink r:id="rId1409" w:history="1">
        <w:r w:rsidR="00AF7253">
          <w:rPr>
            <w:rStyle w:val="Hyperlink"/>
            <w:lang w:eastAsia="x-none"/>
          </w:rPr>
          <w:t>R1-2311349</w:t>
        </w:r>
      </w:hyperlink>
      <w:r w:rsidR="00F74A6F" w:rsidRPr="009537ED">
        <w:rPr>
          <w:lang w:eastAsia="x-none"/>
        </w:rPr>
        <w:tab/>
        <w:t>Design of Multiple CG Occasions and unused CG occasion feedback</w:t>
      </w:r>
      <w:r w:rsidR="00F74A6F" w:rsidRPr="009537ED">
        <w:rPr>
          <w:lang w:eastAsia="x-none"/>
        </w:rPr>
        <w:tab/>
        <w:t>CATT</w:t>
      </w:r>
    </w:p>
    <w:p w14:paraId="2D3E6CE0" w14:textId="475D47A5" w:rsidR="00F74A6F" w:rsidRPr="009537ED" w:rsidRDefault="005A18DC" w:rsidP="00F74A6F">
      <w:pPr>
        <w:rPr>
          <w:lang w:eastAsia="x-none"/>
        </w:rPr>
      </w:pPr>
      <w:hyperlink r:id="rId1410" w:history="1">
        <w:r w:rsidR="00AF7253">
          <w:rPr>
            <w:rStyle w:val="Hyperlink"/>
            <w:lang w:eastAsia="x-none"/>
          </w:rPr>
          <w:t>R1-2311408</w:t>
        </w:r>
      </w:hyperlink>
      <w:r w:rsidR="00F74A6F" w:rsidRPr="009537ED">
        <w:rPr>
          <w:lang w:eastAsia="x-none"/>
        </w:rPr>
        <w:tab/>
        <w:t>Remaining issues on XR-specific capacity enhancements</w:t>
      </w:r>
      <w:r w:rsidR="00F74A6F" w:rsidRPr="009537ED">
        <w:rPr>
          <w:lang w:eastAsia="x-none"/>
        </w:rPr>
        <w:tab/>
        <w:t>xiaomi</w:t>
      </w:r>
    </w:p>
    <w:p w14:paraId="4EE38F16" w14:textId="1D3BF13E" w:rsidR="00F74A6F" w:rsidRPr="009537ED" w:rsidRDefault="005A18DC" w:rsidP="00F74A6F">
      <w:pPr>
        <w:rPr>
          <w:lang w:eastAsia="x-none"/>
        </w:rPr>
      </w:pPr>
      <w:hyperlink r:id="rId1411" w:history="1">
        <w:r w:rsidR="00AF7253">
          <w:rPr>
            <w:rStyle w:val="Hyperlink"/>
            <w:lang w:eastAsia="x-none"/>
          </w:rPr>
          <w:t>R1-2311489</w:t>
        </w:r>
      </w:hyperlink>
      <w:r w:rsidR="00F74A6F" w:rsidRPr="009537ED">
        <w:rPr>
          <w:lang w:eastAsia="x-none"/>
        </w:rPr>
        <w:tab/>
        <w:t>Remaining issues on XR-specific capacity enhancements</w:t>
      </w:r>
      <w:r w:rsidR="00F74A6F" w:rsidRPr="009537ED">
        <w:rPr>
          <w:lang w:eastAsia="x-none"/>
        </w:rPr>
        <w:tab/>
        <w:t>CMCC</w:t>
      </w:r>
    </w:p>
    <w:p w14:paraId="0AF5244C" w14:textId="16807302" w:rsidR="00F74A6F" w:rsidRPr="009537ED" w:rsidRDefault="005A18DC" w:rsidP="00F74A6F">
      <w:pPr>
        <w:rPr>
          <w:lang w:eastAsia="x-none"/>
        </w:rPr>
      </w:pPr>
      <w:hyperlink r:id="rId1412" w:history="1">
        <w:r w:rsidR="00AF7253">
          <w:rPr>
            <w:rStyle w:val="Hyperlink"/>
            <w:lang w:eastAsia="x-none"/>
          </w:rPr>
          <w:t>R1-2311533</w:t>
        </w:r>
      </w:hyperlink>
      <w:r w:rsidR="00F74A6F" w:rsidRPr="009537ED">
        <w:rPr>
          <w:lang w:eastAsia="x-none"/>
        </w:rPr>
        <w:tab/>
        <w:t>Remaining issues on XR-specific capacity enhancements</w:t>
      </w:r>
      <w:r w:rsidR="00F74A6F" w:rsidRPr="009537ED">
        <w:rPr>
          <w:lang w:eastAsia="x-none"/>
        </w:rPr>
        <w:tab/>
        <w:t>InterDigital, Inc.</w:t>
      </w:r>
    </w:p>
    <w:p w14:paraId="797E4143" w14:textId="0F42CD83" w:rsidR="00F74A6F" w:rsidRPr="009537ED" w:rsidRDefault="005A18DC" w:rsidP="00F74A6F">
      <w:pPr>
        <w:rPr>
          <w:lang w:eastAsia="x-none"/>
        </w:rPr>
      </w:pPr>
      <w:hyperlink r:id="rId1413" w:history="1">
        <w:r w:rsidR="00AF7253">
          <w:rPr>
            <w:rStyle w:val="Hyperlink"/>
            <w:lang w:eastAsia="x-none"/>
          </w:rPr>
          <w:t>R1-2311628</w:t>
        </w:r>
      </w:hyperlink>
      <w:r w:rsidR="00F74A6F" w:rsidRPr="009537ED">
        <w:rPr>
          <w:lang w:eastAsia="x-none"/>
        </w:rPr>
        <w:tab/>
        <w:t>Discussion on maintenance on XR enhancements</w:t>
      </w:r>
      <w:r w:rsidR="00F74A6F" w:rsidRPr="009537ED">
        <w:rPr>
          <w:lang w:eastAsia="x-none"/>
        </w:rPr>
        <w:tab/>
        <w:t>NTT DOCOMO, INC.</w:t>
      </w:r>
    </w:p>
    <w:p w14:paraId="7B9A9661" w14:textId="2331D7FE" w:rsidR="00F74A6F" w:rsidRPr="009537ED" w:rsidRDefault="005A18DC" w:rsidP="00F74A6F">
      <w:pPr>
        <w:rPr>
          <w:lang w:eastAsia="x-none"/>
        </w:rPr>
      </w:pPr>
      <w:hyperlink r:id="rId1414" w:history="1">
        <w:r w:rsidR="00AF7253">
          <w:rPr>
            <w:rStyle w:val="Hyperlink"/>
            <w:lang w:eastAsia="x-none"/>
          </w:rPr>
          <w:t>R1-2311691</w:t>
        </w:r>
      </w:hyperlink>
      <w:r w:rsidR="00F74A6F" w:rsidRPr="009537ED">
        <w:rPr>
          <w:lang w:eastAsia="x-none"/>
        </w:rPr>
        <w:tab/>
        <w:t>Remaining issues in XR-specific capacity enhancements</w:t>
      </w:r>
      <w:r w:rsidR="00F74A6F" w:rsidRPr="009537ED">
        <w:rPr>
          <w:lang w:eastAsia="x-none"/>
        </w:rPr>
        <w:tab/>
        <w:t>Apple</w:t>
      </w:r>
    </w:p>
    <w:p w14:paraId="74880EEE" w14:textId="7A471315" w:rsidR="00F74A6F" w:rsidRPr="009537ED" w:rsidRDefault="005A18DC" w:rsidP="00F74A6F">
      <w:pPr>
        <w:rPr>
          <w:lang w:eastAsia="x-none"/>
        </w:rPr>
      </w:pPr>
      <w:hyperlink r:id="rId1415" w:history="1">
        <w:r w:rsidR="00AF7253">
          <w:rPr>
            <w:rStyle w:val="Hyperlink"/>
            <w:lang w:eastAsia="x-none"/>
          </w:rPr>
          <w:t>R1-2311732</w:t>
        </w:r>
      </w:hyperlink>
      <w:r w:rsidR="00F74A6F" w:rsidRPr="009537ED">
        <w:rPr>
          <w:lang w:eastAsia="x-none"/>
        </w:rPr>
        <w:tab/>
        <w:t>XR-specific capacity enhancements</w:t>
      </w:r>
      <w:r w:rsidR="00F74A6F" w:rsidRPr="009537ED">
        <w:rPr>
          <w:lang w:eastAsia="x-none"/>
        </w:rPr>
        <w:tab/>
        <w:t>Nokia, Nokia Shanghai Bell</w:t>
      </w:r>
    </w:p>
    <w:p w14:paraId="22B1BEDE" w14:textId="13D89FF1" w:rsidR="00F74A6F" w:rsidRPr="009537ED" w:rsidRDefault="005A18DC" w:rsidP="00F74A6F">
      <w:pPr>
        <w:rPr>
          <w:lang w:eastAsia="x-none"/>
        </w:rPr>
      </w:pPr>
      <w:hyperlink r:id="rId1416" w:history="1">
        <w:r w:rsidR="00AF7253">
          <w:rPr>
            <w:rStyle w:val="Hyperlink"/>
            <w:lang w:eastAsia="x-none"/>
          </w:rPr>
          <w:t>R1-2311851</w:t>
        </w:r>
      </w:hyperlink>
      <w:r w:rsidR="00F74A6F" w:rsidRPr="009537ED">
        <w:rPr>
          <w:lang w:eastAsia="x-none"/>
        </w:rPr>
        <w:tab/>
        <w:t>Remaining issues on XR</w:t>
      </w:r>
      <w:r w:rsidR="00F74A6F" w:rsidRPr="009537ED">
        <w:rPr>
          <w:lang w:eastAsia="x-none"/>
        </w:rPr>
        <w:tab/>
        <w:t>Samsung</w:t>
      </w:r>
    </w:p>
    <w:p w14:paraId="17F40E9C" w14:textId="36DA0B0B" w:rsidR="00F74A6F" w:rsidRPr="009537ED" w:rsidRDefault="005A18DC" w:rsidP="00F74A6F">
      <w:pPr>
        <w:rPr>
          <w:lang w:eastAsia="x-none"/>
        </w:rPr>
      </w:pPr>
      <w:hyperlink r:id="rId1417" w:history="1">
        <w:r w:rsidR="00AF7253">
          <w:rPr>
            <w:rStyle w:val="Hyperlink"/>
            <w:lang w:eastAsia="x-none"/>
          </w:rPr>
          <w:t>R1-2311897</w:t>
        </w:r>
      </w:hyperlink>
      <w:r w:rsidR="00F74A6F" w:rsidRPr="009537ED">
        <w:rPr>
          <w:lang w:eastAsia="x-none"/>
        </w:rPr>
        <w:tab/>
        <w:t>Remaining issues on XR-specific capacity enhancements</w:t>
      </w:r>
      <w:r w:rsidR="00F74A6F" w:rsidRPr="009537ED">
        <w:rPr>
          <w:lang w:eastAsia="x-none"/>
        </w:rPr>
        <w:tab/>
        <w:t>LG Electronics</w:t>
      </w:r>
    </w:p>
    <w:p w14:paraId="08E146D9" w14:textId="43852840" w:rsidR="00F74A6F" w:rsidRPr="009537ED" w:rsidRDefault="005A18DC" w:rsidP="00F74A6F">
      <w:pPr>
        <w:rPr>
          <w:lang w:eastAsia="x-none"/>
        </w:rPr>
      </w:pPr>
      <w:hyperlink r:id="rId1418" w:history="1">
        <w:r w:rsidR="00AF7253">
          <w:rPr>
            <w:rStyle w:val="Hyperlink"/>
            <w:lang w:eastAsia="x-none"/>
          </w:rPr>
          <w:t>R1-2311905</w:t>
        </w:r>
      </w:hyperlink>
      <w:r w:rsidR="00F74A6F" w:rsidRPr="009537ED">
        <w:rPr>
          <w:lang w:eastAsia="x-none"/>
        </w:rPr>
        <w:tab/>
        <w:t>On Maintenance of XR enhancements for NR</w:t>
      </w:r>
      <w:r w:rsidR="00F74A6F" w:rsidRPr="009537ED">
        <w:rPr>
          <w:lang w:eastAsia="x-none"/>
        </w:rPr>
        <w:tab/>
        <w:t>Ericsson</w:t>
      </w:r>
    </w:p>
    <w:p w14:paraId="4567B3F2" w14:textId="6893F6E4" w:rsidR="00F74A6F" w:rsidRPr="009537ED" w:rsidRDefault="005A18DC" w:rsidP="00F74A6F">
      <w:pPr>
        <w:rPr>
          <w:lang w:eastAsia="x-none"/>
        </w:rPr>
      </w:pPr>
      <w:hyperlink r:id="rId1419" w:history="1">
        <w:r w:rsidR="00AF7253">
          <w:rPr>
            <w:rStyle w:val="Hyperlink"/>
            <w:lang w:eastAsia="x-none"/>
          </w:rPr>
          <w:t>R1-2311953</w:t>
        </w:r>
      </w:hyperlink>
      <w:r w:rsidR="00F74A6F" w:rsidRPr="009537ED">
        <w:rPr>
          <w:lang w:eastAsia="x-none"/>
        </w:rPr>
        <w:tab/>
        <w:t>Clarification on UTO-UCI and HARQ-ACK multiplexing on PUSCH</w:t>
      </w:r>
      <w:r w:rsidR="00F74A6F" w:rsidRPr="009537ED">
        <w:rPr>
          <w:lang w:eastAsia="x-none"/>
        </w:rPr>
        <w:tab/>
        <w:t>Sharp</w:t>
      </w:r>
    </w:p>
    <w:p w14:paraId="366F1ED6" w14:textId="4AC5D289" w:rsidR="00F74A6F" w:rsidRPr="009537ED" w:rsidRDefault="005A18DC" w:rsidP="00F74A6F">
      <w:pPr>
        <w:rPr>
          <w:lang w:eastAsia="x-none"/>
        </w:rPr>
      </w:pPr>
      <w:hyperlink r:id="rId1420" w:history="1">
        <w:r w:rsidR="00AF7253">
          <w:rPr>
            <w:rStyle w:val="Hyperlink"/>
            <w:lang w:eastAsia="x-none"/>
          </w:rPr>
          <w:t>R1-2312043</w:t>
        </w:r>
      </w:hyperlink>
      <w:r w:rsidR="00F74A6F" w:rsidRPr="009537ED">
        <w:rPr>
          <w:lang w:eastAsia="x-none"/>
        </w:rPr>
        <w:tab/>
        <w:t>Maintenance on XR Enhancements</w:t>
      </w:r>
      <w:r w:rsidR="00F74A6F" w:rsidRPr="009537ED">
        <w:rPr>
          <w:lang w:eastAsia="x-none"/>
        </w:rPr>
        <w:tab/>
        <w:t>Qualcomm Incorporated</w:t>
      </w:r>
    </w:p>
    <w:p w14:paraId="5FFEBC00" w14:textId="6F39EB19" w:rsidR="00F74A6F" w:rsidRDefault="005A18DC" w:rsidP="00F74A6F">
      <w:pPr>
        <w:rPr>
          <w:lang w:eastAsia="x-none"/>
        </w:rPr>
      </w:pPr>
      <w:hyperlink r:id="rId1421" w:history="1">
        <w:r w:rsidR="00AF7253">
          <w:rPr>
            <w:rStyle w:val="Hyperlink"/>
            <w:lang w:eastAsia="x-none"/>
          </w:rPr>
          <w:t>R1-2312217</w:t>
        </w:r>
      </w:hyperlink>
      <w:r w:rsidR="00F74A6F" w:rsidRPr="009537ED">
        <w:rPr>
          <w:lang w:eastAsia="x-none"/>
        </w:rPr>
        <w:tab/>
        <w:t>Maintenance of CG enhancements for XR capacity</w:t>
      </w:r>
      <w:r w:rsidR="00F74A6F" w:rsidRPr="009537ED">
        <w:rPr>
          <w:lang w:eastAsia="x-none"/>
        </w:rPr>
        <w:tab/>
        <w:t>Huawei, HiSilicon</w:t>
      </w:r>
    </w:p>
    <w:p w14:paraId="1D2AFA38" w14:textId="77777777" w:rsidR="00570EA9" w:rsidRDefault="00570EA9" w:rsidP="00F74A6F">
      <w:pPr>
        <w:rPr>
          <w:lang w:eastAsia="x-none"/>
        </w:rPr>
      </w:pPr>
    </w:p>
    <w:p w14:paraId="4AACC3BC" w14:textId="00219EB3" w:rsidR="00570EA9" w:rsidRPr="00570EA9" w:rsidRDefault="005A18DC" w:rsidP="00570EA9">
      <w:pPr>
        <w:rPr>
          <w:b/>
          <w:bCs/>
          <w:lang w:eastAsia="x-none"/>
        </w:rPr>
      </w:pPr>
      <w:hyperlink r:id="rId1422" w:history="1">
        <w:r w:rsidR="00AF7253">
          <w:rPr>
            <w:rStyle w:val="Hyperlink"/>
            <w:b/>
            <w:bCs/>
            <w:lang w:eastAsia="x-none"/>
          </w:rPr>
          <w:t>R1-2312385</w:t>
        </w:r>
      </w:hyperlink>
      <w:r w:rsidR="00570EA9" w:rsidRPr="00570EA9">
        <w:rPr>
          <w:b/>
          <w:bCs/>
          <w:lang w:eastAsia="x-none"/>
        </w:rPr>
        <w:tab/>
        <w:t>Moderator Summary#1 - Maintenance of XR Enhancements</w:t>
      </w:r>
      <w:r w:rsidR="00570EA9" w:rsidRPr="00570EA9">
        <w:rPr>
          <w:b/>
          <w:bCs/>
          <w:lang w:eastAsia="x-none"/>
        </w:rPr>
        <w:tab/>
        <w:t>Moderator (Ericsson)</w:t>
      </w:r>
    </w:p>
    <w:p w14:paraId="7485DBB4" w14:textId="77777777" w:rsidR="00570EA9" w:rsidRDefault="00570EA9" w:rsidP="00570EA9">
      <w:pPr>
        <w:rPr>
          <w:lang w:eastAsia="x-none"/>
        </w:rPr>
      </w:pPr>
      <w:r>
        <w:rPr>
          <w:lang w:eastAsia="x-none"/>
        </w:rPr>
        <w:t>From Tuesday session</w:t>
      </w:r>
    </w:p>
    <w:p w14:paraId="1D07F9BA" w14:textId="12F1E937" w:rsidR="00570EA9" w:rsidRDefault="00570EA9" w:rsidP="00570EA9">
      <w:pPr>
        <w:rPr>
          <w:lang w:eastAsia="x-none"/>
        </w:rPr>
      </w:pPr>
      <w:r w:rsidRPr="00570EA9">
        <w:rPr>
          <w:highlight w:val="green"/>
          <w:lang w:eastAsia="x-none"/>
        </w:rPr>
        <w:t>Agreement</w:t>
      </w:r>
    </w:p>
    <w:p w14:paraId="7F11C644" w14:textId="424BFD42" w:rsidR="00570EA9" w:rsidRPr="00570EA9" w:rsidRDefault="00570EA9" w:rsidP="00570EA9">
      <w:pPr>
        <w:tabs>
          <w:tab w:val="left" w:pos="1567"/>
        </w:tabs>
      </w:pPr>
      <w:r w:rsidRPr="00570EA9">
        <w:t>Endorse the following TP for TS38.214.</w:t>
      </w:r>
    </w:p>
    <w:tbl>
      <w:tblPr>
        <w:tblW w:w="5000" w:type="pct"/>
        <w:tblCellMar>
          <w:left w:w="42" w:type="dxa"/>
          <w:right w:w="42" w:type="dxa"/>
        </w:tblCellMar>
        <w:tblLook w:val="04A0" w:firstRow="1" w:lastRow="0" w:firstColumn="1" w:lastColumn="0" w:noHBand="0" w:noVBand="1"/>
      </w:tblPr>
      <w:tblGrid>
        <w:gridCol w:w="2948"/>
        <w:gridCol w:w="7603"/>
      </w:tblGrid>
      <w:tr w:rsidR="00570EA9" w:rsidRPr="00570EA9" w14:paraId="286A0CBC" w14:textId="77777777" w:rsidTr="00D3237F">
        <w:tc>
          <w:tcPr>
            <w:tcW w:w="1397" w:type="pct"/>
            <w:tcBorders>
              <w:top w:val="single" w:sz="4" w:space="0" w:color="auto"/>
              <w:left w:val="single" w:sz="4" w:space="0" w:color="auto"/>
            </w:tcBorders>
          </w:tcPr>
          <w:p w14:paraId="02F26F9E" w14:textId="77777777" w:rsidR="00570EA9" w:rsidRPr="00570EA9" w:rsidRDefault="00570EA9" w:rsidP="00570EA9">
            <w:pPr>
              <w:tabs>
                <w:tab w:val="right" w:pos="2184"/>
              </w:tabs>
              <w:spacing w:line="259" w:lineRule="auto"/>
              <w:jc w:val="both"/>
              <w:rPr>
                <w:rFonts w:ascii="Arial" w:eastAsia="SimSun" w:hAnsi="Arial"/>
                <w:b/>
                <w:i/>
                <w:sz w:val="16"/>
                <w:szCs w:val="16"/>
                <w:lang w:eastAsia="ko-KR"/>
              </w:rPr>
            </w:pPr>
            <w:r w:rsidRPr="00570EA9">
              <w:rPr>
                <w:rFonts w:ascii="Arial" w:eastAsia="SimSun" w:hAnsi="Arial"/>
                <w:b/>
                <w:i/>
                <w:sz w:val="16"/>
                <w:szCs w:val="16"/>
                <w:lang w:eastAsia="ko-KR"/>
              </w:rPr>
              <w:t>Reason for change:</w:t>
            </w:r>
          </w:p>
        </w:tc>
        <w:tc>
          <w:tcPr>
            <w:tcW w:w="3603" w:type="pct"/>
            <w:tcBorders>
              <w:top w:val="single" w:sz="4" w:space="0" w:color="auto"/>
              <w:right w:val="single" w:sz="4" w:space="0" w:color="auto"/>
            </w:tcBorders>
            <w:shd w:val="pct30" w:color="FFFF00" w:fill="auto"/>
          </w:tcPr>
          <w:p w14:paraId="29B0AE68" w14:textId="77777777" w:rsidR="00570EA9" w:rsidRPr="00570EA9" w:rsidRDefault="00570EA9" w:rsidP="00AA1D48">
            <w:pPr>
              <w:numPr>
                <w:ilvl w:val="0"/>
                <w:numId w:val="128"/>
              </w:numPr>
              <w:spacing w:line="259" w:lineRule="auto"/>
              <w:jc w:val="both"/>
              <w:rPr>
                <w:rFonts w:ascii="Arial" w:hAnsi="Arial" w:cs="Arial"/>
                <w:sz w:val="16"/>
                <w:szCs w:val="16"/>
                <w:lang w:eastAsia="ja-JP"/>
              </w:rPr>
            </w:pPr>
            <w:r w:rsidRPr="00570EA9">
              <w:rPr>
                <w:rFonts w:ascii="Arial" w:hAnsi="Arial" w:cs="Arial"/>
                <w:sz w:val="16"/>
                <w:szCs w:val="16"/>
                <w:lang w:val="en-US" w:eastAsia="ja-JP"/>
              </w:rPr>
              <w:t>Repetition and TB processing over multiple slots are not supported for multi-PUSCHs CG. The current description can be improved to address each case independently.</w:t>
            </w:r>
          </w:p>
          <w:p w14:paraId="7A1F937D" w14:textId="77777777" w:rsidR="00570EA9" w:rsidRPr="00570EA9" w:rsidRDefault="00570EA9" w:rsidP="00AA1D48">
            <w:pPr>
              <w:numPr>
                <w:ilvl w:val="0"/>
                <w:numId w:val="128"/>
              </w:numPr>
              <w:spacing w:line="259" w:lineRule="auto"/>
              <w:jc w:val="both"/>
              <w:rPr>
                <w:rFonts w:ascii="Arial" w:hAnsi="Arial" w:cs="Arial"/>
                <w:iCs/>
                <w:sz w:val="16"/>
                <w:szCs w:val="16"/>
                <w:lang w:eastAsia="x-none"/>
              </w:rPr>
            </w:pPr>
            <w:r w:rsidRPr="00570EA9">
              <w:rPr>
                <w:rFonts w:ascii="Arial" w:hAnsi="Arial" w:cs="Arial"/>
                <w:sz w:val="16"/>
                <w:szCs w:val="16"/>
                <w:lang w:eastAsia="x-none"/>
              </w:rPr>
              <w:t xml:space="preserve">The time domain allocation across slots when </w:t>
            </w:r>
            <w:r w:rsidRPr="00570EA9">
              <w:rPr>
                <w:rFonts w:ascii="Arial" w:hAnsi="Arial" w:cs="Arial"/>
                <w:i/>
                <w:sz w:val="16"/>
                <w:szCs w:val="16"/>
                <w:lang w:eastAsia="x-none"/>
              </w:rPr>
              <w:t>cg-nrofSlots</w:t>
            </w:r>
            <w:r w:rsidRPr="00570EA9">
              <w:rPr>
                <w:rFonts w:ascii="Arial" w:hAnsi="Arial" w:cs="Arial"/>
                <w:iCs/>
                <w:sz w:val="16"/>
                <w:szCs w:val="16"/>
                <w:lang w:eastAsia="x-none"/>
              </w:rPr>
              <w:t xml:space="preserve"> or </w:t>
            </w:r>
            <w:r w:rsidRPr="00570EA9">
              <w:rPr>
                <w:rFonts w:ascii="Arial" w:hAnsi="Arial" w:cs="Arial"/>
                <w:i/>
                <w:color w:val="000000"/>
                <w:sz w:val="16"/>
                <w:szCs w:val="16"/>
                <w:lang w:eastAsia="x-none"/>
              </w:rPr>
              <w:t>nrofSlots_InCGperiod</w:t>
            </w:r>
            <w:r w:rsidRPr="00570EA9">
              <w:rPr>
                <w:rFonts w:ascii="Arial" w:hAnsi="Arial" w:cs="Arial"/>
                <w:iCs/>
                <w:sz w:val="16"/>
                <w:szCs w:val="16"/>
                <w:lang w:eastAsia="x-none"/>
              </w:rPr>
              <w:t xml:space="preserve">  for NR-U CG and multi-PUSCH CG, respectively, can be improved to clearly specify the same time domain allocation is used across the slots.</w:t>
            </w:r>
          </w:p>
        </w:tc>
      </w:tr>
      <w:tr w:rsidR="00570EA9" w:rsidRPr="00570EA9" w14:paraId="19EC7F5A" w14:textId="77777777" w:rsidTr="00D3237F">
        <w:tc>
          <w:tcPr>
            <w:tcW w:w="1397" w:type="pct"/>
            <w:tcBorders>
              <w:left w:val="single" w:sz="4" w:space="0" w:color="auto"/>
            </w:tcBorders>
          </w:tcPr>
          <w:p w14:paraId="0777588D" w14:textId="77777777" w:rsidR="00570EA9" w:rsidRPr="00570EA9" w:rsidRDefault="00570EA9" w:rsidP="00570EA9">
            <w:pPr>
              <w:spacing w:line="259" w:lineRule="auto"/>
              <w:jc w:val="both"/>
              <w:rPr>
                <w:rFonts w:ascii="Arial" w:eastAsia="SimSun" w:hAnsi="Arial"/>
                <w:b/>
                <w:i/>
                <w:sz w:val="16"/>
                <w:szCs w:val="16"/>
                <w:lang w:eastAsia="ko-KR"/>
              </w:rPr>
            </w:pPr>
          </w:p>
        </w:tc>
        <w:tc>
          <w:tcPr>
            <w:tcW w:w="3603" w:type="pct"/>
            <w:tcBorders>
              <w:right w:val="single" w:sz="4" w:space="0" w:color="auto"/>
            </w:tcBorders>
          </w:tcPr>
          <w:p w14:paraId="088CBAF2" w14:textId="77777777" w:rsidR="00570EA9" w:rsidRPr="00570EA9" w:rsidRDefault="00570EA9" w:rsidP="00570EA9">
            <w:pPr>
              <w:spacing w:line="259" w:lineRule="auto"/>
              <w:jc w:val="both"/>
              <w:rPr>
                <w:rFonts w:ascii="Arial" w:eastAsia="SimSun" w:hAnsi="Arial" w:cs="Arial"/>
                <w:sz w:val="16"/>
                <w:szCs w:val="16"/>
                <w:lang w:eastAsia="ko-KR"/>
              </w:rPr>
            </w:pPr>
          </w:p>
        </w:tc>
      </w:tr>
      <w:tr w:rsidR="00570EA9" w:rsidRPr="00570EA9" w14:paraId="07A51E51" w14:textId="77777777" w:rsidTr="00D3237F">
        <w:tc>
          <w:tcPr>
            <w:tcW w:w="1397" w:type="pct"/>
            <w:tcBorders>
              <w:left w:val="single" w:sz="4" w:space="0" w:color="auto"/>
            </w:tcBorders>
          </w:tcPr>
          <w:p w14:paraId="20DE6455" w14:textId="77777777" w:rsidR="00570EA9" w:rsidRPr="00570EA9" w:rsidRDefault="00570EA9" w:rsidP="00570EA9">
            <w:pPr>
              <w:tabs>
                <w:tab w:val="right" w:pos="2184"/>
              </w:tabs>
              <w:spacing w:line="259" w:lineRule="auto"/>
              <w:jc w:val="both"/>
              <w:rPr>
                <w:rFonts w:ascii="Arial" w:eastAsia="SimSun" w:hAnsi="Arial"/>
                <w:b/>
                <w:i/>
                <w:sz w:val="16"/>
                <w:szCs w:val="16"/>
                <w:lang w:eastAsia="ko-KR"/>
              </w:rPr>
            </w:pPr>
            <w:r w:rsidRPr="00570EA9">
              <w:rPr>
                <w:rFonts w:ascii="Arial" w:eastAsia="SimSun" w:hAnsi="Arial"/>
                <w:b/>
                <w:i/>
                <w:sz w:val="16"/>
                <w:szCs w:val="16"/>
                <w:lang w:eastAsia="ko-KR"/>
              </w:rPr>
              <w:t>Summary of change:</w:t>
            </w:r>
          </w:p>
        </w:tc>
        <w:tc>
          <w:tcPr>
            <w:tcW w:w="3603" w:type="pct"/>
            <w:tcBorders>
              <w:right w:val="single" w:sz="4" w:space="0" w:color="auto"/>
            </w:tcBorders>
            <w:shd w:val="pct30" w:color="FFFF00" w:fill="auto"/>
          </w:tcPr>
          <w:p w14:paraId="0EBBD30B" w14:textId="77777777" w:rsidR="00570EA9" w:rsidRPr="00570EA9" w:rsidRDefault="00570EA9" w:rsidP="00AA1D48">
            <w:pPr>
              <w:numPr>
                <w:ilvl w:val="0"/>
                <w:numId w:val="129"/>
              </w:numPr>
              <w:spacing w:line="259" w:lineRule="auto"/>
              <w:jc w:val="both"/>
              <w:rPr>
                <w:rFonts w:ascii="Arial" w:eastAsia="SimSun" w:hAnsi="Arial" w:cs="Arial"/>
                <w:sz w:val="16"/>
                <w:szCs w:val="16"/>
                <w:lang w:eastAsia="ko-KR"/>
              </w:rPr>
            </w:pPr>
            <w:r w:rsidRPr="00570EA9">
              <w:rPr>
                <w:rFonts w:ascii="Arial" w:eastAsia="SimSun" w:hAnsi="Arial" w:cs="Arial"/>
                <w:sz w:val="16"/>
                <w:szCs w:val="16"/>
                <w:lang w:eastAsia="ko-KR"/>
              </w:rPr>
              <w:t xml:space="preserve">Describe that repetition is not supported for multi-PUSCH CG and TBoMs is not supported for multi-PUSCH CG. </w:t>
            </w:r>
          </w:p>
          <w:p w14:paraId="569C0F62" w14:textId="77777777" w:rsidR="00570EA9" w:rsidRPr="00570EA9" w:rsidRDefault="00570EA9" w:rsidP="00570EA9">
            <w:pPr>
              <w:spacing w:line="259" w:lineRule="auto"/>
              <w:jc w:val="both"/>
              <w:rPr>
                <w:rFonts w:ascii="Arial" w:eastAsia="SimSun" w:hAnsi="Arial" w:cs="Arial"/>
                <w:sz w:val="16"/>
                <w:szCs w:val="16"/>
                <w:lang w:eastAsia="ko-KR"/>
              </w:rPr>
            </w:pPr>
          </w:p>
          <w:p w14:paraId="3C06F9E5" w14:textId="77777777" w:rsidR="00570EA9" w:rsidRPr="00570EA9" w:rsidRDefault="00570EA9" w:rsidP="00AA1D48">
            <w:pPr>
              <w:numPr>
                <w:ilvl w:val="0"/>
                <w:numId w:val="129"/>
              </w:numPr>
              <w:spacing w:line="259" w:lineRule="auto"/>
              <w:jc w:val="both"/>
              <w:rPr>
                <w:rFonts w:ascii="Arial" w:eastAsia="SimSun" w:hAnsi="Arial" w:cs="Arial"/>
                <w:sz w:val="16"/>
                <w:szCs w:val="16"/>
                <w:lang w:eastAsia="ko-KR"/>
              </w:rPr>
            </w:pPr>
            <w:r w:rsidRPr="00570EA9">
              <w:rPr>
                <w:rFonts w:ascii="Arial" w:eastAsia="SimSun" w:hAnsi="Arial" w:cs="Arial"/>
                <w:sz w:val="16"/>
                <w:szCs w:val="16"/>
                <w:lang w:eastAsia="ko-KR"/>
              </w:rPr>
              <w:t xml:space="preserve">Clarify that the same SLIV across slots is used when </w:t>
            </w:r>
            <w:r w:rsidRPr="00570EA9">
              <w:rPr>
                <w:rFonts w:ascii="Arial" w:eastAsia="SimSun" w:hAnsi="Arial" w:cs="Arial"/>
                <w:i/>
                <w:sz w:val="16"/>
                <w:szCs w:val="16"/>
                <w:lang w:eastAsia="ko-KR"/>
              </w:rPr>
              <w:t>cg-nrofSlots</w:t>
            </w:r>
            <w:r w:rsidRPr="00570EA9">
              <w:rPr>
                <w:rFonts w:ascii="Arial" w:eastAsia="SimSun" w:hAnsi="Arial" w:cs="Arial"/>
                <w:iCs/>
                <w:sz w:val="16"/>
                <w:szCs w:val="16"/>
                <w:lang w:eastAsia="ko-KR"/>
              </w:rPr>
              <w:t xml:space="preserve"> or </w:t>
            </w:r>
            <w:r w:rsidRPr="00570EA9">
              <w:rPr>
                <w:rFonts w:ascii="Arial" w:eastAsia="SimSun" w:hAnsi="Arial" w:cs="Arial"/>
                <w:i/>
                <w:color w:val="000000"/>
                <w:sz w:val="16"/>
                <w:szCs w:val="16"/>
                <w:lang w:eastAsia="ko-KR"/>
              </w:rPr>
              <w:t>nrofSlots_InCGperiod</w:t>
            </w:r>
            <w:r w:rsidRPr="00570EA9">
              <w:rPr>
                <w:rFonts w:ascii="Arial" w:eastAsia="SimSun" w:hAnsi="Arial" w:cs="Arial"/>
                <w:iCs/>
                <w:sz w:val="16"/>
                <w:szCs w:val="16"/>
                <w:lang w:eastAsia="ko-KR"/>
              </w:rPr>
              <w:t xml:space="preserve"> is configured.</w:t>
            </w:r>
          </w:p>
          <w:p w14:paraId="72AD911E" w14:textId="77777777" w:rsidR="00570EA9" w:rsidRPr="00570EA9" w:rsidRDefault="00570EA9" w:rsidP="00570EA9">
            <w:pPr>
              <w:spacing w:line="259" w:lineRule="auto"/>
              <w:jc w:val="both"/>
              <w:rPr>
                <w:rFonts w:ascii="Arial" w:eastAsia="SimSun" w:hAnsi="Arial" w:cs="Arial"/>
                <w:sz w:val="16"/>
                <w:szCs w:val="16"/>
                <w:lang w:eastAsia="ko-KR"/>
              </w:rPr>
            </w:pPr>
          </w:p>
        </w:tc>
      </w:tr>
      <w:tr w:rsidR="00570EA9" w:rsidRPr="00570EA9" w14:paraId="27B62CB1" w14:textId="77777777" w:rsidTr="00D3237F">
        <w:tc>
          <w:tcPr>
            <w:tcW w:w="1397" w:type="pct"/>
            <w:tcBorders>
              <w:left w:val="single" w:sz="4" w:space="0" w:color="auto"/>
            </w:tcBorders>
          </w:tcPr>
          <w:p w14:paraId="6488CAFC" w14:textId="77777777" w:rsidR="00570EA9" w:rsidRPr="00570EA9" w:rsidRDefault="00570EA9" w:rsidP="00570EA9">
            <w:pPr>
              <w:spacing w:line="259" w:lineRule="auto"/>
              <w:jc w:val="both"/>
              <w:rPr>
                <w:rFonts w:ascii="Arial" w:eastAsia="SimSun" w:hAnsi="Arial"/>
                <w:b/>
                <w:i/>
                <w:sz w:val="16"/>
                <w:szCs w:val="16"/>
                <w:lang w:eastAsia="ko-KR"/>
              </w:rPr>
            </w:pPr>
          </w:p>
        </w:tc>
        <w:tc>
          <w:tcPr>
            <w:tcW w:w="3603" w:type="pct"/>
            <w:tcBorders>
              <w:right w:val="single" w:sz="4" w:space="0" w:color="auto"/>
            </w:tcBorders>
          </w:tcPr>
          <w:p w14:paraId="6EE02346" w14:textId="77777777" w:rsidR="00570EA9" w:rsidRPr="00570EA9" w:rsidRDefault="00570EA9" w:rsidP="00570EA9">
            <w:pPr>
              <w:spacing w:line="259" w:lineRule="auto"/>
              <w:jc w:val="both"/>
              <w:rPr>
                <w:rFonts w:ascii="Arial" w:eastAsia="SimSun" w:hAnsi="Arial" w:cs="Arial"/>
                <w:sz w:val="16"/>
                <w:szCs w:val="16"/>
                <w:lang w:eastAsia="ko-KR"/>
              </w:rPr>
            </w:pPr>
          </w:p>
        </w:tc>
      </w:tr>
      <w:tr w:rsidR="00570EA9" w:rsidRPr="00570EA9" w14:paraId="000E072A" w14:textId="77777777" w:rsidTr="00D3237F">
        <w:tc>
          <w:tcPr>
            <w:tcW w:w="1397" w:type="pct"/>
            <w:tcBorders>
              <w:left w:val="single" w:sz="4" w:space="0" w:color="auto"/>
              <w:bottom w:val="single" w:sz="4" w:space="0" w:color="auto"/>
            </w:tcBorders>
          </w:tcPr>
          <w:p w14:paraId="12DD4A4F" w14:textId="77777777" w:rsidR="00570EA9" w:rsidRPr="00570EA9" w:rsidRDefault="00570EA9" w:rsidP="00570EA9">
            <w:pPr>
              <w:tabs>
                <w:tab w:val="right" w:pos="2184"/>
              </w:tabs>
              <w:spacing w:line="259" w:lineRule="auto"/>
              <w:jc w:val="both"/>
              <w:rPr>
                <w:rFonts w:ascii="Arial" w:eastAsia="SimSun" w:hAnsi="Arial"/>
                <w:b/>
                <w:i/>
                <w:sz w:val="16"/>
                <w:szCs w:val="16"/>
                <w:lang w:eastAsia="ko-KR"/>
              </w:rPr>
            </w:pPr>
            <w:r w:rsidRPr="00570EA9">
              <w:rPr>
                <w:rFonts w:ascii="Arial" w:eastAsia="SimSun" w:hAnsi="Arial"/>
                <w:b/>
                <w:i/>
                <w:sz w:val="16"/>
                <w:szCs w:val="16"/>
                <w:lang w:eastAsia="ko-KR"/>
              </w:rPr>
              <w:t>Consequences if not approved:</w:t>
            </w:r>
          </w:p>
        </w:tc>
        <w:tc>
          <w:tcPr>
            <w:tcW w:w="3603" w:type="pct"/>
            <w:tcBorders>
              <w:bottom w:val="single" w:sz="4" w:space="0" w:color="auto"/>
              <w:right w:val="single" w:sz="4" w:space="0" w:color="auto"/>
            </w:tcBorders>
            <w:shd w:val="pct30" w:color="FFFF00" w:fill="auto"/>
          </w:tcPr>
          <w:p w14:paraId="4E788187" w14:textId="77777777" w:rsidR="00570EA9" w:rsidRPr="00570EA9" w:rsidRDefault="00570EA9" w:rsidP="00570EA9">
            <w:pPr>
              <w:spacing w:line="259" w:lineRule="auto"/>
              <w:jc w:val="both"/>
              <w:rPr>
                <w:rFonts w:ascii="Arial" w:eastAsia="SimSun" w:hAnsi="Arial" w:cs="Arial"/>
                <w:sz w:val="16"/>
                <w:szCs w:val="16"/>
                <w:lang w:eastAsia="ko-KR"/>
              </w:rPr>
            </w:pPr>
            <w:r w:rsidRPr="00570EA9">
              <w:rPr>
                <w:rFonts w:ascii="Arial" w:eastAsia="SimSun" w:hAnsi="Arial" w:cs="Arial"/>
                <w:sz w:val="16"/>
                <w:szCs w:val="16"/>
                <w:lang w:eastAsia="ja-JP"/>
              </w:rPr>
              <w:t>Inconsistent specifications.</w:t>
            </w:r>
          </w:p>
        </w:tc>
      </w:tr>
      <w:tr w:rsidR="00570EA9" w:rsidRPr="00570EA9" w14:paraId="33AD8B69" w14:textId="77777777" w:rsidTr="00D3237F">
        <w:tc>
          <w:tcPr>
            <w:tcW w:w="5000" w:type="pct"/>
            <w:gridSpan w:val="2"/>
            <w:tcBorders>
              <w:top w:val="single" w:sz="4" w:space="0" w:color="auto"/>
              <w:left w:val="single" w:sz="4" w:space="0" w:color="auto"/>
              <w:bottom w:val="single" w:sz="4" w:space="0" w:color="auto"/>
              <w:right w:val="single" w:sz="4" w:space="0" w:color="auto"/>
            </w:tcBorders>
          </w:tcPr>
          <w:p w14:paraId="3535980C" w14:textId="77777777" w:rsidR="00570EA9" w:rsidRPr="00570EA9" w:rsidRDefault="00570EA9" w:rsidP="00570EA9">
            <w:pPr>
              <w:rPr>
                <w:rFonts w:ascii="Arial" w:hAnsi="Arial" w:cs="Arial"/>
                <w:b/>
                <w:bCs/>
                <w:sz w:val="16"/>
                <w:szCs w:val="16"/>
              </w:rPr>
            </w:pPr>
            <w:bookmarkStart w:id="650" w:name="_Toc27299936"/>
            <w:bookmarkStart w:id="651" w:name="_Toc146791828"/>
            <w:bookmarkStart w:id="652" w:name="_Toc29674344"/>
            <w:bookmarkStart w:id="653" w:name="_Toc45810619"/>
            <w:bookmarkStart w:id="654" w:name="_Toc36645574"/>
            <w:bookmarkStart w:id="655" w:name="_Toc29673210"/>
            <w:bookmarkStart w:id="656" w:name="_Toc29673351"/>
            <w:bookmarkStart w:id="657" w:name="_Toc20318038"/>
            <w:bookmarkStart w:id="658" w:name="_Toc11352148"/>
            <w:r w:rsidRPr="00570EA9">
              <w:rPr>
                <w:rFonts w:ascii="Arial" w:hAnsi="Arial" w:cs="Arial"/>
                <w:b/>
                <w:bCs/>
                <w:sz w:val="16"/>
                <w:szCs w:val="16"/>
              </w:rPr>
              <w:t>6.1.2.3</w:t>
            </w:r>
            <w:r w:rsidRPr="00570EA9">
              <w:rPr>
                <w:rFonts w:ascii="Arial" w:hAnsi="Arial" w:cs="Arial"/>
                <w:b/>
                <w:bCs/>
                <w:sz w:val="16"/>
                <w:szCs w:val="16"/>
              </w:rPr>
              <w:tab/>
              <w:t>Resource allocation for uplink transmission with configured grant</w:t>
            </w:r>
            <w:bookmarkEnd w:id="650"/>
            <w:bookmarkEnd w:id="651"/>
            <w:bookmarkEnd w:id="652"/>
            <w:bookmarkEnd w:id="653"/>
            <w:bookmarkEnd w:id="654"/>
            <w:bookmarkEnd w:id="655"/>
            <w:bookmarkEnd w:id="656"/>
            <w:bookmarkEnd w:id="657"/>
            <w:bookmarkEnd w:id="658"/>
          </w:p>
          <w:p w14:paraId="6416CA44" w14:textId="77777777" w:rsidR="00570EA9" w:rsidRPr="00570EA9" w:rsidRDefault="00570EA9" w:rsidP="00570EA9">
            <w:pPr>
              <w:jc w:val="center"/>
              <w:rPr>
                <w:rFonts w:ascii="Arial" w:hAnsi="Arial" w:cs="Arial"/>
                <w:color w:val="0070C0"/>
                <w:sz w:val="16"/>
                <w:szCs w:val="16"/>
                <w:lang w:eastAsia="ja-JP"/>
              </w:rPr>
            </w:pPr>
            <w:r w:rsidRPr="00570EA9">
              <w:rPr>
                <w:rFonts w:ascii="Arial" w:hAnsi="Arial" w:cs="Arial"/>
                <w:color w:val="0070C0"/>
                <w:sz w:val="16"/>
                <w:szCs w:val="16"/>
                <w:lang w:eastAsia="ja-JP"/>
              </w:rPr>
              <w:t>&lt;&lt;&lt; unchanged omitted&gt;&gt;&gt;</w:t>
            </w:r>
          </w:p>
          <w:p w14:paraId="595A8C3C" w14:textId="77777777" w:rsidR="00570EA9" w:rsidRPr="00570EA9" w:rsidRDefault="00570EA9" w:rsidP="00570EA9">
            <w:pPr>
              <w:rPr>
                <w:rFonts w:ascii="Arial" w:hAnsi="Arial" w:cs="Arial"/>
                <w:sz w:val="16"/>
                <w:szCs w:val="16"/>
                <w:lang w:eastAsia="ja-JP"/>
              </w:rPr>
            </w:pPr>
            <w:r w:rsidRPr="00570EA9">
              <w:rPr>
                <w:rFonts w:ascii="Arial" w:hAnsi="Arial" w:cs="Arial"/>
                <w:color w:val="000000"/>
                <w:sz w:val="16"/>
                <w:szCs w:val="16"/>
              </w:rPr>
              <w:t xml:space="preserve">For PUSCH transmissions with a Type 1 or Type 2 configured grant, the number of (nominal) repetitions </w:t>
            </w:r>
            <w:r w:rsidRPr="00570EA9">
              <w:rPr>
                <w:rFonts w:ascii="Arial" w:hAnsi="Arial" w:cs="Arial"/>
                <w:i/>
                <w:color w:val="000000"/>
                <w:sz w:val="16"/>
                <w:szCs w:val="16"/>
              </w:rPr>
              <w:t>K</w:t>
            </w:r>
            <w:r w:rsidRPr="00570EA9">
              <w:rPr>
                <w:rFonts w:ascii="Arial" w:hAnsi="Arial" w:cs="Arial"/>
                <w:color w:val="000000"/>
                <w:sz w:val="16"/>
                <w:szCs w:val="16"/>
              </w:rPr>
              <w:t xml:space="preserve"> to be applied to the transmitted transport block is provided by the indexed row in the time domain resource allocation table </w:t>
            </w:r>
            <w:r w:rsidRPr="00570EA9">
              <w:rPr>
                <w:rFonts w:ascii="Arial" w:hAnsi="Arial" w:cs="Arial"/>
                <w:sz w:val="16"/>
                <w:szCs w:val="16"/>
              </w:rPr>
              <w:t xml:space="preserve">if </w:t>
            </w:r>
            <w:r w:rsidRPr="00570EA9">
              <w:rPr>
                <w:rFonts w:ascii="Arial" w:hAnsi="Arial" w:cs="Arial"/>
                <w:i/>
                <w:sz w:val="16"/>
                <w:szCs w:val="16"/>
              </w:rPr>
              <w:t>numberOfRepetitions</w:t>
            </w:r>
            <w:r w:rsidRPr="00570EA9">
              <w:rPr>
                <w:rFonts w:ascii="Arial" w:hAnsi="Arial" w:cs="Arial"/>
                <w:sz w:val="16"/>
                <w:szCs w:val="16"/>
              </w:rPr>
              <w:t xml:space="preserve"> is present in the table; otherwise </w:t>
            </w:r>
            <w:r w:rsidRPr="00570EA9">
              <w:rPr>
                <w:rFonts w:ascii="Arial" w:hAnsi="Arial" w:cs="Arial"/>
                <w:i/>
                <w:sz w:val="16"/>
                <w:szCs w:val="16"/>
              </w:rPr>
              <w:t>K</w:t>
            </w:r>
            <w:r w:rsidRPr="00570EA9">
              <w:rPr>
                <w:rFonts w:ascii="Arial" w:hAnsi="Arial" w:cs="Arial"/>
                <w:sz w:val="16"/>
                <w:szCs w:val="16"/>
              </w:rPr>
              <w:t xml:space="preserve"> is provided by </w:t>
            </w:r>
            <w:r w:rsidRPr="00570EA9">
              <w:rPr>
                <w:rFonts w:ascii="Arial" w:hAnsi="Arial" w:cs="Arial"/>
                <w:color w:val="000000"/>
                <w:sz w:val="16"/>
                <w:szCs w:val="16"/>
              </w:rPr>
              <w:t xml:space="preserve">the higher layer configured parameters </w:t>
            </w:r>
            <w:r w:rsidRPr="00570EA9">
              <w:rPr>
                <w:rFonts w:ascii="Arial" w:hAnsi="Arial" w:cs="Arial"/>
                <w:i/>
                <w:color w:val="000000"/>
                <w:sz w:val="16"/>
                <w:szCs w:val="16"/>
              </w:rPr>
              <w:t xml:space="preserve">repK. </w:t>
            </w:r>
            <w:r w:rsidRPr="00570EA9">
              <w:rPr>
                <w:rFonts w:ascii="Arial" w:hAnsi="Arial" w:cs="Arial"/>
                <w:iCs/>
                <w:color w:val="FF0000"/>
                <w:sz w:val="16"/>
                <w:szCs w:val="16"/>
                <w:u w:val="single"/>
              </w:rPr>
              <w:t xml:space="preserve">For a </w:t>
            </w:r>
            <w:r w:rsidRPr="00570EA9">
              <w:rPr>
                <w:rFonts w:ascii="Arial" w:hAnsi="Arial" w:cs="Arial"/>
                <w:i/>
                <w:color w:val="FF0000"/>
                <w:sz w:val="16"/>
                <w:szCs w:val="16"/>
                <w:u w:val="single"/>
              </w:rPr>
              <w:t>configuredGrantConfig</w:t>
            </w:r>
            <w:r w:rsidRPr="00570EA9">
              <w:rPr>
                <w:rFonts w:ascii="Arial" w:hAnsi="Arial" w:cs="Arial"/>
                <w:iCs/>
                <w:color w:val="FF0000"/>
                <w:sz w:val="16"/>
                <w:szCs w:val="16"/>
                <w:u w:val="single"/>
              </w:rPr>
              <w:t>,</w:t>
            </w:r>
            <w:r w:rsidRPr="00570EA9">
              <w:rPr>
                <w:rFonts w:ascii="Arial" w:hAnsi="Arial" w:cs="Arial"/>
                <w:iCs/>
                <w:color w:val="000000"/>
                <w:sz w:val="16"/>
                <w:szCs w:val="16"/>
              </w:rPr>
              <w:t xml:space="preserve"> </w:t>
            </w:r>
            <w:r w:rsidRPr="00570EA9">
              <w:rPr>
                <w:rFonts w:ascii="Arial" w:hAnsi="Arial" w:cs="Arial"/>
                <w:iCs/>
                <w:strike/>
                <w:color w:val="FF0000"/>
                <w:sz w:val="16"/>
                <w:szCs w:val="16"/>
              </w:rPr>
              <w:t xml:space="preserve">If </w:t>
            </w:r>
            <w:r w:rsidRPr="00570EA9">
              <w:rPr>
                <w:rFonts w:ascii="Arial" w:hAnsi="Arial" w:cs="Arial"/>
                <w:iCs/>
                <w:color w:val="FF0000"/>
                <w:sz w:val="16"/>
                <w:szCs w:val="16"/>
                <w:u w:val="single"/>
              </w:rPr>
              <w:t>if</w:t>
            </w:r>
            <w:r w:rsidRPr="00570EA9">
              <w:rPr>
                <w:rFonts w:ascii="Arial" w:hAnsi="Arial" w:cs="Arial"/>
                <w:iCs/>
                <w:color w:val="000000"/>
                <w:sz w:val="16"/>
                <w:szCs w:val="16"/>
              </w:rPr>
              <w:t xml:space="preserve"> a UE is configured with higher layer parameter [</w:t>
            </w:r>
            <w:r w:rsidRPr="00570EA9">
              <w:rPr>
                <w:rFonts w:ascii="Arial" w:hAnsi="Arial" w:cs="Arial"/>
                <w:i/>
                <w:color w:val="000000"/>
                <w:sz w:val="16"/>
                <w:szCs w:val="16"/>
              </w:rPr>
              <w:t>nrofSlots_InCGperiod</w:t>
            </w:r>
            <w:r w:rsidRPr="00570EA9">
              <w:rPr>
                <w:rFonts w:ascii="Arial" w:hAnsi="Arial" w:cs="Arial"/>
                <w:iCs/>
                <w:color w:val="000000"/>
                <w:sz w:val="16"/>
                <w:szCs w:val="16"/>
              </w:rPr>
              <w:t xml:space="preserve">], </w:t>
            </w:r>
            <w:r w:rsidRPr="00570EA9">
              <w:rPr>
                <w:rFonts w:ascii="Arial" w:hAnsi="Arial" w:cs="Arial"/>
                <w:iCs/>
                <w:strike/>
                <w:color w:val="FF0000"/>
                <w:sz w:val="16"/>
                <w:szCs w:val="16"/>
              </w:rPr>
              <w:t xml:space="preserve">in a </w:t>
            </w:r>
            <w:r w:rsidRPr="00570EA9">
              <w:rPr>
                <w:rFonts w:ascii="Arial" w:hAnsi="Arial" w:cs="Arial"/>
                <w:i/>
                <w:strike/>
                <w:color w:val="FF0000"/>
                <w:sz w:val="16"/>
                <w:szCs w:val="16"/>
              </w:rPr>
              <w:t>configuredGrantConfig</w:t>
            </w:r>
            <w:r w:rsidRPr="00570EA9">
              <w:rPr>
                <w:rFonts w:ascii="Arial" w:hAnsi="Arial" w:cs="Arial"/>
                <w:iCs/>
                <w:strike/>
                <w:color w:val="FF0000"/>
                <w:sz w:val="16"/>
                <w:szCs w:val="16"/>
              </w:rPr>
              <w:t>,</w:t>
            </w:r>
            <w:r w:rsidRPr="00570EA9">
              <w:rPr>
                <w:rFonts w:ascii="Arial" w:hAnsi="Arial" w:cs="Arial"/>
                <w:iCs/>
                <w:color w:val="FF0000"/>
                <w:sz w:val="16"/>
                <w:szCs w:val="16"/>
                <w:u w:val="single"/>
              </w:rPr>
              <w:t xml:space="preserve"> the UE does not support repetition and does not support</w:t>
            </w:r>
            <w:r w:rsidRPr="00570EA9">
              <w:rPr>
                <w:rFonts w:ascii="Arial" w:hAnsi="Arial" w:cs="Arial"/>
                <w:iCs/>
                <w:color w:val="000000"/>
                <w:sz w:val="16"/>
                <w:szCs w:val="16"/>
              </w:rPr>
              <w:t xml:space="preserve"> </w:t>
            </w:r>
            <w:r w:rsidRPr="00570EA9">
              <w:rPr>
                <w:rFonts w:ascii="Arial" w:hAnsi="Arial" w:cs="Arial"/>
                <w:iCs/>
                <w:strike/>
                <w:color w:val="FF0000"/>
                <w:sz w:val="16"/>
                <w:szCs w:val="16"/>
              </w:rPr>
              <w:t>neither repetition of the transmitted transport block nor</w:t>
            </w:r>
            <w:r w:rsidRPr="00570EA9">
              <w:rPr>
                <w:rFonts w:ascii="Arial" w:hAnsi="Arial" w:cs="Arial"/>
                <w:iCs/>
                <w:color w:val="FF0000"/>
                <w:sz w:val="16"/>
                <w:szCs w:val="16"/>
              </w:rPr>
              <w:t xml:space="preserve"> </w:t>
            </w:r>
            <w:r w:rsidRPr="00570EA9">
              <w:rPr>
                <w:rFonts w:ascii="Arial" w:hAnsi="Arial" w:cs="Arial"/>
                <w:iCs/>
                <w:color w:val="000000"/>
                <w:sz w:val="16"/>
                <w:szCs w:val="16"/>
              </w:rPr>
              <w:t xml:space="preserve">the TB processing over multiple slots </w:t>
            </w:r>
            <w:r w:rsidRPr="00570EA9">
              <w:rPr>
                <w:rFonts w:ascii="Arial" w:hAnsi="Arial" w:cs="Arial"/>
                <w:iCs/>
                <w:strike/>
                <w:color w:val="FF0000"/>
                <w:sz w:val="16"/>
                <w:szCs w:val="16"/>
              </w:rPr>
              <w:t>is supported</w:t>
            </w:r>
            <w:r w:rsidRPr="00570EA9">
              <w:rPr>
                <w:rFonts w:ascii="Arial" w:hAnsi="Arial" w:cs="Arial"/>
                <w:iCs/>
                <w:color w:val="FF0000"/>
                <w:sz w:val="16"/>
                <w:szCs w:val="16"/>
              </w:rPr>
              <w:t xml:space="preserve"> </w:t>
            </w:r>
            <w:r w:rsidRPr="00570EA9">
              <w:rPr>
                <w:rFonts w:ascii="Arial" w:hAnsi="Arial" w:cs="Arial"/>
                <w:iCs/>
                <w:sz w:val="16"/>
                <w:szCs w:val="16"/>
              </w:rPr>
              <w:t xml:space="preserve">for the </w:t>
            </w:r>
            <w:r w:rsidRPr="00570EA9">
              <w:rPr>
                <w:rFonts w:ascii="Arial" w:hAnsi="Arial" w:cs="Arial"/>
                <w:i/>
                <w:sz w:val="16"/>
                <w:szCs w:val="16"/>
              </w:rPr>
              <w:t>configuredGrantConfig</w:t>
            </w:r>
            <w:r w:rsidRPr="00570EA9">
              <w:rPr>
                <w:rFonts w:ascii="Arial" w:hAnsi="Arial" w:cs="Arial"/>
                <w:iCs/>
                <w:sz w:val="16"/>
                <w:szCs w:val="16"/>
              </w:rPr>
              <w:t>.</w:t>
            </w:r>
          </w:p>
          <w:p w14:paraId="01C2CB78" w14:textId="77777777" w:rsidR="00570EA9" w:rsidRPr="00570EA9" w:rsidRDefault="00570EA9" w:rsidP="00570EA9">
            <w:pPr>
              <w:jc w:val="center"/>
              <w:rPr>
                <w:rFonts w:ascii="Arial" w:hAnsi="Arial" w:cs="Arial"/>
                <w:color w:val="0070C0"/>
                <w:sz w:val="16"/>
                <w:szCs w:val="16"/>
                <w:lang w:eastAsia="ja-JP"/>
              </w:rPr>
            </w:pPr>
            <w:r w:rsidRPr="00570EA9">
              <w:rPr>
                <w:rFonts w:ascii="Arial" w:hAnsi="Arial" w:cs="Arial"/>
                <w:color w:val="0070C0"/>
                <w:sz w:val="16"/>
                <w:szCs w:val="16"/>
                <w:lang w:eastAsia="ja-JP"/>
              </w:rPr>
              <w:t>&lt;&lt;&lt; unchanged omitted&gt;&gt;&gt;</w:t>
            </w:r>
          </w:p>
          <w:p w14:paraId="29045CC3" w14:textId="77777777" w:rsidR="00570EA9" w:rsidRPr="00570EA9" w:rsidRDefault="00570EA9" w:rsidP="00570EA9">
            <w:pPr>
              <w:rPr>
                <w:rFonts w:ascii="Arial" w:hAnsi="Arial" w:cs="Arial"/>
                <w:color w:val="000000"/>
                <w:sz w:val="16"/>
                <w:szCs w:val="16"/>
              </w:rPr>
            </w:pPr>
            <w:r w:rsidRPr="00570EA9">
              <w:rPr>
                <w:rFonts w:ascii="Arial" w:hAnsi="Arial" w:cs="Arial"/>
                <w:color w:val="000000"/>
                <w:sz w:val="16"/>
                <w:szCs w:val="16"/>
              </w:rPr>
              <w:t xml:space="preserve">A set of allowed periodicities </w:t>
            </w:r>
            <w:r w:rsidRPr="00570EA9">
              <w:rPr>
                <w:rFonts w:ascii="Arial" w:hAnsi="Arial" w:cs="Arial"/>
                <w:i/>
                <w:color w:val="000000"/>
                <w:sz w:val="16"/>
                <w:szCs w:val="16"/>
              </w:rPr>
              <w:t xml:space="preserve">P </w:t>
            </w:r>
            <w:r w:rsidRPr="00570EA9">
              <w:rPr>
                <w:rFonts w:ascii="Arial" w:hAnsi="Arial" w:cs="Arial"/>
                <w:color w:val="000000"/>
                <w:sz w:val="16"/>
                <w:szCs w:val="16"/>
              </w:rPr>
              <w:t xml:space="preserve">are defined in [12, TS 38.331]. The higher layer parameter </w:t>
            </w:r>
            <w:r w:rsidRPr="00570EA9">
              <w:rPr>
                <w:rFonts w:ascii="Arial" w:hAnsi="Arial" w:cs="Arial"/>
                <w:i/>
                <w:color w:val="000000"/>
                <w:sz w:val="16"/>
                <w:szCs w:val="16"/>
              </w:rPr>
              <w:t>cg-nrofSlots</w:t>
            </w:r>
            <w:r w:rsidRPr="00570EA9">
              <w:rPr>
                <w:rFonts w:ascii="Arial" w:hAnsi="Arial" w:cs="Arial"/>
                <w:color w:val="000000"/>
                <w:sz w:val="16"/>
                <w:szCs w:val="16"/>
              </w:rPr>
              <w:t xml:space="preserve">, provides the number of consecutive slots allocated within a configured grant period. The higher layer parameter </w:t>
            </w:r>
            <w:r w:rsidRPr="00570EA9">
              <w:rPr>
                <w:rFonts w:ascii="Arial" w:hAnsi="Arial" w:cs="Arial"/>
                <w:i/>
                <w:color w:val="000000"/>
                <w:sz w:val="16"/>
                <w:szCs w:val="16"/>
              </w:rPr>
              <w:t>cg-nrofPUSCH-InSlot</w:t>
            </w:r>
            <w:r w:rsidRPr="00570EA9">
              <w:rPr>
                <w:rFonts w:ascii="Arial" w:hAnsi="Arial" w:cs="Arial"/>
                <w:color w:val="000000"/>
                <w:sz w:val="16"/>
                <w:szCs w:val="16"/>
              </w:rPr>
              <w:t xml:space="preserve"> provides the number of consecutive PUSCH allocations within a slot, where the first PUSCH allocation follows the higher layer parameter </w:t>
            </w:r>
            <w:r w:rsidRPr="00570EA9">
              <w:rPr>
                <w:rFonts w:ascii="Arial" w:hAnsi="Arial" w:cs="Arial"/>
                <w:i/>
                <w:color w:val="000000"/>
                <w:sz w:val="16"/>
                <w:szCs w:val="16"/>
              </w:rPr>
              <w:t xml:space="preserve">timeDomainAllocation </w:t>
            </w:r>
            <w:r w:rsidRPr="00570EA9">
              <w:rPr>
                <w:rFonts w:ascii="Arial" w:hAnsi="Arial" w:cs="Arial"/>
                <w:color w:val="000000"/>
                <w:sz w:val="16"/>
                <w:szCs w:val="16"/>
              </w:rPr>
              <w:t xml:space="preserve">for Type 1 PUSCH transmission or the higher layer configuration according to [10, TS 38.321], and UL grant received on the DCI for Type 2 PUSCH transmissions, and the remaining PUSCH allocations have the same length and PUSCH mapping type, and are appended following the previous allocations without any gaps. The higher layer parameter </w:t>
            </w:r>
            <w:r w:rsidRPr="00570EA9">
              <w:rPr>
                <w:rFonts w:ascii="Arial" w:hAnsi="Arial" w:cs="Arial"/>
                <w:i/>
                <w:color w:val="000000"/>
                <w:sz w:val="16"/>
                <w:szCs w:val="16"/>
              </w:rPr>
              <w:t>[nrofSlots_InCGperiod]</w:t>
            </w:r>
            <w:r w:rsidRPr="00570EA9">
              <w:rPr>
                <w:rFonts w:ascii="Arial" w:hAnsi="Arial" w:cs="Arial"/>
                <w:color w:val="000000"/>
                <w:sz w:val="16"/>
                <w:szCs w:val="16"/>
              </w:rPr>
              <w:t xml:space="preserve"> provides the number of consecutive slots allocated within a configured grant period. The same combination of start symbol and length and PUSCH mapping type repeats over the consecutively allocated slots </w:t>
            </w:r>
            <w:r w:rsidRPr="00570EA9">
              <w:rPr>
                <w:rFonts w:ascii="Arial" w:hAnsi="Arial" w:cs="Arial"/>
                <w:color w:val="FF0000"/>
                <w:sz w:val="16"/>
                <w:szCs w:val="16"/>
                <w:u w:val="single"/>
              </w:rPr>
              <w:t xml:space="preserve">if </w:t>
            </w:r>
            <w:r w:rsidRPr="00570EA9">
              <w:rPr>
                <w:rFonts w:ascii="Arial" w:hAnsi="Arial" w:cs="Arial"/>
                <w:i/>
                <w:color w:val="FF0000"/>
                <w:sz w:val="16"/>
                <w:szCs w:val="16"/>
                <w:u w:val="single"/>
              </w:rPr>
              <w:t>cg-nrofSlots</w:t>
            </w:r>
            <w:r w:rsidRPr="00570EA9">
              <w:rPr>
                <w:rFonts w:ascii="Arial" w:hAnsi="Arial" w:cs="Arial"/>
                <w:iCs/>
                <w:color w:val="FF0000"/>
                <w:sz w:val="16"/>
                <w:szCs w:val="16"/>
                <w:u w:val="single"/>
              </w:rPr>
              <w:t xml:space="preserve"> or </w:t>
            </w:r>
            <w:r w:rsidRPr="00570EA9">
              <w:rPr>
                <w:rFonts w:ascii="Arial" w:hAnsi="Arial" w:cs="Arial"/>
                <w:i/>
                <w:iCs/>
                <w:color w:val="FF0000"/>
                <w:sz w:val="16"/>
                <w:szCs w:val="16"/>
                <w:u w:val="single"/>
              </w:rPr>
              <w:t>[nrofSlots_InCGperiod]</w:t>
            </w:r>
            <w:r w:rsidRPr="00570EA9">
              <w:rPr>
                <w:rFonts w:ascii="Arial" w:hAnsi="Arial" w:cs="Arial"/>
                <w:color w:val="FF0000"/>
                <w:sz w:val="16"/>
                <w:szCs w:val="16"/>
                <w:u w:val="single"/>
              </w:rPr>
              <w:t xml:space="preserve"> is configured</w:t>
            </w:r>
            <w:r w:rsidRPr="00570EA9">
              <w:rPr>
                <w:rFonts w:ascii="Arial" w:hAnsi="Arial" w:cs="Arial"/>
                <w:color w:val="FF0000"/>
                <w:sz w:val="16"/>
                <w:szCs w:val="16"/>
              </w:rPr>
              <w:t>.</w:t>
            </w:r>
            <w:r w:rsidRPr="00570EA9">
              <w:rPr>
                <w:rFonts w:ascii="Arial" w:hAnsi="Arial" w:cs="Arial"/>
                <w:color w:val="000000"/>
                <w:sz w:val="16"/>
                <w:szCs w:val="16"/>
              </w:rPr>
              <w:t xml:space="preserve"> If [</w:t>
            </w:r>
            <w:r w:rsidRPr="00570EA9">
              <w:rPr>
                <w:rFonts w:ascii="Arial" w:hAnsi="Arial" w:cs="Arial"/>
                <w:i/>
                <w:iCs/>
                <w:color w:val="000000"/>
                <w:sz w:val="16"/>
                <w:szCs w:val="16"/>
              </w:rPr>
              <w:t>nrofSlots_InCGperiod</w:t>
            </w:r>
            <w:r w:rsidRPr="00570EA9">
              <w:rPr>
                <w:rFonts w:ascii="Arial" w:hAnsi="Arial" w:cs="Arial"/>
                <w:color w:val="000000"/>
                <w:sz w:val="16"/>
                <w:szCs w:val="16"/>
              </w:rPr>
              <w:t xml:space="preserve">] is configured, the PUSCH allocation in each consecutive slot follows the higher layer parameter </w:t>
            </w:r>
            <w:r w:rsidRPr="00570EA9">
              <w:rPr>
                <w:rFonts w:ascii="Arial" w:hAnsi="Arial" w:cs="Arial"/>
                <w:i/>
                <w:iCs/>
                <w:color w:val="000000"/>
                <w:sz w:val="16"/>
                <w:szCs w:val="16"/>
              </w:rPr>
              <w:t>timeDomainAllocation</w:t>
            </w:r>
            <w:r w:rsidRPr="00570EA9">
              <w:rPr>
                <w:rFonts w:ascii="Arial" w:hAnsi="Arial" w:cs="Arial"/>
                <w:color w:val="000000"/>
                <w:sz w:val="16"/>
                <w:szCs w:val="16"/>
              </w:rPr>
              <w:t xml:space="preserve"> for Type 1 PUSCH transmission or the higher layer configuration according to [10, TS 38.321], and UL grant received in the DCI for Type 2 PUSCH transmissions. If a UE is configured with higher layer parameter [</w:t>
            </w:r>
            <w:r w:rsidRPr="00570EA9">
              <w:rPr>
                <w:rFonts w:ascii="Arial" w:hAnsi="Arial" w:cs="Arial"/>
                <w:i/>
                <w:iCs/>
                <w:color w:val="000000"/>
                <w:sz w:val="16"/>
                <w:szCs w:val="16"/>
              </w:rPr>
              <w:t>nrofSlots_InCGperiod</w:t>
            </w:r>
            <w:r w:rsidRPr="00570EA9">
              <w:rPr>
                <w:rFonts w:ascii="Arial" w:hAnsi="Arial" w:cs="Arial"/>
                <w:color w:val="000000"/>
                <w:sz w:val="16"/>
                <w:szCs w:val="16"/>
              </w:rPr>
              <w:t xml:space="preserve">] </w:t>
            </w:r>
            <w:r w:rsidRPr="00570EA9">
              <w:rPr>
                <w:rFonts w:ascii="Arial" w:hAnsi="Arial" w:cs="Arial"/>
                <w:iCs/>
                <w:color w:val="000000"/>
                <w:sz w:val="16"/>
                <w:szCs w:val="16"/>
                <w:u w:val="single"/>
              </w:rPr>
              <w:t xml:space="preserve">in a </w:t>
            </w:r>
            <w:r w:rsidRPr="00570EA9">
              <w:rPr>
                <w:rFonts w:ascii="Arial" w:hAnsi="Arial" w:cs="Arial"/>
                <w:i/>
                <w:color w:val="000000"/>
                <w:sz w:val="16"/>
                <w:szCs w:val="16"/>
                <w:u w:val="single"/>
              </w:rPr>
              <w:t>configuredGrantConfig</w:t>
            </w:r>
            <w:r w:rsidRPr="00570EA9">
              <w:rPr>
                <w:rFonts w:ascii="Arial" w:hAnsi="Arial" w:cs="Arial"/>
                <w:color w:val="000000"/>
                <w:sz w:val="16"/>
                <w:szCs w:val="16"/>
              </w:rPr>
              <w:t xml:space="preserve">, the UE does not expect to be configured with </w:t>
            </w:r>
            <w:r w:rsidRPr="00570EA9">
              <w:rPr>
                <w:rFonts w:ascii="Arial" w:hAnsi="Arial" w:cs="Arial"/>
                <w:i/>
                <w:iCs/>
                <w:color w:val="000000"/>
                <w:sz w:val="16"/>
                <w:szCs w:val="16"/>
              </w:rPr>
              <w:t>cg-nrofSlots</w:t>
            </w:r>
            <w:r w:rsidRPr="00570EA9">
              <w:rPr>
                <w:rFonts w:ascii="Arial" w:hAnsi="Arial" w:cs="Arial"/>
                <w:color w:val="000000"/>
                <w:sz w:val="16"/>
                <w:szCs w:val="16"/>
              </w:rPr>
              <w:t xml:space="preserve"> and </w:t>
            </w:r>
            <w:r w:rsidRPr="00570EA9">
              <w:rPr>
                <w:rFonts w:ascii="Arial" w:hAnsi="Arial" w:cs="Arial"/>
                <w:i/>
                <w:iCs/>
                <w:color w:val="000000"/>
                <w:sz w:val="16"/>
                <w:szCs w:val="16"/>
              </w:rPr>
              <w:t xml:space="preserve">cg-nrofPUSCH-InSlot </w:t>
            </w:r>
            <w:r w:rsidRPr="00570EA9">
              <w:rPr>
                <w:rFonts w:ascii="Arial" w:hAnsi="Arial" w:cs="Arial"/>
                <w:iCs/>
                <w:color w:val="000000"/>
                <w:sz w:val="16"/>
                <w:szCs w:val="16"/>
                <w:u w:val="single"/>
              </w:rPr>
              <w:t xml:space="preserve">in the </w:t>
            </w:r>
            <w:r w:rsidRPr="00570EA9">
              <w:rPr>
                <w:rFonts w:ascii="Arial" w:hAnsi="Arial" w:cs="Arial"/>
                <w:i/>
                <w:color w:val="000000"/>
                <w:sz w:val="16"/>
                <w:szCs w:val="16"/>
                <w:u w:val="single"/>
              </w:rPr>
              <w:t>configuredGrantConfig</w:t>
            </w:r>
            <w:r w:rsidRPr="00570EA9">
              <w:rPr>
                <w:rFonts w:ascii="Arial" w:hAnsi="Arial" w:cs="Arial"/>
                <w:color w:val="000000"/>
                <w:sz w:val="16"/>
                <w:szCs w:val="16"/>
              </w:rPr>
              <w:t>.</w:t>
            </w:r>
          </w:p>
          <w:p w14:paraId="4776CD44" w14:textId="3DE892AB" w:rsidR="00570EA9" w:rsidRPr="00570EA9" w:rsidRDefault="00570EA9" w:rsidP="00570EA9">
            <w:pPr>
              <w:jc w:val="center"/>
              <w:rPr>
                <w:rFonts w:ascii="Arial" w:eastAsia="SimSun" w:hAnsi="Arial" w:cs="Arial"/>
                <w:sz w:val="16"/>
                <w:szCs w:val="16"/>
                <w:lang w:eastAsia="ja-JP"/>
              </w:rPr>
            </w:pPr>
            <w:r w:rsidRPr="00570EA9">
              <w:rPr>
                <w:rFonts w:ascii="Arial" w:hAnsi="Arial" w:cs="Arial"/>
                <w:color w:val="0070C0"/>
                <w:sz w:val="16"/>
                <w:szCs w:val="16"/>
                <w:lang w:eastAsia="ja-JP"/>
              </w:rPr>
              <w:t>&lt;&lt;&lt; unchanged omitted&gt;&gt;&gt;</w:t>
            </w:r>
          </w:p>
        </w:tc>
      </w:tr>
    </w:tbl>
    <w:p w14:paraId="23CA0F97" w14:textId="77777777" w:rsidR="00570EA9" w:rsidRPr="00570EA9" w:rsidRDefault="00570EA9" w:rsidP="00570EA9">
      <w:pPr>
        <w:rPr>
          <w:rFonts w:ascii="Times New Roman" w:hAnsi="Times New Roman"/>
          <w:szCs w:val="20"/>
        </w:rPr>
      </w:pPr>
    </w:p>
    <w:p w14:paraId="19C4E288" w14:textId="77777777" w:rsidR="00570EA9" w:rsidRPr="00570EA9" w:rsidRDefault="00570EA9" w:rsidP="00570EA9">
      <w:pPr>
        <w:rPr>
          <w:rFonts w:ascii="Times New Roman" w:hAnsi="Times New Roman"/>
          <w:szCs w:val="20"/>
          <w:u w:val="single"/>
        </w:rPr>
      </w:pPr>
      <w:r w:rsidRPr="00570EA9">
        <w:rPr>
          <w:rFonts w:ascii="Times New Roman" w:hAnsi="Times New Roman"/>
          <w:szCs w:val="20"/>
          <w:u w:val="single"/>
        </w:rPr>
        <w:t>Conclusion</w:t>
      </w:r>
    </w:p>
    <w:p w14:paraId="31334A9B" w14:textId="57160FF5" w:rsidR="00570EA9" w:rsidRPr="00570EA9" w:rsidRDefault="00570EA9" w:rsidP="00570EA9">
      <w:pPr>
        <w:rPr>
          <w:rFonts w:ascii="Times New Roman" w:hAnsi="Times New Roman"/>
          <w:szCs w:val="20"/>
        </w:rPr>
      </w:pPr>
      <w:r w:rsidRPr="00570EA9">
        <w:rPr>
          <w:rFonts w:ascii="Times New Roman" w:hAnsi="Times New Roman"/>
          <w:szCs w:val="20"/>
        </w:rPr>
        <w:t xml:space="preserve">RAN1 confirms the HARQ process ID determination for multi-PUSCH per CG period as in </w:t>
      </w:r>
      <w:r w:rsidRPr="00570EA9">
        <w:rPr>
          <w:rFonts w:ascii="Times New Roman" w:hAnsi="Times New Roman"/>
          <w:szCs w:val="20"/>
          <w:lang w:eastAsia="ja-JP"/>
        </w:rPr>
        <w:t xml:space="preserve">RAN2 running CR </w:t>
      </w:r>
      <w:r w:rsidRPr="00570EA9">
        <w:rPr>
          <w:rFonts w:ascii="Times New Roman" w:hAnsi="Times New Roman"/>
          <w:szCs w:val="20"/>
        </w:rPr>
        <w:t>R2-2309316</w:t>
      </w:r>
      <w:r>
        <w:rPr>
          <w:rFonts w:ascii="Times New Roman" w:hAnsi="Times New Roman"/>
          <w:szCs w:val="20"/>
        </w:rPr>
        <w:t>.</w:t>
      </w:r>
    </w:p>
    <w:p w14:paraId="17C1F5ED" w14:textId="77777777" w:rsidR="00570EA9" w:rsidRPr="00570EA9" w:rsidRDefault="00570EA9" w:rsidP="00570EA9">
      <w:pPr>
        <w:rPr>
          <w:rFonts w:ascii="Times New Roman" w:hAnsi="Times New Roman"/>
          <w:szCs w:val="20"/>
          <w:lang w:eastAsia="x-none"/>
        </w:rPr>
      </w:pPr>
    </w:p>
    <w:p w14:paraId="070441DE" w14:textId="53104410" w:rsidR="00570EA9" w:rsidRPr="00570EA9" w:rsidRDefault="00570EA9" w:rsidP="00570EA9">
      <w:pPr>
        <w:rPr>
          <w:rFonts w:ascii="Times New Roman" w:hAnsi="Times New Roman"/>
          <w:szCs w:val="20"/>
          <w:lang w:eastAsia="x-none"/>
        </w:rPr>
      </w:pPr>
      <w:r w:rsidRPr="00570EA9">
        <w:rPr>
          <w:rFonts w:ascii="Times New Roman" w:hAnsi="Times New Roman"/>
          <w:szCs w:val="20"/>
          <w:highlight w:val="green"/>
          <w:lang w:eastAsia="x-none"/>
        </w:rPr>
        <w:t>Agreement</w:t>
      </w:r>
    </w:p>
    <w:p w14:paraId="6395079D" w14:textId="066555EF" w:rsidR="00570EA9" w:rsidRPr="00570EA9" w:rsidRDefault="00570EA9" w:rsidP="00AA1D48">
      <w:pPr>
        <w:pStyle w:val="ListParagraph"/>
        <w:numPr>
          <w:ilvl w:val="0"/>
          <w:numId w:val="130"/>
        </w:numPr>
        <w:rPr>
          <w:iCs/>
          <w:lang w:eastAsia="zh-CN"/>
        </w:rPr>
      </w:pPr>
      <w:r w:rsidRPr="00570EA9">
        <w:rPr>
          <w:iCs/>
          <w:lang w:eastAsia="zh-CN"/>
        </w:rPr>
        <w:t xml:space="preserve">Remove the square bracket in </w:t>
      </w:r>
      <m:oMath>
        <m:sSubSup>
          <m:sSubSupPr>
            <m:ctrlPr>
              <w:rPr>
                <w:rFonts w:ascii="Cambria Math" w:hAnsi="Cambria Math"/>
                <w:iCs/>
                <w:lang w:eastAsia="zh-CN"/>
              </w:rPr>
            </m:ctrlPr>
          </m:sSubSupPr>
          <m:e>
            <m:r>
              <m:rPr>
                <m:sty m:val="p"/>
              </m:rPr>
              <w:rPr>
                <w:rFonts w:ascii="Cambria Math" w:hAnsi="Cambria Math"/>
                <w:lang w:eastAsia="zh-CN"/>
              </w:rPr>
              <m:t>Q</m:t>
            </m:r>
          </m:e>
          <m:sub>
            <m:r>
              <m:rPr>
                <m:sty m:val="p"/>
              </m:rPr>
              <w:rPr>
                <w:rFonts w:ascii="Cambria Math" w:hAnsi="Cambria Math"/>
                <w:lang w:eastAsia="zh-CN"/>
              </w:rPr>
              <m:t>ACK/[UTO-UCI]</m:t>
            </m:r>
          </m:sub>
          <m:sup>
            <m:r>
              <m:rPr>
                <m:sty m:val="p"/>
              </m:rPr>
              <w:rPr>
                <w:rFonts w:ascii="Cambria Math" w:hAnsi="Cambria Math"/>
                <w:lang w:eastAsia="zh-CN"/>
              </w:rPr>
              <m:t>'</m:t>
            </m:r>
          </m:sup>
        </m:sSubSup>
      </m:oMath>
      <w:r w:rsidRPr="00570EA9">
        <w:rPr>
          <w:iCs/>
          <w:lang w:eastAsia="zh-CN"/>
        </w:rPr>
        <w:t xml:space="preserve"> in TS 38.214.</w:t>
      </w:r>
    </w:p>
    <w:p w14:paraId="6751F577" w14:textId="7184B798" w:rsidR="00570EA9" w:rsidRPr="00570EA9" w:rsidRDefault="00570EA9" w:rsidP="00AA1D48">
      <w:pPr>
        <w:pStyle w:val="ListParagraph"/>
        <w:numPr>
          <w:ilvl w:val="0"/>
          <w:numId w:val="130"/>
        </w:numPr>
        <w:rPr>
          <w:iCs/>
          <w:lang w:val="en-US" w:eastAsia="x-none"/>
        </w:rPr>
      </w:pPr>
      <w:r w:rsidRPr="00570EA9">
        <w:rPr>
          <w:iCs/>
          <w:lang w:val="en-US" w:eastAsia="x-none"/>
        </w:rPr>
        <w:t xml:space="preserve">Remove a redundant minus operation in the equation </w:t>
      </w:r>
      <m:oMath>
        <m:d>
          <m:dPr>
            <m:begChr m:val="⌈"/>
            <m:endChr m:val="⌉"/>
            <m:ctrlPr>
              <w:rPr>
                <w:rFonts w:ascii="Cambria Math" w:hAnsi="Cambria Math"/>
                <w:iCs/>
              </w:rPr>
            </m:ctrlPr>
          </m:dPr>
          <m:e>
            <m:r>
              <m:rPr>
                <m:sty m:val="p"/>
              </m:rPr>
              <w:rPr>
                <w:rFonts w:ascii="Cambria Math" w:hAnsi="Cambria Math"/>
              </w:rPr>
              <m:t>α∙</m:t>
            </m:r>
            <m:nary>
              <m:naryPr>
                <m:chr m:val="∑"/>
                <m:limLoc m:val="undOvr"/>
                <m:ctrlPr>
                  <w:rPr>
                    <w:rFonts w:ascii="Cambria Math" w:hAnsi="Cambria Math"/>
                    <w:iCs/>
                  </w:rPr>
                </m:ctrlPr>
              </m:naryPr>
              <m:sub>
                <m:r>
                  <m:rPr>
                    <m:sty m:val="p"/>
                  </m:rPr>
                  <w:rPr>
                    <w:rFonts w:ascii="Cambria Math" w:hAnsi="Cambria Math"/>
                  </w:rPr>
                  <m:t>l=0</m:t>
                </m:r>
              </m:sub>
              <m:sup>
                <m:sSubSup>
                  <m:sSubSupPr>
                    <m:ctrlPr>
                      <w:rPr>
                        <w:rFonts w:ascii="Cambria Math" w:hAnsi="Cambria Math"/>
                        <w:iCs/>
                      </w:rPr>
                    </m:ctrlPr>
                  </m:sSubSupPr>
                  <m:e>
                    <m:r>
                      <m:rPr>
                        <m:sty m:val="p"/>
                      </m:rPr>
                      <w:rPr>
                        <w:rFonts w:ascii="Cambria Math" w:hAnsi="Cambria Math"/>
                      </w:rPr>
                      <m:t>N</m:t>
                    </m:r>
                  </m:e>
                  <m:sub>
                    <m:r>
                      <m:rPr>
                        <m:sty m:val="p"/>
                      </m:rPr>
                      <w:rPr>
                        <w:rFonts w:ascii="Cambria Math" w:hAnsi="Cambria Math"/>
                      </w:rPr>
                      <m:t>symb,all</m:t>
                    </m:r>
                  </m:sub>
                  <m:sup>
                    <m:r>
                      <m:rPr>
                        <m:sty m:val="p"/>
                      </m:rPr>
                      <w:rPr>
                        <w:rFonts w:ascii="Cambria Math" w:hAnsi="Cambria Math"/>
                      </w:rPr>
                      <m:t>PUSCH</m:t>
                    </m:r>
                  </m:sup>
                </m:sSubSup>
                <m:r>
                  <m:rPr>
                    <m:sty m:val="p"/>
                  </m:rPr>
                  <w:rPr>
                    <w:rFonts w:ascii="Cambria Math" w:hAnsi="Cambria Math"/>
                  </w:rPr>
                  <m:t>-1</m:t>
                </m:r>
              </m:sup>
              <m:e>
                <m:sSubSup>
                  <m:sSubSupPr>
                    <m:ctrlPr>
                      <w:rPr>
                        <w:rFonts w:ascii="Cambria Math" w:hAnsi="Cambria Math"/>
                        <w:iCs/>
                      </w:rPr>
                    </m:ctrlPr>
                  </m:sSubSupPr>
                  <m:e>
                    <m:r>
                      <m:rPr>
                        <m:sty m:val="p"/>
                      </m:rPr>
                      <w:rPr>
                        <w:rFonts w:ascii="Cambria Math" w:hAnsi="Cambria Math"/>
                      </w:rPr>
                      <m:t>M</m:t>
                    </m:r>
                  </m:e>
                  <m:sub>
                    <m:r>
                      <m:rPr>
                        <m:sty m:val="p"/>
                      </m:rPr>
                      <w:rPr>
                        <w:rFonts w:ascii="Cambria Math" w:hAnsi="Cambria Math"/>
                      </w:rPr>
                      <m:t>sc</m:t>
                    </m:r>
                  </m:sub>
                  <m:sup>
                    <m:r>
                      <m:rPr>
                        <m:sty m:val="p"/>
                      </m:rPr>
                      <w:rPr>
                        <w:rFonts w:ascii="Cambria Math" w:hAnsi="Cambria Math"/>
                      </w:rPr>
                      <m:t>UCI</m:t>
                    </m:r>
                  </m:sup>
                </m:sSubSup>
                <m:d>
                  <m:dPr>
                    <m:ctrlPr>
                      <w:rPr>
                        <w:rFonts w:ascii="Cambria Math" w:hAnsi="Cambria Math"/>
                        <w:iCs/>
                      </w:rPr>
                    </m:ctrlPr>
                  </m:dPr>
                  <m:e>
                    <m:r>
                      <m:rPr>
                        <m:sty m:val="p"/>
                      </m:rPr>
                      <w:rPr>
                        <w:rFonts w:ascii="Cambria Math" w:hAnsi="Cambria Math"/>
                      </w:rPr>
                      <m:t>l</m:t>
                    </m:r>
                  </m:e>
                </m:d>
              </m:e>
            </m:nary>
          </m:e>
        </m:d>
        <m:r>
          <m:rPr>
            <m:sty m:val="p"/>
          </m:rPr>
          <w:rPr>
            <w:rFonts w:ascii="Cambria Math" w:hAnsi="Cambria Math"/>
          </w:rPr>
          <m:t>--</m:t>
        </m:r>
        <m:sSubSup>
          <m:sSubSupPr>
            <m:ctrlPr>
              <w:rPr>
                <w:rFonts w:ascii="Cambria Math" w:hAnsi="Cambria Math"/>
                <w:iCs/>
              </w:rPr>
            </m:ctrlPr>
          </m:sSubSupPr>
          <m:e>
            <m:r>
              <m:rPr>
                <m:sty m:val="p"/>
              </m:rPr>
              <w:rPr>
                <w:rFonts w:ascii="Cambria Math" w:hAnsi="Cambria Math"/>
              </w:rPr>
              <m:t>Q</m:t>
            </m:r>
          </m:e>
          <m:sub>
            <m:r>
              <m:rPr>
                <m:sty m:val="p"/>
              </m:rPr>
              <w:rPr>
                <w:rFonts w:ascii="Cambria Math" w:hAnsi="Cambria Math"/>
              </w:rPr>
              <m:t>ACK/[UTO-UCI]</m:t>
            </m:r>
          </m:sub>
          <m:sup>
            <m:r>
              <m:rPr>
                <m:sty m:val="p"/>
              </m:rPr>
              <w:rPr>
                <w:rFonts w:ascii="Cambria Math" w:hAnsi="Cambria Math"/>
              </w:rPr>
              <m:t>'</m:t>
            </m:r>
          </m:sup>
        </m:sSubSup>
        <m:r>
          <m:rPr>
            <m:sty m:val="p"/>
          </m:rPr>
          <w:rPr>
            <w:rFonts w:ascii="Cambria Math" w:hAnsi="Cambria Math"/>
          </w:rPr>
          <m:t>-</m:t>
        </m:r>
        <m:sSubSup>
          <m:sSubSupPr>
            <m:ctrlPr>
              <w:rPr>
                <w:rFonts w:ascii="Cambria Math" w:hAnsi="Cambria Math"/>
                <w:iCs/>
              </w:rPr>
            </m:ctrlPr>
          </m:sSubSupPr>
          <m:e>
            <m:r>
              <m:rPr>
                <m:sty m:val="p"/>
              </m:rPr>
              <w:rPr>
                <w:rFonts w:ascii="Cambria Math" w:hAnsi="Cambria Math"/>
              </w:rPr>
              <m:t>Q</m:t>
            </m:r>
          </m:e>
          <m:sub>
            <m:r>
              <m:rPr>
                <m:sty m:val="p"/>
              </m:rPr>
              <w:rPr>
                <w:rFonts w:ascii="Cambria Math" w:hAnsi="Cambria Math"/>
              </w:rPr>
              <m:t>CSI-1</m:t>
            </m:r>
          </m:sub>
          <m:sup>
            <m:r>
              <m:rPr>
                <m:sty m:val="p"/>
              </m:rPr>
              <w:rPr>
                <w:rFonts w:ascii="Cambria Math" w:hAnsi="Cambria Math"/>
              </w:rPr>
              <m:t>'</m:t>
            </m:r>
          </m:sup>
        </m:sSubSup>
      </m:oMath>
      <w:r w:rsidRPr="00570EA9">
        <w:rPr>
          <w:iCs/>
          <w:lang w:val="en-US" w:eastAsia="x-none"/>
        </w:rPr>
        <w:t xml:space="preserve"> in TS 38.214.</w:t>
      </w:r>
    </w:p>
    <w:p w14:paraId="6AD5F0ED" w14:textId="77777777" w:rsidR="00570EA9" w:rsidRPr="00570EA9" w:rsidRDefault="00570EA9" w:rsidP="00570EA9">
      <w:pPr>
        <w:rPr>
          <w:rFonts w:ascii="Times New Roman" w:eastAsia="DengXian" w:hAnsi="Times New Roman"/>
          <w:szCs w:val="20"/>
          <w:u w:val="single"/>
          <w:lang w:eastAsia="zh-CN"/>
        </w:rPr>
      </w:pPr>
      <w:r w:rsidRPr="00570EA9">
        <w:rPr>
          <w:rFonts w:ascii="Times New Roman" w:eastAsia="DengXian" w:hAnsi="Times New Roman"/>
          <w:szCs w:val="20"/>
          <w:u w:val="single"/>
          <w:lang w:eastAsia="zh-CN"/>
        </w:rPr>
        <w:t>Conclusion</w:t>
      </w:r>
    </w:p>
    <w:p w14:paraId="2C88AFCE" w14:textId="77777777" w:rsidR="00570EA9" w:rsidRPr="00570EA9" w:rsidRDefault="00570EA9" w:rsidP="00570EA9">
      <w:pPr>
        <w:rPr>
          <w:rFonts w:ascii="Times New Roman" w:hAnsi="Times New Roman"/>
          <w:szCs w:val="20"/>
        </w:rPr>
      </w:pPr>
      <w:r w:rsidRPr="00570EA9">
        <w:rPr>
          <w:rFonts w:ascii="Times New Roman" w:eastAsia="DengXian" w:hAnsi="Times New Roman"/>
          <w:szCs w:val="20"/>
          <w:lang w:eastAsia="zh-CN"/>
        </w:rPr>
        <w:t xml:space="preserve">When UE is configured with </w:t>
      </w:r>
      <w:r w:rsidRPr="00570EA9">
        <w:rPr>
          <w:rFonts w:ascii="Times New Roman" w:hAnsi="Times New Roman"/>
          <w:szCs w:val="20"/>
        </w:rPr>
        <w:t xml:space="preserve">multiple CG configurations, including multi-PUSCH CG configuration(s), the existing </w:t>
      </w:r>
      <w:r w:rsidRPr="00570EA9">
        <w:rPr>
          <w:rFonts w:ascii="Times New Roman" w:hAnsi="Times New Roman"/>
          <w:i/>
          <w:iCs/>
          <w:szCs w:val="20"/>
        </w:rPr>
        <w:t>ConfiguredGrantConfigIndex</w:t>
      </w:r>
      <w:r w:rsidRPr="00570EA9">
        <w:rPr>
          <w:rFonts w:ascii="Times New Roman" w:hAnsi="Times New Roman"/>
          <w:szCs w:val="20"/>
        </w:rPr>
        <w:t xml:space="preserve"> is used to indicate the index of one of multiple Configured Grant configurations in one BWP.</w:t>
      </w:r>
    </w:p>
    <w:p w14:paraId="683C04C2" w14:textId="77777777" w:rsidR="00570EA9" w:rsidRPr="00570EA9" w:rsidRDefault="00570EA9" w:rsidP="00570EA9">
      <w:pPr>
        <w:rPr>
          <w:rFonts w:ascii="Times New Roman" w:hAnsi="Times New Roman"/>
          <w:szCs w:val="20"/>
          <w:lang w:eastAsia="x-none"/>
        </w:rPr>
      </w:pPr>
    </w:p>
    <w:p w14:paraId="618F86D4" w14:textId="77777777" w:rsidR="00570EA9" w:rsidRPr="00570EA9" w:rsidRDefault="00570EA9" w:rsidP="00570EA9">
      <w:pPr>
        <w:rPr>
          <w:rFonts w:ascii="Times New Roman" w:eastAsia="DengXian" w:hAnsi="Times New Roman"/>
          <w:szCs w:val="20"/>
          <w:u w:val="single"/>
          <w:lang w:eastAsia="zh-CN"/>
        </w:rPr>
      </w:pPr>
      <w:r w:rsidRPr="00570EA9">
        <w:rPr>
          <w:rFonts w:ascii="Times New Roman" w:eastAsia="DengXian" w:hAnsi="Times New Roman"/>
          <w:szCs w:val="20"/>
          <w:u w:val="single"/>
          <w:lang w:eastAsia="zh-CN"/>
        </w:rPr>
        <w:t>Conclusion</w:t>
      </w:r>
    </w:p>
    <w:p w14:paraId="5A34529F" w14:textId="77777777" w:rsidR="00570EA9" w:rsidRPr="00570EA9" w:rsidRDefault="00570EA9" w:rsidP="00570EA9">
      <w:pPr>
        <w:rPr>
          <w:rFonts w:ascii="Times New Roman" w:hAnsi="Times New Roman"/>
          <w:szCs w:val="20"/>
        </w:rPr>
      </w:pPr>
      <w:r w:rsidRPr="00570EA9">
        <w:rPr>
          <w:rFonts w:ascii="Times New Roman" w:eastAsia="DengXian" w:hAnsi="Times New Roman"/>
          <w:szCs w:val="20"/>
          <w:lang w:eastAsia="zh-CN"/>
        </w:rPr>
        <w:t xml:space="preserve">When UE is configured with </w:t>
      </w:r>
      <w:r w:rsidRPr="00570EA9">
        <w:rPr>
          <w:rFonts w:ascii="Times New Roman" w:hAnsi="Times New Roman"/>
          <w:szCs w:val="20"/>
        </w:rPr>
        <w:t>multiple CG configurations, including multi-PUSCH CG configuration(s), joint release of multiple CG configurations is supported as legacy.</w:t>
      </w:r>
    </w:p>
    <w:p w14:paraId="24529546" w14:textId="046F0B0A" w:rsidR="00570EA9" w:rsidRPr="00570EA9" w:rsidRDefault="00570EA9" w:rsidP="00AA1D48">
      <w:pPr>
        <w:pStyle w:val="ListParagraph"/>
        <w:numPr>
          <w:ilvl w:val="0"/>
          <w:numId w:val="131"/>
        </w:numPr>
      </w:pPr>
      <w:r w:rsidRPr="00570EA9">
        <w:t>The above feature is subject to UE capability.</w:t>
      </w:r>
    </w:p>
    <w:p w14:paraId="3E3EC48B" w14:textId="77777777" w:rsidR="00570EA9" w:rsidRPr="00570EA9" w:rsidRDefault="00570EA9" w:rsidP="00570EA9">
      <w:pPr>
        <w:rPr>
          <w:rFonts w:ascii="Times New Roman" w:hAnsi="Times New Roman"/>
          <w:szCs w:val="20"/>
          <w:lang w:eastAsia="x-none"/>
        </w:rPr>
      </w:pPr>
    </w:p>
    <w:p w14:paraId="3234DE00" w14:textId="0922A679" w:rsidR="00570EA9" w:rsidRPr="00D3237F" w:rsidRDefault="005A18DC" w:rsidP="00570EA9">
      <w:pPr>
        <w:rPr>
          <w:b/>
          <w:bCs/>
          <w:lang w:eastAsia="x-none"/>
        </w:rPr>
      </w:pPr>
      <w:hyperlink r:id="rId1423" w:history="1">
        <w:r w:rsidR="00AF7253">
          <w:rPr>
            <w:rStyle w:val="Hyperlink"/>
            <w:b/>
            <w:bCs/>
            <w:lang w:eastAsia="x-none"/>
          </w:rPr>
          <w:t>R1-2312386</w:t>
        </w:r>
      </w:hyperlink>
      <w:r w:rsidR="00570EA9" w:rsidRPr="00D3237F">
        <w:rPr>
          <w:b/>
          <w:bCs/>
          <w:lang w:eastAsia="x-none"/>
        </w:rPr>
        <w:tab/>
        <w:t>Moderator Summary#2 - Maintenance of XR Enhancements</w:t>
      </w:r>
      <w:r w:rsidR="00570EA9" w:rsidRPr="00D3237F">
        <w:rPr>
          <w:b/>
          <w:bCs/>
          <w:lang w:eastAsia="x-none"/>
        </w:rPr>
        <w:tab/>
        <w:t>Moderator (Ericsson)</w:t>
      </w:r>
    </w:p>
    <w:p w14:paraId="37DEC79E" w14:textId="5740CE17" w:rsidR="00D3237F" w:rsidRDefault="00D3237F" w:rsidP="00570EA9">
      <w:pPr>
        <w:rPr>
          <w:lang w:eastAsia="x-none"/>
        </w:rPr>
      </w:pPr>
      <w:r>
        <w:rPr>
          <w:lang w:eastAsia="x-none"/>
        </w:rPr>
        <w:t>From Friday session</w:t>
      </w:r>
    </w:p>
    <w:p w14:paraId="20246B6B" w14:textId="77777777" w:rsidR="00D3237F" w:rsidRPr="00D3237F" w:rsidRDefault="00D3237F" w:rsidP="00D3237F">
      <w:pPr>
        <w:tabs>
          <w:tab w:val="left" w:pos="1567"/>
        </w:tabs>
        <w:rPr>
          <w:highlight w:val="green"/>
        </w:rPr>
      </w:pPr>
      <w:r w:rsidRPr="00D3237F">
        <w:rPr>
          <w:highlight w:val="green"/>
          <w:lang w:eastAsia="ja-JP"/>
        </w:rPr>
        <w:t>Agreement</w:t>
      </w:r>
    </w:p>
    <w:p w14:paraId="3039A563" w14:textId="77777777" w:rsidR="00D3237F" w:rsidRDefault="00D3237F" w:rsidP="00D3237F">
      <w:pPr>
        <w:tabs>
          <w:tab w:val="left" w:pos="1567"/>
        </w:tabs>
      </w:pPr>
      <w:r>
        <w:t>Endorse the following TP for Clause 6.1 of TS38.214.</w:t>
      </w:r>
    </w:p>
    <w:tbl>
      <w:tblPr>
        <w:tblW w:w="5000" w:type="pct"/>
        <w:tblCellMar>
          <w:left w:w="42" w:type="dxa"/>
          <w:right w:w="42" w:type="dxa"/>
        </w:tblCellMar>
        <w:tblLook w:val="04A0" w:firstRow="1" w:lastRow="0" w:firstColumn="1" w:lastColumn="0" w:noHBand="0" w:noVBand="1"/>
      </w:tblPr>
      <w:tblGrid>
        <w:gridCol w:w="1659"/>
        <w:gridCol w:w="8892"/>
      </w:tblGrid>
      <w:tr w:rsidR="00D3237F" w:rsidRPr="00D3237F" w14:paraId="14ADACCE" w14:textId="77777777" w:rsidTr="00D3237F">
        <w:tc>
          <w:tcPr>
            <w:tcW w:w="786" w:type="pct"/>
            <w:tcBorders>
              <w:top w:val="single" w:sz="4" w:space="0" w:color="auto"/>
              <w:left w:val="single" w:sz="4" w:space="0" w:color="auto"/>
              <w:bottom w:val="nil"/>
              <w:right w:val="nil"/>
            </w:tcBorders>
            <w:hideMark/>
          </w:tcPr>
          <w:p w14:paraId="2E8AA5AD" w14:textId="77777777" w:rsidR="00D3237F" w:rsidRPr="00D3237F" w:rsidRDefault="00D3237F" w:rsidP="00D3237F">
            <w:pPr>
              <w:pStyle w:val="CRCoverPage"/>
              <w:tabs>
                <w:tab w:val="right" w:pos="2184"/>
              </w:tabs>
              <w:spacing w:after="0"/>
              <w:rPr>
                <w:rFonts w:cs="Arial"/>
                <w:b/>
                <w:i/>
                <w:sz w:val="16"/>
                <w:szCs w:val="16"/>
              </w:rPr>
            </w:pPr>
            <w:r w:rsidRPr="00D3237F">
              <w:rPr>
                <w:rFonts w:cs="Arial"/>
                <w:b/>
                <w:i/>
                <w:sz w:val="16"/>
                <w:szCs w:val="16"/>
              </w:rPr>
              <w:t>Reason for change:</w:t>
            </w:r>
          </w:p>
        </w:tc>
        <w:tc>
          <w:tcPr>
            <w:tcW w:w="4214" w:type="pct"/>
            <w:tcBorders>
              <w:top w:val="single" w:sz="4" w:space="0" w:color="auto"/>
              <w:left w:val="nil"/>
              <w:bottom w:val="nil"/>
              <w:right w:val="single" w:sz="4" w:space="0" w:color="auto"/>
            </w:tcBorders>
            <w:shd w:val="pct30" w:color="FFFF00" w:fill="auto"/>
            <w:hideMark/>
          </w:tcPr>
          <w:p w14:paraId="1802A81B" w14:textId="77777777" w:rsidR="00D3237F" w:rsidRPr="00D3237F" w:rsidRDefault="00D3237F" w:rsidP="00A67145">
            <w:pPr>
              <w:pStyle w:val="ListParagraph"/>
              <w:numPr>
                <w:ilvl w:val="0"/>
                <w:numId w:val="235"/>
              </w:numPr>
              <w:overflowPunct/>
              <w:autoSpaceDE/>
              <w:autoSpaceDN/>
              <w:adjustRightInd/>
              <w:spacing w:after="0" w:line="256" w:lineRule="auto"/>
              <w:contextualSpacing w:val="0"/>
              <w:jc w:val="both"/>
              <w:textAlignment w:val="auto"/>
              <w:rPr>
                <w:rFonts w:ascii="Arial" w:hAnsi="Arial" w:cs="Arial"/>
                <w:sz w:val="16"/>
                <w:szCs w:val="16"/>
              </w:rPr>
            </w:pPr>
            <w:r w:rsidRPr="00D3237F">
              <w:rPr>
                <w:rFonts w:ascii="Arial" w:hAnsi="Arial" w:cs="Arial"/>
                <w:sz w:val="16"/>
                <w:szCs w:val="16"/>
              </w:rPr>
              <w:t>The current description of “</w:t>
            </w:r>
            <w:r w:rsidRPr="00D3237F">
              <w:rPr>
                <w:rFonts w:ascii="Arial" w:hAnsi="Arial" w:cs="Arial"/>
                <w:sz w:val="16"/>
                <w:szCs w:val="16"/>
                <w:lang w:eastAsia="ko-KR"/>
              </w:rPr>
              <w:t>K</w:t>
            </w:r>
            <w:r w:rsidRPr="00D3237F">
              <w:rPr>
                <w:rFonts w:ascii="Arial" w:hAnsi="Arial" w:cs="Arial"/>
                <w:sz w:val="16"/>
                <w:szCs w:val="16"/>
                <w:vertAlign w:val="superscript"/>
                <w:lang w:eastAsia="ko-KR"/>
              </w:rPr>
              <w:t>th</w:t>
            </w:r>
            <w:r w:rsidRPr="00D3237F">
              <w:rPr>
                <w:rFonts w:ascii="Arial" w:hAnsi="Arial" w:cs="Arial"/>
                <w:sz w:val="16"/>
                <w:szCs w:val="16"/>
                <w:lang w:eastAsia="ko-KR"/>
              </w:rPr>
              <w:t xml:space="preserve"> (1 &lt; K ≤ [</w:t>
            </w:r>
            <w:r w:rsidRPr="00D3237F">
              <w:rPr>
                <w:rFonts w:ascii="Arial" w:hAnsi="Arial" w:cs="Arial"/>
                <w:i/>
                <w:iCs/>
                <w:sz w:val="16"/>
                <w:szCs w:val="16"/>
              </w:rPr>
              <w:t>nrofSlots_InCGperiod</w:t>
            </w:r>
            <w:r w:rsidRPr="00D3237F">
              <w:rPr>
                <w:rFonts w:ascii="Arial" w:hAnsi="Arial" w:cs="Arial"/>
                <w:i/>
                <w:iCs/>
                <w:sz w:val="16"/>
                <w:szCs w:val="16"/>
                <w:lang w:eastAsia="ko-KR"/>
              </w:rPr>
              <w:t>]</w:t>
            </w:r>
            <w:r w:rsidRPr="00D3237F">
              <w:rPr>
                <w:rFonts w:ascii="Arial" w:hAnsi="Arial" w:cs="Arial"/>
                <w:sz w:val="16"/>
                <w:szCs w:val="16"/>
                <w:lang w:eastAsia="ko-KR"/>
              </w:rPr>
              <w:t>) valid configured PUSCH grant”</w:t>
            </w:r>
            <w:r w:rsidRPr="00D3237F">
              <w:rPr>
                <w:rFonts w:ascii="Arial" w:hAnsi="Arial" w:cs="Arial"/>
                <w:sz w:val="16"/>
                <w:szCs w:val="16"/>
              </w:rPr>
              <w:t xml:space="preserve"> makes an incorrect index counting in a CG periodicity is invalid. In addition, this index K is redundant given it is not used in other places over RAN1 specifications.  </w:t>
            </w:r>
          </w:p>
          <w:p w14:paraId="38F7C783" w14:textId="77777777" w:rsidR="00D3237F" w:rsidRPr="00D3237F" w:rsidRDefault="00D3237F" w:rsidP="00A67145">
            <w:pPr>
              <w:pStyle w:val="ListParagraph"/>
              <w:numPr>
                <w:ilvl w:val="0"/>
                <w:numId w:val="235"/>
              </w:numPr>
              <w:overflowPunct/>
              <w:autoSpaceDE/>
              <w:autoSpaceDN/>
              <w:adjustRightInd/>
              <w:spacing w:after="0" w:line="256" w:lineRule="auto"/>
              <w:contextualSpacing w:val="0"/>
              <w:jc w:val="both"/>
              <w:textAlignment w:val="auto"/>
              <w:rPr>
                <w:rFonts w:ascii="Arial" w:hAnsi="Arial" w:cs="Arial"/>
                <w:iCs/>
                <w:sz w:val="16"/>
                <w:szCs w:val="16"/>
                <w:lang w:eastAsia="x-none"/>
              </w:rPr>
            </w:pPr>
            <w:r w:rsidRPr="00D3237F">
              <w:rPr>
                <w:rFonts w:ascii="Arial" w:hAnsi="Arial" w:cs="Arial"/>
                <w:iCs/>
                <w:sz w:val="16"/>
                <w:szCs w:val="16"/>
              </w:rPr>
              <w:t>In the current RAN1 Rel-18 spec, valid/invalid configured PUSCH grant is defined from invalid configured PUSCH perspective. That makes it inevitable to propagate this definition to the first configured PUSCH grant, which goes beyond the applicability of valid/invalid configured PUSCH grant in HPID determination in RAN2 specification TS38.321.</w:t>
            </w:r>
          </w:p>
        </w:tc>
      </w:tr>
      <w:tr w:rsidR="00D3237F" w:rsidRPr="00D3237F" w14:paraId="4D4EE667" w14:textId="77777777" w:rsidTr="00D3237F">
        <w:tc>
          <w:tcPr>
            <w:tcW w:w="786" w:type="pct"/>
            <w:tcBorders>
              <w:top w:val="nil"/>
              <w:left w:val="single" w:sz="4" w:space="0" w:color="auto"/>
              <w:bottom w:val="nil"/>
              <w:right w:val="nil"/>
            </w:tcBorders>
          </w:tcPr>
          <w:p w14:paraId="65CB27DC" w14:textId="77777777" w:rsidR="00D3237F" w:rsidRPr="00D3237F" w:rsidRDefault="00D3237F" w:rsidP="00D3237F">
            <w:pPr>
              <w:pStyle w:val="CRCoverPage"/>
              <w:spacing w:after="0"/>
              <w:rPr>
                <w:rFonts w:cs="Arial"/>
                <w:b/>
                <w:i/>
                <w:sz w:val="16"/>
                <w:szCs w:val="16"/>
              </w:rPr>
            </w:pPr>
          </w:p>
        </w:tc>
        <w:tc>
          <w:tcPr>
            <w:tcW w:w="4214" w:type="pct"/>
            <w:tcBorders>
              <w:top w:val="nil"/>
              <w:left w:val="nil"/>
              <w:bottom w:val="nil"/>
              <w:right w:val="single" w:sz="4" w:space="0" w:color="auto"/>
            </w:tcBorders>
          </w:tcPr>
          <w:p w14:paraId="3DC518A2" w14:textId="77777777" w:rsidR="00D3237F" w:rsidRPr="00D3237F" w:rsidRDefault="00D3237F" w:rsidP="00D3237F">
            <w:pPr>
              <w:pStyle w:val="CRCoverPage"/>
              <w:spacing w:after="0"/>
              <w:rPr>
                <w:rFonts w:cs="Arial"/>
                <w:sz w:val="16"/>
                <w:szCs w:val="16"/>
              </w:rPr>
            </w:pPr>
          </w:p>
        </w:tc>
      </w:tr>
      <w:tr w:rsidR="00D3237F" w:rsidRPr="00D3237F" w14:paraId="50E460BF" w14:textId="77777777" w:rsidTr="00D3237F">
        <w:tc>
          <w:tcPr>
            <w:tcW w:w="786" w:type="pct"/>
            <w:tcBorders>
              <w:top w:val="nil"/>
              <w:left w:val="single" w:sz="4" w:space="0" w:color="auto"/>
              <w:bottom w:val="nil"/>
              <w:right w:val="nil"/>
            </w:tcBorders>
            <w:hideMark/>
          </w:tcPr>
          <w:p w14:paraId="66E9D84E" w14:textId="77777777" w:rsidR="00D3237F" w:rsidRPr="00D3237F" w:rsidRDefault="00D3237F" w:rsidP="00D3237F">
            <w:pPr>
              <w:pStyle w:val="CRCoverPage"/>
              <w:tabs>
                <w:tab w:val="right" w:pos="2184"/>
              </w:tabs>
              <w:spacing w:after="0"/>
              <w:rPr>
                <w:rFonts w:cs="Arial"/>
                <w:b/>
                <w:i/>
                <w:sz w:val="16"/>
                <w:szCs w:val="16"/>
              </w:rPr>
            </w:pPr>
            <w:r w:rsidRPr="00D3237F">
              <w:rPr>
                <w:rFonts w:cs="Arial"/>
                <w:b/>
                <w:i/>
                <w:sz w:val="16"/>
                <w:szCs w:val="16"/>
              </w:rPr>
              <w:t>Summary of change:</w:t>
            </w:r>
          </w:p>
        </w:tc>
        <w:tc>
          <w:tcPr>
            <w:tcW w:w="4214" w:type="pct"/>
            <w:tcBorders>
              <w:top w:val="nil"/>
              <w:left w:val="nil"/>
              <w:bottom w:val="nil"/>
              <w:right w:val="single" w:sz="4" w:space="0" w:color="auto"/>
            </w:tcBorders>
            <w:shd w:val="pct30" w:color="FFFF00" w:fill="auto"/>
          </w:tcPr>
          <w:p w14:paraId="341C0ED7" w14:textId="77777777" w:rsidR="00D3237F" w:rsidRPr="00D3237F" w:rsidRDefault="00D3237F" w:rsidP="00A67145">
            <w:pPr>
              <w:pStyle w:val="CRCoverPage"/>
              <w:numPr>
                <w:ilvl w:val="0"/>
                <w:numId w:val="236"/>
              </w:numPr>
              <w:spacing w:after="0" w:line="256" w:lineRule="auto"/>
              <w:jc w:val="both"/>
              <w:rPr>
                <w:rFonts w:cs="Arial"/>
                <w:sz w:val="16"/>
                <w:szCs w:val="16"/>
              </w:rPr>
            </w:pPr>
            <w:r w:rsidRPr="00D3237F">
              <w:rPr>
                <w:rFonts w:cs="Arial"/>
                <w:sz w:val="16"/>
                <w:szCs w:val="16"/>
                <w:lang w:val="en-US"/>
              </w:rPr>
              <w:t xml:space="preserve">Change </w:t>
            </w:r>
            <w:r w:rsidRPr="00D3237F">
              <w:rPr>
                <w:rFonts w:cs="Arial"/>
                <w:sz w:val="16"/>
                <w:szCs w:val="16"/>
                <w:lang w:val="en-US" w:eastAsia="ja-JP"/>
              </w:rPr>
              <w:t xml:space="preserve">“the </w:t>
            </w:r>
            <w:r w:rsidRPr="00D3237F">
              <w:rPr>
                <w:rFonts w:cs="Arial"/>
                <w:sz w:val="16"/>
                <w:szCs w:val="16"/>
              </w:rPr>
              <w:t>K</w:t>
            </w:r>
            <w:r w:rsidRPr="00D3237F">
              <w:rPr>
                <w:rFonts w:cs="Arial"/>
                <w:sz w:val="16"/>
                <w:szCs w:val="16"/>
                <w:vertAlign w:val="superscript"/>
              </w:rPr>
              <w:t>th</w:t>
            </w:r>
            <w:r w:rsidRPr="00D3237F">
              <w:rPr>
                <w:rFonts w:cs="Arial"/>
                <w:sz w:val="16"/>
                <w:szCs w:val="16"/>
              </w:rPr>
              <w:t xml:space="preserve"> (1 &lt; K ≤ [</w:t>
            </w:r>
            <w:r w:rsidRPr="00D3237F">
              <w:rPr>
                <w:rFonts w:cs="Arial"/>
                <w:i/>
                <w:iCs/>
                <w:sz w:val="16"/>
                <w:szCs w:val="16"/>
              </w:rPr>
              <w:t>nrofSlots_InCGperiod]</w:t>
            </w:r>
            <w:r w:rsidRPr="00D3237F">
              <w:rPr>
                <w:rFonts w:cs="Arial"/>
                <w:sz w:val="16"/>
                <w:szCs w:val="16"/>
              </w:rPr>
              <w:t>)</w:t>
            </w:r>
            <w:r w:rsidRPr="00D3237F">
              <w:rPr>
                <w:rFonts w:cs="Arial"/>
                <w:sz w:val="16"/>
                <w:szCs w:val="16"/>
                <w:lang w:val="en-US"/>
              </w:rPr>
              <w:t xml:space="preserve"> valid configured PUSCH grant” to “the </w:t>
            </w:r>
            <w:r w:rsidRPr="00D3237F">
              <w:rPr>
                <w:rFonts w:cs="Arial"/>
                <w:sz w:val="16"/>
                <w:szCs w:val="16"/>
                <w:lang w:val="en-US" w:eastAsia="zh-CN" w:bidi="ar"/>
              </w:rPr>
              <w:t xml:space="preserve">first configured PUSCH grant and each subsequent valid configured PUSCH grant within a </w:t>
            </w:r>
            <w:r w:rsidRPr="00D3237F">
              <w:rPr>
                <w:rStyle w:val="Emphasis"/>
                <w:rFonts w:cs="Arial"/>
                <w:sz w:val="16"/>
                <w:szCs w:val="16"/>
                <w:lang w:val="en-US" w:eastAsia="zh-CN" w:bidi="ar"/>
              </w:rPr>
              <w:t>periodicity</w:t>
            </w:r>
            <w:r w:rsidRPr="00D3237F">
              <w:rPr>
                <w:rFonts w:cs="Arial"/>
                <w:sz w:val="16"/>
                <w:szCs w:val="16"/>
                <w:lang w:val="en-US" w:eastAsia="zh-CN" w:bidi="ar"/>
              </w:rPr>
              <w:t> of the configuration</w:t>
            </w:r>
            <w:r w:rsidRPr="00D3237F">
              <w:rPr>
                <w:rFonts w:cs="Arial"/>
                <w:sz w:val="16"/>
                <w:szCs w:val="16"/>
                <w:lang w:val="en-US"/>
              </w:rPr>
              <w:t>”</w:t>
            </w:r>
            <w:r w:rsidRPr="00D3237F">
              <w:rPr>
                <w:rFonts w:cs="Arial"/>
                <w:sz w:val="16"/>
                <w:szCs w:val="16"/>
              </w:rPr>
              <w:t xml:space="preserve">. </w:t>
            </w:r>
          </w:p>
          <w:p w14:paraId="3372142A" w14:textId="77777777" w:rsidR="00D3237F" w:rsidRPr="00D3237F" w:rsidRDefault="00D3237F" w:rsidP="00D3237F">
            <w:pPr>
              <w:pStyle w:val="CRCoverPage"/>
              <w:spacing w:after="0"/>
              <w:rPr>
                <w:rFonts w:cs="Arial"/>
                <w:sz w:val="16"/>
                <w:szCs w:val="16"/>
              </w:rPr>
            </w:pPr>
          </w:p>
          <w:p w14:paraId="3A7C62BB" w14:textId="77777777" w:rsidR="00D3237F" w:rsidRPr="00D3237F" w:rsidRDefault="00D3237F" w:rsidP="00A67145">
            <w:pPr>
              <w:pStyle w:val="CRCoverPage"/>
              <w:numPr>
                <w:ilvl w:val="0"/>
                <w:numId w:val="236"/>
              </w:numPr>
              <w:spacing w:after="0" w:line="256" w:lineRule="auto"/>
              <w:jc w:val="both"/>
              <w:rPr>
                <w:rFonts w:cs="Arial"/>
                <w:sz w:val="16"/>
                <w:szCs w:val="16"/>
              </w:rPr>
            </w:pPr>
            <w:r w:rsidRPr="00D3237F">
              <w:rPr>
                <w:rFonts w:cs="Arial"/>
                <w:sz w:val="16"/>
                <w:szCs w:val="16"/>
                <w:lang w:val="en-US"/>
              </w:rPr>
              <w:t>Define valid/invalid configured PUSCH grant from perspective of valid configured PUSCH grant, instead of invalid configured PUSCH grant</w:t>
            </w:r>
            <w:r w:rsidRPr="00D3237F">
              <w:rPr>
                <w:rFonts w:cs="Arial"/>
                <w:iCs/>
                <w:sz w:val="16"/>
                <w:szCs w:val="16"/>
              </w:rPr>
              <w:t>.</w:t>
            </w:r>
          </w:p>
        </w:tc>
      </w:tr>
      <w:tr w:rsidR="00D3237F" w:rsidRPr="00D3237F" w14:paraId="4267A8BE" w14:textId="77777777" w:rsidTr="00D3237F">
        <w:tc>
          <w:tcPr>
            <w:tcW w:w="786" w:type="pct"/>
            <w:tcBorders>
              <w:top w:val="nil"/>
              <w:left w:val="single" w:sz="4" w:space="0" w:color="auto"/>
              <w:bottom w:val="nil"/>
              <w:right w:val="nil"/>
            </w:tcBorders>
          </w:tcPr>
          <w:p w14:paraId="64605DCB" w14:textId="77777777" w:rsidR="00D3237F" w:rsidRPr="00D3237F" w:rsidRDefault="00D3237F" w:rsidP="00D3237F">
            <w:pPr>
              <w:pStyle w:val="CRCoverPage"/>
              <w:spacing w:after="0"/>
              <w:rPr>
                <w:rFonts w:cs="Arial"/>
                <w:b/>
                <w:i/>
                <w:sz w:val="16"/>
                <w:szCs w:val="16"/>
              </w:rPr>
            </w:pPr>
          </w:p>
        </w:tc>
        <w:tc>
          <w:tcPr>
            <w:tcW w:w="4214" w:type="pct"/>
            <w:tcBorders>
              <w:top w:val="nil"/>
              <w:left w:val="nil"/>
              <w:bottom w:val="nil"/>
              <w:right w:val="single" w:sz="4" w:space="0" w:color="auto"/>
            </w:tcBorders>
          </w:tcPr>
          <w:p w14:paraId="5FFB2FDA" w14:textId="77777777" w:rsidR="00D3237F" w:rsidRPr="00D3237F" w:rsidRDefault="00D3237F" w:rsidP="00D3237F">
            <w:pPr>
              <w:pStyle w:val="CRCoverPage"/>
              <w:spacing w:after="0"/>
              <w:rPr>
                <w:rFonts w:cs="Arial"/>
                <w:sz w:val="16"/>
                <w:szCs w:val="16"/>
              </w:rPr>
            </w:pPr>
          </w:p>
        </w:tc>
      </w:tr>
      <w:tr w:rsidR="00D3237F" w:rsidRPr="00D3237F" w14:paraId="2BDF18FF" w14:textId="77777777" w:rsidTr="00D3237F">
        <w:tc>
          <w:tcPr>
            <w:tcW w:w="786" w:type="pct"/>
            <w:tcBorders>
              <w:top w:val="nil"/>
              <w:left w:val="single" w:sz="4" w:space="0" w:color="auto"/>
              <w:bottom w:val="single" w:sz="4" w:space="0" w:color="auto"/>
              <w:right w:val="nil"/>
            </w:tcBorders>
            <w:hideMark/>
          </w:tcPr>
          <w:p w14:paraId="1DC1661B" w14:textId="77777777" w:rsidR="00D3237F" w:rsidRPr="00D3237F" w:rsidRDefault="00D3237F" w:rsidP="00D3237F">
            <w:pPr>
              <w:pStyle w:val="CRCoverPage"/>
              <w:tabs>
                <w:tab w:val="right" w:pos="2184"/>
              </w:tabs>
              <w:spacing w:after="0"/>
              <w:rPr>
                <w:rFonts w:cs="Arial"/>
                <w:b/>
                <w:i/>
                <w:sz w:val="16"/>
                <w:szCs w:val="16"/>
              </w:rPr>
            </w:pPr>
            <w:r w:rsidRPr="00D3237F">
              <w:rPr>
                <w:rFonts w:cs="Arial"/>
                <w:b/>
                <w:i/>
                <w:sz w:val="16"/>
                <w:szCs w:val="16"/>
              </w:rPr>
              <w:t xml:space="preserve">Consequences if not </w:t>
            </w:r>
            <w:r w:rsidRPr="00D3237F">
              <w:rPr>
                <w:rFonts w:cs="Arial"/>
                <w:b/>
                <w:i/>
                <w:sz w:val="16"/>
                <w:szCs w:val="16"/>
              </w:rPr>
              <w:lastRenderedPageBreak/>
              <w:t>approved:</w:t>
            </w:r>
          </w:p>
        </w:tc>
        <w:tc>
          <w:tcPr>
            <w:tcW w:w="4214" w:type="pct"/>
            <w:tcBorders>
              <w:top w:val="nil"/>
              <w:left w:val="nil"/>
              <w:bottom w:val="single" w:sz="4" w:space="0" w:color="auto"/>
              <w:right w:val="single" w:sz="4" w:space="0" w:color="auto"/>
            </w:tcBorders>
            <w:shd w:val="pct30" w:color="FFFF00" w:fill="auto"/>
            <w:hideMark/>
          </w:tcPr>
          <w:p w14:paraId="1F76CE8F" w14:textId="77777777" w:rsidR="00D3237F" w:rsidRPr="00D3237F" w:rsidRDefault="00D3237F" w:rsidP="00D3237F">
            <w:pPr>
              <w:pStyle w:val="CRCoverPage"/>
              <w:spacing w:after="0"/>
              <w:rPr>
                <w:rFonts w:cs="Arial"/>
                <w:sz w:val="16"/>
                <w:szCs w:val="16"/>
              </w:rPr>
            </w:pPr>
            <w:r w:rsidRPr="00D3237F">
              <w:rPr>
                <w:rFonts w:cs="Arial"/>
                <w:sz w:val="16"/>
                <w:szCs w:val="16"/>
                <w:lang w:val="en-US" w:eastAsia="ja-JP"/>
              </w:rPr>
              <w:lastRenderedPageBreak/>
              <w:t xml:space="preserve">Potentially incorrect applicability of HPID determination and inconsistency between RAN1 specification and RAN2 </w:t>
            </w:r>
            <w:r w:rsidRPr="00D3237F">
              <w:rPr>
                <w:rFonts w:cs="Arial"/>
                <w:sz w:val="16"/>
                <w:szCs w:val="16"/>
                <w:lang w:val="en-US" w:eastAsia="ja-JP"/>
              </w:rPr>
              <w:lastRenderedPageBreak/>
              <w:t>specification</w:t>
            </w:r>
            <w:r w:rsidRPr="00D3237F">
              <w:rPr>
                <w:rFonts w:cs="Arial"/>
                <w:sz w:val="16"/>
                <w:szCs w:val="16"/>
                <w:lang w:eastAsia="ja-JP"/>
              </w:rPr>
              <w:t>.</w:t>
            </w:r>
          </w:p>
        </w:tc>
      </w:tr>
      <w:tr w:rsidR="00D3237F" w:rsidRPr="008102FC" w14:paraId="69930716" w14:textId="77777777" w:rsidTr="00D3237F">
        <w:tc>
          <w:tcPr>
            <w:tcW w:w="5000" w:type="pct"/>
            <w:gridSpan w:val="2"/>
            <w:tcBorders>
              <w:top w:val="single" w:sz="4" w:space="0" w:color="auto"/>
              <w:left w:val="single" w:sz="4" w:space="0" w:color="auto"/>
              <w:bottom w:val="single" w:sz="4" w:space="0" w:color="auto"/>
              <w:right w:val="single" w:sz="4" w:space="0" w:color="auto"/>
            </w:tcBorders>
          </w:tcPr>
          <w:p w14:paraId="1B1C997A" w14:textId="77777777" w:rsidR="00D3237F" w:rsidRPr="008102FC" w:rsidRDefault="00D3237F" w:rsidP="008102FC">
            <w:pPr>
              <w:rPr>
                <w:rFonts w:ascii="Arial" w:hAnsi="Arial" w:cs="Arial"/>
                <w:b/>
                <w:bCs/>
                <w:sz w:val="16"/>
                <w:szCs w:val="16"/>
              </w:rPr>
            </w:pPr>
            <w:r w:rsidRPr="008102FC">
              <w:rPr>
                <w:rFonts w:ascii="Arial" w:hAnsi="Arial" w:cs="Arial"/>
                <w:b/>
                <w:bCs/>
                <w:sz w:val="16"/>
                <w:szCs w:val="16"/>
              </w:rPr>
              <w:lastRenderedPageBreak/>
              <w:t>6.1</w:t>
            </w:r>
            <w:r w:rsidRPr="008102FC">
              <w:rPr>
                <w:rFonts w:ascii="Arial" w:hAnsi="Arial" w:cs="Arial"/>
                <w:b/>
                <w:bCs/>
                <w:sz w:val="16"/>
                <w:szCs w:val="16"/>
              </w:rPr>
              <w:tab/>
              <w:t>UE procedure for transmitting the physical uplink shared channel</w:t>
            </w:r>
          </w:p>
          <w:p w14:paraId="33389392" w14:textId="77777777" w:rsidR="00D3237F" w:rsidRPr="008102FC" w:rsidRDefault="00D3237F" w:rsidP="00D3237F">
            <w:pPr>
              <w:pStyle w:val="CRCoverPage"/>
              <w:spacing w:after="0"/>
              <w:jc w:val="center"/>
              <w:rPr>
                <w:rFonts w:eastAsia="SimSun" w:cs="Arial"/>
                <w:sz w:val="16"/>
                <w:szCs w:val="16"/>
                <w:lang w:eastAsia="ja-JP"/>
              </w:rPr>
            </w:pPr>
            <w:r w:rsidRPr="008102FC">
              <w:rPr>
                <w:rFonts w:cs="Arial"/>
                <w:color w:val="FF0000"/>
                <w:sz w:val="16"/>
                <w:szCs w:val="16"/>
              </w:rPr>
              <w:t>************** Unchanged parts omitted**************</w:t>
            </w:r>
          </w:p>
          <w:p w14:paraId="1C820F00" w14:textId="77777777" w:rsidR="00D3237F" w:rsidRPr="008102FC" w:rsidRDefault="00D3237F" w:rsidP="00D3237F">
            <w:pPr>
              <w:rPr>
                <w:rFonts w:ascii="Arial" w:hAnsi="Arial" w:cs="Arial"/>
                <w:sz w:val="16"/>
                <w:szCs w:val="16"/>
                <w:lang w:val="zh-CN" w:eastAsia="zh-CN"/>
              </w:rPr>
            </w:pPr>
            <w:r w:rsidRPr="008102FC">
              <w:rPr>
                <w:rFonts w:ascii="Arial" w:hAnsi="Arial" w:cs="Arial"/>
                <w:sz w:val="16"/>
                <w:szCs w:val="16"/>
              </w:rPr>
              <w:t xml:space="preserve">When </w:t>
            </w:r>
            <w:r w:rsidRPr="008102FC">
              <w:rPr>
                <w:rStyle w:val="Emphasis"/>
                <w:rFonts w:ascii="Arial" w:hAnsi="Arial" w:cs="Arial"/>
                <w:sz w:val="16"/>
                <w:szCs w:val="16"/>
              </w:rPr>
              <w:t xml:space="preserve">[nrofSlots_InCGperiod] </w:t>
            </w:r>
            <w:r w:rsidRPr="008102FC">
              <w:rPr>
                <w:rFonts w:ascii="Arial" w:hAnsi="Arial" w:cs="Arial"/>
                <w:sz w:val="16"/>
                <w:szCs w:val="16"/>
              </w:rPr>
              <w:t>is configured for Type 1 configured grant or Type 2 configured grant, HARQ process ID for the</w:t>
            </w:r>
            <w:r w:rsidRPr="008102FC">
              <w:rPr>
                <w:rFonts w:ascii="Arial" w:hAnsi="Arial" w:cs="Arial"/>
                <w:strike/>
                <w:color w:val="EF2929"/>
                <w:sz w:val="16"/>
                <w:szCs w:val="16"/>
              </w:rPr>
              <w:t xml:space="preserve"> K</w:t>
            </w:r>
            <w:r w:rsidRPr="008102FC">
              <w:rPr>
                <w:rFonts w:ascii="Arial" w:hAnsi="Arial" w:cs="Arial"/>
                <w:strike/>
                <w:color w:val="EF2929"/>
                <w:sz w:val="16"/>
                <w:szCs w:val="16"/>
                <w:vertAlign w:val="superscript"/>
              </w:rPr>
              <w:t>th</w:t>
            </w:r>
            <w:r w:rsidRPr="008102FC">
              <w:rPr>
                <w:rFonts w:ascii="Arial" w:hAnsi="Arial" w:cs="Arial"/>
                <w:strike/>
                <w:color w:val="EF2929"/>
                <w:sz w:val="16"/>
                <w:szCs w:val="16"/>
              </w:rPr>
              <w:t> (1 &lt; K ≤ [</w:t>
            </w:r>
            <w:r w:rsidRPr="008102FC">
              <w:rPr>
                <w:rStyle w:val="Emphasis"/>
                <w:rFonts w:ascii="Arial" w:hAnsi="Arial" w:cs="Arial"/>
                <w:strike/>
                <w:color w:val="EF2929"/>
                <w:sz w:val="16"/>
                <w:szCs w:val="16"/>
              </w:rPr>
              <w:t>nrofSlots_InCGperiod]</w:t>
            </w:r>
            <w:r w:rsidRPr="008102FC">
              <w:rPr>
                <w:rFonts w:ascii="Arial" w:hAnsi="Arial" w:cs="Arial"/>
                <w:strike/>
                <w:color w:val="EF2929"/>
                <w:sz w:val="16"/>
                <w:szCs w:val="16"/>
              </w:rPr>
              <w:t>)</w:t>
            </w:r>
            <w:r w:rsidRPr="008102FC">
              <w:rPr>
                <w:rFonts w:ascii="Arial" w:hAnsi="Arial" w:cs="Arial"/>
                <w:color w:val="FF0000"/>
                <w:sz w:val="16"/>
                <w:szCs w:val="16"/>
              </w:rPr>
              <w:t xml:space="preserve"> first configured PUSCH grant and each subsequent</w:t>
            </w:r>
            <w:r w:rsidRPr="008102FC">
              <w:rPr>
                <w:rFonts w:ascii="Arial" w:hAnsi="Arial" w:cs="Arial"/>
                <w:sz w:val="16"/>
                <w:szCs w:val="16"/>
              </w:rPr>
              <w:t xml:space="preserve"> valid configured PUSCH grant</w:t>
            </w:r>
            <w:r w:rsidRPr="008102FC">
              <w:rPr>
                <w:rFonts w:ascii="Arial" w:hAnsi="Arial" w:cs="Arial"/>
                <w:color w:val="FF0000"/>
                <w:sz w:val="16"/>
                <w:szCs w:val="16"/>
              </w:rPr>
              <w:t xml:space="preserve"> within a </w:t>
            </w:r>
            <w:r w:rsidRPr="008102FC">
              <w:rPr>
                <w:rStyle w:val="Emphasis"/>
                <w:rFonts w:ascii="Arial" w:hAnsi="Arial" w:cs="Arial"/>
                <w:color w:val="FF0000"/>
                <w:sz w:val="16"/>
                <w:szCs w:val="16"/>
              </w:rPr>
              <w:t>periodicity</w:t>
            </w:r>
            <w:r w:rsidRPr="008102FC">
              <w:rPr>
                <w:rFonts w:ascii="Arial" w:hAnsi="Arial" w:cs="Arial"/>
                <w:color w:val="FF0000"/>
                <w:sz w:val="16"/>
                <w:szCs w:val="16"/>
              </w:rPr>
              <w:t> of the configuration </w:t>
            </w:r>
            <w:r w:rsidRPr="008102FC">
              <w:rPr>
                <w:rFonts w:ascii="Arial" w:hAnsi="Arial" w:cs="Arial"/>
                <w:sz w:val="16"/>
                <w:szCs w:val="16"/>
              </w:rPr>
              <w:t>is determined as in clause 5.4.1 of [10, TS 38.321]</w:t>
            </w:r>
            <w:r w:rsidRPr="008102FC">
              <w:rPr>
                <w:rFonts w:ascii="Arial" w:hAnsi="Arial" w:cs="Arial"/>
                <w:strike/>
                <w:color w:val="EF2929"/>
                <w:sz w:val="16"/>
                <w:szCs w:val="16"/>
              </w:rPr>
              <w:t>,</w:t>
            </w:r>
            <w:r w:rsidRPr="008102FC">
              <w:rPr>
                <w:rFonts w:ascii="Arial" w:hAnsi="Arial" w:cs="Arial"/>
                <w:sz w:val="16"/>
                <w:szCs w:val="16"/>
              </w:rPr>
              <w:t xml:space="preserve"> </w:t>
            </w:r>
            <w:r w:rsidRPr="008102FC">
              <w:rPr>
                <w:rFonts w:ascii="Arial" w:hAnsi="Arial" w:cs="Arial"/>
                <w:color w:val="FF0000"/>
                <w:sz w:val="16"/>
                <w:szCs w:val="16"/>
              </w:rPr>
              <w:t xml:space="preserve">where a valid configured PUSCH grant is the configured PUSCH grant that is not collided </w:t>
            </w:r>
            <w:r w:rsidRPr="008102FC">
              <w:rPr>
                <w:rFonts w:ascii="Arial" w:hAnsi="Arial" w:cs="Arial"/>
                <w:strike/>
                <w:color w:val="FF0000"/>
                <w:sz w:val="16"/>
                <w:szCs w:val="16"/>
              </w:rPr>
              <w:t>excluding invalid</w:t>
            </w:r>
            <w:r w:rsidRPr="008102FC">
              <w:rPr>
                <w:rFonts w:ascii="Arial" w:hAnsi="Arial" w:cs="Arial"/>
                <w:color w:val="FF0000"/>
                <w:sz w:val="16"/>
                <w:szCs w:val="16"/>
              </w:rPr>
              <w:t xml:space="preserve"> </w:t>
            </w:r>
            <w:r w:rsidRPr="008102FC">
              <w:rPr>
                <w:rFonts w:ascii="Arial" w:hAnsi="Arial" w:cs="Arial"/>
                <w:strike/>
                <w:color w:val="FF0000"/>
                <w:sz w:val="16"/>
                <w:szCs w:val="16"/>
              </w:rPr>
              <w:t xml:space="preserve">configured PUSCH grant that are not transmitted due to collision </w:t>
            </w:r>
            <w:r w:rsidRPr="008102FC">
              <w:rPr>
                <w:rFonts w:ascii="Arial" w:hAnsi="Arial" w:cs="Arial"/>
                <w:sz w:val="16"/>
                <w:szCs w:val="16"/>
              </w:rPr>
              <w:t xml:space="preserve">with the DL symbol(s) indicated by tdd-UL-DL-ConfigurationCommon or tdd-UL-DL-ConfigurationDedicated if provided, </w:t>
            </w:r>
            <w:r w:rsidRPr="008102FC">
              <w:rPr>
                <w:rFonts w:ascii="Arial" w:hAnsi="Arial" w:cs="Arial"/>
                <w:strike/>
                <w:color w:val="FF0000"/>
                <w:sz w:val="16"/>
                <w:szCs w:val="16"/>
              </w:rPr>
              <w:t>or</w:t>
            </w:r>
            <w:r w:rsidRPr="008102FC">
              <w:rPr>
                <w:rFonts w:ascii="Arial" w:hAnsi="Arial" w:cs="Arial"/>
                <w:color w:val="FF0000"/>
                <w:sz w:val="16"/>
                <w:szCs w:val="16"/>
              </w:rPr>
              <w:t xml:space="preserve"> and is not collided with </w:t>
            </w:r>
            <w:r w:rsidRPr="008102FC">
              <w:rPr>
                <w:rFonts w:ascii="Arial" w:hAnsi="Arial" w:cs="Arial"/>
                <w:sz w:val="16"/>
                <w:szCs w:val="16"/>
              </w:rPr>
              <w:t xml:space="preserve">a symbol(s) of an SS/PBCH block with index provided by ssb-PositionsInBurst as described in clause 11.1 of [6, TS 38.213]. </w:t>
            </w:r>
          </w:p>
          <w:p w14:paraId="44862700" w14:textId="77777777" w:rsidR="00D3237F" w:rsidRPr="008102FC" w:rsidRDefault="00D3237F" w:rsidP="00D3237F">
            <w:pPr>
              <w:pStyle w:val="CRCoverPage"/>
              <w:spacing w:after="0"/>
              <w:jc w:val="center"/>
              <w:rPr>
                <w:rFonts w:cs="Arial"/>
                <w:sz w:val="16"/>
                <w:szCs w:val="16"/>
                <w:lang w:val="en-US" w:eastAsia="zh-CN"/>
              </w:rPr>
            </w:pPr>
            <w:r w:rsidRPr="008102FC">
              <w:rPr>
                <w:rFonts w:cs="Arial"/>
                <w:color w:val="FF0000"/>
                <w:sz w:val="16"/>
                <w:szCs w:val="16"/>
              </w:rPr>
              <w:t>************** Unchanged parts omitted**************</w:t>
            </w:r>
          </w:p>
        </w:tc>
      </w:tr>
    </w:tbl>
    <w:p w14:paraId="69AF6DC5" w14:textId="77777777" w:rsidR="00D3237F" w:rsidRDefault="00D3237F" w:rsidP="00570EA9">
      <w:pPr>
        <w:rPr>
          <w:lang w:eastAsia="x-none"/>
        </w:rPr>
      </w:pPr>
    </w:p>
    <w:p w14:paraId="3FC62BDD" w14:textId="77777777" w:rsidR="00D3237F" w:rsidRDefault="00D3237F" w:rsidP="00570EA9">
      <w:pPr>
        <w:rPr>
          <w:lang w:eastAsia="x-none"/>
        </w:rPr>
      </w:pPr>
    </w:p>
    <w:p w14:paraId="50B6DDB9" w14:textId="34D643D0" w:rsidR="00570EA9" w:rsidRPr="009537ED" w:rsidRDefault="00D3237F" w:rsidP="00F74A6F">
      <w:pPr>
        <w:rPr>
          <w:lang w:eastAsia="x-none"/>
        </w:rPr>
      </w:pPr>
      <w:r>
        <w:rPr>
          <w:lang w:eastAsia="x-none"/>
        </w:rPr>
        <w:t xml:space="preserve">Final summary in </w:t>
      </w:r>
      <w:hyperlink r:id="rId1424" w:history="1">
        <w:r w:rsidR="00AF7253">
          <w:rPr>
            <w:rStyle w:val="Hyperlink"/>
            <w:lang w:eastAsia="x-none"/>
          </w:rPr>
          <w:t>R1-2312387</w:t>
        </w:r>
      </w:hyperlink>
      <w:r>
        <w:rPr>
          <w:lang w:eastAsia="x-none"/>
        </w:rPr>
        <w:t>.</w:t>
      </w:r>
    </w:p>
    <w:p w14:paraId="4A7F380C" w14:textId="77777777" w:rsidR="00F74A6F" w:rsidRDefault="00F74A6F" w:rsidP="00F74A6F">
      <w:pPr>
        <w:pStyle w:val="Heading2"/>
      </w:pPr>
      <w:bookmarkStart w:id="659" w:name="_Toc150174472"/>
      <w:bookmarkStart w:id="660" w:name="_Toc159251014"/>
      <w:r w:rsidRPr="009537ED">
        <w:t>Maintenance on Further NR Mobility Enhancements</w:t>
      </w:r>
      <w:bookmarkEnd w:id="659"/>
      <w:bookmarkEnd w:id="660"/>
    </w:p>
    <w:p w14:paraId="2DA2EF90" w14:textId="17316AE3" w:rsidR="004B3090" w:rsidRPr="004B3090" w:rsidRDefault="005A18DC" w:rsidP="004B3090">
      <w:pPr>
        <w:rPr>
          <w:b/>
          <w:bCs/>
        </w:rPr>
      </w:pPr>
      <w:hyperlink r:id="rId1425" w:history="1">
        <w:r w:rsidR="00AF7253">
          <w:rPr>
            <w:rStyle w:val="Hyperlink"/>
            <w:b/>
            <w:bCs/>
          </w:rPr>
          <w:t>R1-2312506</w:t>
        </w:r>
      </w:hyperlink>
      <w:r w:rsidR="004B3090" w:rsidRPr="004B3090">
        <w:rPr>
          <w:b/>
          <w:bCs/>
        </w:rPr>
        <w:tab/>
        <w:t>Session notes for 8.7 (Maintenance on further NR mobility enhancements)</w:t>
      </w:r>
      <w:r w:rsidR="004B3090" w:rsidRPr="004B3090">
        <w:rPr>
          <w:b/>
          <w:bCs/>
        </w:rPr>
        <w:tab/>
        <w:t>Ad-Hoc Chair (Huawei)</w:t>
      </w:r>
    </w:p>
    <w:p w14:paraId="5ECD219B" w14:textId="77777777" w:rsidR="004B3090" w:rsidRPr="00D96FAE" w:rsidRDefault="004B3090" w:rsidP="004B3090">
      <w:pPr>
        <w:rPr>
          <w:lang w:eastAsia="x-none"/>
        </w:rPr>
      </w:pPr>
      <w:r w:rsidRPr="00F05EFE">
        <w:rPr>
          <w:b/>
          <w:bCs/>
        </w:rPr>
        <w:t>Friday decision:</w:t>
      </w:r>
      <w:r>
        <w:t xml:space="preserve"> The </w:t>
      </w:r>
      <w:r>
        <w:rPr>
          <w:lang w:val="en-US" w:eastAsia="x-none"/>
        </w:rPr>
        <w:t>s</w:t>
      </w:r>
      <w:r w:rsidRPr="00663F3A">
        <w:rPr>
          <w:lang w:val="en-US" w:eastAsia="x-none"/>
        </w:rPr>
        <w:t>ession notes</w:t>
      </w:r>
      <w:r>
        <w:rPr>
          <w:lang w:val="en-US" w:eastAsia="x-none"/>
        </w:rPr>
        <w:t xml:space="preserve"> are </w:t>
      </w:r>
      <w:r>
        <w:rPr>
          <w:highlight w:val="green"/>
          <w:lang w:eastAsia="x-none"/>
        </w:rPr>
        <w:t>e</w:t>
      </w:r>
      <w:r w:rsidRPr="00D96FAE">
        <w:rPr>
          <w:highlight w:val="green"/>
          <w:lang w:eastAsia="x-none"/>
        </w:rPr>
        <w:t xml:space="preserve">ndorsed </w:t>
      </w:r>
      <w:r w:rsidRPr="00D96FAE">
        <w:rPr>
          <w:lang w:eastAsia="x-none"/>
        </w:rPr>
        <w:t>and contents reflected below.</w:t>
      </w:r>
    </w:p>
    <w:p w14:paraId="11DEDBCD" w14:textId="77777777" w:rsidR="004B3090" w:rsidRPr="004B3090" w:rsidRDefault="004B3090" w:rsidP="004B3090"/>
    <w:p w14:paraId="7DF318AC" w14:textId="77777777" w:rsidR="007D4A8D" w:rsidRPr="007D4A8D" w:rsidRDefault="00F74A6F" w:rsidP="00F74A6F">
      <w:pPr>
        <w:rPr>
          <w:lang w:eastAsia="x-none"/>
        </w:rPr>
      </w:pPr>
      <w:r w:rsidRPr="007D4A8D">
        <w:rPr>
          <w:lang w:eastAsia="x-none"/>
        </w:rPr>
        <w:t xml:space="preserve">[115-R18-Mobility] </w:t>
      </w:r>
      <w:r w:rsidR="007D4A8D" w:rsidRPr="007D4A8D">
        <w:rPr>
          <w:lang w:eastAsia="x-none"/>
        </w:rPr>
        <w:t>– Yosuke (Fujitsu)</w:t>
      </w:r>
    </w:p>
    <w:p w14:paraId="0D95FB5B" w14:textId="2B628773" w:rsidR="00F74A6F" w:rsidRPr="007D4A8D" w:rsidRDefault="00F74A6F" w:rsidP="00F74A6F">
      <w:pPr>
        <w:rPr>
          <w:lang w:eastAsia="x-none"/>
        </w:rPr>
      </w:pPr>
      <w:r w:rsidRPr="007D4A8D">
        <w:rPr>
          <w:lang w:eastAsia="x-none"/>
        </w:rPr>
        <w:t>Email discussion on mobility enhancements</w:t>
      </w:r>
    </w:p>
    <w:p w14:paraId="4DD8811D" w14:textId="77777777" w:rsidR="00F74A6F" w:rsidRPr="007D4A8D" w:rsidRDefault="00F74A6F" w:rsidP="00F74A6F">
      <w:pPr>
        <w:numPr>
          <w:ilvl w:val="0"/>
          <w:numId w:val="69"/>
        </w:numPr>
        <w:rPr>
          <w:lang w:eastAsia="x-none"/>
        </w:rPr>
      </w:pPr>
      <w:r w:rsidRPr="007D4A8D">
        <w:rPr>
          <w:lang w:eastAsia="x-none"/>
        </w:rPr>
        <w:t>To be used for sharing updates on online/offline schedule, details on what is to be discussed in online/offline sessions, tdoc number of the moderator summary for online session, etc</w:t>
      </w:r>
    </w:p>
    <w:p w14:paraId="05DE1213" w14:textId="77777777" w:rsidR="00F74A6F" w:rsidRDefault="00F74A6F" w:rsidP="00F74A6F">
      <w:pPr>
        <w:rPr>
          <w:lang w:eastAsia="x-none"/>
        </w:rPr>
      </w:pPr>
    </w:p>
    <w:p w14:paraId="2A091945" w14:textId="0B01DE06" w:rsidR="007D4A8D" w:rsidRPr="007D4A8D" w:rsidRDefault="005A18DC" w:rsidP="00F74A6F">
      <w:pPr>
        <w:rPr>
          <w:b/>
          <w:bCs/>
          <w:lang w:eastAsia="x-none"/>
        </w:rPr>
      </w:pPr>
      <w:hyperlink r:id="rId1426" w:history="1">
        <w:r w:rsidR="00AF7253">
          <w:rPr>
            <w:rStyle w:val="Hyperlink"/>
            <w:b/>
            <w:bCs/>
            <w:lang w:eastAsia="x-none"/>
          </w:rPr>
          <w:t>R1-2312391</w:t>
        </w:r>
      </w:hyperlink>
      <w:r w:rsidR="007D4A8D" w:rsidRPr="007D4A8D">
        <w:rPr>
          <w:b/>
          <w:bCs/>
          <w:lang w:eastAsia="x-none"/>
        </w:rPr>
        <w:tab/>
        <w:t>Summary of RRC parameters for NR mobility enhancement WI for RAN1 115 meeting</w:t>
      </w:r>
      <w:r w:rsidR="007D4A8D" w:rsidRPr="007D4A8D">
        <w:rPr>
          <w:b/>
          <w:bCs/>
          <w:lang w:eastAsia="x-none"/>
        </w:rPr>
        <w:tab/>
        <w:t>Rapporteur (Apple)</w:t>
      </w:r>
    </w:p>
    <w:p w14:paraId="78F38481" w14:textId="2B3AF9E7" w:rsidR="007D4A8D" w:rsidRDefault="007D4A8D" w:rsidP="00F74A6F">
      <w:pPr>
        <w:rPr>
          <w:lang w:eastAsia="x-none"/>
        </w:rPr>
      </w:pPr>
      <w:r>
        <w:rPr>
          <w:lang w:eastAsia="x-none"/>
        </w:rPr>
        <w:t>From Tuesday session</w:t>
      </w:r>
    </w:p>
    <w:p w14:paraId="75C783F5" w14:textId="77777777" w:rsidR="007D4A8D" w:rsidRPr="007D4A8D" w:rsidRDefault="007D4A8D" w:rsidP="007D4A8D">
      <w:pPr>
        <w:rPr>
          <w:rFonts w:ascii="Times New Roman" w:hAnsi="Times New Roman"/>
          <w:szCs w:val="20"/>
          <w:lang w:val="en-US"/>
        </w:rPr>
      </w:pPr>
      <w:r w:rsidRPr="007D4A8D">
        <w:rPr>
          <w:rFonts w:ascii="Times New Roman" w:hAnsi="Times New Roman"/>
          <w:szCs w:val="20"/>
          <w:highlight w:val="green"/>
          <w:lang w:val="en-US"/>
        </w:rPr>
        <w:t>Agreement</w:t>
      </w:r>
    </w:p>
    <w:p w14:paraId="021E3EB3" w14:textId="77777777" w:rsidR="007D4A8D" w:rsidRPr="007D4A8D" w:rsidRDefault="007D4A8D" w:rsidP="00AA1D48">
      <w:pPr>
        <w:pStyle w:val="ListParagraph"/>
        <w:numPr>
          <w:ilvl w:val="0"/>
          <w:numId w:val="115"/>
        </w:numPr>
      </w:pPr>
      <w:r w:rsidRPr="007D4A8D">
        <w:t>Agree the following RRC parameter for CSI related to LTM CSI report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5"/>
        <w:gridCol w:w="2084"/>
        <w:gridCol w:w="2039"/>
        <w:gridCol w:w="926"/>
        <w:gridCol w:w="1873"/>
        <w:gridCol w:w="3456"/>
      </w:tblGrid>
      <w:tr w:rsidR="007D4A8D" w:rsidRPr="007D4A8D" w14:paraId="394465F4" w14:textId="77777777" w:rsidTr="007D4A8D">
        <w:trPr>
          <w:trHeight w:val="451"/>
        </w:trPr>
        <w:tc>
          <w:tcPr>
            <w:tcW w:w="228" w:type="pct"/>
            <w:shd w:val="clear" w:color="auto" w:fill="D9D9D9"/>
          </w:tcPr>
          <w:p w14:paraId="5D5813B2" w14:textId="77777777" w:rsidR="007D4A8D" w:rsidRPr="007D4A8D" w:rsidRDefault="007D4A8D" w:rsidP="007D4A8D">
            <w:pPr>
              <w:rPr>
                <w:rFonts w:ascii="Arial" w:eastAsia="DengXian" w:hAnsi="Arial" w:cs="Arial"/>
                <w:sz w:val="16"/>
                <w:szCs w:val="16"/>
              </w:rPr>
            </w:pPr>
            <w:r w:rsidRPr="007D4A8D">
              <w:rPr>
                <w:rFonts w:ascii="Arial" w:eastAsia="DengXian" w:hAnsi="Arial" w:cs="Arial"/>
                <w:sz w:val="16"/>
                <w:szCs w:val="16"/>
              </w:rPr>
              <w:t>#</w:t>
            </w:r>
          </w:p>
        </w:tc>
        <w:tc>
          <w:tcPr>
            <w:tcW w:w="691" w:type="pct"/>
            <w:shd w:val="clear" w:color="auto" w:fill="D9D9D9"/>
          </w:tcPr>
          <w:p w14:paraId="16F87620" w14:textId="77777777" w:rsidR="007D4A8D" w:rsidRPr="007D4A8D" w:rsidRDefault="007D4A8D" w:rsidP="007D4A8D">
            <w:pPr>
              <w:rPr>
                <w:rFonts w:ascii="Arial" w:eastAsia="DengXian" w:hAnsi="Arial" w:cs="Arial"/>
                <w:sz w:val="16"/>
                <w:szCs w:val="16"/>
              </w:rPr>
            </w:pPr>
            <w:r w:rsidRPr="007D4A8D">
              <w:rPr>
                <w:rFonts w:ascii="Arial" w:eastAsia="DengXian" w:hAnsi="Arial" w:cs="Arial"/>
                <w:sz w:val="16"/>
                <w:szCs w:val="16"/>
              </w:rPr>
              <w:t>RAN2 parent IE</w:t>
            </w:r>
          </w:p>
        </w:tc>
        <w:tc>
          <w:tcPr>
            <w:tcW w:w="863" w:type="pct"/>
            <w:shd w:val="clear" w:color="auto" w:fill="D9D9D9"/>
          </w:tcPr>
          <w:p w14:paraId="54D867AA" w14:textId="77777777" w:rsidR="007D4A8D" w:rsidRPr="007D4A8D" w:rsidRDefault="007D4A8D" w:rsidP="007D4A8D">
            <w:pPr>
              <w:rPr>
                <w:rFonts w:ascii="Arial" w:eastAsia="DengXian" w:hAnsi="Arial" w:cs="Arial"/>
                <w:sz w:val="16"/>
                <w:szCs w:val="16"/>
              </w:rPr>
            </w:pPr>
            <w:r w:rsidRPr="007D4A8D">
              <w:rPr>
                <w:rFonts w:ascii="Arial" w:eastAsia="DengXian" w:hAnsi="Arial" w:cs="Arial"/>
                <w:sz w:val="16"/>
                <w:szCs w:val="16"/>
              </w:rPr>
              <w:t>Parameter name in the spec</w:t>
            </w:r>
          </w:p>
        </w:tc>
        <w:tc>
          <w:tcPr>
            <w:tcW w:w="536" w:type="pct"/>
            <w:shd w:val="clear" w:color="auto" w:fill="D9D9D9"/>
          </w:tcPr>
          <w:p w14:paraId="0D0DCDE3" w14:textId="77777777" w:rsidR="007D4A8D" w:rsidRPr="007D4A8D" w:rsidRDefault="007D4A8D" w:rsidP="007D4A8D">
            <w:pPr>
              <w:rPr>
                <w:rFonts w:ascii="Arial" w:eastAsia="DengXian" w:hAnsi="Arial" w:cs="Arial"/>
                <w:sz w:val="16"/>
                <w:szCs w:val="16"/>
              </w:rPr>
            </w:pPr>
            <w:r w:rsidRPr="007D4A8D">
              <w:rPr>
                <w:rFonts w:ascii="Arial" w:eastAsia="DengXian" w:hAnsi="Arial" w:cs="Arial"/>
                <w:sz w:val="16"/>
                <w:szCs w:val="16"/>
              </w:rPr>
              <w:t>New or existing?</w:t>
            </w:r>
          </w:p>
        </w:tc>
        <w:tc>
          <w:tcPr>
            <w:tcW w:w="970" w:type="pct"/>
            <w:shd w:val="clear" w:color="auto" w:fill="D9D9D9"/>
          </w:tcPr>
          <w:p w14:paraId="65A02ADF" w14:textId="77777777" w:rsidR="007D4A8D" w:rsidRPr="007D4A8D" w:rsidRDefault="007D4A8D" w:rsidP="007D4A8D">
            <w:pPr>
              <w:rPr>
                <w:rFonts w:ascii="Arial" w:eastAsia="DengXian" w:hAnsi="Arial" w:cs="Arial"/>
                <w:sz w:val="16"/>
                <w:szCs w:val="16"/>
              </w:rPr>
            </w:pPr>
            <w:r w:rsidRPr="007D4A8D">
              <w:rPr>
                <w:rFonts w:ascii="Arial" w:eastAsia="DengXian" w:hAnsi="Arial" w:cs="Arial"/>
                <w:sz w:val="16"/>
                <w:szCs w:val="16"/>
              </w:rPr>
              <w:t>Description</w:t>
            </w:r>
          </w:p>
        </w:tc>
        <w:tc>
          <w:tcPr>
            <w:tcW w:w="1711" w:type="pct"/>
            <w:shd w:val="clear" w:color="auto" w:fill="D9D9D9"/>
          </w:tcPr>
          <w:p w14:paraId="4C9989B3" w14:textId="77777777" w:rsidR="007D4A8D" w:rsidRPr="007D4A8D" w:rsidRDefault="007D4A8D" w:rsidP="007D4A8D">
            <w:pPr>
              <w:rPr>
                <w:rFonts w:ascii="Arial" w:eastAsia="DengXian" w:hAnsi="Arial" w:cs="Arial"/>
                <w:sz w:val="16"/>
                <w:szCs w:val="16"/>
              </w:rPr>
            </w:pPr>
            <w:r w:rsidRPr="007D4A8D">
              <w:rPr>
                <w:rFonts w:ascii="Arial" w:eastAsia="DengXian" w:hAnsi="Arial" w:cs="Arial"/>
                <w:sz w:val="16"/>
                <w:szCs w:val="16"/>
              </w:rPr>
              <w:t>Value Range</w:t>
            </w:r>
          </w:p>
        </w:tc>
      </w:tr>
      <w:tr w:rsidR="007D4A8D" w:rsidRPr="007D4A8D" w14:paraId="15F00481" w14:textId="77777777" w:rsidTr="007D4A8D">
        <w:trPr>
          <w:trHeight w:val="451"/>
        </w:trPr>
        <w:tc>
          <w:tcPr>
            <w:tcW w:w="228" w:type="pct"/>
            <w:shd w:val="clear" w:color="auto" w:fill="auto"/>
          </w:tcPr>
          <w:p w14:paraId="100817E3" w14:textId="77777777" w:rsidR="007D4A8D" w:rsidRPr="007D4A8D" w:rsidRDefault="007D4A8D" w:rsidP="007D4A8D">
            <w:pPr>
              <w:rPr>
                <w:rFonts w:ascii="Arial" w:eastAsia="DengXian" w:hAnsi="Arial" w:cs="Arial"/>
                <w:sz w:val="16"/>
                <w:szCs w:val="16"/>
              </w:rPr>
            </w:pPr>
            <w:r w:rsidRPr="007D4A8D">
              <w:rPr>
                <w:rFonts w:ascii="Arial" w:eastAsia="DengXian" w:hAnsi="Arial" w:cs="Arial"/>
                <w:sz w:val="16"/>
                <w:szCs w:val="16"/>
              </w:rPr>
              <w:t>1</w:t>
            </w:r>
          </w:p>
        </w:tc>
        <w:tc>
          <w:tcPr>
            <w:tcW w:w="691" w:type="pct"/>
            <w:shd w:val="clear" w:color="auto" w:fill="auto"/>
          </w:tcPr>
          <w:p w14:paraId="21891591" w14:textId="77777777" w:rsidR="007D4A8D" w:rsidRPr="007D4A8D" w:rsidRDefault="007D4A8D" w:rsidP="007D4A8D">
            <w:pPr>
              <w:rPr>
                <w:rFonts w:ascii="Arial" w:eastAsia="DengXian" w:hAnsi="Arial" w:cs="Arial"/>
                <w:sz w:val="16"/>
                <w:szCs w:val="16"/>
              </w:rPr>
            </w:pPr>
            <w:r w:rsidRPr="007D4A8D">
              <w:rPr>
                <w:rFonts w:ascii="Arial" w:eastAsia="DengXian" w:hAnsi="Arial" w:cs="Arial"/>
                <w:sz w:val="16"/>
                <w:szCs w:val="16"/>
              </w:rPr>
              <w:t>reportConfigType</w:t>
            </w:r>
          </w:p>
        </w:tc>
        <w:tc>
          <w:tcPr>
            <w:tcW w:w="863" w:type="pct"/>
            <w:shd w:val="clear" w:color="auto" w:fill="auto"/>
          </w:tcPr>
          <w:p w14:paraId="230D14B3" w14:textId="77777777" w:rsidR="007D4A8D" w:rsidRPr="007D4A8D" w:rsidRDefault="007D4A8D" w:rsidP="007D4A8D">
            <w:pPr>
              <w:rPr>
                <w:rFonts w:ascii="Arial" w:eastAsia="DengXian" w:hAnsi="Arial" w:cs="Arial"/>
                <w:sz w:val="16"/>
                <w:szCs w:val="16"/>
              </w:rPr>
            </w:pPr>
            <w:r w:rsidRPr="007D4A8D">
              <w:rPr>
                <w:rFonts w:ascii="Arial" w:eastAsia="DengXian" w:hAnsi="Arial" w:cs="Arial"/>
                <w:sz w:val="16"/>
                <w:szCs w:val="16"/>
              </w:rPr>
              <w:t>semiPersistentOnPUSCH</w:t>
            </w:r>
          </w:p>
        </w:tc>
        <w:tc>
          <w:tcPr>
            <w:tcW w:w="536" w:type="pct"/>
            <w:shd w:val="clear" w:color="auto" w:fill="auto"/>
          </w:tcPr>
          <w:p w14:paraId="47DFD345" w14:textId="77777777" w:rsidR="007D4A8D" w:rsidRPr="007D4A8D" w:rsidRDefault="007D4A8D" w:rsidP="007D4A8D">
            <w:pPr>
              <w:rPr>
                <w:rFonts w:ascii="Arial" w:eastAsia="DengXian" w:hAnsi="Arial" w:cs="Arial"/>
                <w:sz w:val="16"/>
                <w:szCs w:val="16"/>
              </w:rPr>
            </w:pPr>
            <w:r w:rsidRPr="007D4A8D">
              <w:rPr>
                <w:rFonts w:ascii="Arial" w:eastAsia="DengXian" w:hAnsi="Arial" w:cs="Arial"/>
                <w:sz w:val="16"/>
                <w:szCs w:val="16"/>
              </w:rPr>
              <w:t>new</w:t>
            </w:r>
          </w:p>
        </w:tc>
        <w:tc>
          <w:tcPr>
            <w:tcW w:w="970" w:type="pct"/>
            <w:shd w:val="clear" w:color="auto" w:fill="auto"/>
          </w:tcPr>
          <w:p w14:paraId="70B8D967" w14:textId="77777777" w:rsidR="007D4A8D" w:rsidRPr="007D4A8D" w:rsidRDefault="007D4A8D" w:rsidP="007D4A8D">
            <w:pPr>
              <w:rPr>
                <w:rFonts w:ascii="Arial" w:eastAsia="DengXian" w:hAnsi="Arial" w:cs="Arial"/>
                <w:sz w:val="16"/>
                <w:szCs w:val="16"/>
              </w:rPr>
            </w:pPr>
            <w:r w:rsidRPr="007D4A8D">
              <w:rPr>
                <w:rFonts w:ascii="Arial" w:eastAsia="DengXian" w:hAnsi="Arial" w:cs="Arial"/>
                <w:sz w:val="16"/>
                <w:szCs w:val="16"/>
              </w:rPr>
              <w:t>Describes the properties of semipersistent on PUSCH LTM report</w:t>
            </w:r>
          </w:p>
        </w:tc>
        <w:tc>
          <w:tcPr>
            <w:tcW w:w="1711" w:type="pct"/>
            <w:shd w:val="clear" w:color="auto" w:fill="auto"/>
          </w:tcPr>
          <w:p w14:paraId="7E792E5D" w14:textId="77777777" w:rsidR="007D4A8D" w:rsidRPr="007D4A8D" w:rsidRDefault="007D4A8D" w:rsidP="007D4A8D">
            <w:pPr>
              <w:tabs>
                <w:tab w:val="left" w:pos="757"/>
              </w:tabs>
              <w:rPr>
                <w:rFonts w:ascii="Arial" w:eastAsia="DengXian" w:hAnsi="Arial" w:cs="Arial"/>
                <w:sz w:val="16"/>
                <w:szCs w:val="16"/>
              </w:rPr>
            </w:pPr>
            <w:r w:rsidRPr="007D4A8D">
              <w:rPr>
                <w:rFonts w:ascii="Arial" w:eastAsia="DengXian" w:hAnsi="Arial" w:cs="Arial"/>
                <w:sz w:val="16"/>
                <w:szCs w:val="16"/>
              </w:rPr>
              <w:t>SEQUENCE {</w:t>
            </w:r>
          </w:p>
          <w:p w14:paraId="09F49FFF" w14:textId="77777777" w:rsidR="007D4A8D" w:rsidRPr="007D4A8D" w:rsidRDefault="007D4A8D" w:rsidP="007D4A8D">
            <w:pPr>
              <w:tabs>
                <w:tab w:val="left" w:pos="757"/>
              </w:tabs>
              <w:rPr>
                <w:rFonts w:ascii="Arial" w:eastAsia="DengXian" w:hAnsi="Arial" w:cs="Arial"/>
                <w:sz w:val="16"/>
                <w:szCs w:val="16"/>
              </w:rPr>
            </w:pPr>
            <w:r w:rsidRPr="007D4A8D">
              <w:rPr>
                <w:rFonts w:ascii="Arial" w:eastAsia="DengXian" w:hAnsi="Arial" w:cs="Arial"/>
                <w:sz w:val="16"/>
                <w:szCs w:val="16"/>
              </w:rPr>
              <w:t xml:space="preserve">    reportSlotConfig-r18                        </w:t>
            </w:r>
          </w:p>
          <w:p w14:paraId="08AAB702" w14:textId="77777777" w:rsidR="007D4A8D" w:rsidRPr="007D4A8D" w:rsidRDefault="007D4A8D" w:rsidP="007D4A8D">
            <w:pPr>
              <w:tabs>
                <w:tab w:val="left" w:pos="757"/>
              </w:tabs>
              <w:rPr>
                <w:rFonts w:ascii="Arial" w:eastAsia="DengXian" w:hAnsi="Arial" w:cs="Arial"/>
                <w:sz w:val="16"/>
                <w:szCs w:val="16"/>
              </w:rPr>
            </w:pPr>
            <w:r w:rsidRPr="007D4A8D">
              <w:rPr>
                <w:rFonts w:ascii="Arial" w:eastAsia="DengXian" w:hAnsi="Arial" w:cs="Arial"/>
                <w:sz w:val="16"/>
                <w:szCs w:val="16"/>
              </w:rPr>
              <w:t xml:space="preserve">    reportSlotOffsetList-r18                </w:t>
            </w:r>
          </w:p>
          <w:p w14:paraId="183B7224" w14:textId="77777777" w:rsidR="007D4A8D" w:rsidRPr="007D4A8D" w:rsidRDefault="007D4A8D" w:rsidP="007D4A8D">
            <w:pPr>
              <w:tabs>
                <w:tab w:val="left" w:pos="757"/>
              </w:tabs>
              <w:rPr>
                <w:rFonts w:ascii="Arial" w:eastAsia="DengXian" w:hAnsi="Arial" w:cs="Arial"/>
                <w:sz w:val="16"/>
                <w:szCs w:val="16"/>
              </w:rPr>
            </w:pPr>
            <w:r w:rsidRPr="007D4A8D">
              <w:rPr>
                <w:rFonts w:ascii="Arial" w:eastAsia="DengXian" w:hAnsi="Arial" w:cs="Arial"/>
                <w:sz w:val="16"/>
                <w:szCs w:val="16"/>
              </w:rPr>
              <w:t xml:space="preserve">    reportSlotOffsetListDCI-0-2-r18         </w:t>
            </w:r>
          </w:p>
          <w:p w14:paraId="3B967B36" w14:textId="77777777" w:rsidR="007D4A8D" w:rsidRPr="007D4A8D" w:rsidRDefault="007D4A8D" w:rsidP="007D4A8D">
            <w:pPr>
              <w:tabs>
                <w:tab w:val="left" w:pos="757"/>
              </w:tabs>
              <w:rPr>
                <w:rFonts w:ascii="Arial" w:eastAsia="DengXian" w:hAnsi="Arial" w:cs="Arial"/>
                <w:sz w:val="16"/>
                <w:szCs w:val="16"/>
              </w:rPr>
            </w:pPr>
            <w:r w:rsidRPr="007D4A8D">
              <w:rPr>
                <w:rFonts w:ascii="Arial" w:eastAsia="DengXian" w:hAnsi="Arial" w:cs="Arial"/>
                <w:sz w:val="16"/>
                <w:szCs w:val="16"/>
              </w:rPr>
              <w:t xml:space="preserve">    reportSlotOffsetListDCI-0-1-r18                                                                                                                 </w:t>
            </w:r>
          </w:p>
          <w:p w14:paraId="17019FEF" w14:textId="77777777" w:rsidR="007D4A8D" w:rsidRPr="007D4A8D" w:rsidRDefault="007D4A8D" w:rsidP="007D4A8D">
            <w:pPr>
              <w:tabs>
                <w:tab w:val="left" w:pos="757"/>
              </w:tabs>
              <w:rPr>
                <w:rFonts w:ascii="Arial" w:eastAsia="DengXian" w:hAnsi="Arial" w:cs="Arial"/>
                <w:sz w:val="16"/>
                <w:szCs w:val="16"/>
              </w:rPr>
            </w:pPr>
            <w:r w:rsidRPr="007D4A8D">
              <w:rPr>
                <w:rFonts w:ascii="Arial" w:eastAsia="DengXian" w:hAnsi="Arial" w:cs="Arial"/>
                <w:sz w:val="16"/>
                <w:szCs w:val="16"/>
              </w:rPr>
              <w:t xml:space="preserve">    p0alpha                                 </w:t>
            </w:r>
          </w:p>
          <w:p w14:paraId="34615B15" w14:textId="77777777" w:rsidR="007D4A8D" w:rsidRPr="007D4A8D" w:rsidRDefault="007D4A8D" w:rsidP="007D4A8D">
            <w:pPr>
              <w:tabs>
                <w:tab w:val="left" w:pos="757"/>
              </w:tabs>
              <w:rPr>
                <w:rFonts w:ascii="Arial" w:eastAsia="DengXian" w:hAnsi="Arial" w:cs="Arial"/>
                <w:sz w:val="16"/>
                <w:szCs w:val="16"/>
              </w:rPr>
            </w:pPr>
            <w:r w:rsidRPr="007D4A8D">
              <w:rPr>
                <w:rFonts w:ascii="Arial" w:eastAsia="DengXian" w:hAnsi="Arial" w:cs="Arial"/>
                <w:sz w:val="16"/>
                <w:szCs w:val="16"/>
              </w:rPr>
              <w:t>},</w:t>
            </w:r>
          </w:p>
        </w:tc>
      </w:tr>
      <w:tr w:rsidR="007D4A8D" w:rsidRPr="007D4A8D" w14:paraId="64121667" w14:textId="77777777" w:rsidTr="007D4A8D">
        <w:trPr>
          <w:trHeight w:val="451"/>
        </w:trPr>
        <w:tc>
          <w:tcPr>
            <w:tcW w:w="228" w:type="pct"/>
            <w:shd w:val="clear" w:color="auto" w:fill="auto"/>
          </w:tcPr>
          <w:p w14:paraId="33E99478" w14:textId="77777777" w:rsidR="007D4A8D" w:rsidRPr="007D4A8D" w:rsidRDefault="007D4A8D" w:rsidP="007D4A8D">
            <w:pPr>
              <w:rPr>
                <w:rFonts w:ascii="Arial" w:eastAsia="DengXian" w:hAnsi="Arial" w:cs="Arial"/>
                <w:sz w:val="16"/>
                <w:szCs w:val="16"/>
              </w:rPr>
            </w:pPr>
            <w:r w:rsidRPr="007D4A8D">
              <w:rPr>
                <w:rFonts w:ascii="Arial" w:eastAsia="DengXian" w:hAnsi="Arial" w:cs="Arial"/>
                <w:sz w:val="16"/>
                <w:szCs w:val="16"/>
              </w:rPr>
              <w:t>2</w:t>
            </w:r>
          </w:p>
        </w:tc>
        <w:tc>
          <w:tcPr>
            <w:tcW w:w="691" w:type="pct"/>
            <w:shd w:val="clear" w:color="auto" w:fill="auto"/>
          </w:tcPr>
          <w:p w14:paraId="22F17DA3" w14:textId="77777777" w:rsidR="007D4A8D" w:rsidRPr="007D4A8D" w:rsidRDefault="007D4A8D" w:rsidP="007D4A8D">
            <w:pPr>
              <w:rPr>
                <w:rFonts w:ascii="Arial" w:eastAsia="DengXian" w:hAnsi="Arial" w:cs="Arial"/>
                <w:sz w:val="16"/>
                <w:szCs w:val="16"/>
              </w:rPr>
            </w:pPr>
            <w:r w:rsidRPr="007D4A8D">
              <w:rPr>
                <w:rFonts w:ascii="Arial" w:eastAsia="DengXian" w:hAnsi="Arial" w:cs="Arial"/>
                <w:sz w:val="16"/>
                <w:szCs w:val="16"/>
              </w:rPr>
              <w:t>reportConfigType</w:t>
            </w:r>
          </w:p>
        </w:tc>
        <w:tc>
          <w:tcPr>
            <w:tcW w:w="863" w:type="pct"/>
            <w:shd w:val="clear" w:color="auto" w:fill="auto"/>
          </w:tcPr>
          <w:p w14:paraId="256D98FA" w14:textId="77777777" w:rsidR="007D4A8D" w:rsidRPr="007D4A8D" w:rsidRDefault="007D4A8D" w:rsidP="007D4A8D">
            <w:pPr>
              <w:rPr>
                <w:rFonts w:ascii="Arial" w:eastAsia="DengXian" w:hAnsi="Arial" w:cs="Arial"/>
                <w:sz w:val="16"/>
                <w:szCs w:val="16"/>
              </w:rPr>
            </w:pPr>
            <w:r w:rsidRPr="007D4A8D">
              <w:rPr>
                <w:rFonts w:ascii="Arial" w:eastAsia="DengXian" w:hAnsi="Arial" w:cs="Arial"/>
                <w:sz w:val="16"/>
                <w:szCs w:val="16"/>
              </w:rPr>
              <w:t>aperiodic</w:t>
            </w:r>
          </w:p>
        </w:tc>
        <w:tc>
          <w:tcPr>
            <w:tcW w:w="536" w:type="pct"/>
            <w:shd w:val="clear" w:color="auto" w:fill="auto"/>
          </w:tcPr>
          <w:p w14:paraId="78928296" w14:textId="77777777" w:rsidR="007D4A8D" w:rsidRPr="007D4A8D" w:rsidRDefault="007D4A8D" w:rsidP="007D4A8D">
            <w:pPr>
              <w:rPr>
                <w:rFonts w:ascii="Arial" w:eastAsia="DengXian" w:hAnsi="Arial" w:cs="Arial"/>
                <w:sz w:val="16"/>
                <w:szCs w:val="16"/>
              </w:rPr>
            </w:pPr>
            <w:r w:rsidRPr="007D4A8D">
              <w:rPr>
                <w:rFonts w:ascii="Arial" w:eastAsia="DengXian" w:hAnsi="Arial" w:cs="Arial"/>
                <w:sz w:val="16"/>
                <w:szCs w:val="16"/>
              </w:rPr>
              <w:t>new</w:t>
            </w:r>
          </w:p>
        </w:tc>
        <w:tc>
          <w:tcPr>
            <w:tcW w:w="970" w:type="pct"/>
            <w:shd w:val="clear" w:color="auto" w:fill="auto"/>
          </w:tcPr>
          <w:p w14:paraId="27A8B78B" w14:textId="77777777" w:rsidR="007D4A8D" w:rsidRPr="007D4A8D" w:rsidRDefault="007D4A8D" w:rsidP="007D4A8D">
            <w:pPr>
              <w:rPr>
                <w:rFonts w:ascii="Arial" w:eastAsia="DengXian" w:hAnsi="Arial" w:cs="Arial"/>
                <w:sz w:val="16"/>
                <w:szCs w:val="16"/>
              </w:rPr>
            </w:pPr>
            <w:r w:rsidRPr="007D4A8D">
              <w:rPr>
                <w:rFonts w:ascii="Arial" w:eastAsia="DengXian" w:hAnsi="Arial" w:cs="Arial"/>
                <w:sz w:val="16"/>
                <w:szCs w:val="16"/>
              </w:rPr>
              <w:t>Describes the properties of aperiodic LTM report</w:t>
            </w:r>
          </w:p>
        </w:tc>
        <w:tc>
          <w:tcPr>
            <w:tcW w:w="1711" w:type="pct"/>
            <w:shd w:val="clear" w:color="auto" w:fill="auto"/>
          </w:tcPr>
          <w:p w14:paraId="0E961D80" w14:textId="77777777" w:rsidR="007D4A8D" w:rsidRPr="007D4A8D" w:rsidRDefault="007D4A8D" w:rsidP="007D4A8D">
            <w:pPr>
              <w:rPr>
                <w:rFonts w:ascii="Arial" w:eastAsia="DengXian" w:hAnsi="Arial" w:cs="Arial"/>
                <w:sz w:val="16"/>
                <w:szCs w:val="16"/>
              </w:rPr>
            </w:pPr>
            <w:r w:rsidRPr="007D4A8D">
              <w:rPr>
                <w:rFonts w:ascii="Arial" w:eastAsia="DengXian" w:hAnsi="Arial" w:cs="Arial"/>
                <w:sz w:val="16"/>
                <w:szCs w:val="16"/>
              </w:rPr>
              <w:t>SEQUENCE {</w:t>
            </w:r>
          </w:p>
          <w:p w14:paraId="2FF66E59" w14:textId="77777777" w:rsidR="007D4A8D" w:rsidRPr="007D4A8D" w:rsidRDefault="007D4A8D" w:rsidP="007D4A8D">
            <w:pPr>
              <w:rPr>
                <w:rFonts w:ascii="Arial" w:eastAsia="DengXian" w:hAnsi="Arial" w:cs="Arial"/>
                <w:sz w:val="16"/>
                <w:szCs w:val="16"/>
              </w:rPr>
            </w:pPr>
            <w:r w:rsidRPr="007D4A8D">
              <w:rPr>
                <w:rFonts w:ascii="Arial" w:eastAsia="DengXian" w:hAnsi="Arial" w:cs="Arial"/>
                <w:sz w:val="16"/>
                <w:szCs w:val="16"/>
              </w:rPr>
              <w:t xml:space="preserve">    reportSlotOffsetList-r18                </w:t>
            </w:r>
          </w:p>
          <w:p w14:paraId="1BF424AD" w14:textId="77777777" w:rsidR="007D4A8D" w:rsidRPr="007D4A8D" w:rsidRDefault="007D4A8D" w:rsidP="007D4A8D">
            <w:pPr>
              <w:rPr>
                <w:rFonts w:ascii="Arial" w:eastAsia="DengXian" w:hAnsi="Arial" w:cs="Arial"/>
                <w:sz w:val="16"/>
                <w:szCs w:val="16"/>
              </w:rPr>
            </w:pPr>
            <w:r w:rsidRPr="007D4A8D">
              <w:rPr>
                <w:rFonts w:ascii="Arial" w:eastAsia="DengXian" w:hAnsi="Arial" w:cs="Arial"/>
                <w:sz w:val="16"/>
                <w:szCs w:val="16"/>
              </w:rPr>
              <w:t xml:space="preserve">    reportSlotOffsetListDCI-0-2-r18         </w:t>
            </w:r>
          </w:p>
          <w:p w14:paraId="002FBA3F" w14:textId="77777777" w:rsidR="007D4A8D" w:rsidRPr="007D4A8D" w:rsidRDefault="007D4A8D" w:rsidP="007D4A8D">
            <w:pPr>
              <w:ind w:firstLine="400"/>
              <w:rPr>
                <w:rFonts w:ascii="Arial" w:eastAsia="DengXian" w:hAnsi="Arial" w:cs="Arial"/>
                <w:sz w:val="16"/>
                <w:szCs w:val="16"/>
              </w:rPr>
            </w:pPr>
            <w:r w:rsidRPr="007D4A8D">
              <w:rPr>
                <w:rFonts w:ascii="Arial" w:eastAsia="DengXian" w:hAnsi="Arial" w:cs="Arial"/>
                <w:sz w:val="16"/>
                <w:szCs w:val="16"/>
              </w:rPr>
              <w:t xml:space="preserve">reportSlotOffsetListDCI-0-1-r18 </w:t>
            </w:r>
          </w:p>
          <w:p w14:paraId="4208BB9C" w14:textId="77777777" w:rsidR="007D4A8D" w:rsidRPr="007D4A8D" w:rsidRDefault="007D4A8D" w:rsidP="007D4A8D">
            <w:pPr>
              <w:ind w:firstLine="400"/>
              <w:rPr>
                <w:rFonts w:ascii="Arial" w:eastAsia="DengXian" w:hAnsi="Arial" w:cs="Arial"/>
                <w:sz w:val="16"/>
                <w:szCs w:val="16"/>
              </w:rPr>
            </w:pPr>
            <w:r w:rsidRPr="007D4A8D">
              <w:rPr>
                <w:rFonts w:ascii="Arial" w:eastAsia="DengXian" w:hAnsi="Arial" w:cs="Arial"/>
                <w:sz w:val="16"/>
                <w:szCs w:val="16"/>
              </w:rPr>
              <w:t xml:space="preserve">}    </w:t>
            </w:r>
          </w:p>
        </w:tc>
      </w:tr>
      <w:tr w:rsidR="007D4A8D" w:rsidRPr="007D4A8D" w14:paraId="1B775220" w14:textId="77777777" w:rsidTr="007D4A8D">
        <w:trPr>
          <w:trHeight w:val="451"/>
        </w:trPr>
        <w:tc>
          <w:tcPr>
            <w:tcW w:w="228" w:type="pct"/>
            <w:shd w:val="clear" w:color="auto" w:fill="auto"/>
          </w:tcPr>
          <w:p w14:paraId="24F267A1" w14:textId="77777777" w:rsidR="007D4A8D" w:rsidRPr="007D4A8D" w:rsidRDefault="007D4A8D" w:rsidP="007D4A8D">
            <w:pPr>
              <w:rPr>
                <w:rFonts w:ascii="Arial" w:eastAsia="DengXian" w:hAnsi="Arial" w:cs="Arial"/>
                <w:sz w:val="16"/>
                <w:szCs w:val="16"/>
              </w:rPr>
            </w:pPr>
            <w:r w:rsidRPr="007D4A8D">
              <w:rPr>
                <w:rFonts w:ascii="Arial" w:eastAsia="DengXian" w:hAnsi="Arial" w:cs="Arial"/>
                <w:sz w:val="16"/>
                <w:szCs w:val="16"/>
              </w:rPr>
              <w:t>3</w:t>
            </w:r>
          </w:p>
        </w:tc>
        <w:tc>
          <w:tcPr>
            <w:tcW w:w="691" w:type="pct"/>
            <w:shd w:val="clear" w:color="auto" w:fill="auto"/>
          </w:tcPr>
          <w:p w14:paraId="027E48C9" w14:textId="77777777" w:rsidR="007D4A8D" w:rsidRPr="007D4A8D" w:rsidRDefault="007D4A8D" w:rsidP="007D4A8D">
            <w:pPr>
              <w:rPr>
                <w:rFonts w:ascii="Arial" w:eastAsia="DengXian" w:hAnsi="Arial" w:cs="Arial"/>
                <w:sz w:val="16"/>
                <w:szCs w:val="16"/>
              </w:rPr>
            </w:pPr>
            <w:r w:rsidRPr="007D4A8D">
              <w:rPr>
                <w:rFonts w:ascii="Arial" w:eastAsia="DengXian" w:hAnsi="Arial" w:cs="Arial"/>
                <w:sz w:val="16"/>
                <w:szCs w:val="16"/>
              </w:rPr>
              <w:t>semiPersistentOnPUSCH,</w:t>
            </w:r>
          </w:p>
          <w:p w14:paraId="41BAEA76" w14:textId="77777777" w:rsidR="007D4A8D" w:rsidRPr="007D4A8D" w:rsidRDefault="007D4A8D" w:rsidP="007D4A8D">
            <w:pPr>
              <w:rPr>
                <w:rFonts w:ascii="Arial" w:eastAsia="DengXian" w:hAnsi="Arial" w:cs="Arial"/>
                <w:sz w:val="16"/>
                <w:szCs w:val="16"/>
              </w:rPr>
            </w:pPr>
          </w:p>
          <w:p w14:paraId="3AC1877D" w14:textId="77777777" w:rsidR="007D4A8D" w:rsidRPr="007D4A8D" w:rsidRDefault="007D4A8D" w:rsidP="007D4A8D">
            <w:pPr>
              <w:rPr>
                <w:rFonts w:ascii="Arial" w:eastAsia="DengXian" w:hAnsi="Arial" w:cs="Arial"/>
                <w:sz w:val="16"/>
                <w:szCs w:val="16"/>
              </w:rPr>
            </w:pPr>
            <w:r w:rsidRPr="007D4A8D">
              <w:rPr>
                <w:rFonts w:ascii="Arial" w:eastAsia="DengXian" w:hAnsi="Arial" w:cs="Arial"/>
                <w:sz w:val="16"/>
                <w:szCs w:val="16"/>
              </w:rPr>
              <w:t>aperiodic</w:t>
            </w:r>
          </w:p>
        </w:tc>
        <w:tc>
          <w:tcPr>
            <w:tcW w:w="863" w:type="pct"/>
            <w:shd w:val="clear" w:color="auto" w:fill="auto"/>
          </w:tcPr>
          <w:p w14:paraId="2D778FFE" w14:textId="77777777" w:rsidR="007D4A8D" w:rsidRPr="007D4A8D" w:rsidRDefault="007D4A8D" w:rsidP="007D4A8D">
            <w:pPr>
              <w:rPr>
                <w:rFonts w:ascii="Arial" w:eastAsia="DengXian" w:hAnsi="Arial" w:cs="Arial"/>
                <w:sz w:val="16"/>
                <w:szCs w:val="16"/>
              </w:rPr>
            </w:pPr>
            <w:r w:rsidRPr="007D4A8D">
              <w:rPr>
                <w:rFonts w:ascii="Arial" w:eastAsia="DengXian" w:hAnsi="Arial" w:cs="Arial"/>
                <w:sz w:val="16"/>
                <w:szCs w:val="16"/>
              </w:rPr>
              <w:t xml:space="preserve">reportSlotOffsetList-r18, </w:t>
            </w:r>
          </w:p>
          <w:p w14:paraId="5EDBC4FC" w14:textId="4AEA1FC2" w:rsidR="007D4A8D" w:rsidRPr="007D4A8D" w:rsidRDefault="007D4A8D" w:rsidP="007D4A8D">
            <w:pPr>
              <w:rPr>
                <w:rFonts w:ascii="Arial" w:eastAsia="DengXian" w:hAnsi="Arial" w:cs="Arial"/>
                <w:sz w:val="16"/>
                <w:szCs w:val="16"/>
              </w:rPr>
            </w:pPr>
          </w:p>
          <w:p w14:paraId="3020DCDA" w14:textId="77777777" w:rsidR="007D4A8D" w:rsidRPr="007D4A8D" w:rsidRDefault="007D4A8D" w:rsidP="007D4A8D">
            <w:pPr>
              <w:rPr>
                <w:rFonts w:ascii="Arial" w:eastAsia="DengXian" w:hAnsi="Arial" w:cs="Arial"/>
                <w:sz w:val="16"/>
                <w:szCs w:val="16"/>
              </w:rPr>
            </w:pPr>
            <w:r w:rsidRPr="007D4A8D">
              <w:rPr>
                <w:rFonts w:ascii="Arial" w:eastAsia="DengXian" w:hAnsi="Arial" w:cs="Arial"/>
                <w:sz w:val="16"/>
                <w:szCs w:val="16"/>
              </w:rPr>
              <w:t>reportSlotOffsetListDCI-0-2-r18,</w:t>
            </w:r>
          </w:p>
          <w:p w14:paraId="77C560D9" w14:textId="1622AA40" w:rsidR="007D4A8D" w:rsidRPr="007D4A8D" w:rsidRDefault="007D4A8D" w:rsidP="007D4A8D">
            <w:pPr>
              <w:rPr>
                <w:rFonts w:ascii="Arial" w:eastAsia="DengXian" w:hAnsi="Arial" w:cs="Arial"/>
                <w:sz w:val="16"/>
                <w:szCs w:val="16"/>
              </w:rPr>
            </w:pPr>
            <w:r w:rsidRPr="007D4A8D">
              <w:rPr>
                <w:rFonts w:ascii="Arial" w:eastAsia="DengXian" w:hAnsi="Arial" w:cs="Arial"/>
                <w:sz w:val="16"/>
                <w:szCs w:val="16"/>
              </w:rPr>
              <w:t xml:space="preserve"> reportSlotOffsetListDCI-0-1-r18</w:t>
            </w:r>
          </w:p>
        </w:tc>
        <w:tc>
          <w:tcPr>
            <w:tcW w:w="536" w:type="pct"/>
            <w:shd w:val="clear" w:color="auto" w:fill="auto"/>
          </w:tcPr>
          <w:p w14:paraId="6A2153E0" w14:textId="77777777" w:rsidR="007D4A8D" w:rsidRPr="007D4A8D" w:rsidRDefault="007D4A8D" w:rsidP="007D4A8D">
            <w:pPr>
              <w:rPr>
                <w:rFonts w:ascii="Arial" w:eastAsia="DengXian" w:hAnsi="Arial" w:cs="Arial"/>
                <w:sz w:val="16"/>
                <w:szCs w:val="16"/>
              </w:rPr>
            </w:pPr>
            <w:r w:rsidRPr="007D4A8D">
              <w:rPr>
                <w:rFonts w:ascii="Arial" w:eastAsia="DengXian" w:hAnsi="Arial" w:cs="Arial"/>
                <w:sz w:val="16"/>
                <w:szCs w:val="16"/>
              </w:rPr>
              <w:t>new</w:t>
            </w:r>
          </w:p>
        </w:tc>
        <w:tc>
          <w:tcPr>
            <w:tcW w:w="970" w:type="pct"/>
            <w:shd w:val="clear" w:color="auto" w:fill="auto"/>
          </w:tcPr>
          <w:p w14:paraId="1B9B99B6" w14:textId="77777777" w:rsidR="007D4A8D" w:rsidRPr="007D4A8D" w:rsidRDefault="007D4A8D" w:rsidP="007D4A8D">
            <w:pPr>
              <w:rPr>
                <w:rFonts w:ascii="Arial" w:eastAsia="DengXian" w:hAnsi="Arial" w:cs="Arial"/>
                <w:sz w:val="16"/>
                <w:szCs w:val="16"/>
              </w:rPr>
            </w:pPr>
            <w:r w:rsidRPr="007D4A8D">
              <w:rPr>
                <w:rFonts w:ascii="Arial" w:eastAsia="DengXian" w:hAnsi="Arial" w:cs="Arial"/>
                <w:sz w:val="16"/>
                <w:szCs w:val="16"/>
              </w:rPr>
              <w:t>Timing offset Y for semi persistent reporting using PUSCH and for aperiodic reporting</w:t>
            </w:r>
          </w:p>
        </w:tc>
        <w:tc>
          <w:tcPr>
            <w:tcW w:w="1711" w:type="pct"/>
            <w:shd w:val="clear" w:color="auto" w:fill="auto"/>
          </w:tcPr>
          <w:p w14:paraId="3B648CB8" w14:textId="77777777" w:rsidR="007D4A8D" w:rsidRPr="007D4A8D" w:rsidRDefault="007D4A8D" w:rsidP="007D4A8D">
            <w:pPr>
              <w:rPr>
                <w:rFonts w:ascii="Arial" w:eastAsia="DengXian" w:hAnsi="Arial" w:cs="Arial"/>
                <w:sz w:val="16"/>
                <w:szCs w:val="16"/>
              </w:rPr>
            </w:pPr>
            <w:r w:rsidRPr="007D4A8D">
              <w:rPr>
                <w:rFonts w:ascii="Arial" w:eastAsia="DengXian" w:hAnsi="Arial" w:cs="Arial"/>
                <w:sz w:val="16"/>
                <w:szCs w:val="16"/>
              </w:rPr>
              <w:t>SEQUENCE (SIZE (1.. maxNrofUL-Allocations-r16)) OF INTEGER(0..128)</w:t>
            </w:r>
          </w:p>
        </w:tc>
      </w:tr>
    </w:tbl>
    <w:p w14:paraId="4B9662F3" w14:textId="77777777" w:rsidR="007D4A8D" w:rsidRPr="007D4A8D" w:rsidRDefault="007D4A8D" w:rsidP="007D4A8D">
      <w:pPr>
        <w:rPr>
          <w:rFonts w:ascii="Times New Roman" w:hAnsi="Times New Roman"/>
          <w:szCs w:val="20"/>
          <w:lang w:eastAsia="ja-JP"/>
        </w:rPr>
      </w:pPr>
    </w:p>
    <w:p w14:paraId="635EEF7F" w14:textId="77777777" w:rsidR="007D4A8D" w:rsidRPr="007D4A8D" w:rsidRDefault="007D4A8D" w:rsidP="007D4A8D">
      <w:pPr>
        <w:rPr>
          <w:rFonts w:ascii="Times New Roman" w:hAnsi="Times New Roman"/>
          <w:szCs w:val="20"/>
          <w:lang w:val="en-US" w:eastAsia="x-none"/>
        </w:rPr>
      </w:pPr>
      <w:r w:rsidRPr="007D4A8D">
        <w:rPr>
          <w:rFonts w:ascii="Times New Roman" w:hAnsi="Times New Roman"/>
          <w:szCs w:val="20"/>
          <w:highlight w:val="green"/>
          <w:lang w:val="en-US" w:eastAsia="x-none"/>
        </w:rPr>
        <w:t>Agreement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5"/>
        <w:gridCol w:w="1604"/>
        <w:gridCol w:w="2564"/>
        <w:gridCol w:w="903"/>
        <w:gridCol w:w="1862"/>
        <w:gridCol w:w="3445"/>
      </w:tblGrid>
      <w:tr w:rsidR="007D4A8D" w:rsidRPr="007D4A8D" w14:paraId="2A785E07" w14:textId="77777777" w:rsidTr="007D4A8D">
        <w:trPr>
          <w:trHeight w:val="451"/>
        </w:trPr>
        <w:tc>
          <w:tcPr>
            <w:tcW w:w="228" w:type="pct"/>
            <w:shd w:val="clear" w:color="auto" w:fill="D9D9D9"/>
          </w:tcPr>
          <w:p w14:paraId="4C16D891" w14:textId="77777777" w:rsidR="007D4A8D" w:rsidRPr="007D4A8D" w:rsidRDefault="007D4A8D" w:rsidP="007D4A8D">
            <w:pPr>
              <w:rPr>
                <w:rFonts w:ascii="Arial" w:eastAsia="DengXian" w:hAnsi="Arial" w:cs="Arial"/>
                <w:sz w:val="16"/>
                <w:szCs w:val="16"/>
              </w:rPr>
            </w:pPr>
            <w:r w:rsidRPr="007D4A8D">
              <w:rPr>
                <w:rFonts w:ascii="Arial" w:eastAsia="DengXian" w:hAnsi="Arial" w:cs="Arial"/>
                <w:sz w:val="16"/>
                <w:szCs w:val="16"/>
              </w:rPr>
              <w:t>#</w:t>
            </w:r>
          </w:p>
        </w:tc>
        <w:tc>
          <w:tcPr>
            <w:tcW w:w="691" w:type="pct"/>
            <w:shd w:val="clear" w:color="auto" w:fill="D9D9D9"/>
          </w:tcPr>
          <w:p w14:paraId="237F0F10" w14:textId="77777777" w:rsidR="007D4A8D" w:rsidRPr="007D4A8D" w:rsidRDefault="007D4A8D" w:rsidP="007D4A8D">
            <w:pPr>
              <w:rPr>
                <w:rFonts w:ascii="Arial" w:eastAsia="DengXian" w:hAnsi="Arial" w:cs="Arial"/>
                <w:sz w:val="16"/>
                <w:szCs w:val="16"/>
              </w:rPr>
            </w:pPr>
            <w:r w:rsidRPr="007D4A8D">
              <w:rPr>
                <w:rFonts w:ascii="Arial" w:eastAsia="DengXian" w:hAnsi="Arial" w:cs="Arial"/>
                <w:sz w:val="16"/>
                <w:szCs w:val="16"/>
              </w:rPr>
              <w:t>RAN2 parent IE</w:t>
            </w:r>
          </w:p>
        </w:tc>
        <w:tc>
          <w:tcPr>
            <w:tcW w:w="863" w:type="pct"/>
            <w:shd w:val="clear" w:color="auto" w:fill="D9D9D9"/>
          </w:tcPr>
          <w:p w14:paraId="5C71B13A" w14:textId="77777777" w:rsidR="007D4A8D" w:rsidRPr="007D4A8D" w:rsidRDefault="007D4A8D" w:rsidP="007D4A8D">
            <w:pPr>
              <w:rPr>
                <w:rFonts w:ascii="Arial" w:eastAsia="DengXian" w:hAnsi="Arial" w:cs="Arial"/>
                <w:sz w:val="16"/>
                <w:szCs w:val="16"/>
              </w:rPr>
            </w:pPr>
            <w:r w:rsidRPr="007D4A8D">
              <w:rPr>
                <w:rFonts w:ascii="Arial" w:eastAsia="DengXian" w:hAnsi="Arial" w:cs="Arial"/>
                <w:sz w:val="16"/>
                <w:szCs w:val="16"/>
              </w:rPr>
              <w:t>Parameter name in the spec</w:t>
            </w:r>
          </w:p>
        </w:tc>
        <w:tc>
          <w:tcPr>
            <w:tcW w:w="536" w:type="pct"/>
            <w:shd w:val="clear" w:color="auto" w:fill="D9D9D9"/>
          </w:tcPr>
          <w:p w14:paraId="10A8E4CD" w14:textId="77777777" w:rsidR="007D4A8D" w:rsidRPr="007D4A8D" w:rsidRDefault="007D4A8D" w:rsidP="007D4A8D">
            <w:pPr>
              <w:rPr>
                <w:rFonts w:ascii="Arial" w:eastAsia="DengXian" w:hAnsi="Arial" w:cs="Arial"/>
                <w:sz w:val="16"/>
                <w:szCs w:val="16"/>
              </w:rPr>
            </w:pPr>
            <w:r w:rsidRPr="007D4A8D">
              <w:rPr>
                <w:rFonts w:ascii="Arial" w:eastAsia="DengXian" w:hAnsi="Arial" w:cs="Arial"/>
                <w:sz w:val="16"/>
                <w:szCs w:val="16"/>
              </w:rPr>
              <w:t>New or existing?</w:t>
            </w:r>
          </w:p>
        </w:tc>
        <w:tc>
          <w:tcPr>
            <w:tcW w:w="970" w:type="pct"/>
            <w:shd w:val="clear" w:color="auto" w:fill="D9D9D9"/>
          </w:tcPr>
          <w:p w14:paraId="3A5E4113" w14:textId="77777777" w:rsidR="007D4A8D" w:rsidRPr="007D4A8D" w:rsidRDefault="007D4A8D" w:rsidP="007D4A8D">
            <w:pPr>
              <w:rPr>
                <w:rFonts w:ascii="Arial" w:eastAsia="DengXian" w:hAnsi="Arial" w:cs="Arial"/>
                <w:sz w:val="16"/>
                <w:szCs w:val="16"/>
              </w:rPr>
            </w:pPr>
            <w:r w:rsidRPr="007D4A8D">
              <w:rPr>
                <w:rFonts w:ascii="Arial" w:eastAsia="DengXian" w:hAnsi="Arial" w:cs="Arial"/>
                <w:sz w:val="16"/>
                <w:szCs w:val="16"/>
              </w:rPr>
              <w:t>Description</w:t>
            </w:r>
          </w:p>
        </w:tc>
        <w:tc>
          <w:tcPr>
            <w:tcW w:w="1711" w:type="pct"/>
            <w:shd w:val="clear" w:color="auto" w:fill="D9D9D9"/>
          </w:tcPr>
          <w:p w14:paraId="4CF33D02" w14:textId="77777777" w:rsidR="007D4A8D" w:rsidRPr="007D4A8D" w:rsidRDefault="007D4A8D" w:rsidP="007D4A8D">
            <w:pPr>
              <w:rPr>
                <w:rFonts w:ascii="Arial" w:eastAsia="DengXian" w:hAnsi="Arial" w:cs="Arial"/>
                <w:sz w:val="16"/>
                <w:szCs w:val="16"/>
              </w:rPr>
            </w:pPr>
            <w:r w:rsidRPr="007D4A8D">
              <w:rPr>
                <w:rFonts w:ascii="Arial" w:eastAsia="DengXian" w:hAnsi="Arial" w:cs="Arial"/>
                <w:sz w:val="16"/>
                <w:szCs w:val="16"/>
              </w:rPr>
              <w:t>Value Range</w:t>
            </w:r>
          </w:p>
        </w:tc>
      </w:tr>
      <w:tr w:rsidR="007D4A8D" w:rsidRPr="007D4A8D" w14:paraId="34F5888F" w14:textId="77777777" w:rsidTr="007D4A8D">
        <w:trPr>
          <w:trHeight w:val="451"/>
        </w:trPr>
        <w:tc>
          <w:tcPr>
            <w:tcW w:w="228" w:type="pct"/>
            <w:shd w:val="clear" w:color="auto" w:fill="auto"/>
          </w:tcPr>
          <w:p w14:paraId="66BC0663" w14:textId="77777777" w:rsidR="007D4A8D" w:rsidRPr="007D4A8D" w:rsidRDefault="007D4A8D" w:rsidP="007D4A8D">
            <w:pPr>
              <w:rPr>
                <w:rFonts w:ascii="Arial" w:eastAsia="DengXian" w:hAnsi="Arial" w:cs="Arial"/>
                <w:sz w:val="16"/>
                <w:szCs w:val="16"/>
              </w:rPr>
            </w:pPr>
            <w:r w:rsidRPr="007D4A8D">
              <w:rPr>
                <w:rFonts w:ascii="Arial" w:eastAsia="DengXian" w:hAnsi="Arial" w:cs="Arial"/>
                <w:sz w:val="16"/>
                <w:szCs w:val="16"/>
              </w:rPr>
              <w:t>1</w:t>
            </w:r>
          </w:p>
        </w:tc>
        <w:tc>
          <w:tcPr>
            <w:tcW w:w="691" w:type="pct"/>
            <w:shd w:val="clear" w:color="auto" w:fill="auto"/>
          </w:tcPr>
          <w:p w14:paraId="564DE79E" w14:textId="77777777" w:rsidR="007D4A8D" w:rsidRPr="007D4A8D" w:rsidRDefault="007D4A8D" w:rsidP="007D4A8D">
            <w:pPr>
              <w:rPr>
                <w:rFonts w:ascii="Arial" w:eastAsia="DengXian" w:hAnsi="Arial" w:cs="Arial"/>
                <w:sz w:val="16"/>
                <w:szCs w:val="16"/>
              </w:rPr>
            </w:pPr>
            <w:r w:rsidRPr="007D4A8D">
              <w:rPr>
                <w:rFonts w:ascii="Arial" w:eastAsia="DengXian" w:hAnsi="Arial" w:cs="Arial"/>
                <w:sz w:val="16"/>
                <w:szCs w:val="16"/>
              </w:rPr>
              <w:t>EarlyUlSyncConfig-r18</w:t>
            </w:r>
          </w:p>
        </w:tc>
        <w:tc>
          <w:tcPr>
            <w:tcW w:w="863" w:type="pct"/>
            <w:shd w:val="clear" w:color="auto" w:fill="auto"/>
          </w:tcPr>
          <w:p w14:paraId="05BB8892" w14:textId="77777777" w:rsidR="007D4A8D" w:rsidRPr="007D4A8D" w:rsidRDefault="007D4A8D" w:rsidP="007D4A8D">
            <w:pPr>
              <w:rPr>
                <w:rFonts w:ascii="Arial" w:eastAsia="DengXian" w:hAnsi="Arial" w:cs="Arial"/>
                <w:sz w:val="16"/>
                <w:szCs w:val="16"/>
              </w:rPr>
            </w:pPr>
            <w:r w:rsidRPr="007D4A8D">
              <w:rPr>
                <w:rFonts w:ascii="Arial" w:eastAsia="DengXian" w:hAnsi="Arial" w:cs="Arial"/>
                <w:sz w:val="16"/>
                <w:szCs w:val="16"/>
              </w:rPr>
              <w:t>LTM_PRACH_subcarrierSpacing</w:t>
            </w:r>
          </w:p>
        </w:tc>
        <w:tc>
          <w:tcPr>
            <w:tcW w:w="536" w:type="pct"/>
            <w:shd w:val="clear" w:color="auto" w:fill="auto"/>
          </w:tcPr>
          <w:p w14:paraId="0672F94C" w14:textId="77777777" w:rsidR="007D4A8D" w:rsidRPr="007D4A8D" w:rsidRDefault="007D4A8D" w:rsidP="007D4A8D">
            <w:pPr>
              <w:rPr>
                <w:rFonts w:ascii="Arial" w:eastAsia="DengXian" w:hAnsi="Arial" w:cs="Arial"/>
                <w:sz w:val="16"/>
                <w:szCs w:val="16"/>
              </w:rPr>
            </w:pPr>
            <w:r w:rsidRPr="007D4A8D">
              <w:rPr>
                <w:rFonts w:ascii="Arial" w:eastAsia="DengXian" w:hAnsi="Arial" w:cs="Arial"/>
                <w:sz w:val="16"/>
                <w:szCs w:val="16"/>
              </w:rPr>
              <w:t>new</w:t>
            </w:r>
          </w:p>
        </w:tc>
        <w:tc>
          <w:tcPr>
            <w:tcW w:w="970" w:type="pct"/>
            <w:shd w:val="clear" w:color="auto" w:fill="auto"/>
          </w:tcPr>
          <w:p w14:paraId="3F327B37" w14:textId="7DA0ED23" w:rsidR="007D4A8D" w:rsidRPr="007D4A8D" w:rsidRDefault="007D4A8D" w:rsidP="007D4A8D">
            <w:pPr>
              <w:rPr>
                <w:rFonts w:ascii="Arial" w:eastAsia="DengXian" w:hAnsi="Arial" w:cs="Arial"/>
                <w:sz w:val="16"/>
                <w:szCs w:val="16"/>
              </w:rPr>
            </w:pPr>
            <w:r w:rsidRPr="007D4A8D">
              <w:rPr>
                <w:rFonts w:ascii="Arial" w:hAnsi="Arial" w:cs="Arial"/>
                <w:color w:val="000000"/>
                <w:sz w:val="16"/>
                <w:szCs w:val="16"/>
              </w:rPr>
              <w:t>Indicates subcarrier spacing of PRACH for LTM.</w:t>
            </w:r>
          </w:p>
        </w:tc>
        <w:tc>
          <w:tcPr>
            <w:tcW w:w="1711" w:type="pct"/>
            <w:shd w:val="clear" w:color="auto" w:fill="auto"/>
          </w:tcPr>
          <w:p w14:paraId="0EADD176" w14:textId="77777777" w:rsidR="007D4A8D" w:rsidRPr="007D4A8D" w:rsidRDefault="007D4A8D" w:rsidP="007D4A8D">
            <w:pPr>
              <w:rPr>
                <w:rFonts w:ascii="Arial" w:hAnsi="Arial" w:cs="Arial"/>
                <w:sz w:val="16"/>
                <w:szCs w:val="16"/>
              </w:rPr>
            </w:pPr>
            <w:r w:rsidRPr="007D4A8D">
              <w:rPr>
                <w:rFonts w:ascii="Arial" w:hAnsi="Arial" w:cs="Arial"/>
                <w:color w:val="000000"/>
                <w:sz w:val="16"/>
                <w:szCs w:val="16"/>
              </w:rPr>
              <w:t>ssbSubcarrierSpacing</w:t>
            </w:r>
          </w:p>
          <w:p w14:paraId="3D496599" w14:textId="77777777" w:rsidR="007D4A8D" w:rsidRPr="007D4A8D" w:rsidRDefault="007D4A8D" w:rsidP="007D4A8D">
            <w:pPr>
              <w:tabs>
                <w:tab w:val="left" w:pos="757"/>
              </w:tabs>
              <w:rPr>
                <w:rFonts w:ascii="Arial" w:eastAsia="DengXian" w:hAnsi="Arial" w:cs="Arial"/>
                <w:sz w:val="16"/>
                <w:szCs w:val="16"/>
              </w:rPr>
            </w:pPr>
          </w:p>
          <w:p w14:paraId="43CB6E3B" w14:textId="77777777" w:rsidR="007D4A8D" w:rsidRPr="007D4A8D" w:rsidRDefault="007D4A8D" w:rsidP="007D4A8D">
            <w:pPr>
              <w:rPr>
                <w:rFonts w:ascii="Arial" w:hAnsi="Arial" w:cs="Arial"/>
                <w:sz w:val="16"/>
                <w:szCs w:val="16"/>
              </w:rPr>
            </w:pPr>
            <w:r w:rsidRPr="007D4A8D">
              <w:rPr>
                <w:rFonts w:ascii="Arial" w:hAnsi="Arial" w:cs="Arial"/>
                <w:color w:val="000000"/>
                <w:sz w:val="16"/>
                <w:szCs w:val="16"/>
              </w:rPr>
              <w:t xml:space="preserve">Only the following values are applicable depending on the used frequency: </w:t>
            </w:r>
          </w:p>
          <w:p w14:paraId="6E50AA7E" w14:textId="77777777" w:rsidR="007D4A8D" w:rsidRPr="007D4A8D" w:rsidRDefault="007D4A8D" w:rsidP="007D4A8D">
            <w:pPr>
              <w:tabs>
                <w:tab w:val="left" w:pos="757"/>
              </w:tabs>
              <w:rPr>
                <w:rFonts w:ascii="Arial" w:eastAsia="DengXian" w:hAnsi="Arial" w:cs="Arial"/>
                <w:sz w:val="16"/>
                <w:szCs w:val="16"/>
              </w:rPr>
            </w:pPr>
            <w:r w:rsidRPr="007D4A8D">
              <w:rPr>
                <w:rFonts w:ascii="Arial" w:eastAsia="DengXian" w:hAnsi="Arial" w:cs="Arial"/>
                <w:sz w:val="16"/>
                <w:szCs w:val="16"/>
              </w:rPr>
              <w:t>FR1: 15 or 30 kHz</w:t>
            </w:r>
          </w:p>
          <w:p w14:paraId="27A9948B" w14:textId="77777777" w:rsidR="007D4A8D" w:rsidRPr="007D4A8D" w:rsidRDefault="007D4A8D" w:rsidP="007D4A8D">
            <w:pPr>
              <w:tabs>
                <w:tab w:val="left" w:pos="757"/>
              </w:tabs>
              <w:rPr>
                <w:rFonts w:ascii="Arial" w:eastAsia="DengXian" w:hAnsi="Arial" w:cs="Arial"/>
                <w:sz w:val="16"/>
                <w:szCs w:val="16"/>
              </w:rPr>
            </w:pPr>
            <w:r w:rsidRPr="007D4A8D">
              <w:rPr>
                <w:rFonts w:ascii="Arial" w:eastAsia="DengXian" w:hAnsi="Arial" w:cs="Arial"/>
                <w:sz w:val="16"/>
                <w:szCs w:val="16"/>
              </w:rPr>
              <w:t>FR2-1: 60 or 120 kHz</w:t>
            </w:r>
          </w:p>
          <w:p w14:paraId="2FB45A36" w14:textId="77777777" w:rsidR="007D4A8D" w:rsidRPr="007D4A8D" w:rsidRDefault="007D4A8D" w:rsidP="007D4A8D">
            <w:pPr>
              <w:tabs>
                <w:tab w:val="left" w:pos="757"/>
              </w:tabs>
              <w:rPr>
                <w:rFonts w:ascii="Arial" w:eastAsia="DengXian" w:hAnsi="Arial" w:cs="Arial"/>
                <w:sz w:val="16"/>
                <w:szCs w:val="16"/>
              </w:rPr>
            </w:pPr>
            <w:r w:rsidRPr="007D4A8D">
              <w:rPr>
                <w:rFonts w:ascii="Arial" w:eastAsia="DengXian" w:hAnsi="Arial" w:cs="Arial"/>
                <w:sz w:val="16"/>
                <w:szCs w:val="16"/>
              </w:rPr>
              <w:t>FR2-2: 120, 480, or 960 kHz</w:t>
            </w:r>
          </w:p>
        </w:tc>
      </w:tr>
    </w:tbl>
    <w:p w14:paraId="4A849F9A" w14:textId="77777777" w:rsidR="007D4A8D" w:rsidRPr="007D4A8D" w:rsidRDefault="007D4A8D" w:rsidP="007D4A8D">
      <w:pPr>
        <w:rPr>
          <w:rFonts w:ascii="Times New Roman" w:hAnsi="Times New Roman"/>
          <w:szCs w:val="20"/>
          <w:lang w:val="en-US" w:eastAsia="x-none"/>
        </w:rPr>
      </w:pPr>
    </w:p>
    <w:p w14:paraId="5CEBC5FD" w14:textId="77777777" w:rsidR="007D4A8D" w:rsidRPr="007D4A8D" w:rsidRDefault="007D4A8D" w:rsidP="007D4A8D">
      <w:pPr>
        <w:rPr>
          <w:rFonts w:ascii="Times New Roman" w:hAnsi="Times New Roman"/>
          <w:szCs w:val="20"/>
          <w:lang w:val="en-US" w:eastAsia="x-none"/>
        </w:rPr>
      </w:pPr>
      <w:r w:rsidRPr="007D4A8D">
        <w:rPr>
          <w:rFonts w:ascii="Times New Roman" w:hAnsi="Times New Roman"/>
          <w:szCs w:val="20"/>
          <w:highlight w:val="green"/>
          <w:lang w:val="en-US" w:eastAsia="x-none"/>
        </w:rPr>
        <w:t>Agreement</w:t>
      </w:r>
    </w:p>
    <w:p w14:paraId="5C175C17" w14:textId="77777777" w:rsidR="007D4A8D" w:rsidRPr="007D4A8D" w:rsidRDefault="007D4A8D" w:rsidP="00AA1D48">
      <w:pPr>
        <w:pStyle w:val="ListParagraph"/>
        <w:numPr>
          <w:ilvl w:val="0"/>
          <w:numId w:val="115"/>
        </w:numPr>
        <w:rPr>
          <w:lang w:eastAsia="x-none"/>
        </w:rPr>
      </w:pPr>
      <w:r w:rsidRPr="007D4A8D">
        <w:rPr>
          <w:lang w:eastAsia="x-none"/>
        </w:rPr>
        <w:t>Agree at least the following RRC parameter for ‘</w:t>
      </w:r>
      <w:r w:rsidRPr="007D4A8D">
        <w:rPr>
          <w:rFonts w:eastAsia="DengXian"/>
          <w:lang w:eastAsia="x-none"/>
        </w:rPr>
        <w:t>LTM-Candidate-Tci-State</w:t>
      </w:r>
      <w:r w:rsidRPr="007D4A8D">
        <w:rPr>
          <w:rFonts w:eastAsia="DengXian"/>
          <w:lang w:val="en-US" w:eastAsia="x-none"/>
        </w:rPr>
        <w:t>’</w:t>
      </w:r>
      <w:r w:rsidRPr="007D4A8D">
        <w:rPr>
          <w:rFonts w:eastAsia="DengXian"/>
          <w:lang w:eastAsia="x-none"/>
        </w:rPr>
        <w:t xml:space="preserve"> </w:t>
      </w:r>
      <w:r w:rsidRPr="007D4A8D">
        <w:rPr>
          <w:lang w:eastAsia="x-none"/>
        </w:rPr>
        <w:t>configuration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8"/>
        <w:gridCol w:w="1477"/>
        <w:gridCol w:w="1844"/>
        <w:gridCol w:w="1145"/>
        <w:gridCol w:w="2073"/>
        <w:gridCol w:w="3656"/>
      </w:tblGrid>
      <w:tr w:rsidR="007D4A8D" w:rsidRPr="007D4A8D" w14:paraId="6547FD82" w14:textId="77777777" w:rsidTr="007D4A8D">
        <w:trPr>
          <w:trHeight w:val="451"/>
        </w:trPr>
        <w:tc>
          <w:tcPr>
            <w:tcW w:w="228" w:type="pct"/>
            <w:shd w:val="clear" w:color="auto" w:fill="D9D9D9"/>
          </w:tcPr>
          <w:p w14:paraId="0734CEC0" w14:textId="77777777" w:rsidR="007D4A8D" w:rsidRPr="007D4A8D" w:rsidRDefault="007D4A8D" w:rsidP="007D4A8D">
            <w:pPr>
              <w:rPr>
                <w:rFonts w:ascii="Arial" w:eastAsia="DengXian" w:hAnsi="Arial" w:cs="Arial"/>
                <w:sz w:val="16"/>
                <w:szCs w:val="16"/>
              </w:rPr>
            </w:pPr>
            <w:r w:rsidRPr="007D4A8D">
              <w:rPr>
                <w:rFonts w:ascii="Arial" w:eastAsia="DengXian" w:hAnsi="Arial" w:cs="Arial"/>
                <w:sz w:val="16"/>
                <w:szCs w:val="16"/>
              </w:rPr>
              <w:t>#</w:t>
            </w:r>
          </w:p>
        </w:tc>
        <w:tc>
          <w:tcPr>
            <w:tcW w:w="691" w:type="pct"/>
            <w:shd w:val="clear" w:color="auto" w:fill="D9D9D9"/>
          </w:tcPr>
          <w:p w14:paraId="0FEC60E9" w14:textId="77777777" w:rsidR="007D4A8D" w:rsidRPr="007D4A8D" w:rsidRDefault="007D4A8D" w:rsidP="007D4A8D">
            <w:pPr>
              <w:rPr>
                <w:rFonts w:ascii="Arial" w:eastAsia="DengXian" w:hAnsi="Arial" w:cs="Arial"/>
                <w:sz w:val="16"/>
                <w:szCs w:val="16"/>
              </w:rPr>
            </w:pPr>
            <w:r w:rsidRPr="007D4A8D">
              <w:rPr>
                <w:rFonts w:ascii="Arial" w:eastAsia="DengXian" w:hAnsi="Arial" w:cs="Arial"/>
                <w:sz w:val="16"/>
                <w:szCs w:val="16"/>
              </w:rPr>
              <w:t>RAN2 parent IE</w:t>
            </w:r>
          </w:p>
        </w:tc>
        <w:tc>
          <w:tcPr>
            <w:tcW w:w="863" w:type="pct"/>
            <w:shd w:val="clear" w:color="auto" w:fill="D9D9D9"/>
          </w:tcPr>
          <w:p w14:paraId="7A4E9738" w14:textId="77777777" w:rsidR="007D4A8D" w:rsidRPr="007D4A8D" w:rsidRDefault="007D4A8D" w:rsidP="007D4A8D">
            <w:pPr>
              <w:rPr>
                <w:rFonts w:ascii="Arial" w:eastAsia="DengXian" w:hAnsi="Arial" w:cs="Arial"/>
                <w:sz w:val="16"/>
                <w:szCs w:val="16"/>
              </w:rPr>
            </w:pPr>
            <w:r w:rsidRPr="007D4A8D">
              <w:rPr>
                <w:rFonts w:ascii="Arial" w:eastAsia="DengXian" w:hAnsi="Arial" w:cs="Arial"/>
                <w:sz w:val="16"/>
                <w:szCs w:val="16"/>
              </w:rPr>
              <w:t>Parameter name in the spec</w:t>
            </w:r>
          </w:p>
        </w:tc>
        <w:tc>
          <w:tcPr>
            <w:tcW w:w="536" w:type="pct"/>
            <w:shd w:val="clear" w:color="auto" w:fill="D9D9D9"/>
          </w:tcPr>
          <w:p w14:paraId="340C319C" w14:textId="77777777" w:rsidR="007D4A8D" w:rsidRPr="007D4A8D" w:rsidRDefault="007D4A8D" w:rsidP="007D4A8D">
            <w:pPr>
              <w:rPr>
                <w:rFonts w:ascii="Arial" w:eastAsia="DengXian" w:hAnsi="Arial" w:cs="Arial"/>
                <w:sz w:val="16"/>
                <w:szCs w:val="16"/>
              </w:rPr>
            </w:pPr>
            <w:r w:rsidRPr="007D4A8D">
              <w:rPr>
                <w:rFonts w:ascii="Arial" w:eastAsia="DengXian" w:hAnsi="Arial" w:cs="Arial"/>
                <w:sz w:val="16"/>
                <w:szCs w:val="16"/>
              </w:rPr>
              <w:t>New or existing?</w:t>
            </w:r>
          </w:p>
        </w:tc>
        <w:tc>
          <w:tcPr>
            <w:tcW w:w="970" w:type="pct"/>
            <w:shd w:val="clear" w:color="auto" w:fill="D9D9D9"/>
          </w:tcPr>
          <w:p w14:paraId="52D807A9" w14:textId="77777777" w:rsidR="007D4A8D" w:rsidRPr="007D4A8D" w:rsidRDefault="007D4A8D" w:rsidP="007D4A8D">
            <w:pPr>
              <w:rPr>
                <w:rFonts w:ascii="Arial" w:eastAsia="DengXian" w:hAnsi="Arial" w:cs="Arial"/>
                <w:sz w:val="16"/>
                <w:szCs w:val="16"/>
              </w:rPr>
            </w:pPr>
            <w:r w:rsidRPr="007D4A8D">
              <w:rPr>
                <w:rFonts w:ascii="Arial" w:eastAsia="DengXian" w:hAnsi="Arial" w:cs="Arial"/>
                <w:sz w:val="16"/>
                <w:szCs w:val="16"/>
              </w:rPr>
              <w:t>Description</w:t>
            </w:r>
          </w:p>
        </w:tc>
        <w:tc>
          <w:tcPr>
            <w:tcW w:w="1711" w:type="pct"/>
            <w:shd w:val="clear" w:color="auto" w:fill="D9D9D9"/>
          </w:tcPr>
          <w:p w14:paraId="44AABE01" w14:textId="77777777" w:rsidR="007D4A8D" w:rsidRPr="007D4A8D" w:rsidRDefault="007D4A8D" w:rsidP="007D4A8D">
            <w:pPr>
              <w:rPr>
                <w:rFonts w:ascii="Arial" w:eastAsia="DengXian" w:hAnsi="Arial" w:cs="Arial"/>
                <w:sz w:val="16"/>
                <w:szCs w:val="16"/>
              </w:rPr>
            </w:pPr>
            <w:r w:rsidRPr="007D4A8D">
              <w:rPr>
                <w:rFonts w:ascii="Arial" w:eastAsia="DengXian" w:hAnsi="Arial" w:cs="Arial"/>
                <w:sz w:val="16"/>
                <w:szCs w:val="16"/>
              </w:rPr>
              <w:t>Value Range</w:t>
            </w:r>
          </w:p>
        </w:tc>
      </w:tr>
      <w:tr w:rsidR="007D4A8D" w:rsidRPr="007D4A8D" w14:paraId="4F8E6A94" w14:textId="77777777" w:rsidTr="007D4A8D">
        <w:trPr>
          <w:trHeight w:val="451"/>
        </w:trPr>
        <w:tc>
          <w:tcPr>
            <w:tcW w:w="228" w:type="pct"/>
            <w:shd w:val="clear" w:color="auto" w:fill="auto"/>
          </w:tcPr>
          <w:p w14:paraId="15D55991" w14:textId="77777777" w:rsidR="007D4A8D" w:rsidRPr="007D4A8D" w:rsidRDefault="007D4A8D" w:rsidP="007D4A8D">
            <w:pPr>
              <w:rPr>
                <w:rFonts w:ascii="Arial" w:eastAsia="DengXian" w:hAnsi="Arial" w:cs="Arial"/>
                <w:sz w:val="16"/>
                <w:szCs w:val="16"/>
              </w:rPr>
            </w:pPr>
            <w:r w:rsidRPr="007D4A8D">
              <w:rPr>
                <w:rFonts w:ascii="Arial" w:eastAsia="DengXian" w:hAnsi="Arial" w:cs="Arial"/>
                <w:sz w:val="16"/>
                <w:szCs w:val="16"/>
              </w:rPr>
              <w:lastRenderedPageBreak/>
              <w:t>1</w:t>
            </w:r>
          </w:p>
        </w:tc>
        <w:tc>
          <w:tcPr>
            <w:tcW w:w="691" w:type="pct"/>
            <w:shd w:val="clear" w:color="auto" w:fill="auto"/>
          </w:tcPr>
          <w:p w14:paraId="34D9D463" w14:textId="77777777" w:rsidR="007D4A8D" w:rsidRPr="007D4A8D" w:rsidRDefault="007D4A8D" w:rsidP="007D4A8D">
            <w:pPr>
              <w:rPr>
                <w:rFonts w:ascii="Arial" w:eastAsia="DengXian" w:hAnsi="Arial" w:cs="Arial"/>
                <w:sz w:val="16"/>
                <w:szCs w:val="16"/>
              </w:rPr>
            </w:pPr>
            <w:r w:rsidRPr="007D4A8D">
              <w:rPr>
                <w:rFonts w:ascii="Arial" w:eastAsia="DengXian" w:hAnsi="Arial" w:cs="Arial"/>
                <w:sz w:val="16"/>
                <w:szCs w:val="16"/>
              </w:rPr>
              <w:t>LTM-Candidate-Tci-States -r18</w:t>
            </w:r>
          </w:p>
        </w:tc>
        <w:tc>
          <w:tcPr>
            <w:tcW w:w="863" w:type="pct"/>
            <w:shd w:val="clear" w:color="auto" w:fill="auto"/>
          </w:tcPr>
          <w:p w14:paraId="23B5A319" w14:textId="77777777" w:rsidR="007D4A8D" w:rsidRPr="007D4A8D" w:rsidRDefault="007D4A8D" w:rsidP="007D4A8D">
            <w:pPr>
              <w:rPr>
                <w:rFonts w:ascii="Arial" w:eastAsia="DengXian" w:hAnsi="Arial" w:cs="Arial"/>
                <w:sz w:val="16"/>
                <w:szCs w:val="16"/>
              </w:rPr>
            </w:pPr>
            <w:r w:rsidRPr="007D4A8D">
              <w:rPr>
                <w:rFonts w:ascii="Arial" w:eastAsia="DengXian" w:hAnsi="Arial" w:cs="Arial"/>
                <w:sz w:val="16"/>
                <w:szCs w:val="16"/>
              </w:rPr>
              <w:t xml:space="preserve">qcl-Type1, </w:t>
            </w:r>
          </w:p>
          <w:p w14:paraId="0A3EB45A" w14:textId="77777777" w:rsidR="007D4A8D" w:rsidRPr="007D4A8D" w:rsidRDefault="007D4A8D" w:rsidP="007D4A8D">
            <w:pPr>
              <w:rPr>
                <w:rFonts w:ascii="Arial" w:eastAsia="DengXian" w:hAnsi="Arial" w:cs="Arial"/>
                <w:sz w:val="16"/>
                <w:szCs w:val="16"/>
              </w:rPr>
            </w:pPr>
            <w:r w:rsidRPr="007D4A8D">
              <w:rPr>
                <w:rFonts w:ascii="Arial" w:eastAsia="DengXian" w:hAnsi="Arial" w:cs="Arial"/>
                <w:sz w:val="16"/>
                <w:szCs w:val="16"/>
              </w:rPr>
              <w:t>qcl-Type2,</w:t>
            </w:r>
          </w:p>
        </w:tc>
        <w:tc>
          <w:tcPr>
            <w:tcW w:w="536" w:type="pct"/>
            <w:shd w:val="clear" w:color="auto" w:fill="auto"/>
          </w:tcPr>
          <w:p w14:paraId="22999200" w14:textId="77777777" w:rsidR="007D4A8D" w:rsidRPr="007D4A8D" w:rsidRDefault="007D4A8D" w:rsidP="007D4A8D">
            <w:pPr>
              <w:rPr>
                <w:rFonts w:ascii="Arial" w:eastAsia="DengXian" w:hAnsi="Arial" w:cs="Arial"/>
                <w:sz w:val="16"/>
                <w:szCs w:val="16"/>
              </w:rPr>
            </w:pPr>
            <w:r w:rsidRPr="007D4A8D">
              <w:rPr>
                <w:rFonts w:ascii="Arial" w:eastAsia="DengXian" w:hAnsi="Arial" w:cs="Arial"/>
                <w:sz w:val="16"/>
                <w:szCs w:val="16"/>
              </w:rPr>
              <w:t>new</w:t>
            </w:r>
          </w:p>
        </w:tc>
        <w:tc>
          <w:tcPr>
            <w:tcW w:w="970" w:type="pct"/>
            <w:shd w:val="clear" w:color="auto" w:fill="auto"/>
          </w:tcPr>
          <w:p w14:paraId="7882D167" w14:textId="77777777" w:rsidR="007D4A8D" w:rsidRPr="007D4A8D" w:rsidRDefault="007D4A8D" w:rsidP="007D4A8D">
            <w:pPr>
              <w:rPr>
                <w:rFonts w:ascii="Arial" w:eastAsia="DengXian" w:hAnsi="Arial" w:cs="Arial"/>
                <w:sz w:val="16"/>
                <w:szCs w:val="16"/>
              </w:rPr>
            </w:pPr>
            <w:r w:rsidRPr="007D4A8D">
              <w:rPr>
                <w:rFonts w:ascii="Arial" w:eastAsia="DengXian" w:hAnsi="Arial" w:cs="Arial"/>
                <w:sz w:val="16"/>
                <w:szCs w:val="16"/>
              </w:rPr>
              <w:t>QCL information for the TCI state</w:t>
            </w:r>
          </w:p>
        </w:tc>
        <w:tc>
          <w:tcPr>
            <w:tcW w:w="1711" w:type="pct"/>
            <w:shd w:val="clear" w:color="auto" w:fill="auto"/>
          </w:tcPr>
          <w:p w14:paraId="4DA86097" w14:textId="77777777" w:rsidR="007D4A8D" w:rsidRPr="007D4A8D" w:rsidRDefault="007D4A8D" w:rsidP="007D4A8D">
            <w:pPr>
              <w:tabs>
                <w:tab w:val="left" w:pos="757"/>
              </w:tabs>
              <w:rPr>
                <w:rFonts w:ascii="Arial" w:eastAsia="DengXian" w:hAnsi="Arial" w:cs="Arial"/>
                <w:sz w:val="16"/>
                <w:szCs w:val="16"/>
              </w:rPr>
            </w:pPr>
            <w:r w:rsidRPr="007D4A8D">
              <w:rPr>
                <w:rFonts w:ascii="Arial" w:eastAsia="DengXian" w:hAnsi="Arial" w:cs="Arial"/>
                <w:sz w:val="16"/>
                <w:szCs w:val="16"/>
              </w:rPr>
              <w:t>LTM-QCL-info-r18</w:t>
            </w:r>
          </w:p>
        </w:tc>
      </w:tr>
      <w:tr w:rsidR="007D4A8D" w:rsidRPr="007D4A8D" w14:paraId="0BBF6CB3" w14:textId="77777777" w:rsidTr="007D4A8D">
        <w:trPr>
          <w:trHeight w:val="451"/>
        </w:trPr>
        <w:tc>
          <w:tcPr>
            <w:tcW w:w="228" w:type="pct"/>
            <w:shd w:val="clear" w:color="auto" w:fill="auto"/>
          </w:tcPr>
          <w:p w14:paraId="259B94EC" w14:textId="77777777" w:rsidR="007D4A8D" w:rsidRPr="007D4A8D" w:rsidRDefault="007D4A8D" w:rsidP="007D4A8D">
            <w:pPr>
              <w:rPr>
                <w:rFonts w:ascii="Arial" w:eastAsia="DengXian" w:hAnsi="Arial" w:cs="Arial"/>
                <w:sz w:val="16"/>
                <w:szCs w:val="16"/>
              </w:rPr>
            </w:pPr>
            <w:r w:rsidRPr="007D4A8D">
              <w:rPr>
                <w:rFonts w:ascii="Arial" w:eastAsia="DengXian" w:hAnsi="Arial" w:cs="Arial"/>
                <w:sz w:val="16"/>
                <w:szCs w:val="16"/>
              </w:rPr>
              <w:t>2</w:t>
            </w:r>
          </w:p>
        </w:tc>
        <w:tc>
          <w:tcPr>
            <w:tcW w:w="691" w:type="pct"/>
            <w:shd w:val="clear" w:color="auto" w:fill="auto"/>
          </w:tcPr>
          <w:p w14:paraId="5CACDD73" w14:textId="77777777" w:rsidR="007D4A8D" w:rsidRPr="007D4A8D" w:rsidRDefault="007D4A8D" w:rsidP="007D4A8D">
            <w:pPr>
              <w:rPr>
                <w:rFonts w:ascii="Arial" w:eastAsia="DengXian" w:hAnsi="Arial" w:cs="Arial"/>
                <w:sz w:val="16"/>
                <w:szCs w:val="16"/>
              </w:rPr>
            </w:pPr>
            <w:r w:rsidRPr="007D4A8D">
              <w:rPr>
                <w:rFonts w:ascii="Arial" w:eastAsia="DengXian" w:hAnsi="Arial" w:cs="Arial"/>
                <w:sz w:val="16"/>
                <w:szCs w:val="16"/>
              </w:rPr>
              <w:t xml:space="preserve">qcl-Type1, </w:t>
            </w:r>
          </w:p>
          <w:p w14:paraId="6EB87C10" w14:textId="77777777" w:rsidR="007D4A8D" w:rsidRPr="007D4A8D" w:rsidRDefault="007D4A8D" w:rsidP="007D4A8D">
            <w:pPr>
              <w:rPr>
                <w:rFonts w:ascii="Arial" w:eastAsia="DengXian" w:hAnsi="Arial" w:cs="Arial"/>
                <w:sz w:val="16"/>
                <w:szCs w:val="16"/>
              </w:rPr>
            </w:pPr>
            <w:r w:rsidRPr="007D4A8D">
              <w:rPr>
                <w:rFonts w:ascii="Arial" w:eastAsia="DengXian" w:hAnsi="Arial" w:cs="Arial"/>
                <w:sz w:val="16"/>
                <w:szCs w:val="16"/>
              </w:rPr>
              <w:t>qcl-Type2,</w:t>
            </w:r>
          </w:p>
        </w:tc>
        <w:tc>
          <w:tcPr>
            <w:tcW w:w="863" w:type="pct"/>
            <w:shd w:val="clear" w:color="auto" w:fill="auto"/>
          </w:tcPr>
          <w:p w14:paraId="367C523F" w14:textId="77777777" w:rsidR="007D4A8D" w:rsidRPr="007D4A8D" w:rsidRDefault="007D4A8D" w:rsidP="007D4A8D">
            <w:pPr>
              <w:rPr>
                <w:rFonts w:ascii="Arial" w:eastAsia="DengXian" w:hAnsi="Arial" w:cs="Arial"/>
                <w:sz w:val="16"/>
                <w:szCs w:val="16"/>
              </w:rPr>
            </w:pPr>
            <w:r w:rsidRPr="007D4A8D">
              <w:rPr>
                <w:rFonts w:ascii="Arial" w:eastAsia="DengXian" w:hAnsi="Arial" w:cs="Arial"/>
                <w:sz w:val="16"/>
                <w:szCs w:val="16"/>
              </w:rPr>
              <w:t>LTM-QCL-info-r18</w:t>
            </w:r>
          </w:p>
        </w:tc>
        <w:tc>
          <w:tcPr>
            <w:tcW w:w="536" w:type="pct"/>
            <w:shd w:val="clear" w:color="auto" w:fill="auto"/>
          </w:tcPr>
          <w:p w14:paraId="5A6C0C08" w14:textId="77777777" w:rsidR="007D4A8D" w:rsidRPr="007D4A8D" w:rsidRDefault="007D4A8D" w:rsidP="007D4A8D">
            <w:pPr>
              <w:rPr>
                <w:rFonts w:ascii="Arial" w:eastAsia="DengXian" w:hAnsi="Arial" w:cs="Arial"/>
                <w:sz w:val="16"/>
                <w:szCs w:val="16"/>
              </w:rPr>
            </w:pPr>
            <w:r w:rsidRPr="007D4A8D">
              <w:rPr>
                <w:rFonts w:ascii="Arial" w:eastAsia="DengXian" w:hAnsi="Arial" w:cs="Arial"/>
                <w:sz w:val="16"/>
                <w:szCs w:val="16"/>
              </w:rPr>
              <w:t>new</w:t>
            </w:r>
          </w:p>
        </w:tc>
        <w:tc>
          <w:tcPr>
            <w:tcW w:w="970" w:type="pct"/>
            <w:shd w:val="clear" w:color="auto" w:fill="auto"/>
          </w:tcPr>
          <w:p w14:paraId="7E16843E" w14:textId="77777777" w:rsidR="007D4A8D" w:rsidRPr="007D4A8D" w:rsidRDefault="007D4A8D" w:rsidP="007D4A8D">
            <w:pPr>
              <w:rPr>
                <w:rFonts w:ascii="Arial" w:eastAsia="DengXian" w:hAnsi="Arial" w:cs="Arial"/>
                <w:sz w:val="16"/>
                <w:szCs w:val="16"/>
              </w:rPr>
            </w:pPr>
            <w:r w:rsidRPr="007D4A8D">
              <w:rPr>
                <w:rFonts w:ascii="Arial" w:eastAsia="DengXian" w:hAnsi="Arial" w:cs="Arial"/>
                <w:sz w:val="16"/>
                <w:szCs w:val="16"/>
              </w:rPr>
              <w:t>QCL type</w:t>
            </w:r>
          </w:p>
        </w:tc>
        <w:tc>
          <w:tcPr>
            <w:tcW w:w="1711" w:type="pct"/>
            <w:shd w:val="clear" w:color="auto" w:fill="auto"/>
          </w:tcPr>
          <w:p w14:paraId="40DC2999" w14:textId="77777777" w:rsidR="007D4A8D" w:rsidRPr="007D4A8D" w:rsidRDefault="007D4A8D" w:rsidP="007D4A8D">
            <w:pPr>
              <w:tabs>
                <w:tab w:val="left" w:pos="757"/>
              </w:tabs>
              <w:rPr>
                <w:rFonts w:ascii="Arial" w:eastAsia="DengXian" w:hAnsi="Arial" w:cs="Arial"/>
                <w:sz w:val="16"/>
                <w:szCs w:val="16"/>
              </w:rPr>
            </w:pPr>
            <w:r w:rsidRPr="007D4A8D">
              <w:rPr>
                <w:rFonts w:ascii="Arial" w:eastAsia="DengXian" w:hAnsi="Arial" w:cs="Arial"/>
                <w:sz w:val="16"/>
                <w:szCs w:val="16"/>
              </w:rPr>
              <w:t xml:space="preserve">SEQUENCE { </w:t>
            </w:r>
          </w:p>
          <w:p w14:paraId="59349BC9" w14:textId="77777777" w:rsidR="007D4A8D" w:rsidRPr="007D4A8D" w:rsidRDefault="007D4A8D" w:rsidP="007D4A8D">
            <w:pPr>
              <w:tabs>
                <w:tab w:val="left" w:pos="757"/>
              </w:tabs>
              <w:rPr>
                <w:rFonts w:ascii="Arial" w:eastAsia="DengXian" w:hAnsi="Arial" w:cs="Arial"/>
                <w:sz w:val="16"/>
                <w:szCs w:val="16"/>
              </w:rPr>
            </w:pPr>
            <w:r w:rsidRPr="007D4A8D">
              <w:rPr>
                <w:rFonts w:ascii="Arial" w:eastAsia="DengXian" w:hAnsi="Arial" w:cs="Arial"/>
                <w:sz w:val="16"/>
                <w:szCs w:val="16"/>
              </w:rPr>
              <w:t xml:space="preserve"> ReferenceSignal,</w:t>
            </w:r>
          </w:p>
          <w:p w14:paraId="5249599E" w14:textId="77777777" w:rsidR="007D4A8D" w:rsidRPr="007D4A8D" w:rsidRDefault="007D4A8D" w:rsidP="007D4A8D">
            <w:pPr>
              <w:tabs>
                <w:tab w:val="left" w:pos="757"/>
              </w:tabs>
              <w:rPr>
                <w:rFonts w:ascii="Arial" w:eastAsia="DengXian" w:hAnsi="Arial" w:cs="Arial"/>
                <w:sz w:val="16"/>
                <w:szCs w:val="16"/>
              </w:rPr>
            </w:pPr>
            <w:r w:rsidRPr="007D4A8D">
              <w:rPr>
                <w:rFonts w:ascii="Arial" w:eastAsia="DengXian" w:hAnsi="Arial" w:cs="Arial"/>
                <w:sz w:val="16"/>
                <w:szCs w:val="16"/>
              </w:rPr>
              <w:t xml:space="preserve"> qcl-Type, </w:t>
            </w:r>
          </w:p>
          <w:p w14:paraId="62FFD5F1" w14:textId="77777777" w:rsidR="007D4A8D" w:rsidRPr="007D4A8D" w:rsidRDefault="007D4A8D" w:rsidP="007D4A8D">
            <w:pPr>
              <w:tabs>
                <w:tab w:val="left" w:pos="757"/>
              </w:tabs>
              <w:rPr>
                <w:rFonts w:ascii="Arial" w:eastAsia="DengXian" w:hAnsi="Arial" w:cs="Arial"/>
                <w:sz w:val="16"/>
                <w:szCs w:val="16"/>
              </w:rPr>
            </w:pPr>
            <w:r w:rsidRPr="007D4A8D">
              <w:rPr>
                <w:rFonts w:ascii="Arial" w:eastAsia="DengXian" w:hAnsi="Arial" w:cs="Arial"/>
                <w:sz w:val="16"/>
                <w:szCs w:val="16"/>
              </w:rPr>
              <w:t>}</w:t>
            </w:r>
          </w:p>
        </w:tc>
      </w:tr>
      <w:tr w:rsidR="007D4A8D" w:rsidRPr="007D4A8D" w14:paraId="0BCDA7FA" w14:textId="77777777" w:rsidTr="007D4A8D">
        <w:trPr>
          <w:trHeight w:val="451"/>
        </w:trPr>
        <w:tc>
          <w:tcPr>
            <w:tcW w:w="228" w:type="pct"/>
            <w:shd w:val="clear" w:color="auto" w:fill="auto"/>
          </w:tcPr>
          <w:p w14:paraId="49B9C2F4" w14:textId="77777777" w:rsidR="007D4A8D" w:rsidRPr="007D4A8D" w:rsidRDefault="007D4A8D" w:rsidP="007D4A8D">
            <w:pPr>
              <w:rPr>
                <w:rFonts w:ascii="Arial" w:eastAsia="DengXian" w:hAnsi="Arial" w:cs="Arial"/>
                <w:sz w:val="16"/>
                <w:szCs w:val="16"/>
              </w:rPr>
            </w:pPr>
            <w:r w:rsidRPr="007D4A8D">
              <w:rPr>
                <w:rFonts w:ascii="Arial" w:eastAsia="DengXian" w:hAnsi="Arial" w:cs="Arial"/>
                <w:sz w:val="16"/>
                <w:szCs w:val="16"/>
              </w:rPr>
              <w:t>3</w:t>
            </w:r>
          </w:p>
        </w:tc>
        <w:tc>
          <w:tcPr>
            <w:tcW w:w="691" w:type="pct"/>
            <w:shd w:val="clear" w:color="auto" w:fill="auto"/>
          </w:tcPr>
          <w:p w14:paraId="7678DFC2" w14:textId="77777777" w:rsidR="007D4A8D" w:rsidRPr="007D4A8D" w:rsidRDefault="007D4A8D" w:rsidP="007D4A8D">
            <w:pPr>
              <w:rPr>
                <w:rFonts w:ascii="Arial" w:eastAsia="DengXian" w:hAnsi="Arial" w:cs="Arial"/>
                <w:sz w:val="16"/>
                <w:szCs w:val="16"/>
              </w:rPr>
            </w:pPr>
            <w:r w:rsidRPr="007D4A8D">
              <w:rPr>
                <w:rFonts w:ascii="Arial" w:eastAsia="DengXian" w:hAnsi="Arial" w:cs="Arial"/>
                <w:sz w:val="16"/>
                <w:szCs w:val="16"/>
              </w:rPr>
              <w:t>ReferenceSignal</w:t>
            </w:r>
          </w:p>
        </w:tc>
        <w:tc>
          <w:tcPr>
            <w:tcW w:w="863" w:type="pct"/>
            <w:shd w:val="clear" w:color="auto" w:fill="auto"/>
          </w:tcPr>
          <w:p w14:paraId="162CFC81" w14:textId="77777777" w:rsidR="007D4A8D" w:rsidRPr="007D4A8D" w:rsidRDefault="007D4A8D" w:rsidP="007D4A8D">
            <w:pPr>
              <w:rPr>
                <w:rFonts w:ascii="Arial" w:eastAsia="DengXian" w:hAnsi="Arial" w:cs="Arial"/>
                <w:sz w:val="16"/>
                <w:szCs w:val="16"/>
              </w:rPr>
            </w:pPr>
            <w:r w:rsidRPr="007D4A8D">
              <w:rPr>
                <w:rFonts w:ascii="Arial" w:eastAsia="DengXian" w:hAnsi="Arial" w:cs="Arial"/>
                <w:sz w:val="16"/>
                <w:szCs w:val="16"/>
              </w:rPr>
              <w:t>ssb</w:t>
            </w:r>
          </w:p>
        </w:tc>
        <w:tc>
          <w:tcPr>
            <w:tcW w:w="536" w:type="pct"/>
            <w:shd w:val="clear" w:color="auto" w:fill="auto"/>
          </w:tcPr>
          <w:p w14:paraId="56DFB169" w14:textId="77777777" w:rsidR="007D4A8D" w:rsidRPr="007D4A8D" w:rsidRDefault="007D4A8D" w:rsidP="007D4A8D">
            <w:pPr>
              <w:rPr>
                <w:rFonts w:ascii="Arial" w:eastAsia="DengXian" w:hAnsi="Arial" w:cs="Arial"/>
                <w:sz w:val="16"/>
                <w:szCs w:val="16"/>
              </w:rPr>
            </w:pPr>
            <w:r w:rsidRPr="007D4A8D">
              <w:rPr>
                <w:rFonts w:ascii="Arial" w:eastAsia="DengXian" w:hAnsi="Arial" w:cs="Arial"/>
                <w:sz w:val="16"/>
                <w:szCs w:val="16"/>
              </w:rPr>
              <w:t>existing</w:t>
            </w:r>
          </w:p>
        </w:tc>
        <w:tc>
          <w:tcPr>
            <w:tcW w:w="970" w:type="pct"/>
            <w:shd w:val="clear" w:color="auto" w:fill="auto"/>
          </w:tcPr>
          <w:p w14:paraId="5EA5ED19" w14:textId="77777777" w:rsidR="007D4A8D" w:rsidRPr="007D4A8D" w:rsidRDefault="007D4A8D" w:rsidP="007D4A8D">
            <w:pPr>
              <w:rPr>
                <w:rFonts w:ascii="Arial" w:eastAsia="DengXian" w:hAnsi="Arial" w:cs="Arial"/>
                <w:sz w:val="16"/>
                <w:szCs w:val="16"/>
              </w:rPr>
            </w:pPr>
            <w:r w:rsidRPr="007D4A8D">
              <w:rPr>
                <w:rFonts w:ascii="Arial" w:eastAsia="DengXian" w:hAnsi="Arial" w:cs="Arial"/>
                <w:sz w:val="16"/>
                <w:szCs w:val="16"/>
              </w:rPr>
              <w:t>This field is used to indicate the SS/PBCH index of the SS/PBCH block corresponding to the LTM-TCI-state of the candidate cell.</w:t>
            </w:r>
          </w:p>
        </w:tc>
        <w:tc>
          <w:tcPr>
            <w:tcW w:w="1711" w:type="pct"/>
            <w:shd w:val="clear" w:color="auto" w:fill="auto"/>
          </w:tcPr>
          <w:p w14:paraId="1E85BDC3" w14:textId="77777777" w:rsidR="007D4A8D" w:rsidRPr="007D4A8D" w:rsidRDefault="007D4A8D" w:rsidP="007D4A8D">
            <w:pPr>
              <w:tabs>
                <w:tab w:val="left" w:pos="757"/>
              </w:tabs>
              <w:rPr>
                <w:rFonts w:ascii="Arial" w:eastAsia="DengXian" w:hAnsi="Arial" w:cs="Arial"/>
                <w:sz w:val="16"/>
                <w:szCs w:val="16"/>
              </w:rPr>
            </w:pPr>
            <w:r w:rsidRPr="007D4A8D">
              <w:rPr>
                <w:rFonts w:ascii="Arial" w:eastAsia="DengXian" w:hAnsi="Arial" w:cs="Arial"/>
                <w:sz w:val="16"/>
                <w:szCs w:val="16"/>
              </w:rPr>
              <w:t>SSB-index</w:t>
            </w:r>
          </w:p>
        </w:tc>
      </w:tr>
      <w:tr w:rsidR="007D4A8D" w:rsidRPr="007D4A8D" w14:paraId="73E24CA3" w14:textId="77777777" w:rsidTr="007D4A8D">
        <w:trPr>
          <w:trHeight w:val="451"/>
        </w:trPr>
        <w:tc>
          <w:tcPr>
            <w:tcW w:w="228" w:type="pct"/>
            <w:shd w:val="clear" w:color="auto" w:fill="auto"/>
          </w:tcPr>
          <w:p w14:paraId="6BB1D5E5" w14:textId="77777777" w:rsidR="007D4A8D" w:rsidRPr="007D4A8D" w:rsidRDefault="007D4A8D" w:rsidP="007D4A8D">
            <w:pPr>
              <w:rPr>
                <w:rFonts w:ascii="Arial" w:eastAsia="DengXian" w:hAnsi="Arial" w:cs="Arial"/>
                <w:sz w:val="16"/>
                <w:szCs w:val="16"/>
              </w:rPr>
            </w:pPr>
            <w:r w:rsidRPr="007D4A8D">
              <w:rPr>
                <w:rFonts w:ascii="Arial" w:eastAsia="DengXian" w:hAnsi="Arial" w:cs="Arial"/>
                <w:sz w:val="16"/>
                <w:szCs w:val="16"/>
              </w:rPr>
              <w:t>4</w:t>
            </w:r>
          </w:p>
        </w:tc>
        <w:tc>
          <w:tcPr>
            <w:tcW w:w="691" w:type="pct"/>
            <w:shd w:val="clear" w:color="auto" w:fill="auto"/>
          </w:tcPr>
          <w:p w14:paraId="20679540" w14:textId="77777777" w:rsidR="007D4A8D" w:rsidRPr="007D4A8D" w:rsidRDefault="007D4A8D" w:rsidP="007D4A8D">
            <w:pPr>
              <w:rPr>
                <w:rFonts w:ascii="Arial" w:eastAsia="DengXian" w:hAnsi="Arial" w:cs="Arial"/>
                <w:sz w:val="16"/>
                <w:szCs w:val="16"/>
              </w:rPr>
            </w:pPr>
            <w:r w:rsidRPr="007D4A8D">
              <w:rPr>
                <w:rFonts w:ascii="Arial" w:eastAsia="DengXian" w:hAnsi="Arial" w:cs="Arial"/>
                <w:sz w:val="16"/>
                <w:szCs w:val="16"/>
              </w:rPr>
              <w:t>LTM-QCL-info-r18</w:t>
            </w:r>
          </w:p>
        </w:tc>
        <w:tc>
          <w:tcPr>
            <w:tcW w:w="863" w:type="pct"/>
            <w:shd w:val="clear" w:color="auto" w:fill="auto"/>
          </w:tcPr>
          <w:p w14:paraId="40D570D2" w14:textId="77777777" w:rsidR="007D4A8D" w:rsidRPr="007D4A8D" w:rsidRDefault="007D4A8D" w:rsidP="007D4A8D">
            <w:pPr>
              <w:rPr>
                <w:rFonts w:ascii="Arial" w:eastAsia="DengXian" w:hAnsi="Arial" w:cs="Arial"/>
                <w:sz w:val="16"/>
                <w:szCs w:val="16"/>
              </w:rPr>
            </w:pPr>
            <w:r w:rsidRPr="007D4A8D">
              <w:rPr>
                <w:rFonts w:ascii="Arial" w:eastAsia="DengXian" w:hAnsi="Arial" w:cs="Arial"/>
                <w:sz w:val="16"/>
                <w:szCs w:val="16"/>
              </w:rPr>
              <w:t>qcl-Type</w:t>
            </w:r>
          </w:p>
        </w:tc>
        <w:tc>
          <w:tcPr>
            <w:tcW w:w="536" w:type="pct"/>
            <w:shd w:val="clear" w:color="auto" w:fill="auto"/>
          </w:tcPr>
          <w:p w14:paraId="57560772" w14:textId="77777777" w:rsidR="007D4A8D" w:rsidRPr="007D4A8D" w:rsidRDefault="007D4A8D" w:rsidP="007D4A8D">
            <w:pPr>
              <w:rPr>
                <w:rFonts w:ascii="Arial" w:eastAsia="DengXian" w:hAnsi="Arial" w:cs="Arial"/>
                <w:sz w:val="16"/>
                <w:szCs w:val="16"/>
              </w:rPr>
            </w:pPr>
            <w:r w:rsidRPr="007D4A8D">
              <w:rPr>
                <w:rFonts w:ascii="Arial" w:eastAsia="DengXian" w:hAnsi="Arial" w:cs="Arial"/>
                <w:sz w:val="16"/>
                <w:szCs w:val="16"/>
              </w:rPr>
              <w:t>existing</w:t>
            </w:r>
          </w:p>
        </w:tc>
        <w:tc>
          <w:tcPr>
            <w:tcW w:w="970" w:type="pct"/>
            <w:shd w:val="clear" w:color="auto" w:fill="auto"/>
          </w:tcPr>
          <w:p w14:paraId="1A68947B" w14:textId="77777777" w:rsidR="007D4A8D" w:rsidRPr="007D4A8D" w:rsidRDefault="007D4A8D" w:rsidP="007D4A8D">
            <w:pPr>
              <w:rPr>
                <w:rFonts w:ascii="Arial" w:eastAsia="DengXian" w:hAnsi="Arial" w:cs="Arial"/>
                <w:sz w:val="16"/>
                <w:szCs w:val="16"/>
              </w:rPr>
            </w:pPr>
            <w:r w:rsidRPr="007D4A8D">
              <w:rPr>
                <w:rFonts w:ascii="Arial" w:eastAsia="DengXian" w:hAnsi="Arial" w:cs="Arial"/>
                <w:sz w:val="16"/>
                <w:szCs w:val="16"/>
              </w:rPr>
              <w:t>QCL type as specified in TS 38.214 [19] clause 5.1.5</w:t>
            </w:r>
          </w:p>
        </w:tc>
        <w:tc>
          <w:tcPr>
            <w:tcW w:w="1711" w:type="pct"/>
            <w:shd w:val="clear" w:color="auto" w:fill="auto"/>
          </w:tcPr>
          <w:p w14:paraId="3914F406" w14:textId="77777777" w:rsidR="007D4A8D" w:rsidRPr="007D4A8D" w:rsidRDefault="007D4A8D" w:rsidP="007D4A8D">
            <w:pPr>
              <w:tabs>
                <w:tab w:val="left" w:pos="757"/>
              </w:tabs>
              <w:rPr>
                <w:rFonts w:ascii="Arial" w:eastAsia="DengXian" w:hAnsi="Arial" w:cs="Arial"/>
                <w:sz w:val="16"/>
                <w:szCs w:val="16"/>
              </w:rPr>
            </w:pPr>
            <w:r w:rsidRPr="007D4A8D">
              <w:rPr>
                <w:rFonts w:ascii="Arial" w:eastAsia="DengXian" w:hAnsi="Arial" w:cs="Arial"/>
                <w:sz w:val="16"/>
                <w:szCs w:val="16"/>
              </w:rPr>
              <w:t>ENUMERATED {typeA, typeB, typeC, typeD}</w:t>
            </w:r>
          </w:p>
        </w:tc>
      </w:tr>
    </w:tbl>
    <w:p w14:paraId="4BA30DD6" w14:textId="77777777" w:rsidR="007D4A8D" w:rsidRPr="007D4A8D" w:rsidRDefault="007D4A8D" w:rsidP="007D4A8D"/>
    <w:p w14:paraId="4956B810" w14:textId="77777777" w:rsidR="007D4A8D" w:rsidRPr="007D4A8D" w:rsidRDefault="007D4A8D" w:rsidP="00AA1D48">
      <w:pPr>
        <w:pStyle w:val="ListParagraph"/>
        <w:numPr>
          <w:ilvl w:val="0"/>
          <w:numId w:val="115"/>
        </w:numPr>
        <w:rPr>
          <w:lang w:eastAsia="x-none"/>
        </w:rPr>
      </w:pPr>
      <w:r w:rsidRPr="007D4A8D">
        <w:rPr>
          <w:lang w:eastAsia="x-none"/>
        </w:rPr>
        <w:t>Agree at least the following RRC parameter for ‘UL LTM-TCI-State’ configuration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8"/>
        <w:gridCol w:w="1477"/>
        <w:gridCol w:w="1844"/>
        <w:gridCol w:w="1145"/>
        <w:gridCol w:w="2073"/>
        <w:gridCol w:w="3656"/>
      </w:tblGrid>
      <w:tr w:rsidR="007D4A8D" w:rsidRPr="007D4A8D" w14:paraId="1B1F1BD0" w14:textId="77777777" w:rsidTr="007D4A8D">
        <w:trPr>
          <w:trHeight w:val="451"/>
        </w:trPr>
        <w:tc>
          <w:tcPr>
            <w:tcW w:w="228" w:type="pct"/>
            <w:shd w:val="clear" w:color="auto" w:fill="D9D9D9"/>
          </w:tcPr>
          <w:p w14:paraId="160C5270" w14:textId="77777777" w:rsidR="007D4A8D" w:rsidRPr="007D4A8D" w:rsidRDefault="007D4A8D" w:rsidP="007D4A8D">
            <w:pPr>
              <w:rPr>
                <w:rFonts w:ascii="Arial" w:eastAsia="DengXian" w:hAnsi="Arial" w:cs="Arial"/>
                <w:sz w:val="16"/>
                <w:szCs w:val="16"/>
              </w:rPr>
            </w:pPr>
            <w:r w:rsidRPr="007D4A8D">
              <w:rPr>
                <w:rFonts w:ascii="Arial" w:eastAsia="DengXian" w:hAnsi="Arial" w:cs="Arial"/>
                <w:sz w:val="16"/>
                <w:szCs w:val="16"/>
              </w:rPr>
              <w:t>#</w:t>
            </w:r>
          </w:p>
        </w:tc>
        <w:tc>
          <w:tcPr>
            <w:tcW w:w="691" w:type="pct"/>
            <w:shd w:val="clear" w:color="auto" w:fill="D9D9D9"/>
          </w:tcPr>
          <w:p w14:paraId="71C34F3A" w14:textId="77777777" w:rsidR="007D4A8D" w:rsidRPr="007D4A8D" w:rsidRDefault="007D4A8D" w:rsidP="007D4A8D">
            <w:pPr>
              <w:rPr>
                <w:rFonts w:ascii="Arial" w:eastAsia="DengXian" w:hAnsi="Arial" w:cs="Arial"/>
                <w:sz w:val="16"/>
                <w:szCs w:val="16"/>
              </w:rPr>
            </w:pPr>
            <w:r w:rsidRPr="007D4A8D">
              <w:rPr>
                <w:rFonts w:ascii="Arial" w:eastAsia="DengXian" w:hAnsi="Arial" w:cs="Arial"/>
                <w:sz w:val="16"/>
                <w:szCs w:val="16"/>
              </w:rPr>
              <w:t>RAN2 parent IE</w:t>
            </w:r>
          </w:p>
        </w:tc>
        <w:tc>
          <w:tcPr>
            <w:tcW w:w="863" w:type="pct"/>
            <w:shd w:val="clear" w:color="auto" w:fill="D9D9D9"/>
          </w:tcPr>
          <w:p w14:paraId="6CC35B47" w14:textId="77777777" w:rsidR="007D4A8D" w:rsidRPr="007D4A8D" w:rsidRDefault="007D4A8D" w:rsidP="007D4A8D">
            <w:pPr>
              <w:rPr>
                <w:rFonts w:ascii="Arial" w:eastAsia="DengXian" w:hAnsi="Arial" w:cs="Arial"/>
                <w:sz w:val="16"/>
                <w:szCs w:val="16"/>
              </w:rPr>
            </w:pPr>
            <w:r w:rsidRPr="007D4A8D">
              <w:rPr>
                <w:rFonts w:ascii="Arial" w:eastAsia="DengXian" w:hAnsi="Arial" w:cs="Arial"/>
                <w:sz w:val="16"/>
                <w:szCs w:val="16"/>
              </w:rPr>
              <w:t>Parameter name in the spec</w:t>
            </w:r>
          </w:p>
        </w:tc>
        <w:tc>
          <w:tcPr>
            <w:tcW w:w="536" w:type="pct"/>
            <w:shd w:val="clear" w:color="auto" w:fill="D9D9D9"/>
          </w:tcPr>
          <w:p w14:paraId="1D91B2B3" w14:textId="77777777" w:rsidR="007D4A8D" w:rsidRPr="007D4A8D" w:rsidRDefault="007D4A8D" w:rsidP="007D4A8D">
            <w:pPr>
              <w:rPr>
                <w:rFonts w:ascii="Arial" w:eastAsia="DengXian" w:hAnsi="Arial" w:cs="Arial"/>
                <w:sz w:val="16"/>
                <w:szCs w:val="16"/>
              </w:rPr>
            </w:pPr>
            <w:r w:rsidRPr="007D4A8D">
              <w:rPr>
                <w:rFonts w:ascii="Arial" w:eastAsia="DengXian" w:hAnsi="Arial" w:cs="Arial"/>
                <w:sz w:val="16"/>
                <w:szCs w:val="16"/>
              </w:rPr>
              <w:t>New or existing?</w:t>
            </w:r>
          </w:p>
        </w:tc>
        <w:tc>
          <w:tcPr>
            <w:tcW w:w="970" w:type="pct"/>
            <w:shd w:val="clear" w:color="auto" w:fill="D9D9D9"/>
          </w:tcPr>
          <w:p w14:paraId="798132E6" w14:textId="77777777" w:rsidR="007D4A8D" w:rsidRPr="007D4A8D" w:rsidRDefault="007D4A8D" w:rsidP="007D4A8D">
            <w:pPr>
              <w:rPr>
                <w:rFonts w:ascii="Arial" w:eastAsia="DengXian" w:hAnsi="Arial" w:cs="Arial"/>
                <w:sz w:val="16"/>
                <w:szCs w:val="16"/>
              </w:rPr>
            </w:pPr>
            <w:r w:rsidRPr="007D4A8D">
              <w:rPr>
                <w:rFonts w:ascii="Arial" w:eastAsia="DengXian" w:hAnsi="Arial" w:cs="Arial"/>
                <w:sz w:val="16"/>
                <w:szCs w:val="16"/>
              </w:rPr>
              <w:t>Description</w:t>
            </w:r>
          </w:p>
        </w:tc>
        <w:tc>
          <w:tcPr>
            <w:tcW w:w="1711" w:type="pct"/>
            <w:shd w:val="clear" w:color="auto" w:fill="D9D9D9"/>
          </w:tcPr>
          <w:p w14:paraId="6C8A9265" w14:textId="77777777" w:rsidR="007D4A8D" w:rsidRPr="007D4A8D" w:rsidRDefault="007D4A8D" w:rsidP="007D4A8D">
            <w:pPr>
              <w:rPr>
                <w:rFonts w:ascii="Arial" w:eastAsia="DengXian" w:hAnsi="Arial" w:cs="Arial"/>
                <w:sz w:val="16"/>
                <w:szCs w:val="16"/>
              </w:rPr>
            </w:pPr>
            <w:r w:rsidRPr="007D4A8D">
              <w:rPr>
                <w:rFonts w:ascii="Arial" w:eastAsia="DengXian" w:hAnsi="Arial" w:cs="Arial"/>
                <w:sz w:val="16"/>
                <w:szCs w:val="16"/>
              </w:rPr>
              <w:t>Value Range</w:t>
            </w:r>
          </w:p>
        </w:tc>
      </w:tr>
      <w:tr w:rsidR="007D4A8D" w:rsidRPr="007D4A8D" w14:paraId="664798EA" w14:textId="77777777" w:rsidTr="007D4A8D">
        <w:trPr>
          <w:trHeight w:val="451"/>
        </w:trPr>
        <w:tc>
          <w:tcPr>
            <w:tcW w:w="228" w:type="pct"/>
            <w:shd w:val="clear" w:color="auto" w:fill="auto"/>
          </w:tcPr>
          <w:p w14:paraId="137ABC6D" w14:textId="77777777" w:rsidR="007D4A8D" w:rsidRPr="007D4A8D" w:rsidRDefault="007D4A8D" w:rsidP="007D4A8D">
            <w:pPr>
              <w:rPr>
                <w:rFonts w:ascii="Arial" w:eastAsia="DengXian" w:hAnsi="Arial" w:cs="Arial"/>
                <w:sz w:val="16"/>
                <w:szCs w:val="16"/>
              </w:rPr>
            </w:pPr>
            <w:r w:rsidRPr="007D4A8D">
              <w:rPr>
                <w:rFonts w:ascii="Arial" w:eastAsia="DengXian" w:hAnsi="Arial" w:cs="Arial"/>
                <w:sz w:val="16"/>
                <w:szCs w:val="16"/>
              </w:rPr>
              <w:t>1</w:t>
            </w:r>
          </w:p>
        </w:tc>
        <w:tc>
          <w:tcPr>
            <w:tcW w:w="691" w:type="pct"/>
            <w:shd w:val="clear" w:color="auto" w:fill="auto"/>
          </w:tcPr>
          <w:p w14:paraId="669B6E79" w14:textId="77777777" w:rsidR="007D4A8D" w:rsidRPr="007D4A8D" w:rsidRDefault="007D4A8D" w:rsidP="007D4A8D">
            <w:pPr>
              <w:rPr>
                <w:rFonts w:ascii="Arial" w:eastAsia="DengXian" w:hAnsi="Arial" w:cs="Arial"/>
                <w:sz w:val="16"/>
                <w:szCs w:val="16"/>
              </w:rPr>
            </w:pPr>
            <w:r w:rsidRPr="007D4A8D">
              <w:rPr>
                <w:rFonts w:ascii="Arial" w:eastAsia="DengXian" w:hAnsi="Arial" w:cs="Arial"/>
                <w:sz w:val="16"/>
                <w:szCs w:val="16"/>
              </w:rPr>
              <w:t>ltm-ul-TCI-ToAddModList</w:t>
            </w:r>
          </w:p>
        </w:tc>
        <w:tc>
          <w:tcPr>
            <w:tcW w:w="863" w:type="pct"/>
            <w:shd w:val="clear" w:color="auto" w:fill="auto"/>
          </w:tcPr>
          <w:p w14:paraId="73E9FFBB" w14:textId="77777777" w:rsidR="007D4A8D" w:rsidRPr="007D4A8D" w:rsidRDefault="007D4A8D" w:rsidP="007D4A8D">
            <w:pPr>
              <w:rPr>
                <w:rFonts w:ascii="Arial" w:eastAsia="DengXian" w:hAnsi="Arial" w:cs="Arial"/>
                <w:sz w:val="16"/>
                <w:szCs w:val="16"/>
              </w:rPr>
            </w:pPr>
            <w:r w:rsidRPr="007D4A8D">
              <w:rPr>
                <w:rFonts w:ascii="Arial" w:eastAsia="DengXian" w:hAnsi="Arial" w:cs="Arial"/>
                <w:sz w:val="16"/>
                <w:szCs w:val="16"/>
              </w:rPr>
              <w:t>LTM-Candidate-TCI-UL-State-r18</w:t>
            </w:r>
          </w:p>
        </w:tc>
        <w:tc>
          <w:tcPr>
            <w:tcW w:w="536" w:type="pct"/>
            <w:shd w:val="clear" w:color="auto" w:fill="auto"/>
          </w:tcPr>
          <w:p w14:paraId="730498B9" w14:textId="77777777" w:rsidR="007D4A8D" w:rsidRPr="007D4A8D" w:rsidRDefault="007D4A8D" w:rsidP="007D4A8D">
            <w:pPr>
              <w:rPr>
                <w:rFonts w:ascii="Arial" w:eastAsia="DengXian" w:hAnsi="Arial" w:cs="Arial"/>
                <w:sz w:val="16"/>
                <w:szCs w:val="16"/>
              </w:rPr>
            </w:pPr>
            <w:r w:rsidRPr="007D4A8D">
              <w:rPr>
                <w:rFonts w:ascii="Arial" w:eastAsia="DengXian" w:hAnsi="Arial" w:cs="Arial"/>
                <w:sz w:val="16"/>
                <w:szCs w:val="16"/>
              </w:rPr>
              <w:t>new</w:t>
            </w:r>
          </w:p>
        </w:tc>
        <w:tc>
          <w:tcPr>
            <w:tcW w:w="970" w:type="pct"/>
            <w:shd w:val="clear" w:color="auto" w:fill="auto"/>
          </w:tcPr>
          <w:p w14:paraId="1263F1B6" w14:textId="77777777" w:rsidR="007D4A8D" w:rsidRPr="007D4A8D" w:rsidRDefault="007D4A8D" w:rsidP="007D4A8D">
            <w:pPr>
              <w:rPr>
                <w:rFonts w:ascii="Arial" w:eastAsia="DengXian" w:hAnsi="Arial" w:cs="Arial"/>
                <w:sz w:val="16"/>
                <w:szCs w:val="16"/>
              </w:rPr>
            </w:pPr>
            <w:r w:rsidRPr="007D4A8D">
              <w:rPr>
                <w:rFonts w:ascii="Arial" w:eastAsia="DengXian" w:hAnsi="Arial" w:cs="Arial"/>
                <w:sz w:val="16"/>
                <w:szCs w:val="16"/>
              </w:rPr>
              <w:t>Indicates the TCI-state information for UL transmission of candidate cell.</w:t>
            </w:r>
          </w:p>
        </w:tc>
        <w:tc>
          <w:tcPr>
            <w:tcW w:w="1711" w:type="pct"/>
            <w:shd w:val="clear" w:color="auto" w:fill="auto"/>
          </w:tcPr>
          <w:p w14:paraId="1F3C9A60" w14:textId="77777777" w:rsidR="007D4A8D" w:rsidRPr="007D4A8D" w:rsidRDefault="007D4A8D" w:rsidP="007D4A8D">
            <w:pPr>
              <w:tabs>
                <w:tab w:val="left" w:pos="757"/>
              </w:tabs>
              <w:rPr>
                <w:rFonts w:ascii="Arial" w:eastAsia="DengXian" w:hAnsi="Arial" w:cs="Arial"/>
                <w:sz w:val="16"/>
                <w:szCs w:val="16"/>
              </w:rPr>
            </w:pPr>
            <w:r w:rsidRPr="007D4A8D">
              <w:rPr>
                <w:rFonts w:ascii="Arial" w:eastAsia="DengXian" w:hAnsi="Arial" w:cs="Arial"/>
                <w:sz w:val="16"/>
                <w:szCs w:val="16"/>
              </w:rPr>
              <w:t xml:space="preserve">SEQUENCE { </w:t>
            </w:r>
          </w:p>
          <w:p w14:paraId="72FB24BF" w14:textId="77777777" w:rsidR="007D4A8D" w:rsidRPr="007D4A8D" w:rsidRDefault="007D4A8D" w:rsidP="007D4A8D">
            <w:pPr>
              <w:tabs>
                <w:tab w:val="left" w:pos="757"/>
              </w:tabs>
              <w:rPr>
                <w:rFonts w:ascii="Arial" w:eastAsia="DengXian" w:hAnsi="Arial" w:cs="Arial"/>
                <w:sz w:val="16"/>
                <w:szCs w:val="16"/>
              </w:rPr>
            </w:pPr>
            <w:r w:rsidRPr="007D4A8D">
              <w:rPr>
                <w:rFonts w:ascii="Arial" w:eastAsia="DengXian" w:hAnsi="Arial" w:cs="Arial"/>
                <w:sz w:val="16"/>
                <w:szCs w:val="16"/>
              </w:rPr>
              <w:t xml:space="preserve"> LTM-TCI-UL-StateId, </w:t>
            </w:r>
          </w:p>
          <w:p w14:paraId="27BDA55B" w14:textId="77777777" w:rsidR="007D4A8D" w:rsidRPr="007D4A8D" w:rsidRDefault="007D4A8D" w:rsidP="007D4A8D">
            <w:pPr>
              <w:tabs>
                <w:tab w:val="left" w:pos="757"/>
              </w:tabs>
              <w:rPr>
                <w:rFonts w:ascii="Arial" w:eastAsia="DengXian" w:hAnsi="Arial" w:cs="Arial"/>
                <w:sz w:val="16"/>
                <w:szCs w:val="16"/>
              </w:rPr>
            </w:pPr>
          </w:p>
          <w:p w14:paraId="317D522D" w14:textId="77777777" w:rsidR="007D4A8D" w:rsidRPr="007D4A8D" w:rsidRDefault="007D4A8D" w:rsidP="007D4A8D">
            <w:pPr>
              <w:tabs>
                <w:tab w:val="left" w:pos="757"/>
              </w:tabs>
              <w:rPr>
                <w:rFonts w:ascii="Arial" w:eastAsia="DengXian" w:hAnsi="Arial" w:cs="Arial"/>
                <w:sz w:val="16"/>
                <w:szCs w:val="16"/>
              </w:rPr>
            </w:pPr>
            <w:r w:rsidRPr="007D4A8D">
              <w:rPr>
                <w:rFonts w:ascii="Arial" w:eastAsia="DengXian" w:hAnsi="Arial" w:cs="Arial"/>
                <w:sz w:val="16"/>
                <w:szCs w:val="16"/>
              </w:rPr>
              <w:t xml:space="preserve"> ReferenceSignal,</w:t>
            </w:r>
          </w:p>
          <w:p w14:paraId="2FC65214" w14:textId="77777777" w:rsidR="007D4A8D" w:rsidRPr="007D4A8D" w:rsidRDefault="007D4A8D" w:rsidP="007D4A8D">
            <w:pPr>
              <w:tabs>
                <w:tab w:val="left" w:pos="757"/>
              </w:tabs>
              <w:rPr>
                <w:rFonts w:ascii="Arial" w:eastAsia="DengXian" w:hAnsi="Arial" w:cs="Arial"/>
                <w:sz w:val="16"/>
                <w:szCs w:val="16"/>
              </w:rPr>
            </w:pPr>
            <w:r w:rsidRPr="007D4A8D">
              <w:rPr>
                <w:rFonts w:ascii="Arial" w:eastAsia="DengXian" w:hAnsi="Arial" w:cs="Arial"/>
                <w:sz w:val="16"/>
                <w:szCs w:val="16"/>
              </w:rPr>
              <w:t>}</w:t>
            </w:r>
          </w:p>
        </w:tc>
      </w:tr>
      <w:tr w:rsidR="007D4A8D" w:rsidRPr="007D4A8D" w14:paraId="59520614" w14:textId="77777777" w:rsidTr="007D4A8D">
        <w:trPr>
          <w:trHeight w:val="451"/>
        </w:trPr>
        <w:tc>
          <w:tcPr>
            <w:tcW w:w="228" w:type="pct"/>
            <w:shd w:val="clear" w:color="auto" w:fill="auto"/>
          </w:tcPr>
          <w:p w14:paraId="63C22611" w14:textId="77777777" w:rsidR="007D4A8D" w:rsidRPr="007D4A8D" w:rsidRDefault="007D4A8D" w:rsidP="007D4A8D">
            <w:pPr>
              <w:rPr>
                <w:rFonts w:ascii="Arial" w:eastAsia="DengXian" w:hAnsi="Arial" w:cs="Arial"/>
                <w:sz w:val="16"/>
                <w:szCs w:val="16"/>
              </w:rPr>
            </w:pPr>
            <w:r w:rsidRPr="007D4A8D">
              <w:rPr>
                <w:rFonts w:ascii="Arial" w:eastAsia="DengXian" w:hAnsi="Arial" w:cs="Arial"/>
                <w:sz w:val="16"/>
                <w:szCs w:val="16"/>
              </w:rPr>
              <w:t>2</w:t>
            </w:r>
          </w:p>
        </w:tc>
        <w:tc>
          <w:tcPr>
            <w:tcW w:w="691" w:type="pct"/>
            <w:shd w:val="clear" w:color="auto" w:fill="auto"/>
          </w:tcPr>
          <w:p w14:paraId="2A3B4AF2" w14:textId="77777777" w:rsidR="007D4A8D" w:rsidRPr="007D4A8D" w:rsidRDefault="007D4A8D" w:rsidP="007D4A8D">
            <w:pPr>
              <w:rPr>
                <w:rFonts w:ascii="Arial" w:eastAsia="DengXian" w:hAnsi="Arial" w:cs="Arial"/>
                <w:sz w:val="16"/>
                <w:szCs w:val="16"/>
              </w:rPr>
            </w:pPr>
            <w:r w:rsidRPr="007D4A8D">
              <w:rPr>
                <w:rFonts w:ascii="Arial" w:eastAsia="DengXian" w:hAnsi="Arial" w:cs="Arial"/>
                <w:sz w:val="16"/>
                <w:szCs w:val="16"/>
              </w:rPr>
              <w:t>LTM-Candidate-TCI-UL-State-r18</w:t>
            </w:r>
          </w:p>
        </w:tc>
        <w:tc>
          <w:tcPr>
            <w:tcW w:w="863" w:type="pct"/>
            <w:shd w:val="clear" w:color="auto" w:fill="auto"/>
          </w:tcPr>
          <w:p w14:paraId="3FB6E78D" w14:textId="77777777" w:rsidR="007D4A8D" w:rsidRPr="007D4A8D" w:rsidRDefault="007D4A8D" w:rsidP="007D4A8D">
            <w:pPr>
              <w:rPr>
                <w:rFonts w:ascii="Arial" w:eastAsia="DengXian" w:hAnsi="Arial" w:cs="Arial"/>
                <w:sz w:val="16"/>
                <w:szCs w:val="16"/>
              </w:rPr>
            </w:pPr>
            <w:r w:rsidRPr="007D4A8D">
              <w:rPr>
                <w:rFonts w:ascii="Arial" w:eastAsia="DengXian" w:hAnsi="Arial" w:cs="Arial"/>
                <w:sz w:val="16"/>
                <w:szCs w:val="16"/>
              </w:rPr>
              <w:t>LTM-TCI-UL-StateId</w:t>
            </w:r>
          </w:p>
        </w:tc>
        <w:tc>
          <w:tcPr>
            <w:tcW w:w="536" w:type="pct"/>
            <w:shd w:val="clear" w:color="auto" w:fill="auto"/>
          </w:tcPr>
          <w:p w14:paraId="66DDEA8E" w14:textId="77777777" w:rsidR="007D4A8D" w:rsidRPr="007D4A8D" w:rsidRDefault="007D4A8D" w:rsidP="007D4A8D">
            <w:pPr>
              <w:rPr>
                <w:rFonts w:ascii="Arial" w:eastAsia="DengXian" w:hAnsi="Arial" w:cs="Arial"/>
                <w:sz w:val="16"/>
                <w:szCs w:val="16"/>
              </w:rPr>
            </w:pPr>
            <w:r w:rsidRPr="007D4A8D">
              <w:rPr>
                <w:rFonts w:ascii="Arial" w:eastAsia="DengXian" w:hAnsi="Arial" w:cs="Arial"/>
                <w:sz w:val="16"/>
                <w:szCs w:val="16"/>
              </w:rPr>
              <w:t>new</w:t>
            </w:r>
          </w:p>
        </w:tc>
        <w:tc>
          <w:tcPr>
            <w:tcW w:w="970" w:type="pct"/>
            <w:shd w:val="clear" w:color="auto" w:fill="auto"/>
          </w:tcPr>
          <w:p w14:paraId="6A7C3DB9" w14:textId="77777777" w:rsidR="007D4A8D" w:rsidRPr="007D4A8D" w:rsidRDefault="007D4A8D" w:rsidP="007D4A8D">
            <w:pPr>
              <w:rPr>
                <w:rFonts w:ascii="Arial" w:eastAsia="DengXian" w:hAnsi="Arial" w:cs="Arial"/>
                <w:sz w:val="16"/>
                <w:szCs w:val="16"/>
              </w:rPr>
            </w:pPr>
            <w:r w:rsidRPr="007D4A8D">
              <w:rPr>
                <w:rFonts w:ascii="Arial" w:eastAsia="DengXian" w:hAnsi="Arial" w:cs="Arial"/>
                <w:sz w:val="16"/>
                <w:szCs w:val="16"/>
              </w:rPr>
              <w:t>Identify one CandidateTCI-UL-State configuration</w:t>
            </w:r>
          </w:p>
        </w:tc>
        <w:tc>
          <w:tcPr>
            <w:tcW w:w="1711" w:type="pct"/>
            <w:shd w:val="clear" w:color="auto" w:fill="auto"/>
          </w:tcPr>
          <w:p w14:paraId="3B58D0E0" w14:textId="77777777" w:rsidR="007D4A8D" w:rsidRPr="007D4A8D" w:rsidRDefault="007D4A8D" w:rsidP="007D4A8D">
            <w:pPr>
              <w:tabs>
                <w:tab w:val="left" w:pos="757"/>
              </w:tabs>
              <w:rPr>
                <w:rFonts w:ascii="Arial" w:eastAsia="DengXian" w:hAnsi="Arial" w:cs="Arial"/>
                <w:sz w:val="16"/>
                <w:szCs w:val="16"/>
              </w:rPr>
            </w:pPr>
            <w:r w:rsidRPr="007D4A8D">
              <w:rPr>
                <w:rFonts w:ascii="Arial" w:eastAsia="DengXian" w:hAnsi="Arial" w:cs="Arial"/>
                <w:sz w:val="16"/>
                <w:szCs w:val="16"/>
              </w:rPr>
              <w:t>INTEGER (0..</w:t>
            </w:r>
            <w:r w:rsidRPr="007D4A8D">
              <w:rPr>
                <w:rFonts w:ascii="Arial" w:hAnsi="Arial" w:cs="Arial"/>
                <w:sz w:val="16"/>
                <w:szCs w:val="16"/>
              </w:rPr>
              <w:t xml:space="preserve"> </w:t>
            </w:r>
            <w:r w:rsidRPr="007D4A8D">
              <w:rPr>
                <w:rFonts w:ascii="Arial" w:eastAsia="DengXian" w:hAnsi="Arial" w:cs="Arial"/>
                <w:sz w:val="16"/>
                <w:szCs w:val="16"/>
              </w:rPr>
              <w:t>-maxNrofCandidateTCI-UL-States)</w:t>
            </w:r>
          </w:p>
        </w:tc>
      </w:tr>
    </w:tbl>
    <w:p w14:paraId="482F0BEB" w14:textId="77777777" w:rsidR="007D4A8D" w:rsidRDefault="007D4A8D" w:rsidP="00F74A6F">
      <w:pPr>
        <w:rPr>
          <w:rFonts w:ascii="Times New Roman" w:hAnsi="Times New Roman"/>
          <w:szCs w:val="20"/>
          <w:lang w:eastAsia="x-none"/>
        </w:rPr>
      </w:pPr>
    </w:p>
    <w:p w14:paraId="444A4251" w14:textId="77777777" w:rsidR="00F53716" w:rsidRDefault="00F53716" w:rsidP="00F74A6F">
      <w:pPr>
        <w:rPr>
          <w:rFonts w:ascii="Times New Roman" w:hAnsi="Times New Roman"/>
          <w:szCs w:val="20"/>
          <w:lang w:eastAsia="x-none"/>
        </w:rPr>
      </w:pPr>
    </w:p>
    <w:p w14:paraId="5A83DD8F" w14:textId="0E99F4C6" w:rsidR="00F53716" w:rsidRPr="00F53716" w:rsidRDefault="005A18DC" w:rsidP="00F74A6F">
      <w:pPr>
        <w:rPr>
          <w:rFonts w:ascii="Times New Roman" w:hAnsi="Times New Roman"/>
          <w:b/>
          <w:bCs/>
          <w:szCs w:val="20"/>
          <w:lang w:eastAsia="x-none"/>
        </w:rPr>
      </w:pPr>
      <w:hyperlink r:id="rId1427" w:history="1">
        <w:r w:rsidR="00AF7253">
          <w:rPr>
            <w:rStyle w:val="Hyperlink"/>
            <w:rFonts w:ascii="Times New Roman" w:hAnsi="Times New Roman"/>
            <w:b/>
            <w:bCs/>
            <w:szCs w:val="20"/>
            <w:lang w:eastAsia="x-none"/>
          </w:rPr>
          <w:t>R1-2312542</w:t>
        </w:r>
      </w:hyperlink>
      <w:r w:rsidR="00F53716" w:rsidRPr="00F53716">
        <w:rPr>
          <w:rFonts w:ascii="Times New Roman" w:hAnsi="Times New Roman"/>
          <w:b/>
          <w:bCs/>
          <w:szCs w:val="20"/>
          <w:lang w:eastAsia="x-none"/>
        </w:rPr>
        <w:tab/>
        <w:t>Summary#2 of RRC parameters for NR mobility enhancement WI</w:t>
      </w:r>
      <w:r w:rsidR="00F53716" w:rsidRPr="00F53716">
        <w:rPr>
          <w:rFonts w:ascii="Times New Roman" w:hAnsi="Times New Roman"/>
          <w:b/>
          <w:bCs/>
          <w:szCs w:val="20"/>
          <w:lang w:eastAsia="x-none"/>
        </w:rPr>
        <w:tab/>
        <w:t>Rapporteur (Apple)</w:t>
      </w:r>
    </w:p>
    <w:p w14:paraId="1F293FD8" w14:textId="22738E4A" w:rsidR="00F53716" w:rsidRDefault="00F53716" w:rsidP="00F74A6F">
      <w:pPr>
        <w:rPr>
          <w:rFonts w:ascii="Times New Roman" w:hAnsi="Times New Roman"/>
          <w:szCs w:val="20"/>
          <w:lang w:eastAsia="x-none"/>
        </w:rPr>
      </w:pPr>
      <w:r>
        <w:rPr>
          <w:rFonts w:ascii="Times New Roman" w:hAnsi="Times New Roman"/>
          <w:szCs w:val="20"/>
          <w:lang w:eastAsia="x-none"/>
        </w:rPr>
        <w:t>From Wednesday session</w:t>
      </w:r>
    </w:p>
    <w:p w14:paraId="704DC0E2" w14:textId="77777777" w:rsidR="00F53716" w:rsidRPr="00F53716" w:rsidRDefault="00F53716" w:rsidP="00F53716">
      <w:pPr>
        <w:rPr>
          <w:lang w:val="en-US"/>
        </w:rPr>
      </w:pPr>
      <w:r w:rsidRPr="00F53716">
        <w:rPr>
          <w:highlight w:val="green"/>
          <w:lang w:val="en-US"/>
        </w:rPr>
        <w:t>Agreement</w:t>
      </w:r>
    </w:p>
    <w:p w14:paraId="71ED984F" w14:textId="77777777" w:rsidR="00F53716" w:rsidRPr="00F53716" w:rsidRDefault="00F53716" w:rsidP="00AA1D48">
      <w:pPr>
        <w:pStyle w:val="ListParagraph"/>
        <w:numPr>
          <w:ilvl w:val="0"/>
          <w:numId w:val="131"/>
        </w:numPr>
      </w:pPr>
      <w:r w:rsidRPr="00F53716">
        <w:t>Agree the following RRC parameter for ‘Pathloss Reference’ configuration</w:t>
      </w:r>
    </w:p>
    <w:tbl>
      <w:tblPr>
        <w:tblW w:w="107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7"/>
        <w:gridCol w:w="1328"/>
        <w:gridCol w:w="1710"/>
        <w:gridCol w:w="1170"/>
        <w:gridCol w:w="2237"/>
        <w:gridCol w:w="3828"/>
      </w:tblGrid>
      <w:tr w:rsidR="00F53716" w:rsidRPr="00F53716" w14:paraId="3647C0BB" w14:textId="77777777" w:rsidTr="009157FE">
        <w:trPr>
          <w:trHeight w:val="451"/>
        </w:trPr>
        <w:tc>
          <w:tcPr>
            <w:tcW w:w="467" w:type="dxa"/>
            <w:shd w:val="clear" w:color="auto" w:fill="D9D9D9"/>
          </w:tcPr>
          <w:p w14:paraId="637936CF" w14:textId="77777777" w:rsidR="00F53716" w:rsidRPr="00F53716" w:rsidRDefault="00F53716" w:rsidP="00F53716">
            <w:pPr>
              <w:rPr>
                <w:rFonts w:ascii="Arial" w:eastAsia="DengXian" w:hAnsi="Arial" w:cs="Arial"/>
                <w:sz w:val="16"/>
                <w:szCs w:val="16"/>
              </w:rPr>
            </w:pPr>
            <w:r w:rsidRPr="00F53716">
              <w:rPr>
                <w:rFonts w:ascii="Arial" w:eastAsia="DengXian" w:hAnsi="Arial" w:cs="Arial"/>
                <w:sz w:val="16"/>
                <w:szCs w:val="16"/>
              </w:rPr>
              <w:t>#</w:t>
            </w:r>
          </w:p>
        </w:tc>
        <w:tc>
          <w:tcPr>
            <w:tcW w:w="1328" w:type="dxa"/>
            <w:shd w:val="clear" w:color="auto" w:fill="D9D9D9"/>
          </w:tcPr>
          <w:p w14:paraId="3C387CAA" w14:textId="77777777" w:rsidR="00F53716" w:rsidRPr="00F53716" w:rsidRDefault="00F53716" w:rsidP="00F53716">
            <w:pPr>
              <w:rPr>
                <w:rFonts w:ascii="Arial" w:eastAsia="DengXian" w:hAnsi="Arial" w:cs="Arial"/>
                <w:sz w:val="16"/>
                <w:szCs w:val="16"/>
              </w:rPr>
            </w:pPr>
            <w:r w:rsidRPr="00F53716">
              <w:rPr>
                <w:rFonts w:ascii="Arial" w:eastAsia="DengXian" w:hAnsi="Arial" w:cs="Arial"/>
                <w:sz w:val="16"/>
                <w:szCs w:val="16"/>
              </w:rPr>
              <w:t>RAN2 parent IE</w:t>
            </w:r>
          </w:p>
        </w:tc>
        <w:tc>
          <w:tcPr>
            <w:tcW w:w="1710" w:type="dxa"/>
            <w:shd w:val="clear" w:color="auto" w:fill="D9D9D9"/>
          </w:tcPr>
          <w:p w14:paraId="5E135AF3" w14:textId="77777777" w:rsidR="00F53716" w:rsidRPr="00F53716" w:rsidRDefault="00F53716" w:rsidP="00F53716">
            <w:pPr>
              <w:rPr>
                <w:rFonts w:ascii="Arial" w:eastAsia="DengXian" w:hAnsi="Arial" w:cs="Arial"/>
                <w:sz w:val="16"/>
                <w:szCs w:val="16"/>
              </w:rPr>
            </w:pPr>
            <w:r w:rsidRPr="00F53716">
              <w:rPr>
                <w:rFonts w:ascii="Arial" w:eastAsia="DengXian" w:hAnsi="Arial" w:cs="Arial"/>
                <w:sz w:val="16"/>
                <w:szCs w:val="16"/>
              </w:rPr>
              <w:t>Parameter name in the spec</w:t>
            </w:r>
          </w:p>
        </w:tc>
        <w:tc>
          <w:tcPr>
            <w:tcW w:w="1170" w:type="dxa"/>
            <w:shd w:val="clear" w:color="auto" w:fill="D9D9D9"/>
          </w:tcPr>
          <w:p w14:paraId="27950A46" w14:textId="77777777" w:rsidR="00F53716" w:rsidRPr="00F53716" w:rsidRDefault="00F53716" w:rsidP="00F53716">
            <w:pPr>
              <w:rPr>
                <w:rFonts w:ascii="Arial" w:eastAsia="DengXian" w:hAnsi="Arial" w:cs="Arial"/>
                <w:sz w:val="16"/>
                <w:szCs w:val="16"/>
              </w:rPr>
            </w:pPr>
            <w:r w:rsidRPr="00F53716">
              <w:rPr>
                <w:rFonts w:ascii="Arial" w:eastAsia="DengXian" w:hAnsi="Arial" w:cs="Arial"/>
                <w:sz w:val="16"/>
                <w:szCs w:val="16"/>
              </w:rPr>
              <w:t>New or existing?</w:t>
            </w:r>
          </w:p>
        </w:tc>
        <w:tc>
          <w:tcPr>
            <w:tcW w:w="2237" w:type="dxa"/>
            <w:shd w:val="clear" w:color="auto" w:fill="D9D9D9"/>
          </w:tcPr>
          <w:p w14:paraId="1BB7EBC9" w14:textId="77777777" w:rsidR="00F53716" w:rsidRPr="00F53716" w:rsidRDefault="00F53716" w:rsidP="00F53716">
            <w:pPr>
              <w:rPr>
                <w:rFonts w:ascii="Arial" w:eastAsia="DengXian" w:hAnsi="Arial" w:cs="Arial"/>
                <w:sz w:val="16"/>
                <w:szCs w:val="16"/>
              </w:rPr>
            </w:pPr>
            <w:r w:rsidRPr="00F53716">
              <w:rPr>
                <w:rFonts w:ascii="Arial" w:eastAsia="DengXian" w:hAnsi="Arial" w:cs="Arial"/>
                <w:sz w:val="16"/>
                <w:szCs w:val="16"/>
              </w:rPr>
              <w:t>Description</w:t>
            </w:r>
          </w:p>
        </w:tc>
        <w:tc>
          <w:tcPr>
            <w:tcW w:w="3828" w:type="dxa"/>
            <w:shd w:val="clear" w:color="auto" w:fill="D9D9D9"/>
          </w:tcPr>
          <w:p w14:paraId="79DD3504" w14:textId="77777777" w:rsidR="00F53716" w:rsidRPr="00F53716" w:rsidRDefault="00F53716" w:rsidP="00F53716">
            <w:pPr>
              <w:rPr>
                <w:rFonts w:ascii="Arial" w:eastAsia="DengXian" w:hAnsi="Arial" w:cs="Arial"/>
                <w:sz w:val="16"/>
                <w:szCs w:val="16"/>
              </w:rPr>
            </w:pPr>
            <w:r w:rsidRPr="00F53716">
              <w:rPr>
                <w:rFonts w:ascii="Arial" w:eastAsia="DengXian" w:hAnsi="Arial" w:cs="Arial"/>
                <w:sz w:val="16"/>
                <w:szCs w:val="16"/>
              </w:rPr>
              <w:t>Value Range</w:t>
            </w:r>
          </w:p>
        </w:tc>
      </w:tr>
      <w:tr w:rsidR="00F53716" w:rsidRPr="00F53716" w14:paraId="5C0145DB" w14:textId="77777777" w:rsidTr="009157FE">
        <w:trPr>
          <w:trHeight w:val="451"/>
        </w:trPr>
        <w:tc>
          <w:tcPr>
            <w:tcW w:w="467" w:type="dxa"/>
            <w:shd w:val="clear" w:color="auto" w:fill="auto"/>
          </w:tcPr>
          <w:p w14:paraId="79B99D86" w14:textId="77777777" w:rsidR="00F53716" w:rsidRPr="00F53716" w:rsidRDefault="00F53716" w:rsidP="00F53716">
            <w:pPr>
              <w:rPr>
                <w:rFonts w:ascii="Arial" w:eastAsia="DengXian" w:hAnsi="Arial" w:cs="Arial"/>
                <w:sz w:val="16"/>
                <w:szCs w:val="16"/>
              </w:rPr>
            </w:pPr>
            <w:r w:rsidRPr="00F53716">
              <w:rPr>
                <w:rFonts w:ascii="Arial" w:eastAsia="DengXian" w:hAnsi="Arial" w:cs="Arial"/>
                <w:sz w:val="16"/>
                <w:szCs w:val="16"/>
              </w:rPr>
              <w:t>1</w:t>
            </w:r>
          </w:p>
        </w:tc>
        <w:tc>
          <w:tcPr>
            <w:tcW w:w="1328" w:type="dxa"/>
            <w:shd w:val="clear" w:color="auto" w:fill="auto"/>
          </w:tcPr>
          <w:p w14:paraId="60DD047B" w14:textId="77777777" w:rsidR="00F53716" w:rsidRPr="00F53716" w:rsidRDefault="00F53716" w:rsidP="00F53716">
            <w:pPr>
              <w:rPr>
                <w:rFonts w:ascii="Arial" w:eastAsia="DengXian" w:hAnsi="Arial" w:cs="Arial"/>
                <w:sz w:val="16"/>
                <w:szCs w:val="16"/>
              </w:rPr>
            </w:pPr>
            <w:r w:rsidRPr="00F53716">
              <w:rPr>
                <w:rFonts w:ascii="Arial" w:eastAsia="DengXian" w:hAnsi="Arial" w:cs="Arial"/>
                <w:sz w:val="16"/>
                <w:szCs w:val="16"/>
              </w:rPr>
              <w:t>LTM-Config-r18</w:t>
            </w:r>
          </w:p>
        </w:tc>
        <w:tc>
          <w:tcPr>
            <w:tcW w:w="1710" w:type="dxa"/>
            <w:shd w:val="clear" w:color="auto" w:fill="auto"/>
          </w:tcPr>
          <w:p w14:paraId="1A01C49E" w14:textId="77777777" w:rsidR="00F53716" w:rsidRPr="00F53716" w:rsidRDefault="00F53716" w:rsidP="00F53716">
            <w:pPr>
              <w:rPr>
                <w:rFonts w:ascii="Arial" w:eastAsia="DengXian" w:hAnsi="Arial" w:cs="Arial"/>
                <w:sz w:val="16"/>
                <w:szCs w:val="16"/>
              </w:rPr>
            </w:pPr>
            <w:r w:rsidRPr="00F53716">
              <w:rPr>
                <w:rFonts w:ascii="Arial" w:eastAsia="DengXian" w:hAnsi="Arial" w:cs="Arial"/>
                <w:sz w:val="16"/>
                <w:szCs w:val="16"/>
              </w:rPr>
              <w:t>LTM-Candidate-r18</w:t>
            </w:r>
          </w:p>
        </w:tc>
        <w:tc>
          <w:tcPr>
            <w:tcW w:w="1170" w:type="dxa"/>
            <w:shd w:val="clear" w:color="auto" w:fill="auto"/>
          </w:tcPr>
          <w:p w14:paraId="50E0A462" w14:textId="77777777" w:rsidR="00F53716" w:rsidRPr="00F53716" w:rsidRDefault="00F53716" w:rsidP="00F53716">
            <w:pPr>
              <w:rPr>
                <w:rFonts w:ascii="Arial" w:eastAsia="DengXian" w:hAnsi="Arial" w:cs="Arial"/>
                <w:sz w:val="16"/>
                <w:szCs w:val="16"/>
              </w:rPr>
            </w:pPr>
            <w:r w:rsidRPr="00F53716">
              <w:rPr>
                <w:rFonts w:ascii="Arial" w:eastAsia="DengXian" w:hAnsi="Arial" w:cs="Arial"/>
                <w:sz w:val="16"/>
                <w:szCs w:val="16"/>
              </w:rPr>
              <w:t>new</w:t>
            </w:r>
          </w:p>
        </w:tc>
        <w:tc>
          <w:tcPr>
            <w:tcW w:w="2237" w:type="dxa"/>
            <w:shd w:val="clear" w:color="auto" w:fill="auto"/>
          </w:tcPr>
          <w:p w14:paraId="550F2C47" w14:textId="77777777" w:rsidR="00F53716" w:rsidRPr="00F53716" w:rsidRDefault="00F53716" w:rsidP="00F53716">
            <w:pPr>
              <w:rPr>
                <w:rFonts w:ascii="Arial" w:eastAsia="DengXian" w:hAnsi="Arial" w:cs="Arial"/>
                <w:sz w:val="16"/>
                <w:szCs w:val="16"/>
              </w:rPr>
            </w:pPr>
          </w:p>
        </w:tc>
        <w:tc>
          <w:tcPr>
            <w:tcW w:w="3828" w:type="dxa"/>
            <w:shd w:val="clear" w:color="auto" w:fill="auto"/>
          </w:tcPr>
          <w:p w14:paraId="4222701E" w14:textId="77777777" w:rsidR="00F53716" w:rsidRPr="00F53716" w:rsidRDefault="00F53716" w:rsidP="00F53716">
            <w:pPr>
              <w:tabs>
                <w:tab w:val="left" w:pos="757"/>
              </w:tabs>
              <w:rPr>
                <w:rFonts w:ascii="Arial" w:eastAsia="DengXian" w:hAnsi="Arial" w:cs="Arial"/>
                <w:sz w:val="16"/>
                <w:szCs w:val="16"/>
              </w:rPr>
            </w:pPr>
            <w:r w:rsidRPr="00F53716">
              <w:rPr>
                <w:rFonts w:ascii="Arial" w:eastAsia="DengXian" w:hAnsi="Arial" w:cs="Arial"/>
                <w:sz w:val="16"/>
                <w:szCs w:val="16"/>
              </w:rPr>
              <w:t>SEQUENCE {</w:t>
            </w:r>
          </w:p>
          <w:p w14:paraId="3E33FDF3" w14:textId="77777777" w:rsidR="00F53716" w:rsidRPr="00F53716" w:rsidRDefault="00F53716" w:rsidP="00F53716">
            <w:pPr>
              <w:tabs>
                <w:tab w:val="left" w:pos="757"/>
              </w:tabs>
              <w:rPr>
                <w:rFonts w:ascii="Arial" w:eastAsia="DengXian" w:hAnsi="Arial" w:cs="Arial"/>
                <w:sz w:val="16"/>
                <w:szCs w:val="16"/>
              </w:rPr>
            </w:pPr>
            <w:r w:rsidRPr="00F53716">
              <w:rPr>
                <w:rFonts w:ascii="Arial" w:eastAsia="DengXian" w:hAnsi="Arial" w:cs="Arial"/>
                <w:sz w:val="16"/>
                <w:szCs w:val="16"/>
              </w:rPr>
              <w:t xml:space="preserve">LTM-CandidateId-r18,             </w:t>
            </w:r>
          </w:p>
          <w:p w14:paraId="6BA21EF4" w14:textId="77777777" w:rsidR="00F53716" w:rsidRPr="00F53716" w:rsidRDefault="00F53716" w:rsidP="00F53716">
            <w:pPr>
              <w:tabs>
                <w:tab w:val="left" w:pos="757"/>
              </w:tabs>
              <w:rPr>
                <w:rFonts w:ascii="Arial" w:eastAsia="DengXian" w:hAnsi="Arial" w:cs="Arial"/>
                <w:sz w:val="16"/>
                <w:szCs w:val="16"/>
              </w:rPr>
            </w:pPr>
            <w:r w:rsidRPr="00F53716">
              <w:rPr>
                <w:rFonts w:ascii="Arial" w:eastAsia="DengXian" w:hAnsi="Arial" w:cs="Arial"/>
                <w:sz w:val="16"/>
                <w:szCs w:val="16"/>
              </w:rPr>
              <w:t>LTM-SSB-Config-r18,</w:t>
            </w:r>
          </w:p>
          <w:p w14:paraId="458A6203" w14:textId="77777777" w:rsidR="00F53716" w:rsidRPr="00F53716" w:rsidRDefault="00F53716" w:rsidP="00F53716">
            <w:pPr>
              <w:tabs>
                <w:tab w:val="left" w:pos="757"/>
              </w:tabs>
              <w:rPr>
                <w:rFonts w:ascii="Arial" w:eastAsia="DengXian" w:hAnsi="Arial" w:cs="Arial"/>
                <w:sz w:val="16"/>
                <w:szCs w:val="16"/>
              </w:rPr>
            </w:pPr>
          </w:p>
          <w:p w14:paraId="68DEF22A" w14:textId="77777777" w:rsidR="00F53716" w:rsidRPr="00F53716" w:rsidRDefault="00F53716" w:rsidP="00F53716">
            <w:pPr>
              <w:tabs>
                <w:tab w:val="left" w:pos="757"/>
              </w:tabs>
              <w:rPr>
                <w:rFonts w:ascii="Arial" w:eastAsia="DengXian" w:hAnsi="Arial" w:cs="Arial"/>
                <w:sz w:val="16"/>
                <w:szCs w:val="16"/>
              </w:rPr>
            </w:pPr>
            <w:r w:rsidRPr="00F53716">
              <w:rPr>
                <w:rFonts w:ascii="Arial" w:eastAsia="DengXian" w:hAnsi="Arial" w:cs="Arial"/>
                <w:sz w:val="16"/>
                <w:szCs w:val="16"/>
              </w:rPr>
              <w:t xml:space="preserve">LTM-dl-OrJointTCI-StateToAddModList, </w:t>
            </w:r>
          </w:p>
          <w:p w14:paraId="4BFD36BC" w14:textId="77777777" w:rsidR="00F53716" w:rsidRPr="00F53716" w:rsidRDefault="00F53716" w:rsidP="00F53716">
            <w:pPr>
              <w:tabs>
                <w:tab w:val="left" w:pos="757"/>
              </w:tabs>
              <w:rPr>
                <w:rFonts w:ascii="Arial" w:eastAsia="DengXian" w:hAnsi="Arial" w:cs="Arial"/>
                <w:sz w:val="16"/>
                <w:szCs w:val="16"/>
              </w:rPr>
            </w:pPr>
            <w:r w:rsidRPr="00F53716">
              <w:rPr>
                <w:rFonts w:ascii="Arial" w:eastAsia="DengXian" w:hAnsi="Arial" w:cs="Arial"/>
                <w:sz w:val="16"/>
                <w:szCs w:val="16"/>
              </w:rPr>
              <w:t xml:space="preserve">LTM-dl-OrJointTCI-StateToReleaseList-r18, </w:t>
            </w:r>
          </w:p>
          <w:p w14:paraId="4C299F57" w14:textId="77777777" w:rsidR="00F53716" w:rsidRPr="00F53716" w:rsidRDefault="00F53716" w:rsidP="00F53716">
            <w:pPr>
              <w:tabs>
                <w:tab w:val="left" w:pos="757"/>
              </w:tabs>
              <w:rPr>
                <w:rFonts w:ascii="Arial" w:eastAsia="DengXian" w:hAnsi="Arial" w:cs="Arial"/>
                <w:sz w:val="16"/>
                <w:szCs w:val="16"/>
              </w:rPr>
            </w:pPr>
            <w:r w:rsidRPr="00F53716">
              <w:rPr>
                <w:rFonts w:ascii="Arial" w:eastAsia="DengXian" w:hAnsi="Arial" w:cs="Arial"/>
                <w:sz w:val="16"/>
                <w:szCs w:val="16"/>
              </w:rPr>
              <w:t xml:space="preserve">LTM-ul-TCI-ToAddModList, </w:t>
            </w:r>
          </w:p>
          <w:p w14:paraId="73D2ACA9" w14:textId="77777777" w:rsidR="00F53716" w:rsidRPr="00F53716" w:rsidRDefault="00F53716" w:rsidP="00F53716">
            <w:pPr>
              <w:tabs>
                <w:tab w:val="left" w:pos="757"/>
              </w:tabs>
              <w:rPr>
                <w:rFonts w:ascii="Arial" w:eastAsia="DengXian" w:hAnsi="Arial" w:cs="Arial"/>
                <w:sz w:val="16"/>
                <w:szCs w:val="16"/>
              </w:rPr>
            </w:pPr>
            <w:r w:rsidRPr="00F53716">
              <w:rPr>
                <w:rFonts w:ascii="Arial" w:eastAsia="DengXian" w:hAnsi="Arial" w:cs="Arial"/>
                <w:sz w:val="16"/>
                <w:szCs w:val="16"/>
              </w:rPr>
              <w:t>LTM-ul-TCI-ToReleaseList-r17,</w:t>
            </w:r>
          </w:p>
          <w:p w14:paraId="7436CA59" w14:textId="77777777" w:rsidR="00F53716" w:rsidRPr="00F53716" w:rsidRDefault="00F53716" w:rsidP="00F53716">
            <w:pPr>
              <w:tabs>
                <w:tab w:val="left" w:pos="757"/>
              </w:tabs>
              <w:rPr>
                <w:rFonts w:ascii="Arial" w:eastAsia="DengXian" w:hAnsi="Arial" w:cs="Arial"/>
                <w:sz w:val="16"/>
                <w:szCs w:val="16"/>
              </w:rPr>
            </w:pPr>
          </w:p>
          <w:p w14:paraId="74FDBB61" w14:textId="77777777" w:rsidR="00F53716" w:rsidRPr="00F53716" w:rsidRDefault="00F53716" w:rsidP="00F53716">
            <w:pPr>
              <w:tabs>
                <w:tab w:val="left" w:pos="757"/>
              </w:tabs>
              <w:rPr>
                <w:rFonts w:ascii="Arial" w:eastAsia="DengXian" w:hAnsi="Arial" w:cs="Arial"/>
                <w:color w:val="FF0000"/>
                <w:sz w:val="16"/>
                <w:szCs w:val="16"/>
              </w:rPr>
            </w:pPr>
            <w:r w:rsidRPr="00F53716">
              <w:rPr>
                <w:rFonts w:ascii="Arial" w:eastAsia="DengXian" w:hAnsi="Arial" w:cs="Arial"/>
                <w:color w:val="FF0000"/>
                <w:sz w:val="16"/>
                <w:szCs w:val="16"/>
              </w:rPr>
              <w:t>pathlossReferenceRSToAddModList-r18</w:t>
            </w:r>
          </w:p>
          <w:p w14:paraId="450A6C9A" w14:textId="77777777" w:rsidR="00F53716" w:rsidRPr="00F53716" w:rsidRDefault="00F53716" w:rsidP="00F53716">
            <w:pPr>
              <w:tabs>
                <w:tab w:val="left" w:pos="757"/>
              </w:tabs>
              <w:rPr>
                <w:rFonts w:ascii="Arial" w:eastAsia="DengXian" w:hAnsi="Arial" w:cs="Arial"/>
                <w:color w:val="FF0000"/>
                <w:sz w:val="16"/>
                <w:szCs w:val="16"/>
              </w:rPr>
            </w:pPr>
            <w:r w:rsidRPr="00F53716">
              <w:rPr>
                <w:rFonts w:ascii="Arial" w:eastAsia="DengXian" w:hAnsi="Arial" w:cs="Arial"/>
                <w:color w:val="FF0000"/>
                <w:sz w:val="16"/>
                <w:szCs w:val="16"/>
              </w:rPr>
              <w:t>pathlossReferenceRSToReleaseList-r18</w:t>
            </w:r>
          </w:p>
          <w:p w14:paraId="47D50FBE" w14:textId="77777777" w:rsidR="00F53716" w:rsidRPr="00F53716" w:rsidRDefault="00F53716" w:rsidP="00F53716">
            <w:pPr>
              <w:tabs>
                <w:tab w:val="left" w:pos="757"/>
              </w:tabs>
              <w:rPr>
                <w:rFonts w:ascii="Arial" w:eastAsia="DengXian" w:hAnsi="Arial" w:cs="Arial"/>
                <w:sz w:val="16"/>
                <w:szCs w:val="16"/>
              </w:rPr>
            </w:pPr>
          </w:p>
          <w:p w14:paraId="53C9C7A9" w14:textId="77777777" w:rsidR="00F53716" w:rsidRPr="00F53716" w:rsidRDefault="00F53716" w:rsidP="00F53716">
            <w:pPr>
              <w:tabs>
                <w:tab w:val="left" w:pos="757"/>
              </w:tabs>
              <w:rPr>
                <w:rFonts w:ascii="Arial" w:eastAsia="DengXian" w:hAnsi="Arial" w:cs="Arial"/>
                <w:sz w:val="16"/>
                <w:szCs w:val="16"/>
              </w:rPr>
            </w:pPr>
            <w:r w:rsidRPr="00F53716">
              <w:rPr>
                <w:rFonts w:ascii="Arial" w:eastAsia="DengXian" w:hAnsi="Arial" w:cs="Arial"/>
                <w:sz w:val="16"/>
                <w:szCs w:val="16"/>
              </w:rPr>
              <w:t>LTM-EarlyUlSyncConfig-r18</w:t>
            </w:r>
          </w:p>
          <w:p w14:paraId="7EFD7DDA" w14:textId="77777777" w:rsidR="00F53716" w:rsidRPr="00F53716" w:rsidRDefault="00F53716" w:rsidP="00F53716">
            <w:pPr>
              <w:tabs>
                <w:tab w:val="left" w:pos="757"/>
              </w:tabs>
              <w:rPr>
                <w:rFonts w:ascii="Arial" w:eastAsia="DengXian" w:hAnsi="Arial" w:cs="Arial"/>
                <w:sz w:val="16"/>
                <w:szCs w:val="16"/>
              </w:rPr>
            </w:pPr>
            <w:r w:rsidRPr="00F53716">
              <w:rPr>
                <w:rFonts w:ascii="Arial" w:eastAsia="DengXian" w:hAnsi="Arial" w:cs="Arial"/>
                <w:sz w:val="16"/>
                <w:szCs w:val="16"/>
              </w:rPr>
              <w:t>candidatePci-r18,</w:t>
            </w:r>
          </w:p>
          <w:p w14:paraId="5DD1FDC5" w14:textId="77777777" w:rsidR="00F53716" w:rsidRPr="00F53716" w:rsidRDefault="00F53716" w:rsidP="00F53716">
            <w:pPr>
              <w:tabs>
                <w:tab w:val="left" w:pos="757"/>
              </w:tabs>
              <w:rPr>
                <w:rFonts w:ascii="Arial" w:eastAsia="DengXian" w:hAnsi="Arial" w:cs="Arial"/>
                <w:sz w:val="16"/>
                <w:szCs w:val="16"/>
              </w:rPr>
            </w:pPr>
            <w:r w:rsidRPr="00F53716">
              <w:rPr>
                <w:rFonts w:ascii="Arial" w:eastAsia="DengXian" w:hAnsi="Arial" w:cs="Arial"/>
                <w:sz w:val="16"/>
                <w:szCs w:val="16"/>
              </w:rPr>
              <w:t>}</w:t>
            </w:r>
          </w:p>
        </w:tc>
      </w:tr>
      <w:tr w:rsidR="00F53716" w:rsidRPr="00F53716" w14:paraId="35E6DF08" w14:textId="77777777" w:rsidTr="009157FE">
        <w:trPr>
          <w:trHeight w:val="451"/>
        </w:trPr>
        <w:tc>
          <w:tcPr>
            <w:tcW w:w="467" w:type="dxa"/>
            <w:shd w:val="clear" w:color="auto" w:fill="auto"/>
          </w:tcPr>
          <w:p w14:paraId="37E1D3DA" w14:textId="77777777" w:rsidR="00F53716" w:rsidRPr="00F53716" w:rsidRDefault="00F53716" w:rsidP="00F53716">
            <w:pPr>
              <w:rPr>
                <w:rFonts w:ascii="Arial" w:eastAsia="DengXian" w:hAnsi="Arial" w:cs="Arial"/>
                <w:sz w:val="16"/>
                <w:szCs w:val="16"/>
              </w:rPr>
            </w:pPr>
            <w:r w:rsidRPr="00F53716">
              <w:rPr>
                <w:rFonts w:ascii="Arial" w:eastAsia="DengXian" w:hAnsi="Arial" w:cs="Arial"/>
                <w:sz w:val="16"/>
                <w:szCs w:val="16"/>
              </w:rPr>
              <w:t>2</w:t>
            </w:r>
          </w:p>
        </w:tc>
        <w:tc>
          <w:tcPr>
            <w:tcW w:w="1328" w:type="dxa"/>
            <w:shd w:val="clear" w:color="auto" w:fill="auto"/>
          </w:tcPr>
          <w:p w14:paraId="6D891E3F" w14:textId="77777777" w:rsidR="00F53716" w:rsidRPr="00F53716" w:rsidRDefault="00F53716" w:rsidP="00F53716">
            <w:pPr>
              <w:rPr>
                <w:rFonts w:ascii="Arial" w:eastAsia="DengXian" w:hAnsi="Arial" w:cs="Arial"/>
                <w:sz w:val="16"/>
                <w:szCs w:val="16"/>
              </w:rPr>
            </w:pPr>
            <w:r w:rsidRPr="00F53716">
              <w:rPr>
                <w:rFonts w:ascii="Arial" w:eastAsia="DengXian" w:hAnsi="Arial" w:cs="Arial"/>
                <w:sz w:val="16"/>
                <w:szCs w:val="16"/>
              </w:rPr>
              <w:t>LTM-Candidate-r18</w:t>
            </w:r>
          </w:p>
        </w:tc>
        <w:tc>
          <w:tcPr>
            <w:tcW w:w="1710" w:type="dxa"/>
            <w:shd w:val="clear" w:color="auto" w:fill="auto"/>
          </w:tcPr>
          <w:p w14:paraId="405A3EBD" w14:textId="77777777" w:rsidR="00F53716" w:rsidRPr="00F53716" w:rsidRDefault="00F53716" w:rsidP="00F53716">
            <w:pPr>
              <w:rPr>
                <w:rFonts w:ascii="Arial" w:eastAsia="DengXian" w:hAnsi="Arial" w:cs="Arial"/>
                <w:sz w:val="16"/>
                <w:szCs w:val="16"/>
              </w:rPr>
            </w:pPr>
            <w:r w:rsidRPr="00F53716">
              <w:rPr>
                <w:rFonts w:ascii="Arial" w:eastAsia="DengXian" w:hAnsi="Arial" w:cs="Arial"/>
                <w:sz w:val="16"/>
                <w:szCs w:val="16"/>
              </w:rPr>
              <w:t>pathlossReferenceRSToAddModList-r18</w:t>
            </w:r>
          </w:p>
        </w:tc>
        <w:tc>
          <w:tcPr>
            <w:tcW w:w="1170" w:type="dxa"/>
            <w:shd w:val="clear" w:color="auto" w:fill="auto"/>
          </w:tcPr>
          <w:p w14:paraId="6125A935" w14:textId="77777777" w:rsidR="00F53716" w:rsidRPr="00F53716" w:rsidRDefault="00F53716" w:rsidP="00F53716">
            <w:pPr>
              <w:rPr>
                <w:rFonts w:ascii="Arial" w:eastAsia="DengXian" w:hAnsi="Arial" w:cs="Arial"/>
                <w:sz w:val="16"/>
                <w:szCs w:val="16"/>
              </w:rPr>
            </w:pPr>
            <w:r w:rsidRPr="00F53716">
              <w:rPr>
                <w:rFonts w:ascii="Arial" w:eastAsia="DengXian" w:hAnsi="Arial" w:cs="Arial"/>
                <w:sz w:val="16"/>
                <w:szCs w:val="16"/>
              </w:rPr>
              <w:t>new</w:t>
            </w:r>
          </w:p>
        </w:tc>
        <w:tc>
          <w:tcPr>
            <w:tcW w:w="2237" w:type="dxa"/>
            <w:shd w:val="clear" w:color="auto" w:fill="auto"/>
          </w:tcPr>
          <w:p w14:paraId="7CD93A34" w14:textId="77777777" w:rsidR="00F53716" w:rsidRPr="00F53716" w:rsidRDefault="00F53716" w:rsidP="00F53716">
            <w:pPr>
              <w:rPr>
                <w:rFonts w:ascii="Arial" w:eastAsia="DengXian" w:hAnsi="Arial" w:cs="Arial"/>
                <w:sz w:val="16"/>
                <w:szCs w:val="16"/>
              </w:rPr>
            </w:pPr>
            <w:r w:rsidRPr="00F53716">
              <w:rPr>
                <w:rFonts w:ascii="Arial" w:eastAsia="DengXian" w:hAnsi="Arial" w:cs="Arial"/>
                <w:sz w:val="16"/>
                <w:szCs w:val="16"/>
              </w:rPr>
              <w:t>A list of Reference Signals to be used for path loss estimation for unified TCI state operation.</w:t>
            </w:r>
          </w:p>
        </w:tc>
        <w:tc>
          <w:tcPr>
            <w:tcW w:w="3828" w:type="dxa"/>
            <w:shd w:val="clear" w:color="auto" w:fill="auto"/>
          </w:tcPr>
          <w:p w14:paraId="349AE8EF" w14:textId="77777777" w:rsidR="00F53716" w:rsidRPr="00F53716" w:rsidRDefault="00F53716" w:rsidP="00F53716">
            <w:pPr>
              <w:tabs>
                <w:tab w:val="left" w:pos="757"/>
              </w:tabs>
              <w:rPr>
                <w:rFonts w:ascii="Arial" w:eastAsia="DengXian" w:hAnsi="Arial" w:cs="Arial"/>
                <w:sz w:val="16"/>
                <w:szCs w:val="16"/>
              </w:rPr>
            </w:pPr>
            <w:r w:rsidRPr="00F53716">
              <w:rPr>
                <w:rFonts w:ascii="Arial" w:eastAsia="DengXian" w:hAnsi="Arial" w:cs="Arial"/>
                <w:sz w:val="16"/>
                <w:szCs w:val="16"/>
              </w:rPr>
              <w:t>SEQUENCE (SIZE (1..</w:t>
            </w:r>
            <w:r w:rsidRPr="00F53716">
              <w:rPr>
                <w:rFonts w:ascii="Arial" w:hAnsi="Arial" w:cs="Arial"/>
                <w:sz w:val="16"/>
                <w:szCs w:val="16"/>
              </w:rPr>
              <w:t xml:space="preserve"> </w:t>
            </w:r>
            <w:r w:rsidRPr="00F53716">
              <w:rPr>
                <w:rFonts w:ascii="Arial" w:eastAsia="DengXian" w:hAnsi="Arial" w:cs="Arial"/>
                <w:sz w:val="16"/>
                <w:szCs w:val="16"/>
              </w:rPr>
              <w:t>maxNrofLtmPathlossReferenceRSs-r18)) OF PathlossReferenceRS-r18</w:t>
            </w:r>
          </w:p>
        </w:tc>
      </w:tr>
      <w:tr w:rsidR="00F53716" w:rsidRPr="00F53716" w14:paraId="2FAF111C" w14:textId="77777777" w:rsidTr="009157FE">
        <w:trPr>
          <w:trHeight w:val="451"/>
        </w:trPr>
        <w:tc>
          <w:tcPr>
            <w:tcW w:w="467" w:type="dxa"/>
            <w:shd w:val="clear" w:color="auto" w:fill="auto"/>
          </w:tcPr>
          <w:p w14:paraId="7507174F" w14:textId="77777777" w:rsidR="00F53716" w:rsidRPr="00F53716" w:rsidRDefault="00F53716" w:rsidP="00F53716">
            <w:pPr>
              <w:rPr>
                <w:rFonts w:ascii="Arial" w:eastAsia="DengXian" w:hAnsi="Arial" w:cs="Arial"/>
                <w:sz w:val="16"/>
                <w:szCs w:val="16"/>
              </w:rPr>
            </w:pPr>
            <w:r w:rsidRPr="00F53716">
              <w:rPr>
                <w:rFonts w:ascii="Arial" w:eastAsia="DengXian" w:hAnsi="Arial" w:cs="Arial"/>
                <w:sz w:val="16"/>
                <w:szCs w:val="16"/>
              </w:rPr>
              <w:t>3</w:t>
            </w:r>
          </w:p>
        </w:tc>
        <w:tc>
          <w:tcPr>
            <w:tcW w:w="1328" w:type="dxa"/>
            <w:shd w:val="clear" w:color="auto" w:fill="auto"/>
          </w:tcPr>
          <w:p w14:paraId="2C163700" w14:textId="77777777" w:rsidR="00F53716" w:rsidRPr="00F53716" w:rsidRDefault="00F53716" w:rsidP="00F53716">
            <w:pPr>
              <w:rPr>
                <w:rFonts w:ascii="Arial" w:eastAsia="DengXian" w:hAnsi="Arial" w:cs="Arial"/>
                <w:sz w:val="16"/>
                <w:szCs w:val="16"/>
              </w:rPr>
            </w:pPr>
            <w:r w:rsidRPr="00F53716">
              <w:rPr>
                <w:rFonts w:ascii="Arial" w:eastAsia="DengXian" w:hAnsi="Arial" w:cs="Arial"/>
                <w:sz w:val="16"/>
                <w:szCs w:val="16"/>
              </w:rPr>
              <w:t>pathlossReferenceRSToAddModList-r18</w:t>
            </w:r>
          </w:p>
        </w:tc>
        <w:tc>
          <w:tcPr>
            <w:tcW w:w="1710" w:type="dxa"/>
            <w:shd w:val="clear" w:color="auto" w:fill="auto"/>
          </w:tcPr>
          <w:p w14:paraId="6B48B3DE" w14:textId="77777777" w:rsidR="00F53716" w:rsidRPr="00F53716" w:rsidRDefault="00F53716" w:rsidP="00F53716">
            <w:pPr>
              <w:rPr>
                <w:rFonts w:ascii="Arial" w:eastAsia="DengXian" w:hAnsi="Arial" w:cs="Arial"/>
                <w:sz w:val="16"/>
                <w:szCs w:val="16"/>
              </w:rPr>
            </w:pPr>
            <w:r w:rsidRPr="00F53716">
              <w:rPr>
                <w:rFonts w:ascii="Arial" w:eastAsia="DengXian" w:hAnsi="Arial" w:cs="Arial"/>
                <w:sz w:val="16"/>
                <w:szCs w:val="16"/>
              </w:rPr>
              <w:t>PathlossReferenceRS-r18</w:t>
            </w:r>
          </w:p>
        </w:tc>
        <w:tc>
          <w:tcPr>
            <w:tcW w:w="1170" w:type="dxa"/>
            <w:shd w:val="clear" w:color="auto" w:fill="auto"/>
          </w:tcPr>
          <w:p w14:paraId="5F2946AE" w14:textId="77777777" w:rsidR="00F53716" w:rsidRPr="00F53716" w:rsidRDefault="00F53716" w:rsidP="00F53716">
            <w:pPr>
              <w:rPr>
                <w:rFonts w:ascii="Arial" w:eastAsia="DengXian" w:hAnsi="Arial" w:cs="Arial"/>
                <w:sz w:val="16"/>
                <w:szCs w:val="16"/>
              </w:rPr>
            </w:pPr>
            <w:r w:rsidRPr="00F53716">
              <w:rPr>
                <w:rFonts w:ascii="Arial" w:eastAsia="DengXian" w:hAnsi="Arial" w:cs="Arial"/>
                <w:sz w:val="16"/>
                <w:szCs w:val="16"/>
              </w:rPr>
              <w:t>new</w:t>
            </w:r>
          </w:p>
        </w:tc>
        <w:tc>
          <w:tcPr>
            <w:tcW w:w="2237" w:type="dxa"/>
            <w:shd w:val="clear" w:color="auto" w:fill="auto"/>
          </w:tcPr>
          <w:p w14:paraId="4D8964F1" w14:textId="77777777" w:rsidR="00F53716" w:rsidRPr="00F53716" w:rsidRDefault="00F53716" w:rsidP="00F53716">
            <w:pPr>
              <w:rPr>
                <w:rFonts w:ascii="Arial" w:eastAsia="DengXian" w:hAnsi="Arial" w:cs="Arial"/>
                <w:sz w:val="16"/>
                <w:szCs w:val="16"/>
              </w:rPr>
            </w:pPr>
            <w:r w:rsidRPr="00F53716">
              <w:rPr>
                <w:rFonts w:ascii="Arial" w:eastAsia="DengXian" w:hAnsi="Arial" w:cs="Arial"/>
                <w:sz w:val="16"/>
                <w:szCs w:val="16"/>
              </w:rPr>
              <w:t xml:space="preserve">To configure a Reference Signal to be used for path loss estimation for PUSCH, PUCCH and SRS for </w:t>
            </w:r>
          </w:p>
          <w:p w14:paraId="2AF24253" w14:textId="77777777" w:rsidR="00F53716" w:rsidRPr="00F53716" w:rsidRDefault="00F53716" w:rsidP="00F53716">
            <w:pPr>
              <w:rPr>
                <w:rFonts w:ascii="Arial" w:eastAsia="DengXian" w:hAnsi="Arial" w:cs="Arial"/>
                <w:sz w:val="16"/>
                <w:szCs w:val="16"/>
              </w:rPr>
            </w:pPr>
            <w:r w:rsidRPr="00F53716">
              <w:rPr>
                <w:rFonts w:ascii="Arial" w:eastAsia="DengXian" w:hAnsi="Arial" w:cs="Arial"/>
                <w:sz w:val="16"/>
                <w:szCs w:val="16"/>
              </w:rPr>
              <w:t>unified TCI state operation.</w:t>
            </w:r>
          </w:p>
        </w:tc>
        <w:tc>
          <w:tcPr>
            <w:tcW w:w="3828" w:type="dxa"/>
            <w:shd w:val="clear" w:color="auto" w:fill="auto"/>
          </w:tcPr>
          <w:p w14:paraId="2AE73CA6" w14:textId="77777777" w:rsidR="00F53716" w:rsidRPr="00F53716" w:rsidRDefault="00F53716" w:rsidP="00F53716">
            <w:pPr>
              <w:tabs>
                <w:tab w:val="left" w:pos="757"/>
              </w:tabs>
              <w:rPr>
                <w:rFonts w:ascii="Arial" w:eastAsia="DengXian" w:hAnsi="Arial" w:cs="Arial"/>
                <w:sz w:val="16"/>
                <w:szCs w:val="16"/>
              </w:rPr>
            </w:pPr>
            <w:r w:rsidRPr="00F53716">
              <w:rPr>
                <w:rFonts w:ascii="Arial" w:eastAsia="DengXian" w:hAnsi="Arial" w:cs="Arial"/>
                <w:sz w:val="16"/>
                <w:szCs w:val="16"/>
              </w:rPr>
              <w:t xml:space="preserve">SEQUENCE { </w:t>
            </w:r>
          </w:p>
          <w:p w14:paraId="040E85A0" w14:textId="77777777" w:rsidR="00F53716" w:rsidRPr="00F53716" w:rsidRDefault="00F53716" w:rsidP="00F53716">
            <w:pPr>
              <w:tabs>
                <w:tab w:val="left" w:pos="757"/>
              </w:tabs>
              <w:rPr>
                <w:rFonts w:ascii="Arial" w:eastAsia="DengXian" w:hAnsi="Arial" w:cs="Arial"/>
                <w:sz w:val="16"/>
                <w:szCs w:val="16"/>
              </w:rPr>
            </w:pPr>
            <w:r w:rsidRPr="00F53716">
              <w:rPr>
                <w:rFonts w:ascii="Arial" w:eastAsia="DengXian" w:hAnsi="Arial" w:cs="Arial"/>
                <w:sz w:val="16"/>
                <w:szCs w:val="16"/>
              </w:rPr>
              <w:t xml:space="preserve"> pathlossReferenceRS-Id-r18 </w:t>
            </w:r>
          </w:p>
          <w:p w14:paraId="3C28EC05" w14:textId="77777777" w:rsidR="00F53716" w:rsidRPr="00F53716" w:rsidRDefault="00F53716" w:rsidP="00F53716">
            <w:pPr>
              <w:tabs>
                <w:tab w:val="left" w:pos="757"/>
              </w:tabs>
              <w:rPr>
                <w:rFonts w:ascii="Arial" w:eastAsia="DengXian" w:hAnsi="Arial" w:cs="Arial"/>
                <w:sz w:val="16"/>
                <w:szCs w:val="16"/>
              </w:rPr>
            </w:pPr>
          </w:p>
          <w:p w14:paraId="08F34BB2" w14:textId="77777777" w:rsidR="00F53716" w:rsidRPr="00F53716" w:rsidRDefault="00F53716" w:rsidP="00F53716">
            <w:pPr>
              <w:tabs>
                <w:tab w:val="left" w:pos="757"/>
              </w:tabs>
              <w:rPr>
                <w:rFonts w:ascii="Arial" w:eastAsia="DengXian" w:hAnsi="Arial" w:cs="Arial"/>
                <w:sz w:val="16"/>
                <w:szCs w:val="16"/>
              </w:rPr>
            </w:pPr>
            <w:r w:rsidRPr="00F53716">
              <w:rPr>
                <w:rFonts w:ascii="Arial" w:eastAsia="DengXian" w:hAnsi="Arial" w:cs="Arial"/>
                <w:sz w:val="16"/>
                <w:szCs w:val="16"/>
              </w:rPr>
              <w:t xml:space="preserve"> referenceSignal-r18    CHOICE { </w:t>
            </w:r>
          </w:p>
          <w:p w14:paraId="78AB90E6" w14:textId="77777777" w:rsidR="00F53716" w:rsidRPr="00F53716" w:rsidRDefault="00F53716" w:rsidP="00F53716">
            <w:pPr>
              <w:tabs>
                <w:tab w:val="left" w:pos="757"/>
              </w:tabs>
              <w:rPr>
                <w:rFonts w:ascii="Arial" w:eastAsia="DengXian" w:hAnsi="Arial" w:cs="Arial"/>
                <w:sz w:val="16"/>
                <w:szCs w:val="16"/>
              </w:rPr>
            </w:pPr>
            <w:r w:rsidRPr="00F53716">
              <w:rPr>
                <w:rFonts w:ascii="Arial" w:eastAsia="DengXian" w:hAnsi="Arial" w:cs="Arial"/>
                <w:sz w:val="16"/>
                <w:szCs w:val="16"/>
              </w:rPr>
              <w:t xml:space="preserve"> ssb-Index, </w:t>
            </w:r>
          </w:p>
          <w:p w14:paraId="68E2D252" w14:textId="77777777" w:rsidR="00F53716" w:rsidRPr="00F53716" w:rsidRDefault="00F53716" w:rsidP="00F53716">
            <w:pPr>
              <w:tabs>
                <w:tab w:val="left" w:pos="757"/>
              </w:tabs>
              <w:rPr>
                <w:rFonts w:ascii="Arial" w:eastAsia="DengXian" w:hAnsi="Arial" w:cs="Arial"/>
                <w:sz w:val="16"/>
                <w:szCs w:val="16"/>
              </w:rPr>
            </w:pPr>
            <w:r w:rsidRPr="00F53716">
              <w:rPr>
                <w:rFonts w:ascii="Arial" w:eastAsia="DengXian" w:hAnsi="Arial" w:cs="Arial"/>
                <w:sz w:val="16"/>
                <w:szCs w:val="16"/>
              </w:rPr>
              <w:t xml:space="preserve"> [csi-RS-Index],</w:t>
            </w:r>
          </w:p>
          <w:p w14:paraId="60AB7CE9" w14:textId="77777777" w:rsidR="00F53716" w:rsidRPr="00F53716" w:rsidRDefault="00F53716" w:rsidP="00F53716">
            <w:pPr>
              <w:tabs>
                <w:tab w:val="left" w:pos="757"/>
              </w:tabs>
              <w:rPr>
                <w:rFonts w:ascii="Arial" w:eastAsia="DengXian" w:hAnsi="Arial" w:cs="Arial"/>
                <w:sz w:val="16"/>
                <w:szCs w:val="16"/>
              </w:rPr>
            </w:pPr>
            <w:r w:rsidRPr="00F53716">
              <w:rPr>
                <w:rFonts w:ascii="Arial" w:eastAsia="DengXian" w:hAnsi="Arial" w:cs="Arial"/>
                <w:sz w:val="16"/>
                <w:szCs w:val="16"/>
              </w:rPr>
              <w:t xml:space="preserve"> }</w:t>
            </w:r>
          </w:p>
          <w:p w14:paraId="2DE3F0C7" w14:textId="77777777" w:rsidR="00F53716" w:rsidRPr="00F53716" w:rsidRDefault="00F53716" w:rsidP="00F53716">
            <w:pPr>
              <w:tabs>
                <w:tab w:val="left" w:pos="757"/>
              </w:tabs>
              <w:rPr>
                <w:rFonts w:ascii="Arial" w:eastAsia="DengXian" w:hAnsi="Arial" w:cs="Arial"/>
                <w:sz w:val="16"/>
                <w:szCs w:val="16"/>
              </w:rPr>
            </w:pPr>
          </w:p>
          <w:p w14:paraId="1C98DEFB" w14:textId="77777777" w:rsidR="00F53716" w:rsidRPr="00F53716" w:rsidRDefault="00F53716" w:rsidP="00F53716">
            <w:pPr>
              <w:tabs>
                <w:tab w:val="left" w:pos="757"/>
              </w:tabs>
              <w:rPr>
                <w:rFonts w:ascii="Arial" w:eastAsia="DengXian" w:hAnsi="Arial" w:cs="Arial"/>
                <w:sz w:val="16"/>
                <w:szCs w:val="16"/>
              </w:rPr>
            </w:pPr>
            <w:r w:rsidRPr="00F53716">
              <w:rPr>
                <w:rFonts w:ascii="Arial" w:eastAsia="DengXian" w:hAnsi="Arial" w:cs="Arial"/>
                <w:sz w:val="16"/>
                <w:szCs w:val="16"/>
              </w:rPr>
              <w:t>}</w:t>
            </w:r>
          </w:p>
        </w:tc>
      </w:tr>
      <w:tr w:rsidR="00F53716" w:rsidRPr="00F53716" w14:paraId="5B0C5B57" w14:textId="77777777" w:rsidTr="009157FE">
        <w:trPr>
          <w:trHeight w:val="451"/>
        </w:trPr>
        <w:tc>
          <w:tcPr>
            <w:tcW w:w="467" w:type="dxa"/>
            <w:shd w:val="clear" w:color="auto" w:fill="auto"/>
          </w:tcPr>
          <w:p w14:paraId="6A303569" w14:textId="77777777" w:rsidR="00F53716" w:rsidRPr="00F53716" w:rsidRDefault="00F53716" w:rsidP="00F53716">
            <w:pPr>
              <w:rPr>
                <w:rFonts w:ascii="Arial" w:eastAsia="DengXian" w:hAnsi="Arial" w:cs="Arial"/>
                <w:sz w:val="16"/>
                <w:szCs w:val="16"/>
              </w:rPr>
            </w:pPr>
            <w:r w:rsidRPr="00F53716">
              <w:rPr>
                <w:rFonts w:ascii="Arial" w:eastAsia="DengXian" w:hAnsi="Arial" w:cs="Arial"/>
                <w:sz w:val="16"/>
                <w:szCs w:val="16"/>
              </w:rPr>
              <w:t>4</w:t>
            </w:r>
          </w:p>
        </w:tc>
        <w:tc>
          <w:tcPr>
            <w:tcW w:w="1328" w:type="dxa"/>
            <w:shd w:val="clear" w:color="auto" w:fill="auto"/>
          </w:tcPr>
          <w:p w14:paraId="567DFFF8" w14:textId="77777777" w:rsidR="00F53716" w:rsidRPr="00F53716" w:rsidRDefault="00F53716" w:rsidP="00F53716">
            <w:pPr>
              <w:rPr>
                <w:rFonts w:ascii="Arial" w:eastAsia="DengXian" w:hAnsi="Arial" w:cs="Arial"/>
                <w:sz w:val="16"/>
                <w:szCs w:val="16"/>
              </w:rPr>
            </w:pPr>
            <w:r w:rsidRPr="00F53716">
              <w:rPr>
                <w:rFonts w:ascii="Arial" w:eastAsia="DengXian" w:hAnsi="Arial" w:cs="Arial"/>
                <w:sz w:val="16"/>
                <w:szCs w:val="16"/>
              </w:rPr>
              <w:t>PathlossReferenceRS-r18</w:t>
            </w:r>
          </w:p>
        </w:tc>
        <w:tc>
          <w:tcPr>
            <w:tcW w:w="1710" w:type="dxa"/>
            <w:shd w:val="clear" w:color="auto" w:fill="auto"/>
          </w:tcPr>
          <w:p w14:paraId="3AD1AC7A" w14:textId="77777777" w:rsidR="00F53716" w:rsidRPr="00F53716" w:rsidRDefault="00F53716" w:rsidP="00F53716">
            <w:pPr>
              <w:rPr>
                <w:rFonts w:ascii="Arial" w:eastAsia="DengXian" w:hAnsi="Arial" w:cs="Arial"/>
                <w:sz w:val="16"/>
                <w:szCs w:val="16"/>
              </w:rPr>
            </w:pPr>
            <w:r w:rsidRPr="00F53716">
              <w:rPr>
                <w:rFonts w:ascii="Arial" w:eastAsia="DengXian" w:hAnsi="Arial" w:cs="Arial"/>
                <w:sz w:val="16"/>
                <w:szCs w:val="16"/>
              </w:rPr>
              <w:t>ssb-Index</w:t>
            </w:r>
          </w:p>
        </w:tc>
        <w:tc>
          <w:tcPr>
            <w:tcW w:w="1170" w:type="dxa"/>
            <w:shd w:val="clear" w:color="auto" w:fill="auto"/>
          </w:tcPr>
          <w:p w14:paraId="18D2A6EE" w14:textId="77777777" w:rsidR="00F53716" w:rsidRPr="00F53716" w:rsidRDefault="00F53716" w:rsidP="00F53716">
            <w:pPr>
              <w:rPr>
                <w:rFonts w:ascii="Arial" w:eastAsia="DengXian" w:hAnsi="Arial" w:cs="Arial"/>
                <w:sz w:val="16"/>
                <w:szCs w:val="16"/>
              </w:rPr>
            </w:pPr>
            <w:r w:rsidRPr="00F53716">
              <w:rPr>
                <w:rFonts w:ascii="Arial" w:eastAsia="DengXian" w:hAnsi="Arial" w:cs="Arial"/>
                <w:sz w:val="16"/>
                <w:szCs w:val="16"/>
              </w:rPr>
              <w:t>existing</w:t>
            </w:r>
          </w:p>
        </w:tc>
        <w:tc>
          <w:tcPr>
            <w:tcW w:w="2237" w:type="dxa"/>
            <w:shd w:val="clear" w:color="auto" w:fill="auto"/>
          </w:tcPr>
          <w:p w14:paraId="05BC6547" w14:textId="487C8BFA" w:rsidR="00F53716" w:rsidRPr="00F53716" w:rsidRDefault="00F53716" w:rsidP="009157FE">
            <w:pPr>
              <w:rPr>
                <w:rFonts w:ascii="Arial" w:eastAsia="DengXian" w:hAnsi="Arial" w:cs="Arial"/>
                <w:sz w:val="16"/>
                <w:szCs w:val="16"/>
              </w:rPr>
            </w:pPr>
            <w:r w:rsidRPr="00F53716">
              <w:rPr>
                <w:rFonts w:ascii="Arial" w:eastAsia="DengXian" w:hAnsi="Arial" w:cs="Arial"/>
                <w:sz w:val="16"/>
                <w:szCs w:val="16"/>
              </w:rPr>
              <w:t>This field is used to indicate the SS/PBCH index of the SS/PBCH block to be used for path loss estimation for PUSCH, PUCCH and SRS</w:t>
            </w:r>
          </w:p>
        </w:tc>
        <w:tc>
          <w:tcPr>
            <w:tcW w:w="3828" w:type="dxa"/>
            <w:shd w:val="clear" w:color="auto" w:fill="auto"/>
          </w:tcPr>
          <w:p w14:paraId="27860220" w14:textId="77777777" w:rsidR="00F53716" w:rsidRPr="00F53716" w:rsidRDefault="00F53716" w:rsidP="00F53716">
            <w:pPr>
              <w:tabs>
                <w:tab w:val="left" w:pos="757"/>
              </w:tabs>
              <w:rPr>
                <w:rFonts w:ascii="Arial" w:eastAsia="DengXian" w:hAnsi="Arial" w:cs="Arial"/>
                <w:sz w:val="16"/>
                <w:szCs w:val="16"/>
              </w:rPr>
            </w:pPr>
            <w:r w:rsidRPr="00F53716">
              <w:rPr>
                <w:rFonts w:ascii="Arial" w:eastAsia="DengXian" w:hAnsi="Arial" w:cs="Arial"/>
                <w:sz w:val="16"/>
                <w:szCs w:val="16"/>
              </w:rPr>
              <w:t>SSB-Index</w:t>
            </w:r>
          </w:p>
        </w:tc>
      </w:tr>
      <w:tr w:rsidR="00F53716" w:rsidRPr="00F53716" w14:paraId="4D8B9465" w14:textId="77777777" w:rsidTr="009157FE">
        <w:trPr>
          <w:trHeight w:val="451"/>
        </w:trPr>
        <w:tc>
          <w:tcPr>
            <w:tcW w:w="467" w:type="dxa"/>
            <w:shd w:val="clear" w:color="auto" w:fill="auto"/>
          </w:tcPr>
          <w:p w14:paraId="04191105" w14:textId="77777777" w:rsidR="00F53716" w:rsidRPr="00F53716" w:rsidRDefault="00F53716" w:rsidP="00F53716">
            <w:pPr>
              <w:rPr>
                <w:rFonts w:ascii="Arial" w:eastAsia="DengXian" w:hAnsi="Arial" w:cs="Arial"/>
                <w:sz w:val="16"/>
                <w:szCs w:val="16"/>
              </w:rPr>
            </w:pPr>
            <w:r w:rsidRPr="00F53716">
              <w:rPr>
                <w:rFonts w:ascii="Arial" w:eastAsia="DengXian" w:hAnsi="Arial" w:cs="Arial"/>
                <w:sz w:val="16"/>
                <w:szCs w:val="16"/>
              </w:rPr>
              <w:lastRenderedPageBreak/>
              <w:t>5</w:t>
            </w:r>
          </w:p>
        </w:tc>
        <w:tc>
          <w:tcPr>
            <w:tcW w:w="1328" w:type="dxa"/>
            <w:shd w:val="clear" w:color="auto" w:fill="auto"/>
          </w:tcPr>
          <w:p w14:paraId="50AE9C52" w14:textId="77777777" w:rsidR="00F53716" w:rsidRPr="00F53716" w:rsidRDefault="00F53716" w:rsidP="00F53716">
            <w:pPr>
              <w:rPr>
                <w:rFonts w:ascii="Arial" w:eastAsia="DengXian" w:hAnsi="Arial" w:cs="Arial"/>
                <w:sz w:val="16"/>
                <w:szCs w:val="16"/>
              </w:rPr>
            </w:pPr>
            <w:r w:rsidRPr="00F53716">
              <w:rPr>
                <w:rFonts w:ascii="Arial" w:eastAsia="DengXian" w:hAnsi="Arial" w:cs="Arial"/>
                <w:sz w:val="16"/>
                <w:szCs w:val="16"/>
              </w:rPr>
              <w:t>LTM-Candidate-r18</w:t>
            </w:r>
          </w:p>
        </w:tc>
        <w:tc>
          <w:tcPr>
            <w:tcW w:w="1710" w:type="dxa"/>
            <w:shd w:val="clear" w:color="auto" w:fill="auto"/>
          </w:tcPr>
          <w:p w14:paraId="55AFD5C5" w14:textId="77777777" w:rsidR="00F53716" w:rsidRPr="00F53716" w:rsidRDefault="00F53716" w:rsidP="00F53716">
            <w:pPr>
              <w:rPr>
                <w:rFonts w:ascii="Arial" w:eastAsia="DengXian" w:hAnsi="Arial" w:cs="Arial"/>
                <w:sz w:val="16"/>
                <w:szCs w:val="16"/>
              </w:rPr>
            </w:pPr>
            <w:r w:rsidRPr="00F53716">
              <w:rPr>
                <w:rFonts w:ascii="Arial" w:eastAsia="DengXian" w:hAnsi="Arial" w:cs="Arial"/>
                <w:sz w:val="16"/>
                <w:szCs w:val="16"/>
              </w:rPr>
              <w:t>pathlossReferenceRSToReleaseList-r18</w:t>
            </w:r>
          </w:p>
        </w:tc>
        <w:tc>
          <w:tcPr>
            <w:tcW w:w="1170" w:type="dxa"/>
            <w:shd w:val="clear" w:color="auto" w:fill="auto"/>
          </w:tcPr>
          <w:p w14:paraId="55A8DA8E" w14:textId="77777777" w:rsidR="00F53716" w:rsidRPr="00F53716" w:rsidRDefault="00F53716" w:rsidP="00F53716">
            <w:pPr>
              <w:rPr>
                <w:rFonts w:ascii="Arial" w:eastAsia="DengXian" w:hAnsi="Arial" w:cs="Arial"/>
                <w:sz w:val="16"/>
                <w:szCs w:val="16"/>
              </w:rPr>
            </w:pPr>
            <w:r w:rsidRPr="00F53716">
              <w:rPr>
                <w:rFonts w:ascii="Arial" w:eastAsia="DengXian" w:hAnsi="Arial" w:cs="Arial"/>
                <w:sz w:val="16"/>
                <w:szCs w:val="16"/>
              </w:rPr>
              <w:t>new</w:t>
            </w:r>
          </w:p>
        </w:tc>
        <w:tc>
          <w:tcPr>
            <w:tcW w:w="2237" w:type="dxa"/>
            <w:shd w:val="clear" w:color="auto" w:fill="auto"/>
          </w:tcPr>
          <w:p w14:paraId="49D55A51" w14:textId="77777777" w:rsidR="00F53716" w:rsidRPr="00F53716" w:rsidRDefault="00F53716" w:rsidP="00F53716">
            <w:pPr>
              <w:rPr>
                <w:rFonts w:ascii="Arial" w:eastAsia="DengXian" w:hAnsi="Arial" w:cs="Arial"/>
                <w:sz w:val="16"/>
                <w:szCs w:val="16"/>
              </w:rPr>
            </w:pPr>
            <w:r w:rsidRPr="00F53716">
              <w:rPr>
                <w:rFonts w:ascii="Arial" w:eastAsia="DengXian" w:hAnsi="Arial" w:cs="Arial"/>
                <w:sz w:val="16"/>
                <w:szCs w:val="16"/>
              </w:rPr>
              <w:t>Indicates a list of one or more pathloss Reference Signals to be released</w:t>
            </w:r>
          </w:p>
        </w:tc>
        <w:tc>
          <w:tcPr>
            <w:tcW w:w="3828" w:type="dxa"/>
            <w:shd w:val="clear" w:color="auto" w:fill="auto"/>
          </w:tcPr>
          <w:p w14:paraId="18F6C260" w14:textId="77777777" w:rsidR="00F53716" w:rsidRPr="00F53716" w:rsidRDefault="00F53716" w:rsidP="00F53716">
            <w:pPr>
              <w:tabs>
                <w:tab w:val="left" w:pos="757"/>
              </w:tabs>
              <w:rPr>
                <w:rFonts w:ascii="Arial" w:eastAsia="DengXian" w:hAnsi="Arial" w:cs="Arial"/>
                <w:sz w:val="16"/>
                <w:szCs w:val="16"/>
              </w:rPr>
            </w:pPr>
            <w:r w:rsidRPr="00F53716">
              <w:rPr>
                <w:rFonts w:ascii="Arial" w:eastAsia="DengXian" w:hAnsi="Arial" w:cs="Arial"/>
                <w:sz w:val="16"/>
                <w:szCs w:val="16"/>
              </w:rPr>
              <w:t>SEQUENCE (SIZE (1..maxNrofPathlossReferenceRSs-r17)) OF pathlossReferenceRS-Id-r18</w:t>
            </w:r>
          </w:p>
        </w:tc>
      </w:tr>
    </w:tbl>
    <w:p w14:paraId="7EC8D761" w14:textId="77777777" w:rsidR="00F53716" w:rsidRPr="00F53716" w:rsidRDefault="00F53716" w:rsidP="00F53716">
      <w:pPr>
        <w:rPr>
          <w:rFonts w:ascii="Times New Roman" w:hAnsi="Times New Roman"/>
          <w:szCs w:val="20"/>
        </w:rPr>
      </w:pPr>
    </w:p>
    <w:p w14:paraId="46F44862" w14:textId="77777777" w:rsidR="00F53716" w:rsidRPr="00F53716" w:rsidRDefault="00F53716" w:rsidP="00F53716">
      <w:pPr>
        <w:rPr>
          <w:rFonts w:ascii="Times New Roman" w:eastAsia="Calibri" w:hAnsi="Times New Roman"/>
          <w:bCs/>
          <w:szCs w:val="20"/>
          <w:u w:val="single"/>
        </w:rPr>
      </w:pPr>
      <w:r w:rsidRPr="00F53716">
        <w:rPr>
          <w:rFonts w:ascii="Times New Roman" w:eastAsia="Calibri" w:hAnsi="Times New Roman"/>
          <w:bCs/>
          <w:szCs w:val="20"/>
          <w:u w:val="single"/>
        </w:rPr>
        <w:t>Conclusion</w:t>
      </w:r>
    </w:p>
    <w:p w14:paraId="49E3D43D" w14:textId="59C8CB07" w:rsidR="00F53716" w:rsidRDefault="00F53716" w:rsidP="00F53716">
      <w:pPr>
        <w:rPr>
          <w:rFonts w:ascii="Times New Roman" w:hAnsi="Times New Roman"/>
          <w:szCs w:val="20"/>
          <w:lang w:eastAsia="x-none"/>
        </w:rPr>
      </w:pPr>
      <w:r w:rsidRPr="00F53716">
        <w:rPr>
          <w:rFonts w:ascii="Times New Roman" w:hAnsi="Times New Roman"/>
          <w:szCs w:val="20"/>
          <w:lang w:eastAsia="x-none"/>
        </w:rPr>
        <w:t>Uplink power control parameters are not pre-configured inside of ‘LTM-Candidate-Tci-States-r18’ IE and ‘LTM-Candidate-TCI-UL-State-r18’ IE.</w:t>
      </w:r>
    </w:p>
    <w:p w14:paraId="2D8741E5" w14:textId="77777777" w:rsidR="00FC60CA" w:rsidRDefault="00FC60CA" w:rsidP="00F53716">
      <w:pPr>
        <w:rPr>
          <w:rFonts w:ascii="Times New Roman" w:hAnsi="Times New Roman"/>
          <w:szCs w:val="20"/>
          <w:lang w:eastAsia="x-none"/>
        </w:rPr>
      </w:pPr>
    </w:p>
    <w:p w14:paraId="6D762630" w14:textId="77777777" w:rsidR="00FC60CA" w:rsidRDefault="00FC60CA" w:rsidP="00F53716">
      <w:pPr>
        <w:rPr>
          <w:rFonts w:ascii="Times New Roman" w:hAnsi="Times New Roman"/>
          <w:szCs w:val="20"/>
          <w:lang w:eastAsia="x-none"/>
        </w:rPr>
      </w:pPr>
    </w:p>
    <w:p w14:paraId="3C00932E" w14:textId="04836A93" w:rsidR="00FC60CA" w:rsidRPr="00FC60CA" w:rsidRDefault="005A18DC" w:rsidP="00F53716">
      <w:pPr>
        <w:rPr>
          <w:rFonts w:ascii="Times New Roman" w:hAnsi="Times New Roman"/>
          <w:b/>
          <w:bCs/>
          <w:szCs w:val="20"/>
          <w:lang w:eastAsia="x-none"/>
        </w:rPr>
      </w:pPr>
      <w:hyperlink r:id="rId1428" w:history="1">
        <w:r w:rsidR="00AF7253">
          <w:rPr>
            <w:rStyle w:val="Hyperlink"/>
            <w:rFonts w:ascii="Times New Roman" w:hAnsi="Times New Roman"/>
            <w:b/>
            <w:bCs/>
            <w:szCs w:val="20"/>
            <w:lang w:eastAsia="x-none"/>
          </w:rPr>
          <w:t>R1-2312616</w:t>
        </w:r>
      </w:hyperlink>
      <w:r w:rsidR="00FC60CA" w:rsidRPr="00FC60CA">
        <w:rPr>
          <w:rFonts w:ascii="Times New Roman" w:hAnsi="Times New Roman"/>
          <w:b/>
          <w:bCs/>
          <w:szCs w:val="20"/>
          <w:lang w:eastAsia="x-none"/>
        </w:rPr>
        <w:tab/>
        <w:t>Summary#3 of RRC parameters for NR mobility enhancement WI</w:t>
      </w:r>
      <w:r w:rsidR="00FC60CA" w:rsidRPr="00FC60CA">
        <w:rPr>
          <w:rFonts w:ascii="Times New Roman" w:hAnsi="Times New Roman"/>
          <w:b/>
          <w:bCs/>
          <w:szCs w:val="20"/>
          <w:lang w:eastAsia="x-none"/>
        </w:rPr>
        <w:tab/>
        <w:t>Rapporteur (Apple)</w:t>
      </w:r>
    </w:p>
    <w:p w14:paraId="6D711ED2" w14:textId="25F78CFE" w:rsidR="00FC60CA" w:rsidRDefault="00FC60CA" w:rsidP="00F53716">
      <w:pPr>
        <w:rPr>
          <w:rFonts w:ascii="Times New Roman" w:hAnsi="Times New Roman"/>
          <w:szCs w:val="20"/>
          <w:lang w:eastAsia="x-none"/>
        </w:rPr>
      </w:pPr>
      <w:r>
        <w:rPr>
          <w:rFonts w:ascii="Times New Roman" w:hAnsi="Times New Roman"/>
          <w:szCs w:val="20"/>
          <w:lang w:eastAsia="x-none"/>
        </w:rPr>
        <w:t>From Thursday session</w:t>
      </w:r>
    </w:p>
    <w:p w14:paraId="1492B747" w14:textId="77777777" w:rsidR="00FC60CA" w:rsidRPr="00FC60CA" w:rsidRDefault="00FC60CA" w:rsidP="00FC60CA">
      <w:pPr>
        <w:rPr>
          <w:lang w:val="en-US"/>
        </w:rPr>
      </w:pPr>
      <w:r w:rsidRPr="00FC60CA">
        <w:rPr>
          <w:highlight w:val="green"/>
          <w:lang w:val="en-US"/>
        </w:rPr>
        <w:t>Agreement</w:t>
      </w:r>
    </w:p>
    <w:p w14:paraId="5B8DCAD9" w14:textId="77777777" w:rsidR="00FC60CA" w:rsidRPr="00FC60CA" w:rsidRDefault="00FC60CA" w:rsidP="00AA1D48">
      <w:pPr>
        <w:pStyle w:val="ListParagraph"/>
        <w:numPr>
          <w:ilvl w:val="0"/>
          <w:numId w:val="131"/>
        </w:numPr>
      </w:pPr>
      <w:r w:rsidRPr="00FC60CA">
        <w:t>Agree the following RRC parameter for ‘Pathloss Reference’ configuration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3"/>
        <w:gridCol w:w="1622"/>
        <w:gridCol w:w="1715"/>
        <w:gridCol w:w="1157"/>
        <w:gridCol w:w="1530"/>
        <w:gridCol w:w="4226"/>
      </w:tblGrid>
      <w:tr w:rsidR="00FC60CA" w:rsidRPr="00FC60CA" w14:paraId="293A8A16" w14:textId="77777777" w:rsidTr="00FC60CA">
        <w:trPr>
          <w:trHeight w:val="451"/>
        </w:trPr>
        <w:tc>
          <w:tcPr>
            <w:tcW w:w="226" w:type="pct"/>
            <w:shd w:val="clear" w:color="auto" w:fill="D9D9D9"/>
          </w:tcPr>
          <w:p w14:paraId="01ABA2E1" w14:textId="77777777" w:rsidR="00FC60CA" w:rsidRPr="00FC60CA" w:rsidRDefault="00FC60CA" w:rsidP="00FC60CA">
            <w:pPr>
              <w:rPr>
                <w:rFonts w:ascii="Arial" w:eastAsia="DengXian" w:hAnsi="Arial" w:cs="Arial"/>
                <w:sz w:val="16"/>
                <w:szCs w:val="16"/>
              </w:rPr>
            </w:pPr>
            <w:r w:rsidRPr="00FC60CA">
              <w:rPr>
                <w:rFonts w:ascii="Arial" w:eastAsia="DengXian" w:hAnsi="Arial" w:cs="Arial"/>
                <w:sz w:val="16"/>
                <w:szCs w:val="16"/>
              </w:rPr>
              <w:t>#</w:t>
            </w:r>
          </w:p>
        </w:tc>
        <w:tc>
          <w:tcPr>
            <w:tcW w:w="642" w:type="pct"/>
            <w:shd w:val="clear" w:color="auto" w:fill="D9D9D9"/>
          </w:tcPr>
          <w:p w14:paraId="30943AE0" w14:textId="77777777" w:rsidR="00FC60CA" w:rsidRPr="00FC60CA" w:rsidRDefault="00FC60CA" w:rsidP="00FC60CA">
            <w:pPr>
              <w:rPr>
                <w:rFonts w:ascii="Arial" w:eastAsia="DengXian" w:hAnsi="Arial" w:cs="Arial"/>
                <w:sz w:val="16"/>
                <w:szCs w:val="16"/>
              </w:rPr>
            </w:pPr>
            <w:r w:rsidRPr="00FC60CA">
              <w:rPr>
                <w:rFonts w:ascii="Arial" w:eastAsia="DengXian" w:hAnsi="Arial" w:cs="Arial"/>
                <w:sz w:val="16"/>
                <w:szCs w:val="16"/>
              </w:rPr>
              <w:t>RAN2 parent IE</w:t>
            </w:r>
          </w:p>
        </w:tc>
        <w:tc>
          <w:tcPr>
            <w:tcW w:w="826" w:type="pct"/>
            <w:shd w:val="clear" w:color="auto" w:fill="D9D9D9"/>
          </w:tcPr>
          <w:p w14:paraId="41A37280" w14:textId="77777777" w:rsidR="00FC60CA" w:rsidRPr="00FC60CA" w:rsidRDefault="00FC60CA" w:rsidP="00FC60CA">
            <w:pPr>
              <w:rPr>
                <w:rFonts w:ascii="Arial" w:eastAsia="DengXian" w:hAnsi="Arial" w:cs="Arial"/>
                <w:sz w:val="16"/>
                <w:szCs w:val="16"/>
              </w:rPr>
            </w:pPr>
            <w:r w:rsidRPr="00FC60CA">
              <w:rPr>
                <w:rFonts w:ascii="Arial" w:eastAsia="DengXian" w:hAnsi="Arial" w:cs="Arial"/>
                <w:sz w:val="16"/>
                <w:szCs w:val="16"/>
              </w:rPr>
              <w:t>Parameter name in the spec</w:t>
            </w:r>
          </w:p>
        </w:tc>
        <w:tc>
          <w:tcPr>
            <w:tcW w:w="565" w:type="pct"/>
            <w:shd w:val="clear" w:color="auto" w:fill="D9D9D9"/>
          </w:tcPr>
          <w:p w14:paraId="366C8226" w14:textId="77777777" w:rsidR="00FC60CA" w:rsidRPr="00FC60CA" w:rsidRDefault="00FC60CA" w:rsidP="00FC60CA">
            <w:pPr>
              <w:rPr>
                <w:rFonts w:ascii="Arial" w:eastAsia="DengXian" w:hAnsi="Arial" w:cs="Arial"/>
                <w:sz w:val="16"/>
                <w:szCs w:val="16"/>
              </w:rPr>
            </w:pPr>
            <w:r w:rsidRPr="00FC60CA">
              <w:rPr>
                <w:rFonts w:ascii="Arial" w:eastAsia="DengXian" w:hAnsi="Arial" w:cs="Arial"/>
                <w:sz w:val="16"/>
                <w:szCs w:val="16"/>
              </w:rPr>
              <w:t>New or existing?</w:t>
            </w:r>
          </w:p>
        </w:tc>
        <w:tc>
          <w:tcPr>
            <w:tcW w:w="739" w:type="pct"/>
            <w:shd w:val="clear" w:color="auto" w:fill="D9D9D9"/>
          </w:tcPr>
          <w:p w14:paraId="7BC9C9FC" w14:textId="77777777" w:rsidR="00FC60CA" w:rsidRPr="00FC60CA" w:rsidRDefault="00FC60CA" w:rsidP="00FC60CA">
            <w:pPr>
              <w:rPr>
                <w:rFonts w:ascii="Arial" w:eastAsia="DengXian" w:hAnsi="Arial" w:cs="Arial"/>
                <w:sz w:val="16"/>
                <w:szCs w:val="16"/>
              </w:rPr>
            </w:pPr>
            <w:r w:rsidRPr="00FC60CA">
              <w:rPr>
                <w:rFonts w:ascii="Arial" w:eastAsia="DengXian" w:hAnsi="Arial" w:cs="Arial"/>
                <w:sz w:val="16"/>
                <w:szCs w:val="16"/>
              </w:rPr>
              <w:t>Description</w:t>
            </w:r>
          </w:p>
        </w:tc>
        <w:tc>
          <w:tcPr>
            <w:tcW w:w="2001" w:type="pct"/>
            <w:shd w:val="clear" w:color="auto" w:fill="D9D9D9"/>
          </w:tcPr>
          <w:p w14:paraId="0756D51E" w14:textId="77777777" w:rsidR="00FC60CA" w:rsidRPr="00FC60CA" w:rsidRDefault="00FC60CA" w:rsidP="00FC60CA">
            <w:pPr>
              <w:rPr>
                <w:rFonts w:ascii="Arial" w:eastAsia="DengXian" w:hAnsi="Arial" w:cs="Arial"/>
                <w:sz w:val="16"/>
                <w:szCs w:val="16"/>
              </w:rPr>
            </w:pPr>
            <w:r w:rsidRPr="00FC60CA">
              <w:rPr>
                <w:rFonts w:ascii="Arial" w:eastAsia="DengXian" w:hAnsi="Arial" w:cs="Arial"/>
                <w:sz w:val="16"/>
                <w:szCs w:val="16"/>
              </w:rPr>
              <w:t>Value Range</w:t>
            </w:r>
          </w:p>
        </w:tc>
      </w:tr>
      <w:tr w:rsidR="00FC60CA" w:rsidRPr="00FC60CA" w14:paraId="1CA97537" w14:textId="77777777" w:rsidTr="00FC60CA">
        <w:trPr>
          <w:trHeight w:val="451"/>
        </w:trPr>
        <w:tc>
          <w:tcPr>
            <w:tcW w:w="226" w:type="pct"/>
            <w:shd w:val="clear" w:color="auto" w:fill="auto"/>
          </w:tcPr>
          <w:p w14:paraId="45D02B95" w14:textId="77777777" w:rsidR="00FC60CA" w:rsidRPr="00FC60CA" w:rsidRDefault="00FC60CA" w:rsidP="00FC60CA">
            <w:pPr>
              <w:rPr>
                <w:rFonts w:ascii="Arial" w:eastAsia="DengXian" w:hAnsi="Arial" w:cs="Arial"/>
                <w:sz w:val="16"/>
                <w:szCs w:val="16"/>
              </w:rPr>
            </w:pPr>
            <w:r w:rsidRPr="00FC60CA">
              <w:rPr>
                <w:rFonts w:ascii="Arial" w:eastAsia="DengXian" w:hAnsi="Arial" w:cs="Arial"/>
                <w:sz w:val="16"/>
                <w:szCs w:val="16"/>
              </w:rPr>
              <w:t>1</w:t>
            </w:r>
          </w:p>
        </w:tc>
        <w:tc>
          <w:tcPr>
            <w:tcW w:w="642" w:type="pct"/>
            <w:shd w:val="clear" w:color="auto" w:fill="auto"/>
          </w:tcPr>
          <w:p w14:paraId="5E24D8CE" w14:textId="77777777" w:rsidR="00FC60CA" w:rsidRPr="00FC60CA" w:rsidRDefault="00FC60CA" w:rsidP="00FC60CA">
            <w:pPr>
              <w:rPr>
                <w:rFonts w:ascii="Arial" w:eastAsia="DengXian" w:hAnsi="Arial" w:cs="Arial"/>
                <w:sz w:val="16"/>
                <w:szCs w:val="16"/>
              </w:rPr>
            </w:pPr>
            <w:r w:rsidRPr="00FC60CA">
              <w:rPr>
                <w:rFonts w:ascii="Arial" w:eastAsia="DengXian" w:hAnsi="Arial" w:cs="Arial"/>
                <w:sz w:val="16"/>
                <w:szCs w:val="16"/>
              </w:rPr>
              <w:t>ltm-dl-OrJointTCI-StateToAddModList</w:t>
            </w:r>
          </w:p>
        </w:tc>
        <w:tc>
          <w:tcPr>
            <w:tcW w:w="826" w:type="pct"/>
            <w:shd w:val="clear" w:color="auto" w:fill="auto"/>
          </w:tcPr>
          <w:p w14:paraId="469E4355" w14:textId="77777777" w:rsidR="00FC60CA" w:rsidRPr="00FC60CA" w:rsidRDefault="00FC60CA" w:rsidP="00FC60CA">
            <w:pPr>
              <w:rPr>
                <w:rFonts w:ascii="Arial" w:eastAsia="DengXian" w:hAnsi="Arial" w:cs="Arial"/>
                <w:sz w:val="16"/>
                <w:szCs w:val="16"/>
              </w:rPr>
            </w:pPr>
            <w:r w:rsidRPr="00FC60CA">
              <w:rPr>
                <w:rFonts w:ascii="Arial" w:eastAsia="DengXian" w:hAnsi="Arial" w:cs="Arial"/>
                <w:sz w:val="16"/>
                <w:szCs w:val="16"/>
              </w:rPr>
              <w:t>LTM-Candidate-Tci-States -r18</w:t>
            </w:r>
          </w:p>
        </w:tc>
        <w:tc>
          <w:tcPr>
            <w:tcW w:w="565" w:type="pct"/>
            <w:shd w:val="clear" w:color="auto" w:fill="auto"/>
          </w:tcPr>
          <w:p w14:paraId="4089EE51" w14:textId="77777777" w:rsidR="00FC60CA" w:rsidRPr="00FC60CA" w:rsidRDefault="00FC60CA" w:rsidP="00FC60CA">
            <w:pPr>
              <w:rPr>
                <w:rFonts w:ascii="Arial" w:eastAsia="DengXian" w:hAnsi="Arial" w:cs="Arial"/>
                <w:sz w:val="16"/>
                <w:szCs w:val="16"/>
              </w:rPr>
            </w:pPr>
            <w:r w:rsidRPr="00FC60CA">
              <w:rPr>
                <w:rFonts w:ascii="Arial" w:eastAsia="DengXian" w:hAnsi="Arial" w:cs="Arial"/>
                <w:sz w:val="16"/>
                <w:szCs w:val="16"/>
              </w:rPr>
              <w:t>new</w:t>
            </w:r>
          </w:p>
        </w:tc>
        <w:tc>
          <w:tcPr>
            <w:tcW w:w="739" w:type="pct"/>
            <w:shd w:val="clear" w:color="auto" w:fill="auto"/>
          </w:tcPr>
          <w:p w14:paraId="06887C7C" w14:textId="77777777" w:rsidR="00FC60CA" w:rsidRPr="00FC60CA" w:rsidRDefault="00FC60CA" w:rsidP="00FC60CA">
            <w:pPr>
              <w:rPr>
                <w:rFonts w:ascii="Arial" w:eastAsia="DengXian" w:hAnsi="Arial" w:cs="Arial"/>
                <w:sz w:val="16"/>
                <w:szCs w:val="16"/>
              </w:rPr>
            </w:pPr>
            <w:r w:rsidRPr="00FC60CA">
              <w:rPr>
                <w:rFonts w:ascii="Arial" w:eastAsia="DengXian" w:hAnsi="Arial" w:cs="Arial"/>
                <w:sz w:val="16"/>
                <w:szCs w:val="16"/>
              </w:rPr>
              <w:t>associates one or two DL reference signals with a corresponding quasi-colocation (QCL) type</w:t>
            </w:r>
          </w:p>
        </w:tc>
        <w:tc>
          <w:tcPr>
            <w:tcW w:w="2001" w:type="pct"/>
            <w:shd w:val="clear" w:color="auto" w:fill="auto"/>
          </w:tcPr>
          <w:p w14:paraId="3D1C5978" w14:textId="77777777" w:rsidR="00FC60CA" w:rsidRPr="00FC60CA" w:rsidRDefault="00FC60CA" w:rsidP="00FC60CA">
            <w:pPr>
              <w:tabs>
                <w:tab w:val="left" w:pos="757"/>
              </w:tabs>
              <w:rPr>
                <w:rFonts w:ascii="Arial" w:eastAsia="DengXian" w:hAnsi="Arial" w:cs="Arial"/>
                <w:sz w:val="16"/>
                <w:szCs w:val="16"/>
              </w:rPr>
            </w:pPr>
            <w:r w:rsidRPr="00FC60CA">
              <w:rPr>
                <w:rFonts w:ascii="Arial" w:eastAsia="DengXian" w:hAnsi="Arial" w:cs="Arial"/>
                <w:sz w:val="16"/>
                <w:szCs w:val="16"/>
              </w:rPr>
              <w:t xml:space="preserve">SEQUENCE { </w:t>
            </w:r>
          </w:p>
          <w:p w14:paraId="03A121D2" w14:textId="77777777" w:rsidR="00FC60CA" w:rsidRPr="00FC60CA" w:rsidRDefault="00FC60CA" w:rsidP="00FC60CA">
            <w:pPr>
              <w:tabs>
                <w:tab w:val="left" w:pos="757"/>
              </w:tabs>
              <w:rPr>
                <w:rFonts w:ascii="Arial" w:eastAsia="DengXian" w:hAnsi="Arial" w:cs="Arial"/>
                <w:sz w:val="16"/>
                <w:szCs w:val="16"/>
              </w:rPr>
            </w:pPr>
            <w:r w:rsidRPr="00FC60CA">
              <w:rPr>
                <w:rFonts w:ascii="Arial" w:eastAsia="DengXian" w:hAnsi="Arial" w:cs="Arial"/>
                <w:sz w:val="16"/>
                <w:szCs w:val="16"/>
              </w:rPr>
              <w:t xml:space="preserve"> LTM-tci-StateId, </w:t>
            </w:r>
          </w:p>
          <w:p w14:paraId="579B24DE" w14:textId="77777777" w:rsidR="00FC60CA" w:rsidRPr="00FC60CA" w:rsidRDefault="00FC60CA" w:rsidP="00FC60CA">
            <w:pPr>
              <w:tabs>
                <w:tab w:val="left" w:pos="757"/>
              </w:tabs>
              <w:rPr>
                <w:rFonts w:ascii="Arial" w:eastAsia="DengXian" w:hAnsi="Arial" w:cs="Arial"/>
                <w:sz w:val="16"/>
                <w:szCs w:val="16"/>
              </w:rPr>
            </w:pPr>
            <w:r w:rsidRPr="00FC60CA">
              <w:rPr>
                <w:rFonts w:ascii="Arial" w:eastAsia="DengXian" w:hAnsi="Arial" w:cs="Arial"/>
                <w:sz w:val="16"/>
                <w:szCs w:val="16"/>
              </w:rPr>
              <w:t xml:space="preserve"> qcl-Type1, </w:t>
            </w:r>
          </w:p>
          <w:p w14:paraId="75E23F99" w14:textId="77777777" w:rsidR="00FC60CA" w:rsidRPr="00FC60CA" w:rsidRDefault="00FC60CA" w:rsidP="00FC60CA">
            <w:pPr>
              <w:tabs>
                <w:tab w:val="left" w:pos="757"/>
              </w:tabs>
              <w:rPr>
                <w:rFonts w:ascii="Arial" w:eastAsia="DengXian" w:hAnsi="Arial" w:cs="Arial"/>
                <w:sz w:val="16"/>
                <w:szCs w:val="16"/>
              </w:rPr>
            </w:pPr>
            <w:r w:rsidRPr="00FC60CA">
              <w:rPr>
                <w:rFonts w:ascii="Arial" w:eastAsia="DengXian" w:hAnsi="Arial" w:cs="Arial"/>
                <w:sz w:val="16"/>
                <w:szCs w:val="16"/>
              </w:rPr>
              <w:t xml:space="preserve"> qcl-Type2,</w:t>
            </w:r>
          </w:p>
          <w:p w14:paraId="03AEC074" w14:textId="77777777" w:rsidR="00FC60CA" w:rsidRPr="00FC60CA" w:rsidRDefault="00FC60CA" w:rsidP="00FC60CA">
            <w:pPr>
              <w:tabs>
                <w:tab w:val="left" w:pos="757"/>
              </w:tabs>
              <w:rPr>
                <w:rFonts w:ascii="Arial" w:eastAsia="DengXian" w:hAnsi="Arial" w:cs="Arial"/>
                <w:sz w:val="16"/>
                <w:szCs w:val="16"/>
              </w:rPr>
            </w:pPr>
          </w:p>
          <w:p w14:paraId="6219DCF5" w14:textId="77777777" w:rsidR="00FC60CA" w:rsidRPr="00FC60CA" w:rsidRDefault="00FC60CA" w:rsidP="00FC60CA">
            <w:pPr>
              <w:tabs>
                <w:tab w:val="left" w:pos="757"/>
              </w:tabs>
              <w:rPr>
                <w:rFonts w:ascii="Arial" w:eastAsia="DengXian" w:hAnsi="Arial" w:cs="Arial"/>
                <w:sz w:val="16"/>
                <w:szCs w:val="16"/>
              </w:rPr>
            </w:pPr>
            <w:r w:rsidRPr="00FC60CA">
              <w:rPr>
                <w:rFonts w:ascii="Arial" w:eastAsia="DengXian" w:hAnsi="Arial" w:cs="Arial"/>
                <w:sz w:val="16"/>
                <w:szCs w:val="16"/>
              </w:rPr>
              <w:t xml:space="preserve"> </w:t>
            </w:r>
            <w:r w:rsidRPr="00FC60CA">
              <w:rPr>
                <w:rFonts w:ascii="Arial" w:eastAsia="DengXian" w:hAnsi="Arial" w:cs="Arial"/>
                <w:color w:val="FF0000"/>
                <w:sz w:val="16"/>
                <w:szCs w:val="16"/>
              </w:rPr>
              <w:t>pathlossReferenceRS-Id-r18</w:t>
            </w:r>
          </w:p>
          <w:p w14:paraId="153E9366" w14:textId="77777777" w:rsidR="00FC60CA" w:rsidRPr="00FC60CA" w:rsidRDefault="00FC60CA" w:rsidP="00FC60CA">
            <w:pPr>
              <w:tabs>
                <w:tab w:val="left" w:pos="757"/>
              </w:tabs>
              <w:rPr>
                <w:rFonts w:ascii="Arial" w:eastAsia="DengXian" w:hAnsi="Arial" w:cs="Arial"/>
                <w:sz w:val="16"/>
                <w:szCs w:val="16"/>
              </w:rPr>
            </w:pPr>
            <w:r w:rsidRPr="00FC60CA">
              <w:rPr>
                <w:rFonts w:ascii="Arial" w:eastAsia="DengXian" w:hAnsi="Arial" w:cs="Arial"/>
                <w:sz w:val="16"/>
                <w:szCs w:val="16"/>
              </w:rPr>
              <w:t>}</w:t>
            </w:r>
          </w:p>
        </w:tc>
      </w:tr>
      <w:tr w:rsidR="00FC60CA" w:rsidRPr="00FC60CA" w14:paraId="1C77E68C" w14:textId="77777777" w:rsidTr="00FC60CA">
        <w:trPr>
          <w:trHeight w:val="451"/>
        </w:trPr>
        <w:tc>
          <w:tcPr>
            <w:tcW w:w="226" w:type="pct"/>
            <w:shd w:val="clear" w:color="auto" w:fill="auto"/>
          </w:tcPr>
          <w:p w14:paraId="2C028B8F" w14:textId="77777777" w:rsidR="00FC60CA" w:rsidRPr="00FC60CA" w:rsidRDefault="00FC60CA" w:rsidP="00FC60CA">
            <w:pPr>
              <w:rPr>
                <w:rFonts w:ascii="Arial" w:eastAsia="DengXian" w:hAnsi="Arial" w:cs="Arial"/>
                <w:sz w:val="16"/>
                <w:szCs w:val="16"/>
              </w:rPr>
            </w:pPr>
            <w:r w:rsidRPr="00FC60CA">
              <w:rPr>
                <w:rFonts w:ascii="Arial" w:eastAsia="DengXian" w:hAnsi="Arial" w:cs="Arial"/>
                <w:sz w:val="16"/>
                <w:szCs w:val="16"/>
              </w:rPr>
              <w:t>2</w:t>
            </w:r>
          </w:p>
        </w:tc>
        <w:tc>
          <w:tcPr>
            <w:tcW w:w="642" w:type="pct"/>
            <w:shd w:val="clear" w:color="auto" w:fill="auto"/>
          </w:tcPr>
          <w:p w14:paraId="78B0B8D9" w14:textId="77777777" w:rsidR="00FC60CA" w:rsidRPr="00FC60CA" w:rsidRDefault="00FC60CA" w:rsidP="00FC60CA">
            <w:pPr>
              <w:rPr>
                <w:rFonts w:ascii="Arial" w:eastAsia="DengXian" w:hAnsi="Arial" w:cs="Arial"/>
                <w:sz w:val="16"/>
                <w:szCs w:val="16"/>
              </w:rPr>
            </w:pPr>
            <w:r w:rsidRPr="00FC60CA">
              <w:rPr>
                <w:rFonts w:ascii="Arial" w:eastAsia="DengXian" w:hAnsi="Arial" w:cs="Arial"/>
                <w:sz w:val="16"/>
                <w:szCs w:val="16"/>
              </w:rPr>
              <w:t>ltm-ul-TCI-ToAddModList</w:t>
            </w:r>
          </w:p>
        </w:tc>
        <w:tc>
          <w:tcPr>
            <w:tcW w:w="826" w:type="pct"/>
            <w:shd w:val="clear" w:color="auto" w:fill="auto"/>
          </w:tcPr>
          <w:p w14:paraId="2EB05D1C" w14:textId="77777777" w:rsidR="00FC60CA" w:rsidRPr="00FC60CA" w:rsidRDefault="00FC60CA" w:rsidP="00FC60CA">
            <w:pPr>
              <w:rPr>
                <w:rFonts w:ascii="Arial" w:eastAsia="DengXian" w:hAnsi="Arial" w:cs="Arial"/>
                <w:sz w:val="16"/>
                <w:szCs w:val="16"/>
              </w:rPr>
            </w:pPr>
            <w:r w:rsidRPr="00FC60CA">
              <w:rPr>
                <w:rFonts w:ascii="Arial" w:eastAsia="DengXian" w:hAnsi="Arial" w:cs="Arial"/>
                <w:sz w:val="16"/>
                <w:szCs w:val="16"/>
              </w:rPr>
              <w:t>LTM-Candidate-TCI-UL-State-r18</w:t>
            </w:r>
          </w:p>
        </w:tc>
        <w:tc>
          <w:tcPr>
            <w:tcW w:w="565" w:type="pct"/>
            <w:shd w:val="clear" w:color="auto" w:fill="auto"/>
          </w:tcPr>
          <w:p w14:paraId="3EF0D3D0" w14:textId="77777777" w:rsidR="00FC60CA" w:rsidRPr="00FC60CA" w:rsidRDefault="00FC60CA" w:rsidP="00FC60CA">
            <w:pPr>
              <w:rPr>
                <w:rFonts w:ascii="Arial" w:eastAsia="DengXian" w:hAnsi="Arial" w:cs="Arial"/>
                <w:sz w:val="16"/>
                <w:szCs w:val="16"/>
              </w:rPr>
            </w:pPr>
            <w:r w:rsidRPr="00FC60CA">
              <w:rPr>
                <w:rFonts w:ascii="Arial" w:eastAsia="DengXian" w:hAnsi="Arial" w:cs="Arial"/>
                <w:sz w:val="16"/>
                <w:szCs w:val="16"/>
              </w:rPr>
              <w:t>new</w:t>
            </w:r>
          </w:p>
        </w:tc>
        <w:tc>
          <w:tcPr>
            <w:tcW w:w="739" w:type="pct"/>
            <w:shd w:val="clear" w:color="auto" w:fill="auto"/>
          </w:tcPr>
          <w:p w14:paraId="37FAA7D5" w14:textId="77777777" w:rsidR="00FC60CA" w:rsidRPr="00FC60CA" w:rsidRDefault="00FC60CA" w:rsidP="00FC60CA">
            <w:pPr>
              <w:rPr>
                <w:rFonts w:ascii="Arial" w:eastAsia="DengXian" w:hAnsi="Arial" w:cs="Arial"/>
                <w:sz w:val="16"/>
                <w:szCs w:val="16"/>
              </w:rPr>
            </w:pPr>
            <w:r w:rsidRPr="00FC60CA">
              <w:rPr>
                <w:rFonts w:ascii="Arial" w:eastAsia="DengXian" w:hAnsi="Arial" w:cs="Arial"/>
                <w:sz w:val="16"/>
                <w:szCs w:val="16"/>
              </w:rPr>
              <w:t>Indicates the TCI-state information for UL transmission of candidate cell.</w:t>
            </w:r>
          </w:p>
        </w:tc>
        <w:tc>
          <w:tcPr>
            <w:tcW w:w="2001" w:type="pct"/>
            <w:shd w:val="clear" w:color="auto" w:fill="auto"/>
          </w:tcPr>
          <w:p w14:paraId="260564FB" w14:textId="77777777" w:rsidR="00FC60CA" w:rsidRPr="00FC60CA" w:rsidRDefault="00FC60CA" w:rsidP="00FC60CA">
            <w:pPr>
              <w:tabs>
                <w:tab w:val="left" w:pos="757"/>
              </w:tabs>
              <w:rPr>
                <w:rFonts w:ascii="Arial" w:eastAsia="DengXian" w:hAnsi="Arial" w:cs="Arial"/>
                <w:sz w:val="16"/>
                <w:szCs w:val="16"/>
              </w:rPr>
            </w:pPr>
            <w:r w:rsidRPr="00FC60CA">
              <w:rPr>
                <w:rFonts w:ascii="Arial" w:eastAsia="DengXian" w:hAnsi="Arial" w:cs="Arial"/>
                <w:sz w:val="16"/>
                <w:szCs w:val="16"/>
              </w:rPr>
              <w:t xml:space="preserve">SEQUENCE { </w:t>
            </w:r>
          </w:p>
          <w:p w14:paraId="37FFB96A" w14:textId="77777777" w:rsidR="00FC60CA" w:rsidRPr="00FC60CA" w:rsidRDefault="00FC60CA" w:rsidP="00FC60CA">
            <w:pPr>
              <w:tabs>
                <w:tab w:val="left" w:pos="757"/>
              </w:tabs>
              <w:rPr>
                <w:rFonts w:ascii="Arial" w:eastAsia="DengXian" w:hAnsi="Arial" w:cs="Arial"/>
                <w:sz w:val="16"/>
                <w:szCs w:val="16"/>
              </w:rPr>
            </w:pPr>
            <w:r w:rsidRPr="00FC60CA">
              <w:rPr>
                <w:rFonts w:ascii="Arial" w:eastAsia="DengXian" w:hAnsi="Arial" w:cs="Arial"/>
                <w:sz w:val="16"/>
                <w:szCs w:val="16"/>
              </w:rPr>
              <w:t xml:space="preserve"> LTM-tci-UL-StateId, </w:t>
            </w:r>
          </w:p>
          <w:p w14:paraId="6878F53E" w14:textId="77777777" w:rsidR="00FC60CA" w:rsidRPr="00FC60CA" w:rsidRDefault="00FC60CA" w:rsidP="00FC60CA">
            <w:pPr>
              <w:tabs>
                <w:tab w:val="left" w:pos="757"/>
              </w:tabs>
              <w:rPr>
                <w:rFonts w:ascii="Arial" w:eastAsia="DengXian" w:hAnsi="Arial" w:cs="Arial"/>
                <w:sz w:val="16"/>
                <w:szCs w:val="16"/>
              </w:rPr>
            </w:pPr>
            <w:r w:rsidRPr="00FC60CA">
              <w:rPr>
                <w:rFonts w:ascii="Arial" w:eastAsia="DengXian" w:hAnsi="Arial" w:cs="Arial"/>
                <w:sz w:val="16"/>
                <w:szCs w:val="16"/>
              </w:rPr>
              <w:t xml:space="preserve"> refereneSignal-r18,</w:t>
            </w:r>
          </w:p>
          <w:p w14:paraId="03652E48" w14:textId="77777777" w:rsidR="00FC60CA" w:rsidRPr="00FC60CA" w:rsidRDefault="00FC60CA" w:rsidP="00FC60CA">
            <w:pPr>
              <w:tabs>
                <w:tab w:val="left" w:pos="757"/>
              </w:tabs>
              <w:rPr>
                <w:rFonts w:ascii="Arial" w:eastAsia="DengXian" w:hAnsi="Arial" w:cs="Arial"/>
                <w:sz w:val="16"/>
                <w:szCs w:val="16"/>
              </w:rPr>
            </w:pPr>
          </w:p>
          <w:p w14:paraId="5BAD4311" w14:textId="77777777" w:rsidR="00FC60CA" w:rsidRPr="00FC60CA" w:rsidRDefault="00FC60CA" w:rsidP="00FC60CA">
            <w:pPr>
              <w:tabs>
                <w:tab w:val="left" w:pos="757"/>
              </w:tabs>
              <w:rPr>
                <w:rFonts w:ascii="Arial" w:eastAsia="DengXian" w:hAnsi="Arial" w:cs="Arial"/>
                <w:sz w:val="16"/>
                <w:szCs w:val="16"/>
              </w:rPr>
            </w:pPr>
            <w:r w:rsidRPr="00FC60CA">
              <w:rPr>
                <w:rFonts w:ascii="Arial" w:eastAsia="DengXian" w:hAnsi="Arial" w:cs="Arial"/>
                <w:sz w:val="16"/>
                <w:szCs w:val="16"/>
              </w:rPr>
              <w:t xml:space="preserve"> </w:t>
            </w:r>
            <w:r w:rsidRPr="00FC60CA">
              <w:rPr>
                <w:rFonts w:ascii="Arial" w:eastAsia="DengXian" w:hAnsi="Arial" w:cs="Arial"/>
                <w:color w:val="FF0000"/>
                <w:sz w:val="16"/>
                <w:szCs w:val="16"/>
              </w:rPr>
              <w:t>pathlossReferenceRS-Id-r18</w:t>
            </w:r>
          </w:p>
          <w:p w14:paraId="20F2C4E2" w14:textId="77777777" w:rsidR="00FC60CA" w:rsidRPr="00FC60CA" w:rsidRDefault="00FC60CA" w:rsidP="00FC60CA">
            <w:pPr>
              <w:tabs>
                <w:tab w:val="left" w:pos="757"/>
              </w:tabs>
              <w:rPr>
                <w:rFonts w:ascii="Arial" w:eastAsia="DengXian" w:hAnsi="Arial" w:cs="Arial"/>
                <w:sz w:val="16"/>
                <w:szCs w:val="16"/>
              </w:rPr>
            </w:pPr>
            <w:r w:rsidRPr="00FC60CA">
              <w:rPr>
                <w:rFonts w:ascii="Arial" w:eastAsia="DengXian" w:hAnsi="Arial" w:cs="Arial"/>
                <w:sz w:val="16"/>
                <w:szCs w:val="16"/>
              </w:rPr>
              <w:t>}</w:t>
            </w:r>
          </w:p>
        </w:tc>
      </w:tr>
    </w:tbl>
    <w:p w14:paraId="732EF1F7" w14:textId="77777777" w:rsidR="00FC60CA" w:rsidRPr="00FC60CA" w:rsidRDefault="00FC60CA" w:rsidP="00FC60CA">
      <w:pPr>
        <w:rPr>
          <w:lang w:val="en-US"/>
        </w:rPr>
      </w:pPr>
    </w:p>
    <w:p w14:paraId="6B0590B5" w14:textId="77777777" w:rsidR="00FC60CA" w:rsidRPr="00FC60CA" w:rsidRDefault="00FC60CA" w:rsidP="00FC60CA">
      <w:pPr>
        <w:rPr>
          <w:lang w:val="en-US"/>
        </w:rPr>
      </w:pPr>
      <w:r w:rsidRPr="00FC60CA">
        <w:rPr>
          <w:highlight w:val="green"/>
          <w:lang w:val="en-US"/>
        </w:rPr>
        <w:t>Agreement</w:t>
      </w:r>
    </w:p>
    <w:p w14:paraId="4F8D52E2" w14:textId="77777777" w:rsidR="00FC60CA" w:rsidRPr="00FC60CA" w:rsidRDefault="00FC60CA" w:rsidP="00AA1D48">
      <w:pPr>
        <w:pStyle w:val="ListParagraph"/>
        <w:numPr>
          <w:ilvl w:val="0"/>
          <w:numId w:val="131"/>
        </w:numPr>
      </w:pPr>
      <w:r w:rsidRPr="00FC60CA">
        <w:t>Agree the following RRC parameter for TRS configuration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4"/>
        <w:gridCol w:w="2173"/>
        <w:gridCol w:w="2173"/>
        <w:gridCol w:w="1111"/>
        <w:gridCol w:w="1432"/>
        <w:gridCol w:w="3400"/>
      </w:tblGrid>
      <w:tr w:rsidR="00FC60CA" w:rsidRPr="00FC60CA" w14:paraId="52B1CEAF" w14:textId="77777777" w:rsidTr="00FC60CA">
        <w:trPr>
          <w:trHeight w:val="451"/>
        </w:trPr>
        <w:tc>
          <w:tcPr>
            <w:tcW w:w="228" w:type="pct"/>
            <w:shd w:val="clear" w:color="auto" w:fill="D9D9D9"/>
          </w:tcPr>
          <w:p w14:paraId="659EB787" w14:textId="77777777" w:rsidR="00FC60CA" w:rsidRPr="00FC60CA" w:rsidRDefault="00FC60CA" w:rsidP="00FC60CA">
            <w:pPr>
              <w:rPr>
                <w:rFonts w:ascii="Arial" w:eastAsia="DengXian" w:hAnsi="Arial" w:cs="Arial"/>
                <w:sz w:val="16"/>
                <w:szCs w:val="16"/>
              </w:rPr>
            </w:pPr>
            <w:r w:rsidRPr="00FC60CA">
              <w:rPr>
                <w:rFonts w:ascii="Arial" w:eastAsia="DengXian" w:hAnsi="Arial" w:cs="Arial"/>
                <w:sz w:val="16"/>
                <w:szCs w:val="16"/>
              </w:rPr>
              <w:t>#</w:t>
            </w:r>
          </w:p>
        </w:tc>
        <w:tc>
          <w:tcPr>
            <w:tcW w:w="691" w:type="pct"/>
            <w:shd w:val="clear" w:color="auto" w:fill="D9D9D9"/>
          </w:tcPr>
          <w:p w14:paraId="14F3AEC1" w14:textId="77777777" w:rsidR="00FC60CA" w:rsidRPr="00FC60CA" w:rsidRDefault="00FC60CA" w:rsidP="00FC60CA">
            <w:pPr>
              <w:rPr>
                <w:rFonts w:ascii="Arial" w:eastAsia="DengXian" w:hAnsi="Arial" w:cs="Arial"/>
                <w:sz w:val="16"/>
                <w:szCs w:val="16"/>
              </w:rPr>
            </w:pPr>
            <w:r w:rsidRPr="00FC60CA">
              <w:rPr>
                <w:rFonts w:ascii="Arial" w:eastAsia="DengXian" w:hAnsi="Arial" w:cs="Arial"/>
                <w:sz w:val="16"/>
                <w:szCs w:val="16"/>
              </w:rPr>
              <w:t>RAN2 parent IE</w:t>
            </w:r>
          </w:p>
        </w:tc>
        <w:tc>
          <w:tcPr>
            <w:tcW w:w="863" w:type="pct"/>
            <w:shd w:val="clear" w:color="auto" w:fill="D9D9D9"/>
          </w:tcPr>
          <w:p w14:paraId="6383ED7D" w14:textId="77777777" w:rsidR="00FC60CA" w:rsidRPr="00FC60CA" w:rsidRDefault="00FC60CA" w:rsidP="00FC60CA">
            <w:pPr>
              <w:rPr>
                <w:rFonts w:ascii="Arial" w:eastAsia="DengXian" w:hAnsi="Arial" w:cs="Arial"/>
                <w:sz w:val="16"/>
                <w:szCs w:val="16"/>
              </w:rPr>
            </w:pPr>
            <w:r w:rsidRPr="00FC60CA">
              <w:rPr>
                <w:rFonts w:ascii="Arial" w:eastAsia="DengXian" w:hAnsi="Arial" w:cs="Arial"/>
                <w:sz w:val="16"/>
                <w:szCs w:val="16"/>
              </w:rPr>
              <w:t>Parameter name in the spec</w:t>
            </w:r>
          </w:p>
        </w:tc>
        <w:tc>
          <w:tcPr>
            <w:tcW w:w="716" w:type="pct"/>
            <w:shd w:val="clear" w:color="auto" w:fill="D9D9D9"/>
          </w:tcPr>
          <w:p w14:paraId="573ACA45" w14:textId="77777777" w:rsidR="00FC60CA" w:rsidRPr="00FC60CA" w:rsidRDefault="00FC60CA" w:rsidP="00FC60CA">
            <w:pPr>
              <w:rPr>
                <w:rFonts w:ascii="Arial" w:eastAsia="DengXian" w:hAnsi="Arial" w:cs="Arial"/>
                <w:sz w:val="16"/>
                <w:szCs w:val="16"/>
              </w:rPr>
            </w:pPr>
            <w:r w:rsidRPr="00FC60CA">
              <w:rPr>
                <w:rFonts w:ascii="Arial" w:eastAsia="DengXian" w:hAnsi="Arial" w:cs="Arial"/>
                <w:sz w:val="16"/>
                <w:szCs w:val="16"/>
              </w:rPr>
              <w:t>New or existing?</w:t>
            </w:r>
          </w:p>
        </w:tc>
        <w:tc>
          <w:tcPr>
            <w:tcW w:w="790" w:type="pct"/>
            <w:shd w:val="clear" w:color="auto" w:fill="D9D9D9"/>
          </w:tcPr>
          <w:p w14:paraId="056EAE8F" w14:textId="77777777" w:rsidR="00FC60CA" w:rsidRPr="00FC60CA" w:rsidRDefault="00FC60CA" w:rsidP="00FC60CA">
            <w:pPr>
              <w:rPr>
                <w:rFonts w:ascii="Arial" w:eastAsia="DengXian" w:hAnsi="Arial" w:cs="Arial"/>
                <w:sz w:val="16"/>
                <w:szCs w:val="16"/>
              </w:rPr>
            </w:pPr>
            <w:r w:rsidRPr="00FC60CA">
              <w:rPr>
                <w:rFonts w:ascii="Arial" w:eastAsia="DengXian" w:hAnsi="Arial" w:cs="Arial"/>
                <w:sz w:val="16"/>
                <w:szCs w:val="16"/>
              </w:rPr>
              <w:t>Description</w:t>
            </w:r>
          </w:p>
        </w:tc>
        <w:tc>
          <w:tcPr>
            <w:tcW w:w="1711" w:type="pct"/>
            <w:shd w:val="clear" w:color="auto" w:fill="D9D9D9"/>
          </w:tcPr>
          <w:p w14:paraId="022B503C" w14:textId="77777777" w:rsidR="00FC60CA" w:rsidRPr="00FC60CA" w:rsidRDefault="00FC60CA" w:rsidP="00FC60CA">
            <w:pPr>
              <w:rPr>
                <w:rFonts w:ascii="Arial" w:eastAsia="DengXian" w:hAnsi="Arial" w:cs="Arial"/>
                <w:sz w:val="16"/>
                <w:szCs w:val="16"/>
              </w:rPr>
            </w:pPr>
            <w:r w:rsidRPr="00FC60CA">
              <w:rPr>
                <w:rFonts w:ascii="Arial" w:eastAsia="DengXian" w:hAnsi="Arial" w:cs="Arial"/>
                <w:sz w:val="16"/>
                <w:szCs w:val="16"/>
              </w:rPr>
              <w:t>Value Range</w:t>
            </w:r>
          </w:p>
        </w:tc>
      </w:tr>
      <w:tr w:rsidR="00FC60CA" w:rsidRPr="00FC60CA" w14:paraId="77F11A0C" w14:textId="77777777" w:rsidTr="00FC60CA">
        <w:trPr>
          <w:trHeight w:val="451"/>
        </w:trPr>
        <w:tc>
          <w:tcPr>
            <w:tcW w:w="228" w:type="pct"/>
            <w:shd w:val="clear" w:color="auto" w:fill="auto"/>
          </w:tcPr>
          <w:p w14:paraId="0A52F4F5" w14:textId="77777777" w:rsidR="00FC60CA" w:rsidRPr="00FC60CA" w:rsidRDefault="00FC60CA" w:rsidP="00FC60CA">
            <w:pPr>
              <w:rPr>
                <w:rFonts w:ascii="Arial" w:eastAsia="DengXian" w:hAnsi="Arial" w:cs="Arial"/>
                <w:sz w:val="16"/>
                <w:szCs w:val="16"/>
              </w:rPr>
            </w:pPr>
            <w:r w:rsidRPr="00FC60CA">
              <w:rPr>
                <w:rFonts w:ascii="Arial" w:eastAsia="DengXian" w:hAnsi="Arial" w:cs="Arial"/>
                <w:sz w:val="16"/>
                <w:szCs w:val="16"/>
              </w:rPr>
              <w:t>1</w:t>
            </w:r>
          </w:p>
        </w:tc>
        <w:tc>
          <w:tcPr>
            <w:tcW w:w="691" w:type="pct"/>
            <w:shd w:val="clear" w:color="auto" w:fill="auto"/>
          </w:tcPr>
          <w:p w14:paraId="2B8C1C45" w14:textId="77777777" w:rsidR="00FC60CA" w:rsidRPr="00FC60CA" w:rsidRDefault="00FC60CA" w:rsidP="00FC60CA">
            <w:pPr>
              <w:rPr>
                <w:rFonts w:ascii="Arial" w:eastAsia="DengXian" w:hAnsi="Arial" w:cs="Arial"/>
                <w:sz w:val="16"/>
                <w:szCs w:val="16"/>
              </w:rPr>
            </w:pPr>
            <w:r w:rsidRPr="00FC60CA">
              <w:rPr>
                <w:rFonts w:ascii="Arial" w:eastAsia="DengXian" w:hAnsi="Arial" w:cs="Arial"/>
                <w:sz w:val="16"/>
                <w:szCs w:val="16"/>
              </w:rPr>
              <w:t>LTM-Config-r18</w:t>
            </w:r>
          </w:p>
        </w:tc>
        <w:tc>
          <w:tcPr>
            <w:tcW w:w="863" w:type="pct"/>
            <w:shd w:val="clear" w:color="auto" w:fill="auto"/>
          </w:tcPr>
          <w:p w14:paraId="39253E8F" w14:textId="77777777" w:rsidR="00FC60CA" w:rsidRPr="00FC60CA" w:rsidRDefault="00FC60CA" w:rsidP="00FC60CA">
            <w:pPr>
              <w:rPr>
                <w:rFonts w:ascii="Arial" w:eastAsia="DengXian" w:hAnsi="Arial" w:cs="Arial"/>
                <w:sz w:val="16"/>
                <w:szCs w:val="16"/>
              </w:rPr>
            </w:pPr>
            <w:r w:rsidRPr="00FC60CA">
              <w:rPr>
                <w:rFonts w:ascii="Arial" w:eastAsia="DengXian" w:hAnsi="Arial" w:cs="Arial"/>
                <w:sz w:val="16"/>
                <w:szCs w:val="16"/>
              </w:rPr>
              <w:t>LTM-Candidate-r18</w:t>
            </w:r>
          </w:p>
        </w:tc>
        <w:tc>
          <w:tcPr>
            <w:tcW w:w="716" w:type="pct"/>
            <w:shd w:val="clear" w:color="auto" w:fill="auto"/>
          </w:tcPr>
          <w:p w14:paraId="64DDD654" w14:textId="77777777" w:rsidR="00FC60CA" w:rsidRPr="00FC60CA" w:rsidRDefault="00FC60CA" w:rsidP="00FC60CA">
            <w:pPr>
              <w:rPr>
                <w:rFonts w:ascii="Arial" w:eastAsia="DengXian" w:hAnsi="Arial" w:cs="Arial"/>
                <w:sz w:val="16"/>
                <w:szCs w:val="16"/>
              </w:rPr>
            </w:pPr>
            <w:r w:rsidRPr="00FC60CA">
              <w:rPr>
                <w:rFonts w:ascii="Arial" w:eastAsia="DengXian" w:hAnsi="Arial" w:cs="Arial"/>
                <w:sz w:val="16"/>
                <w:szCs w:val="16"/>
              </w:rPr>
              <w:t>new</w:t>
            </w:r>
          </w:p>
        </w:tc>
        <w:tc>
          <w:tcPr>
            <w:tcW w:w="790" w:type="pct"/>
            <w:shd w:val="clear" w:color="auto" w:fill="auto"/>
          </w:tcPr>
          <w:p w14:paraId="2D744150" w14:textId="77777777" w:rsidR="00FC60CA" w:rsidRPr="00FC60CA" w:rsidRDefault="00FC60CA" w:rsidP="00FC60CA">
            <w:pPr>
              <w:rPr>
                <w:rFonts w:ascii="Arial" w:eastAsia="DengXian" w:hAnsi="Arial" w:cs="Arial"/>
                <w:sz w:val="16"/>
                <w:szCs w:val="16"/>
              </w:rPr>
            </w:pPr>
            <w:r w:rsidRPr="00FC60CA">
              <w:rPr>
                <w:rFonts w:ascii="Arial" w:eastAsia="DengXian" w:hAnsi="Arial" w:cs="Arial"/>
                <w:sz w:val="16"/>
                <w:szCs w:val="16"/>
              </w:rPr>
              <w:t>This field contains necessary information for the UE for procedures about an LTM candidate cell to be executed before an LTM cell switch</w:t>
            </w:r>
          </w:p>
        </w:tc>
        <w:tc>
          <w:tcPr>
            <w:tcW w:w="1711" w:type="pct"/>
            <w:shd w:val="clear" w:color="auto" w:fill="auto"/>
          </w:tcPr>
          <w:p w14:paraId="5FFA6A02" w14:textId="77777777" w:rsidR="00FC60CA" w:rsidRPr="00FC60CA" w:rsidRDefault="00FC60CA" w:rsidP="00FC60CA">
            <w:pPr>
              <w:tabs>
                <w:tab w:val="left" w:pos="757"/>
              </w:tabs>
              <w:rPr>
                <w:rFonts w:ascii="Arial" w:eastAsia="DengXian" w:hAnsi="Arial" w:cs="Arial"/>
                <w:sz w:val="16"/>
                <w:szCs w:val="16"/>
              </w:rPr>
            </w:pPr>
            <w:r w:rsidRPr="00FC60CA">
              <w:rPr>
                <w:rFonts w:ascii="Arial" w:eastAsia="DengXian" w:hAnsi="Arial" w:cs="Arial"/>
                <w:sz w:val="16"/>
                <w:szCs w:val="16"/>
              </w:rPr>
              <w:t xml:space="preserve">LTM-CandidateId-r18,             </w:t>
            </w:r>
          </w:p>
          <w:p w14:paraId="24C1C7AA" w14:textId="77777777" w:rsidR="00FC60CA" w:rsidRPr="00FC60CA" w:rsidRDefault="00FC60CA" w:rsidP="00FC60CA">
            <w:pPr>
              <w:tabs>
                <w:tab w:val="left" w:pos="757"/>
              </w:tabs>
              <w:rPr>
                <w:rFonts w:ascii="Arial" w:eastAsia="DengXian" w:hAnsi="Arial" w:cs="Arial"/>
                <w:sz w:val="16"/>
                <w:szCs w:val="16"/>
              </w:rPr>
            </w:pPr>
            <w:r w:rsidRPr="00FC60CA">
              <w:rPr>
                <w:rFonts w:ascii="Arial" w:eastAsia="DengXian" w:hAnsi="Arial" w:cs="Arial"/>
                <w:sz w:val="16"/>
                <w:szCs w:val="16"/>
              </w:rPr>
              <w:t>LTM-SSB-Config-r18,</w:t>
            </w:r>
          </w:p>
          <w:p w14:paraId="39157EAE" w14:textId="77777777" w:rsidR="00FC60CA" w:rsidRPr="00FC60CA" w:rsidRDefault="00FC60CA" w:rsidP="00FC60CA">
            <w:pPr>
              <w:tabs>
                <w:tab w:val="left" w:pos="757"/>
              </w:tabs>
              <w:rPr>
                <w:rFonts w:ascii="Arial" w:eastAsia="DengXian" w:hAnsi="Arial" w:cs="Arial"/>
                <w:sz w:val="16"/>
                <w:szCs w:val="16"/>
              </w:rPr>
            </w:pPr>
          </w:p>
          <w:p w14:paraId="08A99C5A" w14:textId="77777777" w:rsidR="00FC60CA" w:rsidRPr="00FC60CA" w:rsidRDefault="00FC60CA" w:rsidP="00FC60CA">
            <w:pPr>
              <w:tabs>
                <w:tab w:val="left" w:pos="757"/>
              </w:tabs>
              <w:rPr>
                <w:rFonts w:ascii="Arial" w:eastAsia="DengXian" w:hAnsi="Arial" w:cs="Arial"/>
                <w:sz w:val="16"/>
                <w:szCs w:val="16"/>
              </w:rPr>
            </w:pPr>
            <w:r w:rsidRPr="00FC60CA">
              <w:rPr>
                <w:rFonts w:ascii="Arial" w:eastAsia="DengXian" w:hAnsi="Arial" w:cs="Arial"/>
                <w:sz w:val="16"/>
                <w:szCs w:val="16"/>
              </w:rPr>
              <w:t xml:space="preserve">LTM-dl-OrJointTCI-StateToAddModList, </w:t>
            </w:r>
          </w:p>
          <w:p w14:paraId="6DDFD294" w14:textId="77777777" w:rsidR="00FC60CA" w:rsidRPr="00FC60CA" w:rsidRDefault="00FC60CA" w:rsidP="00FC60CA">
            <w:pPr>
              <w:tabs>
                <w:tab w:val="left" w:pos="757"/>
              </w:tabs>
              <w:rPr>
                <w:rFonts w:ascii="Arial" w:eastAsia="DengXian" w:hAnsi="Arial" w:cs="Arial"/>
                <w:sz w:val="16"/>
                <w:szCs w:val="16"/>
              </w:rPr>
            </w:pPr>
            <w:r w:rsidRPr="00FC60CA">
              <w:rPr>
                <w:rFonts w:ascii="Arial" w:eastAsia="DengXian" w:hAnsi="Arial" w:cs="Arial"/>
                <w:sz w:val="16"/>
                <w:szCs w:val="16"/>
              </w:rPr>
              <w:t xml:space="preserve">LTM-dl-OrJointTCI-StateToReleaseList-r18, </w:t>
            </w:r>
          </w:p>
          <w:p w14:paraId="3E9E6636" w14:textId="77777777" w:rsidR="00FC60CA" w:rsidRPr="00FC60CA" w:rsidRDefault="00FC60CA" w:rsidP="00FC60CA">
            <w:pPr>
              <w:tabs>
                <w:tab w:val="left" w:pos="757"/>
              </w:tabs>
              <w:rPr>
                <w:rFonts w:ascii="Arial" w:eastAsia="DengXian" w:hAnsi="Arial" w:cs="Arial"/>
                <w:sz w:val="16"/>
                <w:szCs w:val="16"/>
              </w:rPr>
            </w:pPr>
            <w:r w:rsidRPr="00FC60CA">
              <w:rPr>
                <w:rFonts w:ascii="Arial" w:eastAsia="DengXian" w:hAnsi="Arial" w:cs="Arial"/>
                <w:sz w:val="16"/>
                <w:szCs w:val="16"/>
              </w:rPr>
              <w:t xml:space="preserve">LTM-ul-TCI-ToAddModList, </w:t>
            </w:r>
          </w:p>
          <w:p w14:paraId="5DC3F590" w14:textId="77777777" w:rsidR="00FC60CA" w:rsidRPr="00FC60CA" w:rsidRDefault="00FC60CA" w:rsidP="00FC60CA">
            <w:pPr>
              <w:tabs>
                <w:tab w:val="left" w:pos="757"/>
              </w:tabs>
              <w:rPr>
                <w:rFonts w:ascii="Arial" w:eastAsia="DengXian" w:hAnsi="Arial" w:cs="Arial"/>
                <w:sz w:val="16"/>
                <w:szCs w:val="16"/>
              </w:rPr>
            </w:pPr>
            <w:r w:rsidRPr="00FC60CA">
              <w:rPr>
                <w:rFonts w:ascii="Arial" w:eastAsia="DengXian" w:hAnsi="Arial" w:cs="Arial"/>
                <w:sz w:val="16"/>
                <w:szCs w:val="16"/>
              </w:rPr>
              <w:t>LTM-ul-TCI-ToReleaseList-r17,</w:t>
            </w:r>
          </w:p>
          <w:p w14:paraId="41B08E3F" w14:textId="77777777" w:rsidR="00FC60CA" w:rsidRPr="00FC60CA" w:rsidRDefault="00FC60CA" w:rsidP="00FC60CA">
            <w:pPr>
              <w:tabs>
                <w:tab w:val="left" w:pos="757"/>
              </w:tabs>
              <w:rPr>
                <w:rFonts w:ascii="Arial" w:eastAsia="DengXian" w:hAnsi="Arial" w:cs="Arial"/>
                <w:sz w:val="16"/>
                <w:szCs w:val="16"/>
              </w:rPr>
            </w:pPr>
          </w:p>
          <w:p w14:paraId="2D4DE72C" w14:textId="77777777" w:rsidR="00FC60CA" w:rsidRPr="00FC60CA" w:rsidRDefault="00FC60CA" w:rsidP="00FC60CA">
            <w:pPr>
              <w:tabs>
                <w:tab w:val="left" w:pos="757"/>
              </w:tabs>
              <w:rPr>
                <w:rFonts w:ascii="Arial" w:eastAsia="DengXian" w:hAnsi="Arial" w:cs="Arial"/>
                <w:color w:val="FF0000"/>
                <w:sz w:val="16"/>
                <w:szCs w:val="16"/>
              </w:rPr>
            </w:pPr>
            <w:r w:rsidRPr="00FC60CA">
              <w:rPr>
                <w:rFonts w:ascii="Arial" w:eastAsia="DengXian" w:hAnsi="Arial" w:cs="Arial"/>
                <w:color w:val="FF0000"/>
                <w:sz w:val="16"/>
                <w:szCs w:val="16"/>
              </w:rPr>
              <w:t xml:space="preserve">LTM-nzp-CSI-RS-ResourceToAddModList, </w:t>
            </w:r>
          </w:p>
          <w:p w14:paraId="20AA461F" w14:textId="77777777" w:rsidR="00FC60CA" w:rsidRPr="00FC60CA" w:rsidRDefault="00FC60CA" w:rsidP="00FC60CA">
            <w:pPr>
              <w:tabs>
                <w:tab w:val="left" w:pos="757"/>
              </w:tabs>
              <w:rPr>
                <w:rFonts w:ascii="Arial" w:eastAsia="DengXian" w:hAnsi="Arial" w:cs="Arial"/>
                <w:color w:val="FF0000"/>
                <w:sz w:val="16"/>
                <w:szCs w:val="16"/>
              </w:rPr>
            </w:pPr>
            <w:r w:rsidRPr="00FC60CA">
              <w:rPr>
                <w:rFonts w:ascii="Arial" w:eastAsia="DengXian" w:hAnsi="Arial" w:cs="Arial"/>
                <w:color w:val="FF0000"/>
                <w:sz w:val="16"/>
                <w:szCs w:val="16"/>
              </w:rPr>
              <w:t>LTM-nzp-CSI-RS-ResourceToReleaseList,</w:t>
            </w:r>
          </w:p>
          <w:p w14:paraId="3F50E383" w14:textId="77777777" w:rsidR="00FC60CA" w:rsidRPr="00FC60CA" w:rsidRDefault="00FC60CA" w:rsidP="00FC60CA">
            <w:pPr>
              <w:tabs>
                <w:tab w:val="left" w:pos="757"/>
              </w:tabs>
              <w:rPr>
                <w:rFonts w:ascii="Arial" w:eastAsia="DengXian" w:hAnsi="Arial" w:cs="Arial"/>
                <w:color w:val="FF0000"/>
                <w:sz w:val="16"/>
                <w:szCs w:val="16"/>
              </w:rPr>
            </w:pPr>
          </w:p>
          <w:p w14:paraId="1D34E0AC" w14:textId="77777777" w:rsidR="00FC60CA" w:rsidRPr="00FC60CA" w:rsidRDefault="00FC60CA" w:rsidP="00FC60CA">
            <w:pPr>
              <w:tabs>
                <w:tab w:val="left" w:pos="757"/>
              </w:tabs>
              <w:rPr>
                <w:rFonts w:ascii="Arial" w:eastAsia="DengXian" w:hAnsi="Arial" w:cs="Arial"/>
                <w:color w:val="FF0000"/>
                <w:sz w:val="16"/>
                <w:szCs w:val="16"/>
              </w:rPr>
            </w:pPr>
            <w:r w:rsidRPr="00FC60CA">
              <w:rPr>
                <w:rFonts w:ascii="Arial" w:eastAsia="DengXian" w:hAnsi="Arial" w:cs="Arial"/>
                <w:color w:val="FF0000"/>
                <w:sz w:val="16"/>
                <w:szCs w:val="16"/>
              </w:rPr>
              <w:t xml:space="preserve">LTM-nzp-CSI-RS-ResourceSetToAddModList, </w:t>
            </w:r>
          </w:p>
          <w:p w14:paraId="109BF649" w14:textId="77777777" w:rsidR="00FC60CA" w:rsidRPr="00FC60CA" w:rsidRDefault="00FC60CA" w:rsidP="00FC60CA">
            <w:pPr>
              <w:tabs>
                <w:tab w:val="left" w:pos="757"/>
              </w:tabs>
              <w:rPr>
                <w:rFonts w:ascii="Arial" w:eastAsia="DengXian" w:hAnsi="Arial" w:cs="Arial"/>
                <w:color w:val="FF0000"/>
                <w:sz w:val="16"/>
                <w:szCs w:val="16"/>
              </w:rPr>
            </w:pPr>
            <w:r w:rsidRPr="00FC60CA">
              <w:rPr>
                <w:rFonts w:ascii="Arial" w:eastAsia="DengXian" w:hAnsi="Arial" w:cs="Arial"/>
                <w:color w:val="FF0000"/>
                <w:sz w:val="16"/>
                <w:szCs w:val="16"/>
              </w:rPr>
              <w:t xml:space="preserve">LTM-nzp-CSI-RS-ResourceSetToReleaseList, </w:t>
            </w:r>
          </w:p>
          <w:p w14:paraId="4A441327" w14:textId="77777777" w:rsidR="00FC60CA" w:rsidRPr="00FC60CA" w:rsidRDefault="00FC60CA" w:rsidP="00FC60CA">
            <w:pPr>
              <w:tabs>
                <w:tab w:val="left" w:pos="757"/>
              </w:tabs>
              <w:rPr>
                <w:rFonts w:ascii="Arial" w:eastAsia="DengXian" w:hAnsi="Arial" w:cs="Arial"/>
                <w:sz w:val="16"/>
                <w:szCs w:val="16"/>
              </w:rPr>
            </w:pPr>
            <w:r w:rsidRPr="00FC60CA">
              <w:rPr>
                <w:rFonts w:ascii="Arial" w:eastAsia="DengXian" w:hAnsi="Arial" w:cs="Arial"/>
                <w:sz w:val="16"/>
                <w:szCs w:val="16"/>
              </w:rPr>
              <w:t>…..</w:t>
            </w:r>
          </w:p>
          <w:p w14:paraId="309FA7B2" w14:textId="77777777" w:rsidR="00FC60CA" w:rsidRPr="00FC60CA" w:rsidRDefault="00FC60CA" w:rsidP="00FC60CA">
            <w:pPr>
              <w:tabs>
                <w:tab w:val="left" w:pos="757"/>
              </w:tabs>
              <w:rPr>
                <w:rFonts w:ascii="Arial" w:eastAsia="DengXian" w:hAnsi="Arial" w:cs="Arial"/>
                <w:sz w:val="16"/>
                <w:szCs w:val="16"/>
              </w:rPr>
            </w:pPr>
            <w:r w:rsidRPr="00FC60CA">
              <w:rPr>
                <w:rFonts w:ascii="Arial" w:eastAsia="DengXian" w:hAnsi="Arial" w:cs="Arial"/>
                <w:sz w:val="16"/>
                <w:szCs w:val="16"/>
              </w:rPr>
              <w:t>}</w:t>
            </w:r>
          </w:p>
        </w:tc>
      </w:tr>
      <w:tr w:rsidR="00FC60CA" w:rsidRPr="00FC60CA" w14:paraId="115F9935" w14:textId="77777777" w:rsidTr="00FC60CA">
        <w:trPr>
          <w:trHeight w:val="451"/>
        </w:trPr>
        <w:tc>
          <w:tcPr>
            <w:tcW w:w="228" w:type="pct"/>
            <w:shd w:val="clear" w:color="auto" w:fill="auto"/>
          </w:tcPr>
          <w:p w14:paraId="77813C03" w14:textId="77777777" w:rsidR="00FC60CA" w:rsidRPr="00FC60CA" w:rsidRDefault="00FC60CA" w:rsidP="00FC60CA">
            <w:pPr>
              <w:rPr>
                <w:rFonts w:ascii="Arial" w:eastAsia="DengXian" w:hAnsi="Arial" w:cs="Arial"/>
                <w:sz w:val="16"/>
                <w:szCs w:val="16"/>
              </w:rPr>
            </w:pPr>
            <w:r w:rsidRPr="00FC60CA">
              <w:rPr>
                <w:rFonts w:ascii="Arial" w:eastAsia="DengXian" w:hAnsi="Arial" w:cs="Arial"/>
                <w:sz w:val="16"/>
                <w:szCs w:val="16"/>
              </w:rPr>
              <w:t>2</w:t>
            </w:r>
          </w:p>
        </w:tc>
        <w:tc>
          <w:tcPr>
            <w:tcW w:w="691" w:type="pct"/>
            <w:shd w:val="clear" w:color="auto" w:fill="auto"/>
          </w:tcPr>
          <w:p w14:paraId="33E83075" w14:textId="77777777" w:rsidR="00FC60CA" w:rsidRPr="00FC60CA" w:rsidRDefault="00FC60CA" w:rsidP="00FC60CA">
            <w:pPr>
              <w:rPr>
                <w:rFonts w:ascii="Arial" w:eastAsia="DengXian" w:hAnsi="Arial" w:cs="Arial"/>
                <w:sz w:val="16"/>
                <w:szCs w:val="16"/>
              </w:rPr>
            </w:pPr>
            <w:r w:rsidRPr="00FC60CA">
              <w:rPr>
                <w:rFonts w:ascii="Arial" w:eastAsia="DengXian" w:hAnsi="Arial" w:cs="Arial"/>
                <w:sz w:val="16"/>
                <w:szCs w:val="16"/>
              </w:rPr>
              <w:t>LTM-Candidate-r18</w:t>
            </w:r>
          </w:p>
        </w:tc>
        <w:tc>
          <w:tcPr>
            <w:tcW w:w="863" w:type="pct"/>
            <w:shd w:val="clear" w:color="auto" w:fill="auto"/>
          </w:tcPr>
          <w:p w14:paraId="6D97CB99" w14:textId="77777777" w:rsidR="00FC60CA" w:rsidRPr="00FC60CA" w:rsidRDefault="00FC60CA" w:rsidP="00FC60CA">
            <w:pPr>
              <w:rPr>
                <w:rFonts w:ascii="Arial" w:eastAsia="DengXian" w:hAnsi="Arial" w:cs="Arial"/>
                <w:sz w:val="16"/>
                <w:szCs w:val="16"/>
              </w:rPr>
            </w:pPr>
            <w:r w:rsidRPr="00FC60CA">
              <w:rPr>
                <w:rFonts w:ascii="Arial" w:eastAsia="DengXian" w:hAnsi="Arial" w:cs="Arial"/>
                <w:sz w:val="16"/>
                <w:szCs w:val="16"/>
              </w:rPr>
              <w:t>LTM-nzp-CSI-RS-ResourceToAddModList</w:t>
            </w:r>
          </w:p>
        </w:tc>
        <w:tc>
          <w:tcPr>
            <w:tcW w:w="716" w:type="pct"/>
            <w:shd w:val="clear" w:color="auto" w:fill="auto"/>
          </w:tcPr>
          <w:p w14:paraId="736A9747" w14:textId="77777777" w:rsidR="00FC60CA" w:rsidRPr="00FC60CA" w:rsidRDefault="00FC60CA" w:rsidP="00FC60CA">
            <w:pPr>
              <w:rPr>
                <w:rFonts w:ascii="Arial" w:eastAsia="DengXian" w:hAnsi="Arial" w:cs="Arial"/>
                <w:sz w:val="16"/>
                <w:szCs w:val="16"/>
              </w:rPr>
            </w:pPr>
            <w:r w:rsidRPr="00FC60CA">
              <w:rPr>
                <w:rFonts w:ascii="Arial" w:eastAsia="DengXian" w:hAnsi="Arial" w:cs="Arial"/>
                <w:sz w:val="16"/>
                <w:szCs w:val="16"/>
              </w:rPr>
              <w:t>new</w:t>
            </w:r>
          </w:p>
        </w:tc>
        <w:tc>
          <w:tcPr>
            <w:tcW w:w="790" w:type="pct"/>
            <w:shd w:val="clear" w:color="auto" w:fill="auto"/>
          </w:tcPr>
          <w:p w14:paraId="5B3A71CE" w14:textId="77777777" w:rsidR="00FC60CA" w:rsidRPr="00FC60CA" w:rsidRDefault="00FC60CA" w:rsidP="00FC60CA">
            <w:pPr>
              <w:rPr>
                <w:rFonts w:ascii="Arial" w:eastAsia="DengXian" w:hAnsi="Arial" w:cs="Arial"/>
                <w:sz w:val="16"/>
                <w:szCs w:val="16"/>
              </w:rPr>
            </w:pPr>
            <w:r w:rsidRPr="00FC60CA">
              <w:rPr>
                <w:rFonts w:ascii="Arial" w:eastAsia="DengXian" w:hAnsi="Arial" w:cs="Arial"/>
                <w:sz w:val="16"/>
                <w:szCs w:val="16"/>
              </w:rPr>
              <w:t>Defines a list of LTM-nzp-CSI-RS-Resources</w:t>
            </w:r>
          </w:p>
        </w:tc>
        <w:tc>
          <w:tcPr>
            <w:tcW w:w="1711" w:type="pct"/>
            <w:shd w:val="clear" w:color="auto" w:fill="auto"/>
          </w:tcPr>
          <w:p w14:paraId="6C2CE524" w14:textId="77777777" w:rsidR="00FC60CA" w:rsidRPr="00FC60CA" w:rsidRDefault="00FC60CA" w:rsidP="00FC60CA">
            <w:pPr>
              <w:tabs>
                <w:tab w:val="left" w:pos="757"/>
              </w:tabs>
              <w:rPr>
                <w:rFonts w:ascii="Arial" w:eastAsia="DengXian" w:hAnsi="Arial" w:cs="Arial"/>
                <w:sz w:val="16"/>
                <w:szCs w:val="16"/>
              </w:rPr>
            </w:pPr>
            <w:r w:rsidRPr="00FC60CA">
              <w:rPr>
                <w:rFonts w:ascii="Arial" w:eastAsia="DengXian" w:hAnsi="Arial" w:cs="Arial"/>
                <w:sz w:val="16"/>
                <w:szCs w:val="16"/>
              </w:rPr>
              <w:t>SEQUENCE (SIZE (1..maxNrofLtmNZP-CSI-RS-Resources)) OF LTM-NZP-CSI-RS-Resource</w:t>
            </w:r>
          </w:p>
        </w:tc>
      </w:tr>
      <w:tr w:rsidR="00FC60CA" w:rsidRPr="00FC60CA" w14:paraId="57B7717E" w14:textId="77777777" w:rsidTr="00FC60CA">
        <w:trPr>
          <w:trHeight w:val="451"/>
        </w:trPr>
        <w:tc>
          <w:tcPr>
            <w:tcW w:w="228" w:type="pct"/>
            <w:shd w:val="clear" w:color="auto" w:fill="auto"/>
          </w:tcPr>
          <w:p w14:paraId="1B8534F0" w14:textId="77777777" w:rsidR="00FC60CA" w:rsidRPr="00FC60CA" w:rsidRDefault="00FC60CA" w:rsidP="00FC60CA">
            <w:pPr>
              <w:rPr>
                <w:rFonts w:ascii="Arial" w:eastAsia="DengXian" w:hAnsi="Arial" w:cs="Arial"/>
                <w:sz w:val="16"/>
                <w:szCs w:val="16"/>
              </w:rPr>
            </w:pPr>
            <w:r w:rsidRPr="00FC60CA">
              <w:rPr>
                <w:rFonts w:ascii="Arial" w:eastAsia="DengXian" w:hAnsi="Arial" w:cs="Arial"/>
                <w:sz w:val="16"/>
                <w:szCs w:val="16"/>
              </w:rPr>
              <w:t>3</w:t>
            </w:r>
          </w:p>
        </w:tc>
        <w:tc>
          <w:tcPr>
            <w:tcW w:w="691" w:type="pct"/>
            <w:shd w:val="clear" w:color="auto" w:fill="auto"/>
          </w:tcPr>
          <w:p w14:paraId="604C94E1" w14:textId="77777777" w:rsidR="00FC60CA" w:rsidRPr="00FC60CA" w:rsidRDefault="00FC60CA" w:rsidP="00FC60CA">
            <w:pPr>
              <w:rPr>
                <w:rFonts w:ascii="Arial" w:eastAsia="DengXian" w:hAnsi="Arial" w:cs="Arial"/>
                <w:sz w:val="16"/>
                <w:szCs w:val="16"/>
              </w:rPr>
            </w:pPr>
            <w:r w:rsidRPr="00FC60CA">
              <w:rPr>
                <w:rFonts w:ascii="Arial" w:eastAsia="DengXian" w:hAnsi="Arial" w:cs="Arial"/>
                <w:sz w:val="16"/>
                <w:szCs w:val="16"/>
              </w:rPr>
              <w:t>LTM-Candidate-r18</w:t>
            </w:r>
          </w:p>
        </w:tc>
        <w:tc>
          <w:tcPr>
            <w:tcW w:w="863" w:type="pct"/>
            <w:shd w:val="clear" w:color="auto" w:fill="auto"/>
          </w:tcPr>
          <w:p w14:paraId="74F876B1" w14:textId="77777777" w:rsidR="00FC60CA" w:rsidRPr="00FC60CA" w:rsidRDefault="00FC60CA" w:rsidP="00FC60CA">
            <w:pPr>
              <w:rPr>
                <w:rFonts w:ascii="Arial" w:eastAsia="DengXian" w:hAnsi="Arial" w:cs="Arial"/>
                <w:sz w:val="16"/>
                <w:szCs w:val="16"/>
              </w:rPr>
            </w:pPr>
            <w:r w:rsidRPr="00FC60CA">
              <w:rPr>
                <w:rFonts w:ascii="Arial" w:eastAsia="DengXian" w:hAnsi="Arial" w:cs="Arial"/>
                <w:sz w:val="16"/>
                <w:szCs w:val="16"/>
              </w:rPr>
              <w:t>LTM-nzp-CSI-RS-ResourceToReleaseList</w:t>
            </w:r>
          </w:p>
        </w:tc>
        <w:tc>
          <w:tcPr>
            <w:tcW w:w="716" w:type="pct"/>
            <w:shd w:val="clear" w:color="auto" w:fill="auto"/>
          </w:tcPr>
          <w:p w14:paraId="7AEE6746" w14:textId="77777777" w:rsidR="00FC60CA" w:rsidRPr="00FC60CA" w:rsidRDefault="00FC60CA" w:rsidP="00FC60CA">
            <w:pPr>
              <w:rPr>
                <w:rFonts w:ascii="Arial" w:eastAsia="DengXian" w:hAnsi="Arial" w:cs="Arial"/>
                <w:sz w:val="16"/>
                <w:szCs w:val="16"/>
              </w:rPr>
            </w:pPr>
            <w:r w:rsidRPr="00FC60CA">
              <w:rPr>
                <w:rFonts w:ascii="Arial" w:eastAsia="DengXian" w:hAnsi="Arial" w:cs="Arial"/>
                <w:sz w:val="16"/>
                <w:szCs w:val="16"/>
              </w:rPr>
              <w:t>new</w:t>
            </w:r>
          </w:p>
        </w:tc>
        <w:tc>
          <w:tcPr>
            <w:tcW w:w="790" w:type="pct"/>
            <w:shd w:val="clear" w:color="auto" w:fill="auto"/>
          </w:tcPr>
          <w:p w14:paraId="26FCD5C0" w14:textId="77777777" w:rsidR="00FC60CA" w:rsidRPr="00FC60CA" w:rsidRDefault="00FC60CA" w:rsidP="00FC60CA">
            <w:pPr>
              <w:rPr>
                <w:rFonts w:ascii="Arial" w:eastAsia="DengXian" w:hAnsi="Arial" w:cs="Arial"/>
                <w:sz w:val="16"/>
                <w:szCs w:val="16"/>
              </w:rPr>
            </w:pPr>
            <w:r w:rsidRPr="00FC60CA">
              <w:rPr>
                <w:rFonts w:ascii="Arial" w:eastAsia="DengXian" w:hAnsi="Arial" w:cs="Arial"/>
                <w:sz w:val="16"/>
                <w:szCs w:val="16"/>
              </w:rPr>
              <w:t>List of LTM-nzp-CSI-RS-Resource to be released</w:t>
            </w:r>
          </w:p>
        </w:tc>
        <w:tc>
          <w:tcPr>
            <w:tcW w:w="1711" w:type="pct"/>
            <w:shd w:val="clear" w:color="auto" w:fill="auto"/>
          </w:tcPr>
          <w:p w14:paraId="4CA10130" w14:textId="77777777" w:rsidR="00FC60CA" w:rsidRPr="00FC60CA" w:rsidRDefault="00FC60CA" w:rsidP="00FC60CA">
            <w:pPr>
              <w:tabs>
                <w:tab w:val="left" w:pos="757"/>
              </w:tabs>
              <w:rPr>
                <w:rFonts w:ascii="Arial" w:eastAsia="DengXian" w:hAnsi="Arial" w:cs="Arial"/>
                <w:sz w:val="16"/>
                <w:szCs w:val="16"/>
              </w:rPr>
            </w:pPr>
            <w:r w:rsidRPr="00FC60CA">
              <w:rPr>
                <w:rFonts w:ascii="Arial" w:eastAsia="DengXian" w:hAnsi="Arial" w:cs="Arial"/>
                <w:sz w:val="16"/>
                <w:szCs w:val="16"/>
              </w:rPr>
              <w:t>SEQUENCE (SIZE (1..maxNrofNZP-CSI-RS-Resources)) OF LTM-NZP-CSI-RS-ResourceId</w:t>
            </w:r>
          </w:p>
        </w:tc>
      </w:tr>
      <w:tr w:rsidR="00FC60CA" w:rsidRPr="00FC60CA" w14:paraId="0C2C3CC9" w14:textId="77777777" w:rsidTr="00FC60CA">
        <w:trPr>
          <w:trHeight w:val="451"/>
        </w:trPr>
        <w:tc>
          <w:tcPr>
            <w:tcW w:w="228" w:type="pct"/>
            <w:shd w:val="clear" w:color="auto" w:fill="auto"/>
          </w:tcPr>
          <w:p w14:paraId="3389CD8F" w14:textId="77777777" w:rsidR="00FC60CA" w:rsidRPr="00FC60CA" w:rsidRDefault="00FC60CA" w:rsidP="00FC60CA">
            <w:pPr>
              <w:rPr>
                <w:rFonts w:ascii="Arial" w:eastAsia="DengXian" w:hAnsi="Arial" w:cs="Arial"/>
                <w:sz w:val="16"/>
                <w:szCs w:val="16"/>
              </w:rPr>
            </w:pPr>
            <w:r w:rsidRPr="00FC60CA">
              <w:rPr>
                <w:rFonts w:ascii="Arial" w:eastAsia="DengXian" w:hAnsi="Arial" w:cs="Arial"/>
                <w:sz w:val="16"/>
                <w:szCs w:val="16"/>
              </w:rPr>
              <w:t>4</w:t>
            </w:r>
          </w:p>
        </w:tc>
        <w:tc>
          <w:tcPr>
            <w:tcW w:w="691" w:type="pct"/>
            <w:shd w:val="clear" w:color="auto" w:fill="auto"/>
          </w:tcPr>
          <w:p w14:paraId="489FB82C" w14:textId="77777777" w:rsidR="00FC60CA" w:rsidRPr="00FC60CA" w:rsidRDefault="00FC60CA" w:rsidP="00FC60CA">
            <w:pPr>
              <w:rPr>
                <w:rFonts w:ascii="Arial" w:eastAsia="DengXian" w:hAnsi="Arial" w:cs="Arial"/>
                <w:sz w:val="16"/>
                <w:szCs w:val="16"/>
              </w:rPr>
            </w:pPr>
            <w:r w:rsidRPr="00FC60CA">
              <w:rPr>
                <w:rFonts w:ascii="Arial" w:eastAsia="DengXian" w:hAnsi="Arial" w:cs="Arial"/>
                <w:sz w:val="16"/>
                <w:szCs w:val="16"/>
              </w:rPr>
              <w:t>LTM-nzp-CSI-RS-ResourceToAddModList</w:t>
            </w:r>
          </w:p>
        </w:tc>
        <w:tc>
          <w:tcPr>
            <w:tcW w:w="863" w:type="pct"/>
            <w:shd w:val="clear" w:color="auto" w:fill="auto"/>
          </w:tcPr>
          <w:p w14:paraId="326945EE" w14:textId="77777777" w:rsidR="00FC60CA" w:rsidRPr="00FC60CA" w:rsidRDefault="00FC60CA" w:rsidP="00FC60CA">
            <w:pPr>
              <w:rPr>
                <w:rFonts w:ascii="Arial" w:eastAsia="DengXian" w:hAnsi="Arial" w:cs="Arial"/>
                <w:sz w:val="16"/>
                <w:szCs w:val="16"/>
              </w:rPr>
            </w:pPr>
            <w:r w:rsidRPr="00FC60CA">
              <w:rPr>
                <w:rFonts w:ascii="Arial" w:eastAsia="DengXian" w:hAnsi="Arial" w:cs="Arial"/>
                <w:sz w:val="16"/>
                <w:szCs w:val="16"/>
              </w:rPr>
              <w:t>LTM-NZP-CSI-RS-Resource</w:t>
            </w:r>
          </w:p>
        </w:tc>
        <w:tc>
          <w:tcPr>
            <w:tcW w:w="716" w:type="pct"/>
            <w:shd w:val="clear" w:color="auto" w:fill="auto"/>
          </w:tcPr>
          <w:p w14:paraId="0BAC7C0D" w14:textId="77777777" w:rsidR="00FC60CA" w:rsidRPr="00FC60CA" w:rsidRDefault="00FC60CA" w:rsidP="00FC60CA">
            <w:pPr>
              <w:rPr>
                <w:rFonts w:ascii="Arial" w:eastAsia="DengXian" w:hAnsi="Arial" w:cs="Arial"/>
                <w:sz w:val="16"/>
                <w:szCs w:val="16"/>
              </w:rPr>
            </w:pPr>
            <w:r w:rsidRPr="00FC60CA">
              <w:rPr>
                <w:rFonts w:ascii="Arial" w:eastAsia="DengXian" w:hAnsi="Arial" w:cs="Arial"/>
                <w:sz w:val="16"/>
                <w:szCs w:val="16"/>
              </w:rPr>
              <w:t>new</w:t>
            </w:r>
          </w:p>
        </w:tc>
        <w:tc>
          <w:tcPr>
            <w:tcW w:w="790" w:type="pct"/>
            <w:shd w:val="clear" w:color="auto" w:fill="auto"/>
          </w:tcPr>
          <w:p w14:paraId="731FC839" w14:textId="77777777" w:rsidR="00FC60CA" w:rsidRPr="00FC60CA" w:rsidRDefault="00FC60CA" w:rsidP="00FC60CA">
            <w:pPr>
              <w:rPr>
                <w:rFonts w:ascii="Arial" w:eastAsia="DengXian" w:hAnsi="Arial" w:cs="Arial"/>
                <w:sz w:val="16"/>
                <w:szCs w:val="16"/>
              </w:rPr>
            </w:pPr>
            <w:r w:rsidRPr="00FC60CA">
              <w:rPr>
                <w:rFonts w:ascii="Arial" w:eastAsia="DengXian" w:hAnsi="Arial" w:cs="Arial"/>
                <w:sz w:val="16"/>
                <w:szCs w:val="16"/>
              </w:rPr>
              <w:t>Configure Non-Zero-Power (NZP) CSI-RS transmitted in the cell</w:t>
            </w:r>
          </w:p>
        </w:tc>
        <w:tc>
          <w:tcPr>
            <w:tcW w:w="1711" w:type="pct"/>
            <w:shd w:val="clear" w:color="auto" w:fill="auto"/>
          </w:tcPr>
          <w:p w14:paraId="25513A2E" w14:textId="77777777" w:rsidR="00FC60CA" w:rsidRPr="00FC60CA" w:rsidRDefault="00FC60CA" w:rsidP="00FC60CA">
            <w:pPr>
              <w:tabs>
                <w:tab w:val="left" w:pos="757"/>
              </w:tabs>
              <w:rPr>
                <w:rFonts w:ascii="Arial" w:eastAsia="DengXian" w:hAnsi="Arial" w:cs="Arial"/>
                <w:sz w:val="16"/>
                <w:szCs w:val="16"/>
              </w:rPr>
            </w:pPr>
            <w:r w:rsidRPr="00FC60CA">
              <w:rPr>
                <w:rFonts w:ascii="Arial" w:eastAsia="DengXian" w:hAnsi="Arial" w:cs="Arial"/>
                <w:sz w:val="16"/>
                <w:szCs w:val="16"/>
              </w:rPr>
              <w:t>SEQUENCE {</w:t>
            </w:r>
          </w:p>
          <w:p w14:paraId="3831B9C6" w14:textId="77777777" w:rsidR="00FC60CA" w:rsidRPr="00FC60CA" w:rsidRDefault="00FC60CA" w:rsidP="00FC60CA">
            <w:pPr>
              <w:tabs>
                <w:tab w:val="left" w:pos="757"/>
              </w:tabs>
              <w:rPr>
                <w:rFonts w:ascii="Arial" w:eastAsia="DengXian" w:hAnsi="Arial" w:cs="Arial"/>
                <w:sz w:val="16"/>
                <w:szCs w:val="16"/>
              </w:rPr>
            </w:pPr>
            <w:r w:rsidRPr="00FC60CA">
              <w:rPr>
                <w:rFonts w:ascii="Arial" w:eastAsia="DengXian" w:hAnsi="Arial" w:cs="Arial"/>
                <w:sz w:val="16"/>
                <w:szCs w:val="16"/>
              </w:rPr>
              <w:t xml:space="preserve">LTM-nzp-CSI-ResourceId, </w:t>
            </w:r>
          </w:p>
          <w:p w14:paraId="66B0AA35" w14:textId="77777777" w:rsidR="00FC60CA" w:rsidRPr="00FC60CA" w:rsidRDefault="00FC60CA" w:rsidP="00FC60CA">
            <w:pPr>
              <w:tabs>
                <w:tab w:val="left" w:pos="757"/>
              </w:tabs>
              <w:rPr>
                <w:rFonts w:ascii="Arial" w:eastAsia="DengXian" w:hAnsi="Arial" w:cs="Arial"/>
                <w:sz w:val="16"/>
                <w:szCs w:val="16"/>
              </w:rPr>
            </w:pPr>
            <w:r w:rsidRPr="00FC60CA">
              <w:rPr>
                <w:rFonts w:ascii="Arial" w:eastAsia="DengXian" w:hAnsi="Arial" w:cs="Arial"/>
                <w:sz w:val="16"/>
                <w:szCs w:val="16"/>
              </w:rPr>
              <w:t xml:space="preserve">resourceMapping, </w:t>
            </w:r>
          </w:p>
          <w:p w14:paraId="227EA5D2" w14:textId="77777777" w:rsidR="00FC60CA" w:rsidRPr="00FC60CA" w:rsidRDefault="00FC60CA" w:rsidP="00FC60CA">
            <w:pPr>
              <w:tabs>
                <w:tab w:val="left" w:pos="757"/>
              </w:tabs>
              <w:rPr>
                <w:rFonts w:ascii="Arial" w:eastAsia="DengXian" w:hAnsi="Arial" w:cs="Arial"/>
                <w:sz w:val="16"/>
                <w:szCs w:val="16"/>
              </w:rPr>
            </w:pPr>
            <w:r w:rsidRPr="00FC60CA">
              <w:rPr>
                <w:rFonts w:ascii="Arial" w:eastAsia="DengXian" w:hAnsi="Arial" w:cs="Arial"/>
                <w:sz w:val="16"/>
                <w:szCs w:val="16"/>
              </w:rPr>
              <w:t>powerControlOffsetSS,</w:t>
            </w:r>
          </w:p>
          <w:p w14:paraId="6FAC38B6" w14:textId="77777777" w:rsidR="00FC60CA" w:rsidRPr="00FC60CA" w:rsidRDefault="00FC60CA" w:rsidP="00FC60CA">
            <w:pPr>
              <w:tabs>
                <w:tab w:val="left" w:pos="757"/>
              </w:tabs>
              <w:rPr>
                <w:rFonts w:ascii="Arial" w:eastAsia="DengXian" w:hAnsi="Arial" w:cs="Arial"/>
                <w:sz w:val="16"/>
                <w:szCs w:val="16"/>
              </w:rPr>
            </w:pPr>
            <w:r w:rsidRPr="00FC60CA">
              <w:rPr>
                <w:rFonts w:ascii="Arial" w:eastAsia="DengXian" w:hAnsi="Arial" w:cs="Arial"/>
                <w:sz w:val="16"/>
                <w:szCs w:val="16"/>
              </w:rPr>
              <w:t>scramblingID,</w:t>
            </w:r>
          </w:p>
          <w:p w14:paraId="3D088CA3" w14:textId="77777777" w:rsidR="00FC60CA" w:rsidRPr="00FC60CA" w:rsidRDefault="00FC60CA" w:rsidP="00FC60CA">
            <w:pPr>
              <w:tabs>
                <w:tab w:val="left" w:pos="757"/>
              </w:tabs>
              <w:rPr>
                <w:rFonts w:ascii="Arial" w:eastAsia="DengXian" w:hAnsi="Arial" w:cs="Arial"/>
                <w:sz w:val="16"/>
                <w:szCs w:val="16"/>
              </w:rPr>
            </w:pPr>
            <w:r w:rsidRPr="00FC60CA">
              <w:rPr>
                <w:rFonts w:ascii="Arial" w:eastAsia="DengXian" w:hAnsi="Arial" w:cs="Arial"/>
                <w:sz w:val="16"/>
                <w:szCs w:val="16"/>
              </w:rPr>
              <w:t>periodicityAndOffset,</w:t>
            </w:r>
          </w:p>
          <w:p w14:paraId="0C08200F" w14:textId="77777777" w:rsidR="00FC60CA" w:rsidRPr="00FC60CA" w:rsidRDefault="00FC60CA" w:rsidP="00FC60CA">
            <w:pPr>
              <w:tabs>
                <w:tab w:val="left" w:pos="757"/>
              </w:tabs>
              <w:rPr>
                <w:rFonts w:ascii="Arial" w:eastAsia="DengXian" w:hAnsi="Arial" w:cs="Arial"/>
                <w:sz w:val="16"/>
                <w:szCs w:val="16"/>
              </w:rPr>
            </w:pPr>
            <w:r w:rsidRPr="00FC60CA">
              <w:rPr>
                <w:rFonts w:ascii="Arial" w:eastAsia="DengXian" w:hAnsi="Arial" w:cs="Arial"/>
                <w:sz w:val="16"/>
                <w:szCs w:val="16"/>
              </w:rPr>
              <w:t>qcl-InfoPeriodicCSI-RS,</w:t>
            </w:r>
          </w:p>
          <w:p w14:paraId="2EC2A6EF" w14:textId="77777777" w:rsidR="00FC60CA" w:rsidRPr="00FC60CA" w:rsidRDefault="00FC60CA" w:rsidP="00FC60CA">
            <w:pPr>
              <w:tabs>
                <w:tab w:val="left" w:pos="757"/>
              </w:tabs>
              <w:rPr>
                <w:rFonts w:ascii="Arial" w:eastAsia="DengXian" w:hAnsi="Arial" w:cs="Arial"/>
                <w:sz w:val="16"/>
                <w:szCs w:val="16"/>
              </w:rPr>
            </w:pPr>
          </w:p>
          <w:p w14:paraId="7C8ADD3C" w14:textId="77777777" w:rsidR="00FC60CA" w:rsidRPr="00FC60CA" w:rsidRDefault="00FC60CA" w:rsidP="00FC60CA">
            <w:pPr>
              <w:tabs>
                <w:tab w:val="left" w:pos="757"/>
              </w:tabs>
              <w:rPr>
                <w:rFonts w:ascii="Arial" w:eastAsia="DengXian" w:hAnsi="Arial" w:cs="Arial"/>
                <w:sz w:val="16"/>
                <w:szCs w:val="16"/>
              </w:rPr>
            </w:pPr>
            <w:r w:rsidRPr="00FC60CA">
              <w:rPr>
                <w:rFonts w:ascii="Arial" w:eastAsia="DengXian" w:hAnsi="Arial" w:cs="Arial"/>
                <w:sz w:val="16"/>
                <w:szCs w:val="16"/>
              </w:rPr>
              <w:t xml:space="preserve">subcarrierSpacing, </w:t>
            </w:r>
          </w:p>
          <w:p w14:paraId="765652C3" w14:textId="77777777" w:rsidR="00FC60CA" w:rsidRPr="00FC60CA" w:rsidRDefault="00FC60CA" w:rsidP="00FC60CA">
            <w:pPr>
              <w:tabs>
                <w:tab w:val="left" w:pos="757"/>
              </w:tabs>
              <w:rPr>
                <w:rFonts w:ascii="Arial" w:eastAsia="DengXian" w:hAnsi="Arial" w:cs="Arial"/>
                <w:sz w:val="16"/>
                <w:szCs w:val="16"/>
              </w:rPr>
            </w:pPr>
            <w:r w:rsidRPr="00FC60CA">
              <w:rPr>
                <w:rFonts w:ascii="Arial" w:eastAsia="DengXian" w:hAnsi="Arial" w:cs="Arial"/>
                <w:sz w:val="16"/>
                <w:szCs w:val="16"/>
              </w:rPr>
              <w:t>absoluteFrequencyPointA,</w:t>
            </w:r>
          </w:p>
          <w:p w14:paraId="68B1E85E" w14:textId="77777777" w:rsidR="00FC60CA" w:rsidRPr="00FC60CA" w:rsidRDefault="00FC60CA" w:rsidP="00FC60CA">
            <w:pPr>
              <w:tabs>
                <w:tab w:val="left" w:pos="757"/>
              </w:tabs>
              <w:rPr>
                <w:rFonts w:ascii="Arial" w:eastAsia="DengXian" w:hAnsi="Arial" w:cs="Arial"/>
                <w:sz w:val="16"/>
                <w:szCs w:val="16"/>
              </w:rPr>
            </w:pPr>
            <w:r w:rsidRPr="00FC60CA">
              <w:rPr>
                <w:rFonts w:ascii="Arial" w:eastAsia="DengXian" w:hAnsi="Arial" w:cs="Arial"/>
                <w:sz w:val="16"/>
                <w:szCs w:val="16"/>
              </w:rPr>
              <w:t>}</w:t>
            </w:r>
          </w:p>
        </w:tc>
      </w:tr>
      <w:tr w:rsidR="00FC60CA" w:rsidRPr="00FC60CA" w14:paraId="34897D48" w14:textId="77777777" w:rsidTr="00FC60CA">
        <w:trPr>
          <w:trHeight w:val="451"/>
        </w:trPr>
        <w:tc>
          <w:tcPr>
            <w:tcW w:w="228" w:type="pct"/>
            <w:shd w:val="clear" w:color="auto" w:fill="auto"/>
          </w:tcPr>
          <w:p w14:paraId="1824AE4F" w14:textId="77777777" w:rsidR="00FC60CA" w:rsidRPr="00FC60CA" w:rsidRDefault="00FC60CA" w:rsidP="00FC60CA">
            <w:pPr>
              <w:rPr>
                <w:rFonts w:ascii="Arial" w:eastAsia="DengXian" w:hAnsi="Arial" w:cs="Arial"/>
                <w:sz w:val="16"/>
                <w:szCs w:val="16"/>
              </w:rPr>
            </w:pPr>
            <w:r w:rsidRPr="00FC60CA">
              <w:rPr>
                <w:rFonts w:ascii="Arial" w:eastAsia="DengXian" w:hAnsi="Arial" w:cs="Arial"/>
                <w:sz w:val="16"/>
                <w:szCs w:val="16"/>
              </w:rPr>
              <w:lastRenderedPageBreak/>
              <w:t>5</w:t>
            </w:r>
          </w:p>
        </w:tc>
        <w:tc>
          <w:tcPr>
            <w:tcW w:w="691" w:type="pct"/>
            <w:shd w:val="clear" w:color="auto" w:fill="auto"/>
          </w:tcPr>
          <w:p w14:paraId="523FC485" w14:textId="77777777" w:rsidR="00FC60CA" w:rsidRPr="00FC60CA" w:rsidRDefault="00FC60CA" w:rsidP="00FC60CA">
            <w:pPr>
              <w:rPr>
                <w:rFonts w:ascii="Arial" w:eastAsia="DengXian" w:hAnsi="Arial" w:cs="Arial"/>
                <w:sz w:val="16"/>
                <w:szCs w:val="16"/>
              </w:rPr>
            </w:pPr>
            <w:r w:rsidRPr="00FC60CA">
              <w:rPr>
                <w:rFonts w:ascii="Arial" w:eastAsia="DengXian" w:hAnsi="Arial" w:cs="Arial"/>
                <w:sz w:val="16"/>
                <w:szCs w:val="16"/>
              </w:rPr>
              <w:t>LTM-NZP-CSI-RS-Resource</w:t>
            </w:r>
          </w:p>
        </w:tc>
        <w:tc>
          <w:tcPr>
            <w:tcW w:w="863" w:type="pct"/>
            <w:shd w:val="clear" w:color="auto" w:fill="auto"/>
          </w:tcPr>
          <w:p w14:paraId="73630884" w14:textId="77777777" w:rsidR="00FC60CA" w:rsidRPr="00FC60CA" w:rsidRDefault="00FC60CA" w:rsidP="00FC60CA">
            <w:pPr>
              <w:rPr>
                <w:rFonts w:ascii="Arial" w:eastAsia="DengXian" w:hAnsi="Arial" w:cs="Arial"/>
                <w:sz w:val="16"/>
                <w:szCs w:val="16"/>
              </w:rPr>
            </w:pPr>
            <w:r w:rsidRPr="00FC60CA">
              <w:rPr>
                <w:rFonts w:ascii="Arial" w:eastAsia="DengXian" w:hAnsi="Arial" w:cs="Arial"/>
                <w:sz w:val="16"/>
                <w:szCs w:val="16"/>
              </w:rPr>
              <w:t>LTM-nzp-CSI-ResourceId</w:t>
            </w:r>
          </w:p>
        </w:tc>
        <w:tc>
          <w:tcPr>
            <w:tcW w:w="716" w:type="pct"/>
            <w:shd w:val="clear" w:color="auto" w:fill="auto"/>
          </w:tcPr>
          <w:p w14:paraId="394AA6DD" w14:textId="77777777" w:rsidR="00FC60CA" w:rsidRPr="00FC60CA" w:rsidRDefault="00FC60CA" w:rsidP="00FC60CA">
            <w:pPr>
              <w:rPr>
                <w:rFonts w:ascii="Arial" w:eastAsia="DengXian" w:hAnsi="Arial" w:cs="Arial"/>
                <w:sz w:val="16"/>
                <w:szCs w:val="16"/>
              </w:rPr>
            </w:pPr>
            <w:r w:rsidRPr="00FC60CA">
              <w:rPr>
                <w:rFonts w:ascii="Arial" w:eastAsia="DengXian" w:hAnsi="Arial" w:cs="Arial"/>
                <w:sz w:val="16"/>
                <w:szCs w:val="16"/>
              </w:rPr>
              <w:t>new</w:t>
            </w:r>
          </w:p>
        </w:tc>
        <w:tc>
          <w:tcPr>
            <w:tcW w:w="790" w:type="pct"/>
            <w:shd w:val="clear" w:color="auto" w:fill="auto"/>
          </w:tcPr>
          <w:p w14:paraId="7FF05050" w14:textId="77777777" w:rsidR="00FC60CA" w:rsidRPr="00FC60CA" w:rsidRDefault="00FC60CA" w:rsidP="00FC60CA">
            <w:pPr>
              <w:rPr>
                <w:rFonts w:ascii="Arial" w:eastAsia="DengXian" w:hAnsi="Arial" w:cs="Arial"/>
                <w:sz w:val="16"/>
                <w:szCs w:val="16"/>
              </w:rPr>
            </w:pPr>
            <w:r w:rsidRPr="00FC60CA">
              <w:rPr>
                <w:rFonts w:ascii="Arial" w:eastAsia="DengXian" w:hAnsi="Arial" w:cs="Arial"/>
                <w:sz w:val="16"/>
                <w:szCs w:val="16"/>
              </w:rPr>
              <w:t>Identify one LTM-NZP-CSI-RS-Resource</w:t>
            </w:r>
          </w:p>
        </w:tc>
        <w:tc>
          <w:tcPr>
            <w:tcW w:w="1711" w:type="pct"/>
            <w:shd w:val="clear" w:color="auto" w:fill="auto"/>
          </w:tcPr>
          <w:p w14:paraId="4145F9B5" w14:textId="77777777" w:rsidR="00FC60CA" w:rsidRPr="00FC60CA" w:rsidRDefault="00FC60CA" w:rsidP="00FC60CA">
            <w:pPr>
              <w:tabs>
                <w:tab w:val="left" w:pos="757"/>
              </w:tabs>
              <w:rPr>
                <w:rFonts w:ascii="Arial" w:eastAsia="DengXian" w:hAnsi="Arial" w:cs="Arial"/>
                <w:sz w:val="16"/>
                <w:szCs w:val="16"/>
              </w:rPr>
            </w:pPr>
            <w:r w:rsidRPr="00FC60CA">
              <w:rPr>
                <w:rFonts w:ascii="Arial" w:eastAsia="DengXian" w:hAnsi="Arial" w:cs="Arial"/>
                <w:sz w:val="16"/>
                <w:szCs w:val="16"/>
              </w:rPr>
              <w:t>INTEGER (0..maxNrofLtmNZP-CSI-RS-Resources-1)</w:t>
            </w:r>
          </w:p>
        </w:tc>
      </w:tr>
      <w:tr w:rsidR="00FC60CA" w:rsidRPr="00FC60CA" w14:paraId="2E578CCE" w14:textId="77777777" w:rsidTr="00FC60CA">
        <w:trPr>
          <w:trHeight w:val="451"/>
        </w:trPr>
        <w:tc>
          <w:tcPr>
            <w:tcW w:w="228" w:type="pct"/>
            <w:shd w:val="clear" w:color="auto" w:fill="auto"/>
          </w:tcPr>
          <w:p w14:paraId="1997F58C" w14:textId="77777777" w:rsidR="00FC60CA" w:rsidRPr="00FC60CA" w:rsidRDefault="00FC60CA" w:rsidP="00FC60CA">
            <w:pPr>
              <w:rPr>
                <w:rFonts w:ascii="Arial" w:eastAsia="DengXian" w:hAnsi="Arial" w:cs="Arial"/>
                <w:sz w:val="16"/>
                <w:szCs w:val="16"/>
              </w:rPr>
            </w:pPr>
            <w:r w:rsidRPr="00FC60CA">
              <w:rPr>
                <w:rFonts w:ascii="Arial" w:eastAsia="DengXian" w:hAnsi="Arial" w:cs="Arial"/>
                <w:sz w:val="16"/>
                <w:szCs w:val="16"/>
              </w:rPr>
              <w:t>6</w:t>
            </w:r>
          </w:p>
        </w:tc>
        <w:tc>
          <w:tcPr>
            <w:tcW w:w="691" w:type="pct"/>
            <w:shd w:val="clear" w:color="auto" w:fill="auto"/>
          </w:tcPr>
          <w:p w14:paraId="75B3ACC9" w14:textId="77777777" w:rsidR="00FC60CA" w:rsidRPr="00FC60CA" w:rsidRDefault="00FC60CA" w:rsidP="00FC60CA">
            <w:pPr>
              <w:rPr>
                <w:rFonts w:ascii="Arial" w:eastAsia="DengXian" w:hAnsi="Arial" w:cs="Arial"/>
                <w:sz w:val="16"/>
                <w:szCs w:val="16"/>
              </w:rPr>
            </w:pPr>
            <w:r w:rsidRPr="00FC60CA">
              <w:rPr>
                <w:rFonts w:ascii="Arial" w:eastAsia="DengXian" w:hAnsi="Arial" w:cs="Arial"/>
                <w:sz w:val="16"/>
                <w:szCs w:val="16"/>
              </w:rPr>
              <w:t>LTM-NZP-CSI-RS-Resource</w:t>
            </w:r>
          </w:p>
        </w:tc>
        <w:tc>
          <w:tcPr>
            <w:tcW w:w="863" w:type="pct"/>
            <w:shd w:val="clear" w:color="auto" w:fill="auto"/>
          </w:tcPr>
          <w:p w14:paraId="08F88C51" w14:textId="77777777" w:rsidR="00FC60CA" w:rsidRPr="00FC60CA" w:rsidRDefault="00FC60CA" w:rsidP="00FC60CA">
            <w:pPr>
              <w:rPr>
                <w:rFonts w:ascii="Arial" w:eastAsia="DengXian" w:hAnsi="Arial" w:cs="Arial"/>
                <w:sz w:val="16"/>
                <w:szCs w:val="16"/>
              </w:rPr>
            </w:pPr>
            <w:r w:rsidRPr="00FC60CA">
              <w:rPr>
                <w:rFonts w:ascii="Arial" w:eastAsia="DengXian" w:hAnsi="Arial" w:cs="Arial"/>
                <w:sz w:val="16"/>
                <w:szCs w:val="16"/>
              </w:rPr>
              <w:t>resourceMapping</w:t>
            </w:r>
          </w:p>
        </w:tc>
        <w:tc>
          <w:tcPr>
            <w:tcW w:w="716" w:type="pct"/>
            <w:shd w:val="clear" w:color="auto" w:fill="auto"/>
          </w:tcPr>
          <w:p w14:paraId="422BA51D" w14:textId="77777777" w:rsidR="00FC60CA" w:rsidRPr="00FC60CA" w:rsidRDefault="00FC60CA" w:rsidP="00FC60CA">
            <w:pPr>
              <w:rPr>
                <w:rFonts w:ascii="Arial" w:eastAsia="DengXian" w:hAnsi="Arial" w:cs="Arial"/>
                <w:sz w:val="16"/>
                <w:szCs w:val="16"/>
              </w:rPr>
            </w:pPr>
            <w:r w:rsidRPr="00FC60CA">
              <w:rPr>
                <w:rFonts w:ascii="Arial" w:eastAsia="DengXian" w:hAnsi="Arial" w:cs="Arial"/>
                <w:sz w:val="16"/>
                <w:szCs w:val="16"/>
              </w:rPr>
              <w:t>Existing</w:t>
            </w:r>
          </w:p>
        </w:tc>
        <w:tc>
          <w:tcPr>
            <w:tcW w:w="790" w:type="pct"/>
            <w:shd w:val="clear" w:color="auto" w:fill="auto"/>
          </w:tcPr>
          <w:p w14:paraId="1F6A3163" w14:textId="77777777" w:rsidR="00FC60CA" w:rsidRPr="00FC60CA" w:rsidRDefault="00FC60CA" w:rsidP="00FC60CA">
            <w:pPr>
              <w:rPr>
                <w:rFonts w:ascii="Arial" w:eastAsia="DengXian" w:hAnsi="Arial" w:cs="Arial"/>
                <w:sz w:val="16"/>
                <w:szCs w:val="16"/>
              </w:rPr>
            </w:pPr>
            <w:r w:rsidRPr="00FC60CA">
              <w:rPr>
                <w:rFonts w:ascii="Arial" w:eastAsia="DengXian" w:hAnsi="Arial" w:cs="Arial"/>
                <w:sz w:val="16"/>
                <w:szCs w:val="16"/>
              </w:rPr>
              <w:t>OFDM symbol location(s) in a slot and subcarrier occupancy in a PRB of the CSI-RS resource.</w:t>
            </w:r>
          </w:p>
        </w:tc>
        <w:tc>
          <w:tcPr>
            <w:tcW w:w="1711" w:type="pct"/>
            <w:shd w:val="clear" w:color="auto" w:fill="auto"/>
          </w:tcPr>
          <w:p w14:paraId="47F5735D" w14:textId="77777777" w:rsidR="00FC60CA" w:rsidRPr="00FC60CA" w:rsidRDefault="00FC60CA" w:rsidP="00FC60CA">
            <w:pPr>
              <w:tabs>
                <w:tab w:val="left" w:pos="757"/>
              </w:tabs>
              <w:rPr>
                <w:rFonts w:ascii="Arial" w:eastAsia="DengXian" w:hAnsi="Arial" w:cs="Arial"/>
                <w:sz w:val="16"/>
                <w:szCs w:val="16"/>
              </w:rPr>
            </w:pPr>
            <w:r w:rsidRPr="00FC60CA">
              <w:rPr>
                <w:rFonts w:ascii="Arial" w:eastAsia="DengXian" w:hAnsi="Arial" w:cs="Arial"/>
                <w:sz w:val="16"/>
                <w:szCs w:val="16"/>
              </w:rPr>
              <w:t>CSI-RS-ResourceMapping</w:t>
            </w:r>
          </w:p>
        </w:tc>
      </w:tr>
      <w:tr w:rsidR="00FC60CA" w:rsidRPr="00FC60CA" w14:paraId="392EF678" w14:textId="77777777" w:rsidTr="00FC60CA">
        <w:trPr>
          <w:trHeight w:val="451"/>
        </w:trPr>
        <w:tc>
          <w:tcPr>
            <w:tcW w:w="228" w:type="pct"/>
            <w:shd w:val="clear" w:color="auto" w:fill="auto"/>
          </w:tcPr>
          <w:p w14:paraId="6FC18264" w14:textId="77777777" w:rsidR="00FC60CA" w:rsidRPr="00FC60CA" w:rsidRDefault="00FC60CA" w:rsidP="00FC60CA">
            <w:pPr>
              <w:rPr>
                <w:rFonts w:ascii="Arial" w:eastAsia="DengXian" w:hAnsi="Arial" w:cs="Arial"/>
                <w:sz w:val="16"/>
                <w:szCs w:val="16"/>
              </w:rPr>
            </w:pPr>
            <w:r w:rsidRPr="00FC60CA">
              <w:rPr>
                <w:rFonts w:ascii="Arial" w:eastAsia="DengXian" w:hAnsi="Arial" w:cs="Arial"/>
                <w:sz w:val="16"/>
                <w:szCs w:val="16"/>
              </w:rPr>
              <w:t>7</w:t>
            </w:r>
          </w:p>
        </w:tc>
        <w:tc>
          <w:tcPr>
            <w:tcW w:w="691" w:type="pct"/>
            <w:shd w:val="clear" w:color="auto" w:fill="auto"/>
          </w:tcPr>
          <w:p w14:paraId="6DB42213" w14:textId="77777777" w:rsidR="00FC60CA" w:rsidRPr="00FC60CA" w:rsidRDefault="00FC60CA" w:rsidP="00FC60CA">
            <w:pPr>
              <w:rPr>
                <w:rFonts w:ascii="Arial" w:eastAsia="DengXian" w:hAnsi="Arial" w:cs="Arial"/>
                <w:sz w:val="16"/>
                <w:szCs w:val="16"/>
              </w:rPr>
            </w:pPr>
            <w:r w:rsidRPr="00FC60CA">
              <w:rPr>
                <w:rFonts w:ascii="Arial" w:eastAsia="DengXian" w:hAnsi="Arial" w:cs="Arial"/>
                <w:sz w:val="16"/>
                <w:szCs w:val="16"/>
              </w:rPr>
              <w:t>LTM-NZP-CSI-RS-Resource</w:t>
            </w:r>
          </w:p>
        </w:tc>
        <w:tc>
          <w:tcPr>
            <w:tcW w:w="863" w:type="pct"/>
            <w:shd w:val="clear" w:color="auto" w:fill="auto"/>
          </w:tcPr>
          <w:p w14:paraId="328C1489" w14:textId="77777777" w:rsidR="00FC60CA" w:rsidRPr="00FC60CA" w:rsidRDefault="00FC60CA" w:rsidP="00FC60CA">
            <w:pPr>
              <w:rPr>
                <w:rFonts w:ascii="Arial" w:eastAsia="DengXian" w:hAnsi="Arial" w:cs="Arial"/>
                <w:sz w:val="16"/>
                <w:szCs w:val="16"/>
              </w:rPr>
            </w:pPr>
            <w:r w:rsidRPr="00FC60CA">
              <w:rPr>
                <w:rFonts w:ascii="Arial" w:eastAsia="DengXian" w:hAnsi="Arial" w:cs="Arial"/>
                <w:sz w:val="16"/>
                <w:szCs w:val="16"/>
              </w:rPr>
              <w:t>powerControlOffsetSS</w:t>
            </w:r>
          </w:p>
        </w:tc>
        <w:tc>
          <w:tcPr>
            <w:tcW w:w="716" w:type="pct"/>
            <w:shd w:val="clear" w:color="auto" w:fill="auto"/>
          </w:tcPr>
          <w:p w14:paraId="42FC9952" w14:textId="77777777" w:rsidR="00FC60CA" w:rsidRPr="00FC60CA" w:rsidRDefault="00FC60CA" w:rsidP="00FC60CA">
            <w:pPr>
              <w:rPr>
                <w:rFonts w:ascii="Arial" w:eastAsia="DengXian" w:hAnsi="Arial" w:cs="Arial"/>
                <w:sz w:val="16"/>
                <w:szCs w:val="16"/>
              </w:rPr>
            </w:pPr>
            <w:r w:rsidRPr="00FC60CA">
              <w:rPr>
                <w:rFonts w:ascii="Arial" w:eastAsia="DengXian" w:hAnsi="Arial" w:cs="Arial"/>
                <w:sz w:val="16"/>
                <w:szCs w:val="16"/>
              </w:rPr>
              <w:t>Existing</w:t>
            </w:r>
          </w:p>
        </w:tc>
        <w:tc>
          <w:tcPr>
            <w:tcW w:w="790" w:type="pct"/>
            <w:shd w:val="clear" w:color="auto" w:fill="auto"/>
          </w:tcPr>
          <w:p w14:paraId="6F92B88D" w14:textId="77777777" w:rsidR="00FC60CA" w:rsidRPr="00FC60CA" w:rsidRDefault="00FC60CA" w:rsidP="00FC60CA">
            <w:pPr>
              <w:rPr>
                <w:rFonts w:ascii="Arial" w:eastAsia="DengXian" w:hAnsi="Arial" w:cs="Arial"/>
                <w:sz w:val="16"/>
                <w:szCs w:val="16"/>
              </w:rPr>
            </w:pPr>
            <w:r w:rsidRPr="00FC60CA">
              <w:rPr>
                <w:rFonts w:ascii="Arial" w:eastAsia="DengXian" w:hAnsi="Arial" w:cs="Arial"/>
                <w:sz w:val="16"/>
                <w:szCs w:val="16"/>
              </w:rPr>
              <w:t>Power offset of NZP CSI-RS RE to SSS RE</w:t>
            </w:r>
          </w:p>
        </w:tc>
        <w:tc>
          <w:tcPr>
            <w:tcW w:w="1711" w:type="pct"/>
            <w:shd w:val="clear" w:color="auto" w:fill="auto"/>
          </w:tcPr>
          <w:p w14:paraId="6ABEEA4A" w14:textId="77777777" w:rsidR="00FC60CA" w:rsidRPr="00FC60CA" w:rsidRDefault="00FC60CA" w:rsidP="00FC60CA">
            <w:pPr>
              <w:tabs>
                <w:tab w:val="left" w:pos="757"/>
              </w:tabs>
              <w:rPr>
                <w:rFonts w:ascii="Arial" w:eastAsia="DengXian" w:hAnsi="Arial" w:cs="Arial"/>
                <w:sz w:val="16"/>
                <w:szCs w:val="16"/>
              </w:rPr>
            </w:pPr>
            <w:r w:rsidRPr="00FC60CA">
              <w:rPr>
                <w:rFonts w:ascii="Arial" w:eastAsia="DengXian" w:hAnsi="Arial" w:cs="Arial"/>
                <w:sz w:val="16"/>
                <w:szCs w:val="16"/>
              </w:rPr>
              <w:t>ENUMERATED{db-3, db0, db3, db6}</w:t>
            </w:r>
          </w:p>
        </w:tc>
      </w:tr>
      <w:tr w:rsidR="00FC60CA" w:rsidRPr="00FC60CA" w14:paraId="2FFA2FED" w14:textId="77777777" w:rsidTr="00FC60CA">
        <w:trPr>
          <w:trHeight w:val="451"/>
        </w:trPr>
        <w:tc>
          <w:tcPr>
            <w:tcW w:w="228" w:type="pct"/>
            <w:shd w:val="clear" w:color="auto" w:fill="auto"/>
          </w:tcPr>
          <w:p w14:paraId="59B22E69" w14:textId="77777777" w:rsidR="00FC60CA" w:rsidRPr="00FC60CA" w:rsidRDefault="00FC60CA" w:rsidP="00FC60CA">
            <w:pPr>
              <w:rPr>
                <w:rFonts w:ascii="Arial" w:eastAsia="DengXian" w:hAnsi="Arial" w:cs="Arial"/>
                <w:sz w:val="16"/>
                <w:szCs w:val="16"/>
              </w:rPr>
            </w:pPr>
            <w:r w:rsidRPr="00FC60CA">
              <w:rPr>
                <w:rFonts w:ascii="Arial" w:eastAsia="DengXian" w:hAnsi="Arial" w:cs="Arial"/>
                <w:sz w:val="16"/>
                <w:szCs w:val="16"/>
              </w:rPr>
              <w:t>8</w:t>
            </w:r>
          </w:p>
        </w:tc>
        <w:tc>
          <w:tcPr>
            <w:tcW w:w="691" w:type="pct"/>
            <w:shd w:val="clear" w:color="auto" w:fill="auto"/>
          </w:tcPr>
          <w:p w14:paraId="23AB63AA" w14:textId="77777777" w:rsidR="00FC60CA" w:rsidRPr="00FC60CA" w:rsidRDefault="00FC60CA" w:rsidP="00FC60CA">
            <w:pPr>
              <w:rPr>
                <w:rFonts w:ascii="Arial" w:eastAsia="DengXian" w:hAnsi="Arial" w:cs="Arial"/>
                <w:sz w:val="16"/>
                <w:szCs w:val="16"/>
              </w:rPr>
            </w:pPr>
            <w:r w:rsidRPr="00FC60CA">
              <w:rPr>
                <w:rFonts w:ascii="Arial" w:eastAsia="DengXian" w:hAnsi="Arial" w:cs="Arial"/>
                <w:sz w:val="16"/>
                <w:szCs w:val="16"/>
              </w:rPr>
              <w:t>LTM-NZP-CSI-RS-Resource</w:t>
            </w:r>
          </w:p>
        </w:tc>
        <w:tc>
          <w:tcPr>
            <w:tcW w:w="863" w:type="pct"/>
            <w:shd w:val="clear" w:color="auto" w:fill="auto"/>
          </w:tcPr>
          <w:p w14:paraId="011B2B5B" w14:textId="77777777" w:rsidR="00FC60CA" w:rsidRPr="00FC60CA" w:rsidRDefault="00FC60CA" w:rsidP="00FC60CA">
            <w:pPr>
              <w:rPr>
                <w:rFonts w:ascii="Arial" w:eastAsia="DengXian" w:hAnsi="Arial" w:cs="Arial"/>
                <w:sz w:val="16"/>
                <w:szCs w:val="16"/>
              </w:rPr>
            </w:pPr>
            <w:r w:rsidRPr="00FC60CA">
              <w:rPr>
                <w:rFonts w:ascii="Arial" w:eastAsia="DengXian" w:hAnsi="Arial" w:cs="Arial"/>
                <w:sz w:val="16"/>
                <w:szCs w:val="16"/>
              </w:rPr>
              <w:t>scramblingID</w:t>
            </w:r>
          </w:p>
        </w:tc>
        <w:tc>
          <w:tcPr>
            <w:tcW w:w="716" w:type="pct"/>
            <w:shd w:val="clear" w:color="auto" w:fill="auto"/>
          </w:tcPr>
          <w:p w14:paraId="0A5AF730" w14:textId="77777777" w:rsidR="00FC60CA" w:rsidRPr="00FC60CA" w:rsidRDefault="00FC60CA" w:rsidP="00FC60CA">
            <w:pPr>
              <w:rPr>
                <w:rFonts w:ascii="Arial" w:eastAsia="DengXian" w:hAnsi="Arial" w:cs="Arial"/>
                <w:sz w:val="16"/>
                <w:szCs w:val="16"/>
              </w:rPr>
            </w:pPr>
            <w:r w:rsidRPr="00FC60CA">
              <w:rPr>
                <w:rFonts w:ascii="Arial" w:eastAsia="DengXian" w:hAnsi="Arial" w:cs="Arial"/>
                <w:sz w:val="16"/>
                <w:szCs w:val="16"/>
              </w:rPr>
              <w:t>Existing</w:t>
            </w:r>
          </w:p>
        </w:tc>
        <w:tc>
          <w:tcPr>
            <w:tcW w:w="790" w:type="pct"/>
            <w:shd w:val="clear" w:color="auto" w:fill="auto"/>
          </w:tcPr>
          <w:p w14:paraId="5EC99799" w14:textId="77777777" w:rsidR="00FC60CA" w:rsidRPr="00FC60CA" w:rsidRDefault="00FC60CA" w:rsidP="00FC60CA">
            <w:pPr>
              <w:rPr>
                <w:rFonts w:ascii="Arial" w:eastAsia="DengXian" w:hAnsi="Arial" w:cs="Arial"/>
                <w:sz w:val="16"/>
                <w:szCs w:val="16"/>
              </w:rPr>
            </w:pPr>
            <w:r w:rsidRPr="00FC60CA">
              <w:rPr>
                <w:rFonts w:ascii="Arial" w:eastAsia="DengXian" w:hAnsi="Arial" w:cs="Arial"/>
                <w:sz w:val="16"/>
                <w:szCs w:val="16"/>
              </w:rPr>
              <w:t>Scrambling ID (see TS 38.214 [19], clause 5.2.2.3.1).</w:t>
            </w:r>
          </w:p>
        </w:tc>
        <w:tc>
          <w:tcPr>
            <w:tcW w:w="1711" w:type="pct"/>
            <w:shd w:val="clear" w:color="auto" w:fill="auto"/>
          </w:tcPr>
          <w:p w14:paraId="76C99F89" w14:textId="77777777" w:rsidR="00FC60CA" w:rsidRPr="00FC60CA" w:rsidRDefault="00FC60CA" w:rsidP="00FC60CA">
            <w:pPr>
              <w:tabs>
                <w:tab w:val="left" w:pos="757"/>
              </w:tabs>
              <w:rPr>
                <w:rFonts w:ascii="Arial" w:eastAsia="DengXian" w:hAnsi="Arial" w:cs="Arial"/>
                <w:sz w:val="16"/>
                <w:szCs w:val="16"/>
              </w:rPr>
            </w:pPr>
            <w:r w:rsidRPr="00FC60CA">
              <w:rPr>
                <w:rFonts w:ascii="Arial" w:eastAsia="DengXian" w:hAnsi="Arial" w:cs="Arial"/>
                <w:sz w:val="16"/>
                <w:szCs w:val="16"/>
              </w:rPr>
              <w:t>ScramblingId</w:t>
            </w:r>
          </w:p>
        </w:tc>
      </w:tr>
      <w:tr w:rsidR="00FC60CA" w:rsidRPr="00FC60CA" w14:paraId="0129D1E8" w14:textId="77777777" w:rsidTr="00FC60CA">
        <w:trPr>
          <w:trHeight w:val="451"/>
        </w:trPr>
        <w:tc>
          <w:tcPr>
            <w:tcW w:w="228" w:type="pct"/>
            <w:shd w:val="clear" w:color="auto" w:fill="auto"/>
          </w:tcPr>
          <w:p w14:paraId="2C0D52F8" w14:textId="77777777" w:rsidR="00FC60CA" w:rsidRPr="00FC60CA" w:rsidRDefault="00FC60CA" w:rsidP="00FC60CA">
            <w:pPr>
              <w:rPr>
                <w:rFonts w:ascii="Arial" w:eastAsia="DengXian" w:hAnsi="Arial" w:cs="Arial"/>
                <w:sz w:val="16"/>
                <w:szCs w:val="16"/>
              </w:rPr>
            </w:pPr>
            <w:r w:rsidRPr="00FC60CA">
              <w:rPr>
                <w:rFonts w:ascii="Arial" w:eastAsia="DengXian" w:hAnsi="Arial" w:cs="Arial"/>
                <w:sz w:val="16"/>
                <w:szCs w:val="16"/>
              </w:rPr>
              <w:t>9</w:t>
            </w:r>
          </w:p>
        </w:tc>
        <w:tc>
          <w:tcPr>
            <w:tcW w:w="691" w:type="pct"/>
            <w:shd w:val="clear" w:color="auto" w:fill="auto"/>
          </w:tcPr>
          <w:p w14:paraId="1634AC98" w14:textId="77777777" w:rsidR="00FC60CA" w:rsidRPr="00FC60CA" w:rsidRDefault="00FC60CA" w:rsidP="00FC60CA">
            <w:pPr>
              <w:rPr>
                <w:rFonts w:ascii="Arial" w:eastAsia="DengXian" w:hAnsi="Arial" w:cs="Arial"/>
                <w:sz w:val="16"/>
                <w:szCs w:val="16"/>
              </w:rPr>
            </w:pPr>
            <w:r w:rsidRPr="00FC60CA">
              <w:rPr>
                <w:rFonts w:ascii="Arial" w:eastAsia="DengXian" w:hAnsi="Arial" w:cs="Arial"/>
                <w:sz w:val="16"/>
                <w:szCs w:val="16"/>
              </w:rPr>
              <w:t>LTM-NZP-CSI-RS-Resource</w:t>
            </w:r>
          </w:p>
        </w:tc>
        <w:tc>
          <w:tcPr>
            <w:tcW w:w="863" w:type="pct"/>
            <w:shd w:val="clear" w:color="auto" w:fill="auto"/>
          </w:tcPr>
          <w:p w14:paraId="7DCDF50B" w14:textId="77777777" w:rsidR="00FC60CA" w:rsidRPr="00FC60CA" w:rsidRDefault="00FC60CA" w:rsidP="00FC60CA">
            <w:pPr>
              <w:rPr>
                <w:rFonts w:ascii="Arial" w:eastAsia="DengXian" w:hAnsi="Arial" w:cs="Arial"/>
                <w:sz w:val="16"/>
                <w:szCs w:val="16"/>
              </w:rPr>
            </w:pPr>
            <w:r w:rsidRPr="00FC60CA">
              <w:rPr>
                <w:rFonts w:ascii="Arial" w:eastAsia="DengXian" w:hAnsi="Arial" w:cs="Arial"/>
                <w:sz w:val="16"/>
                <w:szCs w:val="16"/>
              </w:rPr>
              <w:t>periodicityAndOffset</w:t>
            </w:r>
          </w:p>
        </w:tc>
        <w:tc>
          <w:tcPr>
            <w:tcW w:w="716" w:type="pct"/>
            <w:shd w:val="clear" w:color="auto" w:fill="auto"/>
          </w:tcPr>
          <w:p w14:paraId="613E9F2E" w14:textId="77777777" w:rsidR="00FC60CA" w:rsidRPr="00FC60CA" w:rsidRDefault="00FC60CA" w:rsidP="00FC60CA">
            <w:pPr>
              <w:rPr>
                <w:rFonts w:ascii="Arial" w:eastAsia="DengXian" w:hAnsi="Arial" w:cs="Arial"/>
                <w:sz w:val="16"/>
                <w:szCs w:val="16"/>
              </w:rPr>
            </w:pPr>
            <w:r w:rsidRPr="00FC60CA">
              <w:rPr>
                <w:rFonts w:ascii="Arial" w:eastAsia="DengXian" w:hAnsi="Arial" w:cs="Arial"/>
                <w:sz w:val="16"/>
                <w:szCs w:val="16"/>
              </w:rPr>
              <w:t>Existing</w:t>
            </w:r>
          </w:p>
        </w:tc>
        <w:tc>
          <w:tcPr>
            <w:tcW w:w="790" w:type="pct"/>
            <w:shd w:val="clear" w:color="auto" w:fill="auto"/>
          </w:tcPr>
          <w:p w14:paraId="3A6D8F0A" w14:textId="77777777" w:rsidR="00FC60CA" w:rsidRPr="00FC60CA" w:rsidRDefault="00FC60CA" w:rsidP="00FC60CA">
            <w:pPr>
              <w:rPr>
                <w:rFonts w:ascii="Arial" w:eastAsia="DengXian" w:hAnsi="Arial" w:cs="Arial"/>
                <w:sz w:val="16"/>
                <w:szCs w:val="16"/>
              </w:rPr>
            </w:pPr>
            <w:r w:rsidRPr="00FC60CA">
              <w:rPr>
                <w:rFonts w:ascii="Arial" w:eastAsia="DengXian" w:hAnsi="Arial" w:cs="Arial"/>
                <w:sz w:val="16"/>
                <w:szCs w:val="16"/>
              </w:rPr>
              <w:t>Periodicity and slot offset of CSI-RS Resource.</w:t>
            </w:r>
          </w:p>
        </w:tc>
        <w:tc>
          <w:tcPr>
            <w:tcW w:w="1711" w:type="pct"/>
            <w:shd w:val="clear" w:color="auto" w:fill="auto"/>
          </w:tcPr>
          <w:p w14:paraId="1815389E" w14:textId="77777777" w:rsidR="00FC60CA" w:rsidRPr="00FC60CA" w:rsidRDefault="00FC60CA" w:rsidP="00FC60CA">
            <w:pPr>
              <w:tabs>
                <w:tab w:val="left" w:pos="757"/>
              </w:tabs>
              <w:rPr>
                <w:rFonts w:ascii="Arial" w:eastAsia="DengXian" w:hAnsi="Arial" w:cs="Arial"/>
                <w:sz w:val="16"/>
                <w:szCs w:val="16"/>
              </w:rPr>
            </w:pPr>
            <w:r w:rsidRPr="00FC60CA">
              <w:rPr>
                <w:rFonts w:ascii="Arial" w:eastAsia="DengXian" w:hAnsi="Arial" w:cs="Arial"/>
                <w:sz w:val="16"/>
                <w:szCs w:val="16"/>
              </w:rPr>
              <w:t>CSI-ResourcePeriodicityAndOffset</w:t>
            </w:r>
          </w:p>
        </w:tc>
      </w:tr>
      <w:tr w:rsidR="00FC60CA" w:rsidRPr="00FC60CA" w14:paraId="06FDCB8F" w14:textId="77777777" w:rsidTr="00FC60CA">
        <w:trPr>
          <w:trHeight w:val="451"/>
        </w:trPr>
        <w:tc>
          <w:tcPr>
            <w:tcW w:w="228" w:type="pct"/>
            <w:shd w:val="clear" w:color="auto" w:fill="auto"/>
          </w:tcPr>
          <w:p w14:paraId="3C664FDA" w14:textId="77777777" w:rsidR="00FC60CA" w:rsidRPr="00FC60CA" w:rsidRDefault="00FC60CA" w:rsidP="00FC60CA">
            <w:pPr>
              <w:rPr>
                <w:rFonts w:ascii="Arial" w:eastAsia="DengXian" w:hAnsi="Arial" w:cs="Arial"/>
                <w:sz w:val="16"/>
                <w:szCs w:val="16"/>
              </w:rPr>
            </w:pPr>
            <w:r w:rsidRPr="00FC60CA">
              <w:rPr>
                <w:rFonts w:ascii="Arial" w:eastAsia="DengXian" w:hAnsi="Arial" w:cs="Arial"/>
                <w:sz w:val="16"/>
                <w:szCs w:val="16"/>
              </w:rPr>
              <w:t>10</w:t>
            </w:r>
          </w:p>
        </w:tc>
        <w:tc>
          <w:tcPr>
            <w:tcW w:w="691" w:type="pct"/>
            <w:shd w:val="clear" w:color="auto" w:fill="auto"/>
          </w:tcPr>
          <w:p w14:paraId="3C123C3B" w14:textId="77777777" w:rsidR="00FC60CA" w:rsidRPr="00FC60CA" w:rsidRDefault="00FC60CA" w:rsidP="00FC60CA">
            <w:pPr>
              <w:rPr>
                <w:rFonts w:ascii="Arial" w:eastAsia="DengXian" w:hAnsi="Arial" w:cs="Arial"/>
                <w:sz w:val="16"/>
                <w:szCs w:val="16"/>
              </w:rPr>
            </w:pPr>
            <w:r w:rsidRPr="00FC60CA">
              <w:rPr>
                <w:rFonts w:ascii="Arial" w:eastAsia="DengXian" w:hAnsi="Arial" w:cs="Arial"/>
                <w:sz w:val="16"/>
                <w:szCs w:val="16"/>
              </w:rPr>
              <w:t>LTM-NZP-CSI-RS-Resource</w:t>
            </w:r>
          </w:p>
        </w:tc>
        <w:tc>
          <w:tcPr>
            <w:tcW w:w="863" w:type="pct"/>
            <w:shd w:val="clear" w:color="auto" w:fill="auto"/>
          </w:tcPr>
          <w:p w14:paraId="229D872A" w14:textId="77777777" w:rsidR="00FC60CA" w:rsidRPr="00FC60CA" w:rsidRDefault="00FC60CA" w:rsidP="00FC60CA">
            <w:pPr>
              <w:rPr>
                <w:rFonts w:ascii="Arial" w:eastAsia="DengXian" w:hAnsi="Arial" w:cs="Arial"/>
                <w:sz w:val="16"/>
                <w:szCs w:val="16"/>
              </w:rPr>
            </w:pPr>
            <w:r w:rsidRPr="00FC60CA">
              <w:rPr>
                <w:rFonts w:ascii="Arial" w:eastAsia="DengXian" w:hAnsi="Arial" w:cs="Arial"/>
                <w:sz w:val="16"/>
                <w:szCs w:val="16"/>
              </w:rPr>
              <w:t>qcl-InfoPeriodicCSI-RS</w:t>
            </w:r>
          </w:p>
        </w:tc>
        <w:tc>
          <w:tcPr>
            <w:tcW w:w="716" w:type="pct"/>
            <w:shd w:val="clear" w:color="auto" w:fill="auto"/>
          </w:tcPr>
          <w:p w14:paraId="10572709" w14:textId="77777777" w:rsidR="00FC60CA" w:rsidRPr="00FC60CA" w:rsidRDefault="00FC60CA" w:rsidP="00FC60CA">
            <w:pPr>
              <w:rPr>
                <w:rFonts w:ascii="Arial" w:eastAsia="DengXian" w:hAnsi="Arial" w:cs="Arial"/>
                <w:sz w:val="16"/>
                <w:szCs w:val="16"/>
              </w:rPr>
            </w:pPr>
            <w:r w:rsidRPr="00FC60CA">
              <w:rPr>
                <w:rFonts w:ascii="Arial" w:eastAsia="DengXian" w:hAnsi="Arial" w:cs="Arial"/>
                <w:sz w:val="16"/>
                <w:szCs w:val="16"/>
              </w:rPr>
              <w:t>new</w:t>
            </w:r>
          </w:p>
        </w:tc>
        <w:tc>
          <w:tcPr>
            <w:tcW w:w="790" w:type="pct"/>
            <w:shd w:val="clear" w:color="auto" w:fill="auto"/>
          </w:tcPr>
          <w:p w14:paraId="7A813066" w14:textId="77777777" w:rsidR="00FC60CA" w:rsidRPr="00FC60CA" w:rsidRDefault="00FC60CA" w:rsidP="00FC60CA">
            <w:pPr>
              <w:rPr>
                <w:rFonts w:ascii="Arial" w:eastAsia="DengXian" w:hAnsi="Arial" w:cs="Arial"/>
                <w:sz w:val="16"/>
                <w:szCs w:val="16"/>
              </w:rPr>
            </w:pPr>
            <w:r w:rsidRPr="00FC60CA">
              <w:rPr>
                <w:rFonts w:ascii="Arial" w:eastAsia="DengXian" w:hAnsi="Arial" w:cs="Arial"/>
                <w:sz w:val="16"/>
                <w:szCs w:val="16"/>
              </w:rPr>
              <w:t>For a target periodic CSI-RS, contains a reference to one TCI-State in TCI-States for providing the QCL source and QCL type</w:t>
            </w:r>
          </w:p>
        </w:tc>
        <w:tc>
          <w:tcPr>
            <w:tcW w:w="1711" w:type="pct"/>
            <w:shd w:val="clear" w:color="auto" w:fill="auto"/>
          </w:tcPr>
          <w:p w14:paraId="492AB8BB" w14:textId="77777777" w:rsidR="00FC60CA" w:rsidRPr="00FC60CA" w:rsidRDefault="00FC60CA" w:rsidP="00FC60CA">
            <w:pPr>
              <w:tabs>
                <w:tab w:val="left" w:pos="757"/>
              </w:tabs>
              <w:rPr>
                <w:rFonts w:ascii="Arial" w:eastAsia="DengXian" w:hAnsi="Arial" w:cs="Arial"/>
                <w:sz w:val="16"/>
                <w:szCs w:val="16"/>
              </w:rPr>
            </w:pPr>
            <w:r w:rsidRPr="00FC60CA">
              <w:rPr>
                <w:rFonts w:ascii="Arial" w:eastAsia="DengXian" w:hAnsi="Arial" w:cs="Arial"/>
                <w:sz w:val="16"/>
                <w:szCs w:val="16"/>
              </w:rPr>
              <w:t>LTM-tci-StateId</w:t>
            </w:r>
          </w:p>
        </w:tc>
      </w:tr>
      <w:tr w:rsidR="00FC60CA" w:rsidRPr="00FC60CA" w14:paraId="39A0AE59" w14:textId="77777777" w:rsidTr="00FC60CA">
        <w:trPr>
          <w:trHeight w:val="451"/>
        </w:trPr>
        <w:tc>
          <w:tcPr>
            <w:tcW w:w="228" w:type="pct"/>
            <w:shd w:val="clear" w:color="auto" w:fill="auto"/>
          </w:tcPr>
          <w:p w14:paraId="5176D675" w14:textId="77777777" w:rsidR="00FC60CA" w:rsidRPr="00FC60CA" w:rsidRDefault="00FC60CA" w:rsidP="00FC60CA">
            <w:pPr>
              <w:rPr>
                <w:rFonts w:ascii="Arial" w:eastAsia="DengXian" w:hAnsi="Arial" w:cs="Arial"/>
                <w:sz w:val="16"/>
                <w:szCs w:val="16"/>
              </w:rPr>
            </w:pPr>
            <w:r w:rsidRPr="00FC60CA">
              <w:rPr>
                <w:rFonts w:ascii="Arial" w:eastAsia="DengXian" w:hAnsi="Arial" w:cs="Arial"/>
                <w:sz w:val="16"/>
                <w:szCs w:val="16"/>
              </w:rPr>
              <w:t>11</w:t>
            </w:r>
          </w:p>
        </w:tc>
        <w:tc>
          <w:tcPr>
            <w:tcW w:w="691" w:type="pct"/>
            <w:shd w:val="clear" w:color="auto" w:fill="auto"/>
          </w:tcPr>
          <w:p w14:paraId="570E3878" w14:textId="77777777" w:rsidR="00FC60CA" w:rsidRPr="00FC60CA" w:rsidRDefault="00FC60CA" w:rsidP="00FC60CA">
            <w:pPr>
              <w:rPr>
                <w:rFonts w:ascii="Arial" w:eastAsia="DengXian" w:hAnsi="Arial" w:cs="Arial"/>
                <w:sz w:val="16"/>
                <w:szCs w:val="16"/>
              </w:rPr>
            </w:pPr>
            <w:r w:rsidRPr="00FC60CA">
              <w:rPr>
                <w:rFonts w:ascii="Arial" w:eastAsia="DengXian" w:hAnsi="Arial" w:cs="Arial"/>
                <w:sz w:val="16"/>
                <w:szCs w:val="16"/>
              </w:rPr>
              <w:t>LTM-NZP-CSI-RS-Resource</w:t>
            </w:r>
          </w:p>
        </w:tc>
        <w:tc>
          <w:tcPr>
            <w:tcW w:w="863" w:type="pct"/>
            <w:shd w:val="clear" w:color="auto" w:fill="auto"/>
          </w:tcPr>
          <w:p w14:paraId="579937FF" w14:textId="77777777" w:rsidR="00FC60CA" w:rsidRPr="00FC60CA" w:rsidRDefault="00FC60CA" w:rsidP="00FC60CA">
            <w:pPr>
              <w:rPr>
                <w:rFonts w:ascii="Arial" w:eastAsia="DengXian" w:hAnsi="Arial" w:cs="Arial"/>
                <w:sz w:val="16"/>
                <w:szCs w:val="16"/>
              </w:rPr>
            </w:pPr>
            <w:r w:rsidRPr="00FC60CA">
              <w:rPr>
                <w:rFonts w:ascii="Arial" w:eastAsia="DengXian" w:hAnsi="Arial" w:cs="Arial"/>
                <w:sz w:val="16"/>
                <w:szCs w:val="16"/>
              </w:rPr>
              <w:t>subcarrierSpacing</w:t>
            </w:r>
          </w:p>
        </w:tc>
        <w:tc>
          <w:tcPr>
            <w:tcW w:w="716" w:type="pct"/>
            <w:shd w:val="clear" w:color="auto" w:fill="auto"/>
          </w:tcPr>
          <w:p w14:paraId="2C061AC3" w14:textId="77777777" w:rsidR="00FC60CA" w:rsidRPr="00FC60CA" w:rsidRDefault="00FC60CA" w:rsidP="00FC60CA">
            <w:pPr>
              <w:rPr>
                <w:rFonts w:ascii="Arial" w:eastAsia="DengXian" w:hAnsi="Arial" w:cs="Arial"/>
                <w:sz w:val="16"/>
                <w:szCs w:val="16"/>
              </w:rPr>
            </w:pPr>
            <w:r w:rsidRPr="00FC60CA">
              <w:rPr>
                <w:rFonts w:ascii="Arial" w:eastAsia="DengXian" w:hAnsi="Arial" w:cs="Arial"/>
                <w:sz w:val="16"/>
                <w:szCs w:val="16"/>
              </w:rPr>
              <w:t xml:space="preserve">Existing </w:t>
            </w:r>
          </w:p>
        </w:tc>
        <w:tc>
          <w:tcPr>
            <w:tcW w:w="790" w:type="pct"/>
            <w:shd w:val="clear" w:color="auto" w:fill="auto"/>
          </w:tcPr>
          <w:p w14:paraId="013D7E9D" w14:textId="77777777" w:rsidR="00FC60CA" w:rsidRPr="00FC60CA" w:rsidRDefault="00FC60CA" w:rsidP="00FC60CA">
            <w:pPr>
              <w:rPr>
                <w:rFonts w:ascii="Arial" w:eastAsia="DengXian" w:hAnsi="Arial" w:cs="Arial"/>
                <w:sz w:val="16"/>
                <w:szCs w:val="16"/>
              </w:rPr>
            </w:pPr>
            <w:r w:rsidRPr="00FC60CA">
              <w:rPr>
                <w:rFonts w:ascii="Arial" w:eastAsia="DengXian" w:hAnsi="Arial" w:cs="Arial"/>
                <w:sz w:val="16"/>
                <w:szCs w:val="16"/>
              </w:rPr>
              <w:t>Subcarrier spacing of CSI-RS.</w:t>
            </w:r>
          </w:p>
        </w:tc>
        <w:tc>
          <w:tcPr>
            <w:tcW w:w="1711" w:type="pct"/>
            <w:shd w:val="clear" w:color="auto" w:fill="auto"/>
          </w:tcPr>
          <w:p w14:paraId="2F2F035C" w14:textId="77777777" w:rsidR="00FC60CA" w:rsidRPr="00FC60CA" w:rsidRDefault="00FC60CA" w:rsidP="00FC60CA">
            <w:pPr>
              <w:tabs>
                <w:tab w:val="left" w:pos="757"/>
              </w:tabs>
              <w:rPr>
                <w:rFonts w:ascii="Arial" w:eastAsia="DengXian" w:hAnsi="Arial" w:cs="Arial"/>
                <w:sz w:val="16"/>
                <w:szCs w:val="16"/>
              </w:rPr>
            </w:pPr>
            <w:r w:rsidRPr="00FC60CA">
              <w:rPr>
                <w:rFonts w:ascii="Arial" w:eastAsia="DengXian" w:hAnsi="Arial" w:cs="Arial"/>
                <w:sz w:val="16"/>
                <w:szCs w:val="16"/>
              </w:rPr>
              <w:t>ENUMERATED {kHz15, kHz30, kHz60, kHz120, kHz240, kHz480-v1700, kHz960-v1700, spare1}</w:t>
            </w:r>
          </w:p>
        </w:tc>
      </w:tr>
      <w:tr w:rsidR="00FC60CA" w:rsidRPr="00FC60CA" w14:paraId="5C82144A" w14:textId="77777777" w:rsidTr="00FC60CA">
        <w:trPr>
          <w:trHeight w:val="451"/>
        </w:trPr>
        <w:tc>
          <w:tcPr>
            <w:tcW w:w="228" w:type="pct"/>
            <w:shd w:val="clear" w:color="auto" w:fill="auto"/>
          </w:tcPr>
          <w:p w14:paraId="644D6E13" w14:textId="77777777" w:rsidR="00FC60CA" w:rsidRPr="00FC60CA" w:rsidRDefault="00FC60CA" w:rsidP="00FC60CA">
            <w:pPr>
              <w:rPr>
                <w:rFonts w:ascii="Arial" w:eastAsia="DengXian" w:hAnsi="Arial" w:cs="Arial"/>
                <w:sz w:val="16"/>
                <w:szCs w:val="16"/>
              </w:rPr>
            </w:pPr>
            <w:r w:rsidRPr="00FC60CA">
              <w:rPr>
                <w:rFonts w:ascii="Arial" w:eastAsia="DengXian" w:hAnsi="Arial" w:cs="Arial"/>
                <w:sz w:val="16"/>
                <w:szCs w:val="16"/>
              </w:rPr>
              <w:t>12</w:t>
            </w:r>
          </w:p>
        </w:tc>
        <w:tc>
          <w:tcPr>
            <w:tcW w:w="691" w:type="pct"/>
            <w:shd w:val="clear" w:color="auto" w:fill="auto"/>
          </w:tcPr>
          <w:p w14:paraId="0984BA0E" w14:textId="77777777" w:rsidR="00FC60CA" w:rsidRPr="00FC60CA" w:rsidRDefault="00FC60CA" w:rsidP="00FC60CA">
            <w:pPr>
              <w:rPr>
                <w:rFonts w:ascii="Arial" w:eastAsia="DengXian" w:hAnsi="Arial" w:cs="Arial"/>
                <w:sz w:val="16"/>
                <w:szCs w:val="16"/>
              </w:rPr>
            </w:pPr>
            <w:r w:rsidRPr="00FC60CA">
              <w:rPr>
                <w:rFonts w:ascii="Arial" w:eastAsia="DengXian" w:hAnsi="Arial" w:cs="Arial"/>
                <w:sz w:val="16"/>
                <w:szCs w:val="16"/>
              </w:rPr>
              <w:t>LTM-NZP-CSI-RS-Resource</w:t>
            </w:r>
          </w:p>
        </w:tc>
        <w:tc>
          <w:tcPr>
            <w:tcW w:w="863" w:type="pct"/>
            <w:shd w:val="clear" w:color="auto" w:fill="auto"/>
          </w:tcPr>
          <w:p w14:paraId="43E254D2" w14:textId="77777777" w:rsidR="00FC60CA" w:rsidRPr="00FC60CA" w:rsidRDefault="00FC60CA" w:rsidP="00FC60CA">
            <w:pPr>
              <w:rPr>
                <w:rFonts w:ascii="Arial" w:eastAsia="DengXian" w:hAnsi="Arial" w:cs="Arial"/>
                <w:sz w:val="16"/>
                <w:szCs w:val="16"/>
              </w:rPr>
            </w:pPr>
            <w:r w:rsidRPr="00FC60CA">
              <w:rPr>
                <w:rFonts w:ascii="Arial" w:eastAsia="DengXian" w:hAnsi="Arial" w:cs="Arial"/>
                <w:sz w:val="16"/>
                <w:szCs w:val="16"/>
              </w:rPr>
              <w:t>absoluteFrequencyPointA,</w:t>
            </w:r>
          </w:p>
        </w:tc>
        <w:tc>
          <w:tcPr>
            <w:tcW w:w="716" w:type="pct"/>
            <w:shd w:val="clear" w:color="auto" w:fill="auto"/>
          </w:tcPr>
          <w:p w14:paraId="5CDCDCCC" w14:textId="77777777" w:rsidR="00FC60CA" w:rsidRPr="00FC60CA" w:rsidRDefault="00FC60CA" w:rsidP="00FC60CA">
            <w:pPr>
              <w:rPr>
                <w:rFonts w:ascii="Arial" w:eastAsia="DengXian" w:hAnsi="Arial" w:cs="Arial"/>
                <w:sz w:val="16"/>
                <w:szCs w:val="16"/>
              </w:rPr>
            </w:pPr>
            <w:r w:rsidRPr="00FC60CA">
              <w:rPr>
                <w:rFonts w:ascii="Arial" w:eastAsia="DengXian" w:hAnsi="Arial" w:cs="Arial"/>
                <w:sz w:val="16"/>
                <w:szCs w:val="16"/>
              </w:rPr>
              <w:t>Existing</w:t>
            </w:r>
          </w:p>
        </w:tc>
        <w:tc>
          <w:tcPr>
            <w:tcW w:w="790" w:type="pct"/>
            <w:shd w:val="clear" w:color="auto" w:fill="auto"/>
          </w:tcPr>
          <w:p w14:paraId="200F5627" w14:textId="77777777" w:rsidR="00FC60CA" w:rsidRPr="00FC60CA" w:rsidRDefault="00FC60CA" w:rsidP="00FC60CA">
            <w:pPr>
              <w:rPr>
                <w:rFonts w:ascii="Arial" w:eastAsia="DengXian" w:hAnsi="Arial" w:cs="Arial"/>
                <w:sz w:val="16"/>
                <w:szCs w:val="16"/>
              </w:rPr>
            </w:pPr>
            <w:r w:rsidRPr="00FC60CA">
              <w:rPr>
                <w:rFonts w:ascii="Arial" w:eastAsia="DengXian" w:hAnsi="Arial" w:cs="Arial"/>
                <w:sz w:val="16"/>
                <w:szCs w:val="16"/>
              </w:rPr>
              <w:t>This field indicates the absolute frequency position of the reference resource block (Common RB 0).</w:t>
            </w:r>
          </w:p>
        </w:tc>
        <w:tc>
          <w:tcPr>
            <w:tcW w:w="1711" w:type="pct"/>
            <w:shd w:val="clear" w:color="auto" w:fill="auto"/>
          </w:tcPr>
          <w:p w14:paraId="0768DA0F" w14:textId="77777777" w:rsidR="00FC60CA" w:rsidRPr="00FC60CA" w:rsidRDefault="00FC60CA" w:rsidP="00FC60CA">
            <w:pPr>
              <w:tabs>
                <w:tab w:val="left" w:pos="757"/>
              </w:tabs>
              <w:rPr>
                <w:rFonts w:ascii="Arial" w:eastAsia="DengXian" w:hAnsi="Arial" w:cs="Arial"/>
                <w:sz w:val="16"/>
                <w:szCs w:val="16"/>
              </w:rPr>
            </w:pPr>
            <w:r w:rsidRPr="00FC60CA">
              <w:rPr>
                <w:rFonts w:ascii="Arial" w:eastAsia="DengXian" w:hAnsi="Arial" w:cs="Arial"/>
                <w:sz w:val="16"/>
                <w:szCs w:val="16"/>
              </w:rPr>
              <w:t>ARFCN-ValueNR</w:t>
            </w:r>
          </w:p>
        </w:tc>
      </w:tr>
      <w:tr w:rsidR="00FC60CA" w:rsidRPr="00FC60CA" w14:paraId="6FA39F10" w14:textId="77777777" w:rsidTr="00FC60CA">
        <w:trPr>
          <w:trHeight w:val="451"/>
        </w:trPr>
        <w:tc>
          <w:tcPr>
            <w:tcW w:w="228" w:type="pct"/>
            <w:shd w:val="clear" w:color="auto" w:fill="auto"/>
          </w:tcPr>
          <w:p w14:paraId="0551467C" w14:textId="77777777" w:rsidR="00FC60CA" w:rsidRPr="00FC60CA" w:rsidRDefault="00FC60CA" w:rsidP="00FC60CA">
            <w:pPr>
              <w:rPr>
                <w:rFonts w:ascii="Arial" w:eastAsia="DengXian" w:hAnsi="Arial" w:cs="Arial"/>
                <w:sz w:val="16"/>
                <w:szCs w:val="16"/>
              </w:rPr>
            </w:pPr>
            <w:r w:rsidRPr="00FC60CA">
              <w:rPr>
                <w:rFonts w:ascii="Arial" w:eastAsia="DengXian" w:hAnsi="Arial" w:cs="Arial"/>
                <w:sz w:val="16"/>
                <w:szCs w:val="16"/>
              </w:rPr>
              <w:t>13</w:t>
            </w:r>
          </w:p>
        </w:tc>
        <w:tc>
          <w:tcPr>
            <w:tcW w:w="691" w:type="pct"/>
            <w:shd w:val="clear" w:color="auto" w:fill="auto"/>
          </w:tcPr>
          <w:p w14:paraId="1A09B03B" w14:textId="77777777" w:rsidR="00FC60CA" w:rsidRPr="00FC60CA" w:rsidRDefault="00FC60CA" w:rsidP="00FC60CA">
            <w:pPr>
              <w:rPr>
                <w:rFonts w:ascii="Arial" w:eastAsia="DengXian" w:hAnsi="Arial" w:cs="Arial"/>
                <w:sz w:val="16"/>
                <w:szCs w:val="16"/>
              </w:rPr>
            </w:pPr>
            <w:r w:rsidRPr="00FC60CA">
              <w:rPr>
                <w:rFonts w:ascii="Arial" w:eastAsia="DengXian" w:hAnsi="Arial" w:cs="Arial"/>
                <w:sz w:val="16"/>
                <w:szCs w:val="16"/>
              </w:rPr>
              <w:t>LTM-Candidate-r18</w:t>
            </w:r>
          </w:p>
        </w:tc>
        <w:tc>
          <w:tcPr>
            <w:tcW w:w="863" w:type="pct"/>
            <w:shd w:val="clear" w:color="auto" w:fill="auto"/>
          </w:tcPr>
          <w:p w14:paraId="00BA8F38" w14:textId="77777777" w:rsidR="00FC60CA" w:rsidRPr="00FC60CA" w:rsidRDefault="00FC60CA" w:rsidP="00FC60CA">
            <w:pPr>
              <w:rPr>
                <w:rFonts w:ascii="Arial" w:eastAsia="DengXian" w:hAnsi="Arial" w:cs="Arial"/>
                <w:sz w:val="16"/>
                <w:szCs w:val="16"/>
              </w:rPr>
            </w:pPr>
            <w:r w:rsidRPr="00FC60CA">
              <w:rPr>
                <w:rFonts w:ascii="Arial" w:eastAsia="DengXian" w:hAnsi="Arial" w:cs="Arial"/>
                <w:sz w:val="16"/>
                <w:szCs w:val="16"/>
              </w:rPr>
              <w:t>LTM-nzp-CSI-RS-ResourceSetToAddModList</w:t>
            </w:r>
          </w:p>
        </w:tc>
        <w:tc>
          <w:tcPr>
            <w:tcW w:w="716" w:type="pct"/>
            <w:shd w:val="clear" w:color="auto" w:fill="auto"/>
          </w:tcPr>
          <w:p w14:paraId="10150B46" w14:textId="77777777" w:rsidR="00FC60CA" w:rsidRPr="00FC60CA" w:rsidRDefault="00FC60CA" w:rsidP="00FC60CA">
            <w:pPr>
              <w:rPr>
                <w:rFonts w:ascii="Arial" w:eastAsia="DengXian" w:hAnsi="Arial" w:cs="Arial"/>
                <w:sz w:val="16"/>
                <w:szCs w:val="16"/>
              </w:rPr>
            </w:pPr>
            <w:r w:rsidRPr="00FC60CA">
              <w:rPr>
                <w:rFonts w:ascii="Arial" w:eastAsia="DengXian" w:hAnsi="Arial" w:cs="Arial"/>
                <w:sz w:val="16"/>
                <w:szCs w:val="16"/>
              </w:rPr>
              <w:t>new</w:t>
            </w:r>
          </w:p>
        </w:tc>
        <w:tc>
          <w:tcPr>
            <w:tcW w:w="790" w:type="pct"/>
            <w:shd w:val="clear" w:color="auto" w:fill="auto"/>
          </w:tcPr>
          <w:p w14:paraId="125E2B30" w14:textId="77777777" w:rsidR="00FC60CA" w:rsidRPr="00FC60CA" w:rsidRDefault="00FC60CA" w:rsidP="00FC60CA">
            <w:pPr>
              <w:rPr>
                <w:rFonts w:ascii="Arial" w:eastAsia="DengXian" w:hAnsi="Arial" w:cs="Arial"/>
                <w:sz w:val="16"/>
                <w:szCs w:val="16"/>
              </w:rPr>
            </w:pPr>
            <w:r w:rsidRPr="00FC60CA">
              <w:rPr>
                <w:rFonts w:ascii="Arial" w:eastAsia="DengXian" w:hAnsi="Arial" w:cs="Arial"/>
                <w:sz w:val="16"/>
                <w:szCs w:val="16"/>
              </w:rPr>
              <w:t>defines a list of LTM-nzp-CSI-RS-ResourceSets</w:t>
            </w:r>
          </w:p>
        </w:tc>
        <w:tc>
          <w:tcPr>
            <w:tcW w:w="1711" w:type="pct"/>
            <w:shd w:val="clear" w:color="auto" w:fill="auto"/>
          </w:tcPr>
          <w:p w14:paraId="41AB9C9A" w14:textId="77777777" w:rsidR="00FC60CA" w:rsidRPr="00FC60CA" w:rsidRDefault="00FC60CA" w:rsidP="00FC60CA">
            <w:pPr>
              <w:tabs>
                <w:tab w:val="left" w:pos="757"/>
              </w:tabs>
              <w:rPr>
                <w:rFonts w:ascii="Arial" w:eastAsia="DengXian" w:hAnsi="Arial" w:cs="Arial"/>
                <w:sz w:val="16"/>
                <w:szCs w:val="16"/>
              </w:rPr>
            </w:pPr>
            <w:r w:rsidRPr="00FC60CA">
              <w:rPr>
                <w:rFonts w:ascii="Arial" w:eastAsia="DengXian" w:hAnsi="Arial" w:cs="Arial"/>
                <w:sz w:val="16"/>
                <w:szCs w:val="16"/>
              </w:rPr>
              <w:t>SEQUENCE (SIZE (1..maxNrofLtmNZP-CSI-RS-ResourceSets)) OF LTM-NZP-CSI-RS-ResourceSet</w:t>
            </w:r>
          </w:p>
        </w:tc>
      </w:tr>
      <w:tr w:rsidR="00FC60CA" w:rsidRPr="00FC60CA" w14:paraId="3694A1BB" w14:textId="77777777" w:rsidTr="00FC60CA">
        <w:trPr>
          <w:trHeight w:val="451"/>
        </w:trPr>
        <w:tc>
          <w:tcPr>
            <w:tcW w:w="228" w:type="pct"/>
            <w:shd w:val="clear" w:color="auto" w:fill="auto"/>
          </w:tcPr>
          <w:p w14:paraId="731A2C89" w14:textId="77777777" w:rsidR="00FC60CA" w:rsidRPr="00FC60CA" w:rsidRDefault="00FC60CA" w:rsidP="00FC60CA">
            <w:pPr>
              <w:rPr>
                <w:rFonts w:ascii="Arial" w:eastAsia="DengXian" w:hAnsi="Arial" w:cs="Arial"/>
                <w:sz w:val="16"/>
                <w:szCs w:val="16"/>
              </w:rPr>
            </w:pPr>
            <w:r w:rsidRPr="00FC60CA">
              <w:rPr>
                <w:rFonts w:ascii="Arial" w:eastAsia="DengXian" w:hAnsi="Arial" w:cs="Arial"/>
                <w:sz w:val="16"/>
                <w:szCs w:val="16"/>
              </w:rPr>
              <w:t>14</w:t>
            </w:r>
          </w:p>
        </w:tc>
        <w:tc>
          <w:tcPr>
            <w:tcW w:w="691" w:type="pct"/>
            <w:shd w:val="clear" w:color="auto" w:fill="auto"/>
          </w:tcPr>
          <w:p w14:paraId="4E2B6A32" w14:textId="77777777" w:rsidR="00FC60CA" w:rsidRPr="00FC60CA" w:rsidRDefault="00FC60CA" w:rsidP="00FC60CA">
            <w:pPr>
              <w:rPr>
                <w:rFonts w:ascii="Arial" w:eastAsia="DengXian" w:hAnsi="Arial" w:cs="Arial"/>
                <w:sz w:val="16"/>
                <w:szCs w:val="16"/>
              </w:rPr>
            </w:pPr>
            <w:r w:rsidRPr="00FC60CA">
              <w:rPr>
                <w:rFonts w:ascii="Arial" w:eastAsia="DengXian" w:hAnsi="Arial" w:cs="Arial"/>
                <w:sz w:val="16"/>
                <w:szCs w:val="16"/>
              </w:rPr>
              <w:t>LTM-Candidate-r18</w:t>
            </w:r>
          </w:p>
        </w:tc>
        <w:tc>
          <w:tcPr>
            <w:tcW w:w="863" w:type="pct"/>
            <w:shd w:val="clear" w:color="auto" w:fill="auto"/>
          </w:tcPr>
          <w:p w14:paraId="7295E5B0" w14:textId="77777777" w:rsidR="00FC60CA" w:rsidRPr="00FC60CA" w:rsidRDefault="00FC60CA" w:rsidP="00FC60CA">
            <w:pPr>
              <w:rPr>
                <w:rFonts w:ascii="Arial" w:eastAsia="DengXian" w:hAnsi="Arial" w:cs="Arial"/>
                <w:sz w:val="16"/>
                <w:szCs w:val="16"/>
              </w:rPr>
            </w:pPr>
            <w:r w:rsidRPr="00FC60CA">
              <w:rPr>
                <w:rFonts w:ascii="Arial" w:eastAsia="DengXian" w:hAnsi="Arial" w:cs="Arial"/>
                <w:sz w:val="16"/>
                <w:szCs w:val="16"/>
              </w:rPr>
              <w:t>LTM-nzp-CSI-RS-ResourceSetToReleaseList</w:t>
            </w:r>
          </w:p>
        </w:tc>
        <w:tc>
          <w:tcPr>
            <w:tcW w:w="716" w:type="pct"/>
            <w:shd w:val="clear" w:color="auto" w:fill="auto"/>
          </w:tcPr>
          <w:p w14:paraId="7B9995DB" w14:textId="77777777" w:rsidR="00FC60CA" w:rsidRPr="00FC60CA" w:rsidRDefault="00FC60CA" w:rsidP="00FC60CA">
            <w:pPr>
              <w:rPr>
                <w:rFonts w:ascii="Arial" w:eastAsia="DengXian" w:hAnsi="Arial" w:cs="Arial"/>
                <w:sz w:val="16"/>
                <w:szCs w:val="16"/>
              </w:rPr>
            </w:pPr>
            <w:r w:rsidRPr="00FC60CA">
              <w:rPr>
                <w:rFonts w:ascii="Arial" w:eastAsia="DengXian" w:hAnsi="Arial" w:cs="Arial"/>
                <w:sz w:val="16"/>
                <w:szCs w:val="16"/>
              </w:rPr>
              <w:t>New</w:t>
            </w:r>
          </w:p>
        </w:tc>
        <w:tc>
          <w:tcPr>
            <w:tcW w:w="790" w:type="pct"/>
            <w:shd w:val="clear" w:color="auto" w:fill="auto"/>
          </w:tcPr>
          <w:p w14:paraId="4E16FBC0" w14:textId="77777777" w:rsidR="00FC60CA" w:rsidRPr="00FC60CA" w:rsidRDefault="00FC60CA" w:rsidP="00FC60CA">
            <w:pPr>
              <w:rPr>
                <w:rFonts w:ascii="Arial" w:eastAsia="DengXian" w:hAnsi="Arial" w:cs="Arial"/>
                <w:sz w:val="16"/>
                <w:szCs w:val="16"/>
              </w:rPr>
            </w:pPr>
            <w:r w:rsidRPr="00FC60CA">
              <w:rPr>
                <w:rFonts w:ascii="Arial" w:eastAsia="DengXian" w:hAnsi="Arial" w:cs="Arial"/>
                <w:sz w:val="16"/>
                <w:szCs w:val="16"/>
              </w:rPr>
              <w:t>List of LTM-nzp-CSI-RS-ResourceSet to be released</w:t>
            </w:r>
          </w:p>
        </w:tc>
        <w:tc>
          <w:tcPr>
            <w:tcW w:w="1711" w:type="pct"/>
            <w:shd w:val="clear" w:color="auto" w:fill="auto"/>
          </w:tcPr>
          <w:p w14:paraId="62C4E511" w14:textId="77777777" w:rsidR="00FC60CA" w:rsidRPr="00FC60CA" w:rsidRDefault="00FC60CA" w:rsidP="00FC60CA">
            <w:pPr>
              <w:tabs>
                <w:tab w:val="left" w:pos="757"/>
              </w:tabs>
              <w:rPr>
                <w:rFonts w:ascii="Arial" w:eastAsia="DengXian" w:hAnsi="Arial" w:cs="Arial"/>
                <w:sz w:val="16"/>
                <w:szCs w:val="16"/>
              </w:rPr>
            </w:pPr>
            <w:r w:rsidRPr="00FC60CA">
              <w:rPr>
                <w:rFonts w:ascii="Arial" w:eastAsia="DengXian" w:hAnsi="Arial" w:cs="Arial"/>
                <w:sz w:val="16"/>
                <w:szCs w:val="16"/>
              </w:rPr>
              <w:t>SEQUENCE (SIZE (1..maxNrofLtmNZP-CSI-RS-ResourceSets)) OF NZP-CSI-RS-ResourceSetId</w:t>
            </w:r>
          </w:p>
        </w:tc>
      </w:tr>
      <w:tr w:rsidR="00FC60CA" w:rsidRPr="00FC60CA" w14:paraId="582E4FDA" w14:textId="77777777" w:rsidTr="00FC60CA">
        <w:trPr>
          <w:trHeight w:val="451"/>
        </w:trPr>
        <w:tc>
          <w:tcPr>
            <w:tcW w:w="228" w:type="pct"/>
            <w:shd w:val="clear" w:color="auto" w:fill="auto"/>
          </w:tcPr>
          <w:p w14:paraId="7F0D53A1" w14:textId="77777777" w:rsidR="00FC60CA" w:rsidRPr="00FC60CA" w:rsidRDefault="00FC60CA" w:rsidP="00FC60CA">
            <w:pPr>
              <w:rPr>
                <w:rFonts w:ascii="Arial" w:eastAsia="DengXian" w:hAnsi="Arial" w:cs="Arial"/>
                <w:sz w:val="16"/>
                <w:szCs w:val="16"/>
              </w:rPr>
            </w:pPr>
            <w:r w:rsidRPr="00FC60CA">
              <w:rPr>
                <w:rFonts w:ascii="Arial" w:eastAsia="DengXian" w:hAnsi="Arial" w:cs="Arial"/>
                <w:sz w:val="16"/>
                <w:szCs w:val="16"/>
              </w:rPr>
              <w:t>15</w:t>
            </w:r>
          </w:p>
        </w:tc>
        <w:tc>
          <w:tcPr>
            <w:tcW w:w="691" w:type="pct"/>
            <w:shd w:val="clear" w:color="auto" w:fill="auto"/>
          </w:tcPr>
          <w:p w14:paraId="3D4E3961" w14:textId="77777777" w:rsidR="00FC60CA" w:rsidRPr="00FC60CA" w:rsidRDefault="00FC60CA" w:rsidP="00FC60CA">
            <w:pPr>
              <w:rPr>
                <w:rFonts w:ascii="Arial" w:eastAsia="DengXian" w:hAnsi="Arial" w:cs="Arial"/>
                <w:sz w:val="16"/>
                <w:szCs w:val="16"/>
              </w:rPr>
            </w:pPr>
            <w:r w:rsidRPr="00FC60CA">
              <w:rPr>
                <w:rFonts w:ascii="Arial" w:eastAsia="DengXian" w:hAnsi="Arial" w:cs="Arial"/>
                <w:sz w:val="16"/>
                <w:szCs w:val="16"/>
              </w:rPr>
              <w:t>LTM-nzp-CSI-RS-ResourceSetToAddModList</w:t>
            </w:r>
          </w:p>
        </w:tc>
        <w:tc>
          <w:tcPr>
            <w:tcW w:w="863" w:type="pct"/>
            <w:shd w:val="clear" w:color="auto" w:fill="auto"/>
          </w:tcPr>
          <w:p w14:paraId="7CFC1BAC" w14:textId="77777777" w:rsidR="00FC60CA" w:rsidRPr="00FC60CA" w:rsidRDefault="00FC60CA" w:rsidP="00FC60CA">
            <w:pPr>
              <w:rPr>
                <w:rFonts w:ascii="Arial" w:eastAsia="DengXian" w:hAnsi="Arial" w:cs="Arial"/>
                <w:sz w:val="16"/>
                <w:szCs w:val="16"/>
              </w:rPr>
            </w:pPr>
            <w:r w:rsidRPr="00FC60CA">
              <w:rPr>
                <w:rFonts w:ascii="Arial" w:eastAsia="DengXian" w:hAnsi="Arial" w:cs="Arial"/>
                <w:sz w:val="16"/>
                <w:szCs w:val="16"/>
              </w:rPr>
              <w:t>LTM-NZP-CSI-RS-ResourceSet</w:t>
            </w:r>
          </w:p>
        </w:tc>
        <w:tc>
          <w:tcPr>
            <w:tcW w:w="716" w:type="pct"/>
            <w:shd w:val="clear" w:color="auto" w:fill="auto"/>
          </w:tcPr>
          <w:p w14:paraId="6EBE82BA" w14:textId="77777777" w:rsidR="00FC60CA" w:rsidRPr="00FC60CA" w:rsidRDefault="00FC60CA" w:rsidP="00FC60CA">
            <w:pPr>
              <w:rPr>
                <w:rFonts w:ascii="Arial" w:eastAsia="DengXian" w:hAnsi="Arial" w:cs="Arial"/>
                <w:sz w:val="16"/>
                <w:szCs w:val="16"/>
              </w:rPr>
            </w:pPr>
            <w:r w:rsidRPr="00FC60CA">
              <w:rPr>
                <w:rFonts w:ascii="Arial" w:eastAsia="DengXian" w:hAnsi="Arial" w:cs="Arial"/>
                <w:sz w:val="16"/>
                <w:szCs w:val="16"/>
              </w:rPr>
              <w:t>new</w:t>
            </w:r>
          </w:p>
        </w:tc>
        <w:tc>
          <w:tcPr>
            <w:tcW w:w="790" w:type="pct"/>
            <w:shd w:val="clear" w:color="auto" w:fill="auto"/>
          </w:tcPr>
          <w:p w14:paraId="1DAA137B" w14:textId="77777777" w:rsidR="00FC60CA" w:rsidRPr="00FC60CA" w:rsidRDefault="00FC60CA" w:rsidP="00FC60CA">
            <w:pPr>
              <w:rPr>
                <w:rFonts w:ascii="Arial" w:eastAsia="DengXian" w:hAnsi="Arial" w:cs="Arial"/>
                <w:sz w:val="16"/>
                <w:szCs w:val="16"/>
              </w:rPr>
            </w:pPr>
            <w:r w:rsidRPr="00FC60CA">
              <w:rPr>
                <w:rFonts w:ascii="Arial" w:eastAsia="DengXian" w:hAnsi="Arial" w:cs="Arial"/>
                <w:sz w:val="16"/>
                <w:szCs w:val="16"/>
              </w:rPr>
              <w:t>Provide a set of LTM-Non-Zero-Power (NZP) CSI-RS resources for LTM operatio</w:t>
            </w:r>
          </w:p>
        </w:tc>
        <w:tc>
          <w:tcPr>
            <w:tcW w:w="1711" w:type="pct"/>
            <w:shd w:val="clear" w:color="auto" w:fill="auto"/>
          </w:tcPr>
          <w:p w14:paraId="20BA1D8B" w14:textId="77777777" w:rsidR="00FC60CA" w:rsidRPr="00FC60CA" w:rsidRDefault="00FC60CA" w:rsidP="00FC60CA">
            <w:pPr>
              <w:tabs>
                <w:tab w:val="left" w:pos="757"/>
              </w:tabs>
              <w:rPr>
                <w:rFonts w:ascii="Arial" w:eastAsia="DengXian" w:hAnsi="Arial" w:cs="Arial"/>
                <w:sz w:val="16"/>
                <w:szCs w:val="16"/>
              </w:rPr>
            </w:pPr>
            <w:r w:rsidRPr="00FC60CA">
              <w:rPr>
                <w:rFonts w:ascii="Arial" w:eastAsia="DengXian" w:hAnsi="Arial" w:cs="Arial"/>
                <w:sz w:val="16"/>
                <w:szCs w:val="16"/>
              </w:rPr>
              <w:t>SEQUENCE {</w:t>
            </w:r>
          </w:p>
          <w:p w14:paraId="1F0C1864" w14:textId="77777777" w:rsidR="00FC60CA" w:rsidRPr="00FC60CA" w:rsidRDefault="00FC60CA" w:rsidP="00FC60CA">
            <w:pPr>
              <w:tabs>
                <w:tab w:val="left" w:pos="757"/>
              </w:tabs>
              <w:rPr>
                <w:rFonts w:ascii="Arial" w:eastAsia="DengXian" w:hAnsi="Arial" w:cs="Arial"/>
                <w:sz w:val="16"/>
                <w:szCs w:val="16"/>
              </w:rPr>
            </w:pPr>
            <w:r w:rsidRPr="00FC60CA">
              <w:rPr>
                <w:rFonts w:ascii="Arial" w:eastAsia="DengXian" w:hAnsi="Arial" w:cs="Arial"/>
                <w:sz w:val="16"/>
                <w:szCs w:val="16"/>
              </w:rPr>
              <w:t xml:space="preserve">LTM-nzp-CSI-ResourceSetId, </w:t>
            </w:r>
          </w:p>
          <w:p w14:paraId="2E108554" w14:textId="77777777" w:rsidR="00FC60CA" w:rsidRPr="00FC60CA" w:rsidRDefault="00FC60CA" w:rsidP="00FC60CA">
            <w:pPr>
              <w:tabs>
                <w:tab w:val="left" w:pos="757"/>
              </w:tabs>
              <w:rPr>
                <w:rFonts w:ascii="Arial" w:eastAsia="DengXian" w:hAnsi="Arial" w:cs="Arial"/>
                <w:sz w:val="16"/>
                <w:szCs w:val="16"/>
              </w:rPr>
            </w:pPr>
            <w:r w:rsidRPr="00FC60CA">
              <w:rPr>
                <w:rFonts w:ascii="Arial" w:eastAsia="DengXian" w:hAnsi="Arial" w:cs="Arial"/>
                <w:sz w:val="16"/>
                <w:szCs w:val="16"/>
              </w:rPr>
              <w:t xml:space="preserve">LTM-nzp-CSI-RS-Resources, </w:t>
            </w:r>
          </w:p>
          <w:p w14:paraId="4AD7A88E" w14:textId="77777777" w:rsidR="00FC60CA" w:rsidRPr="00FC60CA" w:rsidRDefault="00FC60CA" w:rsidP="00FC60CA">
            <w:pPr>
              <w:tabs>
                <w:tab w:val="left" w:pos="757"/>
              </w:tabs>
              <w:rPr>
                <w:rFonts w:ascii="Arial" w:eastAsia="DengXian" w:hAnsi="Arial" w:cs="Arial"/>
                <w:sz w:val="16"/>
                <w:szCs w:val="16"/>
              </w:rPr>
            </w:pPr>
            <w:r w:rsidRPr="00FC60CA">
              <w:rPr>
                <w:rFonts w:ascii="Arial" w:eastAsia="DengXian" w:hAnsi="Arial" w:cs="Arial"/>
                <w:sz w:val="16"/>
                <w:szCs w:val="16"/>
              </w:rPr>
              <w:t>trs-Info,</w:t>
            </w:r>
          </w:p>
          <w:p w14:paraId="4E6A1C89" w14:textId="77777777" w:rsidR="00FC60CA" w:rsidRPr="00FC60CA" w:rsidRDefault="00FC60CA" w:rsidP="00FC60CA">
            <w:pPr>
              <w:tabs>
                <w:tab w:val="left" w:pos="757"/>
              </w:tabs>
              <w:rPr>
                <w:rFonts w:ascii="Arial" w:eastAsia="DengXian" w:hAnsi="Arial" w:cs="Arial"/>
                <w:sz w:val="16"/>
                <w:szCs w:val="16"/>
              </w:rPr>
            </w:pPr>
          </w:p>
          <w:p w14:paraId="57D5A283" w14:textId="77777777" w:rsidR="00FC60CA" w:rsidRPr="00FC60CA" w:rsidRDefault="00FC60CA" w:rsidP="00FC60CA">
            <w:pPr>
              <w:tabs>
                <w:tab w:val="left" w:pos="757"/>
              </w:tabs>
              <w:rPr>
                <w:rFonts w:ascii="Arial" w:eastAsia="DengXian" w:hAnsi="Arial" w:cs="Arial"/>
                <w:sz w:val="16"/>
                <w:szCs w:val="16"/>
              </w:rPr>
            </w:pPr>
            <w:r w:rsidRPr="00FC60CA">
              <w:rPr>
                <w:rFonts w:ascii="Arial" w:eastAsia="DengXian" w:hAnsi="Arial" w:cs="Arial"/>
                <w:sz w:val="16"/>
                <w:szCs w:val="16"/>
              </w:rPr>
              <w:t>resourceType-18,</w:t>
            </w:r>
          </w:p>
          <w:p w14:paraId="39C86743" w14:textId="77777777" w:rsidR="00FC60CA" w:rsidRPr="00FC60CA" w:rsidRDefault="00FC60CA" w:rsidP="00FC60CA">
            <w:pPr>
              <w:tabs>
                <w:tab w:val="left" w:pos="757"/>
              </w:tabs>
              <w:rPr>
                <w:rFonts w:ascii="Arial" w:eastAsia="DengXian" w:hAnsi="Arial" w:cs="Arial"/>
                <w:sz w:val="16"/>
                <w:szCs w:val="16"/>
              </w:rPr>
            </w:pPr>
            <w:r w:rsidRPr="00FC60CA">
              <w:rPr>
                <w:rFonts w:ascii="Arial" w:eastAsia="DengXian" w:hAnsi="Arial" w:cs="Arial"/>
                <w:sz w:val="16"/>
                <w:szCs w:val="16"/>
              </w:rPr>
              <w:t>}</w:t>
            </w:r>
          </w:p>
        </w:tc>
      </w:tr>
      <w:tr w:rsidR="00FC60CA" w:rsidRPr="00FC60CA" w14:paraId="78B8F27C" w14:textId="77777777" w:rsidTr="00FC60CA">
        <w:trPr>
          <w:trHeight w:val="451"/>
        </w:trPr>
        <w:tc>
          <w:tcPr>
            <w:tcW w:w="228" w:type="pct"/>
            <w:shd w:val="clear" w:color="auto" w:fill="auto"/>
          </w:tcPr>
          <w:p w14:paraId="03BA4839" w14:textId="77777777" w:rsidR="00FC60CA" w:rsidRPr="00FC60CA" w:rsidRDefault="00FC60CA" w:rsidP="00FC60CA">
            <w:pPr>
              <w:rPr>
                <w:rFonts w:ascii="Arial" w:eastAsia="DengXian" w:hAnsi="Arial" w:cs="Arial"/>
                <w:sz w:val="16"/>
                <w:szCs w:val="16"/>
              </w:rPr>
            </w:pPr>
            <w:r w:rsidRPr="00FC60CA">
              <w:rPr>
                <w:rFonts w:ascii="Arial" w:eastAsia="DengXian" w:hAnsi="Arial" w:cs="Arial"/>
                <w:sz w:val="16"/>
                <w:szCs w:val="16"/>
              </w:rPr>
              <w:t>16</w:t>
            </w:r>
          </w:p>
        </w:tc>
        <w:tc>
          <w:tcPr>
            <w:tcW w:w="691" w:type="pct"/>
            <w:shd w:val="clear" w:color="auto" w:fill="auto"/>
          </w:tcPr>
          <w:p w14:paraId="1C716702" w14:textId="77777777" w:rsidR="00FC60CA" w:rsidRPr="00FC60CA" w:rsidRDefault="00FC60CA" w:rsidP="00FC60CA">
            <w:pPr>
              <w:rPr>
                <w:rFonts w:ascii="Arial" w:eastAsia="DengXian" w:hAnsi="Arial" w:cs="Arial"/>
                <w:sz w:val="16"/>
                <w:szCs w:val="16"/>
              </w:rPr>
            </w:pPr>
            <w:r w:rsidRPr="00FC60CA">
              <w:rPr>
                <w:rFonts w:ascii="Arial" w:eastAsia="DengXian" w:hAnsi="Arial" w:cs="Arial"/>
                <w:sz w:val="16"/>
                <w:szCs w:val="16"/>
              </w:rPr>
              <w:t>LTM-NZP-CSI-RS-ResourceSet</w:t>
            </w:r>
          </w:p>
        </w:tc>
        <w:tc>
          <w:tcPr>
            <w:tcW w:w="863" w:type="pct"/>
            <w:shd w:val="clear" w:color="auto" w:fill="auto"/>
          </w:tcPr>
          <w:p w14:paraId="45898953" w14:textId="77777777" w:rsidR="00FC60CA" w:rsidRPr="00FC60CA" w:rsidRDefault="00FC60CA" w:rsidP="00FC60CA">
            <w:pPr>
              <w:rPr>
                <w:rFonts w:ascii="Arial" w:eastAsia="DengXian" w:hAnsi="Arial" w:cs="Arial"/>
                <w:sz w:val="16"/>
                <w:szCs w:val="16"/>
              </w:rPr>
            </w:pPr>
            <w:r w:rsidRPr="00FC60CA">
              <w:rPr>
                <w:rFonts w:ascii="Arial" w:eastAsia="DengXian" w:hAnsi="Arial" w:cs="Arial"/>
                <w:sz w:val="16"/>
                <w:szCs w:val="16"/>
              </w:rPr>
              <w:t>resourceType-18</w:t>
            </w:r>
          </w:p>
        </w:tc>
        <w:tc>
          <w:tcPr>
            <w:tcW w:w="716" w:type="pct"/>
            <w:shd w:val="clear" w:color="auto" w:fill="auto"/>
          </w:tcPr>
          <w:p w14:paraId="48660793" w14:textId="77777777" w:rsidR="00FC60CA" w:rsidRPr="00FC60CA" w:rsidRDefault="00FC60CA" w:rsidP="00FC60CA">
            <w:pPr>
              <w:rPr>
                <w:rFonts w:ascii="Arial" w:eastAsia="DengXian" w:hAnsi="Arial" w:cs="Arial"/>
                <w:sz w:val="16"/>
                <w:szCs w:val="16"/>
              </w:rPr>
            </w:pPr>
            <w:r w:rsidRPr="00FC60CA">
              <w:rPr>
                <w:rFonts w:ascii="Arial" w:eastAsia="DengXian" w:hAnsi="Arial" w:cs="Arial"/>
                <w:sz w:val="16"/>
                <w:szCs w:val="16"/>
              </w:rPr>
              <w:t>Existing</w:t>
            </w:r>
          </w:p>
        </w:tc>
        <w:tc>
          <w:tcPr>
            <w:tcW w:w="790" w:type="pct"/>
            <w:shd w:val="clear" w:color="auto" w:fill="auto"/>
          </w:tcPr>
          <w:p w14:paraId="0D3D64C1" w14:textId="77777777" w:rsidR="00FC60CA" w:rsidRPr="00FC60CA" w:rsidRDefault="00FC60CA" w:rsidP="00FC60CA">
            <w:pPr>
              <w:rPr>
                <w:rFonts w:ascii="Arial" w:eastAsia="DengXian" w:hAnsi="Arial" w:cs="Arial"/>
                <w:sz w:val="16"/>
                <w:szCs w:val="16"/>
              </w:rPr>
            </w:pPr>
            <w:r w:rsidRPr="00FC60CA">
              <w:rPr>
                <w:rFonts w:ascii="Arial" w:eastAsia="DengXian" w:hAnsi="Arial" w:cs="Arial"/>
                <w:sz w:val="16"/>
                <w:szCs w:val="16"/>
              </w:rPr>
              <w:t>Time domain behavior of resource configuration (see TS 38.214 [19], clause 5.2.1.2).</w:t>
            </w:r>
          </w:p>
        </w:tc>
        <w:tc>
          <w:tcPr>
            <w:tcW w:w="1711" w:type="pct"/>
            <w:shd w:val="clear" w:color="auto" w:fill="auto"/>
          </w:tcPr>
          <w:p w14:paraId="074EE522" w14:textId="77777777" w:rsidR="00FC60CA" w:rsidRPr="00FC60CA" w:rsidRDefault="00FC60CA" w:rsidP="00FC60CA">
            <w:pPr>
              <w:tabs>
                <w:tab w:val="left" w:pos="757"/>
              </w:tabs>
              <w:rPr>
                <w:rFonts w:ascii="Arial" w:eastAsia="DengXian" w:hAnsi="Arial" w:cs="Arial"/>
                <w:sz w:val="16"/>
                <w:szCs w:val="16"/>
              </w:rPr>
            </w:pPr>
            <w:r w:rsidRPr="00FC60CA">
              <w:rPr>
                <w:rFonts w:ascii="Arial" w:eastAsia="DengXian" w:hAnsi="Arial" w:cs="Arial"/>
                <w:sz w:val="16"/>
                <w:szCs w:val="16"/>
              </w:rPr>
              <w:t>ENUMERATED {periodic }</w:t>
            </w:r>
          </w:p>
        </w:tc>
      </w:tr>
      <w:tr w:rsidR="00FC60CA" w:rsidRPr="00FC60CA" w14:paraId="3EAF1F69" w14:textId="77777777" w:rsidTr="00FC60CA">
        <w:trPr>
          <w:trHeight w:val="451"/>
        </w:trPr>
        <w:tc>
          <w:tcPr>
            <w:tcW w:w="228" w:type="pct"/>
            <w:shd w:val="clear" w:color="auto" w:fill="auto"/>
          </w:tcPr>
          <w:p w14:paraId="6A3B7488" w14:textId="77777777" w:rsidR="00FC60CA" w:rsidRPr="00FC60CA" w:rsidRDefault="00FC60CA" w:rsidP="00FC60CA">
            <w:pPr>
              <w:rPr>
                <w:rFonts w:ascii="Arial" w:eastAsia="DengXian" w:hAnsi="Arial" w:cs="Arial"/>
                <w:sz w:val="16"/>
                <w:szCs w:val="16"/>
              </w:rPr>
            </w:pPr>
            <w:r w:rsidRPr="00FC60CA">
              <w:rPr>
                <w:rFonts w:ascii="Arial" w:eastAsia="DengXian" w:hAnsi="Arial" w:cs="Arial"/>
                <w:sz w:val="16"/>
                <w:szCs w:val="16"/>
              </w:rPr>
              <w:t>17</w:t>
            </w:r>
          </w:p>
        </w:tc>
        <w:tc>
          <w:tcPr>
            <w:tcW w:w="691" w:type="pct"/>
            <w:shd w:val="clear" w:color="auto" w:fill="auto"/>
          </w:tcPr>
          <w:p w14:paraId="05F27E6B" w14:textId="77777777" w:rsidR="00FC60CA" w:rsidRPr="00FC60CA" w:rsidRDefault="00FC60CA" w:rsidP="00FC60CA">
            <w:pPr>
              <w:rPr>
                <w:rFonts w:ascii="Arial" w:eastAsia="DengXian" w:hAnsi="Arial" w:cs="Arial"/>
                <w:sz w:val="16"/>
                <w:szCs w:val="16"/>
              </w:rPr>
            </w:pPr>
            <w:r w:rsidRPr="00FC60CA">
              <w:rPr>
                <w:rFonts w:ascii="Arial" w:eastAsia="DengXian" w:hAnsi="Arial" w:cs="Arial"/>
                <w:sz w:val="16"/>
                <w:szCs w:val="16"/>
              </w:rPr>
              <w:t>LTM-NZP-CSI-RS-ResourceSet</w:t>
            </w:r>
          </w:p>
        </w:tc>
        <w:tc>
          <w:tcPr>
            <w:tcW w:w="863" w:type="pct"/>
            <w:shd w:val="clear" w:color="auto" w:fill="auto"/>
          </w:tcPr>
          <w:p w14:paraId="42E88FC2" w14:textId="77777777" w:rsidR="00FC60CA" w:rsidRPr="00FC60CA" w:rsidRDefault="00FC60CA" w:rsidP="00FC60CA">
            <w:pPr>
              <w:rPr>
                <w:rFonts w:ascii="Arial" w:eastAsia="DengXian" w:hAnsi="Arial" w:cs="Arial"/>
                <w:sz w:val="16"/>
                <w:szCs w:val="16"/>
              </w:rPr>
            </w:pPr>
            <w:r w:rsidRPr="00FC60CA">
              <w:rPr>
                <w:rFonts w:ascii="Arial" w:eastAsia="DengXian" w:hAnsi="Arial" w:cs="Arial"/>
                <w:sz w:val="16"/>
                <w:szCs w:val="16"/>
              </w:rPr>
              <w:t>LTM-nzp-CSI-ResourceSetId</w:t>
            </w:r>
          </w:p>
        </w:tc>
        <w:tc>
          <w:tcPr>
            <w:tcW w:w="716" w:type="pct"/>
            <w:shd w:val="clear" w:color="auto" w:fill="auto"/>
          </w:tcPr>
          <w:p w14:paraId="6EDFEADA" w14:textId="77777777" w:rsidR="00FC60CA" w:rsidRPr="00FC60CA" w:rsidRDefault="00FC60CA" w:rsidP="00FC60CA">
            <w:pPr>
              <w:rPr>
                <w:rFonts w:ascii="Arial" w:eastAsia="DengXian" w:hAnsi="Arial" w:cs="Arial"/>
                <w:sz w:val="16"/>
                <w:szCs w:val="16"/>
              </w:rPr>
            </w:pPr>
            <w:r w:rsidRPr="00FC60CA">
              <w:rPr>
                <w:rFonts w:ascii="Arial" w:eastAsia="DengXian" w:hAnsi="Arial" w:cs="Arial"/>
                <w:sz w:val="16"/>
                <w:szCs w:val="16"/>
              </w:rPr>
              <w:t>new</w:t>
            </w:r>
          </w:p>
        </w:tc>
        <w:tc>
          <w:tcPr>
            <w:tcW w:w="790" w:type="pct"/>
            <w:shd w:val="clear" w:color="auto" w:fill="auto"/>
          </w:tcPr>
          <w:p w14:paraId="1F41A42F" w14:textId="77777777" w:rsidR="00FC60CA" w:rsidRPr="00FC60CA" w:rsidRDefault="00FC60CA" w:rsidP="00FC60CA">
            <w:pPr>
              <w:rPr>
                <w:rFonts w:ascii="Arial" w:eastAsia="DengXian" w:hAnsi="Arial" w:cs="Arial"/>
                <w:sz w:val="16"/>
                <w:szCs w:val="16"/>
              </w:rPr>
            </w:pPr>
            <w:r w:rsidRPr="00FC60CA">
              <w:rPr>
                <w:rFonts w:ascii="Arial" w:eastAsia="DengXian" w:hAnsi="Arial" w:cs="Arial"/>
                <w:sz w:val="16"/>
                <w:szCs w:val="16"/>
              </w:rPr>
              <w:t>used to identify one LTM-NZP-CSI-RS-ResourceSet.</w:t>
            </w:r>
          </w:p>
        </w:tc>
        <w:tc>
          <w:tcPr>
            <w:tcW w:w="1711" w:type="pct"/>
            <w:shd w:val="clear" w:color="auto" w:fill="auto"/>
          </w:tcPr>
          <w:p w14:paraId="344463A2" w14:textId="77777777" w:rsidR="00FC60CA" w:rsidRPr="00FC60CA" w:rsidRDefault="00FC60CA" w:rsidP="00FC60CA">
            <w:pPr>
              <w:tabs>
                <w:tab w:val="left" w:pos="757"/>
              </w:tabs>
              <w:rPr>
                <w:rFonts w:ascii="Arial" w:eastAsia="DengXian" w:hAnsi="Arial" w:cs="Arial"/>
                <w:sz w:val="16"/>
                <w:szCs w:val="16"/>
              </w:rPr>
            </w:pPr>
            <w:r w:rsidRPr="00FC60CA">
              <w:rPr>
                <w:rFonts w:ascii="Arial" w:eastAsia="DengXian" w:hAnsi="Arial" w:cs="Arial"/>
                <w:sz w:val="16"/>
                <w:szCs w:val="16"/>
              </w:rPr>
              <w:t>INTEGER (0..maxNrofLtmNZP-CSI-RS-ResourceSets-1)</w:t>
            </w:r>
          </w:p>
        </w:tc>
      </w:tr>
      <w:tr w:rsidR="00FC60CA" w:rsidRPr="00FC60CA" w14:paraId="6D231D37" w14:textId="77777777" w:rsidTr="00FC60CA">
        <w:trPr>
          <w:trHeight w:val="451"/>
        </w:trPr>
        <w:tc>
          <w:tcPr>
            <w:tcW w:w="228" w:type="pct"/>
            <w:shd w:val="clear" w:color="auto" w:fill="auto"/>
          </w:tcPr>
          <w:p w14:paraId="5F54C5A7" w14:textId="77777777" w:rsidR="00FC60CA" w:rsidRPr="00FC60CA" w:rsidRDefault="00FC60CA" w:rsidP="00FC60CA">
            <w:pPr>
              <w:rPr>
                <w:rFonts w:ascii="Arial" w:eastAsia="DengXian" w:hAnsi="Arial" w:cs="Arial"/>
                <w:sz w:val="16"/>
                <w:szCs w:val="16"/>
              </w:rPr>
            </w:pPr>
            <w:r w:rsidRPr="00FC60CA">
              <w:rPr>
                <w:rFonts w:ascii="Arial" w:eastAsia="DengXian" w:hAnsi="Arial" w:cs="Arial"/>
                <w:sz w:val="16"/>
                <w:szCs w:val="16"/>
              </w:rPr>
              <w:t>18</w:t>
            </w:r>
          </w:p>
        </w:tc>
        <w:tc>
          <w:tcPr>
            <w:tcW w:w="691" w:type="pct"/>
            <w:shd w:val="clear" w:color="auto" w:fill="auto"/>
          </w:tcPr>
          <w:p w14:paraId="522F6E96" w14:textId="77777777" w:rsidR="00FC60CA" w:rsidRPr="00FC60CA" w:rsidRDefault="00FC60CA" w:rsidP="00FC60CA">
            <w:pPr>
              <w:rPr>
                <w:rFonts w:ascii="Arial" w:eastAsia="DengXian" w:hAnsi="Arial" w:cs="Arial"/>
                <w:sz w:val="16"/>
                <w:szCs w:val="16"/>
              </w:rPr>
            </w:pPr>
            <w:r w:rsidRPr="00FC60CA">
              <w:rPr>
                <w:rFonts w:ascii="Arial" w:eastAsia="DengXian" w:hAnsi="Arial" w:cs="Arial"/>
                <w:sz w:val="16"/>
                <w:szCs w:val="16"/>
              </w:rPr>
              <w:t>LTM-NZP-CSI-RS-ResourceSet</w:t>
            </w:r>
          </w:p>
        </w:tc>
        <w:tc>
          <w:tcPr>
            <w:tcW w:w="863" w:type="pct"/>
            <w:shd w:val="clear" w:color="auto" w:fill="auto"/>
          </w:tcPr>
          <w:p w14:paraId="00B23EF2" w14:textId="77777777" w:rsidR="00FC60CA" w:rsidRPr="00FC60CA" w:rsidRDefault="00FC60CA" w:rsidP="00FC60CA">
            <w:pPr>
              <w:rPr>
                <w:rFonts w:ascii="Arial" w:eastAsia="DengXian" w:hAnsi="Arial" w:cs="Arial"/>
                <w:sz w:val="16"/>
                <w:szCs w:val="16"/>
              </w:rPr>
            </w:pPr>
            <w:r w:rsidRPr="00FC60CA">
              <w:rPr>
                <w:rFonts w:ascii="Arial" w:eastAsia="DengXian" w:hAnsi="Arial" w:cs="Arial"/>
                <w:sz w:val="16"/>
                <w:szCs w:val="16"/>
              </w:rPr>
              <w:t>LTM-nzp-CSI-RS-Resources</w:t>
            </w:r>
          </w:p>
        </w:tc>
        <w:tc>
          <w:tcPr>
            <w:tcW w:w="716" w:type="pct"/>
            <w:shd w:val="clear" w:color="auto" w:fill="auto"/>
          </w:tcPr>
          <w:p w14:paraId="51258435" w14:textId="77777777" w:rsidR="00FC60CA" w:rsidRPr="00FC60CA" w:rsidRDefault="00FC60CA" w:rsidP="00FC60CA">
            <w:pPr>
              <w:rPr>
                <w:rFonts w:ascii="Arial" w:eastAsia="DengXian" w:hAnsi="Arial" w:cs="Arial"/>
                <w:sz w:val="16"/>
                <w:szCs w:val="16"/>
              </w:rPr>
            </w:pPr>
            <w:r w:rsidRPr="00FC60CA">
              <w:rPr>
                <w:rFonts w:ascii="Arial" w:eastAsia="DengXian" w:hAnsi="Arial" w:cs="Arial"/>
                <w:sz w:val="16"/>
                <w:szCs w:val="16"/>
              </w:rPr>
              <w:t>new</w:t>
            </w:r>
          </w:p>
        </w:tc>
        <w:tc>
          <w:tcPr>
            <w:tcW w:w="790" w:type="pct"/>
            <w:shd w:val="clear" w:color="auto" w:fill="auto"/>
          </w:tcPr>
          <w:p w14:paraId="274DCB3C" w14:textId="77777777" w:rsidR="00FC60CA" w:rsidRPr="00FC60CA" w:rsidRDefault="00FC60CA" w:rsidP="00FC60CA">
            <w:pPr>
              <w:rPr>
                <w:rFonts w:ascii="Arial" w:eastAsia="DengXian" w:hAnsi="Arial" w:cs="Arial"/>
                <w:sz w:val="16"/>
                <w:szCs w:val="16"/>
              </w:rPr>
            </w:pPr>
            <w:r w:rsidRPr="00FC60CA">
              <w:rPr>
                <w:rFonts w:ascii="Arial" w:eastAsia="DengXian" w:hAnsi="Arial" w:cs="Arial"/>
                <w:sz w:val="16"/>
                <w:szCs w:val="16"/>
              </w:rPr>
              <w:t>NZP-CSI-RS-Resources associated with this NZP-CSI-RS resource set</w:t>
            </w:r>
          </w:p>
        </w:tc>
        <w:tc>
          <w:tcPr>
            <w:tcW w:w="1711" w:type="pct"/>
            <w:shd w:val="clear" w:color="auto" w:fill="auto"/>
          </w:tcPr>
          <w:p w14:paraId="6E7A83E7" w14:textId="77777777" w:rsidR="00FC60CA" w:rsidRPr="00FC60CA" w:rsidRDefault="00FC60CA" w:rsidP="00FC60CA">
            <w:pPr>
              <w:tabs>
                <w:tab w:val="left" w:pos="757"/>
              </w:tabs>
              <w:rPr>
                <w:rFonts w:ascii="Arial" w:eastAsia="DengXian" w:hAnsi="Arial" w:cs="Arial"/>
                <w:sz w:val="16"/>
                <w:szCs w:val="16"/>
              </w:rPr>
            </w:pPr>
            <w:r w:rsidRPr="00FC60CA">
              <w:rPr>
                <w:rFonts w:ascii="Arial" w:eastAsia="DengXian" w:hAnsi="Arial" w:cs="Arial"/>
                <w:sz w:val="16"/>
                <w:szCs w:val="16"/>
              </w:rPr>
              <w:t>SEQUENCE (SIZE (1..maxNrofLtmNZP-CSI-RS-ResourcesPerSet)) OF LTM-nzp-CSI-ResourceId</w:t>
            </w:r>
          </w:p>
        </w:tc>
      </w:tr>
      <w:tr w:rsidR="00FC60CA" w:rsidRPr="00FC60CA" w14:paraId="7836B9C0" w14:textId="77777777" w:rsidTr="00FC60CA">
        <w:trPr>
          <w:trHeight w:val="451"/>
        </w:trPr>
        <w:tc>
          <w:tcPr>
            <w:tcW w:w="228" w:type="pct"/>
            <w:shd w:val="clear" w:color="auto" w:fill="auto"/>
          </w:tcPr>
          <w:p w14:paraId="7724C12F" w14:textId="77777777" w:rsidR="00FC60CA" w:rsidRPr="00FC60CA" w:rsidRDefault="00FC60CA" w:rsidP="00FC60CA">
            <w:pPr>
              <w:rPr>
                <w:rFonts w:ascii="Arial" w:eastAsia="DengXian" w:hAnsi="Arial" w:cs="Arial"/>
                <w:sz w:val="16"/>
                <w:szCs w:val="16"/>
              </w:rPr>
            </w:pPr>
            <w:r w:rsidRPr="00FC60CA">
              <w:rPr>
                <w:rFonts w:ascii="Arial" w:eastAsia="DengXian" w:hAnsi="Arial" w:cs="Arial"/>
                <w:sz w:val="16"/>
                <w:szCs w:val="16"/>
              </w:rPr>
              <w:t>19</w:t>
            </w:r>
          </w:p>
        </w:tc>
        <w:tc>
          <w:tcPr>
            <w:tcW w:w="691" w:type="pct"/>
            <w:shd w:val="clear" w:color="auto" w:fill="auto"/>
          </w:tcPr>
          <w:p w14:paraId="5814322A" w14:textId="77777777" w:rsidR="00FC60CA" w:rsidRPr="00FC60CA" w:rsidRDefault="00FC60CA" w:rsidP="00FC60CA">
            <w:pPr>
              <w:rPr>
                <w:rFonts w:ascii="Arial" w:eastAsia="DengXian" w:hAnsi="Arial" w:cs="Arial"/>
                <w:sz w:val="16"/>
                <w:szCs w:val="16"/>
              </w:rPr>
            </w:pPr>
            <w:r w:rsidRPr="00FC60CA">
              <w:rPr>
                <w:rFonts w:ascii="Arial" w:eastAsia="DengXian" w:hAnsi="Arial" w:cs="Arial"/>
                <w:sz w:val="16"/>
                <w:szCs w:val="16"/>
              </w:rPr>
              <w:t>LTM-NZP-CSI-RS-ResourceSet</w:t>
            </w:r>
          </w:p>
        </w:tc>
        <w:tc>
          <w:tcPr>
            <w:tcW w:w="863" w:type="pct"/>
            <w:shd w:val="clear" w:color="auto" w:fill="auto"/>
          </w:tcPr>
          <w:p w14:paraId="19D56C79" w14:textId="77777777" w:rsidR="00FC60CA" w:rsidRPr="00FC60CA" w:rsidRDefault="00FC60CA" w:rsidP="00FC60CA">
            <w:pPr>
              <w:rPr>
                <w:rFonts w:ascii="Arial" w:eastAsia="DengXian" w:hAnsi="Arial" w:cs="Arial"/>
                <w:sz w:val="16"/>
                <w:szCs w:val="16"/>
              </w:rPr>
            </w:pPr>
            <w:r w:rsidRPr="00FC60CA">
              <w:rPr>
                <w:rFonts w:ascii="Arial" w:eastAsia="DengXian" w:hAnsi="Arial" w:cs="Arial"/>
                <w:sz w:val="16"/>
                <w:szCs w:val="16"/>
              </w:rPr>
              <w:t>trs-info</w:t>
            </w:r>
          </w:p>
        </w:tc>
        <w:tc>
          <w:tcPr>
            <w:tcW w:w="716" w:type="pct"/>
            <w:shd w:val="clear" w:color="auto" w:fill="auto"/>
          </w:tcPr>
          <w:p w14:paraId="2BAF110F" w14:textId="77777777" w:rsidR="00FC60CA" w:rsidRPr="00FC60CA" w:rsidRDefault="00FC60CA" w:rsidP="00FC60CA">
            <w:pPr>
              <w:rPr>
                <w:rFonts w:ascii="Arial" w:eastAsia="DengXian" w:hAnsi="Arial" w:cs="Arial"/>
                <w:sz w:val="16"/>
                <w:szCs w:val="16"/>
              </w:rPr>
            </w:pPr>
            <w:r w:rsidRPr="00FC60CA">
              <w:rPr>
                <w:rFonts w:ascii="Arial" w:eastAsia="DengXian" w:hAnsi="Arial" w:cs="Arial"/>
                <w:sz w:val="16"/>
                <w:szCs w:val="16"/>
              </w:rPr>
              <w:t>Existing</w:t>
            </w:r>
          </w:p>
        </w:tc>
        <w:tc>
          <w:tcPr>
            <w:tcW w:w="790" w:type="pct"/>
            <w:shd w:val="clear" w:color="auto" w:fill="auto"/>
          </w:tcPr>
          <w:p w14:paraId="762E41A4" w14:textId="77777777" w:rsidR="00FC60CA" w:rsidRPr="00FC60CA" w:rsidRDefault="00FC60CA" w:rsidP="00FC60CA">
            <w:pPr>
              <w:rPr>
                <w:rFonts w:ascii="Arial" w:eastAsia="DengXian" w:hAnsi="Arial" w:cs="Arial"/>
                <w:sz w:val="16"/>
                <w:szCs w:val="16"/>
              </w:rPr>
            </w:pPr>
            <w:r w:rsidRPr="00FC60CA">
              <w:rPr>
                <w:rFonts w:ascii="Arial" w:eastAsia="DengXian" w:hAnsi="Arial" w:cs="Arial"/>
                <w:sz w:val="16"/>
                <w:szCs w:val="16"/>
              </w:rPr>
              <w:t>Indicates that the antenna port for all NZP-CSI-</w:t>
            </w:r>
            <w:r w:rsidRPr="00FC60CA">
              <w:rPr>
                <w:rFonts w:ascii="Arial" w:eastAsia="DengXian" w:hAnsi="Arial" w:cs="Arial"/>
                <w:sz w:val="16"/>
                <w:szCs w:val="16"/>
              </w:rPr>
              <w:lastRenderedPageBreak/>
              <w:t>RS resources in the CSI-RS resource set is same</w:t>
            </w:r>
          </w:p>
        </w:tc>
        <w:tc>
          <w:tcPr>
            <w:tcW w:w="1711" w:type="pct"/>
            <w:shd w:val="clear" w:color="auto" w:fill="auto"/>
          </w:tcPr>
          <w:p w14:paraId="67991E92" w14:textId="77777777" w:rsidR="00FC60CA" w:rsidRPr="00FC60CA" w:rsidRDefault="00FC60CA" w:rsidP="00FC60CA">
            <w:pPr>
              <w:tabs>
                <w:tab w:val="left" w:pos="757"/>
              </w:tabs>
              <w:rPr>
                <w:rFonts w:ascii="Arial" w:eastAsia="DengXian" w:hAnsi="Arial" w:cs="Arial"/>
                <w:sz w:val="16"/>
                <w:szCs w:val="16"/>
              </w:rPr>
            </w:pPr>
            <w:r w:rsidRPr="00FC60CA">
              <w:rPr>
                <w:rFonts w:ascii="Arial" w:eastAsia="DengXian" w:hAnsi="Arial" w:cs="Arial"/>
                <w:sz w:val="16"/>
                <w:szCs w:val="16"/>
              </w:rPr>
              <w:lastRenderedPageBreak/>
              <w:t>ENUMERATED {true}</w:t>
            </w:r>
          </w:p>
        </w:tc>
      </w:tr>
      <w:tr w:rsidR="00FC60CA" w:rsidRPr="00FC60CA" w14:paraId="5FD673EF" w14:textId="77777777" w:rsidTr="00FC60CA">
        <w:trPr>
          <w:trHeight w:val="451"/>
        </w:trPr>
        <w:tc>
          <w:tcPr>
            <w:tcW w:w="228" w:type="pct"/>
            <w:shd w:val="clear" w:color="auto" w:fill="auto"/>
          </w:tcPr>
          <w:p w14:paraId="6680FE79" w14:textId="77777777" w:rsidR="00FC60CA" w:rsidRPr="00FC60CA" w:rsidRDefault="00FC60CA" w:rsidP="00FC60CA">
            <w:pPr>
              <w:rPr>
                <w:rFonts w:ascii="Arial" w:eastAsia="DengXian" w:hAnsi="Arial" w:cs="Arial"/>
                <w:sz w:val="16"/>
                <w:szCs w:val="16"/>
              </w:rPr>
            </w:pPr>
            <w:r w:rsidRPr="00FC60CA">
              <w:rPr>
                <w:rFonts w:ascii="Arial" w:eastAsia="DengXian" w:hAnsi="Arial" w:cs="Arial"/>
                <w:sz w:val="16"/>
                <w:szCs w:val="16"/>
              </w:rPr>
              <w:t>20</w:t>
            </w:r>
          </w:p>
        </w:tc>
        <w:tc>
          <w:tcPr>
            <w:tcW w:w="691" w:type="pct"/>
            <w:shd w:val="clear" w:color="auto" w:fill="auto"/>
          </w:tcPr>
          <w:p w14:paraId="7DAF4E61" w14:textId="77777777" w:rsidR="00FC60CA" w:rsidRPr="00FC60CA" w:rsidRDefault="00FC60CA" w:rsidP="00FC60CA">
            <w:pPr>
              <w:rPr>
                <w:rFonts w:ascii="Arial" w:eastAsia="DengXian" w:hAnsi="Arial" w:cs="Arial"/>
                <w:sz w:val="16"/>
                <w:szCs w:val="16"/>
              </w:rPr>
            </w:pPr>
            <w:r w:rsidRPr="00FC60CA">
              <w:rPr>
                <w:rFonts w:ascii="Arial" w:eastAsia="DengXian" w:hAnsi="Arial" w:cs="Arial"/>
                <w:sz w:val="16"/>
                <w:szCs w:val="16"/>
              </w:rPr>
              <w:t>LTM-QCL-info-r18</w:t>
            </w:r>
          </w:p>
        </w:tc>
        <w:tc>
          <w:tcPr>
            <w:tcW w:w="863" w:type="pct"/>
            <w:shd w:val="clear" w:color="auto" w:fill="auto"/>
          </w:tcPr>
          <w:p w14:paraId="495EEB0E" w14:textId="77777777" w:rsidR="00FC60CA" w:rsidRPr="00FC60CA" w:rsidRDefault="00FC60CA" w:rsidP="00FC60CA">
            <w:pPr>
              <w:rPr>
                <w:rFonts w:ascii="Arial" w:eastAsia="DengXian" w:hAnsi="Arial" w:cs="Arial"/>
                <w:sz w:val="16"/>
                <w:szCs w:val="16"/>
              </w:rPr>
            </w:pPr>
            <w:r w:rsidRPr="00FC60CA">
              <w:rPr>
                <w:rFonts w:ascii="Arial" w:eastAsia="DengXian" w:hAnsi="Arial" w:cs="Arial"/>
                <w:sz w:val="16"/>
                <w:szCs w:val="16"/>
              </w:rPr>
              <w:t>ReferenceSignal</w:t>
            </w:r>
          </w:p>
        </w:tc>
        <w:tc>
          <w:tcPr>
            <w:tcW w:w="716" w:type="pct"/>
            <w:shd w:val="clear" w:color="auto" w:fill="auto"/>
          </w:tcPr>
          <w:p w14:paraId="596C4FD3" w14:textId="77777777" w:rsidR="00FC60CA" w:rsidRPr="00FC60CA" w:rsidRDefault="00FC60CA" w:rsidP="00FC60CA">
            <w:pPr>
              <w:rPr>
                <w:rFonts w:ascii="Arial" w:eastAsia="DengXian" w:hAnsi="Arial" w:cs="Arial"/>
                <w:sz w:val="16"/>
                <w:szCs w:val="16"/>
              </w:rPr>
            </w:pPr>
            <w:r w:rsidRPr="00FC60CA">
              <w:rPr>
                <w:rFonts w:ascii="Arial" w:eastAsia="DengXian" w:hAnsi="Arial" w:cs="Arial"/>
                <w:sz w:val="16"/>
                <w:szCs w:val="16"/>
              </w:rPr>
              <w:t>new</w:t>
            </w:r>
          </w:p>
        </w:tc>
        <w:tc>
          <w:tcPr>
            <w:tcW w:w="790" w:type="pct"/>
            <w:shd w:val="clear" w:color="auto" w:fill="auto"/>
          </w:tcPr>
          <w:p w14:paraId="2B3F4664" w14:textId="77777777" w:rsidR="00FC60CA" w:rsidRPr="00FC60CA" w:rsidRDefault="00FC60CA" w:rsidP="00FC60CA">
            <w:pPr>
              <w:rPr>
                <w:rFonts w:ascii="Arial" w:eastAsia="DengXian" w:hAnsi="Arial" w:cs="Arial"/>
                <w:sz w:val="16"/>
                <w:szCs w:val="16"/>
              </w:rPr>
            </w:pPr>
            <w:r w:rsidRPr="00FC60CA">
              <w:rPr>
                <w:rFonts w:ascii="Arial" w:eastAsia="DengXian" w:hAnsi="Arial" w:cs="Arial"/>
                <w:sz w:val="16"/>
                <w:szCs w:val="16"/>
              </w:rPr>
              <w:t>Reference signal with which quasi-collocation information is provided</w:t>
            </w:r>
          </w:p>
        </w:tc>
        <w:tc>
          <w:tcPr>
            <w:tcW w:w="1711" w:type="pct"/>
            <w:shd w:val="clear" w:color="auto" w:fill="auto"/>
          </w:tcPr>
          <w:p w14:paraId="357C4405" w14:textId="77777777" w:rsidR="00FC60CA" w:rsidRPr="00FC60CA" w:rsidRDefault="00FC60CA" w:rsidP="00FC60CA">
            <w:pPr>
              <w:tabs>
                <w:tab w:val="left" w:pos="757"/>
              </w:tabs>
              <w:rPr>
                <w:rFonts w:ascii="Arial" w:eastAsia="DengXian" w:hAnsi="Arial" w:cs="Arial"/>
                <w:sz w:val="16"/>
                <w:szCs w:val="16"/>
              </w:rPr>
            </w:pPr>
            <w:r w:rsidRPr="00FC60CA">
              <w:rPr>
                <w:rFonts w:ascii="Arial" w:eastAsia="DengXian" w:hAnsi="Arial" w:cs="Arial"/>
                <w:sz w:val="16"/>
                <w:szCs w:val="16"/>
              </w:rPr>
              <w:t xml:space="preserve">CHOICE{ </w:t>
            </w:r>
          </w:p>
          <w:p w14:paraId="7B4A378C" w14:textId="77777777" w:rsidR="00FC60CA" w:rsidRPr="00FC60CA" w:rsidRDefault="00FC60CA" w:rsidP="00FC60CA">
            <w:pPr>
              <w:tabs>
                <w:tab w:val="left" w:pos="757"/>
              </w:tabs>
              <w:rPr>
                <w:rFonts w:ascii="Arial" w:eastAsia="DengXian" w:hAnsi="Arial" w:cs="Arial"/>
                <w:sz w:val="16"/>
                <w:szCs w:val="16"/>
              </w:rPr>
            </w:pPr>
            <w:r w:rsidRPr="00FC60CA">
              <w:rPr>
                <w:rFonts w:ascii="Arial" w:eastAsia="DengXian" w:hAnsi="Arial" w:cs="Arial"/>
                <w:sz w:val="16"/>
                <w:szCs w:val="16"/>
              </w:rPr>
              <w:t xml:space="preserve"> NZP-CSI-RS-ResourceId,</w:t>
            </w:r>
          </w:p>
          <w:p w14:paraId="6941FDDA" w14:textId="77777777" w:rsidR="00FC60CA" w:rsidRPr="00FC60CA" w:rsidRDefault="00FC60CA" w:rsidP="00FC60CA">
            <w:pPr>
              <w:tabs>
                <w:tab w:val="left" w:pos="757"/>
              </w:tabs>
              <w:rPr>
                <w:rFonts w:ascii="Arial" w:eastAsia="DengXian" w:hAnsi="Arial" w:cs="Arial"/>
                <w:sz w:val="16"/>
                <w:szCs w:val="16"/>
              </w:rPr>
            </w:pPr>
            <w:r w:rsidRPr="00FC60CA">
              <w:rPr>
                <w:rFonts w:ascii="Arial" w:eastAsia="DengXian" w:hAnsi="Arial" w:cs="Arial"/>
                <w:sz w:val="16"/>
                <w:szCs w:val="16"/>
              </w:rPr>
              <w:t xml:space="preserve"> ssb</w:t>
            </w:r>
          </w:p>
          <w:p w14:paraId="23B4881D" w14:textId="77777777" w:rsidR="00FC60CA" w:rsidRPr="00FC60CA" w:rsidRDefault="00FC60CA" w:rsidP="00FC60CA">
            <w:pPr>
              <w:tabs>
                <w:tab w:val="left" w:pos="757"/>
              </w:tabs>
              <w:rPr>
                <w:rFonts w:ascii="Arial" w:eastAsia="DengXian" w:hAnsi="Arial" w:cs="Arial"/>
                <w:sz w:val="16"/>
                <w:szCs w:val="16"/>
              </w:rPr>
            </w:pPr>
            <w:r w:rsidRPr="00FC60CA">
              <w:rPr>
                <w:rFonts w:ascii="Arial" w:eastAsia="DengXian" w:hAnsi="Arial" w:cs="Arial"/>
                <w:sz w:val="16"/>
                <w:szCs w:val="16"/>
              </w:rPr>
              <w:t>}</w:t>
            </w:r>
          </w:p>
        </w:tc>
      </w:tr>
      <w:tr w:rsidR="00FC60CA" w:rsidRPr="00FC60CA" w14:paraId="7251C582" w14:textId="77777777" w:rsidTr="00FC60CA">
        <w:trPr>
          <w:trHeight w:val="451"/>
        </w:trPr>
        <w:tc>
          <w:tcPr>
            <w:tcW w:w="228" w:type="pct"/>
            <w:shd w:val="clear" w:color="auto" w:fill="auto"/>
          </w:tcPr>
          <w:p w14:paraId="412A88E4" w14:textId="77777777" w:rsidR="00FC60CA" w:rsidRPr="00FC60CA" w:rsidRDefault="00FC60CA" w:rsidP="00FC60CA">
            <w:pPr>
              <w:rPr>
                <w:rFonts w:ascii="Arial" w:eastAsia="DengXian" w:hAnsi="Arial" w:cs="Arial"/>
                <w:sz w:val="16"/>
                <w:szCs w:val="16"/>
              </w:rPr>
            </w:pPr>
            <w:r w:rsidRPr="00FC60CA">
              <w:rPr>
                <w:rFonts w:ascii="Arial" w:eastAsia="DengXian" w:hAnsi="Arial" w:cs="Arial"/>
                <w:sz w:val="16"/>
                <w:szCs w:val="16"/>
              </w:rPr>
              <w:t>21</w:t>
            </w:r>
          </w:p>
        </w:tc>
        <w:tc>
          <w:tcPr>
            <w:tcW w:w="691" w:type="pct"/>
            <w:shd w:val="clear" w:color="auto" w:fill="auto"/>
          </w:tcPr>
          <w:p w14:paraId="17D27057" w14:textId="77777777" w:rsidR="00FC60CA" w:rsidRPr="00FC60CA" w:rsidRDefault="00FC60CA" w:rsidP="00FC60CA">
            <w:pPr>
              <w:rPr>
                <w:rFonts w:ascii="Arial" w:eastAsia="DengXian" w:hAnsi="Arial" w:cs="Arial"/>
                <w:sz w:val="16"/>
                <w:szCs w:val="16"/>
              </w:rPr>
            </w:pPr>
            <w:r w:rsidRPr="00FC60CA">
              <w:rPr>
                <w:rFonts w:ascii="Arial" w:eastAsia="DengXian" w:hAnsi="Arial" w:cs="Arial"/>
                <w:sz w:val="16"/>
                <w:szCs w:val="16"/>
              </w:rPr>
              <w:t>ReferenceSignal</w:t>
            </w:r>
          </w:p>
        </w:tc>
        <w:tc>
          <w:tcPr>
            <w:tcW w:w="863" w:type="pct"/>
            <w:shd w:val="clear" w:color="auto" w:fill="auto"/>
          </w:tcPr>
          <w:p w14:paraId="7F2C8774" w14:textId="77777777" w:rsidR="00FC60CA" w:rsidRPr="00FC60CA" w:rsidRDefault="00FC60CA" w:rsidP="00FC60CA">
            <w:pPr>
              <w:rPr>
                <w:rFonts w:ascii="Arial" w:eastAsia="DengXian" w:hAnsi="Arial" w:cs="Arial"/>
                <w:sz w:val="16"/>
                <w:szCs w:val="16"/>
              </w:rPr>
            </w:pPr>
            <w:r w:rsidRPr="00FC60CA">
              <w:rPr>
                <w:rFonts w:ascii="Arial" w:eastAsia="DengXian" w:hAnsi="Arial" w:cs="Arial"/>
                <w:sz w:val="16"/>
                <w:szCs w:val="16"/>
              </w:rPr>
              <w:t>NZP-CSI-RS-ResourceId</w:t>
            </w:r>
          </w:p>
        </w:tc>
        <w:tc>
          <w:tcPr>
            <w:tcW w:w="716" w:type="pct"/>
            <w:shd w:val="clear" w:color="auto" w:fill="auto"/>
          </w:tcPr>
          <w:p w14:paraId="6A5562C7" w14:textId="77777777" w:rsidR="00FC60CA" w:rsidRPr="00FC60CA" w:rsidRDefault="00FC60CA" w:rsidP="00FC60CA">
            <w:pPr>
              <w:rPr>
                <w:rFonts w:ascii="Arial" w:eastAsia="DengXian" w:hAnsi="Arial" w:cs="Arial"/>
                <w:sz w:val="16"/>
                <w:szCs w:val="16"/>
              </w:rPr>
            </w:pPr>
            <w:r w:rsidRPr="00FC60CA">
              <w:rPr>
                <w:rFonts w:ascii="Arial" w:eastAsia="DengXian" w:hAnsi="Arial" w:cs="Arial"/>
                <w:sz w:val="16"/>
                <w:szCs w:val="16"/>
              </w:rPr>
              <w:t>new</w:t>
            </w:r>
          </w:p>
        </w:tc>
        <w:tc>
          <w:tcPr>
            <w:tcW w:w="790" w:type="pct"/>
            <w:shd w:val="clear" w:color="auto" w:fill="auto"/>
          </w:tcPr>
          <w:p w14:paraId="68BB4D06" w14:textId="77777777" w:rsidR="00FC60CA" w:rsidRPr="00FC60CA" w:rsidRDefault="00FC60CA" w:rsidP="00FC60CA">
            <w:pPr>
              <w:rPr>
                <w:rFonts w:ascii="Arial" w:eastAsia="DengXian" w:hAnsi="Arial" w:cs="Arial"/>
                <w:sz w:val="16"/>
                <w:szCs w:val="16"/>
              </w:rPr>
            </w:pPr>
            <w:r w:rsidRPr="00FC60CA">
              <w:rPr>
                <w:rFonts w:ascii="Arial" w:eastAsia="DengXian" w:hAnsi="Arial" w:cs="Arial"/>
                <w:sz w:val="16"/>
                <w:szCs w:val="16"/>
              </w:rPr>
              <w:t>Provide one NZP-CSI-RS-Resource.</w:t>
            </w:r>
          </w:p>
        </w:tc>
        <w:tc>
          <w:tcPr>
            <w:tcW w:w="1711" w:type="pct"/>
            <w:shd w:val="clear" w:color="auto" w:fill="auto"/>
          </w:tcPr>
          <w:p w14:paraId="7486CC1F" w14:textId="77777777" w:rsidR="00FC60CA" w:rsidRPr="00FC60CA" w:rsidRDefault="00FC60CA" w:rsidP="00FC60CA">
            <w:pPr>
              <w:tabs>
                <w:tab w:val="left" w:pos="757"/>
              </w:tabs>
              <w:rPr>
                <w:rFonts w:ascii="Arial" w:eastAsia="DengXian" w:hAnsi="Arial" w:cs="Arial"/>
                <w:sz w:val="16"/>
                <w:szCs w:val="16"/>
              </w:rPr>
            </w:pPr>
            <w:r w:rsidRPr="00FC60CA">
              <w:rPr>
                <w:rFonts w:ascii="Arial" w:eastAsia="DengXian" w:hAnsi="Arial" w:cs="Arial"/>
                <w:sz w:val="16"/>
                <w:szCs w:val="16"/>
              </w:rPr>
              <w:t>INTEGER (0..maxNrofLtmNZP-CSI-RS-Resources-1)</w:t>
            </w:r>
          </w:p>
        </w:tc>
      </w:tr>
    </w:tbl>
    <w:p w14:paraId="61808459" w14:textId="77777777" w:rsidR="00FC60CA" w:rsidRPr="00FC60CA" w:rsidRDefault="00FC60CA" w:rsidP="00FC60CA">
      <w:pPr>
        <w:rPr>
          <w:lang w:val="en-US" w:eastAsia="ja-JP"/>
        </w:rPr>
      </w:pPr>
    </w:p>
    <w:p w14:paraId="1A622FA3" w14:textId="77777777" w:rsidR="00FC60CA" w:rsidRPr="00FC60CA" w:rsidRDefault="00FC60CA" w:rsidP="00AA1D48">
      <w:pPr>
        <w:pStyle w:val="ListParagraph"/>
        <w:numPr>
          <w:ilvl w:val="0"/>
          <w:numId w:val="131"/>
        </w:numPr>
      </w:pPr>
      <w:r w:rsidRPr="00FC60CA">
        <w:t xml:space="preserve">FFS on the following IE: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8"/>
        <w:gridCol w:w="1477"/>
        <w:gridCol w:w="1844"/>
        <w:gridCol w:w="1530"/>
        <w:gridCol w:w="1688"/>
        <w:gridCol w:w="3656"/>
      </w:tblGrid>
      <w:tr w:rsidR="00FC60CA" w:rsidRPr="00FC60CA" w14:paraId="4B19FB2A" w14:textId="77777777" w:rsidTr="00FC60CA">
        <w:trPr>
          <w:trHeight w:val="451"/>
        </w:trPr>
        <w:tc>
          <w:tcPr>
            <w:tcW w:w="228" w:type="pct"/>
            <w:shd w:val="clear" w:color="auto" w:fill="auto"/>
          </w:tcPr>
          <w:p w14:paraId="4280B8B1" w14:textId="77777777" w:rsidR="00FC60CA" w:rsidRPr="00FC60CA" w:rsidRDefault="00FC60CA" w:rsidP="00FC60CA">
            <w:pPr>
              <w:rPr>
                <w:rFonts w:ascii="Arial" w:eastAsia="DengXian" w:hAnsi="Arial" w:cs="Arial"/>
                <w:sz w:val="16"/>
                <w:szCs w:val="16"/>
              </w:rPr>
            </w:pPr>
            <w:r w:rsidRPr="00FC60CA">
              <w:rPr>
                <w:rFonts w:ascii="Arial" w:eastAsia="DengXian" w:hAnsi="Arial" w:cs="Arial"/>
                <w:sz w:val="16"/>
                <w:szCs w:val="16"/>
              </w:rPr>
              <w:t>22</w:t>
            </w:r>
          </w:p>
        </w:tc>
        <w:tc>
          <w:tcPr>
            <w:tcW w:w="691" w:type="pct"/>
            <w:shd w:val="clear" w:color="auto" w:fill="auto"/>
          </w:tcPr>
          <w:p w14:paraId="5F3A3F7B" w14:textId="77777777" w:rsidR="00FC60CA" w:rsidRPr="00FC60CA" w:rsidRDefault="00FC60CA" w:rsidP="00FC60CA">
            <w:pPr>
              <w:rPr>
                <w:rFonts w:ascii="Arial" w:eastAsia="DengXian" w:hAnsi="Arial" w:cs="Arial"/>
                <w:sz w:val="16"/>
                <w:szCs w:val="16"/>
              </w:rPr>
            </w:pPr>
            <w:r w:rsidRPr="00FC60CA">
              <w:rPr>
                <w:rFonts w:ascii="Arial" w:eastAsia="DengXian" w:hAnsi="Arial" w:cs="Arial"/>
                <w:sz w:val="16"/>
                <w:szCs w:val="16"/>
              </w:rPr>
              <w:t>LTM-NZP-CSI-RS-Resource</w:t>
            </w:r>
          </w:p>
        </w:tc>
        <w:tc>
          <w:tcPr>
            <w:tcW w:w="863" w:type="pct"/>
            <w:shd w:val="clear" w:color="auto" w:fill="auto"/>
          </w:tcPr>
          <w:p w14:paraId="58A24213" w14:textId="77777777" w:rsidR="00FC60CA" w:rsidRPr="00FC60CA" w:rsidRDefault="00FC60CA" w:rsidP="00FC60CA">
            <w:pPr>
              <w:rPr>
                <w:rFonts w:ascii="Arial" w:eastAsia="DengXian" w:hAnsi="Arial" w:cs="Arial"/>
                <w:sz w:val="16"/>
                <w:szCs w:val="16"/>
              </w:rPr>
            </w:pPr>
            <w:r w:rsidRPr="00FC60CA">
              <w:rPr>
                <w:rFonts w:ascii="Arial" w:eastAsia="DengXian" w:hAnsi="Arial" w:cs="Arial"/>
                <w:sz w:val="16"/>
                <w:szCs w:val="16"/>
              </w:rPr>
              <w:t>powerControlOffset</w:t>
            </w:r>
          </w:p>
        </w:tc>
        <w:tc>
          <w:tcPr>
            <w:tcW w:w="716" w:type="pct"/>
            <w:shd w:val="clear" w:color="auto" w:fill="auto"/>
          </w:tcPr>
          <w:p w14:paraId="63CDBE6C" w14:textId="77777777" w:rsidR="00FC60CA" w:rsidRPr="00FC60CA" w:rsidRDefault="00FC60CA" w:rsidP="00FC60CA">
            <w:pPr>
              <w:rPr>
                <w:rFonts w:ascii="Arial" w:eastAsia="DengXian" w:hAnsi="Arial" w:cs="Arial"/>
                <w:sz w:val="16"/>
                <w:szCs w:val="16"/>
              </w:rPr>
            </w:pPr>
            <w:r w:rsidRPr="00FC60CA">
              <w:rPr>
                <w:rFonts w:ascii="Arial" w:eastAsia="DengXian" w:hAnsi="Arial" w:cs="Arial"/>
                <w:sz w:val="16"/>
                <w:szCs w:val="16"/>
              </w:rPr>
              <w:t>Existing</w:t>
            </w:r>
          </w:p>
        </w:tc>
        <w:tc>
          <w:tcPr>
            <w:tcW w:w="790" w:type="pct"/>
            <w:shd w:val="clear" w:color="auto" w:fill="auto"/>
          </w:tcPr>
          <w:p w14:paraId="670F282C" w14:textId="77777777" w:rsidR="00FC60CA" w:rsidRPr="00FC60CA" w:rsidRDefault="00FC60CA" w:rsidP="00FC60CA">
            <w:pPr>
              <w:rPr>
                <w:rFonts w:ascii="Arial" w:eastAsia="DengXian" w:hAnsi="Arial" w:cs="Arial"/>
                <w:sz w:val="16"/>
                <w:szCs w:val="16"/>
              </w:rPr>
            </w:pPr>
            <w:r w:rsidRPr="00FC60CA">
              <w:rPr>
                <w:rFonts w:ascii="Arial" w:eastAsia="DengXian" w:hAnsi="Arial" w:cs="Arial"/>
                <w:sz w:val="16"/>
                <w:szCs w:val="16"/>
              </w:rPr>
              <w:t>Power offset of PDSCH RE to NZP CSI-RS RE</w:t>
            </w:r>
          </w:p>
        </w:tc>
        <w:tc>
          <w:tcPr>
            <w:tcW w:w="1711" w:type="pct"/>
            <w:shd w:val="clear" w:color="auto" w:fill="auto"/>
          </w:tcPr>
          <w:p w14:paraId="4B851240" w14:textId="77777777" w:rsidR="00FC60CA" w:rsidRPr="00FC60CA" w:rsidRDefault="00FC60CA" w:rsidP="00FC60CA">
            <w:pPr>
              <w:tabs>
                <w:tab w:val="left" w:pos="757"/>
              </w:tabs>
              <w:rPr>
                <w:rFonts w:ascii="Arial" w:eastAsia="DengXian" w:hAnsi="Arial" w:cs="Arial"/>
                <w:sz w:val="16"/>
                <w:szCs w:val="16"/>
              </w:rPr>
            </w:pPr>
            <w:r w:rsidRPr="00FC60CA">
              <w:rPr>
                <w:rFonts w:ascii="Arial" w:eastAsia="DengXian" w:hAnsi="Arial" w:cs="Arial"/>
                <w:sz w:val="16"/>
                <w:szCs w:val="16"/>
              </w:rPr>
              <w:t>INTEGER (-8..15)</w:t>
            </w:r>
          </w:p>
        </w:tc>
      </w:tr>
    </w:tbl>
    <w:p w14:paraId="0DB51E5D" w14:textId="77777777" w:rsidR="00FC60CA" w:rsidRDefault="00FC60CA" w:rsidP="00F53716">
      <w:pPr>
        <w:rPr>
          <w:rFonts w:ascii="Times New Roman" w:hAnsi="Times New Roman"/>
          <w:szCs w:val="20"/>
          <w:lang w:eastAsia="x-none"/>
        </w:rPr>
      </w:pPr>
    </w:p>
    <w:p w14:paraId="0B8DF17C" w14:textId="77777777" w:rsidR="00944C9C" w:rsidRDefault="00944C9C" w:rsidP="00F53716">
      <w:pPr>
        <w:rPr>
          <w:rFonts w:ascii="Times New Roman" w:hAnsi="Times New Roman"/>
          <w:szCs w:val="20"/>
          <w:lang w:eastAsia="x-none"/>
        </w:rPr>
      </w:pPr>
    </w:p>
    <w:p w14:paraId="014AC2F7" w14:textId="72A14C36" w:rsidR="00944C9C" w:rsidRPr="00944C9C" w:rsidRDefault="005A18DC" w:rsidP="00944C9C">
      <w:pPr>
        <w:rPr>
          <w:rFonts w:ascii="Times New Roman" w:hAnsi="Times New Roman"/>
          <w:b/>
          <w:bCs/>
          <w:szCs w:val="20"/>
          <w:lang w:eastAsia="x-none"/>
        </w:rPr>
      </w:pPr>
      <w:hyperlink r:id="rId1429" w:history="1">
        <w:r w:rsidR="00AF7253">
          <w:rPr>
            <w:rStyle w:val="Hyperlink"/>
            <w:rFonts w:ascii="Times New Roman" w:hAnsi="Times New Roman"/>
            <w:b/>
            <w:bCs/>
            <w:szCs w:val="20"/>
            <w:lang w:eastAsia="x-none"/>
          </w:rPr>
          <w:t>R1-2312679</w:t>
        </w:r>
      </w:hyperlink>
      <w:r w:rsidR="00944C9C" w:rsidRPr="00944C9C">
        <w:rPr>
          <w:rFonts w:ascii="Times New Roman" w:hAnsi="Times New Roman"/>
          <w:b/>
          <w:bCs/>
          <w:szCs w:val="20"/>
          <w:lang w:eastAsia="x-none"/>
        </w:rPr>
        <w:tab/>
        <w:t>Summary#4 of RRC parameters for NR mobility enhancement WI</w:t>
      </w:r>
      <w:r w:rsidR="00944C9C" w:rsidRPr="00944C9C">
        <w:rPr>
          <w:rFonts w:ascii="Times New Roman" w:hAnsi="Times New Roman"/>
          <w:b/>
          <w:bCs/>
          <w:szCs w:val="20"/>
          <w:lang w:eastAsia="x-none"/>
        </w:rPr>
        <w:tab/>
        <w:t>Rapporteur (Apple)</w:t>
      </w:r>
    </w:p>
    <w:p w14:paraId="0106E37E" w14:textId="28AC64E7" w:rsidR="00944C9C" w:rsidRDefault="00944C9C" w:rsidP="00944C9C">
      <w:pPr>
        <w:rPr>
          <w:rFonts w:ascii="Times New Roman" w:hAnsi="Times New Roman"/>
          <w:szCs w:val="20"/>
          <w:lang w:eastAsia="x-none"/>
        </w:rPr>
      </w:pPr>
      <w:r>
        <w:rPr>
          <w:rFonts w:ascii="Times New Roman" w:hAnsi="Times New Roman"/>
          <w:szCs w:val="20"/>
          <w:lang w:eastAsia="x-none"/>
        </w:rPr>
        <w:t>From Friday session</w:t>
      </w:r>
    </w:p>
    <w:p w14:paraId="47968ACA" w14:textId="77777777" w:rsidR="00944C9C" w:rsidRPr="00944C9C" w:rsidRDefault="00944C9C" w:rsidP="00944C9C">
      <w:pPr>
        <w:rPr>
          <w:rFonts w:cs="Times"/>
          <w:lang w:val="en-US" w:eastAsia="x-none"/>
        </w:rPr>
      </w:pPr>
      <w:r w:rsidRPr="00944C9C">
        <w:rPr>
          <w:rFonts w:cs="Times"/>
          <w:highlight w:val="green"/>
          <w:lang w:val="en-US" w:eastAsia="x-none"/>
        </w:rPr>
        <w:t>Agreement</w:t>
      </w:r>
    </w:p>
    <w:p w14:paraId="7557395A" w14:textId="7F194DBE" w:rsidR="00944C9C" w:rsidRPr="00944C9C" w:rsidRDefault="00944C9C" w:rsidP="00A67145">
      <w:pPr>
        <w:pStyle w:val="ListParagraph"/>
        <w:numPr>
          <w:ilvl w:val="0"/>
          <w:numId w:val="228"/>
        </w:numPr>
        <w:rPr>
          <w:rFonts w:cs="Arial"/>
          <w:b/>
          <w:bCs/>
          <w:u w:val="single"/>
        </w:rPr>
      </w:pPr>
      <w:r w:rsidRPr="00944C9C">
        <w:rPr>
          <w:lang w:val="en-US"/>
        </w:rPr>
        <w:t>Add the following RRC parameter for ‘LTM-Candidate-Tci-State’ configuration: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6"/>
        <w:gridCol w:w="1933"/>
        <w:gridCol w:w="1753"/>
        <w:gridCol w:w="1439"/>
        <w:gridCol w:w="1597"/>
        <w:gridCol w:w="3565"/>
      </w:tblGrid>
      <w:tr w:rsidR="00944C9C" w:rsidRPr="00944C9C" w14:paraId="69BE60A7" w14:textId="77777777" w:rsidTr="00944C9C">
        <w:trPr>
          <w:trHeight w:val="451"/>
        </w:trPr>
        <w:tc>
          <w:tcPr>
            <w:tcW w:w="228" w:type="pct"/>
            <w:tcBorders>
              <w:top w:val="single" w:sz="4" w:space="0" w:color="auto"/>
              <w:left w:val="single" w:sz="4" w:space="0" w:color="auto"/>
              <w:bottom w:val="single" w:sz="4" w:space="0" w:color="auto"/>
              <w:right w:val="single" w:sz="4" w:space="0" w:color="auto"/>
            </w:tcBorders>
            <w:shd w:val="clear" w:color="auto" w:fill="D9D9D9"/>
          </w:tcPr>
          <w:p w14:paraId="6E23692E" w14:textId="77777777" w:rsidR="00944C9C" w:rsidRPr="00944C9C" w:rsidRDefault="00944C9C" w:rsidP="00944C9C">
            <w:pPr>
              <w:rPr>
                <w:rFonts w:ascii="Arial" w:eastAsia="DengXian" w:hAnsi="Arial" w:cs="Arial"/>
                <w:sz w:val="16"/>
                <w:szCs w:val="16"/>
              </w:rPr>
            </w:pPr>
            <w:r w:rsidRPr="00944C9C">
              <w:rPr>
                <w:rFonts w:ascii="Arial" w:eastAsia="DengXian" w:hAnsi="Arial" w:cs="Arial"/>
                <w:sz w:val="16"/>
                <w:szCs w:val="16"/>
              </w:rPr>
              <w:t>#</w:t>
            </w:r>
          </w:p>
        </w:tc>
        <w:tc>
          <w:tcPr>
            <w:tcW w:w="691" w:type="pct"/>
            <w:tcBorders>
              <w:top w:val="single" w:sz="4" w:space="0" w:color="auto"/>
              <w:left w:val="single" w:sz="4" w:space="0" w:color="auto"/>
              <w:bottom w:val="single" w:sz="4" w:space="0" w:color="auto"/>
              <w:right w:val="single" w:sz="4" w:space="0" w:color="auto"/>
            </w:tcBorders>
            <w:shd w:val="clear" w:color="auto" w:fill="D9D9D9"/>
          </w:tcPr>
          <w:p w14:paraId="5F87044B" w14:textId="77777777" w:rsidR="00944C9C" w:rsidRPr="00944C9C" w:rsidRDefault="00944C9C" w:rsidP="00944C9C">
            <w:pPr>
              <w:rPr>
                <w:rFonts w:ascii="Arial" w:eastAsia="DengXian" w:hAnsi="Arial" w:cs="Arial"/>
                <w:sz w:val="16"/>
                <w:szCs w:val="16"/>
              </w:rPr>
            </w:pPr>
            <w:r w:rsidRPr="00944C9C">
              <w:rPr>
                <w:rFonts w:ascii="Arial" w:eastAsia="DengXian" w:hAnsi="Arial" w:cs="Arial"/>
                <w:sz w:val="16"/>
                <w:szCs w:val="16"/>
              </w:rPr>
              <w:t>RAN2 parent IE</w:t>
            </w:r>
          </w:p>
        </w:tc>
        <w:tc>
          <w:tcPr>
            <w:tcW w:w="863" w:type="pct"/>
            <w:tcBorders>
              <w:top w:val="single" w:sz="4" w:space="0" w:color="auto"/>
              <w:left w:val="single" w:sz="4" w:space="0" w:color="auto"/>
              <w:bottom w:val="single" w:sz="4" w:space="0" w:color="auto"/>
              <w:right w:val="single" w:sz="4" w:space="0" w:color="auto"/>
            </w:tcBorders>
            <w:shd w:val="clear" w:color="auto" w:fill="D9D9D9"/>
          </w:tcPr>
          <w:p w14:paraId="59BC9161" w14:textId="77777777" w:rsidR="00944C9C" w:rsidRPr="00944C9C" w:rsidRDefault="00944C9C" w:rsidP="00944C9C">
            <w:pPr>
              <w:rPr>
                <w:rFonts w:ascii="Arial" w:eastAsia="DengXian" w:hAnsi="Arial" w:cs="Arial"/>
                <w:sz w:val="16"/>
                <w:szCs w:val="16"/>
              </w:rPr>
            </w:pPr>
            <w:r w:rsidRPr="00944C9C">
              <w:rPr>
                <w:rFonts w:ascii="Arial" w:eastAsia="DengXian" w:hAnsi="Arial" w:cs="Arial"/>
                <w:sz w:val="16"/>
                <w:szCs w:val="16"/>
              </w:rPr>
              <w:t>Parameter name in the spec</w:t>
            </w:r>
          </w:p>
        </w:tc>
        <w:tc>
          <w:tcPr>
            <w:tcW w:w="716" w:type="pct"/>
            <w:tcBorders>
              <w:top w:val="single" w:sz="4" w:space="0" w:color="auto"/>
              <w:left w:val="single" w:sz="4" w:space="0" w:color="auto"/>
              <w:bottom w:val="single" w:sz="4" w:space="0" w:color="auto"/>
              <w:right w:val="single" w:sz="4" w:space="0" w:color="auto"/>
            </w:tcBorders>
            <w:shd w:val="clear" w:color="auto" w:fill="D9D9D9"/>
          </w:tcPr>
          <w:p w14:paraId="322211CD" w14:textId="77777777" w:rsidR="00944C9C" w:rsidRPr="00944C9C" w:rsidRDefault="00944C9C" w:rsidP="00944C9C">
            <w:pPr>
              <w:rPr>
                <w:rFonts w:ascii="Arial" w:eastAsia="DengXian" w:hAnsi="Arial" w:cs="Arial"/>
                <w:sz w:val="16"/>
                <w:szCs w:val="16"/>
              </w:rPr>
            </w:pPr>
            <w:r w:rsidRPr="00944C9C">
              <w:rPr>
                <w:rFonts w:ascii="Arial" w:eastAsia="DengXian" w:hAnsi="Arial" w:cs="Arial"/>
                <w:sz w:val="16"/>
                <w:szCs w:val="16"/>
              </w:rPr>
              <w:t>New or existing?</w:t>
            </w:r>
          </w:p>
        </w:tc>
        <w:tc>
          <w:tcPr>
            <w:tcW w:w="790" w:type="pct"/>
            <w:tcBorders>
              <w:top w:val="single" w:sz="4" w:space="0" w:color="auto"/>
              <w:left w:val="single" w:sz="4" w:space="0" w:color="auto"/>
              <w:bottom w:val="single" w:sz="4" w:space="0" w:color="auto"/>
              <w:right w:val="single" w:sz="4" w:space="0" w:color="auto"/>
            </w:tcBorders>
            <w:shd w:val="clear" w:color="auto" w:fill="D9D9D9"/>
          </w:tcPr>
          <w:p w14:paraId="6011BDF6" w14:textId="77777777" w:rsidR="00944C9C" w:rsidRPr="00944C9C" w:rsidRDefault="00944C9C" w:rsidP="00944C9C">
            <w:pPr>
              <w:rPr>
                <w:rFonts w:ascii="Arial" w:eastAsia="DengXian" w:hAnsi="Arial" w:cs="Arial"/>
                <w:sz w:val="16"/>
                <w:szCs w:val="16"/>
              </w:rPr>
            </w:pPr>
            <w:r w:rsidRPr="00944C9C">
              <w:rPr>
                <w:rFonts w:ascii="Arial" w:eastAsia="DengXian" w:hAnsi="Arial" w:cs="Arial"/>
                <w:sz w:val="16"/>
                <w:szCs w:val="16"/>
              </w:rPr>
              <w:t>Description</w:t>
            </w:r>
          </w:p>
        </w:tc>
        <w:tc>
          <w:tcPr>
            <w:tcW w:w="1711" w:type="pct"/>
            <w:tcBorders>
              <w:top w:val="single" w:sz="4" w:space="0" w:color="auto"/>
              <w:left w:val="single" w:sz="4" w:space="0" w:color="auto"/>
              <w:bottom w:val="single" w:sz="4" w:space="0" w:color="auto"/>
              <w:right w:val="single" w:sz="4" w:space="0" w:color="auto"/>
            </w:tcBorders>
            <w:shd w:val="clear" w:color="auto" w:fill="D9D9D9"/>
          </w:tcPr>
          <w:p w14:paraId="23B17410" w14:textId="77777777" w:rsidR="00944C9C" w:rsidRPr="00944C9C" w:rsidRDefault="00944C9C" w:rsidP="00944C9C">
            <w:pPr>
              <w:tabs>
                <w:tab w:val="left" w:pos="757"/>
              </w:tabs>
              <w:rPr>
                <w:rFonts w:ascii="Arial" w:eastAsia="DengXian" w:hAnsi="Arial" w:cs="Arial"/>
                <w:sz w:val="16"/>
                <w:szCs w:val="16"/>
              </w:rPr>
            </w:pPr>
            <w:r w:rsidRPr="00944C9C">
              <w:rPr>
                <w:rFonts w:ascii="Arial" w:eastAsia="DengXian" w:hAnsi="Arial" w:cs="Arial"/>
                <w:sz w:val="16"/>
                <w:szCs w:val="16"/>
              </w:rPr>
              <w:t>Value Range</w:t>
            </w:r>
          </w:p>
        </w:tc>
      </w:tr>
      <w:tr w:rsidR="00944C9C" w:rsidRPr="00944C9C" w14:paraId="2FD2CE41" w14:textId="77777777" w:rsidTr="00944C9C">
        <w:trPr>
          <w:trHeight w:val="451"/>
        </w:trPr>
        <w:tc>
          <w:tcPr>
            <w:tcW w:w="228" w:type="pct"/>
            <w:shd w:val="clear" w:color="auto" w:fill="auto"/>
          </w:tcPr>
          <w:p w14:paraId="478ED483" w14:textId="77777777" w:rsidR="00944C9C" w:rsidRPr="00944C9C" w:rsidRDefault="00944C9C" w:rsidP="00944C9C">
            <w:pPr>
              <w:rPr>
                <w:rFonts w:ascii="Arial" w:eastAsia="DengXian" w:hAnsi="Arial" w:cs="Arial"/>
                <w:sz w:val="16"/>
                <w:szCs w:val="16"/>
              </w:rPr>
            </w:pPr>
            <w:r w:rsidRPr="00944C9C">
              <w:rPr>
                <w:rFonts w:ascii="Arial" w:eastAsia="DengXian" w:hAnsi="Arial" w:cs="Arial"/>
                <w:sz w:val="16"/>
                <w:szCs w:val="16"/>
              </w:rPr>
              <w:t>1</w:t>
            </w:r>
          </w:p>
        </w:tc>
        <w:tc>
          <w:tcPr>
            <w:tcW w:w="691" w:type="pct"/>
            <w:shd w:val="clear" w:color="auto" w:fill="auto"/>
          </w:tcPr>
          <w:p w14:paraId="4D7B8A5E" w14:textId="77777777" w:rsidR="00944C9C" w:rsidRPr="00944C9C" w:rsidRDefault="00944C9C" w:rsidP="00944C9C">
            <w:pPr>
              <w:rPr>
                <w:rFonts w:ascii="Arial" w:eastAsia="DengXian" w:hAnsi="Arial" w:cs="Arial"/>
                <w:sz w:val="16"/>
                <w:szCs w:val="16"/>
              </w:rPr>
            </w:pPr>
            <w:r w:rsidRPr="00944C9C">
              <w:rPr>
                <w:rFonts w:ascii="Arial" w:eastAsia="DengXian" w:hAnsi="Arial" w:cs="Arial"/>
                <w:sz w:val="16"/>
                <w:szCs w:val="16"/>
              </w:rPr>
              <w:t>LTM-nzp-CSI-RS-ResourceToAddModList</w:t>
            </w:r>
          </w:p>
        </w:tc>
        <w:tc>
          <w:tcPr>
            <w:tcW w:w="863" w:type="pct"/>
            <w:shd w:val="clear" w:color="auto" w:fill="auto"/>
          </w:tcPr>
          <w:p w14:paraId="17781DC1" w14:textId="77777777" w:rsidR="00944C9C" w:rsidRPr="00944C9C" w:rsidRDefault="00944C9C" w:rsidP="00944C9C">
            <w:pPr>
              <w:rPr>
                <w:rFonts w:ascii="Arial" w:eastAsia="DengXian" w:hAnsi="Arial" w:cs="Arial"/>
                <w:sz w:val="16"/>
                <w:szCs w:val="16"/>
              </w:rPr>
            </w:pPr>
            <w:r w:rsidRPr="00944C9C">
              <w:rPr>
                <w:rFonts w:ascii="Arial" w:eastAsia="DengXian" w:hAnsi="Arial" w:cs="Arial"/>
                <w:sz w:val="16"/>
                <w:szCs w:val="16"/>
              </w:rPr>
              <w:t>LTM-NZP-CSI-RS-Resource</w:t>
            </w:r>
          </w:p>
        </w:tc>
        <w:tc>
          <w:tcPr>
            <w:tcW w:w="716" w:type="pct"/>
            <w:shd w:val="clear" w:color="auto" w:fill="auto"/>
          </w:tcPr>
          <w:p w14:paraId="761A3446" w14:textId="77777777" w:rsidR="00944C9C" w:rsidRPr="00944C9C" w:rsidRDefault="00944C9C" w:rsidP="00944C9C">
            <w:pPr>
              <w:rPr>
                <w:rFonts w:ascii="Arial" w:eastAsia="DengXian" w:hAnsi="Arial" w:cs="Arial"/>
                <w:sz w:val="16"/>
                <w:szCs w:val="16"/>
              </w:rPr>
            </w:pPr>
            <w:r w:rsidRPr="00944C9C">
              <w:rPr>
                <w:rFonts w:ascii="Arial" w:eastAsia="DengXian" w:hAnsi="Arial" w:cs="Arial"/>
                <w:sz w:val="16"/>
                <w:szCs w:val="16"/>
              </w:rPr>
              <w:t>new</w:t>
            </w:r>
          </w:p>
        </w:tc>
        <w:tc>
          <w:tcPr>
            <w:tcW w:w="790" w:type="pct"/>
            <w:shd w:val="clear" w:color="auto" w:fill="auto"/>
          </w:tcPr>
          <w:p w14:paraId="6654665A" w14:textId="77777777" w:rsidR="00944C9C" w:rsidRPr="00944C9C" w:rsidRDefault="00944C9C" w:rsidP="00944C9C">
            <w:pPr>
              <w:rPr>
                <w:rFonts w:ascii="Arial" w:eastAsia="DengXian" w:hAnsi="Arial" w:cs="Arial"/>
                <w:sz w:val="16"/>
                <w:szCs w:val="16"/>
              </w:rPr>
            </w:pPr>
            <w:r w:rsidRPr="00944C9C">
              <w:rPr>
                <w:rFonts w:ascii="Arial" w:eastAsia="DengXian" w:hAnsi="Arial" w:cs="Arial"/>
                <w:sz w:val="16"/>
                <w:szCs w:val="16"/>
              </w:rPr>
              <w:t>Configure Non-Zero-Power (NZP) CSI-RS transmitted in the cell</w:t>
            </w:r>
          </w:p>
        </w:tc>
        <w:tc>
          <w:tcPr>
            <w:tcW w:w="1711" w:type="pct"/>
            <w:shd w:val="clear" w:color="auto" w:fill="auto"/>
          </w:tcPr>
          <w:p w14:paraId="4EE76D86" w14:textId="77777777" w:rsidR="00944C9C" w:rsidRPr="00944C9C" w:rsidRDefault="00944C9C" w:rsidP="00944C9C">
            <w:pPr>
              <w:tabs>
                <w:tab w:val="left" w:pos="757"/>
              </w:tabs>
              <w:rPr>
                <w:rFonts w:ascii="Arial" w:eastAsia="DengXian" w:hAnsi="Arial" w:cs="Arial"/>
                <w:sz w:val="16"/>
                <w:szCs w:val="16"/>
              </w:rPr>
            </w:pPr>
            <w:r w:rsidRPr="00944C9C">
              <w:rPr>
                <w:rFonts w:ascii="Arial" w:eastAsia="DengXian" w:hAnsi="Arial" w:cs="Arial"/>
                <w:sz w:val="16"/>
                <w:szCs w:val="16"/>
              </w:rPr>
              <w:t>SEQUENCE {</w:t>
            </w:r>
          </w:p>
          <w:p w14:paraId="1F619DED" w14:textId="77777777" w:rsidR="00944C9C" w:rsidRPr="00944C9C" w:rsidRDefault="00944C9C" w:rsidP="00944C9C">
            <w:pPr>
              <w:tabs>
                <w:tab w:val="left" w:pos="757"/>
              </w:tabs>
              <w:rPr>
                <w:rFonts w:ascii="Arial" w:eastAsia="DengXian" w:hAnsi="Arial" w:cs="Arial"/>
                <w:sz w:val="16"/>
                <w:szCs w:val="16"/>
              </w:rPr>
            </w:pPr>
            <w:r w:rsidRPr="00944C9C">
              <w:rPr>
                <w:rFonts w:ascii="Arial" w:eastAsia="DengXian" w:hAnsi="Arial" w:cs="Arial"/>
                <w:sz w:val="16"/>
                <w:szCs w:val="16"/>
              </w:rPr>
              <w:t xml:space="preserve">LTM-nzp-CSI-ResourceId, </w:t>
            </w:r>
          </w:p>
          <w:p w14:paraId="7EF44451" w14:textId="77777777" w:rsidR="00944C9C" w:rsidRPr="00944C9C" w:rsidRDefault="00944C9C" w:rsidP="00944C9C">
            <w:pPr>
              <w:tabs>
                <w:tab w:val="left" w:pos="757"/>
              </w:tabs>
              <w:rPr>
                <w:rFonts w:ascii="Arial" w:eastAsia="DengXian" w:hAnsi="Arial" w:cs="Arial"/>
                <w:sz w:val="16"/>
                <w:szCs w:val="16"/>
              </w:rPr>
            </w:pPr>
            <w:r w:rsidRPr="00944C9C">
              <w:rPr>
                <w:rFonts w:ascii="Arial" w:eastAsia="DengXian" w:hAnsi="Arial" w:cs="Arial"/>
                <w:sz w:val="16"/>
                <w:szCs w:val="16"/>
              </w:rPr>
              <w:t xml:space="preserve">resourceMapping, </w:t>
            </w:r>
          </w:p>
          <w:p w14:paraId="7BEDD29B" w14:textId="77777777" w:rsidR="00944C9C" w:rsidRPr="00944C9C" w:rsidRDefault="00944C9C" w:rsidP="00944C9C">
            <w:pPr>
              <w:tabs>
                <w:tab w:val="left" w:pos="757"/>
              </w:tabs>
              <w:rPr>
                <w:rFonts w:ascii="Arial" w:eastAsia="DengXian" w:hAnsi="Arial" w:cs="Arial"/>
                <w:sz w:val="16"/>
                <w:szCs w:val="16"/>
              </w:rPr>
            </w:pPr>
            <w:r w:rsidRPr="00944C9C">
              <w:rPr>
                <w:rFonts w:ascii="Arial" w:eastAsia="DengXian" w:hAnsi="Arial" w:cs="Arial"/>
                <w:sz w:val="16"/>
                <w:szCs w:val="16"/>
              </w:rPr>
              <w:t>powerControlOffsetSS,</w:t>
            </w:r>
          </w:p>
          <w:p w14:paraId="6DB575D3" w14:textId="77777777" w:rsidR="00944C9C" w:rsidRPr="00944C9C" w:rsidRDefault="00944C9C" w:rsidP="00944C9C">
            <w:pPr>
              <w:tabs>
                <w:tab w:val="left" w:pos="757"/>
              </w:tabs>
              <w:rPr>
                <w:rFonts w:ascii="Arial" w:eastAsia="DengXian" w:hAnsi="Arial" w:cs="Arial"/>
                <w:sz w:val="16"/>
                <w:szCs w:val="16"/>
              </w:rPr>
            </w:pPr>
            <w:r w:rsidRPr="00944C9C">
              <w:rPr>
                <w:rFonts w:ascii="Arial" w:eastAsia="DengXian" w:hAnsi="Arial" w:cs="Arial"/>
                <w:sz w:val="16"/>
                <w:szCs w:val="16"/>
              </w:rPr>
              <w:t>scramblingID,</w:t>
            </w:r>
          </w:p>
          <w:p w14:paraId="657600AF" w14:textId="77777777" w:rsidR="00944C9C" w:rsidRPr="00944C9C" w:rsidRDefault="00944C9C" w:rsidP="00944C9C">
            <w:pPr>
              <w:tabs>
                <w:tab w:val="left" w:pos="757"/>
              </w:tabs>
              <w:rPr>
                <w:rFonts w:ascii="Arial" w:eastAsia="DengXian" w:hAnsi="Arial" w:cs="Arial"/>
                <w:sz w:val="16"/>
                <w:szCs w:val="16"/>
              </w:rPr>
            </w:pPr>
            <w:r w:rsidRPr="00944C9C">
              <w:rPr>
                <w:rFonts w:ascii="Arial" w:eastAsia="DengXian" w:hAnsi="Arial" w:cs="Arial"/>
                <w:sz w:val="16"/>
                <w:szCs w:val="16"/>
              </w:rPr>
              <w:t>periodicityAndOffset,</w:t>
            </w:r>
          </w:p>
          <w:p w14:paraId="7B051C1A" w14:textId="77777777" w:rsidR="00944C9C" w:rsidRPr="00944C9C" w:rsidRDefault="00944C9C" w:rsidP="00944C9C">
            <w:pPr>
              <w:tabs>
                <w:tab w:val="left" w:pos="757"/>
              </w:tabs>
              <w:rPr>
                <w:rFonts w:ascii="Arial" w:eastAsia="DengXian" w:hAnsi="Arial" w:cs="Arial"/>
                <w:sz w:val="16"/>
                <w:szCs w:val="16"/>
              </w:rPr>
            </w:pPr>
            <w:r w:rsidRPr="00944C9C">
              <w:rPr>
                <w:rFonts w:ascii="Arial" w:eastAsia="DengXian" w:hAnsi="Arial" w:cs="Arial"/>
                <w:sz w:val="16"/>
                <w:szCs w:val="16"/>
              </w:rPr>
              <w:t>qcl-InfoPeriodicCSI-RS,</w:t>
            </w:r>
          </w:p>
          <w:p w14:paraId="0E140C2E" w14:textId="77777777" w:rsidR="00944C9C" w:rsidRPr="00944C9C" w:rsidRDefault="00944C9C" w:rsidP="00944C9C">
            <w:pPr>
              <w:tabs>
                <w:tab w:val="left" w:pos="757"/>
              </w:tabs>
              <w:rPr>
                <w:rFonts w:ascii="Arial" w:eastAsia="DengXian" w:hAnsi="Arial" w:cs="Arial"/>
                <w:sz w:val="16"/>
                <w:szCs w:val="16"/>
              </w:rPr>
            </w:pPr>
          </w:p>
          <w:p w14:paraId="32240891" w14:textId="77777777" w:rsidR="00944C9C" w:rsidRPr="00944C9C" w:rsidRDefault="00944C9C" w:rsidP="00944C9C">
            <w:pPr>
              <w:tabs>
                <w:tab w:val="left" w:pos="757"/>
              </w:tabs>
              <w:rPr>
                <w:rFonts w:ascii="Arial" w:eastAsia="DengXian" w:hAnsi="Arial" w:cs="Arial"/>
                <w:sz w:val="16"/>
                <w:szCs w:val="16"/>
              </w:rPr>
            </w:pPr>
            <w:r w:rsidRPr="00944C9C">
              <w:rPr>
                <w:rFonts w:ascii="Arial" w:eastAsia="DengXian" w:hAnsi="Arial" w:cs="Arial"/>
                <w:sz w:val="16"/>
                <w:szCs w:val="16"/>
              </w:rPr>
              <w:t xml:space="preserve">subcarrierSpacing, </w:t>
            </w:r>
          </w:p>
          <w:p w14:paraId="2B6983EF" w14:textId="77777777" w:rsidR="00944C9C" w:rsidRPr="00944C9C" w:rsidRDefault="00944C9C" w:rsidP="00944C9C">
            <w:pPr>
              <w:tabs>
                <w:tab w:val="left" w:pos="757"/>
              </w:tabs>
              <w:rPr>
                <w:rFonts w:ascii="Arial" w:eastAsia="DengXian" w:hAnsi="Arial" w:cs="Arial"/>
                <w:sz w:val="16"/>
                <w:szCs w:val="16"/>
              </w:rPr>
            </w:pPr>
            <w:r w:rsidRPr="00944C9C">
              <w:rPr>
                <w:rFonts w:ascii="Arial" w:eastAsia="DengXian" w:hAnsi="Arial" w:cs="Arial"/>
                <w:sz w:val="16"/>
                <w:szCs w:val="16"/>
              </w:rPr>
              <w:t>absoluteFrequencyPointA,</w:t>
            </w:r>
          </w:p>
          <w:p w14:paraId="09F738D3" w14:textId="77777777" w:rsidR="00944C9C" w:rsidRPr="00944C9C" w:rsidRDefault="00944C9C" w:rsidP="00944C9C">
            <w:pPr>
              <w:tabs>
                <w:tab w:val="left" w:pos="757"/>
              </w:tabs>
              <w:rPr>
                <w:rFonts w:ascii="Arial" w:eastAsia="DengXian" w:hAnsi="Arial" w:cs="Arial"/>
                <w:color w:val="FF0000"/>
                <w:sz w:val="16"/>
                <w:szCs w:val="16"/>
              </w:rPr>
            </w:pPr>
            <w:r w:rsidRPr="00944C9C">
              <w:rPr>
                <w:rFonts w:ascii="Arial" w:eastAsia="DengXian" w:hAnsi="Arial" w:cs="Arial"/>
                <w:color w:val="FF0000"/>
                <w:sz w:val="16"/>
                <w:szCs w:val="16"/>
              </w:rPr>
              <w:t xml:space="preserve">cyclicPrefix, </w:t>
            </w:r>
          </w:p>
          <w:p w14:paraId="6C4BB7B0" w14:textId="77777777" w:rsidR="00944C9C" w:rsidRPr="00944C9C" w:rsidRDefault="00944C9C" w:rsidP="00944C9C">
            <w:pPr>
              <w:tabs>
                <w:tab w:val="left" w:pos="757"/>
              </w:tabs>
              <w:rPr>
                <w:rFonts w:ascii="Arial" w:eastAsia="DengXian" w:hAnsi="Arial" w:cs="Arial"/>
                <w:sz w:val="16"/>
                <w:szCs w:val="16"/>
              </w:rPr>
            </w:pPr>
            <w:r w:rsidRPr="00944C9C">
              <w:rPr>
                <w:rFonts w:ascii="Arial" w:eastAsia="DengXian" w:hAnsi="Arial" w:cs="Arial"/>
                <w:sz w:val="16"/>
                <w:szCs w:val="16"/>
              </w:rPr>
              <w:t>}</w:t>
            </w:r>
          </w:p>
        </w:tc>
      </w:tr>
      <w:tr w:rsidR="00944C9C" w:rsidRPr="00944C9C" w14:paraId="62BBFD80" w14:textId="77777777" w:rsidTr="00944C9C">
        <w:trPr>
          <w:trHeight w:val="451"/>
        </w:trPr>
        <w:tc>
          <w:tcPr>
            <w:tcW w:w="228" w:type="pct"/>
            <w:shd w:val="clear" w:color="auto" w:fill="auto"/>
          </w:tcPr>
          <w:p w14:paraId="453F5C12" w14:textId="77777777" w:rsidR="00944C9C" w:rsidRPr="00944C9C" w:rsidRDefault="00944C9C" w:rsidP="00944C9C">
            <w:pPr>
              <w:rPr>
                <w:rFonts w:ascii="Arial" w:eastAsia="DengXian" w:hAnsi="Arial" w:cs="Arial"/>
                <w:sz w:val="16"/>
                <w:szCs w:val="16"/>
              </w:rPr>
            </w:pPr>
            <w:r w:rsidRPr="00944C9C">
              <w:rPr>
                <w:rFonts w:ascii="Arial" w:eastAsia="DengXian" w:hAnsi="Arial" w:cs="Arial"/>
                <w:sz w:val="16"/>
                <w:szCs w:val="16"/>
              </w:rPr>
              <w:t>2</w:t>
            </w:r>
          </w:p>
        </w:tc>
        <w:tc>
          <w:tcPr>
            <w:tcW w:w="691" w:type="pct"/>
            <w:shd w:val="clear" w:color="auto" w:fill="auto"/>
          </w:tcPr>
          <w:p w14:paraId="2ABBEAD1" w14:textId="77777777" w:rsidR="00944C9C" w:rsidRPr="00944C9C" w:rsidRDefault="00944C9C" w:rsidP="00944C9C">
            <w:pPr>
              <w:rPr>
                <w:rFonts w:ascii="Arial" w:eastAsia="DengXian" w:hAnsi="Arial" w:cs="Arial"/>
                <w:sz w:val="16"/>
                <w:szCs w:val="16"/>
              </w:rPr>
            </w:pPr>
            <w:r w:rsidRPr="00944C9C">
              <w:rPr>
                <w:rFonts w:ascii="Arial" w:eastAsia="DengXian" w:hAnsi="Arial" w:cs="Arial"/>
                <w:sz w:val="16"/>
                <w:szCs w:val="16"/>
              </w:rPr>
              <w:t>LTM-NZP-CSI-RS-Resource</w:t>
            </w:r>
          </w:p>
        </w:tc>
        <w:tc>
          <w:tcPr>
            <w:tcW w:w="863" w:type="pct"/>
            <w:shd w:val="clear" w:color="auto" w:fill="auto"/>
          </w:tcPr>
          <w:p w14:paraId="062C2A52" w14:textId="77777777" w:rsidR="00944C9C" w:rsidRPr="00944C9C" w:rsidRDefault="00944C9C" w:rsidP="00944C9C">
            <w:pPr>
              <w:tabs>
                <w:tab w:val="left" w:pos="757"/>
              </w:tabs>
              <w:rPr>
                <w:rFonts w:ascii="Arial" w:eastAsia="DengXian" w:hAnsi="Arial" w:cs="Arial"/>
                <w:sz w:val="16"/>
                <w:szCs w:val="16"/>
              </w:rPr>
            </w:pPr>
            <w:r w:rsidRPr="00944C9C">
              <w:rPr>
                <w:rFonts w:ascii="Arial" w:eastAsia="DengXian" w:hAnsi="Arial" w:cs="Arial"/>
                <w:sz w:val="16"/>
                <w:szCs w:val="16"/>
              </w:rPr>
              <w:t>cyclicPrefix</w:t>
            </w:r>
          </w:p>
          <w:p w14:paraId="67604FD2" w14:textId="77777777" w:rsidR="00944C9C" w:rsidRPr="00944C9C" w:rsidRDefault="00944C9C" w:rsidP="00944C9C">
            <w:pPr>
              <w:rPr>
                <w:rFonts w:ascii="Arial" w:eastAsia="DengXian" w:hAnsi="Arial" w:cs="Arial"/>
                <w:sz w:val="16"/>
                <w:szCs w:val="16"/>
              </w:rPr>
            </w:pPr>
          </w:p>
        </w:tc>
        <w:tc>
          <w:tcPr>
            <w:tcW w:w="716" w:type="pct"/>
            <w:shd w:val="clear" w:color="auto" w:fill="auto"/>
          </w:tcPr>
          <w:p w14:paraId="74E328CB" w14:textId="77777777" w:rsidR="00944C9C" w:rsidRPr="00944C9C" w:rsidRDefault="00944C9C" w:rsidP="00944C9C">
            <w:pPr>
              <w:rPr>
                <w:rFonts w:ascii="Arial" w:eastAsia="DengXian" w:hAnsi="Arial" w:cs="Arial"/>
                <w:sz w:val="16"/>
                <w:szCs w:val="16"/>
              </w:rPr>
            </w:pPr>
            <w:r w:rsidRPr="00944C9C">
              <w:rPr>
                <w:rFonts w:ascii="Arial" w:eastAsia="DengXian" w:hAnsi="Arial" w:cs="Arial"/>
                <w:sz w:val="16"/>
                <w:szCs w:val="16"/>
              </w:rPr>
              <w:t>existing</w:t>
            </w:r>
          </w:p>
        </w:tc>
        <w:tc>
          <w:tcPr>
            <w:tcW w:w="790" w:type="pct"/>
            <w:shd w:val="clear" w:color="auto" w:fill="auto"/>
          </w:tcPr>
          <w:p w14:paraId="49A0D71A" w14:textId="77777777" w:rsidR="00944C9C" w:rsidRPr="00944C9C" w:rsidRDefault="00944C9C" w:rsidP="00944C9C">
            <w:pPr>
              <w:rPr>
                <w:rFonts w:ascii="Arial" w:eastAsia="DengXian" w:hAnsi="Arial" w:cs="Arial"/>
                <w:sz w:val="16"/>
                <w:szCs w:val="16"/>
              </w:rPr>
            </w:pPr>
            <w:r w:rsidRPr="00944C9C">
              <w:rPr>
                <w:rFonts w:ascii="Arial" w:eastAsia="DengXian" w:hAnsi="Arial" w:cs="Arial"/>
                <w:sz w:val="16"/>
                <w:szCs w:val="16"/>
              </w:rPr>
              <w:t>Indicates whether to use the extended cyclic prefix for this LTM NZP-CSI-RS resource. If not set, the UE uses the normal cyclic prefix.</w:t>
            </w:r>
          </w:p>
        </w:tc>
        <w:tc>
          <w:tcPr>
            <w:tcW w:w="1711" w:type="pct"/>
            <w:shd w:val="clear" w:color="auto" w:fill="auto"/>
          </w:tcPr>
          <w:p w14:paraId="3A68D4E4" w14:textId="77777777" w:rsidR="00944C9C" w:rsidRPr="00944C9C" w:rsidRDefault="00944C9C" w:rsidP="00944C9C">
            <w:pPr>
              <w:tabs>
                <w:tab w:val="left" w:pos="757"/>
              </w:tabs>
              <w:rPr>
                <w:rFonts w:ascii="Arial" w:eastAsia="DengXian" w:hAnsi="Arial" w:cs="Arial"/>
                <w:sz w:val="16"/>
                <w:szCs w:val="16"/>
              </w:rPr>
            </w:pPr>
            <w:r w:rsidRPr="00944C9C">
              <w:rPr>
                <w:rFonts w:ascii="Arial" w:eastAsia="DengXian" w:hAnsi="Arial" w:cs="Arial"/>
                <w:sz w:val="16"/>
                <w:szCs w:val="16"/>
              </w:rPr>
              <w:t>ENUMERATED { extended }</w:t>
            </w:r>
          </w:p>
        </w:tc>
      </w:tr>
    </w:tbl>
    <w:p w14:paraId="564999C8" w14:textId="77777777" w:rsidR="00944C9C" w:rsidRDefault="00944C9C" w:rsidP="00944C9C">
      <w:pPr>
        <w:rPr>
          <w:rFonts w:ascii="Times New Roman" w:hAnsi="Times New Roman"/>
          <w:szCs w:val="20"/>
          <w:lang w:eastAsia="x-none"/>
        </w:rPr>
      </w:pPr>
    </w:p>
    <w:p w14:paraId="685100EB" w14:textId="4A6EFB11" w:rsidR="00944C9C" w:rsidRPr="00944C9C" w:rsidRDefault="005A18DC" w:rsidP="00944C9C">
      <w:pPr>
        <w:rPr>
          <w:rFonts w:ascii="Times New Roman" w:hAnsi="Times New Roman"/>
          <w:szCs w:val="20"/>
          <w:lang w:eastAsia="x-none"/>
        </w:rPr>
      </w:pPr>
      <w:hyperlink r:id="rId1430" w:history="1">
        <w:r w:rsidR="00AF7253">
          <w:rPr>
            <w:rStyle w:val="Hyperlink"/>
            <w:rFonts w:ascii="Times New Roman" w:hAnsi="Times New Roman"/>
            <w:szCs w:val="20"/>
            <w:lang w:eastAsia="x-none"/>
          </w:rPr>
          <w:t>R1-2312680</w:t>
        </w:r>
      </w:hyperlink>
      <w:r w:rsidR="00944C9C" w:rsidRPr="00944C9C">
        <w:rPr>
          <w:rFonts w:ascii="Times New Roman" w:hAnsi="Times New Roman"/>
          <w:szCs w:val="20"/>
          <w:lang w:eastAsia="x-none"/>
        </w:rPr>
        <w:tab/>
        <w:t>RRC parameters list update #2 for NR mobility enhancement WI</w:t>
      </w:r>
      <w:r w:rsidR="00944C9C" w:rsidRPr="00944C9C">
        <w:rPr>
          <w:rFonts w:ascii="Times New Roman" w:hAnsi="Times New Roman"/>
          <w:szCs w:val="20"/>
          <w:lang w:eastAsia="x-none"/>
        </w:rPr>
        <w:tab/>
        <w:t>Rapporteur (Apple)</w:t>
      </w:r>
      <w:r w:rsidR="00944C9C">
        <w:rPr>
          <w:rFonts w:ascii="Times New Roman" w:hAnsi="Times New Roman"/>
          <w:szCs w:val="20"/>
          <w:lang w:eastAsia="x-none"/>
        </w:rPr>
        <w:tab/>
        <w:t xml:space="preserve">(rev of </w:t>
      </w:r>
      <w:hyperlink r:id="rId1431" w:history="1">
        <w:r w:rsidR="00AF7253">
          <w:rPr>
            <w:rStyle w:val="Hyperlink"/>
            <w:rFonts w:ascii="Times New Roman" w:hAnsi="Times New Roman"/>
            <w:szCs w:val="20"/>
            <w:lang w:eastAsia="x-none"/>
          </w:rPr>
          <w:t>R1-2312469</w:t>
        </w:r>
      </w:hyperlink>
      <w:r w:rsidR="00944C9C">
        <w:rPr>
          <w:rFonts w:ascii="Times New Roman" w:hAnsi="Times New Roman"/>
          <w:szCs w:val="20"/>
          <w:lang w:eastAsia="x-none"/>
        </w:rPr>
        <w:t>)</w:t>
      </w:r>
    </w:p>
    <w:p w14:paraId="336822E4" w14:textId="77777777" w:rsidR="00F74A6F" w:rsidRDefault="00F74A6F" w:rsidP="007D4A8D">
      <w:pPr>
        <w:pStyle w:val="Heading3"/>
      </w:pPr>
      <w:bookmarkStart w:id="661" w:name="_Toc150174473"/>
      <w:bookmarkStart w:id="662" w:name="_Toc159251015"/>
      <w:r w:rsidRPr="009537ED">
        <w:t>L1 enhancements for inter-cell beam management</w:t>
      </w:r>
      <w:bookmarkEnd w:id="661"/>
      <w:bookmarkEnd w:id="662"/>
    </w:p>
    <w:p w14:paraId="3704168A" w14:textId="6A766706" w:rsidR="00C54505" w:rsidRDefault="00C54505" w:rsidP="00C54505">
      <w:r>
        <w:t>From AI 5</w:t>
      </w:r>
    </w:p>
    <w:p w14:paraId="0484C391" w14:textId="0EC0F3D8" w:rsidR="00C54505" w:rsidRPr="009537ED" w:rsidRDefault="005A18DC" w:rsidP="00C54505">
      <w:pPr>
        <w:rPr>
          <w:b/>
          <w:bCs/>
          <w:lang w:eastAsia="x-none"/>
        </w:rPr>
      </w:pPr>
      <w:hyperlink r:id="rId1432" w:history="1">
        <w:r w:rsidR="00AF7253">
          <w:rPr>
            <w:rStyle w:val="Hyperlink"/>
            <w:b/>
            <w:bCs/>
            <w:lang w:eastAsia="x-none"/>
          </w:rPr>
          <w:t>R1-2310809</w:t>
        </w:r>
      </w:hyperlink>
      <w:r w:rsidR="00C54505" w:rsidRPr="009537ED">
        <w:rPr>
          <w:b/>
          <w:bCs/>
          <w:lang w:eastAsia="x-none"/>
        </w:rPr>
        <w:tab/>
        <w:t>LS on L1 measurements for LTM</w:t>
      </w:r>
      <w:r w:rsidR="00C54505" w:rsidRPr="009537ED">
        <w:rPr>
          <w:b/>
          <w:bCs/>
          <w:lang w:eastAsia="x-none"/>
        </w:rPr>
        <w:tab/>
        <w:t>RAN2, Ericsson</w:t>
      </w:r>
    </w:p>
    <w:p w14:paraId="0F96A16B" w14:textId="20BB4A95" w:rsidR="00C54505" w:rsidRPr="00C54505" w:rsidRDefault="00C54505" w:rsidP="00C54505">
      <w:pPr>
        <w:rPr>
          <w:lang w:eastAsia="x-none"/>
        </w:rPr>
      </w:pPr>
      <w:r w:rsidRPr="009537ED">
        <w:rPr>
          <w:b/>
          <w:bCs/>
          <w:lang w:eastAsia="x-none"/>
        </w:rPr>
        <w:t xml:space="preserve">Decision: </w:t>
      </w:r>
      <w:r w:rsidRPr="009537ED">
        <w:rPr>
          <w:lang w:eastAsia="x-none"/>
        </w:rPr>
        <w:t xml:space="preserve">To be handled in agenda item </w:t>
      </w:r>
      <w:r w:rsidRPr="00C54505">
        <w:rPr>
          <w:lang w:eastAsia="x-none"/>
        </w:rPr>
        <w:t>8.7.1 To be moderated by Claes (Ericsson).</w:t>
      </w:r>
    </w:p>
    <w:p w14:paraId="56F8092C" w14:textId="482C3D74" w:rsidR="00C54505" w:rsidRPr="009157FE" w:rsidRDefault="005A18DC" w:rsidP="00C54505">
      <w:pPr>
        <w:rPr>
          <w:b/>
          <w:bCs/>
        </w:rPr>
      </w:pPr>
      <w:hyperlink r:id="rId1433" w:history="1">
        <w:r w:rsidR="00AF7253">
          <w:rPr>
            <w:rStyle w:val="Hyperlink"/>
            <w:b/>
            <w:bCs/>
          </w:rPr>
          <w:t>R1-2312442</w:t>
        </w:r>
      </w:hyperlink>
      <w:r w:rsidR="009157FE" w:rsidRPr="009157FE">
        <w:rPr>
          <w:b/>
          <w:bCs/>
        </w:rPr>
        <w:tab/>
        <w:t>Draft reply LS on L1 measurements in LTM</w:t>
      </w:r>
      <w:r w:rsidR="009157FE" w:rsidRPr="009157FE">
        <w:rPr>
          <w:b/>
          <w:bCs/>
        </w:rPr>
        <w:tab/>
        <w:t>Moderator (Ericsson)</w:t>
      </w:r>
    </w:p>
    <w:p w14:paraId="4C8D5B08" w14:textId="498EE389" w:rsidR="009157FE" w:rsidRDefault="009157FE" w:rsidP="009157FE">
      <w:pPr>
        <w:rPr>
          <w:lang w:val="en-US" w:eastAsia="x-none"/>
        </w:rPr>
      </w:pPr>
      <w:r w:rsidRPr="009157FE">
        <w:rPr>
          <w:b/>
          <w:bCs/>
        </w:rPr>
        <w:t>Wednesday decision:</w:t>
      </w:r>
      <w:r>
        <w:t xml:space="preserve"> </w:t>
      </w:r>
      <w:r>
        <w:rPr>
          <w:lang w:val="en-US" w:eastAsia="x-none"/>
        </w:rPr>
        <w:t xml:space="preserve">The draft LS reply in </w:t>
      </w:r>
      <w:hyperlink r:id="rId1434" w:history="1">
        <w:r w:rsidR="00AF7253">
          <w:rPr>
            <w:rStyle w:val="Hyperlink"/>
            <w:lang w:val="en-US" w:eastAsia="x-none"/>
          </w:rPr>
          <w:t>R1-2312442</w:t>
        </w:r>
      </w:hyperlink>
      <w:r>
        <w:rPr>
          <w:lang w:val="en-US" w:eastAsia="x-none"/>
        </w:rPr>
        <w:t xml:space="preserve"> is endorsed (with fixing the dates of the next meetings). Final LS is </w:t>
      </w:r>
      <w:r w:rsidRPr="009157FE">
        <w:rPr>
          <w:highlight w:val="green"/>
          <w:lang w:val="en-US" w:eastAsia="x-none"/>
        </w:rPr>
        <w:t xml:space="preserve">approved in </w:t>
      </w:r>
      <w:hyperlink r:id="rId1435" w:history="1">
        <w:r w:rsidR="00AF7253">
          <w:rPr>
            <w:rStyle w:val="Hyperlink"/>
            <w:highlight w:val="green"/>
            <w:lang w:val="en-US" w:eastAsia="x-none"/>
          </w:rPr>
          <w:t>R1-2312443</w:t>
        </w:r>
      </w:hyperlink>
      <w:r>
        <w:rPr>
          <w:lang w:val="en-US" w:eastAsia="x-none"/>
        </w:rPr>
        <w:t>.</w:t>
      </w:r>
    </w:p>
    <w:p w14:paraId="648BA8C6" w14:textId="65EA2E7A" w:rsidR="009157FE" w:rsidRDefault="009157FE" w:rsidP="00C54505"/>
    <w:p w14:paraId="2E572CBF" w14:textId="77777777" w:rsidR="009157FE" w:rsidRPr="00C54505" w:rsidRDefault="009157FE" w:rsidP="00C54505"/>
    <w:p w14:paraId="3D0F6350" w14:textId="14B3FEC5" w:rsidR="00F74A6F" w:rsidRPr="009537ED" w:rsidRDefault="005A18DC" w:rsidP="00F74A6F">
      <w:pPr>
        <w:rPr>
          <w:lang w:eastAsia="x-none"/>
        </w:rPr>
      </w:pPr>
      <w:hyperlink r:id="rId1436" w:history="1">
        <w:r w:rsidR="00AF7253">
          <w:rPr>
            <w:rStyle w:val="Hyperlink"/>
            <w:lang w:eastAsia="x-none"/>
          </w:rPr>
          <w:t>R1-2310830</w:t>
        </w:r>
      </w:hyperlink>
      <w:r w:rsidR="00F74A6F" w:rsidRPr="009537ED">
        <w:rPr>
          <w:lang w:eastAsia="x-none"/>
        </w:rPr>
        <w:tab/>
        <w:t>Remaining issues of L1 enhancements for inter-cell beam management</w:t>
      </w:r>
      <w:r w:rsidR="00F74A6F" w:rsidRPr="009537ED">
        <w:rPr>
          <w:lang w:eastAsia="x-none"/>
        </w:rPr>
        <w:tab/>
        <w:t>FUTUREWEI</w:t>
      </w:r>
    </w:p>
    <w:p w14:paraId="1261CFC7" w14:textId="2843AD8E" w:rsidR="00F74A6F" w:rsidRPr="009537ED" w:rsidRDefault="005A18DC" w:rsidP="00F74A6F">
      <w:pPr>
        <w:rPr>
          <w:lang w:eastAsia="x-none"/>
        </w:rPr>
      </w:pPr>
      <w:hyperlink r:id="rId1437" w:history="1">
        <w:r w:rsidR="00AF7253">
          <w:rPr>
            <w:rStyle w:val="Hyperlink"/>
            <w:lang w:eastAsia="x-none"/>
          </w:rPr>
          <w:t>R1-2310848</w:t>
        </w:r>
      </w:hyperlink>
      <w:r w:rsidR="00F74A6F" w:rsidRPr="009537ED">
        <w:rPr>
          <w:lang w:eastAsia="x-none"/>
        </w:rPr>
        <w:tab/>
        <w:t>Maintenance of L1 enhancements for inter-cell beam management</w:t>
      </w:r>
      <w:r w:rsidR="00F74A6F" w:rsidRPr="009537ED">
        <w:rPr>
          <w:lang w:eastAsia="x-none"/>
        </w:rPr>
        <w:tab/>
        <w:t>Huawei, HiSilicon</w:t>
      </w:r>
    </w:p>
    <w:p w14:paraId="4D6CC55B" w14:textId="5240A673" w:rsidR="00F74A6F" w:rsidRDefault="005A18DC" w:rsidP="00F74A6F">
      <w:pPr>
        <w:rPr>
          <w:lang w:eastAsia="x-none"/>
        </w:rPr>
      </w:pPr>
      <w:hyperlink r:id="rId1438" w:history="1">
        <w:r w:rsidR="00AF7253">
          <w:rPr>
            <w:rStyle w:val="Hyperlink"/>
            <w:lang w:eastAsia="x-none"/>
          </w:rPr>
          <w:t>R1-2310954</w:t>
        </w:r>
      </w:hyperlink>
      <w:r w:rsidR="00F74A6F" w:rsidRPr="009537ED">
        <w:rPr>
          <w:lang w:eastAsia="x-none"/>
        </w:rPr>
        <w:tab/>
        <w:t>Maintenance on L1 enhancements for inter-cell beam management</w:t>
      </w:r>
      <w:r w:rsidR="00F74A6F" w:rsidRPr="009537ED">
        <w:rPr>
          <w:lang w:eastAsia="x-none"/>
        </w:rPr>
        <w:tab/>
        <w:t>ZTE</w:t>
      </w:r>
    </w:p>
    <w:p w14:paraId="60DC1983" w14:textId="0E432DEA" w:rsidR="00F74A6F" w:rsidRPr="009537ED" w:rsidRDefault="005A18DC" w:rsidP="00F74A6F">
      <w:pPr>
        <w:rPr>
          <w:lang w:eastAsia="x-none"/>
        </w:rPr>
      </w:pPr>
      <w:hyperlink r:id="rId1439" w:history="1">
        <w:r w:rsidR="00AF7253">
          <w:rPr>
            <w:rStyle w:val="Hyperlink"/>
            <w:lang w:eastAsia="x-none"/>
          </w:rPr>
          <w:t>R1-2312275</w:t>
        </w:r>
      </w:hyperlink>
      <w:r w:rsidR="00A46496" w:rsidRPr="00A46496">
        <w:rPr>
          <w:lang w:eastAsia="x-none"/>
        </w:rPr>
        <w:tab/>
        <w:t>Maintenance of L1 enhancements to inter-cell beam management</w:t>
      </w:r>
      <w:r w:rsidR="00A46496" w:rsidRPr="00A46496">
        <w:rPr>
          <w:lang w:eastAsia="x-none"/>
        </w:rPr>
        <w:tab/>
        <w:t>Ericsson</w:t>
      </w:r>
      <w:r w:rsidR="00A46496">
        <w:rPr>
          <w:lang w:eastAsia="x-none"/>
        </w:rPr>
        <w:tab/>
        <w:t xml:space="preserve">(rev of </w:t>
      </w:r>
      <w:hyperlink r:id="rId1440" w:history="1">
        <w:r w:rsidR="00AF7253">
          <w:rPr>
            <w:rStyle w:val="Hyperlink"/>
            <w:lang w:eastAsia="x-none"/>
          </w:rPr>
          <w:t>R1-2310972</w:t>
        </w:r>
      </w:hyperlink>
      <w:r w:rsidR="00A46496">
        <w:rPr>
          <w:lang w:eastAsia="x-none"/>
        </w:rPr>
        <w:t>)</w:t>
      </w:r>
    </w:p>
    <w:p w14:paraId="76CB8E2E" w14:textId="2FEA710F" w:rsidR="00F74A6F" w:rsidRPr="009537ED" w:rsidRDefault="005A18DC" w:rsidP="00F74A6F">
      <w:pPr>
        <w:rPr>
          <w:lang w:eastAsia="x-none"/>
        </w:rPr>
      </w:pPr>
      <w:hyperlink r:id="rId1441" w:history="1">
        <w:r w:rsidR="00AF7253">
          <w:rPr>
            <w:rStyle w:val="Hyperlink"/>
            <w:lang w:eastAsia="x-none"/>
          </w:rPr>
          <w:t>R1-2311034</w:t>
        </w:r>
      </w:hyperlink>
      <w:r w:rsidR="00F74A6F" w:rsidRPr="009537ED">
        <w:rPr>
          <w:lang w:eastAsia="x-none"/>
        </w:rPr>
        <w:tab/>
        <w:t>FL plan on L1 enhancements for LTM at RAN1#115</w:t>
      </w:r>
      <w:r w:rsidR="00F74A6F" w:rsidRPr="009537ED">
        <w:rPr>
          <w:lang w:eastAsia="x-none"/>
        </w:rPr>
        <w:tab/>
        <w:t>Moderator (Fujitsu)</w:t>
      </w:r>
    </w:p>
    <w:p w14:paraId="60F0058A" w14:textId="259A03F2" w:rsidR="00F74A6F" w:rsidRPr="009537ED" w:rsidRDefault="005A18DC" w:rsidP="00F74A6F">
      <w:pPr>
        <w:rPr>
          <w:lang w:eastAsia="x-none"/>
        </w:rPr>
      </w:pPr>
      <w:hyperlink r:id="rId1442" w:history="1">
        <w:r w:rsidR="00AF7253">
          <w:rPr>
            <w:rStyle w:val="Hyperlink"/>
            <w:lang w:eastAsia="x-none"/>
          </w:rPr>
          <w:t>R1-2311053</w:t>
        </w:r>
      </w:hyperlink>
      <w:r w:rsidR="00F74A6F" w:rsidRPr="009537ED">
        <w:rPr>
          <w:lang w:eastAsia="x-none"/>
        </w:rPr>
        <w:tab/>
        <w:t>Remaining issues on L1 enhancements for inter-cell beam management</w:t>
      </w:r>
      <w:r w:rsidR="00F74A6F" w:rsidRPr="009537ED">
        <w:rPr>
          <w:lang w:eastAsia="x-none"/>
        </w:rPr>
        <w:tab/>
        <w:t>Fujitsu</w:t>
      </w:r>
    </w:p>
    <w:p w14:paraId="73115A05" w14:textId="410A2A67" w:rsidR="00F74A6F" w:rsidRPr="009537ED" w:rsidRDefault="005A18DC" w:rsidP="00F74A6F">
      <w:pPr>
        <w:rPr>
          <w:lang w:eastAsia="x-none"/>
        </w:rPr>
      </w:pPr>
      <w:hyperlink r:id="rId1443" w:history="1">
        <w:r w:rsidR="00AF7253">
          <w:rPr>
            <w:rStyle w:val="Hyperlink"/>
            <w:lang w:eastAsia="x-none"/>
          </w:rPr>
          <w:t>R1-2311105</w:t>
        </w:r>
      </w:hyperlink>
      <w:r w:rsidR="00F74A6F" w:rsidRPr="009537ED">
        <w:rPr>
          <w:lang w:eastAsia="x-none"/>
        </w:rPr>
        <w:tab/>
        <w:t>Discussion on L1 enhancement for L1/L2-triggered Mobility</w:t>
      </w:r>
      <w:r w:rsidR="00F74A6F" w:rsidRPr="009537ED">
        <w:rPr>
          <w:lang w:eastAsia="x-none"/>
        </w:rPr>
        <w:tab/>
        <w:t>vivo</w:t>
      </w:r>
    </w:p>
    <w:p w14:paraId="7BB75851" w14:textId="2415574A" w:rsidR="00F74A6F" w:rsidRPr="009537ED" w:rsidRDefault="005A18DC" w:rsidP="00F74A6F">
      <w:pPr>
        <w:rPr>
          <w:lang w:eastAsia="x-none"/>
        </w:rPr>
      </w:pPr>
      <w:hyperlink r:id="rId1444" w:history="1">
        <w:r w:rsidR="00AF7253">
          <w:rPr>
            <w:rStyle w:val="Hyperlink"/>
            <w:lang w:eastAsia="x-none"/>
          </w:rPr>
          <w:t>R1-2311172</w:t>
        </w:r>
      </w:hyperlink>
      <w:r w:rsidR="00F74A6F" w:rsidRPr="009537ED">
        <w:rPr>
          <w:lang w:eastAsia="x-none"/>
        </w:rPr>
        <w:tab/>
        <w:t>Remaining issues on L1 enhancements for inter-cell beam management</w:t>
      </w:r>
      <w:r w:rsidR="00F74A6F" w:rsidRPr="009537ED">
        <w:rPr>
          <w:lang w:eastAsia="x-none"/>
        </w:rPr>
        <w:tab/>
        <w:t>Spreadtrum Communications</w:t>
      </w:r>
    </w:p>
    <w:p w14:paraId="43C407D9" w14:textId="040CAB35" w:rsidR="00F74A6F" w:rsidRPr="009537ED" w:rsidRDefault="005A18DC" w:rsidP="00F74A6F">
      <w:pPr>
        <w:rPr>
          <w:lang w:eastAsia="x-none"/>
        </w:rPr>
      </w:pPr>
      <w:hyperlink r:id="rId1445" w:history="1">
        <w:r w:rsidR="00AF7253">
          <w:rPr>
            <w:rStyle w:val="Hyperlink"/>
            <w:lang w:eastAsia="x-none"/>
          </w:rPr>
          <w:t>R1-2311212</w:t>
        </w:r>
      </w:hyperlink>
      <w:r w:rsidR="00F74A6F" w:rsidRPr="009537ED">
        <w:rPr>
          <w:lang w:eastAsia="x-none"/>
        </w:rPr>
        <w:tab/>
        <w:t>Remaining issues on L1 enhancement for LTM</w:t>
      </w:r>
      <w:r w:rsidR="00F74A6F" w:rsidRPr="009537ED">
        <w:rPr>
          <w:lang w:eastAsia="x-none"/>
        </w:rPr>
        <w:tab/>
        <w:t>Panasonic</w:t>
      </w:r>
    </w:p>
    <w:p w14:paraId="526DE360" w14:textId="6F0E1A1D" w:rsidR="00F74A6F" w:rsidRPr="009537ED" w:rsidRDefault="005A18DC" w:rsidP="00F74A6F">
      <w:pPr>
        <w:rPr>
          <w:lang w:eastAsia="x-none"/>
        </w:rPr>
      </w:pPr>
      <w:hyperlink r:id="rId1446" w:history="1">
        <w:r w:rsidR="00AF7253">
          <w:rPr>
            <w:rStyle w:val="Hyperlink"/>
            <w:lang w:eastAsia="x-none"/>
          </w:rPr>
          <w:t>R1-2311230</w:t>
        </w:r>
      </w:hyperlink>
      <w:r w:rsidR="00F74A6F" w:rsidRPr="009537ED">
        <w:rPr>
          <w:lang w:eastAsia="x-none"/>
        </w:rPr>
        <w:tab/>
        <w:t>Remaining Issues of Inter-cell beam management enhancement</w:t>
      </w:r>
      <w:r w:rsidR="00F74A6F" w:rsidRPr="009537ED">
        <w:rPr>
          <w:lang w:eastAsia="x-none"/>
        </w:rPr>
        <w:tab/>
        <w:t>OPPO</w:t>
      </w:r>
    </w:p>
    <w:p w14:paraId="5CB8C805" w14:textId="57083A3A" w:rsidR="00F74A6F" w:rsidRPr="009537ED" w:rsidRDefault="005A18DC" w:rsidP="00F74A6F">
      <w:pPr>
        <w:rPr>
          <w:lang w:eastAsia="x-none"/>
        </w:rPr>
      </w:pPr>
      <w:hyperlink r:id="rId1447" w:history="1">
        <w:r w:rsidR="00AF7253">
          <w:rPr>
            <w:rStyle w:val="Hyperlink"/>
            <w:lang w:eastAsia="x-none"/>
          </w:rPr>
          <w:t>R1-2311350</w:t>
        </w:r>
      </w:hyperlink>
      <w:r w:rsidR="00F74A6F" w:rsidRPr="009537ED">
        <w:rPr>
          <w:lang w:eastAsia="x-none"/>
        </w:rPr>
        <w:tab/>
        <w:t>Remaining issues on L1 enhancements for inter-cell beam management</w:t>
      </w:r>
      <w:r w:rsidR="00F74A6F" w:rsidRPr="009537ED">
        <w:rPr>
          <w:lang w:eastAsia="x-none"/>
        </w:rPr>
        <w:tab/>
        <w:t>CATT</w:t>
      </w:r>
    </w:p>
    <w:p w14:paraId="37DE421B" w14:textId="5691E307" w:rsidR="00F74A6F" w:rsidRPr="009537ED" w:rsidRDefault="005A18DC" w:rsidP="00F74A6F">
      <w:pPr>
        <w:rPr>
          <w:lang w:eastAsia="x-none"/>
        </w:rPr>
      </w:pPr>
      <w:hyperlink r:id="rId1448" w:history="1">
        <w:r w:rsidR="00AF7253">
          <w:rPr>
            <w:rStyle w:val="Hyperlink"/>
            <w:lang w:eastAsia="x-none"/>
          </w:rPr>
          <w:t>R1-2311368</w:t>
        </w:r>
      </w:hyperlink>
      <w:r w:rsidR="00F74A6F" w:rsidRPr="009537ED">
        <w:rPr>
          <w:lang w:eastAsia="x-none"/>
        </w:rPr>
        <w:tab/>
        <w:t>Remaining issues of L1 enhancements for inter-cell beam management</w:t>
      </w:r>
      <w:r w:rsidR="00F74A6F" w:rsidRPr="009537ED">
        <w:rPr>
          <w:lang w:eastAsia="x-none"/>
        </w:rPr>
        <w:tab/>
        <w:t>Lenovo</w:t>
      </w:r>
    </w:p>
    <w:p w14:paraId="649ADAED" w14:textId="41F43497" w:rsidR="00F74A6F" w:rsidRPr="009537ED" w:rsidRDefault="005A18DC" w:rsidP="00F74A6F">
      <w:pPr>
        <w:rPr>
          <w:lang w:eastAsia="x-none"/>
        </w:rPr>
      </w:pPr>
      <w:hyperlink r:id="rId1449" w:history="1">
        <w:r w:rsidR="00AF7253">
          <w:rPr>
            <w:rStyle w:val="Hyperlink"/>
            <w:lang w:eastAsia="x-none"/>
          </w:rPr>
          <w:t>R1-2311409</w:t>
        </w:r>
      </w:hyperlink>
      <w:r w:rsidR="00F74A6F" w:rsidRPr="009537ED">
        <w:rPr>
          <w:lang w:eastAsia="x-none"/>
        </w:rPr>
        <w:tab/>
        <w:t>Maintenance of L1 enhancements for inter-cell beam management</w:t>
      </w:r>
      <w:r w:rsidR="00F74A6F" w:rsidRPr="009537ED">
        <w:rPr>
          <w:lang w:eastAsia="x-none"/>
        </w:rPr>
        <w:tab/>
        <w:t>xiaomi</w:t>
      </w:r>
    </w:p>
    <w:p w14:paraId="23CD9D20" w14:textId="73B28CA9" w:rsidR="00F74A6F" w:rsidRPr="009537ED" w:rsidRDefault="005A18DC" w:rsidP="00F74A6F">
      <w:pPr>
        <w:rPr>
          <w:lang w:eastAsia="x-none"/>
        </w:rPr>
      </w:pPr>
      <w:hyperlink r:id="rId1450" w:history="1">
        <w:r w:rsidR="00AF7253">
          <w:rPr>
            <w:rStyle w:val="Hyperlink"/>
            <w:lang w:eastAsia="x-none"/>
          </w:rPr>
          <w:t>R1-2311442</w:t>
        </w:r>
      </w:hyperlink>
      <w:r w:rsidR="00F74A6F" w:rsidRPr="009537ED">
        <w:rPr>
          <w:lang w:eastAsia="x-none"/>
        </w:rPr>
        <w:tab/>
        <w:t>Maintenance on L1 enhancements for inter-cell beam management</w:t>
      </w:r>
      <w:r w:rsidR="00F74A6F" w:rsidRPr="009537ED">
        <w:rPr>
          <w:lang w:eastAsia="x-none"/>
        </w:rPr>
        <w:tab/>
        <w:t>Google</w:t>
      </w:r>
    </w:p>
    <w:p w14:paraId="2211A51A" w14:textId="19DC5AE4" w:rsidR="00F74A6F" w:rsidRPr="009537ED" w:rsidRDefault="005A18DC" w:rsidP="00F74A6F">
      <w:pPr>
        <w:rPr>
          <w:lang w:eastAsia="x-none"/>
        </w:rPr>
      </w:pPr>
      <w:hyperlink r:id="rId1451" w:history="1">
        <w:r w:rsidR="00AF7253">
          <w:rPr>
            <w:rStyle w:val="Hyperlink"/>
            <w:lang w:eastAsia="x-none"/>
          </w:rPr>
          <w:t>R1-2311490</w:t>
        </w:r>
      </w:hyperlink>
      <w:r w:rsidR="00F74A6F" w:rsidRPr="009537ED">
        <w:rPr>
          <w:lang w:eastAsia="x-none"/>
        </w:rPr>
        <w:tab/>
        <w:t>Remaining issues on L1 enhancements for inter-cell beam management</w:t>
      </w:r>
      <w:r w:rsidR="00F74A6F" w:rsidRPr="009537ED">
        <w:rPr>
          <w:lang w:eastAsia="x-none"/>
        </w:rPr>
        <w:tab/>
        <w:t>CMCC</w:t>
      </w:r>
    </w:p>
    <w:p w14:paraId="19F78D12" w14:textId="34394DED" w:rsidR="00F74A6F" w:rsidRPr="009537ED" w:rsidRDefault="005A18DC" w:rsidP="00F74A6F">
      <w:pPr>
        <w:rPr>
          <w:lang w:eastAsia="x-none"/>
        </w:rPr>
      </w:pPr>
      <w:hyperlink r:id="rId1452" w:history="1">
        <w:r w:rsidR="00AF7253">
          <w:rPr>
            <w:rStyle w:val="Hyperlink"/>
            <w:lang w:eastAsia="x-none"/>
          </w:rPr>
          <w:t>R1-2311510</w:t>
        </w:r>
      </w:hyperlink>
      <w:r w:rsidR="00F74A6F" w:rsidRPr="009537ED">
        <w:rPr>
          <w:lang w:eastAsia="x-none"/>
        </w:rPr>
        <w:tab/>
        <w:t>Remaining issues on L1 enhancements for inter-cell beam management</w:t>
      </w:r>
      <w:r w:rsidR="00F74A6F" w:rsidRPr="009537ED">
        <w:rPr>
          <w:lang w:eastAsia="x-none"/>
        </w:rPr>
        <w:tab/>
        <w:t>NEC</w:t>
      </w:r>
    </w:p>
    <w:p w14:paraId="48EBAEF9" w14:textId="485E703C" w:rsidR="00F74A6F" w:rsidRPr="009537ED" w:rsidRDefault="005A18DC" w:rsidP="00F74A6F">
      <w:pPr>
        <w:rPr>
          <w:lang w:eastAsia="x-none"/>
        </w:rPr>
      </w:pPr>
      <w:hyperlink r:id="rId1453" w:history="1">
        <w:r w:rsidR="00AF7253">
          <w:rPr>
            <w:rStyle w:val="Hyperlink"/>
            <w:lang w:eastAsia="x-none"/>
          </w:rPr>
          <w:t>R1-2311514</w:t>
        </w:r>
      </w:hyperlink>
      <w:r w:rsidR="00F74A6F" w:rsidRPr="009537ED">
        <w:rPr>
          <w:lang w:eastAsia="x-none"/>
        </w:rPr>
        <w:tab/>
        <w:t>Remaining issues on L1 enhancements for L1/L2-triggered Mobility</w:t>
      </w:r>
      <w:r w:rsidR="00F74A6F" w:rsidRPr="009537ED">
        <w:rPr>
          <w:lang w:eastAsia="x-none"/>
        </w:rPr>
        <w:tab/>
        <w:t>KDDI Corporation</w:t>
      </w:r>
    </w:p>
    <w:p w14:paraId="14A47295" w14:textId="51FAFB21" w:rsidR="00F74A6F" w:rsidRPr="009537ED" w:rsidRDefault="005A18DC" w:rsidP="00F74A6F">
      <w:pPr>
        <w:rPr>
          <w:lang w:eastAsia="x-none"/>
        </w:rPr>
      </w:pPr>
      <w:hyperlink r:id="rId1454" w:history="1">
        <w:r w:rsidR="00AF7253">
          <w:rPr>
            <w:rStyle w:val="Hyperlink"/>
            <w:lang w:eastAsia="x-none"/>
          </w:rPr>
          <w:t>R1-2311593</w:t>
        </w:r>
      </w:hyperlink>
      <w:r w:rsidR="00F74A6F" w:rsidRPr="009537ED">
        <w:rPr>
          <w:lang w:eastAsia="x-none"/>
        </w:rPr>
        <w:tab/>
        <w:t>Discussion on L1 enhancements for inter-cell beam management</w:t>
      </w:r>
      <w:r w:rsidR="00F74A6F" w:rsidRPr="009537ED">
        <w:rPr>
          <w:lang w:eastAsia="x-none"/>
        </w:rPr>
        <w:tab/>
        <w:t>FGI</w:t>
      </w:r>
    </w:p>
    <w:p w14:paraId="03CC75BB" w14:textId="2644B4D8" w:rsidR="00F74A6F" w:rsidRPr="009537ED" w:rsidRDefault="005A18DC" w:rsidP="00F74A6F">
      <w:pPr>
        <w:rPr>
          <w:lang w:eastAsia="x-none"/>
        </w:rPr>
      </w:pPr>
      <w:hyperlink r:id="rId1455" w:history="1">
        <w:r w:rsidR="00AF7253">
          <w:rPr>
            <w:rStyle w:val="Hyperlink"/>
            <w:lang w:eastAsia="x-none"/>
          </w:rPr>
          <w:t>R1-2311629</w:t>
        </w:r>
      </w:hyperlink>
      <w:r w:rsidR="00F74A6F" w:rsidRPr="009537ED">
        <w:rPr>
          <w:lang w:eastAsia="x-none"/>
        </w:rPr>
        <w:tab/>
        <w:t>Remaining issues on L1 enhancements for inter-cell mobility</w:t>
      </w:r>
      <w:r w:rsidR="00F74A6F" w:rsidRPr="009537ED">
        <w:rPr>
          <w:lang w:eastAsia="x-none"/>
        </w:rPr>
        <w:tab/>
        <w:t>NTT DOCOMO, INC.</w:t>
      </w:r>
    </w:p>
    <w:p w14:paraId="55CD31DE" w14:textId="0BE83656" w:rsidR="00F74A6F" w:rsidRPr="009537ED" w:rsidRDefault="005A18DC" w:rsidP="00F74A6F">
      <w:pPr>
        <w:rPr>
          <w:lang w:eastAsia="x-none"/>
        </w:rPr>
      </w:pPr>
      <w:hyperlink r:id="rId1456" w:history="1">
        <w:r w:rsidR="00AF7253">
          <w:rPr>
            <w:rStyle w:val="Hyperlink"/>
            <w:lang w:eastAsia="x-none"/>
          </w:rPr>
          <w:t>R1-2311692</w:t>
        </w:r>
      </w:hyperlink>
      <w:r w:rsidR="00F74A6F" w:rsidRPr="009537ED">
        <w:rPr>
          <w:lang w:eastAsia="x-none"/>
        </w:rPr>
        <w:tab/>
        <w:t>L1 enhancements for inter-cell beam management</w:t>
      </w:r>
      <w:r w:rsidR="00F74A6F" w:rsidRPr="009537ED">
        <w:rPr>
          <w:lang w:eastAsia="x-none"/>
        </w:rPr>
        <w:tab/>
        <w:t>Apple</w:t>
      </w:r>
    </w:p>
    <w:p w14:paraId="3BFEEE8F" w14:textId="7424DAA6" w:rsidR="00F74A6F" w:rsidRPr="009537ED" w:rsidRDefault="005A18DC" w:rsidP="00F74A6F">
      <w:pPr>
        <w:rPr>
          <w:lang w:eastAsia="x-none"/>
        </w:rPr>
      </w:pPr>
      <w:hyperlink r:id="rId1457" w:history="1">
        <w:r w:rsidR="00AF7253">
          <w:rPr>
            <w:rStyle w:val="Hyperlink"/>
            <w:lang w:eastAsia="x-none"/>
          </w:rPr>
          <w:t>R1-2311852</w:t>
        </w:r>
      </w:hyperlink>
      <w:r w:rsidR="00F74A6F" w:rsidRPr="009537ED">
        <w:rPr>
          <w:lang w:eastAsia="x-none"/>
        </w:rPr>
        <w:tab/>
        <w:t>Remaining details on L1 enhancements for inter-cell beam management</w:t>
      </w:r>
      <w:r w:rsidR="00F74A6F" w:rsidRPr="009537ED">
        <w:rPr>
          <w:lang w:eastAsia="x-none"/>
        </w:rPr>
        <w:tab/>
        <w:t>Samsung</w:t>
      </w:r>
    </w:p>
    <w:p w14:paraId="3E12C6C8" w14:textId="17FB8400" w:rsidR="00F74A6F" w:rsidRPr="009537ED" w:rsidRDefault="005A18DC" w:rsidP="00F74A6F">
      <w:pPr>
        <w:rPr>
          <w:lang w:eastAsia="x-none"/>
        </w:rPr>
      </w:pPr>
      <w:hyperlink r:id="rId1458" w:history="1">
        <w:r w:rsidR="00AF7253">
          <w:rPr>
            <w:rStyle w:val="Hyperlink"/>
            <w:lang w:eastAsia="x-none"/>
          </w:rPr>
          <w:t>R1-2311889</w:t>
        </w:r>
      </w:hyperlink>
      <w:r w:rsidR="00F74A6F" w:rsidRPr="009537ED">
        <w:rPr>
          <w:lang w:eastAsia="x-none"/>
        </w:rPr>
        <w:tab/>
        <w:t>Remaining Issues on Layer-1 Enhancements for L1/L2-triggered Mobility</w:t>
      </w:r>
      <w:r w:rsidR="00F74A6F" w:rsidRPr="009537ED">
        <w:rPr>
          <w:lang w:eastAsia="x-none"/>
        </w:rPr>
        <w:tab/>
        <w:t>Nokia, Nokia Shanghai Bell</w:t>
      </w:r>
    </w:p>
    <w:p w14:paraId="7160B088" w14:textId="42C07F24" w:rsidR="00F74A6F" w:rsidRPr="009537ED" w:rsidRDefault="005A18DC" w:rsidP="00F74A6F">
      <w:pPr>
        <w:rPr>
          <w:lang w:eastAsia="x-none"/>
        </w:rPr>
      </w:pPr>
      <w:hyperlink r:id="rId1459" w:history="1">
        <w:r w:rsidR="00AF7253">
          <w:rPr>
            <w:rStyle w:val="Hyperlink"/>
            <w:lang w:eastAsia="x-none"/>
          </w:rPr>
          <w:t>R1-2311934</w:t>
        </w:r>
      </w:hyperlink>
      <w:r w:rsidR="00F74A6F" w:rsidRPr="009537ED">
        <w:rPr>
          <w:lang w:eastAsia="x-none"/>
        </w:rPr>
        <w:tab/>
        <w:t>Remaining issues on L1 enhancements for inter-cell beam management</w:t>
      </w:r>
      <w:r w:rsidR="00F74A6F" w:rsidRPr="009537ED">
        <w:rPr>
          <w:lang w:eastAsia="x-none"/>
        </w:rPr>
        <w:tab/>
        <w:t>Ruijie Network Co. Ltd</w:t>
      </w:r>
    </w:p>
    <w:p w14:paraId="2561555B" w14:textId="586ED7D2" w:rsidR="00F74A6F" w:rsidRPr="009537ED" w:rsidRDefault="005A18DC" w:rsidP="00F74A6F">
      <w:pPr>
        <w:rPr>
          <w:lang w:eastAsia="x-none"/>
        </w:rPr>
      </w:pPr>
      <w:hyperlink r:id="rId1460" w:history="1">
        <w:r w:rsidR="00AF7253">
          <w:rPr>
            <w:rStyle w:val="Hyperlink"/>
            <w:lang w:eastAsia="x-none"/>
          </w:rPr>
          <w:t>R1-2311951</w:t>
        </w:r>
      </w:hyperlink>
      <w:r w:rsidR="00F74A6F" w:rsidRPr="009537ED">
        <w:rPr>
          <w:lang w:eastAsia="x-none"/>
        </w:rPr>
        <w:tab/>
        <w:t>Remaining issues on L1 enhancements</w:t>
      </w:r>
      <w:r w:rsidR="00F74A6F" w:rsidRPr="009537ED">
        <w:rPr>
          <w:lang w:eastAsia="x-none"/>
        </w:rPr>
        <w:tab/>
        <w:t>InterDigital, Inc.</w:t>
      </w:r>
    </w:p>
    <w:p w14:paraId="221458F4" w14:textId="4E7985F9" w:rsidR="00F74A6F" w:rsidRPr="009537ED" w:rsidRDefault="005A18DC" w:rsidP="00F74A6F">
      <w:pPr>
        <w:rPr>
          <w:lang w:eastAsia="x-none"/>
        </w:rPr>
      </w:pPr>
      <w:hyperlink r:id="rId1461" w:history="1">
        <w:r w:rsidR="00AF7253">
          <w:rPr>
            <w:rStyle w:val="Hyperlink"/>
            <w:lang w:eastAsia="x-none"/>
          </w:rPr>
          <w:t>R1-2311984</w:t>
        </w:r>
      </w:hyperlink>
      <w:r w:rsidR="00F74A6F" w:rsidRPr="009537ED">
        <w:rPr>
          <w:lang w:eastAsia="x-none"/>
        </w:rPr>
        <w:tab/>
        <w:t>Remaining issues on L1 enhancements for inter-cell beam management</w:t>
      </w:r>
      <w:r w:rsidR="00F74A6F" w:rsidRPr="009537ED">
        <w:rPr>
          <w:lang w:eastAsia="x-none"/>
        </w:rPr>
        <w:tab/>
        <w:t>MediaTek Inc.</w:t>
      </w:r>
    </w:p>
    <w:p w14:paraId="01A55AC4" w14:textId="3810F6B7" w:rsidR="00F74A6F" w:rsidRDefault="005A18DC" w:rsidP="00F74A6F">
      <w:pPr>
        <w:rPr>
          <w:lang w:eastAsia="x-none"/>
        </w:rPr>
      </w:pPr>
      <w:hyperlink r:id="rId1462" w:history="1">
        <w:r w:rsidR="00AF7253">
          <w:rPr>
            <w:rStyle w:val="Hyperlink"/>
            <w:lang w:eastAsia="x-none"/>
          </w:rPr>
          <w:t>R1-2312044</w:t>
        </w:r>
      </w:hyperlink>
      <w:r w:rsidR="00F74A6F" w:rsidRPr="009537ED">
        <w:rPr>
          <w:lang w:eastAsia="x-none"/>
        </w:rPr>
        <w:tab/>
        <w:t>L1 Enhancements for Inter-Cell Beam Management</w:t>
      </w:r>
      <w:r w:rsidR="00F74A6F" w:rsidRPr="009537ED">
        <w:rPr>
          <w:lang w:eastAsia="x-none"/>
        </w:rPr>
        <w:tab/>
        <w:t>Qualcomm Incorporated</w:t>
      </w:r>
    </w:p>
    <w:p w14:paraId="29C0E892" w14:textId="77777777" w:rsidR="00C54505" w:rsidRDefault="00C54505" w:rsidP="00F74A6F">
      <w:pPr>
        <w:rPr>
          <w:lang w:eastAsia="x-none"/>
        </w:rPr>
      </w:pPr>
    </w:p>
    <w:p w14:paraId="15066389" w14:textId="61F3F607" w:rsidR="00A46496" w:rsidRPr="00A46496" w:rsidRDefault="005A18DC" w:rsidP="00A46496">
      <w:pPr>
        <w:rPr>
          <w:b/>
          <w:bCs/>
          <w:lang w:eastAsia="x-none"/>
        </w:rPr>
      </w:pPr>
      <w:hyperlink r:id="rId1463" w:history="1">
        <w:r w:rsidR="00AF7253">
          <w:rPr>
            <w:rStyle w:val="Hyperlink"/>
            <w:b/>
            <w:bCs/>
            <w:lang w:eastAsia="x-none"/>
          </w:rPr>
          <w:t>R1-2311035</w:t>
        </w:r>
      </w:hyperlink>
      <w:r w:rsidR="00A46496" w:rsidRPr="00A46496">
        <w:rPr>
          <w:b/>
          <w:bCs/>
          <w:lang w:eastAsia="x-none"/>
        </w:rPr>
        <w:tab/>
        <w:t>FL summary 1 on L1 enhancements for inter-cell beam management</w:t>
      </w:r>
      <w:r w:rsidR="00A46496" w:rsidRPr="00A46496">
        <w:rPr>
          <w:b/>
          <w:bCs/>
          <w:lang w:eastAsia="x-none"/>
        </w:rPr>
        <w:tab/>
        <w:t>Moderator (Fujitsu)</w:t>
      </w:r>
    </w:p>
    <w:p w14:paraId="5CAD0224" w14:textId="39B7966F" w:rsidR="00C54505" w:rsidRPr="00C54505" w:rsidRDefault="00C54505" w:rsidP="00C54505">
      <w:pPr>
        <w:rPr>
          <w:lang w:val="en-US" w:eastAsia="x-none"/>
        </w:rPr>
      </w:pPr>
      <w:r>
        <w:rPr>
          <w:lang w:val="en-US" w:eastAsia="x-none"/>
        </w:rPr>
        <w:t>From Tuesday session</w:t>
      </w:r>
    </w:p>
    <w:p w14:paraId="222A02FC" w14:textId="77777777" w:rsidR="00C54505" w:rsidRPr="00C54505" w:rsidRDefault="00C54505" w:rsidP="00C54505">
      <w:pPr>
        <w:rPr>
          <w:rFonts w:ascii="Times New Roman" w:hAnsi="Times New Roman"/>
          <w:szCs w:val="20"/>
          <w:lang w:val="en-US"/>
        </w:rPr>
      </w:pPr>
      <w:r w:rsidRPr="00C54505">
        <w:rPr>
          <w:rFonts w:ascii="Times New Roman" w:hAnsi="Times New Roman"/>
          <w:szCs w:val="20"/>
          <w:highlight w:val="green"/>
          <w:lang w:val="en-US"/>
        </w:rPr>
        <w:t>Agreement</w:t>
      </w:r>
    </w:p>
    <w:p w14:paraId="40C1481A" w14:textId="77777777" w:rsidR="00C54505" w:rsidRPr="00C54505" w:rsidRDefault="00C54505" w:rsidP="00C54505">
      <w:pPr>
        <w:rPr>
          <w:rFonts w:ascii="Times New Roman" w:hAnsi="Times New Roman"/>
          <w:szCs w:val="20"/>
        </w:rPr>
      </w:pPr>
      <w:r w:rsidRPr="00C54505">
        <w:rPr>
          <w:rFonts w:ascii="Times New Roman" w:hAnsi="Times New Roman"/>
          <w:szCs w:val="20"/>
        </w:rPr>
        <w:t>UE may expect that:</w:t>
      </w:r>
    </w:p>
    <w:p w14:paraId="51F7DD05" w14:textId="77777777" w:rsidR="00C54505" w:rsidRPr="00C54505" w:rsidRDefault="00C54505" w:rsidP="00AA1D48">
      <w:pPr>
        <w:pStyle w:val="ListParagraph"/>
        <w:numPr>
          <w:ilvl w:val="0"/>
          <w:numId w:val="115"/>
        </w:numPr>
      </w:pPr>
      <w:r w:rsidRPr="00C54505">
        <w:t xml:space="preserve">For a candidate cell, the configuration of an LTM TCI state in ltm-DL-OrJointTCI-StateToAddModList-r18 and ltm-ul-TCI-ToAddModList-r18 is same as its counterpart in dl-OrJointTCI-StateList-r17 and ul-TCI-ToAddModList-r17 of the first active BWP in ServingCellConfig, at least in terms of TCI state ID, the corresponding qcl-Type1 and qcl-Type2 for the DL or joint TCI state or referenceSignal for the UL TCI state. </w:t>
      </w:r>
    </w:p>
    <w:p w14:paraId="2CE6DEE9" w14:textId="77777777" w:rsidR="00C54505" w:rsidRPr="00C54505" w:rsidRDefault="00C54505" w:rsidP="00AA1D48">
      <w:pPr>
        <w:pStyle w:val="ListParagraph"/>
        <w:numPr>
          <w:ilvl w:val="0"/>
          <w:numId w:val="115"/>
        </w:numPr>
      </w:pPr>
      <w:r w:rsidRPr="00C54505">
        <w:t>The LTM TCI state(s) in ltm-DL-OrJointTCI-StateToAddModList-r18 and ltm-ul-TCI-ToAddModList-r18 of a candidate cell is a subset of serving cell TCI state(s) in dl-OrJointTCI-StateList-r17 and ul-TCI-ToAddModList-r17 of the same cell.</w:t>
      </w:r>
    </w:p>
    <w:p w14:paraId="30025F2C" w14:textId="77777777" w:rsidR="00C54505" w:rsidRPr="00C54505" w:rsidRDefault="00C54505" w:rsidP="00C54505">
      <w:pPr>
        <w:rPr>
          <w:lang w:val="en-US" w:eastAsia="x-none"/>
        </w:rPr>
      </w:pPr>
    </w:p>
    <w:p w14:paraId="52A88639" w14:textId="680A0CEC" w:rsidR="00A46496" w:rsidRPr="009157FE" w:rsidRDefault="005A18DC" w:rsidP="00A46496">
      <w:pPr>
        <w:rPr>
          <w:b/>
          <w:bCs/>
          <w:lang w:eastAsia="x-none"/>
        </w:rPr>
      </w:pPr>
      <w:hyperlink r:id="rId1464" w:history="1">
        <w:r w:rsidR="00AF7253">
          <w:rPr>
            <w:rStyle w:val="Hyperlink"/>
            <w:b/>
            <w:bCs/>
            <w:lang w:eastAsia="x-none"/>
          </w:rPr>
          <w:t>R1-2311036</w:t>
        </w:r>
      </w:hyperlink>
      <w:r w:rsidR="00A46496" w:rsidRPr="009157FE">
        <w:rPr>
          <w:b/>
          <w:bCs/>
          <w:lang w:eastAsia="x-none"/>
        </w:rPr>
        <w:tab/>
        <w:t>FL summary 2 on L1 enhancements for inter-cell beam management</w:t>
      </w:r>
      <w:r w:rsidR="00A46496" w:rsidRPr="009157FE">
        <w:rPr>
          <w:b/>
          <w:bCs/>
          <w:lang w:eastAsia="x-none"/>
        </w:rPr>
        <w:tab/>
        <w:t>Moderator (Fujitsu)</w:t>
      </w:r>
    </w:p>
    <w:p w14:paraId="61B27CD7" w14:textId="5CF1A85F" w:rsidR="009157FE" w:rsidRDefault="009157FE" w:rsidP="00A46496">
      <w:pPr>
        <w:rPr>
          <w:lang w:eastAsia="x-none"/>
        </w:rPr>
      </w:pPr>
      <w:r>
        <w:rPr>
          <w:lang w:eastAsia="x-none"/>
        </w:rPr>
        <w:t>From Wednesday session</w:t>
      </w:r>
    </w:p>
    <w:p w14:paraId="22E5A0A8" w14:textId="77777777" w:rsidR="00111832" w:rsidRPr="00111832" w:rsidRDefault="00111832" w:rsidP="00111832">
      <w:pPr>
        <w:rPr>
          <w:lang w:val="en-US"/>
        </w:rPr>
      </w:pPr>
      <w:r w:rsidRPr="00111832">
        <w:rPr>
          <w:highlight w:val="green"/>
          <w:lang w:val="en-US"/>
        </w:rPr>
        <w:t>Agreement</w:t>
      </w:r>
    </w:p>
    <w:p w14:paraId="5E5121EC" w14:textId="77777777" w:rsidR="00111832" w:rsidRPr="00111832" w:rsidRDefault="00111832" w:rsidP="00111832">
      <w:r w:rsidRPr="00111832">
        <w:t>Send an LS to RAN2 to inform the issue on MAC CE to activate/deactivate semi-persistent PUCCH report</w:t>
      </w:r>
    </w:p>
    <w:p w14:paraId="698F5338" w14:textId="77777777" w:rsidR="00111832" w:rsidRPr="00111832" w:rsidRDefault="00111832" w:rsidP="00AA1D48">
      <w:pPr>
        <w:pStyle w:val="ListParagraph"/>
        <w:numPr>
          <w:ilvl w:val="0"/>
          <w:numId w:val="131"/>
        </w:numPr>
      </w:pPr>
      <w:r w:rsidRPr="00111832">
        <w:t xml:space="preserve">With an independent configuration of LTM CSI reporting which RAN2 has agreed, </w:t>
      </w:r>
      <w:bookmarkStart w:id="663" w:name="_Hlk151009134"/>
      <w:r w:rsidRPr="00111832">
        <w:t>it is not clear how</w:t>
      </w:r>
      <w:del w:id="664" w:author="David mazzarese" w:date="2023-11-15T18:19:00Z">
        <w:r w:rsidRPr="00111832" w:rsidDel="007F5C61">
          <w:delText>/whether</w:delText>
        </w:r>
      </w:del>
      <w:r w:rsidRPr="00111832">
        <w:t xml:space="preserve"> the activation/deactivation of semi-persistent PUCCH report for LTM CSI reporting </w:t>
      </w:r>
      <w:del w:id="665" w:author="David mazzarese" w:date="2023-11-15T18:19:00Z">
        <w:r w:rsidRPr="00111832" w:rsidDel="007F5C61">
          <w:delText xml:space="preserve">is </w:delText>
        </w:r>
      </w:del>
      <w:ins w:id="666" w:author="David mazzarese" w:date="2023-11-15T18:19:00Z">
        <w:r w:rsidRPr="00111832">
          <w:t xml:space="preserve">can be </w:t>
        </w:r>
      </w:ins>
      <w:r w:rsidRPr="00111832">
        <w:t>supported</w:t>
      </w:r>
      <w:bookmarkEnd w:id="663"/>
      <w:r w:rsidRPr="00111832">
        <w:t>.</w:t>
      </w:r>
    </w:p>
    <w:p w14:paraId="3A78682E" w14:textId="69E46C78" w:rsidR="00111832" w:rsidRPr="00111832" w:rsidRDefault="00111832" w:rsidP="00AA1D48">
      <w:pPr>
        <w:pStyle w:val="ListParagraph"/>
        <w:numPr>
          <w:ilvl w:val="0"/>
          <w:numId w:val="131"/>
        </w:numPr>
      </w:pPr>
      <w:r w:rsidRPr="00111832">
        <w:t>RAN2 is respectfully asked to take this issue into account.</w:t>
      </w:r>
    </w:p>
    <w:p w14:paraId="38418893" w14:textId="77777777" w:rsidR="00111832" w:rsidRPr="00111832" w:rsidRDefault="00111832" w:rsidP="00111832">
      <w:pPr>
        <w:rPr>
          <w:lang w:val="en-US"/>
        </w:rPr>
      </w:pPr>
      <w:r w:rsidRPr="00F75F5C">
        <w:rPr>
          <w:lang w:val="en-US"/>
        </w:rPr>
        <w:t>Comeback for draft LS to RAN2.</w:t>
      </w:r>
    </w:p>
    <w:p w14:paraId="06EDCC22" w14:textId="6385E318" w:rsidR="00262F33" w:rsidRDefault="005A18DC" w:rsidP="00111832">
      <w:pPr>
        <w:rPr>
          <w:b/>
          <w:bCs/>
          <w:lang w:val="en-US"/>
        </w:rPr>
      </w:pPr>
      <w:hyperlink r:id="rId1465" w:history="1">
        <w:r w:rsidR="00AF7253">
          <w:rPr>
            <w:rStyle w:val="Hyperlink"/>
            <w:b/>
            <w:bCs/>
            <w:lang w:val="en-US"/>
          </w:rPr>
          <w:t>R1-2312547</w:t>
        </w:r>
      </w:hyperlink>
      <w:r w:rsidR="00262F33" w:rsidRPr="00262F33">
        <w:rPr>
          <w:b/>
          <w:bCs/>
          <w:lang w:val="en-US"/>
        </w:rPr>
        <w:tab/>
        <w:t>[draft] LS on MAC CE to activate/deactivate semi-persistent PUCCH report for LTM</w:t>
      </w:r>
      <w:r w:rsidR="00262F33" w:rsidRPr="00262F33">
        <w:rPr>
          <w:b/>
          <w:bCs/>
          <w:lang w:val="en-US"/>
        </w:rPr>
        <w:tab/>
        <w:t>Moderator (Fujitsu)</w:t>
      </w:r>
    </w:p>
    <w:p w14:paraId="31CC591B" w14:textId="17432BA3" w:rsidR="00F75F5C" w:rsidRDefault="00F75F5C" w:rsidP="00111832">
      <w:pPr>
        <w:rPr>
          <w:lang w:val="en-US"/>
        </w:rPr>
      </w:pPr>
      <w:r>
        <w:rPr>
          <w:lang w:val="en-US"/>
        </w:rPr>
        <w:t>From Thursday session</w:t>
      </w:r>
    </w:p>
    <w:p w14:paraId="0CE6C63F" w14:textId="77777777" w:rsidR="00F75F5C" w:rsidRPr="00F75F5C" w:rsidRDefault="00F75F5C" w:rsidP="00F75F5C">
      <w:pPr>
        <w:rPr>
          <w:szCs w:val="20"/>
          <w:lang w:val="en-US" w:eastAsia="x-none"/>
        </w:rPr>
      </w:pPr>
      <w:r w:rsidRPr="00F75F5C">
        <w:rPr>
          <w:szCs w:val="20"/>
          <w:highlight w:val="green"/>
          <w:lang w:val="en-US" w:eastAsia="x-none"/>
        </w:rPr>
        <w:t>Agreement</w:t>
      </w:r>
    </w:p>
    <w:p w14:paraId="0C50148A" w14:textId="09D33E57" w:rsidR="00F75F5C" w:rsidRPr="00F75F5C" w:rsidRDefault="00F75F5C" w:rsidP="00F75F5C">
      <w:pPr>
        <w:rPr>
          <w:szCs w:val="20"/>
          <w:lang w:val="en-US" w:eastAsia="x-none"/>
        </w:rPr>
      </w:pPr>
      <w:r w:rsidRPr="00F75F5C">
        <w:rPr>
          <w:szCs w:val="20"/>
          <w:lang w:val="en-US" w:eastAsia="x-none"/>
        </w:rPr>
        <w:t xml:space="preserve">The draft LS in </w:t>
      </w:r>
      <w:hyperlink r:id="rId1466" w:history="1">
        <w:r w:rsidR="00AF7253">
          <w:rPr>
            <w:rStyle w:val="Hyperlink"/>
            <w:szCs w:val="20"/>
            <w:lang w:val="en-US" w:eastAsia="x-none"/>
          </w:rPr>
          <w:t>R1-2312547</w:t>
        </w:r>
      </w:hyperlink>
      <w:r w:rsidRPr="00F75F5C">
        <w:rPr>
          <w:szCs w:val="20"/>
          <w:lang w:val="en-US" w:eastAsia="x-none"/>
        </w:rPr>
        <w:t xml:space="preserve"> is endorsed with the following revision:</w:t>
      </w:r>
    </w:p>
    <w:p w14:paraId="7730A7B4" w14:textId="77777777" w:rsidR="00F75F5C" w:rsidRPr="00F75F5C" w:rsidRDefault="00F75F5C" w:rsidP="00F75F5C">
      <w:pPr>
        <w:tabs>
          <w:tab w:val="center" w:pos="4680"/>
          <w:tab w:val="right" w:pos="9360"/>
        </w:tabs>
        <w:ind w:left="720"/>
        <w:rPr>
          <w:rFonts w:ascii="Arial" w:hAnsi="Arial" w:cs="Arial"/>
          <w:bCs/>
          <w:sz w:val="16"/>
          <w:szCs w:val="16"/>
          <w:lang w:val="en-US" w:eastAsia="ja-JP"/>
        </w:rPr>
      </w:pPr>
      <w:r w:rsidRPr="00F75F5C">
        <w:rPr>
          <w:rFonts w:ascii="Arial" w:hAnsi="Arial" w:cs="Arial"/>
          <w:bCs/>
          <w:sz w:val="16"/>
          <w:szCs w:val="16"/>
          <w:lang w:val="en-US" w:eastAsia="ja-JP"/>
        </w:rPr>
        <w:t xml:space="preserve">With an independent configuration of LTM CSI reporting which RAN2 has agreed, the legacy MAC CE command cannot be used for LTM semi-persistent reporting on PUCCH because the </w:t>
      </w:r>
      <w:del w:id="667" w:author="David mazzarese" w:date="2023-11-16T17:33:00Z">
        <w:r w:rsidRPr="00F75F5C" w:rsidDel="0045638E">
          <w:rPr>
            <w:rFonts w:ascii="Arial" w:hAnsi="Arial" w:cs="Arial"/>
            <w:bCs/>
            <w:sz w:val="16"/>
            <w:szCs w:val="16"/>
            <w:lang w:val="en-US" w:eastAsia="ja-JP"/>
          </w:rPr>
          <w:delText xml:space="preserve">bits </w:delText>
        </w:r>
      </w:del>
      <w:del w:id="668" w:author="David mazzarese" w:date="2023-11-16T17:34:00Z">
        <w:r w:rsidRPr="00F75F5C" w:rsidDel="0045638E">
          <w:rPr>
            <w:rFonts w:ascii="Arial" w:hAnsi="Arial" w:cs="Arial"/>
            <w:bCs/>
            <w:sz w:val="16"/>
            <w:szCs w:val="16"/>
            <w:lang w:val="en-US" w:eastAsia="ja-JP"/>
          </w:rPr>
          <w:delText xml:space="preserve">in the </w:delText>
        </w:r>
      </w:del>
      <w:r w:rsidRPr="00F75F5C">
        <w:rPr>
          <w:rFonts w:ascii="Arial" w:hAnsi="Arial" w:cs="Arial"/>
          <w:bCs/>
          <w:sz w:val="16"/>
          <w:szCs w:val="16"/>
          <w:lang w:val="en-US" w:eastAsia="ja-JP"/>
        </w:rPr>
        <w:t xml:space="preserve">MAC CE </w:t>
      </w:r>
      <w:del w:id="669" w:author="David mazzarese" w:date="2023-11-16T17:34:00Z">
        <w:r w:rsidRPr="00F75F5C" w:rsidDel="0045638E">
          <w:rPr>
            <w:rFonts w:ascii="Arial" w:hAnsi="Arial" w:cs="Arial"/>
            <w:bCs/>
            <w:sz w:val="16"/>
            <w:szCs w:val="16"/>
            <w:lang w:val="en-US" w:eastAsia="ja-JP"/>
          </w:rPr>
          <w:delText>are only associated with the ID for</w:delText>
        </w:r>
      </w:del>
      <w:ins w:id="670" w:author="David mazzarese" w:date="2023-11-16T17:34:00Z">
        <w:r w:rsidRPr="00F75F5C">
          <w:rPr>
            <w:rFonts w:ascii="Arial" w:hAnsi="Arial" w:cs="Arial"/>
            <w:bCs/>
            <w:sz w:val="16"/>
            <w:szCs w:val="16"/>
            <w:lang w:val="en-US" w:eastAsia="ja-JP"/>
          </w:rPr>
          <w:t>is used for</w:t>
        </w:r>
      </w:ins>
      <w:r w:rsidRPr="00F75F5C">
        <w:rPr>
          <w:rFonts w:ascii="Arial" w:hAnsi="Arial" w:cs="Arial"/>
          <w:bCs/>
          <w:sz w:val="16"/>
          <w:szCs w:val="16"/>
          <w:lang w:val="en-US" w:eastAsia="ja-JP"/>
        </w:rPr>
        <w:t xml:space="preserve"> the legacy CSI report configuration. </w:t>
      </w:r>
      <w:r w:rsidRPr="00F75F5C">
        <w:rPr>
          <w:rFonts w:ascii="Arial" w:hAnsi="Arial" w:cs="Arial"/>
          <w:sz w:val="16"/>
          <w:szCs w:val="16"/>
        </w:rPr>
        <w:t>It is not clear how the activation/deactivation of semi-persistent PUCCH report for LTM CSI reporting can be supported</w:t>
      </w:r>
    </w:p>
    <w:p w14:paraId="209E9FBA" w14:textId="77777777" w:rsidR="00F75F5C" w:rsidRPr="00F75F5C" w:rsidRDefault="00F75F5C" w:rsidP="00F75F5C">
      <w:pPr>
        <w:rPr>
          <w:szCs w:val="20"/>
          <w:lang w:val="en-US" w:eastAsia="x-none"/>
        </w:rPr>
      </w:pPr>
    </w:p>
    <w:p w14:paraId="00625573" w14:textId="36C21D41" w:rsidR="00F75F5C" w:rsidRPr="00F75F5C" w:rsidRDefault="00F75F5C" w:rsidP="00F75F5C">
      <w:pPr>
        <w:rPr>
          <w:szCs w:val="20"/>
          <w:lang w:val="en-US" w:eastAsia="x-none"/>
        </w:rPr>
      </w:pPr>
      <w:r w:rsidRPr="00F75F5C">
        <w:rPr>
          <w:szCs w:val="20"/>
          <w:lang w:val="en-US" w:eastAsia="x-none"/>
        </w:rPr>
        <w:t>Final LS is a</w:t>
      </w:r>
      <w:r>
        <w:rPr>
          <w:szCs w:val="20"/>
          <w:lang w:val="en-US" w:eastAsia="x-none"/>
        </w:rPr>
        <w:t>pproved</w:t>
      </w:r>
      <w:r w:rsidRPr="00F75F5C">
        <w:rPr>
          <w:szCs w:val="20"/>
          <w:lang w:val="en-US" w:eastAsia="x-none"/>
        </w:rPr>
        <w:t xml:space="preserve"> in </w:t>
      </w:r>
      <w:hyperlink r:id="rId1467" w:history="1">
        <w:r w:rsidR="00AF7253">
          <w:rPr>
            <w:rStyle w:val="Hyperlink"/>
            <w:szCs w:val="20"/>
            <w:lang w:val="en-US" w:eastAsia="x-none"/>
          </w:rPr>
          <w:t>R1-2312642</w:t>
        </w:r>
      </w:hyperlink>
      <w:r w:rsidRPr="00F75F5C">
        <w:rPr>
          <w:szCs w:val="20"/>
          <w:lang w:val="en-US" w:eastAsia="x-none"/>
        </w:rPr>
        <w:t>.</w:t>
      </w:r>
    </w:p>
    <w:p w14:paraId="368C76C1" w14:textId="77777777" w:rsidR="009157FE" w:rsidRPr="00111832" w:rsidRDefault="009157FE" w:rsidP="00A46496">
      <w:pPr>
        <w:rPr>
          <w:lang w:val="en-US" w:eastAsia="x-none"/>
        </w:rPr>
      </w:pPr>
    </w:p>
    <w:p w14:paraId="3A7EE1CB" w14:textId="77777777" w:rsidR="009157FE" w:rsidRPr="009537ED" w:rsidRDefault="009157FE" w:rsidP="00A46496">
      <w:pPr>
        <w:rPr>
          <w:lang w:eastAsia="x-none"/>
        </w:rPr>
      </w:pPr>
    </w:p>
    <w:p w14:paraId="2632262E" w14:textId="02B18717" w:rsidR="00A46496" w:rsidRPr="00262F33" w:rsidRDefault="005A18DC" w:rsidP="00A46496">
      <w:pPr>
        <w:rPr>
          <w:b/>
          <w:bCs/>
          <w:lang w:eastAsia="x-none"/>
        </w:rPr>
      </w:pPr>
      <w:hyperlink r:id="rId1468" w:history="1">
        <w:r w:rsidR="00AF7253">
          <w:rPr>
            <w:rStyle w:val="Hyperlink"/>
            <w:b/>
            <w:bCs/>
            <w:lang w:eastAsia="x-none"/>
          </w:rPr>
          <w:t>R1-2311037</w:t>
        </w:r>
      </w:hyperlink>
      <w:r w:rsidR="00A46496" w:rsidRPr="00262F33">
        <w:rPr>
          <w:b/>
          <w:bCs/>
          <w:lang w:eastAsia="x-none"/>
        </w:rPr>
        <w:tab/>
        <w:t>FL summary 3 on L1 enhancements for inter-cell beam management</w:t>
      </w:r>
      <w:r w:rsidR="00A46496" w:rsidRPr="00262F33">
        <w:rPr>
          <w:b/>
          <w:bCs/>
          <w:lang w:eastAsia="x-none"/>
        </w:rPr>
        <w:tab/>
        <w:t>Moderator (Fujitsu)</w:t>
      </w:r>
    </w:p>
    <w:p w14:paraId="0B79F02A" w14:textId="77777777" w:rsidR="00262F33" w:rsidRDefault="00262F33" w:rsidP="00262F33">
      <w:pPr>
        <w:rPr>
          <w:lang w:val="en-US"/>
        </w:rPr>
      </w:pPr>
      <w:r>
        <w:rPr>
          <w:lang w:val="en-US"/>
        </w:rPr>
        <w:t>From Thursday session</w:t>
      </w:r>
    </w:p>
    <w:p w14:paraId="7E38DFE8" w14:textId="77777777" w:rsidR="00262F33" w:rsidRPr="00262F33" w:rsidRDefault="00262F33" w:rsidP="00262F33">
      <w:pPr>
        <w:rPr>
          <w:lang w:val="en-US" w:eastAsia="x-none"/>
        </w:rPr>
      </w:pPr>
      <w:r w:rsidRPr="00262F33">
        <w:rPr>
          <w:highlight w:val="green"/>
          <w:lang w:val="en-US" w:eastAsia="x-none"/>
        </w:rPr>
        <w:t>Agreement</w:t>
      </w:r>
    </w:p>
    <w:p w14:paraId="66F2B353" w14:textId="77777777" w:rsidR="00262F33" w:rsidRPr="00262F33" w:rsidRDefault="00262F33" w:rsidP="00262F33">
      <w:pPr>
        <w:tabs>
          <w:tab w:val="left" w:pos="720"/>
        </w:tabs>
        <w:snapToGrid w:val="0"/>
        <w:jc w:val="both"/>
        <w:rPr>
          <w:lang w:eastAsia="x-none"/>
        </w:rPr>
      </w:pPr>
      <w:r w:rsidRPr="00262F33">
        <w:rPr>
          <w:lang w:eastAsia="x-none"/>
        </w:rPr>
        <w:t xml:space="preserve">The TCI states in the </w:t>
      </w:r>
      <w:r w:rsidRPr="00262F33">
        <w:rPr>
          <w:lang w:val="en-US" w:eastAsia="x-none"/>
        </w:rPr>
        <w:t xml:space="preserve">candidate Cell TCI activation/deactivation command is associated with </w:t>
      </w:r>
      <w:r w:rsidRPr="00262F33">
        <w:rPr>
          <w:lang w:eastAsia="x-none"/>
        </w:rPr>
        <w:t>LTM TCI state pool of the target cell, i.e. configured under LTM-Candidate-r18.</w:t>
      </w:r>
    </w:p>
    <w:p w14:paraId="07D674A9" w14:textId="77777777" w:rsidR="00262F33" w:rsidRPr="00262F33" w:rsidRDefault="00262F33" w:rsidP="00262F33">
      <w:pPr>
        <w:rPr>
          <w:lang w:val="en-US" w:eastAsia="x-none"/>
        </w:rPr>
      </w:pPr>
    </w:p>
    <w:p w14:paraId="7465DF6D" w14:textId="77777777" w:rsidR="00262F33" w:rsidRPr="00262F33" w:rsidRDefault="00262F33" w:rsidP="00262F33">
      <w:pPr>
        <w:rPr>
          <w:bCs/>
          <w:u w:val="single"/>
          <w:lang w:val="en-US" w:eastAsia="x-none"/>
        </w:rPr>
      </w:pPr>
      <w:r w:rsidRPr="00262F33">
        <w:rPr>
          <w:bCs/>
          <w:u w:val="single"/>
          <w:lang w:val="en-US" w:eastAsia="x-none"/>
        </w:rPr>
        <w:lastRenderedPageBreak/>
        <w:t>Conclusion</w:t>
      </w:r>
    </w:p>
    <w:p w14:paraId="03394A31" w14:textId="60246D36" w:rsidR="00262F33" w:rsidRPr="00262F33" w:rsidRDefault="00262F33" w:rsidP="00262F33">
      <w:pPr>
        <w:snapToGrid w:val="0"/>
        <w:jc w:val="both"/>
        <w:rPr>
          <w:rFonts w:eastAsia="SimSun"/>
          <w:lang w:val="en-US" w:eastAsia="zh-CN"/>
        </w:rPr>
      </w:pPr>
      <w:r w:rsidRPr="00262F33">
        <w:rPr>
          <w:rFonts w:eastAsia="SimSun"/>
          <w:lang w:val="en-US" w:eastAsia="zh-CN"/>
        </w:rPr>
        <w:t xml:space="preserve">No consensus to include </w:t>
      </w:r>
      <w:r w:rsidRPr="00262F33">
        <w:rPr>
          <w:i/>
          <w:iCs/>
          <w:lang w:eastAsia="x-none"/>
        </w:rPr>
        <w:t>simultaneousU-TCI-UpdateList</w:t>
      </w:r>
      <w:r w:rsidRPr="00262F33">
        <w:rPr>
          <w:lang w:eastAsia="x-none"/>
        </w:rPr>
        <w:t xml:space="preserve"> under </w:t>
      </w:r>
      <w:r w:rsidRPr="00262F33">
        <w:rPr>
          <w:i/>
          <w:iCs/>
          <w:lang w:eastAsia="x-none"/>
        </w:rPr>
        <w:t xml:space="preserve">LTM-Candidate-r18 </w:t>
      </w:r>
      <w:r w:rsidRPr="00262F33">
        <w:rPr>
          <w:lang w:eastAsia="x-none"/>
        </w:rPr>
        <w:t>to activate and indicate TCI states for SCell(s) after cell switch command.</w:t>
      </w:r>
    </w:p>
    <w:p w14:paraId="47DFFB5D" w14:textId="77777777" w:rsidR="00262F33" w:rsidRPr="00262F33" w:rsidRDefault="00262F33" w:rsidP="00262F33">
      <w:pPr>
        <w:rPr>
          <w:lang w:val="en-US" w:eastAsia="x-none"/>
        </w:rPr>
      </w:pPr>
    </w:p>
    <w:p w14:paraId="76BAF627" w14:textId="77777777" w:rsidR="00262F33" w:rsidRPr="00262F33" w:rsidRDefault="00262F33" w:rsidP="00262F33">
      <w:pPr>
        <w:rPr>
          <w:bCs/>
          <w:u w:val="single"/>
          <w:lang w:val="en-US" w:eastAsia="x-none"/>
        </w:rPr>
      </w:pPr>
      <w:r w:rsidRPr="00262F33">
        <w:rPr>
          <w:bCs/>
          <w:u w:val="single"/>
          <w:lang w:val="en-US" w:eastAsia="x-none"/>
        </w:rPr>
        <w:t>Conclusion</w:t>
      </w:r>
    </w:p>
    <w:p w14:paraId="7D821F10" w14:textId="77777777" w:rsidR="00262F33" w:rsidRPr="00262F33" w:rsidRDefault="00262F33" w:rsidP="00262F33">
      <w:pPr>
        <w:snapToGrid w:val="0"/>
        <w:jc w:val="both"/>
        <w:rPr>
          <w:lang w:val="en-US" w:eastAsia="zh-CN"/>
        </w:rPr>
      </w:pPr>
      <w:r w:rsidRPr="00262F33">
        <w:rPr>
          <w:lang w:eastAsia="zh-CN"/>
        </w:rPr>
        <w:t xml:space="preserve">When RACH-less LTM is performed, for beam indication of target cell based on Rel-17 unified TCI framework applied to </w:t>
      </w:r>
      <w:r w:rsidRPr="00262F33">
        <w:rPr>
          <w:lang w:val="en-US" w:eastAsia="zh-CN"/>
        </w:rPr>
        <w:t xml:space="preserve">CORESET#0 and </w:t>
      </w:r>
      <w:r w:rsidRPr="00262F33">
        <w:rPr>
          <w:lang w:eastAsia="zh-CN"/>
        </w:rPr>
        <w:t xml:space="preserve">CORESETs (other than CORESET#0) associated with CSS sets other than Type3-PDCCH CSS sets where </w:t>
      </w:r>
      <w:r w:rsidRPr="00262F33">
        <w:rPr>
          <w:lang w:val="en-US" w:eastAsia="zh-CN"/>
        </w:rPr>
        <w:t>followUnifiedTCI-state is not enabled or not provided, whether using the TCI state indicated in the Cell Switch Command is up to UE implementation</w:t>
      </w:r>
      <w:r w:rsidRPr="00262F33">
        <w:rPr>
          <w:lang w:eastAsia="zh-CN"/>
        </w:rPr>
        <w:t>.</w:t>
      </w:r>
    </w:p>
    <w:p w14:paraId="03EEB468" w14:textId="77777777" w:rsidR="00262F33" w:rsidRPr="00262F33" w:rsidRDefault="00262F33" w:rsidP="00262F33">
      <w:pPr>
        <w:rPr>
          <w:lang w:val="en-US" w:eastAsia="x-none"/>
        </w:rPr>
      </w:pPr>
    </w:p>
    <w:p w14:paraId="517ED6FF" w14:textId="77777777" w:rsidR="00262F33" w:rsidRPr="00262F33" w:rsidRDefault="00262F33" w:rsidP="00262F33">
      <w:pPr>
        <w:rPr>
          <w:lang w:val="en-US" w:eastAsia="x-none"/>
        </w:rPr>
      </w:pPr>
      <w:r w:rsidRPr="00262F33">
        <w:rPr>
          <w:highlight w:val="green"/>
          <w:lang w:val="en-US" w:eastAsia="x-none"/>
        </w:rPr>
        <w:t>Agreement</w:t>
      </w:r>
    </w:p>
    <w:p w14:paraId="0A0AC2A4" w14:textId="77777777" w:rsidR="00262F33" w:rsidRPr="00262F33" w:rsidRDefault="00262F33" w:rsidP="00A67145">
      <w:pPr>
        <w:pStyle w:val="ListParagraph"/>
        <w:numPr>
          <w:ilvl w:val="0"/>
          <w:numId w:val="214"/>
        </w:numPr>
        <w:rPr>
          <w:lang w:val="en-US"/>
        </w:rPr>
      </w:pPr>
      <w:r w:rsidRPr="00262F33">
        <w:rPr>
          <w:lang w:val="en-US"/>
        </w:rPr>
        <w:t>Processing of an LTM CSI report occupies 1 CPU</w:t>
      </w:r>
    </w:p>
    <w:p w14:paraId="59D9C46D" w14:textId="77777777" w:rsidR="00262F33" w:rsidRPr="00262F33" w:rsidRDefault="00262F33" w:rsidP="00A67145">
      <w:pPr>
        <w:pStyle w:val="ListParagraph"/>
        <w:numPr>
          <w:ilvl w:val="0"/>
          <w:numId w:val="214"/>
        </w:numPr>
        <w:rPr>
          <w:lang w:val="en-US"/>
        </w:rPr>
      </w:pPr>
      <w:r w:rsidRPr="00262F33">
        <w:rPr>
          <w:lang w:val="en-US"/>
        </w:rPr>
        <w:t>CR to 38.214 is as follows</w:t>
      </w:r>
    </w:p>
    <w:p w14:paraId="572713F2" w14:textId="386966DB" w:rsidR="00262F33" w:rsidRPr="00262F33" w:rsidRDefault="00262F33" w:rsidP="00262F33">
      <w:pPr>
        <w:rPr>
          <w:color w:val="FF0000"/>
          <w:lang w:val="en-US" w:eastAsia="x-none"/>
        </w:rPr>
      </w:pPr>
      <w:r w:rsidRPr="00262F33">
        <w:rPr>
          <w:color w:val="FF0000"/>
          <w:lang w:val="en-US" w:eastAsia="x-none"/>
        </w:rPr>
        <w:t>----------- Start of TP -----------</w:t>
      </w:r>
    </w:p>
    <w:p w14:paraId="2357A437" w14:textId="77777777" w:rsidR="00262F33" w:rsidRPr="00262F33" w:rsidRDefault="00262F33" w:rsidP="00262F33">
      <w:pPr>
        <w:rPr>
          <w:rFonts w:ascii="Arial" w:hAnsi="Arial" w:cs="Arial"/>
          <w:b/>
          <w:bCs/>
          <w:sz w:val="16"/>
          <w:szCs w:val="16"/>
          <w:lang w:val="en-US"/>
        </w:rPr>
      </w:pPr>
      <w:r w:rsidRPr="00262F33">
        <w:rPr>
          <w:rFonts w:ascii="Arial" w:hAnsi="Arial" w:cs="Arial"/>
          <w:b/>
          <w:bCs/>
          <w:sz w:val="16"/>
          <w:szCs w:val="16"/>
          <w:lang w:val="en-US"/>
        </w:rPr>
        <w:t>5.2.1.6</w:t>
      </w:r>
      <w:r w:rsidRPr="00262F33">
        <w:rPr>
          <w:rFonts w:ascii="Arial" w:hAnsi="Arial" w:cs="Arial"/>
          <w:b/>
          <w:bCs/>
          <w:sz w:val="16"/>
          <w:szCs w:val="16"/>
          <w:lang w:val="en-US"/>
        </w:rPr>
        <w:tab/>
        <w:t>CSI processing criteria</w:t>
      </w:r>
    </w:p>
    <w:p w14:paraId="74439B98" w14:textId="77777777" w:rsidR="00262F33" w:rsidRPr="00262F33" w:rsidRDefault="00262F33" w:rsidP="00262F33">
      <w:pPr>
        <w:rPr>
          <w:rFonts w:ascii="Arial" w:hAnsi="Arial" w:cs="Arial"/>
          <w:sz w:val="16"/>
          <w:szCs w:val="16"/>
        </w:rPr>
      </w:pPr>
      <w:r w:rsidRPr="00262F33">
        <w:rPr>
          <w:rFonts w:ascii="Arial" w:hAnsi="Arial" w:cs="Arial"/>
          <w:sz w:val="16"/>
          <w:szCs w:val="16"/>
        </w:rPr>
        <w:t xml:space="preserve">The UE indicates the number of supported simultaneous CSI calculations </w:t>
      </w:r>
      <m:oMath>
        <m:sSub>
          <m:sSubPr>
            <m:ctrlPr>
              <w:rPr>
                <w:rFonts w:ascii="Cambria Math" w:hAnsi="Cambria Math" w:cs="Arial"/>
                <w:i/>
                <w:sz w:val="16"/>
                <w:szCs w:val="16"/>
              </w:rPr>
            </m:ctrlPr>
          </m:sSubPr>
          <m:e>
            <m:r>
              <w:rPr>
                <w:rFonts w:ascii="Cambria Math" w:hAnsi="Cambria Math" w:cs="Arial"/>
                <w:sz w:val="16"/>
                <w:szCs w:val="16"/>
              </w:rPr>
              <m:t>N</m:t>
            </m:r>
          </m:e>
          <m:sub>
            <m:r>
              <w:rPr>
                <w:rFonts w:ascii="Cambria Math" w:hAnsi="Cambria Math" w:cs="Arial"/>
                <w:sz w:val="16"/>
                <w:szCs w:val="16"/>
              </w:rPr>
              <m:t>CPU</m:t>
            </m:r>
          </m:sub>
        </m:sSub>
      </m:oMath>
      <w:r w:rsidRPr="00262F33">
        <w:rPr>
          <w:rFonts w:ascii="Arial" w:hAnsi="Arial" w:cs="Arial"/>
          <w:sz w:val="16"/>
          <w:szCs w:val="16"/>
        </w:rPr>
        <w:t xml:space="preserve"> with parameter </w:t>
      </w:r>
      <w:r w:rsidRPr="00262F33">
        <w:rPr>
          <w:rFonts w:ascii="Arial" w:hAnsi="Arial" w:cs="Arial"/>
          <w:i/>
          <w:iCs/>
          <w:sz w:val="16"/>
          <w:szCs w:val="16"/>
        </w:rPr>
        <w:t>simultaneousCSI-ReportsPerCC</w:t>
      </w:r>
      <w:r w:rsidRPr="00262F33">
        <w:rPr>
          <w:rFonts w:ascii="Arial" w:hAnsi="Arial" w:cs="Arial"/>
          <w:sz w:val="16"/>
          <w:szCs w:val="16"/>
        </w:rPr>
        <w:t xml:space="preserve"> in a component carrier, and </w:t>
      </w:r>
      <w:r w:rsidRPr="00262F33">
        <w:rPr>
          <w:rFonts w:ascii="Arial" w:hAnsi="Arial" w:cs="Arial"/>
          <w:i/>
          <w:iCs/>
          <w:sz w:val="16"/>
          <w:szCs w:val="16"/>
        </w:rPr>
        <w:t>simultaneousCSI-ReportsAllCC</w:t>
      </w:r>
      <w:r w:rsidRPr="00262F33">
        <w:rPr>
          <w:rFonts w:ascii="Arial" w:hAnsi="Arial" w:cs="Arial"/>
          <w:sz w:val="16"/>
          <w:szCs w:val="16"/>
        </w:rPr>
        <w:t xml:space="preserve"> across all component carriers. If a UE supports </w:t>
      </w:r>
      <m:oMath>
        <m:sSub>
          <m:sSubPr>
            <m:ctrlPr>
              <w:rPr>
                <w:rFonts w:ascii="Cambria Math" w:hAnsi="Cambria Math" w:cs="Arial"/>
                <w:i/>
                <w:sz w:val="16"/>
                <w:szCs w:val="16"/>
              </w:rPr>
            </m:ctrlPr>
          </m:sSubPr>
          <m:e>
            <m:r>
              <w:rPr>
                <w:rFonts w:ascii="Cambria Math" w:hAnsi="Cambria Math" w:cs="Arial"/>
                <w:sz w:val="16"/>
                <w:szCs w:val="16"/>
              </w:rPr>
              <m:t>N</m:t>
            </m:r>
          </m:e>
          <m:sub>
            <m:r>
              <w:rPr>
                <w:rFonts w:ascii="Cambria Math" w:hAnsi="Cambria Math" w:cs="Arial"/>
                <w:sz w:val="16"/>
                <w:szCs w:val="16"/>
              </w:rPr>
              <m:t>CPU</m:t>
            </m:r>
          </m:sub>
        </m:sSub>
      </m:oMath>
      <w:r w:rsidRPr="00262F33">
        <w:rPr>
          <w:rFonts w:ascii="Arial" w:hAnsi="Arial" w:cs="Arial"/>
          <w:sz w:val="16"/>
          <w:szCs w:val="16"/>
        </w:rPr>
        <w:t xml:space="preserve"> simultaneous CSI calculations it is said to have </w:t>
      </w:r>
      <m:oMath>
        <m:sSub>
          <m:sSubPr>
            <m:ctrlPr>
              <w:rPr>
                <w:rFonts w:ascii="Cambria Math" w:hAnsi="Cambria Math" w:cs="Arial"/>
                <w:i/>
                <w:sz w:val="16"/>
                <w:szCs w:val="16"/>
              </w:rPr>
            </m:ctrlPr>
          </m:sSubPr>
          <m:e>
            <m:r>
              <w:rPr>
                <w:rFonts w:ascii="Cambria Math" w:hAnsi="Cambria Math" w:cs="Arial"/>
                <w:sz w:val="16"/>
                <w:szCs w:val="16"/>
              </w:rPr>
              <m:t>N</m:t>
            </m:r>
          </m:e>
          <m:sub>
            <m:r>
              <w:rPr>
                <w:rFonts w:ascii="Cambria Math" w:hAnsi="Cambria Math" w:cs="Arial"/>
                <w:sz w:val="16"/>
                <w:szCs w:val="16"/>
              </w:rPr>
              <m:t>CPU</m:t>
            </m:r>
          </m:sub>
        </m:sSub>
      </m:oMath>
      <w:r w:rsidRPr="00262F33">
        <w:rPr>
          <w:rFonts w:ascii="Arial" w:hAnsi="Arial" w:cs="Arial"/>
          <w:sz w:val="16"/>
          <w:szCs w:val="16"/>
        </w:rPr>
        <w:t xml:space="preserve"> CSI processing units for processing CSI reports. If </w:t>
      </w:r>
      <w:r w:rsidRPr="00262F33">
        <w:rPr>
          <w:rFonts w:ascii="Arial" w:hAnsi="Arial" w:cs="Arial"/>
          <w:i/>
          <w:sz w:val="16"/>
          <w:szCs w:val="16"/>
        </w:rPr>
        <w:t>L</w:t>
      </w:r>
      <w:r w:rsidRPr="00262F33">
        <w:rPr>
          <w:rFonts w:ascii="Arial" w:hAnsi="Arial" w:cs="Arial"/>
          <w:sz w:val="16"/>
          <w:szCs w:val="16"/>
        </w:rPr>
        <w:t xml:space="preserve"> CPUs are occupied for calculation of CSI reports in a given OFDM symbol, the UE has </w:t>
      </w:r>
      <m:oMath>
        <m:sSub>
          <m:sSubPr>
            <m:ctrlPr>
              <w:rPr>
                <w:rFonts w:ascii="Cambria Math" w:hAnsi="Cambria Math" w:cs="Arial"/>
                <w:i/>
                <w:sz w:val="16"/>
                <w:szCs w:val="16"/>
              </w:rPr>
            </m:ctrlPr>
          </m:sSubPr>
          <m:e>
            <m:r>
              <w:rPr>
                <w:rFonts w:ascii="Cambria Math" w:hAnsi="Cambria Math" w:cs="Arial"/>
                <w:sz w:val="16"/>
                <w:szCs w:val="16"/>
              </w:rPr>
              <m:t>N</m:t>
            </m:r>
          </m:e>
          <m:sub>
            <m:r>
              <w:rPr>
                <w:rFonts w:ascii="Cambria Math" w:hAnsi="Cambria Math" w:cs="Arial"/>
                <w:sz w:val="16"/>
                <w:szCs w:val="16"/>
              </w:rPr>
              <m:t>CPU</m:t>
            </m:r>
          </m:sub>
        </m:sSub>
        <m:r>
          <w:rPr>
            <w:rFonts w:ascii="Cambria Math" w:hAnsi="Cambria Math" w:cs="Arial"/>
            <w:sz w:val="16"/>
            <w:szCs w:val="16"/>
          </w:rPr>
          <m:t>-L</m:t>
        </m:r>
      </m:oMath>
      <w:r w:rsidRPr="00262F33">
        <w:rPr>
          <w:rFonts w:ascii="Arial" w:hAnsi="Arial" w:cs="Arial"/>
          <w:sz w:val="16"/>
          <w:szCs w:val="16"/>
        </w:rPr>
        <w:t xml:space="preserve"> unoccupied CPUs. If </w:t>
      </w:r>
      <w:r w:rsidRPr="00262F33">
        <w:rPr>
          <w:rFonts w:ascii="Arial" w:hAnsi="Arial" w:cs="Arial"/>
          <w:i/>
          <w:sz w:val="16"/>
          <w:szCs w:val="16"/>
        </w:rPr>
        <w:t>N</w:t>
      </w:r>
      <w:r w:rsidRPr="00262F33">
        <w:rPr>
          <w:rFonts w:ascii="Arial" w:hAnsi="Arial" w:cs="Arial"/>
          <w:sz w:val="16"/>
          <w:szCs w:val="16"/>
        </w:rPr>
        <w:t xml:space="preserve"> CSI reports start occupying their respective CPUs on the same OFDM symbol on which </w:t>
      </w:r>
      <m:oMath>
        <m:sSub>
          <m:sSubPr>
            <m:ctrlPr>
              <w:rPr>
                <w:rFonts w:ascii="Cambria Math" w:hAnsi="Cambria Math" w:cs="Arial"/>
                <w:i/>
                <w:sz w:val="16"/>
                <w:szCs w:val="16"/>
              </w:rPr>
            </m:ctrlPr>
          </m:sSubPr>
          <m:e>
            <m:r>
              <w:rPr>
                <w:rFonts w:ascii="Cambria Math" w:hAnsi="Cambria Math" w:cs="Arial"/>
                <w:sz w:val="16"/>
                <w:szCs w:val="16"/>
              </w:rPr>
              <m:t>N</m:t>
            </m:r>
          </m:e>
          <m:sub>
            <m:r>
              <w:rPr>
                <w:rFonts w:ascii="Cambria Math" w:hAnsi="Cambria Math" w:cs="Arial"/>
                <w:sz w:val="16"/>
                <w:szCs w:val="16"/>
              </w:rPr>
              <m:t>CPU</m:t>
            </m:r>
          </m:sub>
        </m:sSub>
        <m:r>
          <w:rPr>
            <w:rFonts w:ascii="Cambria Math" w:hAnsi="Cambria Math" w:cs="Arial"/>
            <w:sz w:val="16"/>
            <w:szCs w:val="16"/>
          </w:rPr>
          <m:t>-L</m:t>
        </m:r>
      </m:oMath>
      <w:r w:rsidRPr="00262F33">
        <w:rPr>
          <w:rFonts w:ascii="Arial" w:hAnsi="Arial" w:cs="Arial"/>
          <w:sz w:val="16"/>
          <w:szCs w:val="16"/>
        </w:rPr>
        <w:t xml:space="preserve"> CPUs are unoccupied, where each CSI report </w:t>
      </w:r>
      <m:oMath>
        <m:r>
          <w:rPr>
            <w:rFonts w:ascii="Cambria Math" w:hAnsi="Cambria Math" w:cs="Arial"/>
            <w:sz w:val="16"/>
            <w:szCs w:val="16"/>
          </w:rPr>
          <m:t>n=0, …, N-1</m:t>
        </m:r>
      </m:oMath>
      <w:r w:rsidRPr="00262F33">
        <w:rPr>
          <w:rFonts w:ascii="Arial" w:hAnsi="Arial" w:cs="Arial"/>
          <w:sz w:val="16"/>
          <w:szCs w:val="16"/>
        </w:rPr>
        <w:t xml:space="preserve"> corresponds to </w:t>
      </w:r>
      <m:oMath>
        <m:sSubSup>
          <m:sSubSupPr>
            <m:ctrlPr>
              <w:rPr>
                <w:rFonts w:ascii="Cambria Math" w:hAnsi="Cambria Math" w:cs="Arial"/>
                <w:i/>
                <w:sz w:val="16"/>
                <w:szCs w:val="16"/>
              </w:rPr>
            </m:ctrlPr>
          </m:sSubSupPr>
          <m:e>
            <m:r>
              <w:rPr>
                <w:rFonts w:ascii="Cambria Math" w:hAnsi="Cambria Math" w:cs="Arial"/>
                <w:sz w:val="16"/>
                <w:szCs w:val="16"/>
              </w:rPr>
              <m:t>O</m:t>
            </m:r>
          </m:e>
          <m:sub>
            <m:r>
              <w:rPr>
                <w:rFonts w:ascii="Cambria Math" w:hAnsi="Cambria Math" w:cs="Arial"/>
                <w:sz w:val="16"/>
                <w:szCs w:val="16"/>
              </w:rPr>
              <m:t>CPU</m:t>
            </m:r>
          </m:sub>
          <m:sup>
            <m:r>
              <w:rPr>
                <w:rFonts w:ascii="Cambria Math" w:hAnsi="Cambria Math" w:cs="Arial"/>
                <w:sz w:val="16"/>
                <w:szCs w:val="16"/>
              </w:rPr>
              <m:t>(n)</m:t>
            </m:r>
          </m:sup>
        </m:sSubSup>
      </m:oMath>
      <w:r w:rsidRPr="00262F33">
        <w:rPr>
          <w:rFonts w:ascii="Arial" w:hAnsi="Arial" w:cs="Arial"/>
          <w:sz w:val="16"/>
          <w:szCs w:val="16"/>
        </w:rPr>
        <w:t xml:space="preserve">, the UE is not required to update the </w:t>
      </w:r>
      <m:oMath>
        <m:r>
          <w:rPr>
            <w:rFonts w:ascii="Cambria Math" w:hAnsi="Cambria Math" w:cs="Arial"/>
            <w:sz w:val="16"/>
            <w:szCs w:val="16"/>
          </w:rPr>
          <m:t>N-M</m:t>
        </m:r>
      </m:oMath>
      <w:r w:rsidRPr="00262F33">
        <w:rPr>
          <w:rFonts w:ascii="Arial" w:hAnsi="Arial" w:cs="Arial"/>
          <w:sz w:val="16"/>
          <w:szCs w:val="16"/>
        </w:rPr>
        <w:t xml:space="preserve"> requested CSI reports with lowest priority (according to Clause 5.2.5), where </w:t>
      </w:r>
      <m:oMath>
        <m:r>
          <w:rPr>
            <w:rFonts w:ascii="Cambria Math" w:hAnsi="Cambria Math" w:cs="Arial"/>
            <w:sz w:val="16"/>
            <w:szCs w:val="16"/>
          </w:rPr>
          <m:t xml:space="preserve">0≤M≤N </m:t>
        </m:r>
      </m:oMath>
      <w:r w:rsidRPr="00262F33">
        <w:rPr>
          <w:rFonts w:ascii="Arial" w:hAnsi="Arial" w:cs="Arial"/>
          <w:sz w:val="16"/>
          <w:szCs w:val="16"/>
        </w:rPr>
        <w:t xml:space="preserve">is the largest value such that </w:t>
      </w:r>
      <m:oMath>
        <m:nary>
          <m:naryPr>
            <m:chr m:val="∑"/>
            <m:limLoc m:val="subSup"/>
            <m:ctrlPr>
              <w:rPr>
                <w:rFonts w:ascii="Cambria Math" w:hAnsi="Cambria Math" w:cs="Arial"/>
                <w:i/>
                <w:sz w:val="16"/>
                <w:szCs w:val="16"/>
              </w:rPr>
            </m:ctrlPr>
          </m:naryPr>
          <m:sub>
            <m:r>
              <w:rPr>
                <w:rFonts w:ascii="Cambria Math" w:hAnsi="Cambria Math" w:cs="Arial"/>
                <w:sz w:val="16"/>
                <w:szCs w:val="16"/>
              </w:rPr>
              <m:t>n=0</m:t>
            </m:r>
          </m:sub>
          <m:sup>
            <m:r>
              <w:rPr>
                <w:rFonts w:ascii="Cambria Math" w:hAnsi="Cambria Math" w:cs="Arial"/>
                <w:sz w:val="16"/>
                <w:szCs w:val="16"/>
              </w:rPr>
              <m:t>M-1</m:t>
            </m:r>
          </m:sup>
          <m:e>
            <m:sSubSup>
              <m:sSubSupPr>
                <m:ctrlPr>
                  <w:rPr>
                    <w:rFonts w:ascii="Cambria Math" w:hAnsi="Cambria Math" w:cs="Arial"/>
                    <w:i/>
                    <w:sz w:val="16"/>
                    <w:szCs w:val="16"/>
                  </w:rPr>
                </m:ctrlPr>
              </m:sSubSupPr>
              <m:e>
                <m:r>
                  <w:rPr>
                    <w:rFonts w:ascii="Cambria Math" w:hAnsi="Cambria Math" w:cs="Arial"/>
                    <w:sz w:val="16"/>
                    <w:szCs w:val="16"/>
                  </w:rPr>
                  <m:t>O</m:t>
                </m:r>
              </m:e>
              <m:sub>
                <m:r>
                  <w:rPr>
                    <w:rFonts w:ascii="Cambria Math" w:hAnsi="Cambria Math" w:cs="Arial"/>
                    <w:sz w:val="16"/>
                    <w:szCs w:val="16"/>
                  </w:rPr>
                  <m:t>CPU</m:t>
                </m:r>
              </m:sub>
              <m:sup>
                <m:r>
                  <w:rPr>
                    <w:rFonts w:ascii="Cambria Math" w:hAnsi="Cambria Math" w:cs="Arial"/>
                    <w:sz w:val="16"/>
                    <w:szCs w:val="16"/>
                  </w:rPr>
                  <m:t>(n)</m:t>
                </m:r>
              </m:sup>
            </m:sSubSup>
          </m:e>
        </m:nary>
        <m:r>
          <w:rPr>
            <w:rFonts w:ascii="Cambria Math" w:hAnsi="Cambria Math" w:cs="Arial"/>
            <w:sz w:val="16"/>
            <w:szCs w:val="16"/>
          </w:rPr>
          <m:t>≤</m:t>
        </m:r>
        <m:sSub>
          <m:sSubPr>
            <m:ctrlPr>
              <w:rPr>
                <w:rFonts w:ascii="Cambria Math" w:hAnsi="Cambria Math" w:cs="Arial"/>
                <w:i/>
                <w:sz w:val="16"/>
                <w:szCs w:val="16"/>
              </w:rPr>
            </m:ctrlPr>
          </m:sSubPr>
          <m:e>
            <m:r>
              <w:rPr>
                <w:rFonts w:ascii="Cambria Math" w:hAnsi="Cambria Math" w:cs="Arial"/>
                <w:sz w:val="16"/>
                <w:szCs w:val="16"/>
              </w:rPr>
              <m:t>N</m:t>
            </m:r>
          </m:e>
          <m:sub>
            <m:r>
              <w:rPr>
                <w:rFonts w:ascii="Cambria Math" w:hAnsi="Cambria Math" w:cs="Arial"/>
                <w:sz w:val="16"/>
                <w:szCs w:val="16"/>
              </w:rPr>
              <m:t>CPU</m:t>
            </m:r>
          </m:sub>
        </m:sSub>
        <m:r>
          <w:rPr>
            <w:rFonts w:ascii="Cambria Math" w:hAnsi="Cambria Math" w:cs="Arial"/>
            <w:sz w:val="16"/>
            <w:szCs w:val="16"/>
          </w:rPr>
          <m:t>-L</m:t>
        </m:r>
        <m:r>
          <m:rPr>
            <m:sty m:val="p"/>
          </m:rPr>
          <w:rPr>
            <w:rFonts w:ascii="Cambria Math" w:hAnsi="Cambria Math" w:cs="Arial"/>
            <w:sz w:val="16"/>
            <w:szCs w:val="16"/>
          </w:rPr>
          <m:t xml:space="preserve"> </m:t>
        </m:r>
      </m:oMath>
      <w:r w:rsidRPr="00262F33">
        <w:rPr>
          <w:rFonts w:ascii="Arial" w:hAnsi="Arial" w:cs="Arial"/>
          <w:sz w:val="16"/>
          <w:szCs w:val="16"/>
        </w:rPr>
        <w:t xml:space="preserve"> holds. </w:t>
      </w:r>
    </w:p>
    <w:p w14:paraId="60B514F5" w14:textId="77777777" w:rsidR="00262F33" w:rsidRPr="00262F33" w:rsidRDefault="00262F33" w:rsidP="00262F33">
      <w:pPr>
        <w:rPr>
          <w:rFonts w:ascii="Arial" w:hAnsi="Arial" w:cs="Arial"/>
          <w:sz w:val="16"/>
          <w:szCs w:val="16"/>
        </w:rPr>
      </w:pPr>
      <w:r w:rsidRPr="00262F33">
        <w:rPr>
          <w:rFonts w:ascii="Arial" w:hAnsi="Arial" w:cs="Arial"/>
          <w:sz w:val="16"/>
          <w:szCs w:val="16"/>
        </w:rPr>
        <w:t xml:space="preserve">A UE is not expected to be configured with an aperiodic CSI trigger state containing more than </w:t>
      </w:r>
      <m:oMath>
        <m:sSub>
          <m:sSubPr>
            <m:ctrlPr>
              <w:rPr>
                <w:rFonts w:ascii="Cambria Math" w:hAnsi="Cambria Math" w:cs="Arial"/>
                <w:i/>
                <w:sz w:val="16"/>
                <w:szCs w:val="16"/>
              </w:rPr>
            </m:ctrlPr>
          </m:sSubPr>
          <m:e>
            <m:r>
              <w:rPr>
                <w:rFonts w:ascii="Cambria Math" w:hAnsi="Cambria Math" w:cs="Arial"/>
                <w:sz w:val="16"/>
                <w:szCs w:val="16"/>
              </w:rPr>
              <m:t>N</m:t>
            </m:r>
          </m:e>
          <m:sub>
            <m:r>
              <w:rPr>
                <w:rFonts w:ascii="Cambria Math" w:hAnsi="Cambria Math" w:cs="Arial"/>
                <w:sz w:val="16"/>
                <w:szCs w:val="16"/>
              </w:rPr>
              <m:t>CPU</m:t>
            </m:r>
          </m:sub>
        </m:sSub>
      </m:oMath>
      <w:r w:rsidRPr="00262F33">
        <w:rPr>
          <w:rFonts w:ascii="Arial" w:hAnsi="Arial" w:cs="Arial"/>
          <w:sz w:val="16"/>
          <w:szCs w:val="16"/>
        </w:rPr>
        <w:t xml:space="preserve"> Reporting Settings. Processing of a CSI report occupies a number of CPUs for a number of symbols as follows:</w:t>
      </w:r>
    </w:p>
    <w:p w14:paraId="1DF1F178" w14:textId="77777777" w:rsidR="00262F33" w:rsidRPr="00262F33" w:rsidRDefault="00262F33" w:rsidP="00262F33">
      <w:pPr>
        <w:pStyle w:val="B1"/>
        <w:rPr>
          <w:rFonts w:ascii="Arial" w:hAnsi="Arial" w:cs="Arial"/>
          <w:sz w:val="16"/>
          <w:szCs w:val="16"/>
        </w:rPr>
      </w:pPr>
      <w:r w:rsidRPr="00262F33">
        <w:rPr>
          <w:rFonts w:ascii="Arial" w:hAnsi="Arial" w:cs="Arial"/>
          <w:sz w:val="16"/>
          <w:szCs w:val="16"/>
        </w:rPr>
        <w:t>-</w:t>
      </w:r>
      <w:r w:rsidRPr="00262F33">
        <w:rPr>
          <w:rFonts w:ascii="Arial" w:hAnsi="Arial" w:cs="Arial"/>
          <w:sz w:val="16"/>
          <w:szCs w:val="16"/>
        </w:rPr>
        <w:tab/>
      </w:r>
      <m:oMath>
        <m:sSub>
          <m:sSubPr>
            <m:ctrlPr>
              <w:rPr>
                <w:rFonts w:ascii="Cambria Math" w:hAnsi="Cambria Math" w:cs="Arial"/>
                <w:i/>
                <w:color w:val="000000"/>
                <w:sz w:val="16"/>
                <w:szCs w:val="16"/>
              </w:rPr>
            </m:ctrlPr>
          </m:sSubPr>
          <m:e>
            <m:r>
              <w:rPr>
                <w:rFonts w:ascii="Cambria Math" w:hAnsi="Cambria Math" w:cs="Arial"/>
                <w:color w:val="000000"/>
                <w:sz w:val="16"/>
                <w:szCs w:val="16"/>
              </w:rPr>
              <m:t>O</m:t>
            </m:r>
          </m:e>
          <m:sub>
            <m:r>
              <w:rPr>
                <w:rFonts w:ascii="Cambria Math" w:hAnsi="Cambria Math" w:cs="Arial"/>
                <w:color w:val="000000"/>
                <w:sz w:val="16"/>
                <w:szCs w:val="16"/>
              </w:rPr>
              <m:t>CPU</m:t>
            </m:r>
          </m:sub>
        </m:sSub>
        <m:r>
          <w:rPr>
            <w:rFonts w:ascii="Cambria Math" w:hAnsi="Cambria Math" w:cs="Arial"/>
            <w:color w:val="000000"/>
            <w:sz w:val="16"/>
            <w:szCs w:val="16"/>
          </w:rPr>
          <m:t xml:space="preserve">=0  </m:t>
        </m:r>
      </m:oMath>
      <w:r w:rsidRPr="00262F33">
        <w:rPr>
          <w:rFonts w:ascii="Arial" w:hAnsi="Arial" w:cs="Arial"/>
          <w:color w:val="000000"/>
          <w:sz w:val="16"/>
          <w:szCs w:val="16"/>
        </w:rPr>
        <w:t xml:space="preserve">for a CSI report with CSI-ReportConfig with higher layer parameter </w:t>
      </w:r>
      <w:r w:rsidRPr="00262F33">
        <w:rPr>
          <w:rFonts w:ascii="Arial" w:hAnsi="Arial" w:cs="Arial"/>
          <w:i/>
          <w:color w:val="000000"/>
          <w:sz w:val="16"/>
          <w:szCs w:val="16"/>
        </w:rPr>
        <w:t>reportQuantity</w:t>
      </w:r>
      <w:r w:rsidRPr="00262F33">
        <w:rPr>
          <w:rFonts w:ascii="Arial" w:hAnsi="Arial" w:cs="Arial"/>
          <w:color w:val="000000"/>
          <w:sz w:val="16"/>
          <w:szCs w:val="16"/>
        </w:rPr>
        <w:t xml:space="preserve"> set to 'none' and </w:t>
      </w:r>
      <w:r w:rsidRPr="00262F33">
        <w:rPr>
          <w:rFonts w:ascii="Arial" w:hAnsi="Arial" w:cs="Arial"/>
          <w:i/>
          <w:color w:val="000000"/>
          <w:sz w:val="16"/>
          <w:szCs w:val="16"/>
        </w:rPr>
        <w:t>CSI-RS-ResourceSet</w:t>
      </w:r>
      <w:r w:rsidRPr="00262F33">
        <w:rPr>
          <w:rFonts w:ascii="Arial" w:hAnsi="Arial" w:cs="Arial"/>
          <w:color w:val="000000"/>
          <w:sz w:val="16"/>
          <w:szCs w:val="16"/>
        </w:rPr>
        <w:t xml:space="preserve"> with higher layer parameter </w:t>
      </w:r>
      <w:r w:rsidRPr="00262F33">
        <w:rPr>
          <w:rFonts w:ascii="Arial" w:hAnsi="Arial" w:cs="Arial"/>
          <w:i/>
          <w:color w:val="000000"/>
          <w:sz w:val="16"/>
          <w:szCs w:val="16"/>
        </w:rPr>
        <w:t>trs-Info</w:t>
      </w:r>
      <w:r w:rsidRPr="00262F33">
        <w:rPr>
          <w:rFonts w:ascii="Arial" w:hAnsi="Arial" w:cs="Arial"/>
          <w:color w:val="000000"/>
          <w:sz w:val="16"/>
          <w:szCs w:val="16"/>
        </w:rPr>
        <w:t xml:space="preserve"> configured</w:t>
      </w:r>
    </w:p>
    <w:p w14:paraId="65C942BC" w14:textId="77777777" w:rsidR="00262F33" w:rsidRPr="00262F33" w:rsidRDefault="00262F33" w:rsidP="00262F33">
      <w:pPr>
        <w:pStyle w:val="B1"/>
        <w:rPr>
          <w:rFonts w:ascii="Arial" w:hAnsi="Arial" w:cs="Arial"/>
          <w:color w:val="000000"/>
          <w:sz w:val="16"/>
          <w:szCs w:val="16"/>
        </w:rPr>
      </w:pPr>
      <w:r w:rsidRPr="00262F33">
        <w:rPr>
          <w:rFonts w:ascii="Arial" w:hAnsi="Arial" w:cs="Arial"/>
          <w:sz w:val="16"/>
          <w:szCs w:val="16"/>
        </w:rPr>
        <w:t>-</w:t>
      </w:r>
      <w:r w:rsidRPr="00262F33">
        <w:rPr>
          <w:rFonts w:ascii="Arial" w:hAnsi="Arial" w:cs="Arial"/>
          <w:sz w:val="16"/>
          <w:szCs w:val="16"/>
        </w:rPr>
        <w:tab/>
      </w:r>
      <m:oMath>
        <m:sSub>
          <m:sSubPr>
            <m:ctrlPr>
              <w:rPr>
                <w:rFonts w:ascii="Cambria Math" w:hAnsi="Cambria Math" w:cs="Arial"/>
                <w:i/>
                <w:sz w:val="16"/>
                <w:szCs w:val="16"/>
              </w:rPr>
            </m:ctrlPr>
          </m:sSubPr>
          <m:e>
            <m:r>
              <w:rPr>
                <w:rFonts w:ascii="Cambria Math" w:hAnsi="Cambria Math" w:cs="Arial"/>
                <w:sz w:val="16"/>
                <w:szCs w:val="16"/>
              </w:rPr>
              <m:t>O</m:t>
            </m:r>
          </m:e>
          <m:sub>
            <m:r>
              <w:rPr>
                <w:rFonts w:ascii="Cambria Math" w:hAnsi="Cambria Math" w:cs="Arial"/>
                <w:sz w:val="16"/>
                <w:szCs w:val="16"/>
              </w:rPr>
              <m:t>CPU</m:t>
            </m:r>
          </m:sub>
        </m:sSub>
        <m:r>
          <w:rPr>
            <w:rFonts w:ascii="Cambria Math" w:hAnsi="Cambria Math" w:cs="Arial"/>
            <w:sz w:val="16"/>
            <w:szCs w:val="16"/>
          </w:rPr>
          <m:t xml:space="preserve">=1 </m:t>
        </m:r>
      </m:oMath>
      <w:r w:rsidRPr="00262F33">
        <w:rPr>
          <w:rFonts w:ascii="Arial" w:hAnsi="Arial" w:cs="Arial"/>
          <w:sz w:val="16"/>
          <w:szCs w:val="16"/>
        </w:rPr>
        <w:t xml:space="preserve"> for </w:t>
      </w:r>
      <w:r w:rsidRPr="00262F33">
        <w:rPr>
          <w:rFonts w:ascii="Arial" w:hAnsi="Arial" w:cs="Arial"/>
          <w:color w:val="FF0000"/>
          <w:sz w:val="16"/>
          <w:szCs w:val="16"/>
          <w:u w:val="single"/>
        </w:rPr>
        <w:t>a CSI report with</w:t>
      </w:r>
      <w:r w:rsidRPr="00262F33">
        <w:rPr>
          <w:rFonts w:ascii="Arial" w:hAnsi="Arial" w:cs="Arial"/>
          <w:i/>
          <w:iCs/>
          <w:color w:val="FF0000"/>
          <w:sz w:val="16"/>
          <w:szCs w:val="16"/>
          <w:u w:val="single"/>
        </w:rPr>
        <w:t xml:space="preserve"> LTM-CSI-</w:t>
      </w:r>
      <w:r w:rsidRPr="00262F33">
        <w:rPr>
          <w:rFonts w:ascii="Arial" w:hAnsi="Arial" w:cs="Arial"/>
          <w:i/>
          <w:iCs/>
          <w:color w:val="FF0000"/>
          <w:sz w:val="16"/>
          <w:szCs w:val="16"/>
        </w:rPr>
        <w:t>ReportConfig</w:t>
      </w:r>
      <w:r w:rsidRPr="00262F33">
        <w:rPr>
          <w:rFonts w:ascii="Arial" w:hAnsi="Arial" w:cs="Arial"/>
          <w:color w:val="FF0000"/>
          <w:sz w:val="16"/>
          <w:szCs w:val="16"/>
        </w:rPr>
        <w:t xml:space="preserve"> </w:t>
      </w:r>
      <w:r w:rsidRPr="00262F33">
        <w:rPr>
          <w:rFonts w:ascii="Arial" w:hAnsi="Arial" w:cs="Arial"/>
          <w:sz w:val="16"/>
          <w:szCs w:val="16"/>
        </w:rPr>
        <w:t xml:space="preserve">or a CSI report with </w:t>
      </w:r>
      <w:r w:rsidRPr="00262F33">
        <w:rPr>
          <w:rFonts w:ascii="Arial" w:hAnsi="Arial" w:cs="Arial"/>
          <w:i/>
          <w:sz w:val="16"/>
          <w:szCs w:val="16"/>
        </w:rPr>
        <w:t>CSI-ReportConfig</w:t>
      </w:r>
      <w:r w:rsidRPr="00262F33">
        <w:rPr>
          <w:rFonts w:ascii="Arial" w:hAnsi="Arial" w:cs="Arial"/>
          <w:sz w:val="16"/>
          <w:szCs w:val="16"/>
        </w:rPr>
        <w:t xml:space="preserve"> with higher layer parameter </w:t>
      </w:r>
      <w:r w:rsidRPr="00262F33">
        <w:rPr>
          <w:rFonts w:ascii="Arial" w:hAnsi="Arial" w:cs="Arial"/>
          <w:i/>
          <w:sz w:val="16"/>
          <w:szCs w:val="16"/>
        </w:rPr>
        <w:t>reportQuantity</w:t>
      </w:r>
      <w:r w:rsidRPr="00262F33">
        <w:rPr>
          <w:rFonts w:ascii="Arial" w:hAnsi="Arial" w:cs="Arial"/>
          <w:sz w:val="16"/>
          <w:szCs w:val="16"/>
        </w:rPr>
        <w:t xml:space="preserve"> set to 'cri-RSRP', 'ssb-Index-RSRP', 'cri-SINR', 'ssb-Index-SINR', 'cri-RSRP- Index', 'ssb-Index-RSRP- Index', 'cri-SINR- Index', 'ssb-Index-SINR- Index ' or '</w:t>
      </w:r>
      <w:r w:rsidRPr="00262F33">
        <w:rPr>
          <w:rFonts w:ascii="Arial" w:hAnsi="Arial" w:cs="Arial"/>
          <w:color w:val="000000"/>
          <w:sz w:val="16"/>
          <w:szCs w:val="16"/>
        </w:rPr>
        <w:t xml:space="preserve">none' (and </w:t>
      </w:r>
      <w:r w:rsidRPr="00262F33">
        <w:rPr>
          <w:rFonts w:ascii="Arial" w:hAnsi="Arial" w:cs="Arial"/>
          <w:i/>
          <w:color w:val="000000"/>
          <w:sz w:val="16"/>
          <w:szCs w:val="16"/>
        </w:rPr>
        <w:t>CSI-RS-ResourceSet</w:t>
      </w:r>
      <w:r w:rsidRPr="00262F33">
        <w:rPr>
          <w:rFonts w:ascii="Arial" w:hAnsi="Arial" w:cs="Arial"/>
          <w:color w:val="000000"/>
          <w:sz w:val="16"/>
          <w:szCs w:val="16"/>
        </w:rPr>
        <w:t xml:space="preserve"> with higher layer parameter </w:t>
      </w:r>
      <w:r w:rsidRPr="00262F33">
        <w:rPr>
          <w:rFonts w:ascii="Arial" w:hAnsi="Arial" w:cs="Arial"/>
          <w:i/>
          <w:color w:val="000000"/>
          <w:sz w:val="16"/>
          <w:szCs w:val="16"/>
        </w:rPr>
        <w:t xml:space="preserve">trs-Info </w:t>
      </w:r>
      <w:r w:rsidRPr="00262F33">
        <w:rPr>
          <w:rFonts w:ascii="Arial" w:hAnsi="Arial" w:cs="Arial"/>
          <w:color w:val="000000"/>
          <w:sz w:val="16"/>
          <w:szCs w:val="16"/>
        </w:rPr>
        <w:t>not configured)</w:t>
      </w:r>
    </w:p>
    <w:p w14:paraId="75BFDFC3" w14:textId="6948F477" w:rsidR="00262F33" w:rsidRPr="00262F33" w:rsidRDefault="00262F33" w:rsidP="00262F33">
      <w:pPr>
        <w:rPr>
          <w:color w:val="FF0000"/>
          <w:lang w:val="en-US" w:eastAsia="x-none"/>
        </w:rPr>
      </w:pPr>
      <w:r w:rsidRPr="00262F33">
        <w:rPr>
          <w:color w:val="FF0000"/>
          <w:lang w:val="en-US" w:eastAsia="x-none"/>
        </w:rPr>
        <w:t xml:space="preserve">----------- </w:t>
      </w:r>
      <w:r>
        <w:rPr>
          <w:color w:val="FF0000"/>
          <w:lang w:val="en-US" w:eastAsia="x-none"/>
        </w:rPr>
        <w:t>End</w:t>
      </w:r>
      <w:r w:rsidRPr="00262F33">
        <w:rPr>
          <w:color w:val="FF0000"/>
          <w:lang w:val="en-US" w:eastAsia="x-none"/>
        </w:rPr>
        <w:t xml:space="preserve"> of TP -----------</w:t>
      </w:r>
    </w:p>
    <w:p w14:paraId="237C8C54" w14:textId="77777777" w:rsidR="00262F33" w:rsidRPr="00262F33" w:rsidRDefault="00262F33" w:rsidP="00A46496">
      <w:pPr>
        <w:rPr>
          <w:lang w:val="en-US" w:eastAsia="x-none"/>
        </w:rPr>
      </w:pPr>
    </w:p>
    <w:p w14:paraId="7A807A5F" w14:textId="77777777" w:rsidR="00262F33" w:rsidRPr="009537ED" w:rsidRDefault="00262F33" w:rsidP="00A46496">
      <w:pPr>
        <w:rPr>
          <w:lang w:eastAsia="x-none"/>
        </w:rPr>
      </w:pPr>
    </w:p>
    <w:p w14:paraId="6CEF74A5" w14:textId="458F1689" w:rsidR="00A46496" w:rsidRPr="008012CD" w:rsidRDefault="005A18DC" w:rsidP="00A46496">
      <w:pPr>
        <w:rPr>
          <w:b/>
          <w:bCs/>
          <w:lang w:eastAsia="x-none"/>
        </w:rPr>
      </w:pPr>
      <w:hyperlink r:id="rId1469" w:history="1">
        <w:r w:rsidR="00AF7253">
          <w:rPr>
            <w:rStyle w:val="Hyperlink"/>
            <w:b/>
            <w:bCs/>
            <w:lang w:eastAsia="x-none"/>
          </w:rPr>
          <w:t>R1-2311038</w:t>
        </w:r>
      </w:hyperlink>
      <w:r w:rsidR="00A46496" w:rsidRPr="008012CD">
        <w:rPr>
          <w:b/>
          <w:bCs/>
          <w:lang w:eastAsia="x-none"/>
        </w:rPr>
        <w:tab/>
        <w:t>Final FL summary on L1 enhancements for inter-cell beam management</w:t>
      </w:r>
      <w:r w:rsidR="00A46496" w:rsidRPr="008012CD">
        <w:rPr>
          <w:b/>
          <w:bCs/>
          <w:lang w:eastAsia="x-none"/>
        </w:rPr>
        <w:tab/>
        <w:t>Moderator (Fujitsu)</w:t>
      </w:r>
    </w:p>
    <w:p w14:paraId="651E7D59" w14:textId="73E4F9FC" w:rsidR="00C54505" w:rsidRDefault="008012CD" w:rsidP="00F74A6F">
      <w:pPr>
        <w:rPr>
          <w:lang w:eastAsia="x-none"/>
        </w:rPr>
      </w:pPr>
      <w:r>
        <w:rPr>
          <w:lang w:eastAsia="x-none"/>
        </w:rPr>
        <w:t>From Friday session</w:t>
      </w:r>
    </w:p>
    <w:p w14:paraId="3C5F16C4" w14:textId="77777777" w:rsidR="008012CD" w:rsidRPr="008012CD" w:rsidRDefault="008012CD" w:rsidP="008012CD">
      <w:pPr>
        <w:rPr>
          <w:rFonts w:ascii="Times New Roman" w:hAnsi="Times New Roman"/>
          <w:szCs w:val="20"/>
          <w:lang w:val="en-US" w:eastAsia="x-none"/>
        </w:rPr>
      </w:pPr>
      <w:r w:rsidRPr="008012CD">
        <w:rPr>
          <w:rFonts w:ascii="Times New Roman" w:hAnsi="Times New Roman"/>
          <w:szCs w:val="20"/>
          <w:highlight w:val="green"/>
          <w:lang w:val="en-US" w:eastAsia="x-none"/>
        </w:rPr>
        <w:t>Agreement</w:t>
      </w:r>
    </w:p>
    <w:p w14:paraId="26F93D57" w14:textId="77777777" w:rsidR="008012CD" w:rsidRPr="008012CD" w:rsidRDefault="008012CD" w:rsidP="008012CD">
      <w:pPr>
        <w:rPr>
          <w:rFonts w:ascii="Times New Roman" w:hAnsi="Times New Roman"/>
          <w:szCs w:val="20"/>
          <w:lang w:val="en-US" w:eastAsia="x-none"/>
        </w:rPr>
      </w:pPr>
      <w:r w:rsidRPr="008012CD">
        <w:rPr>
          <w:rFonts w:ascii="Times New Roman" w:hAnsi="Times New Roman"/>
          <w:szCs w:val="20"/>
          <w:lang w:val="en-US" w:eastAsia="x-none"/>
        </w:rPr>
        <w:t>The TCI state indicated in the cell switch command is associated with LTM TCI state pool of the target cell, i.e. configured under LTM-Candidate-r18.</w:t>
      </w:r>
    </w:p>
    <w:p w14:paraId="42B2E7CE" w14:textId="77777777" w:rsidR="008012CD" w:rsidRPr="008012CD" w:rsidRDefault="008012CD" w:rsidP="008012CD">
      <w:pPr>
        <w:rPr>
          <w:rFonts w:ascii="Times New Roman" w:hAnsi="Times New Roman"/>
          <w:szCs w:val="20"/>
          <w:lang w:val="en-US" w:eastAsia="x-none"/>
        </w:rPr>
      </w:pPr>
    </w:p>
    <w:p w14:paraId="6473A253" w14:textId="77777777" w:rsidR="008012CD" w:rsidRPr="008012CD" w:rsidRDefault="008012CD" w:rsidP="008012CD">
      <w:pPr>
        <w:rPr>
          <w:rFonts w:ascii="Times New Roman" w:hAnsi="Times New Roman"/>
          <w:szCs w:val="20"/>
          <w:lang w:val="en-US" w:eastAsia="x-none"/>
        </w:rPr>
      </w:pPr>
      <w:r w:rsidRPr="008012CD">
        <w:rPr>
          <w:rFonts w:ascii="Times New Roman" w:hAnsi="Times New Roman"/>
          <w:szCs w:val="20"/>
          <w:highlight w:val="green"/>
          <w:lang w:val="en-US" w:eastAsia="x-none"/>
        </w:rPr>
        <w:t>Agreement</w:t>
      </w:r>
    </w:p>
    <w:p w14:paraId="432737D9" w14:textId="77777777" w:rsidR="008012CD" w:rsidRPr="008012CD" w:rsidRDefault="008012CD" w:rsidP="008012CD">
      <w:pPr>
        <w:rPr>
          <w:rFonts w:ascii="Times New Roman" w:hAnsi="Times New Roman"/>
          <w:szCs w:val="20"/>
        </w:rPr>
      </w:pPr>
      <w:r w:rsidRPr="008012CD">
        <w:rPr>
          <w:rFonts w:ascii="Times New Roman" w:hAnsi="Times New Roman"/>
          <w:szCs w:val="20"/>
          <w:lang w:val="en-US"/>
        </w:rPr>
        <w:t xml:space="preserve">For the priority rule for CSI report, </w:t>
      </w:r>
      <w:r w:rsidRPr="008012CD">
        <w:rPr>
          <w:rFonts w:ascii="Times New Roman" w:hAnsi="Times New Roman"/>
          <w:szCs w:val="20"/>
        </w:rPr>
        <w:t>LTM CSI report is prioritized over legacy CSI report.</w:t>
      </w:r>
    </w:p>
    <w:p w14:paraId="529656AC" w14:textId="77777777" w:rsidR="008012CD" w:rsidRPr="008012CD" w:rsidRDefault="008012CD" w:rsidP="008012CD">
      <w:pPr>
        <w:rPr>
          <w:rFonts w:ascii="Times New Roman" w:hAnsi="Times New Roman"/>
          <w:szCs w:val="20"/>
        </w:rPr>
      </w:pPr>
    </w:p>
    <w:p w14:paraId="6C87F254" w14:textId="77777777" w:rsidR="008012CD" w:rsidRPr="008012CD" w:rsidRDefault="008012CD" w:rsidP="008012CD">
      <w:pPr>
        <w:rPr>
          <w:rFonts w:ascii="Times New Roman" w:hAnsi="Times New Roman"/>
          <w:bCs/>
          <w:szCs w:val="20"/>
          <w:u w:val="single"/>
        </w:rPr>
      </w:pPr>
      <w:r w:rsidRPr="008012CD">
        <w:rPr>
          <w:rFonts w:ascii="Times New Roman" w:hAnsi="Times New Roman"/>
          <w:bCs/>
          <w:szCs w:val="20"/>
          <w:u w:val="single"/>
        </w:rPr>
        <w:t>Conclusion</w:t>
      </w:r>
    </w:p>
    <w:p w14:paraId="3668654C" w14:textId="6505D2E9" w:rsidR="008012CD" w:rsidRPr="008012CD" w:rsidRDefault="008012CD" w:rsidP="008012CD">
      <w:pPr>
        <w:snapToGrid w:val="0"/>
        <w:jc w:val="both"/>
        <w:rPr>
          <w:rFonts w:ascii="Times New Roman" w:hAnsi="Times New Roman"/>
          <w:szCs w:val="20"/>
          <w:lang w:eastAsia="zh-CN"/>
        </w:rPr>
      </w:pPr>
      <w:r w:rsidRPr="008012CD">
        <w:rPr>
          <w:rFonts w:ascii="Times New Roman" w:hAnsi="Times New Roman"/>
          <w:szCs w:val="20"/>
          <w:lang w:eastAsia="zh-CN"/>
        </w:rPr>
        <w:t>Accumulation of PUSCH/PUCCH/SRS closed loop power control for indicated target cell has been reset when the cell switch command takes effect</w:t>
      </w:r>
      <w:r>
        <w:rPr>
          <w:rFonts w:ascii="Times New Roman" w:hAnsi="Times New Roman"/>
          <w:szCs w:val="20"/>
          <w:lang w:eastAsia="zh-CN"/>
        </w:rPr>
        <w:t>.</w:t>
      </w:r>
    </w:p>
    <w:p w14:paraId="5E02D3EC" w14:textId="77777777" w:rsidR="008012CD" w:rsidRPr="008012CD" w:rsidRDefault="008012CD" w:rsidP="008012CD">
      <w:pPr>
        <w:rPr>
          <w:rFonts w:ascii="Times New Roman" w:hAnsi="Times New Roman"/>
          <w:szCs w:val="20"/>
        </w:rPr>
      </w:pPr>
      <w:r w:rsidRPr="008012CD">
        <w:rPr>
          <w:rFonts w:ascii="Times New Roman" w:hAnsi="Times New Roman"/>
          <w:szCs w:val="20"/>
          <w:lang w:eastAsia="zh-CN"/>
        </w:rPr>
        <w:t>Note: Necessity of the CR needs further discussion: come back in the future meeting if the necessity is identified.</w:t>
      </w:r>
    </w:p>
    <w:p w14:paraId="2D88F13B" w14:textId="77777777" w:rsidR="008012CD" w:rsidRPr="008012CD" w:rsidRDefault="008012CD" w:rsidP="008012CD">
      <w:pPr>
        <w:rPr>
          <w:rFonts w:ascii="Times New Roman" w:hAnsi="Times New Roman"/>
          <w:szCs w:val="20"/>
        </w:rPr>
      </w:pPr>
    </w:p>
    <w:p w14:paraId="799B3EDE" w14:textId="77777777" w:rsidR="008012CD" w:rsidRPr="008012CD" w:rsidRDefault="008012CD" w:rsidP="008012CD">
      <w:pPr>
        <w:rPr>
          <w:rFonts w:ascii="Times New Roman" w:hAnsi="Times New Roman"/>
          <w:bCs/>
          <w:szCs w:val="20"/>
          <w:u w:val="single"/>
        </w:rPr>
      </w:pPr>
      <w:r w:rsidRPr="008012CD">
        <w:rPr>
          <w:rFonts w:ascii="Times New Roman" w:hAnsi="Times New Roman"/>
          <w:bCs/>
          <w:szCs w:val="20"/>
          <w:u w:val="single"/>
        </w:rPr>
        <w:t>Conclusion</w:t>
      </w:r>
    </w:p>
    <w:p w14:paraId="53C7D411" w14:textId="2B792D48" w:rsidR="008012CD" w:rsidRPr="008012CD" w:rsidRDefault="008012CD" w:rsidP="008012CD">
      <w:pPr>
        <w:rPr>
          <w:rFonts w:ascii="Times New Roman" w:hAnsi="Times New Roman"/>
          <w:szCs w:val="20"/>
        </w:rPr>
      </w:pPr>
      <w:r w:rsidRPr="008012CD">
        <w:rPr>
          <w:rFonts w:ascii="Times New Roman" w:hAnsi="Times New Roman"/>
          <w:szCs w:val="20"/>
        </w:rPr>
        <w:t>The following proposal is not pursued in Rel-18</w:t>
      </w:r>
      <w:r>
        <w:rPr>
          <w:rFonts w:ascii="Times New Roman" w:hAnsi="Times New Roman"/>
          <w:szCs w:val="20"/>
        </w:rPr>
        <w:t>.</w:t>
      </w:r>
    </w:p>
    <w:p w14:paraId="341F6F1C" w14:textId="62CAE790" w:rsidR="008012CD" w:rsidRPr="008012CD" w:rsidRDefault="008012CD" w:rsidP="00A67145">
      <w:pPr>
        <w:numPr>
          <w:ilvl w:val="0"/>
          <w:numId w:val="229"/>
        </w:numPr>
        <w:rPr>
          <w:rFonts w:ascii="Times New Roman" w:hAnsi="Times New Roman"/>
          <w:szCs w:val="20"/>
        </w:rPr>
      </w:pPr>
      <w:r w:rsidRPr="008012CD">
        <w:rPr>
          <w:rFonts w:ascii="Times New Roman" w:hAnsi="Times New Roman"/>
          <w:szCs w:val="20"/>
        </w:rPr>
        <w:t>A MAC CE is introduced to activate/deactivate the SSB(s)/cell(s) configured in the L1 measurement report</w:t>
      </w:r>
      <w:r>
        <w:rPr>
          <w:rFonts w:ascii="Times New Roman" w:hAnsi="Times New Roman"/>
          <w:szCs w:val="20"/>
        </w:rPr>
        <w:t>.</w:t>
      </w:r>
    </w:p>
    <w:p w14:paraId="34F66455" w14:textId="77777777" w:rsidR="008012CD" w:rsidRPr="008012CD" w:rsidRDefault="008012CD" w:rsidP="008012CD">
      <w:pPr>
        <w:rPr>
          <w:rFonts w:ascii="Times New Roman" w:hAnsi="Times New Roman"/>
          <w:szCs w:val="20"/>
        </w:rPr>
      </w:pPr>
    </w:p>
    <w:p w14:paraId="6B73DE94" w14:textId="77777777" w:rsidR="008012CD" w:rsidRPr="008012CD" w:rsidRDefault="008012CD" w:rsidP="008012CD">
      <w:pPr>
        <w:rPr>
          <w:rFonts w:ascii="Times New Roman" w:hAnsi="Times New Roman"/>
          <w:szCs w:val="20"/>
        </w:rPr>
      </w:pPr>
      <w:r w:rsidRPr="008012CD">
        <w:rPr>
          <w:rFonts w:ascii="Times New Roman" w:hAnsi="Times New Roman"/>
          <w:szCs w:val="20"/>
          <w:highlight w:val="green"/>
        </w:rPr>
        <w:t>Agreement</w:t>
      </w:r>
    </w:p>
    <w:p w14:paraId="572EBB77" w14:textId="77777777" w:rsidR="008012CD" w:rsidRPr="008012CD" w:rsidRDefault="008012CD" w:rsidP="008012CD">
      <w:pPr>
        <w:snapToGrid w:val="0"/>
        <w:jc w:val="both"/>
        <w:rPr>
          <w:rFonts w:ascii="Times New Roman" w:hAnsi="Times New Roman"/>
          <w:szCs w:val="20"/>
          <w:lang w:val="en-US" w:eastAsia="x-none"/>
        </w:rPr>
      </w:pPr>
      <w:r w:rsidRPr="008012CD">
        <w:rPr>
          <w:rFonts w:ascii="Times New Roman" w:hAnsi="Times New Roman"/>
          <w:szCs w:val="20"/>
          <w:lang w:val="en-US" w:eastAsia="x-none"/>
        </w:rPr>
        <w:t>After RACH procedure until a new TCI state is indicated by the target cell, a UE follows the indicated TCI-state in the cell switch command at least for CFRA triggered by cell switch command.</w:t>
      </w:r>
    </w:p>
    <w:p w14:paraId="36DAAD0E" w14:textId="77777777" w:rsidR="008012CD" w:rsidRDefault="008012CD" w:rsidP="008012CD">
      <w:pPr>
        <w:rPr>
          <w:rFonts w:ascii="Times New Roman" w:hAnsi="Times New Roman"/>
          <w:szCs w:val="20"/>
          <w:lang w:val="en-US" w:eastAsia="x-none"/>
        </w:rPr>
      </w:pPr>
    </w:p>
    <w:p w14:paraId="1373C483" w14:textId="77777777" w:rsidR="008012CD" w:rsidRDefault="008012CD" w:rsidP="008012CD">
      <w:pPr>
        <w:rPr>
          <w:rFonts w:ascii="Times New Roman" w:hAnsi="Times New Roman"/>
          <w:szCs w:val="20"/>
          <w:lang w:val="en-US" w:eastAsia="x-none"/>
        </w:rPr>
      </w:pPr>
    </w:p>
    <w:p w14:paraId="7E2DD058" w14:textId="66DD1B77" w:rsidR="008012CD" w:rsidRPr="008012CD" w:rsidRDefault="008012CD" w:rsidP="008012CD">
      <w:pPr>
        <w:rPr>
          <w:rFonts w:ascii="Times New Roman" w:hAnsi="Times New Roman"/>
          <w:szCs w:val="20"/>
          <w:lang w:val="en-US" w:eastAsia="x-none"/>
        </w:rPr>
      </w:pPr>
      <w:r>
        <w:rPr>
          <w:rFonts w:ascii="Times New Roman" w:hAnsi="Times New Roman"/>
          <w:szCs w:val="20"/>
          <w:lang w:val="en-US" w:eastAsia="x-none"/>
        </w:rPr>
        <w:t xml:space="preserve">Final summary revised in </w:t>
      </w:r>
      <w:hyperlink r:id="rId1470" w:history="1">
        <w:r w:rsidR="00AF7253">
          <w:rPr>
            <w:rStyle w:val="Hyperlink"/>
            <w:rFonts w:ascii="Times New Roman" w:hAnsi="Times New Roman"/>
            <w:szCs w:val="20"/>
            <w:lang w:val="en-US" w:eastAsia="x-none"/>
          </w:rPr>
          <w:t>R1-2312678</w:t>
        </w:r>
      </w:hyperlink>
      <w:r>
        <w:rPr>
          <w:rFonts w:ascii="Times New Roman" w:hAnsi="Times New Roman"/>
          <w:szCs w:val="20"/>
          <w:lang w:val="en-US" w:eastAsia="x-none"/>
        </w:rPr>
        <w:t>.</w:t>
      </w:r>
    </w:p>
    <w:p w14:paraId="3F97C7AD" w14:textId="77777777" w:rsidR="00F74A6F" w:rsidRPr="009537ED" w:rsidRDefault="00F74A6F" w:rsidP="007D4A8D">
      <w:pPr>
        <w:pStyle w:val="Heading3"/>
      </w:pPr>
      <w:bookmarkStart w:id="671" w:name="_Toc150174474"/>
      <w:bookmarkStart w:id="672" w:name="_Toc159251016"/>
      <w:r w:rsidRPr="009537ED">
        <w:t>Timing advance management to reduce latency</w:t>
      </w:r>
      <w:bookmarkEnd w:id="671"/>
      <w:bookmarkEnd w:id="672"/>
    </w:p>
    <w:p w14:paraId="3CD413B6" w14:textId="5AB8420F" w:rsidR="00F74A6F" w:rsidRPr="009537ED" w:rsidRDefault="005A18DC" w:rsidP="00F74A6F">
      <w:pPr>
        <w:rPr>
          <w:lang w:eastAsia="x-none"/>
        </w:rPr>
      </w:pPr>
      <w:hyperlink r:id="rId1471" w:history="1">
        <w:r w:rsidR="00AF7253">
          <w:rPr>
            <w:rStyle w:val="Hyperlink"/>
            <w:lang w:eastAsia="x-none"/>
          </w:rPr>
          <w:t>R1-2310831</w:t>
        </w:r>
      </w:hyperlink>
      <w:r w:rsidR="00F74A6F" w:rsidRPr="009537ED">
        <w:rPr>
          <w:lang w:eastAsia="x-none"/>
        </w:rPr>
        <w:tab/>
        <w:t>Remaining issues with UE based TA determination</w:t>
      </w:r>
      <w:r w:rsidR="00F74A6F" w:rsidRPr="009537ED">
        <w:rPr>
          <w:lang w:eastAsia="x-none"/>
        </w:rPr>
        <w:tab/>
        <w:t>FUTUREWEI</w:t>
      </w:r>
    </w:p>
    <w:p w14:paraId="2F050695" w14:textId="029D9841" w:rsidR="00F74A6F" w:rsidRPr="009537ED" w:rsidRDefault="005A18DC" w:rsidP="00F74A6F">
      <w:pPr>
        <w:rPr>
          <w:lang w:eastAsia="x-none"/>
        </w:rPr>
      </w:pPr>
      <w:hyperlink r:id="rId1472" w:history="1">
        <w:r w:rsidR="00AF7253">
          <w:rPr>
            <w:rStyle w:val="Hyperlink"/>
            <w:lang w:eastAsia="x-none"/>
          </w:rPr>
          <w:t>R1-2310849</w:t>
        </w:r>
      </w:hyperlink>
      <w:r w:rsidR="00F74A6F" w:rsidRPr="009537ED">
        <w:rPr>
          <w:lang w:eastAsia="x-none"/>
        </w:rPr>
        <w:tab/>
        <w:t>Maintenance of timing advance management to reduce latency</w:t>
      </w:r>
      <w:r w:rsidR="00F74A6F" w:rsidRPr="009537ED">
        <w:rPr>
          <w:lang w:eastAsia="x-none"/>
        </w:rPr>
        <w:tab/>
        <w:t>Huawei, HiSilicon</w:t>
      </w:r>
    </w:p>
    <w:p w14:paraId="6EDA5752" w14:textId="595DC6E2" w:rsidR="00F74A6F" w:rsidRPr="009537ED" w:rsidRDefault="005A18DC" w:rsidP="00F74A6F">
      <w:pPr>
        <w:rPr>
          <w:lang w:eastAsia="x-none"/>
        </w:rPr>
      </w:pPr>
      <w:hyperlink r:id="rId1473" w:history="1">
        <w:r w:rsidR="00AF7253">
          <w:rPr>
            <w:rStyle w:val="Hyperlink"/>
            <w:lang w:eastAsia="x-none"/>
          </w:rPr>
          <w:t>R1-2310955</w:t>
        </w:r>
      </w:hyperlink>
      <w:r w:rsidR="00F74A6F" w:rsidRPr="009537ED">
        <w:rPr>
          <w:lang w:eastAsia="x-none"/>
        </w:rPr>
        <w:tab/>
        <w:t>Maintenance on TA management to reduce latency</w:t>
      </w:r>
      <w:r w:rsidR="00F74A6F" w:rsidRPr="009537ED">
        <w:rPr>
          <w:lang w:eastAsia="x-none"/>
        </w:rPr>
        <w:tab/>
        <w:t>ZTE</w:t>
      </w:r>
    </w:p>
    <w:p w14:paraId="4954D2C9" w14:textId="21E5EFC3" w:rsidR="00F74A6F" w:rsidRPr="009537ED" w:rsidRDefault="005A18DC" w:rsidP="00F74A6F">
      <w:pPr>
        <w:rPr>
          <w:lang w:eastAsia="x-none"/>
        </w:rPr>
      </w:pPr>
      <w:hyperlink r:id="rId1474" w:history="1">
        <w:r w:rsidR="00AF7253">
          <w:rPr>
            <w:rStyle w:val="Hyperlink"/>
            <w:lang w:eastAsia="x-none"/>
          </w:rPr>
          <w:t>R1-2310973</w:t>
        </w:r>
      </w:hyperlink>
      <w:r w:rsidR="00F74A6F" w:rsidRPr="009537ED">
        <w:rPr>
          <w:lang w:eastAsia="x-none"/>
        </w:rPr>
        <w:tab/>
        <w:t>Maintenance of TA management for LTM</w:t>
      </w:r>
      <w:r w:rsidR="00F74A6F" w:rsidRPr="009537ED">
        <w:rPr>
          <w:lang w:eastAsia="x-none"/>
        </w:rPr>
        <w:tab/>
        <w:t>Ericsson</w:t>
      </w:r>
    </w:p>
    <w:p w14:paraId="5627355F" w14:textId="0A1F42C9" w:rsidR="00F74A6F" w:rsidRPr="009537ED" w:rsidRDefault="005A18DC" w:rsidP="00F74A6F">
      <w:pPr>
        <w:rPr>
          <w:lang w:eastAsia="x-none"/>
        </w:rPr>
      </w:pPr>
      <w:hyperlink r:id="rId1475" w:history="1">
        <w:r w:rsidR="00AF7253">
          <w:rPr>
            <w:rStyle w:val="Hyperlink"/>
            <w:lang w:eastAsia="x-none"/>
          </w:rPr>
          <w:t>R1-2311106</w:t>
        </w:r>
      </w:hyperlink>
      <w:r w:rsidR="00F74A6F" w:rsidRPr="009537ED">
        <w:rPr>
          <w:lang w:eastAsia="x-none"/>
        </w:rPr>
        <w:tab/>
        <w:t>Discussion on TA management for L1/L2-triggered Mobility</w:t>
      </w:r>
      <w:r w:rsidR="00F74A6F" w:rsidRPr="009537ED">
        <w:rPr>
          <w:lang w:eastAsia="x-none"/>
        </w:rPr>
        <w:tab/>
        <w:t>vivo</w:t>
      </w:r>
    </w:p>
    <w:p w14:paraId="39375AE0" w14:textId="5AE89B68" w:rsidR="00F74A6F" w:rsidRPr="009537ED" w:rsidRDefault="005A18DC" w:rsidP="00F74A6F">
      <w:pPr>
        <w:rPr>
          <w:lang w:eastAsia="x-none"/>
        </w:rPr>
      </w:pPr>
      <w:hyperlink r:id="rId1476" w:history="1">
        <w:r w:rsidR="00AF7253">
          <w:rPr>
            <w:rStyle w:val="Hyperlink"/>
            <w:lang w:eastAsia="x-none"/>
          </w:rPr>
          <w:t>R1-2311173</w:t>
        </w:r>
      </w:hyperlink>
      <w:r w:rsidR="00F74A6F" w:rsidRPr="009537ED">
        <w:rPr>
          <w:lang w:eastAsia="x-none"/>
        </w:rPr>
        <w:tab/>
        <w:t>Remaining issues on timing advance management to reduce latency</w:t>
      </w:r>
      <w:r w:rsidR="00F74A6F" w:rsidRPr="009537ED">
        <w:rPr>
          <w:lang w:eastAsia="x-none"/>
        </w:rPr>
        <w:tab/>
        <w:t>Spreadtrum Communications</w:t>
      </w:r>
    </w:p>
    <w:p w14:paraId="1BA6034B" w14:textId="46BB928D" w:rsidR="00F74A6F" w:rsidRPr="009537ED" w:rsidRDefault="005A18DC" w:rsidP="00F74A6F">
      <w:pPr>
        <w:rPr>
          <w:lang w:eastAsia="x-none"/>
        </w:rPr>
      </w:pPr>
      <w:hyperlink r:id="rId1477" w:history="1">
        <w:r w:rsidR="00AF7253">
          <w:rPr>
            <w:rStyle w:val="Hyperlink"/>
            <w:lang w:eastAsia="x-none"/>
          </w:rPr>
          <w:t>R1-2311231</w:t>
        </w:r>
      </w:hyperlink>
      <w:r w:rsidR="00F74A6F" w:rsidRPr="009537ED">
        <w:rPr>
          <w:lang w:eastAsia="x-none"/>
        </w:rPr>
        <w:tab/>
        <w:t>Remaining Issues of Timing Advance Management</w:t>
      </w:r>
      <w:r w:rsidR="00F74A6F" w:rsidRPr="009537ED">
        <w:rPr>
          <w:lang w:eastAsia="x-none"/>
        </w:rPr>
        <w:tab/>
        <w:t>OPPO</w:t>
      </w:r>
    </w:p>
    <w:p w14:paraId="4AD90566" w14:textId="28FC6E28" w:rsidR="00F74A6F" w:rsidRPr="009537ED" w:rsidRDefault="005A18DC" w:rsidP="00F74A6F">
      <w:pPr>
        <w:rPr>
          <w:lang w:eastAsia="x-none"/>
        </w:rPr>
      </w:pPr>
      <w:hyperlink r:id="rId1478" w:history="1">
        <w:r w:rsidR="00AF7253">
          <w:rPr>
            <w:rStyle w:val="Hyperlink"/>
            <w:lang w:eastAsia="x-none"/>
          </w:rPr>
          <w:t>R1-2311351</w:t>
        </w:r>
      </w:hyperlink>
      <w:r w:rsidR="00F74A6F" w:rsidRPr="009537ED">
        <w:rPr>
          <w:lang w:eastAsia="x-none"/>
        </w:rPr>
        <w:tab/>
        <w:t>Remaining issues on TA management to reduce latency</w:t>
      </w:r>
      <w:r w:rsidR="00F74A6F" w:rsidRPr="009537ED">
        <w:rPr>
          <w:lang w:eastAsia="x-none"/>
        </w:rPr>
        <w:tab/>
        <w:t>CATT</w:t>
      </w:r>
    </w:p>
    <w:p w14:paraId="02B0F9E4" w14:textId="050BFCC7" w:rsidR="00F74A6F" w:rsidRPr="009537ED" w:rsidRDefault="005A18DC" w:rsidP="00F74A6F">
      <w:pPr>
        <w:rPr>
          <w:lang w:eastAsia="x-none"/>
        </w:rPr>
      </w:pPr>
      <w:hyperlink r:id="rId1479" w:history="1">
        <w:r w:rsidR="00AF7253">
          <w:rPr>
            <w:rStyle w:val="Hyperlink"/>
            <w:lang w:eastAsia="x-none"/>
          </w:rPr>
          <w:t>R1-2311369</w:t>
        </w:r>
      </w:hyperlink>
      <w:r w:rsidR="00F74A6F" w:rsidRPr="009537ED">
        <w:rPr>
          <w:lang w:eastAsia="x-none"/>
        </w:rPr>
        <w:tab/>
        <w:t>Remaining issues of timing advance management for L1/L2 mobility</w:t>
      </w:r>
      <w:r w:rsidR="00F74A6F" w:rsidRPr="009537ED">
        <w:rPr>
          <w:lang w:eastAsia="x-none"/>
        </w:rPr>
        <w:tab/>
        <w:t>Lenovo</w:t>
      </w:r>
    </w:p>
    <w:p w14:paraId="5A6F5F84" w14:textId="2B9CBDAF" w:rsidR="00F74A6F" w:rsidRPr="009537ED" w:rsidRDefault="005A18DC" w:rsidP="00F74A6F">
      <w:pPr>
        <w:rPr>
          <w:lang w:eastAsia="x-none"/>
        </w:rPr>
      </w:pPr>
      <w:hyperlink r:id="rId1480" w:history="1">
        <w:r w:rsidR="00AF7253">
          <w:rPr>
            <w:rStyle w:val="Hyperlink"/>
            <w:lang w:eastAsia="x-none"/>
          </w:rPr>
          <w:t>R1-2311439</w:t>
        </w:r>
      </w:hyperlink>
      <w:r w:rsidR="00F74A6F" w:rsidRPr="009537ED">
        <w:rPr>
          <w:lang w:eastAsia="x-none"/>
        </w:rPr>
        <w:tab/>
        <w:t>Remaining issues on TA management for mobility</w:t>
      </w:r>
      <w:r w:rsidR="00F74A6F" w:rsidRPr="009537ED">
        <w:rPr>
          <w:lang w:eastAsia="x-none"/>
        </w:rPr>
        <w:tab/>
        <w:t>LG Electronics</w:t>
      </w:r>
    </w:p>
    <w:p w14:paraId="7DB033ED" w14:textId="13D5D913" w:rsidR="00F74A6F" w:rsidRPr="009537ED" w:rsidRDefault="005A18DC" w:rsidP="00F74A6F">
      <w:pPr>
        <w:rPr>
          <w:lang w:eastAsia="x-none"/>
        </w:rPr>
      </w:pPr>
      <w:hyperlink r:id="rId1481" w:history="1">
        <w:r w:rsidR="00AF7253">
          <w:rPr>
            <w:rStyle w:val="Hyperlink"/>
            <w:lang w:eastAsia="x-none"/>
          </w:rPr>
          <w:t>R1-2311443</w:t>
        </w:r>
      </w:hyperlink>
      <w:r w:rsidR="00F74A6F" w:rsidRPr="009537ED">
        <w:rPr>
          <w:lang w:eastAsia="x-none"/>
        </w:rPr>
        <w:tab/>
        <w:t>Maintenance on timing advance management to reduce latency</w:t>
      </w:r>
      <w:r w:rsidR="00F74A6F" w:rsidRPr="009537ED">
        <w:rPr>
          <w:lang w:eastAsia="x-none"/>
        </w:rPr>
        <w:tab/>
        <w:t>Google</w:t>
      </w:r>
    </w:p>
    <w:p w14:paraId="6BC50E4B" w14:textId="41AE6BEC" w:rsidR="00F74A6F" w:rsidRPr="009537ED" w:rsidRDefault="005A18DC" w:rsidP="00F74A6F">
      <w:pPr>
        <w:rPr>
          <w:lang w:eastAsia="x-none"/>
        </w:rPr>
      </w:pPr>
      <w:hyperlink r:id="rId1482" w:history="1">
        <w:r w:rsidR="00AF7253">
          <w:rPr>
            <w:rStyle w:val="Hyperlink"/>
            <w:lang w:eastAsia="x-none"/>
          </w:rPr>
          <w:t>R1-2311491</w:t>
        </w:r>
      </w:hyperlink>
      <w:r w:rsidR="00F74A6F" w:rsidRPr="009537ED">
        <w:rPr>
          <w:lang w:eastAsia="x-none"/>
        </w:rPr>
        <w:tab/>
        <w:t>Remaining issues on timing advance management to reduce latency</w:t>
      </w:r>
      <w:r w:rsidR="00F74A6F" w:rsidRPr="009537ED">
        <w:rPr>
          <w:lang w:eastAsia="x-none"/>
        </w:rPr>
        <w:tab/>
        <w:t>CMCC</w:t>
      </w:r>
    </w:p>
    <w:p w14:paraId="01C2558D" w14:textId="66FA8559" w:rsidR="00F74A6F" w:rsidRPr="009537ED" w:rsidRDefault="005A18DC" w:rsidP="00F74A6F">
      <w:pPr>
        <w:rPr>
          <w:lang w:eastAsia="x-none"/>
        </w:rPr>
      </w:pPr>
      <w:hyperlink r:id="rId1483" w:history="1">
        <w:r w:rsidR="00AF7253">
          <w:rPr>
            <w:rStyle w:val="Hyperlink"/>
            <w:lang w:eastAsia="x-none"/>
          </w:rPr>
          <w:t>R1-2311592</w:t>
        </w:r>
      </w:hyperlink>
      <w:r w:rsidR="00F74A6F" w:rsidRPr="009537ED">
        <w:rPr>
          <w:lang w:eastAsia="x-none"/>
        </w:rPr>
        <w:tab/>
        <w:t>Remaining issues on TA management for LTM</w:t>
      </w:r>
      <w:r w:rsidR="00F74A6F" w:rsidRPr="009537ED">
        <w:rPr>
          <w:lang w:eastAsia="x-none"/>
        </w:rPr>
        <w:tab/>
        <w:t>FGI</w:t>
      </w:r>
    </w:p>
    <w:p w14:paraId="1758B0E8" w14:textId="14EDCE81" w:rsidR="00F74A6F" w:rsidRPr="009537ED" w:rsidRDefault="005A18DC" w:rsidP="00F74A6F">
      <w:pPr>
        <w:rPr>
          <w:lang w:eastAsia="x-none"/>
        </w:rPr>
      </w:pPr>
      <w:hyperlink r:id="rId1484" w:history="1">
        <w:r w:rsidR="00AF7253">
          <w:rPr>
            <w:rStyle w:val="Hyperlink"/>
            <w:lang w:eastAsia="x-none"/>
          </w:rPr>
          <w:t>R1-2311630</w:t>
        </w:r>
      </w:hyperlink>
      <w:r w:rsidR="00F74A6F" w:rsidRPr="009537ED">
        <w:rPr>
          <w:lang w:eastAsia="x-none"/>
        </w:rPr>
        <w:tab/>
        <w:t>Remaining issues on TA enhancements for inter-cell mobility</w:t>
      </w:r>
      <w:r w:rsidR="00F74A6F" w:rsidRPr="009537ED">
        <w:rPr>
          <w:lang w:eastAsia="x-none"/>
        </w:rPr>
        <w:tab/>
        <w:t>NTT DOCOMO, INC.</w:t>
      </w:r>
    </w:p>
    <w:p w14:paraId="40876DFB" w14:textId="1BCFFCD3" w:rsidR="00F74A6F" w:rsidRPr="009537ED" w:rsidRDefault="005A18DC" w:rsidP="00F74A6F">
      <w:pPr>
        <w:rPr>
          <w:lang w:eastAsia="x-none"/>
        </w:rPr>
      </w:pPr>
      <w:hyperlink r:id="rId1485" w:history="1">
        <w:r w:rsidR="00AF7253">
          <w:rPr>
            <w:rStyle w:val="Hyperlink"/>
            <w:lang w:eastAsia="x-none"/>
          </w:rPr>
          <w:t>R1-2311693</w:t>
        </w:r>
      </w:hyperlink>
      <w:r w:rsidR="00F74A6F" w:rsidRPr="009537ED">
        <w:rPr>
          <w:lang w:eastAsia="x-none"/>
        </w:rPr>
        <w:tab/>
        <w:t>Timing advance management for L1/L2 Mobility</w:t>
      </w:r>
      <w:r w:rsidR="00F74A6F" w:rsidRPr="009537ED">
        <w:rPr>
          <w:lang w:eastAsia="x-none"/>
        </w:rPr>
        <w:tab/>
        <w:t>Apple</w:t>
      </w:r>
    </w:p>
    <w:p w14:paraId="2692FB6B" w14:textId="395B0AD0" w:rsidR="00F74A6F" w:rsidRPr="009537ED" w:rsidRDefault="005A18DC" w:rsidP="00F74A6F">
      <w:pPr>
        <w:rPr>
          <w:lang w:eastAsia="x-none"/>
        </w:rPr>
      </w:pPr>
      <w:hyperlink r:id="rId1486" w:history="1">
        <w:r w:rsidR="00AF7253">
          <w:rPr>
            <w:rStyle w:val="Hyperlink"/>
            <w:lang w:eastAsia="x-none"/>
          </w:rPr>
          <w:t>R1-2311853</w:t>
        </w:r>
      </w:hyperlink>
      <w:r w:rsidR="00F74A6F" w:rsidRPr="009537ED">
        <w:rPr>
          <w:lang w:eastAsia="x-none"/>
        </w:rPr>
        <w:tab/>
        <w:t>Remaining issues on candidate cell TA management for NR L1/L2 mobility enhancement</w:t>
      </w:r>
      <w:r w:rsidR="00F74A6F" w:rsidRPr="009537ED">
        <w:rPr>
          <w:lang w:eastAsia="x-none"/>
        </w:rPr>
        <w:tab/>
        <w:t>Samsung</w:t>
      </w:r>
    </w:p>
    <w:p w14:paraId="6FC40B6A" w14:textId="5EABFCCD" w:rsidR="00F74A6F" w:rsidRPr="009537ED" w:rsidRDefault="005A18DC" w:rsidP="00F74A6F">
      <w:pPr>
        <w:rPr>
          <w:lang w:eastAsia="x-none"/>
        </w:rPr>
      </w:pPr>
      <w:hyperlink r:id="rId1487" w:history="1">
        <w:r w:rsidR="00AF7253">
          <w:rPr>
            <w:rStyle w:val="Hyperlink"/>
            <w:lang w:eastAsia="x-none"/>
          </w:rPr>
          <w:t>R1-2311890</w:t>
        </w:r>
      </w:hyperlink>
      <w:r w:rsidR="00F74A6F" w:rsidRPr="009537ED">
        <w:rPr>
          <w:lang w:eastAsia="x-none"/>
        </w:rPr>
        <w:tab/>
        <w:t>Remaining Issues on Timing Advance Management for L1/L2-triggered Mobility</w:t>
      </w:r>
      <w:r w:rsidR="00F74A6F" w:rsidRPr="009537ED">
        <w:rPr>
          <w:lang w:eastAsia="x-none"/>
        </w:rPr>
        <w:tab/>
        <w:t>Nokia, Nokia Shanghai Bell</w:t>
      </w:r>
    </w:p>
    <w:p w14:paraId="4EF6CFA7" w14:textId="3C3EA127" w:rsidR="00F74A6F" w:rsidRPr="009537ED" w:rsidRDefault="005A18DC" w:rsidP="00F74A6F">
      <w:pPr>
        <w:rPr>
          <w:lang w:eastAsia="x-none"/>
        </w:rPr>
      </w:pPr>
      <w:hyperlink r:id="rId1488" w:history="1">
        <w:r w:rsidR="00AF7253">
          <w:rPr>
            <w:rStyle w:val="Hyperlink"/>
            <w:lang w:eastAsia="x-none"/>
          </w:rPr>
          <w:t>R1-2311952</w:t>
        </w:r>
      </w:hyperlink>
      <w:r w:rsidR="00F74A6F" w:rsidRPr="009537ED">
        <w:rPr>
          <w:lang w:eastAsia="x-none"/>
        </w:rPr>
        <w:tab/>
        <w:t>Remaining details on timing advance management</w:t>
      </w:r>
      <w:r w:rsidR="00F74A6F" w:rsidRPr="009537ED">
        <w:rPr>
          <w:lang w:eastAsia="x-none"/>
        </w:rPr>
        <w:tab/>
        <w:t>InterDigital, Inc.</w:t>
      </w:r>
    </w:p>
    <w:p w14:paraId="6D89141B" w14:textId="359A4B70" w:rsidR="00F74A6F" w:rsidRPr="009537ED" w:rsidRDefault="005A18DC" w:rsidP="00F74A6F">
      <w:pPr>
        <w:rPr>
          <w:lang w:eastAsia="x-none"/>
        </w:rPr>
      </w:pPr>
      <w:hyperlink r:id="rId1489" w:history="1">
        <w:r w:rsidR="00AF7253">
          <w:rPr>
            <w:rStyle w:val="Hyperlink"/>
            <w:lang w:eastAsia="x-none"/>
          </w:rPr>
          <w:t>R1-2312045</w:t>
        </w:r>
      </w:hyperlink>
      <w:r w:rsidR="00F74A6F" w:rsidRPr="009537ED">
        <w:rPr>
          <w:lang w:eastAsia="x-none"/>
        </w:rPr>
        <w:tab/>
        <w:t>TA management to reduce latency for L1/L2 based mobility</w:t>
      </w:r>
      <w:r w:rsidR="00F74A6F" w:rsidRPr="009537ED">
        <w:rPr>
          <w:lang w:eastAsia="x-none"/>
        </w:rPr>
        <w:tab/>
        <w:t>Qualcomm Incorporated</w:t>
      </w:r>
    </w:p>
    <w:p w14:paraId="3ED532DD" w14:textId="05D43AE5" w:rsidR="00F74A6F" w:rsidRDefault="005A18DC" w:rsidP="00F74A6F">
      <w:pPr>
        <w:rPr>
          <w:lang w:eastAsia="x-none"/>
        </w:rPr>
      </w:pPr>
      <w:hyperlink r:id="rId1490" w:history="1">
        <w:r w:rsidR="00AF7253">
          <w:rPr>
            <w:rStyle w:val="Hyperlink"/>
            <w:lang w:eastAsia="x-none"/>
          </w:rPr>
          <w:t>R1-2312134</w:t>
        </w:r>
      </w:hyperlink>
      <w:r w:rsidR="00F74A6F" w:rsidRPr="009537ED">
        <w:rPr>
          <w:lang w:eastAsia="x-none"/>
        </w:rPr>
        <w:tab/>
        <w:t>Discussion on TA management to reduce latency</w:t>
      </w:r>
      <w:r w:rsidR="00F74A6F" w:rsidRPr="009537ED">
        <w:rPr>
          <w:lang w:eastAsia="x-none"/>
        </w:rPr>
        <w:tab/>
        <w:t>CAICT</w:t>
      </w:r>
    </w:p>
    <w:p w14:paraId="57006BC3" w14:textId="77777777" w:rsidR="00CA2D6C" w:rsidRDefault="00CA2D6C" w:rsidP="00F74A6F">
      <w:pPr>
        <w:rPr>
          <w:lang w:eastAsia="x-none"/>
        </w:rPr>
      </w:pPr>
    </w:p>
    <w:p w14:paraId="1F135A14" w14:textId="491E1E14" w:rsidR="00CA2D6C" w:rsidRPr="00CA2D6C" w:rsidRDefault="005A18DC" w:rsidP="00CA2D6C">
      <w:pPr>
        <w:rPr>
          <w:b/>
          <w:lang w:eastAsia="x-none"/>
        </w:rPr>
      </w:pPr>
      <w:hyperlink r:id="rId1491" w:history="1">
        <w:r w:rsidR="00AF7253">
          <w:rPr>
            <w:rStyle w:val="Hyperlink"/>
            <w:b/>
            <w:lang w:eastAsia="x-none"/>
          </w:rPr>
          <w:t>R1-2312331</w:t>
        </w:r>
      </w:hyperlink>
      <w:r w:rsidR="00CA2D6C" w:rsidRPr="00CA2D6C">
        <w:rPr>
          <w:b/>
          <w:lang w:eastAsia="x-none"/>
        </w:rPr>
        <w:tab/>
        <w:t>Moderator summary on timing advance management for LTM: Round 1</w:t>
      </w:r>
      <w:r w:rsidR="00CA2D6C" w:rsidRPr="00CA2D6C">
        <w:rPr>
          <w:b/>
          <w:lang w:eastAsia="x-none"/>
        </w:rPr>
        <w:tab/>
        <w:t>Moderator (CATT)</w:t>
      </w:r>
    </w:p>
    <w:p w14:paraId="07B0736D" w14:textId="77777777" w:rsidR="00CA2D6C" w:rsidRDefault="00CA2D6C" w:rsidP="00CA2D6C">
      <w:pPr>
        <w:rPr>
          <w:lang w:eastAsia="x-none"/>
        </w:rPr>
      </w:pPr>
      <w:r>
        <w:rPr>
          <w:lang w:eastAsia="x-none"/>
        </w:rPr>
        <w:t>From Tuesday session</w:t>
      </w:r>
    </w:p>
    <w:p w14:paraId="2AC923D2" w14:textId="77777777" w:rsidR="00CA2D6C" w:rsidRPr="00CA2D6C" w:rsidRDefault="00CA2D6C" w:rsidP="00CA2D6C">
      <w:pPr>
        <w:rPr>
          <w:lang w:eastAsia="zh-CN"/>
        </w:rPr>
      </w:pPr>
      <w:r w:rsidRPr="00CA2D6C">
        <w:rPr>
          <w:highlight w:val="green"/>
          <w:lang w:eastAsia="zh-CN"/>
        </w:rPr>
        <w:t>Agreement</w:t>
      </w:r>
    </w:p>
    <w:p w14:paraId="016FEDEF" w14:textId="77777777" w:rsidR="00CA2D6C" w:rsidRPr="00CA2D6C" w:rsidRDefault="00CA2D6C" w:rsidP="00CA2D6C">
      <w:pPr>
        <w:rPr>
          <w:lang w:eastAsia="zh-CN"/>
        </w:rPr>
      </w:pPr>
      <w:r w:rsidRPr="00CA2D6C">
        <w:rPr>
          <w:lang w:eastAsia="zh-CN"/>
        </w:rPr>
        <w:t xml:space="preserve">Use clause 8.1 </w:t>
      </w:r>
      <w:r w:rsidRPr="00CA2D6C">
        <w:rPr>
          <w:rFonts w:hint="eastAsia"/>
          <w:lang w:eastAsia="zh-CN"/>
        </w:rPr>
        <w:t xml:space="preserve">of 213 </w:t>
      </w:r>
      <w:r w:rsidRPr="00CA2D6C">
        <w:rPr>
          <w:lang w:eastAsia="zh-CN"/>
        </w:rPr>
        <w:t>as the reference clause for the value of N used to determine the overlap scenario between the PRACH transmission to a candidate cell and an UL transmission to the serving cell.</w:t>
      </w:r>
    </w:p>
    <w:p w14:paraId="3E07979B" w14:textId="77777777" w:rsidR="00CA2D6C" w:rsidRPr="00CA2D6C" w:rsidRDefault="00CA2D6C" w:rsidP="00CA2D6C"/>
    <w:p w14:paraId="444FEE79" w14:textId="77777777" w:rsidR="00CA2D6C" w:rsidRPr="00CA2D6C" w:rsidRDefault="00CA2D6C" w:rsidP="00CA2D6C">
      <w:pPr>
        <w:rPr>
          <w:lang w:eastAsia="zh-CN"/>
        </w:rPr>
      </w:pPr>
      <w:r w:rsidRPr="00CA2D6C">
        <w:rPr>
          <w:highlight w:val="green"/>
          <w:lang w:eastAsia="zh-CN"/>
        </w:rPr>
        <w:t>Agreement</w:t>
      </w:r>
    </w:p>
    <w:p w14:paraId="497C831B" w14:textId="77777777" w:rsidR="00CA2D6C" w:rsidRPr="00CA2D6C" w:rsidRDefault="00CA2D6C" w:rsidP="00CA2D6C">
      <w:pPr>
        <w:rPr>
          <w:lang w:eastAsia="zh-CN"/>
        </w:rPr>
      </w:pPr>
      <w:r w:rsidRPr="00CA2D6C">
        <w:rPr>
          <w:rFonts w:hint="eastAsia"/>
          <w:lang w:eastAsia="zh-CN"/>
        </w:rPr>
        <w:t>n-TimingAdvanceOffset is pre-configured to UE for each candidate cell.</w:t>
      </w:r>
    </w:p>
    <w:p w14:paraId="48BE72E8" w14:textId="77777777" w:rsidR="00CA2D6C" w:rsidRPr="00CA2D6C" w:rsidRDefault="00CA2D6C" w:rsidP="00CA2D6C"/>
    <w:p w14:paraId="4D4B0ECA" w14:textId="77777777" w:rsidR="00CA2D6C" w:rsidRPr="00CA2D6C" w:rsidRDefault="00CA2D6C" w:rsidP="00CA2D6C">
      <w:pPr>
        <w:rPr>
          <w:lang w:eastAsia="zh-CN"/>
        </w:rPr>
      </w:pPr>
      <w:r w:rsidRPr="00CA2D6C">
        <w:rPr>
          <w:highlight w:val="green"/>
          <w:lang w:eastAsia="zh-CN"/>
        </w:rPr>
        <w:t>Agreement</w:t>
      </w:r>
    </w:p>
    <w:p w14:paraId="5383336C" w14:textId="77777777" w:rsidR="00CA2D6C" w:rsidRPr="00CA2D6C" w:rsidRDefault="00CA2D6C" w:rsidP="00CA2D6C">
      <w:r w:rsidRPr="00CA2D6C">
        <w:t>Endorse in principle the TP below</w:t>
      </w:r>
    </w:p>
    <w:p w14:paraId="42117E41" w14:textId="77777777" w:rsidR="00CA2D6C" w:rsidRPr="00CA2D6C" w:rsidRDefault="00CA2D6C" w:rsidP="00AA1D48">
      <w:pPr>
        <w:pStyle w:val="ListParagraph"/>
        <w:numPr>
          <w:ilvl w:val="0"/>
          <w:numId w:val="116"/>
        </w:numPr>
        <w:rPr>
          <w:lang w:eastAsia="zh-CN"/>
        </w:rPr>
      </w:pPr>
      <w:r w:rsidRPr="00CA2D6C">
        <w:rPr>
          <w:u w:val="single"/>
        </w:rPr>
        <w:t>Reason for change:</w:t>
      </w:r>
      <w:r w:rsidRPr="00CA2D6C">
        <w:t xml:space="preserve"> </w:t>
      </w:r>
      <w:r w:rsidRPr="00CA2D6C">
        <w:rPr>
          <w:rFonts w:hint="eastAsia"/>
          <w:lang w:eastAsia="zh-CN"/>
        </w:rPr>
        <w:t xml:space="preserve">specify the condition of performing </w:t>
      </w:r>
      <w:r w:rsidRPr="00CA2D6C">
        <w:t>UE-based TA estimation</w:t>
      </w:r>
    </w:p>
    <w:p w14:paraId="342548EC" w14:textId="77777777" w:rsidR="00CA2D6C" w:rsidRPr="00CA2D6C" w:rsidRDefault="00CA2D6C" w:rsidP="00AA1D48">
      <w:pPr>
        <w:pStyle w:val="ListParagraph"/>
        <w:numPr>
          <w:ilvl w:val="0"/>
          <w:numId w:val="116"/>
        </w:numPr>
      </w:pPr>
      <w:r w:rsidRPr="00CA2D6C">
        <w:rPr>
          <w:u w:val="single"/>
        </w:rPr>
        <w:t>Summary for change:</w:t>
      </w:r>
      <w:r w:rsidRPr="00CA2D6C">
        <w:t xml:space="preserve"> the configuration of each candidate cell includes a field ltm-UE-MeasuredTA-ID. If the value of ltm-UE-MeasuredTA-ID for the serving cell is the same as the value of ltm-UE-MeasuredTA-ID for the candidate, the UE would perform UE-based TA estimation. If the value of ltm-UE-MeasuredTA-ID for the serving cell is different from the value of ltm-UE-MeasuredTA-ID for the candidate, the UE would </w:t>
      </w:r>
      <w:r w:rsidRPr="00CA2D6C">
        <w:rPr>
          <w:i/>
          <w:iCs/>
        </w:rPr>
        <w:t>not</w:t>
      </w:r>
      <w:r w:rsidRPr="00CA2D6C">
        <w:t xml:space="preserve"> perform UE-based TA estimation.</w:t>
      </w:r>
    </w:p>
    <w:p w14:paraId="156B6040" w14:textId="405749C1" w:rsidR="00CA2D6C" w:rsidRPr="00CA2D6C" w:rsidRDefault="00CA2D6C" w:rsidP="00AA1D48">
      <w:pPr>
        <w:pStyle w:val="ListParagraph"/>
        <w:numPr>
          <w:ilvl w:val="0"/>
          <w:numId w:val="116"/>
        </w:numPr>
        <w:rPr>
          <w:lang w:eastAsia="zh-CN"/>
        </w:rPr>
      </w:pPr>
      <w:r w:rsidRPr="00CA2D6C">
        <w:rPr>
          <w:u w:val="single"/>
        </w:rPr>
        <w:t>Consequences if not approved:</w:t>
      </w:r>
      <w:r w:rsidRPr="00CA2D6C">
        <w:t xml:space="preserve"> </w:t>
      </w:r>
      <w:r w:rsidRPr="00CA2D6C">
        <w:rPr>
          <w:rFonts w:hint="eastAsia"/>
          <w:lang w:eastAsia="zh-CN"/>
        </w:rPr>
        <w:t xml:space="preserve">condition of performing </w:t>
      </w:r>
      <w:r w:rsidRPr="00CA2D6C">
        <w:t>UE-based TA estimation</w:t>
      </w:r>
      <w:r w:rsidRPr="00CA2D6C">
        <w:rPr>
          <w:rFonts w:hint="eastAsia"/>
          <w:lang w:eastAsia="zh-CN"/>
        </w:rPr>
        <w:t xml:space="preserve"> is not clear</w:t>
      </w:r>
      <w:r w:rsidR="00A76E0D">
        <w:rPr>
          <w:lang w:eastAsia="zh-CN"/>
        </w:rPr>
        <w:t>.</w:t>
      </w:r>
    </w:p>
    <w:tbl>
      <w:tblPr>
        <w:tblW w:w="5000" w:type="pct"/>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0683"/>
      </w:tblGrid>
      <w:tr w:rsidR="00CA2D6C" w:rsidRPr="00CA2D6C" w14:paraId="6A45C579" w14:textId="77777777" w:rsidTr="00CA2D6C">
        <w:tc>
          <w:tcPr>
            <w:tcW w:w="5000" w:type="pct"/>
            <w:shd w:val="clear" w:color="auto" w:fill="auto"/>
          </w:tcPr>
          <w:p w14:paraId="6BC8C34B" w14:textId="77777777" w:rsidR="00CA2D6C" w:rsidRPr="00CA2D6C" w:rsidRDefault="00CA2D6C" w:rsidP="00CA2D6C">
            <w:pPr>
              <w:rPr>
                <w:rFonts w:ascii="Arial" w:eastAsia="Times New Roman" w:hAnsi="Arial" w:cs="Arial"/>
                <w:b/>
                <w:bCs/>
                <w:sz w:val="16"/>
                <w:szCs w:val="16"/>
                <w:lang w:eastAsia="zh-CN"/>
              </w:rPr>
            </w:pPr>
            <w:r w:rsidRPr="00CA2D6C">
              <w:rPr>
                <w:rFonts w:ascii="Arial" w:eastAsia="Times New Roman" w:hAnsi="Arial" w:cs="Arial"/>
                <w:b/>
                <w:bCs/>
                <w:sz w:val="16"/>
                <w:szCs w:val="16"/>
                <w:lang w:eastAsia="zh-CN"/>
              </w:rPr>
              <w:t>38.213 21 L1/L2-triggered Mobility Procedure</w:t>
            </w:r>
          </w:p>
          <w:p w14:paraId="0FF90D1C" w14:textId="77777777" w:rsidR="00CA2D6C" w:rsidRPr="00CA2D6C" w:rsidRDefault="00CA2D6C" w:rsidP="00CA2D6C">
            <w:pPr>
              <w:snapToGrid w:val="0"/>
              <w:spacing w:line="259" w:lineRule="auto"/>
              <w:jc w:val="both"/>
              <w:rPr>
                <w:rFonts w:ascii="Arial" w:eastAsia="Calibri" w:hAnsi="Arial" w:cs="Arial"/>
                <w:sz w:val="16"/>
                <w:szCs w:val="16"/>
              </w:rPr>
            </w:pPr>
            <w:r w:rsidRPr="00CA2D6C">
              <w:rPr>
                <w:rFonts w:ascii="Arial" w:eastAsia="Malgun Gothic" w:hAnsi="Arial" w:cs="Arial"/>
                <w:sz w:val="16"/>
                <w:szCs w:val="16"/>
              </w:rPr>
              <w:t xml:space="preserve">A UE can be indicated, by </w:t>
            </w:r>
            <w:r w:rsidRPr="00CA2D6C">
              <w:rPr>
                <w:rFonts w:ascii="Arial" w:eastAsia="Calibri" w:hAnsi="Arial" w:cs="Arial"/>
                <w:i/>
                <w:iCs/>
                <w:sz w:val="16"/>
                <w:szCs w:val="16"/>
              </w:rPr>
              <w:t>LTM-Config</w:t>
            </w:r>
            <w:r w:rsidRPr="00CA2D6C">
              <w:rPr>
                <w:rFonts w:ascii="Arial" w:eastAsia="Malgun Gothic" w:hAnsi="Arial" w:cs="Arial"/>
                <w:sz w:val="16"/>
                <w:szCs w:val="16"/>
              </w:rPr>
              <w:t xml:space="preserve">, candidate cells and </w:t>
            </w:r>
            <w:r w:rsidRPr="00CA2D6C">
              <w:rPr>
                <w:rFonts w:ascii="Arial" w:eastAsia="Calibri" w:hAnsi="Arial" w:cs="Arial"/>
                <w:sz w:val="16"/>
                <w:szCs w:val="16"/>
              </w:rPr>
              <w:t xml:space="preserve">SS/PBCH blocks per candidate cell for the UE to </w:t>
            </w:r>
            <w:r w:rsidRPr="00CA2D6C">
              <w:rPr>
                <w:rFonts w:ascii="Arial" w:eastAsia="Malgun Gothic" w:hAnsi="Arial" w:cs="Arial"/>
                <w:sz w:val="16"/>
                <w:szCs w:val="16"/>
              </w:rPr>
              <w:t xml:space="preserve">obtain synchronization and measure corresponding L1-RSRPs </w:t>
            </w:r>
            <w:r w:rsidRPr="00CA2D6C">
              <w:rPr>
                <w:rFonts w:ascii="Arial" w:eastAsia="Calibri" w:hAnsi="Arial" w:cs="Arial"/>
                <w:sz w:val="16"/>
                <w:szCs w:val="16"/>
                <w:lang w:eastAsia="ja-JP"/>
              </w:rPr>
              <w:t>[10, TS 38.133]</w:t>
            </w:r>
            <w:r w:rsidRPr="00CA2D6C">
              <w:rPr>
                <w:rFonts w:ascii="Arial" w:eastAsia="Calibri" w:hAnsi="Arial" w:cs="Arial"/>
                <w:sz w:val="16"/>
                <w:szCs w:val="16"/>
              </w:rPr>
              <w:t xml:space="preserve">. A MAC CE command can activate TCI states, provided by </w:t>
            </w:r>
            <w:r w:rsidRPr="00CA2D6C">
              <w:rPr>
                <w:rFonts w:ascii="Arial" w:eastAsia="Calibri" w:hAnsi="Arial" w:cs="Arial"/>
                <w:i/>
                <w:iCs/>
                <w:sz w:val="16"/>
                <w:szCs w:val="16"/>
              </w:rPr>
              <w:t>LTM-Candidate-TCI-State-r18</w:t>
            </w:r>
            <w:r w:rsidRPr="00CA2D6C">
              <w:rPr>
                <w:rFonts w:ascii="Arial" w:eastAsia="Calibri" w:hAnsi="Arial" w:cs="Arial"/>
                <w:sz w:val="16"/>
                <w:szCs w:val="16"/>
              </w:rPr>
              <w:t xml:space="preserve"> or/and </w:t>
            </w:r>
            <w:r w:rsidRPr="00CA2D6C">
              <w:rPr>
                <w:rFonts w:ascii="Arial" w:eastAsia="Calibri" w:hAnsi="Arial" w:cs="Arial"/>
                <w:i/>
                <w:iCs/>
                <w:sz w:val="16"/>
                <w:szCs w:val="16"/>
              </w:rPr>
              <w:t>LTM-Candidate-TCI-UL-State-r18</w:t>
            </w:r>
            <w:r w:rsidRPr="00CA2D6C">
              <w:rPr>
                <w:rFonts w:ascii="Arial" w:eastAsia="Calibri" w:hAnsi="Arial" w:cs="Arial"/>
                <w:sz w:val="16"/>
                <w:szCs w:val="16"/>
              </w:rPr>
              <w:t xml:space="preserve">, associated with SS/PBCH blocks or TRS of corresponding candidate cells. The UE is provided configurations by </w:t>
            </w:r>
            <w:r w:rsidRPr="00CA2D6C">
              <w:rPr>
                <w:rFonts w:ascii="Arial" w:eastAsia="Calibri" w:hAnsi="Arial" w:cs="Arial"/>
                <w:i/>
                <w:iCs/>
                <w:sz w:val="16"/>
                <w:szCs w:val="16"/>
              </w:rPr>
              <w:t>LTM-CSI-ReportConfigToAddModList</w:t>
            </w:r>
            <w:r w:rsidRPr="00CA2D6C">
              <w:rPr>
                <w:rFonts w:ascii="Arial" w:eastAsia="Calibri" w:hAnsi="Arial" w:cs="Arial"/>
                <w:sz w:val="16"/>
                <w:szCs w:val="16"/>
              </w:rPr>
              <w:t xml:space="preserve"> for reporting L1-RSRP measurements [6, TS 38.214] that include a number of candidate cells and a number of SS/PBCH blocks per candidate cell from the number of candidate cells. </w:t>
            </w:r>
          </w:p>
          <w:p w14:paraId="60789E32" w14:textId="77777777" w:rsidR="00CA2D6C" w:rsidRPr="00CA2D6C" w:rsidRDefault="00CA2D6C" w:rsidP="00CA2D6C">
            <w:pPr>
              <w:snapToGrid w:val="0"/>
              <w:spacing w:line="259" w:lineRule="auto"/>
              <w:jc w:val="both"/>
              <w:rPr>
                <w:rFonts w:ascii="Arial" w:eastAsia="Calibri" w:hAnsi="Arial" w:cs="Arial"/>
                <w:sz w:val="16"/>
                <w:szCs w:val="16"/>
              </w:rPr>
            </w:pPr>
            <w:r w:rsidRPr="00CA2D6C">
              <w:rPr>
                <w:rFonts w:ascii="Arial" w:eastAsia="Calibri" w:hAnsi="Arial" w:cs="Arial"/>
                <w:kern w:val="2"/>
                <w:sz w:val="16"/>
                <w:szCs w:val="16"/>
                <w:lang w:eastAsia="zh-CN"/>
              </w:rPr>
              <w:t xml:space="preserve">If the </w:t>
            </w:r>
            <w:r w:rsidRPr="00CA2D6C">
              <w:rPr>
                <w:rFonts w:ascii="Arial" w:eastAsia="Calibri" w:hAnsi="Arial" w:cs="Arial"/>
                <w:i/>
                <w:iCs/>
                <w:sz w:val="16"/>
                <w:szCs w:val="16"/>
              </w:rPr>
              <w:t xml:space="preserve">ltm-UE-MeasuredTA-ID (if configured) </w:t>
            </w:r>
            <w:r w:rsidRPr="00CA2D6C">
              <w:rPr>
                <w:rFonts w:ascii="Arial" w:eastAsia="Calibri" w:hAnsi="Arial" w:cs="Arial"/>
                <w:sz w:val="16"/>
                <w:szCs w:val="16"/>
              </w:rPr>
              <w:t xml:space="preserve">of a candidate cell is equal to the </w:t>
            </w:r>
            <w:r w:rsidRPr="00CA2D6C">
              <w:rPr>
                <w:rFonts w:ascii="Arial" w:eastAsia="Calibri" w:hAnsi="Arial" w:cs="Arial"/>
                <w:i/>
                <w:iCs/>
                <w:sz w:val="16"/>
                <w:szCs w:val="16"/>
              </w:rPr>
              <w:t xml:space="preserve">ltm-UE-MeasuredTA-ID (if configured) </w:t>
            </w:r>
            <w:r w:rsidRPr="00CA2D6C">
              <w:rPr>
                <w:rFonts w:ascii="Arial" w:eastAsia="Calibri" w:hAnsi="Arial" w:cs="Arial"/>
                <w:sz w:val="16"/>
                <w:szCs w:val="16"/>
              </w:rPr>
              <w:t xml:space="preserve">of the serving cell, the UE estimates based on the UE implementation a timing advance </w:t>
            </w:r>
            <w:r w:rsidRPr="00CA2D6C">
              <w:rPr>
                <w:rFonts w:ascii="Arial" w:eastAsia="MS Mincho" w:hAnsi="Arial" w:cs="Arial"/>
                <w:sz w:val="16"/>
                <w:szCs w:val="16"/>
              </w:rPr>
              <w:t>to apply from a first transmission on a candidate cell that is after the reception of a cell switch command for the candidate cell [11, TS 38.321]</w:t>
            </w:r>
            <w:r w:rsidRPr="00CA2D6C">
              <w:rPr>
                <w:rFonts w:ascii="Arial" w:eastAsia="Calibri" w:hAnsi="Arial" w:cs="Arial"/>
                <w:sz w:val="16"/>
                <w:szCs w:val="16"/>
              </w:rPr>
              <w:t>.</w:t>
            </w:r>
          </w:p>
          <w:p w14:paraId="0E59D8C1" w14:textId="4E27AC0F" w:rsidR="00CA2D6C" w:rsidRPr="00CA2D6C" w:rsidRDefault="00CA2D6C" w:rsidP="00CA2D6C">
            <w:pPr>
              <w:snapToGrid w:val="0"/>
              <w:spacing w:line="259" w:lineRule="auto"/>
              <w:jc w:val="both"/>
              <w:rPr>
                <w:rFonts w:ascii="Arial" w:eastAsia="Calibri" w:hAnsi="Arial" w:cs="Arial"/>
                <w:sz w:val="16"/>
                <w:szCs w:val="16"/>
              </w:rPr>
            </w:pPr>
            <w:r w:rsidRPr="00CA2D6C">
              <w:rPr>
                <w:rFonts w:ascii="Arial" w:eastAsia="Calibri" w:hAnsi="Arial" w:cs="Arial"/>
                <w:sz w:val="16"/>
                <w:szCs w:val="16"/>
              </w:rPr>
              <w:t xml:space="preserve">A UE can be provided configurations, by </w:t>
            </w:r>
            <w:r w:rsidRPr="00CA2D6C">
              <w:rPr>
                <w:rFonts w:ascii="Arial" w:eastAsia="Calibri" w:hAnsi="Arial" w:cs="Arial"/>
                <w:i/>
                <w:iCs/>
                <w:sz w:val="16"/>
                <w:szCs w:val="16"/>
              </w:rPr>
              <w:t>EarlyUlSyncConfig</w:t>
            </w:r>
            <w:r w:rsidRPr="00CA2D6C">
              <w:rPr>
                <w:rFonts w:ascii="Arial" w:eastAsia="Calibri" w:hAnsi="Arial" w:cs="Arial"/>
                <w:sz w:val="16"/>
                <w:szCs w:val="16"/>
              </w:rPr>
              <w:t xml:space="preserve">, for PRACH transmission parameters for each of the candidate cells. The UE can be triggered a PRACH transmission on a candidate cell by a PDCCH order that the UE receives on a serving cell and includes an indication of the candidate cell for the PRACH transmission [4, TS 38.212]. If the serving cell and the candidate cell operate in a same frequency range and the UE would have transmissions that overlap in time, or when a gap between a first or last symbol of a PRACH transmission to the candidate cell is less than </w:t>
            </w:r>
            <w:r w:rsidRPr="00CA2D6C">
              <w:rPr>
                <w:rFonts w:ascii="Cambria Math" w:eastAsia="Calibri" w:hAnsi="Cambria Math" w:cs="Cambria Math"/>
                <w:sz w:val="16"/>
                <w:szCs w:val="16"/>
              </w:rPr>
              <w:t>𝑁</w:t>
            </w:r>
            <w:r w:rsidRPr="00CA2D6C">
              <w:rPr>
                <w:rFonts w:ascii="Arial" w:eastAsia="Calibri" w:hAnsi="Arial" w:cs="Arial"/>
                <w:sz w:val="16"/>
                <w:szCs w:val="16"/>
              </w:rPr>
              <w:t xml:space="preserve"> symbols from a last or first symbol, respectively, of an UL transmission to the serving cell, where </w:t>
            </w:r>
            <m:oMath>
              <m:r>
                <w:rPr>
                  <w:rFonts w:ascii="Cambria Math" w:eastAsia="DengXian" w:hAnsi="Cambria Math" w:cs="Arial"/>
                  <w:sz w:val="16"/>
                  <w:szCs w:val="16"/>
                </w:rPr>
                <m:t>N</m:t>
              </m:r>
            </m:oMath>
            <w:r w:rsidRPr="00CA2D6C">
              <w:rPr>
                <w:rFonts w:ascii="Arial" w:eastAsia="Calibri" w:hAnsi="Arial" w:cs="Arial"/>
                <w:sz w:val="16"/>
                <w:szCs w:val="16"/>
              </w:rPr>
              <w:t xml:space="preserve"> is defined in Clause TBD, the UE </w:t>
            </w:r>
          </w:p>
          <w:p w14:paraId="27DD2FDE" w14:textId="77777777" w:rsidR="00CA2D6C" w:rsidRPr="00CA2D6C" w:rsidRDefault="00CA2D6C" w:rsidP="00CA2D6C">
            <w:pPr>
              <w:spacing w:line="259" w:lineRule="auto"/>
              <w:ind w:left="568" w:hanging="284"/>
              <w:jc w:val="both"/>
              <w:rPr>
                <w:rFonts w:ascii="Arial" w:eastAsia="Calibri" w:hAnsi="Arial" w:cs="Arial"/>
                <w:sz w:val="16"/>
                <w:szCs w:val="16"/>
                <w:lang w:eastAsia="zh-CN"/>
              </w:rPr>
            </w:pPr>
            <w:r w:rsidRPr="00CA2D6C">
              <w:rPr>
                <w:rFonts w:ascii="Arial" w:eastAsia="Calibri" w:hAnsi="Arial" w:cs="Arial"/>
                <w:sz w:val="16"/>
                <w:szCs w:val="16"/>
                <w:lang w:eastAsia="zh-CN"/>
              </w:rPr>
              <w:t>-</w:t>
            </w:r>
            <w:r w:rsidRPr="00CA2D6C">
              <w:rPr>
                <w:rFonts w:ascii="Arial" w:eastAsia="Calibri" w:hAnsi="Arial" w:cs="Arial"/>
                <w:sz w:val="16"/>
                <w:szCs w:val="16"/>
                <w:lang w:eastAsia="zh-CN"/>
              </w:rPr>
              <w:tab/>
              <w:t>drops the transmissions on the serving cell when the UE does not support transmissions that overlap in time or are separated by less than the gap on the serving cell and the candidate cell</w:t>
            </w:r>
          </w:p>
          <w:p w14:paraId="6B8223A0" w14:textId="196AA5A2" w:rsidR="00CA2D6C" w:rsidRPr="00CA2D6C" w:rsidRDefault="00CA2D6C" w:rsidP="00CA2D6C">
            <w:pPr>
              <w:spacing w:line="259" w:lineRule="auto"/>
              <w:ind w:left="568" w:hanging="284"/>
              <w:jc w:val="both"/>
              <w:rPr>
                <w:rFonts w:ascii="Arial" w:eastAsia="Calibri" w:hAnsi="Arial" w:cs="Arial"/>
                <w:sz w:val="16"/>
                <w:szCs w:val="16"/>
                <w:lang w:eastAsia="zh-CN"/>
              </w:rPr>
            </w:pPr>
            <w:r w:rsidRPr="00CA2D6C">
              <w:rPr>
                <w:rFonts w:ascii="Arial" w:eastAsia="Calibri" w:hAnsi="Arial" w:cs="Arial"/>
                <w:sz w:val="16"/>
                <w:szCs w:val="16"/>
                <w:lang w:eastAsia="zh-CN"/>
              </w:rPr>
              <w:t>-</w:t>
            </w:r>
            <w:r w:rsidRPr="00CA2D6C">
              <w:rPr>
                <w:rFonts w:ascii="Arial" w:eastAsia="Calibri" w:hAnsi="Arial" w:cs="Arial"/>
                <w:sz w:val="16"/>
                <w:szCs w:val="16"/>
                <w:lang w:eastAsia="zh-CN"/>
              </w:rPr>
              <w:tab/>
              <w:t>prioritizes power allocation to the PRACH transmission on the candidate cell in clause 7.5 when the UE supports transmissions that overlap in time or are separated by less than the gap, and a</w:t>
            </w:r>
            <w:r w:rsidRPr="00CA2D6C">
              <w:rPr>
                <w:rFonts w:ascii="Arial" w:eastAsia="Calibri" w:hAnsi="Arial" w:cs="Arial"/>
                <w:iCs/>
                <w:sz w:val="16"/>
                <w:szCs w:val="16"/>
                <w:lang w:eastAsia="zh-CN"/>
              </w:rPr>
              <w:t xml:space="preserve"> total UE transmit power in the frequency range would exceed </w:t>
            </w:r>
            <m:oMath>
              <m:sSub>
                <m:sSubPr>
                  <m:ctrlPr>
                    <w:rPr>
                      <w:rFonts w:ascii="Cambria Math" w:eastAsia="Calibri" w:hAnsi="Cambria Math" w:cs="Arial"/>
                      <w:i/>
                      <w:sz w:val="16"/>
                      <w:szCs w:val="16"/>
                      <w:lang w:eastAsia="zh-CN"/>
                    </w:rPr>
                  </m:ctrlPr>
                </m:sSubPr>
                <m:e>
                  <m:acc>
                    <m:accPr>
                      <m:ctrlPr>
                        <w:rPr>
                          <w:rFonts w:ascii="Cambria Math" w:eastAsia="Calibri" w:hAnsi="Cambria Math" w:cs="Arial"/>
                          <w:i/>
                          <w:sz w:val="16"/>
                          <w:szCs w:val="16"/>
                          <w:lang w:eastAsia="zh-CN"/>
                        </w:rPr>
                      </m:ctrlPr>
                    </m:accPr>
                    <m:e>
                      <m:r>
                        <w:rPr>
                          <w:rFonts w:ascii="Cambria Math" w:eastAsia="Calibri" w:hAnsi="Cambria Math" w:cs="Arial"/>
                          <w:sz w:val="16"/>
                          <w:szCs w:val="16"/>
                          <w:lang w:eastAsia="zh-CN"/>
                        </w:rPr>
                        <m:t>P</m:t>
                      </m:r>
                    </m:e>
                  </m:acc>
                </m:e>
                <m:sub>
                  <m:r>
                    <m:rPr>
                      <m:sty m:val="p"/>
                    </m:rPr>
                    <w:rPr>
                      <w:rFonts w:ascii="Cambria Math" w:eastAsia="Calibri" w:hAnsi="Cambria Math" w:cs="Arial"/>
                      <w:sz w:val="16"/>
                      <w:szCs w:val="16"/>
                      <w:lang w:eastAsia="zh-CN"/>
                    </w:rPr>
                    <m:t>CMAX</m:t>
                  </m:r>
                </m:sub>
              </m:sSub>
            </m:oMath>
          </w:p>
          <w:p w14:paraId="7A9D9201" w14:textId="77777777" w:rsidR="00CA2D6C" w:rsidRPr="00CA2D6C" w:rsidRDefault="00CA2D6C" w:rsidP="00CA2D6C">
            <w:pPr>
              <w:snapToGrid w:val="0"/>
              <w:spacing w:line="259" w:lineRule="auto"/>
              <w:jc w:val="both"/>
              <w:rPr>
                <w:rFonts w:ascii="Arial" w:eastAsia="Calibri" w:hAnsi="Arial" w:cs="Arial"/>
                <w:sz w:val="16"/>
                <w:szCs w:val="16"/>
              </w:rPr>
            </w:pPr>
            <w:r w:rsidRPr="00CA2D6C">
              <w:rPr>
                <w:rFonts w:ascii="Arial" w:eastAsia="Calibri" w:hAnsi="Arial" w:cs="Arial"/>
                <w:sz w:val="16"/>
                <w:szCs w:val="16"/>
              </w:rPr>
              <w:t xml:space="preserve">The UE transmits the PRACH on the candidate cell as described in Clause 8.1 with a power determined as described in Clause 7.4. </w:t>
            </w:r>
          </w:p>
          <w:p w14:paraId="09F72B53" w14:textId="63CC1E88" w:rsidR="00CA2D6C" w:rsidRPr="00CA2D6C" w:rsidRDefault="00CA2D6C" w:rsidP="00CA2D6C">
            <w:pPr>
              <w:spacing w:line="259" w:lineRule="auto"/>
              <w:rPr>
                <w:rFonts w:ascii="Arial" w:eastAsia="DengXian" w:hAnsi="Arial" w:cs="Arial"/>
                <w:color w:val="FF0000"/>
                <w:sz w:val="16"/>
                <w:szCs w:val="16"/>
                <w:lang w:eastAsia="zh-CN"/>
              </w:rPr>
            </w:pPr>
            <w:r w:rsidRPr="00CA2D6C">
              <w:rPr>
                <w:rFonts w:ascii="Arial" w:eastAsia="Calibri" w:hAnsi="Arial" w:cs="Arial"/>
                <w:sz w:val="16"/>
                <w:szCs w:val="16"/>
              </w:rPr>
              <w:t xml:space="preserve">A UE can be provided by a MAC CE in a PDSCH reception on the serving cell [11, TS 38.321] a </w:t>
            </w:r>
            <w:r w:rsidRPr="00CA2D6C">
              <w:rPr>
                <w:rFonts w:ascii="Arial" w:eastAsia="Calibri" w:hAnsi="Arial" w:cs="Arial"/>
                <w:i/>
                <w:iCs/>
                <w:sz w:val="16"/>
                <w:szCs w:val="16"/>
                <w:lang w:eastAsia="zh-CN"/>
              </w:rPr>
              <w:t>TCI-State</w:t>
            </w:r>
            <w:r w:rsidRPr="00CA2D6C">
              <w:rPr>
                <w:rFonts w:ascii="Arial" w:eastAsia="Calibri" w:hAnsi="Arial" w:cs="Arial"/>
                <w:iCs/>
                <w:sz w:val="16"/>
                <w:szCs w:val="16"/>
                <w:lang w:eastAsia="zh-CN"/>
              </w:rPr>
              <w:t xml:space="preserve"> </w:t>
            </w:r>
            <w:r w:rsidRPr="00CA2D6C">
              <w:rPr>
                <w:rFonts w:ascii="Arial" w:eastAsia="Calibri" w:hAnsi="Arial" w:cs="Arial"/>
                <w:sz w:val="16"/>
                <w:szCs w:val="16"/>
              </w:rPr>
              <w:t xml:space="preserve">and/or </w:t>
            </w:r>
            <w:r w:rsidRPr="00CA2D6C">
              <w:rPr>
                <w:rFonts w:ascii="Arial" w:eastAsia="Calibri" w:hAnsi="Arial" w:cs="Arial"/>
                <w:i/>
                <w:sz w:val="16"/>
                <w:szCs w:val="16"/>
              </w:rPr>
              <w:t>TCI-UL-State</w:t>
            </w:r>
            <w:r w:rsidRPr="00CA2D6C">
              <w:rPr>
                <w:rFonts w:ascii="Arial" w:eastAsia="Calibri" w:hAnsi="Arial" w:cs="Arial"/>
                <w:iCs/>
                <w:sz w:val="16"/>
                <w:szCs w:val="16"/>
                <w:lang w:eastAsia="zh-CN"/>
              </w:rPr>
              <w:t xml:space="preserve"> in</w:t>
            </w:r>
            <w:r w:rsidRPr="00CA2D6C">
              <w:rPr>
                <w:rFonts w:ascii="Arial" w:eastAsia="Calibri" w:hAnsi="Arial" w:cs="Arial"/>
                <w:sz w:val="16"/>
                <w:szCs w:val="16"/>
              </w:rPr>
              <w:t xml:space="preserve"> </w:t>
            </w:r>
            <w:r w:rsidRPr="00CA2D6C">
              <w:rPr>
                <w:rFonts w:ascii="Arial" w:eastAsia="Calibri" w:hAnsi="Arial" w:cs="Arial"/>
                <w:i/>
                <w:iCs/>
                <w:sz w:val="16"/>
                <w:szCs w:val="16"/>
              </w:rPr>
              <w:t>LTM-</w:t>
            </w:r>
            <w:r w:rsidRPr="00CA2D6C">
              <w:rPr>
                <w:rFonts w:ascii="Arial" w:eastAsia="Calibri" w:hAnsi="Arial" w:cs="Arial"/>
                <w:i/>
                <w:iCs/>
                <w:sz w:val="16"/>
                <w:szCs w:val="16"/>
                <w:lang w:eastAsia="zh-CN"/>
              </w:rPr>
              <w:t>dl-OrJointTCI-State</w:t>
            </w:r>
            <w:r w:rsidRPr="00CA2D6C">
              <w:rPr>
                <w:rFonts w:ascii="Arial" w:eastAsia="Calibri" w:hAnsi="Arial" w:cs="Arial"/>
                <w:i/>
                <w:iCs/>
                <w:sz w:val="16"/>
                <w:szCs w:val="16"/>
              </w:rPr>
              <w:t>ToAddMod</w:t>
            </w:r>
            <w:r w:rsidRPr="00CA2D6C">
              <w:rPr>
                <w:rFonts w:ascii="Arial" w:eastAsia="Calibri" w:hAnsi="Arial" w:cs="Arial"/>
                <w:i/>
                <w:iCs/>
                <w:sz w:val="16"/>
                <w:szCs w:val="16"/>
                <w:lang w:eastAsia="zh-CN"/>
              </w:rPr>
              <w:t>List</w:t>
            </w:r>
            <w:r w:rsidRPr="00CA2D6C">
              <w:rPr>
                <w:rFonts w:ascii="Arial" w:eastAsia="Calibri" w:hAnsi="Arial" w:cs="Arial"/>
                <w:iCs/>
                <w:sz w:val="16"/>
                <w:szCs w:val="16"/>
                <w:lang w:eastAsia="zh-CN"/>
              </w:rPr>
              <w:t xml:space="preserve"> and/or</w:t>
            </w:r>
            <w:r w:rsidRPr="00CA2D6C">
              <w:rPr>
                <w:rFonts w:ascii="Arial" w:eastAsia="Calibri" w:hAnsi="Arial" w:cs="Arial"/>
                <w:sz w:val="16"/>
                <w:szCs w:val="16"/>
              </w:rPr>
              <w:t xml:space="preserve"> </w:t>
            </w:r>
            <w:r w:rsidRPr="00CA2D6C">
              <w:rPr>
                <w:rFonts w:ascii="Arial" w:eastAsia="Calibri" w:hAnsi="Arial" w:cs="Arial"/>
                <w:i/>
                <w:iCs/>
                <w:sz w:val="16"/>
                <w:szCs w:val="16"/>
              </w:rPr>
              <w:t>LTM-ul-TCI-ToAddModList</w:t>
            </w:r>
            <w:r w:rsidRPr="00CA2D6C">
              <w:rPr>
                <w:rFonts w:ascii="Arial" w:eastAsia="Calibri" w:hAnsi="Arial" w:cs="Arial"/>
                <w:iCs/>
                <w:sz w:val="16"/>
                <w:szCs w:val="16"/>
              </w:rPr>
              <w:t xml:space="preserve"> indicating a unified TCI state</w:t>
            </w:r>
            <w:r w:rsidRPr="00CA2D6C">
              <w:rPr>
                <w:rFonts w:ascii="Arial" w:eastAsia="Calibri" w:hAnsi="Arial" w:cs="Arial"/>
                <w:sz w:val="16"/>
                <w:szCs w:val="16"/>
                <w:lang w:eastAsia="zh-CN"/>
              </w:rPr>
              <w:t xml:space="preserve"> </w:t>
            </w:r>
            <w:r w:rsidRPr="00CA2D6C">
              <w:rPr>
                <w:rFonts w:ascii="Arial" w:eastAsia="Calibri" w:hAnsi="Arial" w:cs="Arial"/>
                <w:sz w:val="16"/>
                <w:szCs w:val="16"/>
              </w:rPr>
              <w:t xml:space="preserve">[6, TS 38.214] </w:t>
            </w:r>
            <w:r w:rsidRPr="00CA2D6C">
              <w:rPr>
                <w:rFonts w:ascii="Arial" w:eastAsia="Calibri" w:hAnsi="Arial" w:cs="Arial"/>
                <w:sz w:val="16"/>
                <w:szCs w:val="16"/>
                <w:lang w:eastAsia="zh-CN"/>
              </w:rPr>
              <w:t xml:space="preserve">for applicable receptions or transmissions on a candidate cell from the number of candidate cells. </w:t>
            </w:r>
            <w:r w:rsidRPr="00CA2D6C">
              <w:rPr>
                <w:rFonts w:ascii="Arial" w:eastAsia="Calibri" w:hAnsi="Arial" w:cs="Arial"/>
                <w:sz w:val="16"/>
                <w:szCs w:val="16"/>
              </w:rPr>
              <w:t xml:space="preserve">The UE applies the </w:t>
            </w:r>
            <w:r w:rsidRPr="00CA2D6C">
              <w:rPr>
                <w:rFonts w:ascii="Arial" w:eastAsia="Calibri" w:hAnsi="Arial" w:cs="Arial"/>
                <w:i/>
                <w:sz w:val="16"/>
                <w:szCs w:val="16"/>
              </w:rPr>
              <w:t>TCI-</w:t>
            </w:r>
            <w:r w:rsidRPr="00CA2D6C">
              <w:rPr>
                <w:rFonts w:ascii="Arial" w:eastAsia="Calibri" w:hAnsi="Arial" w:cs="Arial"/>
                <w:i/>
                <w:sz w:val="16"/>
                <w:szCs w:val="16"/>
                <w:lang w:eastAsia="zh-CN"/>
              </w:rPr>
              <w:t>S</w:t>
            </w:r>
            <w:r w:rsidRPr="00CA2D6C">
              <w:rPr>
                <w:rFonts w:ascii="Arial" w:eastAsia="Calibri" w:hAnsi="Arial" w:cs="Arial"/>
                <w:i/>
                <w:sz w:val="16"/>
                <w:szCs w:val="16"/>
              </w:rPr>
              <w:t>tate</w:t>
            </w:r>
            <w:r w:rsidRPr="00CA2D6C">
              <w:rPr>
                <w:rFonts w:ascii="Arial" w:eastAsia="Calibri" w:hAnsi="Arial" w:cs="Arial"/>
                <w:sz w:val="16"/>
                <w:szCs w:val="16"/>
              </w:rPr>
              <w:t xml:space="preserve"> and/or </w:t>
            </w:r>
            <w:r w:rsidRPr="00CA2D6C">
              <w:rPr>
                <w:rFonts w:ascii="Arial" w:eastAsia="Calibri" w:hAnsi="Arial" w:cs="Arial"/>
                <w:i/>
                <w:sz w:val="16"/>
                <w:szCs w:val="16"/>
              </w:rPr>
              <w:t xml:space="preserve">TCI-UL-State, </w:t>
            </w:r>
            <w:r w:rsidRPr="00CA2D6C">
              <w:rPr>
                <w:rFonts w:ascii="Arial" w:eastAsia="Calibri" w:hAnsi="Arial" w:cs="Arial"/>
                <w:sz w:val="16"/>
                <w:szCs w:val="16"/>
              </w:rPr>
              <w:t xml:space="preserve">if indicated by the MAC CE, from a first slot that is </w:t>
            </w:r>
            <m:oMath>
              <m:r>
                <m:rPr>
                  <m:sty m:val="p"/>
                </m:rPr>
                <w:rPr>
                  <w:rFonts w:ascii="Cambria Math" w:eastAsia="Calibri" w:hAnsi="Cambria Math" w:cs="Arial"/>
                  <w:sz w:val="16"/>
                  <w:szCs w:val="16"/>
                </w:rPr>
                <m:t>TBD</m:t>
              </m:r>
            </m:oMath>
            <w:r w:rsidRPr="00CA2D6C">
              <w:rPr>
                <w:rFonts w:ascii="Arial" w:eastAsia="Calibri" w:hAnsi="Arial" w:cs="Arial"/>
                <w:sz w:val="16"/>
                <w:szCs w:val="16"/>
              </w:rPr>
              <w:t xml:space="preserve"> after the last symbol of a PUCCH or PUSCH with HARQ-ACK information for the PDSCH providing the MAC CE, and </w:t>
            </w:r>
            <m:oMath>
              <m:r>
                <w:rPr>
                  <w:rFonts w:ascii="Cambria Math" w:eastAsia="Calibri" w:hAnsi="Cambria Math" w:cs="Arial"/>
                  <w:sz w:val="16"/>
                  <w:szCs w:val="16"/>
                </w:rPr>
                <m:t xml:space="preserve">μ </m:t>
              </m:r>
            </m:oMath>
            <w:r w:rsidRPr="00CA2D6C">
              <w:rPr>
                <w:rFonts w:ascii="Arial" w:eastAsia="Calibri" w:hAnsi="Arial" w:cs="Arial"/>
                <w:sz w:val="16"/>
                <w:szCs w:val="16"/>
              </w:rPr>
              <w:t>is the SCS configuration for the TBD</w:t>
            </w:r>
            <w:r w:rsidRPr="00CA2D6C">
              <w:rPr>
                <w:rFonts w:ascii="Arial" w:eastAsia="Calibri" w:hAnsi="Arial" w:cs="Arial"/>
                <w:i/>
                <w:sz w:val="16"/>
                <w:szCs w:val="16"/>
              </w:rPr>
              <w:t>.</w:t>
            </w:r>
          </w:p>
        </w:tc>
      </w:tr>
    </w:tbl>
    <w:p w14:paraId="11B5A740" w14:textId="77777777" w:rsidR="00CA2D6C" w:rsidRDefault="00CA2D6C" w:rsidP="00CA2D6C"/>
    <w:p w14:paraId="123CCC74" w14:textId="77777777" w:rsidR="00CA2D6C" w:rsidRPr="00CA2D6C" w:rsidRDefault="00CA2D6C" w:rsidP="00CA2D6C"/>
    <w:p w14:paraId="5E15C993" w14:textId="20ED1CC6" w:rsidR="00CA2D6C" w:rsidRPr="00111832" w:rsidRDefault="005A18DC" w:rsidP="00CA2D6C">
      <w:pPr>
        <w:rPr>
          <w:b/>
          <w:bCs/>
          <w:lang w:eastAsia="x-none"/>
        </w:rPr>
      </w:pPr>
      <w:hyperlink r:id="rId1492" w:history="1">
        <w:r w:rsidR="00AF7253">
          <w:rPr>
            <w:rStyle w:val="Hyperlink"/>
            <w:b/>
            <w:bCs/>
            <w:lang w:eastAsia="x-none"/>
          </w:rPr>
          <w:t>R1-2312332</w:t>
        </w:r>
      </w:hyperlink>
      <w:r w:rsidR="00CA2D6C" w:rsidRPr="00111832">
        <w:rPr>
          <w:b/>
          <w:bCs/>
          <w:lang w:eastAsia="x-none"/>
        </w:rPr>
        <w:tab/>
        <w:t>Moderator summary on timing advance management for LTM: Round 2</w:t>
      </w:r>
      <w:r w:rsidR="00CA2D6C" w:rsidRPr="00111832">
        <w:rPr>
          <w:b/>
          <w:bCs/>
          <w:lang w:eastAsia="x-none"/>
        </w:rPr>
        <w:tab/>
        <w:t>Moderator (CATT)</w:t>
      </w:r>
    </w:p>
    <w:p w14:paraId="2F2E86B0" w14:textId="4812ED62" w:rsidR="00CA2D6C" w:rsidRDefault="00111832" w:rsidP="00F74A6F">
      <w:pPr>
        <w:rPr>
          <w:lang w:eastAsia="x-none"/>
        </w:rPr>
      </w:pPr>
      <w:r>
        <w:rPr>
          <w:lang w:eastAsia="x-none"/>
        </w:rPr>
        <w:t>From Wednesday session</w:t>
      </w:r>
    </w:p>
    <w:p w14:paraId="5AB76129" w14:textId="77777777" w:rsidR="00111832" w:rsidRPr="00111832" w:rsidRDefault="00111832" w:rsidP="00111832">
      <w:r w:rsidRPr="00111832">
        <w:rPr>
          <w:highlight w:val="green"/>
        </w:rPr>
        <w:t>Agreement</w:t>
      </w:r>
    </w:p>
    <w:p w14:paraId="48175A3B" w14:textId="7860677A" w:rsidR="00111832" w:rsidRPr="00111832" w:rsidRDefault="00111832" w:rsidP="00111832">
      <w:r w:rsidRPr="00111832">
        <w:t>The TP below is endorsed for TS 38.213</w:t>
      </w:r>
      <w:r>
        <w:t xml:space="preserve"> (TP to</w:t>
      </w:r>
      <w:r w:rsidRPr="00111832">
        <w:t xml:space="preserve"> section 8.2</w:t>
      </w:r>
      <w:r>
        <w:t>)</w:t>
      </w:r>
    </w:p>
    <w:p w14:paraId="266298FC" w14:textId="77777777" w:rsidR="00111832" w:rsidRPr="00111832" w:rsidRDefault="00111832" w:rsidP="00A67145">
      <w:pPr>
        <w:pStyle w:val="ListParagraph"/>
        <w:numPr>
          <w:ilvl w:val="0"/>
          <w:numId w:val="173"/>
        </w:numPr>
      </w:pPr>
      <w:r w:rsidRPr="00111832">
        <w:rPr>
          <w:b/>
          <w:bCs/>
          <w:u w:val="single"/>
        </w:rPr>
        <w:t>Reason for change</w:t>
      </w:r>
      <w:r w:rsidRPr="00111832">
        <w:rPr>
          <w:b/>
          <w:bCs/>
        </w:rPr>
        <w:t>:</w:t>
      </w:r>
      <w:r w:rsidRPr="00111832">
        <w:rPr>
          <w:rFonts w:eastAsia="DengXian" w:hint="eastAsia"/>
          <w:b/>
          <w:bCs/>
          <w:lang w:eastAsia="zh-CN"/>
        </w:rPr>
        <w:t xml:space="preserve"> </w:t>
      </w:r>
      <w:r w:rsidRPr="00111832">
        <w:rPr>
          <w:rFonts w:hint="eastAsia"/>
        </w:rPr>
        <w:t>RACH based TA acquisition mechanism for candidate cells does not include UE receiving RAR corresponding to the PRACH transmission, however, such characteristic has not been captured in clause 8.2 TS 38.213. In other words, from perspective of RAN1 specification, UE still needs to detect PDCCH for RAR for a PRACH transmission towards a candidate cell. Hence, we suggest to capture the following text proposal for clarification.</w:t>
      </w:r>
    </w:p>
    <w:p w14:paraId="2F93C8CD" w14:textId="77777777" w:rsidR="00111832" w:rsidRPr="00111832" w:rsidRDefault="00111832" w:rsidP="00A67145">
      <w:pPr>
        <w:pStyle w:val="ListParagraph"/>
        <w:numPr>
          <w:ilvl w:val="0"/>
          <w:numId w:val="173"/>
        </w:numPr>
      </w:pPr>
      <w:r w:rsidRPr="00111832">
        <w:rPr>
          <w:b/>
          <w:bCs/>
          <w:u w:val="single"/>
        </w:rPr>
        <w:t>Summary of change</w:t>
      </w:r>
      <w:r w:rsidRPr="00111832">
        <w:rPr>
          <w:b/>
          <w:bCs/>
        </w:rPr>
        <w:t>:</w:t>
      </w:r>
      <w:r w:rsidRPr="00111832">
        <w:rPr>
          <w:rFonts w:eastAsia="DengXian" w:hint="eastAsia"/>
          <w:b/>
          <w:bCs/>
          <w:lang w:eastAsia="zh-CN"/>
        </w:rPr>
        <w:t xml:space="preserve"> </w:t>
      </w:r>
      <w:r w:rsidRPr="00111832">
        <w:rPr>
          <w:rFonts w:hint="eastAsia"/>
        </w:rPr>
        <w:t>To specify that UE does not detect PDCCH RAR for a PRACH transmission triggered for a candidate cell.</w:t>
      </w:r>
    </w:p>
    <w:p w14:paraId="538B1E5D" w14:textId="77777777" w:rsidR="00111832" w:rsidRPr="00111832" w:rsidRDefault="00111832" w:rsidP="00A67145">
      <w:pPr>
        <w:pStyle w:val="ListParagraph"/>
        <w:numPr>
          <w:ilvl w:val="0"/>
          <w:numId w:val="173"/>
        </w:numPr>
      </w:pPr>
      <w:r w:rsidRPr="00111832">
        <w:rPr>
          <w:b/>
          <w:bCs/>
          <w:u w:val="single"/>
        </w:rPr>
        <w:t>Consequence if not approved</w:t>
      </w:r>
      <w:r w:rsidRPr="00111832">
        <w:rPr>
          <w:b/>
          <w:bCs/>
        </w:rPr>
        <w:t>:</w:t>
      </w:r>
      <w:r w:rsidRPr="00111832">
        <w:rPr>
          <w:rFonts w:eastAsia="DengXian" w:hint="eastAsia"/>
          <w:b/>
          <w:bCs/>
          <w:lang w:eastAsia="zh-CN"/>
        </w:rPr>
        <w:t xml:space="preserve"> </w:t>
      </w:r>
      <w:r w:rsidRPr="00111832">
        <w:rPr>
          <w:rFonts w:hint="eastAsia"/>
        </w:rPr>
        <w:t xml:space="preserve">RACH procedure without RAR for candidate cells is not </w:t>
      </w:r>
      <w:r w:rsidRPr="00111832">
        <w:t>supported</w:t>
      </w:r>
      <w:r w:rsidRPr="00111832">
        <w:rPr>
          <w:rFonts w:hint="eastAsia"/>
        </w:rPr>
        <w:t xml:space="preserve"> from perspective of RAN1 specification.</w:t>
      </w:r>
    </w:p>
    <w:tbl>
      <w:tblPr>
        <w:tblW w:w="5000" w:type="pct"/>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0683"/>
      </w:tblGrid>
      <w:tr w:rsidR="00111832" w:rsidRPr="00111832" w14:paraId="1D482D80" w14:textId="77777777" w:rsidTr="00111832">
        <w:tc>
          <w:tcPr>
            <w:tcW w:w="5000" w:type="pct"/>
            <w:shd w:val="clear" w:color="auto" w:fill="auto"/>
          </w:tcPr>
          <w:p w14:paraId="7584D97A" w14:textId="77777777" w:rsidR="00111832" w:rsidRPr="00111832" w:rsidRDefault="00111832" w:rsidP="00111832">
            <w:pPr>
              <w:rPr>
                <w:rFonts w:ascii="Arial" w:hAnsi="Arial" w:cs="Arial"/>
                <w:b/>
                <w:bCs/>
                <w:sz w:val="16"/>
                <w:szCs w:val="16"/>
              </w:rPr>
            </w:pPr>
            <w:r w:rsidRPr="00111832">
              <w:rPr>
                <w:rFonts w:ascii="Arial" w:hAnsi="Arial" w:cs="Arial"/>
                <w:b/>
                <w:bCs/>
                <w:sz w:val="16"/>
                <w:szCs w:val="16"/>
              </w:rPr>
              <w:t>8.2</w:t>
            </w:r>
            <w:r w:rsidRPr="00111832">
              <w:rPr>
                <w:rFonts w:ascii="Arial" w:hAnsi="Arial" w:cs="Arial"/>
                <w:b/>
                <w:bCs/>
                <w:sz w:val="16"/>
                <w:szCs w:val="16"/>
              </w:rPr>
              <w:tab/>
              <w:t>Random access response - Type-1 random access procedure</w:t>
            </w:r>
          </w:p>
          <w:p w14:paraId="049818F5" w14:textId="77777777" w:rsidR="00111832" w:rsidRPr="00111832" w:rsidRDefault="00111832" w:rsidP="00111832">
            <w:pPr>
              <w:spacing w:line="288" w:lineRule="auto"/>
              <w:jc w:val="both"/>
              <w:rPr>
                <w:rFonts w:ascii="Arial" w:hAnsi="Arial" w:cs="Arial"/>
                <w:sz w:val="16"/>
                <w:szCs w:val="16"/>
              </w:rPr>
            </w:pPr>
            <w:r w:rsidRPr="00111832">
              <w:rPr>
                <w:rFonts w:ascii="Arial" w:hAnsi="Arial" w:cs="Arial"/>
                <w:sz w:val="16"/>
                <w:szCs w:val="16"/>
              </w:rPr>
              <w:t xml:space="preserve">In response to a PRACH transmission, a UE attempts to detect a DCI format 1_0 with CRC scrambled by a corresponding RA-RNTI during a window controlled by higher layers [11, TS 38.321]. </w:t>
            </w:r>
            <w:ins w:id="673" w:author="ZTE" w:date="2023-11-01T09:33:00Z">
              <w:r w:rsidRPr="00111832">
                <w:rPr>
                  <w:rFonts w:ascii="Arial" w:eastAsia="SimSun" w:hAnsi="Arial" w:cs="Arial"/>
                  <w:sz w:val="16"/>
                  <w:szCs w:val="16"/>
                </w:rPr>
                <w:t xml:space="preserve">If a PRACH transmission is </w:t>
              </w:r>
            </w:ins>
            <w:ins w:id="674" w:author="ZTE" w:date="2023-11-01T09:34:00Z">
              <w:r w:rsidRPr="00111832">
                <w:rPr>
                  <w:rFonts w:ascii="Arial" w:eastAsia="SimSun" w:hAnsi="Arial" w:cs="Arial"/>
                  <w:sz w:val="16"/>
                  <w:szCs w:val="16"/>
                </w:rPr>
                <w:t xml:space="preserve">triggered by PDCCH order </w:t>
              </w:r>
            </w:ins>
            <w:ins w:id="675" w:author="David mazzarese" w:date="2023-11-15T18:41:00Z">
              <w:r w:rsidRPr="00111832">
                <w:rPr>
                  <w:rFonts w:ascii="Arial" w:eastAsia="SimSun" w:hAnsi="Arial" w:cs="Arial"/>
                  <w:sz w:val="16"/>
                  <w:szCs w:val="16"/>
                </w:rPr>
                <w:t>with non-zero Cell Indicator Field</w:t>
              </w:r>
            </w:ins>
            <w:ins w:id="676" w:author="ZTE" w:date="2023-11-01T09:36:00Z">
              <w:r w:rsidRPr="00111832">
                <w:rPr>
                  <w:rFonts w:ascii="Arial" w:eastAsia="SimSun" w:hAnsi="Arial" w:cs="Arial"/>
                  <w:sz w:val="16"/>
                  <w:szCs w:val="16"/>
                </w:rPr>
                <w:t xml:space="preserve">, </w:t>
              </w:r>
            </w:ins>
            <w:ins w:id="677" w:author="David mazzarese" w:date="2023-11-15T18:42:00Z">
              <w:r w:rsidRPr="00111832">
                <w:rPr>
                  <w:rFonts w:ascii="Arial" w:eastAsia="SimSun" w:hAnsi="Arial" w:cs="Arial"/>
                  <w:sz w:val="16"/>
                  <w:szCs w:val="16"/>
                </w:rPr>
                <w:t xml:space="preserve">the </w:t>
              </w:r>
            </w:ins>
            <w:ins w:id="678" w:author="ZTE" w:date="2023-11-01T09:36:00Z">
              <w:r w:rsidRPr="00111832">
                <w:rPr>
                  <w:rFonts w:ascii="Arial" w:eastAsia="SimSun" w:hAnsi="Arial" w:cs="Arial"/>
                  <w:sz w:val="16"/>
                  <w:szCs w:val="16"/>
                </w:rPr>
                <w:t>UE does n</w:t>
              </w:r>
            </w:ins>
            <w:ins w:id="679" w:author="ZTE" w:date="2023-11-01T09:37:00Z">
              <w:r w:rsidRPr="00111832">
                <w:rPr>
                  <w:rFonts w:ascii="Arial" w:eastAsia="SimSun" w:hAnsi="Arial" w:cs="Arial"/>
                  <w:sz w:val="16"/>
                  <w:szCs w:val="16"/>
                </w:rPr>
                <w:t>ot</w:t>
              </w:r>
            </w:ins>
            <w:ins w:id="680" w:author="ZTE" w:date="2023-11-01T09:38:00Z">
              <w:r w:rsidRPr="00111832">
                <w:rPr>
                  <w:rFonts w:ascii="Arial" w:eastAsia="SimSun" w:hAnsi="Arial" w:cs="Arial"/>
                  <w:sz w:val="16"/>
                  <w:szCs w:val="16"/>
                </w:rPr>
                <w:t xml:space="preserve"> </w:t>
              </w:r>
            </w:ins>
            <w:ins w:id="681" w:author="David mazzarese" w:date="2023-11-15T18:36:00Z">
              <w:r w:rsidRPr="00111832">
                <w:rPr>
                  <w:rFonts w:ascii="Arial" w:eastAsia="SimSun" w:hAnsi="Arial" w:cs="Arial"/>
                  <w:sz w:val="16"/>
                  <w:szCs w:val="16"/>
                </w:rPr>
                <w:t xml:space="preserve">attempt to </w:t>
              </w:r>
            </w:ins>
            <w:ins w:id="682" w:author="ZTE" w:date="2023-11-01T09:37:00Z">
              <w:r w:rsidRPr="00111832">
                <w:rPr>
                  <w:rFonts w:ascii="Arial" w:eastAsia="SimSun" w:hAnsi="Arial" w:cs="Arial"/>
                  <w:sz w:val="16"/>
                  <w:szCs w:val="16"/>
                </w:rPr>
                <w:t xml:space="preserve">detect </w:t>
              </w:r>
            </w:ins>
            <w:ins w:id="683" w:author="ZTE" w:date="2023-11-01T09:38:00Z">
              <w:r w:rsidRPr="00111832">
                <w:rPr>
                  <w:rFonts w:ascii="Arial" w:hAnsi="Arial" w:cs="Arial"/>
                  <w:sz w:val="16"/>
                  <w:szCs w:val="16"/>
                </w:rPr>
                <w:t>a DCI format 1_0 with CRC scrambled by a corresponding RA-RNTI</w:t>
              </w:r>
              <w:r w:rsidRPr="00111832">
                <w:rPr>
                  <w:rFonts w:ascii="Arial" w:eastAsia="SimSun" w:hAnsi="Arial" w:cs="Arial"/>
                  <w:sz w:val="16"/>
                  <w:szCs w:val="16"/>
                </w:rPr>
                <w:t xml:space="preserve">. </w:t>
              </w:r>
            </w:ins>
            <w:r w:rsidRPr="00111832">
              <w:rPr>
                <w:rFonts w:ascii="Arial" w:hAnsi="Arial" w:cs="Arial"/>
                <w:sz w:val="16"/>
                <w:szCs w:val="16"/>
              </w:rPr>
              <w:t>The window starts at the first symbol of the earliest CORESET the UE is configured to receive PDCCH for Type1-PDCCH CSS set, as defined in clause 10.1, that is at least one symbol, after the last symbol of the last PRACH occasion corresponding to the PRACH transmission, where the symbol duration corresponds to the SCS for Type1-PDCCH CSS set as defined in clause 10.1. If</w:t>
            </w:r>
            <w:r w:rsidRPr="00111832">
              <w:rPr>
                <w:rFonts w:ascii="Arial" w:hAnsi="Arial" w:cs="Arial"/>
                <w:b/>
                <w:bCs/>
                <w:i/>
                <w:iCs/>
                <w:sz w:val="16"/>
                <w:szCs w:val="16"/>
              </w:rPr>
              <w:t xml:space="preserve"> </w:t>
            </w:r>
            <m:oMath>
              <m:sSubSup>
                <m:sSubSupPr>
                  <m:ctrlPr>
                    <w:rPr>
                      <w:rFonts w:ascii="Cambria Math" w:hAnsi="Cambria Math" w:cs="Arial"/>
                      <w:i/>
                      <w:iCs/>
                      <w:sz w:val="16"/>
                      <w:szCs w:val="16"/>
                    </w:rPr>
                  </m:ctrlPr>
                </m:sSubSupPr>
                <m:e>
                  <m:r>
                    <w:rPr>
                      <w:rFonts w:ascii="Cambria Math" w:hAnsi="Cambria Math" w:cs="Arial"/>
                      <w:sz w:val="16"/>
                      <w:szCs w:val="16"/>
                    </w:rPr>
                    <m:t>N</m:t>
                  </m:r>
                </m:e>
                <m:sub>
                  <m:r>
                    <m:rPr>
                      <m:nor/>
                    </m:rPr>
                    <w:rPr>
                      <w:rFonts w:ascii="Arial" w:hAnsi="Arial" w:cs="Arial"/>
                      <w:sz w:val="16"/>
                      <w:szCs w:val="16"/>
                      <w:lang w:val="sv-SE"/>
                    </w:rPr>
                    <m:t>TA,adj</m:t>
                  </m:r>
                </m:sub>
                <m:sup>
                  <m:r>
                    <m:rPr>
                      <m:nor/>
                    </m:rPr>
                    <w:rPr>
                      <w:rFonts w:ascii="Arial" w:hAnsi="Arial" w:cs="Arial"/>
                      <w:sz w:val="16"/>
                      <w:szCs w:val="16"/>
                      <w:lang w:val="sv-SE"/>
                    </w:rPr>
                    <m:t>UE</m:t>
                  </m:r>
                </m:sup>
              </m:sSubSup>
            </m:oMath>
            <w:r w:rsidRPr="00111832">
              <w:rPr>
                <w:rFonts w:ascii="Arial" w:hAnsi="Arial" w:cs="Arial"/>
                <w:b/>
                <w:bCs/>
                <w:i/>
                <w:iCs/>
                <w:sz w:val="16"/>
                <w:szCs w:val="16"/>
              </w:rPr>
              <w:t xml:space="preserve"> </w:t>
            </w:r>
            <w:r w:rsidRPr="00111832">
              <w:rPr>
                <w:rFonts w:ascii="Arial" w:hAnsi="Arial" w:cs="Arial"/>
                <w:sz w:val="16"/>
                <w:szCs w:val="16"/>
              </w:rPr>
              <w:t>or</w:t>
            </w:r>
            <w:r w:rsidRPr="00111832">
              <w:rPr>
                <w:rFonts w:ascii="Arial" w:hAnsi="Arial" w:cs="Arial"/>
                <w:b/>
                <w:bCs/>
                <w:i/>
                <w:iCs/>
                <w:sz w:val="16"/>
                <w:szCs w:val="16"/>
              </w:rPr>
              <w:t xml:space="preserve"> </w:t>
            </w:r>
            <m:oMath>
              <m:sSubSup>
                <m:sSubSupPr>
                  <m:ctrlPr>
                    <w:rPr>
                      <w:rFonts w:ascii="Cambria Math" w:hAnsi="Cambria Math" w:cs="Arial"/>
                      <w:i/>
                      <w:iCs/>
                      <w:sz w:val="16"/>
                      <w:szCs w:val="16"/>
                    </w:rPr>
                  </m:ctrlPr>
                </m:sSubSupPr>
                <m:e>
                  <m:r>
                    <w:rPr>
                      <w:rFonts w:ascii="Cambria Math" w:hAnsi="Cambria Math" w:cs="Arial"/>
                      <w:sz w:val="16"/>
                      <w:szCs w:val="16"/>
                    </w:rPr>
                    <m:t>N</m:t>
                  </m:r>
                </m:e>
                <m:sub>
                  <m:r>
                    <m:rPr>
                      <m:nor/>
                    </m:rPr>
                    <w:rPr>
                      <w:rFonts w:ascii="Arial" w:hAnsi="Arial" w:cs="Arial"/>
                      <w:sz w:val="16"/>
                      <w:szCs w:val="16"/>
                      <w:lang w:val="sv-SE"/>
                    </w:rPr>
                    <m:t>TA,adj</m:t>
                  </m:r>
                </m:sub>
                <m:sup>
                  <m:r>
                    <m:rPr>
                      <m:nor/>
                    </m:rPr>
                    <w:rPr>
                      <w:rFonts w:ascii="Arial" w:hAnsi="Arial" w:cs="Arial"/>
                      <w:sz w:val="16"/>
                      <w:szCs w:val="16"/>
                      <w:lang w:val="sv-SE"/>
                    </w:rPr>
                    <m:t>common</m:t>
                  </m:r>
                </m:sup>
              </m:sSubSup>
            </m:oMath>
            <w:r w:rsidRPr="00111832">
              <w:rPr>
                <w:rFonts w:ascii="Arial" w:hAnsi="Arial" w:cs="Arial"/>
                <w:sz w:val="16"/>
                <w:szCs w:val="16"/>
              </w:rPr>
              <w:t>, as defined in [4, TS 38.211], is not zero,</w:t>
            </w:r>
            <w:r w:rsidRPr="00111832">
              <w:rPr>
                <w:rFonts w:ascii="Arial" w:hAnsi="Arial" w:cs="Arial"/>
                <w:iCs/>
                <w:sz w:val="16"/>
                <w:szCs w:val="16"/>
              </w:rPr>
              <w:t xml:space="preserve"> the </w:t>
            </w:r>
            <w:r w:rsidRPr="00111832">
              <w:rPr>
                <w:rFonts w:ascii="Arial" w:hAnsi="Arial" w:cs="Arial"/>
                <w:sz w:val="16"/>
                <w:szCs w:val="16"/>
              </w:rPr>
              <w:t xml:space="preserve">window starts after an additional </w:t>
            </w:r>
            <m:oMath>
              <m:sSub>
                <m:sSubPr>
                  <m:ctrlPr>
                    <w:rPr>
                      <w:rFonts w:ascii="Cambria Math" w:hAnsi="Cambria Math" w:cs="Arial"/>
                      <w:sz w:val="16"/>
                      <w:szCs w:val="16"/>
                    </w:rPr>
                  </m:ctrlPr>
                </m:sSubPr>
                <m:e>
                  <m:r>
                    <w:rPr>
                      <w:rFonts w:ascii="Cambria Math" w:hAnsi="Cambria Math" w:cs="Arial"/>
                      <w:sz w:val="16"/>
                      <w:szCs w:val="16"/>
                    </w:rPr>
                    <m:t>T</m:t>
                  </m:r>
                </m:e>
                <m:sub>
                  <m:r>
                    <m:rPr>
                      <m:sty m:val="p"/>
                    </m:rPr>
                    <w:rPr>
                      <w:rFonts w:ascii="Cambria Math" w:hAnsi="Cambria Math" w:cs="Arial"/>
                      <w:sz w:val="16"/>
                      <w:szCs w:val="16"/>
                    </w:rPr>
                    <m:t>TA</m:t>
                  </m:r>
                </m:sub>
              </m:sSub>
              <m:r>
                <w:rPr>
                  <w:rFonts w:ascii="Cambria Math" w:hAnsi="Cambria Math" w:cs="Arial"/>
                  <w:sz w:val="16"/>
                  <w:szCs w:val="16"/>
                </w:rPr>
                <m:t>+</m:t>
              </m:r>
              <m:sSub>
                <m:sSubPr>
                  <m:ctrlPr>
                    <w:rPr>
                      <w:rFonts w:ascii="Cambria Math" w:hAnsi="Cambria Math" w:cs="Arial"/>
                      <w:i/>
                      <w:sz w:val="16"/>
                      <w:szCs w:val="16"/>
                    </w:rPr>
                  </m:ctrlPr>
                </m:sSubPr>
                <m:e>
                  <m:r>
                    <w:rPr>
                      <w:rFonts w:ascii="Cambria Math" w:hAnsi="Cambria Math" w:cs="Arial"/>
                      <w:sz w:val="16"/>
                      <w:szCs w:val="16"/>
                    </w:rPr>
                    <m:t>k</m:t>
                  </m:r>
                </m:e>
                <m:sub>
                  <m:r>
                    <m:rPr>
                      <m:sty m:val="p"/>
                    </m:rPr>
                    <w:rPr>
                      <w:rFonts w:ascii="Cambria Math" w:hAnsi="Cambria Math" w:cs="Arial"/>
                      <w:sz w:val="16"/>
                      <w:szCs w:val="16"/>
                    </w:rPr>
                    <m:t>mac</m:t>
                  </m:r>
                </m:sub>
              </m:sSub>
            </m:oMath>
            <w:r w:rsidRPr="00111832">
              <w:rPr>
                <w:rFonts w:ascii="Arial" w:hAnsi="Arial" w:cs="Arial"/>
                <w:sz w:val="16"/>
                <w:szCs w:val="16"/>
              </w:rPr>
              <w:t xml:space="preserve"> msec where </w:t>
            </w:r>
            <m:oMath>
              <m:sSub>
                <m:sSubPr>
                  <m:ctrlPr>
                    <w:rPr>
                      <w:rFonts w:ascii="Cambria Math" w:hAnsi="Cambria Math" w:cs="Arial"/>
                      <w:sz w:val="16"/>
                      <w:szCs w:val="16"/>
                    </w:rPr>
                  </m:ctrlPr>
                </m:sSubPr>
                <m:e>
                  <m:r>
                    <w:rPr>
                      <w:rFonts w:ascii="Cambria Math" w:hAnsi="Cambria Math" w:cs="Arial"/>
                      <w:sz w:val="16"/>
                      <w:szCs w:val="16"/>
                    </w:rPr>
                    <m:t>T</m:t>
                  </m:r>
                </m:e>
                <m:sub>
                  <m:r>
                    <m:rPr>
                      <m:sty m:val="p"/>
                    </m:rPr>
                    <w:rPr>
                      <w:rFonts w:ascii="Cambria Math" w:hAnsi="Cambria Math" w:cs="Arial"/>
                      <w:sz w:val="16"/>
                      <w:szCs w:val="16"/>
                    </w:rPr>
                    <m:t>TA</m:t>
                  </m:r>
                </m:sub>
              </m:sSub>
            </m:oMath>
            <w:r w:rsidRPr="00111832">
              <w:rPr>
                <w:rFonts w:ascii="Arial" w:hAnsi="Arial" w:cs="Arial"/>
                <w:iCs/>
                <w:sz w:val="16"/>
                <w:szCs w:val="16"/>
              </w:rPr>
              <w:t xml:space="preserve"> is defined in [4, TS 38.211] and</w:t>
            </w:r>
            <w:r w:rsidRPr="00111832">
              <w:rPr>
                <w:rFonts w:ascii="Arial" w:hAnsi="Arial" w:cs="Arial"/>
                <w:sz w:val="16"/>
                <w:szCs w:val="16"/>
              </w:rPr>
              <w:t xml:space="preserve"> </w:t>
            </w:r>
            <m:oMath>
              <m:sSub>
                <m:sSubPr>
                  <m:ctrlPr>
                    <w:rPr>
                      <w:rFonts w:ascii="Cambria Math" w:hAnsi="Cambria Math" w:cs="Arial"/>
                      <w:i/>
                      <w:sz w:val="16"/>
                      <w:szCs w:val="16"/>
                    </w:rPr>
                  </m:ctrlPr>
                </m:sSubPr>
                <m:e>
                  <m:r>
                    <w:rPr>
                      <w:rFonts w:ascii="Cambria Math" w:hAnsi="Cambria Math" w:cs="Arial"/>
                      <w:sz w:val="16"/>
                      <w:szCs w:val="16"/>
                    </w:rPr>
                    <m:t>k</m:t>
                  </m:r>
                </m:e>
                <m:sub>
                  <m:r>
                    <m:rPr>
                      <m:sty m:val="p"/>
                    </m:rPr>
                    <w:rPr>
                      <w:rFonts w:ascii="Cambria Math" w:hAnsi="Cambria Math" w:cs="Arial"/>
                      <w:sz w:val="16"/>
                      <w:szCs w:val="16"/>
                    </w:rPr>
                    <m:t>mac</m:t>
                  </m:r>
                </m:sub>
              </m:sSub>
            </m:oMath>
            <w:r w:rsidRPr="00111832">
              <w:rPr>
                <w:rFonts w:ascii="Arial" w:hAnsi="Arial" w:cs="Arial"/>
                <w:sz w:val="16"/>
                <w:szCs w:val="16"/>
              </w:rPr>
              <w:t xml:space="preserve"> is provided by </w:t>
            </w:r>
            <w:r w:rsidRPr="00111832">
              <w:rPr>
                <w:rFonts w:ascii="Arial" w:hAnsi="Arial" w:cs="Arial"/>
                <w:i/>
                <w:iCs/>
                <w:sz w:val="16"/>
                <w:szCs w:val="16"/>
              </w:rPr>
              <w:t>kmac</w:t>
            </w:r>
            <w:r w:rsidRPr="00111832">
              <w:rPr>
                <w:rFonts w:ascii="Arial" w:hAnsi="Arial" w:cs="Arial"/>
                <w:sz w:val="16"/>
                <w:szCs w:val="16"/>
              </w:rPr>
              <w:t xml:space="preserve"> or </w:t>
            </w:r>
            <m:oMath>
              <m:sSub>
                <m:sSubPr>
                  <m:ctrlPr>
                    <w:rPr>
                      <w:rFonts w:ascii="Cambria Math" w:hAnsi="Cambria Math" w:cs="Arial"/>
                      <w:i/>
                      <w:sz w:val="16"/>
                      <w:szCs w:val="16"/>
                    </w:rPr>
                  </m:ctrlPr>
                </m:sSubPr>
                <m:e>
                  <m:r>
                    <w:rPr>
                      <w:rFonts w:ascii="Cambria Math" w:hAnsi="Cambria Math" w:cs="Arial"/>
                      <w:sz w:val="16"/>
                      <w:szCs w:val="16"/>
                    </w:rPr>
                    <m:t>k</m:t>
                  </m:r>
                </m:e>
                <m:sub>
                  <m:r>
                    <m:rPr>
                      <m:sty m:val="p"/>
                    </m:rPr>
                    <w:rPr>
                      <w:rFonts w:ascii="Cambria Math" w:hAnsi="Cambria Math" w:cs="Arial"/>
                      <w:sz w:val="16"/>
                      <w:szCs w:val="16"/>
                    </w:rPr>
                    <m:t>mac</m:t>
                  </m:r>
                </m:sub>
              </m:sSub>
              <m:r>
                <w:rPr>
                  <w:rFonts w:ascii="Cambria Math" w:hAnsi="Cambria Math" w:cs="Arial"/>
                  <w:sz w:val="16"/>
                  <w:szCs w:val="16"/>
                </w:rPr>
                <m:t>=0</m:t>
              </m:r>
            </m:oMath>
            <w:r w:rsidRPr="00111832">
              <w:rPr>
                <w:rFonts w:ascii="Arial" w:hAnsi="Arial" w:cs="Arial"/>
                <w:sz w:val="16"/>
                <w:szCs w:val="16"/>
              </w:rPr>
              <w:t xml:space="preserve"> if </w:t>
            </w:r>
            <w:r w:rsidRPr="00111832">
              <w:rPr>
                <w:rFonts w:ascii="Arial" w:hAnsi="Arial" w:cs="Arial"/>
                <w:i/>
                <w:iCs/>
                <w:sz w:val="16"/>
                <w:szCs w:val="16"/>
              </w:rPr>
              <w:t>kmac</w:t>
            </w:r>
            <w:r w:rsidRPr="00111832">
              <w:rPr>
                <w:rFonts w:ascii="Arial" w:hAnsi="Arial" w:cs="Arial"/>
                <w:sz w:val="16"/>
                <w:szCs w:val="16"/>
              </w:rPr>
              <w:t xml:space="preserve"> is not provided. The length of the window in number of slots, based on the SCS for Type1-PDCCH CSS set, is provided by </w:t>
            </w:r>
            <w:r w:rsidRPr="00111832">
              <w:rPr>
                <w:rFonts w:ascii="Arial" w:hAnsi="Arial" w:cs="Arial"/>
                <w:i/>
                <w:sz w:val="16"/>
                <w:szCs w:val="16"/>
              </w:rPr>
              <w:t>ra-ResponseWindow</w:t>
            </w:r>
            <w:r w:rsidRPr="00111832">
              <w:rPr>
                <w:rFonts w:ascii="Arial" w:hAnsi="Arial" w:cs="Arial"/>
                <w:sz w:val="16"/>
                <w:szCs w:val="16"/>
              </w:rPr>
              <w:t xml:space="preserve">. </w:t>
            </w:r>
          </w:p>
          <w:p w14:paraId="5A021764" w14:textId="77777777" w:rsidR="00111832" w:rsidRPr="00111832" w:rsidRDefault="00111832" w:rsidP="00111832">
            <w:pPr>
              <w:snapToGrid w:val="0"/>
              <w:spacing w:line="288" w:lineRule="auto"/>
              <w:ind w:leftChars="400" w:left="800"/>
              <w:jc w:val="center"/>
              <w:rPr>
                <w:rFonts w:ascii="Arial" w:hAnsi="Arial" w:cs="Arial"/>
                <w:sz w:val="16"/>
                <w:szCs w:val="16"/>
                <w:lang w:eastAsia="x-none"/>
              </w:rPr>
            </w:pPr>
            <w:r w:rsidRPr="00111832">
              <w:rPr>
                <w:rFonts w:ascii="Arial" w:hAnsi="Arial" w:cs="Arial"/>
                <w:color w:val="FF0000"/>
                <w:sz w:val="16"/>
                <w:szCs w:val="16"/>
                <w:lang w:eastAsia="x-none"/>
              </w:rPr>
              <w:t>&lt;Unchanged parts are omitted&gt;</w:t>
            </w:r>
          </w:p>
        </w:tc>
      </w:tr>
    </w:tbl>
    <w:p w14:paraId="68431E25" w14:textId="77777777" w:rsidR="00111832" w:rsidRPr="00111832" w:rsidRDefault="00111832" w:rsidP="00111832"/>
    <w:p w14:paraId="6EC229C7" w14:textId="77777777" w:rsidR="00111832" w:rsidRDefault="00111832" w:rsidP="00F74A6F">
      <w:pPr>
        <w:rPr>
          <w:lang w:eastAsia="x-none"/>
        </w:rPr>
      </w:pPr>
    </w:p>
    <w:p w14:paraId="6DC6F08F" w14:textId="26E73C59" w:rsidR="00033039" w:rsidRPr="00033039" w:rsidRDefault="005A18DC" w:rsidP="00033039">
      <w:pPr>
        <w:rPr>
          <w:b/>
          <w:bCs/>
          <w:lang w:eastAsia="x-none"/>
        </w:rPr>
      </w:pPr>
      <w:hyperlink r:id="rId1493" w:history="1">
        <w:r w:rsidR="00AF7253">
          <w:rPr>
            <w:rStyle w:val="Hyperlink"/>
            <w:b/>
            <w:bCs/>
            <w:lang w:eastAsia="x-none"/>
          </w:rPr>
          <w:t>R1-2312564</w:t>
        </w:r>
      </w:hyperlink>
      <w:r w:rsidR="00033039" w:rsidRPr="00033039">
        <w:rPr>
          <w:b/>
          <w:bCs/>
          <w:lang w:eastAsia="x-none"/>
        </w:rPr>
        <w:tab/>
        <w:t>Moderator summary on timing advance management for LTM: Round 3</w:t>
      </w:r>
      <w:r w:rsidR="00033039" w:rsidRPr="00033039">
        <w:rPr>
          <w:b/>
          <w:bCs/>
          <w:lang w:eastAsia="x-none"/>
        </w:rPr>
        <w:tab/>
        <w:t>Moderator (CATT)</w:t>
      </w:r>
    </w:p>
    <w:p w14:paraId="39ED3FA4" w14:textId="4F525B51" w:rsidR="00033039" w:rsidRDefault="00033039" w:rsidP="00033039">
      <w:pPr>
        <w:rPr>
          <w:lang w:eastAsia="x-none"/>
        </w:rPr>
      </w:pPr>
      <w:r>
        <w:rPr>
          <w:lang w:eastAsia="x-none"/>
        </w:rPr>
        <w:t>From Thursday session</w:t>
      </w:r>
    </w:p>
    <w:p w14:paraId="5CBD8EAD" w14:textId="77777777" w:rsidR="00033039" w:rsidRPr="00033039" w:rsidRDefault="00033039" w:rsidP="00033039">
      <w:pPr>
        <w:rPr>
          <w:bCs/>
          <w:u w:val="single"/>
        </w:rPr>
      </w:pPr>
      <w:r w:rsidRPr="00033039">
        <w:rPr>
          <w:bCs/>
          <w:u w:val="single"/>
        </w:rPr>
        <w:t>Conclusion</w:t>
      </w:r>
    </w:p>
    <w:p w14:paraId="6F17769C" w14:textId="77777777" w:rsidR="00033039" w:rsidRPr="006172F6" w:rsidRDefault="00033039" w:rsidP="00033039">
      <w:r w:rsidRPr="006172F6">
        <w:t>From RAN1 perspective, for a LTM candidate cell, PRACH for early TA acquisition can be performed on either UL or SUL in the LTM candidate cell.</w:t>
      </w:r>
    </w:p>
    <w:p w14:paraId="722E30DC" w14:textId="77777777" w:rsidR="00033039" w:rsidRPr="006172F6" w:rsidRDefault="00033039" w:rsidP="00A67145">
      <w:pPr>
        <w:pStyle w:val="ListParagraph"/>
        <w:numPr>
          <w:ilvl w:val="0"/>
          <w:numId w:val="215"/>
        </w:numPr>
      </w:pPr>
      <w:r w:rsidRPr="006172F6">
        <w:t>Whether to have only one RACH configuration or two RACH configurations is left to RAN2 decision.</w:t>
      </w:r>
    </w:p>
    <w:p w14:paraId="237D13C6" w14:textId="77777777" w:rsidR="00033039" w:rsidRDefault="00033039" w:rsidP="00033039">
      <w:pPr>
        <w:rPr>
          <w:lang w:eastAsia="x-none"/>
        </w:rPr>
      </w:pPr>
    </w:p>
    <w:p w14:paraId="5B9E817E" w14:textId="228D473B" w:rsidR="00033039" w:rsidRPr="009537ED" w:rsidRDefault="00A76E0D" w:rsidP="00033039">
      <w:pPr>
        <w:rPr>
          <w:lang w:eastAsia="x-none"/>
        </w:rPr>
      </w:pPr>
      <w:r>
        <w:rPr>
          <w:lang w:eastAsia="x-none"/>
        </w:rPr>
        <w:t xml:space="preserve">Final summary in </w:t>
      </w:r>
      <w:hyperlink r:id="rId1494" w:history="1">
        <w:r w:rsidR="00AF7253">
          <w:rPr>
            <w:rStyle w:val="Hyperlink"/>
            <w:lang w:eastAsia="x-none"/>
          </w:rPr>
          <w:t>R1-2312565</w:t>
        </w:r>
      </w:hyperlink>
      <w:r>
        <w:rPr>
          <w:lang w:eastAsia="x-none"/>
        </w:rPr>
        <w:t>.</w:t>
      </w:r>
    </w:p>
    <w:p w14:paraId="140D2739" w14:textId="77777777" w:rsidR="00F74A6F" w:rsidRDefault="00F74A6F" w:rsidP="00F74A6F">
      <w:pPr>
        <w:pStyle w:val="Heading2"/>
      </w:pPr>
      <w:bookmarkStart w:id="684" w:name="_Toc150174475"/>
      <w:bookmarkStart w:id="685" w:name="_Toc159251017"/>
      <w:r w:rsidRPr="009537ED">
        <w:t>Maintenance on Further NR Coverage Enhancements</w:t>
      </w:r>
      <w:bookmarkEnd w:id="684"/>
      <w:bookmarkEnd w:id="685"/>
    </w:p>
    <w:p w14:paraId="2C415547" w14:textId="28F14C90" w:rsidR="004B3090" w:rsidRPr="004B3090" w:rsidRDefault="005A18DC" w:rsidP="004B3090">
      <w:pPr>
        <w:rPr>
          <w:b/>
          <w:bCs/>
        </w:rPr>
      </w:pPr>
      <w:hyperlink r:id="rId1495" w:history="1">
        <w:r w:rsidR="00AF7253">
          <w:rPr>
            <w:rStyle w:val="Hyperlink"/>
            <w:b/>
            <w:bCs/>
          </w:rPr>
          <w:t>R1-2312507</w:t>
        </w:r>
      </w:hyperlink>
      <w:r w:rsidR="004B3090" w:rsidRPr="004B3090">
        <w:rPr>
          <w:b/>
          <w:bCs/>
        </w:rPr>
        <w:tab/>
        <w:t>Session notes for 8.8 (Maintenance on further NR coverage enhancements)</w:t>
      </w:r>
      <w:r w:rsidR="004B3090" w:rsidRPr="004B3090">
        <w:rPr>
          <w:b/>
          <w:bCs/>
        </w:rPr>
        <w:tab/>
        <w:t>Ad-Hoc Chair (Huawei)</w:t>
      </w:r>
    </w:p>
    <w:p w14:paraId="6171526B" w14:textId="77777777" w:rsidR="004B3090" w:rsidRPr="00D96FAE" w:rsidRDefault="004B3090" w:rsidP="004B3090">
      <w:pPr>
        <w:rPr>
          <w:lang w:eastAsia="x-none"/>
        </w:rPr>
      </w:pPr>
      <w:r w:rsidRPr="00F05EFE">
        <w:rPr>
          <w:b/>
          <w:bCs/>
        </w:rPr>
        <w:t>Friday decision:</w:t>
      </w:r>
      <w:r>
        <w:t xml:space="preserve"> The </w:t>
      </w:r>
      <w:r>
        <w:rPr>
          <w:lang w:val="en-US" w:eastAsia="x-none"/>
        </w:rPr>
        <w:t>s</w:t>
      </w:r>
      <w:r w:rsidRPr="00663F3A">
        <w:rPr>
          <w:lang w:val="en-US" w:eastAsia="x-none"/>
        </w:rPr>
        <w:t>ession notes</w:t>
      </w:r>
      <w:r>
        <w:rPr>
          <w:lang w:val="en-US" w:eastAsia="x-none"/>
        </w:rPr>
        <w:t xml:space="preserve"> are </w:t>
      </w:r>
      <w:r>
        <w:rPr>
          <w:highlight w:val="green"/>
          <w:lang w:eastAsia="x-none"/>
        </w:rPr>
        <w:t>e</w:t>
      </w:r>
      <w:r w:rsidRPr="00D96FAE">
        <w:rPr>
          <w:highlight w:val="green"/>
          <w:lang w:eastAsia="x-none"/>
        </w:rPr>
        <w:t xml:space="preserve">ndorsed </w:t>
      </w:r>
      <w:r w:rsidRPr="00D96FAE">
        <w:rPr>
          <w:lang w:eastAsia="x-none"/>
        </w:rPr>
        <w:t>and contents reflected below.</w:t>
      </w:r>
    </w:p>
    <w:p w14:paraId="2860FFC8" w14:textId="77777777" w:rsidR="004B3090" w:rsidRPr="004B3090" w:rsidRDefault="004B3090" w:rsidP="004B3090"/>
    <w:p w14:paraId="60EA811A" w14:textId="77777777" w:rsidR="00883FD0" w:rsidRPr="00883FD0" w:rsidRDefault="00F74A6F" w:rsidP="00F74A6F">
      <w:pPr>
        <w:rPr>
          <w:lang w:eastAsia="x-none"/>
        </w:rPr>
      </w:pPr>
      <w:r w:rsidRPr="00883FD0">
        <w:rPr>
          <w:lang w:eastAsia="x-none"/>
        </w:rPr>
        <w:t xml:space="preserve">[115-R18-CovEnh] </w:t>
      </w:r>
      <w:r w:rsidR="00883FD0" w:rsidRPr="00883FD0">
        <w:rPr>
          <w:lang w:eastAsia="x-none"/>
        </w:rPr>
        <w:t>– Nanxi (China Telecom)</w:t>
      </w:r>
    </w:p>
    <w:p w14:paraId="57A66E80" w14:textId="5C2A617B" w:rsidR="00F74A6F" w:rsidRPr="00883FD0" w:rsidRDefault="00F74A6F" w:rsidP="00F74A6F">
      <w:pPr>
        <w:rPr>
          <w:lang w:eastAsia="x-none"/>
        </w:rPr>
      </w:pPr>
      <w:r w:rsidRPr="00883FD0">
        <w:rPr>
          <w:lang w:eastAsia="x-none"/>
        </w:rPr>
        <w:t>Email discussion on coverage enhancement</w:t>
      </w:r>
    </w:p>
    <w:p w14:paraId="26EA1891" w14:textId="77777777" w:rsidR="00F74A6F" w:rsidRPr="00883FD0" w:rsidRDefault="00F74A6F" w:rsidP="00F74A6F">
      <w:pPr>
        <w:numPr>
          <w:ilvl w:val="0"/>
          <w:numId w:val="69"/>
        </w:numPr>
        <w:rPr>
          <w:i/>
          <w:iCs/>
        </w:rPr>
      </w:pPr>
      <w:r w:rsidRPr="00883FD0">
        <w:rPr>
          <w:lang w:eastAsia="x-none"/>
        </w:rPr>
        <w:t>To be used for sharing updates on online/offline schedule, details on what is to be discussed in online/offline sessions, tdoc number of the moderator summary for online session, etc</w:t>
      </w:r>
    </w:p>
    <w:p w14:paraId="5E813FEA" w14:textId="77777777" w:rsidR="00F74A6F" w:rsidRPr="009537ED" w:rsidRDefault="00F74A6F" w:rsidP="00883FD0">
      <w:pPr>
        <w:pStyle w:val="Heading3"/>
        <w:rPr>
          <w:lang w:eastAsia="zh-CN"/>
        </w:rPr>
      </w:pPr>
      <w:bookmarkStart w:id="686" w:name="_Toc150174476"/>
      <w:bookmarkStart w:id="687" w:name="_Toc159251018"/>
      <w:r w:rsidRPr="009537ED">
        <w:rPr>
          <w:lang w:eastAsia="zh-CN"/>
        </w:rPr>
        <w:t>PRACH coverage enhancements</w:t>
      </w:r>
      <w:bookmarkEnd w:id="686"/>
      <w:bookmarkEnd w:id="687"/>
    </w:p>
    <w:p w14:paraId="1F7DD258" w14:textId="696A2223" w:rsidR="00F74A6F" w:rsidRPr="009537ED" w:rsidRDefault="005A18DC" w:rsidP="00F74A6F">
      <w:pPr>
        <w:rPr>
          <w:lang w:eastAsia="zh-CN"/>
        </w:rPr>
      </w:pPr>
      <w:hyperlink r:id="rId1496" w:history="1">
        <w:r w:rsidR="00AF7253">
          <w:rPr>
            <w:rStyle w:val="Hyperlink"/>
            <w:lang w:eastAsia="zh-CN"/>
          </w:rPr>
          <w:t>R1-2310882</w:t>
        </w:r>
      </w:hyperlink>
      <w:r w:rsidR="00F74A6F" w:rsidRPr="009537ED">
        <w:rPr>
          <w:lang w:eastAsia="zh-CN"/>
        </w:rPr>
        <w:tab/>
        <w:t>Maintenance of PRACH coverage enhancements</w:t>
      </w:r>
      <w:r w:rsidR="00F74A6F" w:rsidRPr="009537ED">
        <w:rPr>
          <w:lang w:eastAsia="zh-CN"/>
        </w:rPr>
        <w:tab/>
        <w:t>Huawei, HiSilicon</w:t>
      </w:r>
    </w:p>
    <w:p w14:paraId="38FB47BF" w14:textId="40EDCA32" w:rsidR="00F74A6F" w:rsidRPr="009537ED" w:rsidRDefault="005A18DC" w:rsidP="00F74A6F">
      <w:pPr>
        <w:rPr>
          <w:lang w:eastAsia="zh-CN"/>
        </w:rPr>
      </w:pPr>
      <w:hyperlink r:id="rId1497" w:history="1">
        <w:r w:rsidR="00AF7253">
          <w:rPr>
            <w:rStyle w:val="Hyperlink"/>
            <w:lang w:eastAsia="zh-CN"/>
          </w:rPr>
          <w:t>R1-2310930</w:t>
        </w:r>
      </w:hyperlink>
      <w:r w:rsidR="00F74A6F" w:rsidRPr="009537ED">
        <w:rPr>
          <w:lang w:eastAsia="zh-CN"/>
        </w:rPr>
        <w:tab/>
        <w:t>Discussions on the remaining issue on PRACH coverage enhancements</w:t>
      </w:r>
      <w:r w:rsidR="00F74A6F" w:rsidRPr="009537ED">
        <w:rPr>
          <w:lang w:eastAsia="zh-CN"/>
        </w:rPr>
        <w:tab/>
        <w:t>New H3C Technologies Co., Ltd.</w:t>
      </w:r>
    </w:p>
    <w:p w14:paraId="1AFC32B2" w14:textId="1BE346EE" w:rsidR="00F74A6F" w:rsidRPr="009537ED" w:rsidRDefault="005A18DC" w:rsidP="00F74A6F">
      <w:pPr>
        <w:rPr>
          <w:lang w:eastAsia="zh-CN"/>
        </w:rPr>
      </w:pPr>
      <w:hyperlink r:id="rId1498" w:history="1">
        <w:r w:rsidR="00AF7253">
          <w:rPr>
            <w:rStyle w:val="Hyperlink"/>
            <w:lang w:eastAsia="zh-CN"/>
          </w:rPr>
          <w:t>R1-2311019</w:t>
        </w:r>
      </w:hyperlink>
      <w:r w:rsidR="00F74A6F" w:rsidRPr="009537ED">
        <w:rPr>
          <w:lang w:eastAsia="zh-CN"/>
        </w:rPr>
        <w:tab/>
        <w:t>Maintenance of PRACH coverage enhancements</w:t>
      </w:r>
      <w:r w:rsidR="00F74A6F" w:rsidRPr="009537ED">
        <w:rPr>
          <w:lang w:eastAsia="zh-CN"/>
        </w:rPr>
        <w:tab/>
        <w:t>ZTE</w:t>
      </w:r>
    </w:p>
    <w:p w14:paraId="58319501" w14:textId="5EAF11BA" w:rsidR="00F74A6F" w:rsidRPr="009537ED" w:rsidRDefault="005A18DC" w:rsidP="00F74A6F">
      <w:pPr>
        <w:rPr>
          <w:lang w:eastAsia="zh-CN"/>
        </w:rPr>
      </w:pPr>
      <w:hyperlink r:id="rId1499" w:history="1">
        <w:r w:rsidR="00AF7253">
          <w:rPr>
            <w:rStyle w:val="Hyperlink"/>
            <w:lang w:eastAsia="zh-CN"/>
          </w:rPr>
          <w:t>R1-2311054</w:t>
        </w:r>
      </w:hyperlink>
      <w:r w:rsidR="00F74A6F" w:rsidRPr="009537ED">
        <w:rPr>
          <w:lang w:eastAsia="zh-CN"/>
        </w:rPr>
        <w:tab/>
        <w:t>Remaining issues on PRACH coverage enhancements</w:t>
      </w:r>
      <w:r w:rsidR="00F74A6F" w:rsidRPr="009537ED">
        <w:rPr>
          <w:lang w:eastAsia="zh-CN"/>
        </w:rPr>
        <w:tab/>
        <w:t>Fujitsu</w:t>
      </w:r>
    </w:p>
    <w:p w14:paraId="012E2600" w14:textId="2B8CAF3A" w:rsidR="00F74A6F" w:rsidRPr="009537ED" w:rsidRDefault="005A18DC" w:rsidP="00F74A6F">
      <w:pPr>
        <w:rPr>
          <w:lang w:eastAsia="zh-CN"/>
        </w:rPr>
      </w:pPr>
      <w:hyperlink r:id="rId1500" w:history="1">
        <w:r w:rsidR="00AF7253">
          <w:rPr>
            <w:rStyle w:val="Hyperlink"/>
            <w:lang w:eastAsia="zh-CN"/>
          </w:rPr>
          <w:t>R1-2311107</w:t>
        </w:r>
      </w:hyperlink>
      <w:r w:rsidR="00F74A6F" w:rsidRPr="009537ED">
        <w:rPr>
          <w:lang w:eastAsia="zh-CN"/>
        </w:rPr>
        <w:tab/>
        <w:t>Discussions on remaining issues of PRACH coverage enhancements</w:t>
      </w:r>
      <w:r w:rsidR="00F74A6F" w:rsidRPr="009537ED">
        <w:rPr>
          <w:lang w:eastAsia="zh-CN"/>
        </w:rPr>
        <w:tab/>
        <w:t>vivo</w:t>
      </w:r>
    </w:p>
    <w:p w14:paraId="62749149" w14:textId="2A62AE9E" w:rsidR="00F74A6F" w:rsidRPr="009537ED" w:rsidRDefault="005A18DC" w:rsidP="00F74A6F">
      <w:pPr>
        <w:rPr>
          <w:lang w:eastAsia="zh-CN"/>
        </w:rPr>
      </w:pPr>
      <w:hyperlink r:id="rId1501" w:history="1">
        <w:r w:rsidR="00AF7253">
          <w:rPr>
            <w:rStyle w:val="Hyperlink"/>
            <w:lang w:eastAsia="zh-CN"/>
          </w:rPr>
          <w:t>R1-2311134</w:t>
        </w:r>
      </w:hyperlink>
      <w:r w:rsidR="00F74A6F" w:rsidRPr="009537ED">
        <w:rPr>
          <w:lang w:eastAsia="zh-CN"/>
        </w:rPr>
        <w:tab/>
        <w:t>Remaining issues on PRACH coverage enhancement</w:t>
      </w:r>
      <w:r w:rsidR="00F74A6F" w:rsidRPr="009537ED">
        <w:rPr>
          <w:lang w:eastAsia="zh-CN"/>
        </w:rPr>
        <w:tab/>
        <w:t>Intel Corporation</w:t>
      </w:r>
    </w:p>
    <w:p w14:paraId="2CF67BB5" w14:textId="2DFBCA8F" w:rsidR="00F74A6F" w:rsidRPr="009537ED" w:rsidRDefault="005A18DC" w:rsidP="00F74A6F">
      <w:pPr>
        <w:rPr>
          <w:lang w:eastAsia="zh-CN"/>
        </w:rPr>
      </w:pPr>
      <w:hyperlink r:id="rId1502" w:history="1">
        <w:r w:rsidR="00AF7253">
          <w:rPr>
            <w:rStyle w:val="Hyperlink"/>
            <w:lang w:eastAsia="zh-CN"/>
          </w:rPr>
          <w:t>R1-2311174</w:t>
        </w:r>
      </w:hyperlink>
      <w:r w:rsidR="00F74A6F" w:rsidRPr="009537ED">
        <w:rPr>
          <w:lang w:eastAsia="zh-CN"/>
        </w:rPr>
        <w:tab/>
        <w:t>Remaining issues on PRACH coverage enhancements</w:t>
      </w:r>
      <w:r w:rsidR="00F74A6F" w:rsidRPr="009537ED">
        <w:rPr>
          <w:lang w:eastAsia="zh-CN"/>
        </w:rPr>
        <w:tab/>
        <w:t>Spreadtrum Communications</w:t>
      </w:r>
    </w:p>
    <w:p w14:paraId="06F49A10" w14:textId="3D6F516D" w:rsidR="00F74A6F" w:rsidRPr="009537ED" w:rsidRDefault="005A18DC" w:rsidP="00F74A6F">
      <w:pPr>
        <w:rPr>
          <w:lang w:eastAsia="zh-CN"/>
        </w:rPr>
      </w:pPr>
      <w:hyperlink r:id="rId1503" w:history="1">
        <w:r w:rsidR="00AF7253">
          <w:rPr>
            <w:rStyle w:val="Hyperlink"/>
            <w:lang w:eastAsia="zh-CN"/>
          </w:rPr>
          <w:t>R1-2311263</w:t>
        </w:r>
      </w:hyperlink>
      <w:r w:rsidR="00F74A6F" w:rsidRPr="009537ED">
        <w:rPr>
          <w:lang w:eastAsia="zh-CN"/>
        </w:rPr>
        <w:tab/>
        <w:t>Rema</w:t>
      </w:r>
      <w:r w:rsidR="00883FD0">
        <w:rPr>
          <w:lang w:eastAsia="zh-CN"/>
        </w:rPr>
        <w:t>i</w:t>
      </w:r>
      <w:r w:rsidR="00F74A6F" w:rsidRPr="009537ED">
        <w:rPr>
          <w:lang w:eastAsia="zh-CN"/>
        </w:rPr>
        <w:t>ning issues on PRACH coverage enhancements</w:t>
      </w:r>
      <w:r w:rsidR="00F74A6F" w:rsidRPr="009537ED">
        <w:rPr>
          <w:lang w:eastAsia="zh-CN"/>
        </w:rPr>
        <w:tab/>
        <w:t>OPPO</w:t>
      </w:r>
    </w:p>
    <w:p w14:paraId="70C6F9FA" w14:textId="41BE5B15" w:rsidR="00F74A6F" w:rsidRPr="009537ED" w:rsidRDefault="005A18DC" w:rsidP="00F74A6F">
      <w:pPr>
        <w:rPr>
          <w:lang w:eastAsia="zh-CN"/>
        </w:rPr>
      </w:pPr>
      <w:hyperlink r:id="rId1504" w:history="1">
        <w:r w:rsidR="00AF7253">
          <w:rPr>
            <w:rStyle w:val="Hyperlink"/>
            <w:lang w:eastAsia="zh-CN"/>
          </w:rPr>
          <w:t>R1-2311352</w:t>
        </w:r>
      </w:hyperlink>
      <w:r w:rsidR="00F74A6F" w:rsidRPr="009537ED">
        <w:rPr>
          <w:lang w:eastAsia="zh-CN"/>
        </w:rPr>
        <w:tab/>
        <w:t>Remaining issues on PRACH coverage enhancements</w:t>
      </w:r>
      <w:r w:rsidR="00F74A6F" w:rsidRPr="009537ED">
        <w:rPr>
          <w:lang w:eastAsia="zh-CN"/>
        </w:rPr>
        <w:tab/>
        <w:t>CATT</w:t>
      </w:r>
    </w:p>
    <w:p w14:paraId="1C70E56E" w14:textId="61DC673D" w:rsidR="00F74A6F" w:rsidRPr="009537ED" w:rsidRDefault="005A18DC" w:rsidP="00F74A6F">
      <w:pPr>
        <w:rPr>
          <w:lang w:eastAsia="zh-CN"/>
        </w:rPr>
      </w:pPr>
      <w:hyperlink r:id="rId1505" w:history="1">
        <w:r w:rsidR="00AF7253">
          <w:rPr>
            <w:rStyle w:val="Hyperlink"/>
            <w:lang w:eastAsia="zh-CN"/>
          </w:rPr>
          <w:t>R1-2311410</w:t>
        </w:r>
      </w:hyperlink>
      <w:r w:rsidR="00F74A6F" w:rsidRPr="009537ED">
        <w:rPr>
          <w:lang w:eastAsia="zh-CN"/>
        </w:rPr>
        <w:tab/>
        <w:t>Discussion on PRACH coverage enhancements</w:t>
      </w:r>
      <w:r w:rsidR="00F74A6F" w:rsidRPr="009537ED">
        <w:rPr>
          <w:lang w:eastAsia="zh-CN"/>
        </w:rPr>
        <w:tab/>
        <w:t>xiaomi</w:t>
      </w:r>
    </w:p>
    <w:p w14:paraId="321E7F4F" w14:textId="4D78A49D" w:rsidR="00F74A6F" w:rsidRPr="009537ED" w:rsidRDefault="005A18DC" w:rsidP="00F74A6F">
      <w:pPr>
        <w:rPr>
          <w:lang w:eastAsia="zh-CN"/>
        </w:rPr>
      </w:pPr>
      <w:hyperlink r:id="rId1506" w:history="1">
        <w:r w:rsidR="00AF7253">
          <w:rPr>
            <w:rStyle w:val="Hyperlink"/>
            <w:lang w:eastAsia="zh-CN"/>
          </w:rPr>
          <w:t>R1-2311426</w:t>
        </w:r>
      </w:hyperlink>
      <w:r w:rsidR="00F74A6F" w:rsidRPr="009537ED">
        <w:rPr>
          <w:lang w:eastAsia="zh-CN"/>
        </w:rPr>
        <w:tab/>
        <w:t>Maintenance on PRACH coverage enhancement</w:t>
      </w:r>
      <w:r w:rsidR="00F74A6F" w:rsidRPr="009537ED">
        <w:rPr>
          <w:lang w:eastAsia="zh-CN"/>
        </w:rPr>
        <w:tab/>
        <w:t>NEC</w:t>
      </w:r>
    </w:p>
    <w:p w14:paraId="5706C513" w14:textId="589B2C28" w:rsidR="00F74A6F" w:rsidRPr="009537ED" w:rsidRDefault="005A18DC" w:rsidP="00F74A6F">
      <w:pPr>
        <w:rPr>
          <w:lang w:eastAsia="zh-CN"/>
        </w:rPr>
      </w:pPr>
      <w:hyperlink r:id="rId1507" w:history="1">
        <w:r w:rsidR="00AF7253">
          <w:rPr>
            <w:rStyle w:val="Hyperlink"/>
            <w:lang w:eastAsia="zh-CN"/>
          </w:rPr>
          <w:t>R1-2311444</w:t>
        </w:r>
      </w:hyperlink>
      <w:r w:rsidR="00F74A6F" w:rsidRPr="009537ED">
        <w:rPr>
          <w:lang w:eastAsia="zh-CN"/>
        </w:rPr>
        <w:tab/>
        <w:t>Discussion on PRACH coverage enhancements</w:t>
      </w:r>
      <w:r w:rsidR="00F74A6F" w:rsidRPr="009537ED">
        <w:rPr>
          <w:lang w:eastAsia="zh-CN"/>
        </w:rPr>
        <w:tab/>
        <w:t>Panasonic</w:t>
      </w:r>
    </w:p>
    <w:p w14:paraId="39C35FC4" w14:textId="4993CF2A" w:rsidR="00F74A6F" w:rsidRPr="009537ED" w:rsidRDefault="005A18DC" w:rsidP="00F74A6F">
      <w:pPr>
        <w:rPr>
          <w:lang w:eastAsia="zh-CN"/>
        </w:rPr>
      </w:pPr>
      <w:hyperlink r:id="rId1508" w:history="1">
        <w:r w:rsidR="00AF7253">
          <w:rPr>
            <w:rStyle w:val="Hyperlink"/>
            <w:lang w:eastAsia="zh-CN"/>
          </w:rPr>
          <w:t>R1-2311492</w:t>
        </w:r>
      </w:hyperlink>
      <w:r w:rsidR="00F74A6F" w:rsidRPr="009537ED">
        <w:rPr>
          <w:lang w:eastAsia="zh-CN"/>
        </w:rPr>
        <w:tab/>
        <w:t>Remaining issues on PRACH coverage enhancements</w:t>
      </w:r>
      <w:r w:rsidR="00F74A6F" w:rsidRPr="009537ED">
        <w:rPr>
          <w:lang w:eastAsia="zh-CN"/>
        </w:rPr>
        <w:tab/>
        <w:t>CMCC</w:t>
      </w:r>
    </w:p>
    <w:p w14:paraId="173DB155" w14:textId="4A4DFC46" w:rsidR="00F74A6F" w:rsidRPr="009537ED" w:rsidRDefault="005A18DC" w:rsidP="00F74A6F">
      <w:pPr>
        <w:rPr>
          <w:lang w:eastAsia="zh-CN"/>
        </w:rPr>
      </w:pPr>
      <w:hyperlink r:id="rId1509" w:history="1">
        <w:r w:rsidR="00AF7253">
          <w:rPr>
            <w:rStyle w:val="Hyperlink"/>
            <w:lang w:eastAsia="zh-CN"/>
          </w:rPr>
          <w:t>R1-2311526</w:t>
        </w:r>
      </w:hyperlink>
      <w:r w:rsidR="00F74A6F" w:rsidRPr="009537ED">
        <w:rPr>
          <w:lang w:eastAsia="zh-CN"/>
        </w:rPr>
        <w:tab/>
        <w:t>Remaining issues on multiple PRACH transmissions for PRACH coverage enhancement</w:t>
      </w:r>
      <w:r w:rsidR="00F74A6F" w:rsidRPr="009537ED">
        <w:rPr>
          <w:lang w:eastAsia="zh-CN"/>
        </w:rPr>
        <w:tab/>
        <w:t>Sony</w:t>
      </w:r>
    </w:p>
    <w:p w14:paraId="34C8B62A" w14:textId="78A82FC3" w:rsidR="00F74A6F" w:rsidRPr="009537ED" w:rsidRDefault="005A18DC" w:rsidP="00F74A6F">
      <w:pPr>
        <w:rPr>
          <w:lang w:eastAsia="zh-CN"/>
        </w:rPr>
      </w:pPr>
      <w:hyperlink r:id="rId1510" w:history="1">
        <w:r w:rsidR="00AF7253">
          <w:rPr>
            <w:rStyle w:val="Hyperlink"/>
            <w:lang w:eastAsia="zh-CN"/>
          </w:rPr>
          <w:t>R1-2311548</w:t>
        </w:r>
      </w:hyperlink>
      <w:r w:rsidR="00F74A6F" w:rsidRPr="009537ED">
        <w:rPr>
          <w:lang w:eastAsia="zh-CN"/>
        </w:rPr>
        <w:tab/>
        <w:t>Remaining issues on PRACH coverage enhancement</w:t>
      </w:r>
      <w:r w:rsidR="00F74A6F" w:rsidRPr="009537ED">
        <w:rPr>
          <w:lang w:eastAsia="zh-CN"/>
        </w:rPr>
        <w:tab/>
        <w:t>China Telecom</w:t>
      </w:r>
    </w:p>
    <w:p w14:paraId="13012A26" w14:textId="0DD146D1" w:rsidR="00F74A6F" w:rsidRPr="009537ED" w:rsidRDefault="005A18DC" w:rsidP="00F74A6F">
      <w:pPr>
        <w:rPr>
          <w:lang w:eastAsia="zh-CN"/>
        </w:rPr>
      </w:pPr>
      <w:hyperlink r:id="rId1511" w:history="1">
        <w:r w:rsidR="00AF7253">
          <w:rPr>
            <w:rStyle w:val="Hyperlink"/>
            <w:lang w:eastAsia="zh-CN"/>
          </w:rPr>
          <w:t>R1-2311631</w:t>
        </w:r>
      </w:hyperlink>
      <w:r w:rsidR="00F74A6F" w:rsidRPr="009537ED">
        <w:rPr>
          <w:lang w:eastAsia="zh-CN"/>
        </w:rPr>
        <w:tab/>
        <w:t>Remaining issues on PRACH coverage enhancements</w:t>
      </w:r>
      <w:r w:rsidR="00F74A6F" w:rsidRPr="009537ED">
        <w:rPr>
          <w:lang w:eastAsia="zh-CN"/>
        </w:rPr>
        <w:tab/>
        <w:t>NTT DOCOMO, INC.</w:t>
      </w:r>
    </w:p>
    <w:p w14:paraId="2EBAB2D2" w14:textId="206D7653" w:rsidR="00F74A6F" w:rsidRPr="009537ED" w:rsidRDefault="005A18DC" w:rsidP="00F74A6F">
      <w:pPr>
        <w:rPr>
          <w:lang w:eastAsia="zh-CN"/>
        </w:rPr>
      </w:pPr>
      <w:hyperlink r:id="rId1512" w:history="1">
        <w:r w:rsidR="00AF7253">
          <w:rPr>
            <w:rStyle w:val="Hyperlink"/>
            <w:lang w:eastAsia="zh-CN"/>
          </w:rPr>
          <w:t>R1-2311694</w:t>
        </w:r>
      </w:hyperlink>
      <w:r w:rsidR="00F74A6F" w:rsidRPr="009537ED">
        <w:rPr>
          <w:lang w:eastAsia="zh-CN"/>
        </w:rPr>
        <w:tab/>
        <w:t>Remaining issues on PRACH coverage enhancements</w:t>
      </w:r>
      <w:r w:rsidR="00F74A6F" w:rsidRPr="009537ED">
        <w:rPr>
          <w:lang w:eastAsia="zh-CN"/>
        </w:rPr>
        <w:tab/>
        <w:t>Apple</w:t>
      </w:r>
    </w:p>
    <w:p w14:paraId="4B6AF2E9" w14:textId="718C0380" w:rsidR="00F74A6F" w:rsidRPr="009537ED" w:rsidRDefault="005A18DC" w:rsidP="00F74A6F">
      <w:pPr>
        <w:rPr>
          <w:lang w:eastAsia="zh-CN"/>
        </w:rPr>
      </w:pPr>
      <w:hyperlink r:id="rId1513" w:history="1">
        <w:r w:rsidR="00AF7253">
          <w:rPr>
            <w:rStyle w:val="Hyperlink"/>
            <w:lang w:eastAsia="zh-CN"/>
          </w:rPr>
          <w:t>R1-2311717</w:t>
        </w:r>
      </w:hyperlink>
      <w:r w:rsidR="00F74A6F" w:rsidRPr="009537ED">
        <w:rPr>
          <w:lang w:eastAsia="zh-CN"/>
        </w:rPr>
        <w:tab/>
        <w:t>Remaining issues on PRACH coverage enhancements</w:t>
      </w:r>
      <w:r w:rsidR="00F74A6F" w:rsidRPr="009537ED">
        <w:rPr>
          <w:lang w:eastAsia="zh-CN"/>
        </w:rPr>
        <w:tab/>
        <w:t>Quectel</w:t>
      </w:r>
    </w:p>
    <w:p w14:paraId="60F5BF91" w14:textId="6781D87B" w:rsidR="00F74A6F" w:rsidRPr="009537ED" w:rsidRDefault="005A18DC" w:rsidP="00F74A6F">
      <w:pPr>
        <w:rPr>
          <w:lang w:eastAsia="zh-CN"/>
        </w:rPr>
      </w:pPr>
      <w:hyperlink r:id="rId1514" w:history="1">
        <w:r w:rsidR="00AF7253">
          <w:rPr>
            <w:rStyle w:val="Hyperlink"/>
            <w:lang w:eastAsia="zh-CN"/>
          </w:rPr>
          <w:t>R1-2311723</w:t>
        </w:r>
      </w:hyperlink>
      <w:r w:rsidR="00F74A6F" w:rsidRPr="009537ED">
        <w:rPr>
          <w:lang w:eastAsia="zh-CN"/>
        </w:rPr>
        <w:tab/>
        <w:t>Remaining issues on PRACH coverage enhancements</w:t>
      </w:r>
      <w:r w:rsidR="00F74A6F" w:rsidRPr="009537ED">
        <w:rPr>
          <w:lang w:eastAsia="zh-CN"/>
        </w:rPr>
        <w:tab/>
        <w:t>Lenovo</w:t>
      </w:r>
    </w:p>
    <w:p w14:paraId="4EC2FF3B" w14:textId="64B82286" w:rsidR="00F74A6F" w:rsidRPr="009537ED" w:rsidRDefault="005A18DC" w:rsidP="00F74A6F">
      <w:pPr>
        <w:rPr>
          <w:lang w:eastAsia="zh-CN"/>
        </w:rPr>
      </w:pPr>
      <w:hyperlink r:id="rId1515" w:history="1">
        <w:r w:rsidR="00AF7253">
          <w:rPr>
            <w:rStyle w:val="Hyperlink"/>
            <w:lang w:eastAsia="zh-CN"/>
          </w:rPr>
          <w:t>R1-2311755</w:t>
        </w:r>
      </w:hyperlink>
      <w:r w:rsidR="00F74A6F" w:rsidRPr="009537ED">
        <w:rPr>
          <w:lang w:eastAsia="zh-CN"/>
        </w:rPr>
        <w:tab/>
        <w:t>PRACH coverage enhancements</w:t>
      </w:r>
      <w:r w:rsidR="00F74A6F" w:rsidRPr="009537ED">
        <w:rPr>
          <w:lang w:eastAsia="zh-CN"/>
        </w:rPr>
        <w:tab/>
        <w:t>ETRI</w:t>
      </w:r>
    </w:p>
    <w:p w14:paraId="29C6674E" w14:textId="06A796F4" w:rsidR="00F74A6F" w:rsidRPr="009537ED" w:rsidRDefault="005A18DC" w:rsidP="00F74A6F">
      <w:pPr>
        <w:rPr>
          <w:lang w:eastAsia="zh-CN"/>
        </w:rPr>
      </w:pPr>
      <w:hyperlink r:id="rId1516" w:history="1">
        <w:r w:rsidR="00AF7253">
          <w:rPr>
            <w:rStyle w:val="Hyperlink"/>
            <w:lang w:eastAsia="zh-CN"/>
          </w:rPr>
          <w:t>R1-2311770</w:t>
        </w:r>
      </w:hyperlink>
      <w:r w:rsidR="00F74A6F" w:rsidRPr="009537ED">
        <w:rPr>
          <w:lang w:eastAsia="zh-CN"/>
        </w:rPr>
        <w:tab/>
        <w:t>Remaining issues on multiple PRACH transmissions for Rel-18 CovEnh</w:t>
      </w:r>
      <w:r w:rsidR="00F74A6F" w:rsidRPr="009537ED">
        <w:rPr>
          <w:lang w:eastAsia="zh-CN"/>
        </w:rPr>
        <w:tab/>
        <w:t>Sharp</w:t>
      </w:r>
    </w:p>
    <w:p w14:paraId="3B75F241" w14:textId="471CF76E" w:rsidR="00F74A6F" w:rsidRPr="009537ED" w:rsidRDefault="005A18DC" w:rsidP="00F74A6F">
      <w:pPr>
        <w:rPr>
          <w:lang w:eastAsia="zh-CN"/>
        </w:rPr>
      </w:pPr>
      <w:hyperlink r:id="rId1517" w:history="1">
        <w:r w:rsidR="00AF7253">
          <w:rPr>
            <w:rStyle w:val="Hyperlink"/>
            <w:lang w:eastAsia="zh-CN"/>
          </w:rPr>
          <w:t>R1-2311854</w:t>
        </w:r>
      </w:hyperlink>
      <w:r w:rsidR="00F74A6F" w:rsidRPr="009537ED">
        <w:rPr>
          <w:lang w:eastAsia="zh-CN"/>
        </w:rPr>
        <w:tab/>
        <w:t>PRACH coverage enhancements</w:t>
      </w:r>
      <w:r w:rsidR="00F74A6F" w:rsidRPr="009537ED">
        <w:rPr>
          <w:lang w:eastAsia="zh-CN"/>
        </w:rPr>
        <w:tab/>
        <w:t>Samsung</w:t>
      </w:r>
    </w:p>
    <w:p w14:paraId="36DB7610" w14:textId="44FAE8EA" w:rsidR="00F74A6F" w:rsidRPr="009537ED" w:rsidRDefault="005A18DC" w:rsidP="00F74A6F">
      <w:pPr>
        <w:rPr>
          <w:lang w:eastAsia="zh-CN"/>
        </w:rPr>
      </w:pPr>
      <w:hyperlink r:id="rId1518" w:history="1">
        <w:r w:rsidR="00AF7253">
          <w:rPr>
            <w:rStyle w:val="Hyperlink"/>
            <w:lang w:eastAsia="zh-CN"/>
          </w:rPr>
          <w:t>R1-2311915</w:t>
        </w:r>
      </w:hyperlink>
      <w:r w:rsidR="00F74A6F" w:rsidRPr="009537ED">
        <w:rPr>
          <w:lang w:eastAsia="zh-CN"/>
        </w:rPr>
        <w:tab/>
        <w:t>Remaining issues on PRACH coverage enhancements</w:t>
      </w:r>
      <w:r w:rsidR="00F74A6F" w:rsidRPr="009537ED">
        <w:rPr>
          <w:lang w:eastAsia="zh-CN"/>
        </w:rPr>
        <w:tab/>
        <w:t>LG Electronics</w:t>
      </w:r>
    </w:p>
    <w:p w14:paraId="1C4D2479" w14:textId="3D282218" w:rsidR="00F74A6F" w:rsidRPr="009537ED" w:rsidRDefault="005A18DC" w:rsidP="00F74A6F">
      <w:pPr>
        <w:rPr>
          <w:lang w:eastAsia="zh-CN"/>
        </w:rPr>
      </w:pPr>
      <w:hyperlink r:id="rId1519" w:history="1">
        <w:r w:rsidR="00AF7253">
          <w:rPr>
            <w:rStyle w:val="Hyperlink"/>
            <w:lang w:eastAsia="zh-CN"/>
          </w:rPr>
          <w:t>R1-2311920</w:t>
        </w:r>
      </w:hyperlink>
      <w:r w:rsidR="00F74A6F" w:rsidRPr="009537ED">
        <w:rPr>
          <w:lang w:eastAsia="zh-CN"/>
        </w:rPr>
        <w:tab/>
        <w:t>Remaining issues on PRACH coverage enhancements</w:t>
      </w:r>
      <w:r w:rsidR="00F74A6F" w:rsidRPr="009537ED">
        <w:rPr>
          <w:lang w:eastAsia="zh-CN"/>
        </w:rPr>
        <w:tab/>
        <w:t>Nokia, Nokia Shanghai Bell</w:t>
      </w:r>
    </w:p>
    <w:p w14:paraId="567CF592" w14:textId="3C17D366" w:rsidR="00F74A6F" w:rsidRPr="009537ED" w:rsidRDefault="005A18DC" w:rsidP="00F74A6F">
      <w:pPr>
        <w:rPr>
          <w:lang w:eastAsia="zh-CN"/>
        </w:rPr>
      </w:pPr>
      <w:hyperlink r:id="rId1520" w:history="1">
        <w:r w:rsidR="00AF7253">
          <w:rPr>
            <w:rStyle w:val="Hyperlink"/>
            <w:lang w:eastAsia="zh-CN"/>
          </w:rPr>
          <w:t>R1-2311935</w:t>
        </w:r>
      </w:hyperlink>
      <w:r w:rsidR="00F74A6F" w:rsidRPr="009537ED">
        <w:rPr>
          <w:lang w:eastAsia="zh-CN"/>
        </w:rPr>
        <w:tab/>
        <w:t>Maintenance on PRACH coverage enhancements</w:t>
      </w:r>
      <w:r w:rsidR="00F74A6F" w:rsidRPr="009537ED">
        <w:rPr>
          <w:lang w:eastAsia="zh-CN"/>
        </w:rPr>
        <w:tab/>
        <w:t>Ruijie Network Co. Ltd</w:t>
      </w:r>
    </w:p>
    <w:p w14:paraId="12E5C40C" w14:textId="51B71816" w:rsidR="00F74A6F" w:rsidRPr="009537ED" w:rsidRDefault="005A18DC" w:rsidP="00F74A6F">
      <w:pPr>
        <w:rPr>
          <w:lang w:eastAsia="zh-CN"/>
        </w:rPr>
      </w:pPr>
      <w:hyperlink r:id="rId1521" w:history="1">
        <w:r w:rsidR="00AF7253">
          <w:rPr>
            <w:rStyle w:val="Hyperlink"/>
            <w:lang w:eastAsia="zh-CN"/>
          </w:rPr>
          <w:t>R1-2311945</w:t>
        </w:r>
      </w:hyperlink>
      <w:r w:rsidR="00F74A6F" w:rsidRPr="009537ED">
        <w:rPr>
          <w:lang w:eastAsia="zh-CN"/>
        </w:rPr>
        <w:tab/>
        <w:t>Discussion on PRACH Coverage Enhancement</w:t>
      </w:r>
      <w:r w:rsidR="00F74A6F" w:rsidRPr="009537ED">
        <w:rPr>
          <w:lang w:eastAsia="zh-CN"/>
        </w:rPr>
        <w:tab/>
        <w:t>Ericsson</w:t>
      </w:r>
    </w:p>
    <w:p w14:paraId="139ECA51" w14:textId="79EE1029" w:rsidR="00F74A6F" w:rsidRPr="009537ED" w:rsidRDefault="005A18DC" w:rsidP="00F74A6F">
      <w:pPr>
        <w:rPr>
          <w:lang w:eastAsia="zh-CN"/>
        </w:rPr>
      </w:pPr>
      <w:hyperlink r:id="rId1522" w:history="1">
        <w:r w:rsidR="00AF7253">
          <w:rPr>
            <w:rStyle w:val="Hyperlink"/>
            <w:lang w:eastAsia="zh-CN"/>
          </w:rPr>
          <w:t>R1-2311986</w:t>
        </w:r>
      </w:hyperlink>
      <w:r w:rsidR="00F74A6F" w:rsidRPr="009537ED">
        <w:rPr>
          <w:lang w:eastAsia="zh-CN"/>
        </w:rPr>
        <w:tab/>
        <w:t>Maintenance for PRACH coverage enhancements</w:t>
      </w:r>
      <w:r w:rsidR="00F74A6F" w:rsidRPr="009537ED">
        <w:rPr>
          <w:lang w:eastAsia="zh-CN"/>
        </w:rPr>
        <w:tab/>
        <w:t>MediaTek Inc.</w:t>
      </w:r>
    </w:p>
    <w:p w14:paraId="4DC4439E" w14:textId="308732B2" w:rsidR="00F74A6F" w:rsidRDefault="005A18DC" w:rsidP="00F74A6F">
      <w:pPr>
        <w:rPr>
          <w:lang w:eastAsia="zh-CN"/>
        </w:rPr>
      </w:pPr>
      <w:hyperlink r:id="rId1523" w:history="1">
        <w:r w:rsidR="00AF7253">
          <w:rPr>
            <w:rStyle w:val="Hyperlink"/>
            <w:lang w:eastAsia="zh-CN"/>
          </w:rPr>
          <w:t>R1-2312132</w:t>
        </w:r>
      </w:hyperlink>
      <w:r w:rsidR="00F74A6F" w:rsidRPr="009537ED">
        <w:rPr>
          <w:lang w:eastAsia="zh-CN"/>
        </w:rPr>
        <w:tab/>
        <w:t>Remaining issues on PRACH coverage enhancements</w:t>
      </w:r>
      <w:r w:rsidR="00F74A6F" w:rsidRPr="009537ED">
        <w:rPr>
          <w:lang w:eastAsia="zh-CN"/>
        </w:rPr>
        <w:tab/>
        <w:t>Google Inc.</w:t>
      </w:r>
    </w:p>
    <w:p w14:paraId="654AE989" w14:textId="77777777" w:rsidR="00883FD0" w:rsidRDefault="00883FD0" w:rsidP="00F74A6F">
      <w:pPr>
        <w:rPr>
          <w:lang w:eastAsia="zh-CN"/>
        </w:rPr>
      </w:pPr>
    </w:p>
    <w:p w14:paraId="06D7ABC5" w14:textId="5BB4465F" w:rsidR="00883FD0" w:rsidRPr="00883FD0" w:rsidRDefault="005A18DC" w:rsidP="00883FD0">
      <w:pPr>
        <w:rPr>
          <w:b/>
          <w:lang w:val="en-US" w:eastAsia="zh-CN"/>
        </w:rPr>
      </w:pPr>
      <w:hyperlink r:id="rId1524" w:history="1">
        <w:r w:rsidR="00AF7253">
          <w:rPr>
            <w:rStyle w:val="Hyperlink"/>
            <w:b/>
            <w:lang w:val="en-US" w:eastAsia="zh-CN"/>
          </w:rPr>
          <w:t>R1-2312272</w:t>
        </w:r>
      </w:hyperlink>
      <w:r w:rsidR="00883FD0" w:rsidRPr="00883FD0">
        <w:rPr>
          <w:b/>
          <w:lang w:val="en-US" w:eastAsia="zh-CN"/>
        </w:rPr>
        <w:tab/>
        <w:t>FL Summary #1 on remaining issues for PRACH coverage enhancements</w:t>
      </w:r>
      <w:r w:rsidR="00883FD0" w:rsidRPr="00883FD0">
        <w:rPr>
          <w:b/>
          <w:lang w:val="en-US" w:eastAsia="zh-CN"/>
        </w:rPr>
        <w:tab/>
        <w:t>Moderator (China Telecom)</w:t>
      </w:r>
    </w:p>
    <w:p w14:paraId="1AE55725" w14:textId="4836CA64" w:rsidR="00883FD0" w:rsidRDefault="00883FD0" w:rsidP="00883FD0">
      <w:pPr>
        <w:rPr>
          <w:lang w:val="en-US" w:eastAsia="zh-CN"/>
        </w:rPr>
      </w:pPr>
      <w:r>
        <w:rPr>
          <w:lang w:val="en-US" w:eastAsia="zh-CN"/>
        </w:rPr>
        <w:t>From Tuesday session</w:t>
      </w:r>
    </w:p>
    <w:p w14:paraId="6B4CF138" w14:textId="77777777" w:rsidR="00883FD0" w:rsidRDefault="00883FD0" w:rsidP="00883FD0">
      <w:r w:rsidRPr="00997E6B">
        <w:rPr>
          <w:highlight w:val="green"/>
        </w:rPr>
        <w:t>Agreement</w:t>
      </w:r>
    </w:p>
    <w:p w14:paraId="01CED5D4" w14:textId="77777777" w:rsidR="00883FD0" w:rsidRDefault="00883FD0" w:rsidP="00883FD0">
      <w:pPr>
        <w:rPr>
          <w:szCs w:val="21"/>
        </w:rPr>
      </w:pPr>
      <w:r>
        <w:t>T</w:t>
      </w:r>
      <w:r>
        <w:rPr>
          <w:szCs w:val="21"/>
        </w:rPr>
        <w:t>he candidate value</w:t>
      </w:r>
      <w:r>
        <w:rPr>
          <w:rFonts w:hint="eastAsia"/>
          <w:szCs w:val="21"/>
        </w:rPr>
        <w:t>s</w:t>
      </w:r>
      <w:r>
        <w:rPr>
          <w:szCs w:val="21"/>
        </w:rPr>
        <w:t xml:space="preserve"> of </w:t>
      </w:r>
      <w:r>
        <w:rPr>
          <w:i/>
          <w:iCs/>
          <w:szCs w:val="21"/>
        </w:rPr>
        <w:t>TimeOffsetBetweenStartingRO-r18</w:t>
      </w:r>
      <w:r>
        <w:rPr>
          <w:szCs w:val="21"/>
        </w:rPr>
        <w:t xml:space="preserve"> are updated as</w:t>
      </w:r>
    </w:p>
    <w:p w14:paraId="76EDC974" w14:textId="77777777" w:rsidR="00883FD0" w:rsidRDefault="00883FD0" w:rsidP="00AA1D48">
      <w:pPr>
        <w:pStyle w:val="ListParagraph"/>
        <w:numPr>
          <w:ilvl w:val="0"/>
          <w:numId w:val="117"/>
        </w:numPr>
      </w:pPr>
      <w:r>
        <w:t>{16</w:t>
      </w:r>
      <w:del w:id="688" w:author="David mazzarese" w:date="2023-11-14T08:18:00Z">
        <w:r w:rsidDel="00997E6B">
          <w:delText xml:space="preserve">, </w:delText>
        </w:r>
        <w:r w:rsidRPr="00883FD0" w:rsidDel="00997E6B">
          <w:rPr>
            <w:strike/>
            <w:color w:val="FF0000"/>
          </w:rPr>
          <w:delText>[</w:delText>
        </w:r>
        <w:r w:rsidDel="00997E6B">
          <w:delText>32</w:delText>
        </w:r>
        <w:r w:rsidRPr="00883FD0" w:rsidDel="00997E6B">
          <w:rPr>
            <w:strike/>
            <w:color w:val="FF0000"/>
          </w:rPr>
          <w:delText>]</w:delText>
        </w:r>
      </w:del>
      <w:r>
        <w:t>}, for RO groups for 8 repetitions</w:t>
      </w:r>
    </w:p>
    <w:p w14:paraId="1B566420" w14:textId="77777777" w:rsidR="00883FD0" w:rsidRDefault="00883FD0" w:rsidP="00AA1D48">
      <w:pPr>
        <w:pStyle w:val="ListParagraph"/>
        <w:numPr>
          <w:ilvl w:val="0"/>
          <w:numId w:val="117"/>
        </w:numPr>
      </w:pPr>
      <w:r>
        <w:t>{8, 16</w:t>
      </w:r>
      <w:del w:id="689" w:author="David mazzarese" w:date="2023-11-14T08:19:00Z">
        <w:r w:rsidDel="00997E6B">
          <w:delText xml:space="preserve">, </w:delText>
        </w:r>
        <w:r w:rsidRPr="00883FD0" w:rsidDel="00997E6B">
          <w:rPr>
            <w:strike/>
            <w:color w:val="FF0000"/>
          </w:rPr>
          <w:delText>[</w:delText>
        </w:r>
        <w:r w:rsidDel="00997E6B">
          <w:delText>32</w:delText>
        </w:r>
        <w:r w:rsidRPr="00883FD0" w:rsidDel="00997E6B">
          <w:rPr>
            <w:strike/>
            <w:color w:val="FF0000"/>
          </w:rPr>
          <w:delText>]</w:delText>
        </w:r>
      </w:del>
      <w:r>
        <w:t>}, for RO groups for 4 repetitions</w:t>
      </w:r>
    </w:p>
    <w:p w14:paraId="5C4BE947" w14:textId="77777777" w:rsidR="00883FD0" w:rsidRDefault="00883FD0" w:rsidP="00AA1D48">
      <w:pPr>
        <w:pStyle w:val="ListParagraph"/>
        <w:numPr>
          <w:ilvl w:val="0"/>
          <w:numId w:val="117"/>
        </w:numPr>
      </w:pPr>
      <w:r>
        <w:t xml:space="preserve">{4, 8, </w:t>
      </w:r>
      <w:r w:rsidRPr="00883FD0">
        <w:rPr>
          <w:strike/>
          <w:color w:val="FF0000"/>
        </w:rPr>
        <w:t>[</w:t>
      </w:r>
      <w:r>
        <w:t>16</w:t>
      </w:r>
      <w:del w:id="690" w:author="David mazzarese" w:date="2023-11-14T08:19:00Z">
        <w:r w:rsidDel="00997E6B">
          <w:delText>, 32</w:delText>
        </w:r>
      </w:del>
      <w:r w:rsidRPr="00883FD0">
        <w:rPr>
          <w:strike/>
          <w:color w:val="FF0000"/>
        </w:rPr>
        <w:t>]</w:t>
      </w:r>
      <w:r>
        <w:t>}, for RO groups for 2 repetitions</w:t>
      </w:r>
    </w:p>
    <w:p w14:paraId="673F6720" w14:textId="77777777" w:rsidR="00883FD0" w:rsidRDefault="00883FD0" w:rsidP="00883FD0">
      <w:pPr>
        <w:rPr>
          <w:lang w:val="en-US" w:eastAsia="zh-CN"/>
        </w:rPr>
      </w:pPr>
      <w:r w:rsidRPr="00997E6B">
        <w:rPr>
          <w:highlight w:val="green"/>
          <w:lang w:val="en-US" w:eastAsia="zh-CN"/>
        </w:rPr>
        <w:t>Agreement</w:t>
      </w:r>
    </w:p>
    <w:p w14:paraId="06642227" w14:textId="66B3CFBD" w:rsidR="00883FD0" w:rsidRDefault="00883FD0" w:rsidP="00883FD0">
      <w:pPr>
        <w:rPr>
          <w:lang w:val="en-US" w:eastAsia="zh-CN"/>
        </w:rPr>
      </w:pPr>
      <w:r w:rsidRPr="00997E6B">
        <w:rPr>
          <w:lang w:val="en-US" w:eastAsia="zh-CN"/>
        </w:rPr>
        <w:t>Proposed TP #1-1</w:t>
      </w:r>
      <w:r>
        <w:rPr>
          <w:lang w:val="en-US" w:eastAsia="zh-CN"/>
        </w:rPr>
        <w:t xml:space="preserve"> in section 4 of </w:t>
      </w:r>
      <w:hyperlink r:id="rId1525" w:history="1">
        <w:r w:rsidR="00AF7253">
          <w:rPr>
            <w:rStyle w:val="Hyperlink"/>
            <w:lang w:val="en-US" w:eastAsia="zh-CN"/>
          </w:rPr>
          <w:t>R1-2312272</w:t>
        </w:r>
      </w:hyperlink>
      <w:r>
        <w:rPr>
          <w:lang w:val="en-US" w:eastAsia="zh-CN"/>
        </w:rPr>
        <w:t xml:space="preserve"> is endorsed.</w:t>
      </w:r>
    </w:p>
    <w:p w14:paraId="4A7ED862" w14:textId="77777777" w:rsidR="00883FD0" w:rsidRDefault="00883FD0" w:rsidP="00883FD0">
      <w:pPr>
        <w:rPr>
          <w:lang w:val="en-US" w:eastAsia="zh-CN"/>
        </w:rPr>
      </w:pPr>
    </w:p>
    <w:p w14:paraId="7F3FF380" w14:textId="77777777" w:rsidR="00883FD0" w:rsidRDefault="00883FD0" w:rsidP="00883FD0">
      <w:pPr>
        <w:rPr>
          <w:lang w:val="en-US" w:eastAsia="zh-CN"/>
        </w:rPr>
      </w:pPr>
    </w:p>
    <w:p w14:paraId="1128502B" w14:textId="397D3F13" w:rsidR="00883FD0" w:rsidRPr="00C77FF7" w:rsidRDefault="005A18DC" w:rsidP="00883FD0">
      <w:pPr>
        <w:rPr>
          <w:b/>
          <w:bCs/>
          <w:lang w:val="en-US" w:eastAsia="zh-CN"/>
        </w:rPr>
      </w:pPr>
      <w:hyperlink r:id="rId1526" w:history="1">
        <w:r w:rsidR="00AF7253">
          <w:rPr>
            <w:rStyle w:val="Hyperlink"/>
            <w:b/>
            <w:bCs/>
            <w:lang w:val="en-US" w:eastAsia="zh-CN"/>
          </w:rPr>
          <w:t>R1-2312273</w:t>
        </w:r>
      </w:hyperlink>
      <w:r w:rsidR="00883FD0" w:rsidRPr="00C77FF7">
        <w:rPr>
          <w:b/>
          <w:bCs/>
          <w:lang w:val="en-US" w:eastAsia="zh-CN"/>
        </w:rPr>
        <w:tab/>
        <w:t>FL Summary #2 on remaining issues for PRACH coverage enhancements</w:t>
      </w:r>
      <w:r w:rsidR="00883FD0" w:rsidRPr="00C77FF7">
        <w:rPr>
          <w:b/>
          <w:bCs/>
          <w:lang w:val="en-US" w:eastAsia="zh-CN"/>
        </w:rPr>
        <w:tab/>
        <w:t>Moderator (China Telecom)</w:t>
      </w:r>
    </w:p>
    <w:p w14:paraId="68C5593B" w14:textId="6E451093" w:rsidR="00C77FF7" w:rsidRDefault="00C77FF7" w:rsidP="00883FD0">
      <w:pPr>
        <w:rPr>
          <w:lang w:val="en-US" w:eastAsia="zh-CN"/>
        </w:rPr>
      </w:pPr>
      <w:r>
        <w:rPr>
          <w:lang w:val="en-US" w:eastAsia="zh-CN"/>
        </w:rPr>
        <w:t>From Wednesday session</w:t>
      </w:r>
    </w:p>
    <w:p w14:paraId="044568BA" w14:textId="0E91AAC9" w:rsidR="002F5F14" w:rsidRPr="002E5264" w:rsidRDefault="002F5F14" w:rsidP="002F5F14">
      <w:pPr>
        <w:rPr>
          <w:strike/>
          <w:lang w:val="en-US" w:eastAsia="zh-CN"/>
        </w:rPr>
      </w:pPr>
      <w:r w:rsidRPr="002F5F14">
        <w:rPr>
          <w:strike/>
          <w:lang w:val="en-US" w:eastAsia="zh-CN"/>
        </w:rPr>
        <w:t>Agreement</w:t>
      </w:r>
      <w:r w:rsidRPr="002F5F14">
        <w:rPr>
          <w:lang w:val="en-US" w:eastAsia="zh-CN"/>
        </w:rPr>
        <w:t xml:space="preserve"> (superseded by the agreement made on Friday – see below)</w:t>
      </w:r>
    </w:p>
    <w:p w14:paraId="75CF5FC4" w14:textId="40AAD763" w:rsidR="002F5F14" w:rsidRPr="002E5264" w:rsidRDefault="002F5F14" w:rsidP="002F5F14">
      <w:pPr>
        <w:rPr>
          <w:strike/>
          <w:lang w:val="en-US" w:eastAsia="zh-CN"/>
        </w:rPr>
      </w:pPr>
      <w:r w:rsidRPr="002E5264">
        <w:rPr>
          <w:strike/>
          <w:lang w:val="en-US" w:eastAsia="zh-CN"/>
        </w:rPr>
        <w:t xml:space="preserve">Draft TP #1-5 in section 5 of </w:t>
      </w:r>
      <w:hyperlink r:id="rId1527" w:history="1">
        <w:r w:rsidR="00AF7253">
          <w:rPr>
            <w:rStyle w:val="Hyperlink"/>
            <w:strike/>
            <w:lang w:val="en-US" w:eastAsia="zh-CN"/>
          </w:rPr>
          <w:t>R1-2312273</w:t>
        </w:r>
      </w:hyperlink>
      <w:r w:rsidRPr="002E5264">
        <w:rPr>
          <w:strike/>
          <w:lang w:val="en-US" w:eastAsia="zh-CN"/>
        </w:rPr>
        <w:t xml:space="preserve"> is endorsed.</w:t>
      </w:r>
    </w:p>
    <w:p w14:paraId="730F30E4" w14:textId="77777777" w:rsidR="00C77FF7" w:rsidRPr="00C77FF7" w:rsidRDefault="00C77FF7" w:rsidP="00C77FF7">
      <w:pPr>
        <w:rPr>
          <w:lang w:val="en-US" w:eastAsia="zh-CN"/>
        </w:rPr>
      </w:pPr>
    </w:p>
    <w:p w14:paraId="28D39C88" w14:textId="77777777" w:rsidR="00C77FF7" w:rsidRPr="00C77FF7" w:rsidRDefault="00C77FF7" w:rsidP="00C77FF7">
      <w:pPr>
        <w:rPr>
          <w:bCs/>
          <w:u w:val="single"/>
          <w:lang w:val="en-US" w:eastAsia="zh-CN"/>
        </w:rPr>
      </w:pPr>
      <w:r w:rsidRPr="00C77FF7">
        <w:rPr>
          <w:bCs/>
          <w:u w:val="single"/>
          <w:lang w:val="en-US" w:eastAsia="zh-CN"/>
        </w:rPr>
        <w:t>Conclusion</w:t>
      </w:r>
    </w:p>
    <w:p w14:paraId="5928D111" w14:textId="043DC93D" w:rsidR="00C77FF7" w:rsidRPr="00C77FF7" w:rsidRDefault="00C77FF7" w:rsidP="00C77FF7">
      <w:pPr>
        <w:rPr>
          <w:rFonts w:ascii="Times New Roman" w:eastAsia="DengXian" w:hAnsi="Times New Roman"/>
          <w:sz w:val="21"/>
          <w:szCs w:val="21"/>
        </w:rPr>
      </w:pPr>
      <w:r w:rsidRPr="00C77FF7">
        <w:rPr>
          <w:rFonts w:ascii="Times New Roman" w:eastAsia="DengXian" w:hAnsi="Times New Roman"/>
          <w:sz w:val="21"/>
          <w:szCs w:val="21"/>
        </w:rPr>
        <w:t xml:space="preserve">A set is not determined if the number of valid PRACH occasions after a first valid PRACH occasion is less than </w:t>
      </w:r>
      <m:oMath>
        <m:sSubSup>
          <m:sSubSupPr>
            <m:ctrlPr>
              <w:rPr>
                <w:rFonts w:ascii="Cambria Math" w:eastAsia="DengXian" w:hAnsi="Cambria Math"/>
                <w:sz w:val="21"/>
                <w:szCs w:val="21"/>
              </w:rPr>
            </m:ctrlPr>
          </m:sSubSupPr>
          <m:e>
            <m:r>
              <w:rPr>
                <w:rFonts w:ascii="Cambria Math" w:eastAsia="DengXian" w:hAnsi="Cambria Math"/>
                <w:sz w:val="21"/>
                <w:szCs w:val="21"/>
              </w:rPr>
              <m:t>N</m:t>
            </m:r>
          </m:e>
          <m:sub>
            <m:r>
              <m:rPr>
                <m:sty m:val="p"/>
              </m:rPr>
              <w:rPr>
                <w:rFonts w:ascii="Cambria Math" w:eastAsia="DengXian" w:hAnsi="Cambria Math"/>
                <w:sz w:val="21"/>
                <w:szCs w:val="21"/>
              </w:rPr>
              <m:t>preamble</m:t>
            </m:r>
          </m:sub>
          <m:sup>
            <m:r>
              <m:rPr>
                <m:sty m:val="p"/>
              </m:rPr>
              <w:rPr>
                <w:rFonts w:ascii="Cambria Math" w:eastAsia="DengXian" w:hAnsi="Cambria Math"/>
                <w:sz w:val="21"/>
                <w:szCs w:val="21"/>
              </w:rPr>
              <m:t>rep</m:t>
            </m:r>
          </m:sup>
        </m:sSubSup>
      </m:oMath>
      <w:r w:rsidRPr="00C77FF7">
        <w:rPr>
          <w:rFonts w:ascii="Times New Roman" w:eastAsia="DengXian" w:hAnsi="Times New Roman" w:hint="eastAsia"/>
          <w:sz w:val="21"/>
          <w:szCs w:val="21"/>
        </w:rPr>
        <w:t>-</w:t>
      </w:r>
      <w:r w:rsidRPr="00C77FF7">
        <w:rPr>
          <w:rFonts w:ascii="Times New Roman" w:eastAsia="DengXian" w:hAnsi="Times New Roman"/>
          <w:sz w:val="21"/>
          <w:szCs w:val="21"/>
        </w:rPr>
        <w:t>1</w:t>
      </w:r>
      <w:r w:rsidRPr="00C77FF7">
        <w:rPr>
          <w:rFonts w:ascii="Times New Roman" w:eastAsia="DengXian" w:hAnsi="Times New Roman" w:hint="eastAsia"/>
          <w:sz w:val="21"/>
          <w:szCs w:val="21"/>
        </w:rPr>
        <w:t>.</w:t>
      </w:r>
    </w:p>
    <w:p w14:paraId="0DE953D8" w14:textId="77777777" w:rsidR="00C77FF7" w:rsidRPr="00C77FF7" w:rsidRDefault="00C77FF7" w:rsidP="00C77FF7">
      <w:pPr>
        <w:rPr>
          <w:lang w:val="en-US" w:eastAsia="zh-CN"/>
        </w:rPr>
      </w:pPr>
    </w:p>
    <w:p w14:paraId="4B4230B4" w14:textId="77777777" w:rsidR="00C77FF7" w:rsidRPr="00C77FF7" w:rsidRDefault="00C77FF7" w:rsidP="00C77FF7">
      <w:pPr>
        <w:rPr>
          <w:highlight w:val="green"/>
          <w:lang w:val="en-US" w:eastAsia="zh-CN"/>
        </w:rPr>
      </w:pPr>
      <w:r w:rsidRPr="00C77FF7">
        <w:rPr>
          <w:highlight w:val="green"/>
          <w:lang w:val="en-US" w:eastAsia="zh-CN"/>
        </w:rPr>
        <w:t>Agreement</w:t>
      </w:r>
    </w:p>
    <w:p w14:paraId="45533BD0" w14:textId="77777777" w:rsidR="00C77FF7" w:rsidRPr="00C77FF7" w:rsidRDefault="00C77FF7" w:rsidP="00C77FF7">
      <w:pPr>
        <w:rPr>
          <w:lang w:val="en-US" w:eastAsia="zh-CN"/>
        </w:rPr>
      </w:pPr>
      <w:r w:rsidRPr="00C77FF7">
        <w:rPr>
          <w:lang w:val="en-US" w:eastAsia="zh-CN"/>
        </w:rPr>
        <w:t xml:space="preserve">The TP below is endorsed in principle for </w:t>
      </w:r>
      <w:r w:rsidRPr="00C77FF7">
        <w:rPr>
          <w:rFonts w:ascii="Times New Roman" w:eastAsia="SimSun" w:hAnsi="Times New Roman"/>
          <w:szCs w:val="21"/>
        </w:rPr>
        <w:t xml:space="preserve">TS 38.213 and </w:t>
      </w:r>
      <w:r w:rsidRPr="00C77FF7">
        <w:rPr>
          <w:rFonts w:ascii="Times New Roman" w:hAnsi="Times New Roman"/>
          <w:szCs w:val="21"/>
        </w:rPr>
        <w:t>an additional new UE capability is introduced for the UE behaviour introduced by this TP</w:t>
      </w:r>
      <w:r w:rsidRPr="00C77FF7">
        <w:rPr>
          <w:rFonts w:ascii="Times New Roman" w:eastAsia="SimSun" w:hAnsi="Times New Roman"/>
          <w:szCs w:val="21"/>
        </w:rPr>
        <w:t>.</w:t>
      </w:r>
    </w:p>
    <w:p w14:paraId="252A6CE9" w14:textId="77777777" w:rsidR="00C77FF7" w:rsidRPr="00C77FF7" w:rsidRDefault="00C77FF7" w:rsidP="00C77FF7">
      <w:pPr>
        <w:rPr>
          <w:rFonts w:ascii="Times New Roman" w:hAnsi="Times New Roman"/>
          <w:szCs w:val="21"/>
        </w:rPr>
      </w:pPr>
      <w:r w:rsidRPr="00C77FF7">
        <w:rPr>
          <w:rFonts w:ascii="Times New Roman" w:hAnsi="Times New Roman"/>
          <w:b/>
          <w:bCs/>
          <w:szCs w:val="21"/>
        </w:rPr>
        <w:t>Note1</w:t>
      </w:r>
      <w:r w:rsidRPr="00C77FF7">
        <w:rPr>
          <w:rFonts w:ascii="Times New Roman" w:hAnsi="Times New Roman" w:hint="eastAsia"/>
          <w:szCs w:val="21"/>
        </w:rPr>
        <w:t>:</w:t>
      </w:r>
      <w:r w:rsidRPr="00C77FF7">
        <w:rPr>
          <w:rFonts w:ascii="Times New Roman" w:hAnsi="Times New Roman"/>
          <w:szCs w:val="21"/>
        </w:rPr>
        <w:t xml:space="preserve"> editor can provide revisions for the TP below to avoid impacts on any feature other than Rel-18 PRACH repetitions.</w:t>
      </w:r>
    </w:p>
    <w:tbl>
      <w:tblPr>
        <w:tblW w:w="5000" w:type="pct"/>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0683"/>
      </w:tblGrid>
      <w:tr w:rsidR="00C77FF7" w:rsidRPr="00C77FF7" w14:paraId="703539B7" w14:textId="77777777" w:rsidTr="00C77FF7">
        <w:tc>
          <w:tcPr>
            <w:tcW w:w="5000" w:type="pct"/>
            <w:shd w:val="clear" w:color="auto" w:fill="auto"/>
          </w:tcPr>
          <w:p w14:paraId="67A0F205" w14:textId="77777777" w:rsidR="00C77FF7" w:rsidRPr="00C77FF7" w:rsidRDefault="00C77FF7" w:rsidP="00C77FF7">
            <w:pPr>
              <w:rPr>
                <w:rFonts w:ascii="Arial" w:hAnsi="Arial" w:cs="Arial"/>
                <w:b/>
                <w:bCs/>
                <w:sz w:val="16"/>
                <w:szCs w:val="16"/>
              </w:rPr>
            </w:pPr>
            <w:r w:rsidRPr="00C77FF7">
              <w:rPr>
                <w:rFonts w:ascii="Arial" w:hAnsi="Arial" w:cs="Arial"/>
                <w:b/>
                <w:bCs/>
                <w:sz w:val="16"/>
                <w:szCs w:val="16"/>
              </w:rPr>
              <w:t>8.1</w:t>
            </w:r>
            <w:r w:rsidRPr="00C77FF7">
              <w:rPr>
                <w:rFonts w:ascii="Arial" w:hAnsi="Arial" w:cs="Arial"/>
                <w:b/>
                <w:bCs/>
                <w:sz w:val="16"/>
                <w:szCs w:val="16"/>
              </w:rPr>
              <w:tab/>
              <w:t>Random access preamble</w:t>
            </w:r>
          </w:p>
          <w:p w14:paraId="6357549A" w14:textId="77777777" w:rsidR="00405B50" w:rsidRDefault="00405B50" w:rsidP="00405B50">
            <w:pPr>
              <w:jc w:val="center"/>
              <w:rPr>
                <w:rFonts w:ascii="Arial" w:hAnsi="Arial" w:cs="Arial"/>
                <w:color w:val="FF0000"/>
                <w:sz w:val="16"/>
                <w:szCs w:val="16"/>
              </w:rPr>
            </w:pPr>
            <w:r w:rsidRPr="00C77FF7">
              <w:rPr>
                <w:rFonts w:ascii="Arial" w:hAnsi="Arial" w:cs="Arial"/>
                <w:color w:val="FF0000"/>
                <w:sz w:val="16"/>
                <w:szCs w:val="16"/>
              </w:rPr>
              <w:t>*** Unchanged parts are omitted ***</w:t>
            </w:r>
          </w:p>
          <w:p w14:paraId="3607A556" w14:textId="2778E0DD" w:rsidR="00C77FF7" w:rsidRPr="00C77FF7" w:rsidRDefault="00C77FF7" w:rsidP="00C77FF7">
            <w:pPr>
              <w:rPr>
                <w:rFonts w:ascii="Arial" w:hAnsi="Arial" w:cs="Arial"/>
                <w:color w:val="FF0000"/>
                <w:sz w:val="16"/>
                <w:szCs w:val="16"/>
              </w:rPr>
            </w:pPr>
            <w:r w:rsidRPr="00C77FF7">
              <w:rPr>
                <w:rFonts w:ascii="Arial" w:hAnsi="Arial" w:cs="Arial"/>
                <w:sz w:val="16"/>
                <w:szCs w:val="16"/>
              </w:rPr>
              <w:t xml:space="preserve">For single cell operation or for operation with contiguous carrier aggregation in a same frequency band or for operation with non-contiguous carrier aggregation in a same frequency band if the UE is not provided with </w:t>
            </w:r>
            <w:r w:rsidRPr="00C77FF7">
              <w:rPr>
                <w:rFonts w:ascii="Arial" w:hAnsi="Arial" w:cs="Arial"/>
                <w:i/>
                <w:sz w:val="16"/>
                <w:szCs w:val="16"/>
              </w:rPr>
              <w:t>intraBandNC-PRACH-simulTx-r17</w:t>
            </w:r>
            <w:r w:rsidRPr="00C77FF7">
              <w:rPr>
                <w:rFonts w:ascii="Arial" w:hAnsi="Arial" w:cs="Arial"/>
                <w:sz w:val="16"/>
                <w:szCs w:val="16"/>
              </w:rPr>
              <w:t xml:space="preserve">, a UE does not transmit PRACH and PUSCH/PUCCH/SRS in a same slot with respect to the smallest SCS configuration between the SCS configuration for the UL BWP with the PRACH and the SCS configuration for the UL BWP with the PUSCH/PUCCH/SRS transmissions </w:t>
            </w:r>
            <w:del w:id="691" w:author="1" w:date="2023-11-14T15:43:00Z">
              <w:r w:rsidRPr="00C77FF7" w:rsidDel="008E06B4">
                <w:rPr>
                  <w:rFonts w:ascii="Arial" w:hAnsi="Arial" w:cs="Arial"/>
                  <w:sz w:val="16"/>
                  <w:szCs w:val="16"/>
                </w:rPr>
                <w:delText xml:space="preserve">or </w:delText>
              </w:r>
            </w:del>
            <w:ins w:id="692" w:author="1" w:date="2023-11-14T15:43:00Z">
              <w:r w:rsidRPr="00C77FF7">
                <w:rPr>
                  <w:rFonts w:ascii="Arial" w:hAnsi="Arial" w:cs="Arial"/>
                  <w:sz w:val="16"/>
                  <w:szCs w:val="16"/>
                </w:rPr>
                <w:t xml:space="preserve">and </w:t>
              </w:r>
            </w:ins>
            <w:ins w:id="693" w:author="1" w:date="2023-11-14T09:53:00Z">
              <w:r w:rsidRPr="00C77FF7">
                <w:rPr>
                  <w:rFonts w:ascii="Arial" w:hAnsi="Arial" w:cs="Arial"/>
                  <w:sz w:val="16"/>
                  <w:szCs w:val="16"/>
                </w:rPr>
                <w:t xml:space="preserve">a UE </w:t>
              </w:r>
            </w:ins>
            <w:ins w:id="694" w:author="1" w:date="2023-11-15T14:47:00Z">
              <w:r w:rsidRPr="00C77FF7">
                <w:rPr>
                  <w:rFonts w:ascii="Arial" w:hAnsi="Arial" w:cs="Arial"/>
                  <w:sz w:val="16"/>
                  <w:szCs w:val="16"/>
                </w:rPr>
                <w:t>may</w:t>
              </w:r>
            </w:ins>
            <w:ins w:id="695" w:author="1" w:date="2023-11-14T09:53:00Z">
              <w:r w:rsidRPr="00C77FF7">
                <w:rPr>
                  <w:rFonts w:ascii="Arial" w:hAnsi="Arial" w:cs="Arial"/>
                  <w:sz w:val="16"/>
                  <w:szCs w:val="16"/>
                </w:rPr>
                <w:t xml:space="preserve"> not transmit PRACH and PUSCH/PUCCH/SRS/PRACH</w:t>
              </w:r>
            </w:ins>
            <w:r w:rsidRPr="00C77FF7">
              <w:rPr>
                <w:rFonts w:ascii="Arial" w:hAnsi="Arial" w:cs="Arial"/>
                <w:sz w:val="16"/>
                <w:szCs w:val="16"/>
              </w:rPr>
              <w:t xml:space="preserve"> when a gap between the first or last symbol of a PRACH transmission in a first slot is separated by less than </w:t>
            </w:r>
            <m:oMath>
              <m:r>
                <w:rPr>
                  <w:rFonts w:ascii="Cambria Math" w:hAnsi="Cambria Math" w:cs="Arial"/>
                  <w:sz w:val="16"/>
                  <w:szCs w:val="16"/>
                </w:rPr>
                <m:t>N</m:t>
              </m:r>
            </m:oMath>
            <w:r w:rsidRPr="00C77FF7">
              <w:rPr>
                <w:rFonts w:ascii="Arial" w:hAnsi="Arial" w:cs="Arial"/>
                <w:sz w:val="16"/>
                <w:szCs w:val="16"/>
              </w:rPr>
              <w:t xml:space="preserve"> symbols from the last or first symbol, respectively, of a PUSCH/PUCCH/SRS</w:t>
            </w:r>
            <w:ins w:id="696" w:author="CTC" w:date="2023-11-05T20:54:00Z">
              <w:r w:rsidRPr="00C77FF7">
                <w:rPr>
                  <w:rFonts w:ascii="Arial" w:hAnsi="Arial" w:cs="Arial"/>
                  <w:sz w:val="16"/>
                  <w:szCs w:val="16"/>
                </w:rPr>
                <w:t>/PRACH</w:t>
              </w:r>
            </w:ins>
            <w:r w:rsidRPr="00C77FF7">
              <w:rPr>
                <w:rFonts w:ascii="Arial" w:hAnsi="Arial" w:cs="Arial"/>
                <w:sz w:val="16"/>
                <w:szCs w:val="16"/>
              </w:rPr>
              <w:t xml:space="preserve"> transmission in a second slot where </w:t>
            </w:r>
            <m:oMath>
              <m:r>
                <w:rPr>
                  <w:rFonts w:ascii="Cambria Math" w:hAnsi="Cambria Math" w:cs="Arial"/>
                  <w:sz w:val="16"/>
                  <w:szCs w:val="16"/>
                </w:rPr>
                <m:t>N=2</m:t>
              </m:r>
            </m:oMath>
            <w:r w:rsidRPr="00C77FF7">
              <w:rPr>
                <w:rFonts w:ascii="Arial" w:hAnsi="Arial" w:cs="Arial"/>
                <w:sz w:val="16"/>
                <w:szCs w:val="16"/>
              </w:rPr>
              <w:t xml:space="preserve"> for </w:t>
            </w:r>
            <m:oMath>
              <m:r>
                <w:rPr>
                  <w:rFonts w:ascii="Cambria Math" w:hAnsi="Cambria Math" w:cs="Arial"/>
                  <w:sz w:val="16"/>
                  <w:szCs w:val="16"/>
                </w:rPr>
                <m:t>μ=0</m:t>
              </m:r>
            </m:oMath>
            <w:r w:rsidRPr="00C77FF7">
              <w:rPr>
                <w:rFonts w:ascii="Arial" w:hAnsi="Arial" w:cs="Arial"/>
                <w:sz w:val="16"/>
                <w:szCs w:val="16"/>
              </w:rPr>
              <w:t xml:space="preserve"> or </w:t>
            </w:r>
            <m:oMath>
              <m:r>
                <w:rPr>
                  <w:rFonts w:ascii="Cambria Math" w:hAnsi="Cambria Math" w:cs="Arial"/>
                  <w:sz w:val="16"/>
                  <w:szCs w:val="16"/>
                </w:rPr>
                <m:t>μ=</m:t>
              </m:r>
            </m:oMath>
            <w:r w:rsidRPr="00C77FF7">
              <w:rPr>
                <w:rFonts w:ascii="Arial" w:hAnsi="Arial" w:cs="Arial"/>
                <w:sz w:val="16"/>
                <w:szCs w:val="16"/>
              </w:rPr>
              <w:t xml:space="preserve">1, </w:t>
            </w:r>
            <m:oMath>
              <m:r>
                <w:rPr>
                  <w:rFonts w:ascii="Cambria Math" w:hAnsi="Cambria Math" w:cs="Arial"/>
                  <w:sz w:val="16"/>
                  <w:szCs w:val="16"/>
                </w:rPr>
                <m:t>N=4</m:t>
              </m:r>
            </m:oMath>
            <w:r w:rsidRPr="00C77FF7">
              <w:rPr>
                <w:rFonts w:ascii="Arial" w:hAnsi="Arial" w:cs="Arial"/>
                <w:sz w:val="16"/>
                <w:szCs w:val="16"/>
              </w:rPr>
              <w:t xml:space="preserve"> for </w:t>
            </w:r>
            <m:oMath>
              <m:r>
                <w:rPr>
                  <w:rFonts w:ascii="Cambria Math" w:hAnsi="Cambria Math" w:cs="Arial"/>
                  <w:sz w:val="16"/>
                  <w:szCs w:val="16"/>
                </w:rPr>
                <m:t>μ=2</m:t>
              </m:r>
            </m:oMath>
            <w:r w:rsidRPr="00C77FF7">
              <w:rPr>
                <w:rFonts w:ascii="Arial" w:hAnsi="Arial" w:cs="Arial"/>
                <w:sz w:val="16"/>
                <w:szCs w:val="16"/>
              </w:rPr>
              <w:t xml:space="preserve"> or </w:t>
            </w:r>
            <m:oMath>
              <m:r>
                <w:rPr>
                  <w:rFonts w:ascii="Cambria Math" w:hAnsi="Cambria Math" w:cs="Arial"/>
                  <w:sz w:val="16"/>
                  <w:szCs w:val="16"/>
                </w:rPr>
                <m:t>μ=3</m:t>
              </m:r>
            </m:oMath>
            <w:r w:rsidRPr="00C77FF7">
              <w:rPr>
                <w:rFonts w:ascii="Arial" w:hAnsi="Arial" w:cs="Arial"/>
                <w:sz w:val="16"/>
                <w:szCs w:val="16"/>
              </w:rPr>
              <w:t xml:space="preserve">, </w:t>
            </w:r>
            <m:oMath>
              <m:r>
                <w:rPr>
                  <w:rFonts w:ascii="Cambria Math" w:hAnsi="Cambria Math" w:cs="Arial"/>
                  <w:sz w:val="16"/>
                  <w:szCs w:val="16"/>
                </w:rPr>
                <m:t>N=16</m:t>
              </m:r>
            </m:oMath>
            <w:r w:rsidRPr="00C77FF7">
              <w:rPr>
                <w:rFonts w:ascii="Arial" w:hAnsi="Arial" w:cs="Arial"/>
                <w:sz w:val="16"/>
                <w:szCs w:val="16"/>
              </w:rPr>
              <w:t xml:space="preserve"> for </w:t>
            </w:r>
            <m:oMath>
              <m:r>
                <w:rPr>
                  <w:rFonts w:ascii="Cambria Math" w:hAnsi="Cambria Math" w:cs="Arial"/>
                  <w:sz w:val="16"/>
                  <w:szCs w:val="16"/>
                </w:rPr>
                <m:t>μ=5</m:t>
              </m:r>
            </m:oMath>
            <w:r w:rsidRPr="00C77FF7">
              <w:rPr>
                <w:rFonts w:ascii="Arial" w:hAnsi="Arial" w:cs="Arial"/>
                <w:sz w:val="16"/>
                <w:szCs w:val="16"/>
              </w:rPr>
              <w:t xml:space="preserve">, </w:t>
            </w:r>
            <m:oMath>
              <m:r>
                <w:rPr>
                  <w:rFonts w:ascii="Cambria Math" w:hAnsi="Cambria Math" w:cs="Arial"/>
                  <w:sz w:val="16"/>
                  <w:szCs w:val="16"/>
                </w:rPr>
                <m:t>N=32</m:t>
              </m:r>
            </m:oMath>
            <w:r w:rsidRPr="00C77FF7">
              <w:rPr>
                <w:rFonts w:ascii="Arial" w:hAnsi="Arial" w:cs="Arial"/>
                <w:sz w:val="16"/>
                <w:szCs w:val="16"/>
              </w:rPr>
              <w:t xml:space="preserve"> for </w:t>
            </w:r>
            <m:oMath>
              <m:r>
                <w:rPr>
                  <w:rFonts w:ascii="Cambria Math" w:hAnsi="Cambria Math" w:cs="Arial"/>
                  <w:sz w:val="16"/>
                  <w:szCs w:val="16"/>
                </w:rPr>
                <m:t>μ=6</m:t>
              </m:r>
            </m:oMath>
            <w:r w:rsidRPr="00C77FF7">
              <w:rPr>
                <w:rFonts w:ascii="Arial" w:hAnsi="Arial" w:cs="Arial"/>
                <w:sz w:val="16"/>
                <w:szCs w:val="16"/>
              </w:rPr>
              <w:t xml:space="preserve">, and </w:t>
            </w:r>
            <m:oMath>
              <m:r>
                <w:rPr>
                  <w:rFonts w:ascii="Cambria Math" w:hAnsi="Cambria Math" w:cs="Arial"/>
                  <w:sz w:val="16"/>
                  <w:szCs w:val="16"/>
                </w:rPr>
                <m:t>μ</m:t>
              </m:r>
            </m:oMath>
            <w:r w:rsidRPr="00C77FF7">
              <w:rPr>
                <w:rFonts w:ascii="Arial" w:hAnsi="Arial" w:cs="Arial"/>
                <w:sz w:val="16"/>
                <w:szCs w:val="16"/>
              </w:rPr>
              <w:t xml:space="preserve"> is the smallest SCS configuration between the SCS configuration for the UL BWP with the PRACH and the SCS configuration for the UL BWP with the PUSCH/PUCCH/SRS transmissions. For a PUSCH transmission with repetition Type B, this applies to each actual repetition for PUSCH transmission [6, TS 38.214]. </w:t>
            </w:r>
            <w:ins w:id="697" w:author="1" w:date="2023-11-14T15:41:00Z">
              <w:r w:rsidRPr="00C77FF7">
                <w:rPr>
                  <w:rFonts w:ascii="Arial" w:hAnsi="Arial" w:cs="Arial"/>
                  <w:sz w:val="16"/>
                  <w:szCs w:val="16"/>
                </w:rPr>
                <w:t xml:space="preserve">For a PRACH transmission with </w:t>
              </w:r>
            </w:ins>
            <m:oMath>
              <m:sSubSup>
                <m:sSubSupPr>
                  <m:ctrlPr>
                    <w:ins w:id="698" w:author="1" w:date="2023-11-14T15:41:00Z">
                      <w:rPr>
                        <w:rFonts w:ascii="Cambria Math" w:hAnsi="Cambria Math" w:cs="Arial"/>
                        <w:i/>
                        <w:sz w:val="16"/>
                        <w:szCs w:val="16"/>
                      </w:rPr>
                    </w:ins>
                  </m:ctrlPr>
                </m:sSubSupPr>
                <m:e>
                  <m:r>
                    <w:ins w:id="699" w:author="1" w:date="2023-11-14T15:41:00Z">
                      <w:rPr>
                        <w:rFonts w:ascii="Cambria Math" w:hAnsi="Cambria Math" w:cs="Arial"/>
                        <w:sz w:val="16"/>
                        <w:szCs w:val="16"/>
                      </w:rPr>
                      <m:t>N</m:t>
                    </w:ins>
                  </m:r>
                </m:e>
                <m:sub>
                  <m:r>
                    <w:ins w:id="700" w:author="1" w:date="2023-11-14T15:41:00Z">
                      <m:rPr>
                        <m:sty m:val="p"/>
                      </m:rPr>
                      <w:rPr>
                        <w:rFonts w:ascii="Cambria Math" w:hAnsi="Cambria Math" w:cs="Arial"/>
                        <w:sz w:val="16"/>
                        <w:szCs w:val="16"/>
                      </w:rPr>
                      <m:t>preamble</m:t>
                    </w:ins>
                  </m:r>
                </m:sub>
                <m:sup>
                  <m:r>
                    <w:ins w:id="701" w:author="1" w:date="2023-11-14T15:41:00Z">
                      <m:rPr>
                        <m:sty m:val="p"/>
                      </m:rPr>
                      <w:rPr>
                        <w:rFonts w:ascii="Cambria Math" w:hAnsi="Cambria Math" w:cs="Arial"/>
                        <w:sz w:val="16"/>
                        <w:szCs w:val="16"/>
                      </w:rPr>
                      <m:t>rep</m:t>
                    </w:ins>
                  </m:r>
                </m:sup>
              </m:sSubSup>
            </m:oMath>
            <w:ins w:id="702" w:author="1" w:date="2023-11-14T15:41:00Z">
              <w:r w:rsidRPr="00C77FF7">
                <w:rPr>
                  <w:rFonts w:ascii="Arial" w:hAnsi="Arial" w:cs="Arial"/>
                  <w:sz w:val="16"/>
                  <w:szCs w:val="16"/>
                </w:rPr>
                <w:t xml:space="preserve"> preamble repetitions, this applies to each preamble repetition.</w:t>
              </w:r>
            </w:ins>
          </w:p>
          <w:p w14:paraId="5E5EA6E3" w14:textId="77777777" w:rsidR="00C77FF7" w:rsidRPr="00C77FF7" w:rsidRDefault="00C77FF7" w:rsidP="00C77FF7">
            <w:pPr>
              <w:overflowPunct w:val="0"/>
              <w:autoSpaceDE w:val="0"/>
              <w:autoSpaceDN w:val="0"/>
              <w:adjustRightInd w:val="0"/>
              <w:jc w:val="center"/>
              <w:textAlignment w:val="baseline"/>
              <w:rPr>
                <w:rFonts w:ascii="Arial" w:hAnsi="Arial" w:cs="Arial"/>
                <w:sz w:val="16"/>
                <w:szCs w:val="16"/>
              </w:rPr>
            </w:pPr>
            <w:r w:rsidRPr="00C77FF7">
              <w:rPr>
                <w:rFonts w:ascii="Arial" w:hAnsi="Arial" w:cs="Arial"/>
                <w:color w:val="FF0000"/>
                <w:sz w:val="16"/>
                <w:szCs w:val="16"/>
              </w:rPr>
              <w:t>*** Unchanged parts are omitted ***</w:t>
            </w:r>
          </w:p>
        </w:tc>
      </w:tr>
    </w:tbl>
    <w:p w14:paraId="44F406DC" w14:textId="77777777" w:rsidR="00C77FF7" w:rsidRPr="00C77FF7" w:rsidRDefault="00C77FF7" w:rsidP="00AA1D48">
      <w:pPr>
        <w:pStyle w:val="ListParagraph"/>
        <w:numPr>
          <w:ilvl w:val="0"/>
          <w:numId w:val="131"/>
        </w:numPr>
        <w:rPr>
          <w:bCs/>
        </w:rPr>
      </w:pPr>
      <w:r w:rsidRPr="00C77FF7">
        <w:rPr>
          <w:b/>
          <w:bCs/>
        </w:rPr>
        <w:t>Reasons for changes</w:t>
      </w:r>
      <w:r w:rsidRPr="00C77FF7">
        <w:t xml:space="preserve">: </w:t>
      </w:r>
      <w:r w:rsidRPr="00C77FF7">
        <w:rPr>
          <w:rFonts w:hint="eastAsia"/>
        </w:rPr>
        <w:t>Based</w:t>
      </w:r>
      <w:r w:rsidRPr="00C77FF7">
        <w:t xml:space="preserve"> on the existing agreement, the dropping rule of single PRACH transmission in existing spec. is reused for multiple PRACH transmissions. </w:t>
      </w:r>
      <w:r w:rsidRPr="00C77FF7">
        <w:rPr>
          <w:bCs/>
        </w:rPr>
        <w:t>Further clarification is needed in the spec.</w:t>
      </w:r>
    </w:p>
    <w:p w14:paraId="0C7CFD4B" w14:textId="77777777" w:rsidR="00C77FF7" w:rsidRPr="00C77FF7" w:rsidRDefault="00C77FF7" w:rsidP="00AA1D48">
      <w:pPr>
        <w:pStyle w:val="ListParagraph"/>
        <w:numPr>
          <w:ilvl w:val="0"/>
          <w:numId w:val="131"/>
        </w:numPr>
      </w:pPr>
      <w:r w:rsidRPr="00C77FF7">
        <w:rPr>
          <w:b/>
          <w:bCs/>
        </w:rPr>
        <w:t>Summary of change</w:t>
      </w:r>
      <w:r w:rsidRPr="00C77FF7">
        <w:rPr>
          <w:rFonts w:hint="eastAsia"/>
          <w:b/>
          <w:bCs/>
        </w:rPr>
        <w:t>:</w:t>
      </w:r>
      <w:r w:rsidRPr="00C77FF7">
        <w:rPr>
          <w:b/>
          <w:bCs/>
        </w:rPr>
        <w:t xml:space="preserve"> </w:t>
      </w:r>
      <w:r w:rsidRPr="00C77FF7">
        <w:t>Dropping rule of single PRACH is extended to multiple PRACH transmissions.</w:t>
      </w:r>
    </w:p>
    <w:p w14:paraId="320DDD52" w14:textId="77777777" w:rsidR="00C77FF7" w:rsidRPr="00C77FF7" w:rsidRDefault="00C77FF7" w:rsidP="00AA1D48">
      <w:pPr>
        <w:pStyle w:val="ListParagraph"/>
        <w:numPr>
          <w:ilvl w:val="0"/>
          <w:numId w:val="131"/>
        </w:numPr>
      </w:pPr>
      <w:r w:rsidRPr="00C77FF7">
        <w:rPr>
          <w:b/>
          <w:bCs/>
        </w:rPr>
        <w:t>Consequences if not approved:</w:t>
      </w:r>
      <w:r w:rsidRPr="00C77FF7">
        <w:t xml:space="preserve"> It may be not clear when applying existing dropping rule of single PRACH transmission to multiple PRACH transmissions.</w:t>
      </w:r>
    </w:p>
    <w:p w14:paraId="58F059AC" w14:textId="77777777" w:rsidR="00C77FF7" w:rsidRPr="00C77FF7" w:rsidRDefault="00C77FF7" w:rsidP="00C77FF7"/>
    <w:p w14:paraId="52984DF9" w14:textId="20675E8A" w:rsidR="00883FD0" w:rsidRDefault="005A18DC" w:rsidP="00883FD0">
      <w:pPr>
        <w:rPr>
          <w:lang w:val="en-US" w:eastAsia="zh-CN"/>
        </w:rPr>
      </w:pPr>
      <w:hyperlink r:id="rId1528" w:history="1">
        <w:r w:rsidR="00AF7253">
          <w:rPr>
            <w:rStyle w:val="Hyperlink"/>
            <w:lang w:val="en-US" w:eastAsia="zh-CN"/>
          </w:rPr>
          <w:t>R1-2312274</w:t>
        </w:r>
      </w:hyperlink>
      <w:r w:rsidR="00883FD0" w:rsidRPr="00122828">
        <w:rPr>
          <w:lang w:val="en-US" w:eastAsia="zh-CN"/>
        </w:rPr>
        <w:tab/>
        <w:t>FL Summary #3 on remaining issues for PRACH coverage enhancements</w:t>
      </w:r>
      <w:r w:rsidR="00883FD0" w:rsidRPr="00122828">
        <w:rPr>
          <w:lang w:val="en-US" w:eastAsia="zh-CN"/>
        </w:rPr>
        <w:tab/>
        <w:t>Moderator (China Telecom)</w:t>
      </w:r>
    </w:p>
    <w:p w14:paraId="1AC20B70" w14:textId="57BA2A97" w:rsidR="00F733AC" w:rsidRDefault="005A18DC" w:rsidP="00F733AC">
      <w:pPr>
        <w:rPr>
          <w:b/>
          <w:lang w:val="en-US" w:eastAsia="zh-CN"/>
        </w:rPr>
      </w:pPr>
      <w:hyperlink r:id="rId1529" w:history="1">
        <w:r w:rsidR="00AF7253">
          <w:rPr>
            <w:rStyle w:val="Hyperlink"/>
            <w:b/>
            <w:lang w:val="en-US" w:eastAsia="zh-CN"/>
          </w:rPr>
          <w:t>R1-2312633</w:t>
        </w:r>
      </w:hyperlink>
      <w:r w:rsidR="00F733AC" w:rsidRPr="00F733AC">
        <w:rPr>
          <w:b/>
          <w:lang w:val="en-US" w:eastAsia="zh-CN"/>
        </w:rPr>
        <w:tab/>
        <w:t>FL Summary #4 on remaining issues for PRACH coverage enhancements</w:t>
      </w:r>
      <w:r w:rsidR="00F733AC" w:rsidRPr="00F733AC">
        <w:rPr>
          <w:b/>
          <w:lang w:val="en-US" w:eastAsia="zh-CN"/>
        </w:rPr>
        <w:tab/>
        <w:t>Moderator (China Telecom)</w:t>
      </w:r>
    </w:p>
    <w:p w14:paraId="70AB6359" w14:textId="325356F1" w:rsidR="002F5F14" w:rsidRPr="00F733AC" w:rsidRDefault="002F5F14" w:rsidP="00F733AC">
      <w:pPr>
        <w:rPr>
          <w:bCs/>
          <w:lang w:val="en-US" w:eastAsia="zh-CN"/>
        </w:rPr>
      </w:pPr>
      <w:r w:rsidRPr="002F5F14">
        <w:rPr>
          <w:bCs/>
          <w:lang w:val="en-US" w:eastAsia="zh-CN"/>
        </w:rPr>
        <w:t>From Friday session</w:t>
      </w:r>
    </w:p>
    <w:p w14:paraId="53EF1E36" w14:textId="77777777" w:rsidR="00F733AC" w:rsidRPr="00F733AC" w:rsidRDefault="00F733AC" w:rsidP="00F733AC">
      <w:pPr>
        <w:rPr>
          <w:rFonts w:ascii="Times New Roman" w:hAnsi="Times New Roman"/>
          <w:szCs w:val="20"/>
          <w:lang w:val="en-US" w:eastAsia="zh-CN"/>
        </w:rPr>
      </w:pPr>
      <w:r w:rsidRPr="00F733AC">
        <w:rPr>
          <w:rFonts w:ascii="Times New Roman" w:hAnsi="Times New Roman"/>
          <w:szCs w:val="20"/>
          <w:highlight w:val="green"/>
          <w:lang w:val="en-US" w:eastAsia="zh-CN"/>
        </w:rPr>
        <w:lastRenderedPageBreak/>
        <w:t>Agreement</w:t>
      </w:r>
    </w:p>
    <w:p w14:paraId="61A9AEC8" w14:textId="77777777" w:rsidR="002F5F14" w:rsidRDefault="00F733AC" w:rsidP="00F733AC">
      <w:pPr>
        <w:rPr>
          <w:rFonts w:ascii="Times New Roman" w:hAnsi="Times New Roman"/>
          <w:szCs w:val="20"/>
        </w:rPr>
      </w:pPr>
      <w:r w:rsidRPr="00F733AC">
        <w:rPr>
          <w:rFonts w:ascii="Times New Roman" w:hAnsi="Times New Roman"/>
          <w:szCs w:val="20"/>
        </w:rPr>
        <w:t>The following agreement in RAN1 #115</w:t>
      </w:r>
      <w:r w:rsidR="002F5F14">
        <w:rPr>
          <w:rFonts w:ascii="Times New Roman" w:hAnsi="Times New Roman"/>
          <w:szCs w:val="20"/>
        </w:rPr>
        <w:t>…</w:t>
      </w:r>
    </w:p>
    <w:tbl>
      <w:tblPr>
        <w:tblW w:w="0" w:type="auto"/>
        <w:jc w:val="right"/>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8008"/>
      </w:tblGrid>
      <w:tr w:rsidR="002F5F14" w:rsidRPr="00F733AC" w14:paraId="02BAA9E3" w14:textId="77777777" w:rsidTr="00082A4F">
        <w:trPr>
          <w:jc w:val="right"/>
        </w:trPr>
        <w:tc>
          <w:tcPr>
            <w:tcW w:w="8008" w:type="dxa"/>
            <w:shd w:val="clear" w:color="auto" w:fill="auto"/>
          </w:tcPr>
          <w:p w14:paraId="45665AEA" w14:textId="334B76F1" w:rsidR="002F5F14" w:rsidRPr="00F733AC" w:rsidRDefault="002F5F14" w:rsidP="00082A4F">
            <w:pPr>
              <w:rPr>
                <w:rFonts w:ascii="Times New Roman" w:hAnsi="Times New Roman"/>
                <w:szCs w:val="21"/>
              </w:rPr>
            </w:pPr>
            <w:r w:rsidRPr="00F733AC">
              <w:rPr>
                <w:rFonts w:ascii="Times New Roman" w:hAnsi="Times New Roman"/>
                <w:szCs w:val="21"/>
                <w:highlight w:val="green"/>
              </w:rPr>
              <w:t>Agreement</w:t>
            </w:r>
            <w:r>
              <w:rPr>
                <w:rFonts w:ascii="Times New Roman" w:hAnsi="Times New Roman"/>
                <w:szCs w:val="21"/>
              </w:rPr>
              <w:t xml:space="preserve">: </w:t>
            </w:r>
            <w:r w:rsidRPr="00F733AC">
              <w:rPr>
                <w:rFonts w:ascii="Times New Roman" w:hAnsi="Times New Roman"/>
                <w:szCs w:val="21"/>
              </w:rPr>
              <w:t xml:space="preserve">Draft TP #1-5 in section 5 of </w:t>
            </w:r>
            <w:hyperlink r:id="rId1530" w:history="1">
              <w:r w:rsidR="00AF7253">
                <w:rPr>
                  <w:rStyle w:val="Hyperlink"/>
                  <w:rFonts w:ascii="Times New Roman" w:hAnsi="Times New Roman"/>
                  <w:szCs w:val="21"/>
                </w:rPr>
                <w:t>R1-2312273</w:t>
              </w:r>
            </w:hyperlink>
            <w:r w:rsidRPr="00F733AC">
              <w:rPr>
                <w:rFonts w:ascii="Times New Roman" w:hAnsi="Times New Roman"/>
                <w:szCs w:val="21"/>
              </w:rPr>
              <w:t xml:space="preserve"> is endorsed.</w:t>
            </w:r>
          </w:p>
        </w:tc>
      </w:tr>
    </w:tbl>
    <w:p w14:paraId="488780E3" w14:textId="4E142C00" w:rsidR="00F733AC" w:rsidRDefault="002F5F14" w:rsidP="00F733AC">
      <w:pPr>
        <w:rPr>
          <w:rFonts w:ascii="Times New Roman" w:hAnsi="Times New Roman"/>
          <w:szCs w:val="20"/>
        </w:rPr>
      </w:pPr>
      <w:r>
        <w:rPr>
          <w:rFonts w:ascii="Times New Roman" w:hAnsi="Times New Roman"/>
          <w:szCs w:val="20"/>
        </w:rPr>
        <w:t xml:space="preserve"> …</w:t>
      </w:r>
      <w:r w:rsidR="00F733AC" w:rsidRPr="00F733AC">
        <w:rPr>
          <w:rFonts w:ascii="Times New Roman" w:hAnsi="Times New Roman"/>
          <w:szCs w:val="20"/>
        </w:rPr>
        <w:t xml:space="preserve"> is updated as: </w:t>
      </w:r>
    </w:p>
    <w:p w14:paraId="1766DF2D" w14:textId="6D8391B4" w:rsidR="00F733AC" w:rsidRPr="00F733AC" w:rsidRDefault="00F733AC" w:rsidP="00F733AC">
      <w:pPr>
        <w:rPr>
          <w:rFonts w:ascii="Times New Roman" w:hAnsi="Times New Roman"/>
          <w:szCs w:val="20"/>
        </w:rPr>
      </w:pPr>
      <w:r w:rsidRPr="00F733AC">
        <w:rPr>
          <w:rFonts w:ascii="Times New Roman" w:hAnsi="Times New Roman"/>
          <w:szCs w:val="20"/>
        </w:rPr>
        <w:t xml:space="preserve">Draft TP #1-5-1 in Section 6 of </w:t>
      </w:r>
      <w:hyperlink r:id="rId1531" w:history="1">
        <w:r w:rsidR="00AF7253">
          <w:rPr>
            <w:rStyle w:val="Hyperlink"/>
            <w:rFonts w:ascii="Times New Roman" w:hAnsi="Times New Roman"/>
            <w:szCs w:val="20"/>
          </w:rPr>
          <w:t>R1-2312633</w:t>
        </w:r>
      </w:hyperlink>
      <w:r w:rsidRPr="00F733AC">
        <w:rPr>
          <w:rFonts w:ascii="Times New Roman" w:hAnsi="Times New Roman"/>
          <w:szCs w:val="20"/>
        </w:rPr>
        <w:t xml:space="preserve"> is endorsed with the following revision:</w:t>
      </w:r>
    </w:p>
    <w:p w14:paraId="608C87DB" w14:textId="699DB47F" w:rsidR="00F733AC" w:rsidRPr="002F5F14" w:rsidRDefault="00F733AC" w:rsidP="00A67145">
      <w:pPr>
        <w:pStyle w:val="ListParagraph"/>
        <w:numPr>
          <w:ilvl w:val="0"/>
          <w:numId w:val="230"/>
        </w:numPr>
        <w:rPr>
          <w:rFonts w:eastAsia="MS Mincho"/>
        </w:rPr>
      </w:pPr>
      <w:ins w:id="703" w:author="1" w:date="2023-11-16T13:39:00Z">
        <w:r w:rsidRPr="002F5F14">
          <w:rPr>
            <w:rFonts w:eastAsia="MS Mincho"/>
          </w:rPr>
          <w:t>f</w:t>
        </w:r>
      </w:ins>
      <w:ins w:id="704" w:author="1" w:date="2023-11-14T11:27:00Z">
        <w:r w:rsidRPr="002F5F14">
          <w:rPr>
            <w:rFonts w:eastAsia="MS Mincho"/>
          </w:rPr>
          <w:t>or each frequency resource index for frequency multiplexed PRACH occasions</w:t>
        </w:r>
      </w:ins>
    </w:p>
    <w:p w14:paraId="0A44B37B" w14:textId="4197D53C" w:rsidR="00F733AC" w:rsidRPr="002F5F14" w:rsidRDefault="00F733AC" w:rsidP="00A67145">
      <w:pPr>
        <w:pStyle w:val="ListParagraph"/>
        <w:numPr>
          <w:ilvl w:val="1"/>
          <w:numId w:val="230"/>
        </w:numPr>
      </w:pPr>
      <w:ins w:id="705" w:author="1" w:date="2023-11-14T11:27:00Z">
        <w:r w:rsidRPr="002F5F14">
          <w:t>the first valid PRACH occasion of the first set</w:t>
        </w:r>
      </w:ins>
      <w:ins w:id="706" w:author="1" w:date="2023-11-16T05:20:00Z">
        <w:r w:rsidRPr="002F5F14">
          <w:t xml:space="preserve"> </w:t>
        </w:r>
        <w:del w:id="707" w:author="David mazzarese" w:date="2023-11-17T08:19:00Z">
          <w:r w:rsidRPr="002F5F14" w:rsidDel="00050CDD">
            <w:delText>for this frequency resource index</w:delText>
          </w:r>
        </w:del>
      </w:ins>
      <w:ins w:id="708" w:author="1" w:date="2023-11-14T11:27:00Z">
        <w:del w:id="709" w:author="David mazzarese" w:date="2023-11-17T08:19:00Z">
          <w:r w:rsidRPr="002F5F14" w:rsidDel="00050CDD">
            <w:delText xml:space="preserve"> </w:delText>
          </w:r>
        </w:del>
        <w:r w:rsidRPr="002F5F14">
          <w:t>is the first valid PRACH occasion</w:t>
        </w:r>
      </w:ins>
    </w:p>
    <w:p w14:paraId="51FDA5A6" w14:textId="77777777" w:rsidR="00F733AC" w:rsidRPr="002F5F14" w:rsidRDefault="00F733AC" w:rsidP="002F5F14">
      <w:pPr>
        <w:rPr>
          <w:rFonts w:ascii="Times New Roman" w:hAnsi="Times New Roman"/>
          <w:szCs w:val="20"/>
          <w:u w:val="single"/>
          <w:lang w:val="en-US" w:eastAsia="zh-CN"/>
        </w:rPr>
      </w:pPr>
      <w:r w:rsidRPr="002F5F14">
        <w:rPr>
          <w:rFonts w:ascii="Times New Roman" w:hAnsi="Times New Roman"/>
          <w:szCs w:val="20"/>
          <w:u w:val="single"/>
          <w:lang w:val="en-US" w:eastAsia="zh-CN"/>
        </w:rPr>
        <w:t>Conclusion</w:t>
      </w:r>
    </w:p>
    <w:p w14:paraId="0AC8B27E" w14:textId="7B4D7823" w:rsidR="00F733AC" w:rsidRDefault="00F733AC" w:rsidP="002F5F14">
      <w:pPr>
        <w:rPr>
          <w:rFonts w:ascii="Times New Roman" w:eastAsia="DengXian" w:hAnsi="Times New Roman"/>
          <w:szCs w:val="20"/>
        </w:rPr>
      </w:pPr>
      <w:r w:rsidRPr="002F5F14">
        <w:rPr>
          <w:rFonts w:ascii="Times New Roman" w:eastAsia="DengXian" w:hAnsi="Times New Roman"/>
          <w:szCs w:val="20"/>
        </w:rPr>
        <w:t xml:space="preserve">Within a time period, the first valid PRACH occasion of the first set </w:t>
      </w:r>
      <w:r w:rsidRPr="002F5F14">
        <w:rPr>
          <w:rFonts w:ascii="Times New Roman" w:eastAsia="DengXian" w:hAnsi="Times New Roman"/>
          <w:color w:val="000000"/>
          <w:szCs w:val="20"/>
        </w:rPr>
        <w:t xml:space="preserve">for </w:t>
      </w:r>
      <w:r w:rsidRPr="002F5F14">
        <w:rPr>
          <w:rFonts w:ascii="Times New Roman" w:eastAsia="DengXian" w:hAnsi="Times New Roman"/>
          <w:szCs w:val="20"/>
        </w:rPr>
        <w:t xml:space="preserve">a PRACH transmission with </w:t>
      </w:r>
      <m:oMath>
        <m:sSubSup>
          <m:sSubSupPr>
            <m:ctrlPr>
              <w:rPr>
                <w:rFonts w:ascii="Cambria Math" w:hAnsi="Cambria Math"/>
                <w:i/>
                <w:szCs w:val="20"/>
              </w:rPr>
            </m:ctrlPr>
          </m:sSubSupPr>
          <m:e>
            <m:r>
              <w:rPr>
                <w:rFonts w:ascii="Cambria Math" w:hAnsi="Cambria Math"/>
                <w:szCs w:val="20"/>
              </w:rPr>
              <m:t>N</m:t>
            </m:r>
          </m:e>
          <m:sub>
            <m:r>
              <m:rPr>
                <m:sty m:val="p"/>
              </m:rPr>
              <w:rPr>
                <w:rFonts w:ascii="Cambria Math" w:hAnsi="Cambria Math"/>
                <w:szCs w:val="20"/>
              </w:rPr>
              <m:t>preamble</m:t>
            </m:r>
          </m:sub>
          <m:sup>
            <m:r>
              <m:rPr>
                <m:sty m:val="p"/>
              </m:rPr>
              <w:rPr>
                <w:rFonts w:ascii="Cambria Math" w:hAnsi="Cambria Math"/>
                <w:szCs w:val="20"/>
              </w:rPr>
              <m:t>rep</m:t>
            </m:r>
          </m:sup>
        </m:sSubSup>
      </m:oMath>
      <w:r w:rsidRPr="002F5F14">
        <w:rPr>
          <w:rFonts w:ascii="Times New Roman" w:eastAsia="MS Mincho" w:hAnsi="Times New Roman"/>
          <w:szCs w:val="20"/>
        </w:rPr>
        <w:t xml:space="preserve"> preamble repetitions,</w:t>
      </w:r>
      <w:r w:rsidRPr="002F5F14">
        <w:rPr>
          <w:rFonts w:ascii="Times New Roman" w:eastAsia="DengXian" w:hAnsi="Times New Roman"/>
          <w:szCs w:val="20"/>
        </w:rPr>
        <w:t xml:space="preserve"> where each PRACH occasion within the set(s) is associated with the same one or multiple SSB index(es) and each same SSB index is associated with the same preambles, is the valid PRACH occasion at the earliest time instance, and with the lowest frequency resource index for frequency multiplexed PRACH occasions.</w:t>
      </w:r>
    </w:p>
    <w:p w14:paraId="335FD7F2" w14:textId="77777777" w:rsidR="002F5F14" w:rsidRPr="002F5F14" w:rsidRDefault="002F5F14" w:rsidP="002F5F14">
      <w:pPr>
        <w:rPr>
          <w:rFonts w:ascii="Times New Roman" w:eastAsia="MS Mincho" w:hAnsi="Times New Roman"/>
          <w:szCs w:val="20"/>
          <w:lang w:eastAsia="zh-CN"/>
        </w:rPr>
      </w:pPr>
    </w:p>
    <w:p w14:paraId="50742F70" w14:textId="77777777" w:rsidR="00F733AC" w:rsidRPr="002F5F14" w:rsidRDefault="00F733AC" w:rsidP="002F5F14">
      <w:pPr>
        <w:rPr>
          <w:rFonts w:ascii="Times New Roman" w:hAnsi="Times New Roman"/>
          <w:szCs w:val="20"/>
          <w:lang w:val="en-US" w:eastAsia="zh-CN"/>
        </w:rPr>
      </w:pPr>
      <w:r w:rsidRPr="002F5F14">
        <w:rPr>
          <w:rFonts w:ascii="Times New Roman" w:hAnsi="Times New Roman"/>
          <w:szCs w:val="20"/>
          <w:highlight w:val="green"/>
          <w:lang w:val="en-US" w:eastAsia="zh-CN"/>
        </w:rPr>
        <w:t>Agreement</w:t>
      </w:r>
    </w:p>
    <w:p w14:paraId="144CC736" w14:textId="77777777" w:rsidR="00F733AC" w:rsidRPr="002F5F14" w:rsidRDefault="00F733AC" w:rsidP="002F5F14">
      <w:pPr>
        <w:rPr>
          <w:rFonts w:ascii="Times New Roman" w:hAnsi="Times New Roman"/>
          <w:szCs w:val="20"/>
          <w:lang w:val="en-US" w:eastAsia="zh-CN"/>
        </w:rPr>
      </w:pPr>
      <w:r w:rsidRPr="002F5F14">
        <w:rPr>
          <w:rFonts w:ascii="Times New Roman" w:hAnsi="Times New Roman"/>
          <w:szCs w:val="20"/>
          <w:lang w:val="en-US" w:eastAsia="zh-CN"/>
        </w:rPr>
        <w:t>For PRACH transmissions with preamble repetitions, a transmission occasion refers to a PRACH occasion.</w:t>
      </w:r>
    </w:p>
    <w:p w14:paraId="60832F31" w14:textId="77777777" w:rsidR="00F733AC" w:rsidRPr="002F5F14" w:rsidRDefault="00F733AC" w:rsidP="002F5F14">
      <w:pPr>
        <w:rPr>
          <w:rFonts w:ascii="Times New Roman" w:hAnsi="Times New Roman"/>
          <w:szCs w:val="20"/>
          <w:lang w:val="en-US" w:eastAsia="zh-CN"/>
        </w:rPr>
      </w:pPr>
      <w:r w:rsidRPr="002F5F14">
        <w:rPr>
          <w:rFonts w:ascii="Times New Roman" w:hAnsi="Times New Roman"/>
          <w:szCs w:val="20"/>
          <w:lang w:val="en-US" w:eastAsia="zh-CN"/>
        </w:rPr>
        <w:t>Note: how to capture this in the spec. is up to the editor.</w:t>
      </w:r>
    </w:p>
    <w:p w14:paraId="23B65D12" w14:textId="77777777" w:rsidR="00F733AC" w:rsidRPr="002F5F14" w:rsidRDefault="00F733AC" w:rsidP="002F5F14">
      <w:pPr>
        <w:rPr>
          <w:rFonts w:ascii="Times New Roman" w:hAnsi="Times New Roman"/>
          <w:szCs w:val="20"/>
          <w:lang w:val="en-US" w:eastAsia="zh-CN"/>
        </w:rPr>
      </w:pPr>
    </w:p>
    <w:p w14:paraId="261D2F17" w14:textId="77777777" w:rsidR="00F733AC" w:rsidRPr="002F5F14" w:rsidRDefault="00F733AC" w:rsidP="002F5F14">
      <w:pPr>
        <w:rPr>
          <w:rFonts w:ascii="Times New Roman" w:hAnsi="Times New Roman"/>
          <w:szCs w:val="20"/>
          <w:u w:val="single"/>
          <w:lang w:val="en-US" w:eastAsia="zh-CN"/>
        </w:rPr>
      </w:pPr>
      <w:r w:rsidRPr="002F5F14">
        <w:rPr>
          <w:rFonts w:ascii="Times New Roman" w:hAnsi="Times New Roman"/>
          <w:szCs w:val="20"/>
          <w:u w:val="single"/>
          <w:lang w:val="en-US" w:eastAsia="zh-CN"/>
        </w:rPr>
        <w:t>Conclusion</w:t>
      </w:r>
    </w:p>
    <w:p w14:paraId="48A45DFF" w14:textId="77777777" w:rsidR="00F733AC" w:rsidRPr="002F5F14" w:rsidRDefault="00F733AC" w:rsidP="002F5F14">
      <w:pPr>
        <w:rPr>
          <w:rFonts w:ascii="Times New Roman" w:hAnsi="Times New Roman"/>
          <w:szCs w:val="20"/>
          <w:lang w:val="en-US" w:eastAsia="zh-CN"/>
        </w:rPr>
      </w:pPr>
      <w:r w:rsidRPr="002F5F14">
        <w:rPr>
          <w:rFonts w:ascii="Times New Roman" w:hAnsi="Times New Roman"/>
          <w:szCs w:val="20"/>
          <w:lang w:val="en-US" w:eastAsia="zh-CN"/>
        </w:rPr>
        <w:t>No further discussion of additional rule for the determination of number of PRACH transmissions in RAN1 in Rel-18.</w:t>
      </w:r>
    </w:p>
    <w:p w14:paraId="64B6D4E7" w14:textId="77777777" w:rsidR="00F733AC" w:rsidRPr="002F5F14" w:rsidRDefault="00F733AC" w:rsidP="002F5F14">
      <w:pPr>
        <w:rPr>
          <w:rFonts w:ascii="Times New Roman" w:hAnsi="Times New Roman"/>
          <w:szCs w:val="20"/>
          <w:lang w:val="en-US" w:eastAsia="zh-CN"/>
        </w:rPr>
      </w:pPr>
    </w:p>
    <w:p w14:paraId="551296E1" w14:textId="77777777" w:rsidR="00F733AC" w:rsidRPr="002F5F14" w:rsidRDefault="00F733AC" w:rsidP="002F5F14">
      <w:pPr>
        <w:rPr>
          <w:rFonts w:ascii="Times New Roman" w:hAnsi="Times New Roman"/>
          <w:szCs w:val="20"/>
          <w:lang w:val="en-US" w:eastAsia="zh-CN"/>
        </w:rPr>
      </w:pPr>
      <w:r w:rsidRPr="002F5F14">
        <w:rPr>
          <w:rFonts w:ascii="Times New Roman" w:hAnsi="Times New Roman"/>
          <w:szCs w:val="20"/>
          <w:highlight w:val="green"/>
          <w:lang w:val="en-US" w:eastAsia="zh-CN"/>
        </w:rPr>
        <w:t>Agreement</w:t>
      </w:r>
    </w:p>
    <w:p w14:paraId="45332455" w14:textId="77777777" w:rsidR="00F733AC" w:rsidRPr="002F5F14" w:rsidRDefault="00F733AC" w:rsidP="002F5F14">
      <w:pPr>
        <w:rPr>
          <w:rFonts w:ascii="Times New Roman" w:hAnsi="Times New Roman"/>
          <w:szCs w:val="20"/>
        </w:rPr>
      </w:pPr>
      <w:r w:rsidRPr="002F5F14">
        <w:rPr>
          <w:rFonts w:ascii="Times New Roman" w:hAnsi="Times New Roman"/>
          <w:szCs w:val="20"/>
        </w:rPr>
        <w:t>For multiple PRACH transmissions, down-select one of the following options at RAN1#116:</w:t>
      </w:r>
    </w:p>
    <w:p w14:paraId="5605AE9D" w14:textId="77777777" w:rsidR="00F733AC" w:rsidRPr="002F5F14" w:rsidRDefault="00F733AC" w:rsidP="00A67145">
      <w:pPr>
        <w:pStyle w:val="ListParagraph"/>
        <w:numPr>
          <w:ilvl w:val="0"/>
          <w:numId w:val="231"/>
        </w:numPr>
        <w:rPr>
          <w:bCs/>
        </w:rPr>
      </w:pPr>
      <w:r w:rsidRPr="002F5F14">
        <w:rPr>
          <w:bCs/>
        </w:rPr>
        <w:t>Option 1:</w:t>
      </w:r>
    </w:p>
    <w:p w14:paraId="33089FCB" w14:textId="77777777" w:rsidR="00F733AC" w:rsidRPr="002F5F14" w:rsidRDefault="00F733AC" w:rsidP="00A67145">
      <w:pPr>
        <w:pStyle w:val="ListParagraph"/>
        <w:numPr>
          <w:ilvl w:val="1"/>
          <w:numId w:val="231"/>
        </w:numPr>
      </w:pPr>
      <w:r w:rsidRPr="002F5F14">
        <w:t>Layer 1 notifies higher layers to suspend the corresponding power ramping counter when PRACH transmission in all of PRACH occasions are dropped or with reduced transmit power.</w:t>
      </w:r>
    </w:p>
    <w:p w14:paraId="6CE6F1A8" w14:textId="77777777" w:rsidR="00F733AC" w:rsidRPr="002F5F14" w:rsidRDefault="00F733AC" w:rsidP="00A67145">
      <w:pPr>
        <w:pStyle w:val="ListParagraph"/>
        <w:numPr>
          <w:ilvl w:val="1"/>
          <w:numId w:val="231"/>
        </w:numPr>
      </w:pPr>
      <w:r w:rsidRPr="002F5F14">
        <w:t>Layer 1 may notify higher layers to suspend the corresponding power ramping counter when PRACH transmission in any of PRACH occasions are dropped or with reduced transmit power.</w:t>
      </w:r>
    </w:p>
    <w:p w14:paraId="72D19BBC" w14:textId="77777777" w:rsidR="00F733AC" w:rsidRPr="002F5F14" w:rsidRDefault="00F733AC" w:rsidP="00A67145">
      <w:pPr>
        <w:pStyle w:val="ListParagraph"/>
        <w:numPr>
          <w:ilvl w:val="0"/>
          <w:numId w:val="231"/>
        </w:numPr>
        <w:rPr>
          <w:bCs/>
        </w:rPr>
      </w:pPr>
      <w:r w:rsidRPr="002F5F14">
        <w:rPr>
          <w:bCs/>
        </w:rPr>
        <w:t>Option 1a:</w:t>
      </w:r>
    </w:p>
    <w:p w14:paraId="6E50761A" w14:textId="77777777" w:rsidR="00F733AC" w:rsidRPr="002F5F14" w:rsidRDefault="00F733AC" w:rsidP="00A67145">
      <w:pPr>
        <w:pStyle w:val="ListParagraph"/>
        <w:numPr>
          <w:ilvl w:val="1"/>
          <w:numId w:val="231"/>
        </w:numPr>
      </w:pPr>
      <w:r w:rsidRPr="002F5F14">
        <w:t>Layer 1 notifies higher layers to suspend the corresponding power ramping counter when PRACH transmission in all of PRACH occasions are dropped.</w:t>
      </w:r>
    </w:p>
    <w:p w14:paraId="1FCFB88F" w14:textId="77777777" w:rsidR="00F733AC" w:rsidRPr="002F5F14" w:rsidRDefault="00F733AC" w:rsidP="00A67145">
      <w:pPr>
        <w:pStyle w:val="ListParagraph"/>
        <w:numPr>
          <w:ilvl w:val="1"/>
          <w:numId w:val="231"/>
        </w:numPr>
      </w:pPr>
      <w:r w:rsidRPr="002F5F14">
        <w:t>Layer 1 may notify higher layers to suspend the corresponding power ramping counter when PRACH transmission on part of PRACH occasions are dropped or when PRACH transmission in any of PRACH occasions is with reduced transmit power.</w:t>
      </w:r>
    </w:p>
    <w:p w14:paraId="7EE81C30" w14:textId="77777777" w:rsidR="00F733AC" w:rsidRPr="002F5F14" w:rsidRDefault="00F733AC" w:rsidP="00A67145">
      <w:pPr>
        <w:pStyle w:val="ListParagraph"/>
        <w:numPr>
          <w:ilvl w:val="0"/>
          <w:numId w:val="231"/>
        </w:numPr>
        <w:rPr>
          <w:bCs/>
        </w:rPr>
      </w:pPr>
      <w:r w:rsidRPr="002F5F14">
        <w:rPr>
          <w:bCs/>
        </w:rPr>
        <w:t>Option 2:</w:t>
      </w:r>
    </w:p>
    <w:p w14:paraId="298E6044" w14:textId="77777777" w:rsidR="00F733AC" w:rsidRPr="002F5F14" w:rsidRDefault="00F733AC" w:rsidP="00A67145">
      <w:pPr>
        <w:pStyle w:val="ListParagraph"/>
        <w:numPr>
          <w:ilvl w:val="1"/>
          <w:numId w:val="231"/>
        </w:numPr>
      </w:pPr>
      <w:r w:rsidRPr="002F5F14">
        <w:t>Layer 1 may notify higher layers to suspend the corresponding power ramping counter when PRACH transmission in at least one PRACH occasion is dropped or with reduced transmit power.</w:t>
      </w:r>
    </w:p>
    <w:p w14:paraId="560FC9DF" w14:textId="77777777" w:rsidR="00F733AC" w:rsidRPr="002F5F14" w:rsidRDefault="00F733AC" w:rsidP="002F5F14">
      <w:pPr>
        <w:pStyle w:val="ListParagraph"/>
        <w:ind w:left="1440"/>
      </w:pPr>
      <w:r w:rsidRPr="002F5F14">
        <w:t>Note: this implies it’s up to UE implementation.</w:t>
      </w:r>
    </w:p>
    <w:p w14:paraId="36C0608E" w14:textId="77777777" w:rsidR="00F733AC" w:rsidRPr="002F5F14" w:rsidRDefault="00F733AC" w:rsidP="00A67145">
      <w:pPr>
        <w:pStyle w:val="ListParagraph"/>
        <w:numPr>
          <w:ilvl w:val="0"/>
          <w:numId w:val="231"/>
        </w:numPr>
      </w:pPr>
      <w:r w:rsidRPr="002F5F14">
        <w:rPr>
          <w:bCs/>
        </w:rPr>
        <w:t>Option 2a:</w:t>
      </w:r>
    </w:p>
    <w:p w14:paraId="0D44FAAF" w14:textId="77777777" w:rsidR="00F733AC" w:rsidRPr="002F5F14" w:rsidRDefault="00F733AC" w:rsidP="00A67145">
      <w:pPr>
        <w:pStyle w:val="ListParagraph"/>
        <w:numPr>
          <w:ilvl w:val="1"/>
          <w:numId w:val="231"/>
        </w:numPr>
      </w:pPr>
      <w:r w:rsidRPr="002F5F14">
        <w:t>Layer 1 may notify higher layers to suspend the corresponding power ramping counter when PRACH transmission in at least one PRACH occasion is with reduced transmit power.</w:t>
      </w:r>
    </w:p>
    <w:p w14:paraId="2A51CFE9" w14:textId="77777777" w:rsidR="00F733AC" w:rsidRPr="002F5F14" w:rsidRDefault="00F733AC" w:rsidP="00A67145">
      <w:pPr>
        <w:pStyle w:val="ListParagraph"/>
        <w:numPr>
          <w:ilvl w:val="1"/>
          <w:numId w:val="231"/>
        </w:numPr>
      </w:pPr>
      <w:r w:rsidRPr="002F5F14">
        <w:t>Layer 1 notifies higher layers to suspend the corresponding power ramping counter when PRACH transmission in at least one PRACH occasion is dropped.</w:t>
      </w:r>
    </w:p>
    <w:p w14:paraId="1FA1EA4C" w14:textId="77777777" w:rsidR="00F733AC" w:rsidRPr="002F5F14" w:rsidRDefault="00F733AC" w:rsidP="00A67145">
      <w:pPr>
        <w:pStyle w:val="ListParagraph"/>
        <w:numPr>
          <w:ilvl w:val="0"/>
          <w:numId w:val="231"/>
        </w:numPr>
        <w:rPr>
          <w:bCs/>
        </w:rPr>
      </w:pPr>
      <w:r w:rsidRPr="002F5F14">
        <w:rPr>
          <w:bCs/>
        </w:rPr>
        <w:t>Option 3:</w:t>
      </w:r>
    </w:p>
    <w:p w14:paraId="21A6387B" w14:textId="77777777" w:rsidR="00F733AC" w:rsidRPr="002F5F14" w:rsidRDefault="00F733AC" w:rsidP="00A67145">
      <w:pPr>
        <w:pStyle w:val="ListParagraph"/>
        <w:numPr>
          <w:ilvl w:val="1"/>
          <w:numId w:val="231"/>
        </w:numPr>
        <w:spacing w:after="0"/>
        <w:ind w:left="1434" w:hanging="357"/>
      </w:pPr>
      <w:r w:rsidRPr="002F5F14">
        <w:t>Layer 1 notifies higher layers to suspend the corresponding power ramping counter when PRACH transmission in all of PRACH occasions are dropped.</w:t>
      </w:r>
    </w:p>
    <w:p w14:paraId="00D19C7B" w14:textId="77777777" w:rsidR="00F733AC" w:rsidRPr="002F5F14" w:rsidRDefault="00F733AC" w:rsidP="00A67145">
      <w:pPr>
        <w:pStyle w:val="ListParagraph"/>
        <w:numPr>
          <w:ilvl w:val="1"/>
          <w:numId w:val="231"/>
        </w:numPr>
        <w:spacing w:after="0"/>
        <w:ind w:left="1434" w:hanging="357"/>
      </w:pPr>
      <w:r w:rsidRPr="002F5F14">
        <w:t>Layer 1 may notif</w:t>
      </w:r>
      <w:r w:rsidRPr="002F5F14">
        <w:rPr>
          <w:lang w:eastAsia="zh-CN"/>
        </w:rPr>
        <w:t>y</w:t>
      </w:r>
      <w:r w:rsidRPr="002F5F14">
        <w:t xml:space="preserve"> higher layers to suspend the corresponding power ramping counter when PRACH transmission in all of PRACH occasions are with reduced transmit power.</w:t>
      </w:r>
    </w:p>
    <w:p w14:paraId="046CCD57" w14:textId="77777777" w:rsidR="00F733AC" w:rsidRPr="002F5F14" w:rsidRDefault="00F733AC" w:rsidP="002F5F14">
      <w:pPr>
        <w:rPr>
          <w:rFonts w:ascii="Times New Roman" w:hAnsi="Times New Roman"/>
          <w:szCs w:val="20"/>
          <w:lang w:val="en-US" w:eastAsia="zh-CN"/>
        </w:rPr>
      </w:pPr>
      <w:r w:rsidRPr="002F5F14">
        <w:rPr>
          <w:rFonts w:ascii="Times New Roman" w:hAnsi="Times New Roman"/>
          <w:szCs w:val="20"/>
          <w:lang w:val="en-US" w:eastAsia="zh-CN"/>
        </w:rPr>
        <w:t>Note: whether any of the above options have specification impact is a separate discussion.</w:t>
      </w:r>
    </w:p>
    <w:p w14:paraId="04072EC5" w14:textId="77777777" w:rsidR="00F733AC" w:rsidRPr="002F5F14" w:rsidRDefault="00F733AC" w:rsidP="002F5F14">
      <w:pPr>
        <w:rPr>
          <w:rFonts w:ascii="Times New Roman" w:hAnsi="Times New Roman"/>
          <w:szCs w:val="20"/>
          <w:lang w:val="en-US" w:eastAsia="zh-CN"/>
        </w:rPr>
      </w:pPr>
    </w:p>
    <w:p w14:paraId="2299E65A" w14:textId="77777777" w:rsidR="00F733AC" w:rsidRPr="002F5F14" w:rsidRDefault="00F733AC" w:rsidP="002F5F14">
      <w:pPr>
        <w:rPr>
          <w:rFonts w:ascii="Times New Roman" w:hAnsi="Times New Roman"/>
          <w:bCs/>
          <w:szCs w:val="20"/>
        </w:rPr>
      </w:pPr>
      <w:r w:rsidRPr="002F5F14">
        <w:rPr>
          <w:rFonts w:ascii="Times New Roman" w:hAnsi="Times New Roman"/>
          <w:bCs/>
          <w:szCs w:val="20"/>
          <w:highlight w:val="green"/>
        </w:rPr>
        <w:t>Agreement</w:t>
      </w:r>
    </w:p>
    <w:p w14:paraId="0526D9AC" w14:textId="77777777" w:rsidR="00F733AC" w:rsidRPr="002F5F14" w:rsidRDefault="00F733AC" w:rsidP="002F5F14">
      <w:pPr>
        <w:rPr>
          <w:rFonts w:ascii="Times New Roman" w:hAnsi="Times New Roman"/>
          <w:szCs w:val="20"/>
        </w:rPr>
      </w:pPr>
      <w:r w:rsidRPr="002F5F14">
        <w:rPr>
          <w:rFonts w:ascii="Times New Roman" w:hAnsi="Times New Roman"/>
          <w:szCs w:val="20"/>
        </w:rPr>
        <w:t>For multiple PRACH transmissions with indication of PRACH mask index, down-select one of the following options at RAN1#116</w:t>
      </w:r>
    </w:p>
    <w:p w14:paraId="3E796032" w14:textId="77777777" w:rsidR="00F733AC" w:rsidRPr="002F5F14" w:rsidRDefault="00F733AC" w:rsidP="00A67145">
      <w:pPr>
        <w:pStyle w:val="ListParagraph"/>
        <w:numPr>
          <w:ilvl w:val="0"/>
          <w:numId w:val="232"/>
        </w:numPr>
      </w:pPr>
      <w:r w:rsidRPr="002F5F14">
        <w:rPr>
          <w:bCs/>
        </w:rPr>
        <w:t xml:space="preserve">Option 1: </w:t>
      </w:r>
      <w:r w:rsidRPr="002F5F14">
        <w:t>UE applies PRACH mask prior to RO group determination. RO group is determined based on the ROs indicated by the PRACH mask index.</w:t>
      </w:r>
    </w:p>
    <w:p w14:paraId="516C274B" w14:textId="312B978E" w:rsidR="00F733AC" w:rsidRPr="002F5F14" w:rsidRDefault="00F733AC" w:rsidP="00A67145">
      <w:pPr>
        <w:pStyle w:val="ListParagraph"/>
        <w:numPr>
          <w:ilvl w:val="0"/>
          <w:numId w:val="232"/>
        </w:numPr>
      </w:pPr>
      <w:r w:rsidRPr="002F5F14">
        <w:rPr>
          <w:bCs/>
        </w:rPr>
        <w:t xml:space="preserve">Option 2: </w:t>
      </w:r>
      <w:r w:rsidRPr="002F5F14">
        <w:t xml:space="preserve">UE applies PRACH mask after RO group determination. UE transmits PRACH with </w:t>
      </w:r>
      <m:oMath>
        <m:sSubSup>
          <m:sSubSupPr>
            <m:ctrlPr>
              <w:rPr>
                <w:rFonts w:ascii="Cambria Math" w:eastAsia="MS Gothic" w:hAnsi="Cambria Math"/>
                <w:i/>
              </w:rPr>
            </m:ctrlPr>
          </m:sSubSupPr>
          <m:e>
            <m:r>
              <w:rPr>
                <w:rFonts w:ascii="Cambria Math" w:hAnsi="Cambria Math"/>
              </w:rPr>
              <m:t>N</m:t>
            </m:r>
          </m:e>
          <m:sub>
            <m:r>
              <m:rPr>
                <m:sty m:val="p"/>
              </m:rPr>
              <w:rPr>
                <w:rFonts w:ascii="Cambria Math" w:hAnsi="Cambria Math"/>
              </w:rPr>
              <m:t>preamble</m:t>
            </m:r>
          </m:sub>
          <m:sup>
            <m:r>
              <m:rPr>
                <m:sty m:val="p"/>
              </m:rPr>
              <w:rPr>
                <w:rFonts w:ascii="Cambria Math" w:hAnsi="Cambria Math"/>
              </w:rPr>
              <m:t>rep</m:t>
            </m:r>
          </m:sup>
        </m:sSubSup>
        <m:r>
          <w:rPr>
            <w:rFonts w:ascii="Cambria Math" w:hAnsi="Cambria Math"/>
          </w:rPr>
          <m:t xml:space="preserve"> </m:t>
        </m:r>
      </m:oMath>
      <w:r w:rsidRPr="002F5F14">
        <w:t>preamble repetitions only on a RO group with all the ROs indicated by the mask.</w:t>
      </w:r>
    </w:p>
    <w:p w14:paraId="3D2C4CE0" w14:textId="1343E34D" w:rsidR="00F733AC" w:rsidRPr="002F5F14" w:rsidRDefault="00F733AC" w:rsidP="00A67145">
      <w:pPr>
        <w:pStyle w:val="ListParagraph"/>
        <w:numPr>
          <w:ilvl w:val="0"/>
          <w:numId w:val="232"/>
        </w:numPr>
      </w:pPr>
      <w:r w:rsidRPr="002F5F14">
        <w:rPr>
          <w:bCs/>
        </w:rPr>
        <w:lastRenderedPageBreak/>
        <w:t xml:space="preserve">Option 3: </w:t>
      </w:r>
      <w:r w:rsidRPr="002F5F14">
        <w:t xml:space="preserve">UE applies PRACH mask after RO group determination. UE transmits PRACH with </w:t>
      </w:r>
      <m:oMath>
        <m:sSubSup>
          <m:sSubSupPr>
            <m:ctrlPr>
              <w:rPr>
                <w:rFonts w:ascii="Cambria Math" w:eastAsia="MS Gothic" w:hAnsi="Cambria Math"/>
                <w:i/>
              </w:rPr>
            </m:ctrlPr>
          </m:sSubSupPr>
          <m:e>
            <m:r>
              <w:rPr>
                <w:rFonts w:ascii="Cambria Math" w:hAnsi="Cambria Math"/>
              </w:rPr>
              <m:t>N</m:t>
            </m:r>
          </m:e>
          <m:sub>
            <m:r>
              <m:rPr>
                <m:sty m:val="p"/>
              </m:rPr>
              <w:rPr>
                <w:rFonts w:ascii="Cambria Math" w:hAnsi="Cambria Math"/>
              </w:rPr>
              <m:t>preamble</m:t>
            </m:r>
          </m:sub>
          <m:sup>
            <m:r>
              <m:rPr>
                <m:sty m:val="p"/>
              </m:rPr>
              <w:rPr>
                <w:rFonts w:ascii="Cambria Math" w:hAnsi="Cambria Math"/>
              </w:rPr>
              <m:t>rep</m:t>
            </m:r>
          </m:sup>
        </m:sSubSup>
        <m:r>
          <w:rPr>
            <w:rFonts w:ascii="Cambria Math" w:hAnsi="Cambria Math"/>
          </w:rPr>
          <m:t xml:space="preserve"> </m:t>
        </m:r>
      </m:oMath>
      <w:r w:rsidRPr="002F5F14">
        <w:t xml:space="preserve">preamble repetitions only on a RO group where at least one RO of this RO group is indicated by the </w:t>
      </w:r>
      <w:r w:rsidRPr="002F5F14">
        <w:rPr>
          <w:lang w:eastAsia="zh-CN"/>
        </w:rPr>
        <w:t>mask</w:t>
      </w:r>
    </w:p>
    <w:p w14:paraId="678E050A" w14:textId="77777777" w:rsidR="00F733AC" w:rsidRPr="002F5F14" w:rsidRDefault="00F733AC" w:rsidP="00A67145">
      <w:pPr>
        <w:pStyle w:val="ListParagraph"/>
        <w:numPr>
          <w:ilvl w:val="0"/>
          <w:numId w:val="232"/>
        </w:numPr>
      </w:pPr>
      <w:r w:rsidRPr="002F5F14">
        <w:rPr>
          <w:bCs/>
        </w:rPr>
        <w:t xml:space="preserve">Option 4: </w:t>
      </w:r>
      <w:r w:rsidRPr="002F5F14">
        <w:t>UE applies PRACH mask after RO group determination. The PRACH mask index indicates one or multiple RO groups for multiple PRACH transmission.</w:t>
      </w:r>
    </w:p>
    <w:p w14:paraId="4E643E67" w14:textId="77777777" w:rsidR="00F733AC" w:rsidRPr="002F5F14" w:rsidRDefault="00F733AC" w:rsidP="00A67145">
      <w:pPr>
        <w:pStyle w:val="ListParagraph"/>
        <w:numPr>
          <w:ilvl w:val="1"/>
          <w:numId w:val="232"/>
        </w:numPr>
        <w:rPr>
          <w:lang w:eastAsia="zh-CN"/>
        </w:rPr>
      </w:pPr>
      <w:r w:rsidRPr="002F5F14">
        <w:rPr>
          <w:lang w:eastAsia="zh-CN"/>
        </w:rPr>
        <w:t xml:space="preserve">Note: this implies the PRACH mask index indicates the RO group instead of RO </w:t>
      </w:r>
      <w:r w:rsidRPr="002F5F14">
        <w:rPr>
          <w:strike/>
          <w:lang w:eastAsia="zh-CN"/>
        </w:rPr>
        <w:t>index(es)</w:t>
      </w:r>
      <w:r w:rsidRPr="002F5F14">
        <w:rPr>
          <w:lang w:eastAsia="zh-CN"/>
        </w:rPr>
        <w:t xml:space="preserve">. </w:t>
      </w:r>
    </w:p>
    <w:p w14:paraId="76BAD33A" w14:textId="77777777" w:rsidR="00F733AC" w:rsidRPr="002F5F14" w:rsidRDefault="00F733AC" w:rsidP="002F5F14">
      <w:pPr>
        <w:rPr>
          <w:rFonts w:ascii="Times New Roman" w:hAnsi="Times New Roman"/>
          <w:szCs w:val="20"/>
        </w:rPr>
      </w:pPr>
    </w:p>
    <w:p w14:paraId="18329854" w14:textId="24DE3C1B" w:rsidR="00883FD0" w:rsidRPr="002F5F14" w:rsidRDefault="003F77F3" w:rsidP="002F5F14">
      <w:pPr>
        <w:rPr>
          <w:rFonts w:ascii="Times New Roman" w:hAnsi="Times New Roman"/>
          <w:szCs w:val="20"/>
          <w:lang w:eastAsia="zh-CN"/>
        </w:rPr>
      </w:pPr>
      <w:r>
        <w:rPr>
          <w:rFonts w:ascii="Times New Roman" w:hAnsi="Times New Roman"/>
          <w:szCs w:val="20"/>
          <w:lang w:eastAsia="zh-CN"/>
        </w:rPr>
        <w:t xml:space="preserve">Final summary in </w:t>
      </w:r>
      <w:hyperlink r:id="rId1532" w:history="1">
        <w:r w:rsidR="00AF7253">
          <w:rPr>
            <w:rStyle w:val="Hyperlink"/>
            <w:rFonts w:ascii="Times New Roman" w:hAnsi="Times New Roman"/>
            <w:szCs w:val="20"/>
            <w:lang w:eastAsia="zh-CN"/>
          </w:rPr>
          <w:t>R1-2312677</w:t>
        </w:r>
      </w:hyperlink>
      <w:r>
        <w:rPr>
          <w:rFonts w:ascii="Times New Roman" w:hAnsi="Times New Roman"/>
          <w:szCs w:val="20"/>
          <w:lang w:eastAsia="zh-CN"/>
        </w:rPr>
        <w:t>.</w:t>
      </w:r>
    </w:p>
    <w:p w14:paraId="7D62D518" w14:textId="77777777" w:rsidR="00F74A6F" w:rsidRPr="009537ED" w:rsidRDefault="00F74A6F" w:rsidP="00911D4F">
      <w:pPr>
        <w:pStyle w:val="Heading3"/>
      </w:pPr>
      <w:bookmarkStart w:id="710" w:name="_Toc150174477"/>
      <w:bookmarkStart w:id="711" w:name="_Toc159251019"/>
      <w:r w:rsidRPr="009537ED">
        <w:t>Power domain enhancements</w:t>
      </w:r>
      <w:bookmarkEnd w:id="710"/>
      <w:bookmarkEnd w:id="711"/>
    </w:p>
    <w:p w14:paraId="5395EB9C" w14:textId="6FD0077B" w:rsidR="00F74A6F" w:rsidRPr="009537ED" w:rsidRDefault="005A18DC" w:rsidP="00F74A6F">
      <w:pPr>
        <w:rPr>
          <w:lang w:eastAsia="x-none"/>
        </w:rPr>
      </w:pPr>
      <w:hyperlink r:id="rId1533" w:history="1">
        <w:r w:rsidR="00AF7253">
          <w:rPr>
            <w:rStyle w:val="Hyperlink"/>
            <w:lang w:eastAsia="x-none"/>
          </w:rPr>
          <w:t>R1-2310883</w:t>
        </w:r>
      </w:hyperlink>
      <w:r w:rsidR="00F74A6F" w:rsidRPr="009537ED">
        <w:rPr>
          <w:lang w:eastAsia="x-none"/>
        </w:rPr>
        <w:tab/>
        <w:t>Discussion on coverage enhancement in power domain</w:t>
      </w:r>
      <w:r w:rsidR="00F74A6F" w:rsidRPr="009537ED">
        <w:rPr>
          <w:lang w:eastAsia="x-none"/>
        </w:rPr>
        <w:tab/>
        <w:t>Huawei, HiSilicon</w:t>
      </w:r>
    </w:p>
    <w:p w14:paraId="397C9D1C" w14:textId="02688245" w:rsidR="00F74A6F" w:rsidRPr="009537ED" w:rsidRDefault="005A18DC" w:rsidP="00F74A6F">
      <w:pPr>
        <w:rPr>
          <w:lang w:eastAsia="x-none"/>
        </w:rPr>
      </w:pPr>
      <w:hyperlink r:id="rId1534" w:history="1">
        <w:r w:rsidR="00AF7253">
          <w:rPr>
            <w:rStyle w:val="Hyperlink"/>
            <w:lang w:eastAsia="x-none"/>
          </w:rPr>
          <w:t>R1-2311020</w:t>
        </w:r>
      </w:hyperlink>
      <w:r w:rsidR="00F74A6F" w:rsidRPr="009537ED">
        <w:rPr>
          <w:lang w:eastAsia="x-none"/>
        </w:rPr>
        <w:tab/>
        <w:t>Maintenance of power domain enhancements</w:t>
      </w:r>
      <w:r w:rsidR="00F74A6F" w:rsidRPr="009537ED">
        <w:rPr>
          <w:lang w:eastAsia="x-none"/>
        </w:rPr>
        <w:tab/>
        <w:t>ZTE</w:t>
      </w:r>
    </w:p>
    <w:p w14:paraId="7CA4020D" w14:textId="2E13EEB7" w:rsidR="00F74A6F" w:rsidRPr="009537ED" w:rsidRDefault="005A18DC" w:rsidP="00F74A6F">
      <w:pPr>
        <w:rPr>
          <w:lang w:eastAsia="x-none"/>
        </w:rPr>
      </w:pPr>
      <w:hyperlink r:id="rId1535" w:history="1">
        <w:r w:rsidR="00AF7253">
          <w:rPr>
            <w:rStyle w:val="Hyperlink"/>
            <w:lang w:eastAsia="x-none"/>
          </w:rPr>
          <w:t>R1-2311108</w:t>
        </w:r>
      </w:hyperlink>
      <w:r w:rsidR="00F74A6F" w:rsidRPr="009537ED">
        <w:rPr>
          <w:lang w:eastAsia="x-none"/>
        </w:rPr>
        <w:tab/>
        <w:t>Discussions on remaining issues of power domain enhancements</w:t>
      </w:r>
      <w:r w:rsidR="00F74A6F" w:rsidRPr="009537ED">
        <w:rPr>
          <w:lang w:eastAsia="x-none"/>
        </w:rPr>
        <w:tab/>
        <w:t>vivo</w:t>
      </w:r>
    </w:p>
    <w:p w14:paraId="3AEFA67B" w14:textId="6FDFD44E" w:rsidR="00F74A6F" w:rsidRPr="009537ED" w:rsidRDefault="005A18DC" w:rsidP="00F74A6F">
      <w:pPr>
        <w:rPr>
          <w:lang w:eastAsia="x-none"/>
        </w:rPr>
      </w:pPr>
      <w:hyperlink r:id="rId1536" w:history="1">
        <w:r w:rsidR="00AF7253">
          <w:rPr>
            <w:rStyle w:val="Hyperlink"/>
            <w:lang w:eastAsia="x-none"/>
          </w:rPr>
          <w:t>R1-2311175</w:t>
        </w:r>
      </w:hyperlink>
      <w:r w:rsidR="00F74A6F" w:rsidRPr="009537ED">
        <w:rPr>
          <w:lang w:eastAsia="x-none"/>
        </w:rPr>
        <w:tab/>
        <w:t>Remaining issues on power domain enhancement</w:t>
      </w:r>
      <w:r w:rsidR="00F74A6F" w:rsidRPr="009537ED">
        <w:rPr>
          <w:lang w:eastAsia="x-none"/>
        </w:rPr>
        <w:tab/>
        <w:t>Spreadtrum Communications</w:t>
      </w:r>
    </w:p>
    <w:p w14:paraId="16D29CF8" w14:textId="047FF293" w:rsidR="00F74A6F" w:rsidRPr="009537ED" w:rsidRDefault="005A18DC" w:rsidP="00F74A6F">
      <w:pPr>
        <w:rPr>
          <w:lang w:eastAsia="x-none"/>
        </w:rPr>
      </w:pPr>
      <w:hyperlink r:id="rId1537" w:history="1">
        <w:r w:rsidR="00AF7253">
          <w:rPr>
            <w:rStyle w:val="Hyperlink"/>
            <w:lang w:eastAsia="x-none"/>
          </w:rPr>
          <w:t>R1-2311264</w:t>
        </w:r>
      </w:hyperlink>
      <w:r w:rsidR="00F74A6F" w:rsidRPr="009537ED">
        <w:rPr>
          <w:lang w:eastAsia="x-none"/>
        </w:rPr>
        <w:tab/>
        <w:t>Rema</w:t>
      </w:r>
      <w:r w:rsidR="00911D4F">
        <w:rPr>
          <w:lang w:eastAsia="x-none"/>
        </w:rPr>
        <w:t>i</w:t>
      </w:r>
      <w:r w:rsidR="00F74A6F" w:rsidRPr="009537ED">
        <w:rPr>
          <w:lang w:eastAsia="x-none"/>
        </w:rPr>
        <w:t>ning issues on of power domain enhancements</w:t>
      </w:r>
      <w:r w:rsidR="00F74A6F" w:rsidRPr="009537ED">
        <w:rPr>
          <w:lang w:eastAsia="x-none"/>
        </w:rPr>
        <w:tab/>
        <w:t>OPPO</w:t>
      </w:r>
    </w:p>
    <w:p w14:paraId="28DC993B" w14:textId="11FD03F7" w:rsidR="00F74A6F" w:rsidRPr="009537ED" w:rsidRDefault="005A18DC" w:rsidP="00F74A6F">
      <w:pPr>
        <w:rPr>
          <w:lang w:eastAsia="x-none"/>
        </w:rPr>
      </w:pPr>
      <w:hyperlink r:id="rId1538" w:history="1">
        <w:r w:rsidR="00AF7253">
          <w:rPr>
            <w:rStyle w:val="Hyperlink"/>
            <w:lang w:eastAsia="x-none"/>
          </w:rPr>
          <w:t>R1-2311353</w:t>
        </w:r>
      </w:hyperlink>
      <w:r w:rsidR="00F74A6F" w:rsidRPr="009537ED">
        <w:rPr>
          <w:lang w:eastAsia="x-none"/>
        </w:rPr>
        <w:tab/>
        <w:t>Remaining issue on power domain enhancements</w:t>
      </w:r>
      <w:r w:rsidR="00F74A6F" w:rsidRPr="009537ED">
        <w:rPr>
          <w:lang w:eastAsia="x-none"/>
        </w:rPr>
        <w:tab/>
        <w:t>CATT</w:t>
      </w:r>
    </w:p>
    <w:p w14:paraId="31EF3CAF" w14:textId="6B17F344" w:rsidR="00F74A6F" w:rsidRPr="009537ED" w:rsidRDefault="005A18DC" w:rsidP="00F74A6F">
      <w:pPr>
        <w:rPr>
          <w:lang w:eastAsia="x-none"/>
        </w:rPr>
      </w:pPr>
      <w:hyperlink r:id="rId1539" w:history="1">
        <w:r w:rsidR="00AF7253">
          <w:rPr>
            <w:rStyle w:val="Hyperlink"/>
            <w:lang w:eastAsia="x-none"/>
          </w:rPr>
          <w:t>R1-2311411</w:t>
        </w:r>
      </w:hyperlink>
      <w:r w:rsidR="00F74A6F" w:rsidRPr="009537ED">
        <w:rPr>
          <w:lang w:eastAsia="x-none"/>
        </w:rPr>
        <w:tab/>
        <w:t>Maintenance on power domain enhancements</w:t>
      </w:r>
      <w:r w:rsidR="00F74A6F" w:rsidRPr="009537ED">
        <w:rPr>
          <w:lang w:eastAsia="x-none"/>
        </w:rPr>
        <w:tab/>
        <w:t>xiaomi</w:t>
      </w:r>
    </w:p>
    <w:p w14:paraId="41F7CDA8" w14:textId="4612E182" w:rsidR="00F74A6F" w:rsidRPr="009537ED" w:rsidRDefault="005A18DC" w:rsidP="00F74A6F">
      <w:pPr>
        <w:rPr>
          <w:lang w:eastAsia="x-none"/>
        </w:rPr>
      </w:pPr>
      <w:hyperlink r:id="rId1540" w:history="1">
        <w:r w:rsidR="00AF7253">
          <w:rPr>
            <w:rStyle w:val="Hyperlink"/>
            <w:lang w:eastAsia="x-none"/>
          </w:rPr>
          <w:t>R1-2311493</w:t>
        </w:r>
      </w:hyperlink>
      <w:r w:rsidR="00F74A6F" w:rsidRPr="009537ED">
        <w:rPr>
          <w:lang w:eastAsia="x-none"/>
        </w:rPr>
        <w:tab/>
        <w:t>Remaining issues on power domain enhancements</w:t>
      </w:r>
      <w:r w:rsidR="00F74A6F" w:rsidRPr="009537ED">
        <w:rPr>
          <w:lang w:eastAsia="x-none"/>
        </w:rPr>
        <w:tab/>
        <w:t>CMCC</w:t>
      </w:r>
    </w:p>
    <w:p w14:paraId="5A9975D4" w14:textId="72363772" w:rsidR="00F74A6F" w:rsidRPr="009537ED" w:rsidRDefault="005A18DC" w:rsidP="00F74A6F">
      <w:pPr>
        <w:rPr>
          <w:lang w:eastAsia="x-none"/>
        </w:rPr>
      </w:pPr>
      <w:hyperlink r:id="rId1541" w:history="1">
        <w:r w:rsidR="00AF7253">
          <w:rPr>
            <w:rStyle w:val="Hyperlink"/>
            <w:lang w:eastAsia="x-none"/>
          </w:rPr>
          <w:t>R1-2311549</w:t>
        </w:r>
      </w:hyperlink>
      <w:r w:rsidR="00F74A6F" w:rsidRPr="009537ED">
        <w:rPr>
          <w:lang w:eastAsia="x-none"/>
        </w:rPr>
        <w:tab/>
        <w:t>Remaining issues on Power domain enhancements</w:t>
      </w:r>
      <w:r w:rsidR="00F74A6F" w:rsidRPr="009537ED">
        <w:rPr>
          <w:lang w:eastAsia="x-none"/>
        </w:rPr>
        <w:tab/>
        <w:t>China Telecom</w:t>
      </w:r>
    </w:p>
    <w:p w14:paraId="4C4A3103" w14:textId="3507BA38" w:rsidR="00F74A6F" w:rsidRPr="009537ED" w:rsidRDefault="005A18DC" w:rsidP="00F74A6F">
      <w:pPr>
        <w:rPr>
          <w:lang w:eastAsia="x-none"/>
        </w:rPr>
      </w:pPr>
      <w:hyperlink r:id="rId1542" w:history="1">
        <w:r w:rsidR="00AF7253">
          <w:rPr>
            <w:rStyle w:val="Hyperlink"/>
            <w:lang w:eastAsia="x-none"/>
          </w:rPr>
          <w:t>R1-2311724</w:t>
        </w:r>
      </w:hyperlink>
      <w:r w:rsidR="00F74A6F" w:rsidRPr="009537ED">
        <w:rPr>
          <w:lang w:eastAsia="x-none"/>
        </w:rPr>
        <w:tab/>
        <w:t>Remaining issues on dynamic switching between DFT-S-OFDM and CP-OFDM</w:t>
      </w:r>
      <w:r w:rsidR="00F74A6F" w:rsidRPr="009537ED">
        <w:rPr>
          <w:lang w:eastAsia="x-none"/>
        </w:rPr>
        <w:tab/>
        <w:t>Lenono</w:t>
      </w:r>
    </w:p>
    <w:p w14:paraId="5547289D" w14:textId="0CB0AAA7" w:rsidR="00F74A6F" w:rsidRPr="009537ED" w:rsidRDefault="005A18DC" w:rsidP="00F74A6F">
      <w:pPr>
        <w:rPr>
          <w:lang w:eastAsia="x-none"/>
        </w:rPr>
      </w:pPr>
      <w:hyperlink r:id="rId1543" w:history="1">
        <w:r w:rsidR="00AF7253">
          <w:rPr>
            <w:rStyle w:val="Hyperlink"/>
            <w:lang w:eastAsia="x-none"/>
          </w:rPr>
          <w:t>R1-2311855</w:t>
        </w:r>
      </w:hyperlink>
      <w:r w:rsidR="00F74A6F" w:rsidRPr="009537ED">
        <w:rPr>
          <w:lang w:eastAsia="x-none"/>
        </w:rPr>
        <w:tab/>
        <w:t>Power domain enhancements</w:t>
      </w:r>
      <w:r w:rsidR="00F74A6F" w:rsidRPr="009537ED">
        <w:rPr>
          <w:lang w:eastAsia="x-none"/>
        </w:rPr>
        <w:tab/>
        <w:t>Samsung</w:t>
      </w:r>
    </w:p>
    <w:p w14:paraId="25EDF7C9" w14:textId="6D009AE4" w:rsidR="00F74A6F" w:rsidRPr="009537ED" w:rsidRDefault="005A18DC" w:rsidP="00F74A6F">
      <w:pPr>
        <w:rPr>
          <w:lang w:eastAsia="x-none"/>
        </w:rPr>
      </w:pPr>
      <w:hyperlink r:id="rId1544" w:history="1">
        <w:r w:rsidR="00AF7253">
          <w:rPr>
            <w:rStyle w:val="Hyperlink"/>
            <w:lang w:eastAsia="x-none"/>
          </w:rPr>
          <w:t>R1-2311921</w:t>
        </w:r>
      </w:hyperlink>
      <w:r w:rsidR="00F74A6F" w:rsidRPr="009537ED">
        <w:rPr>
          <w:lang w:eastAsia="x-none"/>
        </w:rPr>
        <w:tab/>
        <w:t>Remaining issues on power domain enhancements</w:t>
      </w:r>
      <w:r w:rsidR="00F74A6F" w:rsidRPr="009537ED">
        <w:rPr>
          <w:lang w:eastAsia="x-none"/>
        </w:rPr>
        <w:tab/>
        <w:t>Nokia, Nokia Shanghai Bell</w:t>
      </w:r>
    </w:p>
    <w:p w14:paraId="3547B150" w14:textId="6D4F4DF5" w:rsidR="00F74A6F" w:rsidRPr="009537ED" w:rsidRDefault="005A18DC" w:rsidP="00F74A6F">
      <w:pPr>
        <w:rPr>
          <w:lang w:eastAsia="x-none"/>
        </w:rPr>
      </w:pPr>
      <w:hyperlink r:id="rId1545" w:history="1">
        <w:r w:rsidR="00AF7253">
          <w:rPr>
            <w:rStyle w:val="Hyperlink"/>
            <w:lang w:eastAsia="x-none"/>
          </w:rPr>
          <w:t>R1-2311946</w:t>
        </w:r>
      </w:hyperlink>
      <w:r w:rsidR="00F74A6F" w:rsidRPr="009537ED">
        <w:rPr>
          <w:lang w:eastAsia="x-none"/>
        </w:rPr>
        <w:tab/>
        <w:t>Power Domain Enhancement Maintenance</w:t>
      </w:r>
      <w:r w:rsidR="00F74A6F" w:rsidRPr="009537ED">
        <w:rPr>
          <w:lang w:eastAsia="x-none"/>
        </w:rPr>
        <w:tab/>
        <w:t>Ericsson</w:t>
      </w:r>
    </w:p>
    <w:p w14:paraId="1A6A14FE" w14:textId="757B2FF2" w:rsidR="00F74A6F" w:rsidRDefault="005A18DC" w:rsidP="00F74A6F">
      <w:pPr>
        <w:rPr>
          <w:lang w:eastAsia="x-none"/>
        </w:rPr>
      </w:pPr>
      <w:hyperlink r:id="rId1546" w:history="1">
        <w:r w:rsidR="00AF7253">
          <w:rPr>
            <w:rStyle w:val="Hyperlink"/>
            <w:lang w:eastAsia="x-none"/>
          </w:rPr>
          <w:t>R1-2312046</w:t>
        </w:r>
      </w:hyperlink>
      <w:r w:rsidR="00F74A6F" w:rsidRPr="009537ED">
        <w:rPr>
          <w:lang w:eastAsia="x-none"/>
        </w:rPr>
        <w:tab/>
        <w:t>Power-domain enhancements</w:t>
      </w:r>
      <w:r w:rsidR="00F74A6F" w:rsidRPr="009537ED">
        <w:rPr>
          <w:lang w:eastAsia="x-none"/>
        </w:rPr>
        <w:tab/>
        <w:t>Qualcomm Incorporated</w:t>
      </w:r>
    </w:p>
    <w:p w14:paraId="0BC494D6" w14:textId="77777777" w:rsidR="003F77F3" w:rsidRDefault="003F77F3" w:rsidP="00F74A6F">
      <w:pPr>
        <w:rPr>
          <w:lang w:eastAsia="x-none"/>
        </w:rPr>
      </w:pPr>
    </w:p>
    <w:p w14:paraId="57FF83E5" w14:textId="0220076C" w:rsidR="003F77F3" w:rsidRDefault="005A18DC" w:rsidP="003F77F3">
      <w:pPr>
        <w:rPr>
          <w:lang w:eastAsia="x-none"/>
        </w:rPr>
      </w:pPr>
      <w:hyperlink r:id="rId1547" w:history="1">
        <w:r w:rsidR="00AF7253">
          <w:rPr>
            <w:rStyle w:val="Hyperlink"/>
            <w:lang w:eastAsia="x-none"/>
          </w:rPr>
          <w:t>R1-2312304</w:t>
        </w:r>
      </w:hyperlink>
      <w:r w:rsidR="003F77F3">
        <w:rPr>
          <w:lang w:eastAsia="x-none"/>
        </w:rPr>
        <w:tab/>
        <w:t>FL summary of power domain enhancements (AI 8.8.2)</w:t>
      </w:r>
      <w:r w:rsidR="003F77F3">
        <w:rPr>
          <w:lang w:eastAsia="x-none"/>
        </w:rPr>
        <w:tab/>
        <w:t>Moderator (Nokia)</w:t>
      </w:r>
    </w:p>
    <w:p w14:paraId="0073D5D1" w14:textId="3AFA2720" w:rsidR="003F77F3" w:rsidRPr="003F77F3" w:rsidRDefault="005A18DC" w:rsidP="003F77F3">
      <w:pPr>
        <w:rPr>
          <w:b/>
          <w:lang w:eastAsia="x-none"/>
        </w:rPr>
      </w:pPr>
      <w:hyperlink r:id="rId1548" w:history="1">
        <w:r w:rsidR="00AF7253">
          <w:rPr>
            <w:rStyle w:val="Hyperlink"/>
            <w:b/>
            <w:lang w:eastAsia="x-none"/>
          </w:rPr>
          <w:t>R1-2312305</w:t>
        </w:r>
      </w:hyperlink>
      <w:r w:rsidR="003F77F3" w:rsidRPr="003F77F3">
        <w:rPr>
          <w:b/>
          <w:lang w:eastAsia="x-none"/>
        </w:rPr>
        <w:tab/>
        <w:t>FL summary #2 of power domain enhancements (AI 8.8.2)</w:t>
      </w:r>
      <w:r w:rsidR="003F77F3" w:rsidRPr="003F77F3">
        <w:rPr>
          <w:b/>
          <w:lang w:eastAsia="x-none"/>
        </w:rPr>
        <w:tab/>
        <w:t>Moderator (Nokia)</w:t>
      </w:r>
    </w:p>
    <w:p w14:paraId="76DE5C6F" w14:textId="380EA35C" w:rsidR="003F77F3" w:rsidRDefault="003F77F3" w:rsidP="003F77F3">
      <w:pPr>
        <w:rPr>
          <w:lang w:eastAsia="x-none"/>
        </w:rPr>
      </w:pPr>
      <w:r>
        <w:rPr>
          <w:lang w:eastAsia="x-none"/>
        </w:rPr>
        <w:t>From Friday session</w:t>
      </w:r>
    </w:p>
    <w:p w14:paraId="4B8D004A" w14:textId="77777777" w:rsidR="003F77F3" w:rsidRPr="003F77F3" w:rsidRDefault="003F77F3" w:rsidP="003F77F3">
      <w:pPr>
        <w:rPr>
          <w:bCs/>
          <w:szCs w:val="20"/>
          <w:u w:val="single"/>
        </w:rPr>
      </w:pPr>
      <w:bookmarkStart w:id="712" w:name="_Hlk151067149"/>
      <w:r w:rsidRPr="003F77F3">
        <w:rPr>
          <w:bCs/>
          <w:szCs w:val="20"/>
          <w:u w:val="single"/>
        </w:rPr>
        <w:t>Conclusion</w:t>
      </w:r>
    </w:p>
    <w:p w14:paraId="7B5106E6" w14:textId="77777777" w:rsidR="003F77F3" w:rsidRPr="001F0E5F" w:rsidRDefault="003F77F3" w:rsidP="003F77F3">
      <w:pPr>
        <w:rPr>
          <w:rFonts w:eastAsia="Times New Roman"/>
          <w:szCs w:val="20"/>
          <w:lang w:val="en-US"/>
        </w:rPr>
      </w:pPr>
      <w:r w:rsidRPr="001F0E5F">
        <w:rPr>
          <w:rFonts w:eastAsia="Times New Roman"/>
          <w:szCs w:val="20"/>
          <w:lang w:val="en-US"/>
        </w:rPr>
        <w:t>RAN1 concludes all discussions related to enhancements for increasing UE power high limit for CA and DC in Rel-18. No further discussion on any aspect of this enhancement during any future Rel-18 maintenance phase is planned in RAN1, unless further RAN1 discussion is requested by other working groups.</w:t>
      </w:r>
    </w:p>
    <w:bookmarkEnd w:id="712"/>
    <w:p w14:paraId="6E829499" w14:textId="77777777" w:rsidR="003F77F3" w:rsidRDefault="003F77F3" w:rsidP="003F77F3">
      <w:pPr>
        <w:rPr>
          <w:lang w:eastAsia="x-none"/>
        </w:rPr>
      </w:pPr>
    </w:p>
    <w:p w14:paraId="57C802A1" w14:textId="77777777" w:rsidR="003F77F3" w:rsidRDefault="003F77F3" w:rsidP="003F77F3">
      <w:pPr>
        <w:rPr>
          <w:lang w:eastAsia="x-none"/>
        </w:rPr>
      </w:pPr>
    </w:p>
    <w:p w14:paraId="6D12D9E8" w14:textId="75073206" w:rsidR="003F77F3" w:rsidRPr="009537ED" w:rsidRDefault="005A18DC" w:rsidP="00F74A6F">
      <w:pPr>
        <w:rPr>
          <w:lang w:eastAsia="x-none"/>
        </w:rPr>
      </w:pPr>
      <w:hyperlink r:id="rId1549" w:history="1">
        <w:r w:rsidR="00AF7253">
          <w:rPr>
            <w:rStyle w:val="Hyperlink"/>
            <w:lang w:eastAsia="x-none"/>
          </w:rPr>
          <w:t>R1-2312306</w:t>
        </w:r>
      </w:hyperlink>
      <w:r w:rsidR="003F77F3">
        <w:rPr>
          <w:lang w:eastAsia="x-none"/>
        </w:rPr>
        <w:tab/>
        <w:t>Final FL summary of power domain enhancements (AI 8.8.2)</w:t>
      </w:r>
      <w:r w:rsidR="003F77F3">
        <w:rPr>
          <w:lang w:eastAsia="x-none"/>
        </w:rPr>
        <w:tab/>
        <w:t>Moderator (Nokia)</w:t>
      </w:r>
    </w:p>
    <w:p w14:paraId="72B42053" w14:textId="77777777" w:rsidR="00F74A6F" w:rsidRDefault="00F74A6F" w:rsidP="00911D4F">
      <w:pPr>
        <w:pStyle w:val="Heading3"/>
      </w:pPr>
      <w:bookmarkStart w:id="713" w:name="_Toc150174478"/>
      <w:bookmarkStart w:id="714" w:name="_Toc159251020"/>
      <w:r w:rsidRPr="009537ED">
        <w:t>Dynamic switching between DFT-</w:t>
      </w:r>
      <w:r w:rsidRPr="009537ED">
        <w:rPr>
          <w:lang w:eastAsia="zh-CN"/>
        </w:rPr>
        <w:t>S</w:t>
      </w:r>
      <w:r w:rsidRPr="009537ED">
        <w:t>-OFDM and CP-OFDM</w:t>
      </w:r>
      <w:bookmarkEnd w:id="713"/>
      <w:bookmarkEnd w:id="714"/>
    </w:p>
    <w:p w14:paraId="347D98C8" w14:textId="4B985A38" w:rsidR="008772F6" w:rsidRDefault="008772F6" w:rsidP="008772F6">
      <w:r>
        <w:t>From AI 5</w:t>
      </w:r>
    </w:p>
    <w:p w14:paraId="162E03B4" w14:textId="300A9A55" w:rsidR="008772F6" w:rsidRPr="009537ED" w:rsidRDefault="005A18DC" w:rsidP="008772F6">
      <w:pPr>
        <w:rPr>
          <w:b/>
          <w:bCs/>
          <w:lang w:eastAsia="x-none"/>
        </w:rPr>
      </w:pPr>
      <w:hyperlink r:id="rId1550" w:history="1">
        <w:r w:rsidR="00AF7253">
          <w:rPr>
            <w:rStyle w:val="Hyperlink"/>
            <w:b/>
            <w:bCs/>
            <w:lang w:eastAsia="x-none"/>
          </w:rPr>
          <w:t>R1-2311005</w:t>
        </w:r>
      </w:hyperlink>
      <w:r w:rsidR="008772F6" w:rsidRPr="009537ED">
        <w:rPr>
          <w:b/>
          <w:bCs/>
          <w:lang w:eastAsia="x-none"/>
        </w:rPr>
        <w:tab/>
        <w:t>LS to RAN1 on PHR reporting</w:t>
      </w:r>
      <w:r w:rsidR="008772F6" w:rsidRPr="009537ED">
        <w:rPr>
          <w:b/>
          <w:bCs/>
          <w:lang w:eastAsia="x-none"/>
        </w:rPr>
        <w:tab/>
        <w:t>RAN2, InterDigital</w:t>
      </w:r>
    </w:p>
    <w:p w14:paraId="2DAC786C" w14:textId="298424AF" w:rsidR="008772F6" w:rsidRPr="008772F6" w:rsidRDefault="008772F6" w:rsidP="008772F6">
      <w:pPr>
        <w:rPr>
          <w:lang w:eastAsia="x-none"/>
        </w:rPr>
      </w:pPr>
      <w:r w:rsidRPr="009537ED">
        <w:rPr>
          <w:b/>
          <w:bCs/>
          <w:lang w:eastAsia="x-none"/>
        </w:rPr>
        <w:t xml:space="preserve">Decision: </w:t>
      </w:r>
      <w:r w:rsidRPr="009537ED">
        <w:rPr>
          <w:lang w:eastAsia="x-none"/>
        </w:rPr>
        <w:t xml:space="preserve">To be handled in agenda </w:t>
      </w:r>
      <w:r w:rsidRPr="008772F6">
        <w:rPr>
          <w:lang w:eastAsia="x-none"/>
        </w:rPr>
        <w:t>item 8.8</w:t>
      </w:r>
      <w:r>
        <w:rPr>
          <w:lang w:eastAsia="x-none"/>
        </w:rPr>
        <w:t>.3</w:t>
      </w:r>
      <w:r w:rsidRPr="008772F6">
        <w:rPr>
          <w:lang w:eastAsia="x-none"/>
        </w:rPr>
        <w:t>. To be moderated by Paul (InterDigital).</w:t>
      </w:r>
    </w:p>
    <w:p w14:paraId="6759FDCA" w14:textId="77777777" w:rsidR="008772F6" w:rsidRPr="008772F6" w:rsidRDefault="008772F6" w:rsidP="008772F6">
      <w:pPr>
        <w:rPr>
          <w:rFonts w:ascii="Times New Roman" w:hAnsi="Times New Roman"/>
          <w:szCs w:val="20"/>
        </w:rPr>
      </w:pPr>
      <w:r w:rsidRPr="008772F6">
        <w:rPr>
          <w:rFonts w:ascii="Times New Roman" w:hAnsi="Times New Roman"/>
          <w:szCs w:val="20"/>
          <w:highlight w:val="green"/>
        </w:rPr>
        <w:t>Agreement</w:t>
      </w:r>
    </w:p>
    <w:p w14:paraId="026A0D05" w14:textId="08C1B4AC" w:rsidR="008772F6" w:rsidRDefault="008772F6" w:rsidP="008772F6">
      <w:pPr>
        <w:rPr>
          <w:rFonts w:ascii="Times New Roman" w:hAnsi="Times New Roman"/>
          <w:szCs w:val="20"/>
          <w:lang w:eastAsia="ko-KR"/>
        </w:rPr>
      </w:pPr>
      <w:r>
        <w:rPr>
          <w:rFonts w:ascii="Times New Roman" w:hAnsi="Times New Roman"/>
          <w:szCs w:val="20"/>
        </w:rPr>
        <w:t xml:space="preserve">Send Reply LS to RAN2 LS in </w:t>
      </w:r>
      <w:hyperlink r:id="rId1551" w:history="1">
        <w:r w:rsidR="00AF7253">
          <w:rPr>
            <w:rStyle w:val="Hyperlink"/>
            <w:rFonts w:ascii="Times New Roman" w:hAnsi="Times New Roman"/>
            <w:szCs w:val="20"/>
          </w:rPr>
          <w:t>R1-2311005</w:t>
        </w:r>
      </w:hyperlink>
      <w:r>
        <w:rPr>
          <w:rFonts w:ascii="Times New Roman" w:hAnsi="Times New Roman"/>
          <w:szCs w:val="20"/>
          <w:lang w:eastAsia="ko-KR"/>
        </w:rPr>
        <w:t xml:space="preserve"> stating:</w:t>
      </w:r>
    </w:p>
    <w:p w14:paraId="54488FA2" w14:textId="77777777" w:rsidR="008772F6" w:rsidRPr="008772F6" w:rsidRDefault="008772F6" w:rsidP="008772F6">
      <w:pPr>
        <w:ind w:left="720"/>
        <w:rPr>
          <w:rFonts w:ascii="Times New Roman" w:hAnsi="Times New Roman"/>
          <w:i/>
          <w:iCs/>
          <w:sz w:val="18"/>
          <w:szCs w:val="18"/>
          <w:lang w:eastAsia="ko-KR"/>
        </w:rPr>
      </w:pPr>
      <w:r w:rsidRPr="008772F6">
        <w:rPr>
          <w:rFonts w:ascii="Times New Roman" w:hAnsi="Times New Roman"/>
          <w:i/>
          <w:iCs/>
          <w:sz w:val="18"/>
          <w:szCs w:val="18"/>
          <w:lang w:eastAsia="ko-KR"/>
        </w:rPr>
        <w:t xml:space="preserve">RAN1 would like to thank RAN2 for the LS on PHR reporting. </w:t>
      </w:r>
    </w:p>
    <w:p w14:paraId="7EBB10B1" w14:textId="77777777" w:rsidR="008772F6" w:rsidRPr="008772F6" w:rsidRDefault="008772F6" w:rsidP="008772F6">
      <w:pPr>
        <w:ind w:left="720"/>
        <w:rPr>
          <w:rFonts w:ascii="Times New Roman" w:hAnsi="Times New Roman"/>
          <w:i/>
          <w:iCs/>
          <w:sz w:val="18"/>
          <w:szCs w:val="18"/>
          <w:lang w:eastAsia="ko-KR"/>
        </w:rPr>
      </w:pPr>
    </w:p>
    <w:p w14:paraId="697C4425" w14:textId="77777777" w:rsidR="008772F6" w:rsidRPr="008772F6" w:rsidRDefault="008772F6" w:rsidP="008772F6">
      <w:pPr>
        <w:ind w:left="720"/>
        <w:rPr>
          <w:rFonts w:ascii="Times New Roman" w:hAnsi="Times New Roman"/>
          <w:i/>
          <w:iCs/>
          <w:sz w:val="18"/>
          <w:szCs w:val="18"/>
          <w:lang w:eastAsia="ko-KR"/>
        </w:rPr>
      </w:pPr>
      <w:r w:rsidRPr="008772F6">
        <w:rPr>
          <w:rFonts w:ascii="Times New Roman" w:hAnsi="Times New Roman"/>
          <w:i/>
          <w:iCs/>
          <w:sz w:val="18"/>
          <w:szCs w:val="18"/>
          <w:lang w:eastAsia="ko-KR"/>
        </w:rPr>
        <w:t>RAN2 asked if a UE reporting PCMAX for actual and assumed PUSCH to support the DC/CA scenario has any impact to RAN1’s design in addition to that of the single carrier case. RAN1 would like to inform RAN2 that UE reporting PCMAX for actual and assumed PUSCH to support the DC/CA scenario has no additional impact to RAN1 design compared to the single carrier scenario.</w:t>
      </w:r>
    </w:p>
    <w:p w14:paraId="5F4F245E" w14:textId="77777777" w:rsidR="008772F6" w:rsidRPr="008772F6" w:rsidRDefault="008772F6" w:rsidP="008772F6">
      <w:pPr>
        <w:ind w:left="720"/>
        <w:rPr>
          <w:rFonts w:ascii="Times New Roman" w:hAnsi="Times New Roman"/>
          <w:i/>
          <w:iCs/>
          <w:sz w:val="18"/>
          <w:szCs w:val="18"/>
          <w:lang w:eastAsia="ko-KR"/>
        </w:rPr>
      </w:pPr>
    </w:p>
    <w:p w14:paraId="7A331DAF" w14:textId="77777777" w:rsidR="008772F6" w:rsidRPr="008772F6" w:rsidRDefault="008772F6" w:rsidP="008772F6">
      <w:pPr>
        <w:ind w:left="720"/>
        <w:rPr>
          <w:rFonts w:ascii="Times New Roman" w:hAnsi="Times New Roman"/>
          <w:i/>
          <w:iCs/>
          <w:sz w:val="18"/>
          <w:szCs w:val="18"/>
          <w:lang w:eastAsia="ko-KR"/>
        </w:rPr>
      </w:pPr>
      <w:r w:rsidRPr="008772F6">
        <w:rPr>
          <w:rFonts w:ascii="Times New Roman" w:hAnsi="Times New Roman"/>
          <w:i/>
          <w:iCs/>
          <w:sz w:val="18"/>
          <w:szCs w:val="18"/>
          <w:lang w:eastAsia="ko-KR"/>
        </w:rPr>
        <w:t>Action: RAN1 respectfully asks RAN2 to take the above information into consideration for their work</w:t>
      </w:r>
    </w:p>
    <w:p w14:paraId="1CEF5818" w14:textId="77777777" w:rsidR="008772F6" w:rsidRPr="00122828" w:rsidRDefault="008772F6" w:rsidP="008772F6">
      <w:r w:rsidRPr="00F53716">
        <w:t>Comeback for draft LS</w:t>
      </w:r>
    </w:p>
    <w:p w14:paraId="25134CF7" w14:textId="57624B5D" w:rsidR="008772F6" w:rsidRDefault="005A18DC" w:rsidP="008772F6">
      <w:pPr>
        <w:rPr>
          <w:b/>
          <w:bCs/>
          <w:lang w:eastAsia="x-none"/>
        </w:rPr>
      </w:pPr>
      <w:hyperlink r:id="rId1552" w:history="1">
        <w:r w:rsidR="00AF7253">
          <w:rPr>
            <w:rStyle w:val="Hyperlink"/>
            <w:b/>
            <w:bCs/>
            <w:lang w:eastAsia="x-none"/>
          </w:rPr>
          <w:t>R1-2312338</w:t>
        </w:r>
      </w:hyperlink>
      <w:r w:rsidR="008772F6" w:rsidRPr="00F53716">
        <w:rPr>
          <w:b/>
          <w:bCs/>
          <w:lang w:eastAsia="x-none"/>
        </w:rPr>
        <w:tab/>
        <w:t>Draft reply LS on PHR reporting</w:t>
      </w:r>
      <w:r w:rsidR="008772F6" w:rsidRPr="00F53716">
        <w:rPr>
          <w:b/>
          <w:bCs/>
          <w:lang w:eastAsia="x-none"/>
        </w:rPr>
        <w:tab/>
        <w:t>Moderator (InterDigital, Inc.)</w:t>
      </w:r>
    </w:p>
    <w:p w14:paraId="4E6431CB" w14:textId="7DB6A015" w:rsidR="00F53716" w:rsidRPr="007909E3" w:rsidRDefault="00F53716" w:rsidP="00F53716">
      <w:r>
        <w:rPr>
          <w:b/>
          <w:bCs/>
          <w:lang w:eastAsia="x-none"/>
        </w:rPr>
        <w:t xml:space="preserve">Wednesday decision: </w:t>
      </w:r>
      <w:r w:rsidRPr="007909E3">
        <w:t xml:space="preserve">The </w:t>
      </w:r>
      <w:r>
        <w:t>d</w:t>
      </w:r>
      <w:r w:rsidRPr="007909E3">
        <w:t xml:space="preserve">raft LS in </w:t>
      </w:r>
      <w:hyperlink r:id="rId1553" w:history="1">
        <w:r w:rsidR="00AF7253">
          <w:rPr>
            <w:rStyle w:val="Hyperlink"/>
          </w:rPr>
          <w:t>R1-2312338</w:t>
        </w:r>
      </w:hyperlink>
      <w:r w:rsidRPr="007909E3">
        <w:t xml:space="preserve"> is endorsed. Final LS is </w:t>
      </w:r>
      <w:r w:rsidRPr="00F53716">
        <w:rPr>
          <w:highlight w:val="green"/>
        </w:rPr>
        <w:t xml:space="preserve">approved in </w:t>
      </w:r>
      <w:hyperlink r:id="rId1554" w:history="1">
        <w:r w:rsidR="00AF7253">
          <w:rPr>
            <w:rStyle w:val="Hyperlink"/>
            <w:highlight w:val="green"/>
          </w:rPr>
          <w:t>R1-2312339</w:t>
        </w:r>
      </w:hyperlink>
      <w:r w:rsidRPr="007909E3">
        <w:t>.</w:t>
      </w:r>
    </w:p>
    <w:p w14:paraId="23CC24A9" w14:textId="74D70818" w:rsidR="00F53716" w:rsidRPr="00F53716" w:rsidRDefault="00F53716" w:rsidP="008772F6">
      <w:pPr>
        <w:rPr>
          <w:lang w:eastAsia="x-none"/>
        </w:rPr>
      </w:pPr>
    </w:p>
    <w:p w14:paraId="2BEB4874" w14:textId="77777777" w:rsidR="008772F6" w:rsidRPr="008772F6" w:rsidRDefault="008772F6" w:rsidP="008772F6"/>
    <w:p w14:paraId="0348F802" w14:textId="2ED13352" w:rsidR="00F74A6F" w:rsidRPr="009537ED" w:rsidRDefault="005A18DC" w:rsidP="00F74A6F">
      <w:pPr>
        <w:rPr>
          <w:lang w:eastAsia="x-none"/>
        </w:rPr>
      </w:pPr>
      <w:hyperlink r:id="rId1555" w:history="1">
        <w:r w:rsidR="00AF7253">
          <w:rPr>
            <w:rStyle w:val="Hyperlink"/>
            <w:lang w:eastAsia="x-none"/>
          </w:rPr>
          <w:t>R1-2310884</w:t>
        </w:r>
      </w:hyperlink>
      <w:r w:rsidR="00F74A6F" w:rsidRPr="009537ED">
        <w:rPr>
          <w:lang w:eastAsia="x-none"/>
        </w:rPr>
        <w:tab/>
        <w:t>Maintenance of dynamic waveform switching for coverage enhancement</w:t>
      </w:r>
      <w:r w:rsidR="00F74A6F" w:rsidRPr="009537ED">
        <w:rPr>
          <w:lang w:eastAsia="x-none"/>
        </w:rPr>
        <w:tab/>
        <w:t>Huawei, HiSilicon</w:t>
      </w:r>
    </w:p>
    <w:p w14:paraId="215F0EEA" w14:textId="1B9CB4D8" w:rsidR="00F74A6F" w:rsidRPr="009537ED" w:rsidRDefault="005A18DC" w:rsidP="00F74A6F">
      <w:pPr>
        <w:rPr>
          <w:lang w:eastAsia="x-none"/>
        </w:rPr>
      </w:pPr>
      <w:hyperlink r:id="rId1556" w:history="1">
        <w:r w:rsidR="00AF7253">
          <w:rPr>
            <w:rStyle w:val="Hyperlink"/>
            <w:lang w:eastAsia="x-none"/>
          </w:rPr>
          <w:t>R1-2311021</w:t>
        </w:r>
      </w:hyperlink>
      <w:r w:rsidR="00F74A6F" w:rsidRPr="009537ED">
        <w:rPr>
          <w:lang w:eastAsia="x-none"/>
        </w:rPr>
        <w:tab/>
        <w:t>Maintenance of dynamic waveform switching</w:t>
      </w:r>
      <w:r w:rsidR="00F74A6F" w:rsidRPr="009537ED">
        <w:rPr>
          <w:lang w:eastAsia="x-none"/>
        </w:rPr>
        <w:tab/>
        <w:t>ZTE</w:t>
      </w:r>
    </w:p>
    <w:p w14:paraId="56CBE49A" w14:textId="455B9B0A" w:rsidR="00F74A6F" w:rsidRPr="009537ED" w:rsidRDefault="005A18DC" w:rsidP="00F74A6F">
      <w:pPr>
        <w:rPr>
          <w:lang w:eastAsia="x-none"/>
        </w:rPr>
      </w:pPr>
      <w:hyperlink r:id="rId1557" w:history="1">
        <w:r w:rsidR="00AF7253">
          <w:rPr>
            <w:rStyle w:val="Hyperlink"/>
            <w:lang w:eastAsia="x-none"/>
          </w:rPr>
          <w:t>R1-2311109</w:t>
        </w:r>
      </w:hyperlink>
      <w:r w:rsidR="00F74A6F" w:rsidRPr="009537ED">
        <w:rPr>
          <w:lang w:eastAsia="x-none"/>
        </w:rPr>
        <w:tab/>
        <w:t>Discussions on remaining issues of dynamic waveform switching</w:t>
      </w:r>
      <w:r w:rsidR="00F74A6F" w:rsidRPr="009537ED">
        <w:rPr>
          <w:lang w:eastAsia="x-none"/>
        </w:rPr>
        <w:tab/>
        <w:t>vivo</w:t>
      </w:r>
    </w:p>
    <w:p w14:paraId="670DBE43" w14:textId="2F5E673C" w:rsidR="00F74A6F" w:rsidRPr="009537ED" w:rsidRDefault="005A18DC" w:rsidP="00F74A6F">
      <w:pPr>
        <w:rPr>
          <w:lang w:eastAsia="x-none"/>
        </w:rPr>
      </w:pPr>
      <w:hyperlink r:id="rId1558" w:history="1">
        <w:r w:rsidR="00AF7253">
          <w:rPr>
            <w:rStyle w:val="Hyperlink"/>
            <w:lang w:eastAsia="x-none"/>
          </w:rPr>
          <w:t>R1-2311135</w:t>
        </w:r>
      </w:hyperlink>
      <w:r w:rsidR="00F74A6F" w:rsidRPr="009537ED">
        <w:rPr>
          <w:lang w:eastAsia="x-none"/>
        </w:rPr>
        <w:tab/>
        <w:t>Remaining issues on dynamic waveform switching</w:t>
      </w:r>
      <w:r w:rsidR="00F74A6F" w:rsidRPr="009537ED">
        <w:rPr>
          <w:lang w:eastAsia="x-none"/>
        </w:rPr>
        <w:tab/>
        <w:t>Intel Corporation</w:t>
      </w:r>
    </w:p>
    <w:p w14:paraId="1548F3C6" w14:textId="004D5B4B" w:rsidR="00F74A6F" w:rsidRPr="009537ED" w:rsidRDefault="005A18DC" w:rsidP="00F74A6F">
      <w:pPr>
        <w:rPr>
          <w:lang w:eastAsia="x-none"/>
        </w:rPr>
      </w:pPr>
      <w:hyperlink r:id="rId1559" w:history="1">
        <w:r w:rsidR="00AF7253">
          <w:rPr>
            <w:rStyle w:val="Hyperlink"/>
            <w:lang w:eastAsia="x-none"/>
          </w:rPr>
          <w:t>R1-2311265</w:t>
        </w:r>
      </w:hyperlink>
      <w:r w:rsidR="00F74A6F" w:rsidRPr="009537ED">
        <w:rPr>
          <w:lang w:eastAsia="x-none"/>
        </w:rPr>
        <w:tab/>
        <w:t>Issues on dynamic switching between DFT-S-OFDM and CP-OFDM</w:t>
      </w:r>
      <w:r w:rsidR="00F74A6F" w:rsidRPr="009537ED">
        <w:rPr>
          <w:lang w:eastAsia="x-none"/>
        </w:rPr>
        <w:tab/>
        <w:t>OPPO</w:t>
      </w:r>
    </w:p>
    <w:p w14:paraId="2ABCA7D5" w14:textId="150B4056" w:rsidR="00F74A6F" w:rsidRPr="009537ED" w:rsidRDefault="005A18DC" w:rsidP="00F74A6F">
      <w:pPr>
        <w:rPr>
          <w:lang w:eastAsia="x-none"/>
        </w:rPr>
      </w:pPr>
      <w:hyperlink r:id="rId1560" w:history="1">
        <w:r w:rsidR="00AF7253">
          <w:rPr>
            <w:rStyle w:val="Hyperlink"/>
            <w:lang w:eastAsia="x-none"/>
          </w:rPr>
          <w:t>R1-2311354</w:t>
        </w:r>
      </w:hyperlink>
      <w:r w:rsidR="00F74A6F" w:rsidRPr="009537ED">
        <w:rPr>
          <w:lang w:eastAsia="x-none"/>
        </w:rPr>
        <w:tab/>
        <w:t>Remaining issue on dynamic waveform switching</w:t>
      </w:r>
      <w:r w:rsidR="00F74A6F" w:rsidRPr="009537ED">
        <w:rPr>
          <w:lang w:eastAsia="x-none"/>
        </w:rPr>
        <w:tab/>
        <w:t>CATT</w:t>
      </w:r>
    </w:p>
    <w:p w14:paraId="227F52FF" w14:textId="19855DAB" w:rsidR="00F74A6F" w:rsidRPr="009537ED" w:rsidRDefault="005A18DC" w:rsidP="00F74A6F">
      <w:pPr>
        <w:rPr>
          <w:lang w:eastAsia="x-none"/>
        </w:rPr>
      </w:pPr>
      <w:hyperlink r:id="rId1561" w:history="1">
        <w:r w:rsidR="00AF7253">
          <w:rPr>
            <w:rStyle w:val="Hyperlink"/>
            <w:lang w:eastAsia="x-none"/>
          </w:rPr>
          <w:t>R1-2311412</w:t>
        </w:r>
      </w:hyperlink>
      <w:r w:rsidR="00F74A6F" w:rsidRPr="009537ED">
        <w:rPr>
          <w:lang w:eastAsia="x-none"/>
        </w:rPr>
        <w:tab/>
        <w:t>Maintenance on dynamic switching between DFT-s-OFDM and CP-OFDM</w:t>
      </w:r>
      <w:r w:rsidR="00F74A6F" w:rsidRPr="009537ED">
        <w:rPr>
          <w:lang w:eastAsia="x-none"/>
        </w:rPr>
        <w:tab/>
        <w:t>xiaomi</w:t>
      </w:r>
    </w:p>
    <w:p w14:paraId="099FD875" w14:textId="057B2E48" w:rsidR="00F74A6F" w:rsidRPr="009537ED" w:rsidRDefault="005A18DC" w:rsidP="00F74A6F">
      <w:pPr>
        <w:rPr>
          <w:lang w:eastAsia="x-none"/>
        </w:rPr>
      </w:pPr>
      <w:hyperlink r:id="rId1562" w:history="1">
        <w:r w:rsidR="00AF7253">
          <w:rPr>
            <w:rStyle w:val="Hyperlink"/>
            <w:lang w:eastAsia="x-none"/>
          </w:rPr>
          <w:t>R1-2311427</w:t>
        </w:r>
      </w:hyperlink>
      <w:r w:rsidR="00F74A6F" w:rsidRPr="009537ED">
        <w:rPr>
          <w:lang w:eastAsia="x-none"/>
        </w:rPr>
        <w:tab/>
        <w:t>Maintenance on dynamic switching between DFT-S-OFDM and CP-OFDM</w:t>
      </w:r>
      <w:r w:rsidR="00F74A6F" w:rsidRPr="009537ED">
        <w:rPr>
          <w:lang w:eastAsia="x-none"/>
        </w:rPr>
        <w:tab/>
        <w:t>NEC</w:t>
      </w:r>
    </w:p>
    <w:p w14:paraId="543FAF7C" w14:textId="6C56EFCB" w:rsidR="00F74A6F" w:rsidRPr="009537ED" w:rsidRDefault="005A18DC" w:rsidP="00F74A6F">
      <w:pPr>
        <w:rPr>
          <w:lang w:eastAsia="x-none"/>
        </w:rPr>
      </w:pPr>
      <w:hyperlink r:id="rId1563" w:history="1">
        <w:r w:rsidR="00AF7253">
          <w:rPr>
            <w:rStyle w:val="Hyperlink"/>
            <w:lang w:eastAsia="x-none"/>
          </w:rPr>
          <w:t>R1-2311445</w:t>
        </w:r>
      </w:hyperlink>
      <w:r w:rsidR="00F74A6F" w:rsidRPr="009537ED">
        <w:rPr>
          <w:lang w:eastAsia="x-none"/>
        </w:rPr>
        <w:tab/>
        <w:t>Discussion on the remaining issues for dynamic waveform switching</w:t>
      </w:r>
      <w:r w:rsidR="00F74A6F" w:rsidRPr="009537ED">
        <w:rPr>
          <w:lang w:eastAsia="x-none"/>
        </w:rPr>
        <w:tab/>
        <w:t>Panasonic</w:t>
      </w:r>
    </w:p>
    <w:p w14:paraId="2A3BFD9E" w14:textId="2A281849" w:rsidR="00F74A6F" w:rsidRPr="009537ED" w:rsidRDefault="005A18DC" w:rsidP="00F74A6F">
      <w:pPr>
        <w:rPr>
          <w:lang w:eastAsia="x-none"/>
        </w:rPr>
      </w:pPr>
      <w:hyperlink r:id="rId1564" w:history="1">
        <w:r w:rsidR="00AF7253">
          <w:rPr>
            <w:rStyle w:val="Hyperlink"/>
            <w:lang w:eastAsia="x-none"/>
          </w:rPr>
          <w:t>R1-2311494</w:t>
        </w:r>
      </w:hyperlink>
      <w:r w:rsidR="00F74A6F" w:rsidRPr="009537ED">
        <w:rPr>
          <w:lang w:eastAsia="x-none"/>
        </w:rPr>
        <w:tab/>
        <w:t>Remaining issues on dynamic switching between DFT-S-OFDM and CP-OFDM</w:t>
      </w:r>
      <w:r w:rsidR="00F74A6F" w:rsidRPr="009537ED">
        <w:rPr>
          <w:lang w:eastAsia="x-none"/>
        </w:rPr>
        <w:tab/>
        <w:t>CMCC</w:t>
      </w:r>
    </w:p>
    <w:p w14:paraId="5A7D5A82" w14:textId="19AFECA0" w:rsidR="00F74A6F" w:rsidRPr="009537ED" w:rsidRDefault="005A18DC" w:rsidP="00F74A6F">
      <w:pPr>
        <w:rPr>
          <w:lang w:eastAsia="x-none"/>
        </w:rPr>
      </w:pPr>
      <w:hyperlink r:id="rId1565" w:history="1">
        <w:r w:rsidR="00AF7253">
          <w:rPr>
            <w:rStyle w:val="Hyperlink"/>
            <w:lang w:eastAsia="x-none"/>
          </w:rPr>
          <w:t>R1-2311532</w:t>
        </w:r>
      </w:hyperlink>
      <w:r w:rsidR="00F74A6F" w:rsidRPr="009537ED">
        <w:rPr>
          <w:lang w:eastAsia="x-none"/>
        </w:rPr>
        <w:tab/>
        <w:t>Dynamic switching between DFT-S-OFDM and CP-OFDM</w:t>
      </w:r>
      <w:r w:rsidR="00F74A6F" w:rsidRPr="009537ED">
        <w:rPr>
          <w:lang w:eastAsia="x-none"/>
        </w:rPr>
        <w:tab/>
        <w:t>InterDigital, Inc.</w:t>
      </w:r>
    </w:p>
    <w:p w14:paraId="16060B57" w14:textId="29C6C860" w:rsidR="00F74A6F" w:rsidRPr="009537ED" w:rsidRDefault="005A18DC" w:rsidP="00F74A6F">
      <w:pPr>
        <w:rPr>
          <w:lang w:eastAsia="x-none"/>
        </w:rPr>
      </w:pPr>
      <w:hyperlink r:id="rId1566" w:history="1">
        <w:r w:rsidR="00AF7253">
          <w:rPr>
            <w:rStyle w:val="Hyperlink"/>
            <w:lang w:eastAsia="x-none"/>
          </w:rPr>
          <w:t>R1-2311550</w:t>
        </w:r>
      </w:hyperlink>
      <w:r w:rsidR="00F74A6F" w:rsidRPr="009537ED">
        <w:rPr>
          <w:lang w:eastAsia="x-none"/>
        </w:rPr>
        <w:tab/>
        <w:t>Remaining issues on DWS between CP-OFDM and DFT-s-OFDM</w:t>
      </w:r>
      <w:r w:rsidR="00F74A6F" w:rsidRPr="009537ED">
        <w:rPr>
          <w:lang w:eastAsia="x-none"/>
        </w:rPr>
        <w:tab/>
        <w:t>China Telecom</w:t>
      </w:r>
    </w:p>
    <w:p w14:paraId="00EDC17B" w14:textId="080F9CCE" w:rsidR="00F74A6F" w:rsidRPr="009537ED" w:rsidRDefault="005A18DC" w:rsidP="00F74A6F">
      <w:pPr>
        <w:rPr>
          <w:lang w:eastAsia="x-none"/>
        </w:rPr>
      </w:pPr>
      <w:hyperlink r:id="rId1567" w:history="1">
        <w:r w:rsidR="00AF7253">
          <w:rPr>
            <w:rStyle w:val="Hyperlink"/>
            <w:lang w:eastAsia="x-none"/>
          </w:rPr>
          <w:t>R1-2311632</w:t>
        </w:r>
      </w:hyperlink>
      <w:r w:rsidR="00F74A6F" w:rsidRPr="009537ED">
        <w:rPr>
          <w:lang w:eastAsia="x-none"/>
        </w:rPr>
        <w:tab/>
        <w:t>Remaining issues on dynamic switching between DFT-S-OFDM and CP-OFDM</w:t>
      </w:r>
      <w:r w:rsidR="00F74A6F" w:rsidRPr="009537ED">
        <w:rPr>
          <w:lang w:eastAsia="x-none"/>
        </w:rPr>
        <w:tab/>
        <w:t>NTT DOCOMO, INC.</w:t>
      </w:r>
    </w:p>
    <w:p w14:paraId="3C2439FD" w14:textId="79AFA413" w:rsidR="00F74A6F" w:rsidRPr="009537ED" w:rsidRDefault="005A18DC" w:rsidP="00F74A6F">
      <w:pPr>
        <w:rPr>
          <w:lang w:eastAsia="x-none"/>
        </w:rPr>
      </w:pPr>
      <w:hyperlink r:id="rId1568" w:history="1">
        <w:r w:rsidR="00AF7253">
          <w:rPr>
            <w:rStyle w:val="Hyperlink"/>
            <w:lang w:eastAsia="x-none"/>
          </w:rPr>
          <w:t>R1-2311695</w:t>
        </w:r>
      </w:hyperlink>
      <w:r w:rsidR="00F74A6F" w:rsidRPr="009537ED">
        <w:rPr>
          <w:lang w:eastAsia="x-none"/>
        </w:rPr>
        <w:tab/>
        <w:t>Remaining issues on dynamic switching between DFT-S-OFDM and CP-OFDM</w:t>
      </w:r>
      <w:r w:rsidR="00F74A6F" w:rsidRPr="009537ED">
        <w:rPr>
          <w:lang w:eastAsia="x-none"/>
        </w:rPr>
        <w:tab/>
        <w:t>Apple</w:t>
      </w:r>
    </w:p>
    <w:p w14:paraId="54D1827D" w14:textId="25B87C1B" w:rsidR="00F74A6F" w:rsidRPr="009537ED" w:rsidRDefault="005A18DC" w:rsidP="00F74A6F">
      <w:pPr>
        <w:rPr>
          <w:lang w:eastAsia="x-none"/>
        </w:rPr>
      </w:pPr>
      <w:hyperlink r:id="rId1569" w:history="1">
        <w:r w:rsidR="00AF7253">
          <w:rPr>
            <w:rStyle w:val="Hyperlink"/>
            <w:lang w:eastAsia="x-none"/>
          </w:rPr>
          <w:t>R1-2311756</w:t>
        </w:r>
      </w:hyperlink>
      <w:r w:rsidR="00F74A6F" w:rsidRPr="009537ED">
        <w:rPr>
          <w:lang w:eastAsia="x-none"/>
        </w:rPr>
        <w:tab/>
        <w:t>Dynamic switching between DFT-S-OFDM and CP-OFDM</w:t>
      </w:r>
      <w:r w:rsidR="00F74A6F" w:rsidRPr="009537ED">
        <w:rPr>
          <w:lang w:eastAsia="x-none"/>
        </w:rPr>
        <w:tab/>
        <w:t>ETRI</w:t>
      </w:r>
    </w:p>
    <w:p w14:paraId="0487EA14" w14:textId="32A33E7D" w:rsidR="00F74A6F" w:rsidRPr="009537ED" w:rsidRDefault="005A18DC" w:rsidP="00F74A6F">
      <w:pPr>
        <w:rPr>
          <w:lang w:eastAsia="x-none"/>
        </w:rPr>
      </w:pPr>
      <w:hyperlink r:id="rId1570" w:history="1">
        <w:r w:rsidR="00AF7253">
          <w:rPr>
            <w:rStyle w:val="Hyperlink"/>
            <w:lang w:eastAsia="x-none"/>
          </w:rPr>
          <w:t>R1-2311771</w:t>
        </w:r>
      </w:hyperlink>
      <w:r w:rsidR="00F74A6F" w:rsidRPr="009537ED">
        <w:rPr>
          <w:lang w:eastAsia="x-none"/>
        </w:rPr>
        <w:tab/>
        <w:t>Remaining issues on dynamic waveform switching for Rel-18 CovEnh</w:t>
      </w:r>
      <w:r w:rsidR="00F74A6F" w:rsidRPr="009537ED">
        <w:rPr>
          <w:lang w:eastAsia="x-none"/>
        </w:rPr>
        <w:tab/>
        <w:t>Sharp</w:t>
      </w:r>
    </w:p>
    <w:p w14:paraId="6D2BAD9F" w14:textId="4126B251" w:rsidR="00F74A6F" w:rsidRPr="009537ED" w:rsidRDefault="005A18DC" w:rsidP="00F74A6F">
      <w:pPr>
        <w:rPr>
          <w:lang w:eastAsia="x-none"/>
        </w:rPr>
      </w:pPr>
      <w:hyperlink r:id="rId1571" w:history="1">
        <w:r w:rsidR="00AF7253">
          <w:rPr>
            <w:rStyle w:val="Hyperlink"/>
            <w:lang w:eastAsia="x-none"/>
          </w:rPr>
          <w:t>R1-2311856</w:t>
        </w:r>
      </w:hyperlink>
      <w:r w:rsidR="00F74A6F" w:rsidRPr="009537ED">
        <w:rPr>
          <w:lang w:eastAsia="x-none"/>
        </w:rPr>
        <w:tab/>
        <w:t>Dynamic switching between DFT-S-OFDM and CP-OFDM</w:t>
      </w:r>
      <w:r w:rsidR="00F74A6F" w:rsidRPr="009537ED">
        <w:rPr>
          <w:lang w:eastAsia="x-none"/>
        </w:rPr>
        <w:tab/>
        <w:t>Samsung</w:t>
      </w:r>
    </w:p>
    <w:p w14:paraId="3FB09AFB" w14:textId="464E22B1" w:rsidR="00F74A6F" w:rsidRPr="009537ED" w:rsidRDefault="005A18DC" w:rsidP="00F74A6F">
      <w:pPr>
        <w:rPr>
          <w:lang w:eastAsia="x-none"/>
        </w:rPr>
      </w:pPr>
      <w:hyperlink r:id="rId1572" w:history="1">
        <w:r w:rsidR="00AF7253">
          <w:rPr>
            <w:rStyle w:val="Hyperlink"/>
            <w:lang w:eastAsia="x-none"/>
          </w:rPr>
          <w:t>R1-2311916</w:t>
        </w:r>
      </w:hyperlink>
      <w:r w:rsidR="00F74A6F" w:rsidRPr="009537ED">
        <w:rPr>
          <w:lang w:eastAsia="x-none"/>
        </w:rPr>
        <w:tab/>
        <w:t>Remaining issues on dynamic waveform switching for NR coverage enhancement</w:t>
      </w:r>
      <w:r w:rsidR="00F74A6F" w:rsidRPr="009537ED">
        <w:rPr>
          <w:lang w:eastAsia="x-none"/>
        </w:rPr>
        <w:tab/>
        <w:t>LG Electronics</w:t>
      </w:r>
    </w:p>
    <w:p w14:paraId="75367083" w14:textId="0C17BD2D" w:rsidR="00F74A6F" w:rsidRPr="009537ED" w:rsidRDefault="005A18DC" w:rsidP="00F74A6F">
      <w:pPr>
        <w:rPr>
          <w:lang w:eastAsia="x-none"/>
        </w:rPr>
      </w:pPr>
      <w:hyperlink r:id="rId1573" w:history="1">
        <w:r w:rsidR="00AF7253">
          <w:rPr>
            <w:rStyle w:val="Hyperlink"/>
            <w:lang w:eastAsia="x-none"/>
          </w:rPr>
          <w:t>R1-2311922</w:t>
        </w:r>
      </w:hyperlink>
      <w:r w:rsidR="00F74A6F" w:rsidRPr="009537ED">
        <w:rPr>
          <w:lang w:eastAsia="x-none"/>
        </w:rPr>
        <w:tab/>
        <w:t>Remaining issues on dynamic switching between DFT-s-OFDM and CP-OFDM</w:t>
      </w:r>
      <w:r w:rsidR="00F74A6F" w:rsidRPr="009537ED">
        <w:rPr>
          <w:lang w:eastAsia="x-none"/>
        </w:rPr>
        <w:tab/>
        <w:t>Nokia, Nokia Shanghai Bell</w:t>
      </w:r>
    </w:p>
    <w:p w14:paraId="44874FEB" w14:textId="14583BE3" w:rsidR="00F74A6F" w:rsidRPr="009537ED" w:rsidRDefault="005A18DC" w:rsidP="00F74A6F">
      <w:pPr>
        <w:rPr>
          <w:lang w:eastAsia="x-none"/>
        </w:rPr>
      </w:pPr>
      <w:hyperlink r:id="rId1574" w:history="1">
        <w:r w:rsidR="00AF7253">
          <w:rPr>
            <w:rStyle w:val="Hyperlink"/>
            <w:lang w:eastAsia="x-none"/>
          </w:rPr>
          <w:t>R1-2311947</w:t>
        </w:r>
      </w:hyperlink>
      <w:r w:rsidR="00F74A6F" w:rsidRPr="009537ED">
        <w:rPr>
          <w:lang w:eastAsia="x-none"/>
        </w:rPr>
        <w:tab/>
        <w:t>Discussion on Dynamic UL Waveform Switching</w:t>
      </w:r>
      <w:r w:rsidR="00F74A6F" w:rsidRPr="009537ED">
        <w:rPr>
          <w:lang w:eastAsia="x-none"/>
        </w:rPr>
        <w:tab/>
        <w:t>Ericsson</w:t>
      </w:r>
    </w:p>
    <w:p w14:paraId="1611CDCE" w14:textId="722F9189" w:rsidR="00F74A6F" w:rsidRPr="009537ED" w:rsidRDefault="005A18DC" w:rsidP="00F74A6F">
      <w:pPr>
        <w:rPr>
          <w:lang w:eastAsia="x-none"/>
        </w:rPr>
      </w:pPr>
      <w:hyperlink r:id="rId1575" w:history="1">
        <w:r w:rsidR="00AF7253">
          <w:rPr>
            <w:rStyle w:val="Hyperlink"/>
            <w:lang w:eastAsia="x-none"/>
          </w:rPr>
          <w:t>R1-2312047</w:t>
        </w:r>
      </w:hyperlink>
      <w:r w:rsidR="00F74A6F" w:rsidRPr="009537ED">
        <w:rPr>
          <w:lang w:eastAsia="x-none"/>
        </w:rPr>
        <w:tab/>
        <w:t>Dynamic switching between DFT-S-OFDM and CP-OFDM</w:t>
      </w:r>
      <w:r w:rsidR="00F74A6F" w:rsidRPr="009537ED">
        <w:rPr>
          <w:lang w:eastAsia="x-none"/>
        </w:rPr>
        <w:tab/>
        <w:t>Qualcomm Incorporated</w:t>
      </w:r>
    </w:p>
    <w:p w14:paraId="0C7A5A9D" w14:textId="5B3C7B3B" w:rsidR="00F74A6F" w:rsidRPr="009537ED" w:rsidRDefault="005A18DC" w:rsidP="00F74A6F">
      <w:pPr>
        <w:rPr>
          <w:lang w:eastAsia="x-none"/>
        </w:rPr>
      </w:pPr>
      <w:hyperlink r:id="rId1576" w:history="1">
        <w:r w:rsidR="00AF7253">
          <w:rPr>
            <w:rStyle w:val="Hyperlink"/>
            <w:lang w:eastAsia="x-none"/>
          </w:rPr>
          <w:t>R1-2312158</w:t>
        </w:r>
      </w:hyperlink>
      <w:r w:rsidR="00F74A6F" w:rsidRPr="009537ED">
        <w:rPr>
          <w:lang w:eastAsia="x-none"/>
        </w:rPr>
        <w:tab/>
        <w:t>Maintenance issues on DWS Configuration</w:t>
      </w:r>
      <w:r w:rsidR="00F74A6F" w:rsidRPr="009537ED">
        <w:rPr>
          <w:lang w:eastAsia="x-none"/>
        </w:rPr>
        <w:tab/>
        <w:t>Sony</w:t>
      </w:r>
    </w:p>
    <w:p w14:paraId="4CF2E804" w14:textId="683AFBCE" w:rsidR="00F74A6F" w:rsidRDefault="005A18DC" w:rsidP="00F74A6F">
      <w:pPr>
        <w:rPr>
          <w:lang w:eastAsia="x-none"/>
        </w:rPr>
      </w:pPr>
      <w:hyperlink r:id="rId1577" w:history="1">
        <w:r w:rsidR="00AF7253">
          <w:rPr>
            <w:rStyle w:val="Hyperlink"/>
            <w:lang w:eastAsia="x-none"/>
          </w:rPr>
          <w:t>R1-2312205</w:t>
        </w:r>
      </w:hyperlink>
      <w:r w:rsidR="00F74A6F" w:rsidRPr="009537ED">
        <w:rPr>
          <w:lang w:eastAsia="x-none"/>
        </w:rPr>
        <w:tab/>
        <w:t>Remaining issues on dynamic switching between DFT-S-OFDM and CP-OFDM</w:t>
      </w:r>
      <w:r w:rsidR="00F74A6F" w:rsidRPr="009537ED">
        <w:rPr>
          <w:lang w:eastAsia="x-none"/>
        </w:rPr>
        <w:tab/>
        <w:t>Google Inc.</w:t>
      </w:r>
    </w:p>
    <w:p w14:paraId="43936D7F" w14:textId="77777777" w:rsidR="008772F6" w:rsidRDefault="008772F6" w:rsidP="00F74A6F">
      <w:pPr>
        <w:rPr>
          <w:lang w:eastAsia="x-none"/>
        </w:rPr>
      </w:pPr>
    </w:p>
    <w:p w14:paraId="396722CF" w14:textId="5AAA9595" w:rsidR="008772F6" w:rsidRPr="008772F6" w:rsidRDefault="005A18DC" w:rsidP="008772F6">
      <w:pPr>
        <w:rPr>
          <w:b/>
          <w:bCs/>
          <w:lang w:eastAsia="x-none"/>
        </w:rPr>
      </w:pPr>
      <w:hyperlink r:id="rId1578" w:history="1">
        <w:r w:rsidR="00AF7253">
          <w:rPr>
            <w:rStyle w:val="Hyperlink"/>
            <w:b/>
            <w:bCs/>
            <w:lang w:eastAsia="x-none"/>
          </w:rPr>
          <w:t>R1-2312109</w:t>
        </w:r>
      </w:hyperlink>
      <w:r w:rsidR="008772F6" w:rsidRPr="008772F6">
        <w:rPr>
          <w:b/>
          <w:bCs/>
          <w:lang w:eastAsia="x-none"/>
        </w:rPr>
        <w:tab/>
        <w:t>Summary #1 on dynamic switching between DFT-S-OFDM and CP-OFDM</w:t>
      </w:r>
      <w:r w:rsidR="008772F6" w:rsidRPr="008772F6">
        <w:rPr>
          <w:b/>
          <w:bCs/>
          <w:lang w:eastAsia="x-none"/>
        </w:rPr>
        <w:tab/>
        <w:t>Moderator (InterDigital, Inc.)</w:t>
      </w:r>
    </w:p>
    <w:p w14:paraId="36BD78BC" w14:textId="4E7D0CB4" w:rsidR="008772F6" w:rsidRDefault="008772F6" w:rsidP="008772F6">
      <w:pPr>
        <w:rPr>
          <w:lang w:eastAsia="x-none"/>
        </w:rPr>
      </w:pPr>
      <w:r>
        <w:rPr>
          <w:lang w:eastAsia="x-none"/>
        </w:rPr>
        <w:t>From Tuesday</w:t>
      </w:r>
      <w:r w:rsidR="00F53716">
        <w:rPr>
          <w:lang w:eastAsia="x-none"/>
        </w:rPr>
        <w:t xml:space="preserve"> session</w:t>
      </w:r>
    </w:p>
    <w:p w14:paraId="5AEB2295" w14:textId="77777777" w:rsidR="008772F6" w:rsidRPr="00C31318" w:rsidRDefault="008772F6" w:rsidP="008772F6">
      <w:pPr>
        <w:rPr>
          <w:szCs w:val="20"/>
          <w:lang w:eastAsia="x-none"/>
        </w:rPr>
      </w:pPr>
      <w:r w:rsidRPr="00C31318">
        <w:rPr>
          <w:szCs w:val="20"/>
          <w:highlight w:val="green"/>
          <w:lang w:eastAsia="x-none"/>
        </w:rPr>
        <w:t>Agreement</w:t>
      </w:r>
    </w:p>
    <w:p w14:paraId="099A9EE6" w14:textId="77777777" w:rsidR="008772F6" w:rsidRPr="00C31318" w:rsidRDefault="008772F6" w:rsidP="008772F6">
      <w:pPr>
        <w:rPr>
          <w:rFonts w:ascii="Times New Roman" w:hAnsi="Times New Roman"/>
          <w:szCs w:val="20"/>
        </w:rPr>
      </w:pPr>
      <w:r w:rsidRPr="00C31318">
        <w:rPr>
          <w:rFonts w:ascii="Times New Roman" w:hAnsi="Times New Roman"/>
          <w:szCs w:val="20"/>
        </w:rPr>
        <w:t>Update value range of RRC parameters for presence of TPI field to Enumerated {enabled}.</w:t>
      </w:r>
    </w:p>
    <w:p w14:paraId="0BCE9F32" w14:textId="77777777" w:rsidR="008772F6" w:rsidRDefault="008772F6" w:rsidP="008772F6">
      <w:pPr>
        <w:rPr>
          <w:lang w:eastAsia="x-none"/>
        </w:rPr>
      </w:pPr>
    </w:p>
    <w:p w14:paraId="77AC6682" w14:textId="77777777" w:rsidR="008772F6" w:rsidRPr="009537ED" w:rsidRDefault="008772F6" w:rsidP="008772F6">
      <w:pPr>
        <w:rPr>
          <w:lang w:eastAsia="x-none"/>
        </w:rPr>
      </w:pPr>
    </w:p>
    <w:p w14:paraId="44AF2E40" w14:textId="35757161" w:rsidR="008772F6" w:rsidRPr="00F53716" w:rsidRDefault="005A18DC" w:rsidP="008772F6">
      <w:pPr>
        <w:rPr>
          <w:b/>
          <w:bCs/>
          <w:lang w:eastAsia="x-none"/>
        </w:rPr>
      </w:pPr>
      <w:hyperlink r:id="rId1579" w:history="1">
        <w:r w:rsidR="00AF7253">
          <w:rPr>
            <w:rStyle w:val="Hyperlink"/>
            <w:b/>
            <w:bCs/>
            <w:lang w:eastAsia="x-none"/>
          </w:rPr>
          <w:t>R1-2312111</w:t>
        </w:r>
      </w:hyperlink>
      <w:r w:rsidR="008772F6" w:rsidRPr="00F53716">
        <w:rPr>
          <w:b/>
          <w:bCs/>
          <w:lang w:eastAsia="x-none"/>
        </w:rPr>
        <w:tab/>
        <w:t>Summary #2 on dynamic switching between DFT-S-OFDM and CP-OFDM</w:t>
      </w:r>
      <w:r w:rsidR="008772F6" w:rsidRPr="00F53716">
        <w:rPr>
          <w:b/>
          <w:bCs/>
          <w:lang w:eastAsia="x-none"/>
        </w:rPr>
        <w:tab/>
        <w:t>Moderator (InterDigital, Inc.)</w:t>
      </w:r>
    </w:p>
    <w:p w14:paraId="4414A406" w14:textId="430E5161" w:rsidR="00F53716" w:rsidRDefault="003F77F3" w:rsidP="008772F6">
      <w:pPr>
        <w:rPr>
          <w:lang w:eastAsia="x-none"/>
        </w:rPr>
      </w:pPr>
      <w:r>
        <w:rPr>
          <w:lang w:eastAsia="x-none"/>
        </w:rPr>
        <w:t xml:space="preserve">Presented in </w:t>
      </w:r>
      <w:r w:rsidR="00F53716">
        <w:rPr>
          <w:lang w:eastAsia="x-none"/>
        </w:rPr>
        <w:t>Wednesday session</w:t>
      </w:r>
      <w:r>
        <w:rPr>
          <w:lang w:eastAsia="x-none"/>
        </w:rPr>
        <w:t>.</w:t>
      </w:r>
    </w:p>
    <w:p w14:paraId="033AAE37" w14:textId="6AF1E7F9" w:rsidR="003F77F3" w:rsidRPr="003F77F3" w:rsidRDefault="005A18DC" w:rsidP="003F77F3">
      <w:pPr>
        <w:rPr>
          <w:b/>
          <w:bCs/>
          <w:lang w:eastAsia="x-none"/>
        </w:rPr>
      </w:pPr>
      <w:hyperlink r:id="rId1580" w:history="1">
        <w:r w:rsidR="00AF7253">
          <w:rPr>
            <w:rStyle w:val="Hyperlink"/>
            <w:b/>
            <w:bCs/>
            <w:lang w:eastAsia="x-none"/>
          </w:rPr>
          <w:t>R1-2312622</w:t>
        </w:r>
      </w:hyperlink>
      <w:r w:rsidR="003F77F3" w:rsidRPr="003F77F3">
        <w:rPr>
          <w:b/>
          <w:bCs/>
          <w:lang w:eastAsia="x-none"/>
        </w:rPr>
        <w:tab/>
        <w:t>Summary #3 on dynamic switching between DFT-S-OFDM and CP-OFDM</w:t>
      </w:r>
      <w:r w:rsidR="003F77F3" w:rsidRPr="003F77F3">
        <w:rPr>
          <w:b/>
          <w:bCs/>
          <w:lang w:eastAsia="x-none"/>
        </w:rPr>
        <w:tab/>
        <w:t>Moderator (InterDigital, Inc.)</w:t>
      </w:r>
    </w:p>
    <w:p w14:paraId="6DEF07B2" w14:textId="7AE3AE93" w:rsidR="003F77F3" w:rsidRDefault="003F77F3" w:rsidP="003F77F3">
      <w:pPr>
        <w:rPr>
          <w:lang w:eastAsia="x-none"/>
        </w:rPr>
      </w:pPr>
      <w:r>
        <w:rPr>
          <w:lang w:eastAsia="x-none"/>
        </w:rPr>
        <w:t>Presented in Friday session.</w:t>
      </w:r>
    </w:p>
    <w:p w14:paraId="5CB0AF71" w14:textId="77777777" w:rsidR="003F77F3" w:rsidRDefault="003F77F3" w:rsidP="003F77F3">
      <w:pPr>
        <w:rPr>
          <w:lang w:eastAsia="x-none"/>
        </w:rPr>
      </w:pPr>
    </w:p>
    <w:p w14:paraId="7FC51B3F" w14:textId="43FB5128" w:rsidR="00F53716" w:rsidRPr="009537ED" w:rsidRDefault="003F77F3" w:rsidP="008772F6">
      <w:pPr>
        <w:rPr>
          <w:lang w:eastAsia="x-none"/>
        </w:rPr>
      </w:pPr>
      <w:r>
        <w:rPr>
          <w:lang w:eastAsia="x-none"/>
        </w:rPr>
        <w:t xml:space="preserve">Final summary in </w:t>
      </w:r>
      <w:hyperlink r:id="rId1581" w:history="1">
        <w:r w:rsidR="00AF7253">
          <w:rPr>
            <w:rStyle w:val="Hyperlink"/>
            <w:lang w:eastAsia="x-none"/>
          </w:rPr>
          <w:t>R1-2312623</w:t>
        </w:r>
      </w:hyperlink>
      <w:r>
        <w:rPr>
          <w:b/>
          <w:lang w:eastAsia="x-none"/>
        </w:rPr>
        <w:t>.</w:t>
      </w:r>
    </w:p>
    <w:p w14:paraId="1DBBB706" w14:textId="77777777" w:rsidR="00F74A6F" w:rsidRDefault="00F74A6F" w:rsidP="00F74A6F">
      <w:pPr>
        <w:pStyle w:val="Heading2"/>
      </w:pPr>
      <w:bookmarkStart w:id="715" w:name="_Toc150174479"/>
      <w:bookmarkStart w:id="716" w:name="_Toc159251021"/>
      <w:r w:rsidRPr="009537ED">
        <w:t>Maintenance on NR Support for Dedicated Spectrum Less than 5MHz for FR1</w:t>
      </w:r>
      <w:bookmarkEnd w:id="715"/>
      <w:bookmarkEnd w:id="716"/>
    </w:p>
    <w:p w14:paraId="4710249D" w14:textId="12CD353F" w:rsidR="004B3090" w:rsidRPr="004B3090" w:rsidRDefault="005A18DC" w:rsidP="004B3090">
      <w:pPr>
        <w:rPr>
          <w:b/>
          <w:bCs/>
        </w:rPr>
      </w:pPr>
      <w:hyperlink r:id="rId1582" w:history="1">
        <w:r w:rsidR="00AF7253">
          <w:rPr>
            <w:rStyle w:val="Hyperlink"/>
            <w:b/>
            <w:bCs/>
          </w:rPr>
          <w:t>R1-2312508</w:t>
        </w:r>
      </w:hyperlink>
      <w:r w:rsidR="004B3090" w:rsidRPr="004B3090">
        <w:rPr>
          <w:b/>
          <w:bCs/>
        </w:rPr>
        <w:tab/>
        <w:t>Session notes for 8.9 (Maintenance on NR support for dedicated spectrum less than 5MHz for FR1)</w:t>
      </w:r>
      <w:r w:rsidR="004B3090" w:rsidRPr="004B3090">
        <w:rPr>
          <w:b/>
          <w:bCs/>
        </w:rPr>
        <w:tab/>
        <w:t>Ad-Hoc Chair (Huawei)</w:t>
      </w:r>
    </w:p>
    <w:p w14:paraId="5159704E" w14:textId="77777777" w:rsidR="004B3090" w:rsidRPr="00D96FAE" w:rsidRDefault="004B3090" w:rsidP="004B3090">
      <w:pPr>
        <w:rPr>
          <w:lang w:eastAsia="x-none"/>
        </w:rPr>
      </w:pPr>
      <w:r w:rsidRPr="00F05EFE">
        <w:rPr>
          <w:b/>
          <w:bCs/>
        </w:rPr>
        <w:t>Friday decision:</w:t>
      </w:r>
      <w:r>
        <w:t xml:space="preserve"> The </w:t>
      </w:r>
      <w:r>
        <w:rPr>
          <w:lang w:val="en-US" w:eastAsia="x-none"/>
        </w:rPr>
        <w:t>s</w:t>
      </w:r>
      <w:r w:rsidRPr="00663F3A">
        <w:rPr>
          <w:lang w:val="en-US" w:eastAsia="x-none"/>
        </w:rPr>
        <w:t>ession notes</w:t>
      </w:r>
      <w:r>
        <w:rPr>
          <w:lang w:val="en-US" w:eastAsia="x-none"/>
        </w:rPr>
        <w:t xml:space="preserve"> are </w:t>
      </w:r>
      <w:r>
        <w:rPr>
          <w:highlight w:val="green"/>
          <w:lang w:eastAsia="x-none"/>
        </w:rPr>
        <w:t>e</w:t>
      </w:r>
      <w:r w:rsidRPr="00D96FAE">
        <w:rPr>
          <w:highlight w:val="green"/>
          <w:lang w:eastAsia="x-none"/>
        </w:rPr>
        <w:t xml:space="preserve">ndorsed </w:t>
      </w:r>
      <w:r w:rsidRPr="00D96FAE">
        <w:rPr>
          <w:lang w:eastAsia="x-none"/>
        </w:rPr>
        <w:t>and contents reflected below.</w:t>
      </w:r>
    </w:p>
    <w:p w14:paraId="6701B1D5" w14:textId="77777777" w:rsidR="004B3090" w:rsidRPr="004B3090" w:rsidRDefault="004B3090" w:rsidP="004B3090"/>
    <w:p w14:paraId="1C6063B1" w14:textId="77777777" w:rsidR="00744C2E" w:rsidRPr="00744C2E" w:rsidRDefault="00F74A6F" w:rsidP="00F74A6F">
      <w:pPr>
        <w:rPr>
          <w:lang w:val="fr-FR" w:eastAsia="x-none"/>
        </w:rPr>
      </w:pPr>
      <w:r w:rsidRPr="00744C2E">
        <w:rPr>
          <w:lang w:val="fr-FR" w:eastAsia="x-none"/>
        </w:rPr>
        <w:t xml:space="preserve">[115-R18-FR1&lt;5MHz] </w:t>
      </w:r>
      <w:r w:rsidR="00744C2E" w:rsidRPr="00744C2E">
        <w:rPr>
          <w:lang w:val="fr-FR" w:eastAsia="x-none"/>
        </w:rPr>
        <w:t>– Yuantao (Lenovo)</w:t>
      </w:r>
    </w:p>
    <w:p w14:paraId="6DC865FE" w14:textId="54AD6DF6" w:rsidR="00F74A6F" w:rsidRPr="00744C2E" w:rsidRDefault="00F74A6F" w:rsidP="00F74A6F">
      <w:pPr>
        <w:rPr>
          <w:lang w:eastAsia="x-none"/>
        </w:rPr>
      </w:pPr>
      <w:r w:rsidRPr="00744C2E">
        <w:rPr>
          <w:lang w:eastAsia="x-none"/>
        </w:rPr>
        <w:t>Email discussion on NR support for dedicated spectrum less than 5MHz</w:t>
      </w:r>
    </w:p>
    <w:p w14:paraId="3BFDA082" w14:textId="77777777" w:rsidR="00F74A6F" w:rsidRPr="00744C2E" w:rsidRDefault="00F74A6F" w:rsidP="00F74A6F">
      <w:pPr>
        <w:numPr>
          <w:ilvl w:val="0"/>
          <w:numId w:val="69"/>
        </w:numPr>
        <w:rPr>
          <w:lang w:eastAsia="x-none"/>
        </w:rPr>
      </w:pPr>
      <w:r w:rsidRPr="00744C2E">
        <w:rPr>
          <w:lang w:eastAsia="x-none"/>
        </w:rPr>
        <w:t>To be used for sharing updates on online/offline schedule, details on what is to be discussed in online/offline sessions, tdoc number of the moderator summary for online session, etc</w:t>
      </w:r>
    </w:p>
    <w:p w14:paraId="0C036FF9" w14:textId="77777777" w:rsidR="00F74A6F" w:rsidRDefault="00F74A6F" w:rsidP="00F74A6F">
      <w:pPr>
        <w:rPr>
          <w:lang w:eastAsia="x-none"/>
        </w:rPr>
      </w:pPr>
    </w:p>
    <w:p w14:paraId="03685987" w14:textId="77777777" w:rsidR="00744C2E" w:rsidRPr="009537ED" w:rsidRDefault="00744C2E" w:rsidP="00F74A6F">
      <w:pPr>
        <w:rPr>
          <w:lang w:eastAsia="x-none"/>
        </w:rPr>
      </w:pPr>
    </w:p>
    <w:p w14:paraId="7AEB67A3" w14:textId="65345635" w:rsidR="00F74A6F" w:rsidRPr="00744C2E" w:rsidRDefault="005A18DC" w:rsidP="00F74A6F">
      <w:pPr>
        <w:rPr>
          <w:b/>
          <w:bCs/>
          <w:lang w:eastAsia="x-none"/>
        </w:rPr>
      </w:pPr>
      <w:hyperlink r:id="rId1583" w:history="1">
        <w:r w:rsidR="00AF7253">
          <w:rPr>
            <w:rStyle w:val="Hyperlink"/>
            <w:b/>
            <w:bCs/>
            <w:lang w:eastAsia="x-none"/>
          </w:rPr>
          <w:t>R1-2311357</w:t>
        </w:r>
      </w:hyperlink>
      <w:r w:rsidR="00F74A6F" w:rsidRPr="00744C2E">
        <w:rPr>
          <w:b/>
          <w:bCs/>
          <w:lang w:eastAsia="x-none"/>
        </w:rPr>
        <w:tab/>
        <w:t>Introduction of NR support for dedicated spectrum less than 5MHz for FR1 to TS 38.300</w:t>
      </w:r>
      <w:r w:rsidR="00F74A6F" w:rsidRPr="00744C2E">
        <w:rPr>
          <w:b/>
          <w:bCs/>
          <w:lang w:eastAsia="x-none"/>
        </w:rPr>
        <w:tab/>
        <w:t>Nokia (WI Rapporteur)</w:t>
      </w:r>
    </w:p>
    <w:p w14:paraId="18B93310" w14:textId="63C5D139" w:rsidR="00744C2E" w:rsidRDefault="00744C2E" w:rsidP="00F74A6F">
      <w:pPr>
        <w:rPr>
          <w:lang w:eastAsia="x-none"/>
        </w:rPr>
      </w:pPr>
      <w:r>
        <w:rPr>
          <w:lang w:eastAsia="x-none"/>
        </w:rPr>
        <w:t>From Tuesday session</w:t>
      </w:r>
    </w:p>
    <w:p w14:paraId="4EBF2618" w14:textId="77777777" w:rsidR="00744C2E" w:rsidRPr="00744C2E" w:rsidRDefault="00744C2E" w:rsidP="00744C2E">
      <w:pPr>
        <w:rPr>
          <w:lang w:eastAsia="x-none"/>
        </w:rPr>
      </w:pPr>
      <w:r w:rsidRPr="00744C2E">
        <w:rPr>
          <w:highlight w:val="green"/>
          <w:lang w:eastAsia="x-none"/>
        </w:rPr>
        <w:t>Agreement</w:t>
      </w:r>
    </w:p>
    <w:p w14:paraId="162549DA" w14:textId="77777777" w:rsidR="00744C2E" w:rsidRPr="00744C2E" w:rsidRDefault="00744C2E" w:rsidP="00744C2E">
      <w:pPr>
        <w:rPr>
          <w:lang w:eastAsia="x-none"/>
        </w:rPr>
      </w:pPr>
      <w:r w:rsidRPr="00744C2E">
        <w:rPr>
          <w:lang w:eastAsia="x-none"/>
        </w:rPr>
        <w:t>Endorse the TP below for TS 38.300 and send it in an LS to RAN2</w:t>
      </w:r>
    </w:p>
    <w:p w14:paraId="198A1A99" w14:textId="77777777" w:rsidR="00744C2E" w:rsidRPr="00744C2E" w:rsidRDefault="00744C2E" w:rsidP="00744C2E">
      <w:pPr>
        <w:jc w:val="both"/>
      </w:pPr>
    </w:p>
    <w:tbl>
      <w:tblPr>
        <w:tblW w:w="5000" w:type="pct"/>
        <w:tblCellMar>
          <w:left w:w="42" w:type="dxa"/>
          <w:right w:w="42" w:type="dxa"/>
        </w:tblCellMar>
        <w:tblLook w:val="0000" w:firstRow="0" w:lastRow="0" w:firstColumn="0" w:lastColumn="0" w:noHBand="0" w:noVBand="0"/>
      </w:tblPr>
      <w:tblGrid>
        <w:gridCol w:w="2948"/>
        <w:gridCol w:w="7603"/>
      </w:tblGrid>
      <w:tr w:rsidR="00744C2E" w:rsidRPr="00744C2E" w14:paraId="7AFC25C9" w14:textId="77777777" w:rsidTr="00744C2E">
        <w:tc>
          <w:tcPr>
            <w:tcW w:w="1397" w:type="pct"/>
            <w:tcBorders>
              <w:top w:val="single" w:sz="4" w:space="0" w:color="auto"/>
              <w:left w:val="single" w:sz="4" w:space="0" w:color="auto"/>
            </w:tcBorders>
          </w:tcPr>
          <w:p w14:paraId="622B0F89" w14:textId="77777777" w:rsidR="00744C2E" w:rsidRPr="00744C2E" w:rsidRDefault="00744C2E" w:rsidP="00744C2E">
            <w:pPr>
              <w:tabs>
                <w:tab w:val="right" w:pos="2184"/>
              </w:tabs>
              <w:rPr>
                <w:rFonts w:ascii="Arial" w:eastAsia="MS Mincho" w:hAnsi="Arial" w:cs="Arial"/>
                <w:b/>
                <w:i/>
                <w:noProof/>
                <w:sz w:val="16"/>
                <w:szCs w:val="16"/>
              </w:rPr>
            </w:pPr>
            <w:r w:rsidRPr="00744C2E">
              <w:rPr>
                <w:rFonts w:ascii="Arial" w:eastAsia="MS Mincho" w:hAnsi="Arial" w:cs="Arial"/>
                <w:b/>
                <w:i/>
                <w:noProof/>
                <w:sz w:val="16"/>
                <w:szCs w:val="16"/>
              </w:rPr>
              <w:t>Reason for change:</w:t>
            </w:r>
          </w:p>
        </w:tc>
        <w:tc>
          <w:tcPr>
            <w:tcW w:w="3603" w:type="pct"/>
            <w:tcBorders>
              <w:top w:val="single" w:sz="4" w:space="0" w:color="auto"/>
              <w:right w:val="single" w:sz="4" w:space="0" w:color="auto"/>
            </w:tcBorders>
            <w:shd w:val="pct30" w:color="FFFF00" w:fill="auto"/>
          </w:tcPr>
          <w:p w14:paraId="28FFDE33" w14:textId="77777777" w:rsidR="00744C2E" w:rsidRPr="00744C2E" w:rsidRDefault="00744C2E" w:rsidP="00744C2E">
            <w:pPr>
              <w:ind w:left="100"/>
              <w:rPr>
                <w:rFonts w:ascii="Arial" w:eastAsia="MS Mincho" w:hAnsi="Arial" w:cs="Arial"/>
                <w:noProof/>
                <w:sz w:val="16"/>
                <w:szCs w:val="16"/>
              </w:rPr>
            </w:pPr>
            <w:r w:rsidRPr="00744C2E">
              <w:rPr>
                <w:rFonts w:ascii="Arial" w:eastAsia="MS Mincho" w:hAnsi="Arial" w:cs="Arial"/>
                <w:noProof/>
                <w:sz w:val="16"/>
                <w:szCs w:val="16"/>
              </w:rPr>
              <w:t>Introduction of changes related to WI “</w:t>
            </w:r>
            <w:r w:rsidRPr="00744C2E">
              <w:rPr>
                <w:rFonts w:ascii="Arial" w:eastAsia="MS Mincho" w:hAnsi="Arial" w:cs="Arial"/>
                <w:sz w:val="16"/>
                <w:szCs w:val="16"/>
              </w:rPr>
              <w:t>NR support for dedicated spectrum less than 5MHz for FR1”</w:t>
            </w:r>
          </w:p>
        </w:tc>
      </w:tr>
      <w:tr w:rsidR="00744C2E" w:rsidRPr="00744C2E" w14:paraId="59AA3528" w14:textId="77777777" w:rsidTr="00744C2E">
        <w:tc>
          <w:tcPr>
            <w:tcW w:w="1397" w:type="pct"/>
            <w:tcBorders>
              <w:left w:val="single" w:sz="4" w:space="0" w:color="auto"/>
            </w:tcBorders>
          </w:tcPr>
          <w:p w14:paraId="3642995D" w14:textId="77777777" w:rsidR="00744C2E" w:rsidRPr="00744C2E" w:rsidRDefault="00744C2E" w:rsidP="00744C2E">
            <w:pPr>
              <w:rPr>
                <w:rFonts w:ascii="Arial" w:eastAsia="MS Mincho" w:hAnsi="Arial" w:cs="Arial"/>
                <w:b/>
                <w:i/>
                <w:noProof/>
                <w:sz w:val="16"/>
                <w:szCs w:val="16"/>
              </w:rPr>
            </w:pPr>
          </w:p>
        </w:tc>
        <w:tc>
          <w:tcPr>
            <w:tcW w:w="3603" w:type="pct"/>
            <w:tcBorders>
              <w:right w:val="single" w:sz="4" w:space="0" w:color="auto"/>
            </w:tcBorders>
          </w:tcPr>
          <w:p w14:paraId="34025CAD" w14:textId="77777777" w:rsidR="00744C2E" w:rsidRPr="00744C2E" w:rsidRDefault="00744C2E" w:rsidP="00744C2E">
            <w:pPr>
              <w:rPr>
                <w:rFonts w:ascii="Arial" w:eastAsia="MS Mincho" w:hAnsi="Arial" w:cs="Arial"/>
                <w:noProof/>
                <w:sz w:val="16"/>
                <w:szCs w:val="16"/>
              </w:rPr>
            </w:pPr>
          </w:p>
        </w:tc>
      </w:tr>
      <w:tr w:rsidR="00744C2E" w:rsidRPr="00744C2E" w14:paraId="02000FE2" w14:textId="77777777" w:rsidTr="00744C2E">
        <w:tc>
          <w:tcPr>
            <w:tcW w:w="1397" w:type="pct"/>
            <w:tcBorders>
              <w:left w:val="single" w:sz="4" w:space="0" w:color="auto"/>
            </w:tcBorders>
          </w:tcPr>
          <w:p w14:paraId="71C63757" w14:textId="77777777" w:rsidR="00744C2E" w:rsidRPr="00744C2E" w:rsidRDefault="00744C2E" w:rsidP="00744C2E">
            <w:pPr>
              <w:tabs>
                <w:tab w:val="right" w:pos="2184"/>
              </w:tabs>
              <w:rPr>
                <w:rFonts w:ascii="Arial" w:eastAsia="MS Mincho" w:hAnsi="Arial" w:cs="Arial"/>
                <w:b/>
                <w:i/>
                <w:noProof/>
                <w:sz w:val="16"/>
                <w:szCs w:val="16"/>
              </w:rPr>
            </w:pPr>
            <w:r w:rsidRPr="00744C2E">
              <w:rPr>
                <w:rFonts w:ascii="Arial" w:eastAsia="MS Mincho" w:hAnsi="Arial" w:cs="Arial"/>
                <w:b/>
                <w:i/>
                <w:noProof/>
                <w:sz w:val="16"/>
                <w:szCs w:val="16"/>
              </w:rPr>
              <w:t>Summary of change:</w:t>
            </w:r>
          </w:p>
        </w:tc>
        <w:tc>
          <w:tcPr>
            <w:tcW w:w="3603" w:type="pct"/>
            <w:tcBorders>
              <w:right w:val="single" w:sz="4" w:space="0" w:color="auto"/>
            </w:tcBorders>
            <w:shd w:val="pct30" w:color="FFFF00" w:fill="auto"/>
          </w:tcPr>
          <w:p w14:paraId="5C45EF74" w14:textId="77777777" w:rsidR="00744C2E" w:rsidRPr="00744C2E" w:rsidRDefault="00744C2E" w:rsidP="00744C2E">
            <w:pPr>
              <w:ind w:left="100"/>
              <w:rPr>
                <w:rFonts w:ascii="Arial" w:eastAsia="MS Mincho" w:hAnsi="Arial" w:cs="Arial"/>
                <w:noProof/>
                <w:sz w:val="16"/>
                <w:szCs w:val="16"/>
                <w:lang w:val="en-US"/>
              </w:rPr>
            </w:pPr>
            <w:r w:rsidRPr="00744C2E">
              <w:rPr>
                <w:rFonts w:ascii="Arial" w:eastAsia="MS Mincho" w:hAnsi="Arial" w:cs="Arial"/>
                <w:sz w:val="16"/>
                <w:szCs w:val="16"/>
              </w:rPr>
              <w:t>Adding a remark that with 3MHz Channel BW the PBCH is punctured down to 144 subcarriers (i.e. 12 PRBs)</w:t>
            </w:r>
          </w:p>
        </w:tc>
      </w:tr>
      <w:tr w:rsidR="00744C2E" w:rsidRPr="00744C2E" w14:paraId="305677F1" w14:textId="77777777" w:rsidTr="00744C2E">
        <w:tc>
          <w:tcPr>
            <w:tcW w:w="1397" w:type="pct"/>
            <w:tcBorders>
              <w:left w:val="single" w:sz="4" w:space="0" w:color="auto"/>
            </w:tcBorders>
          </w:tcPr>
          <w:p w14:paraId="576E034D" w14:textId="77777777" w:rsidR="00744C2E" w:rsidRPr="00744C2E" w:rsidRDefault="00744C2E" w:rsidP="00744C2E">
            <w:pPr>
              <w:rPr>
                <w:rFonts w:ascii="Arial" w:eastAsia="MS Mincho" w:hAnsi="Arial" w:cs="Arial"/>
                <w:b/>
                <w:i/>
                <w:noProof/>
                <w:sz w:val="16"/>
                <w:szCs w:val="16"/>
              </w:rPr>
            </w:pPr>
          </w:p>
        </w:tc>
        <w:tc>
          <w:tcPr>
            <w:tcW w:w="3603" w:type="pct"/>
            <w:tcBorders>
              <w:right w:val="single" w:sz="4" w:space="0" w:color="auto"/>
            </w:tcBorders>
          </w:tcPr>
          <w:p w14:paraId="328195A4" w14:textId="77777777" w:rsidR="00744C2E" w:rsidRPr="00744C2E" w:rsidRDefault="00744C2E" w:rsidP="00744C2E">
            <w:pPr>
              <w:rPr>
                <w:rFonts w:ascii="Arial" w:eastAsia="MS Mincho" w:hAnsi="Arial" w:cs="Arial"/>
                <w:noProof/>
                <w:sz w:val="16"/>
                <w:szCs w:val="16"/>
              </w:rPr>
            </w:pPr>
          </w:p>
        </w:tc>
      </w:tr>
      <w:tr w:rsidR="00744C2E" w:rsidRPr="00744C2E" w14:paraId="6FE49EDC" w14:textId="77777777" w:rsidTr="00744C2E">
        <w:tc>
          <w:tcPr>
            <w:tcW w:w="1397" w:type="pct"/>
            <w:tcBorders>
              <w:left w:val="single" w:sz="4" w:space="0" w:color="auto"/>
              <w:bottom w:val="single" w:sz="4" w:space="0" w:color="auto"/>
            </w:tcBorders>
          </w:tcPr>
          <w:p w14:paraId="00441758" w14:textId="77777777" w:rsidR="00744C2E" w:rsidRPr="00744C2E" w:rsidRDefault="00744C2E" w:rsidP="00744C2E">
            <w:pPr>
              <w:tabs>
                <w:tab w:val="right" w:pos="2184"/>
              </w:tabs>
              <w:rPr>
                <w:rFonts w:ascii="Arial" w:eastAsia="MS Mincho" w:hAnsi="Arial" w:cs="Arial"/>
                <w:b/>
                <w:i/>
                <w:noProof/>
                <w:sz w:val="16"/>
                <w:szCs w:val="16"/>
              </w:rPr>
            </w:pPr>
            <w:r w:rsidRPr="00744C2E">
              <w:rPr>
                <w:rFonts w:ascii="Arial" w:eastAsia="MS Mincho" w:hAnsi="Arial" w:cs="Arial"/>
                <w:b/>
                <w:i/>
                <w:noProof/>
                <w:sz w:val="16"/>
                <w:szCs w:val="16"/>
              </w:rPr>
              <w:t>Consequences if not approved:</w:t>
            </w:r>
          </w:p>
        </w:tc>
        <w:tc>
          <w:tcPr>
            <w:tcW w:w="3603" w:type="pct"/>
            <w:tcBorders>
              <w:bottom w:val="single" w:sz="4" w:space="0" w:color="auto"/>
              <w:right w:val="single" w:sz="4" w:space="0" w:color="auto"/>
            </w:tcBorders>
            <w:shd w:val="pct30" w:color="FFFF00" w:fill="auto"/>
          </w:tcPr>
          <w:p w14:paraId="4F4046B0" w14:textId="77777777" w:rsidR="00744C2E" w:rsidRPr="00744C2E" w:rsidRDefault="00744C2E" w:rsidP="00744C2E">
            <w:pPr>
              <w:ind w:left="100"/>
              <w:rPr>
                <w:rFonts w:ascii="Arial" w:eastAsia="MS Mincho" w:hAnsi="Arial" w:cs="Arial"/>
                <w:noProof/>
                <w:sz w:val="16"/>
                <w:szCs w:val="16"/>
              </w:rPr>
            </w:pPr>
            <w:r w:rsidRPr="00744C2E">
              <w:rPr>
                <w:rFonts w:ascii="Arial" w:eastAsia="MS Mincho" w:hAnsi="Arial" w:cs="Arial"/>
                <w:noProof/>
                <w:sz w:val="16"/>
                <w:szCs w:val="16"/>
              </w:rPr>
              <w:t>In</w:t>
            </w:r>
            <w:r w:rsidRPr="00744C2E">
              <w:rPr>
                <w:rFonts w:ascii="Arial" w:eastAsia="MS Mincho" w:hAnsi="Arial" w:cs="Arial"/>
                <w:sz w:val="16"/>
                <w:szCs w:val="16"/>
              </w:rPr>
              <w:t>complete description of the PBCH in case of operation with 3MHz CBW.</w:t>
            </w:r>
          </w:p>
        </w:tc>
      </w:tr>
    </w:tbl>
    <w:p w14:paraId="501FE160" w14:textId="77777777" w:rsidR="00744C2E" w:rsidRPr="00744C2E" w:rsidRDefault="00744C2E" w:rsidP="00744C2E">
      <w:pPr>
        <w:jc w:val="center"/>
        <w:rPr>
          <w:b/>
          <w:bCs/>
          <w:color w:val="FF0000"/>
          <w:szCs w:val="20"/>
        </w:rPr>
      </w:pPr>
      <w:r w:rsidRPr="00744C2E">
        <w:rPr>
          <w:b/>
          <w:bCs/>
          <w:color w:val="FF0000"/>
          <w:szCs w:val="20"/>
        </w:rPr>
        <w:t>---  &lt; Start of the Text Proposal &gt; ---</w:t>
      </w:r>
    </w:p>
    <w:p w14:paraId="7215FD3C" w14:textId="77777777" w:rsidR="00744C2E" w:rsidRPr="00744C2E" w:rsidRDefault="00744C2E" w:rsidP="00744C2E">
      <w:pPr>
        <w:jc w:val="center"/>
        <w:rPr>
          <w:color w:val="FF0000"/>
        </w:rPr>
      </w:pPr>
      <w:r w:rsidRPr="00744C2E">
        <w:rPr>
          <w:color w:val="FF0000"/>
        </w:rPr>
        <w:t>&lt;Unchanged text omitted&gt;</w:t>
      </w:r>
    </w:p>
    <w:p w14:paraId="50A0CD13" w14:textId="77777777" w:rsidR="00744C2E" w:rsidRPr="00744C2E" w:rsidRDefault="00744C2E" w:rsidP="00744C2E">
      <w:pPr>
        <w:rPr>
          <w:rFonts w:ascii="Arial" w:hAnsi="Arial" w:cs="Arial"/>
          <w:b/>
          <w:bCs/>
          <w:sz w:val="16"/>
          <w:szCs w:val="16"/>
        </w:rPr>
      </w:pPr>
      <w:bookmarkStart w:id="717" w:name="_Toc20387909"/>
      <w:bookmarkStart w:id="718" w:name="_Toc29375988"/>
      <w:bookmarkStart w:id="719" w:name="_Toc37231858"/>
      <w:bookmarkStart w:id="720" w:name="_Toc46501913"/>
      <w:bookmarkStart w:id="721" w:name="_Toc51971261"/>
      <w:bookmarkStart w:id="722" w:name="_Toc52551244"/>
      <w:bookmarkStart w:id="723" w:name="_Toc139017974"/>
      <w:r w:rsidRPr="00744C2E">
        <w:rPr>
          <w:rFonts w:ascii="Arial" w:hAnsi="Arial" w:cs="Arial"/>
          <w:b/>
          <w:bCs/>
          <w:sz w:val="16"/>
          <w:szCs w:val="16"/>
        </w:rPr>
        <w:t>5.2.4</w:t>
      </w:r>
      <w:r w:rsidRPr="00744C2E">
        <w:rPr>
          <w:rFonts w:ascii="Arial" w:eastAsia="MS Mincho" w:hAnsi="Arial" w:cs="Arial"/>
          <w:b/>
          <w:bCs/>
          <w:sz w:val="16"/>
          <w:szCs w:val="16"/>
        </w:rPr>
        <w:tab/>
      </w:r>
      <w:r w:rsidRPr="00744C2E">
        <w:rPr>
          <w:rFonts w:ascii="Arial" w:hAnsi="Arial" w:cs="Arial"/>
          <w:b/>
          <w:bCs/>
          <w:sz w:val="16"/>
          <w:szCs w:val="16"/>
        </w:rPr>
        <w:t>Synchronization signal and PBCH block</w:t>
      </w:r>
      <w:bookmarkEnd w:id="717"/>
      <w:bookmarkEnd w:id="718"/>
      <w:bookmarkEnd w:id="719"/>
      <w:bookmarkEnd w:id="720"/>
      <w:bookmarkEnd w:id="721"/>
      <w:bookmarkEnd w:id="722"/>
      <w:bookmarkEnd w:id="723"/>
    </w:p>
    <w:p w14:paraId="43E8297E" w14:textId="77777777" w:rsidR="00744C2E" w:rsidRPr="00744C2E" w:rsidRDefault="00744C2E" w:rsidP="00744C2E">
      <w:pPr>
        <w:rPr>
          <w:rFonts w:ascii="Arial" w:hAnsi="Arial" w:cs="Arial"/>
          <w:sz w:val="16"/>
          <w:szCs w:val="16"/>
        </w:rPr>
      </w:pPr>
      <w:r w:rsidRPr="00744C2E">
        <w:rPr>
          <w:rFonts w:ascii="Arial" w:hAnsi="Arial" w:cs="Arial"/>
          <w:sz w:val="16"/>
          <w:szCs w:val="16"/>
        </w:rPr>
        <w:t xml:space="preserve">The Synchronization Signal and PBCH block (SSB) consists of primary and secondary synchronization signals (PSS, SSS), each occupying 1 symbol and 127 subcarriers, and PBCH spanning across 3 OFDM symbols and 240 subcarriers, but on one symbol leaving an unused part in the </w:t>
      </w:r>
      <w:r w:rsidRPr="00744C2E">
        <w:rPr>
          <w:rFonts w:ascii="Arial" w:hAnsi="Arial" w:cs="Arial"/>
          <w:sz w:val="16"/>
          <w:szCs w:val="16"/>
        </w:rPr>
        <w:lastRenderedPageBreak/>
        <w:t xml:space="preserve">middle for SSS as show in Figure 5.2.4-1. </w:t>
      </w:r>
      <w:r w:rsidRPr="00744C2E">
        <w:rPr>
          <w:rFonts w:ascii="Arial" w:hAnsi="Arial" w:cs="Arial"/>
          <w:color w:val="FF0000"/>
          <w:sz w:val="16"/>
          <w:szCs w:val="16"/>
          <w:u w:val="single"/>
        </w:rPr>
        <w:t>For the 3 MHz channel bandwidth, the PBCH is further equally punctured from both edges to span 144 subcarriers.</w:t>
      </w:r>
      <w:r w:rsidRPr="00744C2E">
        <w:rPr>
          <w:rFonts w:ascii="Arial" w:hAnsi="Arial" w:cs="Arial"/>
          <w:color w:val="FF0000"/>
          <w:sz w:val="16"/>
          <w:szCs w:val="16"/>
        </w:rPr>
        <w:t xml:space="preserve"> </w:t>
      </w:r>
      <w:r w:rsidRPr="00744C2E">
        <w:rPr>
          <w:rFonts w:ascii="Arial" w:hAnsi="Arial" w:cs="Arial"/>
          <w:sz w:val="16"/>
          <w:szCs w:val="16"/>
        </w:rPr>
        <w:t>The possible time locations of SSBs within a half-frame are determined by sub-carrier spacing and the periodicity of the half-frames where SSBs are transmitted is configured by the network. During a half-frame, different SSBs may be transmitted in different spatial directions (i.e. using different beams, spanning the coverage area of a cell).</w:t>
      </w:r>
    </w:p>
    <w:p w14:paraId="3C8CAD93" w14:textId="77777777" w:rsidR="00744C2E" w:rsidRPr="00744C2E" w:rsidRDefault="00744C2E" w:rsidP="00744C2E">
      <w:pPr>
        <w:rPr>
          <w:rFonts w:ascii="Arial" w:hAnsi="Arial" w:cs="Arial"/>
          <w:sz w:val="16"/>
          <w:szCs w:val="16"/>
          <w:lang w:eastAsia="ja-JP"/>
        </w:rPr>
      </w:pPr>
      <w:r w:rsidRPr="00744C2E">
        <w:rPr>
          <w:rFonts w:ascii="Arial" w:hAnsi="Arial" w:cs="Arial"/>
          <w:sz w:val="16"/>
          <w:szCs w:val="16"/>
        </w:rPr>
        <w:t>Within the frequency span of a carrier, multiple SSBs can be transmitted. The PCIs of SSBs transmitted in different frequency locations do not have to be unique, i.e. different SSBs in the frequency domain can have different PCIs. However, when an SSB is associated with an RMSI, the SSB is referred to as a Cell-Defining SSB (CD-SSB). A PCell is always associated to a CD-SSB located on the synchronization raster.</w:t>
      </w:r>
    </w:p>
    <w:p w14:paraId="7BEBC255" w14:textId="77777777" w:rsidR="00744C2E" w:rsidRPr="00744C2E" w:rsidRDefault="00744C2E" w:rsidP="00744C2E">
      <w:pPr>
        <w:pStyle w:val="TH"/>
      </w:pPr>
      <w:r w:rsidRPr="00744C2E">
        <w:rPr>
          <w:noProof/>
        </w:rPr>
        <w:object w:dxaOrig="3180" w:dyaOrig="4980" w14:anchorId="7EC460B6">
          <v:shape id="_x0000_i1227" type="#_x0000_t75" style="width:159pt;height:249pt" o:ole="">
            <v:imagedata r:id="rId1584" o:title=""/>
          </v:shape>
          <o:OLEObject Type="Embed" ProgID="Visio.Drawing.11" ShapeID="_x0000_i1227" DrawAspect="Content" ObjectID="_1769863832" r:id="rId1585"/>
        </w:object>
      </w:r>
    </w:p>
    <w:p w14:paraId="1E8B203B" w14:textId="77777777" w:rsidR="00744C2E" w:rsidRPr="00744C2E" w:rsidRDefault="00744C2E" w:rsidP="00744C2E">
      <w:pPr>
        <w:jc w:val="center"/>
        <w:rPr>
          <w:rFonts w:ascii="Arial" w:hAnsi="Arial" w:cs="Arial"/>
          <w:b/>
          <w:bCs/>
          <w:sz w:val="16"/>
          <w:szCs w:val="16"/>
        </w:rPr>
      </w:pPr>
      <w:r w:rsidRPr="00744C2E">
        <w:rPr>
          <w:rFonts w:ascii="Arial" w:hAnsi="Arial" w:cs="Arial"/>
          <w:b/>
          <w:bCs/>
          <w:sz w:val="16"/>
          <w:szCs w:val="16"/>
        </w:rPr>
        <w:t>Figure 5.2.4-1: Time-frequency structure of SSB</w:t>
      </w:r>
    </w:p>
    <w:p w14:paraId="5A6039E5" w14:textId="77777777" w:rsidR="00744C2E" w:rsidRPr="00744C2E" w:rsidRDefault="00744C2E" w:rsidP="00744C2E">
      <w:pPr>
        <w:rPr>
          <w:rFonts w:ascii="Arial" w:hAnsi="Arial" w:cs="Arial"/>
          <w:sz w:val="16"/>
          <w:szCs w:val="16"/>
        </w:rPr>
      </w:pPr>
      <w:r w:rsidRPr="00744C2E">
        <w:rPr>
          <w:rFonts w:ascii="Arial" w:hAnsi="Arial" w:cs="Arial"/>
          <w:sz w:val="16"/>
          <w:szCs w:val="16"/>
        </w:rPr>
        <w:t>Polar coding is used for PBCH.</w:t>
      </w:r>
    </w:p>
    <w:p w14:paraId="3899E474" w14:textId="77777777" w:rsidR="00744C2E" w:rsidRPr="00744C2E" w:rsidRDefault="00744C2E" w:rsidP="00744C2E">
      <w:pPr>
        <w:rPr>
          <w:rFonts w:ascii="Arial" w:hAnsi="Arial" w:cs="Arial"/>
          <w:sz w:val="16"/>
          <w:szCs w:val="16"/>
        </w:rPr>
      </w:pPr>
      <w:r w:rsidRPr="00744C2E">
        <w:rPr>
          <w:rFonts w:ascii="Arial" w:hAnsi="Arial" w:cs="Arial"/>
          <w:sz w:val="16"/>
          <w:szCs w:val="16"/>
        </w:rPr>
        <w:t>The UE may assume a band-specific sub-carrier spacing for the SSB unless a network has configured the UE to assume a different sub-carrier spacing.</w:t>
      </w:r>
    </w:p>
    <w:p w14:paraId="02DDFCF4" w14:textId="77777777" w:rsidR="00744C2E" w:rsidRPr="00744C2E" w:rsidRDefault="00744C2E" w:rsidP="00744C2E">
      <w:pPr>
        <w:rPr>
          <w:rFonts w:ascii="Arial" w:hAnsi="Arial" w:cs="Arial"/>
          <w:sz w:val="16"/>
          <w:szCs w:val="16"/>
        </w:rPr>
      </w:pPr>
      <w:r w:rsidRPr="00744C2E">
        <w:rPr>
          <w:rFonts w:ascii="Arial" w:hAnsi="Arial" w:cs="Arial"/>
          <w:sz w:val="16"/>
          <w:szCs w:val="16"/>
        </w:rPr>
        <w:t>PBCH symbols carry its own frequency-multiplexed DMRS.</w:t>
      </w:r>
    </w:p>
    <w:p w14:paraId="193DC2B5" w14:textId="77777777" w:rsidR="00744C2E" w:rsidRPr="00744C2E" w:rsidRDefault="00744C2E" w:rsidP="00744C2E">
      <w:pPr>
        <w:rPr>
          <w:rFonts w:ascii="Arial" w:hAnsi="Arial" w:cs="Arial"/>
          <w:sz w:val="16"/>
          <w:szCs w:val="16"/>
        </w:rPr>
      </w:pPr>
      <w:r w:rsidRPr="00744C2E">
        <w:rPr>
          <w:rFonts w:ascii="Arial" w:hAnsi="Arial" w:cs="Arial"/>
          <w:sz w:val="16"/>
          <w:szCs w:val="16"/>
        </w:rPr>
        <w:t>QPSK modulation is used for PBCH.</w:t>
      </w:r>
    </w:p>
    <w:p w14:paraId="716357B8" w14:textId="77777777" w:rsidR="00744C2E" w:rsidRPr="00744C2E" w:rsidRDefault="00744C2E" w:rsidP="00744C2E">
      <w:pPr>
        <w:rPr>
          <w:rFonts w:ascii="Arial" w:hAnsi="Arial" w:cs="Arial"/>
          <w:sz w:val="16"/>
          <w:szCs w:val="16"/>
        </w:rPr>
      </w:pPr>
      <w:r w:rsidRPr="00744C2E">
        <w:rPr>
          <w:rFonts w:ascii="Arial" w:hAnsi="Arial" w:cs="Arial"/>
          <w:sz w:val="16"/>
          <w:szCs w:val="16"/>
        </w:rPr>
        <w:t>The PBCH physical layer model is described in TS 38.202 [20].</w:t>
      </w:r>
    </w:p>
    <w:p w14:paraId="0B292702" w14:textId="77777777" w:rsidR="00744C2E" w:rsidRPr="00744C2E" w:rsidRDefault="00744C2E" w:rsidP="00744C2E">
      <w:pPr>
        <w:jc w:val="center"/>
        <w:rPr>
          <w:color w:val="FF0000"/>
          <w:szCs w:val="20"/>
        </w:rPr>
      </w:pPr>
      <w:r w:rsidRPr="00744C2E">
        <w:rPr>
          <w:color w:val="FF0000"/>
          <w:szCs w:val="20"/>
        </w:rPr>
        <w:t>&lt;Unchanged text omitted&gt;</w:t>
      </w:r>
    </w:p>
    <w:p w14:paraId="44CA2043" w14:textId="77777777" w:rsidR="00744C2E" w:rsidRPr="00744C2E" w:rsidRDefault="00744C2E" w:rsidP="00744C2E">
      <w:pPr>
        <w:jc w:val="center"/>
        <w:rPr>
          <w:b/>
          <w:bCs/>
          <w:color w:val="FF0000"/>
          <w:szCs w:val="20"/>
        </w:rPr>
      </w:pPr>
      <w:r w:rsidRPr="00744C2E">
        <w:rPr>
          <w:b/>
          <w:bCs/>
          <w:color w:val="FF0000"/>
          <w:szCs w:val="20"/>
        </w:rPr>
        <w:t>---  &lt; End of the Text Proposal &gt; ---</w:t>
      </w:r>
    </w:p>
    <w:p w14:paraId="3988AC6E" w14:textId="77777777" w:rsidR="00744C2E" w:rsidRPr="00744C2E" w:rsidRDefault="00744C2E" w:rsidP="00744C2E">
      <w:pPr>
        <w:rPr>
          <w:lang w:eastAsia="x-none"/>
        </w:rPr>
      </w:pPr>
      <w:r w:rsidRPr="00DF4A89">
        <w:rPr>
          <w:lang w:eastAsia="x-none"/>
        </w:rPr>
        <w:t>Comeback for draft LS</w:t>
      </w:r>
    </w:p>
    <w:p w14:paraId="739608E7" w14:textId="0CE53773" w:rsidR="00744C2E" w:rsidRPr="00DF4A89" w:rsidRDefault="005A18DC" w:rsidP="00F74A6F">
      <w:pPr>
        <w:rPr>
          <w:b/>
          <w:bCs/>
          <w:lang w:eastAsia="x-none"/>
        </w:rPr>
      </w:pPr>
      <w:hyperlink r:id="rId1586" w:history="1">
        <w:r w:rsidR="00AF7253">
          <w:rPr>
            <w:rStyle w:val="Hyperlink"/>
            <w:b/>
            <w:bCs/>
            <w:lang w:eastAsia="x-none"/>
          </w:rPr>
          <w:t>R1-2312457</w:t>
        </w:r>
      </w:hyperlink>
      <w:r w:rsidR="00DF4A89" w:rsidRPr="00DF4A89">
        <w:rPr>
          <w:b/>
          <w:bCs/>
          <w:lang w:eastAsia="x-none"/>
        </w:rPr>
        <w:tab/>
        <w:t>DRAFT LS on Introduction of NR support for dedicated spectrum less than 5MHz for FR1 to TS 38.300</w:t>
      </w:r>
      <w:r w:rsidR="00DF4A89" w:rsidRPr="00DF4A89">
        <w:rPr>
          <w:b/>
          <w:bCs/>
          <w:lang w:eastAsia="x-none"/>
        </w:rPr>
        <w:tab/>
        <w:t>Moderator (Nokia)</w:t>
      </w:r>
    </w:p>
    <w:p w14:paraId="5AC2F253" w14:textId="18C180E5" w:rsidR="00744C2E" w:rsidRPr="009537ED" w:rsidRDefault="00DF4A89" w:rsidP="00F74A6F">
      <w:pPr>
        <w:rPr>
          <w:lang w:eastAsia="x-none"/>
        </w:rPr>
      </w:pPr>
      <w:r w:rsidRPr="00DF4A89">
        <w:rPr>
          <w:b/>
          <w:bCs/>
          <w:lang w:eastAsia="x-none"/>
        </w:rPr>
        <w:t>Thursday decision:</w:t>
      </w:r>
      <w:r>
        <w:rPr>
          <w:lang w:eastAsia="x-none"/>
        </w:rPr>
        <w:t xml:space="preserve"> The draft LS in </w:t>
      </w:r>
      <w:hyperlink r:id="rId1587" w:history="1">
        <w:r w:rsidR="00AF7253">
          <w:rPr>
            <w:rStyle w:val="Hyperlink"/>
            <w:lang w:eastAsia="x-none"/>
          </w:rPr>
          <w:t>R1-2312457</w:t>
        </w:r>
      </w:hyperlink>
      <w:r>
        <w:rPr>
          <w:lang w:eastAsia="x-none"/>
        </w:rPr>
        <w:t xml:space="preserve"> is endorsed. Final LS is </w:t>
      </w:r>
      <w:r w:rsidRPr="00DF4A89">
        <w:rPr>
          <w:highlight w:val="green"/>
          <w:lang w:eastAsia="x-none"/>
        </w:rPr>
        <w:t xml:space="preserve">approved in </w:t>
      </w:r>
      <w:hyperlink r:id="rId1588" w:history="1">
        <w:r w:rsidR="00AF7253">
          <w:rPr>
            <w:rStyle w:val="Hyperlink"/>
            <w:highlight w:val="green"/>
            <w:lang w:eastAsia="x-none"/>
          </w:rPr>
          <w:t>R1-2312458</w:t>
        </w:r>
      </w:hyperlink>
      <w:r>
        <w:rPr>
          <w:lang w:eastAsia="x-none"/>
        </w:rPr>
        <w:t>.</w:t>
      </w:r>
    </w:p>
    <w:p w14:paraId="33F3E3A8" w14:textId="77777777" w:rsidR="00F74A6F" w:rsidRPr="009537ED" w:rsidRDefault="00F74A6F" w:rsidP="00744C2E">
      <w:pPr>
        <w:pStyle w:val="Heading3"/>
      </w:pPr>
      <w:bookmarkStart w:id="724" w:name="_Toc150174480"/>
      <w:bookmarkStart w:id="725" w:name="_Toc159251022"/>
      <w:r w:rsidRPr="009537ED">
        <w:t>Enhancements to operate NR on dedicated spectrum less than 5 MHz</w:t>
      </w:r>
      <w:bookmarkEnd w:id="724"/>
      <w:bookmarkEnd w:id="725"/>
    </w:p>
    <w:p w14:paraId="2E717F38" w14:textId="525CF8DD" w:rsidR="00F74A6F" w:rsidRPr="009537ED" w:rsidRDefault="005A18DC" w:rsidP="00F74A6F">
      <w:pPr>
        <w:rPr>
          <w:lang w:eastAsia="x-none"/>
        </w:rPr>
      </w:pPr>
      <w:hyperlink r:id="rId1589" w:history="1">
        <w:r w:rsidR="00AF7253">
          <w:rPr>
            <w:rStyle w:val="Hyperlink"/>
            <w:lang w:eastAsia="x-none"/>
          </w:rPr>
          <w:t>R1-2310966</w:t>
        </w:r>
      </w:hyperlink>
      <w:r w:rsidR="00F74A6F" w:rsidRPr="009537ED">
        <w:rPr>
          <w:lang w:eastAsia="x-none"/>
        </w:rPr>
        <w:tab/>
        <w:t>Maintenance on NR support of spectrum less than 5MHz for FR1</w:t>
      </w:r>
      <w:r w:rsidR="00F74A6F" w:rsidRPr="009537ED">
        <w:rPr>
          <w:lang w:eastAsia="x-none"/>
        </w:rPr>
        <w:tab/>
        <w:t>Ericsson</w:t>
      </w:r>
    </w:p>
    <w:p w14:paraId="532A635B" w14:textId="37070A7F" w:rsidR="00F74A6F" w:rsidRPr="009537ED" w:rsidRDefault="005A18DC" w:rsidP="00F74A6F">
      <w:pPr>
        <w:rPr>
          <w:lang w:eastAsia="x-none"/>
        </w:rPr>
      </w:pPr>
      <w:hyperlink r:id="rId1590" w:history="1">
        <w:r w:rsidR="00AF7253">
          <w:rPr>
            <w:rStyle w:val="Hyperlink"/>
            <w:lang w:eastAsia="x-none"/>
          </w:rPr>
          <w:t>R1-2311022</w:t>
        </w:r>
      </w:hyperlink>
      <w:r w:rsidR="00F74A6F" w:rsidRPr="009537ED">
        <w:rPr>
          <w:lang w:eastAsia="x-none"/>
        </w:rPr>
        <w:tab/>
        <w:t>Remaining issues on dedicated spectrum less than 5 MHz</w:t>
      </w:r>
      <w:r w:rsidR="00F74A6F" w:rsidRPr="009537ED">
        <w:rPr>
          <w:lang w:eastAsia="x-none"/>
        </w:rPr>
        <w:tab/>
        <w:t>ZTE</w:t>
      </w:r>
    </w:p>
    <w:p w14:paraId="1C327600" w14:textId="5B47CB3D" w:rsidR="00F74A6F" w:rsidRPr="009537ED" w:rsidRDefault="005A18DC" w:rsidP="00F74A6F">
      <w:pPr>
        <w:rPr>
          <w:lang w:eastAsia="x-none"/>
        </w:rPr>
      </w:pPr>
      <w:hyperlink r:id="rId1591" w:history="1">
        <w:r w:rsidR="00AF7253">
          <w:rPr>
            <w:rStyle w:val="Hyperlink"/>
            <w:lang w:eastAsia="x-none"/>
          </w:rPr>
          <w:t>R1-2311355</w:t>
        </w:r>
      </w:hyperlink>
      <w:r w:rsidR="00F74A6F" w:rsidRPr="009537ED">
        <w:rPr>
          <w:lang w:eastAsia="x-none"/>
        </w:rPr>
        <w:tab/>
        <w:t>Discussion on enhancements to operate NR on dedicated spectrum less than 5MHz</w:t>
      </w:r>
      <w:r w:rsidR="00F74A6F" w:rsidRPr="009537ED">
        <w:rPr>
          <w:lang w:eastAsia="x-none"/>
        </w:rPr>
        <w:tab/>
        <w:t>CATT</w:t>
      </w:r>
    </w:p>
    <w:p w14:paraId="56E58C9B" w14:textId="7F84506B" w:rsidR="00F74A6F" w:rsidRPr="009537ED" w:rsidRDefault="005A18DC" w:rsidP="00F74A6F">
      <w:pPr>
        <w:rPr>
          <w:lang w:eastAsia="x-none"/>
        </w:rPr>
      </w:pPr>
      <w:hyperlink r:id="rId1592" w:history="1">
        <w:r w:rsidR="00AF7253">
          <w:rPr>
            <w:rStyle w:val="Hyperlink"/>
            <w:lang w:eastAsia="x-none"/>
          </w:rPr>
          <w:t>R1-2311356</w:t>
        </w:r>
      </w:hyperlink>
      <w:r w:rsidR="00F74A6F" w:rsidRPr="009537ED">
        <w:rPr>
          <w:lang w:eastAsia="x-none"/>
        </w:rPr>
        <w:tab/>
        <w:t>NR support for below 5 MHz BW</w:t>
      </w:r>
      <w:r w:rsidR="00F74A6F" w:rsidRPr="009537ED">
        <w:rPr>
          <w:lang w:eastAsia="x-none"/>
        </w:rPr>
        <w:tab/>
        <w:t>Nokia, Nokia Shanghai Bell</w:t>
      </w:r>
    </w:p>
    <w:p w14:paraId="3F4FEF66" w14:textId="6B22C100" w:rsidR="00F74A6F" w:rsidRPr="009537ED" w:rsidRDefault="005A18DC" w:rsidP="00F74A6F">
      <w:pPr>
        <w:rPr>
          <w:lang w:eastAsia="x-none"/>
        </w:rPr>
      </w:pPr>
      <w:hyperlink r:id="rId1593" w:history="1">
        <w:r w:rsidR="00AF7253">
          <w:rPr>
            <w:rStyle w:val="Hyperlink"/>
            <w:lang w:eastAsia="x-none"/>
          </w:rPr>
          <w:t>R1-2311633</w:t>
        </w:r>
      </w:hyperlink>
      <w:r w:rsidR="00F74A6F" w:rsidRPr="009537ED">
        <w:rPr>
          <w:lang w:eastAsia="x-none"/>
        </w:rPr>
        <w:tab/>
        <w:t>Remaining issues on enhancements to operate NR on dedicated spectrum less than 5 MHz</w:t>
      </w:r>
      <w:r w:rsidR="00F74A6F" w:rsidRPr="009537ED">
        <w:rPr>
          <w:lang w:eastAsia="x-none"/>
        </w:rPr>
        <w:tab/>
        <w:t>NTT DOCOMO, INC.</w:t>
      </w:r>
    </w:p>
    <w:p w14:paraId="789FF4C4" w14:textId="759CC929" w:rsidR="00F74A6F" w:rsidRPr="009537ED" w:rsidRDefault="005A18DC" w:rsidP="00F74A6F">
      <w:pPr>
        <w:rPr>
          <w:lang w:eastAsia="x-none"/>
        </w:rPr>
      </w:pPr>
      <w:hyperlink r:id="rId1594" w:history="1">
        <w:r w:rsidR="00AF7253">
          <w:rPr>
            <w:rStyle w:val="Hyperlink"/>
            <w:lang w:eastAsia="x-none"/>
          </w:rPr>
          <w:t>R1-2311725</w:t>
        </w:r>
      </w:hyperlink>
      <w:r w:rsidR="00F74A6F" w:rsidRPr="009537ED">
        <w:rPr>
          <w:lang w:eastAsia="x-none"/>
        </w:rPr>
        <w:tab/>
        <w:t>Remaining issues on dedicated spectrum less than 5 MHz</w:t>
      </w:r>
      <w:r w:rsidR="00F74A6F" w:rsidRPr="009537ED">
        <w:rPr>
          <w:lang w:eastAsia="x-none"/>
        </w:rPr>
        <w:tab/>
        <w:t>Lenovo</w:t>
      </w:r>
    </w:p>
    <w:p w14:paraId="2B7E05CE" w14:textId="177D276F" w:rsidR="00F74A6F" w:rsidRPr="009537ED" w:rsidRDefault="005A18DC" w:rsidP="00F74A6F">
      <w:pPr>
        <w:rPr>
          <w:lang w:eastAsia="x-none"/>
        </w:rPr>
      </w:pPr>
      <w:hyperlink r:id="rId1595" w:history="1">
        <w:r w:rsidR="00AF7253">
          <w:rPr>
            <w:rStyle w:val="Hyperlink"/>
            <w:lang w:eastAsia="x-none"/>
          </w:rPr>
          <w:t>R1-2311857</w:t>
        </w:r>
      </w:hyperlink>
      <w:r w:rsidR="00F74A6F" w:rsidRPr="009537ED">
        <w:rPr>
          <w:lang w:eastAsia="x-none"/>
        </w:rPr>
        <w:tab/>
        <w:t>Maintenance on enhancements to operate NR on dedicated spectrum less than 5 MHz</w:t>
      </w:r>
      <w:r w:rsidR="00F74A6F" w:rsidRPr="009537ED">
        <w:rPr>
          <w:lang w:eastAsia="x-none"/>
        </w:rPr>
        <w:tab/>
        <w:t>Samsung</w:t>
      </w:r>
    </w:p>
    <w:p w14:paraId="1CB17A64" w14:textId="41BB1735" w:rsidR="00F74A6F" w:rsidRPr="009537ED" w:rsidRDefault="005A18DC" w:rsidP="00F74A6F">
      <w:pPr>
        <w:rPr>
          <w:lang w:eastAsia="x-none"/>
        </w:rPr>
      </w:pPr>
      <w:hyperlink r:id="rId1596" w:history="1">
        <w:r w:rsidR="00AF7253">
          <w:rPr>
            <w:rStyle w:val="Hyperlink"/>
            <w:lang w:eastAsia="x-none"/>
          </w:rPr>
          <w:t>R1-2311898</w:t>
        </w:r>
      </w:hyperlink>
      <w:r w:rsidR="00F74A6F" w:rsidRPr="009537ED">
        <w:rPr>
          <w:lang w:eastAsia="x-none"/>
        </w:rPr>
        <w:tab/>
        <w:t>Remaining issues of enhancements for dedicated spectrum less than 5 MHz</w:t>
      </w:r>
      <w:r w:rsidR="00F74A6F" w:rsidRPr="009537ED">
        <w:rPr>
          <w:lang w:eastAsia="x-none"/>
        </w:rPr>
        <w:tab/>
        <w:t>LG Electronics</w:t>
      </w:r>
    </w:p>
    <w:p w14:paraId="5FB11DE6" w14:textId="2FC43A44" w:rsidR="00F74A6F" w:rsidRPr="009537ED" w:rsidRDefault="005A18DC" w:rsidP="00F74A6F">
      <w:pPr>
        <w:rPr>
          <w:lang w:eastAsia="x-none"/>
        </w:rPr>
      </w:pPr>
      <w:hyperlink r:id="rId1597" w:history="1">
        <w:r w:rsidR="00AF7253">
          <w:rPr>
            <w:rStyle w:val="Hyperlink"/>
            <w:lang w:eastAsia="x-none"/>
          </w:rPr>
          <w:t>R1-2311988</w:t>
        </w:r>
      </w:hyperlink>
      <w:r w:rsidR="00F74A6F" w:rsidRPr="009537ED">
        <w:rPr>
          <w:lang w:eastAsia="x-none"/>
        </w:rPr>
        <w:tab/>
        <w:t>Maintenance on dedicated spectrum less than 5MHz</w:t>
      </w:r>
      <w:r w:rsidR="00F74A6F" w:rsidRPr="009537ED">
        <w:rPr>
          <w:lang w:eastAsia="x-none"/>
        </w:rPr>
        <w:tab/>
        <w:t>MediaTek Inc.</w:t>
      </w:r>
    </w:p>
    <w:p w14:paraId="28D4FD03" w14:textId="34C26AF5" w:rsidR="00F74A6F" w:rsidRPr="009537ED" w:rsidRDefault="005A18DC" w:rsidP="00F74A6F">
      <w:pPr>
        <w:rPr>
          <w:lang w:eastAsia="x-none"/>
        </w:rPr>
      </w:pPr>
      <w:hyperlink r:id="rId1598" w:history="1">
        <w:r w:rsidR="00AF7253">
          <w:rPr>
            <w:rStyle w:val="Hyperlink"/>
            <w:lang w:eastAsia="x-none"/>
          </w:rPr>
          <w:t>R1-2312048</w:t>
        </w:r>
      </w:hyperlink>
      <w:r w:rsidR="00F74A6F" w:rsidRPr="009537ED">
        <w:rPr>
          <w:lang w:eastAsia="x-none"/>
        </w:rPr>
        <w:tab/>
        <w:t>NR support for dedicated spectrum less than 5MHz for FR1</w:t>
      </w:r>
      <w:r w:rsidR="00F74A6F" w:rsidRPr="009537ED">
        <w:rPr>
          <w:lang w:eastAsia="x-none"/>
        </w:rPr>
        <w:tab/>
        <w:t>Qualcomm Incorporated</w:t>
      </w:r>
    </w:p>
    <w:p w14:paraId="0DFB2A9E" w14:textId="5550A642" w:rsidR="00F74A6F" w:rsidRPr="009537ED" w:rsidRDefault="005A18DC" w:rsidP="00F74A6F">
      <w:pPr>
        <w:rPr>
          <w:lang w:eastAsia="x-none"/>
        </w:rPr>
      </w:pPr>
      <w:hyperlink r:id="rId1599" w:history="1">
        <w:r w:rsidR="00AF7253">
          <w:rPr>
            <w:rStyle w:val="Hyperlink"/>
            <w:lang w:eastAsia="x-none"/>
          </w:rPr>
          <w:t>R1-2312133</w:t>
        </w:r>
      </w:hyperlink>
      <w:r w:rsidR="00F74A6F" w:rsidRPr="009537ED">
        <w:rPr>
          <w:lang w:eastAsia="x-none"/>
        </w:rPr>
        <w:tab/>
        <w:t>Further discussion on dedicated spectrum less than 5MHz for FR1</w:t>
      </w:r>
      <w:r w:rsidR="00F74A6F" w:rsidRPr="009537ED">
        <w:rPr>
          <w:lang w:eastAsia="x-none"/>
        </w:rPr>
        <w:tab/>
        <w:t>TD Tech, Chengdu TD Tech</w:t>
      </w:r>
    </w:p>
    <w:p w14:paraId="779EB0A8" w14:textId="796E457F" w:rsidR="00F74A6F" w:rsidRDefault="005A18DC" w:rsidP="00F74A6F">
      <w:pPr>
        <w:rPr>
          <w:lang w:eastAsia="x-none"/>
        </w:rPr>
      </w:pPr>
      <w:hyperlink r:id="rId1600" w:history="1">
        <w:r w:rsidR="00AF7253">
          <w:rPr>
            <w:rStyle w:val="Hyperlink"/>
            <w:lang w:eastAsia="x-none"/>
          </w:rPr>
          <w:t>R1-2312151</w:t>
        </w:r>
      </w:hyperlink>
      <w:r w:rsidR="00F74A6F" w:rsidRPr="009537ED">
        <w:rPr>
          <w:lang w:eastAsia="x-none"/>
        </w:rPr>
        <w:tab/>
        <w:t>Enhancements to operate NR on dedicated spectrum less than 5 MHz</w:t>
      </w:r>
      <w:r w:rsidR="00F74A6F" w:rsidRPr="009537ED">
        <w:rPr>
          <w:lang w:eastAsia="x-none"/>
        </w:rPr>
        <w:tab/>
        <w:t>Huawei, HiSilicon</w:t>
      </w:r>
    </w:p>
    <w:p w14:paraId="6613D24F" w14:textId="77777777" w:rsidR="00976366" w:rsidRDefault="00976366" w:rsidP="00F74A6F">
      <w:pPr>
        <w:rPr>
          <w:lang w:eastAsia="x-none"/>
        </w:rPr>
      </w:pPr>
    </w:p>
    <w:p w14:paraId="0652CF08" w14:textId="3729FCD5" w:rsidR="00976366" w:rsidRPr="00976366" w:rsidRDefault="005A18DC" w:rsidP="00976366">
      <w:pPr>
        <w:rPr>
          <w:b/>
          <w:bCs/>
          <w:lang w:eastAsia="x-none"/>
        </w:rPr>
      </w:pPr>
      <w:hyperlink r:id="rId1601" w:history="1">
        <w:r w:rsidR="00AF7253">
          <w:rPr>
            <w:rStyle w:val="Hyperlink"/>
            <w:b/>
            <w:bCs/>
            <w:lang w:eastAsia="x-none"/>
          </w:rPr>
          <w:t>R1-2312397</w:t>
        </w:r>
      </w:hyperlink>
      <w:r w:rsidR="00976366" w:rsidRPr="00976366">
        <w:rPr>
          <w:b/>
          <w:bCs/>
          <w:lang w:eastAsia="x-none"/>
        </w:rPr>
        <w:tab/>
        <w:t>Summary#1 of discussion on enhancements to operate NR on dedicated spectrum less than 5MHz</w:t>
      </w:r>
      <w:r w:rsidR="00976366" w:rsidRPr="00976366">
        <w:rPr>
          <w:b/>
          <w:bCs/>
          <w:lang w:eastAsia="x-none"/>
        </w:rPr>
        <w:tab/>
        <w:t>Moderator (Lenovo)</w:t>
      </w:r>
    </w:p>
    <w:p w14:paraId="2B9DFB2F" w14:textId="3878A7C7" w:rsidR="00976366" w:rsidRDefault="00976366" w:rsidP="00976366">
      <w:pPr>
        <w:rPr>
          <w:lang w:eastAsia="x-none"/>
        </w:rPr>
      </w:pPr>
      <w:r>
        <w:rPr>
          <w:lang w:eastAsia="x-none"/>
        </w:rPr>
        <w:t>From Tuesday session</w:t>
      </w:r>
    </w:p>
    <w:p w14:paraId="5F192B1A" w14:textId="77777777" w:rsidR="00976366" w:rsidRPr="00976366" w:rsidRDefault="00976366" w:rsidP="00976366">
      <w:pPr>
        <w:rPr>
          <w:rFonts w:eastAsia="DengXian"/>
          <w:lang w:eastAsia="zh-CN"/>
        </w:rPr>
      </w:pPr>
      <w:r w:rsidRPr="00976366">
        <w:rPr>
          <w:rFonts w:eastAsia="DengXian"/>
          <w:highlight w:val="green"/>
          <w:lang w:eastAsia="zh-CN"/>
        </w:rPr>
        <w:t>Agreement</w:t>
      </w:r>
    </w:p>
    <w:p w14:paraId="63975E6F" w14:textId="77777777" w:rsidR="00976366" w:rsidRPr="00976366" w:rsidRDefault="00976366" w:rsidP="00976366">
      <w:pPr>
        <w:rPr>
          <w:bCs/>
          <w:lang w:eastAsia="zh-CN"/>
        </w:rPr>
      </w:pPr>
      <w:r w:rsidRPr="00976366">
        <w:rPr>
          <w:bCs/>
          <w:lang w:eastAsia="zh-CN"/>
        </w:rPr>
        <w:lastRenderedPageBreak/>
        <w:t xml:space="preserve">Confirm the following working assumption as a conclusion. </w:t>
      </w:r>
    </w:p>
    <w:tbl>
      <w:tblPr>
        <w:tblW w:w="5000" w:type="pct"/>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0683"/>
      </w:tblGrid>
      <w:tr w:rsidR="00976366" w:rsidRPr="00976366" w14:paraId="2712CA3E" w14:textId="77777777" w:rsidTr="00976366">
        <w:tc>
          <w:tcPr>
            <w:tcW w:w="5000" w:type="pct"/>
            <w:shd w:val="clear" w:color="auto" w:fill="auto"/>
          </w:tcPr>
          <w:p w14:paraId="410EA7EF" w14:textId="77777777" w:rsidR="00976366" w:rsidRPr="00976366" w:rsidRDefault="00976366" w:rsidP="00976366">
            <w:pPr>
              <w:rPr>
                <w:rFonts w:ascii="Arial" w:eastAsia="DengXian" w:hAnsi="Arial" w:cs="Arial"/>
                <w:sz w:val="16"/>
                <w:szCs w:val="16"/>
                <w:highlight w:val="darkYellow"/>
                <w:lang w:eastAsia="zh-CN"/>
              </w:rPr>
            </w:pPr>
            <w:r w:rsidRPr="00976366">
              <w:rPr>
                <w:rFonts w:ascii="Arial" w:eastAsia="DengXian" w:hAnsi="Arial" w:cs="Arial"/>
                <w:sz w:val="16"/>
                <w:szCs w:val="16"/>
                <w:highlight w:val="darkYellow"/>
                <w:lang w:eastAsia="zh-CN"/>
              </w:rPr>
              <w:t>Working Assumption</w:t>
            </w:r>
          </w:p>
          <w:p w14:paraId="6A4D4CF8" w14:textId="77777777" w:rsidR="00976366" w:rsidRPr="00976366" w:rsidRDefault="00976366" w:rsidP="00976366">
            <w:pPr>
              <w:rPr>
                <w:rFonts w:ascii="Arial" w:hAnsi="Arial" w:cs="Arial"/>
                <w:sz w:val="16"/>
                <w:szCs w:val="16"/>
              </w:rPr>
            </w:pPr>
            <w:r w:rsidRPr="00976366">
              <w:rPr>
                <w:rFonts w:ascii="Arial" w:hAnsi="Arial" w:cs="Arial"/>
                <w:sz w:val="16"/>
                <w:szCs w:val="16"/>
              </w:rPr>
              <w:t>For 3MHz channel BW,</w:t>
            </w:r>
          </w:p>
          <w:p w14:paraId="328EBB6F" w14:textId="77777777" w:rsidR="00976366" w:rsidRPr="00976366" w:rsidRDefault="00976366" w:rsidP="00AA1D48">
            <w:pPr>
              <w:numPr>
                <w:ilvl w:val="0"/>
                <w:numId w:val="139"/>
              </w:numPr>
              <w:spacing w:after="160" w:line="256" w:lineRule="auto"/>
              <w:contextualSpacing/>
              <w:rPr>
                <w:rFonts w:ascii="Arial" w:hAnsi="Arial" w:cs="Arial"/>
                <w:sz w:val="16"/>
                <w:szCs w:val="16"/>
                <w:lang w:val="en-US" w:eastAsia="x-none"/>
              </w:rPr>
            </w:pPr>
            <w:r w:rsidRPr="00976366">
              <w:rPr>
                <w:rFonts w:ascii="Arial" w:hAnsi="Arial" w:cs="Arial"/>
                <w:sz w:val="16"/>
                <w:szCs w:val="16"/>
                <w:lang w:val="en-US" w:eastAsia="x-none"/>
              </w:rPr>
              <w:t>For the new sync. raster point (=920.73MHz, GSCN 41637 on band n100), UE supports 12 PRB BWP</w:t>
            </w:r>
          </w:p>
          <w:p w14:paraId="28B95609" w14:textId="77777777" w:rsidR="00976366" w:rsidRPr="00976366" w:rsidRDefault="00976366" w:rsidP="00AA1D48">
            <w:pPr>
              <w:numPr>
                <w:ilvl w:val="0"/>
                <w:numId w:val="139"/>
              </w:numPr>
              <w:spacing w:line="252" w:lineRule="auto"/>
              <w:contextualSpacing/>
              <w:rPr>
                <w:rFonts w:ascii="Arial" w:hAnsi="Arial" w:cs="Arial"/>
                <w:sz w:val="16"/>
                <w:szCs w:val="16"/>
                <w:lang w:val="en-US" w:eastAsia="x-none"/>
              </w:rPr>
            </w:pPr>
            <w:r w:rsidRPr="00976366">
              <w:rPr>
                <w:rFonts w:ascii="Arial" w:hAnsi="Arial" w:cs="Arial"/>
                <w:sz w:val="16"/>
                <w:szCs w:val="16"/>
                <w:lang w:val="en-US" w:eastAsia="x-none"/>
              </w:rPr>
              <w:t>For other new sync raster points, UE supports 15 PRB BWP</w:t>
            </w:r>
          </w:p>
          <w:p w14:paraId="69266066" w14:textId="77777777" w:rsidR="00976366" w:rsidRPr="00976366" w:rsidRDefault="00976366" w:rsidP="00AA1D48">
            <w:pPr>
              <w:numPr>
                <w:ilvl w:val="1"/>
                <w:numId w:val="139"/>
              </w:numPr>
              <w:spacing w:line="252" w:lineRule="auto"/>
              <w:contextualSpacing/>
              <w:rPr>
                <w:rFonts w:ascii="Arial" w:hAnsi="Arial" w:cs="Arial"/>
                <w:sz w:val="16"/>
                <w:szCs w:val="16"/>
                <w:lang w:val="en-US" w:eastAsia="x-none"/>
              </w:rPr>
            </w:pPr>
            <w:r w:rsidRPr="00976366">
              <w:rPr>
                <w:rFonts w:ascii="Arial" w:eastAsia="DengXian" w:hAnsi="Arial" w:cs="Arial"/>
                <w:sz w:val="16"/>
                <w:szCs w:val="16"/>
                <w:lang w:val="en-US" w:eastAsia="zh-CN"/>
              </w:rPr>
              <w:t>Note: it does not introduce any new interpretation on FG6-1</w:t>
            </w:r>
          </w:p>
          <w:p w14:paraId="004D0DB0" w14:textId="77777777" w:rsidR="00976366" w:rsidRPr="00976366" w:rsidRDefault="00976366" w:rsidP="00976366">
            <w:pPr>
              <w:rPr>
                <w:rFonts w:ascii="Arial" w:eastAsia="DengXian" w:hAnsi="Arial" w:cs="Arial"/>
                <w:sz w:val="16"/>
                <w:szCs w:val="16"/>
                <w:lang w:eastAsia="zh-CN"/>
              </w:rPr>
            </w:pPr>
            <w:r w:rsidRPr="00976366">
              <w:rPr>
                <w:rFonts w:ascii="Arial" w:eastAsia="DengXian" w:hAnsi="Arial" w:cs="Arial"/>
                <w:sz w:val="16"/>
                <w:szCs w:val="16"/>
                <w:lang w:eastAsia="zh-CN"/>
              </w:rPr>
              <w:t>Note: it will be a conclusion when this working assumption is confirmed</w:t>
            </w:r>
          </w:p>
        </w:tc>
      </w:tr>
    </w:tbl>
    <w:p w14:paraId="16E573EF" w14:textId="77777777" w:rsidR="00976366" w:rsidRPr="00976366" w:rsidRDefault="00976366" w:rsidP="00976366">
      <w:pPr>
        <w:rPr>
          <w:rFonts w:eastAsia="DengXian"/>
          <w:lang w:eastAsia="zh-CN"/>
        </w:rPr>
      </w:pPr>
    </w:p>
    <w:p w14:paraId="1856B24F" w14:textId="77777777" w:rsidR="00976366" w:rsidRDefault="00976366" w:rsidP="00F74A6F">
      <w:pPr>
        <w:rPr>
          <w:lang w:eastAsia="x-none"/>
        </w:rPr>
      </w:pPr>
    </w:p>
    <w:p w14:paraId="1F0AD5F5" w14:textId="2AE7B187" w:rsidR="00976366" w:rsidRPr="00976366" w:rsidRDefault="005A18DC" w:rsidP="00976366">
      <w:pPr>
        <w:rPr>
          <w:lang w:eastAsia="x-none"/>
        </w:rPr>
      </w:pPr>
      <w:hyperlink r:id="rId1602" w:history="1">
        <w:r w:rsidR="00AF7253">
          <w:rPr>
            <w:rStyle w:val="Hyperlink"/>
            <w:lang w:eastAsia="x-none"/>
          </w:rPr>
          <w:t>R1-2312398</w:t>
        </w:r>
      </w:hyperlink>
      <w:r w:rsidR="00976366">
        <w:rPr>
          <w:lang w:eastAsia="x-none"/>
        </w:rPr>
        <w:tab/>
        <w:t>Summary#2 of discussion on enhancements to operate NR on dedicated spectrum less than 5MHz</w:t>
      </w:r>
      <w:r w:rsidR="00976366">
        <w:rPr>
          <w:lang w:eastAsia="x-none"/>
        </w:rPr>
        <w:tab/>
        <w:t>Moderator (Lenovo)</w:t>
      </w:r>
    </w:p>
    <w:p w14:paraId="1E096E05" w14:textId="69C22556" w:rsidR="00DF4A89" w:rsidRPr="00DF4A89" w:rsidRDefault="005A18DC" w:rsidP="00DF4A89">
      <w:pPr>
        <w:rPr>
          <w:b/>
          <w:bCs/>
          <w:lang w:eastAsia="x-none"/>
        </w:rPr>
      </w:pPr>
      <w:hyperlink r:id="rId1603" w:history="1">
        <w:r w:rsidR="00AF7253">
          <w:rPr>
            <w:rStyle w:val="Hyperlink"/>
            <w:b/>
            <w:bCs/>
            <w:lang w:eastAsia="x-none"/>
          </w:rPr>
          <w:t>R1-2312567</w:t>
        </w:r>
      </w:hyperlink>
      <w:r w:rsidR="00DF4A89" w:rsidRPr="00DF4A89">
        <w:rPr>
          <w:b/>
          <w:bCs/>
          <w:lang w:eastAsia="x-none"/>
        </w:rPr>
        <w:tab/>
        <w:t>Summary#3 of discussion on enhancements to operate NR on dedicated spectrum less than 5MHz</w:t>
      </w:r>
      <w:r w:rsidR="00DF4A89" w:rsidRPr="00DF4A89">
        <w:rPr>
          <w:b/>
          <w:bCs/>
          <w:lang w:eastAsia="x-none"/>
        </w:rPr>
        <w:tab/>
        <w:t>Moderator (Lenovo)</w:t>
      </w:r>
    </w:p>
    <w:p w14:paraId="7BAFB6F5" w14:textId="4EC9BAD5" w:rsidR="00976366" w:rsidRDefault="00DF4A89" w:rsidP="00F74A6F">
      <w:pPr>
        <w:rPr>
          <w:lang w:eastAsia="x-none"/>
        </w:rPr>
      </w:pPr>
      <w:r>
        <w:rPr>
          <w:lang w:eastAsia="x-none"/>
        </w:rPr>
        <w:t>From Thursday session</w:t>
      </w:r>
    </w:p>
    <w:p w14:paraId="305DF5C1" w14:textId="77777777" w:rsidR="00DF4A89" w:rsidRDefault="00DF4A89" w:rsidP="00DF4A89">
      <w:pPr>
        <w:rPr>
          <w:lang w:eastAsia="x-none"/>
        </w:rPr>
      </w:pPr>
      <w:r w:rsidRPr="009F2F80">
        <w:rPr>
          <w:highlight w:val="green"/>
          <w:lang w:eastAsia="x-none"/>
        </w:rPr>
        <w:t>Agreement</w:t>
      </w:r>
    </w:p>
    <w:p w14:paraId="1FA9C6CE" w14:textId="39A902DF" w:rsidR="00DF4A89" w:rsidRDefault="00DF4A89" w:rsidP="00DF4A89">
      <w:pPr>
        <w:rPr>
          <w:lang w:eastAsia="x-none"/>
        </w:rPr>
      </w:pPr>
      <w:r>
        <w:rPr>
          <w:lang w:eastAsia="x-none"/>
        </w:rPr>
        <w:t xml:space="preserve">The TP in </w:t>
      </w:r>
      <w:r w:rsidRPr="009F2F80">
        <w:rPr>
          <w:lang w:eastAsia="x-none"/>
        </w:rPr>
        <w:t>Proposal 6-1</w:t>
      </w:r>
      <w:r>
        <w:rPr>
          <w:lang w:eastAsia="x-none"/>
        </w:rPr>
        <w:t xml:space="preserve"> in section 6 of </w:t>
      </w:r>
      <w:hyperlink r:id="rId1604" w:history="1">
        <w:r w:rsidR="00AF7253">
          <w:rPr>
            <w:rStyle w:val="Hyperlink"/>
            <w:lang w:eastAsia="x-none"/>
          </w:rPr>
          <w:t>R1-2312567</w:t>
        </w:r>
      </w:hyperlink>
      <w:r w:rsidRPr="009F2F80">
        <w:rPr>
          <w:lang w:eastAsia="x-none"/>
        </w:rPr>
        <w:t xml:space="preserve"> for TS38.213 clause 10.1 </w:t>
      </w:r>
      <w:r>
        <w:rPr>
          <w:lang w:eastAsia="x-none"/>
        </w:rPr>
        <w:t>is endorsed</w:t>
      </w:r>
      <w:r w:rsidRPr="009F2F80">
        <w:rPr>
          <w:lang w:eastAsia="x-none"/>
        </w:rPr>
        <w:t>.</w:t>
      </w:r>
    </w:p>
    <w:p w14:paraId="4F3C9092" w14:textId="77777777" w:rsidR="00DF4A89" w:rsidRDefault="00DF4A89" w:rsidP="00DF4A89">
      <w:pPr>
        <w:rPr>
          <w:lang w:eastAsia="x-none"/>
        </w:rPr>
      </w:pPr>
    </w:p>
    <w:p w14:paraId="618312AB" w14:textId="77777777" w:rsidR="00DF4A89" w:rsidRPr="00DF4A89" w:rsidRDefault="00DF4A89" w:rsidP="00DF4A89">
      <w:pPr>
        <w:rPr>
          <w:bCs/>
          <w:u w:val="single"/>
          <w:lang w:eastAsia="x-none"/>
        </w:rPr>
      </w:pPr>
      <w:r w:rsidRPr="00DF4A89">
        <w:rPr>
          <w:bCs/>
          <w:u w:val="single"/>
          <w:lang w:eastAsia="x-none"/>
        </w:rPr>
        <w:t>Conclusion</w:t>
      </w:r>
    </w:p>
    <w:p w14:paraId="7C701DF5" w14:textId="5A9CA2E7" w:rsidR="00DF4A89" w:rsidRDefault="00DF4A89" w:rsidP="00DF4A89">
      <w:pPr>
        <w:rPr>
          <w:lang w:eastAsia="x-none"/>
        </w:rPr>
      </w:pPr>
      <w:r w:rsidRPr="004B3DDB">
        <w:t xml:space="preserve">For the </w:t>
      </w:r>
      <m:oMath>
        <m:sSub>
          <m:sSubPr>
            <m:ctrlPr>
              <w:rPr>
                <w:rFonts w:ascii="Cambria Math" w:eastAsia="Times New Roman" w:hAnsi="Cambria Math" w:cs="Calibri"/>
                <w:i/>
                <w:iCs/>
                <w:sz w:val="21"/>
                <w:szCs w:val="21"/>
              </w:rPr>
            </m:ctrlPr>
          </m:sSubPr>
          <m:e>
            <m:r>
              <w:rPr>
                <w:rFonts w:ascii="Cambria Math" w:hAnsi="Cambria Math"/>
              </w:rPr>
              <m:t>N</m:t>
            </m:r>
          </m:e>
          <m:sub>
            <m:r>
              <m:rPr>
                <m:sty m:val="p"/>
              </m:rPr>
              <w:rPr>
                <w:rFonts w:ascii="Cambria Math" w:hAnsi="Cambria Math"/>
              </w:rPr>
              <m:t>CCE</m:t>
            </m:r>
          </m:sub>
        </m:sSub>
      </m:oMath>
      <w:r w:rsidRPr="004B3DDB">
        <w:t xml:space="preserve"> and </w:t>
      </w:r>
      <m:oMath>
        <m:sSub>
          <m:sSubPr>
            <m:ctrlPr>
              <w:rPr>
                <w:rFonts w:ascii="Cambria Math" w:eastAsia="Times New Roman" w:hAnsi="Cambria Math" w:cs="Calibri"/>
                <w:i/>
                <w:iCs/>
                <w:sz w:val="21"/>
                <w:szCs w:val="21"/>
              </w:rPr>
            </m:ctrlPr>
          </m:sSubPr>
          <m:e>
            <m:r>
              <w:rPr>
                <w:rFonts w:ascii="Cambria Math" w:hAnsi="Cambria Math"/>
              </w:rPr>
              <m:t>n</m:t>
            </m:r>
          </m:e>
          <m:sub>
            <m:r>
              <m:rPr>
                <m:sty m:val="p"/>
              </m:rPr>
              <w:rPr>
                <w:rFonts w:ascii="Cambria Math" w:hAnsi="Cambria Math"/>
              </w:rPr>
              <m:t>CCE,0</m:t>
            </m:r>
          </m:sub>
        </m:sSub>
      </m:oMath>
      <w:r w:rsidRPr="004B3DDB">
        <w:t xml:space="preserve"> for PUCCH resource determination for CORESET#0, the CORESET for PUCCH resource determination</w:t>
      </w:r>
      <w:r w:rsidRPr="009F2F80">
        <w:t xml:space="preserve"> is obtained as described in clause 7.3.2.2 of [4, TS 38.211] before puncturing if applicable.</w:t>
      </w:r>
    </w:p>
    <w:p w14:paraId="743A3929" w14:textId="77777777" w:rsidR="00DF4A89" w:rsidRDefault="00DF4A89" w:rsidP="00DF4A89">
      <w:pPr>
        <w:rPr>
          <w:lang w:eastAsia="x-none"/>
        </w:rPr>
      </w:pPr>
    </w:p>
    <w:p w14:paraId="78AFCF27" w14:textId="77777777" w:rsidR="00DF4A89" w:rsidRDefault="00DF4A89" w:rsidP="00DF4A89">
      <w:pPr>
        <w:rPr>
          <w:lang w:eastAsia="x-none"/>
        </w:rPr>
      </w:pPr>
      <w:r w:rsidRPr="009F2F80">
        <w:rPr>
          <w:highlight w:val="green"/>
          <w:lang w:eastAsia="x-none"/>
        </w:rPr>
        <w:t>Agreement</w:t>
      </w:r>
    </w:p>
    <w:p w14:paraId="0BAB15B7" w14:textId="6357EE2B" w:rsidR="00DF4A89" w:rsidRDefault="00DF4A89" w:rsidP="00DF4A89">
      <w:pPr>
        <w:rPr>
          <w:lang w:eastAsia="x-none"/>
        </w:rPr>
      </w:pPr>
      <w:r>
        <w:rPr>
          <w:lang w:eastAsia="x-none"/>
        </w:rPr>
        <w:t xml:space="preserve">The TP in </w:t>
      </w:r>
      <w:r w:rsidRPr="009F2F80">
        <w:rPr>
          <w:lang w:eastAsia="x-none"/>
        </w:rPr>
        <w:t xml:space="preserve">Proposal 6-3 </w:t>
      </w:r>
      <w:r>
        <w:rPr>
          <w:lang w:eastAsia="x-none"/>
        </w:rPr>
        <w:t xml:space="preserve">in section 6 of </w:t>
      </w:r>
      <w:hyperlink r:id="rId1605" w:history="1">
        <w:r w:rsidR="00AF7253">
          <w:rPr>
            <w:rStyle w:val="Hyperlink"/>
            <w:lang w:eastAsia="x-none"/>
          </w:rPr>
          <w:t>R1-2312567</w:t>
        </w:r>
      </w:hyperlink>
      <w:r w:rsidRPr="009F2F80">
        <w:rPr>
          <w:lang w:eastAsia="x-none"/>
        </w:rPr>
        <w:t xml:space="preserve"> for TS38.214 clause 5.1 in </w:t>
      </w:r>
      <w:r>
        <w:rPr>
          <w:lang w:eastAsia="x-none"/>
        </w:rPr>
        <w:t>endorsed</w:t>
      </w:r>
      <w:r w:rsidRPr="009F2F80">
        <w:rPr>
          <w:lang w:eastAsia="x-none"/>
        </w:rPr>
        <w:t>.</w:t>
      </w:r>
    </w:p>
    <w:p w14:paraId="3D6CBB69" w14:textId="77777777" w:rsidR="00DF4A89" w:rsidRDefault="00DF4A89" w:rsidP="00DF4A89">
      <w:pPr>
        <w:rPr>
          <w:lang w:eastAsia="x-none"/>
        </w:rPr>
      </w:pPr>
    </w:p>
    <w:p w14:paraId="316D0710" w14:textId="1401FB37" w:rsidR="00DF4A89" w:rsidRPr="00DF4A89" w:rsidRDefault="005A18DC" w:rsidP="00DF4A89">
      <w:pPr>
        <w:rPr>
          <w:b/>
          <w:bCs/>
          <w:lang w:eastAsia="x-none"/>
        </w:rPr>
      </w:pPr>
      <w:hyperlink r:id="rId1606" w:history="1">
        <w:r w:rsidR="00AF7253">
          <w:rPr>
            <w:rStyle w:val="Hyperlink"/>
            <w:b/>
            <w:bCs/>
            <w:lang w:eastAsia="x-none"/>
          </w:rPr>
          <w:t>R1-2312563</w:t>
        </w:r>
      </w:hyperlink>
      <w:r w:rsidR="00DF4A89" w:rsidRPr="00DF4A89">
        <w:rPr>
          <w:b/>
          <w:bCs/>
          <w:lang w:eastAsia="x-none"/>
        </w:rPr>
        <w:tab/>
        <w:t>DRAFT LS on inter-frequency neighbour cells supporting NR dedicated spectrum less than 5 MHz for FR1</w:t>
      </w:r>
      <w:r w:rsidR="00DF4A89" w:rsidRPr="00DF4A89">
        <w:rPr>
          <w:b/>
          <w:bCs/>
          <w:lang w:eastAsia="x-none"/>
        </w:rPr>
        <w:tab/>
        <w:t>Qualcomm Incorporated</w:t>
      </w:r>
    </w:p>
    <w:p w14:paraId="11EC3962" w14:textId="77777777" w:rsidR="00DF4A89" w:rsidRDefault="00DF4A89" w:rsidP="00DF4A89">
      <w:pPr>
        <w:rPr>
          <w:lang w:eastAsia="x-none"/>
        </w:rPr>
      </w:pPr>
      <w:r w:rsidRPr="009F2F80">
        <w:rPr>
          <w:lang w:eastAsia="x-none"/>
        </w:rPr>
        <w:t>Proposal 6-4</w:t>
      </w:r>
    </w:p>
    <w:p w14:paraId="2E62286A" w14:textId="77777777" w:rsidR="00DF4A89" w:rsidRPr="009F2F80" w:rsidRDefault="00DF4A89" w:rsidP="00DF4A89">
      <w:pPr>
        <w:rPr>
          <w:lang w:eastAsia="x-none"/>
        </w:rPr>
      </w:pPr>
      <w:r w:rsidRPr="009F2F80">
        <w:rPr>
          <w:lang w:eastAsia="x-none"/>
        </w:rPr>
        <w:t>RAN1 to send an LS to RAN2 (cc RAN4) on any backward compatibility issue of inter-frequency neighbour cell list for single carrier operation in NR dedicated spectrum less than 5 MHz for FR1.</w:t>
      </w:r>
    </w:p>
    <w:p w14:paraId="326DF872" w14:textId="77777777" w:rsidR="00DF4A89" w:rsidRDefault="00DF4A89" w:rsidP="00F74A6F">
      <w:pPr>
        <w:rPr>
          <w:lang w:eastAsia="x-none"/>
        </w:rPr>
      </w:pPr>
    </w:p>
    <w:p w14:paraId="2976C913" w14:textId="4CB6D907" w:rsidR="00DF4A89" w:rsidRPr="004B3DDB" w:rsidRDefault="005A18DC" w:rsidP="00DF4A89">
      <w:pPr>
        <w:rPr>
          <w:b/>
          <w:bCs/>
          <w:lang w:eastAsia="x-none"/>
        </w:rPr>
      </w:pPr>
      <w:hyperlink r:id="rId1607" w:history="1">
        <w:r w:rsidR="00AF7253">
          <w:rPr>
            <w:rStyle w:val="Hyperlink"/>
            <w:b/>
            <w:bCs/>
            <w:lang w:eastAsia="x-none"/>
          </w:rPr>
          <w:t>R1-2312602</w:t>
        </w:r>
      </w:hyperlink>
      <w:r w:rsidR="00DF4A89" w:rsidRPr="004B3DDB">
        <w:rPr>
          <w:b/>
          <w:bCs/>
          <w:lang w:eastAsia="x-none"/>
        </w:rPr>
        <w:tab/>
        <w:t>DRAFT LS on inter-frequency neighbour cells supporting NR dedicated spectrum less than 5 MHz for FR1</w:t>
      </w:r>
      <w:r w:rsidR="00DF4A89" w:rsidRPr="004B3DDB">
        <w:rPr>
          <w:b/>
          <w:bCs/>
          <w:lang w:eastAsia="x-none"/>
        </w:rPr>
        <w:tab/>
        <w:t>Qualcomm Incorporated</w:t>
      </w:r>
    </w:p>
    <w:p w14:paraId="4DA0E065" w14:textId="148DE2BB" w:rsidR="00DF4A89" w:rsidRPr="009537ED" w:rsidRDefault="004B3DDB" w:rsidP="00DF4A89">
      <w:pPr>
        <w:rPr>
          <w:lang w:eastAsia="x-none"/>
        </w:rPr>
      </w:pPr>
      <w:r>
        <w:rPr>
          <w:lang w:eastAsia="x-none"/>
        </w:rPr>
        <w:t xml:space="preserve">Friday decision: The draft LS to RAN2 and RAN4 in </w:t>
      </w:r>
      <w:hyperlink r:id="rId1608" w:history="1">
        <w:r w:rsidR="00AF7253">
          <w:rPr>
            <w:rStyle w:val="Hyperlink"/>
            <w:lang w:eastAsia="x-none"/>
          </w:rPr>
          <w:t>R1-2312602</w:t>
        </w:r>
      </w:hyperlink>
      <w:r>
        <w:rPr>
          <w:lang w:eastAsia="x-none"/>
        </w:rPr>
        <w:t xml:space="preserve"> is endorsed. Final LS is </w:t>
      </w:r>
      <w:r w:rsidRPr="004B3DDB">
        <w:rPr>
          <w:highlight w:val="green"/>
          <w:lang w:eastAsia="x-none"/>
        </w:rPr>
        <w:t xml:space="preserve">approved in </w:t>
      </w:r>
      <w:hyperlink r:id="rId1609" w:history="1">
        <w:r w:rsidR="00AF7253">
          <w:rPr>
            <w:rStyle w:val="Hyperlink"/>
            <w:highlight w:val="green"/>
            <w:lang w:eastAsia="x-none"/>
          </w:rPr>
          <w:t>R1-2312668</w:t>
        </w:r>
      </w:hyperlink>
      <w:r>
        <w:rPr>
          <w:lang w:eastAsia="x-none"/>
        </w:rPr>
        <w:t>.</w:t>
      </w:r>
    </w:p>
    <w:p w14:paraId="1DEC2541" w14:textId="77777777" w:rsidR="00F74A6F" w:rsidRDefault="00F74A6F" w:rsidP="00F74A6F">
      <w:pPr>
        <w:pStyle w:val="Heading2"/>
      </w:pPr>
      <w:bookmarkStart w:id="726" w:name="_Toc150174481"/>
      <w:bookmarkStart w:id="727" w:name="_Toc159251023"/>
      <w:r w:rsidRPr="009537ED">
        <w:t xml:space="preserve">Maintenance on </w:t>
      </w:r>
      <w:bookmarkStart w:id="728" w:name="_Toc108438472"/>
      <w:r w:rsidRPr="009537ED">
        <w:t>Enhancement of NR Dynamic Spectrum Sharing (DSS)</w:t>
      </w:r>
      <w:bookmarkEnd w:id="726"/>
      <w:bookmarkEnd w:id="728"/>
      <w:bookmarkEnd w:id="727"/>
    </w:p>
    <w:p w14:paraId="46F2312E" w14:textId="6D28BE05" w:rsidR="004B3090" w:rsidRPr="004B3090" w:rsidRDefault="005A18DC" w:rsidP="004B3090">
      <w:pPr>
        <w:rPr>
          <w:b/>
          <w:bCs/>
        </w:rPr>
      </w:pPr>
      <w:hyperlink r:id="rId1610" w:history="1">
        <w:r w:rsidR="00AF7253">
          <w:rPr>
            <w:rStyle w:val="Hyperlink"/>
            <w:b/>
            <w:bCs/>
          </w:rPr>
          <w:t>R1-2312509</w:t>
        </w:r>
      </w:hyperlink>
      <w:r w:rsidR="004B3090" w:rsidRPr="004B3090">
        <w:rPr>
          <w:b/>
          <w:bCs/>
        </w:rPr>
        <w:tab/>
        <w:t>Session notes for 8.10 (Maintenance on enhancement of NR Dynamic Spectrum Sharing)</w:t>
      </w:r>
      <w:r w:rsidR="004B3090" w:rsidRPr="004B3090">
        <w:rPr>
          <w:b/>
          <w:bCs/>
        </w:rPr>
        <w:tab/>
        <w:t>Ad-Hoc Chair (Huawei)</w:t>
      </w:r>
    </w:p>
    <w:p w14:paraId="54558ACD" w14:textId="77777777" w:rsidR="004B3090" w:rsidRPr="00D96FAE" w:rsidRDefault="004B3090" w:rsidP="004B3090">
      <w:pPr>
        <w:rPr>
          <w:lang w:eastAsia="x-none"/>
        </w:rPr>
      </w:pPr>
      <w:r w:rsidRPr="00F05EFE">
        <w:rPr>
          <w:b/>
          <w:bCs/>
        </w:rPr>
        <w:t>Friday decision:</w:t>
      </w:r>
      <w:r>
        <w:t xml:space="preserve"> The </w:t>
      </w:r>
      <w:r>
        <w:rPr>
          <w:lang w:val="en-US" w:eastAsia="x-none"/>
        </w:rPr>
        <w:t>s</w:t>
      </w:r>
      <w:r w:rsidRPr="00663F3A">
        <w:rPr>
          <w:lang w:val="en-US" w:eastAsia="x-none"/>
        </w:rPr>
        <w:t>ession notes</w:t>
      </w:r>
      <w:r>
        <w:rPr>
          <w:lang w:val="en-US" w:eastAsia="x-none"/>
        </w:rPr>
        <w:t xml:space="preserve"> are </w:t>
      </w:r>
      <w:r>
        <w:rPr>
          <w:highlight w:val="green"/>
          <w:lang w:eastAsia="x-none"/>
        </w:rPr>
        <w:t>e</w:t>
      </w:r>
      <w:r w:rsidRPr="00D96FAE">
        <w:rPr>
          <w:highlight w:val="green"/>
          <w:lang w:eastAsia="x-none"/>
        </w:rPr>
        <w:t xml:space="preserve">ndorsed </w:t>
      </w:r>
      <w:r w:rsidRPr="00D96FAE">
        <w:rPr>
          <w:lang w:eastAsia="x-none"/>
        </w:rPr>
        <w:t>and contents reflected below.</w:t>
      </w:r>
    </w:p>
    <w:p w14:paraId="6D67ECBE" w14:textId="77777777" w:rsidR="004B3090" w:rsidRPr="004B3090" w:rsidRDefault="004B3090" w:rsidP="004B3090"/>
    <w:p w14:paraId="3DC14950" w14:textId="77777777" w:rsidR="00744C2E" w:rsidRPr="00744C2E" w:rsidRDefault="00F74A6F" w:rsidP="00F74A6F">
      <w:pPr>
        <w:rPr>
          <w:lang w:eastAsia="x-none"/>
        </w:rPr>
      </w:pPr>
      <w:r w:rsidRPr="00744C2E">
        <w:rPr>
          <w:lang w:eastAsia="x-none"/>
        </w:rPr>
        <w:t xml:space="preserve">[115-R18-DSS] </w:t>
      </w:r>
      <w:r w:rsidR="00744C2E" w:rsidRPr="00744C2E">
        <w:rPr>
          <w:lang w:eastAsia="x-none"/>
        </w:rPr>
        <w:t>– Ravi (Ericsson)</w:t>
      </w:r>
    </w:p>
    <w:p w14:paraId="075DEAC9" w14:textId="7CA414DC" w:rsidR="00F74A6F" w:rsidRPr="00744C2E" w:rsidRDefault="00F74A6F" w:rsidP="00F74A6F">
      <w:pPr>
        <w:rPr>
          <w:lang w:eastAsia="x-none"/>
        </w:rPr>
      </w:pPr>
      <w:r w:rsidRPr="00744C2E">
        <w:rPr>
          <w:lang w:eastAsia="x-none"/>
        </w:rPr>
        <w:t>Email discussion on NR DSS enhancement</w:t>
      </w:r>
    </w:p>
    <w:p w14:paraId="3904CF07" w14:textId="77777777" w:rsidR="00F74A6F" w:rsidRPr="00744C2E" w:rsidRDefault="00F74A6F" w:rsidP="00F74A6F">
      <w:pPr>
        <w:numPr>
          <w:ilvl w:val="0"/>
          <w:numId w:val="69"/>
        </w:numPr>
        <w:rPr>
          <w:lang w:eastAsia="x-none"/>
        </w:rPr>
      </w:pPr>
      <w:r w:rsidRPr="00744C2E">
        <w:rPr>
          <w:lang w:eastAsia="x-none"/>
        </w:rPr>
        <w:t>To be used for sharing updates on online/offline schedule, details on what is to be discussed in online/offline sessions, tdoc number of the moderator summary for online session, etc</w:t>
      </w:r>
    </w:p>
    <w:p w14:paraId="3F2DF592" w14:textId="77777777" w:rsidR="00F74A6F" w:rsidRPr="009537ED" w:rsidRDefault="00F74A6F" w:rsidP="00744C2E">
      <w:pPr>
        <w:pStyle w:val="Heading3"/>
        <w:rPr>
          <w:lang w:eastAsia="ja-JP"/>
        </w:rPr>
      </w:pPr>
      <w:bookmarkStart w:id="729" w:name="_Toc108438473"/>
      <w:bookmarkStart w:id="730" w:name="_Toc150174482"/>
      <w:bookmarkStart w:id="731" w:name="_Toc159251024"/>
      <w:r w:rsidRPr="009537ED">
        <w:rPr>
          <w:lang w:eastAsia="ja-JP"/>
        </w:rPr>
        <w:t>NR PDCCH reception in symbols with LTE CRS REs</w:t>
      </w:r>
      <w:bookmarkEnd w:id="729"/>
      <w:bookmarkEnd w:id="730"/>
      <w:bookmarkEnd w:id="731"/>
    </w:p>
    <w:p w14:paraId="6132BB47" w14:textId="5F239A91" w:rsidR="00F74A6F" w:rsidRPr="009537ED" w:rsidRDefault="005A18DC" w:rsidP="00F74A6F">
      <w:pPr>
        <w:rPr>
          <w:lang w:eastAsia="ja-JP"/>
        </w:rPr>
      </w:pPr>
      <w:hyperlink r:id="rId1611" w:history="1">
        <w:r w:rsidR="00AF7253">
          <w:rPr>
            <w:rStyle w:val="Hyperlink"/>
            <w:lang w:eastAsia="ja-JP"/>
          </w:rPr>
          <w:t>R1-2311023</w:t>
        </w:r>
      </w:hyperlink>
      <w:r w:rsidR="00F74A6F" w:rsidRPr="009537ED">
        <w:rPr>
          <w:lang w:eastAsia="ja-JP"/>
        </w:rPr>
        <w:tab/>
        <w:t>Maintenance of NR PDCCH reception in symbols with LTE CRS</w:t>
      </w:r>
      <w:r w:rsidR="00F74A6F" w:rsidRPr="009537ED">
        <w:rPr>
          <w:lang w:eastAsia="ja-JP"/>
        </w:rPr>
        <w:tab/>
        <w:t>ZTE</w:t>
      </w:r>
    </w:p>
    <w:p w14:paraId="72477971" w14:textId="5530F7F3" w:rsidR="00F74A6F" w:rsidRPr="009537ED" w:rsidRDefault="005A18DC" w:rsidP="00F74A6F">
      <w:pPr>
        <w:rPr>
          <w:lang w:eastAsia="ja-JP"/>
        </w:rPr>
      </w:pPr>
      <w:hyperlink r:id="rId1612" w:history="1">
        <w:r w:rsidR="00AF7253">
          <w:rPr>
            <w:rStyle w:val="Hyperlink"/>
            <w:lang w:eastAsia="ja-JP"/>
          </w:rPr>
          <w:t>R1-2311274</w:t>
        </w:r>
      </w:hyperlink>
      <w:r w:rsidR="00F74A6F" w:rsidRPr="009537ED">
        <w:rPr>
          <w:lang w:eastAsia="ja-JP"/>
        </w:rPr>
        <w:tab/>
        <w:t>Remaining issues for PDCCH reception in overlapping with LTE CRS</w:t>
      </w:r>
      <w:r w:rsidR="00F74A6F" w:rsidRPr="009537ED">
        <w:rPr>
          <w:lang w:eastAsia="ja-JP"/>
        </w:rPr>
        <w:tab/>
        <w:t>OPPO</w:t>
      </w:r>
    </w:p>
    <w:p w14:paraId="3B0ADE69" w14:textId="03631357" w:rsidR="00F74A6F" w:rsidRPr="009537ED" w:rsidRDefault="005A18DC" w:rsidP="00F74A6F">
      <w:pPr>
        <w:rPr>
          <w:lang w:eastAsia="ja-JP"/>
        </w:rPr>
      </w:pPr>
      <w:hyperlink r:id="rId1613" w:history="1">
        <w:r w:rsidR="00AF7253">
          <w:rPr>
            <w:rStyle w:val="Hyperlink"/>
            <w:lang w:eastAsia="ja-JP"/>
          </w:rPr>
          <w:t>R1-2311450</w:t>
        </w:r>
      </w:hyperlink>
      <w:r w:rsidR="00F74A6F" w:rsidRPr="009537ED">
        <w:rPr>
          <w:lang w:eastAsia="ja-JP"/>
        </w:rPr>
        <w:tab/>
        <w:t>Monitoring of PDCCH candidates overlapping with LTE CRS</w:t>
      </w:r>
      <w:r w:rsidR="00F74A6F" w:rsidRPr="009537ED">
        <w:rPr>
          <w:lang w:eastAsia="ja-JP"/>
        </w:rPr>
        <w:tab/>
        <w:t>Nokia, Nokia Shanghai Bell</w:t>
      </w:r>
    </w:p>
    <w:p w14:paraId="2B032D73" w14:textId="68EB47F1" w:rsidR="00F74A6F" w:rsidRPr="009537ED" w:rsidRDefault="005A18DC" w:rsidP="00F74A6F">
      <w:pPr>
        <w:rPr>
          <w:lang w:eastAsia="ja-JP"/>
        </w:rPr>
      </w:pPr>
      <w:hyperlink r:id="rId1614" w:history="1">
        <w:r w:rsidR="00AF7253">
          <w:rPr>
            <w:rStyle w:val="Hyperlink"/>
            <w:lang w:eastAsia="ja-JP"/>
          </w:rPr>
          <w:t>R1-2311696</w:t>
        </w:r>
      </w:hyperlink>
      <w:r w:rsidR="00F74A6F" w:rsidRPr="009537ED">
        <w:rPr>
          <w:lang w:eastAsia="ja-JP"/>
        </w:rPr>
        <w:tab/>
        <w:t>Maintenance of NR PDCCH reception in symbols with LTE CRS</w:t>
      </w:r>
      <w:r w:rsidR="00F74A6F" w:rsidRPr="009537ED">
        <w:rPr>
          <w:lang w:eastAsia="ja-JP"/>
        </w:rPr>
        <w:tab/>
        <w:t>Apple</w:t>
      </w:r>
    </w:p>
    <w:p w14:paraId="33F35D4F" w14:textId="2F630211" w:rsidR="00F74A6F" w:rsidRDefault="005A18DC" w:rsidP="00F74A6F">
      <w:pPr>
        <w:rPr>
          <w:lang w:eastAsia="ja-JP"/>
        </w:rPr>
      </w:pPr>
      <w:hyperlink r:id="rId1615" w:history="1">
        <w:r w:rsidR="00AF7253">
          <w:rPr>
            <w:rStyle w:val="Hyperlink"/>
            <w:lang w:eastAsia="ja-JP"/>
          </w:rPr>
          <w:t>R1-2312219</w:t>
        </w:r>
      </w:hyperlink>
      <w:r w:rsidR="00F74A6F" w:rsidRPr="009537ED">
        <w:rPr>
          <w:lang w:eastAsia="ja-JP"/>
        </w:rPr>
        <w:tab/>
        <w:t>Maintenance of NR PDCCH reception in symbols with LTE CRS REs</w:t>
      </w:r>
      <w:r w:rsidR="00F74A6F" w:rsidRPr="009537ED">
        <w:rPr>
          <w:lang w:eastAsia="ja-JP"/>
        </w:rPr>
        <w:tab/>
        <w:t>Huawei, HiSilicon</w:t>
      </w:r>
    </w:p>
    <w:p w14:paraId="4309F5CE" w14:textId="77777777" w:rsidR="00744C2E" w:rsidRDefault="00744C2E" w:rsidP="00F74A6F">
      <w:pPr>
        <w:rPr>
          <w:lang w:eastAsia="ja-JP"/>
        </w:rPr>
      </w:pPr>
    </w:p>
    <w:p w14:paraId="21306A88" w14:textId="428F8AF6" w:rsidR="00744C2E" w:rsidRPr="00744C2E" w:rsidRDefault="005A18DC" w:rsidP="00744C2E">
      <w:pPr>
        <w:rPr>
          <w:b/>
          <w:bCs/>
          <w:lang w:eastAsia="ja-JP"/>
        </w:rPr>
      </w:pPr>
      <w:hyperlink r:id="rId1616" w:history="1">
        <w:r w:rsidR="00AF7253">
          <w:rPr>
            <w:rStyle w:val="Hyperlink"/>
            <w:b/>
            <w:bCs/>
            <w:lang w:eastAsia="ja-JP"/>
          </w:rPr>
          <w:t>R1-2312367</w:t>
        </w:r>
      </w:hyperlink>
      <w:r w:rsidR="00744C2E" w:rsidRPr="00744C2E">
        <w:rPr>
          <w:b/>
          <w:bCs/>
          <w:lang w:eastAsia="ja-JP"/>
        </w:rPr>
        <w:tab/>
        <w:t>Moderator Summary#1 for Rel. 18 eDSS</w:t>
      </w:r>
      <w:r w:rsidR="00744C2E" w:rsidRPr="00744C2E">
        <w:rPr>
          <w:b/>
          <w:bCs/>
          <w:lang w:eastAsia="ja-JP"/>
        </w:rPr>
        <w:tab/>
        <w:t>Moderator (Intel Corporation)</w:t>
      </w:r>
    </w:p>
    <w:p w14:paraId="523FA904" w14:textId="273380E4" w:rsidR="00744C2E" w:rsidRDefault="00744C2E" w:rsidP="00744C2E">
      <w:pPr>
        <w:rPr>
          <w:lang w:eastAsia="ja-JP"/>
        </w:rPr>
      </w:pPr>
      <w:r>
        <w:rPr>
          <w:lang w:eastAsia="ja-JP"/>
        </w:rPr>
        <w:t>From Tuesday session</w:t>
      </w:r>
    </w:p>
    <w:p w14:paraId="7F181E39" w14:textId="77777777" w:rsidR="00744C2E" w:rsidRPr="00744C2E" w:rsidRDefault="00744C2E" w:rsidP="00744C2E">
      <w:pPr>
        <w:rPr>
          <w:bCs/>
          <w:lang w:val="en-US" w:eastAsia="ja-JP"/>
        </w:rPr>
      </w:pPr>
      <w:r w:rsidRPr="00744C2E">
        <w:rPr>
          <w:bCs/>
          <w:highlight w:val="green"/>
          <w:lang w:val="en-US" w:eastAsia="ja-JP"/>
        </w:rPr>
        <w:t>Agreement</w:t>
      </w:r>
    </w:p>
    <w:p w14:paraId="5B4C6F42" w14:textId="12C65B08" w:rsidR="00744C2E" w:rsidRPr="00744C2E" w:rsidRDefault="00744C2E" w:rsidP="00744C2E">
      <w:pPr>
        <w:rPr>
          <w:bCs/>
          <w:lang w:val="en-US" w:eastAsia="ja-JP"/>
        </w:rPr>
      </w:pPr>
      <w:r w:rsidRPr="00744C2E">
        <w:rPr>
          <w:bCs/>
          <w:lang w:val="en-US" w:eastAsia="ja-JP"/>
        </w:rPr>
        <w:t xml:space="preserve">The TP </w:t>
      </w:r>
      <w:r w:rsidR="004B3DDB">
        <w:rPr>
          <w:bCs/>
          <w:lang w:val="en-US" w:eastAsia="ja-JP"/>
        </w:rPr>
        <w:t>(Clause</w:t>
      </w:r>
      <w:r w:rsidR="004B3DDB" w:rsidRPr="00A42A78">
        <w:rPr>
          <w:lang w:val="en-US" w:eastAsia="ja-JP"/>
        </w:rPr>
        <w:t xml:space="preserve"> 7.3.2.2</w:t>
      </w:r>
      <w:r w:rsidR="004B3DDB">
        <w:rPr>
          <w:lang w:val="en-US" w:eastAsia="ja-JP"/>
        </w:rPr>
        <w:t xml:space="preserve"> of TS</w:t>
      </w:r>
      <w:r w:rsidR="004B3DDB" w:rsidRPr="00A42A78">
        <w:rPr>
          <w:lang w:val="en-US" w:eastAsia="ja-JP"/>
        </w:rPr>
        <w:t xml:space="preserve"> 38.211</w:t>
      </w:r>
      <w:r w:rsidR="004B3DDB">
        <w:rPr>
          <w:bCs/>
          <w:lang w:val="en-US" w:eastAsia="ja-JP"/>
        </w:rPr>
        <w:t xml:space="preserve">) </w:t>
      </w:r>
      <w:r w:rsidRPr="00744C2E">
        <w:rPr>
          <w:bCs/>
          <w:lang w:val="en-US" w:eastAsia="ja-JP"/>
        </w:rPr>
        <w:t xml:space="preserve">for issue 3 in section 2.3 of </w:t>
      </w:r>
      <w:hyperlink r:id="rId1617" w:history="1">
        <w:r w:rsidR="00AF7253">
          <w:rPr>
            <w:rStyle w:val="Hyperlink"/>
            <w:bCs/>
            <w:lang w:val="en-US" w:eastAsia="ja-JP"/>
          </w:rPr>
          <w:t>R1-2312367</w:t>
        </w:r>
      </w:hyperlink>
      <w:r w:rsidRPr="00744C2E">
        <w:rPr>
          <w:bCs/>
          <w:lang w:val="en-US" w:eastAsia="ja-JP"/>
        </w:rPr>
        <w:t xml:space="preserve"> is endorsed.</w:t>
      </w:r>
    </w:p>
    <w:p w14:paraId="1A4F72F2" w14:textId="77777777" w:rsidR="00F74A6F" w:rsidRPr="009537ED" w:rsidRDefault="00F74A6F" w:rsidP="00744C2E">
      <w:pPr>
        <w:pStyle w:val="Heading3"/>
        <w:rPr>
          <w:lang w:eastAsia="ja-JP"/>
        </w:rPr>
      </w:pPr>
      <w:bookmarkStart w:id="732" w:name="_Toc108438474"/>
      <w:bookmarkStart w:id="733" w:name="_Toc150174483"/>
      <w:bookmarkStart w:id="734" w:name="_Toc159251025"/>
      <w:r w:rsidRPr="009537ED">
        <w:rPr>
          <w:lang w:eastAsia="ja-JP"/>
        </w:rPr>
        <w:t>UE support for two overlapping CRS rate matching patterns</w:t>
      </w:r>
      <w:bookmarkEnd w:id="732"/>
      <w:bookmarkEnd w:id="733"/>
      <w:bookmarkEnd w:id="734"/>
    </w:p>
    <w:p w14:paraId="74F9802F" w14:textId="36519E96" w:rsidR="00F74A6F" w:rsidRPr="009537ED" w:rsidRDefault="00744C2E" w:rsidP="00F74A6F">
      <w:pPr>
        <w:rPr>
          <w:lang w:eastAsia="ja-JP"/>
        </w:rPr>
      </w:pPr>
      <w:r>
        <w:rPr>
          <w:lang w:eastAsia="ja-JP"/>
        </w:rPr>
        <w:t>None.</w:t>
      </w:r>
    </w:p>
    <w:p w14:paraId="22B775D9" w14:textId="77777777" w:rsidR="00F74A6F" w:rsidRPr="009537ED" w:rsidRDefault="00F74A6F" w:rsidP="00F74A6F">
      <w:pPr>
        <w:pStyle w:val="Heading2"/>
      </w:pPr>
      <w:bookmarkStart w:id="735" w:name="_Toc150174484"/>
      <w:bookmarkStart w:id="736" w:name="_Toc159251026"/>
      <w:r w:rsidRPr="009537ED">
        <w:lastRenderedPageBreak/>
        <w:t>Maintenance on NR Network-Controlled Repeaters</w:t>
      </w:r>
      <w:bookmarkEnd w:id="735"/>
      <w:bookmarkEnd w:id="736"/>
    </w:p>
    <w:p w14:paraId="591981B0" w14:textId="77777777" w:rsidR="00570EA9" w:rsidRPr="00570EA9" w:rsidRDefault="00F74A6F" w:rsidP="00F74A6F">
      <w:pPr>
        <w:rPr>
          <w:lang w:eastAsia="x-none"/>
        </w:rPr>
      </w:pPr>
      <w:r w:rsidRPr="00570EA9">
        <w:rPr>
          <w:lang w:eastAsia="x-none"/>
        </w:rPr>
        <w:t xml:space="preserve">[115-R18-NCR] </w:t>
      </w:r>
      <w:r w:rsidR="00570EA9" w:rsidRPr="00570EA9">
        <w:rPr>
          <w:lang w:eastAsia="x-none"/>
        </w:rPr>
        <w:t>– Nan (ZTE)</w:t>
      </w:r>
    </w:p>
    <w:p w14:paraId="7330D986" w14:textId="3824067B" w:rsidR="00F74A6F" w:rsidRPr="00570EA9" w:rsidRDefault="00F74A6F" w:rsidP="00F74A6F">
      <w:pPr>
        <w:rPr>
          <w:lang w:eastAsia="x-none"/>
        </w:rPr>
      </w:pPr>
      <w:r w:rsidRPr="00570EA9">
        <w:rPr>
          <w:lang w:eastAsia="x-none"/>
        </w:rPr>
        <w:t>Email discussion on NR network controlled repeaters</w:t>
      </w:r>
    </w:p>
    <w:p w14:paraId="3415E5C3" w14:textId="77777777" w:rsidR="00F74A6F" w:rsidRDefault="00F74A6F" w:rsidP="00F74A6F">
      <w:pPr>
        <w:numPr>
          <w:ilvl w:val="0"/>
          <w:numId w:val="69"/>
        </w:numPr>
        <w:rPr>
          <w:lang w:eastAsia="x-none"/>
        </w:rPr>
      </w:pPr>
      <w:r w:rsidRPr="00570EA9">
        <w:rPr>
          <w:lang w:eastAsia="x-none"/>
        </w:rPr>
        <w:t>To be used for sharing updates on online/offline schedule, details on what is to be discussed in online/offline sessions, tdoc number of the moderator summary for online session, etc</w:t>
      </w:r>
    </w:p>
    <w:p w14:paraId="4BFE9D47" w14:textId="77777777" w:rsidR="000E7C13" w:rsidRDefault="000E7C13" w:rsidP="000E7C13">
      <w:pPr>
        <w:rPr>
          <w:lang w:eastAsia="x-none"/>
        </w:rPr>
      </w:pPr>
    </w:p>
    <w:p w14:paraId="09014D73" w14:textId="68F1D008" w:rsidR="000E7C13" w:rsidRPr="00570EA9" w:rsidRDefault="005A18DC" w:rsidP="000E7C13">
      <w:pPr>
        <w:rPr>
          <w:lang w:eastAsia="x-none"/>
        </w:rPr>
      </w:pPr>
      <w:hyperlink r:id="rId1618" w:history="1">
        <w:r w:rsidR="00AF7253">
          <w:rPr>
            <w:rStyle w:val="Hyperlink"/>
            <w:lang w:eastAsia="x-none"/>
          </w:rPr>
          <w:t>R1-2312671</w:t>
        </w:r>
      </w:hyperlink>
      <w:r w:rsidR="000E7C13" w:rsidRPr="000E7C13">
        <w:rPr>
          <w:lang w:eastAsia="x-none"/>
        </w:rPr>
        <w:tab/>
        <w:t>List of agreements on NCR in RAN1#115</w:t>
      </w:r>
      <w:r w:rsidR="000E7C13" w:rsidRPr="000E7C13">
        <w:rPr>
          <w:lang w:eastAsia="x-none"/>
        </w:rPr>
        <w:tab/>
        <w:t>ZTE</w:t>
      </w:r>
    </w:p>
    <w:p w14:paraId="21324956" w14:textId="77777777" w:rsidR="00F74A6F" w:rsidRPr="009537ED" w:rsidRDefault="00F74A6F" w:rsidP="00570EA9">
      <w:pPr>
        <w:pStyle w:val="Heading3"/>
      </w:pPr>
      <w:bookmarkStart w:id="737" w:name="_Toc150174485"/>
      <w:bookmarkStart w:id="738" w:name="_Toc159251027"/>
      <w:r w:rsidRPr="009537ED">
        <w:t>Side control information and NCR behaviour</w:t>
      </w:r>
      <w:bookmarkEnd w:id="737"/>
      <w:bookmarkEnd w:id="738"/>
    </w:p>
    <w:p w14:paraId="213421DD" w14:textId="392696A8" w:rsidR="00F74A6F" w:rsidRPr="009537ED" w:rsidRDefault="005A18DC" w:rsidP="00F74A6F">
      <w:pPr>
        <w:rPr>
          <w:lang w:eastAsia="x-none"/>
        </w:rPr>
      </w:pPr>
      <w:hyperlink r:id="rId1619" w:history="1">
        <w:r w:rsidR="00AF7253">
          <w:rPr>
            <w:rStyle w:val="Hyperlink"/>
            <w:lang w:eastAsia="x-none"/>
          </w:rPr>
          <w:t>R1-2310860</w:t>
        </w:r>
      </w:hyperlink>
      <w:r w:rsidR="00F74A6F" w:rsidRPr="009537ED">
        <w:rPr>
          <w:lang w:eastAsia="x-none"/>
        </w:rPr>
        <w:tab/>
        <w:t>Maintenance of side control information and NCR behaviour</w:t>
      </w:r>
      <w:r w:rsidR="00F74A6F" w:rsidRPr="009537ED">
        <w:rPr>
          <w:lang w:eastAsia="x-none"/>
        </w:rPr>
        <w:tab/>
        <w:t>Huawei, HiSilicon</w:t>
      </w:r>
    </w:p>
    <w:p w14:paraId="6803E8E9" w14:textId="46556AF1" w:rsidR="00F74A6F" w:rsidRPr="009537ED" w:rsidRDefault="005A18DC" w:rsidP="00F74A6F">
      <w:pPr>
        <w:rPr>
          <w:lang w:eastAsia="x-none"/>
        </w:rPr>
      </w:pPr>
      <w:hyperlink r:id="rId1620" w:history="1">
        <w:r w:rsidR="00AF7253">
          <w:rPr>
            <w:rStyle w:val="Hyperlink"/>
            <w:lang w:eastAsia="x-none"/>
          </w:rPr>
          <w:t>R1-2311030</w:t>
        </w:r>
      </w:hyperlink>
      <w:r w:rsidR="00F74A6F" w:rsidRPr="009537ED">
        <w:rPr>
          <w:lang w:eastAsia="x-none"/>
        </w:rPr>
        <w:tab/>
        <w:t>Side-control information and NCR behaviour</w:t>
      </w:r>
      <w:r w:rsidR="00F74A6F" w:rsidRPr="009537ED">
        <w:rPr>
          <w:lang w:eastAsia="x-none"/>
        </w:rPr>
        <w:tab/>
        <w:t>Ericsson</w:t>
      </w:r>
    </w:p>
    <w:p w14:paraId="790B1360" w14:textId="6A6FC45B" w:rsidR="00F74A6F" w:rsidRPr="009537ED" w:rsidRDefault="005A18DC" w:rsidP="00F74A6F">
      <w:pPr>
        <w:rPr>
          <w:lang w:eastAsia="x-none"/>
        </w:rPr>
      </w:pPr>
      <w:hyperlink r:id="rId1621" w:history="1">
        <w:r w:rsidR="00AF7253">
          <w:rPr>
            <w:rStyle w:val="Hyperlink"/>
            <w:lang w:eastAsia="x-none"/>
          </w:rPr>
          <w:t>R1-2311045</w:t>
        </w:r>
      </w:hyperlink>
      <w:r w:rsidR="00F74A6F" w:rsidRPr="009537ED">
        <w:rPr>
          <w:lang w:eastAsia="x-none"/>
        </w:rPr>
        <w:tab/>
        <w:t>Remaining issues on side control information and NCR behaviour</w:t>
      </w:r>
      <w:r w:rsidR="00F74A6F" w:rsidRPr="009537ED">
        <w:rPr>
          <w:lang w:eastAsia="x-none"/>
        </w:rPr>
        <w:tab/>
        <w:t>Fujitsu</w:t>
      </w:r>
    </w:p>
    <w:p w14:paraId="38F336D2" w14:textId="172D2B8B" w:rsidR="00F74A6F" w:rsidRPr="009537ED" w:rsidRDefault="005A18DC" w:rsidP="00F74A6F">
      <w:pPr>
        <w:rPr>
          <w:lang w:eastAsia="x-none"/>
        </w:rPr>
      </w:pPr>
      <w:hyperlink r:id="rId1622" w:history="1">
        <w:r w:rsidR="00AF7253">
          <w:rPr>
            <w:rStyle w:val="Hyperlink"/>
            <w:lang w:eastAsia="x-none"/>
          </w:rPr>
          <w:t>R1-2311128</w:t>
        </w:r>
      </w:hyperlink>
      <w:r w:rsidR="00F74A6F" w:rsidRPr="009537ED">
        <w:rPr>
          <w:lang w:eastAsia="x-none"/>
        </w:rPr>
        <w:tab/>
        <w:t>Discussion on side control information and NCR behavior</w:t>
      </w:r>
      <w:r w:rsidR="00F74A6F" w:rsidRPr="009537ED">
        <w:rPr>
          <w:lang w:eastAsia="x-none"/>
        </w:rPr>
        <w:tab/>
        <w:t>Nokia, Nokia Shanghai Bell</w:t>
      </w:r>
    </w:p>
    <w:p w14:paraId="658AF452" w14:textId="65A7FFA2" w:rsidR="00F74A6F" w:rsidRPr="009537ED" w:rsidRDefault="005A18DC" w:rsidP="00F74A6F">
      <w:pPr>
        <w:rPr>
          <w:lang w:eastAsia="x-none"/>
        </w:rPr>
      </w:pPr>
      <w:hyperlink r:id="rId1623" w:history="1">
        <w:r w:rsidR="00AF7253">
          <w:rPr>
            <w:rStyle w:val="Hyperlink"/>
            <w:lang w:eastAsia="x-none"/>
          </w:rPr>
          <w:t>R1-2311176</w:t>
        </w:r>
      </w:hyperlink>
      <w:r w:rsidR="00F74A6F" w:rsidRPr="009537ED">
        <w:rPr>
          <w:lang w:eastAsia="x-none"/>
        </w:rPr>
        <w:tab/>
        <w:t>Remaining issue on side control information and NCR behavior</w:t>
      </w:r>
      <w:r w:rsidR="00F74A6F" w:rsidRPr="009537ED">
        <w:rPr>
          <w:lang w:eastAsia="x-none"/>
        </w:rPr>
        <w:tab/>
        <w:t>Spreadtrum Communications</w:t>
      </w:r>
    </w:p>
    <w:p w14:paraId="1ECBEC6C" w14:textId="667F73F2" w:rsidR="00F74A6F" w:rsidRPr="009537ED" w:rsidRDefault="005A18DC" w:rsidP="00F74A6F">
      <w:pPr>
        <w:rPr>
          <w:lang w:eastAsia="x-none"/>
        </w:rPr>
      </w:pPr>
      <w:hyperlink r:id="rId1624" w:history="1">
        <w:r w:rsidR="00AF7253">
          <w:rPr>
            <w:rStyle w:val="Hyperlink"/>
            <w:lang w:eastAsia="x-none"/>
          </w:rPr>
          <w:t>R1-2311197</w:t>
        </w:r>
      </w:hyperlink>
      <w:r w:rsidR="00F74A6F" w:rsidRPr="009537ED">
        <w:rPr>
          <w:lang w:eastAsia="x-none"/>
        </w:rPr>
        <w:tab/>
        <w:t>Remaining issue on side control information and NCR behavior</w:t>
      </w:r>
      <w:r w:rsidR="00F74A6F" w:rsidRPr="009537ED">
        <w:rPr>
          <w:lang w:eastAsia="x-none"/>
        </w:rPr>
        <w:tab/>
        <w:t>ZTE</w:t>
      </w:r>
    </w:p>
    <w:p w14:paraId="10399DAA" w14:textId="10253679" w:rsidR="00F74A6F" w:rsidRPr="009537ED" w:rsidRDefault="005A18DC" w:rsidP="00F74A6F">
      <w:pPr>
        <w:rPr>
          <w:lang w:eastAsia="x-none"/>
        </w:rPr>
      </w:pPr>
      <w:hyperlink r:id="rId1625" w:history="1">
        <w:r w:rsidR="00AF7253">
          <w:rPr>
            <w:rStyle w:val="Hyperlink"/>
            <w:lang w:eastAsia="x-none"/>
          </w:rPr>
          <w:t>R1-2311282</w:t>
        </w:r>
      </w:hyperlink>
      <w:r w:rsidR="00F74A6F" w:rsidRPr="009537ED">
        <w:rPr>
          <w:lang w:eastAsia="x-none"/>
        </w:rPr>
        <w:tab/>
        <w:t>Maintenance on side control information and NCR behavior</w:t>
      </w:r>
      <w:r w:rsidR="00F74A6F" w:rsidRPr="009537ED">
        <w:rPr>
          <w:lang w:eastAsia="x-none"/>
        </w:rPr>
        <w:tab/>
        <w:t>Panasonic</w:t>
      </w:r>
    </w:p>
    <w:p w14:paraId="0D623F9A" w14:textId="21EA5A79" w:rsidR="00F74A6F" w:rsidRPr="009537ED" w:rsidRDefault="005A18DC" w:rsidP="00F74A6F">
      <w:pPr>
        <w:rPr>
          <w:lang w:eastAsia="x-none"/>
        </w:rPr>
      </w:pPr>
      <w:hyperlink r:id="rId1626" w:history="1">
        <w:r w:rsidR="00AF7253">
          <w:rPr>
            <w:rStyle w:val="Hyperlink"/>
            <w:lang w:eastAsia="x-none"/>
          </w:rPr>
          <w:t>R1-2311321</w:t>
        </w:r>
      </w:hyperlink>
      <w:r w:rsidR="00F74A6F" w:rsidRPr="009537ED">
        <w:rPr>
          <w:lang w:eastAsia="x-none"/>
        </w:rPr>
        <w:tab/>
        <w:t>Maintenance on side control information and NCR behaviour for NR Network-Controlled Repeaters</w:t>
      </w:r>
      <w:r w:rsidR="00F74A6F" w:rsidRPr="009537ED">
        <w:rPr>
          <w:lang w:eastAsia="x-none"/>
        </w:rPr>
        <w:tab/>
        <w:t>CATT</w:t>
      </w:r>
    </w:p>
    <w:p w14:paraId="0D2EBD4E" w14:textId="27ACF652" w:rsidR="00F74A6F" w:rsidRPr="009537ED" w:rsidRDefault="005A18DC" w:rsidP="00F74A6F">
      <w:pPr>
        <w:rPr>
          <w:lang w:eastAsia="x-none"/>
        </w:rPr>
      </w:pPr>
      <w:hyperlink r:id="rId1627" w:history="1">
        <w:r w:rsidR="00AF7253">
          <w:rPr>
            <w:rStyle w:val="Hyperlink"/>
            <w:lang w:eastAsia="x-none"/>
          </w:rPr>
          <w:t>R1-2311386</w:t>
        </w:r>
      </w:hyperlink>
      <w:r w:rsidR="00F74A6F" w:rsidRPr="009537ED">
        <w:rPr>
          <w:lang w:eastAsia="x-none"/>
        </w:rPr>
        <w:tab/>
        <w:t>Discussion on remaining issues of NCR</w:t>
      </w:r>
      <w:r w:rsidR="00F74A6F" w:rsidRPr="009537ED">
        <w:rPr>
          <w:lang w:eastAsia="x-none"/>
        </w:rPr>
        <w:tab/>
        <w:t>xiaomi</w:t>
      </w:r>
    </w:p>
    <w:p w14:paraId="55212251" w14:textId="3A07D3F6" w:rsidR="00F74A6F" w:rsidRPr="009537ED" w:rsidRDefault="005A18DC" w:rsidP="00F74A6F">
      <w:pPr>
        <w:rPr>
          <w:lang w:eastAsia="x-none"/>
        </w:rPr>
      </w:pPr>
      <w:hyperlink r:id="rId1628" w:history="1">
        <w:r w:rsidR="00AF7253">
          <w:rPr>
            <w:rStyle w:val="Hyperlink"/>
            <w:lang w:eastAsia="x-none"/>
          </w:rPr>
          <w:t>R1-2311495</w:t>
        </w:r>
      </w:hyperlink>
      <w:r w:rsidR="00F74A6F" w:rsidRPr="009537ED">
        <w:rPr>
          <w:lang w:eastAsia="x-none"/>
        </w:rPr>
        <w:tab/>
        <w:t>Remaining issues on side control information and NCR behaviour</w:t>
      </w:r>
      <w:r w:rsidR="00F74A6F" w:rsidRPr="009537ED">
        <w:rPr>
          <w:lang w:eastAsia="x-none"/>
        </w:rPr>
        <w:tab/>
        <w:t>CMCC</w:t>
      </w:r>
    </w:p>
    <w:p w14:paraId="732E541D" w14:textId="272DE1BE" w:rsidR="00F74A6F" w:rsidRPr="009537ED" w:rsidRDefault="005A18DC" w:rsidP="00F74A6F">
      <w:pPr>
        <w:rPr>
          <w:lang w:eastAsia="x-none"/>
        </w:rPr>
      </w:pPr>
      <w:hyperlink r:id="rId1629" w:history="1">
        <w:r w:rsidR="00AF7253">
          <w:rPr>
            <w:rStyle w:val="Hyperlink"/>
            <w:lang w:eastAsia="x-none"/>
          </w:rPr>
          <w:t>R1-2311551</w:t>
        </w:r>
      </w:hyperlink>
      <w:r w:rsidR="00F74A6F" w:rsidRPr="009537ED">
        <w:rPr>
          <w:lang w:eastAsia="x-none"/>
        </w:rPr>
        <w:tab/>
        <w:t>Remaining issues on side control information and NCR behaviour</w:t>
      </w:r>
      <w:r w:rsidR="00F74A6F" w:rsidRPr="009537ED">
        <w:rPr>
          <w:lang w:eastAsia="x-none"/>
        </w:rPr>
        <w:tab/>
        <w:t>China Telecom</w:t>
      </w:r>
    </w:p>
    <w:p w14:paraId="535DE2CE" w14:textId="13D37C3C" w:rsidR="00F74A6F" w:rsidRPr="009537ED" w:rsidRDefault="005A18DC" w:rsidP="00F74A6F">
      <w:pPr>
        <w:rPr>
          <w:lang w:eastAsia="x-none"/>
        </w:rPr>
      </w:pPr>
      <w:hyperlink r:id="rId1630" w:history="1">
        <w:r w:rsidR="00AF7253">
          <w:rPr>
            <w:rStyle w:val="Hyperlink"/>
            <w:lang w:eastAsia="x-none"/>
          </w:rPr>
          <w:t>R1-2311697</w:t>
        </w:r>
      </w:hyperlink>
      <w:r w:rsidR="00F74A6F" w:rsidRPr="009537ED">
        <w:rPr>
          <w:lang w:eastAsia="x-none"/>
        </w:rPr>
        <w:tab/>
        <w:t>On remaining issues for side control information for NCR</w:t>
      </w:r>
      <w:r w:rsidR="00F74A6F" w:rsidRPr="009537ED">
        <w:rPr>
          <w:lang w:eastAsia="x-none"/>
        </w:rPr>
        <w:tab/>
        <w:t>Apple</w:t>
      </w:r>
    </w:p>
    <w:p w14:paraId="53D2E5DB" w14:textId="43FD087C" w:rsidR="00F74A6F" w:rsidRPr="009537ED" w:rsidRDefault="005A18DC" w:rsidP="00F74A6F">
      <w:pPr>
        <w:rPr>
          <w:lang w:eastAsia="x-none"/>
        </w:rPr>
      </w:pPr>
      <w:hyperlink r:id="rId1631" w:history="1">
        <w:r w:rsidR="00AF7253">
          <w:rPr>
            <w:rStyle w:val="Hyperlink"/>
            <w:lang w:eastAsia="x-none"/>
          </w:rPr>
          <w:t>R1-2311757</w:t>
        </w:r>
      </w:hyperlink>
      <w:r w:rsidR="00F74A6F" w:rsidRPr="009537ED">
        <w:rPr>
          <w:lang w:eastAsia="x-none"/>
        </w:rPr>
        <w:tab/>
        <w:t>Discussion on NCR maintenance</w:t>
      </w:r>
      <w:r w:rsidR="00F74A6F" w:rsidRPr="009537ED">
        <w:rPr>
          <w:lang w:eastAsia="x-none"/>
        </w:rPr>
        <w:tab/>
        <w:t>ETRI</w:t>
      </w:r>
    </w:p>
    <w:p w14:paraId="5CC8E769" w14:textId="7081D863" w:rsidR="00F74A6F" w:rsidRPr="009537ED" w:rsidRDefault="005A18DC" w:rsidP="00F74A6F">
      <w:pPr>
        <w:rPr>
          <w:lang w:eastAsia="x-none"/>
        </w:rPr>
      </w:pPr>
      <w:hyperlink r:id="rId1632" w:history="1">
        <w:r w:rsidR="00AF7253">
          <w:rPr>
            <w:rStyle w:val="Hyperlink"/>
            <w:lang w:eastAsia="x-none"/>
          </w:rPr>
          <w:t>R1-2311858</w:t>
        </w:r>
      </w:hyperlink>
      <w:r w:rsidR="00F74A6F" w:rsidRPr="009537ED">
        <w:rPr>
          <w:lang w:eastAsia="x-none"/>
        </w:rPr>
        <w:tab/>
        <w:t>Remaining Issues on side control information and NCR behaviour</w:t>
      </w:r>
      <w:r w:rsidR="00F74A6F" w:rsidRPr="009537ED">
        <w:rPr>
          <w:lang w:eastAsia="x-none"/>
        </w:rPr>
        <w:tab/>
        <w:t>Samsung</w:t>
      </w:r>
    </w:p>
    <w:p w14:paraId="226293B8" w14:textId="6D482197" w:rsidR="00F74A6F" w:rsidRDefault="005A18DC" w:rsidP="00F74A6F">
      <w:pPr>
        <w:rPr>
          <w:lang w:eastAsia="x-none"/>
        </w:rPr>
      </w:pPr>
      <w:hyperlink r:id="rId1633" w:history="1">
        <w:r w:rsidR="00AF7253">
          <w:rPr>
            <w:rStyle w:val="Hyperlink"/>
            <w:lang w:eastAsia="x-none"/>
          </w:rPr>
          <w:t>R1-2311917</w:t>
        </w:r>
      </w:hyperlink>
      <w:r w:rsidR="00F74A6F" w:rsidRPr="009537ED">
        <w:rPr>
          <w:lang w:eastAsia="x-none"/>
        </w:rPr>
        <w:tab/>
        <w:t>Remaining issues on side control information and NCR behaviour</w:t>
      </w:r>
      <w:r w:rsidR="00F74A6F" w:rsidRPr="009537ED">
        <w:rPr>
          <w:lang w:eastAsia="x-none"/>
        </w:rPr>
        <w:tab/>
        <w:t>LG Electronics</w:t>
      </w:r>
    </w:p>
    <w:p w14:paraId="60540EBD" w14:textId="77777777" w:rsidR="00570EA9" w:rsidRDefault="00570EA9" w:rsidP="00F74A6F">
      <w:pPr>
        <w:rPr>
          <w:lang w:eastAsia="x-none"/>
        </w:rPr>
      </w:pPr>
    </w:p>
    <w:p w14:paraId="54549F75" w14:textId="2ACB7C21" w:rsidR="00570EA9" w:rsidRPr="00570EA9" w:rsidRDefault="005A18DC" w:rsidP="00570EA9">
      <w:pPr>
        <w:rPr>
          <w:b/>
          <w:bCs/>
          <w:lang w:eastAsia="x-none"/>
        </w:rPr>
      </w:pPr>
      <w:hyperlink r:id="rId1634" w:history="1">
        <w:r w:rsidR="00AF7253">
          <w:rPr>
            <w:rStyle w:val="Hyperlink"/>
            <w:b/>
            <w:bCs/>
            <w:lang w:eastAsia="x-none"/>
          </w:rPr>
          <w:t>R1-2312375</w:t>
        </w:r>
      </w:hyperlink>
      <w:r w:rsidR="002544DA" w:rsidRPr="002544DA">
        <w:rPr>
          <w:b/>
          <w:bCs/>
          <w:lang w:eastAsia="x-none"/>
        </w:rPr>
        <w:tab/>
        <w:t>Summary#1 of maintenance issues on side control information and NCR behavior</w:t>
      </w:r>
      <w:r w:rsidR="002544DA" w:rsidRPr="002544DA">
        <w:rPr>
          <w:b/>
          <w:bCs/>
          <w:lang w:eastAsia="x-none"/>
        </w:rPr>
        <w:tab/>
        <w:t>Moderator (ZTE)</w:t>
      </w:r>
    </w:p>
    <w:p w14:paraId="4D7632C1" w14:textId="45231F6E" w:rsidR="00570EA9" w:rsidRPr="00570EA9" w:rsidRDefault="002544DA" w:rsidP="002544DA">
      <w:r>
        <w:t>From Tuesday session</w:t>
      </w:r>
    </w:p>
    <w:p w14:paraId="279FB9DF" w14:textId="77777777" w:rsidR="002544DA" w:rsidRPr="002544DA" w:rsidRDefault="002544DA" w:rsidP="002544DA">
      <w:pPr>
        <w:rPr>
          <w:rFonts w:ascii="Times New Roman" w:hAnsi="Times New Roman"/>
          <w:szCs w:val="20"/>
          <w:highlight w:val="green"/>
        </w:rPr>
      </w:pPr>
      <w:r w:rsidRPr="002544DA">
        <w:rPr>
          <w:rFonts w:ascii="Times New Roman" w:hAnsi="Times New Roman"/>
          <w:szCs w:val="20"/>
          <w:highlight w:val="green"/>
        </w:rPr>
        <w:t>Agreement</w:t>
      </w:r>
    </w:p>
    <w:p w14:paraId="110DE166" w14:textId="77777777" w:rsidR="00570EA9" w:rsidRPr="002544DA" w:rsidRDefault="00570EA9" w:rsidP="002544DA">
      <w:pPr>
        <w:rPr>
          <w:rFonts w:ascii="Times New Roman" w:eastAsia="SimSun" w:hAnsi="Times New Roman"/>
          <w:szCs w:val="20"/>
        </w:rPr>
      </w:pPr>
      <w:r w:rsidRPr="002544DA">
        <w:rPr>
          <w:rFonts w:ascii="Times New Roman" w:hAnsi="Times New Roman"/>
          <w:szCs w:val="20"/>
        </w:rPr>
        <w:t xml:space="preserve">For the </w:t>
      </w:r>
      <w:r w:rsidRPr="002544DA">
        <w:rPr>
          <w:rFonts w:ascii="Times New Roman" w:eastAsia="SimSun" w:hAnsi="Times New Roman"/>
          <w:szCs w:val="20"/>
        </w:rPr>
        <w:t>timing determination of backhaul link:</w:t>
      </w:r>
    </w:p>
    <w:p w14:paraId="5C8CCA9D" w14:textId="6BCC3CE3" w:rsidR="00570EA9" w:rsidRPr="002544DA" w:rsidRDefault="00570EA9" w:rsidP="00AA1D48">
      <w:pPr>
        <w:pStyle w:val="ListParagraph"/>
        <w:numPr>
          <w:ilvl w:val="0"/>
          <w:numId w:val="131"/>
        </w:numPr>
        <w:rPr>
          <w:rFonts w:eastAsia="Times New Roman"/>
          <w:color w:val="000000"/>
          <w:shd w:val="clear" w:color="auto" w:fill="FFFF00"/>
        </w:rPr>
      </w:pPr>
      <w:r w:rsidRPr="002544DA">
        <w:t>The Fwd’s backhaul link DL/UL timing follows the MT’s DL/UL frame timing</w:t>
      </w:r>
      <w:r w:rsidR="002544DA" w:rsidRPr="002544DA">
        <w:t>.</w:t>
      </w:r>
    </w:p>
    <w:p w14:paraId="62FE2C52" w14:textId="77777777" w:rsidR="002544DA" w:rsidRPr="002544DA" w:rsidRDefault="002544DA" w:rsidP="002544DA">
      <w:pPr>
        <w:rPr>
          <w:rFonts w:ascii="Times New Roman" w:hAnsi="Times New Roman"/>
          <w:szCs w:val="20"/>
          <w:highlight w:val="green"/>
        </w:rPr>
      </w:pPr>
      <w:r w:rsidRPr="002544DA">
        <w:rPr>
          <w:rFonts w:ascii="Times New Roman" w:hAnsi="Times New Roman"/>
          <w:szCs w:val="20"/>
          <w:highlight w:val="green"/>
        </w:rPr>
        <w:t>Agreement</w:t>
      </w:r>
    </w:p>
    <w:tbl>
      <w:tblPr>
        <w:tblW w:w="5000" w:type="pct"/>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0683"/>
      </w:tblGrid>
      <w:tr w:rsidR="00570EA9" w:rsidRPr="00570EA9" w14:paraId="141A182E" w14:textId="77777777" w:rsidTr="002544DA">
        <w:tc>
          <w:tcPr>
            <w:tcW w:w="5000" w:type="pct"/>
            <w:shd w:val="clear" w:color="auto" w:fill="auto"/>
          </w:tcPr>
          <w:p w14:paraId="6A1D4EDC" w14:textId="483F65DB" w:rsidR="00570EA9" w:rsidRPr="00570EA9" w:rsidRDefault="00570EA9" w:rsidP="002544DA">
            <w:pPr>
              <w:overflowPunct w:val="0"/>
              <w:snapToGrid w:val="0"/>
              <w:rPr>
                <w:rFonts w:ascii="Arial" w:hAnsi="Arial" w:cs="Arial"/>
                <w:sz w:val="16"/>
                <w:szCs w:val="16"/>
              </w:rPr>
            </w:pPr>
            <w:r w:rsidRPr="00570EA9">
              <w:rPr>
                <w:rFonts w:ascii="Arial" w:hAnsi="Arial" w:cs="Arial"/>
                <w:b/>
                <w:bCs/>
                <w:sz w:val="16"/>
                <w:szCs w:val="16"/>
                <w:u w:val="single"/>
              </w:rPr>
              <w:t>Reason for change:</w:t>
            </w:r>
            <w:r w:rsidR="002544DA">
              <w:rPr>
                <w:rFonts w:ascii="Arial" w:hAnsi="Arial" w:cs="Arial"/>
                <w:b/>
                <w:bCs/>
                <w:sz w:val="16"/>
                <w:szCs w:val="16"/>
                <w:u w:val="single"/>
              </w:rPr>
              <w:t xml:space="preserve"> </w:t>
            </w:r>
            <w:r w:rsidRPr="00570EA9">
              <w:rPr>
                <w:rFonts w:ascii="Arial" w:hAnsi="Arial" w:cs="Arial"/>
                <w:sz w:val="16"/>
                <w:szCs w:val="16"/>
              </w:rPr>
              <w:t>Adding the missing abbreviation of NCR.</w:t>
            </w:r>
          </w:p>
          <w:p w14:paraId="6E72C9BE" w14:textId="25EDB566" w:rsidR="00570EA9" w:rsidRPr="00570EA9" w:rsidRDefault="00570EA9" w:rsidP="002544DA">
            <w:pPr>
              <w:overflowPunct w:val="0"/>
              <w:snapToGrid w:val="0"/>
              <w:rPr>
                <w:rFonts w:ascii="Arial" w:hAnsi="Arial" w:cs="Arial"/>
                <w:sz w:val="16"/>
                <w:szCs w:val="16"/>
              </w:rPr>
            </w:pPr>
            <w:r w:rsidRPr="00570EA9">
              <w:rPr>
                <w:rFonts w:ascii="Arial" w:hAnsi="Arial" w:cs="Arial"/>
                <w:b/>
                <w:bCs/>
                <w:sz w:val="16"/>
                <w:szCs w:val="16"/>
                <w:u w:val="single"/>
              </w:rPr>
              <w:t>Summary of change:</w:t>
            </w:r>
            <w:r w:rsidR="002544DA">
              <w:rPr>
                <w:rFonts w:ascii="Arial" w:hAnsi="Arial" w:cs="Arial"/>
                <w:b/>
                <w:bCs/>
                <w:sz w:val="16"/>
                <w:szCs w:val="16"/>
                <w:u w:val="single"/>
              </w:rPr>
              <w:t xml:space="preserve"> </w:t>
            </w:r>
            <w:r w:rsidRPr="00570EA9">
              <w:rPr>
                <w:rFonts w:ascii="Arial" w:hAnsi="Arial" w:cs="Arial"/>
                <w:sz w:val="16"/>
                <w:szCs w:val="16"/>
              </w:rPr>
              <w:t>The abbreviation of NCR is added.</w:t>
            </w:r>
          </w:p>
          <w:p w14:paraId="5193FF23" w14:textId="77777777" w:rsidR="002544DA" w:rsidRPr="00570EA9" w:rsidRDefault="00570EA9" w:rsidP="002544DA">
            <w:pPr>
              <w:overflowPunct w:val="0"/>
              <w:snapToGrid w:val="0"/>
              <w:rPr>
                <w:rFonts w:ascii="Arial" w:hAnsi="Arial" w:cs="Arial"/>
                <w:color w:val="000000"/>
                <w:sz w:val="16"/>
                <w:szCs w:val="16"/>
              </w:rPr>
            </w:pPr>
            <w:r w:rsidRPr="00570EA9">
              <w:rPr>
                <w:rFonts w:ascii="Arial" w:hAnsi="Arial" w:cs="Arial"/>
                <w:b/>
                <w:bCs/>
                <w:sz w:val="16"/>
                <w:szCs w:val="16"/>
                <w:u w:val="single"/>
              </w:rPr>
              <w:t>Consequences if not approved:</w:t>
            </w:r>
            <w:r w:rsidR="002544DA">
              <w:rPr>
                <w:rFonts w:ascii="Arial" w:hAnsi="Arial" w:cs="Arial"/>
                <w:b/>
                <w:bCs/>
                <w:sz w:val="16"/>
                <w:szCs w:val="16"/>
                <w:u w:val="single"/>
              </w:rPr>
              <w:t xml:space="preserve"> </w:t>
            </w:r>
            <w:r w:rsidRPr="00570EA9">
              <w:rPr>
                <w:rFonts w:ascii="Arial" w:hAnsi="Arial" w:cs="Arial"/>
                <w:sz w:val="16"/>
                <w:szCs w:val="16"/>
                <w:lang w:val="en-US" w:eastAsia="zh-CN"/>
              </w:rPr>
              <w:t>T</w:t>
            </w:r>
            <w:r w:rsidRPr="00570EA9">
              <w:rPr>
                <w:rFonts w:ascii="Arial" w:hAnsi="Arial" w:cs="Arial"/>
                <w:sz w:val="16"/>
                <w:szCs w:val="16"/>
              </w:rPr>
              <w:t xml:space="preserve">he abbreviation in 38.212 is </w:t>
            </w:r>
            <w:r w:rsidRPr="00570EA9">
              <w:rPr>
                <w:rFonts w:ascii="Arial" w:hAnsi="Arial" w:cs="Arial"/>
                <w:sz w:val="16"/>
                <w:szCs w:val="16"/>
                <w:lang w:val="en-US" w:eastAsia="zh-CN"/>
              </w:rPr>
              <w:t>in</w:t>
            </w:r>
            <w:r w:rsidRPr="00570EA9">
              <w:rPr>
                <w:rFonts w:ascii="Arial" w:hAnsi="Arial" w:cs="Arial"/>
                <w:sz w:val="16"/>
                <w:szCs w:val="16"/>
              </w:rPr>
              <w:t>complete.</w:t>
            </w:r>
          </w:p>
          <w:p w14:paraId="35AFCE23" w14:textId="77777777" w:rsidR="002544DA" w:rsidRPr="00570EA9" w:rsidRDefault="002544DA" w:rsidP="002544DA">
            <w:pPr>
              <w:jc w:val="both"/>
              <w:rPr>
                <w:rFonts w:ascii="Arial" w:hAnsi="Arial" w:cs="Arial"/>
                <w:b/>
                <w:sz w:val="16"/>
                <w:szCs w:val="16"/>
                <w:lang w:eastAsia="x-none"/>
              </w:rPr>
            </w:pPr>
            <w:r w:rsidRPr="00570EA9">
              <w:rPr>
                <w:rFonts w:ascii="Arial" w:hAnsi="Arial" w:cs="Arial"/>
                <w:sz w:val="16"/>
                <w:szCs w:val="16"/>
              </w:rPr>
              <w:t>================================================================================</w:t>
            </w:r>
            <w:r w:rsidRPr="00570EA9">
              <w:rPr>
                <w:rFonts w:ascii="Arial" w:hAnsi="Arial" w:cs="Arial"/>
                <w:sz w:val="16"/>
                <w:szCs w:val="16"/>
                <w:lang w:val="en-US" w:eastAsia="zh-CN"/>
              </w:rPr>
              <w:t>====</w:t>
            </w:r>
          </w:p>
          <w:p w14:paraId="4552748F" w14:textId="77777777" w:rsidR="00570EA9" w:rsidRPr="00570EA9" w:rsidRDefault="00570EA9" w:rsidP="002544DA">
            <w:pPr>
              <w:jc w:val="center"/>
              <w:rPr>
                <w:rFonts w:ascii="Arial" w:eastAsia="Malgun Gothic" w:hAnsi="Arial" w:cs="Arial"/>
                <w:sz w:val="16"/>
                <w:szCs w:val="16"/>
              </w:rPr>
            </w:pPr>
            <w:r w:rsidRPr="00570EA9">
              <w:rPr>
                <w:rFonts w:ascii="Arial" w:hAnsi="Arial" w:cs="Arial"/>
                <w:color w:val="FF0000"/>
                <w:sz w:val="16"/>
                <w:szCs w:val="16"/>
              </w:rPr>
              <w:t>*** Unchanged parts are omitted ***</w:t>
            </w:r>
          </w:p>
          <w:p w14:paraId="074E742F" w14:textId="77777777" w:rsidR="00570EA9" w:rsidRPr="00570EA9" w:rsidRDefault="00570EA9" w:rsidP="002544DA">
            <w:pPr>
              <w:rPr>
                <w:rFonts w:ascii="Arial" w:eastAsia="Times New Roman" w:hAnsi="Arial" w:cs="Arial"/>
                <w:b/>
                <w:bCs/>
                <w:sz w:val="16"/>
                <w:szCs w:val="16"/>
              </w:rPr>
            </w:pPr>
            <w:r w:rsidRPr="00570EA9">
              <w:rPr>
                <w:rFonts w:ascii="Arial" w:eastAsia="Times New Roman" w:hAnsi="Arial" w:cs="Arial"/>
                <w:b/>
                <w:bCs/>
                <w:sz w:val="16"/>
                <w:szCs w:val="16"/>
              </w:rPr>
              <w:t>3.3</w:t>
            </w:r>
            <w:r w:rsidRPr="00570EA9">
              <w:rPr>
                <w:rFonts w:ascii="Arial" w:eastAsia="Times New Roman" w:hAnsi="Arial" w:cs="Arial"/>
                <w:b/>
                <w:bCs/>
                <w:sz w:val="16"/>
                <w:szCs w:val="16"/>
              </w:rPr>
              <w:tab/>
              <w:t>Abbreviations</w:t>
            </w:r>
          </w:p>
          <w:p w14:paraId="67CBE791" w14:textId="77777777" w:rsidR="00570EA9" w:rsidRPr="00570EA9" w:rsidRDefault="00570EA9" w:rsidP="002544DA">
            <w:pPr>
              <w:keepNext/>
              <w:overflowPunct w:val="0"/>
              <w:textAlignment w:val="baseline"/>
              <w:rPr>
                <w:rFonts w:ascii="Arial" w:eastAsia="Times New Roman" w:hAnsi="Arial" w:cs="Arial"/>
                <w:sz w:val="16"/>
                <w:szCs w:val="16"/>
              </w:rPr>
            </w:pPr>
            <w:r w:rsidRPr="00570EA9">
              <w:rPr>
                <w:rFonts w:ascii="Arial" w:eastAsia="Times New Roman" w:hAnsi="Arial" w:cs="Arial"/>
                <w:sz w:val="16"/>
                <w:szCs w:val="16"/>
              </w:rPr>
              <w:t>For the purposes of the present document, the abbreviations given in 3GPP TR 21.905 [1] and the following apply. An abbreviation defined in the present document takes precedence over the definition of the same abbreviation, if any, in 3GPP TR 21.905 [1].</w:t>
            </w:r>
          </w:p>
          <w:p w14:paraId="147FA43C" w14:textId="77777777" w:rsidR="00570EA9" w:rsidRPr="00570EA9" w:rsidRDefault="00570EA9" w:rsidP="002544DA">
            <w:pPr>
              <w:jc w:val="center"/>
              <w:rPr>
                <w:rFonts w:ascii="Arial" w:eastAsia="Malgun Gothic" w:hAnsi="Arial" w:cs="Arial"/>
                <w:sz w:val="16"/>
                <w:szCs w:val="16"/>
              </w:rPr>
            </w:pPr>
            <w:r w:rsidRPr="00570EA9">
              <w:rPr>
                <w:rFonts w:ascii="Arial" w:hAnsi="Arial" w:cs="Arial"/>
                <w:color w:val="FF0000"/>
                <w:sz w:val="16"/>
                <w:szCs w:val="16"/>
              </w:rPr>
              <w:t>*** Unchanged parts are omitted ***</w:t>
            </w:r>
          </w:p>
          <w:p w14:paraId="5956CDF0" w14:textId="77777777" w:rsidR="00570EA9" w:rsidRPr="00570EA9" w:rsidRDefault="00570EA9" w:rsidP="002544DA">
            <w:pPr>
              <w:keepLines/>
              <w:overflowPunct w:val="0"/>
              <w:ind w:left="1702" w:hanging="1418"/>
              <w:textAlignment w:val="baseline"/>
              <w:rPr>
                <w:rFonts w:ascii="Arial" w:eastAsia="Times New Roman" w:hAnsi="Arial" w:cs="Arial"/>
                <w:sz w:val="16"/>
                <w:szCs w:val="16"/>
              </w:rPr>
            </w:pPr>
            <w:r w:rsidRPr="00570EA9">
              <w:rPr>
                <w:rFonts w:ascii="Arial" w:eastAsia="Times New Roman" w:hAnsi="Arial" w:cs="Arial"/>
                <w:sz w:val="16"/>
                <w:szCs w:val="16"/>
              </w:rPr>
              <w:t>MBS</w:t>
            </w:r>
            <w:r w:rsidRPr="00570EA9">
              <w:rPr>
                <w:rFonts w:ascii="Arial" w:eastAsia="Times New Roman" w:hAnsi="Arial" w:cs="Arial"/>
                <w:sz w:val="16"/>
                <w:szCs w:val="16"/>
              </w:rPr>
              <w:tab/>
              <w:t>Multicast Broadcast Services</w:t>
            </w:r>
          </w:p>
          <w:p w14:paraId="72275C9B" w14:textId="77777777" w:rsidR="00570EA9" w:rsidRPr="00570EA9" w:rsidRDefault="00570EA9" w:rsidP="002544DA">
            <w:pPr>
              <w:keepLines/>
              <w:overflowPunct w:val="0"/>
              <w:ind w:left="1702" w:hanging="1418"/>
              <w:textAlignment w:val="baseline"/>
              <w:rPr>
                <w:rFonts w:ascii="Arial" w:eastAsia="Times New Roman" w:hAnsi="Arial" w:cs="Arial"/>
                <w:sz w:val="16"/>
                <w:szCs w:val="16"/>
              </w:rPr>
            </w:pPr>
            <w:r w:rsidRPr="00570EA9">
              <w:rPr>
                <w:rFonts w:ascii="Arial" w:eastAsia="Times New Roman" w:hAnsi="Arial" w:cs="Arial"/>
                <w:sz w:val="16"/>
                <w:szCs w:val="16"/>
              </w:rPr>
              <w:t>MCS</w:t>
            </w:r>
            <w:r w:rsidRPr="00570EA9">
              <w:rPr>
                <w:rFonts w:ascii="Arial" w:eastAsia="Times New Roman" w:hAnsi="Arial" w:cs="Arial"/>
                <w:sz w:val="16"/>
                <w:szCs w:val="16"/>
              </w:rPr>
              <w:tab/>
              <w:t>Modulation and Coding Scheme</w:t>
            </w:r>
          </w:p>
          <w:p w14:paraId="6B18A024" w14:textId="77777777" w:rsidR="00570EA9" w:rsidRPr="00570EA9" w:rsidRDefault="00570EA9" w:rsidP="002544DA">
            <w:pPr>
              <w:keepLines/>
              <w:overflowPunct w:val="0"/>
              <w:ind w:left="1702" w:hanging="1418"/>
              <w:textAlignment w:val="baseline"/>
              <w:rPr>
                <w:rFonts w:ascii="Arial" w:eastAsia="Times New Roman" w:hAnsi="Arial" w:cs="Arial"/>
                <w:color w:val="FF0000"/>
                <w:sz w:val="16"/>
                <w:szCs w:val="16"/>
              </w:rPr>
            </w:pPr>
            <w:r w:rsidRPr="00570EA9">
              <w:rPr>
                <w:rFonts w:ascii="Arial" w:eastAsia="Times New Roman" w:hAnsi="Arial" w:cs="Arial"/>
                <w:color w:val="FF0000"/>
                <w:sz w:val="16"/>
                <w:szCs w:val="16"/>
              </w:rPr>
              <w:t>NCR</w:t>
            </w:r>
            <w:r w:rsidRPr="00570EA9">
              <w:rPr>
                <w:rFonts w:ascii="Arial" w:eastAsia="Times New Roman" w:hAnsi="Arial" w:cs="Arial"/>
                <w:color w:val="FF0000"/>
                <w:sz w:val="16"/>
                <w:szCs w:val="16"/>
              </w:rPr>
              <w:tab/>
              <w:t>Network-controlled repeater</w:t>
            </w:r>
          </w:p>
          <w:p w14:paraId="2AC46C68" w14:textId="77777777" w:rsidR="00570EA9" w:rsidRPr="00570EA9" w:rsidRDefault="00570EA9" w:rsidP="002544DA">
            <w:pPr>
              <w:keepLines/>
              <w:overflowPunct w:val="0"/>
              <w:ind w:left="1702" w:hanging="1418"/>
              <w:textAlignment w:val="baseline"/>
              <w:rPr>
                <w:rFonts w:ascii="Arial" w:eastAsia="Times New Roman" w:hAnsi="Arial" w:cs="Arial"/>
                <w:sz w:val="16"/>
                <w:szCs w:val="16"/>
              </w:rPr>
            </w:pPr>
            <w:r w:rsidRPr="00570EA9">
              <w:rPr>
                <w:rFonts w:ascii="Arial" w:eastAsia="Times New Roman" w:hAnsi="Arial" w:cs="Arial"/>
                <w:sz w:val="16"/>
                <w:szCs w:val="16"/>
              </w:rPr>
              <w:t>OFDM</w:t>
            </w:r>
            <w:r w:rsidRPr="00570EA9">
              <w:rPr>
                <w:rFonts w:ascii="Arial" w:eastAsia="Times New Roman" w:hAnsi="Arial" w:cs="Arial"/>
                <w:sz w:val="16"/>
                <w:szCs w:val="16"/>
              </w:rPr>
              <w:tab/>
              <w:t>Orthogonal Frequency Division Multiplex</w:t>
            </w:r>
          </w:p>
          <w:p w14:paraId="4C7F97D7" w14:textId="77777777" w:rsidR="00570EA9" w:rsidRPr="00570EA9" w:rsidRDefault="00570EA9" w:rsidP="002544DA">
            <w:pPr>
              <w:keepLines/>
              <w:overflowPunct w:val="0"/>
              <w:ind w:left="1702" w:hanging="1418"/>
              <w:textAlignment w:val="baseline"/>
              <w:rPr>
                <w:rFonts w:ascii="Arial" w:eastAsia="Times New Roman" w:hAnsi="Arial" w:cs="Arial"/>
                <w:sz w:val="16"/>
                <w:szCs w:val="16"/>
              </w:rPr>
            </w:pPr>
            <w:r w:rsidRPr="00570EA9">
              <w:rPr>
                <w:rFonts w:ascii="Arial" w:eastAsia="Times New Roman" w:hAnsi="Arial" w:cs="Arial"/>
                <w:sz w:val="16"/>
                <w:szCs w:val="16"/>
              </w:rPr>
              <w:t>PBCH</w:t>
            </w:r>
            <w:r w:rsidRPr="00570EA9">
              <w:rPr>
                <w:rFonts w:ascii="Arial" w:eastAsia="Times New Roman" w:hAnsi="Arial" w:cs="Arial"/>
                <w:sz w:val="16"/>
                <w:szCs w:val="16"/>
              </w:rPr>
              <w:tab/>
              <w:t>Physical Broadcast Channel</w:t>
            </w:r>
          </w:p>
          <w:p w14:paraId="15CA7C95" w14:textId="77777777" w:rsidR="00570EA9" w:rsidRPr="00570EA9" w:rsidRDefault="00570EA9" w:rsidP="002544DA">
            <w:pPr>
              <w:jc w:val="center"/>
              <w:rPr>
                <w:rFonts w:ascii="Arial" w:hAnsi="Arial" w:cs="Arial"/>
                <w:color w:val="FF0000"/>
                <w:sz w:val="16"/>
                <w:szCs w:val="16"/>
              </w:rPr>
            </w:pPr>
            <w:r w:rsidRPr="00570EA9">
              <w:rPr>
                <w:rFonts w:ascii="Arial" w:hAnsi="Arial" w:cs="Arial"/>
                <w:color w:val="FF0000"/>
                <w:sz w:val="16"/>
                <w:szCs w:val="16"/>
              </w:rPr>
              <w:t>*** Unchanged parts are omitted ***</w:t>
            </w:r>
          </w:p>
        </w:tc>
      </w:tr>
    </w:tbl>
    <w:p w14:paraId="4D339BE7" w14:textId="77777777" w:rsidR="00570EA9" w:rsidRPr="00570EA9" w:rsidRDefault="00570EA9" w:rsidP="002544DA"/>
    <w:p w14:paraId="65A45135" w14:textId="77777777" w:rsidR="002544DA" w:rsidRPr="009537ED" w:rsidRDefault="002544DA" w:rsidP="002544DA">
      <w:pPr>
        <w:rPr>
          <w:rFonts w:ascii="Times New Roman" w:hAnsi="Times New Roman"/>
          <w:szCs w:val="20"/>
          <w:highlight w:val="green"/>
        </w:rPr>
      </w:pPr>
      <w:r w:rsidRPr="009537ED">
        <w:rPr>
          <w:rFonts w:ascii="Times New Roman" w:hAnsi="Times New Roman"/>
          <w:szCs w:val="20"/>
          <w:highlight w:val="green"/>
        </w:rPr>
        <w:t>Agreement</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0683"/>
      </w:tblGrid>
      <w:tr w:rsidR="00570EA9" w:rsidRPr="00570EA9" w14:paraId="29E715E4" w14:textId="77777777" w:rsidTr="002544DA">
        <w:tc>
          <w:tcPr>
            <w:tcW w:w="5000" w:type="pct"/>
            <w:shd w:val="clear" w:color="auto" w:fill="auto"/>
          </w:tcPr>
          <w:p w14:paraId="0E9DE0CC" w14:textId="649E6CF8" w:rsidR="00570EA9" w:rsidRPr="00570EA9" w:rsidRDefault="00570EA9" w:rsidP="002544DA">
            <w:pPr>
              <w:overflowPunct w:val="0"/>
              <w:snapToGrid w:val="0"/>
              <w:rPr>
                <w:rFonts w:ascii="Arial" w:hAnsi="Arial" w:cs="Arial"/>
                <w:sz w:val="16"/>
                <w:szCs w:val="16"/>
              </w:rPr>
            </w:pPr>
            <w:r w:rsidRPr="00570EA9">
              <w:rPr>
                <w:rFonts w:ascii="Arial" w:hAnsi="Arial" w:cs="Arial"/>
                <w:b/>
                <w:bCs/>
                <w:sz w:val="16"/>
                <w:szCs w:val="16"/>
                <w:u w:val="single"/>
              </w:rPr>
              <w:t>Reason for change:</w:t>
            </w:r>
            <w:r w:rsidR="002544DA" w:rsidRPr="002544DA">
              <w:rPr>
                <w:rFonts w:ascii="Arial" w:hAnsi="Arial" w:cs="Arial"/>
                <w:b/>
                <w:bCs/>
                <w:sz w:val="16"/>
                <w:szCs w:val="16"/>
                <w:u w:val="single"/>
              </w:rPr>
              <w:t xml:space="preserve"> </w:t>
            </w:r>
            <w:r w:rsidRPr="00570EA9">
              <w:rPr>
                <w:rFonts w:ascii="Arial" w:hAnsi="Arial" w:cs="Arial"/>
                <w:sz w:val="16"/>
                <w:szCs w:val="16"/>
              </w:rPr>
              <w:t>The determination of NCR-Fwd’s timing is missing in the spec.</w:t>
            </w:r>
          </w:p>
          <w:p w14:paraId="0F5CD26F" w14:textId="7828093A" w:rsidR="00570EA9" w:rsidRPr="00570EA9" w:rsidRDefault="00570EA9" w:rsidP="002544DA">
            <w:pPr>
              <w:overflowPunct w:val="0"/>
              <w:snapToGrid w:val="0"/>
              <w:rPr>
                <w:rFonts w:ascii="Arial" w:hAnsi="Arial" w:cs="Arial"/>
                <w:sz w:val="16"/>
                <w:szCs w:val="16"/>
              </w:rPr>
            </w:pPr>
            <w:r w:rsidRPr="00570EA9">
              <w:rPr>
                <w:rFonts w:ascii="Arial" w:hAnsi="Arial" w:cs="Arial"/>
                <w:b/>
                <w:bCs/>
                <w:sz w:val="16"/>
                <w:szCs w:val="16"/>
                <w:u w:val="single"/>
              </w:rPr>
              <w:t>Summary of change:</w:t>
            </w:r>
            <w:r w:rsidR="002544DA" w:rsidRPr="002544DA">
              <w:rPr>
                <w:rFonts w:ascii="Arial" w:hAnsi="Arial" w:cs="Arial"/>
                <w:b/>
                <w:bCs/>
                <w:sz w:val="16"/>
                <w:szCs w:val="16"/>
                <w:u w:val="single"/>
              </w:rPr>
              <w:t xml:space="preserve"> </w:t>
            </w:r>
            <w:r w:rsidRPr="00570EA9">
              <w:rPr>
                <w:rFonts w:ascii="Arial" w:hAnsi="Arial" w:cs="Arial"/>
                <w:sz w:val="16"/>
                <w:szCs w:val="16"/>
              </w:rPr>
              <w:t>Add an additional description to reflect the relevant agreement in current text proposal.</w:t>
            </w:r>
          </w:p>
          <w:p w14:paraId="14C6A85D" w14:textId="46EB31D5" w:rsidR="00570EA9" w:rsidRPr="00570EA9" w:rsidRDefault="00570EA9" w:rsidP="002544DA">
            <w:pPr>
              <w:overflowPunct w:val="0"/>
              <w:snapToGrid w:val="0"/>
              <w:rPr>
                <w:rFonts w:ascii="Arial" w:hAnsi="Arial" w:cs="Arial"/>
                <w:color w:val="000000"/>
                <w:sz w:val="16"/>
                <w:szCs w:val="16"/>
              </w:rPr>
            </w:pPr>
            <w:r w:rsidRPr="00570EA9">
              <w:rPr>
                <w:rFonts w:ascii="Arial" w:hAnsi="Arial" w:cs="Arial"/>
                <w:b/>
                <w:bCs/>
                <w:sz w:val="16"/>
                <w:szCs w:val="16"/>
                <w:u w:val="single"/>
              </w:rPr>
              <w:t>Consequences if not approved:</w:t>
            </w:r>
            <w:r w:rsidR="002544DA" w:rsidRPr="002544DA">
              <w:rPr>
                <w:rFonts w:ascii="Arial" w:hAnsi="Arial" w:cs="Arial"/>
                <w:b/>
                <w:bCs/>
                <w:sz w:val="16"/>
                <w:szCs w:val="16"/>
                <w:u w:val="single"/>
              </w:rPr>
              <w:t xml:space="preserve"> </w:t>
            </w:r>
            <w:r w:rsidRPr="00570EA9">
              <w:rPr>
                <w:rFonts w:ascii="Arial" w:hAnsi="Arial" w:cs="Arial"/>
                <w:sz w:val="16"/>
                <w:szCs w:val="16"/>
              </w:rPr>
              <w:t>The determination of timing line for forwarding may not be clear.</w:t>
            </w:r>
          </w:p>
          <w:p w14:paraId="2435ABDD" w14:textId="77777777" w:rsidR="00570EA9" w:rsidRPr="00570EA9" w:rsidRDefault="00570EA9" w:rsidP="002544DA">
            <w:pPr>
              <w:jc w:val="both"/>
              <w:rPr>
                <w:rFonts w:ascii="Arial" w:hAnsi="Arial" w:cs="Arial"/>
                <w:b/>
                <w:sz w:val="16"/>
                <w:szCs w:val="16"/>
                <w:lang w:eastAsia="x-none"/>
              </w:rPr>
            </w:pPr>
            <w:r w:rsidRPr="00570EA9">
              <w:rPr>
                <w:rFonts w:ascii="Arial" w:hAnsi="Arial" w:cs="Arial"/>
                <w:sz w:val="16"/>
                <w:szCs w:val="16"/>
              </w:rPr>
              <w:t>================================================================================</w:t>
            </w:r>
            <w:r w:rsidRPr="00570EA9">
              <w:rPr>
                <w:rFonts w:ascii="Arial" w:hAnsi="Arial" w:cs="Arial"/>
                <w:sz w:val="16"/>
                <w:szCs w:val="16"/>
                <w:lang w:val="en-US" w:eastAsia="zh-CN"/>
              </w:rPr>
              <w:t>====</w:t>
            </w:r>
          </w:p>
          <w:p w14:paraId="3A0EF9FA" w14:textId="77777777" w:rsidR="00570EA9" w:rsidRPr="00570EA9" w:rsidRDefault="00570EA9" w:rsidP="002544DA">
            <w:pPr>
              <w:snapToGrid w:val="0"/>
              <w:jc w:val="center"/>
              <w:rPr>
                <w:rFonts w:ascii="Arial" w:eastAsia="SimSun" w:hAnsi="Arial" w:cs="Arial"/>
                <w:iCs/>
                <w:color w:val="C00000"/>
                <w:sz w:val="16"/>
                <w:szCs w:val="16"/>
              </w:rPr>
            </w:pPr>
            <w:r w:rsidRPr="00570EA9">
              <w:rPr>
                <w:rFonts w:ascii="Arial" w:eastAsia="SimSun" w:hAnsi="Arial" w:cs="Arial"/>
                <w:iCs/>
                <w:color w:val="C00000"/>
                <w:sz w:val="16"/>
                <w:szCs w:val="16"/>
              </w:rPr>
              <w:t>&lt;omitted part&gt;</w:t>
            </w:r>
          </w:p>
          <w:p w14:paraId="6B98CA9A" w14:textId="77777777" w:rsidR="00570EA9" w:rsidRPr="00570EA9" w:rsidRDefault="00570EA9" w:rsidP="002544DA">
            <w:pPr>
              <w:rPr>
                <w:rFonts w:ascii="Arial" w:hAnsi="Arial" w:cs="Arial"/>
                <w:sz w:val="16"/>
                <w:szCs w:val="16"/>
              </w:rPr>
            </w:pPr>
            <w:r w:rsidRPr="00570EA9">
              <w:rPr>
                <w:rFonts w:ascii="Arial" w:hAnsi="Arial" w:cs="Arial"/>
                <w:sz w:val="16"/>
                <w:szCs w:val="16"/>
              </w:rPr>
              <w:t xml:space="preserve">If </w:t>
            </w:r>
          </w:p>
          <w:p w14:paraId="5FA16D87" w14:textId="77777777" w:rsidR="00570EA9" w:rsidRPr="00570EA9" w:rsidRDefault="00570EA9" w:rsidP="002544DA">
            <w:pPr>
              <w:ind w:left="284"/>
              <w:rPr>
                <w:rFonts w:ascii="Arial" w:eastAsia="MS Mincho" w:hAnsi="Arial" w:cs="Arial"/>
                <w:sz w:val="16"/>
                <w:szCs w:val="16"/>
              </w:rPr>
            </w:pPr>
            <w:r w:rsidRPr="00570EA9">
              <w:rPr>
                <w:rFonts w:ascii="Arial" w:eastAsia="MS Mincho" w:hAnsi="Arial" w:cs="Arial"/>
                <w:sz w:val="16"/>
                <w:szCs w:val="16"/>
              </w:rPr>
              <w:t>-</w:t>
            </w:r>
            <w:r w:rsidRPr="00570EA9">
              <w:rPr>
                <w:rFonts w:ascii="Arial" w:eastAsia="MS Mincho" w:hAnsi="Arial" w:cs="Arial"/>
                <w:sz w:val="16"/>
                <w:szCs w:val="16"/>
              </w:rPr>
              <w:tab/>
              <w:t xml:space="preserve">a first time resource provided by </w:t>
            </w:r>
            <w:r w:rsidRPr="00570EA9">
              <w:rPr>
                <w:rFonts w:ascii="Arial" w:eastAsia="MS Mincho" w:hAnsi="Arial" w:cs="Arial"/>
                <w:i/>
                <w:iCs/>
                <w:sz w:val="16"/>
                <w:szCs w:val="16"/>
              </w:rPr>
              <w:t>NCR-SemiPersistentFwdResourceSet</w:t>
            </w:r>
            <w:r w:rsidRPr="00570EA9">
              <w:rPr>
                <w:rFonts w:ascii="Arial" w:eastAsia="MS Mincho" w:hAnsi="Arial" w:cs="Arial"/>
                <w:sz w:val="16"/>
                <w:szCs w:val="16"/>
              </w:rPr>
              <w:t xml:space="preserve"> is indicated by the NCR Access Link Beam Indication MAC CE command and is associated with a first beam index, and </w:t>
            </w:r>
          </w:p>
          <w:p w14:paraId="4EF3D059" w14:textId="77777777" w:rsidR="00570EA9" w:rsidRPr="00570EA9" w:rsidRDefault="00570EA9" w:rsidP="002544DA">
            <w:pPr>
              <w:ind w:left="284"/>
              <w:rPr>
                <w:rFonts w:ascii="Arial" w:eastAsia="MS Mincho" w:hAnsi="Arial" w:cs="Arial"/>
                <w:sz w:val="16"/>
                <w:szCs w:val="16"/>
              </w:rPr>
            </w:pPr>
            <w:r w:rsidRPr="00570EA9">
              <w:rPr>
                <w:rFonts w:ascii="Arial" w:eastAsia="MS Mincho" w:hAnsi="Arial" w:cs="Arial"/>
                <w:sz w:val="16"/>
                <w:szCs w:val="16"/>
              </w:rPr>
              <w:t>-</w:t>
            </w:r>
            <w:r w:rsidRPr="00570EA9">
              <w:rPr>
                <w:rFonts w:ascii="Arial" w:eastAsia="MS Mincho" w:hAnsi="Arial" w:cs="Arial"/>
                <w:sz w:val="16"/>
                <w:szCs w:val="16"/>
              </w:rPr>
              <w:tab/>
              <w:t xml:space="preserve">a second time resource is provided by </w:t>
            </w:r>
            <w:r w:rsidRPr="00570EA9">
              <w:rPr>
                <w:rFonts w:ascii="Arial" w:eastAsia="MS Mincho" w:hAnsi="Arial" w:cs="Arial"/>
                <w:i/>
                <w:iCs/>
                <w:sz w:val="16"/>
                <w:szCs w:val="16"/>
              </w:rPr>
              <w:t>NCR-PeriodicFwdResourceSet</w:t>
            </w:r>
            <w:r w:rsidRPr="00570EA9">
              <w:rPr>
                <w:rFonts w:ascii="Arial" w:eastAsia="MS Mincho" w:hAnsi="Arial" w:cs="Arial"/>
                <w:sz w:val="16"/>
                <w:szCs w:val="16"/>
              </w:rPr>
              <w:t xml:space="preserve"> and is associated with a second beam index, and </w:t>
            </w:r>
          </w:p>
          <w:p w14:paraId="7A8CCD48" w14:textId="77777777" w:rsidR="00570EA9" w:rsidRPr="00570EA9" w:rsidRDefault="00570EA9" w:rsidP="002544DA">
            <w:pPr>
              <w:ind w:left="284"/>
              <w:rPr>
                <w:rFonts w:ascii="Arial" w:eastAsia="MS Mincho" w:hAnsi="Arial" w:cs="Arial"/>
                <w:sz w:val="16"/>
                <w:szCs w:val="16"/>
              </w:rPr>
            </w:pPr>
            <w:r w:rsidRPr="00570EA9">
              <w:rPr>
                <w:rFonts w:ascii="Arial" w:eastAsia="MS Mincho" w:hAnsi="Arial" w:cs="Arial"/>
                <w:sz w:val="16"/>
                <w:szCs w:val="16"/>
              </w:rPr>
              <w:t>-</w:t>
            </w:r>
            <w:r w:rsidRPr="00570EA9">
              <w:rPr>
                <w:rFonts w:ascii="Arial" w:eastAsia="MS Mincho" w:hAnsi="Arial" w:cs="Arial"/>
                <w:sz w:val="16"/>
                <w:szCs w:val="16"/>
              </w:rPr>
              <w:tab/>
              <w:t>the first time resource overlaps with the second time resource in a set of symbols,</w:t>
            </w:r>
          </w:p>
          <w:p w14:paraId="06AC3307" w14:textId="77777777" w:rsidR="00570EA9" w:rsidRPr="00570EA9" w:rsidRDefault="00570EA9" w:rsidP="002544DA">
            <w:pPr>
              <w:rPr>
                <w:rFonts w:ascii="Arial" w:hAnsi="Arial" w:cs="Arial"/>
                <w:sz w:val="16"/>
                <w:szCs w:val="16"/>
              </w:rPr>
            </w:pPr>
            <w:r w:rsidRPr="00570EA9">
              <w:rPr>
                <w:rFonts w:ascii="Arial" w:hAnsi="Arial" w:cs="Arial"/>
                <w:sz w:val="16"/>
                <w:szCs w:val="16"/>
              </w:rPr>
              <w:t xml:space="preserve">the NCR applies, for transmissions or receptions on the access link in the set of symbols, the second beam index if only </w:t>
            </w:r>
            <w:r w:rsidRPr="00570EA9">
              <w:rPr>
                <w:rFonts w:ascii="Arial" w:hAnsi="Arial" w:cs="Arial"/>
                <w:i/>
                <w:sz w:val="16"/>
                <w:szCs w:val="16"/>
              </w:rPr>
              <w:t>NCR-PeriodicFwdResourceSet</w:t>
            </w:r>
            <w:r w:rsidRPr="00570EA9">
              <w:rPr>
                <w:rFonts w:ascii="Arial" w:hAnsi="Arial" w:cs="Arial"/>
                <w:sz w:val="16"/>
                <w:szCs w:val="16"/>
              </w:rPr>
              <w:t xml:space="preserve"> includes </w:t>
            </w:r>
            <w:r w:rsidRPr="00570EA9">
              <w:rPr>
                <w:rFonts w:ascii="Arial" w:hAnsi="Arial" w:cs="Arial"/>
                <w:i/>
                <w:sz w:val="16"/>
                <w:szCs w:val="16"/>
              </w:rPr>
              <w:t>priorityFlag</w:t>
            </w:r>
            <w:r w:rsidRPr="00570EA9">
              <w:rPr>
                <w:rFonts w:ascii="Arial" w:hAnsi="Arial" w:cs="Arial"/>
                <w:sz w:val="16"/>
                <w:szCs w:val="16"/>
              </w:rPr>
              <w:t xml:space="preserve">, and the first beam index otherwise. </w:t>
            </w:r>
          </w:p>
          <w:p w14:paraId="172E4E5D" w14:textId="77777777" w:rsidR="00570EA9" w:rsidRPr="00570EA9" w:rsidRDefault="00570EA9" w:rsidP="002544DA">
            <w:pPr>
              <w:rPr>
                <w:rFonts w:ascii="Arial" w:hAnsi="Arial" w:cs="Arial"/>
                <w:sz w:val="16"/>
                <w:szCs w:val="16"/>
              </w:rPr>
            </w:pPr>
            <w:r w:rsidRPr="00570EA9">
              <w:rPr>
                <w:rFonts w:ascii="Arial" w:hAnsi="Arial" w:cs="Arial"/>
                <w:sz w:val="16"/>
                <w:szCs w:val="16"/>
              </w:rPr>
              <w:t xml:space="preserve">If </w:t>
            </w:r>
          </w:p>
          <w:p w14:paraId="66810FD0" w14:textId="77777777" w:rsidR="00570EA9" w:rsidRPr="00570EA9" w:rsidRDefault="00570EA9" w:rsidP="002544DA">
            <w:pPr>
              <w:ind w:left="284"/>
              <w:rPr>
                <w:rFonts w:ascii="Arial" w:eastAsia="MS Mincho" w:hAnsi="Arial" w:cs="Arial"/>
                <w:sz w:val="16"/>
                <w:szCs w:val="16"/>
              </w:rPr>
            </w:pPr>
            <w:r w:rsidRPr="00570EA9">
              <w:rPr>
                <w:rFonts w:ascii="Arial" w:eastAsia="MS Mincho" w:hAnsi="Arial" w:cs="Arial"/>
                <w:sz w:val="16"/>
                <w:szCs w:val="16"/>
              </w:rPr>
              <w:t>-</w:t>
            </w:r>
            <w:r w:rsidRPr="00570EA9">
              <w:rPr>
                <w:rFonts w:ascii="Arial" w:eastAsia="MS Mincho" w:hAnsi="Arial" w:cs="Arial"/>
                <w:sz w:val="16"/>
                <w:szCs w:val="16"/>
              </w:rPr>
              <w:tab/>
              <w:t xml:space="preserve">a first time resource is provided by </w:t>
            </w:r>
            <w:r w:rsidRPr="00570EA9">
              <w:rPr>
                <w:rFonts w:ascii="Arial" w:eastAsia="MS Mincho" w:hAnsi="Arial" w:cs="Arial"/>
                <w:i/>
                <w:iCs/>
                <w:sz w:val="16"/>
                <w:szCs w:val="16"/>
              </w:rPr>
              <w:t>NCR-PeriodicFwdResourceSet</w:t>
            </w:r>
            <w:r w:rsidRPr="00570EA9">
              <w:rPr>
                <w:rFonts w:ascii="Arial" w:eastAsia="MS Mincho" w:hAnsi="Arial" w:cs="Arial"/>
                <w:sz w:val="16"/>
                <w:szCs w:val="16"/>
              </w:rPr>
              <w:t xml:space="preserve"> or </w:t>
            </w:r>
            <w:r w:rsidRPr="00570EA9">
              <w:rPr>
                <w:rFonts w:ascii="Arial" w:eastAsia="MS Mincho" w:hAnsi="Arial" w:cs="Arial"/>
                <w:i/>
                <w:iCs/>
                <w:sz w:val="16"/>
                <w:szCs w:val="16"/>
              </w:rPr>
              <w:t xml:space="preserve">NCR-SemiPersistentFwdResourceSet </w:t>
            </w:r>
            <w:r w:rsidRPr="00570EA9">
              <w:rPr>
                <w:rFonts w:ascii="Arial" w:eastAsia="MS Mincho" w:hAnsi="Arial" w:cs="Arial"/>
                <w:color w:val="FF0000"/>
                <w:sz w:val="16"/>
                <w:szCs w:val="16"/>
              </w:rPr>
              <w:t>with indication by the NCR Access Link Beam Indication MAC CE command</w:t>
            </w:r>
            <w:r w:rsidRPr="00570EA9">
              <w:rPr>
                <w:rFonts w:ascii="Arial" w:eastAsia="MS Mincho" w:hAnsi="Arial" w:cs="Arial"/>
                <w:sz w:val="16"/>
                <w:szCs w:val="16"/>
              </w:rPr>
              <w:t xml:space="preserve"> and is associated with a first beam index, and </w:t>
            </w:r>
          </w:p>
          <w:p w14:paraId="00488A17" w14:textId="77777777" w:rsidR="00570EA9" w:rsidRPr="00570EA9" w:rsidRDefault="00570EA9" w:rsidP="002544DA">
            <w:pPr>
              <w:ind w:left="284"/>
              <w:rPr>
                <w:rFonts w:ascii="Arial" w:eastAsia="MS Mincho" w:hAnsi="Arial" w:cs="Arial"/>
                <w:sz w:val="16"/>
                <w:szCs w:val="16"/>
              </w:rPr>
            </w:pPr>
            <w:r w:rsidRPr="00570EA9">
              <w:rPr>
                <w:rFonts w:ascii="Arial" w:eastAsia="MS Mincho" w:hAnsi="Arial" w:cs="Arial"/>
                <w:sz w:val="16"/>
                <w:szCs w:val="16"/>
              </w:rPr>
              <w:t>-</w:t>
            </w:r>
            <w:r w:rsidRPr="00570EA9">
              <w:rPr>
                <w:rFonts w:ascii="Arial" w:eastAsia="MS Mincho" w:hAnsi="Arial" w:cs="Arial"/>
                <w:sz w:val="16"/>
                <w:szCs w:val="16"/>
              </w:rPr>
              <w:tab/>
              <w:t>a second time resource is indicated by DCI format 2_8 and is associated with a second beam index provided by the DCI format 2_8, and</w:t>
            </w:r>
          </w:p>
          <w:p w14:paraId="79E63A91" w14:textId="77777777" w:rsidR="00570EA9" w:rsidRPr="00570EA9" w:rsidRDefault="00570EA9" w:rsidP="002544DA">
            <w:pPr>
              <w:ind w:left="284"/>
              <w:rPr>
                <w:rFonts w:ascii="Arial" w:eastAsia="MS Mincho" w:hAnsi="Arial" w:cs="Arial"/>
                <w:sz w:val="16"/>
                <w:szCs w:val="16"/>
              </w:rPr>
            </w:pPr>
            <w:r w:rsidRPr="00570EA9">
              <w:rPr>
                <w:rFonts w:ascii="Arial" w:eastAsia="MS Mincho" w:hAnsi="Arial" w:cs="Arial"/>
                <w:sz w:val="16"/>
                <w:szCs w:val="16"/>
              </w:rPr>
              <w:lastRenderedPageBreak/>
              <w:t>-</w:t>
            </w:r>
            <w:r w:rsidRPr="00570EA9">
              <w:rPr>
                <w:rFonts w:ascii="Arial" w:eastAsia="MS Mincho" w:hAnsi="Arial" w:cs="Arial"/>
                <w:sz w:val="16"/>
                <w:szCs w:val="16"/>
              </w:rPr>
              <w:tab/>
              <w:t>the first time resource overlaps with the second time resource in a set of symbols,</w:t>
            </w:r>
          </w:p>
          <w:p w14:paraId="1061BEF2" w14:textId="77777777" w:rsidR="00570EA9" w:rsidRPr="00570EA9" w:rsidRDefault="00570EA9" w:rsidP="002544DA">
            <w:pPr>
              <w:rPr>
                <w:rFonts w:ascii="Arial" w:hAnsi="Arial" w:cs="Arial"/>
                <w:sz w:val="16"/>
                <w:szCs w:val="16"/>
              </w:rPr>
            </w:pPr>
            <w:r w:rsidRPr="00570EA9">
              <w:rPr>
                <w:rFonts w:ascii="Arial" w:hAnsi="Arial" w:cs="Arial"/>
                <w:sz w:val="16"/>
                <w:szCs w:val="16"/>
              </w:rPr>
              <w:t xml:space="preserve">the NCR applies, for transmissions or receptions on the access link in the set of symbols, </w:t>
            </w:r>
          </w:p>
          <w:p w14:paraId="10E70BEE" w14:textId="77777777" w:rsidR="00570EA9" w:rsidRPr="00570EA9" w:rsidRDefault="00570EA9" w:rsidP="002544DA">
            <w:pPr>
              <w:ind w:left="284"/>
              <w:rPr>
                <w:rFonts w:ascii="Arial" w:eastAsia="MS Mincho" w:hAnsi="Arial" w:cs="Arial"/>
                <w:sz w:val="16"/>
                <w:szCs w:val="16"/>
              </w:rPr>
            </w:pPr>
            <w:r w:rsidRPr="00570EA9">
              <w:rPr>
                <w:rFonts w:ascii="Arial" w:eastAsia="MS Mincho" w:hAnsi="Arial" w:cs="Arial"/>
                <w:sz w:val="16"/>
                <w:szCs w:val="16"/>
              </w:rPr>
              <w:t>-</w:t>
            </w:r>
            <w:r w:rsidRPr="00570EA9">
              <w:rPr>
                <w:rFonts w:ascii="Arial" w:eastAsia="MS Mincho" w:hAnsi="Arial" w:cs="Arial"/>
                <w:sz w:val="16"/>
                <w:szCs w:val="16"/>
              </w:rPr>
              <w:tab/>
              <w:t xml:space="preserve">the first beam index if </w:t>
            </w:r>
            <w:r w:rsidRPr="00570EA9">
              <w:rPr>
                <w:rFonts w:ascii="Arial" w:eastAsia="MS Mincho" w:hAnsi="Arial" w:cs="Arial"/>
                <w:i/>
                <w:sz w:val="16"/>
                <w:szCs w:val="16"/>
              </w:rPr>
              <w:t>NCR-PeriodicFwdResourceSet</w:t>
            </w:r>
            <w:r w:rsidRPr="00570EA9">
              <w:rPr>
                <w:rFonts w:ascii="Arial" w:eastAsia="MS Mincho" w:hAnsi="Arial" w:cs="Arial"/>
                <w:sz w:val="16"/>
                <w:szCs w:val="16"/>
              </w:rPr>
              <w:t xml:space="preserve"> or </w:t>
            </w:r>
            <w:r w:rsidRPr="00570EA9">
              <w:rPr>
                <w:rFonts w:ascii="Arial" w:eastAsia="MS Mincho" w:hAnsi="Arial" w:cs="Arial"/>
                <w:i/>
                <w:sz w:val="16"/>
                <w:szCs w:val="16"/>
              </w:rPr>
              <w:t>NCR-SemiPersistentFwdResourceSet</w:t>
            </w:r>
            <w:r w:rsidRPr="00570EA9">
              <w:rPr>
                <w:rFonts w:ascii="Arial" w:eastAsia="MS Mincho" w:hAnsi="Arial" w:cs="Arial"/>
                <w:sz w:val="16"/>
                <w:szCs w:val="16"/>
              </w:rPr>
              <w:t xml:space="preserve"> includes </w:t>
            </w:r>
            <w:r w:rsidRPr="00570EA9">
              <w:rPr>
                <w:rFonts w:ascii="Arial" w:eastAsia="MS Mincho" w:hAnsi="Arial" w:cs="Arial"/>
                <w:i/>
                <w:sz w:val="16"/>
                <w:szCs w:val="16"/>
              </w:rPr>
              <w:t>priorityFlag</w:t>
            </w:r>
            <w:r w:rsidRPr="00570EA9">
              <w:rPr>
                <w:rFonts w:ascii="Arial" w:eastAsia="MS Mincho" w:hAnsi="Arial" w:cs="Arial"/>
                <w:sz w:val="16"/>
                <w:szCs w:val="16"/>
              </w:rPr>
              <w:t>, and</w:t>
            </w:r>
          </w:p>
          <w:p w14:paraId="0AC15DEA" w14:textId="77777777" w:rsidR="00570EA9" w:rsidRPr="00570EA9" w:rsidRDefault="00570EA9" w:rsidP="002544DA">
            <w:pPr>
              <w:ind w:left="284"/>
              <w:rPr>
                <w:rFonts w:ascii="Arial" w:eastAsia="MS Mincho" w:hAnsi="Arial" w:cs="Arial"/>
                <w:sz w:val="16"/>
                <w:szCs w:val="16"/>
              </w:rPr>
            </w:pPr>
            <w:r w:rsidRPr="00570EA9">
              <w:rPr>
                <w:rFonts w:ascii="Arial" w:eastAsia="SimSun" w:hAnsi="Arial" w:cs="Arial"/>
                <w:sz w:val="16"/>
                <w:szCs w:val="16"/>
              </w:rPr>
              <w:t xml:space="preserve">-  </w:t>
            </w:r>
            <w:r w:rsidRPr="00570EA9">
              <w:rPr>
                <w:rFonts w:ascii="Arial" w:eastAsia="MS Mincho" w:hAnsi="Arial" w:cs="Arial"/>
                <w:sz w:val="16"/>
                <w:szCs w:val="16"/>
              </w:rPr>
              <w:t xml:space="preserve">the second beam index if </w:t>
            </w:r>
            <w:r w:rsidRPr="00570EA9">
              <w:rPr>
                <w:rFonts w:ascii="Arial" w:eastAsia="MS Mincho" w:hAnsi="Arial" w:cs="Arial"/>
                <w:i/>
                <w:sz w:val="16"/>
                <w:szCs w:val="16"/>
              </w:rPr>
              <w:t>NCR-PeriodicFwdResourceSet</w:t>
            </w:r>
            <w:r w:rsidRPr="00570EA9">
              <w:rPr>
                <w:rFonts w:ascii="Arial" w:eastAsia="MS Mincho" w:hAnsi="Arial" w:cs="Arial"/>
                <w:sz w:val="16"/>
                <w:szCs w:val="16"/>
              </w:rPr>
              <w:t xml:space="preserve"> or </w:t>
            </w:r>
            <w:r w:rsidRPr="00570EA9">
              <w:rPr>
                <w:rFonts w:ascii="Arial" w:eastAsia="MS Mincho" w:hAnsi="Arial" w:cs="Arial"/>
                <w:i/>
                <w:sz w:val="16"/>
                <w:szCs w:val="16"/>
              </w:rPr>
              <w:t>NCR-SemiPersistentFwdResourceSet</w:t>
            </w:r>
            <w:r w:rsidRPr="00570EA9">
              <w:rPr>
                <w:rFonts w:ascii="Arial" w:eastAsia="MS Mincho" w:hAnsi="Arial" w:cs="Arial"/>
                <w:sz w:val="16"/>
                <w:szCs w:val="16"/>
              </w:rPr>
              <w:t xml:space="preserve"> does not include </w:t>
            </w:r>
            <w:r w:rsidRPr="00570EA9">
              <w:rPr>
                <w:rFonts w:ascii="Arial" w:eastAsia="MS Mincho" w:hAnsi="Arial" w:cs="Arial"/>
                <w:i/>
                <w:sz w:val="16"/>
                <w:szCs w:val="16"/>
              </w:rPr>
              <w:t>priorityFlag</w:t>
            </w:r>
            <w:r w:rsidRPr="00570EA9">
              <w:rPr>
                <w:rFonts w:ascii="Arial" w:eastAsia="MS Mincho" w:hAnsi="Arial" w:cs="Arial"/>
                <w:sz w:val="16"/>
                <w:szCs w:val="16"/>
              </w:rPr>
              <w:t>.</w:t>
            </w:r>
          </w:p>
          <w:p w14:paraId="373C932E" w14:textId="77777777" w:rsidR="00570EA9" w:rsidRPr="00570EA9" w:rsidRDefault="00570EA9" w:rsidP="002544DA">
            <w:pPr>
              <w:snapToGrid w:val="0"/>
              <w:jc w:val="center"/>
              <w:rPr>
                <w:rFonts w:ascii="Arial" w:eastAsia="SimSun" w:hAnsi="Arial" w:cs="Arial"/>
                <w:b/>
                <w:bCs/>
                <w:sz w:val="16"/>
                <w:szCs w:val="16"/>
                <w:u w:val="single"/>
              </w:rPr>
            </w:pPr>
            <w:r w:rsidRPr="00570EA9">
              <w:rPr>
                <w:rFonts w:ascii="Arial" w:eastAsia="SimSun" w:hAnsi="Arial" w:cs="Arial"/>
                <w:iCs/>
                <w:color w:val="C00000"/>
                <w:sz w:val="16"/>
                <w:szCs w:val="16"/>
              </w:rPr>
              <w:t>&lt;omitted part&gt;</w:t>
            </w:r>
          </w:p>
        </w:tc>
      </w:tr>
    </w:tbl>
    <w:p w14:paraId="3C75862F" w14:textId="77777777" w:rsidR="00570EA9" w:rsidRDefault="00570EA9" w:rsidP="00F74A6F">
      <w:pPr>
        <w:rPr>
          <w:lang w:eastAsia="x-none"/>
        </w:rPr>
      </w:pPr>
    </w:p>
    <w:p w14:paraId="3B1F2C5B" w14:textId="77777777" w:rsidR="000931D9" w:rsidRDefault="000931D9" w:rsidP="00F74A6F">
      <w:pPr>
        <w:rPr>
          <w:lang w:eastAsia="x-none"/>
        </w:rPr>
      </w:pPr>
    </w:p>
    <w:p w14:paraId="24025E94" w14:textId="2E62AA09" w:rsidR="000931D9" w:rsidRPr="000931D9" w:rsidRDefault="005A18DC" w:rsidP="00F74A6F">
      <w:pPr>
        <w:rPr>
          <w:b/>
          <w:bCs/>
          <w:lang w:eastAsia="x-none"/>
        </w:rPr>
      </w:pPr>
      <w:hyperlink r:id="rId1635" w:history="1">
        <w:r w:rsidR="00AF7253">
          <w:rPr>
            <w:rStyle w:val="Hyperlink"/>
            <w:b/>
            <w:bCs/>
            <w:lang w:eastAsia="x-none"/>
          </w:rPr>
          <w:t>R1-2312535</w:t>
        </w:r>
      </w:hyperlink>
      <w:r w:rsidR="000931D9" w:rsidRPr="000931D9">
        <w:rPr>
          <w:b/>
          <w:bCs/>
          <w:lang w:eastAsia="x-none"/>
        </w:rPr>
        <w:tab/>
        <w:t>Summary#2 of maintenance issues on side control information and NCR behavior</w:t>
      </w:r>
      <w:r w:rsidR="000931D9" w:rsidRPr="000931D9">
        <w:rPr>
          <w:b/>
          <w:bCs/>
          <w:lang w:eastAsia="x-none"/>
        </w:rPr>
        <w:tab/>
        <w:t>Moderator (ZTE)</w:t>
      </w:r>
    </w:p>
    <w:p w14:paraId="116457A5" w14:textId="42DFD3D9" w:rsidR="000931D9" w:rsidRDefault="000931D9" w:rsidP="00F74A6F">
      <w:pPr>
        <w:rPr>
          <w:lang w:eastAsia="x-none"/>
        </w:rPr>
      </w:pPr>
      <w:r>
        <w:rPr>
          <w:lang w:eastAsia="x-none"/>
        </w:rPr>
        <w:t>From Thursday session</w:t>
      </w:r>
    </w:p>
    <w:p w14:paraId="316A81AE" w14:textId="086FA6E9" w:rsidR="000931D9" w:rsidRDefault="000931D9" w:rsidP="00F74A6F">
      <w:pPr>
        <w:rPr>
          <w:lang w:eastAsia="x-none"/>
        </w:rPr>
      </w:pPr>
      <w:r w:rsidRPr="000931D9">
        <w:rPr>
          <w:highlight w:val="green"/>
          <w:lang w:eastAsia="x-none"/>
        </w:rPr>
        <w:t>Agreement</w:t>
      </w:r>
    </w:p>
    <w:p w14:paraId="48FE8DD1" w14:textId="77777777" w:rsidR="000931D9" w:rsidRPr="000931D9" w:rsidRDefault="000931D9" w:rsidP="000931D9">
      <w:pPr>
        <w:rPr>
          <w:rFonts w:ascii="Times New Roman" w:hAnsi="Times New Roman"/>
          <w:color w:val="000000"/>
          <w:szCs w:val="20"/>
        </w:rPr>
      </w:pPr>
      <w:r w:rsidRPr="000931D9">
        <w:rPr>
          <w:rFonts w:ascii="Times New Roman" w:hAnsi="Times New Roman"/>
          <w:color w:val="000000"/>
          <w:szCs w:val="20"/>
          <w:lang w:val="en-US" w:eastAsia="zh-CN"/>
        </w:rPr>
        <w:t xml:space="preserve">The same CP </w:t>
      </w:r>
      <w:r w:rsidRPr="000931D9">
        <w:rPr>
          <w:rFonts w:ascii="Times New Roman" w:hAnsi="Times New Roman"/>
          <w:color w:val="000000"/>
          <w:szCs w:val="20"/>
          <w:lang w:val="en-US"/>
        </w:rPr>
        <w:t xml:space="preserve">of the </w:t>
      </w:r>
      <w:r w:rsidRPr="000931D9">
        <w:rPr>
          <w:rFonts w:ascii="Times New Roman" w:hAnsi="Times New Roman"/>
          <w:color w:val="000000"/>
          <w:szCs w:val="20"/>
          <w:lang w:val="en-US" w:eastAsia="zh-CN"/>
        </w:rPr>
        <w:t xml:space="preserve">active </w:t>
      </w:r>
      <w:r w:rsidRPr="000931D9">
        <w:rPr>
          <w:rFonts w:ascii="Times New Roman" w:hAnsi="Times New Roman"/>
          <w:color w:val="000000"/>
          <w:szCs w:val="20"/>
          <w:lang w:val="en-US"/>
        </w:rPr>
        <w:t xml:space="preserve">BWP of </w:t>
      </w:r>
      <w:r w:rsidRPr="000931D9">
        <w:rPr>
          <w:rFonts w:ascii="Times New Roman" w:hAnsi="Times New Roman"/>
          <w:color w:val="000000"/>
          <w:szCs w:val="20"/>
          <w:lang w:val="en-US" w:eastAsia="zh-CN"/>
        </w:rPr>
        <w:t>control link is assumed to determine the symbol length for the configured time resource.</w:t>
      </w:r>
    </w:p>
    <w:tbl>
      <w:tblPr>
        <w:tblW w:w="5000" w:type="pct"/>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0683"/>
      </w:tblGrid>
      <w:tr w:rsidR="000931D9" w:rsidRPr="000931D9" w14:paraId="646F0352" w14:textId="77777777" w:rsidTr="000931D9">
        <w:tc>
          <w:tcPr>
            <w:tcW w:w="5000" w:type="pct"/>
            <w:tcBorders>
              <w:top w:val="double" w:sz="4" w:space="0" w:color="A5A5A5"/>
              <w:left w:val="double" w:sz="4" w:space="0" w:color="A5A5A5"/>
              <w:bottom w:val="double" w:sz="4" w:space="0" w:color="A5A5A5"/>
              <w:right w:val="double" w:sz="4" w:space="0" w:color="A5A5A5"/>
            </w:tcBorders>
            <w:hideMark/>
          </w:tcPr>
          <w:p w14:paraId="7BE369F9" w14:textId="6E7E7015" w:rsidR="000931D9" w:rsidRPr="000931D9" w:rsidRDefault="000931D9" w:rsidP="000931D9">
            <w:pPr>
              <w:overflowPunct w:val="0"/>
              <w:snapToGrid w:val="0"/>
              <w:rPr>
                <w:rFonts w:ascii="Arial" w:hAnsi="Arial" w:cs="Arial"/>
                <w:b/>
                <w:bCs/>
                <w:sz w:val="16"/>
                <w:szCs w:val="16"/>
                <w:u w:val="single"/>
              </w:rPr>
            </w:pPr>
            <w:r w:rsidRPr="000931D9">
              <w:rPr>
                <w:rFonts w:ascii="Arial" w:hAnsi="Arial" w:cs="Arial"/>
                <w:b/>
                <w:bCs/>
                <w:sz w:val="16"/>
                <w:szCs w:val="16"/>
                <w:u w:val="single"/>
              </w:rPr>
              <w:t>Reason for change:</w:t>
            </w:r>
            <w:r w:rsidRPr="000931D9">
              <w:rPr>
                <w:rFonts w:ascii="Arial" w:hAnsi="Arial" w:cs="Arial"/>
                <w:sz w:val="16"/>
                <w:szCs w:val="16"/>
              </w:rPr>
              <w:t xml:space="preserve"> The CP type of time resource for access link is not specified. There are two CP type in NR: Normal CP and Extended CP. For different CP type, the number of symbols in one slot and the length of symbol are different. </w:t>
            </w:r>
            <w:r w:rsidRPr="000931D9">
              <w:rPr>
                <w:rFonts w:ascii="Arial" w:hAnsi="Arial" w:cs="Arial"/>
                <w:sz w:val="16"/>
                <w:szCs w:val="16"/>
                <w:lang w:val="en-US" w:eastAsia="zh-CN"/>
              </w:rPr>
              <w:t>So, clarification on the assumption of CP type is needed for time resource configuration.</w:t>
            </w:r>
          </w:p>
          <w:p w14:paraId="73547DAD" w14:textId="7C56628A" w:rsidR="000931D9" w:rsidRPr="000931D9" w:rsidRDefault="000931D9" w:rsidP="000931D9">
            <w:pPr>
              <w:overflowPunct w:val="0"/>
              <w:snapToGrid w:val="0"/>
              <w:rPr>
                <w:rFonts w:ascii="Arial" w:hAnsi="Arial" w:cs="Arial"/>
                <w:b/>
                <w:bCs/>
                <w:sz w:val="16"/>
                <w:szCs w:val="16"/>
                <w:u w:val="single"/>
              </w:rPr>
            </w:pPr>
            <w:r w:rsidRPr="000931D9">
              <w:rPr>
                <w:rFonts w:ascii="Arial" w:hAnsi="Arial" w:cs="Arial"/>
                <w:b/>
                <w:bCs/>
                <w:sz w:val="16"/>
                <w:szCs w:val="16"/>
                <w:u w:val="single"/>
              </w:rPr>
              <w:t>Summary of change:</w:t>
            </w:r>
            <w:r w:rsidRPr="000931D9">
              <w:rPr>
                <w:rFonts w:ascii="Arial" w:hAnsi="Arial" w:cs="Arial"/>
                <w:sz w:val="16"/>
                <w:szCs w:val="16"/>
              </w:rPr>
              <w:t xml:space="preserve"> Add a sentence “and the </w:t>
            </w:r>
            <w:r w:rsidRPr="000931D9">
              <w:rPr>
                <w:rFonts w:ascii="Arial" w:hAnsi="Arial" w:cs="Arial"/>
                <w:i/>
                <w:sz w:val="16"/>
                <w:szCs w:val="16"/>
              </w:rPr>
              <w:t>cyclicPrefix</w:t>
            </w:r>
            <w:r w:rsidRPr="000931D9">
              <w:rPr>
                <w:rFonts w:ascii="Arial" w:hAnsi="Arial" w:cs="Arial"/>
                <w:i/>
                <w:sz w:val="16"/>
                <w:szCs w:val="16"/>
                <w:lang w:val="en-US" w:eastAsia="zh-CN"/>
              </w:rPr>
              <w:t xml:space="preserve"> </w:t>
            </w:r>
            <w:r w:rsidRPr="000931D9">
              <w:rPr>
                <w:rFonts w:ascii="Arial" w:hAnsi="Arial" w:cs="Arial"/>
                <w:sz w:val="16"/>
                <w:szCs w:val="16"/>
              </w:rPr>
              <w:t xml:space="preserve">of the </w:t>
            </w:r>
            <w:r w:rsidRPr="000931D9">
              <w:rPr>
                <w:rFonts w:ascii="Arial" w:hAnsi="Arial" w:cs="Arial"/>
                <w:sz w:val="16"/>
                <w:szCs w:val="16"/>
                <w:lang w:val="en-US" w:eastAsia="zh-CN"/>
              </w:rPr>
              <w:t xml:space="preserve">active </w:t>
            </w:r>
            <w:r w:rsidRPr="000931D9">
              <w:rPr>
                <w:rFonts w:ascii="Arial" w:hAnsi="Arial" w:cs="Arial"/>
                <w:sz w:val="16"/>
                <w:szCs w:val="16"/>
              </w:rPr>
              <w:t>BWP.” in current text proposal.</w:t>
            </w:r>
          </w:p>
          <w:p w14:paraId="6E64F4E3" w14:textId="166BBEBC" w:rsidR="000931D9" w:rsidRPr="000931D9" w:rsidRDefault="000931D9" w:rsidP="000931D9">
            <w:pPr>
              <w:overflowPunct w:val="0"/>
              <w:snapToGrid w:val="0"/>
              <w:rPr>
                <w:rFonts w:ascii="Arial" w:hAnsi="Arial" w:cs="Arial"/>
                <w:b/>
                <w:bCs/>
                <w:sz w:val="16"/>
                <w:szCs w:val="16"/>
                <w:u w:val="single"/>
              </w:rPr>
            </w:pPr>
            <w:r w:rsidRPr="000931D9">
              <w:rPr>
                <w:rFonts w:ascii="Arial" w:hAnsi="Arial" w:cs="Arial"/>
                <w:b/>
                <w:bCs/>
                <w:sz w:val="16"/>
                <w:szCs w:val="16"/>
                <w:u w:val="single"/>
              </w:rPr>
              <w:t>Consequences if not approved:</w:t>
            </w:r>
            <w:r w:rsidRPr="000931D9">
              <w:rPr>
                <w:rFonts w:ascii="Arial" w:hAnsi="Arial" w:cs="Arial"/>
                <w:sz w:val="16"/>
                <w:szCs w:val="16"/>
              </w:rPr>
              <w:t xml:space="preserve"> If </w:t>
            </w:r>
            <w:r w:rsidRPr="000931D9">
              <w:rPr>
                <w:rFonts w:ascii="Arial" w:hAnsi="Arial" w:cs="Arial"/>
                <w:iCs/>
                <w:sz w:val="16"/>
                <w:szCs w:val="16"/>
              </w:rPr>
              <w:t>the NCR does not know</w:t>
            </w:r>
            <w:r w:rsidRPr="000931D9">
              <w:rPr>
                <w:rFonts w:ascii="Arial" w:hAnsi="Arial" w:cs="Arial"/>
                <w:sz w:val="16"/>
                <w:szCs w:val="16"/>
              </w:rPr>
              <w:t xml:space="preserve"> the CP type of time resource for access link, the number of symbols in one slot and the length of symbol of time resource for access link are unclear.</w:t>
            </w:r>
          </w:p>
          <w:p w14:paraId="4AF43A41" w14:textId="77777777" w:rsidR="000931D9" w:rsidRPr="000931D9" w:rsidRDefault="000931D9" w:rsidP="000931D9">
            <w:pPr>
              <w:pBdr>
                <w:bottom w:val="double" w:sz="6" w:space="1" w:color="auto"/>
              </w:pBdr>
              <w:overflowPunct w:val="0"/>
              <w:snapToGrid w:val="0"/>
              <w:rPr>
                <w:rFonts w:ascii="Arial" w:hAnsi="Arial" w:cs="Arial"/>
                <w:color w:val="000000"/>
                <w:sz w:val="16"/>
                <w:szCs w:val="16"/>
              </w:rPr>
            </w:pPr>
          </w:p>
          <w:p w14:paraId="32138FB8" w14:textId="356AB286" w:rsidR="000931D9" w:rsidRPr="000931D9" w:rsidRDefault="000931D9" w:rsidP="000931D9">
            <w:pPr>
              <w:pStyle w:val="BodyText"/>
              <w:spacing w:after="0"/>
              <w:rPr>
                <w:rFonts w:ascii="Arial" w:hAnsi="Arial" w:cs="Arial"/>
                <w:b/>
                <w:sz w:val="16"/>
                <w:szCs w:val="16"/>
              </w:rPr>
            </w:pPr>
            <w:r w:rsidRPr="000931D9">
              <w:rPr>
                <w:rFonts w:ascii="Arial" w:hAnsi="Arial" w:cs="Arial"/>
                <w:b/>
                <w:sz w:val="16"/>
                <w:szCs w:val="16"/>
              </w:rPr>
              <w:t>20</w:t>
            </w:r>
            <w:r w:rsidRPr="000931D9">
              <w:rPr>
                <w:rFonts w:ascii="Arial" w:hAnsi="Arial" w:cs="Arial"/>
                <w:b/>
                <w:sz w:val="16"/>
                <w:szCs w:val="16"/>
              </w:rPr>
              <w:tab/>
              <w:t>Network controlled repeater</w:t>
            </w:r>
          </w:p>
          <w:p w14:paraId="337D4502" w14:textId="77777777" w:rsidR="000931D9" w:rsidRPr="000931D9" w:rsidRDefault="000931D9" w:rsidP="000931D9">
            <w:pPr>
              <w:jc w:val="center"/>
              <w:rPr>
                <w:rFonts w:ascii="Arial" w:hAnsi="Arial" w:cs="Arial"/>
                <w:color w:val="FF0000"/>
                <w:sz w:val="16"/>
                <w:szCs w:val="16"/>
              </w:rPr>
            </w:pPr>
            <w:r w:rsidRPr="000931D9">
              <w:rPr>
                <w:rFonts w:ascii="Arial" w:hAnsi="Arial" w:cs="Arial"/>
                <w:color w:val="FF0000"/>
                <w:sz w:val="16"/>
                <w:szCs w:val="16"/>
              </w:rPr>
              <w:t>&lt; Unchanged parts are omitted&gt;</w:t>
            </w:r>
          </w:p>
          <w:p w14:paraId="67CD3C49" w14:textId="77777777" w:rsidR="000931D9" w:rsidRPr="000931D9" w:rsidRDefault="000931D9" w:rsidP="000931D9">
            <w:pPr>
              <w:rPr>
                <w:rFonts w:ascii="Arial" w:hAnsi="Arial" w:cs="Arial"/>
                <w:sz w:val="16"/>
                <w:szCs w:val="16"/>
              </w:rPr>
            </w:pPr>
            <w:r w:rsidRPr="000931D9">
              <w:rPr>
                <w:rFonts w:ascii="Arial" w:hAnsi="Arial" w:cs="Arial"/>
                <w:sz w:val="16"/>
                <w:szCs w:val="16"/>
              </w:rPr>
              <w:t xml:space="preserve">The NCR can be provided by </w:t>
            </w:r>
            <w:r w:rsidRPr="000931D9">
              <w:rPr>
                <w:rFonts w:ascii="Arial" w:hAnsi="Arial" w:cs="Arial"/>
                <w:i/>
                <w:iCs/>
                <w:sz w:val="16"/>
                <w:szCs w:val="16"/>
              </w:rPr>
              <w:t>ncr-PeriodicFwdResourceSetToAddModList</w:t>
            </w:r>
            <w:r w:rsidRPr="000931D9">
              <w:rPr>
                <w:rFonts w:ascii="Arial" w:hAnsi="Arial" w:cs="Arial"/>
                <w:sz w:val="16"/>
                <w:szCs w:val="16"/>
              </w:rPr>
              <w:t xml:space="preserve"> a list of sets of resources for transmissions or receptions on the access link. A set of resources, from the list of sets of resources, is provided by </w:t>
            </w:r>
            <w:r w:rsidRPr="000931D9">
              <w:rPr>
                <w:rFonts w:ascii="Arial" w:hAnsi="Arial" w:cs="Arial"/>
                <w:i/>
                <w:iCs/>
                <w:sz w:val="16"/>
                <w:szCs w:val="16"/>
              </w:rPr>
              <w:t>NCR-PeriodicFwdResourceSet</w:t>
            </w:r>
            <w:r w:rsidRPr="000931D9">
              <w:rPr>
                <w:rFonts w:ascii="Arial" w:hAnsi="Arial" w:cs="Arial"/>
                <w:sz w:val="16"/>
                <w:szCs w:val="16"/>
              </w:rPr>
              <w:t xml:space="preserve"> and occurs with a periodicity provided by </w:t>
            </w:r>
            <w:r w:rsidRPr="000931D9">
              <w:rPr>
                <w:rFonts w:ascii="Arial" w:hAnsi="Arial" w:cs="Arial"/>
                <w:i/>
                <w:iCs/>
                <w:sz w:val="16"/>
                <w:szCs w:val="16"/>
              </w:rPr>
              <w:t>ncr-periodicity</w:t>
            </w:r>
            <w:r w:rsidRPr="000931D9">
              <w:rPr>
                <w:rFonts w:ascii="Arial" w:hAnsi="Arial" w:cs="Arial"/>
                <w:sz w:val="16"/>
                <w:szCs w:val="16"/>
              </w:rPr>
              <w:t xml:space="preserve">. A resource from the set of resources is provided by </w:t>
            </w:r>
            <w:r w:rsidRPr="000931D9">
              <w:rPr>
                <w:rFonts w:ascii="Arial" w:hAnsi="Arial" w:cs="Arial"/>
                <w:i/>
                <w:iCs/>
                <w:sz w:val="16"/>
                <w:szCs w:val="16"/>
              </w:rPr>
              <w:t>NCR-PeriodicFwdResource</w:t>
            </w:r>
            <w:r w:rsidRPr="000931D9">
              <w:rPr>
                <w:rFonts w:ascii="Arial" w:hAnsi="Arial" w:cs="Arial"/>
                <w:sz w:val="16"/>
                <w:szCs w:val="16"/>
              </w:rPr>
              <w:t xml:space="preserve"> and includes a pair of a time resource provided by </w:t>
            </w:r>
            <w:r w:rsidRPr="000931D9">
              <w:rPr>
                <w:rFonts w:ascii="Arial" w:hAnsi="Arial" w:cs="Arial"/>
                <w:i/>
                <w:iCs/>
                <w:sz w:val="16"/>
                <w:szCs w:val="16"/>
              </w:rPr>
              <w:t>ncr-PeriodicTimeResource</w:t>
            </w:r>
            <w:r w:rsidRPr="000931D9">
              <w:rPr>
                <w:rFonts w:ascii="Arial" w:hAnsi="Arial" w:cs="Arial"/>
                <w:sz w:val="16"/>
                <w:szCs w:val="16"/>
              </w:rPr>
              <w:t xml:space="preserve"> and a beam [20, TS 38.106] with an index provided by </w:t>
            </w:r>
            <w:r w:rsidRPr="000931D9">
              <w:rPr>
                <w:rFonts w:ascii="Arial" w:hAnsi="Arial" w:cs="Arial"/>
                <w:i/>
                <w:iCs/>
                <w:sz w:val="16"/>
                <w:szCs w:val="16"/>
              </w:rPr>
              <w:t>ncr-beamIndex</w:t>
            </w:r>
            <w:r w:rsidRPr="000931D9">
              <w:rPr>
                <w:rFonts w:ascii="Arial" w:hAnsi="Arial" w:cs="Arial"/>
                <w:sz w:val="16"/>
                <w:szCs w:val="16"/>
              </w:rPr>
              <w:t xml:space="preserve">. The time resource starts at a slot that is offset by </w:t>
            </w:r>
            <w:r w:rsidRPr="000931D9">
              <w:rPr>
                <w:rFonts w:ascii="Arial" w:hAnsi="Arial" w:cs="Arial"/>
                <w:i/>
                <w:iCs/>
                <w:sz w:val="16"/>
                <w:szCs w:val="16"/>
              </w:rPr>
              <w:t>slotOffsetPeriodic</w:t>
            </w:r>
            <w:r w:rsidRPr="000931D9">
              <w:rPr>
                <w:rFonts w:ascii="Arial" w:hAnsi="Arial" w:cs="Arial"/>
                <w:sz w:val="16"/>
                <w:szCs w:val="16"/>
              </w:rPr>
              <w:t xml:space="preserve"> slots from the start of the period for the set of resources and at a symbol that is offset by </w:t>
            </w:r>
            <w:r w:rsidRPr="000931D9">
              <w:rPr>
                <w:rFonts w:ascii="Arial" w:hAnsi="Arial" w:cs="Arial"/>
                <w:i/>
                <w:iCs/>
                <w:sz w:val="16"/>
                <w:szCs w:val="16"/>
              </w:rPr>
              <w:t>symbolOffset</w:t>
            </w:r>
            <w:r w:rsidRPr="000931D9">
              <w:rPr>
                <w:rFonts w:ascii="Arial" w:hAnsi="Arial" w:cs="Arial"/>
                <w:sz w:val="16"/>
                <w:szCs w:val="16"/>
              </w:rPr>
              <w:t xml:space="preserve"> from the start of the slot, and has a duration provided by </w:t>
            </w:r>
            <w:r w:rsidRPr="000931D9">
              <w:rPr>
                <w:rFonts w:ascii="Arial" w:hAnsi="Arial" w:cs="Arial"/>
                <w:i/>
                <w:iCs/>
                <w:sz w:val="16"/>
                <w:szCs w:val="16"/>
              </w:rPr>
              <w:t>durationInSymbols</w:t>
            </w:r>
            <w:r w:rsidRPr="000931D9">
              <w:rPr>
                <w:rFonts w:ascii="Arial" w:hAnsi="Arial" w:cs="Arial"/>
                <w:sz w:val="16"/>
                <w:szCs w:val="16"/>
              </w:rPr>
              <w:t xml:space="preserve"> for a SCS provided by </w:t>
            </w:r>
            <w:r w:rsidRPr="000931D9">
              <w:rPr>
                <w:rFonts w:ascii="Arial" w:hAnsi="Arial" w:cs="Arial"/>
                <w:i/>
                <w:iCs/>
                <w:sz w:val="16"/>
                <w:szCs w:val="16"/>
              </w:rPr>
              <w:t>ncr-referenceSCS</w:t>
            </w:r>
            <w:r w:rsidRPr="000931D9">
              <w:rPr>
                <w:rFonts w:ascii="Arial" w:hAnsi="Arial" w:cs="Arial"/>
                <w:sz w:val="16"/>
                <w:szCs w:val="16"/>
              </w:rPr>
              <w:t xml:space="preserve"> </w:t>
            </w:r>
            <w:r w:rsidRPr="000931D9">
              <w:rPr>
                <w:rFonts w:ascii="Arial" w:hAnsi="Arial" w:cs="Arial"/>
                <w:color w:val="FF0000"/>
                <w:sz w:val="16"/>
                <w:szCs w:val="16"/>
              </w:rPr>
              <w:t xml:space="preserve">and the </w:t>
            </w:r>
            <w:r w:rsidRPr="000931D9">
              <w:rPr>
                <w:rFonts w:ascii="Arial" w:hAnsi="Arial" w:cs="Arial"/>
                <w:i/>
                <w:color w:val="FF0000"/>
                <w:sz w:val="16"/>
                <w:szCs w:val="16"/>
              </w:rPr>
              <w:t>cyclicPrefix</w:t>
            </w:r>
            <w:r w:rsidRPr="000931D9">
              <w:rPr>
                <w:rFonts w:ascii="Arial" w:hAnsi="Arial" w:cs="Arial"/>
                <w:i/>
                <w:color w:val="FF0000"/>
                <w:sz w:val="16"/>
                <w:szCs w:val="16"/>
                <w:lang w:val="en-US" w:eastAsia="zh-CN"/>
              </w:rPr>
              <w:t xml:space="preserve"> </w:t>
            </w:r>
            <w:r w:rsidRPr="000931D9">
              <w:rPr>
                <w:rFonts w:ascii="Arial" w:hAnsi="Arial" w:cs="Arial"/>
                <w:color w:val="FF0000"/>
                <w:sz w:val="16"/>
                <w:szCs w:val="16"/>
              </w:rPr>
              <w:t xml:space="preserve">of the </w:t>
            </w:r>
            <w:r w:rsidRPr="000931D9">
              <w:rPr>
                <w:rFonts w:ascii="Arial" w:hAnsi="Arial" w:cs="Arial"/>
                <w:color w:val="FF0000"/>
                <w:sz w:val="16"/>
                <w:szCs w:val="16"/>
                <w:lang w:val="en-US" w:eastAsia="zh-CN"/>
              </w:rPr>
              <w:t xml:space="preserve">active </w:t>
            </w:r>
            <w:r w:rsidRPr="000931D9">
              <w:rPr>
                <w:rFonts w:ascii="Arial" w:hAnsi="Arial" w:cs="Arial"/>
                <w:color w:val="FF0000"/>
                <w:sz w:val="16"/>
                <w:szCs w:val="16"/>
              </w:rPr>
              <w:t>BWP</w:t>
            </w:r>
            <w:r w:rsidRPr="000931D9">
              <w:rPr>
                <w:rFonts w:ascii="Arial" w:hAnsi="Arial" w:cs="Arial"/>
                <w:sz w:val="16"/>
                <w:szCs w:val="16"/>
              </w:rPr>
              <w:t>.</w:t>
            </w:r>
          </w:p>
          <w:p w14:paraId="478E9F33" w14:textId="77777777" w:rsidR="000931D9" w:rsidRPr="000931D9" w:rsidRDefault="000931D9" w:rsidP="000931D9">
            <w:pPr>
              <w:rPr>
                <w:rFonts w:ascii="Arial" w:hAnsi="Arial" w:cs="Arial"/>
                <w:sz w:val="16"/>
                <w:szCs w:val="16"/>
              </w:rPr>
            </w:pPr>
            <w:r w:rsidRPr="000931D9">
              <w:rPr>
                <w:rFonts w:ascii="Arial" w:hAnsi="Arial" w:cs="Arial"/>
                <w:sz w:val="16"/>
                <w:szCs w:val="16"/>
              </w:rPr>
              <w:t xml:space="preserve">The NCR can be provided by </w:t>
            </w:r>
            <w:r w:rsidRPr="000931D9">
              <w:rPr>
                <w:rFonts w:ascii="Arial" w:hAnsi="Arial" w:cs="Arial"/>
                <w:i/>
                <w:iCs/>
                <w:sz w:val="16"/>
                <w:szCs w:val="16"/>
              </w:rPr>
              <w:t>ncr-SemiPersistentFwdResourceSetToAddModList</w:t>
            </w:r>
            <w:r w:rsidRPr="000931D9">
              <w:rPr>
                <w:rFonts w:ascii="Arial" w:hAnsi="Arial" w:cs="Arial"/>
                <w:sz w:val="16"/>
                <w:szCs w:val="16"/>
              </w:rPr>
              <w:t xml:space="preserve"> a list of sets of resources for transmissions or receptions on the access link and a MAC CE command can indicate a set of resources for the NCR to use or to stop using based on a corresponding identity provided by </w:t>
            </w:r>
            <w:r w:rsidRPr="000931D9">
              <w:rPr>
                <w:rFonts w:ascii="Arial" w:hAnsi="Arial" w:cs="Arial"/>
                <w:i/>
                <w:iCs/>
                <w:sz w:val="16"/>
                <w:szCs w:val="16"/>
              </w:rPr>
              <w:t>ncr-SemiPersistentFwdResourceSetId</w:t>
            </w:r>
            <w:r w:rsidRPr="000931D9">
              <w:rPr>
                <w:rFonts w:ascii="Arial" w:hAnsi="Arial" w:cs="Arial"/>
                <w:sz w:val="16"/>
                <w:szCs w:val="16"/>
              </w:rPr>
              <w:t xml:space="preserve"> [11, TS 38.321]. The NCR uses or stops using the set of resources starting from the first slot that is after slot </w:t>
            </w:r>
            <w:r w:rsidRPr="000931D9">
              <w:rPr>
                <w:rFonts w:ascii="Arial" w:hAnsi="Arial" w:cs="Arial"/>
                <w:sz w:val="16"/>
                <w:szCs w:val="16"/>
              </w:rPr>
              <w:fldChar w:fldCharType="begin"/>
            </w:r>
            <w:r w:rsidRPr="000931D9">
              <w:rPr>
                <w:rFonts w:ascii="Arial" w:hAnsi="Arial" w:cs="Arial"/>
                <w:sz w:val="16"/>
                <w:szCs w:val="16"/>
              </w:rPr>
              <w:instrText xml:space="preserve"> QUOTE </w:instrText>
            </w:r>
            <w:r w:rsidR="00A6784C">
              <w:rPr>
                <w:rFonts w:ascii="Arial" w:hAnsi="Arial" w:cs="Arial"/>
                <w:position w:val="-6"/>
                <w:sz w:val="16"/>
                <w:szCs w:val="16"/>
              </w:rPr>
              <w:pict w14:anchorId="1DA50F45">
                <v:shape id="_x0000_i1228" type="#_x0000_t75" style="width:69.75pt;height:15pt" equationxml="&lt;">
                  <v:imagedata r:id="rId1636" o:title="" chromakey="white"/>
                </v:shape>
              </w:pict>
            </w:r>
            <w:r w:rsidRPr="000931D9">
              <w:rPr>
                <w:rFonts w:ascii="Arial" w:hAnsi="Arial" w:cs="Arial"/>
                <w:sz w:val="16"/>
                <w:szCs w:val="16"/>
              </w:rPr>
              <w:instrText xml:space="preserve"> </w:instrText>
            </w:r>
            <w:r w:rsidRPr="000931D9">
              <w:rPr>
                <w:rFonts w:ascii="Arial" w:hAnsi="Arial" w:cs="Arial"/>
                <w:sz w:val="16"/>
                <w:szCs w:val="16"/>
              </w:rPr>
              <w:fldChar w:fldCharType="separate"/>
            </w:r>
            <w:r w:rsidR="00A6784C">
              <w:rPr>
                <w:rFonts w:ascii="Arial" w:hAnsi="Arial" w:cs="Arial"/>
                <w:position w:val="-6"/>
                <w:sz w:val="16"/>
                <w:szCs w:val="16"/>
              </w:rPr>
              <w:pict w14:anchorId="604786C2">
                <v:shape id="_x0000_i1229" type="#_x0000_t75" style="width:69.75pt;height:15pt" equationxml="&lt;">
                  <v:imagedata r:id="rId1636" o:title="" chromakey="white"/>
                </v:shape>
              </w:pict>
            </w:r>
            <w:r w:rsidRPr="000931D9">
              <w:rPr>
                <w:rFonts w:ascii="Arial" w:hAnsi="Arial" w:cs="Arial"/>
                <w:sz w:val="16"/>
                <w:szCs w:val="16"/>
              </w:rPr>
              <w:fldChar w:fldCharType="end"/>
            </w:r>
            <w:r w:rsidRPr="000931D9">
              <w:rPr>
                <w:rFonts w:ascii="Arial" w:hAnsi="Arial" w:cs="Arial"/>
                <w:sz w:val="16"/>
                <w:szCs w:val="16"/>
              </w:rPr>
              <w:t xml:space="preserve"> where </w:t>
            </w:r>
            <w:r w:rsidRPr="000931D9">
              <w:rPr>
                <w:rFonts w:ascii="Arial" w:hAnsi="Arial" w:cs="Arial"/>
                <w:sz w:val="16"/>
                <w:szCs w:val="16"/>
              </w:rPr>
              <w:fldChar w:fldCharType="begin"/>
            </w:r>
            <w:r w:rsidRPr="000931D9">
              <w:rPr>
                <w:rFonts w:ascii="Arial" w:hAnsi="Arial" w:cs="Arial"/>
                <w:sz w:val="16"/>
                <w:szCs w:val="16"/>
              </w:rPr>
              <w:instrText xml:space="preserve"> QUOTE </w:instrText>
            </w:r>
            <w:r w:rsidR="005A18DC">
              <w:rPr>
                <w:rFonts w:ascii="Arial" w:hAnsi="Arial" w:cs="Arial"/>
                <w:position w:val="-5"/>
                <w:sz w:val="16"/>
                <w:szCs w:val="16"/>
              </w:rPr>
              <w:pict w14:anchorId="33099F43">
                <v:shape id="_x0000_i1230" type="#_x0000_t75" style="width:6pt;height:12pt" equationxml="&lt;">
                  <v:imagedata r:id="rId1637" o:title="" chromakey="white"/>
                </v:shape>
              </w:pict>
            </w:r>
            <w:r w:rsidRPr="000931D9">
              <w:rPr>
                <w:rFonts w:ascii="Arial" w:hAnsi="Arial" w:cs="Arial"/>
                <w:sz w:val="16"/>
                <w:szCs w:val="16"/>
              </w:rPr>
              <w:instrText xml:space="preserve"> </w:instrText>
            </w:r>
            <w:r w:rsidRPr="000931D9">
              <w:rPr>
                <w:rFonts w:ascii="Arial" w:hAnsi="Arial" w:cs="Arial"/>
                <w:sz w:val="16"/>
                <w:szCs w:val="16"/>
              </w:rPr>
              <w:fldChar w:fldCharType="separate"/>
            </w:r>
            <w:r w:rsidR="005A18DC">
              <w:rPr>
                <w:rFonts w:ascii="Arial" w:hAnsi="Arial" w:cs="Arial"/>
                <w:position w:val="-5"/>
                <w:sz w:val="16"/>
                <w:szCs w:val="16"/>
              </w:rPr>
              <w:pict w14:anchorId="132F9E91">
                <v:shape id="_x0000_i1231" type="#_x0000_t75" style="width:6pt;height:12pt" equationxml="&lt;">
                  <v:imagedata r:id="rId1637" o:title="" chromakey="white"/>
                </v:shape>
              </w:pict>
            </w:r>
            <w:r w:rsidRPr="000931D9">
              <w:rPr>
                <w:rFonts w:ascii="Arial" w:hAnsi="Arial" w:cs="Arial"/>
                <w:sz w:val="16"/>
                <w:szCs w:val="16"/>
              </w:rPr>
              <w:fldChar w:fldCharType="end"/>
            </w:r>
            <w:r w:rsidRPr="000931D9">
              <w:rPr>
                <w:rFonts w:ascii="Arial" w:hAnsi="Arial" w:cs="Arial"/>
                <w:sz w:val="16"/>
                <w:szCs w:val="16"/>
              </w:rPr>
              <w:t xml:space="preserve"> is the slot where the NCR-MT would transmit a PUCCH with HARQ-ACK information associated with the PDSCH providing the MAC CE command and </w:t>
            </w:r>
            <w:r w:rsidRPr="000931D9">
              <w:rPr>
                <w:rFonts w:ascii="Arial" w:hAnsi="Arial" w:cs="Arial"/>
                <w:sz w:val="16"/>
                <w:szCs w:val="16"/>
              </w:rPr>
              <w:fldChar w:fldCharType="begin"/>
            </w:r>
            <w:r w:rsidRPr="000931D9">
              <w:rPr>
                <w:rFonts w:ascii="Arial" w:hAnsi="Arial" w:cs="Arial"/>
                <w:sz w:val="16"/>
                <w:szCs w:val="16"/>
              </w:rPr>
              <w:instrText xml:space="preserve"> QUOTE </w:instrText>
            </w:r>
            <w:r w:rsidR="005A18DC">
              <w:rPr>
                <w:rFonts w:ascii="Arial" w:hAnsi="Arial" w:cs="Arial"/>
                <w:position w:val="-5"/>
                <w:sz w:val="16"/>
                <w:szCs w:val="16"/>
              </w:rPr>
              <w:pict w14:anchorId="24E2D042">
                <v:shape id="_x0000_i1232" type="#_x0000_t75" style="width:6pt;height:12pt" equationxml="&lt;">
                  <v:imagedata r:id="rId1638" o:title="" chromakey="white"/>
                </v:shape>
              </w:pict>
            </w:r>
            <w:r w:rsidRPr="000931D9">
              <w:rPr>
                <w:rFonts w:ascii="Arial" w:hAnsi="Arial" w:cs="Arial"/>
                <w:sz w:val="16"/>
                <w:szCs w:val="16"/>
              </w:rPr>
              <w:instrText xml:space="preserve"> </w:instrText>
            </w:r>
            <w:r w:rsidRPr="000931D9">
              <w:rPr>
                <w:rFonts w:ascii="Arial" w:hAnsi="Arial" w:cs="Arial"/>
                <w:sz w:val="16"/>
                <w:szCs w:val="16"/>
              </w:rPr>
              <w:fldChar w:fldCharType="separate"/>
            </w:r>
            <w:r w:rsidR="005A18DC">
              <w:rPr>
                <w:rFonts w:ascii="Arial" w:hAnsi="Arial" w:cs="Arial"/>
                <w:position w:val="-5"/>
                <w:sz w:val="16"/>
                <w:szCs w:val="16"/>
              </w:rPr>
              <w:pict w14:anchorId="2C5C3491">
                <v:shape id="_x0000_i1233" type="#_x0000_t75" style="width:6pt;height:12pt" equationxml="&lt;">
                  <v:imagedata r:id="rId1638" o:title="" chromakey="white"/>
                </v:shape>
              </w:pict>
            </w:r>
            <w:r w:rsidRPr="000931D9">
              <w:rPr>
                <w:rFonts w:ascii="Arial" w:hAnsi="Arial" w:cs="Arial"/>
                <w:sz w:val="16"/>
                <w:szCs w:val="16"/>
              </w:rPr>
              <w:fldChar w:fldCharType="end"/>
            </w:r>
            <w:r w:rsidRPr="000931D9">
              <w:rPr>
                <w:rFonts w:ascii="Arial" w:hAnsi="Arial" w:cs="Arial"/>
                <w:sz w:val="16"/>
                <w:szCs w:val="16"/>
              </w:rPr>
              <w:t xml:space="preserve"> is the SCS configuration for the PUCCH transmission. The set of resources is provided by </w:t>
            </w:r>
            <w:r w:rsidRPr="000931D9">
              <w:rPr>
                <w:rFonts w:ascii="Arial" w:hAnsi="Arial" w:cs="Arial"/>
                <w:i/>
                <w:iCs/>
                <w:sz w:val="16"/>
                <w:szCs w:val="16"/>
              </w:rPr>
              <w:t>NCR-SemiPersistentFwdResourceSet</w:t>
            </w:r>
            <w:r w:rsidRPr="000931D9">
              <w:rPr>
                <w:rFonts w:ascii="Arial" w:hAnsi="Arial" w:cs="Arial"/>
                <w:sz w:val="16"/>
                <w:szCs w:val="16"/>
              </w:rPr>
              <w:t xml:space="preserve"> and occurs with a periodicity provided by </w:t>
            </w:r>
            <w:r w:rsidRPr="000931D9">
              <w:rPr>
                <w:rFonts w:ascii="Arial" w:hAnsi="Arial" w:cs="Arial"/>
                <w:i/>
                <w:iCs/>
                <w:sz w:val="16"/>
                <w:szCs w:val="16"/>
              </w:rPr>
              <w:t>ncr-periodicity</w:t>
            </w:r>
            <w:r w:rsidRPr="000931D9">
              <w:rPr>
                <w:rFonts w:ascii="Arial" w:hAnsi="Arial" w:cs="Arial"/>
                <w:sz w:val="16"/>
                <w:szCs w:val="16"/>
              </w:rPr>
              <w:t xml:space="preserve">. A resource from the set of resources is provided by </w:t>
            </w:r>
            <w:r w:rsidRPr="000931D9">
              <w:rPr>
                <w:rFonts w:ascii="Arial" w:hAnsi="Arial" w:cs="Arial"/>
                <w:i/>
                <w:iCs/>
                <w:sz w:val="16"/>
                <w:szCs w:val="16"/>
              </w:rPr>
              <w:t xml:space="preserve">NCR-SemiPersistentFwdResource </w:t>
            </w:r>
            <w:r w:rsidRPr="000931D9">
              <w:rPr>
                <w:rFonts w:ascii="Arial" w:hAnsi="Arial" w:cs="Arial"/>
                <w:sz w:val="16"/>
                <w:szCs w:val="16"/>
              </w:rPr>
              <w:t xml:space="preserve">and includes a pair of a time resource provided by </w:t>
            </w:r>
            <w:r w:rsidRPr="000931D9">
              <w:rPr>
                <w:rFonts w:ascii="Arial" w:hAnsi="Arial" w:cs="Arial"/>
                <w:i/>
                <w:iCs/>
                <w:sz w:val="16"/>
                <w:szCs w:val="16"/>
              </w:rPr>
              <w:t>ncr-SemiPersistentTimeResource</w:t>
            </w:r>
            <w:r w:rsidRPr="000931D9">
              <w:rPr>
                <w:rFonts w:ascii="Arial" w:hAnsi="Arial" w:cs="Arial"/>
                <w:sz w:val="16"/>
                <w:szCs w:val="16"/>
              </w:rPr>
              <w:t xml:space="preserve"> and a beam with an index provided by </w:t>
            </w:r>
            <w:r w:rsidRPr="000931D9">
              <w:rPr>
                <w:rFonts w:ascii="Arial" w:hAnsi="Arial" w:cs="Arial"/>
                <w:i/>
                <w:iCs/>
                <w:sz w:val="16"/>
                <w:szCs w:val="16"/>
              </w:rPr>
              <w:t>ncr-beamIndex</w:t>
            </w:r>
            <w:r w:rsidRPr="000931D9">
              <w:rPr>
                <w:rFonts w:ascii="Arial" w:hAnsi="Arial" w:cs="Arial"/>
                <w:sz w:val="16"/>
                <w:szCs w:val="16"/>
              </w:rPr>
              <w:t xml:space="preserve">, where </w:t>
            </w:r>
            <w:r w:rsidRPr="000931D9">
              <w:rPr>
                <w:rFonts w:ascii="Arial" w:hAnsi="Arial" w:cs="Arial"/>
                <w:i/>
                <w:iCs/>
                <w:sz w:val="16"/>
                <w:szCs w:val="16"/>
              </w:rPr>
              <w:t>beamIndex</w:t>
            </w:r>
            <w:r w:rsidRPr="000931D9">
              <w:rPr>
                <w:rFonts w:ascii="Arial" w:hAnsi="Arial" w:cs="Arial"/>
                <w:sz w:val="16"/>
                <w:szCs w:val="16"/>
              </w:rPr>
              <w:t xml:space="preserve"> can be updated by the MAC CE command. The time resource starts at a slot that is offset by </w:t>
            </w:r>
            <w:r w:rsidRPr="000931D9">
              <w:rPr>
                <w:rFonts w:ascii="Arial" w:hAnsi="Arial" w:cs="Arial"/>
                <w:i/>
                <w:iCs/>
                <w:sz w:val="16"/>
                <w:szCs w:val="16"/>
              </w:rPr>
              <w:t>slotOffsetSemiPersistent</w:t>
            </w:r>
            <w:r w:rsidRPr="000931D9">
              <w:rPr>
                <w:rFonts w:ascii="Arial" w:hAnsi="Arial" w:cs="Arial"/>
                <w:sz w:val="16"/>
                <w:szCs w:val="16"/>
              </w:rPr>
              <w:t xml:space="preserve"> slots from the start of the period for the set of resources and at a symbol that is offset by </w:t>
            </w:r>
            <w:r w:rsidRPr="000931D9">
              <w:rPr>
                <w:rFonts w:ascii="Arial" w:hAnsi="Arial" w:cs="Arial"/>
                <w:i/>
                <w:iCs/>
                <w:sz w:val="16"/>
                <w:szCs w:val="16"/>
              </w:rPr>
              <w:t>symbolOffset</w:t>
            </w:r>
            <w:r w:rsidRPr="000931D9">
              <w:rPr>
                <w:rFonts w:ascii="Arial" w:hAnsi="Arial" w:cs="Arial"/>
                <w:sz w:val="16"/>
                <w:szCs w:val="16"/>
              </w:rPr>
              <w:t xml:space="preserve"> from the start of the slot, and has a duration provided by </w:t>
            </w:r>
            <w:r w:rsidRPr="000931D9">
              <w:rPr>
                <w:rFonts w:ascii="Arial" w:hAnsi="Arial" w:cs="Arial"/>
                <w:i/>
                <w:iCs/>
                <w:sz w:val="16"/>
                <w:szCs w:val="16"/>
              </w:rPr>
              <w:t>durationInSymbols</w:t>
            </w:r>
            <w:r w:rsidRPr="000931D9">
              <w:rPr>
                <w:rFonts w:ascii="Arial" w:hAnsi="Arial" w:cs="Arial"/>
                <w:sz w:val="16"/>
                <w:szCs w:val="16"/>
              </w:rPr>
              <w:t xml:space="preserve"> for a SCS provided by </w:t>
            </w:r>
            <w:r w:rsidRPr="000931D9">
              <w:rPr>
                <w:rFonts w:ascii="Arial" w:hAnsi="Arial" w:cs="Arial"/>
                <w:i/>
                <w:iCs/>
                <w:sz w:val="16"/>
                <w:szCs w:val="16"/>
              </w:rPr>
              <w:t>ncr-referenceSCS</w:t>
            </w:r>
            <w:r w:rsidRPr="000931D9">
              <w:rPr>
                <w:rFonts w:ascii="Arial" w:hAnsi="Arial" w:cs="Arial"/>
                <w:sz w:val="16"/>
                <w:szCs w:val="16"/>
              </w:rPr>
              <w:t xml:space="preserve"> </w:t>
            </w:r>
            <w:r w:rsidRPr="000931D9">
              <w:rPr>
                <w:rFonts w:ascii="Arial" w:hAnsi="Arial" w:cs="Arial"/>
                <w:color w:val="FF0000"/>
                <w:sz w:val="16"/>
                <w:szCs w:val="16"/>
              </w:rPr>
              <w:t xml:space="preserve">and the </w:t>
            </w:r>
            <w:r w:rsidRPr="000931D9">
              <w:rPr>
                <w:rFonts w:ascii="Arial" w:hAnsi="Arial" w:cs="Arial"/>
                <w:i/>
                <w:color w:val="FF0000"/>
                <w:sz w:val="16"/>
                <w:szCs w:val="16"/>
              </w:rPr>
              <w:t>cyclicPrefix</w:t>
            </w:r>
            <w:r w:rsidRPr="000931D9">
              <w:rPr>
                <w:rFonts w:ascii="Arial" w:hAnsi="Arial" w:cs="Arial"/>
                <w:i/>
                <w:color w:val="FF0000"/>
                <w:sz w:val="16"/>
                <w:szCs w:val="16"/>
                <w:lang w:val="en-US" w:eastAsia="zh-CN"/>
              </w:rPr>
              <w:t xml:space="preserve"> </w:t>
            </w:r>
            <w:r w:rsidRPr="000931D9">
              <w:rPr>
                <w:rFonts w:ascii="Arial" w:hAnsi="Arial" w:cs="Arial"/>
                <w:color w:val="FF0000"/>
                <w:sz w:val="16"/>
                <w:szCs w:val="16"/>
              </w:rPr>
              <w:t xml:space="preserve">of the </w:t>
            </w:r>
            <w:r w:rsidRPr="000931D9">
              <w:rPr>
                <w:rFonts w:ascii="Arial" w:hAnsi="Arial" w:cs="Arial"/>
                <w:color w:val="FF0000"/>
                <w:sz w:val="16"/>
                <w:szCs w:val="16"/>
                <w:lang w:val="en-US" w:eastAsia="zh-CN"/>
              </w:rPr>
              <w:t xml:space="preserve">active </w:t>
            </w:r>
            <w:r w:rsidRPr="000931D9">
              <w:rPr>
                <w:rFonts w:ascii="Arial" w:hAnsi="Arial" w:cs="Arial"/>
                <w:color w:val="FF0000"/>
                <w:sz w:val="16"/>
                <w:szCs w:val="16"/>
              </w:rPr>
              <w:t>BWP</w:t>
            </w:r>
            <w:r w:rsidRPr="000931D9">
              <w:rPr>
                <w:rFonts w:ascii="Arial" w:hAnsi="Arial" w:cs="Arial"/>
                <w:sz w:val="16"/>
                <w:szCs w:val="16"/>
              </w:rPr>
              <w:t>.</w:t>
            </w:r>
          </w:p>
          <w:p w14:paraId="457E49D5" w14:textId="77777777" w:rsidR="000931D9" w:rsidRPr="000931D9" w:rsidRDefault="000931D9" w:rsidP="000931D9">
            <w:pPr>
              <w:rPr>
                <w:rFonts w:ascii="Arial" w:hAnsi="Arial" w:cs="Arial"/>
                <w:sz w:val="16"/>
                <w:szCs w:val="16"/>
              </w:rPr>
            </w:pPr>
            <w:r w:rsidRPr="000931D9">
              <w:rPr>
                <w:rFonts w:ascii="Arial" w:eastAsia="SimSun" w:hAnsi="Arial" w:cs="Arial"/>
                <w:iCs/>
                <w:sz w:val="16"/>
                <w:szCs w:val="16"/>
              </w:rPr>
              <w:t xml:space="preserve">The NCR-MT can be configured to monitor PDCCH according to USS sets for detection of a DCI format </w:t>
            </w:r>
            <w:r w:rsidRPr="000931D9">
              <w:rPr>
                <w:rFonts w:ascii="Arial" w:eastAsia="SimSun" w:hAnsi="Arial" w:cs="Arial"/>
                <w:sz w:val="16"/>
                <w:szCs w:val="16"/>
              </w:rPr>
              <w:t xml:space="preserve">2_8 </w:t>
            </w:r>
            <w:r w:rsidRPr="000931D9">
              <w:rPr>
                <w:rFonts w:ascii="Arial" w:eastAsia="SimSun" w:hAnsi="Arial" w:cs="Arial"/>
                <w:iCs/>
                <w:sz w:val="16"/>
                <w:szCs w:val="16"/>
              </w:rPr>
              <w:t>with CRC scrambled by an NCR-RNTI</w:t>
            </w:r>
            <w:r w:rsidRPr="000931D9">
              <w:rPr>
                <w:rFonts w:ascii="Arial" w:eastAsia="SimSun" w:hAnsi="Arial" w:cs="Arial"/>
                <w:sz w:val="16"/>
                <w:szCs w:val="16"/>
              </w:rPr>
              <w:t xml:space="preserve">. A time resource and a corresponding beam index for transmissions or receptions on the access link are indicated by corresponding fields in DCI format 2_8 [4, TS 38.212]. When the NCR detects more than one DCI formats 2_8 that indicate beam indexes for time resources overlapping in a set of symbols, the NCR uses for the set of symbols a beam index that is indicated by a DCI format 2_8 that the NCR-MT detects in a most recent PDCCH monitoring occasion. The time resource starts at a slot that is offset by </w:t>
            </w:r>
            <w:r w:rsidRPr="000931D9">
              <w:rPr>
                <w:rFonts w:ascii="Arial" w:eastAsia="SimSun" w:hAnsi="Arial" w:cs="Arial"/>
                <w:i/>
                <w:iCs/>
                <w:sz w:val="16"/>
                <w:szCs w:val="16"/>
              </w:rPr>
              <w:t>slotOffsetAperiodic</w:t>
            </w:r>
            <w:r w:rsidRPr="000931D9">
              <w:rPr>
                <w:rFonts w:ascii="Arial" w:eastAsia="SimSun" w:hAnsi="Arial" w:cs="Arial"/>
                <w:sz w:val="16"/>
                <w:szCs w:val="16"/>
              </w:rPr>
              <w:t xml:space="preserve"> slots from a reference slot and at a symbol that is offset by </w:t>
            </w:r>
            <w:r w:rsidRPr="000931D9">
              <w:rPr>
                <w:rFonts w:ascii="Arial" w:eastAsia="SimSun" w:hAnsi="Arial" w:cs="Arial"/>
                <w:i/>
                <w:iCs/>
                <w:sz w:val="16"/>
                <w:szCs w:val="16"/>
              </w:rPr>
              <w:t>symbolOffset</w:t>
            </w:r>
            <w:r w:rsidRPr="000931D9">
              <w:rPr>
                <w:rFonts w:ascii="Arial" w:eastAsia="SimSun" w:hAnsi="Arial" w:cs="Arial"/>
                <w:sz w:val="16"/>
                <w:szCs w:val="16"/>
              </w:rPr>
              <w:t xml:space="preserve"> from the start of the slot, and has a duration provided by </w:t>
            </w:r>
            <w:r w:rsidRPr="000931D9">
              <w:rPr>
                <w:rFonts w:ascii="Arial" w:eastAsia="SimSun" w:hAnsi="Arial" w:cs="Arial"/>
                <w:i/>
                <w:iCs/>
                <w:sz w:val="16"/>
                <w:szCs w:val="16"/>
              </w:rPr>
              <w:t>durationInSymbols</w:t>
            </w:r>
            <w:r w:rsidRPr="000931D9">
              <w:rPr>
                <w:rFonts w:ascii="Arial" w:eastAsia="SimSun" w:hAnsi="Arial" w:cs="Arial"/>
                <w:sz w:val="16"/>
                <w:szCs w:val="16"/>
              </w:rPr>
              <w:t xml:space="preserve"> for a SCS provided by </w:t>
            </w:r>
            <w:r w:rsidRPr="000931D9">
              <w:rPr>
                <w:rFonts w:ascii="Arial" w:eastAsia="SimSun" w:hAnsi="Arial" w:cs="Arial"/>
                <w:i/>
                <w:iCs/>
                <w:sz w:val="16"/>
                <w:szCs w:val="16"/>
              </w:rPr>
              <w:t>ncr-referenceSCS</w:t>
            </w:r>
            <w:r w:rsidRPr="000931D9">
              <w:rPr>
                <w:rFonts w:ascii="Arial" w:hAnsi="Arial" w:cs="Arial"/>
                <w:sz w:val="16"/>
                <w:szCs w:val="16"/>
              </w:rPr>
              <w:t xml:space="preserve"> </w:t>
            </w:r>
            <w:r w:rsidRPr="000931D9">
              <w:rPr>
                <w:rFonts w:ascii="Arial" w:hAnsi="Arial" w:cs="Arial"/>
                <w:color w:val="FF0000"/>
                <w:sz w:val="16"/>
                <w:szCs w:val="16"/>
              </w:rPr>
              <w:t xml:space="preserve">and the </w:t>
            </w:r>
            <w:r w:rsidRPr="000931D9">
              <w:rPr>
                <w:rFonts w:ascii="Arial" w:hAnsi="Arial" w:cs="Arial"/>
                <w:i/>
                <w:color w:val="FF0000"/>
                <w:sz w:val="16"/>
                <w:szCs w:val="16"/>
              </w:rPr>
              <w:t>cyclicPrefix</w:t>
            </w:r>
            <w:r w:rsidRPr="000931D9">
              <w:rPr>
                <w:rFonts w:ascii="Arial" w:hAnsi="Arial" w:cs="Arial"/>
                <w:i/>
                <w:color w:val="FF0000"/>
                <w:sz w:val="16"/>
                <w:szCs w:val="16"/>
                <w:lang w:val="en-US" w:eastAsia="zh-CN"/>
              </w:rPr>
              <w:t xml:space="preserve"> </w:t>
            </w:r>
            <w:r w:rsidRPr="000931D9">
              <w:rPr>
                <w:rFonts w:ascii="Arial" w:hAnsi="Arial" w:cs="Arial"/>
                <w:color w:val="FF0000"/>
                <w:sz w:val="16"/>
                <w:szCs w:val="16"/>
              </w:rPr>
              <w:t xml:space="preserve">of the </w:t>
            </w:r>
            <w:r w:rsidRPr="000931D9">
              <w:rPr>
                <w:rFonts w:ascii="Arial" w:hAnsi="Arial" w:cs="Arial"/>
                <w:color w:val="FF0000"/>
                <w:sz w:val="16"/>
                <w:szCs w:val="16"/>
                <w:lang w:val="en-US" w:eastAsia="zh-CN"/>
              </w:rPr>
              <w:t xml:space="preserve">active </w:t>
            </w:r>
            <w:r w:rsidRPr="000931D9">
              <w:rPr>
                <w:rFonts w:ascii="Arial" w:hAnsi="Arial" w:cs="Arial"/>
                <w:color w:val="FF0000"/>
                <w:sz w:val="16"/>
                <w:szCs w:val="16"/>
              </w:rPr>
              <w:t>BWP</w:t>
            </w:r>
            <w:r w:rsidRPr="000931D9">
              <w:rPr>
                <w:rFonts w:ascii="Arial" w:hAnsi="Arial" w:cs="Arial"/>
                <w:sz w:val="16"/>
                <w:szCs w:val="16"/>
              </w:rPr>
              <w:t>.</w:t>
            </w:r>
            <w:r w:rsidRPr="000931D9">
              <w:rPr>
                <w:rFonts w:ascii="Arial" w:eastAsia="SimSun" w:hAnsi="Arial" w:cs="Arial"/>
                <w:sz w:val="16"/>
                <w:szCs w:val="16"/>
              </w:rPr>
              <w:t>The reference slot is a slot that is after a slot of a PDCCH reception that provides the DCI format 2_8 by a number of slots indicated by FG 43-3.</w:t>
            </w:r>
          </w:p>
          <w:p w14:paraId="18E35636" w14:textId="77777777" w:rsidR="000931D9" w:rsidRPr="000931D9" w:rsidRDefault="000931D9" w:rsidP="000931D9">
            <w:pPr>
              <w:jc w:val="center"/>
              <w:rPr>
                <w:rFonts w:ascii="Arial" w:eastAsia="Malgun Gothic" w:hAnsi="Arial" w:cs="Arial"/>
                <w:b/>
                <w:i/>
                <w:color w:val="FF0000"/>
                <w:sz w:val="16"/>
                <w:szCs w:val="16"/>
              </w:rPr>
            </w:pPr>
            <w:r w:rsidRPr="000931D9">
              <w:rPr>
                <w:rFonts w:ascii="Arial" w:hAnsi="Arial" w:cs="Arial"/>
                <w:color w:val="FF0000"/>
                <w:sz w:val="16"/>
                <w:szCs w:val="16"/>
              </w:rPr>
              <w:t>&lt; Unchanged parts are omitted &gt;</w:t>
            </w:r>
          </w:p>
        </w:tc>
      </w:tr>
    </w:tbl>
    <w:p w14:paraId="11DF595A" w14:textId="77777777" w:rsidR="000931D9" w:rsidRDefault="000931D9" w:rsidP="000931D9">
      <w:pPr>
        <w:rPr>
          <w:highlight w:val="yellow"/>
        </w:rPr>
      </w:pPr>
    </w:p>
    <w:p w14:paraId="40738F23" w14:textId="0E881A73" w:rsidR="000931D9" w:rsidRPr="000931D9" w:rsidRDefault="000931D9" w:rsidP="000931D9">
      <w:pPr>
        <w:rPr>
          <w:u w:val="single"/>
        </w:rPr>
      </w:pPr>
      <w:r w:rsidRPr="000931D9">
        <w:rPr>
          <w:u w:val="single"/>
          <w:lang w:val="en-US" w:eastAsia="zh-CN"/>
        </w:rPr>
        <w:t>C</w:t>
      </w:r>
      <w:r>
        <w:rPr>
          <w:u w:val="single"/>
          <w:lang w:val="en-US" w:eastAsia="zh-CN"/>
        </w:rPr>
        <w:t>onclusion</w:t>
      </w:r>
    </w:p>
    <w:p w14:paraId="2C470975" w14:textId="77777777" w:rsidR="000931D9" w:rsidRDefault="000931D9" w:rsidP="000931D9">
      <w:r>
        <w:t xml:space="preserve">For BH-link beam indication via dedicated MAC-CE, when an active BWP of the C-link is switched, the BH-link beam determined by </w:t>
      </w:r>
      <w:r>
        <w:rPr>
          <w:strike/>
        </w:rPr>
        <w:t xml:space="preserve">the last </w:t>
      </w:r>
      <w:r>
        <w:t xml:space="preserve">MAC CE before BWP switching is </w:t>
      </w:r>
      <w:r>
        <w:rPr>
          <w:lang w:val="en-US" w:eastAsia="zh-CN"/>
        </w:rPr>
        <w:t>used</w:t>
      </w:r>
      <w:r>
        <w:t xml:space="preserve"> until the</w:t>
      </w:r>
      <w:r>
        <w:rPr>
          <w:lang w:val="en-US" w:eastAsia="zh-CN"/>
        </w:rPr>
        <w:t xml:space="preserve"> application </w:t>
      </w:r>
      <w:r>
        <w:t xml:space="preserve">of </w:t>
      </w:r>
      <w:r>
        <w:rPr>
          <w:lang w:val="en-US" w:eastAsia="zh-CN"/>
        </w:rPr>
        <w:t xml:space="preserve">the beam indicated by </w:t>
      </w:r>
      <w:r>
        <w:t>a new MAC-CE</w:t>
      </w:r>
      <w:r>
        <w:rPr>
          <w:lang w:val="en-US" w:eastAsia="zh-CN"/>
        </w:rPr>
        <w:t xml:space="preserve"> received </w:t>
      </w:r>
      <w:r>
        <w:t>in the active BWP.</w:t>
      </w:r>
    </w:p>
    <w:p w14:paraId="64A08313" w14:textId="780DA3D4" w:rsidR="000931D9" w:rsidRPr="000931D9" w:rsidRDefault="000931D9" w:rsidP="000931D9">
      <w:pPr>
        <w:rPr>
          <w:lang w:val="en-US" w:eastAsia="zh-CN"/>
        </w:rPr>
      </w:pPr>
      <w:r>
        <w:rPr>
          <w:lang w:val="en-US" w:eastAsia="zh-CN"/>
        </w:rPr>
        <w:t>Note: No spec impact is needed.</w:t>
      </w:r>
    </w:p>
    <w:p w14:paraId="3AC9B4E3" w14:textId="77777777" w:rsidR="00F74A6F" w:rsidRPr="009537ED" w:rsidRDefault="00F74A6F" w:rsidP="00570EA9">
      <w:pPr>
        <w:pStyle w:val="Heading3"/>
      </w:pPr>
      <w:bookmarkStart w:id="739" w:name="_Toc150174486"/>
      <w:bookmarkStart w:id="740" w:name="_Toc159251028"/>
      <w:r w:rsidRPr="009537ED">
        <w:t>Other aspects including control plane signalling and procedures relevant to RAN1</w:t>
      </w:r>
      <w:bookmarkEnd w:id="739"/>
      <w:bookmarkEnd w:id="740"/>
    </w:p>
    <w:p w14:paraId="672D4766" w14:textId="7B54E217" w:rsidR="00F74A6F" w:rsidRPr="009537ED" w:rsidRDefault="005A18DC" w:rsidP="00F74A6F">
      <w:pPr>
        <w:rPr>
          <w:lang w:eastAsia="x-none"/>
        </w:rPr>
      </w:pPr>
      <w:hyperlink r:id="rId1639" w:history="1">
        <w:r w:rsidR="00AF7253">
          <w:rPr>
            <w:rStyle w:val="Hyperlink"/>
            <w:lang w:eastAsia="x-none"/>
          </w:rPr>
          <w:t>R1-2310861</w:t>
        </w:r>
      </w:hyperlink>
      <w:r w:rsidR="00F74A6F" w:rsidRPr="009537ED">
        <w:rPr>
          <w:lang w:eastAsia="x-none"/>
        </w:rPr>
        <w:tab/>
        <w:t>Maintenance of other aspects  for NCR</w:t>
      </w:r>
      <w:r w:rsidR="00F74A6F" w:rsidRPr="009537ED">
        <w:rPr>
          <w:lang w:eastAsia="x-none"/>
        </w:rPr>
        <w:tab/>
        <w:t>Huawei, HiSilicon</w:t>
      </w:r>
    </w:p>
    <w:p w14:paraId="4F18F337" w14:textId="6318B575" w:rsidR="00F74A6F" w:rsidRPr="009537ED" w:rsidRDefault="005A18DC" w:rsidP="00F74A6F">
      <w:pPr>
        <w:rPr>
          <w:lang w:eastAsia="x-none"/>
        </w:rPr>
      </w:pPr>
      <w:hyperlink r:id="rId1640" w:history="1">
        <w:r w:rsidR="00AF7253">
          <w:rPr>
            <w:rStyle w:val="Hyperlink"/>
            <w:lang w:eastAsia="x-none"/>
          </w:rPr>
          <w:t>R1-2311031</w:t>
        </w:r>
      </w:hyperlink>
      <w:r w:rsidR="00F74A6F" w:rsidRPr="009537ED">
        <w:rPr>
          <w:lang w:eastAsia="x-none"/>
        </w:rPr>
        <w:tab/>
        <w:t>Control-plane signaling and procedures for NCR</w:t>
      </w:r>
      <w:r w:rsidR="00F74A6F" w:rsidRPr="009537ED">
        <w:rPr>
          <w:lang w:eastAsia="x-none"/>
        </w:rPr>
        <w:tab/>
        <w:t>Ericsson</w:t>
      </w:r>
    </w:p>
    <w:p w14:paraId="0B3752AF" w14:textId="2FDAF3A7" w:rsidR="00F74A6F" w:rsidRPr="009537ED" w:rsidRDefault="005A18DC" w:rsidP="00F74A6F">
      <w:pPr>
        <w:rPr>
          <w:lang w:eastAsia="x-none"/>
        </w:rPr>
      </w:pPr>
      <w:hyperlink r:id="rId1641" w:history="1">
        <w:r w:rsidR="00AF7253">
          <w:rPr>
            <w:rStyle w:val="Hyperlink"/>
            <w:lang w:eastAsia="x-none"/>
          </w:rPr>
          <w:t>R1-2311129</w:t>
        </w:r>
      </w:hyperlink>
      <w:r w:rsidR="00F74A6F" w:rsidRPr="009537ED">
        <w:rPr>
          <w:lang w:eastAsia="x-none"/>
        </w:rPr>
        <w:tab/>
        <w:t>Discussion on other aspects including control plane signalling and procedures relevant to RAN1</w:t>
      </w:r>
      <w:r w:rsidR="00F74A6F" w:rsidRPr="009537ED">
        <w:rPr>
          <w:lang w:eastAsia="x-none"/>
        </w:rPr>
        <w:tab/>
        <w:t>Nokia, Nokia Shanghai Bell</w:t>
      </w:r>
    </w:p>
    <w:p w14:paraId="646BC4E9" w14:textId="5A533B81" w:rsidR="00F74A6F" w:rsidRPr="009537ED" w:rsidRDefault="005A18DC" w:rsidP="00F74A6F">
      <w:pPr>
        <w:rPr>
          <w:lang w:eastAsia="x-none"/>
        </w:rPr>
      </w:pPr>
      <w:hyperlink r:id="rId1642" w:history="1">
        <w:r w:rsidR="00AF7253">
          <w:rPr>
            <w:rStyle w:val="Hyperlink"/>
            <w:lang w:eastAsia="x-none"/>
          </w:rPr>
          <w:t>R1-2311198</w:t>
        </w:r>
      </w:hyperlink>
      <w:r w:rsidR="00F74A6F" w:rsidRPr="009537ED">
        <w:rPr>
          <w:lang w:eastAsia="x-none"/>
        </w:rPr>
        <w:tab/>
        <w:t>Remaining issue on other aspects of NCR</w:t>
      </w:r>
      <w:r w:rsidR="00F74A6F" w:rsidRPr="009537ED">
        <w:rPr>
          <w:lang w:eastAsia="x-none"/>
        </w:rPr>
        <w:tab/>
        <w:t>ZTE</w:t>
      </w:r>
    </w:p>
    <w:p w14:paraId="156E0779" w14:textId="5C8F5E65" w:rsidR="00F74A6F" w:rsidRPr="009537ED" w:rsidRDefault="005A18DC" w:rsidP="00F74A6F">
      <w:pPr>
        <w:rPr>
          <w:lang w:eastAsia="x-none"/>
        </w:rPr>
      </w:pPr>
      <w:hyperlink r:id="rId1643" w:history="1">
        <w:r w:rsidR="00AF7253">
          <w:rPr>
            <w:rStyle w:val="Hyperlink"/>
            <w:lang w:eastAsia="x-none"/>
          </w:rPr>
          <w:t>R1-2311322</w:t>
        </w:r>
      </w:hyperlink>
      <w:r w:rsidR="00F74A6F" w:rsidRPr="009537ED">
        <w:rPr>
          <w:lang w:eastAsia="x-none"/>
        </w:rPr>
        <w:tab/>
        <w:t>Maintenance on other aspects including control plane signalling and procedures relevant to RAN1 for NR Network-Controlled Repeaters</w:t>
      </w:r>
      <w:r w:rsidR="00F74A6F" w:rsidRPr="009537ED">
        <w:rPr>
          <w:lang w:eastAsia="x-none"/>
        </w:rPr>
        <w:tab/>
        <w:t>CATT</w:t>
      </w:r>
    </w:p>
    <w:p w14:paraId="392164DB" w14:textId="28751608" w:rsidR="00F74A6F" w:rsidRDefault="005A18DC" w:rsidP="00F74A6F">
      <w:pPr>
        <w:rPr>
          <w:lang w:eastAsia="x-none"/>
        </w:rPr>
      </w:pPr>
      <w:hyperlink r:id="rId1644" w:history="1">
        <w:r w:rsidR="00AF7253">
          <w:rPr>
            <w:rStyle w:val="Hyperlink"/>
            <w:lang w:eastAsia="x-none"/>
          </w:rPr>
          <w:t>R1-2311859</w:t>
        </w:r>
      </w:hyperlink>
      <w:r w:rsidR="00F74A6F" w:rsidRPr="009537ED">
        <w:rPr>
          <w:lang w:eastAsia="x-none"/>
        </w:rPr>
        <w:tab/>
        <w:t>Remaining Issues on signaling and procedures for network-controlled repeaters</w:t>
      </w:r>
      <w:r w:rsidR="00F74A6F" w:rsidRPr="009537ED">
        <w:rPr>
          <w:lang w:eastAsia="x-none"/>
        </w:rPr>
        <w:tab/>
        <w:t>Samsung</w:t>
      </w:r>
    </w:p>
    <w:p w14:paraId="386AE6FC" w14:textId="77777777" w:rsidR="00D24A5D" w:rsidRDefault="00D24A5D" w:rsidP="00F74A6F">
      <w:pPr>
        <w:rPr>
          <w:lang w:eastAsia="x-none"/>
        </w:rPr>
      </w:pPr>
    </w:p>
    <w:p w14:paraId="7541C349" w14:textId="206FCDDF" w:rsidR="00D24A5D" w:rsidRPr="00D24A5D" w:rsidRDefault="005A18DC" w:rsidP="00D24A5D">
      <w:pPr>
        <w:rPr>
          <w:b/>
          <w:bCs/>
          <w:lang w:eastAsia="x-none"/>
        </w:rPr>
      </w:pPr>
      <w:hyperlink r:id="rId1645" w:history="1">
        <w:r w:rsidR="00AF7253">
          <w:rPr>
            <w:rStyle w:val="Hyperlink"/>
            <w:b/>
            <w:bCs/>
            <w:lang w:eastAsia="x-none"/>
          </w:rPr>
          <w:t>R1-2312307</w:t>
        </w:r>
      </w:hyperlink>
      <w:r w:rsidR="00D24A5D" w:rsidRPr="00D24A5D">
        <w:rPr>
          <w:b/>
          <w:bCs/>
          <w:lang w:eastAsia="x-none"/>
        </w:rPr>
        <w:tab/>
        <w:t>Summary#1 on other aspects</w:t>
      </w:r>
      <w:r w:rsidR="00D24A5D" w:rsidRPr="00D24A5D">
        <w:rPr>
          <w:b/>
          <w:bCs/>
          <w:lang w:eastAsia="x-none"/>
        </w:rPr>
        <w:tab/>
        <w:t>Moderator (Fujitsu)</w:t>
      </w:r>
    </w:p>
    <w:p w14:paraId="76EDB1B1" w14:textId="3F351AA3" w:rsidR="00D24A5D" w:rsidRDefault="00D24A5D" w:rsidP="00D24A5D">
      <w:pPr>
        <w:rPr>
          <w:lang w:eastAsia="x-none"/>
        </w:rPr>
      </w:pPr>
      <w:r>
        <w:rPr>
          <w:lang w:eastAsia="x-none"/>
        </w:rPr>
        <w:t>From Tuesday session</w:t>
      </w:r>
    </w:p>
    <w:p w14:paraId="3B91308E" w14:textId="77777777" w:rsidR="00D24A5D" w:rsidRPr="009537ED" w:rsidRDefault="00D24A5D" w:rsidP="00D24A5D">
      <w:pPr>
        <w:rPr>
          <w:rFonts w:ascii="Times New Roman" w:hAnsi="Times New Roman"/>
          <w:szCs w:val="20"/>
          <w:highlight w:val="green"/>
        </w:rPr>
      </w:pPr>
      <w:r w:rsidRPr="009537ED">
        <w:rPr>
          <w:rFonts w:ascii="Times New Roman" w:hAnsi="Times New Roman"/>
          <w:szCs w:val="20"/>
          <w:highlight w:val="green"/>
        </w:rPr>
        <w:t>Agreement</w:t>
      </w:r>
    </w:p>
    <w:p w14:paraId="3E263638" w14:textId="77777777" w:rsidR="00D24A5D" w:rsidRDefault="00D24A5D" w:rsidP="00006779">
      <w:pPr>
        <w:rPr>
          <w:rFonts w:ascii="Times New Roman" w:eastAsia="DengXian" w:hAnsi="Times New Roman"/>
          <w:color w:val="0070C0"/>
          <w:kern w:val="2"/>
          <w:lang w:val="en-US"/>
        </w:rPr>
      </w:pPr>
      <w:r>
        <w:rPr>
          <w:rFonts w:ascii="Times New Roman" w:eastAsia="DengXian" w:hAnsi="Times New Roman" w:hint="eastAsia"/>
          <w:color w:val="0070C0"/>
          <w:kern w:val="2"/>
          <w:lang w:val="en-US"/>
        </w:rPr>
        <w:t>----------------------------</w:t>
      </w:r>
      <w:r>
        <w:rPr>
          <w:rFonts w:ascii="Times New Roman" w:eastAsia="DengXian" w:hAnsi="Times New Roman"/>
          <w:color w:val="0070C0"/>
          <w:kern w:val="2"/>
          <w:lang w:val="en-US"/>
        </w:rPr>
        <w:t>--</w:t>
      </w:r>
      <w:r>
        <w:rPr>
          <w:rFonts w:ascii="Times New Roman" w:eastAsia="DengXian" w:hAnsi="Times New Roman" w:hint="eastAsia"/>
          <w:color w:val="0070C0"/>
          <w:kern w:val="2"/>
          <w:lang w:val="en-US"/>
        </w:rPr>
        <w:t xml:space="preserve">----------Start </w:t>
      </w:r>
      <w:r>
        <w:rPr>
          <w:rFonts w:ascii="Times New Roman" w:eastAsia="DengXian" w:hAnsi="Times New Roman"/>
          <w:color w:val="0070C0"/>
          <w:kern w:val="2"/>
          <w:lang w:val="en-US"/>
        </w:rPr>
        <w:t xml:space="preserve">of TP#1 for TS 38.212 Clause 7.3.1.3.9 </w:t>
      </w:r>
      <w:r>
        <w:rPr>
          <w:rFonts w:ascii="Times New Roman" w:eastAsia="DengXian" w:hAnsi="Times New Roman" w:hint="eastAsia"/>
          <w:color w:val="0070C0"/>
          <w:kern w:val="2"/>
          <w:lang w:val="en-US"/>
        </w:rPr>
        <w:t>-----</w:t>
      </w:r>
      <w:r>
        <w:rPr>
          <w:rFonts w:ascii="Times New Roman" w:eastAsia="DengXian" w:hAnsi="Times New Roman"/>
          <w:color w:val="0070C0"/>
          <w:kern w:val="2"/>
          <w:lang w:val="en-US"/>
        </w:rPr>
        <w:t>-</w:t>
      </w:r>
      <w:r>
        <w:rPr>
          <w:rFonts w:ascii="Times New Roman" w:eastAsia="DengXian" w:hAnsi="Times New Roman" w:hint="eastAsia"/>
          <w:color w:val="0070C0"/>
          <w:kern w:val="2"/>
          <w:lang w:val="en-US"/>
        </w:rPr>
        <w:t>------</w:t>
      </w:r>
      <w:r>
        <w:rPr>
          <w:rFonts w:ascii="Times New Roman" w:eastAsia="DengXian" w:hAnsi="Times New Roman"/>
          <w:color w:val="0070C0"/>
          <w:kern w:val="2"/>
          <w:lang w:val="en-US"/>
        </w:rPr>
        <w:t>-</w:t>
      </w:r>
      <w:r>
        <w:rPr>
          <w:rFonts w:ascii="Times New Roman" w:eastAsia="DengXian" w:hAnsi="Times New Roman" w:hint="eastAsia"/>
          <w:color w:val="0070C0"/>
          <w:kern w:val="2"/>
          <w:lang w:val="en-US"/>
        </w:rPr>
        <w:t>----------------------------</w:t>
      </w:r>
    </w:p>
    <w:p w14:paraId="5AFAD85C" w14:textId="77777777" w:rsidR="00D24A5D" w:rsidRPr="00006779" w:rsidRDefault="00D24A5D" w:rsidP="00006779">
      <w:pPr>
        <w:autoSpaceDE w:val="0"/>
        <w:autoSpaceDN w:val="0"/>
        <w:adjustRightInd w:val="0"/>
        <w:snapToGrid w:val="0"/>
        <w:jc w:val="center"/>
        <w:rPr>
          <w:rFonts w:ascii="Arial" w:eastAsia="SimSun" w:hAnsi="Arial" w:cs="Arial"/>
          <w:color w:val="0070C0"/>
          <w:sz w:val="16"/>
          <w:szCs w:val="16"/>
          <w:lang w:val="en-US"/>
        </w:rPr>
      </w:pPr>
      <w:r w:rsidRPr="00006779">
        <w:rPr>
          <w:rFonts w:ascii="Arial" w:eastAsia="SimSun" w:hAnsi="Arial" w:cs="Arial"/>
          <w:color w:val="0070C0"/>
          <w:sz w:val="16"/>
          <w:szCs w:val="16"/>
          <w:lang w:val="en-US"/>
        </w:rPr>
        <w:t>&lt; Unchanged parts are omitted&gt;</w:t>
      </w:r>
    </w:p>
    <w:p w14:paraId="644B2F57" w14:textId="77777777" w:rsidR="00D24A5D" w:rsidRPr="00006779" w:rsidRDefault="00D24A5D" w:rsidP="00006779">
      <w:pPr>
        <w:autoSpaceDE w:val="0"/>
        <w:autoSpaceDN w:val="0"/>
        <w:adjustRightInd w:val="0"/>
        <w:snapToGrid w:val="0"/>
        <w:rPr>
          <w:rFonts w:ascii="Arial" w:eastAsia="SimSun" w:hAnsi="Arial" w:cs="Arial"/>
          <w:b/>
          <w:bCs/>
          <w:sz w:val="16"/>
          <w:szCs w:val="16"/>
          <w:lang w:val="en-US"/>
        </w:rPr>
      </w:pPr>
      <w:r w:rsidRPr="00006779">
        <w:rPr>
          <w:rFonts w:ascii="Arial" w:eastAsia="SimSun" w:hAnsi="Arial" w:cs="Arial"/>
          <w:b/>
          <w:bCs/>
          <w:sz w:val="16"/>
          <w:szCs w:val="16"/>
          <w:lang w:val="en-US"/>
        </w:rPr>
        <w:lastRenderedPageBreak/>
        <w:t>7.3.1.3.9</w:t>
      </w:r>
      <w:r w:rsidRPr="00006779">
        <w:rPr>
          <w:rFonts w:ascii="Arial" w:eastAsia="SimSun" w:hAnsi="Arial" w:cs="Arial"/>
          <w:b/>
          <w:bCs/>
          <w:sz w:val="16"/>
          <w:szCs w:val="16"/>
          <w:lang w:val="en-US"/>
        </w:rPr>
        <w:tab/>
        <w:t>Format 2_8</w:t>
      </w:r>
    </w:p>
    <w:p w14:paraId="3364085A" w14:textId="77777777" w:rsidR="00D24A5D" w:rsidRPr="00006779" w:rsidRDefault="00D24A5D" w:rsidP="00006779">
      <w:pPr>
        <w:autoSpaceDE w:val="0"/>
        <w:autoSpaceDN w:val="0"/>
        <w:adjustRightInd w:val="0"/>
        <w:snapToGrid w:val="0"/>
        <w:rPr>
          <w:rFonts w:ascii="Arial" w:eastAsia="SimSun" w:hAnsi="Arial" w:cs="Arial"/>
          <w:sz w:val="16"/>
          <w:szCs w:val="16"/>
          <w:lang w:val="en-US"/>
        </w:rPr>
      </w:pPr>
      <w:r w:rsidRPr="00006779">
        <w:rPr>
          <w:rFonts w:ascii="Arial" w:eastAsia="SimSun" w:hAnsi="Arial" w:cs="Arial"/>
          <w:sz w:val="16"/>
          <w:szCs w:val="16"/>
          <w:lang w:val="en-US"/>
        </w:rPr>
        <w:t xml:space="preserve">DCI format 2_8 is used for notifying the aperiodic beam indication and associated time resources </w:t>
      </w:r>
    </w:p>
    <w:p w14:paraId="1FA1462E" w14:textId="77777777" w:rsidR="00D24A5D" w:rsidRPr="00006779" w:rsidRDefault="00D24A5D" w:rsidP="00006779">
      <w:pPr>
        <w:autoSpaceDE w:val="0"/>
        <w:autoSpaceDN w:val="0"/>
        <w:adjustRightInd w:val="0"/>
        <w:snapToGrid w:val="0"/>
        <w:rPr>
          <w:rFonts w:ascii="Arial" w:eastAsia="SimSun" w:hAnsi="Arial" w:cs="Arial"/>
          <w:sz w:val="16"/>
          <w:szCs w:val="16"/>
          <w:lang w:val="en-US"/>
        </w:rPr>
      </w:pPr>
      <w:r w:rsidRPr="00006779">
        <w:rPr>
          <w:rFonts w:ascii="Arial" w:eastAsia="SimSun" w:hAnsi="Arial" w:cs="Arial"/>
          <w:sz w:val="16"/>
          <w:szCs w:val="16"/>
          <w:lang w:val="en-US"/>
        </w:rPr>
        <w:t>The following information is transmitted by means of the DCI format 2_8 with CRC scrambled by NCR-RNTI:</w:t>
      </w:r>
    </w:p>
    <w:p w14:paraId="090E1241" w14:textId="77777777" w:rsidR="00D24A5D" w:rsidRPr="00006779" w:rsidRDefault="00D24A5D" w:rsidP="00006779">
      <w:pPr>
        <w:ind w:left="568" w:hanging="284"/>
        <w:rPr>
          <w:rFonts w:ascii="Arial" w:eastAsia="SimSun" w:hAnsi="Arial" w:cs="Arial"/>
          <w:sz w:val="16"/>
          <w:szCs w:val="16"/>
          <w:lang w:eastAsia="ko-KR"/>
        </w:rPr>
      </w:pPr>
      <w:r w:rsidRPr="00006779">
        <w:rPr>
          <w:rFonts w:ascii="Arial" w:eastAsia="SimSun" w:hAnsi="Arial" w:cs="Arial"/>
          <w:sz w:val="16"/>
          <w:szCs w:val="16"/>
          <w:lang w:eastAsia="ko-KR"/>
        </w:rPr>
        <w:t>-</w:t>
      </w:r>
      <w:r w:rsidRPr="00006779">
        <w:rPr>
          <w:rFonts w:ascii="Arial" w:eastAsia="SimSun" w:hAnsi="Arial" w:cs="Arial"/>
          <w:sz w:val="16"/>
          <w:szCs w:val="16"/>
          <w:lang w:eastAsia="ko-KR"/>
        </w:rPr>
        <w:tab/>
      </w:r>
      <w:r w:rsidRPr="00006779">
        <w:rPr>
          <w:rFonts w:ascii="Arial" w:eastAsia="SimSun" w:hAnsi="Arial" w:cs="Arial"/>
          <w:sz w:val="16"/>
          <w:szCs w:val="16"/>
        </w:rPr>
        <w:t>Beam index</w:t>
      </w:r>
      <w:r w:rsidRPr="00006779">
        <w:rPr>
          <w:rFonts w:ascii="Arial" w:eastAsia="SimSun" w:hAnsi="Arial" w:cs="Arial"/>
          <w:sz w:val="16"/>
          <w:szCs w:val="16"/>
          <w:lang w:eastAsia="ko-KR"/>
        </w:rPr>
        <w:t xml:space="preserve"> 1,</w:t>
      </w:r>
      <w:r w:rsidRPr="00006779">
        <w:rPr>
          <w:rFonts w:ascii="Arial" w:eastAsia="SimSun" w:hAnsi="Arial" w:cs="Arial"/>
          <w:sz w:val="16"/>
          <w:szCs w:val="16"/>
        </w:rPr>
        <w:t xml:space="preserve"> Beam index</w:t>
      </w:r>
      <w:r w:rsidRPr="00006779">
        <w:rPr>
          <w:rFonts w:ascii="Arial" w:eastAsia="SimSun" w:hAnsi="Arial" w:cs="Arial"/>
          <w:sz w:val="16"/>
          <w:szCs w:val="16"/>
          <w:lang w:eastAsia="ko-KR"/>
        </w:rPr>
        <w:t xml:space="preserve"> 2, …, </w:t>
      </w:r>
      <w:r w:rsidRPr="00006779">
        <w:rPr>
          <w:rFonts w:ascii="Arial" w:eastAsia="SimSun" w:hAnsi="Arial" w:cs="Arial"/>
          <w:sz w:val="16"/>
          <w:szCs w:val="16"/>
        </w:rPr>
        <w:t>Beam index</w:t>
      </w:r>
      <w:r w:rsidRPr="00006779">
        <w:rPr>
          <w:rFonts w:ascii="Arial" w:eastAsia="SimSun" w:hAnsi="Arial" w:cs="Arial"/>
          <w:sz w:val="16"/>
          <w:szCs w:val="16"/>
          <w:lang w:eastAsia="ko-KR"/>
        </w:rPr>
        <w:t xml:space="preserve"> N</w:t>
      </w:r>
    </w:p>
    <w:p w14:paraId="7BDEFC49" w14:textId="77777777" w:rsidR="00D24A5D" w:rsidRPr="00006779" w:rsidRDefault="00D24A5D" w:rsidP="00006779">
      <w:pPr>
        <w:ind w:left="568" w:hanging="284"/>
        <w:rPr>
          <w:rFonts w:ascii="Arial" w:eastAsia="Malgun Gothic" w:hAnsi="Arial" w:cs="Arial"/>
          <w:sz w:val="16"/>
          <w:szCs w:val="16"/>
          <w:lang w:eastAsia="ko-KR"/>
        </w:rPr>
      </w:pPr>
      <w:r w:rsidRPr="00006779">
        <w:rPr>
          <w:rFonts w:ascii="Arial" w:eastAsia="Malgun Gothic" w:hAnsi="Arial" w:cs="Arial"/>
          <w:sz w:val="16"/>
          <w:szCs w:val="16"/>
          <w:lang w:eastAsia="ko-KR"/>
        </w:rPr>
        <w:tab/>
      </w:r>
      <w:r w:rsidRPr="00006779">
        <w:rPr>
          <w:rFonts w:ascii="Arial" w:hAnsi="Arial" w:cs="Arial"/>
          <w:iCs/>
          <w:sz w:val="16"/>
          <w:szCs w:val="16"/>
        </w:rPr>
        <w:t xml:space="preserve">The bitwidth of each beam index field is determined by the higher layer parameter </w:t>
      </w:r>
      <w:r w:rsidRPr="00006779">
        <w:rPr>
          <w:rFonts w:ascii="Arial" w:hAnsi="Arial" w:cs="Arial"/>
          <w:i/>
          <w:iCs/>
          <w:strike/>
          <w:color w:val="FF0000"/>
          <w:sz w:val="16"/>
          <w:szCs w:val="16"/>
        </w:rPr>
        <w:t>ncr-AperiodicBeamFieldWidth</w:t>
      </w:r>
      <w:r w:rsidRPr="00006779">
        <w:rPr>
          <w:rFonts w:ascii="Arial" w:eastAsia="SimSun" w:hAnsi="Arial" w:cs="Arial"/>
          <w:sz w:val="16"/>
          <w:szCs w:val="16"/>
        </w:rPr>
        <w:t xml:space="preserve"> </w:t>
      </w:r>
      <w:r w:rsidRPr="00006779">
        <w:rPr>
          <w:rFonts w:ascii="Arial" w:hAnsi="Arial" w:cs="Arial"/>
          <w:i/>
          <w:iCs/>
          <w:color w:val="FF0000"/>
          <w:sz w:val="16"/>
          <w:szCs w:val="16"/>
        </w:rPr>
        <w:t>aperiodicBeamFieldWidth</w:t>
      </w:r>
      <w:r w:rsidRPr="00006779">
        <w:rPr>
          <w:rFonts w:ascii="Arial" w:hAnsi="Arial" w:cs="Arial"/>
          <w:iCs/>
          <w:sz w:val="16"/>
          <w:szCs w:val="16"/>
        </w:rPr>
        <w:t>.</w:t>
      </w:r>
    </w:p>
    <w:p w14:paraId="348170F6" w14:textId="77777777" w:rsidR="00D24A5D" w:rsidRPr="00006779" w:rsidRDefault="00D24A5D" w:rsidP="00006779">
      <w:pPr>
        <w:ind w:left="568" w:hanging="284"/>
        <w:rPr>
          <w:rFonts w:ascii="Arial" w:eastAsia="SimSun" w:hAnsi="Arial" w:cs="Arial"/>
          <w:sz w:val="16"/>
          <w:szCs w:val="16"/>
          <w:lang w:eastAsia="ko-KR"/>
        </w:rPr>
      </w:pPr>
      <w:r w:rsidRPr="00006779">
        <w:rPr>
          <w:rFonts w:ascii="Arial" w:eastAsia="SimSun" w:hAnsi="Arial" w:cs="Arial"/>
          <w:sz w:val="16"/>
          <w:szCs w:val="16"/>
          <w:lang w:eastAsia="ko-KR"/>
        </w:rPr>
        <w:t>-</w:t>
      </w:r>
      <w:r w:rsidRPr="00006779">
        <w:rPr>
          <w:rFonts w:ascii="Arial" w:eastAsia="SimSun" w:hAnsi="Arial" w:cs="Arial"/>
          <w:sz w:val="16"/>
          <w:szCs w:val="16"/>
          <w:lang w:eastAsia="ko-KR"/>
        </w:rPr>
        <w:tab/>
        <w:t>Time resource indication 1</w:t>
      </w:r>
      <w:r w:rsidRPr="00006779">
        <w:rPr>
          <w:rFonts w:ascii="Arial" w:eastAsia="SimSun" w:hAnsi="Arial" w:cs="Arial"/>
          <w:sz w:val="16"/>
          <w:szCs w:val="16"/>
        </w:rPr>
        <w:t xml:space="preserve">, </w:t>
      </w:r>
      <w:r w:rsidRPr="00006779">
        <w:rPr>
          <w:rFonts w:ascii="Arial" w:eastAsia="SimSun" w:hAnsi="Arial" w:cs="Arial"/>
          <w:sz w:val="16"/>
          <w:szCs w:val="16"/>
          <w:lang w:eastAsia="ko-KR"/>
        </w:rPr>
        <w:t>Time resource indication 2, …, Time resource indication N</w:t>
      </w:r>
    </w:p>
    <w:p w14:paraId="64D74B55" w14:textId="60D7BA8A" w:rsidR="00D24A5D" w:rsidRPr="00006779" w:rsidRDefault="00D24A5D" w:rsidP="00006779">
      <w:pPr>
        <w:ind w:left="568" w:hanging="284"/>
        <w:rPr>
          <w:rFonts w:ascii="Arial" w:eastAsia="SimSun" w:hAnsi="Arial" w:cs="Arial"/>
          <w:sz w:val="16"/>
          <w:szCs w:val="16"/>
        </w:rPr>
      </w:pPr>
      <w:r w:rsidRPr="00006779">
        <w:rPr>
          <w:rFonts w:ascii="Arial" w:eastAsia="Malgun Gothic" w:hAnsi="Arial" w:cs="Arial"/>
          <w:sz w:val="16"/>
          <w:szCs w:val="16"/>
          <w:lang w:eastAsia="ko-KR"/>
        </w:rPr>
        <w:tab/>
      </w:r>
      <w:r w:rsidRPr="00006779">
        <w:rPr>
          <w:rFonts w:ascii="Arial" w:hAnsi="Arial" w:cs="Arial"/>
          <w:iCs/>
          <w:sz w:val="16"/>
          <w:szCs w:val="16"/>
        </w:rPr>
        <w:t>The bitwidth of each t</w:t>
      </w:r>
      <w:r w:rsidRPr="00006779">
        <w:rPr>
          <w:rFonts w:ascii="Arial" w:eastAsia="SimSun" w:hAnsi="Arial" w:cs="Arial"/>
          <w:sz w:val="16"/>
          <w:szCs w:val="16"/>
          <w:lang w:eastAsia="ko-KR"/>
        </w:rPr>
        <w:t xml:space="preserve">ime resource indication </w:t>
      </w:r>
      <w:r w:rsidRPr="00006779">
        <w:rPr>
          <w:rFonts w:ascii="Arial" w:hAnsi="Arial" w:cs="Arial"/>
          <w:iCs/>
          <w:sz w:val="16"/>
          <w:szCs w:val="16"/>
        </w:rPr>
        <w:t>field is determined by max</w:t>
      </w:r>
      <m:oMath>
        <m:r>
          <m:rPr>
            <m:sty m:val="p"/>
          </m:rPr>
          <w:rPr>
            <w:rFonts w:ascii="Cambria Math" w:hAnsi="Cambria Math" w:cs="Arial"/>
            <w:sz w:val="16"/>
            <w:szCs w:val="16"/>
          </w:rPr>
          <m:t xml:space="preserve"> </m:t>
        </m:r>
        <m:d>
          <m:dPr>
            <m:begChr m:val="{"/>
            <m:endChr m:val="}"/>
            <m:ctrlPr>
              <w:rPr>
                <w:rFonts w:ascii="Cambria Math" w:hAnsi="Cambria Math" w:cs="Arial"/>
                <w:iCs/>
                <w:sz w:val="16"/>
                <w:szCs w:val="16"/>
              </w:rPr>
            </m:ctrlPr>
          </m:dPr>
          <m:e>
            <m:d>
              <m:dPr>
                <m:begChr m:val="⌈"/>
                <m:endChr m:val="⌉"/>
                <m:ctrlPr>
                  <w:rPr>
                    <w:rFonts w:ascii="Cambria Math" w:hAnsi="Cambria Math" w:cs="Arial"/>
                    <w:i/>
                    <w:iCs/>
                    <w:sz w:val="16"/>
                    <w:szCs w:val="16"/>
                  </w:rPr>
                </m:ctrlPr>
              </m:dPr>
              <m:e>
                <m:func>
                  <m:funcPr>
                    <m:ctrlPr>
                      <w:rPr>
                        <w:rFonts w:ascii="Cambria Math" w:hAnsi="Cambria Math" w:cs="Arial"/>
                        <w:i/>
                        <w:iCs/>
                        <w:sz w:val="16"/>
                        <w:szCs w:val="16"/>
                      </w:rPr>
                    </m:ctrlPr>
                  </m:funcPr>
                  <m:fName>
                    <m:sSub>
                      <m:sSubPr>
                        <m:ctrlPr>
                          <w:rPr>
                            <w:rFonts w:ascii="Cambria Math" w:hAnsi="Cambria Math" w:cs="Arial"/>
                            <w:i/>
                            <w:iCs/>
                            <w:sz w:val="16"/>
                            <w:szCs w:val="16"/>
                          </w:rPr>
                        </m:ctrlPr>
                      </m:sSubPr>
                      <m:e>
                        <m:r>
                          <m:rPr>
                            <m:sty m:val="p"/>
                          </m:rPr>
                          <w:rPr>
                            <w:rFonts w:ascii="Cambria Math" w:hAnsi="Cambria Math" w:cs="Arial"/>
                            <w:sz w:val="16"/>
                            <w:szCs w:val="16"/>
                          </w:rPr>
                          <m:t>log</m:t>
                        </m:r>
                      </m:e>
                      <m:sub>
                        <m:r>
                          <w:rPr>
                            <w:rFonts w:ascii="Cambria Math" w:hAnsi="Cambria Math" w:cs="Arial"/>
                            <w:sz w:val="16"/>
                            <w:szCs w:val="16"/>
                          </w:rPr>
                          <m:t>2</m:t>
                        </m:r>
                      </m:sub>
                    </m:sSub>
                  </m:fName>
                  <m:e>
                    <m:d>
                      <m:dPr>
                        <m:ctrlPr>
                          <w:rPr>
                            <w:rFonts w:ascii="Cambria Math" w:hAnsi="Cambria Math" w:cs="Arial"/>
                            <w:i/>
                            <w:iCs/>
                            <w:sz w:val="16"/>
                            <w:szCs w:val="16"/>
                          </w:rPr>
                        </m:ctrlPr>
                      </m:dPr>
                      <m:e>
                        <m:r>
                          <w:rPr>
                            <w:rFonts w:ascii="Cambria Math" w:eastAsia="SimSun" w:hAnsi="Cambria Math" w:cs="Arial"/>
                            <w:sz w:val="16"/>
                            <w:szCs w:val="16"/>
                          </w:rPr>
                          <m:t>I</m:t>
                        </m:r>
                      </m:e>
                    </m:d>
                  </m:e>
                </m:func>
              </m:e>
            </m:d>
            <m:r>
              <w:rPr>
                <w:rFonts w:ascii="Cambria Math" w:eastAsia="SimSun" w:hAnsi="Cambria Math" w:cs="Arial"/>
                <w:sz w:val="16"/>
                <w:szCs w:val="16"/>
              </w:rPr>
              <m:t>,1</m:t>
            </m:r>
          </m:e>
        </m:d>
      </m:oMath>
      <w:r w:rsidRPr="00006779">
        <w:rPr>
          <w:rFonts w:ascii="Arial" w:hAnsi="Arial" w:cs="Arial"/>
          <w:iCs/>
          <w:sz w:val="16"/>
          <w:szCs w:val="16"/>
        </w:rPr>
        <w:t xml:space="preserve">, where </w:t>
      </w:r>
      <m:oMath>
        <m:r>
          <w:rPr>
            <w:rFonts w:ascii="Cambria Math" w:eastAsia="SimSun" w:hAnsi="Cambria Math" w:cs="Arial"/>
            <w:sz w:val="16"/>
            <w:szCs w:val="16"/>
          </w:rPr>
          <m:t>I</m:t>
        </m:r>
      </m:oMath>
      <w:r w:rsidRPr="00006779">
        <w:rPr>
          <w:rFonts w:ascii="Arial" w:hAnsi="Arial" w:cs="Arial"/>
          <w:iCs/>
          <w:sz w:val="16"/>
          <w:szCs w:val="16"/>
        </w:rPr>
        <w:t xml:space="preserve"> is the number of time domain resources configured by </w:t>
      </w:r>
      <w:r w:rsidRPr="00006779">
        <w:rPr>
          <w:rFonts w:ascii="Arial" w:eastAsia="SimSun" w:hAnsi="Arial" w:cs="Arial"/>
          <w:i/>
          <w:strike/>
          <w:color w:val="FF0000"/>
          <w:kern w:val="2"/>
          <w:sz w:val="16"/>
          <w:szCs w:val="16"/>
        </w:rPr>
        <w:t>ncr-AperiodicFwdConfig</w:t>
      </w:r>
      <w:r w:rsidRPr="00006779">
        <w:rPr>
          <w:rFonts w:ascii="Arial" w:eastAsia="SimSun" w:hAnsi="Arial" w:cs="Arial"/>
          <w:sz w:val="16"/>
          <w:szCs w:val="16"/>
        </w:rPr>
        <w:t xml:space="preserve"> </w:t>
      </w:r>
      <w:r w:rsidRPr="00006779">
        <w:rPr>
          <w:rFonts w:ascii="Arial" w:eastAsia="SimSun" w:hAnsi="Arial" w:cs="Arial"/>
          <w:i/>
          <w:color w:val="FF0000"/>
          <w:kern w:val="2"/>
          <w:sz w:val="16"/>
          <w:szCs w:val="16"/>
        </w:rPr>
        <w:t>aperiodicFwdConfig</w:t>
      </w:r>
      <w:r w:rsidRPr="00006779">
        <w:rPr>
          <w:rFonts w:ascii="Arial" w:eastAsia="SimSun" w:hAnsi="Arial" w:cs="Arial"/>
          <w:kern w:val="2"/>
          <w:sz w:val="16"/>
          <w:szCs w:val="16"/>
        </w:rPr>
        <w:t xml:space="preserve">. </w:t>
      </w:r>
      <w:r w:rsidRPr="00006779">
        <w:rPr>
          <w:rFonts w:ascii="Arial" w:hAnsi="Arial" w:cs="Arial"/>
          <w:iCs/>
          <w:sz w:val="16"/>
          <w:szCs w:val="16"/>
        </w:rPr>
        <w:t xml:space="preserve">The bit field indexes of a time resource indication field are mapped to the time domain resources configured by </w:t>
      </w:r>
      <w:r w:rsidRPr="00006779">
        <w:rPr>
          <w:rFonts w:ascii="Arial" w:eastAsia="SimSun" w:hAnsi="Arial" w:cs="Arial"/>
          <w:i/>
          <w:strike/>
          <w:color w:val="FF0000"/>
          <w:kern w:val="2"/>
          <w:sz w:val="16"/>
          <w:szCs w:val="16"/>
        </w:rPr>
        <w:t>ncr-AperiodicFwdConfig</w:t>
      </w:r>
      <w:r w:rsidRPr="00006779">
        <w:rPr>
          <w:rFonts w:ascii="Arial" w:eastAsia="SimSun" w:hAnsi="Arial" w:cs="Arial"/>
          <w:sz w:val="16"/>
          <w:szCs w:val="16"/>
        </w:rPr>
        <w:t xml:space="preserve"> </w:t>
      </w:r>
      <w:r w:rsidRPr="00006779">
        <w:rPr>
          <w:rFonts w:ascii="Arial" w:eastAsia="SimSun" w:hAnsi="Arial" w:cs="Arial"/>
          <w:i/>
          <w:color w:val="FF0000"/>
          <w:kern w:val="2"/>
          <w:sz w:val="16"/>
          <w:szCs w:val="16"/>
        </w:rPr>
        <w:t>aperiodicFwdConfig</w:t>
      </w:r>
      <w:r w:rsidRPr="00006779">
        <w:rPr>
          <w:rFonts w:ascii="Arial" w:hAnsi="Arial" w:cs="Arial"/>
          <w:iCs/>
          <w:color w:val="FF0000"/>
          <w:sz w:val="16"/>
          <w:szCs w:val="16"/>
        </w:rPr>
        <w:t xml:space="preserve"> </w:t>
      </w:r>
      <w:r w:rsidRPr="00006779">
        <w:rPr>
          <w:rFonts w:ascii="Arial" w:hAnsi="Arial" w:cs="Arial"/>
          <w:iCs/>
          <w:sz w:val="16"/>
          <w:szCs w:val="16"/>
        </w:rPr>
        <w:t xml:space="preserve">according to </w:t>
      </w:r>
      <w:r w:rsidRPr="00006779">
        <w:rPr>
          <w:rFonts w:ascii="Arial" w:eastAsia="SimSun" w:hAnsi="Arial" w:cs="Arial"/>
          <w:sz w:val="16"/>
          <w:szCs w:val="16"/>
        </w:rPr>
        <w:t xml:space="preserve">an ascending order of a resource identity configured by </w:t>
      </w:r>
      <w:r w:rsidRPr="00006779">
        <w:rPr>
          <w:rFonts w:ascii="Arial" w:hAnsi="Arial" w:cs="Arial"/>
          <w:i/>
          <w:iCs/>
          <w:strike/>
          <w:color w:val="FF0000"/>
          <w:sz w:val="16"/>
          <w:szCs w:val="16"/>
        </w:rPr>
        <w:t>ncr-AperiodicFwdTimeResourceId</w:t>
      </w:r>
      <w:r w:rsidRPr="00006779">
        <w:rPr>
          <w:rFonts w:ascii="Arial" w:eastAsia="SimSun" w:hAnsi="Arial" w:cs="Arial"/>
          <w:sz w:val="16"/>
          <w:szCs w:val="16"/>
        </w:rPr>
        <w:t xml:space="preserve"> </w:t>
      </w:r>
      <w:r w:rsidRPr="00006779">
        <w:rPr>
          <w:rFonts w:ascii="Arial" w:hAnsi="Arial" w:cs="Arial"/>
          <w:i/>
          <w:iCs/>
          <w:color w:val="FF0000"/>
          <w:sz w:val="16"/>
          <w:szCs w:val="16"/>
        </w:rPr>
        <w:t>aperiodicFwdTimeRsrcId</w:t>
      </w:r>
      <w:r w:rsidRPr="00006779">
        <w:rPr>
          <w:rFonts w:ascii="Arial" w:eastAsia="SimSun" w:hAnsi="Arial" w:cs="Arial"/>
          <w:sz w:val="16"/>
          <w:szCs w:val="16"/>
        </w:rPr>
        <w:t>, with the bit field index 0 mapped to the time resource with the smallest resource identity.</w:t>
      </w:r>
    </w:p>
    <w:p w14:paraId="3271DE09" w14:textId="77777777" w:rsidR="00D24A5D" w:rsidRPr="00006779" w:rsidRDefault="00D24A5D" w:rsidP="00006779">
      <w:pPr>
        <w:autoSpaceDE w:val="0"/>
        <w:autoSpaceDN w:val="0"/>
        <w:adjustRightInd w:val="0"/>
        <w:snapToGrid w:val="0"/>
        <w:rPr>
          <w:rFonts w:ascii="Arial" w:eastAsia="Malgun Gothic" w:hAnsi="Arial" w:cs="Arial"/>
          <w:sz w:val="16"/>
          <w:szCs w:val="16"/>
          <w:lang w:val="en-US"/>
        </w:rPr>
      </w:pPr>
      <w:r w:rsidRPr="00006779">
        <w:rPr>
          <w:rFonts w:ascii="Arial" w:eastAsia="SimSun" w:hAnsi="Arial" w:cs="Arial"/>
          <w:sz w:val="16"/>
          <w:szCs w:val="16"/>
          <w:lang w:val="en-US"/>
        </w:rPr>
        <w:t>T</w:t>
      </w:r>
      <w:r w:rsidRPr="00006779">
        <w:rPr>
          <w:rFonts w:ascii="Arial" w:eastAsia="SimSun" w:hAnsi="Arial" w:cs="Arial"/>
          <w:sz w:val="16"/>
          <w:szCs w:val="16"/>
          <w:lang w:val="en-US" w:eastAsia="ko-KR"/>
        </w:rPr>
        <w:t xml:space="preserve">he N beam </w:t>
      </w:r>
      <w:r w:rsidRPr="00006779">
        <w:rPr>
          <w:rFonts w:ascii="Arial" w:hAnsi="Arial" w:cs="Arial"/>
          <w:iCs/>
          <w:sz w:val="16"/>
          <w:szCs w:val="16"/>
          <w:lang w:val="en-US"/>
        </w:rPr>
        <w:t>indexes</w:t>
      </w:r>
      <w:r w:rsidRPr="00006779">
        <w:rPr>
          <w:rFonts w:ascii="Arial" w:eastAsia="SimSun" w:hAnsi="Arial" w:cs="Arial"/>
          <w:sz w:val="16"/>
          <w:szCs w:val="16"/>
          <w:lang w:val="en-US" w:eastAsia="ko-KR"/>
        </w:rPr>
        <w:t xml:space="preserve"> are sequentially associated with the N time resource indications with one to one mapping. </w:t>
      </w:r>
      <w:r w:rsidRPr="00006779">
        <w:rPr>
          <w:rFonts w:ascii="Arial" w:eastAsia="SimSun" w:hAnsi="Arial" w:cs="Arial"/>
          <w:sz w:val="16"/>
          <w:szCs w:val="16"/>
          <w:lang w:val="en-US"/>
        </w:rPr>
        <w:t xml:space="preserve"> N is configured by</w:t>
      </w:r>
      <w:r w:rsidRPr="00006779">
        <w:rPr>
          <w:rFonts w:ascii="Arial" w:hAnsi="Arial" w:cs="Arial"/>
          <w:iCs/>
          <w:sz w:val="16"/>
          <w:szCs w:val="16"/>
          <w:lang w:val="en-US"/>
        </w:rPr>
        <w:t xml:space="preserve"> the higher layer parameter </w:t>
      </w:r>
      <w:r w:rsidRPr="00006779">
        <w:rPr>
          <w:rFonts w:ascii="Arial" w:hAnsi="Arial" w:cs="Arial"/>
          <w:i/>
          <w:iCs/>
          <w:sz w:val="16"/>
          <w:szCs w:val="16"/>
          <w:lang w:val="en-US"/>
        </w:rPr>
        <w:t>numberOfFields</w:t>
      </w:r>
      <w:r w:rsidRPr="00006779">
        <w:rPr>
          <w:rFonts w:ascii="Arial" w:eastAsia="SimSun" w:hAnsi="Arial" w:cs="Arial"/>
          <w:sz w:val="16"/>
          <w:szCs w:val="16"/>
          <w:lang w:val="en-US"/>
        </w:rPr>
        <w:t>. The size of DCI format 2_8 is up to 128 bits.</w:t>
      </w:r>
    </w:p>
    <w:p w14:paraId="555FD729" w14:textId="77777777" w:rsidR="00D24A5D" w:rsidRPr="00006779" w:rsidRDefault="00D24A5D" w:rsidP="00006779">
      <w:pPr>
        <w:jc w:val="center"/>
        <w:rPr>
          <w:rFonts w:ascii="Arial" w:hAnsi="Arial" w:cs="Arial"/>
          <w:b/>
          <w:bCs/>
          <w:color w:val="0070C0"/>
          <w:sz w:val="16"/>
          <w:szCs w:val="16"/>
        </w:rPr>
      </w:pPr>
      <w:r w:rsidRPr="00006779">
        <w:rPr>
          <w:rFonts w:ascii="Arial" w:eastAsia="SimSun" w:hAnsi="Arial" w:cs="Arial"/>
          <w:color w:val="0070C0"/>
          <w:sz w:val="16"/>
          <w:szCs w:val="16"/>
          <w:lang w:val="en-US"/>
        </w:rPr>
        <w:t>&lt; Unchanged parts are omitted&gt;</w:t>
      </w:r>
    </w:p>
    <w:p w14:paraId="50D14EEA" w14:textId="58CE1C34" w:rsidR="00D24A5D" w:rsidRPr="009537ED" w:rsidRDefault="00D24A5D" w:rsidP="00D24A5D">
      <w:pPr>
        <w:rPr>
          <w:lang w:eastAsia="x-none"/>
        </w:rPr>
      </w:pPr>
      <w:r>
        <w:rPr>
          <w:rFonts w:ascii="Times New Roman" w:eastAsia="DengXian" w:hAnsi="Times New Roman" w:hint="eastAsia"/>
          <w:color w:val="0070C0"/>
          <w:kern w:val="2"/>
          <w:lang w:val="en-US"/>
        </w:rPr>
        <w:t>--------------------------------</w:t>
      </w:r>
      <w:r>
        <w:rPr>
          <w:rFonts w:ascii="Times New Roman" w:eastAsia="SimSun" w:hAnsi="Times New Roman" w:hint="eastAsia"/>
          <w:color w:val="0070C0"/>
          <w:kern w:val="2"/>
          <w:lang w:val="en-US"/>
        </w:rPr>
        <w:t>----</w:t>
      </w:r>
      <w:r>
        <w:rPr>
          <w:rFonts w:ascii="Times New Roman" w:eastAsia="SimSun" w:hAnsi="Times New Roman"/>
          <w:color w:val="0070C0"/>
          <w:kern w:val="2"/>
          <w:lang w:val="en-US"/>
        </w:rPr>
        <w:t>-</w:t>
      </w:r>
      <w:r>
        <w:rPr>
          <w:rFonts w:ascii="Times New Roman" w:eastAsia="SimSun" w:hAnsi="Times New Roman" w:hint="eastAsia"/>
          <w:color w:val="0070C0"/>
          <w:kern w:val="2"/>
          <w:lang w:val="en-US"/>
        </w:rPr>
        <w:t>--</w:t>
      </w:r>
      <w:r>
        <w:rPr>
          <w:rFonts w:ascii="Times New Roman" w:eastAsia="SimSun" w:hAnsi="Times New Roman"/>
          <w:color w:val="0070C0"/>
          <w:kern w:val="2"/>
          <w:lang w:val="en-US"/>
        </w:rPr>
        <w:t>-</w:t>
      </w:r>
      <w:r>
        <w:rPr>
          <w:rFonts w:ascii="Times New Roman" w:eastAsia="DengXian" w:hAnsi="Times New Roman" w:hint="eastAsia"/>
          <w:color w:val="0070C0"/>
          <w:kern w:val="2"/>
          <w:lang w:val="en-US"/>
        </w:rPr>
        <w:t>--</w:t>
      </w:r>
      <w:r>
        <w:rPr>
          <w:rFonts w:ascii="Times New Roman" w:eastAsia="DengXian" w:hAnsi="Times New Roman"/>
          <w:color w:val="0070C0"/>
          <w:kern w:val="2"/>
          <w:lang w:val="en-US"/>
        </w:rPr>
        <w:t>----</w:t>
      </w:r>
      <w:r>
        <w:rPr>
          <w:rFonts w:ascii="Times New Roman" w:eastAsia="DengXian" w:hAnsi="Times New Roman" w:hint="eastAsia"/>
          <w:color w:val="0070C0"/>
          <w:kern w:val="2"/>
          <w:lang w:val="en-US"/>
        </w:rPr>
        <w:t>-</w:t>
      </w:r>
      <w:r>
        <w:rPr>
          <w:rFonts w:ascii="Times New Roman" w:eastAsia="DengXian" w:hAnsi="Times New Roman"/>
          <w:color w:val="0070C0"/>
          <w:kern w:val="2"/>
          <w:lang w:val="en-US"/>
        </w:rPr>
        <w:t>-</w:t>
      </w:r>
      <w:r>
        <w:rPr>
          <w:rFonts w:ascii="Times New Roman" w:eastAsia="DengXian" w:hAnsi="Times New Roman" w:hint="eastAsia"/>
          <w:color w:val="0070C0"/>
          <w:kern w:val="2"/>
          <w:lang w:val="en-US"/>
        </w:rPr>
        <w:t>--------------</w:t>
      </w:r>
      <w:r>
        <w:rPr>
          <w:rFonts w:ascii="Times New Roman" w:eastAsia="DengXian" w:hAnsi="Times New Roman"/>
          <w:color w:val="0070C0"/>
          <w:kern w:val="2"/>
          <w:lang w:val="en-US"/>
        </w:rPr>
        <w:t>End of</w:t>
      </w:r>
      <w:r>
        <w:rPr>
          <w:rFonts w:ascii="Times New Roman" w:eastAsia="DengXian" w:hAnsi="Times New Roman" w:hint="eastAsia"/>
          <w:color w:val="0070C0"/>
          <w:kern w:val="2"/>
          <w:lang w:val="en-US"/>
        </w:rPr>
        <w:t xml:space="preserve"> </w:t>
      </w:r>
      <w:r>
        <w:rPr>
          <w:rFonts w:ascii="Times New Roman" w:eastAsia="DengXian" w:hAnsi="Times New Roman"/>
          <w:color w:val="0070C0"/>
          <w:kern w:val="2"/>
          <w:lang w:val="en-US"/>
        </w:rPr>
        <w:t>TP#1</w:t>
      </w:r>
      <w:r>
        <w:rPr>
          <w:rFonts w:ascii="Times New Roman" w:eastAsia="DengXian" w:hAnsi="Times New Roman" w:hint="eastAsia"/>
          <w:color w:val="0070C0"/>
          <w:kern w:val="2"/>
          <w:lang w:val="en-US"/>
        </w:rPr>
        <w:t>-----------</w:t>
      </w:r>
      <w:r>
        <w:rPr>
          <w:rFonts w:ascii="Times New Roman" w:eastAsia="DengXian" w:hAnsi="Times New Roman"/>
          <w:color w:val="0070C0"/>
          <w:kern w:val="2"/>
          <w:lang w:val="en-US"/>
        </w:rPr>
        <w:t>--</w:t>
      </w:r>
      <w:r>
        <w:rPr>
          <w:rFonts w:ascii="Times New Roman" w:eastAsia="DengXian" w:hAnsi="Times New Roman" w:hint="eastAsia"/>
          <w:color w:val="0070C0"/>
          <w:kern w:val="2"/>
          <w:lang w:val="en-US"/>
        </w:rPr>
        <w:t>------</w:t>
      </w:r>
      <w:r>
        <w:rPr>
          <w:rFonts w:ascii="Times New Roman" w:eastAsia="DengXian" w:hAnsi="Times New Roman"/>
          <w:color w:val="0070C0"/>
          <w:kern w:val="2"/>
          <w:lang w:val="en-US"/>
        </w:rPr>
        <w:t>-</w:t>
      </w:r>
      <w:r>
        <w:rPr>
          <w:rFonts w:ascii="Times New Roman" w:eastAsia="DengXian" w:hAnsi="Times New Roman" w:hint="eastAsia"/>
          <w:color w:val="0070C0"/>
          <w:kern w:val="2"/>
          <w:lang w:val="en-US"/>
        </w:rPr>
        <w:t>----</w:t>
      </w:r>
      <w:r>
        <w:rPr>
          <w:rFonts w:ascii="Times New Roman" w:eastAsia="DengXian" w:hAnsi="Times New Roman"/>
          <w:color w:val="0070C0"/>
          <w:kern w:val="2"/>
          <w:lang w:val="en-US"/>
        </w:rPr>
        <w:t>-</w:t>
      </w:r>
      <w:r>
        <w:rPr>
          <w:rFonts w:ascii="Times New Roman" w:eastAsia="DengXian" w:hAnsi="Times New Roman" w:hint="eastAsia"/>
          <w:color w:val="0070C0"/>
          <w:kern w:val="2"/>
          <w:lang w:val="en-US"/>
        </w:rPr>
        <w:t>---</w:t>
      </w:r>
      <w:r>
        <w:rPr>
          <w:rFonts w:ascii="Times New Roman" w:eastAsia="SimSun" w:hAnsi="Times New Roman" w:hint="eastAsia"/>
          <w:color w:val="0070C0"/>
          <w:kern w:val="2"/>
          <w:lang w:val="en-US"/>
        </w:rPr>
        <w:t>-----</w:t>
      </w:r>
      <w:r>
        <w:rPr>
          <w:rFonts w:ascii="Times New Roman" w:eastAsia="DengXian" w:hAnsi="Times New Roman" w:hint="eastAsia"/>
          <w:color w:val="0070C0"/>
          <w:kern w:val="2"/>
          <w:lang w:val="en-US"/>
        </w:rPr>
        <w:t>--</w:t>
      </w:r>
      <w:r>
        <w:rPr>
          <w:rFonts w:ascii="Times New Roman" w:eastAsia="DengXian" w:hAnsi="Times New Roman"/>
          <w:color w:val="0070C0"/>
          <w:kern w:val="2"/>
          <w:lang w:val="en-US"/>
        </w:rPr>
        <w:t>-</w:t>
      </w:r>
      <w:r>
        <w:rPr>
          <w:rFonts w:ascii="Times New Roman" w:eastAsia="DengXian" w:hAnsi="Times New Roman" w:hint="eastAsia"/>
          <w:color w:val="0070C0"/>
          <w:kern w:val="2"/>
          <w:lang w:val="en-US"/>
        </w:rPr>
        <w:t>----</w:t>
      </w:r>
      <w:r>
        <w:rPr>
          <w:rFonts w:ascii="Times New Roman" w:eastAsia="DengXian" w:hAnsi="Times New Roman"/>
          <w:color w:val="0070C0"/>
          <w:kern w:val="2"/>
          <w:lang w:val="en-US"/>
        </w:rPr>
        <w:t>-----</w:t>
      </w:r>
      <w:r>
        <w:rPr>
          <w:rFonts w:ascii="Times New Roman" w:eastAsia="DengXian" w:hAnsi="Times New Roman" w:hint="eastAsia"/>
          <w:color w:val="0070C0"/>
          <w:kern w:val="2"/>
          <w:lang w:val="en-US"/>
        </w:rPr>
        <w:t>----------------------</w:t>
      </w:r>
    </w:p>
    <w:p w14:paraId="5126EC5D" w14:textId="77777777" w:rsidR="00F74A6F" w:rsidRPr="009537ED" w:rsidRDefault="00F74A6F" w:rsidP="00F74A6F">
      <w:pPr>
        <w:pStyle w:val="Heading2"/>
      </w:pPr>
      <w:bookmarkStart w:id="741" w:name="_Toc150174487"/>
      <w:bookmarkStart w:id="742" w:name="_Toc159251029"/>
      <w:r w:rsidRPr="009537ED">
        <w:t>Maintenance on Multi-Carrier Enhancements for NR</w:t>
      </w:r>
      <w:bookmarkEnd w:id="741"/>
      <w:bookmarkEnd w:id="742"/>
    </w:p>
    <w:p w14:paraId="0E08E7B7" w14:textId="77777777" w:rsidR="00570EA9" w:rsidRPr="0098614E" w:rsidRDefault="00F74A6F" w:rsidP="00F74A6F">
      <w:pPr>
        <w:rPr>
          <w:lang w:eastAsia="x-none"/>
        </w:rPr>
      </w:pPr>
      <w:r w:rsidRPr="0098614E">
        <w:rPr>
          <w:lang w:eastAsia="x-none"/>
        </w:rPr>
        <w:t xml:space="preserve">[115-R18-MC_Enh] </w:t>
      </w:r>
      <w:r w:rsidR="00570EA9" w:rsidRPr="0098614E">
        <w:rPr>
          <w:lang w:eastAsia="x-none"/>
        </w:rPr>
        <w:t>– Hiroki (NTT DOCOMO)</w:t>
      </w:r>
    </w:p>
    <w:p w14:paraId="5D469E93" w14:textId="7F1CC6F0" w:rsidR="00F74A6F" w:rsidRPr="0098614E" w:rsidRDefault="00F74A6F" w:rsidP="00F74A6F">
      <w:pPr>
        <w:rPr>
          <w:lang w:eastAsia="x-none"/>
        </w:rPr>
      </w:pPr>
      <w:r w:rsidRPr="0098614E">
        <w:rPr>
          <w:lang w:eastAsia="x-none"/>
        </w:rPr>
        <w:t>Email discussion on multi-carrier enhancement for NR</w:t>
      </w:r>
    </w:p>
    <w:p w14:paraId="66D25516" w14:textId="30C7E92B" w:rsidR="00F74A6F" w:rsidRDefault="00F74A6F" w:rsidP="00F74A6F">
      <w:pPr>
        <w:numPr>
          <w:ilvl w:val="0"/>
          <w:numId w:val="69"/>
        </w:numPr>
        <w:rPr>
          <w:lang w:eastAsia="x-none"/>
        </w:rPr>
      </w:pPr>
      <w:r w:rsidRPr="0098614E">
        <w:rPr>
          <w:lang w:eastAsia="x-none"/>
        </w:rPr>
        <w:t>To be used for sharing updates on online/offline schedule, details on what is to be discussed in online/offline sessions, tdoc number of the moderator summary for online session, etc</w:t>
      </w:r>
    </w:p>
    <w:p w14:paraId="6A50EC45" w14:textId="77777777" w:rsidR="0048002B" w:rsidRDefault="0048002B" w:rsidP="0048002B">
      <w:pPr>
        <w:rPr>
          <w:lang w:eastAsia="x-none"/>
        </w:rPr>
      </w:pPr>
    </w:p>
    <w:p w14:paraId="31BD5838" w14:textId="38E97C6E" w:rsidR="0048002B" w:rsidRPr="009537ED" w:rsidRDefault="005A18DC" w:rsidP="0048002B">
      <w:pPr>
        <w:rPr>
          <w:lang w:eastAsia="x-none"/>
        </w:rPr>
      </w:pPr>
      <w:hyperlink r:id="rId1646" w:history="1">
        <w:r w:rsidR="00AF7253">
          <w:rPr>
            <w:rStyle w:val="Hyperlink"/>
            <w:lang w:eastAsia="x-none"/>
          </w:rPr>
          <w:t>R1-2312541</w:t>
        </w:r>
      </w:hyperlink>
      <w:r w:rsidR="0048002B" w:rsidRPr="0048002B">
        <w:rPr>
          <w:lang w:eastAsia="x-none"/>
        </w:rPr>
        <w:tab/>
        <w:t>Summary of discussion on higher layer parameters list for MCE</w:t>
      </w:r>
      <w:r w:rsidR="0048002B" w:rsidRPr="0048002B">
        <w:rPr>
          <w:lang w:eastAsia="x-none"/>
        </w:rPr>
        <w:tab/>
        <w:t>Moderator (NTT DOCOMO, INC.)</w:t>
      </w:r>
    </w:p>
    <w:p w14:paraId="2E172B66" w14:textId="77777777" w:rsidR="00F74A6F" w:rsidRPr="009537ED" w:rsidRDefault="00F74A6F" w:rsidP="009B1166">
      <w:pPr>
        <w:pStyle w:val="Heading3"/>
      </w:pPr>
      <w:bookmarkStart w:id="743" w:name="_Toc150174488"/>
      <w:bookmarkStart w:id="744" w:name="_Toc159251030"/>
      <w:r w:rsidRPr="009537ED">
        <w:t>Multi-cell PUSCH/PDSCH scheduling with a single DCI</w:t>
      </w:r>
      <w:bookmarkEnd w:id="743"/>
      <w:bookmarkEnd w:id="744"/>
    </w:p>
    <w:p w14:paraId="49E8ABF0" w14:textId="0E382915" w:rsidR="00F74A6F" w:rsidRPr="009537ED" w:rsidRDefault="005A18DC" w:rsidP="00F74A6F">
      <w:pPr>
        <w:rPr>
          <w:lang w:eastAsia="x-none"/>
        </w:rPr>
      </w:pPr>
      <w:hyperlink r:id="rId1647" w:history="1">
        <w:r w:rsidR="00AF7253">
          <w:rPr>
            <w:rStyle w:val="Hyperlink"/>
            <w:lang w:eastAsia="x-none"/>
          </w:rPr>
          <w:t>R1-2310887</w:t>
        </w:r>
      </w:hyperlink>
      <w:r w:rsidR="00F74A6F" w:rsidRPr="009537ED">
        <w:rPr>
          <w:lang w:eastAsia="x-none"/>
        </w:rPr>
        <w:tab/>
        <w:t>Maintenance of multi-cell PDSCCH/PUSCH scheduling with a single DCI</w:t>
      </w:r>
      <w:r w:rsidR="00F74A6F" w:rsidRPr="009537ED">
        <w:rPr>
          <w:lang w:eastAsia="x-none"/>
        </w:rPr>
        <w:tab/>
        <w:t>Huawei, HiSilicon</w:t>
      </w:r>
    </w:p>
    <w:p w14:paraId="7E1905C1" w14:textId="187AA0E5" w:rsidR="00F74A6F" w:rsidRPr="009537ED" w:rsidRDefault="005A18DC" w:rsidP="00F74A6F">
      <w:pPr>
        <w:rPr>
          <w:lang w:eastAsia="x-none"/>
        </w:rPr>
      </w:pPr>
      <w:hyperlink r:id="rId1648" w:history="1">
        <w:r w:rsidR="00AF7253">
          <w:rPr>
            <w:rStyle w:val="Hyperlink"/>
            <w:lang w:eastAsia="x-none"/>
          </w:rPr>
          <w:t>R1-2311024</w:t>
        </w:r>
      </w:hyperlink>
      <w:r w:rsidR="00F74A6F" w:rsidRPr="009537ED">
        <w:rPr>
          <w:lang w:eastAsia="x-none"/>
        </w:rPr>
        <w:tab/>
        <w:t>Maintenance of Multi-cell PUSCH/PDSCH scheduling with a single DCI</w:t>
      </w:r>
      <w:r w:rsidR="00F74A6F" w:rsidRPr="009537ED">
        <w:rPr>
          <w:lang w:eastAsia="x-none"/>
        </w:rPr>
        <w:tab/>
        <w:t>ZTE</w:t>
      </w:r>
    </w:p>
    <w:p w14:paraId="20FEA8B6" w14:textId="53A2B78E" w:rsidR="00F74A6F" w:rsidRPr="009537ED" w:rsidRDefault="005A18DC" w:rsidP="00F74A6F">
      <w:pPr>
        <w:rPr>
          <w:lang w:eastAsia="x-none"/>
        </w:rPr>
      </w:pPr>
      <w:hyperlink r:id="rId1649" w:history="1">
        <w:r w:rsidR="00AF7253">
          <w:rPr>
            <w:rStyle w:val="Hyperlink"/>
            <w:lang w:eastAsia="x-none"/>
          </w:rPr>
          <w:t>R1-2311046</w:t>
        </w:r>
      </w:hyperlink>
      <w:r w:rsidR="00F74A6F" w:rsidRPr="009537ED">
        <w:rPr>
          <w:lang w:eastAsia="x-none"/>
        </w:rPr>
        <w:tab/>
        <w:t>Remaining issues on multi-cell PUSCH/PDSCH scheduling with a single DCI</w:t>
      </w:r>
      <w:r w:rsidR="00F74A6F" w:rsidRPr="009537ED">
        <w:rPr>
          <w:lang w:eastAsia="x-none"/>
        </w:rPr>
        <w:tab/>
        <w:t>Fujitsu</w:t>
      </w:r>
    </w:p>
    <w:p w14:paraId="649B21A9" w14:textId="3C8B458F" w:rsidR="00F74A6F" w:rsidRPr="009537ED" w:rsidRDefault="005A18DC" w:rsidP="00F74A6F">
      <w:pPr>
        <w:rPr>
          <w:lang w:eastAsia="x-none"/>
        </w:rPr>
      </w:pPr>
      <w:hyperlink r:id="rId1650" w:history="1">
        <w:r w:rsidR="00AF7253">
          <w:rPr>
            <w:rStyle w:val="Hyperlink"/>
            <w:lang w:eastAsia="x-none"/>
          </w:rPr>
          <w:t>R1-2311110</w:t>
        </w:r>
      </w:hyperlink>
      <w:r w:rsidR="00F74A6F" w:rsidRPr="009537ED">
        <w:rPr>
          <w:lang w:eastAsia="x-none"/>
        </w:rPr>
        <w:tab/>
        <w:t>Remaining issues on Rel-18 Multi-cell scheduling</w:t>
      </w:r>
      <w:r w:rsidR="00F74A6F" w:rsidRPr="009537ED">
        <w:rPr>
          <w:lang w:eastAsia="x-none"/>
        </w:rPr>
        <w:tab/>
        <w:t>vivo</w:t>
      </w:r>
    </w:p>
    <w:p w14:paraId="2E673E8A" w14:textId="1FD50E11" w:rsidR="00F74A6F" w:rsidRPr="009537ED" w:rsidRDefault="005A18DC" w:rsidP="00F74A6F">
      <w:pPr>
        <w:rPr>
          <w:lang w:eastAsia="x-none"/>
        </w:rPr>
      </w:pPr>
      <w:hyperlink r:id="rId1651" w:history="1">
        <w:r w:rsidR="00AF7253">
          <w:rPr>
            <w:rStyle w:val="Hyperlink"/>
            <w:lang w:eastAsia="x-none"/>
          </w:rPr>
          <w:t>R1-2311177</w:t>
        </w:r>
      </w:hyperlink>
      <w:r w:rsidR="00F74A6F" w:rsidRPr="009537ED">
        <w:rPr>
          <w:lang w:eastAsia="x-none"/>
        </w:rPr>
        <w:tab/>
        <w:t>Remaining issues on multi-cell PUSCH/PDSCH scheduling with a single DCI</w:t>
      </w:r>
      <w:r w:rsidR="00F74A6F" w:rsidRPr="009537ED">
        <w:rPr>
          <w:lang w:eastAsia="x-none"/>
        </w:rPr>
        <w:tab/>
        <w:t>Spreadtrum Communications</w:t>
      </w:r>
    </w:p>
    <w:p w14:paraId="49D70E6C" w14:textId="60FB9EF6" w:rsidR="00F74A6F" w:rsidRPr="009537ED" w:rsidRDefault="005A18DC" w:rsidP="00F74A6F">
      <w:pPr>
        <w:rPr>
          <w:lang w:eastAsia="x-none"/>
        </w:rPr>
      </w:pPr>
      <w:hyperlink r:id="rId1652" w:history="1">
        <w:r w:rsidR="00AF7253">
          <w:rPr>
            <w:rStyle w:val="Hyperlink"/>
            <w:lang w:eastAsia="x-none"/>
          </w:rPr>
          <w:t>R1-2311275</w:t>
        </w:r>
      </w:hyperlink>
      <w:r w:rsidR="00F74A6F" w:rsidRPr="009537ED">
        <w:rPr>
          <w:lang w:eastAsia="x-none"/>
        </w:rPr>
        <w:tab/>
        <w:t>Remaining issues for multi-cell PUSCH/PDSCH scheduling with a single DCI</w:t>
      </w:r>
      <w:r w:rsidR="00F74A6F" w:rsidRPr="009537ED">
        <w:rPr>
          <w:lang w:eastAsia="x-none"/>
        </w:rPr>
        <w:tab/>
        <w:t>OPPO</w:t>
      </w:r>
    </w:p>
    <w:p w14:paraId="5A511A5A" w14:textId="79B336CF" w:rsidR="00F74A6F" w:rsidRPr="009537ED" w:rsidRDefault="005A18DC" w:rsidP="00F74A6F">
      <w:pPr>
        <w:rPr>
          <w:lang w:eastAsia="x-none"/>
        </w:rPr>
      </w:pPr>
      <w:hyperlink r:id="rId1653" w:history="1">
        <w:r w:rsidR="00AF7253">
          <w:rPr>
            <w:rStyle w:val="Hyperlink"/>
            <w:lang w:eastAsia="x-none"/>
          </w:rPr>
          <w:t>R1-2311323</w:t>
        </w:r>
      </w:hyperlink>
      <w:r w:rsidR="00F74A6F" w:rsidRPr="009537ED">
        <w:rPr>
          <w:lang w:eastAsia="x-none"/>
        </w:rPr>
        <w:tab/>
        <w:t>Maintenance on Multi-cell PUSCH/PDSCH scheduling with a single DCI</w:t>
      </w:r>
      <w:r w:rsidR="00F74A6F" w:rsidRPr="009537ED">
        <w:rPr>
          <w:lang w:eastAsia="x-none"/>
        </w:rPr>
        <w:tab/>
        <w:t>CATT</w:t>
      </w:r>
    </w:p>
    <w:p w14:paraId="746CD5B8" w14:textId="034AD3A3" w:rsidR="00F74A6F" w:rsidRPr="009537ED" w:rsidRDefault="005A18DC" w:rsidP="00F74A6F">
      <w:pPr>
        <w:rPr>
          <w:lang w:eastAsia="x-none"/>
        </w:rPr>
      </w:pPr>
      <w:hyperlink r:id="rId1654" w:history="1">
        <w:r w:rsidR="00AF7253">
          <w:rPr>
            <w:rStyle w:val="Hyperlink"/>
            <w:lang w:eastAsia="x-none"/>
          </w:rPr>
          <w:t>R1-2311387</w:t>
        </w:r>
      </w:hyperlink>
      <w:r w:rsidR="00F74A6F" w:rsidRPr="009537ED">
        <w:rPr>
          <w:lang w:eastAsia="x-none"/>
        </w:rPr>
        <w:tab/>
        <w:t>Remaining issues on multi-cell PUSCH/PDSCH scheduling with a single DCI</w:t>
      </w:r>
      <w:r w:rsidR="00F74A6F" w:rsidRPr="009537ED">
        <w:rPr>
          <w:lang w:eastAsia="x-none"/>
        </w:rPr>
        <w:tab/>
        <w:t>xiaomi</w:t>
      </w:r>
    </w:p>
    <w:p w14:paraId="0E4FEAAF" w14:textId="74FF622D" w:rsidR="00F74A6F" w:rsidRPr="009537ED" w:rsidRDefault="005A18DC" w:rsidP="00F74A6F">
      <w:pPr>
        <w:rPr>
          <w:lang w:eastAsia="x-none"/>
        </w:rPr>
      </w:pPr>
      <w:hyperlink r:id="rId1655" w:history="1">
        <w:r w:rsidR="00AF7253">
          <w:rPr>
            <w:rStyle w:val="Hyperlink"/>
            <w:lang w:eastAsia="x-none"/>
          </w:rPr>
          <w:t>R1-2311496</w:t>
        </w:r>
      </w:hyperlink>
      <w:r w:rsidR="00F74A6F" w:rsidRPr="009537ED">
        <w:rPr>
          <w:lang w:eastAsia="x-none"/>
        </w:rPr>
        <w:tab/>
        <w:t>Remaining issues on multi-cell PUSCH/PDSCH scheduling with a single DCI</w:t>
      </w:r>
      <w:r w:rsidR="00F74A6F" w:rsidRPr="009537ED">
        <w:rPr>
          <w:lang w:eastAsia="x-none"/>
        </w:rPr>
        <w:tab/>
        <w:t>CMCC</w:t>
      </w:r>
    </w:p>
    <w:p w14:paraId="2AEAF259" w14:textId="2BEFCAE6" w:rsidR="00F74A6F" w:rsidRPr="009537ED" w:rsidRDefault="005A18DC" w:rsidP="00F74A6F">
      <w:pPr>
        <w:rPr>
          <w:lang w:eastAsia="x-none"/>
        </w:rPr>
      </w:pPr>
      <w:hyperlink r:id="rId1656" w:history="1">
        <w:r w:rsidR="00AF7253">
          <w:rPr>
            <w:rStyle w:val="Hyperlink"/>
            <w:lang w:eastAsia="x-none"/>
          </w:rPr>
          <w:t>R1-2311520</w:t>
        </w:r>
      </w:hyperlink>
      <w:r w:rsidR="00F74A6F" w:rsidRPr="009537ED">
        <w:rPr>
          <w:lang w:eastAsia="x-none"/>
        </w:rPr>
        <w:tab/>
        <w:t>On Rel-18 MC-DCI scheduling</w:t>
      </w:r>
      <w:r w:rsidR="00F74A6F" w:rsidRPr="009537ED">
        <w:rPr>
          <w:lang w:eastAsia="x-none"/>
        </w:rPr>
        <w:tab/>
        <w:t>Nokia, Nokia Shanghai Bell</w:t>
      </w:r>
    </w:p>
    <w:p w14:paraId="126011B5" w14:textId="6175B963" w:rsidR="00F74A6F" w:rsidRPr="009537ED" w:rsidRDefault="005A18DC" w:rsidP="00F74A6F">
      <w:pPr>
        <w:rPr>
          <w:lang w:eastAsia="x-none"/>
        </w:rPr>
      </w:pPr>
      <w:hyperlink r:id="rId1657" w:history="1">
        <w:r w:rsidR="00AF7253">
          <w:rPr>
            <w:rStyle w:val="Hyperlink"/>
            <w:lang w:eastAsia="x-none"/>
          </w:rPr>
          <w:t>R1-2311552</w:t>
        </w:r>
      </w:hyperlink>
      <w:r w:rsidR="00F74A6F" w:rsidRPr="009537ED">
        <w:rPr>
          <w:lang w:eastAsia="x-none"/>
        </w:rPr>
        <w:tab/>
        <w:t>Remaining issues on multi-cell scheduling with a single DCI</w:t>
      </w:r>
      <w:r w:rsidR="00F74A6F" w:rsidRPr="009537ED">
        <w:rPr>
          <w:lang w:eastAsia="x-none"/>
        </w:rPr>
        <w:tab/>
        <w:t>China Telecom</w:t>
      </w:r>
    </w:p>
    <w:p w14:paraId="0A940A46" w14:textId="7E2EBE4A" w:rsidR="00F74A6F" w:rsidRPr="009537ED" w:rsidRDefault="005A18DC" w:rsidP="00F74A6F">
      <w:pPr>
        <w:rPr>
          <w:lang w:eastAsia="x-none"/>
        </w:rPr>
      </w:pPr>
      <w:hyperlink r:id="rId1658" w:history="1">
        <w:r w:rsidR="00AF7253">
          <w:rPr>
            <w:rStyle w:val="Hyperlink"/>
            <w:lang w:eastAsia="x-none"/>
          </w:rPr>
          <w:t>R1-2311587</w:t>
        </w:r>
      </w:hyperlink>
      <w:r w:rsidR="00F74A6F" w:rsidRPr="009537ED">
        <w:rPr>
          <w:lang w:eastAsia="x-none"/>
        </w:rPr>
        <w:tab/>
        <w:t>Remaining issues on Rel-18 multi-carrier enhancements</w:t>
      </w:r>
      <w:r w:rsidR="00F74A6F" w:rsidRPr="009537ED">
        <w:rPr>
          <w:lang w:eastAsia="x-none"/>
        </w:rPr>
        <w:tab/>
        <w:t>Lenovo</w:t>
      </w:r>
    </w:p>
    <w:p w14:paraId="6C5AD7C6" w14:textId="425AE80D" w:rsidR="00F74A6F" w:rsidRPr="009537ED" w:rsidRDefault="005A18DC" w:rsidP="00F74A6F">
      <w:pPr>
        <w:rPr>
          <w:lang w:eastAsia="x-none"/>
        </w:rPr>
      </w:pPr>
      <w:hyperlink r:id="rId1659" w:history="1">
        <w:r w:rsidR="00AF7253">
          <w:rPr>
            <w:rStyle w:val="Hyperlink"/>
            <w:lang w:eastAsia="x-none"/>
          </w:rPr>
          <w:t>R1-2311634</w:t>
        </w:r>
      </w:hyperlink>
      <w:r w:rsidR="00F74A6F" w:rsidRPr="009537ED">
        <w:rPr>
          <w:lang w:eastAsia="x-none"/>
        </w:rPr>
        <w:tab/>
        <w:t>Maintenance on multi-cell PUSCH/PDSCH scheduling with a single DCI</w:t>
      </w:r>
      <w:r w:rsidR="00F74A6F" w:rsidRPr="009537ED">
        <w:rPr>
          <w:lang w:eastAsia="x-none"/>
        </w:rPr>
        <w:tab/>
        <w:t>NTT DOCOMO, INC.</w:t>
      </w:r>
    </w:p>
    <w:p w14:paraId="7414B78B" w14:textId="6580CD31" w:rsidR="00F74A6F" w:rsidRPr="009537ED" w:rsidRDefault="005A18DC" w:rsidP="00F74A6F">
      <w:pPr>
        <w:rPr>
          <w:lang w:eastAsia="x-none"/>
        </w:rPr>
      </w:pPr>
      <w:hyperlink r:id="rId1660" w:history="1">
        <w:r w:rsidR="00AF7253">
          <w:rPr>
            <w:rStyle w:val="Hyperlink"/>
            <w:lang w:eastAsia="x-none"/>
          </w:rPr>
          <w:t>R1-2311698</w:t>
        </w:r>
      </w:hyperlink>
      <w:r w:rsidR="00F74A6F" w:rsidRPr="009537ED">
        <w:rPr>
          <w:lang w:eastAsia="x-none"/>
        </w:rPr>
        <w:tab/>
        <w:t>On remaining issues for Rel-18 multi-cell scheduling</w:t>
      </w:r>
      <w:r w:rsidR="00F74A6F" w:rsidRPr="009537ED">
        <w:rPr>
          <w:lang w:eastAsia="x-none"/>
        </w:rPr>
        <w:tab/>
        <w:t>Apple</w:t>
      </w:r>
    </w:p>
    <w:p w14:paraId="59D24FFF" w14:textId="7AE25DE5" w:rsidR="00F74A6F" w:rsidRPr="009537ED" w:rsidRDefault="005A18DC" w:rsidP="00F74A6F">
      <w:pPr>
        <w:rPr>
          <w:lang w:eastAsia="x-none"/>
        </w:rPr>
      </w:pPr>
      <w:hyperlink r:id="rId1661" w:history="1">
        <w:r w:rsidR="00AF7253">
          <w:rPr>
            <w:rStyle w:val="Hyperlink"/>
            <w:lang w:eastAsia="x-none"/>
          </w:rPr>
          <w:t>R1-2311735</w:t>
        </w:r>
      </w:hyperlink>
      <w:r w:rsidR="00F74A6F" w:rsidRPr="009537ED">
        <w:rPr>
          <w:lang w:eastAsia="x-none"/>
        </w:rPr>
        <w:tab/>
        <w:t>Remaining issues on multi-cell PUSCH/PDSCH scheduling with a single DCI</w:t>
      </w:r>
      <w:r w:rsidR="00F74A6F" w:rsidRPr="009537ED">
        <w:rPr>
          <w:lang w:eastAsia="x-none"/>
        </w:rPr>
        <w:tab/>
        <w:t>Langbo</w:t>
      </w:r>
    </w:p>
    <w:p w14:paraId="7453D741" w14:textId="3D2FE866" w:rsidR="00F74A6F" w:rsidRPr="009537ED" w:rsidRDefault="005A18DC" w:rsidP="00F74A6F">
      <w:pPr>
        <w:rPr>
          <w:lang w:eastAsia="x-none"/>
        </w:rPr>
      </w:pPr>
      <w:hyperlink r:id="rId1662" w:history="1">
        <w:r w:rsidR="00AF7253">
          <w:rPr>
            <w:rStyle w:val="Hyperlink"/>
            <w:lang w:eastAsia="x-none"/>
          </w:rPr>
          <w:t>R1-2311758</w:t>
        </w:r>
      </w:hyperlink>
      <w:r w:rsidR="00F74A6F" w:rsidRPr="009537ED">
        <w:rPr>
          <w:lang w:eastAsia="x-none"/>
        </w:rPr>
        <w:tab/>
        <w:t>Remaining issues on multi-cell PUSCH/PDSCH scheduling</w:t>
      </w:r>
      <w:r w:rsidR="00F74A6F" w:rsidRPr="009537ED">
        <w:rPr>
          <w:lang w:eastAsia="x-none"/>
        </w:rPr>
        <w:tab/>
        <w:t>ETRI</w:t>
      </w:r>
    </w:p>
    <w:p w14:paraId="4F75CED9" w14:textId="30221A0E" w:rsidR="00F74A6F" w:rsidRPr="009537ED" w:rsidRDefault="005A18DC" w:rsidP="00F74A6F">
      <w:pPr>
        <w:rPr>
          <w:lang w:eastAsia="x-none"/>
        </w:rPr>
      </w:pPr>
      <w:hyperlink r:id="rId1663" w:history="1">
        <w:r w:rsidR="00AF7253">
          <w:rPr>
            <w:rStyle w:val="Hyperlink"/>
            <w:lang w:eastAsia="x-none"/>
          </w:rPr>
          <w:t>R1-2311860</w:t>
        </w:r>
      </w:hyperlink>
      <w:r w:rsidR="00F74A6F" w:rsidRPr="009537ED">
        <w:rPr>
          <w:lang w:eastAsia="x-none"/>
        </w:rPr>
        <w:tab/>
        <w:t>Remaining issues on multi-cell PUSCH/PDSCH scheduling with a single DCI</w:t>
      </w:r>
      <w:r w:rsidR="00F74A6F" w:rsidRPr="009537ED">
        <w:rPr>
          <w:lang w:eastAsia="x-none"/>
        </w:rPr>
        <w:tab/>
        <w:t>Samsung</w:t>
      </w:r>
    </w:p>
    <w:p w14:paraId="758D4CF2" w14:textId="5292FA3F" w:rsidR="00F74A6F" w:rsidRPr="009537ED" w:rsidRDefault="005A18DC" w:rsidP="00F74A6F">
      <w:pPr>
        <w:rPr>
          <w:lang w:eastAsia="x-none"/>
        </w:rPr>
      </w:pPr>
      <w:hyperlink r:id="rId1664" w:history="1">
        <w:r w:rsidR="00AF7253">
          <w:rPr>
            <w:rStyle w:val="Hyperlink"/>
            <w:lang w:eastAsia="x-none"/>
          </w:rPr>
          <w:t>R1-2311899</w:t>
        </w:r>
      </w:hyperlink>
      <w:r w:rsidR="00F74A6F" w:rsidRPr="009537ED">
        <w:rPr>
          <w:lang w:eastAsia="x-none"/>
        </w:rPr>
        <w:tab/>
        <w:t>Remaining issues on Multi-cell scheduling with single DCI</w:t>
      </w:r>
      <w:r w:rsidR="00F74A6F" w:rsidRPr="009537ED">
        <w:rPr>
          <w:lang w:eastAsia="x-none"/>
        </w:rPr>
        <w:tab/>
        <w:t>LG Electronics</w:t>
      </w:r>
    </w:p>
    <w:p w14:paraId="48CDD241" w14:textId="6AE13CB0" w:rsidR="00F74A6F" w:rsidRPr="009537ED" w:rsidRDefault="005A18DC" w:rsidP="00F74A6F">
      <w:pPr>
        <w:rPr>
          <w:lang w:eastAsia="x-none"/>
        </w:rPr>
      </w:pPr>
      <w:hyperlink r:id="rId1665" w:history="1">
        <w:r w:rsidR="00AF7253">
          <w:rPr>
            <w:rStyle w:val="Hyperlink"/>
            <w:lang w:eastAsia="x-none"/>
          </w:rPr>
          <w:t>R1-2311990</w:t>
        </w:r>
      </w:hyperlink>
      <w:r w:rsidR="00F74A6F" w:rsidRPr="009537ED">
        <w:rPr>
          <w:lang w:eastAsia="x-none"/>
        </w:rPr>
        <w:tab/>
        <w:t>On maintenance for multi-cell scheduling with a single DCI</w:t>
      </w:r>
      <w:r w:rsidR="00F74A6F" w:rsidRPr="009537ED">
        <w:rPr>
          <w:lang w:eastAsia="x-none"/>
        </w:rPr>
        <w:tab/>
        <w:t>MediaTek Inc.</w:t>
      </w:r>
    </w:p>
    <w:p w14:paraId="1B07E8A6" w14:textId="19C9FE20" w:rsidR="00F74A6F" w:rsidRPr="009537ED" w:rsidRDefault="005A18DC" w:rsidP="00F74A6F">
      <w:pPr>
        <w:rPr>
          <w:lang w:eastAsia="x-none"/>
        </w:rPr>
      </w:pPr>
      <w:hyperlink r:id="rId1666" w:history="1">
        <w:r w:rsidR="00AF7253">
          <w:rPr>
            <w:rStyle w:val="Hyperlink"/>
            <w:lang w:eastAsia="x-none"/>
          </w:rPr>
          <w:t>R1-2312049</w:t>
        </w:r>
      </w:hyperlink>
      <w:r w:rsidR="00F74A6F" w:rsidRPr="009537ED">
        <w:rPr>
          <w:lang w:eastAsia="x-none"/>
        </w:rPr>
        <w:tab/>
        <w:t>Multi-cell PUSCH/PDSCH scheduling with a single DCI</w:t>
      </w:r>
      <w:r w:rsidR="00F74A6F" w:rsidRPr="009537ED">
        <w:rPr>
          <w:lang w:eastAsia="x-none"/>
        </w:rPr>
        <w:tab/>
        <w:t>Qualcomm Incorporated</w:t>
      </w:r>
    </w:p>
    <w:p w14:paraId="1974E466" w14:textId="093E8F8B" w:rsidR="00F74A6F" w:rsidRPr="009537ED" w:rsidRDefault="005A18DC" w:rsidP="00F74A6F">
      <w:pPr>
        <w:rPr>
          <w:lang w:eastAsia="x-none"/>
        </w:rPr>
      </w:pPr>
      <w:hyperlink r:id="rId1667" w:history="1">
        <w:r w:rsidR="00AF7253">
          <w:rPr>
            <w:rStyle w:val="Hyperlink"/>
            <w:lang w:eastAsia="x-none"/>
          </w:rPr>
          <w:t>R1-2312102</w:t>
        </w:r>
      </w:hyperlink>
      <w:r w:rsidR="00F74A6F" w:rsidRPr="009537ED">
        <w:rPr>
          <w:lang w:eastAsia="x-none"/>
        </w:rPr>
        <w:tab/>
        <w:t>Maintenance for single DCI scheduling multiple cells</w:t>
      </w:r>
      <w:r w:rsidR="00F74A6F" w:rsidRPr="009537ED">
        <w:rPr>
          <w:lang w:eastAsia="x-none"/>
        </w:rPr>
        <w:tab/>
        <w:t>Ericsson</w:t>
      </w:r>
    </w:p>
    <w:p w14:paraId="346AEA75" w14:textId="7657361F" w:rsidR="00F74A6F" w:rsidRDefault="005A18DC" w:rsidP="00F74A6F">
      <w:pPr>
        <w:rPr>
          <w:lang w:eastAsia="x-none"/>
        </w:rPr>
      </w:pPr>
      <w:hyperlink r:id="rId1668" w:history="1">
        <w:r w:rsidR="00AF7253">
          <w:rPr>
            <w:rStyle w:val="Hyperlink"/>
            <w:lang w:eastAsia="x-none"/>
          </w:rPr>
          <w:t>R1-2312115</w:t>
        </w:r>
      </w:hyperlink>
      <w:r w:rsidR="00F74A6F" w:rsidRPr="009537ED">
        <w:rPr>
          <w:lang w:eastAsia="x-none"/>
        </w:rPr>
        <w:tab/>
        <w:t>Remaining detail on multi-cell scheduling PUSCH/PDSCH with a single DCI</w:t>
      </w:r>
      <w:r w:rsidR="00F74A6F" w:rsidRPr="009537ED">
        <w:rPr>
          <w:lang w:eastAsia="x-none"/>
        </w:rPr>
        <w:tab/>
        <w:t>ITRI</w:t>
      </w:r>
    </w:p>
    <w:p w14:paraId="55780262" w14:textId="77777777" w:rsidR="00FD2A48" w:rsidRDefault="00FD2A48" w:rsidP="00F74A6F">
      <w:pPr>
        <w:rPr>
          <w:lang w:eastAsia="x-none"/>
        </w:rPr>
      </w:pPr>
    </w:p>
    <w:p w14:paraId="53023E8C" w14:textId="14FF1335" w:rsidR="005268C8" w:rsidRPr="005268C8" w:rsidRDefault="005A18DC" w:rsidP="005268C8">
      <w:pPr>
        <w:rPr>
          <w:b/>
          <w:bCs/>
          <w:lang w:eastAsia="x-none"/>
        </w:rPr>
      </w:pPr>
      <w:hyperlink r:id="rId1669" w:history="1">
        <w:r w:rsidR="00AF7253">
          <w:rPr>
            <w:rStyle w:val="Hyperlink"/>
            <w:b/>
            <w:bCs/>
            <w:lang w:eastAsia="x-none"/>
          </w:rPr>
          <w:t>R1-2312360</w:t>
        </w:r>
      </w:hyperlink>
      <w:r w:rsidR="005268C8" w:rsidRPr="005268C8">
        <w:rPr>
          <w:b/>
          <w:bCs/>
          <w:lang w:eastAsia="x-none"/>
        </w:rPr>
        <w:tab/>
        <w:t>Feature lead summary#1 on multi-cell PUSCH/PDSCH scheduling with a single DCI</w:t>
      </w:r>
      <w:r w:rsidR="005268C8" w:rsidRPr="005268C8">
        <w:rPr>
          <w:b/>
          <w:bCs/>
          <w:lang w:eastAsia="x-none"/>
        </w:rPr>
        <w:tab/>
        <w:t>Moderator (Lenovo)</w:t>
      </w:r>
    </w:p>
    <w:p w14:paraId="3470F10E" w14:textId="77777777" w:rsidR="005268C8" w:rsidRDefault="005268C8" w:rsidP="005268C8">
      <w:pPr>
        <w:rPr>
          <w:lang w:eastAsia="x-none"/>
        </w:rPr>
      </w:pPr>
      <w:r>
        <w:rPr>
          <w:lang w:eastAsia="x-none"/>
        </w:rPr>
        <w:t>From Tuesday session</w:t>
      </w:r>
    </w:p>
    <w:p w14:paraId="153E49FC" w14:textId="77777777" w:rsidR="00FD2A48" w:rsidRPr="0048002B" w:rsidRDefault="00FD2A48" w:rsidP="00FD2A48">
      <w:pPr>
        <w:rPr>
          <w:strike/>
          <w:lang w:eastAsia="x-none"/>
        </w:rPr>
      </w:pPr>
      <w:r w:rsidRPr="0048002B">
        <w:rPr>
          <w:strike/>
          <w:lang w:eastAsia="x-none"/>
        </w:rPr>
        <w:t>Agreement</w:t>
      </w:r>
    </w:p>
    <w:p w14:paraId="11A90C49" w14:textId="6928940A" w:rsidR="00FD2A48" w:rsidRPr="0048002B" w:rsidRDefault="00FD2A48" w:rsidP="005268C8">
      <w:pPr>
        <w:rPr>
          <w:strike/>
          <w:lang w:eastAsia="zh-CN"/>
        </w:rPr>
      </w:pPr>
      <w:r w:rsidRPr="0048002B">
        <w:rPr>
          <w:strike/>
          <w:lang w:eastAsia="zh-CN"/>
        </w:rPr>
        <w:t>The combination of DCI format 0_3 and Rel-17/18 PUSCH coverage enhancements (DWS, TBoMS, Available Slot counting, DM-RS bundling) is not supported.</w:t>
      </w:r>
    </w:p>
    <w:p w14:paraId="794B5730" w14:textId="5052A00A" w:rsidR="0048002B" w:rsidRDefault="0048002B" w:rsidP="005268C8">
      <w:pPr>
        <w:rPr>
          <w:lang w:eastAsia="zh-CN"/>
        </w:rPr>
      </w:pPr>
      <w:r w:rsidRPr="0048002B">
        <w:rPr>
          <w:b/>
          <w:bCs/>
          <w:lang w:eastAsia="zh-CN"/>
        </w:rPr>
        <w:t>Friday decision:</w:t>
      </w:r>
      <w:r>
        <w:rPr>
          <w:lang w:eastAsia="zh-CN"/>
        </w:rPr>
        <w:t xml:space="preserve"> Tuesday above agreement is replaced by:</w:t>
      </w:r>
    </w:p>
    <w:p w14:paraId="0E6E4B17" w14:textId="77777777" w:rsidR="0048002B" w:rsidRPr="0048002B" w:rsidRDefault="0048002B" w:rsidP="0048002B">
      <w:pPr>
        <w:rPr>
          <w:u w:val="single"/>
          <w:lang w:eastAsia="x-none"/>
        </w:rPr>
      </w:pPr>
      <w:r w:rsidRPr="0048002B">
        <w:rPr>
          <w:u w:val="single"/>
          <w:lang w:eastAsia="x-none"/>
        </w:rPr>
        <w:t>Conclusion</w:t>
      </w:r>
    </w:p>
    <w:p w14:paraId="38437637" w14:textId="2F8E6D10" w:rsidR="0048002B" w:rsidRPr="00A84B64" w:rsidRDefault="0048002B" w:rsidP="0048002B">
      <w:pPr>
        <w:rPr>
          <w:rFonts w:eastAsia="Malgun Gothic"/>
          <w:lang w:eastAsia="zh-CN"/>
        </w:rPr>
      </w:pPr>
      <w:r w:rsidRPr="00A84B64">
        <w:rPr>
          <w:lang w:eastAsia="x-none"/>
        </w:rPr>
        <w:t xml:space="preserve">There is no consensus to support </w:t>
      </w:r>
      <w:r>
        <w:rPr>
          <w:lang w:eastAsia="x-none"/>
        </w:rPr>
        <w:t xml:space="preserve">TPI field for </w:t>
      </w:r>
      <w:r w:rsidRPr="00A84B64">
        <w:rPr>
          <w:rFonts w:eastAsia="Malgun Gothic"/>
          <w:lang w:eastAsia="zh-CN"/>
        </w:rPr>
        <w:t xml:space="preserve">DCI format 0_3 </w:t>
      </w:r>
      <w:r>
        <w:rPr>
          <w:rFonts w:eastAsia="Malgun Gothic"/>
          <w:lang w:eastAsia="zh-CN"/>
        </w:rPr>
        <w:t>in Rel-18.</w:t>
      </w:r>
    </w:p>
    <w:p w14:paraId="009693A0" w14:textId="77777777" w:rsidR="0048002B" w:rsidRDefault="0048002B" w:rsidP="005268C8">
      <w:pPr>
        <w:rPr>
          <w:lang w:eastAsia="zh-CN"/>
        </w:rPr>
      </w:pPr>
    </w:p>
    <w:p w14:paraId="07B062D3" w14:textId="77777777" w:rsidR="005268C8" w:rsidRPr="00FD2A48" w:rsidRDefault="005268C8" w:rsidP="005268C8">
      <w:pPr>
        <w:rPr>
          <w:lang w:eastAsia="zh-CN"/>
        </w:rPr>
      </w:pPr>
    </w:p>
    <w:p w14:paraId="6CF6424F" w14:textId="77777777" w:rsidR="005268C8" w:rsidRPr="00FD2A48" w:rsidRDefault="005268C8" w:rsidP="005268C8">
      <w:pPr>
        <w:rPr>
          <w:highlight w:val="green"/>
          <w:lang w:eastAsia="x-none"/>
        </w:rPr>
      </w:pPr>
      <w:r w:rsidRPr="00FD2A48">
        <w:rPr>
          <w:highlight w:val="green"/>
          <w:lang w:eastAsia="x-none"/>
        </w:rPr>
        <w:t>Agreement</w:t>
      </w:r>
    </w:p>
    <w:p w14:paraId="0000D3B9" w14:textId="77777777" w:rsidR="00FD2A48" w:rsidRPr="00FD2A48" w:rsidRDefault="00FD2A48" w:rsidP="005268C8">
      <w:pPr>
        <w:rPr>
          <w:lang w:val="en-AU" w:eastAsia="zh-CN"/>
        </w:rPr>
      </w:pPr>
      <w:r w:rsidRPr="00FD2A48">
        <w:rPr>
          <w:lang w:val="en-AU" w:eastAsia="zh-CN"/>
        </w:rPr>
        <w:t>For a UE configured with a set of cells</w:t>
      </w:r>
      <w:r w:rsidRPr="00FD2A48">
        <w:rPr>
          <w:rFonts w:eastAsia="Malgun Gothic"/>
          <w:bCs/>
          <w:lang w:eastAsia="zh-CN"/>
        </w:rPr>
        <w:t xml:space="preserve"> by </w:t>
      </w:r>
      <w:r w:rsidRPr="00FD2A48">
        <w:rPr>
          <w:rFonts w:eastAsia="Malgun Gothic"/>
          <w:bCs/>
          <w:i/>
          <w:iCs/>
          <w:lang w:eastAsia="zh-CN"/>
        </w:rPr>
        <w:t>MC-DCI-SetofCells</w:t>
      </w:r>
      <w:r w:rsidRPr="00FD2A48">
        <w:rPr>
          <w:rFonts w:eastAsia="Malgun Gothic"/>
          <w:bCs/>
          <w:lang w:eastAsia="zh-CN"/>
        </w:rPr>
        <w:t xml:space="preserve">, </w:t>
      </w:r>
    </w:p>
    <w:p w14:paraId="3AC708AB" w14:textId="77777777" w:rsidR="00FD2A48" w:rsidRPr="00FD2A48" w:rsidRDefault="00FD2A48" w:rsidP="00AA1D48">
      <w:pPr>
        <w:pStyle w:val="ListParagraph"/>
        <w:numPr>
          <w:ilvl w:val="0"/>
          <w:numId w:val="131"/>
        </w:numPr>
      </w:pPr>
      <w:r w:rsidRPr="00FD2A48">
        <w:lastRenderedPageBreak/>
        <w:t xml:space="preserve">If an SCell within the set of cells is deactivated and its </w:t>
      </w:r>
      <w:r w:rsidRPr="005268C8">
        <w:rPr>
          <w:i/>
          <w:iCs/>
        </w:rPr>
        <w:t>firstActiveDownlinkBWP-Id</w:t>
      </w:r>
      <w:r w:rsidRPr="00FD2A48">
        <w:t xml:space="preserve"> is not set to dormant BWP, the UE determines the sizes of fields in DCI format 1_3 according to the DL BWP provided by </w:t>
      </w:r>
      <w:r w:rsidRPr="005268C8">
        <w:rPr>
          <w:i/>
          <w:iCs/>
        </w:rPr>
        <w:t>firstActiveDownlinkBWP-Id</w:t>
      </w:r>
      <w:r w:rsidRPr="00FD2A48">
        <w:t>.</w:t>
      </w:r>
    </w:p>
    <w:p w14:paraId="00A46543" w14:textId="77777777" w:rsidR="00FD2A48" w:rsidRPr="00FD2A48" w:rsidRDefault="00FD2A48" w:rsidP="00AA1D48">
      <w:pPr>
        <w:pStyle w:val="ListParagraph"/>
        <w:numPr>
          <w:ilvl w:val="0"/>
          <w:numId w:val="131"/>
        </w:numPr>
      </w:pPr>
      <w:r w:rsidRPr="00FD2A48">
        <w:t xml:space="preserve">If an SCell within the set of cells is dormant, or if an SCell within the set of cells is deactivated and its </w:t>
      </w:r>
      <w:r w:rsidRPr="005268C8">
        <w:rPr>
          <w:i/>
          <w:iCs/>
        </w:rPr>
        <w:t>firstActiveDownlinkBWP-Id</w:t>
      </w:r>
      <w:r w:rsidRPr="00FD2A48">
        <w:t xml:space="preserve"> is set to dormant BWP, </w:t>
      </w:r>
    </w:p>
    <w:p w14:paraId="3DCD7423" w14:textId="77777777" w:rsidR="00FD2A48" w:rsidRPr="00FD2A48" w:rsidRDefault="00FD2A48" w:rsidP="00AA1D48">
      <w:pPr>
        <w:pStyle w:val="ListParagraph"/>
        <w:numPr>
          <w:ilvl w:val="1"/>
          <w:numId w:val="131"/>
        </w:numPr>
      </w:pPr>
      <w:r w:rsidRPr="00FD2A48">
        <w:t xml:space="preserve">the UE determines the sizes of fields in DCI format 1_3 according to the DL BWP provided by </w:t>
      </w:r>
      <w:r w:rsidRPr="005268C8">
        <w:rPr>
          <w:i/>
          <w:iCs/>
        </w:rPr>
        <w:t>firstWithinActiveTimeBWP-Id</w:t>
      </w:r>
      <w:r w:rsidRPr="00FD2A48">
        <w:t xml:space="preserve"> for the SCell if provided; </w:t>
      </w:r>
    </w:p>
    <w:p w14:paraId="0DED306C" w14:textId="77777777" w:rsidR="00FD2A48" w:rsidRPr="00FD2A48" w:rsidRDefault="00FD2A48" w:rsidP="00AA1D48">
      <w:pPr>
        <w:pStyle w:val="ListParagraph"/>
        <w:numPr>
          <w:ilvl w:val="1"/>
          <w:numId w:val="131"/>
        </w:numPr>
      </w:pPr>
      <w:r w:rsidRPr="00FD2A48">
        <w:t xml:space="preserve">otherwise, according to the DL BWP provided by </w:t>
      </w:r>
      <w:r w:rsidRPr="005268C8">
        <w:rPr>
          <w:i/>
          <w:iCs/>
        </w:rPr>
        <w:t>firstOutsideActiveTimeBWP-Id</w:t>
      </w:r>
      <w:r w:rsidRPr="00FD2A48">
        <w:t xml:space="preserve"> for the SCell.</w:t>
      </w:r>
    </w:p>
    <w:p w14:paraId="5F6745AC" w14:textId="77777777" w:rsidR="00FD2A48" w:rsidRPr="00FD2A48" w:rsidRDefault="00FD2A48" w:rsidP="00AA1D48">
      <w:pPr>
        <w:pStyle w:val="ListParagraph"/>
        <w:numPr>
          <w:ilvl w:val="0"/>
          <w:numId w:val="131"/>
        </w:numPr>
        <w:rPr>
          <w:lang w:eastAsia="x-none"/>
        </w:rPr>
      </w:pPr>
      <w:r w:rsidRPr="00FD2A48">
        <w:rPr>
          <w:lang w:eastAsia="x-none"/>
        </w:rPr>
        <w:t xml:space="preserve">If an SCell within the set of cells is deactivated, the UE determines the sizes of fields in DCI format 0_3 according to the UL BWP provided by </w:t>
      </w:r>
      <w:r w:rsidRPr="005268C8">
        <w:rPr>
          <w:i/>
          <w:iCs/>
          <w:lang w:eastAsia="x-none"/>
        </w:rPr>
        <w:t>firstActiveUplinkBWP-Id</w:t>
      </w:r>
      <w:r w:rsidRPr="00FD2A48">
        <w:rPr>
          <w:lang w:eastAsia="x-none"/>
        </w:rPr>
        <w:t xml:space="preserve">. </w:t>
      </w:r>
    </w:p>
    <w:p w14:paraId="3E5ABB53" w14:textId="77777777" w:rsidR="005268C8" w:rsidRPr="00FD2A48" w:rsidRDefault="005268C8" w:rsidP="005268C8">
      <w:pPr>
        <w:rPr>
          <w:highlight w:val="green"/>
          <w:lang w:eastAsia="x-none"/>
        </w:rPr>
      </w:pPr>
      <w:r w:rsidRPr="00FD2A48">
        <w:rPr>
          <w:highlight w:val="green"/>
          <w:lang w:eastAsia="x-none"/>
        </w:rPr>
        <w:t>Agreement</w:t>
      </w:r>
    </w:p>
    <w:p w14:paraId="61F385DF" w14:textId="77777777" w:rsidR="00FD2A48" w:rsidRPr="00FD2A48" w:rsidRDefault="00FD2A48" w:rsidP="00AA1D48">
      <w:pPr>
        <w:pStyle w:val="ListParagraph"/>
        <w:numPr>
          <w:ilvl w:val="0"/>
          <w:numId w:val="131"/>
        </w:numPr>
        <w:rPr>
          <w:lang w:eastAsia="zh-CN"/>
        </w:rPr>
      </w:pPr>
      <w:r w:rsidRPr="00FD2A48">
        <w:rPr>
          <w:lang w:eastAsia="zh-CN"/>
        </w:rPr>
        <w:t xml:space="preserve">Adopt the following TP to 38.214 for the support of FDRA Type 2 for PUSCH scheduled by DCI format 0_3: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683"/>
      </w:tblGrid>
      <w:tr w:rsidR="00FD2A48" w:rsidRPr="00FD2A48" w14:paraId="599ACCD2" w14:textId="77777777" w:rsidTr="005268C8">
        <w:tc>
          <w:tcPr>
            <w:tcW w:w="5000" w:type="pct"/>
            <w:shd w:val="clear" w:color="auto" w:fill="auto"/>
          </w:tcPr>
          <w:p w14:paraId="5663AD14" w14:textId="77777777" w:rsidR="00FD2A48" w:rsidRPr="005268C8" w:rsidRDefault="00FD2A48" w:rsidP="005268C8">
            <w:pPr>
              <w:rPr>
                <w:rFonts w:ascii="Arial" w:hAnsi="Arial" w:cs="Arial"/>
                <w:b/>
                <w:bCs/>
                <w:sz w:val="16"/>
                <w:szCs w:val="16"/>
                <w:lang w:val="en-US"/>
              </w:rPr>
            </w:pPr>
            <w:r w:rsidRPr="005268C8">
              <w:rPr>
                <w:rFonts w:ascii="Arial" w:hAnsi="Arial" w:cs="Arial"/>
                <w:b/>
                <w:bCs/>
                <w:sz w:val="16"/>
                <w:szCs w:val="16"/>
              </w:rPr>
              <w:t>6.1.2.2</w:t>
            </w:r>
            <w:r w:rsidRPr="005268C8">
              <w:rPr>
                <w:rFonts w:ascii="Arial" w:hAnsi="Arial" w:cs="Arial"/>
                <w:b/>
                <w:bCs/>
                <w:sz w:val="16"/>
                <w:szCs w:val="16"/>
                <w:lang w:val="en-US"/>
              </w:rPr>
              <w:t>.3</w:t>
            </w:r>
            <w:r w:rsidRPr="005268C8">
              <w:rPr>
                <w:rFonts w:ascii="Arial" w:hAnsi="Arial" w:cs="Arial"/>
                <w:b/>
                <w:bCs/>
                <w:sz w:val="16"/>
                <w:szCs w:val="16"/>
              </w:rPr>
              <w:tab/>
              <w:t xml:space="preserve">Uplink resource allocation type </w:t>
            </w:r>
            <w:r w:rsidRPr="005268C8">
              <w:rPr>
                <w:rFonts w:ascii="Arial" w:hAnsi="Arial" w:cs="Arial"/>
                <w:b/>
                <w:bCs/>
                <w:sz w:val="16"/>
                <w:szCs w:val="16"/>
                <w:lang w:val="en-US"/>
              </w:rPr>
              <w:t>2</w:t>
            </w:r>
          </w:p>
          <w:p w14:paraId="48F3B5C7" w14:textId="1748E610" w:rsidR="00FD2A48" w:rsidRPr="00FD2A48" w:rsidRDefault="00FD2A48" w:rsidP="005268C8">
            <w:pPr>
              <w:rPr>
                <w:rFonts w:ascii="Arial" w:hAnsi="Arial" w:cs="Arial"/>
                <w:color w:val="000000"/>
                <w:sz w:val="16"/>
                <w:szCs w:val="16"/>
              </w:rPr>
            </w:pPr>
            <w:r w:rsidRPr="00FD2A48">
              <w:rPr>
                <w:rFonts w:ascii="Arial" w:hAnsi="Arial" w:cs="Arial"/>
                <w:color w:val="000000"/>
                <w:sz w:val="16"/>
                <w:szCs w:val="16"/>
              </w:rPr>
              <w:t xml:space="preserve">In uplink resource allocation of type 2, the resource block assignment information defined in [5, TS 38.212] indicates to a UE a set of up to </w:t>
            </w:r>
            <w:r w:rsidRPr="00FD2A48">
              <w:rPr>
                <w:rFonts w:ascii="Arial" w:hAnsi="Arial" w:cs="Arial"/>
                <w:i/>
                <w:color w:val="000000"/>
                <w:sz w:val="16"/>
                <w:szCs w:val="16"/>
              </w:rPr>
              <w:t>M</w:t>
            </w:r>
            <w:r w:rsidRPr="00FD2A48">
              <w:rPr>
                <w:rFonts w:ascii="Arial" w:hAnsi="Arial" w:cs="Arial"/>
                <w:color w:val="000000"/>
                <w:sz w:val="16"/>
                <w:szCs w:val="16"/>
              </w:rPr>
              <w:t xml:space="preserve"> interlace indices, and for DCI </w:t>
            </w:r>
            <w:r w:rsidRPr="00FD2A48">
              <w:rPr>
                <w:rFonts w:ascii="Arial" w:hAnsi="Arial" w:cs="Arial"/>
                <w:color w:val="FF0000"/>
                <w:sz w:val="16"/>
                <w:szCs w:val="16"/>
              </w:rPr>
              <w:t xml:space="preserve">format </w:t>
            </w:r>
            <w:r w:rsidRPr="00FD2A48">
              <w:rPr>
                <w:rFonts w:ascii="Arial" w:hAnsi="Arial" w:cs="Arial"/>
                <w:color w:val="000000"/>
                <w:sz w:val="16"/>
                <w:szCs w:val="16"/>
              </w:rPr>
              <w:t xml:space="preserve">0_0 monitored in a UE-specific search space and DCI </w:t>
            </w:r>
            <w:r w:rsidRPr="00FD2A48">
              <w:rPr>
                <w:rFonts w:ascii="Arial" w:hAnsi="Arial" w:cs="Arial"/>
                <w:color w:val="FF0000"/>
                <w:sz w:val="16"/>
                <w:szCs w:val="16"/>
              </w:rPr>
              <w:t xml:space="preserve">formats </w:t>
            </w:r>
            <w:r w:rsidRPr="00FD2A48">
              <w:rPr>
                <w:rFonts w:ascii="Arial" w:hAnsi="Arial" w:cs="Arial"/>
                <w:color w:val="000000"/>
                <w:sz w:val="16"/>
                <w:szCs w:val="16"/>
              </w:rPr>
              <w:t xml:space="preserve">0_1 </w:t>
            </w:r>
            <w:r w:rsidRPr="00FD2A48">
              <w:rPr>
                <w:rFonts w:ascii="Arial" w:hAnsi="Arial" w:cs="Arial"/>
                <w:color w:val="FF0000"/>
                <w:sz w:val="16"/>
                <w:szCs w:val="16"/>
              </w:rPr>
              <w:t xml:space="preserve">and 0_3 </w:t>
            </w:r>
            <w:r w:rsidRPr="00FD2A48">
              <w:rPr>
                <w:rFonts w:ascii="Arial" w:hAnsi="Arial" w:cs="Arial"/>
                <w:color w:val="000000"/>
                <w:sz w:val="16"/>
                <w:szCs w:val="16"/>
              </w:rPr>
              <w:t xml:space="preserve">a set of up to </w:t>
            </w:r>
            <m:oMath>
              <m:r>
                <w:rPr>
                  <w:rFonts w:ascii="Cambria Math" w:hAnsi="Cambria Math" w:cs="Arial"/>
                  <w:color w:val="000000"/>
                  <w:sz w:val="16"/>
                  <w:szCs w:val="16"/>
                </w:rPr>
                <m:t xml:space="preserve"> </m:t>
              </m:r>
              <m:sSubSup>
                <m:sSubSupPr>
                  <m:ctrlPr>
                    <w:rPr>
                      <w:rFonts w:ascii="Cambria Math" w:hAnsi="Cambria Math" w:cs="Arial"/>
                      <w:color w:val="000000"/>
                      <w:sz w:val="16"/>
                      <w:szCs w:val="16"/>
                    </w:rPr>
                  </m:ctrlPr>
                </m:sSubSupPr>
                <m:e>
                  <m:r>
                    <w:rPr>
                      <w:rFonts w:ascii="Cambria Math" w:hAnsi="Cambria Math" w:cs="Arial"/>
                      <w:color w:val="000000"/>
                      <w:sz w:val="16"/>
                      <w:szCs w:val="16"/>
                    </w:rPr>
                    <m:t>N</m:t>
                  </m:r>
                </m:e>
                <m:sub>
                  <m:r>
                    <m:rPr>
                      <m:sty m:val="p"/>
                    </m:rPr>
                    <w:rPr>
                      <w:rFonts w:ascii="Cambria Math" w:hAnsi="Cambria Math" w:cs="Arial"/>
                      <w:color w:val="000000"/>
                      <w:sz w:val="16"/>
                      <w:szCs w:val="16"/>
                    </w:rPr>
                    <m:t>RB</m:t>
                  </m:r>
                  <m:r>
                    <m:rPr>
                      <m:nor/>
                    </m:rPr>
                    <w:rPr>
                      <w:rFonts w:ascii="Arial" w:hAnsi="Arial" w:cs="Arial"/>
                      <w:color w:val="000000"/>
                      <w:sz w:val="16"/>
                      <w:szCs w:val="16"/>
                    </w:rPr>
                    <m:t>-</m:t>
                  </m:r>
                  <m:r>
                    <m:rPr>
                      <m:sty m:val="p"/>
                    </m:rPr>
                    <w:rPr>
                      <w:rFonts w:ascii="Cambria Math" w:hAnsi="Cambria Math" w:cs="Arial"/>
                      <w:color w:val="000000"/>
                      <w:sz w:val="16"/>
                      <w:szCs w:val="16"/>
                    </w:rPr>
                    <m:t>set,UL</m:t>
                  </m:r>
                </m:sub>
                <m:sup>
                  <m:r>
                    <m:rPr>
                      <m:sty m:val="p"/>
                    </m:rPr>
                    <w:rPr>
                      <w:rFonts w:ascii="Cambria Math" w:hAnsi="Cambria Math" w:cs="Arial"/>
                      <w:color w:val="000000"/>
                      <w:sz w:val="16"/>
                      <w:szCs w:val="16"/>
                    </w:rPr>
                    <m:t>BWP</m:t>
                  </m:r>
                </m:sup>
              </m:sSubSup>
            </m:oMath>
            <w:r w:rsidRPr="00FD2A48">
              <w:rPr>
                <w:rFonts w:ascii="Arial" w:hAnsi="Arial" w:cs="Arial"/>
                <w:color w:val="000000"/>
                <w:sz w:val="16"/>
                <w:szCs w:val="16"/>
              </w:rPr>
              <w:t xml:space="preserve"> contiguous RB sets, where </w:t>
            </w:r>
            <w:r w:rsidRPr="00FD2A48">
              <w:rPr>
                <w:rFonts w:ascii="Arial" w:hAnsi="Arial" w:cs="Arial"/>
                <w:i/>
                <w:color w:val="000000"/>
                <w:sz w:val="16"/>
                <w:szCs w:val="16"/>
              </w:rPr>
              <w:t>M</w:t>
            </w:r>
            <w:r w:rsidRPr="00FD2A48">
              <w:rPr>
                <w:rFonts w:ascii="Arial" w:hAnsi="Arial" w:cs="Arial"/>
                <w:color w:val="000000"/>
                <w:sz w:val="16"/>
                <w:szCs w:val="16"/>
              </w:rPr>
              <w:t xml:space="preserve"> and interlace indexing are defined in Clause 4.4.4.6 in [4, TS 38.211]. Within the active UL BWP, the assigned physical resource block </w:t>
            </w:r>
            <m:oMath>
              <m:r>
                <w:rPr>
                  <w:rFonts w:ascii="Cambria Math" w:hAnsi="Cambria Math" w:cs="Arial"/>
                  <w:color w:val="000000"/>
                  <w:sz w:val="16"/>
                  <w:szCs w:val="16"/>
                </w:rPr>
                <m:t>n</m:t>
              </m:r>
            </m:oMath>
            <w:r w:rsidRPr="00FD2A48">
              <w:rPr>
                <w:rFonts w:ascii="Arial" w:hAnsi="Arial" w:cs="Arial"/>
                <w:color w:val="000000"/>
                <w:sz w:val="16"/>
                <w:szCs w:val="16"/>
              </w:rPr>
              <w:t xml:space="preserve"> is mapped to virtual resource block </w:t>
            </w:r>
            <m:oMath>
              <m:r>
                <w:rPr>
                  <w:rFonts w:ascii="Cambria Math" w:hAnsi="Cambria Math" w:cs="Arial"/>
                  <w:color w:val="000000"/>
                  <w:sz w:val="16"/>
                  <w:szCs w:val="16"/>
                </w:rPr>
                <m:t>n.</m:t>
              </m:r>
            </m:oMath>
            <w:r w:rsidRPr="00FD2A48">
              <w:rPr>
                <w:rFonts w:ascii="Arial" w:hAnsi="Arial" w:cs="Arial"/>
                <w:color w:val="000000"/>
                <w:sz w:val="16"/>
                <w:szCs w:val="16"/>
              </w:rPr>
              <w:t xml:space="preserve"> For DCI </w:t>
            </w:r>
            <w:r w:rsidRPr="00FD2A48">
              <w:rPr>
                <w:rFonts w:ascii="Arial" w:hAnsi="Arial" w:cs="Arial"/>
                <w:color w:val="FF0000"/>
                <w:sz w:val="16"/>
                <w:szCs w:val="16"/>
              </w:rPr>
              <w:t xml:space="preserve">format </w:t>
            </w:r>
            <w:r w:rsidRPr="00FD2A48">
              <w:rPr>
                <w:rFonts w:ascii="Arial" w:hAnsi="Arial" w:cs="Arial"/>
                <w:color w:val="000000"/>
                <w:sz w:val="16"/>
                <w:szCs w:val="16"/>
              </w:rPr>
              <w:t xml:space="preserve">0_0 monitored in a UE-specific search space and DCI </w:t>
            </w:r>
            <w:r w:rsidRPr="00FD2A48">
              <w:rPr>
                <w:rFonts w:ascii="Arial" w:hAnsi="Arial" w:cs="Arial"/>
                <w:color w:val="FF0000"/>
                <w:sz w:val="16"/>
                <w:szCs w:val="16"/>
              </w:rPr>
              <w:t xml:space="preserve">formats </w:t>
            </w:r>
            <w:r w:rsidRPr="00FD2A48">
              <w:rPr>
                <w:rFonts w:ascii="Arial" w:hAnsi="Arial" w:cs="Arial"/>
                <w:color w:val="000000"/>
                <w:sz w:val="16"/>
                <w:szCs w:val="16"/>
              </w:rPr>
              <w:t xml:space="preserve">0_1 </w:t>
            </w:r>
            <w:r w:rsidRPr="00FD2A48">
              <w:rPr>
                <w:rFonts w:ascii="Arial" w:hAnsi="Arial" w:cs="Arial"/>
                <w:color w:val="FF0000"/>
                <w:sz w:val="16"/>
                <w:szCs w:val="16"/>
              </w:rPr>
              <w:t>and 0_3</w:t>
            </w:r>
            <w:r w:rsidRPr="00FD2A48">
              <w:rPr>
                <w:rFonts w:ascii="Arial" w:hAnsi="Arial" w:cs="Arial"/>
                <w:color w:val="000000"/>
                <w:sz w:val="16"/>
                <w:szCs w:val="16"/>
              </w:rPr>
              <w:t xml:space="preserve">, the UE shall determine the resource allocation in frequency domain as an intersection of the resource blocks of the indicated interlaces and the union of the indicated set of RB sets and intra-cell guard bands defined in Clause 7 between the indicated RB sets, if any. For DCI </w:t>
            </w:r>
            <w:r w:rsidRPr="00FD2A48">
              <w:rPr>
                <w:rFonts w:ascii="Arial" w:hAnsi="Arial" w:cs="Arial"/>
                <w:color w:val="FF0000"/>
                <w:sz w:val="16"/>
                <w:szCs w:val="16"/>
              </w:rPr>
              <w:t>format</w:t>
            </w:r>
            <w:r w:rsidRPr="00FD2A48">
              <w:rPr>
                <w:rFonts w:ascii="Arial" w:hAnsi="Arial" w:cs="Arial"/>
                <w:color w:val="000000"/>
                <w:sz w:val="16"/>
                <w:szCs w:val="16"/>
              </w:rPr>
              <w:t xml:space="preserve"> 0_0 monitored in a common search space, the UE shall determine the resource allocation in frequency domain as an intersection of the resource blocks of the indicated interlaces and a single uplink RB set of the active UL BWP. For DCI </w:t>
            </w:r>
            <w:r w:rsidRPr="00FD2A48">
              <w:rPr>
                <w:rFonts w:ascii="Arial" w:hAnsi="Arial" w:cs="Arial"/>
                <w:color w:val="FF0000"/>
                <w:sz w:val="16"/>
                <w:szCs w:val="16"/>
              </w:rPr>
              <w:t xml:space="preserve">format </w:t>
            </w:r>
            <w:r w:rsidRPr="00FD2A48">
              <w:rPr>
                <w:rFonts w:ascii="Arial" w:hAnsi="Arial" w:cs="Arial"/>
                <w:color w:val="000000"/>
                <w:sz w:val="16"/>
                <w:szCs w:val="16"/>
              </w:rPr>
              <w:t xml:space="preserve">0_0 monitored in a CSS with CRC scrambled by an RNTI other than TC-RNTI, the uplink RB set is the lowest indexed one amongst uplink RB set(s) that intersects the lowest-indexed CCE of the PDCCH in which the UE detects the DCI </w:t>
            </w:r>
            <w:r w:rsidRPr="00FD2A48">
              <w:rPr>
                <w:rFonts w:ascii="Arial" w:hAnsi="Arial" w:cs="Arial"/>
                <w:color w:val="FF0000"/>
                <w:sz w:val="16"/>
                <w:szCs w:val="16"/>
              </w:rPr>
              <w:t xml:space="preserve">format </w:t>
            </w:r>
            <w:r w:rsidRPr="00FD2A48">
              <w:rPr>
                <w:rFonts w:ascii="Arial" w:hAnsi="Arial" w:cs="Arial"/>
                <w:color w:val="000000"/>
                <w:sz w:val="16"/>
                <w:szCs w:val="16"/>
              </w:rPr>
              <w:t xml:space="preserve">0_0 in the active downlink BWP. </w:t>
            </w:r>
            <w:r w:rsidRPr="00FD2A48">
              <w:rPr>
                <w:rFonts w:ascii="Arial" w:hAnsi="Arial" w:cs="Arial"/>
                <w:sz w:val="16"/>
                <w:szCs w:val="16"/>
              </w:rPr>
              <w:t>When the PDCCH reception includes two PDCCH candidates from two respective search space sets, as described in clause 10.1 of [6, TS 38.213],</w:t>
            </w:r>
            <w:r w:rsidRPr="00FD2A48">
              <w:rPr>
                <w:rFonts w:ascii="Arial" w:hAnsi="Arial" w:cs="Arial"/>
                <w:color w:val="000000"/>
                <w:sz w:val="16"/>
                <w:szCs w:val="16"/>
              </w:rPr>
              <w:t xml:space="preserve"> for the purpose of determining the uplink RB set of a PUSCH when scheduled by DCI </w:t>
            </w:r>
            <w:r w:rsidRPr="00FD2A48">
              <w:rPr>
                <w:rFonts w:ascii="Arial" w:hAnsi="Arial" w:cs="Arial"/>
                <w:color w:val="FF0000"/>
                <w:sz w:val="16"/>
                <w:szCs w:val="16"/>
              </w:rPr>
              <w:t xml:space="preserve">format </w:t>
            </w:r>
            <w:r w:rsidRPr="00FD2A48">
              <w:rPr>
                <w:rFonts w:ascii="Arial" w:hAnsi="Arial" w:cs="Arial"/>
                <w:color w:val="000000"/>
                <w:sz w:val="16"/>
                <w:szCs w:val="16"/>
              </w:rPr>
              <w:t>0_0 monitored in a CSS with CRC scrambled by an RNTI other than TC-RNTI,</w:t>
            </w:r>
            <w:r w:rsidRPr="00FD2A48">
              <w:rPr>
                <w:rFonts w:ascii="Arial" w:hAnsi="Arial" w:cs="Arial"/>
                <w:sz w:val="16"/>
                <w:szCs w:val="16"/>
              </w:rPr>
              <w:t xml:space="preserve"> </w:t>
            </w:r>
            <w:r w:rsidRPr="00FD2A48">
              <w:rPr>
                <w:rFonts w:ascii="Arial" w:hAnsi="Arial" w:cs="Arial"/>
                <w:color w:val="000000"/>
                <w:sz w:val="16"/>
                <w:szCs w:val="16"/>
              </w:rPr>
              <w:t xml:space="preserve">the CORESET with lower ID among two CORESETs associated with two PDCCH candidates is used. If there is no intersection, the uplink RB set is RB set 0 in the active uplink BWP. For DCI </w:t>
            </w:r>
            <w:r w:rsidRPr="00FD2A48">
              <w:rPr>
                <w:rFonts w:ascii="Arial" w:hAnsi="Arial" w:cs="Arial"/>
                <w:color w:val="FF0000"/>
                <w:sz w:val="16"/>
                <w:szCs w:val="16"/>
              </w:rPr>
              <w:t xml:space="preserve">format </w:t>
            </w:r>
            <w:r w:rsidRPr="00FD2A48">
              <w:rPr>
                <w:rFonts w:ascii="Arial" w:hAnsi="Arial" w:cs="Arial"/>
                <w:color w:val="000000"/>
                <w:sz w:val="16"/>
                <w:szCs w:val="16"/>
              </w:rPr>
              <w:t xml:space="preserve">0_0 with CRC scrambled by TC-RNTI, the uplink RB set is the same one in which the UE transmits the PRACH associated with the RAR UL grant, in which case the UE assumes that the uplink RB set is defined as when </w:t>
            </w:r>
            <w:r w:rsidRPr="00FD2A48">
              <w:rPr>
                <w:rFonts w:ascii="Arial" w:eastAsia="Malgun Gothic" w:hAnsi="Arial" w:cs="Arial"/>
                <w:color w:val="000000"/>
                <w:sz w:val="16"/>
                <w:szCs w:val="16"/>
                <w:lang w:val="en-US"/>
              </w:rPr>
              <w:t xml:space="preserve">the UE is not configured with </w:t>
            </w:r>
            <w:r w:rsidRPr="00FD2A48">
              <w:rPr>
                <w:rFonts w:ascii="Arial" w:eastAsia="Malgun Gothic" w:hAnsi="Arial" w:cs="Arial"/>
                <w:i/>
                <w:color w:val="000000"/>
                <w:sz w:val="16"/>
                <w:szCs w:val="16"/>
                <w:lang w:val="en-US"/>
              </w:rPr>
              <w:t xml:space="preserve">intraCellGuardBandsUL-List </w:t>
            </w:r>
            <w:r w:rsidRPr="00FD2A48">
              <w:rPr>
                <w:rFonts w:ascii="Arial" w:eastAsia="Malgun Gothic" w:hAnsi="Arial" w:cs="Arial"/>
                <w:color w:val="000000"/>
                <w:sz w:val="16"/>
                <w:szCs w:val="16"/>
                <w:lang w:val="en-US"/>
              </w:rPr>
              <w:t>(see Clause 7)</w:t>
            </w:r>
            <w:r w:rsidRPr="00FD2A48">
              <w:rPr>
                <w:rFonts w:ascii="Arial" w:hAnsi="Arial" w:cs="Arial"/>
                <w:color w:val="000000"/>
                <w:sz w:val="16"/>
                <w:szCs w:val="16"/>
              </w:rPr>
              <w:t>.</w:t>
            </w:r>
          </w:p>
          <w:p w14:paraId="48916125" w14:textId="14CBEB02" w:rsidR="00FD2A48" w:rsidRPr="00FD2A48" w:rsidRDefault="00FD2A48" w:rsidP="005268C8">
            <w:pPr>
              <w:jc w:val="center"/>
              <w:rPr>
                <w:rFonts w:ascii="Arial" w:hAnsi="Arial" w:cs="Arial"/>
                <w:color w:val="FF0000"/>
                <w:sz w:val="16"/>
                <w:szCs w:val="16"/>
              </w:rPr>
            </w:pPr>
            <w:r w:rsidRPr="00FD2A48">
              <w:rPr>
                <w:rFonts w:ascii="Arial" w:hAnsi="Arial" w:cs="Arial"/>
                <w:color w:val="FF0000"/>
                <w:sz w:val="16"/>
                <w:szCs w:val="16"/>
              </w:rPr>
              <w:t>&lt;omitted text&gt;</w:t>
            </w:r>
          </w:p>
          <w:p w14:paraId="0C4897B8" w14:textId="32789FC7" w:rsidR="00FD2A48" w:rsidRPr="00FD2A48" w:rsidRDefault="00FD2A48" w:rsidP="005268C8">
            <w:pPr>
              <w:rPr>
                <w:rFonts w:ascii="Arial" w:hAnsi="Arial" w:cs="Arial"/>
                <w:color w:val="000000"/>
                <w:sz w:val="16"/>
                <w:szCs w:val="16"/>
              </w:rPr>
            </w:pPr>
            <w:r w:rsidRPr="00FD2A48">
              <w:rPr>
                <w:rFonts w:ascii="Arial" w:hAnsi="Arial" w:cs="Arial"/>
                <w:color w:val="000000"/>
                <w:sz w:val="16"/>
                <w:szCs w:val="16"/>
              </w:rPr>
              <w:t xml:space="preserve">For DCI </w:t>
            </w:r>
            <w:r w:rsidRPr="00FD2A48">
              <w:rPr>
                <w:rFonts w:ascii="Arial" w:hAnsi="Arial" w:cs="Arial"/>
                <w:color w:val="FF0000"/>
                <w:sz w:val="16"/>
                <w:szCs w:val="16"/>
              </w:rPr>
              <w:t xml:space="preserve">format </w:t>
            </w:r>
            <w:r w:rsidRPr="00FD2A48">
              <w:rPr>
                <w:rFonts w:ascii="Arial" w:hAnsi="Arial" w:cs="Arial"/>
                <w:color w:val="000000"/>
                <w:sz w:val="16"/>
                <w:szCs w:val="16"/>
              </w:rPr>
              <w:t>0_0 monitored in a UE-specific search space and DC</w:t>
            </w:r>
            <w:r w:rsidRPr="00FD2A48">
              <w:rPr>
                <w:rFonts w:ascii="Arial" w:hAnsi="Arial" w:cs="Arial"/>
                <w:color w:val="FF0000"/>
                <w:sz w:val="16"/>
                <w:szCs w:val="16"/>
              </w:rPr>
              <w:t>I formats</w:t>
            </w:r>
            <w:r w:rsidRPr="00FD2A48">
              <w:rPr>
                <w:rFonts w:ascii="Arial" w:hAnsi="Arial" w:cs="Arial"/>
                <w:color w:val="000000"/>
                <w:sz w:val="16"/>
                <w:szCs w:val="16"/>
              </w:rPr>
              <w:t xml:space="preserve"> 0_1 </w:t>
            </w:r>
            <w:r w:rsidRPr="00FD2A48">
              <w:rPr>
                <w:rFonts w:ascii="Arial" w:hAnsi="Arial" w:cs="Arial"/>
                <w:color w:val="FF0000"/>
                <w:sz w:val="16"/>
                <w:szCs w:val="16"/>
              </w:rPr>
              <w:t xml:space="preserve">and 0_3 </w:t>
            </w:r>
            <w:r w:rsidRPr="00FD2A48">
              <w:rPr>
                <w:rFonts w:ascii="Arial" w:hAnsi="Arial" w:cs="Arial"/>
                <w:color w:val="000000"/>
                <w:sz w:val="16"/>
                <w:szCs w:val="16"/>
              </w:rPr>
              <w:t xml:space="preserve">for both µ=0 and µ=1, the </w:t>
            </w:r>
            <m:oMath>
              <m:r>
                <w:rPr>
                  <w:rFonts w:ascii="Cambria Math" w:hAnsi="Cambria Math" w:cs="Arial"/>
                  <w:color w:val="000000"/>
                  <w:sz w:val="16"/>
                  <w:szCs w:val="16"/>
                </w:rPr>
                <m:t>Y=</m:t>
              </m:r>
              <m:d>
                <m:dPr>
                  <m:begChr m:val="⌈"/>
                  <m:endChr m:val="⌉"/>
                  <m:ctrlPr>
                    <w:rPr>
                      <w:rFonts w:ascii="Cambria Math" w:hAnsi="Cambria Math" w:cs="Arial"/>
                      <w:i/>
                      <w:color w:val="000000"/>
                      <w:sz w:val="16"/>
                      <w:szCs w:val="16"/>
                      <w:lang w:val="en-US"/>
                    </w:rPr>
                  </m:ctrlPr>
                </m:dPr>
                <m:e>
                  <m:sSub>
                    <m:sSubPr>
                      <m:ctrlPr>
                        <w:rPr>
                          <w:rFonts w:ascii="Cambria Math" w:hAnsi="Cambria Math" w:cs="Arial"/>
                          <w:i/>
                          <w:color w:val="000000"/>
                          <w:sz w:val="16"/>
                          <w:szCs w:val="16"/>
                        </w:rPr>
                      </m:ctrlPr>
                    </m:sSubPr>
                    <m:e>
                      <m:r>
                        <m:rPr>
                          <m:nor/>
                        </m:rPr>
                        <w:rPr>
                          <w:rFonts w:ascii="Arial" w:hAnsi="Arial" w:cs="Arial"/>
                          <w:color w:val="000000"/>
                          <w:sz w:val="16"/>
                          <w:szCs w:val="16"/>
                        </w:rPr>
                        <m:t>log</m:t>
                      </m:r>
                    </m:e>
                    <m:sub>
                      <m:r>
                        <w:rPr>
                          <w:rFonts w:ascii="Cambria Math" w:hAnsi="Cambria Math" w:cs="Arial"/>
                          <w:color w:val="000000"/>
                          <w:sz w:val="16"/>
                          <w:szCs w:val="16"/>
                        </w:rPr>
                        <m:t>2</m:t>
                      </m:r>
                    </m:sub>
                  </m:sSub>
                  <m:f>
                    <m:fPr>
                      <m:ctrlPr>
                        <w:rPr>
                          <w:rFonts w:ascii="Cambria Math" w:hAnsi="Cambria Math" w:cs="Arial"/>
                          <w:i/>
                          <w:color w:val="000000"/>
                          <w:sz w:val="16"/>
                          <w:szCs w:val="16"/>
                          <w:lang w:val="en-US"/>
                        </w:rPr>
                      </m:ctrlPr>
                    </m:fPr>
                    <m:num>
                      <m:sSubSup>
                        <m:sSubSupPr>
                          <m:ctrlPr>
                            <w:rPr>
                              <w:rFonts w:ascii="Cambria Math" w:hAnsi="Cambria Math" w:cs="Arial"/>
                              <w:i/>
                              <w:color w:val="000000"/>
                              <w:sz w:val="16"/>
                              <w:szCs w:val="16"/>
                              <w:lang w:val="en-US"/>
                            </w:rPr>
                          </m:ctrlPr>
                        </m:sSubSupPr>
                        <m:e>
                          <m:r>
                            <w:rPr>
                              <w:rFonts w:ascii="Cambria Math" w:hAnsi="Cambria Math" w:cs="Arial"/>
                              <w:color w:val="000000"/>
                              <w:sz w:val="16"/>
                              <w:szCs w:val="16"/>
                              <w:lang w:val="en-US"/>
                            </w:rPr>
                            <m:t>N</m:t>
                          </m:r>
                        </m:e>
                        <m:sub>
                          <m:r>
                            <m:rPr>
                              <m:sty m:val="p"/>
                            </m:rPr>
                            <w:rPr>
                              <w:rFonts w:ascii="Cambria Math" w:hAnsi="Cambria Math" w:cs="Arial"/>
                              <w:color w:val="000000"/>
                              <w:sz w:val="16"/>
                              <w:szCs w:val="16"/>
                              <w:lang w:val="en-US"/>
                            </w:rPr>
                            <m:t>RB</m:t>
                          </m:r>
                          <m:r>
                            <m:rPr>
                              <m:nor/>
                            </m:rPr>
                            <w:rPr>
                              <w:rFonts w:ascii="Arial" w:hAnsi="Arial" w:cs="Arial"/>
                              <w:color w:val="000000"/>
                              <w:sz w:val="16"/>
                              <w:szCs w:val="16"/>
                            </w:rPr>
                            <m:t>-</m:t>
                          </m:r>
                          <m:r>
                            <m:rPr>
                              <m:sty m:val="p"/>
                            </m:rPr>
                            <w:rPr>
                              <w:rFonts w:ascii="Cambria Math" w:hAnsi="Cambria Math" w:cs="Arial"/>
                              <w:color w:val="000000"/>
                              <w:sz w:val="16"/>
                              <w:szCs w:val="16"/>
                              <w:lang w:val="en-US"/>
                            </w:rPr>
                            <m:t>set,UL</m:t>
                          </m:r>
                        </m:sub>
                        <m:sup>
                          <m:r>
                            <m:rPr>
                              <m:sty m:val="p"/>
                            </m:rPr>
                            <w:rPr>
                              <w:rFonts w:ascii="Cambria Math" w:hAnsi="Cambria Math" w:cs="Arial"/>
                              <w:color w:val="000000"/>
                              <w:sz w:val="16"/>
                              <w:szCs w:val="16"/>
                              <w:lang w:val="en-US"/>
                            </w:rPr>
                            <m:t>BWP</m:t>
                          </m:r>
                        </m:sup>
                      </m:sSubSup>
                      <m:d>
                        <m:dPr>
                          <m:ctrlPr>
                            <w:rPr>
                              <w:rFonts w:ascii="Cambria Math" w:hAnsi="Cambria Math" w:cs="Arial"/>
                              <w:i/>
                              <w:color w:val="000000"/>
                              <w:sz w:val="16"/>
                              <w:szCs w:val="16"/>
                              <w:lang w:val="en-US"/>
                            </w:rPr>
                          </m:ctrlPr>
                        </m:dPr>
                        <m:e>
                          <m:sSubSup>
                            <m:sSubSupPr>
                              <m:ctrlPr>
                                <w:rPr>
                                  <w:rFonts w:ascii="Cambria Math" w:hAnsi="Cambria Math" w:cs="Arial"/>
                                  <w:i/>
                                  <w:color w:val="000000"/>
                                  <w:sz w:val="16"/>
                                  <w:szCs w:val="16"/>
                                  <w:lang w:val="en-US"/>
                                </w:rPr>
                              </m:ctrlPr>
                            </m:sSubSupPr>
                            <m:e>
                              <m:r>
                                <w:rPr>
                                  <w:rFonts w:ascii="Cambria Math" w:hAnsi="Cambria Math" w:cs="Arial"/>
                                  <w:color w:val="000000"/>
                                  <w:sz w:val="16"/>
                                  <w:szCs w:val="16"/>
                                  <w:lang w:val="en-US"/>
                                </w:rPr>
                                <m:t>N</m:t>
                              </m:r>
                            </m:e>
                            <m:sub>
                              <m:r>
                                <m:rPr>
                                  <m:sty m:val="p"/>
                                </m:rPr>
                                <w:rPr>
                                  <w:rFonts w:ascii="Cambria Math" w:hAnsi="Cambria Math" w:cs="Arial"/>
                                  <w:color w:val="000000"/>
                                  <w:sz w:val="16"/>
                                  <w:szCs w:val="16"/>
                                  <w:lang w:val="en-US"/>
                                </w:rPr>
                                <m:t>RB</m:t>
                              </m:r>
                              <m:r>
                                <m:rPr>
                                  <m:nor/>
                                </m:rPr>
                                <w:rPr>
                                  <w:rFonts w:ascii="Arial" w:hAnsi="Arial" w:cs="Arial"/>
                                  <w:color w:val="000000"/>
                                  <w:sz w:val="16"/>
                                  <w:szCs w:val="16"/>
                                </w:rPr>
                                <m:t>-</m:t>
                              </m:r>
                              <m:r>
                                <m:rPr>
                                  <m:sty m:val="p"/>
                                </m:rPr>
                                <w:rPr>
                                  <w:rFonts w:ascii="Cambria Math" w:hAnsi="Cambria Math" w:cs="Arial"/>
                                  <w:color w:val="000000"/>
                                  <w:sz w:val="16"/>
                                  <w:szCs w:val="16"/>
                                  <w:lang w:val="en-US"/>
                                </w:rPr>
                                <m:t>set,UL</m:t>
                              </m:r>
                            </m:sub>
                            <m:sup>
                              <m:r>
                                <m:rPr>
                                  <m:sty m:val="p"/>
                                </m:rPr>
                                <w:rPr>
                                  <w:rFonts w:ascii="Cambria Math" w:hAnsi="Cambria Math" w:cs="Arial"/>
                                  <w:color w:val="000000"/>
                                  <w:sz w:val="16"/>
                                  <w:szCs w:val="16"/>
                                  <w:lang w:val="en-US"/>
                                </w:rPr>
                                <m:t>BWP</m:t>
                              </m:r>
                            </m:sup>
                          </m:sSubSup>
                          <m:r>
                            <w:rPr>
                              <w:rFonts w:ascii="Cambria Math" w:hAnsi="Cambria Math" w:cs="Arial"/>
                              <w:color w:val="000000"/>
                              <w:sz w:val="16"/>
                              <w:szCs w:val="16"/>
                              <w:lang w:val="en-US"/>
                            </w:rPr>
                            <m:t>+1</m:t>
                          </m:r>
                        </m:e>
                      </m:d>
                    </m:num>
                    <m:den>
                      <m:r>
                        <w:rPr>
                          <w:rFonts w:ascii="Cambria Math" w:hAnsi="Cambria Math" w:cs="Arial"/>
                          <w:color w:val="000000"/>
                          <w:sz w:val="16"/>
                          <w:szCs w:val="16"/>
                          <w:lang w:val="en-US"/>
                        </w:rPr>
                        <m:t>2</m:t>
                      </m:r>
                    </m:den>
                  </m:f>
                </m:e>
              </m:d>
              <m:r>
                <m:rPr>
                  <m:sty m:val="p"/>
                </m:rPr>
                <w:rPr>
                  <w:rFonts w:ascii="Cambria Math" w:hAnsi="Cambria Math" w:cs="Arial"/>
                  <w:color w:val="000000"/>
                  <w:sz w:val="16"/>
                  <w:szCs w:val="16"/>
                </w:rPr>
                <m:t xml:space="preserve">LSBs of </m:t>
              </m:r>
            </m:oMath>
            <w:r w:rsidRPr="00FD2A48">
              <w:rPr>
                <w:rFonts w:ascii="Arial" w:hAnsi="Arial" w:cs="Arial"/>
                <w:color w:val="000000"/>
                <w:sz w:val="16"/>
                <w:szCs w:val="16"/>
              </w:rPr>
              <w:t xml:space="preserve"> the resource block assignment information indicate to a UE a set of contiguously allocated RB sets for PUSCH scheduled by DCI </w:t>
            </w:r>
            <w:r w:rsidRPr="00FD2A48">
              <w:rPr>
                <w:rFonts w:ascii="Arial" w:hAnsi="Arial" w:cs="Arial"/>
                <w:color w:val="FF0000"/>
                <w:sz w:val="16"/>
                <w:szCs w:val="16"/>
              </w:rPr>
              <w:t xml:space="preserve">format </w:t>
            </w:r>
            <w:r w:rsidRPr="00FD2A48">
              <w:rPr>
                <w:rFonts w:ascii="Arial" w:hAnsi="Arial" w:cs="Arial"/>
                <w:color w:val="000000"/>
                <w:sz w:val="16"/>
                <w:szCs w:val="16"/>
              </w:rPr>
              <w:t xml:space="preserve">0_0 monitored in a UE-specific search space, DCI </w:t>
            </w:r>
            <w:r w:rsidRPr="00FD2A48">
              <w:rPr>
                <w:rFonts w:ascii="Arial" w:hAnsi="Arial" w:cs="Arial"/>
                <w:color w:val="FF0000"/>
                <w:sz w:val="16"/>
                <w:szCs w:val="16"/>
              </w:rPr>
              <w:t xml:space="preserve">formats </w:t>
            </w:r>
            <w:r w:rsidRPr="00FD2A48">
              <w:rPr>
                <w:rFonts w:ascii="Arial" w:hAnsi="Arial" w:cs="Arial"/>
                <w:color w:val="000000"/>
                <w:sz w:val="16"/>
                <w:szCs w:val="16"/>
              </w:rPr>
              <w:t xml:space="preserve">0_1 </w:t>
            </w:r>
            <w:r w:rsidRPr="00FD2A48">
              <w:rPr>
                <w:rFonts w:ascii="Arial" w:hAnsi="Arial" w:cs="Arial"/>
                <w:color w:val="FF0000"/>
                <w:sz w:val="16"/>
                <w:szCs w:val="16"/>
              </w:rPr>
              <w:t>or 0_3</w:t>
            </w:r>
            <w:r w:rsidRPr="00FD2A48">
              <w:rPr>
                <w:rFonts w:ascii="Arial" w:hAnsi="Arial" w:cs="Arial"/>
                <w:color w:val="000000"/>
                <w:sz w:val="16"/>
                <w:szCs w:val="16"/>
              </w:rPr>
              <w:t xml:space="preserve"> and Type 1 and Type 2 configured grant. The resource allocation field consists of a resource indication value (</w:t>
            </w:r>
            <m:oMath>
              <m:sSub>
                <m:sSubPr>
                  <m:ctrlPr>
                    <w:rPr>
                      <w:rFonts w:ascii="Cambria Math" w:hAnsi="Cambria Math" w:cs="Arial"/>
                      <w:i/>
                      <w:color w:val="000000"/>
                      <w:sz w:val="16"/>
                      <w:szCs w:val="16"/>
                      <w:lang w:eastAsia="en-GB"/>
                    </w:rPr>
                  </m:ctrlPr>
                </m:sSubPr>
                <m:e>
                  <m:r>
                    <w:rPr>
                      <w:rFonts w:ascii="Cambria Math" w:hAnsi="Cambria Math" w:cs="Arial"/>
                      <w:color w:val="000000"/>
                      <w:sz w:val="16"/>
                      <w:szCs w:val="16"/>
                      <w:lang w:eastAsia="en-GB"/>
                    </w:rPr>
                    <m:t>RIV</m:t>
                  </m:r>
                </m:e>
                <m:sub>
                  <m:r>
                    <m:rPr>
                      <m:sty m:val="p"/>
                    </m:rPr>
                    <w:rPr>
                      <w:rFonts w:ascii="Cambria Math" w:hAnsi="Cambria Math" w:cs="Arial"/>
                      <w:color w:val="000000"/>
                      <w:sz w:val="16"/>
                      <w:szCs w:val="16"/>
                      <w:lang w:eastAsia="en-GB"/>
                    </w:rPr>
                    <m:t>RB-set</m:t>
                  </m:r>
                </m:sub>
              </m:sSub>
            </m:oMath>
            <w:r w:rsidRPr="00FD2A48">
              <w:rPr>
                <w:rFonts w:ascii="Arial" w:hAnsi="Arial" w:cs="Arial"/>
                <w:color w:val="000000"/>
                <w:sz w:val="16"/>
                <w:szCs w:val="16"/>
              </w:rPr>
              <w:t xml:space="preserve">). </w:t>
            </w:r>
          </w:p>
          <w:p w14:paraId="57F12810" w14:textId="6E036199" w:rsidR="00FD2A48" w:rsidRPr="00FD2A48" w:rsidRDefault="00FD2A48" w:rsidP="005268C8">
            <w:pPr>
              <w:jc w:val="center"/>
              <w:rPr>
                <w:rFonts w:ascii="Arial" w:hAnsi="Arial" w:cs="Arial"/>
                <w:color w:val="FF0000"/>
                <w:sz w:val="16"/>
                <w:szCs w:val="16"/>
              </w:rPr>
            </w:pPr>
            <w:r w:rsidRPr="00FD2A48">
              <w:rPr>
                <w:rFonts w:ascii="Arial" w:hAnsi="Arial" w:cs="Arial"/>
                <w:color w:val="FF0000"/>
                <w:sz w:val="16"/>
                <w:szCs w:val="16"/>
              </w:rPr>
              <w:t>&lt;omitted text&gt;</w:t>
            </w:r>
          </w:p>
        </w:tc>
      </w:tr>
    </w:tbl>
    <w:p w14:paraId="67552473" w14:textId="77777777" w:rsidR="00FD2A48" w:rsidRPr="00FD2A48" w:rsidRDefault="00FD2A48" w:rsidP="00FD2A48">
      <w:pPr>
        <w:rPr>
          <w:lang w:eastAsia="x-none"/>
        </w:rPr>
      </w:pPr>
    </w:p>
    <w:p w14:paraId="0B57D16D" w14:textId="77777777" w:rsidR="005268C8" w:rsidRPr="00FD2A48" w:rsidRDefault="005268C8" w:rsidP="005268C8">
      <w:pPr>
        <w:rPr>
          <w:highlight w:val="green"/>
          <w:lang w:eastAsia="x-none"/>
        </w:rPr>
      </w:pPr>
      <w:r w:rsidRPr="00FD2A48">
        <w:rPr>
          <w:highlight w:val="green"/>
          <w:lang w:eastAsia="x-none"/>
        </w:rPr>
        <w:t>Agreement</w:t>
      </w:r>
    </w:p>
    <w:p w14:paraId="47BF8B80" w14:textId="77777777" w:rsidR="00FD2A48" w:rsidRPr="00FD2A48" w:rsidRDefault="00FD2A48" w:rsidP="00AA1D48">
      <w:pPr>
        <w:pStyle w:val="ListParagraph"/>
        <w:numPr>
          <w:ilvl w:val="0"/>
          <w:numId w:val="131"/>
        </w:numPr>
        <w:rPr>
          <w:lang w:eastAsia="zh-CN"/>
        </w:rPr>
      </w:pPr>
      <w:r w:rsidRPr="00FD2A48">
        <w:rPr>
          <w:lang w:eastAsia="zh-CN"/>
        </w:rPr>
        <w:t>When Antenna port(s) field in DCI format 1_3 is configured as type1a, UE expects to be configured with a common table from Tables 7.3.1.2.2-1/2/3/4 in TS38.212 is used for all cells in set of cells.</w:t>
      </w:r>
    </w:p>
    <w:p w14:paraId="1A577728" w14:textId="5AA483D6" w:rsidR="00FD2A48" w:rsidRPr="00FD2A48" w:rsidRDefault="00FD2A48" w:rsidP="00AA1D48">
      <w:pPr>
        <w:pStyle w:val="ListParagraph"/>
        <w:numPr>
          <w:ilvl w:val="1"/>
          <w:numId w:val="131"/>
        </w:numPr>
        <w:rPr>
          <w:lang w:eastAsia="zh-CN"/>
        </w:rPr>
      </w:pPr>
      <w:r w:rsidRPr="00FD2A48">
        <w:rPr>
          <w:lang w:eastAsia="zh-CN"/>
        </w:rPr>
        <w:t>The DMRS mapping type should be the same across the cells in set of cells</w:t>
      </w:r>
      <w:r w:rsidR="005268C8">
        <w:rPr>
          <w:lang w:eastAsia="zh-CN"/>
        </w:rPr>
        <w:t>.</w:t>
      </w:r>
    </w:p>
    <w:p w14:paraId="28830237" w14:textId="77777777" w:rsidR="00FD2A48" w:rsidRPr="00FD2A48" w:rsidRDefault="00FD2A48" w:rsidP="00AA1D48">
      <w:pPr>
        <w:pStyle w:val="ListParagraph"/>
        <w:numPr>
          <w:ilvl w:val="0"/>
          <w:numId w:val="131"/>
        </w:numPr>
        <w:rPr>
          <w:lang w:eastAsia="zh-CN"/>
        </w:rPr>
      </w:pPr>
      <w:r w:rsidRPr="00FD2A48">
        <w:rPr>
          <w:lang w:eastAsia="zh-CN"/>
        </w:rPr>
        <w:t>When Antenna port(s) field in DCI format 0_3 is configured as type1a, UE expects to be configured with a common table from Tables 7.3.1.1.2-6, 7.3.1.1.2-6A, 7.3.1.1.2-7, 7.3.1.1.2-7A, 7.3.1.1.2-8, 7.3.1.1.2-9, 7.3.1.1.2-10, 7.3.1.1.2-11, 7.3.1.1.2-12, 7.3.1.1.2-13, 7.3.1.1.2-14, 7.3.1.1.2-15, 7.3.1.1.2-16, 7.3.1.1.2-17, 7.3.1.1.2-18, 7.3.1.1.2-19, 7.3.1.1.2-20, 7.3.1.1.2-21, 7.3.1.1.2-22, 7.3.1.1.2-23, 7.3.1.1.2-24, and 7.3.1.1.2-25 in TS38.212 is used for all cells in set of cells.</w:t>
      </w:r>
    </w:p>
    <w:p w14:paraId="44F8B2CD" w14:textId="4658E05F" w:rsidR="00FD2A48" w:rsidRPr="00FD2A48" w:rsidRDefault="00FD2A48" w:rsidP="00AA1D48">
      <w:pPr>
        <w:pStyle w:val="ListParagraph"/>
        <w:numPr>
          <w:ilvl w:val="1"/>
          <w:numId w:val="131"/>
        </w:numPr>
        <w:rPr>
          <w:lang w:eastAsia="zh-CN"/>
        </w:rPr>
      </w:pPr>
      <w:r w:rsidRPr="00FD2A48">
        <w:rPr>
          <w:lang w:eastAsia="zh-CN"/>
        </w:rPr>
        <w:t>The DMRS mapping type should be the same across the cells in set of cells</w:t>
      </w:r>
      <w:r w:rsidR="005268C8">
        <w:rPr>
          <w:lang w:eastAsia="zh-CN"/>
        </w:rPr>
        <w:t>.</w:t>
      </w:r>
    </w:p>
    <w:p w14:paraId="13F02C81" w14:textId="77777777" w:rsidR="00FD2A48" w:rsidRPr="00FD2A48" w:rsidRDefault="00FD2A48" w:rsidP="00AA1D48">
      <w:pPr>
        <w:pStyle w:val="ListParagraph"/>
        <w:numPr>
          <w:ilvl w:val="0"/>
          <w:numId w:val="131"/>
        </w:numPr>
        <w:rPr>
          <w:lang w:eastAsia="zh-CN"/>
        </w:rPr>
      </w:pPr>
      <w:r w:rsidRPr="00FD2A48">
        <w:rPr>
          <w:lang w:eastAsia="zh-CN"/>
        </w:rPr>
        <w:t>When TPMI field in DCI format 0_3 is configured as type1a, UE expects to be configured with a common table from Tables 7.3.1.1.2-2, 7.3.1.1.2-2A, 7.3.1.1.2-B, 7.3.1.1.2-3, 7.3.1.1.2-3A, 7.3.1.1.2-4, 7.3.1.1.2-4A, 7.3.1.1.2-5, and 7.3.1.1.2-5A in TS38.212 is used for all cells in set of cells.</w:t>
      </w:r>
    </w:p>
    <w:p w14:paraId="7FE81605" w14:textId="74629516" w:rsidR="00FD2A48" w:rsidRPr="00FD2A48" w:rsidRDefault="00FD2A48" w:rsidP="00AA1D48">
      <w:pPr>
        <w:pStyle w:val="ListParagraph"/>
        <w:numPr>
          <w:ilvl w:val="0"/>
          <w:numId w:val="131"/>
        </w:numPr>
        <w:rPr>
          <w:lang w:eastAsia="zh-CN"/>
        </w:rPr>
      </w:pPr>
      <w:r w:rsidRPr="00FD2A48">
        <w:rPr>
          <w:lang w:eastAsia="zh-CN"/>
        </w:rPr>
        <w:t>When SRI field in DCI format 0_3 is configured as type1a, UE expects to be configured with a common table from Tables 7.3.1.1.2-28, 7.3.1.1.2-29, 7.3.1.1.2-30, 7.3.1.1.2-31, 7.3.1.1.2-32, 7.3.1.1.2-32A, and 7.3.1.1.2-32B in TS38.212 is used for all cells in set of cells.</w:t>
      </w:r>
    </w:p>
    <w:p w14:paraId="2706CE88" w14:textId="77777777" w:rsidR="00FD2A48" w:rsidRPr="00FD2A48" w:rsidRDefault="00FD2A48" w:rsidP="00FD2A48">
      <w:pPr>
        <w:rPr>
          <w:highlight w:val="green"/>
          <w:lang w:eastAsia="x-none"/>
        </w:rPr>
      </w:pPr>
      <w:r w:rsidRPr="00FD2A48">
        <w:rPr>
          <w:highlight w:val="green"/>
          <w:lang w:eastAsia="x-none"/>
        </w:rPr>
        <w:t>Agreement</w:t>
      </w:r>
    </w:p>
    <w:p w14:paraId="4B2DF8E5" w14:textId="77777777" w:rsidR="00FD2A48" w:rsidRPr="00FD2A48" w:rsidRDefault="00FD2A48" w:rsidP="00221913">
      <w:r w:rsidRPr="00FD2A48">
        <w:t>For a UE configured with DCI format 1_3, the number of HARQ-ACK bits used for PUCCH power control is derived based on a summation of the corresponding numbers of HARQ-ACK bits in the two HARQ-ACK sub-codebooks.</w:t>
      </w:r>
    </w:p>
    <w:p w14:paraId="19AE1F9C" w14:textId="77777777" w:rsidR="00FD2A48" w:rsidRDefault="00FD2A48" w:rsidP="00221913">
      <w:pPr>
        <w:rPr>
          <w:lang w:val="en-US" w:eastAsia="x-none"/>
        </w:rPr>
      </w:pPr>
    </w:p>
    <w:p w14:paraId="7303DCAD" w14:textId="77777777" w:rsidR="00221913" w:rsidRPr="00FD2A48" w:rsidRDefault="00221913" w:rsidP="00221913">
      <w:pPr>
        <w:rPr>
          <w:lang w:val="en-US" w:eastAsia="x-none"/>
        </w:rPr>
      </w:pPr>
    </w:p>
    <w:p w14:paraId="19AADD91" w14:textId="69A5A548" w:rsidR="005268C8" w:rsidRDefault="005A18DC" w:rsidP="005268C8">
      <w:pPr>
        <w:rPr>
          <w:lang w:eastAsia="x-none"/>
        </w:rPr>
      </w:pPr>
      <w:hyperlink r:id="rId1670" w:history="1">
        <w:r w:rsidR="00AF7253">
          <w:rPr>
            <w:rStyle w:val="Hyperlink"/>
            <w:lang w:eastAsia="x-none"/>
          </w:rPr>
          <w:t>R1-2312361</w:t>
        </w:r>
      </w:hyperlink>
      <w:r w:rsidR="005268C8">
        <w:rPr>
          <w:lang w:eastAsia="x-none"/>
        </w:rPr>
        <w:tab/>
        <w:t>Feature lead summary#2 on multi-cell PUSCH/PDSCH scheduling with a single DCI</w:t>
      </w:r>
      <w:r w:rsidR="005268C8">
        <w:rPr>
          <w:lang w:eastAsia="x-none"/>
        </w:rPr>
        <w:tab/>
        <w:t>Moderator (Lenovo)</w:t>
      </w:r>
    </w:p>
    <w:p w14:paraId="4B02C277" w14:textId="60E34F57" w:rsidR="005268C8" w:rsidRPr="0098614E" w:rsidRDefault="005A18DC" w:rsidP="005268C8">
      <w:pPr>
        <w:rPr>
          <w:b/>
          <w:bCs/>
          <w:lang w:eastAsia="x-none"/>
        </w:rPr>
      </w:pPr>
      <w:hyperlink r:id="rId1671" w:history="1">
        <w:r w:rsidR="00AF7253">
          <w:rPr>
            <w:rStyle w:val="Hyperlink"/>
            <w:b/>
            <w:bCs/>
            <w:lang w:eastAsia="x-none"/>
          </w:rPr>
          <w:t>R1-2312362</w:t>
        </w:r>
      </w:hyperlink>
      <w:r w:rsidR="005268C8" w:rsidRPr="0098614E">
        <w:rPr>
          <w:b/>
          <w:bCs/>
          <w:lang w:eastAsia="x-none"/>
        </w:rPr>
        <w:tab/>
        <w:t>Feature lead summary#3 on multi-cell PUSCH/PDSCH scheduling with a single DCI</w:t>
      </w:r>
      <w:r w:rsidR="005268C8" w:rsidRPr="0098614E">
        <w:rPr>
          <w:b/>
          <w:bCs/>
          <w:lang w:eastAsia="x-none"/>
        </w:rPr>
        <w:tab/>
        <w:t>Moderator (Lenovo)</w:t>
      </w:r>
    </w:p>
    <w:p w14:paraId="0854DB05" w14:textId="5EF01DE9" w:rsidR="0098614E" w:rsidRDefault="0098614E" w:rsidP="005268C8">
      <w:pPr>
        <w:rPr>
          <w:lang w:eastAsia="x-none"/>
        </w:rPr>
      </w:pPr>
      <w:r>
        <w:rPr>
          <w:lang w:eastAsia="x-none"/>
        </w:rPr>
        <w:t>From Wednesday session</w:t>
      </w:r>
    </w:p>
    <w:p w14:paraId="42E6FD9E" w14:textId="77777777" w:rsidR="0098614E" w:rsidRDefault="0098614E" w:rsidP="0098614E">
      <w:pPr>
        <w:rPr>
          <w:highlight w:val="green"/>
        </w:rPr>
      </w:pPr>
      <w:r>
        <w:rPr>
          <w:highlight w:val="green"/>
        </w:rPr>
        <w:t>Agreement</w:t>
      </w:r>
    </w:p>
    <w:p w14:paraId="329C6E11" w14:textId="2C82AA0C" w:rsidR="0098614E" w:rsidRDefault="0098614E" w:rsidP="0098614E">
      <w:pPr>
        <w:rPr>
          <w:rFonts w:eastAsia="Malgun Gothic"/>
          <w:lang w:eastAsia="zh-CN"/>
        </w:rPr>
      </w:pPr>
      <w:r>
        <w:rPr>
          <w:rFonts w:eastAsia="Malgun Gothic"/>
          <w:lang w:eastAsia="zh-CN"/>
        </w:rPr>
        <w:lastRenderedPageBreak/>
        <w:t xml:space="preserve">For a DCI format 1_3 transmitted on PCell, if one-shot HARQ-ACK request is not present or set to '0', and if HARQ-ACK retransmission indicator is not present or set to ‘0’, SCell dormancy indication is provided by repurposing below fields corresponding to one </w:t>
      </w:r>
      <w:r>
        <w:rPr>
          <w:rFonts w:eastAsia="Malgun Gothic"/>
          <w:strike/>
          <w:lang w:eastAsia="zh-CN"/>
        </w:rPr>
        <w:t>or more</w:t>
      </w:r>
      <w:r>
        <w:rPr>
          <w:rFonts w:eastAsia="Malgun Gothic"/>
          <w:lang w:eastAsia="zh-CN"/>
        </w:rPr>
        <w:t xml:space="preserve"> serving cell with the smallest cell index with invalid FDRA values </w:t>
      </w:r>
      <w:r>
        <w:rPr>
          <w:rFonts w:eastAsia="Malgun Gothic"/>
          <w:strike/>
          <w:lang w:eastAsia="zh-CN"/>
        </w:rPr>
        <w:t>in ascending order of serving cell index</w:t>
      </w:r>
      <w:r>
        <w:rPr>
          <w:rFonts w:eastAsia="Malgun Gothic"/>
          <w:lang w:eastAsia="zh-CN"/>
        </w:rPr>
        <w:t>:</w:t>
      </w:r>
    </w:p>
    <w:p w14:paraId="36374995" w14:textId="77777777" w:rsidR="0098614E" w:rsidRPr="0098614E" w:rsidRDefault="0098614E" w:rsidP="00A67145">
      <w:pPr>
        <w:pStyle w:val="ListParagraph"/>
        <w:numPr>
          <w:ilvl w:val="0"/>
          <w:numId w:val="170"/>
        </w:numPr>
        <w:spacing w:after="0"/>
        <w:ind w:left="714" w:hanging="357"/>
        <w:rPr>
          <w:rFonts w:eastAsia="Malgun Gothic"/>
          <w:lang w:eastAsia="zh-CN"/>
        </w:rPr>
      </w:pPr>
      <w:r w:rsidRPr="0098614E">
        <w:rPr>
          <w:rFonts w:eastAsia="Malgun Gothic"/>
          <w:lang w:eastAsia="zh-CN"/>
        </w:rPr>
        <w:t xml:space="preserve">Modulation and coding scheme of transport block 1 </w:t>
      </w:r>
    </w:p>
    <w:p w14:paraId="020EB6F1" w14:textId="77777777" w:rsidR="0098614E" w:rsidRPr="0098614E" w:rsidRDefault="0098614E" w:rsidP="00A67145">
      <w:pPr>
        <w:pStyle w:val="ListParagraph"/>
        <w:numPr>
          <w:ilvl w:val="0"/>
          <w:numId w:val="170"/>
        </w:numPr>
        <w:spacing w:after="0"/>
        <w:ind w:left="714" w:hanging="357"/>
        <w:rPr>
          <w:rFonts w:eastAsia="Malgun Gothic"/>
          <w:lang w:eastAsia="zh-CN"/>
        </w:rPr>
      </w:pPr>
      <w:r w:rsidRPr="0098614E">
        <w:rPr>
          <w:rFonts w:eastAsia="Malgun Gothic"/>
          <w:lang w:eastAsia="zh-CN"/>
        </w:rPr>
        <w:t>NDI of transport block 1</w:t>
      </w:r>
    </w:p>
    <w:p w14:paraId="098CFEEA" w14:textId="77777777" w:rsidR="0098614E" w:rsidRPr="0098614E" w:rsidRDefault="0098614E" w:rsidP="00A67145">
      <w:pPr>
        <w:pStyle w:val="ListParagraph"/>
        <w:numPr>
          <w:ilvl w:val="0"/>
          <w:numId w:val="170"/>
        </w:numPr>
        <w:spacing w:after="0"/>
        <w:ind w:left="714" w:hanging="357"/>
        <w:rPr>
          <w:rFonts w:eastAsia="Malgun Gothic"/>
          <w:lang w:eastAsia="zh-CN"/>
        </w:rPr>
      </w:pPr>
      <w:r w:rsidRPr="0098614E">
        <w:rPr>
          <w:rFonts w:eastAsia="Malgun Gothic"/>
          <w:lang w:eastAsia="zh-CN"/>
        </w:rPr>
        <w:t xml:space="preserve">Redundancy version of transport block 1 </w:t>
      </w:r>
    </w:p>
    <w:p w14:paraId="011C15CE" w14:textId="77777777" w:rsidR="0098614E" w:rsidRPr="0098614E" w:rsidRDefault="0098614E" w:rsidP="00A67145">
      <w:pPr>
        <w:pStyle w:val="ListParagraph"/>
        <w:numPr>
          <w:ilvl w:val="0"/>
          <w:numId w:val="170"/>
        </w:numPr>
        <w:spacing w:after="0"/>
        <w:ind w:left="714" w:hanging="357"/>
        <w:rPr>
          <w:rFonts w:eastAsia="Malgun Gothic"/>
          <w:lang w:eastAsia="zh-CN"/>
        </w:rPr>
      </w:pPr>
      <w:r w:rsidRPr="0098614E">
        <w:rPr>
          <w:rFonts w:eastAsia="Malgun Gothic"/>
          <w:lang w:eastAsia="zh-CN"/>
        </w:rPr>
        <w:t xml:space="preserve">HARQ process number </w:t>
      </w:r>
    </w:p>
    <w:p w14:paraId="2D7D2C30" w14:textId="77777777" w:rsidR="0098614E" w:rsidRPr="0098614E" w:rsidRDefault="0098614E" w:rsidP="00A67145">
      <w:pPr>
        <w:pStyle w:val="ListParagraph"/>
        <w:numPr>
          <w:ilvl w:val="0"/>
          <w:numId w:val="170"/>
        </w:numPr>
        <w:spacing w:after="0"/>
        <w:ind w:left="714" w:hanging="357"/>
        <w:rPr>
          <w:rFonts w:eastAsia="Malgun Gothic"/>
          <w:lang w:eastAsia="zh-CN"/>
        </w:rPr>
      </w:pPr>
      <w:r w:rsidRPr="0098614E">
        <w:rPr>
          <w:rFonts w:eastAsia="Malgun Gothic"/>
          <w:lang w:eastAsia="zh-CN"/>
        </w:rPr>
        <w:t xml:space="preserve">Antenna port(s) if </w:t>
      </w:r>
      <w:r w:rsidRPr="0098614E">
        <w:rPr>
          <w:rFonts w:eastAsia="Malgun Gothic"/>
          <w:i/>
          <w:iCs/>
          <w:lang w:eastAsia="zh-CN"/>
        </w:rPr>
        <w:t>AntennaPortsDCI</w:t>
      </w:r>
      <w:r w:rsidRPr="0098614E">
        <w:rPr>
          <w:rFonts w:eastAsia="Malgun Gothic"/>
          <w:i/>
          <w:iCs/>
          <w:color w:val="FF0000"/>
          <w:lang w:eastAsia="zh-CN"/>
        </w:rPr>
        <w:t>1</w:t>
      </w:r>
      <w:r w:rsidRPr="0098614E">
        <w:rPr>
          <w:rFonts w:eastAsia="Malgun Gothic"/>
          <w:i/>
          <w:iCs/>
          <w:lang w:eastAsia="zh-CN"/>
        </w:rPr>
        <w:t>-3</w:t>
      </w:r>
      <w:r w:rsidRPr="0098614E">
        <w:rPr>
          <w:rFonts w:eastAsia="Malgun Gothic"/>
          <w:lang w:eastAsia="zh-CN"/>
        </w:rPr>
        <w:t xml:space="preserve"> is configured as ‘</w:t>
      </w:r>
      <w:r w:rsidRPr="0098614E">
        <w:rPr>
          <w:rFonts w:eastAsia="Malgun Gothic"/>
          <w:i/>
          <w:iCs/>
          <w:lang w:eastAsia="zh-CN"/>
        </w:rPr>
        <w:t>type2</w:t>
      </w:r>
      <w:r w:rsidRPr="0098614E">
        <w:rPr>
          <w:rFonts w:eastAsia="Malgun Gothic"/>
          <w:lang w:eastAsia="zh-CN"/>
        </w:rPr>
        <w:t>’</w:t>
      </w:r>
    </w:p>
    <w:p w14:paraId="3614E60A" w14:textId="77777777" w:rsidR="0098614E" w:rsidRDefault="0098614E" w:rsidP="0098614E">
      <w:pPr>
        <w:rPr>
          <w:szCs w:val="20"/>
        </w:rPr>
      </w:pPr>
      <w:r>
        <w:rPr>
          <w:szCs w:val="20"/>
        </w:rPr>
        <w:t>Note: Cells with valid FDRA fields are scheduled</w:t>
      </w:r>
      <w:r>
        <w:t>.</w:t>
      </w:r>
    </w:p>
    <w:p w14:paraId="5AC9D959" w14:textId="77777777" w:rsidR="0098614E" w:rsidRDefault="0098614E" w:rsidP="0098614E"/>
    <w:p w14:paraId="0CA4070C" w14:textId="77777777" w:rsidR="0098614E" w:rsidRDefault="0098614E" w:rsidP="0098614E">
      <w:pPr>
        <w:rPr>
          <w:highlight w:val="green"/>
        </w:rPr>
      </w:pPr>
      <w:r>
        <w:rPr>
          <w:highlight w:val="green"/>
        </w:rPr>
        <w:t>Agreement</w:t>
      </w:r>
    </w:p>
    <w:p w14:paraId="0BAF176D" w14:textId="77777777" w:rsidR="0098614E" w:rsidRDefault="0098614E" w:rsidP="0098614E">
      <w:pPr>
        <w:rPr>
          <w:szCs w:val="20"/>
        </w:rPr>
      </w:pPr>
      <w:r>
        <w:t>Rel-18 specifications support a DCI format 1_3 is transmitted without scheduling any PDSCH</w:t>
      </w:r>
      <w:r>
        <w:rPr>
          <w:lang w:val="en-US"/>
        </w:rPr>
        <w:t xml:space="preserve"> for SCell dormancy indication</w:t>
      </w:r>
      <w:r>
        <w:rPr>
          <w:szCs w:val="20"/>
        </w:rPr>
        <w:t>.</w:t>
      </w:r>
    </w:p>
    <w:p w14:paraId="57226FB0" w14:textId="77777777" w:rsidR="0098614E" w:rsidRPr="0098614E" w:rsidRDefault="0098614E" w:rsidP="00A67145">
      <w:pPr>
        <w:pStyle w:val="ListParagraph"/>
        <w:numPr>
          <w:ilvl w:val="0"/>
          <w:numId w:val="171"/>
        </w:numPr>
        <w:rPr>
          <w:rFonts w:eastAsia="MS Mincho"/>
          <w:lang w:val="en-US"/>
        </w:rPr>
      </w:pPr>
      <w:r w:rsidRPr="0098614E">
        <w:rPr>
          <w:rFonts w:eastAsia="MS Mincho"/>
          <w:lang w:val="en-US"/>
        </w:rPr>
        <w:t>For Type-2 HARQ-ACK codebook, the corresponding HARQ-ACK information for the DCI format 1_3 is included in the first Type-2 sub-codebook.</w:t>
      </w:r>
    </w:p>
    <w:p w14:paraId="718643D8" w14:textId="77777777" w:rsidR="0098614E" w:rsidRDefault="0098614E" w:rsidP="0098614E">
      <w:pPr>
        <w:rPr>
          <w:highlight w:val="green"/>
        </w:rPr>
      </w:pPr>
      <w:r>
        <w:rPr>
          <w:highlight w:val="green"/>
        </w:rPr>
        <w:t>Agreement</w:t>
      </w:r>
    </w:p>
    <w:p w14:paraId="46E59766" w14:textId="77777777" w:rsidR="0098614E" w:rsidRDefault="0098614E" w:rsidP="0098614E">
      <w:pPr>
        <w:rPr>
          <w:lang w:val="en-AU" w:eastAsia="zh-CN"/>
        </w:rPr>
      </w:pPr>
      <w:r>
        <w:rPr>
          <w:lang w:val="en-AU" w:eastAsia="zh-CN"/>
        </w:rPr>
        <w:t>For a cell provided in</w:t>
      </w:r>
      <w:r>
        <w:rPr>
          <w:rFonts w:eastAsia="Malgun Gothic"/>
          <w:lang w:val="en-AU" w:eastAsia="zh-CN"/>
        </w:rPr>
        <w:t xml:space="preserve"> </w:t>
      </w:r>
      <w:r>
        <w:rPr>
          <w:rFonts w:eastAsia="Malgun Gothic"/>
          <w:i/>
          <w:iCs/>
          <w:lang w:eastAsia="zh-CN"/>
        </w:rPr>
        <w:t>MC-DCI-SetofCells</w:t>
      </w:r>
      <w:r>
        <w:rPr>
          <w:rFonts w:eastAsia="Malgun Gothic"/>
          <w:lang w:eastAsia="zh-CN"/>
        </w:rPr>
        <w:t>, when no search space set is configured for the cell, the cell is not counted as a scheduled cell for M_total_μ/C_total_μ calculation.</w:t>
      </w:r>
    </w:p>
    <w:p w14:paraId="70EE0D7A" w14:textId="77777777" w:rsidR="0098614E" w:rsidRDefault="0098614E" w:rsidP="0098614E">
      <w:pPr>
        <w:rPr>
          <w:lang w:val="en-AU"/>
        </w:rPr>
      </w:pPr>
    </w:p>
    <w:p w14:paraId="7787F0F6" w14:textId="77777777" w:rsidR="0098614E" w:rsidRDefault="0098614E" w:rsidP="0098614E">
      <w:pPr>
        <w:rPr>
          <w:highlight w:val="green"/>
        </w:rPr>
      </w:pPr>
      <w:r>
        <w:rPr>
          <w:highlight w:val="green"/>
        </w:rPr>
        <w:t>Agreement</w:t>
      </w:r>
    </w:p>
    <w:p w14:paraId="35340015" w14:textId="77777777" w:rsidR="0098614E" w:rsidRPr="0048002B" w:rsidRDefault="0098614E" w:rsidP="00A67145">
      <w:pPr>
        <w:pStyle w:val="ListParagraph"/>
        <w:numPr>
          <w:ilvl w:val="0"/>
          <w:numId w:val="171"/>
        </w:numPr>
        <w:rPr>
          <w:rFonts w:eastAsia="Malgun Gothic"/>
          <w:lang w:eastAsia="zh-CN"/>
        </w:rPr>
      </w:pPr>
      <w:r w:rsidRPr="0048002B">
        <w:rPr>
          <w:rFonts w:eastAsia="Malgun Gothic"/>
          <w:lang w:eastAsia="zh-CN"/>
        </w:rPr>
        <w:t>BWP indicator in a DCI format 0_3/1_3 applies only to the scheduled cell(s) with valid FDRA value(s).</w:t>
      </w:r>
    </w:p>
    <w:p w14:paraId="26F40311" w14:textId="77777777" w:rsidR="0098614E" w:rsidRPr="0048002B" w:rsidRDefault="0098614E" w:rsidP="00A67145">
      <w:pPr>
        <w:pStyle w:val="ListParagraph"/>
        <w:numPr>
          <w:ilvl w:val="0"/>
          <w:numId w:val="171"/>
        </w:numPr>
        <w:rPr>
          <w:rFonts w:eastAsia="Malgun Gothic"/>
          <w:lang w:eastAsia="zh-CN"/>
        </w:rPr>
      </w:pPr>
      <w:r w:rsidRPr="0048002B">
        <w:rPr>
          <w:rFonts w:eastAsia="Malgun Gothic"/>
          <w:lang w:eastAsia="zh-CN"/>
        </w:rPr>
        <w:t>For a cell scheduled by DCI format 0_3/1_3 with valid FDRA value,</w:t>
      </w:r>
      <w:r w:rsidRPr="0048002B">
        <w:t xml:space="preserve"> </w:t>
      </w:r>
      <w:r w:rsidRPr="0048002B">
        <w:rPr>
          <w:rFonts w:eastAsia="Malgun Gothic"/>
          <w:lang w:eastAsia="zh-CN"/>
        </w:rPr>
        <w:t>if the BWP indicator indicates a code point that does not correspond to a configured BWP for the cell, the UE does not perform dynamic BWP switching based on the BWP indicator and transmits/receives data on the current active BWP of the cell.</w:t>
      </w:r>
    </w:p>
    <w:p w14:paraId="40F96BC1" w14:textId="77777777" w:rsidR="00FD2A48" w:rsidRDefault="00FD2A48" w:rsidP="00F74A6F">
      <w:pPr>
        <w:rPr>
          <w:lang w:eastAsia="x-none"/>
        </w:rPr>
      </w:pPr>
    </w:p>
    <w:p w14:paraId="7919A99B" w14:textId="02ADC866" w:rsidR="0098614E" w:rsidRPr="00221913" w:rsidRDefault="005A18DC" w:rsidP="0098614E">
      <w:pPr>
        <w:rPr>
          <w:b/>
          <w:bCs/>
          <w:lang w:eastAsia="x-none"/>
        </w:rPr>
      </w:pPr>
      <w:hyperlink r:id="rId1672" w:history="1">
        <w:r w:rsidR="00AF7253">
          <w:rPr>
            <w:rStyle w:val="Hyperlink"/>
            <w:b/>
            <w:bCs/>
            <w:lang w:eastAsia="x-none"/>
          </w:rPr>
          <w:t>R1-2312513</w:t>
        </w:r>
      </w:hyperlink>
      <w:r w:rsidR="0098614E" w:rsidRPr="00221913">
        <w:rPr>
          <w:b/>
          <w:bCs/>
          <w:lang w:eastAsia="x-none"/>
        </w:rPr>
        <w:tab/>
        <w:t>Feature lead summary#4 on multi-cell PUSCH/PDSCH scheduling with a single DCI</w:t>
      </w:r>
      <w:r w:rsidR="0098614E" w:rsidRPr="00221913">
        <w:rPr>
          <w:b/>
          <w:bCs/>
          <w:lang w:eastAsia="x-none"/>
        </w:rPr>
        <w:tab/>
        <w:t>Moderator (Lenovo)</w:t>
      </w:r>
    </w:p>
    <w:p w14:paraId="0842572A" w14:textId="1538929D" w:rsidR="00221913" w:rsidRDefault="00221913" w:rsidP="0098614E">
      <w:pPr>
        <w:rPr>
          <w:lang w:eastAsia="x-none"/>
        </w:rPr>
      </w:pPr>
      <w:r>
        <w:rPr>
          <w:lang w:eastAsia="x-none"/>
        </w:rPr>
        <w:t>From Thursday session</w:t>
      </w:r>
    </w:p>
    <w:p w14:paraId="041D27FC" w14:textId="77777777" w:rsidR="00221913" w:rsidRDefault="00221913" w:rsidP="00221913">
      <w:pPr>
        <w:rPr>
          <w:highlight w:val="green"/>
        </w:rPr>
      </w:pPr>
      <w:r>
        <w:rPr>
          <w:highlight w:val="green"/>
        </w:rPr>
        <w:t>Agreement</w:t>
      </w:r>
    </w:p>
    <w:p w14:paraId="4E5D5D04" w14:textId="77777777" w:rsidR="00221913" w:rsidRDefault="00221913" w:rsidP="00221913">
      <w:pPr>
        <w:rPr>
          <w:lang w:eastAsia="zh-CN"/>
        </w:rPr>
      </w:pPr>
      <w:r>
        <w:rPr>
          <w:lang w:eastAsia="zh-CN"/>
        </w:rPr>
        <w:t xml:space="preserve">In case of BWP switching </w:t>
      </w:r>
    </w:p>
    <w:p w14:paraId="6EC63F36" w14:textId="77777777" w:rsidR="00221913" w:rsidRDefault="00221913" w:rsidP="00A67145">
      <w:pPr>
        <w:pStyle w:val="ListParagraph"/>
        <w:numPr>
          <w:ilvl w:val="0"/>
          <w:numId w:val="200"/>
        </w:numPr>
        <w:rPr>
          <w:lang w:eastAsia="zh-CN"/>
        </w:rPr>
      </w:pPr>
      <w:r>
        <w:rPr>
          <w:lang w:eastAsia="zh-CN"/>
        </w:rPr>
        <w:t>For a Type-2 field in a DCI format 0_3/1_3, the existing procedure for DCI field parsing (via truncation or zero-padding) is applied per “block” of the Type-2 field in the DCI format 0_3/1_3.</w:t>
      </w:r>
    </w:p>
    <w:p w14:paraId="4673F5E0" w14:textId="77777777" w:rsidR="00221913" w:rsidRDefault="00221913" w:rsidP="00221913"/>
    <w:p w14:paraId="0C32BA83" w14:textId="3EF930CC" w:rsidR="0098614E" w:rsidRPr="0048002B" w:rsidRDefault="005A18DC" w:rsidP="0098614E">
      <w:pPr>
        <w:rPr>
          <w:b/>
          <w:bCs/>
          <w:lang w:eastAsia="x-none"/>
        </w:rPr>
      </w:pPr>
      <w:hyperlink r:id="rId1673" w:history="1">
        <w:r w:rsidR="00AF7253">
          <w:rPr>
            <w:rStyle w:val="Hyperlink"/>
            <w:b/>
            <w:bCs/>
            <w:lang w:eastAsia="x-none"/>
          </w:rPr>
          <w:t>R1-2312514</w:t>
        </w:r>
      </w:hyperlink>
      <w:r w:rsidR="0098614E" w:rsidRPr="0048002B">
        <w:rPr>
          <w:b/>
          <w:bCs/>
          <w:lang w:eastAsia="x-none"/>
        </w:rPr>
        <w:tab/>
        <w:t>Feature lead summary#5 on multi-cell PUSCH/PDSCH scheduling with a single DCI</w:t>
      </w:r>
      <w:r w:rsidR="0098614E" w:rsidRPr="0048002B">
        <w:rPr>
          <w:b/>
          <w:bCs/>
          <w:lang w:eastAsia="x-none"/>
        </w:rPr>
        <w:tab/>
        <w:t>Moderator (Lenovo)</w:t>
      </w:r>
    </w:p>
    <w:p w14:paraId="3F6703F2" w14:textId="79D31C24" w:rsidR="0048002B" w:rsidRDefault="0048002B" w:rsidP="0048002B">
      <w:pPr>
        <w:rPr>
          <w:lang w:eastAsia="x-none"/>
        </w:rPr>
      </w:pPr>
      <w:r>
        <w:rPr>
          <w:lang w:eastAsia="x-none"/>
        </w:rPr>
        <w:t>From Friday session</w:t>
      </w:r>
    </w:p>
    <w:p w14:paraId="13A18AE9" w14:textId="77777777" w:rsidR="0048002B" w:rsidRPr="0048002B" w:rsidRDefault="0048002B" w:rsidP="0048002B">
      <w:pPr>
        <w:rPr>
          <w:highlight w:val="green"/>
          <w:lang w:eastAsia="x-none"/>
        </w:rPr>
      </w:pPr>
      <w:r w:rsidRPr="0048002B">
        <w:rPr>
          <w:highlight w:val="green"/>
          <w:lang w:eastAsia="x-none"/>
        </w:rPr>
        <w:t>Agreement</w:t>
      </w:r>
    </w:p>
    <w:p w14:paraId="375AD314" w14:textId="77777777" w:rsidR="0048002B" w:rsidRPr="000A355F" w:rsidRDefault="0048002B" w:rsidP="0048002B">
      <w:pPr>
        <w:rPr>
          <w:lang w:eastAsia="zh-CN"/>
        </w:rPr>
      </w:pPr>
      <w:r w:rsidRPr="000A355F">
        <w:rPr>
          <w:lang w:eastAsia="zh-CN"/>
        </w:rPr>
        <w:t xml:space="preserve">For Type-2 HARQ-ACK codebook, if a DCI format 1_3 is transmitted with fields repurposed for SCell dormancy indication and schedules one or more PDSCHs, </w:t>
      </w:r>
    </w:p>
    <w:p w14:paraId="32607637" w14:textId="77777777" w:rsidR="0048002B" w:rsidRPr="000A355F" w:rsidRDefault="0048002B" w:rsidP="00A67145">
      <w:pPr>
        <w:pStyle w:val="ListParagraph"/>
        <w:numPr>
          <w:ilvl w:val="0"/>
          <w:numId w:val="200"/>
        </w:numPr>
        <w:rPr>
          <w:lang w:eastAsia="zh-CN"/>
        </w:rPr>
      </w:pPr>
      <w:r w:rsidRPr="000A355F">
        <w:rPr>
          <w:lang w:eastAsia="zh-CN"/>
        </w:rPr>
        <w:t>the corresponding HARQ-ACK information for the one or more PDSCHs is included in the second Type-2 HARQ-ACK sub-codebook.</w:t>
      </w:r>
    </w:p>
    <w:p w14:paraId="39A3EE8D" w14:textId="77777777" w:rsidR="0048002B" w:rsidRPr="000A355F" w:rsidRDefault="0048002B" w:rsidP="00A67145">
      <w:pPr>
        <w:pStyle w:val="ListParagraph"/>
        <w:numPr>
          <w:ilvl w:val="0"/>
          <w:numId w:val="200"/>
        </w:numPr>
        <w:rPr>
          <w:lang w:eastAsia="zh-CN"/>
        </w:rPr>
      </w:pPr>
      <w:r w:rsidRPr="000A355F">
        <w:rPr>
          <w:lang w:eastAsia="zh-CN"/>
        </w:rPr>
        <w:t>HARQ-ACK information for the SCell dormancy indication is mapped to HARQ-ACK bit position for the serving cell with the smallest cell index with invalid FDRA and included in the second Type-2 HARQ-ACK sub-codebook.</w:t>
      </w:r>
    </w:p>
    <w:p w14:paraId="04B15656" w14:textId="77777777" w:rsidR="00F74A6F" w:rsidRPr="009537ED" w:rsidRDefault="00F74A6F" w:rsidP="009B1166">
      <w:pPr>
        <w:pStyle w:val="Heading3"/>
      </w:pPr>
      <w:bookmarkStart w:id="745" w:name="_Toc150174489"/>
      <w:bookmarkStart w:id="746" w:name="_Toc159251031"/>
      <w:r w:rsidRPr="009537ED">
        <w:t>Multi-carrier UL Tx switching scheme</w:t>
      </w:r>
      <w:bookmarkEnd w:id="745"/>
      <w:bookmarkEnd w:id="746"/>
    </w:p>
    <w:p w14:paraId="2249CDD4" w14:textId="6951439B" w:rsidR="00F74A6F" w:rsidRPr="009537ED" w:rsidRDefault="005A18DC" w:rsidP="00F74A6F">
      <w:pPr>
        <w:rPr>
          <w:lang w:eastAsia="x-none"/>
        </w:rPr>
      </w:pPr>
      <w:hyperlink r:id="rId1674" w:history="1">
        <w:r w:rsidR="00AF7253">
          <w:rPr>
            <w:rStyle w:val="Hyperlink"/>
            <w:lang w:eastAsia="x-none"/>
          </w:rPr>
          <w:t>R1-2310888</w:t>
        </w:r>
      </w:hyperlink>
      <w:r w:rsidR="00F74A6F" w:rsidRPr="009537ED">
        <w:rPr>
          <w:lang w:eastAsia="x-none"/>
        </w:rPr>
        <w:tab/>
        <w:t>Maintenance of multi-carrier UL Tx switching schemes</w:t>
      </w:r>
      <w:r w:rsidR="00F74A6F" w:rsidRPr="009537ED">
        <w:rPr>
          <w:lang w:eastAsia="x-none"/>
        </w:rPr>
        <w:tab/>
        <w:t>Huawei, HiSilicon</w:t>
      </w:r>
    </w:p>
    <w:p w14:paraId="0469F46B" w14:textId="703A4930" w:rsidR="00F74A6F" w:rsidRPr="009537ED" w:rsidRDefault="005A18DC" w:rsidP="00F74A6F">
      <w:pPr>
        <w:rPr>
          <w:lang w:eastAsia="x-none"/>
        </w:rPr>
      </w:pPr>
      <w:hyperlink r:id="rId1675" w:history="1">
        <w:r w:rsidR="00AF7253">
          <w:rPr>
            <w:rStyle w:val="Hyperlink"/>
            <w:lang w:eastAsia="x-none"/>
          </w:rPr>
          <w:t>R1-2311025</w:t>
        </w:r>
      </w:hyperlink>
      <w:r w:rsidR="00F74A6F" w:rsidRPr="009537ED">
        <w:rPr>
          <w:lang w:eastAsia="x-none"/>
        </w:rPr>
        <w:tab/>
        <w:t>Maintenance of Multi-carrier UL Tx switching scheme</w:t>
      </w:r>
      <w:r w:rsidR="00F74A6F" w:rsidRPr="009537ED">
        <w:rPr>
          <w:lang w:eastAsia="x-none"/>
        </w:rPr>
        <w:tab/>
        <w:t>ZTE</w:t>
      </w:r>
    </w:p>
    <w:p w14:paraId="6FD25B66" w14:textId="3740D2BC" w:rsidR="00F74A6F" w:rsidRPr="009537ED" w:rsidRDefault="005A18DC" w:rsidP="00F74A6F">
      <w:pPr>
        <w:rPr>
          <w:lang w:eastAsia="x-none"/>
        </w:rPr>
      </w:pPr>
      <w:hyperlink r:id="rId1676" w:history="1">
        <w:r w:rsidR="00AF7253">
          <w:rPr>
            <w:rStyle w:val="Hyperlink"/>
            <w:lang w:eastAsia="x-none"/>
          </w:rPr>
          <w:t>R1-2311111</w:t>
        </w:r>
      </w:hyperlink>
      <w:r w:rsidR="00F74A6F" w:rsidRPr="009537ED">
        <w:rPr>
          <w:lang w:eastAsia="x-none"/>
        </w:rPr>
        <w:tab/>
        <w:t>Remaining issues on Rel-18 UL Tx switching across 3 or 4 bands</w:t>
      </w:r>
      <w:r w:rsidR="00F74A6F" w:rsidRPr="009537ED">
        <w:rPr>
          <w:lang w:eastAsia="x-none"/>
        </w:rPr>
        <w:tab/>
        <w:t>vivo</w:t>
      </w:r>
    </w:p>
    <w:p w14:paraId="74095089" w14:textId="5CD54E51" w:rsidR="00F74A6F" w:rsidRPr="009537ED" w:rsidRDefault="005A18DC" w:rsidP="00F74A6F">
      <w:pPr>
        <w:rPr>
          <w:lang w:eastAsia="x-none"/>
        </w:rPr>
      </w:pPr>
      <w:hyperlink r:id="rId1677" w:history="1">
        <w:r w:rsidR="00AF7253">
          <w:rPr>
            <w:rStyle w:val="Hyperlink"/>
            <w:lang w:eastAsia="x-none"/>
          </w:rPr>
          <w:t>R1-2311178</w:t>
        </w:r>
      </w:hyperlink>
      <w:r w:rsidR="00F74A6F" w:rsidRPr="009537ED">
        <w:rPr>
          <w:lang w:eastAsia="x-none"/>
        </w:rPr>
        <w:tab/>
        <w:t>Remaining issues on UL Tx switching</w:t>
      </w:r>
      <w:r w:rsidR="00F74A6F" w:rsidRPr="009537ED">
        <w:rPr>
          <w:lang w:eastAsia="x-none"/>
        </w:rPr>
        <w:tab/>
        <w:t>Spreadtrum Communications</w:t>
      </w:r>
    </w:p>
    <w:p w14:paraId="24639AF9" w14:textId="5152815C" w:rsidR="00F74A6F" w:rsidRPr="009537ED" w:rsidRDefault="005A18DC" w:rsidP="00F74A6F">
      <w:pPr>
        <w:rPr>
          <w:lang w:eastAsia="x-none"/>
        </w:rPr>
      </w:pPr>
      <w:hyperlink r:id="rId1678" w:history="1">
        <w:r w:rsidR="00AF7253">
          <w:rPr>
            <w:rStyle w:val="Hyperlink"/>
            <w:lang w:eastAsia="x-none"/>
          </w:rPr>
          <w:t>R1-2311276</w:t>
        </w:r>
      </w:hyperlink>
      <w:r w:rsidR="00F74A6F" w:rsidRPr="009537ED">
        <w:rPr>
          <w:lang w:eastAsia="x-none"/>
        </w:rPr>
        <w:tab/>
        <w:t>Remaining issues on multi-carrier UL Tx switching scheme</w:t>
      </w:r>
      <w:r w:rsidR="00F74A6F" w:rsidRPr="009537ED">
        <w:rPr>
          <w:lang w:eastAsia="x-none"/>
        </w:rPr>
        <w:tab/>
        <w:t>OPPO</w:t>
      </w:r>
    </w:p>
    <w:p w14:paraId="1C3CF809" w14:textId="488F503E" w:rsidR="00F74A6F" w:rsidRPr="009537ED" w:rsidRDefault="005A18DC" w:rsidP="00F74A6F">
      <w:pPr>
        <w:rPr>
          <w:lang w:eastAsia="x-none"/>
        </w:rPr>
      </w:pPr>
      <w:hyperlink r:id="rId1679" w:history="1">
        <w:r w:rsidR="00AF7253">
          <w:rPr>
            <w:rStyle w:val="Hyperlink"/>
            <w:lang w:eastAsia="x-none"/>
          </w:rPr>
          <w:t>R1-2311324</w:t>
        </w:r>
      </w:hyperlink>
      <w:r w:rsidR="00F74A6F" w:rsidRPr="009537ED">
        <w:rPr>
          <w:lang w:eastAsia="x-none"/>
        </w:rPr>
        <w:tab/>
        <w:t>Maintenance on Multi-carrier UL Tx switching scheme</w:t>
      </w:r>
      <w:r w:rsidR="00F74A6F" w:rsidRPr="009537ED">
        <w:rPr>
          <w:lang w:eastAsia="x-none"/>
        </w:rPr>
        <w:tab/>
        <w:t>CATT</w:t>
      </w:r>
    </w:p>
    <w:p w14:paraId="6A041FDF" w14:textId="49702467" w:rsidR="00F74A6F" w:rsidRPr="009537ED" w:rsidRDefault="005A18DC" w:rsidP="00F74A6F">
      <w:pPr>
        <w:rPr>
          <w:lang w:eastAsia="x-none"/>
        </w:rPr>
      </w:pPr>
      <w:hyperlink r:id="rId1680" w:history="1">
        <w:r w:rsidR="00AF7253">
          <w:rPr>
            <w:rStyle w:val="Hyperlink"/>
            <w:lang w:eastAsia="x-none"/>
          </w:rPr>
          <w:t>R1-2311388</w:t>
        </w:r>
      </w:hyperlink>
      <w:r w:rsidR="00F74A6F" w:rsidRPr="009537ED">
        <w:rPr>
          <w:lang w:eastAsia="x-none"/>
        </w:rPr>
        <w:tab/>
        <w:t>Remaining issues on multi-carrier UL Tx switching scheme</w:t>
      </w:r>
      <w:r w:rsidR="00F74A6F" w:rsidRPr="009537ED">
        <w:rPr>
          <w:lang w:eastAsia="x-none"/>
        </w:rPr>
        <w:tab/>
        <w:t>xiaomi</w:t>
      </w:r>
    </w:p>
    <w:p w14:paraId="3B47AD77" w14:textId="50A31C8A" w:rsidR="00F74A6F" w:rsidRPr="009537ED" w:rsidRDefault="005A18DC" w:rsidP="00F74A6F">
      <w:pPr>
        <w:rPr>
          <w:lang w:eastAsia="x-none"/>
        </w:rPr>
      </w:pPr>
      <w:hyperlink r:id="rId1681" w:history="1">
        <w:r w:rsidR="00AF7253">
          <w:rPr>
            <w:rStyle w:val="Hyperlink"/>
            <w:lang w:eastAsia="x-none"/>
          </w:rPr>
          <w:t>R1-2311466</w:t>
        </w:r>
      </w:hyperlink>
      <w:r w:rsidR="00F74A6F" w:rsidRPr="009537ED">
        <w:rPr>
          <w:lang w:eastAsia="x-none"/>
        </w:rPr>
        <w:tab/>
        <w:t>On remaining issues of Multi-carrier UL Tx switching CR to 38.214</w:t>
      </w:r>
      <w:r w:rsidR="00F74A6F" w:rsidRPr="009537ED">
        <w:rPr>
          <w:lang w:eastAsia="x-none"/>
        </w:rPr>
        <w:tab/>
        <w:t>Nokia, Nokia Shanghai Bell</w:t>
      </w:r>
    </w:p>
    <w:p w14:paraId="47D686F2" w14:textId="3B822434" w:rsidR="00F74A6F" w:rsidRPr="009537ED" w:rsidRDefault="005A18DC" w:rsidP="00F74A6F">
      <w:pPr>
        <w:rPr>
          <w:lang w:eastAsia="x-none"/>
        </w:rPr>
      </w:pPr>
      <w:hyperlink r:id="rId1682" w:history="1">
        <w:r w:rsidR="00AF7253">
          <w:rPr>
            <w:rStyle w:val="Hyperlink"/>
            <w:lang w:eastAsia="x-none"/>
          </w:rPr>
          <w:t>R1-2311497</w:t>
        </w:r>
      </w:hyperlink>
      <w:r w:rsidR="00F74A6F" w:rsidRPr="009537ED">
        <w:rPr>
          <w:lang w:eastAsia="x-none"/>
        </w:rPr>
        <w:tab/>
        <w:t>Remaining issues on multi-carrier UL Tx switching scheme</w:t>
      </w:r>
      <w:r w:rsidR="00F74A6F" w:rsidRPr="009537ED">
        <w:rPr>
          <w:lang w:eastAsia="x-none"/>
        </w:rPr>
        <w:tab/>
        <w:t>CMCC</w:t>
      </w:r>
    </w:p>
    <w:p w14:paraId="0C03CE27" w14:textId="4483AAB0" w:rsidR="00F74A6F" w:rsidRPr="009537ED" w:rsidRDefault="005A18DC" w:rsidP="00F74A6F">
      <w:pPr>
        <w:rPr>
          <w:lang w:eastAsia="x-none"/>
        </w:rPr>
      </w:pPr>
      <w:hyperlink r:id="rId1683" w:history="1">
        <w:r w:rsidR="00AF7253">
          <w:rPr>
            <w:rStyle w:val="Hyperlink"/>
            <w:lang w:eastAsia="x-none"/>
          </w:rPr>
          <w:t>R1-2311553</w:t>
        </w:r>
      </w:hyperlink>
      <w:r w:rsidR="00F74A6F" w:rsidRPr="009537ED">
        <w:rPr>
          <w:lang w:eastAsia="x-none"/>
        </w:rPr>
        <w:tab/>
        <w:t>Remaining issues on Rel-18 UL Tx switching</w:t>
      </w:r>
      <w:r w:rsidR="00F74A6F" w:rsidRPr="009537ED">
        <w:rPr>
          <w:lang w:eastAsia="x-none"/>
        </w:rPr>
        <w:tab/>
        <w:t>China Telecom</w:t>
      </w:r>
    </w:p>
    <w:p w14:paraId="090878A6" w14:textId="0F0E1E37" w:rsidR="00F74A6F" w:rsidRPr="009537ED" w:rsidRDefault="005A18DC" w:rsidP="00F74A6F">
      <w:pPr>
        <w:rPr>
          <w:lang w:eastAsia="x-none"/>
        </w:rPr>
      </w:pPr>
      <w:hyperlink r:id="rId1684" w:history="1">
        <w:r w:rsidR="00AF7253">
          <w:rPr>
            <w:rStyle w:val="Hyperlink"/>
            <w:lang w:eastAsia="x-none"/>
          </w:rPr>
          <w:t>R1-2311635</w:t>
        </w:r>
      </w:hyperlink>
      <w:r w:rsidR="00F74A6F" w:rsidRPr="009537ED">
        <w:rPr>
          <w:lang w:eastAsia="x-none"/>
        </w:rPr>
        <w:tab/>
        <w:t>Maintenance on multi-carrier UL Tx switching scheme</w:t>
      </w:r>
      <w:r w:rsidR="00F74A6F" w:rsidRPr="009537ED">
        <w:rPr>
          <w:lang w:eastAsia="x-none"/>
        </w:rPr>
        <w:tab/>
        <w:t>NTT DOCOMO, INC.</w:t>
      </w:r>
    </w:p>
    <w:p w14:paraId="250940EA" w14:textId="0D3E09EC" w:rsidR="00F74A6F" w:rsidRPr="009537ED" w:rsidRDefault="005A18DC" w:rsidP="00F74A6F">
      <w:pPr>
        <w:rPr>
          <w:lang w:eastAsia="x-none"/>
        </w:rPr>
      </w:pPr>
      <w:hyperlink r:id="rId1685" w:history="1">
        <w:r w:rsidR="00AF7253">
          <w:rPr>
            <w:rStyle w:val="Hyperlink"/>
            <w:lang w:eastAsia="x-none"/>
          </w:rPr>
          <w:t>R1-2311699</w:t>
        </w:r>
      </w:hyperlink>
      <w:r w:rsidR="00F74A6F" w:rsidRPr="009537ED">
        <w:rPr>
          <w:lang w:eastAsia="x-none"/>
        </w:rPr>
        <w:tab/>
        <w:t>On remaining issues for Rel-18 UL Tx switching</w:t>
      </w:r>
      <w:r w:rsidR="00F74A6F" w:rsidRPr="009537ED">
        <w:rPr>
          <w:lang w:eastAsia="x-none"/>
        </w:rPr>
        <w:tab/>
        <w:t>Apple</w:t>
      </w:r>
    </w:p>
    <w:p w14:paraId="6F0C04DB" w14:textId="13D1DEEC" w:rsidR="00F74A6F" w:rsidRPr="009537ED" w:rsidRDefault="005A18DC" w:rsidP="00F74A6F">
      <w:pPr>
        <w:rPr>
          <w:lang w:eastAsia="x-none"/>
        </w:rPr>
      </w:pPr>
      <w:hyperlink r:id="rId1686" w:history="1">
        <w:r w:rsidR="00AF7253">
          <w:rPr>
            <w:rStyle w:val="Hyperlink"/>
            <w:lang w:eastAsia="x-none"/>
          </w:rPr>
          <w:t>R1-2311900</w:t>
        </w:r>
      </w:hyperlink>
      <w:r w:rsidR="00F74A6F" w:rsidRPr="009537ED">
        <w:rPr>
          <w:lang w:eastAsia="x-none"/>
        </w:rPr>
        <w:tab/>
        <w:t>Remaining issues on Multi-carrier UL Tx switching scheme</w:t>
      </w:r>
      <w:r w:rsidR="00F74A6F" w:rsidRPr="009537ED">
        <w:rPr>
          <w:lang w:eastAsia="x-none"/>
        </w:rPr>
        <w:tab/>
        <w:t>LG Electronics</w:t>
      </w:r>
    </w:p>
    <w:p w14:paraId="3B233A13" w14:textId="31CD8C9D" w:rsidR="00F74A6F" w:rsidRPr="009537ED" w:rsidRDefault="005A18DC" w:rsidP="00F74A6F">
      <w:pPr>
        <w:rPr>
          <w:lang w:eastAsia="x-none"/>
        </w:rPr>
      </w:pPr>
      <w:hyperlink r:id="rId1687" w:history="1">
        <w:r w:rsidR="00AF7253">
          <w:rPr>
            <w:rStyle w:val="Hyperlink"/>
            <w:lang w:eastAsia="x-none"/>
          </w:rPr>
          <w:t>R1-2311907</w:t>
        </w:r>
      </w:hyperlink>
      <w:r w:rsidR="00F74A6F" w:rsidRPr="009537ED">
        <w:rPr>
          <w:lang w:eastAsia="x-none"/>
        </w:rPr>
        <w:tab/>
        <w:t>On Maintenance for Multi-Carrier UL TX switching</w:t>
      </w:r>
      <w:r w:rsidR="00F74A6F" w:rsidRPr="009537ED">
        <w:rPr>
          <w:lang w:eastAsia="x-none"/>
        </w:rPr>
        <w:tab/>
        <w:t>Ericsson</w:t>
      </w:r>
    </w:p>
    <w:p w14:paraId="5177AFC3" w14:textId="42E046F2" w:rsidR="00F74A6F" w:rsidRDefault="005A18DC" w:rsidP="00F74A6F">
      <w:pPr>
        <w:rPr>
          <w:lang w:eastAsia="x-none"/>
        </w:rPr>
      </w:pPr>
      <w:hyperlink r:id="rId1688" w:history="1">
        <w:r w:rsidR="00AF7253">
          <w:rPr>
            <w:rStyle w:val="Hyperlink"/>
            <w:lang w:eastAsia="x-none"/>
          </w:rPr>
          <w:t>R1-2312050</w:t>
        </w:r>
      </w:hyperlink>
      <w:r w:rsidR="00F74A6F" w:rsidRPr="009537ED">
        <w:rPr>
          <w:lang w:eastAsia="x-none"/>
        </w:rPr>
        <w:tab/>
        <w:t>Discussion on Rel-18 UL Tx switching</w:t>
      </w:r>
      <w:r w:rsidR="00F74A6F" w:rsidRPr="009537ED">
        <w:rPr>
          <w:lang w:eastAsia="x-none"/>
        </w:rPr>
        <w:tab/>
        <w:t>Qualcomm Incorporated</w:t>
      </w:r>
    </w:p>
    <w:p w14:paraId="5915A7F8" w14:textId="77777777" w:rsidR="00FD2A48" w:rsidRDefault="00FD2A48" w:rsidP="00F74A6F">
      <w:pPr>
        <w:rPr>
          <w:lang w:eastAsia="x-none"/>
        </w:rPr>
      </w:pPr>
    </w:p>
    <w:p w14:paraId="48343CC1" w14:textId="5585D0DF" w:rsidR="00902FE0" w:rsidRPr="00902FE0" w:rsidRDefault="005A18DC" w:rsidP="00902FE0">
      <w:pPr>
        <w:rPr>
          <w:b/>
          <w:bCs/>
          <w:lang w:eastAsia="x-none"/>
        </w:rPr>
      </w:pPr>
      <w:hyperlink r:id="rId1689" w:history="1">
        <w:r w:rsidR="00AF7253">
          <w:rPr>
            <w:rStyle w:val="Hyperlink"/>
            <w:b/>
            <w:bCs/>
            <w:lang w:eastAsia="x-none"/>
          </w:rPr>
          <w:t>R1-2312284</w:t>
        </w:r>
      </w:hyperlink>
      <w:r w:rsidR="00902FE0" w:rsidRPr="00902FE0">
        <w:rPr>
          <w:b/>
          <w:bCs/>
          <w:lang w:eastAsia="x-none"/>
        </w:rPr>
        <w:tab/>
        <w:t>Summary of discussion on Multi-carrier UL Tx switching scheme</w:t>
      </w:r>
      <w:r w:rsidR="00902FE0" w:rsidRPr="00902FE0">
        <w:rPr>
          <w:b/>
          <w:bCs/>
          <w:lang w:eastAsia="x-none"/>
        </w:rPr>
        <w:tab/>
        <w:t>Moderator (NTT DOCOMO, INC.)</w:t>
      </w:r>
    </w:p>
    <w:p w14:paraId="76DCA622" w14:textId="77777777" w:rsidR="00902FE0" w:rsidRDefault="00902FE0" w:rsidP="00902FE0">
      <w:pPr>
        <w:rPr>
          <w:lang w:eastAsia="x-none"/>
        </w:rPr>
      </w:pPr>
      <w:r>
        <w:rPr>
          <w:lang w:eastAsia="x-none"/>
        </w:rPr>
        <w:t>From Tuesday session</w:t>
      </w:r>
    </w:p>
    <w:p w14:paraId="6D344531" w14:textId="77777777" w:rsidR="00587F3D" w:rsidRPr="00FD2A48" w:rsidRDefault="00587F3D" w:rsidP="00587F3D">
      <w:pPr>
        <w:rPr>
          <w:highlight w:val="green"/>
          <w:lang w:eastAsia="x-none"/>
        </w:rPr>
      </w:pPr>
      <w:r w:rsidRPr="00FD2A48">
        <w:rPr>
          <w:highlight w:val="green"/>
          <w:lang w:eastAsia="x-none"/>
        </w:rPr>
        <w:t>Agreement</w:t>
      </w:r>
    </w:p>
    <w:p w14:paraId="39819DE1" w14:textId="77777777" w:rsidR="00FD2A48" w:rsidRPr="00FD2A48" w:rsidRDefault="00FD2A48" w:rsidP="00587F3D">
      <w:pPr>
        <w:rPr>
          <w:lang w:val="en-US"/>
        </w:rPr>
      </w:pPr>
      <w:r w:rsidRPr="00FD2A48">
        <w:t>Following TP is adapted for TS38.214</w:t>
      </w:r>
    </w:p>
    <w:tbl>
      <w:tblPr>
        <w:tblW w:w="5000" w:type="pct"/>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0683"/>
      </w:tblGrid>
      <w:tr w:rsidR="00FD2A48" w:rsidRPr="00FD2A48" w14:paraId="608B8290" w14:textId="77777777" w:rsidTr="00587F3D">
        <w:tc>
          <w:tcPr>
            <w:tcW w:w="5000" w:type="pct"/>
            <w:shd w:val="clear" w:color="auto" w:fill="auto"/>
          </w:tcPr>
          <w:p w14:paraId="3C92A332" w14:textId="77777777" w:rsidR="00FD2A48" w:rsidRPr="00FD2A48" w:rsidRDefault="00FD2A48" w:rsidP="00587F3D">
            <w:pPr>
              <w:ind w:left="851" w:hanging="284"/>
              <w:jc w:val="both"/>
              <w:rPr>
                <w:rFonts w:ascii="Arial" w:eastAsia="SimSun" w:hAnsi="Arial" w:cs="Arial"/>
                <w:iCs/>
                <w:sz w:val="16"/>
                <w:szCs w:val="16"/>
                <w:lang w:eastAsia="zh-CN"/>
              </w:rPr>
            </w:pPr>
            <w:r w:rsidRPr="00FD2A48">
              <w:rPr>
                <w:rFonts w:ascii="Arial" w:eastAsia="SimSun" w:hAnsi="Arial" w:cs="Arial"/>
                <w:iCs/>
                <w:sz w:val="16"/>
                <w:szCs w:val="16"/>
                <w:lang w:eastAsia="zh-CN"/>
              </w:rPr>
              <w:t>-</w:t>
            </w:r>
            <w:r w:rsidRPr="00FD2A48">
              <w:rPr>
                <w:rFonts w:ascii="Arial" w:eastAsia="SimSun" w:hAnsi="Arial" w:cs="Arial"/>
                <w:iCs/>
                <w:sz w:val="16"/>
                <w:szCs w:val="16"/>
                <w:lang w:eastAsia="zh-CN"/>
              </w:rPr>
              <w:tab/>
              <w:t>When the UE is to transmit a 1-port transmission on one uplink carrier on the 1</w:t>
            </w:r>
            <w:r w:rsidRPr="00FD2A48">
              <w:rPr>
                <w:rFonts w:ascii="Arial" w:eastAsia="SimSun" w:hAnsi="Arial" w:cs="Arial"/>
                <w:iCs/>
                <w:sz w:val="16"/>
                <w:szCs w:val="16"/>
                <w:vertAlign w:val="superscript"/>
                <w:lang w:eastAsia="zh-CN"/>
              </w:rPr>
              <w:t>st</w:t>
            </w:r>
            <w:r w:rsidRPr="00FD2A48">
              <w:rPr>
                <w:rFonts w:ascii="Arial" w:eastAsia="SimSun" w:hAnsi="Arial" w:cs="Arial"/>
                <w:iCs/>
                <w:sz w:val="16"/>
                <w:szCs w:val="16"/>
                <w:lang w:eastAsia="zh-CN"/>
              </w:rPr>
              <w:t xml:space="preserve"> band and the 2</w:t>
            </w:r>
            <w:r w:rsidRPr="00FD2A48">
              <w:rPr>
                <w:rFonts w:ascii="Arial" w:eastAsia="SimSun" w:hAnsi="Arial" w:cs="Arial"/>
                <w:iCs/>
                <w:sz w:val="16"/>
                <w:szCs w:val="16"/>
                <w:vertAlign w:val="superscript"/>
                <w:lang w:eastAsia="zh-CN"/>
              </w:rPr>
              <w:t>nd</w:t>
            </w:r>
            <w:r w:rsidRPr="00FD2A48">
              <w:rPr>
                <w:rFonts w:ascii="Arial" w:eastAsia="SimSun" w:hAnsi="Arial" w:cs="Arial"/>
                <w:iCs/>
                <w:sz w:val="16"/>
                <w:szCs w:val="16"/>
                <w:lang w:eastAsia="zh-CN"/>
              </w:rPr>
              <w:t xml:space="preserve"> band, and if the preceding uplink transmission was a 1-port transmission on a carrier on the 1</w:t>
            </w:r>
            <w:r w:rsidRPr="00FD2A48">
              <w:rPr>
                <w:rFonts w:ascii="Arial" w:eastAsia="SimSun" w:hAnsi="Arial" w:cs="Arial"/>
                <w:iCs/>
                <w:sz w:val="16"/>
                <w:szCs w:val="16"/>
                <w:vertAlign w:val="superscript"/>
                <w:lang w:eastAsia="zh-CN"/>
              </w:rPr>
              <w:t>st</w:t>
            </w:r>
            <w:r w:rsidRPr="00FD2A48">
              <w:rPr>
                <w:rFonts w:ascii="Arial" w:eastAsia="SimSun" w:hAnsi="Arial" w:cs="Arial"/>
                <w:iCs/>
                <w:sz w:val="16"/>
                <w:szCs w:val="16"/>
                <w:lang w:eastAsia="zh-CN"/>
              </w:rPr>
              <w:t xml:space="preserve"> band and/or the 3</w:t>
            </w:r>
            <w:r w:rsidRPr="00FD2A48">
              <w:rPr>
                <w:rFonts w:ascii="Arial" w:eastAsia="SimSun" w:hAnsi="Arial" w:cs="Arial"/>
                <w:iCs/>
                <w:sz w:val="16"/>
                <w:szCs w:val="16"/>
                <w:vertAlign w:val="superscript"/>
                <w:lang w:eastAsia="zh-CN"/>
              </w:rPr>
              <w:t>rd</w:t>
            </w:r>
            <w:r w:rsidRPr="00FD2A48">
              <w:rPr>
                <w:rFonts w:ascii="Arial" w:eastAsia="SimSun" w:hAnsi="Arial" w:cs="Arial"/>
                <w:iCs/>
                <w:sz w:val="16"/>
                <w:szCs w:val="16"/>
                <w:lang w:eastAsia="zh-CN"/>
              </w:rPr>
              <w:t xml:space="preserve"> band and the UE is under the operation state in which 1-port transmission can be supported in the 1</w:t>
            </w:r>
            <w:r w:rsidRPr="00FD2A48">
              <w:rPr>
                <w:rFonts w:ascii="Arial" w:eastAsia="SimSun" w:hAnsi="Arial" w:cs="Arial"/>
                <w:iCs/>
                <w:sz w:val="16"/>
                <w:szCs w:val="16"/>
                <w:vertAlign w:val="superscript"/>
                <w:lang w:eastAsia="zh-CN"/>
              </w:rPr>
              <w:t>st</w:t>
            </w:r>
            <w:r w:rsidRPr="00FD2A48">
              <w:rPr>
                <w:rFonts w:ascii="Arial" w:eastAsia="SimSun" w:hAnsi="Arial" w:cs="Arial"/>
                <w:iCs/>
                <w:sz w:val="16"/>
                <w:szCs w:val="16"/>
                <w:lang w:eastAsia="zh-CN"/>
              </w:rPr>
              <w:t xml:space="preserve"> and 3</w:t>
            </w:r>
            <w:r w:rsidRPr="00FD2A48">
              <w:rPr>
                <w:rFonts w:ascii="Arial" w:eastAsia="SimSun" w:hAnsi="Arial" w:cs="Arial"/>
                <w:iCs/>
                <w:sz w:val="16"/>
                <w:szCs w:val="16"/>
                <w:vertAlign w:val="superscript"/>
                <w:lang w:eastAsia="zh-CN"/>
              </w:rPr>
              <w:t>rd</w:t>
            </w:r>
            <w:r w:rsidRPr="00FD2A48">
              <w:rPr>
                <w:rFonts w:ascii="Arial" w:eastAsia="SimSun" w:hAnsi="Arial" w:cs="Arial"/>
                <w:iCs/>
                <w:sz w:val="16"/>
                <w:szCs w:val="16"/>
                <w:lang w:eastAsia="zh-CN"/>
              </w:rPr>
              <w:t xml:space="preserve"> band, if UE indicates </w:t>
            </w:r>
            <w:del w:id="747" w:author="作成者">
              <w:r w:rsidRPr="00FD2A48">
                <w:rPr>
                  <w:rFonts w:ascii="Arial" w:eastAsia="Malgun Gothic" w:hAnsi="Arial" w:cs="Arial"/>
                  <w:i/>
                  <w:iCs/>
                  <w:sz w:val="16"/>
                  <w:szCs w:val="16"/>
                </w:rPr>
                <w:delText>UplinkTxSwitchingAdditionalPeriodDualUL</w:delText>
              </w:r>
            </w:del>
            <w:ins w:id="748" w:author="作成者">
              <w:r w:rsidRPr="00FD2A48">
                <w:rPr>
                  <w:rFonts w:ascii="Arial" w:eastAsia="Malgun Gothic" w:hAnsi="Arial" w:cs="Arial"/>
                  <w:i/>
                  <w:iCs/>
                  <w:sz w:val="16"/>
                  <w:szCs w:val="16"/>
                </w:rPr>
                <w:t>maintainedUL-Trans</w:t>
              </w:r>
            </w:ins>
            <w:r w:rsidRPr="00FD2A48">
              <w:rPr>
                <w:rFonts w:ascii="Arial" w:eastAsia="SimSun" w:hAnsi="Arial" w:cs="Arial"/>
                <w:iCs/>
                <w:sz w:val="16"/>
                <w:szCs w:val="16"/>
                <w:lang w:eastAsia="zh-CN"/>
              </w:rPr>
              <w:t xml:space="preserve"> for the 1</w:t>
            </w:r>
            <w:r w:rsidRPr="00FD2A48">
              <w:rPr>
                <w:rFonts w:ascii="Arial" w:eastAsia="SimSun" w:hAnsi="Arial" w:cs="Arial"/>
                <w:iCs/>
                <w:sz w:val="16"/>
                <w:szCs w:val="16"/>
                <w:vertAlign w:val="superscript"/>
                <w:lang w:eastAsia="zh-CN"/>
              </w:rPr>
              <w:t>st</w:t>
            </w:r>
            <w:r w:rsidRPr="00FD2A48">
              <w:rPr>
                <w:rFonts w:ascii="Arial" w:eastAsia="SimSun" w:hAnsi="Arial" w:cs="Arial"/>
                <w:iCs/>
                <w:sz w:val="16"/>
                <w:szCs w:val="16"/>
                <w:lang w:eastAsia="zh-CN"/>
              </w:rPr>
              <w:t xml:space="preserve"> band for band pair{the 2</w:t>
            </w:r>
            <w:r w:rsidRPr="00FD2A48">
              <w:rPr>
                <w:rFonts w:ascii="Arial" w:eastAsia="SimSun" w:hAnsi="Arial" w:cs="Arial"/>
                <w:iCs/>
                <w:sz w:val="16"/>
                <w:szCs w:val="16"/>
                <w:vertAlign w:val="superscript"/>
                <w:lang w:eastAsia="zh-CN"/>
              </w:rPr>
              <w:t>nd</w:t>
            </w:r>
            <w:r w:rsidRPr="00FD2A48">
              <w:rPr>
                <w:rFonts w:ascii="Arial" w:eastAsia="SimSun" w:hAnsi="Arial" w:cs="Arial"/>
                <w:iCs/>
                <w:sz w:val="16"/>
                <w:szCs w:val="16"/>
                <w:lang w:eastAsia="zh-CN"/>
              </w:rPr>
              <w:t xml:space="preserve"> band, the 3</w:t>
            </w:r>
            <w:r w:rsidRPr="00FD2A48">
              <w:rPr>
                <w:rFonts w:ascii="Arial" w:eastAsia="SimSun" w:hAnsi="Arial" w:cs="Arial"/>
                <w:iCs/>
                <w:sz w:val="16"/>
                <w:szCs w:val="16"/>
                <w:vertAlign w:val="superscript"/>
                <w:lang w:eastAsia="zh-CN"/>
              </w:rPr>
              <w:t>rd</w:t>
            </w:r>
            <w:r w:rsidRPr="00FD2A48">
              <w:rPr>
                <w:rFonts w:ascii="Arial" w:eastAsia="SimSun" w:hAnsi="Arial" w:cs="Arial"/>
                <w:iCs/>
                <w:sz w:val="16"/>
                <w:szCs w:val="16"/>
                <w:lang w:eastAsia="zh-CN"/>
              </w:rPr>
              <w:t xml:space="preserve"> band} then the UE is not expected to transmit for the duration of N</w:t>
            </w:r>
            <w:r w:rsidRPr="00FD2A48">
              <w:rPr>
                <w:rFonts w:ascii="Arial" w:eastAsia="SimSun" w:hAnsi="Arial" w:cs="Arial"/>
                <w:iCs/>
                <w:sz w:val="16"/>
                <w:szCs w:val="16"/>
                <w:vertAlign w:val="subscript"/>
                <w:lang w:eastAsia="zh-CN"/>
              </w:rPr>
              <w:t>Tx1-Tx2</w:t>
            </w:r>
            <w:r w:rsidRPr="00FD2A48">
              <w:rPr>
                <w:rFonts w:ascii="Arial" w:eastAsia="SimSun" w:hAnsi="Arial" w:cs="Arial"/>
                <w:iCs/>
                <w:sz w:val="16"/>
                <w:szCs w:val="16"/>
                <w:lang w:eastAsia="zh-CN"/>
              </w:rPr>
              <w:t xml:space="preserve"> on any of the carriers on the 2</w:t>
            </w:r>
            <w:r w:rsidRPr="00FD2A48">
              <w:rPr>
                <w:rFonts w:ascii="Arial" w:eastAsia="SimSun" w:hAnsi="Arial" w:cs="Arial"/>
                <w:iCs/>
                <w:sz w:val="16"/>
                <w:szCs w:val="16"/>
                <w:vertAlign w:val="superscript"/>
                <w:lang w:eastAsia="zh-CN"/>
              </w:rPr>
              <w:t>nd</w:t>
            </w:r>
            <w:r w:rsidRPr="00FD2A48">
              <w:rPr>
                <w:rFonts w:ascii="Arial" w:eastAsia="SimSun" w:hAnsi="Arial" w:cs="Arial"/>
                <w:iCs/>
                <w:sz w:val="16"/>
                <w:szCs w:val="16"/>
                <w:lang w:eastAsia="zh-CN"/>
              </w:rPr>
              <w:t xml:space="preserve"> band and the 3</w:t>
            </w:r>
            <w:r w:rsidRPr="00FD2A48">
              <w:rPr>
                <w:rFonts w:ascii="Arial" w:eastAsia="SimSun" w:hAnsi="Arial" w:cs="Arial"/>
                <w:iCs/>
                <w:sz w:val="16"/>
                <w:szCs w:val="16"/>
                <w:vertAlign w:val="superscript"/>
                <w:lang w:eastAsia="zh-CN"/>
              </w:rPr>
              <w:t>rd</w:t>
            </w:r>
            <w:r w:rsidRPr="00FD2A48">
              <w:rPr>
                <w:rFonts w:ascii="Arial" w:eastAsia="SimSun" w:hAnsi="Arial" w:cs="Arial"/>
                <w:iCs/>
                <w:sz w:val="16"/>
                <w:szCs w:val="16"/>
                <w:lang w:eastAsia="zh-CN"/>
              </w:rPr>
              <w:t xml:space="preserve"> band, otherwise then the UE is not expected to transmit for the duration of </w:t>
            </w:r>
            <w:r w:rsidRPr="00FD2A48">
              <w:rPr>
                <w:rFonts w:ascii="Arial" w:eastAsia="SimSun" w:hAnsi="Arial" w:cs="Arial"/>
                <w:i/>
                <w:sz w:val="16"/>
                <w:szCs w:val="16"/>
                <w:lang w:eastAsia="zh-CN"/>
              </w:rPr>
              <w:t>N</w:t>
            </w:r>
            <w:r w:rsidRPr="00FD2A48">
              <w:rPr>
                <w:rFonts w:ascii="Arial" w:eastAsia="SimSun" w:hAnsi="Arial" w:cs="Arial"/>
                <w:iCs/>
                <w:sz w:val="16"/>
                <w:szCs w:val="16"/>
                <w:vertAlign w:val="subscript"/>
                <w:lang w:eastAsia="zh-CN"/>
              </w:rPr>
              <w:t>Tx1-Tx2</w:t>
            </w:r>
            <w:r w:rsidRPr="00FD2A48">
              <w:rPr>
                <w:rFonts w:ascii="Arial" w:eastAsia="SimSun" w:hAnsi="Arial" w:cs="Arial"/>
                <w:iCs/>
                <w:sz w:val="16"/>
                <w:szCs w:val="16"/>
                <w:lang w:eastAsia="zh-CN"/>
              </w:rPr>
              <w:t xml:space="preserve"> on any of the carriers , where </w:t>
            </w:r>
            <w:r w:rsidRPr="00FD2A48">
              <w:rPr>
                <w:rFonts w:ascii="Arial" w:eastAsia="SimSun" w:hAnsi="Arial" w:cs="Arial"/>
                <w:i/>
                <w:sz w:val="16"/>
                <w:szCs w:val="16"/>
                <w:lang w:eastAsia="zh-CN"/>
              </w:rPr>
              <w:t>N</w:t>
            </w:r>
            <w:r w:rsidRPr="00FD2A48">
              <w:rPr>
                <w:rFonts w:ascii="Arial" w:eastAsia="SimSun" w:hAnsi="Arial" w:cs="Arial"/>
                <w:iCs/>
                <w:sz w:val="16"/>
                <w:szCs w:val="16"/>
                <w:vertAlign w:val="subscript"/>
                <w:lang w:eastAsia="zh-CN"/>
              </w:rPr>
              <w:t>Tx1-Tx2</w:t>
            </w:r>
            <w:r w:rsidRPr="00FD2A48">
              <w:rPr>
                <w:rFonts w:ascii="Arial" w:eastAsia="SimSun" w:hAnsi="Arial" w:cs="Arial"/>
                <w:iCs/>
                <w:sz w:val="16"/>
                <w:szCs w:val="16"/>
                <w:lang w:eastAsia="zh-CN"/>
              </w:rPr>
              <w:t xml:space="preserve"> is the switching gap defined in [8, TS3 8.101-1].</w:t>
            </w:r>
          </w:p>
        </w:tc>
      </w:tr>
    </w:tbl>
    <w:p w14:paraId="6111E7CF" w14:textId="77777777" w:rsidR="00FD2A48" w:rsidRPr="00FD2A48" w:rsidRDefault="00FD2A48" w:rsidP="00587F3D"/>
    <w:p w14:paraId="094F5227" w14:textId="77777777" w:rsidR="00587F3D" w:rsidRPr="00FD2A48" w:rsidRDefault="00587F3D" w:rsidP="00587F3D">
      <w:pPr>
        <w:rPr>
          <w:highlight w:val="green"/>
          <w:lang w:eastAsia="x-none"/>
        </w:rPr>
      </w:pPr>
      <w:r w:rsidRPr="00FD2A48">
        <w:rPr>
          <w:highlight w:val="green"/>
          <w:lang w:eastAsia="x-none"/>
        </w:rPr>
        <w:t>Agreement</w:t>
      </w:r>
    </w:p>
    <w:p w14:paraId="4521CE43" w14:textId="77777777" w:rsidR="00FD2A48" w:rsidRPr="00FD2A48" w:rsidRDefault="00FD2A48" w:rsidP="00587F3D">
      <w:pPr>
        <w:rPr>
          <w:lang w:val="en-US" w:eastAsia="x-none"/>
        </w:rPr>
      </w:pPr>
      <w:r w:rsidRPr="00FD2A48">
        <w:rPr>
          <w:lang w:eastAsia="x-none"/>
        </w:rPr>
        <w:t>Following TP is adapted for TS38.214</w:t>
      </w:r>
    </w:p>
    <w:tbl>
      <w:tblPr>
        <w:tblW w:w="5000" w:type="pct"/>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0683"/>
      </w:tblGrid>
      <w:tr w:rsidR="00FD2A48" w:rsidRPr="00FD2A48" w14:paraId="53DA1640" w14:textId="77777777" w:rsidTr="00587F3D">
        <w:tc>
          <w:tcPr>
            <w:tcW w:w="5000" w:type="pct"/>
            <w:shd w:val="clear" w:color="auto" w:fill="auto"/>
          </w:tcPr>
          <w:p w14:paraId="3CF2B276" w14:textId="77777777" w:rsidR="00FD2A48" w:rsidRPr="00FD2A48" w:rsidRDefault="00FD2A48" w:rsidP="00FD2A48">
            <w:pPr>
              <w:ind w:left="568" w:hanging="284"/>
              <w:rPr>
                <w:rFonts w:ascii="Arial" w:eastAsia="SimSun" w:hAnsi="Arial" w:cs="Arial"/>
                <w:sz w:val="16"/>
                <w:szCs w:val="16"/>
                <w:lang w:val="en-US"/>
              </w:rPr>
            </w:pPr>
            <w:r w:rsidRPr="00FD2A48">
              <w:rPr>
                <w:rFonts w:ascii="Arial" w:eastAsia="SimSun" w:hAnsi="Arial" w:cs="Arial"/>
                <w:sz w:val="16"/>
                <w:szCs w:val="16"/>
              </w:rPr>
              <w:t>-</w:t>
            </w:r>
            <w:r w:rsidRPr="00FD2A48">
              <w:rPr>
                <w:rFonts w:ascii="Arial" w:eastAsia="SimSun" w:hAnsi="Arial" w:cs="Arial"/>
                <w:sz w:val="16"/>
                <w:szCs w:val="16"/>
              </w:rPr>
              <w:tab/>
            </w:r>
            <w:r w:rsidRPr="00FD2A48">
              <w:rPr>
                <w:rFonts w:ascii="Arial" w:eastAsia="SimSun" w:hAnsi="Arial" w:cs="Arial"/>
                <w:sz w:val="16"/>
                <w:szCs w:val="16"/>
                <w:lang w:val="en-US"/>
              </w:rPr>
              <w:t xml:space="preserve">If the </w:t>
            </w:r>
            <w:r w:rsidRPr="00FD2A48">
              <w:rPr>
                <w:rFonts w:ascii="Arial" w:eastAsia="SimSun" w:hAnsi="Arial" w:cs="Arial"/>
                <w:sz w:val="16"/>
                <w:szCs w:val="16"/>
              </w:rPr>
              <w:t xml:space="preserve">UE indicated a </w:t>
            </w:r>
            <w:del w:id="749" w:author="CTC" w:date="2023-10-31T17:06:00Z">
              <w:r w:rsidRPr="00FD2A48">
                <w:rPr>
                  <w:rFonts w:ascii="Arial" w:eastAsia="SimSun" w:hAnsi="Arial" w:cs="Arial"/>
                  <w:i/>
                  <w:iCs/>
                  <w:sz w:val="16"/>
                  <w:szCs w:val="16"/>
                </w:rPr>
                <w:delText>uplinkTxSwitchingOption-bandPair</w:delText>
              </w:r>
              <w:r w:rsidRPr="00FD2A48">
                <w:rPr>
                  <w:rFonts w:ascii="Arial" w:eastAsia="SimSun" w:hAnsi="Arial" w:cs="Arial"/>
                  <w:sz w:val="16"/>
                  <w:szCs w:val="16"/>
                </w:rPr>
                <w:delText xml:space="preserve"> </w:delText>
              </w:r>
            </w:del>
            <w:ins w:id="750" w:author="CTC" w:date="2023-10-31T17:06:00Z">
              <w:r w:rsidRPr="00FD2A48">
                <w:rPr>
                  <w:rFonts w:ascii="Arial" w:eastAsia="SimSun" w:hAnsi="Arial" w:cs="Arial"/>
                  <w:i/>
                  <w:iCs/>
                  <w:sz w:val="16"/>
                  <w:szCs w:val="16"/>
                  <w:lang w:val="en-US"/>
                </w:rPr>
                <w:t>uplinkTxSwitchingOptionForBandPair</w:t>
              </w:r>
              <w:r w:rsidRPr="00FD2A48">
                <w:rPr>
                  <w:rFonts w:ascii="Arial" w:eastAsia="SimSun" w:hAnsi="Arial" w:cs="Arial"/>
                  <w:sz w:val="16"/>
                  <w:szCs w:val="16"/>
                </w:rPr>
                <w:t xml:space="preserve"> </w:t>
              </w:r>
            </w:ins>
            <w:r w:rsidRPr="00FD2A48">
              <w:rPr>
                <w:rFonts w:ascii="Arial" w:eastAsia="SimSun" w:hAnsi="Arial" w:cs="Arial"/>
                <w:sz w:val="16"/>
                <w:szCs w:val="16"/>
              </w:rPr>
              <w:t xml:space="preserve">set to ‘DualUL’, or ‘Both’ for a band pair in the band combination, the UE can be configured with </w:t>
            </w:r>
            <w:r w:rsidRPr="00FD2A48">
              <w:rPr>
                <w:rFonts w:ascii="Arial" w:eastAsia="SimSun" w:hAnsi="Arial" w:cs="Arial"/>
                <w:i/>
                <w:sz w:val="16"/>
                <w:szCs w:val="16"/>
                <w:lang w:eastAsia="zh-CN"/>
              </w:rPr>
              <w:t>switchingOptionConfigForBandPair</w:t>
            </w:r>
            <w:r w:rsidRPr="00FD2A48">
              <w:rPr>
                <w:rFonts w:ascii="Arial" w:eastAsia="SimSun" w:hAnsi="Arial" w:cs="Arial"/>
                <w:sz w:val="16"/>
                <w:szCs w:val="16"/>
                <w:lang w:val="en-US"/>
              </w:rPr>
              <w:t xml:space="preserve"> set to </w:t>
            </w:r>
            <w:r w:rsidRPr="00FD2A48">
              <w:rPr>
                <w:rFonts w:ascii="Arial" w:eastAsia="SimSun" w:hAnsi="Arial" w:cs="Arial"/>
                <w:sz w:val="16"/>
                <w:szCs w:val="16"/>
              </w:rPr>
              <w:t>'</w:t>
            </w:r>
            <w:r w:rsidRPr="00FD2A48">
              <w:rPr>
                <w:rFonts w:ascii="Arial" w:eastAsia="SimSun" w:hAnsi="Arial" w:cs="Arial"/>
                <w:iCs/>
                <w:sz w:val="16"/>
                <w:szCs w:val="16"/>
                <w:lang w:eastAsia="en-GB"/>
              </w:rPr>
              <w:t>dualUL</w:t>
            </w:r>
            <w:r w:rsidRPr="00FD2A48">
              <w:rPr>
                <w:rFonts w:ascii="Arial" w:eastAsia="SimSun" w:hAnsi="Arial" w:cs="Arial"/>
                <w:iCs/>
                <w:sz w:val="16"/>
                <w:szCs w:val="16"/>
                <w:lang w:val="en-US" w:eastAsia="en-GB"/>
              </w:rPr>
              <w:t>'</w:t>
            </w:r>
            <w:r w:rsidRPr="00FD2A48">
              <w:rPr>
                <w:rFonts w:ascii="Arial" w:eastAsia="SimSun" w:hAnsi="Arial" w:cs="Arial"/>
                <w:sz w:val="16"/>
                <w:szCs w:val="16"/>
                <w:lang w:val="en-US"/>
              </w:rPr>
              <w:t xml:space="preserve"> for that band pair.</w:t>
            </w:r>
          </w:p>
          <w:p w14:paraId="45B535B4" w14:textId="77777777" w:rsidR="00FD2A48" w:rsidRPr="00FD2A48" w:rsidRDefault="00FD2A48" w:rsidP="00FD2A48">
            <w:pPr>
              <w:ind w:left="568" w:hanging="284"/>
              <w:rPr>
                <w:rFonts w:ascii="Arial" w:eastAsia="SimSun" w:hAnsi="Arial" w:cs="Arial"/>
                <w:sz w:val="16"/>
                <w:szCs w:val="16"/>
                <w:lang w:val="en-US"/>
              </w:rPr>
            </w:pPr>
            <w:r w:rsidRPr="00FD2A48">
              <w:rPr>
                <w:rFonts w:ascii="Arial" w:eastAsia="SimSun" w:hAnsi="Arial" w:cs="Arial"/>
                <w:sz w:val="16"/>
                <w:szCs w:val="16"/>
              </w:rPr>
              <w:t>-</w:t>
            </w:r>
            <w:r w:rsidRPr="00FD2A48">
              <w:rPr>
                <w:rFonts w:ascii="Arial" w:eastAsia="SimSun" w:hAnsi="Arial" w:cs="Arial"/>
                <w:sz w:val="16"/>
                <w:szCs w:val="16"/>
              </w:rPr>
              <w:tab/>
            </w:r>
            <w:r w:rsidRPr="00FD2A48">
              <w:rPr>
                <w:rFonts w:ascii="Arial" w:eastAsia="SimSun" w:hAnsi="Arial" w:cs="Arial"/>
                <w:sz w:val="16"/>
                <w:szCs w:val="16"/>
                <w:lang w:val="en-US"/>
              </w:rPr>
              <w:t xml:space="preserve">If the </w:t>
            </w:r>
            <w:r w:rsidRPr="00FD2A48">
              <w:rPr>
                <w:rFonts w:ascii="Arial" w:eastAsia="SimSun" w:hAnsi="Arial" w:cs="Arial"/>
                <w:sz w:val="16"/>
                <w:szCs w:val="16"/>
              </w:rPr>
              <w:t xml:space="preserve">UE indicated a </w:t>
            </w:r>
            <w:ins w:id="751" w:author="CTC" w:date="2023-10-31T17:07:00Z">
              <w:r w:rsidRPr="00FD2A48">
                <w:rPr>
                  <w:rFonts w:ascii="Arial" w:eastAsia="SimSun" w:hAnsi="Arial" w:cs="Arial"/>
                  <w:i/>
                  <w:iCs/>
                  <w:sz w:val="16"/>
                  <w:szCs w:val="16"/>
                  <w:lang w:val="en-US"/>
                </w:rPr>
                <w:t>uplinkTxSwitchingOptionForBandPair</w:t>
              </w:r>
              <w:r w:rsidRPr="00FD2A48">
                <w:rPr>
                  <w:rFonts w:ascii="Arial" w:eastAsia="SimSun" w:hAnsi="Arial" w:cs="Arial"/>
                  <w:i/>
                  <w:iCs/>
                  <w:sz w:val="16"/>
                  <w:szCs w:val="16"/>
                </w:rPr>
                <w:t xml:space="preserve"> </w:t>
              </w:r>
            </w:ins>
            <w:del w:id="752" w:author="CTC" w:date="2023-10-31T17:07:00Z">
              <w:r w:rsidRPr="00FD2A48">
                <w:rPr>
                  <w:rFonts w:ascii="Arial" w:eastAsia="SimSun" w:hAnsi="Arial" w:cs="Arial"/>
                  <w:i/>
                  <w:iCs/>
                  <w:sz w:val="16"/>
                  <w:szCs w:val="16"/>
                </w:rPr>
                <w:delText>uplinkTxSwitchingOption-bandPair</w:delText>
              </w:r>
              <w:r w:rsidRPr="00FD2A48">
                <w:rPr>
                  <w:rFonts w:ascii="Arial" w:eastAsia="SimSun" w:hAnsi="Arial" w:cs="Arial"/>
                  <w:sz w:val="16"/>
                  <w:szCs w:val="16"/>
                </w:rPr>
                <w:delText xml:space="preserve"> </w:delText>
              </w:r>
            </w:del>
            <w:ins w:id="753" w:author="CTC" w:date="2023-10-31T17:07:00Z">
              <w:r w:rsidRPr="00FD2A48">
                <w:rPr>
                  <w:rFonts w:ascii="Arial" w:eastAsia="SimSun" w:hAnsi="Arial" w:cs="Arial"/>
                  <w:sz w:val="16"/>
                  <w:szCs w:val="16"/>
                </w:rPr>
                <w:t xml:space="preserve"> </w:t>
              </w:r>
            </w:ins>
            <w:r w:rsidRPr="00FD2A48">
              <w:rPr>
                <w:rFonts w:ascii="Arial" w:eastAsia="SimSun" w:hAnsi="Arial" w:cs="Arial"/>
                <w:sz w:val="16"/>
                <w:szCs w:val="16"/>
              </w:rPr>
              <w:t xml:space="preserve">set to ‘SwitchedUL’, or ‘Both’ for a band pair in the band combination, the UE can be configured with </w:t>
            </w:r>
            <w:r w:rsidRPr="00FD2A48">
              <w:rPr>
                <w:rFonts w:ascii="Arial" w:eastAsia="SimSun" w:hAnsi="Arial" w:cs="Arial"/>
                <w:i/>
                <w:sz w:val="16"/>
                <w:szCs w:val="16"/>
                <w:lang w:eastAsia="zh-CN"/>
              </w:rPr>
              <w:t>switchingOptionConfigForBandPair</w:t>
            </w:r>
            <w:r w:rsidRPr="00FD2A48">
              <w:rPr>
                <w:rFonts w:ascii="Arial" w:eastAsia="SimSun" w:hAnsi="Arial" w:cs="Arial"/>
                <w:sz w:val="16"/>
                <w:szCs w:val="16"/>
                <w:lang w:val="en-US"/>
              </w:rPr>
              <w:t xml:space="preserve"> set to </w:t>
            </w:r>
            <w:r w:rsidRPr="00FD2A48">
              <w:rPr>
                <w:rFonts w:ascii="Arial" w:eastAsia="SimSun" w:hAnsi="Arial" w:cs="Arial"/>
                <w:sz w:val="16"/>
                <w:szCs w:val="16"/>
              </w:rPr>
              <w:t>'</w:t>
            </w:r>
            <w:r w:rsidRPr="00FD2A48">
              <w:rPr>
                <w:rFonts w:ascii="Arial" w:eastAsia="SimSun" w:hAnsi="Arial" w:cs="Arial"/>
                <w:iCs/>
                <w:sz w:val="16"/>
                <w:szCs w:val="16"/>
                <w:lang w:eastAsia="en-GB"/>
              </w:rPr>
              <w:t>switchedUL</w:t>
            </w:r>
            <w:r w:rsidRPr="00FD2A48">
              <w:rPr>
                <w:rFonts w:ascii="Arial" w:eastAsia="SimSun" w:hAnsi="Arial" w:cs="Arial"/>
                <w:iCs/>
                <w:sz w:val="16"/>
                <w:szCs w:val="16"/>
                <w:lang w:val="en-US" w:eastAsia="en-GB"/>
              </w:rPr>
              <w:t>'</w:t>
            </w:r>
            <w:r w:rsidRPr="00FD2A48">
              <w:rPr>
                <w:rFonts w:ascii="Arial" w:eastAsia="SimSun" w:hAnsi="Arial" w:cs="Arial"/>
                <w:sz w:val="16"/>
                <w:szCs w:val="16"/>
                <w:lang w:val="en-US"/>
              </w:rPr>
              <w:t xml:space="preserve"> for that band pair.</w:t>
            </w:r>
          </w:p>
        </w:tc>
      </w:tr>
    </w:tbl>
    <w:p w14:paraId="7094899C" w14:textId="77777777" w:rsidR="00FD2A48" w:rsidRPr="00FD2A48" w:rsidRDefault="00FD2A48" w:rsidP="00587F3D"/>
    <w:p w14:paraId="22EB2E3B" w14:textId="77777777" w:rsidR="00FD2A48" w:rsidRPr="00587F3D" w:rsidRDefault="00FD2A48" w:rsidP="00587F3D">
      <w:pPr>
        <w:rPr>
          <w:u w:val="single"/>
          <w:lang w:eastAsia="x-none"/>
        </w:rPr>
      </w:pPr>
      <w:r w:rsidRPr="00587F3D">
        <w:rPr>
          <w:u w:val="single"/>
          <w:lang w:eastAsia="x-none"/>
        </w:rPr>
        <w:t>Conclusion</w:t>
      </w:r>
    </w:p>
    <w:p w14:paraId="335946D4" w14:textId="77777777" w:rsidR="00FD2A48" w:rsidRPr="00FD2A48" w:rsidRDefault="00FD2A48" w:rsidP="00587F3D">
      <w:pPr>
        <w:rPr>
          <w:szCs w:val="20"/>
          <w:lang w:eastAsia="x-none"/>
        </w:rPr>
      </w:pPr>
      <w:r w:rsidRPr="00FD2A48">
        <w:rPr>
          <w:szCs w:val="20"/>
          <w:lang w:eastAsia="x-none"/>
        </w:rPr>
        <w:t>Even if all cells in a band are deactivated, the band is counted in the determination of 2, 3 or 4 bands of UL Tx switching (i.e., Rel-16/17 or Rel-18 UL Tx switching is determined based on RRC configuration irrespective of activation/deactivation).</w:t>
      </w:r>
    </w:p>
    <w:p w14:paraId="02FF121B" w14:textId="77777777" w:rsidR="00FD2A48" w:rsidRPr="006E22C4" w:rsidRDefault="00FD2A48" w:rsidP="00AA1D48">
      <w:pPr>
        <w:pStyle w:val="ListParagraph"/>
        <w:numPr>
          <w:ilvl w:val="0"/>
          <w:numId w:val="132"/>
        </w:numPr>
        <w:rPr>
          <w:lang w:eastAsia="x-none"/>
        </w:rPr>
      </w:pPr>
      <w:r w:rsidRPr="006E22C4">
        <w:rPr>
          <w:rFonts w:hint="eastAsia"/>
          <w:lang w:eastAsia="x-none"/>
        </w:rPr>
        <w:t>N</w:t>
      </w:r>
      <w:r w:rsidRPr="006E22C4">
        <w:rPr>
          <w:lang w:eastAsia="x-none"/>
        </w:rPr>
        <w:t>o TP is necessary for above.</w:t>
      </w:r>
    </w:p>
    <w:p w14:paraId="0239482D" w14:textId="77777777" w:rsidR="00FD2A48" w:rsidRPr="00FD2A48" w:rsidRDefault="00FD2A48" w:rsidP="00587F3D">
      <w:pPr>
        <w:rPr>
          <w:szCs w:val="20"/>
          <w:highlight w:val="green"/>
        </w:rPr>
      </w:pPr>
      <w:r w:rsidRPr="00FD2A48">
        <w:rPr>
          <w:szCs w:val="20"/>
          <w:highlight w:val="green"/>
        </w:rPr>
        <w:t>Agreement</w:t>
      </w:r>
    </w:p>
    <w:p w14:paraId="269D8C5D" w14:textId="77777777" w:rsidR="00F01EB0" w:rsidRDefault="00F01EB0" w:rsidP="00F01EB0">
      <w:r>
        <w:t>The following TP is agreed for TS38.214 clause 6.1.6.2.2</w:t>
      </w:r>
    </w:p>
    <w:p w14:paraId="38A6FEE7" w14:textId="54CA29CB" w:rsidR="00587F3D" w:rsidRPr="00587F3D" w:rsidRDefault="00587F3D" w:rsidP="00587F3D">
      <w:pPr>
        <w:rPr>
          <w:color w:val="FF0000"/>
          <w:szCs w:val="20"/>
        </w:rPr>
      </w:pPr>
      <w:r w:rsidRPr="00587F3D">
        <w:rPr>
          <w:color w:val="FF0000"/>
          <w:szCs w:val="20"/>
        </w:rPr>
        <w:t>------- Start of TP ------</w:t>
      </w:r>
    </w:p>
    <w:p w14:paraId="1507469F" w14:textId="77777777" w:rsidR="00FD2A48" w:rsidRPr="00587F3D" w:rsidRDefault="00FD2A48" w:rsidP="00587F3D">
      <w:pPr>
        <w:rPr>
          <w:rFonts w:ascii="Arial" w:eastAsia="Malgun Gothic" w:hAnsi="Arial" w:cs="Arial"/>
          <w:color w:val="FF0000"/>
          <w:sz w:val="16"/>
          <w:szCs w:val="16"/>
          <w:u w:val="single"/>
          <w:lang w:eastAsia="zh-CN"/>
        </w:rPr>
      </w:pPr>
      <w:r w:rsidRPr="00587F3D">
        <w:rPr>
          <w:rFonts w:ascii="Arial" w:eastAsia="Times New Roman" w:hAnsi="Arial" w:cs="Arial"/>
          <w:sz w:val="16"/>
          <w:szCs w:val="16"/>
          <w:lang w:val="en-US"/>
        </w:rPr>
        <w:t xml:space="preserve">If the UE is configured with </w:t>
      </w:r>
      <w:r w:rsidRPr="00587F3D">
        <w:rPr>
          <w:rFonts w:ascii="Arial" w:eastAsia="Times New Roman" w:hAnsi="Arial" w:cs="Arial"/>
          <w:i/>
          <w:iCs/>
          <w:sz w:val="16"/>
          <w:szCs w:val="16"/>
          <w:lang w:val="en-US"/>
        </w:rPr>
        <w:t>uplinkTxSwitching-DualUL-TxState</w:t>
      </w:r>
      <w:r w:rsidRPr="00587F3D">
        <w:rPr>
          <w:rFonts w:ascii="Arial" w:eastAsia="Times New Roman" w:hAnsi="Arial" w:cs="Arial"/>
          <w:sz w:val="16"/>
          <w:szCs w:val="16"/>
          <w:lang w:val="en-US"/>
        </w:rPr>
        <w:t xml:space="preserve"> set to 'oneT', when the UE is under the operation state in which 1-port transmission can be supported on one carrier on the 1st band and the 2nd band followed by no transmission on any carrier on these two bands and 1-port transmission on the other carrier on the 3rd band the UE shall consider this as if 1-port transmission was transmitted on the 3rd band and the band associated with the 3rd band as configured by </w:t>
      </w:r>
      <w:r w:rsidRPr="00587F3D">
        <w:rPr>
          <w:rFonts w:ascii="Arial" w:eastAsia="Times New Roman" w:hAnsi="Arial" w:cs="Arial"/>
          <w:i/>
          <w:iCs/>
          <w:sz w:val="16"/>
          <w:szCs w:val="16"/>
          <w:lang w:val="en-US"/>
        </w:rPr>
        <w:t>associatedBand</w:t>
      </w:r>
      <w:r w:rsidRPr="00587F3D">
        <w:rPr>
          <w:rFonts w:ascii="Arial" w:eastAsia="Times New Roman" w:hAnsi="Arial" w:cs="Arial"/>
          <w:sz w:val="16"/>
          <w:szCs w:val="16"/>
          <w:lang w:val="en-US"/>
        </w:rPr>
        <w:t xml:space="preserve">, otherwise the UE shall consider this as if 2-port transmission took place on the transmitting carrier. </w:t>
      </w:r>
      <w:r w:rsidRPr="00587F3D">
        <w:rPr>
          <w:rFonts w:ascii="Arial" w:eastAsia="Malgun Gothic" w:hAnsi="Arial" w:cs="Arial"/>
          <w:color w:val="FF0000"/>
          <w:sz w:val="16"/>
          <w:szCs w:val="16"/>
          <w:u w:val="single"/>
          <w:lang w:eastAsia="zh-CN"/>
        </w:rPr>
        <w:t>Even if all cells in a band are deactivated, that does not invalidate the associated band configuration that is indicating the band as associated band for the other band(s) for the definition in clause 6.1.6.</w:t>
      </w:r>
    </w:p>
    <w:p w14:paraId="539C45AF" w14:textId="7039B989" w:rsidR="00587F3D" w:rsidRPr="00587F3D" w:rsidRDefault="00587F3D" w:rsidP="00587F3D">
      <w:pPr>
        <w:rPr>
          <w:color w:val="FF0000"/>
          <w:szCs w:val="20"/>
        </w:rPr>
      </w:pPr>
      <w:r w:rsidRPr="00587F3D">
        <w:rPr>
          <w:color w:val="FF0000"/>
          <w:szCs w:val="20"/>
        </w:rPr>
        <w:t xml:space="preserve">------- </w:t>
      </w:r>
      <w:r>
        <w:rPr>
          <w:color w:val="FF0000"/>
          <w:szCs w:val="20"/>
        </w:rPr>
        <w:t>End</w:t>
      </w:r>
      <w:r w:rsidRPr="00587F3D">
        <w:rPr>
          <w:color w:val="FF0000"/>
          <w:szCs w:val="20"/>
        </w:rPr>
        <w:t xml:space="preserve"> of TP ------</w:t>
      </w:r>
    </w:p>
    <w:p w14:paraId="634C04F3" w14:textId="77777777" w:rsidR="00587F3D" w:rsidRDefault="00587F3D" w:rsidP="00F74A6F">
      <w:pPr>
        <w:rPr>
          <w:lang w:eastAsia="x-none"/>
        </w:rPr>
      </w:pPr>
    </w:p>
    <w:p w14:paraId="46DD4FFF" w14:textId="77777777" w:rsidR="00587F3D" w:rsidRDefault="00587F3D" w:rsidP="00F74A6F">
      <w:pPr>
        <w:rPr>
          <w:lang w:eastAsia="x-none"/>
        </w:rPr>
      </w:pPr>
    </w:p>
    <w:p w14:paraId="7628D37A" w14:textId="19B5FFE2" w:rsidR="00587F3D" w:rsidRPr="0098614E" w:rsidRDefault="005A18DC" w:rsidP="00587F3D">
      <w:pPr>
        <w:rPr>
          <w:b/>
          <w:bCs/>
          <w:lang w:eastAsia="x-none"/>
        </w:rPr>
      </w:pPr>
      <w:hyperlink r:id="rId1690" w:history="1">
        <w:r w:rsidR="00AF7253">
          <w:rPr>
            <w:rStyle w:val="Hyperlink"/>
            <w:b/>
            <w:bCs/>
            <w:lang w:eastAsia="x-none"/>
          </w:rPr>
          <w:t>R1-2312426</w:t>
        </w:r>
      </w:hyperlink>
      <w:r w:rsidR="00587F3D" w:rsidRPr="0098614E">
        <w:rPr>
          <w:b/>
          <w:bCs/>
          <w:lang w:eastAsia="x-none"/>
        </w:rPr>
        <w:tab/>
        <w:t>Summary#2 of discussion on Multi-carrier UL Tx switching scheme</w:t>
      </w:r>
      <w:r w:rsidR="00587F3D" w:rsidRPr="0098614E">
        <w:rPr>
          <w:b/>
          <w:bCs/>
          <w:lang w:eastAsia="x-none"/>
        </w:rPr>
        <w:tab/>
        <w:t>Moderator (NTT DOCOMO, INC.)</w:t>
      </w:r>
    </w:p>
    <w:p w14:paraId="0C0BC274" w14:textId="3EC09BE9" w:rsidR="0098614E" w:rsidRDefault="0098614E" w:rsidP="00587F3D">
      <w:pPr>
        <w:rPr>
          <w:lang w:eastAsia="x-none"/>
        </w:rPr>
      </w:pPr>
      <w:r>
        <w:rPr>
          <w:lang w:eastAsia="x-none"/>
        </w:rPr>
        <w:t>From Wednesday session</w:t>
      </w:r>
    </w:p>
    <w:p w14:paraId="3750C1D2" w14:textId="77777777" w:rsidR="0098614E" w:rsidRPr="0098614E" w:rsidRDefault="0098614E" w:rsidP="0098614E">
      <w:pPr>
        <w:rPr>
          <w:u w:val="single"/>
        </w:rPr>
      </w:pPr>
      <w:r w:rsidRPr="0098614E">
        <w:rPr>
          <w:u w:val="single"/>
        </w:rPr>
        <w:t>Conclusion</w:t>
      </w:r>
    </w:p>
    <w:p w14:paraId="30285C79" w14:textId="77777777" w:rsidR="0098614E" w:rsidRPr="0098614E" w:rsidRDefault="0098614E" w:rsidP="00AA1D48">
      <w:pPr>
        <w:pStyle w:val="ListParagraph"/>
        <w:numPr>
          <w:ilvl w:val="0"/>
          <w:numId w:val="132"/>
        </w:numPr>
        <w:rPr>
          <w:lang w:val="en-US"/>
        </w:rPr>
      </w:pPr>
      <w:r>
        <w:t>If all cells in a band are deactivated,</w:t>
      </w:r>
      <w:r w:rsidRPr="0098614E">
        <w:rPr>
          <w:iCs/>
          <w:lang w:eastAsia="zh-CN"/>
        </w:rPr>
        <w:t xml:space="preserve"> the SCS of the deactivated SCell is not considered for the reference slot determination.</w:t>
      </w:r>
    </w:p>
    <w:p w14:paraId="177056DD" w14:textId="77777777" w:rsidR="0098614E" w:rsidRPr="0098614E" w:rsidRDefault="0098614E" w:rsidP="00AA1D48">
      <w:pPr>
        <w:pStyle w:val="ListParagraph"/>
        <w:numPr>
          <w:ilvl w:val="0"/>
          <w:numId w:val="132"/>
        </w:numPr>
        <w:rPr>
          <w:lang w:val="en-US"/>
        </w:rPr>
      </w:pPr>
      <w:r>
        <w:t>If all cells in a band are dormant,</w:t>
      </w:r>
      <w:r w:rsidRPr="0098614E">
        <w:rPr>
          <w:iCs/>
          <w:lang w:eastAsia="zh-CN"/>
        </w:rPr>
        <w:t xml:space="preserve"> the SCS of the dormant SCell is not considered for the reference slot determination.</w:t>
      </w:r>
    </w:p>
    <w:p w14:paraId="4CC22CC1" w14:textId="77777777" w:rsidR="0098614E" w:rsidRDefault="0098614E" w:rsidP="0098614E">
      <w:pPr>
        <w:rPr>
          <w:highlight w:val="green"/>
          <w:lang w:eastAsia="x-none"/>
        </w:rPr>
      </w:pPr>
      <w:r>
        <w:rPr>
          <w:highlight w:val="green"/>
          <w:lang w:eastAsia="x-none"/>
        </w:rPr>
        <w:t>Agreement</w:t>
      </w:r>
    </w:p>
    <w:p w14:paraId="503BD4C2" w14:textId="77777777" w:rsidR="0098614E" w:rsidRDefault="0098614E" w:rsidP="0098614E">
      <w:pPr>
        <w:rPr>
          <w:lang w:eastAsia="x-none"/>
        </w:rPr>
      </w:pPr>
      <w:r>
        <w:rPr>
          <w:lang w:eastAsia="x-none"/>
        </w:rPr>
        <w:t>The following TP is agreed for TS38.214 clause 6.1.6</w:t>
      </w:r>
    </w:p>
    <w:p w14:paraId="10821C4E" w14:textId="24976ADA" w:rsidR="0048002B" w:rsidRPr="0048002B" w:rsidRDefault="0048002B" w:rsidP="0098614E">
      <w:pPr>
        <w:rPr>
          <w:color w:val="FF0000"/>
          <w:lang w:eastAsia="x-none"/>
        </w:rPr>
      </w:pPr>
      <w:r w:rsidRPr="0048002B">
        <w:rPr>
          <w:color w:val="FF0000"/>
          <w:lang w:eastAsia="x-none"/>
        </w:rPr>
        <w:t>------------- Start of TP -------------</w:t>
      </w:r>
    </w:p>
    <w:p w14:paraId="225DFEDB" w14:textId="77777777" w:rsidR="0098614E" w:rsidRPr="0048002B" w:rsidRDefault="0098614E" w:rsidP="0098614E">
      <w:pPr>
        <w:rPr>
          <w:rFonts w:ascii="Arial" w:eastAsia="SimSun" w:hAnsi="Arial" w:cs="Arial"/>
          <w:sz w:val="16"/>
          <w:szCs w:val="16"/>
        </w:rPr>
      </w:pPr>
      <w:r w:rsidRPr="0048002B">
        <w:rPr>
          <w:rFonts w:ascii="Arial" w:eastAsia="SimSun" w:hAnsi="Arial" w:cs="Arial"/>
          <w:sz w:val="16"/>
          <w:szCs w:val="16"/>
          <w:lang w:val="en-US"/>
        </w:rPr>
        <w:t xml:space="preserve">The UE may omit uplink transmission during </w:t>
      </w:r>
      <w:r w:rsidRPr="0048002B">
        <w:rPr>
          <w:rFonts w:ascii="Arial" w:eastAsia="SimSun" w:hAnsi="Arial" w:cs="Arial"/>
          <w:sz w:val="16"/>
          <w:szCs w:val="16"/>
        </w:rPr>
        <w:t xml:space="preserve">the uplink switching gap </w:t>
      </w:r>
      <w:r w:rsidRPr="0048002B">
        <w:rPr>
          <w:rFonts w:ascii="Arial" w:eastAsia="SimSun" w:hAnsi="Arial" w:cs="Arial"/>
          <w:sz w:val="16"/>
          <w:szCs w:val="16"/>
        </w:rPr>
        <w:fldChar w:fldCharType="begin"/>
      </w:r>
      <w:r w:rsidRPr="0048002B">
        <w:rPr>
          <w:rFonts w:ascii="Arial" w:eastAsia="SimSun" w:hAnsi="Arial" w:cs="Arial"/>
          <w:sz w:val="16"/>
          <w:szCs w:val="16"/>
        </w:rPr>
        <w:instrText xml:space="preserve"> QUOTE </w:instrText>
      </w:r>
      <w:r w:rsidR="00A6784C">
        <w:rPr>
          <w:rFonts w:ascii="Arial" w:hAnsi="Arial" w:cs="Arial"/>
          <w:position w:val="-5"/>
          <w:sz w:val="16"/>
          <w:szCs w:val="16"/>
        </w:rPr>
        <w:pict w14:anchorId="7BD17CD9">
          <v:shape id="_x0000_i1234" type="#_x0000_t75" style="width:31.5pt;height:12pt" equationxml="&lt;">
            <v:imagedata r:id="rId1691" o:title="" chromakey="white"/>
          </v:shape>
        </w:pict>
      </w:r>
      <w:r w:rsidRPr="0048002B">
        <w:rPr>
          <w:rFonts w:ascii="Arial" w:eastAsia="SimSun" w:hAnsi="Arial" w:cs="Arial"/>
          <w:sz w:val="16"/>
          <w:szCs w:val="16"/>
        </w:rPr>
        <w:instrText xml:space="preserve"> </w:instrText>
      </w:r>
      <w:r w:rsidRPr="0048002B">
        <w:rPr>
          <w:rFonts w:ascii="Arial" w:eastAsia="SimSun" w:hAnsi="Arial" w:cs="Arial"/>
          <w:sz w:val="16"/>
          <w:szCs w:val="16"/>
        </w:rPr>
        <w:fldChar w:fldCharType="separate"/>
      </w:r>
      <w:r w:rsidR="00A6784C">
        <w:rPr>
          <w:rFonts w:ascii="Arial" w:hAnsi="Arial" w:cs="Arial"/>
          <w:position w:val="-5"/>
          <w:sz w:val="16"/>
          <w:szCs w:val="16"/>
        </w:rPr>
        <w:pict w14:anchorId="2EAF84E6">
          <v:shape id="_x0000_i1235" type="#_x0000_t75" style="width:31.5pt;height:12pt" equationxml="&lt;">
            <v:imagedata r:id="rId1691" o:title="" chromakey="white"/>
          </v:shape>
        </w:pict>
      </w:r>
      <w:r w:rsidRPr="0048002B">
        <w:rPr>
          <w:rFonts w:ascii="Arial" w:eastAsia="SimSun" w:hAnsi="Arial" w:cs="Arial"/>
          <w:sz w:val="16"/>
          <w:szCs w:val="16"/>
        </w:rPr>
        <w:fldChar w:fldCharType="end"/>
      </w:r>
      <w:r w:rsidRPr="0048002B">
        <w:rPr>
          <w:rFonts w:ascii="Arial" w:eastAsia="SimSun" w:hAnsi="Arial" w:cs="Arial"/>
          <w:sz w:val="16"/>
          <w:szCs w:val="16"/>
        </w:rPr>
        <w:t xml:space="preserve"> if the conditions defined in this clause are met and the UE is configured with </w:t>
      </w:r>
      <w:r w:rsidRPr="0048002B">
        <w:rPr>
          <w:rFonts w:ascii="Arial" w:eastAsia="SimSun" w:hAnsi="Arial" w:cs="Arial"/>
          <w:i/>
          <w:sz w:val="16"/>
          <w:szCs w:val="16"/>
        </w:rPr>
        <w:t>uplinkTxSwitching</w:t>
      </w:r>
      <w:r w:rsidRPr="0048002B">
        <w:rPr>
          <w:rFonts w:ascii="Arial" w:eastAsia="SimSun" w:hAnsi="Arial" w:cs="Arial"/>
          <w:sz w:val="16"/>
          <w:szCs w:val="16"/>
        </w:rPr>
        <w:t xml:space="preserve">. The switching gap </w:t>
      </w:r>
      <w:r w:rsidRPr="0048002B">
        <w:rPr>
          <w:rFonts w:ascii="Arial" w:eastAsia="SimSun" w:hAnsi="Arial" w:cs="Arial"/>
          <w:sz w:val="16"/>
          <w:szCs w:val="16"/>
        </w:rPr>
        <w:fldChar w:fldCharType="begin"/>
      </w:r>
      <w:r w:rsidRPr="0048002B">
        <w:rPr>
          <w:rFonts w:ascii="Arial" w:eastAsia="SimSun" w:hAnsi="Arial" w:cs="Arial"/>
          <w:sz w:val="16"/>
          <w:szCs w:val="16"/>
        </w:rPr>
        <w:instrText xml:space="preserve"> QUOTE </w:instrText>
      </w:r>
      <w:r w:rsidR="00A6784C">
        <w:rPr>
          <w:rFonts w:ascii="Arial" w:hAnsi="Arial" w:cs="Arial"/>
          <w:position w:val="-5"/>
          <w:sz w:val="16"/>
          <w:szCs w:val="16"/>
        </w:rPr>
        <w:pict w14:anchorId="1E8A2CF8">
          <v:shape id="_x0000_i1236" type="#_x0000_t75" style="width:31.5pt;height:12pt" equationxml="&lt;">
            <v:imagedata r:id="rId1691" o:title="" chromakey="white"/>
          </v:shape>
        </w:pict>
      </w:r>
      <w:r w:rsidRPr="0048002B">
        <w:rPr>
          <w:rFonts w:ascii="Arial" w:eastAsia="SimSun" w:hAnsi="Arial" w:cs="Arial"/>
          <w:sz w:val="16"/>
          <w:szCs w:val="16"/>
        </w:rPr>
        <w:instrText xml:space="preserve"> </w:instrText>
      </w:r>
      <w:r w:rsidRPr="0048002B">
        <w:rPr>
          <w:rFonts w:ascii="Arial" w:eastAsia="SimSun" w:hAnsi="Arial" w:cs="Arial"/>
          <w:sz w:val="16"/>
          <w:szCs w:val="16"/>
        </w:rPr>
        <w:fldChar w:fldCharType="separate"/>
      </w:r>
      <w:r w:rsidR="00A6784C">
        <w:rPr>
          <w:rFonts w:ascii="Arial" w:hAnsi="Arial" w:cs="Arial"/>
          <w:position w:val="-5"/>
          <w:sz w:val="16"/>
          <w:szCs w:val="16"/>
        </w:rPr>
        <w:pict w14:anchorId="35EBEF86">
          <v:shape id="_x0000_i1237" type="#_x0000_t75" style="width:31.5pt;height:12pt" equationxml="&lt;">
            <v:imagedata r:id="rId1691" o:title="" chromakey="white"/>
          </v:shape>
        </w:pict>
      </w:r>
      <w:r w:rsidRPr="0048002B">
        <w:rPr>
          <w:rFonts w:ascii="Arial" w:eastAsia="SimSun" w:hAnsi="Arial" w:cs="Arial"/>
          <w:sz w:val="16"/>
          <w:szCs w:val="16"/>
        </w:rPr>
        <w:fldChar w:fldCharType="end"/>
      </w:r>
      <w:r w:rsidRPr="0048002B">
        <w:rPr>
          <w:rFonts w:ascii="Arial" w:eastAsia="SimSun" w:hAnsi="Arial" w:cs="Arial"/>
          <w:sz w:val="16"/>
          <w:szCs w:val="16"/>
        </w:rPr>
        <w:t xml:space="preserve"> is indicated by UE capability </w:t>
      </w:r>
      <w:r w:rsidRPr="0048002B">
        <w:rPr>
          <w:rFonts w:ascii="Arial" w:eastAsia="SimSun" w:hAnsi="Arial" w:cs="Arial"/>
          <w:i/>
          <w:iCs/>
          <w:sz w:val="16"/>
          <w:szCs w:val="16"/>
        </w:rPr>
        <w:t>uplinkTxSwitchingPeriod2T2T</w:t>
      </w:r>
      <w:r w:rsidRPr="0048002B">
        <w:rPr>
          <w:rFonts w:ascii="Arial" w:eastAsia="SimSun" w:hAnsi="Arial" w:cs="Arial"/>
          <w:sz w:val="16"/>
          <w:szCs w:val="16"/>
        </w:rPr>
        <w:t xml:space="preserve"> if </w:t>
      </w:r>
      <w:r w:rsidRPr="0048002B">
        <w:rPr>
          <w:rFonts w:ascii="Arial" w:eastAsia="SimSun" w:hAnsi="Arial" w:cs="Arial"/>
          <w:i/>
          <w:iCs/>
          <w:sz w:val="16"/>
          <w:szCs w:val="16"/>
        </w:rPr>
        <w:t>uplinkTxSwitching-2T-Mode</w:t>
      </w:r>
      <w:r w:rsidRPr="0048002B">
        <w:rPr>
          <w:rFonts w:ascii="Arial" w:eastAsia="SimSun" w:hAnsi="Arial" w:cs="Arial"/>
          <w:sz w:val="16"/>
          <w:szCs w:val="16"/>
        </w:rPr>
        <w:t xml:space="preserve"> is configured, and </w:t>
      </w:r>
      <w:r w:rsidRPr="0048002B">
        <w:rPr>
          <w:rFonts w:ascii="Arial" w:eastAsia="SimSun" w:hAnsi="Arial" w:cs="Arial"/>
          <w:i/>
          <w:sz w:val="16"/>
          <w:szCs w:val="16"/>
        </w:rPr>
        <w:t xml:space="preserve">uplinkTxSwitchingPeriod </w:t>
      </w:r>
      <w:r w:rsidRPr="0048002B">
        <w:rPr>
          <w:rFonts w:ascii="Arial" w:eastAsia="SimSun" w:hAnsi="Arial" w:cs="Arial"/>
          <w:iCs/>
          <w:sz w:val="16"/>
          <w:szCs w:val="16"/>
        </w:rPr>
        <w:t>otherwise in clauses 6.1.6.1, 6.1.6.2.0, 6.1.6.3, and is</w:t>
      </w:r>
      <w:r w:rsidRPr="0048002B">
        <w:rPr>
          <w:rFonts w:ascii="Arial" w:eastAsia="SimSun" w:hAnsi="Arial" w:cs="Arial"/>
          <w:iCs/>
          <w:color w:val="FF0000"/>
          <w:sz w:val="16"/>
          <w:szCs w:val="16"/>
          <w:u w:val="single"/>
        </w:rPr>
        <w:t xml:space="preserve"> </w:t>
      </w:r>
      <w:r w:rsidRPr="0048002B">
        <w:rPr>
          <w:rFonts w:ascii="Arial" w:eastAsia="SimSun" w:hAnsi="Arial" w:cs="Arial"/>
          <w:iCs/>
          <w:sz w:val="16"/>
          <w:szCs w:val="16"/>
        </w:rPr>
        <w:t>determined</w:t>
      </w:r>
      <w:r w:rsidRPr="0048002B">
        <w:rPr>
          <w:rFonts w:ascii="Arial" w:eastAsia="SimSun" w:hAnsi="Arial" w:cs="Arial"/>
          <w:iCs/>
          <w:color w:val="FF0000"/>
          <w:sz w:val="16"/>
          <w:szCs w:val="16"/>
        </w:rPr>
        <w:t xml:space="preserve"> </w:t>
      </w:r>
      <w:r w:rsidRPr="0048002B">
        <w:rPr>
          <w:rFonts w:ascii="Arial" w:eastAsia="SimSun" w:hAnsi="Arial" w:cs="Arial"/>
          <w:iCs/>
          <w:strike/>
          <w:color w:val="FF0000"/>
          <w:sz w:val="16"/>
          <w:szCs w:val="16"/>
        </w:rPr>
        <w:t>with</w:t>
      </w:r>
      <w:r w:rsidRPr="0048002B">
        <w:rPr>
          <w:rFonts w:ascii="Arial" w:eastAsia="SimSun" w:hAnsi="Arial" w:cs="Arial"/>
          <w:iCs/>
          <w:color w:val="FF0000"/>
          <w:sz w:val="16"/>
          <w:szCs w:val="16"/>
        </w:rPr>
        <w:t xml:space="preserve">based on </w:t>
      </w:r>
      <w:r w:rsidRPr="0048002B">
        <w:rPr>
          <w:rFonts w:ascii="Arial" w:eastAsia="SimSun" w:hAnsi="Arial" w:cs="Arial"/>
          <w:iCs/>
          <w:sz w:val="16"/>
          <w:szCs w:val="16"/>
        </w:rPr>
        <w:t xml:space="preserve">UE capability </w:t>
      </w:r>
      <w:r w:rsidRPr="0048002B">
        <w:rPr>
          <w:rFonts w:ascii="Arial" w:eastAsia="SimSun" w:hAnsi="Arial" w:cs="Arial"/>
          <w:i/>
          <w:sz w:val="16"/>
          <w:szCs w:val="16"/>
        </w:rPr>
        <w:t>uplinkTxSwitchingPeriodForBandPair</w:t>
      </w:r>
      <w:r w:rsidRPr="0048002B">
        <w:rPr>
          <w:rFonts w:ascii="Arial" w:eastAsia="SimSun" w:hAnsi="Arial" w:cs="Arial"/>
          <w:iCs/>
          <w:sz w:val="16"/>
          <w:szCs w:val="16"/>
        </w:rPr>
        <w:t xml:space="preserve"> in</w:t>
      </w:r>
      <w:r w:rsidRPr="0048002B">
        <w:rPr>
          <w:rFonts w:ascii="Arial" w:eastAsia="SimSun" w:hAnsi="Arial" w:cs="Arial"/>
          <w:iCs/>
          <w:color w:val="FF0000"/>
          <w:sz w:val="16"/>
          <w:szCs w:val="16"/>
        </w:rPr>
        <w:t xml:space="preserve"> </w:t>
      </w:r>
      <w:r w:rsidRPr="0048002B">
        <w:rPr>
          <w:rFonts w:ascii="Arial" w:eastAsia="SimSun" w:hAnsi="Arial" w:cs="Arial"/>
          <w:iCs/>
          <w:sz w:val="16"/>
          <w:szCs w:val="16"/>
        </w:rPr>
        <w:t>clause 6.1.6.2.2 for uplink switching with 3 or 4 uplink bands</w:t>
      </w:r>
      <w:r w:rsidRPr="0048002B">
        <w:rPr>
          <w:rFonts w:ascii="Arial" w:eastAsia="SimSun" w:hAnsi="Arial" w:cs="Arial"/>
          <w:sz w:val="16"/>
          <w:szCs w:val="16"/>
        </w:rPr>
        <w:t xml:space="preserve">: </w:t>
      </w:r>
    </w:p>
    <w:p w14:paraId="0B06CC03" w14:textId="2C088109" w:rsidR="0098614E" w:rsidRPr="0048002B" w:rsidRDefault="0098614E" w:rsidP="00A67145">
      <w:pPr>
        <w:pStyle w:val="ListParagraph"/>
        <w:numPr>
          <w:ilvl w:val="0"/>
          <w:numId w:val="172"/>
        </w:numPr>
        <w:rPr>
          <w:rFonts w:ascii="Arial" w:hAnsi="Arial" w:cs="Arial"/>
          <w:sz w:val="16"/>
          <w:szCs w:val="16"/>
          <w:lang w:val="en-US"/>
        </w:rPr>
      </w:pPr>
      <w:r w:rsidRPr="0048002B">
        <w:rPr>
          <w:rFonts w:ascii="Arial" w:hAnsi="Arial" w:cs="Arial"/>
          <w:sz w:val="16"/>
          <w:szCs w:val="16"/>
          <w:lang w:val="en-US"/>
        </w:rPr>
        <w:t xml:space="preserve">If a </w:t>
      </w:r>
      <w:r w:rsidRPr="0048002B">
        <w:rPr>
          <w:rFonts w:ascii="Arial" w:hAnsi="Arial" w:cs="Arial"/>
          <w:sz w:val="16"/>
          <w:szCs w:val="16"/>
          <w:lang w:val="en-AU"/>
        </w:rPr>
        <w:t>UE</w:t>
      </w:r>
      <w:r w:rsidRPr="0048002B">
        <w:rPr>
          <w:rFonts w:ascii="Arial" w:hAnsi="Arial" w:cs="Arial"/>
          <w:sz w:val="16"/>
          <w:szCs w:val="16"/>
          <w:lang w:val="en-US"/>
        </w:rPr>
        <w:t xml:space="preserve"> indicated a capability for uplink switching with </w:t>
      </w:r>
      <w:r w:rsidRPr="0048002B">
        <w:rPr>
          <w:rFonts w:ascii="Arial" w:hAnsi="Arial" w:cs="Arial"/>
          <w:i/>
          <w:iCs/>
          <w:sz w:val="16"/>
          <w:szCs w:val="16"/>
          <w:lang w:val="en-US"/>
        </w:rPr>
        <w:t>BandCombination-UplinkTxSwitch</w:t>
      </w:r>
      <w:r w:rsidRPr="0048002B">
        <w:rPr>
          <w:rFonts w:ascii="Arial" w:hAnsi="Arial" w:cs="Arial"/>
          <w:sz w:val="16"/>
          <w:szCs w:val="16"/>
          <w:lang w:val="en-US"/>
        </w:rPr>
        <w:t xml:space="preserve"> for a band combination, and if it is for that band combination</w:t>
      </w:r>
    </w:p>
    <w:p w14:paraId="1ECD4843" w14:textId="1FF02653" w:rsidR="0098614E" w:rsidRPr="0048002B" w:rsidRDefault="0098614E" w:rsidP="00A67145">
      <w:pPr>
        <w:pStyle w:val="ListParagraph"/>
        <w:numPr>
          <w:ilvl w:val="1"/>
          <w:numId w:val="172"/>
        </w:numPr>
        <w:spacing w:after="0"/>
        <w:ind w:left="1434" w:hanging="357"/>
        <w:rPr>
          <w:rFonts w:ascii="Arial" w:hAnsi="Arial" w:cs="Arial"/>
          <w:sz w:val="16"/>
          <w:szCs w:val="16"/>
          <w:lang w:val="en-US"/>
        </w:rPr>
      </w:pPr>
      <w:r w:rsidRPr="0048002B">
        <w:rPr>
          <w:rFonts w:ascii="Arial" w:hAnsi="Arial" w:cs="Arial"/>
          <w:sz w:val="16"/>
          <w:szCs w:val="16"/>
          <w:lang w:val="en-US"/>
        </w:rPr>
        <w:t xml:space="preserve">Configured with </w:t>
      </w:r>
      <w:r w:rsidRPr="0048002B">
        <w:rPr>
          <w:rFonts w:ascii="Arial" w:hAnsi="Arial" w:cs="Arial"/>
          <w:sz w:val="16"/>
          <w:szCs w:val="16"/>
          <w:lang w:val="en-US" w:eastAsia="fr-FR"/>
        </w:rPr>
        <w:t>a MCG using E-UTRA radio access and with a SCG using NR radio access (EN-DC)</w:t>
      </w:r>
      <w:r w:rsidRPr="0048002B">
        <w:rPr>
          <w:rFonts w:ascii="Arial" w:hAnsi="Arial" w:cs="Arial"/>
          <w:sz w:val="16"/>
          <w:szCs w:val="16"/>
          <w:lang w:val="en-US"/>
        </w:rPr>
        <w:t>, or</w:t>
      </w:r>
    </w:p>
    <w:p w14:paraId="4459FC85" w14:textId="61FB7A48" w:rsidR="0098614E" w:rsidRPr="0048002B" w:rsidRDefault="0098614E" w:rsidP="00A67145">
      <w:pPr>
        <w:pStyle w:val="ListParagraph"/>
        <w:numPr>
          <w:ilvl w:val="1"/>
          <w:numId w:val="172"/>
        </w:numPr>
        <w:spacing w:after="0"/>
        <w:ind w:left="1434" w:hanging="357"/>
        <w:rPr>
          <w:rFonts w:ascii="Arial" w:hAnsi="Arial" w:cs="Arial"/>
          <w:sz w:val="16"/>
          <w:szCs w:val="16"/>
          <w:lang w:val="en-US"/>
        </w:rPr>
      </w:pPr>
      <w:r w:rsidRPr="0048002B">
        <w:rPr>
          <w:rFonts w:ascii="Arial" w:hAnsi="Arial" w:cs="Arial"/>
          <w:sz w:val="16"/>
          <w:szCs w:val="16"/>
          <w:lang w:val="en-US"/>
        </w:rPr>
        <w:t>Configured with uplink carrier aggregation, or</w:t>
      </w:r>
    </w:p>
    <w:p w14:paraId="4B394D69" w14:textId="418E6118" w:rsidR="0098614E" w:rsidRPr="0048002B" w:rsidRDefault="0098614E" w:rsidP="00A67145">
      <w:pPr>
        <w:pStyle w:val="ListParagraph"/>
        <w:numPr>
          <w:ilvl w:val="1"/>
          <w:numId w:val="172"/>
        </w:numPr>
        <w:spacing w:after="0"/>
        <w:ind w:left="1434" w:hanging="357"/>
        <w:rPr>
          <w:rFonts w:ascii="Arial" w:hAnsi="Arial" w:cs="Arial"/>
          <w:sz w:val="16"/>
          <w:szCs w:val="16"/>
          <w:lang w:val="en-US"/>
        </w:rPr>
      </w:pPr>
      <w:r w:rsidRPr="0048002B">
        <w:rPr>
          <w:rFonts w:ascii="Arial" w:hAnsi="Arial" w:cs="Arial"/>
          <w:sz w:val="16"/>
          <w:szCs w:val="16"/>
          <w:lang w:val="en-US"/>
        </w:rPr>
        <w:t xml:space="preserve">Configured in a serving cell with two uplink carriers with </w:t>
      </w:r>
      <w:r w:rsidRPr="0048002B">
        <w:rPr>
          <w:rFonts w:ascii="Arial" w:hAnsi="Arial" w:cs="Arial"/>
          <w:sz w:val="16"/>
          <w:szCs w:val="16"/>
          <w:lang w:val="en-US" w:eastAsia="fr-FR"/>
        </w:rPr>
        <w:t xml:space="preserve">higher layer parameter </w:t>
      </w:r>
      <w:r w:rsidRPr="0048002B">
        <w:rPr>
          <w:rFonts w:ascii="Arial" w:hAnsi="Arial" w:cs="Arial"/>
          <w:i/>
          <w:iCs/>
          <w:sz w:val="16"/>
          <w:szCs w:val="16"/>
          <w:lang w:val="en-US" w:eastAsia="fr-FR"/>
        </w:rPr>
        <w:t>supplementaryUplink</w:t>
      </w:r>
      <w:r w:rsidRPr="0048002B">
        <w:rPr>
          <w:rFonts w:ascii="Arial" w:hAnsi="Arial" w:cs="Arial"/>
          <w:sz w:val="16"/>
          <w:szCs w:val="16"/>
          <w:lang w:val="en-US"/>
        </w:rPr>
        <w:t>.</w:t>
      </w:r>
    </w:p>
    <w:p w14:paraId="705B9FD7" w14:textId="77777777" w:rsidR="0098614E" w:rsidRDefault="0098614E" w:rsidP="0098614E">
      <w:pPr>
        <w:rPr>
          <w:lang w:eastAsia="x-none"/>
        </w:rPr>
      </w:pPr>
      <w:r w:rsidRPr="0048002B">
        <w:rPr>
          <w:rFonts w:ascii="Arial" w:eastAsia="SimSun" w:hAnsi="Arial" w:cs="Arial"/>
          <w:sz w:val="16"/>
          <w:szCs w:val="16"/>
        </w:rPr>
        <w:t>The conditions under which the switching gap may be present are defined for each of the cases in clauses 6.1.6.1, 6.1.6.2, and</w:t>
      </w:r>
      <w:r>
        <w:rPr>
          <w:rFonts w:eastAsia="SimSun"/>
        </w:rPr>
        <w:t xml:space="preserve"> 6.1.6.3 respectively.</w:t>
      </w:r>
    </w:p>
    <w:p w14:paraId="5534E48E" w14:textId="5F168BE8" w:rsidR="0048002B" w:rsidRPr="0048002B" w:rsidRDefault="0048002B" w:rsidP="0048002B">
      <w:pPr>
        <w:rPr>
          <w:color w:val="FF0000"/>
          <w:lang w:eastAsia="x-none"/>
        </w:rPr>
      </w:pPr>
      <w:r w:rsidRPr="0048002B">
        <w:rPr>
          <w:color w:val="FF0000"/>
          <w:lang w:eastAsia="x-none"/>
        </w:rPr>
        <w:t xml:space="preserve">------------- </w:t>
      </w:r>
      <w:r>
        <w:rPr>
          <w:color w:val="FF0000"/>
          <w:lang w:eastAsia="x-none"/>
        </w:rPr>
        <w:t>End</w:t>
      </w:r>
      <w:r w:rsidRPr="0048002B">
        <w:rPr>
          <w:color w:val="FF0000"/>
          <w:lang w:eastAsia="x-none"/>
        </w:rPr>
        <w:t xml:space="preserve"> of TP -------------</w:t>
      </w:r>
    </w:p>
    <w:p w14:paraId="060FEE20" w14:textId="77777777" w:rsidR="0098614E" w:rsidRDefault="0098614E" w:rsidP="0098614E">
      <w:pPr>
        <w:rPr>
          <w:lang w:eastAsia="x-none"/>
        </w:rPr>
      </w:pPr>
    </w:p>
    <w:p w14:paraId="2C2EEE35" w14:textId="77777777" w:rsidR="0098614E" w:rsidRDefault="0098614E" w:rsidP="0098614E">
      <w:pPr>
        <w:rPr>
          <w:highlight w:val="green"/>
          <w:lang w:eastAsia="x-none"/>
        </w:rPr>
      </w:pPr>
      <w:r>
        <w:rPr>
          <w:highlight w:val="green"/>
          <w:lang w:eastAsia="x-none"/>
        </w:rPr>
        <w:t>Agreement</w:t>
      </w:r>
    </w:p>
    <w:p w14:paraId="1F754404" w14:textId="7E00E165" w:rsidR="0098614E" w:rsidRDefault="0098614E" w:rsidP="0098614E">
      <w:r>
        <w:t>Following TP is agreed for TS38.214</w:t>
      </w:r>
    </w:p>
    <w:tbl>
      <w:tblPr>
        <w:tblW w:w="5000" w:type="pct"/>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0683"/>
      </w:tblGrid>
      <w:tr w:rsidR="0098614E" w:rsidRPr="0098614E" w14:paraId="633FD3C1" w14:textId="77777777" w:rsidTr="0098614E">
        <w:tc>
          <w:tcPr>
            <w:tcW w:w="5000" w:type="pct"/>
            <w:tcBorders>
              <w:top w:val="double" w:sz="4" w:space="0" w:color="A5A5A5"/>
              <w:left w:val="double" w:sz="4" w:space="0" w:color="A5A5A5"/>
              <w:bottom w:val="double" w:sz="4" w:space="0" w:color="A5A5A5"/>
              <w:right w:val="double" w:sz="4" w:space="0" w:color="A5A5A5"/>
            </w:tcBorders>
            <w:hideMark/>
          </w:tcPr>
          <w:p w14:paraId="70BF2258" w14:textId="77777777" w:rsidR="0098614E" w:rsidRPr="0098614E" w:rsidRDefault="0098614E" w:rsidP="0098614E">
            <w:pPr>
              <w:rPr>
                <w:rFonts w:ascii="Arial" w:hAnsi="Arial" w:cs="Arial"/>
                <w:b/>
                <w:bCs/>
                <w:sz w:val="16"/>
                <w:szCs w:val="16"/>
              </w:rPr>
            </w:pPr>
            <w:r w:rsidRPr="0098614E">
              <w:rPr>
                <w:rFonts w:ascii="Arial" w:hAnsi="Arial" w:cs="Arial"/>
                <w:b/>
                <w:bCs/>
                <w:sz w:val="16"/>
                <w:szCs w:val="16"/>
              </w:rPr>
              <w:lastRenderedPageBreak/>
              <w:t>6.1.6</w:t>
            </w:r>
            <w:r w:rsidRPr="0098614E">
              <w:rPr>
                <w:rFonts w:ascii="Arial" w:hAnsi="Arial" w:cs="Arial"/>
                <w:b/>
                <w:bCs/>
                <w:sz w:val="16"/>
                <w:szCs w:val="16"/>
              </w:rPr>
              <w:tab/>
              <w:t>Uplink switching</w:t>
            </w:r>
          </w:p>
          <w:p w14:paraId="6F958273" w14:textId="77777777" w:rsidR="0098614E" w:rsidRPr="0098614E" w:rsidRDefault="0098614E" w:rsidP="0098614E">
            <w:pPr>
              <w:snapToGrid w:val="0"/>
              <w:jc w:val="center"/>
              <w:rPr>
                <w:rFonts w:ascii="Arial" w:eastAsia="SimSun" w:hAnsi="Arial" w:cs="Arial"/>
                <w:sz w:val="16"/>
                <w:szCs w:val="16"/>
                <w:lang w:val="en-US"/>
              </w:rPr>
            </w:pPr>
            <w:r w:rsidRPr="0098614E">
              <w:rPr>
                <w:rFonts w:ascii="Arial" w:eastAsia="SimSun" w:hAnsi="Arial" w:cs="Arial"/>
                <w:i/>
                <w:sz w:val="16"/>
                <w:szCs w:val="16"/>
                <w:lang w:val="en-US"/>
              </w:rPr>
              <w:t>&lt;</w:t>
            </w:r>
            <w:r w:rsidRPr="0098614E">
              <w:rPr>
                <w:rFonts w:ascii="Arial" w:eastAsia="SimSun" w:hAnsi="Arial" w:cs="Arial"/>
                <w:i/>
                <w:sz w:val="16"/>
                <w:szCs w:val="16"/>
                <w:lang w:val="en-US" w:eastAsia="zh-CN"/>
              </w:rPr>
              <w:t xml:space="preserve"> Unchanged parts are omitted </w:t>
            </w:r>
            <w:r w:rsidRPr="0098614E">
              <w:rPr>
                <w:rFonts w:ascii="Arial" w:eastAsia="SimSun" w:hAnsi="Arial" w:cs="Arial"/>
                <w:i/>
                <w:sz w:val="16"/>
                <w:szCs w:val="16"/>
                <w:lang w:val="en-US"/>
              </w:rPr>
              <w:t>&gt;</w:t>
            </w:r>
          </w:p>
          <w:p w14:paraId="55BA78FA" w14:textId="77777777" w:rsidR="0098614E" w:rsidRPr="0098614E" w:rsidRDefault="0098614E" w:rsidP="0098614E">
            <w:pPr>
              <w:rPr>
                <w:rFonts w:ascii="Arial" w:eastAsia="SimSun" w:hAnsi="Arial" w:cs="Arial"/>
                <w:sz w:val="16"/>
                <w:szCs w:val="16"/>
              </w:rPr>
            </w:pPr>
            <w:r w:rsidRPr="0098614E">
              <w:rPr>
                <w:rFonts w:ascii="Arial" w:eastAsia="SimSun" w:hAnsi="Arial" w:cs="Arial"/>
                <w:sz w:val="16"/>
                <w:szCs w:val="16"/>
              </w:rPr>
              <w:t>For uplink switching with 3 or 4 uplink bands</w:t>
            </w:r>
          </w:p>
          <w:p w14:paraId="6DBFEAC1" w14:textId="77777777" w:rsidR="0098614E" w:rsidRPr="0098614E" w:rsidRDefault="0098614E" w:rsidP="0098614E">
            <w:pPr>
              <w:snapToGrid w:val="0"/>
              <w:jc w:val="center"/>
              <w:rPr>
                <w:rFonts w:ascii="Arial" w:eastAsia="SimSun" w:hAnsi="Arial" w:cs="Arial"/>
                <w:sz w:val="16"/>
                <w:szCs w:val="16"/>
                <w:lang w:val="en-US"/>
              </w:rPr>
            </w:pPr>
            <w:r w:rsidRPr="0098614E">
              <w:rPr>
                <w:rFonts w:ascii="Arial" w:eastAsia="SimSun" w:hAnsi="Arial" w:cs="Arial"/>
                <w:i/>
                <w:sz w:val="16"/>
                <w:szCs w:val="16"/>
                <w:lang w:val="en-US"/>
              </w:rPr>
              <w:t>&lt;</w:t>
            </w:r>
            <w:r w:rsidRPr="0098614E">
              <w:rPr>
                <w:rFonts w:ascii="Arial" w:eastAsia="SimSun" w:hAnsi="Arial" w:cs="Arial"/>
                <w:i/>
                <w:sz w:val="16"/>
                <w:szCs w:val="16"/>
                <w:lang w:val="en-US" w:eastAsia="zh-CN"/>
              </w:rPr>
              <w:t xml:space="preserve"> Unchanged parts are omitted </w:t>
            </w:r>
            <w:r w:rsidRPr="0098614E">
              <w:rPr>
                <w:rFonts w:ascii="Arial" w:eastAsia="SimSun" w:hAnsi="Arial" w:cs="Arial"/>
                <w:i/>
                <w:sz w:val="16"/>
                <w:szCs w:val="16"/>
                <w:lang w:val="en-US"/>
              </w:rPr>
              <w:t>&gt;</w:t>
            </w:r>
          </w:p>
          <w:p w14:paraId="769DE971" w14:textId="77777777" w:rsidR="0098614E" w:rsidRPr="0098614E" w:rsidRDefault="0098614E" w:rsidP="0098614E">
            <w:pPr>
              <w:ind w:left="568" w:hanging="284"/>
              <w:rPr>
                <w:ins w:id="754" w:author="Huawei" w:date="2023-10-28T17:45:00Z"/>
                <w:rFonts w:ascii="Arial" w:eastAsia="SimSun" w:hAnsi="Arial" w:cs="Arial"/>
                <w:sz w:val="16"/>
                <w:szCs w:val="16"/>
              </w:rPr>
            </w:pPr>
            <w:r w:rsidRPr="0098614E">
              <w:rPr>
                <w:rFonts w:ascii="Arial" w:eastAsia="SimSun" w:hAnsi="Arial" w:cs="Arial"/>
                <w:sz w:val="16"/>
                <w:szCs w:val="16"/>
              </w:rPr>
              <w:t>-</w:t>
            </w:r>
            <w:r w:rsidRPr="0098614E">
              <w:rPr>
                <w:rFonts w:ascii="Arial" w:eastAsia="SimSun" w:hAnsi="Arial" w:cs="Arial"/>
                <w:sz w:val="16"/>
                <w:szCs w:val="16"/>
              </w:rPr>
              <w:tab/>
              <w:t xml:space="preserve">If 500 µs is determined by the UE capability </w:t>
            </w:r>
            <w:r w:rsidRPr="0098614E">
              <w:rPr>
                <w:rFonts w:ascii="Arial" w:eastAsia="SimSun" w:hAnsi="Arial" w:cs="Arial"/>
                <w:i/>
                <w:iCs/>
                <w:sz w:val="16"/>
                <w:szCs w:val="16"/>
              </w:rPr>
              <w:t>uplinkTxSwitchingMinimumSeparationTime</w:t>
            </w:r>
            <w:r w:rsidRPr="0098614E">
              <w:rPr>
                <w:rFonts w:ascii="Arial" w:eastAsia="SimSun" w:hAnsi="Arial" w:cs="Arial"/>
                <w:sz w:val="16"/>
                <w:szCs w:val="16"/>
              </w:rPr>
              <w:t xml:space="preserve">, </w:t>
            </w:r>
            <w:ins w:id="755" w:author="Huawei" w:date="2023-10-28T17:50:00Z">
              <w:r w:rsidRPr="0098614E">
                <w:rPr>
                  <w:rFonts w:ascii="Arial" w:eastAsia="SimSun" w:hAnsi="Arial" w:cs="Arial"/>
                  <w:sz w:val="16"/>
                  <w:szCs w:val="16"/>
                </w:rPr>
                <w:t xml:space="preserve">when </w:t>
              </w:r>
            </w:ins>
            <w:r w:rsidRPr="0098614E">
              <w:rPr>
                <w:rFonts w:ascii="Arial" w:eastAsia="SimSun" w:hAnsi="Arial" w:cs="Arial"/>
                <w:sz w:val="16"/>
                <w:szCs w:val="16"/>
              </w:rPr>
              <w:t xml:space="preserve">within any two consecutive reference slots corresponding to numerology </w:t>
            </w:r>
            <w:r w:rsidRPr="0098614E">
              <w:rPr>
                <w:rFonts w:ascii="Arial" w:eastAsia="SimSun" w:hAnsi="Arial" w:cs="Arial"/>
                <w:i/>
                <w:sz w:val="16"/>
                <w:szCs w:val="16"/>
                <w:lang w:val="en-AU"/>
              </w:rPr>
              <w:t>µ</w:t>
            </w:r>
            <w:r w:rsidRPr="0098614E">
              <w:rPr>
                <w:rFonts w:ascii="Arial" w:eastAsia="SimSun" w:hAnsi="Arial" w:cs="Arial"/>
                <w:i/>
                <w:sz w:val="16"/>
                <w:szCs w:val="16"/>
                <w:vertAlign w:val="subscript"/>
                <w:lang w:val="en-AU"/>
              </w:rPr>
              <w:t>UL</w:t>
            </w:r>
            <w:r w:rsidRPr="0098614E">
              <w:rPr>
                <w:rFonts w:ascii="Arial" w:eastAsia="SimSun" w:hAnsi="Arial" w:cs="Arial"/>
                <w:sz w:val="16"/>
                <w:szCs w:val="16"/>
              </w:rPr>
              <w:t xml:space="preserve">, </w:t>
            </w:r>
          </w:p>
          <w:p w14:paraId="231193A8" w14:textId="77777777" w:rsidR="0098614E" w:rsidRPr="0098614E" w:rsidRDefault="0098614E" w:rsidP="0098614E">
            <w:pPr>
              <w:ind w:left="880" w:hanging="284"/>
              <w:rPr>
                <w:ins w:id="756" w:author="Huawei" w:date="2023-10-28T17:46:00Z"/>
                <w:rFonts w:ascii="Arial" w:eastAsia="SimSun" w:hAnsi="Arial" w:cs="Arial"/>
                <w:sz w:val="16"/>
                <w:szCs w:val="16"/>
              </w:rPr>
            </w:pPr>
            <w:ins w:id="757" w:author="Huawei" w:date="2023-10-28T17:45:00Z">
              <w:r w:rsidRPr="0098614E">
                <w:rPr>
                  <w:rFonts w:ascii="Arial" w:eastAsia="SimSun" w:hAnsi="Arial" w:cs="Arial"/>
                  <w:sz w:val="16"/>
                  <w:szCs w:val="16"/>
                </w:rPr>
                <w:t>-</w:t>
              </w:r>
              <w:r w:rsidRPr="0098614E">
                <w:rPr>
                  <w:rFonts w:ascii="Arial" w:eastAsia="SimSun" w:hAnsi="Arial" w:cs="Arial"/>
                  <w:sz w:val="16"/>
                  <w:szCs w:val="16"/>
                </w:rPr>
                <w:tab/>
              </w:r>
            </w:ins>
            <w:del w:id="758" w:author="Huawei" w:date="2023-10-28T17:50:00Z">
              <w:r w:rsidRPr="0098614E">
                <w:rPr>
                  <w:rFonts w:ascii="Arial" w:eastAsia="SimSun" w:hAnsi="Arial" w:cs="Arial"/>
                  <w:sz w:val="16"/>
                  <w:szCs w:val="16"/>
                </w:rPr>
                <w:delText xml:space="preserve">when </w:delText>
              </w:r>
            </w:del>
            <w:r w:rsidRPr="0098614E">
              <w:rPr>
                <w:rFonts w:ascii="Arial" w:eastAsia="SimSun" w:hAnsi="Arial" w:cs="Arial"/>
                <w:sz w:val="16"/>
                <w:szCs w:val="16"/>
              </w:rPr>
              <w:t xml:space="preserve">the UE first performs one uplink switch and later performs another uplink switch and </w:t>
            </w:r>
          </w:p>
          <w:p w14:paraId="745A5464" w14:textId="77777777" w:rsidR="0098614E" w:rsidRPr="0098614E" w:rsidRDefault="0098614E" w:rsidP="0098614E">
            <w:pPr>
              <w:ind w:left="880" w:hanging="284"/>
              <w:rPr>
                <w:ins w:id="759" w:author="Huawei" w:date="2023-10-28T17:45:00Z"/>
                <w:rFonts w:ascii="Arial" w:eastAsia="SimSun" w:hAnsi="Arial" w:cs="Arial"/>
                <w:sz w:val="16"/>
                <w:szCs w:val="16"/>
              </w:rPr>
            </w:pPr>
            <w:ins w:id="760" w:author="Huawei" w:date="2023-10-28T17:46:00Z">
              <w:r w:rsidRPr="0098614E">
                <w:rPr>
                  <w:rFonts w:ascii="Arial" w:eastAsia="SimSun" w:hAnsi="Arial" w:cs="Arial"/>
                  <w:sz w:val="16"/>
                  <w:szCs w:val="16"/>
                </w:rPr>
                <w:t>-</w:t>
              </w:r>
              <w:r w:rsidRPr="0098614E">
                <w:rPr>
                  <w:rFonts w:ascii="Arial" w:eastAsia="SimSun" w:hAnsi="Arial" w:cs="Arial"/>
                  <w:sz w:val="16"/>
                  <w:szCs w:val="16"/>
                </w:rPr>
                <w:tab/>
              </w:r>
            </w:ins>
            <w:r w:rsidRPr="0098614E">
              <w:rPr>
                <w:rFonts w:ascii="Arial" w:eastAsia="SimSun" w:hAnsi="Arial" w:cs="Arial"/>
                <w:sz w:val="16"/>
                <w:szCs w:val="16"/>
              </w:rPr>
              <w:t xml:space="preserve">at least three bands are involved in the transmissions before the first switch, between the first switch and the second switch, and after the second switch, </w:t>
            </w:r>
          </w:p>
          <w:p w14:paraId="486481A7" w14:textId="77777777" w:rsidR="0098614E" w:rsidRPr="0098614E" w:rsidRDefault="0098614E" w:rsidP="0098614E">
            <w:pPr>
              <w:ind w:left="568" w:hanging="284"/>
              <w:rPr>
                <w:rFonts w:ascii="Arial" w:eastAsia="SimSun" w:hAnsi="Arial" w:cs="Arial"/>
                <w:sz w:val="16"/>
                <w:szCs w:val="16"/>
              </w:rPr>
            </w:pPr>
            <w:ins w:id="761" w:author="Huawei" w:date="2023-10-28T17:46:00Z">
              <w:r w:rsidRPr="0098614E">
                <w:rPr>
                  <w:rFonts w:ascii="Arial" w:eastAsia="SimSun" w:hAnsi="Arial" w:cs="Arial"/>
                  <w:sz w:val="16"/>
                  <w:szCs w:val="16"/>
                </w:rPr>
                <w:t xml:space="preserve">      </w:t>
              </w:r>
            </w:ins>
            <w:r w:rsidRPr="0098614E">
              <w:rPr>
                <w:rFonts w:ascii="Arial" w:eastAsia="SimSun" w:hAnsi="Arial" w:cs="Arial"/>
                <w:sz w:val="16"/>
                <w:szCs w:val="16"/>
              </w:rPr>
              <w:t xml:space="preserve">the separation time between the start of all transmission(s) after the first switch and the start of all transmission(s) after the second switch is not expected to be less than 500 µs. If </w:t>
            </w:r>
            <w:r w:rsidRPr="0098614E">
              <w:rPr>
                <w:rFonts w:ascii="Arial" w:eastAsia="SimSun" w:hAnsi="Arial" w:cs="Arial"/>
                <w:sz w:val="16"/>
                <w:szCs w:val="16"/>
                <w:lang w:val="en-US"/>
              </w:rPr>
              <w:t xml:space="preserve">other than </w:t>
            </w:r>
            <w:r w:rsidRPr="0098614E">
              <w:rPr>
                <w:rFonts w:ascii="Arial" w:eastAsia="SimSun" w:hAnsi="Arial" w:cs="Arial"/>
                <w:sz w:val="16"/>
                <w:szCs w:val="16"/>
              </w:rPr>
              <w:t xml:space="preserve">500 µs is determined by the UE capability </w:t>
            </w:r>
            <w:r w:rsidRPr="0098614E">
              <w:rPr>
                <w:rFonts w:ascii="Arial" w:eastAsia="SimSun" w:hAnsi="Arial" w:cs="Arial"/>
                <w:i/>
                <w:iCs/>
                <w:sz w:val="16"/>
                <w:szCs w:val="16"/>
              </w:rPr>
              <w:t>uplinkTxSwitchingMinimumSeparationTime</w:t>
            </w:r>
            <w:r w:rsidRPr="0098614E">
              <w:rPr>
                <w:rFonts w:ascii="Arial" w:eastAsia="SimSun" w:hAnsi="Arial" w:cs="Arial"/>
                <w:sz w:val="16"/>
                <w:szCs w:val="16"/>
              </w:rPr>
              <w:t>,</w:t>
            </w:r>
            <w:r w:rsidRPr="0098614E">
              <w:rPr>
                <w:rFonts w:ascii="Arial" w:eastAsia="SimSun" w:hAnsi="Arial" w:cs="Arial"/>
                <w:sz w:val="16"/>
                <w:szCs w:val="16"/>
                <w:lang w:val="en-US"/>
              </w:rPr>
              <w:t xml:space="preserve"> no additional restrictions apply.</w:t>
            </w:r>
          </w:p>
          <w:p w14:paraId="52CED14A" w14:textId="77777777" w:rsidR="0098614E" w:rsidRPr="0098614E" w:rsidRDefault="0098614E" w:rsidP="0098614E">
            <w:pPr>
              <w:jc w:val="center"/>
              <w:rPr>
                <w:rFonts w:ascii="Arial" w:eastAsia="MS Mincho" w:hAnsi="Arial" w:cs="Arial"/>
                <w:sz w:val="16"/>
                <w:szCs w:val="16"/>
                <w:lang w:val="en-US"/>
              </w:rPr>
            </w:pPr>
            <w:r w:rsidRPr="0098614E">
              <w:rPr>
                <w:rFonts w:ascii="Arial" w:eastAsia="SimSun" w:hAnsi="Arial" w:cs="Arial"/>
                <w:i/>
                <w:sz w:val="16"/>
                <w:szCs w:val="16"/>
                <w:lang w:val="en-US"/>
              </w:rPr>
              <w:t>&lt;</w:t>
            </w:r>
            <w:r w:rsidRPr="0098614E">
              <w:rPr>
                <w:rFonts w:ascii="Arial" w:eastAsia="SimSun" w:hAnsi="Arial" w:cs="Arial"/>
                <w:i/>
                <w:sz w:val="16"/>
                <w:szCs w:val="16"/>
                <w:lang w:val="en-US" w:eastAsia="zh-CN"/>
              </w:rPr>
              <w:t xml:space="preserve"> Unchanged parts are omitted </w:t>
            </w:r>
            <w:r w:rsidRPr="0098614E">
              <w:rPr>
                <w:rFonts w:ascii="Arial" w:eastAsia="SimSun" w:hAnsi="Arial" w:cs="Arial"/>
                <w:i/>
                <w:sz w:val="16"/>
                <w:szCs w:val="16"/>
                <w:lang w:val="en-US"/>
              </w:rPr>
              <w:t>&gt;</w:t>
            </w:r>
          </w:p>
        </w:tc>
      </w:tr>
    </w:tbl>
    <w:p w14:paraId="22AB8515" w14:textId="77777777" w:rsidR="0098614E" w:rsidRPr="006A67E8" w:rsidRDefault="0098614E" w:rsidP="006A67E8">
      <w:pPr>
        <w:rPr>
          <w:szCs w:val="20"/>
        </w:rPr>
      </w:pPr>
    </w:p>
    <w:p w14:paraId="291D34AC" w14:textId="77777777" w:rsidR="0098614E" w:rsidRPr="006A67E8" w:rsidRDefault="0098614E" w:rsidP="006A67E8">
      <w:pPr>
        <w:rPr>
          <w:szCs w:val="20"/>
        </w:rPr>
      </w:pPr>
    </w:p>
    <w:p w14:paraId="0761F204" w14:textId="17EE2D8B" w:rsidR="006A67E8" w:rsidRPr="00F01EB0" w:rsidRDefault="005A18DC" w:rsidP="00F74A6F">
      <w:pPr>
        <w:rPr>
          <w:b/>
          <w:bCs/>
          <w:lang w:eastAsia="x-none"/>
        </w:rPr>
      </w:pPr>
      <w:hyperlink r:id="rId1692" w:history="1">
        <w:r w:rsidR="00AF7253">
          <w:rPr>
            <w:rStyle w:val="Hyperlink"/>
            <w:b/>
            <w:bCs/>
            <w:lang w:eastAsia="x-none"/>
          </w:rPr>
          <w:t>R1-2312517</w:t>
        </w:r>
      </w:hyperlink>
      <w:r w:rsidR="006A67E8" w:rsidRPr="00F01EB0">
        <w:rPr>
          <w:b/>
          <w:bCs/>
          <w:lang w:eastAsia="x-none"/>
        </w:rPr>
        <w:tab/>
        <w:t>Summary#3 of discussion on Multi-carrier UL Tx switching scheme</w:t>
      </w:r>
      <w:r w:rsidR="006A67E8" w:rsidRPr="00F01EB0">
        <w:rPr>
          <w:b/>
          <w:bCs/>
          <w:lang w:eastAsia="x-none"/>
        </w:rPr>
        <w:tab/>
        <w:t>Moderator (NTT DOCOMO, INC.)</w:t>
      </w:r>
    </w:p>
    <w:p w14:paraId="70613144" w14:textId="7A8E476D" w:rsidR="00F01EB0" w:rsidRDefault="00F01EB0" w:rsidP="00F74A6F">
      <w:pPr>
        <w:rPr>
          <w:lang w:eastAsia="x-none"/>
        </w:rPr>
      </w:pPr>
      <w:r>
        <w:rPr>
          <w:lang w:eastAsia="x-none"/>
        </w:rPr>
        <w:t>From Thursday session</w:t>
      </w:r>
    </w:p>
    <w:p w14:paraId="0ACB2AC7" w14:textId="77777777" w:rsidR="000E25E7" w:rsidRPr="000E25E7" w:rsidRDefault="000E25E7" w:rsidP="000E25E7">
      <w:pPr>
        <w:rPr>
          <w:u w:val="single"/>
        </w:rPr>
      </w:pPr>
      <w:r w:rsidRPr="000E25E7">
        <w:rPr>
          <w:u w:val="single"/>
        </w:rPr>
        <w:t>Conclusion</w:t>
      </w:r>
    </w:p>
    <w:p w14:paraId="2F34C42C" w14:textId="77777777" w:rsidR="000E25E7" w:rsidRPr="000E25E7" w:rsidRDefault="000E25E7" w:rsidP="00A67145">
      <w:pPr>
        <w:pStyle w:val="ListParagraph"/>
        <w:numPr>
          <w:ilvl w:val="0"/>
          <w:numId w:val="172"/>
        </w:numPr>
        <w:rPr>
          <w:rFonts w:eastAsia="MS Mincho"/>
        </w:rPr>
      </w:pPr>
      <w:r w:rsidRPr="000E25E7">
        <w:rPr>
          <w:rFonts w:eastAsia="MS Mincho"/>
        </w:rPr>
        <w:t>In case 2 ports transmission on band B is not supported but twoT is indicated and the switching is performed from 1T+1T on band A+C to 1 port transmission on band B, another</w:t>
      </w:r>
      <w:r w:rsidRPr="000E25E7">
        <w:rPr>
          <w:sz w:val="18"/>
          <w:szCs w:val="22"/>
        </w:rPr>
        <w:t xml:space="preserve"> </w:t>
      </w:r>
      <w:r w:rsidRPr="000E25E7">
        <w:rPr>
          <w:rFonts w:eastAsia="MS Mincho"/>
        </w:rPr>
        <w:t>Tx chain is also assumed to be switched to band B.</w:t>
      </w:r>
    </w:p>
    <w:p w14:paraId="1656A873" w14:textId="77777777" w:rsidR="000E25E7" w:rsidRPr="000E25E7" w:rsidRDefault="000E25E7" w:rsidP="00A67145">
      <w:pPr>
        <w:pStyle w:val="ListParagraph"/>
        <w:numPr>
          <w:ilvl w:val="0"/>
          <w:numId w:val="172"/>
        </w:numPr>
        <w:rPr>
          <w:rFonts w:eastAsia="MS Mincho"/>
        </w:rPr>
      </w:pPr>
      <w:r w:rsidRPr="000E25E7">
        <w:rPr>
          <w:rFonts w:eastAsia="MS Mincho"/>
        </w:rPr>
        <w:t>In case 2 ports transmission on band B is not supported but twoT is indicated and the switching is performed from 2T on band A to 1 port transmission on band B, another</w:t>
      </w:r>
      <w:r w:rsidRPr="000E25E7">
        <w:rPr>
          <w:sz w:val="18"/>
          <w:szCs w:val="22"/>
        </w:rPr>
        <w:t xml:space="preserve"> </w:t>
      </w:r>
      <w:r w:rsidRPr="000E25E7">
        <w:rPr>
          <w:rFonts w:eastAsia="MS Mincho"/>
        </w:rPr>
        <w:t>Tx chain is also assumed to be switched to band B.</w:t>
      </w:r>
    </w:p>
    <w:p w14:paraId="7BC347D1" w14:textId="77777777" w:rsidR="000E25E7" w:rsidRPr="000E25E7" w:rsidRDefault="000E25E7" w:rsidP="000E25E7">
      <w:pPr>
        <w:rPr>
          <w:sz w:val="18"/>
          <w:szCs w:val="22"/>
          <w:u w:val="single"/>
        </w:rPr>
      </w:pPr>
      <w:r w:rsidRPr="000E25E7">
        <w:rPr>
          <w:sz w:val="18"/>
          <w:szCs w:val="22"/>
          <w:u w:val="single"/>
        </w:rPr>
        <w:t>Conclusion</w:t>
      </w:r>
    </w:p>
    <w:p w14:paraId="0DA706E1" w14:textId="77777777" w:rsidR="000E25E7" w:rsidRDefault="000E25E7" w:rsidP="000E25E7">
      <w:pPr>
        <w:rPr>
          <w:rFonts w:eastAsia="MS Mincho"/>
          <w:szCs w:val="20"/>
        </w:rPr>
      </w:pPr>
      <w:r>
        <w:rPr>
          <w:rFonts w:eastAsia="MS Mincho"/>
          <w:szCs w:val="20"/>
        </w:rPr>
        <w:t>In case SwitchedUL is configured for band pair A+B but oneT is indicated and the switching is performed from 2T on band A to 1 port transmission on band B, another</w:t>
      </w:r>
      <w:r>
        <w:rPr>
          <w:sz w:val="18"/>
          <w:szCs w:val="22"/>
        </w:rPr>
        <w:t xml:space="preserve"> </w:t>
      </w:r>
      <w:r>
        <w:rPr>
          <w:rFonts w:eastAsia="MS Mincho"/>
          <w:szCs w:val="20"/>
        </w:rPr>
        <w:t>Tx chain is also assumed to be switched to band B as specified in TS38.214 6.1.6.2.0.</w:t>
      </w:r>
    </w:p>
    <w:p w14:paraId="5BBF9338" w14:textId="77777777" w:rsidR="000E25E7" w:rsidRDefault="000E25E7" w:rsidP="000E25E7"/>
    <w:p w14:paraId="5F7FAEFF" w14:textId="77777777" w:rsidR="000E25E7" w:rsidRDefault="000E25E7" w:rsidP="000E25E7">
      <w:pPr>
        <w:rPr>
          <w:lang w:eastAsia="x-none"/>
        </w:rPr>
      </w:pPr>
    </w:p>
    <w:p w14:paraId="7D3EEBF4" w14:textId="0DEB5A86" w:rsidR="00AA1D48" w:rsidRPr="00AA1D48" w:rsidRDefault="005A18DC" w:rsidP="00AA1D48">
      <w:pPr>
        <w:rPr>
          <w:b/>
          <w:bCs/>
          <w:lang w:eastAsia="x-none"/>
        </w:rPr>
      </w:pPr>
      <w:hyperlink r:id="rId1693" w:history="1">
        <w:r w:rsidR="00AF7253">
          <w:rPr>
            <w:rStyle w:val="Hyperlink"/>
            <w:b/>
            <w:bCs/>
            <w:lang w:eastAsia="x-none"/>
          </w:rPr>
          <w:t>R1-2312694</w:t>
        </w:r>
      </w:hyperlink>
      <w:r w:rsidR="00AA1D48" w:rsidRPr="00AA1D48">
        <w:rPr>
          <w:b/>
          <w:bCs/>
          <w:lang w:eastAsia="x-none"/>
        </w:rPr>
        <w:tab/>
        <w:t>Summary#6 of discussion on Multi-carrier UL Tx switching scheme</w:t>
      </w:r>
      <w:r w:rsidR="00AA1D48" w:rsidRPr="00AA1D48">
        <w:rPr>
          <w:b/>
          <w:bCs/>
          <w:lang w:eastAsia="x-none"/>
        </w:rPr>
        <w:tab/>
        <w:t>Moderator (NTT DOCOMO, INC.)</w:t>
      </w:r>
    </w:p>
    <w:p w14:paraId="71EEEB6B" w14:textId="21FCA369" w:rsidR="00AA1D48" w:rsidRPr="00AA1D48" w:rsidRDefault="00AA1D48" w:rsidP="00AA1D48">
      <w:pPr>
        <w:rPr>
          <w:lang w:eastAsia="x-none"/>
        </w:rPr>
      </w:pPr>
      <w:r>
        <w:rPr>
          <w:lang w:eastAsia="x-none"/>
        </w:rPr>
        <w:t>From Friday session</w:t>
      </w:r>
    </w:p>
    <w:p w14:paraId="75CA6AC5" w14:textId="77777777" w:rsidR="00AA1D48" w:rsidRPr="00AA1D48" w:rsidRDefault="00AA1D48" w:rsidP="00AA1D48">
      <w:pPr>
        <w:rPr>
          <w:highlight w:val="green"/>
          <w:lang w:eastAsia="x-none"/>
        </w:rPr>
      </w:pPr>
      <w:r w:rsidRPr="00AA1D48">
        <w:rPr>
          <w:highlight w:val="green"/>
          <w:lang w:eastAsia="x-none"/>
        </w:rPr>
        <w:t>Agreement</w:t>
      </w:r>
    </w:p>
    <w:p w14:paraId="716EEDFE" w14:textId="77777777" w:rsidR="00AA1D48" w:rsidRPr="00AA1D48" w:rsidRDefault="00AA1D48" w:rsidP="00AA1D48">
      <w:pPr>
        <w:jc w:val="both"/>
        <w:rPr>
          <w:rFonts w:eastAsia="MS Mincho"/>
          <w:szCs w:val="20"/>
          <w:lang w:val="en-US" w:eastAsia="x-none"/>
        </w:rPr>
      </w:pPr>
      <w:r w:rsidRPr="00AA1D48">
        <w:rPr>
          <w:rFonts w:eastAsia="MS Mincho"/>
          <w:szCs w:val="20"/>
          <w:lang w:eastAsia="x-none"/>
        </w:rPr>
        <w:t>Following TP is agreed.</w:t>
      </w:r>
    </w:p>
    <w:p w14:paraId="47AD0ECD" w14:textId="77777777" w:rsidR="00AA1D48" w:rsidRPr="00AA1D48" w:rsidRDefault="00AA1D48" w:rsidP="00A67145">
      <w:pPr>
        <w:pStyle w:val="ListParagraph"/>
        <w:numPr>
          <w:ilvl w:val="0"/>
          <w:numId w:val="237"/>
        </w:numPr>
        <w:rPr>
          <w:lang w:val="en-US"/>
        </w:rPr>
      </w:pPr>
      <w:r w:rsidRPr="00AA1D48">
        <w:rPr>
          <w:rFonts w:hint="eastAsia"/>
        </w:rPr>
        <w:t>N</w:t>
      </w:r>
      <w:r w:rsidRPr="00AA1D48">
        <w:t>ote: this does not change previous RAN1 agreements</w:t>
      </w:r>
    </w:p>
    <w:tbl>
      <w:tblPr>
        <w:tblW w:w="5000" w:type="pct"/>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0683"/>
      </w:tblGrid>
      <w:tr w:rsidR="00AA1D48" w:rsidRPr="00AA1D48" w14:paraId="23F730F8" w14:textId="77777777" w:rsidTr="00AA1D48">
        <w:tc>
          <w:tcPr>
            <w:tcW w:w="5000" w:type="pct"/>
            <w:shd w:val="clear" w:color="auto" w:fill="auto"/>
          </w:tcPr>
          <w:p w14:paraId="551DAD1B" w14:textId="77777777" w:rsidR="00AA1D48" w:rsidRPr="00AA1D48" w:rsidRDefault="00AA1D48" w:rsidP="00AA1D48">
            <w:pPr>
              <w:rPr>
                <w:rFonts w:ascii="Arial" w:eastAsia="DengXian" w:hAnsi="Arial" w:cs="Arial"/>
                <w:b/>
                <w:bCs/>
                <w:sz w:val="16"/>
                <w:szCs w:val="16"/>
                <w:lang w:eastAsia="zh-CN"/>
              </w:rPr>
            </w:pPr>
            <w:r w:rsidRPr="00AA1D48">
              <w:rPr>
                <w:rFonts w:ascii="Arial" w:eastAsia="DengXian" w:hAnsi="Arial" w:cs="Arial"/>
                <w:b/>
                <w:bCs/>
                <w:sz w:val="16"/>
                <w:szCs w:val="16"/>
                <w:lang w:eastAsia="zh-CN"/>
              </w:rPr>
              <w:t>6.1.6</w:t>
            </w:r>
            <w:r w:rsidRPr="00AA1D48">
              <w:rPr>
                <w:rFonts w:ascii="Arial" w:eastAsia="DengXian" w:hAnsi="Arial" w:cs="Arial"/>
                <w:b/>
                <w:bCs/>
                <w:sz w:val="16"/>
                <w:szCs w:val="16"/>
                <w:lang w:eastAsia="zh-CN"/>
              </w:rPr>
              <w:tab/>
              <w:t>Uplink switching</w:t>
            </w:r>
          </w:p>
          <w:p w14:paraId="6E86CE74" w14:textId="77777777" w:rsidR="00AA1D48" w:rsidRPr="00AA1D48" w:rsidRDefault="00AA1D48" w:rsidP="00AA1D48">
            <w:pPr>
              <w:rPr>
                <w:rFonts w:ascii="Arial" w:eastAsia="MS Mincho" w:hAnsi="Arial" w:cs="Arial"/>
                <w:sz w:val="16"/>
                <w:szCs w:val="16"/>
              </w:rPr>
            </w:pPr>
            <w:r w:rsidRPr="00AA1D48">
              <w:rPr>
                <w:rFonts w:ascii="Arial" w:eastAsia="MS Mincho" w:hAnsi="Arial" w:cs="Arial"/>
                <w:sz w:val="16"/>
                <w:szCs w:val="16"/>
              </w:rPr>
              <w:t xml:space="preserve">For uplink switching </w:t>
            </w:r>
            <w:r w:rsidRPr="00AA1D48">
              <w:rPr>
                <w:rFonts w:ascii="Arial" w:eastAsia="MS Mincho" w:hAnsi="Arial" w:cs="Arial"/>
                <w:color w:val="FF0000"/>
                <w:sz w:val="16"/>
                <w:szCs w:val="16"/>
                <w:u w:val="single"/>
              </w:rPr>
              <w:t xml:space="preserve">configured </w:t>
            </w:r>
            <w:r w:rsidRPr="00AA1D48">
              <w:rPr>
                <w:rFonts w:ascii="Arial" w:eastAsia="MS Mincho" w:hAnsi="Arial" w:cs="Arial"/>
                <w:sz w:val="16"/>
                <w:szCs w:val="16"/>
              </w:rPr>
              <w:t>with 3 or 4 uplink bands</w:t>
            </w:r>
          </w:p>
          <w:p w14:paraId="44AB3CB0" w14:textId="77777777" w:rsidR="00AA1D48" w:rsidRPr="00AA1D48" w:rsidRDefault="00AA1D48" w:rsidP="00AA1D48">
            <w:pPr>
              <w:rPr>
                <w:rFonts w:ascii="Arial" w:eastAsia="MS Mincho" w:hAnsi="Arial" w:cs="Arial"/>
                <w:sz w:val="16"/>
                <w:szCs w:val="16"/>
              </w:rPr>
            </w:pPr>
            <w:r w:rsidRPr="00AA1D48">
              <w:rPr>
                <w:rFonts w:ascii="Arial" w:eastAsia="MS Mincho" w:hAnsi="Arial" w:cs="Arial"/>
                <w:sz w:val="16"/>
                <w:szCs w:val="16"/>
              </w:rPr>
              <w:t>~</w:t>
            </w:r>
          </w:p>
          <w:p w14:paraId="78441236" w14:textId="60A7E7CB" w:rsidR="00AA1D48" w:rsidRPr="00AA1D48" w:rsidRDefault="00AA1D48" w:rsidP="00AA1D48">
            <w:pPr>
              <w:ind w:left="568" w:hanging="284"/>
              <w:rPr>
                <w:rFonts w:ascii="Arial" w:eastAsia="Times New Roman" w:hAnsi="Arial" w:cs="Arial"/>
                <w:sz w:val="16"/>
                <w:szCs w:val="16"/>
                <w:lang w:eastAsia="en-GB"/>
              </w:rPr>
            </w:pPr>
            <w:r w:rsidRPr="00AA1D48">
              <w:rPr>
                <w:rFonts w:ascii="Arial" w:eastAsia="Times New Roman" w:hAnsi="Arial" w:cs="Arial"/>
                <w:strike/>
                <w:color w:val="FF0000"/>
                <w:sz w:val="16"/>
                <w:szCs w:val="16"/>
                <w:lang w:eastAsia="en-GB"/>
              </w:rPr>
              <w:t>[</w:t>
            </w:r>
            <w:r w:rsidRPr="00AA1D48">
              <w:rPr>
                <w:rFonts w:ascii="Arial" w:eastAsia="Times New Roman" w:hAnsi="Arial" w:cs="Arial"/>
                <w:sz w:val="16"/>
                <w:szCs w:val="16"/>
                <w:lang w:eastAsia="en-GB"/>
              </w:rPr>
              <w:t>-</w:t>
            </w:r>
            <w:r w:rsidRPr="00AA1D48">
              <w:rPr>
                <w:rFonts w:ascii="Arial" w:eastAsia="Times New Roman" w:hAnsi="Arial" w:cs="Arial"/>
                <w:sz w:val="16"/>
                <w:szCs w:val="16"/>
                <w:lang w:eastAsia="en-GB"/>
              </w:rPr>
              <w:tab/>
            </w:r>
            <w:r w:rsidRPr="00AA1D48">
              <w:rPr>
                <w:rFonts w:ascii="Arial" w:eastAsia="Times New Roman" w:hAnsi="Arial" w:cs="Arial"/>
                <w:strike/>
                <w:color w:val="FF0000"/>
                <w:sz w:val="16"/>
                <w:szCs w:val="16"/>
                <w:lang w:eastAsia="en-GB"/>
              </w:rPr>
              <w:t>For an uplink switch</w:t>
            </w:r>
            <w:r w:rsidRPr="00AA1D48">
              <w:rPr>
                <w:rFonts w:ascii="Arial" w:hAnsi="Arial" w:cs="Arial"/>
                <w:sz w:val="16"/>
                <w:szCs w:val="16"/>
              </w:rPr>
              <w:t xml:space="preserve"> </w:t>
            </w:r>
            <w:r w:rsidRPr="00AA1D48">
              <w:rPr>
                <w:rFonts w:ascii="Arial" w:eastAsia="Times New Roman" w:hAnsi="Arial" w:cs="Arial"/>
                <w:color w:val="FF0000"/>
                <w:sz w:val="16"/>
                <w:szCs w:val="16"/>
                <w:lang w:eastAsia="en-GB"/>
              </w:rPr>
              <w:t xml:space="preserve">If an uplink switching is triggered for uplink transmission(s) with a gap between the </w:t>
            </w:r>
            <w:r w:rsidRPr="00AA1D48">
              <w:rPr>
                <w:rFonts w:ascii="Arial" w:eastAsia="Times New Roman" w:hAnsi="Arial" w:cs="Arial"/>
                <w:color w:val="FF0000"/>
                <w:sz w:val="16"/>
                <w:szCs w:val="16"/>
                <w:highlight w:val="cyan"/>
                <w:lang w:eastAsia="en-GB"/>
              </w:rPr>
              <w:t>start of the first</w:t>
            </w:r>
            <w:r w:rsidRPr="00AA1D48">
              <w:rPr>
                <w:rFonts w:ascii="Arial" w:eastAsia="Times New Roman" w:hAnsi="Arial" w:cs="Arial"/>
                <w:color w:val="FF0000"/>
                <w:sz w:val="16"/>
                <w:szCs w:val="16"/>
                <w:lang w:eastAsia="en-GB"/>
              </w:rPr>
              <w:t xml:space="preserve"> uplink transmission(s) and the </w:t>
            </w:r>
            <w:r w:rsidRPr="00AA1D48">
              <w:rPr>
                <w:rFonts w:ascii="Arial" w:eastAsia="Times New Roman" w:hAnsi="Arial" w:cs="Arial"/>
                <w:color w:val="FF0000"/>
                <w:sz w:val="16"/>
                <w:szCs w:val="16"/>
                <w:highlight w:val="cyan"/>
                <w:lang w:eastAsia="en-GB"/>
              </w:rPr>
              <w:t>end of the last</w:t>
            </w:r>
            <w:r w:rsidRPr="00AA1D48">
              <w:rPr>
                <w:rFonts w:ascii="Arial" w:eastAsia="Times New Roman" w:hAnsi="Arial" w:cs="Arial"/>
                <w:color w:val="FF0000"/>
                <w:sz w:val="16"/>
                <w:szCs w:val="16"/>
                <w:lang w:eastAsia="en-GB"/>
              </w:rPr>
              <w:t xml:space="preserve"> preceding uplink transmission(s) that is smaller than the determined switching gap </w:t>
            </w:r>
            <m:oMath>
              <m:sSub>
                <m:sSubPr>
                  <m:ctrlPr>
                    <w:rPr>
                      <w:rFonts w:ascii="Cambria Math" w:eastAsia="SimSun" w:hAnsi="Cambria Math" w:cs="Arial"/>
                      <w:bCs/>
                      <w:i/>
                      <w:color w:val="FF0000"/>
                      <w:sz w:val="16"/>
                      <w:szCs w:val="16"/>
                    </w:rPr>
                  </m:ctrlPr>
                </m:sSubPr>
                <m:e>
                  <m:r>
                    <w:rPr>
                      <w:rFonts w:ascii="Cambria Math" w:eastAsia="SimSun" w:hAnsi="Cambria Math" w:cs="Arial"/>
                      <w:color w:val="FF0000"/>
                      <w:sz w:val="16"/>
                      <w:szCs w:val="16"/>
                    </w:rPr>
                    <m:t>N</m:t>
                  </m:r>
                </m:e>
                <m:sub>
                  <m:r>
                    <m:rPr>
                      <m:nor/>
                    </m:rPr>
                    <w:rPr>
                      <w:rFonts w:ascii="Arial" w:eastAsia="SimSun" w:hAnsi="Arial" w:cs="Arial"/>
                      <w:bCs/>
                      <w:color w:val="FF0000"/>
                      <w:sz w:val="16"/>
                      <w:szCs w:val="16"/>
                    </w:rPr>
                    <m:t>Tx1-Tx2</m:t>
                  </m:r>
                </m:sub>
              </m:sSub>
            </m:oMath>
            <w:r w:rsidRPr="00AA1D48">
              <w:rPr>
                <w:rFonts w:ascii="Arial" w:eastAsia="Times New Roman" w:hAnsi="Arial" w:cs="Arial"/>
                <w:color w:val="FF0000"/>
                <w:sz w:val="16"/>
                <w:szCs w:val="16"/>
                <w:lang w:eastAsia="en-GB"/>
              </w:rPr>
              <w:t>,</w:t>
            </w:r>
            <w:r w:rsidRPr="00AA1D48">
              <w:rPr>
                <w:rFonts w:ascii="Arial" w:eastAsia="Times New Roman" w:hAnsi="Arial" w:cs="Arial"/>
                <w:sz w:val="16"/>
                <w:szCs w:val="16"/>
                <w:lang w:eastAsia="en-GB"/>
              </w:rPr>
              <w:t xml:space="preserve"> the UE determines the band of the switching period location</w:t>
            </w:r>
            <w:r w:rsidRPr="00AA1D48">
              <w:rPr>
                <w:rFonts w:ascii="Arial" w:eastAsia="Times New Roman" w:hAnsi="Arial" w:cs="Arial"/>
                <w:strike/>
                <w:color w:val="FF0000"/>
                <w:sz w:val="16"/>
                <w:szCs w:val="16"/>
                <w:lang w:eastAsia="en-GB"/>
              </w:rPr>
              <w:t>, if any, as</w:t>
            </w:r>
            <w:r w:rsidRPr="00AA1D48">
              <w:rPr>
                <w:rFonts w:ascii="Arial" w:eastAsia="Times New Roman" w:hAnsi="Arial" w:cs="Arial"/>
                <w:sz w:val="16"/>
                <w:szCs w:val="16"/>
                <w:lang w:eastAsia="en-GB"/>
              </w:rPr>
              <w:t xml:space="preserve"> defined in [</w:t>
            </w:r>
            <w:r w:rsidRPr="00AA1D48">
              <w:rPr>
                <w:rFonts w:ascii="Arial" w:eastAsia="Times New Roman" w:hAnsi="Arial" w:cs="Arial"/>
                <w:sz w:val="16"/>
                <w:szCs w:val="16"/>
                <w:lang w:val="en-US" w:eastAsia="en-GB"/>
              </w:rPr>
              <w:t>8, TS 38.101-1]</w:t>
            </w:r>
            <w:r w:rsidRPr="00AA1D48">
              <w:rPr>
                <w:rFonts w:ascii="Arial" w:eastAsia="Times New Roman" w:hAnsi="Arial" w:cs="Arial"/>
                <w:strike/>
                <w:color w:val="FF0000"/>
                <w:sz w:val="16"/>
                <w:szCs w:val="16"/>
                <w:lang w:val="en-US" w:eastAsia="en-GB"/>
              </w:rPr>
              <w:t>.</w:t>
            </w:r>
            <w:r w:rsidRPr="00AA1D48">
              <w:rPr>
                <w:rFonts w:ascii="Arial" w:eastAsia="Times New Roman" w:hAnsi="Arial" w:cs="Arial"/>
                <w:sz w:val="16"/>
                <w:szCs w:val="16"/>
                <w:lang w:eastAsia="en-GB"/>
              </w:rPr>
              <w:t xml:space="preserve"> based on the </w:t>
            </w:r>
            <w:r w:rsidRPr="00AA1D48">
              <w:rPr>
                <w:rFonts w:ascii="Arial" w:eastAsia="Times New Roman" w:hAnsi="Arial" w:cs="Arial"/>
                <w:strike/>
                <w:color w:val="FF0000"/>
                <w:sz w:val="16"/>
                <w:szCs w:val="16"/>
                <w:lang w:eastAsia="en-GB"/>
              </w:rPr>
              <w:t xml:space="preserve">configured </w:t>
            </w:r>
            <w:r w:rsidRPr="00AA1D48">
              <w:rPr>
                <w:rFonts w:ascii="Arial" w:eastAsia="Times New Roman" w:hAnsi="Arial" w:cs="Arial"/>
                <w:sz w:val="16"/>
                <w:szCs w:val="16"/>
                <w:lang w:eastAsia="en-GB"/>
              </w:rPr>
              <w:t>priority of the bands</w:t>
            </w:r>
            <w:r w:rsidRPr="00AA1D48">
              <w:rPr>
                <w:rFonts w:ascii="Arial" w:eastAsia="Times New Roman" w:hAnsi="Arial" w:cs="Arial"/>
                <w:strike/>
                <w:color w:val="FF0000"/>
                <w:sz w:val="16"/>
                <w:szCs w:val="16"/>
                <w:lang w:eastAsia="en-GB"/>
              </w:rPr>
              <w:t>, where the priority per band is provided by the higher layer parameter</w:t>
            </w:r>
            <w:r w:rsidRPr="00AA1D48">
              <w:rPr>
                <w:rFonts w:ascii="Arial" w:eastAsia="Times New Roman" w:hAnsi="Arial" w:cs="Arial"/>
                <w:sz w:val="16"/>
                <w:szCs w:val="16"/>
                <w:lang w:eastAsia="en-GB"/>
              </w:rPr>
              <w:t xml:space="preserve"> </w:t>
            </w:r>
            <w:r w:rsidRPr="00AA1D48">
              <w:rPr>
                <w:rFonts w:ascii="Arial" w:eastAsia="Times New Roman" w:hAnsi="Arial" w:cs="Arial"/>
                <w:color w:val="FF0000"/>
                <w:sz w:val="16"/>
                <w:szCs w:val="16"/>
                <w:lang w:eastAsia="en-GB"/>
              </w:rPr>
              <w:t>configured by</w:t>
            </w:r>
            <w:r w:rsidRPr="00AA1D48">
              <w:rPr>
                <w:rFonts w:ascii="Arial" w:eastAsia="Times New Roman" w:hAnsi="Arial" w:cs="Arial"/>
                <w:sz w:val="16"/>
                <w:szCs w:val="16"/>
                <w:lang w:eastAsia="en-GB"/>
              </w:rPr>
              <w:t xml:space="preserve"> </w:t>
            </w:r>
            <w:r w:rsidRPr="00AA1D48">
              <w:rPr>
                <w:rFonts w:ascii="Arial" w:eastAsia="Times New Roman" w:hAnsi="Arial" w:cs="Arial"/>
                <w:i/>
                <w:iCs/>
                <w:sz w:val="16"/>
                <w:szCs w:val="16"/>
                <w:highlight w:val="yellow"/>
                <w:lang w:eastAsia="en-GB"/>
              </w:rPr>
              <w:t>uplinkTxSwitchingBandList</w:t>
            </w:r>
            <w:r w:rsidRPr="00AA1D48">
              <w:rPr>
                <w:rFonts w:ascii="Arial" w:eastAsia="Times New Roman" w:hAnsi="Arial" w:cs="Arial"/>
                <w:sz w:val="16"/>
                <w:szCs w:val="16"/>
                <w:lang w:eastAsia="en-GB"/>
              </w:rPr>
              <w:t xml:space="preserve">. </w:t>
            </w:r>
            <w:r w:rsidRPr="00AA1D48">
              <w:rPr>
                <w:rFonts w:ascii="Arial" w:eastAsia="Times New Roman" w:hAnsi="Arial" w:cs="Arial"/>
                <w:color w:val="FF0000"/>
                <w:sz w:val="16"/>
                <w:szCs w:val="16"/>
                <w:lang w:eastAsia="en-GB"/>
              </w:rPr>
              <w:t>Among the bands either in switch-from or switch-to bands but not both,</w:t>
            </w:r>
            <w:r w:rsidRPr="00AA1D48">
              <w:rPr>
                <w:rFonts w:ascii="Arial" w:eastAsia="Times New Roman" w:hAnsi="Arial" w:cs="Arial"/>
                <w:sz w:val="16"/>
                <w:szCs w:val="16"/>
                <w:lang w:eastAsia="en-GB"/>
              </w:rPr>
              <w:t xml:space="preserve"> </w:t>
            </w:r>
            <w:r w:rsidRPr="00AA1D48">
              <w:rPr>
                <w:rFonts w:ascii="Arial" w:eastAsia="Times New Roman" w:hAnsi="Arial" w:cs="Arial"/>
                <w:strike/>
                <w:color w:val="FF0000"/>
                <w:sz w:val="16"/>
                <w:szCs w:val="16"/>
                <w:lang w:eastAsia="en-GB"/>
              </w:rPr>
              <w:t>T</w:t>
            </w:r>
            <w:r w:rsidRPr="00AA1D48">
              <w:rPr>
                <w:rFonts w:ascii="Arial" w:eastAsia="Times New Roman" w:hAnsi="Arial" w:cs="Arial"/>
                <w:color w:val="FF0000"/>
                <w:sz w:val="16"/>
                <w:szCs w:val="16"/>
                <w:lang w:eastAsia="en-GB"/>
              </w:rPr>
              <w:t>t</w:t>
            </w:r>
            <w:r w:rsidRPr="00AA1D48">
              <w:rPr>
                <w:rFonts w:ascii="Arial" w:eastAsia="Times New Roman" w:hAnsi="Arial" w:cs="Arial"/>
                <w:sz w:val="16"/>
                <w:szCs w:val="16"/>
                <w:lang w:eastAsia="en-GB"/>
              </w:rPr>
              <w:t xml:space="preserve">he switch is located on either </w:t>
            </w:r>
          </w:p>
          <w:p w14:paraId="667B9F7F" w14:textId="77777777" w:rsidR="00AA1D48" w:rsidRPr="00AA1D48" w:rsidRDefault="00AA1D48" w:rsidP="00AA1D48">
            <w:pPr>
              <w:ind w:left="852" w:hanging="284"/>
              <w:rPr>
                <w:rFonts w:ascii="Arial" w:eastAsia="Times New Roman" w:hAnsi="Arial" w:cs="Arial"/>
                <w:strike/>
                <w:color w:val="FF0000"/>
                <w:sz w:val="16"/>
                <w:szCs w:val="16"/>
                <w:lang w:eastAsia="en-GB"/>
              </w:rPr>
            </w:pPr>
            <w:r w:rsidRPr="00AA1D48">
              <w:rPr>
                <w:rFonts w:ascii="Arial" w:eastAsia="Times New Roman" w:hAnsi="Arial" w:cs="Arial"/>
                <w:strike/>
                <w:color w:val="FF0000"/>
                <w:sz w:val="16"/>
                <w:szCs w:val="16"/>
                <w:lang w:eastAsia="en-GB"/>
              </w:rPr>
              <w:t>-</w:t>
            </w:r>
            <w:r w:rsidRPr="00AA1D48">
              <w:rPr>
                <w:rFonts w:ascii="Arial" w:eastAsia="Times New Roman" w:hAnsi="Arial" w:cs="Arial"/>
                <w:strike/>
                <w:color w:val="FF0000"/>
                <w:sz w:val="16"/>
                <w:szCs w:val="16"/>
                <w:lang w:eastAsia="en-GB"/>
              </w:rPr>
              <w:tab/>
              <w:t>for the UE configured with uplinkTxSwitchingOption set to 'switchedUL'</w:t>
            </w:r>
          </w:p>
          <w:p w14:paraId="2FA2AAF9" w14:textId="77777777" w:rsidR="00AA1D48" w:rsidRPr="00AA1D48" w:rsidRDefault="00AA1D48" w:rsidP="00AA1D48">
            <w:pPr>
              <w:ind w:left="1136" w:hanging="284"/>
              <w:rPr>
                <w:rFonts w:ascii="Arial" w:eastAsia="Times New Roman" w:hAnsi="Arial" w:cs="Arial"/>
                <w:strike/>
                <w:color w:val="FF0000"/>
                <w:sz w:val="16"/>
                <w:szCs w:val="16"/>
                <w:lang w:eastAsia="en-GB"/>
              </w:rPr>
            </w:pPr>
            <w:r w:rsidRPr="00AA1D48">
              <w:rPr>
                <w:rFonts w:ascii="Arial" w:eastAsia="Times New Roman" w:hAnsi="Arial" w:cs="Arial"/>
                <w:strike/>
                <w:color w:val="FF0000"/>
                <w:sz w:val="16"/>
                <w:szCs w:val="16"/>
                <w:lang w:eastAsia="en-GB"/>
              </w:rPr>
              <w:t>-    the switch-from band(s) if the highest priority band among bands with transmission prior to or after the switch is a switch-to band, or</w:t>
            </w:r>
          </w:p>
          <w:p w14:paraId="0E85D226" w14:textId="77777777" w:rsidR="00AA1D48" w:rsidRPr="00AA1D48" w:rsidRDefault="00AA1D48" w:rsidP="00AA1D48">
            <w:pPr>
              <w:ind w:left="1136" w:hanging="284"/>
              <w:rPr>
                <w:rFonts w:ascii="Arial" w:eastAsia="Times New Roman" w:hAnsi="Arial" w:cs="Arial"/>
                <w:strike/>
                <w:color w:val="FF0000"/>
                <w:sz w:val="16"/>
                <w:szCs w:val="16"/>
                <w:lang w:eastAsia="en-GB"/>
              </w:rPr>
            </w:pPr>
            <w:r w:rsidRPr="00AA1D48">
              <w:rPr>
                <w:rFonts w:ascii="Arial" w:eastAsia="Times New Roman" w:hAnsi="Arial" w:cs="Arial"/>
                <w:strike/>
                <w:color w:val="FF0000"/>
                <w:sz w:val="16"/>
                <w:szCs w:val="16"/>
                <w:lang w:eastAsia="en-GB"/>
              </w:rPr>
              <w:t>-    the switch-to band(s) if the highest priority band among bands with transmission prior to or after the switch is a switch-from band,</w:t>
            </w:r>
          </w:p>
          <w:p w14:paraId="3EDBBE6B" w14:textId="77777777" w:rsidR="00AA1D48" w:rsidRPr="00AA1D48" w:rsidRDefault="00AA1D48" w:rsidP="00AA1D48">
            <w:pPr>
              <w:ind w:left="852" w:hanging="284"/>
              <w:rPr>
                <w:rFonts w:ascii="Arial" w:eastAsia="Times New Roman" w:hAnsi="Arial" w:cs="Arial"/>
                <w:strike/>
                <w:color w:val="FF0000"/>
                <w:sz w:val="16"/>
                <w:szCs w:val="16"/>
                <w:lang w:eastAsia="en-GB"/>
              </w:rPr>
            </w:pPr>
            <w:r w:rsidRPr="00AA1D48">
              <w:rPr>
                <w:rFonts w:ascii="Arial" w:eastAsia="Times New Roman" w:hAnsi="Arial" w:cs="Arial"/>
                <w:strike/>
                <w:color w:val="FF0000"/>
                <w:sz w:val="16"/>
                <w:szCs w:val="16"/>
                <w:lang w:eastAsia="en-GB"/>
              </w:rPr>
              <w:t>-    for the UE configured with uplinkTxSwitchingOption set to 'dualUL', among the bands either in switch-from or switch-to bands,</w:t>
            </w:r>
          </w:p>
          <w:p w14:paraId="0F24D4B5" w14:textId="77777777" w:rsidR="00AA1D48" w:rsidRPr="00AA1D48" w:rsidRDefault="00AA1D48" w:rsidP="00AA1D48">
            <w:pPr>
              <w:ind w:left="852" w:hanging="284"/>
              <w:rPr>
                <w:rFonts w:ascii="Arial" w:eastAsia="Times New Roman" w:hAnsi="Arial" w:cs="Arial"/>
                <w:sz w:val="16"/>
                <w:szCs w:val="16"/>
                <w:lang w:eastAsia="en-GB"/>
              </w:rPr>
            </w:pPr>
            <w:r w:rsidRPr="00AA1D48">
              <w:rPr>
                <w:rFonts w:ascii="Arial" w:eastAsia="Times New Roman" w:hAnsi="Arial" w:cs="Arial"/>
                <w:sz w:val="16"/>
                <w:szCs w:val="16"/>
                <w:lang w:eastAsia="en-GB"/>
              </w:rPr>
              <w:t>-</w:t>
            </w:r>
            <w:r w:rsidRPr="00AA1D48">
              <w:rPr>
                <w:rFonts w:ascii="Arial" w:eastAsia="Times New Roman" w:hAnsi="Arial" w:cs="Arial"/>
                <w:sz w:val="16"/>
                <w:szCs w:val="16"/>
                <w:lang w:eastAsia="en-GB"/>
              </w:rPr>
              <w:tab/>
              <w:t>the switch-from band(s) if the highest priority band is a switch-to band, or</w:t>
            </w:r>
          </w:p>
          <w:p w14:paraId="1300E252" w14:textId="77777777" w:rsidR="00AA1D48" w:rsidRPr="00AA1D48" w:rsidRDefault="00AA1D48" w:rsidP="00AA1D48">
            <w:pPr>
              <w:ind w:left="852" w:hanging="284"/>
              <w:rPr>
                <w:rFonts w:ascii="Arial" w:eastAsia="MS Mincho" w:hAnsi="Arial" w:cs="Arial"/>
                <w:sz w:val="16"/>
                <w:szCs w:val="16"/>
                <w:lang w:val="en-US"/>
              </w:rPr>
            </w:pPr>
            <w:r w:rsidRPr="00AA1D48">
              <w:rPr>
                <w:rFonts w:ascii="Arial" w:eastAsia="Times New Roman" w:hAnsi="Arial" w:cs="Arial"/>
                <w:sz w:val="16"/>
                <w:szCs w:val="16"/>
                <w:lang w:eastAsia="en-GB"/>
              </w:rPr>
              <w:t>-</w:t>
            </w:r>
            <w:r w:rsidRPr="00AA1D48">
              <w:rPr>
                <w:rFonts w:ascii="Arial" w:eastAsia="Times New Roman" w:hAnsi="Arial" w:cs="Arial"/>
                <w:sz w:val="16"/>
                <w:szCs w:val="16"/>
                <w:lang w:eastAsia="en-GB"/>
              </w:rPr>
              <w:tab/>
              <w:t>the switch-to band(s) if the highest priority band is a switch-from band.</w:t>
            </w:r>
            <w:r w:rsidRPr="00AA1D48">
              <w:rPr>
                <w:rFonts w:ascii="Arial" w:eastAsia="Times New Roman" w:hAnsi="Arial" w:cs="Arial"/>
                <w:strike/>
                <w:color w:val="FF0000"/>
                <w:sz w:val="16"/>
                <w:szCs w:val="16"/>
                <w:lang w:eastAsia="en-GB"/>
              </w:rPr>
              <w:t>]</w:t>
            </w:r>
          </w:p>
        </w:tc>
      </w:tr>
    </w:tbl>
    <w:p w14:paraId="5D1E5104" w14:textId="77777777" w:rsidR="00AA1D48" w:rsidRPr="00AA1D48" w:rsidRDefault="00AA1D48" w:rsidP="00AA1D48">
      <w:pPr>
        <w:rPr>
          <w:lang w:eastAsia="zh-CN"/>
        </w:rPr>
      </w:pPr>
    </w:p>
    <w:p w14:paraId="6F16E5C2" w14:textId="77777777" w:rsidR="00AA1D48" w:rsidRPr="00AA1D48" w:rsidRDefault="00AA1D48" w:rsidP="00AA1D48">
      <w:pPr>
        <w:rPr>
          <w:szCs w:val="20"/>
          <w:highlight w:val="green"/>
          <w:lang w:val="en-US" w:eastAsia="zh-CN"/>
        </w:rPr>
      </w:pPr>
      <w:r w:rsidRPr="00AA1D48">
        <w:rPr>
          <w:szCs w:val="20"/>
          <w:highlight w:val="green"/>
          <w:lang w:val="en-US" w:eastAsia="zh-CN"/>
        </w:rPr>
        <w:t>Agreement</w:t>
      </w:r>
    </w:p>
    <w:p w14:paraId="5C79457A" w14:textId="77777777" w:rsidR="00AA1D48" w:rsidRPr="00AA1D48" w:rsidRDefault="00AA1D48" w:rsidP="00AA1D48">
      <w:pPr>
        <w:rPr>
          <w:rFonts w:eastAsia="DengXian"/>
          <w:szCs w:val="20"/>
          <w:lang w:val="en-US" w:eastAsia="zh-CN"/>
        </w:rPr>
      </w:pPr>
      <w:r w:rsidRPr="00AA1D48">
        <w:rPr>
          <w:rFonts w:hint="eastAsia"/>
          <w:szCs w:val="20"/>
          <w:lang w:eastAsia="zh-CN"/>
        </w:rPr>
        <w:t>For UL Tx switching, if an UL transmission with starting symbol at T0 is scheduled to a UE, the UE is not expected to be scheduled with another UL transmission overlapping with the first UL transmission in time and resulting in interruption on the first UL transmission by a DCI arriving later than T0-Toffset.</w:t>
      </w:r>
    </w:p>
    <w:p w14:paraId="336B38DB" w14:textId="29AF8AD4" w:rsidR="00AA1D48" w:rsidRPr="00AA1D48" w:rsidRDefault="00AA1D48" w:rsidP="00A67145">
      <w:pPr>
        <w:pStyle w:val="ListParagraph"/>
        <w:numPr>
          <w:ilvl w:val="0"/>
          <w:numId w:val="237"/>
        </w:numPr>
        <w:rPr>
          <w:lang w:eastAsia="zh-CN"/>
        </w:rPr>
      </w:pPr>
      <w:r w:rsidRPr="00AA1D48">
        <w:rPr>
          <w:rFonts w:hint="eastAsia"/>
          <w:lang w:eastAsia="zh-CN"/>
        </w:rPr>
        <w:t>FFS: whether any specification impact is needed considering the existing cut-off time specified in S6.1.6 of TS 38.214</w:t>
      </w:r>
      <w:r>
        <w:rPr>
          <w:lang w:eastAsia="zh-CN"/>
        </w:rPr>
        <w:t>.</w:t>
      </w:r>
    </w:p>
    <w:p w14:paraId="3370F3BD" w14:textId="5B7B711F" w:rsidR="00AA1D48" w:rsidRPr="00AA1D48" w:rsidRDefault="00AA1D48" w:rsidP="00AA1D48">
      <w:pPr>
        <w:rPr>
          <w:szCs w:val="20"/>
          <w:lang w:eastAsia="zh-CN"/>
        </w:rPr>
      </w:pPr>
      <w:r w:rsidRPr="00AA1D48">
        <w:rPr>
          <w:szCs w:val="20"/>
          <w:lang w:eastAsia="zh-CN"/>
        </w:rPr>
        <w:t>I</w:t>
      </w:r>
      <w:r w:rsidRPr="00AA1D48">
        <w:rPr>
          <w:rFonts w:hint="eastAsia"/>
          <w:szCs w:val="20"/>
          <w:lang w:eastAsia="zh-CN"/>
        </w:rPr>
        <w:t xml:space="preserve">f the two Tx chains are triggered to switch between two different band pairs (e.g., band A + band B-&gt;band C+ band D), and when the two UL transmissions on band C and band D are at least partially overlapped in time domain, the </w:t>
      </w:r>
      <w:r w:rsidRPr="00AA1D48">
        <w:rPr>
          <w:rFonts w:hint="eastAsia"/>
          <w:i/>
          <w:iCs/>
          <w:szCs w:val="20"/>
          <w:lang w:eastAsia="zh-CN"/>
        </w:rPr>
        <w:t>T</w:t>
      </w:r>
      <w:r w:rsidRPr="00AA1D48">
        <w:rPr>
          <w:rFonts w:hint="eastAsia"/>
          <w:i/>
          <w:iCs/>
          <w:szCs w:val="20"/>
          <w:vertAlign w:val="subscript"/>
          <w:lang w:eastAsia="zh-CN"/>
        </w:rPr>
        <w:t>offset</w:t>
      </w:r>
      <w:r w:rsidRPr="00AA1D48">
        <w:rPr>
          <w:rFonts w:hint="eastAsia"/>
          <w:szCs w:val="20"/>
          <w:lang w:eastAsia="zh-CN"/>
        </w:rPr>
        <w:t xml:space="preserve"> </w:t>
      </w:r>
      <w:r w:rsidRPr="00AA1D48">
        <w:rPr>
          <w:szCs w:val="20"/>
          <w:lang w:eastAsia="zh-CN"/>
        </w:rPr>
        <w:t xml:space="preserve">of </w:t>
      </w:r>
      <w:r w:rsidRPr="00AA1D48">
        <w:rPr>
          <w:rFonts w:hint="eastAsia"/>
          <w:szCs w:val="20"/>
          <w:lang w:eastAsia="zh-CN"/>
        </w:rPr>
        <w:t xml:space="preserve">timeline </w:t>
      </w:r>
      <w:r w:rsidRPr="00AA1D48">
        <w:rPr>
          <w:rFonts w:hint="eastAsia"/>
          <w:i/>
          <w:iCs/>
          <w:szCs w:val="20"/>
          <w:lang w:eastAsia="zh-CN"/>
        </w:rPr>
        <w:t>T</w:t>
      </w:r>
      <w:r w:rsidRPr="00AA1D48">
        <w:rPr>
          <w:rFonts w:hint="eastAsia"/>
          <w:i/>
          <w:iCs/>
          <w:szCs w:val="20"/>
          <w:vertAlign w:val="subscript"/>
          <w:lang w:eastAsia="zh-CN"/>
        </w:rPr>
        <w:t>0</w:t>
      </w:r>
      <w:r w:rsidRPr="00AA1D48">
        <w:rPr>
          <w:rFonts w:hint="eastAsia"/>
          <w:i/>
          <w:iCs/>
          <w:szCs w:val="20"/>
          <w:lang w:eastAsia="zh-CN"/>
        </w:rPr>
        <w:t>-T</w:t>
      </w:r>
      <w:r w:rsidRPr="00AA1D48">
        <w:rPr>
          <w:rFonts w:hint="eastAsia"/>
          <w:i/>
          <w:iCs/>
          <w:szCs w:val="20"/>
          <w:vertAlign w:val="subscript"/>
          <w:lang w:eastAsia="zh-CN"/>
        </w:rPr>
        <w:t>offset</w:t>
      </w:r>
      <w:r w:rsidRPr="00AA1D48">
        <w:rPr>
          <w:rFonts w:hint="eastAsia"/>
          <w:szCs w:val="20"/>
          <w:lang w:eastAsia="zh-CN"/>
        </w:rPr>
        <w:t xml:space="preserve"> for switching is determined based on the switching gap defined for a single Tx switching in [8, TS 38.101-1]</w:t>
      </w:r>
      <w:r>
        <w:rPr>
          <w:szCs w:val="20"/>
          <w:lang w:eastAsia="zh-CN"/>
        </w:rPr>
        <w:t>.</w:t>
      </w:r>
    </w:p>
    <w:p w14:paraId="0F436CC2" w14:textId="77777777" w:rsidR="00AA1D48" w:rsidRPr="00AA1D48" w:rsidRDefault="00AA1D48" w:rsidP="00A67145">
      <w:pPr>
        <w:pStyle w:val="ListParagraph"/>
        <w:numPr>
          <w:ilvl w:val="0"/>
          <w:numId w:val="237"/>
        </w:numPr>
        <w:rPr>
          <w:lang w:eastAsia="zh-CN"/>
        </w:rPr>
      </w:pPr>
      <w:r w:rsidRPr="00AA1D48">
        <w:rPr>
          <w:lang w:eastAsia="zh-CN"/>
        </w:rPr>
        <w:t>T0 is the starting point of the earlier transmission among the two uplink transmissions (band C + band D). This does not change the definition of T0 in current specifications.</w:t>
      </w:r>
    </w:p>
    <w:p w14:paraId="0D024541" w14:textId="13CA85CB" w:rsidR="00F01EB0" w:rsidRDefault="00AA1D48" w:rsidP="00A67145">
      <w:pPr>
        <w:pStyle w:val="ListParagraph"/>
        <w:numPr>
          <w:ilvl w:val="0"/>
          <w:numId w:val="237"/>
        </w:numPr>
        <w:rPr>
          <w:lang w:eastAsia="zh-CN"/>
        </w:rPr>
      </w:pPr>
      <w:r w:rsidRPr="00AA1D48">
        <w:rPr>
          <w:lang w:eastAsia="zh-CN"/>
        </w:rPr>
        <w:t>FFS: whether any specification impact is needed</w:t>
      </w:r>
      <w:r>
        <w:rPr>
          <w:lang w:eastAsia="zh-CN"/>
        </w:rPr>
        <w:t>.</w:t>
      </w:r>
    </w:p>
    <w:p w14:paraId="0ACC9162" w14:textId="77777777" w:rsidR="00826ED0" w:rsidRDefault="00826ED0" w:rsidP="00826ED0">
      <w:pPr>
        <w:rPr>
          <w:lang w:eastAsia="zh-CN"/>
        </w:rPr>
      </w:pPr>
    </w:p>
    <w:p w14:paraId="2DF2120D" w14:textId="28D1B844" w:rsidR="00826ED0" w:rsidRPr="009537ED" w:rsidRDefault="00826ED0" w:rsidP="00826ED0">
      <w:pPr>
        <w:rPr>
          <w:lang w:eastAsia="zh-CN"/>
        </w:rPr>
      </w:pPr>
      <w:r>
        <w:rPr>
          <w:lang w:eastAsia="zh-CN"/>
        </w:rPr>
        <w:t xml:space="preserve">Final summary in </w:t>
      </w:r>
      <w:hyperlink r:id="rId1694" w:history="1">
        <w:r w:rsidR="00AF7253">
          <w:rPr>
            <w:rStyle w:val="Hyperlink"/>
            <w:lang w:eastAsia="zh-CN"/>
          </w:rPr>
          <w:t>R1-2312695</w:t>
        </w:r>
      </w:hyperlink>
      <w:r>
        <w:rPr>
          <w:lang w:eastAsia="zh-CN"/>
        </w:rPr>
        <w:t>.</w:t>
      </w:r>
    </w:p>
    <w:p w14:paraId="779EA2E7" w14:textId="77777777" w:rsidR="00F74A6F" w:rsidRDefault="00F74A6F" w:rsidP="00F74A6F">
      <w:pPr>
        <w:pStyle w:val="Heading2"/>
      </w:pPr>
      <w:bookmarkStart w:id="762" w:name="_Toc150174490"/>
      <w:bookmarkStart w:id="763" w:name="_Toc159251032"/>
      <w:r w:rsidRPr="009537ED">
        <w:lastRenderedPageBreak/>
        <w:t>Maintenance on NTN (Non-Terrestrial Networks) Enhancements</w:t>
      </w:r>
      <w:bookmarkEnd w:id="762"/>
      <w:bookmarkEnd w:id="763"/>
    </w:p>
    <w:p w14:paraId="61862E8E" w14:textId="6611A245" w:rsidR="004B3090" w:rsidRPr="004B3090" w:rsidRDefault="005A18DC" w:rsidP="004B3090">
      <w:pPr>
        <w:rPr>
          <w:b/>
          <w:bCs/>
        </w:rPr>
      </w:pPr>
      <w:hyperlink r:id="rId1695" w:history="1">
        <w:r w:rsidR="00AF7253">
          <w:rPr>
            <w:rStyle w:val="Hyperlink"/>
            <w:b/>
            <w:bCs/>
          </w:rPr>
          <w:t>R1-2312510</w:t>
        </w:r>
      </w:hyperlink>
      <w:r w:rsidR="004B3090" w:rsidRPr="004B3090">
        <w:rPr>
          <w:b/>
          <w:bCs/>
        </w:rPr>
        <w:tab/>
        <w:t>Session notes for 8.13 (Maintenance on NTN (Non-Terrestrial Networks) enhancements)</w:t>
      </w:r>
      <w:r w:rsidR="004B3090" w:rsidRPr="004B3090">
        <w:rPr>
          <w:b/>
          <w:bCs/>
        </w:rPr>
        <w:tab/>
        <w:t>Ad-Hoc Chair (Huawei)</w:t>
      </w:r>
    </w:p>
    <w:p w14:paraId="73B4F2FF" w14:textId="4CA125F4" w:rsidR="004B3090" w:rsidRPr="00D96FAE" w:rsidRDefault="004B3090" w:rsidP="004B3090">
      <w:pPr>
        <w:rPr>
          <w:lang w:eastAsia="x-none"/>
        </w:rPr>
      </w:pPr>
      <w:r w:rsidRPr="00F05EFE">
        <w:rPr>
          <w:b/>
          <w:bCs/>
        </w:rPr>
        <w:t>Friday decision:</w:t>
      </w:r>
      <w:r>
        <w:t xml:space="preserve"> The </w:t>
      </w:r>
      <w:r>
        <w:rPr>
          <w:lang w:val="en-US" w:eastAsia="x-none"/>
        </w:rPr>
        <w:t>s</w:t>
      </w:r>
      <w:r w:rsidRPr="00663F3A">
        <w:rPr>
          <w:lang w:val="en-US" w:eastAsia="x-none"/>
        </w:rPr>
        <w:t>ession notes</w:t>
      </w:r>
      <w:r>
        <w:rPr>
          <w:lang w:val="en-US" w:eastAsia="x-none"/>
        </w:rPr>
        <w:t xml:space="preserve"> are </w:t>
      </w:r>
      <w:r>
        <w:rPr>
          <w:highlight w:val="green"/>
          <w:lang w:eastAsia="x-none"/>
        </w:rPr>
        <w:t>e</w:t>
      </w:r>
      <w:r w:rsidRPr="00D96FAE">
        <w:rPr>
          <w:highlight w:val="green"/>
          <w:lang w:eastAsia="x-none"/>
        </w:rPr>
        <w:t xml:space="preserve">ndorsed </w:t>
      </w:r>
      <w:r w:rsidRPr="00D96FAE">
        <w:rPr>
          <w:lang w:eastAsia="x-none"/>
        </w:rPr>
        <w:t xml:space="preserve">and contents </w:t>
      </w:r>
      <w:r w:rsidR="003464A3">
        <w:rPr>
          <w:lang w:eastAsia="x-none"/>
        </w:rPr>
        <w:t xml:space="preserve">(with the addition of the approved LS </w:t>
      </w:r>
      <w:hyperlink r:id="rId1696" w:history="1">
        <w:r w:rsidR="00AF7253">
          <w:rPr>
            <w:rStyle w:val="Hyperlink"/>
            <w:lang w:eastAsia="x-none"/>
          </w:rPr>
          <w:t>R1-2312696</w:t>
        </w:r>
      </w:hyperlink>
      <w:r w:rsidR="003E112D">
        <w:rPr>
          <w:lang w:eastAsia="x-none"/>
        </w:rPr>
        <w:t xml:space="preserve"> under AI 8.13.4</w:t>
      </w:r>
      <w:r w:rsidR="003464A3">
        <w:rPr>
          <w:lang w:eastAsia="x-none"/>
        </w:rPr>
        <w:t xml:space="preserve">) </w:t>
      </w:r>
      <w:r w:rsidRPr="00D96FAE">
        <w:rPr>
          <w:lang w:eastAsia="x-none"/>
        </w:rPr>
        <w:t>reflected below.</w:t>
      </w:r>
    </w:p>
    <w:p w14:paraId="7F3CFB6B" w14:textId="77777777" w:rsidR="004B3090" w:rsidRPr="004B3090" w:rsidRDefault="004B3090" w:rsidP="004B3090"/>
    <w:p w14:paraId="34451387" w14:textId="77777777" w:rsidR="00250C44" w:rsidRPr="00C56AF8" w:rsidRDefault="00F74A6F" w:rsidP="00F74A6F">
      <w:pPr>
        <w:rPr>
          <w:lang w:eastAsia="x-none"/>
        </w:rPr>
      </w:pPr>
      <w:r w:rsidRPr="00C56AF8">
        <w:rPr>
          <w:lang w:eastAsia="x-none"/>
        </w:rPr>
        <w:t xml:space="preserve">[115-R18-NTN] </w:t>
      </w:r>
      <w:r w:rsidR="00250C44" w:rsidRPr="00C56AF8">
        <w:rPr>
          <w:lang w:eastAsia="x-none"/>
        </w:rPr>
        <w:t>– Mohamed (Thales)</w:t>
      </w:r>
    </w:p>
    <w:p w14:paraId="745ACA9C" w14:textId="21BEEADE" w:rsidR="00F74A6F" w:rsidRPr="00C56AF8" w:rsidRDefault="00F74A6F" w:rsidP="00F74A6F">
      <w:pPr>
        <w:rPr>
          <w:lang w:eastAsia="x-none"/>
        </w:rPr>
      </w:pPr>
      <w:r w:rsidRPr="00C56AF8">
        <w:rPr>
          <w:lang w:eastAsia="x-none"/>
        </w:rPr>
        <w:t xml:space="preserve">Email discussion on NR-NTN / IoT-NTN </w:t>
      </w:r>
    </w:p>
    <w:p w14:paraId="5A1BB05E" w14:textId="77777777" w:rsidR="00F74A6F" w:rsidRPr="00C56AF8" w:rsidRDefault="00F74A6F" w:rsidP="00F74A6F">
      <w:pPr>
        <w:numPr>
          <w:ilvl w:val="0"/>
          <w:numId w:val="69"/>
        </w:numPr>
        <w:rPr>
          <w:lang w:eastAsia="x-none"/>
        </w:rPr>
      </w:pPr>
      <w:r w:rsidRPr="00C56AF8">
        <w:rPr>
          <w:lang w:eastAsia="x-none"/>
        </w:rPr>
        <w:t>To be used for sharing updates on online/offline schedule, details on what is to be discussed in online/offline sessions, tdoc number of the moderator summary for online session, etc</w:t>
      </w:r>
    </w:p>
    <w:p w14:paraId="7349DCFD" w14:textId="77777777" w:rsidR="00F74A6F" w:rsidRPr="009537ED" w:rsidRDefault="00F74A6F" w:rsidP="00F74A6F">
      <w:pPr>
        <w:rPr>
          <w:lang w:eastAsia="x-none"/>
        </w:rPr>
      </w:pPr>
    </w:p>
    <w:p w14:paraId="0150AAC9" w14:textId="18F17060" w:rsidR="0087678D" w:rsidRPr="009537ED" w:rsidRDefault="005A18DC" w:rsidP="0087678D">
      <w:pPr>
        <w:rPr>
          <w:lang w:eastAsia="x-none"/>
        </w:rPr>
      </w:pPr>
      <w:hyperlink r:id="rId1697" w:history="1">
        <w:r w:rsidR="00AF7253">
          <w:rPr>
            <w:rStyle w:val="Hyperlink"/>
            <w:lang w:eastAsia="x-none"/>
          </w:rPr>
          <w:t>R1-2312655</w:t>
        </w:r>
      </w:hyperlink>
      <w:r w:rsidR="0087678D">
        <w:rPr>
          <w:lang w:eastAsia="x-none"/>
        </w:rPr>
        <w:tab/>
        <w:t>RAN1 agreements for Rel-18 WI on IoT NTN enhancements up to RAN1#115</w:t>
      </w:r>
      <w:r w:rsidR="0087678D">
        <w:rPr>
          <w:lang w:eastAsia="x-none"/>
        </w:rPr>
        <w:tab/>
        <w:t>Moderator (MediaTek Inc.)</w:t>
      </w:r>
    </w:p>
    <w:p w14:paraId="5C92A855" w14:textId="77777777" w:rsidR="0087678D" w:rsidRPr="009537ED" w:rsidRDefault="0087678D" w:rsidP="00F74A6F">
      <w:pPr>
        <w:rPr>
          <w:lang w:eastAsia="x-none"/>
        </w:rPr>
      </w:pPr>
    </w:p>
    <w:p w14:paraId="0160DEA2" w14:textId="77777777" w:rsidR="00250C44" w:rsidRPr="009537ED" w:rsidRDefault="00250C44" w:rsidP="00250C44">
      <w:pPr>
        <w:rPr>
          <w:b/>
          <w:lang w:eastAsia="x-none"/>
        </w:rPr>
      </w:pPr>
      <w:r w:rsidRPr="009537ED">
        <w:rPr>
          <w:b/>
          <w:lang w:eastAsia="x-none"/>
        </w:rPr>
        <w:t>Higher Layer Parameters</w:t>
      </w:r>
    </w:p>
    <w:p w14:paraId="2EBE1205" w14:textId="0B190B3D" w:rsidR="00250C44" w:rsidRPr="00C56AF8" w:rsidRDefault="005A18DC" w:rsidP="00250C44">
      <w:pPr>
        <w:rPr>
          <w:b/>
          <w:bCs/>
          <w:lang w:eastAsia="x-none"/>
        </w:rPr>
      </w:pPr>
      <w:hyperlink r:id="rId1698" w:history="1">
        <w:r w:rsidR="00AF7253">
          <w:rPr>
            <w:rStyle w:val="Hyperlink"/>
            <w:b/>
            <w:bCs/>
            <w:lang w:eastAsia="x-none"/>
          </w:rPr>
          <w:t>R1-2312424</w:t>
        </w:r>
      </w:hyperlink>
      <w:r w:rsidR="00C56AF8" w:rsidRPr="00C56AF8">
        <w:rPr>
          <w:b/>
          <w:bCs/>
          <w:lang w:eastAsia="x-none"/>
        </w:rPr>
        <w:tab/>
        <w:t>Rel-18 Higher Layer Parameters for NR NTN</w:t>
      </w:r>
      <w:r w:rsidR="00C56AF8" w:rsidRPr="00C56AF8">
        <w:rPr>
          <w:b/>
          <w:bCs/>
          <w:lang w:eastAsia="x-none"/>
        </w:rPr>
        <w:tab/>
        <w:t>Moderator (Thales)</w:t>
      </w:r>
    </w:p>
    <w:p w14:paraId="01CE8CFD" w14:textId="04CCFACD" w:rsidR="00C56AF8" w:rsidRDefault="00C56AF8" w:rsidP="00250C44">
      <w:pPr>
        <w:rPr>
          <w:lang w:eastAsia="x-none"/>
        </w:rPr>
      </w:pPr>
      <w:r>
        <w:rPr>
          <w:lang w:eastAsia="x-none"/>
        </w:rPr>
        <w:t>From Tuesday session</w:t>
      </w:r>
    </w:p>
    <w:p w14:paraId="7B112243" w14:textId="77777777" w:rsidR="00C56AF8" w:rsidRDefault="00C56AF8" w:rsidP="00C56AF8">
      <w:pPr>
        <w:rPr>
          <w:lang w:val="en-US" w:eastAsia="x-none"/>
        </w:rPr>
      </w:pPr>
      <w:r w:rsidRPr="00A71217">
        <w:rPr>
          <w:highlight w:val="green"/>
          <w:lang w:val="en-US" w:eastAsia="x-none"/>
        </w:rPr>
        <w:t>Agreement</w:t>
      </w:r>
    </w:p>
    <w:p w14:paraId="5B5C4CDD" w14:textId="6BCE8ED5" w:rsidR="00C56AF8" w:rsidRDefault="00C56AF8" w:rsidP="00C56AF8">
      <w:pPr>
        <w:rPr>
          <w:lang w:val="en-US" w:eastAsia="x-none"/>
        </w:rPr>
      </w:pPr>
      <w:r>
        <w:rPr>
          <w:lang w:val="en-US" w:eastAsia="x-none"/>
        </w:rPr>
        <w:t xml:space="preserve">The higher layer parameters in </w:t>
      </w:r>
      <w:hyperlink r:id="rId1699" w:history="1">
        <w:r w:rsidR="00AF7253">
          <w:rPr>
            <w:rStyle w:val="Hyperlink"/>
            <w:lang w:val="en-US" w:eastAsia="x-none"/>
          </w:rPr>
          <w:t>R1-2312424</w:t>
        </w:r>
      </w:hyperlink>
      <w:r>
        <w:rPr>
          <w:lang w:val="en-US" w:eastAsia="x-none"/>
        </w:rPr>
        <w:t xml:space="preserve"> are endorsed.</w:t>
      </w:r>
    </w:p>
    <w:p w14:paraId="09086B38" w14:textId="77777777" w:rsidR="00C56AF8" w:rsidRDefault="00C56AF8" w:rsidP="00250C44">
      <w:pPr>
        <w:rPr>
          <w:lang w:val="en-US" w:eastAsia="x-none"/>
        </w:rPr>
      </w:pPr>
    </w:p>
    <w:p w14:paraId="01B504AF" w14:textId="33E8E326" w:rsidR="003F75F8" w:rsidRPr="003F75F8" w:rsidRDefault="005A18DC" w:rsidP="003F75F8">
      <w:pPr>
        <w:rPr>
          <w:b/>
          <w:bCs/>
          <w:lang w:eastAsia="x-none"/>
        </w:rPr>
      </w:pPr>
      <w:hyperlink r:id="rId1700" w:history="1">
        <w:r w:rsidR="00AF7253">
          <w:rPr>
            <w:rStyle w:val="Hyperlink"/>
            <w:b/>
            <w:bCs/>
            <w:lang w:eastAsia="x-none"/>
          </w:rPr>
          <w:t>R1-2312301</w:t>
        </w:r>
      </w:hyperlink>
      <w:r w:rsidR="003F75F8" w:rsidRPr="003F75F8">
        <w:rPr>
          <w:b/>
          <w:bCs/>
          <w:lang w:eastAsia="x-none"/>
        </w:rPr>
        <w:tab/>
        <w:t>Rel-18 Higher Layer Parameters for IoT NTN</w:t>
      </w:r>
      <w:r w:rsidR="003F75F8" w:rsidRPr="003F75F8">
        <w:rPr>
          <w:b/>
          <w:bCs/>
          <w:lang w:eastAsia="x-none"/>
        </w:rPr>
        <w:tab/>
        <w:t>Moderator (MediaTek)</w:t>
      </w:r>
    </w:p>
    <w:p w14:paraId="55BA775D" w14:textId="0DD3810C" w:rsidR="003F75F8" w:rsidRDefault="003F75F8" w:rsidP="003F75F8">
      <w:pPr>
        <w:rPr>
          <w:lang w:eastAsia="x-none"/>
        </w:rPr>
      </w:pPr>
      <w:r>
        <w:rPr>
          <w:lang w:eastAsia="x-none"/>
        </w:rPr>
        <w:t>From Wednesday session</w:t>
      </w:r>
    </w:p>
    <w:p w14:paraId="6D81FDBA" w14:textId="77777777" w:rsidR="003F75F8" w:rsidRDefault="003F75F8" w:rsidP="003F75F8">
      <w:pPr>
        <w:rPr>
          <w:lang w:val="en-US" w:eastAsia="x-none"/>
        </w:rPr>
      </w:pPr>
      <w:r w:rsidRPr="00A71217">
        <w:rPr>
          <w:highlight w:val="green"/>
          <w:lang w:val="en-US" w:eastAsia="x-none"/>
        </w:rPr>
        <w:t>Agreement</w:t>
      </w:r>
    </w:p>
    <w:p w14:paraId="2EEFCBB2" w14:textId="7B0FF23F" w:rsidR="003F75F8" w:rsidRDefault="003F75F8" w:rsidP="003F75F8">
      <w:pPr>
        <w:rPr>
          <w:lang w:val="en-US" w:eastAsia="x-none"/>
        </w:rPr>
      </w:pPr>
      <w:r>
        <w:rPr>
          <w:lang w:val="en-US" w:eastAsia="x-none"/>
        </w:rPr>
        <w:t xml:space="preserve">The higher layer parameters in </w:t>
      </w:r>
      <w:hyperlink r:id="rId1701" w:history="1">
        <w:r w:rsidR="00AF7253">
          <w:rPr>
            <w:rStyle w:val="Hyperlink"/>
            <w:lang w:val="en-US" w:eastAsia="x-none"/>
          </w:rPr>
          <w:t>R1-2312301</w:t>
        </w:r>
      </w:hyperlink>
      <w:r>
        <w:rPr>
          <w:lang w:val="en-US" w:eastAsia="x-none"/>
        </w:rPr>
        <w:t xml:space="preserve"> are endorsed.</w:t>
      </w:r>
    </w:p>
    <w:p w14:paraId="1B0DF677" w14:textId="77777777" w:rsidR="003F75F8" w:rsidRPr="003F75F8" w:rsidRDefault="003F75F8" w:rsidP="00250C44">
      <w:pPr>
        <w:rPr>
          <w:lang w:val="en-US" w:eastAsia="x-none"/>
        </w:rPr>
      </w:pPr>
    </w:p>
    <w:p w14:paraId="0517CC90" w14:textId="05BAB409" w:rsidR="00C56AF8" w:rsidRPr="00C56AF8" w:rsidRDefault="003F75F8" w:rsidP="00250C44">
      <w:pPr>
        <w:rPr>
          <w:lang w:val="en-US" w:eastAsia="x-none"/>
        </w:rPr>
      </w:pPr>
      <w:r>
        <w:rPr>
          <w:lang w:val="en-US" w:eastAsia="x-none"/>
        </w:rPr>
        <w:t>-------------------------------------</w:t>
      </w:r>
    </w:p>
    <w:p w14:paraId="4CC60EAD" w14:textId="77777777" w:rsidR="00250C44" w:rsidRPr="009537ED" w:rsidRDefault="00250C44" w:rsidP="00250C44">
      <w:pPr>
        <w:rPr>
          <w:b/>
          <w:lang w:eastAsia="x-none"/>
        </w:rPr>
      </w:pPr>
      <w:r w:rsidRPr="009537ED">
        <w:rPr>
          <w:b/>
          <w:lang w:eastAsia="x-none"/>
        </w:rPr>
        <w:t>TP for TS 38.300</w:t>
      </w:r>
    </w:p>
    <w:p w14:paraId="1D886BF4" w14:textId="488DF91C" w:rsidR="00250C44" w:rsidRPr="009537ED" w:rsidRDefault="005A18DC" w:rsidP="00250C44">
      <w:pPr>
        <w:rPr>
          <w:lang w:eastAsia="x-none"/>
        </w:rPr>
      </w:pPr>
      <w:hyperlink r:id="rId1702" w:history="1">
        <w:r w:rsidR="00AF7253">
          <w:rPr>
            <w:rStyle w:val="Hyperlink"/>
            <w:lang w:eastAsia="x-none"/>
          </w:rPr>
          <w:t>R1-2312246</w:t>
        </w:r>
      </w:hyperlink>
      <w:r w:rsidR="00250C44" w:rsidRPr="009537ED">
        <w:rPr>
          <w:lang w:eastAsia="x-none"/>
        </w:rPr>
        <w:tab/>
        <w:t>TP for TS 38.300</w:t>
      </w:r>
      <w:r w:rsidR="00250C44" w:rsidRPr="009537ED">
        <w:rPr>
          <w:lang w:eastAsia="x-none"/>
        </w:rPr>
        <w:tab/>
        <w:t>THALES</w:t>
      </w:r>
    </w:p>
    <w:p w14:paraId="22952451" w14:textId="0EE9554A" w:rsidR="003F75F8" w:rsidRPr="003F75F8" w:rsidRDefault="005A18DC" w:rsidP="003F75F8">
      <w:pPr>
        <w:rPr>
          <w:b/>
          <w:bCs/>
          <w:lang w:eastAsia="x-none"/>
        </w:rPr>
      </w:pPr>
      <w:hyperlink r:id="rId1703" w:history="1">
        <w:r w:rsidR="00AF7253">
          <w:rPr>
            <w:rStyle w:val="Hyperlink"/>
            <w:b/>
            <w:bCs/>
            <w:lang w:eastAsia="x-none"/>
          </w:rPr>
          <w:t>R1-2312495</w:t>
        </w:r>
      </w:hyperlink>
      <w:r w:rsidR="003F75F8" w:rsidRPr="003F75F8">
        <w:rPr>
          <w:b/>
          <w:bCs/>
          <w:lang w:eastAsia="x-none"/>
        </w:rPr>
        <w:tab/>
        <w:t>TP for TS 38.300</w:t>
      </w:r>
      <w:r w:rsidR="003F75F8" w:rsidRPr="003F75F8">
        <w:rPr>
          <w:b/>
          <w:bCs/>
          <w:lang w:eastAsia="x-none"/>
        </w:rPr>
        <w:tab/>
        <w:t>Moderator (THALES)</w:t>
      </w:r>
    </w:p>
    <w:p w14:paraId="4563A686" w14:textId="497F683E" w:rsidR="003F75F8" w:rsidRPr="003F75F8" w:rsidRDefault="005A18DC" w:rsidP="003F75F8">
      <w:pPr>
        <w:rPr>
          <w:b/>
          <w:bCs/>
          <w:lang w:eastAsia="x-none"/>
        </w:rPr>
      </w:pPr>
      <w:hyperlink r:id="rId1704" w:history="1">
        <w:r w:rsidR="00AF7253">
          <w:rPr>
            <w:rStyle w:val="Hyperlink"/>
            <w:b/>
            <w:bCs/>
            <w:lang w:eastAsia="x-none"/>
          </w:rPr>
          <w:t>R1-2312518</w:t>
        </w:r>
      </w:hyperlink>
      <w:r w:rsidR="003F75F8" w:rsidRPr="003F75F8">
        <w:rPr>
          <w:b/>
          <w:bCs/>
          <w:lang w:eastAsia="x-none"/>
        </w:rPr>
        <w:tab/>
        <w:t>FLS#1 on NR-NTN TP for TS 38.300</w:t>
      </w:r>
      <w:r w:rsidR="003F75F8" w:rsidRPr="003F75F8">
        <w:rPr>
          <w:b/>
          <w:bCs/>
          <w:lang w:eastAsia="x-none"/>
        </w:rPr>
        <w:tab/>
        <w:t>Moderator (THALES)</w:t>
      </w:r>
    </w:p>
    <w:p w14:paraId="41C87D53" w14:textId="79CE9711" w:rsidR="003F75F8" w:rsidRDefault="003F75F8" w:rsidP="003F75F8">
      <w:pPr>
        <w:rPr>
          <w:lang w:eastAsia="x-none"/>
        </w:rPr>
      </w:pPr>
      <w:r>
        <w:rPr>
          <w:lang w:eastAsia="x-none"/>
        </w:rPr>
        <w:t>From Wednesday session</w:t>
      </w:r>
    </w:p>
    <w:p w14:paraId="10EFD0B6" w14:textId="77777777" w:rsidR="003F75F8" w:rsidRDefault="003F75F8" w:rsidP="003F75F8">
      <w:pPr>
        <w:rPr>
          <w:lang w:eastAsia="x-none"/>
        </w:rPr>
      </w:pPr>
      <w:r>
        <w:rPr>
          <w:highlight w:val="green"/>
          <w:lang w:eastAsia="x-none"/>
        </w:rPr>
        <w:t>Agreement</w:t>
      </w:r>
    </w:p>
    <w:p w14:paraId="5B268C4A" w14:textId="77777777" w:rsidR="003F75F8" w:rsidRDefault="003F75F8" w:rsidP="003F75F8">
      <w:pPr>
        <w:rPr>
          <w:lang w:eastAsia="x-none"/>
        </w:rPr>
      </w:pPr>
      <w:r>
        <w:rPr>
          <w:lang w:eastAsia="x-none"/>
        </w:rPr>
        <w:t>The TP below for TS38.300 is endorsed from RAN1 perspective.</w:t>
      </w:r>
    </w:p>
    <w:p w14:paraId="70E0D93B" w14:textId="77777777" w:rsidR="003F75F8" w:rsidRDefault="003F75F8" w:rsidP="00AA1D48">
      <w:pPr>
        <w:pStyle w:val="ListParagraph"/>
        <w:numPr>
          <w:ilvl w:val="0"/>
          <w:numId w:val="132"/>
        </w:numPr>
      </w:pPr>
      <w:r>
        <w:t>Note: further text may be provided later for NTN-specific PUSCH DMRS bundling.</w:t>
      </w:r>
    </w:p>
    <w:p w14:paraId="16E0A7E1" w14:textId="77777777" w:rsidR="0087678D" w:rsidRPr="003F75F8" w:rsidRDefault="0087678D" w:rsidP="0087678D">
      <w:pPr>
        <w:rPr>
          <w:color w:val="FF0000"/>
        </w:rPr>
      </w:pPr>
      <w:r w:rsidRPr="003F75F8">
        <w:rPr>
          <w:color w:val="FF0000"/>
        </w:rPr>
        <w:t>---------- TEXT PROPOSAL BEGIN --------</w:t>
      </w:r>
      <w:r>
        <w:rPr>
          <w:color w:val="FF0000"/>
        </w:rPr>
        <w:t>-</w:t>
      </w:r>
    </w:p>
    <w:p w14:paraId="470FA91E" w14:textId="30E2DFE5" w:rsidR="003F75F8" w:rsidRPr="00BA61EF" w:rsidRDefault="003F75F8" w:rsidP="00BA61EF">
      <w:pPr>
        <w:rPr>
          <w:rFonts w:ascii="Arial" w:hAnsi="Arial" w:cs="Arial"/>
          <w:b/>
          <w:bCs/>
          <w:i/>
          <w:sz w:val="16"/>
          <w:szCs w:val="16"/>
          <w:lang w:eastAsia="en-GB"/>
        </w:rPr>
      </w:pPr>
      <w:r w:rsidRPr="00BA61EF">
        <w:rPr>
          <w:rFonts w:ascii="Arial" w:hAnsi="Arial" w:cs="Arial"/>
          <w:b/>
          <w:bCs/>
          <w:sz w:val="16"/>
          <w:szCs w:val="16"/>
          <w:lang w:eastAsia="en-GB"/>
        </w:rPr>
        <w:t>16.14.X</w:t>
      </w:r>
      <w:r w:rsidRPr="00BA61EF">
        <w:rPr>
          <w:rFonts w:ascii="Arial" w:hAnsi="Arial" w:cs="Arial"/>
          <w:b/>
          <w:bCs/>
          <w:sz w:val="16"/>
          <w:szCs w:val="16"/>
          <w:lang w:eastAsia="en-GB"/>
        </w:rPr>
        <w:tab/>
        <w:t>Support for NR NTN coverage enhancements</w:t>
      </w:r>
    </w:p>
    <w:p w14:paraId="3ED7B7BE" w14:textId="77777777" w:rsidR="003F75F8" w:rsidRPr="00BA61EF" w:rsidRDefault="003F75F8" w:rsidP="00BA61EF">
      <w:pPr>
        <w:rPr>
          <w:rFonts w:ascii="Arial" w:hAnsi="Arial" w:cs="Arial"/>
          <w:i/>
          <w:sz w:val="16"/>
          <w:szCs w:val="16"/>
          <w:lang w:eastAsia="en-GB"/>
        </w:rPr>
      </w:pPr>
      <w:r w:rsidRPr="00BA61EF">
        <w:rPr>
          <w:rFonts w:ascii="Arial" w:hAnsi="Arial" w:cs="Arial"/>
          <w:sz w:val="16"/>
          <w:szCs w:val="16"/>
          <w:lang w:eastAsia="en-GB"/>
        </w:rPr>
        <w:t>To improve NR uplink coverage in NTN, the following enhancements are supported:</w:t>
      </w:r>
    </w:p>
    <w:p w14:paraId="74B0D7AD" w14:textId="77777777" w:rsidR="003F75F8" w:rsidRPr="003F75F8" w:rsidRDefault="003F75F8" w:rsidP="00A67145">
      <w:pPr>
        <w:pStyle w:val="ListParagraph"/>
        <w:numPr>
          <w:ilvl w:val="0"/>
          <w:numId w:val="167"/>
        </w:numPr>
        <w:overflowPunct/>
        <w:autoSpaceDE/>
        <w:autoSpaceDN/>
        <w:adjustRightInd/>
        <w:spacing w:after="0"/>
        <w:contextualSpacing w:val="0"/>
        <w:textAlignment w:val="auto"/>
        <w:rPr>
          <w:rFonts w:ascii="Arial" w:hAnsi="Arial" w:cs="Arial"/>
          <w:sz w:val="16"/>
          <w:szCs w:val="16"/>
          <w:lang w:eastAsia="fr-FR"/>
        </w:rPr>
      </w:pPr>
      <w:r w:rsidRPr="003F75F8">
        <w:rPr>
          <w:rFonts w:ascii="Arial" w:hAnsi="Arial" w:cs="Arial"/>
          <w:sz w:val="16"/>
          <w:szCs w:val="16"/>
        </w:rPr>
        <w:t>PUCCH repetition for Msg4 HARQ-ACK:</w:t>
      </w:r>
    </w:p>
    <w:p w14:paraId="3F4EF804" w14:textId="77777777" w:rsidR="003F75F8" w:rsidRPr="003F75F8" w:rsidRDefault="003F75F8" w:rsidP="00A67145">
      <w:pPr>
        <w:numPr>
          <w:ilvl w:val="0"/>
          <w:numId w:val="168"/>
        </w:numPr>
        <w:ind w:left="1080"/>
        <w:rPr>
          <w:rFonts w:ascii="Arial" w:hAnsi="Arial" w:cs="Arial"/>
          <w:sz w:val="16"/>
          <w:szCs w:val="16"/>
        </w:rPr>
      </w:pPr>
      <w:r w:rsidRPr="003F75F8">
        <w:rPr>
          <w:rFonts w:ascii="Arial" w:hAnsi="Arial" w:cs="Arial"/>
          <w:sz w:val="16"/>
          <w:szCs w:val="16"/>
        </w:rPr>
        <w:t xml:space="preserve">Supported number of transmissions are 1, 2, 4, 8. </w:t>
      </w:r>
    </w:p>
    <w:p w14:paraId="538D8825" w14:textId="77777777" w:rsidR="003F75F8" w:rsidRPr="003F75F8" w:rsidRDefault="003F75F8" w:rsidP="00A67145">
      <w:pPr>
        <w:numPr>
          <w:ilvl w:val="1"/>
          <w:numId w:val="168"/>
        </w:numPr>
        <w:ind w:left="2160"/>
        <w:rPr>
          <w:rFonts w:ascii="Arial" w:hAnsi="Arial" w:cs="Arial"/>
          <w:sz w:val="16"/>
          <w:szCs w:val="16"/>
        </w:rPr>
      </w:pPr>
      <w:r w:rsidRPr="003F75F8">
        <w:rPr>
          <w:rFonts w:ascii="Arial" w:hAnsi="Arial" w:cs="Arial"/>
          <w:sz w:val="16"/>
          <w:szCs w:val="16"/>
        </w:rPr>
        <w:t>If a single value from {2, 4, 8} is configured via SIB, the configured repetition factor is applied.</w:t>
      </w:r>
    </w:p>
    <w:p w14:paraId="77ACD359" w14:textId="77777777" w:rsidR="003F75F8" w:rsidRPr="003F75F8" w:rsidRDefault="003F75F8" w:rsidP="00A67145">
      <w:pPr>
        <w:numPr>
          <w:ilvl w:val="1"/>
          <w:numId w:val="168"/>
        </w:numPr>
        <w:ind w:left="2160"/>
        <w:rPr>
          <w:rFonts w:ascii="Arial" w:hAnsi="Arial" w:cs="Arial"/>
          <w:sz w:val="16"/>
          <w:szCs w:val="16"/>
        </w:rPr>
      </w:pPr>
      <w:r w:rsidRPr="003F75F8">
        <w:rPr>
          <w:rFonts w:ascii="Arial" w:hAnsi="Arial" w:cs="Arial"/>
          <w:sz w:val="16"/>
          <w:szCs w:val="16"/>
        </w:rPr>
        <w:t>If multiple values from {1, 2, 4, 8} are configured via SIB, one of the multiple values is indicated in DAI field of DCI format 1_0 with CRC scrambled by TC-RNTI.</w:t>
      </w:r>
    </w:p>
    <w:p w14:paraId="3C34EA5A" w14:textId="77777777" w:rsidR="003F75F8" w:rsidRPr="003F75F8" w:rsidRDefault="003F75F8" w:rsidP="00A67145">
      <w:pPr>
        <w:numPr>
          <w:ilvl w:val="0"/>
          <w:numId w:val="168"/>
        </w:numPr>
        <w:ind w:left="1080"/>
        <w:rPr>
          <w:rFonts w:ascii="Arial" w:hAnsi="Arial" w:cs="Arial"/>
          <w:sz w:val="16"/>
          <w:szCs w:val="16"/>
        </w:rPr>
      </w:pPr>
      <w:r w:rsidRPr="003F75F8">
        <w:rPr>
          <w:rFonts w:ascii="Arial" w:hAnsi="Arial" w:cs="Arial"/>
          <w:sz w:val="16"/>
          <w:szCs w:val="16"/>
        </w:rPr>
        <w:t>The existing mechanism on repetition slot counting (as in section 9.2.6 of TS 38.213) is applied.</w:t>
      </w:r>
    </w:p>
    <w:p w14:paraId="550F639F" w14:textId="77777777" w:rsidR="003F75F8" w:rsidRPr="003F75F8" w:rsidRDefault="003F75F8" w:rsidP="00A67145">
      <w:pPr>
        <w:numPr>
          <w:ilvl w:val="0"/>
          <w:numId w:val="168"/>
        </w:numPr>
        <w:ind w:left="1080"/>
        <w:rPr>
          <w:rFonts w:ascii="Arial" w:hAnsi="Arial" w:cs="Arial"/>
          <w:sz w:val="16"/>
          <w:szCs w:val="16"/>
        </w:rPr>
      </w:pPr>
      <w:r w:rsidRPr="003F75F8">
        <w:rPr>
          <w:rFonts w:ascii="Arial" w:hAnsi="Arial" w:cs="Arial"/>
          <w:sz w:val="16"/>
          <w:szCs w:val="16"/>
        </w:rPr>
        <w:t>Frequency hopping mechanism in R15/16/17 defined for PUCCH transmission for Msg4 HARQ-ACK, in every slot is applied.</w:t>
      </w:r>
    </w:p>
    <w:p w14:paraId="4A6DBE4D" w14:textId="77777777" w:rsidR="003F75F8" w:rsidRPr="003F75F8" w:rsidRDefault="003F75F8" w:rsidP="00A67145">
      <w:pPr>
        <w:numPr>
          <w:ilvl w:val="0"/>
          <w:numId w:val="168"/>
        </w:numPr>
        <w:ind w:left="1080"/>
        <w:rPr>
          <w:rFonts w:ascii="Arial" w:hAnsi="Arial" w:cs="Arial"/>
          <w:sz w:val="16"/>
          <w:szCs w:val="16"/>
        </w:rPr>
      </w:pPr>
      <w:r w:rsidRPr="003F75F8">
        <w:rPr>
          <w:rFonts w:ascii="Arial" w:hAnsi="Arial" w:cs="Arial"/>
          <w:sz w:val="16"/>
          <w:szCs w:val="16"/>
        </w:rPr>
        <w:t>A RSRP threshold can be configured via SIB when the number of repetitions is configured by SIB. If the RSRP threshold is configured, UE capable of PUCCH repetition for Msg4 HARQ-ACK reports the capability of PUCCH repetition for Msg4 HARQ-ACK via Msg3 PUSCH only if measured RSRP is lower than the configured RSRP threshold. If the RSRP threshold is not configured, UE capable of PUCCH repetition for Msg4 HARQ-ACK reports the capability of PUCCH repetition for Msg4 HARQ-ACK via Msg3 PUSCH.</w:t>
      </w:r>
    </w:p>
    <w:p w14:paraId="6F2A6D41" w14:textId="77777777" w:rsidR="003F75F8" w:rsidRPr="003F75F8" w:rsidRDefault="003F75F8" w:rsidP="00A67145">
      <w:pPr>
        <w:numPr>
          <w:ilvl w:val="0"/>
          <w:numId w:val="168"/>
        </w:numPr>
        <w:ind w:left="1080"/>
        <w:rPr>
          <w:rFonts w:ascii="Arial" w:hAnsi="Arial" w:cs="Arial"/>
          <w:sz w:val="16"/>
          <w:szCs w:val="16"/>
        </w:rPr>
      </w:pPr>
      <w:r w:rsidRPr="003F75F8">
        <w:rPr>
          <w:rFonts w:ascii="Arial" w:hAnsi="Arial" w:cs="Arial"/>
          <w:sz w:val="16"/>
          <w:szCs w:val="16"/>
        </w:rPr>
        <w:t>The repetition factor applied to Msg4 HARQ-ACK is used also for any PUCCH transmission before dedicated PUCCH resource is provided.</w:t>
      </w:r>
    </w:p>
    <w:p w14:paraId="49AE5C49" w14:textId="77777777" w:rsidR="003F75F8" w:rsidRPr="003F75F8" w:rsidRDefault="003F75F8" w:rsidP="00A67145">
      <w:pPr>
        <w:pStyle w:val="ListParagraph"/>
        <w:numPr>
          <w:ilvl w:val="0"/>
          <w:numId w:val="167"/>
        </w:numPr>
        <w:overflowPunct/>
        <w:autoSpaceDE/>
        <w:autoSpaceDN/>
        <w:adjustRightInd/>
        <w:spacing w:after="0"/>
        <w:contextualSpacing w:val="0"/>
        <w:textAlignment w:val="auto"/>
        <w:rPr>
          <w:rFonts w:ascii="Arial" w:hAnsi="Arial" w:cs="Arial"/>
          <w:sz w:val="16"/>
          <w:szCs w:val="16"/>
        </w:rPr>
      </w:pPr>
      <w:r w:rsidRPr="003F75F8">
        <w:rPr>
          <w:rFonts w:ascii="Arial" w:hAnsi="Arial" w:cs="Arial"/>
          <w:sz w:val="16"/>
          <w:szCs w:val="16"/>
        </w:rPr>
        <w:t>NTN-specific PUSCH DMRS bundling</w:t>
      </w:r>
    </w:p>
    <w:p w14:paraId="41173828" w14:textId="77777777" w:rsidR="003F75F8" w:rsidRPr="003F75F8" w:rsidRDefault="003F75F8" w:rsidP="003F75F8">
      <w:pPr>
        <w:pStyle w:val="ListParagraph"/>
        <w:spacing w:after="0"/>
        <w:ind w:left="0"/>
        <w:rPr>
          <w:rFonts w:ascii="Arial" w:hAnsi="Arial" w:cs="Arial"/>
          <w:sz w:val="16"/>
          <w:szCs w:val="16"/>
        </w:rPr>
      </w:pPr>
    </w:p>
    <w:p w14:paraId="32D235FE" w14:textId="77777777" w:rsidR="003F75F8" w:rsidRPr="003F75F8" w:rsidRDefault="003F75F8" w:rsidP="003F75F8">
      <w:pPr>
        <w:pStyle w:val="ListParagraph"/>
        <w:spacing w:after="0"/>
        <w:ind w:left="0"/>
        <w:rPr>
          <w:rFonts w:ascii="Arial" w:hAnsi="Arial" w:cs="Arial"/>
          <w:b/>
          <w:sz w:val="16"/>
          <w:szCs w:val="16"/>
          <w:lang w:eastAsia="en-GB"/>
        </w:rPr>
      </w:pPr>
      <w:r w:rsidRPr="003F75F8">
        <w:rPr>
          <w:rFonts w:ascii="Arial" w:hAnsi="Arial" w:cs="Arial"/>
          <w:b/>
          <w:sz w:val="16"/>
          <w:szCs w:val="16"/>
          <w:lang w:eastAsia="en-GB"/>
        </w:rPr>
        <w:t>16.14.x</w:t>
      </w:r>
      <w:r w:rsidRPr="003F75F8">
        <w:rPr>
          <w:rFonts w:ascii="Arial" w:hAnsi="Arial" w:cs="Arial"/>
          <w:b/>
          <w:sz w:val="16"/>
          <w:szCs w:val="16"/>
          <w:lang w:eastAsia="en-GB"/>
        </w:rPr>
        <w:tab/>
        <w:t>Verification of UE location</w:t>
      </w:r>
    </w:p>
    <w:p w14:paraId="456E147C" w14:textId="77777777" w:rsidR="003F75F8" w:rsidRPr="003F75F8" w:rsidRDefault="003F75F8" w:rsidP="003F75F8">
      <w:pPr>
        <w:rPr>
          <w:rFonts w:ascii="Arial" w:hAnsi="Arial" w:cs="Arial"/>
          <w:sz w:val="16"/>
          <w:szCs w:val="16"/>
          <w:lang w:eastAsia="zh-CN"/>
        </w:rPr>
      </w:pPr>
      <w:r w:rsidRPr="003F75F8">
        <w:rPr>
          <w:rFonts w:ascii="Arial" w:hAnsi="Arial" w:cs="Arial"/>
          <w:sz w:val="16"/>
          <w:szCs w:val="16"/>
          <w:lang w:eastAsia="zh-CN"/>
        </w:rPr>
        <w:t>For UE location verification based on multi-RTT with single satellite in NTN, at least the following UE and gNB measurements specified in [38.215] are reported: gNB receive-transmit time difference at the uplink time synchronization reference point, UE receive-transmit time difference, UE receive-transmit time difference subframe offset and DL timing drift.</w:t>
      </w:r>
    </w:p>
    <w:p w14:paraId="2B14B044" w14:textId="77777777" w:rsidR="003F75F8" w:rsidRPr="003F75F8" w:rsidRDefault="003F75F8" w:rsidP="003F75F8">
      <w:pPr>
        <w:rPr>
          <w:rFonts w:ascii="Arial" w:hAnsi="Arial" w:cs="Arial"/>
          <w:sz w:val="16"/>
          <w:szCs w:val="16"/>
          <w:lang w:eastAsia="zh-CN"/>
        </w:rPr>
      </w:pPr>
    </w:p>
    <w:p w14:paraId="53BAE4AA" w14:textId="77777777" w:rsidR="003F75F8" w:rsidRPr="003F75F8" w:rsidRDefault="003F75F8" w:rsidP="003F75F8">
      <w:pPr>
        <w:rPr>
          <w:rFonts w:ascii="Arial" w:hAnsi="Arial" w:cs="Arial"/>
          <w:sz w:val="16"/>
          <w:szCs w:val="16"/>
          <w:lang w:eastAsia="zh-CN"/>
        </w:rPr>
      </w:pPr>
      <w:r w:rsidRPr="003F75F8">
        <w:rPr>
          <w:rFonts w:ascii="Arial" w:hAnsi="Arial" w:cs="Arial"/>
          <w:sz w:val="16"/>
          <w:szCs w:val="16"/>
          <w:lang w:eastAsia="zh-CN"/>
        </w:rPr>
        <w:t>The assistance information reported to the CN may include ephemeris information including accurate satellite position and velocity at the time of multi-RTT measurement, and common TA parameters (ta-Common, ta-CommonDrift, ta-CommonDriftVariant, Epoch time).</w:t>
      </w:r>
    </w:p>
    <w:p w14:paraId="7B001AEF" w14:textId="77777777" w:rsidR="003F75F8" w:rsidRPr="003F75F8" w:rsidRDefault="003F75F8" w:rsidP="003F75F8">
      <w:pPr>
        <w:jc w:val="center"/>
        <w:rPr>
          <w:color w:val="FF0000"/>
          <w:lang w:eastAsia="zh-CN"/>
        </w:rPr>
      </w:pPr>
      <w:r w:rsidRPr="003F75F8">
        <w:rPr>
          <w:color w:val="FF0000"/>
          <w:lang w:eastAsia="zh-CN"/>
        </w:rPr>
        <w:t>*** Unchanged text is omitted ***</w:t>
      </w:r>
    </w:p>
    <w:p w14:paraId="46331F6E" w14:textId="77777777" w:rsidR="003F75F8" w:rsidRPr="003F75F8" w:rsidRDefault="003F75F8" w:rsidP="003F75F8">
      <w:pPr>
        <w:rPr>
          <w:color w:val="FF0000"/>
        </w:rPr>
      </w:pPr>
      <w:r w:rsidRPr="003F75F8">
        <w:rPr>
          <w:color w:val="FF0000"/>
        </w:rPr>
        <w:t>---------- TEXT PROPOSAL END ---------</w:t>
      </w:r>
    </w:p>
    <w:p w14:paraId="60B2058E" w14:textId="77777777" w:rsidR="003F75F8" w:rsidRDefault="003F75F8" w:rsidP="003F75F8">
      <w:pPr>
        <w:rPr>
          <w:lang w:eastAsia="x-none"/>
        </w:rPr>
      </w:pPr>
    </w:p>
    <w:p w14:paraId="40B64A18" w14:textId="57D17C81" w:rsidR="00BA61EF" w:rsidRPr="00BA61EF" w:rsidRDefault="005A18DC" w:rsidP="00BA61EF">
      <w:pPr>
        <w:rPr>
          <w:b/>
          <w:bCs/>
          <w:lang w:eastAsia="x-none"/>
        </w:rPr>
      </w:pPr>
      <w:hyperlink r:id="rId1705" w:history="1">
        <w:r w:rsidR="00AF7253">
          <w:rPr>
            <w:rStyle w:val="Hyperlink"/>
            <w:b/>
            <w:bCs/>
            <w:lang w:eastAsia="x-none"/>
          </w:rPr>
          <w:t>R1-2312625</w:t>
        </w:r>
      </w:hyperlink>
      <w:r w:rsidR="00BA61EF" w:rsidRPr="00BA61EF">
        <w:rPr>
          <w:b/>
          <w:bCs/>
          <w:lang w:eastAsia="x-none"/>
        </w:rPr>
        <w:tab/>
        <w:t>FLS#2 on NR-NTN TP for TS 38.300</w:t>
      </w:r>
      <w:r w:rsidR="00BA61EF" w:rsidRPr="00BA61EF">
        <w:rPr>
          <w:b/>
          <w:bCs/>
          <w:lang w:eastAsia="x-none"/>
        </w:rPr>
        <w:tab/>
        <w:t>Moderator (THALES)</w:t>
      </w:r>
    </w:p>
    <w:p w14:paraId="0A1A7762" w14:textId="3B308B95" w:rsidR="00BA61EF" w:rsidRDefault="00BA61EF" w:rsidP="00BA61EF">
      <w:pPr>
        <w:rPr>
          <w:lang w:eastAsia="x-none"/>
        </w:rPr>
      </w:pPr>
      <w:r>
        <w:rPr>
          <w:lang w:eastAsia="x-none"/>
        </w:rPr>
        <w:lastRenderedPageBreak/>
        <w:t>From Thursday session</w:t>
      </w:r>
    </w:p>
    <w:p w14:paraId="1CBEC775" w14:textId="77777777" w:rsidR="00BA61EF" w:rsidRDefault="00BA61EF" w:rsidP="00BA61EF">
      <w:pPr>
        <w:rPr>
          <w:lang w:eastAsia="x-none"/>
        </w:rPr>
      </w:pPr>
      <w:r>
        <w:rPr>
          <w:highlight w:val="green"/>
          <w:lang w:eastAsia="x-none"/>
        </w:rPr>
        <w:t>Agreement</w:t>
      </w:r>
    </w:p>
    <w:p w14:paraId="5DF699EF" w14:textId="77777777" w:rsidR="00BA61EF" w:rsidRDefault="00BA61EF" w:rsidP="00BA61EF">
      <w:pPr>
        <w:rPr>
          <w:lang w:eastAsia="x-none"/>
        </w:rPr>
      </w:pPr>
      <w:r>
        <w:rPr>
          <w:lang w:eastAsia="x-none"/>
        </w:rPr>
        <w:t>The TP below for TS38.300 is endorsed from RAN1 perspective.</w:t>
      </w:r>
    </w:p>
    <w:p w14:paraId="38CD7C77" w14:textId="0E0E3B09" w:rsidR="00BA61EF" w:rsidRPr="003F75F8" w:rsidRDefault="00BA61EF" w:rsidP="00BA61EF">
      <w:pPr>
        <w:rPr>
          <w:color w:val="FF0000"/>
        </w:rPr>
      </w:pPr>
      <w:r w:rsidRPr="003F75F8">
        <w:rPr>
          <w:color w:val="FF0000"/>
        </w:rPr>
        <w:t>---------- TEXT PROPOSAL BEGIN --------</w:t>
      </w:r>
      <w:r w:rsidR="0087678D">
        <w:rPr>
          <w:color w:val="FF0000"/>
        </w:rPr>
        <w:t>-</w:t>
      </w:r>
    </w:p>
    <w:p w14:paraId="257E1EA9" w14:textId="43603F0F" w:rsidR="00BA61EF" w:rsidRPr="00BA61EF" w:rsidRDefault="00BA61EF" w:rsidP="00BA61EF">
      <w:pPr>
        <w:rPr>
          <w:rFonts w:ascii="Arial" w:hAnsi="Arial" w:cs="Arial"/>
          <w:b/>
          <w:bCs/>
          <w:sz w:val="16"/>
          <w:szCs w:val="16"/>
          <w:lang w:eastAsia="en-GB"/>
        </w:rPr>
      </w:pPr>
      <w:r w:rsidRPr="00BA61EF">
        <w:rPr>
          <w:rFonts w:ascii="Arial" w:hAnsi="Arial" w:cs="Arial"/>
          <w:b/>
          <w:bCs/>
          <w:sz w:val="16"/>
          <w:szCs w:val="16"/>
          <w:lang w:eastAsia="en-GB"/>
        </w:rPr>
        <w:t>16.14.X</w:t>
      </w:r>
      <w:r w:rsidRPr="00BA61EF">
        <w:rPr>
          <w:rFonts w:ascii="Arial" w:hAnsi="Arial" w:cs="Arial"/>
          <w:b/>
          <w:bCs/>
          <w:sz w:val="16"/>
          <w:szCs w:val="16"/>
          <w:lang w:eastAsia="en-GB"/>
        </w:rPr>
        <w:tab/>
        <w:t>Support for NR NTN coverage enhancements</w:t>
      </w:r>
    </w:p>
    <w:p w14:paraId="51E117F0" w14:textId="77777777" w:rsidR="00BA61EF" w:rsidRPr="00BA61EF" w:rsidRDefault="00BA61EF" w:rsidP="00BA61EF">
      <w:pPr>
        <w:jc w:val="center"/>
        <w:rPr>
          <w:rFonts w:ascii="Arial" w:hAnsi="Arial" w:cs="Arial"/>
          <w:b/>
          <w:color w:val="FF0000"/>
          <w:sz w:val="16"/>
          <w:szCs w:val="16"/>
        </w:rPr>
      </w:pPr>
      <w:r w:rsidRPr="00BA61EF">
        <w:rPr>
          <w:rFonts w:ascii="Arial" w:hAnsi="Arial" w:cs="Arial"/>
          <w:b/>
          <w:color w:val="FF0000"/>
          <w:sz w:val="16"/>
          <w:szCs w:val="16"/>
        </w:rPr>
        <w:t>&lt;UNCHANGED TEXT IS OMITTED&gt;</w:t>
      </w:r>
    </w:p>
    <w:p w14:paraId="0B58B553" w14:textId="77777777" w:rsidR="00BA61EF" w:rsidRPr="00BA61EF" w:rsidRDefault="00BA61EF" w:rsidP="00A67145">
      <w:pPr>
        <w:pStyle w:val="ListParagraph"/>
        <w:numPr>
          <w:ilvl w:val="0"/>
          <w:numId w:val="212"/>
        </w:numPr>
        <w:overflowPunct/>
        <w:autoSpaceDE/>
        <w:autoSpaceDN/>
        <w:adjustRightInd/>
        <w:spacing w:after="0"/>
        <w:contextualSpacing w:val="0"/>
        <w:jc w:val="both"/>
        <w:textAlignment w:val="auto"/>
        <w:rPr>
          <w:rFonts w:ascii="Arial" w:eastAsia="Times New Roman" w:hAnsi="Arial" w:cs="Arial"/>
          <w:color w:val="000000"/>
          <w:sz w:val="16"/>
          <w:szCs w:val="16"/>
          <w:lang w:eastAsia="fr-FR"/>
        </w:rPr>
      </w:pPr>
      <w:r w:rsidRPr="00BA61EF">
        <w:rPr>
          <w:rFonts w:ascii="Arial" w:hAnsi="Arial" w:cs="Arial"/>
          <w:sz w:val="16"/>
          <w:szCs w:val="16"/>
        </w:rPr>
        <w:t xml:space="preserve">NTN-specific PUSCH DMRS bundling </w:t>
      </w:r>
      <w:r w:rsidRPr="00BA61EF">
        <w:rPr>
          <w:rFonts w:ascii="Arial" w:eastAsia="Times New Roman" w:hAnsi="Arial" w:cs="Arial"/>
          <w:color w:val="FF0000"/>
          <w:sz w:val="16"/>
          <w:szCs w:val="16"/>
          <w:u w:val="single"/>
        </w:rPr>
        <w:t>enhancement that enables DMRS bundling in presence of timing drift, whereby UE maintains phase continuity considering effects of transmission delay variation between UE and uplink time synchronization reference point to enable improved channel estimation.</w:t>
      </w:r>
    </w:p>
    <w:p w14:paraId="22EE599A" w14:textId="77777777" w:rsidR="00BA61EF" w:rsidRPr="003F75F8" w:rsidRDefault="00BA61EF" w:rsidP="00BA61EF">
      <w:pPr>
        <w:rPr>
          <w:color w:val="FF0000"/>
        </w:rPr>
      </w:pPr>
      <w:r w:rsidRPr="003F75F8">
        <w:rPr>
          <w:color w:val="FF0000"/>
        </w:rPr>
        <w:t>---------- TEXT PROPOSAL END ---------</w:t>
      </w:r>
    </w:p>
    <w:p w14:paraId="3CB22D27" w14:textId="77777777" w:rsidR="0087678D" w:rsidRDefault="0087678D" w:rsidP="0087678D">
      <w:pPr>
        <w:rPr>
          <w:lang w:val="en-US" w:eastAsia="x-none"/>
        </w:rPr>
      </w:pPr>
      <w:r w:rsidRPr="007C18C1">
        <w:rPr>
          <w:lang w:val="en-US" w:eastAsia="x-none"/>
        </w:rPr>
        <w:t>Comeback for draft LS to RAN2 with the text proposal for TS38.300 according to the above two agreements.</w:t>
      </w:r>
    </w:p>
    <w:p w14:paraId="3F95884A" w14:textId="6FD87D65" w:rsidR="001B6D78" w:rsidRDefault="005A18DC" w:rsidP="001B6D78">
      <w:pPr>
        <w:rPr>
          <w:b/>
        </w:rPr>
      </w:pPr>
      <w:hyperlink r:id="rId1706" w:history="1">
        <w:r w:rsidR="00AF7253">
          <w:rPr>
            <w:rStyle w:val="Hyperlink"/>
            <w:b/>
            <w:highlight w:val="green"/>
            <w:lang w:eastAsia="x-none"/>
          </w:rPr>
          <w:t>R1-2312669</w:t>
        </w:r>
      </w:hyperlink>
      <w:r w:rsidR="001B6D78" w:rsidRPr="007C18C1">
        <w:rPr>
          <w:b/>
          <w:lang w:eastAsia="x-none"/>
        </w:rPr>
        <w:tab/>
      </w:r>
      <w:r w:rsidR="001B6D78" w:rsidRPr="007C18C1">
        <w:rPr>
          <w:b/>
        </w:rPr>
        <w:t>TP for TS 38.300</w:t>
      </w:r>
      <w:r w:rsidR="001B6D78" w:rsidRPr="007C18C1">
        <w:rPr>
          <w:b/>
        </w:rPr>
        <w:tab/>
        <w:t>Moderator (Thales)</w:t>
      </w:r>
    </w:p>
    <w:p w14:paraId="63F80509" w14:textId="40058623" w:rsidR="007C18C1" w:rsidRDefault="007C18C1" w:rsidP="001B6D78">
      <w:pPr>
        <w:rPr>
          <w:bCs/>
        </w:rPr>
      </w:pPr>
      <w:r>
        <w:rPr>
          <w:b/>
        </w:rPr>
        <w:t>Friday decision:</w:t>
      </w:r>
      <w:r w:rsidRPr="007C18C1">
        <w:rPr>
          <w:bCs/>
        </w:rPr>
        <w:t xml:space="preserve"> The TP is endorsed.</w:t>
      </w:r>
    </w:p>
    <w:p w14:paraId="669A45D6" w14:textId="517EDF24" w:rsidR="001B6D78" w:rsidRPr="007C18C1" w:rsidRDefault="005A18DC" w:rsidP="001B6D78">
      <w:pPr>
        <w:rPr>
          <w:lang w:eastAsia="x-none"/>
        </w:rPr>
      </w:pPr>
      <w:hyperlink r:id="rId1707" w:history="1">
        <w:r w:rsidR="00AF7253">
          <w:rPr>
            <w:rStyle w:val="Hyperlink"/>
            <w:b/>
            <w:lang w:eastAsia="x-none"/>
          </w:rPr>
          <w:t>R1-2312670</w:t>
        </w:r>
      </w:hyperlink>
      <w:r w:rsidR="001B6D78" w:rsidRPr="007C18C1">
        <w:rPr>
          <w:b/>
          <w:lang w:eastAsia="x-none"/>
        </w:rPr>
        <w:tab/>
      </w:r>
      <w:r w:rsidR="001B6D78" w:rsidRPr="007C18C1">
        <w:rPr>
          <w:kern w:val="2"/>
          <w:lang w:eastAsia="zh-CN"/>
        </w:rPr>
        <w:t>LS on NR-NTN TP for TS 38.300</w:t>
      </w:r>
      <w:r w:rsidR="007C18C1" w:rsidRPr="007C18C1">
        <w:rPr>
          <w:kern w:val="2"/>
          <w:lang w:eastAsia="zh-CN"/>
        </w:rPr>
        <w:tab/>
        <w:t xml:space="preserve">(rev of </w:t>
      </w:r>
      <w:hyperlink r:id="rId1708" w:history="1">
        <w:r w:rsidR="00AF7253">
          <w:rPr>
            <w:rStyle w:val="Hyperlink"/>
            <w:kern w:val="2"/>
            <w:lang w:eastAsia="zh-CN"/>
          </w:rPr>
          <w:t>R1-2312496</w:t>
        </w:r>
      </w:hyperlink>
      <w:r w:rsidR="007C18C1" w:rsidRPr="007C18C1">
        <w:rPr>
          <w:kern w:val="2"/>
          <w:lang w:eastAsia="zh-CN"/>
        </w:rPr>
        <w:t>)</w:t>
      </w:r>
    </w:p>
    <w:p w14:paraId="79DD8C1D" w14:textId="409B3E1C" w:rsidR="001B6D78" w:rsidRDefault="007C18C1" w:rsidP="001B6D78">
      <w:pPr>
        <w:rPr>
          <w:lang w:val="en-US" w:eastAsia="x-none"/>
        </w:rPr>
      </w:pPr>
      <w:r>
        <w:rPr>
          <w:b/>
        </w:rPr>
        <w:t>Friday decision:</w:t>
      </w:r>
      <w:r w:rsidRPr="007C18C1">
        <w:rPr>
          <w:bCs/>
        </w:rPr>
        <w:t xml:space="preserve"> </w:t>
      </w:r>
      <w:r w:rsidR="001B6D78">
        <w:rPr>
          <w:lang w:val="en-US" w:eastAsia="x-none"/>
        </w:rPr>
        <w:t xml:space="preserve">The LS in </w:t>
      </w:r>
      <w:hyperlink r:id="rId1709" w:history="1">
        <w:r w:rsidR="00AF7253">
          <w:rPr>
            <w:rStyle w:val="Hyperlink"/>
            <w:lang w:val="en-US" w:eastAsia="x-none"/>
          </w:rPr>
          <w:t>R1-2312670</w:t>
        </w:r>
      </w:hyperlink>
      <w:r w:rsidR="001B6D78">
        <w:rPr>
          <w:lang w:val="en-US" w:eastAsia="x-none"/>
        </w:rPr>
        <w:t xml:space="preserve"> is endorsed</w:t>
      </w:r>
      <w:r>
        <w:rPr>
          <w:lang w:val="en-US" w:eastAsia="x-none"/>
        </w:rPr>
        <w:t xml:space="preserve">, </w:t>
      </w:r>
      <w:r w:rsidR="001B6D78">
        <w:rPr>
          <w:lang w:val="en-US" w:eastAsia="x-none"/>
        </w:rPr>
        <w:t xml:space="preserve">and will be revised to change the source to RAN1, with the attachment in </w:t>
      </w:r>
      <w:hyperlink r:id="rId1710" w:history="1">
        <w:r w:rsidR="00AF7253">
          <w:rPr>
            <w:rStyle w:val="Hyperlink"/>
            <w:lang w:val="en-US" w:eastAsia="x-none"/>
          </w:rPr>
          <w:t>R1-2312669</w:t>
        </w:r>
      </w:hyperlink>
      <w:r w:rsidR="001B6D78">
        <w:rPr>
          <w:lang w:val="en-US" w:eastAsia="x-none"/>
        </w:rPr>
        <w:t>.</w:t>
      </w:r>
    </w:p>
    <w:p w14:paraId="35E77D49" w14:textId="4FF0DD46" w:rsidR="00BA61EF" w:rsidRDefault="007C18C1" w:rsidP="00BA61EF">
      <w:pPr>
        <w:rPr>
          <w:lang w:val="en-US" w:eastAsia="x-none"/>
        </w:rPr>
      </w:pPr>
      <w:r>
        <w:rPr>
          <w:lang w:val="en-US" w:eastAsia="x-none"/>
        </w:rPr>
        <w:t xml:space="preserve">Final LS is </w:t>
      </w:r>
      <w:r w:rsidRPr="007C18C1">
        <w:rPr>
          <w:highlight w:val="green"/>
          <w:lang w:val="en-US" w:eastAsia="x-none"/>
        </w:rPr>
        <w:t xml:space="preserve">approved in </w:t>
      </w:r>
      <w:hyperlink r:id="rId1711" w:history="1">
        <w:r w:rsidR="00AF7253">
          <w:rPr>
            <w:rStyle w:val="Hyperlink"/>
            <w:highlight w:val="green"/>
            <w:lang w:val="en-US" w:eastAsia="x-none"/>
          </w:rPr>
          <w:t>R1-2312681</w:t>
        </w:r>
      </w:hyperlink>
      <w:r>
        <w:rPr>
          <w:lang w:val="en-US" w:eastAsia="x-none"/>
        </w:rPr>
        <w:t>.</w:t>
      </w:r>
    </w:p>
    <w:p w14:paraId="488636CE" w14:textId="77777777" w:rsidR="007C18C1" w:rsidRPr="001B6D78" w:rsidRDefault="007C18C1" w:rsidP="00BA61EF">
      <w:pPr>
        <w:rPr>
          <w:lang w:val="en-US" w:eastAsia="x-none"/>
        </w:rPr>
      </w:pPr>
    </w:p>
    <w:p w14:paraId="288C0070" w14:textId="77777777" w:rsidR="003F75F8" w:rsidRPr="00C56AF8" w:rsidRDefault="003F75F8" w:rsidP="003F75F8">
      <w:pPr>
        <w:rPr>
          <w:lang w:val="en-US" w:eastAsia="x-none"/>
        </w:rPr>
      </w:pPr>
      <w:r>
        <w:rPr>
          <w:lang w:val="en-US" w:eastAsia="x-none"/>
        </w:rPr>
        <w:t>-------------------------------------</w:t>
      </w:r>
    </w:p>
    <w:p w14:paraId="49E7751B" w14:textId="77777777" w:rsidR="00250C44" w:rsidRPr="009537ED" w:rsidRDefault="00250C44" w:rsidP="00250C44">
      <w:pPr>
        <w:rPr>
          <w:b/>
          <w:lang w:eastAsia="x-none"/>
        </w:rPr>
      </w:pPr>
      <w:r w:rsidRPr="009537ED">
        <w:rPr>
          <w:b/>
          <w:lang w:eastAsia="x-none"/>
        </w:rPr>
        <w:t>FR2-NTN</w:t>
      </w:r>
    </w:p>
    <w:p w14:paraId="217EDD64" w14:textId="2C6142B5" w:rsidR="00250C44" w:rsidRPr="009537ED" w:rsidRDefault="005A18DC" w:rsidP="00250C44">
      <w:pPr>
        <w:rPr>
          <w:lang w:eastAsia="x-none"/>
        </w:rPr>
      </w:pPr>
      <w:hyperlink r:id="rId1712" w:history="1">
        <w:r w:rsidR="00AF7253">
          <w:rPr>
            <w:rStyle w:val="Hyperlink"/>
            <w:lang w:eastAsia="x-none"/>
          </w:rPr>
          <w:t>R1-2310877</w:t>
        </w:r>
      </w:hyperlink>
      <w:r w:rsidR="00250C44" w:rsidRPr="009537ED">
        <w:rPr>
          <w:lang w:eastAsia="x-none"/>
        </w:rPr>
        <w:tab/>
        <w:t>Discussion on RAN1 impact to support the RAN4 work on NTN above 10GHz</w:t>
      </w:r>
      <w:r w:rsidR="00250C44" w:rsidRPr="009537ED">
        <w:rPr>
          <w:lang w:eastAsia="x-none"/>
        </w:rPr>
        <w:tab/>
        <w:t>Huawei, HiSilicon</w:t>
      </w:r>
    </w:p>
    <w:p w14:paraId="1B001BCC" w14:textId="4778AC44" w:rsidR="00250C44" w:rsidRPr="009537ED" w:rsidRDefault="005A18DC" w:rsidP="00250C44">
      <w:pPr>
        <w:rPr>
          <w:lang w:eastAsia="x-none"/>
        </w:rPr>
      </w:pPr>
      <w:hyperlink r:id="rId1713" w:history="1">
        <w:r w:rsidR="00AF7253">
          <w:rPr>
            <w:rStyle w:val="Hyperlink"/>
            <w:lang w:eastAsia="x-none"/>
          </w:rPr>
          <w:t>R1-2310917</w:t>
        </w:r>
      </w:hyperlink>
      <w:r w:rsidR="00250C44" w:rsidRPr="009537ED">
        <w:rPr>
          <w:lang w:eastAsia="x-none"/>
        </w:rPr>
        <w:tab/>
        <w:t>On RAN1 impact of NTN above 10 GHz</w:t>
      </w:r>
      <w:r w:rsidR="00250C44" w:rsidRPr="009537ED">
        <w:rPr>
          <w:lang w:eastAsia="x-none"/>
        </w:rPr>
        <w:tab/>
        <w:t>Ericsson</w:t>
      </w:r>
    </w:p>
    <w:p w14:paraId="6E372C1C" w14:textId="48CB4F33" w:rsidR="00250C44" w:rsidRPr="009537ED" w:rsidRDefault="005A18DC" w:rsidP="00250C44">
      <w:pPr>
        <w:rPr>
          <w:lang w:eastAsia="x-none"/>
        </w:rPr>
      </w:pPr>
      <w:hyperlink r:id="rId1714" w:history="1">
        <w:r w:rsidR="00AF7253">
          <w:rPr>
            <w:rStyle w:val="Hyperlink"/>
            <w:lang w:eastAsia="x-none"/>
          </w:rPr>
          <w:t>R1-2310936</w:t>
        </w:r>
      </w:hyperlink>
      <w:r w:rsidR="00250C44" w:rsidRPr="009537ED">
        <w:rPr>
          <w:lang w:eastAsia="x-none"/>
        </w:rPr>
        <w:tab/>
        <w:t>Considerations on the system parameters for FR2-NTN</w:t>
      </w:r>
      <w:r w:rsidR="00250C44" w:rsidRPr="009537ED">
        <w:rPr>
          <w:lang w:eastAsia="x-none"/>
        </w:rPr>
        <w:tab/>
        <w:t>THALES</w:t>
      </w:r>
    </w:p>
    <w:p w14:paraId="55A4278E" w14:textId="511041C9" w:rsidR="00250C44" w:rsidRPr="009537ED" w:rsidRDefault="005A18DC" w:rsidP="00250C44">
      <w:pPr>
        <w:rPr>
          <w:lang w:eastAsia="x-none"/>
        </w:rPr>
      </w:pPr>
      <w:hyperlink r:id="rId1715" w:history="1">
        <w:r w:rsidR="00AF7253">
          <w:rPr>
            <w:rStyle w:val="Hyperlink"/>
            <w:lang w:eastAsia="x-none"/>
          </w:rPr>
          <w:t>R1-2311199</w:t>
        </w:r>
      </w:hyperlink>
      <w:r w:rsidR="00250C44" w:rsidRPr="009537ED">
        <w:rPr>
          <w:lang w:eastAsia="x-none"/>
        </w:rPr>
        <w:tab/>
        <w:t>Discussion on the RAN1 related aspects for NTN above 10 GHz</w:t>
      </w:r>
      <w:r w:rsidR="00250C44" w:rsidRPr="009537ED">
        <w:rPr>
          <w:lang w:eastAsia="x-none"/>
        </w:rPr>
        <w:tab/>
        <w:t>ZTE</w:t>
      </w:r>
    </w:p>
    <w:p w14:paraId="158E5652" w14:textId="4FAB48B5" w:rsidR="00250C44" w:rsidRPr="009537ED" w:rsidRDefault="005A18DC" w:rsidP="00250C44">
      <w:pPr>
        <w:rPr>
          <w:lang w:eastAsia="x-none"/>
        </w:rPr>
      </w:pPr>
      <w:hyperlink r:id="rId1716" w:history="1">
        <w:r w:rsidR="00AF7253">
          <w:rPr>
            <w:rStyle w:val="Hyperlink"/>
            <w:lang w:eastAsia="x-none"/>
          </w:rPr>
          <w:t>R1-2311312</w:t>
        </w:r>
      </w:hyperlink>
      <w:r w:rsidR="00250C44" w:rsidRPr="009537ED">
        <w:rPr>
          <w:lang w:eastAsia="x-none"/>
        </w:rPr>
        <w:tab/>
        <w:t>Remaining issue on NTN above 10 GHz</w:t>
      </w:r>
      <w:r w:rsidR="00250C44" w:rsidRPr="009537ED">
        <w:rPr>
          <w:lang w:eastAsia="x-none"/>
        </w:rPr>
        <w:tab/>
        <w:t>CATT</w:t>
      </w:r>
    </w:p>
    <w:p w14:paraId="3D81643B" w14:textId="6B586B85" w:rsidR="00250C44" w:rsidRPr="009537ED" w:rsidRDefault="005A18DC" w:rsidP="00250C44">
      <w:pPr>
        <w:rPr>
          <w:lang w:eastAsia="x-none"/>
        </w:rPr>
      </w:pPr>
      <w:hyperlink r:id="rId1717" w:history="1">
        <w:r w:rsidR="00AF7253">
          <w:rPr>
            <w:rStyle w:val="Hyperlink"/>
            <w:lang w:eastAsia="x-none"/>
          </w:rPr>
          <w:t>R1-2311585</w:t>
        </w:r>
      </w:hyperlink>
      <w:r w:rsidR="00250C44" w:rsidRPr="009537ED">
        <w:rPr>
          <w:lang w:eastAsia="x-none"/>
        </w:rPr>
        <w:tab/>
        <w:t>Discussion on the RAN1 impact for NTN above 10GHz</w:t>
      </w:r>
      <w:r w:rsidR="00250C44" w:rsidRPr="009537ED">
        <w:rPr>
          <w:lang w:eastAsia="x-none"/>
        </w:rPr>
        <w:tab/>
        <w:t>Beijing Xiaomi Mobile Software</w:t>
      </w:r>
    </w:p>
    <w:p w14:paraId="27EEEEF2" w14:textId="159448AA" w:rsidR="00250C44" w:rsidRPr="009537ED" w:rsidRDefault="005A18DC" w:rsidP="00250C44">
      <w:pPr>
        <w:rPr>
          <w:lang w:eastAsia="x-none"/>
        </w:rPr>
      </w:pPr>
      <w:hyperlink r:id="rId1718" w:history="1">
        <w:r w:rsidR="00AF7253">
          <w:rPr>
            <w:rStyle w:val="Hyperlink"/>
            <w:lang w:eastAsia="x-none"/>
          </w:rPr>
          <w:t>R1-2311636</w:t>
        </w:r>
      </w:hyperlink>
      <w:r w:rsidR="00250C44" w:rsidRPr="009537ED">
        <w:rPr>
          <w:lang w:eastAsia="x-none"/>
        </w:rPr>
        <w:tab/>
        <w:t>Discussion on FR2-NTN for NR NTN</w:t>
      </w:r>
      <w:r w:rsidR="00250C44" w:rsidRPr="009537ED">
        <w:rPr>
          <w:lang w:eastAsia="x-none"/>
        </w:rPr>
        <w:tab/>
        <w:t>NTT DOCOMO, INC.</w:t>
      </w:r>
    </w:p>
    <w:p w14:paraId="145186A5" w14:textId="366C8CAD" w:rsidR="00250C44" w:rsidRPr="009537ED" w:rsidRDefault="005A18DC" w:rsidP="00250C44">
      <w:pPr>
        <w:rPr>
          <w:lang w:eastAsia="x-none"/>
        </w:rPr>
      </w:pPr>
      <w:hyperlink r:id="rId1719" w:history="1">
        <w:r w:rsidR="00AF7253">
          <w:rPr>
            <w:rStyle w:val="Hyperlink"/>
            <w:lang w:eastAsia="x-none"/>
          </w:rPr>
          <w:t>R1-2311700</w:t>
        </w:r>
      </w:hyperlink>
      <w:r w:rsidR="00250C44" w:rsidRPr="009537ED">
        <w:rPr>
          <w:lang w:eastAsia="x-none"/>
        </w:rPr>
        <w:tab/>
        <w:t>Discussion on NTN above 10 GHz</w:t>
      </w:r>
      <w:r w:rsidR="00250C44" w:rsidRPr="009537ED">
        <w:rPr>
          <w:lang w:eastAsia="x-none"/>
        </w:rPr>
        <w:tab/>
        <w:t>Apple</w:t>
      </w:r>
    </w:p>
    <w:p w14:paraId="16A71B6C" w14:textId="0E062E9B" w:rsidR="00250C44" w:rsidRPr="009537ED" w:rsidRDefault="005A18DC" w:rsidP="00250C44">
      <w:pPr>
        <w:rPr>
          <w:lang w:eastAsia="x-none"/>
        </w:rPr>
      </w:pPr>
      <w:hyperlink r:id="rId1720" w:history="1">
        <w:r w:rsidR="00AF7253">
          <w:rPr>
            <w:rStyle w:val="Hyperlink"/>
            <w:lang w:eastAsia="x-none"/>
          </w:rPr>
          <w:t>R1-2311772</w:t>
        </w:r>
      </w:hyperlink>
      <w:r w:rsidR="00250C44" w:rsidRPr="009537ED">
        <w:rPr>
          <w:lang w:eastAsia="x-none"/>
        </w:rPr>
        <w:tab/>
        <w:t>Discussions on RAN4 LS on FR2-NTN aspects</w:t>
      </w:r>
      <w:r w:rsidR="00250C44" w:rsidRPr="009537ED">
        <w:rPr>
          <w:lang w:eastAsia="x-none"/>
        </w:rPr>
        <w:tab/>
        <w:t>Sharp</w:t>
      </w:r>
    </w:p>
    <w:p w14:paraId="23D3A98C" w14:textId="2AC8EBC9" w:rsidR="00250C44" w:rsidRPr="009537ED" w:rsidRDefault="005A18DC" w:rsidP="00250C44">
      <w:pPr>
        <w:rPr>
          <w:lang w:eastAsia="x-none"/>
        </w:rPr>
      </w:pPr>
      <w:hyperlink r:id="rId1721" w:history="1">
        <w:r w:rsidR="00AF7253">
          <w:rPr>
            <w:rStyle w:val="Hyperlink"/>
            <w:lang w:eastAsia="x-none"/>
          </w:rPr>
          <w:t>R1-2311996</w:t>
        </w:r>
      </w:hyperlink>
      <w:r w:rsidR="00250C44" w:rsidRPr="009537ED">
        <w:rPr>
          <w:lang w:eastAsia="x-none"/>
        </w:rPr>
        <w:tab/>
        <w:t>Discussion on RAN4 LS on the system parameters for NTN above 10 GHz</w:t>
      </w:r>
      <w:r w:rsidR="00250C44" w:rsidRPr="009537ED">
        <w:rPr>
          <w:lang w:eastAsia="x-none"/>
        </w:rPr>
        <w:tab/>
        <w:t>MediaTek Inc.</w:t>
      </w:r>
    </w:p>
    <w:p w14:paraId="0DE1DC14" w14:textId="6B033447" w:rsidR="00250C44" w:rsidRPr="009537ED" w:rsidRDefault="005A18DC" w:rsidP="00250C44">
      <w:pPr>
        <w:rPr>
          <w:lang w:eastAsia="x-none"/>
        </w:rPr>
      </w:pPr>
      <w:hyperlink r:id="rId1722" w:history="1">
        <w:r w:rsidR="00AF7253">
          <w:rPr>
            <w:rStyle w:val="Hyperlink"/>
            <w:lang w:eastAsia="x-none"/>
          </w:rPr>
          <w:t>R1-2312136</w:t>
        </w:r>
      </w:hyperlink>
      <w:r w:rsidR="00250C44" w:rsidRPr="009537ED">
        <w:rPr>
          <w:lang w:eastAsia="x-none"/>
        </w:rPr>
        <w:tab/>
        <w:t>Further discussion of open issues related to NTN operation in frequency bands above 10 GHz</w:t>
      </w:r>
      <w:r w:rsidR="00250C44" w:rsidRPr="009537ED">
        <w:rPr>
          <w:lang w:eastAsia="x-none"/>
        </w:rPr>
        <w:tab/>
        <w:t>Nokia, Nokia Shanghai Bell</w:t>
      </w:r>
    </w:p>
    <w:p w14:paraId="6ABB1EAC" w14:textId="73F51EDB" w:rsidR="00250C44" w:rsidRPr="009537ED" w:rsidRDefault="005A18DC" w:rsidP="00250C44">
      <w:pPr>
        <w:rPr>
          <w:lang w:eastAsia="x-none"/>
        </w:rPr>
      </w:pPr>
      <w:hyperlink r:id="rId1723" w:history="1">
        <w:r w:rsidR="00AF7253">
          <w:rPr>
            <w:rStyle w:val="Hyperlink"/>
            <w:lang w:eastAsia="x-none"/>
          </w:rPr>
          <w:t>R1-2312247</w:t>
        </w:r>
      </w:hyperlink>
      <w:r w:rsidR="00250C44" w:rsidRPr="009537ED">
        <w:rPr>
          <w:lang w:eastAsia="x-none"/>
        </w:rPr>
        <w:tab/>
        <w:t>On RAN1 related aspects for NTN above 10 GHz</w:t>
      </w:r>
      <w:r w:rsidR="00250C44" w:rsidRPr="009537ED">
        <w:rPr>
          <w:lang w:eastAsia="x-none"/>
        </w:rPr>
        <w:tab/>
        <w:t>Mitsubishi Electric RCE</w:t>
      </w:r>
    </w:p>
    <w:p w14:paraId="255CC002" w14:textId="77777777" w:rsidR="00250C44" w:rsidRPr="009537ED" w:rsidRDefault="00250C44" w:rsidP="00250C44">
      <w:pPr>
        <w:rPr>
          <w:lang w:eastAsia="x-none"/>
        </w:rPr>
      </w:pPr>
    </w:p>
    <w:p w14:paraId="11594B4C" w14:textId="6D7EFA36" w:rsidR="002C2220" w:rsidRPr="009537ED" w:rsidRDefault="005A18DC" w:rsidP="002C2220">
      <w:pPr>
        <w:rPr>
          <w:b/>
          <w:bCs/>
          <w:lang w:eastAsia="x-none"/>
        </w:rPr>
      </w:pPr>
      <w:hyperlink r:id="rId1724" w:history="1">
        <w:r w:rsidR="00AF7253">
          <w:rPr>
            <w:rStyle w:val="Hyperlink"/>
            <w:b/>
            <w:bCs/>
            <w:lang w:eastAsia="x-none"/>
          </w:rPr>
          <w:t>R1-2312141</w:t>
        </w:r>
      </w:hyperlink>
      <w:r w:rsidR="002C2220" w:rsidRPr="009537ED">
        <w:rPr>
          <w:b/>
          <w:bCs/>
          <w:lang w:eastAsia="x-none"/>
        </w:rPr>
        <w:tab/>
        <w:t>Summary #1 for FR2-NTN</w:t>
      </w:r>
      <w:r w:rsidR="002C2220" w:rsidRPr="009537ED">
        <w:rPr>
          <w:b/>
          <w:bCs/>
          <w:lang w:eastAsia="x-none"/>
        </w:rPr>
        <w:tab/>
        <w:t>Moderator (Nokia)</w:t>
      </w:r>
    </w:p>
    <w:p w14:paraId="6EDE7FD9" w14:textId="7012E782" w:rsidR="00250C44" w:rsidRPr="009537ED" w:rsidRDefault="002C2220" w:rsidP="00250C44">
      <w:pPr>
        <w:rPr>
          <w:lang w:eastAsia="x-none"/>
        </w:rPr>
      </w:pPr>
      <w:r w:rsidRPr="009537ED">
        <w:rPr>
          <w:lang w:eastAsia="x-none"/>
        </w:rPr>
        <w:t>From Monday session</w:t>
      </w:r>
    </w:p>
    <w:p w14:paraId="68DBAD6D" w14:textId="77777777" w:rsidR="00250C44" w:rsidRPr="009537ED" w:rsidRDefault="00250C44" w:rsidP="00250C44">
      <w:pPr>
        <w:rPr>
          <w:lang w:eastAsia="x-none"/>
        </w:rPr>
      </w:pPr>
      <w:r w:rsidRPr="009537ED">
        <w:rPr>
          <w:highlight w:val="green"/>
          <w:lang w:eastAsia="x-none"/>
        </w:rPr>
        <w:t>Agreement</w:t>
      </w:r>
    </w:p>
    <w:p w14:paraId="4E9929B4" w14:textId="77777777" w:rsidR="00250C44" w:rsidRPr="009537ED" w:rsidRDefault="00250C44" w:rsidP="00250C44">
      <w:pPr>
        <w:rPr>
          <w:lang w:eastAsia="x-none"/>
        </w:rPr>
      </w:pPr>
      <w:r w:rsidRPr="009537ED">
        <w:rPr>
          <w:lang w:eastAsia="x-none"/>
        </w:rPr>
        <w:t>Confirm working assumption from RAN1#114-bis on reference SCS for K_offset and K_MAC.</w:t>
      </w:r>
    </w:p>
    <w:p w14:paraId="64E1C8F0" w14:textId="77777777" w:rsidR="00250C44" w:rsidRPr="009537ED" w:rsidRDefault="00250C44" w:rsidP="00250C44">
      <w:pPr>
        <w:rPr>
          <w:lang w:eastAsia="x-none"/>
        </w:rPr>
      </w:pPr>
    </w:p>
    <w:p w14:paraId="44E68444" w14:textId="77777777" w:rsidR="00250C44" w:rsidRPr="009537ED" w:rsidRDefault="00250C44" w:rsidP="00250C44">
      <w:pPr>
        <w:rPr>
          <w:lang w:eastAsia="x-none"/>
        </w:rPr>
      </w:pPr>
      <w:r w:rsidRPr="009537ED">
        <w:rPr>
          <w:highlight w:val="green"/>
          <w:lang w:eastAsia="x-none"/>
        </w:rPr>
        <w:t>Agreement</w:t>
      </w:r>
    </w:p>
    <w:p w14:paraId="5A6CFFD1" w14:textId="77777777" w:rsidR="00250C44" w:rsidRPr="009537ED" w:rsidRDefault="00250C44" w:rsidP="00250C44">
      <w:pPr>
        <w:rPr>
          <w:lang w:eastAsia="x-none"/>
        </w:rPr>
      </w:pPr>
      <w:r w:rsidRPr="009537ED">
        <w:rPr>
          <w:lang w:eastAsia="x-none"/>
        </w:rPr>
        <w:t>Confirm working assumption from RAN1#114-bis on the TA reporting granularity.</w:t>
      </w:r>
    </w:p>
    <w:p w14:paraId="229EC9F9" w14:textId="77777777" w:rsidR="00250C44" w:rsidRPr="009537ED" w:rsidRDefault="00250C44" w:rsidP="00250C44">
      <w:pPr>
        <w:rPr>
          <w:lang w:eastAsia="x-none"/>
        </w:rPr>
      </w:pPr>
    </w:p>
    <w:p w14:paraId="40B70F27" w14:textId="77777777" w:rsidR="00250C44" w:rsidRPr="009537ED" w:rsidRDefault="00250C44" w:rsidP="00250C44">
      <w:pPr>
        <w:rPr>
          <w:lang w:eastAsia="x-none"/>
        </w:rPr>
      </w:pPr>
      <w:r w:rsidRPr="009537ED">
        <w:rPr>
          <w:highlight w:val="green"/>
          <w:lang w:eastAsia="x-none"/>
        </w:rPr>
        <w:t>Agreement</w:t>
      </w:r>
    </w:p>
    <w:p w14:paraId="49CD1FC3" w14:textId="77777777" w:rsidR="00250C44" w:rsidRPr="009537ED" w:rsidRDefault="00250C44" w:rsidP="00250C44">
      <w:pPr>
        <w:rPr>
          <w:lang w:eastAsia="x-none"/>
        </w:rPr>
      </w:pPr>
      <w:r w:rsidRPr="009537ED">
        <w:rPr>
          <w:lang w:eastAsia="x-none"/>
        </w:rPr>
        <w:t>The working assumption for cell search procedure is replaced with the following, and confirmed:</w:t>
      </w:r>
    </w:p>
    <w:p w14:paraId="5D485873" w14:textId="77777777" w:rsidR="00250C44" w:rsidRPr="009537ED" w:rsidRDefault="00250C44" w:rsidP="00BC5BE9">
      <w:pPr>
        <w:numPr>
          <w:ilvl w:val="0"/>
          <w:numId w:val="88"/>
        </w:numPr>
        <w:rPr>
          <w:lang w:eastAsia="x-none"/>
        </w:rPr>
      </w:pPr>
      <w:r w:rsidRPr="009537ED">
        <w:rPr>
          <w:lang w:eastAsia="x-none"/>
        </w:rPr>
        <w:t>For operation in FR2-NTN, for cell search procedure, Case D and Case E in TS 38.213 are used to allow FDD operation in bands defined by FR2-NTN without any update to SSB pattern.</w:t>
      </w:r>
    </w:p>
    <w:p w14:paraId="3B762119" w14:textId="77777777" w:rsidR="00250C44" w:rsidRPr="009537ED" w:rsidRDefault="00250C44" w:rsidP="00250C44">
      <w:pPr>
        <w:rPr>
          <w:lang w:eastAsia="x-none"/>
        </w:rPr>
      </w:pPr>
    </w:p>
    <w:p w14:paraId="02E68BF5" w14:textId="77777777" w:rsidR="00250C44" w:rsidRPr="009537ED" w:rsidRDefault="00250C44" w:rsidP="00250C44">
      <w:pPr>
        <w:rPr>
          <w:lang w:eastAsia="x-none"/>
        </w:rPr>
      </w:pPr>
    </w:p>
    <w:p w14:paraId="6687CEFA" w14:textId="18D4A3A2" w:rsidR="002C2220" w:rsidRPr="00EA4087" w:rsidRDefault="005A18DC" w:rsidP="002C2220">
      <w:pPr>
        <w:rPr>
          <w:b/>
          <w:bCs/>
          <w:lang w:eastAsia="x-none"/>
        </w:rPr>
      </w:pPr>
      <w:hyperlink r:id="rId1725" w:history="1">
        <w:r w:rsidR="00AF7253">
          <w:rPr>
            <w:rStyle w:val="Hyperlink"/>
            <w:b/>
            <w:bCs/>
            <w:lang w:eastAsia="x-none"/>
          </w:rPr>
          <w:t>R1-2312142</w:t>
        </w:r>
      </w:hyperlink>
      <w:r w:rsidR="002C2220" w:rsidRPr="00EA4087">
        <w:rPr>
          <w:b/>
          <w:bCs/>
          <w:lang w:eastAsia="x-none"/>
        </w:rPr>
        <w:tab/>
        <w:t>Summary #2 for FR2-NTN</w:t>
      </w:r>
      <w:r w:rsidR="002C2220" w:rsidRPr="00EA4087">
        <w:rPr>
          <w:b/>
          <w:bCs/>
          <w:lang w:eastAsia="x-none"/>
        </w:rPr>
        <w:tab/>
        <w:t>Moderator (Nokia)</w:t>
      </w:r>
    </w:p>
    <w:p w14:paraId="01BEAD61" w14:textId="21948504" w:rsidR="00250C44" w:rsidRDefault="00EA4087" w:rsidP="00250C44">
      <w:pPr>
        <w:rPr>
          <w:lang w:eastAsia="x-none"/>
        </w:rPr>
      </w:pPr>
      <w:r>
        <w:rPr>
          <w:lang w:eastAsia="x-none"/>
        </w:rPr>
        <w:t>From Wednesday session</w:t>
      </w:r>
    </w:p>
    <w:p w14:paraId="2C4E2D02" w14:textId="77777777" w:rsidR="00EA4087" w:rsidRDefault="00EA4087" w:rsidP="00EA4087">
      <w:r>
        <w:rPr>
          <w:highlight w:val="green"/>
        </w:rPr>
        <w:t>Agreement</w:t>
      </w:r>
    </w:p>
    <w:p w14:paraId="4E216604" w14:textId="77777777" w:rsidR="00EA4087" w:rsidRDefault="00EA4087" w:rsidP="00EA4087">
      <w:r>
        <w:t>Confirm the working assumption from RAN1#114-bis on the PRACH configuration.</w:t>
      </w:r>
    </w:p>
    <w:p w14:paraId="07B3B602" w14:textId="77777777" w:rsidR="00EA4087" w:rsidRPr="00EA4087" w:rsidRDefault="00EA4087" w:rsidP="00EA4087">
      <w:pPr>
        <w:ind w:left="720"/>
        <w:rPr>
          <w:color w:val="FFFFFF"/>
          <w:sz w:val="18"/>
          <w:szCs w:val="18"/>
        </w:rPr>
      </w:pPr>
      <w:r w:rsidRPr="00EA4087">
        <w:rPr>
          <w:color w:val="FFFFFF"/>
          <w:sz w:val="18"/>
          <w:szCs w:val="18"/>
          <w:highlight w:val="darkYellow"/>
        </w:rPr>
        <w:t>Working assumption</w:t>
      </w:r>
    </w:p>
    <w:p w14:paraId="145A2C4B" w14:textId="77777777" w:rsidR="00EA4087" w:rsidRPr="00EA4087" w:rsidRDefault="00EA4087" w:rsidP="00EA4087">
      <w:pPr>
        <w:ind w:left="720"/>
        <w:rPr>
          <w:sz w:val="18"/>
          <w:szCs w:val="18"/>
        </w:rPr>
      </w:pPr>
      <w:r w:rsidRPr="00EA4087">
        <w:rPr>
          <w:sz w:val="18"/>
          <w:szCs w:val="18"/>
        </w:rPr>
        <w:t>For PRACH configuration for operation in FR2-NTN, Table 6.3.3.2-4 of TS 38.211 is used as baseline.</w:t>
      </w:r>
    </w:p>
    <w:p w14:paraId="6261EA3F" w14:textId="77777777" w:rsidR="00EA4087" w:rsidRPr="00EA4087" w:rsidRDefault="00EA4087" w:rsidP="00EA4087">
      <w:pPr>
        <w:ind w:left="720"/>
        <w:rPr>
          <w:sz w:val="18"/>
          <w:szCs w:val="18"/>
        </w:rPr>
      </w:pPr>
      <w:r w:rsidRPr="00EA4087">
        <w:rPr>
          <w:sz w:val="18"/>
          <w:szCs w:val="18"/>
        </w:rPr>
        <w:t>FFS: Whether further modifications to the PRACH configuration Table would be needed</w:t>
      </w:r>
    </w:p>
    <w:p w14:paraId="646F58BC" w14:textId="77777777" w:rsidR="00EA4087" w:rsidRDefault="00EA4087" w:rsidP="00EA4087"/>
    <w:p w14:paraId="1EAC0C86" w14:textId="77777777" w:rsidR="00EA4087" w:rsidRDefault="00EA4087" w:rsidP="00EA4087">
      <w:r>
        <w:rPr>
          <w:highlight w:val="green"/>
        </w:rPr>
        <w:t>Agreement</w:t>
      </w:r>
    </w:p>
    <w:p w14:paraId="49693D8E" w14:textId="77777777" w:rsidR="00EA4087" w:rsidRDefault="00EA4087" w:rsidP="00EA4087">
      <w:pPr>
        <w:rPr>
          <w:szCs w:val="20"/>
        </w:rPr>
      </w:pPr>
      <w:r>
        <w:rPr>
          <w:szCs w:val="20"/>
        </w:rPr>
        <w:t>Create an LS response for RAN4 with the following text, and copy the relevant RAN1 agreements and conclusions made for FR2-NTN in the LS:</w:t>
      </w:r>
    </w:p>
    <w:p w14:paraId="6229B137" w14:textId="77777777" w:rsidR="00EA4087" w:rsidRPr="00EA4087" w:rsidRDefault="00EA4087" w:rsidP="00EA4087">
      <w:pPr>
        <w:ind w:left="720"/>
        <w:rPr>
          <w:b/>
          <w:bCs/>
          <w:sz w:val="18"/>
          <w:szCs w:val="18"/>
        </w:rPr>
      </w:pPr>
      <w:r w:rsidRPr="00EA4087">
        <w:rPr>
          <w:b/>
          <w:bCs/>
          <w:sz w:val="18"/>
          <w:szCs w:val="18"/>
        </w:rPr>
        <w:t>Overall description</w:t>
      </w:r>
    </w:p>
    <w:p w14:paraId="7480651E" w14:textId="013D8C08" w:rsidR="00EA4087" w:rsidRPr="00EA4087" w:rsidRDefault="00EA4087" w:rsidP="00EA4087">
      <w:pPr>
        <w:ind w:left="720"/>
        <w:rPr>
          <w:sz w:val="18"/>
          <w:szCs w:val="18"/>
        </w:rPr>
      </w:pPr>
      <w:r w:rsidRPr="00EA4087">
        <w:rPr>
          <w:sz w:val="18"/>
          <w:szCs w:val="18"/>
        </w:rPr>
        <w:t>RAN1 would like to thank RAN4 for their LS R4-2305926 (</w:t>
      </w:r>
      <w:hyperlink r:id="rId1726" w:history="1">
        <w:r w:rsidR="00AF7253">
          <w:rPr>
            <w:rStyle w:val="Hyperlink"/>
            <w:sz w:val="18"/>
            <w:szCs w:val="18"/>
          </w:rPr>
          <w:t>R1-2304309</w:t>
        </w:r>
      </w:hyperlink>
      <w:r w:rsidRPr="00EA4087">
        <w:rPr>
          <w:sz w:val="18"/>
          <w:szCs w:val="18"/>
        </w:rPr>
        <w:t>) on the operation of NR over NTN in frequency bands above 10 GHz.</w:t>
      </w:r>
    </w:p>
    <w:p w14:paraId="7CB41D71" w14:textId="77777777" w:rsidR="00EA4087" w:rsidRPr="00EA4087" w:rsidRDefault="00EA4087" w:rsidP="00EA4087">
      <w:pPr>
        <w:ind w:left="720"/>
        <w:rPr>
          <w:sz w:val="18"/>
          <w:szCs w:val="18"/>
        </w:rPr>
      </w:pPr>
      <w:r w:rsidRPr="00EA4087">
        <w:rPr>
          <w:sz w:val="18"/>
          <w:szCs w:val="18"/>
        </w:rPr>
        <w:lastRenderedPageBreak/>
        <w:t>RAN1 have had discussion on the topic over the past meetings and have reached a number of agreements, but some topics are still under consideration. The topics still under consideration are mainly related to the timing requirements associated to operation in bands defined by FR2-NTN. To help RAN1 progressing on the topic, it would be appreciated if RAN4 could provide the timing requirements for supporting NR over NTN in bands defined by FR2-NTN.</w:t>
      </w:r>
    </w:p>
    <w:p w14:paraId="24DA6779" w14:textId="77777777" w:rsidR="00EA4087" w:rsidRPr="00EA4087" w:rsidRDefault="00EA4087" w:rsidP="00EA4087">
      <w:pPr>
        <w:ind w:left="720"/>
        <w:rPr>
          <w:sz w:val="18"/>
          <w:szCs w:val="18"/>
        </w:rPr>
      </w:pPr>
    </w:p>
    <w:p w14:paraId="69C04454" w14:textId="77777777" w:rsidR="00EA4087" w:rsidRPr="00EA4087" w:rsidRDefault="00EA4087" w:rsidP="00EA4087">
      <w:pPr>
        <w:ind w:left="720"/>
        <w:rPr>
          <w:b/>
          <w:bCs/>
          <w:sz w:val="18"/>
          <w:szCs w:val="18"/>
        </w:rPr>
      </w:pPr>
      <w:r w:rsidRPr="00EA4087">
        <w:rPr>
          <w:b/>
          <w:bCs/>
          <w:sz w:val="18"/>
          <w:szCs w:val="18"/>
        </w:rPr>
        <w:t>Actions:</w:t>
      </w:r>
    </w:p>
    <w:p w14:paraId="100A2D46" w14:textId="77777777" w:rsidR="00EA4087" w:rsidRPr="00EA4087" w:rsidRDefault="00EA4087" w:rsidP="00EA4087">
      <w:pPr>
        <w:ind w:left="720"/>
        <w:rPr>
          <w:sz w:val="18"/>
          <w:szCs w:val="18"/>
        </w:rPr>
      </w:pPr>
      <w:r w:rsidRPr="00EA4087">
        <w:rPr>
          <w:sz w:val="18"/>
          <w:szCs w:val="18"/>
        </w:rPr>
        <w:t>RAN1 respectfully asks RAN4 to provide a response to the above question in order to aid the RAN1 discussions related to timing accuracy requirements.</w:t>
      </w:r>
    </w:p>
    <w:p w14:paraId="71779957" w14:textId="77777777" w:rsidR="00EA4087" w:rsidRDefault="00EA4087" w:rsidP="00EA4087"/>
    <w:p w14:paraId="14428051" w14:textId="35FE50F4" w:rsidR="00EA4087" w:rsidRPr="0087678D" w:rsidRDefault="00EA4087" w:rsidP="00EA4087">
      <w:r w:rsidRPr="0087678D">
        <w:t>Final LS in</w:t>
      </w:r>
      <w:r w:rsidR="0087678D" w:rsidRPr="0087678D">
        <w:t>:</w:t>
      </w:r>
    </w:p>
    <w:p w14:paraId="62071D89" w14:textId="7825F29D" w:rsidR="0087678D" w:rsidRPr="0087678D" w:rsidRDefault="005A18DC" w:rsidP="0087678D">
      <w:pPr>
        <w:rPr>
          <w:b/>
          <w:bCs/>
          <w:lang w:eastAsia="x-none"/>
        </w:rPr>
      </w:pPr>
      <w:hyperlink r:id="rId1727" w:history="1">
        <w:r w:rsidR="00AF7253">
          <w:rPr>
            <w:rStyle w:val="Hyperlink"/>
            <w:b/>
            <w:bCs/>
            <w:highlight w:val="green"/>
            <w:lang w:eastAsia="x-none"/>
          </w:rPr>
          <w:t>R1-2312553</w:t>
        </w:r>
      </w:hyperlink>
      <w:r w:rsidR="0087678D" w:rsidRPr="0087678D">
        <w:rPr>
          <w:b/>
          <w:bCs/>
          <w:lang w:eastAsia="x-none"/>
        </w:rPr>
        <w:tab/>
        <w:t>Response on LS on the system parameters for NTN above 10 GHz</w:t>
      </w:r>
      <w:r w:rsidR="0087678D" w:rsidRPr="0087678D">
        <w:rPr>
          <w:b/>
          <w:bCs/>
          <w:lang w:eastAsia="x-none"/>
        </w:rPr>
        <w:tab/>
        <w:t>RAN1, Nokia</w:t>
      </w:r>
    </w:p>
    <w:p w14:paraId="2BFCECE1" w14:textId="5121ECDA" w:rsidR="00EA4087" w:rsidRPr="009537ED" w:rsidRDefault="0087678D" w:rsidP="00EA4087">
      <w:pPr>
        <w:rPr>
          <w:lang w:eastAsia="x-none"/>
        </w:rPr>
      </w:pPr>
      <w:r w:rsidRPr="0087678D">
        <w:rPr>
          <w:b/>
          <w:bCs/>
          <w:lang w:eastAsia="x-none"/>
        </w:rPr>
        <w:t>Thursday decision:</w:t>
      </w:r>
      <w:r w:rsidRPr="0087678D">
        <w:rPr>
          <w:lang w:eastAsia="x-none"/>
        </w:rPr>
        <w:t xml:space="preserve"> The LS is approved.</w:t>
      </w:r>
    </w:p>
    <w:p w14:paraId="6F875391" w14:textId="77777777" w:rsidR="002C2220" w:rsidRPr="009537ED" w:rsidRDefault="002C2220" w:rsidP="00EA4087">
      <w:pPr>
        <w:rPr>
          <w:lang w:eastAsia="x-none"/>
        </w:rPr>
      </w:pPr>
    </w:p>
    <w:p w14:paraId="3DF12E67" w14:textId="77777777" w:rsidR="00EA4087" w:rsidRPr="00C56AF8" w:rsidRDefault="00EA4087" w:rsidP="00EA4087">
      <w:pPr>
        <w:rPr>
          <w:lang w:val="en-US" w:eastAsia="x-none"/>
        </w:rPr>
      </w:pPr>
      <w:r>
        <w:rPr>
          <w:lang w:val="en-US" w:eastAsia="x-none"/>
        </w:rPr>
        <w:t>-------------------------------------</w:t>
      </w:r>
    </w:p>
    <w:p w14:paraId="48A0C9EA" w14:textId="314FBE15" w:rsidR="002C2220" w:rsidRPr="009537ED" w:rsidRDefault="002C2220" w:rsidP="00250C44">
      <w:pPr>
        <w:rPr>
          <w:lang w:eastAsia="x-none"/>
        </w:rPr>
      </w:pPr>
      <w:r w:rsidRPr="009537ED">
        <w:rPr>
          <w:lang w:eastAsia="x-none"/>
        </w:rPr>
        <w:t>From AI 5</w:t>
      </w:r>
    </w:p>
    <w:p w14:paraId="0B0E1F3C" w14:textId="77777777" w:rsidR="00250C44" w:rsidRPr="009537ED" w:rsidRDefault="00250C44" w:rsidP="00250C44">
      <w:pPr>
        <w:rPr>
          <w:b/>
          <w:lang w:eastAsia="x-none"/>
        </w:rPr>
      </w:pPr>
      <w:r w:rsidRPr="009537ED">
        <w:rPr>
          <w:b/>
          <w:lang w:eastAsia="x-none"/>
        </w:rPr>
        <w:t>RACH-less handover in NR NTN</w:t>
      </w:r>
    </w:p>
    <w:p w14:paraId="6460E266" w14:textId="4D6604E6" w:rsidR="002C2220" w:rsidRPr="009537ED" w:rsidRDefault="002C2220" w:rsidP="002C2220">
      <w:pPr>
        <w:rPr>
          <w:b/>
          <w:lang w:eastAsia="x-none"/>
        </w:rPr>
      </w:pPr>
      <w:r w:rsidRPr="009537ED">
        <w:rPr>
          <w:b/>
          <w:lang w:eastAsia="x-none"/>
        </w:rPr>
        <w:t>Follow up discussion on</w:t>
      </w:r>
      <w:r w:rsidRPr="009537ED">
        <w:rPr>
          <w:b/>
        </w:rPr>
        <w:t xml:space="preserve"> </w:t>
      </w:r>
      <w:hyperlink r:id="rId1728" w:history="1">
        <w:r w:rsidR="00AF7253">
          <w:rPr>
            <w:rStyle w:val="Hyperlink"/>
            <w:b/>
          </w:rPr>
          <w:t>R1-2308910</w:t>
        </w:r>
      </w:hyperlink>
      <w:r w:rsidRPr="009537ED">
        <w:rPr>
          <w:b/>
          <w:lang w:eastAsia="x-none"/>
        </w:rPr>
        <w:t xml:space="preserve"> from RAN1#114</w:t>
      </w:r>
    </w:p>
    <w:p w14:paraId="73DA57DD" w14:textId="1CFC8F99" w:rsidR="002C2220" w:rsidRPr="009537ED" w:rsidRDefault="005A18DC" w:rsidP="002C2220">
      <w:pPr>
        <w:rPr>
          <w:lang w:eastAsia="x-none"/>
        </w:rPr>
      </w:pPr>
      <w:hyperlink r:id="rId1729" w:history="1">
        <w:r w:rsidR="00AF7253">
          <w:rPr>
            <w:rStyle w:val="Hyperlink"/>
            <w:lang w:eastAsia="x-none"/>
          </w:rPr>
          <w:t>R1-2310876</w:t>
        </w:r>
      </w:hyperlink>
      <w:r w:rsidR="002C2220" w:rsidRPr="009537ED">
        <w:rPr>
          <w:lang w:eastAsia="x-none"/>
        </w:rPr>
        <w:tab/>
        <w:t>Further discussion on LS for RACH-less handover</w:t>
      </w:r>
      <w:r w:rsidR="002C2220" w:rsidRPr="009537ED">
        <w:rPr>
          <w:lang w:eastAsia="x-none"/>
        </w:rPr>
        <w:tab/>
        <w:t>Huawei, HiSilicon</w:t>
      </w:r>
    </w:p>
    <w:p w14:paraId="1A69C04F" w14:textId="6FE37BFB" w:rsidR="002C2220" w:rsidRPr="009537ED" w:rsidRDefault="005A18DC" w:rsidP="002C2220">
      <w:pPr>
        <w:rPr>
          <w:lang w:eastAsia="x-none"/>
        </w:rPr>
      </w:pPr>
      <w:hyperlink r:id="rId1730" w:history="1">
        <w:r w:rsidR="00AF7253">
          <w:rPr>
            <w:rStyle w:val="Hyperlink"/>
            <w:lang w:eastAsia="x-none"/>
          </w:rPr>
          <w:t>R1-2311064</w:t>
        </w:r>
      </w:hyperlink>
      <w:r w:rsidR="002C2220" w:rsidRPr="009537ED">
        <w:rPr>
          <w:lang w:eastAsia="x-none"/>
        </w:rPr>
        <w:tab/>
        <w:t>Discussions on RAN2 LS on RACH-less Handover</w:t>
      </w:r>
      <w:r w:rsidR="002C2220" w:rsidRPr="009537ED">
        <w:rPr>
          <w:lang w:eastAsia="x-none"/>
        </w:rPr>
        <w:tab/>
        <w:t>vivo</w:t>
      </w:r>
    </w:p>
    <w:p w14:paraId="66035676" w14:textId="6A74960C" w:rsidR="002C2220" w:rsidRPr="009537ED" w:rsidRDefault="005A18DC" w:rsidP="002C2220">
      <w:pPr>
        <w:rPr>
          <w:lang w:eastAsia="x-none"/>
        </w:rPr>
      </w:pPr>
      <w:hyperlink r:id="rId1731" w:history="1">
        <w:r w:rsidR="00AF7253">
          <w:rPr>
            <w:rStyle w:val="Hyperlink"/>
            <w:lang w:eastAsia="x-none"/>
          </w:rPr>
          <w:t>R1-2311211</w:t>
        </w:r>
      </w:hyperlink>
      <w:r w:rsidR="002C2220" w:rsidRPr="009537ED">
        <w:rPr>
          <w:lang w:eastAsia="x-none"/>
        </w:rPr>
        <w:tab/>
        <w:t>Discussion on RAN2 LS on RACH-less Handover</w:t>
      </w:r>
      <w:r w:rsidR="002C2220" w:rsidRPr="009537ED">
        <w:rPr>
          <w:lang w:eastAsia="x-none"/>
        </w:rPr>
        <w:tab/>
        <w:t>ZTE</w:t>
      </w:r>
    </w:p>
    <w:p w14:paraId="2918DCD0" w14:textId="18A25376" w:rsidR="002C2220" w:rsidRPr="009537ED" w:rsidRDefault="005A18DC" w:rsidP="002C2220">
      <w:pPr>
        <w:rPr>
          <w:lang w:eastAsia="x-none"/>
        </w:rPr>
      </w:pPr>
      <w:hyperlink r:id="rId1732" w:history="1">
        <w:r w:rsidR="00AF7253">
          <w:rPr>
            <w:rStyle w:val="Hyperlink"/>
            <w:lang w:eastAsia="x-none"/>
          </w:rPr>
          <w:t>R1-2311249</w:t>
        </w:r>
      </w:hyperlink>
      <w:r w:rsidR="002C2220" w:rsidRPr="009537ED">
        <w:rPr>
          <w:lang w:eastAsia="x-none"/>
        </w:rPr>
        <w:tab/>
        <w:t>Discussion on remaining issue for RACH less handover for NR NTN</w:t>
      </w:r>
      <w:r w:rsidR="002C2220" w:rsidRPr="009537ED">
        <w:rPr>
          <w:lang w:eastAsia="x-none"/>
        </w:rPr>
        <w:tab/>
        <w:t>OPPO</w:t>
      </w:r>
    </w:p>
    <w:p w14:paraId="39DBD946" w14:textId="24726DEE" w:rsidR="002C2220" w:rsidRPr="009537ED" w:rsidRDefault="005A18DC" w:rsidP="002C2220">
      <w:pPr>
        <w:rPr>
          <w:lang w:eastAsia="x-none"/>
        </w:rPr>
      </w:pPr>
      <w:hyperlink r:id="rId1733" w:history="1">
        <w:r w:rsidR="00AF7253">
          <w:rPr>
            <w:rStyle w:val="Hyperlink"/>
            <w:lang w:eastAsia="x-none"/>
          </w:rPr>
          <w:t>R1-2311281</w:t>
        </w:r>
      </w:hyperlink>
      <w:r w:rsidR="002C2220" w:rsidRPr="009537ED">
        <w:rPr>
          <w:lang w:eastAsia="x-none"/>
        </w:rPr>
        <w:tab/>
        <w:t>Discussion on RAN2 LS on RACH-less handover</w:t>
      </w:r>
      <w:r w:rsidR="002C2220" w:rsidRPr="009537ED">
        <w:rPr>
          <w:lang w:eastAsia="x-none"/>
        </w:rPr>
        <w:tab/>
        <w:t>Ericsson</w:t>
      </w:r>
    </w:p>
    <w:p w14:paraId="422B37BC" w14:textId="377B2905" w:rsidR="002C2220" w:rsidRPr="009537ED" w:rsidRDefault="005A18DC" w:rsidP="002C2220">
      <w:pPr>
        <w:rPr>
          <w:lang w:eastAsia="x-none"/>
        </w:rPr>
      </w:pPr>
      <w:hyperlink r:id="rId1734" w:history="1">
        <w:r w:rsidR="00AF7253">
          <w:rPr>
            <w:rStyle w:val="Hyperlink"/>
            <w:lang w:eastAsia="x-none"/>
          </w:rPr>
          <w:t>R1-2311664</w:t>
        </w:r>
      </w:hyperlink>
      <w:r w:rsidR="002C2220" w:rsidRPr="009537ED">
        <w:rPr>
          <w:lang w:eastAsia="x-none"/>
        </w:rPr>
        <w:tab/>
        <w:t>Discussion on RAN2 LS on RACH-less Handover</w:t>
      </w:r>
      <w:r w:rsidR="002C2220" w:rsidRPr="009537ED">
        <w:rPr>
          <w:lang w:eastAsia="x-none"/>
        </w:rPr>
        <w:tab/>
        <w:t>Apple</w:t>
      </w:r>
    </w:p>
    <w:p w14:paraId="0F05F0F4" w14:textId="7304310D" w:rsidR="002C2220" w:rsidRPr="009537ED" w:rsidRDefault="005A18DC" w:rsidP="002C2220">
      <w:pPr>
        <w:rPr>
          <w:lang w:eastAsia="x-none"/>
        </w:rPr>
      </w:pPr>
      <w:hyperlink r:id="rId1735" w:history="1">
        <w:r w:rsidR="00AF7253">
          <w:rPr>
            <w:rStyle w:val="Hyperlink"/>
            <w:lang w:eastAsia="x-none"/>
          </w:rPr>
          <w:t>R1-2311805</w:t>
        </w:r>
      </w:hyperlink>
      <w:r w:rsidR="002C2220" w:rsidRPr="009537ED">
        <w:rPr>
          <w:lang w:eastAsia="x-none"/>
        </w:rPr>
        <w:tab/>
        <w:t>Discussion on RAN2 LS on RACH-less handover</w:t>
      </w:r>
      <w:r w:rsidR="002C2220" w:rsidRPr="009537ED">
        <w:rPr>
          <w:lang w:eastAsia="x-none"/>
        </w:rPr>
        <w:tab/>
        <w:t>Samsung</w:t>
      </w:r>
    </w:p>
    <w:p w14:paraId="71F98951" w14:textId="697D580D" w:rsidR="002C2220" w:rsidRPr="009537ED" w:rsidRDefault="005A18DC" w:rsidP="002C2220">
      <w:pPr>
        <w:rPr>
          <w:lang w:eastAsia="x-none"/>
        </w:rPr>
      </w:pPr>
      <w:hyperlink r:id="rId1736" w:history="1">
        <w:r w:rsidR="00AF7253">
          <w:rPr>
            <w:rStyle w:val="Hyperlink"/>
            <w:lang w:eastAsia="x-none"/>
          </w:rPr>
          <w:t>R1-2312176</w:t>
        </w:r>
      </w:hyperlink>
      <w:r w:rsidR="002C2220" w:rsidRPr="009537ED">
        <w:rPr>
          <w:lang w:eastAsia="x-none"/>
        </w:rPr>
        <w:tab/>
        <w:t>Discussions on RAN2 LS on RACH-less Handover</w:t>
      </w:r>
      <w:r w:rsidR="002C2220" w:rsidRPr="009537ED">
        <w:rPr>
          <w:lang w:eastAsia="x-none"/>
        </w:rPr>
        <w:tab/>
        <w:t>CATT</w:t>
      </w:r>
    </w:p>
    <w:p w14:paraId="22F91361" w14:textId="0F7BC19B" w:rsidR="002C2220" w:rsidRPr="009537ED" w:rsidRDefault="005A18DC" w:rsidP="002C2220">
      <w:pPr>
        <w:rPr>
          <w:lang w:eastAsia="x-none"/>
        </w:rPr>
      </w:pPr>
      <w:hyperlink r:id="rId1737" w:history="1">
        <w:r w:rsidR="00AF7253">
          <w:rPr>
            <w:rStyle w:val="Hyperlink"/>
            <w:lang w:eastAsia="x-none"/>
          </w:rPr>
          <w:t>R1-2311429</w:t>
        </w:r>
      </w:hyperlink>
      <w:r w:rsidR="002C2220" w:rsidRPr="009537ED">
        <w:rPr>
          <w:lang w:eastAsia="x-none"/>
        </w:rPr>
        <w:tab/>
        <w:t>Power control for RACH-less handover in NR NTN</w:t>
      </w:r>
      <w:r w:rsidR="002C2220" w:rsidRPr="009537ED">
        <w:rPr>
          <w:lang w:eastAsia="x-none"/>
        </w:rPr>
        <w:tab/>
        <w:t>NEC</w:t>
      </w:r>
    </w:p>
    <w:p w14:paraId="7096DD36" w14:textId="493E9879" w:rsidR="002C2220" w:rsidRPr="009537ED" w:rsidRDefault="005A18DC" w:rsidP="002C2220">
      <w:pPr>
        <w:rPr>
          <w:lang w:eastAsia="x-none"/>
        </w:rPr>
      </w:pPr>
      <w:hyperlink r:id="rId1738" w:history="1">
        <w:r w:rsidR="00AF7253">
          <w:rPr>
            <w:rStyle w:val="Hyperlink"/>
            <w:lang w:eastAsia="x-none"/>
          </w:rPr>
          <w:t>R1-2312051</w:t>
        </w:r>
      </w:hyperlink>
      <w:r w:rsidR="002C2220" w:rsidRPr="009537ED">
        <w:rPr>
          <w:lang w:eastAsia="x-none"/>
        </w:rPr>
        <w:tab/>
        <w:t>On RACH-less handover in NR NTN</w:t>
      </w:r>
      <w:r w:rsidR="002C2220" w:rsidRPr="009537ED">
        <w:rPr>
          <w:lang w:eastAsia="x-none"/>
        </w:rPr>
        <w:tab/>
        <w:t>Qualcomm Incorporated</w:t>
      </w:r>
    </w:p>
    <w:p w14:paraId="62B20F06" w14:textId="77777777" w:rsidR="002C2220" w:rsidRPr="009537ED" w:rsidRDefault="002C2220" w:rsidP="002C2220">
      <w:pPr>
        <w:rPr>
          <w:lang w:eastAsia="x-none"/>
        </w:rPr>
      </w:pPr>
    </w:p>
    <w:p w14:paraId="22204BA8" w14:textId="5A332D11" w:rsidR="00250C44" w:rsidRPr="00EA4087" w:rsidRDefault="005A18DC" w:rsidP="00F74A6F">
      <w:pPr>
        <w:rPr>
          <w:b/>
          <w:bCs/>
          <w:lang w:eastAsia="x-none"/>
        </w:rPr>
      </w:pPr>
      <w:hyperlink r:id="rId1739" w:history="1">
        <w:r w:rsidR="00AF7253">
          <w:rPr>
            <w:rStyle w:val="Hyperlink"/>
            <w:b/>
            <w:bCs/>
            <w:lang w:eastAsia="x-none"/>
          </w:rPr>
          <w:t>R1-2312377</w:t>
        </w:r>
      </w:hyperlink>
      <w:r w:rsidR="002C2220" w:rsidRPr="00EA4087">
        <w:rPr>
          <w:b/>
          <w:bCs/>
          <w:lang w:eastAsia="x-none"/>
        </w:rPr>
        <w:tab/>
        <w:t>Summary of discussion on remaining issues for RACH-less handover</w:t>
      </w:r>
      <w:r w:rsidR="002C2220" w:rsidRPr="00EA4087">
        <w:rPr>
          <w:b/>
          <w:bCs/>
          <w:lang w:eastAsia="x-none"/>
        </w:rPr>
        <w:tab/>
        <w:t>Moderator (Samsung)</w:t>
      </w:r>
    </w:p>
    <w:p w14:paraId="02E61E1F" w14:textId="77777777" w:rsidR="00EA4087" w:rsidRDefault="00EA4087" w:rsidP="00EA4087">
      <w:pPr>
        <w:rPr>
          <w:lang w:eastAsia="x-none"/>
        </w:rPr>
      </w:pPr>
      <w:r>
        <w:rPr>
          <w:lang w:eastAsia="x-none"/>
        </w:rPr>
        <w:t>From Wednesday session</w:t>
      </w:r>
    </w:p>
    <w:p w14:paraId="4B4426AE" w14:textId="77777777" w:rsidR="00EA4087" w:rsidRDefault="00EA4087" w:rsidP="00EA4087">
      <w:pPr>
        <w:rPr>
          <w:highlight w:val="green"/>
        </w:rPr>
      </w:pPr>
      <w:r>
        <w:rPr>
          <w:highlight w:val="green"/>
        </w:rPr>
        <w:t>Agreement</w:t>
      </w:r>
    </w:p>
    <w:p w14:paraId="108CCB76" w14:textId="7752A537" w:rsidR="00EA4087" w:rsidRDefault="00EA4087" w:rsidP="00EA4087">
      <w:r>
        <w:t xml:space="preserve">The text proposal for TS 38.213 in section 3.3 in </w:t>
      </w:r>
      <w:hyperlink r:id="rId1740" w:history="1">
        <w:r w:rsidR="00AF7253">
          <w:rPr>
            <w:rStyle w:val="Hyperlink"/>
          </w:rPr>
          <w:t>R1-2312377</w:t>
        </w:r>
      </w:hyperlink>
      <w:r>
        <w:t xml:space="preserve"> is endorsed in principle. Draft CR to be reviewed and endorsed in RAN1#116.</w:t>
      </w:r>
    </w:p>
    <w:p w14:paraId="04663713" w14:textId="77777777" w:rsidR="00EA4087" w:rsidRDefault="00EA4087" w:rsidP="00AA1D48">
      <w:pPr>
        <w:pStyle w:val="ListParagraph"/>
        <w:numPr>
          <w:ilvl w:val="0"/>
          <w:numId w:val="132"/>
        </w:numPr>
      </w:pPr>
      <w:r>
        <w:rPr>
          <w:lang w:eastAsia="ko-KR"/>
        </w:rPr>
        <w:t>N</w:t>
      </w:r>
      <w:r>
        <w:t xml:space="preserve">ote: further discuss the TP for search space, repetition, power control, collision with </w:t>
      </w:r>
      <w:r>
        <w:rPr>
          <w:lang w:eastAsia="zh-CN"/>
        </w:rPr>
        <w:t>valid PRACH occasion, TDD aspect,</w:t>
      </w:r>
      <w:r>
        <w:t xml:space="preserve"> etc.</w:t>
      </w:r>
    </w:p>
    <w:p w14:paraId="605B9922" w14:textId="74266D00" w:rsidR="00EA4087" w:rsidRDefault="00EA4087" w:rsidP="00AA1D48">
      <w:pPr>
        <w:pStyle w:val="ListParagraph"/>
        <w:numPr>
          <w:ilvl w:val="0"/>
          <w:numId w:val="132"/>
        </w:numPr>
      </w:pPr>
      <w:r>
        <w:t>Note to the TS 38.213 editor: it is not expected to capture this TP for RAN#102.</w:t>
      </w:r>
    </w:p>
    <w:p w14:paraId="0E337D20" w14:textId="77777777" w:rsidR="00EA4087" w:rsidRPr="00EA4087" w:rsidRDefault="00EA4087" w:rsidP="00EA4087">
      <w:pPr>
        <w:rPr>
          <w:u w:val="single"/>
        </w:rPr>
      </w:pPr>
      <w:r w:rsidRPr="00EA4087">
        <w:rPr>
          <w:u w:val="single"/>
        </w:rPr>
        <w:t>Conclusion</w:t>
      </w:r>
    </w:p>
    <w:p w14:paraId="12D96F5E" w14:textId="688DFD15" w:rsidR="002C2220" w:rsidRPr="009537ED" w:rsidRDefault="00EA4087" w:rsidP="00EA4087">
      <w:r>
        <w:t>Which CORESET to use for RACH-less handover can be further discussed at a future meeting.</w:t>
      </w:r>
    </w:p>
    <w:p w14:paraId="5437D0C1" w14:textId="77777777" w:rsidR="00F74A6F" w:rsidRPr="009537ED" w:rsidRDefault="00F74A6F" w:rsidP="00081D61">
      <w:pPr>
        <w:pStyle w:val="Heading3"/>
      </w:pPr>
      <w:bookmarkStart w:id="764" w:name="_Toc150174491"/>
      <w:bookmarkStart w:id="765" w:name="_Toc159251033"/>
      <w:r w:rsidRPr="009537ED">
        <w:t>Coverage enhancement for NR NTN</w:t>
      </w:r>
      <w:bookmarkEnd w:id="764"/>
      <w:bookmarkEnd w:id="765"/>
    </w:p>
    <w:p w14:paraId="7C506982" w14:textId="3E38A547" w:rsidR="00F74A6F" w:rsidRPr="009537ED" w:rsidRDefault="005A18DC" w:rsidP="00F74A6F">
      <w:pPr>
        <w:rPr>
          <w:lang w:eastAsia="x-none"/>
        </w:rPr>
      </w:pPr>
      <w:hyperlink r:id="rId1741" w:history="1">
        <w:r w:rsidR="00AF7253">
          <w:rPr>
            <w:rStyle w:val="Hyperlink"/>
            <w:lang w:eastAsia="x-none"/>
          </w:rPr>
          <w:t>R1-2310874</w:t>
        </w:r>
      </w:hyperlink>
      <w:r w:rsidR="00F74A6F" w:rsidRPr="009537ED">
        <w:rPr>
          <w:lang w:eastAsia="x-none"/>
        </w:rPr>
        <w:tab/>
        <w:t>Maintenance of coverage enhancement for NR NTN</w:t>
      </w:r>
      <w:r w:rsidR="00F74A6F" w:rsidRPr="009537ED">
        <w:rPr>
          <w:lang w:eastAsia="x-none"/>
        </w:rPr>
        <w:tab/>
        <w:t>Huawei, HiSilicon</w:t>
      </w:r>
    </w:p>
    <w:p w14:paraId="33EC8D06" w14:textId="2C91882E" w:rsidR="00F74A6F" w:rsidRPr="009537ED" w:rsidRDefault="005A18DC" w:rsidP="00F74A6F">
      <w:pPr>
        <w:rPr>
          <w:lang w:eastAsia="x-none"/>
        </w:rPr>
      </w:pPr>
      <w:hyperlink r:id="rId1742" w:history="1">
        <w:r w:rsidR="00AF7253">
          <w:rPr>
            <w:rStyle w:val="Hyperlink"/>
            <w:lang w:eastAsia="x-none"/>
          </w:rPr>
          <w:t>R1-2310916</w:t>
        </w:r>
      </w:hyperlink>
      <w:r w:rsidR="00F74A6F" w:rsidRPr="009537ED">
        <w:rPr>
          <w:lang w:eastAsia="x-none"/>
        </w:rPr>
        <w:tab/>
        <w:t>On maintenance of coverage enhancements for NR NTN</w:t>
      </w:r>
      <w:r w:rsidR="00F74A6F" w:rsidRPr="009537ED">
        <w:rPr>
          <w:lang w:eastAsia="x-none"/>
        </w:rPr>
        <w:tab/>
        <w:t>Ericsson</w:t>
      </w:r>
    </w:p>
    <w:p w14:paraId="14EAEF22" w14:textId="2E8B2C69" w:rsidR="00F74A6F" w:rsidRPr="009537ED" w:rsidRDefault="005A18DC" w:rsidP="00F74A6F">
      <w:pPr>
        <w:rPr>
          <w:lang w:eastAsia="x-none"/>
        </w:rPr>
      </w:pPr>
      <w:hyperlink r:id="rId1743" w:history="1">
        <w:r w:rsidR="00AF7253">
          <w:rPr>
            <w:rStyle w:val="Hyperlink"/>
            <w:lang w:eastAsia="x-none"/>
          </w:rPr>
          <w:t>R1-2311112</w:t>
        </w:r>
      </w:hyperlink>
      <w:r w:rsidR="00F74A6F" w:rsidRPr="009537ED">
        <w:rPr>
          <w:lang w:eastAsia="x-none"/>
        </w:rPr>
        <w:tab/>
        <w:t>Discussions on remaining issues of coverage enhancements in NR NTN</w:t>
      </w:r>
      <w:r w:rsidR="00F74A6F" w:rsidRPr="009537ED">
        <w:rPr>
          <w:lang w:eastAsia="x-none"/>
        </w:rPr>
        <w:tab/>
        <w:t>vivo</w:t>
      </w:r>
    </w:p>
    <w:p w14:paraId="13E49790" w14:textId="48EC9AA7" w:rsidR="00F74A6F" w:rsidRPr="009537ED" w:rsidRDefault="005A18DC" w:rsidP="00F74A6F">
      <w:pPr>
        <w:rPr>
          <w:lang w:eastAsia="x-none"/>
        </w:rPr>
      </w:pPr>
      <w:hyperlink r:id="rId1744" w:history="1">
        <w:r w:rsidR="00AF7253">
          <w:rPr>
            <w:rStyle w:val="Hyperlink"/>
            <w:lang w:eastAsia="x-none"/>
          </w:rPr>
          <w:t>R1-2311179</w:t>
        </w:r>
      </w:hyperlink>
      <w:r w:rsidR="00F74A6F" w:rsidRPr="009537ED">
        <w:rPr>
          <w:lang w:eastAsia="x-none"/>
        </w:rPr>
        <w:tab/>
        <w:t>Remaining issues on coverage enhancements for NTN</w:t>
      </w:r>
      <w:r w:rsidR="00F74A6F" w:rsidRPr="009537ED">
        <w:rPr>
          <w:lang w:eastAsia="x-none"/>
        </w:rPr>
        <w:tab/>
        <w:t>Spreadtrum Communications</w:t>
      </w:r>
    </w:p>
    <w:p w14:paraId="4397293B" w14:textId="6CF16395" w:rsidR="00F74A6F" w:rsidRPr="009537ED" w:rsidRDefault="005A18DC" w:rsidP="00F74A6F">
      <w:pPr>
        <w:rPr>
          <w:lang w:eastAsia="x-none"/>
        </w:rPr>
      </w:pPr>
      <w:hyperlink r:id="rId1745" w:history="1">
        <w:r w:rsidR="00AF7253">
          <w:rPr>
            <w:rStyle w:val="Hyperlink"/>
            <w:lang w:eastAsia="x-none"/>
          </w:rPr>
          <w:t>R1-2311200</w:t>
        </w:r>
      </w:hyperlink>
      <w:r w:rsidR="00F74A6F" w:rsidRPr="009537ED">
        <w:rPr>
          <w:lang w:eastAsia="x-none"/>
        </w:rPr>
        <w:tab/>
        <w:t>Remaining issue on coverage enhancement</w:t>
      </w:r>
      <w:r w:rsidR="00F74A6F" w:rsidRPr="009537ED">
        <w:rPr>
          <w:lang w:eastAsia="x-none"/>
        </w:rPr>
        <w:tab/>
        <w:t>ZTE</w:t>
      </w:r>
    </w:p>
    <w:p w14:paraId="1915A5EF" w14:textId="11B1E801" w:rsidR="00F74A6F" w:rsidRPr="009537ED" w:rsidRDefault="005A18DC" w:rsidP="00F74A6F">
      <w:pPr>
        <w:rPr>
          <w:lang w:eastAsia="x-none"/>
        </w:rPr>
      </w:pPr>
      <w:hyperlink r:id="rId1746" w:history="1">
        <w:r w:rsidR="00AF7253">
          <w:rPr>
            <w:rStyle w:val="Hyperlink"/>
            <w:lang w:eastAsia="x-none"/>
          </w:rPr>
          <w:t>R1-2311245</w:t>
        </w:r>
      </w:hyperlink>
      <w:r w:rsidR="00F74A6F" w:rsidRPr="009537ED">
        <w:rPr>
          <w:lang w:eastAsia="x-none"/>
        </w:rPr>
        <w:tab/>
        <w:t>Discussion on remaining issue for coverage enhancement for NR NTN</w:t>
      </w:r>
      <w:r w:rsidR="00F74A6F" w:rsidRPr="009537ED">
        <w:rPr>
          <w:lang w:eastAsia="x-none"/>
        </w:rPr>
        <w:tab/>
        <w:t>OPPO</w:t>
      </w:r>
    </w:p>
    <w:p w14:paraId="6E8B9212" w14:textId="7E6672F1" w:rsidR="00F74A6F" w:rsidRPr="009537ED" w:rsidRDefault="005A18DC" w:rsidP="00F74A6F">
      <w:pPr>
        <w:rPr>
          <w:lang w:eastAsia="x-none"/>
        </w:rPr>
      </w:pPr>
      <w:hyperlink r:id="rId1747" w:history="1">
        <w:r w:rsidR="00AF7253">
          <w:rPr>
            <w:rStyle w:val="Hyperlink"/>
            <w:lang w:eastAsia="x-none"/>
          </w:rPr>
          <w:t>R1-2311389</w:t>
        </w:r>
      </w:hyperlink>
      <w:r w:rsidR="00F74A6F" w:rsidRPr="009537ED">
        <w:rPr>
          <w:lang w:eastAsia="x-none"/>
        </w:rPr>
        <w:tab/>
        <w:t>Discussion on remaining issues on coverage enhancement for NR-NTN</w:t>
      </w:r>
      <w:r w:rsidR="00F74A6F" w:rsidRPr="009537ED">
        <w:rPr>
          <w:lang w:eastAsia="x-none"/>
        </w:rPr>
        <w:tab/>
        <w:t>xiaomi</w:t>
      </w:r>
    </w:p>
    <w:p w14:paraId="7B6FAAFB" w14:textId="39B41965" w:rsidR="00F74A6F" w:rsidRPr="009537ED" w:rsidRDefault="005A18DC" w:rsidP="00F74A6F">
      <w:pPr>
        <w:rPr>
          <w:lang w:eastAsia="x-none"/>
        </w:rPr>
      </w:pPr>
      <w:hyperlink r:id="rId1748" w:history="1">
        <w:r w:rsidR="00AF7253">
          <w:rPr>
            <w:rStyle w:val="Hyperlink"/>
            <w:lang w:eastAsia="x-none"/>
          </w:rPr>
          <w:t>R1-2311498</w:t>
        </w:r>
      </w:hyperlink>
      <w:r w:rsidR="00F74A6F" w:rsidRPr="009537ED">
        <w:rPr>
          <w:lang w:eastAsia="x-none"/>
        </w:rPr>
        <w:tab/>
        <w:t>Remaining issues on coverage enhancement for NR NTN</w:t>
      </w:r>
      <w:r w:rsidR="00F74A6F" w:rsidRPr="009537ED">
        <w:rPr>
          <w:lang w:eastAsia="x-none"/>
        </w:rPr>
        <w:tab/>
        <w:t>CMCC</w:t>
      </w:r>
    </w:p>
    <w:p w14:paraId="05FF5580" w14:textId="68524748" w:rsidR="00F74A6F" w:rsidRPr="009537ED" w:rsidRDefault="005A18DC" w:rsidP="00F74A6F">
      <w:pPr>
        <w:rPr>
          <w:lang w:eastAsia="x-none"/>
        </w:rPr>
      </w:pPr>
      <w:hyperlink r:id="rId1749" w:history="1">
        <w:r w:rsidR="00AF7253">
          <w:rPr>
            <w:rStyle w:val="Hyperlink"/>
            <w:lang w:eastAsia="x-none"/>
          </w:rPr>
          <w:t>R1-2311513</w:t>
        </w:r>
      </w:hyperlink>
      <w:r w:rsidR="00F74A6F" w:rsidRPr="009537ED">
        <w:rPr>
          <w:lang w:eastAsia="x-none"/>
        </w:rPr>
        <w:tab/>
        <w:t>Remaining issues on NR NTN Coverage Enhancement</w:t>
      </w:r>
      <w:r w:rsidR="00F74A6F" w:rsidRPr="009537ED">
        <w:rPr>
          <w:lang w:eastAsia="x-none"/>
        </w:rPr>
        <w:tab/>
        <w:t>NEC</w:t>
      </w:r>
    </w:p>
    <w:p w14:paraId="2F7FBBC9" w14:textId="37E9EA11" w:rsidR="00F74A6F" w:rsidRPr="009537ED" w:rsidRDefault="005A18DC" w:rsidP="00F74A6F">
      <w:pPr>
        <w:rPr>
          <w:lang w:eastAsia="x-none"/>
        </w:rPr>
      </w:pPr>
      <w:hyperlink r:id="rId1750" w:history="1">
        <w:r w:rsidR="00AF7253">
          <w:rPr>
            <w:rStyle w:val="Hyperlink"/>
            <w:lang w:eastAsia="x-none"/>
          </w:rPr>
          <w:t>R1-2311637</w:t>
        </w:r>
      </w:hyperlink>
      <w:r w:rsidR="00F74A6F" w:rsidRPr="009537ED">
        <w:rPr>
          <w:lang w:eastAsia="x-none"/>
        </w:rPr>
        <w:tab/>
        <w:t>Maintenance on coverage enhancement for NR NTN</w:t>
      </w:r>
      <w:r w:rsidR="00F74A6F" w:rsidRPr="009537ED">
        <w:rPr>
          <w:lang w:eastAsia="x-none"/>
        </w:rPr>
        <w:tab/>
        <w:t>NTT DOCOMO, INC.</w:t>
      </w:r>
    </w:p>
    <w:p w14:paraId="5253CEE8" w14:textId="6072A061" w:rsidR="00F74A6F" w:rsidRPr="009537ED" w:rsidRDefault="005A18DC" w:rsidP="00F74A6F">
      <w:pPr>
        <w:rPr>
          <w:lang w:eastAsia="x-none"/>
        </w:rPr>
      </w:pPr>
      <w:hyperlink r:id="rId1751" w:history="1">
        <w:r w:rsidR="00AF7253">
          <w:rPr>
            <w:rStyle w:val="Hyperlink"/>
            <w:lang w:eastAsia="x-none"/>
          </w:rPr>
          <w:t>R1-2311773</w:t>
        </w:r>
      </w:hyperlink>
      <w:r w:rsidR="00F74A6F" w:rsidRPr="009537ED">
        <w:rPr>
          <w:lang w:eastAsia="x-none"/>
        </w:rPr>
        <w:tab/>
        <w:t>Maintenance on coverage enhancement for NR NTN</w:t>
      </w:r>
      <w:r w:rsidR="00F74A6F" w:rsidRPr="009537ED">
        <w:rPr>
          <w:lang w:eastAsia="x-none"/>
        </w:rPr>
        <w:tab/>
        <w:t>Sharp</w:t>
      </w:r>
    </w:p>
    <w:p w14:paraId="74357FA8" w14:textId="35DFCC57" w:rsidR="00F74A6F" w:rsidRPr="009537ED" w:rsidRDefault="005A18DC" w:rsidP="00F74A6F">
      <w:pPr>
        <w:rPr>
          <w:lang w:eastAsia="x-none"/>
        </w:rPr>
      </w:pPr>
      <w:hyperlink r:id="rId1752" w:history="1">
        <w:r w:rsidR="00AF7253">
          <w:rPr>
            <w:rStyle w:val="Hyperlink"/>
            <w:lang w:eastAsia="x-none"/>
          </w:rPr>
          <w:t>R1-2311861</w:t>
        </w:r>
      </w:hyperlink>
      <w:r w:rsidR="00F74A6F" w:rsidRPr="009537ED">
        <w:rPr>
          <w:lang w:eastAsia="x-none"/>
        </w:rPr>
        <w:tab/>
        <w:t>Remaining issues on coverage enhancement for NR NTN</w:t>
      </w:r>
      <w:r w:rsidR="00F74A6F" w:rsidRPr="009537ED">
        <w:rPr>
          <w:lang w:eastAsia="x-none"/>
        </w:rPr>
        <w:tab/>
        <w:t>Samsung</w:t>
      </w:r>
    </w:p>
    <w:p w14:paraId="436F4704" w14:textId="72E2AE66" w:rsidR="00F74A6F" w:rsidRPr="009537ED" w:rsidRDefault="005A18DC" w:rsidP="00F74A6F">
      <w:pPr>
        <w:rPr>
          <w:lang w:eastAsia="x-none"/>
        </w:rPr>
      </w:pPr>
      <w:hyperlink r:id="rId1753" w:history="1">
        <w:r w:rsidR="00AF7253">
          <w:rPr>
            <w:rStyle w:val="Hyperlink"/>
            <w:lang w:eastAsia="x-none"/>
          </w:rPr>
          <w:t>R1-2311918</w:t>
        </w:r>
      </w:hyperlink>
      <w:r w:rsidR="00F74A6F" w:rsidRPr="009537ED">
        <w:rPr>
          <w:lang w:eastAsia="x-none"/>
        </w:rPr>
        <w:tab/>
        <w:t>Remaining issues of coverage enhancement for NR NTN</w:t>
      </w:r>
      <w:r w:rsidR="00F74A6F" w:rsidRPr="009537ED">
        <w:rPr>
          <w:lang w:eastAsia="x-none"/>
        </w:rPr>
        <w:tab/>
        <w:t>LG Electronics</w:t>
      </w:r>
    </w:p>
    <w:p w14:paraId="1F044F61" w14:textId="065BC10E" w:rsidR="00F74A6F" w:rsidRPr="009537ED" w:rsidRDefault="005A18DC" w:rsidP="00F74A6F">
      <w:pPr>
        <w:rPr>
          <w:lang w:eastAsia="x-none"/>
        </w:rPr>
      </w:pPr>
      <w:hyperlink r:id="rId1754" w:history="1">
        <w:r w:rsidR="00AF7253">
          <w:rPr>
            <w:rStyle w:val="Hyperlink"/>
            <w:lang w:eastAsia="x-none"/>
          </w:rPr>
          <w:t>R1-2311994</w:t>
        </w:r>
      </w:hyperlink>
      <w:r w:rsidR="00F74A6F" w:rsidRPr="009537ED">
        <w:rPr>
          <w:lang w:eastAsia="x-none"/>
        </w:rPr>
        <w:tab/>
        <w:t>Coverage enhancement for NR NTN</w:t>
      </w:r>
      <w:r w:rsidR="00F74A6F" w:rsidRPr="009537ED">
        <w:rPr>
          <w:lang w:eastAsia="x-none"/>
        </w:rPr>
        <w:tab/>
        <w:t>MediaTek Inc.</w:t>
      </w:r>
    </w:p>
    <w:p w14:paraId="0365F770" w14:textId="69967302" w:rsidR="00F74A6F" w:rsidRPr="009537ED" w:rsidRDefault="005A18DC" w:rsidP="00F74A6F">
      <w:pPr>
        <w:rPr>
          <w:lang w:eastAsia="x-none"/>
        </w:rPr>
      </w:pPr>
      <w:hyperlink r:id="rId1755" w:history="1">
        <w:r w:rsidR="00AF7253">
          <w:rPr>
            <w:rStyle w:val="Hyperlink"/>
            <w:lang w:eastAsia="x-none"/>
          </w:rPr>
          <w:t>R1-2312004</w:t>
        </w:r>
      </w:hyperlink>
      <w:r w:rsidR="00F74A6F" w:rsidRPr="009537ED">
        <w:rPr>
          <w:lang w:eastAsia="x-none"/>
        </w:rPr>
        <w:tab/>
        <w:t>Remaining issues on coverage enhancements for NR NTN</w:t>
      </w:r>
      <w:r w:rsidR="00F74A6F" w:rsidRPr="009537ED">
        <w:rPr>
          <w:lang w:eastAsia="x-none"/>
        </w:rPr>
        <w:tab/>
        <w:t>Hyundai Motor Company</w:t>
      </w:r>
    </w:p>
    <w:p w14:paraId="79D223D4" w14:textId="26A7FA2A" w:rsidR="00F74A6F" w:rsidRPr="009537ED" w:rsidRDefault="005A18DC" w:rsidP="00F74A6F">
      <w:pPr>
        <w:rPr>
          <w:lang w:eastAsia="x-none"/>
        </w:rPr>
      </w:pPr>
      <w:hyperlink r:id="rId1756" w:history="1">
        <w:r w:rsidR="00AF7253">
          <w:rPr>
            <w:rStyle w:val="Hyperlink"/>
            <w:lang w:eastAsia="x-none"/>
          </w:rPr>
          <w:t>R1-2312052</w:t>
        </w:r>
      </w:hyperlink>
      <w:r w:rsidR="00F74A6F" w:rsidRPr="009537ED">
        <w:rPr>
          <w:lang w:eastAsia="x-none"/>
        </w:rPr>
        <w:tab/>
        <w:t>Maintenance on coverage enhancements for NR NTN</w:t>
      </w:r>
      <w:r w:rsidR="00F74A6F" w:rsidRPr="009537ED">
        <w:rPr>
          <w:lang w:eastAsia="x-none"/>
        </w:rPr>
        <w:tab/>
        <w:t>Qualcomm Incorporated</w:t>
      </w:r>
    </w:p>
    <w:p w14:paraId="0DB5794D" w14:textId="141E21CC" w:rsidR="00F74A6F" w:rsidRPr="009537ED" w:rsidRDefault="005A18DC" w:rsidP="00F74A6F">
      <w:pPr>
        <w:rPr>
          <w:lang w:eastAsia="x-none"/>
        </w:rPr>
      </w:pPr>
      <w:hyperlink r:id="rId1757" w:history="1">
        <w:r w:rsidR="00AF7253">
          <w:rPr>
            <w:rStyle w:val="Hyperlink"/>
            <w:lang w:eastAsia="x-none"/>
          </w:rPr>
          <w:t>R1-2312091</w:t>
        </w:r>
      </w:hyperlink>
      <w:r w:rsidR="00F74A6F" w:rsidRPr="009537ED">
        <w:rPr>
          <w:lang w:eastAsia="x-none"/>
        </w:rPr>
        <w:tab/>
        <w:t>Maintenance of coverage enhancement for NR NTN</w:t>
      </w:r>
      <w:r w:rsidR="00F74A6F" w:rsidRPr="009537ED">
        <w:rPr>
          <w:lang w:eastAsia="x-none"/>
        </w:rPr>
        <w:tab/>
        <w:t>Baicells</w:t>
      </w:r>
    </w:p>
    <w:p w14:paraId="05FB2710" w14:textId="54716B53" w:rsidR="00F74A6F" w:rsidRPr="009537ED" w:rsidRDefault="005A18DC" w:rsidP="00F74A6F">
      <w:pPr>
        <w:rPr>
          <w:lang w:eastAsia="x-none"/>
        </w:rPr>
      </w:pPr>
      <w:hyperlink r:id="rId1758" w:history="1">
        <w:r w:rsidR="00AF7253">
          <w:rPr>
            <w:rStyle w:val="Hyperlink"/>
            <w:lang w:eastAsia="x-none"/>
          </w:rPr>
          <w:t>R1-2312137</w:t>
        </w:r>
      </w:hyperlink>
      <w:r w:rsidR="00F74A6F" w:rsidRPr="009537ED">
        <w:rPr>
          <w:lang w:eastAsia="x-none"/>
        </w:rPr>
        <w:tab/>
        <w:t>Open issues related to coverage enhancements for NR over NTN</w:t>
      </w:r>
      <w:r w:rsidR="00F74A6F" w:rsidRPr="009537ED">
        <w:rPr>
          <w:lang w:eastAsia="x-none"/>
        </w:rPr>
        <w:tab/>
        <w:t>Nokia, Nokia Shanghai Bell</w:t>
      </w:r>
    </w:p>
    <w:p w14:paraId="7B742850" w14:textId="77777777" w:rsidR="00081D61" w:rsidRPr="009537ED" w:rsidRDefault="00081D61" w:rsidP="00F74A6F">
      <w:pPr>
        <w:rPr>
          <w:lang w:eastAsia="x-none"/>
        </w:rPr>
      </w:pPr>
    </w:p>
    <w:p w14:paraId="2A14F767" w14:textId="34B387A7" w:rsidR="00081D61" w:rsidRPr="009537ED" w:rsidRDefault="005A18DC" w:rsidP="00081D61">
      <w:pPr>
        <w:rPr>
          <w:b/>
          <w:lang w:eastAsia="x-none"/>
        </w:rPr>
      </w:pPr>
      <w:hyperlink r:id="rId1759" w:history="1">
        <w:r w:rsidR="00AF7253">
          <w:rPr>
            <w:rStyle w:val="Hyperlink"/>
            <w:b/>
            <w:lang w:eastAsia="x-none"/>
          </w:rPr>
          <w:t>R1-2312319</w:t>
        </w:r>
      </w:hyperlink>
      <w:r w:rsidR="00081D61" w:rsidRPr="009537ED">
        <w:rPr>
          <w:b/>
          <w:lang w:eastAsia="x-none"/>
        </w:rPr>
        <w:tab/>
        <w:t>Summary #1 on 8.13.1 Coverage enhancement for NR NTN</w:t>
      </w:r>
      <w:r w:rsidR="00081D61" w:rsidRPr="009537ED">
        <w:rPr>
          <w:b/>
          <w:lang w:eastAsia="x-none"/>
        </w:rPr>
        <w:tab/>
        <w:t>Moderator (NTT DOCOMO, INC.)</w:t>
      </w:r>
    </w:p>
    <w:p w14:paraId="0163FD98" w14:textId="4505B665" w:rsidR="00081D61" w:rsidRPr="009537ED" w:rsidRDefault="00081D61" w:rsidP="00081D61">
      <w:pPr>
        <w:rPr>
          <w:szCs w:val="20"/>
          <w:lang w:eastAsia="x-none"/>
        </w:rPr>
      </w:pPr>
      <w:r w:rsidRPr="009537ED">
        <w:rPr>
          <w:szCs w:val="20"/>
          <w:lang w:eastAsia="x-none"/>
        </w:rPr>
        <w:lastRenderedPageBreak/>
        <w:t>From Monday session</w:t>
      </w:r>
    </w:p>
    <w:p w14:paraId="74045528" w14:textId="77777777" w:rsidR="00081D61" w:rsidRPr="009537ED" w:rsidRDefault="00081D61" w:rsidP="00081D61">
      <w:pPr>
        <w:snapToGrid w:val="0"/>
        <w:rPr>
          <w:rFonts w:ascii="Times New Roman" w:hAnsi="Times New Roman"/>
          <w:bCs/>
          <w:szCs w:val="20"/>
          <w:u w:val="single"/>
          <w:lang w:eastAsia="zh-CN"/>
        </w:rPr>
      </w:pPr>
      <w:r w:rsidRPr="009537ED">
        <w:rPr>
          <w:rFonts w:ascii="Times New Roman" w:hAnsi="Times New Roman"/>
          <w:bCs/>
          <w:szCs w:val="20"/>
          <w:u w:val="single"/>
          <w:lang w:eastAsia="zh-CN"/>
        </w:rPr>
        <w:t>Conclusion</w:t>
      </w:r>
    </w:p>
    <w:p w14:paraId="6543CE6D" w14:textId="77777777" w:rsidR="00081D61" w:rsidRPr="009537ED" w:rsidRDefault="00081D61" w:rsidP="00081D61">
      <w:pPr>
        <w:snapToGrid w:val="0"/>
        <w:rPr>
          <w:rFonts w:ascii="Times New Roman" w:hAnsi="Times New Roman"/>
          <w:szCs w:val="20"/>
          <w:lang w:eastAsia="zh-CN"/>
        </w:rPr>
      </w:pPr>
      <w:r w:rsidRPr="009537ED">
        <w:rPr>
          <w:rFonts w:ascii="Times New Roman" w:hAnsi="Times New Roman"/>
          <w:szCs w:val="20"/>
          <w:lang w:eastAsia="zh-CN"/>
        </w:rPr>
        <w:t xml:space="preserve">For frequency hopping of </w:t>
      </w:r>
      <w:r w:rsidRPr="009537ED">
        <w:rPr>
          <w:rFonts w:ascii="Times New Roman" w:hAnsi="Times New Roman"/>
          <w:szCs w:val="20"/>
        </w:rPr>
        <w:t xml:space="preserve">PUCCH repetition on common PUCCH resources for </w:t>
      </w:r>
      <w:r w:rsidRPr="009537ED">
        <w:rPr>
          <w:rFonts w:ascii="Times New Roman" w:hAnsi="Times New Roman"/>
          <w:szCs w:val="20"/>
          <w:lang w:eastAsia="zh-CN"/>
        </w:rPr>
        <w:t>NR NTN</w:t>
      </w:r>
      <w:r w:rsidRPr="009537ED">
        <w:rPr>
          <w:rFonts w:ascii="Times New Roman" w:hAnsi="Times New Roman"/>
          <w:szCs w:val="20"/>
        </w:rPr>
        <w:t xml:space="preserve">, no </w:t>
      </w:r>
      <w:r w:rsidRPr="009537ED">
        <w:rPr>
          <w:rFonts w:ascii="Times New Roman" w:hAnsi="Times New Roman"/>
          <w:szCs w:val="20"/>
          <w:lang w:eastAsia="zh-CN"/>
        </w:rPr>
        <w:t>specification change in Rel-18.</w:t>
      </w:r>
    </w:p>
    <w:p w14:paraId="75530A61" w14:textId="77777777" w:rsidR="00081D61" w:rsidRPr="009537ED" w:rsidRDefault="00081D61" w:rsidP="00081D61">
      <w:pPr>
        <w:rPr>
          <w:rFonts w:ascii="Times New Roman" w:hAnsi="Times New Roman"/>
          <w:szCs w:val="20"/>
          <w:lang w:eastAsia="x-none"/>
        </w:rPr>
      </w:pPr>
    </w:p>
    <w:p w14:paraId="4C8B1C3A" w14:textId="77777777" w:rsidR="00081D61" w:rsidRPr="009537ED" w:rsidRDefault="00081D61" w:rsidP="00081D61">
      <w:pPr>
        <w:snapToGrid w:val="0"/>
        <w:rPr>
          <w:rFonts w:ascii="Times New Roman" w:hAnsi="Times New Roman"/>
          <w:bCs/>
          <w:szCs w:val="20"/>
          <w:u w:val="single"/>
          <w:lang w:eastAsia="zh-CN"/>
        </w:rPr>
      </w:pPr>
      <w:r w:rsidRPr="009537ED">
        <w:rPr>
          <w:rFonts w:ascii="Times New Roman" w:hAnsi="Times New Roman"/>
          <w:bCs/>
          <w:szCs w:val="20"/>
          <w:u w:val="single"/>
          <w:lang w:eastAsia="zh-CN"/>
        </w:rPr>
        <w:t>Conclusion</w:t>
      </w:r>
    </w:p>
    <w:p w14:paraId="6BBECE98" w14:textId="77777777" w:rsidR="00081D61" w:rsidRPr="009537ED" w:rsidRDefault="00081D61" w:rsidP="00081D61">
      <w:pPr>
        <w:snapToGrid w:val="0"/>
        <w:rPr>
          <w:rFonts w:ascii="Times New Roman" w:hAnsi="Times New Roman"/>
          <w:szCs w:val="20"/>
          <w:lang w:eastAsia="zh-CN"/>
        </w:rPr>
      </w:pPr>
      <w:r w:rsidRPr="009537ED">
        <w:rPr>
          <w:rFonts w:ascii="Times New Roman" w:hAnsi="Times New Roman"/>
          <w:szCs w:val="20"/>
          <w:lang w:eastAsia="zh-CN"/>
        </w:rPr>
        <w:t xml:space="preserve">For </w:t>
      </w:r>
      <w:r w:rsidRPr="009537ED">
        <w:rPr>
          <w:rFonts w:ascii="Times New Roman" w:hAnsi="Times New Roman"/>
          <w:szCs w:val="20"/>
        </w:rPr>
        <w:t xml:space="preserve">PUCCH repetition on common PUCCH resources for </w:t>
      </w:r>
      <w:r w:rsidRPr="009537ED">
        <w:rPr>
          <w:rFonts w:ascii="Times New Roman" w:hAnsi="Times New Roman"/>
          <w:szCs w:val="20"/>
          <w:lang w:eastAsia="zh-CN"/>
        </w:rPr>
        <w:t>NR NTN</w:t>
      </w:r>
      <w:r w:rsidRPr="009537ED">
        <w:rPr>
          <w:rFonts w:ascii="Times New Roman" w:hAnsi="Times New Roman"/>
          <w:szCs w:val="20"/>
        </w:rPr>
        <w:t>,</w:t>
      </w:r>
      <w:r w:rsidRPr="009537ED">
        <w:rPr>
          <w:rFonts w:ascii="Times New Roman" w:hAnsi="Times New Roman"/>
          <w:szCs w:val="20"/>
          <w:lang w:eastAsia="zh-CN"/>
        </w:rPr>
        <w:t xml:space="preserve"> for the case of SI modification and no DCI format 1_0 with CRC scrambled by a TC-RNTI</w:t>
      </w:r>
      <w:r w:rsidRPr="009537ED">
        <w:rPr>
          <w:rFonts w:ascii="Times New Roman" w:hAnsi="Times New Roman"/>
          <w:szCs w:val="20"/>
        </w:rPr>
        <w:t xml:space="preserve">, </w:t>
      </w:r>
      <w:r w:rsidRPr="009537ED">
        <w:rPr>
          <w:rFonts w:ascii="Times New Roman" w:hAnsi="Times New Roman"/>
          <w:szCs w:val="20"/>
          <w:lang w:eastAsia="zh-CN"/>
        </w:rPr>
        <w:t>no further discussion for this issue in Rel-18.</w:t>
      </w:r>
    </w:p>
    <w:p w14:paraId="1208842C" w14:textId="77777777" w:rsidR="00081D61" w:rsidRPr="009537ED" w:rsidRDefault="00081D61" w:rsidP="00081D61">
      <w:pPr>
        <w:snapToGrid w:val="0"/>
        <w:jc w:val="both"/>
        <w:rPr>
          <w:rFonts w:ascii="Times New Roman" w:eastAsia="Times New Roman" w:hAnsi="Times New Roman"/>
          <w:szCs w:val="20"/>
        </w:rPr>
      </w:pPr>
    </w:p>
    <w:p w14:paraId="0FC6BF3B" w14:textId="77777777" w:rsidR="00081D61" w:rsidRPr="009537ED" w:rsidRDefault="00081D61" w:rsidP="00081D61">
      <w:pPr>
        <w:snapToGrid w:val="0"/>
        <w:rPr>
          <w:rFonts w:ascii="Times New Roman" w:hAnsi="Times New Roman"/>
          <w:bCs/>
          <w:szCs w:val="20"/>
          <w:u w:val="single"/>
          <w:lang w:eastAsia="zh-CN"/>
        </w:rPr>
      </w:pPr>
      <w:r w:rsidRPr="009537ED">
        <w:rPr>
          <w:rFonts w:ascii="Times New Roman" w:hAnsi="Times New Roman"/>
          <w:bCs/>
          <w:szCs w:val="20"/>
          <w:u w:val="single"/>
          <w:lang w:eastAsia="zh-CN"/>
        </w:rPr>
        <w:t>Conclusion</w:t>
      </w:r>
    </w:p>
    <w:p w14:paraId="3FB93D42" w14:textId="77777777" w:rsidR="00081D61" w:rsidRPr="009537ED" w:rsidRDefault="00081D61" w:rsidP="00081D61">
      <w:pPr>
        <w:snapToGrid w:val="0"/>
        <w:rPr>
          <w:rFonts w:ascii="Times New Roman" w:hAnsi="Times New Roman"/>
          <w:szCs w:val="20"/>
          <w:lang w:eastAsia="zh-CN"/>
        </w:rPr>
      </w:pPr>
      <w:r w:rsidRPr="009537ED">
        <w:rPr>
          <w:rFonts w:ascii="Times New Roman" w:hAnsi="Times New Roman"/>
          <w:szCs w:val="20"/>
          <w:lang w:eastAsia="zh-CN"/>
        </w:rPr>
        <w:t>There is no consensus on the following for PUCCH repetition on common PUCCH resources in Rel-18 NR NTN.</w:t>
      </w:r>
    </w:p>
    <w:p w14:paraId="406FEE4F" w14:textId="77777777" w:rsidR="00081D61" w:rsidRPr="009537ED" w:rsidRDefault="00081D61" w:rsidP="00BC5BE9">
      <w:pPr>
        <w:pStyle w:val="ListParagraph"/>
        <w:numPr>
          <w:ilvl w:val="0"/>
          <w:numId w:val="84"/>
        </w:numPr>
      </w:pPr>
      <w:r w:rsidRPr="009537ED">
        <w:t>Whether to introduce dynamic indication when a single repetition factor is configured</w:t>
      </w:r>
    </w:p>
    <w:p w14:paraId="211624AB" w14:textId="77777777" w:rsidR="00081D61" w:rsidRPr="009537ED" w:rsidRDefault="00081D61" w:rsidP="00BC5BE9">
      <w:pPr>
        <w:pStyle w:val="ListParagraph"/>
        <w:numPr>
          <w:ilvl w:val="0"/>
          <w:numId w:val="84"/>
        </w:numPr>
      </w:pPr>
      <w:r w:rsidRPr="009537ED">
        <w:t>Whether to enhance capacity of common PUCCH resources</w:t>
      </w:r>
    </w:p>
    <w:p w14:paraId="69897109" w14:textId="77777777" w:rsidR="00081D61" w:rsidRPr="009537ED" w:rsidRDefault="00081D61" w:rsidP="00BC5BE9">
      <w:pPr>
        <w:pStyle w:val="ListParagraph"/>
        <w:numPr>
          <w:ilvl w:val="0"/>
          <w:numId w:val="84"/>
        </w:numPr>
      </w:pPr>
      <w:r w:rsidRPr="009537ED">
        <w:t>Whether to extend previous agreements for common PUCCH resources to dedicated PUCCH resources</w:t>
      </w:r>
    </w:p>
    <w:p w14:paraId="56A2EBF6" w14:textId="77777777" w:rsidR="00081D61" w:rsidRPr="009537ED" w:rsidRDefault="00081D61" w:rsidP="00081D61">
      <w:pPr>
        <w:snapToGrid w:val="0"/>
        <w:rPr>
          <w:rFonts w:ascii="Times New Roman" w:hAnsi="Times New Roman"/>
          <w:bCs/>
          <w:szCs w:val="20"/>
          <w:u w:val="single"/>
          <w:lang w:eastAsia="zh-CN"/>
        </w:rPr>
      </w:pPr>
      <w:r w:rsidRPr="009537ED">
        <w:rPr>
          <w:rFonts w:ascii="Times New Roman" w:hAnsi="Times New Roman"/>
          <w:bCs/>
          <w:szCs w:val="20"/>
          <w:u w:val="single"/>
          <w:lang w:eastAsia="zh-CN"/>
        </w:rPr>
        <w:t>Conclusion</w:t>
      </w:r>
    </w:p>
    <w:p w14:paraId="6D764322" w14:textId="77777777" w:rsidR="00081D61" w:rsidRPr="009537ED" w:rsidRDefault="00081D61" w:rsidP="00081D61">
      <w:pPr>
        <w:snapToGrid w:val="0"/>
        <w:rPr>
          <w:rFonts w:ascii="Times New Roman" w:hAnsi="Times New Roman"/>
          <w:szCs w:val="20"/>
          <w:lang w:eastAsia="zh-CN"/>
        </w:rPr>
      </w:pPr>
      <w:r w:rsidRPr="009537ED">
        <w:rPr>
          <w:rFonts w:ascii="Times New Roman" w:hAnsi="Times New Roman"/>
          <w:szCs w:val="20"/>
          <w:lang w:eastAsia="zh-CN"/>
        </w:rPr>
        <w:t>No further discussion is necessary for the following for PUCCH repetition on common PUCCH resources in Rel-18 NR NTN.</w:t>
      </w:r>
    </w:p>
    <w:p w14:paraId="6CFA7219" w14:textId="77777777" w:rsidR="00081D61" w:rsidRPr="009537ED" w:rsidRDefault="00081D61" w:rsidP="00BC5BE9">
      <w:pPr>
        <w:pStyle w:val="ListParagraph"/>
        <w:numPr>
          <w:ilvl w:val="0"/>
          <w:numId w:val="89"/>
        </w:numPr>
      </w:pPr>
      <w:r w:rsidRPr="009537ED">
        <w:t>UE behavior when no repetition factor is configured</w:t>
      </w:r>
    </w:p>
    <w:p w14:paraId="5EF827EF" w14:textId="77777777" w:rsidR="00081D61" w:rsidRPr="009537ED" w:rsidRDefault="00081D61" w:rsidP="00BC5BE9">
      <w:pPr>
        <w:pStyle w:val="ListParagraph"/>
        <w:numPr>
          <w:ilvl w:val="0"/>
          <w:numId w:val="89"/>
        </w:numPr>
      </w:pPr>
      <w:r w:rsidRPr="009537ED">
        <w:t>UE behavior if configured repetition factor(s) does not include ‘1’, the RSRP threshold is configured, and the measured RSRP &lt; the RSRP threshold</w:t>
      </w:r>
    </w:p>
    <w:p w14:paraId="434318AE" w14:textId="77777777" w:rsidR="00081D61" w:rsidRPr="009537ED" w:rsidRDefault="00081D61" w:rsidP="00081D61">
      <w:pPr>
        <w:snapToGrid w:val="0"/>
        <w:rPr>
          <w:rFonts w:ascii="Times New Roman" w:hAnsi="Times New Roman"/>
          <w:bCs/>
          <w:szCs w:val="20"/>
          <w:u w:val="single"/>
          <w:lang w:eastAsia="zh-CN"/>
        </w:rPr>
      </w:pPr>
      <w:r w:rsidRPr="009537ED">
        <w:rPr>
          <w:rFonts w:ascii="Times New Roman" w:hAnsi="Times New Roman"/>
          <w:bCs/>
          <w:szCs w:val="20"/>
          <w:u w:val="single"/>
          <w:lang w:eastAsia="zh-CN"/>
        </w:rPr>
        <w:t>Conclusion</w:t>
      </w:r>
    </w:p>
    <w:p w14:paraId="375AD845" w14:textId="77777777" w:rsidR="00081D61" w:rsidRPr="009537ED" w:rsidRDefault="00081D61" w:rsidP="00081D61">
      <w:pPr>
        <w:snapToGrid w:val="0"/>
        <w:rPr>
          <w:rFonts w:ascii="Times New Roman" w:hAnsi="Times New Roman"/>
          <w:szCs w:val="20"/>
          <w:lang w:eastAsia="zh-CN"/>
        </w:rPr>
      </w:pPr>
      <w:r w:rsidRPr="009537ED">
        <w:rPr>
          <w:rFonts w:ascii="Times New Roman" w:hAnsi="Times New Roman"/>
          <w:szCs w:val="20"/>
          <w:lang w:eastAsia="zh-CN"/>
        </w:rPr>
        <w:t>There is no consensus on antenna switching-related enhancements for PUSCH DMRS bundling in Rel-18 NR NTN.</w:t>
      </w:r>
    </w:p>
    <w:p w14:paraId="33278DDC" w14:textId="77777777" w:rsidR="00081D61" w:rsidRPr="009537ED" w:rsidRDefault="00081D61" w:rsidP="00081D61">
      <w:pPr>
        <w:rPr>
          <w:rFonts w:ascii="Times New Roman" w:hAnsi="Times New Roman"/>
          <w:szCs w:val="20"/>
          <w:lang w:eastAsia="x-none"/>
        </w:rPr>
      </w:pPr>
    </w:p>
    <w:p w14:paraId="0F79ECA5" w14:textId="77777777" w:rsidR="00081D61" w:rsidRPr="009537ED" w:rsidRDefault="00081D61" w:rsidP="00081D61">
      <w:pPr>
        <w:rPr>
          <w:rFonts w:ascii="Times New Roman" w:hAnsi="Times New Roman"/>
          <w:szCs w:val="20"/>
          <w:lang w:eastAsia="x-none"/>
        </w:rPr>
      </w:pPr>
    </w:p>
    <w:p w14:paraId="53782080" w14:textId="6AE81FA2" w:rsidR="00081D61" w:rsidRPr="00376A74" w:rsidRDefault="005A18DC" w:rsidP="00081D61">
      <w:pPr>
        <w:rPr>
          <w:b/>
          <w:bCs/>
          <w:lang w:eastAsia="x-none"/>
        </w:rPr>
      </w:pPr>
      <w:hyperlink r:id="rId1760" w:history="1">
        <w:r w:rsidR="00AF7253">
          <w:rPr>
            <w:rStyle w:val="Hyperlink"/>
            <w:b/>
            <w:bCs/>
            <w:lang w:eastAsia="x-none"/>
          </w:rPr>
          <w:t>R1-2312320</w:t>
        </w:r>
      </w:hyperlink>
      <w:r w:rsidR="00081D61" w:rsidRPr="00376A74">
        <w:rPr>
          <w:b/>
          <w:bCs/>
          <w:lang w:eastAsia="x-none"/>
        </w:rPr>
        <w:tab/>
        <w:t>Summary #2 on 8.13.1 Coverage enhancement for NR NTN</w:t>
      </w:r>
      <w:r w:rsidR="00081D61" w:rsidRPr="00376A74">
        <w:rPr>
          <w:b/>
          <w:bCs/>
          <w:lang w:eastAsia="x-none"/>
        </w:rPr>
        <w:tab/>
        <w:t>Moderator (NTT DOCOMO, INC.)</w:t>
      </w:r>
    </w:p>
    <w:p w14:paraId="050C9691" w14:textId="2D997D08" w:rsidR="00376A74" w:rsidRDefault="00376A74" w:rsidP="00081D61">
      <w:pPr>
        <w:rPr>
          <w:lang w:eastAsia="x-none"/>
        </w:rPr>
      </w:pPr>
      <w:r>
        <w:rPr>
          <w:lang w:eastAsia="x-none"/>
        </w:rPr>
        <w:t>From Wednesday session</w:t>
      </w:r>
    </w:p>
    <w:p w14:paraId="78F1AEE9" w14:textId="77777777" w:rsidR="00376A74" w:rsidRDefault="00376A74" w:rsidP="00573B6C">
      <w:r>
        <w:rPr>
          <w:highlight w:val="green"/>
        </w:rPr>
        <w:t>Agreement</w:t>
      </w:r>
    </w:p>
    <w:p w14:paraId="6AD00CFD" w14:textId="77777777" w:rsidR="00376A74" w:rsidRDefault="00376A74" w:rsidP="00573B6C">
      <w:r>
        <w:t>The TP below is endorsed for TS38.213</w:t>
      </w:r>
    </w:p>
    <w:p w14:paraId="7387AF0A" w14:textId="77777777" w:rsidR="00376A74" w:rsidRPr="00573B6C" w:rsidRDefault="00376A74" w:rsidP="00A67145">
      <w:pPr>
        <w:pStyle w:val="ListParagraph"/>
        <w:numPr>
          <w:ilvl w:val="0"/>
          <w:numId w:val="169"/>
        </w:numPr>
        <w:rPr>
          <w:iCs/>
          <w:lang w:val="en-US" w:eastAsia="zh-CN"/>
        </w:rPr>
      </w:pPr>
      <w:r w:rsidRPr="00573B6C">
        <w:rPr>
          <w:iCs/>
          <w:lang w:val="en-US" w:eastAsia="zh-CN"/>
        </w:rPr>
        <w:t xml:space="preserve">Reason for change: It was agreed that this WI can support PUCCH repetition not only for Msg4 HARQ-ACK but also for subsequent PUCCH e.g., to report HARQ-ACK corresponding to a PDSCH conveying RRC configuration parameters. </w:t>
      </w:r>
    </w:p>
    <w:p w14:paraId="375315C2" w14:textId="77777777" w:rsidR="00376A74" w:rsidRPr="00573B6C" w:rsidRDefault="00376A74" w:rsidP="00A67145">
      <w:pPr>
        <w:pStyle w:val="ListParagraph"/>
        <w:numPr>
          <w:ilvl w:val="0"/>
          <w:numId w:val="169"/>
        </w:numPr>
        <w:rPr>
          <w:iCs/>
          <w:lang w:val="en-US" w:eastAsia="zh-CN"/>
        </w:rPr>
      </w:pPr>
      <w:r w:rsidRPr="00573B6C">
        <w:rPr>
          <w:iCs/>
          <w:lang w:val="en-US" w:eastAsia="zh-CN"/>
        </w:rPr>
        <w:t>Summary of change: It is clarified that the indicated repetition factor is applied to any PUCCH transmission by using common PUCCH resource.</w:t>
      </w:r>
    </w:p>
    <w:p w14:paraId="09768886" w14:textId="77777777" w:rsidR="00376A74" w:rsidRPr="00573B6C" w:rsidRDefault="00376A74" w:rsidP="00A67145">
      <w:pPr>
        <w:pStyle w:val="ListParagraph"/>
        <w:numPr>
          <w:ilvl w:val="0"/>
          <w:numId w:val="169"/>
        </w:numPr>
        <w:rPr>
          <w:iCs/>
          <w:lang w:val="en-US" w:eastAsia="zh-CN"/>
        </w:rPr>
      </w:pPr>
      <w:r w:rsidRPr="00573B6C">
        <w:rPr>
          <w:iCs/>
          <w:lang w:val="en-US" w:eastAsia="zh-CN"/>
        </w:rPr>
        <w:t>Consequences if not approved: It is unclear which repetition factor is applied to PUCCH transmissions after Msg4 HARQ-ACK transmission when dedicated PUCCH resource configuration is not provided.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683"/>
      </w:tblGrid>
      <w:tr w:rsidR="00376A74" w:rsidRPr="00573B6C" w14:paraId="34618AFB" w14:textId="77777777" w:rsidTr="00573B6C">
        <w:tc>
          <w:tcPr>
            <w:tcW w:w="5000" w:type="pct"/>
            <w:tcBorders>
              <w:top w:val="single" w:sz="4" w:space="0" w:color="auto"/>
              <w:left w:val="single" w:sz="4" w:space="0" w:color="auto"/>
              <w:bottom w:val="single" w:sz="4" w:space="0" w:color="auto"/>
              <w:right w:val="single" w:sz="4" w:space="0" w:color="auto"/>
            </w:tcBorders>
            <w:hideMark/>
          </w:tcPr>
          <w:p w14:paraId="23603660" w14:textId="3B18B2FB" w:rsidR="00376A74" w:rsidRPr="00573B6C" w:rsidRDefault="00376A74" w:rsidP="00573B6C">
            <w:pPr>
              <w:spacing w:line="360" w:lineRule="auto"/>
              <w:rPr>
                <w:rFonts w:ascii="Arial" w:eastAsia="SimSun" w:hAnsi="Arial" w:cs="Arial"/>
                <w:b/>
                <w:bCs/>
                <w:sz w:val="16"/>
                <w:szCs w:val="16"/>
                <w:lang w:val="en-US" w:eastAsia="zh-CN"/>
              </w:rPr>
            </w:pPr>
            <w:r w:rsidRPr="00573B6C">
              <w:rPr>
                <w:rFonts w:ascii="Arial" w:eastAsia="SimSun" w:hAnsi="Arial" w:cs="Arial"/>
                <w:b/>
                <w:bCs/>
                <w:sz w:val="16"/>
                <w:szCs w:val="16"/>
                <w:lang w:val="en-US" w:eastAsia="zh-CN"/>
              </w:rPr>
              <w:t>9.2.6</w:t>
            </w:r>
            <w:r w:rsidRPr="00573B6C">
              <w:rPr>
                <w:rFonts w:ascii="Arial" w:eastAsia="SimSun" w:hAnsi="Arial" w:cs="Arial"/>
                <w:b/>
                <w:bCs/>
                <w:sz w:val="16"/>
                <w:szCs w:val="16"/>
                <w:lang w:val="en-US" w:eastAsia="zh-CN"/>
              </w:rPr>
              <w:tab/>
              <w:t>PUCCH repetition procedure</w:t>
            </w:r>
          </w:p>
          <w:p w14:paraId="3D12D578" w14:textId="77777777" w:rsidR="00376A74" w:rsidRPr="00573B6C" w:rsidRDefault="00376A74" w:rsidP="00573B6C">
            <w:pPr>
              <w:rPr>
                <w:rFonts w:ascii="Arial" w:eastAsia="SimSun" w:hAnsi="Arial" w:cs="Arial"/>
                <w:sz w:val="16"/>
                <w:szCs w:val="16"/>
                <w:lang w:val="en-US" w:eastAsia="zh-CN"/>
              </w:rPr>
            </w:pPr>
            <w:r w:rsidRPr="00573B6C">
              <w:rPr>
                <w:rFonts w:ascii="Arial" w:eastAsia="SimSun" w:hAnsi="Arial" w:cs="Arial"/>
                <w:sz w:val="16"/>
                <w:szCs w:val="16"/>
                <w:lang w:val="en-US" w:eastAsia="zh-CN"/>
              </w:rPr>
              <w:t xml:space="preserve">A UE that does not have dedicated PUCCH resource configuration and indicates a capability to transmit with repetitions a PUCCH with HARQ-ACK information [11, TS 38.321], determines a number of </w:t>
            </w:r>
            <w:r w:rsidRPr="00573B6C">
              <w:rPr>
                <w:rFonts w:ascii="Arial" w:eastAsia="SimSun" w:hAnsi="Arial" w:cs="Arial"/>
                <w:sz w:val="16"/>
                <w:szCs w:val="16"/>
                <w:lang w:val="en-US" w:eastAsia="zh-CN"/>
              </w:rPr>
              <w:fldChar w:fldCharType="begin"/>
            </w:r>
            <w:r w:rsidRPr="00573B6C">
              <w:rPr>
                <w:rFonts w:ascii="Arial" w:eastAsia="SimSun" w:hAnsi="Arial" w:cs="Arial"/>
                <w:sz w:val="16"/>
                <w:szCs w:val="16"/>
                <w:lang w:val="en-US" w:eastAsia="zh-CN"/>
              </w:rPr>
              <w:instrText xml:space="preserve"> QUOTE </w:instrText>
            </w:r>
            <w:r w:rsidR="00A6784C">
              <w:rPr>
                <w:rFonts w:ascii="Arial" w:hAnsi="Arial" w:cs="Arial"/>
                <w:position w:val="-7"/>
                <w:sz w:val="16"/>
                <w:szCs w:val="16"/>
              </w:rPr>
              <w:pict w14:anchorId="6CA9B6F5">
                <v:shape id="_x0000_i1238" type="#_x0000_t75" style="width:35.25pt;height:16.5pt" equationxml="&lt;">
                  <v:imagedata r:id="rId1761" o:title="" chromakey="white"/>
                </v:shape>
              </w:pict>
            </w:r>
            <w:r w:rsidRPr="00573B6C">
              <w:rPr>
                <w:rFonts w:ascii="Arial" w:eastAsia="SimSun" w:hAnsi="Arial" w:cs="Arial"/>
                <w:sz w:val="16"/>
                <w:szCs w:val="16"/>
                <w:lang w:val="en-US" w:eastAsia="zh-CN"/>
              </w:rPr>
              <w:instrText xml:space="preserve"> </w:instrText>
            </w:r>
            <w:r w:rsidRPr="00573B6C">
              <w:rPr>
                <w:rFonts w:ascii="Arial" w:eastAsia="SimSun" w:hAnsi="Arial" w:cs="Arial"/>
                <w:sz w:val="16"/>
                <w:szCs w:val="16"/>
                <w:lang w:val="en-US" w:eastAsia="zh-CN"/>
              </w:rPr>
              <w:fldChar w:fldCharType="separate"/>
            </w:r>
            <w:r w:rsidR="00A6784C">
              <w:rPr>
                <w:rFonts w:ascii="Arial" w:hAnsi="Arial" w:cs="Arial"/>
                <w:position w:val="-7"/>
                <w:sz w:val="16"/>
                <w:szCs w:val="16"/>
              </w:rPr>
              <w:pict w14:anchorId="45DCCC4A">
                <v:shape id="_x0000_i1239" type="#_x0000_t75" style="width:35.25pt;height:16.5pt" equationxml="&lt;">
                  <v:imagedata r:id="rId1761" o:title="" chromakey="white"/>
                </v:shape>
              </w:pict>
            </w:r>
            <w:r w:rsidRPr="00573B6C">
              <w:rPr>
                <w:rFonts w:ascii="Arial" w:eastAsia="SimSun" w:hAnsi="Arial" w:cs="Arial"/>
                <w:sz w:val="16"/>
                <w:szCs w:val="16"/>
                <w:lang w:val="en-US" w:eastAsia="zh-CN"/>
              </w:rPr>
              <w:fldChar w:fldCharType="end"/>
            </w:r>
            <w:r w:rsidRPr="00573B6C">
              <w:rPr>
                <w:rFonts w:ascii="Arial" w:eastAsia="SimSun" w:hAnsi="Arial" w:cs="Arial"/>
                <w:sz w:val="16"/>
                <w:szCs w:val="16"/>
                <w:lang w:val="en-US" w:eastAsia="zh-CN"/>
              </w:rPr>
              <w:t xml:space="preserve"> slots for repetitions of a PUCCH transmission with HARQ-ACK information based on an indication by numberOfPUCCHforMsg4HARQACK-RepetitionsList. If numberOfPUCCHforMsg4HARQACK-RepetitionsList provides more than one values, the DAI field in a DCI format 1_0 with CRC scrambled by a TC-RNTI scheduling a PDSCH reception that includes a UE contention resolution identity indicates </w:t>
            </w:r>
            <w:r w:rsidRPr="00573B6C">
              <w:rPr>
                <w:rFonts w:ascii="Arial" w:eastAsia="SimSun" w:hAnsi="Arial" w:cs="Arial"/>
                <w:sz w:val="16"/>
                <w:szCs w:val="16"/>
                <w:lang w:val="en-US" w:eastAsia="zh-CN"/>
              </w:rPr>
              <w:fldChar w:fldCharType="begin"/>
            </w:r>
            <w:r w:rsidRPr="00573B6C">
              <w:rPr>
                <w:rFonts w:ascii="Arial" w:eastAsia="SimSun" w:hAnsi="Arial" w:cs="Arial"/>
                <w:sz w:val="16"/>
                <w:szCs w:val="16"/>
                <w:lang w:val="en-US" w:eastAsia="zh-CN"/>
              </w:rPr>
              <w:instrText xml:space="preserve"> QUOTE </w:instrText>
            </w:r>
            <w:r w:rsidR="00A6784C">
              <w:rPr>
                <w:rFonts w:ascii="Arial" w:hAnsi="Arial" w:cs="Arial"/>
                <w:position w:val="-7"/>
                <w:sz w:val="16"/>
                <w:szCs w:val="16"/>
              </w:rPr>
              <w:pict w14:anchorId="42961351">
                <v:shape id="_x0000_i1240" type="#_x0000_t75" style="width:35.25pt;height:16.5pt" equationxml="&lt;">
                  <v:imagedata r:id="rId1761" o:title="" chromakey="white"/>
                </v:shape>
              </w:pict>
            </w:r>
            <w:r w:rsidRPr="00573B6C">
              <w:rPr>
                <w:rFonts w:ascii="Arial" w:eastAsia="SimSun" w:hAnsi="Arial" w:cs="Arial"/>
                <w:sz w:val="16"/>
                <w:szCs w:val="16"/>
                <w:lang w:val="en-US" w:eastAsia="zh-CN"/>
              </w:rPr>
              <w:instrText xml:space="preserve"> </w:instrText>
            </w:r>
            <w:r w:rsidRPr="00573B6C">
              <w:rPr>
                <w:rFonts w:ascii="Arial" w:eastAsia="SimSun" w:hAnsi="Arial" w:cs="Arial"/>
                <w:sz w:val="16"/>
                <w:szCs w:val="16"/>
                <w:lang w:val="en-US" w:eastAsia="zh-CN"/>
              </w:rPr>
              <w:fldChar w:fldCharType="separate"/>
            </w:r>
            <w:r w:rsidR="00A6784C">
              <w:rPr>
                <w:rFonts w:ascii="Arial" w:hAnsi="Arial" w:cs="Arial"/>
                <w:position w:val="-7"/>
                <w:sz w:val="16"/>
                <w:szCs w:val="16"/>
              </w:rPr>
              <w:pict w14:anchorId="126FDB80">
                <v:shape id="_x0000_i1241" type="#_x0000_t75" style="width:35.25pt;height:16.5pt" equationxml="&lt;">
                  <v:imagedata r:id="rId1761" o:title="" chromakey="white"/>
                </v:shape>
              </w:pict>
            </w:r>
            <w:r w:rsidRPr="00573B6C">
              <w:rPr>
                <w:rFonts w:ascii="Arial" w:eastAsia="SimSun" w:hAnsi="Arial" w:cs="Arial"/>
                <w:sz w:val="16"/>
                <w:szCs w:val="16"/>
                <w:lang w:val="en-US" w:eastAsia="zh-CN"/>
              </w:rPr>
              <w:fldChar w:fldCharType="end"/>
            </w:r>
            <w:r w:rsidRPr="00573B6C">
              <w:rPr>
                <w:rFonts w:ascii="Arial" w:eastAsia="SimSun" w:hAnsi="Arial" w:cs="Arial"/>
                <w:sz w:val="16"/>
                <w:szCs w:val="16"/>
                <w:lang w:val="en-US" w:eastAsia="zh-CN"/>
              </w:rPr>
              <w:t xml:space="preserve"> from the more than one values. </w:t>
            </w:r>
            <w:r w:rsidRPr="00573B6C">
              <w:rPr>
                <w:rFonts w:ascii="Arial" w:eastAsia="SimSun" w:hAnsi="Arial" w:cs="Arial"/>
                <w:color w:val="FF0000"/>
                <w:sz w:val="16"/>
                <w:szCs w:val="16"/>
                <w:u w:val="single"/>
                <w:lang w:val="en-US"/>
              </w:rPr>
              <w:t xml:space="preserve">The number of </w:t>
            </w:r>
            <w:r w:rsidRPr="00573B6C">
              <w:rPr>
                <w:rFonts w:ascii="Arial" w:eastAsia="SimSun" w:hAnsi="Arial" w:cs="Arial"/>
                <w:color w:val="FF0000"/>
                <w:sz w:val="16"/>
                <w:szCs w:val="16"/>
                <w:u w:val="single"/>
                <w:lang w:val="en-US"/>
              </w:rPr>
              <w:fldChar w:fldCharType="begin"/>
            </w:r>
            <w:r w:rsidRPr="00573B6C">
              <w:rPr>
                <w:rFonts w:ascii="Arial" w:eastAsia="SimSun" w:hAnsi="Arial" w:cs="Arial"/>
                <w:color w:val="FF0000"/>
                <w:sz w:val="16"/>
                <w:szCs w:val="16"/>
                <w:u w:val="single"/>
                <w:lang w:val="en-US"/>
              </w:rPr>
              <w:instrText xml:space="preserve"> QUOTE </w:instrText>
            </w:r>
            <w:r w:rsidR="00A6784C">
              <w:rPr>
                <w:rFonts w:ascii="Arial" w:hAnsi="Arial" w:cs="Arial"/>
                <w:position w:val="-7"/>
                <w:sz w:val="16"/>
                <w:szCs w:val="16"/>
              </w:rPr>
              <w:pict w14:anchorId="68448581">
                <v:shape id="_x0000_i1242" type="#_x0000_t75" style="width:35.25pt;height:16.5pt" equationxml="&lt;">
                  <v:imagedata r:id="rId1762" o:title="" chromakey="white"/>
                </v:shape>
              </w:pict>
            </w:r>
            <w:r w:rsidRPr="00573B6C">
              <w:rPr>
                <w:rFonts w:ascii="Arial" w:eastAsia="SimSun" w:hAnsi="Arial" w:cs="Arial"/>
                <w:color w:val="FF0000"/>
                <w:sz w:val="16"/>
                <w:szCs w:val="16"/>
                <w:u w:val="single"/>
                <w:lang w:val="en-US"/>
              </w:rPr>
              <w:instrText xml:space="preserve"> </w:instrText>
            </w:r>
            <w:r w:rsidRPr="00573B6C">
              <w:rPr>
                <w:rFonts w:ascii="Arial" w:eastAsia="SimSun" w:hAnsi="Arial" w:cs="Arial"/>
                <w:color w:val="FF0000"/>
                <w:sz w:val="16"/>
                <w:szCs w:val="16"/>
                <w:u w:val="single"/>
                <w:lang w:val="en-US"/>
              </w:rPr>
              <w:fldChar w:fldCharType="separate"/>
            </w:r>
            <w:r w:rsidR="00A6784C">
              <w:rPr>
                <w:rFonts w:ascii="Arial" w:hAnsi="Arial" w:cs="Arial"/>
                <w:position w:val="-7"/>
                <w:sz w:val="16"/>
                <w:szCs w:val="16"/>
              </w:rPr>
              <w:pict w14:anchorId="27C2950F">
                <v:shape id="_x0000_i1243" type="#_x0000_t75" style="width:35.25pt;height:16.5pt" equationxml="&lt;">
                  <v:imagedata r:id="rId1762" o:title="" chromakey="white"/>
                </v:shape>
              </w:pict>
            </w:r>
            <w:r w:rsidRPr="00573B6C">
              <w:rPr>
                <w:rFonts w:ascii="Arial" w:eastAsia="SimSun" w:hAnsi="Arial" w:cs="Arial"/>
                <w:color w:val="FF0000"/>
                <w:sz w:val="16"/>
                <w:szCs w:val="16"/>
                <w:u w:val="single"/>
                <w:lang w:val="en-US"/>
              </w:rPr>
              <w:fldChar w:fldCharType="end"/>
            </w:r>
            <w:r w:rsidRPr="00573B6C">
              <w:rPr>
                <w:rFonts w:ascii="Arial" w:eastAsia="SimSun" w:hAnsi="Arial" w:cs="Arial"/>
                <w:color w:val="FF0000"/>
                <w:sz w:val="16"/>
                <w:szCs w:val="16"/>
                <w:u w:val="single"/>
                <w:lang w:val="en-US"/>
              </w:rPr>
              <w:t xml:space="preserve"> repetitions is applied to any PUCCH transmission before dedicated PUCCH resource configuration is provided.</w:t>
            </w:r>
            <w:r w:rsidRPr="00573B6C">
              <w:rPr>
                <w:rFonts w:ascii="Arial" w:eastAsia="SimSun" w:hAnsi="Arial" w:cs="Arial"/>
                <w:sz w:val="16"/>
                <w:szCs w:val="16"/>
                <w:lang w:val="en-US" w:eastAsia="zh-CN"/>
              </w:rPr>
              <w:t xml:space="preserve"> The UE transmits each repetition of the PUCCH using frequency hopping as described in Clause 9.2.1. </w:t>
            </w:r>
          </w:p>
          <w:p w14:paraId="16943935" w14:textId="77777777" w:rsidR="00376A74" w:rsidRPr="00573B6C" w:rsidRDefault="00376A74" w:rsidP="00573B6C">
            <w:pPr>
              <w:rPr>
                <w:rFonts w:ascii="Arial" w:eastAsia="SimSun" w:hAnsi="Arial" w:cs="Arial"/>
                <w:sz w:val="16"/>
                <w:szCs w:val="16"/>
                <w:lang w:val="en-US" w:eastAsia="zh-CN"/>
              </w:rPr>
            </w:pPr>
            <w:r w:rsidRPr="00573B6C">
              <w:rPr>
                <w:rFonts w:ascii="Arial" w:eastAsia="SimSun" w:hAnsi="Arial" w:cs="Arial"/>
                <w:sz w:val="16"/>
                <w:szCs w:val="16"/>
                <w:lang w:val="en-US" w:eastAsia="zh-CN"/>
              </w:rPr>
              <w:t>In the remaining of this clause, a UE without dedicated PUCCH resource configuration determines a value of a parameter, if applicable, according to Table 9.2.1-1 and/or as specified above in this clause for a PUCCH transmission with repetitions from the UE.</w:t>
            </w:r>
          </w:p>
          <w:p w14:paraId="4F636D36" w14:textId="77777777" w:rsidR="00376A74" w:rsidRPr="00573B6C" w:rsidRDefault="00376A74" w:rsidP="00573B6C">
            <w:pPr>
              <w:jc w:val="center"/>
              <w:rPr>
                <w:rFonts w:ascii="Arial" w:eastAsia="SimSun" w:hAnsi="Arial" w:cs="Arial"/>
                <w:sz w:val="16"/>
                <w:szCs w:val="16"/>
                <w:lang w:val="en-US" w:eastAsia="zh-CN"/>
              </w:rPr>
            </w:pPr>
            <w:r w:rsidRPr="00573B6C">
              <w:rPr>
                <w:rFonts w:ascii="Arial" w:eastAsia="SimSun" w:hAnsi="Arial" w:cs="Arial"/>
                <w:color w:val="FF0000"/>
                <w:sz w:val="16"/>
                <w:szCs w:val="16"/>
                <w:lang w:val="en-US" w:eastAsia="zh-CN"/>
              </w:rPr>
              <w:t>*** Unchanged parts are omitted ***</w:t>
            </w:r>
          </w:p>
        </w:tc>
      </w:tr>
    </w:tbl>
    <w:p w14:paraId="61E16B38" w14:textId="77777777" w:rsidR="00376A74" w:rsidRPr="00573B6C" w:rsidRDefault="00376A74" w:rsidP="00081D61">
      <w:pPr>
        <w:rPr>
          <w:rFonts w:ascii="Times New Roman" w:hAnsi="Times New Roman"/>
          <w:lang w:val="en-US" w:eastAsia="x-none"/>
        </w:rPr>
      </w:pPr>
    </w:p>
    <w:p w14:paraId="2A44C698" w14:textId="77777777" w:rsidR="00376A74" w:rsidRPr="009537ED" w:rsidRDefault="00376A74" w:rsidP="00081D61">
      <w:pPr>
        <w:rPr>
          <w:lang w:eastAsia="x-none"/>
        </w:rPr>
      </w:pPr>
    </w:p>
    <w:p w14:paraId="4283AEEF" w14:textId="6F3A25AD" w:rsidR="00081D61" w:rsidRPr="0087678D" w:rsidRDefault="005A18DC" w:rsidP="00081D61">
      <w:pPr>
        <w:rPr>
          <w:b/>
          <w:bCs/>
          <w:lang w:eastAsia="x-none"/>
        </w:rPr>
      </w:pPr>
      <w:hyperlink r:id="rId1763" w:history="1">
        <w:r w:rsidR="00AF7253">
          <w:rPr>
            <w:rStyle w:val="Hyperlink"/>
            <w:b/>
            <w:bCs/>
            <w:lang w:eastAsia="x-none"/>
          </w:rPr>
          <w:t>R1-2312321</w:t>
        </w:r>
      </w:hyperlink>
      <w:r w:rsidR="00081D61" w:rsidRPr="0087678D">
        <w:rPr>
          <w:b/>
          <w:bCs/>
          <w:lang w:eastAsia="x-none"/>
        </w:rPr>
        <w:tab/>
        <w:t>Summary #3 on 8.13.1 Coverage enhancement for NR NTN</w:t>
      </w:r>
      <w:r w:rsidR="00081D61" w:rsidRPr="0087678D">
        <w:rPr>
          <w:b/>
          <w:bCs/>
          <w:lang w:eastAsia="x-none"/>
        </w:rPr>
        <w:tab/>
        <w:t>Moderator (NTT DOCOMO, INC.)</w:t>
      </w:r>
    </w:p>
    <w:p w14:paraId="2D2179BB" w14:textId="451BE7A2" w:rsidR="00081D61" w:rsidRDefault="0087678D" w:rsidP="00F74A6F">
      <w:pPr>
        <w:rPr>
          <w:lang w:eastAsia="x-none"/>
        </w:rPr>
      </w:pPr>
      <w:r>
        <w:rPr>
          <w:lang w:eastAsia="x-none"/>
        </w:rPr>
        <w:t>From Thursday session</w:t>
      </w:r>
    </w:p>
    <w:p w14:paraId="12D6EFB1" w14:textId="77777777" w:rsidR="0087678D" w:rsidRPr="0087678D" w:rsidRDefault="0087678D" w:rsidP="0087678D">
      <w:pPr>
        <w:snapToGrid w:val="0"/>
        <w:rPr>
          <w:bCs/>
          <w:u w:val="single"/>
          <w:lang w:val="en-US" w:eastAsia="zh-CN"/>
        </w:rPr>
      </w:pPr>
      <w:r w:rsidRPr="0087678D">
        <w:rPr>
          <w:bCs/>
          <w:u w:val="single"/>
          <w:lang w:val="en-US" w:eastAsia="zh-CN"/>
        </w:rPr>
        <w:t>Conclusion</w:t>
      </w:r>
    </w:p>
    <w:p w14:paraId="5AB614B8" w14:textId="77777777" w:rsidR="0087678D" w:rsidRDefault="0087678D" w:rsidP="0087678D">
      <w:pPr>
        <w:snapToGrid w:val="0"/>
        <w:rPr>
          <w:lang w:val="en-US" w:eastAsia="zh-CN"/>
        </w:rPr>
      </w:pPr>
      <w:r>
        <w:rPr>
          <w:lang w:val="en-US" w:eastAsia="zh-CN"/>
        </w:rPr>
        <w:t xml:space="preserve">For PUCCH repetition on common PUCCH resources, with respect to </w:t>
      </w:r>
      <w:r>
        <w:rPr>
          <w:rFonts w:eastAsia="MS Mincho"/>
          <w:lang w:val="en-US"/>
        </w:rPr>
        <w:t>the number of symbols and the first symbol for PUCCH transmission</w:t>
      </w:r>
      <w:r>
        <w:rPr>
          <w:lang w:val="en-US" w:eastAsia="zh-CN"/>
        </w:rPr>
        <w:t xml:space="preserve">, </w:t>
      </w:r>
      <w:r>
        <w:rPr>
          <w:lang w:val="en-US"/>
        </w:rPr>
        <w:t xml:space="preserve">no </w:t>
      </w:r>
      <w:r>
        <w:rPr>
          <w:lang w:val="en-US" w:eastAsia="zh-CN"/>
        </w:rPr>
        <w:t>specification change in Rel-18.</w:t>
      </w:r>
    </w:p>
    <w:p w14:paraId="7BB54ED9" w14:textId="77777777" w:rsidR="000E1EA4" w:rsidRDefault="000E1EA4" w:rsidP="0087678D">
      <w:pPr>
        <w:snapToGrid w:val="0"/>
        <w:rPr>
          <w:lang w:val="en-US" w:eastAsia="zh-CN"/>
        </w:rPr>
      </w:pPr>
    </w:p>
    <w:p w14:paraId="6AF23241" w14:textId="77777777" w:rsidR="000E1EA4" w:rsidRDefault="000E1EA4" w:rsidP="0087678D">
      <w:pPr>
        <w:snapToGrid w:val="0"/>
        <w:rPr>
          <w:lang w:val="en-US" w:eastAsia="zh-CN"/>
        </w:rPr>
      </w:pPr>
    </w:p>
    <w:p w14:paraId="65FDA0C7" w14:textId="7BDC1B81" w:rsidR="000E1EA4" w:rsidRDefault="000E1EA4" w:rsidP="0087678D">
      <w:pPr>
        <w:snapToGrid w:val="0"/>
        <w:rPr>
          <w:lang w:val="en-US" w:eastAsia="zh-CN"/>
        </w:rPr>
      </w:pPr>
      <w:r>
        <w:rPr>
          <w:lang w:val="en-US" w:eastAsia="zh-CN"/>
        </w:rPr>
        <w:t xml:space="preserve">Final summary in </w:t>
      </w:r>
      <w:hyperlink r:id="rId1764" w:history="1">
        <w:r w:rsidR="00AF7253">
          <w:rPr>
            <w:rStyle w:val="Hyperlink"/>
            <w:lang w:val="en-US" w:eastAsia="zh-CN"/>
          </w:rPr>
          <w:t>R1-2312672</w:t>
        </w:r>
      </w:hyperlink>
      <w:r>
        <w:rPr>
          <w:lang w:val="en-US" w:eastAsia="zh-CN"/>
        </w:rPr>
        <w:t>.</w:t>
      </w:r>
    </w:p>
    <w:p w14:paraId="0F164B1C" w14:textId="77777777" w:rsidR="00F74A6F" w:rsidRPr="009537ED" w:rsidRDefault="00F74A6F" w:rsidP="00081D61">
      <w:pPr>
        <w:pStyle w:val="Heading3"/>
        <w:rPr>
          <w:iCs/>
        </w:rPr>
      </w:pPr>
      <w:bookmarkStart w:id="766" w:name="_Toc150174492"/>
      <w:bookmarkStart w:id="767" w:name="_Toc159251034"/>
      <w:r w:rsidRPr="009537ED">
        <w:t>Network verified UE location</w:t>
      </w:r>
      <w:r w:rsidRPr="009537ED">
        <w:rPr>
          <w:iCs/>
        </w:rPr>
        <w:t xml:space="preserve"> for NR NTN</w:t>
      </w:r>
      <w:bookmarkEnd w:id="766"/>
      <w:bookmarkEnd w:id="767"/>
    </w:p>
    <w:p w14:paraId="654C30C9" w14:textId="3DA83B8E" w:rsidR="00F74A6F" w:rsidRPr="009537ED" w:rsidRDefault="005A18DC" w:rsidP="00F74A6F">
      <w:pPr>
        <w:rPr>
          <w:lang w:eastAsia="x-none"/>
        </w:rPr>
      </w:pPr>
      <w:hyperlink r:id="rId1765" w:history="1">
        <w:r w:rsidR="00AF7253">
          <w:rPr>
            <w:rStyle w:val="Hyperlink"/>
            <w:lang w:eastAsia="x-none"/>
          </w:rPr>
          <w:t>R1-2310875</w:t>
        </w:r>
      </w:hyperlink>
      <w:r w:rsidR="00F74A6F" w:rsidRPr="009537ED">
        <w:rPr>
          <w:lang w:eastAsia="x-none"/>
        </w:rPr>
        <w:tab/>
        <w:t>Maintenance of network-verified UE location for NR NTN</w:t>
      </w:r>
      <w:r w:rsidR="00F74A6F" w:rsidRPr="009537ED">
        <w:rPr>
          <w:lang w:eastAsia="x-none"/>
        </w:rPr>
        <w:tab/>
        <w:t>Huawei, HiSilicon</w:t>
      </w:r>
    </w:p>
    <w:p w14:paraId="36F87107" w14:textId="55EBD31B" w:rsidR="00F74A6F" w:rsidRPr="009537ED" w:rsidRDefault="005A18DC" w:rsidP="00F74A6F">
      <w:pPr>
        <w:rPr>
          <w:lang w:eastAsia="x-none"/>
        </w:rPr>
      </w:pPr>
      <w:hyperlink r:id="rId1766" w:history="1">
        <w:r w:rsidR="00AF7253">
          <w:rPr>
            <w:rStyle w:val="Hyperlink"/>
            <w:lang w:eastAsia="x-none"/>
          </w:rPr>
          <w:t>R1-2310935</w:t>
        </w:r>
      </w:hyperlink>
      <w:r w:rsidR="00F74A6F" w:rsidRPr="009537ED">
        <w:rPr>
          <w:lang w:eastAsia="x-none"/>
        </w:rPr>
        <w:tab/>
        <w:t>Maintenance on network verified UE location in NR NTN</w:t>
      </w:r>
      <w:r w:rsidR="00F74A6F" w:rsidRPr="009537ED">
        <w:rPr>
          <w:lang w:eastAsia="x-none"/>
        </w:rPr>
        <w:tab/>
        <w:t>THALES</w:t>
      </w:r>
    </w:p>
    <w:p w14:paraId="7414E37F" w14:textId="4B25BF88" w:rsidR="00F74A6F" w:rsidRPr="009537ED" w:rsidRDefault="005A18DC" w:rsidP="00F74A6F">
      <w:pPr>
        <w:rPr>
          <w:lang w:eastAsia="x-none"/>
        </w:rPr>
      </w:pPr>
      <w:hyperlink r:id="rId1767" w:history="1">
        <w:r w:rsidR="00AF7253">
          <w:rPr>
            <w:rStyle w:val="Hyperlink"/>
            <w:lang w:eastAsia="x-none"/>
          </w:rPr>
          <w:t>R1-2310937</w:t>
        </w:r>
      </w:hyperlink>
      <w:r w:rsidR="00F74A6F" w:rsidRPr="009537ED">
        <w:rPr>
          <w:lang w:eastAsia="x-none"/>
        </w:rPr>
        <w:tab/>
        <w:t>Feature Lead Summary #1 on Network verified UE location for NR NTN</w:t>
      </w:r>
      <w:r w:rsidR="00F74A6F" w:rsidRPr="009537ED">
        <w:rPr>
          <w:lang w:eastAsia="x-none"/>
        </w:rPr>
        <w:tab/>
        <w:t>Moderator (THALES)</w:t>
      </w:r>
    </w:p>
    <w:p w14:paraId="606863B0" w14:textId="2EC2D3FA" w:rsidR="00F74A6F" w:rsidRPr="009537ED" w:rsidRDefault="005A18DC" w:rsidP="00F74A6F">
      <w:pPr>
        <w:rPr>
          <w:lang w:eastAsia="x-none"/>
        </w:rPr>
      </w:pPr>
      <w:hyperlink r:id="rId1768" w:history="1">
        <w:r w:rsidR="00AF7253">
          <w:rPr>
            <w:rStyle w:val="Hyperlink"/>
            <w:lang w:eastAsia="x-none"/>
          </w:rPr>
          <w:t>R1-2310938</w:t>
        </w:r>
      </w:hyperlink>
      <w:r w:rsidR="00F74A6F" w:rsidRPr="009537ED">
        <w:rPr>
          <w:lang w:eastAsia="x-none"/>
        </w:rPr>
        <w:tab/>
        <w:t>Feature Lead Summary #2 on Network verified UE location for NR NTN</w:t>
      </w:r>
      <w:r w:rsidR="00F74A6F" w:rsidRPr="009537ED">
        <w:rPr>
          <w:lang w:eastAsia="x-none"/>
        </w:rPr>
        <w:tab/>
        <w:t>Moderator (THALES)</w:t>
      </w:r>
    </w:p>
    <w:p w14:paraId="1FC54E27" w14:textId="517C142F" w:rsidR="00F74A6F" w:rsidRPr="009537ED" w:rsidRDefault="005A18DC" w:rsidP="00F74A6F">
      <w:pPr>
        <w:rPr>
          <w:lang w:eastAsia="x-none"/>
        </w:rPr>
      </w:pPr>
      <w:hyperlink r:id="rId1769" w:history="1">
        <w:r w:rsidR="00AF7253">
          <w:rPr>
            <w:rStyle w:val="Hyperlink"/>
            <w:lang w:eastAsia="x-none"/>
          </w:rPr>
          <w:t>R1-2310939</w:t>
        </w:r>
      </w:hyperlink>
      <w:r w:rsidR="00F74A6F" w:rsidRPr="009537ED">
        <w:rPr>
          <w:lang w:eastAsia="x-none"/>
        </w:rPr>
        <w:tab/>
        <w:t>Feature Lead Summary #3 on Network verified UE location for NR NTN</w:t>
      </w:r>
      <w:r w:rsidR="00F74A6F" w:rsidRPr="009537ED">
        <w:rPr>
          <w:lang w:eastAsia="x-none"/>
        </w:rPr>
        <w:tab/>
        <w:t>Moderator (THALES)</w:t>
      </w:r>
    </w:p>
    <w:p w14:paraId="6F53E144" w14:textId="470DF55B" w:rsidR="00F74A6F" w:rsidRPr="009537ED" w:rsidRDefault="005A18DC" w:rsidP="00F74A6F">
      <w:pPr>
        <w:rPr>
          <w:lang w:eastAsia="x-none"/>
        </w:rPr>
      </w:pPr>
      <w:hyperlink r:id="rId1770" w:history="1">
        <w:r w:rsidR="00AF7253">
          <w:rPr>
            <w:rStyle w:val="Hyperlink"/>
            <w:lang w:eastAsia="x-none"/>
          </w:rPr>
          <w:t>R1-2311113</w:t>
        </w:r>
      </w:hyperlink>
      <w:r w:rsidR="00F74A6F" w:rsidRPr="009537ED">
        <w:rPr>
          <w:lang w:eastAsia="x-none"/>
        </w:rPr>
        <w:tab/>
        <w:t>Discussions on remaining issues of UE location verification in NR NTN</w:t>
      </w:r>
      <w:r w:rsidR="00F74A6F" w:rsidRPr="009537ED">
        <w:rPr>
          <w:lang w:eastAsia="x-none"/>
        </w:rPr>
        <w:tab/>
        <w:t>vivo</w:t>
      </w:r>
    </w:p>
    <w:p w14:paraId="7FF5E942" w14:textId="766CEE60" w:rsidR="00F74A6F" w:rsidRPr="009537ED" w:rsidRDefault="005A18DC" w:rsidP="00F74A6F">
      <w:pPr>
        <w:rPr>
          <w:lang w:eastAsia="x-none"/>
        </w:rPr>
      </w:pPr>
      <w:hyperlink r:id="rId1771" w:history="1">
        <w:r w:rsidR="00AF7253">
          <w:rPr>
            <w:rStyle w:val="Hyperlink"/>
            <w:lang w:eastAsia="x-none"/>
          </w:rPr>
          <w:t>R1-2311201</w:t>
        </w:r>
      </w:hyperlink>
      <w:r w:rsidR="00F74A6F" w:rsidRPr="009537ED">
        <w:rPr>
          <w:lang w:eastAsia="x-none"/>
        </w:rPr>
        <w:tab/>
        <w:t>Remaining issue on network verified UE location</w:t>
      </w:r>
      <w:r w:rsidR="00F74A6F" w:rsidRPr="009537ED">
        <w:rPr>
          <w:lang w:eastAsia="x-none"/>
        </w:rPr>
        <w:tab/>
        <w:t>ZTE</w:t>
      </w:r>
    </w:p>
    <w:p w14:paraId="1802770D" w14:textId="49FBF73C" w:rsidR="00F74A6F" w:rsidRPr="009537ED" w:rsidRDefault="005A18DC" w:rsidP="00F74A6F">
      <w:pPr>
        <w:rPr>
          <w:lang w:eastAsia="x-none"/>
        </w:rPr>
      </w:pPr>
      <w:hyperlink r:id="rId1772" w:history="1">
        <w:r w:rsidR="00AF7253">
          <w:rPr>
            <w:rStyle w:val="Hyperlink"/>
            <w:lang w:eastAsia="x-none"/>
          </w:rPr>
          <w:t>R1-2311246</w:t>
        </w:r>
      </w:hyperlink>
      <w:r w:rsidR="00F74A6F" w:rsidRPr="009537ED">
        <w:rPr>
          <w:lang w:eastAsia="x-none"/>
        </w:rPr>
        <w:tab/>
        <w:t>Discussion on remaining issue for network verified UE location for NR NTN</w:t>
      </w:r>
      <w:r w:rsidR="00F74A6F" w:rsidRPr="009537ED">
        <w:rPr>
          <w:lang w:eastAsia="x-none"/>
        </w:rPr>
        <w:tab/>
        <w:t>OPPO</w:t>
      </w:r>
    </w:p>
    <w:p w14:paraId="319DDAC1" w14:textId="4AE1F41C" w:rsidR="00F74A6F" w:rsidRPr="009537ED" w:rsidRDefault="005A18DC" w:rsidP="00F74A6F">
      <w:pPr>
        <w:rPr>
          <w:lang w:eastAsia="x-none"/>
        </w:rPr>
      </w:pPr>
      <w:hyperlink r:id="rId1773" w:history="1">
        <w:r w:rsidR="00AF7253">
          <w:rPr>
            <w:rStyle w:val="Hyperlink"/>
            <w:lang w:eastAsia="x-none"/>
          </w:rPr>
          <w:t>R1-2311325</w:t>
        </w:r>
      </w:hyperlink>
      <w:r w:rsidR="00F74A6F" w:rsidRPr="009537ED">
        <w:rPr>
          <w:lang w:eastAsia="x-none"/>
        </w:rPr>
        <w:tab/>
        <w:t>Remaining issue on network verified UE location</w:t>
      </w:r>
      <w:r w:rsidR="00F74A6F" w:rsidRPr="009537ED">
        <w:rPr>
          <w:lang w:eastAsia="x-none"/>
        </w:rPr>
        <w:tab/>
        <w:t>CATT</w:t>
      </w:r>
    </w:p>
    <w:p w14:paraId="0FDDFE53" w14:textId="1B46C002" w:rsidR="00F74A6F" w:rsidRPr="009537ED" w:rsidRDefault="005A18DC" w:rsidP="00F74A6F">
      <w:pPr>
        <w:rPr>
          <w:lang w:eastAsia="x-none"/>
        </w:rPr>
      </w:pPr>
      <w:hyperlink r:id="rId1774" w:history="1">
        <w:r w:rsidR="00AF7253">
          <w:rPr>
            <w:rStyle w:val="Hyperlink"/>
            <w:lang w:eastAsia="x-none"/>
          </w:rPr>
          <w:t>R1-2311521</w:t>
        </w:r>
      </w:hyperlink>
      <w:r w:rsidR="00F74A6F" w:rsidRPr="009537ED">
        <w:rPr>
          <w:lang w:eastAsia="x-none"/>
        </w:rPr>
        <w:tab/>
        <w:t>Maintenance on Network-verified UE location for NR-NTN</w:t>
      </w:r>
      <w:r w:rsidR="00F74A6F" w:rsidRPr="009537ED">
        <w:rPr>
          <w:lang w:eastAsia="x-none"/>
        </w:rPr>
        <w:tab/>
        <w:t>PANASONIC</w:t>
      </w:r>
    </w:p>
    <w:p w14:paraId="52727252" w14:textId="1ADF700F" w:rsidR="00F74A6F" w:rsidRPr="009537ED" w:rsidRDefault="005A18DC" w:rsidP="00F74A6F">
      <w:pPr>
        <w:rPr>
          <w:lang w:eastAsia="x-none"/>
        </w:rPr>
      </w:pPr>
      <w:hyperlink r:id="rId1775" w:history="1">
        <w:r w:rsidR="00AF7253">
          <w:rPr>
            <w:rStyle w:val="Hyperlink"/>
            <w:lang w:eastAsia="x-none"/>
          </w:rPr>
          <w:t>R1-2311638</w:t>
        </w:r>
      </w:hyperlink>
      <w:r w:rsidR="00F74A6F" w:rsidRPr="009537ED">
        <w:rPr>
          <w:lang w:eastAsia="x-none"/>
        </w:rPr>
        <w:tab/>
        <w:t>Remaining issue on Network verified UE location for NR NTN</w:t>
      </w:r>
      <w:r w:rsidR="00F74A6F" w:rsidRPr="009537ED">
        <w:rPr>
          <w:lang w:eastAsia="x-none"/>
        </w:rPr>
        <w:tab/>
        <w:t>NTT DOCOMO, INC.</w:t>
      </w:r>
    </w:p>
    <w:p w14:paraId="0B988829" w14:textId="1065DB4C" w:rsidR="00F74A6F" w:rsidRPr="009537ED" w:rsidRDefault="005A18DC" w:rsidP="00F74A6F">
      <w:pPr>
        <w:rPr>
          <w:lang w:eastAsia="x-none"/>
        </w:rPr>
      </w:pPr>
      <w:hyperlink r:id="rId1776" w:history="1">
        <w:r w:rsidR="00AF7253">
          <w:rPr>
            <w:rStyle w:val="Hyperlink"/>
            <w:lang w:eastAsia="x-none"/>
          </w:rPr>
          <w:t>R1-2311701</w:t>
        </w:r>
      </w:hyperlink>
      <w:r w:rsidR="00F74A6F" w:rsidRPr="009537ED">
        <w:rPr>
          <w:lang w:eastAsia="x-none"/>
        </w:rPr>
        <w:tab/>
        <w:t>On Remaining Issues of Network Verified UE Location</w:t>
      </w:r>
      <w:r w:rsidR="00F74A6F" w:rsidRPr="009537ED">
        <w:rPr>
          <w:lang w:eastAsia="x-none"/>
        </w:rPr>
        <w:tab/>
        <w:t>Apple</w:t>
      </w:r>
    </w:p>
    <w:p w14:paraId="75AC5499" w14:textId="002B3C55" w:rsidR="00F74A6F" w:rsidRPr="009537ED" w:rsidRDefault="005A18DC" w:rsidP="00F74A6F">
      <w:pPr>
        <w:rPr>
          <w:lang w:eastAsia="x-none"/>
        </w:rPr>
      </w:pPr>
      <w:hyperlink r:id="rId1777" w:history="1">
        <w:r w:rsidR="00AF7253">
          <w:rPr>
            <w:rStyle w:val="Hyperlink"/>
            <w:lang w:eastAsia="x-none"/>
          </w:rPr>
          <w:t>R1-2311759</w:t>
        </w:r>
      </w:hyperlink>
      <w:r w:rsidR="00F74A6F" w:rsidRPr="009537ED">
        <w:rPr>
          <w:lang w:eastAsia="x-none"/>
        </w:rPr>
        <w:tab/>
        <w:t>Remaining Issues on Network Verified UE Location for NR NTN</w:t>
      </w:r>
      <w:r w:rsidR="00F74A6F" w:rsidRPr="009537ED">
        <w:rPr>
          <w:lang w:eastAsia="x-none"/>
        </w:rPr>
        <w:tab/>
        <w:t>ETRI</w:t>
      </w:r>
    </w:p>
    <w:p w14:paraId="6F366B43" w14:textId="530A7619" w:rsidR="00F74A6F" w:rsidRPr="009537ED" w:rsidRDefault="005A18DC" w:rsidP="00F74A6F">
      <w:pPr>
        <w:rPr>
          <w:lang w:eastAsia="x-none"/>
        </w:rPr>
      </w:pPr>
      <w:hyperlink r:id="rId1778" w:history="1">
        <w:r w:rsidR="00AF7253">
          <w:rPr>
            <w:rStyle w:val="Hyperlink"/>
            <w:lang w:eastAsia="x-none"/>
          </w:rPr>
          <w:t>R1-2311862</w:t>
        </w:r>
      </w:hyperlink>
      <w:r w:rsidR="00F74A6F" w:rsidRPr="009537ED">
        <w:rPr>
          <w:lang w:eastAsia="x-none"/>
        </w:rPr>
        <w:tab/>
        <w:t>Remaining issues on network verified UE location for NR NTN</w:t>
      </w:r>
      <w:r w:rsidR="00F74A6F" w:rsidRPr="009537ED">
        <w:rPr>
          <w:lang w:eastAsia="x-none"/>
        </w:rPr>
        <w:tab/>
        <w:t>Samsung</w:t>
      </w:r>
    </w:p>
    <w:p w14:paraId="15BDE8F2" w14:textId="0F70FA46" w:rsidR="00F74A6F" w:rsidRDefault="005A18DC" w:rsidP="00F74A6F">
      <w:pPr>
        <w:rPr>
          <w:lang w:eastAsia="x-none"/>
        </w:rPr>
      </w:pPr>
      <w:hyperlink r:id="rId1779" w:history="1">
        <w:r w:rsidR="00AF7253">
          <w:rPr>
            <w:rStyle w:val="Hyperlink"/>
            <w:lang w:eastAsia="x-none"/>
          </w:rPr>
          <w:t>R1-2311942</w:t>
        </w:r>
      </w:hyperlink>
      <w:r w:rsidR="00F74A6F" w:rsidRPr="009537ED">
        <w:rPr>
          <w:lang w:eastAsia="x-none"/>
        </w:rPr>
        <w:tab/>
        <w:t>On maintenance of network verified UE location for NR NTN</w:t>
      </w:r>
      <w:r w:rsidR="00F74A6F" w:rsidRPr="009537ED">
        <w:rPr>
          <w:lang w:eastAsia="x-none"/>
        </w:rPr>
        <w:tab/>
        <w:t>Ericsson Inc.</w:t>
      </w:r>
    </w:p>
    <w:p w14:paraId="319E4C47" w14:textId="18DEE08A" w:rsidR="00F74A6F" w:rsidRPr="009537ED" w:rsidRDefault="005A18DC" w:rsidP="00F74A6F">
      <w:pPr>
        <w:rPr>
          <w:lang w:eastAsia="x-none"/>
        </w:rPr>
      </w:pPr>
      <w:hyperlink r:id="rId1780" w:history="1">
        <w:r w:rsidR="00AF7253">
          <w:rPr>
            <w:rStyle w:val="Hyperlink"/>
            <w:lang w:eastAsia="x-none"/>
          </w:rPr>
          <w:t>R1-2312258</w:t>
        </w:r>
      </w:hyperlink>
      <w:r w:rsidR="00702D43" w:rsidRPr="00702D43">
        <w:rPr>
          <w:lang w:eastAsia="x-none"/>
        </w:rPr>
        <w:tab/>
        <w:t>Network verified UE location for NR NTN</w:t>
      </w:r>
      <w:r w:rsidR="00702D43" w:rsidRPr="00702D43">
        <w:rPr>
          <w:lang w:eastAsia="x-none"/>
        </w:rPr>
        <w:tab/>
        <w:t>MediaTek Inc.</w:t>
      </w:r>
      <w:r w:rsidR="00702D43">
        <w:rPr>
          <w:lang w:eastAsia="x-none"/>
        </w:rPr>
        <w:tab/>
        <w:t xml:space="preserve">(rev of </w:t>
      </w:r>
      <w:hyperlink r:id="rId1781" w:history="1">
        <w:r w:rsidR="00AF7253">
          <w:rPr>
            <w:rStyle w:val="Hyperlink"/>
            <w:lang w:eastAsia="x-none"/>
          </w:rPr>
          <w:t>R1-2311995</w:t>
        </w:r>
      </w:hyperlink>
      <w:r w:rsidR="00702D43">
        <w:rPr>
          <w:lang w:eastAsia="x-none"/>
        </w:rPr>
        <w:t>)</w:t>
      </w:r>
    </w:p>
    <w:p w14:paraId="20E11AC2" w14:textId="51042C9F" w:rsidR="00F74A6F" w:rsidRPr="009537ED" w:rsidRDefault="005A18DC" w:rsidP="00F74A6F">
      <w:pPr>
        <w:rPr>
          <w:lang w:eastAsia="x-none"/>
        </w:rPr>
      </w:pPr>
      <w:hyperlink r:id="rId1782" w:history="1">
        <w:r w:rsidR="00AF7253">
          <w:rPr>
            <w:rStyle w:val="Hyperlink"/>
            <w:lang w:eastAsia="x-none"/>
          </w:rPr>
          <w:t>R1-2312053</w:t>
        </w:r>
      </w:hyperlink>
      <w:r w:rsidR="00F74A6F" w:rsidRPr="009537ED">
        <w:rPr>
          <w:lang w:eastAsia="x-none"/>
        </w:rPr>
        <w:tab/>
        <w:t>Maintenance on network verified UE location for NR NTN</w:t>
      </w:r>
      <w:r w:rsidR="00F74A6F" w:rsidRPr="009537ED">
        <w:rPr>
          <w:lang w:eastAsia="x-none"/>
        </w:rPr>
        <w:tab/>
        <w:t>Qualcomm Incorporated</w:t>
      </w:r>
    </w:p>
    <w:p w14:paraId="76CC4B95" w14:textId="3A14EC56" w:rsidR="00F74A6F" w:rsidRPr="009537ED" w:rsidRDefault="005A18DC" w:rsidP="00F74A6F">
      <w:pPr>
        <w:rPr>
          <w:lang w:eastAsia="x-none"/>
        </w:rPr>
      </w:pPr>
      <w:hyperlink r:id="rId1783" w:history="1">
        <w:r w:rsidR="00AF7253">
          <w:rPr>
            <w:rStyle w:val="Hyperlink"/>
            <w:lang w:eastAsia="x-none"/>
          </w:rPr>
          <w:t>R1-2312138</w:t>
        </w:r>
      </w:hyperlink>
      <w:r w:rsidR="00F74A6F" w:rsidRPr="009537ED">
        <w:rPr>
          <w:lang w:eastAsia="x-none"/>
        </w:rPr>
        <w:tab/>
        <w:t>Remaining open issues related to network verified UE location for NR over NTN</w:t>
      </w:r>
      <w:r w:rsidR="00F74A6F" w:rsidRPr="009537ED">
        <w:rPr>
          <w:lang w:eastAsia="x-none"/>
        </w:rPr>
        <w:tab/>
        <w:t>Nokia, Nokia Shanghai Bell</w:t>
      </w:r>
    </w:p>
    <w:p w14:paraId="33777819" w14:textId="77777777" w:rsidR="00081D61" w:rsidRPr="009537ED" w:rsidRDefault="00081D61" w:rsidP="00F74A6F">
      <w:pPr>
        <w:rPr>
          <w:lang w:eastAsia="x-none"/>
        </w:rPr>
      </w:pPr>
    </w:p>
    <w:p w14:paraId="0B2127A7" w14:textId="522EE3FE" w:rsidR="00081D61" w:rsidRPr="009537ED" w:rsidRDefault="005A18DC" w:rsidP="00081D61">
      <w:pPr>
        <w:rPr>
          <w:b/>
          <w:lang w:eastAsia="x-none"/>
        </w:rPr>
      </w:pPr>
      <w:hyperlink r:id="rId1784" w:history="1">
        <w:r w:rsidR="00AF7253">
          <w:rPr>
            <w:rStyle w:val="Hyperlink"/>
            <w:b/>
            <w:lang w:eastAsia="x-none"/>
          </w:rPr>
          <w:t>R1-2310937</w:t>
        </w:r>
      </w:hyperlink>
      <w:r w:rsidR="00081D61" w:rsidRPr="009537ED">
        <w:rPr>
          <w:b/>
          <w:lang w:eastAsia="x-none"/>
        </w:rPr>
        <w:tab/>
        <w:t>Feature Lead Summary #1 on Network verified UE location for NR NTN</w:t>
      </w:r>
      <w:r w:rsidR="00081D61" w:rsidRPr="009537ED">
        <w:rPr>
          <w:b/>
          <w:lang w:eastAsia="x-none"/>
        </w:rPr>
        <w:tab/>
        <w:t>Moderator (THALES)</w:t>
      </w:r>
    </w:p>
    <w:p w14:paraId="11FAE0CD" w14:textId="4419F905" w:rsidR="00081D61" w:rsidRPr="009537ED" w:rsidRDefault="00081D61" w:rsidP="00081D61">
      <w:pPr>
        <w:rPr>
          <w:lang w:eastAsia="x-none"/>
        </w:rPr>
      </w:pPr>
      <w:r w:rsidRPr="009537ED">
        <w:rPr>
          <w:lang w:eastAsia="x-none"/>
        </w:rPr>
        <w:t>From Monday session</w:t>
      </w:r>
    </w:p>
    <w:p w14:paraId="608ED59D" w14:textId="77777777" w:rsidR="00081D61" w:rsidRPr="009537ED" w:rsidRDefault="00081D61" w:rsidP="00081D61">
      <w:pPr>
        <w:jc w:val="both"/>
        <w:rPr>
          <w:rFonts w:ascii="Times New Roman" w:eastAsia="SimSun" w:hAnsi="Times New Roman"/>
          <w:bCs/>
          <w:szCs w:val="20"/>
          <w:lang w:eastAsia="zh-CN"/>
        </w:rPr>
      </w:pPr>
      <w:r w:rsidRPr="009537ED">
        <w:rPr>
          <w:rFonts w:ascii="Times New Roman" w:eastAsia="SimSun" w:hAnsi="Times New Roman"/>
          <w:bCs/>
          <w:szCs w:val="20"/>
          <w:highlight w:val="green"/>
          <w:lang w:eastAsia="zh-CN"/>
        </w:rPr>
        <w:t>Agreement</w:t>
      </w:r>
    </w:p>
    <w:p w14:paraId="62A5CA44" w14:textId="45940753" w:rsidR="00081D61" w:rsidRPr="009537ED" w:rsidRDefault="00081D61" w:rsidP="00081D61">
      <w:pPr>
        <w:rPr>
          <w:rFonts w:ascii="Times New Roman" w:hAnsi="Times New Roman"/>
          <w:bCs/>
          <w:szCs w:val="20"/>
          <w:lang w:eastAsia="x-none"/>
        </w:rPr>
      </w:pPr>
      <w:r w:rsidRPr="009537ED">
        <w:rPr>
          <w:rFonts w:ascii="Times New Roman" w:hAnsi="Times New Roman"/>
          <w:bCs/>
          <w:szCs w:val="20"/>
          <w:lang w:eastAsia="x-none"/>
        </w:rPr>
        <w:t xml:space="preserve">Confirm the following working assumption with the following modification: replacing </w:t>
      </w:r>
      <m:oMath>
        <m:r>
          <w:rPr>
            <w:rFonts w:ascii="Cambria Math" w:hAnsi="Cambria Math"/>
            <w:szCs w:val="20"/>
          </w:rPr>
          <m:t>μs</m:t>
        </m:r>
        <m:r>
          <m:rPr>
            <m:sty m:val="p"/>
          </m:rPr>
          <w:rPr>
            <w:rFonts w:ascii="Cambria Math" w:hAnsi="Cambria Math"/>
            <w:szCs w:val="20"/>
          </w:rPr>
          <m:t>/</m:t>
        </m:r>
        <m:r>
          <w:rPr>
            <w:rFonts w:ascii="Cambria Math" w:hAnsi="Cambria Math"/>
            <w:szCs w:val="20"/>
          </w:rPr>
          <m:t>s</m:t>
        </m:r>
      </m:oMath>
      <w:r w:rsidRPr="009537ED">
        <w:rPr>
          <w:rFonts w:ascii="Times New Roman" w:hAnsi="Times New Roman"/>
          <w:bCs/>
          <w:szCs w:val="20"/>
          <w:lang w:eastAsia="x-none"/>
        </w:rPr>
        <w:t xml:space="preserve"> with ppm and removing the brackets.</w:t>
      </w:r>
    </w:p>
    <w:p w14:paraId="6F0A7980" w14:textId="77777777" w:rsidR="00081D61" w:rsidRPr="009537ED" w:rsidRDefault="00081D61" w:rsidP="00081D61">
      <w:pPr>
        <w:ind w:left="720"/>
        <w:jc w:val="both"/>
        <w:rPr>
          <w:rFonts w:ascii="Times New Roman" w:eastAsia="SimSun" w:hAnsi="Times New Roman"/>
          <w:bCs/>
          <w:sz w:val="18"/>
          <w:szCs w:val="18"/>
          <w:lang w:eastAsia="zh-CN"/>
        </w:rPr>
      </w:pPr>
      <w:r w:rsidRPr="009537ED">
        <w:rPr>
          <w:rFonts w:ascii="Times New Roman" w:eastAsia="SimSun" w:hAnsi="Times New Roman"/>
          <w:bCs/>
          <w:sz w:val="18"/>
          <w:szCs w:val="18"/>
          <w:highlight w:val="darkYellow"/>
          <w:lang w:eastAsia="zh-CN"/>
        </w:rPr>
        <w:t>Working assumption</w:t>
      </w:r>
    </w:p>
    <w:p w14:paraId="6D06EFE6" w14:textId="414D7718" w:rsidR="00081D61" w:rsidRPr="009537ED" w:rsidRDefault="00081D61" w:rsidP="00081D61">
      <w:pPr>
        <w:ind w:left="720"/>
        <w:jc w:val="both"/>
        <w:rPr>
          <w:rFonts w:ascii="Times New Roman" w:eastAsia="SimSun" w:hAnsi="Times New Roman"/>
          <w:bCs/>
          <w:sz w:val="18"/>
          <w:szCs w:val="18"/>
          <w:lang w:eastAsia="zh-CN"/>
        </w:rPr>
      </w:pPr>
      <w:r w:rsidRPr="009537ED">
        <w:rPr>
          <w:rFonts w:ascii="Times New Roman" w:eastAsia="SimSun" w:hAnsi="Times New Roman"/>
          <w:bCs/>
          <w:sz w:val="18"/>
          <w:szCs w:val="18"/>
          <w:lang w:eastAsia="zh-CN"/>
        </w:rPr>
        <w:t xml:space="preserve">The DL timing drift due to Doppler over the service link associated with the UE RX-TX time difference measurement period is reported with the following range, granularity and bits allocation </w:t>
      </w:r>
    </w:p>
    <w:tbl>
      <w:tblPr>
        <w:tblW w:w="387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3828"/>
        <w:gridCol w:w="1984"/>
        <w:gridCol w:w="2408"/>
      </w:tblGrid>
      <w:tr w:rsidR="00081D61" w:rsidRPr="009537ED" w14:paraId="74F5F5BF" w14:textId="77777777" w:rsidTr="00081D61">
        <w:trPr>
          <w:trHeight w:val="20"/>
          <w:tblHeader/>
          <w:jc w:val="center"/>
        </w:trPr>
        <w:tc>
          <w:tcPr>
            <w:tcW w:w="2328" w:type="pct"/>
            <w:shd w:val="clear" w:color="auto" w:fill="92D050"/>
            <w:vAlign w:val="center"/>
          </w:tcPr>
          <w:p w14:paraId="3E2E36FA" w14:textId="77777777" w:rsidR="00081D61" w:rsidRPr="009537ED" w:rsidRDefault="00081D61" w:rsidP="00081D61">
            <w:pPr>
              <w:rPr>
                <w:rFonts w:ascii="Arial" w:hAnsi="Arial" w:cs="Arial"/>
                <w:bCs/>
                <w:sz w:val="16"/>
                <w:szCs w:val="16"/>
                <w:lang w:eastAsia="fr-FR"/>
              </w:rPr>
            </w:pPr>
            <w:r w:rsidRPr="009537ED">
              <w:rPr>
                <w:rFonts w:ascii="Arial" w:hAnsi="Arial" w:cs="Arial"/>
                <w:bCs/>
                <w:sz w:val="16"/>
                <w:szCs w:val="16"/>
                <w:lang w:eastAsia="fr-FR"/>
              </w:rPr>
              <w:t>Value range</w:t>
            </w:r>
          </w:p>
        </w:tc>
        <w:tc>
          <w:tcPr>
            <w:tcW w:w="1207" w:type="pct"/>
            <w:shd w:val="clear" w:color="auto" w:fill="92D050"/>
            <w:vAlign w:val="center"/>
          </w:tcPr>
          <w:p w14:paraId="0DFFE85E" w14:textId="77777777" w:rsidR="00081D61" w:rsidRPr="009537ED" w:rsidRDefault="00081D61" w:rsidP="00081D61">
            <w:pPr>
              <w:rPr>
                <w:rFonts w:ascii="Arial" w:hAnsi="Arial" w:cs="Arial"/>
                <w:bCs/>
                <w:sz w:val="16"/>
                <w:szCs w:val="16"/>
                <w:lang w:eastAsia="fr-FR"/>
              </w:rPr>
            </w:pPr>
            <w:r w:rsidRPr="009537ED">
              <w:rPr>
                <w:rFonts w:ascii="Arial" w:hAnsi="Arial" w:cs="Arial"/>
                <w:bCs/>
                <w:sz w:val="16"/>
                <w:szCs w:val="16"/>
                <w:lang w:eastAsia="fr-FR"/>
              </w:rPr>
              <w:t>Granularity</w:t>
            </w:r>
          </w:p>
        </w:tc>
        <w:tc>
          <w:tcPr>
            <w:tcW w:w="1465" w:type="pct"/>
            <w:shd w:val="clear" w:color="auto" w:fill="92D050"/>
            <w:vAlign w:val="center"/>
          </w:tcPr>
          <w:p w14:paraId="2D8225EE" w14:textId="77777777" w:rsidR="00081D61" w:rsidRPr="009537ED" w:rsidRDefault="00081D61" w:rsidP="00081D61">
            <w:pPr>
              <w:rPr>
                <w:rFonts w:ascii="Arial" w:hAnsi="Arial" w:cs="Arial"/>
                <w:bCs/>
                <w:sz w:val="16"/>
                <w:szCs w:val="16"/>
                <w:lang w:eastAsia="fr-FR"/>
              </w:rPr>
            </w:pPr>
            <w:r w:rsidRPr="009537ED">
              <w:rPr>
                <w:rFonts w:ascii="Arial" w:hAnsi="Arial" w:cs="Arial"/>
                <w:bCs/>
                <w:sz w:val="16"/>
                <w:szCs w:val="16"/>
                <w:lang w:eastAsia="fr-FR"/>
              </w:rPr>
              <w:t>Bits allocation</w:t>
            </w:r>
          </w:p>
        </w:tc>
      </w:tr>
      <w:tr w:rsidR="00081D61" w:rsidRPr="009537ED" w14:paraId="16AE1D44" w14:textId="77777777" w:rsidTr="00081D61">
        <w:trPr>
          <w:trHeight w:val="20"/>
          <w:jc w:val="center"/>
        </w:trPr>
        <w:tc>
          <w:tcPr>
            <w:tcW w:w="2328" w:type="pct"/>
            <w:shd w:val="clear" w:color="auto" w:fill="auto"/>
            <w:noWrap/>
            <w:vAlign w:val="center"/>
          </w:tcPr>
          <w:p w14:paraId="5C257AAC" w14:textId="73C9A703" w:rsidR="00081D61" w:rsidRPr="009537ED" w:rsidRDefault="00081D61" w:rsidP="00081D61">
            <w:pPr>
              <w:jc w:val="center"/>
              <w:rPr>
                <w:rFonts w:ascii="Arial" w:eastAsia="SimSun" w:hAnsi="Arial" w:cs="Arial"/>
                <w:bCs/>
                <w:sz w:val="16"/>
                <w:szCs w:val="16"/>
                <w:lang w:eastAsia="zh-CN"/>
              </w:rPr>
            </w:pPr>
            <m:oMathPara>
              <m:oMath>
                <m:r>
                  <w:rPr>
                    <w:rFonts w:ascii="Cambria Math" w:hAnsi="Cambria Math" w:cs="Arial"/>
                    <w:sz w:val="16"/>
                    <w:szCs w:val="16"/>
                  </w:rPr>
                  <m:t>-265...+265</m:t>
                </m:r>
              </m:oMath>
            </m:oMathPara>
          </w:p>
          <w:p w14:paraId="42B899C6" w14:textId="47632349" w:rsidR="00081D61" w:rsidRPr="009537ED" w:rsidRDefault="00081D61" w:rsidP="00081D61">
            <w:pPr>
              <w:jc w:val="center"/>
              <w:rPr>
                <w:rFonts w:ascii="Arial" w:hAnsi="Arial" w:cs="Arial"/>
                <w:bCs/>
                <w:sz w:val="16"/>
                <w:szCs w:val="16"/>
              </w:rPr>
            </w:pPr>
            <w:r w:rsidRPr="009537ED">
              <w:rPr>
                <w:rFonts w:ascii="Arial" w:hAnsi="Arial" w:cs="Arial"/>
                <w:bCs/>
                <w:sz w:val="16"/>
                <w:szCs w:val="16"/>
              </w:rPr>
              <w:t xml:space="preserve">i.e: </w:t>
            </w:r>
            <m:oMath>
              <m:r>
                <w:rPr>
                  <w:rFonts w:ascii="Cambria Math" w:hAnsi="Cambria Math" w:cs="Arial"/>
                  <w:color w:val="FF0000"/>
                  <w:sz w:val="16"/>
                  <w:szCs w:val="16"/>
                </w:rPr>
                <m:t>-26.5 ppm..+26.5 ppm</m:t>
              </m:r>
            </m:oMath>
          </w:p>
        </w:tc>
        <w:tc>
          <w:tcPr>
            <w:tcW w:w="1207" w:type="pct"/>
            <w:vAlign w:val="center"/>
          </w:tcPr>
          <w:p w14:paraId="3EF02ABB" w14:textId="2F7057DE" w:rsidR="00081D61" w:rsidRPr="009537ED" w:rsidRDefault="00081D61" w:rsidP="00081D61">
            <w:pPr>
              <w:jc w:val="center"/>
              <w:rPr>
                <w:rFonts w:ascii="Arial" w:hAnsi="Arial" w:cs="Arial"/>
                <w:bCs/>
                <w:sz w:val="16"/>
                <w:szCs w:val="16"/>
              </w:rPr>
            </w:pPr>
            <m:oMathPara>
              <m:oMathParaPr>
                <m:jc m:val="center"/>
              </m:oMathParaPr>
              <m:oMath>
                <m:r>
                  <w:rPr>
                    <w:rFonts w:ascii="Cambria Math" w:hAnsi="Cambria Math" w:cs="Arial"/>
                    <w:color w:val="000000"/>
                    <w:sz w:val="16"/>
                    <w:szCs w:val="16"/>
                    <w:lang w:eastAsia="fr-FR"/>
                  </w:rPr>
                  <m:t xml:space="preserve">0.1 </m:t>
                </m:r>
                <m:r>
                  <w:rPr>
                    <w:rFonts w:ascii="Cambria Math" w:hAnsi="Cambria Math" w:cs="Arial"/>
                    <w:color w:val="FF0000"/>
                    <w:sz w:val="16"/>
                    <w:szCs w:val="16"/>
                    <w:lang w:eastAsia="fr-FR"/>
                  </w:rPr>
                  <m:t>ppm</m:t>
                </m:r>
              </m:oMath>
            </m:oMathPara>
          </w:p>
        </w:tc>
        <w:tc>
          <w:tcPr>
            <w:tcW w:w="1465" w:type="pct"/>
            <w:vAlign w:val="center"/>
          </w:tcPr>
          <w:p w14:paraId="1EA40DB2" w14:textId="77777777" w:rsidR="00081D61" w:rsidRPr="009537ED" w:rsidRDefault="00081D61" w:rsidP="00081D61">
            <w:pPr>
              <w:jc w:val="center"/>
              <w:rPr>
                <w:rFonts w:ascii="Arial" w:hAnsi="Arial" w:cs="Arial"/>
                <w:bCs/>
                <w:sz w:val="16"/>
                <w:szCs w:val="16"/>
              </w:rPr>
            </w:pPr>
            <w:r w:rsidRPr="009537ED">
              <w:rPr>
                <w:rFonts w:ascii="Arial" w:hAnsi="Arial" w:cs="Arial"/>
                <w:bCs/>
                <w:sz w:val="16"/>
                <w:szCs w:val="16"/>
              </w:rPr>
              <w:t>10 bits</w:t>
            </w:r>
          </w:p>
        </w:tc>
      </w:tr>
    </w:tbl>
    <w:p w14:paraId="30A564A3" w14:textId="77777777" w:rsidR="00081D61" w:rsidRPr="009537ED" w:rsidRDefault="00081D61" w:rsidP="00081D61">
      <w:pPr>
        <w:ind w:left="720"/>
        <w:jc w:val="both"/>
        <w:rPr>
          <w:rFonts w:ascii="Times New Roman" w:eastAsia="SimSun" w:hAnsi="Times New Roman"/>
          <w:bCs/>
          <w:sz w:val="18"/>
          <w:szCs w:val="18"/>
          <w:lang w:eastAsia="zh-CN"/>
        </w:rPr>
      </w:pPr>
      <w:r w:rsidRPr="009537ED">
        <w:rPr>
          <w:rFonts w:ascii="Times New Roman" w:eastAsia="SimSun" w:hAnsi="Times New Roman"/>
          <w:bCs/>
          <w:sz w:val="18"/>
          <w:szCs w:val="18"/>
          <w:lang w:eastAsia="zh-CN"/>
        </w:rPr>
        <w:t>Note: value range is given in unit of corresponding granularity</w:t>
      </w:r>
    </w:p>
    <w:p w14:paraId="54129E20" w14:textId="77777777" w:rsidR="00081D61" w:rsidRPr="009537ED" w:rsidRDefault="00081D61" w:rsidP="00081D61">
      <w:pPr>
        <w:rPr>
          <w:rFonts w:ascii="Times New Roman" w:hAnsi="Times New Roman"/>
          <w:bCs/>
          <w:szCs w:val="20"/>
          <w:lang w:eastAsia="x-none"/>
        </w:rPr>
      </w:pPr>
    </w:p>
    <w:p w14:paraId="69491474" w14:textId="77777777" w:rsidR="00081D61" w:rsidRPr="009537ED" w:rsidRDefault="00081D61" w:rsidP="00081D61"/>
    <w:p w14:paraId="0A793ADB" w14:textId="15986C67" w:rsidR="00081D61" w:rsidRPr="00E3703B" w:rsidRDefault="005A18DC" w:rsidP="00081D61">
      <w:pPr>
        <w:rPr>
          <w:b/>
          <w:bCs/>
          <w:lang w:eastAsia="x-none"/>
        </w:rPr>
      </w:pPr>
      <w:hyperlink r:id="rId1785" w:history="1">
        <w:r w:rsidR="00AF7253">
          <w:rPr>
            <w:rStyle w:val="Hyperlink"/>
            <w:b/>
            <w:bCs/>
            <w:lang w:eastAsia="x-none"/>
          </w:rPr>
          <w:t>R1-2310938</w:t>
        </w:r>
      </w:hyperlink>
      <w:r w:rsidR="00081D61" w:rsidRPr="00E3703B">
        <w:rPr>
          <w:b/>
          <w:bCs/>
          <w:lang w:eastAsia="x-none"/>
        </w:rPr>
        <w:tab/>
        <w:t>Feature Lead Summary #2 on Network verified UE location for NR NTN</w:t>
      </w:r>
      <w:r w:rsidR="00081D61" w:rsidRPr="00E3703B">
        <w:rPr>
          <w:b/>
          <w:bCs/>
          <w:lang w:eastAsia="x-none"/>
        </w:rPr>
        <w:tab/>
        <w:t>Moderator (THALES)</w:t>
      </w:r>
    </w:p>
    <w:p w14:paraId="2C8F21AE" w14:textId="64C830C8" w:rsidR="00E3703B" w:rsidRDefault="00E3703B" w:rsidP="00081D61">
      <w:pPr>
        <w:rPr>
          <w:lang w:eastAsia="x-none"/>
        </w:rPr>
      </w:pPr>
      <w:r>
        <w:rPr>
          <w:lang w:eastAsia="x-none"/>
        </w:rPr>
        <w:t>From Wednesday session</w:t>
      </w:r>
    </w:p>
    <w:p w14:paraId="2F5C3B6D" w14:textId="77777777" w:rsidR="00E3703B" w:rsidRDefault="00E3703B" w:rsidP="00E3703B">
      <w:pPr>
        <w:rPr>
          <w:color w:val="FFFFFF"/>
          <w:lang w:eastAsia="x-none"/>
        </w:rPr>
      </w:pPr>
      <w:r>
        <w:rPr>
          <w:color w:val="FFFFFF"/>
          <w:highlight w:val="darkYellow"/>
          <w:lang w:eastAsia="x-none"/>
        </w:rPr>
        <w:t>Working assumption</w:t>
      </w:r>
    </w:p>
    <w:p w14:paraId="00608EC8" w14:textId="77777777" w:rsidR="00E3703B" w:rsidRDefault="00E3703B" w:rsidP="00E3703B">
      <w:pPr>
        <w:rPr>
          <w:szCs w:val="20"/>
        </w:rPr>
      </w:pPr>
      <w:r>
        <w:rPr>
          <w:szCs w:val="20"/>
        </w:rPr>
        <w:t>For UE RX-TX measurements in NTN, the time of the beginning of a subframe is determined by assuming the time durations of the OFDM symbols at the receiver are the same as defined in 38.211.</w:t>
      </w:r>
    </w:p>
    <w:p w14:paraId="49FBAB08" w14:textId="77777777" w:rsidR="00E3703B" w:rsidRDefault="00E3703B" w:rsidP="00081D61">
      <w:pPr>
        <w:rPr>
          <w:lang w:eastAsia="x-none"/>
        </w:rPr>
      </w:pPr>
    </w:p>
    <w:p w14:paraId="7C0CA544" w14:textId="77777777" w:rsidR="00E3703B" w:rsidRDefault="00E3703B" w:rsidP="00081D61">
      <w:pPr>
        <w:rPr>
          <w:lang w:eastAsia="x-none"/>
        </w:rPr>
      </w:pPr>
    </w:p>
    <w:p w14:paraId="06D43176" w14:textId="70D4321A" w:rsidR="00081D61" w:rsidRPr="009537ED" w:rsidRDefault="000E1EA4" w:rsidP="00F74A6F">
      <w:pPr>
        <w:rPr>
          <w:lang w:eastAsia="x-none"/>
        </w:rPr>
      </w:pPr>
      <w:r>
        <w:rPr>
          <w:lang w:eastAsia="x-none"/>
        </w:rPr>
        <w:t xml:space="preserve">Final summary in </w:t>
      </w:r>
      <w:hyperlink r:id="rId1786" w:history="1">
        <w:r w:rsidR="00AF7253">
          <w:rPr>
            <w:rStyle w:val="Hyperlink"/>
            <w:lang w:eastAsia="x-none"/>
          </w:rPr>
          <w:t>R1-2310939</w:t>
        </w:r>
      </w:hyperlink>
      <w:r>
        <w:rPr>
          <w:lang w:eastAsia="x-none"/>
        </w:rPr>
        <w:t>.</w:t>
      </w:r>
    </w:p>
    <w:p w14:paraId="167C7B6F" w14:textId="77777777" w:rsidR="00F74A6F" w:rsidRPr="009537ED" w:rsidRDefault="00F74A6F" w:rsidP="00702D43">
      <w:pPr>
        <w:pStyle w:val="Heading3"/>
      </w:pPr>
      <w:bookmarkStart w:id="768" w:name="_Toc150174493"/>
      <w:bookmarkStart w:id="769" w:name="_Toc159251035"/>
      <w:r w:rsidRPr="009537ED">
        <w:t>Disabling of HARQ feedback for IoT NTN</w:t>
      </w:r>
      <w:bookmarkEnd w:id="768"/>
      <w:bookmarkEnd w:id="769"/>
    </w:p>
    <w:p w14:paraId="4097FECE" w14:textId="3B100325" w:rsidR="00F74A6F" w:rsidRPr="009537ED" w:rsidRDefault="005A18DC" w:rsidP="00F74A6F">
      <w:pPr>
        <w:rPr>
          <w:lang w:eastAsia="x-none"/>
        </w:rPr>
      </w:pPr>
      <w:hyperlink r:id="rId1787" w:history="1">
        <w:r w:rsidR="00AF7253">
          <w:rPr>
            <w:rStyle w:val="Hyperlink"/>
            <w:lang w:eastAsia="x-none"/>
          </w:rPr>
          <w:t>R1-2310878</w:t>
        </w:r>
      </w:hyperlink>
      <w:r w:rsidR="00F74A6F" w:rsidRPr="009537ED">
        <w:rPr>
          <w:lang w:eastAsia="x-none"/>
        </w:rPr>
        <w:tab/>
        <w:t>Maintenance of disabling of HARQ feedback for IoT NTN</w:t>
      </w:r>
      <w:r w:rsidR="00F74A6F" w:rsidRPr="009537ED">
        <w:rPr>
          <w:lang w:eastAsia="x-none"/>
        </w:rPr>
        <w:tab/>
        <w:t>Huawei, HiSilicon</w:t>
      </w:r>
    </w:p>
    <w:p w14:paraId="2217087E" w14:textId="72A9F604" w:rsidR="00F74A6F" w:rsidRPr="009537ED" w:rsidRDefault="005A18DC" w:rsidP="00F74A6F">
      <w:pPr>
        <w:rPr>
          <w:lang w:eastAsia="x-none"/>
        </w:rPr>
      </w:pPr>
      <w:hyperlink r:id="rId1788" w:history="1">
        <w:r w:rsidR="00AF7253">
          <w:rPr>
            <w:rStyle w:val="Hyperlink"/>
            <w:lang w:eastAsia="x-none"/>
          </w:rPr>
          <w:t>R1-2310965</w:t>
        </w:r>
      </w:hyperlink>
      <w:r w:rsidR="00F74A6F" w:rsidRPr="009537ED">
        <w:rPr>
          <w:lang w:eastAsia="x-none"/>
        </w:rPr>
        <w:tab/>
        <w:t>Maintenance on disabling HARQ feedback for IoT NTN</w:t>
      </w:r>
      <w:r w:rsidR="00F74A6F" w:rsidRPr="009537ED">
        <w:rPr>
          <w:lang w:eastAsia="x-none"/>
        </w:rPr>
        <w:tab/>
        <w:t>Ericsson</w:t>
      </w:r>
    </w:p>
    <w:p w14:paraId="68AD9393" w14:textId="74336EE9" w:rsidR="00F74A6F" w:rsidRPr="009537ED" w:rsidRDefault="005A18DC" w:rsidP="00F74A6F">
      <w:pPr>
        <w:rPr>
          <w:lang w:eastAsia="x-none"/>
        </w:rPr>
      </w:pPr>
      <w:hyperlink r:id="rId1789" w:history="1">
        <w:r w:rsidR="00AF7253">
          <w:rPr>
            <w:rStyle w:val="Hyperlink"/>
            <w:lang w:eastAsia="x-none"/>
          </w:rPr>
          <w:t>R1-2311180</w:t>
        </w:r>
      </w:hyperlink>
      <w:r w:rsidR="00F74A6F" w:rsidRPr="009537ED">
        <w:rPr>
          <w:lang w:eastAsia="x-none"/>
        </w:rPr>
        <w:tab/>
        <w:t>Remaining issues on disabling of HARQ feedback for IoT NTN</w:t>
      </w:r>
      <w:r w:rsidR="00F74A6F" w:rsidRPr="009537ED">
        <w:rPr>
          <w:lang w:eastAsia="x-none"/>
        </w:rPr>
        <w:tab/>
        <w:t>Spreadtrum Communications</w:t>
      </w:r>
    </w:p>
    <w:p w14:paraId="66036B61" w14:textId="754887B2" w:rsidR="00F74A6F" w:rsidRPr="009537ED" w:rsidRDefault="005A18DC" w:rsidP="00F74A6F">
      <w:pPr>
        <w:rPr>
          <w:lang w:eastAsia="x-none"/>
        </w:rPr>
      </w:pPr>
      <w:hyperlink r:id="rId1790" w:history="1">
        <w:r w:rsidR="00AF7253">
          <w:rPr>
            <w:rStyle w:val="Hyperlink"/>
            <w:lang w:eastAsia="x-none"/>
          </w:rPr>
          <w:t>R1-2311202</w:t>
        </w:r>
      </w:hyperlink>
      <w:r w:rsidR="00F74A6F" w:rsidRPr="009537ED">
        <w:rPr>
          <w:lang w:eastAsia="x-none"/>
        </w:rPr>
        <w:tab/>
        <w:t>Remaining issue on disabling of HARQ feedback</w:t>
      </w:r>
      <w:r w:rsidR="00F74A6F" w:rsidRPr="009537ED">
        <w:rPr>
          <w:lang w:eastAsia="x-none"/>
        </w:rPr>
        <w:tab/>
        <w:t>ZTE</w:t>
      </w:r>
    </w:p>
    <w:p w14:paraId="2C3B678B" w14:textId="356DEB41" w:rsidR="00F74A6F" w:rsidRPr="009537ED" w:rsidRDefault="005A18DC" w:rsidP="00F74A6F">
      <w:pPr>
        <w:rPr>
          <w:lang w:eastAsia="x-none"/>
        </w:rPr>
      </w:pPr>
      <w:hyperlink r:id="rId1791" w:history="1">
        <w:r w:rsidR="00AF7253">
          <w:rPr>
            <w:rStyle w:val="Hyperlink"/>
            <w:lang w:eastAsia="x-none"/>
          </w:rPr>
          <w:t>R1-2311247</w:t>
        </w:r>
      </w:hyperlink>
      <w:r w:rsidR="00F74A6F" w:rsidRPr="009537ED">
        <w:rPr>
          <w:lang w:eastAsia="x-none"/>
        </w:rPr>
        <w:tab/>
        <w:t>Discussion on remaining issue on disabling of HARQ feedback for IoT NTN</w:t>
      </w:r>
      <w:r w:rsidR="00F74A6F" w:rsidRPr="009537ED">
        <w:rPr>
          <w:lang w:eastAsia="x-none"/>
        </w:rPr>
        <w:tab/>
        <w:t>OPPO</w:t>
      </w:r>
    </w:p>
    <w:p w14:paraId="7E000A45" w14:textId="0A309D01" w:rsidR="00F74A6F" w:rsidRPr="009537ED" w:rsidRDefault="005A18DC" w:rsidP="00F74A6F">
      <w:pPr>
        <w:rPr>
          <w:lang w:eastAsia="x-none"/>
        </w:rPr>
      </w:pPr>
      <w:hyperlink r:id="rId1792" w:history="1">
        <w:r w:rsidR="00AF7253">
          <w:rPr>
            <w:rStyle w:val="Hyperlink"/>
            <w:lang w:eastAsia="x-none"/>
          </w:rPr>
          <w:t>R1-2311654</w:t>
        </w:r>
      </w:hyperlink>
      <w:r w:rsidR="00F74A6F" w:rsidRPr="009537ED">
        <w:rPr>
          <w:lang w:eastAsia="x-none"/>
        </w:rPr>
        <w:tab/>
        <w:t>Maintenance on disabling of HARQ feedback for IoT NTN</w:t>
      </w:r>
      <w:r w:rsidR="00F74A6F" w:rsidRPr="009537ED">
        <w:rPr>
          <w:lang w:eastAsia="x-none"/>
        </w:rPr>
        <w:tab/>
        <w:t>Nokia, Nokia Shanghai Bell</w:t>
      </w:r>
    </w:p>
    <w:p w14:paraId="629703E8" w14:textId="1F93DFFB" w:rsidR="00F74A6F" w:rsidRPr="009537ED" w:rsidRDefault="005A18DC" w:rsidP="00F74A6F">
      <w:pPr>
        <w:rPr>
          <w:lang w:eastAsia="x-none"/>
        </w:rPr>
      </w:pPr>
      <w:hyperlink r:id="rId1793" w:history="1">
        <w:r w:rsidR="00AF7253">
          <w:rPr>
            <w:rStyle w:val="Hyperlink"/>
            <w:lang w:eastAsia="x-none"/>
          </w:rPr>
          <w:t>R1-2311702</w:t>
        </w:r>
      </w:hyperlink>
      <w:r w:rsidR="00F74A6F" w:rsidRPr="009537ED">
        <w:rPr>
          <w:lang w:eastAsia="x-none"/>
        </w:rPr>
        <w:tab/>
        <w:t>On Higher Layer Signaling for HARQ Feedback Disabling for IoT NTN</w:t>
      </w:r>
      <w:r w:rsidR="00F74A6F" w:rsidRPr="009537ED">
        <w:rPr>
          <w:lang w:eastAsia="x-none"/>
        </w:rPr>
        <w:tab/>
        <w:t>Apple</w:t>
      </w:r>
    </w:p>
    <w:p w14:paraId="567DCB73" w14:textId="0E7199A5" w:rsidR="00F74A6F" w:rsidRPr="009537ED" w:rsidRDefault="005A18DC" w:rsidP="00F74A6F">
      <w:pPr>
        <w:rPr>
          <w:lang w:eastAsia="x-none"/>
        </w:rPr>
      </w:pPr>
      <w:hyperlink r:id="rId1794" w:history="1">
        <w:r w:rsidR="00AF7253">
          <w:rPr>
            <w:rStyle w:val="Hyperlink"/>
            <w:lang w:eastAsia="x-none"/>
          </w:rPr>
          <w:t>R1-2311728</w:t>
        </w:r>
      </w:hyperlink>
      <w:r w:rsidR="00F74A6F" w:rsidRPr="009537ED">
        <w:rPr>
          <w:lang w:eastAsia="x-none"/>
        </w:rPr>
        <w:tab/>
        <w:t>Disabling of HARQ feedback for IoT NTN</w:t>
      </w:r>
      <w:r w:rsidR="00F74A6F" w:rsidRPr="009537ED">
        <w:rPr>
          <w:lang w:eastAsia="x-none"/>
        </w:rPr>
        <w:tab/>
        <w:t>Lenovo</w:t>
      </w:r>
    </w:p>
    <w:p w14:paraId="32F2D165" w14:textId="6B0F08D2" w:rsidR="00F74A6F" w:rsidRDefault="005A18DC" w:rsidP="00F74A6F">
      <w:pPr>
        <w:rPr>
          <w:lang w:eastAsia="x-none"/>
        </w:rPr>
      </w:pPr>
      <w:hyperlink r:id="rId1795" w:history="1">
        <w:r w:rsidR="00AF7253">
          <w:rPr>
            <w:rStyle w:val="Hyperlink"/>
            <w:lang w:eastAsia="x-none"/>
          </w:rPr>
          <w:t>R1-2311998</w:t>
        </w:r>
      </w:hyperlink>
      <w:r w:rsidR="00F74A6F" w:rsidRPr="009537ED">
        <w:rPr>
          <w:lang w:eastAsia="x-none"/>
        </w:rPr>
        <w:tab/>
        <w:t>Remaining issues of disabling of HARQ feedback for IoT NTN</w:t>
      </w:r>
      <w:r w:rsidR="00F74A6F" w:rsidRPr="009537ED">
        <w:rPr>
          <w:lang w:eastAsia="x-none"/>
        </w:rPr>
        <w:tab/>
        <w:t>MediaTek Inc.</w:t>
      </w:r>
    </w:p>
    <w:p w14:paraId="37FB4861" w14:textId="77777777" w:rsidR="00702D43" w:rsidRDefault="00702D43" w:rsidP="00F74A6F">
      <w:pPr>
        <w:rPr>
          <w:lang w:eastAsia="x-none"/>
        </w:rPr>
      </w:pPr>
    </w:p>
    <w:p w14:paraId="780BF222" w14:textId="291DE418" w:rsidR="00702D43" w:rsidRDefault="005A18DC" w:rsidP="00702D43">
      <w:pPr>
        <w:rPr>
          <w:lang w:eastAsia="x-none"/>
        </w:rPr>
      </w:pPr>
      <w:hyperlink r:id="rId1796" w:history="1">
        <w:r w:rsidR="00AF7253">
          <w:rPr>
            <w:rStyle w:val="Hyperlink"/>
            <w:lang w:eastAsia="x-none"/>
          </w:rPr>
          <w:t>R1-2312388</w:t>
        </w:r>
      </w:hyperlink>
      <w:r w:rsidR="00702D43">
        <w:rPr>
          <w:lang w:eastAsia="x-none"/>
        </w:rPr>
        <w:tab/>
        <w:t>FLS#1 on disabling of HARQ feedback for IoT NTN</w:t>
      </w:r>
      <w:r w:rsidR="00702D43">
        <w:rPr>
          <w:lang w:eastAsia="x-none"/>
        </w:rPr>
        <w:tab/>
        <w:t>Moderator (Lenovo)</w:t>
      </w:r>
    </w:p>
    <w:p w14:paraId="7D54FF2E" w14:textId="21919FCA" w:rsidR="00702D43" w:rsidRPr="00702D43" w:rsidRDefault="005A18DC" w:rsidP="00702D43">
      <w:pPr>
        <w:rPr>
          <w:b/>
          <w:bCs/>
          <w:lang w:eastAsia="x-none"/>
        </w:rPr>
      </w:pPr>
      <w:hyperlink r:id="rId1797" w:history="1">
        <w:r w:rsidR="00AF7253">
          <w:rPr>
            <w:rStyle w:val="Hyperlink"/>
            <w:b/>
            <w:bCs/>
            <w:lang w:eastAsia="x-none"/>
          </w:rPr>
          <w:t>R1-2312389</w:t>
        </w:r>
      </w:hyperlink>
      <w:r w:rsidR="00702D43" w:rsidRPr="00702D43">
        <w:rPr>
          <w:b/>
          <w:bCs/>
          <w:lang w:eastAsia="x-none"/>
        </w:rPr>
        <w:tab/>
        <w:t>FLS#2 on disabling of HARQ feedback for IoT NTN</w:t>
      </w:r>
      <w:r w:rsidR="00702D43" w:rsidRPr="00702D43">
        <w:rPr>
          <w:b/>
          <w:bCs/>
          <w:lang w:eastAsia="x-none"/>
        </w:rPr>
        <w:tab/>
        <w:t>Moderator (Lenovo)</w:t>
      </w:r>
    </w:p>
    <w:p w14:paraId="6387B6B4" w14:textId="629D5AFB" w:rsidR="00702D43" w:rsidRDefault="00702D43" w:rsidP="00702D43">
      <w:pPr>
        <w:rPr>
          <w:lang w:eastAsia="x-none"/>
        </w:rPr>
      </w:pPr>
      <w:r>
        <w:rPr>
          <w:lang w:eastAsia="x-none"/>
        </w:rPr>
        <w:t>From Tuesday session</w:t>
      </w:r>
    </w:p>
    <w:p w14:paraId="2442B82C" w14:textId="77777777" w:rsidR="00702D43" w:rsidRPr="00702D43" w:rsidRDefault="00702D43" w:rsidP="00702D43">
      <w:pPr>
        <w:rPr>
          <w:lang w:eastAsia="zh-CN"/>
        </w:rPr>
      </w:pPr>
      <w:r w:rsidRPr="00702D43">
        <w:rPr>
          <w:highlight w:val="green"/>
          <w:lang w:eastAsia="zh-CN"/>
        </w:rPr>
        <w:t>Agreement</w:t>
      </w:r>
    </w:p>
    <w:p w14:paraId="2EA03B10" w14:textId="77777777" w:rsidR="00702D43" w:rsidRPr="00702D43" w:rsidRDefault="00702D43" w:rsidP="00702D43">
      <w:pPr>
        <w:rPr>
          <w:lang w:eastAsia="zh-CN"/>
        </w:rPr>
      </w:pPr>
      <w:r w:rsidRPr="00702D43">
        <w:t>When multiple TBs are scheduled by a single DCI:</w:t>
      </w:r>
    </w:p>
    <w:p w14:paraId="5406AECD" w14:textId="77777777" w:rsidR="00702D43" w:rsidRPr="00A033C1" w:rsidRDefault="00702D43" w:rsidP="00AA1D48">
      <w:pPr>
        <w:pStyle w:val="ListParagraph"/>
        <w:numPr>
          <w:ilvl w:val="0"/>
          <w:numId w:val="142"/>
        </w:numPr>
        <w:rPr>
          <w:lang w:eastAsia="zh-CN"/>
        </w:rPr>
      </w:pPr>
      <w:r w:rsidRPr="00A033C1">
        <w:rPr>
          <w:lang w:eastAsia="zh-CN"/>
        </w:rPr>
        <w:t>For Option 1 + Option 3 DCI based overridden mechanism, when DCI indicates HARQ feedback enabled, then the NB-IoT UE always wait for an RTT+3ms (i.e., till subframe n+Kmac+3 in TS36.213 section 16.6) before monitoring NPDCCH.</w:t>
      </w:r>
    </w:p>
    <w:p w14:paraId="2C2ACCC7" w14:textId="77777777" w:rsidR="00702D43" w:rsidRPr="00702D43" w:rsidRDefault="00702D43" w:rsidP="00702D43">
      <w:pPr>
        <w:rPr>
          <w:lang w:eastAsia="zh-CN"/>
        </w:rPr>
      </w:pPr>
      <w:r w:rsidRPr="00702D43">
        <w:rPr>
          <w:highlight w:val="green"/>
          <w:lang w:eastAsia="zh-CN"/>
        </w:rPr>
        <w:t>Agreement</w:t>
      </w:r>
    </w:p>
    <w:p w14:paraId="00FEBD46" w14:textId="5B07E674" w:rsidR="00702D43" w:rsidRPr="00702D43" w:rsidRDefault="00702D43" w:rsidP="00702D43">
      <w:r w:rsidRPr="00702D43">
        <w:t>It is up to editor to select TP 2-2</w:t>
      </w:r>
      <w:r w:rsidRPr="00702D43">
        <w:rPr>
          <w:rFonts w:hint="eastAsia"/>
          <w:lang w:eastAsia="zh-CN"/>
        </w:rPr>
        <w:t>b</w:t>
      </w:r>
      <w:r w:rsidRPr="00702D43">
        <w:rPr>
          <w:lang w:eastAsia="zh-CN"/>
        </w:rPr>
        <w:t xml:space="preserve"> or </w:t>
      </w:r>
      <w:r w:rsidRPr="00702D43">
        <w:rPr>
          <w:rFonts w:hint="eastAsia"/>
          <w:lang w:eastAsia="zh-CN"/>
        </w:rPr>
        <w:t>TP</w:t>
      </w:r>
      <w:r w:rsidRPr="00702D43">
        <w:rPr>
          <w:lang w:eastAsia="zh-CN"/>
        </w:rPr>
        <w:t xml:space="preserve"> 2-3</w:t>
      </w:r>
      <w:r w:rsidRPr="00702D43">
        <w:rPr>
          <w:rFonts w:hint="eastAsia"/>
          <w:lang w:eastAsia="zh-CN"/>
        </w:rPr>
        <w:t>a</w:t>
      </w:r>
      <w:r w:rsidRPr="00702D43">
        <w:rPr>
          <w:lang w:eastAsia="zh-CN"/>
        </w:rPr>
        <w:t xml:space="preserve"> in</w:t>
      </w:r>
      <w:r w:rsidRPr="00702D43">
        <w:t xml:space="preserve"> section </w:t>
      </w:r>
      <w:r w:rsidRPr="00702D43">
        <w:rPr>
          <w:lang w:eastAsia="zh-CN"/>
        </w:rPr>
        <w:t>7</w:t>
      </w:r>
      <w:r w:rsidRPr="00702D43">
        <w:t xml:space="preserve"> of </w:t>
      </w:r>
      <w:hyperlink r:id="rId1798" w:history="1">
        <w:r w:rsidR="00AF7253">
          <w:rPr>
            <w:rStyle w:val="Hyperlink"/>
          </w:rPr>
          <w:t>R1-2312389</w:t>
        </w:r>
      </w:hyperlink>
      <w:r w:rsidRPr="00702D43">
        <w:t xml:space="preserve"> to be endorsed for TS36.213 clause 7.3.</w:t>
      </w:r>
    </w:p>
    <w:p w14:paraId="47AFC4C7" w14:textId="77777777" w:rsidR="00702D43" w:rsidRDefault="00702D43" w:rsidP="00702D43"/>
    <w:p w14:paraId="486F512C" w14:textId="77777777" w:rsidR="00702D43" w:rsidRDefault="00702D43" w:rsidP="00702D43">
      <w:pPr>
        <w:rPr>
          <w:lang w:eastAsia="x-none"/>
        </w:rPr>
      </w:pPr>
    </w:p>
    <w:p w14:paraId="35450EA5" w14:textId="017316C4" w:rsidR="00702D43" w:rsidRPr="00A033C1" w:rsidRDefault="005A18DC" w:rsidP="00702D43">
      <w:pPr>
        <w:rPr>
          <w:b/>
          <w:bCs/>
          <w:lang w:eastAsia="x-none"/>
        </w:rPr>
      </w:pPr>
      <w:hyperlink r:id="rId1799" w:history="1">
        <w:r w:rsidR="00AF7253">
          <w:rPr>
            <w:rStyle w:val="Hyperlink"/>
            <w:b/>
            <w:bCs/>
            <w:lang w:eastAsia="x-none"/>
          </w:rPr>
          <w:t>R1-2312460</w:t>
        </w:r>
      </w:hyperlink>
      <w:r w:rsidR="00702D43" w:rsidRPr="00A033C1">
        <w:rPr>
          <w:b/>
          <w:bCs/>
          <w:lang w:eastAsia="x-none"/>
        </w:rPr>
        <w:tab/>
        <w:t>FLS#3 on disabling of HARQ feedback for IoT NTN</w:t>
      </w:r>
      <w:r w:rsidR="00702D43" w:rsidRPr="00A033C1">
        <w:rPr>
          <w:b/>
          <w:bCs/>
          <w:lang w:eastAsia="x-none"/>
        </w:rPr>
        <w:tab/>
        <w:t>Moderator(Lenovo)</w:t>
      </w:r>
    </w:p>
    <w:p w14:paraId="3C8AB14A" w14:textId="1F7EEFA0" w:rsidR="00A033C1" w:rsidRDefault="00A033C1" w:rsidP="00702D43">
      <w:pPr>
        <w:rPr>
          <w:lang w:eastAsia="x-none"/>
        </w:rPr>
      </w:pPr>
      <w:r>
        <w:rPr>
          <w:lang w:eastAsia="x-none"/>
        </w:rPr>
        <w:t>From Thursday session</w:t>
      </w:r>
    </w:p>
    <w:p w14:paraId="111EF0BE" w14:textId="77777777" w:rsidR="00A033C1" w:rsidRDefault="00A033C1" w:rsidP="00A033C1">
      <w:pPr>
        <w:rPr>
          <w:szCs w:val="20"/>
          <w:lang w:eastAsia="zh-CN"/>
        </w:rPr>
      </w:pPr>
      <w:r>
        <w:rPr>
          <w:szCs w:val="20"/>
          <w:highlight w:val="green"/>
          <w:lang w:eastAsia="zh-CN"/>
        </w:rPr>
        <w:t>Agreement</w:t>
      </w:r>
    </w:p>
    <w:p w14:paraId="6B0655AE" w14:textId="45A384B1" w:rsidR="00A033C1" w:rsidRDefault="00A033C1" w:rsidP="00A033C1">
      <w:pPr>
        <w:rPr>
          <w:szCs w:val="20"/>
          <w:lang w:eastAsia="x-none"/>
        </w:rPr>
      </w:pPr>
      <w:r>
        <w:rPr>
          <w:szCs w:val="20"/>
          <w:lang w:eastAsia="x-none"/>
        </w:rPr>
        <w:t>The TP 4-1</w:t>
      </w:r>
      <w:r>
        <w:rPr>
          <w:szCs w:val="20"/>
          <w:lang w:eastAsia="zh-CN"/>
        </w:rPr>
        <w:t>c in</w:t>
      </w:r>
      <w:r>
        <w:rPr>
          <w:szCs w:val="20"/>
          <w:lang w:eastAsia="x-none"/>
        </w:rPr>
        <w:t xml:space="preserve"> section </w:t>
      </w:r>
      <w:r>
        <w:rPr>
          <w:szCs w:val="20"/>
          <w:lang w:eastAsia="zh-CN"/>
        </w:rPr>
        <w:t xml:space="preserve">8 </w:t>
      </w:r>
      <w:r>
        <w:rPr>
          <w:szCs w:val="20"/>
          <w:lang w:eastAsia="x-none"/>
        </w:rPr>
        <w:t xml:space="preserve">of </w:t>
      </w:r>
      <w:hyperlink r:id="rId1800" w:history="1">
        <w:r w:rsidR="00AF7253">
          <w:rPr>
            <w:rStyle w:val="Hyperlink"/>
            <w:szCs w:val="20"/>
            <w:lang w:eastAsia="x-none"/>
          </w:rPr>
          <w:t>R1-2312460</w:t>
        </w:r>
      </w:hyperlink>
      <w:r>
        <w:rPr>
          <w:szCs w:val="20"/>
          <w:lang w:eastAsia="x-none"/>
        </w:rPr>
        <w:t xml:space="preserve"> is endorsed for TS36.213 clause 7.3.1.</w:t>
      </w:r>
    </w:p>
    <w:p w14:paraId="2C9A5619" w14:textId="77777777" w:rsidR="00A033C1" w:rsidRPr="009537ED" w:rsidRDefault="00A033C1" w:rsidP="00702D43">
      <w:pPr>
        <w:rPr>
          <w:lang w:eastAsia="x-none"/>
        </w:rPr>
      </w:pPr>
    </w:p>
    <w:p w14:paraId="2857E8A2" w14:textId="77777777" w:rsidR="00F74A6F" w:rsidRPr="009537ED" w:rsidRDefault="00F74A6F" w:rsidP="00702D43">
      <w:pPr>
        <w:pStyle w:val="Heading3"/>
      </w:pPr>
      <w:bookmarkStart w:id="770" w:name="_Toc150174494"/>
      <w:bookmarkStart w:id="771" w:name="_Toc159251036"/>
      <w:r w:rsidRPr="009537ED">
        <w:t>Improved GNSS operations for IoT NTN</w:t>
      </w:r>
      <w:bookmarkEnd w:id="770"/>
      <w:bookmarkEnd w:id="771"/>
    </w:p>
    <w:p w14:paraId="4F8459A1" w14:textId="6DD85374" w:rsidR="00F74A6F" w:rsidRPr="009537ED" w:rsidRDefault="005A18DC" w:rsidP="00F74A6F">
      <w:pPr>
        <w:rPr>
          <w:lang w:eastAsia="x-none"/>
        </w:rPr>
      </w:pPr>
      <w:hyperlink r:id="rId1801" w:history="1">
        <w:r w:rsidR="00AF7253">
          <w:rPr>
            <w:rStyle w:val="Hyperlink"/>
            <w:lang w:eastAsia="x-none"/>
          </w:rPr>
          <w:t>R1-2310879</w:t>
        </w:r>
      </w:hyperlink>
      <w:r w:rsidR="00F74A6F" w:rsidRPr="009537ED">
        <w:rPr>
          <w:lang w:eastAsia="x-none"/>
        </w:rPr>
        <w:tab/>
        <w:t>Maintenance of improved GNSS operations for IoT NTN</w:t>
      </w:r>
      <w:r w:rsidR="00F74A6F" w:rsidRPr="009537ED">
        <w:rPr>
          <w:lang w:eastAsia="x-none"/>
        </w:rPr>
        <w:tab/>
        <w:t>Huawei, HiSilicon</w:t>
      </w:r>
    </w:p>
    <w:p w14:paraId="236F59F8" w14:textId="7E079743" w:rsidR="00F74A6F" w:rsidRPr="009537ED" w:rsidRDefault="005A18DC" w:rsidP="00F74A6F">
      <w:pPr>
        <w:rPr>
          <w:lang w:eastAsia="x-none"/>
        </w:rPr>
      </w:pPr>
      <w:hyperlink r:id="rId1802" w:history="1">
        <w:r w:rsidR="00AF7253">
          <w:rPr>
            <w:rStyle w:val="Hyperlink"/>
            <w:lang w:eastAsia="x-none"/>
          </w:rPr>
          <w:t>R1-2311181</w:t>
        </w:r>
      </w:hyperlink>
      <w:r w:rsidR="00F74A6F" w:rsidRPr="009537ED">
        <w:rPr>
          <w:lang w:eastAsia="x-none"/>
        </w:rPr>
        <w:tab/>
        <w:t>Remaining issues on improved GNSS operations for IoT NTN</w:t>
      </w:r>
      <w:r w:rsidR="00F74A6F" w:rsidRPr="009537ED">
        <w:rPr>
          <w:lang w:eastAsia="x-none"/>
        </w:rPr>
        <w:tab/>
        <w:t>Spreadtrum Communications</w:t>
      </w:r>
    </w:p>
    <w:p w14:paraId="01DB48D4" w14:textId="71C6D441" w:rsidR="00F74A6F" w:rsidRPr="009537ED" w:rsidRDefault="005A18DC" w:rsidP="00F74A6F">
      <w:pPr>
        <w:rPr>
          <w:lang w:eastAsia="x-none"/>
        </w:rPr>
      </w:pPr>
      <w:hyperlink r:id="rId1803" w:history="1">
        <w:r w:rsidR="00AF7253">
          <w:rPr>
            <w:rStyle w:val="Hyperlink"/>
            <w:lang w:eastAsia="x-none"/>
          </w:rPr>
          <w:t>R1-2311203</w:t>
        </w:r>
      </w:hyperlink>
      <w:r w:rsidR="00F74A6F" w:rsidRPr="009537ED">
        <w:rPr>
          <w:lang w:eastAsia="x-none"/>
        </w:rPr>
        <w:tab/>
        <w:t>Remaining issue on improved GNSS operation</w:t>
      </w:r>
      <w:r w:rsidR="00F74A6F" w:rsidRPr="009537ED">
        <w:rPr>
          <w:lang w:eastAsia="x-none"/>
        </w:rPr>
        <w:tab/>
        <w:t>ZTE</w:t>
      </w:r>
    </w:p>
    <w:p w14:paraId="5485964D" w14:textId="65FE1DB0" w:rsidR="00F74A6F" w:rsidRPr="009537ED" w:rsidRDefault="005A18DC" w:rsidP="00F74A6F">
      <w:pPr>
        <w:rPr>
          <w:lang w:eastAsia="x-none"/>
        </w:rPr>
      </w:pPr>
      <w:hyperlink r:id="rId1804" w:history="1">
        <w:r w:rsidR="00AF7253">
          <w:rPr>
            <w:rStyle w:val="Hyperlink"/>
            <w:lang w:eastAsia="x-none"/>
          </w:rPr>
          <w:t>R1-2311248</w:t>
        </w:r>
      </w:hyperlink>
      <w:r w:rsidR="00F74A6F" w:rsidRPr="009537ED">
        <w:rPr>
          <w:lang w:eastAsia="x-none"/>
        </w:rPr>
        <w:tab/>
        <w:t>Discussion on remaining issue for improved GNSS operation for IoT NTN</w:t>
      </w:r>
      <w:r w:rsidR="00F74A6F" w:rsidRPr="009537ED">
        <w:rPr>
          <w:lang w:eastAsia="x-none"/>
        </w:rPr>
        <w:tab/>
        <w:t>OPPO</w:t>
      </w:r>
    </w:p>
    <w:p w14:paraId="23E3E50A" w14:textId="67DB5EBE" w:rsidR="00F74A6F" w:rsidRPr="009537ED" w:rsidRDefault="005A18DC" w:rsidP="00F74A6F">
      <w:pPr>
        <w:rPr>
          <w:lang w:eastAsia="x-none"/>
        </w:rPr>
      </w:pPr>
      <w:hyperlink r:id="rId1805" w:history="1">
        <w:r w:rsidR="00AF7253">
          <w:rPr>
            <w:rStyle w:val="Hyperlink"/>
            <w:lang w:eastAsia="x-none"/>
          </w:rPr>
          <w:t>R1-2311512</w:t>
        </w:r>
      </w:hyperlink>
      <w:r w:rsidR="00F74A6F" w:rsidRPr="009537ED">
        <w:rPr>
          <w:lang w:eastAsia="x-none"/>
        </w:rPr>
        <w:tab/>
        <w:t>Remaining issues on Improved GNSS Operations for IoT NTN</w:t>
      </w:r>
      <w:r w:rsidR="00F74A6F" w:rsidRPr="009537ED">
        <w:rPr>
          <w:lang w:eastAsia="x-none"/>
        </w:rPr>
        <w:tab/>
        <w:t>NEC</w:t>
      </w:r>
    </w:p>
    <w:p w14:paraId="78D66BAC" w14:textId="0AFE4582" w:rsidR="00F74A6F" w:rsidRPr="009537ED" w:rsidRDefault="005A18DC" w:rsidP="00F74A6F">
      <w:pPr>
        <w:rPr>
          <w:lang w:eastAsia="x-none"/>
        </w:rPr>
      </w:pPr>
      <w:hyperlink r:id="rId1806" w:history="1">
        <w:r w:rsidR="00AF7253">
          <w:rPr>
            <w:rStyle w:val="Hyperlink"/>
            <w:lang w:eastAsia="x-none"/>
          </w:rPr>
          <w:t>R1-2311586</w:t>
        </w:r>
      </w:hyperlink>
      <w:r w:rsidR="00F74A6F" w:rsidRPr="009537ED">
        <w:rPr>
          <w:lang w:eastAsia="x-none"/>
        </w:rPr>
        <w:tab/>
        <w:t>Discussion on the remaining issues for the improved GNSS operation for IoT NTN</w:t>
      </w:r>
      <w:r w:rsidR="00F74A6F" w:rsidRPr="009537ED">
        <w:rPr>
          <w:lang w:eastAsia="x-none"/>
        </w:rPr>
        <w:tab/>
        <w:t>Beijing Xiaomi Mobile Software</w:t>
      </w:r>
    </w:p>
    <w:p w14:paraId="54EDAAC8" w14:textId="5928E35E" w:rsidR="00F74A6F" w:rsidRPr="009537ED" w:rsidRDefault="005A18DC" w:rsidP="00F74A6F">
      <w:pPr>
        <w:rPr>
          <w:lang w:eastAsia="x-none"/>
        </w:rPr>
      </w:pPr>
      <w:hyperlink r:id="rId1807" w:history="1">
        <w:r w:rsidR="00AF7253">
          <w:rPr>
            <w:rStyle w:val="Hyperlink"/>
            <w:lang w:eastAsia="x-none"/>
          </w:rPr>
          <w:t>R1-2311655</w:t>
        </w:r>
      </w:hyperlink>
      <w:r w:rsidR="00F74A6F" w:rsidRPr="009537ED">
        <w:rPr>
          <w:lang w:eastAsia="x-none"/>
        </w:rPr>
        <w:tab/>
        <w:t>Maintenance on improved GNSS operations for IoT NTN</w:t>
      </w:r>
      <w:r w:rsidR="00F74A6F" w:rsidRPr="009537ED">
        <w:rPr>
          <w:lang w:eastAsia="x-none"/>
        </w:rPr>
        <w:tab/>
        <w:t>Nokia, Nokia Shanghai Bell</w:t>
      </w:r>
    </w:p>
    <w:p w14:paraId="3CBD99E4" w14:textId="58FA7F77" w:rsidR="00F74A6F" w:rsidRPr="009537ED" w:rsidRDefault="005A18DC" w:rsidP="00F74A6F">
      <w:pPr>
        <w:rPr>
          <w:lang w:eastAsia="x-none"/>
        </w:rPr>
      </w:pPr>
      <w:hyperlink r:id="rId1808" w:history="1">
        <w:r w:rsidR="00AF7253">
          <w:rPr>
            <w:rStyle w:val="Hyperlink"/>
            <w:lang w:eastAsia="x-none"/>
          </w:rPr>
          <w:t>R1-2311703</w:t>
        </w:r>
      </w:hyperlink>
      <w:r w:rsidR="00F74A6F" w:rsidRPr="009537ED">
        <w:rPr>
          <w:lang w:eastAsia="x-none"/>
        </w:rPr>
        <w:tab/>
        <w:t>Remaining issues on improved GNSS operations for IoT NTN</w:t>
      </w:r>
      <w:r w:rsidR="00F74A6F" w:rsidRPr="009537ED">
        <w:rPr>
          <w:lang w:eastAsia="x-none"/>
        </w:rPr>
        <w:tab/>
        <w:t>Apple</w:t>
      </w:r>
    </w:p>
    <w:p w14:paraId="50C5947F" w14:textId="777EECAA" w:rsidR="00F74A6F" w:rsidRPr="009537ED" w:rsidRDefault="005A18DC" w:rsidP="00F74A6F">
      <w:pPr>
        <w:rPr>
          <w:lang w:eastAsia="x-none"/>
        </w:rPr>
      </w:pPr>
      <w:hyperlink r:id="rId1809" w:history="1">
        <w:r w:rsidR="00AF7253">
          <w:rPr>
            <w:rStyle w:val="Hyperlink"/>
            <w:lang w:eastAsia="x-none"/>
          </w:rPr>
          <w:t>R1-2311863</w:t>
        </w:r>
      </w:hyperlink>
      <w:r w:rsidR="00F74A6F" w:rsidRPr="009537ED">
        <w:rPr>
          <w:lang w:eastAsia="x-none"/>
        </w:rPr>
        <w:tab/>
        <w:t>Remaining issues for improved GNSS operations for IoT NTN</w:t>
      </w:r>
      <w:r w:rsidR="00F74A6F" w:rsidRPr="009537ED">
        <w:rPr>
          <w:lang w:eastAsia="x-none"/>
        </w:rPr>
        <w:tab/>
        <w:t>Samsung</w:t>
      </w:r>
    </w:p>
    <w:p w14:paraId="46DEAFB7" w14:textId="49EEB926" w:rsidR="00F74A6F" w:rsidRPr="009537ED" w:rsidRDefault="005A18DC" w:rsidP="00F74A6F">
      <w:pPr>
        <w:rPr>
          <w:lang w:eastAsia="x-none"/>
        </w:rPr>
      </w:pPr>
      <w:hyperlink r:id="rId1810" w:history="1">
        <w:r w:rsidR="00AF7253">
          <w:rPr>
            <w:rStyle w:val="Hyperlink"/>
            <w:lang w:eastAsia="x-none"/>
          </w:rPr>
          <w:t>R1-2311943</w:t>
        </w:r>
      </w:hyperlink>
      <w:r w:rsidR="00F74A6F" w:rsidRPr="009537ED">
        <w:rPr>
          <w:lang w:eastAsia="x-none"/>
        </w:rPr>
        <w:tab/>
        <w:t>On maintenance of improved GNSS operations for IoT NTN</w:t>
      </w:r>
      <w:r w:rsidR="00F74A6F" w:rsidRPr="009537ED">
        <w:rPr>
          <w:lang w:eastAsia="x-none"/>
        </w:rPr>
        <w:tab/>
        <w:t>Ericsson Inc.</w:t>
      </w:r>
    </w:p>
    <w:p w14:paraId="6807E8AD" w14:textId="4F4866A4" w:rsidR="00F74A6F" w:rsidRPr="009537ED" w:rsidRDefault="005A18DC" w:rsidP="00F74A6F">
      <w:pPr>
        <w:rPr>
          <w:lang w:eastAsia="x-none"/>
        </w:rPr>
      </w:pPr>
      <w:hyperlink r:id="rId1811" w:history="1">
        <w:r w:rsidR="00AF7253">
          <w:rPr>
            <w:rStyle w:val="Hyperlink"/>
            <w:lang w:eastAsia="x-none"/>
          </w:rPr>
          <w:t>R1-2311999</w:t>
        </w:r>
      </w:hyperlink>
      <w:r w:rsidR="00F74A6F" w:rsidRPr="009537ED">
        <w:rPr>
          <w:lang w:eastAsia="x-none"/>
        </w:rPr>
        <w:tab/>
        <w:t>Remaining issues on improved GNSS operations for IoT NTN</w:t>
      </w:r>
      <w:r w:rsidR="00F74A6F" w:rsidRPr="009537ED">
        <w:rPr>
          <w:lang w:eastAsia="x-none"/>
        </w:rPr>
        <w:tab/>
        <w:t>MediaTek Inc.</w:t>
      </w:r>
    </w:p>
    <w:p w14:paraId="127635F4" w14:textId="5A84C518" w:rsidR="00F74A6F" w:rsidRPr="009537ED" w:rsidRDefault="005A18DC" w:rsidP="00F74A6F">
      <w:pPr>
        <w:rPr>
          <w:lang w:eastAsia="x-none"/>
        </w:rPr>
      </w:pPr>
      <w:hyperlink r:id="rId1812" w:history="1">
        <w:r w:rsidR="00AF7253">
          <w:rPr>
            <w:rStyle w:val="Hyperlink"/>
            <w:lang w:eastAsia="x-none"/>
          </w:rPr>
          <w:t>R1-2312054</w:t>
        </w:r>
      </w:hyperlink>
      <w:r w:rsidR="00F74A6F" w:rsidRPr="009537ED">
        <w:rPr>
          <w:lang w:eastAsia="x-none"/>
        </w:rPr>
        <w:tab/>
        <w:t>Improved GNSS Operations for IoT-NTN</w:t>
      </w:r>
      <w:r w:rsidR="00F74A6F" w:rsidRPr="009537ED">
        <w:rPr>
          <w:lang w:eastAsia="x-none"/>
        </w:rPr>
        <w:tab/>
        <w:t>Qualcomm Incorporated</w:t>
      </w:r>
    </w:p>
    <w:p w14:paraId="5C0083D7" w14:textId="072229E3" w:rsidR="00F74A6F" w:rsidRDefault="005A18DC" w:rsidP="00F74A6F">
      <w:pPr>
        <w:rPr>
          <w:lang w:eastAsia="x-none"/>
        </w:rPr>
      </w:pPr>
      <w:hyperlink r:id="rId1813" w:history="1">
        <w:r w:rsidR="00AF7253">
          <w:rPr>
            <w:rStyle w:val="Hyperlink"/>
            <w:lang w:eastAsia="x-none"/>
          </w:rPr>
          <w:t>R1-2312128</w:t>
        </w:r>
      </w:hyperlink>
      <w:r w:rsidR="00F74A6F" w:rsidRPr="009537ED">
        <w:rPr>
          <w:lang w:eastAsia="x-none"/>
        </w:rPr>
        <w:tab/>
        <w:t>Improved GNSS operations for IoT NTN</w:t>
      </w:r>
      <w:r w:rsidR="00F74A6F" w:rsidRPr="009537ED">
        <w:rPr>
          <w:lang w:eastAsia="x-none"/>
        </w:rPr>
        <w:tab/>
        <w:t>Nordic Semiconductor ASA</w:t>
      </w:r>
    </w:p>
    <w:p w14:paraId="67FF25B1" w14:textId="77777777" w:rsidR="002356D6" w:rsidRDefault="002356D6" w:rsidP="00F74A6F">
      <w:pPr>
        <w:rPr>
          <w:lang w:eastAsia="x-none"/>
        </w:rPr>
      </w:pPr>
    </w:p>
    <w:p w14:paraId="57540F84" w14:textId="1605D23E" w:rsidR="002356D6" w:rsidRPr="002356D6" w:rsidRDefault="005A18DC" w:rsidP="002356D6">
      <w:pPr>
        <w:rPr>
          <w:b/>
        </w:rPr>
      </w:pPr>
      <w:hyperlink r:id="rId1814" w:history="1">
        <w:r w:rsidR="00AF7253">
          <w:rPr>
            <w:rStyle w:val="Hyperlink"/>
            <w:b/>
          </w:rPr>
          <w:t>R1-2312298</w:t>
        </w:r>
      </w:hyperlink>
      <w:r w:rsidR="002356D6" w:rsidRPr="002356D6">
        <w:rPr>
          <w:b/>
        </w:rPr>
        <w:tab/>
        <w:t>Feature lead summary#1 of AI 8.13.4 on improved GNSS operations</w:t>
      </w:r>
      <w:r w:rsidR="002356D6" w:rsidRPr="002356D6">
        <w:rPr>
          <w:b/>
        </w:rPr>
        <w:tab/>
        <w:t>Moderator (MediaTek)</w:t>
      </w:r>
    </w:p>
    <w:p w14:paraId="4EE42D25" w14:textId="54496B8D" w:rsidR="002356D6" w:rsidRPr="002356D6" w:rsidRDefault="002356D6" w:rsidP="002356D6">
      <w:r>
        <w:t>From Tuesday session</w:t>
      </w:r>
    </w:p>
    <w:p w14:paraId="22A4B764" w14:textId="77777777" w:rsidR="002356D6" w:rsidRPr="002356D6" w:rsidRDefault="002356D6" w:rsidP="002356D6">
      <w:pPr>
        <w:rPr>
          <w:rFonts w:ascii="Times New Roman" w:hAnsi="Times New Roman"/>
          <w:szCs w:val="20"/>
        </w:rPr>
      </w:pPr>
      <w:r w:rsidRPr="002356D6">
        <w:rPr>
          <w:rFonts w:ascii="Times New Roman" w:hAnsi="Times New Roman"/>
          <w:szCs w:val="20"/>
          <w:highlight w:val="green"/>
        </w:rPr>
        <w:t>Agreement</w:t>
      </w:r>
    </w:p>
    <w:p w14:paraId="241C2DBA" w14:textId="77777777" w:rsidR="002356D6" w:rsidRPr="002356D6" w:rsidRDefault="002356D6" w:rsidP="002356D6">
      <w:pPr>
        <w:rPr>
          <w:rFonts w:ascii="Times New Roman" w:eastAsia="SimSun" w:hAnsi="Times New Roman"/>
          <w:szCs w:val="20"/>
          <w:lang w:val="en-US" w:eastAsia="zh-CN"/>
        </w:rPr>
      </w:pPr>
      <w:r w:rsidRPr="002356D6">
        <w:rPr>
          <w:rFonts w:ascii="Times New Roman" w:eastAsia="SimSun" w:hAnsi="Times New Roman"/>
          <w:szCs w:val="20"/>
          <w:lang w:val="en-US" w:eastAsia="zh-CN"/>
        </w:rPr>
        <w:t>Modify X1 value of RAN1#114 agreement on start time of GNSS measurement gap as below and endorse the corresponding TP below:</w:t>
      </w:r>
    </w:p>
    <w:p w14:paraId="68130D76" w14:textId="77777777" w:rsidR="002356D6" w:rsidRPr="002356D6" w:rsidRDefault="002356D6" w:rsidP="002356D6">
      <w:pPr>
        <w:ind w:left="360"/>
        <w:rPr>
          <w:rFonts w:ascii="Times New Roman" w:eastAsia="SimSun" w:hAnsi="Times New Roman"/>
          <w:sz w:val="18"/>
          <w:szCs w:val="18"/>
          <w:lang w:val="en-US" w:eastAsia="zh-CN"/>
        </w:rPr>
      </w:pPr>
      <w:r w:rsidRPr="002356D6">
        <w:rPr>
          <w:rFonts w:ascii="Times New Roman" w:eastAsia="SimSun" w:hAnsi="Times New Roman"/>
          <w:sz w:val="18"/>
          <w:szCs w:val="18"/>
          <w:lang w:val="en-US" w:eastAsia="zh-CN"/>
        </w:rPr>
        <w:t xml:space="preserve">For the aperiodic GNSS measurement gap triggered by eNB with MAC CE, the start time of the gap should be at n+ X1, where n is the end of MAC CE receiving subframe/slot when HARQ feedback for the MAC CE is disabled </w:t>
      </w:r>
    </w:p>
    <w:p w14:paraId="3DF8605A" w14:textId="77777777" w:rsidR="002356D6" w:rsidRPr="002356D6" w:rsidRDefault="002356D6" w:rsidP="00AA1D48">
      <w:pPr>
        <w:pStyle w:val="ListParagraph"/>
        <w:numPr>
          <w:ilvl w:val="0"/>
          <w:numId w:val="142"/>
        </w:numPr>
        <w:ind w:left="1080"/>
        <w:rPr>
          <w:sz w:val="18"/>
          <w:szCs w:val="18"/>
        </w:rPr>
      </w:pPr>
      <w:r w:rsidRPr="002356D6">
        <w:rPr>
          <w:sz w:val="18"/>
          <w:szCs w:val="18"/>
        </w:rPr>
        <w:t>X1=12ms for NB-IoT</w:t>
      </w:r>
    </w:p>
    <w:p w14:paraId="7C953987" w14:textId="77777777" w:rsidR="002356D6" w:rsidRPr="002356D6" w:rsidRDefault="002356D6" w:rsidP="00AA1D48">
      <w:pPr>
        <w:pStyle w:val="ListParagraph"/>
        <w:numPr>
          <w:ilvl w:val="0"/>
          <w:numId w:val="142"/>
        </w:numPr>
        <w:ind w:left="1080"/>
        <w:rPr>
          <w:rFonts w:eastAsia="DengXian"/>
          <w:sz w:val="18"/>
          <w:szCs w:val="18"/>
        </w:rPr>
      </w:pPr>
      <w:r w:rsidRPr="002356D6">
        <w:rPr>
          <w:sz w:val="18"/>
          <w:szCs w:val="18"/>
        </w:rPr>
        <w:t>X1=</w:t>
      </w:r>
      <w:r w:rsidRPr="002356D6">
        <w:rPr>
          <w:color w:val="FF0000"/>
          <w:sz w:val="18"/>
          <w:szCs w:val="18"/>
        </w:rPr>
        <w:t>5</w:t>
      </w:r>
      <w:r w:rsidRPr="002356D6">
        <w:rPr>
          <w:strike/>
          <w:color w:val="FF0000"/>
          <w:sz w:val="18"/>
          <w:szCs w:val="18"/>
        </w:rPr>
        <w:t>6</w:t>
      </w:r>
      <w:r w:rsidRPr="002356D6">
        <w:rPr>
          <w:sz w:val="18"/>
          <w:szCs w:val="18"/>
        </w:rPr>
        <w:t>ms for eMTC</w:t>
      </w:r>
    </w:p>
    <w:p w14:paraId="03CCF246" w14:textId="77777777" w:rsidR="002356D6" w:rsidRPr="002356D6" w:rsidRDefault="002356D6" w:rsidP="002356D6">
      <w:pPr>
        <w:rPr>
          <w:rFonts w:ascii="Times New Roman" w:hAnsi="Times New Roman"/>
          <w:szCs w:val="20"/>
          <w:u w:val="single"/>
        </w:rPr>
      </w:pPr>
    </w:p>
    <w:p w14:paraId="3A8F9C21" w14:textId="1F5CDDDA" w:rsidR="002356D6" w:rsidRPr="00681F59" w:rsidRDefault="002356D6" w:rsidP="002356D6">
      <w:pPr>
        <w:rPr>
          <w:rFonts w:ascii="Times New Roman" w:eastAsia="Times New Roman" w:hAnsi="Times New Roman"/>
          <w:b/>
          <w:szCs w:val="20"/>
          <w:u w:val="single"/>
          <w:lang w:eastAsia="zh-CN"/>
        </w:rPr>
      </w:pPr>
      <w:r w:rsidRPr="002356D6">
        <w:rPr>
          <w:rFonts w:ascii="Times New Roman" w:eastAsia="Times New Roman" w:hAnsi="Times New Roman"/>
          <w:b/>
          <w:szCs w:val="20"/>
          <w:u w:val="single"/>
          <w:lang w:eastAsia="zh-CN"/>
        </w:rPr>
        <w:t>Reason for change:</w:t>
      </w:r>
      <w:r w:rsidR="00681F59">
        <w:rPr>
          <w:rFonts w:ascii="Times New Roman" w:hAnsi="Times New Roman"/>
          <w:szCs w:val="20"/>
          <w:lang w:eastAsia="zh-CN"/>
        </w:rPr>
        <w:t xml:space="preserve"> </w:t>
      </w:r>
      <w:r w:rsidRPr="002356D6">
        <w:rPr>
          <w:rFonts w:ascii="Times New Roman" w:hAnsi="Times New Roman"/>
          <w:szCs w:val="20"/>
          <w:lang w:eastAsia="zh-CN"/>
        </w:rPr>
        <w:t xml:space="preserve">In the endorsed CR </w:t>
      </w:r>
      <w:hyperlink r:id="rId1815" w:history="1">
        <w:r w:rsidR="00AF7253">
          <w:rPr>
            <w:rStyle w:val="Hyperlink"/>
            <w:rFonts w:ascii="Times New Roman" w:hAnsi="Times New Roman"/>
            <w:szCs w:val="20"/>
            <w:lang w:eastAsia="zh-CN"/>
          </w:rPr>
          <w:t>R1-2310771</w:t>
        </w:r>
      </w:hyperlink>
      <w:r w:rsidRPr="002356D6">
        <w:rPr>
          <w:rFonts w:ascii="Times New Roman" w:eastAsia="SimSun" w:hAnsi="Times New Roman"/>
          <w:szCs w:val="20"/>
          <w:lang w:eastAsia="zh-CN"/>
        </w:rPr>
        <w:t xml:space="preserve"> Clause 16.10</w:t>
      </w:r>
      <w:r w:rsidRPr="002356D6">
        <w:rPr>
          <w:rFonts w:ascii="Times New Roman" w:hAnsi="Times New Roman"/>
          <w:szCs w:val="20"/>
          <w:lang w:eastAsia="zh-CN"/>
        </w:rPr>
        <w:t>, the starting point of a measurement gap is counted from the starting point of last subframe carrying triggering MAC CE, which is one subframe early than the agreement in RAN1#114. To keep the same time budget for processing the triggering MAC CE, the starting point of measurement gap should be in subframe n+13 for NB-IoT.</w:t>
      </w:r>
    </w:p>
    <w:p w14:paraId="5C61608A" w14:textId="1A184751" w:rsidR="002356D6" w:rsidRPr="00681F59" w:rsidRDefault="002356D6" w:rsidP="002356D6">
      <w:pPr>
        <w:rPr>
          <w:rFonts w:ascii="Times New Roman" w:eastAsia="SimSun" w:hAnsi="Times New Roman"/>
          <w:b/>
          <w:szCs w:val="20"/>
          <w:u w:val="single"/>
          <w:lang w:val="en-US" w:eastAsia="zh-CN"/>
        </w:rPr>
      </w:pPr>
      <w:r w:rsidRPr="002356D6">
        <w:rPr>
          <w:rFonts w:ascii="Times New Roman" w:eastAsia="SimSun" w:hAnsi="Times New Roman"/>
          <w:b/>
          <w:szCs w:val="20"/>
          <w:u w:val="single"/>
          <w:lang w:val="en-US" w:eastAsia="zh-CN"/>
        </w:rPr>
        <w:t>Summary of change:</w:t>
      </w:r>
      <w:r w:rsidR="00681F59">
        <w:rPr>
          <w:rFonts w:ascii="Times New Roman" w:hAnsi="Times New Roman"/>
          <w:szCs w:val="20"/>
          <w:lang w:eastAsia="zh-CN"/>
        </w:rPr>
        <w:t xml:space="preserve"> </w:t>
      </w:r>
      <w:r w:rsidRPr="002356D6">
        <w:rPr>
          <w:rFonts w:ascii="Times New Roman" w:hAnsi="Times New Roman"/>
          <w:szCs w:val="20"/>
          <w:lang w:eastAsia="zh-CN"/>
        </w:rPr>
        <w:t>Change the start of the measurement gap in subframe n+13 if UE shall not provide HARQ-ACK information for the NPDSCH carrying the triggering MAC CE.</w:t>
      </w:r>
    </w:p>
    <w:p w14:paraId="7F36F0AC" w14:textId="08200DD0" w:rsidR="002356D6" w:rsidRPr="00681F59" w:rsidRDefault="002356D6" w:rsidP="002356D6">
      <w:pPr>
        <w:rPr>
          <w:rFonts w:ascii="Times New Roman" w:eastAsia="SimSun" w:hAnsi="Times New Roman"/>
          <w:b/>
          <w:szCs w:val="20"/>
          <w:u w:val="single"/>
          <w:lang w:val="en-US" w:eastAsia="zh-CN"/>
        </w:rPr>
      </w:pPr>
      <w:r w:rsidRPr="002356D6">
        <w:rPr>
          <w:rFonts w:ascii="Times New Roman" w:eastAsia="SimSun" w:hAnsi="Times New Roman"/>
          <w:b/>
          <w:szCs w:val="20"/>
          <w:u w:val="single"/>
          <w:lang w:val="en-US" w:eastAsia="zh-CN"/>
        </w:rPr>
        <w:t>Consequence if not approved:</w:t>
      </w:r>
      <w:r w:rsidR="00681F59">
        <w:rPr>
          <w:rFonts w:ascii="Times New Roman" w:eastAsia="SimSun" w:hAnsi="Times New Roman"/>
          <w:szCs w:val="20"/>
          <w:lang w:val="en-US" w:eastAsia="zh-CN"/>
        </w:rPr>
        <w:t xml:space="preserve"> </w:t>
      </w:r>
      <w:r w:rsidRPr="002356D6">
        <w:rPr>
          <w:rFonts w:ascii="Times New Roman" w:eastAsia="SimSun" w:hAnsi="Times New Roman"/>
          <w:szCs w:val="20"/>
          <w:lang w:val="en-US" w:eastAsia="zh-CN"/>
        </w:rPr>
        <w:t xml:space="preserve">The RAN1 agreement for </w:t>
      </w:r>
      <w:r w:rsidRPr="002356D6">
        <w:rPr>
          <w:rFonts w:ascii="Times New Roman" w:hAnsi="Times New Roman"/>
          <w:szCs w:val="20"/>
          <w:lang w:eastAsia="zh-CN"/>
        </w:rPr>
        <w:t xml:space="preserve">GNSS measurement is not captured correctly in specification. </w:t>
      </w:r>
    </w:p>
    <w:tbl>
      <w:tblPr>
        <w:tblW w:w="5000" w:type="pct"/>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0683"/>
      </w:tblGrid>
      <w:tr w:rsidR="002356D6" w:rsidRPr="002356D6" w14:paraId="2B65A963" w14:textId="77777777" w:rsidTr="002356D6">
        <w:trPr>
          <w:trHeight w:val="771"/>
        </w:trPr>
        <w:tc>
          <w:tcPr>
            <w:tcW w:w="5000" w:type="pct"/>
            <w:shd w:val="clear" w:color="auto" w:fill="auto"/>
          </w:tcPr>
          <w:p w14:paraId="3CFEB826" w14:textId="77777777" w:rsidR="002356D6" w:rsidRPr="002356D6" w:rsidRDefault="002356D6" w:rsidP="002356D6">
            <w:pPr>
              <w:ind w:leftChars="59" w:left="558" w:hanging="440"/>
              <w:rPr>
                <w:rFonts w:ascii="Arial" w:hAnsi="Arial" w:cs="Arial"/>
                <w:color w:val="FF0000"/>
                <w:sz w:val="16"/>
                <w:szCs w:val="16"/>
                <w:lang w:val="en-US"/>
              </w:rPr>
            </w:pPr>
            <w:r w:rsidRPr="002356D6">
              <w:rPr>
                <w:rFonts w:ascii="Arial" w:hAnsi="Arial" w:cs="Arial"/>
                <w:color w:val="FF0000"/>
                <w:sz w:val="16"/>
                <w:szCs w:val="16"/>
                <w:lang w:val="en-US"/>
              </w:rPr>
              <w:t>=========================   Start of TP #1 for TS 36.213 =========================</w:t>
            </w:r>
          </w:p>
          <w:p w14:paraId="12EB551C" w14:textId="77777777" w:rsidR="002356D6" w:rsidRPr="002356D6" w:rsidRDefault="002356D6" w:rsidP="002356D6">
            <w:pPr>
              <w:jc w:val="center"/>
              <w:rPr>
                <w:rFonts w:ascii="Arial" w:hAnsi="Arial" w:cs="Arial"/>
                <w:color w:val="FF0000"/>
                <w:sz w:val="16"/>
                <w:szCs w:val="16"/>
                <w:lang w:val="en-US" w:eastAsia="zh-CN"/>
              </w:rPr>
            </w:pPr>
            <w:r w:rsidRPr="002356D6">
              <w:rPr>
                <w:rFonts w:ascii="Arial" w:eastAsia="MS Mincho" w:hAnsi="Arial" w:cs="Arial"/>
                <w:color w:val="FF0000"/>
                <w:sz w:val="16"/>
                <w:szCs w:val="16"/>
                <w:lang w:val="en-US" w:eastAsia="zh-CN"/>
              </w:rPr>
              <w:t>&lt; Unchanged parts are omitted &gt;</w:t>
            </w:r>
          </w:p>
          <w:p w14:paraId="692CDBB3" w14:textId="77777777" w:rsidR="002356D6" w:rsidRPr="002356D6" w:rsidRDefault="002356D6" w:rsidP="002356D6">
            <w:pPr>
              <w:rPr>
                <w:rFonts w:ascii="Arial" w:hAnsi="Arial" w:cs="Arial"/>
                <w:b/>
                <w:bCs/>
                <w:sz w:val="16"/>
                <w:szCs w:val="16"/>
              </w:rPr>
            </w:pPr>
            <w:r w:rsidRPr="002356D6">
              <w:rPr>
                <w:rFonts w:ascii="Arial" w:hAnsi="Arial" w:cs="Arial"/>
                <w:b/>
                <w:bCs/>
                <w:sz w:val="16"/>
                <w:szCs w:val="16"/>
              </w:rPr>
              <w:t>16.10</w:t>
            </w:r>
            <w:r w:rsidRPr="002356D6">
              <w:rPr>
                <w:rFonts w:ascii="Arial" w:hAnsi="Arial" w:cs="Arial"/>
                <w:b/>
                <w:bCs/>
                <w:sz w:val="16"/>
                <w:szCs w:val="16"/>
              </w:rPr>
              <w:tab/>
              <w:t>GNSS measurement gap related procedures</w:t>
            </w:r>
          </w:p>
          <w:p w14:paraId="78F55BA2" w14:textId="77777777" w:rsidR="002356D6" w:rsidRPr="002356D6" w:rsidRDefault="002356D6" w:rsidP="002356D6">
            <w:pPr>
              <w:rPr>
                <w:rFonts w:ascii="Arial" w:hAnsi="Arial" w:cs="Arial"/>
                <w:sz w:val="16"/>
                <w:szCs w:val="16"/>
                <w:lang w:eastAsia="zh-CN"/>
              </w:rPr>
            </w:pPr>
            <w:r w:rsidRPr="002356D6">
              <w:rPr>
                <w:rFonts w:ascii="Arial" w:hAnsi="Arial" w:cs="Arial"/>
                <w:sz w:val="16"/>
                <w:szCs w:val="16"/>
              </w:rPr>
              <w:t xml:space="preserve">For a NB-IoT </w:t>
            </w:r>
            <w:r w:rsidRPr="002356D6">
              <w:rPr>
                <w:rFonts w:ascii="Arial" w:eastAsia="SimSun" w:hAnsi="Arial" w:cs="Arial"/>
                <w:sz w:val="16"/>
                <w:szCs w:val="16"/>
                <w:lang w:eastAsia="zh-CN"/>
              </w:rPr>
              <w:t xml:space="preserve">UE </w:t>
            </w:r>
            <w:r w:rsidRPr="002356D6">
              <w:rPr>
                <w:rFonts w:ascii="Arial" w:hAnsi="Arial" w:cs="Arial"/>
                <w:iCs/>
                <w:sz w:val="16"/>
                <w:szCs w:val="16"/>
              </w:rPr>
              <w:t xml:space="preserve">in a NTN FDD serving cell, </w:t>
            </w:r>
            <w:r w:rsidRPr="002356D6">
              <w:rPr>
                <w:rFonts w:ascii="Arial" w:hAnsi="Arial" w:cs="Arial"/>
                <w:color w:val="000000"/>
                <w:sz w:val="16"/>
                <w:szCs w:val="16"/>
              </w:rPr>
              <w:t>when the UE receives a</w:t>
            </w:r>
            <w:r w:rsidRPr="002356D6">
              <w:rPr>
                <w:rFonts w:ascii="Arial" w:hAnsi="Arial" w:cs="Arial"/>
                <w:sz w:val="16"/>
                <w:szCs w:val="16"/>
              </w:rPr>
              <w:t xml:space="preserve"> </w:t>
            </w:r>
            <w:r w:rsidRPr="002356D6">
              <w:rPr>
                <w:rFonts w:ascii="Arial" w:hAnsi="Arial" w:cs="Arial"/>
                <w:sz w:val="16"/>
                <w:szCs w:val="16"/>
                <w:lang w:eastAsia="zh-CN"/>
              </w:rPr>
              <w:t xml:space="preserve">GNSS Measurement Command MAC CE in </w:t>
            </w:r>
            <w:r w:rsidRPr="002356D6">
              <w:rPr>
                <w:rFonts w:ascii="Arial" w:hAnsi="Arial" w:cs="Arial"/>
                <w:iCs/>
                <w:sz w:val="16"/>
                <w:szCs w:val="16"/>
              </w:rPr>
              <w:t xml:space="preserve">a NPDSCH ending in </w:t>
            </w:r>
            <w:r w:rsidRPr="002356D6">
              <w:rPr>
                <w:rFonts w:ascii="Arial" w:hAnsi="Arial" w:cs="Arial"/>
                <w:sz w:val="16"/>
                <w:szCs w:val="16"/>
              </w:rPr>
              <w:t xml:space="preserve">DL subframe </w:t>
            </w:r>
            <w:r w:rsidRPr="002356D6">
              <w:rPr>
                <w:rFonts w:ascii="Arial" w:hAnsi="Arial" w:cs="Arial"/>
                <w:i/>
                <w:sz w:val="16"/>
                <w:szCs w:val="16"/>
              </w:rPr>
              <w:t>n</w:t>
            </w:r>
            <w:r w:rsidRPr="002356D6">
              <w:rPr>
                <w:rFonts w:ascii="Arial" w:hAnsi="Arial" w:cs="Arial"/>
                <w:sz w:val="16"/>
                <w:szCs w:val="16"/>
                <w:lang w:eastAsia="zh-CN"/>
              </w:rPr>
              <w:t>,</w:t>
            </w:r>
          </w:p>
          <w:p w14:paraId="77C94E7C" w14:textId="77777777" w:rsidR="002356D6" w:rsidRPr="002356D6" w:rsidRDefault="002356D6" w:rsidP="002356D6">
            <w:pPr>
              <w:numPr>
                <w:ilvl w:val="0"/>
                <w:numId w:val="24"/>
              </w:numPr>
              <w:ind w:left="568" w:hanging="284"/>
              <w:rPr>
                <w:rFonts w:ascii="Arial" w:eastAsia="MS Mincho" w:hAnsi="Arial" w:cs="Arial"/>
                <w:sz w:val="16"/>
                <w:szCs w:val="16"/>
                <w:lang w:eastAsia="zh-CN"/>
              </w:rPr>
            </w:pPr>
            <w:r w:rsidRPr="002356D6">
              <w:rPr>
                <w:rFonts w:ascii="Arial" w:eastAsia="MS Mincho" w:hAnsi="Arial" w:cs="Arial"/>
                <w:sz w:val="16"/>
                <w:szCs w:val="16"/>
              </w:rPr>
              <w:t>-</w:t>
            </w:r>
            <w:r w:rsidRPr="002356D6">
              <w:rPr>
                <w:rFonts w:ascii="Arial" w:eastAsia="MS Mincho" w:hAnsi="Arial" w:cs="Arial"/>
                <w:sz w:val="16"/>
                <w:szCs w:val="16"/>
              </w:rPr>
              <w:tab/>
              <w:t xml:space="preserve">if the UE shall not provide HARQ-ACK information </w:t>
            </w:r>
            <w:r w:rsidRPr="002356D6">
              <w:rPr>
                <w:rFonts w:ascii="Arial" w:eastAsia="SimSun" w:hAnsi="Arial" w:cs="Arial"/>
                <w:sz w:val="16"/>
                <w:szCs w:val="16"/>
              </w:rPr>
              <w:t xml:space="preserve">for the HARQ process associated with the transport block in the NPDSCH carrying </w:t>
            </w:r>
            <w:r w:rsidRPr="002356D6">
              <w:rPr>
                <w:rFonts w:ascii="Arial" w:eastAsia="MS Mincho" w:hAnsi="Arial" w:cs="Arial"/>
                <w:sz w:val="16"/>
                <w:szCs w:val="16"/>
                <w:lang w:eastAsia="zh-CN"/>
              </w:rPr>
              <w:t>GNSS Measurement Command MAC CE,</w:t>
            </w:r>
          </w:p>
          <w:p w14:paraId="00D4D5F9" w14:textId="77777777" w:rsidR="002356D6" w:rsidRPr="002356D6" w:rsidRDefault="002356D6" w:rsidP="002356D6">
            <w:pPr>
              <w:ind w:left="851" w:hanging="284"/>
              <w:rPr>
                <w:rFonts w:ascii="Arial" w:eastAsia="MS Mincho" w:hAnsi="Arial" w:cs="Arial"/>
                <w:sz w:val="16"/>
                <w:szCs w:val="16"/>
              </w:rPr>
            </w:pPr>
            <w:r w:rsidRPr="002356D6">
              <w:rPr>
                <w:rFonts w:ascii="Arial" w:eastAsia="MS Mincho" w:hAnsi="Arial" w:cs="Arial"/>
                <w:sz w:val="16"/>
                <w:szCs w:val="16"/>
                <w:lang w:eastAsia="zh-CN"/>
              </w:rPr>
              <w:t>-</w:t>
            </w:r>
            <w:r w:rsidRPr="002356D6">
              <w:rPr>
                <w:rFonts w:ascii="Arial" w:eastAsia="MS Mincho" w:hAnsi="Arial" w:cs="Arial"/>
                <w:sz w:val="16"/>
                <w:szCs w:val="16"/>
                <w:lang w:eastAsia="zh-CN"/>
              </w:rPr>
              <w:tab/>
              <w:t xml:space="preserve">the UE shall assume the start of the measurement gap in subframe </w:t>
            </w:r>
            <w:r w:rsidRPr="002356D6">
              <w:rPr>
                <w:rFonts w:ascii="Arial" w:eastAsia="MS Mincho" w:hAnsi="Arial" w:cs="Arial"/>
                <w:i/>
                <w:sz w:val="16"/>
                <w:szCs w:val="16"/>
              </w:rPr>
              <w:t>n</w:t>
            </w:r>
            <w:r w:rsidRPr="002356D6">
              <w:rPr>
                <w:rFonts w:ascii="Arial" w:eastAsia="MS Mincho" w:hAnsi="Arial" w:cs="Arial"/>
                <w:sz w:val="16"/>
                <w:szCs w:val="16"/>
              </w:rPr>
              <w:t>+</w:t>
            </w:r>
            <w:del w:id="772" w:author="WenT Tang (汤文)" w:date="2023-11-06T14:02:00Z">
              <w:r w:rsidRPr="002356D6" w:rsidDel="00775D38">
                <w:rPr>
                  <w:rFonts w:ascii="Arial" w:eastAsia="MS Mincho" w:hAnsi="Arial" w:cs="Arial"/>
                  <w:sz w:val="16"/>
                  <w:szCs w:val="16"/>
                </w:rPr>
                <w:delText>12</w:delText>
              </w:r>
            </w:del>
            <w:ins w:id="773" w:author="WenT Tang (汤文)" w:date="2023-11-06T14:02:00Z">
              <w:r w:rsidRPr="002356D6">
                <w:rPr>
                  <w:rFonts w:ascii="Arial" w:eastAsia="MS Mincho" w:hAnsi="Arial" w:cs="Arial"/>
                  <w:sz w:val="16"/>
                  <w:szCs w:val="16"/>
                </w:rPr>
                <w:t>13</w:t>
              </w:r>
            </w:ins>
          </w:p>
          <w:p w14:paraId="00216CBB" w14:textId="77777777" w:rsidR="002356D6" w:rsidRPr="002356D6" w:rsidRDefault="002356D6" w:rsidP="002356D6">
            <w:pPr>
              <w:numPr>
                <w:ilvl w:val="0"/>
                <w:numId w:val="24"/>
              </w:numPr>
              <w:ind w:left="568" w:hanging="284"/>
              <w:rPr>
                <w:rFonts w:ascii="Arial" w:eastAsia="MS Mincho" w:hAnsi="Arial" w:cs="Arial"/>
                <w:sz w:val="16"/>
                <w:szCs w:val="16"/>
                <w:lang w:eastAsia="zh-CN"/>
              </w:rPr>
            </w:pPr>
            <w:r w:rsidRPr="002356D6">
              <w:rPr>
                <w:rFonts w:ascii="Arial" w:eastAsia="MS Mincho" w:hAnsi="Arial" w:cs="Arial"/>
                <w:sz w:val="16"/>
                <w:szCs w:val="16"/>
                <w:lang w:eastAsia="zh-CN"/>
              </w:rPr>
              <w:t>-</w:t>
            </w:r>
            <w:r w:rsidRPr="002356D6">
              <w:rPr>
                <w:rFonts w:ascii="Arial" w:eastAsia="MS Mincho" w:hAnsi="Arial" w:cs="Arial"/>
                <w:sz w:val="16"/>
                <w:szCs w:val="16"/>
                <w:lang w:eastAsia="zh-CN"/>
              </w:rPr>
              <w:tab/>
              <w:t>otherwise,</w:t>
            </w:r>
          </w:p>
          <w:p w14:paraId="1D54E90D" w14:textId="77777777" w:rsidR="002356D6" w:rsidRPr="002356D6" w:rsidRDefault="002356D6" w:rsidP="002356D6">
            <w:pPr>
              <w:ind w:left="851" w:hanging="284"/>
              <w:rPr>
                <w:rFonts w:ascii="Arial" w:eastAsia="MS Mincho" w:hAnsi="Arial" w:cs="Arial"/>
                <w:sz w:val="16"/>
                <w:szCs w:val="16"/>
              </w:rPr>
            </w:pPr>
            <w:r w:rsidRPr="002356D6">
              <w:rPr>
                <w:rFonts w:ascii="Arial" w:eastAsia="MS Mincho" w:hAnsi="Arial" w:cs="Arial"/>
                <w:sz w:val="16"/>
                <w:szCs w:val="16"/>
                <w:lang w:eastAsia="zh-CN"/>
              </w:rPr>
              <w:t>-</w:t>
            </w:r>
            <w:r w:rsidRPr="002356D6">
              <w:rPr>
                <w:rFonts w:ascii="Arial" w:eastAsia="MS Mincho" w:hAnsi="Arial" w:cs="Arial"/>
                <w:sz w:val="16"/>
                <w:szCs w:val="16"/>
                <w:lang w:eastAsia="zh-CN"/>
              </w:rPr>
              <w:tab/>
              <w:t>the UE shall assume the start of the measurement gap in subframe</w:t>
            </w:r>
            <w:r w:rsidRPr="002356D6">
              <w:rPr>
                <w:rFonts w:ascii="Arial" w:eastAsia="MS Mincho" w:hAnsi="Arial" w:cs="Arial"/>
                <w:color w:val="0070C0"/>
                <w:sz w:val="16"/>
                <w:szCs w:val="16"/>
                <w:u w:val="single"/>
                <w:lang w:eastAsia="zh-CN"/>
              </w:rPr>
              <w:t xml:space="preserve"> </w:t>
            </w:r>
            <w:r w:rsidRPr="002356D6">
              <w:rPr>
                <w:rFonts w:ascii="Arial" w:eastAsia="MS Mincho" w:hAnsi="Arial" w:cs="Arial"/>
                <w:i/>
                <w:sz w:val="16"/>
                <w:szCs w:val="16"/>
              </w:rPr>
              <w:t>k</w:t>
            </w:r>
            <w:r w:rsidRPr="002356D6">
              <w:rPr>
                <w:rFonts w:ascii="Arial" w:eastAsia="MS Mincho" w:hAnsi="Arial" w:cs="Arial"/>
                <w:sz w:val="16"/>
                <w:szCs w:val="16"/>
              </w:rPr>
              <w:t xml:space="preserve">+2, where </w:t>
            </w:r>
            <w:r w:rsidRPr="002356D6">
              <w:rPr>
                <w:rFonts w:ascii="Arial" w:eastAsia="MS Mincho" w:hAnsi="Arial" w:cs="Arial"/>
                <w:i/>
                <w:sz w:val="16"/>
                <w:szCs w:val="16"/>
              </w:rPr>
              <w:t>k</w:t>
            </w:r>
            <w:r w:rsidRPr="002356D6">
              <w:rPr>
                <w:rFonts w:ascii="Arial" w:eastAsia="MS Mincho" w:hAnsi="Arial" w:cs="Arial"/>
                <w:iCs/>
                <w:sz w:val="16"/>
                <w:szCs w:val="16"/>
              </w:rPr>
              <w:t xml:space="preserve"> is the </w:t>
            </w:r>
            <w:r w:rsidRPr="002356D6">
              <w:rPr>
                <w:rFonts w:ascii="Arial" w:eastAsia="MS Mincho" w:hAnsi="Arial" w:cs="Arial"/>
                <w:sz w:val="16"/>
                <w:szCs w:val="16"/>
              </w:rPr>
              <w:t>first DL subframe after the end of the transmission of the NPUSCH carrying ACK/NACK response for the HARQ process associated with the transport block in the NPDSCH.</w:t>
            </w:r>
          </w:p>
          <w:p w14:paraId="5D7D4FA7" w14:textId="77777777" w:rsidR="002356D6" w:rsidRPr="002356D6" w:rsidRDefault="002356D6" w:rsidP="002356D6">
            <w:pPr>
              <w:contextualSpacing/>
              <w:rPr>
                <w:rFonts w:ascii="Arial" w:eastAsia="SimSun" w:hAnsi="Arial" w:cs="Arial"/>
                <w:color w:val="000000"/>
                <w:sz w:val="16"/>
                <w:szCs w:val="16"/>
                <w:lang w:eastAsia="zh-CN"/>
              </w:rPr>
            </w:pPr>
            <w:r w:rsidRPr="002356D6">
              <w:rPr>
                <w:rFonts w:ascii="Arial" w:hAnsi="Arial" w:cs="Arial"/>
                <w:color w:val="FF0000"/>
                <w:sz w:val="16"/>
                <w:szCs w:val="16"/>
                <w:lang w:val="en-US"/>
              </w:rPr>
              <w:t>=============================   End of TP #1 for TS 36.213 =============================</w:t>
            </w:r>
          </w:p>
        </w:tc>
      </w:tr>
    </w:tbl>
    <w:p w14:paraId="76200E22" w14:textId="77777777" w:rsidR="002356D6" w:rsidRPr="002356D6" w:rsidRDefault="002356D6" w:rsidP="002356D6"/>
    <w:p w14:paraId="78980D81" w14:textId="77777777" w:rsidR="002356D6" w:rsidRPr="002356D6" w:rsidRDefault="002356D6" w:rsidP="002356D6">
      <w:pPr>
        <w:rPr>
          <w:rFonts w:ascii="Times New Roman" w:eastAsia="SimSun" w:hAnsi="Times New Roman"/>
          <w:bCs/>
          <w:color w:val="493118"/>
          <w:szCs w:val="20"/>
          <w:lang w:val="en-US" w:eastAsia="zh-CN"/>
        </w:rPr>
      </w:pPr>
      <w:r w:rsidRPr="002356D6">
        <w:rPr>
          <w:rFonts w:ascii="Times New Roman" w:eastAsia="SimSun" w:hAnsi="Times New Roman"/>
          <w:bCs/>
          <w:color w:val="493118"/>
          <w:szCs w:val="20"/>
          <w:highlight w:val="green"/>
          <w:lang w:val="en-US" w:eastAsia="zh-CN"/>
        </w:rPr>
        <w:t>Agreement</w:t>
      </w:r>
    </w:p>
    <w:p w14:paraId="7C4B03B9" w14:textId="77777777" w:rsidR="002356D6" w:rsidRPr="002356D6" w:rsidRDefault="002356D6" w:rsidP="002356D6">
      <w:pPr>
        <w:rPr>
          <w:bCs/>
        </w:rPr>
      </w:pPr>
      <w:r w:rsidRPr="002356D6">
        <w:rPr>
          <w:bCs/>
        </w:rPr>
        <w:t>Delete the TBD length in the value range column of higher layer parameters downlinkHARQ-FeedbackDisabled-Bitmap and downlinkHARQ-FeedbackDisabled-Bitmap-NB for R18 IoT NTN as follows:</w:t>
      </w:r>
    </w:p>
    <w:tbl>
      <w:tblPr>
        <w:tblW w:w="5000" w:type="pct"/>
        <w:tblLook w:val="04A0" w:firstRow="1" w:lastRow="0" w:firstColumn="1" w:lastColumn="0" w:noHBand="0" w:noVBand="1"/>
      </w:tblPr>
      <w:tblGrid>
        <w:gridCol w:w="2421"/>
        <w:gridCol w:w="5448"/>
        <w:gridCol w:w="2814"/>
      </w:tblGrid>
      <w:tr w:rsidR="002356D6" w:rsidRPr="002356D6" w14:paraId="0DC242C1" w14:textId="77777777" w:rsidTr="00F02E47">
        <w:trPr>
          <w:trHeight w:val="20"/>
        </w:trPr>
        <w:tc>
          <w:tcPr>
            <w:tcW w:w="1133" w:type="pct"/>
            <w:tcBorders>
              <w:top w:val="single" w:sz="4" w:space="0" w:color="auto"/>
              <w:left w:val="single" w:sz="4" w:space="0" w:color="auto"/>
              <w:bottom w:val="single" w:sz="4" w:space="0" w:color="auto"/>
              <w:right w:val="single" w:sz="4" w:space="0" w:color="auto"/>
            </w:tcBorders>
            <w:shd w:val="clear" w:color="000000" w:fill="00B0F0"/>
            <w:vAlign w:val="center"/>
            <w:hideMark/>
          </w:tcPr>
          <w:p w14:paraId="64DAC5C5" w14:textId="77777777" w:rsidR="002356D6" w:rsidRPr="002356D6" w:rsidRDefault="002356D6" w:rsidP="002356D6">
            <w:pPr>
              <w:rPr>
                <w:rFonts w:ascii="Arial" w:eastAsia="DengXian" w:hAnsi="Arial" w:cs="Arial"/>
                <w:b/>
                <w:bCs/>
                <w:color w:val="FFFFFF"/>
                <w:sz w:val="16"/>
                <w:szCs w:val="16"/>
                <w:lang w:val="en-US" w:eastAsia="zh-CN"/>
              </w:rPr>
            </w:pPr>
            <w:r w:rsidRPr="002356D6">
              <w:rPr>
                <w:rFonts w:ascii="Arial" w:eastAsia="DengXian" w:hAnsi="Arial" w:cs="Arial"/>
                <w:b/>
                <w:bCs/>
                <w:color w:val="FFFFFF"/>
                <w:sz w:val="16"/>
                <w:szCs w:val="16"/>
                <w:lang w:val="en-US" w:eastAsia="zh-CN"/>
              </w:rPr>
              <w:t>Parameter name in the text</w:t>
            </w:r>
          </w:p>
        </w:tc>
        <w:tc>
          <w:tcPr>
            <w:tcW w:w="2550" w:type="pct"/>
            <w:tcBorders>
              <w:top w:val="single" w:sz="4" w:space="0" w:color="auto"/>
              <w:left w:val="nil"/>
              <w:bottom w:val="single" w:sz="4" w:space="0" w:color="auto"/>
              <w:right w:val="single" w:sz="4" w:space="0" w:color="auto"/>
            </w:tcBorders>
            <w:shd w:val="clear" w:color="000000" w:fill="00B0F0"/>
            <w:vAlign w:val="center"/>
            <w:hideMark/>
          </w:tcPr>
          <w:p w14:paraId="37E1F042" w14:textId="77777777" w:rsidR="002356D6" w:rsidRPr="002356D6" w:rsidRDefault="002356D6" w:rsidP="002356D6">
            <w:pPr>
              <w:rPr>
                <w:rFonts w:ascii="Arial" w:eastAsia="DengXian" w:hAnsi="Arial" w:cs="Arial"/>
                <w:b/>
                <w:bCs/>
                <w:color w:val="FFFFFF"/>
                <w:sz w:val="16"/>
                <w:szCs w:val="16"/>
                <w:lang w:val="en-US" w:eastAsia="zh-CN"/>
              </w:rPr>
            </w:pPr>
            <w:r w:rsidRPr="002356D6">
              <w:rPr>
                <w:rFonts w:ascii="Arial" w:eastAsia="DengXian" w:hAnsi="Arial" w:cs="Arial"/>
                <w:b/>
                <w:bCs/>
                <w:color w:val="FFFFFF"/>
                <w:sz w:val="16"/>
                <w:szCs w:val="16"/>
                <w:lang w:val="en-US" w:eastAsia="zh-CN"/>
              </w:rPr>
              <w:t>Description</w:t>
            </w:r>
          </w:p>
        </w:tc>
        <w:tc>
          <w:tcPr>
            <w:tcW w:w="1317" w:type="pct"/>
            <w:tcBorders>
              <w:top w:val="single" w:sz="4" w:space="0" w:color="auto"/>
              <w:left w:val="nil"/>
              <w:bottom w:val="single" w:sz="4" w:space="0" w:color="auto"/>
              <w:right w:val="single" w:sz="4" w:space="0" w:color="auto"/>
            </w:tcBorders>
            <w:shd w:val="clear" w:color="000000" w:fill="00B0F0"/>
            <w:vAlign w:val="center"/>
            <w:hideMark/>
          </w:tcPr>
          <w:p w14:paraId="71CAD7B6" w14:textId="77777777" w:rsidR="002356D6" w:rsidRPr="002356D6" w:rsidRDefault="002356D6" w:rsidP="002356D6">
            <w:pPr>
              <w:rPr>
                <w:rFonts w:ascii="Arial" w:eastAsia="DengXian" w:hAnsi="Arial" w:cs="Arial"/>
                <w:b/>
                <w:bCs/>
                <w:color w:val="FFFFFF"/>
                <w:sz w:val="16"/>
                <w:szCs w:val="16"/>
                <w:lang w:val="en-US" w:eastAsia="zh-CN"/>
              </w:rPr>
            </w:pPr>
            <w:r w:rsidRPr="002356D6">
              <w:rPr>
                <w:rFonts w:ascii="Arial" w:eastAsia="DengXian" w:hAnsi="Arial" w:cs="Arial"/>
                <w:b/>
                <w:bCs/>
                <w:color w:val="FFFFFF"/>
                <w:sz w:val="16"/>
                <w:szCs w:val="16"/>
                <w:lang w:val="en-US" w:eastAsia="zh-CN"/>
              </w:rPr>
              <w:t>Value range</w:t>
            </w:r>
          </w:p>
        </w:tc>
      </w:tr>
      <w:tr w:rsidR="002356D6" w:rsidRPr="002356D6" w14:paraId="0768920A" w14:textId="77777777" w:rsidTr="00F02E47">
        <w:trPr>
          <w:trHeight w:val="20"/>
        </w:trPr>
        <w:tc>
          <w:tcPr>
            <w:tcW w:w="1133" w:type="pct"/>
            <w:tcBorders>
              <w:top w:val="nil"/>
              <w:left w:val="single" w:sz="4" w:space="0" w:color="auto"/>
              <w:bottom w:val="single" w:sz="4" w:space="0" w:color="auto"/>
              <w:right w:val="single" w:sz="4" w:space="0" w:color="auto"/>
            </w:tcBorders>
            <w:shd w:val="clear" w:color="auto" w:fill="auto"/>
            <w:vAlign w:val="center"/>
            <w:hideMark/>
          </w:tcPr>
          <w:p w14:paraId="70878D4C" w14:textId="77777777" w:rsidR="002356D6" w:rsidRPr="002356D6" w:rsidRDefault="002356D6" w:rsidP="002356D6">
            <w:pPr>
              <w:rPr>
                <w:rFonts w:ascii="Arial" w:eastAsia="DengXian" w:hAnsi="Arial" w:cs="Arial"/>
                <w:sz w:val="16"/>
                <w:szCs w:val="16"/>
                <w:lang w:val="en-US" w:eastAsia="zh-CN"/>
              </w:rPr>
            </w:pPr>
            <w:r w:rsidRPr="002356D6">
              <w:rPr>
                <w:rFonts w:ascii="Arial" w:eastAsia="DengXian" w:hAnsi="Arial" w:cs="Arial"/>
                <w:sz w:val="16"/>
                <w:szCs w:val="16"/>
                <w:lang w:val="en-US" w:eastAsia="zh-CN"/>
              </w:rPr>
              <w:t>downlinkHARQ-FeedbackDisabled-Bitmap</w:t>
            </w:r>
          </w:p>
        </w:tc>
        <w:tc>
          <w:tcPr>
            <w:tcW w:w="2550" w:type="pct"/>
            <w:tcBorders>
              <w:top w:val="nil"/>
              <w:left w:val="nil"/>
              <w:bottom w:val="single" w:sz="4" w:space="0" w:color="auto"/>
              <w:right w:val="single" w:sz="4" w:space="0" w:color="auto"/>
            </w:tcBorders>
            <w:shd w:val="clear" w:color="auto" w:fill="auto"/>
            <w:vAlign w:val="center"/>
            <w:hideMark/>
          </w:tcPr>
          <w:p w14:paraId="1B449CBD" w14:textId="77777777" w:rsidR="002356D6" w:rsidRPr="002356D6" w:rsidRDefault="002356D6" w:rsidP="002356D6">
            <w:pPr>
              <w:rPr>
                <w:rFonts w:ascii="Arial" w:eastAsia="DengXian" w:hAnsi="Arial" w:cs="Arial"/>
                <w:sz w:val="16"/>
                <w:szCs w:val="16"/>
                <w:lang w:val="en-US" w:eastAsia="zh-CN"/>
              </w:rPr>
            </w:pPr>
            <w:r w:rsidRPr="002356D6">
              <w:rPr>
                <w:rFonts w:ascii="Arial" w:eastAsia="DengXian" w:hAnsi="Arial" w:cs="Arial"/>
                <w:sz w:val="16"/>
                <w:szCs w:val="16"/>
                <w:lang w:val="en-US" w:eastAsia="zh-CN"/>
              </w:rPr>
              <w:t>Used to disable the DL HARQ feedback, sent in the uplink, per HARQ process ID</w:t>
            </w:r>
          </w:p>
        </w:tc>
        <w:tc>
          <w:tcPr>
            <w:tcW w:w="1317" w:type="pct"/>
            <w:tcBorders>
              <w:top w:val="nil"/>
              <w:left w:val="nil"/>
              <w:bottom w:val="single" w:sz="4" w:space="0" w:color="auto"/>
              <w:right w:val="single" w:sz="4" w:space="0" w:color="auto"/>
            </w:tcBorders>
            <w:shd w:val="clear" w:color="auto" w:fill="auto"/>
            <w:vAlign w:val="center"/>
            <w:hideMark/>
          </w:tcPr>
          <w:p w14:paraId="323DC984" w14:textId="77777777" w:rsidR="002356D6" w:rsidRPr="002356D6" w:rsidRDefault="002356D6" w:rsidP="002356D6">
            <w:pPr>
              <w:rPr>
                <w:rFonts w:ascii="Arial" w:eastAsia="DengXian" w:hAnsi="Arial" w:cs="Arial"/>
                <w:sz w:val="16"/>
                <w:szCs w:val="16"/>
                <w:lang w:val="en-US" w:eastAsia="zh-CN"/>
              </w:rPr>
            </w:pPr>
            <w:r w:rsidRPr="002356D6">
              <w:rPr>
                <w:rFonts w:ascii="Arial" w:eastAsia="DengXian" w:hAnsi="Arial" w:cs="Arial"/>
                <w:sz w:val="16"/>
                <w:szCs w:val="16"/>
                <w:lang w:val="en-US" w:eastAsia="zh-CN"/>
              </w:rPr>
              <w:t xml:space="preserve">Bitmap </w:t>
            </w:r>
            <w:r w:rsidRPr="002356D6">
              <w:rPr>
                <w:rFonts w:ascii="Arial" w:eastAsia="DengXian" w:hAnsi="Arial" w:cs="Arial"/>
                <w:strike/>
                <w:color w:val="FF0000"/>
                <w:sz w:val="16"/>
                <w:szCs w:val="16"/>
                <w:lang w:val="en-US" w:eastAsia="zh-CN"/>
              </w:rPr>
              <w:t>[TBD length]</w:t>
            </w:r>
          </w:p>
        </w:tc>
      </w:tr>
      <w:tr w:rsidR="002356D6" w:rsidRPr="002356D6" w14:paraId="62B71E37" w14:textId="77777777" w:rsidTr="00F02E47">
        <w:trPr>
          <w:trHeight w:val="20"/>
        </w:trPr>
        <w:tc>
          <w:tcPr>
            <w:tcW w:w="1133" w:type="pct"/>
            <w:tcBorders>
              <w:top w:val="nil"/>
              <w:left w:val="single" w:sz="4" w:space="0" w:color="auto"/>
              <w:bottom w:val="single" w:sz="4" w:space="0" w:color="auto"/>
              <w:right w:val="single" w:sz="4" w:space="0" w:color="auto"/>
            </w:tcBorders>
            <w:shd w:val="clear" w:color="auto" w:fill="auto"/>
            <w:vAlign w:val="center"/>
            <w:hideMark/>
          </w:tcPr>
          <w:p w14:paraId="51B74F3E" w14:textId="77777777" w:rsidR="002356D6" w:rsidRPr="002356D6" w:rsidRDefault="002356D6" w:rsidP="002356D6">
            <w:pPr>
              <w:rPr>
                <w:rFonts w:ascii="Arial" w:eastAsia="DengXian" w:hAnsi="Arial" w:cs="Arial"/>
                <w:sz w:val="16"/>
                <w:szCs w:val="16"/>
                <w:lang w:val="en-US" w:eastAsia="zh-CN"/>
              </w:rPr>
            </w:pPr>
            <w:r w:rsidRPr="002356D6">
              <w:rPr>
                <w:rFonts w:ascii="Arial" w:eastAsia="DengXian" w:hAnsi="Arial" w:cs="Arial"/>
                <w:sz w:val="16"/>
                <w:szCs w:val="16"/>
                <w:lang w:val="en-US" w:eastAsia="zh-CN"/>
              </w:rPr>
              <w:t>downlinkHARQ-FeedbackDisabled-Bitmap-NB</w:t>
            </w:r>
          </w:p>
        </w:tc>
        <w:tc>
          <w:tcPr>
            <w:tcW w:w="2550" w:type="pct"/>
            <w:tcBorders>
              <w:top w:val="nil"/>
              <w:left w:val="nil"/>
              <w:bottom w:val="single" w:sz="4" w:space="0" w:color="auto"/>
              <w:right w:val="single" w:sz="4" w:space="0" w:color="auto"/>
            </w:tcBorders>
            <w:shd w:val="clear" w:color="auto" w:fill="auto"/>
            <w:vAlign w:val="center"/>
            <w:hideMark/>
          </w:tcPr>
          <w:p w14:paraId="0067CD8D" w14:textId="77777777" w:rsidR="002356D6" w:rsidRPr="002356D6" w:rsidRDefault="002356D6" w:rsidP="002356D6">
            <w:pPr>
              <w:rPr>
                <w:rFonts w:ascii="Arial" w:eastAsia="DengXian" w:hAnsi="Arial" w:cs="Arial"/>
                <w:sz w:val="16"/>
                <w:szCs w:val="16"/>
                <w:lang w:val="en-US" w:eastAsia="zh-CN"/>
              </w:rPr>
            </w:pPr>
            <w:r w:rsidRPr="002356D6">
              <w:rPr>
                <w:rFonts w:ascii="Arial" w:eastAsia="DengXian" w:hAnsi="Arial" w:cs="Arial"/>
                <w:sz w:val="16"/>
                <w:szCs w:val="16"/>
                <w:lang w:val="en-US" w:eastAsia="zh-CN"/>
              </w:rPr>
              <w:t>Used to disable the DL HARQ feedback, sent in the uplink, per HARQ process ID</w:t>
            </w:r>
          </w:p>
        </w:tc>
        <w:tc>
          <w:tcPr>
            <w:tcW w:w="1317" w:type="pct"/>
            <w:tcBorders>
              <w:top w:val="nil"/>
              <w:left w:val="nil"/>
              <w:bottom w:val="single" w:sz="4" w:space="0" w:color="auto"/>
              <w:right w:val="single" w:sz="4" w:space="0" w:color="auto"/>
            </w:tcBorders>
            <w:shd w:val="clear" w:color="auto" w:fill="auto"/>
            <w:vAlign w:val="center"/>
            <w:hideMark/>
          </w:tcPr>
          <w:p w14:paraId="29454D67" w14:textId="77777777" w:rsidR="002356D6" w:rsidRPr="002356D6" w:rsidRDefault="002356D6" w:rsidP="002356D6">
            <w:pPr>
              <w:rPr>
                <w:rFonts w:ascii="Arial" w:eastAsia="DengXian" w:hAnsi="Arial" w:cs="Arial"/>
                <w:sz w:val="16"/>
                <w:szCs w:val="16"/>
                <w:lang w:val="en-US" w:eastAsia="zh-CN"/>
              </w:rPr>
            </w:pPr>
            <w:r w:rsidRPr="002356D6">
              <w:rPr>
                <w:rFonts w:ascii="Arial" w:eastAsia="DengXian" w:hAnsi="Arial" w:cs="Arial"/>
                <w:sz w:val="16"/>
                <w:szCs w:val="16"/>
                <w:lang w:val="en-US" w:eastAsia="zh-CN"/>
              </w:rPr>
              <w:t xml:space="preserve">Bitmap </w:t>
            </w:r>
            <w:r w:rsidRPr="002356D6">
              <w:rPr>
                <w:rFonts w:ascii="Arial" w:eastAsia="DengXian" w:hAnsi="Arial" w:cs="Arial"/>
                <w:strike/>
                <w:color w:val="FF0000"/>
                <w:sz w:val="16"/>
                <w:szCs w:val="16"/>
                <w:lang w:val="en-US" w:eastAsia="zh-CN"/>
              </w:rPr>
              <w:t>[TBD length]</w:t>
            </w:r>
          </w:p>
        </w:tc>
      </w:tr>
    </w:tbl>
    <w:p w14:paraId="260F1C3E" w14:textId="77777777" w:rsidR="002356D6" w:rsidRPr="002356D6" w:rsidRDefault="002356D6" w:rsidP="002356D6">
      <w:pPr>
        <w:rPr>
          <w:ins w:id="774" w:author="文 汤" w:date="2023-11-15T05:25:00Z"/>
        </w:rPr>
      </w:pPr>
    </w:p>
    <w:p w14:paraId="2CBB3E75" w14:textId="77777777" w:rsidR="002356D6" w:rsidRPr="002356D6" w:rsidRDefault="002356D6" w:rsidP="002356D6">
      <w:pPr>
        <w:rPr>
          <w:rFonts w:ascii="Times New Roman" w:eastAsia="SimSun" w:hAnsi="Times New Roman"/>
          <w:color w:val="493118"/>
          <w:szCs w:val="20"/>
          <w:lang w:val="en-US" w:eastAsia="zh-CN"/>
        </w:rPr>
      </w:pPr>
      <w:r w:rsidRPr="002356D6">
        <w:rPr>
          <w:rFonts w:ascii="Times New Roman" w:eastAsia="SimSun" w:hAnsi="Times New Roman"/>
          <w:color w:val="493118"/>
          <w:szCs w:val="20"/>
          <w:highlight w:val="green"/>
          <w:lang w:val="en-US" w:eastAsia="zh-CN"/>
        </w:rPr>
        <w:t>Agreement</w:t>
      </w:r>
    </w:p>
    <w:p w14:paraId="2657D05E" w14:textId="77777777" w:rsidR="002356D6" w:rsidRPr="002356D6" w:rsidRDefault="002356D6" w:rsidP="002356D6">
      <w:r w:rsidRPr="002356D6">
        <w:t>Add new higher layer parameters ULTransmissionExtension and ULTransmissionExtension-NB for R18 IoT NTN as follows:</w:t>
      </w:r>
    </w:p>
    <w:tbl>
      <w:tblPr>
        <w:tblW w:w="5000" w:type="pct"/>
        <w:tblLook w:val="04A0" w:firstRow="1" w:lastRow="0" w:firstColumn="1" w:lastColumn="0" w:noHBand="0" w:noVBand="1"/>
      </w:tblPr>
      <w:tblGrid>
        <w:gridCol w:w="723"/>
        <w:gridCol w:w="648"/>
        <w:gridCol w:w="686"/>
        <w:gridCol w:w="494"/>
        <w:gridCol w:w="455"/>
        <w:gridCol w:w="443"/>
        <w:gridCol w:w="1134"/>
        <w:gridCol w:w="554"/>
        <w:gridCol w:w="1134"/>
        <w:gridCol w:w="797"/>
        <w:gridCol w:w="588"/>
        <w:gridCol w:w="477"/>
        <w:gridCol w:w="515"/>
        <w:gridCol w:w="771"/>
        <w:gridCol w:w="694"/>
        <w:gridCol w:w="570"/>
      </w:tblGrid>
      <w:tr w:rsidR="00F02E47" w:rsidRPr="002356D6" w14:paraId="06B52BDA" w14:textId="77777777" w:rsidTr="00F02E47">
        <w:trPr>
          <w:trHeight w:val="20"/>
        </w:trPr>
        <w:tc>
          <w:tcPr>
            <w:tcW w:w="338" w:type="pct"/>
            <w:tcBorders>
              <w:top w:val="single" w:sz="4" w:space="0" w:color="auto"/>
              <w:left w:val="single" w:sz="4" w:space="0" w:color="auto"/>
              <w:bottom w:val="single" w:sz="4" w:space="0" w:color="auto"/>
              <w:right w:val="single" w:sz="4" w:space="0" w:color="auto"/>
            </w:tcBorders>
            <w:shd w:val="clear" w:color="000000" w:fill="00B0F0"/>
            <w:vAlign w:val="center"/>
            <w:hideMark/>
          </w:tcPr>
          <w:p w14:paraId="11E17307" w14:textId="77777777" w:rsidR="002356D6" w:rsidRPr="002356D6" w:rsidRDefault="002356D6" w:rsidP="002356D6">
            <w:pPr>
              <w:rPr>
                <w:rFonts w:ascii="Arial" w:eastAsia="DengXian" w:hAnsi="Arial" w:cs="Arial"/>
                <w:b/>
                <w:bCs/>
                <w:color w:val="FFFFFF"/>
                <w:sz w:val="16"/>
                <w:szCs w:val="16"/>
                <w:lang w:val="en-US" w:eastAsia="zh-CN"/>
              </w:rPr>
            </w:pPr>
            <w:r w:rsidRPr="002356D6">
              <w:rPr>
                <w:rFonts w:ascii="Arial" w:eastAsia="DengXian" w:hAnsi="Arial" w:cs="Arial"/>
                <w:b/>
                <w:bCs/>
                <w:color w:val="FFFFFF"/>
                <w:sz w:val="16"/>
                <w:szCs w:val="16"/>
                <w:lang w:val="en-US" w:eastAsia="zh-CN"/>
              </w:rPr>
              <w:t>WI code</w:t>
            </w:r>
          </w:p>
        </w:tc>
        <w:tc>
          <w:tcPr>
            <w:tcW w:w="303" w:type="pct"/>
            <w:tcBorders>
              <w:top w:val="single" w:sz="4" w:space="0" w:color="auto"/>
              <w:left w:val="nil"/>
              <w:bottom w:val="single" w:sz="4" w:space="0" w:color="auto"/>
              <w:right w:val="single" w:sz="4" w:space="0" w:color="auto"/>
            </w:tcBorders>
            <w:shd w:val="clear" w:color="000000" w:fill="00B0F0"/>
            <w:vAlign w:val="center"/>
            <w:hideMark/>
          </w:tcPr>
          <w:p w14:paraId="110694F5" w14:textId="77777777" w:rsidR="002356D6" w:rsidRPr="002356D6" w:rsidRDefault="002356D6" w:rsidP="002356D6">
            <w:pPr>
              <w:rPr>
                <w:rFonts w:ascii="Arial" w:eastAsia="DengXian" w:hAnsi="Arial" w:cs="Arial"/>
                <w:b/>
                <w:bCs/>
                <w:color w:val="FFFFFF"/>
                <w:sz w:val="16"/>
                <w:szCs w:val="16"/>
                <w:lang w:val="en-US" w:eastAsia="zh-CN"/>
              </w:rPr>
            </w:pPr>
            <w:r w:rsidRPr="002356D6">
              <w:rPr>
                <w:rFonts w:ascii="Arial" w:eastAsia="DengXian" w:hAnsi="Arial" w:cs="Arial"/>
                <w:b/>
                <w:bCs/>
                <w:color w:val="FFFFFF"/>
                <w:sz w:val="16"/>
                <w:szCs w:val="16"/>
                <w:lang w:val="en-US" w:eastAsia="zh-CN"/>
              </w:rPr>
              <w:t>Sub-feature group</w:t>
            </w:r>
          </w:p>
        </w:tc>
        <w:tc>
          <w:tcPr>
            <w:tcW w:w="321" w:type="pct"/>
            <w:tcBorders>
              <w:top w:val="single" w:sz="4" w:space="0" w:color="auto"/>
              <w:left w:val="nil"/>
              <w:bottom w:val="single" w:sz="4" w:space="0" w:color="auto"/>
              <w:right w:val="single" w:sz="4" w:space="0" w:color="auto"/>
            </w:tcBorders>
            <w:shd w:val="clear" w:color="000000" w:fill="00B0F0"/>
            <w:vAlign w:val="center"/>
            <w:hideMark/>
          </w:tcPr>
          <w:p w14:paraId="448D446F" w14:textId="77777777" w:rsidR="002356D6" w:rsidRPr="002356D6" w:rsidRDefault="002356D6" w:rsidP="002356D6">
            <w:pPr>
              <w:rPr>
                <w:rFonts w:ascii="Arial" w:eastAsia="DengXian" w:hAnsi="Arial" w:cs="Arial"/>
                <w:b/>
                <w:bCs/>
                <w:color w:val="FFFFFF"/>
                <w:sz w:val="16"/>
                <w:szCs w:val="16"/>
                <w:lang w:val="en-US" w:eastAsia="zh-CN"/>
              </w:rPr>
            </w:pPr>
            <w:r w:rsidRPr="002356D6">
              <w:rPr>
                <w:rFonts w:ascii="Arial" w:eastAsia="DengXian" w:hAnsi="Arial" w:cs="Arial"/>
                <w:b/>
                <w:bCs/>
                <w:color w:val="FFFFFF"/>
                <w:sz w:val="16"/>
                <w:szCs w:val="16"/>
                <w:lang w:val="en-US" w:eastAsia="zh-CN"/>
              </w:rPr>
              <w:t>RAN1 specification</w:t>
            </w:r>
          </w:p>
        </w:tc>
        <w:tc>
          <w:tcPr>
            <w:tcW w:w="231" w:type="pct"/>
            <w:tcBorders>
              <w:top w:val="single" w:sz="4" w:space="0" w:color="auto"/>
              <w:left w:val="nil"/>
              <w:bottom w:val="single" w:sz="4" w:space="0" w:color="auto"/>
              <w:right w:val="single" w:sz="4" w:space="0" w:color="auto"/>
            </w:tcBorders>
            <w:shd w:val="clear" w:color="000000" w:fill="00B0F0"/>
            <w:vAlign w:val="center"/>
            <w:hideMark/>
          </w:tcPr>
          <w:p w14:paraId="7A873076" w14:textId="77777777" w:rsidR="002356D6" w:rsidRPr="002356D6" w:rsidRDefault="002356D6" w:rsidP="002356D6">
            <w:pPr>
              <w:rPr>
                <w:rFonts w:ascii="Arial" w:eastAsia="DengXian" w:hAnsi="Arial" w:cs="Arial"/>
                <w:b/>
                <w:bCs/>
                <w:color w:val="FFFFFF"/>
                <w:sz w:val="16"/>
                <w:szCs w:val="16"/>
                <w:lang w:val="en-US" w:eastAsia="zh-CN"/>
              </w:rPr>
            </w:pPr>
            <w:r w:rsidRPr="002356D6">
              <w:rPr>
                <w:rFonts w:ascii="Arial" w:eastAsia="DengXian" w:hAnsi="Arial" w:cs="Arial"/>
                <w:b/>
                <w:bCs/>
                <w:color w:val="FFFFFF"/>
                <w:sz w:val="16"/>
                <w:szCs w:val="16"/>
                <w:lang w:val="en-US" w:eastAsia="zh-CN"/>
              </w:rPr>
              <w:t>Section</w:t>
            </w:r>
          </w:p>
        </w:tc>
        <w:tc>
          <w:tcPr>
            <w:tcW w:w="213" w:type="pct"/>
            <w:tcBorders>
              <w:top w:val="single" w:sz="4" w:space="0" w:color="auto"/>
              <w:left w:val="nil"/>
              <w:bottom w:val="single" w:sz="4" w:space="0" w:color="auto"/>
              <w:right w:val="single" w:sz="4" w:space="0" w:color="auto"/>
            </w:tcBorders>
            <w:shd w:val="clear" w:color="000000" w:fill="00B0F0"/>
            <w:vAlign w:val="center"/>
            <w:hideMark/>
          </w:tcPr>
          <w:p w14:paraId="2F5B0C6A" w14:textId="77777777" w:rsidR="002356D6" w:rsidRPr="002356D6" w:rsidRDefault="002356D6" w:rsidP="002356D6">
            <w:pPr>
              <w:rPr>
                <w:rFonts w:ascii="Arial" w:eastAsia="DengXian" w:hAnsi="Arial" w:cs="Arial"/>
                <w:b/>
                <w:bCs/>
                <w:color w:val="FFFFFF"/>
                <w:sz w:val="16"/>
                <w:szCs w:val="16"/>
                <w:lang w:val="en-US" w:eastAsia="zh-CN"/>
              </w:rPr>
            </w:pPr>
            <w:r w:rsidRPr="002356D6">
              <w:rPr>
                <w:rFonts w:ascii="Arial" w:eastAsia="DengXian" w:hAnsi="Arial" w:cs="Arial"/>
                <w:b/>
                <w:bCs/>
                <w:color w:val="FFFFFF"/>
                <w:sz w:val="16"/>
                <w:szCs w:val="16"/>
                <w:lang w:val="en-US" w:eastAsia="zh-CN"/>
              </w:rPr>
              <w:t>RAN2 Parent IE</w:t>
            </w:r>
          </w:p>
        </w:tc>
        <w:tc>
          <w:tcPr>
            <w:tcW w:w="207" w:type="pct"/>
            <w:tcBorders>
              <w:top w:val="single" w:sz="4" w:space="0" w:color="auto"/>
              <w:left w:val="nil"/>
              <w:bottom w:val="single" w:sz="4" w:space="0" w:color="auto"/>
              <w:right w:val="single" w:sz="4" w:space="0" w:color="auto"/>
            </w:tcBorders>
            <w:shd w:val="clear" w:color="000000" w:fill="00B0F0"/>
            <w:vAlign w:val="center"/>
            <w:hideMark/>
          </w:tcPr>
          <w:p w14:paraId="52F80790" w14:textId="77777777" w:rsidR="002356D6" w:rsidRPr="002356D6" w:rsidRDefault="002356D6" w:rsidP="002356D6">
            <w:pPr>
              <w:rPr>
                <w:rFonts w:ascii="Arial" w:eastAsia="DengXian" w:hAnsi="Arial" w:cs="Arial"/>
                <w:b/>
                <w:bCs/>
                <w:color w:val="FFFFFF"/>
                <w:sz w:val="16"/>
                <w:szCs w:val="16"/>
                <w:lang w:val="en-US" w:eastAsia="zh-CN"/>
              </w:rPr>
            </w:pPr>
            <w:r w:rsidRPr="002356D6">
              <w:rPr>
                <w:rFonts w:ascii="Arial" w:eastAsia="DengXian" w:hAnsi="Arial" w:cs="Arial"/>
                <w:b/>
                <w:bCs/>
                <w:color w:val="FFFFFF"/>
                <w:sz w:val="16"/>
                <w:szCs w:val="16"/>
                <w:lang w:val="en-US" w:eastAsia="zh-CN"/>
              </w:rPr>
              <w:t>RAN2 ASN.1 name</w:t>
            </w:r>
          </w:p>
        </w:tc>
        <w:tc>
          <w:tcPr>
            <w:tcW w:w="531" w:type="pct"/>
            <w:tcBorders>
              <w:top w:val="single" w:sz="4" w:space="0" w:color="auto"/>
              <w:left w:val="nil"/>
              <w:bottom w:val="single" w:sz="4" w:space="0" w:color="auto"/>
              <w:right w:val="single" w:sz="4" w:space="0" w:color="auto"/>
            </w:tcBorders>
            <w:shd w:val="clear" w:color="000000" w:fill="00B0F0"/>
            <w:vAlign w:val="center"/>
            <w:hideMark/>
          </w:tcPr>
          <w:p w14:paraId="1046FCFA" w14:textId="77777777" w:rsidR="002356D6" w:rsidRPr="002356D6" w:rsidRDefault="002356D6" w:rsidP="002356D6">
            <w:pPr>
              <w:rPr>
                <w:rFonts w:ascii="Arial" w:eastAsia="DengXian" w:hAnsi="Arial" w:cs="Arial"/>
                <w:b/>
                <w:bCs/>
                <w:color w:val="FFFFFF"/>
                <w:sz w:val="16"/>
                <w:szCs w:val="16"/>
                <w:lang w:val="en-US" w:eastAsia="zh-CN"/>
              </w:rPr>
            </w:pPr>
            <w:r w:rsidRPr="002356D6">
              <w:rPr>
                <w:rFonts w:ascii="Arial" w:eastAsia="DengXian" w:hAnsi="Arial" w:cs="Arial"/>
                <w:b/>
                <w:bCs/>
                <w:color w:val="FFFFFF"/>
                <w:sz w:val="16"/>
                <w:szCs w:val="16"/>
                <w:lang w:val="en-US" w:eastAsia="zh-CN"/>
              </w:rPr>
              <w:t>Parameter name in the spec</w:t>
            </w:r>
          </w:p>
        </w:tc>
        <w:tc>
          <w:tcPr>
            <w:tcW w:w="259" w:type="pct"/>
            <w:tcBorders>
              <w:top w:val="single" w:sz="4" w:space="0" w:color="auto"/>
              <w:left w:val="nil"/>
              <w:bottom w:val="single" w:sz="4" w:space="0" w:color="auto"/>
              <w:right w:val="single" w:sz="4" w:space="0" w:color="auto"/>
            </w:tcBorders>
            <w:shd w:val="clear" w:color="000000" w:fill="00B0F0"/>
            <w:vAlign w:val="center"/>
            <w:hideMark/>
          </w:tcPr>
          <w:p w14:paraId="0E63B83F" w14:textId="77777777" w:rsidR="002356D6" w:rsidRPr="002356D6" w:rsidRDefault="002356D6" w:rsidP="002356D6">
            <w:pPr>
              <w:rPr>
                <w:rFonts w:ascii="Arial" w:eastAsia="DengXian" w:hAnsi="Arial" w:cs="Arial"/>
                <w:b/>
                <w:bCs/>
                <w:color w:val="FFFFFF"/>
                <w:sz w:val="16"/>
                <w:szCs w:val="16"/>
                <w:lang w:val="en-US" w:eastAsia="zh-CN"/>
              </w:rPr>
            </w:pPr>
            <w:r w:rsidRPr="002356D6">
              <w:rPr>
                <w:rFonts w:ascii="Arial" w:eastAsia="DengXian" w:hAnsi="Arial" w:cs="Arial"/>
                <w:b/>
                <w:bCs/>
                <w:color w:val="FFFFFF"/>
                <w:sz w:val="16"/>
                <w:szCs w:val="16"/>
                <w:lang w:val="en-US" w:eastAsia="zh-CN"/>
              </w:rPr>
              <w:t>New or existing?</w:t>
            </w:r>
          </w:p>
        </w:tc>
        <w:tc>
          <w:tcPr>
            <w:tcW w:w="531" w:type="pct"/>
            <w:tcBorders>
              <w:top w:val="single" w:sz="4" w:space="0" w:color="auto"/>
              <w:left w:val="nil"/>
              <w:bottom w:val="single" w:sz="4" w:space="0" w:color="auto"/>
              <w:right w:val="single" w:sz="4" w:space="0" w:color="auto"/>
            </w:tcBorders>
            <w:shd w:val="clear" w:color="000000" w:fill="00B0F0"/>
            <w:vAlign w:val="center"/>
            <w:hideMark/>
          </w:tcPr>
          <w:p w14:paraId="22A00FEC" w14:textId="77777777" w:rsidR="002356D6" w:rsidRPr="002356D6" w:rsidRDefault="002356D6" w:rsidP="002356D6">
            <w:pPr>
              <w:rPr>
                <w:rFonts w:ascii="Arial" w:eastAsia="DengXian" w:hAnsi="Arial" w:cs="Arial"/>
                <w:b/>
                <w:bCs/>
                <w:color w:val="FFFFFF"/>
                <w:sz w:val="16"/>
                <w:szCs w:val="16"/>
                <w:lang w:val="en-US" w:eastAsia="zh-CN"/>
              </w:rPr>
            </w:pPr>
            <w:r w:rsidRPr="002356D6">
              <w:rPr>
                <w:rFonts w:ascii="Arial" w:eastAsia="DengXian" w:hAnsi="Arial" w:cs="Arial"/>
                <w:b/>
                <w:bCs/>
                <w:color w:val="FFFFFF"/>
                <w:sz w:val="16"/>
                <w:szCs w:val="16"/>
                <w:lang w:val="en-US" w:eastAsia="zh-CN"/>
              </w:rPr>
              <w:t>Parameter name in the text</w:t>
            </w:r>
          </w:p>
        </w:tc>
        <w:tc>
          <w:tcPr>
            <w:tcW w:w="373" w:type="pct"/>
            <w:tcBorders>
              <w:top w:val="single" w:sz="4" w:space="0" w:color="auto"/>
              <w:left w:val="nil"/>
              <w:bottom w:val="single" w:sz="4" w:space="0" w:color="auto"/>
              <w:right w:val="single" w:sz="4" w:space="0" w:color="auto"/>
            </w:tcBorders>
            <w:shd w:val="clear" w:color="000000" w:fill="00B0F0"/>
            <w:vAlign w:val="center"/>
            <w:hideMark/>
          </w:tcPr>
          <w:p w14:paraId="718F8BB3" w14:textId="77777777" w:rsidR="002356D6" w:rsidRPr="002356D6" w:rsidRDefault="002356D6" w:rsidP="002356D6">
            <w:pPr>
              <w:rPr>
                <w:rFonts w:ascii="Arial" w:eastAsia="DengXian" w:hAnsi="Arial" w:cs="Arial"/>
                <w:b/>
                <w:bCs/>
                <w:color w:val="FFFFFF"/>
                <w:sz w:val="16"/>
                <w:szCs w:val="16"/>
                <w:lang w:val="en-US" w:eastAsia="zh-CN"/>
              </w:rPr>
            </w:pPr>
            <w:r w:rsidRPr="002356D6">
              <w:rPr>
                <w:rFonts w:ascii="Arial" w:eastAsia="DengXian" w:hAnsi="Arial" w:cs="Arial"/>
                <w:b/>
                <w:bCs/>
                <w:color w:val="FFFFFF"/>
                <w:sz w:val="16"/>
                <w:szCs w:val="16"/>
                <w:lang w:val="en-US" w:eastAsia="zh-CN"/>
              </w:rPr>
              <w:t>Description</w:t>
            </w:r>
          </w:p>
        </w:tc>
        <w:tc>
          <w:tcPr>
            <w:tcW w:w="275" w:type="pct"/>
            <w:tcBorders>
              <w:top w:val="single" w:sz="4" w:space="0" w:color="auto"/>
              <w:left w:val="nil"/>
              <w:bottom w:val="single" w:sz="4" w:space="0" w:color="auto"/>
              <w:right w:val="single" w:sz="4" w:space="0" w:color="auto"/>
            </w:tcBorders>
            <w:shd w:val="clear" w:color="000000" w:fill="00B0F0"/>
            <w:vAlign w:val="center"/>
            <w:hideMark/>
          </w:tcPr>
          <w:p w14:paraId="2AEF505C" w14:textId="77777777" w:rsidR="002356D6" w:rsidRPr="002356D6" w:rsidRDefault="002356D6" w:rsidP="002356D6">
            <w:pPr>
              <w:rPr>
                <w:rFonts w:ascii="Arial" w:eastAsia="DengXian" w:hAnsi="Arial" w:cs="Arial"/>
                <w:b/>
                <w:bCs/>
                <w:color w:val="FFFFFF"/>
                <w:sz w:val="16"/>
                <w:szCs w:val="16"/>
                <w:lang w:val="en-US" w:eastAsia="zh-CN"/>
              </w:rPr>
            </w:pPr>
            <w:r w:rsidRPr="002356D6">
              <w:rPr>
                <w:rFonts w:ascii="Arial" w:eastAsia="DengXian" w:hAnsi="Arial" w:cs="Arial"/>
                <w:b/>
                <w:bCs/>
                <w:color w:val="FFFFFF"/>
                <w:sz w:val="16"/>
                <w:szCs w:val="16"/>
                <w:lang w:val="en-US" w:eastAsia="zh-CN"/>
              </w:rPr>
              <w:t>Value range</w:t>
            </w:r>
          </w:p>
        </w:tc>
        <w:tc>
          <w:tcPr>
            <w:tcW w:w="223" w:type="pct"/>
            <w:tcBorders>
              <w:top w:val="single" w:sz="4" w:space="0" w:color="auto"/>
              <w:left w:val="nil"/>
              <w:bottom w:val="single" w:sz="4" w:space="0" w:color="auto"/>
              <w:right w:val="single" w:sz="4" w:space="0" w:color="auto"/>
            </w:tcBorders>
            <w:shd w:val="clear" w:color="000000" w:fill="00B0F0"/>
            <w:vAlign w:val="center"/>
            <w:hideMark/>
          </w:tcPr>
          <w:p w14:paraId="39EA967D" w14:textId="77777777" w:rsidR="002356D6" w:rsidRPr="002356D6" w:rsidRDefault="002356D6" w:rsidP="002356D6">
            <w:pPr>
              <w:rPr>
                <w:rFonts w:ascii="Arial" w:eastAsia="DengXian" w:hAnsi="Arial" w:cs="Arial"/>
                <w:b/>
                <w:bCs/>
                <w:color w:val="FFFFFF"/>
                <w:sz w:val="16"/>
                <w:szCs w:val="16"/>
                <w:lang w:val="en-US" w:eastAsia="zh-CN"/>
              </w:rPr>
            </w:pPr>
            <w:r w:rsidRPr="002356D6">
              <w:rPr>
                <w:rFonts w:ascii="Arial" w:eastAsia="DengXian" w:hAnsi="Arial" w:cs="Arial"/>
                <w:b/>
                <w:bCs/>
                <w:color w:val="FFFFFF"/>
                <w:sz w:val="16"/>
                <w:szCs w:val="16"/>
                <w:lang w:val="en-US" w:eastAsia="zh-CN"/>
              </w:rPr>
              <w:t>Default value aspect</w:t>
            </w:r>
          </w:p>
        </w:tc>
        <w:tc>
          <w:tcPr>
            <w:tcW w:w="241" w:type="pct"/>
            <w:tcBorders>
              <w:top w:val="single" w:sz="4" w:space="0" w:color="auto"/>
              <w:left w:val="nil"/>
              <w:bottom w:val="single" w:sz="4" w:space="0" w:color="auto"/>
              <w:right w:val="single" w:sz="4" w:space="0" w:color="auto"/>
            </w:tcBorders>
            <w:shd w:val="clear" w:color="000000" w:fill="00B0F0"/>
            <w:vAlign w:val="center"/>
            <w:hideMark/>
          </w:tcPr>
          <w:p w14:paraId="779C14AB" w14:textId="77777777" w:rsidR="002356D6" w:rsidRPr="002356D6" w:rsidRDefault="002356D6" w:rsidP="002356D6">
            <w:pPr>
              <w:rPr>
                <w:rFonts w:ascii="Arial" w:eastAsia="DengXian" w:hAnsi="Arial" w:cs="Arial"/>
                <w:b/>
                <w:bCs/>
                <w:color w:val="FFFFFF"/>
                <w:sz w:val="16"/>
                <w:szCs w:val="16"/>
                <w:lang w:val="en-US" w:eastAsia="zh-CN"/>
              </w:rPr>
            </w:pPr>
            <w:r w:rsidRPr="002356D6">
              <w:rPr>
                <w:rFonts w:ascii="Arial" w:eastAsia="DengXian" w:hAnsi="Arial" w:cs="Arial"/>
                <w:b/>
                <w:bCs/>
                <w:color w:val="FFFFFF"/>
                <w:sz w:val="16"/>
                <w:szCs w:val="16"/>
                <w:lang w:val="en-US" w:eastAsia="zh-CN"/>
              </w:rPr>
              <w:t>Per (UE, cell, TRP, …)</w:t>
            </w:r>
          </w:p>
        </w:tc>
        <w:tc>
          <w:tcPr>
            <w:tcW w:w="361" w:type="pct"/>
            <w:tcBorders>
              <w:top w:val="single" w:sz="4" w:space="0" w:color="auto"/>
              <w:left w:val="nil"/>
              <w:bottom w:val="single" w:sz="4" w:space="0" w:color="auto"/>
              <w:right w:val="single" w:sz="4" w:space="0" w:color="auto"/>
            </w:tcBorders>
            <w:shd w:val="clear" w:color="000000" w:fill="00B0F0"/>
            <w:vAlign w:val="center"/>
            <w:hideMark/>
          </w:tcPr>
          <w:p w14:paraId="39D1ED77" w14:textId="77777777" w:rsidR="002356D6" w:rsidRPr="002356D6" w:rsidRDefault="002356D6" w:rsidP="002356D6">
            <w:pPr>
              <w:rPr>
                <w:rFonts w:ascii="Arial" w:eastAsia="DengXian" w:hAnsi="Arial" w:cs="Arial"/>
                <w:b/>
                <w:bCs/>
                <w:color w:val="FFFFFF"/>
                <w:sz w:val="16"/>
                <w:szCs w:val="16"/>
                <w:lang w:val="en-US" w:eastAsia="zh-CN"/>
              </w:rPr>
            </w:pPr>
            <w:r w:rsidRPr="002356D6">
              <w:rPr>
                <w:rFonts w:ascii="Arial" w:eastAsia="DengXian" w:hAnsi="Arial" w:cs="Arial"/>
                <w:b/>
                <w:bCs/>
                <w:color w:val="FFFFFF"/>
                <w:sz w:val="16"/>
                <w:szCs w:val="16"/>
                <w:lang w:val="en-US" w:eastAsia="zh-CN"/>
              </w:rPr>
              <w:t>Required for initial access or IDLE/INACTIVE</w:t>
            </w:r>
          </w:p>
        </w:tc>
        <w:tc>
          <w:tcPr>
            <w:tcW w:w="325" w:type="pct"/>
            <w:tcBorders>
              <w:top w:val="single" w:sz="4" w:space="0" w:color="auto"/>
              <w:left w:val="nil"/>
              <w:bottom w:val="single" w:sz="4" w:space="0" w:color="auto"/>
              <w:right w:val="single" w:sz="4" w:space="0" w:color="auto"/>
            </w:tcBorders>
            <w:shd w:val="clear" w:color="000000" w:fill="00B0F0"/>
            <w:vAlign w:val="center"/>
            <w:hideMark/>
          </w:tcPr>
          <w:p w14:paraId="458FC61F" w14:textId="77777777" w:rsidR="002356D6" w:rsidRPr="002356D6" w:rsidRDefault="002356D6" w:rsidP="002356D6">
            <w:pPr>
              <w:rPr>
                <w:rFonts w:ascii="Arial" w:eastAsia="DengXian" w:hAnsi="Arial" w:cs="Arial"/>
                <w:b/>
                <w:bCs/>
                <w:color w:val="FFFFFF"/>
                <w:sz w:val="16"/>
                <w:szCs w:val="16"/>
                <w:lang w:val="en-US" w:eastAsia="zh-CN"/>
              </w:rPr>
            </w:pPr>
            <w:r w:rsidRPr="002356D6">
              <w:rPr>
                <w:rFonts w:ascii="Arial" w:eastAsia="DengXian" w:hAnsi="Arial" w:cs="Arial"/>
                <w:b/>
                <w:bCs/>
                <w:color w:val="FFFFFF"/>
                <w:sz w:val="16"/>
                <w:szCs w:val="16"/>
                <w:lang w:val="en-US" w:eastAsia="zh-CN"/>
              </w:rPr>
              <w:t>Specification</w:t>
            </w:r>
          </w:p>
        </w:tc>
        <w:tc>
          <w:tcPr>
            <w:tcW w:w="267" w:type="pct"/>
            <w:tcBorders>
              <w:top w:val="single" w:sz="4" w:space="0" w:color="auto"/>
              <w:left w:val="nil"/>
              <w:bottom w:val="single" w:sz="4" w:space="0" w:color="auto"/>
              <w:right w:val="single" w:sz="4" w:space="0" w:color="auto"/>
            </w:tcBorders>
            <w:shd w:val="clear" w:color="000000" w:fill="00B0F0"/>
            <w:vAlign w:val="center"/>
            <w:hideMark/>
          </w:tcPr>
          <w:p w14:paraId="37B06F93" w14:textId="77777777" w:rsidR="002356D6" w:rsidRPr="002356D6" w:rsidRDefault="002356D6" w:rsidP="002356D6">
            <w:pPr>
              <w:rPr>
                <w:rFonts w:ascii="Arial" w:eastAsia="DengXian" w:hAnsi="Arial" w:cs="Arial"/>
                <w:b/>
                <w:bCs/>
                <w:color w:val="FFFFFF"/>
                <w:sz w:val="16"/>
                <w:szCs w:val="16"/>
                <w:lang w:val="en-US" w:eastAsia="zh-CN"/>
              </w:rPr>
            </w:pPr>
            <w:r w:rsidRPr="002356D6">
              <w:rPr>
                <w:rFonts w:ascii="Arial" w:eastAsia="DengXian" w:hAnsi="Arial" w:cs="Arial"/>
                <w:b/>
                <w:bCs/>
                <w:color w:val="FFFFFF"/>
                <w:sz w:val="16"/>
                <w:szCs w:val="16"/>
                <w:lang w:val="en-US" w:eastAsia="zh-CN"/>
              </w:rPr>
              <w:t>Comment</w:t>
            </w:r>
          </w:p>
        </w:tc>
      </w:tr>
      <w:tr w:rsidR="00F02E47" w:rsidRPr="002356D6" w14:paraId="77125FDE" w14:textId="77777777" w:rsidTr="00F02E47">
        <w:trPr>
          <w:trHeight w:val="20"/>
        </w:trPr>
        <w:tc>
          <w:tcPr>
            <w:tcW w:w="338" w:type="pct"/>
            <w:tcBorders>
              <w:top w:val="nil"/>
              <w:left w:val="single" w:sz="4" w:space="0" w:color="auto"/>
              <w:bottom w:val="single" w:sz="4" w:space="0" w:color="auto"/>
              <w:right w:val="single" w:sz="4" w:space="0" w:color="auto"/>
            </w:tcBorders>
            <w:shd w:val="clear" w:color="auto" w:fill="FFFFFF"/>
            <w:vAlign w:val="center"/>
            <w:hideMark/>
          </w:tcPr>
          <w:p w14:paraId="6F600EAD" w14:textId="77777777" w:rsidR="002356D6" w:rsidRPr="002356D6" w:rsidRDefault="002356D6" w:rsidP="002356D6">
            <w:pPr>
              <w:rPr>
                <w:rFonts w:ascii="Arial" w:eastAsia="DengXian" w:hAnsi="Arial" w:cs="Arial"/>
                <w:color w:val="0070C0"/>
                <w:sz w:val="16"/>
                <w:szCs w:val="16"/>
                <w:lang w:val="en-US" w:eastAsia="zh-CN"/>
              </w:rPr>
            </w:pPr>
            <w:r w:rsidRPr="002356D6">
              <w:rPr>
                <w:rFonts w:ascii="Arial" w:eastAsia="DengXian" w:hAnsi="Arial" w:cs="Arial"/>
                <w:color w:val="0070C0"/>
                <w:sz w:val="16"/>
                <w:szCs w:val="16"/>
                <w:lang w:val="en-US" w:eastAsia="zh-CN"/>
              </w:rPr>
              <w:t>IoT_NTN_enh-Core</w:t>
            </w:r>
          </w:p>
        </w:tc>
        <w:tc>
          <w:tcPr>
            <w:tcW w:w="303" w:type="pct"/>
            <w:tcBorders>
              <w:top w:val="nil"/>
              <w:left w:val="nil"/>
              <w:bottom w:val="single" w:sz="4" w:space="0" w:color="auto"/>
              <w:right w:val="single" w:sz="4" w:space="0" w:color="auto"/>
            </w:tcBorders>
            <w:shd w:val="clear" w:color="auto" w:fill="FFFFFF"/>
            <w:vAlign w:val="center"/>
            <w:hideMark/>
          </w:tcPr>
          <w:p w14:paraId="532003CC" w14:textId="77777777" w:rsidR="002356D6" w:rsidRPr="002356D6" w:rsidRDefault="002356D6" w:rsidP="002356D6">
            <w:pPr>
              <w:rPr>
                <w:rFonts w:ascii="Arial" w:eastAsia="DengXian" w:hAnsi="Arial" w:cs="Arial"/>
                <w:color w:val="0070C0"/>
                <w:sz w:val="16"/>
                <w:szCs w:val="16"/>
                <w:lang w:val="en-US" w:eastAsia="zh-CN"/>
              </w:rPr>
            </w:pPr>
            <w:r w:rsidRPr="002356D6">
              <w:rPr>
                <w:rFonts w:ascii="Arial" w:eastAsia="DengXian" w:hAnsi="Arial" w:cs="Arial"/>
                <w:color w:val="0070C0"/>
                <w:sz w:val="16"/>
                <w:szCs w:val="16"/>
                <w:lang w:val="en-US" w:eastAsia="zh-CN"/>
              </w:rPr>
              <w:t>UL transmission after original GNSS validity duration expires for eMTC</w:t>
            </w:r>
          </w:p>
        </w:tc>
        <w:tc>
          <w:tcPr>
            <w:tcW w:w="321" w:type="pct"/>
            <w:tcBorders>
              <w:top w:val="nil"/>
              <w:left w:val="nil"/>
              <w:bottom w:val="single" w:sz="4" w:space="0" w:color="auto"/>
              <w:right w:val="single" w:sz="4" w:space="0" w:color="auto"/>
            </w:tcBorders>
            <w:shd w:val="clear" w:color="auto" w:fill="FFFFFF"/>
            <w:noWrap/>
            <w:vAlign w:val="center"/>
            <w:hideMark/>
          </w:tcPr>
          <w:p w14:paraId="0E3E9A2E" w14:textId="77777777" w:rsidR="002356D6" w:rsidRPr="002356D6" w:rsidRDefault="002356D6" w:rsidP="002356D6">
            <w:pPr>
              <w:rPr>
                <w:rFonts w:ascii="Arial" w:eastAsia="DengXian" w:hAnsi="Arial" w:cs="Arial"/>
                <w:color w:val="0070C0"/>
                <w:sz w:val="16"/>
                <w:szCs w:val="16"/>
                <w:lang w:val="en-US" w:eastAsia="zh-CN"/>
              </w:rPr>
            </w:pPr>
            <w:r w:rsidRPr="002356D6">
              <w:rPr>
                <w:rFonts w:ascii="Arial" w:eastAsia="DengXian" w:hAnsi="Arial" w:cs="Arial"/>
                <w:color w:val="0070C0"/>
                <w:sz w:val="16"/>
                <w:szCs w:val="16"/>
                <w:lang w:val="en-US" w:eastAsia="zh-CN"/>
              </w:rPr>
              <w:t>36.213</w:t>
            </w:r>
          </w:p>
        </w:tc>
        <w:tc>
          <w:tcPr>
            <w:tcW w:w="231" w:type="pct"/>
            <w:tcBorders>
              <w:top w:val="nil"/>
              <w:left w:val="nil"/>
              <w:bottom w:val="single" w:sz="4" w:space="0" w:color="auto"/>
              <w:right w:val="single" w:sz="4" w:space="0" w:color="auto"/>
            </w:tcBorders>
            <w:shd w:val="clear" w:color="auto" w:fill="FFFFFF"/>
            <w:noWrap/>
            <w:vAlign w:val="center"/>
            <w:hideMark/>
          </w:tcPr>
          <w:p w14:paraId="12AD8DDC" w14:textId="77777777" w:rsidR="002356D6" w:rsidRPr="002356D6" w:rsidRDefault="002356D6" w:rsidP="002356D6">
            <w:pPr>
              <w:rPr>
                <w:rFonts w:ascii="Arial" w:eastAsia="DengXian" w:hAnsi="Arial" w:cs="Arial"/>
                <w:color w:val="0070C0"/>
                <w:sz w:val="16"/>
                <w:szCs w:val="16"/>
                <w:lang w:val="en-US" w:eastAsia="zh-CN"/>
              </w:rPr>
            </w:pPr>
            <w:r w:rsidRPr="002356D6">
              <w:rPr>
                <w:rFonts w:ascii="Arial" w:eastAsia="DengXian" w:hAnsi="Arial" w:cs="Arial"/>
                <w:color w:val="0070C0"/>
                <w:sz w:val="16"/>
                <w:szCs w:val="16"/>
                <w:lang w:val="en-US" w:eastAsia="zh-CN"/>
              </w:rPr>
              <w:t xml:space="preserve">　</w:t>
            </w:r>
          </w:p>
        </w:tc>
        <w:tc>
          <w:tcPr>
            <w:tcW w:w="213" w:type="pct"/>
            <w:tcBorders>
              <w:top w:val="nil"/>
              <w:left w:val="nil"/>
              <w:bottom w:val="single" w:sz="4" w:space="0" w:color="auto"/>
              <w:right w:val="single" w:sz="4" w:space="0" w:color="auto"/>
            </w:tcBorders>
            <w:shd w:val="clear" w:color="auto" w:fill="FFFFFF"/>
            <w:noWrap/>
            <w:vAlign w:val="center"/>
            <w:hideMark/>
          </w:tcPr>
          <w:p w14:paraId="2727FEC6" w14:textId="77777777" w:rsidR="002356D6" w:rsidRPr="002356D6" w:rsidRDefault="002356D6" w:rsidP="002356D6">
            <w:pPr>
              <w:rPr>
                <w:rFonts w:ascii="Arial" w:eastAsia="DengXian" w:hAnsi="Arial" w:cs="Arial"/>
                <w:color w:val="0070C0"/>
                <w:sz w:val="16"/>
                <w:szCs w:val="16"/>
                <w:lang w:val="en-US" w:eastAsia="zh-CN"/>
              </w:rPr>
            </w:pPr>
            <w:r w:rsidRPr="002356D6">
              <w:rPr>
                <w:rFonts w:ascii="Arial" w:eastAsia="DengXian" w:hAnsi="Arial" w:cs="Arial"/>
                <w:color w:val="0070C0"/>
                <w:sz w:val="16"/>
                <w:szCs w:val="16"/>
                <w:lang w:val="en-US" w:eastAsia="zh-CN"/>
              </w:rPr>
              <w:t xml:space="preserve">　</w:t>
            </w:r>
          </w:p>
        </w:tc>
        <w:tc>
          <w:tcPr>
            <w:tcW w:w="207" w:type="pct"/>
            <w:tcBorders>
              <w:top w:val="nil"/>
              <w:left w:val="nil"/>
              <w:bottom w:val="single" w:sz="4" w:space="0" w:color="auto"/>
              <w:right w:val="single" w:sz="4" w:space="0" w:color="auto"/>
            </w:tcBorders>
            <w:shd w:val="clear" w:color="auto" w:fill="FFFFFF"/>
            <w:noWrap/>
            <w:vAlign w:val="center"/>
            <w:hideMark/>
          </w:tcPr>
          <w:p w14:paraId="4465C134" w14:textId="77777777" w:rsidR="002356D6" w:rsidRPr="002356D6" w:rsidRDefault="002356D6" w:rsidP="002356D6">
            <w:pPr>
              <w:rPr>
                <w:rFonts w:ascii="Arial" w:eastAsia="DengXian" w:hAnsi="Arial" w:cs="Arial"/>
                <w:color w:val="0070C0"/>
                <w:sz w:val="16"/>
                <w:szCs w:val="16"/>
                <w:lang w:val="en-US" w:eastAsia="zh-CN"/>
              </w:rPr>
            </w:pPr>
            <w:r w:rsidRPr="002356D6">
              <w:rPr>
                <w:rFonts w:ascii="Arial" w:eastAsia="DengXian" w:hAnsi="Arial" w:cs="Arial"/>
                <w:color w:val="0070C0"/>
                <w:sz w:val="16"/>
                <w:szCs w:val="16"/>
                <w:lang w:val="en-US" w:eastAsia="zh-CN"/>
              </w:rPr>
              <w:t xml:space="preserve">　</w:t>
            </w:r>
          </w:p>
        </w:tc>
        <w:tc>
          <w:tcPr>
            <w:tcW w:w="531" w:type="pct"/>
            <w:tcBorders>
              <w:top w:val="nil"/>
              <w:left w:val="nil"/>
              <w:bottom w:val="single" w:sz="4" w:space="0" w:color="auto"/>
              <w:right w:val="single" w:sz="4" w:space="0" w:color="auto"/>
            </w:tcBorders>
            <w:shd w:val="clear" w:color="auto" w:fill="FFFFFF"/>
            <w:vAlign w:val="center"/>
            <w:hideMark/>
          </w:tcPr>
          <w:p w14:paraId="0EB1C87A" w14:textId="77777777" w:rsidR="002356D6" w:rsidRPr="002356D6" w:rsidRDefault="002356D6" w:rsidP="002356D6">
            <w:pPr>
              <w:rPr>
                <w:rFonts w:ascii="Arial" w:eastAsia="DengXian" w:hAnsi="Arial" w:cs="Arial"/>
                <w:color w:val="0070C0"/>
                <w:sz w:val="16"/>
                <w:szCs w:val="16"/>
                <w:lang w:val="en-US" w:eastAsia="zh-CN"/>
              </w:rPr>
            </w:pPr>
            <w:r w:rsidRPr="002356D6">
              <w:rPr>
                <w:rFonts w:ascii="Arial" w:eastAsia="DengXian" w:hAnsi="Arial" w:cs="Arial"/>
                <w:color w:val="0070C0"/>
                <w:sz w:val="16"/>
                <w:szCs w:val="16"/>
                <w:lang w:val="en-US" w:eastAsia="zh-CN"/>
              </w:rPr>
              <w:t>ULTransmissionExtension</w:t>
            </w:r>
          </w:p>
        </w:tc>
        <w:tc>
          <w:tcPr>
            <w:tcW w:w="259" w:type="pct"/>
            <w:tcBorders>
              <w:top w:val="nil"/>
              <w:left w:val="nil"/>
              <w:bottom w:val="single" w:sz="4" w:space="0" w:color="auto"/>
              <w:right w:val="single" w:sz="4" w:space="0" w:color="auto"/>
            </w:tcBorders>
            <w:shd w:val="clear" w:color="auto" w:fill="FFFFFF"/>
            <w:noWrap/>
            <w:vAlign w:val="center"/>
            <w:hideMark/>
          </w:tcPr>
          <w:p w14:paraId="5564A8F7" w14:textId="77777777" w:rsidR="002356D6" w:rsidRPr="002356D6" w:rsidRDefault="002356D6" w:rsidP="002356D6">
            <w:pPr>
              <w:rPr>
                <w:rFonts w:ascii="Arial" w:eastAsia="DengXian" w:hAnsi="Arial" w:cs="Arial"/>
                <w:color w:val="0070C0"/>
                <w:sz w:val="16"/>
                <w:szCs w:val="16"/>
                <w:lang w:val="en-US" w:eastAsia="zh-CN"/>
              </w:rPr>
            </w:pPr>
            <w:r w:rsidRPr="002356D6">
              <w:rPr>
                <w:rFonts w:ascii="Arial" w:eastAsia="DengXian" w:hAnsi="Arial" w:cs="Arial"/>
                <w:color w:val="0070C0"/>
                <w:sz w:val="16"/>
                <w:szCs w:val="16"/>
                <w:lang w:val="en-US" w:eastAsia="zh-CN"/>
              </w:rPr>
              <w:t>New</w:t>
            </w:r>
          </w:p>
        </w:tc>
        <w:tc>
          <w:tcPr>
            <w:tcW w:w="531" w:type="pct"/>
            <w:tcBorders>
              <w:top w:val="nil"/>
              <w:left w:val="nil"/>
              <w:bottom w:val="single" w:sz="4" w:space="0" w:color="auto"/>
              <w:right w:val="single" w:sz="4" w:space="0" w:color="auto"/>
            </w:tcBorders>
            <w:shd w:val="clear" w:color="auto" w:fill="FFFFFF"/>
            <w:vAlign w:val="center"/>
            <w:hideMark/>
          </w:tcPr>
          <w:p w14:paraId="11B2F1DC" w14:textId="77777777" w:rsidR="002356D6" w:rsidRPr="002356D6" w:rsidRDefault="002356D6" w:rsidP="002356D6">
            <w:pPr>
              <w:rPr>
                <w:rFonts w:ascii="Arial" w:eastAsia="DengXian" w:hAnsi="Arial" w:cs="Arial"/>
                <w:color w:val="0070C0"/>
                <w:sz w:val="16"/>
                <w:szCs w:val="16"/>
                <w:lang w:val="en-US" w:eastAsia="zh-CN"/>
              </w:rPr>
            </w:pPr>
            <w:r w:rsidRPr="002356D6">
              <w:rPr>
                <w:rFonts w:ascii="Arial" w:eastAsia="DengXian" w:hAnsi="Arial" w:cs="Arial"/>
                <w:color w:val="0070C0"/>
                <w:sz w:val="16"/>
                <w:szCs w:val="16"/>
                <w:lang w:val="en-US" w:eastAsia="zh-CN"/>
              </w:rPr>
              <w:t>ULTransmissionExtension</w:t>
            </w:r>
          </w:p>
        </w:tc>
        <w:tc>
          <w:tcPr>
            <w:tcW w:w="373" w:type="pct"/>
            <w:tcBorders>
              <w:top w:val="nil"/>
              <w:left w:val="nil"/>
              <w:bottom w:val="single" w:sz="4" w:space="0" w:color="auto"/>
              <w:right w:val="single" w:sz="4" w:space="0" w:color="auto"/>
            </w:tcBorders>
            <w:shd w:val="clear" w:color="auto" w:fill="FFFFFF"/>
            <w:vAlign w:val="center"/>
            <w:hideMark/>
          </w:tcPr>
          <w:p w14:paraId="18F54E81" w14:textId="77777777" w:rsidR="002356D6" w:rsidRPr="002356D6" w:rsidRDefault="002356D6" w:rsidP="002356D6">
            <w:pPr>
              <w:rPr>
                <w:rFonts w:ascii="Arial" w:eastAsia="DengXian" w:hAnsi="Arial" w:cs="Arial"/>
                <w:color w:val="0070C0"/>
                <w:sz w:val="16"/>
                <w:szCs w:val="16"/>
                <w:lang w:val="en-US" w:eastAsia="zh-CN"/>
              </w:rPr>
            </w:pPr>
            <w:r w:rsidRPr="002356D6">
              <w:rPr>
                <w:rFonts w:ascii="Arial" w:eastAsia="DengXian" w:hAnsi="Arial" w:cs="Arial"/>
                <w:color w:val="0070C0"/>
                <w:sz w:val="16"/>
                <w:szCs w:val="16"/>
                <w:lang w:val="en-US" w:eastAsia="zh-CN"/>
              </w:rPr>
              <w:t>“UL transmission after original GNSS validity duration expires with duration X” is enabled/disabled by network.</w:t>
            </w:r>
          </w:p>
        </w:tc>
        <w:tc>
          <w:tcPr>
            <w:tcW w:w="275" w:type="pct"/>
            <w:tcBorders>
              <w:top w:val="nil"/>
              <w:left w:val="nil"/>
              <w:bottom w:val="single" w:sz="4" w:space="0" w:color="auto"/>
              <w:right w:val="single" w:sz="4" w:space="0" w:color="auto"/>
            </w:tcBorders>
            <w:shd w:val="clear" w:color="auto" w:fill="FFFFFF"/>
            <w:vAlign w:val="center"/>
            <w:hideMark/>
          </w:tcPr>
          <w:p w14:paraId="15D16C94" w14:textId="77777777" w:rsidR="002356D6" w:rsidRPr="002356D6" w:rsidRDefault="002356D6" w:rsidP="002356D6">
            <w:pPr>
              <w:rPr>
                <w:rFonts w:ascii="Arial" w:eastAsia="DengXian" w:hAnsi="Arial" w:cs="Arial"/>
                <w:color w:val="0070C0"/>
                <w:sz w:val="16"/>
                <w:szCs w:val="16"/>
                <w:lang w:val="en-US" w:eastAsia="zh-CN"/>
              </w:rPr>
            </w:pPr>
            <w:r w:rsidRPr="002356D6">
              <w:rPr>
                <w:rFonts w:ascii="Arial" w:eastAsia="DengXian" w:hAnsi="Arial" w:cs="Arial"/>
                <w:color w:val="0070C0"/>
                <w:sz w:val="16"/>
                <w:szCs w:val="16"/>
                <w:lang w:val="en-US" w:eastAsia="zh-CN"/>
              </w:rPr>
              <w:t>BOOLEAN</w:t>
            </w:r>
          </w:p>
        </w:tc>
        <w:tc>
          <w:tcPr>
            <w:tcW w:w="223" w:type="pct"/>
            <w:tcBorders>
              <w:top w:val="nil"/>
              <w:left w:val="nil"/>
              <w:bottom w:val="single" w:sz="4" w:space="0" w:color="auto"/>
              <w:right w:val="single" w:sz="4" w:space="0" w:color="auto"/>
            </w:tcBorders>
            <w:shd w:val="clear" w:color="auto" w:fill="FFFFFF"/>
            <w:vAlign w:val="center"/>
            <w:hideMark/>
          </w:tcPr>
          <w:p w14:paraId="1E3F28B5" w14:textId="77777777" w:rsidR="002356D6" w:rsidRPr="002356D6" w:rsidRDefault="002356D6" w:rsidP="002356D6">
            <w:pPr>
              <w:rPr>
                <w:rFonts w:ascii="Arial" w:eastAsia="DengXian" w:hAnsi="Arial" w:cs="Arial"/>
                <w:color w:val="0070C0"/>
                <w:sz w:val="16"/>
                <w:szCs w:val="16"/>
                <w:lang w:val="en-US" w:eastAsia="zh-CN"/>
              </w:rPr>
            </w:pPr>
            <w:r w:rsidRPr="002356D6">
              <w:rPr>
                <w:rFonts w:ascii="Arial" w:eastAsia="DengXian" w:hAnsi="Arial" w:cs="Arial"/>
                <w:color w:val="0070C0"/>
                <w:sz w:val="16"/>
                <w:szCs w:val="16"/>
                <w:lang w:val="en-US" w:eastAsia="zh-CN"/>
              </w:rPr>
              <w:t xml:space="preserve"> </w:t>
            </w:r>
          </w:p>
        </w:tc>
        <w:tc>
          <w:tcPr>
            <w:tcW w:w="241" w:type="pct"/>
            <w:tcBorders>
              <w:top w:val="nil"/>
              <w:left w:val="nil"/>
              <w:bottom w:val="single" w:sz="4" w:space="0" w:color="auto"/>
              <w:right w:val="single" w:sz="4" w:space="0" w:color="auto"/>
            </w:tcBorders>
            <w:shd w:val="clear" w:color="auto" w:fill="FFFFFF"/>
            <w:noWrap/>
            <w:vAlign w:val="center"/>
            <w:hideMark/>
          </w:tcPr>
          <w:p w14:paraId="78097168" w14:textId="77777777" w:rsidR="002356D6" w:rsidRPr="002356D6" w:rsidRDefault="002356D6" w:rsidP="002356D6">
            <w:pPr>
              <w:rPr>
                <w:rFonts w:ascii="Arial" w:eastAsia="DengXian" w:hAnsi="Arial" w:cs="Arial"/>
                <w:color w:val="0070C0"/>
                <w:sz w:val="16"/>
                <w:szCs w:val="16"/>
                <w:lang w:val="en-US" w:eastAsia="zh-CN"/>
              </w:rPr>
            </w:pPr>
            <w:r w:rsidRPr="002356D6">
              <w:rPr>
                <w:rFonts w:ascii="Arial" w:eastAsia="DengXian" w:hAnsi="Arial" w:cs="Arial"/>
                <w:color w:val="0070C0"/>
                <w:sz w:val="16"/>
                <w:szCs w:val="16"/>
                <w:lang w:val="en-US" w:eastAsia="zh-CN"/>
              </w:rPr>
              <w:t>per UE</w:t>
            </w:r>
          </w:p>
        </w:tc>
        <w:tc>
          <w:tcPr>
            <w:tcW w:w="361" w:type="pct"/>
            <w:tcBorders>
              <w:top w:val="nil"/>
              <w:left w:val="nil"/>
              <w:bottom w:val="single" w:sz="4" w:space="0" w:color="auto"/>
              <w:right w:val="single" w:sz="4" w:space="0" w:color="auto"/>
            </w:tcBorders>
            <w:shd w:val="clear" w:color="auto" w:fill="FFFFFF"/>
            <w:vAlign w:val="center"/>
            <w:hideMark/>
          </w:tcPr>
          <w:p w14:paraId="1D5091D4" w14:textId="77777777" w:rsidR="002356D6" w:rsidRPr="002356D6" w:rsidRDefault="002356D6" w:rsidP="002356D6">
            <w:pPr>
              <w:rPr>
                <w:rFonts w:ascii="Arial" w:eastAsia="DengXian" w:hAnsi="Arial" w:cs="Arial"/>
                <w:color w:val="0070C0"/>
                <w:sz w:val="16"/>
                <w:szCs w:val="16"/>
                <w:lang w:val="en-US" w:eastAsia="zh-CN"/>
              </w:rPr>
            </w:pPr>
            <w:r w:rsidRPr="002356D6">
              <w:rPr>
                <w:rFonts w:ascii="Arial" w:eastAsia="DengXian" w:hAnsi="Arial" w:cs="Arial"/>
                <w:color w:val="0070C0"/>
                <w:sz w:val="16"/>
                <w:szCs w:val="16"/>
                <w:lang w:val="en-US" w:eastAsia="zh-CN"/>
              </w:rPr>
              <w:t>No</w:t>
            </w:r>
          </w:p>
        </w:tc>
        <w:tc>
          <w:tcPr>
            <w:tcW w:w="325" w:type="pct"/>
            <w:tcBorders>
              <w:top w:val="nil"/>
              <w:left w:val="nil"/>
              <w:bottom w:val="single" w:sz="4" w:space="0" w:color="auto"/>
              <w:right w:val="single" w:sz="4" w:space="0" w:color="auto"/>
            </w:tcBorders>
            <w:shd w:val="clear" w:color="auto" w:fill="FFFFFF"/>
            <w:noWrap/>
            <w:vAlign w:val="center"/>
            <w:hideMark/>
          </w:tcPr>
          <w:p w14:paraId="36F72CFC" w14:textId="77777777" w:rsidR="002356D6" w:rsidRPr="002356D6" w:rsidRDefault="002356D6" w:rsidP="002356D6">
            <w:pPr>
              <w:rPr>
                <w:rFonts w:ascii="Arial" w:eastAsia="DengXian" w:hAnsi="Arial" w:cs="Arial"/>
                <w:color w:val="0070C0"/>
                <w:sz w:val="16"/>
                <w:szCs w:val="16"/>
                <w:lang w:val="en-US" w:eastAsia="zh-CN"/>
              </w:rPr>
            </w:pPr>
            <w:r w:rsidRPr="002356D6">
              <w:rPr>
                <w:rFonts w:ascii="Arial" w:eastAsia="DengXian" w:hAnsi="Arial" w:cs="Arial"/>
                <w:color w:val="0070C0"/>
                <w:sz w:val="16"/>
                <w:szCs w:val="16"/>
                <w:lang w:val="en-US" w:eastAsia="zh-CN"/>
              </w:rPr>
              <w:t>36.331</w:t>
            </w:r>
          </w:p>
        </w:tc>
        <w:tc>
          <w:tcPr>
            <w:tcW w:w="267" w:type="pct"/>
            <w:tcBorders>
              <w:top w:val="nil"/>
              <w:left w:val="nil"/>
              <w:bottom w:val="single" w:sz="4" w:space="0" w:color="auto"/>
              <w:right w:val="single" w:sz="4" w:space="0" w:color="auto"/>
            </w:tcBorders>
            <w:shd w:val="clear" w:color="auto" w:fill="FFFFFF"/>
            <w:vAlign w:val="center"/>
            <w:hideMark/>
          </w:tcPr>
          <w:p w14:paraId="43859783" w14:textId="77777777" w:rsidR="002356D6" w:rsidRPr="002356D6" w:rsidRDefault="002356D6" w:rsidP="002356D6">
            <w:pPr>
              <w:rPr>
                <w:rFonts w:ascii="Arial" w:eastAsia="DengXian" w:hAnsi="Arial" w:cs="Arial"/>
                <w:color w:val="FF0000"/>
                <w:sz w:val="16"/>
                <w:szCs w:val="16"/>
                <w:lang w:val="en-US" w:eastAsia="zh-CN"/>
              </w:rPr>
            </w:pPr>
            <w:r w:rsidRPr="002356D6">
              <w:rPr>
                <w:rFonts w:ascii="Arial" w:eastAsia="DengXian" w:hAnsi="Arial" w:cs="Arial"/>
                <w:color w:val="FF0000"/>
                <w:sz w:val="16"/>
                <w:szCs w:val="16"/>
                <w:lang w:val="en-US" w:eastAsia="zh-CN"/>
              </w:rPr>
              <w:t xml:space="preserve">　</w:t>
            </w:r>
          </w:p>
        </w:tc>
      </w:tr>
      <w:tr w:rsidR="00F02E47" w:rsidRPr="002356D6" w14:paraId="49BC1F7A" w14:textId="77777777" w:rsidTr="00F02E47">
        <w:trPr>
          <w:trHeight w:val="20"/>
        </w:trPr>
        <w:tc>
          <w:tcPr>
            <w:tcW w:w="338" w:type="pct"/>
            <w:tcBorders>
              <w:top w:val="nil"/>
              <w:left w:val="single" w:sz="4" w:space="0" w:color="auto"/>
              <w:bottom w:val="single" w:sz="4" w:space="0" w:color="auto"/>
              <w:right w:val="single" w:sz="4" w:space="0" w:color="auto"/>
            </w:tcBorders>
            <w:shd w:val="clear" w:color="auto" w:fill="FFFFFF"/>
            <w:vAlign w:val="center"/>
            <w:hideMark/>
          </w:tcPr>
          <w:p w14:paraId="16F4BB57" w14:textId="77777777" w:rsidR="002356D6" w:rsidRPr="002356D6" w:rsidRDefault="002356D6" w:rsidP="002356D6">
            <w:pPr>
              <w:rPr>
                <w:rFonts w:ascii="Arial" w:eastAsia="DengXian" w:hAnsi="Arial" w:cs="Arial"/>
                <w:color w:val="0070C0"/>
                <w:sz w:val="16"/>
                <w:szCs w:val="16"/>
                <w:lang w:val="en-US" w:eastAsia="zh-CN"/>
              </w:rPr>
            </w:pPr>
            <w:r w:rsidRPr="002356D6">
              <w:rPr>
                <w:rFonts w:ascii="Arial" w:eastAsia="DengXian" w:hAnsi="Arial" w:cs="Arial"/>
                <w:color w:val="0070C0"/>
                <w:sz w:val="16"/>
                <w:szCs w:val="16"/>
                <w:lang w:val="en-US" w:eastAsia="zh-CN"/>
              </w:rPr>
              <w:t>IoT_NTN_enh-Core</w:t>
            </w:r>
          </w:p>
        </w:tc>
        <w:tc>
          <w:tcPr>
            <w:tcW w:w="303" w:type="pct"/>
            <w:tcBorders>
              <w:top w:val="nil"/>
              <w:left w:val="nil"/>
              <w:bottom w:val="single" w:sz="4" w:space="0" w:color="auto"/>
              <w:right w:val="single" w:sz="4" w:space="0" w:color="auto"/>
            </w:tcBorders>
            <w:shd w:val="clear" w:color="auto" w:fill="FFFFFF"/>
            <w:vAlign w:val="center"/>
            <w:hideMark/>
          </w:tcPr>
          <w:p w14:paraId="45C3BD77" w14:textId="77777777" w:rsidR="002356D6" w:rsidRPr="002356D6" w:rsidRDefault="002356D6" w:rsidP="002356D6">
            <w:pPr>
              <w:rPr>
                <w:rFonts w:ascii="Arial" w:eastAsia="DengXian" w:hAnsi="Arial" w:cs="Arial"/>
                <w:color w:val="0070C0"/>
                <w:sz w:val="16"/>
                <w:szCs w:val="16"/>
                <w:lang w:val="en-US" w:eastAsia="zh-CN"/>
              </w:rPr>
            </w:pPr>
            <w:r w:rsidRPr="002356D6">
              <w:rPr>
                <w:rFonts w:ascii="Arial" w:eastAsia="DengXian" w:hAnsi="Arial" w:cs="Arial"/>
                <w:color w:val="0070C0"/>
                <w:sz w:val="16"/>
                <w:szCs w:val="16"/>
                <w:lang w:val="en-US" w:eastAsia="zh-CN"/>
              </w:rPr>
              <w:t>UL transmission after original GNSS validity duration expires  for NB-IoT</w:t>
            </w:r>
          </w:p>
        </w:tc>
        <w:tc>
          <w:tcPr>
            <w:tcW w:w="321" w:type="pct"/>
            <w:tcBorders>
              <w:top w:val="nil"/>
              <w:left w:val="nil"/>
              <w:bottom w:val="single" w:sz="4" w:space="0" w:color="auto"/>
              <w:right w:val="single" w:sz="4" w:space="0" w:color="auto"/>
            </w:tcBorders>
            <w:shd w:val="clear" w:color="auto" w:fill="FFFFFF"/>
            <w:noWrap/>
            <w:vAlign w:val="center"/>
            <w:hideMark/>
          </w:tcPr>
          <w:p w14:paraId="0148554D" w14:textId="77777777" w:rsidR="002356D6" w:rsidRPr="002356D6" w:rsidRDefault="002356D6" w:rsidP="002356D6">
            <w:pPr>
              <w:rPr>
                <w:rFonts w:ascii="Arial" w:eastAsia="DengXian" w:hAnsi="Arial" w:cs="Arial"/>
                <w:color w:val="0070C0"/>
                <w:sz w:val="16"/>
                <w:szCs w:val="16"/>
                <w:lang w:val="en-US" w:eastAsia="zh-CN"/>
              </w:rPr>
            </w:pPr>
            <w:r w:rsidRPr="002356D6">
              <w:rPr>
                <w:rFonts w:ascii="Arial" w:eastAsia="DengXian" w:hAnsi="Arial" w:cs="Arial"/>
                <w:color w:val="0070C0"/>
                <w:sz w:val="16"/>
                <w:szCs w:val="16"/>
                <w:lang w:val="en-US" w:eastAsia="zh-CN"/>
              </w:rPr>
              <w:t>36.213</w:t>
            </w:r>
          </w:p>
        </w:tc>
        <w:tc>
          <w:tcPr>
            <w:tcW w:w="231" w:type="pct"/>
            <w:tcBorders>
              <w:top w:val="nil"/>
              <w:left w:val="nil"/>
              <w:bottom w:val="single" w:sz="4" w:space="0" w:color="auto"/>
              <w:right w:val="single" w:sz="4" w:space="0" w:color="auto"/>
            </w:tcBorders>
            <w:shd w:val="clear" w:color="auto" w:fill="FFFFFF"/>
            <w:noWrap/>
            <w:vAlign w:val="center"/>
            <w:hideMark/>
          </w:tcPr>
          <w:p w14:paraId="4EFD20FF" w14:textId="77777777" w:rsidR="002356D6" w:rsidRPr="002356D6" w:rsidRDefault="002356D6" w:rsidP="002356D6">
            <w:pPr>
              <w:rPr>
                <w:rFonts w:ascii="Arial" w:eastAsia="DengXian" w:hAnsi="Arial" w:cs="Arial"/>
                <w:color w:val="0070C0"/>
                <w:sz w:val="16"/>
                <w:szCs w:val="16"/>
                <w:lang w:val="en-US" w:eastAsia="zh-CN"/>
              </w:rPr>
            </w:pPr>
            <w:r w:rsidRPr="002356D6">
              <w:rPr>
                <w:rFonts w:ascii="Arial" w:eastAsia="DengXian" w:hAnsi="Arial" w:cs="Arial"/>
                <w:color w:val="0070C0"/>
                <w:sz w:val="16"/>
                <w:szCs w:val="16"/>
                <w:lang w:val="en-US" w:eastAsia="zh-CN"/>
              </w:rPr>
              <w:t xml:space="preserve">　</w:t>
            </w:r>
          </w:p>
        </w:tc>
        <w:tc>
          <w:tcPr>
            <w:tcW w:w="213" w:type="pct"/>
            <w:tcBorders>
              <w:top w:val="nil"/>
              <w:left w:val="nil"/>
              <w:bottom w:val="single" w:sz="4" w:space="0" w:color="auto"/>
              <w:right w:val="single" w:sz="4" w:space="0" w:color="auto"/>
            </w:tcBorders>
            <w:shd w:val="clear" w:color="auto" w:fill="FFFFFF"/>
            <w:noWrap/>
            <w:vAlign w:val="center"/>
            <w:hideMark/>
          </w:tcPr>
          <w:p w14:paraId="5FE7AF0D" w14:textId="77777777" w:rsidR="002356D6" w:rsidRPr="002356D6" w:rsidRDefault="002356D6" w:rsidP="002356D6">
            <w:pPr>
              <w:rPr>
                <w:rFonts w:ascii="Arial" w:eastAsia="DengXian" w:hAnsi="Arial" w:cs="Arial"/>
                <w:color w:val="0070C0"/>
                <w:sz w:val="16"/>
                <w:szCs w:val="16"/>
                <w:lang w:val="en-US" w:eastAsia="zh-CN"/>
              </w:rPr>
            </w:pPr>
            <w:r w:rsidRPr="002356D6">
              <w:rPr>
                <w:rFonts w:ascii="Arial" w:eastAsia="DengXian" w:hAnsi="Arial" w:cs="Arial"/>
                <w:color w:val="0070C0"/>
                <w:sz w:val="16"/>
                <w:szCs w:val="16"/>
                <w:lang w:val="en-US" w:eastAsia="zh-CN"/>
              </w:rPr>
              <w:t xml:space="preserve">　</w:t>
            </w:r>
          </w:p>
        </w:tc>
        <w:tc>
          <w:tcPr>
            <w:tcW w:w="207" w:type="pct"/>
            <w:tcBorders>
              <w:top w:val="nil"/>
              <w:left w:val="nil"/>
              <w:bottom w:val="single" w:sz="4" w:space="0" w:color="auto"/>
              <w:right w:val="single" w:sz="4" w:space="0" w:color="auto"/>
            </w:tcBorders>
            <w:shd w:val="clear" w:color="auto" w:fill="FFFFFF"/>
            <w:noWrap/>
            <w:vAlign w:val="center"/>
            <w:hideMark/>
          </w:tcPr>
          <w:p w14:paraId="563377EA" w14:textId="77777777" w:rsidR="002356D6" w:rsidRPr="002356D6" w:rsidRDefault="002356D6" w:rsidP="002356D6">
            <w:pPr>
              <w:rPr>
                <w:rFonts w:ascii="Arial" w:eastAsia="DengXian" w:hAnsi="Arial" w:cs="Arial"/>
                <w:color w:val="0070C0"/>
                <w:sz w:val="16"/>
                <w:szCs w:val="16"/>
                <w:lang w:val="en-US" w:eastAsia="zh-CN"/>
              </w:rPr>
            </w:pPr>
            <w:r w:rsidRPr="002356D6">
              <w:rPr>
                <w:rFonts w:ascii="Arial" w:eastAsia="DengXian" w:hAnsi="Arial" w:cs="Arial"/>
                <w:color w:val="0070C0"/>
                <w:sz w:val="16"/>
                <w:szCs w:val="16"/>
                <w:lang w:val="en-US" w:eastAsia="zh-CN"/>
              </w:rPr>
              <w:t xml:space="preserve">　</w:t>
            </w:r>
          </w:p>
        </w:tc>
        <w:tc>
          <w:tcPr>
            <w:tcW w:w="531" w:type="pct"/>
            <w:tcBorders>
              <w:top w:val="nil"/>
              <w:left w:val="nil"/>
              <w:bottom w:val="single" w:sz="4" w:space="0" w:color="auto"/>
              <w:right w:val="single" w:sz="4" w:space="0" w:color="auto"/>
            </w:tcBorders>
            <w:shd w:val="clear" w:color="auto" w:fill="FFFFFF"/>
            <w:vAlign w:val="center"/>
            <w:hideMark/>
          </w:tcPr>
          <w:p w14:paraId="0F8C1EF5" w14:textId="77777777" w:rsidR="002356D6" w:rsidRPr="002356D6" w:rsidRDefault="002356D6" w:rsidP="002356D6">
            <w:pPr>
              <w:rPr>
                <w:rFonts w:ascii="Arial" w:eastAsia="DengXian" w:hAnsi="Arial" w:cs="Arial"/>
                <w:color w:val="0070C0"/>
                <w:sz w:val="16"/>
                <w:szCs w:val="16"/>
                <w:lang w:val="en-US" w:eastAsia="zh-CN"/>
              </w:rPr>
            </w:pPr>
            <w:r w:rsidRPr="002356D6">
              <w:rPr>
                <w:rFonts w:ascii="Arial" w:eastAsia="DengXian" w:hAnsi="Arial" w:cs="Arial"/>
                <w:color w:val="0070C0"/>
                <w:sz w:val="16"/>
                <w:szCs w:val="16"/>
                <w:lang w:val="en-US" w:eastAsia="zh-CN"/>
              </w:rPr>
              <w:t>ULTransmissionExtension-NB</w:t>
            </w:r>
          </w:p>
        </w:tc>
        <w:tc>
          <w:tcPr>
            <w:tcW w:w="259" w:type="pct"/>
            <w:tcBorders>
              <w:top w:val="nil"/>
              <w:left w:val="nil"/>
              <w:bottom w:val="single" w:sz="4" w:space="0" w:color="auto"/>
              <w:right w:val="single" w:sz="4" w:space="0" w:color="auto"/>
            </w:tcBorders>
            <w:shd w:val="clear" w:color="auto" w:fill="FFFFFF"/>
            <w:noWrap/>
            <w:vAlign w:val="center"/>
            <w:hideMark/>
          </w:tcPr>
          <w:p w14:paraId="0D8C5368" w14:textId="77777777" w:rsidR="002356D6" w:rsidRPr="002356D6" w:rsidRDefault="002356D6" w:rsidP="002356D6">
            <w:pPr>
              <w:rPr>
                <w:rFonts w:ascii="Arial" w:eastAsia="DengXian" w:hAnsi="Arial" w:cs="Arial"/>
                <w:color w:val="0070C0"/>
                <w:sz w:val="16"/>
                <w:szCs w:val="16"/>
                <w:lang w:val="en-US" w:eastAsia="zh-CN"/>
              </w:rPr>
            </w:pPr>
            <w:r w:rsidRPr="002356D6">
              <w:rPr>
                <w:rFonts w:ascii="Arial" w:eastAsia="DengXian" w:hAnsi="Arial" w:cs="Arial"/>
                <w:color w:val="0070C0"/>
                <w:sz w:val="16"/>
                <w:szCs w:val="16"/>
                <w:lang w:val="en-US" w:eastAsia="zh-CN"/>
              </w:rPr>
              <w:t>New</w:t>
            </w:r>
          </w:p>
        </w:tc>
        <w:tc>
          <w:tcPr>
            <w:tcW w:w="531" w:type="pct"/>
            <w:tcBorders>
              <w:top w:val="nil"/>
              <w:left w:val="nil"/>
              <w:bottom w:val="single" w:sz="4" w:space="0" w:color="auto"/>
              <w:right w:val="single" w:sz="4" w:space="0" w:color="auto"/>
            </w:tcBorders>
            <w:shd w:val="clear" w:color="auto" w:fill="FFFFFF"/>
            <w:vAlign w:val="center"/>
            <w:hideMark/>
          </w:tcPr>
          <w:p w14:paraId="5B686B4F" w14:textId="77777777" w:rsidR="002356D6" w:rsidRPr="002356D6" w:rsidRDefault="002356D6" w:rsidP="002356D6">
            <w:pPr>
              <w:rPr>
                <w:rFonts w:ascii="Arial" w:eastAsia="DengXian" w:hAnsi="Arial" w:cs="Arial"/>
                <w:color w:val="0070C0"/>
                <w:sz w:val="16"/>
                <w:szCs w:val="16"/>
                <w:lang w:val="en-US" w:eastAsia="zh-CN"/>
              </w:rPr>
            </w:pPr>
            <w:r w:rsidRPr="002356D6">
              <w:rPr>
                <w:rFonts w:ascii="Arial" w:eastAsia="DengXian" w:hAnsi="Arial" w:cs="Arial"/>
                <w:color w:val="0070C0"/>
                <w:sz w:val="16"/>
                <w:szCs w:val="16"/>
                <w:lang w:val="en-US" w:eastAsia="zh-CN"/>
              </w:rPr>
              <w:t>ULTransmissionExtension-NB</w:t>
            </w:r>
          </w:p>
        </w:tc>
        <w:tc>
          <w:tcPr>
            <w:tcW w:w="373" w:type="pct"/>
            <w:tcBorders>
              <w:top w:val="nil"/>
              <w:left w:val="nil"/>
              <w:bottom w:val="single" w:sz="4" w:space="0" w:color="auto"/>
              <w:right w:val="single" w:sz="4" w:space="0" w:color="auto"/>
            </w:tcBorders>
            <w:shd w:val="clear" w:color="auto" w:fill="FFFFFF"/>
            <w:vAlign w:val="center"/>
            <w:hideMark/>
          </w:tcPr>
          <w:p w14:paraId="4FE9AE2F" w14:textId="77777777" w:rsidR="002356D6" w:rsidRPr="002356D6" w:rsidRDefault="002356D6" w:rsidP="002356D6">
            <w:pPr>
              <w:rPr>
                <w:rFonts w:ascii="Arial" w:eastAsia="DengXian" w:hAnsi="Arial" w:cs="Arial"/>
                <w:color w:val="0070C0"/>
                <w:sz w:val="16"/>
                <w:szCs w:val="16"/>
                <w:lang w:val="en-US" w:eastAsia="zh-CN"/>
              </w:rPr>
            </w:pPr>
            <w:r w:rsidRPr="002356D6">
              <w:rPr>
                <w:rFonts w:ascii="Arial" w:eastAsia="DengXian" w:hAnsi="Arial" w:cs="Arial"/>
                <w:color w:val="0070C0"/>
                <w:sz w:val="16"/>
                <w:szCs w:val="16"/>
                <w:lang w:val="en-US" w:eastAsia="zh-CN"/>
              </w:rPr>
              <w:t>“UL transmission after original GNSS validity duration expires with duration X” is enabled/disabled by network.</w:t>
            </w:r>
          </w:p>
        </w:tc>
        <w:tc>
          <w:tcPr>
            <w:tcW w:w="275" w:type="pct"/>
            <w:tcBorders>
              <w:top w:val="nil"/>
              <w:left w:val="nil"/>
              <w:bottom w:val="single" w:sz="4" w:space="0" w:color="auto"/>
              <w:right w:val="single" w:sz="4" w:space="0" w:color="auto"/>
            </w:tcBorders>
            <w:shd w:val="clear" w:color="auto" w:fill="FFFFFF"/>
            <w:vAlign w:val="center"/>
            <w:hideMark/>
          </w:tcPr>
          <w:p w14:paraId="52CC1DE9" w14:textId="77777777" w:rsidR="002356D6" w:rsidRPr="002356D6" w:rsidRDefault="002356D6" w:rsidP="002356D6">
            <w:pPr>
              <w:rPr>
                <w:rFonts w:ascii="Arial" w:eastAsia="DengXian" w:hAnsi="Arial" w:cs="Arial"/>
                <w:color w:val="0070C0"/>
                <w:sz w:val="16"/>
                <w:szCs w:val="16"/>
                <w:lang w:val="en-US" w:eastAsia="zh-CN"/>
              </w:rPr>
            </w:pPr>
            <w:r w:rsidRPr="002356D6">
              <w:rPr>
                <w:rFonts w:ascii="Arial" w:eastAsia="DengXian" w:hAnsi="Arial" w:cs="Arial"/>
                <w:color w:val="0070C0"/>
                <w:sz w:val="16"/>
                <w:szCs w:val="16"/>
                <w:lang w:val="en-US" w:eastAsia="zh-CN"/>
              </w:rPr>
              <w:t>BOOLEAN</w:t>
            </w:r>
          </w:p>
        </w:tc>
        <w:tc>
          <w:tcPr>
            <w:tcW w:w="223" w:type="pct"/>
            <w:tcBorders>
              <w:top w:val="nil"/>
              <w:left w:val="nil"/>
              <w:bottom w:val="single" w:sz="4" w:space="0" w:color="auto"/>
              <w:right w:val="single" w:sz="4" w:space="0" w:color="auto"/>
            </w:tcBorders>
            <w:shd w:val="clear" w:color="auto" w:fill="FFFFFF"/>
            <w:vAlign w:val="center"/>
            <w:hideMark/>
          </w:tcPr>
          <w:p w14:paraId="7BA44F81" w14:textId="77777777" w:rsidR="002356D6" w:rsidRPr="002356D6" w:rsidRDefault="002356D6" w:rsidP="002356D6">
            <w:pPr>
              <w:rPr>
                <w:rFonts w:ascii="Arial" w:eastAsia="DengXian" w:hAnsi="Arial" w:cs="Arial"/>
                <w:color w:val="0070C0"/>
                <w:sz w:val="16"/>
                <w:szCs w:val="16"/>
                <w:lang w:val="en-US" w:eastAsia="zh-CN"/>
              </w:rPr>
            </w:pPr>
            <w:r w:rsidRPr="002356D6">
              <w:rPr>
                <w:rFonts w:ascii="Arial" w:eastAsia="DengXian" w:hAnsi="Arial" w:cs="Arial"/>
                <w:color w:val="0070C0"/>
                <w:sz w:val="16"/>
                <w:szCs w:val="16"/>
                <w:lang w:val="en-US" w:eastAsia="zh-CN"/>
              </w:rPr>
              <w:t xml:space="preserve"> </w:t>
            </w:r>
          </w:p>
        </w:tc>
        <w:tc>
          <w:tcPr>
            <w:tcW w:w="241" w:type="pct"/>
            <w:tcBorders>
              <w:top w:val="nil"/>
              <w:left w:val="nil"/>
              <w:bottom w:val="single" w:sz="4" w:space="0" w:color="auto"/>
              <w:right w:val="single" w:sz="4" w:space="0" w:color="auto"/>
            </w:tcBorders>
            <w:shd w:val="clear" w:color="auto" w:fill="FFFFFF"/>
            <w:noWrap/>
            <w:vAlign w:val="center"/>
            <w:hideMark/>
          </w:tcPr>
          <w:p w14:paraId="698AFC3A" w14:textId="77777777" w:rsidR="002356D6" w:rsidRPr="002356D6" w:rsidRDefault="002356D6" w:rsidP="002356D6">
            <w:pPr>
              <w:rPr>
                <w:rFonts w:ascii="Arial" w:eastAsia="DengXian" w:hAnsi="Arial" w:cs="Arial"/>
                <w:color w:val="0070C0"/>
                <w:sz w:val="16"/>
                <w:szCs w:val="16"/>
                <w:lang w:val="en-US" w:eastAsia="zh-CN"/>
              </w:rPr>
            </w:pPr>
            <w:r w:rsidRPr="002356D6">
              <w:rPr>
                <w:rFonts w:ascii="Arial" w:eastAsia="DengXian" w:hAnsi="Arial" w:cs="Arial"/>
                <w:color w:val="0070C0"/>
                <w:sz w:val="16"/>
                <w:szCs w:val="16"/>
                <w:lang w:val="en-US" w:eastAsia="zh-CN"/>
              </w:rPr>
              <w:t>per UE</w:t>
            </w:r>
          </w:p>
        </w:tc>
        <w:tc>
          <w:tcPr>
            <w:tcW w:w="361" w:type="pct"/>
            <w:tcBorders>
              <w:top w:val="nil"/>
              <w:left w:val="nil"/>
              <w:bottom w:val="single" w:sz="4" w:space="0" w:color="auto"/>
              <w:right w:val="single" w:sz="4" w:space="0" w:color="auto"/>
            </w:tcBorders>
            <w:shd w:val="clear" w:color="auto" w:fill="FFFFFF"/>
            <w:vAlign w:val="center"/>
            <w:hideMark/>
          </w:tcPr>
          <w:p w14:paraId="13FB1A5C" w14:textId="77777777" w:rsidR="002356D6" w:rsidRPr="002356D6" w:rsidRDefault="002356D6" w:rsidP="002356D6">
            <w:pPr>
              <w:rPr>
                <w:rFonts w:ascii="Arial" w:eastAsia="DengXian" w:hAnsi="Arial" w:cs="Arial"/>
                <w:color w:val="0070C0"/>
                <w:sz w:val="16"/>
                <w:szCs w:val="16"/>
                <w:lang w:val="en-US" w:eastAsia="zh-CN"/>
              </w:rPr>
            </w:pPr>
            <w:r w:rsidRPr="002356D6">
              <w:rPr>
                <w:rFonts w:ascii="Arial" w:eastAsia="DengXian" w:hAnsi="Arial" w:cs="Arial"/>
                <w:color w:val="0070C0"/>
                <w:sz w:val="16"/>
                <w:szCs w:val="16"/>
                <w:lang w:val="en-US" w:eastAsia="zh-CN"/>
              </w:rPr>
              <w:t>No</w:t>
            </w:r>
          </w:p>
        </w:tc>
        <w:tc>
          <w:tcPr>
            <w:tcW w:w="325" w:type="pct"/>
            <w:tcBorders>
              <w:top w:val="nil"/>
              <w:left w:val="nil"/>
              <w:bottom w:val="single" w:sz="4" w:space="0" w:color="auto"/>
              <w:right w:val="single" w:sz="4" w:space="0" w:color="auto"/>
            </w:tcBorders>
            <w:shd w:val="clear" w:color="auto" w:fill="FFFFFF"/>
            <w:noWrap/>
            <w:vAlign w:val="center"/>
            <w:hideMark/>
          </w:tcPr>
          <w:p w14:paraId="232EF45F" w14:textId="77777777" w:rsidR="002356D6" w:rsidRPr="002356D6" w:rsidRDefault="002356D6" w:rsidP="002356D6">
            <w:pPr>
              <w:rPr>
                <w:rFonts w:ascii="Arial" w:eastAsia="DengXian" w:hAnsi="Arial" w:cs="Arial"/>
                <w:color w:val="0070C0"/>
                <w:sz w:val="16"/>
                <w:szCs w:val="16"/>
                <w:lang w:val="en-US" w:eastAsia="zh-CN"/>
              </w:rPr>
            </w:pPr>
            <w:r w:rsidRPr="002356D6">
              <w:rPr>
                <w:rFonts w:ascii="Arial" w:eastAsia="DengXian" w:hAnsi="Arial" w:cs="Arial"/>
                <w:color w:val="0070C0"/>
                <w:sz w:val="16"/>
                <w:szCs w:val="16"/>
                <w:lang w:val="en-US" w:eastAsia="zh-CN"/>
              </w:rPr>
              <w:t>36.331</w:t>
            </w:r>
          </w:p>
        </w:tc>
        <w:tc>
          <w:tcPr>
            <w:tcW w:w="267" w:type="pct"/>
            <w:tcBorders>
              <w:top w:val="nil"/>
              <w:left w:val="nil"/>
              <w:bottom w:val="single" w:sz="4" w:space="0" w:color="auto"/>
              <w:right w:val="single" w:sz="4" w:space="0" w:color="auto"/>
            </w:tcBorders>
            <w:shd w:val="clear" w:color="auto" w:fill="FFFFFF"/>
            <w:vAlign w:val="center"/>
            <w:hideMark/>
          </w:tcPr>
          <w:p w14:paraId="5B6195C9" w14:textId="77777777" w:rsidR="002356D6" w:rsidRPr="002356D6" w:rsidRDefault="002356D6" w:rsidP="002356D6">
            <w:pPr>
              <w:rPr>
                <w:rFonts w:ascii="Arial" w:eastAsia="DengXian" w:hAnsi="Arial" w:cs="Arial"/>
                <w:color w:val="FF0000"/>
                <w:sz w:val="16"/>
                <w:szCs w:val="16"/>
                <w:lang w:val="en-US" w:eastAsia="zh-CN"/>
              </w:rPr>
            </w:pPr>
            <w:r w:rsidRPr="002356D6">
              <w:rPr>
                <w:rFonts w:ascii="Arial" w:eastAsia="DengXian" w:hAnsi="Arial" w:cs="Arial"/>
                <w:color w:val="FF0000"/>
                <w:sz w:val="16"/>
                <w:szCs w:val="16"/>
                <w:lang w:val="en-US" w:eastAsia="zh-CN"/>
              </w:rPr>
              <w:t xml:space="preserve">　</w:t>
            </w:r>
          </w:p>
        </w:tc>
      </w:tr>
    </w:tbl>
    <w:p w14:paraId="511074E5" w14:textId="77777777" w:rsidR="002356D6" w:rsidRPr="002356D6" w:rsidRDefault="002356D6" w:rsidP="002356D6"/>
    <w:p w14:paraId="2590BFA9" w14:textId="77777777" w:rsidR="002356D6" w:rsidRPr="002356D6" w:rsidRDefault="002356D6" w:rsidP="002356D6"/>
    <w:p w14:paraId="3D158DB0" w14:textId="56A4FF55" w:rsidR="002356D6" w:rsidRPr="00A033C1" w:rsidRDefault="005A18DC" w:rsidP="002356D6">
      <w:pPr>
        <w:rPr>
          <w:b/>
          <w:bCs/>
        </w:rPr>
      </w:pPr>
      <w:hyperlink r:id="rId1816" w:history="1">
        <w:r w:rsidR="00AF7253">
          <w:rPr>
            <w:rStyle w:val="Hyperlink"/>
            <w:b/>
            <w:bCs/>
          </w:rPr>
          <w:t>R1-2312299</w:t>
        </w:r>
      </w:hyperlink>
      <w:r w:rsidR="002356D6" w:rsidRPr="00A033C1">
        <w:rPr>
          <w:b/>
          <w:bCs/>
        </w:rPr>
        <w:tab/>
        <w:t>Feature lead summary#2 of AI 8.13.4 on improved GNSS operations</w:t>
      </w:r>
      <w:r w:rsidR="002356D6" w:rsidRPr="00A033C1">
        <w:rPr>
          <w:b/>
          <w:bCs/>
        </w:rPr>
        <w:tab/>
        <w:t>Moderator (MediaTek)</w:t>
      </w:r>
    </w:p>
    <w:p w14:paraId="5F503D48" w14:textId="1702726B" w:rsidR="00A033C1" w:rsidRDefault="00A033C1" w:rsidP="00A033C1">
      <w:r>
        <w:t>From Thursday session</w:t>
      </w:r>
    </w:p>
    <w:p w14:paraId="5794343C" w14:textId="77777777" w:rsidR="00A033C1" w:rsidRDefault="00A033C1" w:rsidP="00A033C1">
      <w:r>
        <w:rPr>
          <w:highlight w:val="green"/>
        </w:rPr>
        <w:t>Agreement</w:t>
      </w:r>
    </w:p>
    <w:p w14:paraId="6BA4B39E" w14:textId="77777777" w:rsidR="00A033C1" w:rsidRDefault="00A033C1" w:rsidP="00A033C1">
      <w:pPr>
        <w:rPr>
          <w:rFonts w:eastAsia="Times New Roman"/>
          <w:lang w:eastAsia="zh-CN"/>
        </w:rPr>
      </w:pPr>
      <w:r>
        <w:rPr>
          <w:rStyle w:val="Emphasis"/>
          <w:i w:val="0"/>
        </w:rPr>
        <w:t xml:space="preserve">From RAN1 perspective, </w:t>
      </w:r>
      <w:r>
        <w:rPr>
          <w:rFonts w:eastAsia="Times New Roman"/>
          <w:lang w:eastAsia="zh-CN"/>
        </w:rPr>
        <w:t xml:space="preserve">the start time of duration X is at the point where original GNSS validity duration expires </w:t>
      </w:r>
    </w:p>
    <w:p w14:paraId="288B9BBA" w14:textId="77777777" w:rsidR="00A033C1" w:rsidRPr="00A033C1" w:rsidRDefault="00A033C1" w:rsidP="00A67145">
      <w:pPr>
        <w:pStyle w:val="ListParagraph"/>
        <w:numPr>
          <w:ilvl w:val="0"/>
          <w:numId w:val="213"/>
        </w:numPr>
        <w:rPr>
          <w:rFonts w:eastAsia="Times New Roman"/>
          <w:lang w:eastAsia="zh-CN"/>
        </w:rPr>
      </w:pPr>
      <w:r w:rsidRPr="00A033C1">
        <w:rPr>
          <w:rFonts w:eastAsia="Times New Roman"/>
          <w:lang w:eastAsia="zh-CN"/>
        </w:rPr>
        <w:t>when timeAlignmentTimer is infinity, the end of X is at the point where new timer ULTransmissionExtentionTimer expires and ULTransmissionExtentionTimer is reset with length equal to Y every time when a MAC CE (to be defined by RAN2) is received</w:t>
      </w:r>
    </w:p>
    <w:p w14:paraId="0EE1F4A2" w14:textId="77777777" w:rsidR="00A033C1" w:rsidRPr="00A033C1" w:rsidRDefault="00A033C1" w:rsidP="00A67145">
      <w:pPr>
        <w:pStyle w:val="ListParagraph"/>
        <w:numPr>
          <w:ilvl w:val="1"/>
          <w:numId w:val="213"/>
        </w:numPr>
        <w:rPr>
          <w:rStyle w:val="Emphasis"/>
          <w:i w:val="0"/>
          <w:iCs w:val="0"/>
        </w:rPr>
      </w:pPr>
      <w:r w:rsidRPr="00A033C1">
        <w:rPr>
          <w:rStyle w:val="Emphasis"/>
          <w:i w:val="0"/>
        </w:rPr>
        <w:t>Note 1: It is up to RAN2 to decide whether the MAC CE is the legacy TAC or a new TAC or a new MAC CE.</w:t>
      </w:r>
    </w:p>
    <w:p w14:paraId="0D7297F6" w14:textId="77777777" w:rsidR="00A033C1" w:rsidRPr="00A033C1" w:rsidRDefault="00A033C1" w:rsidP="00A67145">
      <w:pPr>
        <w:pStyle w:val="ListParagraph"/>
        <w:numPr>
          <w:ilvl w:val="0"/>
          <w:numId w:val="213"/>
        </w:numPr>
        <w:rPr>
          <w:rStyle w:val="Emphasis"/>
          <w:rFonts w:eastAsia="Batang"/>
          <w:i w:val="0"/>
          <w:iCs w:val="0"/>
          <w:lang w:eastAsia="en-US"/>
        </w:rPr>
      </w:pPr>
      <w:r w:rsidRPr="00A033C1">
        <w:rPr>
          <w:rStyle w:val="Emphasis"/>
          <w:i w:val="0"/>
        </w:rPr>
        <w:t>Note 2: It is up to RAN2 to implement the above behaviour based on new timer, existing timer, or by extending GNSS validity.</w:t>
      </w:r>
    </w:p>
    <w:p w14:paraId="003C792F" w14:textId="77777777" w:rsidR="00A033C1" w:rsidRPr="00A033C1" w:rsidRDefault="00A033C1" w:rsidP="00A67145">
      <w:pPr>
        <w:pStyle w:val="ListParagraph"/>
        <w:numPr>
          <w:ilvl w:val="0"/>
          <w:numId w:val="213"/>
        </w:numPr>
        <w:rPr>
          <w:rStyle w:val="Emphasis"/>
          <w:i w:val="0"/>
          <w:iCs w:val="0"/>
        </w:rPr>
      </w:pPr>
      <w:r w:rsidRPr="00A033C1">
        <w:rPr>
          <w:rStyle w:val="Emphasis"/>
          <w:i w:val="0"/>
          <w:iCs w:val="0"/>
        </w:rPr>
        <w:t>Send an LS to RAN2</w:t>
      </w:r>
    </w:p>
    <w:p w14:paraId="7C015201" w14:textId="77777777" w:rsidR="00A033C1" w:rsidRDefault="00A033C1" w:rsidP="00A033C1">
      <w:r w:rsidRPr="000E1EA4">
        <w:t>Comeback for draft LS to RAN2.</w:t>
      </w:r>
    </w:p>
    <w:p w14:paraId="59B3E94C" w14:textId="543BBBE9" w:rsidR="00A033C1" w:rsidRDefault="000E1EA4" w:rsidP="00A033C1">
      <w:r>
        <w:t xml:space="preserve">From </w:t>
      </w:r>
      <w:r w:rsidRPr="003E112D">
        <w:rPr>
          <w:b/>
          <w:bCs/>
        </w:rPr>
        <w:t>eom Friday</w:t>
      </w:r>
      <w:r>
        <w:t xml:space="preserve"> session</w:t>
      </w:r>
    </w:p>
    <w:p w14:paraId="359EF500" w14:textId="683CC25D" w:rsidR="000E1EA4" w:rsidRDefault="005A18DC" w:rsidP="000E1EA4">
      <w:pPr>
        <w:rPr>
          <w:b/>
          <w:bCs/>
          <w:lang w:eastAsia="x-none"/>
        </w:rPr>
      </w:pPr>
      <w:hyperlink r:id="rId1817" w:history="1">
        <w:r w:rsidR="00AF7253">
          <w:rPr>
            <w:rStyle w:val="Hyperlink"/>
            <w:b/>
            <w:bCs/>
            <w:lang w:eastAsia="x-none"/>
          </w:rPr>
          <w:t>R1-2312656</w:t>
        </w:r>
      </w:hyperlink>
      <w:r w:rsidR="000E1EA4" w:rsidRPr="000E1EA4">
        <w:rPr>
          <w:b/>
          <w:bCs/>
          <w:lang w:eastAsia="x-none"/>
        </w:rPr>
        <w:tab/>
        <w:t>Draft LS on improved GNSS operations in Rel-18 IoT NTN</w:t>
      </w:r>
      <w:r w:rsidR="000E1EA4" w:rsidRPr="000E1EA4">
        <w:rPr>
          <w:b/>
          <w:bCs/>
          <w:lang w:eastAsia="x-none"/>
        </w:rPr>
        <w:tab/>
        <w:t>Moderator (MediaTek Inc.)</w:t>
      </w:r>
    </w:p>
    <w:p w14:paraId="5B823C4D" w14:textId="2F376F7B" w:rsidR="003E112D" w:rsidRPr="003E112D" w:rsidRDefault="003E112D" w:rsidP="003E112D">
      <w:pPr>
        <w:rPr>
          <w:highlight w:val="green"/>
        </w:rPr>
      </w:pPr>
      <w:r>
        <w:rPr>
          <w:b/>
          <w:bCs/>
          <w:lang w:eastAsia="x-none"/>
        </w:rPr>
        <w:t xml:space="preserve">Decision: </w:t>
      </w:r>
      <w:r w:rsidRPr="003E112D">
        <w:rPr>
          <w:lang w:eastAsia="x-none"/>
        </w:rPr>
        <w:t xml:space="preserve">The draft LS is endorsed, assuming the following correction  - replace “conclusion” by “agreement” in the Actions to RAN2. Final LS is </w:t>
      </w:r>
      <w:r w:rsidRPr="003E112D">
        <w:rPr>
          <w:highlight w:val="green"/>
          <w:lang w:eastAsia="x-none"/>
        </w:rPr>
        <w:t xml:space="preserve">approved in </w:t>
      </w:r>
      <w:hyperlink r:id="rId1818" w:history="1">
        <w:r w:rsidR="00AF7253">
          <w:rPr>
            <w:rStyle w:val="Hyperlink"/>
            <w:highlight w:val="green"/>
            <w:lang w:eastAsia="x-none"/>
          </w:rPr>
          <w:t>R1-2312696</w:t>
        </w:r>
      </w:hyperlink>
      <w:r w:rsidRPr="003E112D">
        <w:rPr>
          <w:highlight w:val="green"/>
        </w:rPr>
        <w:t>.</w:t>
      </w:r>
    </w:p>
    <w:p w14:paraId="56E7A6CA" w14:textId="77777777" w:rsidR="000E1EA4" w:rsidRPr="003E112D" w:rsidRDefault="000E1EA4" w:rsidP="00A033C1"/>
    <w:p w14:paraId="6609E90A" w14:textId="77777777" w:rsidR="00A033C1" w:rsidRDefault="00A033C1" w:rsidP="00A033C1"/>
    <w:p w14:paraId="7FAC7C0D" w14:textId="77777777" w:rsidR="00A033C1" w:rsidRDefault="00A033C1" w:rsidP="00A033C1">
      <w:r>
        <w:rPr>
          <w:highlight w:val="green"/>
        </w:rPr>
        <w:t>Agreement</w:t>
      </w:r>
    </w:p>
    <w:p w14:paraId="17200D3D" w14:textId="64453799" w:rsidR="00A033C1" w:rsidRDefault="00A033C1" w:rsidP="00A033C1">
      <w:pPr>
        <w:rPr>
          <w:bCs/>
        </w:rPr>
      </w:pPr>
      <w:r>
        <w:rPr>
          <w:bCs/>
        </w:rPr>
        <w:lastRenderedPageBreak/>
        <w:t xml:space="preserve">TP#2 in section 4.2.5 of </w:t>
      </w:r>
      <w:hyperlink r:id="rId1819" w:history="1">
        <w:r w:rsidR="00AF7253">
          <w:rPr>
            <w:rStyle w:val="Hyperlink"/>
            <w:bCs/>
          </w:rPr>
          <w:t>R1-2312299</w:t>
        </w:r>
      </w:hyperlink>
      <w:r>
        <w:rPr>
          <w:bCs/>
        </w:rPr>
        <w:t xml:space="preserve"> is endorsed for TS36.213 Clause 16.10 and Clause 18.</w:t>
      </w:r>
    </w:p>
    <w:p w14:paraId="43A8A338" w14:textId="77777777" w:rsidR="00A033C1" w:rsidRDefault="00A033C1" w:rsidP="00A033C1"/>
    <w:p w14:paraId="378A6ED1" w14:textId="77777777" w:rsidR="00A033C1" w:rsidRDefault="00A033C1" w:rsidP="00A033C1">
      <w:r>
        <w:rPr>
          <w:highlight w:val="green"/>
        </w:rPr>
        <w:t>Agreement</w:t>
      </w:r>
    </w:p>
    <w:p w14:paraId="54CA08BD" w14:textId="77777777" w:rsidR="00A033C1" w:rsidRDefault="00A033C1" w:rsidP="00A033C1">
      <w:pPr>
        <w:rPr>
          <w:bCs/>
        </w:rPr>
      </w:pPr>
      <w:r>
        <w:rPr>
          <w:bCs/>
        </w:rPr>
        <w:t>Add new higher layer parameter ul-TransmissionExtensionValue for eMTC and NB-IoT for R18 IoT NTN as follows:</w:t>
      </w:r>
    </w:p>
    <w:tbl>
      <w:tblPr>
        <w:tblW w:w="5000" w:type="pct"/>
        <w:tblLook w:val="04A0" w:firstRow="1" w:lastRow="0" w:firstColumn="1" w:lastColumn="0" w:noHBand="0" w:noVBand="1"/>
      </w:tblPr>
      <w:tblGrid>
        <w:gridCol w:w="728"/>
        <w:gridCol w:w="651"/>
        <w:gridCol w:w="689"/>
        <w:gridCol w:w="496"/>
        <w:gridCol w:w="457"/>
        <w:gridCol w:w="444"/>
        <w:gridCol w:w="1240"/>
        <w:gridCol w:w="556"/>
        <w:gridCol w:w="1215"/>
        <w:gridCol w:w="651"/>
        <w:gridCol w:w="513"/>
        <w:gridCol w:w="479"/>
        <w:gridCol w:w="517"/>
        <w:gridCol w:w="776"/>
        <w:gridCol w:w="698"/>
        <w:gridCol w:w="573"/>
      </w:tblGrid>
      <w:tr w:rsidR="00A033C1" w14:paraId="78C41B24" w14:textId="77777777" w:rsidTr="00A033C1">
        <w:trPr>
          <w:trHeight w:val="780"/>
        </w:trPr>
        <w:tc>
          <w:tcPr>
            <w:tcW w:w="219" w:type="pct"/>
            <w:tcBorders>
              <w:top w:val="single" w:sz="4" w:space="0" w:color="auto"/>
              <w:left w:val="single" w:sz="4" w:space="0" w:color="auto"/>
              <w:bottom w:val="single" w:sz="4" w:space="0" w:color="auto"/>
              <w:right w:val="single" w:sz="4" w:space="0" w:color="auto"/>
            </w:tcBorders>
            <w:shd w:val="clear" w:color="auto" w:fill="00B0F0"/>
            <w:vAlign w:val="center"/>
            <w:hideMark/>
          </w:tcPr>
          <w:p w14:paraId="65BE1911" w14:textId="77777777" w:rsidR="00A033C1" w:rsidRPr="00A033C1" w:rsidRDefault="00A033C1">
            <w:pPr>
              <w:rPr>
                <w:rFonts w:ascii="Arial" w:eastAsia="DengXian" w:hAnsi="Arial" w:cs="Arial"/>
                <w:b/>
                <w:bCs/>
                <w:color w:val="FFFFFF"/>
                <w:sz w:val="14"/>
                <w:szCs w:val="14"/>
                <w:lang w:val="en-US" w:eastAsia="zh-CN"/>
              </w:rPr>
            </w:pPr>
            <w:r w:rsidRPr="00A033C1">
              <w:rPr>
                <w:rFonts w:ascii="Arial" w:eastAsia="DengXian" w:hAnsi="Arial" w:cs="Arial"/>
                <w:b/>
                <w:bCs/>
                <w:color w:val="FFFFFF"/>
                <w:sz w:val="14"/>
                <w:szCs w:val="14"/>
                <w:lang w:val="en-US" w:eastAsia="zh-CN"/>
              </w:rPr>
              <w:t>WI code</w:t>
            </w:r>
          </w:p>
        </w:tc>
        <w:tc>
          <w:tcPr>
            <w:tcW w:w="403" w:type="pct"/>
            <w:tcBorders>
              <w:top w:val="single" w:sz="4" w:space="0" w:color="auto"/>
              <w:left w:val="nil"/>
              <w:bottom w:val="single" w:sz="4" w:space="0" w:color="auto"/>
              <w:right w:val="single" w:sz="4" w:space="0" w:color="auto"/>
            </w:tcBorders>
            <w:shd w:val="clear" w:color="auto" w:fill="00B0F0"/>
            <w:vAlign w:val="center"/>
            <w:hideMark/>
          </w:tcPr>
          <w:p w14:paraId="48D49C48" w14:textId="77777777" w:rsidR="00A033C1" w:rsidRPr="00A033C1" w:rsidRDefault="00A033C1">
            <w:pPr>
              <w:rPr>
                <w:rFonts w:ascii="Arial" w:eastAsia="DengXian" w:hAnsi="Arial" w:cs="Arial"/>
                <w:b/>
                <w:bCs/>
                <w:color w:val="FFFFFF"/>
                <w:sz w:val="14"/>
                <w:szCs w:val="14"/>
                <w:lang w:val="en-US" w:eastAsia="zh-CN"/>
              </w:rPr>
            </w:pPr>
            <w:r w:rsidRPr="00A033C1">
              <w:rPr>
                <w:rFonts w:ascii="Arial" w:eastAsia="DengXian" w:hAnsi="Arial" w:cs="Arial"/>
                <w:b/>
                <w:bCs/>
                <w:color w:val="FFFFFF"/>
                <w:sz w:val="14"/>
                <w:szCs w:val="14"/>
                <w:lang w:val="en-US" w:eastAsia="zh-CN"/>
              </w:rPr>
              <w:t>Sub-feature group</w:t>
            </w:r>
          </w:p>
        </w:tc>
        <w:tc>
          <w:tcPr>
            <w:tcW w:w="185" w:type="pct"/>
            <w:tcBorders>
              <w:top w:val="single" w:sz="4" w:space="0" w:color="auto"/>
              <w:left w:val="nil"/>
              <w:bottom w:val="single" w:sz="4" w:space="0" w:color="auto"/>
              <w:right w:val="single" w:sz="4" w:space="0" w:color="auto"/>
            </w:tcBorders>
            <w:shd w:val="clear" w:color="auto" w:fill="00B0F0"/>
            <w:vAlign w:val="center"/>
            <w:hideMark/>
          </w:tcPr>
          <w:p w14:paraId="1F7C60B5" w14:textId="77777777" w:rsidR="00A033C1" w:rsidRPr="00A033C1" w:rsidRDefault="00A033C1">
            <w:pPr>
              <w:rPr>
                <w:rFonts w:ascii="Arial" w:eastAsia="DengXian" w:hAnsi="Arial" w:cs="Arial"/>
                <w:b/>
                <w:bCs/>
                <w:color w:val="FFFFFF"/>
                <w:sz w:val="14"/>
                <w:szCs w:val="14"/>
                <w:lang w:val="en-US" w:eastAsia="zh-CN"/>
              </w:rPr>
            </w:pPr>
            <w:r w:rsidRPr="00A033C1">
              <w:rPr>
                <w:rFonts w:ascii="Arial" w:eastAsia="DengXian" w:hAnsi="Arial" w:cs="Arial"/>
                <w:b/>
                <w:bCs/>
                <w:color w:val="FFFFFF"/>
                <w:sz w:val="14"/>
                <w:szCs w:val="14"/>
                <w:lang w:val="en-US" w:eastAsia="zh-CN"/>
              </w:rPr>
              <w:t>RAN1 specification</w:t>
            </w:r>
          </w:p>
        </w:tc>
        <w:tc>
          <w:tcPr>
            <w:tcW w:w="221" w:type="pct"/>
            <w:tcBorders>
              <w:top w:val="single" w:sz="4" w:space="0" w:color="auto"/>
              <w:left w:val="nil"/>
              <w:bottom w:val="single" w:sz="4" w:space="0" w:color="auto"/>
              <w:right w:val="single" w:sz="4" w:space="0" w:color="auto"/>
            </w:tcBorders>
            <w:shd w:val="clear" w:color="auto" w:fill="00B0F0"/>
            <w:vAlign w:val="center"/>
            <w:hideMark/>
          </w:tcPr>
          <w:p w14:paraId="0196BE79" w14:textId="77777777" w:rsidR="00A033C1" w:rsidRPr="00A033C1" w:rsidRDefault="00A033C1">
            <w:pPr>
              <w:rPr>
                <w:rFonts w:ascii="Arial" w:eastAsia="DengXian" w:hAnsi="Arial" w:cs="Arial"/>
                <w:b/>
                <w:bCs/>
                <w:color w:val="FFFFFF"/>
                <w:sz w:val="14"/>
                <w:szCs w:val="14"/>
                <w:lang w:val="en-US" w:eastAsia="zh-CN"/>
              </w:rPr>
            </w:pPr>
            <w:r w:rsidRPr="00A033C1">
              <w:rPr>
                <w:rFonts w:ascii="Arial" w:eastAsia="DengXian" w:hAnsi="Arial" w:cs="Arial"/>
                <w:b/>
                <w:bCs/>
                <w:color w:val="FFFFFF"/>
                <w:sz w:val="14"/>
                <w:szCs w:val="14"/>
                <w:lang w:val="en-US" w:eastAsia="zh-CN"/>
              </w:rPr>
              <w:t>Section</w:t>
            </w:r>
          </w:p>
        </w:tc>
        <w:tc>
          <w:tcPr>
            <w:tcW w:w="221" w:type="pct"/>
            <w:tcBorders>
              <w:top w:val="single" w:sz="4" w:space="0" w:color="auto"/>
              <w:left w:val="nil"/>
              <w:bottom w:val="single" w:sz="4" w:space="0" w:color="auto"/>
              <w:right w:val="single" w:sz="4" w:space="0" w:color="auto"/>
            </w:tcBorders>
            <w:shd w:val="clear" w:color="auto" w:fill="00B0F0"/>
            <w:vAlign w:val="center"/>
            <w:hideMark/>
          </w:tcPr>
          <w:p w14:paraId="0F15DCB6" w14:textId="77777777" w:rsidR="00A033C1" w:rsidRPr="00A033C1" w:rsidRDefault="00A033C1">
            <w:pPr>
              <w:rPr>
                <w:rFonts w:ascii="Arial" w:eastAsia="DengXian" w:hAnsi="Arial" w:cs="Arial"/>
                <w:b/>
                <w:bCs/>
                <w:color w:val="FFFFFF"/>
                <w:sz w:val="14"/>
                <w:szCs w:val="14"/>
                <w:lang w:val="en-US" w:eastAsia="zh-CN"/>
              </w:rPr>
            </w:pPr>
            <w:r w:rsidRPr="00A033C1">
              <w:rPr>
                <w:rFonts w:ascii="Arial" w:eastAsia="DengXian" w:hAnsi="Arial" w:cs="Arial"/>
                <w:b/>
                <w:bCs/>
                <w:color w:val="FFFFFF"/>
                <w:sz w:val="14"/>
                <w:szCs w:val="14"/>
                <w:lang w:val="en-US" w:eastAsia="zh-CN"/>
              </w:rPr>
              <w:t>RAN2 Parent IE</w:t>
            </w:r>
          </w:p>
        </w:tc>
        <w:tc>
          <w:tcPr>
            <w:tcW w:w="221" w:type="pct"/>
            <w:tcBorders>
              <w:top w:val="single" w:sz="4" w:space="0" w:color="auto"/>
              <w:left w:val="nil"/>
              <w:bottom w:val="single" w:sz="4" w:space="0" w:color="auto"/>
              <w:right w:val="single" w:sz="4" w:space="0" w:color="auto"/>
            </w:tcBorders>
            <w:shd w:val="clear" w:color="auto" w:fill="00B0F0"/>
            <w:vAlign w:val="center"/>
            <w:hideMark/>
          </w:tcPr>
          <w:p w14:paraId="54C0E0CC" w14:textId="77777777" w:rsidR="00A033C1" w:rsidRPr="00A033C1" w:rsidRDefault="00A033C1">
            <w:pPr>
              <w:rPr>
                <w:rFonts w:ascii="Arial" w:eastAsia="DengXian" w:hAnsi="Arial" w:cs="Arial"/>
                <w:b/>
                <w:bCs/>
                <w:color w:val="FFFFFF"/>
                <w:sz w:val="14"/>
                <w:szCs w:val="14"/>
                <w:lang w:val="en-US" w:eastAsia="zh-CN"/>
              </w:rPr>
            </w:pPr>
            <w:r w:rsidRPr="00A033C1">
              <w:rPr>
                <w:rFonts w:ascii="Arial" w:eastAsia="DengXian" w:hAnsi="Arial" w:cs="Arial"/>
                <w:b/>
                <w:bCs/>
                <w:color w:val="FFFFFF"/>
                <w:sz w:val="14"/>
                <w:szCs w:val="14"/>
                <w:lang w:val="en-US" w:eastAsia="zh-CN"/>
              </w:rPr>
              <w:t>RAN2 ASN.1 name</w:t>
            </w:r>
          </w:p>
        </w:tc>
        <w:tc>
          <w:tcPr>
            <w:tcW w:w="294" w:type="pct"/>
            <w:tcBorders>
              <w:top w:val="single" w:sz="4" w:space="0" w:color="auto"/>
              <w:left w:val="nil"/>
              <w:bottom w:val="single" w:sz="4" w:space="0" w:color="auto"/>
              <w:right w:val="single" w:sz="4" w:space="0" w:color="auto"/>
            </w:tcBorders>
            <w:shd w:val="clear" w:color="auto" w:fill="00B0F0"/>
            <w:vAlign w:val="center"/>
            <w:hideMark/>
          </w:tcPr>
          <w:p w14:paraId="067CDDAC" w14:textId="77777777" w:rsidR="00A033C1" w:rsidRPr="00A033C1" w:rsidRDefault="00A033C1">
            <w:pPr>
              <w:rPr>
                <w:rFonts w:ascii="Arial" w:eastAsia="DengXian" w:hAnsi="Arial" w:cs="Arial"/>
                <w:b/>
                <w:bCs/>
                <w:color w:val="FFFFFF"/>
                <w:sz w:val="14"/>
                <w:szCs w:val="14"/>
                <w:lang w:val="en-US" w:eastAsia="zh-CN"/>
              </w:rPr>
            </w:pPr>
            <w:r w:rsidRPr="00A033C1">
              <w:rPr>
                <w:rFonts w:ascii="Arial" w:eastAsia="DengXian" w:hAnsi="Arial" w:cs="Arial"/>
                <w:b/>
                <w:bCs/>
                <w:color w:val="FFFFFF"/>
                <w:sz w:val="14"/>
                <w:szCs w:val="14"/>
                <w:lang w:val="en-US" w:eastAsia="zh-CN"/>
              </w:rPr>
              <w:t>Parameter name in the spec</w:t>
            </w:r>
          </w:p>
        </w:tc>
        <w:tc>
          <w:tcPr>
            <w:tcW w:w="147" w:type="pct"/>
            <w:tcBorders>
              <w:top w:val="single" w:sz="4" w:space="0" w:color="auto"/>
              <w:left w:val="nil"/>
              <w:bottom w:val="single" w:sz="4" w:space="0" w:color="auto"/>
              <w:right w:val="single" w:sz="4" w:space="0" w:color="auto"/>
            </w:tcBorders>
            <w:shd w:val="clear" w:color="auto" w:fill="00B0F0"/>
            <w:vAlign w:val="center"/>
            <w:hideMark/>
          </w:tcPr>
          <w:p w14:paraId="7F50CC53" w14:textId="77777777" w:rsidR="00A033C1" w:rsidRPr="00A033C1" w:rsidRDefault="00A033C1">
            <w:pPr>
              <w:rPr>
                <w:rFonts w:ascii="Arial" w:eastAsia="DengXian" w:hAnsi="Arial" w:cs="Arial"/>
                <w:b/>
                <w:bCs/>
                <w:color w:val="FFFFFF"/>
                <w:sz w:val="14"/>
                <w:szCs w:val="14"/>
                <w:lang w:val="en-US" w:eastAsia="zh-CN"/>
              </w:rPr>
            </w:pPr>
            <w:r w:rsidRPr="00A033C1">
              <w:rPr>
                <w:rFonts w:ascii="Arial" w:eastAsia="DengXian" w:hAnsi="Arial" w:cs="Arial"/>
                <w:b/>
                <w:bCs/>
                <w:color w:val="FFFFFF"/>
                <w:sz w:val="14"/>
                <w:szCs w:val="14"/>
                <w:lang w:val="en-US" w:eastAsia="zh-CN"/>
              </w:rPr>
              <w:t>New or existing?</w:t>
            </w:r>
          </w:p>
        </w:tc>
        <w:tc>
          <w:tcPr>
            <w:tcW w:w="515" w:type="pct"/>
            <w:tcBorders>
              <w:top w:val="single" w:sz="4" w:space="0" w:color="auto"/>
              <w:left w:val="nil"/>
              <w:bottom w:val="single" w:sz="4" w:space="0" w:color="auto"/>
              <w:right w:val="single" w:sz="4" w:space="0" w:color="auto"/>
            </w:tcBorders>
            <w:shd w:val="clear" w:color="auto" w:fill="00B0F0"/>
            <w:vAlign w:val="center"/>
            <w:hideMark/>
          </w:tcPr>
          <w:p w14:paraId="59BB78DF" w14:textId="77777777" w:rsidR="00A033C1" w:rsidRPr="00A033C1" w:rsidRDefault="00A033C1">
            <w:pPr>
              <w:rPr>
                <w:rFonts w:ascii="Arial" w:eastAsia="DengXian" w:hAnsi="Arial" w:cs="Arial"/>
                <w:b/>
                <w:bCs/>
                <w:color w:val="FFFFFF"/>
                <w:sz w:val="14"/>
                <w:szCs w:val="14"/>
                <w:lang w:val="en-US" w:eastAsia="zh-CN"/>
              </w:rPr>
            </w:pPr>
            <w:r w:rsidRPr="00A033C1">
              <w:rPr>
                <w:rFonts w:ascii="Arial" w:eastAsia="DengXian" w:hAnsi="Arial" w:cs="Arial"/>
                <w:b/>
                <w:bCs/>
                <w:color w:val="FFFFFF"/>
                <w:sz w:val="14"/>
                <w:szCs w:val="14"/>
                <w:lang w:val="en-US" w:eastAsia="zh-CN"/>
              </w:rPr>
              <w:t>Parameter name in the text</w:t>
            </w:r>
          </w:p>
        </w:tc>
        <w:tc>
          <w:tcPr>
            <w:tcW w:w="957" w:type="pct"/>
            <w:tcBorders>
              <w:top w:val="single" w:sz="4" w:space="0" w:color="auto"/>
              <w:left w:val="nil"/>
              <w:bottom w:val="single" w:sz="4" w:space="0" w:color="auto"/>
              <w:right w:val="single" w:sz="4" w:space="0" w:color="auto"/>
            </w:tcBorders>
            <w:shd w:val="clear" w:color="auto" w:fill="00B0F0"/>
            <w:vAlign w:val="center"/>
            <w:hideMark/>
          </w:tcPr>
          <w:p w14:paraId="0818F26F" w14:textId="77777777" w:rsidR="00A033C1" w:rsidRPr="00A033C1" w:rsidRDefault="00A033C1">
            <w:pPr>
              <w:rPr>
                <w:rFonts w:ascii="Arial" w:eastAsia="DengXian" w:hAnsi="Arial" w:cs="Arial"/>
                <w:b/>
                <w:bCs/>
                <w:color w:val="FFFFFF"/>
                <w:sz w:val="14"/>
                <w:szCs w:val="14"/>
                <w:lang w:val="en-US" w:eastAsia="zh-CN"/>
              </w:rPr>
            </w:pPr>
            <w:r w:rsidRPr="00A033C1">
              <w:rPr>
                <w:rFonts w:ascii="Arial" w:eastAsia="DengXian" w:hAnsi="Arial" w:cs="Arial"/>
                <w:b/>
                <w:bCs/>
                <w:color w:val="FFFFFF"/>
                <w:sz w:val="14"/>
                <w:szCs w:val="14"/>
                <w:lang w:val="en-US" w:eastAsia="zh-CN"/>
              </w:rPr>
              <w:t>Description</w:t>
            </w:r>
          </w:p>
        </w:tc>
        <w:tc>
          <w:tcPr>
            <w:tcW w:w="441" w:type="pct"/>
            <w:tcBorders>
              <w:top w:val="single" w:sz="4" w:space="0" w:color="auto"/>
              <w:left w:val="nil"/>
              <w:bottom w:val="single" w:sz="4" w:space="0" w:color="auto"/>
              <w:right w:val="single" w:sz="4" w:space="0" w:color="auto"/>
            </w:tcBorders>
            <w:shd w:val="clear" w:color="auto" w:fill="00B0F0"/>
            <w:vAlign w:val="center"/>
            <w:hideMark/>
          </w:tcPr>
          <w:p w14:paraId="4019439F" w14:textId="77777777" w:rsidR="00A033C1" w:rsidRPr="00A033C1" w:rsidRDefault="00A033C1">
            <w:pPr>
              <w:rPr>
                <w:rFonts w:ascii="Arial" w:eastAsia="DengXian" w:hAnsi="Arial" w:cs="Arial"/>
                <w:b/>
                <w:bCs/>
                <w:color w:val="FFFFFF"/>
                <w:sz w:val="14"/>
                <w:szCs w:val="14"/>
                <w:lang w:val="en-US" w:eastAsia="zh-CN"/>
              </w:rPr>
            </w:pPr>
            <w:r w:rsidRPr="00A033C1">
              <w:rPr>
                <w:rFonts w:ascii="Arial" w:eastAsia="DengXian" w:hAnsi="Arial" w:cs="Arial"/>
                <w:b/>
                <w:bCs/>
                <w:color w:val="FFFFFF"/>
                <w:sz w:val="14"/>
                <w:szCs w:val="14"/>
                <w:lang w:val="en-US" w:eastAsia="zh-CN"/>
              </w:rPr>
              <w:t>Value range</w:t>
            </w:r>
          </w:p>
        </w:tc>
        <w:tc>
          <w:tcPr>
            <w:tcW w:w="221" w:type="pct"/>
            <w:tcBorders>
              <w:top w:val="single" w:sz="4" w:space="0" w:color="auto"/>
              <w:left w:val="nil"/>
              <w:bottom w:val="single" w:sz="4" w:space="0" w:color="auto"/>
              <w:right w:val="single" w:sz="4" w:space="0" w:color="auto"/>
            </w:tcBorders>
            <w:shd w:val="clear" w:color="auto" w:fill="00B0F0"/>
            <w:vAlign w:val="center"/>
            <w:hideMark/>
          </w:tcPr>
          <w:p w14:paraId="2444068D" w14:textId="77777777" w:rsidR="00A033C1" w:rsidRPr="00A033C1" w:rsidRDefault="00A033C1">
            <w:pPr>
              <w:rPr>
                <w:rFonts w:ascii="Arial" w:eastAsia="DengXian" w:hAnsi="Arial" w:cs="Arial"/>
                <w:b/>
                <w:bCs/>
                <w:color w:val="FFFFFF"/>
                <w:sz w:val="14"/>
                <w:szCs w:val="14"/>
                <w:lang w:val="en-US" w:eastAsia="zh-CN"/>
              </w:rPr>
            </w:pPr>
            <w:r w:rsidRPr="00A033C1">
              <w:rPr>
                <w:rFonts w:ascii="Arial" w:eastAsia="DengXian" w:hAnsi="Arial" w:cs="Arial"/>
                <w:b/>
                <w:bCs/>
                <w:color w:val="FFFFFF"/>
                <w:sz w:val="14"/>
                <w:szCs w:val="14"/>
                <w:lang w:val="en-US" w:eastAsia="zh-CN"/>
              </w:rPr>
              <w:t>Default value aspect</w:t>
            </w:r>
          </w:p>
        </w:tc>
        <w:tc>
          <w:tcPr>
            <w:tcW w:w="221" w:type="pct"/>
            <w:tcBorders>
              <w:top w:val="single" w:sz="4" w:space="0" w:color="auto"/>
              <w:left w:val="nil"/>
              <w:bottom w:val="single" w:sz="4" w:space="0" w:color="auto"/>
              <w:right w:val="single" w:sz="4" w:space="0" w:color="auto"/>
            </w:tcBorders>
            <w:shd w:val="clear" w:color="auto" w:fill="00B0F0"/>
            <w:vAlign w:val="center"/>
            <w:hideMark/>
          </w:tcPr>
          <w:p w14:paraId="60BC1641" w14:textId="77777777" w:rsidR="00A033C1" w:rsidRPr="00A033C1" w:rsidRDefault="00A033C1">
            <w:pPr>
              <w:rPr>
                <w:rFonts w:ascii="Arial" w:eastAsia="DengXian" w:hAnsi="Arial" w:cs="Arial"/>
                <w:b/>
                <w:bCs/>
                <w:color w:val="FFFFFF"/>
                <w:sz w:val="14"/>
                <w:szCs w:val="14"/>
                <w:lang w:val="en-US" w:eastAsia="zh-CN"/>
              </w:rPr>
            </w:pPr>
            <w:r w:rsidRPr="00A033C1">
              <w:rPr>
                <w:rFonts w:ascii="Arial" w:eastAsia="DengXian" w:hAnsi="Arial" w:cs="Arial"/>
                <w:b/>
                <w:bCs/>
                <w:color w:val="FFFFFF"/>
                <w:sz w:val="14"/>
                <w:szCs w:val="14"/>
                <w:lang w:val="en-US" w:eastAsia="zh-CN"/>
              </w:rPr>
              <w:t>Per (UE, cell, TRP, …)</w:t>
            </w:r>
          </w:p>
        </w:tc>
        <w:tc>
          <w:tcPr>
            <w:tcW w:w="294" w:type="pct"/>
            <w:tcBorders>
              <w:top w:val="single" w:sz="4" w:space="0" w:color="auto"/>
              <w:left w:val="nil"/>
              <w:bottom w:val="single" w:sz="4" w:space="0" w:color="auto"/>
              <w:right w:val="single" w:sz="4" w:space="0" w:color="auto"/>
            </w:tcBorders>
            <w:shd w:val="clear" w:color="auto" w:fill="00B0F0"/>
            <w:vAlign w:val="center"/>
            <w:hideMark/>
          </w:tcPr>
          <w:p w14:paraId="2AAE9CF2" w14:textId="77777777" w:rsidR="00A033C1" w:rsidRPr="00A033C1" w:rsidRDefault="00A033C1">
            <w:pPr>
              <w:rPr>
                <w:rFonts w:ascii="Arial" w:eastAsia="DengXian" w:hAnsi="Arial" w:cs="Arial"/>
                <w:b/>
                <w:bCs/>
                <w:color w:val="FFFFFF"/>
                <w:sz w:val="14"/>
                <w:szCs w:val="14"/>
                <w:lang w:val="en-US" w:eastAsia="zh-CN"/>
              </w:rPr>
            </w:pPr>
            <w:r w:rsidRPr="00A033C1">
              <w:rPr>
                <w:rFonts w:ascii="Arial" w:eastAsia="DengXian" w:hAnsi="Arial" w:cs="Arial"/>
                <w:b/>
                <w:bCs/>
                <w:color w:val="FFFFFF"/>
                <w:sz w:val="14"/>
                <w:szCs w:val="14"/>
                <w:lang w:val="en-US" w:eastAsia="zh-CN"/>
              </w:rPr>
              <w:t>Required for initial access or IDLE/INACTIVE</w:t>
            </w:r>
          </w:p>
        </w:tc>
        <w:tc>
          <w:tcPr>
            <w:tcW w:w="221" w:type="pct"/>
            <w:tcBorders>
              <w:top w:val="single" w:sz="4" w:space="0" w:color="auto"/>
              <w:left w:val="nil"/>
              <w:bottom w:val="single" w:sz="4" w:space="0" w:color="auto"/>
              <w:right w:val="single" w:sz="4" w:space="0" w:color="auto"/>
            </w:tcBorders>
            <w:shd w:val="clear" w:color="auto" w:fill="00B0F0"/>
            <w:vAlign w:val="center"/>
            <w:hideMark/>
          </w:tcPr>
          <w:p w14:paraId="07C7C7E2" w14:textId="77777777" w:rsidR="00A033C1" w:rsidRPr="00A033C1" w:rsidRDefault="00A033C1">
            <w:pPr>
              <w:rPr>
                <w:rFonts w:ascii="Arial" w:eastAsia="DengXian" w:hAnsi="Arial" w:cs="Arial"/>
                <w:b/>
                <w:bCs/>
                <w:color w:val="FFFFFF"/>
                <w:sz w:val="14"/>
                <w:szCs w:val="14"/>
                <w:lang w:val="en-US" w:eastAsia="zh-CN"/>
              </w:rPr>
            </w:pPr>
            <w:r w:rsidRPr="00A033C1">
              <w:rPr>
                <w:rFonts w:ascii="Arial" w:eastAsia="DengXian" w:hAnsi="Arial" w:cs="Arial"/>
                <w:b/>
                <w:bCs/>
                <w:color w:val="FFFFFF"/>
                <w:sz w:val="14"/>
                <w:szCs w:val="14"/>
                <w:lang w:val="en-US" w:eastAsia="zh-CN"/>
              </w:rPr>
              <w:t>Specification</w:t>
            </w:r>
          </w:p>
        </w:tc>
        <w:tc>
          <w:tcPr>
            <w:tcW w:w="218" w:type="pct"/>
            <w:tcBorders>
              <w:top w:val="single" w:sz="4" w:space="0" w:color="auto"/>
              <w:left w:val="nil"/>
              <w:bottom w:val="single" w:sz="4" w:space="0" w:color="auto"/>
              <w:right w:val="single" w:sz="4" w:space="0" w:color="auto"/>
            </w:tcBorders>
            <w:shd w:val="clear" w:color="auto" w:fill="00B0F0"/>
            <w:vAlign w:val="center"/>
            <w:hideMark/>
          </w:tcPr>
          <w:p w14:paraId="164BE605" w14:textId="77777777" w:rsidR="00A033C1" w:rsidRPr="00A033C1" w:rsidRDefault="00A033C1">
            <w:pPr>
              <w:rPr>
                <w:rFonts w:ascii="Arial" w:eastAsia="DengXian" w:hAnsi="Arial" w:cs="Arial"/>
                <w:b/>
                <w:bCs/>
                <w:color w:val="FFFFFF"/>
                <w:sz w:val="14"/>
                <w:szCs w:val="14"/>
                <w:lang w:val="en-US" w:eastAsia="zh-CN"/>
              </w:rPr>
            </w:pPr>
            <w:r w:rsidRPr="00A033C1">
              <w:rPr>
                <w:rFonts w:ascii="Arial" w:eastAsia="DengXian" w:hAnsi="Arial" w:cs="Arial"/>
                <w:b/>
                <w:bCs/>
                <w:color w:val="FFFFFF"/>
                <w:sz w:val="14"/>
                <w:szCs w:val="14"/>
                <w:lang w:val="en-US" w:eastAsia="zh-CN"/>
              </w:rPr>
              <w:t>Comment</w:t>
            </w:r>
          </w:p>
        </w:tc>
      </w:tr>
      <w:tr w:rsidR="00A033C1" w14:paraId="5FFB0352" w14:textId="77777777" w:rsidTr="00A033C1">
        <w:trPr>
          <w:trHeight w:val="1150"/>
        </w:trPr>
        <w:tc>
          <w:tcPr>
            <w:tcW w:w="219" w:type="pct"/>
            <w:tcBorders>
              <w:top w:val="nil"/>
              <w:left w:val="single" w:sz="4" w:space="0" w:color="auto"/>
              <w:bottom w:val="single" w:sz="4" w:space="0" w:color="auto"/>
              <w:right w:val="single" w:sz="4" w:space="0" w:color="auto"/>
            </w:tcBorders>
            <w:shd w:val="clear" w:color="auto" w:fill="FFFFFF"/>
            <w:vAlign w:val="center"/>
            <w:hideMark/>
          </w:tcPr>
          <w:p w14:paraId="16521F4E" w14:textId="77777777" w:rsidR="00A033C1" w:rsidRPr="00A033C1" w:rsidRDefault="00A033C1">
            <w:pPr>
              <w:rPr>
                <w:rFonts w:ascii="Arial" w:eastAsia="DengXian" w:hAnsi="Arial" w:cs="Arial"/>
                <w:color w:val="0070C0"/>
                <w:sz w:val="14"/>
                <w:szCs w:val="14"/>
                <w:lang w:val="en-US" w:eastAsia="zh-CN"/>
              </w:rPr>
            </w:pPr>
            <w:r w:rsidRPr="00A033C1">
              <w:rPr>
                <w:rFonts w:ascii="Arial" w:eastAsia="DengXian" w:hAnsi="Arial" w:cs="Arial"/>
                <w:color w:val="0070C0"/>
                <w:sz w:val="14"/>
                <w:szCs w:val="14"/>
              </w:rPr>
              <w:t>IoT_NTN_enh-Core</w:t>
            </w:r>
          </w:p>
        </w:tc>
        <w:tc>
          <w:tcPr>
            <w:tcW w:w="403" w:type="pct"/>
            <w:tcBorders>
              <w:top w:val="nil"/>
              <w:left w:val="nil"/>
              <w:bottom w:val="single" w:sz="4" w:space="0" w:color="auto"/>
              <w:right w:val="single" w:sz="4" w:space="0" w:color="auto"/>
            </w:tcBorders>
            <w:shd w:val="clear" w:color="auto" w:fill="FFFFFF"/>
            <w:vAlign w:val="center"/>
            <w:hideMark/>
          </w:tcPr>
          <w:p w14:paraId="6787A41D" w14:textId="77777777" w:rsidR="00A033C1" w:rsidRPr="00A033C1" w:rsidRDefault="00A033C1">
            <w:pPr>
              <w:rPr>
                <w:rFonts w:ascii="Arial" w:eastAsia="DengXian" w:hAnsi="Arial" w:cs="Arial"/>
                <w:color w:val="0070C0"/>
                <w:sz w:val="14"/>
                <w:szCs w:val="14"/>
                <w:lang w:val="en-US" w:eastAsia="zh-CN"/>
              </w:rPr>
            </w:pPr>
            <w:r w:rsidRPr="00A033C1">
              <w:rPr>
                <w:rFonts w:ascii="Arial" w:eastAsia="DengXian" w:hAnsi="Arial" w:cs="Arial"/>
                <w:color w:val="0070C0"/>
                <w:sz w:val="14"/>
                <w:szCs w:val="14"/>
              </w:rPr>
              <w:t>UL transmission after original GNSS validity duration expires for eMTC</w:t>
            </w:r>
          </w:p>
        </w:tc>
        <w:tc>
          <w:tcPr>
            <w:tcW w:w="185" w:type="pct"/>
            <w:tcBorders>
              <w:top w:val="nil"/>
              <w:left w:val="nil"/>
              <w:bottom w:val="single" w:sz="4" w:space="0" w:color="auto"/>
              <w:right w:val="single" w:sz="4" w:space="0" w:color="auto"/>
            </w:tcBorders>
            <w:shd w:val="clear" w:color="auto" w:fill="FFFFFF"/>
            <w:noWrap/>
            <w:vAlign w:val="center"/>
            <w:hideMark/>
          </w:tcPr>
          <w:p w14:paraId="59AFCFE4" w14:textId="77777777" w:rsidR="00A033C1" w:rsidRPr="00A033C1" w:rsidRDefault="00A033C1">
            <w:pPr>
              <w:rPr>
                <w:rFonts w:ascii="Arial" w:eastAsia="DengXian" w:hAnsi="Arial" w:cs="Arial"/>
                <w:color w:val="0070C0"/>
                <w:sz w:val="14"/>
                <w:szCs w:val="14"/>
                <w:lang w:val="en-US" w:eastAsia="zh-CN"/>
              </w:rPr>
            </w:pPr>
            <w:r w:rsidRPr="00A033C1">
              <w:rPr>
                <w:rFonts w:ascii="Arial" w:eastAsia="DengXian" w:hAnsi="Arial" w:cs="Arial"/>
                <w:color w:val="0070C0"/>
                <w:sz w:val="14"/>
                <w:szCs w:val="14"/>
              </w:rPr>
              <w:t>36.213</w:t>
            </w:r>
          </w:p>
        </w:tc>
        <w:tc>
          <w:tcPr>
            <w:tcW w:w="221" w:type="pct"/>
            <w:tcBorders>
              <w:top w:val="nil"/>
              <w:left w:val="nil"/>
              <w:bottom w:val="single" w:sz="4" w:space="0" w:color="auto"/>
              <w:right w:val="single" w:sz="4" w:space="0" w:color="auto"/>
            </w:tcBorders>
            <w:shd w:val="clear" w:color="auto" w:fill="FFFFFF"/>
            <w:noWrap/>
            <w:vAlign w:val="center"/>
            <w:hideMark/>
          </w:tcPr>
          <w:p w14:paraId="48C7321F" w14:textId="77777777" w:rsidR="00A033C1" w:rsidRPr="00A033C1" w:rsidRDefault="00A033C1">
            <w:pPr>
              <w:rPr>
                <w:rFonts w:ascii="Arial" w:eastAsia="DengXian" w:hAnsi="Arial" w:cs="Arial"/>
                <w:color w:val="0070C0"/>
                <w:sz w:val="14"/>
                <w:szCs w:val="14"/>
                <w:lang w:val="en-US" w:eastAsia="zh-CN"/>
              </w:rPr>
            </w:pPr>
            <w:r w:rsidRPr="00A033C1">
              <w:rPr>
                <w:rFonts w:ascii="Arial" w:eastAsia="DengXian" w:hAnsi="Arial" w:cs="Arial" w:hint="eastAsia"/>
                <w:color w:val="0070C0"/>
                <w:sz w:val="14"/>
                <w:szCs w:val="14"/>
                <w:lang w:val="en-US"/>
              </w:rPr>
              <w:t xml:space="preserve">　</w:t>
            </w:r>
          </w:p>
        </w:tc>
        <w:tc>
          <w:tcPr>
            <w:tcW w:w="221" w:type="pct"/>
            <w:tcBorders>
              <w:top w:val="nil"/>
              <w:left w:val="nil"/>
              <w:bottom w:val="single" w:sz="4" w:space="0" w:color="auto"/>
              <w:right w:val="single" w:sz="4" w:space="0" w:color="auto"/>
            </w:tcBorders>
            <w:shd w:val="clear" w:color="auto" w:fill="FFFFFF"/>
            <w:noWrap/>
            <w:vAlign w:val="center"/>
            <w:hideMark/>
          </w:tcPr>
          <w:p w14:paraId="1CDAB65E" w14:textId="77777777" w:rsidR="00A033C1" w:rsidRPr="00A033C1" w:rsidRDefault="00A033C1">
            <w:pPr>
              <w:rPr>
                <w:rFonts w:ascii="Arial" w:eastAsia="DengXian" w:hAnsi="Arial" w:cs="Arial"/>
                <w:color w:val="0070C0"/>
                <w:sz w:val="14"/>
                <w:szCs w:val="14"/>
                <w:lang w:val="en-US" w:eastAsia="zh-CN"/>
              </w:rPr>
            </w:pPr>
            <w:r w:rsidRPr="00A033C1">
              <w:rPr>
                <w:rFonts w:ascii="Arial" w:eastAsia="DengXian" w:hAnsi="Arial" w:cs="Arial" w:hint="eastAsia"/>
                <w:color w:val="0070C0"/>
                <w:sz w:val="14"/>
                <w:szCs w:val="14"/>
                <w:lang w:val="en-US"/>
              </w:rPr>
              <w:t xml:space="preserve">　</w:t>
            </w:r>
          </w:p>
        </w:tc>
        <w:tc>
          <w:tcPr>
            <w:tcW w:w="221" w:type="pct"/>
            <w:tcBorders>
              <w:top w:val="nil"/>
              <w:left w:val="nil"/>
              <w:bottom w:val="single" w:sz="4" w:space="0" w:color="auto"/>
              <w:right w:val="single" w:sz="4" w:space="0" w:color="auto"/>
            </w:tcBorders>
            <w:shd w:val="clear" w:color="auto" w:fill="FFFFFF"/>
            <w:noWrap/>
            <w:vAlign w:val="center"/>
            <w:hideMark/>
          </w:tcPr>
          <w:p w14:paraId="0D92E53B" w14:textId="77777777" w:rsidR="00A033C1" w:rsidRPr="00A033C1" w:rsidRDefault="00A033C1">
            <w:pPr>
              <w:rPr>
                <w:rFonts w:ascii="Arial" w:eastAsia="DengXian" w:hAnsi="Arial" w:cs="Arial"/>
                <w:color w:val="0070C0"/>
                <w:sz w:val="14"/>
                <w:szCs w:val="14"/>
                <w:lang w:val="en-US" w:eastAsia="zh-CN"/>
              </w:rPr>
            </w:pPr>
            <w:r w:rsidRPr="00A033C1">
              <w:rPr>
                <w:rFonts w:ascii="Arial" w:eastAsia="DengXian" w:hAnsi="Arial" w:cs="Arial" w:hint="eastAsia"/>
                <w:color w:val="0070C0"/>
                <w:sz w:val="14"/>
                <w:szCs w:val="14"/>
                <w:lang w:val="en-US"/>
              </w:rPr>
              <w:t xml:space="preserve">　</w:t>
            </w:r>
          </w:p>
        </w:tc>
        <w:tc>
          <w:tcPr>
            <w:tcW w:w="294" w:type="pct"/>
            <w:tcBorders>
              <w:top w:val="nil"/>
              <w:left w:val="nil"/>
              <w:bottom w:val="single" w:sz="4" w:space="0" w:color="auto"/>
              <w:right w:val="single" w:sz="4" w:space="0" w:color="auto"/>
            </w:tcBorders>
            <w:shd w:val="clear" w:color="auto" w:fill="FFFFFF"/>
            <w:vAlign w:val="center"/>
            <w:hideMark/>
          </w:tcPr>
          <w:p w14:paraId="5770BAEF" w14:textId="77777777" w:rsidR="00A033C1" w:rsidRPr="00A033C1" w:rsidRDefault="00A033C1">
            <w:pPr>
              <w:rPr>
                <w:rFonts w:ascii="Arial" w:eastAsia="DengXian" w:hAnsi="Arial" w:cs="Arial"/>
                <w:color w:val="0070C0"/>
                <w:sz w:val="14"/>
                <w:szCs w:val="14"/>
                <w:lang w:val="en-US" w:eastAsia="zh-CN"/>
              </w:rPr>
            </w:pPr>
            <w:r w:rsidRPr="00A033C1">
              <w:rPr>
                <w:rFonts w:ascii="Arial" w:eastAsia="DengXian" w:hAnsi="Arial" w:cs="Arial"/>
                <w:color w:val="0070C0"/>
                <w:sz w:val="14"/>
                <w:szCs w:val="14"/>
              </w:rPr>
              <w:t>ul-TransmissionExtensionValue</w:t>
            </w:r>
          </w:p>
        </w:tc>
        <w:tc>
          <w:tcPr>
            <w:tcW w:w="147" w:type="pct"/>
            <w:tcBorders>
              <w:top w:val="nil"/>
              <w:left w:val="nil"/>
              <w:bottom w:val="single" w:sz="4" w:space="0" w:color="auto"/>
              <w:right w:val="single" w:sz="4" w:space="0" w:color="auto"/>
            </w:tcBorders>
            <w:shd w:val="clear" w:color="auto" w:fill="FFFFFF"/>
            <w:noWrap/>
            <w:vAlign w:val="center"/>
            <w:hideMark/>
          </w:tcPr>
          <w:p w14:paraId="1AC04D00" w14:textId="77777777" w:rsidR="00A033C1" w:rsidRPr="00A033C1" w:rsidRDefault="00A033C1">
            <w:pPr>
              <w:rPr>
                <w:rFonts w:ascii="Arial" w:eastAsia="DengXian" w:hAnsi="Arial" w:cs="Arial"/>
                <w:color w:val="0070C0"/>
                <w:sz w:val="14"/>
                <w:szCs w:val="14"/>
                <w:lang w:val="en-US" w:eastAsia="zh-CN"/>
              </w:rPr>
            </w:pPr>
            <w:r w:rsidRPr="00A033C1">
              <w:rPr>
                <w:rFonts w:ascii="Arial" w:eastAsia="DengXian" w:hAnsi="Arial" w:cs="Arial"/>
                <w:color w:val="0070C0"/>
                <w:sz w:val="14"/>
                <w:szCs w:val="14"/>
              </w:rPr>
              <w:t>New</w:t>
            </w:r>
          </w:p>
        </w:tc>
        <w:tc>
          <w:tcPr>
            <w:tcW w:w="515" w:type="pct"/>
            <w:tcBorders>
              <w:top w:val="nil"/>
              <w:left w:val="nil"/>
              <w:bottom w:val="single" w:sz="4" w:space="0" w:color="auto"/>
              <w:right w:val="single" w:sz="4" w:space="0" w:color="auto"/>
            </w:tcBorders>
            <w:shd w:val="clear" w:color="auto" w:fill="FFFFFF"/>
            <w:vAlign w:val="center"/>
            <w:hideMark/>
          </w:tcPr>
          <w:p w14:paraId="5E56BB3C" w14:textId="77777777" w:rsidR="00A033C1" w:rsidRPr="00A033C1" w:rsidRDefault="00A033C1">
            <w:pPr>
              <w:rPr>
                <w:rFonts w:ascii="Arial" w:eastAsia="DengXian" w:hAnsi="Arial" w:cs="Arial"/>
                <w:color w:val="0070C0"/>
                <w:sz w:val="14"/>
                <w:szCs w:val="14"/>
                <w:lang w:val="en-US" w:eastAsia="zh-CN"/>
              </w:rPr>
            </w:pPr>
            <w:r w:rsidRPr="00A033C1">
              <w:rPr>
                <w:rFonts w:ascii="Arial" w:eastAsia="DengXian" w:hAnsi="Arial" w:cs="Arial"/>
                <w:color w:val="0070C0"/>
                <w:sz w:val="14"/>
                <w:szCs w:val="14"/>
              </w:rPr>
              <w:t>ul-TransmissionExtensionValue</w:t>
            </w:r>
          </w:p>
        </w:tc>
        <w:tc>
          <w:tcPr>
            <w:tcW w:w="957" w:type="pct"/>
            <w:tcBorders>
              <w:top w:val="nil"/>
              <w:left w:val="nil"/>
              <w:bottom w:val="single" w:sz="4" w:space="0" w:color="auto"/>
              <w:right w:val="single" w:sz="4" w:space="0" w:color="auto"/>
            </w:tcBorders>
            <w:shd w:val="clear" w:color="auto" w:fill="FFFFFF"/>
            <w:vAlign w:val="center"/>
            <w:hideMark/>
          </w:tcPr>
          <w:p w14:paraId="4059DC84" w14:textId="77777777" w:rsidR="00A033C1" w:rsidRPr="00A033C1" w:rsidRDefault="00A033C1">
            <w:pPr>
              <w:rPr>
                <w:rFonts w:ascii="Arial" w:eastAsia="DengXian" w:hAnsi="Arial" w:cs="Arial"/>
                <w:color w:val="0070C0"/>
                <w:sz w:val="14"/>
                <w:szCs w:val="14"/>
                <w:lang w:val="en-US" w:eastAsia="zh-CN"/>
              </w:rPr>
            </w:pPr>
            <w:r w:rsidRPr="00A033C1">
              <w:rPr>
                <w:rFonts w:ascii="Arial" w:eastAsia="DengXian" w:hAnsi="Arial" w:cs="Arial"/>
                <w:color w:val="0070C0"/>
                <w:sz w:val="14"/>
                <w:szCs w:val="14"/>
              </w:rPr>
              <w:t>Indicates the duration after original GNSS validity duration expires within which UL transmission is allowed. Value in number of sub-frames, value sf500 corresponds to 500 sub-frames, sf750 corresponds to 750 sub-frames and so on.</w:t>
            </w:r>
          </w:p>
        </w:tc>
        <w:tc>
          <w:tcPr>
            <w:tcW w:w="441" w:type="pct"/>
            <w:tcBorders>
              <w:top w:val="nil"/>
              <w:left w:val="nil"/>
              <w:bottom w:val="single" w:sz="4" w:space="0" w:color="auto"/>
              <w:right w:val="single" w:sz="4" w:space="0" w:color="auto"/>
            </w:tcBorders>
            <w:shd w:val="clear" w:color="auto" w:fill="FFFFFF"/>
            <w:vAlign w:val="center"/>
            <w:hideMark/>
          </w:tcPr>
          <w:p w14:paraId="526D871F" w14:textId="77777777" w:rsidR="00A033C1" w:rsidRPr="00A033C1" w:rsidRDefault="00A033C1">
            <w:pPr>
              <w:rPr>
                <w:rFonts w:ascii="Arial" w:eastAsia="DengXian" w:hAnsi="Arial" w:cs="Arial"/>
                <w:color w:val="0070C0"/>
                <w:sz w:val="14"/>
                <w:szCs w:val="14"/>
                <w:lang w:val="en-US" w:eastAsia="zh-CN"/>
              </w:rPr>
            </w:pPr>
            <w:r w:rsidRPr="00A033C1">
              <w:rPr>
                <w:rFonts w:ascii="Arial" w:eastAsia="DengXian" w:hAnsi="Arial" w:cs="Arial"/>
                <w:color w:val="0070C0"/>
                <w:sz w:val="14"/>
                <w:szCs w:val="14"/>
              </w:rPr>
              <w:t>{sf500, sf750, sf1280, sf1920, sf2560, sf5120, sf10240, spare1}</w:t>
            </w:r>
          </w:p>
        </w:tc>
        <w:tc>
          <w:tcPr>
            <w:tcW w:w="221" w:type="pct"/>
            <w:tcBorders>
              <w:top w:val="nil"/>
              <w:left w:val="nil"/>
              <w:bottom w:val="single" w:sz="4" w:space="0" w:color="auto"/>
              <w:right w:val="single" w:sz="4" w:space="0" w:color="auto"/>
            </w:tcBorders>
            <w:shd w:val="clear" w:color="auto" w:fill="FFFFFF"/>
            <w:vAlign w:val="center"/>
            <w:hideMark/>
          </w:tcPr>
          <w:p w14:paraId="4EE5A1ED" w14:textId="77777777" w:rsidR="00A033C1" w:rsidRPr="00A033C1" w:rsidRDefault="00A033C1">
            <w:pPr>
              <w:rPr>
                <w:rFonts w:ascii="Arial" w:eastAsia="DengXian" w:hAnsi="Arial" w:cs="Arial"/>
                <w:color w:val="0070C0"/>
                <w:sz w:val="14"/>
                <w:szCs w:val="14"/>
                <w:lang w:val="en-US" w:eastAsia="zh-CN"/>
              </w:rPr>
            </w:pPr>
            <w:r w:rsidRPr="00A033C1">
              <w:rPr>
                <w:rFonts w:ascii="Arial" w:eastAsia="DengXian" w:hAnsi="Arial" w:cs="Arial"/>
                <w:color w:val="0070C0"/>
                <w:sz w:val="14"/>
                <w:szCs w:val="14"/>
                <w:lang w:val="en-US"/>
              </w:rPr>
              <w:t xml:space="preserve"> </w:t>
            </w:r>
          </w:p>
        </w:tc>
        <w:tc>
          <w:tcPr>
            <w:tcW w:w="221" w:type="pct"/>
            <w:tcBorders>
              <w:top w:val="nil"/>
              <w:left w:val="nil"/>
              <w:bottom w:val="single" w:sz="4" w:space="0" w:color="auto"/>
              <w:right w:val="single" w:sz="4" w:space="0" w:color="auto"/>
            </w:tcBorders>
            <w:shd w:val="clear" w:color="auto" w:fill="FFFFFF"/>
            <w:noWrap/>
            <w:vAlign w:val="center"/>
            <w:hideMark/>
          </w:tcPr>
          <w:p w14:paraId="5A81EFFD" w14:textId="77777777" w:rsidR="00A033C1" w:rsidRPr="00A033C1" w:rsidRDefault="00A033C1">
            <w:pPr>
              <w:rPr>
                <w:rFonts w:ascii="Arial" w:eastAsia="DengXian" w:hAnsi="Arial" w:cs="Arial"/>
                <w:color w:val="0070C0"/>
                <w:sz w:val="14"/>
                <w:szCs w:val="14"/>
                <w:lang w:val="en-US" w:eastAsia="zh-CN"/>
              </w:rPr>
            </w:pPr>
            <w:r w:rsidRPr="00A033C1">
              <w:rPr>
                <w:rFonts w:ascii="Arial" w:eastAsia="DengXian" w:hAnsi="Arial" w:cs="Arial"/>
                <w:color w:val="0070C0"/>
                <w:sz w:val="14"/>
                <w:szCs w:val="14"/>
              </w:rPr>
              <w:t>per UE</w:t>
            </w:r>
          </w:p>
        </w:tc>
        <w:tc>
          <w:tcPr>
            <w:tcW w:w="294" w:type="pct"/>
            <w:tcBorders>
              <w:top w:val="nil"/>
              <w:left w:val="nil"/>
              <w:bottom w:val="single" w:sz="4" w:space="0" w:color="auto"/>
              <w:right w:val="single" w:sz="4" w:space="0" w:color="auto"/>
            </w:tcBorders>
            <w:shd w:val="clear" w:color="auto" w:fill="FFFFFF"/>
            <w:vAlign w:val="center"/>
            <w:hideMark/>
          </w:tcPr>
          <w:p w14:paraId="45E0B685" w14:textId="77777777" w:rsidR="00A033C1" w:rsidRPr="00A033C1" w:rsidRDefault="00A033C1">
            <w:pPr>
              <w:rPr>
                <w:rFonts w:ascii="Arial" w:eastAsia="DengXian" w:hAnsi="Arial" w:cs="Arial"/>
                <w:color w:val="0070C0"/>
                <w:sz w:val="14"/>
                <w:szCs w:val="14"/>
                <w:lang w:val="en-US" w:eastAsia="zh-CN"/>
              </w:rPr>
            </w:pPr>
            <w:r w:rsidRPr="00A033C1">
              <w:rPr>
                <w:rFonts w:ascii="Arial" w:eastAsia="DengXian" w:hAnsi="Arial" w:cs="Arial"/>
                <w:color w:val="0070C0"/>
                <w:sz w:val="14"/>
                <w:szCs w:val="14"/>
              </w:rPr>
              <w:t>No</w:t>
            </w:r>
          </w:p>
        </w:tc>
        <w:tc>
          <w:tcPr>
            <w:tcW w:w="221" w:type="pct"/>
            <w:tcBorders>
              <w:top w:val="nil"/>
              <w:left w:val="nil"/>
              <w:bottom w:val="single" w:sz="4" w:space="0" w:color="auto"/>
              <w:right w:val="single" w:sz="4" w:space="0" w:color="auto"/>
            </w:tcBorders>
            <w:shd w:val="clear" w:color="auto" w:fill="FFFFFF"/>
            <w:noWrap/>
            <w:vAlign w:val="center"/>
            <w:hideMark/>
          </w:tcPr>
          <w:p w14:paraId="58C6DE96" w14:textId="77777777" w:rsidR="00A033C1" w:rsidRPr="00A033C1" w:rsidRDefault="00A033C1">
            <w:pPr>
              <w:rPr>
                <w:rFonts w:ascii="Arial" w:eastAsia="DengXian" w:hAnsi="Arial" w:cs="Arial"/>
                <w:color w:val="0070C0"/>
                <w:sz w:val="14"/>
                <w:szCs w:val="14"/>
                <w:lang w:val="en-US" w:eastAsia="zh-CN"/>
              </w:rPr>
            </w:pPr>
            <w:r w:rsidRPr="00A033C1">
              <w:rPr>
                <w:rFonts w:ascii="Arial" w:eastAsia="DengXian" w:hAnsi="Arial" w:cs="Arial"/>
                <w:color w:val="0070C0"/>
                <w:sz w:val="14"/>
                <w:szCs w:val="14"/>
              </w:rPr>
              <w:t>36.331</w:t>
            </w:r>
          </w:p>
        </w:tc>
        <w:tc>
          <w:tcPr>
            <w:tcW w:w="218" w:type="pct"/>
            <w:tcBorders>
              <w:top w:val="nil"/>
              <w:left w:val="nil"/>
              <w:bottom w:val="single" w:sz="4" w:space="0" w:color="auto"/>
              <w:right w:val="single" w:sz="4" w:space="0" w:color="auto"/>
            </w:tcBorders>
            <w:shd w:val="clear" w:color="auto" w:fill="FFFFFF"/>
            <w:vAlign w:val="center"/>
            <w:hideMark/>
          </w:tcPr>
          <w:p w14:paraId="60560B43" w14:textId="77777777" w:rsidR="00A033C1" w:rsidRPr="00A033C1" w:rsidRDefault="00A033C1">
            <w:pPr>
              <w:rPr>
                <w:rFonts w:ascii="Arial" w:eastAsia="DengXian" w:hAnsi="Arial" w:cs="Arial"/>
                <w:color w:val="FF0000"/>
                <w:sz w:val="14"/>
                <w:szCs w:val="14"/>
                <w:lang w:val="en-US" w:eastAsia="zh-CN"/>
              </w:rPr>
            </w:pPr>
            <w:r w:rsidRPr="00A033C1">
              <w:rPr>
                <w:rFonts w:ascii="Arial" w:eastAsia="DengXian" w:hAnsi="Arial" w:cs="Arial" w:hint="eastAsia"/>
                <w:color w:val="FF0000"/>
                <w:sz w:val="14"/>
                <w:szCs w:val="14"/>
                <w:lang w:val="en-US"/>
              </w:rPr>
              <w:t xml:space="preserve">　</w:t>
            </w:r>
          </w:p>
        </w:tc>
      </w:tr>
      <w:tr w:rsidR="00A033C1" w14:paraId="535FD531" w14:textId="77777777" w:rsidTr="00A033C1">
        <w:trPr>
          <w:trHeight w:val="1150"/>
        </w:trPr>
        <w:tc>
          <w:tcPr>
            <w:tcW w:w="219" w:type="pct"/>
            <w:tcBorders>
              <w:top w:val="nil"/>
              <w:left w:val="single" w:sz="4" w:space="0" w:color="auto"/>
              <w:bottom w:val="single" w:sz="4" w:space="0" w:color="auto"/>
              <w:right w:val="single" w:sz="4" w:space="0" w:color="auto"/>
            </w:tcBorders>
            <w:shd w:val="clear" w:color="auto" w:fill="FFFFFF"/>
            <w:vAlign w:val="center"/>
            <w:hideMark/>
          </w:tcPr>
          <w:p w14:paraId="3BBB55E7" w14:textId="77777777" w:rsidR="00A033C1" w:rsidRPr="00A033C1" w:rsidRDefault="00A033C1">
            <w:pPr>
              <w:rPr>
                <w:rFonts w:ascii="Arial" w:eastAsia="DengXian" w:hAnsi="Arial" w:cs="Arial"/>
                <w:color w:val="0070C0"/>
                <w:sz w:val="14"/>
                <w:szCs w:val="14"/>
                <w:lang w:val="en-US" w:eastAsia="zh-CN"/>
              </w:rPr>
            </w:pPr>
            <w:r w:rsidRPr="00A033C1">
              <w:rPr>
                <w:rFonts w:ascii="Arial" w:eastAsia="DengXian" w:hAnsi="Arial" w:cs="Arial"/>
                <w:color w:val="0070C0"/>
                <w:sz w:val="14"/>
                <w:szCs w:val="14"/>
              </w:rPr>
              <w:t>IoT_NTN_enh-Core</w:t>
            </w:r>
          </w:p>
        </w:tc>
        <w:tc>
          <w:tcPr>
            <w:tcW w:w="403" w:type="pct"/>
            <w:tcBorders>
              <w:top w:val="nil"/>
              <w:left w:val="nil"/>
              <w:bottom w:val="single" w:sz="4" w:space="0" w:color="auto"/>
              <w:right w:val="single" w:sz="4" w:space="0" w:color="auto"/>
            </w:tcBorders>
            <w:shd w:val="clear" w:color="auto" w:fill="FFFFFF"/>
            <w:vAlign w:val="center"/>
            <w:hideMark/>
          </w:tcPr>
          <w:p w14:paraId="1CDB5517" w14:textId="77777777" w:rsidR="00A033C1" w:rsidRPr="00A033C1" w:rsidRDefault="00A033C1">
            <w:pPr>
              <w:rPr>
                <w:rFonts w:ascii="Arial" w:eastAsia="DengXian" w:hAnsi="Arial" w:cs="Arial"/>
                <w:color w:val="0070C0"/>
                <w:sz w:val="14"/>
                <w:szCs w:val="14"/>
                <w:lang w:val="en-US" w:eastAsia="zh-CN"/>
              </w:rPr>
            </w:pPr>
            <w:r w:rsidRPr="00A033C1">
              <w:rPr>
                <w:rFonts w:ascii="Arial" w:eastAsia="DengXian" w:hAnsi="Arial" w:cs="Arial"/>
                <w:color w:val="0070C0"/>
                <w:sz w:val="14"/>
                <w:szCs w:val="14"/>
              </w:rPr>
              <w:t>UL transmission after original GNSS validity duration expires  for NB-IoT</w:t>
            </w:r>
          </w:p>
        </w:tc>
        <w:tc>
          <w:tcPr>
            <w:tcW w:w="185" w:type="pct"/>
            <w:tcBorders>
              <w:top w:val="nil"/>
              <w:left w:val="nil"/>
              <w:bottom w:val="single" w:sz="4" w:space="0" w:color="auto"/>
              <w:right w:val="single" w:sz="4" w:space="0" w:color="auto"/>
            </w:tcBorders>
            <w:shd w:val="clear" w:color="auto" w:fill="FFFFFF"/>
            <w:noWrap/>
            <w:vAlign w:val="center"/>
            <w:hideMark/>
          </w:tcPr>
          <w:p w14:paraId="255C027D" w14:textId="77777777" w:rsidR="00A033C1" w:rsidRPr="00A033C1" w:rsidRDefault="00A033C1">
            <w:pPr>
              <w:rPr>
                <w:rFonts w:ascii="Arial" w:eastAsia="DengXian" w:hAnsi="Arial" w:cs="Arial"/>
                <w:color w:val="0070C0"/>
                <w:sz w:val="14"/>
                <w:szCs w:val="14"/>
                <w:lang w:val="en-US" w:eastAsia="zh-CN"/>
              </w:rPr>
            </w:pPr>
            <w:r w:rsidRPr="00A033C1">
              <w:rPr>
                <w:rFonts w:ascii="Arial" w:eastAsia="DengXian" w:hAnsi="Arial" w:cs="Arial"/>
                <w:color w:val="0070C0"/>
                <w:sz w:val="14"/>
                <w:szCs w:val="14"/>
              </w:rPr>
              <w:t>36.213</w:t>
            </w:r>
          </w:p>
        </w:tc>
        <w:tc>
          <w:tcPr>
            <w:tcW w:w="221" w:type="pct"/>
            <w:tcBorders>
              <w:top w:val="nil"/>
              <w:left w:val="nil"/>
              <w:bottom w:val="single" w:sz="4" w:space="0" w:color="auto"/>
              <w:right w:val="single" w:sz="4" w:space="0" w:color="auto"/>
            </w:tcBorders>
            <w:shd w:val="clear" w:color="auto" w:fill="FFFFFF"/>
            <w:noWrap/>
            <w:vAlign w:val="center"/>
            <w:hideMark/>
          </w:tcPr>
          <w:p w14:paraId="55D8328D" w14:textId="77777777" w:rsidR="00A033C1" w:rsidRPr="00A033C1" w:rsidRDefault="00A033C1">
            <w:pPr>
              <w:rPr>
                <w:rFonts w:ascii="Arial" w:eastAsia="DengXian" w:hAnsi="Arial" w:cs="Arial"/>
                <w:color w:val="0070C0"/>
                <w:sz w:val="14"/>
                <w:szCs w:val="14"/>
                <w:lang w:val="en-US" w:eastAsia="zh-CN"/>
              </w:rPr>
            </w:pPr>
            <w:r w:rsidRPr="00A033C1">
              <w:rPr>
                <w:rFonts w:ascii="Arial" w:eastAsia="DengXian" w:hAnsi="Arial" w:cs="Arial" w:hint="eastAsia"/>
                <w:color w:val="0070C0"/>
                <w:sz w:val="14"/>
                <w:szCs w:val="14"/>
                <w:lang w:val="en-US"/>
              </w:rPr>
              <w:t xml:space="preserve">　</w:t>
            </w:r>
          </w:p>
        </w:tc>
        <w:tc>
          <w:tcPr>
            <w:tcW w:w="221" w:type="pct"/>
            <w:tcBorders>
              <w:top w:val="nil"/>
              <w:left w:val="nil"/>
              <w:bottom w:val="single" w:sz="4" w:space="0" w:color="auto"/>
              <w:right w:val="single" w:sz="4" w:space="0" w:color="auto"/>
            </w:tcBorders>
            <w:shd w:val="clear" w:color="auto" w:fill="FFFFFF"/>
            <w:noWrap/>
            <w:vAlign w:val="center"/>
            <w:hideMark/>
          </w:tcPr>
          <w:p w14:paraId="62182D74" w14:textId="77777777" w:rsidR="00A033C1" w:rsidRPr="00A033C1" w:rsidRDefault="00A033C1">
            <w:pPr>
              <w:rPr>
                <w:rFonts w:ascii="Arial" w:eastAsia="DengXian" w:hAnsi="Arial" w:cs="Arial"/>
                <w:color w:val="0070C0"/>
                <w:sz w:val="14"/>
                <w:szCs w:val="14"/>
                <w:lang w:val="en-US" w:eastAsia="zh-CN"/>
              </w:rPr>
            </w:pPr>
            <w:r w:rsidRPr="00A033C1">
              <w:rPr>
                <w:rFonts w:ascii="Arial" w:eastAsia="DengXian" w:hAnsi="Arial" w:cs="Arial" w:hint="eastAsia"/>
                <w:color w:val="0070C0"/>
                <w:sz w:val="14"/>
                <w:szCs w:val="14"/>
                <w:lang w:val="en-US"/>
              </w:rPr>
              <w:t xml:space="preserve">　</w:t>
            </w:r>
          </w:p>
        </w:tc>
        <w:tc>
          <w:tcPr>
            <w:tcW w:w="221" w:type="pct"/>
            <w:tcBorders>
              <w:top w:val="nil"/>
              <w:left w:val="nil"/>
              <w:bottom w:val="single" w:sz="4" w:space="0" w:color="auto"/>
              <w:right w:val="single" w:sz="4" w:space="0" w:color="auto"/>
            </w:tcBorders>
            <w:shd w:val="clear" w:color="auto" w:fill="FFFFFF"/>
            <w:noWrap/>
            <w:vAlign w:val="center"/>
            <w:hideMark/>
          </w:tcPr>
          <w:p w14:paraId="54949A00" w14:textId="77777777" w:rsidR="00A033C1" w:rsidRPr="00A033C1" w:rsidRDefault="00A033C1">
            <w:pPr>
              <w:rPr>
                <w:rFonts w:ascii="Arial" w:eastAsia="DengXian" w:hAnsi="Arial" w:cs="Arial"/>
                <w:color w:val="0070C0"/>
                <w:sz w:val="14"/>
                <w:szCs w:val="14"/>
                <w:lang w:val="en-US" w:eastAsia="zh-CN"/>
              </w:rPr>
            </w:pPr>
            <w:r w:rsidRPr="00A033C1">
              <w:rPr>
                <w:rFonts w:ascii="Arial" w:eastAsia="DengXian" w:hAnsi="Arial" w:cs="Arial" w:hint="eastAsia"/>
                <w:color w:val="0070C0"/>
                <w:sz w:val="14"/>
                <w:szCs w:val="14"/>
                <w:lang w:val="en-US"/>
              </w:rPr>
              <w:t xml:space="preserve">　</w:t>
            </w:r>
          </w:p>
        </w:tc>
        <w:tc>
          <w:tcPr>
            <w:tcW w:w="294" w:type="pct"/>
            <w:tcBorders>
              <w:top w:val="nil"/>
              <w:left w:val="nil"/>
              <w:bottom w:val="single" w:sz="4" w:space="0" w:color="auto"/>
              <w:right w:val="single" w:sz="4" w:space="0" w:color="auto"/>
            </w:tcBorders>
            <w:shd w:val="clear" w:color="auto" w:fill="FFFFFF"/>
            <w:vAlign w:val="center"/>
            <w:hideMark/>
          </w:tcPr>
          <w:p w14:paraId="63E4CA30" w14:textId="77777777" w:rsidR="00A033C1" w:rsidRPr="00A033C1" w:rsidRDefault="00A033C1">
            <w:pPr>
              <w:rPr>
                <w:rFonts w:ascii="Arial" w:eastAsia="DengXian" w:hAnsi="Arial" w:cs="Arial"/>
                <w:color w:val="0070C0"/>
                <w:sz w:val="14"/>
                <w:szCs w:val="14"/>
                <w:lang w:val="en-US" w:eastAsia="zh-CN"/>
              </w:rPr>
            </w:pPr>
            <w:r w:rsidRPr="00A033C1">
              <w:rPr>
                <w:rFonts w:ascii="Arial" w:eastAsia="DengXian" w:hAnsi="Arial" w:cs="Arial"/>
                <w:color w:val="0070C0"/>
                <w:sz w:val="14"/>
                <w:szCs w:val="14"/>
              </w:rPr>
              <w:t>ul-TransmissionExtensionValue-NB</w:t>
            </w:r>
          </w:p>
        </w:tc>
        <w:tc>
          <w:tcPr>
            <w:tcW w:w="147" w:type="pct"/>
            <w:tcBorders>
              <w:top w:val="nil"/>
              <w:left w:val="nil"/>
              <w:bottom w:val="single" w:sz="4" w:space="0" w:color="auto"/>
              <w:right w:val="single" w:sz="4" w:space="0" w:color="auto"/>
            </w:tcBorders>
            <w:shd w:val="clear" w:color="auto" w:fill="FFFFFF"/>
            <w:noWrap/>
            <w:vAlign w:val="center"/>
            <w:hideMark/>
          </w:tcPr>
          <w:p w14:paraId="5B2D8B9F" w14:textId="77777777" w:rsidR="00A033C1" w:rsidRPr="00A033C1" w:rsidRDefault="00A033C1">
            <w:pPr>
              <w:rPr>
                <w:rFonts w:ascii="Arial" w:eastAsia="DengXian" w:hAnsi="Arial" w:cs="Arial"/>
                <w:color w:val="0070C0"/>
                <w:sz w:val="14"/>
                <w:szCs w:val="14"/>
                <w:lang w:val="en-US" w:eastAsia="zh-CN"/>
              </w:rPr>
            </w:pPr>
            <w:r w:rsidRPr="00A033C1">
              <w:rPr>
                <w:rFonts w:ascii="Arial" w:eastAsia="DengXian" w:hAnsi="Arial" w:cs="Arial"/>
                <w:color w:val="0070C0"/>
                <w:sz w:val="14"/>
                <w:szCs w:val="14"/>
              </w:rPr>
              <w:t>New</w:t>
            </w:r>
          </w:p>
        </w:tc>
        <w:tc>
          <w:tcPr>
            <w:tcW w:w="515" w:type="pct"/>
            <w:tcBorders>
              <w:top w:val="nil"/>
              <w:left w:val="nil"/>
              <w:bottom w:val="single" w:sz="4" w:space="0" w:color="auto"/>
              <w:right w:val="single" w:sz="4" w:space="0" w:color="auto"/>
            </w:tcBorders>
            <w:shd w:val="clear" w:color="auto" w:fill="FFFFFF"/>
            <w:vAlign w:val="center"/>
            <w:hideMark/>
          </w:tcPr>
          <w:p w14:paraId="7D523A16" w14:textId="77777777" w:rsidR="00A033C1" w:rsidRPr="00A033C1" w:rsidRDefault="00A033C1">
            <w:pPr>
              <w:rPr>
                <w:rFonts w:ascii="Arial" w:eastAsia="DengXian" w:hAnsi="Arial" w:cs="Arial"/>
                <w:color w:val="0070C0"/>
                <w:sz w:val="14"/>
                <w:szCs w:val="14"/>
                <w:lang w:val="en-US" w:eastAsia="zh-CN"/>
              </w:rPr>
            </w:pPr>
            <w:r w:rsidRPr="00A033C1">
              <w:rPr>
                <w:rFonts w:ascii="Arial" w:eastAsia="DengXian" w:hAnsi="Arial" w:cs="Arial"/>
                <w:color w:val="0070C0"/>
                <w:sz w:val="14"/>
                <w:szCs w:val="14"/>
              </w:rPr>
              <w:t>ul-TransmissionExtensionValue</w:t>
            </w:r>
          </w:p>
        </w:tc>
        <w:tc>
          <w:tcPr>
            <w:tcW w:w="957" w:type="pct"/>
            <w:tcBorders>
              <w:top w:val="nil"/>
              <w:left w:val="nil"/>
              <w:bottom w:val="single" w:sz="4" w:space="0" w:color="auto"/>
              <w:right w:val="single" w:sz="4" w:space="0" w:color="auto"/>
            </w:tcBorders>
            <w:shd w:val="clear" w:color="auto" w:fill="FFFFFF"/>
            <w:vAlign w:val="center"/>
            <w:hideMark/>
          </w:tcPr>
          <w:p w14:paraId="568B4A56" w14:textId="77777777" w:rsidR="00A033C1" w:rsidRPr="00A033C1" w:rsidRDefault="00A033C1">
            <w:pPr>
              <w:rPr>
                <w:rFonts w:ascii="Arial" w:eastAsia="DengXian" w:hAnsi="Arial" w:cs="Arial"/>
                <w:color w:val="0070C0"/>
                <w:sz w:val="14"/>
                <w:szCs w:val="14"/>
                <w:lang w:val="en-US" w:eastAsia="zh-CN"/>
              </w:rPr>
            </w:pPr>
            <w:r w:rsidRPr="00A033C1">
              <w:rPr>
                <w:rFonts w:ascii="Arial" w:eastAsia="DengXian" w:hAnsi="Arial" w:cs="Arial"/>
                <w:color w:val="0070C0"/>
                <w:sz w:val="14"/>
                <w:szCs w:val="14"/>
              </w:rPr>
              <w:t>Indicates the duration after original GNSS validity duration expires within which UL transmission is allowed. Value in number of sub-frames, value sf500 corresponds to 500 sub-</w:t>
            </w:r>
            <w:r w:rsidRPr="00A033C1">
              <w:rPr>
                <w:rFonts w:ascii="Arial" w:eastAsia="DengXian" w:hAnsi="Arial" w:cs="Arial"/>
                <w:color w:val="0070C0"/>
                <w:sz w:val="14"/>
                <w:szCs w:val="14"/>
              </w:rPr>
              <w:lastRenderedPageBreak/>
              <w:t>frames, sf750 corresponds to 750 sub-frames and so on.</w:t>
            </w:r>
          </w:p>
        </w:tc>
        <w:tc>
          <w:tcPr>
            <w:tcW w:w="441" w:type="pct"/>
            <w:tcBorders>
              <w:top w:val="nil"/>
              <w:left w:val="nil"/>
              <w:bottom w:val="single" w:sz="4" w:space="0" w:color="auto"/>
              <w:right w:val="single" w:sz="4" w:space="0" w:color="auto"/>
            </w:tcBorders>
            <w:shd w:val="clear" w:color="auto" w:fill="FFFFFF"/>
            <w:vAlign w:val="center"/>
            <w:hideMark/>
          </w:tcPr>
          <w:p w14:paraId="38AFB842" w14:textId="77777777" w:rsidR="00A033C1" w:rsidRPr="00A033C1" w:rsidRDefault="00A033C1">
            <w:pPr>
              <w:rPr>
                <w:rFonts w:ascii="Arial" w:eastAsia="DengXian" w:hAnsi="Arial" w:cs="Arial"/>
                <w:color w:val="0070C0"/>
                <w:sz w:val="14"/>
                <w:szCs w:val="14"/>
                <w:lang w:val="en-US" w:eastAsia="zh-CN"/>
              </w:rPr>
            </w:pPr>
            <w:r w:rsidRPr="00A033C1">
              <w:rPr>
                <w:rFonts w:ascii="Arial" w:eastAsia="DengXian" w:hAnsi="Arial" w:cs="Arial"/>
                <w:color w:val="0070C0"/>
                <w:sz w:val="14"/>
                <w:szCs w:val="14"/>
              </w:rPr>
              <w:lastRenderedPageBreak/>
              <w:t>{sf500, sf750, sf1280, sf1920, sf2560, sf5120, sf10240, spare1}</w:t>
            </w:r>
          </w:p>
        </w:tc>
        <w:tc>
          <w:tcPr>
            <w:tcW w:w="221" w:type="pct"/>
            <w:tcBorders>
              <w:top w:val="nil"/>
              <w:left w:val="nil"/>
              <w:bottom w:val="single" w:sz="4" w:space="0" w:color="auto"/>
              <w:right w:val="single" w:sz="4" w:space="0" w:color="auto"/>
            </w:tcBorders>
            <w:shd w:val="clear" w:color="auto" w:fill="FFFFFF"/>
            <w:vAlign w:val="center"/>
            <w:hideMark/>
          </w:tcPr>
          <w:p w14:paraId="483C8ED9" w14:textId="77777777" w:rsidR="00A033C1" w:rsidRPr="00A033C1" w:rsidRDefault="00A033C1">
            <w:pPr>
              <w:rPr>
                <w:rFonts w:ascii="Arial" w:eastAsia="DengXian" w:hAnsi="Arial" w:cs="Arial"/>
                <w:color w:val="0070C0"/>
                <w:sz w:val="14"/>
                <w:szCs w:val="14"/>
                <w:lang w:val="en-US" w:eastAsia="zh-CN"/>
              </w:rPr>
            </w:pPr>
            <w:r w:rsidRPr="00A033C1">
              <w:rPr>
                <w:rFonts w:ascii="Arial" w:eastAsia="DengXian" w:hAnsi="Arial" w:cs="Arial"/>
                <w:color w:val="0070C0"/>
                <w:sz w:val="14"/>
                <w:szCs w:val="14"/>
                <w:lang w:val="en-US"/>
              </w:rPr>
              <w:t xml:space="preserve"> </w:t>
            </w:r>
          </w:p>
        </w:tc>
        <w:tc>
          <w:tcPr>
            <w:tcW w:w="221" w:type="pct"/>
            <w:tcBorders>
              <w:top w:val="nil"/>
              <w:left w:val="nil"/>
              <w:bottom w:val="single" w:sz="4" w:space="0" w:color="auto"/>
              <w:right w:val="single" w:sz="4" w:space="0" w:color="auto"/>
            </w:tcBorders>
            <w:shd w:val="clear" w:color="auto" w:fill="FFFFFF"/>
            <w:noWrap/>
            <w:vAlign w:val="center"/>
            <w:hideMark/>
          </w:tcPr>
          <w:p w14:paraId="5640F0A0" w14:textId="77777777" w:rsidR="00A033C1" w:rsidRPr="00A033C1" w:rsidRDefault="00A033C1">
            <w:pPr>
              <w:rPr>
                <w:rFonts w:ascii="Arial" w:eastAsia="DengXian" w:hAnsi="Arial" w:cs="Arial"/>
                <w:color w:val="0070C0"/>
                <w:sz w:val="14"/>
                <w:szCs w:val="14"/>
                <w:lang w:val="en-US" w:eastAsia="zh-CN"/>
              </w:rPr>
            </w:pPr>
            <w:r w:rsidRPr="00A033C1">
              <w:rPr>
                <w:rFonts w:ascii="Arial" w:eastAsia="DengXian" w:hAnsi="Arial" w:cs="Arial"/>
                <w:color w:val="0070C0"/>
                <w:sz w:val="14"/>
                <w:szCs w:val="14"/>
              </w:rPr>
              <w:t>per UE</w:t>
            </w:r>
          </w:p>
        </w:tc>
        <w:tc>
          <w:tcPr>
            <w:tcW w:w="294" w:type="pct"/>
            <w:tcBorders>
              <w:top w:val="nil"/>
              <w:left w:val="nil"/>
              <w:bottom w:val="single" w:sz="4" w:space="0" w:color="auto"/>
              <w:right w:val="single" w:sz="4" w:space="0" w:color="auto"/>
            </w:tcBorders>
            <w:shd w:val="clear" w:color="auto" w:fill="FFFFFF"/>
            <w:vAlign w:val="center"/>
            <w:hideMark/>
          </w:tcPr>
          <w:p w14:paraId="145C0325" w14:textId="77777777" w:rsidR="00A033C1" w:rsidRPr="00A033C1" w:rsidRDefault="00A033C1">
            <w:pPr>
              <w:rPr>
                <w:rFonts w:ascii="Arial" w:eastAsia="DengXian" w:hAnsi="Arial" w:cs="Arial"/>
                <w:color w:val="0070C0"/>
                <w:sz w:val="14"/>
                <w:szCs w:val="14"/>
                <w:lang w:val="en-US" w:eastAsia="zh-CN"/>
              </w:rPr>
            </w:pPr>
            <w:r w:rsidRPr="00A033C1">
              <w:rPr>
                <w:rFonts w:ascii="Arial" w:eastAsia="DengXian" w:hAnsi="Arial" w:cs="Arial"/>
                <w:color w:val="0070C0"/>
                <w:sz w:val="14"/>
                <w:szCs w:val="14"/>
              </w:rPr>
              <w:t>No</w:t>
            </w:r>
          </w:p>
        </w:tc>
        <w:tc>
          <w:tcPr>
            <w:tcW w:w="221" w:type="pct"/>
            <w:tcBorders>
              <w:top w:val="nil"/>
              <w:left w:val="nil"/>
              <w:bottom w:val="single" w:sz="4" w:space="0" w:color="auto"/>
              <w:right w:val="single" w:sz="4" w:space="0" w:color="auto"/>
            </w:tcBorders>
            <w:shd w:val="clear" w:color="auto" w:fill="FFFFFF"/>
            <w:noWrap/>
            <w:vAlign w:val="center"/>
            <w:hideMark/>
          </w:tcPr>
          <w:p w14:paraId="28F14DD4" w14:textId="77777777" w:rsidR="00A033C1" w:rsidRPr="00A033C1" w:rsidRDefault="00A033C1">
            <w:pPr>
              <w:rPr>
                <w:rFonts w:ascii="Arial" w:eastAsia="DengXian" w:hAnsi="Arial" w:cs="Arial"/>
                <w:color w:val="0070C0"/>
                <w:sz w:val="14"/>
                <w:szCs w:val="14"/>
                <w:lang w:val="en-US" w:eastAsia="zh-CN"/>
              </w:rPr>
            </w:pPr>
            <w:r w:rsidRPr="00A033C1">
              <w:rPr>
                <w:rFonts w:ascii="Arial" w:eastAsia="DengXian" w:hAnsi="Arial" w:cs="Arial"/>
                <w:color w:val="0070C0"/>
                <w:sz w:val="14"/>
                <w:szCs w:val="14"/>
              </w:rPr>
              <w:t>36.331</w:t>
            </w:r>
          </w:p>
        </w:tc>
        <w:tc>
          <w:tcPr>
            <w:tcW w:w="218" w:type="pct"/>
            <w:tcBorders>
              <w:top w:val="nil"/>
              <w:left w:val="nil"/>
              <w:bottom w:val="single" w:sz="4" w:space="0" w:color="auto"/>
              <w:right w:val="single" w:sz="4" w:space="0" w:color="auto"/>
            </w:tcBorders>
            <w:shd w:val="clear" w:color="auto" w:fill="FFFFFF"/>
            <w:vAlign w:val="center"/>
            <w:hideMark/>
          </w:tcPr>
          <w:p w14:paraId="4C437802" w14:textId="77777777" w:rsidR="00A033C1" w:rsidRPr="00A033C1" w:rsidRDefault="00A033C1">
            <w:pPr>
              <w:rPr>
                <w:rFonts w:ascii="Arial" w:eastAsia="DengXian" w:hAnsi="Arial" w:cs="Arial"/>
                <w:color w:val="FF0000"/>
                <w:sz w:val="14"/>
                <w:szCs w:val="14"/>
                <w:lang w:val="en-US" w:eastAsia="zh-CN"/>
              </w:rPr>
            </w:pPr>
            <w:r w:rsidRPr="00A033C1">
              <w:rPr>
                <w:rFonts w:ascii="Arial" w:eastAsia="DengXian" w:hAnsi="Arial" w:cs="Arial" w:hint="eastAsia"/>
                <w:color w:val="FF0000"/>
                <w:sz w:val="14"/>
                <w:szCs w:val="14"/>
                <w:lang w:val="en-US"/>
              </w:rPr>
              <w:t xml:space="preserve">　</w:t>
            </w:r>
          </w:p>
        </w:tc>
      </w:tr>
    </w:tbl>
    <w:p w14:paraId="1E82AB4B" w14:textId="77777777" w:rsidR="00A033C1" w:rsidRPr="00A033C1" w:rsidRDefault="00A033C1" w:rsidP="00A033C1">
      <w:pPr>
        <w:rPr>
          <w:rFonts w:ascii="Times New Roman" w:hAnsi="Times New Roman"/>
          <w:szCs w:val="20"/>
        </w:rPr>
      </w:pPr>
    </w:p>
    <w:p w14:paraId="15F224B4" w14:textId="77777777" w:rsidR="00A033C1" w:rsidRPr="00A033C1" w:rsidRDefault="00A033C1" w:rsidP="00A033C1">
      <w:pPr>
        <w:rPr>
          <w:rFonts w:ascii="Times New Roman" w:hAnsi="Times New Roman"/>
          <w:szCs w:val="20"/>
        </w:rPr>
      </w:pPr>
    </w:p>
    <w:p w14:paraId="1F8D7950" w14:textId="46C115B0" w:rsidR="00A033C1" w:rsidRPr="002356D6" w:rsidRDefault="000E1EA4" w:rsidP="00A033C1">
      <w:r>
        <w:rPr>
          <w:lang w:eastAsia="x-none"/>
        </w:rPr>
        <w:t xml:space="preserve">Final summary in </w:t>
      </w:r>
      <w:hyperlink r:id="rId1820" w:history="1">
        <w:r w:rsidR="00AF7253">
          <w:rPr>
            <w:rStyle w:val="Hyperlink"/>
            <w:lang w:eastAsia="x-none"/>
          </w:rPr>
          <w:t>R1-2312300</w:t>
        </w:r>
      </w:hyperlink>
      <w:r>
        <w:t>.</w:t>
      </w:r>
    </w:p>
    <w:p w14:paraId="1ACEC3C5" w14:textId="77777777" w:rsidR="00F74A6F" w:rsidRPr="009537ED" w:rsidRDefault="00F74A6F" w:rsidP="00F74A6F">
      <w:pPr>
        <w:pStyle w:val="Heading2"/>
      </w:pPr>
      <w:bookmarkStart w:id="775" w:name="_Toc150174495"/>
      <w:bookmarkStart w:id="776" w:name="_Toc159251037"/>
      <w:r w:rsidRPr="009537ED">
        <w:t>Study on Artificial Intelligence (AI)/Machine Learning (ML) for NR Air Interface</w:t>
      </w:r>
      <w:bookmarkEnd w:id="775"/>
      <w:bookmarkEnd w:id="776"/>
      <w:r w:rsidRPr="009537ED">
        <w:t xml:space="preserve"> </w:t>
      </w:r>
    </w:p>
    <w:p w14:paraId="09392F4A" w14:textId="77777777" w:rsidR="00F74A6F" w:rsidRPr="009537ED" w:rsidRDefault="00F74A6F" w:rsidP="00F74A6F">
      <w:pPr>
        <w:rPr>
          <w:i/>
          <w:iCs/>
        </w:rPr>
      </w:pPr>
      <w:r w:rsidRPr="009537ED">
        <w:rPr>
          <w:i/>
          <w:iCs/>
        </w:rPr>
        <w:t xml:space="preserve">Please refer to </w:t>
      </w:r>
      <w:hyperlink r:id="rId1821" w:history="1">
        <w:r w:rsidRPr="009537ED">
          <w:rPr>
            <w:i/>
            <w:iCs/>
            <w:color w:val="0000FF"/>
            <w:u w:val="single"/>
          </w:rPr>
          <w:t>RP-221348</w:t>
        </w:r>
      </w:hyperlink>
      <w:r w:rsidRPr="009537ED">
        <w:rPr>
          <w:i/>
          <w:iCs/>
        </w:rPr>
        <w:t xml:space="preserve"> for detailed scope of the SI.</w:t>
      </w:r>
    </w:p>
    <w:p w14:paraId="71D7F1BD" w14:textId="77777777" w:rsidR="00F74A6F" w:rsidRPr="009537ED" w:rsidRDefault="00F74A6F" w:rsidP="00F74A6F">
      <w:pPr>
        <w:rPr>
          <w:i/>
          <w:iCs/>
        </w:rPr>
      </w:pPr>
    </w:p>
    <w:p w14:paraId="76DCBC9D" w14:textId="77777777" w:rsidR="00031CDD" w:rsidRPr="008978FB" w:rsidRDefault="00F74A6F" w:rsidP="00F74A6F">
      <w:pPr>
        <w:rPr>
          <w:lang w:val="fr-FR" w:eastAsia="x-none"/>
        </w:rPr>
      </w:pPr>
      <w:r w:rsidRPr="008978FB">
        <w:rPr>
          <w:lang w:val="fr-FR" w:eastAsia="x-none"/>
        </w:rPr>
        <w:t xml:space="preserve">[115-R18-AI/ML] </w:t>
      </w:r>
      <w:r w:rsidR="00031CDD" w:rsidRPr="008978FB">
        <w:rPr>
          <w:lang w:val="fr-FR" w:eastAsia="x-none"/>
        </w:rPr>
        <w:t>– Taesang (Qualcomm)</w:t>
      </w:r>
    </w:p>
    <w:p w14:paraId="0461C0EC" w14:textId="5D288755" w:rsidR="00F74A6F" w:rsidRPr="008978FB" w:rsidRDefault="00F74A6F" w:rsidP="00F74A6F">
      <w:pPr>
        <w:rPr>
          <w:lang w:val="fr-FR" w:eastAsia="x-none"/>
        </w:rPr>
      </w:pPr>
      <w:r w:rsidRPr="008978FB">
        <w:rPr>
          <w:lang w:val="fr-FR" w:eastAsia="x-none"/>
        </w:rPr>
        <w:t>Email discussion on AI/ML</w:t>
      </w:r>
    </w:p>
    <w:p w14:paraId="3532C885" w14:textId="77777777" w:rsidR="00F74A6F" w:rsidRPr="008978FB" w:rsidRDefault="00F74A6F" w:rsidP="00F74A6F">
      <w:pPr>
        <w:numPr>
          <w:ilvl w:val="0"/>
          <w:numId w:val="69"/>
        </w:numPr>
        <w:rPr>
          <w:iCs/>
        </w:rPr>
      </w:pPr>
      <w:r w:rsidRPr="008978FB">
        <w:rPr>
          <w:lang w:eastAsia="x-none"/>
        </w:rPr>
        <w:t>To be used for sharing updates on online/offline schedule, details on what is to be discussed in online/offline sessions, tdoc number of the moderator summary for online session, etc</w:t>
      </w:r>
    </w:p>
    <w:p w14:paraId="7843654A" w14:textId="77777777" w:rsidR="00F74A6F" w:rsidRPr="009537ED" w:rsidRDefault="00F74A6F" w:rsidP="00F74A6F">
      <w:pPr>
        <w:rPr>
          <w:iCs/>
        </w:rPr>
      </w:pPr>
    </w:p>
    <w:p w14:paraId="4C91B2F4" w14:textId="077F0397" w:rsidR="00F74A6F" w:rsidRPr="009537ED" w:rsidRDefault="005A18DC" w:rsidP="00F74A6F">
      <w:pPr>
        <w:rPr>
          <w:iCs/>
        </w:rPr>
      </w:pPr>
      <w:hyperlink r:id="rId1822" w:history="1">
        <w:r w:rsidR="00AF7253">
          <w:rPr>
            <w:rStyle w:val="Hyperlink"/>
            <w:iCs/>
          </w:rPr>
          <w:t>R1-2310933</w:t>
        </w:r>
      </w:hyperlink>
      <w:r w:rsidR="00F74A6F" w:rsidRPr="009537ED">
        <w:rPr>
          <w:iCs/>
        </w:rPr>
        <w:tab/>
        <w:t>Text Proposals to TR 38.843</w:t>
      </w:r>
      <w:r w:rsidR="00F74A6F" w:rsidRPr="009537ED">
        <w:rPr>
          <w:iCs/>
        </w:rPr>
        <w:tab/>
        <w:t>Ericsson Inc.</w:t>
      </w:r>
    </w:p>
    <w:p w14:paraId="0C8B2A36" w14:textId="04197DD1" w:rsidR="00F74A6F" w:rsidRPr="00837C58" w:rsidRDefault="005A18DC" w:rsidP="00F74A6F">
      <w:pPr>
        <w:rPr>
          <w:b/>
          <w:bCs/>
          <w:iCs/>
        </w:rPr>
      </w:pPr>
      <w:hyperlink r:id="rId1823" w:history="1">
        <w:r w:rsidR="00AF7253">
          <w:rPr>
            <w:rStyle w:val="Hyperlink"/>
            <w:b/>
            <w:bCs/>
            <w:iCs/>
          </w:rPr>
          <w:t>R1-2312055</w:t>
        </w:r>
      </w:hyperlink>
      <w:r w:rsidR="00F74A6F" w:rsidRPr="00837C58">
        <w:rPr>
          <w:b/>
          <w:bCs/>
          <w:iCs/>
        </w:rPr>
        <w:tab/>
        <w:t>Updated TR 38.843 including RAN1 agreements from RAN1#114bis</w:t>
      </w:r>
      <w:r w:rsidR="00F74A6F" w:rsidRPr="00837C58">
        <w:rPr>
          <w:b/>
          <w:bCs/>
          <w:iCs/>
        </w:rPr>
        <w:tab/>
        <w:t>Qualcomm Incorporated</w:t>
      </w:r>
    </w:p>
    <w:p w14:paraId="0F58BB8B" w14:textId="7747434D" w:rsidR="00837C58" w:rsidRDefault="00837C58" w:rsidP="00F74A6F">
      <w:pPr>
        <w:rPr>
          <w:iCs/>
        </w:rPr>
      </w:pPr>
      <w:r>
        <w:rPr>
          <w:iCs/>
        </w:rPr>
        <w:t>Tuesday decision</w:t>
      </w:r>
    </w:p>
    <w:p w14:paraId="3F648F25" w14:textId="77777777" w:rsidR="00837C58" w:rsidRPr="00837C58" w:rsidRDefault="00837C58" w:rsidP="00837C58">
      <w:pPr>
        <w:rPr>
          <w:iCs/>
        </w:rPr>
      </w:pPr>
      <w:r w:rsidRPr="00837C58">
        <w:rPr>
          <w:iCs/>
          <w:highlight w:val="green"/>
        </w:rPr>
        <w:t>Agreement</w:t>
      </w:r>
    </w:p>
    <w:p w14:paraId="0FD460D3" w14:textId="6E204AD0" w:rsidR="00837C58" w:rsidRPr="00260C0F" w:rsidRDefault="00837C58" w:rsidP="00837C58">
      <w:pPr>
        <w:rPr>
          <w:iCs/>
        </w:rPr>
      </w:pPr>
      <w:r>
        <w:rPr>
          <w:iCs/>
        </w:rPr>
        <w:t>The updated TR (</w:t>
      </w:r>
      <w:hyperlink r:id="rId1824" w:history="1">
        <w:r w:rsidR="00AF7253">
          <w:rPr>
            <w:rStyle w:val="Hyperlink"/>
            <w:iCs/>
          </w:rPr>
          <w:t>R1-2312055</w:t>
        </w:r>
      </w:hyperlink>
      <w:r>
        <w:rPr>
          <w:iCs/>
        </w:rPr>
        <w:t>) is endorsed with an update to remove RAN1 response to RAN2 LS part B.</w:t>
      </w:r>
    </w:p>
    <w:p w14:paraId="51DF1EDA" w14:textId="77777777" w:rsidR="00F74A6F" w:rsidRPr="009537ED" w:rsidRDefault="00F74A6F" w:rsidP="00031CDD">
      <w:pPr>
        <w:pStyle w:val="Heading3"/>
      </w:pPr>
      <w:bookmarkStart w:id="777" w:name="_Toc150174496"/>
      <w:bookmarkStart w:id="778" w:name="_Toc159251038"/>
      <w:r w:rsidRPr="009537ED">
        <w:t>General aspects of AI/ML framework</w:t>
      </w:r>
      <w:bookmarkEnd w:id="777"/>
      <w:bookmarkEnd w:id="778"/>
    </w:p>
    <w:p w14:paraId="77AF64BD" w14:textId="77777777" w:rsidR="00F74A6F" w:rsidRPr="009537ED" w:rsidRDefault="00F74A6F" w:rsidP="00F74A6F">
      <w:pPr>
        <w:rPr>
          <w:i/>
          <w:iCs/>
        </w:rPr>
      </w:pPr>
      <w:r w:rsidRPr="009537ED">
        <w:rPr>
          <w:i/>
          <w:iCs/>
        </w:rPr>
        <w:t>Including characterization of defining stages of AI/ML algorithm and associated complexity, UE-gNB collaboration, life cycle management, dataset(s), and notation/terminology. Also including any common aspects of evaluation methodology.</w:t>
      </w:r>
    </w:p>
    <w:p w14:paraId="1EB894CF" w14:textId="77777777" w:rsidR="00F74A6F" w:rsidRPr="009537ED" w:rsidRDefault="00F74A6F" w:rsidP="00F74A6F">
      <w:pPr>
        <w:rPr>
          <w:i/>
          <w:iCs/>
        </w:rPr>
      </w:pPr>
    </w:p>
    <w:p w14:paraId="2A317D47" w14:textId="4739BCE4" w:rsidR="00F74A6F" w:rsidRPr="009537ED" w:rsidRDefault="005A18DC" w:rsidP="00F74A6F">
      <w:pPr>
        <w:rPr>
          <w:iCs/>
        </w:rPr>
      </w:pPr>
      <w:hyperlink r:id="rId1825" w:history="1">
        <w:r w:rsidR="00AF7253">
          <w:rPr>
            <w:rStyle w:val="Hyperlink"/>
            <w:iCs/>
          </w:rPr>
          <w:t>R1-2310818</w:t>
        </w:r>
      </w:hyperlink>
      <w:r w:rsidR="00F74A6F" w:rsidRPr="009537ED">
        <w:rPr>
          <w:iCs/>
        </w:rPr>
        <w:tab/>
        <w:t>Discussion on remaining open issues of AI/ML for air-interface general framework</w:t>
      </w:r>
      <w:r w:rsidR="00F74A6F" w:rsidRPr="009537ED">
        <w:rPr>
          <w:iCs/>
        </w:rPr>
        <w:tab/>
        <w:t>FUTUREWEI</w:t>
      </w:r>
    </w:p>
    <w:p w14:paraId="479FC97C" w14:textId="51F98B74" w:rsidR="00F74A6F" w:rsidRPr="009537ED" w:rsidRDefault="005A18DC" w:rsidP="00F74A6F">
      <w:pPr>
        <w:rPr>
          <w:iCs/>
        </w:rPr>
      </w:pPr>
      <w:hyperlink r:id="rId1826" w:history="1">
        <w:r w:rsidR="00AF7253">
          <w:rPr>
            <w:rStyle w:val="Hyperlink"/>
            <w:iCs/>
          </w:rPr>
          <w:t>R1-2310844</w:t>
        </w:r>
      </w:hyperlink>
      <w:r w:rsidR="00F74A6F" w:rsidRPr="009537ED">
        <w:rPr>
          <w:iCs/>
        </w:rPr>
        <w:tab/>
        <w:t>Remaining issues on general aspects of AI/ML framework</w:t>
      </w:r>
      <w:r w:rsidR="00F74A6F" w:rsidRPr="009537ED">
        <w:rPr>
          <w:iCs/>
        </w:rPr>
        <w:tab/>
        <w:t>Huawei, HiSilicon</w:t>
      </w:r>
    </w:p>
    <w:p w14:paraId="580178D4" w14:textId="788493C5" w:rsidR="00F74A6F" w:rsidRPr="009537ED" w:rsidRDefault="005A18DC" w:rsidP="00F74A6F">
      <w:pPr>
        <w:rPr>
          <w:iCs/>
        </w:rPr>
      </w:pPr>
      <w:hyperlink r:id="rId1827" w:history="1">
        <w:r w:rsidR="00AF7253">
          <w:rPr>
            <w:rStyle w:val="Hyperlink"/>
            <w:iCs/>
          </w:rPr>
          <w:t>R1-2310977</w:t>
        </w:r>
      </w:hyperlink>
      <w:r w:rsidR="00F74A6F" w:rsidRPr="009537ED">
        <w:rPr>
          <w:iCs/>
        </w:rPr>
        <w:tab/>
        <w:t>Discussion on general aspects of AI/ML framework</w:t>
      </w:r>
      <w:r w:rsidR="00F74A6F" w:rsidRPr="009537ED">
        <w:rPr>
          <w:iCs/>
        </w:rPr>
        <w:tab/>
        <w:t>Continental Automotive</w:t>
      </w:r>
    </w:p>
    <w:p w14:paraId="4B85549A" w14:textId="49ADD8C1" w:rsidR="00F74A6F" w:rsidRPr="009537ED" w:rsidRDefault="005A18DC" w:rsidP="00F74A6F">
      <w:pPr>
        <w:rPr>
          <w:iCs/>
        </w:rPr>
      </w:pPr>
      <w:hyperlink r:id="rId1828" w:history="1">
        <w:r w:rsidR="00AF7253">
          <w:rPr>
            <w:rStyle w:val="Hyperlink"/>
            <w:iCs/>
          </w:rPr>
          <w:t>R1-2310987</w:t>
        </w:r>
      </w:hyperlink>
      <w:r w:rsidR="00F74A6F" w:rsidRPr="009537ED">
        <w:rPr>
          <w:iCs/>
        </w:rPr>
        <w:tab/>
        <w:t>Discussion on general aspects of common AI PHY framework</w:t>
      </w:r>
      <w:r w:rsidR="00F74A6F" w:rsidRPr="009537ED">
        <w:rPr>
          <w:iCs/>
        </w:rPr>
        <w:tab/>
        <w:t>ZTE</w:t>
      </w:r>
    </w:p>
    <w:p w14:paraId="550B6DE3" w14:textId="20AB7BEF" w:rsidR="00F74A6F" w:rsidRPr="009537ED" w:rsidRDefault="005A18DC" w:rsidP="00F74A6F">
      <w:pPr>
        <w:rPr>
          <w:iCs/>
        </w:rPr>
      </w:pPr>
      <w:hyperlink r:id="rId1829" w:history="1">
        <w:r w:rsidR="00AF7253">
          <w:rPr>
            <w:rStyle w:val="Hyperlink"/>
            <w:iCs/>
          </w:rPr>
          <w:t>R1-2310999</w:t>
        </w:r>
      </w:hyperlink>
      <w:r w:rsidR="00F74A6F" w:rsidRPr="009537ED">
        <w:rPr>
          <w:iCs/>
        </w:rPr>
        <w:tab/>
        <w:t>Discussion on remaining issues of AI/ML general framework</w:t>
      </w:r>
      <w:r w:rsidR="00F74A6F" w:rsidRPr="009537ED">
        <w:rPr>
          <w:iCs/>
        </w:rPr>
        <w:tab/>
        <w:t>Ericsson</w:t>
      </w:r>
    </w:p>
    <w:p w14:paraId="3283846B" w14:textId="6ED433CE" w:rsidR="00F74A6F" w:rsidRPr="009537ED" w:rsidRDefault="005A18DC" w:rsidP="00F74A6F">
      <w:pPr>
        <w:rPr>
          <w:iCs/>
        </w:rPr>
      </w:pPr>
      <w:hyperlink r:id="rId1830" w:history="1">
        <w:r w:rsidR="00AF7253">
          <w:rPr>
            <w:rStyle w:val="Hyperlink"/>
            <w:iCs/>
          </w:rPr>
          <w:t>R1-2311047</w:t>
        </w:r>
      </w:hyperlink>
      <w:r w:rsidR="00F74A6F" w:rsidRPr="009537ED">
        <w:rPr>
          <w:iCs/>
        </w:rPr>
        <w:tab/>
        <w:t>Discussion on general aspects of AI/ML framework</w:t>
      </w:r>
      <w:r w:rsidR="00F74A6F" w:rsidRPr="009537ED">
        <w:rPr>
          <w:iCs/>
        </w:rPr>
        <w:tab/>
        <w:t>Fujitsu</w:t>
      </w:r>
    </w:p>
    <w:p w14:paraId="7A7BC65F" w14:textId="0FE18149" w:rsidR="00F74A6F" w:rsidRPr="009537ED" w:rsidRDefault="005A18DC" w:rsidP="00F74A6F">
      <w:pPr>
        <w:rPr>
          <w:iCs/>
        </w:rPr>
      </w:pPr>
      <w:hyperlink r:id="rId1831" w:history="1">
        <w:r w:rsidR="00AF7253">
          <w:rPr>
            <w:rStyle w:val="Hyperlink"/>
            <w:iCs/>
          </w:rPr>
          <w:t>R1-2311114</w:t>
        </w:r>
      </w:hyperlink>
      <w:r w:rsidR="00F74A6F" w:rsidRPr="009537ED">
        <w:rPr>
          <w:iCs/>
        </w:rPr>
        <w:tab/>
        <w:t>Discussions on AI/ML framework</w:t>
      </w:r>
      <w:r w:rsidR="00F74A6F" w:rsidRPr="009537ED">
        <w:rPr>
          <w:iCs/>
        </w:rPr>
        <w:tab/>
        <w:t>vivo</w:t>
      </w:r>
    </w:p>
    <w:p w14:paraId="797631FB" w14:textId="492C20C6" w:rsidR="00F74A6F" w:rsidRPr="009537ED" w:rsidRDefault="005A18DC" w:rsidP="00F74A6F">
      <w:pPr>
        <w:rPr>
          <w:iCs/>
        </w:rPr>
      </w:pPr>
      <w:hyperlink r:id="rId1832" w:history="1">
        <w:r w:rsidR="00AF7253">
          <w:rPr>
            <w:rStyle w:val="Hyperlink"/>
            <w:iCs/>
          </w:rPr>
          <w:t>R1-2311151</w:t>
        </w:r>
      </w:hyperlink>
      <w:r w:rsidR="00F74A6F" w:rsidRPr="009537ED">
        <w:rPr>
          <w:iCs/>
        </w:rPr>
        <w:tab/>
        <w:t>General aspects of AI/ML framework for NR air interface</w:t>
      </w:r>
      <w:r w:rsidR="00F74A6F" w:rsidRPr="009537ED">
        <w:rPr>
          <w:iCs/>
        </w:rPr>
        <w:tab/>
        <w:t>Intel Corporation</w:t>
      </w:r>
    </w:p>
    <w:p w14:paraId="4668539C" w14:textId="2E0D0157" w:rsidR="00F74A6F" w:rsidRPr="009537ED" w:rsidRDefault="005A18DC" w:rsidP="00F74A6F">
      <w:pPr>
        <w:rPr>
          <w:iCs/>
        </w:rPr>
      </w:pPr>
      <w:hyperlink r:id="rId1833" w:history="1">
        <w:r w:rsidR="00AF7253">
          <w:rPr>
            <w:rStyle w:val="Hyperlink"/>
            <w:iCs/>
          </w:rPr>
          <w:t>R1-2311182</w:t>
        </w:r>
      </w:hyperlink>
      <w:r w:rsidR="00F74A6F" w:rsidRPr="009537ED">
        <w:rPr>
          <w:iCs/>
        </w:rPr>
        <w:tab/>
        <w:t>Discussion on general aspects of AIML framework</w:t>
      </w:r>
      <w:r w:rsidR="00F74A6F" w:rsidRPr="009537ED">
        <w:rPr>
          <w:iCs/>
        </w:rPr>
        <w:tab/>
        <w:t>Spreadtrum Communications</w:t>
      </w:r>
    </w:p>
    <w:p w14:paraId="2B5C5107" w14:textId="43AAEE5C" w:rsidR="00F74A6F" w:rsidRPr="009537ED" w:rsidRDefault="005A18DC" w:rsidP="00F74A6F">
      <w:pPr>
        <w:rPr>
          <w:iCs/>
        </w:rPr>
      </w:pPr>
      <w:hyperlink r:id="rId1834" w:history="1">
        <w:r w:rsidR="00AF7253">
          <w:rPr>
            <w:rStyle w:val="Hyperlink"/>
            <w:iCs/>
          </w:rPr>
          <w:t>R1-2311269</w:t>
        </w:r>
      </w:hyperlink>
      <w:r w:rsidR="00F74A6F" w:rsidRPr="009537ED">
        <w:rPr>
          <w:iCs/>
        </w:rPr>
        <w:tab/>
        <w:t>On general aspects of AI/ML framework</w:t>
      </w:r>
      <w:r w:rsidR="00F74A6F" w:rsidRPr="009537ED">
        <w:rPr>
          <w:iCs/>
        </w:rPr>
        <w:tab/>
        <w:t>OPPO</w:t>
      </w:r>
    </w:p>
    <w:p w14:paraId="0F9D4CB7" w14:textId="7E91DD08" w:rsidR="00F74A6F" w:rsidRPr="009537ED" w:rsidRDefault="005A18DC" w:rsidP="00F74A6F">
      <w:pPr>
        <w:rPr>
          <w:iCs/>
        </w:rPr>
      </w:pPr>
      <w:hyperlink r:id="rId1835" w:history="1">
        <w:r w:rsidR="00AF7253">
          <w:rPr>
            <w:rStyle w:val="Hyperlink"/>
            <w:iCs/>
          </w:rPr>
          <w:t>R1-2311326</w:t>
        </w:r>
      </w:hyperlink>
      <w:r w:rsidR="00F74A6F" w:rsidRPr="009537ED">
        <w:rPr>
          <w:iCs/>
        </w:rPr>
        <w:tab/>
        <w:t>General aspects of AI/ML framework</w:t>
      </w:r>
      <w:r w:rsidR="00F74A6F" w:rsidRPr="009537ED">
        <w:rPr>
          <w:iCs/>
        </w:rPr>
        <w:tab/>
        <w:t>CATT</w:t>
      </w:r>
    </w:p>
    <w:p w14:paraId="2094D3C9" w14:textId="4DA3F432" w:rsidR="00F74A6F" w:rsidRPr="009537ED" w:rsidRDefault="005A18DC" w:rsidP="00F74A6F">
      <w:pPr>
        <w:rPr>
          <w:iCs/>
        </w:rPr>
      </w:pPr>
      <w:hyperlink r:id="rId1836" w:history="1">
        <w:r w:rsidR="00AF7253">
          <w:rPr>
            <w:rStyle w:val="Hyperlink"/>
            <w:iCs/>
          </w:rPr>
          <w:t>R1-2311390</w:t>
        </w:r>
      </w:hyperlink>
      <w:r w:rsidR="00F74A6F" w:rsidRPr="009537ED">
        <w:rPr>
          <w:iCs/>
        </w:rPr>
        <w:tab/>
        <w:t>Discussion on the remaining issues of AI/ML framework</w:t>
      </w:r>
      <w:r w:rsidR="00F74A6F" w:rsidRPr="009537ED">
        <w:rPr>
          <w:iCs/>
        </w:rPr>
        <w:tab/>
        <w:t>xiaomi</w:t>
      </w:r>
    </w:p>
    <w:p w14:paraId="088D8E8E" w14:textId="0658C9D4" w:rsidR="00F74A6F" w:rsidRPr="009537ED" w:rsidRDefault="005A18DC" w:rsidP="00F74A6F">
      <w:pPr>
        <w:rPr>
          <w:iCs/>
        </w:rPr>
      </w:pPr>
      <w:hyperlink r:id="rId1837" w:history="1">
        <w:r w:rsidR="00AF7253">
          <w:rPr>
            <w:rStyle w:val="Hyperlink"/>
            <w:iCs/>
          </w:rPr>
          <w:t>R1-2311423</w:t>
        </w:r>
      </w:hyperlink>
      <w:r w:rsidR="00F74A6F" w:rsidRPr="009537ED">
        <w:rPr>
          <w:iCs/>
        </w:rPr>
        <w:tab/>
        <w:t>Discussion on general aspects of AI ML framework</w:t>
      </w:r>
      <w:r w:rsidR="00F74A6F" w:rsidRPr="009537ED">
        <w:rPr>
          <w:iCs/>
        </w:rPr>
        <w:tab/>
        <w:t>NEC</w:t>
      </w:r>
    </w:p>
    <w:p w14:paraId="39A28A78" w14:textId="64EC1C41" w:rsidR="00F74A6F" w:rsidRPr="009537ED" w:rsidRDefault="005A18DC" w:rsidP="00F74A6F">
      <w:pPr>
        <w:rPr>
          <w:iCs/>
        </w:rPr>
      </w:pPr>
      <w:hyperlink r:id="rId1838" w:history="1">
        <w:r w:rsidR="00AF7253">
          <w:rPr>
            <w:rStyle w:val="Hyperlink"/>
            <w:iCs/>
          </w:rPr>
          <w:t>R1-2311436</w:t>
        </w:r>
      </w:hyperlink>
      <w:r w:rsidR="00F74A6F" w:rsidRPr="009537ED">
        <w:rPr>
          <w:iCs/>
        </w:rPr>
        <w:tab/>
        <w:t>Remaining issues on AI/ML framework</w:t>
      </w:r>
      <w:r w:rsidR="00F74A6F" w:rsidRPr="009537ED">
        <w:rPr>
          <w:iCs/>
        </w:rPr>
        <w:tab/>
        <w:t>LG Electronics</w:t>
      </w:r>
    </w:p>
    <w:p w14:paraId="2BA6EFDE" w14:textId="4C8ABB9B" w:rsidR="00F74A6F" w:rsidRPr="009537ED" w:rsidRDefault="005A18DC" w:rsidP="00F74A6F">
      <w:pPr>
        <w:rPr>
          <w:iCs/>
        </w:rPr>
      </w:pPr>
      <w:hyperlink r:id="rId1839" w:history="1">
        <w:r w:rsidR="00AF7253">
          <w:rPr>
            <w:rStyle w:val="Hyperlink"/>
            <w:iCs/>
          </w:rPr>
          <w:t>R1-2311449</w:t>
        </w:r>
      </w:hyperlink>
      <w:r w:rsidR="00F74A6F" w:rsidRPr="009537ED">
        <w:rPr>
          <w:iCs/>
        </w:rPr>
        <w:tab/>
        <w:t>Remaining issues on general aspects of AI/ML framework</w:t>
      </w:r>
      <w:r w:rsidR="00F74A6F" w:rsidRPr="009537ED">
        <w:rPr>
          <w:iCs/>
        </w:rPr>
        <w:tab/>
        <w:t>Panasonic</w:t>
      </w:r>
    </w:p>
    <w:p w14:paraId="3E4CDC0F" w14:textId="158FA880" w:rsidR="00F74A6F" w:rsidRPr="009537ED" w:rsidRDefault="005A18DC" w:rsidP="00F74A6F">
      <w:pPr>
        <w:rPr>
          <w:iCs/>
        </w:rPr>
      </w:pPr>
      <w:hyperlink r:id="rId1840" w:history="1">
        <w:r w:rsidR="00AF7253">
          <w:rPr>
            <w:rStyle w:val="Hyperlink"/>
            <w:iCs/>
          </w:rPr>
          <w:t>R1-2311499</w:t>
        </w:r>
      </w:hyperlink>
      <w:r w:rsidR="00F74A6F" w:rsidRPr="009537ED">
        <w:rPr>
          <w:iCs/>
        </w:rPr>
        <w:tab/>
        <w:t>Discussion on general aspects of AI/ML framework</w:t>
      </w:r>
      <w:r w:rsidR="00F74A6F" w:rsidRPr="009537ED">
        <w:rPr>
          <w:iCs/>
        </w:rPr>
        <w:tab/>
        <w:t>CMCC</w:t>
      </w:r>
    </w:p>
    <w:p w14:paraId="25A2FF12" w14:textId="0789CB0F" w:rsidR="00F74A6F" w:rsidRPr="009537ED" w:rsidRDefault="005A18DC" w:rsidP="00F74A6F">
      <w:pPr>
        <w:rPr>
          <w:iCs/>
        </w:rPr>
      </w:pPr>
      <w:hyperlink r:id="rId1841" w:history="1">
        <w:r w:rsidR="00AF7253">
          <w:rPr>
            <w:rStyle w:val="Hyperlink"/>
            <w:iCs/>
          </w:rPr>
          <w:t>R1-2311527</w:t>
        </w:r>
      </w:hyperlink>
      <w:r w:rsidR="00F74A6F" w:rsidRPr="009537ED">
        <w:rPr>
          <w:iCs/>
        </w:rPr>
        <w:tab/>
        <w:t>Remaining issues on general AI/ML framework</w:t>
      </w:r>
      <w:r w:rsidR="00F74A6F" w:rsidRPr="009537ED">
        <w:rPr>
          <w:iCs/>
        </w:rPr>
        <w:tab/>
        <w:t>Sony</w:t>
      </w:r>
    </w:p>
    <w:p w14:paraId="79202449" w14:textId="6C83F3DE" w:rsidR="00F74A6F" w:rsidRPr="009537ED" w:rsidRDefault="005A18DC" w:rsidP="00F74A6F">
      <w:pPr>
        <w:rPr>
          <w:iCs/>
        </w:rPr>
      </w:pPr>
      <w:hyperlink r:id="rId1842" w:history="1">
        <w:r w:rsidR="00AF7253">
          <w:rPr>
            <w:rStyle w:val="Hyperlink"/>
            <w:iCs/>
          </w:rPr>
          <w:t>R1-2311529</w:t>
        </w:r>
      </w:hyperlink>
      <w:r w:rsidR="00F74A6F" w:rsidRPr="009537ED">
        <w:rPr>
          <w:iCs/>
        </w:rPr>
        <w:tab/>
        <w:t>General aspects of AI and ML framework for NR air interface</w:t>
      </w:r>
      <w:r w:rsidR="00F74A6F" w:rsidRPr="009537ED">
        <w:rPr>
          <w:iCs/>
        </w:rPr>
        <w:tab/>
        <w:t>NVIDIA</w:t>
      </w:r>
    </w:p>
    <w:p w14:paraId="611D010C" w14:textId="29EB93A7" w:rsidR="00F74A6F" w:rsidRPr="009537ED" w:rsidRDefault="005A18DC" w:rsidP="00F74A6F">
      <w:pPr>
        <w:rPr>
          <w:iCs/>
        </w:rPr>
      </w:pPr>
      <w:hyperlink r:id="rId1843" w:history="1">
        <w:r w:rsidR="00AF7253">
          <w:rPr>
            <w:rStyle w:val="Hyperlink"/>
            <w:iCs/>
          </w:rPr>
          <w:t>R1-2311539</w:t>
        </w:r>
      </w:hyperlink>
      <w:r w:rsidR="00F74A6F" w:rsidRPr="009537ED">
        <w:rPr>
          <w:iCs/>
        </w:rPr>
        <w:tab/>
        <w:t>Remaining details on general aspects of AI/ML framework</w:t>
      </w:r>
      <w:r w:rsidR="00F74A6F" w:rsidRPr="009537ED">
        <w:rPr>
          <w:iCs/>
        </w:rPr>
        <w:tab/>
        <w:t>InterDigital, Inc.</w:t>
      </w:r>
    </w:p>
    <w:p w14:paraId="30BE255E" w14:textId="73D9E2FA" w:rsidR="00F74A6F" w:rsidRPr="009537ED" w:rsidRDefault="005A18DC" w:rsidP="00F74A6F">
      <w:pPr>
        <w:rPr>
          <w:iCs/>
        </w:rPr>
      </w:pPr>
      <w:hyperlink r:id="rId1844" w:history="1">
        <w:r w:rsidR="00AF7253">
          <w:rPr>
            <w:rStyle w:val="Hyperlink"/>
            <w:iCs/>
          </w:rPr>
          <w:t>R1-2311572</w:t>
        </w:r>
      </w:hyperlink>
      <w:r w:rsidR="00F74A6F" w:rsidRPr="009537ED">
        <w:rPr>
          <w:iCs/>
        </w:rPr>
        <w:tab/>
        <w:t>On General Aspects of AI/ML Framework</w:t>
      </w:r>
      <w:r w:rsidR="00F74A6F" w:rsidRPr="009537ED">
        <w:rPr>
          <w:iCs/>
        </w:rPr>
        <w:tab/>
        <w:t>Google</w:t>
      </w:r>
    </w:p>
    <w:p w14:paraId="09AC523B" w14:textId="7B2520FE" w:rsidR="00F74A6F" w:rsidRPr="009537ED" w:rsidRDefault="005A18DC" w:rsidP="00F74A6F">
      <w:pPr>
        <w:rPr>
          <w:iCs/>
        </w:rPr>
      </w:pPr>
      <w:hyperlink r:id="rId1845" w:history="1">
        <w:r w:rsidR="00AF7253">
          <w:rPr>
            <w:rStyle w:val="Hyperlink"/>
            <w:iCs/>
          </w:rPr>
          <w:t>R1-2311639</w:t>
        </w:r>
      </w:hyperlink>
      <w:r w:rsidR="00F74A6F" w:rsidRPr="009537ED">
        <w:rPr>
          <w:iCs/>
        </w:rPr>
        <w:tab/>
        <w:t>Discussion on general aspects of AI/ML framework</w:t>
      </w:r>
      <w:r w:rsidR="00F74A6F" w:rsidRPr="009537ED">
        <w:rPr>
          <w:iCs/>
        </w:rPr>
        <w:tab/>
        <w:t>NTT DOCOMO, INC.</w:t>
      </w:r>
    </w:p>
    <w:p w14:paraId="32DB550F" w14:textId="1285BC33" w:rsidR="00F74A6F" w:rsidRPr="009537ED" w:rsidRDefault="005A18DC" w:rsidP="00F74A6F">
      <w:pPr>
        <w:rPr>
          <w:iCs/>
        </w:rPr>
      </w:pPr>
      <w:hyperlink r:id="rId1846" w:history="1">
        <w:r w:rsidR="00AF7253">
          <w:rPr>
            <w:rStyle w:val="Hyperlink"/>
            <w:iCs/>
          </w:rPr>
          <w:t>R1-2311704</w:t>
        </w:r>
      </w:hyperlink>
      <w:r w:rsidR="00F74A6F" w:rsidRPr="009537ED">
        <w:rPr>
          <w:iCs/>
        </w:rPr>
        <w:tab/>
        <w:t>Discussion on general aspect of AI/ML framework</w:t>
      </w:r>
      <w:r w:rsidR="00F74A6F" w:rsidRPr="009537ED">
        <w:rPr>
          <w:iCs/>
        </w:rPr>
        <w:tab/>
        <w:t>Apple</w:t>
      </w:r>
    </w:p>
    <w:p w14:paraId="235B000F" w14:textId="34AE328C" w:rsidR="00F74A6F" w:rsidRPr="009537ED" w:rsidRDefault="005A18DC" w:rsidP="00F74A6F">
      <w:pPr>
        <w:rPr>
          <w:iCs/>
        </w:rPr>
      </w:pPr>
      <w:hyperlink r:id="rId1847" w:history="1">
        <w:r w:rsidR="00AF7253">
          <w:rPr>
            <w:rStyle w:val="Hyperlink"/>
            <w:iCs/>
          </w:rPr>
          <w:t>R1-2311760</w:t>
        </w:r>
      </w:hyperlink>
      <w:r w:rsidR="00F74A6F" w:rsidRPr="009537ED">
        <w:rPr>
          <w:iCs/>
        </w:rPr>
        <w:tab/>
        <w:t>Discussion on general aspects of AI_ML framework for NR air interface</w:t>
      </w:r>
      <w:r w:rsidR="00F74A6F" w:rsidRPr="009537ED">
        <w:rPr>
          <w:iCs/>
        </w:rPr>
        <w:tab/>
        <w:t>ETRI</w:t>
      </w:r>
    </w:p>
    <w:p w14:paraId="751E1098" w14:textId="4D0C12DF" w:rsidR="00F74A6F" w:rsidRPr="009537ED" w:rsidRDefault="005A18DC" w:rsidP="00F74A6F">
      <w:pPr>
        <w:rPr>
          <w:iCs/>
        </w:rPr>
      </w:pPr>
      <w:hyperlink r:id="rId1848" w:history="1">
        <w:r w:rsidR="00AF7253">
          <w:rPr>
            <w:rStyle w:val="Hyperlink"/>
            <w:iCs/>
          </w:rPr>
          <w:t>R1-2311783</w:t>
        </w:r>
      </w:hyperlink>
      <w:r w:rsidR="00F74A6F" w:rsidRPr="009537ED">
        <w:rPr>
          <w:iCs/>
        </w:rPr>
        <w:tab/>
        <w:t>Remaining Issues on General Aspects of AI/ML</w:t>
      </w:r>
      <w:r w:rsidR="00F74A6F" w:rsidRPr="009537ED">
        <w:rPr>
          <w:iCs/>
        </w:rPr>
        <w:tab/>
        <w:t>Nokia, Nokia Shanghai Bell</w:t>
      </w:r>
    </w:p>
    <w:p w14:paraId="1D6F8C8F" w14:textId="0D5859DD" w:rsidR="00F74A6F" w:rsidRPr="009537ED" w:rsidRDefault="005A18DC" w:rsidP="00F74A6F">
      <w:pPr>
        <w:rPr>
          <w:iCs/>
        </w:rPr>
      </w:pPr>
      <w:hyperlink r:id="rId1849" w:history="1">
        <w:r w:rsidR="00AF7253">
          <w:rPr>
            <w:rStyle w:val="Hyperlink"/>
            <w:iCs/>
          </w:rPr>
          <w:t>R1-2311864</w:t>
        </w:r>
      </w:hyperlink>
      <w:r w:rsidR="00F74A6F" w:rsidRPr="009537ED">
        <w:rPr>
          <w:iCs/>
        </w:rPr>
        <w:tab/>
        <w:t>Views on the remaining general aspects of AI/ML framework</w:t>
      </w:r>
      <w:r w:rsidR="00F74A6F" w:rsidRPr="009537ED">
        <w:rPr>
          <w:iCs/>
        </w:rPr>
        <w:tab/>
        <w:t>Samsung</w:t>
      </w:r>
    </w:p>
    <w:p w14:paraId="5B700ECF" w14:textId="0A01F5C4" w:rsidR="00F74A6F" w:rsidRPr="009537ED" w:rsidRDefault="005A18DC" w:rsidP="00F74A6F">
      <w:pPr>
        <w:rPr>
          <w:iCs/>
        </w:rPr>
      </w:pPr>
      <w:hyperlink r:id="rId1850" w:history="1">
        <w:r w:rsidR="00AF7253">
          <w:rPr>
            <w:rStyle w:val="Hyperlink"/>
            <w:iCs/>
          </w:rPr>
          <w:t>R1-2311888</w:t>
        </w:r>
      </w:hyperlink>
      <w:r w:rsidR="00F74A6F" w:rsidRPr="009537ED">
        <w:rPr>
          <w:iCs/>
        </w:rPr>
        <w:tab/>
        <w:t>Discussion on general aspects of AI/ML framework</w:t>
      </w:r>
      <w:r w:rsidR="00F74A6F" w:rsidRPr="009537ED">
        <w:rPr>
          <w:iCs/>
        </w:rPr>
        <w:tab/>
        <w:t>Sharp</w:t>
      </w:r>
    </w:p>
    <w:p w14:paraId="74F4F243" w14:textId="20616D26" w:rsidR="00F74A6F" w:rsidRPr="009537ED" w:rsidRDefault="005A18DC" w:rsidP="00F74A6F">
      <w:pPr>
        <w:rPr>
          <w:iCs/>
        </w:rPr>
      </w:pPr>
      <w:hyperlink r:id="rId1851" w:history="1">
        <w:r w:rsidR="00AF7253">
          <w:rPr>
            <w:rStyle w:val="Hyperlink"/>
            <w:iCs/>
          </w:rPr>
          <w:t>R1-2311908</w:t>
        </w:r>
      </w:hyperlink>
      <w:r w:rsidR="00F74A6F" w:rsidRPr="009537ED">
        <w:rPr>
          <w:iCs/>
        </w:rPr>
        <w:tab/>
        <w:t>Remaining issues on general aspects of AI/ML framework</w:t>
      </w:r>
      <w:r w:rsidR="00F74A6F" w:rsidRPr="009537ED">
        <w:rPr>
          <w:iCs/>
        </w:rPr>
        <w:tab/>
        <w:t>Fraunhofer IIS, Fraunhofer HHI</w:t>
      </w:r>
    </w:p>
    <w:p w14:paraId="73FEF716" w14:textId="04B75626" w:rsidR="00F74A6F" w:rsidRPr="009537ED" w:rsidRDefault="005A18DC" w:rsidP="00F74A6F">
      <w:pPr>
        <w:rPr>
          <w:iCs/>
        </w:rPr>
      </w:pPr>
      <w:hyperlink r:id="rId1852" w:history="1">
        <w:r w:rsidR="00AF7253">
          <w:rPr>
            <w:rStyle w:val="Hyperlink"/>
            <w:iCs/>
          </w:rPr>
          <w:t>R1-2311936</w:t>
        </w:r>
      </w:hyperlink>
      <w:r w:rsidR="00F74A6F" w:rsidRPr="009537ED">
        <w:rPr>
          <w:iCs/>
        </w:rPr>
        <w:tab/>
        <w:t>Remaining issues on general aspects of AI/ML framework</w:t>
      </w:r>
      <w:r w:rsidR="00F74A6F" w:rsidRPr="009537ED">
        <w:rPr>
          <w:iCs/>
        </w:rPr>
        <w:tab/>
        <w:t>Ruijie Network Co. Ltd</w:t>
      </w:r>
    </w:p>
    <w:p w14:paraId="175A05D9" w14:textId="4E98347D" w:rsidR="00F74A6F" w:rsidRPr="009537ED" w:rsidRDefault="005A18DC" w:rsidP="00F74A6F">
      <w:pPr>
        <w:rPr>
          <w:iCs/>
        </w:rPr>
      </w:pPr>
      <w:hyperlink r:id="rId1853" w:history="1">
        <w:r w:rsidR="00AF7253">
          <w:rPr>
            <w:rStyle w:val="Hyperlink"/>
            <w:iCs/>
          </w:rPr>
          <w:t>R1-2311940</w:t>
        </w:r>
      </w:hyperlink>
      <w:r w:rsidR="00F74A6F" w:rsidRPr="009537ED">
        <w:rPr>
          <w:iCs/>
        </w:rPr>
        <w:tab/>
        <w:t>On general aspects of AI/ML framework</w:t>
      </w:r>
      <w:r w:rsidR="00F74A6F" w:rsidRPr="009537ED">
        <w:rPr>
          <w:iCs/>
        </w:rPr>
        <w:tab/>
        <w:t>Lenovo</w:t>
      </w:r>
    </w:p>
    <w:p w14:paraId="739F1D3C" w14:textId="6AFF51D2" w:rsidR="00F74A6F" w:rsidRPr="009537ED" w:rsidRDefault="005A18DC" w:rsidP="00F74A6F">
      <w:pPr>
        <w:rPr>
          <w:iCs/>
        </w:rPr>
      </w:pPr>
      <w:hyperlink r:id="rId1854" w:history="1">
        <w:r w:rsidR="00AF7253">
          <w:rPr>
            <w:rStyle w:val="Hyperlink"/>
            <w:iCs/>
          </w:rPr>
          <w:t>R1-2312056</w:t>
        </w:r>
      </w:hyperlink>
      <w:r w:rsidR="00F74A6F" w:rsidRPr="009537ED">
        <w:rPr>
          <w:iCs/>
        </w:rPr>
        <w:tab/>
        <w:t>General aspects of AI-ML framework</w:t>
      </w:r>
      <w:r w:rsidR="00F74A6F" w:rsidRPr="009537ED">
        <w:rPr>
          <w:iCs/>
        </w:rPr>
        <w:tab/>
        <w:t>Qualcomm Incorporated</w:t>
      </w:r>
    </w:p>
    <w:p w14:paraId="3A318AF9" w14:textId="397A176C" w:rsidR="00F74A6F" w:rsidRPr="009537ED" w:rsidRDefault="005A18DC" w:rsidP="00F74A6F">
      <w:pPr>
        <w:rPr>
          <w:iCs/>
        </w:rPr>
      </w:pPr>
      <w:hyperlink r:id="rId1855" w:history="1">
        <w:r w:rsidR="00AF7253">
          <w:rPr>
            <w:rStyle w:val="Hyperlink"/>
            <w:iCs/>
          </w:rPr>
          <w:t>R1-2312087</w:t>
        </w:r>
      </w:hyperlink>
      <w:r w:rsidR="00F74A6F" w:rsidRPr="009537ED">
        <w:rPr>
          <w:iCs/>
        </w:rPr>
        <w:tab/>
        <w:t>General Aspects of AI/ML framework</w:t>
      </w:r>
      <w:r w:rsidR="00F74A6F" w:rsidRPr="009537ED">
        <w:rPr>
          <w:iCs/>
        </w:rPr>
        <w:tab/>
        <w:t>AT&amp;T</w:t>
      </w:r>
    </w:p>
    <w:p w14:paraId="19AD35D2" w14:textId="5680D278" w:rsidR="00F74A6F" w:rsidRPr="009537ED" w:rsidRDefault="005A18DC" w:rsidP="00F74A6F">
      <w:pPr>
        <w:rPr>
          <w:iCs/>
        </w:rPr>
      </w:pPr>
      <w:hyperlink r:id="rId1856" w:history="1">
        <w:r w:rsidR="00AF7253">
          <w:rPr>
            <w:rStyle w:val="Hyperlink"/>
            <w:iCs/>
          </w:rPr>
          <w:t>R1-2312090</w:t>
        </w:r>
      </w:hyperlink>
      <w:r w:rsidR="00F74A6F" w:rsidRPr="009537ED">
        <w:rPr>
          <w:iCs/>
        </w:rPr>
        <w:tab/>
        <w:t>General aspects of AI/ML framework for NR air interface</w:t>
      </w:r>
      <w:r w:rsidR="00F74A6F" w:rsidRPr="009537ED">
        <w:rPr>
          <w:iCs/>
        </w:rPr>
        <w:tab/>
        <w:t>Baicells</w:t>
      </w:r>
    </w:p>
    <w:p w14:paraId="24F67815" w14:textId="5519403E" w:rsidR="00F74A6F" w:rsidRPr="009537ED" w:rsidRDefault="005A18DC" w:rsidP="00F74A6F">
      <w:pPr>
        <w:rPr>
          <w:iCs/>
        </w:rPr>
      </w:pPr>
      <w:hyperlink r:id="rId1857" w:history="1">
        <w:r w:rsidR="00AF7253">
          <w:rPr>
            <w:rStyle w:val="Hyperlink"/>
            <w:iCs/>
          </w:rPr>
          <w:t>R1-2312106</w:t>
        </w:r>
      </w:hyperlink>
      <w:r w:rsidR="00F74A6F" w:rsidRPr="009537ED">
        <w:rPr>
          <w:iCs/>
        </w:rPr>
        <w:tab/>
        <w:t>Discussions on General Aspects of AI/ML Framework</w:t>
      </w:r>
      <w:r w:rsidR="00F74A6F" w:rsidRPr="009537ED">
        <w:rPr>
          <w:iCs/>
        </w:rPr>
        <w:tab/>
        <w:t>Indian Institute of Tech (M), IIT Kanpur</w:t>
      </w:r>
    </w:p>
    <w:p w14:paraId="1E697959" w14:textId="024DA879" w:rsidR="00F74A6F" w:rsidRPr="009537ED" w:rsidRDefault="005A18DC" w:rsidP="00F74A6F">
      <w:pPr>
        <w:rPr>
          <w:iCs/>
        </w:rPr>
      </w:pPr>
      <w:hyperlink r:id="rId1858" w:history="1">
        <w:r w:rsidR="00AF7253">
          <w:rPr>
            <w:rStyle w:val="Hyperlink"/>
            <w:iCs/>
          </w:rPr>
          <w:t>R1-2312120</w:t>
        </w:r>
      </w:hyperlink>
      <w:r w:rsidR="00F74A6F" w:rsidRPr="009537ED">
        <w:rPr>
          <w:iCs/>
        </w:rPr>
        <w:tab/>
        <w:t>Discussions on General Aspects of AI_ML Framework</w:t>
      </w:r>
      <w:r w:rsidR="00F74A6F" w:rsidRPr="009537ED">
        <w:rPr>
          <w:iCs/>
        </w:rPr>
        <w:tab/>
        <w:t>IIT Kanpur, Indian Institute of Technology Madras (IITM)</w:t>
      </w:r>
    </w:p>
    <w:p w14:paraId="4F611C41" w14:textId="512B8C2C" w:rsidR="00F74A6F" w:rsidRDefault="005A18DC" w:rsidP="00F74A6F">
      <w:pPr>
        <w:rPr>
          <w:iCs/>
        </w:rPr>
      </w:pPr>
      <w:hyperlink r:id="rId1859" w:history="1">
        <w:r w:rsidR="00AF7253">
          <w:rPr>
            <w:rStyle w:val="Hyperlink"/>
            <w:iCs/>
          </w:rPr>
          <w:t>R1-2312174</w:t>
        </w:r>
      </w:hyperlink>
      <w:r w:rsidR="00F74A6F" w:rsidRPr="009537ED">
        <w:rPr>
          <w:iCs/>
        </w:rPr>
        <w:tab/>
        <w:t>Prediction of untransmitted beams in a UE-side AI-ML model</w:t>
      </w:r>
      <w:r w:rsidR="00F74A6F" w:rsidRPr="009537ED">
        <w:rPr>
          <w:iCs/>
        </w:rPr>
        <w:tab/>
        <w:t>Rakuten Symphony</w:t>
      </w:r>
    </w:p>
    <w:p w14:paraId="1629D3F1" w14:textId="77777777" w:rsidR="00837C58" w:rsidRDefault="00837C58" w:rsidP="00F74A6F">
      <w:pPr>
        <w:rPr>
          <w:iCs/>
        </w:rPr>
      </w:pPr>
    </w:p>
    <w:p w14:paraId="6DEB6328" w14:textId="26C2232A" w:rsidR="00837C58" w:rsidRPr="00837C58" w:rsidRDefault="005A18DC" w:rsidP="00837C58">
      <w:pPr>
        <w:rPr>
          <w:b/>
          <w:bCs/>
          <w:iCs/>
        </w:rPr>
      </w:pPr>
      <w:hyperlink r:id="rId1860" w:history="1">
        <w:r w:rsidR="00AF7253">
          <w:rPr>
            <w:rStyle w:val="Hyperlink"/>
            <w:b/>
            <w:bCs/>
            <w:iCs/>
          </w:rPr>
          <w:t>R1-2312402</w:t>
        </w:r>
      </w:hyperlink>
      <w:r w:rsidR="00837C58" w:rsidRPr="00837C58">
        <w:rPr>
          <w:b/>
          <w:bCs/>
          <w:iCs/>
        </w:rPr>
        <w:tab/>
        <w:t>Summary#1 of General Aspects of AI/ML Framework</w:t>
      </w:r>
      <w:r w:rsidR="00837C58" w:rsidRPr="00837C58">
        <w:rPr>
          <w:b/>
          <w:bCs/>
          <w:iCs/>
        </w:rPr>
        <w:tab/>
        <w:t>Moderator (Qualcomm)</w:t>
      </w:r>
    </w:p>
    <w:p w14:paraId="33499A76" w14:textId="75093E00" w:rsidR="00837C58" w:rsidRDefault="00837C58" w:rsidP="00837C58">
      <w:pPr>
        <w:rPr>
          <w:iCs/>
        </w:rPr>
      </w:pPr>
      <w:r>
        <w:rPr>
          <w:iCs/>
        </w:rPr>
        <w:t>From Tuesday session</w:t>
      </w:r>
    </w:p>
    <w:p w14:paraId="51EA17D9" w14:textId="1B10200E" w:rsidR="00837C58" w:rsidRPr="004B0C8F" w:rsidRDefault="00837C58" w:rsidP="00837C58">
      <w:pPr>
        <w:rPr>
          <w:iCs/>
          <w:strike/>
        </w:rPr>
      </w:pPr>
      <w:r w:rsidRPr="004B0C8F">
        <w:rPr>
          <w:iCs/>
          <w:strike/>
        </w:rPr>
        <w:t>Agreement</w:t>
      </w:r>
    </w:p>
    <w:p w14:paraId="7E9AC70B" w14:textId="77777777" w:rsidR="00837C58" w:rsidRPr="004B0C8F" w:rsidRDefault="00837C58" w:rsidP="00837C58">
      <w:r w:rsidRPr="004B0C8F">
        <w:t xml:space="preserve">For model identification of UE-side or UE-part of two-sided models, further clarification is made as follows. </w:t>
      </w:r>
    </w:p>
    <w:p w14:paraId="12D2F10D" w14:textId="77777777" w:rsidR="00837C58" w:rsidRPr="004B0C8F" w:rsidRDefault="00837C58" w:rsidP="00AA1D48">
      <w:pPr>
        <w:pStyle w:val="ListParagraph"/>
        <w:numPr>
          <w:ilvl w:val="0"/>
          <w:numId w:val="118"/>
        </w:numPr>
        <w:rPr>
          <w:lang w:eastAsia="x-none"/>
        </w:rPr>
      </w:pPr>
      <w:r w:rsidRPr="004B0C8F">
        <w:rPr>
          <w:lang w:eastAsia="x-none"/>
        </w:rPr>
        <w:t>The following are example use cases of online model identification (i.e., Type B1 and B2)</w:t>
      </w:r>
    </w:p>
    <w:p w14:paraId="41764388" w14:textId="77777777" w:rsidR="00837C58" w:rsidRPr="004B0C8F" w:rsidRDefault="00837C58" w:rsidP="00AA1D48">
      <w:pPr>
        <w:pStyle w:val="ListParagraph"/>
        <w:numPr>
          <w:ilvl w:val="1"/>
          <w:numId w:val="118"/>
        </w:numPr>
        <w:rPr>
          <w:lang w:eastAsia="x-none"/>
        </w:rPr>
      </w:pPr>
      <w:r w:rsidRPr="004B0C8F">
        <w:rPr>
          <w:lang w:eastAsia="x-none"/>
        </w:rPr>
        <w:t xml:space="preserve">Model identification in model transfer from NW to UE </w:t>
      </w:r>
    </w:p>
    <w:p w14:paraId="7109A101" w14:textId="77777777" w:rsidR="00837C58" w:rsidRPr="004B0C8F" w:rsidRDefault="00837C58" w:rsidP="00AA1D48">
      <w:pPr>
        <w:pStyle w:val="ListParagraph"/>
        <w:numPr>
          <w:ilvl w:val="1"/>
          <w:numId w:val="118"/>
        </w:numPr>
        <w:rPr>
          <w:lang w:eastAsia="x-none"/>
        </w:rPr>
      </w:pPr>
      <w:r w:rsidRPr="004B0C8F">
        <w:rPr>
          <w:lang w:eastAsia="x-none"/>
        </w:rPr>
        <w:t xml:space="preserve">Model identification with </w:t>
      </w:r>
      <w:r w:rsidRPr="004B0C8F">
        <w:rPr>
          <w:b/>
          <w:bCs/>
          <w:lang w:eastAsia="x-none"/>
        </w:rPr>
        <w:t>data collection</w:t>
      </w:r>
      <w:r w:rsidRPr="004B0C8F">
        <w:rPr>
          <w:lang w:eastAsia="x-none"/>
        </w:rPr>
        <w:t xml:space="preserve"> related configuration(s) and/or indication(s) and/or dataset transfer </w:t>
      </w:r>
    </w:p>
    <w:p w14:paraId="19729316" w14:textId="77777777" w:rsidR="00837C58" w:rsidRPr="004B0C8F" w:rsidRDefault="00837C58" w:rsidP="00AA1D48">
      <w:pPr>
        <w:pStyle w:val="ListParagraph"/>
        <w:numPr>
          <w:ilvl w:val="1"/>
          <w:numId w:val="118"/>
        </w:numPr>
        <w:rPr>
          <w:lang w:eastAsia="x-none"/>
        </w:rPr>
      </w:pPr>
      <w:r w:rsidRPr="004B0C8F">
        <w:rPr>
          <w:lang w:eastAsia="x-none"/>
        </w:rPr>
        <w:t xml:space="preserve">Model identification with </w:t>
      </w:r>
      <w:r w:rsidRPr="004B0C8F">
        <w:rPr>
          <w:b/>
          <w:bCs/>
          <w:lang w:eastAsia="x-none"/>
        </w:rPr>
        <w:t>monitoring related configuration(s)/procedure(s)</w:t>
      </w:r>
    </w:p>
    <w:p w14:paraId="5B815FDF" w14:textId="77777777" w:rsidR="00837C58" w:rsidRPr="004B0C8F" w:rsidRDefault="00837C58" w:rsidP="00AA1D48">
      <w:pPr>
        <w:pStyle w:val="ListParagraph"/>
        <w:numPr>
          <w:ilvl w:val="1"/>
          <w:numId w:val="118"/>
        </w:numPr>
        <w:rPr>
          <w:lang w:eastAsia="x-none"/>
        </w:rPr>
      </w:pPr>
      <w:r w:rsidRPr="004B0C8F">
        <w:rPr>
          <w:lang w:eastAsia="x-none"/>
        </w:rPr>
        <w:t xml:space="preserve">Model identification due to </w:t>
      </w:r>
      <w:r w:rsidRPr="004B0C8F">
        <w:rPr>
          <w:b/>
          <w:bCs/>
          <w:lang w:eastAsia="x-none"/>
        </w:rPr>
        <w:t>update on UE-side model operations</w:t>
      </w:r>
      <w:r w:rsidRPr="004B0C8F">
        <w:rPr>
          <w:lang w:eastAsia="x-none"/>
        </w:rPr>
        <w:t xml:space="preserve"> </w:t>
      </w:r>
    </w:p>
    <w:p w14:paraId="0D47E6A6" w14:textId="77777777" w:rsidR="00837C58" w:rsidRPr="00837C58" w:rsidRDefault="00837C58" w:rsidP="00AA1D48">
      <w:pPr>
        <w:pStyle w:val="ListParagraph"/>
        <w:numPr>
          <w:ilvl w:val="0"/>
          <w:numId w:val="118"/>
        </w:numPr>
        <w:rPr>
          <w:strike/>
          <w:lang w:eastAsia="x-none"/>
        </w:rPr>
      </w:pPr>
      <w:r w:rsidRPr="00837C58">
        <w:rPr>
          <w:strike/>
          <w:lang w:eastAsia="x-none"/>
        </w:rPr>
        <w:t>The following are example use cases of offline model identification (i.e., Type A)</w:t>
      </w:r>
    </w:p>
    <w:p w14:paraId="1A6832B8" w14:textId="77777777" w:rsidR="00837C58" w:rsidRPr="00837C58" w:rsidRDefault="00837C58" w:rsidP="00AA1D48">
      <w:pPr>
        <w:pStyle w:val="ListParagraph"/>
        <w:numPr>
          <w:ilvl w:val="1"/>
          <w:numId w:val="118"/>
        </w:numPr>
        <w:rPr>
          <w:strike/>
          <w:lang w:eastAsia="x-none"/>
        </w:rPr>
      </w:pPr>
      <w:r w:rsidRPr="00837C58">
        <w:rPr>
          <w:strike/>
          <w:lang w:eastAsia="ko-KR"/>
        </w:rPr>
        <w:t>To align information and/or indication on NW-side additional conditions offline</w:t>
      </w:r>
    </w:p>
    <w:p w14:paraId="2A6E6A1A" w14:textId="77777777" w:rsidR="00837C58" w:rsidRPr="00837C58" w:rsidRDefault="00837C58" w:rsidP="00AA1D48">
      <w:pPr>
        <w:pStyle w:val="ListParagraph"/>
        <w:numPr>
          <w:ilvl w:val="1"/>
          <w:numId w:val="118"/>
        </w:numPr>
        <w:rPr>
          <w:strike/>
          <w:lang w:eastAsia="x-none"/>
        </w:rPr>
      </w:pPr>
      <w:r w:rsidRPr="00837C58">
        <w:rPr>
          <w:strike/>
          <w:lang w:eastAsia="ko-KR"/>
        </w:rPr>
        <w:t>Two-sided model pairing</w:t>
      </w:r>
    </w:p>
    <w:p w14:paraId="68E93631" w14:textId="77777777" w:rsidR="00837C58" w:rsidRPr="00837C58" w:rsidRDefault="00837C58" w:rsidP="00AA1D48">
      <w:pPr>
        <w:pStyle w:val="ListParagraph"/>
        <w:numPr>
          <w:ilvl w:val="1"/>
          <w:numId w:val="118"/>
        </w:numPr>
        <w:rPr>
          <w:strike/>
          <w:lang w:eastAsia="ko-KR"/>
        </w:rPr>
      </w:pPr>
      <w:r w:rsidRPr="00837C58">
        <w:rPr>
          <w:strike/>
          <w:lang w:eastAsia="ko-KR"/>
        </w:rPr>
        <w:t>Model identification followed by data collection related configuration(s) and/or indication(s)</w:t>
      </w:r>
    </w:p>
    <w:p w14:paraId="55D0F255" w14:textId="77777777" w:rsidR="00837C58" w:rsidRPr="00837C58" w:rsidRDefault="00837C58" w:rsidP="00AA1D48">
      <w:pPr>
        <w:pStyle w:val="ListParagraph"/>
        <w:numPr>
          <w:ilvl w:val="1"/>
          <w:numId w:val="118"/>
        </w:numPr>
        <w:rPr>
          <w:strike/>
          <w:lang w:eastAsia="x-none"/>
        </w:rPr>
      </w:pPr>
      <w:r w:rsidRPr="00837C58">
        <w:rPr>
          <w:strike/>
          <w:lang w:eastAsia="x-none"/>
        </w:rPr>
        <w:t>Model identification followed by monitoring related configuration(s) and/or indication(s), e.g., for UE to identify an applicable model to NW after monitoring candidate models.</w:t>
      </w:r>
    </w:p>
    <w:p w14:paraId="4BED7C5F" w14:textId="77777777" w:rsidR="00837C58" w:rsidRPr="00837C58" w:rsidRDefault="00837C58" w:rsidP="00AA1D48">
      <w:pPr>
        <w:pStyle w:val="ListParagraph"/>
        <w:numPr>
          <w:ilvl w:val="1"/>
          <w:numId w:val="118"/>
        </w:numPr>
        <w:rPr>
          <w:strike/>
          <w:lang w:eastAsia="x-none"/>
        </w:rPr>
      </w:pPr>
      <w:r w:rsidRPr="00837C58">
        <w:rPr>
          <w:strike/>
          <w:lang w:eastAsia="x-none"/>
        </w:rPr>
        <w:t>Model identification to enable monitoring at the NW/UE sides, e.g., to achieve consistency between training and inference regarding NW-side additional conditions (if identified) via monitoring</w:t>
      </w:r>
    </w:p>
    <w:p w14:paraId="70C92C04" w14:textId="77777777" w:rsidR="00837C58" w:rsidRPr="00837C58" w:rsidRDefault="00837C58" w:rsidP="00AA1D48">
      <w:pPr>
        <w:pStyle w:val="ListParagraph"/>
        <w:numPr>
          <w:ilvl w:val="0"/>
          <w:numId w:val="118"/>
        </w:numPr>
        <w:rPr>
          <w:lang w:eastAsia="x-none"/>
        </w:rPr>
      </w:pPr>
      <w:r w:rsidRPr="00837C58">
        <w:rPr>
          <w:lang w:eastAsia="ko-KR"/>
        </w:rPr>
        <w:t>Note: Offline model identification may be applicable for some of the above example use cases</w:t>
      </w:r>
    </w:p>
    <w:p w14:paraId="6E90202C" w14:textId="26C35F7D" w:rsidR="00837C58" w:rsidRDefault="004B0C8F" w:rsidP="00F74A6F">
      <w:pPr>
        <w:rPr>
          <w:iCs/>
        </w:rPr>
      </w:pPr>
      <w:r w:rsidRPr="004B0C8F">
        <w:rPr>
          <w:b/>
          <w:bCs/>
          <w:iCs/>
        </w:rPr>
        <w:t>Friday decision:</w:t>
      </w:r>
      <w:r>
        <w:rPr>
          <w:iCs/>
        </w:rPr>
        <w:t xml:space="preserve"> Above agreement is replaced by:</w:t>
      </w:r>
    </w:p>
    <w:p w14:paraId="094C9943" w14:textId="77777777" w:rsidR="004B0C8F" w:rsidRPr="004B0C8F" w:rsidRDefault="004B0C8F" w:rsidP="004B0C8F">
      <w:pPr>
        <w:rPr>
          <w:highlight w:val="green"/>
        </w:rPr>
      </w:pPr>
      <w:r w:rsidRPr="004B0C8F">
        <w:rPr>
          <w:highlight w:val="green"/>
        </w:rPr>
        <w:t>Agreement</w:t>
      </w:r>
    </w:p>
    <w:p w14:paraId="5AA05B95" w14:textId="77777777" w:rsidR="004B0C8F" w:rsidRPr="004B0C8F" w:rsidRDefault="004B0C8F" w:rsidP="004B0C8F">
      <w:r w:rsidRPr="004B0C8F">
        <w:t xml:space="preserve">For model identification of UE-side or UE-part of two-sided models, further clarification is made as follows. </w:t>
      </w:r>
    </w:p>
    <w:p w14:paraId="54E63E77" w14:textId="3AC67828" w:rsidR="004B0C8F" w:rsidRPr="004B0C8F" w:rsidRDefault="004B0C8F" w:rsidP="00A67145">
      <w:pPr>
        <w:pStyle w:val="ListParagraph"/>
        <w:numPr>
          <w:ilvl w:val="0"/>
          <w:numId w:val="238"/>
        </w:numPr>
        <w:rPr>
          <w:lang w:eastAsia="x-none"/>
        </w:rPr>
      </w:pPr>
      <w:r w:rsidRPr="004B0C8F">
        <w:rPr>
          <w:lang w:eastAsia="x-none"/>
        </w:rPr>
        <w:t>The following are example use cases Type B1 and B2</w:t>
      </w:r>
      <w:r>
        <w:rPr>
          <w:lang w:eastAsia="x-none"/>
        </w:rPr>
        <w:t>.</w:t>
      </w:r>
    </w:p>
    <w:p w14:paraId="1FF7452E" w14:textId="4D150750" w:rsidR="004B0C8F" w:rsidRPr="004B0C8F" w:rsidRDefault="004B0C8F" w:rsidP="00A67145">
      <w:pPr>
        <w:pStyle w:val="ListParagraph"/>
        <w:numPr>
          <w:ilvl w:val="1"/>
          <w:numId w:val="238"/>
        </w:numPr>
        <w:rPr>
          <w:lang w:eastAsia="x-none"/>
        </w:rPr>
      </w:pPr>
      <w:r w:rsidRPr="004B0C8F">
        <w:rPr>
          <w:lang w:eastAsia="x-none"/>
        </w:rPr>
        <w:t>Model identification in model transfer from NW to UE</w:t>
      </w:r>
      <w:r>
        <w:rPr>
          <w:lang w:eastAsia="x-none"/>
        </w:rPr>
        <w:t>.</w:t>
      </w:r>
    </w:p>
    <w:p w14:paraId="6C25C967" w14:textId="5D7EE3B2" w:rsidR="004B0C8F" w:rsidRPr="004B0C8F" w:rsidRDefault="004B0C8F" w:rsidP="00A67145">
      <w:pPr>
        <w:pStyle w:val="ListParagraph"/>
        <w:numPr>
          <w:ilvl w:val="1"/>
          <w:numId w:val="238"/>
        </w:numPr>
        <w:rPr>
          <w:lang w:eastAsia="x-none"/>
        </w:rPr>
      </w:pPr>
      <w:r w:rsidRPr="004B0C8F">
        <w:rPr>
          <w:lang w:eastAsia="x-none"/>
        </w:rPr>
        <w:t>Model identification with data collection related configuration(s) and/or indication(s) and/or dataset transfer</w:t>
      </w:r>
      <w:r>
        <w:rPr>
          <w:lang w:eastAsia="x-none"/>
        </w:rPr>
        <w:t>.</w:t>
      </w:r>
    </w:p>
    <w:p w14:paraId="00AC7081" w14:textId="77777777" w:rsidR="004B0C8F" w:rsidRPr="004B0C8F" w:rsidRDefault="004B0C8F" w:rsidP="00A67145">
      <w:pPr>
        <w:pStyle w:val="ListParagraph"/>
        <w:numPr>
          <w:ilvl w:val="0"/>
          <w:numId w:val="238"/>
        </w:numPr>
        <w:rPr>
          <w:lang w:eastAsia="x-none"/>
        </w:rPr>
      </w:pPr>
      <w:r w:rsidRPr="004B0C8F">
        <w:rPr>
          <w:lang w:eastAsia="x-none"/>
        </w:rPr>
        <w:t>Note: Other example use cases are not precluded.</w:t>
      </w:r>
    </w:p>
    <w:p w14:paraId="7264B08B" w14:textId="78EE318C" w:rsidR="004B0C8F" w:rsidRPr="004B0C8F" w:rsidRDefault="004B0C8F" w:rsidP="00A67145">
      <w:pPr>
        <w:pStyle w:val="ListParagraph"/>
        <w:numPr>
          <w:ilvl w:val="0"/>
          <w:numId w:val="238"/>
        </w:numPr>
        <w:rPr>
          <w:lang w:eastAsia="x-none"/>
        </w:rPr>
      </w:pPr>
      <w:r w:rsidRPr="004B0C8F">
        <w:rPr>
          <w:lang w:eastAsia="ko-KR"/>
        </w:rPr>
        <w:t>Note: Offline model identification may be applicable for some of the above example use cases</w:t>
      </w:r>
      <w:r>
        <w:rPr>
          <w:lang w:eastAsia="ko-KR"/>
        </w:rPr>
        <w:t>.</w:t>
      </w:r>
    </w:p>
    <w:p w14:paraId="2DC9BF63" w14:textId="77777777" w:rsidR="004B0C8F" w:rsidRDefault="004B0C8F" w:rsidP="00F74A6F">
      <w:pPr>
        <w:rPr>
          <w:iCs/>
        </w:rPr>
      </w:pPr>
    </w:p>
    <w:p w14:paraId="75E362E9" w14:textId="77777777" w:rsidR="004B0C8F" w:rsidRDefault="004B0C8F" w:rsidP="00F74A6F">
      <w:pPr>
        <w:rPr>
          <w:iCs/>
        </w:rPr>
      </w:pPr>
    </w:p>
    <w:p w14:paraId="7E2492BE" w14:textId="2D8410EF" w:rsidR="00837C58" w:rsidRPr="00803148" w:rsidRDefault="005A18DC" w:rsidP="00837C58">
      <w:pPr>
        <w:rPr>
          <w:b/>
          <w:bCs/>
          <w:iCs/>
        </w:rPr>
      </w:pPr>
      <w:hyperlink r:id="rId1861" w:history="1">
        <w:r w:rsidR="00AF7253">
          <w:rPr>
            <w:rStyle w:val="Hyperlink"/>
            <w:b/>
            <w:bCs/>
            <w:iCs/>
          </w:rPr>
          <w:t>R1-2312403</w:t>
        </w:r>
      </w:hyperlink>
      <w:r w:rsidR="00837C58" w:rsidRPr="00803148">
        <w:rPr>
          <w:b/>
          <w:bCs/>
          <w:iCs/>
        </w:rPr>
        <w:tab/>
        <w:t>Summary#2 of General Aspects of AI/ML Framework</w:t>
      </w:r>
      <w:r w:rsidR="00837C58" w:rsidRPr="00803148">
        <w:rPr>
          <w:b/>
          <w:bCs/>
          <w:iCs/>
        </w:rPr>
        <w:tab/>
        <w:t>Moderator (Qualcomm)</w:t>
      </w:r>
    </w:p>
    <w:p w14:paraId="5058E72F" w14:textId="6CB8017A" w:rsidR="00803148" w:rsidRDefault="004B0C8F" w:rsidP="00837C58">
      <w:pPr>
        <w:rPr>
          <w:iCs/>
        </w:rPr>
      </w:pPr>
      <w:r>
        <w:rPr>
          <w:iCs/>
        </w:rPr>
        <w:t xml:space="preserve">Presented in </w:t>
      </w:r>
      <w:r w:rsidR="00803148">
        <w:rPr>
          <w:iCs/>
        </w:rPr>
        <w:t>Wednesday session</w:t>
      </w:r>
      <w:r>
        <w:rPr>
          <w:iCs/>
        </w:rPr>
        <w:t>.</w:t>
      </w:r>
    </w:p>
    <w:p w14:paraId="24A8C109" w14:textId="77777777" w:rsidR="00803148" w:rsidRPr="00837C58" w:rsidRDefault="00803148" w:rsidP="00837C58">
      <w:pPr>
        <w:rPr>
          <w:iCs/>
        </w:rPr>
      </w:pPr>
    </w:p>
    <w:p w14:paraId="5C1E7DD4" w14:textId="586B012F" w:rsidR="00837C58" w:rsidRPr="008978FB" w:rsidRDefault="005A18DC" w:rsidP="00837C58">
      <w:pPr>
        <w:rPr>
          <w:b/>
          <w:bCs/>
          <w:iCs/>
        </w:rPr>
      </w:pPr>
      <w:hyperlink r:id="rId1862" w:history="1">
        <w:r w:rsidR="00AF7253">
          <w:rPr>
            <w:rStyle w:val="Hyperlink"/>
            <w:b/>
            <w:bCs/>
            <w:iCs/>
          </w:rPr>
          <w:t>R1-2312404</w:t>
        </w:r>
      </w:hyperlink>
      <w:r w:rsidR="00837C58" w:rsidRPr="008978FB">
        <w:rPr>
          <w:b/>
          <w:bCs/>
          <w:iCs/>
        </w:rPr>
        <w:tab/>
        <w:t>Summary#3 of General Aspects of AI/ML Framework</w:t>
      </w:r>
      <w:r w:rsidR="00837C58" w:rsidRPr="008978FB">
        <w:rPr>
          <w:b/>
          <w:bCs/>
          <w:iCs/>
        </w:rPr>
        <w:tab/>
        <w:t>Moderator (Qualcomm)</w:t>
      </w:r>
    </w:p>
    <w:p w14:paraId="6D3A3249" w14:textId="169BE05F" w:rsidR="008978FB" w:rsidRDefault="008978FB" w:rsidP="00837C58">
      <w:pPr>
        <w:rPr>
          <w:iCs/>
        </w:rPr>
      </w:pPr>
      <w:r>
        <w:rPr>
          <w:iCs/>
        </w:rPr>
        <w:t>From Thursday session</w:t>
      </w:r>
    </w:p>
    <w:p w14:paraId="52A961D8" w14:textId="77777777" w:rsidR="008978FB" w:rsidRPr="006C1141" w:rsidRDefault="008978FB" w:rsidP="008978FB">
      <w:pPr>
        <w:rPr>
          <w:rFonts w:ascii="Times New Roman" w:hAnsi="Times New Roman"/>
          <w:iCs/>
          <w:szCs w:val="20"/>
          <w:highlight w:val="green"/>
        </w:rPr>
      </w:pPr>
      <w:r w:rsidRPr="006C1141">
        <w:rPr>
          <w:rFonts w:ascii="Times New Roman" w:hAnsi="Times New Roman"/>
          <w:iCs/>
          <w:szCs w:val="20"/>
          <w:highlight w:val="green"/>
        </w:rPr>
        <w:t>Agreement</w:t>
      </w:r>
    </w:p>
    <w:p w14:paraId="471B75E8" w14:textId="77777777" w:rsidR="008978FB" w:rsidRPr="006C1141" w:rsidRDefault="008978FB" w:rsidP="006C1141">
      <w:pPr>
        <w:rPr>
          <w:rFonts w:ascii="Times New Roman" w:hAnsi="Times New Roman"/>
          <w:szCs w:val="20"/>
          <w:lang w:eastAsia="zh-CN"/>
        </w:rPr>
      </w:pPr>
      <w:r w:rsidRPr="006C1141">
        <w:rPr>
          <w:rFonts w:ascii="Times New Roman" w:hAnsi="Times New Roman"/>
          <w:szCs w:val="20"/>
        </w:rPr>
        <w:t xml:space="preserve">For model delivery/transfer to UE (for </w:t>
      </w:r>
      <w:r w:rsidRPr="006C1141">
        <w:rPr>
          <w:rFonts w:ascii="Times New Roman" w:hAnsi="Times New Roman"/>
          <w:szCs w:val="20"/>
          <w:lang w:eastAsia="zh-CN"/>
        </w:rPr>
        <w:t>UE-side models and UE-part of two-sided models):</w:t>
      </w:r>
    </w:p>
    <w:p w14:paraId="03872857" w14:textId="77777777" w:rsidR="008978FB" w:rsidRPr="006C1141" w:rsidRDefault="008978FB" w:rsidP="00A67145">
      <w:pPr>
        <w:pStyle w:val="ListParagraph"/>
        <w:numPr>
          <w:ilvl w:val="0"/>
          <w:numId w:val="201"/>
        </w:numPr>
      </w:pPr>
      <w:r w:rsidRPr="006C1141">
        <w:rPr>
          <w:lang w:eastAsia="zh-CN"/>
        </w:rPr>
        <w:t>Model delivery/transfer to UE, if feasible, may be beneficial to handle scenario/configuration specific (including site-specific configuration/channel conditions) models (i.e., when a single model cannot generalize well to multiple scenarios/configurations/sites), to reduce the device storage requirement.</w:t>
      </w:r>
    </w:p>
    <w:p w14:paraId="73234A06" w14:textId="77777777" w:rsidR="008978FB" w:rsidRPr="006C1141" w:rsidRDefault="008978FB" w:rsidP="00A67145">
      <w:pPr>
        <w:pStyle w:val="ListParagraph"/>
        <w:numPr>
          <w:ilvl w:val="0"/>
          <w:numId w:val="201"/>
        </w:numPr>
      </w:pPr>
      <w:r w:rsidRPr="006C1141">
        <w:t>Model delivery/transfer to UE after offline compiling and/or testing may be friendlier from UE’s implementation point of view compared to the case without offline compiling and/or testing. On the other hand, the case without offline compiling and/or testing (that can update parameter with known model structure), may have benefit at least in terms of shorter model parameter update timescale.</w:t>
      </w:r>
    </w:p>
    <w:p w14:paraId="2BDBBFC4" w14:textId="77777777" w:rsidR="008978FB" w:rsidRPr="006C1141" w:rsidRDefault="008978FB" w:rsidP="00A67145">
      <w:pPr>
        <w:pStyle w:val="ListParagraph"/>
        <w:numPr>
          <w:ilvl w:val="0"/>
          <w:numId w:val="201"/>
        </w:numPr>
      </w:pPr>
      <w:r w:rsidRPr="006C1141">
        <w:t>For model trained at network side, Case y (w/ network-side training) and Case z2 may incur the burden of offline cross-vendor collaboration such as sending a model to the UE-side and/or compiling a model.</w:t>
      </w:r>
    </w:p>
    <w:p w14:paraId="28589826" w14:textId="77777777" w:rsidR="008978FB" w:rsidRPr="006C1141" w:rsidRDefault="008978FB" w:rsidP="00A67145">
      <w:pPr>
        <w:pStyle w:val="ListParagraph"/>
        <w:numPr>
          <w:ilvl w:val="0"/>
          <w:numId w:val="201"/>
        </w:numPr>
      </w:pPr>
      <w:r w:rsidRPr="006C1141">
        <w:t>For model trained at UE side/neutral site, Case z1 and Case z3 may incur the burden of offline cross-vendor collaboration to send the trained model from the UE-side to the network, compared to Case y (w/ UE-side training) which does not have such burden.</w:t>
      </w:r>
    </w:p>
    <w:p w14:paraId="69D1AA64" w14:textId="77777777" w:rsidR="008978FB" w:rsidRPr="006C1141" w:rsidRDefault="008978FB" w:rsidP="00A67145">
      <w:pPr>
        <w:pStyle w:val="ListParagraph"/>
        <w:numPr>
          <w:ilvl w:val="0"/>
          <w:numId w:val="201"/>
        </w:numPr>
      </w:pPr>
      <w:r w:rsidRPr="006C1141">
        <w:t>Model storage at the 3gpp network, compared to storing the model outside the 3gpp network, may come with 3gpp network side burden on model maintenance/storage.</w:t>
      </w:r>
    </w:p>
    <w:p w14:paraId="2B82AE33" w14:textId="77777777" w:rsidR="008978FB" w:rsidRPr="006C1141" w:rsidRDefault="008978FB" w:rsidP="00A67145">
      <w:pPr>
        <w:pStyle w:val="ListParagraph"/>
        <w:numPr>
          <w:ilvl w:val="0"/>
          <w:numId w:val="201"/>
        </w:numPr>
      </w:pPr>
      <w:r w:rsidRPr="006C1141">
        <w:t>Proprietary design disclosure concern may arise from model training and/or model storage at the network side compared to other cases (such as case y with UE side training) which does not have such issue.</w:t>
      </w:r>
    </w:p>
    <w:p w14:paraId="4F619545" w14:textId="77777777" w:rsidR="008978FB" w:rsidRPr="006C1141" w:rsidRDefault="008978FB" w:rsidP="004B0C8F"/>
    <w:p w14:paraId="18CE2322" w14:textId="1BC7A767" w:rsidR="00837C58" w:rsidRPr="004B0C8F" w:rsidRDefault="005A18DC" w:rsidP="004B0C8F">
      <w:pPr>
        <w:rPr>
          <w:b/>
          <w:bCs/>
          <w:iCs/>
        </w:rPr>
      </w:pPr>
      <w:hyperlink r:id="rId1863" w:history="1">
        <w:r w:rsidR="00AF7253">
          <w:rPr>
            <w:rStyle w:val="Hyperlink"/>
            <w:b/>
            <w:bCs/>
            <w:iCs/>
          </w:rPr>
          <w:t>R1-2312405</w:t>
        </w:r>
      </w:hyperlink>
      <w:r w:rsidR="00837C58" w:rsidRPr="004B0C8F">
        <w:rPr>
          <w:b/>
          <w:bCs/>
          <w:iCs/>
        </w:rPr>
        <w:tab/>
        <w:t>Summary#4 of General Aspects of AI/ML Framework</w:t>
      </w:r>
      <w:r w:rsidR="00837C58" w:rsidRPr="004B0C8F">
        <w:rPr>
          <w:b/>
          <w:bCs/>
          <w:iCs/>
        </w:rPr>
        <w:tab/>
        <w:t>Moderator (Qualcomm)</w:t>
      </w:r>
    </w:p>
    <w:p w14:paraId="0EA034A4" w14:textId="57FB09A2" w:rsidR="004B0C8F" w:rsidRPr="004B0C8F" w:rsidRDefault="004B0C8F" w:rsidP="004B0C8F">
      <w:pPr>
        <w:rPr>
          <w:iCs/>
        </w:rPr>
      </w:pPr>
      <w:r w:rsidRPr="004B0C8F">
        <w:rPr>
          <w:iCs/>
        </w:rPr>
        <w:t>From Friday session</w:t>
      </w:r>
    </w:p>
    <w:p w14:paraId="6A515A17" w14:textId="77777777" w:rsidR="004B0C8F" w:rsidRPr="004B0C8F" w:rsidRDefault="004B0C8F" w:rsidP="004B0C8F">
      <w:r w:rsidRPr="004B0C8F">
        <w:rPr>
          <w:highlight w:val="green"/>
        </w:rPr>
        <w:t>Agreement</w:t>
      </w:r>
    </w:p>
    <w:p w14:paraId="4DFA168C" w14:textId="26CCA3DD" w:rsidR="004B0C8F" w:rsidRPr="004B0C8F" w:rsidRDefault="004B0C8F" w:rsidP="004B0C8F">
      <w:r w:rsidRPr="004B0C8F">
        <w:t>Capture the following into the conclusion section of the AI/ML TR</w:t>
      </w:r>
      <w:r>
        <w:t>.</w:t>
      </w:r>
    </w:p>
    <w:p w14:paraId="0E3FCBCF" w14:textId="77777777" w:rsidR="004B0C8F" w:rsidRPr="004B0C8F" w:rsidRDefault="004B0C8F" w:rsidP="004B0C8F">
      <w:r w:rsidRPr="004B0C8F">
        <w:t>The following aspects have been studied for the general framework of AI/ML over air interface for one-sided models and two-sided models.</w:t>
      </w:r>
    </w:p>
    <w:p w14:paraId="407A7A99" w14:textId="77777777" w:rsidR="004B0C8F" w:rsidRPr="004B0C8F" w:rsidRDefault="004B0C8F" w:rsidP="00A67145">
      <w:pPr>
        <w:pStyle w:val="ListParagraph"/>
        <w:numPr>
          <w:ilvl w:val="0"/>
          <w:numId w:val="239"/>
        </w:numPr>
        <w:rPr>
          <w:lang w:eastAsia="x-none"/>
        </w:rPr>
      </w:pPr>
      <w:r w:rsidRPr="004B0C8F">
        <w:rPr>
          <w:lang w:eastAsia="x-none"/>
        </w:rPr>
        <w:t>Various Network-UE Collaboration Levels</w:t>
      </w:r>
    </w:p>
    <w:p w14:paraId="35BE147A" w14:textId="77777777" w:rsidR="004B0C8F" w:rsidRPr="004B0C8F" w:rsidRDefault="004B0C8F" w:rsidP="00A67145">
      <w:pPr>
        <w:pStyle w:val="ListParagraph"/>
        <w:numPr>
          <w:ilvl w:val="0"/>
          <w:numId w:val="239"/>
        </w:numPr>
        <w:rPr>
          <w:lang w:eastAsia="x-none"/>
        </w:rPr>
      </w:pPr>
      <w:r w:rsidRPr="004B0C8F">
        <w:rPr>
          <w:lang w:eastAsia="x-none"/>
        </w:rPr>
        <w:t>Functionality-based LCM and model-ID-based LCM</w:t>
      </w:r>
    </w:p>
    <w:p w14:paraId="58245E71" w14:textId="77777777" w:rsidR="004B0C8F" w:rsidRPr="004B0C8F" w:rsidRDefault="004B0C8F" w:rsidP="00A67145">
      <w:pPr>
        <w:pStyle w:val="ListParagraph"/>
        <w:numPr>
          <w:ilvl w:val="0"/>
          <w:numId w:val="239"/>
        </w:numPr>
        <w:rPr>
          <w:lang w:eastAsia="x-none"/>
        </w:rPr>
      </w:pPr>
      <w:r w:rsidRPr="004B0C8F">
        <w:rPr>
          <w:lang w:eastAsia="x-none"/>
        </w:rPr>
        <w:t>Functionality/model selection, activation, deactivation, switching, fallback</w:t>
      </w:r>
    </w:p>
    <w:p w14:paraId="0647F1E4" w14:textId="77777777" w:rsidR="004B0C8F" w:rsidRPr="004B0C8F" w:rsidRDefault="004B0C8F" w:rsidP="00A67145">
      <w:pPr>
        <w:pStyle w:val="ListParagraph"/>
        <w:numPr>
          <w:ilvl w:val="0"/>
          <w:numId w:val="239"/>
        </w:numPr>
        <w:rPr>
          <w:lang w:eastAsia="x-none"/>
        </w:rPr>
      </w:pPr>
      <w:r w:rsidRPr="004B0C8F">
        <w:rPr>
          <w:lang w:eastAsia="x-none"/>
        </w:rPr>
        <w:t>Functionality identification and model identification</w:t>
      </w:r>
    </w:p>
    <w:p w14:paraId="11176D55" w14:textId="77777777" w:rsidR="004B0C8F" w:rsidRPr="004B0C8F" w:rsidRDefault="004B0C8F" w:rsidP="00A67145">
      <w:pPr>
        <w:pStyle w:val="ListParagraph"/>
        <w:numPr>
          <w:ilvl w:val="0"/>
          <w:numId w:val="239"/>
        </w:numPr>
        <w:rPr>
          <w:lang w:eastAsia="x-none"/>
        </w:rPr>
      </w:pPr>
      <w:r w:rsidRPr="004B0C8F">
        <w:rPr>
          <w:lang w:eastAsia="x-none"/>
        </w:rPr>
        <w:t>Data collection</w:t>
      </w:r>
    </w:p>
    <w:p w14:paraId="4AC9FD84" w14:textId="77777777" w:rsidR="004B0C8F" w:rsidRPr="004B0C8F" w:rsidRDefault="004B0C8F" w:rsidP="00A67145">
      <w:pPr>
        <w:pStyle w:val="ListParagraph"/>
        <w:numPr>
          <w:ilvl w:val="0"/>
          <w:numId w:val="239"/>
        </w:numPr>
        <w:rPr>
          <w:lang w:eastAsia="x-none"/>
        </w:rPr>
      </w:pPr>
      <w:r w:rsidRPr="004B0C8F">
        <w:rPr>
          <w:lang w:eastAsia="x-none"/>
        </w:rPr>
        <w:t>Performance monitoring</w:t>
      </w:r>
    </w:p>
    <w:p w14:paraId="420F8E2A" w14:textId="77777777" w:rsidR="004B0C8F" w:rsidRPr="004B0C8F" w:rsidRDefault="004B0C8F" w:rsidP="00A67145">
      <w:pPr>
        <w:pStyle w:val="ListParagraph"/>
        <w:numPr>
          <w:ilvl w:val="0"/>
          <w:numId w:val="239"/>
        </w:numPr>
        <w:rPr>
          <w:lang w:eastAsia="x-none"/>
        </w:rPr>
      </w:pPr>
      <w:r w:rsidRPr="004B0C8F">
        <w:rPr>
          <w:lang w:eastAsia="x-none"/>
        </w:rPr>
        <w:t>Various model identification Types and their use cases</w:t>
      </w:r>
    </w:p>
    <w:p w14:paraId="69CDB999" w14:textId="77777777" w:rsidR="004B0C8F" w:rsidRPr="004B0C8F" w:rsidRDefault="004B0C8F" w:rsidP="00A67145">
      <w:pPr>
        <w:pStyle w:val="ListParagraph"/>
        <w:numPr>
          <w:ilvl w:val="0"/>
          <w:numId w:val="239"/>
        </w:numPr>
        <w:rPr>
          <w:lang w:eastAsia="x-none"/>
        </w:rPr>
      </w:pPr>
      <w:r w:rsidRPr="004B0C8F">
        <w:rPr>
          <w:lang w:eastAsia="x-none"/>
        </w:rPr>
        <w:t>Reporting of applicable functionalities/models</w:t>
      </w:r>
    </w:p>
    <w:p w14:paraId="14560258" w14:textId="77777777" w:rsidR="004B0C8F" w:rsidRPr="004B0C8F" w:rsidRDefault="004B0C8F" w:rsidP="00A67145">
      <w:pPr>
        <w:pStyle w:val="ListParagraph"/>
        <w:numPr>
          <w:ilvl w:val="0"/>
          <w:numId w:val="239"/>
        </w:numPr>
        <w:rPr>
          <w:lang w:eastAsia="x-none"/>
        </w:rPr>
      </w:pPr>
      <w:r w:rsidRPr="004B0C8F">
        <w:rPr>
          <w:lang w:eastAsia="x-none"/>
        </w:rPr>
        <w:t>Method(s) to ensure consistency between training and inference regarding NW-side additional conditions (if identified) for inference at UE</w:t>
      </w:r>
    </w:p>
    <w:p w14:paraId="42A4A2B1" w14:textId="77777777" w:rsidR="004B0C8F" w:rsidRPr="004B0C8F" w:rsidRDefault="004B0C8F" w:rsidP="00A67145">
      <w:pPr>
        <w:pStyle w:val="ListParagraph"/>
        <w:numPr>
          <w:ilvl w:val="0"/>
          <w:numId w:val="239"/>
        </w:numPr>
        <w:rPr>
          <w:lang w:eastAsia="x-none"/>
        </w:rPr>
      </w:pPr>
      <w:r w:rsidRPr="004B0C8F">
        <w:rPr>
          <w:lang w:eastAsia="x-none"/>
        </w:rPr>
        <w:t>Model delivery/transfer and analysis of various model delivery/transfer Cases</w:t>
      </w:r>
    </w:p>
    <w:p w14:paraId="41022709" w14:textId="77777777" w:rsidR="004B0C8F" w:rsidRPr="004B0C8F" w:rsidRDefault="004B0C8F" w:rsidP="004B0C8F">
      <w:r w:rsidRPr="004B0C8F">
        <w:t>The above studied aspects for General Framework can be considered for developing/specifying AI/ML use cases and common framework (if needed for some aspects) across AI/ML use cases.</w:t>
      </w:r>
    </w:p>
    <w:p w14:paraId="1BC121DD" w14:textId="77777777" w:rsidR="004B0C8F" w:rsidRPr="004B0C8F" w:rsidRDefault="004B0C8F" w:rsidP="004B0C8F">
      <w:pPr>
        <w:rPr>
          <w:iCs/>
        </w:rPr>
      </w:pPr>
    </w:p>
    <w:p w14:paraId="35D775B9" w14:textId="77777777" w:rsidR="004B0C8F" w:rsidRPr="00837C58" w:rsidRDefault="004B0C8F" w:rsidP="004B0C8F">
      <w:pPr>
        <w:rPr>
          <w:iCs/>
        </w:rPr>
      </w:pPr>
    </w:p>
    <w:p w14:paraId="5AE8F706" w14:textId="67BC3A95" w:rsidR="00837C58" w:rsidRPr="00837C58" w:rsidRDefault="00837C58" w:rsidP="00837C58">
      <w:pPr>
        <w:rPr>
          <w:iCs/>
        </w:rPr>
      </w:pPr>
      <w:r w:rsidRPr="00837C58">
        <w:rPr>
          <w:iCs/>
        </w:rPr>
        <w:t xml:space="preserve">Final summary </w:t>
      </w:r>
      <w:r w:rsidR="004B0C8F">
        <w:rPr>
          <w:iCs/>
        </w:rPr>
        <w:t xml:space="preserve">in </w:t>
      </w:r>
      <w:hyperlink r:id="rId1864" w:history="1">
        <w:r w:rsidR="00AF7253">
          <w:rPr>
            <w:rStyle w:val="Hyperlink"/>
            <w:iCs/>
          </w:rPr>
          <w:t>R1-2312407</w:t>
        </w:r>
      </w:hyperlink>
      <w:r w:rsidR="004B0C8F">
        <w:rPr>
          <w:iCs/>
        </w:rPr>
        <w:t>.</w:t>
      </w:r>
    </w:p>
    <w:p w14:paraId="5B85CA0B" w14:textId="77777777" w:rsidR="00F74A6F" w:rsidRPr="009537ED" w:rsidRDefault="00F74A6F" w:rsidP="00837C58">
      <w:pPr>
        <w:pStyle w:val="Heading3"/>
      </w:pPr>
      <w:bookmarkStart w:id="779" w:name="_Toc150174497"/>
      <w:bookmarkStart w:id="780" w:name="_Toc159251039"/>
      <w:r w:rsidRPr="009537ED">
        <w:t>Other aspects on AI/ML for CSI feedback enhancement</w:t>
      </w:r>
      <w:bookmarkEnd w:id="779"/>
      <w:bookmarkEnd w:id="780"/>
    </w:p>
    <w:p w14:paraId="36A4FF6F" w14:textId="77777777" w:rsidR="00F74A6F" w:rsidRPr="009537ED" w:rsidRDefault="00F74A6F" w:rsidP="00F74A6F">
      <w:pPr>
        <w:rPr>
          <w:i/>
          <w:iCs/>
          <w:szCs w:val="20"/>
          <w:lang w:eastAsia="x-none"/>
        </w:rPr>
      </w:pPr>
      <w:r w:rsidRPr="009537ED">
        <w:rPr>
          <w:i/>
          <w:iCs/>
          <w:szCs w:val="20"/>
          <w:lang w:eastAsia="x-none"/>
        </w:rPr>
        <w:t>Including potential specification impact. Consider RAN agreement from RAN#100 in RP-231481 (proposal 1).</w:t>
      </w:r>
    </w:p>
    <w:p w14:paraId="72E80D54" w14:textId="77777777" w:rsidR="00F74A6F" w:rsidRPr="009537ED" w:rsidRDefault="00F74A6F" w:rsidP="00F74A6F">
      <w:pPr>
        <w:rPr>
          <w:i/>
          <w:iCs/>
          <w:szCs w:val="20"/>
          <w:lang w:eastAsia="x-none"/>
        </w:rPr>
      </w:pPr>
    </w:p>
    <w:p w14:paraId="4B543EB5" w14:textId="50AAFC48" w:rsidR="00F74A6F" w:rsidRPr="009537ED" w:rsidRDefault="005A18DC" w:rsidP="00F74A6F">
      <w:pPr>
        <w:rPr>
          <w:lang w:eastAsia="x-none"/>
        </w:rPr>
      </w:pPr>
      <w:hyperlink r:id="rId1865" w:history="1">
        <w:r w:rsidR="00AF7253">
          <w:rPr>
            <w:rStyle w:val="Hyperlink"/>
            <w:lang w:eastAsia="x-none"/>
          </w:rPr>
          <w:t>R1-2310819</w:t>
        </w:r>
      </w:hyperlink>
      <w:r w:rsidR="00F74A6F" w:rsidRPr="009537ED">
        <w:rPr>
          <w:lang w:eastAsia="x-none"/>
        </w:rPr>
        <w:tab/>
        <w:t>Discussion on remaining open issues for other aspects of AI/ML for CSI feedback enhancement</w:t>
      </w:r>
      <w:r w:rsidR="00F74A6F" w:rsidRPr="009537ED">
        <w:rPr>
          <w:lang w:eastAsia="x-none"/>
        </w:rPr>
        <w:tab/>
        <w:t>FUTUREWEI</w:t>
      </w:r>
    </w:p>
    <w:p w14:paraId="79F694DF" w14:textId="233AD56F" w:rsidR="00F74A6F" w:rsidRPr="009537ED" w:rsidRDefault="005A18DC" w:rsidP="00F74A6F">
      <w:pPr>
        <w:rPr>
          <w:lang w:eastAsia="x-none"/>
        </w:rPr>
      </w:pPr>
      <w:hyperlink r:id="rId1866" w:history="1">
        <w:r w:rsidR="00AF7253">
          <w:rPr>
            <w:rStyle w:val="Hyperlink"/>
            <w:lang w:eastAsia="x-none"/>
          </w:rPr>
          <w:t>R1-2310845</w:t>
        </w:r>
      </w:hyperlink>
      <w:r w:rsidR="00F74A6F" w:rsidRPr="009537ED">
        <w:rPr>
          <w:lang w:eastAsia="x-none"/>
        </w:rPr>
        <w:tab/>
        <w:t>Remaining issues on AI/ML for CSI feedback enhancement</w:t>
      </w:r>
      <w:r w:rsidR="00F74A6F" w:rsidRPr="009537ED">
        <w:rPr>
          <w:lang w:eastAsia="x-none"/>
        </w:rPr>
        <w:tab/>
        <w:t>Huawei, HiSilicon</w:t>
      </w:r>
    </w:p>
    <w:p w14:paraId="03BA172B" w14:textId="4AD42789" w:rsidR="00F74A6F" w:rsidRPr="009537ED" w:rsidRDefault="005A18DC" w:rsidP="00F74A6F">
      <w:pPr>
        <w:rPr>
          <w:lang w:eastAsia="x-none"/>
        </w:rPr>
      </w:pPr>
      <w:hyperlink r:id="rId1867" w:history="1">
        <w:r w:rsidR="00AF7253">
          <w:rPr>
            <w:rStyle w:val="Hyperlink"/>
            <w:lang w:eastAsia="x-none"/>
          </w:rPr>
          <w:t>R1-2310914</w:t>
        </w:r>
      </w:hyperlink>
      <w:r w:rsidR="00F74A6F" w:rsidRPr="009537ED">
        <w:rPr>
          <w:lang w:eastAsia="x-none"/>
        </w:rPr>
        <w:tab/>
        <w:t>Discussions on AI-CSI</w:t>
      </w:r>
      <w:r w:rsidR="00F74A6F" w:rsidRPr="009537ED">
        <w:rPr>
          <w:lang w:eastAsia="x-none"/>
        </w:rPr>
        <w:tab/>
        <w:t>Ericsson</w:t>
      </w:r>
    </w:p>
    <w:p w14:paraId="15176C52" w14:textId="2CF9BAB7" w:rsidR="00F74A6F" w:rsidRPr="009537ED" w:rsidRDefault="005A18DC" w:rsidP="00F74A6F">
      <w:pPr>
        <w:rPr>
          <w:lang w:eastAsia="x-none"/>
        </w:rPr>
      </w:pPr>
      <w:hyperlink r:id="rId1868" w:history="1">
        <w:r w:rsidR="00AF7253">
          <w:rPr>
            <w:rStyle w:val="Hyperlink"/>
            <w:lang w:eastAsia="x-none"/>
          </w:rPr>
          <w:t>R1-2310984</w:t>
        </w:r>
      </w:hyperlink>
      <w:r w:rsidR="00F74A6F" w:rsidRPr="009537ED">
        <w:rPr>
          <w:lang w:eastAsia="x-none"/>
        </w:rPr>
        <w:tab/>
        <w:t>Remaining issues discussion on other aspects of AI/ML for CSI feedback enhancement</w:t>
      </w:r>
      <w:r w:rsidR="00F74A6F" w:rsidRPr="009537ED">
        <w:rPr>
          <w:lang w:eastAsia="x-none"/>
        </w:rPr>
        <w:tab/>
        <w:t>SEU</w:t>
      </w:r>
    </w:p>
    <w:p w14:paraId="3EA332E5" w14:textId="6064436F" w:rsidR="00F74A6F" w:rsidRPr="009537ED" w:rsidRDefault="005A18DC" w:rsidP="00F74A6F">
      <w:pPr>
        <w:rPr>
          <w:lang w:eastAsia="x-none"/>
        </w:rPr>
      </w:pPr>
      <w:hyperlink r:id="rId1869" w:history="1">
        <w:r w:rsidR="00AF7253">
          <w:rPr>
            <w:rStyle w:val="Hyperlink"/>
            <w:lang w:eastAsia="x-none"/>
          </w:rPr>
          <w:t>R1-2310988</w:t>
        </w:r>
      </w:hyperlink>
      <w:r w:rsidR="00F74A6F" w:rsidRPr="009537ED">
        <w:rPr>
          <w:lang w:eastAsia="x-none"/>
        </w:rPr>
        <w:tab/>
        <w:t>Discussion on other aspects for AI CSI feedback enhancement</w:t>
      </w:r>
      <w:r w:rsidR="00F74A6F" w:rsidRPr="009537ED">
        <w:rPr>
          <w:lang w:eastAsia="x-none"/>
        </w:rPr>
        <w:tab/>
        <w:t>ZTE</w:t>
      </w:r>
    </w:p>
    <w:p w14:paraId="15E4625F" w14:textId="0E37A878" w:rsidR="00F74A6F" w:rsidRPr="009537ED" w:rsidRDefault="005A18DC" w:rsidP="00F74A6F">
      <w:pPr>
        <w:rPr>
          <w:lang w:eastAsia="x-none"/>
        </w:rPr>
      </w:pPr>
      <w:hyperlink r:id="rId1870" w:history="1">
        <w:r w:rsidR="00AF7253">
          <w:rPr>
            <w:rStyle w:val="Hyperlink"/>
            <w:lang w:eastAsia="x-none"/>
          </w:rPr>
          <w:t>R1-2311048</w:t>
        </w:r>
      </w:hyperlink>
      <w:r w:rsidR="00F74A6F" w:rsidRPr="009537ED">
        <w:rPr>
          <w:lang w:eastAsia="x-none"/>
        </w:rPr>
        <w:tab/>
        <w:t>Views on specification impact for CSI feedback enhancement</w:t>
      </w:r>
      <w:r w:rsidR="00F74A6F" w:rsidRPr="009537ED">
        <w:rPr>
          <w:lang w:eastAsia="x-none"/>
        </w:rPr>
        <w:tab/>
        <w:t>Fujitsu</w:t>
      </w:r>
    </w:p>
    <w:p w14:paraId="759E8E8E" w14:textId="06D751B8" w:rsidR="00F74A6F" w:rsidRPr="009537ED" w:rsidRDefault="005A18DC" w:rsidP="00F74A6F">
      <w:pPr>
        <w:rPr>
          <w:lang w:eastAsia="x-none"/>
        </w:rPr>
      </w:pPr>
      <w:hyperlink r:id="rId1871" w:history="1">
        <w:r w:rsidR="00AF7253">
          <w:rPr>
            <w:rStyle w:val="Hyperlink"/>
            <w:lang w:eastAsia="x-none"/>
          </w:rPr>
          <w:t>R1-2311115</w:t>
        </w:r>
      </w:hyperlink>
      <w:r w:rsidR="00F74A6F" w:rsidRPr="009537ED">
        <w:rPr>
          <w:lang w:eastAsia="x-none"/>
        </w:rPr>
        <w:tab/>
        <w:t>Other aspects on AI/ML for CSI feedback enhancement</w:t>
      </w:r>
      <w:r w:rsidR="00F74A6F" w:rsidRPr="009537ED">
        <w:rPr>
          <w:lang w:eastAsia="x-none"/>
        </w:rPr>
        <w:tab/>
        <w:t>vivo</w:t>
      </w:r>
    </w:p>
    <w:p w14:paraId="5ECFD8B1" w14:textId="748B6DE7" w:rsidR="00F74A6F" w:rsidRPr="009537ED" w:rsidRDefault="005A18DC" w:rsidP="00F74A6F">
      <w:pPr>
        <w:rPr>
          <w:lang w:eastAsia="x-none"/>
        </w:rPr>
      </w:pPr>
      <w:hyperlink r:id="rId1872" w:history="1">
        <w:r w:rsidR="00AF7253">
          <w:rPr>
            <w:rStyle w:val="Hyperlink"/>
            <w:lang w:eastAsia="x-none"/>
          </w:rPr>
          <w:t>R1-2311149</w:t>
        </w:r>
      </w:hyperlink>
      <w:r w:rsidR="00F74A6F" w:rsidRPr="009537ED">
        <w:rPr>
          <w:lang w:eastAsia="x-none"/>
        </w:rPr>
        <w:tab/>
        <w:t>Discussion on AI/ML for CSI feedback</w:t>
      </w:r>
      <w:r w:rsidR="00F74A6F" w:rsidRPr="009537ED">
        <w:rPr>
          <w:lang w:eastAsia="x-none"/>
        </w:rPr>
        <w:tab/>
        <w:t>Intel Corporation</w:t>
      </w:r>
    </w:p>
    <w:p w14:paraId="66B8E8EC" w14:textId="5B5DEE45" w:rsidR="00F74A6F" w:rsidRPr="009537ED" w:rsidRDefault="005A18DC" w:rsidP="00F74A6F">
      <w:pPr>
        <w:rPr>
          <w:lang w:eastAsia="x-none"/>
        </w:rPr>
      </w:pPr>
      <w:hyperlink r:id="rId1873" w:history="1">
        <w:r w:rsidR="00AF7253">
          <w:rPr>
            <w:rStyle w:val="Hyperlink"/>
            <w:lang w:eastAsia="x-none"/>
          </w:rPr>
          <w:t>R1-2311183</w:t>
        </w:r>
      </w:hyperlink>
      <w:r w:rsidR="00F74A6F" w:rsidRPr="009537ED">
        <w:rPr>
          <w:lang w:eastAsia="x-none"/>
        </w:rPr>
        <w:tab/>
        <w:t>Discussion on other aspects on AIML for CSI feedback</w:t>
      </w:r>
      <w:r w:rsidR="00F74A6F" w:rsidRPr="009537ED">
        <w:rPr>
          <w:lang w:eastAsia="x-none"/>
        </w:rPr>
        <w:tab/>
        <w:t>Spreadtrum Communications</w:t>
      </w:r>
    </w:p>
    <w:p w14:paraId="5ECC91C8" w14:textId="5D2820F4" w:rsidR="00F74A6F" w:rsidRPr="009537ED" w:rsidRDefault="005A18DC" w:rsidP="00F74A6F">
      <w:pPr>
        <w:rPr>
          <w:lang w:eastAsia="x-none"/>
        </w:rPr>
      </w:pPr>
      <w:hyperlink r:id="rId1874" w:history="1">
        <w:r w:rsidR="00AF7253">
          <w:rPr>
            <w:rStyle w:val="Hyperlink"/>
            <w:lang w:eastAsia="x-none"/>
          </w:rPr>
          <w:t>R1-2311270</w:t>
        </w:r>
      </w:hyperlink>
      <w:r w:rsidR="00F74A6F" w:rsidRPr="009537ED">
        <w:rPr>
          <w:lang w:eastAsia="x-none"/>
        </w:rPr>
        <w:tab/>
        <w:t>On other aspects of AI/ML for CSI feedback enhancement</w:t>
      </w:r>
      <w:r w:rsidR="00F74A6F" w:rsidRPr="009537ED">
        <w:rPr>
          <w:lang w:eastAsia="x-none"/>
        </w:rPr>
        <w:tab/>
        <w:t>OPPO</w:t>
      </w:r>
    </w:p>
    <w:p w14:paraId="69017CA5" w14:textId="2BEEBA18" w:rsidR="00F74A6F" w:rsidRPr="009537ED" w:rsidRDefault="005A18DC" w:rsidP="00F74A6F">
      <w:pPr>
        <w:rPr>
          <w:lang w:eastAsia="x-none"/>
        </w:rPr>
      </w:pPr>
      <w:hyperlink r:id="rId1875" w:history="1">
        <w:r w:rsidR="00AF7253">
          <w:rPr>
            <w:rStyle w:val="Hyperlink"/>
            <w:lang w:eastAsia="x-none"/>
          </w:rPr>
          <w:t>R1-2311327</w:t>
        </w:r>
      </w:hyperlink>
      <w:r w:rsidR="00F74A6F" w:rsidRPr="009537ED">
        <w:rPr>
          <w:lang w:eastAsia="x-none"/>
        </w:rPr>
        <w:tab/>
        <w:t>Other aspects for AI/ML CSI feedback enhancement</w:t>
      </w:r>
      <w:r w:rsidR="00F74A6F" w:rsidRPr="009537ED">
        <w:rPr>
          <w:lang w:eastAsia="x-none"/>
        </w:rPr>
        <w:tab/>
        <w:t>CATT</w:t>
      </w:r>
    </w:p>
    <w:p w14:paraId="7917C1B8" w14:textId="73AC705C" w:rsidR="00F74A6F" w:rsidRPr="009537ED" w:rsidRDefault="005A18DC" w:rsidP="00F74A6F">
      <w:pPr>
        <w:rPr>
          <w:lang w:eastAsia="x-none"/>
        </w:rPr>
      </w:pPr>
      <w:hyperlink r:id="rId1876" w:history="1">
        <w:r w:rsidR="00AF7253">
          <w:rPr>
            <w:rStyle w:val="Hyperlink"/>
            <w:lang w:eastAsia="x-none"/>
          </w:rPr>
          <w:t>R1-2311391</w:t>
        </w:r>
      </w:hyperlink>
      <w:r w:rsidR="00F74A6F" w:rsidRPr="009537ED">
        <w:rPr>
          <w:lang w:eastAsia="x-none"/>
        </w:rPr>
        <w:tab/>
        <w:t>Remaining issues on specification impact for CSI feedback based on AI/ML</w:t>
      </w:r>
      <w:r w:rsidR="00F74A6F" w:rsidRPr="009537ED">
        <w:rPr>
          <w:lang w:eastAsia="x-none"/>
        </w:rPr>
        <w:tab/>
        <w:t>xiaomi</w:t>
      </w:r>
    </w:p>
    <w:p w14:paraId="1F6FB2BF" w14:textId="59A04E62" w:rsidR="00F74A6F" w:rsidRPr="009537ED" w:rsidRDefault="005A18DC" w:rsidP="00F74A6F">
      <w:pPr>
        <w:rPr>
          <w:lang w:eastAsia="x-none"/>
        </w:rPr>
      </w:pPr>
      <w:hyperlink r:id="rId1877" w:history="1">
        <w:r w:rsidR="00AF7253">
          <w:rPr>
            <w:rStyle w:val="Hyperlink"/>
            <w:lang w:eastAsia="x-none"/>
          </w:rPr>
          <w:t>R1-2311415</w:t>
        </w:r>
      </w:hyperlink>
      <w:r w:rsidR="00F74A6F" w:rsidRPr="009537ED">
        <w:rPr>
          <w:lang w:eastAsia="x-none"/>
        </w:rPr>
        <w:tab/>
        <w:t>Other aspects on AI/ML for CSI feedback enhancement</w:t>
      </w:r>
      <w:r w:rsidR="00F74A6F" w:rsidRPr="009537ED">
        <w:rPr>
          <w:lang w:eastAsia="x-none"/>
        </w:rPr>
        <w:tab/>
        <w:t>NEC</w:t>
      </w:r>
    </w:p>
    <w:p w14:paraId="1B290974" w14:textId="55F0F892" w:rsidR="00F74A6F" w:rsidRPr="009537ED" w:rsidRDefault="005A18DC" w:rsidP="00F74A6F">
      <w:pPr>
        <w:rPr>
          <w:lang w:eastAsia="x-none"/>
        </w:rPr>
      </w:pPr>
      <w:hyperlink r:id="rId1878" w:history="1">
        <w:r w:rsidR="00AF7253">
          <w:rPr>
            <w:rStyle w:val="Hyperlink"/>
            <w:lang w:eastAsia="x-none"/>
          </w:rPr>
          <w:t>R1-2311437</w:t>
        </w:r>
      </w:hyperlink>
      <w:r w:rsidR="00F74A6F" w:rsidRPr="009537ED">
        <w:rPr>
          <w:lang w:eastAsia="x-none"/>
        </w:rPr>
        <w:tab/>
        <w:t>Remaining issues on AI/ML for CSI enhancement</w:t>
      </w:r>
      <w:r w:rsidR="00F74A6F" w:rsidRPr="009537ED">
        <w:rPr>
          <w:lang w:eastAsia="x-none"/>
        </w:rPr>
        <w:tab/>
        <w:t>LG Electronics</w:t>
      </w:r>
    </w:p>
    <w:p w14:paraId="105C663C" w14:textId="5260A579" w:rsidR="00F74A6F" w:rsidRPr="009537ED" w:rsidRDefault="005A18DC" w:rsidP="00F74A6F">
      <w:pPr>
        <w:rPr>
          <w:lang w:eastAsia="x-none"/>
        </w:rPr>
      </w:pPr>
      <w:hyperlink r:id="rId1879" w:history="1">
        <w:r w:rsidR="00AF7253">
          <w:rPr>
            <w:rStyle w:val="Hyperlink"/>
            <w:lang w:eastAsia="x-none"/>
          </w:rPr>
          <w:t>R1-2311446</w:t>
        </w:r>
      </w:hyperlink>
      <w:r w:rsidR="00F74A6F" w:rsidRPr="009537ED">
        <w:rPr>
          <w:lang w:eastAsia="x-none"/>
        </w:rPr>
        <w:tab/>
        <w:t>Discussion on AI/ML for CSI feedback enhancement</w:t>
      </w:r>
      <w:r w:rsidR="00F74A6F" w:rsidRPr="009537ED">
        <w:rPr>
          <w:lang w:eastAsia="x-none"/>
        </w:rPr>
        <w:tab/>
        <w:t>Panasonic</w:t>
      </w:r>
    </w:p>
    <w:p w14:paraId="43CABD06" w14:textId="1DB219EC" w:rsidR="00F74A6F" w:rsidRPr="009537ED" w:rsidRDefault="005A18DC" w:rsidP="00F74A6F">
      <w:pPr>
        <w:rPr>
          <w:lang w:eastAsia="x-none"/>
        </w:rPr>
      </w:pPr>
      <w:hyperlink r:id="rId1880" w:history="1">
        <w:r w:rsidR="00AF7253">
          <w:rPr>
            <w:rStyle w:val="Hyperlink"/>
            <w:lang w:eastAsia="x-none"/>
          </w:rPr>
          <w:t>R1-2311500</w:t>
        </w:r>
      </w:hyperlink>
      <w:r w:rsidR="00F74A6F" w:rsidRPr="009537ED">
        <w:rPr>
          <w:lang w:eastAsia="x-none"/>
        </w:rPr>
        <w:tab/>
        <w:t>Discussion on other aspects on AI/ML for CSI feedback enhancement</w:t>
      </w:r>
      <w:r w:rsidR="00F74A6F" w:rsidRPr="009537ED">
        <w:rPr>
          <w:lang w:eastAsia="x-none"/>
        </w:rPr>
        <w:tab/>
        <w:t>CMCC</w:t>
      </w:r>
    </w:p>
    <w:p w14:paraId="53C275FB" w14:textId="438B9FF1" w:rsidR="00F74A6F" w:rsidRPr="009537ED" w:rsidRDefault="005A18DC" w:rsidP="00F74A6F">
      <w:pPr>
        <w:rPr>
          <w:lang w:eastAsia="x-none"/>
        </w:rPr>
      </w:pPr>
      <w:hyperlink r:id="rId1881" w:history="1">
        <w:r w:rsidR="00AF7253">
          <w:rPr>
            <w:rStyle w:val="Hyperlink"/>
            <w:lang w:eastAsia="x-none"/>
          </w:rPr>
          <w:t>R1-2311528</w:t>
        </w:r>
      </w:hyperlink>
      <w:r w:rsidR="00F74A6F" w:rsidRPr="009537ED">
        <w:rPr>
          <w:lang w:eastAsia="x-none"/>
        </w:rPr>
        <w:tab/>
        <w:t>Remaining issues on CSI measurement enhancements via AI/ML</w:t>
      </w:r>
      <w:r w:rsidR="00F74A6F" w:rsidRPr="009537ED">
        <w:rPr>
          <w:lang w:eastAsia="x-none"/>
        </w:rPr>
        <w:tab/>
        <w:t>Sony</w:t>
      </w:r>
    </w:p>
    <w:p w14:paraId="6635001D" w14:textId="4663FCDE" w:rsidR="00F74A6F" w:rsidRPr="009537ED" w:rsidRDefault="005A18DC" w:rsidP="00F74A6F">
      <w:pPr>
        <w:rPr>
          <w:lang w:eastAsia="x-none"/>
        </w:rPr>
      </w:pPr>
      <w:hyperlink r:id="rId1882" w:history="1">
        <w:r w:rsidR="00AF7253">
          <w:rPr>
            <w:rStyle w:val="Hyperlink"/>
            <w:lang w:eastAsia="x-none"/>
          </w:rPr>
          <w:t>R1-2311530</w:t>
        </w:r>
      </w:hyperlink>
      <w:r w:rsidR="00F74A6F" w:rsidRPr="009537ED">
        <w:rPr>
          <w:lang w:eastAsia="x-none"/>
        </w:rPr>
        <w:tab/>
        <w:t>AI and ML for CSI feedback enhancement</w:t>
      </w:r>
      <w:r w:rsidR="00F74A6F" w:rsidRPr="009537ED">
        <w:rPr>
          <w:lang w:eastAsia="x-none"/>
        </w:rPr>
        <w:tab/>
        <w:t>NVIDIA</w:t>
      </w:r>
    </w:p>
    <w:p w14:paraId="1A5241E3" w14:textId="12264964" w:rsidR="00F74A6F" w:rsidRPr="009537ED" w:rsidRDefault="005A18DC" w:rsidP="00F74A6F">
      <w:pPr>
        <w:rPr>
          <w:lang w:eastAsia="x-none"/>
        </w:rPr>
      </w:pPr>
      <w:hyperlink r:id="rId1883" w:history="1">
        <w:r w:rsidR="00AF7253">
          <w:rPr>
            <w:rStyle w:val="Hyperlink"/>
            <w:lang w:eastAsia="x-none"/>
          </w:rPr>
          <w:t>R1-2311540</w:t>
        </w:r>
      </w:hyperlink>
      <w:r w:rsidR="00F74A6F" w:rsidRPr="009537ED">
        <w:rPr>
          <w:lang w:eastAsia="x-none"/>
        </w:rPr>
        <w:tab/>
        <w:t>Remaining details on other aspects for CSI feedback enhancement</w:t>
      </w:r>
      <w:r w:rsidR="00F74A6F" w:rsidRPr="009537ED">
        <w:rPr>
          <w:lang w:eastAsia="x-none"/>
        </w:rPr>
        <w:tab/>
        <w:t>InterDigital, Inc.</w:t>
      </w:r>
    </w:p>
    <w:p w14:paraId="60B663C6" w14:textId="3B107509" w:rsidR="00F74A6F" w:rsidRPr="009537ED" w:rsidRDefault="005A18DC" w:rsidP="00F74A6F">
      <w:pPr>
        <w:rPr>
          <w:lang w:eastAsia="x-none"/>
        </w:rPr>
      </w:pPr>
      <w:hyperlink r:id="rId1884" w:history="1">
        <w:r w:rsidR="00AF7253">
          <w:rPr>
            <w:rStyle w:val="Hyperlink"/>
            <w:lang w:eastAsia="x-none"/>
          </w:rPr>
          <w:t>R1-2311554</w:t>
        </w:r>
      </w:hyperlink>
      <w:r w:rsidR="00F74A6F" w:rsidRPr="009537ED">
        <w:rPr>
          <w:lang w:eastAsia="x-none"/>
        </w:rPr>
        <w:tab/>
        <w:t>Discussion on AI/ML for CSI feedback enhancement</w:t>
      </w:r>
      <w:r w:rsidR="00F74A6F" w:rsidRPr="009537ED">
        <w:rPr>
          <w:lang w:eastAsia="x-none"/>
        </w:rPr>
        <w:tab/>
        <w:t>China Telecom</w:t>
      </w:r>
    </w:p>
    <w:p w14:paraId="501E999E" w14:textId="43AE6619" w:rsidR="00F74A6F" w:rsidRPr="009537ED" w:rsidRDefault="005A18DC" w:rsidP="00F74A6F">
      <w:pPr>
        <w:rPr>
          <w:lang w:eastAsia="x-none"/>
        </w:rPr>
      </w:pPr>
      <w:hyperlink r:id="rId1885" w:history="1">
        <w:r w:rsidR="00AF7253">
          <w:rPr>
            <w:rStyle w:val="Hyperlink"/>
            <w:lang w:eastAsia="x-none"/>
          </w:rPr>
          <w:t>R1-2311573</w:t>
        </w:r>
      </w:hyperlink>
      <w:r w:rsidR="00F74A6F" w:rsidRPr="009537ED">
        <w:rPr>
          <w:lang w:eastAsia="x-none"/>
        </w:rPr>
        <w:tab/>
        <w:t>On Enhancement of AI/ML based CSI</w:t>
      </w:r>
      <w:r w:rsidR="00F74A6F" w:rsidRPr="009537ED">
        <w:rPr>
          <w:lang w:eastAsia="x-none"/>
        </w:rPr>
        <w:tab/>
        <w:t>Google</w:t>
      </w:r>
    </w:p>
    <w:p w14:paraId="40F81173" w14:textId="44872060" w:rsidR="00F74A6F" w:rsidRPr="009537ED" w:rsidRDefault="005A18DC" w:rsidP="00F74A6F">
      <w:pPr>
        <w:rPr>
          <w:lang w:eastAsia="x-none"/>
        </w:rPr>
      </w:pPr>
      <w:hyperlink r:id="rId1886" w:history="1">
        <w:r w:rsidR="00AF7253">
          <w:rPr>
            <w:rStyle w:val="Hyperlink"/>
            <w:lang w:eastAsia="x-none"/>
          </w:rPr>
          <w:t>R1-2311640</w:t>
        </w:r>
      </w:hyperlink>
      <w:r w:rsidR="00F74A6F" w:rsidRPr="009537ED">
        <w:rPr>
          <w:lang w:eastAsia="x-none"/>
        </w:rPr>
        <w:tab/>
        <w:t>Discussion on AI/ML for CSI feedback enhancement</w:t>
      </w:r>
      <w:r w:rsidR="00F74A6F" w:rsidRPr="009537ED">
        <w:rPr>
          <w:lang w:eastAsia="x-none"/>
        </w:rPr>
        <w:tab/>
        <w:t>NTT DOCOMO, INC.</w:t>
      </w:r>
    </w:p>
    <w:p w14:paraId="07C23475" w14:textId="34A8546A" w:rsidR="00F74A6F" w:rsidRPr="009537ED" w:rsidRDefault="005A18DC" w:rsidP="00F74A6F">
      <w:pPr>
        <w:rPr>
          <w:lang w:eastAsia="x-none"/>
        </w:rPr>
      </w:pPr>
      <w:hyperlink r:id="rId1887" w:history="1">
        <w:r w:rsidR="00AF7253">
          <w:rPr>
            <w:rStyle w:val="Hyperlink"/>
            <w:lang w:eastAsia="x-none"/>
          </w:rPr>
          <w:t>R1-2311705</w:t>
        </w:r>
      </w:hyperlink>
      <w:r w:rsidR="00F74A6F" w:rsidRPr="009537ED">
        <w:rPr>
          <w:lang w:eastAsia="x-none"/>
        </w:rPr>
        <w:tab/>
        <w:t>Discussion on other aspects of CSI others</w:t>
      </w:r>
      <w:r w:rsidR="00F74A6F" w:rsidRPr="009537ED">
        <w:rPr>
          <w:lang w:eastAsia="x-none"/>
        </w:rPr>
        <w:tab/>
        <w:t>Apple</w:t>
      </w:r>
    </w:p>
    <w:p w14:paraId="40633183" w14:textId="2460C382" w:rsidR="00F74A6F" w:rsidRPr="009537ED" w:rsidRDefault="005A18DC" w:rsidP="00F74A6F">
      <w:pPr>
        <w:rPr>
          <w:lang w:eastAsia="x-none"/>
        </w:rPr>
      </w:pPr>
      <w:hyperlink r:id="rId1888" w:history="1">
        <w:r w:rsidR="00AF7253">
          <w:rPr>
            <w:rStyle w:val="Hyperlink"/>
            <w:lang w:eastAsia="x-none"/>
          </w:rPr>
          <w:t>R1-2311784</w:t>
        </w:r>
      </w:hyperlink>
      <w:r w:rsidR="00F74A6F" w:rsidRPr="009537ED">
        <w:rPr>
          <w:lang w:eastAsia="x-none"/>
        </w:rPr>
        <w:tab/>
        <w:t>Other aspects on AI/ML for CSI feedback enhancement</w:t>
      </w:r>
      <w:r w:rsidR="00F74A6F" w:rsidRPr="009537ED">
        <w:rPr>
          <w:lang w:eastAsia="x-none"/>
        </w:rPr>
        <w:tab/>
        <w:t>Nokia, Nokia Shanghai Bell</w:t>
      </w:r>
    </w:p>
    <w:p w14:paraId="386F5398" w14:textId="48DC660C" w:rsidR="00F74A6F" w:rsidRPr="009537ED" w:rsidRDefault="005A18DC" w:rsidP="00F74A6F">
      <w:pPr>
        <w:rPr>
          <w:lang w:eastAsia="x-none"/>
        </w:rPr>
      </w:pPr>
      <w:hyperlink r:id="rId1889" w:history="1">
        <w:r w:rsidR="00AF7253">
          <w:rPr>
            <w:rStyle w:val="Hyperlink"/>
            <w:lang w:eastAsia="x-none"/>
          </w:rPr>
          <w:t>R1-2311865</w:t>
        </w:r>
      </w:hyperlink>
      <w:r w:rsidR="00F74A6F" w:rsidRPr="009537ED">
        <w:rPr>
          <w:lang w:eastAsia="x-none"/>
        </w:rPr>
        <w:tab/>
        <w:t>Views on remaining aspects on AI/ML for CSI feedback enhancement</w:t>
      </w:r>
      <w:r w:rsidR="00F74A6F" w:rsidRPr="009537ED">
        <w:rPr>
          <w:lang w:eastAsia="x-none"/>
        </w:rPr>
        <w:tab/>
        <w:t>Samsung</w:t>
      </w:r>
    </w:p>
    <w:p w14:paraId="21E6C25E" w14:textId="79D3913A" w:rsidR="00F74A6F" w:rsidRPr="009537ED" w:rsidRDefault="005A18DC" w:rsidP="00F74A6F">
      <w:pPr>
        <w:rPr>
          <w:lang w:eastAsia="x-none"/>
        </w:rPr>
      </w:pPr>
      <w:hyperlink r:id="rId1890" w:history="1">
        <w:r w:rsidR="00AF7253">
          <w:rPr>
            <w:rStyle w:val="Hyperlink"/>
            <w:lang w:eastAsia="x-none"/>
          </w:rPr>
          <w:t>R1-2311941</w:t>
        </w:r>
      </w:hyperlink>
      <w:r w:rsidR="00F74A6F" w:rsidRPr="009537ED">
        <w:rPr>
          <w:lang w:eastAsia="x-none"/>
        </w:rPr>
        <w:tab/>
        <w:t>Further aspects of AI/ML for CSI feedback</w:t>
      </w:r>
      <w:r w:rsidR="00F74A6F" w:rsidRPr="009537ED">
        <w:rPr>
          <w:lang w:eastAsia="x-none"/>
        </w:rPr>
        <w:tab/>
        <w:t>Lenovo</w:t>
      </w:r>
    </w:p>
    <w:p w14:paraId="2CBB42F4" w14:textId="79BA2BF7" w:rsidR="00F74A6F" w:rsidRPr="009537ED" w:rsidRDefault="005A18DC" w:rsidP="00F74A6F">
      <w:pPr>
        <w:rPr>
          <w:lang w:eastAsia="x-none"/>
        </w:rPr>
      </w:pPr>
      <w:hyperlink r:id="rId1891" w:history="1">
        <w:r w:rsidR="00AF7253">
          <w:rPr>
            <w:rStyle w:val="Hyperlink"/>
            <w:lang w:eastAsia="x-none"/>
          </w:rPr>
          <w:t>R1-2311993</w:t>
        </w:r>
      </w:hyperlink>
      <w:r w:rsidR="00F74A6F" w:rsidRPr="009537ED">
        <w:rPr>
          <w:lang w:eastAsia="x-none"/>
        </w:rPr>
        <w:tab/>
        <w:t>Other aspects on AI/ML  for CSI Feedback Enhancement</w:t>
      </w:r>
      <w:r w:rsidR="00F74A6F" w:rsidRPr="009537ED">
        <w:rPr>
          <w:lang w:eastAsia="x-none"/>
        </w:rPr>
        <w:tab/>
        <w:t>MediaTek Inc.</w:t>
      </w:r>
    </w:p>
    <w:p w14:paraId="270443F6" w14:textId="4E13B80A" w:rsidR="00F74A6F" w:rsidRPr="009537ED" w:rsidRDefault="005A18DC" w:rsidP="00F74A6F">
      <w:pPr>
        <w:rPr>
          <w:lang w:eastAsia="x-none"/>
        </w:rPr>
      </w:pPr>
      <w:hyperlink r:id="rId1892" w:history="1">
        <w:r w:rsidR="00AF7253">
          <w:rPr>
            <w:rStyle w:val="Hyperlink"/>
            <w:lang w:eastAsia="x-none"/>
          </w:rPr>
          <w:t>R1-2312057</w:t>
        </w:r>
      </w:hyperlink>
      <w:r w:rsidR="00F74A6F" w:rsidRPr="009537ED">
        <w:rPr>
          <w:lang w:eastAsia="x-none"/>
        </w:rPr>
        <w:tab/>
        <w:t>Other aspects on AI/ML for CSI feedback enhancement</w:t>
      </w:r>
      <w:r w:rsidR="00F74A6F" w:rsidRPr="009537ED">
        <w:rPr>
          <w:lang w:eastAsia="x-none"/>
        </w:rPr>
        <w:tab/>
        <w:t>Qualcomm Incorporated</w:t>
      </w:r>
    </w:p>
    <w:p w14:paraId="69B00C7B" w14:textId="18D485DF" w:rsidR="00F74A6F" w:rsidRPr="009537ED" w:rsidRDefault="005A18DC" w:rsidP="00F74A6F">
      <w:pPr>
        <w:rPr>
          <w:lang w:eastAsia="x-none"/>
        </w:rPr>
      </w:pPr>
      <w:hyperlink r:id="rId1893" w:history="1">
        <w:r w:rsidR="00AF7253">
          <w:rPr>
            <w:rStyle w:val="Hyperlink"/>
            <w:lang w:eastAsia="x-none"/>
          </w:rPr>
          <w:t>R1-2312088</w:t>
        </w:r>
      </w:hyperlink>
      <w:r w:rsidR="00F74A6F" w:rsidRPr="009537ED">
        <w:rPr>
          <w:lang w:eastAsia="x-none"/>
        </w:rPr>
        <w:tab/>
        <w:t>Discussion on AI/ML for CSI feedback enhancement</w:t>
      </w:r>
      <w:r w:rsidR="00F74A6F" w:rsidRPr="009537ED">
        <w:rPr>
          <w:lang w:eastAsia="x-none"/>
        </w:rPr>
        <w:tab/>
        <w:t>AT&amp;T</w:t>
      </w:r>
    </w:p>
    <w:p w14:paraId="21DBBBE7" w14:textId="2A247866" w:rsidR="00F74A6F" w:rsidRPr="009537ED" w:rsidRDefault="005A18DC" w:rsidP="00F74A6F">
      <w:pPr>
        <w:rPr>
          <w:lang w:eastAsia="x-none"/>
        </w:rPr>
      </w:pPr>
      <w:hyperlink r:id="rId1894" w:history="1">
        <w:r w:rsidR="00AF7253">
          <w:rPr>
            <w:rStyle w:val="Hyperlink"/>
            <w:lang w:eastAsia="x-none"/>
          </w:rPr>
          <w:t>R1-2312107</w:t>
        </w:r>
      </w:hyperlink>
      <w:r w:rsidR="00F74A6F" w:rsidRPr="009537ED">
        <w:rPr>
          <w:lang w:eastAsia="x-none"/>
        </w:rPr>
        <w:tab/>
        <w:t>Discussions on Other Aspects on AI/ML for CSI Feedback Enhancement</w:t>
      </w:r>
      <w:r w:rsidR="00F74A6F" w:rsidRPr="009537ED">
        <w:rPr>
          <w:lang w:eastAsia="x-none"/>
        </w:rPr>
        <w:tab/>
        <w:t>Indian Institute of Tech (M), IIT Kanpur</w:t>
      </w:r>
    </w:p>
    <w:p w14:paraId="05C45201" w14:textId="192F9CB6" w:rsidR="00F74A6F" w:rsidRPr="009537ED" w:rsidRDefault="005A18DC" w:rsidP="00F74A6F">
      <w:pPr>
        <w:rPr>
          <w:lang w:eastAsia="x-none"/>
        </w:rPr>
      </w:pPr>
      <w:hyperlink r:id="rId1895" w:history="1">
        <w:r w:rsidR="00AF7253">
          <w:rPr>
            <w:rStyle w:val="Hyperlink"/>
            <w:lang w:eastAsia="x-none"/>
          </w:rPr>
          <w:t>R1-2312129</w:t>
        </w:r>
      </w:hyperlink>
      <w:r w:rsidR="00F74A6F" w:rsidRPr="009537ED">
        <w:rPr>
          <w:lang w:eastAsia="x-none"/>
        </w:rPr>
        <w:tab/>
        <w:t>Other aspects on AI/ML for CSI feedback enhancement</w:t>
      </w:r>
      <w:r w:rsidR="00F74A6F" w:rsidRPr="009537ED">
        <w:rPr>
          <w:lang w:eastAsia="x-none"/>
        </w:rPr>
        <w:tab/>
        <w:t>ITL</w:t>
      </w:r>
    </w:p>
    <w:p w14:paraId="578AB5F8" w14:textId="7401E689" w:rsidR="00F74A6F" w:rsidRDefault="005A18DC" w:rsidP="00F74A6F">
      <w:pPr>
        <w:rPr>
          <w:lang w:eastAsia="x-none"/>
        </w:rPr>
      </w:pPr>
      <w:hyperlink r:id="rId1896" w:history="1">
        <w:r w:rsidR="00AF7253">
          <w:rPr>
            <w:rStyle w:val="Hyperlink"/>
            <w:lang w:eastAsia="x-none"/>
          </w:rPr>
          <w:t>R1-2312173</w:t>
        </w:r>
      </w:hyperlink>
      <w:r w:rsidR="00F74A6F" w:rsidRPr="009537ED">
        <w:rPr>
          <w:lang w:eastAsia="x-none"/>
        </w:rPr>
        <w:tab/>
        <w:t>Varying CSI feedback granularity based on channel conditions</w:t>
      </w:r>
      <w:r w:rsidR="00F74A6F" w:rsidRPr="009537ED">
        <w:rPr>
          <w:lang w:eastAsia="x-none"/>
        </w:rPr>
        <w:tab/>
        <w:t>Rakuten Symphony</w:t>
      </w:r>
    </w:p>
    <w:p w14:paraId="35E9BDAA" w14:textId="77777777" w:rsidR="00837C58" w:rsidRDefault="00837C58" w:rsidP="00F74A6F">
      <w:pPr>
        <w:rPr>
          <w:lang w:eastAsia="x-none"/>
        </w:rPr>
      </w:pPr>
    </w:p>
    <w:p w14:paraId="48F401E9" w14:textId="2EFA12AD" w:rsidR="00837C58" w:rsidRPr="00837C58" w:rsidRDefault="005A18DC" w:rsidP="00837C58">
      <w:pPr>
        <w:rPr>
          <w:b/>
          <w:bCs/>
          <w:iCs/>
        </w:rPr>
      </w:pPr>
      <w:hyperlink r:id="rId1897" w:history="1">
        <w:r w:rsidR="00AF7253">
          <w:rPr>
            <w:rStyle w:val="Hyperlink"/>
            <w:b/>
            <w:bCs/>
            <w:iCs/>
          </w:rPr>
          <w:t>R1-2312333</w:t>
        </w:r>
      </w:hyperlink>
      <w:r w:rsidR="00837C58" w:rsidRPr="00837C58">
        <w:rPr>
          <w:b/>
          <w:bCs/>
          <w:iCs/>
        </w:rPr>
        <w:tab/>
        <w:t>Summary #1 on other aspects of AI/ML for CSI enhancement</w:t>
      </w:r>
      <w:r w:rsidR="00837C58" w:rsidRPr="00837C58">
        <w:rPr>
          <w:b/>
          <w:bCs/>
          <w:iCs/>
        </w:rPr>
        <w:tab/>
        <w:t>Moderator (Apple)</w:t>
      </w:r>
    </w:p>
    <w:p w14:paraId="53FA17D1" w14:textId="40F85BF0" w:rsidR="00837C58" w:rsidRPr="00837C58" w:rsidRDefault="00837C58" w:rsidP="00837C58">
      <w:pPr>
        <w:rPr>
          <w:lang w:eastAsia="x-none"/>
        </w:rPr>
      </w:pPr>
      <w:r>
        <w:rPr>
          <w:lang w:eastAsia="x-none"/>
        </w:rPr>
        <w:t>From Tuesday session</w:t>
      </w:r>
    </w:p>
    <w:p w14:paraId="45FA0756" w14:textId="77777777" w:rsidR="00837C58" w:rsidRPr="00AA0033" w:rsidRDefault="00837C58" w:rsidP="00837C58">
      <w:pPr>
        <w:rPr>
          <w:rFonts w:ascii="Times New Roman" w:hAnsi="Times New Roman"/>
          <w:szCs w:val="20"/>
          <w:highlight w:val="green"/>
        </w:rPr>
      </w:pPr>
      <w:r w:rsidRPr="00AA0033">
        <w:rPr>
          <w:rFonts w:ascii="Times New Roman" w:hAnsi="Times New Roman"/>
          <w:szCs w:val="20"/>
          <w:highlight w:val="green"/>
        </w:rPr>
        <w:t>Agreement</w:t>
      </w:r>
    </w:p>
    <w:p w14:paraId="23F858DE" w14:textId="77777777" w:rsidR="00837C58" w:rsidRPr="00AA0033" w:rsidRDefault="00837C58" w:rsidP="00837C58">
      <w:pPr>
        <w:rPr>
          <w:rFonts w:ascii="Times New Roman" w:eastAsia="SimSun" w:hAnsi="Times New Roman"/>
          <w:szCs w:val="20"/>
          <w:lang w:val="en-US"/>
        </w:rPr>
      </w:pPr>
      <w:r w:rsidRPr="00AA0033">
        <w:rPr>
          <w:rFonts w:ascii="Times New Roman" w:eastAsia="SimSun" w:hAnsi="Times New Roman"/>
          <w:szCs w:val="20"/>
          <w:lang w:val="en-US"/>
        </w:rPr>
        <w:t xml:space="preserve">Adopt the following TP to TR 38.843: </w:t>
      </w:r>
    </w:p>
    <w:p w14:paraId="0F444DE0" w14:textId="77777777" w:rsidR="00837C58" w:rsidRPr="00AA0033" w:rsidRDefault="00837C58" w:rsidP="00837C58">
      <w:pPr>
        <w:rPr>
          <w:rFonts w:ascii="Times New Roman" w:hAnsi="Times New Roman"/>
          <w:color w:val="FF0000"/>
          <w:szCs w:val="20"/>
        </w:rPr>
      </w:pPr>
      <w:r w:rsidRPr="00AA0033">
        <w:rPr>
          <w:rFonts w:ascii="Times New Roman" w:hAnsi="Times New Roman"/>
          <w:color w:val="FF0000"/>
          <w:szCs w:val="20"/>
        </w:rPr>
        <w:t xml:space="preserve">-------------------------------------------- Start of Text Proposal --------------------------------------------------------       </w:t>
      </w:r>
    </w:p>
    <w:p w14:paraId="34E40D80" w14:textId="77777777" w:rsidR="00837C58" w:rsidRPr="00AA0033" w:rsidRDefault="00837C58" w:rsidP="00AA0033">
      <w:pPr>
        <w:rPr>
          <w:rFonts w:ascii="Arial" w:eastAsia="SimSun" w:hAnsi="Arial" w:cs="Arial"/>
          <w:b/>
          <w:bCs/>
          <w:sz w:val="16"/>
          <w:szCs w:val="16"/>
          <w:lang w:val="en-US"/>
        </w:rPr>
      </w:pPr>
      <w:r w:rsidRPr="00AA0033">
        <w:rPr>
          <w:rFonts w:ascii="Arial" w:eastAsia="SimSun" w:hAnsi="Arial" w:cs="Arial"/>
          <w:b/>
          <w:bCs/>
          <w:sz w:val="16"/>
          <w:szCs w:val="16"/>
          <w:lang w:val="en-US"/>
        </w:rPr>
        <w:t>5.1</w:t>
      </w:r>
      <w:r w:rsidRPr="00AA0033">
        <w:rPr>
          <w:rFonts w:ascii="Arial" w:eastAsia="SimSun" w:hAnsi="Arial" w:cs="Arial"/>
          <w:b/>
          <w:bCs/>
          <w:sz w:val="16"/>
          <w:szCs w:val="16"/>
          <w:lang w:val="en-US"/>
        </w:rPr>
        <w:tab/>
        <w:t>CSI feedback enhancement</w:t>
      </w:r>
    </w:p>
    <w:p w14:paraId="2BE6A77E" w14:textId="77777777" w:rsidR="00837C58" w:rsidRPr="00AA0033" w:rsidRDefault="00837C58" w:rsidP="00AA0033">
      <w:pPr>
        <w:jc w:val="center"/>
        <w:rPr>
          <w:rFonts w:ascii="Arial" w:hAnsi="Arial" w:cs="Arial"/>
          <w:color w:val="FF0000"/>
          <w:sz w:val="16"/>
          <w:szCs w:val="16"/>
        </w:rPr>
      </w:pPr>
      <w:r w:rsidRPr="00AA0033">
        <w:rPr>
          <w:rFonts w:ascii="Arial" w:hAnsi="Arial" w:cs="Arial"/>
          <w:color w:val="FF0000"/>
          <w:sz w:val="16"/>
          <w:szCs w:val="16"/>
        </w:rPr>
        <w:t>*** Unchanged text is omitted ***</w:t>
      </w:r>
    </w:p>
    <w:p w14:paraId="00C3E0E8" w14:textId="77777777" w:rsidR="00837C58" w:rsidRPr="00AA0033" w:rsidRDefault="00837C58" w:rsidP="00AA0033">
      <w:pPr>
        <w:rPr>
          <w:rFonts w:ascii="Arial" w:eastAsia="MS Mincho" w:hAnsi="Arial" w:cs="Arial"/>
          <w:strike/>
          <w:sz w:val="16"/>
          <w:szCs w:val="16"/>
        </w:rPr>
      </w:pPr>
      <w:r w:rsidRPr="00AA0033">
        <w:rPr>
          <w:rFonts w:ascii="Arial" w:eastAsia="MS Mincho" w:hAnsi="Arial" w:cs="Arial"/>
          <w:strike/>
          <w:sz w:val="16"/>
          <w:szCs w:val="16"/>
        </w:rPr>
        <w:t xml:space="preserve">In CSI compression using two-sided model use case, feasibility and procedure to align the information that enables the UE to select a CSI generation model(s) compatible with the CSI reconstruction model(s) used by the gNB is studied.  </w:t>
      </w:r>
    </w:p>
    <w:p w14:paraId="7597E458" w14:textId="77777777" w:rsidR="00837C58" w:rsidRPr="00AA0033" w:rsidRDefault="00837C58" w:rsidP="00AA0033">
      <w:pPr>
        <w:jc w:val="center"/>
        <w:rPr>
          <w:rFonts w:ascii="Arial" w:hAnsi="Arial" w:cs="Arial"/>
          <w:color w:val="FF0000"/>
          <w:sz w:val="16"/>
          <w:szCs w:val="16"/>
        </w:rPr>
      </w:pPr>
      <w:r w:rsidRPr="00AA0033">
        <w:rPr>
          <w:rFonts w:ascii="Arial" w:hAnsi="Arial" w:cs="Arial"/>
          <w:color w:val="FF0000"/>
          <w:sz w:val="16"/>
          <w:szCs w:val="16"/>
        </w:rPr>
        <w:t>*** Unchanged text is omitted ***</w:t>
      </w:r>
    </w:p>
    <w:p w14:paraId="5B695089" w14:textId="77777777" w:rsidR="00837C58" w:rsidRPr="00AA0033" w:rsidRDefault="00837C58" w:rsidP="00AA0033">
      <w:pPr>
        <w:rPr>
          <w:rFonts w:ascii="Arial" w:hAnsi="Arial" w:cs="Arial"/>
          <w:strike/>
          <w:sz w:val="16"/>
          <w:szCs w:val="16"/>
        </w:rPr>
      </w:pPr>
      <w:r w:rsidRPr="00AA0033">
        <w:rPr>
          <w:rFonts w:ascii="Arial" w:eastAsia="Malgun Gothic" w:hAnsi="Arial" w:cs="Arial"/>
          <w:strike/>
          <w:sz w:val="16"/>
          <w:szCs w:val="16"/>
        </w:rPr>
        <w:t>In CSI compression using two-sided model use case, at least</w:t>
      </w:r>
      <w:r w:rsidRPr="00AA0033">
        <w:rPr>
          <w:rFonts w:ascii="Arial" w:hAnsi="Arial" w:cs="Arial"/>
          <w:strike/>
          <w:sz w:val="16"/>
          <w:szCs w:val="16"/>
        </w:rPr>
        <w:t xml:space="preserve"> the following options </w:t>
      </w:r>
      <w:r w:rsidRPr="00AA0033">
        <w:rPr>
          <w:rFonts w:ascii="Arial" w:hAnsi="Arial" w:cs="Arial"/>
          <w:strike/>
          <w:color w:val="000000"/>
          <w:sz w:val="16"/>
          <w:szCs w:val="16"/>
        </w:rPr>
        <w:t>have b</w:t>
      </w:r>
      <w:r w:rsidRPr="00AA0033">
        <w:rPr>
          <w:rFonts w:ascii="Arial" w:hAnsi="Arial" w:cs="Arial"/>
          <w:strike/>
          <w:sz w:val="16"/>
          <w:szCs w:val="16"/>
        </w:rPr>
        <w:t xml:space="preserve">een proposed by companies to define the pairing information used to enable the UE to select a CSI generation model(s) that is compatible with the CSI reconstruction model(s) used by the gNB: </w:t>
      </w:r>
    </w:p>
    <w:p w14:paraId="72438B3B" w14:textId="77777777" w:rsidR="00837C58" w:rsidRPr="00AA0033" w:rsidRDefault="00837C58" w:rsidP="00AA0033">
      <w:pPr>
        <w:rPr>
          <w:rFonts w:ascii="Arial" w:eastAsia="MS Mincho" w:hAnsi="Arial" w:cs="Arial"/>
          <w:strike/>
          <w:sz w:val="16"/>
          <w:szCs w:val="16"/>
          <w:lang w:val="en-US"/>
        </w:rPr>
      </w:pPr>
      <w:r w:rsidRPr="00AA0033">
        <w:rPr>
          <w:rFonts w:ascii="Arial" w:eastAsia="MS Mincho" w:hAnsi="Arial" w:cs="Arial"/>
          <w:strike/>
          <w:sz w:val="16"/>
          <w:szCs w:val="16"/>
          <w:lang w:val="en-US"/>
        </w:rPr>
        <w:t>-</w:t>
      </w:r>
      <w:r w:rsidRPr="00AA0033">
        <w:rPr>
          <w:rFonts w:ascii="Arial" w:eastAsia="MS Mincho" w:hAnsi="Arial" w:cs="Arial"/>
          <w:strike/>
          <w:sz w:val="16"/>
          <w:szCs w:val="16"/>
          <w:lang w:val="en-US"/>
        </w:rPr>
        <w:tab/>
        <w:t xml:space="preserve">Option 1: The pairing information is in the forms of the CSI reconstruction model ID that NW will use. </w:t>
      </w:r>
    </w:p>
    <w:p w14:paraId="2441531E" w14:textId="77777777" w:rsidR="00837C58" w:rsidRPr="00AA0033" w:rsidRDefault="00837C58" w:rsidP="00AA0033">
      <w:pPr>
        <w:rPr>
          <w:rFonts w:ascii="Arial" w:eastAsia="MS Mincho" w:hAnsi="Arial" w:cs="Arial"/>
          <w:strike/>
          <w:sz w:val="16"/>
          <w:szCs w:val="16"/>
          <w:lang w:val="en-US"/>
        </w:rPr>
      </w:pPr>
      <w:r w:rsidRPr="00AA0033">
        <w:rPr>
          <w:rFonts w:ascii="Arial" w:eastAsia="MS Mincho" w:hAnsi="Arial" w:cs="Arial"/>
          <w:strike/>
          <w:sz w:val="16"/>
          <w:szCs w:val="16"/>
          <w:lang w:val="en-US"/>
        </w:rPr>
        <w:t>-</w:t>
      </w:r>
      <w:r w:rsidRPr="00AA0033">
        <w:rPr>
          <w:rFonts w:ascii="Arial" w:eastAsia="MS Mincho" w:hAnsi="Arial" w:cs="Arial"/>
          <w:strike/>
          <w:sz w:val="16"/>
          <w:szCs w:val="16"/>
          <w:lang w:val="en-US"/>
        </w:rPr>
        <w:tab/>
        <w:t>Option 2: The pairing information is in the forms of</w:t>
      </w:r>
      <w:r w:rsidRPr="00AA0033">
        <w:rPr>
          <w:rFonts w:ascii="Arial" w:eastAsia="MS Mincho" w:hAnsi="Arial" w:cs="Arial"/>
          <w:strike/>
          <w:color w:val="FF0000"/>
          <w:sz w:val="16"/>
          <w:szCs w:val="16"/>
          <w:lang w:val="en-US"/>
        </w:rPr>
        <w:t xml:space="preserve"> </w:t>
      </w:r>
      <w:r w:rsidRPr="00AA0033">
        <w:rPr>
          <w:rFonts w:ascii="Arial" w:eastAsia="MS Mincho" w:hAnsi="Arial" w:cs="Arial"/>
          <w:strike/>
          <w:sz w:val="16"/>
          <w:szCs w:val="16"/>
          <w:lang w:val="en-US"/>
        </w:rPr>
        <w:t xml:space="preserve">the CSI generation model ID that the UE will use. </w:t>
      </w:r>
    </w:p>
    <w:p w14:paraId="791E62F6" w14:textId="77777777" w:rsidR="00837C58" w:rsidRPr="00AA0033" w:rsidRDefault="00837C58" w:rsidP="00AA0033">
      <w:pPr>
        <w:rPr>
          <w:rFonts w:ascii="Arial" w:eastAsia="MS Mincho" w:hAnsi="Arial" w:cs="Arial"/>
          <w:strike/>
          <w:sz w:val="16"/>
          <w:szCs w:val="16"/>
          <w:lang w:val="en-US"/>
        </w:rPr>
      </w:pPr>
      <w:r w:rsidRPr="00AA0033">
        <w:rPr>
          <w:rFonts w:ascii="Arial" w:eastAsia="MS Mincho" w:hAnsi="Arial" w:cs="Arial"/>
          <w:strike/>
          <w:sz w:val="16"/>
          <w:szCs w:val="16"/>
          <w:lang w:val="en-US"/>
        </w:rPr>
        <w:t>-</w:t>
      </w:r>
      <w:r w:rsidRPr="00AA0033">
        <w:rPr>
          <w:rFonts w:ascii="Arial" w:eastAsia="MS Mincho" w:hAnsi="Arial" w:cs="Arial"/>
          <w:strike/>
          <w:sz w:val="16"/>
          <w:szCs w:val="16"/>
          <w:lang w:val="en-US"/>
        </w:rPr>
        <w:tab/>
        <w:t>Option 3: The pairing information is in the forms of</w:t>
      </w:r>
      <w:r w:rsidRPr="00AA0033">
        <w:rPr>
          <w:rFonts w:ascii="Arial" w:eastAsia="MS Mincho" w:hAnsi="Arial" w:cs="Arial"/>
          <w:strike/>
          <w:color w:val="FF0000"/>
          <w:sz w:val="16"/>
          <w:szCs w:val="16"/>
          <w:lang w:val="en-US"/>
        </w:rPr>
        <w:t xml:space="preserve"> </w:t>
      </w:r>
      <w:r w:rsidRPr="00AA0033">
        <w:rPr>
          <w:rFonts w:ascii="Arial" w:eastAsia="MS Mincho" w:hAnsi="Arial" w:cs="Arial"/>
          <w:strike/>
          <w:sz w:val="16"/>
          <w:szCs w:val="16"/>
          <w:lang w:val="en-US"/>
        </w:rPr>
        <w:t xml:space="preserve">the paired CSI generation model and CSI reconstruction model ID. </w:t>
      </w:r>
    </w:p>
    <w:p w14:paraId="1DC778FF" w14:textId="77777777" w:rsidR="00837C58" w:rsidRPr="00AA0033" w:rsidRDefault="00837C58" w:rsidP="00AA0033">
      <w:pPr>
        <w:rPr>
          <w:rFonts w:ascii="Arial" w:eastAsia="MS Mincho" w:hAnsi="Arial" w:cs="Arial"/>
          <w:strike/>
          <w:sz w:val="16"/>
          <w:szCs w:val="16"/>
          <w:lang w:val="en-US"/>
        </w:rPr>
      </w:pPr>
      <w:r w:rsidRPr="00AA0033">
        <w:rPr>
          <w:rFonts w:ascii="Arial" w:eastAsia="MS Mincho" w:hAnsi="Arial" w:cs="Arial"/>
          <w:strike/>
          <w:sz w:val="16"/>
          <w:szCs w:val="16"/>
          <w:lang w:val="en-US"/>
        </w:rPr>
        <w:t>-</w:t>
      </w:r>
      <w:r w:rsidRPr="00AA0033">
        <w:rPr>
          <w:rFonts w:ascii="Arial" w:eastAsia="MS Mincho" w:hAnsi="Arial" w:cs="Arial"/>
          <w:strike/>
          <w:sz w:val="16"/>
          <w:szCs w:val="16"/>
          <w:lang w:val="en-US"/>
        </w:rPr>
        <w:tab/>
        <w:t xml:space="preserve">Option 4: The pairing information is in the forms of by the dataset ID during type 3 sequential training. </w:t>
      </w:r>
    </w:p>
    <w:p w14:paraId="08798B68" w14:textId="77777777" w:rsidR="00837C58" w:rsidRPr="00AA0033" w:rsidRDefault="00837C58" w:rsidP="00AA0033">
      <w:pPr>
        <w:rPr>
          <w:rFonts w:ascii="Arial" w:eastAsia="MS Mincho" w:hAnsi="Arial" w:cs="Arial"/>
          <w:strike/>
          <w:sz w:val="16"/>
          <w:szCs w:val="16"/>
          <w:lang w:val="en-US"/>
        </w:rPr>
      </w:pPr>
      <w:r w:rsidRPr="00AA0033">
        <w:rPr>
          <w:rFonts w:ascii="Arial" w:eastAsia="MS Mincho" w:hAnsi="Arial" w:cs="Arial"/>
          <w:strike/>
          <w:sz w:val="16"/>
          <w:szCs w:val="16"/>
          <w:lang w:val="en-US"/>
        </w:rPr>
        <w:t>-</w:t>
      </w:r>
      <w:r w:rsidRPr="00AA0033">
        <w:rPr>
          <w:rFonts w:ascii="Arial" w:eastAsia="MS Mincho" w:hAnsi="Arial" w:cs="Arial"/>
          <w:strike/>
          <w:sz w:val="16"/>
          <w:szCs w:val="16"/>
          <w:lang w:val="en-US"/>
        </w:rPr>
        <w:tab/>
        <w:t xml:space="preserve">Option 5: The pairing information is in the forms of a training </w:t>
      </w:r>
      <w:r w:rsidRPr="00AA0033">
        <w:rPr>
          <w:rFonts w:ascii="Arial" w:eastAsia="MS Mincho" w:hAnsi="Arial" w:cs="Arial"/>
          <w:strike/>
          <w:color w:val="000000"/>
          <w:sz w:val="16"/>
          <w:szCs w:val="16"/>
          <w:lang w:val="en-US"/>
        </w:rPr>
        <w:t xml:space="preserve">session ID </w:t>
      </w:r>
      <w:r w:rsidRPr="00AA0033">
        <w:rPr>
          <w:rFonts w:ascii="Arial" w:eastAsia="MS Mincho" w:hAnsi="Arial" w:cs="Arial"/>
          <w:strike/>
          <w:sz w:val="16"/>
          <w:szCs w:val="16"/>
          <w:lang w:val="en-US"/>
        </w:rPr>
        <w:t xml:space="preserve">to a prior training session (e.g., API) between NW and UE. </w:t>
      </w:r>
    </w:p>
    <w:p w14:paraId="39E5D42C" w14:textId="77777777" w:rsidR="00837C58" w:rsidRPr="00AA0033" w:rsidRDefault="00837C58" w:rsidP="00AA0033">
      <w:pPr>
        <w:rPr>
          <w:rFonts w:ascii="Arial" w:eastAsia="MS Mincho" w:hAnsi="Arial" w:cs="Arial"/>
          <w:strike/>
          <w:color w:val="000000"/>
          <w:sz w:val="16"/>
          <w:szCs w:val="16"/>
          <w:lang w:val="en-US"/>
        </w:rPr>
      </w:pPr>
      <w:r w:rsidRPr="00AA0033">
        <w:rPr>
          <w:rFonts w:ascii="Arial" w:eastAsia="MS Mincho" w:hAnsi="Arial" w:cs="Arial"/>
          <w:strike/>
          <w:color w:val="000000"/>
          <w:sz w:val="16"/>
          <w:szCs w:val="16"/>
          <w:lang w:val="en-US"/>
        </w:rPr>
        <w:t>-</w:t>
      </w:r>
      <w:r w:rsidRPr="00AA0033">
        <w:rPr>
          <w:rFonts w:ascii="Arial" w:eastAsia="MS Mincho" w:hAnsi="Arial" w:cs="Arial"/>
          <w:strike/>
          <w:color w:val="000000"/>
          <w:sz w:val="16"/>
          <w:szCs w:val="16"/>
          <w:lang w:val="en-US"/>
        </w:rPr>
        <w:tab/>
        <w:t xml:space="preserve">Option 6: The pairing information is up to UE/NW offline co-engineering alignment, transparent to 3GPP specification. </w:t>
      </w:r>
    </w:p>
    <w:p w14:paraId="41096916" w14:textId="77777777" w:rsidR="00837C58" w:rsidRPr="00AA0033" w:rsidRDefault="00837C58" w:rsidP="00AA0033">
      <w:pPr>
        <w:rPr>
          <w:rFonts w:ascii="Arial" w:eastAsia="MS Mincho" w:hAnsi="Arial" w:cs="Arial"/>
          <w:strike/>
          <w:color w:val="000000"/>
          <w:sz w:val="16"/>
          <w:szCs w:val="16"/>
          <w:lang w:val="en-US"/>
        </w:rPr>
      </w:pPr>
      <w:r w:rsidRPr="00AA0033">
        <w:rPr>
          <w:rFonts w:ascii="Arial" w:eastAsia="MS Mincho" w:hAnsi="Arial" w:cs="Arial"/>
          <w:strike/>
          <w:color w:val="000000"/>
          <w:sz w:val="16"/>
          <w:szCs w:val="16"/>
          <w:lang w:val="en-US"/>
        </w:rPr>
        <w:t>-</w:t>
      </w:r>
      <w:r w:rsidRPr="00AA0033">
        <w:rPr>
          <w:rFonts w:ascii="Arial" w:eastAsia="MS Mincho" w:hAnsi="Arial" w:cs="Arial"/>
          <w:strike/>
          <w:color w:val="000000"/>
          <w:sz w:val="16"/>
          <w:szCs w:val="16"/>
          <w:lang w:val="en-US"/>
        </w:rPr>
        <w:tab/>
        <w:t>Note: the disclosure of the vendor information during the model pairing procedure and model identification procedure should be considered.</w:t>
      </w:r>
    </w:p>
    <w:p w14:paraId="21114750" w14:textId="77777777" w:rsidR="00837C58" w:rsidRPr="00AA0033" w:rsidRDefault="00837C58" w:rsidP="00AA0033">
      <w:pPr>
        <w:rPr>
          <w:rFonts w:ascii="Arial" w:eastAsia="MS Mincho" w:hAnsi="Arial" w:cs="Arial"/>
          <w:strike/>
          <w:color w:val="000000"/>
          <w:sz w:val="16"/>
          <w:szCs w:val="16"/>
          <w:lang w:val="en-US"/>
        </w:rPr>
      </w:pPr>
      <w:r w:rsidRPr="00AA0033">
        <w:rPr>
          <w:rFonts w:ascii="Arial" w:eastAsia="MS Mincho" w:hAnsi="Arial" w:cs="Arial"/>
          <w:strike/>
          <w:color w:val="000000"/>
          <w:sz w:val="16"/>
          <w:szCs w:val="16"/>
          <w:lang w:val="en-US"/>
        </w:rPr>
        <w:t>-</w:t>
      </w:r>
      <w:r w:rsidRPr="00AA0033">
        <w:rPr>
          <w:rFonts w:ascii="Arial" w:eastAsia="MS Mincho" w:hAnsi="Arial" w:cs="Arial"/>
          <w:strike/>
          <w:color w:val="000000"/>
          <w:sz w:val="16"/>
          <w:szCs w:val="16"/>
          <w:lang w:val="en-US"/>
        </w:rPr>
        <w:tab/>
        <w:t xml:space="preserve">Note: If each UE side model is compatible with all NW side model, the information is not needed for the UE. </w:t>
      </w:r>
    </w:p>
    <w:p w14:paraId="2EE98521" w14:textId="77777777" w:rsidR="00837C58" w:rsidRPr="00AA0033" w:rsidRDefault="00837C58" w:rsidP="00AA0033">
      <w:pPr>
        <w:rPr>
          <w:rFonts w:ascii="Arial" w:eastAsia="DengXian" w:hAnsi="Arial" w:cs="Arial"/>
          <w:strike/>
          <w:sz w:val="16"/>
          <w:szCs w:val="16"/>
          <w:lang w:eastAsia="zh-CN"/>
        </w:rPr>
      </w:pPr>
      <w:r w:rsidRPr="00AA0033">
        <w:rPr>
          <w:rFonts w:ascii="Arial" w:eastAsia="MS Mincho" w:hAnsi="Arial" w:cs="Arial"/>
          <w:strike/>
          <w:color w:val="000000"/>
          <w:sz w:val="16"/>
          <w:szCs w:val="16"/>
          <w:lang w:val="en-US"/>
        </w:rPr>
        <w:t>-</w:t>
      </w:r>
      <w:r w:rsidRPr="00AA0033">
        <w:rPr>
          <w:rFonts w:ascii="Arial" w:eastAsia="MS Mincho" w:hAnsi="Arial" w:cs="Arial"/>
          <w:strike/>
          <w:color w:val="000000"/>
          <w:sz w:val="16"/>
          <w:szCs w:val="16"/>
          <w:lang w:val="en-US"/>
        </w:rPr>
        <w:tab/>
        <w:t xml:space="preserve">Note: Above does not imply there is a need for a central entity for defining/storing/maintaining the IDs.  </w:t>
      </w:r>
    </w:p>
    <w:p w14:paraId="4FA51E40" w14:textId="77777777" w:rsidR="00837C58" w:rsidRPr="00AA0033" w:rsidRDefault="00837C58" w:rsidP="00AA0033">
      <w:pPr>
        <w:rPr>
          <w:rFonts w:ascii="Arial" w:hAnsi="Arial" w:cs="Arial"/>
          <w:sz w:val="16"/>
          <w:szCs w:val="16"/>
        </w:rPr>
      </w:pPr>
      <w:r w:rsidRPr="00AA0033">
        <w:rPr>
          <w:rFonts w:ascii="Arial" w:hAnsi="Arial" w:cs="Arial"/>
          <w:sz w:val="16"/>
          <w:szCs w:val="16"/>
        </w:rPr>
        <w:t>For CSI compression use case:</w:t>
      </w:r>
    </w:p>
    <w:p w14:paraId="0C86603C" w14:textId="1EE63774" w:rsidR="00837C58" w:rsidRPr="00AA0033" w:rsidRDefault="00837C58" w:rsidP="00AA1D48">
      <w:pPr>
        <w:pStyle w:val="ListParagraph"/>
        <w:numPr>
          <w:ilvl w:val="0"/>
          <w:numId w:val="120"/>
        </w:numPr>
        <w:spacing w:after="0"/>
        <w:rPr>
          <w:rFonts w:ascii="Arial" w:eastAsia="MS Mincho" w:hAnsi="Arial" w:cs="Arial"/>
          <w:sz w:val="16"/>
          <w:szCs w:val="16"/>
        </w:rPr>
      </w:pPr>
      <w:r w:rsidRPr="00AA0033">
        <w:rPr>
          <w:rFonts w:ascii="Arial" w:eastAsia="MS Mincho" w:hAnsi="Arial" w:cs="Arial"/>
          <w:sz w:val="16"/>
          <w:szCs w:val="16"/>
        </w:rPr>
        <w:t xml:space="preserve">For model training, training data can be generated by UE/gNB </w:t>
      </w:r>
    </w:p>
    <w:p w14:paraId="1A268F41" w14:textId="0EBCE703" w:rsidR="00837C58" w:rsidRPr="00AA0033" w:rsidRDefault="00837C58" w:rsidP="00AA1D48">
      <w:pPr>
        <w:pStyle w:val="ListParagraph"/>
        <w:numPr>
          <w:ilvl w:val="0"/>
          <w:numId w:val="120"/>
        </w:numPr>
        <w:spacing w:after="0"/>
        <w:rPr>
          <w:rFonts w:ascii="Arial" w:eastAsia="MS Mincho" w:hAnsi="Arial" w:cs="Arial"/>
          <w:sz w:val="16"/>
          <w:szCs w:val="16"/>
        </w:rPr>
      </w:pPr>
      <w:r w:rsidRPr="00AA0033">
        <w:rPr>
          <w:rFonts w:ascii="Arial" w:eastAsia="MS Mincho" w:hAnsi="Arial" w:cs="Arial"/>
          <w:sz w:val="16"/>
          <w:szCs w:val="16"/>
        </w:rPr>
        <w:t>For NW-part of two-sided model inference, input data can be generated by UE and terminated at gNB.</w:t>
      </w:r>
    </w:p>
    <w:p w14:paraId="54525F98" w14:textId="1C90D4C4" w:rsidR="00837C58" w:rsidRPr="00AA0033" w:rsidRDefault="00837C58" w:rsidP="00AA1D48">
      <w:pPr>
        <w:pStyle w:val="ListParagraph"/>
        <w:numPr>
          <w:ilvl w:val="0"/>
          <w:numId w:val="120"/>
        </w:numPr>
        <w:spacing w:after="0"/>
        <w:rPr>
          <w:rFonts w:ascii="Arial" w:eastAsia="MS Mincho" w:hAnsi="Arial" w:cs="Arial"/>
          <w:sz w:val="16"/>
          <w:szCs w:val="16"/>
        </w:rPr>
      </w:pPr>
      <w:r w:rsidRPr="00AA0033">
        <w:rPr>
          <w:rFonts w:ascii="Arial" w:eastAsia="MS Mincho" w:hAnsi="Arial" w:cs="Arial"/>
          <w:sz w:val="16"/>
          <w:szCs w:val="16"/>
        </w:rPr>
        <w:t>For UE-part of two-sided model inference, input data is internally available at UE.</w:t>
      </w:r>
    </w:p>
    <w:p w14:paraId="772A1FC9" w14:textId="38724FC8" w:rsidR="00837C58" w:rsidRPr="00AA0033" w:rsidRDefault="00837C58" w:rsidP="00AA1D48">
      <w:pPr>
        <w:pStyle w:val="ListParagraph"/>
        <w:numPr>
          <w:ilvl w:val="0"/>
          <w:numId w:val="120"/>
        </w:numPr>
        <w:spacing w:after="0"/>
        <w:rPr>
          <w:rFonts w:ascii="Arial" w:eastAsia="MS Mincho" w:hAnsi="Arial" w:cs="Arial"/>
          <w:sz w:val="16"/>
          <w:szCs w:val="16"/>
        </w:rPr>
      </w:pPr>
      <w:r w:rsidRPr="00AA0033">
        <w:rPr>
          <w:rFonts w:ascii="Arial" w:eastAsia="MS Mincho" w:hAnsi="Arial" w:cs="Arial"/>
          <w:sz w:val="16"/>
          <w:szCs w:val="16"/>
        </w:rPr>
        <w:t>For performance monitoring at the NW side, calculated performance metrics (if needed) or data needed for performance metric calculation (if needed) can be generated by UE and terminated at gNB</w:t>
      </w:r>
    </w:p>
    <w:p w14:paraId="26124C7F" w14:textId="77777777" w:rsidR="00837C58" w:rsidRPr="00AA0033" w:rsidRDefault="00837C58" w:rsidP="00AA0033">
      <w:pPr>
        <w:rPr>
          <w:rFonts w:ascii="Arial" w:eastAsia="MS Mincho" w:hAnsi="Arial" w:cs="Arial"/>
          <w:sz w:val="16"/>
          <w:szCs w:val="16"/>
        </w:rPr>
      </w:pPr>
      <w:r w:rsidRPr="00AA0033">
        <w:rPr>
          <w:rFonts w:ascii="Arial" w:eastAsia="MS Mincho" w:hAnsi="Arial" w:cs="Arial"/>
          <w:sz w:val="16"/>
          <w:szCs w:val="16"/>
        </w:rPr>
        <w:t>For CSI prediction use cases:</w:t>
      </w:r>
    </w:p>
    <w:p w14:paraId="270D5BF6" w14:textId="7C20428D" w:rsidR="00837C58" w:rsidRPr="00AA0033" w:rsidRDefault="00837C58" w:rsidP="00AA1D48">
      <w:pPr>
        <w:pStyle w:val="ListParagraph"/>
        <w:numPr>
          <w:ilvl w:val="0"/>
          <w:numId w:val="121"/>
        </w:numPr>
        <w:spacing w:after="0"/>
        <w:rPr>
          <w:rFonts w:ascii="Arial" w:eastAsia="MS Mincho" w:hAnsi="Arial" w:cs="Arial"/>
          <w:sz w:val="16"/>
          <w:szCs w:val="16"/>
        </w:rPr>
      </w:pPr>
      <w:r w:rsidRPr="00AA0033">
        <w:rPr>
          <w:rFonts w:ascii="Arial" w:eastAsia="MS Mincho" w:hAnsi="Arial" w:cs="Arial"/>
          <w:sz w:val="16"/>
          <w:szCs w:val="16"/>
        </w:rPr>
        <w:t>For model training, training data can be generated by UE.</w:t>
      </w:r>
    </w:p>
    <w:p w14:paraId="468DAC35" w14:textId="0C99EEF6" w:rsidR="00837C58" w:rsidRPr="00AA0033" w:rsidRDefault="00837C58" w:rsidP="00AA1D48">
      <w:pPr>
        <w:pStyle w:val="ListParagraph"/>
        <w:numPr>
          <w:ilvl w:val="0"/>
          <w:numId w:val="121"/>
        </w:numPr>
        <w:spacing w:after="0"/>
        <w:rPr>
          <w:rFonts w:ascii="Arial" w:eastAsia="MS Mincho" w:hAnsi="Arial" w:cs="Arial"/>
          <w:sz w:val="16"/>
          <w:szCs w:val="16"/>
        </w:rPr>
      </w:pPr>
      <w:r w:rsidRPr="00AA0033">
        <w:rPr>
          <w:rFonts w:ascii="Arial" w:eastAsia="MS Mincho" w:hAnsi="Arial" w:cs="Arial"/>
          <w:sz w:val="16"/>
          <w:szCs w:val="16"/>
        </w:rPr>
        <w:t>For UE-side model inference, input data is internally available at UE.</w:t>
      </w:r>
    </w:p>
    <w:p w14:paraId="44143DCD" w14:textId="669ADB24" w:rsidR="00837C58" w:rsidRPr="00AA0033" w:rsidRDefault="00837C58" w:rsidP="00AA1D48">
      <w:pPr>
        <w:pStyle w:val="ListParagraph"/>
        <w:numPr>
          <w:ilvl w:val="0"/>
          <w:numId w:val="121"/>
        </w:numPr>
        <w:spacing w:after="0"/>
        <w:rPr>
          <w:rFonts w:ascii="Arial" w:eastAsia="MS Mincho" w:hAnsi="Arial" w:cs="Arial"/>
          <w:sz w:val="16"/>
          <w:szCs w:val="16"/>
        </w:rPr>
      </w:pPr>
      <w:r w:rsidRPr="00AA0033">
        <w:rPr>
          <w:rFonts w:ascii="Arial" w:eastAsia="MS Mincho" w:hAnsi="Arial" w:cs="Arial"/>
          <w:sz w:val="16"/>
          <w:szCs w:val="16"/>
        </w:rPr>
        <w:t>For performance monitoring at the NW side, calculated performance metrics (if needed) or data needed for performance metric calculation (if needed) can be generated by UE and terminated at gNB.</w:t>
      </w:r>
    </w:p>
    <w:p w14:paraId="5B09CC46" w14:textId="77777777" w:rsidR="00837C58" w:rsidRPr="00AA0033" w:rsidRDefault="00837C58" w:rsidP="00AA0033">
      <w:pPr>
        <w:rPr>
          <w:rFonts w:ascii="Arial" w:hAnsi="Arial" w:cs="Arial"/>
          <w:strike/>
          <w:sz w:val="16"/>
          <w:szCs w:val="16"/>
        </w:rPr>
      </w:pPr>
      <w:r w:rsidRPr="00AA0033">
        <w:rPr>
          <w:rFonts w:ascii="Arial" w:hAnsi="Arial" w:cs="Arial"/>
          <w:strike/>
          <w:sz w:val="16"/>
          <w:szCs w:val="16"/>
        </w:rPr>
        <w:t>For CSI prediction using UE side model use case, at least the following aspects</w:t>
      </w:r>
      <w:r w:rsidRPr="00AA0033">
        <w:rPr>
          <w:rFonts w:ascii="Arial" w:hAnsi="Arial" w:cs="Arial"/>
          <w:strike/>
          <w:color w:val="FF0000"/>
          <w:sz w:val="16"/>
          <w:szCs w:val="16"/>
        </w:rPr>
        <w:t xml:space="preserve"> </w:t>
      </w:r>
      <w:r w:rsidRPr="00AA0033">
        <w:rPr>
          <w:rFonts w:ascii="Arial" w:hAnsi="Arial" w:cs="Arial"/>
          <w:strike/>
          <w:sz w:val="16"/>
          <w:szCs w:val="16"/>
        </w:rPr>
        <w:t xml:space="preserve">have been proposed by companies on performance monitoring </w:t>
      </w:r>
      <w:r w:rsidRPr="00AA0033">
        <w:rPr>
          <w:rFonts w:ascii="Arial" w:eastAsia="SimSun" w:hAnsi="Arial" w:cs="Arial"/>
          <w:strike/>
          <w:sz w:val="16"/>
          <w:szCs w:val="16"/>
        </w:rPr>
        <w:t>for functionality-based LCM</w:t>
      </w:r>
      <w:r w:rsidRPr="00AA0033">
        <w:rPr>
          <w:rFonts w:ascii="Arial" w:hAnsi="Arial" w:cs="Arial"/>
          <w:strike/>
          <w:sz w:val="16"/>
          <w:szCs w:val="16"/>
        </w:rPr>
        <w:t xml:space="preserve">: </w:t>
      </w:r>
    </w:p>
    <w:p w14:paraId="21EE85EE" w14:textId="3DA1E0FD" w:rsidR="00837C58" w:rsidRPr="00AA0033" w:rsidRDefault="00837C58" w:rsidP="00AA1D48">
      <w:pPr>
        <w:pStyle w:val="ListParagraph"/>
        <w:numPr>
          <w:ilvl w:val="0"/>
          <w:numId w:val="119"/>
        </w:numPr>
        <w:spacing w:after="0"/>
        <w:rPr>
          <w:rFonts w:ascii="Arial" w:hAnsi="Arial" w:cs="Arial"/>
          <w:strike/>
          <w:sz w:val="16"/>
          <w:szCs w:val="16"/>
        </w:rPr>
      </w:pPr>
      <w:r w:rsidRPr="00AA0033">
        <w:rPr>
          <w:rFonts w:ascii="Arial" w:hAnsi="Arial" w:cs="Arial"/>
          <w:strike/>
          <w:sz w:val="16"/>
          <w:szCs w:val="16"/>
        </w:rPr>
        <w:t xml:space="preserve">Type 1: </w:t>
      </w:r>
    </w:p>
    <w:p w14:paraId="5694AF89" w14:textId="58EDBCD7" w:rsidR="00837C58" w:rsidRPr="00AA0033" w:rsidRDefault="00837C58" w:rsidP="00AA1D48">
      <w:pPr>
        <w:pStyle w:val="ListParagraph"/>
        <w:numPr>
          <w:ilvl w:val="1"/>
          <w:numId w:val="119"/>
        </w:numPr>
        <w:spacing w:after="0"/>
        <w:rPr>
          <w:rFonts w:ascii="Arial" w:hAnsi="Arial" w:cs="Arial"/>
          <w:strike/>
          <w:sz w:val="16"/>
          <w:szCs w:val="16"/>
        </w:rPr>
      </w:pPr>
      <w:r w:rsidRPr="00AA0033">
        <w:rPr>
          <w:rFonts w:ascii="Arial" w:hAnsi="Arial" w:cs="Arial"/>
          <w:strike/>
          <w:sz w:val="16"/>
          <w:szCs w:val="16"/>
        </w:rPr>
        <w:t xml:space="preserve">UE calculate the performance metric(s) </w:t>
      </w:r>
    </w:p>
    <w:p w14:paraId="211EFDD4" w14:textId="7B6128D5" w:rsidR="00837C58" w:rsidRPr="00AA0033" w:rsidRDefault="00837C58" w:rsidP="00AA1D48">
      <w:pPr>
        <w:pStyle w:val="ListParagraph"/>
        <w:numPr>
          <w:ilvl w:val="1"/>
          <w:numId w:val="119"/>
        </w:numPr>
        <w:spacing w:after="0"/>
        <w:rPr>
          <w:rFonts w:ascii="Arial" w:hAnsi="Arial" w:cs="Arial"/>
          <w:strike/>
          <w:sz w:val="16"/>
          <w:szCs w:val="16"/>
        </w:rPr>
      </w:pPr>
      <w:r w:rsidRPr="00AA0033">
        <w:rPr>
          <w:rFonts w:ascii="Arial" w:hAnsi="Arial" w:cs="Arial"/>
          <w:strike/>
          <w:sz w:val="16"/>
          <w:szCs w:val="16"/>
        </w:rPr>
        <w:t>UE reports performance monitoring output that facilitates functionality fallback decision at the network</w:t>
      </w:r>
    </w:p>
    <w:p w14:paraId="3CFC6670" w14:textId="1BC23FB7" w:rsidR="00837C58" w:rsidRPr="00AA0033" w:rsidRDefault="00837C58" w:rsidP="00AA1D48">
      <w:pPr>
        <w:pStyle w:val="ListParagraph"/>
        <w:numPr>
          <w:ilvl w:val="2"/>
          <w:numId w:val="119"/>
        </w:numPr>
        <w:spacing w:after="0"/>
        <w:rPr>
          <w:rFonts w:ascii="Arial" w:hAnsi="Arial" w:cs="Arial"/>
          <w:strike/>
          <w:sz w:val="16"/>
          <w:szCs w:val="16"/>
        </w:rPr>
      </w:pPr>
      <w:r w:rsidRPr="00AA0033">
        <w:rPr>
          <w:rFonts w:ascii="Arial" w:hAnsi="Arial" w:cs="Arial"/>
          <w:strike/>
          <w:sz w:val="16"/>
          <w:szCs w:val="16"/>
        </w:rPr>
        <w:t xml:space="preserve">Performance monitoring output details can be further defined </w:t>
      </w:r>
    </w:p>
    <w:p w14:paraId="39F2A7E9" w14:textId="730DE0BA" w:rsidR="00837C58" w:rsidRPr="00AA0033" w:rsidRDefault="00837C58" w:rsidP="00AA1D48">
      <w:pPr>
        <w:pStyle w:val="ListParagraph"/>
        <w:numPr>
          <w:ilvl w:val="2"/>
          <w:numId w:val="119"/>
        </w:numPr>
        <w:spacing w:after="0"/>
        <w:rPr>
          <w:rFonts w:ascii="Arial" w:hAnsi="Arial" w:cs="Arial"/>
          <w:strike/>
          <w:sz w:val="16"/>
          <w:szCs w:val="16"/>
        </w:rPr>
      </w:pPr>
      <w:r w:rsidRPr="00AA0033">
        <w:rPr>
          <w:rFonts w:ascii="Arial" w:hAnsi="Arial" w:cs="Arial"/>
          <w:strike/>
          <w:sz w:val="16"/>
          <w:szCs w:val="16"/>
        </w:rPr>
        <w:t xml:space="preserve">NW may configure threshold criterion to facilitate UE side performance monitoring (if needed). </w:t>
      </w:r>
    </w:p>
    <w:p w14:paraId="2D206B97" w14:textId="3308B005" w:rsidR="00837C58" w:rsidRPr="00AA0033" w:rsidRDefault="00837C58" w:rsidP="00AA1D48">
      <w:pPr>
        <w:pStyle w:val="ListParagraph"/>
        <w:numPr>
          <w:ilvl w:val="1"/>
          <w:numId w:val="119"/>
        </w:numPr>
        <w:spacing w:after="0"/>
        <w:rPr>
          <w:rFonts w:ascii="Arial" w:hAnsi="Arial" w:cs="Arial"/>
          <w:strike/>
          <w:sz w:val="16"/>
          <w:szCs w:val="16"/>
        </w:rPr>
      </w:pPr>
      <w:r w:rsidRPr="00AA0033">
        <w:rPr>
          <w:rFonts w:ascii="Arial" w:hAnsi="Arial" w:cs="Arial"/>
          <w:strike/>
          <w:sz w:val="16"/>
          <w:szCs w:val="16"/>
        </w:rPr>
        <w:t>NW makes decision(s) of functionality fallback operation (f</w:t>
      </w:r>
      <w:r w:rsidRPr="00AA0033">
        <w:rPr>
          <w:rFonts w:ascii="Arial" w:eastAsia="DengXian" w:hAnsi="Arial" w:cs="Arial"/>
          <w:strike/>
          <w:sz w:val="16"/>
          <w:szCs w:val="16"/>
          <w:lang w:val="en-US" w:eastAsia="zh-CN"/>
        </w:rPr>
        <w:t>allback mechanism to legacy CSI reporting</w:t>
      </w:r>
      <w:r w:rsidRPr="00AA0033">
        <w:rPr>
          <w:rFonts w:ascii="Arial" w:hAnsi="Arial" w:cs="Arial"/>
          <w:strike/>
          <w:sz w:val="16"/>
          <w:szCs w:val="16"/>
        </w:rPr>
        <w:t xml:space="preserve">). </w:t>
      </w:r>
    </w:p>
    <w:p w14:paraId="4FCC4071" w14:textId="1C4B25EB" w:rsidR="00837C58" w:rsidRPr="00AA0033" w:rsidRDefault="00837C58" w:rsidP="00AA1D48">
      <w:pPr>
        <w:pStyle w:val="ListParagraph"/>
        <w:numPr>
          <w:ilvl w:val="0"/>
          <w:numId w:val="119"/>
        </w:numPr>
        <w:spacing w:after="0"/>
        <w:rPr>
          <w:rFonts w:ascii="Arial" w:hAnsi="Arial" w:cs="Arial"/>
          <w:strike/>
          <w:sz w:val="16"/>
          <w:szCs w:val="16"/>
        </w:rPr>
      </w:pPr>
      <w:r w:rsidRPr="00AA0033">
        <w:rPr>
          <w:rFonts w:ascii="Arial" w:hAnsi="Arial" w:cs="Arial"/>
          <w:strike/>
          <w:sz w:val="16"/>
          <w:szCs w:val="16"/>
        </w:rPr>
        <w:t xml:space="preserve">Type 2: </w:t>
      </w:r>
    </w:p>
    <w:p w14:paraId="69D11EEB" w14:textId="2FF76F41" w:rsidR="00837C58" w:rsidRPr="00AA0033" w:rsidRDefault="00837C58" w:rsidP="00AA1D48">
      <w:pPr>
        <w:pStyle w:val="ListParagraph"/>
        <w:numPr>
          <w:ilvl w:val="1"/>
          <w:numId w:val="119"/>
        </w:numPr>
        <w:spacing w:after="0"/>
        <w:rPr>
          <w:rFonts w:ascii="Arial" w:hAnsi="Arial" w:cs="Arial"/>
          <w:strike/>
          <w:sz w:val="16"/>
          <w:szCs w:val="16"/>
        </w:rPr>
      </w:pPr>
      <w:r w:rsidRPr="00AA0033">
        <w:rPr>
          <w:rFonts w:ascii="Arial" w:hAnsi="Arial" w:cs="Arial"/>
          <w:strike/>
          <w:sz w:val="16"/>
          <w:szCs w:val="16"/>
        </w:rPr>
        <w:t xml:space="preserve">UE reports predicted CSI and/or the corresponding ground truth  </w:t>
      </w:r>
    </w:p>
    <w:p w14:paraId="169BFE7B" w14:textId="676831B6" w:rsidR="00837C58" w:rsidRPr="00AA0033" w:rsidRDefault="00837C58" w:rsidP="00AA1D48">
      <w:pPr>
        <w:pStyle w:val="ListParagraph"/>
        <w:numPr>
          <w:ilvl w:val="1"/>
          <w:numId w:val="119"/>
        </w:numPr>
        <w:spacing w:after="0"/>
        <w:rPr>
          <w:rFonts w:ascii="Arial" w:hAnsi="Arial" w:cs="Arial"/>
          <w:strike/>
          <w:sz w:val="16"/>
          <w:szCs w:val="16"/>
        </w:rPr>
      </w:pPr>
      <w:r w:rsidRPr="00AA0033">
        <w:rPr>
          <w:rFonts w:ascii="Arial" w:hAnsi="Arial" w:cs="Arial"/>
          <w:strike/>
          <w:sz w:val="16"/>
          <w:szCs w:val="16"/>
        </w:rPr>
        <w:t xml:space="preserve">NW calculates the performance metrics. </w:t>
      </w:r>
    </w:p>
    <w:p w14:paraId="797E77BE" w14:textId="444D1C03" w:rsidR="00837C58" w:rsidRPr="00AA0033" w:rsidRDefault="00837C58" w:rsidP="00AA1D48">
      <w:pPr>
        <w:pStyle w:val="ListParagraph"/>
        <w:numPr>
          <w:ilvl w:val="1"/>
          <w:numId w:val="119"/>
        </w:numPr>
        <w:spacing w:after="0"/>
        <w:rPr>
          <w:rFonts w:ascii="Arial" w:hAnsi="Arial" w:cs="Arial"/>
          <w:strike/>
          <w:sz w:val="16"/>
          <w:szCs w:val="16"/>
        </w:rPr>
      </w:pPr>
      <w:r w:rsidRPr="00AA0033">
        <w:rPr>
          <w:rFonts w:ascii="Arial" w:hAnsi="Arial" w:cs="Arial"/>
          <w:strike/>
          <w:sz w:val="16"/>
          <w:szCs w:val="16"/>
        </w:rPr>
        <w:t>NW makes decision(s) of functionality fallback operation (f</w:t>
      </w:r>
      <w:r w:rsidRPr="00AA0033">
        <w:rPr>
          <w:rFonts w:ascii="Arial" w:hAnsi="Arial" w:cs="Arial"/>
          <w:strike/>
          <w:sz w:val="16"/>
          <w:szCs w:val="16"/>
          <w:lang w:val="en-US" w:eastAsia="zh-CN"/>
        </w:rPr>
        <w:t>allback mechanism to legacy CSI reporting</w:t>
      </w:r>
      <w:r w:rsidRPr="00AA0033">
        <w:rPr>
          <w:rFonts w:ascii="Arial" w:hAnsi="Arial" w:cs="Arial"/>
          <w:strike/>
          <w:sz w:val="16"/>
          <w:szCs w:val="16"/>
        </w:rPr>
        <w:t>).</w:t>
      </w:r>
    </w:p>
    <w:p w14:paraId="03C4A3AC" w14:textId="2745F1A2" w:rsidR="00837C58" w:rsidRPr="00AA0033" w:rsidRDefault="00837C58" w:rsidP="00AA1D48">
      <w:pPr>
        <w:pStyle w:val="ListParagraph"/>
        <w:numPr>
          <w:ilvl w:val="0"/>
          <w:numId w:val="119"/>
        </w:numPr>
        <w:spacing w:after="0"/>
        <w:rPr>
          <w:rFonts w:ascii="Arial" w:hAnsi="Arial" w:cs="Arial"/>
          <w:strike/>
          <w:sz w:val="16"/>
          <w:szCs w:val="16"/>
        </w:rPr>
      </w:pPr>
      <w:r w:rsidRPr="00AA0033">
        <w:rPr>
          <w:rFonts w:ascii="Arial" w:hAnsi="Arial" w:cs="Arial"/>
          <w:strike/>
          <w:sz w:val="16"/>
          <w:szCs w:val="16"/>
        </w:rPr>
        <w:t xml:space="preserve">Type 3: </w:t>
      </w:r>
    </w:p>
    <w:p w14:paraId="29C7A37A" w14:textId="2456A6DA" w:rsidR="00837C58" w:rsidRPr="00AA0033" w:rsidRDefault="00837C58" w:rsidP="00AA1D48">
      <w:pPr>
        <w:pStyle w:val="ListParagraph"/>
        <w:numPr>
          <w:ilvl w:val="1"/>
          <w:numId w:val="119"/>
        </w:numPr>
        <w:spacing w:after="0"/>
        <w:rPr>
          <w:rFonts w:ascii="Arial" w:hAnsi="Arial" w:cs="Arial"/>
          <w:strike/>
          <w:sz w:val="16"/>
          <w:szCs w:val="16"/>
        </w:rPr>
      </w:pPr>
      <w:r w:rsidRPr="00AA0033">
        <w:rPr>
          <w:rFonts w:ascii="Arial" w:hAnsi="Arial" w:cs="Arial"/>
          <w:strike/>
          <w:sz w:val="16"/>
          <w:szCs w:val="16"/>
        </w:rPr>
        <w:t xml:space="preserve">UE calculate the performance metric(s) </w:t>
      </w:r>
    </w:p>
    <w:p w14:paraId="6AD73651" w14:textId="6397828C" w:rsidR="00837C58" w:rsidRPr="00AA0033" w:rsidRDefault="00837C58" w:rsidP="00AA1D48">
      <w:pPr>
        <w:pStyle w:val="ListParagraph"/>
        <w:numPr>
          <w:ilvl w:val="1"/>
          <w:numId w:val="119"/>
        </w:numPr>
        <w:spacing w:after="0"/>
        <w:rPr>
          <w:rFonts w:ascii="Arial" w:hAnsi="Arial" w:cs="Arial"/>
          <w:strike/>
          <w:sz w:val="16"/>
          <w:szCs w:val="16"/>
        </w:rPr>
      </w:pPr>
      <w:r w:rsidRPr="00AA0033">
        <w:rPr>
          <w:rFonts w:ascii="Arial" w:hAnsi="Arial" w:cs="Arial"/>
          <w:strike/>
          <w:sz w:val="16"/>
          <w:szCs w:val="16"/>
        </w:rPr>
        <w:t>UE report performance metric(s) to the NW</w:t>
      </w:r>
    </w:p>
    <w:p w14:paraId="5D4BA7B4" w14:textId="5AF3BAF3" w:rsidR="00837C58" w:rsidRPr="00AA0033" w:rsidRDefault="00837C58" w:rsidP="00AA1D48">
      <w:pPr>
        <w:pStyle w:val="ListParagraph"/>
        <w:numPr>
          <w:ilvl w:val="1"/>
          <w:numId w:val="119"/>
        </w:numPr>
        <w:spacing w:after="0"/>
        <w:rPr>
          <w:rFonts w:ascii="Arial" w:hAnsi="Arial" w:cs="Arial"/>
          <w:strike/>
          <w:sz w:val="16"/>
          <w:szCs w:val="16"/>
        </w:rPr>
      </w:pPr>
      <w:r w:rsidRPr="00AA0033">
        <w:rPr>
          <w:rFonts w:ascii="Arial" w:hAnsi="Arial" w:cs="Arial"/>
          <w:strike/>
          <w:sz w:val="16"/>
          <w:szCs w:val="16"/>
        </w:rPr>
        <w:t>NW makes decision(s) of functionality fallback operation (f</w:t>
      </w:r>
      <w:r w:rsidRPr="00AA0033">
        <w:rPr>
          <w:rFonts w:ascii="Arial" w:eastAsia="DengXian" w:hAnsi="Arial" w:cs="Arial"/>
          <w:strike/>
          <w:sz w:val="16"/>
          <w:szCs w:val="16"/>
          <w:lang w:val="en-US" w:eastAsia="zh-CN"/>
        </w:rPr>
        <w:t>allback mechanism to legacy CSI reporting</w:t>
      </w:r>
      <w:r w:rsidRPr="00AA0033">
        <w:rPr>
          <w:rFonts w:ascii="Arial" w:hAnsi="Arial" w:cs="Arial"/>
          <w:strike/>
          <w:sz w:val="16"/>
          <w:szCs w:val="16"/>
        </w:rPr>
        <w:t xml:space="preserve">). </w:t>
      </w:r>
    </w:p>
    <w:p w14:paraId="3A6D7BFC" w14:textId="319B220F" w:rsidR="00837C58" w:rsidRPr="00AA0033" w:rsidRDefault="00837C58" w:rsidP="00AA1D48">
      <w:pPr>
        <w:pStyle w:val="ListParagraph"/>
        <w:numPr>
          <w:ilvl w:val="0"/>
          <w:numId w:val="119"/>
        </w:numPr>
        <w:spacing w:after="0"/>
        <w:rPr>
          <w:rFonts w:ascii="Arial" w:hAnsi="Arial" w:cs="Arial"/>
          <w:strike/>
          <w:sz w:val="16"/>
          <w:szCs w:val="16"/>
        </w:rPr>
      </w:pPr>
      <w:r w:rsidRPr="00AA0033">
        <w:rPr>
          <w:rFonts w:ascii="Arial" w:hAnsi="Arial" w:cs="Arial"/>
          <w:strike/>
          <w:sz w:val="16"/>
          <w:szCs w:val="16"/>
        </w:rPr>
        <w:t xml:space="preserve">Functionality selection/activation/ deactivation/switching </w:t>
      </w:r>
      <w:r w:rsidRPr="00AA0033">
        <w:rPr>
          <w:rFonts w:ascii="Arial" w:eastAsia="DengXian" w:hAnsi="Arial" w:cs="Arial"/>
          <w:strike/>
          <w:sz w:val="16"/>
          <w:szCs w:val="16"/>
          <w:lang w:val="en-US" w:eastAsia="zh-CN"/>
        </w:rPr>
        <w:t>what is defined for other UE side use cases</w:t>
      </w:r>
      <w:r w:rsidRPr="00AA0033">
        <w:rPr>
          <w:rFonts w:ascii="Arial" w:hAnsi="Arial" w:cs="Arial"/>
          <w:strike/>
          <w:sz w:val="16"/>
          <w:szCs w:val="16"/>
        </w:rPr>
        <w:t xml:space="preserve"> can be reused, if applicable. </w:t>
      </w:r>
    </w:p>
    <w:p w14:paraId="153A32FD" w14:textId="27040B98" w:rsidR="00837C58" w:rsidRPr="00AA0033" w:rsidRDefault="00837C58" w:rsidP="00AA1D48">
      <w:pPr>
        <w:pStyle w:val="ListParagraph"/>
        <w:numPr>
          <w:ilvl w:val="0"/>
          <w:numId w:val="119"/>
        </w:numPr>
        <w:spacing w:after="0"/>
        <w:rPr>
          <w:rFonts w:ascii="Arial" w:hAnsi="Arial" w:cs="Arial"/>
          <w:strike/>
          <w:sz w:val="16"/>
          <w:szCs w:val="16"/>
        </w:rPr>
      </w:pPr>
      <w:r w:rsidRPr="00AA0033">
        <w:rPr>
          <w:rFonts w:ascii="Arial" w:hAnsi="Arial" w:cs="Arial"/>
          <w:strike/>
          <w:sz w:val="16"/>
          <w:szCs w:val="16"/>
        </w:rPr>
        <w:t xml:space="preserve">Configuration and procedure for performance monitoring </w:t>
      </w:r>
    </w:p>
    <w:p w14:paraId="74C2CF7A" w14:textId="2825756D" w:rsidR="00837C58" w:rsidRPr="00AA0033" w:rsidRDefault="00837C58" w:rsidP="00AA1D48">
      <w:pPr>
        <w:pStyle w:val="ListParagraph"/>
        <w:numPr>
          <w:ilvl w:val="0"/>
          <w:numId w:val="119"/>
        </w:numPr>
        <w:spacing w:after="0"/>
        <w:rPr>
          <w:rFonts w:ascii="Arial" w:hAnsi="Arial" w:cs="Arial"/>
          <w:strike/>
          <w:sz w:val="16"/>
          <w:szCs w:val="16"/>
        </w:rPr>
      </w:pPr>
      <w:r w:rsidRPr="00AA0033">
        <w:rPr>
          <w:rFonts w:ascii="Arial" w:hAnsi="Arial" w:cs="Arial"/>
          <w:strike/>
          <w:sz w:val="16"/>
          <w:szCs w:val="16"/>
        </w:rPr>
        <w:t>CSI-RS configuration for performance monitoring</w:t>
      </w:r>
    </w:p>
    <w:p w14:paraId="709E64AB" w14:textId="5B04F91B" w:rsidR="00837C58" w:rsidRPr="00AA0033" w:rsidRDefault="00837C58" w:rsidP="00AA1D48">
      <w:pPr>
        <w:pStyle w:val="ListParagraph"/>
        <w:numPr>
          <w:ilvl w:val="0"/>
          <w:numId w:val="119"/>
        </w:numPr>
        <w:spacing w:after="0"/>
        <w:rPr>
          <w:rFonts w:ascii="Arial" w:hAnsi="Arial" w:cs="Arial"/>
          <w:strike/>
          <w:sz w:val="16"/>
          <w:szCs w:val="16"/>
        </w:rPr>
      </w:pPr>
      <w:r w:rsidRPr="00AA0033">
        <w:rPr>
          <w:rFonts w:ascii="Arial" w:hAnsi="Arial" w:cs="Arial"/>
          <w:strike/>
          <w:sz w:val="16"/>
          <w:szCs w:val="16"/>
        </w:rPr>
        <w:t>Performance metric including at least intermediate KPI (e.g., NMSE or SGCS)</w:t>
      </w:r>
    </w:p>
    <w:p w14:paraId="0788DCF3" w14:textId="0B1C5195" w:rsidR="00837C58" w:rsidRPr="00AA0033" w:rsidRDefault="00837C58" w:rsidP="00AA1D48">
      <w:pPr>
        <w:pStyle w:val="ListParagraph"/>
        <w:numPr>
          <w:ilvl w:val="0"/>
          <w:numId w:val="119"/>
        </w:numPr>
        <w:spacing w:after="0"/>
        <w:rPr>
          <w:rFonts w:ascii="Arial" w:eastAsia="Malgun Gothic" w:hAnsi="Arial" w:cs="Arial"/>
          <w:strike/>
          <w:sz w:val="16"/>
          <w:szCs w:val="16"/>
        </w:rPr>
      </w:pPr>
      <w:r w:rsidRPr="00AA0033">
        <w:rPr>
          <w:rFonts w:ascii="Arial" w:hAnsi="Arial" w:cs="Arial"/>
          <w:strike/>
          <w:sz w:val="16"/>
          <w:szCs w:val="16"/>
        </w:rPr>
        <w:t>UE report, including periodic/semi-persistent/aperiodic reporting, and event driven report.</w:t>
      </w:r>
    </w:p>
    <w:p w14:paraId="28910E40" w14:textId="7748FC39" w:rsidR="00837C58" w:rsidRPr="00AA0033" w:rsidRDefault="00837C58" w:rsidP="00AA1D48">
      <w:pPr>
        <w:pStyle w:val="ListParagraph"/>
        <w:numPr>
          <w:ilvl w:val="0"/>
          <w:numId w:val="119"/>
        </w:numPr>
        <w:spacing w:after="0"/>
        <w:rPr>
          <w:rFonts w:ascii="Arial" w:eastAsia="DengXian" w:hAnsi="Arial" w:cs="Arial"/>
          <w:strike/>
          <w:sz w:val="16"/>
          <w:szCs w:val="16"/>
        </w:rPr>
      </w:pPr>
      <w:r w:rsidRPr="00AA0033">
        <w:rPr>
          <w:rFonts w:ascii="Arial" w:hAnsi="Arial" w:cs="Arial"/>
          <w:strike/>
          <w:sz w:val="16"/>
          <w:szCs w:val="16"/>
        </w:rPr>
        <w:t>Note: down selection is not precluded.</w:t>
      </w:r>
    </w:p>
    <w:p w14:paraId="5FDC7B06" w14:textId="3A743B7F" w:rsidR="00837C58" w:rsidRPr="00AA0033" w:rsidRDefault="00837C58" w:rsidP="00AA1D48">
      <w:pPr>
        <w:pStyle w:val="ListParagraph"/>
        <w:numPr>
          <w:ilvl w:val="0"/>
          <w:numId w:val="119"/>
        </w:numPr>
        <w:spacing w:after="0"/>
        <w:rPr>
          <w:rFonts w:ascii="Arial" w:eastAsia="DengXian" w:hAnsi="Arial" w:cs="Arial"/>
          <w:strike/>
          <w:sz w:val="16"/>
          <w:szCs w:val="16"/>
        </w:rPr>
      </w:pPr>
      <w:r w:rsidRPr="00AA0033">
        <w:rPr>
          <w:rFonts w:ascii="Arial" w:hAnsi="Arial" w:cs="Arial"/>
          <w:strike/>
          <w:sz w:val="16"/>
          <w:szCs w:val="16"/>
        </w:rPr>
        <w:t xml:space="preserve">Note: UE may make decision within the same functionality on model selection, activation, deactivation, switching operation transparent to the NW. </w:t>
      </w:r>
    </w:p>
    <w:p w14:paraId="286883DA" w14:textId="77777777" w:rsidR="00837C58" w:rsidRPr="00AA0033" w:rsidRDefault="00837C58" w:rsidP="00AA0033">
      <w:pPr>
        <w:jc w:val="center"/>
        <w:rPr>
          <w:rFonts w:ascii="Arial" w:hAnsi="Arial" w:cs="Arial"/>
          <w:sz w:val="16"/>
          <w:szCs w:val="16"/>
        </w:rPr>
      </w:pPr>
      <w:r w:rsidRPr="00AA0033">
        <w:rPr>
          <w:rFonts w:ascii="Arial" w:hAnsi="Arial" w:cs="Arial"/>
          <w:color w:val="FF0000"/>
          <w:sz w:val="16"/>
          <w:szCs w:val="16"/>
        </w:rPr>
        <w:t>*** Unchanged text is omitted ***</w:t>
      </w:r>
    </w:p>
    <w:p w14:paraId="57FC6667" w14:textId="33664CF2" w:rsidR="00837C58" w:rsidRPr="00AA0033" w:rsidRDefault="00837C58" w:rsidP="00AA0033">
      <w:pPr>
        <w:rPr>
          <w:rFonts w:ascii="Arial" w:eastAsia="SimSun" w:hAnsi="Arial" w:cs="Arial"/>
          <w:b/>
          <w:bCs/>
          <w:sz w:val="16"/>
          <w:szCs w:val="16"/>
          <w:lang w:val="en-US"/>
        </w:rPr>
      </w:pPr>
      <w:r w:rsidRPr="00AA0033">
        <w:rPr>
          <w:rFonts w:ascii="Arial" w:eastAsia="SimSun" w:hAnsi="Arial" w:cs="Arial"/>
          <w:b/>
          <w:bCs/>
          <w:sz w:val="16"/>
          <w:szCs w:val="16"/>
          <w:lang w:val="en-US"/>
        </w:rPr>
        <w:t>7.2.2</w:t>
      </w:r>
      <w:r w:rsidRPr="00AA0033">
        <w:rPr>
          <w:rFonts w:ascii="Arial" w:eastAsia="SimSun" w:hAnsi="Arial" w:cs="Arial"/>
          <w:b/>
          <w:bCs/>
          <w:sz w:val="16"/>
          <w:szCs w:val="16"/>
          <w:lang w:val="en-US"/>
        </w:rPr>
        <w:tab/>
        <w:t>CSI feedback enhancement</w:t>
      </w:r>
    </w:p>
    <w:p w14:paraId="08F16712" w14:textId="77777777" w:rsidR="00837C58" w:rsidRPr="00AA0033" w:rsidRDefault="00837C58" w:rsidP="00AA0033">
      <w:pPr>
        <w:rPr>
          <w:rFonts w:ascii="Arial" w:hAnsi="Arial" w:cs="Arial"/>
          <w:sz w:val="16"/>
          <w:szCs w:val="16"/>
        </w:rPr>
      </w:pPr>
      <w:r w:rsidRPr="00AA0033">
        <w:rPr>
          <w:rFonts w:ascii="Arial" w:hAnsi="Arial" w:cs="Arial"/>
          <w:sz w:val="16"/>
          <w:szCs w:val="16"/>
        </w:rPr>
        <w:t xml:space="preserve">Items considered for study the necessity, feasibility, potential specification impact: </w:t>
      </w:r>
    </w:p>
    <w:p w14:paraId="300BD55D" w14:textId="77777777" w:rsidR="00837C58" w:rsidRPr="00AA0033" w:rsidRDefault="00837C58" w:rsidP="00AA0033">
      <w:pPr>
        <w:rPr>
          <w:rFonts w:ascii="Arial" w:hAnsi="Arial" w:cs="Arial"/>
          <w:sz w:val="16"/>
          <w:szCs w:val="16"/>
        </w:rPr>
      </w:pPr>
      <w:r w:rsidRPr="00AA0033">
        <w:rPr>
          <w:rFonts w:ascii="Arial" w:eastAsia="Malgun Gothic" w:hAnsi="Arial" w:cs="Arial"/>
          <w:sz w:val="16"/>
          <w:szCs w:val="16"/>
        </w:rPr>
        <w:t xml:space="preserve">In CSI compression using two-sided model use case: </w:t>
      </w:r>
    </w:p>
    <w:p w14:paraId="4A5B9AAC" w14:textId="77777777" w:rsidR="00837C58" w:rsidRPr="00AA0033" w:rsidRDefault="00837C58" w:rsidP="00AA0033">
      <w:pPr>
        <w:jc w:val="center"/>
        <w:rPr>
          <w:rFonts w:ascii="Arial" w:hAnsi="Arial" w:cs="Arial"/>
          <w:sz w:val="16"/>
          <w:szCs w:val="16"/>
        </w:rPr>
      </w:pPr>
      <w:r w:rsidRPr="00AA0033">
        <w:rPr>
          <w:rFonts w:ascii="Arial" w:hAnsi="Arial" w:cs="Arial"/>
          <w:color w:val="FF0000"/>
          <w:sz w:val="16"/>
          <w:szCs w:val="16"/>
        </w:rPr>
        <w:t>*** Unchanged text is omitted ***</w:t>
      </w:r>
    </w:p>
    <w:p w14:paraId="1E035A5E" w14:textId="77777777" w:rsidR="00837C58" w:rsidRPr="00AA0033" w:rsidRDefault="00837C58" w:rsidP="00AA0033">
      <w:pPr>
        <w:rPr>
          <w:rFonts w:ascii="Arial" w:eastAsia="Malgun Gothic" w:hAnsi="Arial" w:cs="Arial"/>
          <w:color w:val="000000"/>
          <w:sz w:val="16"/>
          <w:szCs w:val="16"/>
        </w:rPr>
      </w:pPr>
      <w:r w:rsidRPr="00AA0033">
        <w:rPr>
          <w:rFonts w:ascii="Arial" w:eastAsia="Malgun Gothic" w:hAnsi="Arial" w:cs="Arial"/>
          <w:color w:val="000000"/>
          <w:sz w:val="16"/>
          <w:szCs w:val="16"/>
        </w:rPr>
        <w:t xml:space="preserve">Potential specification enhancement on: </w:t>
      </w:r>
    </w:p>
    <w:p w14:paraId="01AE8E49" w14:textId="42F524B7" w:rsidR="00837C58" w:rsidRPr="00AA0033" w:rsidRDefault="00837C58" w:rsidP="00AA1D48">
      <w:pPr>
        <w:pStyle w:val="ListParagraph"/>
        <w:numPr>
          <w:ilvl w:val="0"/>
          <w:numId w:val="122"/>
        </w:numPr>
        <w:spacing w:after="0"/>
        <w:rPr>
          <w:rFonts w:ascii="Arial" w:eastAsia="MS Mincho" w:hAnsi="Arial" w:cs="Arial"/>
          <w:sz w:val="16"/>
          <w:szCs w:val="16"/>
        </w:rPr>
      </w:pPr>
      <w:r w:rsidRPr="00AA0033">
        <w:rPr>
          <w:rFonts w:ascii="Arial" w:eastAsia="MS Mincho" w:hAnsi="Arial" w:cs="Arial"/>
          <w:sz w:val="16"/>
          <w:szCs w:val="16"/>
        </w:rPr>
        <w:t>CSI-RS configurations (not including CSI-RS pattern design enhancements)</w:t>
      </w:r>
    </w:p>
    <w:p w14:paraId="20953A99" w14:textId="76ACB10D" w:rsidR="00837C58" w:rsidRPr="00AA0033" w:rsidRDefault="00837C58" w:rsidP="00AA1D48">
      <w:pPr>
        <w:pStyle w:val="ListParagraph"/>
        <w:numPr>
          <w:ilvl w:val="0"/>
          <w:numId w:val="122"/>
        </w:numPr>
        <w:spacing w:after="0"/>
        <w:rPr>
          <w:rFonts w:ascii="Arial" w:eastAsia="MS Mincho" w:hAnsi="Arial" w:cs="Arial"/>
          <w:sz w:val="16"/>
          <w:szCs w:val="16"/>
        </w:rPr>
      </w:pPr>
      <w:r w:rsidRPr="00AA0033">
        <w:rPr>
          <w:rFonts w:ascii="Arial" w:eastAsia="MS Mincho" w:hAnsi="Arial" w:cs="Arial"/>
          <w:sz w:val="16"/>
          <w:szCs w:val="16"/>
        </w:rPr>
        <w:t>CSI configuration</w:t>
      </w:r>
    </w:p>
    <w:p w14:paraId="17F5BC47" w14:textId="4F63F92F" w:rsidR="00837C58" w:rsidRPr="00AA0033" w:rsidRDefault="00837C58" w:rsidP="00AA1D48">
      <w:pPr>
        <w:pStyle w:val="ListParagraph"/>
        <w:numPr>
          <w:ilvl w:val="1"/>
          <w:numId w:val="122"/>
        </w:numPr>
        <w:spacing w:after="0"/>
        <w:rPr>
          <w:rFonts w:ascii="Arial" w:eastAsia="MS Mincho" w:hAnsi="Arial" w:cs="Arial"/>
          <w:sz w:val="16"/>
          <w:szCs w:val="16"/>
        </w:rPr>
      </w:pPr>
      <w:r w:rsidRPr="00AA0033">
        <w:rPr>
          <w:rFonts w:ascii="Arial" w:eastAsia="MS Mincho" w:hAnsi="Arial" w:cs="Arial"/>
          <w:sz w:val="16"/>
          <w:szCs w:val="16"/>
        </w:rPr>
        <w:t xml:space="preserve">For network to indicate CSI reporting related information, e.g., gNB indication to the UE of one or more of following: </w:t>
      </w:r>
    </w:p>
    <w:p w14:paraId="4944BF37" w14:textId="3D7C95AE" w:rsidR="00837C58" w:rsidRPr="00AA0033" w:rsidRDefault="00837C58" w:rsidP="00AA1D48">
      <w:pPr>
        <w:pStyle w:val="ListParagraph"/>
        <w:numPr>
          <w:ilvl w:val="2"/>
          <w:numId w:val="122"/>
        </w:numPr>
        <w:spacing w:after="0"/>
        <w:rPr>
          <w:rFonts w:ascii="Arial" w:hAnsi="Arial" w:cs="Arial"/>
          <w:sz w:val="16"/>
          <w:szCs w:val="16"/>
        </w:rPr>
      </w:pPr>
      <w:r w:rsidRPr="00AA0033">
        <w:rPr>
          <w:rFonts w:ascii="Arial" w:hAnsi="Arial" w:cs="Arial"/>
          <w:sz w:val="16"/>
          <w:szCs w:val="16"/>
        </w:rPr>
        <w:t>Information indicating CSI payload size</w:t>
      </w:r>
    </w:p>
    <w:p w14:paraId="6D688F7F" w14:textId="2E4FB73E" w:rsidR="00837C58" w:rsidRPr="00AA0033" w:rsidRDefault="00837C58" w:rsidP="00AA1D48">
      <w:pPr>
        <w:pStyle w:val="ListParagraph"/>
        <w:numPr>
          <w:ilvl w:val="2"/>
          <w:numId w:val="122"/>
        </w:numPr>
        <w:spacing w:after="0"/>
        <w:rPr>
          <w:rFonts w:ascii="Arial" w:hAnsi="Arial" w:cs="Arial"/>
          <w:sz w:val="16"/>
          <w:szCs w:val="16"/>
        </w:rPr>
      </w:pPr>
      <w:r w:rsidRPr="00AA0033">
        <w:rPr>
          <w:rFonts w:ascii="Arial" w:hAnsi="Arial" w:cs="Arial"/>
          <w:sz w:val="16"/>
          <w:szCs w:val="16"/>
        </w:rPr>
        <w:t>Information indicating quantization method/granularity</w:t>
      </w:r>
    </w:p>
    <w:p w14:paraId="5F55F844" w14:textId="12239DCB" w:rsidR="00837C58" w:rsidRPr="00AA0033" w:rsidRDefault="00837C58" w:rsidP="00AA1D48">
      <w:pPr>
        <w:pStyle w:val="ListParagraph"/>
        <w:numPr>
          <w:ilvl w:val="2"/>
          <w:numId w:val="122"/>
        </w:numPr>
        <w:spacing w:after="0"/>
        <w:rPr>
          <w:rFonts w:ascii="Arial" w:hAnsi="Arial" w:cs="Arial"/>
          <w:sz w:val="16"/>
          <w:szCs w:val="16"/>
        </w:rPr>
      </w:pPr>
      <w:r w:rsidRPr="00AA0033">
        <w:rPr>
          <w:rFonts w:ascii="Arial" w:hAnsi="Arial" w:cs="Arial"/>
          <w:sz w:val="16"/>
          <w:szCs w:val="16"/>
        </w:rPr>
        <w:t>Rank restriction</w:t>
      </w:r>
    </w:p>
    <w:p w14:paraId="00222FBC" w14:textId="0D7567BB" w:rsidR="00837C58" w:rsidRPr="00AA0033" w:rsidRDefault="00837C58" w:rsidP="00AA1D48">
      <w:pPr>
        <w:pStyle w:val="ListParagraph"/>
        <w:numPr>
          <w:ilvl w:val="2"/>
          <w:numId w:val="122"/>
        </w:numPr>
        <w:spacing w:after="0"/>
        <w:rPr>
          <w:rFonts w:ascii="Arial" w:hAnsi="Arial" w:cs="Arial"/>
          <w:sz w:val="16"/>
          <w:szCs w:val="16"/>
        </w:rPr>
      </w:pPr>
      <w:r w:rsidRPr="00AA0033">
        <w:rPr>
          <w:rFonts w:ascii="Arial" w:hAnsi="Arial" w:cs="Arial"/>
          <w:sz w:val="16"/>
          <w:szCs w:val="16"/>
        </w:rPr>
        <w:t>Other payload related aspects</w:t>
      </w:r>
    </w:p>
    <w:p w14:paraId="3A8DE968" w14:textId="1CD683D5" w:rsidR="00837C58" w:rsidRPr="00AA0033" w:rsidRDefault="00837C58" w:rsidP="00AA1D48">
      <w:pPr>
        <w:pStyle w:val="ListParagraph"/>
        <w:numPr>
          <w:ilvl w:val="0"/>
          <w:numId w:val="122"/>
        </w:numPr>
        <w:spacing w:after="0"/>
        <w:rPr>
          <w:rFonts w:ascii="Arial" w:eastAsia="MS Mincho" w:hAnsi="Arial" w:cs="Arial"/>
          <w:sz w:val="16"/>
          <w:szCs w:val="16"/>
        </w:rPr>
      </w:pPr>
      <w:r w:rsidRPr="00AA0033">
        <w:rPr>
          <w:rFonts w:ascii="Arial" w:eastAsia="MS Mincho" w:hAnsi="Arial" w:cs="Arial"/>
          <w:sz w:val="16"/>
          <w:szCs w:val="16"/>
        </w:rPr>
        <w:t>CSI reporting configurations</w:t>
      </w:r>
    </w:p>
    <w:p w14:paraId="714017C4" w14:textId="32C186A3" w:rsidR="00837C58" w:rsidRPr="00AA0033" w:rsidRDefault="00837C58" w:rsidP="00AA1D48">
      <w:pPr>
        <w:pStyle w:val="ListParagraph"/>
        <w:numPr>
          <w:ilvl w:val="1"/>
          <w:numId w:val="122"/>
        </w:numPr>
        <w:spacing w:after="0"/>
        <w:rPr>
          <w:rFonts w:ascii="Arial" w:eastAsia="MS Mincho" w:hAnsi="Arial" w:cs="Arial"/>
          <w:sz w:val="16"/>
          <w:szCs w:val="16"/>
        </w:rPr>
      </w:pPr>
      <w:r w:rsidRPr="00AA0033">
        <w:rPr>
          <w:rFonts w:ascii="Arial" w:eastAsia="MS Mincho" w:hAnsi="Arial" w:cs="Arial"/>
          <w:sz w:val="16"/>
          <w:szCs w:val="16"/>
        </w:rPr>
        <w:lastRenderedPageBreak/>
        <w:t>For UE determination/reporting of the actual CSI payload size, UE reports related information as configured by the NW</w:t>
      </w:r>
    </w:p>
    <w:p w14:paraId="42DCB263" w14:textId="0EBB498C" w:rsidR="00837C58" w:rsidRPr="00AA0033" w:rsidRDefault="00837C58" w:rsidP="00AA1D48">
      <w:pPr>
        <w:pStyle w:val="ListParagraph"/>
        <w:numPr>
          <w:ilvl w:val="0"/>
          <w:numId w:val="122"/>
        </w:numPr>
        <w:spacing w:after="0"/>
        <w:rPr>
          <w:rFonts w:ascii="Arial" w:eastAsia="MS Mincho" w:hAnsi="Arial" w:cs="Arial"/>
          <w:sz w:val="16"/>
          <w:szCs w:val="16"/>
        </w:rPr>
      </w:pPr>
      <w:r w:rsidRPr="00AA0033">
        <w:rPr>
          <w:rFonts w:ascii="Arial" w:eastAsia="MS Mincho" w:hAnsi="Arial" w:cs="Arial"/>
          <w:sz w:val="16"/>
          <w:szCs w:val="16"/>
        </w:rPr>
        <w:t>CSI report UCI mapping/priority/omission</w:t>
      </w:r>
    </w:p>
    <w:p w14:paraId="27B4674B" w14:textId="4A953D9B" w:rsidR="00837C58" w:rsidRPr="00AA0033" w:rsidRDefault="00837C58" w:rsidP="00AA1D48">
      <w:pPr>
        <w:pStyle w:val="ListParagraph"/>
        <w:numPr>
          <w:ilvl w:val="0"/>
          <w:numId w:val="122"/>
        </w:numPr>
        <w:spacing w:after="0"/>
        <w:rPr>
          <w:rFonts w:ascii="Arial" w:eastAsia="MS Mincho" w:hAnsi="Arial" w:cs="Arial"/>
          <w:sz w:val="16"/>
          <w:szCs w:val="16"/>
        </w:rPr>
      </w:pPr>
      <w:r w:rsidRPr="00AA0033">
        <w:rPr>
          <w:rFonts w:ascii="Arial" w:eastAsia="MS Mincho" w:hAnsi="Arial" w:cs="Arial"/>
          <w:sz w:val="16"/>
          <w:szCs w:val="16"/>
        </w:rPr>
        <w:t>CSI processing procedures</w:t>
      </w:r>
    </w:p>
    <w:p w14:paraId="4EEB6E3B" w14:textId="77777777" w:rsidR="00837C58" w:rsidRPr="00AA0033" w:rsidRDefault="00837C58" w:rsidP="00AA0033">
      <w:pPr>
        <w:rPr>
          <w:rFonts w:ascii="Arial" w:eastAsia="MS Mincho" w:hAnsi="Arial" w:cs="Arial"/>
          <w:color w:val="FF0000"/>
          <w:sz w:val="16"/>
          <w:szCs w:val="16"/>
        </w:rPr>
      </w:pPr>
      <w:r w:rsidRPr="00AA0033">
        <w:rPr>
          <w:rFonts w:ascii="Arial" w:eastAsia="MS Mincho" w:hAnsi="Arial" w:cs="Arial"/>
          <w:color w:val="FF0000"/>
          <w:sz w:val="16"/>
          <w:szCs w:val="16"/>
        </w:rPr>
        <w:t xml:space="preserve">In CSI compression using two-sided model use case, feasibility and procedure to align the information that enables the UE to select a CSI generation model(s) compatible with the CSI reconstruction model(s) used by the gNB is studied. </w:t>
      </w:r>
      <w:r w:rsidRPr="00AA0033">
        <w:rPr>
          <w:rFonts w:ascii="Arial" w:eastAsia="Malgun Gothic" w:hAnsi="Arial" w:cs="Arial"/>
          <w:color w:val="FF0000"/>
          <w:sz w:val="16"/>
          <w:szCs w:val="16"/>
        </w:rPr>
        <w:t>At least</w:t>
      </w:r>
      <w:r w:rsidRPr="00AA0033">
        <w:rPr>
          <w:rFonts w:ascii="Arial" w:eastAsia="MS Mincho" w:hAnsi="Arial" w:cs="Arial"/>
          <w:color w:val="FF0000"/>
          <w:sz w:val="16"/>
          <w:szCs w:val="16"/>
        </w:rPr>
        <w:t xml:space="preserve"> the following options have been proposed by companies to define the pairing information used to enable the UE to select a CSI generation model(s) that is compatible with the CSI reconstruction model(s) used by the gNB: </w:t>
      </w:r>
    </w:p>
    <w:p w14:paraId="38F099F0" w14:textId="0143615E" w:rsidR="00837C58" w:rsidRPr="00AA0033" w:rsidRDefault="00837C58" w:rsidP="00AA1D48">
      <w:pPr>
        <w:pStyle w:val="ListParagraph"/>
        <w:numPr>
          <w:ilvl w:val="0"/>
          <w:numId w:val="123"/>
        </w:numPr>
        <w:spacing w:after="0"/>
        <w:rPr>
          <w:rFonts w:ascii="Arial" w:eastAsia="MS Mincho" w:hAnsi="Arial" w:cs="Arial"/>
          <w:color w:val="FF0000"/>
          <w:sz w:val="16"/>
          <w:szCs w:val="16"/>
          <w:lang w:val="en-US"/>
        </w:rPr>
      </w:pPr>
      <w:r w:rsidRPr="00AA0033">
        <w:rPr>
          <w:rFonts w:ascii="Arial" w:eastAsia="MS Mincho" w:hAnsi="Arial" w:cs="Arial"/>
          <w:color w:val="FF0000"/>
          <w:sz w:val="16"/>
          <w:szCs w:val="16"/>
          <w:lang w:val="en-US"/>
        </w:rPr>
        <w:t xml:space="preserve">Option 1: The pairing information is in the forms of the CSI reconstruction model ID that NW will use. </w:t>
      </w:r>
    </w:p>
    <w:p w14:paraId="014E5120" w14:textId="782D04E3" w:rsidR="00837C58" w:rsidRPr="00AA0033" w:rsidRDefault="00837C58" w:rsidP="00AA1D48">
      <w:pPr>
        <w:pStyle w:val="ListParagraph"/>
        <w:numPr>
          <w:ilvl w:val="0"/>
          <w:numId w:val="123"/>
        </w:numPr>
        <w:spacing w:after="0"/>
        <w:rPr>
          <w:rFonts w:ascii="Arial" w:eastAsia="MS Mincho" w:hAnsi="Arial" w:cs="Arial"/>
          <w:color w:val="FF0000"/>
          <w:sz w:val="16"/>
          <w:szCs w:val="16"/>
          <w:lang w:val="en-US"/>
        </w:rPr>
      </w:pPr>
      <w:r w:rsidRPr="00AA0033">
        <w:rPr>
          <w:rFonts w:ascii="Arial" w:eastAsia="MS Mincho" w:hAnsi="Arial" w:cs="Arial"/>
          <w:color w:val="FF0000"/>
          <w:sz w:val="16"/>
          <w:szCs w:val="16"/>
          <w:lang w:val="en-US"/>
        </w:rPr>
        <w:t xml:space="preserve">Option 2: The pairing information is in the forms of the CSI generation model ID that the UE will use. </w:t>
      </w:r>
    </w:p>
    <w:p w14:paraId="348AF04C" w14:textId="259AB5D4" w:rsidR="00837C58" w:rsidRPr="00AA0033" w:rsidRDefault="00837C58" w:rsidP="00AA1D48">
      <w:pPr>
        <w:pStyle w:val="ListParagraph"/>
        <w:numPr>
          <w:ilvl w:val="0"/>
          <w:numId w:val="123"/>
        </w:numPr>
        <w:spacing w:after="0"/>
        <w:rPr>
          <w:rFonts w:ascii="Arial" w:eastAsia="MS Mincho" w:hAnsi="Arial" w:cs="Arial"/>
          <w:color w:val="FF0000"/>
          <w:sz w:val="16"/>
          <w:szCs w:val="16"/>
          <w:lang w:val="en-US"/>
        </w:rPr>
      </w:pPr>
      <w:r w:rsidRPr="00AA0033">
        <w:rPr>
          <w:rFonts w:ascii="Arial" w:eastAsia="MS Mincho" w:hAnsi="Arial" w:cs="Arial"/>
          <w:color w:val="FF0000"/>
          <w:sz w:val="16"/>
          <w:szCs w:val="16"/>
          <w:lang w:val="en-US"/>
        </w:rPr>
        <w:t xml:space="preserve">Option 3: The pairing information is in the forms of the paired CSI generation model and CSI reconstruction model ID. </w:t>
      </w:r>
    </w:p>
    <w:p w14:paraId="51316BE0" w14:textId="60169EB3" w:rsidR="00837C58" w:rsidRPr="00AA0033" w:rsidRDefault="00837C58" w:rsidP="00AA1D48">
      <w:pPr>
        <w:pStyle w:val="ListParagraph"/>
        <w:numPr>
          <w:ilvl w:val="0"/>
          <w:numId w:val="123"/>
        </w:numPr>
        <w:spacing w:after="0"/>
        <w:rPr>
          <w:rFonts w:ascii="Arial" w:eastAsia="MS Mincho" w:hAnsi="Arial" w:cs="Arial"/>
          <w:color w:val="FF0000"/>
          <w:sz w:val="16"/>
          <w:szCs w:val="16"/>
          <w:lang w:val="en-US"/>
        </w:rPr>
      </w:pPr>
      <w:r w:rsidRPr="00AA0033">
        <w:rPr>
          <w:rFonts w:ascii="Arial" w:eastAsia="MS Mincho" w:hAnsi="Arial" w:cs="Arial"/>
          <w:color w:val="FF0000"/>
          <w:sz w:val="16"/>
          <w:szCs w:val="16"/>
          <w:lang w:val="en-US"/>
        </w:rPr>
        <w:t xml:space="preserve">Option 4: The pairing information is in the forms of by the dataset ID during type 3 sequential training. </w:t>
      </w:r>
    </w:p>
    <w:p w14:paraId="700454AA" w14:textId="5552EDC8" w:rsidR="00837C58" w:rsidRPr="00AA0033" w:rsidRDefault="00837C58" w:rsidP="00AA1D48">
      <w:pPr>
        <w:pStyle w:val="ListParagraph"/>
        <w:numPr>
          <w:ilvl w:val="0"/>
          <w:numId w:val="123"/>
        </w:numPr>
        <w:spacing w:after="0"/>
        <w:rPr>
          <w:rFonts w:ascii="Arial" w:eastAsia="MS Mincho" w:hAnsi="Arial" w:cs="Arial"/>
          <w:color w:val="FF0000"/>
          <w:sz w:val="16"/>
          <w:szCs w:val="16"/>
          <w:lang w:val="en-US"/>
        </w:rPr>
      </w:pPr>
      <w:r w:rsidRPr="00AA0033">
        <w:rPr>
          <w:rFonts w:ascii="Arial" w:eastAsia="MS Mincho" w:hAnsi="Arial" w:cs="Arial"/>
          <w:color w:val="FF0000"/>
          <w:sz w:val="16"/>
          <w:szCs w:val="16"/>
          <w:lang w:val="en-US"/>
        </w:rPr>
        <w:t xml:space="preserve">Option 5: The pairing information is in the forms of a training session ID to a prior training session (e.g., API) between NW and UE. </w:t>
      </w:r>
    </w:p>
    <w:p w14:paraId="7130EFA5" w14:textId="367DD47B" w:rsidR="00837C58" w:rsidRPr="00AA0033" w:rsidRDefault="00837C58" w:rsidP="00AA1D48">
      <w:pPr>
        <w:pStyle w:val="ListParagraph"/>
        <w:numPr>
          <w:ilvl w:val="0"/>
          <w:numId w:val="123"/>
        </w:numPr>
        <w:spacing w:after="0"/>
        <w:rPr>
          <w:rFonts w:ascii="Arial" w:eastAsia="MS Mincho" w:hAnsi="Arial" w:cs="Arial"/>
          <w:color w:val="FF0000"/>
          <w:sz w:val="16"/>
          <w:szCs w:val="16"/>
          <w:lang w:val="en-US"/>
        </w:rPr>
      </w:pPr>
      <w:r w:rsidRPr="00AA0033">
        <w:rPr>
          <w:rFonts w:ascii="Arial" w:eastAsia="MS Mincho" w:hAnsi="Arial" w:cs="Arial"/>
          <w:color w:val="FF0000"/>
          <w:sz w:val="16"/>
          <w:szCs w:val="16"/>
          <w:lang w:val="en-US"/>
        </w:rPr>
        <w:t xml:space="preserve">Option 6: The pairing information is up to UE/NW offline co-engineering alignment, transparent to 3GPP specification. </w:t>
      </w:r>
    </w:p>
    <w:p w14:paraId="7D6690BD" w14:textId="38773C04" w:rsidR="00837C58" w:rsidRPr="00AA0033" w:rsidRDefault="00837C58" w:rsidP="00AA1D48">
      <w:pPr>
        <w:pStyle w:val="ListParagraph"/>
        <w:numPr>
          <w:ilvl w:val="0"/>
          <w:numId w:val="123"/>
        </w:numPr>
        <w:spacing w:after="0"/>
        <w:rPr>
          <w:rFonts w:ascii="Arial" w:eastAsia="MS Mincho" w:hAnsi="Arial" w:cs="Arial"/>
          <w:color w:val="FF0000"/>
          <w:sz w:val="16"/>
          <w:szCs w:val="16"/>
          <w:lang w:val="en-US"/>
        </w:rPr>
      </w:pPr>
      <w:r w:rsidRPr="00AA0033">
        <w:rPr>
          <w:rFonts w:ascii="Arial" w:eastAsia="MS Mincho" w:hAnsi="Arial" w:cs="Arial"/>
          <w:color w:val="FF0000"/>
          <w:sz w:val="16"/>
          <w:szCs w:val="16"/>
          <w:lang w:val="en-US"/>
        </w:rPr>
        <w:t>Note: the disclosure of the vendor information during the model pairing procedure and model identification procedure should be considered.</w:t>
      </w:r>
    </w:p>
    <w:p w14:paraId="62CB8FFB" w14:textId="71234A98" w:rsidR="00837C58" w:rsidRPr="00AA0033" w:rsidRDefault="00837C58" w:rsidP="00AA1D48">
      <w:pPr>
        <w:pStyle w:val="ListParagraph"/>
        <w:numPr>
          <w:ilvl w:val="0"/>
          <w:numId w:val="123"/>
        </w:numPr>
        <w:spacing w:after="0"/>
        <w:rPr>
          <w:rFonts w:ascii="Arial" w:eastAsia="MS Mincho" w:hAnsi="Arial" w:cs="Arial"/>
          <w:color w:val="FF0000"/>
          <w:sz w:val="16"/>
          <w:szCs w:val="16"/>
          <w:lang w:val="en-US"/>
        </w:rPr>
      </w:pPr>
      <w:r w:rsidRPr="00AA0033">
        <w:rPr>
          <w:rFonts w:ascii="Arial" w:eastAsia="MS Mincho" w:hAnsi="Arial" w:cs="Arial"/>
          <w:color w:val="FF0000"/>
          <w:sz w:val="16"/>
          <w:szCs w:val="16"/>
          <w:lang w:val="en-US"/>
        </w:rPr>
        <w:t xml:space="preserve">Note: If each UE side model is compatible with all NW side model, the information is not needed for the UE. </w:t>
      </w:r>
    </w:p>
    <w:p w14:paraId="365F6A9F" w14:textId="3B42CC1B" w:rsidR="00837C58" w:rsidRPr="00AA0033" w:rsidRDefault="00837C58" w:rsidP="00AA1D48">
      <w:pPr>
        <w:pStyle w:val="ListParagraph"/>
        <w:numPr>
          <w:ilvl w:val="0"/>
          <w:numId w:val="123"/>
        </w:numPr>
        <w:spacing w:after="0"/>
        <w:rPr>
          <w:rFonts w:ascii="Arial" w:eastAsia="DengXian" w:hAnsi="Arial" w:cs="Arial"/>
          <w:color w:val="FF0000"/>
          <w:sz w:val="16"/>
          <w:szCs w:val="16"/>
          <w:lang w:eastAsia="zh-CN"/>
        </w:rPr>
      </w:pPr>
      <w:r w:rsidRPr="00AA0033">
        <w:rPr>
          <w:rFonts w:ascii="Arial" w:eastAsia="MS Mincho" w:hAnsi="Arial" w:cs="Arial"/>
          <w:color w:val="FF0000"/>
          <w:sz w:val="16"/>
          <w:szCs w:val="16"/>
          <w:lang w:val="en-US"/>
        </w:rPr>
        <w:t xml:space="preserve">Note: Above does not imply there is a need for a central entity for defining/storing/maintaining the IDs.  </w:t>
      </w:r>
    </w:p>
    <w:p w14:paraId="22B288B6" w14:textId="7EFA5327" w:rsidR="00837C58" w:rsidRPr="00AA0033" w:rsidRDefault="00837C58" w:rsidP="00AA0033">
      <w:pPr>
        <w:rPr>
          <w:rFonts w:ascii="Arial" w:hAnsi="Arial" w:cs="Arial"/>
          <w:color w:val="FF0000"/>
          <w:sz w:val="16"/>
          <w:szCs w:val="16"/>
        </w:rPr>
      </w:pPr>
      <w:r w:rsidRPr="00AA0033">
        <w:rPr>
          <w:rFonts w:ascii="Arial" w:eastAsia="Malgun Gothic" w:hAnsi="Arial" w:cs="Arial"/>
          <w:color w:val="FF0000"/>
          <w:sz w:val="16"/>
          <w:szCs w:val="16"/>
        </w:rPr>
        <w:t>In CSI prediction using UE-sided model use case:</w:t>
      </w:r>
    </w:p>
    <w:p w14:paraId="36337F57" w14:textId="77777777" w:rsidR="00837C58" w:rsidRPr="00AA0033" w:rsidRDefault="00837C58" w:rsidP="00AA0033">
      <w:pPr>
        <w:rPr>
          <w:rFonts w:ascii="Arial" w:eastAsia="MS Mincho" w:hAnsi="Arial" w:cs="Arial"/>
          <w:sz w:val="16"/>
          <w:szCs w:val="16"/>
        </w:rPr>
      </w:pPr>
      <w:r w:rsidRPr="00AA0033">
        <w:rPr>
          <w:rFonts w:ascii="Arial" w:eastAsia="MS Mincho" w:hAnsi="Arial" w:cs="Arial"/>
          <w:sz w:val="16"/>
          <w:szCs w:val="16"/>
        </w:rPr>
        <w:t>Data collection:</w:t>
      </w:r>
    </w:p>
    <w:p w14:paraId="70A9028C" w14:textId="77777777" w:rsidR="00837C58" w:rsidRPr="00AA0033" w:rsidRDefault="00837C58" w:rsidP="00AA0033">
      <w:pPr>
        <w:rPr>
          <w:rFonts w:ascii="Arial" w:eastAsia="MS Mincho" w:hAnsi="Arial" w:cs="Arial"/>
          <w:sz w:val="16"/>
          <w:szCs w:val="16"/>
        </w:rPr>
      </w:pPr>
      <w:r w:rsidRPr="00AA0033">
        <w:rPr>
          <w:rFonts w:ascii="Arial" w:eastAsia="MS Mincho" w:hAnsi="Arial" w:cs="Arial"/>
          <w:sz w:val="16"/>
          <w:szCs w:val="16"/>
        </w:rPr>
        <w:t>In CSI prediction using UE sided model use case, at least the following aspects have been proposed by companies on data collection, including:</w:t>
      </w:r>
    </w:p>
    <w:p w14:paraId="1ED39BD0" w14:textId="3F221CB4" w:rsidR="00837C58" w:rsidRPr="00AA0033" w:rsidRDefault="00837C58" w:rsidP="00AA1D48">
      <w:pPr>
        <w:pStyle w:val="ListParagraph"/>
        <w:numPr>
          <w:ilvl w:val="0"/>
          <w:numId w:val="124"/>
        </w:numPr>
        <w:spacing w:after="0"/>
        <w:rPr>
          <w:rFonts w:ascii="Arial" w:eastAsia="MS Mincho" w:hAnsi="Arial" w:cs="Arial"/>
          <w:sz w:val="16"/>
          <w:szCs w:val="16"/>
        </w:rPr>
      </w:pPr>
      <w:r w:rsidRPr="00AA0033">
        <w:rPr>
          <w:rFonts w:ascii="Arial" w:eastAsia="MS Mincho" w:hAnsi="Arial" w:cs="Arial"/>
          <w:sz w:val="16"/>
          <w:szCs w:val="16"/>
        </w:rPr>
        <w:t xml:space="preserve">Signalling and procedures for the data collection </w:t>
      </w:r>
    </w:p>
    <w:p w14:paraId="370D4438" w14:textId="0B3EE979" w:rsidR="00837C58" w:rsidRPr="00AA0033" w:rsidRDefault="00837C58" w:rsidP="00AA1D48">
      <w:pPr>
        <w:pStyle w:val="ListParagraph"/>
        <w:numPr>
          <w:ilvl w:val="1"/>
          <w:numId w:val="124"/>
        </w:numPr>
        <w:spacing w:after="0"/>
        <w:rPr>
          <w:rFonts w:ascii="Arial" w:eastAsia="MS Mincho" w:hAnsi="Arial" w:cs="Arial"/>
          <w:sz w:val="16"/>
          <w:szCs w:val="16"/>
        </w:rPr>
      </w:pPr>
      <w:r w:rsidRPr="00AA0033">
        <w:rPr>
          <w:rFonts w:ascii="Arial" w:eastAsia="MS Mincho" w:hAnsi="Arial" w:cs="Arial"/>
          <w:sz w:val="16"/>
          <w:szCs w:val="16"/>
        </w:rPr>
        <w:t xml:space="preserve">Data collection indicated by NW </w:t>
      </w:r>
    </w:p>
    <w:p w14:paraId="12FEE107" w14:textId="34B85D47" w:rsidR="00837C58" w:rsidRPr="00AA0033" w:rsidRDefault="00837C58" w:rsidP="00AA1D48">
      <w:pPr>
        <w:pStyle w:val="ListParagraph"/>
        <w:numPr>
          <w:ilvl w:val="1"/>
          <w:numId w:val="124"/>
        </w:numPr>
        <w:spacing w:after="0"/>
        <w:rPr>
          <w:rFonts w:ascii="Arial" w:eastAsia="MS Mincho" w:hAnsi="Arial" w:cs="Arial"/>
          <w:sz w:val="16"/>
          <w:szCs w:val="16"/>
        </w:rPr>
      </w:pPr>
      <w:r w:rsidRPr="00AA0033">
        <w:rPr>
          <w:rFonts w:ascii="Arial" w:eastAsia="MS Mincho" w:hAnsi="Arial" w:cs="Arial"/>
          <w:sz w:val="16"/>
          <w:szCs w:val="16"/>
        </w:rPr>
        <w:t xml:space="preserve">Requested from UE for data collection </w:t>
      </w:r>
    </w:p>
    <w:p w14:paraId="570B845C" w14:textId="0A6011A0" w:rsidR="00837C58" w:rsidRPr="00AA0033" w:rsidRDefault="00837C58" w:rsidP="00AA1D48">
      <w:pPr>
        <w:pStyle w:val="ListParagraph"/>
        <w:numPr>
          <w:ilvl w:val="0"/>
          <w:numId w:val="124"/>
        </w:numPr>
        <w:spacing w:after="0"/>
        <w:rPr>
          <w:rFonts w:ascii="Arial" w:eastAsia="MS Mincho" w:hAnsi="Arial" w:cs="Arial"/>
          <w:sz w:val="16"/>
          <w:szCs w:val="16"/>
        </w:rPr>
      </w:pPr>
      <w:r w:rsidRPr="00AA0033">
        <w:rPr>
          <w:rFonts w:ascii="Arial" w:eastAsia="MS Mincho" w:hAnsi="Arial" w:cs="Arial"/>
          <w:sz w:val="16"/>
          <w:szCs w:val="16"/>
        </w:rPr>
        <w:t xml:space="preserve">CSI-RS configuration </w:t>
      </w:r>
    </w:p>
    <w:p w14:paraId="6FE1ADD0" w14:textId="17C49B9A" w:rsidR="00837C58" w:rsidRPr="00AA0033" w:rsidRDefault="00837C58" w:rsidP="00AA1D48">
      <w:pPr>
        <w:pStyle w:val="ListParagraph"/>
        <w:numPr>
          <w:ilvl w:val="0"/>
          <w:numId w:val="124"/>
        </w:numPr>
        <w:spacing w:after="0"/>
        <w:rPr>
          <w:rFonts w:ascii="Arial" w:eastAsia="MS Mincho" w:hAnsi="Arial" w:cs="Arial"/>
          <w:sz w:val="16"/>
          <w:szCs w:val="16"/>
        </w:rPr>
      </w:pPr>
      <w:r w:rsidRPr="00AA0033">
        <w:rPr>
          <w:rFonts w:ascii="Arial" w:eastAsia="MS Mincho" w:hAnsi="Arial" w:cs="Arial"/>
          <w:sz w:val="16"/>
          <w:szCs w:val="16"/>
        </w:rPr>
        <w:t>Assistance information for categorizing the data, if needed</w:t>
      </w:r>
    </w:p>
    <w:p w14:paraId="3FD5F016" w14:textId="47A75924" w:rsidR="00837C58" w:rsidRPr="00AA0033" w:rsidRDefault="00837C58" w:rsidP="00AA1D48">
      <w:pPr>
        <w:pStyle w:val="ListParagraph"/>
        <w:numPr>
          <w:ilvl w:val="1"/>
          <w:numId w:val="124"/>
        </w:numPr>
        <w:spacing w:after="0"/>
        <w:rPr>
          <w:rFonts w:ascii="Arial" w:eastAsia="MS Mincho" w:hAnsi="Arial" w:cs="Arial"/>
          <w:sz w:val="16"/>
          <w:szCs w:val="16"/>
        </w:rPr>
      </w:pPr>
      <w:r w:rsidRPr="00AA0033">
        <w:rPr>
          <w:rFonts w:ascii="Arial" w:eastAsia="MS Mincho" w:hAnsi="Arial" w:cs="Arial"/>
          <w:sz w:val="16"/>
          <w:szCs w:val="16"/>
        </w:rPr>
        <w:t>The provision of assistance information needs to consider feasibility of disclosing proprietary information to the other side.</w:t>
      </w:r>
    </w:p>
    <w:p w14:paraId="0D6848A6" w14:textId="77777777" w:rsidR="00837C58" w:rsidRPr="00AA0033" w:rsidRDefault="00837C58" w:rsidP="00AA0033">
      <w:pPr>
        <w:rPr>
          <w:rFonts w:ascii="Arial" w:hAnsi="Arial" w:cs="Arial"/>
          <w:color w:val="FF0000"/>
          <w:sz w:val="16"/>
          <w:szCs w:val="16"/>
        </w:rPr>
      </w:pPr>
      <w:r w:rsidRPr="00AA0033">
        <w:rPr>
          <w:rFonts w:ascii="Arial" w:hAnsi="Arial" w:cs="Arial"/>
          <w:color w:val="FF0000"/>
          <w:sz w:val="16"/>
          <w:szCs w:val="16"/>
        </w:rPr>
        <w:t xml:space="preserve">For CSI prediction using UE side model use case, at least the following aspects have been proposed by companies on performance monitoring </w:t>
      </w:r>
      <w:r w:rsidRPr="00AA0033">
        <w:rPr>
          <w:rFonts w:ascii="Arial" w:eastAsia="SimSun" w:hAnsi="Arial" w:cs="Arial"/>
          <w:color w:val="FF0000"/>
          <w:sz w:val="16"/>
          <w:szCs w:val="16"/>
        </w:rPr>
        <w:t>for functionality-based LCM</w:t>
      </w:r>
      <w:r w:rsidRPr="00AA0033">
        <w:rPr>
          <w:rFonts w:ascii="Arial" w:hAnsi="Arial" w:cs="Arial"/>
          <w:color w:val="FF0000"/>
          <w:sz w:val="16"/>
          <w:szCs w:val="16"/>
        </w:rPr>
        <w:t xml:space="preserve">: </w:t>
      </w:r>
    </w:p>
    <w:p w14:paraId="74B7B4CF" w14:textId="7F668BA3" w:rsidR="00837C58" w:rsidRPr="00AA0033" w:rsidRDefault="00837C58" w:rsidP="00AA1D48">
      <w:pPr>
        <w:pStyle w:val="ListParagraph"/>
        <w:numPr>
          <w:ilvl w:val="0"/>
          <w:numId w:val="125"/>
        </w:numPr>
        <w:spacing w:after="0"/>
        <w:rPr>
          <w:rFonts w:ascii="Arial" w:eastAsia="MS Mincho" w:hAnsi="Arial" w:cs="Arial"/>
          <w:color w:val="FF0000"/>
          <w:sz w:val="16"/>
          <w:szCs w:val="16"/>
        </w:rPr>
      </w:pPr>
      <w:r w:rsidRPr="00AA0033">
        <w:rPr>
          <w:rFonts w:ascii="Arial" w:eastAsia="MS Mincho" w:hAnsi="Arial" w:cs="Arial"/>
          <w:color w:val="FF0000"/>
          <w:sz w:val="16"/>
          <w:szCs w:val="16"/>
        </w:rPr>
        <w:t xml:space="preserve">Type 1: </w:t>
      </w:r>
    </w:p>
    <w:p w14:paraId="46A0655B" w14:textId="7FB5368E" w:rsidR="00837C58" w:rsidRPr="00AA0033" w:rsidRDefault="00837C58" w:rsidP="00AA1D48">
      <w:pPr>
        <w:pStyle w:val="ListParagraph"/>
        <w:numPr>
          <w:ilvl w:val="1"/>
          <w:numId w:val="125"/>
        </w:numPr>
        <w:spacing w:after="0"/>
        <w:rPr>
          <w:rFonts w:ascii="Arial" w:eastAsia="MS Mincho" w:hAnsi="Arial" w:cs="Arial"/>
          <w:color w:val="FF0000"/>
          <w:sz w:val="16"/>
          <w:szCs w:val="16"/>
        </w:rPr>
      </w:pPr>
      <w:r w:rsidRPr="00AA0033">
        <w:rPr>
          <w:rFonts w:ascii="Arial" w:eastAsia="MS Mincho" w:hAnsi="Arial" w:cs="Arial"/>
          <w:color w:val="FF0000"/>
          <w:sz w:val="16"/>
          <w:szCs w:val="16"/>
        </w:rPr>
        <w:t xml:space="preserve">UE calculate the performance metric(s) </w:t>
      </w:r>
    </w:p>
    <w:p w14:paraId="125D2D27" w14:textId="02C74C64" w:rsidR="00837C58" w:rsidRPr="00AA0033" w:rsidRDefault="00837C58" w:rsidP="00AA1D48">
      <w:pPr>
        <w:pStyle w:val="ListParagraph"/>
        <w:numPr>
          <w:ilvl w:val="1"/>
          <w:numId w:val="125"/>
        </w:numPr>
        <w:spacing w:after="0"/>
        <w:rPr>
          <w:rFonts w:ascii="Arial" w:eastAsia="MS Mincho" w:hAnsi="Arial" w:cs="Arial"/>
          <w:color w:val="FF0000"/>
          <w:sz w:val="16"/>
          <w:szCs w:val="16"/>
        </w:rPr>
      </w:pPr>
      <w:r w:rsidRPr="00AA0033">
        <w:rPr>
          <w:rFonts w:ascii="Arial" w:eastAsia="MS Mincho" w:hAnsi="Arial" w:cs="Arial"/>
          <w:color w:val="FF0000"/>
          <w:sz w:val="16"/>
          <w:szCs w:val="16"/>
        </w:rPr>
        <w:t>UE reports performance monitoring output that facilitates functionality fallback decision at the network</w:t>
      </w:r>
    </w:p>
    <w:p w14:paraId="1B99E386" w14:textId="68F6FF03" w:rsidR="00837C58" w:rsidRPr="00AA0033" w:rsidRDefault="00837C58" w:rsidP="00AA1D48">
      <w:pPr>
        <w:pStyle w:val="ListParagraph"/>
        <w:numPr>
          <w:ilvl w:val="2"/>
          <w:numId w:val="125"/>
        </w:numPr>
        <w:spacing w:after="0"/>
        <w:rPr>
          <w:rFonts w:ascii="Arial" w:hAnsi="Arial" w:cs="Arial"/>
          <w:color w:val="FF0000"/>
          <w:sz w:val="16"/>
          <w:szCs w:val="16"/>
        </w:rPr>
      </w:pPr>
      <w:r w:rsidRPr="00AA0033">
        <w:rPr>
          <w:rFonts w:ascii="Arial" w:hAnsi="Arial" w:cs="Arial"/>
          <w:color w:val="FF0000"/>
          <w:sz w:val="16"/>
          <w:szCs w:val="16"/>
        </w:rPr>
        <w:t xml:space="preserve">Performance monitoring output details can be further defined </w:t>
      </w:r>
    </w:p>
    <w:p w14:paraId="79BA418D" w14:textId="67B5281E" w:rsidR="00837C58" w:rsidRPr="00AA0033" w:rsidRDefault="00837C58" w:rsidP="00AA1D48">
      <w:pPr>
        <w:pStyle w:val="ListParagraph"/>
        <w:numPr>
          <w:ilvl w:val="2"/>
          <w:numId w:val="125"/>
        </w:numPr>
        <w:spacing w:after="0"/>
        <w:rPr>
          <w:rFonts w:ascii="Arial" w:hAnsi="Arial" w:cs="Arial"/>
          <w:color w:val="FF0000"/>
          <w:sz w:val="16"/>
          <w:szCs w:val="16"/>
        </w:rPr>
      </w:pPr>
      <w:r w:rsidRPr="00AA0033">
        <w:rPr>
          <w:rFonts w:ascii="Arial" w:hAnsi="Arial" w:cs="Arial"/>
          <w:color w:val="FF0000"/>
          <w:sz w:val="16"/>
          <w:szCs w:val="16"/>
        </w:rPr>
        <w:t xml:space="preserve">NW may configure threshold criterion to facilitate UE side performance monitoring (if needed). </w:t>
      </w:r>
    </w:p>
    <w:p w14:paraId="7971AF10" w14:textId="00A04D04" w:rsidR="00837C58" w:rsidRPr="00AA0033" w:rsidRDefault="00837C58" w:rsidP="00AA1D48">
      <w:pPr>
        <w:pStyle w:val="ListParagraph"/>
        <w:numPr>
          <w:ilvl w:val="1"/>
          <w:numId w:val="125"/>
        </w:numPr>
        <w:spacing w:after="0"/>
        <w:rPr>
          <w:rFonts w:ascii="Arial" w:eastAsia="MS Mincho" w:hAnsi="Arial" w:cs="Arial"/>
          <w:color w:val="FF0000"/>
          <w:sz w:val="16"/>
          <w:szCs w:val="16"/>
        </w:rPr>
      </w:pPr>
      <w:r w:rsidRPr="00AA0033">
        <w:rPr>
          <w:rFonts w:ascii="Arial" w:eastAsia="MS Mincho" w:hAnsi="Arial" w:cs="Arial"/>
          <w:color w:val="FF0000"/>
          <w:sz w:val="16"/>
          <w:szCs w:val="16"/>
        </w:rPr>
        <w:t>NW makes decision(s) of functionality fallback operation (f</w:t>
      </w:r>
      <w:r w:rsidRPr="00AA0033">
        <w:rPr>
          <w:rFonts w:ascii="Arial" w:eastAsia="DengXian" w:hAnsi="Arial" w:cs="Arial"/>
          <w:color w:val="FF0000"/>
          <w:sz w:val="16"/>
          <w:szCs w:val="16"/>
          <w:lang w:val="en-US" w:eastAsia="zh-CN"/>
        </w:rPr>
        <w:t>allback mechanism to legacy CSI reporting</w:t>
      </w:r>
      <w:r w:rsidRPr="00AA0033">
        <w:rPr>
          <w:rFonts w:ascii="Arial" w:eastAsia="MS Mincho" w:hAnsi="Arial" w:cs="Arial"/>
          <w:color w:val="FF0000"/>
          <w:sz w:val="16"/>
          <w:szCs w:val="16"/>
        </w:rPr>
        <w:t xml:space="preserve">). </w:t>
      </w:r>
    </w:p>
    <w:p w14:paraId="1955E7EF" w14:textId="3127F864" w:rsidR="00837C58" w:rsidRPr="00AA0033" w:rsidRDefault="00837C58" w:rsidP="00AA1D48">
      <w:pPr>
        <w:pStyle w:val="ListParagraph"/>
        <w:numPr>
          <w:ilvl w:val="0"/>
          <w:numId w:val="125"/>
        </w:numPr>
        <w:spacing w:after="0"/>
        <w:rPr>
          <w:rFonts w:ascii="Arial" w:eastAsia="MS Mincho" w:hAnsi="Arial" w:cs="Arial"/>
          <w:color w:val="FF0000"/>
          <w:sz w:val="16"/>
          <w:szCs w:val="16"/>
        </w:rPr>
      </w:pPr>
      <w:r w:rsidRPr="00AA0033">
        <w:rPr>
          <w:rFonts w:ascii="Arial" w:eastAsia="MS Mincho" w:hAnsi="Arial" w:cs="Arial"/>
          <w:color w:val="FF0000"/>
          <w:sz w:val="16"/>
          <w:szCs w:val="16"/>
        </w:rPr>
        <w:t xml:space="preserve">Type 2: </w:t>
      </w:r>
    </w:p>
    <w:p w14:paraId="0FAF7DB1" w14:textId="121AAA0B" w:rsidR="00837C58" w:rsidRPr="00AA0033" w:rsidRDefault="00837C58" w:rsidP="00AA1D48">
      <w:pPr>
        <w:pStyle w:val="ListParagraph"/>
        <w:numPr>
          <w:ilvl w:val="1"/>
          <w:numId w:val="125"/>
        </w:numPr>
        <w:spacing w:after="0"/>
        <w:rPr>
          <w:rFonts w:ascii="Arial" w:eastAsia="MS Mincho" w:hAnsi="Arial" w:cs="Arial"/>
          <w:color w:val="FF0000"/>
          <w:sz w:val="16"/>
          <w:szCs w:val="16"/>
        </w:rPr>
      </w:pPr>
      <w:r w:rsidRPr="00AA0033">
        <w:rPr>
          <w:rFonts w:ascii="Arial" w:eastAsia="MS Mincho" w:hAnsi="Arial" w:cs="Arial"/>
          <w:color w:val="FF0000"/>
          <w:sz w:val="16"/>
          <w:szCs w:val="16"/>
        </w:rPr>
        <w:t xml:space="preserve">UE reports predicted CSI and/or the corresponding ground truth  </w:t>
      </w:r>
    </w:p>
    <w:p w14:paraId="5A7595D0" w14:textId="2FA1A27F" w:rsidR="00837C58" w:rsidRPr="00AA0033" w:rsidRDefault="00837C58" w:rsidP="00AA1D48">
      <w:pPr>
        <w:pStyle w:val="ListParagraph"/>
        <w:numPr>
          <w:ilvl w:val="1"/>
          <w:numId w:val="125"/>
        </w:numPr>
        <w:spacing w:after="0"/>
        <w:rPr>
          <w:rFonts w:ascii="Arial" w:eastAsia="MS Mincho" w:hAnsi="Arial" w:cs="Arial"/>
          <w:color w:val="FF0000"/>
          <w:sz w:val="16"/>
          <w:szCs w:val="16"/>
        </w:rPr>
      </w:pPr>
      <w:r w:rsidRPr="00AA0033">
        <w:rPr>
          <w:rFonts w:ascii="Arial" w:eastAsia="MS Mincho" w:hAnsi="Arial" w:cs="Arial"/>
          <w:color w:val="FF0000"/>
          <w:sz w:val="16"/>
          <w:szCs w:val="16"/>
        </w:rPr>
        <w:t xml:space="preserve">NW calculates the performance metrics. </w:t>
      </w:r>
    </w:p>
    <w:p w14:paraId="6C013456" w14:textId="28C17182" w:rsidR="00837C58" w:rsidRPr="00AA0033" w:rsidRDefault="00837C58" w:rsidP="00AA1D48">
      <w:pPr>
        <w:pStyle w:val="ListParagraph"/>
        <w:numPr>
          <w:ilvl w:val="1"/>
          <w:numId w:val="125"/>
        </w:numPr>
        <w:spacing w:after="0"/>
        <w:rPr>
          <w:rFonts w:ascii="Arial" w:eastAsia="MS Mincho" w:hAnsi="Arial" w:cs="Arial"/>
          <w:color w:val="FF0000"/>
          <w:sz w:val="16"/>
          <w:szCs w:val="16"/>
        </w:rPr>
      </w:pPr>
      <w:r w:rsidRPr="00AA0033">
        <w:rPr>
          <w:rFonts w:ascii="Arial" w:eastAsia="MS Mincho" w:hAnsi="Arial" w:cs="Arial"/>
          <w:color w:val="FF0000"/>
          <w:sz w:val="16"/>
          <w:szCs w:val="16"/>
        </w:rPr>
        <w:t>NW makes decision(s) of functionality fallback operation (f</w:t>
      </w:r>
      <w:r w:rsidRPr="00AA0033">
        <w:rPr>
          <w:rFonts w:ascii="Arial" w:eastAsia="MS Mincho" w:hAnsi="Arial" w:cs="Arial"/>
          <w:color w:val="FF0000"/>
          <w:sz w:val="16"/>
          <w:szCs w:val="16"/>
          <w:lang w:val="en-US" w:eastAsia="zh-CN"/>
        </w:rPr>
        <w:t>allback mechanism to legacy CSI reporting</w:t>
      </w:r>
      <w:r w:rsidRPr="00AA0033">
        <w:rPr>
          <w:rFonts w:ascii="Arial" w:eastAsia="MS Mincho" w:hAnsi="Arial" w:cs="Arial"/>
          <w:color w:val="FF0000"/>
          <w:sz w:val="16"/>
          <w:szCs w:val="16"/>
        </w:rPr>
        <w:t>).</w:t>
      </w:r>
    </w:p>
    <w:p w14:paraId="0541B70A" w14:textId="4E624CFF" w:rsidR="00837C58" w:rsidRPr="00AA0033" w:rsidRDefault="00837C58" w:rsidP="00AA1D48">
      <w:pPr>
        <w:pStyle w:val="ListParagraph"/>
        <w:numPr>
          <w:ilvl w:val="0"/>
          <w:numId w:val="125"/>
        </w:numPr>
        <w:spacing w:after="0"/>
        <w:rPr>
          <w:rFonts w:ascii="Arial" w:eastAsia="MS Mincho" w:hAnsi="Arial" w:cs="Arial"/>
          <w:color w:val="FF0000"/>
          <w:sz w:val="16"/>
          <w:szCs w:val="16"/>
        </w:rPr>
      </w:pPr>
      <w:r w:rsidRPr="00AA0033">
        <w:rPr>
          <w:rFonts w:ascii="Arial" w:eastAsia="MS Mincho" w:hAnsi="Arial" w:cs="Arial"/>
          <w:color w:val="FF0000"/>
          <w:sz w:val="16"/>
          <w:szCs w:val="16"/>
        </w:rPr>
        <w:t xml:space="preserve">Type 3: </w:t>
      </w:r>
    </w:p>
    <w:p w14:paraId="4517AE69" w14:textId="137BC512" w:rsidR="00837C58" w:rsidRPr="00AA0033" w:rsidRDefault="00837C58" w:rsidP="00AA1D48">
      <w:pPr>
        <w:pStyle w:val="ListParagraph"/>
        <w:numPr>
          <w:ilvl w:val="1"/>
          <w:numId w:val="125"/>
        </w:numPr>
        <w:spacing w:after="0"/>
        <w:rPr>
          <w:rFonts w:ascii="Arial" w:hAnsi="Arial" w:cs="Arial"/>
          <w:color w:val="FF0000"/>
          <w:sz w:val="16"/>
          <w:szCs w:val="16"/>
        </w:rPr>
      </w:pPr>
      <w:r w:rsidRPr="00AA0033">
        <w:rPr>
          <w:rFonts w:ascii="Arial" w:hAnsi="Arial" w:cs="Arial"/>
          <w:color w:val="FF0000"/>
          <w:sz w:val="16"/>
          <w:szCs w:val="16"/>
        </w:rPr>
        <w:t xml:space="preserve">UE calculate the performance metric(s) </w:t>
      </w:r>
    </w:p>
    <w:p w14:paraId="388AB954" w14:textId="3A51165B" w:rsidR="00837C58" w:rsidRPr="00AA0033" w:rsidRDefault="00837C58" w:rsidP="00AA1D48">
      <w:pPr>
        <w:pStyle w:val="ListParagraph"/>
        <w:numPr>
          <w:ilvl w:val="1"/>
          <w:numId w:val="125"/>
        </w:numPr>
        <w:spacing w:after="0"/>
        <w:rPr>
          <w:rFonts w:ascii="Arial" w:hAnsi="Arial" w:cs="Arial"/>
          <w:color w:val="FF0000"/>
          <w:sz w:val="16"/>
          <w:szCs w:val="16"/>
        </w:rPr>
      </w:pPr>
      <w:r w:rsidRPr="00AA0033">
        <w:rPr>
          <w:rFonts w:ascii="Arial" w:hAnsi="Arial" w:cs="Arial"/>
          <w:color w:val="FF0000"/>
          <w:sz w:val="16"/>
          <w:szCs w:val="16"/>
        </w:rPr>
        <w:t>UE report performance metric(s) to the NW</w:t>
      </w:r>
    </w:p>
    <w:p w14:paraId="3CF4946C" w14:textId="644B0F6A" w:rsidR="00837C58" w:rsidRPr="00AA0033" w:rsidRDefault="00837C58" w:rsidP="00AA1D48">
      <w:pPr>
        <w:pStyle w:val="ListParagraph"/>
        <w:numPr>
          <w:ilvl w:val="1"/>
          <w:numId w:val="125"/>
        </w:numPr>
        <w:spacing w:after="0"/>
        <w:rPr>
          <w:rFonts w:ascii="Arial" w:hAnsi="Arial" w:cs="Arial"/>
          <w:color w:val="FF0000"/>
          <w:sz w:val="16"/>
          <w:szCs w:val="16"/>
        </w:rPr>
      </w:pPr>
      <w:r w:rsidRPr="00AA0033">
        <w:rPr>
          <w:rFonts w:ascii="Arial" w:hAnsi="Arial" w:cs="Arial"/>
          <w:color w:val="FF0000"/>
          <w:sz w:val="16"/>
          <w:szCs w:val="16"/>
        </w:rPr>
        <w:t>NW makes decision(s) of functionality fallback operation (f</w:t>
      </w:r>
      <w:r w:rsidRPr="00AA0033">
        <w:rPr>
          <w:rFonts w:ascii="Arial" w:eastAsia="DengXian" w:hAnsi="Arial" w:cs="Arial"/>
          <w:color w:val="FF0000"/>
          <w:sz w:val="16"/>
          <w:szCs w:val="16"/>
          <w:lang w:val="en-US" w:eastAsia="zh-CN"/>
        </w:rPr>
        <w:t>allback mechanism to legacy CSI reporting</w:t>
      </w:r>
      <w:r w:rsidRPr="00AA0033">
        <w:rPr>
          <w:rFonts w:ascii="Arial" w:hAnsi="Arial" w:cs="Arial"/>
          <w:color w:val="FF0000"/>
          <w:sz w:val="16"/>
          <w:szCs w:val="16"/>
        </w:rPr>
        <w:t xml:space="preserve">). </w:t>
      </w:r>
    </w:p>
    <w:p w14:paraId="0DEEC2F6" w14:textId="1678C651" w:rsidR="00837C58" w:rsidRPr="00AA0033" w:rsidRDefault="00837C58" w:rsidP="00AA1D48">
      <w:pPr>
        <w:pStyle w:val="ListParagraph"/>
        <w:numPr>
          <w:ilvl w:val="0"/>
          <w:numId w:val="125"/>
        </w:numPr>
        <w:spacing w:after="0"/>
        <w:rPr>
          <w:rFonts w:ascii="Arial" w:eastAsia="MS Mincho" w:hAnsi="Arial" w:cs="Arial"/>
          <w:color w:val="FF0000"/>
          <w:sz w:val="16"/>
          <w:szCs w:val="16"/>
        </w:rPr>
      </w:pPr>
      <w:r w:rsidRPr="00AA0033">
        <w:rPr>
          <w:rFonts w:ascii="Arial" w:eastAsia="MS Mincho" w:hAnsi="Arial" w:cs="Arial"/>
          <w:color w:val="FF0000"/>
          <w:sz w:val="16"/>
          <w:szCs w:val="16"/>
        </w:rPr>
        <w:t xml:space="preserve">Functionality selection/activation/ deactivation/switching </w:t>
      </w:r>
      <w:r w:rsidRPr="00AA0033">
        <w:rPr>
          <w:rFonts w:ascii="Arial" w:eastAsia="DengXian" w:hAnsi="Arial" w:cs="Arial"/>
          <w:color w:val="FF0000"/>
          <w:sz w:val="16"/>
          <w:szCs w:val="16"/>
          <w:lang w:val="en-US" w:eastAsia="zh-CN"/>
        </w:rPr>
        <w:t>what is defined for other UE side use cases</w:t>
      </w:r>
      <w:r w:rsidRPr="00AA0033">
        <w:rPr>
          <w:rFonts w:ascii="Arial" w:eastAsia="MS Mincho" w:hAnsi="Arial" w:cs="Arial"/>
          <w:color w:val="FF0000"/>
          <w:sz w:val="16"/>
          <w:szCs w:val="16"/>
        </w:rPr>
        <w:t xml:space="preserve"> can be reused, if applicable. </w:t>
      </w:r>
    </w:p>
    <w:p w14:paraId="1BBA1509" w14:textId="67E871AF" w:rsidR="00837C58" w:rsidRPr="00AA0033" w:rsidRDefault="00837C58" w:rsidP="00AA1D48">
      <w:pPr>
        <w:pStyle w:val="ListParagraph"/>
        <w:numPr>
          <w:ilvl w:val="0"/>
          <w:numId w:val="125"/>
        </w:numPr>
        <w:spacing w:after="0"/>
        <w:rPr>
          <w:rFonts w:ascii="Arial" w:eastAsia="MS Mincho" w:hAnsi="Arial" w:cs="Arial"/>
          <w:color w:val="FF0000"/>
          <w:sz w:val="16"/>
          <w:szCs w:val="16"/>
        </w:rPr>
      </w:pPr>
      <w:r w:rsidRPr="00AA0033">
        <w:rPr>
          <w:rFonts w:ascii="Arial" w:eastAsia="MS Mincho" w:hAnsi="Arial" w:cs="Arial"/>
          <w:color w:val="FF0000"/>
          <w:sz w:val="16"/>
          <w:szCs w:val="16"/>
        </w:rPr>
        <w:t xml:space="preserve">Configuration and procedure for performance monitoring </w:t>
      </w:r>
    </w:p>
    <w:p w14:paraId="4CC5C08D" w14:textId="38EF636D" w:rsidR="00837C58" w:rsidRPr="00AA0033" w:rsidRDefault="00837C58" w:rsidP="00AA1D48">
      <w:pPr>
        <w:pStyle w:val="ListParagraph"/>
        <w:numPr>
          <w:ilvl w:val="0"/>
          <w:numId w:val="125"/>
        </w:numPr>
        <w:spacing w:after="0"/>
        <w:rPr>
          <w:rFonts w:ascii="Arial" w:eastAsia="MS Mincho" w:hAnsi="Arial" w:cs="Arial"/>
          <w:color w:val="FF0000"/>
          <w:sz w:val="16"/>
          <w:szCs w:val="16"/>
        </w:rPr>
      </w:pPr>
      <w:r w:rsidRPr="00AA0033">
        <w:rPr>
          <w:rFonts w:ascii="Arial" w:eastAsia="MS Mincho" w:hAnsi="Arial" w:cs="Arial"/>
          <w:color w:val="FF0000"/>
          <w:sz w:val="16"/>
          <w:szCs w:val="16"/>
        </w:rPr>
        <w:t>CSI-RS configuration for performance monitoring</w:t>
      </w:r>
    </w:p>
    <w:p w14:paraId="5978C999" w14:textId="194436E0" w:rsidR="00837C58" w:rsidRPr="00AA0033" w:rsidRDefault="00837C58" w:rsidP="00AA1D48">
      <w:pPr>
        <w:pStyle w:val="ListParagraph"/>
        <w:numPr>
          <w:ilvl w:val="0"/>
          <w:numId w:val="125"/>
        </w:numPr>
        <w:spacing w:after="0"/>
        <w:rPr>
          <w:rFonts w:ascii="Arial" w:eastAsia="MS Mincho" w:hAnsi="Arial" w:cs="Arial"/>
          <w:color w:val="FF0000"/>
          <w:sz w:val="16"/>
          <w:szCs w:val="16"/>
        </w:rPr>
      </w:pPr>
      <w:r w:rsidRPr="00AA0033">
        <w:rPr>
          <w:rFonts w:ascii="Arial" w:eastAsia="MS Mincho" w:hAnsi="Arial" w:cs="Arial"/>
          <w:color w:val="FF0000"/>
          <w:sz w:val="16"/>
          <w:szCs w:val="16"/>
        </w:rPr>
        <w:t>Performance metric including at least intermediate KPI (e.g., NMSE or SGCS)</w:t>
      </w:r>
    </w:p>
    <w:p w14:paraId="09DACD66" w14:textId="45045380" w:rsidR="00837C58" w:rsidRPr="00AA0033" w:rsidRDefault="00837C58" w:rsidP="00AA1D48">
      <w:pPr>
        <w:pStyle w:val="ListParagraph"/>
        <w:numPr>
          <w:ilvl w:val="0"/>
          <w:numId w:val="125"/>
        </w:numPr>
        <w:spacing w:after="0"/>
        <w:rPr>
          <w:rFonts w:ascii="Arial" w:eastAsia="Malgun Gothic" w:hAnsi="Arial" w:cs="Arial"/>
          <w:color w:val="FF0000"/>
          <w:sz w:val="16"/>
          <w:szCs w:val="16"/>
        </w:rPr>
      </w:pPr>
      <w:r w:rsidRPr="00AA0033">
        <w:rPr>
          <w:rFonts w:ascii="Arial" w:eastAsia="MS Mincho" w:hAnsi="Arial" w:cs="Arial"/>
          <w:color w:val="FF0000"/>
          <w:sz w:val="16"/>
          <w:szCs w:val="16"/>
        </w:rPr>
        <w:t>UE report, including periodic/semi-persistent/aperiodic reporting, and event driven report.</w:t>
      </w:r>
    </w:p>
    <w:p w14:paraId="2A067B3A" w14:textId="7D4ECC6A" w:rsidR="00837C58" w:rsidRPr="00AA0033" w:rsidRDefault="00837C58" w:rsidP="00AA1D48">
      <w:pPr>
        <w:pStyle w:val="ListParagraph"/>
        <w:numPr>
          <w:ilvl w:val="0"/>
          <w:numId w:val="125"/>
        </w:numPr>
        <w:spacing w:after="0"/>
        <w:rPr>
          <w:rFonts w:ascii="Arial" w:eastAsia="DengXian" w:hAnsi="Arial" w:cs="Arial"/>
          <w:color w:val="FF0000"/>
          <w:sz w:val="16"/>
          <w:szCs w:val="16"/>
        </w:rPr>
      </w:pPr>
      <w:r w:rsidRPr="00AA0033">
        <w:rPr>
          <w:rFonts w:ascii="Arial" w:eastAsia="MS Mincho" w:hAnsi="Arial" w:cs="Arial"/>
          <w:color w:val="FF0000"/>
          <w:sz w:val="16"/>
          <w:szCs w:val="16"/>
        </w:rPr>
        <w:t>Note: down selection is not precluded.</w:t>
      </w:r>
    </w:p>
    <w:p w14:paraId="55B22A40" w14:textId="1B86F09A" w:rsidR="00837C58" w:rsidRPr="00AA0033" w:rsidRDefault="00837C58" w:rsidP="00AA1D48">
      <w:pPr>
        <w:pStyle w:val="ListParagraph"/>
        <w:numPr>
          <w:ilvl w:val="0"/>
          <w:numId w:val="125"/>
        </w:numPr>
        <w:spacing w:after="0"/>
        <w:rPr>
          <w:rFonts w:ascii="Arial" w:eastAsia="DengXian" w:hAnsi="Arial" w:cs="Arial"/>
          <w:color w:val="FF0000"/>
          <w:sz w:val="16"/>
          <w:szCs w:val="16"/>
        </w:rPr>
      </w:pPr>
      <w:r w:rsidRPr="00AA0033">
        <w:rPr>
          <w:rFonts w:ascii="Arial" w:eastAsia="MS Mincho" w:hAnsi="Arial" w:cs="Arial"/>
          <w:color w:val="FF0000"/>
          <w:sz w:val="16"/>
          <w:szCs w:val="16"/>
        </w:rPr>
        <w:t xml:space="preserve">Note: UE may make decision within the same functionality on model selection, activation, deactivation, switching operation transparent to the NW. </w:t>
      </w:r>
    </w:p>
    <w:p w14:paraId="2F0BAC59" w14:textId="77777777" w:rsidR="00837C58" w:rsidRPr="00AA0033" w:rsidRDefault="00837C58" w:rsidP="00837C58">
      <w:pPr>
        <w:rPr>
          <w:rFonts w:ascii="Times New Roman" w:hAnsi="Times New Roman"/>
          <w:szCs w:val="20"/>
        </w:rPr>
      </w:pPr>
      <w:r w:rsidRPr="00AA0033">
        <w:rPr>
          <w:rFonts w:ascii="Times New Roman" w:hAnsi="Times New Roman"/>
          <w:szCs w:val="20"/>
        </w:rPr>
        <w:t xml:space="preserve">-------------------------------------------- End of Text Proposal --------------------------------------------------------       </w:t>
      </w:r>
    </w:p>
    <w:p w14:paraId="6DDF96AA" w14:textId="77777777" w:rsidR="00837C58" w:rsidRPr="00AA0033" w:rsidRDefault="00837C58" w:rsidP="00837C58">
      <w:pPr>
        <w:rPr>
          <w:rFonts w:ascii="Times New Roman" w:hAnsi="Times New Roman"/>
          <w:szCs w:val="20"/>
        </w:rPr>
      </w:pPr>
    </w:p>
    <w:p w14:paraId="6C7280DF" w14:textId="77777777" w:rsidR="00837C58" w:rsidRPr="00AA0033" w:rsidRDefault="00837C58" w:rsidP="00837C58">
      <w:pPr>
        <w:rPr>
          <w:rFonts w:ascii="Times New Roman" w:hAnsi="Times New Roman"/>
          <w:szCs w:val="20"/>
          <w:highlight w:val="green"/>
        </w:rPr>
      </w:pPr>
      <w:r w:rsidRPr="00AA0033">
        <w:rPr>
          <w:rFonts w:ascii="Times New Roman" w:hAnsi="Times New Roman"/>
          <w:szCs w:val="20"/>
          <w:highlight w:val="green"/>
        </w:rPr>
        <w:t>Agreement</w:t>
      </w:r>
    </w:p>
    <w:p w14:paraId="7FC6EE22" w14:textId="77777777" w:rsidR="00837C58" w:rsidRPr="00AA0033" w:rsidRDefault="00837C58" w:rsidP="00837C58">
      <w:pPr>
        <w:rPr>
          <w:rFonts w:ascii="Times New Roman" w:eastAsia="SimSun" w:hAnsi="Times New Roman"/>
          <w:szCs w:val="20"/>
          <w:lang w:val="en-US"/>
        </w:rPr>
      </w:pPr>
      <w:r w:rsidRPr="00AA0033">
        <w:rPr>
          <w:rFonts w:ascii="Times New Roman" w:eastAsia="SimSun" w:hAnsi="Times New Roman"/>
          <w:szCs w:val="20"/>
          <w:lang w:val="en-US"/>
        </w:rPr>
        <w:t xml:space="preserve">Adopt the following TP to TR 38.843: </w:t>
      </w:r>
    </w:p>
    <w:p w14:paraId="6273B79C" w14:textId="77777777" w:rsidR="00837C58" w:rsidRPr="00AA0033" w:rsidRDefault="00837C58" w:rsidP="00837C58">
      <w:pPr>
        <w:rPr>
          <w:rFonts w:ascii="Times New Roman" w:hAnsi="Times New Roman"/>
          <w:color w:val="FF0000"/>
          <w:szCs w:val="20"/>
        </w:rPr>
      </w:pPr>
      <w:r w:rsidRPr="00AA0033">
        <w:rPr>
          <w:rFonts w:ascii="Times New Roman" w:hAnsi="Times New Roman"/>
          <w:color w:val="FF0000"/>
          <w:szCs w:val="20"/>
        </w:rPr>
        <w:t xml:space="preserve">-------------------------------------------- Start of Text Proposal --------------------------------------------------------       </w:t>
      </w:r>
    </w:p>
    <w:p w14:paraId="1C1D514A" w14:textId="77777777" w:rsidR="00837C58" w:rsidRPr="00AA0033" w:rsidRDefault="00837C58" w:rsidP="00AA0033">
      <w:pPr>
        <w:rPr>
          <w:rFonts w:ascii="Arial" w:eastAsia="SimSun" w:hAnsi="Arial" w:cs="Arial"/>
          <w:b/>
          <w:bCs/>
          <w:sz w:val="16"/>
          <w:szCs w:val="16"/>
          <w:lang w:val="en-US"/>
        </w:rPr>
      </w:pPr>
      <w:r w:rsidRPr="00AA0033">
        <w:rPr>
          <w:rFonts w:ascii="Arial" w:eastAsia="SimSun" w:hAnsi="Arial" w:cs="Arial"/>
          <w:b/>
          <w:bCs/>
          <w:sz w:val="16"/>
          <w:szCs w:val="16"/>
          <w:lang w:val="en-US"/>
        </w:rPr>
        <w:t>5.1</w:t>
      </w:r>
      <w:r w:rsidRPr="00AA0033">
        <w:rPr>
          <w:rFonts w:ascii="Arial" w:eastAsia="SimSun" w:hAnsi="Arial" w:cs="Arial"/>
          <w:b/>
          <w:bCs/>
          <w:sz w:val="16"/>
          <w:szCs w:val="16"/>
          <w:lang w:val="en-US"/>
        </w:rPr>
        <w:tab/>
        <w:t>CSI feedback enhancement</w:t>
      </w:r>
    </w:p>
    <w:p w14:paraId="2BC44B37" w14:textId="77777777" w:rsidR="00837C58" w:rsidRPr="00AA0033" w:rsidRDefault="00837C58" w:rsidP="00AA0033">
      <w:pPr>
        <w:jc w:val="center"/>
        <w:rPr>
          <w:rFonts w:ascii="Arial" w:hAnsi="Arial" w:cs="Arial"/>
          <w:color w:val="FF0000"/>
          <w:sz w:val="16"/>
          <w:szCs w:val="16"/>
        </w:rPr>
      </w:pPr>
      <w:r w:rsidRPr="00AA0033">
        <w:rPr>
          <w:rFonts w:ascii="Arial" w:hAnsi="Arial" w:cs="Arial"/>
          <w:color w:val="FF0000"/>
          <w:sz w:val="16"/>
          <w:szCs w:val="16"/>
        </w:rPr>
        <w:t>*** Unchanged text is omitted ***</w:t>
      </w:r>
    </w:p>
    <w:p w14:paraId="248653D3" w14:textId="77777777" w:rsidR="00837C58" w:rsidRPr="00AA0033" w:rsidRDefault="00837C58" w:rsidP="00AA0033">
      <w:pPr>
        <w:rPr>
          <w:rFonts w:ascii="Arial" w:hAnsi="Arial" w:cs="Arial"/>
          <w:sz w:val="16"/>
          <w:szCs w:val="16"/>
        </w:rPr>
      </w:pPr>
      <w:r w:rsidRPr="00AA0033">
        <w:rPr>
          <w:rFonts w:ascii="Arial" w:hAnsi="Arial" w:cs="Arial"/>
          <w:sz w:val="16"/>
          <w:szCs w:val="16"/>
        </w:rPr>
        <w:t xml:space="preserve">Considered AI/ML model training collaborations include: </w:t>
      </w:r>
    </w:p>
    <w:p w14:paraId="504A8D22" w14:textId="41535AC4" w:rsidR="00837C58" w:rsidRPr="00AA0033" w:rsidRDefault="00837C58" w:rsidP="00AA1D48">
      <w:pPr>
        <w:pStyle w:val="ListParagraph"/>
        <w:numPr>
          <w:ilvl w:val="0"/>
          <w:numId w:val="126"/>
        </w:numPr>
        <w:spacing w:after="0"/>
        <w:rPr>
          <w:rFonts w:ascii="Arial" w:eastAsia="MS Mincho" w:hAnsi="Arial" w:cs="Arial"/>
          <w:sz w:val="16"/>
          <w:szCs w:val="16"/>
        </w:rPr>
      </w:pPr>
      <w:r w:rsidRPr="00AA0033">
        <w:rPr>
          <w:rFonts w:ascii="Arial" w:eastAsia="MS Mincho" w:hAnsi="Arial" w:cs="Arial"/>
          <w:sz w:val="16"/>
          <w:szCs w:val="16"/>
        </w:rPr>
        <w:t>Type 1: Joint training of the two-sided model at a single side/entity, e.g., UE-sided or Network-sided.</w:t>
      </w:r>
    </w:p>
    <w:p w14:paraId="57153621" w14:textId="19299BCC" w:rsidR="00837C58" w:rsidRPr="00AA0033" w:rsidRDefault="00837C58" w:rsidP="00AA1D48">
      <w:pPr>
        <w:pStyle w:val="ListParagraph"/>
        <w:numPr>
          <w:ilvl w:val="0"/>
          <w:numId w:val="126"/>
        </w:numPr>
        <w:spacing w:after="0"/>
        <w:rPr>
          <w:rFonts w:ascii="Arial" w:eastAsia="MS Mincho" w:hAnsi="Arial" w:cs="Arial"/>
          <w:sz w:val="16"/>
          <w:szCs w:val="16"/>
        </w:rPr>
      </w:pPr>
      <w:r w:rsidRPr="00AA0033">
        <w:rPr>
          <w:rFonts w:ascii="Arial" w:eastAsia="MS Mincho" w:hAnsi="Arial" w:cs="Arial"/>
          <w:sz w:val="16"/>
          <w:szCs w:val="16"/>
        </w:rPr>
        <w:t>Type 2: Joint training of the two-sided model at network side and UE side, respectively.</w:t>
      </w:r>
    </w:p>
    <w:p w14:paraId="63CA7597" w14:textId="1E5DC4CF" w:rsidR="00837C58" w:rsidRPr="00AA0033" w:rsidRDefault="00837C58" w:rsidP="00AA1D48">
      <w:pPr>
        <w:pStyle w:val="ListParagraph"/>
        <w:numPr>
          <w:ilvl w:val="0"/>
          <w:numId w:val="126"/>
        </w:numPr>
        <w:spacing w:after="0"/>
        <w:rPr>
          <w:rFonts w:ascii="Arial" w:eastAsia="MS Mincho" w:hAnsi="Arial" w:cs="Arial"/>
          <w:sz w:val="16"/>
          <w:szCs w:val="16"/>
        </w:rPr>
      </w:pPr>
      <w:r w:rsidRPr="00AA0033">
        <w:rPr>
          <w:rFonts w:ascii="Arial" w:eastAsia="MS Mincho" w:hAnsi="Arial" w:cs="Arial"/>
          <w:sz w:val="16"/>
          <w:szCs w:val="16"/>
        </w:rPr>
        <w:t>Type 3: Separate training at network side and UE side, where the UE-side CSI generation part and the network-side CSI reconstruction part are trained by UE side and network side, respectively.</w:t>
      </w:r>
    </w:p>
    <w:p w14:paraId="690E0762" w14:textId="79A61373" w:rsidR="00837C58" w:rsidRPr="00AA0033" w:rsidRDefault="00837C58" w:rsidP="00AA1D48">
      <w:pPr>
        <w:pStyle w:val="ListParagraph"/>
        <w:numPr>
          <w:ilvl w:val="0"/>
          <w:numId w:val="126"/>
        </w:numPr>
        <w:spacing w:after="0"/>
        <w:rPr>
          <w:rFonts w:ascii="Arial" w:eastAsia="MS Mincho" w:hAnsi="Arial" w:cs="Arial"/>
          <w:sz w:val="16"/>
          <w:szCs w:val="16"/>
        </w:rPr>
      </w:pPr>
      <w:r w:rsidRPr="00AA0033">
        <w:rPr>
          <w:rFonts w:ascii="Arial" w:eastAsia="MS Mincho" w:hAnsi="Arial" w:cs="Arial"/>
          <w:sz w:val="16"/>
          <w:szCs w:val="16"/>
        </w:rPr>
        <w:t>Note: Joint training means the generation model and reconstruction model should be trained in the same loop for forward propagation and backward propagation. Joint training could be done both at single node or across multiple nodes(e.g., through gradient exchange between nodes).</w:t>
      </w:r>
    </w:p>
    <w:p w14:paraId="5A3E1929" w14:textId="2411F844" w:rsidR="00837C58" w:rsidRPr="00AA0033" w:rsidRDefault="00837C58" w:rsidP="00AA1D48">
      <w:pPr>
        <w:pStyle w:val="ListParagraph"/>
        <w:numPr>
          <w:ilvl w:val="0"/>
          <w:numId w:val="126"/>
        </w:numPr>
        <w:spacing w:after="0"/>
        <w:rPr>
          <w:rFonts w:ascii="Arial" w:eastAsia="MS Mincho" w:hAnsi="Arial" w:cs="Arial"/>
          <w:sz w:val="16"/>
          <w:szCs w:val="16"/>
        </w:rPr>
      </w:pPr>
      <w:r w:rsidRPr="00AA0033">
        <w:rPr>
          <w:rFonts w:ascii="Arial" w:eastAsia="MS Mincho" w:hAnsi="Arial" w:cs="Arial"/>
          <w:sz w:val="16"/>
          <w:szCs w:val="16"/>
        </w:rPr>
        <w:t xml:space="preserve">Note: Separate training includes sequential training starting with UE side training, or sequential training starting with NW side training </w:t>
      </w:r>
      <w:r w:rsidRPr="00AA0033">
        <w:rPr>
          <w:rFonts w:ascii="Arial" w:eastAsia="MS Mincho" w:hAnsi="Arial" w:cs="Arial"/>
          <w:strike/>
          <w:color w:val="FF0000"/>
          <w:sz w:val="16"/>
          <w:szCs w:val="16"/>
        </w:rPr>
        <w:t>[, or parallel training]</w:t>
      </w:r>
      <w:r w:rsidRPr="00AA0033">
        <w:rPr>
          <w:rFonts w:ascii="Arial" w:eastAsia="MS Mincho" w:hAnsi="Arial" w:cs="Arial"/>
          <w:color w:val="FF0000"/>
          <w:sz w:val="16"/>
          <w:szCs w:val="16"/>
        </w:rPr>
        <w:t xml:space="preserve"> </w:t>
      </w:r>
      <w:r w:rsidRPr="00AA0033">
        <w:rPr>
          <w:rFonts w:ascii="Arial" w:eastAsia="MS Mincho" w:hAnsi="Arial" w:cs="Arial"/>
          <w:sz w:val="16"/>
          <w:szCs w:val="16"/>
        </w:rPr>
        <w:t>at UE and NW</w:t>
      </w:r>
    </w:p>
    <w:p w14:paraId="1B581C94" w14:textId="5EF5E289" w:rsidR="00837C58" w:rsidRPr="00AA0033" w:rsidRDefault="00837C58" w:rsidP="00AA1D48">
      <w:pPr>
        <w:pStyle w:val="ListParagraph"/>
        <w:numPr>
          <w:ilvl w:val="0"/>
          <w:numId w:val="126"/>
        </w:numPr>
        <w:spacing w:after="0"/>
        <w:rPr>
          <w:rFonts w:ascii="Arial" w:eastAsia="Malgun Gothic" w:hAnsi="Arial" w:cs="Arial"/>
          <w:sz w:val="16"/>
          <w:szCs w:val="16"/>
        </w:rPr>
      </w:pPr>
      <w:r w:rsidRPr="00AA0033">
        <w:rPr>
          <w:rFonts w:ascii="Arial" w:eastAsia="MS Mincho" w:hAnsi="Arial" w:cs="Arial"/>
          <w:sz w:val="16"/>
          <w:szCs w:val="16"/>
        </w:rPr>
        <w:t xml:space="preserve">Note: </w:t>
      </w:r>
      <w:r w:rsidRPr="00AA0033">
        <w:rPr>
          <w:rFonts w:ascii="Arial" w:eastAsia="Malgun Gothic" w:hAnsi="Arial" w:cs="Arial"/>
          <w:sz w:val="16"/>
          <w:szCs w:val="16"/>
        </w:rPr>
        <w:t xml:space="preserve">training collaboration Type 2 over the air interface for model training (not including model update) is concluded to be deprioritized in Rel-18 SI. </w:t>
      </w:r>
    </w:p>
    <w:p w14:paraId="1E4D15B6" w14:textId="77777777" w:rsidR="00837C58" w:rsidRPr="00AA0033" w:rsidRDefault="00837C58" w:rsidP="00AA0033">
      <w:pPr>
        <w:rPr>
          <w:rFonts w:ascii="Arial" w:eastAsia="MS Mincho" w:hAnsi="Arial" w:cs="Arial"/>
          <w:sz w:val="16"/>
          <w:szCs w:val="16"/>
          <w:lang w:eastAsia="zh-CN"/>
        </w:rPr>
      </w:pPr>
      <w:r w:rsidRPr="00AA0033">
        <w:rPr>
          <w:rFonts w:ascii="Arial" w:eastAsia="MS Mincho" w:hAnsi="Arial" w:cs="Arial"/>
          <w:sz w:val="16"/>
          <w:szCs w:val="16"/>
          <w:lang w:eastAsia="zh-CN"/>
        </w:rPr>
        <w:t xml:space="preserve">For Type 2 (Joint training of the two-sided model at network side and UE side, respectively), note that joint training includes both simultaneous training and sequential training, in which the pros and cons could be discussed separately. Further, note that </w:t>
      </w:r>
      <w:r w:rsidRPr="00AA0033">
        <w:rPr>
          <w:rFonts w:ascii="Arial" w:eastAsia="MS Mincho" w:hAnsi="Arial" w:cs="Arial"/>
          <w:color w:val="FF0000"/>
          <w:sz w:val="16"/>
          <w:szCs w:val="16"/>
        </w:rPr>
        <w:t xml:space="preserve">Type 2 </w:t>
      </w:r>
      <w:r w:rsidRPr="00AA0033">
        <w:rPr>
          <w:rFonts w:ascii="Arial" w:eastAsia="MS Mincho" w:hAnsi="Arial" w:cs="Arial"/>
          <w:sz w:val="16"/>
          <w:szCs w:val="16"/>
          <w:lang w:eastAsia="zh-CN"/>
        </w:rPr>
        <w:t xml:space="preserve">sequential training </w:t>
      </w:r>
      <w:r w:rsidRPr="00AA0033">
        <w:rPr>
          <w:rFonts w:ascii="Arial" w:eastAsia="MS Mincho" w:hAnsi="Arial" w:cs="Arial"/>
          <w:strike/>
          <w:color w:val="FF0000"/>
          <w:sz w:val="16"/>
          <w:szCs w:val="16"/>
          <w:lang w:eastAsia="zh-CN"/>
        </w:rPr>
        <w:t>includes</w:t>
      </w:r>
      <w:r w:rsidRPr="00AA0033">
        <w:rPr>
          <w:rFonts w:ascii="Arial" w:eastAsia="MS Mincho" w:hAnsi="Arial" w:cs="Arial"/>
          <w:color w:val="FF0000"/>
          <w:sz w:val="16"/>
          <w:szCs w:val="16"/>
          <w:lang w:eastAsia="zh-CN"/>
        </w:rPr>
        <w:t xml:space="preserve"> </w:t>
      </w:r>
      <w:r w:rsidRPr="00AA0033">
        <w:rPr>
          <w:rFonts w:ascii="Arial" w:eastAsia="MS Mincho" w:hAnsi="Arial" w:cs="Arial"/>
          <w:strike/>
          <w:color w:val="FF0000"/>
          <w:sz w:val="16"/>
          <w:szCs w:val="16"/>
          <w:lang w:eastAsia="zh-CN"/>
        </w:rPr>
        <w:t>starting</w:t>
      </w:r>
      <w:r w:rsidRPr="00AA0033">
        <w:rPr>
          <w:rFonts w:ascii="Arial" w:eastAsia="MS Mincho" w:hAnsi="Arial" w:cs="Arial"/>
          <w:sz w:val="16"/>
          <w:szCs w:val="16"/>
          <w:lang w:eastAsia="zh-CN"/>
        </w:rPr>
        <w:t xml:space="preserve"> </w:t>
      </w:r>
      <w:r w:rsidRPr="00AA0033">
        <w:rPr>
          <w:rFonts w:ascii="Arial" w:eastAsia="MS Mincho" w:hAnsi="Arial" w:cs="Arial"/>
          <w:strike/>
          <w:color w:val="FF0000"/>
          <w:sz w:val="16"/>
          <w:szCs w:val="16"/>
          <w:lang w:eastAsia="zh-CN"/>
        </w:rPr>
        <w:t>with UE side training, or</w:t>
      </w:r>
      <w:r w:rsidRPr="00AA0033">
        <w:rPr>
          <w:rFonts w:ascii="Arial" w:eastAsia="MS Mincho" w:hAnsi="Arial" w:cs="Arial"/>
          <w:sz w:val="16"/>
          <w:szCs w:val="16"/>
          <w:lang w:eastAsia="zh-CN"/>
        </w:rPr>
        <w:t xml:space="preserve"> </w:t>
      </w:r>
      <w:r w:rsidRPr="00AA0033">
        <w:rPr>
          <w:rFonts w:ascii="Arial" w:eastAsia="MS Mincho" w:hAnsi="Arial" w:cs="Arial"/>
          <w:color w:val="FF0000"/>
          <w:sz w:val="16"/>
          <w:szCs w:val="16"/>
          <w:lang w:eastAsia="zh-CN"/>
        </w:rPr>
        <w:t>starts</w:t>
      </w:r>
      <w:r w:rsidRPr="00AA0033">
        <w:rPr>
          <w:rFonts w:ascii="Arial" w:eastAsia="MS Mincho" w:hAnsi="Arial" w:cs="Arial"/>
          <w:sz w:val="16"/>
          <w:szCs w:val="16"/>
          <w:lang w:eastAsia="zh-CN"/>
        </w:rPr>
        <w:t xml:space="preserve"> with NW side training. </w:t>
      </w:r>
      <w:r w:rsidRPr="00AA0033">
        <w:rPr>
          <w:rFonts w:ascii="Arial" w:eastAsia="MS Mincho" w:hAnsi="Arial" w:cs="Arial"/>
          <w:sz w:val="16"/>
          <w:szCs w:val="16"/>
        </w:rPr>
        <w:t xml:space="preserve"> </w:t>
      </w:r>
    </w:p>
    <w:p w14:paraId="0E46A696" w14:textId="77777777" w:rsidR="00837C58" w:rsidRPr="00AA0033" w:rsidRDefault="00837C58" w:rsidP="00837C58">
      <w:pPr>
        <w:rPr>
          <w:rFonts w:ascii="Times New Roman" w:hAnsi="Times New Roman"/>
          <w:color w:val="FF0000"/>
          <w:szCs w:val="20"/>
        </w:rPr>
      </w:pPr>
      <w:r w:rsidRPr="00AA0033">
        <w:rPr>
          <w:rFonts w:ascii="Times New Roman" w:hAnsi="Times New Roman"/>
          <w:color w:val="FF0000"/>
          <w:szCs w:val="20"/>
        </w:rPr>
        <w:t>-------------------------------------------- End of Text Proposal --------------------------------------------------------</w:t>
      </w:r>
    </w:p>
    <w:p w14:paraId="47717633" w14:textId="77777777" w:rsidR="00837C58" w:rsidRPr="00AA0033" w:rsidRDefault="00837C58" w:rsidP="00837C58">
      <w:pPr>
        <w:rPr>
          <w:rFonts w:ascii="Times New Roman" w:hAnsi="Times New Roman"/>
          <w:szCs w:val="20"/>
        </w:rPr>
      </w:pPr>
    </w:p>
    <w:p w14:paraId="33B247D5" w14:textId="77777777" w:rsidR="00837C58" w:rsidRPr="00837C58" w:rsidRDefault="00837C58" w:rsidP="00837C58">
      <w:pPr>
        <w:rPr>
          <w:highlight w:val="green"/>
        </w:rPr>
      </w:pPr>
      <w:r w:rsidRPr="00837C58">
        <w:rPr>
          <w:highlight w:val="green"/>
        </w:rPr>
        <w:lastRenderedPageBreak/>
        <w:t>Agreement</w:t>
      </w:r>
    </w:p>
    <w:p w14:paraId="597A84C1" w14:textId="77777777" w:rsidR="00837C58" w:rsidRPr="00837C58" w:rsidRDefault="00837C58" w:rsidP="00AA0033">
      <w:r w:rsidRPr="00837C58">
        <w:t xml:space="preserve">In CSI compression using two-sided model use case, the following table captures the pros/cons of training collaboration types 2 and type 3: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69"/>
        <w:gridCol w:w="1763"/>
        <w:gridCol w:w="1985"/>
        <w:gridCol w:w="1874"/>
        <w:gridCol w:w="2092"/>
      </w:tblGrid>
      <w:tr w:rsidR="00837C58" w:rsidRPr="00837C58" w14:paraId="2EAE9C2A" w14:textId="77777777" w:rsidTr="00A35307">
        <w:trPr>
          <w:trHeight w:val="20"/>
        </w:trPr>
        <w:tc>
          <w:tcPr>
            <w:tcW w:w="1390" w:type="pct"/>
            <w:vMerge w:val="restart"/>
            <w:tcBorders>
              <w:tl2br w:val="single" w:sz="4" w:space="0" w:color="auto"/>
            </w:tcBorders>
            <w:shd w:val="clear" w:color="auto" w:fill="auto"/>
          </w:tcPr>
          <w:p w14:paraId="4C43B9CD" w14:textId="02B3CC0C" w:rsidR="00837C58" w:rsidRPr="00837C58" w:rsidRDefault="00837C58" w:rsidP="00A35307">
            <w:pPr>
              <w:tabs>
                <w:tab w:val="left" w:pos="388"/>
                <w:tab w:val="right" w:pos="2403"/>
              </w:tabs>
              <w:wordWrap w:val="0"/>
              <w:snapToGrid w:val="0"/>
              <w:spacing w:beforeLines="30" w:before="72" w:afterLines="30" w:after="72" w:line="288" w:lineRule="auto"/>
              <w:ind w:right="224"/>
              <w:jc w:val="right"/>
              <w:rPr>
                <w:rFonts w:ascii="Arial" w:eastAsia="DengXian" w:hAnsi="Arial" w:cs="Arial"/>
                <w:sz w:val="16"/>
                <w:szCs w:val="16"/>
              </w:rPr>
            </w:pPr>
            <w:r w:rsidRPr="00837C58">
              <w:rPr>
                <w:rFonts w:ascii="Arial" w:eastAsia="DengXian" w:hAnsi="Arial" w:cs="Arial"/>
                <w:sz w:val="16"/>
                <w:szCs w:val="16"/>
              </w:rPr>
              <w:t>Training types</w:t>
            </w:r>
          </w:p>
          <w:p w14:paraId="5D3BD792" w14:textId="77777777" w:rsidR="00837C58" w:rsidRPr="00837C58" w:rsidRDefault="00837C58" w:rsidP="00837C58">
            <w:pPr>
              <w:rPr>
                <w:rFonts w:ascii="Arial" w:hAnsi="Arial" w:cs="Arial"/>
                <w:sz w:val="16"/>
                <w:szCs w:val="16"/>
              </w:rPr>
            </w:pPr>
            <w:r w:rsidRPr="00837C58">
              <w:rPr>
                <w:rFonts w:ascii="Arial" w:eastAsia="DengXian" w:hAnsi="Arial" w:cs="Arial"/>
                <w:sz w:val="16"/>
                <w:szCs w:val="16"/>
              </w:rPr>
              <w:t>Characteristics</w:t>
            </w:r>
          </w:p>
        </w:tc>
        <w:tc>
          <w:tcPr>
            <w:tcW w:w="1754" w:type="pct"/>
            <w:gridSpan w:val="2"/>
            <w:shd w:val="clear" w:color="auto" w:fill="auto"/>
          </w:tcPr>
          <w:p w14:paraId="5BC9DDAB" w14:textId="77777777" w:rsidR="00837C58" w:rsidRPr="00837C58" w:rsidRDefault="00837C58" w:rsidP="00837C58">
            <w:pPr>
              <w:rPr>
                <w:rFonts w:ascii="Arial" w:hAnsi="Arial" w:cs="Arial"/>
                <w:sz w:val="16"/>
                <w:szCs w:val="16"/>
              </w:rPr>
            </w:pPr>
            <w:r w:rsidRPr="00837C58">
              <w:rPr>
                <w:rFonts w:ascii="Arial" w:hAnsi="Arial" w:cs="Arial"/>
                <w:sz w:val="16"/>
                <w:szCs w:val="16"/>
              </w:rPr>
              <w:t>Type 2</w:t>
            </w:r>
          </w:p>
        </w:tc>
        <w:tc>
          <w:tcPr>
            <w:tcW w:w="1857" w:type="pct"/>
            <w:gridSpan w:val="2"/>
            <w:shd w:val="clear" w:color="auto" w:fill="auto"/>
          </w:tcPr>
          <w:p w14:paraId="6A49DCF5" w14:textId="77777777" w:rsidR="00837C58" w:rsidRPr="00837C58" w:rsidRDefault="00837C58" w:rsidP="00837C58">
            <w:pPr>
              <w:rPr>
                <w:rFonts w:ascii="Arial" w:hAnsi="Arial" w:cs="Arial"/>
                <w:sz w:val="16"/>
                <w:szCs w:val="16"/>
              </w:rPr>
            </w:pPr>
            <w:r w:rsidRPr="00837C58">
              <w:rPr>
                <w:rFonts w:ascii="Arial" w:hAnsi="Arial" w:cs="Arial"/>
                <w:sz w:val="16"/>
                <w:szCs w:val="16"/>
              </w:rPr>
              <w:t>Type 3</w:t>
            </w:r>
          </w:p>
        </w:tc>
      </w:tr>
      <w:tr w:rsidR="00837C58" w:rsidRPr="00837C58" w14:paraId="7D8D1821" w14:textId="77777777" w:rsidTr="00A35307">
        <w:trPr>
          <w:trHeight w:val="20"/>
        </w:trPr>
        <w:tc>
          <w:tcPr>
            <w:tcW w:w="1390" w:type="pct"/>
            <w:vMerge/>
            <w:tcBorders>
              <w:tl2br w:val="single" w:sz="4" w:space="0" w:color="auto"/>
            </w:tcBorders>
            <w:shd w:val="clear" w:color="auto" w:fill="auto"/>
          </w:tcPr>
          <w:p w14:paraId="7BA9C614" w14:textId="77777777" w:rsidR="00837C58" w:rsidRPr="00837C58" w:rsidRDefault="00837C58" w:rsidP="00837C58">
            <w:pPr>
              <w:rPr>
                <w:rFonts w:ascii="Arial" w:hAnsi="Arial" w:cs="Arial"/>
                <w:sz w:val="16"/>
                <w:szCs w:val="16"/>
              </w:rPr>
            </w:pPr>
          </w:p>
        </w:tc>
        <w:tc>
          <w:tcPr>
            <w:tcW w:w="825" w:type="pct"/>
            <w:shd w:val="clear" w:color="auto" w:fill="auto"/>
          </w:tcPr>
          <w:p w14:paraId="3B20F0C4" w14:textId="77777777" w:rsidR="00837C58" w:rsidRPr="00837C58" w:rsidRDefault="00837C58" w:rsidP="00837C58">
            <w:pPr>
              <w:rPr>
                <w:rFonts w:ascii="Arial" w:hAnsi="Arial" w:cs="Arial"/>
                <w:sz w:val="16"/>
                <w:szCs w:val="16"/>
              </w:rPr>
            </w:pPr>
            <w:r w:rsidRPr="00837C58">
              <w:rPr>
                <w:rFonts w:ascii="Arial" w:hAnsi="Arial" w:cs="Arial"/>
                <w:sz w:val="16"/>
                <w:szCs w:val="16"/>
              </w:rPr>
              <w:t>Simultaneous</w:t>
            </w:r>
          </w:p>
        </w:tc>
        <w:tc>
          <w:tcPr>
            <w:tcW w:w="928" w:type="pct"/>
            <w:shd w:val="clear" w:color="auto" w:fill="auto"/>
          </w:tcPr>
          <w:p w14:paraId="79C160A6" w14:textId="77777777" w:rsidR="00837C58" w:rsidRPr="00837C58" w:rsidRDefault="00837C58" w:rsidP="00837C58">
            <w:pPr>
              <w:rPr>
                <w:rFonts w:ascii="Arial" w:hAnsi="Arial" w:cs="Arial"/>
                <w:sz w:val="16"/>
                <w:szCs w:val="16"/>
              </w:rPr>
            </w:pPr>
            <w:r w:rsidRPr="00837C58">
              <w:rPr>
                <w:rFonts w:ascii="Arial" w:hAnsi="Arial" w:cs="Arial"/>
                <w:sz w:val="16"/>
                <w:szCs w:val="16"/>
              </w:rPr>
              <w:t xml:space="preserve">Sequential </w:t>
            </w:r>
          </w:p>
          <w:p w14:paraId="0AA5AB28" w14:textId="77777777" w:rsidR="00837C58" w:rsidRPr="00837C58" w:rsidRDefault="00837C58" w:rsidP="00837C58">
            <w:pPr>
              <w:rPr>
                <w:rFonts w:ascii="Arial" w:hAnsi="Arial" w:cs="Arial"/>
                <w:sz w:val="16"/>
                <w:szCs w:val="16"/>
              </w:rPr>
            </w:pPr>
            <w:r w:rsidRPr="00837C58">
              <w:rPr>
                <w:rFonts w:ascii="Arial" w:hAnsi="Arial" w:cs="Arial"/>
                <w:sz w:val="16"/>
                <w:szCs w:val="16"/>
              </w:rPr>
              <w:t xml:space="preserve">NW first </w:t>
            </w:r>
          </w:p>
        </w:tc>
        <w:tc>
          <w:tcPr>
            <w:tcW w:w="877" w:type="pct"/>
            <w:shd w:val="clear" w:color="auto" w:fill="auto"/>
          </w:tcPr>
          <w:p w14:paraId="10A3D1E9" w14:textId="77777777" w:rsidR="00837C58" w:rsidRPr="00837C58" w:rsidRDefault="00837C58" w:rsidP="00837C58">
            <w:pPr>
              <w:rPr>
                <w:rFonts w:ascii="Arial" w:hAnsi="Arial" w:cs="Arial"/>
                <w:sz w:val="16"/>
                <w:szCs w:val="16"/>
              </w:rPr>
            </w:pPr>
            <w:r w:rsidRPr="00837C58">
              <w:rPr>
                <w:rFonts w:ascii="Arial" w:hAnsi="Arial" w:cs="Arial"/>
                <w:sz w:val="16"/>
                <w:szCs w:val="16"/>
              </w:rPr>
              <w:t>NW first</w:t>
            </w:r>
          </w:p>
        </w:tc>
        <w:tc>
          <w:tcPr>
            <w:tcW w:w="980" w:type="pct"/>
            <w:shd w:val="clear" w:color="auto" w:fill="auto"/>
          </w:tcPr>
          <w:p w14:paraId="77B889D8" w14:textId="77777777" w:rsidR="00837C58" w:rsidRPr="00837C58" w:rsidRDefault="00837C58" w:rsidP="00837C58">
            <w:pPr>
              <w:rPr>
                <w:rFonts w:ascii="Arial" w:hAnsi="Arial" w:cs="Arial"/>
                <w:sz w:val="16"/>
                <w:szCs w:val="16"/>
              </w:rPr>
            </w:pPr>
            <w:r w:rsidRPr="00837C58">
              <w:rPr>
                <w:rFonts w:ascii="Arial" w:hAnsi="Arial" w:cs="Arial"/>
                <w:sz w:val="16"/>
                <w:szCs w:val="16"/>
              </w:rPr>
              <w:t xml:space="preserve"> UE first</w:t>
            </w:r>
          </w:p>
        </w:tc>
      </w:tr>
      <w:tr w:rsidR="00837C58" w:rsidRPr="00837C58" w14:paraId="5641D416" w14:textId="77777777" w:rsidTr="00A35307">
        <w:trPr>
          <w:trHeight w:val="20"/>
        </w:trPr>
        <w:tc>
          <w:tcPr>
            <w:tcW w:w="1390" w:type="pct"/>
            <w:shd w:val="clear" w:color="auto" w:fill="auto"/>
          </w:tcPr>
          <w:p w14:paraId="28E3A326" w14:textId="77777777" w:rsidR="00837C58" w:rsidRPr="00837C58" w:rsidRDefault="00837C58" w:rsidP="00837C58">
            <w:pPr>
              <w:rPr>
                <w:rFonts w:ascii="Arial" w:hAnsi="Arial" w:cs="Arial"/>
                <w:sz w:val="16"/>
                <w:szCs w:val="16"/>
              </w:rPr>
            </w:pPr>
            <w:r w:rsidRPr="00837C58">
              <w:rPr>
                <w:rFonts w:ascii="Arial" w:hAnsi="Arial" w:cs="Arial"/>
                <w:sz w:val="16"/>
                <w:szCs w:val="16"/>
              </w:rPr>
              <w:t>F</w:t>
            </w:r>
            <w:r w:rsidRPr="00837C58">
              <w:rPr>
                <w:rFonts w:ascii="Arial" w:eastAsia="Malgun Gothic" w:hAnsi="Arial" w:cs="Arial"/>
                <w:sz w:val="16"/>
                <w:szCs w:val="16"/>
              </w:rPr>
              <w:t>easibility of allowing UE side and NW side to develop/update models separately</w:t>
            </w:r>
          </w:p>
        </w:tc>
        <w:tc>
          <w:tcPr>
            <w:tcW w:w="825" w:type="pct"/>
            <w:shd w:val="clear" w:color="auto" w:fill="auto"/>
            <w:vAlign w:val="center"/>
          </w:tcPr>
          <w:p w14:paraId="3FF6B7B4" w14:textId="77777777" w:rsidR="00837C58" w:rsidRPr="00837C58" w:rsidRDefault="00837C58" w:rsidP="00837C58">
            <w:pPr>
              <w:rPr>
                <w:rFonts w:ascii="Arial" w:hAnsi="Arial" w:cs="Arial"/>
                <w:color w:val="000000"/>
                <w:sz w:val="16"/>
                <w:szCs w:val="16"/>
                <w:highlight w:val="green"/>
              </w:rPr>
            </w:pPr>
            <w:r w:rsidRPr="00837C58">
              <w:rPr>
                <w:rFonts w:ascii="Arial" w:hAnsi="Arial" w:cs="Arial"/>
                <w:color w:val="000000"/>
                <w:kern w:val="24"/>
                <w:sz w:val="16"/>
                <w:szCs w:val="16"/>
                <w:highlight w:val="green"/>
              </w:rPr>
              <w:t>Infeasible</w:t>
            </w:r>
          </w:p>
        </w:tc>
        <w:tc>
          <w:tcPr>
            <w:tcW w:w="928" w:type="pct"/>
            <w:shd w:val="clear" w:color="auto" w:fill="auto"/>
          </w:tcPr>
          <w:p w14:paraId="76F2587E" w14:textId="77777777" w:rsidR="00837C58" w:rsidRPr="00837C58" w:rsidRDefault="00837C58" w:rsidP="00837C58">
            <w:pPr>
              <w:rPr>
                <w:rFonts w:ascii="Arial" w:hAnsi="Arial" w:cs="Arial"/>
                <w:bCs/>
                <w:color w:val="000000"/>
                <w:kern w:val="24"/>
                <w:sz w:val="16"/>
                <w:szCs w:val="16"/>
                <w:highlight w:val="yellow"/>
              </w:rPr>
            </w:pPr>
          </w:p>
          <w:p w14:paraId="4A39CD63" w14:textId="77777777" w:rsidR="00837C58" w:rsidRPr="00837C58" w:rsidRDefault="00837C58" w:rsidP="00837C58">
            <w:pPr>
              <w:rPr>
                <w:rFonts w:ascii="Arial" w:hAnsi="Arial" w:cs="Arial"/>
                <w:bCs/>
                <w:color w:val="FF0000"/>
                <w:kern w:val="24"/>
                <w:sz w:val="16"/>
                <w:szCs w:val="16"/>
              </w:rPr>
            </w:pPr>
            <w:r w:rsidRPr="00837C58">
              <w:rPr>
                <w:rFonts w:ascii="Arial" w:hAnsi="Arial" w:cs="Arial"/>
                <w:bCs/>
                <w:color w:val="000000"/>
                <w:kern w:val="24"/>
                <w:sz w:val="16"/>
                <w:szCs w:val="16"/>
              </w:rPr>
              <w:t>No consensus</w:t>
            </w:r>
          </w:p>
          <w:p w14:paraId="2689334C" w14:textId="77777777" w:rsidR="00837C58" w:rsidRPr="00837C58" w:rsidRDefault="00837C58" w:rsidP="00837C58">
            <w:pPr>
              <w:rPr>
                <w:rFonts w:ascii="Arial" w:hAnsi="Arial" w:cs="Arial"/>
                <w:color w:val="000000"/>
                <w:kern w:val="24"/>
                <w:sz w:val="16"/>
                <w:szCs w:val="16"/>
                <w:highlight w:val="yellow"/>
              </w:rPr>
            </w:pPr>
          </w:p>
        </w:tc>
        <w:tc>
          <w:tcPr>
            <w:tcW w:w="877" w:type="pct"/>
            <w:shd w:val="clear" w:color="auto" w:fill="auto"/>
            <w:vAlign w:val="center"/>
          </w:tcPr>
          <w:p w14:paraId="7881A666" w14:textId="77777777" w:rsidR="00837C58" w:rsidRPr="00837C58" w:rsidRDefault="00837C58" w:rsidP="00837C58">
            <w:pPr>
              <w:rPr>
                <w:rFonts w:ascii="Arial" w:hAnsi="Arial" w:cs="Arial"/>
                <w:color w:val="000000"/>
                <w:sz w:val="16"/>
                <w:szCs w:val="16"/>
                <w:highlight w:val="yellow"/>
              </w:rPr>
            </w:pPr>
            <w:r w:rsidRPr="00837C58">
              <w:rPr>
                <w:rFonts w:ascii="Arial" w:hAnsi="Arial" w:cs="Arial"/>
                <w:color w:val="000000"/>
                <w:kern w:val="24"/>
                <w:sz w:val="16"/>
                <w:szCs w:val="16"/>
                <w:highlight w:val="green"/>
              </w:rPr>
              <w:t xml:space="preserve">Feasible.  </w:t>
            </w:r>
          </w:p>
        </w:tc>
        <w:tc>
          <w:tcPr>
            <w:tcW w:w="980" w:type="pct"/>
            <w:shd w:val="clear" w:color="auto" w:fill="auto"/>
            <w:vAlign w:val="center"/>
          </w:tcPr>
          <w:p w14:paraId="20D99550" w14:textId="77777777" w:rsidR="00837C58" w:rsidRPr="00837C58" w:rsidRDefault="00837C58" w:rsidP="00837C58">
            <w:pPr>
              <w:rPr>
                <w:rFonts w:ascii="Arial" w:hAnsi="Arial" w:cs="Arial"/>
                <w:color w:val="000000"/>
                <w:sz w:val="16"/>
                <w:szCs w:val="16"/>
                <w:highlight w:val="yellow"/>
              </w:rPr>
            </w:pPr>
            <w:r w:rsidRPr="00837C58">
              <w:rPr>
                <w:rFonts w:ascii="Arial" w:hAnsi="Arial" w:cs="Arial"/>
                <w:color w:val="000000"/>
                <w:kern w:val="24"/>
                <w:sz w:val="16"/>
                <w:szCs w:val="16"/>
                <w:highlight w:val="green"/>
              </w:rPr>
              <w:t xml:space="preserve">Feasible </w:t>
            </w:r>
          </w:p>
        </w:tc>
      </w:tr>
      <w:tr w:rsidR="00837C58" w:rsidRPr="00837C58" w14:paraId="018C8158" w14:textId="77777777" w:rsidTr="00A35307">
        <w:trPr>
          <w:trHeight w:val="20"/>
        </w:trPr>
        <w:tc>
          <w:tcPr>
            <w:tcW w:w="1390" w:type="pct"/>
            <w:shd w:val="clear" w:color="auto" w:fill="auto"/>
          </w:tcPr>
          <w:p w14:paraId="36722869" w14:textId="77777777" w:rsidR="00837C58" w:rsidRPr="00837C58" w:rsidRDefault="00837C58" w:rsidP="00837C58">
            <w:pPr>
              <w:rPr>
                <w:rFonts w:ascii="Arial" w:hAnsi="Arial" w:cs="Arial"/>
                <w:sz w:val="16"/>
                <w:szCs w:val="16"/>
                <w:highlight w:val="yellow"/>
              </w:rPr>
            </w:pPr>
            <w:r w:rsidRPr="00837C58">
              <w:rPr>
                <w:rFonts w:ascii="Arial" w:hAnsi="Arial" w:cs="Arial"/>
                <w:sz w:val="16"/>
                <w:szCs w:val="16"/>
              </w:rPr>
              <w:t>Extendibility:</w:t>
            </w:r>
            <w:r w:rsidRPr="00837C58">
              <w:rPr>
                <w:rFonts w:ascii="Arial" w:eastAsia="Malgun Gothic" w:hAnsi="Arial" w:cs="Arial"/>
                <w:sz w:val="16"/>
                <w:szCs w:val="16"/>
              </w:rPr>
              <w:t xml:space="preserve"> to train new UE-side model compatible with NW-side model in use;  </w:t>
            </w:r>
          </w:p>
        </w:tc>
        <w:tc>
          <w:tcPr>
            <w:tcW w:w="825" w:type="pct"/>
            <w:shd w:val="clear" w:color="auto" w:fill="auto"/>
            <w:vAlign w:val="center"/>
          </w:tcPr>
          <w:p w14:paraId="54850482" w14:textId="77777777" w:rsidR="00837C58" w:rsidRPr="00837C58" w:rsidRDefault="00837C58" w:rsidP="00837C58">
            <w:pPr>
              <w:rPr>
                <w:rFonts w:ascii="Arial" w:hAnsi="Arial" w:cs="Arial"/>
                <w:color w:val="000000"/>
                <w:kern w:val="24"/>
                <w:sz w:val="16"/>
                <w:szCs w:val="16"/>
              </w:rPr>
            </w:pPr>
            <w:r w:rsidRPr="00837C58">
              <w:rPr>
                <w:rFonts w:ascii="Arial" w:hAnsi="Arial" w:cs="Arial"/>
                <w:color w:val="000000"/>
                <w:kern w:val="24"/>
                <w:sz w:val="16"/>
                <w:szCs w:val="16"/>
              </w:rPr>
              <w:t>Not support</w:t>
            </w:r>
          </w:p>
        </w:tc>
        <w:tc>
          <w:tcPr>
            <w:tcW w:w="928" w:type="pct"/>
            <w:shd w:val="clear" w:color="auto" w:fill="auto"/>
          </w:tcPr>
          <w:p w14:paraId="0E0ACA31" w14:textId="77777777" w:rsidR="00837C58" w:rsidRPr="00837C58" w:rsidRDefault="00837C58" w:rsidP="00837C58">
            <w:pPr>
              <w:rPr>
                <w:rFonts w:ascii="Arial" w:hAnsi="Arial" w:cs="Arial"/>
                <w:bCs/>
                <w:color w:val="000000"/>
                <w:kern w:val="24"/>
                <w:sz w:val="16"/>
                <w:szCs w:val="16"/>
              </w:rPr>
            </w:pPr>
          </w:p>
          <w:p w14:paraId="4EFB80E8" w14:textId="77777777" w:rsidR="00837C58" w:rsidRPr="00837C58" w:rsidRDefault="00837C58" w:rsidP="00837C58">
            <w:pPr>
              <w:rPr>
                <w:rFonts w:ascii="Arial" w:hAnsi="Arial" w:cs="Arial"/>
                <w:bCs/>
                <w:color w:val="000000"/>
                <w:kern w:val="24"/>
                <w:sz w:val="16"/>
                <w:szCs w:val="16"/>
              </w:rPr>
            </w:pPr>
          </w:p>
          <w:p w14:paraId="218D2C95" w14:textId="77777777" w:rsidR="00837C58" w:rsidRPr="00837C58" w:rsidRDefault="00837C58" w:rsidP="00837C58">
            <w:pPr>
              <w:rPr>
                <w:rFonts w:ascii="Arial" w:hAnsi="Arial" w:cs="Arial"/>
                <w:color w:val="000000"/>
                <w:kern w:val="24"/>
                <w:sz w:val="16"/>
                <w:szCs w:val="16"/>
              </w:rPr>
            </w:pPr>
            <w:r w:rsidRPr="00837C58">
              <w:rPr>
                <w:rFonts w:ascii="Arial" w:hAnsi="Arial" w:cs="Arial"/>
                <w:bCs/>
                <w:color w:val="000000"/>
                <w:kern w:val="24"/>
                <w:sz w:val="16"/>
                <w:szCs w:val="16"/>
              </w:rPr>
              <w:t xml:space="preserve">Support </w:t>
            </w:r>
          </w:p>
        </w:tc>
        <w:tc>
          <w:tcPr>
            <w:tcW w:w="877" w:type="pct"/>
            <w:shd w:val="clear" w:color="auto" w:fill="auto"/>
            <w:vAlign w:val="center"/>
          </w:tcPr>
          <w:p w14:paraId="3FF423F9" w14:textId="77777777" w:rsidR="00837C58" w:rsidRPr="00837C58" w:rsidRDefault="00837C58" w:rsidP="00837C58">
            <w:pPr>
              <w:rPr>
                <w:rFonts w:ascii="Arial" w:hAnsi="Arial" w:cs="Arial"/>
                <w:color w:val="000000"/>
                <w:kern w:val="24"/>
                <w:sz w:val="16"/>
                <w:szCs w:val="16"/>
              </w:rPr>
            </w:pPr>
            <w:r w:rsidRPr="00837C58">
              <w:rPr>
                <w:rFonts w:ascii="Arial" w:hAnsi="Arial" w:cs="Arial"/>
                <w:color w:val="000000"/>
                <w:kern w:val="24"/>
                <w:sz w:val="16"/>
                <w:szCs w:val="16"/>
                <w:highlight w:val="green"/>
              </w:rPr>
              <w:t>Support</w:t>
            </w:r>
            <w:r w:rsidRPr="00837C58">
              <w:rPr>
                <w:rFonts w:ascii="Arial" w:hAnsi="Arial" w:cs="Arial"/>
                <w:color w:val="000000"/>
                <w:sz w:val="16"/>
                <w:szCs w:val="16"/>
                <w:highlight w:val="green"/>
              </w:rPr>
              <w:t xml:space="preserve"> </w:t>
            </w:r>
          </w:p>
        </w:tc>
        <w:tc>
          <w:tcPr>
            <w:tcW w:w="980" w:type="pct"/>
            <w:shd w:val="clear" w:color="auto" w:fill="auto"/>
            <w:vAlign w:val="center"/>
          </w:tcPr>
          <w:p w14:paraId="1414EB1D" w14:textId="77777777" w:rsidR="00837C58" w:rsidRPr="00837C58" w:rsidRDefault="00837C58" w:rsidP="00837C58">
            <w:pPr>
              <w:rPr>
                <w:rFonts w:ascii="Arial" w:hAnsi="Arial" w:cs="Arial"/>
                <w:color w:val="000000"/>
                <w:kern w:val="24"/>
                <w:sz w:val="16"/>
                <w:szCs w:val="16"/>
              </w:rPr>
            </w:pPr>
            <w:r w:rsidRPr="00837C58">
              <w:rPr>
                <w:rFonts w:ascii="Arial" w:hAnsi="Arial" w:cs="Arial"/>
                <w:color w:val="000000"/>
                <w:kern w:val="24"/>
                <w:sz w:val="16"/>
                <w:szCs w:val="16"/>
              </w:rPr>
              <w:t>No consensus</w:t>
            </w:r>
          </w:p>
        </w:tc>
      </w:tr>
      <w:tr w:rsidR="00837C58" w:rsidRPr="00837C58" w14:paraId="55B01653" w14:textId="77777777" w:rsidTr="00A35307">
        <w:trPr>
          <w:trHeight w:val="20"/>
        </w:trPr>
        <w:tc>
          <w:tcPr>
            <w:tcW w:w="1390" w:type="pct"/>
            <w:shd w:val="clear" w:color="auto" w:fill="auto"/>
          </w:tcPr>
          <w:p w14:paraId="064ABD3A" w14:textId="77777777" w:rsidR="00837C58" w:rsidRPr="00837C58" w:rsidRDefault="00837C58" w:rsidP="00837C58">
            <w:pPr>
              <w:rPr>
                <w:rFonts w:ascii="Arial" w:hAnsi="Arial" w:cs="Arial"/>
                <w:sz w:val="16"/>
                <w:szCs w:val="16"/>
                <w:highlight w:val="yellow"/>
              </w:rPr>
            </w:pPr>
            <w:r w:rsidRPr="00837C58">
              <w:rPr>
                <w:rFonts w:ascii="Arial" w:hAnsi="Arial" w:cs="Arial"/>
                <w:sz w:val="16"/>
                <w:szCs w:val="16"/>
              </w:rPr>
              <w:t>Extendibility:</w:t>
            </w:r>
            <w:r w:rsidRPr="00837C58">
              <w:rPr>
                <w:rFonts w:ascii="Arial" w:eastAsia="Malgun Gothic" w:hAnsi="Arial" w:cs="Arial"/>
                <w:sz w:val="16"/>
                <w:szCs w:val="16"/>
              </w:rPr>
              <w:t xml:space="preserve"> To train new NW-side model compatible with UE-side model in use </w:t>
            </w:r>
          </w:p>
        </w:tc>
        <w:tc>
          <w:tcPr>
            <w:tcW w:w="825" w:type="pct"/>
            <w:shd w:val="clear" w:color="auto" w:fill="auto"/>
            <w:vAlign w:val="center"/>
          </w:tcPr>
          <w:p w14:paraId="7C4A0CA5" w14:textId="77777777" w:rsidR="00837C58" w:rsidRPr="00837C58" w:rsidRDefault="00837C58" w:rsidP="00837C58">
            <w:pPr>
              <w:rPr>
                <w:rFonts w:ascii="Arial" w:hAnsi="Arial" w:cs="Arial"/>
                <w:color w:val="000000"/>
                <w:kern w:val="24"/>
                <w:sz w:val="16"/>
                <w:szCs w:val="16"/>
                <w:highlight w:val="green"/>
              </w:rPr>
            </w:pPr>
            <w:r w:rsidRPr="00837C58">
              <w:rPr>
                <w:rFonts w:ascii="Arial" w:hAnsi="Arial" w:cs="Arial"/>
                <w:color w:val="000000"/>
                <w:kern w:val="24"/>
                <w:sz w:val="16"/>
                <w:szCs w:val="16"/>
                <w:highlight w:val="green"/>
              </w:rPr>
              <w:t xml:space="preserve">Not support </w:t>
            </w:r>
          </w:p>
        </w:tc>
        <w:tc>
          <w:tcPr>
            <w:tcW w:w="928" w:type="pct"/>
            <w:shd w:val="clear" w:color="auto" w:fill="auto"/>
          </w:tcPr>
          <w:p w14:paraId="3FD41295" w14:textId="77777777" w:rsidR="00837C58" w:rsidRPr="00837C58" w:rsidRDefault="00837C58" w:rsidP="00837C58">
            <w:pPr>
              <w:rPr>
                <w:rFonts w:ascii="Arial" w:eastAsia="SimSun" w:hAnsi="Arial" w:cs="Arial"/>
                <w:color w:val="000000"/>
                <w:kern w:val="24"/>
                <w:sz w:val="16"/>
                <w:szCs w:val="16"/>
                <w:highlight w:val="green"/>
              </w:rPr>
            </w:pPr>
          </w:p>
          <w:p w14:paraId="45D9A34A" w14:textId="77777777" w:rsidR="00837C58" w:rsidRPr="00837C58" w:rsidRDefault="00837C58" w:rsidP="00837C58">
            <w:pPr>
              <w:rPr>
                <w:rFonts w:ascii="Arial" w:eastAsia="SimSun" w:hAnsi="Arial" w:cs="Arial"/>
                <w:color w:val="000000"/>
                <w:kern w:val="24"/>
                <w:sz w:val="16"/>
                <w:szCs w:val="16"/>
                <w:highlight w:val="green"/>
              </w:rPr>
            </w:pPr>
          </w:p>
          <w:p w14:paraId="495A1A76" w14:textId="77777777" w:rsidR="00837C58" w:rsidRPr="00837C58" w:rsidRDefault="00837C58" w:rsidP="00837C58">
            <w:pPr>
              <w:rPr>
                <w:rFonts w:ascii="Arial" w:hAnsi="Arial" w:cs="Arial"/>
                <w:color w:val="000000"/>
                <w:kern w:val="24"/>
                <w:sz w:val="16"/>
                <w:szCs w:val="16"/>
                <w:highlight w:val="yellow"/>
              </w:rPr>
            </w:pPr>
            <w:r w:rsidRPr="00837C58">
              <w:rPr>
                <w:rFonts w:ascii="Arial" w:eastAsia="SimSun" w:hAnsi="Arial" w:cs="Arial"/>
                <w:color w:val="000000"/>
                <w:kern w:val="24"/>
                <w:sz w:val="16"/>
                <w:szCs w:val="16"/>
                <w:highlight w:val="green"/>
              </w:rPr>
              <w:t>Not Support</w:t>
            </w:r>
          </w:p>
        </w:tc>
        <w:tc>
          <w:tcPr>
            <w:tcW w:w="877" w:type="pct"/>
            <w:shd w:val="clear" w:color="auto" w:fill="auto"/>
            <w:vAlign w:val="center"/>
          </w:tcPr>
          <w:p w14:paraId="20B5ECC6" w14:textId="77777777" w:rsidR="00837C58" w:rsidRPr="00837C58" w:rsidRDefault="00837C58" w:rsidP="00837C58">
            <w:pPr>
              <w:rPr>
                <w:rFonts w:ascii="Arial" w:hAnsi="Arial" w:cs="Arial"/>
                <w:i/>
                <w:color w:val="000000"/>
                <w:kern w:val="24"/>
                <w:sz w:val="16"/>
                <w:szCs w:val="16"/>
              </w:rPr>
            </w:pPr>
            <w:r w:rsidRPr="00837C58">
              <w:rPr>
                <w:rFonts w:ascii="Arial" w:hAnsi="Arial" w:cs="Arial"/>
                <w:color w:val="000000"/>
                <w:kern w:val="24"/>
                <w:sz w:val="16"/>
                <w:szCs w:val="16"/>
              </w:rPr>
              <w:t>No consensus</w:t>
            </w:r>
          </w:p>
        </w:tc>
        <w:tc>
          <w:tcPr>
            <w:tcW w:w="980" w:type="pct"/>
            <w:shd w:val="clear" w:color="auto" w:fill="auto"/>
            <w:vAlign w:val="center"/>
          </w:tcPr>
          <w:p w14:paraId="7E491B7A" w14:textId="77777777" w:rsidR="00837C58" w:rsidRPr="00837C58" w:rsidRDefault="00837C58" w:rsidP="00837C58">
            <w:pPr>
              <w:rPr>
                <w:rFonts w:ascii="Arial" w:hAnsi="Arial" w:cs="Arial"/>
                <w:color w:val="000000"/>
                <w:kern w:val="24"/>
                <w:sz w:val="16"/>
                <w:szCs w:val="16"/>
                <w:highlight w:val="green"/>
              </w:rPr>
            </w:pPr>
            <w:r w:rsidRPr="00837C58">
              <w:rPr>
                <w:rFonts w:ascii="Arial" w:hAnsi="Arial" w:cs="Arial"/>
                <w:color w:val="000000"/>
                <w:kern w:val="24"/>
                <w:sz w:val="16"/>
                <w:szCs w:val="16"/>
                <w:highlight w:val="green"/>
              </w:rPr>
              <w:t>Support</w:t>
            </w:r>
          </w:p>
        </w:tc>
      </w:tr>
    </w:tbl>
    <w:p w14:paraId="5F55437E" w14:textId="77777777" w:rsidR="00837C58" w:rsidRPr="00837C58" w:rsidRDefault="00837C58" w:rsidP="00A35307"/>
    <w:p w14:paraId="650B34B4" w14:textId="77777777" w:rsidR="00837C58" w:rsidRPr="00837C58" w:rsidRDefault="00837C58" w:rsidP="00A35307">
      <w:r w:rsidRPr="00837C58">
        <w:t>In CSI compression using two-sided model use case, the following table captures the pros/cons of training collaboration types 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69"/>
        <w:gridCol w:w="1983"/>
        <w:gridCol w:w="1765"/>
        <w:gridCol w:w="1983"/>
        <w:gridCol w:w="1983"/>
      </w:tblGrid>
      <w:tr w:rsidR="00837C58" w:rsidRPr="00837C58" w14:paraId="3BBE66C9" w14:textId="77777777" w:rsidTr="00A35307">
        <w:trPr>
          <w:trHeight w:val="20"/>
        </w:trPr>
        <w:tc>
          <w:tcPr>
            <w:tcW w:w="1390" w:type="pct"/>
            <w:vMerge w:val="restart"/>
            <w:tcBorders>
              <w:tl2br w:val="single" w:sz="4" w:space="0" w:color="auto"/>
            </w:tcBorders>
            <w:shd w:val="clear" w:color="auto" w:fill="auto"/>
          </w:tcPr>
          <w:p w14:paraId="79F1C7DC" w14:textId="5023819C" w:rsidR="00837C58" w:rsidRPr="00837C58" w:rsidRDefault="00837C58" w:rsidP="00A35307">
            <w:pPr>
              <w:tabs>
                <w:tab w:val="left" w:pos="388"/>
                <w:tab w:val="right" w:pos="2353"/>
              </w:tabs>
              <w:wordWrap w:val="0"/>
              <w:snapToGrid w:val="0"/>
              <w:spacing w:beforeLines="30" w:before="72" w:afterLines="30" w:after="72" w:line="288" w:lineRule="auto"/>
              <w:ind w:right="400"/>
              <w:jc w:val="right"/>
              <w:rPr>
                <w:rFonts w:ascii="Arial" w:eastAsia="DengXian" w:hAnsi="Arial" w:cs="Arial"/>
                <w:sz w:val="16"/>
                <w:szCs w:val="16"/>
              </w:rPr>
            </w:pPr>
            <w:r w:rsidRPr="00837C58">
              <w:rPr>
                <w:rFonts w:ascii="Arial" w:eastAsia="DengXian" w:hAnsi="Arial" w:cs="Arial"/>
                <w:sz w:val="16"/>
                <w:szCs w:val="16"/>
              </w:rPr>
              <w:t>Training types</w:t>
            </w:r>
          </w:p>
          <w:p w14:paraId="4B8D4765" w14:textId="77777777" w:rsidR="00837C58" w:rsidRPr="00837C58" w:rsidRDefault="00837C58" w:rsidP="00837C58">
            <w:pPr>
              <w:rPr>
                <w:rFonts w:ascii="Arial" w:hAnsi="Arial" w:cs="Arial"/>
                <w:sz w:val="16"/>
                <w:szCs w:val="16"/>
              </w:rPr>
            </w:pPr>
            <w:r w:rsidRPr="00837C58">
              <w:rPr>
                <w:rFonts w:ascii="Arial" w:eastAsia="DengXian" w:hAnsi="Arial" w:cs="Arial"/>
                <w:sz w:val="16"/>
                <w:szCs w:val="16"/>
              </w:rPr>
              <w:t>Characteristics</w:t>
            </w:r>
          </w:p>
        </w:tc>
        <w:tc>
          <w:tcPr>
            <w:tcW w:w="1754" w:type="pct"/>
            <w:gridSpan w:val="2"/>
            <w:shd w:val="clear" w:color="auto" w:fill="auto"/>
          </w:tcPr>
          <w:p w14:paraId="05F8CCEE" w14:textId="77777777" w:rsidR="00837C58" w:rsidRPr="00837C58" w:rsidRDefault="00837C58" w:rsidP="00837C58">
            <w:pPr>
              <w:rPr>
                <w:rFonts w:ascii="Arial" w:hAnsi="Arial" w:cs="Arial"/>
                <w:sz w:val="16"/>
                <w:szCs w:val="16"/>
              </w:rPr>
            </w:pPr>
            <w:r w:rsidRPr="00837C58">
              <w:rPr>
                <w:rFonts w:ascii="Arial" w:hAnsi="Arial" w:cs="Arial"/>
                <w:sz w:val="16"/>
                <w:szCs w:val="16"/>
              </w:rPr>
              <w:t>Type1: NW side</w:t>
            </w:r>
          </w:p>
        </w:tc>
        <w:tc>
          <w:tcPr>
            <w:tcW w:w="1857" w:type="pct"/>
            <w:gridSpan w:val="2"/>
            <w:shd w:val="clear" w:color="auto" w:fill="auto"/>
          </w:tcPr>
          <w:p w14:paraId="34DA74C5" w14:textId="77777777" w:rsidR="00837C58" w:rsidRPr="00837C58" w:rsidRDefault="00837C58" w:rsidP="00837C58">
            <w:pPr>
              <w:rPr>
                <w:rFonts w:ascii="Arial" w:hAnsi="Arial" w:cs="Arial"/>
                <w:sz w:val="16"/>
                <w:szCs w:val="16"/>
              </w:rPr>
            </w:pPr>
            <w:r w:rsidRPr="00837C58">
              <w:rPr>
                <w:rFonts w:ascii="Arial" w:hAnsi="Arial" w:cs="Arial"/>
                <w:sz w:val="16"/>
                <w:szCs w:val="16"/>
              </w:rPr>
              <w:t>Type 1: UE side</w:t>
            </w:r>
          </w:p>
        </w:tc>
      </w:tr>
      <w:tr w:rsidR="00837C58" w:rsidRPr="00837C58" w14:paraId="24D0762F" w14:textId="77777777" w:rsidTr="00A35307">
        <w:trPr>
          <w:trHeight w:val="20"/>
        </w:trPr>
        <w:tc>
          <w:tcPr>
            <w:tcW w:w="1390" w:type="pct"/>
            <w:vMerge/>
            <w:tcBorders>
              <w:tl2br w:val="single" w:sz="4" w:space="0" w:color="auto"/>
            </w:tcBorders>
            <w:shd w:val="clear" w:color="auto" w:fill="auto"/>
          </w:tcPr>
          <w:p w14:paraId="1279EFDC" w14:textId="77777777" w:rsidR="00837C58" w:rsidRPr="00837C58" w:rsidRDefault="00837C58" w:rsidP="00837C58">
            <w:pPr>
              <w:rPr>
                <w:rFonts w:ascii="Arial" w:hAnsi="Arial" w:cs="Arial"/>
                <w:sz w:val="16"/>
                <w:szCs w:val="16"/>
              </w:rPr>
            </w:pPr>
          </w:p>
        </w:tc>
        <w:tc>
          <w:tcPr>
            <w:tcW w:w="928" w:type="pct"/>
            <w:shd w:val="clear" w:color="auto" w:fill="auto"/>
          </w:tcPr>
          <w:p w14:paraId="6AF37F4B" w14:textId="77777777" w:rsidR="00837C58" w:rsidRPr="00837C58" w:rsidRDefault="00837C58" w:rsidP="00837C58">
            <w:pPr>
              <w:rPr>
                <w:rFonts w:ascii="Arial" w:hAnsi="Arial" w:cs="Arial"/>
                <w:sz w:val="16"/>
                <w:szCs w:val="16"/>
              </w:rPr>
            </w:pPr>
            <w:r w:rsidRPr="00837C58">
              <w:rPr>
                <w:rFonts w:ascii="Arial" w:hAnsi="Arial" w:cs="Arial"/>
                <w:sz w:val="16"/>
                <w:szCs w:val="16"/>
              </w:rPr>
              <w:t>Unknown model structure at UE</w:t>
            </w:r>
          </w:p>
        </w:tc>
        <w:tc>
          <w:tcPr>
            <w:tcW w:w="825" w:type="pct"/>
            <w:shd w:val="clear" w:color="auto" w:fill="auto"/>
          </w:tcPr>
          <w:p w14:paraId="1A675F2D" w14:textId="77777777" w:rsidR="00837C58" w:rsidRPr="00837C58" w:rsidRDefault="00837C58" w:rsidP="00837C58">
            <w:pPr>
              <w:rPr>
                <w:rFonts w:ascii="Arial" w:hAnsi="Arial" w:cs="Arial"/>
                <w:sz w:val="16"/>
                <w:szCs w:val="16"/>
              </w:rPr>
            </w:pPr>
            <w:r w:rsidRPr="00837C58">
              <w:rPr>
                <w:rFonts w:ascii="Arial" w:hAnsi="Arial" w:cs="Arial"/>
                <w:sz w:val="16"/>
                <w:szCs w:val="16"/>
              </w:rPr>
              <w:t>Known model structure at UE</w:t>
            </w:r>
          </w:p>
        </w:tc>
        <w:tc>
          <w:tcPr>
            <w:tcW w:w="928" w:type="pct"/>
            <w:shd w:val="clear" w:color="auto" w:fill="auto"/>
          </w:tcPr>
          <w:p w14:paraId="0ABB0FCD" w14:textId="77777777" w:rsidR="00837C58" w:rsidRPr="00837C58" w:rsidRDefault="00837C58" w:rsidP="00837C58">
            <w:pPr>
              <w:rPr>
                <w:rFonts w:ascii="Arial" w:hAnsi="Arial" w:cs="Arial"/>
                <w:sz w:val="16"/>
                <w:szCs w:val="16"/>
              </w:rPr>
            </w:pPr>
            <w:r w:rsidRPr="00837C58">
              <w:rPr>
                <w:rFonts w:ascii="Arial" w:hAnsi="Arial" w:cs="Arial"/>
                <w:sz w:val="16"/>
                <w:szCs w:val="16"/>
              </w:rPr>
              <w:t>Unknown model structure at NW</w:t>
            </w:r>
          </w:p>
        </w:tc>
        <w:tc>
          <w:tcPr>
            <w:tcW w:w="928" w:type="pct"/>
            <w:shd w:val="clear" w:color="auto" w:fill="auto"/>
          </w:tcPr>
          <w:p w14:paraId="4559E5C4" w14:textId="77777777" w:rsidR="00837C58" w:rsidRPr="00837C58" w:rsidRDefault="00837C58" w:rsidP="00837C58">
            <w:pPr>
              <w:rPr>
                <w:rFonts w:ascii="Arial" w:hAnsi="Arial" w:cs="Arial"/>
                <w:sz w:val="16"/>
                <w:szCs w:val="16"/>
              </w:rPr>
            </w:pPr>
            <w:r w:rsidRPr="00837C58">
              <w:rPr>
                <w:rFonts w:ascii="Arial" w:hAnsi="Arial" w:cs="Arial"/>
                <w:sz w:val="16"/>
                <w:szCs w:val="16"/>
              </w:rPr>
              <w:t>Known model structure at NW</w:t>
            </w:r>
          </w:p>
        </w:tc>
      </w:tr>
      <w:tr w:rsidR="00837C58" w:rsidRPr="00837C58" w14:paraId="37E2FA02" w14:textId="77777777" w:rsidTr="00A35307">
        <w:trPr>
          <w:trHeight w:val="20"/>
        </w:trPr>
        <w:tc>
          <w:tcPr>
            <w:tcW w:w="1390" w:type="pct"/>
            <w:shd w:val="clear" w:color="auto" w:fill="auto"/>
          </w:tcPr>
          <w:p w14:paraId="6C52A4B7" w14:textId="77777777" w:rsidR="00837C58" w:rsidRPr="00837C58" w:rsidRDefault="00837C58" w:rsidP="00837C58">
            <w:pPr>
              <w:rPr>
                <w:rFonts w:ascii="Arial" w:hAnsi="Arial" w:cs="Arial"/>
                <w:sz w:val="16"/>
                <w:szCs w:val="16"/>
              </w:rPr>
            </w:pPr>
            <w:r w:rsidRPr="00837C58">
              <w:rPr>
                <w:rFonts w:ascii="Arial" w:hAnsi="Arial" w:cs="Arial"/>
                <w:sz w:val="16"/>
                <w:szCs w:val="16"/>
              </w:rPr>
              <w:t>F</w:t>
            </w:r>
            <w:r w:rsidRPr="00837C58">
              <w:rPr>
                <w:rFonts w:ascii="Arial" w:eastAsia="Malgun Gothic" w:hAnsi="Arial" w:cs="Arial"/>
                <w:sz w:val="16"/>
                <w:szCs w:val="16"/>
              </w:rPr>
              <w:t>easibility of allowing UE side and NW side to develop/update models separately</w:t>
            </w:r>
          </w:p>
        </w:tc>
        <w:tc>
          <w:tcPr>
            <w:tcW w:w="928" w:type="pct"/>
            <w:shd w:val="clear" w:color="auto" w:fill="auto"/>
            <w:vAlign w:val="center"/>
          </w:tcPr>
          <w:p w14:paraId="3985F0CC" w14:textId="77777777" w:rsidR="00837C58" w:rsidRPr="00837C58" w:rsidRDefault="00837C58" w:rsidP="00837C58">
            <w:pPr>
              <w:rPr>
                <w:rFonts w:ascii="Arial" w:hAnsi="Arial" w:cs="Arial"/>
                <w:color w:val="000000"/>
                <w:kern w:val="24"/>
                <w:sz w:val="16"/>
                <w:szCs w:val="16"/>
              </w:rPr>
            </w:pPr>
            <w:r w:rsidRPr="00837C58">
              <w:rPr>
                <w:rFonts w:ascii="Arial" w:hAnsi="Arial" w:cs="Arial"/>
                <w:color w:val="000000"/>
                <w:kern w:val="24"/>
                <w:sz w:val="16"/>
                <w:szCs w:val="16"/>
              </w:rPr>
              <w:t>gNB: Feasible</w:t>
            </w:r>
          </w:p>
          <w:p w14:paraId="6273A6BC" w14:textId="77777777" w:rsidR="00837C58" w:rsidRPr="00837C58" w:rsidRDefault="00837C58" w:rsidP="00837C58">
            <w:pPr>
              <w:rPr>
                <w:rFonts w:ascii="Arial" w:hAnsi="Arial" w:cs="Arial"/>
                <w:color w:val="000000"/>
                <w:sz w:val="16"/>
                <w:szCs w:val="16"/>
              </w:rPr>
            </w:pPr>
            <w:r w:rsidRPr="00837C58">
              <w:rPr>
                <w:rFonts w:ascii="Arial" w:hAnsi="Arial" w:cs="Arial"/>
                <w:color w:val="000000"/>
                <w:kern w:val="24"/>
                <w:sz w:val="16"/>
                <w:szCs w:val="16"/>
              </w:rPr>
              <w:t xml:space="preserve">UE: Not feasible due to type 1 definition  </w:t>
            </w:r>
          </w:p>
        </w:tc>
        <w:tc>
          <w:tcPr>
            <w:tcW w:w="825" w:type="pct"/>
            <w:shd w:val="clear" w:color="auto" w:fill="auto"/>
            <w:vAlign w:val="center"/>
          </w:tcPr>
          <w:p w14:paraId="09D07854" w14:textId="77777777" w:rsidR="00837C58" w:rsidRPr="00837C58" w:rsidRDefault="00837C58" w:rsidP="00837C58">
            <w:pPr>
              <w:rPr>
                <w:rFonts w:ascii="Arial" w:hAnsi="Arial" w:cs="Arial"/>
                <w:color w:val="000000"/>
                <w:kern w:val="24"/>
                <w:sz w:val="16"/>
                <w:szCs w:val="16"/>
              </w:rPr>
            </w:pPr>
            <w:r w:rsidRPr="00837C58">
              <w:rPr>
                <w:rFonts w:ascii="Arial" w:hAnsi="Arial" w:cs="Arial"/>
                <w:color w:val="000000"/>
                <w:kern w:val="24"/>
                <w:sz w:val="16"/>
                <w:szCs w:val="16"/>
              </w:rPr>
              <w:t>gNB: Feasible</w:t>
            </w:r>
            <w:r w:rsidRPr="00837C58">
              <w:rPr>
                <w:rFonts w:ascii="Arial" w:eastAsia="Malgun Gothic" w:hAnsi="Arial" w:cs="Arial"/>
                <w:color w:val="000000"/>
                <w:sz w:val="16"/>
                <w:szCs w:val="16"/>
                <w:lang w:eastAsia="ko-KR"/>
              </w:rPr>
              <w:t xml:space="preserve"> with restriction for CSI reconstruction model</w:t>
            </w:r>
          </w:p>
          <w:p w14:paraId="1DA4F5ED" w14:textId="77777777" w:rsidR="00837C58" w:rsidRPr="00837C58" w:rsidRDefault="00837C58" w:rsidP="00837C58">
            <w:pPr>
              <w:rPr>
                <w:rFonts w:ascii="Arial" w:hAnsi="Arial" w:cs="Arial"/>
                <w:color w:val="000000"/>
                <w:kern w:val="24"/>
                <w:sz w:val="16"/>
                <w:szCs w:val="16"/>
              </w:rPr>
            </w:pPr>
            <w:r w:rsidRPr="00837C58">
              <w:rPr>
                <w:rFonts w:ascii="Arial" w:hAnsi="Arial" w:cs="Arial"/>
                <w:color w:val="000000"/>
                <w:kern w:val="24"/>
                <w:sz w:val="16"/>
                <w:szCs w:val="16"/>
              </w:rPr>
              <w:t>UE: Not feasible due to type 1 definition</w:t>
            </w:r>
          </w:p>
        </w:tc>
        <w:tc>
          <w:tcPr>
            <w:tcW w:w="928" w:type="pct"/>
            <w:shd w:val="clear" w:color="auto" w:fill="auto"/>
            <w:vAlign w:val="center"/>
          </w:tcPr>
          <w:p w14:paraId="5C7B3C8B" w14:textId="77777777" w:rsidR="00837C58" w:rsidRPr="00837C58" w:rsidRDefault="00837C58" w:rsidP="00837C58">
            <w:pPr>
              <w:rPr>
                <w:rFonts w:ascii="Arial" w:hAnsi="Arial" w:cs="Arial"/>
                <w:color w:val="000000"/>
                <w:kern w:val="24"/>
                <w:sz w:val="16"/>
                <w:szCs w:val="16"/>
              </w:rPr>
            </w:pPr>
            <w:r w:rsidRPr="00837C58">
              <w:rPr>
                <w:rFonts w:ascii="Arial" w:hAnsi="Arial" w:cs="Arial"/>
                <w:color w:val="000000"/>
                <w:kern w:val="24"/>
                <w:sz w:val="16"/>
                <w:szCs w:val="16"/>
              </w:rPr>
              <w:t>gNB: Not feasible due to type 1 definition</w:t>
            </w:r>
          </w:p>
          <w:p w14:paraId="7ECE8A37" w14:textId="77777777" w:rsidR="00837C58" w:rsidRPr="00837C58" w:rsidRDefault="00837C58" w:rsidP="00837C58">
            <w:pPr>
              <w:rPr>
                <w:rFonts w:ascii="Arial" w:hAnsi="Arial" w:cs="Arial"/>
                <w:color w:val="000000"/>
                <w:sz w:val="16"/>
                <w:szCs w:val="16"/>
              </w:rPr>
            </w:pPr>
            <w:r w:rsidRPr="00837C58">
              <w:rPr>
                <w:rFonts w:ascii="Arial" w:hAnsi="Arial" w:cs="Arial"/>
                <w:color w:val="000000"/>
                <w:kern w:val="24"/>
                <w:sz w:val="16"/>
                <w:szCs w:val="16"/>
              </w:rPr>
              <w:t>UE: Feasible</w:t>
            </w:r>
          </w:p>
        </w:tc>
        <w:tc>
          <w:tcPr>
            <w:tcW w:w="928" w:type="pct"/>
            <w:shd w:val="clear" w:color="auto" w:fill="auto"/>
            <w:vAlign w:val="center"/>
          </w:tcPr>
          <w:p w14:paraId="54996B7F" w14:textId="77777777" w:rsidR="00837C58" w:rsidRPr="00837C58" w:rsidRDefault="00837C58" w:rsidP="00837C58">
            <w:pPr>
              <w:rPr>
                <w:rFonts w:ascii="Arial" w:hAnsi="Arial" w:cs="Arial"/>
                <w:color w:val="000000"/>
                <w:kern w:val="24"/>
                <w:sz w:val="16"/>
                <w:szCs w:val="16"/>
              </w:rPr>
            </w:pPr>
            <w:r w:rsidRPr="00837C58">
              <w:rPr>
                <w:rFonts w:ascii="Arial" w:hAnsi="Arial" w:cs="Arial"/>
                <w:color w:val="000000"/>
                <w:kern w:val="24"/>
                <w:sz w:val="16"/>
                <w:szCs w:val="16"/>
              </w:rPr>
              <w:t xml:space="preserve">gNB: Not feasible due to type 1 definition </w:t>
            </w:r>
          </w:p>
          <w:p w14:paraId="1CBDC95F" w14:textId="77777777" w:rsidR="00837C58" w:rsidRPr="00837C58" w:rsidRDefault="00837C58" w:rsidP="00837C58">
            <w:pPr>
              <w:rPr>
                <w:rFonts w:ascii="Arial" w:hAnsi="Arial" w:cs="Arial"/>
                <w:color w:val="000000"/>
                <w:sz w:val="16"/>
                <w:szCs w:val="16"/>
              </w:rPr>
            </w:pPr>
            <w:r w:rsidRPr="00837C58">
              <w:rPr>
                <w:rFonts w:ascii="Arial" w:hAnsi="Arial" w:cs="Arial"/>
                <w:color w:val="000000"/>
                <w:kern w:val="24"/>
                <w:sz w:val="16"/>
                <w:szCs w:val="16"/>
              </w:rPr>
              <w:t>UE: Feasible</w:t>
            </w:r>
            <w:r w:rsidRPr="00837C58">
              <w:rPr>
                <w:rFonts w:ascii="Arial" w:eastAsia="Malgun Gothic" w:hAnsi="Arial" w:cs="Arial"/>
                <w:color w:val="000000"/>
                <w:sz w:val="16"/>
                <w:szCs w:val="16"/>
                <w:lang w:eastAsia="ko-KR"/>
              </w:rPr>
              <w:t xml:space="preserve"> with restriction for CSI generation model</w:t>
            </w:r>
          </w:p>
        </w:tc>
      </w:tr>
      <w:tr w:rsidR="00837C58" w:rsidRPr="00837C58" w14:paraId="41C173FE" w14:textId="77777777" w:rsidTr="00A35307">
        <w:trPr>
          <w:trHeight w:val="20"/>
        </w:trPr>
        <w:tc>
          <w:tcPr>
            <w:tcW w:w="1390" w:type="pct"/>
            <w:shd w:val="clear" w:color="auto" w:fill="auto"/>
          </w:tcPr>
          <w:p w14:paraId="199DF6EB" w14:textId="77777777" w:rsidR="00837C58" w:rsidRPr="00837C58" w:rsidRDefault="00837C58" w:rsidP="00837C58">
            <w:pPr>
              <w:rPr>
                <w:rFonts w:ascii="Arial" w:hAnsi="Arial" w:cs="Arial"/>
                <w:color w:val="FF0000"/>
                <w:sz w:val="16"/>
                <w:szCs w:val="16"/>
              </w:rPr>
            </w:pPr>
            <w:r w:rsidRPr="00837C58">
              <w:rPr>
                <w:rFonts w:ascii="Arial" w:hAnsi="Arial" w:cs="Arial"/>
                <w:color w:val="FF0000"/>
                <w:sz w:val="16"/>
                <w:szCs w:val="16"/>
              </w:rPr>
              <w:t>Extendibility:</w:t>
            </w:r>
            <w:r w:rsidRPr="00837C58">
              <w:rPr>
                <w:rFonts w:ascii="Arial" w:eastAsia="Malgun Gothic" w:hAnsi="Arial" w:cs="Arial"/>
                <w:color w:val="FF0000"/>
                <w:sz w:val="16"/>
                <w:szCs w:val="16"/>
              </w:rPr>
              <w:t xml:space="preserve"> to train new UE-side model compatible with NW-side model in use; </w:t>
            </w:r>
            <w:r w:rsidRPr="00837C58">
              <w:rPr>
                <w:rFonts w:ascii="Arial" w:hAnsi="Arial" w:cs="Arial"/>
                <w:color w:val="FF0000"/>
                <w:kern w:val="24"/>
                <w:sz w:val="16"/>
                <w:szCs w:val="16"/>
              </w:rPr>
              <w:t>(note x2)</w:t>
            </w:r>
          </w:p>
        </w:tc>
        <w:tc>
          <w:tcPr>
            <w:tcW w:w="928" w:type="pct"/>
            <w:shd w:val="clear" w:color="auto" w:fill="auto"/>
          </w:tcPr>
          <w:p w14:paraId="5C166731" w14:textId="77777777" w:rsidR="00837C58" w:rsidRPr="00837C58" w:rsidRDefault="00837C58" w:rsidP="00837C58">
            <w:pPr>
              <w:rPr>
                <w:rFonts w:ascii="Arial" w:hAnsi="Arial" w:cs="Arial"/>
                <w:color w:val="FF0000"/>
                <w:kern w:val="24"/>
                <w:sz w:val="16"/>
                <w:szCs w:val="16"/>
              </w:rPr>
            </w:pPr>
            <w:r w:rsidRPr="00837C58">
              <w:rPr>
                <w:rFonts w:ascii="Arial" w:hAnsi="Arial" w:cs="Arial"/>
                <w:color w:val="FF0000"/>
                <w:kern w:val="24"/>
                <w:sz w:val="16"/>
                <w:szCs w:val="16"/>
              </w:rPr>
              <w:t xml:space="preserve">Yes </w:t>
            </w:r>
          </w:p>
          <w:p w14:paraId="6281AA20" w14:textId="77777777" w:rsidR="00837C58" w:rsidRPr="00837C58" w:rsidRDefault="00837C58" w:rsidP="00837C58">
            <w:pPr>
              <w:rPr>
                <w:rFonts w:ascii="Arial" w:hAnsi="Arial" w:cs="Arial"/>
                <w:color w:val="FF0000"/>
                <w:kern w:val="24"/>
                <w:sz w:val="16"/>
                <w:szCs w:val="16"/>
              </w:rPr>
            </w:pPr>
          </w:p>
        </w:tc>
        <w:tc>
          <w:tcPr>
            <w:tcW w:w="825" w:type="pct"/>
            <w:shd w:val="clear" w:color="auto" w:fill="auto"/>
          </w:tcPr>
          <w:p w14:paraId="236879F9" w14:textId="77777777" w:rsidR="00837C58" w:rsidRPr="00837C58" w:rsidRDefault="00837C58" w:rsidP="00837C58">
            <w:pPr>
              <w:rPr>
                <w:rFonts w:ascii="Arial" w:hAnsi="Arial" w:cs="Arial"/>
                <w:color w:val="FF0000"/>
                <w:kern w:val="24"/>
                <w:sz w:val="16"/>
                <w:szCs w:val="16"/>
              </w:rPr>
            </w:pPr>
            <w:r w:rsidRPr="00837C58">
              <w:rPr>
                <w:rFonts w:ascii="Arial" w:hAnsi="Arial" w:cs="Arial"/>
                <w:color w:val="FF0000"/>
                <w:kern w:val="24"/>
                <w:sz w:val="16"/>
                <w:szCs w:val="16"/>
              </w:rPr>
              <w:t>Yes</w:t>
            </w:r>
          </w:p>
          <w:p w14:paraId="7A1C11F5" w14:textId="77777777" w:rsidR="00837C58" w:rsidRPr="00837C58" w:rsidRDefault="00837C58" w:rsidP="00837C58">
            <w:pPr>
              <w:rPr>
                <w:rFonts w:ascii="Arial" w:hAnsi="Arial" w:cs="Arial"/>
                <w:color w:val="FF0000"/>
                <w:kern w:val="24"/>
                <w:sz w:val="16"/>
                <w:szCs w:val="16"/>
              </w:rPr>
            </w:pPr>
          </w:p>
        </w:tc>
        <w:tc>
          <w:tcPr>
            <w:tcW w:w="928" w:type="pct"/>
            <w:shd w:val="clear" w:color="auto" w:fill="auto"/>
          </w:tcPr>
          <w:p w14:paraId="21E9CF4E" w14:textId="77777777" w:rsidR="00837C58" w:rsidRPr="00837C58" w:rsidRDefault="00837C58" w:rsidP="00837C58">
            <w:pPr>
              <w:rPr>
                <w:rFonts w:ascii="Arial" w:hAnsi="Arial" w:cs="Arial"/>
                <w:color w:val="FF0000"/>
                <w:kern w:val="24"/>
                <w:sz w:val="16"/>
                <w:szCs w:val="16"/>
              </w:rPr>
            </w:pPr>
            <w:r w:rsidRPr="00837C58">
              <w:rPr>
                <w:rFonts w:ascii="Arial" w:hAnsi="Arial" w:cs="Arial"/>
                <w:bCs/>
                <w:color w:val="FF0000"/>
                <w:kern w:val="24"/>
                <w:sz w:val="16"/>
                <w:szCs w:val="16"/>
              </w:rPr>
              <w:t>No consensus</w:t>
            </w:r>
          </w:p>
        </w:tc>
        <w:tc>
          <w:tcPr>
            <w:tcW w:w="928" w:type="pct"/>
            <w:shd w:val="clear" w:color="auto" w:fill="auto"/>
          </w:tcPr>
          <w:p w14:paraId="21C29B03" w14:textId="77777777" w:rsidR="00837C58" w:rsidRPr="00837C58" w:rsidRDefault="00837C58" w:rsidP="00837C58">
            <w:pPr>
              <w:rPr>
                <w:rFonts w:ascii="Arial" w:hAnsi="Arial" w:cs="Arial"/>
                <w:strike/>
                <w:color w:val="FF0000"/>
                <w:kern w:val="24"/>
                <w:sz w:val="16"/>
                <w:szCs w:val="16"/>
              </w:rPr>
            </w:pPr>
            <w:r w:rsidRPr="00837C58">
              <w:rPr>
                <w:rFonts w:ascii="Arial" w:hAnsi="Arial" w:cs="Arial"/>
                <w:bCs/>
                <w:color w:val="FF0000"/>
                <w:kern w:val="24"/>
                <w:sz w:val="16"/>
                <w:szCs w:val="16"/>
              </w:rPr>
              <w:t>No consensus</w:t>
            </w:r>
          </w:p>
        </w:tc>
      </w:tr>
      <w:tr w:rsidR="00837C58" w:rsidRPr="00837C58" w14:paraId="4EDE9029" w14:textId="77777777" w:rsidTr="00A35307">
        <w:trPr>
          <w:trHeight w:val="20"/>
        </w:trPr>
        <w:tc>
          <w:tcPr>
            <w:tcW w:w="1390" w:type="pct"/>
            <w:shd w:val="clear" w:color="auto" w:fill="auto"/>
          </w:tcPr>
          <w:p w14:paraId="358BB010" w14:textId="77777777" w:rsidR="00837C58" w:rsidRPr="00837C58" w:rsidRDefault="00837C58" w:rsidP="00837C58">
            <w:pPr>
              <w:rPr>
                <w:rFonts w:ascii="Arial" w:hAnsi="Arial" w:cs="Arial"/>
                <w:sz w:val="16"/>
                <w:szCs w:val="16"/>
              </w:rPr>
            </w:pPr>
            <w:r w:rsidRPr="00837C58">
              <w:rPr>
                <w:rFonts w:ascii="Arial" w:hAnsi="Arial" w:cs="Arial"/>
                <w:sz w:val="16"/>
                <w:szCs w:val="16"/>
              </w:rPr>
              <w:t>Extendibility:</w:t>
            </w:r>
            <w:r w:rsidRPr="00837C58">
              <w:rPr>
                <w:rFonts w:ascii="Arial" w:eastAsia="Malgun Gothic" w:hAnsi="Arial" w:cs="Arial"/>
                <w:sz w:val="16"/>
                <w:szCs w:val="16"/>
              </w:rPr>
              <w:t xml:space="preserve"> To train new NW-side model compatible with UE-side model in use </w:t>
            </w:r>
            <w:r w:rsidRPr="00837C58">
              <w:rPr>
                <w:rFonts w:ascii="Arial" w:hAnsi="Arial" w:cs="Arial"/>
                <w:kern w:val="24"/>
                <w:sz w:val="16"/>
                <w:szCs w:val="16"/>
              </w:rPr>
              <w:t>(note x2)</w:t>
            </w:r>
          </w:p>
        </w:tc>
        <w:tc>
          <w:tcPr>
            <w:tcW w:w="928" w:type="pct"/>
            <w:shd w:val="clear" w:color="auto" w:fill="auto"/>
          </w:tcPr>
          <w:p w14:paraId="4AEE3904" w14:textId="77777777" w:rsidR="00837C58" w:rsidRPr="00837C58" w:rsidRDefault="00837C58" w:rsidP="00837C58">
            <w:pPr>
              <w:rPr>
                <w:rFonts w:ascii="Arial" w:hAnsi="Arial" w:cs="Arial"/>
                <w:kern w:val="24"/>
                <w:sz w:val="16"/>
                <w:szCs w:val="16"/>
              </w:rPr>
            </w:pPr>
            <w:r w:rsidRPr="00837C58">
              <w:rPr>
                <w:rFonts w:ascii="Arial" w:hAnsi="Arial" w:cs="Arial"/>
                <w:bCs/>
                <w:color w:val="FF0000"/>
                <w:kern w:val="24"/>
                <w:sz w:val="16"/>
                <w:szCs w:val="16"/>
              </w:rPr>
              <w:t>No consensus</w:t>
            </w:r>
          </w:p>
        </w:tc>
        <w:tc>
          <w:tcPr>
            <w:tcW w:w="825" w:type="pct"/>
            <w:shd w:val="clear" w:color="auto" w:fill="auto"/>
          </w:tcPr>
          <w:p w14:paraId="300E3B2D" w14:textId="77777777" w:rsidR="00837C58" w:rsidRPr="00837C58" w:rsidRDefault="00837C58" w:rsidP="00837C58">
            <w:pPr>
              <w:rPr>
                <w:rFonts w:ascii="Arial" w:hAnsi="Arial" w:cs="Arial"/>
                <w:bCs/>
                <w:kern w:val="24"/>
                <w:sz w:val="16"/>
                <w:szCs w:val="16"/>
              </w:rPr>
            </w:pPr>
            <w:r w:rsidRPr="00837C58">
              <w:rPr>
                <w:rFonts w:ascii="Arial" w:hAnsi="Arial" w:cs="Arial"/>
                <w:bCs/>
                <w:color w:val="FF0000"/>
                <w:kern w:val="24"/>
                <w:sz w:val="16"/>
                <w:szCs w:val="16"/>
              </w:rPr>
              <w:t>No consensus</w:t>
            </w:r>
          </w:p>
        </w:tc>
        <w:tc>
          <w:tcPr>
            <w:tcW w:w="928" w:type="pct"/>
            <w:shd w:val="clear" w:color="auto" w:fill="auto"/>
          </w:tcPr>
          <w:p w14:paraId="2D00F654" w14:textId="77777777" w:rsidR="00837C58" w:rsidRPr="00837C58" w:rsidRDefault="00837C58" w:rsidP="00837C58">
            <w:pPr>
              <w:rPr>
                <w:rFonts w:ascii="Arial" w:hAnsi="Arial" w:cs="Arial"/>
                <w:kern w:val="24"/>
                <w:sz w:val="16"/>
                <w:szCs w:val="16"/>
              </w:rPr>
            </w:pPr>
            <w:r w:rsidRPr="00837C58">
              <w:rPr>
                <w:rFonts w:ascii="Arial" w:hAnsi="Arial" w:cs="Arial"/>
                <w:kern w:val="24"/>
                <w:sz w:val="16"/>
                <w:szCs w:val="16"/>
              </w:rPr>
              <w:t>Yes</w:t>
            </w:r>
          </w:p>
        </w:tc>
        <w:tc>
          <w:tcPr>
            <w:tcW w:w="928" w:type="pct"/>
            <w:shd w:val="clear" w:color="auto" w:fill="auto"/>
          </w:tcPr>
          <w:p w14:paraId="18F6CB36" w14:textId="77777777" w:rsidR="00837C58" w:rsidRPr="00837C58" w:rsidRDefault="00837C58" w:rsidP="00837C58">
            <w:pPr>
              <w:rPr>
                <w:rFonts w:ascii="Arial" w:hAnsi="Arial" w:cs="Arial"/>
                <w:kern w:val="24"/>
                <w:sz w:val="16"/>
                <w:szCs w:val="16"/>
              </w:rPr>
            </w:pPr>
            <w:r w:rsidRPr="00837C58">
              <w:rPr>
                <w:rFonts w:ascii="Arial" w:hAnsi="Arial" w:cs="Arial"/>
                <w:kern w:val="24"/>
                <w:sz w:val="16"/>
                <w:szCs w:val="16"/>
              </w:rPr>
              <w:t>Yes</w:t>
            </w:r>
          </w:p>
        </w:tc>
      </w:tr>
    </w:tbl>
    <w:p w14:paraId="4B4D61EA" w14:textId="77777777" w:rsidR="00837C58" w:rsidRPr="00A35307" w:rsidRDefault="00837C58" w:rsidP="00A35307">
      <w:r w:rsidRPr="00A35307">
        <w:rPr>
          <w:rFonts w:eastAsia="Malgun Gothic"/>
        </w:rPr>
        <w:t xml:space="preserve">Note 4: </w:t>
      </w:r>
      <w:r w:rsidRPr="00A35307">
        <w:t xml:space="preserve">Flexibility after deployment is evaluated by the amount of offline cross-vendor co-engineering effort. Flexible indicates minimum additional co-engineering between vendors, semi-flexible indicates additional co-engineering effort between vendors.  </w:t>
      </w:r>
    </w:p>
    <w:p w14:paraId="72B232DC" w14:textId="77777777" w:rsidR="00837C58" w:rsidRPr="00A35307" w:rsidRDefault="00837C58" w:rsidP="00A35307">
      <w:pPr>
        <w:rPr>
          <w:rFonts w:eastAsia="Malgun Gothic"/>
        </w:rPr>
      </w:pPr>
      <w:r w:rsidRPr="00A35307">
        <w:rPr>
          <w:rFonts w:eastAsia="Malgun Gothic"/>
        </w:rPr>
        <w:t>Note x2: the performance of the new model is similar to the performance of sequential training when training type 1 support freezing a part of two sided model</w:t>
      </w:r>
    </w:p>
    <w:p w14:paraId="39560E7E" w14:textId="77777777" w:rsidR="00837C58" w:rsidRPr="005E49E8" w:rsidRDefault="00837C58" w:rsidP="00837C58">
      <w:pPr>
        <w:rPr>
          <w:rFonts w:ascii="Times New Roman" w:eastAsia="Malgun Gothic" w:hAnsi="Times New Roman"/>
          <w:color w:val="000000"/>
          <w:szCs w:val="20"/>
        </w:rPr>
      </w:pPr>
    </w:p>
    <w:p w14:paraId="3BCE8E0F" w14:textId="77777777" w:rsidR="00A35307" w:rsidRPr="00837C58" w:rsidRDefault="00A35307" w:rsidP="00A35307">
      <w:pPr>
        <w:rPr>
          <w:highlight w:val="green"/>
        </w:rPr>
      </w:pPr>
      <w:r w:rsidRPr="00837C58">
        <w:rPr>
          <w:highlight w:val="green"/>
        </w:rPr>
        <w:t>Agreement</w:t>
      </w:r>
    </w:p>
    <w:p w14:paraId="2610F05A" w14:textId="77777777" w:rsidR="00837C58" w:rsidRPr="00837C58" w:rsidRDefault="00837C58" w:rsidP="00837C58">
      <w:pPr>
        <w:rPr>
          <w:rFonts w:ascii="Times New Roman" w:hAnsi="Times New Roman"/>
          <w:szCs w:val="20"/>
        </w:rPr>
      </w:pPr>
      <w:r w:rsidRPr="00837C58">
        <w:rPr>
          <w:rFonts w:ascii="Times New Roman" w:hAnsi="Times New Roman"/>
          <w:szCs w:val="20"/>
        </w:rPr>
        <w:t>In CSI compression using two-sided model use case, in order to select a CSI generation model compatible with the CSI reconstruction model used by the gNB, the following aspects have been proposed:</w:t>
      </w:r>
    </w:p>
    <w:p w14:paraId="72E16AA9" w14:textId="71CF6C63" w:rsidR="00837C58" w:rsidRPr="00A35307" w:rsidRDefault="00837C58" w:rsidP="00AA1D48">
      <w:pPr>
        <w:pStyle w:val="ListParagraph"/>
        <w:numPr>
          <w:ilvl w:val="0"/>
          <w:numId w:val="127"/>
        </w:numPr>
        <w:rPr>
          <w:lang w:val="en-US"/>
        </w:rPr>
      </w:pPr>
      <w:r w:rsidRPr="00A35307">
        <w:rPr>
          <w:lang w:val="en-US"/>
        </w:rPr>
        <w:t>Pairing information can be established based on model identification</w:t>
      </w:r>
      <w:r w:rsidR="00A35307">
        <w:rPr>
          <w:lang w:val="en-US"/>
        </w:rPr>
        <w:t>.</w:t>
      </w:r>
    </w:p>
    <w:p w14:paraId="0D067293" w14:textId="77777777" w:rsidR="00837C58" w:rsidRDefault="00837C58" w:rsidP="00F74A6F">
      <w:pPr>
        <w:rPr>
          <w:rFonts w:ascii="Times New Roman" w:hAnsi="Times New Roman"/>
          <w:szCs w:val="20"/>
          <w:lang w:val="en-US" w:eastAsia="x-none"/>
        </w:rPr>
      </w:pPr>
    </w:p>
    <w:p w14:paraId="0A0DF0A2" w14:textId="0D3A9BD0" w:rsidR="00A20E39" w:rsidRDefault="005A18DC" w:rsidP="00A20E39">
      <w:pPr>
        <w:rPr>
          <w:rFonts w:ascii="Times New Roman" w:hAnsi="Times New Roman"/>
          <w:b/>
          <w:bCs/>
          <w:szCs w:val="20"/>
          <w:lang w:val="en-US" w:eastAsia="x-none"/>
        </w:rPr>
      </w:pPr>
      <w:hyperlink r:id="rId1898" w:history="1">
        <w:r w:rsidR="00AF7253">
          <w:rPr>
            <w:rStyle w:val="Hyperlink"/>
            <w:rFonts w:ascii="Times New Roman" w:hAnsi="Times New Roman"/>
            <w:b/>
            <w:bCs/>
            <w:szCs w:val="20"/>
            <w:lang w:val="en-US" w:eastAsia="x-none"/>
          </w:rPr>
          <w:t>R1-2312334</w:t>
        </w:r>
      </w:hyperlink>
      <w:r w:rsidR="00A20E39" w:rsidRPr="00803148">
        <w:rPr>
          <w:rFonts w:ascii="Times New Roman" w:hAnsi="Times New Roman"/>
          <w:b/>
          <w:bCs/>
          <w:szCs w:val="20"/>
          <w:lang w:val="en-US" w:eastAsia="x-none"/>
        </w:rPr>
        <w:tab/>
        <w:t>Summary #2 on other aspects of AI/ML for CSI enhancement</w:t>
      </w:r>
      <w:r w:rsidR="00A20E39" w:rsidRPr="00803148">
        <w:rPr>
          <w:rFonts w:ascii="Times New Roman" w:hAnsi="Times New Roman"/>
          <w:b/>
          <w:bCs/>
          <w:szCs w:val="20"/>
          <w:lang w:val="en-US" w:eastAsia="x-none"/>
        </w:rPr>
        <w:tab/>
        <w:t>Moderator (Apple)</w:t>
      </w:r>
    </w:p>
    <w:p w14:paraId="02CBFD96" w14:textId="73442CAF" w:rsidR="00803148" w:rsidRPr="00803148" w:rsidRDefault="00803148" w:rsidP="00A20E39">
      <w:pPr>
        <w:rPr>
          <w:rFonts w:ascii="Times New Roman" w:hAnsi="Times New Roman"/>
          <w:szCs w:val="20"/>
          <w:lang w:val="en-US" w:eastAsia="x-none"/>
        </w:rPr>
      </w:pPr>
      <w:r w:rsidRPr="00803148">
        <w:rPr>
          <w:rFonts w:ascii="Times New Roman" w:hAnsi="Times New Roman"/>
          <w:szCs w:val="20"/>
          <w:lang w:val="en-US" w:eastAsia="x-none"/>
        </w:rPr>
        <w:t>From Wednesday session</w:t>
      </w:r>
    </w:p>
    <w:p w14:paraId="3A674EC2" w14:textId="67F1590F" w:rsidR="00803148" w:rsidRPr="00C14823" w:rsidRDefault="00803148" w:rsidP="00803148">
      <w:r w:rsidRPr="00837C58">
        <w:rPr>
          <w:highlight w:val="green"/>
        </w:rPr>
        <w:t>Agreement</w:t>
      </w:r>
      <w:r w:rsidR="00C14823" w:rsidRPr="00C14823">
        <w:t xml:space="preserve"> (further revised as shown in Thursday session)</w:t>
      </w:r>
    </w:p>
    <w:p w14:paraId="673239A1" w14:textId="79F1D60E" w:rsidR="00803148" w:rsidRPr="00803148" w:rsidRDefault="00803148" w:rsidP="00803148">
      <w:pPr>
        <w:rPr>
          <w:lang w:val="en-US"/>
        </w:rPr>
      </w:pPr>
      <w:r w:rsidRPr="00803148">
        <w:rPr>
          <w:lang w:val="en-US"/>
        </w:rPr>
        <w:t xml:space="preserve">Capture the following summary </w:t>
      </w:r>
      <w:r w:rsidRPr="00803148">
        <w:rPr>
          <w:rFonts w:eastAsia="Malgun Gothic"/>
          <w:lang w:val="en-US"/>
        </w:rPr>
        <w:t xml:space="preserve">in Section 8 of the 3GPP TR 38.843 on AI/ML </w:t>
      </w:r>
      <w:r w:rsidRPr="00803148">
        <w:rPr>
          <w:lang w:val="en-US"/>
        </w:rPr>
        <w:t>based CSI compression sub-use case.</w:t>
      </w:r>
    </w:p>
    <w:p w14:paraId="0CD9CC67" w14:textId="77777777" w:rsidR="00803148" w:rsidRPr="00803148" w:rsidRDefault="00803148" w:rsidP="00803148"/>
    <w:p w14:paraId="1A834903" w14:textId="1CF5FCD7" w:rsidR="00803148" w:rsidRPr="00803148" w:rsidRDefault="00803148" w:rsidP="00803148">
      <w:pPr>
        <w:rPr>
          <w:color w:val="FF0000"/>
        </w:rPr>
      </w:pPr>
      <w:r w:rsidRPr="00803148">
        <w:rPr>
          <w:color w:val="FF0000"/>
        </w:rPr>
        <w:t>-------------------------------------------- Start of Text Proposal --------------------------------------------------------</w:t>
      </w:r>
    </w:p>
    <w:p w14:paraId="3994B768" w14:textId="77777777" w:rsidR="00803148" w:rsidRPr="00803148" w:rsidRDefault="00803148" w:rsidP="00803148">
      <w:pPr>
        <w:overflowPunct w:val="0"/>
        <w:autoSpaceDE w:val="0"/>
        <w:autoSpaceDN w:val="0"/>
        <w:adjustRightInd w:val="0"/>
        <w:jc w:val="both"/>
        <w:textAlignment w:val="baseline"/>
        <w:rPr>
          <w:rFonts w:ascii="Arial" w:eastAsia="SimSun" w:hAnsi="Arial" w:cs="Arial"/>
          <w:sz w:val="16"/>
          <w:szCs w:val="16"/>
          <w:lang w:val="en-US"/>
        </w:rPr>
      </w:pPr>
      <w:r w:rsidRPr="00803148">
        <w:rPr>
          <w:rFonts w:ascii="Arial" w:eastAsia="SimSun" w:hAnsi="Arial" w:cs="Arial"/>
          <w:sz w:val="16"/>
          <w:szCs w:val="16"/>
          <w:lang w:val="en-US"/>
        </w:rPr>
        <w:t xml:space="preserve">The performance benefit and potential specification impact were studied for AI/ML based CSI compression sub use case. </w:t>
      </w:r>
    </w:p>
    <w:p w14:paraId="194CD6EB" w14:textId="77777777" w:rsidR="00803148" w:rsidRPr="00C14823" w:rsidRDefault="00803148" w:rsidP="00A67145">
      <w:pPr>
        <w:numPr>
          <w:ilvl w:val="0"/>
          <w:numId w:val="147"/>
        </w:numPr>
        <w:overflowPunct w:val="0"/>
        <w:autoSpaceDE w:val="0"/>
        <w:autoSpaceDN w:val="0"/>
        <w:adjustRightInd w:val="0"/>
        <w:textAlignment w:val="baseline"/>
        <w:rPr>
          <w:rFonts w:ascii="Arial" w:hAnsi="Arial" w:cs="Arial"/>
          <w:sz w:val="16"/>
          <w:szCs w:val="16"/>
          <w:lang w:eastAsia="x-none"/>
        </w:rPr>
      </w:pPr>
      <w:r w:rsidRPr="00C14823">
        <w:rPr>
          <w:rFonts w:ascii="Arial" w:eastAsia="Malgun Gothic" w:hAnsi="Arial" w:cs="Arial"/>
          <w:color w:val="000000"/>
          <w:sz w:val="16"/>
          <w:szCs w:val="16"/>
          <w:lang w:eastAsia="x-none"/>
        </w:rPr>
        <w:t>Evaluation has been performed to assess AI/ML based CSI compression from various aspects, including performance gain over non-AI/ML benchmark, model input/output type, CSI feedback quantization methods, ground-truth CSI format, monitoring, generalization, training collaboration types, etc. Some aspects are studied but not fully investigated, including the options of CQI/RI calculation, the options of rank&gt;1 solution.</w:t>
      </w:r>
    </w:p>
    <w:p w14:paraId="33DDA973" w14:textId="77777777" w:rsidR="00803148" w:rsidRPr="00C14823" w:rsidRDefault="00803148" w:rsidP="00A67145">
      <w:pPr>
        <w:numPr>
          <w:ilvl w:val="0"/>
          <w:numId w:val="147"/>
        </w:numPr>
        <w:overflowPunct w:val="0"/>
        <w:autoSpaceDE w:val="0"/>
        <w:autoSpaceDN w:val="0"/>
        <w:adjustRightInd w:val="0"/>
        <w:textAlignment w:val="baseline"/>
        <w:rPr>
          <w:rFonts w:ascii="Arial" w:hAnsi="Arial" w:cs="Arial"/>
          <w:sz w:val="16"/>
          <w:szCs w:val="16"/>
          <w:lang w:eastAsia="x-none"/>
        </w:rPr>
      </w:pPr>
      <w:r w:rsidRPr="00C14823">
        <w:rPr>
          <w:rFonts w:ascii="Arial" w:hAnsi="Arial" w:cs="Arial"/>
          <w:sz w:val="16"/>
          <w:szCs w:val="16"/>
          <w:lang w:eastAsia="x-none"/>
        </w:rPr>
        <w:t xml:space="preserve">Performance gain over baseline [and computation complexity in </w:t>
      </w:r>
      <w:r w:rsidRPr="00C14823">
        <w:rPr>
          <w:rFonts w:ascii="Arial" w:hAnsi="Arial" w:cs="Arial"/>
          <w:color w:val="000000"/>
          <w:sz w:val="16"/>
          <w:szCs w:val="16"/>
          <w:lang w:eastAsia="x-none"/>
        </w:rPr>
        <w:t xml:space="preserve">FLOPs] are summarized in clause 6.2.2.8 of TR 38.843. </w:t>
      </w:r>
    </w:p>
    <w:p w14:paraId="59BA5D78" w14:textId="77777777" w:rsidR="00803148" w:rsidRPr="00C14823" w:rsidRDefault="00803148" w:rsidP="00A67145">
      <w:pPr>
        <w:numPr>
          <w:ilvl w:val="0"/>
          <w:numId w:val="147"/>
        </w:numPr>
        <w:overflowPunct w:val="0"/>
        <w:autoSpaceDE w:val="0"/>
        <w:autoSpaceDN w:val="0"/>
        <w:adjustRightInd w:val="0"/>
        <w:textAlignment w:val="baseline"/>
        <w:rPr>
          <w:rFonts w:ascii="Arial" w:hAnsi="Arial" w:cs="Arial"/>
          <w:sz w:val="16"/>
          <w:szCs w:val="16"/>
          <w:lang w:val="en-US" w:eastAsia="x-none"/>
        </w:rPr>
      </w:pPr>
      <w:r w:rsidRPr="00C14823">
        <w:rPr>
          <w:rFonts w:ascii="Arial" w:hAnsi="Arial" w:cs="Arial"/>
          <w:sz w:val="16"/>
          <w:szCs w:val="16"/>
          <w:lang w:eastAsia="x-none"/>
        </w:rPr>
        <w:t xml:space="preserve">Potential specification impact on NW side/UE side data collection, dataset delivery, quantization alignment </w:t>
      </w:r>
      <w:r w:rsidRPr="00C14823">
        <w:rPr>
          <w:rFonts w:ascii="Arial" w:hAnsi="Arial" w:cs="Arial"/>
          <w:sz w:val="16"/>
          <w:szCs w:val="16"/>
          <w:lang w:val="en-US" w:eastAsia="x-none"/>
        </w:rPr>
        <w:t>between CSI generation part at the UE and CSI reconstruction part at the NW, CSI report configuration, CSI report format, pairing information</w:t>
      </w:r>
      <w:r w:rsidRPr="00C14823">
        <w:rPr>
          <w:rFonts w:ascii="Arial" w:hAnsi="Arial" w:cs="Arial"/>
          <w:color w:val="000000"/>
          <w:sz w:val="16"/>
          <w:szCs w:val="16"/>
          <w:lang w:val="en-US" w:eastAsia="x-none"/>
        </w:rPr>
        <w:t>/procedure</w:t>
      </w:r>
      <w:r w:rsidRPr="00C14823">
        <w:rPr>
          <w:rFonts w:ascii="Arial" w:hAnsi="Arial" w:cs="Arial"/>
          <w:color w:val="FF0000"/>
          <w:sz w:val="16"/>
          <w:szCs w:val="16"/>
          <w:lang w:val="en-US" w:eastAsia="x-none"/>
        </w:rPr>
        <w:t xml:space="preserve"> </w:t>
      </w:r>
      <w:r w:rsidRPr="00C14823">
        <w:rPr>
          <w:rFonts w:ascii="Arial" w:hAnsi="Arial" w:cs="Arial"/>
          <w:color w:val="000000"/>
          <w:sz w:val="16"/>
          <w:szCs w:val="16"/>
          <w:lang w:val="en-US" w:eastAsia="x-none"/>
        </w:rPr>
        <w:t>and monitoring approach</w:t>
      </w:r>
      <w:r w:rsidRPr="00C14823">
        <w:rPr>
          <w:rFonts w:ascii="Arial" w:hAnsi="Arial" w:cs="Arial"/>
          <w:sz w:val="16"/>
          <w:szCs w:val="16"/>
          <w:lang w:val="en-US" w:eastAsia="x-none"/>
        </w:rPr>
        <w:t xml:space="preserve"> were investigated but not all aspects were identified. </w:t>
      </w:r>
    </w:p>
    <w:p w14:paraId="5DA0A360" w14:textId="77777777" w:rsidR="00803148" w:rsidRPr="00C14823" w:rsidRDefault="00803148" w:rsidP="00A67145">
      <w:pPr>
        <w:numPr>
          <w:ilvl w:val="0"/>
          <w:numId w:val="148"/>
        </w:numPr>
        <w:overflowPunct w:val="0"/>
        <w:autoSpaceDE w:val="0"/>
        <w:autoSpaceDN w:val="0"/>
        <w:adjustRightInd w:val="0"/>
        <w:textAlignment w:val="baseline"/>
        <w:rPr>
          <w:rFonts w:ascii="Arial" w:hAnsi="Arial" w:cs="Arial"/>
          <w:sz w:val="16"/>
          <w:szCs w:val="16"/>
          <w:lang w:eastAsia="x-none"/>
        </w:rPr>
      </w:pPr>
      <w:r w:rsidRPr="00C14823">
        <w:rPr>
          <w:rFonts w:ascii="Arial" w:hAnsi="Arial" w:cs="Arial"/>
          <w:sz w:val="16"/>
          <w:szCs w:val="16"/>
          <w:lang w:eastAsia="x-none"/>
        </w:rPr>
        <w:t>The pros and cons are analysed for each training collaboration types, and each training collaboration type has its own benefits and limitations in different aspects. The study has investigated the feasibility of the studied training collaboration types and necessity of corresponding potential RAN1 specification impact. However, not all aspects have been concluded.</w:t>
      </w:r>
    </w:p>
    <w:p w14:paraId="3BE131CF" w14:textId="2EB12A41" w:rsidR="00803148" w:rsidRPr="00C14823" w:rsidRDefault="00803148" w:rsidP="00A67145">
      <w:pPr>
        <w:numPr>
          <w:ilvl w:val="0"/>
          <w:numId w:val="148"/>
        </w:numPr>
        <w:overflowPunct w:val="0"/>
        <w:autoSpaceDE w:val="0"/>
        <w:autoSpaceDN w:val="0"/>
        <w:adjustRightInd w:val="0"/>
        <w:textAlignment w:val="baseline"/>
        <w:rPr>
          <w:rFonts w:ascii="Times New Roman" w:hAnsi="Times New Roman"/>
          <w:szCs w:val="20"/>
          <w:lang w:eastAsia="x-none"/>
        </w:rPr>
      </w:pPr>
      <w:r w:rsidRPr="00C14823">
        <w:rPr>
          <w:rFonts w:ascii="Arial" w:hAnsi="Arial" w:cs="Arial"/>
          <w:sz w:val="16"/>
          <w:szCs w:val="16"/>
          <w:lang w:eastAsia="x-none"/>
        </w:rPr>
        <w:t>Both NW side and UE side performance monitoring were studied</w:t>
      </w:r>
      <w:r w:rsidR="00C14823" w:rsidRPr="00C14823">
        <w:rPr>
          <w:rFonts w:ascii="Arial" w:hAnsi="Arial" w:cs="Arial"/>
          <w:color w:val="FF0000"/>
          <w:sz w:val="16"/>
          <w:szCs w:val="16"/>
          <w:lang w:eastAsia="x-none"/>
        </w:rPr>
        <w:t>, some but not all aspects were concluded</w:t>
      </w:r>
      <w:r w:rsidRPr="00C14823">
        <w:rPr>
          <w:rFonts w:ascii="Arial" w:hAnsi="Arial" w:cs="Arial"/>
          <w:color w:val="FF0000"/>
          <w:sz w:val="16"/>
          <w:szCs w:val="16"/>
          <w:lang w:eastAsia="x-none"/>
        </w:rPr>
        <w:t>.</w:t>
      </w:r>
      <w:r w:rsidRPr="00C14823">
        <w:rPr>
          <w:rFonts w:ascii="Arial" w:hAnsi="Arial" w:cs="Arial"/>
          <w:strike/>
          <w:color w:val="FF0000"/>
          <w:sz w:val="16"/>
          <w:szCs w:val="16"/>
          <w:lang w:eastAsia="x-none"/>
        </w:rPr>
        <w:t xml:space="preserve"> Complexity, signaling overhead, and latency for NW side and UE side performance monitoring have not been concluded.</w:t>
      </w:r>
      <w:r w:rsidRPr="00C14823">
        <w:rPr>
          <w:rFonts w:ascii="Arial" w:hAnsi="Arial" w:cs="Arial"/>
          <w:strike/>
          <w:sz w:val="16"/>
          <w:szCs w:val="16"/>
          <w:lang w:eastAsia="x-none"/>
        </w:rPr>
        <w:t xml:space="preserve"> </w:t>
      </w:r>
    </w:p>
    <w:p w14:paraId="4940B93A" w14:textId="4A619CDD" w:rsidR="00803148" w:rsidRPr="00803148" w:rsidRDefault="00803148" w:rsidP="00803148">
      <w:pPr>
        <w:rPr>
          <w:color w:val="FF0000"/>
          <w:lang w:val="en-US"/>
        </w:rPr>
      </w:pPr>
      <w:r w:rsidRPr="00803148">
        <w:rPr>
          <w:color w:val="FF0000"/>
          <w:lang w:val="en-US"/>
        </w:rPr>
        <w:t xml:space="preserve"> -------------------------------------------- End of Text Proposal --------------------------------------------------------</w:t>
      </w:r>
    </w:p>
    <w:p w14:paraId="530EB68B" w14:textId="77777777" w:rsidR="00803148" w:rsidRPr="00803148" w:rsidRDefault="00803148" w:rsidP="00803148">
      <w:pPr>
        <w:rPr>
          <w:lang w:eastAsia="x-none"/>
        </w:rPr>
      </w:pPr>
    </w:p>
    <w:p w14:paraId="416E4A6D" w14:textId="77777777" w:rsidR="00803148" w:rsidRPr="00803148" w:rsidRDefault="00803148" w:rsidP="00A20E39">
      <w:pPr>
        <w:rPr>
          <w:rFonts w:ascii="Times New Roman" w:hAnsi="Times New Roman"/>
          <w:szCs w:val="20"/>
          <w:lang w:val="en-US" w:eastAsia="x-none"/>
        </w:rPr>
      </w:pPr>
    </w:p>
    <w:p w14:paraId="53D532B8" w14:textId="3360702E" w:rsidR="00A20E39" w:rsidRPr="00C14823" w:rsidRDefault="005A18DC" w:rsidP="00A20E39">
      <w:pPr>
        <w:rPr>
          <w:rFonts w:ascii="Times New Roman" w:hAnsi="Times New Roman"/>
          <w:b/>
          <w:bCs/>
          <w:szCs w:val="20"/>
          <w:lang w:val="en-US" w:eastAsia="x-none"/>
        </w:rPr>
      </w:pPr>
      <w:hyperlink r:id="rId1899" w:history="1">
        <w:r w:rsidR="00AF7253">
          <w:rPr>
            <w:rStyle w:val="Hyperlink"/>
            <w:rFonts w:ascii="Times New Roman" w:hAnsi="Times New Roman"/>
            <w:b/>
            <w:bCs/>
            <w:szCs w:val="20"/>
            <w:lang w:val="en-US" w:eastAsia="x-none"/>
          </w:rPr>
          <w:t>R1-2312335</w:t>
        </w:r>
      </w:hyperlink>
      <w:r w:rsidR="00A20E39" w:rsidRPr="00C14823">
        <w:rPr>
          <w:rFonts w:ascii="Times New Roman" w:hAnsi="Times New Roman"/>
          <w:b/>
          <w:bCs/>
          <w:szCs w:val="20"/>
          <w:lang w:val="en-US" w:eastAsia="x-none"/>
        </w:rPr>
        <w:tab/>
        <w:t>Summary #3 on other aspects of AI/ML for CSI enhancement</w:t>
      </w:r>
      <w:r w:rsidR="00A20E39" w:rsidRPr="00C14823">
        <w:rPr>
          <w:rFonts w:ascii="Times New Roman" w:hAnsi="Times New Roman"/>
          <w:b/>
          <w:bCs/>
          <w:szCs w:val="20"/>
          <w:lang w:val="en-US" w:eastAsia="x-none"/>
        </w:rPr>
        <w:tab/>
        <w:t>Moderator (Apple)</w:t>
      </w:r>
    </w:p>
    <w:p w14:paraId="039ADA54" w14:textId="77128378" w:rsidR="00C14823" w:rsidRDefault="00C14823" w:rsidP="00A20E39">
      <w:pPr>
        <w:rPr>
          <w:rFonts w:ascii="Times New Roman" w:hAnsi="Times New Roman"/>
          <w:szCs w:val="20"/>
          <w:lang w:val="en-US" w:eastAsia="x-none"/>
        </w:rPr>
      </w:pPr>
      <w:r>
        <w:rPr>
          <w:rFonts w:ascii="Times New Roman" w:hAnsi="Times New Roman"/>
          <w:szCs w:val="20"/>
          <w:lang w:val="en-US" w:eastAsia="x-none"/>
        </w:rPr>
        <w:t>From Thursday session</w:t>
      </w:r>
    </w:p>
    <w:p w14:paraId="1A374B52" w14:textId="77777777" w:rsidR="00C14823" w:rsidRDefault="00C14823" w:rsidP="00C14823">
      <w:pPr>
        <w:rPr>
          <w:highlight w:val="green"/>
        </w:rPr>
      </w:pPr>
      <w:r>
        <w:rPr>
          <w:highlight w:val="green"/>
        </w:rPr>
        <w:t>Agreement</w:t>
      </w:r>
    </w:p>
    <w:p w14:paraId="56514482" w14:textId="3BF9C025" w:rsidR="00C14823" w:rsidRDefault="00C14823" w:rsidP="00C14823">
      <w:r>
        <w:lastRenderedPageBreak/>
        <w:t>Capture the following as a conclusion in section 8 of the TR.</w:t>
      </w:r>
    </w:p>
    <w:p w14:paraId="06BE0027" w14:textId="77777777" w:rsidR="00C14823" w:rsidRDefault="00C14823" w:rsidP="00AA1D48">
      <w:pPr>
        <w:pStyle w:val="ListParagraph"/>
        <w:numPr>
          <w:ilvl w:val="0"/>
          <w:numId w:val="127"/>
        </w:numPr>
        <w:rPr>
          <w:lang w:eastAsia="en-US"/>
        </w:rPr>
      </w:pPr>
      <w:r>
        <w:t>From RAN1 perspective, there is no consensus on the recommendation of CSI compression for normative work.</w:t>
      </w:r>
    </w:p>
    <w:p w14:paraId="4218923D" w14:textId="77777777" w:rsidR="00C14823" w:rsidRDefault="00C14823" w:rsidP="00AA1D48">
      <w:pPr>
        <w:pStyle w:val="ListParagraph"/>
        <w:numPr>
          <w:ilvl w:val="0"/>
          <w:numId w:val="127"/>
        </w:numPr>
      </w:pPr>
      <w:r>
        <w:t>At least the following aspects are the reasons for the lack of RAN1 consensus on the recommendation of CSI compression for normative work.</w:t>
      </w:r>
    </w:p>
    <w:p w14:paraId="43AEFF3C" w14:textId="77777777" w:rsidR="00C14823" w:rsidRPr="00C14823" w:rsidRDefault="00C14823" w:rsidP="00AA1D48">
      <w:pPr>
        <w:pStyle w:val="ListParagraph"/>
        <w:numPr>
          <w:ilvl w:val="1"/>
          <w:numId w:val="127"/>
        </w:numPr>
      </w:pPr>
      <w:r w:rsidRPr="00C14823">
        <w:t>Trade-off between performance and complexity/overhead</w:t>
      </w:r>
    </w:p>
    <w:p w14:paraId="2B8268CE" w14:textId="77777777" w:rsidR="00C14823" w:rsidRPr="00C14823" w:rsidRDefault="00C14823" w:rsidP="00AA1D48">
      <w:pPr>
        <w:pStyle w:val="ListParagraph"/>
        <w:numPr>
          <w:ilvl w:val="1"/>
          <w:numId w:val="127"/>
        </w:numPr>
      </w:pPr>
      <w:r w:rsidRPr="00C14823">
        <w:t xml:space="preserve">Issues related to inter-vendor training collaboration </w:t>
      </w:r>
    </w:p>
    <w:p w14:paraId="44FB6FAB" w14:textId="77777777" w:rsidR="00C14823" w:rsidRPr="00C14823" w:rsidRDefault="00C14823" w:rsidP="00AA1D48">
      <w:pPr>
        <w:pStyle w:val="ListParagraph"/>
        <w:numPr>
          <w:ilvl w:val="0"/>
          <w:numId w:val="127"/>
        </w:numPr>
      </w:pPr>
      <w:r w:rsidRPr="00C14823">
        <w:t>Other aspects that require further study/conclusion are captured in the summary</w:t>
      </w:r>
    </w:p>
    <w:p w14:paraId="76BAA1B4" w14:textId="77777777" w:rsidR="00C14823" w:rsidRDefault="00C14823" w:rsidP="00C14823">
      <w:pPr>
        <w:rPr>
          <w:highlight w:val="green"/>
        </w:rPr>
      </w:pPr>
      <w:r>
        <w:rPr>
          <w:highlight w:val="green"/>
        </w:rPr>
        <w:t>Agreement</w:t>
      </w:r>
    </w:p>
    <w:p w14:paraId="7926A12E" w14:textId="503F6F22" w:rsidR="00C14823" w:rsidRDefault="00C14823" w:rsidP="00C14823">
      <w:r>
        <w:t xml:space="preserve">Capture the following summary </w:t>
      </w:r>
      <w:r>
        <w:rPr>
          <w:rFonts w:eastAsia="Malgun Gothic"/>
        </w:rPr>
        <w:t xml:space="preserve">in Section 8 of the 3GPP TR 38.843 on AI/ML </w:t>
      </w:r>
      <w:r>
        <w:t>based CSI prediction sub-use case.</w:t>
      </w:r>
    </w:p>
    <w:p w14:paraId="292277CB" w14:textId="48992ECC" w:rsidR="00C14823" w:rsidRPr="00C14823" w:rsidRDefault="00C14823" w:rsidP="00C14823">
      <w:pPr>
        <w:rPr>
          <w:color w:val="FF0000"/>
        </w:rPr>
      </w:pPr>
      <w:r w:rsidRPr="00C14823">
        <w:rPr>
          <w:color w:val="FF0000"/>
        </w:rPr>
        <w:t>-------------------------------------------- Start of Text Proposal ---------------------------------------------</w:t>
      </w:r>
    </w:p>
    <w:p w14:paraId="2A5A6AEF" w14:textId="77777777" w:rsidR="00C14823" w:rsidRDefault="00C14823" w:rsidP="00C14823">
      <w:r>
        <w:t xml:space="preserve">The performance and potential specification impact were studied for AI/ML based UE side CSI prediction sub use case. </w:t>
      </w:r>
    </w:p>
    <w:p w14:paraId="69C51189" w14:textId="77777777" w:rsidR="00C14823" w:rsidRPr="00C14823" w:rsidRDefault="00C14823" w:rsidP="00A67145">
      <w:pPr>
        <w:pStyle w:val="ListParagraph"/>
        <w:numPr>
          <w:ilvl w:val="0"/>
          <w:numId w:val="202"/>
        </w:numPr>
        <w:spacing w:after="0"/>
        <w:ind w:left="714" w:hanging="357"/>
      </w:pPr>
      <w:r w:rsidRPr="00C14823">
        <w:t xml:space="preserve">Performance compared with baseline </w:t>
      </w:r>
      <w:r w:rsidRPr="00C14823">
        <w:rPr>
          <w:color w:val="000000"/>
        </w:rPr>
        <w:t>is summarized in clause 6.2.2.8 of TR 38.843.</w:t>
      </w:r>
    </w:p>
    <w:p w14:paraId="483EB63F" w14:textId="77777777" w:rsidR="00C14823" w:rsidRPr="00C14823" w:rsidRDefault="00C14823" w:rsidP="00A67145">
      <w:pPr>
        <w:pStyle w:val="ListParagraph"/>
        <w:numPr>
          <w:ilvl w:val="0"/>
          <w:numId w:val="202"/>
        </w:numPr>
        <w:spacing w:after="0"/>
        <w:ind w:left="714" w:hanging="357"/>
        <w:rPr>
          <w:strike/>
        </w:rPr>
      </w:pPr>
      <w:r w:rsidRPr="00C14823">
        <w:t xml:space="preserve">Potential specification impact on data collection and performance monitoring are discussed in section 7.2.2 of TR 38.843. </w:t>
      </w:r>
    </w:p>
    <w:p w14:paraId="28E263EF" w14:textId="77777777" w:rsidR="00C14823" w:rsidRPr="00C14823" w:rsidRDefault="00C14823" w:rsidP="00C14823">
      <w:pPr>
        <w:rPr>
          <w:color w:val="FF0000"/>
        </w:rPr>
      </w:pPr>
      <w:r w:rsidRPr="00C14823">
        <w:rPr>
          <w:color w:val="FF0000"/>
        </w:rPr>
        <w:t>-------------------------------------------- End of Text Proposal ----------------------------------------------</w:t>
      </w:r>
    </w:p>
    <w:p w14:paraId="10208186" w14:textId="77777777" w:rsidR="00C14823" w:rsidRDefault="00C14823" w:rsidP="00C14823"/>
    <w:p w14:paraId="371AE2E6" w14:textId="77777777" w:rsidR="00C14823" w:rsidRPr="00A20E39" w:rsidRDefault="00C14823" w:rsidP="00A20E39">
      <w:pPr>
        <w:rPr>
          <w:rFonts w:ascii="Times New Roman" w:hAnsi="Times New Roman"/>
          <w:szCs w:val="20"/>
          <w:lang w:val="en-US" w:eastAsia="x-none"/>
        </w:rPr>
      </w:pPr>
    </w:p>
    <w:p w14:paraId="35079BB4" w14:textId="1A09E0A9" w:rsidR="00A20E39" w:rsidRPr="002B2E78" w:rsidRDefault="005A18DC" w:rsidP="00A20E39">
      <w:pPr>
        <w:rPr>
          <w:rFonts w:ascii="Times New Roman" w:hAnsi="Times New Roman"/>
          <w:b/>
          <w:bCs/>
          <w:szCs w:val="20"/>
          <w:lang w:val="en-US" w:eastAsia="x-none"/>
        </w:rPr>
      </w:pPr>
      <w:hyperlink r:id="rId1900" w:history="1">
        <w:r w:rsidR="00AF7253">
          <w:rPr>
            <w:rStyle w:val="Hyperlink"/>
            <w:rFonts w:ascii="Times New Roman" w:hAnsi="Times New Roman"/>
            <w:b/>
            <w:bCs/>
            <w:szCs w:val="20"/>
            <w:lang w:val="en-US" w:eastAsia="x-none"/>
          </w:rPr>
          <w:t>R1-2312336</w:t>
        </w:r>
      </w:hyperlink>
      <w:r w:rsidR="00A20E39" w:rsidRPr="002B2E78">
        <w:rPr>
          <w:rFonts w:ascii="Times New Roman" w:hAnsi="Times New Roman"/>
          <w:b/>
          <w:bCs/>
          <w:szCs w:val="20"/>
          <w:lang w:val="en-US" w:eastAsia="x-none"/>
        </w:rPr>
        <w:tab/>
        <w:t>Summary #4 on other aspects of AI/ML for CSI enhancement</w:t>
      </w:r>
      <w:r w:rsidR="00A20E39" w:rsidRPr="002B2E78">
        <w:rPr>
          <w:rFonts w:ascii="Times New Roman" w:hAnsi="Times New Roman"/>
          <w:b/>
          <w:bCs/>
          <w:szCs w:val="20"/>
          <w:lang w:val="en-US" w:eastAsia="x-none"/>
        </w:rPr>
        <w:tab/>
        <w:t>Moderator (Apple)</w:t>
      </w:r>
    </w:p>
    <w:p w14:paraId="38F04FAC" w14:textId="12BE255E" w:rsidR="002B2E78" w:rsidRDefault="002B2E78" w:rsidP="00A20E39">
      <w:pPr>
        <w:rPr>
          <w:rFonts w:ascii="Times New Roman" w:hAnsi="Times New Roman"/>
          <w:szCs w:val="20"/>
          <w:lang w:val="en-US" w:eastAsia="x-none"/>
        </w:rPr>
      </w:pPr>
      <w:r>
        <w:rPr>
          <w:rFonts w:ascii="Times New Roman" w:hAnsi="Times New Roman"/>
          <w:szCs w:val="20"/>
          <w:lang w:val="en-US" w:eastAsia="x-none"/>
        </w:rPr>
        <w:t>From Friday session</w:t>
      </w:r>
    </w:p>
    <w:p w14:paraId="73D22C07" w14:textId="77777777" w:rsidR="00BC1BA5" w:rsidRPr="00BC1BA5" w:rsidRDefault="00BC1BA5" w:rsidP="00BC1BA5">
      <w:pPr>
        <w:rPr>
          <w:highlight w:val="green"/>
          <w:lang w:eastAsia="x-none"/>
        </w:rPr>
      </w:pPr>
      <w:r w:rsidRPr="00BC1BA5">
        <w:rPr>
          <w:highlight w:val="green"/>
          <w:lang w:eastAsia="x-none"/>
        </w:rPr>
        <w:t>Agreement</w:t>
      </w:r>
    </w:p>
    <w:p w14:paraId="60EFF051" w14:textId="77777777" w:rsidR="00BC1BA5" w:rsidRPr="00BC1BA5" w:rsidRDefault="00BC1BA5" w:rsidP="00BC1BA5">
      <w:pPr>
        <w:overflowPunct w:val="0"/>
        <w:autoSpaceDE w:val="0"/>
        <w:autoSpaceDN w:val="0"/>
        <w:adjustRightInd w:val="0"/>
        <w:jc w:val="both"/>
        <w:textAlignment w:val="baseline"/>
        <w:rPr>
          <w:rFonts w:ascii="Times New Roman" w:eastAsia="SimSun" w:hAnsi="Times New Roman"/>
          <w:szCs w:val="20"/>
          <w:lang w:val="en-US"/>
        </w:rPr>
      </w:pPr>
      <w:r w:rsidRPr="00BC1BA5">
        <w:rPr>
          <w:rFonts w:ascii="Times New Roman" w:eastAsia="SimSun" w:hAnsi="Times New Roman"/>
          <w:szCs w:val="20"/>
          <w:lang w:val="en-US"/>
        </w:rPr>
        <w:t>Capture the following text for CSI prediction summary agreed in RAN1 115, for section 8 of TR38.843.</w:t>
      </w:r>
    </w:p>
    <w:p w14:paraId="69FFEFD4" w14:textId="77777777" w:rsidR="00BC1BA5" w:rsidRPr="00C14823" w:rsidRDefault="00BC1BA5" w:rsidP="00BC1BA5">
      <w:pPr>
        <w:rPr>
          <w:color w:val="FF0000"/>
        </w:rPr>
      </w:pPr>
      <w:r w:rsidRPr="00C14823">
        <w:rPr>
          <w:color w:val="FF0000"/>
        </w:rPr>
        <w:t>-------------------------------------------- Start of Text Proposal ---------------------------------------------</w:t>
      </w:r>
    </w:p>
    <w:p w14:paraId="7C99755A" w14:textId="77777777" w:rsidR="00BC1BA5" w:rsidRPr="00BC1BA5" w:rsidRDefault="00BC1BA5" w:rsidP="00BC1BA5">
      <w:pPr>
        <w:overflowPunct w:val="0"/>
        <w:autoSpaceDE w:val="0"/>
        <w:autoSpaceDN w:val="0"/>
        <w:adjustRightInd w:val="0"/>
        <w:jc w:val="both"/>
        <w:textAlignment w:val="baseline"/>
        <w:rPr>
          <w:rFonts w:ascii="Arial" w:eastAsia="SimSun" w:hAnsi="Arial" w:cs="Arial"/>
          <w:sz w:val="16"/>
          <w:szCs w:val="16"/>
          <w:lang w:val="en-US"/>
        </w:rPr>
      </w:pPr>
      <w:r w:rsidRPr="00BC1BA5">
        <w:rPr>
          <w:rFonts w:ascii="Arial" w:eastAsia="SimSun" w:hAnsi="Arial" w:cs="Arial"/>
          <w:sz w:val="16"/>
          <w:szCs w:val="16"/>
          <w:lang w:val="en-US"/>
        </w:rPr>
        <w:t xml:space="preserve">The performance and potential specification impact were studied for AI/ML based UE side CSI prediction sub use case. </w:t>
      </w:r>
    </w:p>
    <w:p w14:paraId="2637E71F" w14:textId="77777777" w:rsidR="00BC1BA5" w:rsidRPr="00BC1BA5" w:rsidRDefault="00BC1BA5" w:rsidP="00A67145">
      <w:pPr>
        <w:numPr>
          <w:ilvl w:val="0"/>
          <w:numId w:val="147"/>
        </w:numPr>
        <w:overflowPunct w:val="0"/>
        <w:autoSpaceDE w:val="0"/>
        <w:autoSpaceDN w:val="0"/>
        <w:adjustRightInd w:val="0"/>
        <w:textAlignment w:val="baseline"/>
        <w:rPr>
          <w:rFonts w:ascii="Arial" w:hAnsi="Arial" w:cs="Arial"/>
          <w:color w:val="FF0000"/>
          <w:sz w:val="16"/>
          <w:szCs w:val="16"/>
          <w:lang w:eastAsia="x-none"/>
        </w:rPr>
      </w:pPr>
      <w:r w:rsidRPr="00BC1BA5">
        <w:rPr>
          <w:rFonts w:ascii="Arial" w:eastAsia="Malgun Gothic" w:hAnsi="Arial" w:cs="Arial"/>
          <w:color w:val="FF0000"/>
          <w:sz w:val="16"/>
          <w:szCs w:val="16"/>
          <w:lang w:eastAsia="x-none"/>
        </w:rPr>
        <w:t xml:space="preserve">Evaluation has been performed to assess AI/ML based CSI prediction from various aspects, including performance compared to baseline, model input/output type, generalization over UE speed, etc. Some aspects are studied but lack observations, including scalability over various configurations and generalization over other scenarios and approach of fine tuning. Performance monitoring accuracy is not evaluated.  </w:t>
      </w:r>
    </w:p>
    <w:p w14:paraId="49AA599E" w14:textId="77777777" w:rsidR="00BC1BA5" w:rsidRPr="00BC1BA5" w:rsidRDefault="00BC1BA5" w:rsidP="00A67145">
      <w:pPr>
        <w:numPr>
          <w:ilvl w:val="0"/>
          <w:numId w:val="147"/>
        </w:numPr>
        <w:overflowPunct w:val="0"/>
        <w:autoSpaceDE w:val="0"/>
        <w:autoSpaceDN w:val="0"/>
        <w:adjustRightInd w:val="0"/>
        <w:textAlignment w:val="baseline"/>
        <w:rPr>
          <w:rFonts w:ascii="Arial" w:hAnsi="Arial" w:cs="Arial"/>
          <w:sz w:val="16"/>
          <w:szCs w:val="16"/>
          <w:lang w:eastAsia="x-none"/>
        </w:rPr>
      </w:pPr>
      <w:r w:rsidRPr="00BC1BA5">
        <w:rPr>
          <w:rFonts w:ascii="Arial" w:hAnsi="Arial" w:cs="Arial"/>
          <w:sz w:val="16"/>
          <w:szCs w:val="16"/>
          <w:lang w:eastAsia="x-none"/>
        </w:rPr>
        <w:t xml:space="preserve">Performance compared with baseline </w:t>
      </w:r>
      <w:r w:rsidRPr="00BC1BA5">
        <w:rPr>
          <w:rFonts w:ascii="Arial" w:hAnsi="Arial" w:cs="Arial"/>
          <w:color w:val="000000"/>
          <w:sz w:val="16"/>
          <w:szCs w:val="16"/>
          <w:lang w:eastAsia="x-none"/>
        </w:rPr>
        <w:t>is summarized in clause 6.2.2.8 of TR 38.843.</w:t>
      </w:r>
    </w:p>
    <w:p w14:paraId="273CD592" w14:textId="77777777" w:rsidR="00BC1BA5" w:rsidRPr="00BC1BA5" w:rsidRDefault="00BC1BA5" w:rsidP="00A67145">
      <w:pPr>
        <w:numPr>
          <w:ilvl w:val="0"/>
          <w:numId w:val="147"/>
        </w:numPr>
        <w:overflowPunct w:val="0"/>
        <w:autoSpaceDE w:val="0"/>
        <w:autoSpaceDN w:val="0"/>
        <w:adjustRightInd w:val="0"/>
        <w:textAlignment w:val="baseline"/>
        <w:rPr>
          <w:rFonts w:ascii="Arial" w:hAnsi="Arial" w:cs="Arial"/>
          <w:strike/>
          <w:sz w:val="16"/>
          <w:szCs w:val="16"/>
          <w:lang w:eastAsia="x-none"/>
        </w:rPr>
      </w:pPr>
      <w:r w:rsidRPr="00BC1BA5">
        <w:rPr>
          <w:rFonts w:ascii="Arial" w:hAnsi="Arial" w:cs="Arial"/>
          <w:sz w:val="16"/>
          <w:szCs w:val="16"/>
          <w:lang w:eastAsia="x-none"/>
        </w:rPr>
        <w:t xml:space="preserve">Potential specification impact on data collection and performance monitoring are discussed in section 7.2.2 of TR 38.843. </w:t>
      </w:r>
    </w:p>
    <w:p w14:paraId="63DA0D57" w14:textId="77777777" w:rsidR="00BC1BA5" w:rsidRPr="00BC1BA5" w:rsidRDefault="00BC1BA5" w:rsidP="00A67145">
      <w:pPr>
        <w:numPr>
          <w:ilvl w:val="1"/>
          <w:numId w:val="147"/>
        </w:numPr>
        <w:overflowPunct w:val="0"/>
        <w:autoSpaceDE w:val="0"/>
        <w:autoSpaceDN w:val="0"/>
        <w:adjustRightInd w:val="0"/>
        <w:textAlignment w:val="baseline"/>
        <w:rPr>
          <w:rFonts w:ascii="Arial" w:hAnsi="Arial" w:cs="Arial"/>
          <w:color w:val="FF0000"/>
          <w:sz w:val="16"/>
          <w:szCs w:val="16"/>
          <w:lang w:eastAsia="x-none"/>
        </w:rPr>
      </w:pPr>
      <w:r w:rsidRPr="00BC1BA5">
        <w:rPr>
          <w:rFonts w:ascii="Arial" w:eastAsia="Malgun Gothic" w:hAnsi="Arial" w:cs="Arial"/>
          <w:color w:val="FF0000"/>
          <w:sz w:val="16"/>
          <w:szCs w:val="16"/>
          <w:lang w:eastAsia="x-none"/>
        </w:rPr>
        <w:t>Limited specification aspects were considered.</w:t>
      </w:r>
    </w:p>
    <w:p w14:paraId="705ABB7A" w14:textId="77777777" w:rsidR="00BC1BA5" w:rsidRPr="00C14823" w:rsidRDefault="00BC1BA5" w:rsidP="00BC1BA5">
      <w:pPr>
        <w:rPr>
          <w:color w:val="FF0000"/>
        </w:rPr>
      </w:pPr>
      <w:r w:rsidRPr="00C14823">
        <w:rPr>
          <w:color w:val="FF0000"/>
        </w:rPr>
        <w:t>-------------------------------------------- End of Text Proposal ----------------------------------------------</w:t>
      </w:r>
    </w:p>
    <w:p w14:paraId="632C4EBE" w14:textId="77777777" w:rsidR="00BC1BA5" w:rsidRPr="00BC1BA5" w:rsidRDefault="00BC1BA5" w:rsidP="00BC1BA5"/>
    <w:p w14:paraId="655962CD" w14:textId="77777777" w:rsidR="00BC1BA5" w:rsidRPr="00BC1BA5" w:rsidRDefault="00BC1BA5" w:rsidP="00BC1BA5">
      <w:pPr>
        <w:rPr>
          <w:highlight w:val="green"/>
          <w:lang w:eastAsia="x-none"/>
        </w:rPr>
      </w:pPr>
      <w:r w:rsidRPr="00BC1BA5">
        <w:rPr>
          <w:highlight w:val="green"/>
          <w:lang w:eastAsia="x-none"/>
        </w:rPr>
        <w:t>Agreement</w:t>
      </w:r>
    </w:p>
    <w:p w14:paraId="31304C75" w14:textId="77777777" w:rsidR="00BC1BA5" w:rsidRPr="00BC1BA5" w:rsidRDefault="00BC1BA5" w:rsidP="00BC1BA5">
      <w:pPr>
        <w:rPr>
          <w:rFonts w:cs="Times"/>
          <w:szCs w:val="20"/>
          <w:lang w:eastAsia="x-none"/>
        </w:rPr>
      </w:pPr>
      <w:r w:rsidRPr="00BC1BA5">
        <w:rPr>
          <w:rFonts w:cs="Times"/>
          <w:szCs w:val="20"/>
          <w:lang w:eastAsia="x-none"/>
        </w:rPr>
        <w:t xml:space="preserve">Capture the following conclusion in section 8 of the </w:t>
      </w:r>
      <w:r w:rsidRPr="00BC1BA5">
        <w:rPr>
          <w:rFonts w:eastAsia="Malgun Gothic"/>
          <w:szCs w:val="20"/>
        </w:rPr>
        <w:t>TR 38.843</w:t>
      </w:r>
    </w:p>
    <w:p w14:paraId="24F1F341" w14:textId="77777777" w:rsidR="00BC1BA5" w:rsidRPr="00BC1BA5" w:rsidRDefault="00BC1BA5" w:rsidP="00BC1BA5">
      <w:pPr>
        <w:numPr>
          <w:ilvl w:val="0"/>
          <w:numId w:val="93"/>
        </w:numPr>
        <w:rPr>
          <w:szCs w:val="20"/>
        </w:rPr>
      </w:pPr>
      <w:r w:rsidRPr="00BC1BA5">
        <w:rPr>
          <w:szCs w:val="20"/>
        </w:rPr>
        <w:t>From RAN1 perspective, there is no consensus on the recommendation of CSI prediction for normative work.</w:t>
      </w:r>
    </w:p>
    <w:p w14:paraId="710DDAC7" w14:textId="77777777" w:rsidR="00BC1BA5" w:rsidRPr="00BC1BA5" w:rsidRDefault="00BC1BA5" w:rsidP="00BC1BA5">
      <w:pPr>
        <w:numPr>
          <w:ilvl w:val="0"/>
          <w:numId w:val="93"/>
        </w:numPr>
        <w:rPr>
          <w:szCs w:val="20"/>
        </w:rPr>
      </w:pPr>
      <w:r w:rsidRPr="00BC1BA5">
        <w:rPr>
          <w:szCs w:val="20"/>
        </w:rPr>
        <w:t xml:space="preserve">The reason for the lack of RAN1 consensus on the recommendation of CSI prediction for normative work is due to </w:t>
      </w:r>
    </w:p>
    <w:p w14:paraId="3B8F0026" w14:textId="77777777" w:rsidR="00BC1BA5" w:rsidRPr="00BC1BA5" w:rsidRDefault="00BC1BA5" w:rsidP="00BC1BA5">
      <w:pPr>
        <w:numPr>
          <w:ilvl w:val="1"/>
          <w:numId w:val="93"/>
        </w:numPr>
        <w:rPr>
          <w:szCs w:val="20"/>
        </w:rPr>
      </w:pPr>
      <w:r w:rsidRPr="00BC1BA5">
        <w:rPr>
          <w:szCs w:val="20"/>
        </w:rPr>
        <w:t>Lack of results on the performance gain over non-AI/ML based approach and associated complexity</w:t>
      </w:r>
    </w:p>
    <w:p w14:paraId="78059562" w14:textId="77777777" w:rsidR="00BC1BA5" w:rsidRPr="00BC1BA5" w:rsidRDefault="00BC1BA5" w:rsidP="00BC1BA5">
      <w:pPr>
        <w:numPr>
          <w:ilvl w:val="0"/>
          <w:numId w:val="93"/>
        </w:numPr>
        <w:overflowPunct w:val="0"/>
        <w:autoSpaceDE w:val="0"/>
        <w:autoSpaceDN w:val="0"/>
        <w:adjustRightInd w:val="0"/>
        <w:textAlignment w:val="baseline"/>
        <w:rPr>
          <w:rFonts w:ascii="Times New Roman" w:hAnsi="Times New Roman"/>
          <w:szCs w:val="20"/>
          <w:lang w:eastAsia="x-none"/>
        </w:rPr>
      </w:pPr>
      <w:r w:rsidRPr="00BC1BA5">
        <w:rPr>
          <w:rFonts w:ascii="Times New Roman" w:hAnsi="Times New Roman"/>
          <w:szCs w:val="20"/>
          <w:lang w:eastAsia="x-none"/>
        </w:rPr>
        <w:t>Other aspects that require further study/conclusion are captured in the summary.</w:t>
      </w:r>
    </w:p>
    <w:p w14:paraId="1324C837" w14:textId="77777777" w:rsidR="00BC1BA5" w:rsidRPr="00BC1BA5" w:rsidRDefault="00BC1BA5" w:rsidP="00BC1BA5">
      <w:pPr>
        <w:rPr>
          <w:lang w:eastAsia="x-none"/>
        </w:rPr>
      </w:pPr>
    </w:p>
    <w:p w14:paraId="05219830" w14:textId="77777777" w:rsidR="00BC1BA5" w:rsidRPr="00BC1BA5" w:rsidRDefault="00BC1BA5" w:rsidP="00BC1BA5">
      <w:pPr>
        <w:rPr>
          <w:highlight w:val="green"/>
          <w:lang w:eastAsia="x-none"/>
        </w:rPr>
      </w:pPr>
      <w:r w:rsidRPr="00BC1BA5">
        <w:rPr>
          <w:highlight w:val="green"/>
          <w:lang w:eastAsia="x-none"/>
        </w:rPr>
        <w:t>Agreement</w:t>
      </w:r>
    </w:p>
    <w:p w14:paraId="74D8115F" w14:textId="77777777" w:rsidR="00BC1BA5" w:rsidRPr="00BC1BA5" w:rsidRDefault="00BC1BA5" w:rsidP="00BC1BA5">
      <w:pPr>
        <w:overflowPunct w:val="0"/>
        <w:autoSpaceDE w:val="0"/>
        <w:autoSpaceDN w:val="0"/>
        <w:adjustRightInd w:val="0"/>
        <w:jc w:val="both"/>
        <w:textAlignment w:val="baseline"/>
        <w:rPr>
          <w:rFonts w:eastAsia="SimSun" w:cs="Times"/>
          <w:szCs w:val="18"/>
          <w:lang w:val="en-US"/>
        </w:rPr>
      </w:pPr>
      <w:r w:rsidRPr="00BC1BA5">
        <w:rPr>
          <w:rFonts w:eastAsia="SimSun" w:cs="Times"/>
          <w:szCs w:val="18"/>
          <w:lang w:val="en-US"/>
        </w:rPr>
        <w:t xml:space="preserve">Adopt the following TP to TR 38.843: </w:t>
      </w:r>
    </w:p>
    <w:p w14:paraId="1AA0924D" w14:textId="77777777" w:rsidR="00BC1BA5" w:rsidRPr="00C14823" w:rsidRDefault="00BC1BA5" w:rsidP="00BC1BA5">
      <w:pPr>
        <w:rPr>
          <w:color w:val="FF0000"/>
        </w:rPr>
      </w:pPr>
      <w:r w:rsidRPr="00C14823">
        <w:rPr>
          <w:color w:val="FF0000"/>
        </w:rPr>
        <w:t>-------------------------------------------- Start of Text Proposal ---------------------------------------------</w:t>
      </w:r>
    </w:p>
    <w:p w14:paraId="6F164F70" w14:textId="77777777" w:rsidR="00BC1BA5" w:rsidRPr="00BC1BA5" w:rsidRDefault="00BC1BA5" w:rsidP="00BC1BA5">
      <w:pPr>
        <w:overflowPunct w:val="0"/>
        <w:autoSpaceDE w:val="0"/>
        <w:autoSpaceDN w:val="0"/>
        <w:adjustRightInd w:val="0"/>
        <w:jc w:val="both"/>
        <w:textAlignment w:val="baseline"/>
        <w:rPr>
          <w:rFonts w:ascii="Arial" w:eastAsia="SimSun" w:hAnsi="Arial" w:cs="Arial"/>
          <w:b/>
          <w:bCs/>
          <w:sz w:val="16"/>
          <w:szCs w:val="16"/>
          <w:lang w:val="en-US"/>
        </w:rPr>
      </w:pPr>
      <w:r w:rsidRPr="00BC1BA5">
        <w:rPr>
          <w:rFonts w:ascii="Arial" w:eastAsia="SimSun" w:hAnsi="Arial" w:cs="Arial"/>
          <w:b/>
          <w:bCs/>
          <w:sz w:val="16"/>
          <w:szCs w:val="16"/>
          <w:lang w:val="en-US"/>
        </w:rPr>
        <w:t>5.1</w:t>
      </w:r>
      <w:r w:rsidRPr="00BC1BA5">
        <w:rPr>
          <w:rFonts w:ascii="Arial" w:eastAsia="SimSun" w:hAnsi="Arial" w:cs="Arial"/>
          <w:b/>
          <w:bCs/>
          <w:sz w:val="16"/>
          <w:szCs w:val="16"/>
          <w:lang w:val="en-US"/>
        </w:rPr>
        <w:tab/>
        <w:t>CSI feedback enhancement</w:t>
      </w:r>
    </w:p>
    <w:p w14:paraId="45F25CF2" w14:textId="77777777" w:rsidR="00BC1BA5" w:rsidRPr="00BC1BA5" w:rsidRDefault="00BC1BA5" w:rsidP="00BC1BA5">
      <w:pPr>
        <w:overflowPunct w:val="0"/>
        <w:jc w:val="center"/>
        <w:textAlignment w:val="baseline"/>
        <w:rPr>
          <w:rFonts w:ascii="Arial" w:hAnsi="Arial" w:cs="Arial"/>
          <w:color w:val="FF0000"/>
          <w:sz w:val="16"/>
          <w:szCs w:val="16"/>
        </w:rPr>
      </w:pPr>
      <w:r w:rsidRPr="00BC1BA5">
        <w:rPr>
          <w:rFonts w:ascii="Arial" w:hAnsi="Arial" w:cs="Arial"/>
          <w:color w:val="FF0000"/>
          <w:sz w:val="16"/>
          <w:szCs w:val="16"/>
        </w:rPr>
        <w:t>*** Unchanged text is omitted ***</w:t>
      </w:r>
    </w:p>
    <w:p w14:paraId="7DE4810F" w14:textId="77777777" w:rsidR="00BC1BA5" w:rsidRPr="00BC1BA5" w:rsidRDefault="00BC1BA5" w:rsidP="00BC1BA5">
      <w:pPr>
        <w:rPr>
          <w:rFonts w:ascii="Arial" w:eastAsia="Malgun Gothic" w:hAnsi="Arial" w:cs="Arial"/>
          <w:strike/>
          <w:color w:val="000000"/>
          <w:sz w:val="16"/>
          <w:szCs w:val="16"/>
        </w:rPr>
      </w:pPr>
      <w:r w:rsidRPr="00BC1BA5">
        <w:rPr>
          <w:rFonts w:ascii="Arial" w:eastAsia="Malgun Gothic" w:hAnsi="Arial" w:cs="Arial"/>
          <w:strike/>
          <w:color w:val="000000"/>
          <w:sz w:val="16"/>
          <w:szCs w:val="16"/>
        </w:rPr>
        <w:t xml:space="preserve">In CSI compression using two-sided model use case with training collaboration Type 3, for sequential training, at least the following aspects have been identified for dataset delivery from RAN1 perspective, including:   </w:t>
      </w:r>
    </w:p>
    <w:p w14:paraId="423811CA" w14:textId="77777777" w:rsidR="00BC1BA5" w:rsidRPr="00BC1BA5" w:rsidRDefault="00BC1BA5" w:rsidP="00A67145">
      <w:pPr>
        <w:numPr>
          <w:ilvl w:val="0"/>
          <w:numId w:val="240"/>
        </w:numPr>
        <w:rPr>
          <w:rFonts w:ascii="Arial" w:eastAsia="Malgun Gothic" w:hAnsi="Arial" w:cs="Arial"/>
          <w:strike/>
          <w:color w:val="000000"/>
          <w:sz w:val="16"/>
          <w:szCs w:val="16"/>
          <w:lang w:val="en-US" w:eastAsia="x-none"/>
        </w:rPr>
      </w:pPr>
      <w:r w:rsidRPr="00BC1BA5">
        <w:rPr>
          <w:rFonts w:ascii="Arial" w:eastAsia="Malgun Gothic" w:hAnsi="Arial" w:cs="Arial"/>
          <w:strike/>
          <w:color w:val="000000"/>
          <w:sz w:val="16"/>
          <w:szCs w:val="16"/>
          <w:lang w:val="en-US" w:eastAsia="x-none"/>
        </w:rPr>
        <w:t>Dataset and/or other information delivery from UE side to NW side, which can be used at least for CSI reconstruction model training</w:t>
      </w:r>
    </w:p>
    <w:p w14:paraId="7C0F373D" w14:textId="77777777" w:rsidR="00BC1BA5" w:rsidRPr="00BC1BA5" w:rsidRDefault="00BC1BA5" w:rsidP="00A67145">
      <w:pPr>
        <w:numPr>
          <w:ilvl w:val="0"/>
          <w:numId w:val="240"/>
        </w:numPr>
        <w:rPr>
          <w:rFonts w:ascii="Arial" w:eastAsia="Malgun Gothic" w:hAnsi="Arial" w:cs="Arial"/>
          <w:strike/>
          <w:color w:val="000000"/>
          <w:sz w:val="16"/>
          <w:szCs w:val="16"/>
          <w:lang w:val="en-US" w:eastAsia="x-none"/>
        </w:rPr>
      </w:pPr>
      <w:r w:rsidRPr="00BC1BA5">
        <w:rPr>
          <w:rFonts w:ascii="Arial" w:eastAsia="Malgun Gothic" w:hAnsi="Arial" w:cs="Arial"/>
          <w:strike/>
          <w:color w:val="000000"/>
          <w:sz w:val="16"/>
          <w:szCs w:val="16"/>
          <w:lang w:val="en-US" w:eastAsia="x-none"/>
        </w:rPr>
        <w:t>Dataset and/or other information delivery from NW side to UE side, which can be used at least for CSI generation model training</w:t>
      </w:r>
    </w:p>
    <w:p w14:paraId="6EC71C96" w14:textId="77777777" w:rsidR="00BC1BA5" w:rsidRPr="00BC1BA5" w:rsidRDefault="00BC1BA5" w:rsidP="00A67145">
      <w:pPr>
        <w:numPr>
          <w:ilvl w:val="0"/>
          <w:numId w:val="240"/>
        </w:numPr>
        <w:rPr>
          <w:rFonts w:ascii="Arial" w:eastAsia="Malgun Gothic" w:hAnsi="Arial" w:cs="Arial"/>
          <w:strike/>
          <w:color w:val="000000"/>
          <w:sz w:val="16"/>
          <w:szCs w:val="16"/>
          <w:lang w:val="en-US" w:eastAsia="x-none"/>
        </w:rPr>
      </w:pPr>
      <w:r w:rsidRPr="00BC1BA5">
        <w:rPr>
          <w:rFonts w:ascii="Arial" w:eastAsia="Malgun Gothic" w:hAnsi="Arial" w:cs="Arial"/>
          <w:strike/>
          <w:color w:val="000000"/>
          <w:sz w:val="16"/>
          <w:szCs w:val="16"/>
          <w:lang w:eastAsia="x-none"/>
        </w:rPr>
        <w:t>Potential dataset delivery methods including offline delivery, and over the air delivery</w:t>
      </w:r>
    </w:p>
    <w:p w14:paraId="67A0A964" w14:textId="77777777" w:rsidR="00BC1BA5" w:rsidRPr="00BC1BA5" w:rsidRDefault="00BC1BA5" w:rsidP="00A67145">
      <w:pPr>
        <w:numPr>
          <w:ilvl w:val="0"/>
          <w:numId w:val="240"/>
        </w:numPr>
        <w:rPr>
          <w:rFonts w:ascii="Arial" w:eastAsia="Malgun Gothic" w:hAnsi="Arial" w:cs="Arial"/>
          <w:strike/>
          <w:color w:val="000000"/>
          <w:sz w:val="16"/>
          <w:szCs w:val="16"/>
          <w:lang w:val="en-US" w:eastAsia="x-none"/>
        </w:rPr>
      </w:pPr>
      <w:r w:rsidRPr="00BC1BA5">
        <w:rPr>
          <w:rFonts w:ascii="Arial" w:eastAsia="Malgun Gothic" w:hAnsi="Arial" w:cs="Arial"/>
          <w:strike/>
          <w:color w:val="000000"/>
          <w:sz w:val="16"/>
          <w:szCs w:val="16"/>
          <w:lang w:val="en-US" w:eastAsia="x-none"/>
        </w:rPr>
        <w:t>Data sample format/type</w:t>
      </w:r>
      <w:r w:rsidRPr="00BC1BA5">
        <w:rPr>
          <w:rFonts w:ascii="Arial" w:eastAsia="Malgun Gothic" w:hAnsi="Arial" w:cs="Arial"/>
          <w:strike/>
          <w:color w:val="FF0000"/>
          <w:sz w:val="16"/>
          <w:szCs w:val="16"/>
          <w:lang w:val="en-US" w:eastAsia="x-none"/>
        </w:rPr>
        <w:t xml:space="preserve"> </w:t>
      </w:r>
    </w:p>
    <w:p w14:paraId="198F47C2" w14:textId="77777777" w:rsidR="00BC1BA5" w:rsidRPr="00BC1BA5" w:rsidRDefault="00BC1BA5" w:rsidP="00A67145">
      <w:pPr>
        <w:numPr>
          <w:ilvl w:val="0"/>
          <w:numId w:val="240"/>
        </w:numPr>
        <w:rPr>
          <w:rFonts w:ascii="Arial" w:eastAsia="Malgun Gothic" w:hAnsi="Arial" w:cs="Arial"/>
          <w:strike/>
          <w:color w:val="000000"/>
          <w:sz w:val="16"/>
          <w:szCs w:val="16"/>
          <w:lang w:val="en-US" w:eastAsia="x-none"/>
        </w:rPr>
      </w:pPr>
      <w:r w:rsidRPr="00BC1BA5">
        <w:rPr>
          <w:rFonts w:ascii="Arial" w:eastAsia="Malgun Gothic" w:hAnsi="Arial" w:cs="Arial"/>
          <w:strike/>
          <w:color w:val="000000"/>
          <w:sz w:val="16"/>
          <w:szCs w:val="16"/>
          <w:lang w:val="fr-FR" w:eastAsia="x-none"/>
        </w:rPr>
        <w:t>Quantization/de-quantization related information</w:t>
      </w:r>
    </w:p>
    <w:p w14:paraId="28C09C91" w14:textId="77777777" w:rsidR="00BC1BA5" w:rsidRPr="00BC1BA5" w:rsidRDefault="00BC1BA5" w:rsidP="00BC1BA5">
      <w:pPr>
        <w:overflowPunct w:val="0"/>
        <w:jc w:val="center"/>
        <w:textAlignment w:val="baseline"/>
        <w:rPr>
          <w:rFonts w:ascii="Arial" w:hAnsi="Arial" w:cs="Arial"/>
          <w:b/>
          <w:sz w:val="16"/>
          <w:szCs w:val="16"/>
        </w:rPr>
      </w:pPr>
      <w:r w:rsidRPr="00BC1BA5">
        <w:rPr>
          <w:rFonts w:ascii="Arial" w:hAnsi="Arial" w:cs="Arial"/>
          <w:color w:val="FF0000"/>
          <w:sz w:val="16"/>
          <w:szCs w:val="16"/>
        </w:rPr>
        <w:t>*** Unchanged text is omitted ***</w:t>
      </w:r>
    </w:p>
    <w:p w14:paraId="2EB89D82" w14:textId="77777777" w:rsidR="00BC1BA5" w:rsidRPr="00BC1BA5" w:rsidRDefault="00BC1BA5" w:rsidP="00BC1BA5">
      <w:pPr>
        <w:overflowPunct w:val="0"/>
        <w:autoSpaceDE w:val="0"/>
        <w:autoSpaceDN w:val="0"/>
        <w:adjustRightInd w:val="0"/>
        <w:jc w:val="both"/>
        <w:textAlignment w:val="baseline"/>
        <w:rPr>
          <w:rFonts w:ascii="Arial" w:eastAsia="SimSun" w:hAnsi="Arial" w:cs="Arial"/>
          <w:b/>
          <w:bCs/>
          <w:sz w:val="16"/>
          <w:szCs w:val="16"/>
          <w:lang w:val="en-US"/>
        </w:rPr>
      </w:pPr>
      <w:r w:rsidRPr="00BC1BA5">
        <w:rPr>
          <w:rFonts w:ascii="Arial" w:eastAsia="SimSun" w:hAnsi="Arial" w:cs="Arial"/>
          <w:b/>
          <w:bCs/>
          <w:sz w:val="16"/>
          <w:szCs w:val="16"/>
          <w:lang w:val="en-US"/>
        </w:rPr>
        <w:t>7.2.2</w:t>
      </w:r>
      <w:r w:rsidRPr="00BC1BA5">
        <w:rPr>
          <w:rFonts w:ascii="Arial" w:eastAsia="SimSun" w:hAnsi="Arial" w:cs="Arial"/>
          <w:b/>
          <w:bCs/>
          <w:sz w:val="16"/>
          <w:szCs w:val="16"/>
          <w:lang w:val="en-US"/>
        </w:rPr>
        <w:tab/>
        <w:t xml:space="preserve">CSI feedback enhancement </w:t>
      </w:r>
    </w:p>
    <w:p w14:paraId="7B7F3FCB" w14:textId="77777777" w:rsidR="00BC1BA5" w:rsidRPr="00BC1BA5" w:rsidRDefault="00BC1BA5" w:rsidP="00BC1BA5">
      <w:pPr>
        <w:rPr>
          <w:rFonts w:ascii="Arial" w:hAnsi="Arial" w:cs="Arial"/>
          <w:i/>
          <w:iCs/>
          <w:sz w:val="16"/>
          <w:szCs w:val="16"/>
        </w:rPr>
      </w:pPr>
      <w:r w:rsidRPr="00BC1BA5">
        <w:rPr>
          <w:rFonts w:ascii="Arial" w:hAnsi="Arial" w:cs="Arial"/>
          <w:i/>
          <w:iCs/>
          <w:sz w:val="16"/>
          <w:szCs w:val="16"/>
        </w:rPr>
        <w:t xml:space="preserve">Items considered for study the necessity, feasibility, potential specification impact: </w:t>
      </w:r>
    </w:p>
    <w:p w14:paraId="5BBF467B" w14:textId="77777777" w:rsidR="00BC1BA5" w:rsidRPr="00BC1BA5" w:rsidRDefault="00BC1BA5" w:rsidP="00BC1BA5">
      <w:pPr>
        <w:rPr>
          <w:rFonts w:ascii="Arial" w:hAnsi="Arial" w:cs="Arial"/>
          <w:sz w:val="16"/>
          <w:szCs w:val="16"/>
        </w:rPr>
      </w:pPr>
      <w:r w:rsidRPr="00BC1BA5">
        <w:rPr>
          <w:rFonts w:ascii="Arial" w:eastAsia="Malgun Gothic" w:hAnsi="Arial" w:cs="Arial"/>
          <w:sz w:val="16"/>
          <w:szCs w:val="16"/>
        </w:rPr>
        <w:t xml:space="preserve">In CSI compression using two-sided model use case: </w:t>
      </w:r>
    </w:p>
    <w:p w14:paraId="1590F2C4" w14:textId="77777777" w:rsidR="00BC1BA5" w:rsidRPr="00BC1BA5" w:rsidRDefault="00BC1BA5" w:rsidP="00BC1BA5">
      <w:pPr>
        <w:overflowPunct w:val="0"/>
        <w:jc w:val="center"/>
        <w:textAlignment w:val="baseline"/>
        <w:rPr>
          <w:rFonts w:ascii="Arial" w:hAnsi="Arial" w:cs="Arial"/>
          <w:b/>
          <w:sz w:val="16"/>
          <w:szCs w:val="16"/>
        </w:rPr>
      </w:pPr>
      <w:r w:rsidRPr="00BC1BA5">
        <w:rPr>
          <w:rFonts w:ascii="Arial" w:hAnsi="Arial" w:cs="Arial"/>
          <w:color w:val="FF0000"/>
          <w:sz w:val="16"/>
          <w:szCs w:val="16"/>
        </w:rPr>
        <w:t>*** Unchanged text is omitted ***</w:t>
      </w:r>
    </w:p>
    <w:p w14:paraId="74BE0B36" w14:textId="77777777" w:rsidR="00BC1BA5" w:rsidRPr="00BC1BA5" w:rsidRDefault="00BC1BA5" w:rsidP="00BC1BA5">
      <w:pPr>
        <w:rPr>
          <w:rFonts w:ascii="Arial" w:hAnsi="Arial" w:cs="Arial"/>
          <w:i/>
          <w:iCs/>
          <w:sz w:val="16"/>
          <w:szCs w:val="16"/>
        </w:rPr>
      </w:pPr>
      <w:r w:rsidRPr="00BC1BA5">
        <w:rPr>
          <w:rFonts w:ascii="Arial" w:hAnsi="Arial" w:cs="Arial"/>
          <w:i/>
          <w:iCs/>
          <w:sz w:val="16"/>
          <w:szCs w:val="16"/>
        </w:rPr>
        <w:t>NW side data collection:</w:t>
      </w:r>
    </w:p>
    <w:p w14:paraId="39C117CB" w14:textId="0F43ED75" w:rsidR="00BC1BA5" w:rsidRPr="00926FB1" w:rsidRDefault="00BC1BA5" w:rsidP="00A67145">
      <w:pPr>
        <w:pStyle w:val="ListParagraph"/>
        <w:numPr>
          <w:ilvl w:val="0"/>
          <w:numId w:val="242"/>
        </w:numPr>
        <w:rPr>
          <w:rFonts w:ascii="Arial" w:hAnsi="Arial" w:cs="Arial"/>
          <w:sz w:val="16"/>
          <w:szCs w:val="16"/>
        </w:rPr>
      </w:pPr>
      <w:r w:rsidRPr="00926FB1">
        <w:rPr>
          <w:rFonts w:ascii="Arial" w:hAnsi="Arial" w:cs="Arial"/>
          <w:sz w:val="16"/>
          <w:szCs w:val="16"/>
        </w:rPr>
        <w:t xml:space="preserve">Enhancement of SRS and/or CSI-RS measurement and/or CSI reporting to enable higher accuracy measurement. </w:t>
      </w:r>
    </w:p>
    <w:p w14:paraId="3FBAA648" w14:textId="378BC954" w:rsidR="00BC1BA5" w:rsidRPr="00926FB1" w:rsidRDefault="00BC1BA5" w:rsidP="00A67145">
      <w:pPr>
        <w:pStyle w:val="ListParagraph"/>
        <w:numPr>
          <w:ilvl w:val="0"/>
          <w:numId w:val="242"/>
        </w:numPr>
        <w:rPr>
          <w:rFonts w:ascii="Arial" w:hAnsi="Arial" w:cs="Arial"/>
          <w:sz w:val="16"/>
          <w:szCs w:val="16"/>
        </w:rPr>
      </w:pPr>
      <w:r w:rsidRPr="00926FB1">
        <w:rPr>
          <w:rFonts w:ascii="Arial" w:hAnsi="Arial" w:cs="Arial"/>
          <w:sz w:val="16"/>
          <w:szCs w:val="16"/>
        </w:rPr>
        <w:t xml:space="preserve">Contents of the ground-truth CSI including: </w:t>
      </w:r>
      <w:r w:rsidRPr="00926FB1">
        <w:rPr>
          <w:rFonts w:ascii="Arial" w:eastAsia="DengXian" w:hAnsi="Arial" w:cs="Arial"/>
          <w:sz w:val="16"/>
          <w:szCs w:val="16"/>
        </w:rPr>
        <w:t xml:space="preserve"> </w:t>
      </w:r>
    </w:p>
    <w:p w14:paraId="7689E255" w14:textId="165020F0" w:rsidR="00BC1BA5" w:rsidRPr="00926FB1" w:rsidRDefault="00BC1BA5" w:rsidP="00A67145">
      <w:pPr>
        <w:pStyle w:val="ListParagraph"/>
        <w:numPr>
          <w:ilvl w:val="1"/>
          <w:numId w:val="242"/>
        </w:numPr>
        <w:rPr>
          <w:rFonts w:ascii="Arial" w:hAnsi="Arial" w:cs="Arial"/>
          <w:sz w:val="16"/>
          <w:szCs w:val="16"/>
        </w:rPr>
      </w:pPr>
      <w:r w:rsidRPr="00926FB1">
        <w:rPr>
          <w:rFonts w:ascii="Arial" w:hAnsi="Arial" w:cs="Arial"/>
          <w:sz w:val="16"/>
          <w:szCs w:val="16"/>
        </w:rPr>
        <w:t>Data sample type, e.g., precoding matrix, channel matrix etc.</w:t>
      </w:r>
    </w:p>
    <w:p w14:paraId="22BCD057" w14:textId="086B3A75" w:rsidR="00BC1BA5" w:rsidRPr="00926FB1" w:rsidRDefault="00BC1BA5" w:rsidP="00A67145">
      <w:pPr>
        <w:pStyle w:val="ListParagraph"/>
        <w:numPr>
          <w:ilvl w:val="1"/>
          <w:numId w:val="242"/>
        </w:numPr>
        <w:rPr>
          <w:rFonts w:ascii="Arial" w:hAnsi="Arial" w:cs="Arial"/>
          <w:sz w:val="16"/>
          <w:szCs w:val="16"/>
        </w:rPr>
      </w:pPr>
      <w:r w:rsidRPr="00926FB1">
        <w:rPr>
          <w:rFonts w:ascii="Arial" w:hAnsi="Arial" w:cs="Arial"/>
          <w:sz w:val="16"/>
          <w:szCs w:val="16"/>
        </w:rPr>
        <w:t xml:space="preserve">Data sample format: scaler quantization and/or codebook-based quantization (e.g., e-type II like). </w:t>
      </w:r>
    </w:p>
    <w:p w14:paraId="40915E04" w14:textId="12AA1E26" w:rsidR="00BC1BA5" w:rsidRPr="00926FB1" w:rsidRDefault="00BC1BA5" w:rsidP="00A67145">
      <w:pPr>
        <w:pStyle w:val="ListParagraph"/>
        <w:numPr>
          <w:ilvl w:val="1"/>
          <w:numId w:val="242"/>
        </w:numPr>
        <w:rPr>
          <w:rFonts w:ascii="Arial" w:hAnsi="Arial" w:cs="Arial"/>
          <w:sz w:val="16"/>
          <w:szCs w:val="16"/>
        </w:rPr>
      </w:pPr>
      <w:r w:rsidRPr="00926FB1">
        <w:rPr>
          <w:rFonts w:ascii="Arial" w:hAnsi="Arial" w:cs="Arial"/>
          <w:sz w:val="16"/>
          <w:szCs w:val="16"/>
        </w:rPr>
        <w:t>Assistance information (e.g., time stamps, and/or cell ID,</w:t>
      </w:r>
      <w:r w:rsidRPr="00926FB1">
        <w:rPr>
          <w:rFonts w:ascii="Arial" w:eastAsia="DengXian" w:hAnsi="Arial" w:cs="Arial"/>
          <w:sz w:val="16"/>
          <w:szCs w:val="16"/>
        </w:rPr>
        <w:t xml:space="preserve"> Assistance information for Network data collection for categorizing the data in forms of ID for</w:t>
      </w:r>
      <w:r w:rsidRPr="00926FB1">
        <w:rPr>
          <w:rFonts w:ascii="Arial" w:hAnsi="Arial" w:cs="Arial"/>
          <w:sz w:val="16"/>
          <w:szCs w:val="16"/>
        </w:rPr>
        <w:t xml:space="preserve"> </w:t>
      </w:r>
      <w:r w:rsidRPr="00926FB1">
        <w:rPr>
          <w:rFonts w:ascii="Arial" w:eastAsia="DengXian" w:hAnsi="Arial" w:cs="Arial"/>
          <w:sz w:val="16"/>
          <w:szCs w:val="16"/>
        </w:rPr>
        <w:t>the purpose of differentiating characteristics of data due to specific configuration, scenarios, site etc.</w:t>
      </w:r>
      <w:r w:rsidRPr="00926FB1">
        <w:rPr>
          <w:rFonts w:ascii="Arial" w:hAnsi="Arial" w:cs="Arial"/>
          <w:sz w:val="16"/>
          <w:szCs w:val="16"/>
        </w:rPr>
        <w:t>, and data quality indicator)</w:t>
      </w:r>
    </w:p>
    <w:p w14:paraId="23D09313" w14:textId="136905EC" w:rsidR="00BC1BA5" w:rsidRPr="00926FB1" w:rsidRDefault="00BC1BA5" w:rsidP="00A67145">
      <w:pPr>
        <w:pStyle w:val="ListParagraph"/>
        <w:numPr>
          <w:ilvl w:val="0"/>
          <w:numId w:val="242"/>
        </w:numPr>
        <w:rPr>
          <w:rFonts w:ascii="Arial" w:hAnsi="Arial" w:cs="Arial"/>
          <w:color w:val="000000"/>
          <w:sz w:val="16"/>
          <w:szCs w:val="16"/>
        </w:rPr>
      </w:pPr>
      <w:r w:rsidRPr="00926FB1">
        <w:rPr>
          <w:rFonts w:ascii="Arial" w:hAnsi="Arial" w:cs="Arial"/>
          <w:color w:val="000000"/>
          <w:sz w:val="16"/>
          <w:szCs w:val="16"/>
        </w:rPr>
        <w:t>Latency requirement for data collection</w:t>
      </w:r>
    </w:p>
    <w:p w14:paraId="13A70EA8" w14:textId="7653D0EE" w:rsidR="00BC1BA5" w:rsidRPr="00926FB1" w:rsidRDefault="00BC1BA5" w:rsidP="00A67145">
      <w:pPr>
        <w:pStyle w:val="ListParagraph"/>
        <w:numPr>
          <w:ilvl w:val="0"/>
          <w:numId w:val="242"/>
        </w:numPr>
        <w:rPr>
          <w:rFonts w:ascii="Arial" w:hAnsi="Arial" w:cs="Arial"/>
          <w:color w:val="000000"/>
          <w:sz w:val="16"/>
          <w:szCs w:val="16"/>
        </w:rPr>
      </w:pPr>
      <w:r w:rsidRPr="00926FB1">
        <w:rPr>
          <w:rFonts w:ascii="Arial" w:hAnsi="Arial" w:cs="Arial"/>
          <w:color w:val="000000"/>
          <w:sz w:val="16"/>
          <w:szCs w:val="16"/>
        </w:rPr>
        <w:t>Signaling for triggering the data collection</w:t>
      </w:r>
    </w:p>
    <w:p w14:paraId="0AE9F2D7" w14:textId="745DD9D4" w:rsidR="00BC1BA5" w:rsidRPr="00926FB1" w:rsidRDefault="00BC1BA5" w:rsidP="00A67145">
      <w:pPr>
        <w:pStyle w:val="ListParagraph"/>
        <w:numPr>
          <w:ilvl w:val="0"/>
          <w:numId w:val="242"/>
        </w:numPr>
        <w:rPr>
          <w:rFonts w:ascii="Arial" w:hAnsi="Arial" w:cs="Arial"/>
          <w:color w:val="000000"/>
          <w:sz w:val="16"/>
          <w:szCs w:val="16"/>
        </w:rPr>
      </w:pPr>
      <w:r w:rsidRPr="00926FB1">
        <w:rPr>
          <w:rFonts w:ascii="Arial" w:hAnsi="Arial" w:cs="Arial"/>
          <w:color w:val="000000"/>
          <w:sz w:val="16"/>
          <w:szCs w:val="16"/>
        </w:rPr>
        <w:lastRenderedPageBreak/>
        <w:t xml:space="preserve">Ground-truth CSI report for NW side data collection </w:t>
      </w:r>
      <w:r w:rsidRPr="00926FB1">
        <w:rPr>
          <w:rFonts w:ascii="Arial" w:hAnsi="Arial" w:cs="Arial"/>
          <w:i/>
          <w:iCs/>
          <w:color w:val="000000"/>
          <w:sz w:val="16"/>
          <w:szCs w:val="16"/>
        </w:rPr>
        <w:t>for model performance monitoring</w:t>
      </w:r>
      <w:r w:rsidRPr="00926FB1">
        <w:rPr>
          <w:rFonts w:ascii="Arial" w:hAnsi="Arial" w:cs="Arial"/>
          <w:color w:val="000000"/>
          <w:sz w:val="16"/>
          <w:szCs w:val="16"/>
        </w:rPr>
        <w:t xml:space="preserve">, including: </w:t>
      </w:r>
    </w:p>
    <w:p w14:paraId="4C15D13C" w14:textId="4EBE2EA7" w:rsidR="00BC1BA5" w:rsidRPr="00926FB1" w:rsidRDefault="00BC1BA5" w:rsidP="00A67145">
      <w:pPr>
        <w:pStyle w:val="ListParagraph"/>
        <w:numPr>
          <w:ilvl w:val="1"/>
          <w:numId w:val="242"/>
        </w:numPr>
        <w:rPr>
          <w:rFonts w:ascii="Arial" w:hAnsi="Arial" w:cs="Arial"/>
          <w:sz w:val="16"/>
          <w:szCs w:val="16"/>
        </w:rPr>
      </w:pPr>
      <w:r w:rsidRPr="00926FB1">
        <w:rPr>
          <w:rFonts w:ascii="Arial" w:hAnsi="Arial" w:cs="Arial"/>
          <w:sz w:val="16"/>
          <w:szCs w:val="16"/>
        </w:rPr>
        <w:t>Scalar quantization for ground-truth CSI</w:t>
      </w:r>
    </w:p>
    <w:p w14:paraId="7C08CE4C" w14:textId="7BAAFB5C" w:rsidR="00BC1BA5" w:rsidRPr="00926FB1" w:rsidRDefault="00BC1BA5" w:rsidP="00A67145">
      <w:pPr>
        <w:pStyle w:val="ListParagraph"/>
        <w:numPr>
          <w:ilvl w:val="1"/>
          <w:numId w:val="242"/>
        </w:numPr>
        <w:rPr>
          <w:rFonts w:ascii="Arial" w:hAnsi="Arial" w:cs="Arial"/>
          <w:sz w:val="16"/>
          <w:szCs w:val="16"/>
        </w:rPr>
      </w:pPr>
      <w:r w:rsidRPr="00926FB1">
        <w:rPr>
          <w:rFonts w:ascii="Arial" w:hAnsi="Arial" w:cs="Arial"/>
          <w:sz w:val="16"/>
          <w:szCs w:val="16"/>
        </w:rPr>
        <w:t>Codebook-based quantization for ground-truth CSI</w:t>
      </w:r>
    </w:p>
    <w:p w14:paraId="78DF4233" w14:textId="3A4F962E" w:rsidR="00BC1BA5" w:rsidRPr="00926FB1" w:rsidRDefault="00BC1BA5" w:rsidP="00A67145">
      <w:pPr>
        <w:pStyle w:val="ListParagraph"/>
        <w:numPr>
          <w:ilvl w:val="1"/>
          <w:numId w:val="242"/>
        </w:numPr>
        <w:rPr>
          <w:rFonts w:ascii="Arial" w:hAnsi="Arial" w:cs="Arial"/>
          <w:sz w:val="16"/>
          <w:szCs w:val="16"/>
        </w:rPr>
      </w:pPr>
      <w:r w:rsidRPr="00926FB1">
        <w:rPr>
          <w:rFonts w:ascii="Arial" w:hAnsi="Arial" w:cs="Arial"/>
          <w:sz w:val="16"/>
          <w:szCs w:val="16"/>
        </w:rPr>
        <w:t>RRC signalling and/or L1 signalling procedure to enable fast identification of AI/ML model performance</w:t>
      </w:r>
    </w:p>
    <w:p w14:paraId="27FBA3D4" w14:textId="642D3DB1" w:rsidR="00BC1BA5" w:rsidRPr="00926FB1" w:rsidRDefault="00BC1BA5" w:rsidP="00A67145">
      <w:pPr>
        <w:pStyle w:val="ListParagraph"/>
        <w:numPr>
          <w:ilvl w:val="1"/>
          <w:numId w:val="242"/>
        </w:numPr>
        <w:rPr>
          <w:rFonts w:ascii="Arial" w:hAnsi="Arial" w:cs="Arial"/>
          <w:sz w:val="16"/>
          <w:szCs w:val="16"/>
        </w:rPr>
      </w:pPr>
      <w:r w:rsidRPr="00926FB1">
        <w:rPr>
          <w:rFonts w:ascii="Arial" w:hAnsi="Arial" w:cs="Arial"/>
          <w:sz w:val="16"/>
          <w:szCs w:val="16"/>
        </w:rPr>
        <w:t>Aperiodic/semi-persistent or periodic ground-truth CSI report</w:t>
      </w:r>
    </w:p>
    <w:p w14:paraId="7BC8B4E2" w14:textId="7A40738D" w:rsidR="00BC1BA5" w:rsidRPr="00926FB1" w:rsidRDefault="00BC1BA5" w:rsidP="00A67145">
      <w:pPr>
        <w:pStyle w:val="ListParagraph"/>
        <w:numPr>
          <w:ilvl w:val="0"/>
          <w:numId w:val="242"/>
        </w:numPr>
        <w:rPr>
          <w:rFonts w:ascii="Arial" w:hAnsi="Arial" w:cs="Arial"/>
          <w:color w:val="000000"/>
          <w:sz w:val="16"/>
          <w:szCs w:val="16"/>
        </w:rPr>
      </w:pPr>
      <w:r w:rsidRPr="00926FB1">
        <w:rPr>
          <w:rFonts w:ascii="Arial" w:hAnsi="Arial" w:cs="Arial"/>
          <w:color w:val="000000"/>
          <w:sz w:val="16"/>
          <w:szCs w:val="16"/>
        </w:rPr>
        <w:t xml:space="preserve">Ground-truth CSI format </w:t>
      </w:r>
      <w:r w:rsidRPr="00926FB1">
        <w:rPr>
          <w:rFonts w:ascii="Arial" w:hAnsi="Arial" w:cs="Arial"/>
          <w:i/>
          <w:iCs/>
          <w:color w:val="000000"/>
          <w:sz w:val="16"/>
          <w:szCs w:val="16"/>
        </w:rPr>
        <w:t>for model training</w:t>
      </w:r>
      <w:r w:rsidRPr="00926FB1">
        <w:rPr>
          <w:rFonts w:ascii="Arial" w:hAnsi="Arial" w:cs="Arial"/>
          <w:color w:val="000000"/>
          <w:sz w:val="16"/>
          <w:szCs w:val="16"/>
        </w:rPr>
        <w:t>, including scalar or codebook-based quantization for ground-truth CSI. The number of layers for which the ground truth data is collected, and whether UE or NW determine the number of layers for ground-truth CSI data collection, are considered.</w:t>
      </w:r>
    </w:p>
    <w:p w14:paraId="18C62515" w14:textId="0C6CFE72" w:rsidR="00BC1BA5" w:rsidRPr="00BC1BA5" w:rsidRDefault="00BC1BA5" w:rsidP="00BC1BA5">
      <w:pPr>
        <w:rPr>
          <w:rFonts w:ascii="Arial" w:eastAsia="Malgun Gothic" w:hAnsi="Arial" w:cs="Arial"/>
          <w:color w:val="FF0000"/>
          <w:sz w:val="16"/>
          <w:szCs w:val="16"/>
        </w:rPr>
      </w:pPr>
      <w:r w:rsidRPr="00BC1BA5">
        <w:rPr>
          <w:rFonts w:ascii="Arial" w:eastAsia="Malgun Gothic" w:hAnsi="Arial" w:cs="Arial"/>
          <w:color w:val="FF0000"/>
          <w:sz w:val="16"/>
          <w:szCs w:val="16"/>
        </w:rPr>
        <w:t>In CSI compression using two-sided model use case with training collaboration Type 3, for sequential training, at least the following aspects have been identified for dataset delivery from RAN1 perspective, including:</w:t>
      </w:r>
    </w:p>
    <w:p w14:paraId="04896768" w14:textId="77777777" w:rsidR="00BC1BA5" w:rsidRPr="00BC1BA5" w:rsidRDefault="00BC1BA5" w:rsidP="00A67145">
      <w:pPr>
        <w:numPr>
          <w:ilvl w:val="0"/>
          <w:numId w:val="241"/>
        </w:numPr>
        <w:rPr>
          <w:rFonts w:ascii="Arial" w:eastAsia="Malgun Gothic" w:hAnsi="Arial" w:cs="Arial"/>
          <w:color w:val="FF0000"/>
          <w:sz w:val="16"/>
          <w:szCs w:val="16"/>
          <w:lang w:val="en-US" w:eastAsia="x-none"/>
        </w:rPr>
      </w:pPr>
      <w:r w:rsidRPr="00BC1BA5">
        <w:rPr>
          <w:rFonts w:ascii="Arial" w:eastAsia="Malgun Gothic" w:hAnsi="Arial" w:cs="Arial"/>
          <w:color w:val="FF0000"/>
          <w:sz w:val="16"/>
          <w:szCs w:val="16"/>
          <w:lang w:val="en-US" w:eastAsia="x-none"/>
        </w:rPr>
        <w:t>Dataset and/or other information delivery from UE side to NW side, which can be used at least for CSI reconstruction model training</w:t>
      </w:r>
    </w:p>
    <w:p w14:paraId="2650ACEA" w14:textId="77777777" w:rsidR="00BC1BA5" w:rsidRPr="00BC1BA5" w:rsidRDefault="00BC1BA5" w:rsidP="00A67145">
      <w:pPr>
        <w:numPr>
          <w:ilvl w:val="0"/>
          <w:numId w:val="241"/>
        </w:numPr>
        <w:rPr>
          <w:rFonts w:ascii="Arial" w:eastAsia="Malgun Gothic" w:hAnsi="Arial" w:cs="Arial"/>
          <w:color w:val="FF0000"/>
          <w:sz w:val="16"/>
          <w:szCs w:val="16"/>
          <w:lang w:val="en-US" w:eastAsia="x-none"/>
        </w:rPr>
      </w:pPr>
      <w:r w:rsidRPr="00BC1BA5">
        <w:rPr>
          <w:rFonts w:ascii="Arial" w:eastAsia="Malgun Gothic" w:hAnsi="Arial" w:cs="Arial"/>
          <w:color w:val="FF0000"/>
          <w:sz w:val="16"/>
          <w:szCs w:val="16"/>
          <w:lang w:val="en-US" w:eastAsia="x-none"/>
        </w:rPr>
        <w:t>Dataset and/or other information delivery from NW side to UE side, which can be used at least for CSI generation model training</w:t>
      </w:r>
    </w:p>
    <w:p w14:paraId="00066654" w14:textId="77777777" w:rsidR="00BC1BA5" w:rsidRPr="00BC1BA5" w:rsidRDefault="00BC1BA5" w:rsidP="00A67145">
      <w:pPr>
        <w:numPr>
          <w:ilvl w:val="0"/>
          <w:numId w:val="241"/>
        </w:numPr>
        <w:rPr>
          <w:rFonts w:ascii="Arial" w:eastAsia="Malgun Gothic" w:hAnsi="Arial" w:cs="Arial"/>
          <w:color w:val="FF0000"/>
          <w:sz w:val="16"/>
          <w:szCs w:val="16"/>
          <w:lang w:val="en-US" w:eastAsia="x-none"/>
        </w:rPr>
      </w:pPr>
      <w:r w:rsidRPr="00BC1BA5">
        <w:rPr>
          <w:rFonts w:ascii="Arial" w:eastAsia="Malgun Gothic" w:hAnsi="Arial" w:cs="Arial"/>
          <w:color w:val="FF0000"/>
          <w:sz w:val="16"/>
          <w:szCs w:val="16"/>
          <w:lang w:eastAsia="x-none"/>
        </w:rPr>
        <w:t>Potential dataset delivery methods including offline delivery, and over the air delivery</w:t>
      </w:r>
    </w:p>
    <w:p w14:paraId="1090456A" w14:textId="77777777" w:rsidR="00BC1BA5" w:rsidRPr="00BC1BA5" w:rsidRDefault="00BC1BA5" w:rsidP="00A67145">
      <w:pPr>
        <w:numPr>
          <w:ilvl w:val="0"/>
          <w:numId w:val="241"/>
        </w:numPr>
        <w:rPr>
          <w:rFonts w:ascii="Arial" w:eastAsia="Malgun Gothic" w:hAnsi="Arial" w:cs="Arial"/>
          <w:color w:val="FF0000"/>
          <w:sz w:val="16"/>
          <w:szCs w:val="16"/>
          <w:lang w:val="en-US" w:eastAsia="x-none"/>
        </w:rPr>
      </w:pPr>
      <w:r w:rsidRPr="00BC1BA5">
        <w:rPr>
          <w:rFonts w:ascii="Arial" w:eastAsia="Malgun Gothic" w:hAnsi="Arial" w:cs="Arial"/>
          <w:color w:val="FF0000"/>
          <w:sz w:val="16"/>
          <w:szCs w:val="16"/>
          <w:lang w:val="en-US" w:eastAsia="x-none"/>
        </w:rPr>
        <w:t xml:space="preserve">Data sample format/type </w:t>
      </w:r>
    </w:p>
    <w:p w14:paraId="09C39D06" w14:textId="77777777" w:rsidR="00BC1BA5" w:rsidRPr="00BC1BA5" w:rsidRDefault="00BC1BA5" w:rsidP="00A67145">
      <w:pPr>
        <w:numPr>
          <w:ilvl w:val="0"/>
          <w:numId w:val="241"/>
        </w:numPr>
        <w:rPr>
          <w:rFonts w:ascii="Arial" w:eastAsia="Malgun Gothic" w:hAnsi="Arial" w:cs="Arial"/>
          <w:color w:val="FF0000"/>
          <w:sz w:val="16"/>
          <w:szCs w:val="16"/>
          <w:lang w:val="en-US" w:eastAsia="x-none"/>
        </w:rPr>
      </w:pPr>
      <w:r w:rsidRPr="00BC1BA5">
        <w:rPr>
          <w:rFonts w:ascii="Arial" w:eastAsia="Malgun Gothic" w:hAnsi="Arial" w:cs="Arial"/>
          <w:color w:val="FF0000"/>
          <w:sz w:val="16"/>
          <w:szCs w:val="16"/>
          <w:lang w:val="fr-FR" w:eastAsia="x-none"/>
        </w:rPr>
        <w:t>Quantization/de-quantization related information</w:t>
      </w:r>
    </w:p>
    <w:p w14:paraId="520CA657" w14:textId="77777777" w:rsidR="00BC1BA5" w:rsidRPr="00C14823" w:rsidRDefault="00BC1BA5" w:rsidP="00BC1BA5">
      <w:pPr>
        <w:rPr>
          <w:color w:val="FF0000"/>
        </w:rPr>
      </w:pPr>
      <w:r w:rsidRPr="00C14823">
        <w:rPr>
          <w:color w:val="FF0000"/>
        </w:rPr>
        <w:t>-------------------------------------------- End of Text Proposal ----------------------------------------------</w:t>
      </w:r>
    </w:p>
    <w:p w14:paraId="50B59245" w14:textId="77777777" w:rsidR="00BC1BA5" w:rsidRPr="00BC1BA5" w:rsidRDefault="00BC1BA5" w:rsidP="00926FB1"/>
    <w:p w14:paraId="60B94FF5" w14:textId="77777777" w:rsidR="00BC1BA5" w:rsidRPr="00BC1BA5" w:rsidRDefault="00BC1BA5" w:rsidP="00BC1BA5">
      <w:pPr>
        <w:rPr>
          <w:highlight w:val="green"/>
          <w:lang w:eastAsia="x-none"/>
        </w:rPr>
      </w:pPr>
      <w:r w:rsidRPr="00BC1BA5">
        <w:rPr>
          <w:highlight w:val="green"/>
          <w:lang w:eastAsia="x-none"/>
        </w:rPr>
        <w:t>Agreement</w:t>
      </w:r>
    </w:p>
    <w:p w14:paraId="403D639D" w14:textId="69268367" w:rsidR="00BC1BA5" w:rsidRPr="00BC1BA5" w:rsidRDefault="00BC1BA5" w:rsidP="00BC1BA5">
      <w:pPr>
        <w:overflowPunct w:val="0"/>
        <w:autoSpaceDE w:val="0"/>
        <w:autoSpaceDN w:val="0"/>
        <w:adjustRightInd w:val="0"/>
        <w:jc w:val="both"/>
        <w:textAlignment w:val="baseline"/>
        <w:rPr>
          <w:rFonts w:eastAsia="SimSun" w:cs="Times"/>
          <w:szCs w:val="18"/>
          <w:lang w:val="en-US"/>
        </w:rPr>
      </w:pPr>
      <w:r w:rsidRPr="00BC1BA5">
        <w:rPr>
          <w:rFonts w:eastAsia="SimSun" w:cs="Times"/>
          <w:szCs w:val="18"/>
          <w:lang w:val="en-US"/>
        </w:rPr>
        <w:t>Adopt the following TP to TR 38.843:</w:t>
      </w:r>
    </w:p>
    <w:p w14:paraId="62E7ACFB" w14:textId="77777777" w:rsidR="00BC1BA5" w:rsidRPr="00C14823" w:rsidRDefault="00BC1BA5" w:rsidP="00BC1BA5">
      <w:pPr>
        <w:rPr>
          <w:color w:val="FF0000"/>
        </w:rPr>
      </w:pPr>
      <w:r w:rsidRPr="00C14823">
        <w:rPr>
          <w:color w:val="FF0000"/>
        </w:rPr>
        <w:t>-------------------------------------------- Start of Text Proposal ---------------------------------------------</w:t>
      </w:r>
    </w:p>
    <w:p w14:paraId="75CD24CA" w14:textId="77777777" w:rsidR="00BC1BA5" w:rsidRPr="00BC1BA5" w:rsidRDefault="00BC1BA5" w:rsidP="00BC1BA5">
      <w:pPr>
        <w:widowControl w:val="0"/>
        <w:overflowPunct w:val="0"/>
        <w:autoSpaceDE w:val="0"/>
        <w:autoSpaceDN w:val="0"/>
        <w:adjustRightInd w:val="0"/>
        <w:jc w:val="center"/>
        <w:textAlignment w:val="baseline"/>
        <w:rPr>
          <w:rFonts w:ascii="Arial" w:eastAsia="Times New Roman" w:hAnsi="Arial" w:cs="Arial"/>
          <w:b/>
          <w:sz w:val="16"/>
          <w:szCs w:val="16"/>
          <w:lang w:eastAsia="en-GB"/>
        </w:rPr>
      </w:pPr>
      <w:r w:rsidRPr="00BC1BA5">
        <w:rPr>
          <w:rFonts w:ascii="Arial" w:eastAsia="Times New Roman" w:hAnsi="Arial" w:cs="Arial"/>
          <w:b/>
          <w:sz w:val="16"/>
          <w:szCs w:val="16"/>
          <w:lang w:eastAsia="en-GB"/>
        </w:rPr>
        <w:t>Table 5.1-1: Pros and Cons of training collaboration Type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4"/>
        <w:gridCol w:w="1405"/>
        <w:gridCol w:w="1405"/>
        <w:gridCol w:w="1405"/>
        <w:gridCol w:w="1406"/>
      </w:tblGrid>
      <w:tr w:rsidR="00BC1BA5" w:rsidRPr="00BC1BA5" w14:paraId="211199D4" w14:textId="77777777" w:rsidTr="00B16B04">
        <w:trPr>
          <w:trHeight w:val="79"/>
          <w:jc w:val="center"/>
        </w:trPr>
        <w:tc>
          <w:tcPr>
            <w:tcW w:w="3284" w:type="dxa"/>
            <w:vMerge w:val="restart"/>
            <w:shd w:val="clear" w:color="auto" w:fill="D9D9D9"/>
          </w:tcPr>
          <w:p w14:paraId="32153461" w14:textId="77777777" w:rsidR="00BC1BA5" w:rsidRPr="00BC1BA5" w:rsidRDefault="00BC1BA5" w:rsidP="00BC1BA5">
            <w:pPr>
              <w:widowControl w:val="0"/>
              <w:overflowPunct w:val="0"/>
              <w:autoSpaceDE w:val="0"/>
              <w:autoSpaceDN w:val="0"/>
              <w:adjustRightInd w:val="0"/>
              <w:jc w:val="center"/>
              <w:textAlignment w:val="baseline"/>
              <w:rPr>
                <w:rFonts w:ascii="Arial" w:eastAsia="Times New Roman" w:hAnsi="Arial" w:cs="Arial"/>
                <w:b/>
                <w:sz w:val="16"/>
                <w:szCs w:val="16"/>
                <w:lang w:eastAsia="en-GB"/>
              </w:rPr>
            </w:pPr>
            <w:r w:rsidRPr="00BC1BA5">
              <w:rPr>
                <w:rFonts w:ascii="Arial" w:eastAsia="Times New Roman" w:hAnsi="Arial" w:cs="Arial"/>
                <w:b/>
                <w:sz w:val="16"/>
                <w:szCs w:val="16"/>
                <w:lang w:eastAsia="en-GB"/>
              </w:rPr>
              <w:t>Characteristics \ Training Types</w:t>
            </w:r>
          </w:p>
        </w:tc>
        <w:tc>
          <w:tcPr>
            <w:tcW w:w="2810" w:type="dxa"/>
            <w:gridSpan w:val="2"/>
            <w:shd w:val="clear" w:color="auto" w:fill="D9D9D9"/>
          </w:tcPr>
          <w:p w14:paraId="728749B2" w14:textId="77777777" w:rsidR="00BC1BA5" w:rsidRPr="00BC1BA5" w:rsidRDefault="00BC1BA5" w:rsidP="00BC1BA5">
            <w:pPr>
              <w:widowControl w:val="0"/>
              <w:overflowPunct w:val="0"/>
              <w:autoSpaceDE w:val="0"/>
              <w:autoSpaceDN w:val="0"/>
              <w:adjustRightInd w:val="0"/>
              <w:jc w:val="center"/>
              <w:textAlignment w:val="baseline"/>
              <w:rPr>
                <w:rFonts w:ascii="Arial" w:eastAsia="Times New Roman" w:hAnsi="Arial" w:cs="Arial"/>
                <w:b/>
                <w:sz w:val="16"/>
                <w:szCs w:val="16"/>
                <w:lang w:eastAsia="en-GB"/>
              </w:rPr>
            </w:pPr>
            <w:r w:rsidRPr="00BC1BA5">
              <w:rPr>
                <w:rFonts w:ascii="Arial" w:eastAsia="Times New Roman" w:hAnsi="Arial" w:cs="Arial"/>
                <w:b/>
                <w:sz w:val="16"/>
                <w:szCs w:val="16"/>
                <w:lang w:eastAsia="en-GB"/>
              </w:rPr>
              <w:t>Type 1: NW side</w:t>
            </w:r>
          </w:p>
        </w:tc>
        <w:tc>
          <w:tcPr>
            <w:tcW w:w="2811" w:type="dxa"/>
            <w:gridSpan w:val="2"/>
            <w:shd w:val="clear" w:color="auto" w:fill="D9D9D9"/>
          </w:tcPr>
          <w:p w14:paraId="4B233769" w14:textId="77777777" w:rsidR="00BC1BA5" w:rsidRPr="00BC1BA5" w:rsidRDefault="00BC1BA5" w:rsidP="00BC1BA5">
            <w:pPr>
              <w:widowControl w:val="0"/>
              <w:overflowPunct w:val="0"/>
              <w:autoSpaceDE w:val="0"/>
              <w:autoSpaceDN w:val="0"/>
              <w:adjustRightInd w:val="0"/>
              <w:jc w:val="center"/>
              <w:textAlignment w:val="baseline"/>
              <w:rPr>
                <w:rFonts w:ascii="Arial" w:eastAsia="Times New Roman" w:hAnsi="Arial" w:cs="Arial"/>
                <w:b/>
                <w:sz w:val="16"/>
                <w:szCs w:val="16"/>
                <w:lang w:eastAsia="en-GB"/>
              </w:rPr>
            </w:pPr>
            <w:r w:rsidRPr="00BC1BA5">
              <w:rPr>
                <w:rFonts w:ascii="Arial" w:eastAsia="Times New Roman" w:hAnsi="Arial" w:cs="Arial"/>
                <w:b/>
                <w:sz w:val="16"/>
                <w:szCs w:val="16"/>
                <w:lang w:eastAsia="en-GB"/>
              </w:rPr>
              <w:t>Type 1: UE side</w:t>
            </w:r>
          </w:p>
        </w:tc>
      </w:tr>
      <w:tr w:rsidR="00BC1BA5" w:rsidRPr="00BC1BA5" w14:paraId="0AD38316" w14:textId="77777777" w:rsidTr="00B16B04">
        <w:trPr>
          <w:trHeight w:val="78"/>
          <w:jc w:val="center"/>
        </w:trPr>
        <w:tc>
          <w:tcPr>
            <w:tcW w:w="3284" w:type="dxa"/>
            <w:vMerge/>
            <w:shd w:val="clear" w:color="auto" w:fill="D9D9D9"/>
          </w:tcPr>
          <w:p w14:paraId="3B4715F5" w14:textId="77777777" w:rsidR="00BC1BA5" w:rsidRPr="00BC1BA5" w:rsidRDefault="00BC1BA5" w:rsidP="00BC1BA5">
            <w:pPr>
              <w:widowControl w:val="0"/>
              <w:overflowPunct w:val="0"/>
              <w:autoSpaceDE w:val="0"/>
              <w:autoSpaceDN w:val="0"/>
              <w:adjustRightInd w:val="0"/>
              <w:jc w:val="center"/>
              <w:textAlignment w:val="baseline"/>
              <w:rPr>
                <w:rFonts w:ascii="Arial" w:eastAsia="Times New Roman" w:hAnsi="Arial" w:cs="Arial"/>
                <w:b/>
                <w:sz w:val="16"/>
                <w:szCs w:val="16"/>
                <w:lang w:eastAsia="en-GB"/>
              </w:rPr>
            </w:pPr>
          </w:p>
        </w:tc>
        <w:tc>
          <w:tcPr>
            <w:tcW w:w="1405" w:type="dxa"/>
            <w:shd w:val="clear" w:color="auto" w:fill="D9D9D9"/>
          </w:tcPr>
          <w:p w14:paraId="31223DD5" w14:textId="77777777" w:rsidR="00BC1BA5" w:rsidRPr="00BC1BA5" w:rsidRDefault="00BC1BA5" w:rsidP="00BC1BA5">
            <w:pPr>
              <w:widowControl w:val="0"/>
              <w:overflowPunct w:val="0"/>
              <w:autoSpaceDE w:val="0"/>
              <w:autoSpaceDN w:val="0"/>
              <w:adjustRightInd w:val="0"/>
              <w:jc w:val="center"/>
              <w:textAlignment w:val="baseline"/>
              <w:rPr>
                <w:rFonts w:ascii="Arial" w:eastAsia="Times New Roman" w:hAnsi="Arial" w:cs="Arial"/>
                <w:b/>
                <w:sz w:val="16"/>
                <w:szCs w:val="16"/>
                <w:lang w:eastAsia="en-GB"/>
              </w:rPr>
            </w:pPr>
            <w:r w:rsidRPr="00BC1BA5">
              <w:rPr>
                <w:rFonts w:ascii="Arial" w:eastAsia="Times New Roman" w:hAnsi="Arial" w:cs="Arial"/>
                <w:b/>
                <w:sz w:val="16"/>
                <w:szCs w:val="16"/>
                <w:lang w:eastAsia="en-GB"/>
              </w:rPr>
              <w:t>Unknown model structure at UE</w:t>
            </w:r>
          </w:p>
        </w:tc>
        <w:tc>
          <w:tcPr>
            <w:tcW w:w="1405" w:type="dxa"/>
            <w:shd w:val="clear" w:color="auto" w:fill="D9D9D9"/>
          </w:tcPr>
          <w:p w14:paraId="09AAE874" w14:textId="77777777" w:rsidR="00BC1BA5" w:rsidRPr="00BC1BA5" w:rsidRDefault="00BC1BA5" w:rsidP="00BC1BA5">
            <w:pPr>
              <w:widowControl w:val="0"/>
              <w:overflowPunct w:val="0"/>
              <w:autoSpaceDE w:val="0"/>
              <w:autoSpaceDN w:val="0"/>
              <w:adjustRightInd w:val="0"/>
              <w:jc w:val="center"/>
              <w:textAlignment w:val="baseline"/>
              <w:rPr>
                <w:rFonts w:ascii="Arial" w:eastAsia="Times New Roman" w:hAnsi="Arial" w:cs="Arial"/>
                <w:b/>
                <w:sz w:val="16"/>
                <w:szCs w:val="16"/>
                <w:lang w:eastAsia="en-GB"/>
              </w:rPr>
            </w:pPr>
            <w:r w:rsidRPr="00BC1BA5">
              <w:rPr>
                <w:rFonts w:ascii="Arial" w:eastAsia="Times New Roman" w:hAnsi="Arial" w:cs="Arial"/>
                <w:b/>
                <w:sz w:val="16"/>
                <w:szCs w:val="16"/>
                <w:lang w:eastAsia="en-GB"/>
              </w:rPr>
              <w:t>Known model structure at UE</w:t>
            </w:r>
          </w:p>
        </w:tc>
        <w:tc>
          <w:tcPr>
            <w:tcW w:w="1405" w:type="dxa"/>
            <w:shd w:val="clear" w:color="auto" w:fill="D9D9D9"/>
          </w:tcPr>
          <w:p w14:paraId="7CA455F8" w14:textId="77777777" w:rsidR="00BC1BA5" w:rsidRPr="00BC1BA5" w:rsidRDefault="00BC1BA5" w:rsidP="00BC1BA5">
            <w:pPr>
              <w:widowControl w:val="0"/>
              <w:overflowPunct w:val="0"/>
              <w:autoSpaceDE w:val="0"/>
              <w:autoSpaceDN w:val="0"/>
              <w:adjustRightInd w:val="0"/>
              <w:jc w:val="center"/>
              <w:textAlignment w:val="baseline"/>
              <w:rPr>
                <w:rFonts w:ascii="Arial" w:eastAsia="Times New Roman" w:hAnsi="Arial" w:cs="Arial"/>
                <w:b/>
                <w:sz w:val="16"/>
                <w:szCs w:val="16"/>
                <w:lang w:eastAsia="en-GB"/>
              </w:rPr>
            </w:pPr>
            <w:r w:rsidRPr="00BC1BA5">
              <w:rPr>
                <w:rFonts w:ascii="Arial" w:eastAsia="Times New Roman" w:hAnsi="Arial" w:cs="Arial"/>
                <w:b/>
                <w:sz w:val="16"/>
                <w:szCs w:val="16"/>
                <w:lang w:eastAsia="en-GB"/>
              </w:rPr>
              <w:t>Unknown model structure at UE</w:t>
            </w:r>
          </w:p>
        </w:tc>
        <w:tc>
          <w:tcPr>
            <w:tcW w:w="1406" w:type="dxa"/>
            <w:shd w:val="clear" w:color="auto" w:fill="D9D9D9"/>
          </w:tcPr>
          <w:p w14:paraId="47831543" w14:textId="77777777" w:rsidR="00BC1BA5" w:rsidRPr="00BC1BA5" w:rsidRDefault="00BC1BA5" w:rsidP="00BC1BA5">
            <w:pPr>
              <w:widowControl w:val="0"/>
              <w:overflowPunct w:val="0"/>
              <w:autoSpaceDE w:val="0"/>
              <w:autoSpaceDN w:val="0"/>
              <w:adjustRightInd w:val="0"/>
              <w:jc w:val="center"/>
              <w:textAlignment w:val="baseline"/>
              <w:rPr>
                <w:rFonts w:ascii="Arial" w:eastAsia="Times New Roman" w:hAnsi="Arial" w:cs="Arial"/>
                <w:b/>
                <w:sz w:val="16"/>
                <w:szCs w:val="16"/>
                <w:lang w:eastAsia="en-GB"/>
              </w:rPr>
            </w:pPr>
            <w:r w:rsidRPr="00BC1BA5">
              <w:rPr>
                <w:rFonts w:ascii="Arial" w:eastAsia="Times New Roman" w:hAnsi="Arial" w:cs="Arial"/>
                <w:b/>
                <w:sz w:val="16"/>
                <w:szCs w:val="16"/>
                <w:lang w:eastAsia="en-GB"/>
              </w:rPr>
              <w:t>Known model structure at UE</w:t>
            </w:r>
          </w:p>
        </w:tc>
      </w:tr>
    </w:tbl>
    <w:p w14:paraId="6F588B00" w14:textId="21D4CBAA" w:rsidR="00BC1BA5" w:rsidRPr="00BC1BA5" w:rsidRDefault="00BC1BA5" w:rsidP="00BC1BA5">
      <w:pPr>
        <w:overflowPunct w:val="0"/>
        <w:jc w:val="center"/>
        <w:textAlignment w:val="baseline"/>
        <w:rPr>
          <w:rFonts w:ascii="Arial" w:hAnsi="Arial" w:cs="Arial"/>
          <w:b/>
          <w:sz w:val="16"/>
          <w:szCs w:val="16"/>
        </w:rPr>
      </w:pPr>
      <w:r w:rsidRPr="00BC1BA5">
        <w:rPr>
          <w:rFonts w:ascii="Arial" w:hAnsi="Arial" w:cs="Arial"/>
          <w:color w:val="FF0000"/>
          <w:sz w:val="16"/>
          <w:szCs w:val="16"/>
        </w:rPr>
        <w:t>*** Unchanged text is omitted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4"/>
        <w:gridCol w:w="1405"/>
        <w:gridCol w:w="1405"/>
        <w:gridCol w:w="1405"/>
        <w:gridCol w:w="1406"/>
      </w:tblGrid>
      <w:tr w:rsidR="00BC1BA5" w:rsidRPr="00BC1BA5" w14:paraId="4B594ACF" w14:textId="77777777" w:rsidTr="00B16B04">
        <w:trPr>
          <w:jc w:val="center"/>
        </w:trPr>
        <w:tc>
          <w:tcPr>
            <w:tcW w:w="3284" w:type="dxa"/>
          </w:tcPr>
          <w:p w14:paraId="5CEBFFE5" w14:textId="77777777" w:rsidR="00BC1BA5" w:rsidRPr="00BC1BA5" w:rsidRDefault="00BC1BA5" w:rsidP="00BC1BA5">
            <w:pPr>
              <w:widowControl w:val="0"/>
              <w:rPr>
                <w:rFonts w:ascii="Arial" w:eastAsia="MS Mincho" w:hAnsi="Arial" w:cs="Arial"/>
                <w:sz w:val="16"/>
                <w:szCs w:val="16"/>
              </w:rPr>
            </w:pPr>
            <w:r w:rsidRPr="00BC1BA5">
              <w:rPr>
                <w:rFonts w:ascii="Arial" w:eastAsia="Malgun Gothic" w:hAnsi="Arial" w:cs="Arial"/>
                <w:sz w:val="16"/>
                <w:szCs w:val="16"/>
              </w:rPr>
              <w:t xml:space="preserve">Model performance </w:t>
            </w:r>
            <w:r w:rsidRPr="00BC1BA5">
              <w:rPr>
                <w:rFonts w:ascii="Arial" w:eastAsia="Malgun Gothic" w:hAnsi="Arial" w:cs="Arial"/>
                <w:strike/>
                <w:color w:val="FF0000"/>
                <w:sz w:val="16"/>
                <w:szCs w:val="16"/>
              </w:rPr>
              <w:t>based on evaluation in 9.2.2.1</w:t>
            </w:r>
          </w:p>
        </w:tc>
        <w:tc>
          <w:tcPr>
            <w:tcW w:w="1405" w:type="dxa"/>
          </w:tcPr>
          <w:p w14:paraId="64C4DCCA" w14:textId="77777777" w:rsidR="00BC1BA5" w:rsidRPr="00BC1BA5" w:rsidRDefault="00BC1BA5" w:rsidP="00BC1BA5">
            <w:pPr>
              <w:widowControl w:val="0"/>
              <w:rPr>
                <w:rFonts w:ascii="Arial" w:eastAsia="SimSun" w:hAnsi="Arial" w:cs="Arial"/>
                <w:strike/>
                <w:sz w:val="16"/>
                <w:szCs w:val="16"/>
                <w:lang w:eastAsia="x-none"/>
              </w:rPr>
            </w:pPr>
            <w:r w:rsidRPr="00BC1BA5">
              <w:rPr>
                <w:rFonts w:ascii="Arial" w:eastAsia="SimSun" w:hAnsi="Arial" w:cs="Arial"/>
                <w:strike/>
                <w:sz w:val="16"/>
                <w:szCs w:val="16"/>
                <w:lang w:eastAsia="x-none"/>
              </w:rPr>
              <w:t>Performance refers to 9.2.2.1 observations</w:t>
            </w:r>
          </w:p>
          <w:p w14:paraId="6F572119" w14:textId="77777777" w:rsidR="00BC1BA5" w:rsidRPr="00BC1BA5" w:rsidRDefault="00BC1BA5" w:rsidP="00BC1BA5">
            <w:pPr>
              <w:widowControl w:val="0"/>
              <w:rPr>
                <w:rFonts w:ascii="Arial" w:eastAsia="SimSun" w:hAnsi="Arial" w:cs="Arial"/>
                <w:strike/>
                <w:sz w:val="16"/>
                <w:szCs w:val="16"/>
                <w:lang w:eastAsia="x-none"/>
              </w:rPr>
            </w:pPr>
            <w:r w:rsidRPr="00BC1BA5">
              <w:rPr>
                <w:rFonts w:ascii="Arial" w:eastAsia="SimSun" w:hAnsi="Arial" w:cs="Arial"/>
                <w:color w:val="FF0000"/>
                <w:sz w:val="16"/>
                <w:szCs w:val="16"/>
                <w:lang w:eastAsia="x-none"/>
              </w:rPr>
              <w:t>Performance refers to clause 6.2.2</w:t>
            </w:r>
          </w:p>
        </w:tc>
        <w:tc>
          <w:tcPr>
            <w:tcW w:w="1405" w:type="dxa"/>
          </w:tcPr>
          <w:p w14:paraId="7C9DB59D" w14:textId="77777777" w:rsidR="00BC1BA5" w:rsidRPr="00BC1BA5" w:rsidRDefault="00BC1BA5" w:rsidP="00BC1BA5">
            <w:pPr>
              <w:widowControl w:val="0"/>
              <w:rPr>
                <w:rFonts w:ascii="Arial" w:eastAsia="SimSun" w:hAnsi="Arial" w:cs="Arial"/>
                <w:strike/>
                <w:sz w:val="16"/>
                <w:szCs w:val="16"/>
                <w:lang w:eastAsia="x-none"/>
              </w:rPr>
            </w:pPr>
            <w:r w:rsidRPr="00BC1BA5">
              <w:rPr>
                <w:rFonts w:ascii="Arial" w:eastAsia="SimSun" w:hAnsi="Arial" w:cs="Arial"/>
                <w:strike/>
                <w:sz w:val="16"/>
                <w:szCs w:val="16"/>
                <w:lang w:eastAsia="x-none"/>
              </w:rPr>
              <w:t>Performance refers to 9.2.2.1 observations</w:t>
            </w:r>
          </w:p>
          <w:p w14:paraId="494D39DA" w14:textId="77777777" w:rsidR="00BC1BA5" w:rsidRPr="00BC1BA5" w:rsidRDefault="00BC1BA5" w:rsidP="00BC1BA5">
            <w:pPr>
              <w:widowControl w:val="0"/>
              <w:rPr>
                <w:rFonts w:ascii="Arial" w:eastAsia="SimSun" w:hAnsi="Arial" w:cs="Arial"/>
                <w:strike/>
                <w:sz w:val="16"/>
                <w:szCs w:val="16"/>
                <w:lang w:eastAsia="x-none"/>
              </w:rPr>
            </w:pPr>
            <w:r w:rsidRPr="00BC1BA5">
              <w:rPr>
                <w:rFonts w:ascii="Arial" w:eastAsia="SimSun" w:hAnsi="Arial" w:cs="Arial"/>
                <w:color w:val="FF0000"/>
                <w:sz w:val="16"/>
                <w:szCs w:val="16"/>
                <w:lang w:eastAsia="x-none"/>
              </w:rPr>
              <w:t>Performance refers to clause 6.2.2</w:t>
            </w:r>
          </w:p>
        </w:tc>
        <w:tc>
          <w:tcPr>
            <w:tcW w:w="1405" w:type="dxa"/>
          </w:tcPr>
          <w:p w14:paraId="32B136BD" w14:textId="77777777" w:rsidR="00BC1BA5" w:rsidRPr="00BC1BA5" w:rsidRDefault="00BC1BA5" w:rsidP="00BC1BA5">
            <w:pPr>
              <w:widowControl w:val="0"/>
              <w:rPr>
                <w:rFonts w:ascii="Arial" w:eastAsia="SimSun" w:hAnsi="Arial" w:cs="Arial"/>
                <w:strike/>
                <w:sz w:val="16"/>
                <w:szCs w:val="16"/>
                <w:lang w:eastAsia="x-none"/>
              </w:rPr>
            </w:pPr>
            <w:r w:rsidRPr="00BC1BA5">
              <w:rPr>
                <w:rFonts w:ascii="Arial" w:eastAsia="SimSun" w:hAnsi="Arial" w:cs="Arial"/>
                <w:strike/>
                <w:sz w:val="16"/>
                <w:szCs w:val="16"/>
                <w:lang w:eastAsia="x-none"/>
              </w:rPr>
              <w:t>Performance refers to 9.2.2.1 observations</w:t>
            </w:r>
          </w:p>
          <w:p w14:paraId="538DC2A1" w14:textId="77777777" w:rsidR="00BC1BA5" w:rsidRPr="00BC1BA5" w:rsidRDefault="00BC1BA5" w:rsidP="00BC1BA5">
            <w:pPr>
              <w:widowControl w:val="0"/>
              <w:rPr>
                <w:rFonts w:ascii="Arial" w:eastAsia="SimSun" w:hAnsi="Arial" w:cs="Arial"/>
                <w:strike/>
                <w:sz w:val="16"/>
                <w:szCs w:val="16"/>
                <w:lang w:eastAsia="x-none"/>
              </w:rPr>
            </w:pPr>
            <w:r w:rsidRPr="00BC1BA5">
              <w:rPr>
                <w:rFonts w:ascii="Arial" w:eastAsia="SimSun" w:hAnsi="Arial" w:cs="Arial"/>
                <w:color w:val="FF0000"/>
                <w:sz w:val="16"/>
                <w:szCs w:val="16"/>
                <w:lang w:eastAsia="x-none"/>
              </w:rPr>
              <w:t>Performance refers to clause 6.2.2</w:t>
            </w:r>
          </w:p>
        </w:tc>
        <w:tc>
          <w:tcPr>
            <w:tcW w:w="1406" w:type="dxa"/>
          </w:tcPr>
          <w:p w14:paraId="00708FC1" w14:textId="77777777" w:rsidR="00BC1BA5" w:rsidRPr="00BC1BA5" w:rsidRDefault="00BC1BA5" w:rsidP="00BC1BA5">
            <w:pPr>
              <w:widowControl w:val="0"/>
              <w:rPr>
                <w:rFonts w:ascii="Arial" w:eastAsia="SimSun" w:hAnsi="Arial" w:cs="Arial"/>
                <w:strike/>
                <w:sz w:val="16"/>
                <w:szCs w:val="16"/>
                <w:lang w:eastAsia="x-none"/>
              </w:rPr>
            </w:pPr>
            <w:r w:rsidRPr="00BC1BA5">
              <w:rPr>
                <w:rFonts w:ascii="Arial" w:eastAsia="SimSun" w:hAnsi="Arial" w:cs="Arial"/>
                <w:strike/>
                <w:sz w:val="16"/>
                <w:szCs w:val="16"/>
                <w:lang w:eastAsia="x-none"/>
              </w:rPr>
              <w:t>Performance refers to 9.2.2.1 observations</w:t>
            </w:r>
          </w:p>
          <w:p w14:paraId="79479CDA" w14:textId="77777777" w:rsidR="00BC1BA5" w:rsidRPr="00BC1BA5" w:rsidRDefault="00BC1BA5" w:rsidP="00BC1BA5">
            <w:pPr>
              <w:widowControl w:val="0"/>
              <w:rPr>
                <w:rFonts w:ascii="Arial" w:eastAsia="SimSun" w:hAnsi="Arial" w:cs="Arial"/>
                <w:strike/>
                <w:sz w:val="16"/>
                <w:szCs w:val="16"/>
                <w:lang w:eastAsia="x-none"/>
              </w:rPr>
            </w:pPr>
            <w:r w:rsidRPr="00BC1BA5">
              <w:rPr>
                <w:rFonts w:ascii="Arial" w:eastAsia="SimSun" w:hAnsi="Arial" w:cs="Arial"/>
                <w:color w:val="FF0000"/>
                <w:sz w:val="16"/>
                <w:szCs w:val="16"/>
                <w:lang w:eastAsia="x-none"/>
              </w:rPr>
              <w:t>Performance refers to clause 6.2.2</w:t>
            </w:r>
          </w:p>
        </w:tc>
      </w:tr>
    </w:tbl>
    <w:p w14:paraId="4B228848" w14:textId="77777777" w:rsidR="00BC1BA5" w:rsidRPr="00BC1BA5" w:rsidRDefault="00BC1BA5" w:rsidP="00BC1BA5">
      <w:pPr>
        <w:rPr>
          <w:rFonts w:ascii="Arial" w:hAnsi="Arial" w:cs="Arial"/>
          <w:b/>
          <w:bCs/>
          <w:i/>
          <w:iCs/>
          <w:sz w:val="16"/>
          <w:szCs w:val="16"/>
          <w:u w:val="single"/>
        </w:rPr>
      </w:pPr>
    </w:p>
    <w:p w14:paraId="06D31B96" w14:textId="77777777" w:rsidR="00BC1BA5" w:rsidRPr="00BC1BA5" w:rsidRDefault="00BC1BA5" w:rsidP="00BC1BA5">
      <w:pPr>
        <w:widowControl w:val="0"/>
        <w:overflowPunct w:val="0"/>
        <w:autoSpaceDE w:val="0"/>
        <w:autoSpaceDN w:val="0"/>
        <w:adjustRightInd w:val="0"/>
        <w:jc w:val="center"/>
        <w:textAlignment w:val="baseline"/>
        <w:rPr>
          <w:rFonts w:ascii="Arial" w:eastAsia="Times New Roman" w:hAnsi="Arial" w:cs="Arial"/>
          <w:b/>
          <w:sz w:val="16"/>
          <w:szCs w:val="16"/>
          <w:lang w:eastAsia="en-GB"/>
        </w:rPr>
      </w:pPr>
      <w:r w:rsidRPr="00BC1BA5">
        <w:rPr>
          <w:rFonts w:ascii="Arial" w:eastAsia="Times New Roman" w:hAnsi="Arial" w:cs="Arial"/>
          <w:b/>
          <w:sz w:val="16"/>
          <w:szCs w:val="16"/>
          <w:lang w:eastAsia="en-GB"/>
        </w:rPr>
        <w:t>Table 5.1-2: Pros and Cons of training collaboration Type 2 and Type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84"/>
        <w:gridCol w:w="1405"/>
        <w:gridCol w:w="1405"/>
        <w:gridCol w:w="1405"/>
        <w:gridCol w:w="1406"/>
      </w:tblGrid>
      <w:tr w:rsidR="00BC1BA5" w:rsidRPr="00BC1BA5" w14:paraId="66868F80" w14:textId="77777777" w:rsidTr="00B16B04">
        <w:trPr>
          <w:trHeight w:val="79"/>
          <w:jc w:val="center"/>
        </w:trPr>
        <w:tc>
          <w:tcPr>
            <w:tcW w:w="3284" w:type="dxa"/>
            <w:vMerge w:val="restart"/>
            <w:shd w:val="clear" w:color="auto" w:fill="D9D9D9"/>
          </w:tcPr>
          <w:p w14:paraId="6BD5EC68" w14:textId="77777777" w:rsidR="00BC1BA5" w:rsidRPr="00BC1BA5" w:rsidRDefault="00BC1BA5" w:rsidP="00BC1BA5">
            <w:pPr>
              <w:widowControl w:val="0"/>
              <w:overflowPunct w:val="0"/>
              <w:autoSpaceDE w:val="0"/>
              <w:autoSpaceDN w:val="0"/>
              <w:adjustRightInd w:val="0"/>
              <w:jc w:val="center"/>
              <w:textAlignment w:val="baseline"/>
              <w:rPr>
                <w:rFonts w:ascii="Arial" w:eastAsia="Times New Roman" w:hAnsi="Arial" w:cs="Arial"/>
                <w:b/>
                <w:sz w:val="16"/>
                <w:szCs w:val="16"/>
                <w:lang w:eastAsia="en-GB"/>
              </w:rPr>
            </w:pPr>
            <w:r w:rsidRPr="00BC1BA5">
              <w:rPr>
                <w:rFonts w:ascii="Arial" w:eastAsia="Times New Roman" w:hAnsi="Arial" w:cs="Arial"/>
                <w:b/>
                <w:sz w:val="16"/>
                <w:szCs w:val="16"/>
                <w:lang w:eastAsia="en-GB"/>
              </w:rPr>
              <w:t>Characteristics \ Training Types</w:t>
            </w:r>
          </w:p>
        </w:tc>
        <w:tc>
          <w:tcPr>
            <w:tcW w:w="2810" w:type="dxa"/>
            <w:gridSpan w:val="2"/>
            <w:shd w:val="clear" w:color="auto" w:fill="D9D9D9"/>
          </w:tcPr>
          <w:p w14:paraId="08DB445A" w14:textId="77777777" w:rsidR="00BC1BA5" w:rsidRPr="00BC1BA5" w:rsidRDefault="00BC1BA5" w:rsidP="00BC1BA5">
            <w:pPr>
              <w:widowControl w:val="0"/>
              <w:overflowPunct w:val="0"/>
              <w:autoSpaceDE w:val="0"/>
              <w:autoSpaceDN w:val="0"/>
              <w:adjustRightInd w:val="0"/>
              <w:jc w:val="center"/>
              <w:textAlignment w:val="baseline"/>
              <w:rPr>
                <w:rFonts w:ascii="Arial" w:eastAsia="Times New Roman" w:hAnsi="Arial" w:cs="Arial"/>
                <w:b/>
                <w:sz w:val="16"/>
                <w:szCs w:val="16"/>
                <w:lang w:eastAsia="en-GB"/>
              </w:rPr>
            </w:pPr>
            <w:r w:rsidRPr="00BC1BA5">
              <w:rPr>
                <w:rFonts w:ascii="Arial" w:eastAsia="Times New Roman" w:hAnsi="Arial" w:cs="Arial"/>
                <w:b/>
                <w:sz w:val="16"/>
                <w:szCs w:val="16"/>
                <w:lang w:eastAsia="en-GB"/>
              </w:rPr>
              <w:t>Type 2</w:t>
            </w:r>
          </w:p>
        </w:tc>
        <w:tc>
          <w:tcPr>
            <w:tcW w:w="2811" w:type="dxa"/>
            <w:gridSpan w:val="2"/>
            <w:shd w:val="clear" w:color="auto" w:fill="D9D9D9"/>
          </w:tcPr>
          <w:p w14:paraId="5ED9D9D4" w14:textId="77777777" w:rsidR="00BC1BA5" w:rsidRPr="00BC1BA5" w:rsidRDefault="00BC1BA5" w:rsidP="00BC1BA5">
            <w:pPr>
              <w:widowControl w:val="0"/>
              <w:overflowPunct w:val="0"/>
              <w:autoSpaceDE w:val="0"/>
              <w:autoSpaceDN w:val="0"/>
              <w:adjustRightInd w:val="0"/>
              <w:jc w:val="center"/>
              <w:textAlignment w:val="baseline"/>
              <w:rPr>
                <w:rFonts w:ascii="Arial" w:eastAsia="Times New Roman" w:hAnsi="Arial" w:cs="Arial"/>
                <w:b/>
                <w:sz w:val="16"/>
                <w:szCs w:val="16"/>
                <w:lang w:eastAsia="en-GB"/>
              </w:rPr>
            </w:pPr>
            <w:r w:rsidRPr="00BC1BA5">
              <w:rPr>
                <w:rFonts w:ascii="Arial" w:eastAsia="Times New Roman" w:hAnsi="Arial" w:cs="Arial"/>
                <w:b/>
                <w:sz w:val="16"/>
                <w:szCs w:val="16"/>
                <w:lang w:eastAsia="en-GB"/>
              </w:rPr>
              <w:t>Type 3</w:t>
            </w:r>
          </w:p>
        </w:tc>
      </w:tr>
      <w:tr w:rsidR="00BC1BA5" w:rsidRPr="00BC1BA5" w14:paraId="0AC641B5" w14:textId="77777777" w:rsidTr="00B16B04">
        <w:trPr>
          <w:trHeight w:val="78"/>
          <w:jc w:val="center"/>
        </w:trPr>
        <w:tc>
          <w:tcPr>
            <w:tcW w:w="3284" w:type="dxa"/>
            <w:vMerge/>
            <w:shd w:val="clear" w:color="auto" w:fill="D9D9D9"/>
          </w:tcPr>
          <w:p w14:paraId="533C1A82" w14:textId="77777777" w:rsidR="00BC1BA5" w:rsidRPr="00BC1BA5" w:rsidRDefault="00BC1BA5" w:rsidP="00BC1BA5">
            <w:pPr>
              <w:widowControl w:val="0"/>
              <w:overflowPunct w:val="0"/>
              <w:autoSpaceDE w:val="0"/>
              <w:autoSpaceDN w:val="0"/>
              <w:adjustRightInd w:val="0"/>
              <w:jc w:val="center"/>
              <w:textAlignment w:val="baseline"/>
              <w:rPr>
                <w:rFonts w:ascii="Arial" w:eastAsia="Times New Roman" w:hAnsi="Arial" w:cs="Arial"/>
                <w:b/>
                <w:sz w:val="16"/>
                <w:szCs w:val="16"/>
                <w:lang w:eastAsia="en-GB"/>
              </w:rPr>
            </w:pPr>
          </w:p>
        </w:tc>
        <w:tc>
          <w:tcPr>
            <w:tcW w:w="1405" w:type="dxa"/>
            <w:shd w:val="clear" w:color="auto" w:fill="D9D9D9"/>
          </w:tcPr>
          <w:p w14:paraId="43D1D47A" w14:textId="77777777" w:rsidR="00BC1BA5" w:rsidRPr="00BC1BA5" w:rsidRDefault="00BC1BA5" w:rsidP="00BC1BA5">
            <w:pPr>
              <w:widowControl w:val="0"/>
              <w:overflowPunct w:val="0"/>
              <w:autoSpaceDE w:val="0"/>
              <w:autoSpaceDN w:val="0"/>
              <w:adjustRightInd w:val="0"/>
              <w:jc w:val="center"/>
              <w:textAlignment w:val="baseline"/>
              <w:rPr>
                <w:rFonts w:ascii="Arial" w:eastAsia="Times New Roman" w:hAnsi="Arial" w:cs="Arial"/>
                <w:b/>
                <w:sz w:val="16"/>
                <w:szCs w:val="16"/>
                <w:lang w:eastAsia="en-GB"/>
              </w:rPr>
            </w:pPr>
            <w:r w:rsidRPr="00BC1BA5">
              <w:rPr>
                <w:rFonts w:ascii="Arial" w:eastAsia="Times New Roman" w:hAnsi="Arial" w:cs="Arial"/>
                <w:b/>
                <w:sz w:val="16"/>
                <w:szCs w:val="16"/>
                <w:lang w:eastAsia="en-GB"/>
              </w:rPr>
              <w:t>Simultaneous</w:t>
            </w:r>
          </w:p>
        </w:tc>
        <w:tc>
          <w:tcPr>
            <w:tcW w:w="1405" w:type="dxa"/>
            <w:shd w:val="clear" w:color="auto" w:fill="D9D9D9"/>
          </w:tcPr>
          <w:p w14:paraId="63D131B2" w14:textId="77777777" w:rsidR="00BC1BA5" w:rsidRPr="00BC1BA5" w:rsidRDefault="00BC1BA5" w:rsidP="00BC1BA5">
            <w:pPr>
              <w:widowControl w:val="0"/>
              <w:rPr>
                <w:rFonts w:ascii="Arial" w:hAnsi="Arial" w:cs="Arial"/>
                <w:sz w:val="16"/>
                <w:szCs w:val="16"/>
              </w:rPr>
            </w:pPr>
            <w:r w:rsidRPr="00BC1BA5">
              <w:rPr>
                <w:rFonts w:ascii="Arial" w:hAnsi="Arial" w:cs="Arial"/>
                <w:b/>
                <w:sz w:val="16"/>
                <w:szCs w:val="16"/>
              </w:rPr>
              <w:t xml:space="preserve">Sequential </w:t>
            </w:r>
            <w:r w:rsidRPr="00BC1BA5">
              <w:rPr>
                <w:rFonts w:ascii="Arial" w:hAnsi="Arial" w:cs="Arial"/>
                <w:b/>
                <w:color w:val="FF0000"/>
                <w:sz w:val="16"/>
                <w:szCs w:val="16"/>
              </w:rPr>
              <w:t xml:space="preserve"> </w:t>
            </w:r>
          </w:p>
        </w:tc>
        <w:tc>
          <w:tcPr>
            <w:tcW w:w="1405" w:type="dxa"/>
            <w:shd w:val="clear" w:color="auto" w:fill="D9D9D9"/>
          </w:tcPr>
          <w:p w14:paraId="6B6C70A6" w14:textId="77777777" w:rsidR="00BC1BA5" w:rsidRPr="00BC1BA5" w:rsidRDefault="00BC1BA5" w:rsidP="00BC1BA5">
            <w:pPr>
              <w:widowControl w:val="0"/>
              <w:overflowPunct w:val="0"/>
              <w:autoSpaceDE w:val="0"/>
              <w:autoSpaceDN w:val="0"/>
              <w:adjustRightInd w:val="0"/>
              <w:jc w:val="center"/>
              <w:textAlignment w:val="baseline"/>
              <w:rPr>
                <w:rFonts w:ascii="Arial" w:eastAsia="Times New Roman" w:hAnsi="Arial" w:cs="Arial"/>
                <w:b/>
                <w:sz w:val="16"/>
                <w:szCs w:val="16"/>
                <w:lang w:eastAsia="en-GB"/>
              </w:rPr>
            </w:pPr>
            <w:r w:rsidRPr="00BC1BA5">
              <w:rPr>
                <w:rFonts w:ascii="Arial" w:eastAsia="Times New Roman" w:hAnsi="Arial" w:cs="Arial"/>
                <w:b/>
                <w:sz w:val="16"/>
                <w:szCs w:val="16"/>
                <w:lang w:eastAsia="en-GB"/>
              </w:rPr>
              <w:t>NW first</w:t>
            </w:r>
          </w:p>
        </w:tc>
        <w:tc>
          <w:tcPr>
            <w:tcW w:w="1406" w:type="dxa"/>
            <w:shd w:val="clear" w:color="auto" w:fill="D9D9D9"/>
          </w:tcPr>
          <w:p w14:paraId="3A2A7B3A" w14:textId="77777777" w:rsidR="00BC1BA5" w:rsidRPr="00BC1BA5" w:rsidRDefault="00BC1BA5" w:rsidP="00BC1BA5">
            <w:pPr>
              <w:widowControl w:val="0"/>
              <w:overflowPunct w:val="0"/>
              <w:autoSpaceDE w:val="0"/>
              <w:autoSpaceDN w:val="0"/>
              <w:adjustRightInd w:val="0"/>
              <w:jc w:val="center"/>
              <w:textAlignment w:val="baseline"/>
              <w:rPr>
                <w:rFonts w:ascii="Arial" w:eastAsia="Times New Roman" w:hAnsi="Arial" w:cs="Arial"/>
                <w:b/>
                <w:sz w:val="16"/>
                <w:szCs w:val="16"/>
                <w:lang w:eastAsia="en-GB"/>
              </w:rPr>
            </w:pPr>
            <w:r w:rsidRPr="00BC1BA5">
              <w:rPr>
                <w:rFonts w:ascii="Arial" w:eastAsia="Times New Roman" w:hAnsi="Arial" w:cs="Arial"/>
                <w:b/>
                <w:sz w:val="16"/>
                <w:szCs w:val="16"/>
                <w:lang w:eastAsia="en-GB"/>
              </w:rPr>
              <w:t xml:space="preserve"> UE first</w:t>
            </w:r>
          </w:p>
        </w:tc>
      </w:tr>
    </w:tbl>
    <w:p w14:paraId="72D363DD" w14:textId="765264CA" w:rsidR="00BC1BA5" w:rsidRPr="00BC1BA5" w:rsidRDefault="00BC1BA5" w:rsidP="00BC1BA5">
      <w:pPr>
        <w:overflowPunct w:val="0"/>
        <w:jc w:val="center"/>
        <w:textAlignment w:val="baseline"/>
        <w:rPr>
          <w:rFonts w:ascii="Arial" w:hAnsi="Arial" w:cs="Arial"/>
          <w:b/>
          <w:sz w:val="16"/>
          <w:szCs w:val="16"/>
        </w:rPr>
      </w:pPr>
      <w:r w:rsidRPr="00BC1BA5">
        <w:rPr>
          <w:rFonts w:ascii="Arial" w:hAnsi="Arial" w:cs="Arial"/>
          <w:color w:val="FF0000"/>
          <w:sz w:val="16"/>
          <w:szCs w:val="16"/>
        </w:rPr>
        <w:t>*** Unchanged text is omitted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4"/>
        <w:gridCol w:w="1405"/>
        <w:gridCol w:w="1405"/>
        <w:gridCol w:w="1405"/>
        <w:gridCol w:w="1406"/>
      </w:tblGrid>
      <w:tr w:rsidR="00BC1BA5" w:rsidRPr="00BC1BA5" w14:paraId="4D33BBC4" w14:textId="77777777" w:rsidTr="00B16B04">
        <w:trPr>
          <w:jc w:val="center"/>
        </w:trPr>
        <w:tc>
          <w:tcPr>
            <w:tcW w:w="3284" w:type="dxa"/>
          </w:tcPr>
          <w:p w14:paraId="32AB0E72" w14:textId="77777777" w:rsidR="00BC1BA5" w:rsidRPr="00BC1BA5" w:rsidRDefault="00BC1BA5" w:rsidP="00BC1BA5">
            <w:pPr>
              <w:widowControl w:val="0"/>
              <w:rPr>
                <w:rFonts w:ascii="Arial" w:eastAsia="MS Mincho" w:hAnsi="Arial" w:cs="Arial"/>
                <w:sz w:val="16"/>
                <w:szCs w:val="16"/>
              </w:rPr>
            </w:pPr>
            <w:r w:rsidRPr="00BC1BA5">
              <w:rPr>
                <w:rFonts w:ascii="Arial" w:eastAsia="Malgun Gothic" w:hAnsi="Arial" w:cs="Arial"/>
                <w:sz w:val="16"/>
                <w:szCs w:val="16"/>
              </w:rPr>
              <w:t xml:space="preserve">Model performance </w:t>
            </w:r>
            <w:r w:rsidRPr="00BC1BA5">
              <w:rPr>
                <w:rFonts w:ascii="Arial" w:eastAsia="Malgun Gothic" w:hAnsi="Arial" w:cs="Arial"/>
                <w:strike/>
                <w:color w:val="FF0000"/>
                <w:sz w:val="16"/>
                <w:szCs w:val="16"/>
              </w:rPr>
              <w:t>based on evaluation in 9.2.2.1</w:t>
            </w:r>
          </w:p>
        </w:tc>
        <w:tc>
          <w:tcPr>
            <w:tcW w:w="1405" w:type="dxa"/>
          </w:tcPr>
          <w:p w14:paraId="6755FA50" w14:textId="77777777" w:rsidR="00BC1BA5" w:rsidRPr="00BC1BA5" w:rsidRDefault="00BC1BA5" w:rsidP="00BC1BA5">
            <w:pPr>
              <w:widowControl w:val="0"/>
              <w:rPr>
                <w:rFonts w:ascii="Arial" w:eastAsia="SimSun" w:hAnsi="Arial" w:cs="Arial"/>
                <w:strike/>
                <w:sz w:val="16"/>
                <w:szCs w:val="16"/>
                <w:lang w:eastAsia="x-none"/>
              </w:rPr>
            </w:pPr>
            <w:r w:rsidRPr="00BC1BA5">
              <w:rPr>
                <w:rFonts w:ascii="Arial" w:eastAsia="SimSun" w:hAnsi="Arial" w:cs="Arial"/>
                <w:strike/>
                <w:sz w:val="16"/>
                <w:szCs w:val="16"/>
                <w:lang w:eastAsia="x-none"/>
              </w:rPr>
              <w:t>Performance refers to 9.2.2.1 observations</w:t>
            </w:r>
          </w:p>
          <w:p w14:paraId="6870B32A" w14:textId="77777777" w:rsidR="00BC1BA5" w:rsidRPr="00BC1BA5" w:rsidRDefault="00BC1BA5" w:rsidP="00BC1BA5">
            <w:pPr>
              <w:widowControl w:val="0"/>
              <w:rPr>
                <w:rFonts w:ascii="Arial" w:eastAsia="SimSun" w:hAnsi="Arial" w:cs="Arial"/>
                <w:strike/>
                <w:sz w:val="16"/>
                <w:szCs w:val="16"/>
                <w:lang w:eastAsia="x-none"/>
              </w:rPr>
            </w:pPr>
            <w:r w:rsidRPr="00BC1BA5">
              <w:rPr>
                <w:rFonts w:ascii="Arial" w:eastAsia="SimSun" w:hAnsi="Arial" w:cs="Arial"/>
                <w:color w:val="FF0000"/>
                <w:sz w:val="16"/>
                <w:szCs w:val="16"/>
                <w:lang w:eastAsia="x-none"/>
              </w:rPr>
              <w:t>Performance refers to clause 6.2.2</w:t>
            </w:r>
          </w:p>
        </w:tc>
        <w:tc>
          <w:tcPr>
            <w:tcW w:w="1405" w:type="dxa"/>
          </w:tcPr>
          <w:p w14:paraId="469645DF" w14:textId="77777777" w:rsidR="00BC1BA5" w:rsidRPr="00BC1BA5" w:rsidRDefault="00BC1BA5" w:rsidP="00BC1BA5">
            <w:pPr>
              <w:widowControl w:val="0"/>
              <w:rPr>
                <w:rFonts w:ascii="Arial" w:eastAsia="SimSun" w:hAnsi="Arial" w:cs="Arial"/>
                <w:strike/>
                <w:sz w:val="16"/>
                <w:szCs w:val="16"/>
                <w:lang w:eastAsia="x-none"/>
              </w:rPr>
            </w:pPr>
            <w:r w:rsidRPr="00BC1BA5">
              <w:rPr>
                <w:rFonts w:ascii="Arial" w:eastAsia="SimSun" w:hAnsi="Arial" w:cs="Arial"/>
                <w:strike/>
                <w:sz w:val="16"/>
                <w:szCs w:val="16"/>
                <w:lang w:eastAsia="x-none"/>
              </w:rPr>
              <w:t>Performance refers to 9.2.2.1 observations</w:t>
            </w:r>
          </w:p>
          <w:p w14:paraId="0E036045" w14:textId="77777777" w:rsidR="00BC1BA5" w:rsidRPr="00BC1BA5" w:rsidRDefault="00BC1BA5" w:rsidP="00BC1BA5">
            <w:pPr>
              <w:widowControl w:val="0"/>
              <w:rPr>
                <w:rFonts w:ascii="Arial" w:eastAsia="SimSun" w:hAnsi="Arial" w:cs="Arial"/>
                <w:strike/>
                <w:sz w:val="16"/>
                <w:szCs w:val="16"/>
                <w:lang w:eastAsia="x-none"/>
              </w:rPr>
            </w:pPr>
            <w:r w:rsidRPr="00BC1BA5">
              <w:rPr>
                <w:rFonts w:ascii="Arial" w:eastAsia="SimSun" w:hAnsi="Arial" w:cs="Arial"/>
                <w:color w:val="FF0000"/>
                <w:sz w:val="16"/>
                <w:szCs w:val="16"/>
                <w:lang w:eastAsia="x-none"/>
              </w:rPr>
              <w:t>Performance refers to clause 6.2.2</w:t>
            </w:r>
          </w:p>
        </w:tc>
        <w:tc>
          <w:tcPr>
            <w:tcW w:w="1405" w:type="dxa"/>
          </w:tcPr>
          <w:p w14:paraId="3290EBE4" w14:textId="77777777" w:rsidR="00BC1BA5" w:rsidRPr="00BC1BA5" w:rsidRDefault="00BC1BA5" w:rsidP="00BC1BA5">
            <w:pPr>
              <w:widowControl w:val="0"/>
              <w:rPr>
                <w:rFonts w:ascii="Arial" w:eastAsia="SimSun" w:hAnsi="Arial" w:cs="Arial"/>
                <w:strike/>
                <w:sz w:val="16"/>
                <w:szCs w:val="16"/>
                <w:lang w:eastAsia="x-none"/>
              </w:rPr>
            </w:pPr>
            <w:r w:rsidRPr="00BC1BA5">
              <w:rPr>
                <w:rFonts w:ascii="Arial" w:eastAsia="SimSun" w:hAnsi="Arial" w:cs="Arial"/>
                <w:strike/>
                <w:sz w:val="16"/>
                <w:szCs w:val="16"/>
                <w:lang w:eastAsia="x-none"/>
              </w:rPr>
              <w:t>Performance refers to 9.2.2.1 observations</w:t>
            </w:r>
          </w:p>
          <w:p w14:paraId="7CB665D6" w14:textId="77777777" w:rsidR="00BC1BA5" w:rsidRPr="00BC1BA5" w:rsidRDefault="00BC1BA5" w:rsidP="00BC1BA5">
            <w:pPr>
              <w:widowControl w:val="0"/>
              <w:rPr>
                <w:rFonts w:ascii="Arial" w:eastAsia="SimSun" w:hAnsi="Arial" w:cs="Arial"/>
                <w:strike/>
                <w:sz w:val="16"/>
                <w:szCs w:val="16"/>
                <w:lang w:eastAsia="x-none"/>
              </w:rPr>
            </w:pPr>
            <w:r w:rsidRPr="00BC1BA5">
              <w:rPr>
                <w:rFonts w:ascii="Arial" w:eastAsia="SimSun" w:hAnsi="Arial" w:cs="Arial"/>
                <w:color w:val="FF0000"/>
                <w:sz w:val="16"/>
                <w:szCs w:val="16"/>
                <w:lang w:eastAsia="x-none"/>
              </w:rPr>
              <w:t>Performance refers to clause 6.2.2</w:t>
            </w:r>
          </w:p>
        </w:tc>
        <w:tc>
          <w:tcPr>
            <w:tcW w:w="1406" w:type="dxa"/>
          </w:tcPr>
          <w:p w14:paraId="7C6DC50A" w14:textId="77777777" w:rsidR="00BC1BA5" w:rsidRPr="00BC1BA5" w:rsidRDefault="00BC1BA5" w:rsidP="00BC1BA5">
            <w:pPr>
              <w:widowControl w:val="0"/>
              <w:rPr>
                <w:rFonts w:ascii="Arial" w:eastAsia="SimSun" w:hAnsi="Arial" w:cs="Arial"/>
                <w:strike/>
                <w:sz w:val="16"/>
                <w:szCs w:val="16"/>
                <w:lang w:eastAsia="x-none"/>
              </w:rPr>
            </w:pPr>
            <w:r w:rsidRPr="00BC1BA5">
              <w:rPr>
                <w:rFonts w:ascii="Arial" w:eastAsia="SimSun" w:hAnsi="Arial" w:cs="Arial"/>
                <w:strike/>
                <w:sz w:val="16"/>
                <w:szCs w:val="16"/>
                <w:lang w:eastAsia="x-none"/>
              </w:rPr>
              <w:t>Performance refers to 9.2.2.1 observations</w:t>
            </w:r>
          </w:p>
          <w:p w14:paraId="1A2D0C0B" w14:textId="77777777" w:rsidR="00BC1BA5" w:rsidRPr="00BC1BA5" w:rsidRDefault="00BC1BA5" w:rsidP="00BC1BA5">
            <w:pPr>
              <w:widowControl w:val="0"/>
              <w:rPr>
                <w:rFonts w:ascii="Arial" w:eastAsia="SimSun" w:hAnsi="Arial" w:cs="Arial"/>
                <w:strike/>
                <w:sz w:val="16"/>
                <w:szCs w:val="16"/>
                <w:lang w:eastAsia="x-none"/>
              </w:rPr>
            </w:pPr>
            <w:r w:rsidRPr="00BC1BA5">
              <w:rPr>
                <w:rFonts w:ascii="Arial" w:eastAsia="SimSun" w:hAnsi="Arial" w:cs="Arial"/>
                <w:color w:val="FF0000"/>
                <w:sz w:val="16"/>
                <w:szCs w:val="16"/>
                <w:lang w:eastAsia="x-none"/>
              </w:rPr>
              <w:t>Performance refers to clause 6.2.2</w:t>
            </w:r>
          </w:p>
        </w:tc>
      </w:tr>
    </w:tbl>
    <w:p w14:paraId="4A563B1C" w14:textId="77777777" w:rsidR="00BC1BA5" w:rsidRPr="00C14823" w:rsidRDefault="00BC1BA5" w:rsidP="00BC1BA5">
      <w:pPr>
        <w:rPr>
          <w:color w:val="FF0000"/>
        </w:rPr>
      </w:pPr>
      <w:r w:rsidRPr="00C14823">
        <w:rPr>
          <w:color w:val="FF0000"/>
        </w:rPr>
        <w:t>-------------------------------------------- End of Text Proposal ----------------------------------------------</w:t>
      </w:r>
    </w:p>
    <w:p w14:paraId="2306CA24" w14:textId="77777777" w:rsidR="002B2E78" w:rsidRDefault="002B2E78" w:rsidP="00A20E39">
      <w:pPr>
        <w:rPr>
          <w:rFonts w:ascii="Times New Roman" w:hAnsi="Times New Roman"/>
          <w:szCs w:val="20"/>
          <w:lang w:val="en-US" w:eastAsia="x-none"/>
        </w:rPr>
      </w:pPr>
    </w:p>
    <w:p w14:paraId="5D86FF8B" w14:textId="77777777" w:rsidR="002B2E78" w:rsidRPr="00A20E39" w:rsidRDefault="002B2E78" w:rsidP="00A20E39">
      <w:pPr>
        <w:rPr>
          <w:rFonts w:ascii="Times New Roman" w:hAnsi="Times New Roman"/>
          <w:szCs w:val="20"/>
          <w:lang w:val="en-US" w:eastAsia="x-none"/>
        </w:rPr>
      </w:pPr>
    </w:p>
    <w:p w14:paraId="41EBB93F" w14:textId="1C1005FF" w:rsidR="00A20E39" w:rsidRPr="00A35307" w:rsidRDefault="00A20E39" w:rsidP="00A20E39">
      <w:pPr>
        <w:rPr>
          <w:rFonts w:ascii="Times New Roman" w:hAnsi="Times New Roman"/>
          <w:szCs w:val="20"/>
          <w:lang w:val="en-US" w:eastAsia="x-none"/>
        </w:rPr>
      </w:pPr>
      <w:r w:rsidRPr="00A20E39">
        <w:rPr>
          <w:rFonts w:ascii="Times New Roman" w:hAnsi="Times New Roman"/>
          <w:szCs w:val="20"/>
          <w:lang w:val="en-US" w:eastAsia="x-none"/>
        </w:rPr>
        <w:t xml:space="preserve">Final summary </w:t>
      </w:r>
      <w:r w:rsidR="00BC1BA5">
        <w:rPr>
          <w:rFonts w:ascii="Times New Roman" w:hAnsi="Times New Roman"/>
          <w:szCs w:val="20"/>
          <w:lang w:val="en-US" w:eastAsia="x-none"/>
        </w:rPr>
        <w:t xml:space="preserve">in </w:t>
      </w:r>
      <w:hyperlink r:id="rId1901" w:history="1">
        <w:r w:rsidR="00AF7253">
          <w:rPr>
            <w:rStyle w:val="Hyperlink"/>
            <w:rFonts w:ascii="Times New Roman" w:hAnsi="Times New Roman"/>
            <w:szCs w:val="20"/>
            <w:lang w:val="en-US" w:eastAsia="x-none"/>
          </w:rPr>
          <w:t>R1-2312337</w:t>
        </w:r>
      </w:hyperlink>
      <w:r w:rsidR="00BC1BA5">
        <w:rPr>
          <w:rFonts w:ascii="Times New Roman" w:hAnsi="Times New Roman"/>
          <w:szCs w:val="20"/>
          <w:lang w:val="en-US" w:eastAsia="x-none"/>
        </w:rPr>
        <w:t>.</w:t>
      </w:r>
    </w:p>
    <w:p w14:paraId="7F73E17A" w14:textId="77777777" w:rsidR="00F74A6F" w:rsidRPr="009537ED" w:rsidRDefault="00F74A6F" w:rsidP="00FB66DE">
      <w:pPr>
        <w:pStyle w:val="Heading3"/>
      </w:pPr>
      <w:bookmarkStart w:id="781" w:name="_Toc150174498"/>
      <w:bookmarkStart w:id="782" w:name="_Toc159251040"/>
      <w:r w:rsidRPr="009537ED">
        <w:t>Remaining aspects on AI/ML</w:t>
      </w:r>
      <w:bookmarkEnd w:id="781"/>
      <w:bookmarkEnd w:id="782"/>
    </w:p>
    <w:p w14:paraId="1B9E053A" w14:textId="77777777" w:rsidR="00F74A6F" w:rsidRPr="009537ED" w:rsidRDefault="00F74A6F" w:rsidP="00F74A6F">
      <w:pPr>
        <w:rPr>
          <w:b/>
          <w:i/>
          <w:iCs/>
          <w:color w:val="FF0000"/>
          <w:u w:val="single"/>
        </w:rPr>
      </w:pPr>
      <w:r w:rsidRPr="009537ED">
        <w:rPr>
          <w:i/>
          <w:iCs/>
        </w:rPr>
        <w:t xml:space="preserve">To be used for finalization of TR conclusions and/or recommendations on ‘Evaluation on AI/ML for CSI feedback enhancement’, ‘Evaluation on AI/ML for beam management’, ‘Other aspects on AI/ML for beam management’, ‘Evaluation on AI/ML for positioning accuracy enhancement’, and ‘Other aspects on AI/ML for positioning accuracy enhancement’. </w:t>
      </w:r>
      <w:r w:rsidRPr="009537ED">
        <w:rPr>
          <w:b/>
          <w:i/>
          <w:iCs/>
          <w:color w:val="FF0000"/>
          <w:u w:val="single"/>
        </w:rPr>
        <w:t>Contributions are to be submitted only by FLs.</w:t>
      </w:r>
    </w:p>
    <w:p w14:paraId="183B37F2" w14:textId="77777777" w:rsidR="00F74A6F" w:rsidRPr="009537ED" w:rsidRDefault="00F74A6F" w:rsidP="00F74A6F">
      <w:pPr>
        <w:rPr>
          <w:lang w:eastAsia="x-none"/>
        </w:rPr>
      </w:pPr>
    </w:p>
    <w:p w14:paraId="32DE0965" w14:textId="6D7321D0" w:rsidR="00F74A6F" w:rsidRPr="009537ED" w:rsidRDefault="005A18DC" w:rsidP="00F74A6F">
      <w:pPr>
        <w:rPr>
          <w:lang w:eastAsia="x-none"/>
        </w:rPr>
      </w:pPr>
      <w:hyperlink r:id="rId1902" w:history="1">
        <w:r w:rsidR="00AF7253">
          <w:rPr>
            <w:rStyle w:val="Hyperlink"/>
            <w:lang w:eastAsia="x-none"/>
          </w:rPr>
          <w:t>R1-2310846</w:t>
        </w:r>
      </w:hyperlink>
      <w:r w:rsidR="00F74A6F" w:rsidRPr="009537ED">
        <w:rPr>
          <w:lang w:eastAsia="x-none"/>
        </w:rPr>
        <w:tab/>
        <w:t>Highlights for the evaluation on AI/ML based CSI feedback enhancement</w:t>
      </w:r>
      <w:r w:rsidR="00F74A6F" w:rsidRPr="009537ED">
        <w:rPr>
          <w:lang w:eastAsia="x-none"/>
        </w:rPr>
        <w:tab/>
        <w:t>Huawei, HiSilicon</w:t>
      </w:r>
    </w:p>
    <w:p w14:paraId="0B1B304D" w14:textId="0CD94A3C" w:rsidR="00F74A6F" w:rsidRPr="009537ED" w:rsidRDefault="005A18DC" w:rsidP="00F74A6F">
      <w:pPr>
        <w:rPr>
          <w:lang w:eastAsia="x-none"/>
        </w:rPr>
      </w:pPr>
      <w:hyperlink r:id="rId1903" w:history="1">
        <w:r w:rsidR="00AF7253">
          <w:rPr>
            <w:rStyle w:val="Hyperlink"/>
            <w:lang w:eastAsia="x-none"/>
          </w:rPr>
          <w:t>R1-2310906</w:t>
        </w:r>
      </w:hyperlink>
      <w:r w:rsidR="00F74A6F" w:rsidRPr="009537ED">
        <w:rPr>
          <w:lang w:eastAsia="x-none"/>
        </w:rPr>
        <w:tab/>
        <w:t>Remaining Aspects of AI/ML for Positioning Accuracy Enhancement</w:t>
      </w:r>
      <w:r w:rsidR="00F74A6F" w:rsidRPr="009537ED">
        <w:rPr>
          <w:lang w:eastAsia="x-none"/>
        </w:rPr>
        <w:tab/>
        <w:t>Ericsson</w:t>
      </w:r>
    </w:p>
    <w:p w14:paraId="2D18ADD3" w14:textId="45F1D48D" w:rsidR="00F74A6F" w:rsidRPr="009537ED" w:rsidRDefault="005A18DC" w:rsidP="00F74A6F">
      <w:pPr>
        <w:rPr>
          <w:lang w:eastAsia="x-none"/>
        </w:rPr>
      </w:pPr>
      <w:hyperlink r:id="rId1904" w:history="1">
        <w:r w:rsidR="00AF7253">
          <w:rPr>
            <w:rStyle w:val="Hyperlink"/>
            <w:lang w:eastAsia="x-none"/>
          </w:rPr>
          <w:t>R1-2311194</w:t>
        </w:r>
      </w:hyperlink>
      <w:r w:rsidR="00F74A6F" w:rsidRPr="009537ED">
        <w:rPr>
          <w:lang w:eastAsia="x-none"/>
        </w:rPr>
        <w:tab/>
        <w:t>Remaining open aspects of AI/ML positioning</w:t>
      </w:r>
      <w:r w:rsidR="00F74A6F" w:rsidRPr="009537ED">
        <w:rPr>
          <w:lang w:eastAsia="x-none"/>
        </w:rPr>
        <w:tab/>
        <w:t>Moderator (vivo)</w:t>
      </w:r>
    </w:p>
    <w:p w14:paraId="26D145CE" w14:textId="580CDA95" w:rsidR="00F74A6F" w:rsidRPr="009537ED" w:rsidRDefault="005A18DC" w:rsidP="00F74A6F">
      <w:pPr>
        <w:rPr>
          <w:lang w:eastAsia="x-none"/>
        </w:rPr>
      </w:pPr>
      <w:hyperlink r:id="rId1905" w:history="1">
        <w:r w:rsidR="00AF7253">
          <w:rPr>
            <w:rStyle w:val="Hyperlink"/>
            <w:lang w:eastAsia="x-none"/>
          </w:rPr>
          <w:t>R1-2311271</w:t>
        </w:r>
      </w:hyperlink>
      <w:r w:rsidR="00F74A6F" w:rsidRPr="009537ED">
        <w:rPr>
          <w:lang w:eastAsia="x-none"/>
        </w:rPr>
        <w:tab/>
        <w:t>Other aspects on AI/ML for beam management</w:t>
      </w:r>
      <w:r w:rsidR="00F74A6F" w:rsidRPr="009537ED">
        <w:rPr>
          <w:lang w:eastAsia="x-none"/>
        </w:rPr>
        <w:tab/>
        <w:t>OPPO</w:t>
      </w:r>
    </w:p>
    <w:p w14:paraId="456FB49F" w14:textId="0DDE3366" w:rsidR="00F74A6F" w:rsidRDefault="005A18DC" w:rsidP="00F74A6F">
      <w:pPr>
        <w:rPr>
          <w:lang w:eastAsia="x-none"/>
        </w:rPr>
      </w:pPr>
      <w:hyperlink r:id="rId1906" w:history="1">
        <w:r w:rsidR="00AF7253">
          <w:rPr>
            <w:rStyle w:val="Hyperlink"/>
            <w:lang w:eastAsia="x-none"/>
          </w:rPr>
          <w:t>R1-2311866</w:t>
        </w:r>
      </w:hyperlink>
      <w:r w:rsidR="00F74A6F" w:rsidRPr="009537ED">
        <w:rPr>
          <w:lang w:eastAsia="x-none"/>
        </w:rPr>
        <w:tab/>
        <w:t>Remaining aspects for evaluation of AI/ML for beam management</w:t>
      </w:r>
      <w:r w:rsidR="00F74A6F" w:rsidRPr="009537ED">
        <w:rPr>
          <w:lang w:eastAsia="x-none"/>
        </w:rPr>
        <w:tab/>
        <w:t>Moderator (Samsung)</w:t>
      </w:r>
    </w:p>
    <w:p w14:paraId="515637F5" w14:textId="77777777" w:rsidR="005854E1" w:rsidRDefault="005854E1" w:rsidP="00F74A6F">
      <w:pPr>
        <w:rPr>
          <w:lang w:eastAsia="x-none"/>
        </w:rPr>
      </w:pPr>
    </w:p>
    <w:p w14:paraId="14B846D4" w14:textId="77777777" w:rsidR="005E49E8" w:rsidRDefault="005E49E8" w:rsidP="005E49E8">
      <w:pPr>
        <w:rPr>
          <w:lang w:eastAsia="x-none"/>
        </w:rPr>
      </w:pPr>
    </w:p>
    <w:p w14:paraId="45578F31" w14:textId="21380DE7" w:rsidR="005E49E8" w:rsidRPr="005E49E8" w:rsidRDefault="005A18DC" w:rsidP="005E49E8">
      <w:pPr>
        <w:rPr>
          <w:b/>
          <w:bCs/>
          <w:lang w:eastAsia="x-none"/>
        </w:rPr>
      </w:pPr>
      <w:hyperlink r:id="rId1907" w:history="1">
        <w:r w:rsidR="00AF7253">
          <w:rPr>
            <w:rStyle w:val="Hyperlink"/>
            <w:b/>
            <w:bCs/>
            <w:lang w:eastAsia="x-none"/>
          </w:rPr>
          <w:t>R1-2312383</w:t>
        </w:r>
      </w:hyperlink>
      <w:r w:rsidR="005E49E8" w:rsidRPr="005E49E8">
        <w:rPr>
          <w:b/>
          <w:bCs/>
          <w:lang w:eastAsia="x-none"/>
        </w:rPr>
        <w:tab/>
        <w:t>Summary#1 for other aspects on AI/ML for beam management</w:t>
      </w:r>
      <w:r w:rsidR="005E49E8" w:rsidRPr="005E49E8">
        <w:rPr>
          <w:b/>
          <w:bCs/>
          <w:lang w:eastAsia="x-none"/>
        </w:rPr>
        <w:tab/>
        <w:t>Moderator (OPPO)</w:t>
      </w:r>
    </w:p>
    <w:p w14:paraId="5CF01F7F" w14:textId="1D5A8562" w:rsidR="005854E1" w:rsidRPr="005854E1" w:rsidRDefault="005E49E8" w:rsidP="005854E1">
      <w:pPr>
        <w:rPr>
          <w:lang w:eastAsia="x-none"/>
        </w:rPr>
      </w:pPr>
      <w:r>
        <w:rPr>
          <w:lang w:eastAsia="x-none"/>
        </w:rPr>
        <w:t>From Wednesday session</w:t>
      </w:r>
    </w:p>
    <w:p w14:paraId="216DE421" w14:textId="77777777" w:rsidR="005E49E8" w:rsidRPr="00837C58" w:rsidRDefault="005E49E8" w:rsidP="005E49E8">
      <w:pPr>
        <w:rPr>
          <w:highlight w:val="green"/>
        </w:rPr>
      </w:pPr>
      <w:r w:rsidRPr="00837C58">
        <w:rPr>
          <w:highlight w:val="green"/>
        </w:rPr>
        <w:t>Agreement</w:t>
      </w:r>
    </w:p>
    <w:p w14:paraId="10E344A5" w14:textId="77777777" w:rsidR="005854E1" w:rsidRPr="005E49E8" w:rsidRDefault="005854E1" w:rsidP="005E49E8">
      <w:pPr>
        <w:rPr>
          <w:rFonts w:ascii="Times New Roman" w:hAnsi="Times New Roman"/>
          <w:szCs w:val="20"/>
        </w:rPr>
      </w:pPr>
      <w:r w:rsidRPr="005E49E8">
        <w:rPr>
          <w:rFonts w:ascii="Times New Roman" w:hAnsi="Times New Roman"/>
          <w:szCs w:val="20"/>
        </w:rPr>
        <w:t>Confirm the following working assumption (with modification in red) agreed in RAN1#114bis</w:t>
      </w:r>
    </w:p>
    <w:p w14:paraId="79CD180D" w14:textId="77777777" w:rsidR="005854E1" w:rsidRPr="005E49E8" w:rsidRDefault="005854E1" w:rsidP="005E49E8">
      <w:pPr>
        <w:ind w:left="720"/>
        <w:rPr>
          <w:rFonts w:ascii="Times New Roman" w:hAnsi="Times New Roman"/>
          <w:iCs/>
          <w:sz w:val="18"/>
          <w:szCs w:val="18"/>
          <w:highlight w:val="darkYellow"/>
        </w:rPr>
      </w:pPr>
      <w:r w:rsidRPr="005E49E8">
        <w:rPr>
          <w:rFonts w:ascii="Times New Roman" w:hAnsi="Times New Roman"/>
          <w:iCs/>
          <w:sz w:val="18"/>
          <w:szCs w:val="18"/>
          <w:highlight w:val="darkYellow"/>
        </w:rPr>
        <w:t>Working Assumption</w:t>
      </w:r>
    </w:p>
    <w:p w14:paraId="4C209EB6" w14:textId="77777777" w:rsidR="005854E1" w:rsidRPr="005E49E8" w:rsidRDefault="005854E1" w:rsidP="005E49E8">
      <w:pPr>
        <w:ind w:left="720"/>
        <w:rPr>
          <w:rFonts w:ascii="Times New Roman" w:hAnsi="Times New Roman"/>
          <w:sz w:val="18"/>
          <w:szCs w:val="18"/>
        </w:rPr>
      </w:pPr>
      <w:r w:rsidRPr="005E49E8">
        <w:rPr>
          <w:rFonts w:ascii="Times New Roman" w:hAnsi="Times New Roman"/>
          <w:sz w:val="18"/>
          <w:szCs w:val="18"/>
        </w:rPr>
        <w:lastRenderedPageBreak/>
        <w:t>For AI-based beam management, from RAN1 perspective, at least the following are recommended for normative work</w:t>
      </w:r>
    </w:p>
    <w:p w14:paraId="1A758CDA" w14:textId="77777777" w:rsidR="005854E1" w:rsidRPr="005E49E8" w:rsidRDefault="005854E1" w:rsidP="00AA1D48">
      <w:pPr>
        <w:pStyle w:val="ListParagraph"/>
        <w:numPr>
          <w:ilvl w:val="0"/>
          <w:numId w:val="127"/>
        </w:numPr>
        <w:ind w:left="1440"/>
        <w:rPr>
          <w:sz w:val="18"/>
          <w:szCs w:val="18"/>
        </w:rPr>
      </w:pPr>
      <w:r w:rsidRPr="005E49E8">
        <w:rPr>
          <w:sz w:val="18"/>
          <w:szCs w:val="18"/>
        </w:rPr>
        <w:t>Both BM-Case1 and BM-Case2</w:t>
      </w:r>
    </w:p>
    <w:p w14:paraId="2AA94DC8" w14:textId="77777777" w:rsidR="005854E1" w:rsidRPr="005E49E8" w:rsidRDefault="005854E1" w:rsidP="00AA1D48">
      <w:pPr>
        <w:pStyle w:val="ListParagraph"/>
        <w:numPr>
          <w:ilvl w:val="1"/>
          <w:numId w:val="127"/>
        </w:numPr>
        <w:ind w:left="2160"/>
        <w:rPr>
          <w:sz w:val="18"/>
          <w:szCs w:val="18"/>
        </w:rPr>
      </w:pPr>
      <w:r w:rsidRPr="005E49E8">
        <w:rPr>
          <w:sz w:val="18"/>
          <w:szCs w:val="18"/>
        </w:rPr>
        <w:t xml:space="preserve">BM-Case1: Spatial-domain DL </w:t>
      </w:r>
      <w:r w:rsidRPr="005E49E8">
        <w:rPr>
          <w:color w:val="FF0000"/>
          <w:sz w:val="18"/>
          <w:szCs w:val="18"/>
        </w:rPr>
        <w:t>Tx</w:t>
      </w:r>
      <w:r w:rsidRPr="005E49E8">
        <w:rPr>
          <w:sz w:val="18"/>
          <w:szCs w:val="18"/>
        </w:rPr>
        <w:t xml:space="preserve"> beam prediction for Set A of beams based on measurement results of Set B of beams</w:t>
      </w:r>
    </w:p>
    <w:p w14:paraId="3C19A92E" w14:textId="77777777" w:rsidR="005854E1" w:rsidRPr="005E49E8" w:rsidRDefault="005854E1" w:rsidP="00AA1D48">
      <w:pPr>
        <w:pStyle w:val="ListParagraph"/>
        <w:numPr>
          <w:ilvl w:val="1"/>
          <w:numId w:val="127"/>
        </w:numPr>
        <w:ind w:left="2160"/>
        <w:rPr>
          <w:sz w:val="18"/>
          <w:szCs w:val="18"/>
        </w:rPr>
      </w:pPr>
      <w:r w:rsidRPr="005E49E8">
        <w:rPr>
          <w:sz w:val="18"/>
          <w:szCs w:val="18"/>
        </w:rPr>
        <w:t xml:space="preserve">BM-Case2: Temporal DL </w:t>
      </w:r>
      <w:r w:rsidRPr="005E49E8">
        <w:rPr>
          <w:color w:val="FF0000"/>
          <w:sz w:val="18"/>
          <w:szCs w:val="18"/>
        </w:rPr>
        <w:t>Tx</w:t>
      </w:r>
      <w:r w:rsidRPr="005E49E8">
        <w:rPr>
          <w:sz w:val="18"/>
          <w:szCs w:val="18"/>
        </w:rPr>
        <w:t xml:space="preserve"> beam prediction for Set A of beams based on the historic measurement results of Set B of beams</w:t>
      </w:r>
    </w:p>
    <w:p w14:paraId="3F7C140A" w14:textId="77777777" w:rsidR="005854E1" w:rsidRPr="005E49E8" w:rsidRDefault="005854E1" w:rsidP="00AA1D48">
      <w:pPr>
        <w:pStyle w:val="ListParagraph"/>
        <w:numPr>
          <w:ilvl w:val="0"/>
          <w:numId w:val="127"/>
        </w:numPr>
        <w:ind w:left="1440"/>
        <w:rPr>
          <w:sz w:val="18"/>
          <w:szCs w:val="18"/>
          <w:lang w:eastAsia="zh-CN"/>
        </w:rPr>
      </w:pPr>
      <w:r w:rsidRPr="005E49E8">
        <w:rPr>
          <w:sz w:val="18"/>
          <w:szCs w:val="18"/>
          <w:lang w:eastAsia="zh-CN"/>
        </w:rPr>
        <w:t>DL Tx beam prediction for both UE-sided model and NW-sided model</w:t>
      </w:r>
    </w:p>
    <w:p w14:paraId="1619A4AB" w14:textId="77777777" w:rsidR="005854E1" w:rsidRPr="005E49E8" w:rsidRDefault="005854E1" w:rsidP="00AA1D48">
      <w:pPr>
        <w:pStyle w:val="ListParagraph"/>
        <w:numPr>
          <w:ilvl w:val="0"/>
          <w:numId w:val="127"/>
        </w:numPr>
        <w:ind w:left="1440"/>
        <w:rPr>
          <w:sz w:val="18"/>
          <w:szCs w:val="18"/>
          <w:lang w:eastAsia="zh-CN"/>
        </w:rPr>
      </w:pPr>
      <w:r w:rsidRPr="005E49E8">
        <w:rPr>
          <w:sz w:val="18"/>
          <w:szCs w:val="18"/>
          <w:lang w:eastAsia="zh-CN"/>
        </w:rPr>
        <w:t>Necessary signaling/mechanism(s) to facilitate data collection, model inference, and performance monitoring for both UE-sided model and NW-sided model</w:t>
      </w:r>
    </w:p>
    <w:p w14:paraId="70CEF036" w14:textId="77777777" w:rsidR="005854E1" w:rsidRPr="005E49E8" w:rsidRDefault="005854E1" w:rsidP="00AA1D48">
      <w:pPr>
        <w:pStyle w:val="ListParagraph"/>
        <w:numPr>
          <w:ilvl w:val="0"/>
          <w:numId w:val="127"/>
        </w:numPr>
        <w:ind w:left="1440"/>
        <w:rPr>
          <w:sz w:val="18"/>
          <w:szCs w:val="18"/>
          <w:lang w:eastAsia="zh-CN"/>
        </w:rPr>
      </w:pPr>
      <w:r w:rsidRPr="005E49E8">
        <w:rPr>
          <w:sz w:val="18"/>
          <w:szCs w:val="18"/>
          <w:lang w:eastAsia="zh-CN"/>
        </w:rPr>
        <w:t>Signaling/mechanism(s) to facilitate necessary LCM operations via 3GPP signaling for UE-sided model</w:t>
      </w:r>
    </w:p>
    <w:p w14:paraId="7B0CEA80" w14:textId="77777777" w:rsidR="005854E1" w:rsidRPr="005E49E8" w:rsidRDefault="005854E1" w:rsidP="005E49E8">
      <w:pPr>
        <w:rPr>
          <w:rFonts w:ascii="Times New Roman" w:hAnsi="Times New Roman"/>
          <w:szCs w:val="20"/>
          <w:lang w:eastAsia="x-none"/>
        </w:rPr>
      </w:pPr>
    </w:p>
    <w:p w14:paraId="3F8C7494" w14:textId="77777777" w:rsidR="005E49E8" w:rsidRPr="00837C58" w:rsidRDefault="005E49E8" w:rsidP="005E49E8">
      <w:pPr>
        <w:rPr>
          <w:highlight w:val="green"/>
        </w:rPr>
      </w:pPr>
      <w:r w:rsidRPr="00837C58">
        <w:rPr>
          <w:highlight w:val="green"/>
        </w:rPr>
        <w:t>Agreement</w:t>
      </w:r>
    </w:p>
    <w:p w14:paraId="78951AEE" w14:textId="77777777" w:rsidR="005854E1" w:rsidRPr="005E49E8" w:rsidRDefault="005854E1" w:rsidP="005E49E8">
      <w:pPr>
        <w:rPr>
          <w:rFonts w:ascii="Times New Roman" w:hAnsi="Times New Roman"/>
          <w:szCs w:val="20"/>
        </w:rPr>
      </w:pPr>
      <w:r w:rsidRPr="005E49E8">
        <w:rPr>
          <w:rFonts w:ascii="Times New Roman" w:hAnsi="Times New Roman"/>
          <w:szCs w:val="20"/>
        </w:rPr>
        <w:t xml:space="preserve">Capture the following TP in Section 8 of the 3GPP TR 38.843 for the conclusion on AI/ML-based beam management: </w:t>
      </w:r>
    </w:p>
    <w:p w14:paraId="0B371819" w14:textId="77777777" w:rsidR="005854E1" w:rsidRPr="005E49E8" w:rsidRDefault="005854E1" w:rsidP="005E49E8">
      <w:pPr>
        <w:rPr>
          <w:color w:val="FF0000"/>
        </w:rPr>
      </w:pPr>
      <w:r w:rsidRPr="005E49E8">
        <w:rPr>
          <w:color w:val="FF0000"/>
        </w:rPr>
        <w:t>-------------------------------------------- Start of Text Proposal ----------------------------------------------------------------</w:t>
      </w:r>
    </w:p>
    <w:p w14:paraId="5BA41F78" w14:textId="77777777" w:rsidR="005854E1" w:rsidRPr="005854E1" w:rsidRDefault="005854E1" w:rsidP="005854E1">
      <w:pPr>
        <w:rPr>
          <w:rFonts w:ascii="Arial" w:hAnsi="Arial" w:cs="Arial"/>
          <w:sz w:val="16"/>
          <w:szCs w:val="16"/>
        </w:rPr>
      </w:pPr>
      <w:r w:rsidRPr="005854E1">
        <w:rPr>
          <w:rFonts w:ascii="Arial" w:hAnsi="Arial" w:cs="Arial"/>
          <w:sz w:val="16"/>
          <w:szCs w:val="16"/>
        </w:rPr>
        <w:t xml:space="preserve">This study focuses on evaluation of potential benefits of AI/ML-based beam management and analysis of potential enhancements to enable AI/ML for beam management. </w:t>
      </w:r>
    </w:p>
    <w:p w14:paraId="425814C3" w14:textId="77777777" w:rsidR="005854E1" w:rsidRPr="005854E1" w:rsidRDefault="005854E1" w:rsidP="005854E1">
      <w:pPr>
        <w:rPr>
          <w:rFonts w:ascii="Arial" w:hAnsi="Arial" w:cs="Arial"/>
          <w:sz w:val="16"/>
          <w:szCs w:val="16"/>
        </w:rPr>
      </w:pPr>
      <w:r w:rsidRPr="005854E1">
        <w:rPr>
          <w:rFonts w:ascii="Arial" w:hAnsi="Arial" w:cs="Arial"/>
          <w:sz w:val="16"/>
          <w:szCs w:val="16"/>
        </w:rPr>
        <w:t>During the study, BM-Case1 (Spatial-domain downlink beam prediction) and BM-Case2 (Temporal downlink beam prediction), as described in Section 5.2, are selected as the representative sub use cases.</w:t>
      </w:r>
    </w:p>
    <w:p w14:paraId="48215255" w14:textId="77777777" w:rsidR="005854E1" w:rsidRPr="005854E1" w:rsidRDefault="005854E1" w:rsidP="005854E1">
      <w:pPr>
        <w:rPr>
          <w:rFonts w:ascii="Arial" w:hAnsi="Arial" w:cs="Arial"/>
          <w:sz w:val="16"/>
          <w:szCs w:val="16"/>
        </w:rPr>
      </w:pPr>
      <w:r w:rsidRPr="005854E1">
        <w:rPr>
          <w:rFonts w:ascii="Arial" w:hAnsi="Arial" w:cs="Arial"/>
          <w:sz w:val="16"/>
          <w:szCs w:val="16"/>
        </w:rPr>
        <w:t xml:space="preserve">Evaluation scenarios and KPIs are described in Section 6.3.1, and the detailed evaluation results from different sources and the key observations are captured in Section 6.3.2.  Evaluation results have shown that it is beneficial to enable AI/ML for beam management in the considered evaluation scenarios. </w:t>
      </w:r>
    </w:p>
    <w:p w14:paraId="41606A62" w14:textId="77777777" w:rsidR="005854E1" w:rsidRPr="005854E1" w:rsidRDefault="005854E1" w:rsidP="005854E1">
      <w:pPr>
        <w:rPr>
          <w:rFonts w:ascii="Arial" w:hAnsi="Arial" w:cs="Arial"/>
          <w:sz w:val="16"/>
          <w:szCs w:val="16"/>
        </w:rPr>
      </w:pPr>
      <w:r w:rsidRPr="005854E1">
        <w:rPr>
          <w:rFonts w:ascii="Arial" w:hAnsi="Arial" w:cs="Arial"/>
          <w:sz w:val="16"/>
          <w:szCs w:val="16"/>
        </w:rPr>
        <w:t xml:space="preserve">The necessity, feasibility, benefit and potential specification impacts of potential enhancements to enable AI/ML for beam management were studied from different aspects, and the outputs are captured in Section 7. </w:t>
      </w:r>
    </w:p>
    <w:p w14:paraId="2ADE13D6" w14:textId="77777777" w:rsidR="005854E1" w:rsidRPr="005E49E8" w:rsidRDefault="005854E1" w:rsidP="005E49E8">
      <w:pPr>
        <w:rPr>
          <w:color w:val="FF0000"/>
        </w:rPr>
      </w:pPr>
      <w:r w:rsidRPr="005E49E8">
        <w:rPr>
          <w:color w:val="FF0000"/>
        </w:rPr>
        <w:t>-------------------------------------------- End of Text Proposal -----------------------------------------------------------------</w:t>
      </w:r>
    </w:p>
    <w:p w14:paraId="24ABB13D" w14:textId="77777777" w:rsidR="005854E1" w:rsidRDefault="005854E1" w:rsidP="005854E1">
      <w:pPr>
        <w:rPr>
          <w:lang w:eastAsia="x-none"/>
        </w:rPr>
      </w:pPr>
    </w:p>
    <w:p w14:paraId="3F428987" w14:textId="77777777" w:rsidR="005E49E8" w:rsidRDefault="005E49E8" w:rsidP="005854E1">
      <w:pPr>
        <w:rPr>
          <w:lang w:eastAsia="x-none"/>
        </w:rPr>
      </w:pPr>
    </w:p>
    <w:p w14:paraId="0E9F312B" w14:textId="1FBABE89" w:rsidR="005E49E8" w:rsidRDefault="0073642E" w:rsidP="005E49E8">
      <w:pPr>
        <w:rPr>
          <w:lang w:eastAsia="x-none"/>
        </w:rPr>
      </w:pPr>
      <w:r>
        <w:rPr>
          <w:lang w:eastAsia="x-none"/>
        </w:rPr>
        <w:t xml:space="preserve">Final summary in </w:t>
      </w:r>
      <w:hyperlink r:id="rId1908" w:history="1">
        <w:r w:rsidR="00AF7253">
          <w:rPr>
            <w:rStyle w:val="Hyperlink"/>
            <w:lang w:eastAsia="x-none"/>
          </w:rPr>
          <w:t>R1-2312384</w:t>
        </w:r>
      </w:hyperlink>
      <w:r>
        <w:rPr>
          <w:lang w:eastAsia="x-none"/>
        </w:rPr>
        <w:t>.</w:t>
      </w:r>
    </w:p>
    <w:p w14:paraId="60FABFDB" w14:textId="77777777" w:rsidR="005E49E8" w:rsidRPr="005854E1" w:rsidRDefault="005E49E8" w:rsidP="005854E1">
      <w:pPr>
        <w:rPr>
          <w:lang w:eastAsia="x-none"/>
        </w:rPr>
      </w:pPr>
    </w:p>
    <w:p w14:paraId="69BB4959" w14:textId="5DAA68F8" w:rsidR="005854E1" w:rsidRPr="005854E1" w:rsidRDefault="005E49E8" w:rsidP="005854E1">
      <w:pPr>
        <w:rPr>
          <w:lang w:eastAsia="x-none"/>
        </w:rPr>
      </w:pPr>
      <w:r>
        <w:rPr>
          <w:lang w:eastAsia="x-none"/>
        </w:rPr>
        <w:t>===========================================================================================</w:t>
      </w:r>
    </w:p>
    <w:p w14:paraId="7C1D59A6" w14:textId="77CE9ED5" w:rsidR="005E49E8" w:rsidRPr="005E49E8" w:rsidRDefault="005A18DC" w:rsidP="005E49E8">
      <w:pPr>
        <w:rPr>
          <w:b/>
          <w:bCs/>
          <w:lang w:eastAsia="x-none"/>
        </w:rPr>
      </w:pPr>
      <w:hyperlink r:id="rId1909" w:history="1">
        <w:r w:rsidR="00AF7253">
          <w:rPr>
            <w:rStyle w:val="Hyperlink"/>
            <w:b/>
            <w:bCs/>
            <w:lang w:eastAsia="x-none"/>
          </w:rPr>
          <w:t>R1-2312445</w:t>
        </w:r>
      </w:hyperlink>
      <w:r w:rsidR="005E49E8" w:rsidRPr="005E49E8">
        <w:rPr>
          <w:b/>
          <w:bCs/>
          <w:lang w:eastAsia="x-none"/>
        </w:rPr>
        <w:tab/>
        <w:t>FL summary #1 for remaining aspects for evaluation of AI/ML for beam management</w:t>
      </w:r>
      <w:r w:rsidR="005E49E8" w:rsidRPr="005E49E8">
        <w:rPr>
          <w:b/>
          <w:bCs/>
          <w:lang w:eastAsia="x-none"/>
        </w:rPr>
        <w:tab/>
        <w:t>Moderator (Samsung)</w:t>
      </w:r>
    </w:p>
    <w:p w14:paraId="224AE136" w14:textId="77777777" w:rsidR="005E49E8" w:rsidRPr="005854E1" w:rsidRDefault="005E49E8" w:rsidP="005E49E8">
      <w:pPr>
        <w:rPr>
          <w:lang w:eastAsia="x-none"/>
        </w:rPr>
      </w:pPr>
      <w:r>
        <w:rPr>
          <w:lang w:eastAsia="x-none"/>
        </w:rPr>
        <w:t>From Wednesday session</w:t>
      </w:r>
    </w:p>
    <w:p w14:paraId="2DAEAC36" w14:textId="77777777" w:rsidR="005E49E8" w:rsidRPr="00837C58" w:rsidRDefault="005E49E8" w:rsidP="005E49E8">
      <w:pPr>
        <w:rPr>
          <w:highlight w:val="green"/>
        </w:rPr>
      </w:pPr>
      <w:r w:rsidRPr="00837C58">
        <w:rPr>
          <w:highlight w:val="green"/>
        </w:rPr>
        <w:t>Agreement</w:t>
      </w:r>
    </w:p>
    <w:p w14:paraId="0C0AA411" w14:textId="77777777" w:rsidR="005854E1" w:rsidRPr="005854E1" w:rsidRDefault="005854E1" w:rsidP="005854E1">
      <w:r w:rsidRPr="005854E1">
        <w:t>Adopt the update of the following text proposal for TR 38.843:</w:t>
      </w:r>
    </w:p>
    <w:p w14:paraId="0F44D7DA" w14:textId="77777777" w:rsidR="005854E1" w:rsidRPr="005854E1" w:rsidRDefault="005854E1" w:rsidP="005854E1">
      <w:pPr>
        <w:rPr>
          <w:color w:val="FF0000"/>
        </w:rPr>
      </w:pPr>
      <w:r w:rsidRPr="005854E1">
        <w:rPr>
          <w:color w:val="FF0000"/>
        </w:rPr>
        <w:t>==== Start of text proposal for TR 38.843 =======</w:t>
      </w:r>
    </w:p>
    <w:p w14:paraId="5F197819" w14:textId="77777777" w:rsidR="005854E1" w:rsidRPr="00405B50" w:rsidRDefault="005854E1" w:rsidP="005E49E8">
      <w:pPr>
        <w:rPr>
          <w:rFonts w:ascii="Arial" w:hAnsi="Arial" w:cs="Arial"/>
          <w:b/>
          <w:bCs/>
          <w:sz w:val="16"/>
          <w:szCs w:val="16"/>
        </w:rPr>
      </w:pPr>
      <w:bookmarkStart w:id="783" w:name="_Toc135002577"/>
      <w:bookmarkStart w:id="784" w:name="_Toc137744869"/>
      <w:r w:rsidRPr="00405B50">
        <w:rPr>
          <w:rFonts w:ascii="Arial" w:hAnsi="Arial" w:cs="Arial"/>
          <w:b/>
          <w:bCs/>
          <w:sz w:val="16"/>
          <w:szCs w:val="16"/>
        </w:rPr>
        <w:t>6.3.2</w:t>
      </w:r>
      <w:r w:rsidRPr="00405B50">
        <w:rPr>
          <w:rFonts w:ascii="Arial" w:hAnsi="Arial" w:cs="Arial"/>
          <w:b/>
          <w:bCs/>
          <w:sz w:val="16"/>
          <w:szCs w:val="16"/>
        </w:rPr>
        <w:tab/>
        <w:t>Performance results</w:t>
      </w:r>
      <w:bookmarkEnd w:id="783"/>
      <w:bookmarkEnd w:id="784"/>
    </w:p>
    <w:p w14:paraId="6F212FDF" w14:textId="77777777" w:rsidR="005854E1" w:rsidRPr="005854E1" w:rsidRDefault="005854E1" w:rsidP="005E49E8">
      <w:pPr>
        <w:rPr>
          <w:rFonts w:ascii="Arial" w:hAnsi="Arial" w:cs="Arial"/>
          <w:sz w:val="16"/>
          <w:szCs w:val="16"/>
        </w:rPr>
      </w:pPr>
      <w:r w:rsidRPr="005854E1">
        <w:rPr>
          <w:rFonts w:ascii="Arial" w:hAnsi="Arial" w:cs="Arial"/>
          <w:sz w:val="16"/>
          <w:szCs w:val="16"/>
        </w:rPr>
        <w:t xml:space="preserve">BM_Table 1 through BM_Table 5 in attached Spreadsheets for Beam Management evaluations present the performance results for: </w:t>
      </w:r>
    </w:p>
    <w:p w14:paraId="67366137" w14:textId="77777777" w:rsidR="005854E1" w:rsidRPr="005854E1" w:rsidRDefault="005854E1" w:rsidP="00A67145">
      <w:pPr>
        <w:numPr>
          <w:ilvl w:val="0"/>
          <w:numId w:val="149"/>
        </w:numPr>
        <w:rPr>
          <w:rFonts w:ascii="Arial" w:hAnsi="Arial" w:cs="Arial"/>
          <w:sz w:val="16"/>
          <w:szCs w:val="16"/>
          <w:lang w:eastAsia="x-none"/>
        </w:rPr>
      </w:pPr>
      <w:r w:rsidRPr="005854E1">
        <w:rPr>
          <w:rFonts w:ascii="Arial" w:hAnsi="Arial" w:cs="Arial"/>
          <w:sz w:val="16"/>
          <w:szCs w:val="16"/>
          <w:lang w:eastAsia="x-none"/>
        </w:rPr>
        <w:t>BM_Table 1: Evaluation results for BMCase-1 without generalization</w:t>
      </w:r>
    </w:p>
    <w:p w14:paraId="2C3C67B4" w14:textId="77777777" w:rsidR="005854E1" w:rsidRPr="005854E1" w:rsidRDefault="005854E1" w:rsidP="00A67145">
      <w:pPr>
        <w:numPr>
          <w:ilvl w:val="0"/>
          <w:numId w:val="149"/>
        </w:numPr>
        <w:rPr>
          <w:rFonts w:ascii="Arial" w:hAnsi="Arial" w:cs="Arial"/>
          <w:sz w:val="16"/>
          <w:szCs w:val="16"/>
          <w:lang w:eastAsia="x-none"/>
        </w:rPr>
      </w:pPr>
      <w:r w:rsidRPr="005854E1">
        <w:rPr>
          <w:rFonts w:ascii="Arial" w:hAnsi="Arial" w:cs="Arial"/>
          <w:sz w:val="16"/>
          <w:szCs w:val="16"/>
          <w:lang w:eastAsia="x-none"/>
        </w:rPr>
        <w:t>BM_Table 2: Evaluation results for BMCase-2 without generalization</w:t>
      </w:r>
    </w:p>
    <w:p w14:paraId="24632D5F" w14:textId="77777777" w:rsidR="005854E1" w:rsidRPr="005854E1" w:rsidRDefault="005854E1" w:rsidP="00A67145">
      <w:pPr>
        <w:numPr>
          <w:ilvl w:val="0"/>
          <w:numId w:val="149"/>
        </w:numPr>
        <w:rPr>
          <w:rFonts w:ascii="Arial" w:hAnsi="Arial" w:cs="Arial"/>
          <w:sz w:val="16"/>
          <w:szCs w:val="16"/>
          <w:lang w:eastAsia="x-none"/>
        </w:rPr>
      </w:pPr>
      <w:r w:rsidRPr="005854E1">
        <w:rPr>
          <w:rFonts w:ascii="Arial" w:hAnsi="Arial" w:cs="Arial"/>
          <w:sz w:val="16"/>
          <w:szCs w:val="16"/>
          <w:lang w:eastAsia="x-none"/>
        </w:rPr>
        <w:t>BM_Table 3: Evaluation results for BMCase-1 with generalization for DL Tx beam prediction</w:t>
      </w:r>
    </w:p>
    <w:p w14:paraId="0BD06C35" w14:textId="77777777" w:rsidR="005854E1" w:rsidRPr="005854E1" w:rsidRDefault="005854E1" w:rsidP="00A67145">
      <w:pPr>
        <w:numPr>
          <w:ilvl w:val="0"/>
          <w:numId w:val="149"/>
        </w:numPr>
        <w:rPr>
          <w:rFonts w:ascii="Arial" w:hAnsi="Arial" w:cs="Arial"/>
          <w:sz w:val="16"/>
          <w:szCs w:val="16"/>
          <w:lang w:eastAsia="x-none"/>
        </w:rPr>
      </w:pPr>
      <w:r w:rsidRPr="005854E1">
        <w:rPr>
          <w:rFonts w:ascii="Arial" w:hAnsi="Arial" w:cs="Arial"/>
          <w:sz w:val="16"/>
          <w:szCs w:val="16"/>
          <w:lang w:eastAsia="x-none"/>
        </w:rPr>
        <w:t>BM_Table 4. Evaluation results for BMCase-1 with generalization for beam pair prediction</w:t>
      </w:r>
    </w:p>
    <w:p w14:paraId="55D3E6CC" w14:textId="77777777" w:rsidR="005854E1" w:rsidRPr="005854E1" w:rsidRDefault="005854E1" w:rsidP="00A67145">
      <w:pPr>
        <w:numPr>
          <w:ilvl w:val="0"/>
          <w:numId w:val="149"/>
        </w:numPr>
        <w:rPr>
          <w:rFonts w:ascii="Arial" w:hAnsi="Arial" w:cs="Arial"/>
          <w:sz w:val="16"/>
          <w:szCs w:val="16"/>
          <w:lang w:eastAsia="x-none"/>
        </w:rPr>
      </w:pPr>
      <w:r w:rsidRPr="005854E1">
        <w:rPr>
          <w:rFonts w:ascii="Arial" w:hAnsi="Arial" w:cs="Arial"/>
          <w:sz w:val="16"/>
          <w:szCs w:val="16"/>
          <w:lang w:eastAsia="x-none"/>
        </w:rPr>
        <w:t>BM_Table 5. Evaluation results for BMCase-2 with generalization for DL Tx beam and beam pair prediction</w:t>
      </w:r>
    </w:p>
    <w:p w14:paraId="3D4A0D21" w14:textId="77777777" w:rsidR="005854E1" w:rsidRPr="005854E1" w:rsidRDefault="005854E1" w:rsidP="005E49E8">
      <w:pPr>
        <w:rPr>
          <w:rFonts w:ascii="Arial" w:hAnsi="Arial" w:cs="Arial"/>
          <w:sz w:val="16"/>
          <w:szCs w:val="16"/>
          <w:u w:val="single"/>
        </w:rPr>
      </w:pPr>
      <w:r w:rsidRPr="005854E1">
        <w:rPr>
          <w:rFonts w:ascii="Arial" w:hAnsi="Arial" w:cs="Arial"/>
          <w:color w:val="FF0000"/>
          <w:sz w:val="16"/>
          <w:szCs w:val="16"/>
          <w:u w:val="single"/>
        </w:rPr>
        <w:t xml:space="preserve">In the evaluation, SLS are used for data generation for training/inference otherwise stated. </w:t>
      </w:r>
    </w:p>
    <w:p w14:paraId="142917AE" w14:textId="77777777" w:rsidR="005854E1" w:rsidRPr="005854E1" w:rsidRDefault="005854E1" w:rsidP="005E49E8">
      <w:pPr>
        <w:jc w:val="center"/>
        <w:rPr>
          <w:rFonts w:ascii="Arial" w:hAnsi="Arial" w:cs="Arial"/>
          <w:color w:val="FF0000"/>
          <w:sz w:val="16"/>
          <w:szCs w:val="16"/>
        </w:rPr>
      </w:pPr>
      <w:r w:rsidRPr="005854E1">
        <w:rPr>
          <w:rFonts w:ascii="Arial" w:hAnsi="Arial" w:cs="Arial"/>
          <w:color w:val="FF0000"/>
          <w:sz w:val="16"/>
          <w:szCs w:val="16"/>
        </w:rPr>
        <w:t>&lt; Unchanged parts are omitted &gt;</w:t>
      </w:r>
    </w:p>
    <w:p w14:paraId="077E2942" w14:textId="77777777" w:rsidR="005854E1" w:rsidRPr="005854E1" w:rsidRDefault="005854E1" w:rsidP="005854E1">
      <w:pPr>
        <w:rPr>
          <w:color w:val="FF0000"/>
        </w:rPr>
      </w:pPr>
      <w:r w:rsidRPr="005854E1">
        <w:rPr>
          <w:color w:val="FF0000"/>
        </w:rPr>
        <w:t>====== end of text proposal for TR 38.843 ======</w:t>
      </w:r>
    </w:p>
    <w:p w14:paraId="6AD3B704" w14:textId="77777777" w:rsidR="005854E1" w:rsidRPr="005854E1" w:rsidRDefault="005854E1" w:rsidP="005854E1">
      <w:pPr>
        <w:rPr>
          <w:lang w:eastAsia="x-none"/>
        </w:rPr>
      </w:pPr>
    </w:p>
    <w:p w14:paraId="3A8C96DE" w14:textId="77777777" w:rsidR="005E49E8" w:rsidRPr="00837C58" w:rsidRDefault="005E49E8" w:rsidP="005E49E8">
      <w:pPr>
        <w:rPr>
          <w:highlight w:val="green"/>
        </w:rPr>
      </w:pPr>
      <w:r w:rsidRPr="00837C58">
        <w:rPr>
          <w:highlight w:val="green"/>
        </w:rPr>
        <w:t>Agreement</w:t>
      </w:r>
    </w:p>
    <w:p w14:paraId="295097BB" w14:textId="6D2B243F" w:rsidR="005854E1" w:rsidRDefault="005854E1" w:rsidP="005854E1">
      <w:r w:rsidRPr="005854E1">
        <w:t xml:space="preserve">Adopt the update of BM_Table 1 and BM_Table 2 in BM_Evaluations_spreadsheets attached to TR 38.843 as in the attachments of </w:t>
      </w:r>
      <w:hyperlink r:id="rId1910" w:history="1">
        <w:r w:rsidR="00AF7253">
          <w:rPr>
            <w:rStyle w:val="Hyperlink"/>
          </w:rPr>
          <w:t>R1-2312445</w:t>
        </w:r>
      </w:hyperlink>
      <w:r w:rsidRPr="005854E1">
        <w:t>.</w:t>
      </w:r>
    </w:p>
    <w:p w14:paraId="6C4A5A57" w14:textId="77777777" w:rsidR="0073642E" w:rsidRDefault="0073642E" w:rsidP="005854E1"/>
    <w:p w14:paraId="5E4EBC6C" w14:textId="77777777" w:rsidR="0073642E" w:rsidRDefault="0073642E" w:rsidP="005854E1"/>
    <w:p w14:paraId="5FADA2D8" w14:textId="4C9DEF0F" w:rsidR="0073642E" w:rsidRPr="0073642E" w:rsidRDefault="005A18DC" w:rsidP="0073642E">
      <w:pPr>
        <w:rPr>
          <w:b/>
          <w:bCs/>
          <w:lang w:eastAsia="x-none"/>
        </w:rPr>
      </w:pPr>
      <w:hyperlink r:id="rId1911" w:history="1">
        <w:r w:rsidR="00AF7253">
          <w:rPr>
            <w:rStyle w:val="Hyperlink"/>
            <w:b/>
            <w:bCs/>
            <w:lang w:eastAsia="x-none"/>
          </w:rPr>
          <w:t>R1-2312560</w:t>
        </w:r>
      </w:hyperlink>
      <w:r w:rsidR="0073642E" w:rsidRPr="0073642E">
        <w:rPr>
          <w:b/>
          <w:bCs/>
          <w:lang w:eastAsia="x-none"/>
        </w:rPr>
        <w:tab/>
        <w:t>FL summary #2 for remaining aspects for evaluation of AI/ML for beam management</w:t>
      </w:r>
      <w:r w:rsidR="0073642E" w:rsidRPr="0073642E">
        <w:rPr>
          <w:b/>
          <w:bCs/>
          <w:lang w:eastAsia="x-none"/>
        </w:rPr>
        <w:tab/>
        <w:t>Moderator (Samsung)</w:t>
      </w:r>
    </w:p>
    <w:p w14:paraId="234D3108" w14:textId="3AE04761" w:rsidR="0073642E" w:rsidRDefault="0073642E" w:rsidP="0073642E">
      <w:pPr>
        <w:rPr>
          <w:lang w:eastAsia="x-none"/>
        </w:rPr>
      </w:pPr>
      <w:r>
        <w:rPr>
          <w:lang w:eastAsia="x-none"/>
        </w:rPr>
        <w:t>From Friday session</w:t>
      </w:r>
    </w:p>
    <w:p w14:paraId="635EBD58" w14:textId="77777777" w:rsidR="0073642E" w:rsidRPr="0073642E" w:rsidRDefault="0073642E" w:rsidP="0073642E">
      <w:pPr>
        <w:rPr>
          <w:highlight w:val="green"/>
          <w:lang w:eastAsia="x-none"/>
        </w:rPr>
      </w:pPr>
      <w:r w:rsidRPr="0073642E">
        <w:rPr>
          <w:highlight w:val="green"/>
          <w:lang w:eastAsia="x-none"/>
        </w:rPr>
        <w:t>Agreement</w:t>
      </w:r>
    </w:p>
    <w:p w14:paraId="4492D713" w14:textId="1A33EE06" w:rsidR="0073642E" w:rsidRDefault="0073642E" w:rsidP="0073642E">
      <w:r>
        <w:t>Adopt the update of the following text proposal for TR 38.843:</w:t>
      </w:r>
    </w:p>
    <w:p w14:paraId="6FD82B3C" w14:textId="77777777" w:rsidR="0073642E" w:rsidRPr="005854E1" w:rsidRDefault="0073642E" w:rsidP="0073642E">
      <w:pPr>
        <w:rPr>
          <w:color w:val="FF0000"/>
        </w:rPr>
      </w:pPr>
      <w:r w:rsidRPr="005854E1">
        <w:rPr>
          <w:color w:val="FF0000"/>
        </w:rPr>
        <w:t>==== Start of text proposal for TR 38.843 =======</w:t>
      </w:r>
    </w:p>
    <w:p w14:paraId="19A113C9" w14:textId="77777777" w:rsidR="0073642E" w:rsidRPr="0073642E" w:rsidRDefault="0073642E" w:rsidP="0073642E">
      <w:pPr>
        <w:rPr>
          <w:rFonts w:ascii="Arial" w:hAnsi="Arial" w:cs="Arial"/>
          <w:b/>
          <w:bCs/>
          <w:sz w:val="16"/>
          <w:szCs w:val="16"/>
        </w:rPr>
      </w:pPr>
      <w:r w:rsidRPr="0073642E">
        <w:rPr>
          <w:rFonts w:ascii="Arial" w:hAnsi="Arial" w:cs="Arial"/>
          <w:b/>
          <w:bCs/>
          <w:sz w:val="16"/>
          <w:szCs w:val="16"/>
        </w:rPr>
        <w:t>6.3.1</w:t>
      </w:r>
      <w:r w:rsidRPr="0073642E">
        <w:rPr>
          <w:rFonts w:ascii="Arial" w:hAnsi="Arial" w:cs="Arial"/>
          <w:b/>
          <w:bCs/>
          <w:sz w:val="16"/>
          <w:szCs w:val="16"/>
        </w:rPr>
        <w:tab/>
        <w:t>Evaluation assumptions, methodology and KPIs</w:t>
      </w:r>
    </w:p>
    <w:p w14:paraId="5380C149" w14:textId="77777777" w:rsidR="0073642E" w:rsidRPr="0073642E" w:rsidRDefault="0073642E" w:rsidP="0073642E">
      <w:pPr>
        <w:rPr>
          <w:rFonts w:ascii="Arial" w:hAnsi="Arial" w:cs="Arial"/>
          <w:color w:val="FF0000"/>
          <w:sz w:val="16"/>
          <w:szCs w:val="16"/>
          <w:u w:val="single"/>
        </w:rPr>
      </w:pPr>
      <w:r w:rsidRPr="0073642E">
        <w:rPr>
          <w:rFonts w:ascii="Arial" w:hAnsi="Arial" w:cs="Arial"/>
          <w:color w:val="FF0000"/>
          <w:sz w:val="16"/>
          <w:szCs w:val="16"/>
          <w:u w:val="single"/>
        </w:rPr>
        <w:t xml:space="preserve">Figure 6.3.1-1 provides an example for the inference procedure for beam management for BM-Case1 and BM-Case2. Measurements based on Set B of beams are used as model input. In addition, beam ID information may be also provided as input to the AI/ML model. Based on model output (e.g., probability of each beam in Set A to be the Top-1 beam, predicted L1-RSRPs), Top-1/N beam(s) among Set A of beams can be predicted and/or potentially with predicted L1-RSRPs (depending on the labeling). In the evaluation, for BM-Case 1, the measurements of Set B (otherwise stated) are used as model input to predict Top-1/N beams from Set A, and for BM-Case2, the measurements from historic time instance(s) are used as model input for temporal DL beam prediction of beams from Set A. In the evaluation, the cases that Set A and Set B are different (Set B is NOT a subset of Set A), and Set B is a subset of Set A for both BM-Case1 and BM-Case2, and case that Set A and Set B are the same for BM-Case2 are considered. And the performance of DL Tx beam prediction and DL Tx-Rx beam pair prediction is evaluated. </w:t>
      </w:r>
    </w:p>
    <w:p w14:paraId="0D84015D" w14:textId="77777777" w:rsidR="0073642E" w:rsidRPr="0073642E" w:rsidRDefault="0073642E" w:rsidP="0073642E">
      <w:pPr>
        <w:rPr>
          <w:rFonts w:ascii="Arial" w:hAnsi="Arial" w:cs="Arial"/>
          <w:color w:val="FF0000"/>
          <w:sz w:val="16"/>
          <w:szCs w:val="16"/>
          <w:u w:val="single"/>
        </w:rPr>
      </w:pPr>
      <w:r w:rsidRPr="0073642E">
        <w:rPr>
          <w:rFonts w:ascii="Arial" w:hAnsi="Arial" w:cs="Arial"/>
          <w:color w:val="FF0000"/>
          <w:sz w:val="16"/>
          <w:szCs w:val="16"/>
          <w:u w:val="single"/>
        </w:rPr>
        <w:lastRenderedPageBreak/>
        <w:t xml:space="preserve">For both BM-Case1 and BM-Case2, UE can report the prediction result to NW based on the output of a UE-side model, or NW can predict the Top-1/N beam(s) based on the reported measurements of Set B for a NW-side model. </w:t>
      </w:r>
    </w:p>
    <w:p w14:paraId="1C34F938" w14:textId="519DBF86" w:rsidR="0073642E" w:rsidRPr="0073642E" w:rsidRDefault="0073642E" w:rsidP="0073642E">
      <w:pPr>
        <w:jc w:val="center"/>
        <w:rPr>
          <w:rFonts w:ascii="Arial" w:hAnsi="Arial" w:cs="Arial"/>
          <w:color w:val="FF0000"/>
          <w:sz w:val="16"/>
          <w:szCs w:val="16"/>
          <w:u w:val="single"/>
        </w:rPr>
      </w:pPr>
      <w:r w:rsidRPr="0073642E">
        <w:rPr>
          <w:rFonts w:ascii="Arial" w:hAnsi="Arial" w:cs="Arial"/>
          <w:noProof/>
          <w:color w:val="FF0000"/>
          <w:sz w:val="16"/>
          <w:szCs w:val="16"/>
          <w:u w:val="single"/>
        </w:rPr>
        <w:drawing>
          <wp:inline distT="0" distB="0" distL="0" distR="0" wp14:anchorId="424EAF73" wp14:editId="33B56984">
            <wp:extent cx="4533900" cy="1219200"/>
            <wp:effectExtent l="0" t="0" r="0" b="0"/>
            <wp:docPr id="368994069" name="Picture 1" descr="A white and black rectangular object with black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8994069" name="Picture 1" descr="A white and black rectangular object with black text&#10;&#10;Description automatically generated"/>
                    <pic:cNvPicPr>
                      <a:picLocks noChangeAspect="1" noChangeArrowheads="1"/>
                    </pic:cNvPicPr>
                  </pic:nvPicPr>
                  <pic:blipFill>
                    <a:blip r:embed="rId1912" cstate="print">
                      <a:extLst>
                        <a:ext uri="{28A0092B-C50C-407E-A947-70E740481C1C}">
                          <a14:useLocalDpi xmlns:a14="http://schemas.microsoft.com/office/drawing/2010/main" val="0"/>
                        </a:ext>
                      </a:extLst>
                    </a:blip>
                    <a:srcRect/>
                    <a:stretch>
                      <a:fillRect/>
                    </a:stretch>
                  </pic:blipFill>
                  <pic:spPr bwMode="auto">
                    <a:xfrm>
                      <a:off x="0" y="0"/>
                      <a:ext cx="4533900" cy="1219200"/>
                    </a:xfrm>
                    <a:prstGeom prst="rect">
                      <a:avLst/>
                    </a:prstGeom>
                    <a:noFill/>
                    <a:ln>
                      <a:noFill/>
                    </a:ln>
                  </pic:spPr>
                </pic:pic>
              </a:graphicData>
            </a:graphic>
          </wp:inline>
        </w:drawing>
      </w:r>
    </w:p>
    <w:p w14:paraId="3749A82B" w14:textId="77777777" w:rsidR="0073642E" w:rsidRPr="0073642E" w:rsidRDefault="0073642E" w:rsidP="0073642E">
      <w:pPr>
        <w:jc w:val="center"/>
        <w:rPr>
          <w:rFonts w:ascii="Arial" w:hAnsi="Arial" w:cs="Arial"/>
          <w:color w:val="FF0000"/>
          <w:sz w:val="16"/>
          <w:szCs w:val="16"/>
          <w:u w:val="single"/>
        </w:rPr>
      </w:pPr>
      <w:r w:rsidRPr="0073642E">
        <w:rPr>
          <w:rFonts w:ascii="Arial" w:hAnsi="Arial" w:cs="Arial"/>
          <w:color w:val="FF0000"/>
          <w:sz w:val="16"/>
          <w:szCs w:val="16"/>
          <w:u w:val="single"/>
        </w:rPr>
        <w:t>Figure 6.3.1-1 An example of the inference procedure for beam management.</w:t>
      </w:r>
    </w:p>
    <w:p w14:paraId="1FC556C2" w14:textId="77777777" w:rsidR="0073642E" w:rsidRPr="0073642E" w:rsidRDefault="0073642E" w:rsidP="0073642E">
      <w:pPr>
        <w:jc w:val="center"/>
        <w:rPr>
          <w:rFonts w:ascii="Arial" w:hAnsi="Arial" w:cs="Arial"/>
          <w:color w:val="FF0000"/>
          <w:sz w:val="16"/>
          <w:szCs w:val="16"/>
        </w:rPr>
      </w:pPr>
      <w:r w:rsidRPr="0073642E">
        <w:rPr>
          <w:rFonts w:ascii="Arial" w:hAnsi="Arial" w:cs="Arial"/>
          <w:color w:val="FF0000"/>
          <w:sz w:val="16"/>
          <w:szCs w:val="16"/>
        </w:rPr>
        <w:t>&lt; Unchanged parts are omitted &gt;</w:t>
      </w:r>
    </w:p>
    <w:p w14:paraId="31037419" w14:textId="77777777" w:rsidR="0073642E" w:rsidRPr="005854E1" w:rsidRDefault="0073642E" w:rsidP="0073642E">
      <w:pPr>
        <w:rPr>
          <w:color w:val="FF0000"/>
        </w:rPr>
      </w:pPr>
      <w:r w:rsidRPr="005854E1">
        <w:rPr>
          <w:color w:val="FF0000"/>
        </w:rPr>
        <w:t>====== end of text proposal for TR 38.843 ======</w:t>
      </w:r>
    </w:p>
    <w:p w14:paraId="1EC3382C" w14:textId="77777777" w:rsidR="0073642E" w:rsidRPr="005854E1" w:rsidRDefault="0073642E" w:rsidP="005854E1"/>
    <w:p w14:paraId="13D9AA5E" w14:textId="77777777" w:rsidR="005854E1" w:rsidRDefault="005854E1" w:rsidP="00783C23"/>
    <w:p w14:paraId="1F48BB3A" w14:textId="77777777" w:rsidR="00C12D5C" w:rsidRPr="005854E1" w:rsidRDefault="00C12D5C" w:rsidP="00C12D5C">
      <w:pPr>
        <w:rPr>
          <w:lang w:eastAsia="x-none"/>
        </w:rPr>
      </w:pPr>
      <w:r>
        <w:rPr>
          <w:lang w:eastAsia="x-none"/>
        </w:rPr>
        <w:t>===========================================================================================</w:t>
      </w:r>
    </w:p>
    <w:p w14:paraId="57F4A343" w14:textId="0A0CF935" w:rsidR="00C12D5C" w:rsidRDefault="005A18DC" w:rsidP="00C12D5C">
      <w:pPr>
        <w:rPr>
          <w:lang w:eastAsia="x-none"/>
        </w:rPr>
      </w:pPr>
      <w:hyperlink r:id="rId1913" w:history="1">
        <w:r w:rsidR="00AF7253">
          <w:rPr>
            <w:rStyle w:val="Hyperlink"/>
            <w:lang w:eastAsia="x-none"/>
          </w:rPr>
          <w:t>R1-2312399</w:t>
        </w:r>
      </w:hyperlink>
      <w:r w:rsidR="00C12D5C">
        <w:rPr>
          <w:lang w:eastAsia="x-none"/>
        </w:rPr>
        <w:tab/>
        <w:t>Summary#1 for CSI evaluation of [115-R18-AI/ML]</w:t>
      </w:r>
      <w:r w:rsidR="00C12D5C">
        <w:rPr>
          <w:lang w:eastAsia="x-none"/>
        </w:rPr>
        <w:tab/>
        <w:t>Moderator (Huawei)</w:t>
      </w:r>
    </w:p>
    <w:p w14:paraId="5F282D9C" w14:textId="2D6984B6" w:rsidR="00C12D5C" w:rsidRPr="000C6043" w:rsidRDefault="005A18DC" w:rsidP="00C12D5C">
      <w:pPr>
        <w:rPr>
          <w:b/>
          <w:bCs/>
          <w:lang w:eastAsia="x-none"/>
        </w:rPr>
      </w:pPr>
      <w:hyperlink r:id="rId1914" w:history="1">
        <w:r w:rsidR="00AF7253">
          <w:rPr>
            <w:rStyle w:val="Hyperlink"/>
            <w:b/>
            <w:bCs/>
            <w:lang w:eastAsia="x-none"/>
          </w:rPr>
          <w:t>R1-2312400</w:t>
        </w:r>
      </w:hyperlink>
      <w:r w:rsidR="00C12D5C" w:rsidRPr="000C6043">
        <w:rPr>
          <w:b/>
          <w:bCs/>
          <w:lang w:eastAsia="x-none"/>
        </w:rPr>
        <w:tab/>
        <w:t>Summary#2 for CSI evaluation of [115-R18-AI/ML]</w:t>
      </w:r>
      <w:r w:rsidR="00C12D5C" w:rsidRPr="000C6043">
        <w:rPr>
          <w:b/>
          <w:bCs/>
          <w:lang w:eastAsia="x-none"/>
        </w:rPr>
        <w:tab/>
        <w:t>Moderator (Huawei)</w:t>
      </w:r>
    </w:p>
    <w:p w14:paraId="174DD09C" w14:textId="08E7B165" w:rsidR="00C12D5C" w:rsidRPr="00783C23" w:rsidRDefault="00C12D5C" w:rsidP="00783C23">
      <w:r>
        <w:t>From Wednesday session</w:t>
      </w:r>
    </w:p>
    <w:p w14:paraId="3E849B97" w14:textId="77777777" w:rsidR="005E49E8" w:rsidRPr="00783C23" w:rsidRDefault="005E49E8" w:rsidP="00783C23">
      <w:pPr>
        <w:rPr>
          <w:highlight w:val="green"/>
        </w:rPr>
      </w:pPr>
      <w:r w:rsidRPr="00783C23">
        <w:rPr>
          <w:highlight w:val="green"/>
        </w:rPr>
        <w:t>Agreement</w:t>
      </w:r>
    </w:p>
    <w:p w14:paraId="3A41F510" w14:textId="77777777" w:rsidR="005854E1" w:rsidRPr="00783C23" w:rsidRDefault="005854E1" w:rsidP="00783C23">
      <w:pPr>
        <w:rPr>
          <w:lang w:eastAsia="zh-CN"/>
        </w:rPr>
      </w:pPr>
      <w:r w:rsidRPr="00783C23">
        <w:rPr>
          <w:lang w:eastAsia="zh-CN"/>
        </w:rPr>
        <w:t>Capture the following high-level observations for CSI compression to section 6.2.2.8 of TR 38.843</w:t>
      </w:r>
    </w:p>
    <w:p w14:paraId="0F63368A" w14:textId="77777777" w:rsidR="005854E1" w:rsidRPr="00367C4B" w:rsidRDefault="005854E1" w:rsidP="00A67145">
      <w:pPr>
        <w:pStyle w:val="ListParagraph"/>
        <w:numPr>
          <w:ilvl w:val="0"/>
          <w:numId w:val="155"/>
        </w:numPr>
        <w:rPr>
          <w:u w:val="single"/>
          <w:lang w:eastAsia="zh-CN"/>
        </w:rPr>
      </w:pPr>
      <w:r w:rsidRPr="00367C4B">
        <w:rPr>
          <w:u w:val="single"/>
          <w:lang w:eastAsia="zh-CN"/>
        </w:rPr>
        <w:t>From the perspective of intermediate KPI based monitoring,</w:t>
      </w:r>
    </w:p>
    <w:p w14:paraId="6C3009CC" w14:textId="77777777" w:rsidR="005854E1" w:rsidRPr="00783C23" w:rsidRDefault="005854E1" w:rsidP="00A67145">
      <w:pPr>
        <w:pStyle w:val="ListParagraph"/>
        <w:numPr>
          <w:ilvl w:val="1"/>
          <w:numId w:val="155"/>
        </w:numPr>
        <w:rPr>
          <w:lang w:eastAsia="zh-CN"/>
        </w:rPr>
      </w:pPr>
      <w:r w:rsidRPr="00783C23">
        <w:rPr>
          <w:lang w:eastAsia="zh-CN"/>
        </w:rPr>
        <w:t xml:space="preserve">For the monitoring at NW side, increased monitoring accuracy can be achieved by considering R16 eType II CB with new/larger parameter(s) as the ground-truth CSI format for monitoring. On the other hand, the new/larger parameter(s) </w:t>
      </w:r>
      <w:r w:rsidRPr="00783C23">
        <w:rPr>
          <w:rFonts w:hint="eastAsia"/>
          <w:lang w:eastAsia="zh-CN"/>
        </w:rPr>
        <w:t>would</w:t>
      </w:r>
      <w:r w:rsidRPr="00783C23">
        <w:rPr>
          <w:lang w:eastAsia="zh-CN"/>
        </w:rPr>
        <w:t xml:space="preserve"> lead to increased air-interface overhead compared to R16 eType II CB with legacy parameters.</w:t>
      </w:r>
    </w:p>
    <w:p w14:paraId="09F4C3C2" w14:textId="77777777" w:rsidR="005854E1" w:rsidRPr="00783C23" w:rsidRDefault="005854E1" w:rsidP="00A67145">
      <w:pPr>
        <w:pStyle w:val="ListParagraph"/>
        <w:numPr>
          <w:ilvl w:val="1"/>
          <w:numId w:val="155"/>
        </w:numPr>
        <w:rPr>
          <w:lang w:eastAsia="zh-CN"/>
        </w:rPr>
      </w:pPr>
      <w:r w:rsidRPr="00367C4B">
        <w:rPr>
          <w:rFonts w:eastAsia="Malgun Gothic" w:hint="eastAsia"/>
          <w:lang w:eastAsia="zh-CN"/>
        </w:rPr>
        <w:t>F</w:t>
      </w:r>
      <w:r w:rsidRPr="00367C4B">
        <w:rPr>
          <w:rFonts w:eastAsia="Malgun Gothic"/>
          <w:lang w:eastAsia="zh-CN"/>
        </w:rPr>
        <w:t xml:space="preserve">or the </w:t>
      </w:r>
      <w:r w:rsidRPr="00783C23">
        <w:rPr>
          <w:lang w:eastAsia="zh-CN"/>
        </w:rPr>
        <w:t>monitoring at UE side, performance can be monitored with smaller air-interface overhead by considering proxy model at UE</w:t>
      </w:r>
      <w:r w:rsidRPr="00783C23">
        <w:t xml:space="preserve"> compared with</w:t>
      </w:r>
      <w:r w:rsidRPr="00783C23">
        <w:rPr>
          <w:lang w:eastAsia="zh-CN"/>
        </w:rPr>
        <w:t xml:space="preserve"> monitoring at NW side. On the other hand, the monitoring accuracy may be impacted by the design/robustness of the proxy model.</w:t>
      </w:r>
    </w:p>
    <w:p w14:paraId="0E06ABA4" w14:textId="77777777" w:rsidR="005854E1" w:rsidRPr="00783C23" w:rsidRDefault="005854E1" w:rsidP="00A67145">
      <w:pPr>
        <w:pStyle w:val="ListParagraph"/>
        <w:numPr>
          <w:ilvl w:val="1"/>
          <w:numId w:val="155"/>
        </w:numPr>
        <w:rPr>
          <w:lang w:eastAsia="zh-CN"/>
        </w:rPr>
      </w:pPr>
      <w:r w:rsidRPr="00783C23">
        <w:t>Note: the complexity aspect for Case 1, Case 2-1 and Case 2-2 is not evaluated.</w:t>
      </w:r>
    </w:p>
    <w:p w14:paraId="30F374F7" w14:textId="77777777" w:rsidR="005854E1" w:rsidRPr="00783C23" w:rsidRDefault="005854E1" w:rsidP="00A67145">
      <w:pPr>
        <w:pStyle w:val="ListParagraph"/>
        <w:numPr>
          <w:ilvl w:val="0"/>
          <w:numId w:val="155"/>
        </w:numPr>
        <w:rPr>
          <w:lang w:eastAsia="zh-CN"/>
        </w:rPr>
      </w:pPr>
      <w:r w:rsidRPr="00367C4B">
        <w:rPr>
          <w:u w:val="single"/>
          <w:lang w:eastAsia="zh-CN"/>
        </w:rPr>
        <w:t>From the perspective of high resolution ground-truth CSI for training,</w:t>
      </w:r>
      <w:r w:rsidRPr="00783C23">
        <w:rPr>
          <w:lang w:eastAsia="zh-CN"/>
        </w:rPr>
        <w:t xml:space="preserve"> compared to unquantized ground-truth CSI (e.g., Float32), taking R16 eType II CB with new/larger parameter(s) as the ground-truth CSI format for training</w:t>
      </w:r>
      <w:r w:rsidRPr="00367C4B">
        <w:rPr>
          <w:color w:val="00B0F0"/>
          <w:lang w:eastAsia="zh-CN"/>
        </w:rPr>
        <w:t xml:space="preserve"> </w:t>
      </w:r>
      <w:r w:rsidRPr="00783C23">
        <w:rPr>
          <w:lang w:eastAsia="zh-CN"/>
        </w:rPr>
        <w:t xml:space="preserve">data collection can achieve significant overhead reduction without causing severe performance degradation; taking scalar quantization format for training data collection can achieve moderate overhead reduction without causing severe performance degradation. On the other hand, the R16 eType II CB with new/larger parameter(s) </w:t>
      </w:r>
      <w:r w:rsidRPr="00783C23">
        <w:rPr>
          <w:rFonts w:hint="eastAsia"/>
          <w:lang w:eastAsia="zh-CN"/>
        </w:rPr>
        <w:t>would</w:t>
      </w:r>
      <w:r w:rsidRPr="00783C23">
        <w:rPr>
          <w:lang w:eastAsia="zh-CN"/>
        </w:rPr>
        <w:t xml:space="preserve"> lead to increased overhead compared to R16 eType II CB with legacy parameters</w:t>
      </w:r>
    </w:p>
    <w:p w14:paraId="06DAFF07" w14:textId="77777777" w:rsidR="005854E1" w:rsidRPr="00783C23" w:rsidRDefault="005854E1" w:rsidP="00A67145">
      <w:pPr>
        <w:pStyle w:val="ListParagraph"/>
        <w:numPr>
          <w:ilvl w:val="1"/>
          <w:numId w:val="155"/>
        </w:numPr>
        <w:rPr>
          <w:lang w:eastAsia="zh-CN"/>
        </w:rPr>
      </w:pPr>
      <w:r w:rsidRPr="00783C23">
        <w:rPr>
          <w:lang w:eastAsia="zh-CN"/>
        </w:rPr>
        <w:t>For ground-truth CSI format, 5 sources observe R16 eType II CB with new/larger parameter(s) outperforms R16 eType II CB with legacy parameter, while one source observes R16 eType II CB with legacy parameter is already close to Float32 with particular dataset processing technique.</w:t>
      </w:r>
    </w:p>
    <w:p w14:paraId="1A76541C" w14:textId="77777777" w:rsidR="005854E1" w:rsidRPr="00783C23" w:rsidRDefault="005854E1" w:rsidP="00A67145">
      <w:pPr>
        <w:pStyle w:val="ListParagraph"/>
        <w:numPr>
          <w:ilvl w:val="1"/>
          <w:numId w:val="155"/>
        </w:numPr>
        <w:rPr>
          <w:lang w:eastAsia="zh-CN"/>
        </w:rPr>
      </w:pPr>
      <w:r w:rsidRPr="00783C23">
        <w:t>Note: the complexity aspect is not evaluated.</w:t>
      </w:r>
    </w:p>
    <w:p w14:paraId="585F6505" w14:textId="77777777" w:rsidR="00783C23" w:rsidRPr="00783C23" w:rsidRDefault="00783C23" w:rsidP="00783C23">
      <w:pPr>
        <w:rPr>
          <w:highlight w:val="green"/>
        </w:rPr>
      </w:pPr>
      <w:r w:rsidRPr="00783C23">
        <w:rPr>
          <w:highlight w:val="green"/>
        </w:rPr>
        <w:t>Agreement</w:t>
      </w:r>
    </w:p>
    <w:p w14:paraId="10EABE5A" w14:textId="77777777" w:rsidR="005854E1" w:rsidRPr="00783C23" w:rsidRDefault="005854E1" w:rsidP="00783C23">
      <w:pPr>
        <w:rPr>
          <w:lang w:eastAsia="zh-CN"/>
        </w:rPr>
      </w:pPr>
      <w:r w:rsidRPr="00783C23">
        <w:rPr>
          <w:lang w:eastAsia="zh-CN"/>
        </w:rPr>
        <w:t>Capture the following high-level observations for CSI compression to section 6.2.2.8 of TR 38.843</w:t>
      </w:r>
    </w:p>
    <w:p w14:paraId="18954A41" w14:textId="77777777" w:rsidR="005854E1" w:rsidRPr="00783C23" w:rsidRDefault="005854E1" w:rsidP="00A67145">
      <w:pPr>
        <w:pStyle w:val="ListParagraph"/>
        <w:numPr>
          <w:ilvl w:val="0"/>
          <w:numId w:val="156"/>
        </w:numPr>
        <w:rPr>
          <w:lang w:eastAsia="zh-CN"/>
        </w:rPr>
      </w:pPr>
      <w:r w:rsidRPr="00367C4B">
        <w:rPr>
          <w:rFonts w:hint="eastAsia"/>
          <w:u w:val="single"/>
          <w:lang w:eastAsia="zh-CN"/>
        </w:rPr>
        <w:t>F</w:t>
      </w:r>
      <w:r w:rsidRPr="00367C4B">
        <w:rPr>
          <w:u w:val="single"/>
          <w:lang w:eastAsia="zh-CN"/>
        </w:rPr>
        <w:t>rom the perspective of model input/output type</w:t>
      </w:r>
      <w:r w:rsidRPr="00783C23">
        <w:rPr>
          <w:lang w:eastAsia="zh-CN"/>
        </w:rPr>
        <w:t>, it is more beneficial by considering precoding matrix as the model input (for CSI generation part)/output (for CSI reconstruction part) than explicit channel matrix.</w:t>
      </w:r>
    </w:p>
    <w:p w14:paraId="324E64FF" w14:textId="77777777" w:rsidR="005854E1" w:rsidRPr="00783C23" w:rsidRDefault="005854E1" w:rsidP="00A67145">
      <w:pPr>
        <w:pStyle w:val="ListParagraph"/>
        <w:numPr>
          <w:ilvl w:val="0"/>
          <w:numId w:val="156"/>
        </w:numPr>
        <w:rPr>
          <w:lang w:eastAsia="zh-CN"/>
        </w:rPr>
      </w:pPr>
      <w:r w:rsidRPr="00367C4B">
        <w:rPr>
          <w:u w:val="single"/>
          <w:lang w:eastAsia="zh-CN"/>
        </w:rPr>
        <w:t>From the perspective of quantization methods</w:t>
      </w:r>
      <w:r w:rsidRPr="00783C23">
        <w:rPr>
          <w:lang w:eastAsia="zh-CN"/>
        </w:rPr>
        <w:t xml:space="preserve"> for CSI feedback, </w:t>
      </w:r>
    </w:p>
    <w:p w14:paraId="04856C1F" w14:textId="77777777" w:rsidR="005854E1" w:rsidRPr="00783C23" w:rsidRDefault="005854E1" w:rsidP="00A67145">
      <w:pPr>
        <w:pStyle w:val="ListParagraph"/>
        <w:numPr>
          <w:ilvl w:val="1"/>
          <w:numId w:val="156"/>
        </w:numPr>
        <w:rPr>
          <w:lang w:eastAsia="zh-CN"/>
        </w:rPr>
      </w:pPr>
      <w:r w:rsidRPr="00783C23">
        <w:rPr>
          <w:lang w:eastAsia="zh-CN"/>
        </w:rPr>
        <w:t>For the quantization awareness for training, it is beneficial to consider quantization aware training with fixed/pre-configured quantization method/parameters (Case 2-1) or jointly updated quantization method/parameters (Case 2-2) to avoid severe performance degradation. In particular, it is more beneficial in performance for Case 2-2 over Case 2-1 under vector quantization format (VQ).</w:t>
      </w:r>
    </w:p>
    <w:p w14:paraId="0D91A0CE" w14:textId="77777777" w:rsidR="005854E1" w:rsidRPr="00783C23" w:rsidRDefault="005854E1" w:rsidP="00A67145">
      <w:pPr>
        <w:pStyle w:val="ListParagraph"/>
        <w:numPr>
          <w:ilvl w:val="1"/>
          <w:numId w:val="156"/>
        </w:numPr>
        <w:rPr>
          <w:lang w:eastAsia="zh-CN"/>
        </w:rPr>
      </w:pPr>
      <w:r w:rsidRPr="00783C23">
        <w:rPr>
          <w:lang w:eastAsia="zh-CN"/>
        </w:rPr>
        <w:t>For the quantization format, VQ format achieves comparable performance with scalar quantization format (SQ) in general, where</w:t>
      </w:r>
      <w:r w:rsidRPr="00367C4B">
        <w:rPr>
          <w:iCs/>
          <w:lang w:eastAsia="zh-CN"/>
        </w:rPr>
        <w:t xml:space="preserve"> VQ achieves better performance than SQ in some cases while worse in some other cases.</w:t>
      </w:r>
    </w:p>
    <w:p w14:paraId="26D2B383" w14:textId="77777777" w:rsidR="005854E1" w:rsidRPr="00783C23" w:rsidRDefault="005854E1" w:rsidP="00A67145">
      <w:pPr>
        <w:pStyle w:val="ListParagraph"/>
        <w:numPr>
          <w:ilvl w:val="0"/>
          <w:numId w:val="156"/>
        </w:numPr>
        <w:rPr>
          <w:lang w:eastAsia="zh-CN"/>
        </w:rPr>
      </w:pPr>
      <w:r w:rsidRPr="00367C4B">
        <w:rPr>
          <w:u w:val="single"/>
          <w:lang w:eastAsia="zh-CN"/>
        </w:rPr>
        <w:t>From the perspective of generalization</w:t>
      </w:r>
      <w:r w:rsidRPr="00783C23">
        <w:rPr>
          <w:lang w:eastAsia="zh-CN"/>
        </w:rPr>
        <w:t xml:space="preserve"> over scenarios, or scalability over configurations that have been evaluated, compared to generalization Case 1 where the AI/ML model is trained with dataset subject to a certain scenario#B/configuration#B and applied for inference with a same scenario#B/configuration#B,</w:t>
      </w:r>
    </w:p>
    <w:p w14:paraId="7C3D76A9" w14:textId="77777777" w:rsidR="005854E1" w:rsidRPr="00783C23" w:rsidRDefault="005854E1" w:rsidP="00A67145">
      <w:pPr>
        <w:pStyle w:val="ListParagraph"/>
        <w:numPr>
          <w:ilvl w:val="1"/>
          <w:numId w:val="156"/>
        </w:numPr>
        <w:rPr>
          <w:lang w:eastAsia="zh-CN"/>
        </w:rPr>
      </w:pPr>
      <w:r w:rsidRPr="00783C23">
        <w:rPr>
          <w:lang w:eastAsia="zh-CN"/>
        </w:rPr>
        <w:t>For generalization Case 2 where the AI/ML model is trained with dataset from a different scenario#A/configuration#A, generalized performance may be achieved for some certain combinations of scenario#A/configuration#A and scenario#B/configuration#B but not for others.</w:t>
      </w:r>
    </w:p>
    <w:p w14:paraId="5CFE3BEF" w14:textId="77777777" w:rsidR="005854E1" w:rsidRPr="00783C23" w:rsidRDefault="005854E1" w:rsidP="00A67145">
      <w:pPr>
        <w:pStyle w:val="ListParagraph"/>
        <w:numPr>
          <w:ilvl w:val="1"/>
          <w:numId w:val="156"/>
        </w:numPr>
        <w:rPr>
          <w:lang w:eastAsia="zh-CN"/>
        </w:rPr>
      </w:pPr>
      <w:r w:rsidRPr="00783C23">
        <w:rPr>
          <w:lang w:eastAsia="zh-CN"/>
        </w:rPr>
        <w:t xml:space="preserve">For generalization Case 3 where the training dataset is constructed with data samples subject to more than one scenario/configuration </w:t>
      </w:r>
      <w:r w:rsidRPr="00367C4B">
        <w:rPr>
          <w:iCs/>
          <w:lang w:eastAsia="zh-CN"/>
        </w:rPr>
        <w:t xml:space="preserve">(evaluations studied up to </w:t>
      </w:r>
      <w:r w:rsidRPr="00367C4B">
        <w:rPr>
          <w:rFonts w:hint="eastAsia"/>
          <w:iCs/>
          <w:lang w:eastAsia="zh-CN"/>
        </w:rPr>
        <w:t>four</w:t>
      </w:r>
      <w:r w:rsidRPr="00367C4B">
        <w:rPr>
          <w:iCs/>
          <w:lang w:eastAsia="zh-CN"/>
        </w:rPr>
        <w:t xml:space="preserve"> scenarios/configurations)</w:t>
      </w:r>
      <w:r w:rsidRPr="00783C23">
        <w:rPr>
          <w:lang w:eastAsia="zh-CN"/>
        </w:rPr>
        <w:t xml:space="preserve"> including scenario#B/configuration#B, generalized performance of the AI/ML model can be achieved.</w:t>
      </w:r>
    </w:p>
    <w:p w14:paraId="204E3A7C" w14:textId="77777777" w:rsidR="005854E1" w:rsidRPr="00783C23" w:rsidRDefault="005854E1" w:rsidP="00A67145">
      <w:pPr>
        <w:pStyle w:val="ListParagraph"/>
        <w:numPr>
          <w:ilvl w:val="1"/>
          <w:numId w:val="156"/>
        </w:numPr>
        <w:rPr>
          <w:lang w:eastAsia="zh-CN"/>
        </w:rPr>
      </w:pPr>
      <w:r w:rsidRPr="00783C23">
        <w:rPr>
          <w:rFonts w:hint="eastAsia"/>
          <w:lang w:eastAsia="zh-CN"/>
        </w:rPr>
        <w:lastRenderedPageBreak/>
        <w:t>I</w:t>
      </w:r>
      <w:r w:rsidRPr="00783C23">
        <w:rPr>
          <w:lang w:eastAsia="zh-CN"/>
        </w:rPr>
        <w:t>n particular, appropriate scalability solution (e.g., truncation/padding, adaptive quantization granularities, adaptation layer in the AI/ML model) may need to be performed to scale the dimensions of the AI/ML model when the training dataset includes data samples subject to configuration#A which has different input/output dimension than configuration#B.</w:t>
      </w:r>
    </w:p>
    <w:p w14:paraId="742667C8" w14:textId="77777777" w:rsidR="005854E1" w:rsidRPr="00783C23" w:rsidRDefault="005854E1" w:rsidP="00A67145">
      <w:pPr>
        <w:pStyle w:val="ListParagraph"/>
        <w:numPr>
          <w:ilvl w:val="0"/>
          <w:numId w:val="156"/>
        </w:numPr>
        <w:rPr>
          <w:lang w:eastAsia="zh-CN"/>
        </w:rPr>
      </w:pPr>
      <w:r w:rsidRPr="00367C4B">
        <w:rPr>
          <w:u w:val="single"/>
          <w:lang w:eastAsia="zh-CN"/>
        </w:rPr>
        <w:t>From the perspective of training collaboration types</w:t>
      </w:r>
      <w:r w:rsidRPr="00783C23">
        <w:rPr>
          <w:lang w:eastAsia="zh-CN"/>
        </w:rPr>
        <w:t>, compared to 1-on-1 joint training, both multi-vendor joint training and separate training with procedures given in Section 6.2.1 may suffer performance loss.</w:t>
      </w:r>
    </w:p>
    <w:p w14:paraId="00686177" w14:textId="77777777" w:rsidR="005854E1" w:rsidRPr="00783C23" w:rsidRDefault="005854E1" w:rsidP="00A67145">
      <w:pPr>
        <w:pStyle w:val="ListParagraph"/>
        <w:numPr>
          <w:ilvl w:val="1"/>
          <w:numId w:val="156"/>
        </w:numPr>
        <w:rPr>
          <w:lang w:eastAsia="zh-CN"/>
        </w:rPr>
      </w:pPr>
      <w:r w:rsidRPr="00783C23">
        <w:rPr>
          <w:rFonts w:hint="eastAsia"/>
          <w:lang w:eastAsia="zh-CN"/>
        </w:rPr>
        <w:t>I</w:t>
      </w:r>
      <w:r w:rsidRPr="00783C23">
        <w:rPr>
          <w:lang w:eastAsia="zh-CN"/>
        </w:rPr>
        <w:t>n particular, for multi-vendor joint training, minor or moderate degradation is observed.</w:t>
      </w:r>
    </w:p>
    <w:p w14:paraId="3F6FC4CF" w14:textId="77777777" w:rsidR="005854E1" w:rsidRPr="00783C23" w:rsidRDefault="005854E1" w:rsidP="00A67145">
      <w:pPr>
        <w:pStyle w:val="ListParagraph"/>
        <w:numPr>
          <w:ilvl w:val="1"/>
          <w:numId w:val="156"/>
        </w:numPr>
        <w:rPr>
          <w:lang w:eastAsia="zh-CN"/>
        </w:rPr>
      </w:pPr>
      <w:r w:rsidRPr="00783C23">
        <w:rPr>
          <w:rFonts w:hint="eastAsia"/>
          <w:lang w:eastAsia="zh-CN"/>
        </w:rPr>
        <w:t>I</w:t>
      </w:r>
      <w:r w:rsidRPr="00783C23">
        <w:rPr>
          <w:lang w:eastAsia="zh-CN"/>
        </w:rPr>
        <w:t>n particular, for separate training with procedure given in Section 6.2.1, the performance loss depends on the factors such as backbone alignment, and multi-vendor training behavior:</w:t>
      </w:r>
    </w:p>
    <w:p w14:paraId="3DDE03FB" w14:textId="77777777" w:rsidR="005854E1" w:rsidRPr="00367C4B" w:rsidRDefault="005854E1" w:rsidP="00A67145">
      <w:pPr>
        <w:pStyle w:val="ListParagraph"/>
        <w:numPr>
          <w:ilvl w:val="2"/>
          <w:numId w:val="156"/>
        </w:numPr>
        <w:rPr>
          <w:rFonts w:eastAsia="Malgun Gothic"/>
          <w:iCs/>
        </w:rPr>
      </w:pPr>
      <w:r w:rsidRPr="00367C4B">
        <w:rPr>
          <w:rFonts w:eastAsia="Malgun Gothic"/>
          <w:iCs/>
        </w:rPr>
        <w:t>For separate training of 1 NW part model and 1 UE part model, under both NW first training and UE first training, if backbones are aligned between</w:t>
      </w:r>
      <w:r w:rsidRPr="00367C4B">
        <w:rPr>
          <w:rFonts w:eastAsia="Malgun Gothic"/>
          <w:iCs/>
          <w:color w:val="00B0F0"/>
        </w:rPr>
        <w:t xml:space="preserve"> </w:t>
      </w:r>
      <w:r w:rsidRPr="00367C4B">
        <w:rPr>
          <w:rFonts w:eastAsia="Malgun Gothic"/>
          <w:iCs/>
        </w:rPr>
        <w:t>the two sides, minor degradation is observed; otherwise, additional degradation is observed, leading to minor or moderate performance degradation.</w:t>
      </w:r>
    </w:p>
    <w:p w14:paraId="094B80B0" w14:textId="77777777" w:rsidR="005854E1" w:rsidRPr="00367C4B" w:rsidRDefault="005854E1" w:rsidP="00A67145">
      <w:pPr>
        <w:pStyle w:val="ListParagraph"/>
        <w:numPr>
          <w:ilvl w:val="2"/>
          <w:numId w:val="156"/>
        </w:numPr>
        <w:rPr>
          <w:rFonts w:eastAsia="Malgun Gothic"/>
          <w:iCs/>
        </w:rPr>
      </w:pPr>
      <w:r w:rsidRPr="00367C4B">
        <w:rPr>
          <w:rFonts w:eastAsia="Malgun Gothic" w:hint="eastAsia"/>
          <w:iCs/>
          <w:lang w:eastAsia="zh-CN"/>
        </w:rPr>
        <w:t>F</w:t>
      </w:r>
      <w:r w:rsidRPr="00367C4B">
        <w:rPr>
          <w:rFonts w:eastAsia="Malgun Gothic"/>
          <w:iCs/>
          <w:lang w:eastAsia="zh-CN"/>
        </w:rPr>
        <w:t xml:space="preserve">or </w:t>
      </w:r>
      <w:r w:rsidRPr="00367C4B">
        <w:rPr>
          <w:rFonts w:eastAsia="Malgun Gothic"/>
          <w:iCs/>
        </w:rPr>
        <w:t>NW first training with 1 UE part model to N&gt;1 NW part models, or UE first training with 1 NW part model to M&gt;1 UE part models, additional degradation is observed, leading to minor, moderate, or significant</w:t>
      </w:r>
      <w:r w:rsidRPr="00367C4B">
        <w:rPr>
          <w:rFonts w:eastAsia="Malgun Gothic"/>
          <w:iCs/>
          <w:color w:val="00B0F0"/>
        </w:rPr>
        <w:t xml:space="preserve"> </w:t>
      </w:r>
      <w:r w:rsidRPr="00367C4B">
        <w:rPr>
          <w:rFonts w:eastAsia="Malgun Gothic"/>
          <w:iCs/>
        </w:rPr>
        <w:t>performance degradation, depending on the training approach.</w:t>
      </w:r>
    </w:p>
    <w:p w14:paraId="3094A4DF" w14:textId="77777777" w:rsidR="005854E1" w:rsidRPr="00367C4B" w:rsidRDefault="005854E1" w:rsidP="00A67145">
      <w:pPr>
        <w:pStyle w:val="ListParagraph"/>
        <w:numPr>
          <w:ilvl w:val="2"/>
          <w:numId w:val="156"/>
        </w:numPr>
        <w:rPr>
          <w:rFonts w:eastAsia="Malgun Gothic"/>
          <w:iCs/>
        </w:rPr>
      </w:pPr>
      <w:r w:rsidRPr="00367C4B">
        <w:rPr>
          <w:rFonts w:eastAsia="Malgun Gothic"/>
          <w:iCs/>
          <w:lang w:eastAsia="zh-CN"/>
        </w:rPr>
        <w:t>As a note, other procedures of separate training are not extensively evaluated.</w:t>
      </w:r>
    </w:p>
    <w:p w14:paraId="69ABB7D9" w14:textId="77777777" w:rsidR="00367C4B" w:rsidRPr="00783C23" w:rsidRDefault="00367C4B" w:rsidP="00367C4B">
      <w:pPr>
        <w:rPr>
          <w:highlight w:val="green"/>
        </w:rPr>
      </w:pPr>
      <w:r w:rsidRPr="00783C23">
        <w:rPr>
          <w:highlight w:val="green"/>
        </w:rPr>
        <w:t>Agreement</w:t>
      </w:r>
    </w:p>
    <w:p w14:paraId="5511EBEA" w14:textId="77777777" w:rsidR="005854E1" w:rsidRPr="00783C23" w:rsidRDefault="005854E1" w:rsidP="00783C23">
      <w:pPr>
        <w:rPr>
          <w:lang w:eastAsia="zh-CN"/>
        </w:rPr>
      </w:pPr>
      <w:r w:rsidRPr="00783C23">
        <w:rPr>
          <w:lang w:eastAsia="zh-CN"/>
        </w:rPr>
        <w:t>Capture the following high-level observation for CSI prediction to section 6.2.2.8 of TR 38.843</w:t>
      </w:r>
    </w:p>
    <w:p w14:paraId="2B945337" w14:textId="77777777" w:rsidR="005854E1" w:rsidRPr="00367C4B" w:rsidRDefault="005854E1" w:rsidP="00A67145">
      <w:pPr>
        <w:pStyle w:val="ListParagraph"/>
        <w:numPr>
          <w:ilvl w:val="0"/>
          <w:numId w:val="157"/>
        </w:numPr>
        <w:rPr>
          <w:rFonts w:eastAsia="Malgun Gothic"/>
          <w:iCs/>
          <w:color w:val="000000"/>
        </w:rPr>
      </w:pPr>
      <w:r w:rsidRPr="00367C4B">
        <w:rPr>
          <w:rFonts w:eastAsia="Malgun Gothic" w:hint="eastAsia"/>
          <w:u w:val="single"/>
          <w:lang w:eastAsia="zh-CN"/>
        </w:rPr>
        <w:t>F</w:t>
      </w:r>
      <w:r w:rsidRPr="00367C4B">
        <w:rPr>
          <w:rFonts w:eastAsia="Malgun Gothic"/>
          <w:u w:val="single"/>
          <w:lang w:eastAsia="zh-CN"/>
        </w:rPr>
        <w:t>rom the</w:t>
      </w:r>
      <w:r w:rsidRPr="00367C4B">
        <w:rPr>
          <w:rFonts w:eastAsia="Malgun Gothic"/>
          <w:iCs/>
          <w:color w:val="000000"/>
          <w:u w:val="single"/>
        </w:rPr>
        <w:t xml:space="preserve"> perspective of basic performance gain over non-AI/ML benchmark</w:t>
      </w:r>
      <w:r w:rsidRPr="00367C4B">
        <w:rPr>
          <w:rFonts w:eastAsia="Malgun Gothic"/>
          <w:iCs/>
          <w:color w:val="000000"/>
        </w:rPr>
        <w:t xml:space="preserve">, </w:t>
      </w:r>
      <w:r w:rsidRPr="00783C23">
        <w:rPr>
          <w:lang w:eastAsia="zh-CN"/>
        </w:rPr>
        <w:t xml:space="preserve">under </w:t>
      </w:r>
      <w:r w:rsidRPr="00783C23">
        <w:rPr>
          <w:rFonts w:hint="eastAsia"/>
          <w:lang w:eastAsia="zh-CN"/>
        </w:rPr>
        <w:t>t</w:t>
      </w:r>
      <w:r w:rsidRPr="00783C23">
        <w:rPr>
          <w:lang w:eastAsia="zh-CN"/>
        </w:rPr>
        <w:t>he same UE speed for training and inference,</w:t>
      </w:r>
    </w:p>
    <w:p w14:paraId="74492B56" w14:textId="77777777" w:rsidR="005854E1" w:rsidRPr="00367C4B" w:rsidRDefault="005854E1" w:rsidP="00A67145">
      <w:pPr>
        <w:pStyle w:val="ListParagraph"/>
        <w:numPr>
          <w:ilvl w:val="1"/>
          <w:numId w:val="157"/>
        </w:numPr>
        <w:rPr>
          <w:rFonts w:eastAsia="Malgun Gothic"/>
          <w:iCs/>
          <w:color w:val="000000"/>
        </w:rPr>
      </w:pPr>
      <w:r w:rsidRPr="00367C4B">
        <w:rPr>
          <w:rFonts w:eastAsia="Malgun Gothic"/>
          <w:iCs/>
          <w:color w:val="000000"/>
        </w:rPr>
        <w:t xml:space="preserve">AI/ML based CSI prediction outperforms the benchmark of the nearest historical CSI in general, where the majority </w:t>
      </w:r>
      <w:r w:rsidRPr="00367C4B">
        <w:rPr>
          <w:rFonts w:eastAsia="Malgun Gothic"/>
          <w:iCs/>
        </w:rPr>
        <w:t xml:space="preserve">of sources </w:t>
      </w:r>
      <w:r w:rsidRPr="00367C4B">
        <w:rPr>
          <w:rFonts w:eastAsia="Malgun Gothic"/>
          <w:iCs/>
          <w:color w:val="000000"/>
        </w:rPr>
        <w:t>observe up to 10.6% gain in terms of mean UPT.</w:t>
      </w:r>
    </w:p>
    <w:p w14:paraId="36107196" w14:textId="77777777" w:rsidR="005854E1" w:rsidRPr="00367C4B" w:rsidRDefault="005854E1" w:rsidP="00A67145">
      <w:pPr>
        <w:pStyle w:val="ListParagraph"/>
        <w:numPr>
          <w:ilvl w:val="1"/>
          <w:numId w:val="157"/>
        </w:numPr>
        <w:rPr>
          <w:rFonts w:eastAsia="Malgun Gothic"/>
          <w:iCs/>
          <w:color w:val="000000"/>
        </w:rPr>
      </w:pPr>
      <w:r w:rsidRPr="00367C4B">
        <w:rPr>
          <w:rFonts w:eastAsia="Malgun Gothic"/>
          <w:iCs/>
          <w:color w:val="000000"/>
        </w:rPr>
        <w:t xml:space="preserve">for AI/ML based CSI prediction over non-AI/ML based CSI prediction, 3 sources observe up to </w:t>
      </w:r>
      <w:r w:rsidRPr="00367C4B">
        <w:rPr>
          <w:rFonts w:eastAsia="Malgun Gothic"/>
          <w:iCs/>
        </w:rPr>
        <w:t>0.7%~</w:t>
      </w:r>
      <w:r w:rsidRPr="00367C4B">
        <w:rPr>
          <w:rFonts w:eastAsia="Malgun Gothic"/>
          <w:iCs/>
          <w:color w:val="000000"/>
        </w:rPr>
        <w:t>7% gain while 2 sources observe performance loss of -0.1%~-17% in terms of mean UPT.</w:t>
      </w:r>
    </w:p>
    <w:p w14:paraId="7BB8EAAD" w14:textId="603769EC" w:rsidR="00367C4B" w:rsidRPr="00783C23" w:rsidRDefault="00367C4B" w:rsidP="00367C4B">
      <w:pPr>
        <w:rPr>
          <w:highlight w:val="green"/>
        </w:rPr>
      </w:pPr>
      <w:r w:rsidRPr="00783C23">
        <w:rPr>
          <w:highlight w:val="green"/>
        </w:rPr>
        <w:t>Agreement</w:t>
      </w:r>
    </w:p>
    <w:p w14:paraId="114D5156" w14:textId="77777777" w:rsidR="005854E1" w:rsidRPr="00783C23" w:rsidRDefault="005854E1" w:rsidP="00783C23">
      <w:pPr>
        <w:rPr>
          <w:lang w:eastAsia="zh-CN"/>
        </w:rPr>
      </w:pPr>
      <w:r w:rsidRPr="00783C23">
        <w:rPr>
          <w:lang w:eastAsia="zh-CN"/>
        </w:rPr>
        <w:t>Capture the following high-level observations for CSI compression to section 6.2.2.8 of TR 38.843</w:t>
      </w:r>
    </w:p>
    <w:p w14:paraId="5E360870" w14:textId="77777777" w:rsidR="005854E1" w:rsidRPr="00783C23" w:rsidRDefault="005854E1" w:rsidP="00A67145">
      <w:pPr>
        <w:pStyle w:val="ListParagraph"/>
        <w:numPr>
          <w:ilvl w:val="0"/>
          <w:numId w:val="157"/>
        </w:numPr>
        <w:rPr>
          <w:lang w:eastAsia="zh-CN"/>
        </w:rPr>
      </w:pPr>
      <w:r w:rsidRPr="00367C4B">
        <w:rPr>
          <w:rFonts w:hint="eastAsia"/>
          <w:u w:val="single"/>
          <w:lang w:eastAsia="zh-CN"/>
        </w:rPr>
        <w:t>F</w:t>
      </w:r>
      <w:r w:rsidRPr="00367C4B">
        <w:rPr>
          <w:u w:val="single"/>
          <w:lang w:eastAsia="zh-CN"/>
        </w:rPr>
        <w:t>rom the perspective of basic performance gain over non-AI/ML benchmark</w:t>
      </w:r>
      <w:r w:rsidRPr="00783C23">
        <w:rPr>
          <w:lang w:eastAsia="zh-CN"/>
        </w:rPr>
        <w:t xml:space="preserve">, AI/ML based CSI compression outperforms Rel-16 eType II CB in general under 1-on-1 joint training and generalization Case 1, where </w:t>
      </w:r>
    </w:p>
    <w:p w14:paraId="59EE935E" w14:textId="77777777" w:rsidR="005854E1" w:rsidRPr="00783C23" w:rsidRDefault="005854E1" w:rsidP="00A67145">
      <w:pPr>
        <w:pStyle w:val="ListParagraph"/>
        <w:numPr>
          <w:ilvl w:val="1"/>
          <w:numId w:val="157"/>
        </w:numPr>
        <w:rPr>
          <w:lang w:eastAsia="zh-CN"/>
        </w:rPr>
      </w:pPr>
      <w:r w:rsidRPr="00783C23">
        <w:rPr>
          <w:lang w:eastAsia="zh-CN"/>
        </w:rPr>
        <w:t>0.2%~2%/-0.3%~6%/-4%~</w:t>
      </w:r>
      <w:r w:rsidRPr="00367C4B">
        <w:rPr>
          <w:color w:val="FF0000"/>
          <w:lang w:eastAsia="zh-CN"/>
        </w:rPr>
        <w:t>6%</w:t>
      </w:r>
      <w:r w:rsidRPr="00367C4B">
        <w:rPr>
          <w:strike/>
          <w:color w:val="FF0000"/>
          <w:lang w:eastAsia="zh-CN"/>
        </w:rPr>
        <w:t xml:space="preserve"> 7.4%</w:t>
      </w:r>
      <w:r w:rsidRPr="00783C23">
        <w:rPr>
          <w:lang w:eastAsia="zh-CN"/>
        </w:rPr>
        <w:t xml:space="preserve"> gains of mean UPT as shown in Figure X1~Figure X3 are observed for Max rank 1/2/4, respectively, under RU≤39%.</w:t>
      </w:r>
    </w:p>
    <w:p w14:paraId="30985F75" w14:textId="77777777" w:rsidR="005854E1" w:rsidRPr="00783C23" w:rsidRDefault="005854E1" w:rsidP="00A67145">
      <w:pPr>
        <w:pStyle w:val="ListParagraph"/>
        <w:numPr>
          <w:ilvl w:val="1"/>
          <w:numId w:val="157"/>
        </w:numPr>
        <w:rPr>
          <w:lang w:eastAsia="zh-CN"/>
        </w:rPr>
      </w:pPr>
      <w:r w:rsidRPr="00783C23">
        <w:t>0.1%~4%/-0.5%~10%/-1.8%~12.22%</w:t>
      </w:r>
      <w:r w:rsidRPr="00783C23">
        <w:rPr>
          <w:lang w:eastAsia="zh-CN"/>
        </w:rPr>
        <w:t xml:space="preserve"> gains of mean UPT as shown in Figure Y1~Figure Y3 are observed for Max rank 1/2/4, respectively, under RU</w:t>
      </w:r>
      <w:r w:rsidRPr="00783C23">
        <w:t>40%-69</w:t>
      </w:r>
      <w:r w:rsidRPr="00783C23">
        <w:rPr>
          <w:lang w:eastAsia="zh-CN"/>
        </w:rPr>
        <w:t>%.</w:t>
      </w:r>
    </w:p>
    <w:p w14:paraId="6092CAF7" w14:textId="77777777" w:rsidR="005854E1" w:rsidRPr="00783C23" w:rsidRDefault="005854E1" w:rsidP="00A67145">
      <w:pPr>
        <w:pStyle w:val="ListParagraph"/>
        <w:numPr>
          <w:ilvl w:val="1"/>
          <w:numId w:val="157"/>
        </w:numPr>
        <w:rPr>
          <w:lang w:eastAsia="zh-CN"/>
        </w:rPr>
      </w:pPr>
      <w:r w:rsidRPr="00783C23">
        <w:t>0.23%~9%</w:t>
      </w:r>
      <w:r w:rsidRPr="00367C4B">
        <w:rPr>
          <w:iCs/>
          <w:lang w:eastAsia="zh-CN"/>
        </w:rPr>
        <w:t>/</w:t>
      </w:r>
      <w:r w:rsidRPr="00783C23">
        <w:t>-0.2%~15%</w:t>
      </w:r>
      <w:r w:rsidRPr="00367C4B">
        <w:rPr>
          <w:iCs/>
          <w:lang w:eastAsia="zh-CN"/>
        </w:rPr>
        <w:t>/</w:t>
      </w:r>
      <w:r w:rsidRPr="00783C23">
        <w:t>-1%~17% gains</w:t>
      </w:r>
      <w:r w:rsidRPr="00783C23">
        <w:rPr>
          <w:lang w:eastAsia="zh-CN"/>
        </w:rPr>
        <w:t xml:space="preserve"> of mean UPT as shown </w:t>
      </w:r>
      <w:r w:rsidRPr="00367C4B">
        <w:rPr>
          <w:iCs/>
          <w:lang w:eastAsia="zh-CN"/>
        </w:rPr>
        <w:t>in Figure Z1~Figure Z3</w:t>
      </w:r>
      <w:r w:rsidRPr="00783C23">
        <w:rPr>
          <w:lang w:eastAsia="zh-CN"/>
        </w:rPr>
        <w:t xml:space="preserve"> are observed for Max rank 1/2/4, respectively, under RU&gt;70%.</w:t>
      </w:r>
    </w:p>
    <w:p w14:paraId="5052FD74" w14:textId="33C1E9BA" w:rsidR="005854E1" w:rsidRPr="005854E1" w:rsidRDefault="005854E1" w:rsidP="00367C4B">
      <w:pPr>
        <w:pStyle w:val="TH"/>
      </w:pPr>
      <w:r w:rsidRPr="005854E1">
        <w:rPr>
          <w:noProof/>
        </w:rPr>
        <w:drawing>
          <wp:inline distT="0" distB="0" distL="0" distR="0" wp14:anchorId="2F041203" wp14:editId="2C46D0B8">
            <wp:extent cx="3209925" cy="1905000"/>
            <wp:effectExtent l="0" t="0" r="0" b="0"/>
            <wp:docPr id="665334896" name="Picture 20" descr="A graph with red and blue do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5334896" name="Picture 20" descr="A graph with red and blue dots&#10;&#10;Description automatically generated"/>
                    <pic:cNvPicPr>
                      <a:picLocks noChangeAspect="1" noChangeArrowheads="1"/>
                    </pic:cNvPicPr>
                  </pic:nvPicPr>
                  <pic:blipFill>
                    <a:blip r:embed="rId1915">
                      <a:extLst>
                        <a:ext uri="{28A0092B-C50C-407E-A947-70E740481C1C}">
                          <a14:useLocalDpi xmlns:a14="http://schemas.microsoft.com/office/drawing/2010/main" val="0"/>
                        </a:ext>
                      </a:extLst>
                    </a:blip>
                    <a:srcRect/>
                    <a:stretch>
                      <a:fillRect/>
                    </a:stretch>
                  </pic:blipFill>
                  <pic:spPr bwMode="auto">
                    <a:xfrm>
                      <a:off x="0" y="0"/>
                      <a:ext cx="3209925" cy="1905000"/>
                    </a:xfrm>
                    <a:prstGeom prst="rect">
                      <a:avLst/>
                    </a:prstGeom>
                    <a:noFill/>
                    <a:ln>
                      <a:noFill/>
                    </a:ln>
                  </pic:spPr>
                </pic:pic>
              </a:graphicData>
            </a:graphic>
          </wp:inline>
        </w:drawing>
      </w:r>
    </w:p>
    <w:p w14:paraId="1AD22F06" w14:textId="77777777" w:rsidR="005854E1" w:rsidRPr="005854E1" w:rsidRDefault="005854E1" w:rsidP="00367C4B">
      <w:pPr>
        <w:jc w:val="center"/>
        <w:rPr>
          <w:lang w:eastAsia="zh-CN"/>
        </w:rPr>
      </w:pPr>
      <w:r w:rsidRPr="005854E1">
        <w:rPr>
          <w:lang w:eastAsia="ar-SA"/>
        </w:rPr>
        <w:t xml:space="preserve">Figure </w:t>
      </w:r>
      <w:r w:rsidRPr="005854E1">
        <w:rPr>
          <w:rFonts w:hint="eastAsia"/>
          <w:lang w:eastAsia="zh-CN"/>
        </w:rPr>
        <w:t>X</w:t>
      </w:r>
      <w:r w:rsidRPr="005854E1">
        <w:rPr>
          <w:lang w:eastAsia="ar-SA"/>
        </w:rPr>
        <w:t>1 Mean UPT gain, Max Rank 1 (RU</w:t>
      </w:r>
      <w:r w:rsidRPr="005854E1">
        <w:rPr>
          <w:lang w:eastAsia="zh-CN"/>
        </w:rPr>
        <w:t>≤39%</w:t>
      </w:r>
      <w:r w:rsidRPr="005854E1">
        <w:rPr>
          <w:lang w:eastAsia="ar-SA"/>
        </w:rPr>
        <w:t>),</w:t>
      </w:r>
      <w:r w:rsidRPr="005854E1">
        <w:rPr>
          <w:lang w:eastAsia="zh-CN"/>
        </w:rPr>
        <w:t xml:space="preserve"> x-axis means index of source</w:t>
      </w:r>
    </w:p>
    <w:p w14:paraId="0C62B187" w14:textId="77777777" w:rsidR="005854E1" w:rsidRPr="005854E1" w:rsidRDefault="005854E1" w:rsidP="000C6043">
      <w:pPr>
        <w:rPr>
          <w:lang w:eastAsia="zh-CN"/>
        </w:rPr>
      </w:pPr>
    </w:p>
    <w:p w14:paraId="4141524C" w14:textId="396A0859" w:rsidR="005854E1" w:rsidRPr="005854E1" w:rsidRDefault="005854E1" w:rsidP="000C6043">
      <w:pPr>
        <w:pStyle w:val="TH"/>
      </w:pPr>
      <w:r w:rsidRPr="005854E1">
        <w:rPr>
          <w:noProof/>
        </w:rPr>
        <w:lastRenderedPageBreak/>
        <w:drawing>
          <wp:inline distT="0" distB="0" distL="0" distR="0" wp14:anchorId="4A33CB3D" wp14:editId="011262EE">
            <wp:extent cx="3200400" cy="1895475"/>
            <wp:effectExtent l="0" t="0" r="0" b="0"/>
            <wp:docPr id="594817418" name="Picture 19" descr="A graph with numbers and poin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4817418" name="Picture 19" descr="A graph with numbers and points&#10;&#10;Description automatically generated"/>
                    <pic:cNvPicPr>
                      <a:picLocks noChangeAspect="1" noChangeArrowheads="1"/>
                    </pic:cNvPicPr>
                  </pic:nvPicPr>
                  <pic:blipFill>
                    <a:blip r:embed="rId1916">
                      <a:extLst>
                        <a:ext uri="{28A0092B-C50C-407E-A947-70E740481C1C}">
                          <a14:useLocalDpi xmlns:a14="http://schemas.microsoft.com/office/drawing/2010/main" val="0"/>
                        </a:ext>
                      </a:extLst>
                    </a:blip>
                    <a:srcRect/>
                    <a:stretch>
                      <a:fillRect/>
                    </a:stretch>
                  </pic:blipFill>
                  <pic:spPr bwMode="auto">
                    <a:xfrm>
                      <a:off x="0" y="0"/>
                      <a:ext cx="3200400" cy="1895475"/>
                    </a:xfrm>
                    <a:prstGeom prst="rect">
                      <a:avLst/>
                    </a:prstGeom>
                    <a:noFill/>
                    <a:ln>
                      <a:noFill/>
                    </a:ln>
                  </pic:spPr>
                </pic:pic>
              </a:graphicData>
            </a:graphic>
          </wp:inline>
        </w:drawing>
      </w:r>
    </w:p>
    <w:p w14:paraId="01FF07AD" w14:textId="77777777" w:rsidR="005854E1" w:rsidRPr="005854E1" w:rsidRDefault="005854E1" w:rsidP="000C6043">
      <w:pPr>
        <w:jc w:val="center"/>
        <w:rPr>
          <w:lang w:eastAsia="zh-CN"/>
        </w:rPr>
      </w:pPr>
      <w:r w:rsidRPr="005854E1">
        <w:rPr>
          <w:lang w:eastAsia="ar-SA"/>
        </w:rPr>
        <w:t xml:space="preserve">Figure </w:t>
      </w:r>
      <w:r w:rsidRPr="005854E1">
        <w:rPr>
          <w:rFonts w:hint="eastAsia"/>
          <w:lang w:eastAsia="zh-CN"/>
        </w:rPr>
        <w:t>X</w:t>
      </w:r>
      <w:r w:rsidRPr="005854E1">
        <w:rPr>
          <w:lang w:eastAsia="ar-SA"/>
        </w:rPr>
        <w:t>2 Mean UPT gain, Max Rank 2 (RU</w:t>
      </w:r>
      <w:r w:rsidRPr="005854E1">
        <w:rPr>
          <w:lang w:eastAsia="zh-CN"/>
        </w:rPr>
        <w:t>≤39%</w:t>
      </w:r>
      <w:r w:rsidRPr="005854E1">
        <w:rPr>
          <w:lang w:eastAsia="ar-SA"/>
        </w:rPr>
        <w:t>),</w:t>
      </w:r>
      <w:r w:rsidRPr="005854E1">
        <w:rPr>
          <w:lang w:eastAsia="zh-CN"/>
        </w:rPr>
        <w:t xml:space="preserve"> x-axis means index of source</w:t>
      </w:r>
    </w:p>
    <w:p w14:paraId="2FD63810" w14:textId="77777777" w:rsidR="005854E1" w:rsidRPr="005854E1" w:rsidRDefault="005854E1" w:rsidP="000C6043">
      <w:pPr>
        <w:rPr>
          <w:b/>
          <w:lang w:eastAsia="zh-CN"/>
        </w:rPr>
      </w:pPr>
    </w:p>
    <w:p w14:paraId="48318AD7" w14:textId="5A42D72A" w:rsidR="005854E1" w:rsidRPr="005854E1" w:rsidRDefault="005854E1" w:rsidP="000C6043">
      <w:pPr>
        <w:pStyle w:val="TH"/>
      </w:pPr>
      <w:r w:rsidRPr="005854E1">
        <w:rPr>
          <w:noProof/>
        </w:rPr>
        <w:drawing>
          <wp:inline distT="0" distB="0" distL="0" distR="0" wp14:anchorId="4008CE4F" wp14:editId="5D0314D3">
            <wp:extent cx="3143250" cy="1924050"/>
            <wp:effectExtent l="0" t="0" r="0" b="0"/>
            <wp:docPr id="1796316901"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6"/>
                    <pic:cNvPicPr>
                      <a:picLocks noChangeAspect="1" noChangeArrowheads="1"/>
                    </pic:cNvPicPr>
                  </pic:nvPicPr>
                  <pic:blipFill>
                    <a:blip r:embed="rId1917">
                      <a:extLst>
                        <a:ext uri="{28A0092B-C50C-407E-A947-70E740481C1C}">
                          <a14:useLocalDpi xmlns:a14="http://schemas.microsoft.com/office/drawing/2010/main" val="0"/>
                        </a:ext>
                      </a:extLst>
                    </a:blip>
                    <a:srcRect/>
                    <a:stretch>
                      <a:fillRect/>
                    </a:stretch>
                  </pic:blipFill>
                  <pic:spPr bwMode="auto">
                    <a:xfrm>
                      <a:off x="0" y="0"/>
                      <a:ext cx="3143250" cy="1924050"/>
                    </a:xfrm>
                    <a:prstGeom prst="rect">
                      <a:avLst/>
                    </a:prstGeom>
                    <a:noFill/>
                    <a:ln>
                      <a:noFill/>
                    </a:ln>
                  </pic:spPr>
                </pic:pic>
              </a:graphicData>
            </a:graphic>
          </wp:inline>
        </w:drawing>
      </w:r>
    </w:p>
    <w:p w14:paraId="2FA84075" w14:textId="77777777" w:rsidR="005854E1" w:rsidRPr="005854E1" w:rsidRDefault="005854E1" w:rsidP="000C6043">
      <w:pPr>
        <w:jc w:val="center"/>
        <w:rPr>
          <w:lang w:eastAsia="zh-CN"/>
        </w:rPr>
      </w:pPr>
      <w:r w:rsidRPr="005854E1">
        <w:rPr>
          <w:lang w:eastAsia="ar-SA"/>
        </w:rPr>
        <w:t>Figure X3 Mean UPT gain, Max Rank 4 (RU</w:t>
      </w:r>
      <w:r w:rsidRPr="005854E1">
        <w:rPr>
          <w:lang w:eastAsia="zh-CN"/>
        </w:rPr>
        <w:t>≤39%</w:t>
      </w:r>
      <w:r w:rsidRPr="005854E1">
        <w:rPr>
          <w:lang w:eastAsia="ar-SA"/>
        </w:rPr>
        <w:t>),</w:t>
      </w:r>
      <w:r w:rsidRPr="005854E1">
        <w:rPr>
          <w:lang w:eastAsia="zh-CN"/>
        </w:rPr>
        <w:t xml:space="preserve"> x-axis means index of source</w:t>
      </w:r>
    </w:p>
    <w:p w14:paraId="64BDA6FD" w14:textId="77777777" w:rsidR="005854E1" w:rsidRPr="005854E1" w:rsidRDefault="005854E1" w:rsidP="000C6043">
      <w:pPr>
        <w:rPr>
          <w:b/>
          <w:lang w:eastAsia="zh-CN"/>
        </w:rPr>
      </w:pPr>
    </w:p>
    <w:p w14:paraId="5ABC139F" w14:textId="4F3C6356" w:rsidR="005854E1" w:rsidRPr="005854E1" w:rsidRDefault="005854E1" w:rsidP="000C6043">
      <w:pPr>
        <w:pStyle w:val="TH"/>
      </w:pPr>
      <w:r w:rsidRPr="005854E1">
        <w:rPr>
          <w:noProof/>
        </w:rPr>
        <w:drawing>
          <wp:inline distT="0" distB="0" distL="0" distR="0" wp14:anchorId="2CDF7CCD" wp14:editId="0DC810E2">
            <wp:extent cx="3209925" cy="1905000"/>
            <wp:effectExtent l="0" t="0" r="0" b="0"/>
            <wp:docPr id="655278906" name="Picture 17" descr="A graph of a number of peopl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5278906" name="Picture 17" descr="A graph of a number of people&#10;&#10;Description automatically generated with medium confidence"/>
                    <pic:cNvPicPr>
                      <a:picLocks noChangeAspect="1" noChangeArrowheads="1"/>
                    </pic:cNvPicPr>
                  </pic:nvPicPr>
                  <pic:blipFill>
                    <a:blip r:embed="rId1918">
                      <a:extLst>
                        <a:ext uri="{28A0092B-C50C-407E-A947-70E740481C1C}">
                          <a14:useLocalDpi xmlns:a14="http://schemas.microsoft.com/office/drawing/2010/main" val="0"/>
                        </a:ext>
                      </a:extLst>
                    </a:blip>
                    <a:srcRect/>
                    <a:stretch>
                      <a:fillRect/>
                    </a:stretch>
                  </pic:blipFill>
                  <pic:spPr bwMode="auto">
                    <a:xfrm>
                      <a:off x="0" y="0"/>
                      <a:ext cx="3209925" cy="1905000"/>
                    </a:xfrm>
                    <a:prstGeom prst="rect">
                      <a:avLst/>
                    </a:prstGeom>
                    <a:noFill/>
                    <a:ln>
                      <a:noFill/>
                    </a:ln>
                  </pic:spPr>
                </pic:pic>
              </a:graphicData>
            </a:graphic>
          </wp:inline>
        </w:drawing>
      </w:r>
    </w:p>
    <w:p w14:paraId="7C49A12F" w14:textId="77777777" w:rsidR="005854E1" w:rsidRPr="005854E1" w:rsidRDefault="005854E1" w:rsidP="000C6043">
      <w:pPr>
        <w:jc w:val="center"/>
        <w:rPr>
          <w:rFonts w:ascii="Times New Roman" w:eastAsia="Times New Roman" w:hAnsi="Times New Roman"/>
          <w:szCs w:val="20"/>
          <w:lang w:eastAsia="zh-CN"/>
        </w:rPr>
      </w:pPr>
      <w:r w:rsidRPr="005854E1">
        <w:rPr>
          <w:rFonts w:ascii="Times New Roman" w:eastAsia="Times New Roman" w:hAnsi="Times New Roman"/>
          <w:szCs w:val="20"/>
          <w:lang w:eastAsia="ar-SA"/>
        </w:rPr>
        <w:t xml:space="preserve">Figure </w:t>
      </w:r>
      <w:r w:rsidRPr="005854E1">
        <w:rPr>
          <w:rFonts w:ascii="Times New Roman" w:eastAsia="Times New Roman" w:hAnsi="Times New Roman"/>
          <w:szCs w:val="20"/>
          <w:lang w:eastAsia="zh-CN"/>
        </w:rPr>
        <w:t>Y</w:t>
      </w:r>
      <w:r w:rsidRPr="005854E1">
        <w:rPr>
          <w:rFonts w:ascii="Times New Roman" w:eastAsia="Times New Roman" w:hAnsi="Times New Roman"/>
          <w:szCs w:val="20"/>
          <w:lang w:eastAsia="ar-SA"/>
        </w:rPr>
        <w:t>1 Mean UPT gain, Max Rank 1 (RU40%-69</w:t>
      </w:r>
      <w:r w:rsidRPr="005854E1">
        <w:rPr>
          <w:rFonts w:ascii="Times New Roman" w:eastAsia="Times New Roman" w:hAnsi="Times New Roman"/>
          <w:szCs w:val="20"/>
          <w:lang w:eastAsia="zh-CN"/>
        </w:rPr>
        <w:t>%</w:t>
      </w:r>
      <w:r w:rsidRPr="005854E1">
        <w:rPr>
          <w:rFonts w:ascii="Times New Roman" w:eastAsia="Times New Roman" w:hAnsi="Times New Roman"/>
          <w:szCs w:val="20"/>
          <w:lang w:eastAsia="ar-SA"/>
        </w:rPr>
        <w:t>),</w:t>
      </w:r>
      <w:r w:rsidRPr="005854E1">
        <w:rPr>
          <w:rFonts w:ascii="Times New Roman" w:eastAsia="Times New Roman" w:hAnsi="Times New Roman"/>
          <w:szCs w:val="20"/>
          <w:lang w:eastAsia="zh-CN"/>
        </w:rPr>
        <w:t xml:space="preserve"> x-axis means index of source</w:t>
      </w:r>
    </w:p>
    <w:p w14:paraId="2FB993E4" w14:textId="77777777" w:rsidR="005854E1" w:rsidRPr="005854E1" w:rsidRDefault="005854E1" w:rsidP="000C6043">
      <w:pPr>
        <w:rPr>
          <w:lang w:eastAsia="zh-CN"/>
        </w:rPr>
      </w:pPr>
    </w:p>
    <w:p w14:paraId="7D6B6991" w14:textId="57BE9406" w:rsidR="005854E1" w:rsidRPr="005854E1" w:rsidRDefault="005854E1" w:rsidP="000C6043">
      <w:pPr>
        <w:pStyle w:val="TH"/>
      </w:pPr>
      <w:r w:rsidRPr="005854E1">
        <w:rPr>
          <w:noProof/>
        </w:rPr>
        <w:lastRenderedPageBreak/>
        <w:drawing>
          <wp:inline distT="0" distB="0" distL="0" distR="0" wp14:anchorId="14C37E9F" wp14:editId="192FBEFC">
            <wp:extent cx="3209925" cy="1914525"/>
            <wp:effectExtent l="0" t="0" r="0" b="0"/>
            <wp:docPr id="459393518" name="Picture 16" descr="A graph with numbers and point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9393518" name="Picture 16" descr="A graph with numbers and points&#10;&#10;Description automatically generated with medium confidence"/>
                    <pic:cNvPicPr>
                      <a:picLocks noChangeAspect="1" noChangeArrowheads="1"/>
                    </pic:cNvPicPr>
                  </pic:nvPicPr>
                  <pic:blipFill>
                    <a:blip r:embed="rId1919">
                      <a:extLst>
                        <a:ext uri="{28A0092B-C50C-407E-A947-70E740481C1C}">
                          <a14:useLocalDpi xmlns:a14="http://schemas.microsoft.com/office/drawing/2010/main" val="0"/>
                        </a:ext>
                      </a:extLst>
                    </a:blip>
                    <a:srcRect/>
                    <a:stretch>
                      <a:fillRect/>
                    </a:stretch>
                  </pic:blipFill>
                  <pic:spPr bwMode="auto">
                    <a:xfrm>
                      <a:off x="0" y="0"/>
                      <a:ext cx="3209925" cy="1914525"/>
                    </a:xfrm>
                    <a:prstGeom prst="rect">
                      <a:avLst/>
                    </a:prstGeom>
                    <a:noFill/>
                    <a:ln>
                      <a:noFill/>
                    </a:ln>
                  </pic:spPr>
                </pic:pic>
              </a:graphicData>
            </a:graphic>
          </wp:inline>
        </w:drawing>
      </w:r>
    </w:p>
    <w:p w14:paraId="1CBDD46B" w14:textId="77777777" w:rsidR="005854E1" w:rsidRPr="005854E1" w:rsidRDefault="005854E1" w:rsidP="000C6043">
      <w:pPr>
        <w:jc w:val="center"/>
        <w:rPr>
          <w:rFonts w:ascii="Times New Roman" w:eastAsia="Times New Roman" w:hAnsi="Times New Roman"/>
          <w:szCs w:val="20"/>
          <w:lang w:eastAsia="zh-CN"/>
        </w:rPr>
      </w:pPr>
      <w:r w:rsidRPr="005854E1">
        <w:rPr>
          <w:rFonts w:ascii="Times New Roman" w:eastAsia="Times New Roman" w:hAnsi="Times New Roman"/>
          <w:szCs w:val="20"/>
          <w:lang w:eastAsia="ar-SA"/>
        </w:rPr>
        <w:t xml:space="preserve">Figure </w:t>
      </w:r>
      <w:r w:rsidRPr="005854E1">
        <w:rPr>
          <w:rFonts w:ascii="Times New Roman" w:eastAsia="Times New Roman" w:hAnsi="Times New Roman"/>
          <w:szCs w:val="20"/>
          <w:lang w:eastAsia="zh-CN"/>
        </w:rPr>
        <w:t>Y</w:t>
      </w:r>
      <w:r w:rsidRPr="005854E1">
        <w:rPr>
          <w:rFonts w:ascii="Times New Roman" w:eastAsia="Times New Roman" w:hAnsi="Times New Roman"/>
          <w:szCs w:val="20"/>
          <w:lang w:eastAsia="ar-SA"/>
        </w:rPr>
        <w:t>2 Mean UPT gain, Max Rank 2 (RU40%-69</w:t>
      </w:r>
      <w:r w:rsidRPr="005854E1">
        <w:rPr>
          <w:rFonts w:ascii="Times New Roman" w:eastAsia="Times New Roman" w:hAnsi="Times New Roman"/>
          <w:szCs w:val="20"/>
          <w:lang w:eastAsia="zh-CN"/>
        </w:rPr>
        <w:t>%</w:t>
      </w:r>
      <w:r w:rsidRPr="005854E1">
        <w:rPr>
          <w:rFonts w:ascii="Times New Roman" w:eastAsia="Times New Roman" w:hAnsi="Times New Roman"/>
          <w:szCs w:val="20"/>
          <w:lang w:eastAsia="ar-SA"/>
        </w:rPr>
        <w:t>),</w:t>
      </w:r>
      <w:r w:rsidRPr="005854E1">
        <w:rPr>
          <w:rFonts w:ascii="Times New Roman" w:eastAsia="Times New Roman" w:hAnsi="Times New Roman"/>
          <w:szCs w:val="20"/>
          <w:lang w:eastAsia="zh-CN"/>
        </w:rPr>
        <w:t xml:space="preserve"> x-axis means index of source</w:t>
      </w:r>
    </w:p>
    <w:p w14:paraId="398AC059" w14:textId="77777777" w:rsidR="005854E1" w:rsidRPr="005854E1" w:rsidRDefault="005854E1" w:rsidP="000C6043">
      <w:pPr>
        <w:rPr>
          <w:lang w:eastAsia="zh-CN"/>
        </w:rPr>
      </w:pPr>
    </w:p>
    <w:p w14:paraId="1B01E802" w14:textId="305875CD" w:rsidR="005854E1" w:rsidRPr="005854E1" w:rsidRDefault="005854E1" w:rsidP="000C6043">
      <w:pPr>
        <w:pStyle w:val="TH"/>
      </w:pPr>
      <w:r w:rsidRPr="005854E1">
        <w:rPr>
          <w:noProof/>
        </w:rPr>
        <w:drawing>
          <wp:inline distT="0" distB="0" distL="0" distR="0" wp14:anchorId="2ADD4B71" wp14:editId="076B0982">
            <wp:extent cx="3209925" cy="1905000"/>
            <wp:effectExtent l="0" t="0" r="0" b="0"/>
            <wp:docPr id="1221501358" name="Picture 15" descr="A graph with numbers and poin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1501358" name="Picture 15" descr="A graph with numbers and points&#10;&#10;Description automatically generated"/>
                    <pic:cNvPicPr>
                      <a:picLocks noChangeAspect="1" noChangeArrowheads="1"/>
                    </pic:cNvPicPr>
                  </pic:nvPicPr>
                  <pic:blipFill>
                    <a:blip r:embed="rId1920">
                      <a:extLst>
                        <a:ext uri="{28A0092B-C50C-407E-A947-70E740481C1C}">
                          <a14:useLocalDpi xmlns:a14="http://schemas.microsoft.com/office/drawing/2010/main" val="0"/>
                        </a:ext>
                      </a:extLst>
                    </a:blip>
                    <a:srcRect/>
                    <a:stretch>
                      <a:fillRect/>
                    </a:stretch>
                  </pic:blipFill>
                  <pic:spPr bwMode="auto">
                    <a:xfrm>
                      <a:off x="0" y="0"/>
                      <a:ext cx="3209925" cy="1905000"/>
                    </a:xfrm>
                    <a:prstGeom prst="rect">
                      <a:avLst/>
                    </a:prstGeom>
                    <a:noFill/>
                    <a:ln>
                      <a:noFill/>
                    </a:ln>
                  </pic:spPr>
                </pic:pic>
              </a:graphicData>
            </a:graphic>
          </wp:inline>
        </w:drawing>
      </w:r>
    </w:p>
    <w:p w14:paraId="332E47C1" w14:textId="77777777" w:rsidR="005854E1" w:rsidRPr="005854E1" w:rsidRDefault="005854E1" w:rsidP="000C6043">
      <w:pPr>
        <w:jc w:val="center"/>
        <w:rPr>
          <w:rFonts w:ascii="Times New Roman" w:eastAsia="Times New Roman" w:hAnsi="Times New Roman"/>
          <w:szCs w:val="20"/>
          <w:lang w:eastAsia="zh-CN"/>
        </w:rPr>
      </w:pPr>
      <w:r w:rsidRPr="005854E1">
        <w:rPr>
          <w:rFonts w:ascii="Times New Roman" w:eastAsia="Times New Roman" w:hAnsi="Times New Roman"/>
          <w:szCs w:val="20"/>
          <w:lang w:eastAsia="ar-SA"/>
        </w:rPr>
        <w:t>Figure Y3 Mean UPT gain, Max Rank 4 (RU40%-69</w:t>
      </w:r>
      <w:r w:rsidRPr="005854E1">
        <w:rPr>
          <w:rFonts w:ascii="Times New Roman" w:eastAsia="Times New Roman" w:hAnsi="Times New Roman"/>
          <w:szCs w:val="20"/>
          <w:lang w:eastAsia="zh-CN"/>
        </w:rPr>
        <w:t>%</w:t>
      </w:r>
      <w:r w:rsidRPr="005854E1">
        <w:rPr>
          <w:rFonts w:ascii="Times New Roman" w:eastAsia="Times New Roman" w:hAnsi="Times New Roman"/>
          <w:szCs w:val="20"/>
          <w:lang w:eastAsia="ar-SA"/>
        </w:rPr>
        <w:t>),</w:t>
      </w:r>
      <w:r w:rsidRPr="005854E1">
        <w:rPr>
          <w:rFonts w:ascii="Times New Roman" w:eastAsia="Times New Roman" w:hAnsi="Times New Roman"/>
          <w:szCs w:val="20"/>
          <w:lang w:eastAsia="zh-CN"/>
        </w:rPr>
        <w:t xml:space="preserve"> x-axis means index of source</w:t>
      </w:r>
    </w:p>
    <w:p w14:paraId="11838557" w14:textId="77777777" w:rsidR="005854E1" w:rsidRPr="005854E1" w:rsidRDefault="005854E1" w:rsidP="000C6043">
      <w:pPr>
        <w:rPr>
          <w:lang w:eastAsia="zh-CN"/>
        </w:rPr>
      </w:pPr>
    </w:p>
    <w:p w14:paraId="7D9F265B" w14:textId="31CAD0B5" w:rsidR="005854E1" w:rsidRPr="005854E1" w:rsidRDefault="005854E1" w:rsidP="000C6043">
      <w:pPr>
        <w:pStyle w:val="TH"/>
      </w:pPr>
      <w:r w:rsidRPr="005854E1">
        <w:rPr>
          <w:noProof/>
        </w:rPr>
        <w:drawing>
          <wp:inline distT="0" distB="0" distL="0" distR="0" wp14:anchorId="06A3F1F1" wp14:editId="77347073">
            <wp:extent cx="3562350" cy="2219325"/>
            <wp:effectExtent l="0" t="0" r="0" b="0"/>
            <wp:docPr id="12449278" name="Picture 14" descr="A graph with numbers and point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49278" name="Picture 14" descr="A graph with numbers and points&#10;&#10;Description automatically generated with medium confidence"/>
                    <pic:cNvPicPr>
                      <a:picLocks noChangeAspect="1" noChangeArrowheads="1"/>
                    </pic:cNvPicPr>
                  </pic:nvPicPr>
                  <pic:blipFill>
                    <a:blip r:embed="rId1921">
                      <a:extLst>
                        <a:ext uri="{28A0092B-C50C-407E-A947-70E740481C1C}">
                          <a14:useLocalDpi xmlns:a14="http://schemas.microsoft.com/office/drawing/2010/main" val="0"/>
                        </a:ext>
                      </a:extLst>
                    </a:blip>
                    <a:srcRect/>
                    <a:stretch>
                      <a:fillRect/>
                    </a:stretch>
                  </pic:blipFill>
                  <pic:spPr bwMode="auto">
                    <a:xfrm>
                      <a:off x="0" y="0"/>
                      <a:ext cx="3562350" cy="2219325"/>
                    </a:xfrm>
                    <a:prstGeom prst="rect">
                      <a:avLst/>
                    </a:prstGeom>
                    <a:noFill/>
                    <a:ln>
                      <a:noFill/>
                    </a:ln>
                  </pic:spPr>
                </pic:pic>
              </a:graphicData>
            </a:graphic>
          </wp:inline>
        </w:drawing>
      </w:r>
    </w:p>
    <w:p w14:paraId="5D8F6366" w14:textId="77777777" w:rsidR="005854E1" w:rsidRPr="005854E1" w:rsidRDefault="005854E1" w:rsidP="000C6043">
      <w:pPr>
        <w:jc w:val="center"/>
        <w:rPr>
          <w:rFonts w:ascii="Times New Roman" w:eastAsia="Times New Roman" w:hAnsi="Times New Roman"/>
          <w:szCs w:val="20"/>
          <w:lang w:eastAsia="zh-CN"/>
        </w:rPr>
      </w:pPr>
      <w:r w:rsidRPr="005854E1">
        <w:rPr>
          <w:rFonts w:ascii="Times New Roman" w:eastAsia="Times New Roman" w:hAnsi="Times New Roman"/>
          <w:szCs w:val="20"/>
          <w:lang w:eastAsia="ar-SA"/>
        </w:rPr>
        <w:t>Figure Z1 Mean UPT gain, Max Rank 1 (RU&gt;70%),</w:t>
      </w:r>
      <w:r w:rsidRPr="005854E1">
        <w:rPr>
          <w:rFonts w:ascii="Times New Roman" w:eastAsia="Times New Roman" w:hAnsi="Times New Roman"/>
          <w:szCs w:val="20"/>
          <w:lang w:eastAsia="zh-CN"/>
        </w:rPr>
        <w:t xml:space="preserve"> x-axis means index of source</w:t>
      </w:r>
    </w:p>
    <w:p w14:paraId="60E52116" w14:textId="677C5C65" w:rsidR="005854E1" w:rsidRPr="005854E1" w:rsidRDefault="005854E1" w:rsidP="000C6043">
      <w:pPr>
        <w:pStyle w:val="TH"/>
      </w:pPr>
      <w:r w:rsidRPr="005854E1">
        <w:rPr>
          <w:noProof/>
        </w:rPr>
        <w:lastRenderedPageBreak/>
        <w:drawing>
          <wp:inline distT="0" distB="0" distL="0" distR="0" wp14:anchorId="5A854D64" wp14:editId="181B3992">
            <wp:extent cx="3619500" cy="2228850"/>
            <wp:effectExtent l="0" t="0" r="0" b="0"/>
            <wp:docPr id="237713421" name="Picture 13" descr="A graph with red and blue do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7713421" name="Picture 13" descr="A graph with red and blue dots&#10;&#10;Description automatically generated"/>
                    <pic:cNvPicPr>
                      <a:picLocks noChangeAspect="1" noChangeArrowheads="1"/>
                    </pic:cNvPicPr>
                  </pic:nvPicPr>
                  <pic:blipFill>
                    <a:blip r:embed="rId1922">
                      <a:extLst>
                        <a:ext uri="{28A0092B-C50C-407E-A947-70E740481C1C}">
                          <a14:useLocalDpi xmlns:a14="http://schemas.microsoft.com/office/drawing/2010/main" val="0"/>
                        </a:ext>
                      </a:extLst>
                    </a:blip>
                    <a:srcRect/>
                    <a:stretch>
                      <a:fillRect/>
                    </a:stretch>
                  </pic:blipFill>
                  <pic:spPr bwMode="auto">
                    <a:xfrm>
                      <a:off x="0" y="0"/>
                      <a:ext cx="3619500" cy="2228850"/>
                    </a:xfrm>
                    <a:prstGeom prst="rect">
                      <a:avLst/>
                    </a:prstGeom>
                    <a:noFill/>
                    <a:ln>
                      <a:noFill/>
                    </a:ln>
                  </pic:spPr>
                </pic:pic>
              </a:graphicData>
            </a:graphic>
          </wp:inline>
        </w:drawing>
      </w:r>
    </w:p>
    <w:p w14:paraId="51332B72" w14:textId="77777777" w:rsidR="005854E1" w:rsidRPr="005854E1" w:rsidRDefault="005854E1" w:rsidP="000C6043">
      <w:pPr>
        <w:jc w:val="center"/>
        <w:rPr>
          <w:rFonts w:ascii="Times New Roman" w:eastAsia="Times New Roman" w:hAnsi="Times New Roman"/>
          <w:szCs w:val="20"/>
          <w:lang w:eastAsia="zh-CN"/>
        </w:rPr>
      </w:pPr>
      <w:r w:rsidRPr="005854E1">
        <w:rPr>
          <w:rFonts w:ascii="Times New Roman" w:eastAsia="Times New Roman" w:hAnsi="Times New Roman"/>
          <w:szCs w:val="20"/>
          <w:lang w:eastAsia="ar-SA"/>
        </w:rPr>
        <w:t>Figure Z2 Mean UPT gain, Max Rank 2 (RU&gt;70%),</w:t>
      </w:r>
      <w:r w:rsidRPr="005854E1">
        <w:rPr>
          <w:rFonts w:ascii="Times New Roman" w:eastAsia="Times New Roman" w:hAnsi="Times New Roman"/>
          <w:szCs w:val="20"/>
          <w:lang w:eastAsia="zh-CN"/>
        </w:rPr>
        <w:t xml:space="preserve"> x-axis means index of source</w:t>
      </w:r>
    </w:p>
    <w:p w14:paraId="3316A82E" w14:textId="46DA05A1" w:rsidR="005854E1" w:rsidRPr="005854E1" w:rsidRDefault="005854E1" w:rsidP="000C6043">
      <w:pPr>
        <w:pStyle w:val="TH"/>
      </w:pPr>
      <w:r w:rsidRPr="005854E1">
        <w:rPr>
          <w:noProof/>
        </w:rPr>
        <w:drawing>
          <wp:inline distT="0" distB="0" distL="0" distR="0" wp14:anchorId="46F6E0ED" wp14:editId="1DA46597">
            <wp:extent cx="3543300" cy="2076450"/>
            <wp:effectExtent l="0" t="0" r="0" b="0"/>
            <wp:docPr id="16433330" name="Picture 12" descr="A graph with numbers and colored do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33330" name="Picture 12" descr="A graph with numbers and colored dots&#10;&#10;Description automatically generated"/>
                    <pic:cNvPicPr>
                      <a:picLocks noChangeAspect="1" noChangeArrowheads="1"/>
                    </pic:cNvPicPr>
                  </pic:nvPicPr>
                  <pic:blipFill>
                    <a:blip r:embed="rId1923">
                      <a:extLst>
                        <a:ext uri="{28A0092B-C50C-407E-A947-70E740481C1C}">
                          <a14:useLocalDpi xmlns:a14="http://schemas.microsoft.com/office/drawing/2010/main" val="0"/>
                        </a:ext>
                      </a:extLst>
                    </a:blip>
                    <a:srcRect/>
                    <a:stretch>
                      <a:fillRect/>
                    </a:stretch>
                  </pic:blipFill>
                  <pic:spPr bwMode="auto">
                    <a:xfrm>
                      <a:off x="0" y="0"/>
                      <a:ext cx="3543300" cy="2076450"/>
                    </a:xfrm>
                    <a:prstGeom prst="rect">
                      <a:avLst/>
                    </a:prstGeom>
                    <a:noFill/>
                    <a:ln>
                      <a:noFill/>
                    </a:ln>
                  </pic:spPr>
                </pic:pic>
              </a:graphicData>
            </a:graphic>
          </wp:inline>
        </w:drawing>
      </w:r>
    </w:p>
    <w:p w14:paraId="073EB88B" w14:textId="77777777" w:rsidR="005854E1" w:rsidRPr="005854E1" w:rsidRDefault="005854E1" w:rsidP="000C6043">
      <w:pPr>
        <w:jc w:val="center"/>
        <w:rPr>
          <w:rFonts w:ascii="Times New Roman" w:eastAsia="Times New Roman" w:hAnsi="Times New Roman"/>
          <w:szCs w:val="20"/>
          <w:lang w:eastAsia="zh-CN"/>
        </w:rPr>
      </w:pPr>
      <w:r w:rsidRPr="005854E1">
        <w:rPr>
          <w:rFonts w:ascii="Times New Roman" w:eastAsia="Times New Roman" w:hAnsi="Times New Roman"/>
          <w:szCs w:val="20"/>
          <w:lang w:eastAsia="ar-SA"/>
        </w:rPr>
        <w:t>Figure Z3 Mean UPT gain, Max Rank 4 (RU&gt;70%),</w:t>
      </w:r>
      <w:r w:rsidRPr="005854E1">
        <w:rPr>
          <w:rFonts w:ascii="Times New Roman" w:eastAsia="Times New Roman" w:hAnsi="Times New Roman"/>
          <w:szCs w:val="20"/>
          <w:lang w:eastAsia="zh-CN"/>
        </w:rPr>
        <w:t xml:space="preserve"> x-axis means index of source</w:t>
      </w:r>
    </w:p>
    <w:p w14:paraId="0C3A5915" w14:textId="77777777" w:rsidR="005854E1" w:rsidRPr="005854E1" w:rsidRDefault="005854E1" w:rsidP="005854E1">
      <w:pPr>
        <w:rPr>
          <w:lang w:eastAsia="zh-CN"/>
        </w:rPr>
      </w:pPr>
    </w:p>
    <w:p w14:paraId="35783107" w14:textId="77777777" w:rsidR="005854E1" w:rsidRDefault="005854E1" w:rsidP="005854E1">
      <w:pPr>
        <w:rPr>
          <w:lang w:eastAsia="zh-CN"/>
        </w:rPr>
      </w:pPr>
    </w:p>
    <w:p w14:paraId="6016858F" w14:textId="2E408C47" w:rsidR="00C12D5C" w:rsidRPr="00D63A96" w:rsidRDefault="005A18DC" w:rsidP="00C12D5C">
      <w:pPr>
        <w:rPr>
          <w:b/>
          <w:bCs/>
          <w:lang w:eastAsia="x-none"/>
        </w:rPr>
      </w:pPr>
      <w:hyperlink r:id="rId1924" w:history="1">
        <w:r w:rsidR="00AF7253">
          <w:rPr>
            <w:rStyle w:val="Hyperlink"/>
            <w:b/>
            <w:bCs/>
            <w:lang w:eastAsia="x-none"/>
          </w:rPr>
          <w:t>R1-2312401</w:t>
        </w:r>
      </w:hyperlink>
      <w:r w:rsidR="00C12D5C" w:rsidRPr="00D63A96">
        <w:rPr>
          <w:b/>
          <w:bCs/>
          <w:lang w:eastAsia="x-none"/>
        </w:rPr>
        <w:tab/>
        <w:t>Summary#3 for CSI evaluation of [115-R18-AI/ML]</w:t>
      </w:r>
      <w:r w:rsidR="00C12D5C" w:rsidRPr="00D63A96">
        <w:rPr>
          <w:b/>
          <w:bCs/>
          <w:lang w:eastAsia="x-none"/>
        </w:rPr>
        <w:tab/>
        <w:t>Moderator (Huawei)</w:t>
      </w:r>
    </w:p>
    <w:p w14:paraId="7FC267D6" w14:textId="0502CA52" w:rsidR="00C12D5C" w:rsidRDefault="00D63A96" w:rsidP="005854E1">
      <w:pPr>
        <w:rPr>
          <w:lang w:eastAsia="zh-CN"/>
        </w:rPr>
      </w:pPr>
      <w:r>
        <w:rPr>
          <w:lang w:eastAsia="zh-CN"/>
        </w:rPr>
        <w:t>From Thursday session</w:t>
      </w:r>
    </w:p>
    <w:p w14:paraId="4AAC84B9" w14:textId="2DCE9E4F" w:rsidR="00D63A96" w:rsidRDefault="00D63A96" w:rsidP="00D63A96">
      <w:pPr>
        <w:rPr>
          <w:highlight w:val="green"/>
          <w:lang w:eastAsia="zh-CN"/>
        </w:rPr>
      </w:pPr>
      <w:r>
        <w:rPr>
          <w:highlight w:val="green"/>
          <w:lang w:eastAsia="zh-CN"/>
        </w:rPr>
        <w:t xml:space="preserve">Agreement: </w:t>
      </w:r>
    </w:p>
    <w:p w14:paraId="576C7909" w14:textId="77777777" w:rsidR="00D63A96" w:rsidRDefault="00D63A96" w:rsidP="00D63A96">
      <w:pPr>
        <w:rPr>
          <w:lang w:eastAsia="zh-CN"/>
        </w:rPr>
      </w:pPr>
      <w:r>
        <w:rPr>
          <w:lang w:eastAsia="zh-CN"/>
        </w:rPr>
        <w:t>Capture the following high-level observations for CSI compression to section 6.2.2.8 of TR 38.843</w:t>
      </w:r>
    </w:p>
    <w:p w14:paraId="776C2136" w14:textId="77777777" w:rsidR="00D63A96" w:rsidRDefault="00D63A96" w:rsidP="00A67145">
      <w:pPr>
        <w:pStyle w:val="ListParagraph"/>
        <w:numPr>
          <w:ilvl w:val="0"/>
          <w:numId w:val="157"/>
        </w:numPr>
        <w:rPr>
          <w:lang w:eastAsia="zh-CN"/>
        </w:rPr>
      </w:pPr>
      <w:r w:rsidRPr="00D63A96">
        <w:rPr>
          <w:u w:val="single"/>
          <w:lang w:eastAsia="zh-CN"/>
        </w:rPr>
        <w:t xml:space="preserve">From the perspective of </w:t>
      </w:r>
      <w:r w:rsidRPr="00D63A96">
        <w:rPr>
          <w:u w:val="single"/>
        </w:rPr>
        <w:t>CSI overhead reduction over non-AI/ML,</w:t>
      </w:r>
      <w:r>
        <w:rPr>
          <w:lang w:eastAsia="zh-CN"/>
        </w:rPr>
        <w:t xml:space="preserve"> AI/ML based CSI compression achieves CSI feedback reduction compared with Rel-16 eType II CB in general under 1-on-1 joint training and generalization Case 1, where 4</w:t>
      </w:r>
      <w:r w:rsidRPr="00D63A96">
        <w:rPr>
          <w:color w:val="FF0000"/>
          <w:lang w:eastAsia="zh-CN"/>
        </w:rPr>
        <w:t xml:space="preserve"> </w:t>
      </w:r>
      <w:r>
        <w:rPr>
          <w:lang w:eastAsia="zh-CN"/>
        </w:rPr>
        <w:t>sources observe the CSI feedback overhead reduction of 10.24%~60%/10%~58.33%/8%~79% for Max rank 1/2/4, respectively, under FTP traffic.</w:t>
      </w:r>
    </w:p>
    <w:p w14:paraId="009B0380" w14:textId="77777777" w:rsidR="00D63A96" w:rsidRDefault="00D63A96" w:rsidP="00D63A96">
      <w:pPr>
        <w:rPr>
          <w:highlight w:val="green"/>
          <w:lang w:eastAsia="zh-CN"/>
        </w:rPr>
      </w:pPr>
      <w:r>
        <w:rPr>
          <w:highlight w:val="green"/>
          <w:lang w:eastAsia="zh-CN"/>
        </w:rPr>
        <w:t xml:space="preserve">Agreement: </w:t>
      </w:r>
    </w:p>
    <w:p w14:paraId="5A4CD13C" w14:textId="77777777" w:rsidR="00D63A96" w:rsidRDefault="00D63A96" w:rsidP="00D63A96">
      <w:pPr>
        <w:rPr>
          <w:lang w:eastAsia="zh-CN"/>
        </w:rPr>
      </w:pPr>
      <w:r>
        <w:rPr>
          <w:lang w:eastAsia="zh-CN"/>
        </w:rPr>
        <w:t>Capture the following high-level observations for CSI compression to section 6.2.2.8 of TR 38.843</w:t>
      </w:r>
    </w:p>
    <w:p w14:paraId="5003BF64" w14:textId="77777777" w:rsidR="00D63A96" w:rsidRDefault="00D63A96" w:rsidP="00A67145">
      <w:pPr>
        <w:pStyle w:val="ListParagraph"/>
        <w:numPr>
          <w:ilvl w:val="0"/>
          <w:numId w:val="157"/>
        </w:numPr>
        <w:rPr>
          <w:lang w:eastAsia="zh-CN"/>
        </w:rPr>
      </w:pPr>
      <w:r w:rsidRPr="00D63A96">
        <w:rPr>
          <w:u w:val="single"/>
          <w:lang w:eastAsia="zh-CN"/>
        </w:rPr>
        <w:t xml:space="preserve">From the perspective of </w:t>
      </w:r>
      <w:r w:rsidRPr="00D63A96">
        <w:rPr>
          <w:u w:val="single"/>
        </w:rPr>
        <w:t>AI/ML complexity,</w:t>
      </w:r>
      <w:r>
        <w:rPr>
          <w:lang w:eastAsia="zh-CN"/>
        </w:rPr>
        <w:t xml:space="preserve"> a majority of 25 sources adopt the CSI generation model subject to the FLOPs from 10M to 800M, and 26 sources adopt the CSI reconstruction model subject to the FLOPs from 10M to 1100M; on the other hand, the actual model complexity may differ from the model complexity in the evaluation with respect to platform-dependent optimization on model implementations. In addition, the complexity between AI/ML and non-AI/ML benchmark is not compared.</w:t>
      </w:r>
    </w:p>
    <w:p w14:paraId="5F758991" w14:textId="77777777" w:rsidR="00D63A96" w:rsidRDefault="00D63A96" w:rsidP="005854E1">
      <w:pPr>
        <w:rPr>
          <w:lang w:eastAsia="zh-CN"/>
        </w:rPr>
      </w:pPr>
    </w:p>
    <w:p w14:paraId="7CE59CFB" w14:textId="68C2B039" w:rsidR="00B7186D" w:rsidRDefault="00B7186D" w:rsidP="005854E1">
      <w:pPr>
        <w:rPr>
          <w:lang w:eastAsia="zh-CN"/>
        </w:rPr>
      </w:pPr>
      <w:r>
        <w:rPr>
          <w:lang w:eastAsia="zh-CN"/>
        </w:rPr>
        <w:t xml:space="preserve">Final summary in </w:t>
      </w:r>
      <w:hyperlink r:id="rId1925" w:history="1">
        <w:r w:rsidR="00AF7253">
          <w:rPr>
            <w:rStyle w:val="Hyperlink"/>
            <w:lang w:eastAsia="zh-CN"/>
          </w:rPr>
          <w:t>R1-2312603</w:t>
        </w:r>
      </w:hyperlink>
      <w:r>
        <w:rPr>
          <w:lang w:eastAsia="zh-CN"/>
        </w:rPr>
        <w:t>.</w:t>
      </w:r>
    </w:p>
    <w:p w14:paraId="64767D5C" w14:textId="1A1E1874" w:rsidR="00697CF0" w:rsidRPr="00697CF0" w:rsidRDefault="005A18DC" w:rsidP="00697CF0">
      <w:pPr>
        <w:rPr>
          <w:b/>
          <w:bCs/>
          <w:lang w:eastAsia="x-none"/>
        </w:rPr>
      </w:pPr>
      <w:hyperlink r:id="rId1926" w:history="1">
        <w:r w:rsidR="00AF7253">
          <w:rPr>
            <w:rStyle w:val="Hyperlink"/>
            <w:b/>
            <w:bCs/>
            <w:lang w:eastAsia="x-none"/>
          </w:rPr>
          <w:t>R1-2312604</w:t>
        </w:r>
      </w:hyperlink>
      <w:r w:rsidR="00697CF0" w:rsidRPr="00697CF0">
        <w:rPr>
          <w:b/>
          <w:bCs/>
          <w:lang w:eastAsia="x-none"/>
        </w:rPr>
        <w:tab/>
        <w:t>TP on CSI evaluation for TR38.843</w:t>
      </w:r>
      <w:r w:rsidR="00697CF0" w:rsidRPr="00697CF0">
        <w:rPr>
          <w:b/>
          <w:bCs/>
          <w:lang w:eastAsia="x-none"/>
        </w:rPr>
        <w:tab/>
        <w:t>Moderator (Huawei)</w:t>
      </w:r>
    </w:p>
    <w:p w14:paraId="30B41DA5" w14:textId="078CAC41" w:rsidR="00697CF0" w:rsidRPr="00697CF0" w:rsidRDefault="00697CF0" w:rsidP="00697CF0">
      <w:pPr>
        <w:rPr>
          <w:lang w:eastAsia="x-none"/>
        </w:rPr>
      </w:pPr>
      <w:r>
        <w:rPr>
          <w:lang w:eastAsia="x-none"/>
        </w:rPr>
        <w:t>From Friday session</w:t>
      </w:r>
    </w:p>
    <w:p w14:paraId="08E21A03" w14:textId="77777777" w:rsidR="00697CF0" w:rsidRPr="00697CF0" w:rsidRDefault="00697CF0" w:rsidP="00697CF0">
      <w:pPr>
        <w:rPr>
          <w:highlight w:val="green"/>
        </w:rPr>
      </w:pPr>
      <w:r w:rsidRPr="00697CF0">
        <w:rPr>
          <w:highlight w:val="green"/>
        </w:rPr>
        <w:t>Agreement</w:t>
      </w:r>
    </w:p>
    <w:p w14:paraId="650C9B1C" w14:textId="380B119F" w:rsidR="00697CF0" w:rsidRPr="00697CF0" w:rsidRDefault="00697CF0" w:rsidP="00697CF0">
      <w:r w:rsidRPr="00697CF0">
        <w:t xml:space="preserve">The TP in section 2 of </w:t>
      </w:r>
      <w:hyperlink r:id="rId1927" w:history="1">
        <w:r w:rsidR="00AF7253">
          <w:rPr>
            <w:rStyle w:val="Hyperlink"/>
          </w:rPr>
          <w:t>R1-2312604</w:t>
        </w:r>
      </w:hyperlink>
      <w:r w:rsidRPr="00697CF0">
        <w:t xml:space="preserve"> is endorsed for the TR on AI/ML with the following revised text:</w:t>
      </w:r>
    </w:p>
    <w:p w14:paraId="2FA77FF4" w14:textId="77777777" w:rsidR="00697CF0" w:rsidRPr="00697CF0" w:rsidRDefault="00697CF0" w:rsidP="00A67145">
      <w:pPr>
        <w:pStyle w:val="ListParagraph"/>
        <w:numPr>
          <w:ilvl w:val="0"/>
          <w:numId w:val="157"/>
        </w:numPr>
        <w:rPr>
          <w:color w:val="FF0000"/>
          <w:lang w:eastAsia="zh-CN"/>
        </w:rPr>
      </w:pPr>
      <w:r w:rsidRPr="00697CF0">
        <w:rPr>
          <w:color w:val="FF0000"/>
          <w:u w:val="single"/>
          <w:lang w:eastAsia="zh-CN"/>
        </w:rPr>
        <w:t xml:space="preserve">From the perspective of </w:t>
      </w:r>
      <w:r w:rsidRPr="00697CF0">
        <w:rPr>
          <w:color w:val="FF0000"/>
          <w:u w:val="single"/>
        </w:rPr>
        <w:t>AI/ML complexity,</w:t>
      </w:r>
      <w:r w:rsidRPr="00697CF0">
        <w:rPr>
          <w:color w:val="FF0000"/>
          <w:lang w:eastAsia="zh-CN"/>
        </w:rPr>
        <w:t xml:space="preserve"> a majority of 25 sources adopt the CSI generation model subject to the computational complexity in units of FLOPs from 10M to 800M, and 26 sources adopt the CSI reconstruction model </w:t>
      </w:r>
      <w:r w:rsidRPr="00697CF0">
        <w:rPr>
          <w:color w:val="FF0000"/>
          <w:lang w:eastAsia="zh-CN"/>
        </w:rPr>
        <w:lastRenderedPageBreak/>
        <w:t>subject to the FLOPs from 10M to 1100M. The actual model complexity may differ from the model complexity in the evaluation with respect to platform-dependent optimization on model implementations. In addition, the complexity between AI/ML and non-AI/ML benchmark is not compared.</w:t>
      </w:r>
    </w:p>
    <w:p w14:paraId="47E47401" w14:textId="77777777" w:rsidR="00697CF0" w:rsidRPr="00697CF0" w:rsidRDefault="00697CF0" w:rsidP="00A67145">
      <w:pPr>
        <w:pStyle w:val="ListParagraph"/>
        <w:numPr>
          <w:ilvl w:val="0"/>
          <w:numId w:val="157"/>
        </w:numPr>
        <w:rPr>
          <w:rFonts w:eastAsia="MS Mincho"/>
          <w:lang w:eastAsia="zh-CN"/>
        </w:rPr>
      </w:pPr>
      <w:r w:rsidRPr="00697CF0">
        <w:rPr>
          <w:color w:val="FF0000"/>
          <w:u w:val="single"/>
          <w:lang w:eastAsia="zh-CN"/>
        </w:rPr>
        <w:t xml:space="preserve">From the perspective of </w:t>
      </w:r>
      <w:r w:rsidRPr="00697CF0">
        <w:rPr>
          <w:color w:val="FF0000"/>
          <w:u w:val="single"/>
        </w:rPr>
        <w:t>AI/ML complexity,</w:t>
      </w:r>
      <w:r w:rsidRPr="00697CF0">
        <w:rPr>
          <w:color w:val="FF0000"/>
          <w:lang w:eastAsia="zh-CN"/>
        </w:rPr>
        <w:t xml:space="preserve"> a majority of sources adopt the model subject to the computational complexity in units of FLOPs from 0.1M to 1000M. The actual model complexity may differ from the model complexity in the evaluation with respect to platform-dependent optimization on model implementations. In addition, the complexity between AI/ML and non-AI/ML benchmark is not compared.</w:t>
      </w:r>
    </w:p>
    <w:p w14:paraId="5EFDAE6F" w14:textId="77777777" w:rsidR="005854E1" w:rsidRPr="005854E1" w:rsidRDefault="005854E1" w:rsidP="005854E1">
      <w:pPr>
        <w:rPr>
          <w:lang w:eastAsia="x-none"/>
        </w:rPr>
      </w:pPr>
    </w:p>
    <w:p w14:paraId="6B21CACE" w14:textId="05F0B960" w:rsidR="000C6043" w:rsidRPr="005854E1" w:rsidRDefault="000C6043" w:rsidP="000C6043">
      <w:pPr>
        <w:rPr>
          <w:lang w:eastAsia="x-none"/>
        </w:rPr>
      </w:pPr>
      <w:r>
        <w:rPr>
          <w:lang w:eastAsia="x-none"/>
        </w:rPr>
        <w:t>===========================================================================================</w:t>
      </w:r>
    </w:p>
    <w:p w14:paraId="231B424A" w14:textId="62007E7B" w:rsidR="000C6043" w:rsidRDefault="005A18DC" w:rsidP="000C6043">
      <w:pPr>
        <w:rPr>
          <w:lang w:eastAsia="x-none"/>
        </w:rPr>
      </w:pPr>
      <w:hyperlink r:id="rId1928" w:history="1">
        <w:r w:rsidR="00AF7253">
          <w:rPr>
            <w:rStyle w:val="Hyperlink"/>
            <w:lang w:eastAsia="x-none"/>
          </w:rPr>
          <w:t>R1-2312413</w:t>
        </w:r>
      </w:hyperlink>
      <w:r w:rsidR="000C6043">
        <w:rPr>
          <w:lang w:eastAsia="x-none"/>
        </w:rPr>
        <w:tab/>
        <w:t>Summary #1 on Remaining Aspects of Evaluating AI/ML for Positioning Accuracy Enhancement</w:t>
      </w:r>
      <w:r w:rsidR="000C6043">
        <w:rPr>
          <w:lang w:eastAsia="x-none"/>
        </w:rPr>
        <w:tab/>
        <w:t>Moderator (Ericsson)</w:t>
      </w:r>
    </w:p>
    <w:p w14:paraId="67CAD571" w14:textId="1D75BE1C" w:rsidR="000C6043" w:rsidRDefault="005A18DC" w:rsidP="000C6043">
      <w:pPr>
        <w:rPr>
          <w:lang w:eastAsia="x-none"/>
        </w:rPr>
      </w:pPr>
      <w:hyperlink r:id="rId1929" w:history="1">
        <w:r w:rsidR="00AF7253">
          <w:rPr>
            <w:rStyle w:val="Hyperlink"/>
            <w:lang w:eastAsia="x-none"/>
          </w:rPr>
          <w:t>R1-2312414</w:t>
        </w:r>
      </w:hyperlink>
      <w:r w:rsidR="000C6043">
        <w:rPr>
          <w:lang w:eastAsia="x-none"/>
        </w:rPr>
        <w:tab/>
        <w:t>Summary #2 on Remaining Aspects of Evaluating AI/ML for Positioning Accuracy Enhancement</w:t>
      </w:r>
      <w:r w:rsidR="000C6043">
        <w:rPr>
          <w:lang w:eastAsia="x-none"/>
        </w:rPr>
        <w:tab/>
        <w:t>Moderator (Ericsson)</w:t>
      </w:r>
    </w:p>
    <w:p w14:paraId="6B6B319B" w14:textId="6C3254BC" w:rsidR="000C6043" w:rsidRPr="000C6043" w:rsidRDefault="005A18DC" w:rsidP="000C6043">
      <w:pPr>
        <w:rPr>
          <w:b/>
          <w:bCs/>
          <w:lang w:eastAsia="x-none"/>
        </w:rPr>
      </w:pPr>
      <w:hyperlink r:id="rId1930" w:history="1">
        <w:r w:rsidR="00AF7253">
          <w:rPr>
            <w:rStyle w:val="Hyperlink"/>
            <w:b/>
            <w:bCs/>
            <w:lang w:eastAsia="x-none"/>
          </w:rPr>
          <w:t>R1-2312415</w:t>
        </w:r>
      </w:hyperlink>
      <w:r w:rsidR="000C6043" w:rsidRPr="000C6043">
        <w:rPr>
          <w:b/>
          <w:bCs/>
          <w:lang w:eastAsia="x-none"/>
        </w:rPr>
        <w:tab/>
        <w:t>Summary #3 on Remaining Aspects of Evaluating AI/ML for Positioning Accuracy Enhancement</w:t>
      </w:r>
      <w:r w:rsidR="000C6043" w:rsidRPr="000C6043">
        <w:rPr>
          <w:b/>
          <w:bCs/>
          <w:lang w:eastAsia="x-none"/>
        </w:rPr>
        <w:tab/>
        <w:t>Moderator (Ericsson)</w:t>
      </w:r>
    </w:p>
    <w:p w14:paraId="6656F769" w14:textId="459F0E2A" w:rsidR="005854E1" w:rsidRDefault="00A57572" w:rsidP="005854E1">
      <w:pPr>
        <w:rPr>
          <w:lang w:eastAsia="x-none"/>
        </w:rPr>
      </w:pPr>
      <w:r>
        <w:rPr>
          <w:lang w:eastAsia="x-none"/>
        </w:rPr>
        <w:t>From Wednesday session</w:t>
      </w:r>
    </w:p>
    <w:p w14:paraId="13F47147" w14:textId="77777777" w:rsidR="00A57572" w:rsidRPr="00783C23" w:rsidRDefault="00A57572" w:rsidP="00A57572">
      <w:pPr>
        <w:rPr>
          <w:highlight w:val="green"/>
        </w:rPr>
      </w:pPr>
      <w:r w:rsidRPr="00783C23">
        <w:rPr>
          <w:highlight w:val="green"/>
        </w:rPr>
        <w:t>Agreement</w:t>
      </w:r>
    </w:p>
    <w:p w14:paraId="0B2D3B86" w14:textId="77777777" w:rsidR="005854E1" w:rsidRPr="005854E1" w:rsidRDefault="005854E1" w:rsidP="005854E1">
      <w:r w:rsidRPr="005854E1">
        <w:t>Adopt the proposal below to correct the placement of the complexity observation.</w:t>
      </w:r>
    </w:p>
    <w:tbl>
      <w:tblPr>
        <w:tblW w:w="5000" w:type="pct"/>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0683"/>
      </w:tblGrid>
      <w:tr w:rsidR="005854E1" w:rsidRPr="005854E1" w14:paraId="05DB49AE" w14:textId="77777777" w:rsidTr="003025C1">
        <w:tc>
          <w:tcPr>
            <w:tcW w:w="5000" w:type="pct"/>
            <w:shd w:val="clear" w:color="auto" w:fill="auto"/>
          </w:tcPr>
          <w:p w14:paraId="61513488" w14:textId="77777777" w:rsidR="005854E1" w:rsidRPr="005854E1" w:rsidRDefault="005854E1" w:rsidP="003025C1">
            <w:pPr>
              <w:rPr>
                <w:rFonts w:ascii="Arial" w:eastAsia="Calibri" w:hAnsi="Arial" w:cs="Arial"/>
                <w:sz w:val="16"/>
                <w:szCs w:val="16"/>
                <w:lang w:val="de-DE"/>
              </w:rPr>
            </w:pPr>
            <w:r w:rsidRPr="005854E1">
              <w:rPr>
                <w:rFonts w:ascii="Arial" w:eastAsia="Calibri" w:hAnsi="Arial" w:cs="Arial"/>
                <w:sz w:val="16"/>
                <w:szCs w:val="16"/>
                <w:lang w:val="de-DE"/>
              </w:rPr>
              <w:t>======================= Start of text proposal to TR 38.843 v1.2.0 ====================</w:t>
            </w:r>
          </w:p>
          <w:p w14:paraId="03592FBC" w14:textId="77777777" w:rsidR="005854E1" w:rsidRPr="005854E1" w:rsidRDefault="005854E1" w:rsidP="003025C1">
            <w:pPr>
              <w:rPr>
                <w:rFonts w:ascii="Arial" w:hAnsi="Arial" w:cs="Arial"/>
                <w:b/>
                <w:bCs/>
                <w:sz w:val="16"/>
                <w:szCs w:val="16"/>
              </w:rPr>
            </w:pPr>
            <w:r w:rsidRPr="005854E1">
              <w:rPr>
                <w:rFonts w:ascii="Arial" w:hAnsi="Arial" w:cs="Arial"/>
                <w:b/>
                <w:bCs/>
                <w:sz w:val="16"/>
                <w:szCs w:val="16"/>
              </w:rPr>
              <w:t>6.4.2</w:t>
            </w:r>
            <w:r w:rsidRPr="005854E1">
              <w:rPr>
                <w:rFonts w:ascii="Arial" w:hAnsi="Arial" w:cs="Arial"/>
                <w:b/>
                <w:bCs/>
                <w:sz w:val="16"/>
                <w:szCs w:val="16"/>
              </w:rPr>
              <w:tab/>
              <w:t>Performance results</w:t>
            </w:r>
          </w:p>
          <w:p w14:paraId="0F88E91C" w14:textId="77777777" w:rsidR="005854E1" w:rsidRPr="005854E1" w:rsidRDefault="005854E1" w:rsidP="003025C1">
            <w:pPr>
              <w:jc w:val="center"/>
              <w:rPr>
                <w:rFonts w:ascii="Arial" w:eastAsia="SimSun" w:hAnsi="Arial" w:cs="Arial"/>
                <w:b/>
                <w:iCs/>
                <w:color w:val="FF0000"/>
                <w:sz w:val="16"/>
                <w:szCs w:val="16"/>
                <w:lang w:val="de-DE"/>
              </w:rPr>
            </w:pPr>
            <w:r w:rsidRPr="005854E1">
              <w:rPr>
                <w:rFonts w:ascii="Arial" w:eastAsia="SimSun" w:hAnsi="Arial" w:cs="Arial"/>
                <w:b/>
                <w:iCs/>
                <w:color w:val="FF0000"/>
                <w:sz w:val="16"/>
                <w:szCs w:val="16"/>
                <w:lang w:val="de-DE"/>
              </w:rPr>
              <w:t>&lt;Unchanged text is omitted&gt;</w:t>
            </w:r>
          </w:p>
          <w:p w14:paraId="1263984A" w14:textId="77777777" w:rsidR="005854E1" w:rsidRPr="005854E1" w:rsidRDefault="005854E1" w:rsidP="003025C1">
            <w:pPr>
              <w:rPr>
                <w:rFonts w:ascii="Arial" w:eastAsia="Calibri" w:hAnsi="Arial" w:cs="Arial"/>
                <w:b/>
                <w:bCs/>
                <w:i/>
                <w:iCs/>
                <w:sz w:val="16"/>
                <w:szCs w:val="16"/>
                <w:lang w:val="de-DE"/>
              </w:rPr>
            </w:pPr>
            <w:r w:rsidRPr="005854E1">
              <w:rPr>
                <w:rFonts w:ascii="Arial" w:eastAsia="Calibri" w:hAnsi="Arial" w:cs="Arial"/>
                <w:b/>
                <w:bCs/>
                <w:i/>
                <w:iCs/>
                <w:sz w:val="16"/>
                <w:szCs w:val="16"/>
                <w:lang w:val="de-DE"/>
              </w:rPr>
              <w:t>Model monitoring</w:t>
            </w:r>
          </w:p>
          <w:p w14:paraId="11D5FC71" w14:textId="77777777" w:rsidR="005854E1" w:rsidRPr="005854E1" w:rsidRDefault="005854E1" w:rsidP="003025C1">
            <w:pPr>
              <w:rPr>
                <w:rFonts w:ascii="Arial" w:eastAsia="Calibri" w:hAnsi="Arial" w:cs="Arial"/>
                <w:sz w:val="16"/>
                <w:szCs w:val="16"/>
                <w:lang w:val="de-DE"/>
              </w:rPr>
            </w:pPr>
            <w:r w:rsidRPr="005854E1">
              <w:rPr>
                <w:rFonts w:ascii="Arial" w:eastAsia="Calibri" w:hAnsi="Arial" w:cs="Arial"/>
                <w:sz w:val="16"/>
                <w:szCs w:val="16"/>
                <w:lang w:val="de-DE"/>
              </w:rPr>
              <w:t xml:space="preserve">For AI/ML assisted positioning, evaluation results have been provided by sources for label-based model monitoring methods. With TOA and/or LOS/NLOS indicator as model output, the estimated ground truth label (i.e., TOA and/or LOS/NLOS indicator) is provided by the location estimation from the associated conventional positioning method. The associated conventional positioning method refers to the method which utilizes the AI/ML model output to determine target UE location. </w:t>
            </w:r>
          </w:p>
          <w:p w14:paraId="59423F4F" w14:textId="77777777" w:rsidR="005854E1" w:rsidRPr="005854E1" w:rsidRDefault="005854E1" w:rsidP="003025C1">
            <w:pPr>
              <w:rPr>
                <w:rFonts w:ascii="Arial" w:eastAsia="Calibri" w:hAnsi="Arial" w:cs="Arial"/>
                <w:sz w:val="16"/>
                <w:szCs w:val="16"/>
                <w:lang w:val="de-DE"/>
              </w:rPr>
            </w:pPr>
            <w:r w:rsidRPr="005854E1">
              <w:rPr>
                <w:rFonts w:ascii="Arial" w:eastAsia="Calibri" w:hAnsi="Arial" w:cs="Arial"/>
                <w:sz w:val="16"/>
                <w:szCs w:val="16"/>
                <w:lang w:val="de-DE"/>
              </w:rPr>
              <w:t>For both direct AI/ML and AI/ML assisted positioning, evaluation results have been provided by sources to demonstrate the feasibility of label-free model monitoring methods.</w:t>
            </w:r>
          </w:p>
          <w:p w14:paraId="5D83A5BF" w14:textId="77777777" w:rsidR="005854E1" w:rsidRPr="005854E1" w:rsidRDefault="005854E1" w:rsidP="003025C1">
            <w:pPr>
              <w:rPr>
                <w:rFonts w:ascii="Arial" w:eastAsia="Calibri" w:hAnsi="Arial" w:cs="Arial"/>
                <w:b/>
                <w:bCs/>
                <w:i/>
                <w:iCs/>
                <w:color w:val="FF0000"/>
                <w:sz w:val="16"/>
                <w:szCs w:val="16"/>
                <w:lang w:val="de-DE"/>
              </w:rPr>
            </w:pPr>
            <w:r w:rsidRPr="005854E1">
              <w:rPr>
                <w:rFonts w:ascii="Arial" w:eastAsia="Calibri" w:hAnsi="Arial" w:cs="Arial"/>
                <w:b/>
                <w:bCs/>
                <w:i/>
                <w:iCs/>
                <w:color w:val="FF0000"/>
                <w:sz w:val="16"/>
                <w:szCs w:val="16"/>
                <w:lang w:val="de-DE"/>
              </w:rPr>
              <w:t>Model complexity and computational complexity</w:t>
            </w:r>
          </w:p>
          <w:p w14:paraId="1E7A6761" w14:textId="77777777" w:rsidR="005854E1" w:rsidRPr="005854E1" w:rsidRDefault="005854E1" w:rsidP="003025C1">
            <w:pPr>
              <w:rPr>
                <w:rFonts w:ascii="Arial" w:eastAsia="Calibri" w:hAnsi="Arial" w:cs="Arial"/>
                <w:color w:val="FF0000"/>
                <w:sz w:val="16"/>
                <w:szCs w:val="16"/>
                <w:lang w:val="de-DE"/>
              </w:rPr>
            </w:pPr>
            <w:r w:rsidRPr="005854E1">
              <w:rPr>
                <w:rFonts w:ascii="Arial" w:eastAsia="Calibri" w:hAnsi="Arial" w:cs="Arial"/>
                <w:color w:val="FF0000"/>
                <w:sz w:val="16"/>
                <w:szCs w:val="16"/>
                <w:lang w:val="de-DE"/>
              </w:rPr>
              <w:t xml:space="preserve">For AI/ML based positioning method, companies have submitted evaluation results to show that for their evaluated cases, for a given company’s model design, a lower complexity (model complexity and computational complexity) model can still achieve acceptable positioning accuracy (e.g., &lt;1m), albeit degraded, when compared to a higher complexity model. </w:t>
            </w:r>
          </w:p>
          <w:p w14:paraId="58DCC9A8" w14:textId="77777777" w:rsidR="005854E1" w:rsidRPr="005854E1" w:rsidRDefault="005854E1" w:rsidP="003025C1">
            <w:pPr>
              <w:rPr>
                <w:rFonts w:ascii="Arial" w:eastAsia="Calibri" w:hAnsi="Arial" w:cs="Arial"/>
                <w:color w:val="FF0000"/>
                <w:sz w:val="16"/>
                <w:szCs w:val="16"/>
                <w:lang w:val="de-DE"/>
              </w:rPr>
            </w:pPr>
          </w:p>
          <w:p w14:paraId="29310E92" w14:textId="77777777" w:rsidR="005854E1" w:rsidRPr="00405B50" w:rsidRDefault="005854E1" w:rsidP="00405B50">
            <w:pPr>
              <w:rPr>
                <w:rFonts w:ascii="Arial" w:hAnsi="Arial" w:cs="Arial"/>
                <w:b/>
                <w:bCs/>
                <w:sz w:val="16"/>
                <w:szCs w:val="16"/>
                <w:lang w:val="de-DE"/>
              </w:rPr>
            </w:pPr>
            <w:r w:rsidRPr="00405B50">
              <w:rPr>
                <w:rFonts w:ascii="Arial" w:hAnsi="Arial" w:cs="Arial"/>
                <w:b/>
                <w:bCs/>
                <w:sz w:val="16"/>
                <w:szCs w:val="16"/>
                <w:lang w:val="de-DE"/>
              </w:rPr>
              <w:t>6.4.2.2</w:t>
            </w:r>
            <w:r w:rsidRPr="00405B50">
              <w:rPr>
                <w:rFonts w:ascii="Arial" w:hAnsi="Arial" w:cs="Arial"/>
                <w:b/>
                <w:bCs/>
                <w:sz w:val="16"/>
                <w:szCs w:val="16"/>
                <w:lang w:val="de-DE"/>
              </w:rPr>
              <w:tab/>
              <w:t>Generalization Aspects</w:t>
            </w:r>
          </w:p>
          <w:p w14:paraId="5A08B707" w14:textId="77777777" w:rsidR="005854E1" w:rsidRPr="005854E1" w:rsidRDefault="005854E1" w:rsidP="003025C1">
            <w:pPr>
              <w:rPr>
                <w:rFonts w:ascii="Arial" w:eastAsia="MS Mincho" w:hAnsi="Arial" w:cs="Arial"/>
                <w:b/>
                <w:sz w:val="16"/>
                <w:szCs w:val="16"/>
                <w:lang w:val="de-DE"/>
              </w:rPr>
            </w:pPr>
            <w:r w:rsidRPr="005854E1">
              <w:rPr>
                <w:rFonts w:ascii="Arial" w:eastAsia="MS Mincho" w:hAnsi="Arial" w:cs="Arial"/>
                <w:b/>
                <w:i/>
                <w:iCs/>
                <w:sz w:val="16"/>
                <w:szCs w:val="16"/>
                <w:lang w:val="de-DE"/>
              </w:rPr>
              <w:t>Observations</w:t>
            </w:r>
            <w:r w:rsidRPr="005854E1">
              <w:rPr>
                <w:rFonts w:ascii="Arial" w:eastAsia="MS Mincho" w:hAnsi="Arial" w:cs="Arial"/>
                <w:b/>
                <w:sz w:val="16"/>
                <w:szCs w:val="16"/>
                <w:lang w:val="de-DE"/>
              </w:rPr>
              <w:t>:</w:t>
            </w:r>
          </w:p>
          <w:p w14:paraId="1B626608" w14:textId="77777777" w:rsidR="005854E1" w:rsidRPr="005854E1" w:rsidRDefault="005854E1" w:rsidP="003025C1">
            <w:pPr>
              <w:rPr>
                <w:rFonts w:ascii="Arial" w:eastAsia="MS Mincho" w:hAnsi="Arial" w:cs="Arial"/>
                <w:color w:val="000000"/>
                <w:sz w:val="16"/>
                <w:szCs w:val="16"/>
                <w:lang w:val="de-DE"/>
              </w:rPr>
            </w:pPr>
            <w:r w:rsidRPr="005854E1">
              <w:rPr>
                <w:rFonts w:ascii="Arial" w:eastAsia="MS Mincho" w:hAnsi="Arial" w:cs="Arial"/>
                <w:b/>
                <w:bCs/>
                <w:i/>
                <w:iCs/>
                <w:sz w:val="16"/>
                <w:szCs w:val="16"/>
                <w:lang w:val="de-DE"/>
              </w:rPr>
              <w:t>Direct AI/ML positioning</w:t>
            </w:r>
          </w:p>
          <w:p w14:paraId="28F0F642" w14:textId="77777777" w:rsidR="005854E1" w:rsidRPr="005854E1" w:rsidRDefault="005854E1" w:rsidP="003025C1">
            <w:pPr>
              <w:rPr>
                <w:rFonts w:ascii="Arial" w:hAnsi="Arial" w:cs="Arial"/>
                <w:sz w:val="16"/>
                <w:szCs w:val="16"/>
                <w:lang w:val="de-DE"/>
              </w:rPr>
            </w:pPr>
            <w:r w:rsidRPr="005854E1">
              <w:rPr>
                <w:rFonts w:ascii="Arial" w:hAnsi="Arial" w:cs="Arial"/>
                <w:sz w:val="16"/>
                <w:szCs w:val="16"/>
                <w:lang w:val="de-DE"/>
              </w:rPr>
              <w:t>...</w:t>
            </w:r>
          </w:p>
          <w:p w14:paraId="39086696" w14:textId="759C3F73" w:rsidR="005854E1" w:rsidRPr="005854E1" w:rsidRDefault="005854E1" w:rsidP="00191AD8">
            <w:pPr>
              <w:rPr>
                <w:rFonts w:ascii="Arial" w:eastAsia="Calibri" w:hAnsi="Arial" w:cs="Arial"/>
                <w:strike/>
                <w:color w:val="FF0000"/>
                <w:sz w:val="16"/>
                <w:szCs w:val="16"/>
                <w:lang w:val="de-DE"/>
              </w:rPr>
            </w:pPr>
            <w:r w:rsidRPr="005854E1">
              <w:rPr>
                <w:rFonts w:ascii="Arial" w:eastAsia="Calibri" w:hAnsi="Arial" w:cs="Arial"/>
                <w:strike/>
                <w:color w:val="FF0000"/>
                <w:sz w:val="16"/>
                <w:szCs w:val="16"/>
                <w:lang w:val="de-DE"/>
              </w:rPr>
              <w:t xml:space="preserve">For AI/ML based positioning method, companies have submitted evaluation results to show that for their evaluated cases, for a given company’s model design, a lower complexity (model complexity and computational complexity) model can still achieve acceptable positioning accuracy (e.g., &lt;1m), albeit degraded, when compared to a higher complexity model. </w:t>
            </w:r>
          </w:p>
          <w:p w14:paraId="125448EF" w14:textId="77777777" w:rsidR="005854E1" w:rsidRPr="005854E1" w:rsidRDefault="005854E1" w:rsidP="003025C1">
            <w:pPr>
              <w:jc w:val="center"/>
              <w:rPr>
                <w:rFonts w:ascii="Arial" w:eastAsia="SimSun" w:hAnsi="Arial" w:cs="Arial"/>
                <w:b/>
                <w:iCs/>
                <w:color w:val="FF0000"/>
                <w:sz w:val="16"/>
                <w:szCs w:val="16"/>
                <w:lang w:val="de-DE"/>
              </w:rPr>
            </w:pPr>
            <w:r w:rsidRPr="005854E1">
              <w:rPr>
                <w:rFonts w:ascii="Arial" w:eastAsia="SimSun" w:hAnsi="Arial" w:cs="Arial"/>
                <w:b/>
                <w:iCs/>
                <w:color w:val="FF0000"/>
                <w:sz w:val="16"/>
                <w:szCs w:val="16"/>
                <w:lang w:val="de-DE"/>
              </w:rPr>
              <w:t>&lt;Unchanged text is omitted&gt;</w:t>
            </w:r>
          </w:p>
          <w:p w14:paraId="467EB464" w14:textId="77777777" w:rsidR="005854E1" w:rsidRPr="005854E1" w:rsidRDefault="005854E1" w:rsidP="003025C1">
            <w:pPr>
              <w:widowControl w:val="0"/>
              <w:jc w:val="both"/>
              <w:rPr>
                <w:rFonts w:ascii="Arial" w:hAnsi="Arial" w:cs="Arial"/>
                <w:sz w:val="16"/>
                <w:szCs w:val="16"/>
                <w:lang w:val="de-DE" w:eastAsia="zh-CN"/>
              </w:rPr>
            </w:pPr>
            <w:r w:rsidRPr="005854E1">
              <w:rPr>
                <w:rFonts w:ascii="Arial" w:eastAsia="Calibri" w:hAnsi="Arial" w:cs="Arial"/>
                <w:sz w:val="16"/>
                <w:szCs w:val="16"/>
                <w:lang w:val="de-DE"/>
              </w:rPr>
              <w:t>=======================  End of text proposal to TR 38.843 v1.2.0 ====================</w:t>
            </w:r>
          </w:p>
        </w:tc>
      </w:tr>
    </w:tbl>
    <w:p w14:paraId="48A65A86" w14:textId="77777777" w:rsidR="005854E1" w:rsidRPr="005854E1" w:rsidRDefault="005854E1" w:rsidP="00191AD8"/>
    <w:p w14:paraId="469783DA" w14:textId="77777777" w:rsidR="00191AD8" w:rsidRPr="00783C23" w:rsidRDefault="00191AD8" w:rsidP="00191AD8">
      <w:pPr>
        <w:rPr>
          <w:highlight w:val="green"/>
        </w:rPr>
      </w:pPr>
      <w:r w:rsidRPr="00783C23">
        <w:rPr>
          <w:highlight w:val="green"/>
        </w:rPr>
        <w:t>Agreement</w:t>
      </w:r>
    </w:p>
    <w:p w14:paraId="5F9D066A" w14:textId="4A7F7F5B" w:rsidR="005854E1" w:rsidRPr="005854E1" w:rsidRDefault="005854E1" w:rsidP="00191AD8">
      <w:r w:rsidRPr="005854E1">
        <w:t>Adopt the text proposal to TR 38.843 to better group the results for “Direct AI/ML positioning”, for “AI/ML assisted positioning”, and for both.</w:t>
      </w:r>
    </w:p>
    <w:tbl>
      <w:tblPr>
        <w:tblW w:w="5000" w:type="pct"/>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0683"/>
      </w:tblGrid>
      <w:tr w:rsidR="005854E1" w:rsidRPr="00405B50" w14:paraId="7DBBB9D3" w14:textId="77777777" w:rsidTr="00191AD8">
        <w:tc>
          <w:tcPr>
            <w:tcW w:w="5000" w:type="pct"/>
            <w:shd w:val="clear" w:color="auto" w:fill="auto"/>
          </w:tcPr>
          <w:p w14:paraId="260C0B04" w14:textId="77777777" w:rsidR="005854E1" w:rsidRPr="00405B50" w:rsidRDefault="005854E1" w:rsidP="00191AD8">
            <w:pPr>
              <w:rPr>
                <w:rFonts w:ascii="Arial" w:eastAsia="Calibri" w:hAnsi="Arial" w:cs="Arial"/>
                <w:sz w:val="16"/>
                <w:szCs w:val="16"/>
                <w:lang w:val="de-DE"/>
              </w:rPr>
            </w:pPr>
            <w:r w:rsidRPr="00405B50">
              <w:rPr>
                <w:rFonts w:ascii="Arial" w:eastAsia="Calibri" w:hAnsi="Arial" w:cs="Arial"/>
                <w:sz w:val="16"/>
                <w:szCs w:val="16"/>
                <w:lang w:val="de-DE"/>
              </w:rPr>
              <w:t>======================= Start of text proposal to TR 38.843 v1.2.0 ====================</w:t>
            </w:r>
          </w:p>
          <w:p w14:paraId="370F719E" w14:textId="77777777" w:rsidR="005854E1" w:rsidRPr="00405B50" w:rsidRDefault="005854E1" w:rsidP="00191AD8">
            <w:pPr>
              <w:rPr>
                <w:rFonts w:ascii="Arial" w:hAnsi="Arial" w:cs="Arial"/>
                <w:b/>
                <w:bCs/>
                <w:sz w:val="16"/>
                <w:szCs w:val="16"/>
              </w:rPr>
            </w:pPr>
            <w:r w:rsidRPr="00405B50">
              <w:rPr>
                <w:rFonts w:ascii="Arial" w:hAnsi="Arial" w:cs="Arial"/>
                <w:b/>
                <w:bCs/>
                <w:sz w:val="16"/>
                <w:szCs w:val="16"/>
              </w:rPr>
              <w:t>6.4.2</w:t>
            </w:r>
            <w:r w:rsidRPr="00405B50">
              <w:rPr>
                <w:rFonts w:ascii="Arial" w:hAnsi="Arial" w:cs="Arial"/>
                <w:b/>
                <w:bCs/>
                <w:sz w:val="16"/>
                <w:szCs w:val="16"/>
              </w:rPr>
              <w:tab/>
              <w:t>Performance results</w:t>
            </w:r>
          </w:p>
          <w:p w14:paraId="66869A14" w14:textId="77777777" w:rsidR="005854E1" w:rsidRPr="00405B50" w:rsidRDefault="005854E1" w:rsidP="00191AD8">
            <w:pPr>
              <w:jc w:val="center"/>
              <w:rPr>
                <w:rFonts w:ascii="Arial" w:eastAsia="SimSun" w:hAnsi="Arial" w:cs="Arial"/>
                <w:b/>
                <w:iCs/>
                <w:color w:val="FF0000"/>
                <w:sz w:val="16"/>
                <w:szCs w:val="16"/>
                <w:lang w:val="de-DE"/>
              </w:rPr>
            </w:pPr>
            <w:r w:rsidRPr="00405B50">
              <w:rPr>
                <w:rFonts w:ascii="Arial" w:eastAsia="SimSun" w:hAnsi="Arial" w:cs="Arial"/>
                <w:b/>
                <w:iCs/>
                <w:color w:val="FF0000"/>
                <w:sz w:val="16"/>
                <w:szCs w:val="16"/>
                <w:lang w:val="de-DE"/>
              </w:rPr>
              <w:t>&lt;Unchanged text is omitted&gt;</w:t>
            </w:r>
          </w:p>
          <w:p w14:paraId="54D1EFBE" w14:textId="77777777" w:rsidR="005854E1" w:rsidRPr="00405B50" w:rsidRDefault="005854E1" w:rsidP="00191AD8">
            <w:pPr>
              <w:rPr>
                <w:rFonts w:ascii="Arial" w:eastAsia="MS Mincho" w:hAnsi="Arial" w:cs="Arial"/>
                <w:strike/>
                <w:color w:val="FF0000"/>
                <w:sz w:val="16"/>
                <w:szCs w:val="16"/>
                <w:lang w:val="de-DE"/>
              </w:rPr>
            </w:pPr>
            <w:r w:rsidRPr="00405B50">
              <w:rPr>
                <w:rFonts w:ascii="Arial" w:eastAsia="MS Mincho" w:hAnsi="Arial" w:cs="Arial"/>
                <w:strike/>
                <w:color w:val="FF0000"/>
                <w:sz w:val="16"/>
                <w:szCs w:val="16"/>
                <w:lang w:val="de-DE"/>
              </w:rPr>
              <w:t>For AI/ML assisted positioning, the positioning accuracy at model inference is affected by the type of model input.  Evaluation results show that if changing model input type while holding other parameters (e.g., N</w:t>
            </w:r>
            <w:r w:rsidRPr="00405B50">
              <w:rPr>
                <w:rFonts w:ascii="Arial" w:eastAsia="MS Mincho" w:hAnsi="Arial" w:cs="Arial"/>
                <w:strike/>
                <w:color w:val="FF0000"/>
                <w:sz w:val="16"/>
                <w:szCs w:val="16"/>
                <w:vertAlign w:val="subscript"/>
                <w:lang w:val="de-DE"/>
              </w:rPr>
              <w:t>t</w:t>
            </w:r>
            <w:r w:rsidRPr="00405B50">
              <w:rPr>
                <w:rFonts w:ascii="Arial" w:eastAsia="MS Mincho" w:hAnsi="Arial" w:cs="Arial"/>
                <w:strike/>
                <w:color w:val="FF0000"/>
                <w:sz w:val="16"/>
                <w:szCs w:val="16"/>
                <w:lang w:val="de-DE"/>
              </w:rPr>
              <w:t>, N'</w:t>
            </w:r>
            <w:r w:rsidRPr="00405B50">
              <w:rPr>
                <w:rFonts w:ascii="Arial" w:eastAsia="MS Mincho" w:hAnsi="Arial" w:cs="Arial"/>
                <w:strike/>
                <w:color w:val="FF0000"/>
                <w:sz w:val="16"/>
                <w:szCs w:val="16"/>
                <w:vertAlign w:val="subscript"/>
                <w:lang w:val="de-DE"/>
              </w:rPr>
              <w:t>t</w:t>
            </w:r>
            <w:r w:rsidRPr="00405B50">
              <w:rPr>
                <w:rFonts w:ascii="Arial" w:eastAsia="MS Mincho" w:hAnsi="Arial" w:cs="Arial"/>
                <w:strike/>
                <w:color w:val="FF0000"/>
                <w:sz w:val="16"/>
                <w:szCs w:val="16"/>
                <w:lang w:val="de-DE"/>
              </w:rPr>
              <w:t>, N</w:t>
            </w:r>
            <w:r w:rsidRPr="00405B50">
              <w:rPr>
                <w:rFonts w:ascii="Arial" w:eastAsia="MS Mincho" w:hAnsi="Arial" w:cs="Arial"/>
                <w:strike/>
                <w:color w:val="FF0000"/>
                <w:sz w:val="16"/>
                <w:szCs w:val="16"/>
                <w:vertAlign w:val="subscript"/>
                <w:lang w:val="de-DE"/>
              </w:rPr>
              <w:t>port</w:t>
            </w:r>
            <w:r w:rsidRPr="00405B50">
              <w:rPr>
                <w:rFonts w:ascii="Arial" w:eastAsia="MS Mincho" w:hAnsi="Arial" w:cs="Arial"/>
                <w:strike/>
                <w:color w:val="FF0000"/>
                <w:sz w:val="16"/>
                <w:szCs w:val="16"/>
                <w:lang w:val="de-DE"/>
              </w:rPr>
              <w:t>, N'</w:t>
            </w:r>
            <w:r w:rsidRPr="00405B50">
              <w:rPr>
                <w:rFonts w:ascii="Arial" w:eastAsia="MS Mincho" w:hAnsi="Arial" w:cs="Arial"/>
                <w:strike/>
                <w:color w:val="FF0000"/>
                <w:sz w:val="16"/>
                <w:szCs w:val="16"/>
                <w:vertAlign w:val="subscript"/>
                <w:lang w:val="de-DE"/>
              </w:rPr>
              <w:t>TRP</w:t>
            </w:r>
            <w:r w:rsidRPr="00405B50">
              <w:rPr>
                <w:rFonts w:ascii="Arial" w:eastAsia="MS Mincho" w:hAnsi="Arial" w:cs="Arial"/>
                <w:strike/>
                <w:color w:val="FF0000"/>
                <w:sz w:val="16"/>
                <w:szCs w:val="16"/>
                <w:lang w:val="de-DE"/>
              </w:rPr>
              <w:t xml:space="preserve">) the same, </w:t>
            </w:r>
          </w:p>
          <w:p w14:paraId="14E73D3E" w14:textId="77777777" w:rsidR="005854E1" w:rsidRPr="00405B50" w:rsidRDefault="005854E1" w:rsidP="00A67145">
            <w:pPr>
              <w:widowControl w:val="0"/>
              <w:numPr>
                <w:ilvl w:val="0"/>
                <w:numId w:val="150"/>
              </w:numPr>
              <w:jc w:val="both"/>
              <w:rPr>
                <w:rFonts w:ascii="Arial" w:eastAsia="MS Mincho" w:hAnsi="Arial" w:cs="Arial"/>
                <w:strike/>
                <w:color w:val="FF0000"/>
                <w:sz w:val="16"/>
                <w:szCs w:val="16"/>
                <w:lang w:val="de-DE"/>
              </w:rPr>
            </w:pPr>
            <w:r w:rsidRPr="00405B50">
              <w:rPr>
                <w:rFonts w:ascii="Arial" w:eastAsia="MS Mincho" w:hAnsi="Arial" w:cs="Arial"/>
                <w:strike/>
                <w:color w:val="FF0000"/>
                <w:sz w:val="16"/>
                <w:szCs w:val="16"/>
                <w:lang w:val="de-DE"/>
              </w:rPr>
              <w:t>The positioning error of PDP as model input is 1.17 ~ 1.63 times the positioning error of CIR as model input.</w:t>
            </w:r>
          </w:p>
          <w:p w14:paraId="0625389C" w14:textId="77777777" w:rsidR="005854E1" w:rsidRPr="00405B50" w:rsidRDefault="005854E1" w:rsidP="00A67145">
            <w:pPr>
              <w:widowControl w:val="0"/>
              <w:numPr>
                <w:ilvl w:val="0"/>
                <w:numId w:val="150"/>
              </w:numPr>
              <w:jc w:val="both"/>
              <w:rPr>
                <w:rFonts w:ascii="Arial" w:eastAsia="MS Mincho" w:hAnsi="Arial" w:cs="Arial"/>
                <w:strike/>
                <w:color w:val="FF0000"/>
                <w:sz w:val="16"/>
                <w:szCs w:val="16"/>
                <w:lang w:val="de-DE"/>
              </w:rPr>
            </w:pPr>
            <w:r w:rsidRPr="00405B50">
              <w:rPr>
                <w:rFonts w:ascii="Arial" w:eastAsia="MS Mincho" w:hAnsi="Arial" w:cs="Arial"/>
                <w:strike/>
                <w:color w:val="FF0000"/>
                <w:sz w:val="16"/>
                <w:szCs w:val="16"/>
                <w:lang w:val="de-DE"/>
              </w:rPr>
              <w:t>The positioning error of DP as model input is 1.33 ~ 2.01 times the positioning error of CIR as model input.</w:t>
            </w:r>
          </w:p>
          <w:p w14:paraId="5CF97E47" w14:textId="77777777" w:rsidR="005854E1" w:rsidRPr="00405B50" w:rsidRDefault="005854E1" w:rsidP="00191AD8">
            <w:pPr>
              <w:rPr>
                <w:rFonts w:ascii="Arial" w:eastAsia="Calibri" w:hAnsi="Arial" w:cs="Arial"/>
                <w:sz w:val="16"/>
                <w:szCs w:val="16"/>
                <w:lang w:val="de-DE"/>
              </w:rPr>
            </w:pPr>
          </w:p>
          <w:p w14:paraId="6A6E602D" w14:textId="77777777" w:rsidR="005854E1" w:rsidRPr="00405B50" w:rsidRDefault="005854E1" w:rsidP="00405B50">
            <w:pPr>
              <w:rPr>
                <w:rFonts w:ascii="Arial" w:hAnsi="Arial" w:cs="Arial"/>
                <w:b/>
                <w:bCs/>
                <w:sz w:val="16"/>
                <w:szCs w:val="16"/>
                <w:lang w:val="de-DE"/>
              </w:rPr>
            </w:pPr>
            <w:r w:rsidRPr="00405B50">
              <w:rPr>
                <w:rFonts w:ascii="Arial" w:hAnsi="Arial" w:cs="Arial"/>
                <w:b/>
                <w:bCs/>
                <w:sz w:val="16"/>
                <w:szCs w:val="16"/>
                <w:lang w:val="de-DE"/>
              </w:rPr>
              <w:t>6.4.2.1</w:t>
            </w:r>
            <w:r w:rsidRPr="00405B50">
              <w:rPr>
                <w:rFonts w:ascii="Arial" w:hAnsi="Arial" w:cs="Arial"/>
                <w:b/>
                <w:bCs/>
                <w:sz w:val="16"/>
                <w:szCs w:val="16"/>
                <w:lang w:val="de-DE"/>
              </w:rPr>
              <w:tab/>
              <w:t>Training Data Collection</w:t>
            </w:r>
          </w:p>
          <w:p w14:paraId="276C9E41" w14:textId="77777777" w:rsidR="005854E1" w:rsidRPr="00405B50" w:rsidRDefault="005854E1" w:rsidP="00191AD8">
            <w:pPr>
              <w:rPr>
                <w:rFonts w:ascii="Arial" w:eastAsia="MS Mincho" w:hAnsi="Arial" w:cs="Arial"/>
                <w:b/>
                <w:sz w:val="16"/>
                <w:szCs w:val="16"/>
                <w:lang w:val="de-DE"/>
              </w:rPr>
            </w:pPr>
            <w:r w:rsidRPr="00405B50">
              <w:rPr>
                <w:rFonts w:ascii="Arial" w:eastAsia="MS Mincho" w:hAnsi="Arial" w:cs="Arial"/>
                <w:b/>
                <w:i/>
                <w:iCs/>
                <w:sz w:val="16"/>
                <w:szCs w:val="16"/>
                <w:lang w:val="de-DE"/>
              </w:rPr>
              <w:t>Observations</w:t>
            </w:r>
            <w:r w:rsidRPr="00405B50">
              <w:rPr>
                <w:rFonts w:ascii="Arial" w:eastAsia="MS Mincho" w:hAnsi="Arial" w:cs="Arial"/>
                <w:b/>
                <w:sz w:val="16"/>
                <w:szCs w:val="16"/>
                <w:lang w:val="de-DE"/>
              </w:rPr>
              <w:t>:</w:t>
            </w:r>
          </w:p>
          <w:p w14:paraId="0CFFD96A" w14:textId="77777777" w:rsidR="005854E1" w:rsidRPr="00405B50" w:rsidRDefault="005854E1" w:rsidP="00191AD8">
            <w:pPr>
              <w:rPr>
                <w:rFonts w:ascii="Arial" w:eastAsia="MS Mincho" w:hAnsi="Arial" w:cs="Arial"/>
                <w:strike/>
                <w:color w:val="FF0000"/>
                <w:sz w:val="16"/>
                <w:szCs w:val="16"/>
                <w:lang w:val="de-DE"/>
              </w:rPr>
            </w:pPr>
            <w:r w:rsidRPr="00405B50">
              <w:rPr>
                <w:rFonts w:ascii="Arial" w:eastAsia="MS Mincho" w:hAnsi="Arial" w:cs="Arial"/>
                <w:b/>
                <w:bCs/>
                <w:i/>
                <w:iCs/>
                <w:strike/>
                <w:color w:val="FF0000"/>
                <w:sz w:val="16"/>
                <w:szCs w:val="16"/>
                <w:lang w:val="de-DE"/>
              </w:rPr>
              <w:t>Direct AI/ML positioning</w:t>
            </w:r>
          </w:p>
          <w:p w14:paraId="4E447B05" w14:textId="77777777" w:rsidR="005854E1" w:rsidRPr="00405B50" w:rsidRDefault="005854E1" w:rsidP="00191AD8">
            <w:pPr>
              <w:rPr>
                <w:rFonts w:ascii="Arial" w:hAnsi="Arial" w:cs="Arial"/>
                <w:sz w:val="16"/>
                <w:szCs w:val="16"/>
                <w:lang w:val="de-DE"/>
              </w:rPr>
            </w:pPr>
            <w:r w:rsidRPr="00405B50">
              <w:rPr>
                <w:rFonts w:ascii="Arial" w:hAnsi="Arial" w:cs="Arial"/>
                <w:sz w:val="16"/>
                <w:szCs w:val="16"/>
                <w:lang w:val="de-DE"/>
              </w:rPr>
              <w:t>...</w:t>
            </w:r>
          </w:p>
          <w:p w14:paraId="34303B8B" w14:textId="77777777" w:rsidR="005854E1" w:rsidRPr="00405B50" w:rsidRDefault="005854E1" w:rsidP="00405B50">
            <w:pPr>
              <w:rPr>
                <w:rFonts w:ascii="Arial" w:hAnsi="Arial" w:cs="Arial"/>
                <w:b/>
                <w:bCs/>
                <w:sz w:val="16"/>
                <w:szCs w:val="16"/>
                <w:lang w:val="de-DE"/>
              </w:rPr>
            </w:pPr>
            <w:r w:rsidRPr="00405B50">
              <w:rPr>
                <w:rFonts w:ascii="Arial" w:hAnsi="Arial" w:cs="Arial"/>
                <w:b/>
                <w:bCs/>
                <w:sz w:val="16"/>
                <w:szCs w:val="16"/>
                <w:lang w:val="de-DE"/>
              </w:rPr>
              <w:t>6.4.2.2</w:t>
            </w:r>
            <w:r w:rsidRPr="00405B50">
              <w:rPr>
                <w:rFonts w:ascii="Arial" w:hAnsi="Arial" w:cs="Arial"/>
                <w:b/>
                <w:bCs/>
                <w:sz w:val="16"/>
                <w:szCs w:val="16"/>
                <w:lang w:val="de-DE"/>
              </w:rPr>
              <w:tab/>
              <w:t>Generalization Aspects</w:t>
            </w:r>
          </w:p>
          <w:p w14:paraId="39691D56" w14:textId="77777777" w:rsidR="005854E1" w:rsidRPr="00405B50" w:rsidRDefault="005854E1" w:rsidP="00191AD8">
            <w:pPr>
              <w:rPr>
                <w:rFonts w:ascii="Arial" w:eastAsia="Calibri" w:hAnsi="Arial" w:cs="Arial"/>
                <w:b/>
                <w:sz w:val="16"/>
                <w:szCs w:val="16"/>
                <w:lang w:val="de-DE"/>
              </w:rPr>
            </w:pPr>
            <w:r w:rsidRPr="00405B50">
              <w:rPr>
                <w:rFonts w:ascii="Arial" w:eastAsia="Calibri" w:hAnsi="Arial" w:cs="Arial"/>
                <w:b/>
                <w:i/>
                <w:iCs/>
                <w:sz w:val="16"/>
                <w:szCs w:val="16"/>
                <w:lang w:val="de-DE"/>
              </w:rPr>
              <w:t>Observations</w:t>
            </w:r>
            <w:r w:rsidRPr="00405B50">
              <w:rPr>
                <w:rFonts w:ascii="Arial" w:eastAsia="Calibri" w:hAnsi="Arial" w:cs="Arial"/>
                <w:b/>
                <w:sz w:val="16"/>
                <w:szCs w:val="16"/>
                <w:lang w:val="de-DE"/>
              </w:rPr>
              <w:t>:</w:t>
            </w:r>
          </w:p>
          <w:p w14:paraId="10973DEB" w14:textId="77777777" w:rsidR="005854E1" w:rsidRPr="00405B50" w:rsidRDefault="005854E1" w:rsidP="00191AD8">
            <w:pPr>
              <w:rPr>
                <w:rFonts w:ascii="Arial" w:eastAsia="MS Mincho" w:hAnsi="Arial" w:cs="Arial"/>
                <w:color w:val="000000"/>
                <w:sz w:val="16"/>
                <w:szCs w:val="16"/>
                <w:lang w:val="de-DE"/>
              </w:rPr>
            </w:pPr>
            <w:r w:rsidRPr="00405B50">
              <w:rPr>
                <w:rFonts w:ascii="Arial" w:eastAsia="MS Mincho" w:hAnsi="Arial" w:cs="Arial"/>
                <w:b/>
                <w:bCs/>
                <w:i/>
                <w:iCs/>
                <w:sz w:val="16"/>
                <w:szCs w:val="16"/>
                <w:lang w:val="de-DE"/>
              </w:rPr>
              <w:t>Direct AI/ML positioning</w:t>
            </w:r>
          </w:p>
          <w:p w14:paraId="152F1366" w14:textId="77777777" w:rsidR="005854E1" w:rsidRPr="00405B50" w:rsidRDefault="005854E1" w:rsidP="00191AD8">
            <w:pPr>
              <w:rPr>
                <w:rFonts w:ascii="Arial" w:hAnsi="Arial" w:cs="Arial"/>
                <w:sz w:val="16"/>
                <w:szCs w:val="16"/>
                <w:lang w:val="de-DE"/>
              </w:rPr>
            </w:pPr>
            <w:r w:rsidRPr="00405B50">
              <w:rPr>
                <w:rFonts w:ascii="Arial" w:hAnsi="Arial" w:cs="Arial"/>
                <w:sz w:val="16"/>
                <w:szCs w:val="16"/>
                <w:lang w:val="de-DE"/>
              </w:rPr>
              <w:t>...</w:t>
            </w:r>
          </w:p>
          <w:p w14:paraId="4A07FE48" w14:textId="77777777" w:rsidR="005854E1" w:rsidRPr="00405B50" w:rsidRDefault="005854E1" w:rsidP="00191AD8">
            <w:pPr>
              <w:rPr>
                <w:rFonts w:ascii="Arial" w:eastAsia="Calibri" w:hAnsi="Arial" w:cs="Arial"/>
                <w:b/>
                <w:bCs/>
                <w:i/>
                <w:iCs/>
                <w:sz w:val="16"/>
                <w:szCs w:val="16"/>
                <w:lang w:val="de-DE"/>
              </w:rPr>
            </w:pPr>
            <w:r w:rsidRPr="00405B50">
              <w:rPr>
                <w:rFonts w:ascii="Arial" w:eastAsia="Calibri" w:hAnsi="Arial" w:cs="Arial"/>
                <w:b/>
                <w:bCs/>
                <w:i/>
                <w:iCs/>
                <w:sz w:val="16"/>
                <w:szCs w:val="16"/>
                <w:lang w:val="de-DE"/>
              </w:rPr>
              <w:t>AI/ML assisted positioning</w:t>
            </w:r>
          </w:p>
          <w:p w14:paraId="2FB2DBE9" w14:textId="77777777" w:rsidR="005854E1" w:rsidRPr="00405B50" w:rsidRDefault="005854E1" w:rsidP="00191AD8">
            <w:pPr>
              <w:rPr>
                <w:rFonts w:ascii="Arial" w:eastAsia="Calibri" w:hAnsi="Arial" w:cs="Arial"/>
                <w:b/>
                <w:bCs/>
                <w:sz w:val="16"/>
                <w:szCs w:val="16"/>
                <w:lang w:val="de-DE"/>
              </w:rPr>
            </w:pPr>
            <w:r w:rsidRPr="00405B50">
              <w:rPr>
                <w:rFonts w:ascii="Arial" w:eastAsia="Calibri" w:hAnsi="Arial" w:cs="Arial"/>
                <w:b/>
                <w:bCs/>
                <w:sz w:val="16"/>
                <w:szCs w:val="16"/>
                <w:lang w:val="de-DE"/>
              </w:rPr>
              <w:t>...</w:t>
            </w:r>
          </w:p>
          <w:p w14:paraId="7BAB459E" w14:textId="77777777" w:rsidR="005854E1" w:rsidRPr="00405B50" w:rsidRDefault="005854E1" w:rsidP="00191AD8">
            <w:pPr>
              <w:rPr>
                <w:rFonts w:ascii="Arial" w:eastAsia="MS Mincho" w:hAnsi="Arial" w:cs="Arial"/>
                <w:color w:val="FF0000"/>
                <w:sz w:val="16"/>
                <w:szCs w:val="16"/>
                <w:lang w:val="de-DE"/>
              </w:rPr>
            </w:pPr>
            <w:r w:rsidRPr="00405B50">
              <w:rPr>
                <w:rFonts w:ascii="Arial" w:eastAsia="MS Mincho" w:hAnsi="Arial" w:cs="Arial"/>
                <w:b/>
                <w:bCs/>
                <w:i/>
                <w:iCs/>
                <w:color w:val="FF0000"/>
                <w:sz w:val="16"/>
                <w:szCs w:val="16"/>
                <w:lang w:val="de-DE"/>
              </w:rPr>
              <w:t xml:space="preserve">Both direct AI/ML positioning and </w:t>
            </w:r>
            <w:r w:rsidRPr="00405B50">
              <w:rPr>
                <w:rFonts w:ascii="Arial" w:eastAsia="Calibri" w:hAnsi="Arial" w:cs="Arial"/>
                <w:b/>
                <w:bCs/>
                <w:i/>
                <w:iCs/>
                <w:color w:val="FF0000"/>
                <w:sz w:val="16"/>
                <w:szCs w:val="16"/>
                <w:lang w:val="de-DE"/>
              </w:rPr>
              <w:t>AI/ML assisted positioning</w:t>
            </w:r>
          </w:p>
          <w:p w14:paraId="749AC5A4" w14:textId="77777777" w:rsidR="005854E1" w:rsidRPr="00405B50" w:rsidRDefault="005854E1" w:rsidP="00191AD8">
            <w:pPr>
              <w:rPr>
                <w:rFonts w:ascii="Arial" w:eastAsia="MS Mincho" w:hAnsi="Arial" w:cs="Arial"/>
                <w:sz w:val="16"/>
                <w:szCs w:val="16"/>
                <w:lang w:val="en-US" w:eastAsia="zh-CN"/>
              </w:rPr>
            </w:pPr>
            <w:r w:rsidRPr="00405B50">
              <w:rPr>
                <w:rFonts w:ascii="Arial" w:eastAsia="MS Mincho" w:hAnsi="Arial" w:cs="Arial"/>
                <w:sz w:val="16"/>
                <w:szCs w:val="16"/>
                <w:lang w:val="en-US" w:eastAsia="zh-CN"/>
              </w:rPr>
              <w:t xml:space="preserve">For </w:t>
            </w:r>
            <w:r w:rsidRPr="00405B50">
              <w:rPr>
                <w:rFonts w:ascii="Arial" w:eastAsia="MS Mincho" w:hAnsi="Arial" w:cs="Arial"/>
                <w:b/>
                <w:bCs/>
                <w:sz w:val="16"/>
                <w:szCs w:val="16"/>
                <w:u w:val="single"/>
                <w:lang w:val="en-US" w:eastAsia="zh-CN"/>
              </w:rPr>
              <w:t>both</w:t>
            </w:r>
            <w:r w:rsidRPr="00405B50">
              <w:rPr>
                <w:rFonts w:ascii="Arial" w:eastAsia="MS Mincho" w:hAnsi="Arial" w:cs="Arial"/>
                <w:sz w:val="16"/>
                <w:szCs w:val="16"/>
                <w:lang w:val="en-US" w:eastAsia="zh-CN"/>
              </w:rPr>
              <w:t xml:space="preserve"> direct AI/ML and AI/ML assisted positioning, evaluation results submitted show that with CIR model input for a trained model,</w:t>
            </w:r>
          </w:p>
          <w:p w14:paraId="709D1F88" w14:textId="77777777" w:rsidR="005854E1" w:rsidRPr="00405B50" w:rsidRDefault="005854E1" w:rsidP="00191AD8">
            <w:pPr>
              <w:ind w:left="568" w:hanging="284"/>
              <w:rPr>
                <w:rFonts w:ascii="Arial" w:eastAsia="MS Mincho" w:hAnsi="Arial" w:cs="Arial"/>
                <w:sz w:val="16"/>
                <w:szCs w:val="16"/>
                <w:lang w:val="en-US" w:eastAsia="zh-CN"/>
              </w:rPr>
            </w:pPr>
            <w:r w:rsidRPr="00405B50">
              <w:rPr>
                <w:rFonts w:ascii="Arial" w:eastAsia="MS Mincho" w:hAnsi="Arial" w:cs="Arial"/>
                <w:sz w:val="16"/>
                <w:szCs w:val="16"/>
                <w:lang w:val="en-US" w:eastAsia="zh-CN"/>
              </w:rPr>
              <w:t>-</w:t>
            </w:r>
            <w:r w:rsidRPr="00405B50">
              <w:rPr>
                <w:rFonts w:ascii="Arial" w:eastAsia="MS Mincho" w:hAnsi="Arial" w:cs="Arial"/>
                <w:sz w:val="16"/>
                <w:szCs w:val="16"/>
                <w:lang w:val="en-US" w:eastAsia="zh-CN"/>
              </w:rPr>
              <w:tab/>
              <w:t>For two SNR/SINR values S1 (dB) and S2 (dB), S1 ≥ S2 + 15 dB, positioning error of a model trained with data of S1 (dB) and tested with data of S2 (dB) is more than 5.75 times that of the model trained and tested with data of S1 (dB).</w:t>
            </w:r>
          </w:p>
          <w:p w14:paraId="56CFA774" w14:textId="77777777" w:rsidR="005854E1" w:rsidRPr="00405B50" w:rsidRDefault="005854E1" w:rsidP="00191AD8">
            <w:pPr>
              <w:ind w:left="568" w:hanging="284"/>
              <w:rPr>
                <w:rFonts w:ascii="Arial" w:eastAsia="MS Mincho" w:hAnsi="Arial" w:cs="Arial"/>
                <w:sz w:val="16"/>
                <w:szCs w:val="16"/>
                <w:lang w:val="en-US" w:eastAsia="zh-CN"/>
              </w:rPr>
            </w:pPr>
            <w:r w:rsidRPr="00405B50">
              <w:rPr>
                <w:rFonts w:ascii="Arial" w:eastAsia="MS Mincho" w:hAnsi="Arial" w:cs="Arial"/>
                <w:sz w:val="16"/>
                <w:szCs w:val="16"/>
                <w:lang w:val="en-US" w:eastAsia="zh-CN"/>
              </w:rPr>
              <w:lastRenderedPageBreak/>
              <w:t>-</w:t>
            </w:r>
            <w:r w:rsidRPr="00405B50">
              <w:rPr>
                <w:rFonts w:ascii="Arial" w:eastAsia="MS Mincho" w:hAnsi="Arial" w:cs="Arial"/>
                <w:sz w:val="16"/>
                <w:szCs w:val="16"/>
                <w:lang w:val="en-US" w:eastAsia="zh-CN"/>
              </w:rPr>
              <w:tab/>
              <w:t>For two SNR/SINR values S1 (dB) and S2 (dB), S1 ≤ S2 – 10 dB, the generalization performance of a model trained with data of S1 (dB) and tested with data of S2 (dB) is better than the performance of a model trained with data of S2 (dB) and tested with data of S1 (dB). Positioning error of a model trained with data of S2 (dB) and tested with data of S1 (dB) is more than 2.97 times that of the model trained with data of S1 (dB) and tested with data of S2 (dB).</w:t>
            </w:r>
          </w:p>
          <w:p w14:paraId="77580180" w14:textId="77777777" w:rsidR="005854E1" w:rsidRPr="00405B50" w:rsidRDefault="005854E1" w:rsidP="00191AD8">
            <w:pPr>
              <w:rPr>
                <w:rFonts w:ascii="Arial" w:eastAsia="MS Mincho" w:hAnsi="Arial" w:cs="Arial"/>
                <w:sz w:val="16"/>
                <w:szCs w:val="16"/>
                <w:lang w:val="en-US" w:eastAsia="zh-CN"/>
              </w:rPr>
            </w:pPr>
            <w:r w:rsidRPr="00405B50">
              <w:rPr>
                <w:rFonts w:ascii="Arial" w:eastAsia="MS Mincho" w:hAnsi="Arial" w:cs="Arial"/>
                <w:sz w:val="16"/>
                <w:szCs w:val="16"/>
                <w:lang w:val="en-US" w:eastAsia="zh-CN"/>
              </w:rPr>
              <w:t>Note: here the positioning error is the horizonal positioning error (meters) at CDF=90%.</w:t>
            </w:r>
          </w:p>
          <w:p w14:paraId="063E8F14" w14:textId="77777777" w:rsidR="005854E1" w:rsidRPr="00405B50" w:rsidRDefault="005854E1" w:rsidP="00191AD8">
            <w:pPr>
              <w:rPr>
                <w:rFonts w:ascii="Arial" w:eastAsia="Calibri" w:hAnsi="Arial" w:cs="Arial"/>
                <w:color w:val="FF0000"/>
                <w:sz w:val="16"/>
                <w:szCs w:val="16"/>
                <w:lang w:val="de-DE"/>
              </w:rPr>
            </w:pPr>
          </w:p>
          <w:p w14:paraId="2903A43F" w14:textId="77777777" w:rsidR="005854E1" w:rsidRPr="00405B50" w:rsidRDefault="005854E1" w:rsidP="00191AD8">
            <w:pPr>
              <w:rPr>
                <w:rFonts w:ascii="Arial" w:hAnsi="Arial" w:cs="Arial"/>
                <w:b/>
                <w:bCs/>
                <w:sz w:val="16"/>
                <w:szCs w:val="16"/>
              </w:rPr>
            </w:pPr>
            <w:r w:rsidRPr="00405B50">
              <w:rPr>
                <w:rFonts w:ascii="Arial" w:hAnsi="Arial" w:cs="Arial"/>
                <w:b/>
                <w:bCs/>
                <w:sz w:val="16"/>
                <w:szCs w:val="16"/>
              </w:rPr>
              <w:t>6.4.2.3</w:t>
            </w:r>
            <w:r w:rsidRPr="00405B50">
              <w:rPr>
                <w:rFonts w:ascii="Arial" w:hAnsi="Arial" w:cs="Arial"/>
                <w:b/>
                <w:bCs/>
                <w:sz w:val="16"/>
                <w:szCs w:val="16"/>
              </w:rPr>
              <w:tab/>
              <w:t>Fine-tuning</w:t>
            </w:r>
          </w:p>
          <w:p w14:paraId="0BC0BE49" w14:textId="77777777" w:rsidR="005854E1" w:rsidRPr="00405B50" w:rsidRDefault="005854E1" w:rsidP="00191AD8">
            <w:pPr>
              <w:rPr>
                <w:rFonts w:ascii="Arial" w:hAnsi="Arial" w:cs="Arial"/>
                <w:sz w:val="16"/>
                <w:szCs w:val="16"/>
                <w:lang w:val="de-DE"/>
              </w:rPr>
            </w:pPr>
            <w:r w:rsidRPr="00405B50">
              <w:rPr>
                <w:rFonts w:ascii="Arial" w:hAnsi="Arial" w:cs="Arial"/>
                <w:sz w:val="16"/>
                <w:szCs w:val="16"/>
                <w:lang w:val="de-DE"/>
              </w:rPr>
              <w:t>...</w:t>
            </w:r>
          </w:p>
          <w:p w14:paraId="7C50AF3D" w14:textId="77777777" w:rsidR="005854E1" w:rsidRPr="00405B50" w:rsidRDefault="005854E1" w:rsidP="00191AD8">
            <w:pPr>
              <w:rPr>
                <w:rFonts w:ascii="Arial" w:hAnsi="Arial" w:cs="Arial"/>
                <w:b/>
                <w:bCs/>
                <w:sz w:val="16"/>
                <w:szCs w:val="16"/>
              </w:rPr>
            </w:pPr>
            <w:r w:rsidRPr="00405B50">
              <w:rPr>
                <w:rFonts w:ascii="Arial" w:hAnsi="Arial" w:cs="Arial"/>
                <w:b/>
                <w:bCs/>
                <w:sz w:val="16"/>
                <w:szCs w:val="16"/>
              </w:rPr>
              <w:t>6.4.2.4</w:t>
            </w:r>
            <w:r w:rsidRPr="00405B50">
              <w:rPr>
                <w:rFonts w:ascii="Arial" w:hAnsi="Arial" w:cs="Arial"/>
                <w:b/>
                <w:bCs/>
                <w:sz w:val="16"/>
                <w:szCs w:val="16"/>
              </w:rPr>
              <w:tab/>
              <w:t>Model-input Size Reduction</w:t>
            </w:r>
          </w:p>
          <w:p w14:paraId="3E5FA442" w14:textId="77777777" w:rsidR="005854E1" w:rsidRPr="00405B50" w:rsidRDefault="005854E1" w:rsidP="00191AD8">
            <w:pPr>
              <w:rPr>
                <w:rFonts w:ascii="Arial" w:eastAsia="Calibri" w:hAnsi="Arial" w:cs="Arial"/>
                <w:b/>
                <w:sz w:val="16"/>
                <w:szCs w:val="16"/>
                <w:lang w:val="de-DE"/>
              </w:rPr>
            </w:pPr>
            <w:r w:rsidRPr="00405B50">
              <w:rPr>
                <w:rFonts w:ascii="Arial" w:eastAsia="Calibri" w:hAnsi="Arial" w:cs="Arial"/>
                <w:b/>
                <w:i/>
                <w:iCs/>
                <w:sz w:val="16"/>
                <w:szCs w:val="16"/>
                <w:lang w:val="de-DE"/>
              </w:rPr>
              <w:t>Observations</w:t>
            </w:r>
            <w:r w:rsidRPr="00405B50">
              <w:rPr>
                <w:rFonts w:ascii="Arial" w:eastAsia="Calibri" w:hAnsi="Arial" w:cs="Arial"/>
                <w:b/>
                <w:sz w:val="16"/>
                <w:szCs w:val="16"/>
                <w:lang w:val="de-DE"/>
              </w:rPr>
              <w:t>:</w:t>
            </w:r>
          </w:p>
          <w:p w14:paraId="762D3D6F" w14:textId="77777777" w:rsidR="005854E1" w:rsidRPr="00405B50" w:rsidRDefault="005854E1" w:rsidP="00191AD8">
            <w:pPr>
              <w:rPr>
                <w:rFonts w:ascii="Arial" w:eastAsia="MS Mincho" w:hAnsi="Arial" w:cs="Arial"/>
                <w:color w:val="000000"/>
                <w:sz w:val="16"/>
                <w:szCs w:val="16"/>
                <w:lang w:val="de-DE"/>
              </w:rPr>
            </w:pPr>
            <w:r w:rsidRPr="00405B50">
              <w:rPr>
                <w:rFonts w:ascii="Arial" w:eastAsia="MS Mincho" w:hAnsi="Arial" w:cs="Arial"/>
                <w:b/>
                <w:bCs/>
                <w:i/>
                <w:iCs/>
                <w:sz w:val="16"/>
                <w:szCs w:val="16"/>
                <w:lang w:val="de-DE"/>
              </w:rPr>
              <w:t>Direct AI/ML positioning</w:t>
            </w:r>
          </w:p>
          <w:p w14:paraId="409AB3C6" w14:textId="77777777" w:rsidR="005854E1" w:rsidRPr="00405B50" w:rsidRDefault="005854E1" w:rsidP="00191AD8">
            <w:pPr>
              <w:rPr>
                <w:rFonts w:ascii="Arial" w:hAnsi="Arial" w:cs="Arial"/>
                <w:sz w:val="16"/>
                <w:szCs w:val="16"/>
                <w:lang w:val="de-DE"/>
              </w:rPr>
            </w:pPr>
            <w:r w:rsidRPr="00405B50">
              <w:rPr>
                <w:rFonts w:ascii="Arial" w:hAnsi="Arial" w:cs="Arial"/>
                <w:sz w:val="16"/>
                <w:szCs w:val="16"/>
                <w:lang w:val="de-DE"/>
              </w:rPr>
              <w:t>...</w:t>
            </w:r>
          </w:p>
          <w:p w14:paraId="09EF94DD" w14:textId="77777777" w:rsidR="005854E1" w:rsidRPr="00405B50" w:rsidRDefault="005854E1" w:rsidP="00191AD8">
            <w:pPr>
              <w:rPr>
                <w:rFonts w:ascii="Arial" w:eastAsia="Calibri" w:hAnsi="Arial" w:cs="Arial"/>
                <w:b/>
                <w:bCs/>
                <w:i/>
                <w:iCs/>
                <w:sz w:val="16"/>
                <w:szCs w:val="16"/>
                <w:lang w:val="de-DE"/>
              </w:rPr>
            </w:pPr>
            <w:r w:rsidRPr="00405B50">
              <w:rPr>
                <w:rFonts w:ascii="Arial" w:eastAsia="Calibri" w:hAnsi="Arial" w:cs="Arial"/>
                <w:b/>
                <w:bCs/>
                <w:i/>
                <w:iCs/>
                <w:sz w:val="16"/>
                <w:szCs w:val="16"/>
                <w:lang w:val="de-DE"/>
              </w:rPr>
              <w:t>AI/ML assisted positioning</w:t>
            </w:r>
          </w:p>
          <w:p w14:paraId="472EA545" w14:textId="77777777" w:rsidR="005854E1" w:rsidRPr="00405B50" w:rsidRDefault="005854E1" w:rsidP="00191AD8">
            <w:pPr>
              <w:rPr>
                <w:rFonts w:ascii="Arial" w:eastAsia="MS Mincho" w:hAnsi="Arial" w:cs="Arial"/>
                <w:color w:val="FF0000"/>
                <w:sz w:val="16"/>
                <w:szCs w:val="16"/>
                <w:lang w:val="de-DE"/>
              </w:rPr>
            </w:pPr>
            <w:r w:rsidRPr="00405B50">
              <w:rPr>
                <w:rFonts w:ascii="Arial" w:eastAsia="MS Mincho" w:hAnsi="Arial" w:cs="Arial"/>
                <w:color w:val="FF0000"/>
                <w:sz w:val="16"/>
                <w:szCs w:val="16"/>
                <w:lang w:val="de-DE"/>
              </w:rPr>
              <w:t>For AI/ML assisted positioning, the positioning accuracy at model inference is affected by the type of model input.  Evaluation results show that if changing model input type while holding other parameters (e.g., N</w:t>
            </w:r>
            <w:r w:rsidRPr="00405B50">
              <w:rPr>
                <w:rFonts w:ascii="Arial" w:eastAsia="MS Mincho" w:hAnsi="Arial" w:cs="Arial"/>
                <w:color w:val="FF0000"/>
                <w:sz w:val="16"/>
                <w:szCs w:val="16"/>
                <w:vertAlign w:val="subscript"/>
                <w:lang w:val="de-DE"/>
              </w:rPr>
              <w:t>t</w:t>
            </w:r>
            <w:r w:rsidRPr="00405B50">
              <w:rPr>
                <w:rFonts w:ascii="Arial" w:eastAsia="MS Mincho" w:hAnsi="Arial" w:cs="Arial"/>
                <w:color w:val="FF0000"/>
                <w:sz w:val="16"/>
                <w:szCs w:val="16"/>
                <w:lang w:val="de-DE"/>
              </w:rPr>
              <w:t>, N'</w:t>
            </w:r>
            <w:r w:rsidRPr="00405B50">
              <w:rPr>
                <w:rFonts w:ascii="Arial" w:eastAsia="MS Mincho" w:hAnsi="Arial" w:cs="Arial"/>
                <w:color w:val="FF0000"/>
                <w:sz w:val="16"/>
                <w:szCs w:val="16"/>
                <w:vertAlign w:val="subscript"/>
                <w:lang w:val="de-DE"/>
              </w:rPr>
              <w:t>t</w:t>
            </w:r>
            <w:r w:rsidRPr="00405B50">
              <w:rPr>
                <w:rFonts w:ascii="Arial" w:eastAsia="MS Mincho" w:hAnsi="Arial" w:cs="Arial"/>
                <w:color w:val="FF0000"/>
                <w:sz w:val="16"/>
                <w:szCs w:val="16"/>
                <w:lang w:val="de-DE"/>
              </w:rPr>
              <w:t>, N</w:t>
            </w:r>
            <w:r w:rsidRPr="00405B50">
              <w:rPr>
                <w:rFonts w:ascii="Arial" w:eastAsia="MS Mincho" w:hAnsi="Arial" w:cs="Arial"/>
                <w:color w:val="FF0000"/>
                <w:sz w:val="16"/>
                <w:szCs w:val="16"/>
                <w:vertAlign w:val="subscript"/>
                <w:lang w:val="de-DE"/>
              </w:rPr>
              <w:t>port</w:t>
            </w:r>
            <w:r w:rsidRPr="00405B50">
              <w:rPr>
                <w:rFonts w:ascii="Arial" w:eastAsia="MS Mincho" w:hAnsi="Arial" w:cs="Arial"/>
                <w:color w:val="FF0000"/>
                <w:sz w:val="16"/>
                <w:szCs w:val="16"/>
                <w:lang w:val="de-DE"/>
              </w:rPr>
              <w:t>, N'</w:t>
            </w:r>
            <w:r w:rsidRPr="00405B50">
              <w:rPr>
                <w:rFonts w:ascii="Arial" w:eastAsia="MS Mincho" w:hAnsi="Arial" w:cs="Arial"/>
                <w:color w:val="FF0000"/>
                <w:sz w:val="16"/>
                <w:szCs w:val="16"/>
                <w:vertAlign w:val="subscript"/>
                <w:lang w:val="de-DE"/>
              </w:rPr>
              <w:t>TRP</w:t>
            </w:r>
            <w:r w:rsidRPr="00405B50">
              <w:rPr>
                <w:rFonts w:ascii="Arial" w:eastAsia="MS Mincho" w:hAnsi="Arial" w:cs="Arial"/>
                <w:color w:val="FF0000"/>
                <w:sz w:val="16"/>
                <w:szCs w:val="16"/>
                <w:lang w:val="de-DE"/>
              </w:rPr>
              <w:t xml:space="preserve">) the same, </w:t>
            </w:r>
          </w:p>
          <w:p w14:paraId="638730BD" w14:textId="77777777" w:rsidR="005854E1" w:rsidRPr="00405B50" w:rsidRDefault="005854E1" w:rsidP="00A67145">
            <w:pPr>
              <w:widowControl w:val="0"/>
              <w:numPr>
                <w:ilvl w:val="0"/>
                <w:numId w:val="150"/>
              </w:numPr>
              <w:jc w:val="both"/>
              <w:rPr>
                <w:rFonts w:ascii="Arial" w:eastAsia="MS Mincho" w:hAnsi="Arial" w:cs="Arial"/>
                <w:color w:val="FF0000"/>
                <w:sz w:val="16"/>
                <w:szCs w:val="16"/>
                <w:lang w:val="de-DE"/>
              </w:rPr>
            </w:pPr>
            <w:r w:rsidRPr="00405B50">
              <w:rPr>
                <w:rFonts w:ascii="Arial" w:eastAsia="MS Mincho" w:hAnsi="Arial" w:cs="Arial"/>
                <w:color w:val="FF0000"/>
                <w:sz w:val="16"/>
                <w:szCs w:val="16"/>
                <w:lang w:val="de-DE"/>
              </w:rPr>
              <w:t>The positioning error of PDP as model input is 1.17 ~ 1.63 times the positioning error of CIR as model input.</w:t>
            </w:r>
          </w:p>
          <w:p w14:paraId="5465B958" w14:textId="77777777" w:rsidR="005854E1" w:rsidRPr="00405B50" w:rsidRDefault="005854E1" w:rsidP="00A67145">
            <w:pPr>
              <w:widowControl w:val="0"/>
              <w:numPr>
                <w:ilvl w:val="0"/>
                <w:numId w:val="150"/>
              </w:numPr>
              <w:jc w:val="both"/>
              <w:rPr>
                <w:rFonts w:ascii="Arial" w:eastAsia="MS Mincho" w:hAnsi="Arial" w:cs="Arial"/>
                <w:color w:val="FF0000"/>
                <w:sz w:val="16"/>
                <w:szCs w:val="16"/>
                <w:lang w:val="de-DE"/>
              </w:rPr>
            </w:pPr>
            <w:r w:rsidRPr="00405B50">
              <w:rPr>
                <w:rFonts w:ascii="Arial" w:eastAsia="MS Mincho" w:hAnsi="Arial" w:cs="Arial"/>
                <w:color w:val="FF0000"/>
                <w:sz w:val="16"/>
                <w:szCs w:val="16"/>
                <w:lang w:val="de-DE"/>
              </w:rPr>
              <w:t>The positioning error of DP as model input is 1.33 ~ 2.01 times the positioning error of CIR as model input.</w:t>
            </w:r>
          </w:p>
          <w:p w14:paraId="5D845A61" w14:textId="77777777" w:rsidR="005854E1" w:rsidRPr="00405B50" w:rsidRDefault="005854E1" w:rsidP="00191AD8">
            <w:pPr>
              <w:rPr>
                <w:rFonts w:ascii="Arial" w:eastAsia="MS Mincho" w:hAnsi="Arial" w:cs="Arial"/>
                <w:sz w:val="16"/>
                <w:szCs w:val="16"/>
                <w:lang w:val="de-DE"/>
              </w:rPr>
            </w:pPr>
            <w:r w:rsidRPr="00405B50">
              <w:rPr>
                <w:rFonts w:ascii="Arial" w:eastAsia="MS Mincho" w:hAnsi="Arial" w:cs="Arial"/>
                <w:sz w:val="16"/>
                <w:szCs w:val="16"/>
                <w:lang w:val="de-DE"/>
              </w:rPr>
              <w:t>For AI/ML assisted positioning, with N</w:t>
            </w:r>
            <w:r w:rsidRPr="00405B50">
              <w:rPr>
                <w:rFonts w:ascii="Arial" w:eastAsia="MS Mincho" w:hAnsi="Arial" w:cs="Arial"/>
                <w:sz w:val="16"/>
                <w:szCs w:val="16"/>
                <w:vertAlign w:val="subscript"/>
                <w:lang w:val="de-DE"/>
              </w:rPr>
              <w:t>t</w:t>
            </w:r>
            <w:r w:rsidRPr="00405B50">
              <w:rPr>
                <w:rFonts w:ascii="Arial" w:eastAsia="MS Mincho" w:hAnsi="Arial" w:cs="Arial"/>
                <w:sz w:val="16"/>
                <w:szCs w:val="16"/>
                <w:lang w:val="de-DE"/>
              </w:rPr>
              <w:t xml:space="preserve"> consecutive time domain samples used as model input, evaluation results show that when CIR or PDP are used as model input, using different N</w:t>
            </w:r>
            <w:r w:rsidRPr="00405B50">
              <w:rPr>
                <w:rFonts w:ascii="Arial" w:eastAsia="MS Mincho" w:hAnsi="Arial" w:cs="Arial"/>
                <w:sz w:val="16"/>
                <w:szCs w:val="16"/>
                <w:vertAlign w:val="subscript"/>
                <w:lang w:val="de-DE"/>
              </w:rPr>
              <w:t>t</w:t>
            </w:r>
            <w:r w:rsidRPr="00405B50">
              <w:rPr>
                <w:rFonts w:ascii="Arial" w:eastAsia="MS Mincho" w:hAnsi="Arial" w:cs="Arial"/>
                <w:sz w:val="16"/>
                <w:szCs w:val="16"/>
                <w:lang w:val="de-DE"/>
              </w:rPr>
              <w:t xml:space="preserve"> while holding other parameters the same,  </w:t>
            </w:r>
          </w:p>
          <w:p w14:paraId="398C2D48" w14:textId="77777777" w:rsidR="005854E1" w:rsidRPr="00405B50" w:rsidRDefault="005854E1" w:rsidP="00191AD8">
            <w:pPr>
              <w:rPr>
                <w:rFonts w:ascii="Arial" w:hAnsi="Arial" w:cs="Arial"/>
                <w:sz w:val="16"/>
                <w:szCs w:val="16"/>
                <w:lang w:val="de-DE"/>
              </w:rPr>
            </w:pPr>
            <w:r w:rsidRPr="00405B50">
              <w:rPr>
                <w:rFonts w:ascii="Arial" w:hAnsi="Arial" w:cs="Arial"/>
                <w:sz w:val="16"/>
                <w:szCs w:val="16"/>
                <w:lang w:val="de-DE"/>
              </w:rPr>
              <w:t>...</w:t>
            </w:r>
          </w:p>
          <w:p w14:paraId="51B1E82A" w14:textId="77777777" w:rsidR="005854E1" w:rsidRPr="00405B50" w:rsidRDefault="005854E1" w:rsidP="00191AD8">
            <w:pPr>
              <w:rPr>
                <w:rFonts w:ascii="Arial" w:eastAsia="MS Mincho" w:hAnsi="Arial" w:cs="Arial"/>
                <w:color w:val="FF0000"/>
                <w:sz w:val="16"/>
                <w:szCs w:val="16"/>
                <w:lang w:val="de-DE"/>
              </w:rPr>
            </w:pPr>
            <w:r w:rsidRPr="00405B50">
              <w:rPr>
                <w:rFonts w:ascii="Arial" w:eastAsia="MS Mincho" w:hAnsi="Arial" w:cs="Arial"/>
                <w:b/>
                <w:bCs/>
                <w:i/>
                <w:iCs/>
                <w:color w:val="FF0000"/>
                <w:sz w:val="16"/>
                <w:szCs w:val="16"/>
                <w:lang w:val="de-DE"/>
              </w:rPr>
              <w:t xml:space="preserve">Both direct AI/ML positioning and </w:t>
            </w:r>
            <w:r w:rsidRPr="00405B50">
              <w:rPr>
                <w:rFonts w:ascii="Arial" w:eastAsia="Calibri" w:hAnsi="Arial" w:cs="Arial"/>
                <w:b/>
                <w:bCs/>
                <w:i/>
                <w:iCs/>
                <w:color w:val="FF0000"/>
                <w:sz w:val="16"/>
                <w:szCs w:val="16"/>
                <w:lang w:val="de-DE"/>
              </w:rPr>
              <w:t>AI/ML assisted positioning</w:t>
            </w:r>
          </w:p>
          <w:p w14:paraId="31247843" w14:textId="77777777" w:rsidR="005854E1" w:rsidRPr="00405B50" w:rsidRDefault="005854E1" w:rsidP="00191AD8">
            <w:pPr>
              <w:rPr>
                <w:rFonts w:ascii="Arial" w:eastAsia="MS Mincho" w:hAnsi="Arial" w:cs="Arial"/>
                <w:sz w:val="16"/>
                <w:szCs w:val="16"/>
                <w:lang w:val="de-DE"/>
              </w:rPr>
            </w:pPr>
            <w:r w:rsidRPr="00405B50">
              <w:rPr>
                <w:rFonts w:ascii="Arial" w:eastAsia="MS Mincho" w:hAnsi="Arial" w:cs="Arial"/>
                <w:sz w:val="16"/>
                <w:szCs w:val="16"/>
                <w:lang w:val="de-DE"/>
              </w:rPr>
              <w:t xml:space="preserve">Evaluation of TRP reduction for </w:t>
            </w:r>
            <w:r w:rsidRPr="00405B50">
              <w:rPr>
                <w:rFonts w:ascii="Arial" w:eastAsia="MS Mincho" w:hAnsi="Arial" w:cs="Arial"/>
                <w:b/>
                <w:bCs/>
                <w:sz w:val="16"/>
                <w:szCs w:val="16"/>
                <w:u w:val="single"/>
                <w:lang w:val="de-DE"/>
              </w:rPr>
              <w:t>both</w:t>
            </w:r>
            <w:r w:rsidRPr="00405B50">
              <w:rPr>
                <w:rFonts w:ascii="Arial" w:eastAsia="MS Mincho" w:hAnsi="Arial" w:cs="Arial"/>
                <w:sz w:val="16"/>
                <w:szCs w:val="16"/>
                <w:lang w:val="de-DE"/>
              </w:rPr>
              <w:t xml:space="preserve"> direct AI/ML positioning and AI/ML assisted positioning shows that: identification of the active TRPs is beneficial for Approach 2-B. Otherwise, the model suffers from poor performance in terms of positioning accuracy.</w:t>
            </w:r>
          </w:p>
          <w:p w14:paraId="5F26767C" w14:textId="77777777" w:rsidR="005854E1" w:rsidRPr="00405B50" w:rsidRDefault="005854E1" w:rsidP="00191AD8">
            <w:pPr>
              <w:rPr>
                <w:rFonts w:ascii="Arial" w:eastAsia="MS Mincho" w:hAnsi="Arial" w:cs="Arial"/>
                <w:sz w:val="16"/>
                <w:szCs w:val="16"/>
                <w:lang w:val="de-DE"/>
              </w:rPr>
            </w:pPr>
            <w:r w:rsidRPr="00405B50">
              <w:rPr>
                <w:rFonts w:ascii="Arial" w:eastAsia="MS Mincho" w:hAnsi="Arial" w:cs="Arial"/>
                <w:sz w:val="16"/>
                <w:szCs w:val="16"/>
                <w:lang w:val="en-US"/>
              </w:rPr>
              <w:t xml:space="preserve">For example, evaluation results from 4 sources show that the horizontal positioning accuracy is greater than 10 m if TRP identification is not included as model input. </w:t>
            </w:r>
          </w:p>
          <w:p w14:paraId="619C4C36" w14:textId="77777777" w:rsidR="005854E1" w:rsidRPr="00405B50" w:rsidRDefault="005854E1" w:rsidP="00405B50">
            <w:pPr>
              <w:rPr>
                <w:rFonts w:ascii="Arial" w:hAnsi="Arial" w:cs="Arial"/>
                <w:b/>
                <w:bCs/>
                <w:sz w:val="16"/>
                <w:szCs w:val="16"/>
                <w:lang w:val="de-DE"/>
              </w:rPr>
            </w:pPr>
            <w:r w:rsidRPr="00405B50">
              <w:rPr>
                <w:rFonts w:ascii="Arial" w:hAnsi="Arial" w:cs="Arial"/>
                <w:b/>
                <w:bCs/>
                <w:sz w:val="16"/>
                <w:szCs w:val="16"/>
                <w:lang w:val="de-DE"/>
              </w:rPr>
              <w:t>6.4.2.5</w:t>
            </w:r>
            <w:r w:rsidRPr="00405B50">
              <w:rPr>
                <w:rFonts w:ascii="Arial" w:hAnsi="Arial" w:cs="Arial"/>
                <w:b/>
                <w:bCs/>
                <w:sz w:val="16"/>
                <w:szCs w:val="16"/>
                <w:lang w:val="de-DE"/>
              </w:rPr>
              <w:tab/>
              <w:t>Non-ideal label(s)</w:t>
            </w:r>
          </w:p>
          <w:p w14:paraId="4424934D" w14:textId="77777777" w:rsidR="005854E1" w:rsidRPr="00405B50" w:rsidRDefault="005854E1" w:rsidP="00191AD8">
            <w:pPr>
              <w:rPr>
                <w:rFonts w:ascii="Arial" w:eastAsia="MS Mincho" w:hAnsi="Arial" w:cs="Arial"/>
                <w:b/>
                <w:sz w:val="16"/>
                <w:szCs w:val="16"/>
                <w:lang w:val="de-DE"/>
              </w:rPr>
            </w:pPr>
            <w:r w:rsidRPr="00405B50">
              <w:rPr>
                <w:rFonts w:ascii="Arial" w:eastAsia="MS Mincho" w:hAnsi="Arial" w:cs="Arial"/>
                <w:b/>
                <w:i/>
                <w:iCs/>
                <w:sz w:val="16"/>
                <w:szCs w:val="16"/>
                <w:lang w:val="de-DE"/>
              </w:rPr>
              <w:t>Observations</w:t>
            </w:r>
            <w:r w:rsidRPr="00405B50">
              <w:rPr>
                <w:rFonts w:ascii="Arial" w:eastAsia="MS Mincho" w:hAnsi="Arial" w:cs="Arial"/>
                <w:b/>
                <w:sz w:val="16"/>
                <w:szCs w:val="16"/>
                <w:lang w:val="de-DE"/>
              </w:rPr>
              <w:t>:</w:t>
            </w:r>
          </w:p>
          <w:p w14:paraId="4A33C917" w14:textId="77777777" w:rsidR="005854E1" w:rsidRPr="00405B50" w:rsidRDefault="005854E1" w:rsidP="00191AD8">
            <w:pPr>
              <w:rPr>
                <w:rFonts w:ascii="Arial" w:eastAsia="MS Mincho" w:hAnsi="Arial" w:cs="Arial"/>
                <w:color w:val="000000"/>
                <w:sz w:val="16"/>
                <w:szCs w:val="16"/>
                <w:lang w:val="de-DE"/>
              </w:rPr>
            </w:pPr>
            <w:r w:rsidRPr="00405B50">
              <w:rPr>
                <w:rFonts w:ascii="Arial" w:eastAsia="MS Mincho" w:hAnsi="Arial" w:cs="Arial"/>
                <w:b/>
                <w:bCs/>
                <w:i/>
                <w:iCs/>
                <w:sz w:val="16"/>
                <w:szCs w:val="16"/>
                <w:lang w:val="de-DE"/>
              </w:rPr>
              <w:t>Direct AI/ML positioning</w:t>
            </w:r>
          </w:p>
          <w:p w14:paraId="3FB64236" w14:textId="77777777" w:rsidR="005854E1" w:rsidRPr="00405B50" w:rsidRDefault="005854E1" w:rsidP="00191AD8">
            <w:pPr>
              <w:rPr>
                <w:rFonts w:ascii="Arial" w:eastAsia="MS Mincho" w:hAnsi="Arial" w:cs="Arial"/>
                <w:sz w:val="16"/>
                <w:szCs w:val="16"/>
                <w:lang w:val="de-DE"/>
              </w:rPr>
            </w:pPr>
            <w:r w:rsidRPr="00405B50">
              <w:rPr>
                <w:rFonts w:ascii="Arial" w:eastAsia="MS Mincho" w:hAnsi="Arial" w:cs="Arial"/>
                <w:sz w:val="16"/>
                <w:szCs w:val="16"/>
                <w:lang w:val="de-DE"/>
              </w:rPr>
              <w:t xml:space="preserve">Evaluation shows that direct AI/ML positioning is robust to certain </w:t>
            </w:r>
            <w:r w:rsidRPr="00405B50">
              <w:rPr>
                <w:rFonts w:ascii="Arial" w:eastAsia="MS Mincho" w:hAnsi="Arial" w:cs="Arial"/>
                <w:i/>
                <w:iCs/>
                <w:sz w:val="16"/>
                <w:szCs w:val="16"/>
                <w:lang w:val="de-DE"/>
              </w:rPr>
              <w:t>label error</w:t>
            </w:r>
            <w:r w:rsidRPr="00405B50">
              <w:rPr>
                <w:rFonts w:ascii="Arial" w:eastAsia="MS Mincho" w:hAnsi="Arial" w:cs="Arial"/>
                <w:sz w:val="16"/>
                <w:szCs w:val="16"/>
                <w:lang w:val="de-DE"/>
              </w:rPr>
              <w:t xml:space="preserve"> based on evaluation results of L in the range of (0, 5) meter. The exact range of label error that can be tolerated depends on the positioning accuracy requirement, where tighter positioning accuracy requirement demands smaller label error.</w:t>
            </w:r>
          </w:p>
          <w:p w14:paraId="4E16D6B3" w14:textId="77777777" w:rsidR="005854E1" w:rsidRPr="00405B50" w:rsidRDefault="005854E1" w:rsidP="00191AD8">
            <w:pPr>
              <w:rPr>
                <w:rFonts w:ascii="Arial" w:eastAsia="MS Mincho" w:hAnsi="Arial" w:cs="Arial"/>
                <w:strike/>
                <w:color w:val="FF0000"/>
                <w:sz w:val="16"/>
                <w:szCs w:val="16"/>
                <w:lang w:val="de-DE"/>
              </w:rPr>
            </w:pPr>
            <w:r w:rsidRPr="00405B50">
              <w:rPr>
                <w:rFonts w:ascii="Arial" w:eastAsia="MS Mincho" w:hAnsi="Arial" w:cs="Arial"/>
                <w:strike/>
                <w:color w:val="FF0000"/>
                <w:sz w:val="16"/>
                <w:szCs w:val="16"/>
                <w:lang w:val="de-DE"/>
              </w:rPr>
              <w:t>For AI/ML based positioning, evaluation results show that semi-supervised learning is helpful for improving the positioning accuracy when the same amount of ideal labelled data is used for supervised learning, and the number of ideal labelled data is limited.</w:t>
            </w:r>
          </w:p>
          <w:p w14:paraId="5D377CFF" w14:textId="77777777" w:rsidR="005854E1" w:rsidRPr="00405B50" w:rsidRDefault="005854E1" w:rsidP="00191AD8">
            <w:pPr>
              <w:rPr>
                <w:rFonts w:ascii="Arial" w:eastAsia="Calibri" w:hAnsi="Arial" w:cs="Arial"/>
                <w:strike/>
                <w:color w:val="FF0000"/>
                <w:sz w:val="16"/>
                <w:szCs w:val="16"/>
                <w:lang w:val="de-DE" w:eastAsia="zh-CN"/>
              </w:rPr>
            </w:pPr>
            <w:r w:rsidRPr="00405B50">
              <w:rPr>
                <w:rFonts w:ascii="Arial" w:eastAsia="MS Mincho" w:hAnsi="Arial" w:cs="Arial"/>
                <w:strike/>
                <w:color w:val="FF0000"/>
                <w:sz w:val="16"/>
                <w:szCs w:val="16"/>
                <w:lang w:val="de-DE" w:eastAsia="zh-CN"/>
              </w:rPr>
              <w:t xml:space="preserve">Regarding ground truth label generation for AI/ML based positioning, multiple sources submitted evaluation results on the impact of ground truth label for training obtained by existing </w:t>
            </w:r>
            <w:r w:rsidRPr="00405B50">
              <w:rPr>
                <w:rFonts w:ascii="Arial" w:eastAsia="MS Mincho" w:hAnsi="Arial" w:cs="Arial"/>
                <w:strike/>
                <w:color w:val="FF0000"/>
                <w:sz w:val="16"/>
                <w:szCs w:val="16"/>
                <w:lang w:val="de-DE"/>
              </w:rPr>
              <w:t>NR RAT-dependent positioning methods. Feasibility and performance benefit of utilizing ground truth label for training estimated by</w:t>
            </w:r>
            <w:r w:rsidRPr="00405B50">
              <w:rPr>
                <w:rFonts w:ascii="Arial" w:eastAsia="MS Mincho" w:hAnsi="Arial" w:cs="Arial"/>
                <w:strike/>
                <w:color w:val="FF0000"/>
                <w:sz w:val="16"/>
                <w:szCs w:val="16"/>
                <w:lang w:val="de-DE" w:eastAsia="zh-CN"/>
              </w:rPr>
              <w:t xml:space="preserve"> existing </w:t>
            </w:r>
            <w:r w:rsidRPr="00405B50">
              <w:rPr>
                <w:rFonts w:ascii="Arial" w:eastAsia="MS Mincho" w:hAnsi="Arial" w:cs="Arial"/>
                <w:strike/>
                <w:color w:val="FF0000"/>
                <w:sz w:val="16"/>
                <w:szCs w:val="16"/>
                <w:lang w:val="de-DE"/>
              </w:rPr>
              <w:t>NR RAT-dependent positioning methods are observed.</w:t>
            </w:r>
          </w:p>
          <w:p w14:paraId="34C33906" w14:textId="77777777" w:rsidR="005854E1" w:rsidRPr="00405B50" w:rsidRDefault="005854E1" w:rsidP="00A67145">
            <w:pPr>
              <w:numPr>
                <w:ilvl w:val="0"/>
                <w:numId w:val="151"/>
              </w:numPr>
              <w:rPr>
                <w:rFonts w:ascii="Arial" w:eastAsia="MS Mincho" w:hAnsi="Arial" w:cs="Arial"/>
                <w:strike/>
                <w:color w:val="FF0000"/>
                <w:sz w:val="16"/>
                <w:szCs w:val="16"/>
                <w:lang w:val="de-DE"/>
              </w:rPr>
            </w:pPr>
            <w:r w:rsidRPr="00405B50">
              <w:rPr>
                <w:rFonts w:ascii="Arial" w:eastAsia="MS Mincho" w:hAnsi="Arial" w:cs="Arial"/>
                <w:strike/>
                <w:color w:val="FF0000"/>
                <w:sz w:val="16"/>
                <w:szCs w:val="16"/>
                <w:lang w:val="de-DE"/>
              </w:rPr>
              <w:t>Source 1 evaluated in InF-DH {40%, 2, 2} and showed that AI/ML model can be trained with noisy labels along with the corresponding quality estimated by the legacy positioning methods, to improve positioning performance from 3.73m@90% (5k ideal label) to 1.72m @90% (5k ideal label + 20k noisy label). It also showed that the performance benefit compared to semi-supervised training of 2.78m @90% (5k ideal label + 20k unlabeled data). Note that training data weighting is used with label quality indicator.</w:t>
            </w:r>
          </w:p>
          <w:p w14:paraId="406F74B8" w14:textId="77777777" w:rsidR="005854E1" w:rsidRPr="00405B50" w:rsidRDefault="005854E1" w:rsidP="00A67145">
            <w:pPr>
              <w:numPr>
                <w:ilvl w:val="0"/>
                <w:numId w:val="151"/>
              </w:numPr>
              <w:rPr>
                <w:rFonts w:ascii="Arial" w:eastAsia="MS Mincho" w:hAnsi="Arial" w:cs="Arial"/>
                <w:strike/>
                <w:color w:val="FF0000"/>
                <w:sz w:val="16"/>
                <w:szCs w:val="16"/>
                <w:lang w:val="de-DE"/>
              </w:rPr>
            </w:pPr>
            <w:r w:rsidRPr="00405B50">
              <w:rPr>
                <w:rFonts w:ascii="Arial" w:eastAsia="MS Mincho" w:hAnsi="Arial" w:cs="Arial"/>
                <w:strike/>
                <w:color w:val="FF0000"/>
                <w:sz w:val="16"/>
                <w:szCs w:val="16"/>
                <w:lang w:val="de-DE"/>
              </w:rPr>
              <w:t xml:space="preserve">Source 2 evaluated in InF-DH {60%, 6, 2} and showed that the performance of direct AI/ML positioning with 1k clean labelled samples improves from 13.76m to 8.72m when considering additional 350 samples that are labelled using NR-RAT positioning method. Note that the label error is up to 3.5m. </w:t>
            </w:r>
          </w:p>
          <w:p w14:paraId="0EDD9302" w14:textId="77777777" w:rsidR="005854E1" w:rsidRPr="00405B50" w:rsidRDefault="005854E1" w:rsidP="00A67145">
            <w:pPr>
              <w:numPr>
                <w:ilvl w:val="0"/>
                <w:numId w:val="151"/>
              </w:numPr>
              <w:rPr>
                <w:rFonts w:ascii="Arial" w:eastAsia="MS Mincho" w:hAnsi="Arial" w:cs="Arial"/>
                <w:strike/>
                <w:color w:val="FF0000"/>
                <w:sz w:val="16"/>
                <w:szCs w:val="16"/>
                <w:lang w:val="de-DE"/>
              </w:rPr>
            </w:pPr>
            <w:r w:rsidRPr="00405B50">
              <w:rPr>
                <w:rFonts w:ascii="Arial" w:eastAsia="MS Mincho" w:hAnsi="Arial" w:cs="Arial"/>
                <w:strike/>
                <w:color w:val="FF0000"/>
                <w:sz w:val="16"/>
                <w:szCs w:val="16"/>
                <w:lang w:val="de-DE"/>
              </w:rPr>
              <w:t>Source 3 evaluated in both InF-DH {60%, 6, 2} and InF-DH {40%, 2, 2} and showed performance loss when compared to all ideal label case. For example it showed in InF-DH {40%, 2, 2} the accuracy degrades from 0.39m @90% (100% ideal label) to 2.10m @90% (50% ideal label and 50% label obtained by existing DL-TDOA scheme). Note that noisy label is treated the same as ideal label in training.</w:t>
            </w:r>
          </w:p>
          <w:p w14:paraId="655D773C" w14:textId="77777777" w:rsidR="005854E1" w:rsidRPr="00405B50" w:rsidRDefault="005854E1" w:rsidP="00191AD8">
            <w:pPr>
              <w:rPr>
                <w:rFonts w:ascii="Arial" w:eastAsia="MS Mincho" w:hAnsi="Arial" w:cs="Arial"/>
                <w:sz w:val="16"/>
                <w:szCs w:val="16"/>
                <w:lang w:val="de-DE"/>
              </w:rPr>
            </w:pPr>
            <w:r w:rsidRPr="00405B50">
              <w:rPr>
                <w:rFonts w:ascii="Arial" w:eastAsia="MS Mincho" w:hAnsi="Arial" w:cs="Arial"/>
                <w:sz w:val="16"/>
                <w:szCs w:val="16"/>
                <w:lang w:val="de-DE"/>
              </w:rPr>
              <w:t>...</w:t>
            </w:r>
          </w:p>
          <w:p w14:paraId="4DB42BE3" w14:textId="77777777" w:rsidR="005854E1" w:rsidRPr="00405B50" w:rsidRDefault="005854E1" w:rsidP="00191AD8">
            <w:pPr>
              <w:rPr>
                <w:rFonts w:ascii="Arial" w:eastAsia="Calibri" w:hAnsi="Arial" w:cs="Arial"/>
                <w:b/>
                <w:bCs/>
                <w:i/>
                <w:iCs/>
                <w:sz w:val="16"/>
                <w:szCs w:val="16"/>
                <w:lang w:val="de-DE"/>
              </w:rPr>
            </w:pPr>
            <w:r w:rsidRPr="00405B50">
              <w:rPr>
                <w:rFonts w:ascii="Arial" w:eastAsia="Calibri" w:hAnsi="Arial" w:cs="Arial"/>
                <w:b/>
                <w:bCs/>
                <w:i/>
                <w:iCs/>
                <w:sz w:val="16"/>
                <w:szCs w:val="16"/>
                <w:lang w:val="de-DE"/>
              </w:rPr>
              <w:t>AI/ML assisted positioning</w:t>
            </w:r>
          </w:p>
          <w:p w14:paraId="14047D4F" w14:textId="77777777" w:rsidR="005854E1" w:rsidRPr="00405B50" w:rsidRDefault="005854E1" w:rsidP="00191AD8">
            <w:pPr>
              <w:rPr>
                <w:rFonts w:ascii="Arial" w:eastAsia="MS Mincho" w:hAnsi="Arial" w:cs="Arial"/>
                <w:sz w:val="16"/>
                <w:szCs w:val="16"/>
                <w:lang w:val="de-DE"/>
              </w:rPr>
            </w:pPr>
            <w:r w:rsidRPr="00405B50">
              <w:rPr>
                <w:rFonts w:ascii="Arial" w:eastAsia="MS Mincho" w:hAnsi="Arial" w:cs="Arial"/>
                <w:sz w:val="16"/>
                <w:szCs w:val="16"/>
                <w:lang w:val="de-DE"/>
              </w:rPr>
              <w:t>...</w:t>
            </w:r>
          </w:p>
          <w:p w14:paraId="0B47EB03" w14:textId="77777777" w:rsidR="005854E1" w:rsidRPr="00405B50" w:rsidRDefault="005854E1" w:rsidP="00191AD8">
            <w:pPr>
              <w:rPr>
                <w:rFonts w:ascii="Arial" w:eastAsia="MS Mincho" w:hAnsi="Arial" w:cs="Arial"/>
                <w:color w:val="FF0000"/>
                <w:sz w:val="16"/>
                <w:szCs w:val="16"/>
                <w:lang w:val="de-DE"/>
              </w:rPr>
            </w:pPr>
            <w:r w:rsidRPr="00405B50">
              <w:rPr>
                <w:rFonts w:ascii="Arial" w:eastAsia="MS Mincho" w:hAnsi="Arial" w:cs="Arial"/>
                <w:b/>
                <w:bCs/>
                <w:i/>
                <w:iCs/>
                <w:color w:val="FF0000"/>
                <w:sz w:val="16"/>
                <w:szCs w:val="16"/>
                <w:lang w:val="de-DE"/>
              </w:rPr>
              <w:t>Other</w:t>
            </w:r>
          </w:p>
          <w:p w14:paraId="610F851D" w14:textId="77777777" w:rsidR="005854E1" w:rsidRPr="00405B50" w:rsidRDefault="005854E1" w:rsidP="00191AD8">
            <w:pPr>
              <w:rPr>
                <w:rFonts w:ascii="Arial" w:eastAsia="MS Mincho" w:hAnsi="Arial" w:cs="Arial"/>
                <w:color w:val="FF0000"/>
                <w:sz w:val="16"/>
                <w:szCs w:val="16"/>
                <w:lang w:val="de-DE"/>
              </w:rPr>
            </w:pPr>
            <w:r w:rsidRPr="00405B50">
              <w:rPr>
                <w:rFonts w:ascii="Arial" w:eastAsia="MS Mincho" w:hAnsi="Arial" w:cs="Arial"/>
                <w:color w:val="FF0000"/>
                <w:sz w:val="16"/>
                <w:szCs w:val="16"/>
                <w:lang w:val="de-DE"/>
              </w:rPr>
              <w:t>For AI/ML based positioning, evaluation results show that semi-supervised learning is helpful for improving the positioning accuracy when the same amount of ideal labelled data is used for supervised learning, and the number of ideal labelled data is limited.</w:t>
            </w:r>
          </w:p>
          <w:p w14:paraId="2B729E20" w14:textId="77777777" w:rsidR="005854E1" w:rsidRPr="00405B50" w:rsidRDefault="005854E1" w:rsidP="00191AD8">
            <w:pPr>
              <w:rPr>
                <w:rFonts w:ascii="Arial" w:eastAsia="Calibri" w:hAnsi="Arial" w:cs="Arial"/>
                <w:color w:val="FF0000"/>
                <w:sz w:val="16"/>
                <w:szCs w:val="16"/>
                <w:lang w:val="de-DE" w:eastAsia="zh-CN"/>
              </w:rPr>
            </w:pPr>
            <w:r w:rsidRPr="00405B50">
              <w:rPr>
                <w:rFonts w:ascii="Arial" w:eastAsia="MS Mincho" w:hAnsi="Arial" w:cs="Arial"/>
                <w:color w:val="FF0000"/>
                <w:sz w:val="16"/>
                <w:szCs w:val="16"/>
                <w:lang w:val="de-DE" w:eastAsia="zh-CN"/>
              </w:rPr>
              <w:t xml:space="preserve">Regarding ground truth label generation for AI/ML based positioning, multiple sources submitted evaluation results on the impact of ground truth label for training obtained by existing </w:t>
            </w:r>
            <w:r w:rsidRPr="00405B50">
              <w:rPr>
                <w:rFonts w:ascii="Arial" w:eastAsia="MS Mincho" w:hAnsi="Arial" w:cs="Arial"/>
                <w:color w:val="FF0000"/>
                <w:sz w:val="16"/>
                <w:szCs w:val="16"/>
                <w:lang w:val="de-DE"/>
              </w:rPr>
              <w:t>NR RAT-dependent positioning methods. Feasibility and performance benefit of utilizing ground truth label for training estimated by</w:t>
            </w:r>
            <w:r w:rsidRPr="00405B50">
              <w:rPr>
                <w:rFonts w:ascii="Arial" w:eastAsia="MS Mincho" w:hAnsi="Arial" w:cs="Arial"/>
                <w:color w:val="FF0000"/>
                <w:sz w:val="16"/>
                <w:szCs w:val="16"/>
                <w:lang w:val="de-DE" w:eastAsia="zh-CN"/>
              </w:rPr>
              <w:t xml:space="preserve"> existing </w:t>
            </w:r>
            <w:r w:rsidRPr="00405B50">
              <w:rPr>
                <w:rFonts w:ascii="Arial" w:eastAsia="MS Mincho" w:hAnsi="Arial" w:cs="Arial"/>
                <w:color w:val="FF0000"/>
                <w:sz w:val="16"/>
                <w:szCs w:val="16"/>
                <w:lang w:val="de-DE"/>
              </w:rPr>
              <w:t>NR RAT-dependent positioning methods are observed.</w:t>
            </w:r>
          </w:p>
          <w:p w14:paraId="6728FD60" w14:textId="77777777" w:rsidR="005854E1" w:rsidRPr="00405B50" w:rsidRDefault="005854E1" w:rsidP="00A67145">
            <w:pPr>
              <w:numPr>
                <w:ilvl w:val="0"/>
                <w:numId w:val="151"/>
              </w:numPr>
              <w:rPr>
                <w:rFonts w:ascii="Arial" w:eastAsia="MS Mincho" w:hAnsi="Arial" w:cs="Arial"/>
                <w:color w:val="FF0000"/>
                <w:sz w:val="16"/>
                <w:szCs w:val="16"/>
                <w:lang w:val="de-DE"/>
              </w:rPr>
            </w:pPr>
            <w:r w:rsidRPr="00405B50">
              <w:rPr>
                <w:rFonts w:ascii="Arial" w:eastAsia="MS Mincho" w:hAnsi="Arial" w:cs="Arial"/>
                <w:color w:val="FF0000"/>
                <w:sz w:val="16"/>
                <w:szCs w:val="16"/>
                <w:lang w:val="de-DE"/>
              </w:rPr>
              <w:t>Source 1 evaluated in InF-DH {40%, 2, 2} and showed that AI/ML model can be trained with noisy labels along with the corresponding quality estimated by the legacy positioning methods, to improve positioning performance from 3.73m@90% (5k ideal label) to 1.72m @90% (5k ideal label + 20k noisy label). It also showed that the performance benefit compared to semi-supervised training of 2.78m @90% (5k ideal label + 20k unlabeled data). Note that training data weighting is used with label quality indicator.</w:t>
            </w:r>
          </w:p>
          <w:p w14:paraId="2A8D3E38" w14:textId="77777777" w:rsidR="005854E1" w:rsidRPr="00405B50" w:rsidRDefault="005854E1" w:rsidP="00A67145">
            <w:pPr>
              <w:numPr>
                <w:ilvl w:val="0"/>
                <w:numId w:val="151"/>
              </w:numPr>
              <w:rPr>
                <w:rFonts w:ascii="Arial" w:eastAsia="MS Mincho" w:hAnsi="Arial" w:cs="Arial"/>
                <w:color w:val="FF0000"/>
                <w:sz w:val="16"/>
                <w:szCs w:val="16"/>
                <w:lang w:val="de-DE"/>
              </w:rPr>
            </w:pPr>
            <w:r w:rsidRPr="00405B50">
              <w:rPr>
                <w:rFonts w:ascii="Arial" w:eastAsia="MS Mincho" w:hAnsi="Arial" w:cs="Arial"/>
                <w:color w:val="FF0000"/>
                <w:sz w:val="16"/>
                <w:szCs w:val="16"/>
                <w:lang w:val="de-DE"/>
              </w:rPr>
              <w:t xml:space="preserve">Source 2 evaluated in InF-DH {60%, 6, 2} and showed that the performance of direct AI/ML positioning with 1k clean labelled samples improves from 13.76m to 8.72m when considering additional 350 samples that are labelled using NR-RAT positioning method. Note that the label error is up to 3.5m. </w:t>
            </w:r>
          </w:p>
          <w:p w14:paraId="0798A4DE" w14:textId="77777777" w:rsidR="005854E1" w:rsidRPr="00405B50" w:rsidRDefault="005854E1" w:rsidP="00A67145">
            <w:pPr>
              <w:numPr>
                <w:ilvl w:val="0"/>
                <w:numId w:val="151"/>
              </w:numPr>
              <w:rPr>
                <w:rFonts w:ascii="Arial" w:eastAsia="MS Mincho" w:hAnsi="Arial" w:cs="Arial"/>
                <w:color w:val="FF0000"/>
                <w:sz w:val="16"/>
                <w:szCs w:val="16"/>
                <w:lang w:val="de-DE"/>
              </w:rPr>
            </w:pPr>
            <w:r w:rsidRPr="00405B50">
              <w:rPr>
                <w:rFonts w:ascii="Arial" w:eastAsia="MS Mincho" w:hAnsi="Arial" w:cs="Arial"/>
                <w:color w:val="FF0000"/>
                <w:sz w:val="16"/>
                <w:szCs w:val="16"/>
                <w:lang w:val="de-DE"/>
              </w:rPr>
              <w:t>Source 3 evaluated in both InF-DH {60%, 6, 2} and InF-DH {40%, 2, 2} and showed performance loss when compared to all ideal label case. For example it showed in InF-DH {40%, 2, 2} the accuracy degrades from 0.39m @90% (100% ideal label) to 2.10m @90% (50% ideal label and 50% label obtained by existing DL-TDOA scheme). Note that noisy label is treated the same as ideal label in training.</w:t>
            </w:r>
          </w:p>
          <w:p w14:paraId="05F986CF" w14:textId="77777777" w:rsidR="005854E1" w:rsidRPr="00405B50" w:rsidRDefault="005854E1" w:rsidP="00191AD8">
            <w:pPr>
              <w:rPr>
                <w:rFonts w:ascii="Arial" w:eastAsia="MS Mincho" w:hAnsi="Arial" w:cs="Arial"/>
                <w:color w:val="FF0000"/>
                <w:sz w:val="16"/>
                <w:szCs w:val="16"/>
                <w:lang w:val="de-DE"/>
              </w:rPr>
            </w:pPr>
          </w:p>
          <w:p w14:paraId="50B5627A" w14:textId="77777777" w:rsidR="005854E1" w:rsidRPr="00405B50" w:rsidRDefault="005854E1" w:rsidP="00191AD8">
            <w:pPr>
              <w:jc w:val="center"/>
              <w:rPr>
                <w:rFonts w:ascii="Arial" w:eastAsia="SimSun" w:hAnsi="Arial" w:cs="Arial"/>
                <w:b/>
                <w:iCs/>
                <w:color w:val="FF0000"/>
                <w:sz w:val="16"/>
                <w:szCs w:val="16"/>
                <w:lang w:val="de-DE"/>
              </w:rPr>
            </w:pPr>
            <w:r w:rsidRPr="00405B50">
              <w:rPr>
                <w:rFonts w:ascii="Arial" w:eastAsia="SimSun" w:hAnsi="Arial" w:cs="Arial"/>
                <w:b/>
                <w:iCs/>
                <w:color w:val="FF0000"/>
                <w:sz w:val="16"/>
                <w:szCs w:val="16"/>
                <w:lang w:val="de-DE"/>
              </w:rPr>
              <w:t>&lt;Unchanged text is omitted&gt;</w:t>
            </w:r>
          </w:p>
          <w:p w14:paraId="598FD3C3" w14:textId="77777777" w:rsidR="005854E1" w:rsidRPr="00405B50" w:rsidRDefault="005854E1" w:rsidP="00191AD8">
            <w:pPr>
              <w:rPr>
                <w:rFonts w:ascii="Arial" w:eastAsia="MS Mincho" w:hAnsi="Arial" w:cs="Arial"/>
                <w:color w:val="FF0000"/>
                <w:sz w:val="16"/>
                <w:szCs w:val="16"/>
                <w:lang w:val="de-DE"/>
              </w:rPr>
            </w:pPr>
            <w:r w:rsidRPr="00405B50">
              <w:rPr>
                <w:rFonts w:ascii="Arial" w:eastAsia="Calibri" w:hAnsi="Arial" w:cs="Arial"/>
                <w:sz w:val="16"/>
                <w:szCs w:val="16"/>
                <w:lang w:val="de-DE"/>
              </w:rPr>
              <w:t>=======================  End of text proposal to TR 38.843 v1.2.0 ====================</w:t>
            </w:r>
          </w:p>
        </w:tc>
      </w:tr>
    </w:tbl>
    <w:p w14:paraId="25D4D9A0" w14:textId="77777777" w:rsidR="005854E1" w:rsidRPr="005854E1" w:rsidRDefault="005854E1" w:rsidP="005854E1"/>
    <w:p w14:paraId="71ADA045" w14:textId="090CA2BE" w:rsidR="005854E1" w:rsidRPr="005854E1" w:rsidRDefault="00191AD8" w:rsidP="005854E1">
      <w:pPr>
        <w:rPr>
          <w:lang w:eastAsia="x-none"/>
        </w:rPr>
      </w:pPr>
      <w:r w:rsidRPr="00191AD8">
        <w:rPr>
          <w:highlight w:val="green"/>
          <w:lang w:eastAsia="x-none"/>
        </w:rPr>
        <w:t>Agreement</w:t>
      </w:r>
    </w:p>
    <w:p w14:paraId="1398E8A6" w14:textId="77777777" w:rsidR="005854E1" w:rsidRPr="005854E1" w:rsidRDefault="005854E1" w:rsidP="005854E1">
      <w:r w:rsidRPr="005854E1">
        <w:t>Adopt the text proposal to TR 38.843 to improve the description of model generalization.</w:t>
      </w:r>
    </w:p>
    <w:tbl>
      <w:tblPr>
        <w:tblW w:w="5000" w:type="pct"/>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0683"/>
      </w:tblGrid>
      <w:tr w:rsidR="005854E1" w:rsidRPr="005854E1" w14:paraId="1719BB31" w14:textId="77777777" w:rsidTr="00191AD8">
        <w:tc>
          <w:tcPr>
            <w:tcW w:w="5000" w:type="pct"/>
            <w:shd w:val="clear" w:color="auto" w:fill="auto"/>
          </w:tcPr>
          <w:p w14:paraId="6A5B14EE" w14:textId="77777777" w:rsidR="005854E1" w:rsidRPr="005854E1" w:rsidRDefault="005854E1" w:rsidP="00191AD8">
            <w:pPr>
              <w:rPr>
                <w:rFonts w:ascii="Arial" w:eastAsia="Calibri" w:hAnsi="Arial" w:cs="Arial"/>
                <w:sz w:val="16"/>
                <w:szCs w:val="16"/>
                <w:lang w:val="de-DE"/>
              </w:rPr>
            </w:pPr>
            <w:r w:rsidRPr="005854E1">
              <w:rPr>
                <w:rFonts w:ascii="Arial" w:eastAsia="Calibri" w:hAnsi="Arial" w:cs="Arial"/>
                <w:sz w:val="16"/>
                <w:szCs w:val="16"/>
                <w:lang w:val="de-DE"/>
              </w:rPr>
              <w:t>======================= Start of text proposal to TR 38.843 v1.2.0 ====================</w:t>
            </w:r>
          </w:p>
          <w:p w14:paraId="433ED530" w14:textId="77777777" w:rsidR="005854E1" w:rsidRPr="00D27996" w:rsidRDefault="005854E1" w:rsidP="00D27996">
            <w:pPr>
              <w:rPr>
                <w:rFonts w:ascii="Arial" w:hAnsi="Arial" w:cs="Arial"/>
                <w:b/>
                <w:bCs/>
                <w:sz w:val="16"/>
                <w:szCs w:val="16"/>
                <w:lang w:val="de-DE"/>
              </w:rPr>
            </w:pPr>
            <w:r w:rsidRPr="00D27996">
              <w:rPr>
                <w:rFonts w:ascii="Arial" w:hAnsi="Arial" w:cs="Arial"/>
                <w:b/>
                <w:bCs/>
                <w:sz w:val="16"/>
                <w:szCs w:val="16"/>
                <w:lang w:val="de-DE"/>
              </w:rPr>
              <w:t>6.4</w:t>
            </w:r>
            <w:r w:rsidRPr="00D27996">
              <w:rPr>
                <w:rFonts w:ascii="Arial" w:hAnsi="Arial" w:cs="Arial"/>
                <w:b/>
                <w:bCs/>
                <w:sz w:val="16"/>
                <w:szCs w:val="16"/>
                <w:lang w:val="de-DE"/>
              </w:rPr>
              <w:tab/>
              <w:t>Positioning accuracy enhancements</w:t>
            </w:r>
          </w:p>
          <w:p w14:paraId="5C856D66" w14:textId="77777777" w:rsidR="005854E1" w:rsidRPr="00D27996" w:rsidRDefault="005854E1" w:rsidP="00D27996">
            <w:pPr>
              <w:rPr>
                <w:rFonts w:ascii="Arial" w:hAnsi="Arial" w:cs="Arial"/>
                <w:b/>
                <w:bCs/>
                <w:sz w:val="16"/>
                <w:szCs w:val="16"/>
                <w:lang w:val="de-DE"/>
              </w:rPr>
            </w:pPr>
            <w:r w:rsidRPr="00D27996">
              <w:rPr>
                <w:rFonts w:ascii="Arial" w:hAnsi="Arial" w:cs="Arial"/>
                <w:b/>
                <w:bCs/>
                <w:sz w:val="16"/>
                <w:szCs w:val="16"/>
                <w:lang w:val="de-DE"/>
              </w:rPr>
              <w:t>6.4.1</w:t>
            </w:r>
            <w:r w:rsidRPr="00D27996">
              <w:rPr>
                <w:rFonts w:ascii="Arial" w:hAnsi="Arial" w:cs="Arial"/>
                <w:b/>
                <w:bCs/>
                <w:sz w:val="16"/>
                <w:szCs w:val="16"/>
                <w:lang w:val="de-DE"/>
              </w:rPr>
              <w:tab/>
              <w:t>Evaluation assumptions, methodology and KPIs</w:t>
            </w:r>
          </w:p>
          <w:p w14:paraId="05C2CF87" w14:textId="77777777" w:rsidR="005854E1" w:rsidRPr="005854E1" w:rsidRDefault="005854E1" w:rsidP="00191AD8">
            <w:pPr>
              <w:jc w:val="center"/>
              <w:rPr>
                <w:rFonts w:ascii="Arial" w:eastAsia="SimSun" w:hAnsi="Arial" w:cs="Arial"/>
                <w:b/>
                <w:iCs/>
                <w:color w:val="FF0000"/>
                <w:sz w:val="16"/>
                <w:szCs w:val="16"/>
                <w:lang w:val="de-DE"/>
              </w:rPr>
            </w:pPr>
            <w:r w:rsidRPr="005854E1">
              <w:rPr>
                <w:rFonts w:ascii="Arial" w:eastAsia="SimSun" w:hAnsi="Arial" w:cs="Arial"/>
                <w:b/>
                <w:iCs/>
                <w:color w:val="FF0000"/>
                <w:sz w:val="16"/>
                <w:szCs w:val="16"/>
                <w:lang w:val="de-DE"/>
              </w:rPr>
              <w:lastRenderedPageBreak/>
              <w:t>&lt;Unchanged text is omitted&gt;</w:t>
            </w:r>
          </w:p>
          <w:p w14:paraId="1DA02FFB" w14:textId="77777777" w:rsidR="005854E1" w:rsidRPr="005854E1" w:rsidRDefault="005854E1" w:rsidP="00191AD8">
            <w:pPr>
              <w:rPr>
                <w:rFonts w:ascii="Arial" w:eastAsia="MS Mincho" w:hAnsi="Arial" w:cs="Arial"/>
                <w:b/>
                <w:bCs/>
                <w:sz w:val="16"/>
                <w:szCs w:val="16"/>
                <w:lang w:val="de-DE"/>
              </w:rPr>
            </w:pPr>
            <w:r w:rsidRPr="005854E1">
              <w:rPr>
                <w:rFonts w:ascii="Arial" w:eastAsia="MS Mincho" w:hAnsi="Arial" w:cs="Arial"/>
                <w:b/>
                <w:bCs/>
                <w:i/>
                <w:iCs/>
                <w:sz w:val="16"/>
                <w:szCs w:val="16"/>
                <w:lang w:val="de-DE"/>
              </w:rPr>
              <w:t>Model generalization</w:t>
            </w:r>
            <w:r w:rsidRPr="005854E1">
              <w:rPr>
                <w:rFonts w:ascii="Arial" w:eastAsia="MS Mincho" w:hAnsi="Arial" w:cs="Arial"/>
                <w:b/>
                <w:bCs/>
                <w:sz w:val="16"/>
                <w:szCs w:val="16"/>
                <w:lang w:val="de-DE"/>
              </w:rPr>
              <w:t>:</w:t>
            </w:r>
          </w:p>
          <w:p w14:paraId="255D8408" w14:textId="77777777" w:rsidR="005854E1" w:rsidRPr="005854E1" w:rsidRDefault="005854E1" w:rsidP="00191AD8">
            <w:pPr>
              <w:rPr>
                <w:rFonts w:ascii="Arial" w:eastAsia="MS Mincho" w:hAnsi="Arial" w:cs="Arial"/>
                <w:sz w:val="16"/>
                <w:szCs w:val="16"/>
                <w:lang w:val="de-DE"/>
              </w:rPr>
            </w:pPr>
            <w:r w:rsidRPr="005854E1">
              <w:rPr>
                <w:rFonts w:ascii="Arial" w:eastAsia="MS Mincho" w:hAnsi="Arial" w:cs="Arial"/>
                <w:sz w:val="16"/>
                <w:szCs w:val="16"/>
                <w:lang w:val="de-DE"/>
              </w:rPr>
              <w:t xml:space="preserve">To investigate the model generalization capability, </w:t>
            </w:r>
            <w:r w:rsidRPr="005854E1">
              <w:rPr>
                <w:rFonts w:ascii="Arial" w:eastAsia="MS Mincho" w:hAnsi="Arial" w:cs="Arial"/>
                <w:strike/>
                <w:color w:val="FF0000"/>
                <w:sz w:val="16"/>
                <w:szCs w:val="16"/>
                <w:lang w:val="de-DE"/>
              </w:rPr>
              <w:t>at least</w:t>
            </w:r>
            <w:r w:rsidRPr="005854E1">
              <w:rPr>
                <w:rFonts w:ascii="Arial" w:eastAsia="MS Mincho" w:hAnsi="Arial" w:cs="Arial"/>
                <w:color w:val="FF0000"/>
                <w:sz w:val="16"/>
                <w:szCs w:val="16"/>
                <w:lang w:val="de-DE"/>
              </w:rPr>
              <w:t xml:space="preserve"> </w:t>
            </w:r>
            <w:r w:rsidRPr="005854E1">
              <w:rPr>
                <w:rFonts w:ascii="Arial" w:eastAsia="MS Mincho" w:hAnsi="Arial" w:cs="Arial"/>
                <w:sz w:val="16"/>
                <w:szCs w:val="16"/>
                <w:lang w:val="de-DE"/>
              </w:rPr>
              <w:t>the following aspect(s) are considered for the evaluation for AI/ML based positioning:</w:t>
            </w:r>
          </w:p>
          <w:p w14:paraId="0F9EE433" w14:textId="77777777" w:rsidR="005854E1" w:rsidRPr="005854E1" w:rsidRDefault="005854E1" w:rsidP="00191AD8">
            <w:pPr>
              <w:ind w:left="568" w:hanging="284"/>
              <w:rPr>
                <w:rFonts w:ascii="Arial" w:eastAsia="MS Mincho" w:hAnsi="Arial" w:cs="Arial"/>
                <w:sz w:val="16"/>
                <w:szCs w:val="16"/>
                <w:lang w:val="de-DE"/>
              </w:rPr>
            </w:pPr>
            <w:r w:rsidRPr="005854E1">
              <w:rPr>
                <w:rFonts w:ascii="Arial" w:eastAsia="MS Mincho" w:hAnsi="Arial" w:cs="Arial"/>
                <w:sz w:val="16"/>
                <w:szCs w:val="16"/>
                <w:lang w:val="de-DE"/>
              </w:rPr>
              <w:t>-</w:t>
            </w:r>
            <w:r w:rsidRPr="005854E1">
              <w:rPr>
                <w:rFonts w:ascii="Arial" w:eastAsia="MS Mincho" w:hAnsi="Arial" w:cs="Arial"/>
                <w:sz w:val="16"/>
                <w:szCs w:val="16"/>
                <w:lang w:val="de-DE"/>
              </w:rPr>
              <w:tab/>
              <w:t>Different drops: Training dataset from drops {A</w:t>
            </w:r>
            <w:r w:rsidRPr="005854E1">
              <w:rPr>
                <w:rFonts w:ascii="Arial" w:eastAsia="MS Mincho" w:hAnsi="Arial" w:cs="Arial"/>
                <w:sz w:val="16"/>
                <w:szCs w:val="16"/>
                <w:vertAlign w:val="subscript"/>
                <w:lang w:val="de-DE"/>
              </w:rPr>
              <w:t>0</w:t>
            </w:r>
            <w:r w:rsidRPr="005854E1">
              <w:rPr>
                <w:rFonts w:ascii="Arial" w:eastAsia="MS Mincho" w:hAnsi="Arial" w:cs="Arial"/>
                <w:sz w:val="16"/>
                <w:szCs w:val="16"/>
                <w:lang w:val="de-DE"/>
              </w:rPr>
              <w:t>, A</w:t>
            </w:r>
            <w:r w:rsidRPr="005854E1">
              <w:rPr>
                <w:rFonts w:ascii="Arial" w:eastAsia="MS Mincho" w:hAnsi="Arial" w:cs="Arial"/>
                <w:sz w:val="16"/>
                <w:szCs w:val="16"/>
                <w:vertAlign w:val="subscript"/>
                <w:lang w:val="de-DE"/>
              </w:rPr>
              <w:t>1</w:t>
            </w:r>
            <w:r w:rsidRPr="005854E1">
              <w:rPr>
                <w:rFonts w:ascii="Arial" w:eastAsia="MS Mincho" w:hAnsi="Arial" w:cs="Arial"/>
                <w:sz w:val="16"/>
                <w:szCs w:val="16"/>
                <w:lang w:val="de-DE"/>
              </w:rPr>
              <w:t>,…, A</w:t>
            </w:r>
            <w:r w:rsidRPr="005854E1">
              <w:rPr>
                <w:rFonts w:ascii="Arial" w:eastAsia="MS Mincho" w:hAnsi="Arial" w:cs="Arial"/>
                <w:sz w:val="16"/>
                <w:szCs w:val="16"/>
                <w:vertAlign w:val="subscript"/>
                <w:lang w:val="de-DE"/>
              </w:rPr>
              <w:t>N-1</w:t>
            </w:r>
            <w:r w:rsidRPr="005854E1">
              <w:rPr>
                <w:rFonts w:ascii="Arial" w:eastAsia="MS Mincho" w:hAnsi="Arial" w:cs="Arial"/>
                <w:sz w:val="16"/>
                <w:szCs w:val="16"/>
                <w:lang w:val="de-DE"/>
              </w:rPr>
              <w:t>}, test dataset from unseen drop(s) (i.e., different drop(s) than any in {A</w:t>
            </w:r>
            <w:r w:rsidRPr="005854E1">
              <w:rPr>
                <w:rFonts w:ascii="Arial" w:eastAsia="MS Mincho" w:hAnsi="Arial" w:cs="Arial"/>
                <w:sz w:val="16"/>
                <w:szCs w:val="16"/>
                <w:vertAlign w:val="subscript"/>
                <w:lang w:val="de-DE"/>
              </w:rPr>
              <w:t>0</w:t>
            </w:r>
            <w:r w:rsidRPr="005854E1">
              <w:rPr>
                <w:rFonts w:ascii="Arial" w:eastAsia="MS Mincho" w:hAnsi="Arial" w:cs="Arial"/>
                <w:sz w:val="16"/>
                <w:szCs w:val="16"/>
                <w:lang w:val="de-DE"/>
              </w:rPr>
              <w:t>, A</w:t>
            </w:r>
            <w:r w:rsidRPr="005854E1">
              <w:rPr>
                <w:rFonts w:ascii="Arial" w:eastAsia="MS Mincho" w:hAnsi="Arial" w:cs="Arial"/>
                <w:sz w:val="16"/>
                <w:szCs w:val="16"/>
                <w:vertAlign w:val="subscript"/>
                <w:lang w:val="de-DE"/>
              </w:rPr>
              <w:t>1</w:t>
            </w:r>
            <w:r w:rsidRPr="005854E1">
              <w:rPr>
                <w:rFonts w:ascii="Arial" w:eastAsia="MS Mincho" w:hAnsi="Arial" w:cs="Arial"/>
                <w:sz w:val="16"/>
                <w:szCs w:val="16"/>
                <w:lang w:val="de-DE"/>
              </w:rPr>
              <w:t>,…, A</w:t>
            </w:r>
            <w:r w:rsidRPr="005854E1">
              <w:rPr>
                <w:rFonts w:ascii="Arial" w:eastAsia="MS Mincho" w:hAnsi="Arial" w:cs="Arial"/>
                <w:sz w:val="16"/>
                <w:szCs w:val="16"/>
                <w:vertAlign w:val="subscript"/>
                <w:lang w:val="de-DE"/>
              </w:rPr>
              <w:t>N-1</w:t>
            </w:r>
            <w:r w:rsidRPr="005854E1">
              <w:rPr>
                <w:rFonts w:ascii="Arial" w:eastAsia="MS Mincho" w:hAnsi="Arial" w:cs="Arial"/>
                <w:sz w:val="16"/>
                <w:szCs w:val="16"/>
                <w:lang w:val="de-DE"/>
              </w:rPr>
              <w:t>}). Here N≥1.</w:t>
            </w:r>
          </w:p>
          <w:p w14:paraId="5DA54255" w14:textId="77777777" w:rsidR="005854E1" w:rsidRPr="005854E1" w:rsidRDefault="005854E1" w:rsidP="00191AD8">
            <w:pPr>
              <w:ind w:left="568" w:hanging="284"/>
              <w:rPr>
                <w:rFonts w:ascii="Arial" w:eastAsia="MS Mincho" w:hAnsi="Arial" w:cs="Arial"/>
                <w:sz w:val="16"/>
                <w:szCs w:val="16"/>
                <w:lang w:val="de-DE"/>
              </w:rPr>
            </w:pPr>
            <w:r w:rsidRPr="005854E1">
              <w:rPr>
                <w:rFonts w:ascii="Arial" w:eastAsia="MS Mincho" w:hAnsi="Arial" w:cs="Arial"/>
                <w:sz w:val="16"/>
                <w:szCs w:val="16"/>
                <w:lang w:val="de-DE"/>
              </w:rPr>
              <w:t>...</w:t>
            </w:r>
          </w:p>
          <w:p w14:paraId="27EE8D7F" w14:textId="77777777" w:rsidR="005854E1" w:rsidRPr="005854E1" w:rsidRDefault="005854E1" w:rsidP="00191AD8">
            <w:pPr>
              <w:ind w:left="568" w:hanging="284"/>
              <w:rPr>
                <w:rFonts w:ascii="Arial" w:eastAsia="MS Mincho" w:hAnsi="Arial" w:cs="Arial"/>
                <w:strike/>
                <w:color w:val="FF0000"/>
                <w:sz w:val="16"/>
                <w:szCs w:val="16"/>
                <w:lang w:val="de-DE"/>
              </w:rPr>
            </w:pPr>
            <w:r w:rsidRPr="005854E1">
              <w:rPr>
                <w:rFonts w:ascii="Arial" w:eastAsia="MS Mincho" w:hAnsi="Arial" w:cs="Arial"/>
                <w:strike/>
                <w:color w:val="FF0000"/>
                <w:sz w:val="16"/>
                <w:szCs w:val="16"/>
                <w:lang w:val="de-DE"/>
              </w:rPr>
              <w:t>-</w:t>
            </w:r>
            <w:r w:rsidRPr="005854E1">
              <w:rPr>
                <w:rFonts w:ascii="Arial" w:eastAsia="MS Mincho" w:hAnsi="Arial" w:cs="Arial"/>
                <w:strike/>
                <w:color w:val="FF0000"/>
                <w:sz w:val="16"/>
                <w:szCs w:val="16"/>
                <w:lang w:val="de-DE"/>
              </w:rPr>
              <w:tab/>
              <w:t>Other aspects are not excluded.</w:t>
            </w:r>
          </w:p>
          <w:p w14:paraId="05B71A15" w14:textId="77777777" w:rsidR="005854E1" w:rsidRPr="005854E1" w:rsidRDefault="005854E1" w:rsidP="00191AD8">
            <w:pPr>
              <w:ind w:left="568" w:hanging="284"/>
              <w:rPr>
                <w:rFonts w:ascii="Arial" w:eastAsia="MS Mincho" w:hAnsi="Arial" w:cs="Arial"/>
                <w:strike/>
                <w:color w:val="FF0000"/>
                <w:sz w:val="16"/>
                <w:szCs w:val="16"/>
                <w:lang w:val="de-DE"/>
              </w:rPr>
            </w:pPr>
            <w:r w:rsidRPr="005854E1">
              <w:rPr>
                <w:rFonts w:ascii="Arial" w:eastAsia="MS Mincho" w:hAnsi="Arial" w:cs="Arial"/>
                <w:sz w:val="16"/>
                <w:szCs w:val="16"/>
                <w:lang w:val="de-DE"/>
              </w:rPr>
              <w:t>-</w:t>
            </w:r>
            <w:r w:rsidRPr="005854E1">
              <w:rPr>
                <w:rFonts w:ascii="Arial" w:eastAsia="MS Mincho" w:hAnsi="Arial" w:cs="Arial"/>
                <w:sz w:val="16"/>
                <w:szCs w:val="16"/>
                <w:lang w:val="de-DE"/>
              </w:rPr>
              <w:tab/>
            </w:r>
            <w:r w:rsidRPr="005854E1">
              <w:rPr>
                <w:rFonts w:ascii="Arial" w:eastAsia="MS Mincho" w:hAnsi="Arial" w:cs="Arial"/>
                <w:strike/>
                <w:color w:val="FF0000"/>
                <w:sz w:val="16"/>
                <w:szCs w:val="16"/>
                <w:lang w:val="de-DE"/>
              </w:rPr>
              <w:t>Companies can evaluate the impact of at least t</w:t>
            </w:r>
            <w:r w:rsidRPr="005854E1">
              <w:rPr>
                <w:rFonts w:ascii="Arial" w:eastAsia="MS Mincho" w:hAnsi="Arial" w:cs="Arial"/>
                <w:color w:val="FF0000"/>
                <w:sz w:val="16"/>
                <w:szCs w:val="16"/>
                <w:lang w:val="de-DE"/>
              </w:rPr>
              <w:t>T</w:t>
            </w:r>
            <w:r w:rsidRPr="005854E1">
              <w:rPr>
                <w:rFonts w:ascii="Arial" w:eastAsia="MS Mincho" w:hAnsi="Arial" w:cs="Arial"/>
                <w:sz w:val="16"/>
                <w:szCs w:val="16"/>
                <w:lang w:val="de-DE"/>
              </w:rPr>
              <w:t>he following issues related to measurements on the positioning accuracy of the AI/ML model. The simulation assumptions reflecting these issues are up to companies.</w:t>
            </w:r>
          </w:p>
          <w:p w14:paraId="5C703C0B" w14:textId="77777777" w:rsidR="005854E1" w:rsidRPr="005854E1" w:rsidRDefault="005854E1" w:rsidP="00A67145">
            <w:pPr>
              <w:numPr>
                <w:ilvl w:val="0"/>
                <w:numId w:val="152"/>
              </w:numPr>
              <w:rPr>
                <w:rFonts w:ascii="Arial" w:eastAsia="MS Mincho" w:hAnsi="Arial" w:cs="Arial"/>
                <w:color w:val="FF0000"/>
                <w:sz w:val="16"/>
                <w:szCs w:val="16"/>
                <w:lang w:val="de-DE" w:eastAsia="x-none"/>
              </w:rPr>
            </w:pPr>
            <w:r w:rsidRPr="005854E1">
              <w:rPr>
                <w:rFonts w:ascii="Arial" w:eastAsia="MS Mincho" w:hAnsi="Arial" w:cs="Arial"/>
                <w:sz w:val="16"/>
                <w:szCs w:val="16"/>
                <w:lang w:val="de-DE" w:eastAsia="x-none"/>
              </w:rPr>
              <w:t>SNR mismatch (i.e., SNR when training data are collected is different from SNR when model inference is performed).</w:t>
            </w:r>
          </w:p>
          <w:p w14:paraId="58BC5679" w14:textId="77777777" w:rsidR="005854E1" w:rsidRPr="005854E1" w:rsidRDefault="005854E1" w:rsidP="00A67145">
            <w:pPr>
              <w:numPr>
                <w:ilvl w:val="0"/>
                <w:numId w:val="152"/>
              </w:numPr>
              <w:rPr>
                <w:rFonts w:ascii="Arial" w:hAnsi="Arial" w:cs="Arial"/>
                <w:color w:val="FF0000"/>
                <w:sz w:val="16"/>
                <w:szCs w:val="16"/>
                <w:lang w:val="de-DE" w:eastAsia="x-none"/>
              </w:rPr>
            </w:pPr>
            <w:r w:rsidRPr="005854E1">
              <w:rPr>
                <w:rFonts w:ascii="Arial" w:eastAsia="MS Mincho" w:hAnsi="Arial" w:cs="Arial"/>
                <w:sz w:val="16"/>
                <w:szCs w:val="16"/>
                <w:lang w:val="de-DE" w:eastAsia="x-none"/>
              </w:rPr>
              <w:t>Time varying changes (e.g., mobility of clutter objects in the environment)</w:t>
            </w:r>
          </w:p>
          <w:p w14:paraId="4C4E500D" w14:textId="77777777" w:rsidR="005854E1" w:rsidRPr="005854E1" w:rsidRDefault="005854E1" w:rsidP="00A67145">
            <w:pPr>
              <w:numPr>
                <w:ilvl w:val="0"/>
                <w:numId w:val="152"/>
              </w:numPr>
              <w:rPr>
                <w:rFonts w:ascii="Arial" w:hAnsi="Arial" w:cs="Arial"/>
                <w:color w:val="FF0000"/>
                <w:sz w:val="16"/>
                <w:szCs w:val="16"/>
                <w:lang w:val="de-DE" w:eastAsia="x-none"/>
              </w:rPr>
            </w:pPr>
            <w:r w:rsidRPr="005854E1">
              <w:rPr>
                <w:rFonts w:ascii="Arial" w:hAnsi="Arial" w:cs="Arial"/>
                <w:sz w:val="16"/>
                <w:szCs w:val="16"/>
                <w:lang w:val="de-DE" w:eastAsia="zh-CN"/>
              </w:rPr>
              <w:t>Channel estimation error</w:t>
            </w:r>
          </w:p>
          <w:p w14:paraId="7361D25E" w14:textId="77777777" w:rsidR="005854E1" w:rsidRPr="005854E1" w:rsidRDefault="005854E1" w:rsidP="00191AD8">
            <w:pPr>
              <w:rPr>
                <w:rFonts w:ascii="Arial" w:eastAsia="Calibri" w:hAnsi="Arial" w:cs="Arial"/>
                <w:sz w:val="16"/>
                <w:szCs w:val="16"/>
                <w:lang w:val="de-DE"/>
              </w:rPr>
            </w:pPr>
          </w:p>
          <w:p w14:paraId="0AD06394" w14:textId="77777777" w:rsidR="005854E1" w:rsidRPr="005854E1" w:rsidRDefault="005854E1" w:rsidP="00191AD8">
            <w:pPr>
              <w:rPr>
                <w:rFonts w:ascii="Arial" w:eastAsia="Calibri" w:hAnsi="Arial" w:cs="Arial"/>
                <w:sz w:val="16"/>
                <w:szCs w:val="16"/>
                <w:lang w:val="de-DE"/>
              </w:rPr>
            </w:pPr>
            <w:r w:rsidRPr="005854E1">
              <w:rPr>
                <w:rFonts w:ascii="Arial" w:eastAsia="Calibri" w:hAnsi="Arial" w:cs="Arial"/>
                <w:sz w:val="16"/>
                <w:szCs w:val="16"/>
                <w:lang w:val="de-DE"/>
              </w:rPr>
              <w:t xml:space="preserve">For </w:t>
            </w:r>
            <w:r w:rsidRPr="005854E1">
              <w:rPr>
                <w:rFonts w:ascii="Arial" w:eastAsia="Calibri" w:hAnsi="Arial" w:cs="Arial"/>
                <w:color w:val="FF0000"/>
                <w:sz w:val="16"/>
                <w:szCs w:val="16"/>
                <w:lang w:val="de-DE"/>
              </w:rPr>
              <w:t xml:space="preserve">both direct AI/ML approach and </w:t>
            </w:r>
            <w:r w:rsidRPr="005854E1">
              <w:rPr>
                <w:rFonts w:ascii="Arial" w:eastAsia="Calibri" w:hAnsi="Arial" w:cs="Arial"/>
                <w:sz w:val="16"/>
                <w:szCs w:val="16"/>
                <w:lang w:val="de-DE"/>
              </w:rPr>
              <w:t>AI/ML assisted approach, for a given AI/ML model design (e.g., input, output, single-TRP vs multi-TRP), identify the generalization aspects where model fine-tuning/mixed training dataset/model switching is necessary.</w:t>
            </w:r>
          </w:p>
          <w:p w14:paraId="55922E94" w14:textId="77777777" w:rsidR="005854E1" w:rsidRPr="005854E1" w:rsidRDefault="005854E1" w:rsidP="00191AD8">
            <w:pPr>
              <w:jc w:val="center"/>
              <w:rPr>
                <w:rFonts w:ascii="Arial" w:eastAsia="SimSun" w:hAnsi="Arial" w:cs="Arial"/>
                <w:b/>
                <w:iCs/>
                <w:color w:val="FF0000"/>
                <w:sz w:val="16"/>
                <w:szCs w:val="16"/>
                <w:lang w:val="de-DE"/>
              </w:rPr>
            </w:pPr>
            <w:r w:rsidRPr="005854E1">
              <w:rPr>
                <w:rFonts w:ascii="Arial" w:eastAsia="SimSun" w:hAnsi="Arial" w:cs="Arial"/>
                <w:b/>
                <w:iCs/>
                <w:color w:val="FF0000"/>
                <w:sz w:val="16"/>
                <w:szCs w:val="16"/>
                <w:lang w:val="de-DE"/>
              </w:rPr>
              <w:t>&lt;Unchanged text is omitted&gt;</w:t>
            </w:r>
          </w:p>
          <w:p w14:paraId="6411BA02" w14:textId="77777777" w:rsidR="005854E1" w:rsidRPr="005854E1" w:rsidRDefault="005854E1" w:rsidP="00191AD8">
            <w:pPr>
              <w:rPr>
                <w:rFonts w:ascii="Arial" w:eastAsia="Calibri" w:hAnsi="Arial" w:cs="Arial"/>
                <w:sz w:val="16"/>
                <w:szCs w:val="16"/>
                <w:lang w:val="de-DE"/>
              </w:rPr>
            </w:pPr>
            <w:r w:rsidRPr="005854E1">
              <w:rPr>
                <w:rFonts w:ascii="Arial" w:eastAsia="Calibri" w:hAnsi="Arial" w:cs="Arial"/>
                <w:sz w:val="16"/>
                <w:szCs w:val="16"/>
                <w:lang w:val="de-DE"/>
              </w:rPr>
              <w:t>=======================  End of text proposal to TR 38.843 v1.2.0 ====================</w:t>
            </w:r>
          </w:p>
        </w:tc>
      </w:tr>
    </w:tbl>
    <w:p w14:paraId="6FC2C39D" w14:textId="77777777" w:rsidR="00191AD8" w:rsidRPr="005854E1" w:rsidRDefault="00191AD8" w:rsidP="00191AD8"/>
    <w:p w14:paraId="1DD75A1E" w14:textId="77777777" w:rsidR="00191AD8" w:rsidRPr="005854E1" w:rsidRDefault="00191AD8" w:rsidP="00191AD8">
      <w:pPr>
        <w:rPr>
          <w:lang w:eastAsia="x-none"/>
        </w:rPr>
      </w:pPr>
      <w:r w:rsidRPr="00191AD8">
        <w:rPr>
          <w:highlight w:val="green"/>
          <w:lang w:eastAsia="x-none"/>
        </w:rPr>
        <w:t>Agreement</w:t>
      </w:r>
    </w:p>
    <w:p w14:paraId="3033C5FE" w14:textId="77777777" w:rsidR="005854E1" w:rsidRPr="005854E1" w:rsidRDefault="005854E1" w:rsidP="005854E1">
      <w:pPr>
        <w:rPr>
          <w:rFonts w:cs="Arial"/>
        </w:rPr>
      </w:pPr>
      <w:r w:rsidRPr="005854E1">
        <w:rPr>
          <w:rFonts w:cs="Arial"/>
        </w:rPr>
        <w:t>Adopt the text proposal to TR 38.843 to improve the description of labelling error.</w:t>
      </w:r>
    </w:p>
    <w:tbl>
      <w:tblPr>
        <w:tblW w:w="5000" w:type="pct"/>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0683"/>
      </w:tblGrid>
      <w:tr w:rsidR="005854E1" w:rsidRPr="005854E1" w14:paraId="78B5714F" w14:textId="77777777" w:rsidTr="00191AD8">
        <w:tc>
          <w:tcPr>
            <w:tcW w:w="5000" w:type="pct"/>
            <w:shd w:val="clear" w:color="auto" w:fill="auto"/>
          </w:tcPr>
          <w:p w14:paraId="4D3F74F8" w14:textId="77777777" w:rsidR="005854E1" w:rsidRPr="005854E1" w:rsidRDefault="005854E1" w:rsidP="00191AD8">
            <w:pPr>
              <w:rPr>
                <w:rFonts w:ascii="Arial" w:eastAsia="Calibri" w:hAnsi="Arial" w:cs="Arial"/>
                <w:sz w:val="16"/>
                <w:szCs w:val="16"/>
                <w:lang w:val="de-DE"/>
              </w:rPr>
            </w:pPr>
            <w:r w:rsidRPr="005854E1">
              <w:rPr>
                <w:rFonts w:ascii="Arial" w:eastAsia="Calibri" w:hAnsi="Arial" w:cs="Arial"/>
                <w:sz w:val="16"/>
                <w:szCs w:val="16"/>
                <w:lang w:val="de-DE"/>
              </w:rPr>
              <w:t>======================= Start of text proposal to TR 38.843 v1.2.0 ====================</w:t>
            </w:r>
          </w:p>
          <w:p w14:paraId="167723D1" w14:textId="77777777" w:rsidR="005854E1" w:rsidRPr="00D27996" w:rsidRDefault="005854E1" w:rsidP="00D27996">
            <w:pPr>
              <w:rPr>
                <w:rFonts w:ascii="Arial" w:hAnsi="Arial" w:cs="Arial"/>
                <w:b/>
                <w:bCs/>
                <w:sz w:val="16"/>
                <w:szCs w:val="16"/>
                <w:lang w:val="de-DE"/>
              </w:rPr>
            </w:pPr>
            <w:r w:rsidRPr="00D27996">
              <w:rPr>
                <w:rFonts w:ascii="Arial" w:hAnsi="Arial" w:cs="Arial"/>
                <w:b/>
                <w:bCs/>
                <w:sz w:val="16"/>
                <w:szCs w:val="16"/>
                <w:lang w:val="de-DE"/>
              </w:rPr>
              <w:t>6.4.1</w:t>
            </w:r>
            <w:r w:rsidRPr="00D27996">
              <w:rPr>
                <w:rFonts w:ascii="Arial" w:hAnsi="Arial" w:cs="Arial"/>
                <w:b/>
                <w:bCs/>
                <w:sz w:val="16"/>
                <w:szCs w:val="16"/>
                <w:lang w:val="de-DE"/>
              </w:rPr>
              <w:tab/>
              <w:t>Evaluation assumptions, methodology and KPIs</w:t>
            </w:r>
          </w:p>
          <w:p w14:paraId="73A5B49B" w14:textId="77777777" w:rsidR="005854E1" w:rsidRPr="005854E1" w:rsidRDefault="005854E1" w:rsidP="00191AD8">
            <w:pPr>
              <w:jc w:val="center"/>
              <w:rPr>
                <w:rFonts w:ascii="Arial" w:eastAsia="SimSun" w:hAnsi="Arial" w:cs="Arial"/>
                <w:b/>
                <w:iCs/>
                <w:color w:val="FF0000"/>
                <w:sz w:val="16"/>
                <w:szCs w:val="16"/>
                <w:lang w:val="de-DE"/>
              </w:rPr>
            </w:pPr>
            <w:r w:rsidRPr="005854E1">
              <w:rPr>
                <w:rFonts w:ascii="Arial" w:eastAsia="SimSun" w:hAnsi="Arial" w:cs="Arial"/>
                <w:b/>
                <w:iCs/>
                <w:color w:val="FF0000"/>
                <w:sz w:val="16"/>
                <w:szCs w:val="16"/>
                <w:lang w:val="de-DE"/>
              </w:rPr>
              <w:t>&lt;Unchanged text is omitted&gt;</w:t>
            </w:r>
          </w:p>
          <w:p w14:paraId="370E9A8A" w14:textId="77777777" w:rsidR="005854E1" w:rsidRPr="005854E1" w:rsidRDefault="005854E1" w:rsidP="00191AD8">
            <w:pPr>
              <w:rPr>
                <w:rFonts w:ascii="Arial" w:eastAsia="MS Mincho" w:hAnsi="Arial" w:cs="Arial"/>
                <w:b/>
                <w:bCs/>
                <w:i/>
                <w:iCs/>
                <w:sz w:val="16"/>
                <w:szCs w:val="16"/>
                <w:lang w:val="de-DE"/>
              </w:rPr>
            </w:pPr>
            <w:r w:rsidRPr="005854E1">
              <w:rPr>
                <w:rFonts w:ascii="Arial" w:eastAsia="MS Mincho" w:hAnsi="Arial" w:cs="Arial"/>
                <w:b/>
                <w:bCs/>
                <w:i/>
                <w:iCs/>
                <w:sz w:val="16"/>
                <w:szCs w:val="16"/>
                <w:lang w:val="de-DE"/>
              </w:rPr>
              <w:t>Labels:</w:t>
            </w:r>
          </w:p>
          <w:p w14:paraId="464B8044" w14:textId="77777777" w:rsidR="005854E1" w:rsidRPr="005854E1" w:rsidRDefault="005854E1" w:rsidP="00191AD8">
            <w:pPr>
              <w:rPr>
                <w:rFonts w:ascii="Arial" w:eastAsia="MS Mincho" w:hAnsi="Arial" w:cs="Arial"/>
                <w:sz w:val="16"/>
                <w:szCs w:val="16"/>
                <w:lang w:val="de-DE"/>
              </w:rPr>
            </w:pPr>
            <w:r w:rsidRPr="005854E1">
              <w:rPr>
                <w:rFonts w:ascii="Arial" w:eastAsia="MS Mincho" w:hAnsi="Arial" w:cs="Arial"/>
                <w:sz w:val="16"/>
                <w:szCs w:val="16"/>
                <w:lang w:val="de-DE"/>
              </w:rPr>
              <w:t>The performance impact from availability of the ground truth labels (i.e., some training data may not have ground truth labels) is to be studied. The learning algorithm (e.g., supervised learning, semi-supervised learning</w:t>
            </w:r>
            <w:r w:rsidRPr="005854E1">
              <w:rPr>
                <w:rFonts w:ascii="Arial" w:eastAsia="MS Mincho" w:hAnsi="Arial" w:cs="Arial"/>
                <w:strike/>
                <w:color w:val="FF0000"/>
                <w:sz w:val="16"/>
                <w:szCs w:val="16"/>
                <w:lang w:val="de-DE"/>
              </w:rPr>
              <w:t>, unsupervised learning</w:t>
            </w:r>
            <w:r w:rsidRPr="005854E1">
              <w:rPr>
                <w:rFonts w:ascii="Arial" w:eastAsia="MS Mincho" w:hAnsi="Arial" w:cs="Arial"/>
                <w:sz w:val="16"/>
                <w:szCs w:val="16"/>
                <w:lang w:val="de-DE"/>
              </w:rPr>
              <w:t>) is to be reported by participating companies and, when providing evaluation results, data labelling details need to be described, including:</w:t>
            </w:r>
          </w:p>
          <w:p w14:paraId="59848C44" w14:textId="77777777" w:rsidR="005854E1" w:rsidRPr="005854E1" w:rsidRDefault="005854E1" w:rsidP="00191AD8">
            <w:pPr>
              <w:ind w:left="568" w:hanging="284"/>
              <w:rPr>
                <w:rFonts w:ascii="Arial" w:eastAsia="MS Mincho" w:hAnsi="Arial" w:cs="Arial"/>
                <w:sz w:val="16"/>
                <w:szCs w:val="16"/>
                <w:lang w:val="de-DE"/>
              </w:rPr>
            </w:pPr>
            <w:r w:rsidRPr="005854E1">
              <w:rPr>
                <w:rFonts w:ascii="Arial" w:eastAsia="MS Mincho" w:hAnsi="Arial" w:cs="Arial"/>
                <w:sz w:val="16"/>
                <w:szCs w:val="16"/>
                <w:lang w:val="de-DE"/>
              </w:rPr>
              <w:t>-</w:t>
            </w:r>
            <w:r w:rsidRPr="005854E1">
              <w:rPr>
                <w:rFonts w:ascii="Arial" w:eastAsia="MS Mincho" w:hAnsi="Arial" w:cs="Arial"/>
                <w:sz w:val="16"/>
                <w:szCs w:val="16"/>
                <w:lang w:val="de-DE"/>
              </w:rPr>
              <w:tab/>
              <w:t>Meaning of the label (e.g., UE coordinates; binary identifier of LOS/NLOS; ToA)</w:t>
            </w:r>
          </w:p>
          <w:p w14:paraId="4D05E531" w14:textId="77777777" w:rsidR="005854E1" w:rsidRPr="005854E1" w:rsidRDefault="005854E1" w:rsidP="00191AD8">
            <w:pPr>
              <w:ind w:left="568" w:hanging="284"/>
              <w:rPr>
                <w:rFonts w:ascii="Arial" w:eastAsia="MS Mincho" w:hAnsi="Arial" w:cs="Arial"/>
                <w:sz w:val="16"/>
                <w:szCs w:val="16"/>
                <w:lang w:val="de-DE"/>
              </w:rPr>
            </w:pPr>
            <w:r w:rsidRPr="005854E1">
              <w:rPr>
                <w:rFonts w:ascii="Arial" w:eastAsia="MS Mincho" w:hAnsi="Arial" w:cs="Arial"/>
                <w:sz w:val="16"/>
                <w:szCs w:val="16"/>
                <w:lang w:val="de-DE"/>
              </w:rPr>
              <w:t>-</w:t>
            </w:r>
            <w:r w:rsidRPr="005854E1">
              <w:rPr>
                <w:rFonts w:ascii="Arial" w:eastAsia="MS Mincho" w:hAnsi="Arial" w:cs="Arial"/>
                <w:sz w:val="16"/>
                <w:szCs w:val="16"/>
                <w:lang w:val="de-DE"/>
              </w:rPr>
              <w:tab/>
              <w:t>Percentage of training data without label, if incomplete labelling is considered in the evaluation</w:t>
            </w:r>
          </w:p>
          <w:p w14:paraId="7636767E" w14:textId="77777777" w:rsidR="005854E1" w:rsidRPr="005854E1" w:rsidRDefault="005854E1" w:rsidP="00191AD8">
            <w:pPr>
              <w:ind w:left="568" w:hanging="284"/>
              <w:rPr>
                <w:rFonts w:ascii="Arial" w:eastAsia="MS Mincho" w:hAnsi="Arial" w:cs="Arial"/>
                <w:sz w:val="16"/>
                <w:szCs w:val="16"/>
                <w:lang w:val="de-DE"/>
              </w:rPr>
            </w:pPr>
            <w:r w:rsidRPr="005854E1">
              <w:rPr>
                <w:rFonts w:ascii="Arial" w:eastAsia="MS Mincho" w:hAnsi="Arial" w:cs="Arial"/>
                <w:sz w:val="16"/>
                <w:szCs w:val="16"/>
                <w:lang w:val="de-DE"/>
              </w:rPr>
              <w:t>-</w:t>
            </w:r>
            <w:r w:rsidRPr="005854E1">
              <w:rPr>
                <w:rFonts w:ascii="Arial" w:eastAsia="MS Mincho" w:hAnsi="Arial" w:cs="Arial"/>
                <w:sz w:val="16"/>
                <w:szCs w:val="16"/>
                <w:lang w:val="de-DE"/>
              </w:rPr>
              <w:tab/>
              <w:t>Imperfection of the ground truth labels, if any</w:t>
            </w:r>
          </w:p>
          <w:p w14:paraId="226CBCFB" w14:textId="77777777" w:rsidR="005854E1" w:rsidRPr="005854E1" w:rsidRDefault="005854E1" w:rsidP="00191AD8">
            <w:pPr>
              <w:rPr>
                <w:rFonts w:ascii="Arial" w:eastAsia="MS Mincho" w:hAnsi="Arial" w:cs="Arial"/>
                <w:sz w:val="16"/>
                <w:szCs w:val="16"/>
                <w:lang w:val="de-DE" w:eastAsia="zh-CN"/>
              </w:rPr>
            </w:pPr>
            <w:r w:rsidRPr="005854E1">
              <w:rPr>
                <w:rFonts w:ascii="Arial" w:eastAsia="MS Mincho" w:hAnsi="Arial" w:cs="Arial"/>
                <w:sz w:val="16"/>
                <w:szCs w:val="16"/>
                <w:lang w:val="de-DE" w:eastAsia="zh-CN"/>
              </w:rPr>
              <w:t xml:space="preserve">Whether, and if so how, an entity can be used to obtain </w:t>
            </w:r>
            <w:r w:rsidRPr="005854E1">
              <w:rPr>
                <w:rFonts w:ascii="Arial" w:eastAsia="MS Mincho" w:hAnsi="Arial" w:cs="Arial"/>
                <w:sz w:val="16"/>
                <w:szCs w:val="16"/>
                <w:lang w:val="de-DE"/>
              </w:rPr>
              <w:t>ground truth</w:t>
            </w:r>
            <w:r w:rsidRPr="005854E1">
              <w:rPr>
                <w:rFonts w:ascii="Arial" w:eastAsia="MS Mincho" w:hAnsi="Arial" w:cs="Arial"/>
                <w:sz w:val="16"/>
                <w:szCs w:val="16"/>
                <w:lang w:val="de-DE" w:eastAsia="zh-CN"/>
              </w:rPr>
              <w:t xml:space="preserve"> label and/or other training data is to be studied. </w:t>
            </w:r>
          </w:p>
          <w:p w14:paraId="409AB0BE" w14:textId="77777777" w:rsidR="005854E1" w:rsidRPr="005854E1" w:rsidRDefault="005854E1" w:rsidP="00191AD8">
            <w:pPr>
              <w:rPr>
                <w:rFonts w:ascii="Arial" w:eastAsia="MS Mincho" w:hAnsi="Arial" w:cs="Arial"/>
                <w:sz w:val="16"/>
                <w:szCs w:val="16"/>
                <w:lang w:val="de-DE" w:eastAsia="zh-CN"/>
              </w:rPr>
            </w:pPr>
          </w:p>
          <w:p w14:paraId="097B2E69" w14:textId="77777777" w:rsidR="005854E1" w:rsidRPr="005854E1" w:rsidRDefault="005854E1" w:rsidP="00191AD8">
            <w:pPr>
              <w:rPr>
                <w:rFonts w:ascii="Arial" w:eastAsia="MS Mincho" w:hAnsi="Arial" w:cs="Arial"/>
                <w:sz w:val="16"/>
                <w:szCs w:val="16"/>
                <w:lang w:val="de-DE"/>
              </w:rPr>
            </w:pPr>
            <w:r w:rsidRPr="005854E1">
              <w:rPr>
                <w:rFonts w:ascii="Arial" w:eastAsia="MS Mincho" w:hAnsi="Arial" w:cs="Arial"/>
                <w:sz w:val="16"/>
                <w:szCs w:val="16"/>
                <w:lang w:val="de-DE"/>
              </w:rPr>
              <w:t>For direct AI/ML positioning, the impact of labelling error to positioning accuracy is studied considering:</w:t>
            </w:r>
          </w:p>
          <w:p w14:paraId="55B02D43" w14:textId="77777777" w:rsidR="005854E1" w:rsidRPr="005854E1" w:rsidRDefault="005854E1" w:rsidP="00191AD8">
            <w:pPr>
              <w:ind w:left="568" w:hanging="284"/>
              <w:rPr>
                <w:rFonts w:ascii="Arial" w:eastAsia="MS Mincho" w:hAnsi="Arial" w:cs="Arial"/>
                <w:sz w:val="16"/>
                <w:szCs w:val="16"/>
                <w:lang w:val="de-DE"/>
              </w:rPr>
            </w:pPr>
            <w:r w:rsidRPr="005854E1">
              <w:rPr>
                <w:rFonts w:ascii="Arial" w:eastAsia="MS Mincho" w:hAnsi="Arial" w:cs="Arial"/>
                <w:sz w:val="16"/>
                <w:szCs w:val="16"/>
                <w:lang w:val="de-DE"/>
              </w:rPr>
              <w:t>-</w:t>
            </w:r>
            <w:r w:rsidRPr="005854E1">
              <w:rPr>
                <w:rFonts w:ascii="Arial" w:eastAsia="MS Mincho" w:hAnsi="Arial" w:cs="Arial"/>
                <w:sz w:val="16"/>
                <w:szCs w:val="16"/>
                <w:lang w:val="de-DE"/>
              </w:rPr>
              <w:tab/>
              <w:t xml:space="preserve">The ground truth label error in each dimension of x-axis and y-axis can be modelled as a truncated Gaussian distribution with zero mean and standard deviation of L meters, with truncation of the distribution to the [-2*L, 2*L] range. Value L is up to sources. </w:t>
            </w:r>
          </w:p>
          <w:p w14:paraId="62C5493E" w14:textId="77777777" w:rsidR="005854E1" w:rsidRPr="005854E1" w:rsidRDefault="005854E1" w:rsidP="00191AD8">
            <w:pPr>
              <w:ind w:left="568" w:hanging="284"/>
              <w:rPr>
                <w:rFonts w:ascii="Arial" w:eastAsia="MS Mincho" w:hAnsi="Arial" w:cs="Arial"/>
                <w:strike/>
                <w:color w:val="FF0000"/>
                <w:sz w:val="16"/>
                <w:szCs w:val="16"/>
                <w:lang w:val="de-DE"/>
              </w:rPr>
            </w:pPr>
            <w:r w:rsidRPr="005854E1">
              <w:rPr>
                <w:rFonts w:ascii="Arial" w:eastAsia="MS Mincho" w:hAnsi="Arial" w:cs="Arial"/>
                <w:strike/>
                <w:color w:val="FF0000"/>
                <w:sz w:val="16"/>
                <w:szCs w:val="16"/>
                <w:lang w:val="de-DE"/>
              </w:rPr>
              <w:t>-</w:t>
            </w:r>
            <w:r w:rsidRPr="005854E1">
              <w:rPr>
                <w:rFonts w:ascii="Arial" w:eastAsia="MS Mincho" w:hAnsi="Arial" w:cs="Arial"/>
                <w:strike/>
                <w:color w:val="FF0000"/>
                <w:sz w:val="16"/>
                <w:szCs w:val="16"/>
                <w:lang w:val="de-DE"/>
              </w:rPr>
              <w:tab/>
              <w:t>[Whether/how to study the impact of labelling error to label-based model monitoring methods]</w:t>
            </w:r>
          </w:p>
          <w:p w14:paraId="4597AA90" w14:textId="77777777" w:rsidR="005854E1" w:rsidRPr="005854E1" w:rsidRDefault="005854E1" w:rsidP="00191AD8">
            <w:pPr>
              <w:ind w:left="568" w:hanging="284"/>
              <w:rPr>
                <w:rFonts w:ascii="Arial" w:eastAsia="MS Mincho" w:hAnsi="Arial" w:cs="Arial"/>
                <w:strike/>
                <w:color w:val="FF0000"/>
                <w:sz w:val="16"/>
                <w:szCs w:val="16"/>
                <w:lang w:val="de-DE"/>
              </w:rPr>
            </w:pPr>
            <w:r w:rsidRPr="005854E1">
              <w:rPr>
                <w:rFonts w:ascii="Arial" w:eastAsia="MS Mincho" w:hAnsi="Arial" w:cs="Arial"/>
                <w:strike/>
                <w:color w:val="FF0000"/>
                <w:sz w:val="16"/>
                <w:szCs w:val="16"/>
                <w:lang w:val="de-DE"/>
              </w:rPr>
              <w:t>-</w:t>
            </w:r>
            <w:r w:rsidRPr="005854E1">
              <w:rPr>
                <w:rFonts w:ascii="Arial" w:eastAsia="MS Mincho" w:hAnsi="Arial" w:cs="Arial"/>
                <w:strike/>
                <w:color w:val="FF0000"/>
                <w:sz w:val="16"/>
                <w:szCs w:val="16"/>
                <w:lang w:val="de-DE"/>
              </w:rPr>
              <w:tab/>
              <w:t>[Whether/how to study the impact of labelling error for AI/ML assisted positioning.]</w:t>
            </w:r>
          </w:p>
          <w:p w14:paraId="66772463" w14:textId="77777777" w:rsidR="005854E1" w:rsidRPr="005854E1" w:rsidRDefault="005854E1" w:rsidP="00191AD8">
            <w:pPr>
              <w:rPr>
                <w:rFonts w:ascii="Arial" w:eastAsia="Calibri" w:hAnsi="Arial" w:cs="Arial"/>
                <w:color w:val="000000"/>
                <w:sz w:val="16"/>
                <w:szCs w:val="16"/>
                <w:lang w:val="de-DE"/>
              </w:rPr>
            </w:pPr>
            <w:r w:rsidRPr="005854E1">
              <w:rPr>
                <w:rFonts w:ascii="Arial" w:eastAsia="Calibri" w:hAnsi="Arial" w:cs="Arial"/>
                <w:color w:val="000000"/>
                <w:sz w:val="16"/>
                <w:szCs w:val="16"/>
                <w:lang w:val="de-DE"/>
              </w:rPr>
              <w:t>For AI/ML assisted positioning with TOA as model output, study the impact of labelling error to TOA accuracy and/or positioning accuracy.</w:t>
            </w:r>
          </w:p>
          <w:p w14:paraId="03BBCE26" w14:textId="77777777" w:rsidR="005854E1" w:rsidRPr="005854E1" w:rsidRDefault="005854E1" w:rsidP="00191AD8">
            <w:pPr>
              <w:ind w:left="568" w:hanging="284"/>
              <w:rPr>
                <w:rFonts w:ascii="Arial" w:eastAsia="Calibri" w:hAnsi="Arial" w:cs="Arial"/>
                <w:sz w:val="16"/>
                <w:szCs w:val="16"/>
                <w:lang w:val="de-DE" w:eastAsia="zh-CN"/>
              </w:rPr>
            </w:pPr>
            <w:r w:rsidRPr="005854E1">
              <w:rPr>
                <w:rFonts w:ascii="Arial" w:eastAsia="MS Mincho" w:hAnsi="Arial" w:cs="Arial"/>
                <w:sz w:val="16"/>
                <w:szCs w:val="16"/>
                <w:lang w:val="de-DE"/>
              </w:rPr>
              <w:t>-</w:t>
            </w:r>
            <w:r w:rsidRPr="005854E1">
              <w:rPr>
                <w:rFonts w:ascii="Arial" w:eastAsia="MS Mincho" w:hAnsi="Arial" w:cs="Arial"/>
                <w:sz w:val="16"/>
                <w:szCs w:val="16"/>
                <w:lang w:val="de-DE"/>
              </w:rPr>
              <w:tab/>
              <w:t>The ground truth label error of TOA is calculated based on location error. The location error in each dimension of x-axis and y-axis can be modelled as a truncated Gaussian distribution with zero mean and standard deviation of L meters, with truncation of the distribution to the [-2*L, 2*L] range.</w:t>
            </w:r>
            <w:r w:rsidRPr="005854E1">
              <w:rPr>
                <w:rFonts w:ascii="Arial" w:eastAsia="Calibri" w:hAnsi="Arial" w:cs="Arial"/>
                <w:sz w:val="16"/>
                <w:szCs w:val="16"/>
                <w:lang w:val="de-DE" w:eastAsia="zh-CN"/>
              </w:rPr>
              <w:t xml:space="preserve"> </w:t>
            </w:r>
          </w:p>
          <w:p w14:paraId="56E035A9" w14:textId="77777777" w:rsidR="005854E1" w:rsidRPr="005854E1" w:rsidRDefault="005854E1" w:rsidP="00191AD8">
            <w:pPr>
              <w:ind w:left="851" w:hanging="284"/>
              <w:rPr>
                <w:rFonts w:ascii="Arial" w:eastAsia="MS Mincho" w:hAnsi="Arial" w:cs="Arial"/>
                <w:sz w:val="16"/>
                <w:szCs w:val="16"/>
                <w:lang w:val="de-DE"/>
              </w:rPr>
            </w:pPr>
            <w:r w:rsidRPr="005854E1">
              <w:rPr>
                <w:rFonts w:ascii="Arial" w:eastAsia="MS Mincho" w:hAnsi="Arial" w:cs="Arial"/>
                <w:sz w:val="16"/>
                <w:szCs w:val="16"/>
                <w:lang w:val="de-DE"/>
              </w:rPr>
              <w:t>-</w:t>
            </w:r>
            <w:r w:rsidRPr="005854E1">
              <w:rPr>
                <w:rFonts w:ascii="Arial" w:eastAsia="MS Mincho" w:hAnsi="Arial" w:cs="Arial"/>
                <w:sz w:val="16"/>
                <w:szCs w:val="16"/>
                <w:lang w:val="de-DE"/>
              </w:rPr>
              <w:tab/>
              <w:t>Value L is up to sources.</w:t>
            </w:r>
          </w:p>
          <w:p w14:paraId="72777486" w14:textId="77777777" w:rsidR="005854E1" w:rsidRPr="005854E1" w:rsidRDefault="005854E1" w:rsidP="00191AD8">
            <w:pPr>
              <w:ind w:left="568" w:hanging="284"/>
              <w:rPr>
                <w:rFonts w:ascii="Arial" w:eastAsia="Calibri" w:hAnsi="Arial" w:cs="Arial"/>
                <w:sz w:val="16"/>
                <w:szCs w:val="16"/>
                <w:lang w:val="de-DE" w:eastAsia="zh-CN"/>
              </w:rPr>
            </w:pPr>
            <w:r w:rsidRPr="005854E1">
              <w:rPr>
                <w:rFonts w:ascii="Arial" w:eastAsia="Calibri" w:hAnsi="Arial" w:cs="Arial"/>
                <w:sz w:val="16"/>
                <w:szCs w:val="16"/>
                <w:lang w:val="de-DE" w:eastAsia="zh-CN"/>
              </w:rPr>
              <w:t>-</w:t>
            </w:r>
            <w:r w:rsidRPr="005854E1">
              <w:rPr>
                <w:rFonts w:ascii="Arial" w:eastAsia="Calibri" w:hAnsi="Arial" w:cs="Arial"/>
                <w:sz w:val="16"/>
                <w:szCs w:val="16"/>
                <w:lang w:val="de-DE" w:eastAsia="zh-CN"/>
              </w:rPr>
              <w:tab/>
              <w:t>Other models of labelling error are not precluded</w:t>
            </w:r>
          </w:p>
          <w:p w14:paraId="6BBE3A9A" w14:textId="77777777" w:rsidR="005854E1" w:rsidRPr="005854E1" w:rsidRDefault="005854E1" w:rsidP="00191AD8">
            <w:pPr>
              <w:ind w:left="568" w:hanging="284"/>
              <w:rPr>
                <w:rFonts w:ascii="Arial" w:eastAsia="MS Mincho" w:hAnsi="Arial" w:cs="Arial"/>
                <w:sz w:val="16"/>
                <w:szCs w:val="16"/>
                <w:lang w:val="de-DE"/>
              </w:rPr>
            </w:pPr>
            <w:r w:rsidRPr="005854E1">
              <w:rPr>
                <w:rFonts w:ascii="Arial" w:eastAsia="MS Mincho" w:hAnsi="Arial" w:cs="Arial"/>
                <w:sz w:val="16"/>
                <w:szCs w:val="16"/>
                <w:lang w:val="de-DE"/>
              </w:rPr>
              <w:t>-</w:t>
            </w:r>
            <w:r w:rsidRPr="005854E1">
              <w:rPr>
                <w:rFonts w:ascii="Arial" w:eastAsia="MS Mincho" w:hAnsi="Arial" w:cs="Arial"/>
                <w:sz w:val="16"/>
                <w:szCs w:val="16"/>
                <w:lang w:val="de-DE"/>
              </w:rPr>
              <w:tab/>
              <w:t>Other timing information, e.g., RSTD, as model output is not precluded.</w:t>
            </w:r>
          </w:p>
          <w:p w14:paraId="7BDB24F2" w14:textId="77777777" w:rsidR="005854E1" w:rsidRPr="005854E1" w:rsidRDefault="005854E1" w:rsidP="00191AD8">
            <w:pPr>
              <w:rPr>
                <w:rFonts w:ascii="Arial" w:eastAsia="Calibri" w:hAnsi="Arial" w:cs="Arial"/>
                <w:color w:val="000000"/>
                <w:sz w:val="16"/>
                <w:szCs w:val="16"/>
                <w:lang w:val="de-DE"/>
              </w:rPr>
            </w:pPr>
            <w:r w:rsidRPr="005854E1">
              <w:rPr>
                <w:rFonts w:ascii="Arial" w:eastAsia="Calibri" w:hAnsi="Arial" w:cs="Arial"/>
                <w:color w:val="000000"/>
                <w:sz w:val="16"/>
                <w:szCs w:val="16"/>
                <w:lang w:val="de-DE"/>
              </w:rPr>
              <w:t>For AI/ML assisted positioning with LOS/NLOS indicator as model output, study the impact of labelling error to LOS/NLOS indicator accuracy and/or positioning accuracy.</w:t>
            </w:r>
          </w:p>
          <w:p w14:paraId="2125539F" w14:textId="77777777" w:rsidR="005854E1" w:rsidRPr="005854E1" w:rsidRDefault="005854E1" w:rsidP="00191AD8">
            <w:pPr>
              <w:ind w:left="568" w:hanging="284"/>
              <w:rPr>
                <w:rFonts w:ascii="Arial" w:eastAsia="MS Mincho" w:hAnsi="Arial" w:cs="Arial"/>
                <w:sz w:val="16"/>
                <w:szCs w:val="16"/>
                <w:lang w:val="de-DE"/>
              </w:rPr>
            </w:pPr>
            <w:r w:rsidRPr="005854E1">
              <w:rPr>
                <w:rFonts w:ascii="Arial" w:eastAsia="MS Mincho" w:hAnsi="Arial" w:cs="Arial"/>
                <w:sz w:val="16"/>
                <w:szCs w:val="16"/>
                <w:lang w:val="de-DE"/>
              </w:rPr>
              <w:t>-</w:t>
            </w:r>
            <w:r w:rsidRPr="005854E1">
              <w:rPr>
                <w:rFonts w:ascii="Arial" w:eastAsia="MS Mincho" w:hAnsi="Arial" w:cs="Arial"/>
                <w:sz w:val="16"/>
                <w:szCs w:val="16"/>
                <w:lang w:val="de-DE"/>
              </w:rPr>
              <w:tab/>
              <w:t xml:space="preserve">The ground truth label error of LOS/NLOS indicator can be modelled as m% LOS label error and n% NLOS label error. </w:t>
            </w:r>
            <w:r w:rsidRPr="005854E1">
              <w:rPr>
                <w:rFonts w:ascii="Arial" w:eastAsia="MS Mincho" w:hAnsi="Arial" w:cs="Arial"/>
                <w:strike/>
                <w:color w:val="FF0000"/>
                <w:sz w:val="16"/>
                <w:szCs w:val="16"/>
                <w:lang w:val="de-DE"/>
              </w:rPr>
              <w:t>-</w:t>
            </w:r>
            <w:r w:rsidRPr="005854E1">
              <w:rPr>
                <w:rFonts w:ascii="Arial" w:eastAsia="MS Mincho" w:hAnsi="Arial" w:cs="Arial"/>
                <w:strike/>
                <w:color w:val="FF0000"/>
                <w:sz w:val="16"/>
                <w:szCs w:val="16"/>
                <w:lang w:val="de-DE"/>
              </w:rPr>
              <w:tab/>
            </w:r>
            <w:r w:rsidRPr="005854E1">
              <w:rPr>
                <w:rFonts w:ascii="Arial" w:eastAsia="MS Mincho" w:hAnsi="Arial" w:cs="Arial"/>
                <w:sz w:val="16"/>
                <w:szCs w:val="16"/>
                <w:lang w:val="de-DE"/>
              </w:rPr>
              <w:t>Value m and n are up to sources.</w:t>
            </w:r>
          </w:p>
          <w:p w14:paraId="3005D068" w14:textId="77777777" w:rsidR="005854E1" w:rsidRPr="005854E1" w:rsidRDefault="005854E1" w:rsidP="00A67145">
            <w:pPr>
              <w:widowControl w:val="0"/>
              <w:numPr>
                <w:ilvl w:val="0"/>
                <w:numId w:val="153"/>
              </w:numPr>
              <w:jc w:val="both"/>
              <w:rPr>
                <w:rFonts w:ascii="Arial" w:eastAsia="MS Mincho" w:hAnsi="Arial" w:cs="Arial"/>
                <w:color w:val="FF0000"/>
                <w:sz w:val="16"/>
                <w:szCs w:val="16"/>
                <w:lang w:val="en-US"/>
              </w:rPr>
            </w:pPr>
            <w:r w:rsidRPr="005854E1">
              <w:rPr>
                <w:rFonts w:ascii="Arial" w:eastAsia="MS Mincho" w:hAnsi="Arial" w:cs="Arial"/>
                <w:color w:val="FF0000"/>
                <w:sz w:val="16"/>
                <w:szCs w:val="16"/>
                <w:lang w:val="en-US"/>
              </w:rPr>
              <w:t>m%=FN/N</w:t>
            </w:r>
            <w:r w:rsidRPr="005854E1">
              <w:rPr>
                <w:rFonts w:ascii="Arial" w:eastAsia="MS Mincho" w:hAnsi="Arial" w:cs="Arial"/>
                <w:color w:val="FF0000"/>
                <w:sz w:val="16"/>
                <w:szCs w:val="16"/>
                <w:vertAlign w:val="subscript"/>
                <w:lang w:val="en-US"/>
              </w:rPr>
              <w:t>LOS</w:t>
            </w:r>
            <w:r w:rsidRPr="005854E1">
              <w:rPr>
                <w:rFonts w:ascii="Arial" w:eastAsia="MS Mincho" w:hAnsi="Arial" w:cs="Arial"/>
                <w:color w:val="FF0000"/>
                <w:sz w:val="16"/>
                <w:szCs w:val="16"/>
                <w:lang w:val="de-DE"/>
              </w:rPr>
              <w:t xml:space="preserve"> is false negative rate of the training data label, where FN (False Negative) is the number of actual LOS links which are incorrectly labelled as NLOS, and </w:t>
            </w:r>
            <w:r w:rsidRPr="005854E1">
              <w:rPr>
                <w:rFonts w:ascii="Arial" w:eastAsia="MS Mincho" w:hAnsi="Arial" w:cs="Arial"/>
                <w:color w:val="FF0000"/>
                <w:sz w:val="16"/>
                <w:szCs w:val="16"/>
                <w:lang w:val="en-US"/>
              </w:rPr>
              <w:t>N</w:t>
            </w:r>
            <w:r w:rsidRPr="005854E1">
              <w:rPr>
                <w:rFonts w:ascii="Arial" w:eastAsia="MS Mincho" w:hAnsi="Arial" w:cs="Arial"/>
                <w:color w:val="FF0000"/>
                <w:sz w:val="16"/>
                <w:szCs w:val="16"/>
                <w:vertAlign w:val="subscript"/>
                <w:lang w:val="en-US"/>
              </w:rPr>
              <w:t>LOS</w:t>
            </w:r>
            <w:r w:rsidRPr="005854E1">
              <w:rPr>
                <w:rFonts w:ascii="Arial" w:eastAsia="MS Mincho" w:hAnsi="Arial" w:cs="Arial"/>
                <w:color w:val="FF0000"/>
                <w:sz w:val="16"/>
                <w:szCs w:val="16"/>
                <w:lang w:val="en-US"/>
              </w:rPr>
              <w:t xml:space="preserve"> </w:t>
            </w:r>
            <w:r w:rsidRPr="005854E1">
              <w:rPr>
                <w:rFonts w:ascii="Arial" w:eastAsia="MS Mincho" w:hAnsi="Arial" w:cs="Arial"/>
                <w:color w:val="FF0000"/>
                <w:sz w:val="16"/>
                <w:szCs w:val="16"/>
                <w:lang w:val="de-DE"/>
              </w:rPr>
              <w:t xml:space="preserve">is the total number of actual LOS links; </w:t>
            </w:r>
          </w:p>
          <w:p w14:paraId="6A18F0DB" w14:textId="77777777" w:rsidR="005854E1" w:rsidRPr="005854E1" w:rsidRDefault="005854E1" w:rsidP="00A67145">
            <w:pPr>
              <w:widowControl w:val="0"/>
              <w:numPr>
                <w:ilvl w:val="0"/>
                <w:numId w:val="153"/>
              </w:numPr>
              <w:jc w:val="both"/>
              <w:rPr>
                <w:rFonts w:ascii="Arial" w:eastAsia="MS Mincho" w:hAnsi="Arial" w:cs="Arial"/>
                <w:color w:val="FF0000"/>
                <w:sz w:val="16"/>
                <w:szCs w:val="16"/>
                <w:lang w:val="en-US"/>
              </w:rPr>
            </w:pPr>
            <w:r w:rsidRPr="005854E1">
              <w:rPr>
                <w:rFonts w:ascii="Arial" w:eastAsia="Calibri" w:hAnsi="Arial" w:cs="Arial"/>
                <w:color w:val="FF0000"/>
                <w:sz w:val="16"/>
                <w:szCs w:val="16"/>
                <w:lang w:val="en-US"/>
              </w:rPr>
              <w:t>n%=FP/N</w:t>
            </w:r>
            <w:r w:rsidRPr="005854E1">
              <w:rPr>
                <w:rFonts w:ascii="Arial" w:eastAsia="Calibri" w:hAnsi="Arial" w:cs="Arial"/>
                <w:color w:val="FF0000"/>
                <w:sz w:val="16"/>
                <w:szCs w:val="16"/>
                <w:vertAlign w:val="subscript"/>
                <w:lang w:val="en-US"/>
              </w:rPr>
              <w:t>NLOS</w:t>
            </w:r>
            <w:r w:rsidRPr="005854E1">
              <w:rPr>
                <w:rFonts w:ascii="Arial" w:eastAsia="Calibri" w:hAnsi="Arial" w:cs="Arial"/>
                <w:color w:val="FF0000"/>
                <w:sz w:val="16"/>
                <w:szCs w:val="16"/>
                <w:lang w:val="de-DE"/>
              </w:rPr>
              <w:t xml:space="preserve"> is the false positive rate of the training data label, FP (False Positive) is the number of actual NLOS links which are incorrectly labelled as LOS, and N</w:t>
            </w:r>
            <w:r w:rsidRPr="005854E1">
              <w:rPr>
                <w:rFonts w:ascii="Arial" w:eastAsia="Calibri" w:hAnsi="Arial" w:cs="Arial"/>
                <w:color w:val="FF0000"/>
                <w:sz w:val="16"/>
                <w:szCs w:val="16"/>
                <w:vertAlign w:val="subscript"/>
                <w:lang w:val="en-US"/>
              </w:rPr>
              <w:t>NLOS</w:t>
            </w:r>
            <w:r w:rsidRPr="005854E1">
              <w:rPr>
                <w:rFonts w:ascii="Arial" w:eastAsia="Calibri" w:hAnsi="Arial" w:cs="Arial"/>
                <w:color w:val="FF0000"/>
                <w:sz w:val="16"/>
                <w:szCs w:val="16"/>
                <w:lang w:val="de-DE"/>
              </w:rPr>
              <w:t xml:space="preserve"> is the total number of actual NLOS links.</w:t>
            </w:r>
          </w:p>
          <w:p w14:paraId="59DD01E9" w14:textId="77777777" w:rsidR="005854E1" w:rsidRPr="005854E1" w:rsidRDefault="005854E1" w:rsidP="00191AD8">
            <w:pPr>
              <w:ind w:left="568" w:hanging="284"/>
              <w:rPr>
                <w:rFonts w:ascii="Arial" w:eastAsia="Calibri" w:hAnsi="Arial" w:cs="Arial"/>
                <w:sz w:val="16"/>
                <w:szCs w:val="16"/>
                <w:lang w:val="de-DE" w:eastAsia="zh-CN"/>
              </w:rPr>
            </w:pPr>
            <w:r w:rsidRPr="005854E1">
              <w:rPr>
                <w:rFonts w:ascii="Arial" w:eastAsia="Calibri" w:hAnsi="Arial" w:cs="Arial"/>
                <w:sz w:val="16"/>
                <w:szCs w:val="16"/>
                <w:lang w:val="de-DE" w:eastAsia="zh-CN"/>
              </w:rPr>
              <w:t>-</w:t>
            </w:r>
            <w:r w:rsidRPr="005854E1">
              <w:rPr>
                <w:rFonts w:ascii="Arial" w:eastAsia="Calibri" w:hAnsi="Arial" w:cs="Arial"/>
                <w:sz w:val="16"/>
                <w:szCs w:val="16"/>
                <w:lang w:val="de-DE" w:eastAsia="zh-CN"/>
              </w:rPr>
              <w:tab/>
              <w:t>Companies consider at least hard-value LOS/NLOS indicator as model output.</w:t>
            </w:r>
          </w:p>
          <w:p w14:paraId="0E9F2742" w14:textId="77777777" w:rsidR="005854E1" w:rsidRPr="005854E1" w:rsidRDefault="005854E1" w:rsidP="00191AD8">
            <w:pPr>
              <w:jc w:val="center"/>
              <w:rPr>
                <w:rFonts w:ascii="Arial" w:eastAsia="SimSun" w:hAnsi="Arial" w:cs="Arial"/>
                <w:b/>
                <w:iCs/>
                <w:color w:val="FF0000"/>
                <w:sz w:val="16"/>
                <w:szCs w:val="16"/>
                <w:lang w:val="de-DE"/>
              </w:rPr>
            </w:pPr>
            <w:r w:rsidRPr="005854E1">
              <w:rPr>
                <w:rFonts w:ascii="Arial" w:eastAsia="SimSun" w:hAnsi="Arial" w:cs="Arial"/>
                <w:b/>
                <w:iCs/>
                <w:color w:val="FF0000"/>
                <w:sz w:val="16"/>
                <w:szCs w:val="16"/>
                <w:lang w:val="de-DE"/>
              </w:rPr>
              <w:t>&lt;Unchanged text is omitted&gt;</w:t>
            </w:r>
          </w:p>
          <w:p w14:paraId="5F303CD0" w14:textId="77777777" w:rsidR="005854E1" w:rsidRPr="002A7668" w:rsidRDefault="005854E1" w:rsidP="002A7668">
            <w:pPr>
              <w:rPr>
                <w:rFonts w:ascii="Arial" w:hAnsi="Arial" w:cs="Arial"/>
                <w:b/>
                <w:bCs/>
                <w:sz w:val="16"/>
                <w:szCs w:val="16"/>
                <w:lang w:val="de-DE"/>
              </w:rPr>
            </w:pPr>
            <w:r w:rsidRPr="002A7668">
              <w:rPr>
                <w:rFonts w:ascii="Arial" w:hAnsi="Arial" w:cs="Arial"/>
                <w:b/>
                <w:bCs/>
                <w:sz w:val="16"/>
                <w:szCs w:val="16"/>
                <w:lang w:val="de-DE"/>
              </w:rPr>
              <w:t>6.4.2.5</w:t>
            </w:r>
            <w:r w:rsidRPr="002A7668">
              <w:rPr>
                <w:rFonts w:ascii="Arial" w:hAnsi="Arial" w:cs="Arial"/>
                <w:b/>
                <w:bCs/>
                <w:sz w:val="16"/>
                <w:szCs w:val="16"/>
                <w:lang w:val="de-DE"/>
              </w:rPr>
              <w:tab/>
              <w:t>Non-ideal label(s)</w:t>
            </w:r>
          </w:p>
          <w:p w14:paraId="5899E2A2" w14:textId="77777777" w:rsidR="005854E1" w:rsidRPr="005854E1" w:rsidRDefault="005854E1" w:rsidP="00191AD8">
            <w:pPr>
              <w:jc w:val="center"/>
              <w:rPr>
                <w:rFonts w:ascii="Arial" w:eastAsia="SimSun" w:hAnsi="Arial" w:cs="Arial"/>
                <w:b/>
                <w:iCs/>
                <w:color w:val="FF0000"/>
                <w:sz w:val="16"/>
                <w:szCs w:val="16"/>
                <w:lang w:val="de-DE"/>
              </w:rPr>
            </w:pPr>
            <w:r w:rsidRPr="005854E1">
              <w:rPr>
                <w:rFonts w:ascii="Arial" w:eastAsia="SimSun" w:hAnsi="Arial" w:cs="Arial"/>
                <w:b/>
                <w:iCs/>
                <w:color w:val="FF0000"/>
                <w:sz w:val="16"/>
                <w:szCs w:val="16"/>
                <w:lang w:val="de-DE"/>
              </w:rPr>
              <w:t>&lt;Unchanged text is omitted&gt;</w:t>
            </w:r>
          </w:p>
          <w:p w14:paraId="22985059" w14:textId="77777777" w:rsidR="005854E1" w:rsidRPr="005854E1" w:rsidRDefault="005854E1" w:rsidP="00191AD8">
            <w:pPr>
              <w:rPr>
                <w:rFonts w:ascii="Arial" w:eastAsia="MS Mincho" w:hAnsi="Arial" w:cs="Arial"/>
                <w:b/>
                <w:bCs/>
                <w:i/>
                <w:iCs/>
                <w:sz w:val="16"/>
                <w:szCs w:val="16"/>
                <w:lang w:val="de-DE"/>
              </w:rPr>
            </w:pPr>
            <w:r w:rsidRPr="005854E1">
              <w:rPr>
                <w:rFonts w:ascii="Arial" w:eastAsia="MS Mincho" w:hAnsi="Arial" w:cs="Arial"/>
                <w:b/>
                <w:bCs/>
                <w:i/>
                <w:iCs/>
                <w:sz w:val="16"/>
                <w:szCs w:val="16"/>
                <w:lang w:val="de-DE"/>
              </w:rPr>
              <w:t>AI/ML assisted positioning</w:t>
            </w:r>
          </w:p>
          <w:p w14:paraId="484F2499" w14:textId="77777777" w:rsidR="005854E1" w:rsidRPr="005854E1" w:rsidRDefault="005854E1" w:rsidP="00191AD8">
            <w:pPr>
              <w:rPr>
                <w:rFonts w:ascii="Arial" w:eastAsia="MS Mincho" w:hAnsi="Arial" w:cs="Arial"/>
                <w:sz w:val="16"/>
                <w:szCs w:val="16"/>
                <w:lang w:val="de-DE"/>
              </w:rPr>
            </w:pPr>
            <w:r w:rsidRPr="005854E1">
              <w:rPr>
                <w:rFonts w:ascii="Arial" w:eastAsia="MS Mincho" w:hAnsi="Arial" w:cs="Arial"/>
                <w:sz w:val="16"/>
                <w:szCs w:val="16"/>
                <w:lang w:val="de-DE"/>
              </w:rPr>
              <w:t xml:space="preserve">Evaluations show that AI/ML assisted positioning with timing information (e.g., ToA) as </w:t>
            </w:r>
            <w:r w:rsidRPr="005854E1">
              <w:rPr>
                <w:rFonts w:ascii="Arial" w:eastAsia="MS Mincho" w:hAnsi="Arial" w:cs="Arial"/>
                <w:i/>
                <w:iCs/>
                <w:sz w:val="16"/>
                <w:szCs w:val="16"/>
                <w:lang w:val="de-DE"/>
              </w:rPr>
              <w:t>model output</w:t>
            </w:r>
            <w:r w:rsidRPr="005854E1">
              <w:rPr>
                <w:rFonts w:ascii="Arial" w:eastAsia="MS Mincho" w:hAnsi="Arial" w:cs="Arial"/>
                <w:sz w:val="16"/>
                <w:szCs w:val="16"/>
                <w:lang w:val="de-DE"/>
              </w:rPr>
              <w:t xml:space="preserve"> is robust to certain </w:t>
            </w:r>
            <w:r w:rsidRPr="005854E1">
              <w:rPr>
                <w:rFonts w:ascii="Arial" w:eastAsia="MS Mincho" w:hAnsi="Arial" w:cs="Arial"/>
                <w:i/>
                <w:iCs/>
                <w:sz w:val="16"/>
                <w:szCs w:val="16"/>
                <w:lang w:val="de-DE"/>
              </w:rPr>
              <w:t>label error</w:t>
            </w:r>
            <w:r w:rsidRPr="005854E1">
              <w:rPr>
                <w:rFonts w:ascii="Arial" w:eastAsia="MS Mincho" w:hAnsi="Arial" w:cs="Arial"/>
                <w:sz w:val="16"/>
                <w:szCs w:val="16"/>
                <w:lang w:val="de-DE"/>
              </w:rPr>
              <w:t xml:space="preserve"> based on evaluation results of L in the range of (0, 5) meter. The exact range of label error that can be tolerated depends on the positioning accuracy requirement, where tighter positioning accuracy requirement demands smaller label error.</w:t>
            </w:r>
          </w:p>
          <w:p w14:paraId="1F3BD940" w14:textId="77777777" w:rsidR="005854E1" w:rsidRPr="005854E1" w:rsidRDefault="005854E1" w:rsidP="00191AD8">
            <w:pPr>
              <w:rPr>
                <w:rFonts w:ascii="Arial" w:eastAsia="MS Mincho" w:hAnsi="Arial" w:cs="Arial"/>
                <w:sz w:val="16"/>
                <w:szCs w:val="16"/>
                <w:lang w:val="de-DE"/>
              </w:rPr>
            </w:pPr>
            <w:r w:rsidRPr="005854E1">
              <w:rPr>
                <w:rFonts w:ascii="Arial" w:eastAsia="MS Mincho" w:hAnsi="Arial" w:cs="Arial"/>
                <w:sz w:val="16"/>
                <w:szCs w:val="16"/>
                <w:lang w:val="de-DE"/>
              </w:rPr>
              <w:t xml:space="preserve">Based on evaluation results from 3 sources, for AI/ML assisted positioning where the model output includes the LOS/NLOS indicator, when the model is trained with dataset containing random LOS/NLOS label error, the models have no or minor degradation for LOS/NLOS identification accuracy up to at least m%=20% and at least n%=20%. When the training dataset has up to m%=20% and n%=20%, evaluation results show that the </w:t>
            </w:r>
            <w:r w:rsidRPr="005854E1">
              <w:rPr>
                <w:rFonts w:ascii="Arial" w:eastAsia="MS Mincho" w:hAnsi="Arial" w:cs="Arial"/>
                <w:b/>
                <w:bCs/>
                <w:sz w:val="16"/>
                <w:szCs w:val="16"/>
                <w:lang w:val="de-DE"/>
              </w:rPr>
              <w:t>LOS/NLOS identification accuracy</w:t>
            </w:r>
            <w:r w:rsidRPr="005854E1">
              <w:rPr>
                <w:rFonts w:ascii="Arial" w:eastAsia="MS Mincho" w:hAnsi="Arial" w:cs="Arial"/>
                <w:sz w:val="16"/>
                <w:szCs w:val="16"/>
                <w:lang w:val="de-DE"/>
              </w:rPr>
              <w:t xml:space="preserve"> is P</w:t>
            </w:r>
            <w:r w:rsidRPr="005854E1">
              <w:rPr>
                <w:rFonts w:ascii="Arial" w:eastAsia="MS Mincho" w:hAnsi="Arial" w:cs="Arial"/>
                <w:sz w:val="16"/>
                <w:szCs w:val="16"/>
                <w:vertAlign w:val="subscript"/>
                <w:lang w:val="de-DE"/>
              </w:rPr>
              <w:t>lablErr</w:t>
            </w:r>
            <w:r w:rsidRPr="005854E1">
              <w:rPr>
                <w:rFonts w:ascii="Arial" w:eastAsia="MS Mincho" w:hAnsi="Arial" w:cs="Arial"/>
                <w:sz w:val="16"/>
                <w:szCs w:val="16"/>
                <w:lang w:val="de-DE"/>
              </w:rPr>
              <w:t xml:space="preserve"> = P</w:t>
            </w:r>
            <w:r w:rsidRPr="005854E1">
              <w:rPr>
                <w:rFonts w:ascii="Arial" w:eastAsia="MS Mincho" w:hAnsi="Arial" w:cs="Arial"/>
                <w:sz w:val="16"/>
                <w:szCs w:val="16"/>
                <w:vertAlign w:val="subscript"/>
                <w:lang w:val="de-DE"/>
              </w:rPr>
              <w:t>noLablErr</w:t>
            </w:r>
            <w:r w:rsidRPr="005854E1">
              <w:rPr>
                <w:rFonts w:ascii="Arial" w:eastAsia="MS Mincho" w:hAnsi="Arial" w:cs="Arial"/>
                <w:sz w:val="16"/>
                <w:szCs w:val="16"/>
                <w:lang w:val="de-DE"/>
              </w:rPr>
              <w:t xml:space="preserve"> – d (percentage), where d is in the range of (</w:t>
            </w:r>
            <w:r w:rsidRPr="005854E1">
              <w:rPr>
                <w:rFonts w:ascii="Arial" w:eastAsia="MS Mincho" w:hAnsi="Arial" w:cs="Arial"/>
                <w:sz w:val="16"/>
                <w:szCs w:val="16"/>
                <w:lang w:val="de-DE"/>
              </w:rPr>
              <w:sym w:font="Symbol" w:char="F02D"/>
            </w:r>
            <w:r w:rsidRPr="005854E1">
              <w:rPr>
                <w:rFonts w:ascii="Arial" w:eastAsia="MS Mincho" w:hAnsi="Arial" w:cs="Arial"/>
                <w:sz w:val="16"/>
                <w:szCs w:val="16"/>
                <w:lang w:val="de-DE"/>
              </w:rPr>
              <w:t>1.2%~3.1%).</w:t>
            </w:r>
          </w:p>
          <w:p w14:paraId="560A33A8" w14:textId="77777777" w:rsidR="005854E1" w:rsidRPr="005854E1" w:rsidRDefault="005854E1" w:rsidP="00A67145">
            <w:pPr>
              <w:widowControl w:val="0"/>
              <w:numPr>
                <w:ilvl w:val="0"/>
                <w:numId w:val="153"/>
              </w:numPr>
              <w:jc w:val="both"/>
              <w:rPr>
                <w:rFonts w:ascii="Arial" w:eastAsia="MS Mincho" w:hAnsi="Arial" w:cs="Arial"/>
                <w:sz w:val="16"/>
                <w:szCs w:val="16"/>
                <w:lang w:val="en-US"/>
              </w:rPr>
            </w:pPr>
            <w:r w:rsidRPr="005854E1">
              <w:rPr>
                <w:rFonts w:ascii="Arial" w:eastAsia="MS Mincho" w:hAnsi="Arial" w:cs="Arial"/>
                <w:sz w:val="16"/>
                <w:szCs w:val="16"/>
                <w:lang w:val="en-US"/>
              </w:rPr>
              <w:t>P</w:t>
            </w:r>
            <w:r w:rsidRPr="005854E1">
              <w:rPr>
                <w:rFonts w:ascii="Arial" w:eastAsia="MS Mincho" w:hAnsi="Arial" w:cs="Arial"/>
                <w:sz w:val="16"/>
                <w:szCs w:val="16"/>
                <w:vertAlign w:val="subscript"/>
                <w:lang w:val="en-US"/>
              </w:rPr>
              <w:t>noLablErr</w:t>
            </w:r>
            <w:r w:rsidRPr="005854E1">
              <w:rPr>
                <w:rFonts w:ascii="Arial" w:eastAsia="MS Mincho" w:hAnsi="Arial" w:cs="Arial"/>
                <w:sz w:val="16"/>
                <w:szCs w:val="16"/>
                <w:lang w:val="en-US"/>
              </w:rPr>
              <w:t xml:space="preserve"> (percentage) is the LOS/NLOS identification accuracy when </w:t>
            </w:r>
            <w:r w:rsidRPr="005854E1">
              <w:rPr>
                <w:rFonts w:ascii="Arial" w:eastAsia="MS Mincho" w:hAnsi="Arial" w:cs="Arial"/>
                <w:sz w:val="16"/>
                <w:szCs w:val="16"/>
                <w:lang w:val="de-DE"/>
              </w:rPr>
              <w:t>m%=0% and n%=0%;</w:t>
            </w:r>
          </w:p>
          <w:p w14:paraId="606C91D7" w14:textId="77777777" w:rsidR="005854E1" w:rsidRPr="005854E1" w:rsidRDefault="005854E1" w:rsidP="00A67145">
            <w:pPr>
              <w:widowControl w:val="0"/>
              <w:numPr>
                <w:ilvl w:val="0"/>
                <w:numId w:val="153"/>
              </w:numPr>
              <w:jc w:val="both"/>
              <w:rPr>
                <w:rFonts w:ascii="Arial" w:eastAsia="MS Mincho" w:hAnsi="Arial" w:cs="Arial"/>
                <w:strike/>
                <w:color w:val="FF0000"/>
                <w:sz w:val="16"/>
                <w:szCs w:val="16"/>
                <w:lang w:val="en-US"/>
              </w:rPr>
            </w:pPr>
            <w:r w:rsidRPr="005854E1">
              <w:rPr>
                <w:rFonts w:ascii="Arial" w:eastAsia="MS Mincho" w:hAnsi="Arial" w:cs="Arial"/>
                <w:strike/>
                <w:color w:val="FF0000"/>
                <w:sz w:val="16"/>
                <w:szCs w:val="16"/>
                <w:lang w:val="en-US"/>
              </w:rPr>
              <w:t>m%=FN/N</w:t>
            </w:r>
            <w:r w:rsidRPr="005854E1">
              <w:rPr>
                <w:rFonts w:ascii="Arial" w:eastAsia="MS Mincho" w:hAnsi="Arial" w:cs="Arial"/>
                <w:strike/>
                <w:color w:val="FF0000"/>
                <w:sz w:val="16"/>
                <w:szCs w:val="16"/>
                <w:vertAlign w:val="subscript"/>
                <w:lang w:val="en-US"/>
              </w:rPr>
              <w:t>LOS</w:t>
            </w:r>
            <w:r w:rsidRPr="005854E1">
              <w:rPr>
                <w:rFonts w:ascii="Arial" w:eastAsia="MS Mincho" w:hAnsi="Arial" w:cs="Arial"/>
                <w:strike/>
                <w:color w:val="FF0000"/>
                <w:sz w:val="16"/>
                <w:szCs w:val="16"/>
                <w:lang w:val="de-DE"/>
              </w:rPr>
              <w:t xml:space="preserve"> is false negative rate of the training data label, where FN (False Negative) is the number of actual LOS links which are incorrectly labelled as NLOS, and </w:t>
            </w:r>
            <w:r w:rsidRPr="005854E1">
              <w:rPr>
                <w:rFonts w:ascii="Arial" w:eastAsia="MS Mincho" w:hAnsi="Arial" w:cs="Arial"/>
                <w:strike/>
                <w:color w:val="FF0000"/>
                <w:sz w:val="16"/>
                <w:szCs w:val="16"/>
                <w:lang w:val="en-US"/>
              </w:rPr>
              <w:t>N</w:t>
            </w:r>
            <w:r w:rsidRPr="005854E1">
              <w:rPr>
                <w:rFonts w:ascii="Arial" w:eastAsia="MS Mincho" w:hAnsi="Arial" w:cs="Arial"/>
                <w:strike/>
                <w:color w:val="FF0000"/>
                <w:sz w:val="16"/>
                <w:szCs w:val="16"/>
                <w:vertAlign w:val="subscript"/>
                <w:lang w:val="en-US"/>
              </w:rPr>
              <w:t>LOS</w:t>
            </w:r>
            <w:r w:rsidRPr="005854E1">
              <w:rPr>
                <w:rFonts w:ascii="Arial" w:eastAsia="MS Mincho" w:hAnsi="Arial" w:cs="Arial"/>
                <w:strike/>
                <w:color w:val="FF0000"/>
                <w:sz w:val="16"/>
                <w:szCs w:val="16"/>
                <w:lang w:val="en-US"/>
              </w:rPr>
              <w:t xml:space="preserve"> </w:t>
            </w:r>
            <w:r w:rsidRPr="005854E1">
              <w:rPr>
                <w:rFonts w:ascii="Arial" w:eastAsia="MS Mincho" w:hAnsi="Arial" w:cs="Arial"/>
                <w:strike/>
                <w:color w:val="FF0000"/>
                <w:sz w:val="16"/>
                <w:szCs w:val="16"/>
                <w:lang w:val="de-DE"/>
              </w:rPr>
              <w:t xml:space="preserve">is the total number of actual LOS links; </w:t>
            </w:r>
          </w:p>
          <w:p w14:paraId="4023CED4" w14:textId="77777777" w:rsidR="005854E1" w:rsidRPr="005854E1" w:rsidRDefault="005854E1" w:rsidP="00191AD8">
            <w:pPr>
              <w:rPr>
                <w:rFonts w:ascii="Arial" w:eastAsia="MS Mincho" w:hAnsi="Arial" w:cs="Arial"/>
                <w:strike/>
                <w:color w:val="FF0000"/>
                <w:sz w:val="16"/>
                <w:szCs w:val="16"/>
                <w:lang w:val="de-DE"/>
              </w:rPr>
            </w:pPr>
            <w:r w:rsidRPr="005854E1">
              <w:rPr>
                <w:rFonts w:ascii="Arial" w:eastAsia="MS Mincho" w:hAnsi="Arial" w:cs="Arial"/>
                <w:strike/>
                <w:color w:val="FF0000"/>
                <w:sz w:val="16"/>
                <w:szCs w:val="16"/>
                <w:lang w:val="en-US"/>
              </w:rPr>
              <w:t>n%=FP/N</w:t>
            </w:r>
            <w:r w:rsidRPr="005854E1">
              <w:rPr>
                <w:rFonts w:ascii="Arial" w:eastAsia="MS Mincho" w:hAnsi="Arial" w:cs="Arial"/>
                <w:strike/>
                <w:color w:val="FF0000"/>
                <w:sz w:val="16"/>
                <w:szCs w:val="16"/>
                <w:vertAlign w:val="subscript"/>
                <w:lang w:val="en-US"/>
              </w:rPr>
              <w:t>NLOS</w:t>
            </w:r>
            <w:r w:rsidRPr="005854E1">
              <w:rPr>
                <w:rFonts w:ascii="Arial" w:eastAsia="MS Mincho" w:hAnsi="Arial" w:cs="Arial"/>
                <w:strike/>
                <w:color w:val="FF0000"/>
                <w:sz w:val="16"/>
                <w:szCs w:val="16"/>
                <w:lang w:val="de-DE"/>
              </w:rPr>
              <w:t xml:space="preserve"> is the false positive rate of the training data label, FP (False Positive) is the number of actual NLOS links which are incorrectly labelled as LOS, and N</w:t>
            </w:r>
            <w:r w:rsidRPr="005854E1">
              <w:rPr>
                <w:rFonts w:ascii="Arial" w:eastAsia="MS Mincho" w:hAnsi="Arial" w:cs="Arial"/>
                <w:strike/>
                <w:color w:val="FF0000"/>
                <w:sz w:val="16"/>
                <w:szCs w:val="16"/>
                <w:vertAlign w:val="subscript"/>
                <w:lang w:val="en-US"/>
              </w:rPr>
              <w:t>NLOS</w:t>
            </w:r>
            <w:r w:rsidRPr="005854E1">
              <w:rPr>
                <w:rFonts w:ascii="Arial" w:eastAsia="MS Mincho" w:hAnsi="Arial" w:cs="Arial"/>
                <w:strike/>
                <w:color w:val="FF0000"/>
                <w:sz w:val="16"/>
                <w:szCs w:val="16"/>
                <w:lang w:val="de-DE"/>
              </w:rPr>
              <w:t xml:space="preserve"> is the total number of actual NLOS links.</w:t>
            </w:r>
          </w:p>
          <w:p w14:paraId="38C2802B" w14:textId="77777777" w:rsidR="005854E1" w:rsidRPr="005854E1" w:rsidRDefault="005854E1" w:rsidP="00191AD8">
            <w:pPr>
              <w:jc w:val="center"/>
              <w:rPr>
                <w:rFonts w:ascii="Arial" w:eastAsia="SimSun" w:hAnsi="Arial" w:cs="Arial"/>
                <w:b/>
                <w:iCs/>
                <w:color w:val="FF0000"/>
                <w:sz w:val="16"/>
                <w:szCs w:val="16"/>
                <w:lang w:val="de-DE"/>
              </w:rPr>
            </w:pPr>
            <w:r w:rsidRPr="005854E1">
              <w:rPr>
                <w:rFonts w:ascii="Arial" w:eastAsia="SimSun" w:hAnsi="Arial" w:cs="Arial"/>
                <w:b/>
                <w:iCs/>
                <w:color w:val="FF0000"/>
                <w:sz w:val="16"/>
                <w:szCs w:val="16"/>
                <w:lang w:val="de-DE"/>
              </w:rPr>
              <w:t>&lt;Unchanged text is omitted&gt;</w:t>
            </w:r>
          </w:p>
          <w:p w14:paraId="18BBD3B4" w14:textId="77777777" w:rsidR="005854E1" w:rsidRPr="005854E1" w:rsidRDefault="005854E1" w:rsidP="00191AD8">
            <w:pPr>
              <w:rPr>
                <w:rFonts w:ascii="Arial" w:eastAsia="Calibri" w:hAnsi="Arial" w:cs="Arial"/>
                <w:sz w:val="16"/>
                <w:szCs w:val="16"/>
                <w:lang w:val="de-DE"/>
              </w:rPr>
            </w:pPr>
            <w:r w:rsidRPr="005854E1">
              <w:rPr>
                <w:rFonts w:ascii="Arial" w:eastAsia="Calibri" w:hAnsi="Arial" w:cs="Arial"/>
                <w:sz w:val="16"/>
                <w:szCs w:val="16"/>
                <w:lang w:val="de-DE"/>
              </w:rPr>
              <w:t>=======================  End of text proposal to TR 38.843 v1.2.0 ====================</w:t>
            </w:r>
          </w:p>
        </w:tc>
      </w:tr>
    </w:tbl>
    <w:p w14:paraId="63C8EA7E" w14:textId="77777777" w:rsidR="005854E1" w:rsidRPr="005854E1" w:rsidRDefault="005854E1" w:rsidP="005854E1">
      <w:pPr>
        <w:rPr>
          <w:rFonts w:cs="Arial"/>
        </w:rPr>
      </w:pPr>
    </w:p>
    <w:p w14:paraId="2DD8DB49" w14:textId="3DA91853" w:rsidR="005854E1" w:rsidRPr="005854E1" w:rsidRDefault="00191AD8" w:rsidP="005854E1">
      <w:pPr>
        <w:rPr>
          <w:lang w:eastAsia="x-none"/>
        </w:rPr>
      </w:pPr>
      <w:r w:rsidRPr="00191AD8">
        <w:rPr>
          <w:highlight w:val="green"/>
          <w:lang w:eastAsia="x-none"/>
        </w:rPr>
        <w:t>Agreement</w:t>
      </w:r>
    </w:p>
    <w:p w14:paraId="4DFEA809" w14:textId="77777777" w:rsidR="005854E1" w:rsidRPr="005854E1" w:rsidRDefault="005854E1" w:rsidP="005854E1">
      <w:pPr>
        <w:rPr>
          <w:rFonts w:cs="Arial"/>
        </w:rPr>
      </w:pPr>
      <w:r w:rsidRPr="005854E1">
        <w:rPr>
          <w:rFonts w:cs="Arial"/>
        </w:rPr>
        <w:lastRenderedPageBreak/>
        <w:t xml:space="preserve">Adopt the text proposal to TR 38.843 to improve the description </w:t>
      </w:r>
      <w:r w:rsidRPr="005854E1">
        <w:t>on evaluation assumption and methodology</w:t>
      </w:r>
      <w:r w:rsidRPr="005854E1">
        <w:rPr>
          <w:rFonts w:cs="Arial"/>
        </w:rPr>
        <w:t>.</w:t>
      </w:r>
    </w:p>
    <w:tbl>
      <w:tblPr>
        <w:tblW w:w="5000" w:type="pct"/>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0683"/>
      </w:tblGrid>
      <w:tr w:rsidR="005854E1" w:rsidRPr="005854E1" w14:paraId="1E0F2CEA" w14:textId="77777777" w:rsidTr="00191AD8">
        <w:tc>
          <w:tcPr>
            <w:tcW w:w="5000" w:type="pct"/>
            <w:shd w:val="clear" w:color="auto" w:fill="auto"/>
          </w:tcPr>
          <w:p w14:paraId="24719411" w14:textId="77777777" w:rsidR="005854E1" w:rsidRPr="00B7186D" w:rsidRDefault="005854E1" w:rsidP="00191AD8">
            <w:pPr>
              <w:rPr>
                <w:rFonts w:ascii="Arial" w:eastAsia="Calibri" w:hAnsi="Arial" w:cs="Arial"/>
                <w:sz w:val="16"/>
                <w:szCs w:val="16"/>
                <w:lang w:val="de-DE"/>
              </w:rPr>
            </w:pPr>
            <w:r w:rsidRPr="00B7186D">
              <w:rPr>
                <w:rFonts w:ascii="Arial" w:eastAsia="Calibri" w:hAnsi="Arial" w:cs="Arial"/>
                <w:sz w:val="16"/>
                <w:szCs w:val="16"/>
                <w:lang w:val="de-DE"/>
              </w:rPr>
              <w:t>======================= Start of text proposal to TR 38.843 v1.2.0 ====================</w:t>
            </w:r>
          </w:p>
          <w:p w14:paraId="344A13D6" w14:textId="77777777" w:rsidR="005854E1" w:rsidRPr="00B7186D" w:rsidRDefault="005854E1" w:rsidP="00191AD8">
            <w:pPr>
              <w:rPr>
                <w:rFonts w:ascii="Arial" w:hAnsi="Arial" w:cs="Arial"/>
                <w:sz w:val="16"/>
                <w:szCs w:val="16"/>
              </w:rPr>
            </w:pPr>
            <w:r w:rsidRPr="00B7186D">
              <w:rPr>
                <w:rFonts w:ascii="Arial" w:hAnsi="Arial" w:cs="Arial"/>
                <w:sz w:val="16"/>
                <w:szCs w:val="16"/>
              </w:rPr>
              <w:t>6.4</w:t>
            </w:r>
            <w:r w:rsidRPr="00B7186D">
              <w:rPr>
                <w:rFonts w:ascii="Arial" w:hAnsi="Arial" w:cs="Arial"/>
                <w:sz w:val="16"/>
                <w:szCs w:val="16"/>
              </w:rPr>
              <w:tab/>
              <w:t>Positioning accuracy enhancements</w:t>
            </w:r>
          </w:p>
          <w:p w14:paraId="18E7D368" w14:textId="77777777" w:rsidR="005854E1" w:rsidRPr="00B7186D" w:rsidRDefault="005854E1" w:rsidP="00191AD8">
            <w:pPr>
              <w:rPr>
                <w:rFonts w:ascii="Arial" w:hAnsi="Arial" w:cs="Arial"/>
                <w:sz w:val="16"/>
                <w:szCs w:val="16"/>
              </w:rPr>
            </w:pPr>
            <w:r w:rsidRPr="00B7186D">
              <w:rPr>
                <w:rFonts w:ascii="Arial" w:hAnsi="Arial" w:cs="Arial"/>
                <w:sz w:val="16"/>
                <w:szCs w:val="16"/>
              </w:rPr>
              <w:t>6.4.1</w:t>
            </w:r>
            <w:r w:rsidRPr="00B7186D">
              <w:rPr>
                <w:rFonts w:ascii="Arial" w:hAnsi="Arial" w:cs="Arial"/>
                <w:sz w:val="16"/>
                <w:szCs w:val="16"/>
              </w:rPr>
              <w:tab/>
              <w:t>Evaluation assumptions, methodology and KPIs</w:t>
            </w:r>
          </w:p>
          <w:p w14:paraId="10A60E62" w14:textId="77777777" w:rsidR="005854E1" w:rsidRPr="00B7186D" w:rsidRDefault="005854E1" w:rsidP="00191AD8">
            <w:pPr>
              <w:jc w:val="center"/>
              <w:rPr>
                <w:rFonts w:ascii="Arial" w:eastAsia="SimSun" w:hAnsi="Arial" w:cs="Arial"/>
                <w:b/>
                <w:iCs/>
                <w:color w:val="FF0000"/>
                <w:sz w:val="16"/>
                <w:szCs w:val="16"/>
                <w:lang w:val="de-DE"/>
              </w:rPr>
            </w:pPr>
            <w:r w:rsidRPr="00B7186D">
              <w:rPr>
                <w:rFonts w:ascii="Arial" w:eastAsia="SimSun" w:hAnsi="Arial" w:cs="Arial"/>
                <w:b/>
                <w:iCs/>
                <w:color w:val="FF0000"/>
                <w:sz w:val="16"/>
                <w:szCs w:val="16"/>
                <w:lang w:val="de-DE"/>
              </w:rPr>
              <w:t>&lt;Unchanged text is omitted&gt;</w:t>
            </w:r>
          </w:p>
          <w:p w14:paraId="4D8271A9" w14:textId="77777777" w:rsidR="005854E1" w:rsidRPr="00B7186D" w:rsidRDefault="005854E1" w:rsidP="00191AD8">
            <w:pPr>
              <w:rPr>
                <w:rFonts w:ascii="Arial" w:eastAsia="Calibri" w:hAnsi="Arial" w:cs="Arial"/>
                <w:b/>
                <w:bCs/>
                <w:sz w:val="16"/>
                <w:szCs w:val="16"/>
                <w:lang w:val="de-DE"/>
              </w:rPr>
            </w:pPr>
            <w:r w:rsidRPr="00B7186D">
              <w:rPr>
                <w:rFonts w:ascii="Arial" w:eastAsia="Calibri" w:hAnsi="Arial" w:cs="Arial"/>
                <w:b/>
                <w:bCs/>
                <w:i/>
                <w:iCs/>
                <w:sz w:val="16"/>
                <w:szCs w:val="16"/>
                <w:lang w:val="de-DE"/>
              </w:rPr>
              <w:t>Model generalization</w:t>
            </w:r>
            <w:r w:rsidRPr="00B7186D">
              <w:rPr>
                <w:rFonts w:ascii="Arial" w:eastAsia="Calibri" w:hAnsi="Arial" w:cs="Arial"/>
                <w:b/>
                <w:bCs/>
                <w:sz w:val="16"/>
                <w:szCs w:val="16"/>
                <w:lang w:val="de-DE"/>
              </w:rPr>
              <w:t>:</w:t>
            </w:r>
          </w:p>
          <w:p w14:paraId="204F32BE" w14:textId="77777777" w:rsidR="005854E1" w:rsidRPr="00B7186D" w:rsidRDefault="005854E1" w:rsidP="00191AD8">
            <w:pPr>
              <w:rPr>
                <w:rFonts w:ascii="Arial" w:eastAsia="Calibri" w:hAnsi="Arial" w:cs="Arial"/>
                <w:sz w:val="16"/>
                <w:szCs w:val="16"/>
                <w:lang w:val="de-DE"/>
              </w:rPr>
            </w:pPr>
            <w:r w:rsidRPr="00B7186D">
              <w:rPr>
                <w:rFonts w:ascii="Arial" w:eastAsia="Calibri" w:hAnsi="Arial" w:cs="Arial"/>
                <w:sz w:val="16"/>
                <w:szCs w:val="16"/>
                <w:lang w:val="de-DE"/>
              </w:rPr>
              <w:t>To investigate the model generalization capability, at least the following aspect(s) are considered for the evaluation for AI/ML based positioning:</w:t>
            </w:r>
          </w:p>
          <w:p w14:paraId="195A6E67" w14:textId="77777777" w:rsidR="005854E1" w:rsidRPr="00B7186D" w:rsidRDefault="005854E1" w:rsidP="00191AD8">
            <w:pPr>
              <w:rPr>
                <w:rFonts w:ascii="Arial" w:eastAsia="Calibri" w:hAnsi="Arial" w:cs="Arial"/>
                <w:sz w:val="16"/>
                <w:szCs w:val="16"/>
                <w:lang w:val="de-DE"/>
              </w:rPr>
            </w:pPr>
            <w:r w:rsidRPr="00B7186D">
              <w:rPr>
                <w:rFonts w:ascii="Arial" w:eastAsia="Calibri" w:hAnsi="Arial" w:cs="Arial"/>
                <w:sz w:val="16"/>
                <w:szCs w:val="16"/>
                <w:lang w:val="de-DE"/>
              </w:rPr>
              <w:t>...</w:t>
            </w:r>
          </w:p>
          <w:p w14:paraId="3D4A34EB" w14:textId="77777777" w:rsidR="005854E1" w:rsidRPr="00B7186D" w:rsidRDefault="005854E1" w:rsidP="00191AD8">
            <w:pPr>
              <w:numPr>
                <w:ilvl w:val="0"/>
                <w:numId w:val="56"/>
              </w:numPr>
              <w:ind w:left="568" w:hanging="284"/>
              <w:rPr>
                <w:rFonts w:ascii="Arial" w:eastAsia="Calibri" w:hAnsi="Arial" w:cs="Arial"/>
                <w:sz w:val="16"/>
                <w:szCs w:val="16"/>
                <w:lang w:val="de-DE" w:eastAsia="ja-JP"/>
              </w:rPr>
            </w:pPr>
            <w:r w:rsidRPr="00B7186D">
              <w:rPr>
                <w:rFonts w:ascii="Arial" w:eastAsia="Calibri" w:hAnsi="Arial" w:cs="Arial"/>
                <w:sz w:val="16"/>
                <w:szCs w:val="16"/>
                <w:lang w:val="de-DE" w:eastAsia="ja-JP"/>
              </w:rPr>
              <w:t>-</w:t>
            </w:r>
            <w:r w:rsidRPr="00B7186D">
              <w:rPr>
                <w:rFonts w:ascii="Arial" w:eastAsia="Calibri" w:hAnsi="Arial" w:cs="Arial"/>
                <w:sz w:val="16"/>
                <w:szCs w:val="16"/>
                <w:lang w:val="de-DE" w:eastAsia="ja-JP"/>
              </w:rPr>
              <w:tab/>
              <w:t>InF scenarios, e.g., training dataset from one InF scenario (e.g., InF-DH), test dataset from a different InF scenario (e.g., InF-HH)</w:t>
            </w:r>
          </w:p>
          <w:p w14:paraId="62DCEA7E" w14:textId="77777777" w:rsidR="005854E1" w:rsidRPr="00B7186D" w:rsidRDefault="005854E1" w:rsidP="00191AD8">
            <w:pPr>
              <w:ind w:left="851" w:hanging="284"/>
              <w:rPr>
                <w:rFonts w:ascii="Arial" w:eastAsia="Calibri" w:hAnsi="Arial" w:cs="Arial"/>
                <w:strike/>
                <w:color w:val="FF0000"/>
                <w:sz w:val="16"/>
                <w:szCs w:val="16"/>
                <w:lang w:val="de-DE"/>
              </w:rPr>
            </w:pPr>
            <w:r w:rsidRPr="00B7186D">
              <w:rPr>
                <w:rFonts w:ascii="Arial" w:eastAsia="Calibri" w:hAnsi="Arial" w:cs="Arial"/>
                <w:strike/>
                <w:color w:val="FF0000"/>
                <w:sz w:val="16"/>
                <w:szCs w:val="16"/>
                <w:lang w:val="de-DE"/>
              </w:rPr>
              <w:t>-</w:t>
            </w:r>
            <w:r w:rsidRPr="00B7186D">
              <w:rPr>
                <w:rFonts w:ascii="Arial" w:eastAsia="Calibri" w:hAnsi="Arial" w:cs="Arial"/>
                <w:strike/>
                <w:color w:val="FF0000"/>
                <w:sz w:val="16"/>
                <w:szCs w:val="16"/>
                <w:lang w:val="de-DE"/>
              </w:rPr>
              <w:tab/>
              <w:t xml:space="preserve">If an InF scenario different from InF-DH is evaluated for the model generalization capability, the selected parameters (e.g., clutter parameters) are compliant with TR 38.901 Table 7.2-4 (Evaluation parameters for InF). Note: In TR 38.857 Table 6.1-1 (Parameters common to InF scenarios), InF-SH scenario uses the clutter parameter {20%, 2m, 10m} which is compliant with TR 38.901. </w:t>
            </w:r>
          </w:p>
          <w:p w14:paraId="501CDCC8" w14:textId="77777777" w:rsidR="005854E1" w:rsidRPr="00B7186D" w:rsidRDefault="005854E1" w:rsidP="00191AD8">
            <w:pPr>
              <w:rPr>
                <w:rFonts w:ascii="Arial" w:eastAsia="Calibri" w:hAnsi="Arial" w:cs="Arial"/>
                <w:sz w:val="16"/>
                <w:szCs w:val="16"/>
                <w:lang w:val="de-DE"/>
              </w:rPr>
            </w:pPr>
            <w:r w:rsidRPr="00B7186D">
              <w:rPr>
                <w:rFonts w:ascii="Arial" w:eastAsia="Calibri" w:hAnsi="Arial" w:cs="Arial"/>
                <w:sz w:val="16"/>
                <w:szCs w:val="16"/>
                <w:lang w:val="de-DE"/>
              </w:rPr>
              <w:t>...</w:t>
            </w:r>
          </w:p>
          <w:p w14:paraId="7E4ECBE7" w14:textId="77777777" w:rsidR="005854E1" w:rsidRPr="00B7186D" w:rsidRDefault="005854E1" w:rsidP="00191AD8">
            <w:pPr>
              <w:rPr>
                <w:rFonts w:ascii="Arial" w:eastAsia="MS Mincho" w:hAnsi="Arial" w:cs="Arial"/>
                <w:sz w:val="16"/>
                <w:szCs w:val="16"/>
                <w:lang w:val="de-DE"/>
              </w:rPr>
            </w:pPr>
            <w:r w:rsidRPr="00B7186D">
              <w:rPr>
                <w:rFonts w:ascii="Arial" w:eastAsia="MS Mincho" w:hAnsi="Arial" w:cs="Arial"/>
                <w:b/>
                <w:bCs/>
                <w:i/>
                <w:iCs/>
                <w:sz w:val="16"/>
                <w:szCs w:val="16"/>
                <w:lang w:val="de-DE"/>
              </w:rPr>
              <w:t>Evaluation assumptions</w:t>
            </w:r>
            <w:r w:rsidRPr="00B7186D">
              <w:rPr>
                <w:rFonts w:ascii="Arial" w:eastAsia="MS Mincho" w:hAnsi="Arial" w:cs="Arial"/>
                <w:b/>
                <w:bCs/>
                <w:sz w:val="16"/>
                <w:szCs w:val="16"/>
                <w:lang w:val="de-DE"/>
              </w:rPr>
              <w:t>:</w:t>
            </w:r>
          </w:p>
          <w:p w14:paraId="2FF168A9" w14:textId="77777777" w:rsidR="005854E1" w:rsidRPr="00B7186D" w:rsidRDefault="005854E1" w:rsidP="00191AD8">
            <w:pPr>
              <w:rPr>
                <w:rFonts w:ascii="Arial" w:eastAsia="MS Mincho" w:hAnsi="Arial" w:cs="Arial"/>
                <w:sz w:val="16"/>
                <w:szCs w:val="16"/>
                <w:lang w:val="de-DE"/>
              </w:rPr>
            </w:pPr>
            <w:r w:rsidRPr="00B7186D">
              <w:rPr>
                <w:rFonts w:ascii="Arial" w:eastAsia="MS Mincho" w:hAnsi="Arial" w:cs="Arial"/>
                <w:sz w:val="16"/>
                <w:szCs w:val="16"/>
                <w:lang w:val="de-DE"/>
              </w:rPr>
              <w:t xml:space="preserve">The IIoT indoor factory (InF) scenario is a prioritized scenario for evaluation of AI/ML based positioning. Specifically, InF-DH sub-scenario is prioritized for FR1 and FR2. </w:t>
            </w:r>
          </w:p>
          <w:p w14:paraId="5B48EC17" w14:textId="77777777" w:rsidR="005854E1" w:rsidRPr="00B7186D" w:rsidRDefault="005854E1" w:rsidP="00191AD8">
            <w:pPr>
              <w:rPr>
                <w:rFonts w:ascii="Arial" w:eastAsia="MS Mincho" w:hAnsi="Arial" w:cs="Arial"/>
                <w:color w:val="FF0000"/>
                <w:sz w:val="16"/>
                <w:szCs w:val="16"/>
                <w:lang w:val="de-DE"/>
              </w:rPr>
            </w:pPr>
            <w:r w:rsidRPr="00B7186D">
              <w:rPr>
                <w:rFonts w:ascii="Arial" w:eastAsia="MS Mincho" w:hAnsi="Arial" w:cs="Arial"/>
                <w:sz w:val="16"/>
                <w:szCs w:val="16"/>
                <w:lang w:val="de-DE"/>
              </w:rPr>
              <w:t xml:space="preserve">Reuse the common scenario parameters defined in Table 6-1 of TR 38.857. For evaluation of InF-DH scenario, the parameters are modified from TR 38.857 Table 6.1-1 as shown in Table </w:t>
            </w:r>
            <w:r w:rsidRPr="00B7186D">
              <w:rPr>
                <w:rFonts w:ascii="Arial" w:eastAsia="MS Mincho" w:hAnsi="Arial" w:cs="Arial"/>
                <w:strike/>
                <w:color w:val="FF0000"/>
                <w:sz w:val="16"/>
                <w:szCs w:val="16"/>
                <w:lang w:val="de-DE"/>
              </w:rPr>
              <w:t>6-5</w:t>
            </w:r>
            <w:r w:rsidRPr="00B7186D">
              <w:rPr>
                <w:rFonts w:ascii="Arial" w:eastAsia="MS Mincho" w:hAnsi="Arial" w:cs="Arial"/>
                <w:color w:val="FF0000"/>
                <w:sz w:val="16"/>
                <w:szCs w:val="16"/>
                <w:lang w:val="de-DE"/>
              </w:rPr>
              <w:t>6.4.1-1</w:t>
            </w:r>
            <w:r w:rsidRPr="00B7186D">
              <w:rPr>
                <w:rFonts w:ascii="Arial" w:eastAsia="MS Mincho" w:hAnsi="Arial" w:cs="Arial"/>
                <w:sz w:val="16"/>
                <w:szCs w:val="16"/>
                <w:lang w:val="de-DE"/>
              </w:rPr>
              <w:t xml:space="preserve">. </w:t>
            </w:r>
            <w:r w:rsidRPr="00B7186D">
              <w:rPr>
                <w:rFonts w:ascii="Arial" w:eastAsia="MS Mincho" w:hAnsi="Arial" w:cs="Arial"/>
                <w:color w:val="000000"/>
                <w:sz w:val="16"/>
                <w:szCs w:val="16"/>
                <w:lang w:val="de-DE"/>
              </w:rPr>
              <w:t xml:space="preserve">The parameters in the table are applicable to InF-DH at least. If other InF sub-scenario is </w:t>
            </w:r>
            <w:r w:rsidRPr="00B7186D">
              <w:rPr>
                <w:rFonts w:ascii="Arial" w:eastAsia="MS Mincho" w:hAnsi="Arial" w:cs="Arial"/>
                <w:strike/>
                <w:color w:val="FF0000"/>
                <w:sz w:val="16"/>
                <w:szCs w:val="16"/>
                <w:lang w:val="de-DE"/>
              </w:rPr>
              <w:t>prioritized</w:t>
            </w:r>
            <w:r w:rsidRPr="00B7186D">
              <w:rPr>
                <w:rFonts w:ascii="Arial" w:eastAsia="MS Mincho" w:hAnsi="Arial" w:cs="Arial"/>
                <w:color w:val="000000"/>
                <w:sz w:val="16"/>
                <w:szCs w:val="16"/>
                <w:lang w:val="de-DE"/>
              </w:rPr>
              <w:t xml:space="preserve"> </w:t>
            </w:r>
            <w:r w:rsidRPr="00B7186D">
              <w:rPr>
                <w:rFonts w:ascii="Arial" w:eastAsia="MS Mincho" w:hAnsi="Arial" w:cs="Arial"/>
                <w:color w:val="FF0000"/>
                <w:sz w:val="16"/>
                <w:szCs w:val="16"/>
                <w:lang w:val="de-DE"/>
              </w:rPr>
              <w:t xml:space="preserve">evaluated </w:t>
            </w:r>
            <w:r w:rsidRPr="00B7186D">
              <w:rPr>
                <w:rFonts w:ascii="Arial" w:eastAsia="MS Mincho" w:hAnsi="Arial" w:cs="Arial"/>
                <w:color w:val="000000"/>
                <w:sz w:val="16"/>
                <w:szCs w:val="16"/>
                <w:lang w:val="de-DE"/>
              </w:rPr>
              <w:t>in addition to InF-DH, some parameters in Table 6-5 may be updated</w:t>
            </w:r>
            <w:r w:rsidRPr="00B7186D">
              <w:rPr>
                <w:rFonts w:ascii="Arial" w:eastAsia="MS Mincho" w:hAnsi="Arial" w:cs="Arial"/>
                <w:strike/>
                <w:color w:val="FF0000"/>
                <w:sz w:val="16"/>
                <w:szCs w:val="16"/>
                <w:lang w:val="de-DE"/>
              </w:rPr>
              <w:t>:</w:t>
            </w:r>
            <w:r w:rsidRPr="00B7186D">
              <w:rPr>
                <w:rFonts w:ascii="Arial" w:eastAsia="MS Mincho" w:hAnsi="Arial" w:cs="Arial"/>
                <w:color w:val="FF0000"/>
                <w:sz w:val="16"/>
                <w:szCs w:val="16"/>
                <w:lang w:val="de-DE"/>
              </w:rPr>
              <w:t>.</w:t>
            </w:r>
            <w:r w:rsidRPr="00B7186D">
              <w:rPr>
                <w:rFonts w:ascii="Arial" w:eastAsia="MS Mincho" w:hAnsi="Arial" w:cs="Arial"/>
                <w:sz w:val="16"/>
                <w:szCs w:val="16"/>
                <w:lang w:val="de-DE"/>
              </w:rPr>
              <w:t xml:space="preserve"> </w:t>
            </w:r>
            <w:r w:rsidRPr="00B7186D">
              <w:rPr>
                <w:rFonts w:ascii="Arial" w:eastAsia="Calibri" w:hAnsi="Arial" w:cs="Arial"/>
                <w:color w:val="FF0000"/>
                <w:sz w:val="16"/>
                <w:szCs w:val="16"/>
                <w:lang w:val="de-DE"/>
              </w:rPr>
              <w:t>If an InF scenario different from InF-DH is evaluated for the model generalization capability, the selected parameters (e.g., clutter parameters) are compliant with TR 38.901 Table 7.2-4 (Evaluation parameters for InF). Note: In TR 38.857 Table 6.1-1 (Parameters common to InF scenarios), InF-SH scenario uses the clutter parameter {20%, 2m, 10m} which is compliant with TR 38.901.</w:t>
            </w:r>
          </w:p>
          <w:p w14:paraId="17962040" w14:textId="77777777" w:rsidR="005854E1" w:rsidRPr="00B7186D" w:rsidRDefault="005854E1" w:rsidP="00191AD8">
            <w:pPr>
              <w:keepLines/>
              <w:widowControl w:val="0"/>
              <w:jc w:val="center"/>
              <w:rPr>
                <w:rFonts w:ascii="Arial" w:eastAsia="MS Mincho" w:hAnsi="Arial" w:cs="Arial"/>
                <w:b/>
                <w:sz w:val="16"/>
                <w:szCs w:val="16"/>
                <w:lang w:val="de-DE"/>
              </w:rPr>
            </w:pPr>
            <w:r w:rsidRPr="00B7186D">
              <w:rPr>
                <w:rFonts w:ascii="Arial" w:eastAsia="MS Mincho" w:hAnsi="Arial" w:cs="Arial"/>
                <w:b/>
                <w:sz w:val="16"/>
                <w:szCs w:val="16"/>
                <w:lang w:val="de-DE"/>
              </w:rPr>
              <w:t>Table 6</w:t>
            </w:r>
            <w:r w:rsidRPr="00B7186D">
              <w:rPr>
                <w:rFonts w:ascii="Arial" w:eastAsia="MS Mincho" w:hAnsi="Arial" w:cs="Arial"/>
                <w:b/>
                <w:color w:val="FF0000"/>
                <w:sz w:val="16"/>
                <w:szCs w:val="16"/>
                <w:lang w:val="de-DE"/>
              </w:rPr>
              <w:t>.</w:t>
            </w:r>
            <w:r w:rsidRPr="00B7186D">
              <w:rPr>
                <w:rFonts w:ascii="Arial" w:eastAsia="MS Mincho" w:hAnsi="Arial" w:cs="Arial"/>
                <w:b/>
                <w:sz w:val="16"/>
                <w:szCs w:val="16"/>
                <w:lang w:val="de-DE"/>
              </w:rPr>
              <w:t xml:space="preserve">4.1-1: Parameters common to InF scenario (Modified from TR 38.857 Table 6.1-1) for AI/ML based positioning evaluations </w:t>
            </w:r>
          </w:p>
          <w:p w14:paraId="755FEE52" w14:textId="77777777" w:rsidR="005854E1" w:rsidRPr="00B7186D" w:rsidRDefault="005854E1" w:rsidP="00191AD8">
            <w:pPr>
              <w:jc w:val="center"/>
              <w:rPr>
                <w:rFonts w:ascii="Arial" w:eastAsia="SimSun" w:hAnsi="Arial" w:cs="Arial"/>
                <w:b/>
                <w:iCs/>
                <w:color w:val="FF0000"/>
                <w:sz w:val="16"/>
                <w:szCs w:val="16"/>
                <w:lang w:val="de-DE"/>
              </w:rPr>
            </w:pPr>
            <w:r w:rsidRPr="00B7186D">
              <w:rPr>
                <w:rFonts w:ascii="Arial" w:eastAsia="SimSun" w:hAnsi="Arial" w:cs="Arial"/>
                <w:b/>
                <w:iCs/>
                <w:color w:val="FF0000"/>
                <w:sz w:val="16"/>
                <w:szCs w:val="16"/>
                <w:lang w:val="de-DE"/>
              </w:rPr>
              <w:t>&lt;Unchanged text is omitted&gt;</w:t>
            </w:r>
          </w:p>
          <w:p w14:paraId="7C46AD08" w14:textId="77777777" w:rsidR="005854E1" w:rsidRPr="00B7186D" w:rsidRDefault="005854E1" w:rsidP="00191AD8">
            <w:pPr>
              <w:rPr>
                <w:rFonts w:ascii="Arial" w:eastAsia="Calibri" w:hAnsi="Arial" w:cs="Arial"/>
                <w:sz w:val="16"/>
                <w:szCs w:val="16"/>
                <w:lang w:val="de-DE"/>
              </w:rPr>
            </w:pPr>
          </w:p>
          <w:p w14:paraId="3E6905D1" w14:textId="77777777" w:rsidR="005854E1" w:rsidRPr="00B7186D" w:rsidRDefault="005854E1" w:rsidP="00191AD8">
            <w:pPr>
              <w:rPr>
                <w:rFonts w:ascii="Arial" w:eastAsia="Calibri" w:hAnsi="Arial" w:cs="Arial"/>
                <w:sz w:val="16"/>
                <w:szCs w:val="16"/>
                <w:lang w:val="de-DE"/>
              </w:rPr>
            </w:pPr>
            <w:r w:rsidRPr="00B7186D">
              <w:rPr>
                <w:rFonts w:ascii="Arial" w:eastAsia="DengXian" w:hAnsi="Arial" w:cs="Arial"/>
                <w:sz w:val="16"/>
                <w:szCs w:val="16"/>
                <w:lang w:val="de-DE" w:eastAsia="zh-CN"/>
              </w:rPr>
              <w:t>When</w:t>
            </w:r>
            <w:r w:rsidRPr="00B7186D">
              <w:rPr>
                <w:rFonts w:ascii="Arial" w:eastAsia="Calibri" w:hAnsi="Arial" w:cs="Arial"/>
                <w:sz w:val="16"/>
                <w:szCs w:val="16"/>
                <w:lang w:val="de-DE"/>
              </w:rPr>
              <w:t xml:space="preserve"> single-TRP construction is used for the AI/ML model, companies report at least the AI/ML complexity (Model complexity, Computation complexity) for N TRPs, which are used to determine the position of a target UE considering the various constructions in Table </w:t>
            </w:r>
            <w:r w:rsidRPr="00B7186D">
              <w:rPr>
                <w:rFonts w:ascii="Arial" w:eastAsia="Calibri" w:hAnsi="Arial" w:cs="Arial"/>
                <w:strike/>
                <w:color w:val="FF0000"/>
                <w:sz w:val="16"/>
                <w:szCs w:val="16"/>
                <w:lang w:val="de-DE"/>
              </w:rPr>
              <w:t>6-6</w:t>
            </w:r>
            <w:r w:rsidRPr="00B7186D">
              <w:rPr>
                <w:rFonts w:ascii="Arial" w:eastAsia="Calibri" w:hAnsi="Arial" w:cs="Arial"/>
                <w:color w:val="FF0000"/>
                <w:sz w:val="16"/>
                <w:szCs w:val="16"/>
                <w:lang w:val="de-DE"/>
              </w:rPr>
              <w:t xml:space="preserve">6.4.1-2 </w:t>
            </w:r>
            <w:r w:rsidRPr="00B7186D">
              <w:rPr>
                <w:rFonts w:ascii="Arial" w:eastAsia="Calibri" w:hAnsi="Arial" w:cs="Arial"/>
                <w:sz w:val="16"/>
                <w:szCs w:val="16"/>
                <w:lang w:val="de-DE"/>
              </w:rPr>
              <w:t>below.</w:t>
            </w:r>
          </w:p>
          <w:p w14:paraId="5E10EAC8" w14:textId="77777777" w:rsidR="005854E1" w:rsidRPr="00B7186D" w:rsidRDefault="005854E1" w:rsidP="00191AD8">
            <w:pPr>
              <w:keepNext/>
              <w:keepLines/>
              <w:overflowPunct w:val="0"/>
              <w:autoSpaceDE w:val="0"/>
              <w:autoSpaceDN w:val="0"/>
              <w:adjustRightInd w:val="0"/>
              <w:jc w:val="center"/>
              <w:textAlignment w:val="baseline"/>
              <w:rPr>
                <w:rFonts w:ascii="Arial" w:eastAsia="Calibri" w:hAnsi="Arial" w:cs="Arial"/>
                <w:b/>
                <w:sz w:val="16"/>
                <w:szCs w:val="16"/>
                <w:lang w:val="en-US" w:eastAsia="en-GB"/>
              </w:rPr>
            </w:pPr>
            <w:r w:rsidRPr="00B7186D">
              <w:rPr>
                <w:rFonts w:ascii="Arial" w:eastAsia="Calibri" w:hAnsi="Arial" w:cs="Arial"/>
                <w:b/>
                <w:sz w:val="16"/>
                <w:szCs w:val="16"/>
                <w:lang w:val="en-US" w:eastAsia="en-GB"/>
              </w:rPr>
              <w:t xml:space="preserve">Table 6.4.1-2: Model complexity and computational complexity to support N TRPs for a target UE </w:t>
            </w:r>
          </w:p>
          <w:p w14:paraId="44007101" w14:textId="77777777" w:rsidR="005854E1" w:rsidRPr="00B7186D" w:rsidRDefault="005854E1" w:rsidP="00191AD8">
            <w:pPr>
              <w:jc w:val="center"/>
              <w:rPr>
                <w:rFonts w:ascii="Arial" w:eastAsia="SimSun" w:hAnsi="Arial" w:cs="Arial"/>
                <w:b/>
                <w:iCs/>
                <w:color w:val="FF0000"/>
                <w:sz w:val="16"/>
                <w:szCs w:val="16"/>
                <w:lang w:val="de-DE"/>
              </w:rPr>
            </w:pPr>
            <w:r w:rsidRPr="00B7186D">
              <w:rPr>
                <w:rFonts w:ascii="Arial" w:eastAsia="SimSun" w:hAnsi="Arial" w:cs="Arial"/>
                <w:b/>
                <w:iCs/>
                <w:color w:val="FF0000"/>
                <w:sz w:val="16"/>
                <w:szCs w:val="16"/>
                <w:lang w:val="de-DE"/>
              </w:rPr>
              <w:t>&lt;Unchanged text is omitted&gt;</w:t>
            </w:r>
          </w:p>
          <w:p w14:paraId="659B9E27" w14:textId="77777777" w:rsidR="005854E1" w:rsidRPr="00B7186D" w:rsidRDefault="005854E1" w:rsidP="00191AD8">
            <w:pPr>
              <w:rPr>
                <w:rFonts w:ascii="Arial" w:eastAsia="Calibri" w:hAnsi="Arial" w:cs="Arial"/>
                <w:sz w:val="16"/>
                <w:szCs w:val="16"/>
                <w:lang w:val="de-DE"/>
              </w:rPr>
            </w:pPr>
            <w:r w:rsidRPr="00B7186D">
              <w:rPr>
                <w:rFonts w:ascii="Arial" w:eastAsia="Calibri" w:hAnsi="Arial" w:cs="Arial"/>
                <w:sz w:val="16"/>
                <w:szCs w:val="16"/>
                <w:lang w:val="de-DE"/>
              </w:rPr>
              <w:t>=======================  End of text proposal to TR 38.843 v1.2.0 ====================</w:t>
            </w:r>
          </w:p>
        </w:tc>
      </w:tr>
    </w:tbl>
    <w:p w14:paraId="36A347F1" w14:textId="77777777" w:rsidR="005854E1" w:rsidRDefault="005854E1" w:rsidP="005854E1"/>
    <w:p w14:paraId="2E7BBA06" w14:textId="5DCF797B" w:rsidR="00191AD8" w:rsidRPr="005854E1" w:rsidRDefault="00191AD8" w:rsidP="005854E1">
      <w:r w:rsidRPr="00191AD8">
        <w:rPr>
          <w:highlight w:val="green"/>
        </w:rPr>
        <w:t>Agreement</w:t>
      </w:r>
    </w:p>
    <w:p w14:paraId="27DA6E48" w14:textId="77777777" w:rsidR="005854E1" w:rsidRPr="005854E1" w:rsidRDefault="005854E1" w:rsidP="005854E1">
      <w:r w:rsidRPr="005854E1">
        <w:rPr>
          <w:rFonts w:cs="Arial"/>
        </w:rPr>
        <w:t>Capture in TR 38.843 the model inference complexity figure for the positioning use case, which shows the (a) model complexity in number of real parameters (millions) and (b) computational complexity in FLOPs (millions).</w:t>
      </w:r>
    </w:p>
    <w:tbl>
      <w:tblPr>
        <w:tblW w:w="5000" w:type="pct"/>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0683"/>
      </w:tblGrid>
      <w:tr w:rsidR="005854E1" w:rsidRPr="005854E1" w14:paraId="19D78375" w14:textId="77777777" w:rsidTr="00191AD8">
        <w:tc>
          <w:tcPr>
            <w:tcW w:w="5000" w:type="pct"/>
            <w:shd w:val="clear" w:color="auto" w:fill="auto"/>
          </w:tcPr>
          <w:p w14:paraId="13756B8A" w14:textId="77777777" w:rsidR="005854E1" w:rsidRPr="005854E1" w:rsidRDefault="005854E1" w:rsidP="00191AD8">
            <w:pPr>
              <w:rPr>
                <w:rFonts w:ascii="Arial" w:eastAsia="Calibri" w:hAnsi="Arial" w:cs="Arial"/>
                <w:sz w:val="16"/>
                <w:szCs w:val="16"/>
                <w:lang w:val="de-DE"/>
              </w:rPr>
            </w:pPr>
            <w:r w:rsidRPr="005854E1">
              <w:rPr>
                <w:rFonts w:ascii="Arial" w:eastAsia="Calibri" w:hAnsi="Arial" w:cs="Arial"/>
                <w:sz w:val="16"/>
                <w:szCs w:val="16"/>
                <w:lang w:val="de-DE"/>
              </w:rPr>
              <w:t>======================= Start of text proposal to TR 38.843 v1.2.0 ====================</w:t>
            </w:r>
          </w:p>
          <w:p w14:paraId="1AAB391F" w14:textId="77777777" w:rsidR="005854E1" w:rsidRPr="005854E1" w:rsidRDefault="005854E1" w:rsidP="00191AD8">
            <w:pPr>
              <w:rPr>
                <w:rFonts w:ascii="Arial" w:hAnsi="Arial" w:cs="Arial"/>
                <w:b/>
                <w:bCs/>
                <w:sz w:val="16"/>
                <w:szCs w:val="16"/>
              </w:rPr>
            </w:pPr>
            <w:r w:rsidRPr="005854E1">
              <w:rPr>
                <w:rFonts w:ascii="Arial" w:hAnsi="Arial" w:cs="Arial"/>
                <w:b/>
                <w:bCs/>
                <w:sz w:val="16"/>
                <w:szCs w:val="16"/>
              </w:rPr>
              <w:t>6.4.2</w:t>
            </w:r>
            <w:r w:rsidRPr="005854E1">
              <w:rPr>
                <w:rFonts w:ascii="Arial" w:hAnsi="Arial" w:cs="Arial"/>
                <w:b/>
                <w:bCs/>
                <w:sz w:val="16"/>
                <w:szCs w:val="16"/>
              </w:rPr>
              <w:tab/>
              <w:t>Performance results</w:t>
            </w:r>
          </w:p>
          <w:p w14:paraId="35BB1648" w14:textId="77777777" w:rsidR="005854E1" w:rsidRPr="005854E1" w:rsidRDefault="005854E1" w:rsidP="00191AD8">
            <w:pPr>
              <w:jc w:val="center"/>
              <w:rPr>
                <w:rFonts w:ascii="Arial" w:eastAsia="SimSun" w:hAnsi="Arial" w:cs="Arial"/>
                <w:b/>
                <w:iCs/>
                <w:color w:val="FF0000"/>
                <w:sz w:val="16"/>
                <w:szCs w:val="16"/>
                <w:lang w:val="de-DE"/>
              </w:rPr>
            </w:pPr>
            <w:r w:rsidRPr="005854E1">
              <w:rPr>
                <w:rFonts w:ascii="Arial" w:eastAsia="SimSun" w:hAnsi="Arial" w:cs="Arial"/>
                <w:b/>
                <w:iCs/>
                <w:color w:val="FF0000"/>
                <w:sz w:val="16"/>
                <w:szCs w:val="16"/>
                <w:lang w:val="de-DE"/>
              </w:rPr>
              <w:t>&lt;Unchanged text is omitted&gt;</w:t>
            </w:r>
          </w:p>
          <w:p w14:paraId="65528E96" w14:textId="77777777" w:rsidR="005854E1" w:rsidRPr="005854E1" w:rsidRDefault="005854E1" w:rsidP="00191AD8">
            <w:pPr>
              <w:rPr>
                <w:rFonts w:ascii="Arial" w:eastAsia="Calibri" w:hAnsi="Arial" w:cs="Arial"/>
                <w:b/>
                <w:bCs/>
                <w:i/>
                <w:iCs/>
                <w:sz w:val="16"/>
                <w:szCs w:val="16"/>
                <w:lang w:val="de-DE"/>
              </w:rPr>
            </w:pPr>
            <w:r w:rsidRPr="005854E1">
              <w:rPr>
                <w:rFonts w:ascii="Arial" w:eastAsia="Calibri" w:hAnsi="Arial" w:cs="Arial"/>
                <w:b/>
                <w:bCs/>
                <w:i/>
                <w:iCs/>
                <w:sz w:val="16"/>
                <w:szCs w:val="16"/>
                <w:lang w:val="de-DE"/>
              </w:rPr>
              <w:t>Model monitoring</w:t>
            </w:r>
          </w:p>
          <w:p w14:paraId="2B3506CE" w14:textId="77777777" w:rsidR="005854E1" w:rsidRPr="005854E1" w:rsidRDefault="005854E1" w:rsidP="00191AD8">
            <w:pPr>
              <w:rPr>
                <w:rFonts w:ascii="Arial" w:eastAsia="Calibri" w:hAnsi="Arial" w:cs="Arial"/>
                <w:sz w:val="16"/>
                <w:szCs w:val="16"/>
                <w:lang w:val="de-DE"/>
              </w:rPr>
            </w:pPr>
            <w:r w:rsidRPr="005854E1">
              <w:rPr>
                <w:rFonts w:ascii="Arial" w:eastAsia="Calibri" w:hAnsi="Arial" w:cs="Arial"/>
                <w:sz w:val="16"/>
                <w:szCs w:val="16"/>
                <w:lang w:val="de-DE"/>
              </w:rPr>
              <w:t>...</w:t>
            </w:r>
          </w:p>
          <w:p w14:paraId="2C52DF69" w14:textId="77777777" w:rsidR="005854E1" w:rsidRPr="005854E1" w:rsidRDefault="005854E1" w:rsidP="00191AD8">
            <w:pPr>
              <w:rPr>
                <w:rFonts w:ascii="Arial" w:eastAsia="Calibri" w:hAnsi="Arial" w:cs="Arial"/>
                <w:sz w:val="16"/>
                <w:szCs w:val="16"/>
                <w:lang w:val="de-DE"/>
              </w:rPr>
            </w:pPr>
            <w:r w:rsidRPr="005854E1">
              <w:rPr>
                <w:rFonts w:ascii="Arial" w:eastAsia="Calibri" w:hAnsi="Arial" w:cs="Arial"/>
                <w:sz w:val="16"/>
                <w:szCs w:val="16"/>
                <w:lang w:val="de-DE"/>
              </w:rPr>
              <w:t>For both direct AI/ML and AI/ML assisted positioning, evaluation results have been provided by sources to demonstrate the feasibility of label-free model monitoring methods.</w:t>
            </w:r>
          </w:p>
          <w:p w14:paraId="02517911" w14:textId="77777777" w:rsidR="005854E1" w:rsidRPr="005854E1" w:rsidRDefault="005854E1" w:rsidP="00191AD8">
            <w:pPr>
              <w:rPr>
                <w:rFonts w:ascii="Arial" w:eastAsia="Calibri" w:hAnsi="Arial" w:cs="Arial"/>
                <w:b/>
                <w:bCs/>
                <w:i/>
                <w:iCs/>
                <w:color w:val="FF0000"/>
                <w:sz w:val="16"/>
                <w:szCs w:val="16"/>
                <w:lang w:val="de-DE"/>
              </w:rPr>
            </w:pPr>
            <w:r w:rsidRPr="005854E1">
              <w:rPr>
                <w:rFonts w:ascii="Arial" w:eastAsia="Calibri" w:hAnsi="Arial" w:cs="Arial"/>
                <w:b/>
                <w:bCs/>
                <w:i/>
                <w:iCs/>
                <w:color w:val="FF0000"/>
                <w:sz w:val="16"/>
                <w:szCs w:val="16"/>
                <w:lang w:val="de-DE"/>
              </w:rPr>
              <w:t>Model complexity and computational complexity</w:t>
            </w:r>
          </w:p>
          <w:p w14:paraId="0A9E4451" w14:textId="77777777" w:rsidR="005854E1" w:rsidRPr="005854E1" w:rsidRDefault="005854E1" w:rsidP="00191AD8">
            <w:pPr>
              <w:rPr>
                <w:rFonts w:ascii="Arial" w:eastAsia="Calibri" w:hAnsi="Arial" w:cs="Arial"/>
                <w:color w:val="FF0000"/>
                <w:sz w:val="16"/>
                <w:szCs w:val="16"/>
                <w:lang w:val="de-DE"/>
              </w:rPr>
            </w:pPr>
            <w:r w:rsidRPr="005854E1">
              <w:rPr>
                <w:rFonts w:ascii="Arial" w:eastAsia="Calibri" w:hAnsi="Arial" w:cs="Arial"/>
                <w:color w:val="FF0000"/>
                <w:sz w:val="16"/>
                <w:szCs w:val="16"/>
                <w:lang w:val="de-DE"/>
              </w:rPr>
              <w:t xml:space="preserve">For AI/ML based positioning method, companies have submitted evaluation results to show that for their evaluated cases, for a given company’s model design, a lower complexity (model complexity and computational complexity) model can still achieve acceptable positioning accuracy (e.g., &lt;1m), albeit degraded, when compared to a model with higher AI/ML complexity. </w:t>
            </w:r>
          </w:p>
          <w:p w14:paraId="74AF814F" w14:textId="77777777" w:rsidR="005854E1" w:rsidRPr="005854E1" w:rsidRDefault="005854E1" w:rsidP="00191AD8">
            <w:pPr>
              <w:rPr>
                <w:rFonts w:ascii="Arial" w:eastAsia="Calibri" w:hAnsi="Arial" w:cs="Arial"/>
                <w:color w:val="FF0000"/>
                <w:sz w:val="16"/>
                <w:szCs w:val="16"/>
                <w:lang w:val="de-DE"/>
              </w:rPr>
            </w:pPr>
          </w:p>
          <w:p w14:paraId="0C00B924" w14:textId="77777777" w:rsidR="005854E1" w:rsidRPr="005854E1" w:rsidRDefault="005854E1" w:rsidP="00191AD8">
            <w:pPr>
              <w:rPr>
                <w:rFonts w:ascii="Arial" w:eastAsia="Calibri" w:hAnsi="Arial" w:cs="Arial"/>
                <w:color w:val="FF0000"/>
                <w:sz w:val="16"/>
                <w:szCs w:val="16"/>
                <w:lang w:val="de-DE"/>
              </w:rPr>
            </w:pPr>
            <w:r w:rsidRPr="005854E1">
              <w:rPr>
                <w:rFonts w:ascii="Arial" w:eastAsia="Calibri" w:hAnsi="Arial" w:cs="Arial"/>
                <w:color w:val="FF0000"/>
                <w:sz w:val="16"/>
                <w:szCs w:val="16"/>
                <w:lang w:val="de-DE"/>
              </w:rPr>
              <w:t xml:space="preserve">In Figure 6.4.2-1 below, the model inference complexity </w:t>
            </w:r>
            <w:r w:rsidRPr="005854E1">
              <w:rPr>
                <w:rFonts w:ascii="Arial" w:eastAsia="Calibri" w:hAnsi="Arial" w:cs="Arial"/>
                <w:color w:val="0070C0"/>
                <w:sz w:val="16"/>
                <w:szCs w:val="16"/>
                <w:lang w:val="de-DE"/>
              </w:rPr>
              <w:t xml:space="preserve">reported by companies </w:t>
            </w:r>
            <w:r w:rsidRPr="005854E1">
              <w:rPr>
                <w:rFonts w:ascii="Arial" w:eastAsia="Calibri" w:hAnsi="Arial" w:cs="Arial"/>
                <w:color w:val="FF0000"/>
                <w:sz w:val="16"/>
                <w:szCs w:val="16"/>
                <w:lang w:val="de-DE"/>
              </w:rPr>
              <w:t xml:space="preserve">for the positioning use case </w:t>
            </w:r>
            <w:r w:rsidRPr="005854E1">
              <w:rPr>
                <w:rFonts w:ascii="Arial" w:eastAsia="Calibri" w:hAnsi="Arial" w:cs="Arial"/>
                <w:color w:val="0070C0"/>
                <w:sz w:val="16"/>
                <w:szCs w:val="16"/>
                <w:lang w:val="de-DE"/>
              </w:rPr>
              <w:t>is</w:t>
            </w:r>
            <w:r w:rsidRPr="005854E1">
              <w:rPr>
                <w:rFonts w:ascii="Arial" w:eastAsia="Calibri" w:hAnsi="Arial" w:cs="Arial"/>
                <w:color w:val="FF0000"/>
                <w:sz w:val="16"/>
                <w:szCs w:val="16"/>
                <w:lang w:val="de-DE"/>
              </w:rPr>
              <w:t xml:space="preserve"> shown, including (a) on the x-axis: model complexity in number of real parameters (millions) and (b) on the y-axis: computational complexity in FLOPs (millions). Figure 6.4.2-1 shows the range of complexity for the </w:t>
            </w:r>
            <w:r w:rsidRPr="005854E1">
              <w:rPr>
                <w:rFonts w:ascii="Arial" w:eastAsia="Calibri" w:hAnsi="Arial" w:cs="Arial"/>
                <w:color w:val="0070C0"/>
                <w:sz w:val="16"/>
                <w:szCs w:val="16"/>
                <w:lang w:val="de-DE"/>
              </w:rPr>
              <w:t>following</w:t>
            </w:r>
            <w:r w:rsidRPr="005854E1">
              <w:rPr>
                <w:rFonts w:ascii="Arial" w:eastAsia="Calibri" w:hAnsi="Arial" w:cs="Arial"/>
                <w:color w:val="FF0000"/>
                <w:sz w:val="16"/>
                <w:szCs w:val="16"/>
                <w:lang w:val="de-DE"/>
              </w:rPr>
              <w:t xml:space="preserve"> schemes: (1) direct positioning; (2) assisted positioning with multi-TRP; (3) assisted positioning with single-TRP and one-model for N TRPs; </w:t>
            </w:r>
            <w:r w:rsidRPr="005854E1">
              <w:rPr>
                <w:rFonts w:ascii="Arial" w:eastAsia="Calibri" w:hAnsi="Arial" w:cs="Arial"/>
                <w:color w:val="0070C0"/>
                <w:sz w:val="16"/>
                <w:szCs w:val="16"/>
                <w:lang w:val="de-DE"/>
              </w:rPr>
              <w:t xml:space="preserve">and </w:t>
            </w:r>
            <w:r w:rsidRPr="005854E1">
              <w:rPr>
                <w:rFonts w:ascii="Arial" w:eastAsia="Calibri" w:hAnsi="Arial" w:cs="Arial"/>
                <w:color w:val="FF0000"/>
                <w:sz w:val="16"/>
                <w:szCs w:val="16"/>
                <w:lang w:val="de-DE"/>
              </w:rPr>
              <w:t>(4) assisted positioning with single-TRP and N models for N TRPs. For details of the complexity values corresponding to Figure 6.4.2-1, please see POS_Table 1.</w:t>
            </w:r>
          </w:p>
          <w:p w14:paraId="12CB519A" w14:textId="77777777" w:rsidR="005854E1" w:rsidRPr="005854E1" w:rsidRDefault="005854E1" w:rsidP="00191AD8">
            <w:pPr>
              <w:rPr>
                <w:rFonts w:ascii="Arial" w:hAnsi="Arial" w:cs="Arial"/>
                <w:color w:val="FF0000"/>
                <w:sz w:val="16"/>
                <w:szCs w:val="16"/>
                <w:lang w:val="de-DE"/>
              </w:rPr>
            </w:pPr>
            <w:r w:rsidRPr="005854E1">
              <w:rPr>
                <w:rFonts w:ascii="Arial" w:eastAsia="Calibri" w:hAnsi="Arial" w:cs="Arial"/>
                <w:color w:val="FF0000"/>
                <w:sz w:val="16"/>
                <w:szCs w:val="16"/>
                <w:lang w:val="de-DE"/>
              </w:rPr>
              <w:t xml:space="preserve">For the three schemes of AI/ML assisted positioning, the complexity is calculated according to Table 6.4.1-2. </w:t>
            </w:r>
            <w:r w:rsidRPr="005854E1">
              <w:rPr>
                <w:rFonts w:ascii="Arial" w:hAnsi="Arial" w:cs="Arial"/>
                <w:color w:val="FF0000"/>
                <w:sz w:val="16"/>
                <w:szCs w:val="16"/>
                <w:lang w:val="en-US"/>
              </w:rPr>
              <w:t xml:space="preserve">Both model complexity and computational complexity values are as reported by participating companies. There is no effort to align the procedure across companies on how the complexity values are obtained. </w:t>
            </w:r>
            <w:r w:rsidRPr="005854E1">
              <w:rPr>
                <w:rFonts w:ascii="Arial" w:hAnsi="Arial" w:cs="Arial"/>
                <w:color w:val="0070C0"/>
                <w:sz w:val="16"/>
                <w:szCs w:val="16"/>
                <w:lang w:val="en-US"/>
              </w:rPr>
              <w:t>In addition, o</w:t>
            </w:r>
            <w:r w:rsidRPr="005854E1">
              <w:rPr>
                <w:rFonts w:ascii="Arial" w:hAnsi="Arial" w:cs="Arial"/>
                <w:color w:val="FF0000"/>
                <w:sz w:val="16"/>
                <w:szCs w:val="16"/>
                <w:lang w:val="en-US"/>
              </w:rPr>
              <w:t>ptimizing AI/ML complexity (i.e., model complexity and computational complexity) is out of scope of the study item.</w:t>
            </w:r>
          </w:p>
          <w:p w14:paraId="1D064B47" w14:textId="161AEDEC" w:rsidR="005854E1" w:rsidRPr="005854E1" w:rsidRDefault="005854E1" w:rsidP="00191AD8">
            <w:pPr>
              <w:jc w:val="center"/>
              <w:rPr>
                <w:rFonts w:ascii="Arial" w:eastAsia="Calibri" w:hAnsi="Arial" w:cs="Arial"/>
                <w:sz w:val="16"/>
                <w:szCs w:val="16"/>
                <w:lang w:val="de-DE"/>
              </w:rPr>
            </w:pPr>
            <w:r w:rsidRPr="00191AD8">
              <w:rPr>
                <w:rFonts w:ascii="Arial" w:eastAsia="Calibri" w:hAnsi="Arial" w:cs="Arial"/>
                <w:noProof/>
                <w:sz w:val="16"/>
                <w:szCs w:val="16"/>
                <w:lang w:val="en-US" w:eastAsia="zh-CN"/>
              </w:rPr>
              <w:lastRenderedPageBreak/>
              <w:drawing>
                <wp:inline distT="0" distB="0" distL="0" distR="0" wp14:anchorId="081FB7A5" wp14:editId="65B2C420">
                  <wp:extent cx="5562600" cy="4171950"/>
                  <wp:effectExtent l="0" t="0" r="0" b="0"/>
                  <wp:docPr id="669564472" name="Picture 11" descr="A graph with different colored circles and numb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9564472" name="Picture 11" descr="A graph with different colored circles and numbers&#10;&#10;Description automatically generated"/>
                          <pic:cNvPicPr>
                            <a:picLocks noChangeAspect="1" noChangeArrowheads="1"/>
                          </pic:cNvPicPr>
                        </pic:nvPicPr>
                        <pic:blipFill>
                          <a:blip r:embed="rId1931">
                            <a:extLst>
                              <a:ext uri="{28A0092B-C50C-407E-A947-70E740481C1C}">
                                <a14:useLocalDpi xmlns:a14="http://schemas.microsoft.com/office/drawing/2010/main" val="0"/>
                              </a:ext>
                            </a:extLst>
                          </a:blip>
                          <a:srcRect/>
                          <a:stretch>
                            <a:fillRect/>
                          </a:stretch>
                        </pic:blipFill>
                        <pic:spPr bwMode="auto">
                          <a:xfrm>
                            <a:off x="0" y="0"/>
                            <a:ext cx="5562600" cy="4171950"/>
                          </a:xfrm>
                          <a:prstGeom prst="rect">
                            <a:avLst/>
                          </a:prstGeom>
                          <a:noFill/>
                          <a:ln>
                            <a:noFill/>
                          </a:ln>
                        </pic:spPr>
                      </pic:pic>
                    </a:graphicData>
                  </a:graphic>
                </wp:inline>
              </w:drawing>
            </w:r>
          </w:p>
          <w:p w14:paraId="15829D77" w14:textId="77777777" w:rsidR="005854E1" w:rsidRPr="005854E1" w:rsidRDefault="005854E1" w:rsidP="00191AD8">
            <w:pPr>
              <w:suppressAutoHyphens/>
              <w:overflowPunct w:val="0"/>
              <w:autoSpaceDE w:val="0"/>
              <w:textAlignment w:val="baseline"/>
              <w:rPr>
                <w:rFonts w:ascii="Arial" w:eastAsia="Calibri" w:hAnsi="Arial" w:cs="Arial"/>
                <w:b/>
                <w:color w:val="FF0000"/>
                <w:sz w:val="16"/>
                <w:szCs w:val="16"/>
                <w:lang w:val="de-DE" w:eastAsia="ar-SA"/>
              </w:rPr>
            </w:pPr>
            <w:r w:rsidRPr="005854E1">
              <w:rPr>
                <w:rFonts w:ascii="Arial" w:eastAsia="Calibri" w:hAnsi="Arial" w:cs="Arial"/>
                <w:b/>
                <w:color w:val="FF0000"/>
                <w:sz w:val="16"/>
                <w:szCs w:val="16"/>
                <w:lang w:val="de-DE" w:eastAsia="ar-SA"/>
              </w:rPr>
              <w:t xml:space="preserve">Figure 6.4.2-1. Model complexity and computational complexity for four schemes of AI/ML based positioning. </w:t>
            </w:r>
          </w:p>
          <w:p w14:paraId="4EDF9A53" w14:textId="77777777" w:rsidR="005854E1" w:rsidRPr="005854E1" w:rsidRDefault="005854E1" w:rsidP="00191AD8">
            <w:pPr>
              <w:jc w:val="center"/>
              <w:rPr>
                <w:rFonts w:ascii="Arial" w:eastAsia="SimSun" w:hAnsi="Arial" w:cs="Arial"/>
                <w:b/>
                <w:iCs/>
                <w:color w:val="FF0000"/>
                <w:sz w:val="16"/>
                <w:szCs w:val="16"/>
                <w:lang w:val="de-DE"/>
              </w:rPr>
            </w:pPr>
            <w:r w:rsidRPr="005854E1">
              <w:rPr>
                <w:rFonts w:ascii="Arial" w:eastAsia="SimSun" w:hAnsi="Arial" w:cs="Arial"/>
                <w:b/>
                <w:iCs/>
                <w:color w:val="FF0000"/>
                <w:sz w:val="16"/>
                <w:szCs w:val="16"/>
                <w:lang w:val="de-DE"/>
              </w:rPr>
              <w:t>&lt;Unchanged text is omitted&gt;</w:t>
            </w:r>
          </w:p>
          <w:p w14:paraId="1A9D266A" w14:textId="77777777" w:rsidR="005854E1" w:rsidRPr="005854E1" w:rsidRDefault="005854E1" w:rsidP="00191AD8">
            <w:pPr>
              <w:rPr>
                <w:rFonts w:ascii="Arial" w:hAnsi="Arial" w:cs="Arial"/>
                <w:sz w:val="16"/>
                <w:szCs w:val="16"/>
              </w:rPr>
            </w:pPr>
            <w:r w:rsidRPr="005854E1">
              <w:rPr>
                <w:rFonts w:ascii="Arial" w:eastAsia="Calibri" w:hAnsi="Arial" w:cs="Arial"/>
                <w:sz w:val="16"/>
                <w:szCs w:val="16"/>
                <w:lang w:val="de-DE"/>
              </w:rPr>
              <w:t>=======================  End of text proposal to TR 38.843 v1.2.0 ====================</w:t>
            </w:r>
          </w:p>
        </w:tc>
      </w:tr>
    </w:tbl>
    <w:p w14:paraId="7BDAD5E6" w14:textId="77777777" w:rsidR="005854E1" w:rsidRPr="005854E1" w:rsidRDefault="005854E1" w:rsidP="005854E1"/>
    <w:p w14:paraId="154CD3D1" w14:textId="7E770988" w:rsidR="005854E1" w:rsidRPr="005854E1" w:rsidRDefault="00191AD8" w:rsidP="005854E1">
      <w:r w:rsidRPr="00191AD8">
        <w:rPr>
          <w:highlight w:val="green"/>
        </w:rPr>
        <w:t>Agreement</w:t>
      </w:r>
    </w:p>
    <w:p w14:paraId="1E84C3E6" w14:textId="77777777" w:rsidR="005854E1" w:rsidRPr="005854E1" w:rsidRDefault="005854E1" w:rsidP="005854E1">
      <w:r w:rsidRPr="005854E1">
        <w:t>Adopt the text proposal for additional high-level summary of evaluations of AI/ML based positioning in the study item.</w:t>
      </w:r>
    </w:p>
    <w:tbl>
      <w:tblPr>
        <w:tblW w:w="5000" w:type="pct"/>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0683"/>
      </w:tblGrid>
      <w:tr w:rsidR="005854E1" w:rsidRPr="005854E1" w14:paraId="2CE5D7EC" w14:textId="77777777" w:rsidTr="00191AD8">
        <w:tc>
          <w:tcPr>
            <w:tcW w:w="5000" w:type="pct"/>
            <w:shd w:val="clear" w:color="auto" w:fill="auto"/>
          </w:tcPr>
          <w:p w14:paraId="76CEB026" w14:textId="77777777" w:rsidR="005854E1" w:rsidRPr="005854E1" w:rsidRDefault="005854E1" w:rsidP="00191AD8">
            <w:pPr>
              <w:rPr>
                <w:rFonts w:ascii="Arial" w:eastAsia="Calibri" w:hAnsi="Arial" w:cs="Arial"/>
                <w:sz w:val="16"/>
                <w:szCs w:val="16"/>
                <w:lang w:val="de-DE"/>
              </w:rPr>
            </w:pPr>
            <w:r w:rsidRPr="005854E1">
              <w:rPr>
                <w:rFonts w:ascii="Arial" w:eastAsia="Calibri" w:hAnsi="Arial" w:cs="Arial"/>
                <w:sz w:val="16"/>
                <w:szCs w:val="16"/>
                <w:lang w:val="de-DE"/>
              </w:rPr>
              <w:t>======================= Start of text proposal to TR 38.843 v1.2.0 ====================</w:t>
            </w:r>
          </w:p>
          <w:p w14:paraId="72488BE7" w14:textId="77777777" w:rsidR="005854E1" w:rsidRPr="005854E1" w:rsidRDefault="005854E1" w:rsidP="00191AD8">
            <w:pPr>
              <w:rPr>
                <w:rFonts w:ascii="Arial" w:hAnsi="Arial" w:cs="Arial"/>
                <w:b/>
                <w:bCs/>
                <w:sz w:val="16"/>
                <w:szCs w:val="16"/>
              </w:rPr>
            </w:pPr>
            <w:r w:rsidRPr="005854E1">
              <w:rPr>
                <w:rFonts w:ascii="Arial" w:hAnsi="Arial" w:cs="Arial"/>
                <w:b/>
                <w:bCs/>
                <w:sz w:val="16"/>
                <w:szCs w:val="16"/>
              </w:rPr>
              <w:t>6.4.2.6</w:t>
            </w:r>
            <w:r w:rsidRPr="005854E1">
              <w:rPr>
                <w:rFonts w:ascii="Arial" w:hAnsi="Arial" w:cs="Arial"/>
                <w:b/>
                <w:bCs/>
                <w:sz w:val="16"/>
                <w:szCs w:val="16"/>
              </w:rPr>
              <w:tab/>
              <w:t>Summary of Performance Results for Positioning accuracy enhancements</w:t>
            </w:r>
          </w:p>
          <w:p w14:paraId="642BFE8C" w14:textId="77777777" w:rsidR="005854E1" w:rsidRPr="005854E1" w:rsidRDefault="005854E1" w:rsidP="00191AD8">
            <w:pPr>
              <w:rPr>
                <w:rFonts w:ascii="Arial" w:eastAsia="Calibri" w:hAnsi="Arial" w:cs="Arial"/>
                <w:i/>
                <w:iCs/>
                <w:sz w:val="16"/>
                <w:szCs w:val="16"/>
                <w:lang w:val="de-DE"/>
              </w:rPr>
            </w:pPr>
            <w:r w:rsidRPr="005854E1">
              <w:rPr>
                <w:rFonts w:ascii="Arial" w:eastAsia="Calibri" w:hAnsi="Arial" w:cs="Arial"/>
                <w:i/>
                <w:iCs/>
                <w:sz w:val="16"/>
                <w:szCs w:val="16"/>
                <w:lang w:val="de-DE"/>
              </w:rPr>
              <w:t xml:space="preserve">Editor’s note: Section for FL to summarize the evaluations. </w:t>
            </w:r>
          </w:p>
          <w:p w14:paraId="06D134C7" w14:textId="77777777" w:rsidR="005854E1" w:rsidRPr="005854E1" w:rsidRDefault="005854E1" w:rsidP="00191AD8">
            <w:pPr>
              <w:rPr>
                <w:rFonts w:ascii="Arial" w:hAnsi="Arial" w:cs="Arial"/>
                <w:sz w:val="16"/>
                <w:szCs w:val="16"/>
              </w:rPr>
            </w:pPr>
          </w:p>
          <w:p w14:paraId="22E269B2" w14:textId="77777777" w:rsidR="005854E1" w:rsidRPr="005854E1" w:rsidRDefault="005854E1" w:rsidP="00191AD8">
            <w:pPr>
              <w:rPr>
                <w:rFonts w:ascii="Arial" w:eastAsia="Calibri" w:hAnsi="Arial" w:cs="Arial"/>
                <w:sz w:val="16"/>
                <w:szCs w:val="16"/>
                <w:lang w:val="de-DE"/>
              </w:rPr>
            </w:pPr>
            <w:r w:rsidRPr="005854E1">
              <w:rPr>
                <w:rFonts w:ascii="Arial" w:eastAsia="Calibri" w:hAnsi="Arial" w:cs="Arial"/>
                <w:sz w:val="16"/>
                <w:szCs w:val="16"/>
                <w:lang w:val="de-DE"/>
              </w:rPr>
              <w:t>For the use case of positioning accuracy enhancement, extensive evaluations have been carried out. Both direct AI/ML positioning and AI/ML assited positioning are evaluated using one-sided model. The following areas are investigated.</w:t>
            </w:r>
          </w:p>
          <w:p w14:paraId="62FD9C5E" w14:textId="77777777" w:rsidR="005854E1" w:rsidRPr="005854E1" w:rsidRDefault="005854E1" w:rsidP="00191AD8">
            <w:pPr>
              <w:rPr>
                <w:rFonts w:ascii="Arial" w:eastAsia="Calibri" w:hAnsi="Arial" w:cs="Arial"/>
                <w:sz w:val="16"/>
                <w:szCs w:val="16"/>
                <w:lang w:val="de-DE"/>
              </w:rPr>
            </w:pPr>
            <w:r w:rsidRPr="005854E1">
              <w:rPr>
                <w:rFonts w:ascii="Arial" w:eastAsia="Calibri" w:hAnsi="Arial" w:cs="Arial"/>
                <w:sz w:val="16"/>
                <w:szCs w:val="16"/>
                <w:lang w:val="de-DE"/>
              </w:rPr>
              <w:t>...</w:t>
            </w:r>
          </w:p>
          <w:p w14:paraId="36649FA9" w14:textId="77777777" w:rsidR="005854E1" w:rsidRPr="005854E1" w:rsidRDefault="005854E1" w:rsidP="00A67145">
            <w:pPr>
              <w:numPr>
                <w:ilvl w:val="0"/>
                <w:numId w:val="154"/>
              </w:numPr>
              <w:overflowPunct w:val="0"/>
              <w:autoSpaceDE w:val="0"/>
              <w:autoSpaceDN w:val="0"/>
              <w:adjustRightInd w:val="0"/>
              <w:textAlignment w:val="baseline"/>
              <w:rPr>
                <w:rFonts w:ascii="Arial" w:hAnsi="Arial" w:cs="Arial"/>
                <w:sz w:val="16"/>
                <w:szCs w:val="16"/>
                <w:lang w:eastAsia="x-none"/>
              </w:rPr>
            </w:pPr>
            <w:r w:rsidRPr="005854E1">
              <w:rPr>
                <w:rFonts w:ascii="Arial" w:hAnsi="Arial" w:cs="Arial"/>
                <w:b/>
                <w:sz w:val="16"/>
                <w:szCs w:val="16"/>
                <w:u w:val="single"/>
                <w:lang w:val="en-US" w:eastAsia="x-none"/>
              </w:rPr>
              <w:t>AI/ML complexity</w:t>
            </w:r>
            <w:r w:rsidRPr="005854E1">
              <w:rPr>
                <w:rFonts w:ascii="Arial" w:hAnsi="Arial" w:cs="Arial"/>
                <w:sz w:val="16"/>
                <w:szCs w:val="16"/>
                <w:lang w:val="en-US" w:eastAsia="x-none"/>
              </w:rPr>
              <w:t xml:space="preserve">. </w:t>
            </w:r>
            <w:r w:rsidRPr="005854E1">
              <w:rPr>
                <w:rFonts w:ascii="Arial" w:hAnsi="Arial" w:cs="Arial"/>
                <w:sz w:val="16"/>
                <w:szCs w:val="16"/>
                <w:lang w:eastAsia="x-none"/>
              </w:rPr>
              <w:t>For a given company’s model design, in terms of model inference complexity (model complexity and computational complexity), a lower complexity model can still achieve acceptable positioning accuracy (e.g., &lt;1m), albeit degraded, when compared to a higher complexity model.</w:t>
            </w:r>
          </w:p>
          <w:p w14:paraId="4D4DE43F" w14:textId="77777777" w:rsidR="005854E1" w:rsidRPr="005854E1" w:rsidRDefault="005854E1" w:rsidP="00A67145">
            <w:pPr>
              <w:numPr>
                <w:ilvl w:val="0"/>
                <w:numId w:val="154"/>
              </w:numPr>
              <w:overflowPunct w:val="0"/>
              <w:autoSpaceDE w:val="0"/>
              <w:autoSpaceDN w:val="0"/>
              <w:adjustRightInd w:val="0"/>
              <w:textAlignment w:val="baseline"/>
              <w:rPr>
                <w:rFonts w:ascii="Arial" w:hAnsi="Arial" w:cs="Arial"/>
                <w:color w:val="4472C4"/>
                <w:sz w:val="16"/>
                <w:szCs w:val="16"/>
                <w:lang w:val="en-US" w:eastAsia="x-none"/>
              </w:rPr>
            </w:pPr>
            <w:r w:rsidRPr="005854E1">
              <w:rPr>
                <w:rFonts w:ascii="Arial" w:hAnsi="Arial" w:cs="Arial"/>
                <w:b/>
                <w:bCs/>
                <w:color w:val="FF0000"/>
                <w:sz w:val="16"/>
                <w:szCs w:val="16"/>
                <w:u w:val="single"/>
                <w:lang w:val="de-DE" w:eastAsia="x-none"/>
              </w:rPr>
              <w:t>Generalization study</w:t>
            </w:r>
            <w:r w:rsidRPr="005854E1">
              <w:rPr>
                <w:rFonts w:ascii="Arial" w:hAnsi="Arial" w:cs="Arial"/>
                <w:color w:val="FF0000"/>
                <w:sz w:val="16"/>
                <w:szCs w:val="16"/>
                <w:lang w:val="de-DE" w:eastAsia="x-none"/>
              </w:rPr>
              <w:t xml:space="preserve">. Evaluations are carried out to investigate various generalization aspects, </w:t>
            </w:r>
            <w:r w:rsidRPr="005854E1">
              <w:rPr>
                <w:rFonts w:ascii="Arial" w:hAnsi="Arial" w:cs="Arial"/>
                <w:color w:val="FF0000"/>
                <w:sz w:val="16"/>
                <w:szCs w:val="16"/>
                <w:lang w:eastAsia="x-none"/>
              </w:rPr>
              <w:t xml:space="preserve">where the AI/ML model is trained with dataset of one deployment scenario, while tested with dataset of a different deployment scenario. The generalization aspects include: different drops; different clutter parameters; different InF scenarios; network synchronization error; UE/gNB RX and TX timing error; SNR mismatch; channel estimation error; </w:t>
            </w:r>
            <w:r w:rsidRPr="005854E1">
              <w:rPr>
                <w:rFonts w:ascii="Arial" w:hAnsi="Arial" w:cs="Arial"/>
                <w:color w:val="FF0000"/>
                <w:sz w:val="16"/>
                <w:szCs w:val="16"/>
                <w:lang w:val="en-US" w:eastAsia="x-none"/>
              </w:rPr>
              <w:t>time varying changes</w:t>
            </w:r>
            <w:r w:rsidRPr="005854E1">
              <w:rPr>
                <w:rFonts w:ascii="Arial" w:hAnsi="Arial" w:cs="Arial"/>
                <w:color w:val="FF0000"/>
                <w:sz w:val="16"/>
                <w:szCs w:val="16"/>
                <w:lang w:eastAsia="x-none"/>
              </w:rPr>
              <w:t xml:space="preserve">. </w:t>
            </w:r>
          </w:p>
          <w:p w14:paraId="403A1429" w14:textId="77777777" w:rsidR="005854E1" w:rsidRPr="005854E1" w:rsidRDefault="005854E1" w:rsidP="00191AD8">
            <w:pPr>
              <w:rPr>
                <w:rFonts w:ascii="Arial" w:hAnsi="Arial" w:cs="Arial"/>
                <w:sz w:val="16"/>
                <w:szCs w:val="16"/>
              </w:rPr>
            </w:pPr>
          </w:p>
          <w:p w14:paraId="0F24497B" w14:textId="77777777" w:rsidR="005854E1" w:rsidRPr="005854E1" w:rsidRDefault="005854E1" w:rsidP="00191AD8">
            <w:pPr>
              <w:tabs>
                <w:tab w:val="left" w:pos="720"/>
              </w:tabs>
              <w:ind w:leftChars="400" w:left="800"/>
              <w:rPr>
                <w:rFonts w:ascii="Arial" w:hAnsi="Arial" w:cs="Arial"/>
                <w:color w:val="FF0000"/>
                <w:sz w:val="16"/>
                <w:szCs w:val="16"/>
                <w:lang w:val="de-DE" w:eastAsia="x-none"/>
              </w:rPr>
            </w:pPr>
            <w:r w:rsidRPr="005854E1">
              <w:rPr>
                <w:rFonts w:ascii="Arial" w:hAnsi="Arial" w:cs="Arial"/>
                <w:color w:val="FF0000"/>
                <w:sz w:val="16"/>
                <w:szCs w:val="16"/>
                <w:lang w:val="de-DE" w:eastAsia="x-none"/>
              </w:rPr>
              <w:t>Methods are evaluated which have been shown to be able to handle generalization issues, including:</w:t>
            </w:r>
          </w:p>
          <w:p w14:paraId="7E23AC53" w14:textId="77777777" w:rsidR="005854E1" w:rsidRPr="005854E1" w:rsidRDefault="005854E1" w:rsidP="00A67145">
            <w:pPr>
              <w:numPr>
                <w:ilvl w:val="1"/>
                <w:numId w:val="154"/>
              </w:numPr>
              <w:overflowPunct w:val="0"/>
              <w:autoSpaceDE w:val="0"/>
              <w:autoSpaceDN w:val="0"/>
              <w:adjustRightInd w:val="0"/>
              <w:textAlignment w:val="baseline"/>
              <w:rPr>
                <w:rFonts w:ascii="Arial" w:hAnsi="Arial" w:cs="Arial"/>
                <w:color w:val="FF0000"/>
                <w:sz w:val="16"/>
                <w:szCs w:val="16"/>
                <w:lang w:val="de-DE" w:eastAsia="x-none"/>
              </w:rPr>
            </w:pPr>
            <w:r w:rsidRPr="005854E1">
              <w:rPr>
                <w:rFonts w:ascii="Arial" w:hAnsi="Arial" w:cs="Arial"/>
                <w:b/>
                <w:bCs/>
                <w:color w:val="FF0000"/>
                <w:sz w:val="16"/>
                <w:szCs w:val="16"/>
                <w:u w:val="single"/>
                <w:lang w:val="en-US" w:eastAsia="x-none"/>
              </w:rPr>
              <w:t>Better training dataset construction (i.e., m</w:t>
            </w:r>
            <w:r w:rsidRPr="005854E1">
              <w:rPr>
                <w:rFonts w:ascii="Arial" w:hAnsi="Arial" w:cs="Arial"/>
                <w:b/>
                <w:bCs/>
                <w:color w:val="FF0000"/>
                <w:sz w:val="16"/>
                <w:szCs w:val="16"/>
                <w:u w:val="single"/>
                <w:lang w:val="de-DE" w:eastAsia="x-none"/>
              </w:rPr>
              <w:t>ixed dataset)</w:t>
            </w:r>
            <w:r w:rsidRPr="005854E1">
              <w:rPr>
                <w:rFonts w:ascii="Arial" w:hAnsi="Arial" w:cs="Arial"/>
                <w:color w:val="FF0000"/>
                <w:sz w:val="16"/>
                <w:szCs w:val="16"/>
                <w:lang w:val="de-DE" w:eastAsia="x-none"/>
              </w:rPr>
              <w:t>, where t</w:t>
            </w:r>
            <w:r w:rsidRPr="005854E1">
              <w:rPr>
                <w:rFonts w:ascii="Arial" w:hAnsi="Arial" w:cs="Arial"/>
                <w:color w:val="FF0000"/>
                <w:sz w:val="16"/>
                <w:szCs w:val="16"/>
                <w:lang w:val="en-US" w:eastAsia="x-none"/>
              </w:rPr>
              <w:t xml:space="preserve">he training dataset is composed of data from multiple deployment scenarios, which include data from the same deployment scenario as the test dataset. </w:t>
            </w:r>
            <w:r w:rsidRPr="005854E1">
              <w:rPr>
                <w:rFonts w:ascii="Arial" w:hAnsi="Arial" w:cs="Arial"/>
                <w:color w:val="FF0000"/>
                <w:sz w:val="16"/>
                <w:szCs w:val="16"/>
                <w:lang w:val="de-DE" w:eastAsia="x-none"/>
              </w:rPr>
              <w:t xml:space="preserve"> </w:t>
            </w:r>
          </w:p>
          <w:p w14:paraId="3996F8A5" w14:textId="77777777" w:rsidR="005854E1" w:rsidRPr="005854E1" w:rsidRDefault="005854E1" w:rsidP="00A67145">
            <w:pPr>
              <w:numPr>
                <w:ilvl w:val="1"/>
                <w:numId w:val="154"/>
              </w:numPr>
              <w:overflowPunct w:val="0"/>
              <w:autoSpaceDE w:val="0"/>
              <w:autoSpaceDN w:val="0"/>
              <w:adjustRightInd w:val="0"/>
              <w:textAlignment w:val="baseline"/>
              <w:rPr>
                <w:rFonts w:ascii="Arial" w:hAnsi="Arial" w:cs="Arial"/>
                <w:color w:val="FF0000"/>
                <w:sz w:val="16"/>
                <w:szCs w:val="16"/>
                <w:lang w:val="de-DE" w:eastAsia="x-none"/>
              </w:rPr>
            </w:pPr>
            <w:r w:rsidRPr="005854E1">
              <w:rPr>
                <w:rFonts w:ascii="Arial" w:hAnsi="Arial" w:cs="Arial"/>
                <w:b/>
                <w:bCs/>
                <w:color w:val="FF0000"/>
                <w:sz w:val="16"/>
                <w:szCs w:val="16"/>
                <w:u w:val="single"/>
                <w:lang w:val="de-DE" w:eastAsia="x-none"/>
              </w:rPr>
              <w:t>Fine-tuning</w:t>
            </w:r>
            <w:r w:rsidRPr="005854E1">
              <w:rPr>
                <w:rFonts w:ascii="Arial" w:hAnsi="Arial" w:cs="Arial"/>
                <w:b/>
                <w:bCs/>
                <w:color w:val="FF0000"/>
                <w:sz w:val="16"/>
                <w:szCs w:val="16"/>
                <w:u w:val="single"/>
                <w:lang w:val="en-US" w:eastAsia="x-none"/>
              </w:rPr>
              <w:t>/re-training</w:t>
            </w:r>
            <w:r w:rsidRPr="005854E1">
              <w:rPr>
                <w:rFonts w:ascii="Arial" w:hAnsi="Arial" w:cs="Arial"/>
                <w:color w:val="FF0000"/>
                <w:sz w:val="16"/>
                <w:szCs w:val="16"/>
                <w:lang w:val="de-DE" w:eastAsia="x-none"/>
              </w:rPr>
              <w:t xml:space="preserve">, where </w:t>
            </w:r>
            <w:r w:rsidRPr="005854E1">
              <w:rPr>
                <w:rFonts w:ascii="Arial" w:hAnsi="Arial" w:cs="Arial"/>
                <w:color w:val="FF0000"/>
                <w:sz w:val="16"/>
                <w:szCs w:val="16"/>
                <w:lang w:val="en-US" w:eastAsia="x-none"/>
              </w:rPr>
              <w:t xml:space="preserve">the model is re-trained/fine-tuned with a dataset from the same deployment scenario as the test dataset. The impact of the amount of fine-tuning data on the positioning accuracy of the fine-tuned model is evaluated for the various generalization aspects. </w:t>
            </w:r>
            <w:r w:rsidRPr="005854E1">
              <w:rPr>
                <w:rFonts w:ascii="Arial" w:hAnsi="Arial" w:cs="Arial"/>
                <w:color w:val="FF0000"/>
                <w:sz w:val="16"/>
                <w:szCs w:val="16"/>
                <w:lang w:eastAsia="x-none"/>
              </w:rPr>
              <w:t xml:space="preserve">Evaluation results are obtained for two experiments: </w:t>
            </w:r>
          </w:p>
          <w:p w14:paraId="6FCD9B98" w14:textId="77777777" w:rsidR="005854E1" w:rsidRPr="005854E1" w:rsidRDefault="005854E1" w:rsidP="00A67145">
            <w:pPr>
              <w:numPr>
                <w:ilvl w:val="2"/>
                <w:numId w:val="154"/>
              </w:numPr>
              <w:overflowPunct w:val="0"/>
              <w:autoSpaceDE w:val="0"/>
              <w:autoSpaceDN w:val="0"/>
              <w:adjustRightInd w:val="0"/>
              <w:textAlignment w:val="baseline"/>
              <w:rPr>
                <w:rFonts w:ascii="Arial" w:hAnsi="Arial" w:cs="Arial"/>
                <w:color w:val="FF0000"/>
                <w:sz w:val="16"/>
                <w:szCs w:val="16"/>
                <w:lang w:val="de-DE" w:eastAsia="x-none"/>
              </w:rPr>
            </w:pPr>
            <w:r w:rsidRPr="005854E1">
              <w:rPr>
                <w:rFonts w:ascii="Arial" w:hAnsi="Arial" w:cs="Arial"/>
                <w:color w:val="FF0000"/>
                <w:sz w:val="16"/>
                <w:szCs w:val="16"/>
                <w:lang w:eastAsia="x-none"/>
              </w:rPr>
              <w:t xml:space="preserve">The AI/ML model is (a) previously trained for </w:t>
            </w:r>
            <w:r w:rsidRPr="005854E1">
              <w:rPr>
                <w:rFonts w:ascii="Arial" w:hAnsi="Arial" w:cs="Arial"/>
                <w:color w:val="FF0000"/>
                <w:sz w:val="16"/>
                <w:szCs w:val="16"/>
                <w:u w:val="single"/>
                <w:lang w:eastAsia="x-none"/>
              </w:rPr>
              <w:t>scenario A</w:t>
            </w:r>
            <w:r w:rsidRPr="005854E1">
              <w:rPr>
                <w:rFonts w:ascii="Arial" w:hAnsi="Arial" w:cs="Arial"/>
                <w:color w:val="FF0000"/>
                <w:sz w:val="16"/>
                <w:szCs w:val="16"/>
                <w:lang w:eastAsia="x-none"/>
              </w:rPr>
              <w:t xml:space="preserve"> with a dataset of sample density </w:t>
            </w:r>
            <w:r w:rsidRPr="005854E1">
              <w:rPr>
                <w:rFonts w:ascii="Arial" w:hAnsi="Arial" w:cs="Arial"/>
                <w:i/>
                <w:iCs/>
                <w:color w:val="FF0000"/>
                <w:sz w:val="16"/>
                <w:szCs w:val="16"/>
                <w:lang w:eastAsia="x-none"/>
              </w:rPr>
              <w:t>N</w:t>
            </w:r>
            <w:r w:rsidRPr="005854E1">
              <w:rPr>
                <w:rFonts w:ascii="Arial" w:hAnsi="Arial" w:cs="Arial"/>
                <w:color w:val="FF0000"/>
                <w:sz w:val="16"/>
                <w:szCs w:val="16"/>
                <w:lang w:eastAsia="x-none"/>
              </w:rPr>
              <w:t xml:space="preserve"> (#samples/m</w:t>
            </w:r>
            <w:r w:rsidRPr="005854E1">
              <w:rPr>
                <w:rFonts w:ascii="Arial" w:hAnsi="Arial" w:cs="Arial"/>
                <w:color w:val="FF0000"/>
                <w:sz w:val="16"/>
                <w:szCs w:val="16"/>
                <w:vertAlign w:val="superscript"/>
                <w:lang w:eastAsia="x-none"/>
              </w:rPr>
              <w:t>2</w:t>
            </w:r>
            <w:r w:rsidRPr="005854E1">
              <w:rPr>
                <w:rFonts w:ascii="Arial" w:hAnsi="Arial" w:cs="Arial"/>
                <w:color w:val="FF0000"/>
                <w:sz w:val="16"/>
                <w:szCs w:val="16"/>
                <w:lang w:eastAsia="x-none"/>
              </w:rPr>
              <w:t xml:space="preserve">), (b) followed by fine-tuning for </w:t>
            </w:r>
            <w:r w:rsidRPr="005854E1">
              <w:rPr>
                <w:rFonts w:ascii="Arial" w:hAnsi="Arial" w:cs="Arial"/>
                <w:color w:val="FF0000"/>
                <w:sz w:val="16"/>
                <w:szCs w:val="16"/>
                <w:u w:val="single"/>
                <w:lang w:eastAsia="x-none"/>
              </w:rPr>
              <w:t>scenario B</w:t>
            </w:r>
            <w:r w:rsidRPr="005854E1">
              <w:rPr>
                <w:rFonts w:ascii="Arial" w:hAnsi="Arial" w:cs="Arial"/>
                <w:color w:val="FF0000"/>
                <w:sz w:val="16"/>
                <w:szCs w:val="16"/>
                <w:lang w:eastAsia="x-none"/>
              </w:rPr>
              <w:t xml:space="preserve"> with a dataset of sample density </w:t>
            </w:r>
            <w:r w:rsidRPr="005854E1">
              <w:rPr>
                <w:rFonts w:ascii="Arial" w:hAnsi="Arial" w:cs="Arial"/>
                <w:i/>
                <w:iCs/>
                <w:color w:val="FF0000"/>
                <w:sz w:val="16"/>
                <w:szCs w:val="16"/>
                <w:lang w:eastAsia="x-none"/>
              </w:rPr>
              <w:t>x</w:t>
            </w:r>
            <w:r w:rsidRPr="005854E1">
              <w:rPr>
                <w:rFonts w:ascii="Arial" w:hAnsi="Arial" w:cs="Arial"/>
                <w:color w:val="FF0000"/>
                <w:sz w:val="16"/>
                <w:szCs w:val="16"/>
                <w:lang w:eastAsia="x-none"/>
              </w:rPr>
              <w:t xml:space="preserve">% </w:t>
            </w:r>
            <w:r w:rsidRPr="005854E1">
              <w:rPr>
                <w:rFonts w:ascii="Arial" w:hAnsi="Arial" w:cs="Arial"/>
                <w:color w:val="FF0000"/>
                <w:sz w:val="16"/>
                <w:szCs w:val="16"/>
                <w:lang w:eastAsia="x-none"/>
              </w:rPr>
              <w:sym w:font="Symbol" w:char="F0B4"/>
            </w:r>
            <w:r w:rsidRPr="005854E1">
              <w:rPr>
                <w:rFonts w:ascii="Arial" w:hAnsi="Arial" w:cs="Arial"/>
                <w:i/>
                <w:iCs/>
                <w:color w:val="FF0000"/>
                <w:sz w:val="16"/>
                <w:szCs w:val="16"/>
                <w:lang w:eastAsia="x-none"/>
              </w:rPr>
              <w:t xml:space="preserve"> N</w:t>
            </w:r>
            <w:r w:rsidRPr="005854E1">
              <w:rPr>
                <w:rFonts w:ascii="Arial" w:hAnsi="Arial" w:cs="Arial"/>
                <w:color w:val="FF0000"/>
                <w:sz w:val="16"/>
                <w:szCs w:val="16"/>
                <w:lang w:eastAsia="x-none"/>
              </w:rPr>
              <w:t xml:space="preserve"> (#samples/m</w:t>
            </w:r>
            <w:r w:rsidRPr="005854E1">
              <w:rPr>
                <w:rFonts w:ascii="Arial" w:hAnsi="Arial" w:cs="Arial"/>
                <w:color w:val="FF0000"/>
                <w:sz w:val="16"/>
                <w:szCs w:val="16"/>
                <w:vertAlign w:val="superscript"/>
                <w:lang w:eastAsia="x-none"/>
              </w:rPr>
              <w:t>2</w:t>
            </w:r>
            <w:r w:rsidRPr="005854E1">
              <w:rPr>
                <w:rFonts w:ascii="Arial" w:hAnsi="Arial" w:cs="Arial"/>
                <w:color w:val="FF0000"/>
                <w:sz w:val="16"/>
                <w:szCs w:val="16"/>
                <w:lang w:eastAsia="x-none"/>
              </w:rPr>
              <w:t xml:space="preserve">), (c) then tested under </w:t>
            </w:r>
            <w:r w:rsidRPr="005854E1">
              <w:rPr>
                <w:rFonts w:ascii="Arial" w:hAnsi="Arial" w:cs="Arial"/>
                <w:color w:val="FF0000"/>
                <w:sz w:val="16"/>
                <w:szCs w:val="16"/>
                <w:u w:val="single"/>
                <w:lang w:eastAsia="x-none"/>
              </w:rPr>
              <w:t>scenario B</w:t>
            </w:r>
            <w:r w:rsidRPr="005854E1">
              <w:rPr>
                <w:rFonts w:ascii="Arial" w:hAnsi="Arial" w:cs="Arial"/>
                <w:color w:val="FF0000"/>
                <w:sz w:val="16"/>
                <w:szCs w:val="16"/>
                <w:lang w:eastAsia="x-none"/>
              </w:rPr>
              <w:t xml:space="preserve">. The horizontal positioning accuracy at CDF=90% is </w:t>
            </w:r>
            <w:r w:rsidRPr="005854E1">
              <w:rPr>
                <w:rFonts w:ascii="Arial" w:hAnsi="Arial" w:cs="Arial"/>
                <w:i/>
                <w:iCs/>
                <w:color w:val="FF0000"/>
                <w:sz w:val="16"/>
                <w:szCs w:val="16"/>
                <w:lang w:eastAsia="x-none"/>
              </w:rPr>
              <w:t>E</w:t>
            </w:r>
            <w:r w:rsidRPr="005854E1">
              <w:rPr>
                <w:rFonts w:ascii="Arial" w:hAnsi="Arial" w:cs="Arial"/>
                <w:color w:val="FF0000"/>
                <w:sz w:val="16"/>
                <w:szCs w:val="16"/>
                <w:lang w:eastAsia="x-none"/>
              </w:rPr>
              <w:t xml:space="preserve"> meters.</w:t>
            </w:r>
          </w:p>
          <w:p w14:paraId="3DD70543" w14:textId="77777777" w:rsidR="005854E1" w:rsidRPr="005854E1" w:rsidRDefault="005854E1" w:rsidP="00A67145">
            <w:pPr>
              <w:numPr>
                <w:ilvl w:val="2"/>
                <w:numId w:val="154"/>
              </w:numPr>
              <w:overflowPunct w:val="0"/>
              <w:autoSpaceDE w:val="0"/>
              <w:autoSpaceDN w:val="0"/>
              <w:adjustRightInd w:val="0"/>
              <w:textAlignment w:val="baseline"/>
              <w:rPr>
                <w:rFonts w:ascii="Arial" w:hAnsi="Arial" w:cs="Arial"/>
                <w:color w:val="FF0000"/>
                <w:sz w:val="16"/>
                <w:szCs w:val="16"/>
                <w:lang w:val="de-DE" w:eastAsia="x-none"/>
              </w:rPr>
            </w:pPr>
            <w:r w:rsidRPr="005854E1">
              <w:rPr>
                <w:rFonts w:ascii="Arial" w:hAnsi="Arial" w:cs="Arial"/>
                <w:color w:val="FF0000"/>
                <w:sz w:val="16"/>
                <w:szCs w:val="16"/>
                <w:lang w:eastAsia="x-none"/>
              </w:rPr>
              <w:t xml:space="preserve">The AI/ML model is (a) previously trained for </w:t>
            </w:r>
            <w:r w:rsidRPr="005854E1">
              <w:rPr>
                <w:rFonts w:ascii="Arial" w:hAnsi="Arial" w:cs="Arial"/>
                <w:color w:val="FF0000"/>
                <w:sz w:val="16"/>
                <w:szCs w:val="16"/>
                <w:u w:val="single"/>
                <w:lang w:eastAsia="x-none"/>
              </w:rPr>
              <w:t>scenario A</w:t>
            </w:r>
            <w:r w:rsidRPr="005854E1">
              <w:rPr>
                <w:rFonts w:ascii="Arial" w:hAnsi="Arial" w:cs="Arial"/>
                <w:color w:val="FF0000"/>
                <w:sz w:val="16"/>
                <w:szCs w:val="16"/>
                <w:lang w:eastAsia="x-none"/>
              </w:rPr>
              <w:t xml:space="preserve"> with a dataset of sample density </w:t>
            </w:r>
            <w:r w:rsidRPr="005854E1">
              <w:rPr>
                <w:rFonts w:ascii="Arial" w:hAnsi="Arial" w:cs="Arial"/>
                <w:i/>
                <w:iCs/>
                <w:color w:val="FF0000"/>
                <w:sz w:val="16"/>
                <w:szCs w:val="16"/>
                <w:lang w:eastAsia="x-none"/>
              </w:rPr>
              <w:t>N</w:t>
            </w:r>
            <w:r w:rsidRPr="005854E1">
              <w:rPr>
                <w:rFonts w:ascii="Arial" w:hAnsi="Arial" w:cs="Arial"/>
                <w:color w:val="FF0000"/>
                <w:sz w:val="16"/>
                <w:szCs w:val="16"/>
                <w:lang w:eastAsia="x-none"/>
              </w:rPr>
              <w:t xml:space="preserve"> (#samples/m</w:t>
            </w:r>
            <w:r w:rsidRPr="005854E1">
              <w:rPr>
                <w:rFonts w:ascii="Arial" w:hAnsi="Arial" w:cs="Arial"/>
                <w:color w:val="FF0000"/>
                <w:sz w:val="16"/>
                <w:szCs w:val="16"/>
                <w:vertAlign w:val="superscript"/>
                <w:lang w:eastAsia="x-none"/>
              </w:rPr>
              <w:t>2</w:t>
            </w:r>
            <w:r w:rsidRPr="005854E1">
              <w:rPr>
                <w:rFonts w:ascii="Arial" w:hAnsi="Arial" w:cs="Arial"/>
                <w:color w:val="FF0000"/>
                <w:sz w:val="16"/>
                <w:szCs w:val="16"/>
                <w:lang w:eastAsia="x-none"/>
              </w:rPr>
              <w:t xml:space="preserve">), (b) followed by fine-tuning for </w:t>
            </w:r>
            <w:r w:rsidRPr="005854E1">
              <w:rPr>
                <w:rFonts w:ascii="Arial" w:hAnsi="Arial" w:cs="Arial"/>
                <w:color w:val="FF0000"/>
                <w:sz w:val="16"/>
                <w:szCs w:val="16"/>
                <w:u w:val="single"/>
                <w:lang w:eastAsia="x-none"/>
              </w:rPr>
              <w:t>scenario B</w:t>
            </w:r>
            <w:r w:rsidRPr="005854E1">
              <w:rPr>
                <w:rFonts w:ascii="Arial" w:hAnsi="Arial" w:cs="Arial"/>
                <w:color w:val="FF0000"/>
                <w:sz w:val="16"/>
                <w:szCs w:val="16"/>
                <w:lang w:eastAsia="x-none"/>
              </w:rPr>
              <w:t xml:space="preserve"> with a dataset of sample density </w:t>
            </w:r>
            <w:r w:rsidRPr="005854E1">
              <w:rPr>
                <w:rFonts w:ascii="Arial" w:hAnsi="Arial" w:cs="Arial"/>
                <w:i/>
                <w:iCs/>
                <w:color w:val="FF0000"/>
                <w:sz w:val="16"/>
                <w:szCs w:val="16"/>
                <w:lang w:eastAsia="x-none"/>
              </w:rPr>
              <w:t>x</w:t>
            </w:r>
            <w:r w:rsidRPr="005854E1">
              <w:rPr>
                <w:rFonts w:ascii="Arial" w:hAnsi="Arial" w:cs="Arial"/>
                <w:color w:val="FF0000"/>
                <w:sz w:val="16"/>
                <w:szCs w:val="16"/>
                <w:lang w:eastAsia="x-none"/>
              </w:rPr>
              <w:t xml:space="preserve">% </w:t>
            </w:r>
            <w:r w:rsidRPr="005854E1">
              <w:rPr>
                <w:rFonts w:ascii="Arial" w:hAnsi="Arial" w:cs="Arial"/>
                <w:color w:val="FF0000"/>
                <w:sz w:val="16"/>
                <w:szCs w:val="16"/>
                <w:lang w:eastAsia="x-none"/>
              </w:rPr>
              <w:sym w:font="Symbol" w:char="F0B4"/>
            </w:r>
            <w:r w:rsidRPr="005854E1">
              <w:rPr>
                <w:rFonts w:ascii="Arial" w:hAnsi="Arial" w:cs="Arial"/>
                <w:i/>
                <w:iCs/>
                <w:color w:val="FF0000"/>
                <w:sz w:val="16"/>
                <w:szCs w:val="16"/>
                <w:lang w:eastAsia="x-none"/>
              </w:rPr>
              <w:t xml:space="preserve"> N</w:t>
            </w:r>
            <w:r w:rsidRPr="005854E1">
              <w:rPr>
                <w:rFonts w:ascii="Arial" w:hAnsi="Arial" w:cs="Arial"/>
                <w:color w:val="FF0000"/>
                <w:sz w:val="16"/>
                <w:szCs w:val="16"/>
                <w:lang w:eastAsia="x-none"/>
              </w:rPr>
              <w:t xml:space="preserve"> (#samples/m</w:t>
            </w:r>
            <w:r w:rsidRPr="005854E1">
              <w:rPr>
                <w:rFonts w:ascii="Arial" w:hAnsi="Arial" w:cs="Arial"/>
                <w:color w:val="FF0000"/>
                <w:sz w:val="16"/>
                <w:szCs w:val="16"/>
                <w:vertAlign w:val="superscript"/>
                <w:lang w:eastAsia="x-none"/>
              </w:rPr>
              <w:t>2</w:t>
            </w:r>
            <w:r w:rsidRPr="005854E1">
              <w:rPr>
                <w:rFonts w:ascii="Arial" w:hAnsi="Arial" w:cs="Arial"/>
                <w:color w:val="FF0000"/>
                <w:sz w:val="16"/>
                <w:szCs w:val="16"/>
                <w:lang w:eastAsia="x-none"/>
              </w:rPr>
              <w:t xml:space="preserve">), (c) then tested under </w:t>
            </w:r>
            <w:r w:rsidRPr="005854E1">
              <w:rPr>
                <w:rFonts w:ascii="Arial" w:hAnsi="Arial" w:cs="Arial"/>
                <w:color w:val="FF0000"/>
                <w:sz w:val="16"/>
                <w:szCs w:val="16"/>
                <w:u w:val="single"/>
                <w:lang w:eastAsia="x-none"/>
              </w:rPr>
              <w:t>scenario A</w:t>
            </w:r>
            <w:r w:rsidRPr="005854E1">
              <w:rPr>
                <w:rFonts w:ascii="Arial" w:hAnsi="Arial" w:cs="Arial"/>
                <w:color w:val="FF0000"/>
                <w:sz w:val="16"/>
                <w:szCs w:val="16"/>
                <w:lang w:eastAsia="x-none"/>
              </w:rPr>
              <w:t xml:space="preserve">. The horizontal positioning accuracy at CDF=90% is </w:t>
            </w:r>
            <w:r w:rsidRPr="005854E1">
              <w:rPr>
                <w:rFonts w:ascii="Arial" w:hAnsi="Arial" w:cs="Arial"/>
                <w:i/>
                <w:iCs/>
                <w:color w:val="FF0000"/>
                <w:sz w:val="16"/>
                <w:szCs w:val="16"/>
                <w:lang w:eastAsia="x-none"/>
              </w:rPr>
              <w:t>E</w:t>
            </w:r>
            <w:r w:rsidRPr="005854E1">
              <w:rPr>
                <w:rFonts w:ascii="Arial" w:hAnsi="Arial" w:cs="Arial"/>
                <w:color w:val="FF0000"/>
                <w:sz w:val="16"/>
                <w:szCs w:val="16"/>
                <w:lang w:eastAsia="x-none"/>
              </w:rPr>
              <w:t xml:space="preserve"> meters.</w:t>
            </w:r>
          </w:p>
          <w:p w14:paraId="09322136" w14:textId="77777777" w:rsidR="005854E1" w:rsidRPr="005854E1" w:rsidRDefault="005854E1" w:rsidP="00191AD8">
            <w:pPr>
              <w:jc w:val="center"/>
              <w:rPr>
                <w:rFonts w:ascii="Arial" w:eastAsia="SimSun" w:hAnsi="Arial" w:cs="Arial"/>
                <w:b/>
                <w:iCs/>
                <w:color w:val="FF0000"/>
                <w:sz w:val="16"/>
                <w:szCs w:val="16"/>
                <w:lang w:val="de-DE"/>
              </w:rPr>
            </w:pPr>
            <w:r w:rsidRPr="005854E1">
              <w:rPr>
                <w:rFonts w:ascii="Arial" w:eastAsia="SimSun" w:hAnsi="Arial" w:cs="Arial"/>
                <w:b/>
                <w:iCs/>
                <w:color w:val="FF0000"/>
                <w:sz w:val="16"/>
                <w:szCs w:val="16"/>
                <w:lang w:val="de-DE"/>
              </w:rPr>
              <w:t>&lt;Unchanged text is omitted&gt;</w:t>
            </w:r>
          </w:p>
          <w:p w14:paraId="2BFD3BA4" w14:textId="12635B89" w:rsidR="005854E1" w:rsidRPr="005854E1" w:rsidRDefault="005854E1" w:rsidP="00191AD8">
            <w:pPr>
              <w:rPr>
                <w:rFonts w:ascii="Arial" w:hAnsi="Arial" w:cs="Arial"/>
                <w:sz w:val="16"/>
                <w:szCs w:val="16"/>
              </w:rPr>
            </w:pPr>
            <w:r w:rsidRPr="005854E1">
              <w:rPr>
                <w:rFonts w:ascii="Arial" w:eastAsia="Calibri" w:hAnsi="Arial" w:cs="Arial"/>
                <w:sz w:val="16"/>
                <w:szCs w:val="16"/>
                <w:lang w:val="de-DE"/>
              </w:rPr>
              <w:t>=======================  End of text proposal to TR 38.843 v1.2.0 ====================</w:t>
            </w:r>
          </w:p>
        </w:tc>
      </w:tr>
    </w:tbl>
    <w:p w14:paraId="08994E4E" w14:textId="77777777" w:rsidR="005854E1" w:rsidRPr="005854E1" w:rsidRDefault="005854E1" w:rsidP="005854E1"/>
    <w:p w14:paraId="7C5DCA71" w14:textId="77777777" w:rsidR="005854E1" w:rsidRPr="005854E1" w:rsidRDefault="005854E1" w:rsidP="005854E1"/>
    <w:p w14:paraId="479D1606" w14:textId="35880EB5" w:rsidR="00C12D5C" w:rsidRPr="00D63A96" w:rsidRDefault="005A18DC" w:rsidP="00C12D5C">
      <w:pPr>
        <w:rPr>
          <w:b/>
          <w:bCs/>
          <w:lang w:eastAsia="x-none"/>
        </w:rPr>
      </w:pPr>
      <w:hyperlink r:id="rId1932" w:history="1">
        <w:r w:rsidR="00AF7253">
          <w:rPr>
            <w:rStyle w:val="Hyperlink"/>
            <w:b/>
            <w:bCs/>
            <w:lang w:eastAsia="x-none"/>
          </w:rPr>
          <w:t>R1-2312515</w:t>
        </w:r>
      </w:hyperlink>
      <w:r w:rsidR="00C12D5C" w:rsidRPr="00D63A96">
        <w:rPr>
          <w:b/>
          <w:bCs/>
          <w:lang w:eastAsia="x-none"/>
        </w:rPr>
        <w:tab/>
        <w:t>Summary #4 on Remaining Aspects of Evaluating AI/ML for Positioning Accuracy Enhancement</w:t>
      </w:r>
      <w:r w:rsidR="00C12D5C" w:rsidRPr="00D63A96">
        <w:rPr>
          <w:b/>
          <w:bCs/>
          <w:lang w:eastAsia="x-none"/>
        </w:rPr>
        <w:tab/>
        <w:t>Moderator (Ericsson)</w:t>
      </w:r>
    </w:p>
    <w:p w14:paraId="529DBFE9" w14:textId="5E37BAE5" w:rsidR="00D63A96" w:rsidRDefault="00D63A96" w:rsidP="00C12D5C">
      <w:pPr>
        <w:rPr>
          <w:lang w:eastAsia="x-none"/>
        </w:rPr>
      </w:pPr>
      <w:r>
        <w:rPr>
          <w:lang w:eastAsia="x-none"/>
        </w:rPr>
        <w:t>From Thursday session</w:t>
      </w:r>
    </w:p>
    <w:p w14:paraId="540D8374" w14:textId="77777777" w:rsidR="00D63A96" w:rsidRPr="005854E1" w:rsidRDefault="00D63A96" w:rsidP="00D63A96">
      <w:r w:rsidRPr="00191AD8">
        <w:rPr>
          <w:highlight w:val="green"/>
        </w:rPr>
        <w:t>Agreement</w:t>
      </w:r>
    </w:p>
    <w:p w14:paraId="43614216" w14:textId="77777777" w:rsidR="00D63A96" w:rsidRDefault="00D63A96" w:rsidP="00D63A96">
      <w:r>
        <w:t>Adopt the text proposal for additional high-level summary of evaluations of AI/ML based positioning in the study item.</w:t>
      </w:r>
    </w:p>
    <w:tbl>
      <w:tblPr>
        <w:tblW w:w="5000" w:type="pct"/>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0683"/>
      </w:tblGrid>
      <w:tr w:rsidR="00D63A96" w:rsidRPr="00D63A96" w14:paraId="2219387F" w14:textId="77777777" w:rsidTr="00D63A96">
        <w:tc>
          <w:tcPr>
            <w:tcW w:w="5000" w:type="pct"/>
            <w:tcBorders>
              <w:top w:val="double" w:sz="4" w:space="0" w:color="A5A5A5"/>
              <w:left w:val="double" w:sz="4" w:space="0" w:color="A5A5A5"/>
              <w:bottom w:val="double" w:sz="4" w:space="0" w:color="A5A5A5"/>
              <w:right w:val="double" w:sz="4" w:space="0" w:color="A5A5A5"/>
            </w:tcBorders>
          </w:tcPr>
          <w:p w14:paraId="0531236F" w14:textId="77777777" w:rsidR="00D63A96" w:rsidRPr="00D63A96" w:rsidRDefault="00D63A96" w:rsidP="00D63A96">
            <w:pPr>
              <w:rPr>
                <w:rFonts w:ascii="Arial" w:eastAsia="Calibri" w:hAnsi="Arial" w:cs="Arial"/>
                <w:sz w:val="16"/>
                <w:szCs w:val="16"/>
                <w:lang w:val="de-DE"/>
              </w:rPr>
            </w:pPr>
            <w:r w:rsidRPr="00D63A96">
              <w:rPr>
                <w:rFonts w:ascii="Arial" w:eastAsia="Calibri" w:hAnsi="Arial" w:cs="Arial"/>
                <w:sz w:val="16"/>
                <w:szCs w:val="16"/>
                <w:lang w:val="de-DE"/>
              </w:rPr>
              <w:t>======================= Start of text proposal to TR 38.843 v1.2.0 ====================</w:t>
            </w:r>
          </w:p>
          <w:p w14:paraId="4928F9D8" w14:textId="77777777" w:rsidR="00D63A96" w:rsidRPr="00CA1999" w:rsidRDefault="00D63A96" w:rsidP="00D63A96">
            <w:pPr>
              <w:rPr>
                <w:rFonts w:ascii="Arial" w:hAnsi="Arial" w:cs="Arial"/>
                <w:b/>
                <w:bCs/>
                <w:sz w:val="16"/>
                <w:szCs w:val="16"/>
              </w:rPr>
            </w:pPr>
            <w:r w:rsidRPr="00CA1999">
              <w:rPr>
                <w:rFonts w:ascii="Arial" w:hAnsi="Arial" w:cs="Arial"/>
                <w:b/>
                <w:bCs/>
                <w:sz w:val="16"/>
                <w:szCs w:val="16"/>
              </w:rPr>
              <w:t>6.4.2.6</w:t>
            </w:r>
            <w:r w:rsidRPr="00CA1999">
              <w:rPr>
                <w:rFonts w:ascii="Arial" w:hAnsi="Arial" w:cs="Arial"/>
                <w:b/>
                <w:bCs/>
                <w:sz w:val="16"/>
                <w:szCs w:val="16"/>
              </w:rPr>
              <w:tab/>
              <w:t>Summary of Performance Results for Positioning accuracy enhancements</w:t>
            </w:r>
          </w:p>
          <w:p w14:paraId="4405A6DD" w14:textId="77777777" w:rsidR="00D63A96" w:rsidRPr="00D63A96" w:rsidRDefault="00D63A96" w:rsidP="00D63A96">
            <w:pPr>
              <w:rPr>
                <w:rFonts w:ascii="Arial" w:eastAsia="Calibri" w:hAnsi="Arial" w:cs="Arial"/>
                <w:sz w:val="16"/>
                <w:szCs w:val="16"/>
                <w:lang w:val="de-DE"/>
              </w:rPr>
            </w:pPr>
            <w:r w:rsidRPr="00D63A96">
              <w:rPr>
                <w:rFonts w:ascii="Arial" w:eastAsia="Calibri" w:hAnsi="Arial" w:cs="Arial"/>
                <w:sz w:val="16"/>
                <w:szCs w:val="16"/>
                <w:lang w:val="de-DE"/>
              </w:rPr>
              <w:t>...</w:t>
            </w:r>
          </w:p>
          <w:p w14:paraId="27DF4C7F" w14:textId="77777777" w:rsidR="00D63A96" w:rsidRPr="00D63A96" w:rsidRDefault="00D63A96" w:rsidP="00D63A96">
            <w:pPr>
              <w:rPr>
                <w:rFonts w:ascii="Arial" w:eastAsia="Calibri" w:hAnsi="Arial" w:cs="Arial"/>
                <w:sz w:val="16"/>
                <w:szCs w:val="16"/>
                <w:lang w:val="de-DE"/>
              </w:rPr>
            </w:pPr>
            <w:r w:rsidRPr="00D63A96">
              <w:rPr>
                <w:rFonts w:ascii="Arial" w:eastAsia="Calibri" w:hAnsi="Arial" w:cs="Arial"/>
                <w:sz w:val="16"/>
                <w:szCs w:val="16"/>
                <w:lang w:val="de-DE"/>
              </w:rPr>
              <w:t xml:space="preserve">Based on RAN1 evaluations of AI/ML based positioning, </w:t>
            </w:r>
          </w:p>
          <w:p w14:paraId="3C86604E" w14:textId="77777777" w:rsidR="00D63A96" w:rsidRPr="00D63A96" w:rsidRDefault="00D63A96" w:rsidP="00A67145">
            <w:pPr>
              <w:pStyle w:val="ListParagraph"/>
              <w:numPr>
                <w:ilvl w:val="3"/>
                <w:numId w:val="203"/>
              </w:numPr>
              <w:spacing w:after="0"/>
              <w:contextualSpacing w:val="0"/>
              <w:textAlignment w:val="auto"/>
              <w:rPr>
                <w:rFonts w:ascii="Arial" w:eastAsia="Batang" w:hAnsi="Arial" w:cs="Arial"/>
                <w:sz w:val="16"/>
                <w:szCs w:val="16"/>
                <w:lang w:val="en-US"/>
              </w:rPr>
            </w:pPr>
            <w:r w:rsidRPr="00D63A96">
              <w:rPr>
                <w:rFonts w:ascii="Arial" w:hAnsi="Arial" w:cs="Arial"/>
                <w:sz w:val="16"/>
                <w:szCs w:val="16"/>
                <w:lang w:val="en-US"/>
              </w:rPr>
              <w:t>…</w:t>
            </w:r>
          </w:p>
          <w:p w14:paraId="0A2964B5" w14:textId="77777777" w:rsidR="00D63A96" w:rsidRPr="00D63A96" w:rsidRDefault="00D63A96" w:rsidP="00A67145">
            <w:pPr>
              <w:pStyle w:val="ListParagraph"/>
              <w:numPr>
                <w:ilvl w:val="3"/>
                <w:numId w:val="203"/>
              </w:numPr>
              <w:spacing w:after="0"/>
              <w:contextualSpacing w:val="0"/>
              <w:textAlignment w:val="auto"/>
              <w:rPr>
                <w:rFonts w:ascii="Arial" w:hAnsi="Arial" w:cs="Arial"/>
                <w:color w:val="FF0000"/>
                <w:sz w:val="16"/>
                <w:szCs w:val="16"/>
                <w:lang w:val="en-US"/>
              </w:rPr>
            </w:pPr>
            <w:r w:rsidRPr="00D63A96">
              <w:rPr>
                <w:rFonts w:ascii="Arial" w:hAnsi="Arial" w:cs="Arial"/>
                <w:color w:val="FF0000"/>
                <w:sz w:val="16"/>
                <w:szCs w:val="16"/>
                <w:lang w:val="en-US"/>
              </w:rPr>
              <w:t>If AI/ML based positioning is considered for normative work, it is desired to further investigate model input design aspects: the model input type (e.g., CIR, PDP, DP), dimension (e.g., parameters N'</w:t>
            </w:r>
            <w:r w:rsidRPr="00D63A96">
              <w:rPr>
                <w:rFonts w:ascii="Arial" w:hAnsi="Arial" w:cs="Arial"/>
                <w:color w:val="FF0000"/>
                <w:sz w:val="16"/>
                <w:szCs w:val="16"/>
                <w:vertAlign w:val="subscript"/>
                <w:lang w:val="en-US"/>
              </w:rPr>
              <w:t>TRP</w:t>
            </w:r>
            <w:r w:rsidRPr="00D63A96">
              <w:rPr>
                <w:rFonts w:ascii="Arial" w:hAnsi="Arial" w:cs="Arial"/>
                <w:color w:val="FF0000"/>
                <w:sz w:val="16"/>
                <w:szCs w:val="16"/>
                <w:lang w:val="en-US"/>
              </w:rPr>
              <w:t>, N</w:t>
            </w:r>
            <w:r w:rsidRPr="00D63A96">
              <w:rPr>
                <w:rFonts w:ascii="Arial" w:hAnsi="Arial" w:cs="Arial"/>
                <w:color w:val="FF0000"/>
                <w:sz w:val="16"/>
                <w:szCs w:val="16"/>
                <w:vertAlign w:val="subscript"/>
                <w:lang w:val="en-US"/>
              </w:rPr>
              <w:t>t</w:t>
            </w:r>
            <w:r w:rsidRPr="00D63A96">
              <w:rPr>
                <w:rFonts w:ascii="Arial" w:hAnsi="Arial" w:cs="Arial"/>
                <w:color w:val="FF0000"/>
                <w:sz w:val="16"/>
                <w:szCs w:val="16"/>
                <w:lang w:val="en-US"/>
              </w:rPr>
              <w:t>, N'</w:t>
            </w:r>
            <w:r w:rsidRPr="00D63A96">
              <w:rPr>
                <w:rFonts w:ascii="Arial" w:hAnsi="Arial" w:cs="Arial"/>
                <w:color w:val="FF0000"/>
                <w:sz w:val="16"/>
                <w:szCs w:val="16"/>
                <w:vertAlign w:val="subscript"/>
                <w:lang w:val="en-US"/>
              </w:rPr>
              <w:t>t</w:t>
            </w:r>
            <w:r w:rsidRPr="00D63A96">
              <w:rPr>
                <w:rFonts w:ascii="Arial" w:hAnsi="Arial" w:cs="Arial"/>
                <w:color w:val="FF0000"/>
                <w:sz w:val="16"/>
                <w:szCs w:val="16"/>
                <w:lang w:val="en-US"/>
              </w:rPr>
              <w:t>, N</w:t>
            </w:r>
            <w:r w:rsidRPr="00D63A96">
              <w:rPr>
                <w:rFonts w:ascii="Arial" w:hAnsi="Arial" w:cs="Arial"/>
                <w:color w:val="FF0000"/>
                <w:sz w:val="16"/>
                <w:szCs w:val="16"/>
                <w:vertAlign w:val="subscript"/>
                <w:lang w:val="en-US"/>
              </w:rPr>
              <w:t>port</w:t>
            </w:r>
            <w:r w:rsidRPr="00D63A96">
              <w:rPr>
                <w:rFonts w:ascii="Arial" w:hAnsi="Arial" w:cs="Arial"/>
                <w:color w:val="FF0000"/>
                <w:sz w:val="16"/>
                <w:szCs w:val="16"/>
                <w:lang w:val="en-US"/>
              </w:rPr>
              <w:t>) and related format (e.g., for the timing information: absolute time or relative time) considering the tradeoff of positioning accuracy, signaling overhead, and AI/ML complexity.</w:t>
            </w:r>
          </w:p>
          <w:p w14:paraId="0A3AF131" w14:textId="77777777" w:rsidR="00D63A96" w:rsidRPr="00D63A96" w:rsidRDefault="00D63A96" w:rsidP="00D63A96">
            <w:pPr>
              <w:jc w:val="center"/>
              <w:rPr>
                <w:rFonts w:ascii="Arial" w:eastAsia="SimSun" w:hAnsi="Arial" w:cs="Arial"/>
                <w:b/>
                <w:iCs/>
                <w:color w:val="FF0000"/>
                <w:sz w:val="16"/>
                <w:szCs w:val="16"/>
                <w:lang w:val="de-DE"/>
              </w:rPr>
            </w:pPr>
            <w:r w:rsidRPr="00D63A96">
              <w:rPr>
                <w:rFonts w:ascii="Arial" w:eastAsia="SimSun" w:hAnsi="Arial" w:cs="Arial"/>
                <w:b/>
                <w:iCs/>
                <w:color w:val="FF0000"/>
                <w:sz w:val="16"/>
                <w:szCs w:val="16"/>
                <w:lang w:val="de-DE"/>
              </w:rPr>
              <w:t>&lt;Unchanged text is omitted&gt;</w:t>
            </w:r>
          </w:p>
          <w:p w14:paraId="461EAE80" w14:textId="6AC6B71E" w:rsidR="00D63A96" w:rsidRPr="00D63A96" w:rsidRDefault="00D63A96" w:rsidP="00CA1999">
            <w:pPr>
              <w:rPr>
                <w:rFonts w:ascii="Arial" w:hAnsi="Arial" w:cs="Arial"/>
                <w:sz w:val="16"/>
                <w:szCs w:val="16"/>
              </w:rPr>
            </w:pPr>
            <w:r w:rsidRPr="00D63A96">
              <w:rPr>
                <w:rFonts w:ascii="Arial" w:eastAsia="Calibri" w:hAnsi="Arial" w:cs="Arial"/>
                <w:sz w:val="16"/>
                <w:szCs w:val="16"/>
                <w:lang w:val="de-DE"/>
              </w:rPr>
              <w:t>=======================  End of text proposal to TR 38.843 v1.2.0 ====================</w:t>
            </w:r>
          </w:p>
        </w:tc>
      </w:tr>
    </w:tbl>
    <w:p w14:paraId="3C992B5E" w14:textId="77777777" w:rsidR="00D63A96" w:rsidRPr="00D63A96" w:rsidRDefault="00D63A96" w:rsidP="00D63A96">
      <w:pPr>
        <w:rPr>
          <w:rFonts w:ascii="Arial" w:hAnsi="Arial" w:cs="Arial"/>
          <w:sz w:val="16"/>
          <w:szCs w:val="16"/>
        </w:rPr>
      </w:pPr>
    </w:p>
    <w:tbl>
      <w:tblPr>
        <w:tblW w:w="5000" w:type="pct"/>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0683"/>
      </w:tblGrid>
      <w:tr w:rsidR="00D63A96" w:rsidRPr="00D63A96" w14:paraId="19CFCDA0" w14:textId="77777777" w:rsidTr="00D63A96">
        <w:tc>
          <w:tcPr>
            <w:tcW w:w="5000" w:type="pct"/>
            <w:tcBorders>
              <w:top w:val="double" w:sz="4" w:space="0" w:color="A5A5A5"/>
              <w:left w:val="double" w:sz="4" w:space="0" w:color="A5A5A5"/>
              <w:bottom w:val="double" w:sz="4" w:space="0" w:color="A5A5A5"/>
              <w:right w:val="double" w:sz="4" w:space="0" w:color="A5A5A5"/>
            </w:tcBorders>
          </w:tcPr>
          <w:p w14:paraId="5B2176B6" w14:textId="77777777" w:rsidR="00D63A96" w:rsidRPr="00D63A96" w:rsidRDefault="00D63A96" w:rsidP="00D63A96">
            <w:pPr>
              <w:rPr>
                <w:rFonts w:ascii="Arial" w:eastAsia="Calibri" w:hAnsi="Arial" w:cs="Arial"/>
                <w:sz w:val="16"/>
                <w:szCs w:val="16"/>
                <w:lang w:val="de-DE"/>
              </w:rPr>
            </w:pPr>
            <w:r w:rsidRPr="00D63A96">
              <w:rPr>
                <w:rFonts w:ascii="Arial" w:eastAsia="Calibri" w:hAnsi="Arial" w:cs="Arial"/>
                <w:sz w:val="16"/>
                <w:szCs w:val="16"/>
                <w:lang w:val="de-DE"/>
              </w:rPr>
              <w:t>======================= Start of text proposal to TR 38.843 v1.2.0 ====================</w:t>
            </w:r>
          </w:p>
          <w:p w14:paraId="2DD3FB7C" w14:textId="77777777" w:rsidR="00D63A96" w:rsidRPr="00D63A96" w:rsidRDefault="00D63A96" w:rsidP="00D63A96">
            <w:pPr>
              <w:rPr>
                <w:rFonts w:ascii="Arial" w:hAnsi="Arial" w:cs="Arial"/>
                <w:b/>
                <w:bCs/>
                <w:sz w:val="16"/>
                <w:szCs w:val="16"/>
              </w:rPr>
            </w:pPr>
            <w:r w:rsidRPr="00D63A96">
              <w:rPr>
                <w:rFonts w:ascii="Arial" w:hAnsi="Arial" w:cs="Arial"/>
                <w:b/>
                <w:bCs/>
                <w:sz w:val="16"/>
                <w:szCs w:val="16"/>
              </w:rPr>
              <w:t>6.4.2.6</w:t>
            </w:r>
            <w:r w:rsidRPr="00D63A96">
              <w:rPr>
                <w:rFonts w:ascii="Arial" w:hAnsi="Arial" w:cs="Arial"/>
                <w:b/>
                <w:bCs/>
                <w:sz w:val="16"/>
                <w:szCs w:val="16"/>
              </w:rPr>
              <w:tab/>
              <w:t>Summary of Performance Results for Positioning accuracy enhancements</w:t>
            </w:r>
          </w:p>
          <w:p w14:paraId="386395F2" w14:textId="77777777" w:rsidR="00D63A96" w:rsidRPr="00D63A96" w:rsidRDefault="00D63A96" w:rsidP="00D63A96">
            <w:pPr>
              <w:rPr>
                <w:rFonts w:ascii="Arial" w:eastAsia="Calibri" w:hAnsi="Arial" w:cs="Arial"/>
                <w:i/>
                <w:iCs/>
                <w:sz w:val="16"/>
                <w:szCs w:val="16"/>
                <w:lang w:val="de-DE"/>
              </w:rPr>
            </w:pPr>
            <w:r w:rsidRPr="00D63A96">
              <w:rPr>
                <w:rFonts w:ascii="Arial" w:eastAsia="Calibri" w:hAnsi="Arial" w:cs="Arial"/>
                <w:i/>
                <w:iCs/>
                <w:sz w:val="16"/>
                <w:szCs w:val="16"/>
                <w:lang w:val="de-DE"/>
              </w:rPr>
              <w:t xml:space="preserve">Editor’s note: Section for FL to summarize the evaluations. </w:t>
            </w:r>
          </w:p>
          <w:p w14:paraId="39D142B2" w14:textId="77777777" w:rsidR="00D63A96" w:rsidRPr="00D63A96" w:rsidRDefault="00D63A96" w:rsidP="00D63A96">
            <w:pPr>
              <w:rPr>
                <w:rFonts w:ascii="Arial" w:eastAsia="Calibri" w:hAnsi="Arial" w:cs="Arial"/>
                <w:sz w:val="16"/>
                <w:szCs w:val="16"/>
                <w:lang w:val="de-DE"/>
              </w:rPr>
            </w:pPr>
            <w:r w:rsidRPr="00D63A96">
              <w:rPr>
                <w:rFonts w:ascii="Arial" w:eastAsia="Calibri" w:hAnsi="Arial" w:cs="Arial"/>
                <w:sz w:val="16"/>
                <w:szCs w:val="16"/>
                <w:lang w:val="de-DE"/>
              </w:rPr>
              <w:t>...</w:t>
            </w:r>
          </w:p>
          <w:p w14:paraId="2BF8738B" w14:textId="77777777" w:rsidR="00D63A96" w:rsidRPr="00D63A96" w:rsidRDefault="00D63A96" w:rsidP="00D63A96">
            <w:pPr>
              <w:rPr>
                <w:rFonts w:ascii="Arial" w:eastAsia="Calibri" w:hAnsi="Arial" w:cs="Arial"/>
                <w:sz w:val="16"/>
                <w:szCs w:val="16"/>
                <w:lang w:val="de-DE"/>
              </w:rPr>
            </w:pPr>
            <w:r w:rsidRPr="00D63A96">
              <w:rPr>
                <w:rFonts w:ascii="Arial" w:eastAsia="Calibri" w:hAnsi="Arial" w:cs="Arial"/>
                <w:sz w:val="16"/>
                <w:szCs w:val="16"/>
                <w:lang w:val="de-DE"/>
              </w:rPr>
              <w:t xml:space="preserve">Based on RAN1 evaluations of AI/ML based positioning, </w:t>
            </w:r>
          </w:p>
          <w:p w14:paraId="75755CE8" w14:textId="77777777" w:rsidR="00D63A96" w:rsidRPr="00D63A96" w:rsidRDefault="00D63A96" w:rsidP="00A67145">
            <w:pPr>
              <w:pStyle w:val="ListParagraph"/>
              <w:numPr>
                <w:ilvl w:val="3"/>
                <w:numId w:val="203"/>
              </w:numPr>
              <w:spacing w:after="0"/>
              <w:contextualSpacing w:val="0"/>
              <w:textAlignment w:val="auto"/>
              <w:rPr>
                <w:rFonts w:ascii="Arial" w:eastAsia="Batang" w:hAnsi="Arial" w:cs="Arial"/>
                <w:sz w:val="16"/>
                <w:szCs w:val="16"/>
                <w:lang w:val="en-US"/>
              </w:rPr>
            </w:pPr>
            <w:r w:rsidRPr="00D63A96">
              <w:rPr>
                <w:rFonts w:ascii="Arial" w:hAnsi="Arial" w:cs="Arial"/>
                <w:sz w:val="16"/>
                <w:szCs w:val="16"/>
                <w:lang w:val="en-US"/>
              </w:rPr>
              <w:t xml:space="preserve">It is beneficial to support both direct AI/ML and AI/ML assisted positioning approaches since they can significantly improve the positioning accuracy compared to existing RAT-dependent positioning methods in the evaluated indoor factory scenarios. </w:t>
            </w:r>
          </w:p>
          <w:p w14:paraId="327A2013" w14:textId="77777777" w:rsidR="00D63A96" w:rsidRPr="00D63A96" w:rsidRDefault="00D63A96" w:rsidP="00A67145">
            <w:pPr>
              <w:pStyle w:val="ListParagraph"/>
              <w:numPr>
                <w:ilvl w:val="3"/>
                <w:numId w:val="203"/>
              </w:numPr>
              <w:spacing w:after="0"/>
              <w:contextualSpacing w:val="0"/>
              <w:textAlignment w:val="auto"/>
              <w:rPr>
                <w:rFonts w:ascii="Arial" w:hAnsi="Arial" w:cs="Arial"/>
                <w:sz w:val="16"/>
                <w:szCs w:val="16"/>
                <w:lang w:val="en-US"/>
              </w:rPr>
            </w:pPr>
            <w:r w:rsidRPr="00D63A96">
              <w:rPr>
                <w:rFonts w:ascii="Arial" w:hAnsi="Arial" w:cs="Arial"/>
                <w:sz w:val="16"/>
                <w:szCs w:val="16"/>
                <w:lang w:val="en-US"/>
              </w:rPr>
              <w:t>Both UE-side model and NW-side model can significantly improve the positioning accuracy compared to existing RAT-dependent positioning methods.</w:t>
            </w:r>
          </w:p>
          <w:p w14:paraId="122D530B" w14:textId="77777777" w:rsidR="00D63A96" w:rsidRPr="00D63A96" w:rsidRDefault="00D63A96" w:rsidP="00A67145">
            <w:pPr>
              <w:pStyle w:val="ListParagraph"/>
              <w:numPr>
                <w:ilvl w:val="0"/>
                <w:numId w:val="204"/>
              </w:numPr>
              <w:overflowPunct/>
              <w:autoSpaceDE/>
              <w:autoSpaceDN/>
              <w:adjustRightInd/>
              <w:spacing w:after="0"/>
              <w:contextualSpacing w:val="0"/>
              <w:textAlignment w:val="auto"/>
              <w:rPr>
                <w:rFonts w:ascii="Arial" w:hAnsi="Arial" w:cs="Arial"/>
                <w:color w:val="FF0000"/>
                <w:sz w:val="16"/>
                <w:szCs w:val="16"/>
                <w:lang w:val="en-US"/>
              </w:rPr>
            </w:pPr>
            <w:r w:rsidRPr="00D63A96">
              <w:rPr>
                <w:rFonts w:ascii="Arial" w:hAnsi="Arial" w:cs="Arial"/>
                <w:color w:val="FF0000"/>
                <w:sz w:val="16"/>
                <w:szCs w:val="16"/>
                <w:lang w:val="en-US"/>
              </w:rPr>
              <w:t>It is desired to apply methods to handle generalization aspects.</w:t>
            </w:r>
          </w:p>
          <w:p w14:paraId="6FD7942D" w14:textId="77777777" w:rsidR="00D63A96" w:rsidRPr="00D63A96" w:rsidRDefault="00D63A96" w:rsidP="00A67145">
            <w:pPr>
              <w:pStyle w:val="ListParagraph"/>
              <w:numPr>
                <w:ilvl w:val="3"/>
                <w:numId w:val="203"/>
              </w:numPr>
              <w:spacing w:after="0"/>
              <w:contextualSpacing w:val="0"/>
              <w:textAlignment w:val="auto"/>
              <w:rPr>
                <w:rFonts w:ascii="Arial" w:hAnsi="Arial" w:cs="Arial"/>
                <w:color w:val="FF0000"/>
                <w:sz w:val="16"/>
                <w:szCs w:val="16"/>
                <w:lang w:val="en-US"/>
              </w:rPr>
            </w:pPr>
            <w:r w:rsidRPr="00D63A96">
              <w:rPr>
                <w:rFonts w:ascii="Arial" w:hAnsi="Arial" w:cs="Arial"/>
                <w:color w:val="FF0000"/>
                <w:sz w:val="16"/>
                <w:szCs w:val="16"/>
                <w:lang w:val="en-US"/>
              </w:rPr>
              <w:t>It is desired to consider training data collection requirements.</w:t>
            </w:r>
          </w:p>
          <w:p w14:paraId="417F8A33" w14:textId="77777777" w:rsidR="00D63A96" w:rsidRPr="00D63A96" w:rsidRDefault="00D63A96" w:rsidP="00D63A96">
            <w:pPr>
              <w:jc w:val="center"/>
              <w:rPr>
                <w:rFonts w:ascii="Arial" w:eastAsia="SimSun" w:hAnsi="Arial" w:cs="Arial"/>
                <w:b/>
                <w:iCs/>
                <w:color w:val="FF0000"/>
                <w:sz w:val="16"/>
                <w:szCs w:val="16"/>
                <w:lang w:val="de-DE"/>
              </w:rPr>
            </w:pPr>
            <w:r w:rsidRPr="00D63A96">
              <w:rPr>
                <w:rFonts w:ascii="Arial" w:eastAsia="SimSun" w:hAnsi="Arial" w:cs="Arial"/>
                <w:b/>
                <w:iCs/>
                <w:color w:val="FF0000"/>
                <w:sz w:val="16"/>
                <w:szCs w:val="16"/>
                <w:lang w:val="de-DE"/>
              </w:rPr>
              <w:t>&lt;Unchanged text is omitted&gt;</w:t>
            </w:r>
          </w:p>
          <w:p w14:paraId="05188C6C" w14:textId="646BDB74" w:rsidR="00D63A96" w:rsidRPr="00D63A96" w:rsidRDefault="00D63A96" w:rsidP="00CA1999">
            <w:pPr>
              <w:rPr>
                <w:rFonts w:ascii="Arial" w:hAnsi="Arial" w:cs="Arial"/>
                <w:sz w:val="16"/>
                <w:szCs w:val="16"/>
              </w:rPr>
            </w:pPr>
            <w:r w:rsidRPr="00D63A96">
              <w:rPr>
                <w:rFonts w:ascii="Arial" w:eastAsia="Calibri" w:hAnsi="Arial" w:cs="Arial"/>
                <w:sz w:val="16"/>
                <w:szCs w:val="16"/>
                <w:lang w:val="de-DE"/>
              </w:rPr>
              <w:t>=======================  End of text proposal to TR 38.843 v1.2.0 ====================</w:t>
            </w:r>
          </w:p>
        </w:tc>
      </w:tr>
    </w:tbl>
    <w:p w14:paraId="5410240D" w14:textId="77777777" w:rsidR="00D63A96" w:rsidRDefault="00D63A96" w:rsidP="00D63A96"/>
    <w:p w14:paraId="6AC54B4F" w14:textId="77777777" w:rsidR="00D63A96" w:rsidRDefault="00D63A96" w:rsidP="00C12D5C">
      <w:pPr>
        <w:rPr>
          <w:lang w:eastAsia="x-none"/>
        </w:rPr>
      </w:pPr>
    </w:p>
    <w:p w14:paraId="7062B374" w14:textId="328FCDD1" w:rsidR="00C12D5C" w:rsidRDefault="00B7186D" w:rsidP="00C12D5C">
      <w:pPr>
        <w:rPr>
          <w:lang w:eastAsia="x-none"/>
        </w:rPr>
      </w:pPr>
      <w:r>
        <w:rPr>
          <w:lang w:eastAsia="x-none"/>
        </w:rPr>
        <w:t xml:space="preserve">Final summary in </w:t>
      </w:r>
      <w:hyperlink r:id="rId1933" w:history="1">
        <w:r w:rsidR="00AF7253">
          <w:rPr>
            <w:rStyle w:val="Hyperlink"/>
            <w:lang w:eastAsia="x-none"/>
          </w:rPr>
          <w:t>R1-2312516</w:t>
        </w:r>
      </w:hyperlink>
      <w:r>
        <w:rPr>
          <w:lang w:eastAsia="x-none"/>
        </w:rPr>
        <w:t>.</w:t>
      </w:r>
    </w:p>
    <w:p w14:paraId="7147353A" w14:textId="77777777" w:rsidR="005854E1" w:rsidRPr="005854E1" w:rsidRDefault="005854E1" w:rsidP="005854E1">
      <w:pPr>
        <w:rPr>
          <w:lang w:eastAsia="x-none"/>
        </w:rPr>
      </w:pPr>
    </w:p>
    <w:p w14:paraId="2573FDE4" w14:textId="77777777" w:rsidR="00C12D5C" w:rsidRPr="005854E1" w:rsidRDefault="00C12D5C" w:rsidP="00C12D5C">
      <w:pPr>
        <w:rPr>
          <w:lang w:eastAsia="x-none"/>
        </w:rPr>
      </w:pPr>
      <w:r>
        <w:rPr>
          <w:lang w:eastAsia="x-none"/>
        </w:rPr>
        <w:t>===========================================================================================</w:t>
      </w:r>
    </w:p>
    <w:p w14:paraId="1B981D4B" w14:textId="25FE5E5D" w:rsidR="00C12D5C" w:rsidRPr="00C12D5C" w:rsidRDefault="005A18DC" w:rsidP="00C12D5C">
      <w:pPr>
        <w:rPr>
          <w:b/>
          <w:bCs/>
          <w:lang w:eastAsia="x-none"/>
        </w:rPr>
      </w:pPr>
      <w:hyperlink r:id="rId1934" w:history="1">
        <w:r w:rsidR="00AF7253">
          <w:rPr>
            <w:rStyle w:val="Hyperlink"/>
            <w:b/>
            <w:bCs/>
            <w:lang w:eastAsia="x-none"/>
          </w:rPr>
          <w:t>R1-2312425</w:t>
        </w:r>
      </w:hyperlink>
      <w:r w:rsidR="00C12D5C" w:rsidRPr="00C12D5C">
        <w:rPr>
          <w:b/>
          <w:bCs/>
          <w:lang w:eastAsia="x-none"/>
        </w:rPr>
        <w:tab/>
        <w:t>FL summary #1 on remaining open aspects of AI/ML positioning</w:t>
      </w:r>
      <w:r w:rsidR="00C12D5C" w:rsidRPr="00C12D5C">
        <w:rPr>
          <w:b/>
          <w:bCs/>
          <w:lang w:eastAsia="x-none"/>
        </w:rPr>
        <w:tab/>
        <w:t>Moderator (vivo)</w:t>
      </w:r>
    </w:p>
    <w:p w14:paraId="3C05A52C" w14:textId="00D8E9FD" w:rsidR="005854E1" w:rsidRPr="005854E1" w:rsidRDefault="00C12D5C" w:rsidP="005854E1">
      <w:pPr>
        <w:rPr>
          <w:lang w:eastAsia="x-none"/>
        </w:rPr>
      </w:pPr>
      <w:r>
        <w:rPr>
          <w:lang w:eastAsia="x-none"/>
        </w:rPr>
        <w:t>From Wednesday session</w:t>
      </w:r>
    </w:p>
    <w:p w14:paraId="0F19BA34" w14:textId="77777777" w:rsidR="00C12D5C" w:rsidRPr="00FF1946" w:rsidRDefault="00C12D5C" w:rsidP="00C12D5C">
      <w:pPr>
        <w:overflowPunct w:val="0"/>
        <w:autoSpaceDE w:val="0"/>
        <w:autoSpaceDN w:val="0"/>
        <w:adjustRightInd w:val="0"/>
        <w:textAlignment w:val="baseline"/>
        <w:rPr>
          <w:rFonts w:ascii="Times New Roman" w:hAnsi="Times New Roman"/>
          <w:szCs w:val="20"/>
          <w:lang w:val="en-US" w:eastAsia="zh-CN"/>
        </w:rPr>
      </w:pPr>
      <w:r w:rsidRPr="00FF1946">
        <w:rPr>
          <w:rFonts w:ascii="Times New Roman" w:hAnsi="Times New Roman"/>
          <w:szCs w:val="20"/>
          <w:highlight w:val="green"/>
          <w:lang w:val="en-US" w:eastAsia="zh-CN"/>
        </w:rPr>
        <w:t>Agreement</w:t>
      </w:r>
    </w:p>
    <w:p w14:paraId="78E06DDA" w14:textId="77777777" w:rsidR="005854E1" w:rsidRPr="005854E1" w:rsidRDefault="005854E1" w:rsidP="00C04FE0">
      <w:pPr>
        <w:rPr>
          <w:lang w:eastAsia="ja-JP"/>
        </w:rPr>
      </w:pPr>
      <w:r w:rsidRPr="005854E1">
        <w:rPr>
          <w:lang w:eastAsia="ja-JP"/>
        </w:rPr>
        <w:t>It is recommended to specify necessary measurement, signaling and procedure to facilitate training, inference, monitoring and/or other LCM operations for both direct AI/ML positioning and AI/ML assisted positioning</w:t>
      </w:r>
    </w:p>
    <w:p w14:paraId="54E34C44" w14:textId="77777777" w:rsidR="005854E1" w:rsidRPr="00C04FE0" w:rsidRDefault="005854E1" w:rsidP="00A67145">
      <w:pPr>
        <w:pStyle w:val="ListParagraph"/>
        <w:numPr>
          <w:ilvl w:val="0"/>
          <w:numId w:val="157"/>
        </w:numPr>
      </w:pPr>
      <w:r w:rsidRPr="00C04FE0">
        <w:t>specify necessary signaling of data collection; investigate the necessity of other information for supporting data collection, and if needed, specify during normative work</w:t>
      </w:r>
    </w:p>
    <w:p w14:paraId="2EF1A126" w14:textId="77777777" w:rsidR="005854E1" w:rsidRPr="00C04FE0" w:rsidRDefault="005854E1" w:rsidP="00A67145">
      <w:pPr>
        <w:pStyle w:val="ListParagraph"/>
        <w:numPr>
          <w:ilvl w:val="0"/>
          <w:numId w:val="157"/>
        </w:numPr>
      </w:pPr>
      <w:r w:rsidRPr="00C04FE0">
        <w:t>investigate on the necessity and signaling details of measurement enhancements, and if needed, specify during normative work</w:t>
      </w:r>
    </w:p>
    <w:p w14:paraId="06BFFD7C" w14:textId="77777777" w:rsidR="005854E1" w:rsidRPr="00C04FE0" w:rsidRDefault="005854E1" w:rsidP="00A67145">
      <w:pPr>
        <w:pStyle w:val="ListParagraph"/>
        <w:numPr>
          <w:ilvl w:val="0"/>
          <w:numId w:val="157"/>
        </w:numPr>
      </w:pPr>
      <w:r w:rsidRPr="00C04FE0">
        <w:t>investigate on the necessity and signaling details of monitoring method(s), and if needed, specify during normative work</w:t>
      </w:r>
    </w:p>
    <w:p w14:paraId="697107DC" w14:textId="77777777" w:rsidR="00F74A6F" w:rsidRPr="009537ED" w:rsidRDefault="00F74A6F" w:rsidP="00F74A6F">
      <w:pPr>
        <w:pStyle w:val="Heading2"/>
      </w:pPr>
      <w:bookmarkStart w:id="785" w:name="_Toc150174499"/>
      <w:bookmarkStart w:id="786" w:name="_Toc159251041"/>
      <w:r w:rsidRPr="009537ED">
        <w:rPr>
          <w:lang w:eastAsia="zh-CN"/>
        </w:rPr>
        <w:t>Study on Self-Evaluation towards the IMT-2020 Submission of the 3GPP Satellite Radio Interface Technology</w:t>
      </w:r>
      <w:bookmarkEnd w:id="785"/>
      <w:bookmarkEnd w:id="786"/>
    </w:p>
    <w:p w14:paraId="3047636E" w14:textId="77777777" w:rsidR="00F74A6F" w:rsidRPr="009537ED" w:rsidRDefault="00F74A6F" w:rsidP="00F74A6F">
      <w:pPr>
        <w:rPr>
          <w:i/>
          <w:iCs/>
        </w:rPr>
      </w:pPr>
      <w:r w:rsidRPr="009537ED">
        <w:rPr>
          <w:i/>
          <w:iCs/>
        </w:rPr>
        <w:t xml:space="preserve">Please refer to </w:t>
      </w:r>
      <w:hyperlink r:id="rId1935" w:history="1">
        <w:r w:rsidRPr="009537ED">
          <w:rPr>
            <w:i/>
            <w:iCs/>
            <w:color w:val="0000FF"/>
            <w:u w:val="single"/>
          </w:rPr>
          <w:t>RP-231296</w:t>
        </w:r>
      </w:hyperlink>
      <w:r w:rsidRPr="009537ED">
        <w:rPr>
          <w:i/>
          <w:iCs/>
        </w:rPr>
        <w:t xml:space="preserve"> for detailed scope of the SI.</w:t>
      </w:r>
    </w:p>
    <w:p w14:paraId="3DBE4B01" w14:textId="77777777" w:rsidR="00F74A6F" w:rsidRDefault="00F74A6F" w:rsidP="004B3090"/>
    <w:p w14:paraId="4FB66D3B" w14:textId="1AED9ABB" w:rsidR="004B3090" w:rsidRPr="004B3090" w:rsidRDefault="005A18DC" w:rsidP="004B3090">
      <w:pPr>
        <w:rPr>
          <w:b/>
          <w:bCs/>
        </w:rPr>
      </w:pPr>
      <w:hyperlink r:id="rId1936" w:history="1">
        <w:r w:rsidR="00AF7253">
          <w:rPr>
            <w:rStyle w:val="Hyperlink"/>
            <w:b/>
            <w:bCs/>
          </w:rPr>
          <w:t>R1-2312511</w:t>
        </w:r>
      </w:hyperlink>
      <w:r w:rsidR="004B3090" w:rsidRPr="004B3090">
        <w:rPr>
          <w:b/>
          <w:bCs/>
        </w:rPr>
        <w:tab/>
        <w:t>Session notes for 8.15 (Study on Self-Evaluation towards the 3GPP submission of a IMT-2020 Satellite Radio Interface Technology)</w:t>
      </w:r>
      <w:r w:rsidR="004B3090" w:rsidRPr="004B3090">
        <w:rPr>
          <w:b/>
          <w:bCs/>
        </w:rPr>
        <w:tab/>
        <w:t>Ad-Hoc Chair (Huawei)</w:t>
      </w:r>
    </w:p>
    <w:p w14:paraId="248950CB" w14:textId="77777777" w:rsidR="004B3090" w:rsidRPr="00D96FAE" w:rsidRDefault="004B3090" w:rsidP="004B3090">
      <w:pPr>
        <w:rPr>
          <w:lang w:eastAsia="x-none"/>
        </w:rPr>
      </w:pPr>
      <w:r w:rsidRPr="00F05EFE">
        <w:rPr>
          <w:b/>
          <w:bCs/>
        </w:rPr>
        <w:t>Friday decision:</w:t>
      </w:r>
      <w:r>
        <w:t xml:space="preserve"> The </w:t>
      </w:r>
      <w:r>
        <w:rPr>
          <w:lang w:val="en-US" w:eastAsia="x-none"/>
        </w:rPr>
        <w:t>s</w:t>
      </w:r>
      <w:r w:rsidRPr="00663F3A">
        <w:rPr>
          <w:lang w:val="en-US" w:eastAsia="x-none"/>
        </w:rPr>
        <w:t>ession notes</w:t>
      </w:r>
      <w:r>
        <w:rPr>
          <w:lang w:val="en-US" w:eastAsia="x-none"/>
        </w:rPr>
        <w:t xml:space="preserve"> are </w:t>
      </w:r>
      <w:r>
        <w:rPr>
          <w:highlight w:val="green"/>
          <w:lang w:eastAsia="x-none"/>
        </w:rPr>
        <w:t>e</w:t>
      </w:r>
      <w:r w:rsidRPr="00D96FAE">
        <w:rPr>
          <w:highlight w:val="green"/>
          <w:lang w:eastAsia="x-none"/>
        </w:rPr>
        <w:t xml:space="preserve">ndorsed </w:t>
      </w:r>
      <w:r w:rsidRPr="00D96FAE">
        <w:rPr>
          <w:lang w:eastAsia="x-none"/>
        </w:rPr>
        <w:t>and contents reflected below.</w:t>
      </w:r>
    </w:p>
    <w:p w14:paraId="2D87D9AC" w14:textId="77777777" w:rsidR="004B3090" w:rsidRPr="009537ED" w:rsidRDefault="004B3090" w:rsidP="004B3090"/>
    <w:p w14:paraId="723B7A07" w14:textId="77777777" w:rsidR="00CA2BAF" w:rsidRPr="004B3090" w:rsidRDefault="00F74A6F" w:rsidP="00F74A6F">
      <w:pPr>
        <w:rPr>
          <w:lang w:eastAsia="x-none"/>
        </w:rPr>
      </w:pPr>
      <w:r w:rsidRPr="004B3090">
        <w:rPr>
          <w:lang w:eastAsia="x-none"/>
        </w:rPr>
        <w:t xml:space="preserve">[115-R18-Sat_Eval] </w:t>
      </w:r>
      <w:r w:rsidR="00CA2BAF" w:rsidRPr="004B3090">
        <w:rPr>
          <w:lang w:eastAsia="x-none"/>
        </w:rPr>
        <w:t>– Alberto (Qualcomm)</w:t>
      </w:r>
    </w:p>
    <w:p w14:paraId="48502940" w14:textId="150815DD" w:rsidR="00F74A6F" w:rsidRPr="004B3090" w:rsidRDefault="00F74A6F" w:rsidP="00F74A6F">
      <w:pPr>
        <w:rPr>
          <w:lang w:eastAsia="x-none"/>
        </w:rPr>
      </w:pPr>
      <w:r w:rsidRPr="004B3090">
        <w:rPr>
          <w:lang w:eastAsia="x-none"/>
        </w:rPr>
        <w:t>Email discussion on self-evaluation towards the 3GPP submission of a IMT-2020 satellite radio interface technology</w:t>
      </w:r>
    </w:p>
    <w:p w14:paraId="464B4574" w14:textId="77777777" w:rsidR="00F74A6F" w:rsidRPr="004B3090" w:rsidRDefault="00F74A6F" w:rsidP="00F74A6F">
      <w:pPr>
        <w:numPr>
          <w:ilvl w:val="0"/>
          <w:numId w:val="69"/>
        </w:numPr>
        <w:rPr>
          <w:lang w:eastAsia="x-none"/>
        </w:rPr>
      </w:pPr>
      <w:r w:rsidRPr="004B3090">
        <w:rPr>
          <w:lang w:eastAsia="x-none"/>
        </w:rPr>
        <w:t>To be used for sharing updates on online/offline schedule, details on what is to be discussed in online/offline sessions, tdoc number of the moderator summary for online session, etc</w:t>
      </w:r>
    </w:p>
    <w:p w14:paraId="50B45EBD" w14:textId="77777777" w:rsidR="00F74A6F" w:rsidRPr="009537ED" w:rsidRDefault="00F74A6F" w:rsidP="00F74A6F">
      <w:pPr>
        <w:rPr>
          <w:iCs/>
        </w:rPr>
      </w:pPr>
    </w:p>
    <w:p w14:paraId="32A34C35" w14:textId="77777777" w:rsidR="00F74A6F" w:rsidRPr="009537ED" w:rsidRDefault="00F74A6F" w:rsidP="00F74A6F">
      <w:pPr>
        <w:rPr>
          <w:iCs/>
        </w:rPr>
      </w:pPr>
    </w:p>
    <w:p w14:paraId="453446E5" w14:textId="51DDF6C2" w:rsidR="00766A24" w:rsidRPr="00FF1946" w:rsidRDefault="005A18DC" w:rsidP="00766A24">
      <w:pPr>
        <w:rPr>
          <w:rFonts w:ascii="Times New Roman" w:hAnsi="Times New Roman"/>
          <w:szCs w:val="20"/>
          <w:lang w:eastAsia="x-none"/>
        </w:rPr>
      </w:pPr>
      <w:hyperlink r:id="rId1937" w:history="1">
        <w:r w:rsidR="00AF7253">
          <w:rPr>
            <w:rStyle w:val="Hyperlink"/>
            <w:rFonts w:ascii="Times New Roman" w:hAnsi="Times New Roman"/>
            <w:b/>
            <w:bCs/>
            <w:szCs w:val="20"/>
            <w:highlight w:val="green"/>
            <w:lang w:eastAsia="x-none"/>
          </w:rPr>
          <w:t>R1-2312444</w:t>
        </w:r>
      </w:hyperlink>
      <w:r w:rsidR="00766A24" w:rsidRPr="00766A24">
        <w:rPr>
          <w:rFonts w:ascii="Times New Roman" w:hAnsi="Times New Roman"/>
          <w:b/>
          <w:bCs/>
          <w:szCs w:val="20"/>
          <w:lang w:eastAsia="x-none"/>
        </w:rPr>
        <w:tab/>
        <w:t>Text Proposal to TR 37.911 for Connection Density evaluation for IoT NTN and NR NTN</w:t>
      </w:r>
      <w:r w:rsidR="00766A24" w:rsidRPr="00766A24">
        <w:rPr>
          <w:rFonts w:ascii="Times New Roman" w:hAnsi="Times New Roman"/>
          <w:b/>
          <w:bCs/>
          <w:szCs w:val="20"/>
          <w:lang w:eastAsia="x-none"/>
        </w:rPr>
        <w:tab/>
        <w:t>MediaTek, Thales, Qualcomm</w:t>
      </w:r>
      <w:r w:rsidR="00766A24" w:rsidRPr="00766A24">
        <w:rPr>
          <w:rFonts w:ascii="Times New Roman" w:hAnsi="Times New Roman"/>
          <w:szCs w:val="20"/>
          <w:lang w:eastAsia="x-none"/>
        </w:rPr>
        <w:tab/>
        <w:t xml:space="preserve">(rev of </w:t>
      </w:r>
      <w:hyperlink r:id="rId1938" w:history="1">
        <w:r w:rsidR="00AF7253">
          <w:rPr>
            <w:rStyle w:val="Hyperlink"/>
            <w:rFonts w:ascii="Times New Roman" w:hAnsi="Times New Roman"/>
            <w:szCs w:val="20"/>
            <w:lang w:eastAsia="x-none"/>
          </w:rPr>
          <w:t>R1-2312001</w:t>
        </w:r>
      </w:hyperlink>
      <w:r w:rsidR="00766A24" w:rsidRPr="00766A24">
        <w:rPr>
          <w:rFonts w:ascii="Times New Roman" w:hAnsi="Times New Roman"/>
          <w:szCs w:val="20"/>
          <w:lang w:eastAsia="x-none"/>
        </w:rPr>
        <w:t>)</w:t>
      </w:r>
    </w:p>
    <w:p w14:paraId="019091C4" w14:textId="77777777" w:rsidR="00766A24" w:rsidRPr="00FF1946" w:rsidRDefault="00766A24" w:rsidP="00766A24">
      <w:pPr>
        <w:overflowPunct w:val="0"/>
        <w:autoSpaceDE w:val="0"/>
        <w:autoSpaceDN w:val="0"/>
        <w:adjustRightInd w:val="0"/>
        <w:textAlignment w:val="baseline"/>
        <w:rPr>
          <w:rFonts w:ascii="Times New Roman" w:hAnsi="Times New Roman"/>
          <w:szCs w:val="20"/>
          <w:lang w:val="en-US" w:eastAsia="zh-CN"/>
        </w:rPr>
      </w:pPr>
      <w:r w:rsidRPr="00FF1946">
        <w:rPr>
          <w:rFonts w:ascii="Times New Roman" w:hAnsi="Times New Roman"/>
          <w:szCs w:val="20"/>
          <w:highlight w:val="green"/>
          <w:lang w:val="en-US" w:eastAsia="zh-CN"/>
        </w:rPr>
        <w:t>Agreement</w:t>
      </w:r>
    </w:p>
    <w:p w14:paraId="2234C620" w14:textId="0DE22FC2" w:rsidR="00766A24" w:rsidRPr="00FF1946" w:rsidRDefault="00766A24" w:rsidP="00766A24">
      <w:pPr>
        <w:rPr>
          <w:rFonts w:ascii="Times New Roman" w:hAnsi="Times New Roman"/>
          <w:szCs w:val="20"/>
          <w:lang w:eastAsia="zh-CN"/>
        </w:rPr>
      </w:pPr>
      <w:r w:rsidRPr="00FF1946">
        <w:rPr>
          <w:rFonts w:ascii="Times New Roman" w:hAnsi="Times New Roman"/>
          <w:szCs w:val="20"/>
          <w:lang w:eastAsia="zh-CN"/>
        </w:rPr>
        <w:t>The TP to TR 37.911 for Connection Density evaluation i</w:t>
      </w:r>
      <w:r>
        <w:rPr>
          <w:rFonts w:ascii="Times New Roman" w:hAnsi="Times New Roman"/>
          <w:szCs w:val="20"/>
          <w:lang w:eastAsia="zh-CN"/>
        </w:rPr>
        <w:t>n</w:t>
      </w:r>
      <w:r w:rsidRPr="00FF1946">
        <w:rPr>
          <w:rFonts w:ascii="Times New Roman" w:hAnsi="Times New Roman"/>
          <w:szCs w:val="20"/>
          <w:lang w:eastAsia="zh-CN"/>
        </w:rPr>
        <w:t xml:space="preserve"> </w:t>
      </w:r>
      <w:hyperlink r:id="rId1939" w:history="1">
        <w:r w:rsidR="00AF7253">
          <w:rPr>
            <w:rStyle w:val="Hyperlink"/>
            <w:rFonts w:ascii="Times New Roman" w:hAnsi="Times New Roman"/>
            <w:szCs w:val="20"/>
            <w:lang w:eastAsia="zh-CN"/>
          </w:rPr>
          <w:t>R1-2312444</w:t>
        </w:r>
      </w:hyperlink>
      <w:r w:rsidRPr="00FF1946">
        <w:rPr>
          <w:rFonts w:ascii="Times New Roman" w:hAnsi="Times New Roman"/>
          <w:szCs w:val="20"/>
          <w:lang w:eastAsia="zh-CN"/>
        </w:rPr>
        <w:t xml:space="preserve"> is endorsed.</w:t>
      </w:r>
    </w:p>
    <w:p w14:paraId="3CA57B43" w14:textId="77777777" w:rsidR="00CA2BAF" w:rsidRDefault="00CA2BAF" w:rsidP="00F74A6F">
      <w:pPr>
        <w:rPr>
          <w:iCs/>
        </w:rPr>
      </w:pPr>
    </w:p>
    <w:p w14:paraId="173C2098" w14:textId="3AB881BF" w:rsidR="00766A24" w:rsidRDefault="00766A24" w:rsidP="00F74A6F">
      <w:pPr>
        <w:rPr>
          <w:iCs/>
        </w:rPr>
      </w:pPr>
      <w:r>
        <w:rPr>
          <w:iCs/>
        </w:rPr>
        <w:lastRenderedPageBreak/>
        <w:t>---------------------------------</w:t>
      </w:r>
    </w:p>
    <w:p w14:paraId="6538B18E" w14:textId="4E0889D0" w:rsidR="00CA2BAF" w:rsidRDefault="00CA2BAF" w:rsidP="00F74A6F">
      <w:pPr>
        <w:rPr>
          <w:iCs/>
        </w:rPr>
      </w:pPr>
      <w:r>
        <w:rPr>
          <w:iCs/>
        </w:rPr>
        <w:t>From AI 5</w:t>
      </w:r>
    </w:p>
    <w:p w14:paraId="1CF24713" w14:textId="445C80F9" w:rsidR="00CA2BAF" w:rsidRPr="009537ED" w:rsidRDefault="005A18DC" w:rsidP="00CA2BAF">
      <w:pPr>
        <w:rPr>
          <w:b/>
          <w:bCs/>
          <w:lang w:eastAsia="x-none"/>
        </w:rPr>
      </w:pPr>
      <w:hyperlink r:id="rId1940" w:history="1">
        <w:r w:rsidR="00AF7253">
          <w:rPr>
            <w:rStyle w:val="Hyperlink"/>
            <w:b/>
            <w:bCs/>
            <w:lang w:eastAsia="x-none"/>
          </w:rPr>
          <w:t>R1-2310784</w:t>
        </w:r>
      </w:hyperlink>
      <w:r w:rsidR="00CA2BAF" w:rsidRPr="009537ED">
        <w:rPr>
          <w:b/>
          <w:bCs/>
          <w:lang w:eastAsia="x-none"/>
        </w:rPr>
        <w:tab/>
        <w:t>LS to RAN1 on RAN2 progress of NTN Self Evaluation</w:t>
      </w:r>
      <w:r w:rsidR="00CA2BAF" w:rsidRPr="009537ED">
        <w:rPr>
          <w:b/>
          <w:bCs/>
          <w:lang w:eastAsia="x-none"/>
        </w:rPr>
        <w:tab/>
        <w:t>RAN2, Ericsson</w:t>
      </w:r>
    </w:p>
    <w:p w14:paraId="4BF31215" w14:textId="5624B8A8" w:rsidR="00CA2BAF" w:rsidRPr="00CA2BAF" w:rsidRDefault="00CA2BAF" w:rsidP="00CA2BAF">
      <w:pPr>
        <w:rPr>
          <w:lang w:eastAsia="x-none"/>
        </w:rPr>
      </w:pPr>
      <w:r w:rsidRPr="009537ED">
        <w:rPr>
          <w:b/>
          <w:bCs/>
          <w:lang w:eastAsia="x-none"/>
        </w:rPr>
        <w:t>Decision:</w:t>
      </w:r>
      <w:r w:rsidRPr="009537ED">
        <w:rPr>
          <w:lang w:eastAsia="x-none"/>
        </w:rPr>
        <w:t xml:space="preserve"> To be handled in agenda item 8.15. </w:t>
      </w:r>
      <w:r w:rsidRPr="00CA2BAF">
        <w:rPr>
          <w:lang w:eastAsia="x-none"/>
        </w:rPr>
        <w:t>To be moderated by Asbjorn (Ericsson).</w:t>
      </w:r>
    </w:p>
    <w:p w14:paraId="4C181E6F" w14:textId="65985FC8" w:rsidR="00CA2BAF" w:rsidRPr="00FB5C62" w:rsidRDefault="005A18DC" w:rsidP="00F74A6F">
      <w:pPr>
        <w:rPr>
          <w:b/>
          <w:bCs/>
          <w:iCs/>
        </w:rPr>
      </w:pPr>
      <w:hyperlink r:id="rId1941" w:history="1">
        <w:r w:rsidR="00AF7253">
          <w:rPr>
            <w:rStyle w:val="Hyperlink"/>
            <w:b/>
            <w:bCs/>
            <w:iCs/>
          </w:rPr>
          <w:t>R1-2312175</w:t>
        </w:r>
      </w:hyperlink>
      <w:r w:rsidR="00FB5C62" w:rsidRPr="00FB5C62">
        <w:rPr>
          <w:b/>
          <w:bCs/>
          <w:iCs/>
        </w:rPr>
        <w:tab/>
        <w:t>[Draft] Reply LS on RAN2 progress of NTN Self Evaluation</w:t>
      </w:r>
      <w:r w:rsidR="00FB5C62" w:rsidRPr="00FB5C62">
        <w:rPr>
          <w:b/>
          <w:bCs/>
          <w:iCs/>
        </w:rPr>
        <w:tab/>
        <w:t>Ericsson</w:t>
      </w:r>
    </w:p>
    <w:p w14:paraId="74C86B12" w14:textId="77777777" w:rsidR="006F521D" w:rsidRDefault="006F521D" w:rsidP="00F74A6F">
      <w:pPr>
        <w:rPr>
          <w:iCs/>
        </w:rPr>
      </w:pPr>
      <w:r>
        <w:rPr>
          <w:iCs/>
        </w:rPr>
        <w:t>No</w:t>
      </w:r>
      <w:r w:rsidRPr="006F521D">
        <w:rPr>
          <w:iCs/>
        </w:rPr>
        <w:t xml:space="preserve"> </w:t>
      </w:r>
      <w:r>
        <w:rPr>
          <w:iCs/>
        </w:rPr>
        <w:t xml:space="preserve">identified </w:t>
      </w:r>
      <w:r w:rsidRPr="006F521D">
        <w:rPr>
          <w:iCs/>
        </w:rPr>
        <w:t xml:space="preserve">issues related to the assumptions or the final evaluation values provided in </w:t>
      </w:r>
      <w:r>
        <w:rPr>
          <w:iCs/>
        </w:rPr>
        <w:t>RAN2</w:t>
      </w:r>
      <w:r w:rsidRPr="006F521D">
        <w:rPr>
          <w:iCs/>
        </w:rPr>
        <w:t xml:space="preserve"> TP. </w:t>
      </w:r>
      <w:r>
        <w:rPr>
          <w:iCs/>
        </w:rPr>
        <w:t>No need to send a reply.</w:t>
      </w:r>
    </w:p>
    <w:p w14:paraId="0A5E1490" w14:textId="77777777" w:rsidR="00F74A6F" w:rsidRPr="009537ED" w:rsidRDefault="00F74A6F" w:rsidP="00CA2BAF">
      <w:pPr>
        <w:pStyle w:val="Heading3"/>
      </w:pPr>
      <w:bookmarkStart w:id="787" w:name="_Toc150174500"/>
      <w:bookmarkStart w:id="788" w:name="_Toc159251042"/>
      <w:r w:rsidRPr="009537ED">
        <w:t>Evaluation methodology</w:t>
      </w:r>
      <w:bookmarkEnd w:id="787"/>
      <w:bookmarkEnd w:id="788"/>
    </w:p>
    <w:p w14:paraId="56478711" w14:textId="57865A36" w:rsidR="00F74A6F" w:rsidRPr="009537ED" w:rsidRDefault="005A18DC" w:rsidP="00F74A6F">
      <w:pPr>
        <w:rPr>
          <w:lang w:eastAsia="x-none"/>
        </w:rPr>
      </w:pPr>
      <w:hyperlink r:id="rId1942" w:history="1">
        <w:r w:rsidR="00AF7253">
          <w:rPr>
            <w:rStyle w:val="Hyperlink"/>
            <w:lang w:eastAsia="x-none"/>
          </w:rPr>
          <w:t>R1-2311204</w:t>
        </w:r>
      </w:hyperlink>
      <w:r w:rsidR="00F74A6F" w:rsidRPr="009537ED">
        <w:rPr>
          <w:lang w:eastAsia="x-none"/>
        </w:rPr>
        <w:tab/>
        <w:t>Discussion on the evaluation methodology of the self-evaluation</w:t>
      </w:r>
      <w:r w:rsidR="00F74A6F" w:rsidRPr="009537ED">
        <w:rPr>
          <w:lang w:eastAsia="x-none"/>
        </w:rPr>
        <w:tab/>
        <w:t>ZTE</w:t>
      </w:r>
    </w:p>
    <w:p w14:paraId="11157E35" w14:textId="6A94C231" w:rsidR="00F74A6F" w:rsidRPr="009537ED" w:rsidRDefault="005A18DC" w:rsidP="00F74A6F">
      <w:pPr>
        <w:rPr>
          <w:lang w:eastAsia="x-none"/>
        </w:rPr>
      </w:pPr>
      <w:hyperlink r:id="rId1943" w:history="1">
        <w:r w:rsidR="00AF7253">
          <w:rPr>
            <w:rStyle w:val="Hyperlink"/>
            <w:lang w:eastAsia="x-none"/>
          </w:rPr>
          <w:t>R1-2311257</w:t>
        </w:r>
      </w:hyperlink>
      <w:r w:rsidR="00F74A6F" w:rsidRPr="009537ED">
        <w:rPr>
          <w:lang w:eastAsia="x-none"/>
        </w:rPr>
        <w:tab/>
        <w:t>Discussion on self-evaluation methodology for IMT-2020 satellite radio interface</w:t>
      </w:r>
      <w:r w:rsidR="00F74A6F" w:rsidRPr="009537ED">
        <w:rPr>
          <w:lang w:eastAsia="x-none"/>
        </w:rPr>
        <w:tab/>
        <w:t>OPPO</w:t>
      </w:r>
    </w:p>
    <w:p w14:paraId="0097615E" w14:textId="0663EB46" w:rsidR="00F74A6F" w:rsidRPr="009537ED" w:rsidRDefault="005A18DC" w:rsidP="00F74A6F">
      <w:pPr>
        <w:rPr>
          <w:lang w:eastAsia="x-none"/>
        </w:rPr>
      </w:pPr>
      <w:hyperlink r:id="rId1944" w:history="1">
        <w:r w:rsidR="00AF7253">
          <w:rPr>
            <w:rStyle w:val="Hyperlink"/>
            <w:lang w:eastAsia="x-none"/>
          </w:rPr>
          <w:t>R1-2312058</w:t>
        </w:r>
      </w:hyperlink>
      <w:r w:rsidR="00F74A6F" w:rsidRPr="009537ED">
        <w:rPr>
          <w:lang w:eastAsia="x-none"/>
        </w:rPr>
        <w:tab/>
        <w:t>Further discussion on self-evaluation assumptions</w:t>
      </w:r>
      <w:r w:rsidR="00F74A6F" w:rsidRPr="009537ED">
        <w:rPr>
          <w:lang w:eastAsia="x-none"/>
        </w:rPr>
        <w:tab/>
        <w:t>Qualcomm Incorporated</w:t>
      </w:r>
    </w:p>
    <w:p w14:paraId="4A7F09C5" w14:textId="6ED569C0" w:rsidR="00F74A6F" w:rsidRPr="009537ED" w:rsidRDefault="005A18DC" w:rsidP="00F74A6F">
      <w:pPr>
        <w:rPr>
          <w:lang w:eastAsia="x-none"/>
        </w:rPr>
      </w:pPr>
      <w:hyperlink r:id="rId1945" w:history="1">
        <w:r w:rsidR="00AF7253">
          <w:rPr>
            <w:rStyle w:val="Hyperlink"/>
            <w:lang w:eastAsia="x-none"/>
          </w:rPr>
          <w:t>R1-2312139</w:t>
        </w:r>
      </w:hyperlink>
      <w:r w:rsidR="00F74A6F" w:rsidRPr="009537ED">
        <w:rPr>
          <w:lang w:eastAsia="x-none"/>
        </w:rPr>
        <w:tab/>
        <w:t>On evaluation criteria for adopting the evaluation results for TR 37.911</w:t>
      </w:r>
      <w:r w:rsidR="00F74A6F" w:rsidRPr="009537ED">
        <w:rPr>
          <w:lang w:eastAsia="x-none"/>
        </w:rPr>
        <w:tab/>
        <w:t>Nokia, Nokia Shanghai Bell</w:t>
      </w:r>
    </w:p>
    <w:p w14:paraId="06A6B45F" w14:textId="17954C45" w:rsidR="00F74A6F" w:rsidRDefault="005A18DC" w:rsidP="00F74A6F">
      <w:pPr>
        <w:rPr>
          <w:lang w:eastAsia="x-none"/>
        </w:rPr>
      </w:pPr>
      <w:hyperlink r:id="rId1946" w:history="1">
        <w:r w:rsidR="00AF7253">
          <w:rPr>
            <w:rStyle w:val="Hyperlink"/>
            <w:lang w:eastAsia="x-none"/>
          </w:rPr>
          <w:t>R1-2312149</w:t>
        </w:r>
      </w:hyperlink>
      <w:r w:rsidR="00F74A6F" w:rsidRPr="009537ED">
        <w:rPr>
          <w:lang w:eastAsia="x-none"/>
        </w:rPr>
        <w:tab/>
        <w:t>Evaluation methodology of IMT-2020 satellite</w:t>
      </w:r>
      <w:r w:rsidR="00F74A6F" w:rsidRPr="009537ED">
        <w:rPr>
          <w:lang w:eastAsia="x-none"/>
        </w:rPr>
        <w:tab/>
        <w:t>Huawei, HiSilicon</w:t>
      </w:r>
    </w:p>
    <w:p w14:paraId="27B0B318" w14:textId="77777777" w:rsidR="00CA2BAF" w:rsidRDefault="00CA2BAF" w:rsidP="00F74A6F">
      <w:pPr>
        <w:rPr>
          <w:lang w:eastAsia="x-none"/>
        </w:rPr>
      </w:pPr>
    </w:p>
    <w:p w14:paraId="7C88BF11" w14:textId="779153A6" w:rsidR="00FF1946" w:rsidRDefault="005A18DC" w:rsidP="00FF1946">
      <w:pPr>
        <w:rPr>
          <w:b/>
          <w:lang w:eastAsia="x-none"/>
        </w:rPr>
      </w:pPr>
      <w:hyperlink r:id="rId1947" w:history="1">
        <w:r w:rsidR="00AF7253">
          <w:rPr>
            <w:rStyle w:val="Hyperlink"/>
            <w:b/>
            <w:lang w:eastAsia="x-none"/>
          </w:rPr>
          <w:t>R1-2312355</w:t>
        </w:r>
      </w:hyperlink>
      <w:r w:rsidR="00FF1946" w:rsidRPr="00FF1946">
        <w:rPr>
          <w:b/>
          <w:lang w:eastAsia="x-none"/>
        </w:rPr>
        <w:tab/>
        <w:t>Feature lead summary on Evaluation Methodology for IMT-2020 satellite</w:t>
      </w:r>
      <w:r w:rsidR="00FF1946" w:rsidRPr="00FF1946">
        <w:rPr>
          <w:b/>
          <w:lang w:eastAsia="x-none"/>
        </w:rPr>
        <w:tab/>
        <w:t>Moderator (Qualcomm Incorporated)</w:t>
      </w:r>
    </w:p>
    <w:p w14:paraId="5F496A9A" w14:textId="195211FC" w:rsidR="00FF1946" w:rsidRPr="00FF1946" w:rsidRDefault="00FF1946" w:rsidP="00FF1946">
      <w:pPr>
        <w:rPr>
          <w:rFonts w:ascii="Times New Roman" w:eastAsia="Yu Gothic" w:hAnsi="Times New Roman"/>
          <w:bCs/>
          <w:szCs w:val="20"/>
        </w:rPr>
      </w:pPr>
      <w:r>
        <w:rPr>
          <w:rFonts w:ascii="Times New Roman" w:eastAsia="Yu Gothic" w:hAnsi="Times New Roman"/>
          <w:bCs/>
          <w:szCs w:val="20"/>
        </w:rPr>
        <w:t>From Tuesday session</w:t>
      </w:r>
    </w:p>
    <w:p w14:paraId="1E8B6DB0" w14:textId="77777777" w:rsidR="00FF1946" w:rsidRPr="00FF1946" w:rsidRDefault="00FF1946" w:rsidP="00FF1946">
      <w:pPr>
        <w:rPr>
          <w:rFonts w:ascii="Times New Roman" w:eastAsia="Yu Gothic" w:hAnsi="Times New Roman"/>
          <w:bCs/>
          <w:szCs w:val="20"/>
        </w:rPr>
      </w:pPr>
      <w:r w:rsidRPr="00FF1946">
        <w:rPr>
          <w:rFonts w:ascii="Times New Roman" w:eastAsia="Yu Gothic" w:hAnsi="Times New Roman"/>
          <w:bCs/>
          <w:szCs w:val="20"/>
          <w:highlight w:val="green"/>
        </w:rPr>
        <w:t>Agreement</w:t>
      </w:r>
    </w:p>
    <w:p w14:paraId="65FBC74F" w14:textId="77777777" w:rsidR="00FF1946" w:rsidRPr="00FF1946" w:rsidRDefault="00FF1946" w:rsidP="00FF1946">
      <w:pPr>
        <w:rPr>
          <w:rFonts w:ascii="Times New Roman" w:eastAsia="Yu Gothic" w:hAnsi="Times New Roman"/>
          <w:bCs/>
          <w:szCs w:val="20"/>
        </w:rPr>
      </w:pPr>
      <w:r w:rsidRPr="00FF1946">
        <w:rPr>
          <w:rFonts w:ascii="Times New Roman" w:eastAsia="Yu Gothic" w:hAnsi="Times New Roman"/>
          <w:bCs/>
          <w:szCs w:val="20"/>
        </w:rPr>
        <w:t>For the number of retransmissions in HRC-s:</w:t>
      </w:r>
    </w:p>
    <w:p w14:paraId="071A21C1" w14:textId="77777777" w:rsidR="00FF1946" w:rsidRPr="00FF1946" w:rsidRDefault="00FF1946" w:rsidP="00AA1D48">
      <w:pPr>
        <w:pStyle w:val="ListParagraph"/>
        <w:numPr>
          <w:ilvl w:val="0"/>
          <w:numId w:val="127"/>
        </w:numPr>
        <w:rPr>
          <w:rFonts w:eastAsia="Yu Gothic"/>
          <w:bCs/>
        </w:rPr>
      </w:pPr>
      <w:r w:rsidRPr="00FF1946">
        <w:rPr>
          <w:rFonts w:eastAsia="Yu Gothic"/>
          <w:bCs/>
        </w:rPr>
        <w:t>The SNR value (</w:t>
      </w:r>
      <w:r w:rsidRPr="00FF1946">
        <w:rPr>
          <w:rFonts w:eastAsia="Yu Gothic"/>
          <w:bCs/>
          <w:i/>
          <w:iCs/>
        </w:rPr>
        <w:t>required SNR</w:t>
      </w:r>
      <w:r w:rsidRPr="00FF1946">
        <w:rPr>
          <w:rFonts w:eastAsia="Yu Gothic"/>
          <w:bCs/>
        </w:rPr>
        <w:t>) will be obtained by averaging the submitted SNR values to R1#115.</w:t>
      </w:r>
    </w:p>
    <w:p w14:paraId="108DACDA" w14:textId="77777777" w:rsidR="00FF1946" w:rsidRPr="00FF1946" w:rsidRDefault="00FF1946" w:rsidP="00AA1D48">
      <w:pPr>
        <w:pStyle w:val="ListParagraph"/>
        <w:numPr>
          <w:ilvl w:val="0"/>
          <w:numId w:val="127"/>
        </w:numPr>
        <w:rPr>
          <w:rFonts w:eastAsia="Yu Gothic"/>
          <w:bCs/>
        </w:rPr>
      </w:pPr>
      <w:r w:rsidRPr="00FF1946">
        <w:rPr>
          <w:rFonts w:eastAsia="Yu Gothic"/>
          <w:bCs/>
        </w:rPr>
        <w:t xml:space="preserve">The </w:t>
      </w:r>
      <w:r w:rsidRPr="00FF1946">
        <w:rPr>
          <w:rFonts w:eastAsia="Yu Gothic"/>
          <w:bCs/>
          <w:i/>
          <w:iCs/>
        </w:rPr>
        <w:t>transmission bit rate</w:t>
      </w:r>
      <w:r w:rsidRPr="00FF1946">
        <w:rPr>
          <w:rFonts w:eastAsia="Yu Gothic"/>
          <w:bCs/>
        </w:rPr>
        <w:t xml:space="preserve"> and </w:t>
      </w:r>
      <w:r w:rsidRPr="00FF1946">
        <w:rPr>
          <w:rFonts w:eastAsia="Yu Gothic"/>
          <w:bCs/>
          <w:i/>
          <w:iCs/>
        </w:rPr>
        <w:t xml:space="preserve">spectral efficiency </w:t>
      </w:r>
      <w:r w:rsidRPr="00FF1946">
        <w:rPr>
          <w:rFonts w:eastAsia="Yu Gothic"/>
          <w:bCs/>
        </w:rPr>
        <w:t>will be calculated assuming 4 transmissions (4kbps, 0.022 bps/Hz)</w:t>
      </w:r>
    </w:p>
    <w:p w14:paraId="22F8BCB5" w14:textId="77777777" w:rsidR="00FF1946" w:rsidRPr="00FF1946" w:rsidRDefault="00FF1946" w:rsidP="00FF1946">
      <w:pPr>
        <w:rPr>
          <w:rFonts w:ascii="Times New Roman" w:eastAsia="Yu Gothic" w:hAnsi="Times New Roman"/>
          <w:bCs/>
          <w:szCs w:val="20"/>
        </w:rPr>
      </w:pPr>
      <w:r w:rsidRPr="00FF1946">
        <w:rPr>
          <w:rFonts w:ascii="Times New Roman" w:eastAsia="Yu Gothic" w:hAnsi="Times New Roman"/>
          <w:bCs/>
          <w:szCs w:val="20"/>
          <w:highlight w:val="green"/>
        </w:rPr>
        <w:t>Agreement</w:t>
      </w:r>
    </w:p>
    <w:p w14:paraId="3B6C3E8D" w14:textId="5A8437AD" w:rsidR="00FF1946" w:rsidRPr="00FF1946" w:rsidRDefault="00FF1946" w:rsidP="00FF1946">
      <w:pPr>
        <w:rPr>
          <w:rFonts w:ascii="Times New Roman" w:eastAsia="Yu Gothic" w:hAnsi="Times New Roman"/>
          <w:bCs/>
          <w:szCs w:val="20"/>
        </w:rPr>
      </w:pPr>
      <w:r w:rsidRPr="00FF1946">
        <w:rPr>
          <w:rFonts w:ascii="Times New Roman" w:eastAsia="Yu Gothic" w:hAnsi="Times New Roman"/>
          <w:bCs/>
          <w:szCs w:val="20"/>
        </w:rPr>
        <w:t xml:space="preserve">The link budget template in </w:t>
      </w:r>
      <w:hyperlink r:id="rId1948" w:history="1">
        <w:r w:rsidR="00AF7253">
          <w:rPr>
            <w:rStyle w:val="Hyperlink"/>
            <w:rFonts w:ascii="Times New Roman" w:eastAsia="Yu Gothic" w:hAnsi="Times New Roman"/>
            <w:bCs/>
            <w:szCs w:val="20"/>
          </w:rPr>
          <w:t>R1-2312355</w:t>
        </w:r>
      </w:hyperlink>
      <w:r w:rsidRPr="00FF1946">
        <w:rPr>
          <w:rFonts w:ascii="Times New Roman" w:eastAsia="Yu Gothic" w:hAnsi="Times New Roman"/>
          <w:bCs/>
          <w:szCs w:val="20"/>
        </w:rPr>
        <w:t xml:space="preserve"> (v3) is endorsed, subject to further check during R1#115.</w:t>
      </w:r>
    </w:p>
    <w:p w14:paraId="42A8760C" w14:textId="77777777" w:rsidR="00FF1946" w:rsidRPr="00FF1946" w:rsidRDefault="00FF1946" w:rsidP="00AA1D48">
      <w:pPr>
        <w:pStyle w:val="ListParagraph"/>
        <w:numPr>
          <w:ilvl w:val="0"/>
          <w:numId w:val="141"/>
        </w:numPr>
        <w:rPr>
          <w:rFonts w:eastAsia="Yu Gothic"/>
          <w:bCs/>
        </w:rPr>
      </w:pPr>
      <w:r w:rsidRPr="00FF1946">
        <w:rPr>
          <w:rFonts w:eastAsia="Yu Gothic"/>
          <w:bCs/>
        </w:rPr>
        <w:t>The link budget template includes only the average SNR for each channel and scenario (and not the individual SNR values reported by companies)</w:t>
      </w:r>
    </w:p>
    <w:p w14:paraId="44624B5F" w14:textId="77777777" w:rsidR="00F74A6F" w:rsidRPr="009537ED" w:rsidRDefault="00F74A6F" w:rsidP="00FF1946">
      <w:pPr>
        <w:pStyle w:val="Heading3"/>
      </w:pPr>
      <w:bookmarkStart w:id="789" w:name="_Toc150174501"/>
      <w:bookmarkStart w:id="790" w:name="_Toc159251043"/>
      <w:r w:rsidRPr="009537ED">
        <w:t>Self-evaluation results for NR NTN</w:t>
      </w:r>
      <w:bookmarkEnd w:id="789"/>
      <w:bookmarkEnd w:id="790"/>
    </w:p>
    <w:p w14:paraId="09F25175" w14:textId="04EC95CA" w:rsidR="00F74A6F" w:rsidRPr="009537ED" w:rsidRDefault="005A18DC" w:rsidP="00F74A6F">
      <w:pPr>
        <w:rPr>
          <w:lang w:eastAsia="x-none"/>
        </w:rPr>
      </w:pPr>
      <w:hyperlink r:id="rId1949" w:history="1">
        <w:r w:rsidR="00AF7253">
          <w:rPr>
            <w:rStyle w:val="Hyperlink"/>
            <w:lang w:eastAsia="x-none"/>
          </w:rPr>
          <w:t>R1-2310856</w:t>
        </w:r>
      </w:hyperlink>
      <w:r w:rsidR="00F74A6F" w:rsidRPr="009537ED">
        <w:rPr>
          <w:lang w:eastAsia="x-none"/>
        </w:rPr>
        <w:tab/>
        <w:t>Self-evaluation results for NR NTN</w:t>
      </w:r>
      <w:r w:rsidR="00F74A6F" w:rsidRPr="009537ED">
        <w:rPr>
          <w:lang w:eastAsia="x-none"/>
        </w:rPr>
        <w:tab/>
        <w:t>Huawei, HiSilicon</w:t>
      </w:r>
    </w:p>
    <w:p w14:paraId="302BB618" w14:textId="2F32AEB4" w:rsidR="00F74A6F" w:rsidRPr="009537ED" w:rsidRDefault="005A18DC" w:rsidP="00F74A6F">
      <w:pPr>
        <w:rPr>
          <w:lang w:eastAsia="x-none"/>
        </w:rPr>
      </w:pPr>
      <w:hyperlink r:id="rId1950" w:history="1">
        <w:r w:rsidR="00AF7253">
          <w:rPr>
            <w:rStyle w:val="Hyperlink"/>
            <w:lang w:eastAsia="x-none"/>
          </w:rPr>
          <w:t>R1-2310940</w:t>
        </w:r>
      </w:hyperlink>
      <w:r w:rsidR="00F74A6F" w:rsidRPr="009537ED">
        <w:rPr>
          <w:lang w:eastAsia="x-none"/>
        </w:rPr>
        <w:tab/>
        <w:t>Self-evaluation results for NR NTN</w:t>
      </w:r>
      <w:r w:rsidR="00F74A6F" w:rsidRPr="009537ED">
        <w:rPr>
          <w:lang w:eastAsia="x-none"/>
        </w:rPr>
        <w:tab/>
        <w:t>THALES</w:t>
      </w:r>
    </w:p>
    <w:p w14:paraId="2F1773FD" w14:textId="3C3BB9FF" w:rsidR="00F74A6F" w:rsidRPr="009537ED" w:rsidRDefault="005A18DC" w:rsidP="00F74A6F">
      <w:pPr>
        <w:rPr>
          <w:lang w:eastAsia="x-none"/>
        </w:rPr>
      </w:pPr>
      <w:hyperlink r:id="rId1951" w:history="1">
        <w:r w:rsidR="00AF7253">
          <w:rPr>
            <w:rStyle w:val="Hyperlink"/>
            <w:lang w:eastAsia="x-none"/>
          </w:rPr>
          <w:t>R1-2311116</w:t>
        </w:r>
      </w:hyperlink>
      <w:r w:rsidR="00F74A6F" w:rsidRPr="009537ED">
        <w:rPr>
          <w:lang w:eastAsia="x-none"/>
        </w:rPr>
        <w:tab/>
        <w:t>Discussions on self-evaluation results for NR NTN</w:t>
      </w:r>
      <w:r w:rsidR="00F74A6F" w:rsidRPr="009537ED">
        <w:rPr>
          <w:lang w:eastAsia="x-none"/>
        </w:rPr>
        <w:tab/>
        <w:t>vivo</w:t>
      </w:r>
    </w:p>
    <w:p w14:paraId="31C97A31" w14:textId="0F08605B" w:rsidR="00F74A6F" w:rsidRPr="009537ED" w:rsidRDefault="005A18DC" w:rsidP="00F74A6F">
      <w:pPr>
        <w:rPr>
          <w:lang w:eastAsia="x-none"/>
        </w:rPr>
      </w:pPr>
      <w:hyperlink r:id="rId1952" w:history="1">
        <w:r w:rsidR="00AF7253">
          <w:rPr>
            <w:rStyle w:val="Hyperlink"/>
            <w:lang w:eastAsia="x-none"/>
          </w:rPr>
          <w:t>R1-2311205</w:t>
        </w:r>
      </w:hyperlink>
      <w:r w:rsidR="00F74A6F" w:rsidRPr="009537ED">
        <w:rPr>
          <w:lang w:eastAsia="x-none"/>
        </w:rPr>
        <w:tab/>
        <w:t>Discussion on the Self-evaluation results for NR NTN</w:t>
      </w:r>
      <w:r w:rsidR="00F74A6F" w:rsidRPr="009537ED">
        <w:rPr>
          <w:lang w:eastAsia="x-none"/>
        </w:rPr>
        <w:tab/>
        <w:t>ZTE</w:t>
      </w:r>
    </w:p>
    <w:p w14:paraId="19617601" w14:textId="2472705E" w:rsidR="00F74A6F" w:rsidRPr="009537ED" w:rsidRDefault="005A18DC" w:rsidP="00F74A6F">
      <w:pPr>
        <w:rPr>
          <w:lang w:eastAsia="x-none"/>
        </w:rPr>
      </w:pPr>
      <w:hyperlink r:id="rId1953" w:history="1">
        <w:r w:rsidR="00AF7253">
          <w:rPr>
            <w:rStyle w:val="Hyperlink"/>
            <w:lang w:eastAsia="x-none"/>
          </w:rPr>
          <w:t>R1-2311258</w:t>
        </w:r>
      </w:hyperlink>
      <w:r w:rsidR="00F74A6F" w:rsidRPr="009537ED">
        <w:rPr>
          <w:lang w:eastAsia="x-none"/>
        </w:rPr>
        <w:tab/>
        <w:t>Self-evaluation results for NR NTN</w:t>
      </w:r>
      <w:r w:rsidR="00F74A6F" w:rsidRPr="009537ED">
        <w:rPr>
          <w:lang w:eastAsia="x-none"/>
        </w:rPr>
        <w:tab/>
        <w:t>OPPO</w:t>
      </w:r>
    </w:p>
    <w:p w14:paraId="4AF8D3C9" w14:textId="40A0CBD8" w:rsidR="00F74A6F" w:rsidRPr="009537ED" w:rsidRDefault="005A18DC" w:rsidP="00F74A6F">
      <w:pPr>
        <w:rPr>
          <w:lang w:eastAsia="x-none"/>
        </w:rPr>
      </w:pPr>
      <w:hyperlink r:id="rId1954" w:history="1">
        <w:r w:rsidR="00AF7253">
          <w:rPr>
            <w:rStyle w:val="Hyperlink"/>
            <w:lang w:eastAsia="x-none"/>
          </w:rPr>
          <w:t>R1-2311562</w:t>
        </w:r>
      </w:hyperlink>
      <w:r w:rsidR="00F74A6F" w:rsidRPr="009537ED">
        <w:rPr>
          <w:lang w:eastAsia="x-none"/>
        </w:rPr>
        <w:tab/>
        <w:t>Evaluation results of NR-NTN for IMT-2020 satellite radio interface technology</w:t>
      </w:r>
      <w:r w:rsidR="00F74A6F" w:rsidRPr="009537ED">
        <w:rPr>
          <w:lang w:eastAsia="x-none"/>
        </w:rPr>
        <w:tab/>
        <w:t>Panasonic</w:t>
      </w:r>
    </w:p>
    <w:p w14:paraId="46E1B48A" w14:textId="0FC3404C" w:rsidR="00F74A6F" w:rsidRDefault="005A18DC" w:rsidP="00F74A6F">
      <w:pPr>
        <w:rPr>
          <w:lang w:eastAsia="x-none"/>
        </w:rPr>
      </w:pPr>
      <w:hyperlink r:id="rId1955" w:history="1">
        <w:r w:rsidR="00AF7253">
          <w:rPr>
            <w:rStyle w:val="Hyperlink"/>
            <w:lang w:eastAsia="x-none"/>
          </w:rPr>
          <w:t>R1-2311566</w:t>
        </w:r>
      </w:hyperlink>
      <w:r w:rsidR="00F74A6F" w:rsidRPr="009537ED">
        <w:rPr>
          <w:lang w:eastAsia="x-none"/>
        </w:rPr>
        <w:tab/>
        <w:t>Self-evaluation results for NR NTN</w:t>
      </w:r>
      <w:r w:rsidR="00F74A6F" w:rsidRPr="009537ED">
        <w:rPr>
          <w:lang w:eastAsia="x-none"/>
        </w:rPr>
        <w:tab/>
        <w:t>Beijing Xiaomi Mobile Software</w:t>
      </w:r>
    </w:p>
    <w:p w14:paraId="5BD7E8E6" w14:textId="48300159" w:rsidR="00F74A6F" w:rsidRPr="009537ED" w:rsidRDefault="005A18DC" w:rsidP="00F74A6F">
      <w:pPr>
        <w:rPr>
          <w:lang w:eastAsia="x-none"/>
        </w:rPr>
      </w:pPr>
      <w:hyperlink r:id="rId1956" w:history="1">
        <w:r w:rsidR="00AF7253">
          <w:rPr>
            <w:rStyle w:val="Hyperlink"/>
            <w:lang w:eastAsia="x-none"/>
          </w:rPr>
          <w:t>R1-2312322</w:t>
        </w:r>
      </w:hyperlink>
      <w:r w:rsidR="00FF1946">
        <w:rPr>
          <w:lang w:eastAsia="x-none"/>
        </w:rPr>
        <w:tab/>
        <w:t>Self-evaluation results for NR NTN</w:t>
      </w:r>
      <w:r w:rsidR="00FF1946">
        <w:rPr>
          <w:lang w:eastAsia="x-none"/>
        </w:rPr>
        <w:tab/>
        <w:t>NTT DOCOMO, INC.</w:t>
      </w:r>
      <w:r w:rsidR="00FF1946">
        <w:rPr>
          <w:lang w:eastAsia="x-none"/>
        </w:rPr>
        <w:tab/>
        <w:t xml:space="preserve">(rev of </w:t>
      </w:r>
      <w:hyperlink r:id="rId1957" w:history="1">
        <w:r w:rsidR="00AF7253">
          <w:rPr>
            <w:rStyle w:val="Hyperlink"/>
            <w:lang w:eastAsia="x-none"/>
          </w:rPr>
          <w:t>R1-2311641</w:t>
        </w:r>
      </w:hyperlink>
      <w:r w:rsidR="00FF1946">
        <w:rPr>
          <w:lang w:eastAsia="x-none"/>
        </w:rPr>
        <w:t>)</w:t>
      </w:r>
    </w:p>
    <w:p w14:paraId="050EA66F" w14:textId="5EFE3685" w:rsidR="00F74A6F" w:rsidRDefault="005A18DC" w:rsidP="00F74A6F">
      <w:pPr>
        <w:rPr>
          <w:lang w:eastAsia="x-none"/>
        </w:rPr>
      </w:pPr>
      <w:hyperlink r:id="rId1958" w:history="1">
        <w:r w:rsidR="00AF7253">
          <w:rPr>
            <w:rStyle w:val="Hyperlink"/>
            <w:lang w:eastAsia="x-none"/>
          </w:rPr>
          <w:t>R1-2311750</w:t>
        </w:r>
      </w:hyperlink>
      <w:r w:rsidR="00F74A6F" w:rsidRPr="009537ED">
        <w:rPr>
          <w:lang w:eastAsia="x-none"/>
        </w:rPr>
        <w:tab/>
        <w:t>Self-evaluation results for NR NTN</w:t>
      </w:r>
      <w:r w:rsidR="00F74A6F" w:rsidRPr="009537ED">
        <w:rPr>
          <w:lang w:eastAsia="x-none"/>
        </w:rPr>
        <w:tab/>
        <w:t>CCU, ITRI</w:t>
      </w:r>
    </w:p>
    <w:p w14:paraId="1E13B2DD" w14:textId="7BA70476" w:rsidR="00F74A6F" w:rsidRPr="009537ED" w:rsidRDefault="005A18DC" w:rsidP="00F74A6F">
      <w:pPr>
        <w:rPr>
          <w:lang w:eastAsia="x-none"/>
        </w:rPr>
      </w:pPr>
      <w:hyperlink r:id="rId1959" w:history="1">
        <w:r w:rsidR="00AF7253">
          <w:rPr>
            <w:rStyle w:val="Hyperlink"/>
            <w:lang w:eastAsia="x-none"/>
          </w:rPr>
          <w:t>R1-2312265</w:t>
        </w:r>
      </w:hyperlink>
      <w:r w:rsidR="00FF1946">
        <w:rPr>
          <w:lang w:eastAsia="x-none"/>
        </w:rPr>
        <w:tab/>
        <w:t>Self-evaluation results for NR NTN</w:t>
      </w:r>
      <w:r w:rsidR="00FF1946">
        <w:rPr>
          <w:lang w:eastAsia="x-none"/>
        </w:rPr>
        <w:tab/>
        <w:t>Qualcomm Incorporated</w:t>
      </w:r>
      <w:r w:rsidR="00FF1946">
        <w:rPr>
          <w:lang w:eastAsia="x-none"/>
        </w:rPr>
        <w:tab/>
        <w:t xml:space="preserve">(rev of </w:t>
      </w:r>
      <w:hyperlink r:id="rId1960" w:history="1">
        <w:r w:rsidR="00AF7253">
          <w:rPr>
            <w:rStyle w:val="Hyperlink"/>
            <w:lang w:eastAsia="x-none"/>
          </w:rPr>
          <w:t>R1-2312059</w:t>
        </w:r>
      </w:hyperlink>
      <w:r w:rsidR="00FF1946">
        <w:rPr>
          <w:lang w:eastAsia="x-none"/>
        </w:rPr>
        <w:t>)</w:t>
      </w:r>
    </w:p>
    <w:p w14:paraId="74C18726" w14:textId="5D719833" w:rsidR="00F74A6F" w:rsidRPr="009537ED" w:rsidRDefault="005A18DC" w:rsidP="00F74A6F">
      <w:pPr>
        <w:rPr>
          <w:lang w:eastAsia="x-none"/>
        </w:rPr>
      </w:pPr>
      <w:hyperlink r:id="rId1961" w:history="1">
        <w:r w:rsidR="00AF7253">
          <w:rPr>
            <w:rStyle w:val="Hyperlink"/>
            <w:lang w:eastAsia="x-none"/>
          </w:rPr>
          <w:t>R1-2312140</w:t>
        </w:r>
      </w:hyperlink>
      <w:r w:rsidR="00F74A6F" w:rsidRPr="009537ED">
        <w:rPr>
          <w:lang w:eastAsia="x-none"/>
        </w:rPr>
        <w:tab/>
        <w:t>Comparison results related to IMT-2020 Satellite for NR over NTN for Earth Fixed Cell Vs. Earth Moving Cell</w:t>
      </w:r>
      <w:r w:rsidR="00F74A6F" w:rsidRPr="009537ED">
        <w:rPr>
          <w:lang w:eastAsia="x-none"/>
        </w:rPr>
        <w:tab/>
        <w:t>Nokia, Nokia Shanghai Bell</w:t>
      </w:r>
    </w:p>
    <w:p w14:paraId="3F6AA5DB" w14:textId="2C64DF26" w:rsidR="00F74A6F" w:rsidRDefault="005A18DC" w:rsidP="00F74A6F">
      <w:pPr>
        <w:rPr>
          <w:lang w:eastAsia="x-none"/>
        </w:rPr>
      </w:pPr>
      <w:hyperlink r:id="rId1962" w:history="1">
        <w:r w:rsidR="00AF7253">
          <w:rPr>
            <w:rStyle w:val="Hyperlink"/>
            <w:lang w:eastAsia="x-none"/>
          </w:rPr>
          <w:t>R1-2312162</w:t>
        </w:r>
      </w:hyperlink>
      <w:r w:rsidR="00F74A6F" w:rsidRPr="009537ED">
        <w:rPr>
          <w:lang w:eastAsia="x-none"/>
        </w:rPr>
        <w:tab/>
        <w:t>Satellite IMT-2020 self-evaluation results for NR NTN</w:t>
      </w:r>
      <w:r w:rsidR="00F74A6F" w:rsidRPr="009537ED">
        <w:rPr>
          <w:lang w:eastAsia="x-none"/>
        </w:rPr>
        <w:tab/>
        <w:t>Ericsson</w:t>
      </w:r>
    </w:p>
    <w:p w14:paraId="3A63E655" w14:textId="7A5AE1C8" w:rsidR="00FF1946" w:rsidRDefault="005A18DC" w:rsidP="00FF1946">
      <w:pPr>
        <w:rPr>
          <w:lang w:eastAsia="x-none"/>
        </w:rPr>
      </w:pPr>
      <w:hyperlink r:id="rId1963" w:history="1">
        <w:r w:rsidR="00AF7253">
          <w:rPr>
            <w:rStyle w:val="Hyperlink"/>
            <w:lang w:eastAsia="x-none"/>
          </w:rPr>
          <w:t>R1-2312447</w:t>
        </w:r>
      </w:hyperlink>
      <w:r w:rsidR="00FF1946">
        <w:rPr>
          <w:lang w:eastAsia="x-none"/>
        </w:rPr>
        <w:tab/>
        <w:t>Further evaluation results for NR NTN</w:t>
      </w:r>
      <w:r w:rsidR="00FF1946">
        <w:rPr>
          <w:lang w:eastAsia="x-none"/>
        </w:rPr>
        <w:tab/>
        <w:t>CATT</w:t>
      </w:r>
    </w:p>
    <w:p w14:paraId="702C9896" w14:textId="77777777" w:rsidR="00FF1946" w:rsidRDefault="00FF1946" w:rsidP="00F74A6F">
      <w:pPr>
        <w:rPr>
          <w:lang w:eastAsia="x-none"/>
        </w:rPr>
      </w:pPr>
    </w:p>
    <w:p w14:paraId="0952181E" w14:textId="2E07B67B" w:rsidR="00FF1946" w:rsidRPr="00FF1946" w:rsidRDefault="005A18DC" w:rsidP="00FF1946">
      <w:pPr>
        <w:rPr>
          <w:b/>
          <w:bCs/>
          <w:lang w:eastAsia="x-none"/>
        </w:rPr>
      </w:pPr>
      <w:hyperlink r:id="rId1964" w:history="1">
        <w:r w:rsidR="00AF7253">
          <w:rPr>
            <w:rStyle w:val="Hyperlink"/>
            <w:b/>
            <w:bCs/>
            <w:lang w:eastAsia="x-none"/>
          </w:rPr>
          <w:t>R1-2310941</w:t>
        </w:r>
      </w:hyperlink>
      <w:r w:rsidR="00FF1946" w:rsidRPr="00FF1946">
        <w:rPr>
          <w:b/>
          <w:bCs/>
          <w:lang w:eastAsia="x-none"/>
        </w:rPr>
        <w:tab/>
        <w:t>Feature Lead Summary#1 on self-evaluation results for NR NTN</w:t>
      </w:r>
      <w:r w:rsidR="00FF1946" w:rsidRPr="00FF1946">
        <w:rPr>
          <w:b/>
          <w:bCs/>
          <w:lang w:eastAsia="x-none"/>
        </w:rPr>
        <w:tab/>
        <w:t>Moderator (THALES)</w:t>
      </w:r>
    </w:p>
    <w:p w14:paraId="4BEBE378" w14:textId="5AF0C058" w:rsidR="00FF1946" w:rsidRPr="00FF1946" w:rsidRDefault="00FF1946" w:rsidP="00FF1946">
      <w:pPr>
        <w:rPr>
          <w:lang w:eastAsia="x-none"/>
        </w:rPr>
      </w:pPr>
      <w:r>
        <w:rPr>
          <w:lang w:eastAsia="x-none"/>
        </w:rPr>
        <w:t>From Tuesday session</w:t>
      </w:r>
    </w:p>
    <w:p w14:paraId="338245B1" w14:textId="77777777" w:rsidR="00FF1946" w:rsidRPr="00FF1946" w:rsidRDefault="00FF1946" w:rsidP="00FF1946">
      <w:pPr>
        <w:rPr>
          <w:lang w:eastAsia="x-none"/>
        </w:rPr>
      </w:pPr>
      <w:r w:rsidRPr="00FF1946">
        <w:rPr>
          <w:highlight w:val="green"/>
          <w:lang w:eastAsia="x-none"/>
        </w:rPr>
        <w:t>Agreement</w:t>
      </w:r>
    </w:p>
    <w:p w14:paraId="27B85BA3" w14:textId="77777777" w:rsidR="00FF1946" w:rsidRPr="00FF1946" w:rsidRDefault="00FF1946" w:rsidP="00FF1946">
      <w:pPr>
        <w:rPr>
          <w:lang w:eastAsia="x-none"/>
        </w:rPr>
      </w:pPr>
      <w:r w:rsidRPr="00FF1946">
        <w:rPr>
          <w:lang w:eastAsia="x-none"/>
        </w:rPr>
        <w:t>The updated results of CL, Geometry SIR and Geometry SINR simulated on DL and UL transmissions reported within the attached template will be captured in the TR 37.911 as in Attachment B.1_ Calibration.</w:t>
      </w:r>
    </w:p>
    <w:p w14:paraId="2E183F85" w14:textId="77777777" w:rsidR="00FF1946" w:rsidRPr="00FF1946" w:rsidRDefault="00FF1946" w:rsidP="00FF1946">
      <w:pPr>
        <w:rPr>
          <w:lang w:eastAsia="x-none"/>
        </w:rPr>
      </w:pPr>
    </w:p>
    <w:p w14:paraId="7349A71B" w14:textId="77777777" w:rsidR="00FF1946" w:rsidRPr="00FF1946" w:rsidRDefault="00FF1946" w:rsidP="00FF1946">
      <w:pPr>
        <w:rPr>
          <w:lang w:eastAsia="x-none"/>
        </w:rPr>
      </w:pPr>
      <w:r w:rsidRPr="00FF1946">
        <w:rPr>
          <w:highlight w:val="green"/>
          <w:lang w:eastAsia="x-none"/>
        </w:rPr>
        <w:t>Agreement</w:t>
      </w:r>
    </w:p>
    <w:p w14:paraId="6B9CB62F" w14:textId="77777777" w:rsidR="00FF1946" w:rsidRPr="00FF1946" w:rsidRDefault="00FF1946" w:rsidP="00FF1946">
      <w:pPr>
        <w:rPr>
          <w:bCs/>
          <w:szCs w:val="20"/>
        </w:rPr>
      </w:pPr>
      <w:r w:rsidRPr="00FF1946">
        <w:rPr>
          <w:bCs/>
        </w:rPr>
        <w:t>Confirm the values of the e</w:t>
      </w:r>
      <w:r w:rsidRPr="00FF1946">
        <w:rPr>
          <w:bCs/>
          <w:szCs w:val="20"/>
        </w:rPr>
        <w:t>valuation results of NR satellite access mobility under 250 km/h agreed in RAN1#114bis with the following modification.</w:t>
      </w:r>
    </w:p>
    <w:p w14:paraId="6433E881" w14:textId="77777777" w:rsidR="00FF1946" w:rsidRPr="006D3143" w:rsidRDefault="00FF1946" w:rsidP="006D3143">
      <w:pPr>
        <w:jc w:val="center"/>
        <w:rPr>
          <w:rFonts w:ascii="Arial" w:hAnsi="Arial" w:cs="Arial"/>
          <w:b/>
          <w:bCs/>
          <w:sz w:val="16"/>
          <w:szCs w:val="16"/>
          <w:lang w:eastAsia="ar-SA"/>
        </w:rPr>
      </w:pPr>
      <w:r w:rsidRPr="006D3143">
        <w:rPr>
          <w:rFonts w:ascii="Arial" w:hAnsi="Arial" w:cs="Arial"/>
          <w:b/>
          <w:bCs/>
          <w:sz w:val="16"/>
          <w:szCs w:val="16"/>
          <w:lang w:eastAsia="ar-SA"/>
        </w:rPr>
        <w:t>Table  Evaluation results of NR satellite access mobility under 250 km/h</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8"/>
        <w:gridCol w:w="4212"/>
        <w:gridCol w:w="1171"/>
        <w:gridCol w:w="1436"/>
        <w:gridCol w:w="1966"/>
      </w:tblGrid>
      <w:tr w:rsidR="00FF1946" w:rsidRPr="00FF1946" w14:paraId="0A8C8899" w14:textId="77777777" w:rsidTr="006D3143">
        <w:trPr>
          <w:trHeight w:val="20"/>
          <w:jc w:val="center"/>
        </w:trPr>
        <w:tc>
          <w:tcPr>
            <w:tcW w:w="888" w:type="pct"/>
            <w:shd w:val="clear" w:color="auto" w:fill="auto"/>
            <w:vAlign w:val="center"/>
          </w:tcPr>
          <w:p w14:paraId="366B9460" w14:textId="77777777" w:rsidR="00FF1946" w:rsidRPr="00FF1946" w:rsidRDefault="00FF1946" w:rsidP="006D3143">
            <w:pPr>
              <w:rPr>
                <w:rFonts w:ascii="Arial" w:hAnsi="Arial" w:cs="Arial"/>
                <w:b/>
                <w:sz w:val="16"/>
                <w:szCs w:val="16"/>
              </w:rPr>
            </w:pPr>
            <w:r w:rsidRPr="00FF1946">
              <w:rPr>
                <w:rFonts w:ascii="Arial" w:hAnsi="Arial" w:cs="Arial"/>
                <w:b/>
                <w:sz w:val="16"/>
                <w:szCs w:val="16"/>
              </w:rPr>
              <w:t>Frequency reuse factor</w:t>
            </w:r>
          </w:p>
        </w:tc>
        <w:tc>
          <w:tcPr>
            <w:tcW w:w="2519" w:type="pct"/>
            <w:gridSpan w:val="2"/>
            <w:shd w:val="clear" w:color="auto" w:fill="auto"/>
            <w:vAlign w:val="center"/>
          </w:tcPr>
          <w:p w14:paraId="5827F5D9" w14:textId="77777777" w:rsidR="00FF1946" w:rsidRPr="00FF1946" w:rsidRDefault="00FF1946" w:rsidP="006D3143">
            <w:pPr>
              <w:jc w:val="center"/>
              <w:rPr>
                <w:rFonts w:ascii="Arial" w:hAnsi="Arial" w:cs="Arial"/>
                <w:b/>
                <w:bCs/>
                <w:sz w:val="16"/>
                <w:szCs w:val="16"/>
              </w:rPr>
            </w:pPr>
            <w:r w:rsidRPr="00FF1946">
              <w:rPr>
                <w:rFonts w:ascii="Arial" w:hAnsi="Arial" w:cs="Arial"/>
                <w:b/>
                <w:bCs/>
                <w:sz w:val="16"/>
                <w:szCs w:val="16"/>
              </w:rPr>
              <w:t>ITU Requirement</w:t>
            </w:r>
          </w:p>
        </w:tc>
        <w:tc>
          <w:tcPr>
            <w:tcW w:w="672" w:type="pct"/>
            <w:shd w:val="clear" w:color="auto" w:fill="auto"/>
            <w:noWrap/>
            <w:vAlign w:val="center"/>
          </w:tcPr>
          <w:p w14:paraId="100F70E8" w14:textId="77777777" w:rsidR="00FF1946" w:rsidRPr="00FF1946" w:rsidRDefault="00FF1946" w:rsidP="006D3143">
            <w:pPr>
              <w:jc w:val="center"/>
              <w:rPr>
                <w:rFonts w:ascii="Arial" w:hAnsi="Arial" w:cs="Arial"/>
                <w:b/>
                <w:bCs/>
                <w:sz w:val="16"/>
                <w:szCs w:val="16"/>
              </w:rPr>
            </w:pPr>
            <w:r w:rsidRPr="00FF1946">
              <w:rPr>
                <w:rFonts w:ascii="Arial" w:hAnsi="Arial" w:cs="Arial"/>
                <w:b/>
                <w:bCs/>
                <w:sz w:val="16"/>
                <w:szCs w:val="16"/>
              </w:rPr>
              <w:t>Value</w:t>
            </w:r>
          </w:p>
        </w:tc>
        <w:tc>
          <w:tcPr>
            <w:tcW w:w="920" w:type="pct"/>
            <w:shd w:val="clear" w:color="auto" w:fill="auto"/>
            <w:noWrap/>
            <w:vAlign w:val="center"/>
          </w:tcPr>
          <w:p w14:paraId="3B6B3D69" w14:textId="77777777" w:rsidR="00FF1946" w:rsidRPr="00FF1946" w:rsidRDefault="00FF1946" w:rsidP="006D3143">
            <w:pPr>
              <w:jc w:val="center"/>
              <w:rPr>
                <w:rFonts w:ascii="Arial" w:hAnsi="Arial" w:cs="Arial"/>
                <w:b/>
                <w:bCs/>
                <w:sz w:val="16"/>
                <w:szCs w:val="16"/>
              </w:rPr>
            </w:pPr>
            <w:r w:rsidRPr="00FF1946">
              <w:rPr>
                <w:rFonts w:ascii="Arial" w:hAnsi="Arial" w:cs="Arial"/>
                <w:b/>
                <w:bCs/>
                <w:sz w:val="16"/>
                <w:szCs w:val="16"/>
              </w:rPr>
              <w:t xml:space="preserve">Number </w:t>
            </w:r>
          </w:p>
          <w:p w14:paraId="1C1FC9C7" w14:textId="77777777" w:rsidR="00FF1946" w:rsidRPr="00FF1946" w:rsidRDefault="00FF1946" w:rsidP="006D3143">
            <w:pPr>
              <w:jc w:val="center"/>
              <w:rPr>
                <w:rFonts w:ascii="Arial" w:hAnsi="Arial" w:cs="Arial"/>
                <w:b/>
                <w:bCs/>
                <w:sz w:val="16"/>
                <w:szCs w:val="16"/>
              </w:rPr>
            </w:pPr>
            <w:r w:rsidRPr="00FF1946">
              <w:rPr>
                <w:rFonts w:ascii="Arial" w:hAnsi="Arial" w:cs="Arial"/>
                <w:b/>
                <w:bCs/>
                <w:sz w:val="16"/>
                <w:szCs w:val="16"/>
              </w:rPr>
              <w:t>of samples</w:t>
            </w:r>
          </w:p>
        </w:tc>
      </w:tr>
      <w:tr w:rsidR="00FF1946" w:rsidRPr="00FF1946" w14:paraId="074BE102" w14:textId="77777777" w:rsidTr="006D3143">
        <w:trPr>
          <w:trHeight w:val="20"/>
          <w:jc w:val="center"/>
        </w:trPr>
        <w:tc>
          <w:tcPr>
            <w:tcW w:w="888" w:type="pct"/>
            <w:vMerge w:val="restart"/>
            <w:shd w:val="clear" w:color="auto" w:fill="auto"/>
            <w:vAlign w:val="center"/>
          </w:tcPr>
          <w:p w14:paraId="4C611CFD" w14:textId="77777777" w:rsidR="00FF1946" w:rsidRPr="00FF1946" w:rsidRDefault="00FF1946" w:rsidP="006D3143">
            <w:pPr>
              <w:jc w:val="center"/>
              <w:rPr>
                <w:rFonts w:ascii="Arial" w:hAnsi="Arial" w:cs="Arial"/>
                <w:sz w:val="16"/>
                <w:szCs w:val="16"/>
              </w:rPr>
            </w:pPr>
            <w:r w:rsidRPr="00FF1946">
              <w:rPr>
                <w:rFonts w:ascii="Arial" w:hAnsi="Arial" w:cs="Arial"/>
                <w:sz w:val="16"/>
                <w:szCs w:val="16"/>
              </w:rPr>
              <w:t>FRF1</w:t>
            </w:r>
          </w:p>
        </w:tc>
        <w:tc>
          <w:tcPr>
            <w:tcW w:w="1971" w:type="pct"/>
            <w:shd w:val="clear" w:color="auto" w:fill="auto"/>
            <w:vAlign w:val="center"/>
          </w:tcPr>
          <w:p w14:paraId="44A1F3B8" w14:textId="77777777" w:rsidR="00FF1946" w:rsidRPr="00FF1946" w:rsidRDefault="00FF1946" w:rsidP="006D3143">
            <w:pPr>
              <w:rPr>
                <w:rFonts w:ascii="Arial" w:hAnsi="Arial" w:cs="Arial"/>
                <w:sz w:val="16"/>
                <w:szCs w:val="16"/>
              </w:rPr>
            </w:pPr>
            <w:r w:rsidRPr="00FF1946">
              <w:rPr>
                <w:rFonts w:ascii="Arial" w:hAnsi="Arial" w:cs="Arial"/>
                <w:sz w:val="16"/>
                <w:szCs w:val="16"/>
              </w:rPr>
              <w:t>Normalized traffic channel link data rate (bit/s/Hz)</w:t>
            </w:r>
          </w:p>
        </w:tc>
        <w:tc>
          <w:tcPr>
            <w:tcW w:w="548" w:type="pct"/>
            <w:shd w:val="clear" w:color="auto" w:fill="auto"/>
            <w:vAlign w:val="center"/>
          </w:tcPr>
          <w:p w14:paraId="140FC392" w14:textId="77777777" w:rsidR="00FF1946" w:rsidRPr="00FF1946" w:rsidRDefault="00FF1946" w:rsidP="006D3143">
            <w:pPr>
              <w:jc w:val="center"/>
              <w:rPr>
                <w:rFonts w:ascii="Arial" w:hAnsi="Arial" w:cs="Arial"/>
                <w:sz w:val="16"/>
                <w:szCs w:val="16"/>
              </w:rPr>
            </w:pPr>
            <w:r w:rsidRPr="00FF1946">
              <w:rPr>
                <w:rFonts w:ascii="Arial" w:hAnsi="Arial" w:cs="Arial"/>
                <w:sz w:val="16"/>
                <w:szCs w:val="16"/>
              </w:rPr>
              <w:t>0.005</w:t>
            </w:r>
          </w:p>
        </w:tc>
        <w:tc>
          <w:tcPr>
            <w:tcW w:w="672" w:type="pct"/>
            <w:shd w:val="clear" w:color="auto" w:fill="auto"/>
            <w:vAlign w:val="center"/>
          </w:tcPr>
          <w:p w14:paraId="3BCE76D4" w14:textId="77777777" w:rsidR="00FF1946" w:rsidRPr="00FF1946" w:rsidRDefault="00FF1946" w:rsidP="006D3143">
            <w:pPr>
              <w:jc w:val="center"/>
              <w:rPr>
                <w:rFonts w:ascii="Arial" w:hAnsi="Arial" w:cs="Arial"/>
                <w:sz w:val="16"/>
                <w:szCs w:val="16"/>
              </w:rPr>
            </w:pPr>
            <w:r w:rsidRPr="00FF1946">
              <w:rPr>
                <w:rFonts w:ascii="Arial" w:hAnsi="Arial" w:cs="Arial"/>
                <w:sz w:val="16"/>
                <w:szCs w:val="16"/>
              </w:rPr>
              <w:t>0.07</w:t>
            </w:r>
          </w:p>
        </w:tc>
        <w:tc>
          <w:tcPr>
            <w:tcW w:w="920" w:type="pct"/>
            <w:shd w:val="clear" w:color="auto" w:fill="auto"/>
            <w:vAlign w:val="center"/>
          </w:tcPr>
          <w:p w14:paraId="7AB18518" w14:textId="77777777" w:rsidR="00FF1946" w:rsidRPr="00FF1946" w:rsidRDefault="00FF1946" w:rsidP="006D3143">
            <w:pPr>
              <w:jc w:val="center"/>
              <w:rPr>
                <w:rFonts w:ascii="Arial" w:hAnsi="Arial" w:cs="Arial"/>
                <w:sz w:val="16"/>
                <w:szCs w:val="16"/>
              </w:rPr>
            </w:pPr>
            <w:r w:rsidRPr="00FF1946">
              <w:rPr>
                <w:rFonts w:ascii="Arial" w:hAnsi="Arial" w:cs="Arial"/>
                <w:sz w:val="16"/>
                <w:szCs w:val="16"/>
              </w:rPr>
              <w:t>4</w:t>
            </w:r>
          </w:p>
        </w:tc>
      </w:tr>
      <w:tr w:rsidR="00FF1946" w:rsidRPr="00FF1946" w14:paraId="5F89B7CD" w14:textId="77777777" w:rsidTr="006D3143">
        <w:trPr>
          <w:trHeight w:val="20"/>
          <w:jc w:val="center"/>
        </w:trPr>
        <w:tc>
          <w:tcPr>
            <w:tcW w:w="888" w:type="pct"/>
            <w:vMerge/>
            <w:shd w:val="clear" w:color="auto" w:fill="auto"/>
            <w:vAlign w:val="center"/>
          </w:tcPr>
          <w:p w14:paraId="0503C3CD" w14:textId="77777777" w:rsidR="00FF1946" w:rsidRPr="00FF1946" w:rsidRDefault="00FF1946" w:rsidP="006D3143">
            <w:pPr>
              <w:rPr>
                <w:rFonts w:ascii="Arial" w:hAnsi="Arial" w:cs="Arial"/>
                <w:sz w:val="16"/>
                <w:szCs w:val="16"/>
              </w:rPr>
            </w:pPr>
          </w:p>
        </w:tc>
        <w:tc>
          <w:tcPr>
            <w:tcW w:w="1971" w:type="pct"/>
            <w:shd w:val="clear" w:color="auto" w:fill="auto"/>
            <w:vAlign w:val="center"/>
          </w:tcPr>
          <w:p w14:paraId="7C7B3A2E" w14:textId="77777777" w:rsidR="00FF1946" w:rsidRPr="00FF1946" w:rsidRDefault="00FF1946" w:rsidP="006D3143">
            <w:pPr>
              <w:rPr>
                <w:rFonts w:ascii="Arial" w:hAnsi="Arial" w:cs="Arial"/>
                <w:sz w:val="16"/>
                <w:szCs w:val="16"/>
              </w:rPr>
            </w:pPr>
            <w:r w:rsidRPr="00FF1946">
              <w:rPr>
                <w:rFonts w:ascii="Arial" w:hAnsi="Arial" w:cs="Arial"/>
                <w:sz w:val="16"/>
                <w:szCs w:val="16"/>
              </w:rPr>
              <w:t>Residual decoded packet error ratio</w:t>
            </w:r>
          </w:p>
        </w:tc>
        <w:tc>
          <w:tcPr>
            <w:tcW w:w="548" w:type="pct"/>
            <w:shd w:val="clear" w:color="auto" w:fill="auto"/>
            <w:vAlign w:val="center"/>
          </w:tcPr>
          <w:p w14:paraId="1E73E515" w14:textId="77777777" w:rsidR="00FF1946" w:rsidRPr="00FF1946" w:rsidRDefault="00FF1946" w:rsidP="006D3143">
            <w:pPr>
              <w:jc w:val="center"/>
              <w:rPr>
                <w:rFonts w:ascii="Arial" w:hAnsi="Arial" w:cs="Arial"/>
                <w:sz w:val="16"/>
                <w:szCs w:val="16"/>
              </w:rPr>
            </w:pPr>
            <w:r w:rsidRPr="00FF1946">
              <w:rPr>
                <w:rFonts w:ascii="Arial" w:hAnsi="Arial" w:cs="Arial"/>
                <w:sz w:val="16"/>
                <w:szCs w:val="16"/>
              </w:rPr>
              <w:t>1%</w:t>
            </w:r>
          </w:p>
        </w:tc>
        <w:tc>
          <w:tcPr>
            <w:tcW w:w="672" w:type="pct"/>
            <w:shd w:val="clear" w:color="auto" w:fill="auto"/>
            <w:vAlign w:val="center"/>
          </w:tcPr>
          <w:p w14:paraId="5F281F88" w14:textId="77777777" w:rsidR="00FF1946" w:rsidRPr="00FF1946" w:rsidRDefault="00FF1946" w:rsidP="006D3143">
            <w:pPr>
              <w:jc w:val="center"/>
              <w:rPr>
                <w:rFonts w:ascii="Arial" w:hAnsi="Arial" w:cs="Arial"/>
                <w:sz w:val="16"/>
                <w:szCs w:val="16"/>
              </w:rPr>
            </w:pPr>
            <w:r w:rsidRPr="00FF1946">
              <w:rPr>
                <w:rFonts w:ascii="Arial" w:hAnsi="Arial" w:cs="Arial"/>
                <w:dstrike/>
                <w:color w:val="FF0000"/>
                <w:sz w:val="16"/>
                <w:szCs w:val="16"/>
              </w:rPr>
              <w:t>[0.16%]</w:t>
            </w:r>
            <w:r w:rsidRPr="00FF1946">
              <w:rPr>
                <w:rFonts w:ascii="Arial" w:hAnsi="Arial" w:cs="Arial"/>
                <w:color w:val="FF0000"/>
                <w:sz w:val="16"/>
                <w:szCs w:val="16"/>
              </w:rPr>
              <w:t xml:space="preserve"> </w:t>
            </w:r>
            <w:r w:rsidRPr="00FF1946">
              <w:rPr>
                <w:rFonts w:ascii="Arial" w:hAnsi="Arial" w:cs="Arial"/>
                <w:sz w:val="16"/>
                <w:szCs w:val="16"/>
              </w:rPr>
              <w:t>0.18%</w:t>
            </w:r>
          </w:p>
        </w:tc>
        <w:tc>
          <w:tcPr>
            <w:tcW w:w="920" w:type="pct"/>
            <w:shd w:val="clear" w:color="auto" w:fill="auto"/>
            <w:vAlign w:val="center"/>
          </w:tcPr>
          <w:p w14:paraId="214E9A7F" w14:textId="77777777" w:rsidR="00FF1946" w:rsidRPr="00FF1946" w:rsidRDefault="00FF1946" w:rsidP="006D3143">
            <w:pPr>
              <w:jc w:val="center"/>
              <w:rPr>
                <w:rFonts w:ascii="Arial" w:hAnsi="Arial" w:cs="Arial"/>
                <w:sz w:val="16"/>
                <w:szCs w:val="16"/>
              </w:rPr>
            </w:pPr>
            <w:r w:rsidRPr="00FF1946">
              <w:rPr>
                <w:rFonts w:ascii="Arial" w:hAnsi="Arial" w:cs="Arial"/>
                <w:sz w:val="16"/>
                <w:szCs w:val="16"/>
              </w:rPr>
              <w:t>4</w:t>
            </w:r>
          </w:p>
        </w:tc>
      </w:tr>
      <w:tr w:rsidR="00FF1946" w:rsidRPr="00FF1946" w14:paraId="0EEE8175" w14:textId="77777777" w:rsidTr="006D3143">
        <w:trPr>
          <w:trHeight w:val="20"/>
          <w:jc w:val="center"/>
        </w:trPr>
        <w:tc>
          <w:tcPr>
            <w:tcW w:w="888" w:type="pct"/>
            <w:vMerge w:val="restart"/>
            <w:shd w:val="clear" w:color="auto" w:fill="auto"/>
            <w:vAlign w:val="center"/>
          </w:tcPr>
          <w:p w14:paraId="415D201E" w14:textId="77777777" w:rsidR="00FF1946" w:rsidRPr="00FF1946" w:rsidRDefault="00FF1946" w:rsidP="006D3143">
            <w:pPr>
              <w:jc w:val="center"/>
              <w:rPr>
                <w:rFonts w:ascii="Arial" w:hAnsi="Arial" w:cs="Arial"/>
                <w:sz w:val="16"/>
                <w:szCs w:val="16"/>
              </w:rPr>
            </w:pPr>
            <w:r w:rsidRPr="00FF1946">
              <w:rPr>
                <w:rFonts w:ascii="Arial" w:hAnsi="Arial" w:cs="Arial"/>
                <w:sz w:val="16"/>
                <w:szCs w:val="16"/>
              </w:rPr>
              <w:t>FRF3</w:t>
            </w:r>
          </w:p>
        </w:tc>
        <w:tc>
          <w:tcPr>
            <w:tcW w:w="1971" w:type="pct"/>
            <w:shd w:val="clear" w:color="auto" w:fill="auto"/>
            <w:vAlign w:val="center"/>
          </w:tcPr>
          <w:p w14:paraId="2CA60746" w14:textId="77777777" w:rsidR="00FF1946" w:rsidRPr="00FF1946" w:rsidRDefault="00FF1946" w:rsidP="006D3143">
            <w:pPr>
              <w:rPr>
                <w:rFonts w:ascii="Arial" w:hAnsi="Arial" w:cs="Arial"/>
                <w:sz w:val="16"/>
                <w:szCs w:val="16"/>
              </w:rPr>
            </w:pPr>
            <w:r w:rsidRPr="00FF1946">
              <w:rPr>
                <w:rFonts w:ascii="Arial" w:hAnsi="Arial" w:cs="Arial"/>
                <w:sz w:val="16"/>
                <w:szCs w:val="16"/>
              </w:rPr>
              <w:t>Normalized traffic channel link data rate (bit/s/Hz)</w:t>
            </w:r>
          </w:p>
        </w:tc>
        <w:tc>
          <w:tcPr>
            <w:tcW w:w="548" w:type="pct"/>
            <w:shd w:val="clear" w:color="auto" w:fill="auto"/>
            <w:vAlign w:val="center"/>
          </w:tcPr>
          <w:p w14:paraId="7871E33D" w14:textId="77777777" w:rsidR="00FF1946" w:rsidRPr="00FF1946" w:rsidRDefault="00FF1946" w:rsidP="006D3143">
            <w:pPr>
              <w:jc w:val="center"/>
              <w:rPr>
                <w:rFonts w:ascii="Arial" w:hAnsi="Arial" w:cs="Arial"/>
                <w:sz w:val="16"/>
                <w:szCs w:val="16"/>
              </w:rPr>
            </w:pPr>
            <w:r w:rsidRPr="00FF1946">
              <w:rPr>
                <w:rFonts w:ascii="Arial" w:hAnsi="Arial" w:cs="Arial"/>
                <w:sz w:val="16"/>
                <w:szCs w:val="16"/>
              </w:rPr>
              <w:t>0.005</w:t>
            </w:r>
          </w:p>
        </w:tc>
        <w:tc>
          <w:tcPr>
            <w:tcW w:w="672" w:type="pct"/>
            <w:shd w:val="clear" w:color="auto" w:fill="auto"/>
            <w:vAlign w:val="center"/>
          </w:tcPr>
          <w:p w14:paraId="4427A10F" w14:textId="77777777" w:rsidR="00FF1946" w:rsidRPr="00FF1946" w:rsidRDefault="00FF1946" w:rsidP="006D3143">
            <w:pPr>
              <w:jc w:val="center"/>
              <w:rPr>
                <w:rFonts w:ascii="Arial" w:hAnsi="Arial" w:cs="Arial"/>
                <w:sz w:val="16"/>
                <w:szCs w:val="16"/>
              </w:rPr>
            </w:pPr>
            <w:r w:rsidRPr="00FF1946">
              <w:rPr>
                <w:rFonts w:ascii="Arial" w:hAnsi="Arial" w:cs="Arial"/>
                <w:sz w:val="16"/>
                <w:szCs w:val="16"/>
              </w:rPr>
              <w:t>0.14</w:t>
            </w:r>
          </w:p>
        </w:tc>
        <w:tc>
          <w:tcPr>
            <w:tcW w:w="920" w:type="pct"/>
            <w:shd w:val="clear" w:color="auto" w:fill="auto"/>
            <w:vAlign w:val="center"/>
          </w:tcPr>
          <w:p w14:paraId="3F5A86B4" w14:textId="77777777" w:rsidR="00FF1946" w:rsidRPr="00FF1946" w:rsidRDefault="00FF1946" w:rsidP="006D3143">
            <w:pPr>
              <w:jc w:val="center"/>
              <w:rPr>
                <w:rFonts w:ascii="Arial" w:hAnsi="Arial" w:cs="Arial"/>
                <w:sz w:val="16"/>
                <w:szCs w:val="16"/>
              </w:rPr>
            </w:pPr>
            <w:r w:rsidRPr="00FF1946">
              <w:rPr>
                <w:rFonts w:ascii="Arial" w:hAnsi="Arial" w:cs="Arial"/>
                <w:sz w:val="16"/>
                <w:szCs w:val="16"/>
              </w:rPr>
              <w:t>4</w:t>
            </w:r>
          </w:p>
        </w:tc>
      </w:tr>
      <w:tr w:rsidR="00FF1946" w:rsidRPr="00FF1946" w14:paraId="07264C4B" w14:textId="77777777" w:rsidTr="006D3143">
        <w:trPr>
          <w:trHeight w:val="20"/>
          <w:jc w:val="center"/>
        </w:trPr>
        <w:tc>
          <w:tcPr>
            <w:tcW w:w="888" w:type="pct"/>
            <w:vMerge/>
            <w:shd w:val="clear" w:color="auto" w:fill="auto"/>
            <w:vAlign w:val="center"/>
          </w:tcPr>
          <w:p w14:paraId="6EE925B7" w14:textId="77777777" w:rsidR="00FF1946" w:rsidRPr="00FF1946" w:rsidRDefault="00FF1946" w:rsidP="006D3143">
            <w:pPr>
              <w:rPr>
                <w:rFonts w:ascii="Arial" w:hAnsi="Arial" w:cs="Arial"/>
                <w:sz w:val="16"/>
                <w:szCs w:val="16"/>
              </w:rPr>
            </w:pPr>
          </w:p>
        </w:tc>
        <w:tc>
          <w:tcPr>
            <w:tcW w:w="1971" w:type="pct"/>
            <w:shd w:val="clear" w:color="auto" w:fill="auto"/>
            <w:vAlign w:val="center"/>
          </w:tcPr>
          <w:p w14:paraId="0158D0E0" w14:textId="77777777" w:rsidR="00FF1946" w:rsidRPr="00FF1946" w:rsidRDefault="00FF1946" w:rsidP="006D3143">
            <w:pPr>
              <w:rPr>
                <w:rFonts w:ascii="Arial" w:hAnsi="Arial" w:cs="Arial"/>
                <w:sz w:val="16"/>
                <w:szCs w:val="16"/>
              </w:rPr>
            </w:pPr>
            <w:r w:rsidRPr="00FF1946">
              <w:rPr>
                <w:rFonts w:ascii="Arial" w:hAnsi="Arial" w:cs="Arial"/>
                <w:sz w:val="16"/>
                <w:szCs w:val="16"/>
              </w:rPr>
              <w:t>Residual decoded packet error ratio</w:t>
            </w:r>
          </w:p>
        </w:tc>
        <w:tc>
          <w:tcPr>
            <w:tcW w:w="548" w:type="pct"/>
            <w:shd w:val="clear" w:color="auto" w:fill="auto"/>
            <w:vAlign w:val="center"/>
          </w:tcPr>
          <w:p w14:paraId="4751CA5C" w14:textId="77777777" w:rsidR="00FF1946" w:rsidRPr="00FF1946" w:rsidRDefault="00FF1946" w:rsidP="006D3143">
            <w:pPr>
              <w:jc w:val="center"/>
              <w:rPr>
                <w:rFonts w:ascii="Arial" w:hAnsi="Arial" w:cs="Arial"/>
                <w:sz w:val="16"/>
                <w:szCs w:val="16"/>
              </w:rPr>
            </w:pPr>
            <w:r w:rsidRPr="00FF1946">
              <w:rPr>
                <w:rFonts w:ascii="Arial" w:hAnsi="Arial" w:cs="Arial"/>
                <w:sz w:val="16"/>
                <w:szCs w:val="16"/>
              </w:rPr>
              <w:t>1%</w:t>
            </w:r>
          </w:p>
        </w:tc>
        <w:tc>
          <w:tcPr>
            <w:tcW w:w="672" w:type="pct"/>
            <w:shd w:val="clear" w:color="auto" w:fill="auto"/>
            <w:vAlign w:val="center"/>
          </w:tcPr>
          <w:p w14:paraId="27CD12FA" w14:textId="77777777" w:rsidR="00FF1946" w:rsidRPr="00FF1946" w:rsidRDefault="00FF1946" w:rsidP="006D3143">
            <w:pPr>
              <w:jc w:val="center"/>
              <w:rPr>
                <w:rFonts w:ascii="Arial" w:hAnsi="Arial" w:cs="Arial"/>
                <w:dstrike/>
                <w:color w:val="FF0000"/>
                <w:sz w:val="16"/>
                <w:szCs w:val="16"/>
              </w:rPr>
            </w:pPr>
            <w:r w:rsidRPr="00FF1946">
              <w:rPr>
                <w:rFonts w:ascii="Arial" w:hAnsi="Arial" w:cs="Arial"/>
                <w:dstrike/>
                <w:color w:val="FF0000"/>
                <w:sz w:val="16"/>
                <w:szCs w:val="16"/>
              </w:rPr>
              <w:t>[0.34%]</w:t>
            </w:r>
          </w:p>
          <w:p w14:paraId="015DC0D0" w14:textId="77777777" w:rsidR="00FF1946" w:rsidRPr="00FF1946" w:rsidRDefault="00FF1946" w:rsidP="006D3143">
            <w:pPr>
              <w:jc w:val="center"/>
              <w:rPr>
                <w:rFonts w:ascii="Arial" w:hAnsi="Arial" w:cs="Arial"/>
                <w:sz w:val="16"/>
                <w:szCs w:val="16"/>
              </w:rPr>
            </w:pPr>
            <w:r w:rsidRPr="00FF1946">
              <w:rPr>
                <w:rFonts w:ascii="Arial" w:hAnsi="Arial" w:cs="Arial"/>
                <w:sz w:val="16"/>
                <w:szCs w:val="16"/>
              </w:rPr>
              <w:t>0.33%</w:t>
            </w:r>
          </w:p>
        </w:tc>
        <w:tc>
          <w:tcPr>
            <w:tcW w:w="920" w:type="pct"/>
            <w:shd w:val="clear" w:color="auto" w:fill="auto"/>
            <w:vAlign w:val="center"/>
          </w:tcPr>
          <w:p w14:paraId="04BAA3B0" w14:textId="77777777" w:rsidR="00FF1946" w:rsidRPr="00FF1946" w:rsidRDefault="00FF1946" w:rsidP="006D3143">
            <w:pPr>
              <w:jc w:val="center"/>
              <w:rPr>
                <w:rFonts w:ascii="Arial" w:hAnsi="Arial" w:cs="Arial"/>
                <w:sz w:val="16"/>
                <w:szCs w:val="16"/>
              </w:rPr>
            </w:pPr>
            <w:r w:rsidRPr="00FF1946">
              <w:rPr>
                <w:rFonts w:ascii="Arial" w:hAnsi="Arial" w:cs="Arial"/>
                <w:sz w:val="16"/>
                <w:szCs w:val="16"/>
              </w:rPr>
              <w:t>4</w:t>
            </w:r>
          </w:p>
        </w:tc>
      </w:tr>
    </w:tbl>
    <w:p w14:paraId="1584A188" w14:textId="77777777" w:rsidR="00FF1946" w:rsidRPr="00FF1946" w:rsidRDefault="00FF1946" w:rsidP="00FF1946"/>
    <w:p w14:paraId="1C359A5A" w14:textId="77777777" w:rsidR="00FF1946" w:rsidRPr="00FF1946" w:rsidRDefault="00FF1946" w:rsidP="00FF1946">
      <w:pPr>
        <w:rPr>
          <w:lang w:eastAsia="x-none"/>
        </w:rPr>
      </w:pPr>
      <w:r w:rsidRPr="00FF1946">
        <w:rPr>
          <w:highlight w:val="green"/>
          <w:lang w:eastAsia="x-none"/>
        </w:rPr>
        <w:lastRenderedPageBreak/>
        <w:t>Agreement</w:t>
      </w:r>
    </w:p>
    <w:p w14:paraId="4F6F2E29" w14:textId="77777777" w:rsidR="00FF1946" w:rsidRPr="00FF1946" w:rsidRDefault="00FF1946" w:rsidP="00FF1946">
      <w:pPr>
        <w:rPr>
          <w:b/>
        </w:rPr>
      </w:pPr>
      <w:r w:rsidRPr="00FF1946">
        <w:rPr>
          <w:bCs/>
        </w:rPr>
        <w:t>Adopt the TP for clause 4.9 of TR 37.911 on Mobility evaluation in NR satellite access provided within the attached document (Attachment: Att  TP for TR37.911- Mobility) with the addition of “Value” at the top of the third column of the table.</w:t>
      </w:r>
    </w:p>
    <w:p w14:paraId="774AAEF6" w14:textId="77777777" w:rsidR="00FF1946" w:rsidRPr="00FF1946" w:rsidRDefault="00FF1946" w:rsidP="00FF1946"/>
    <w:p w14:paraId="000166FB" w14:textId="77777777" w:rsidR="00FF1946" w:rsidRPr="00FF1946" w:rsidRDefault="00FF1946" w:rsidP="00FF1946">
      <w:pPr>
        <w:rPr>
          <w:lang w:eastAsia="x-none"/>
        </w:rPr>
      </w:pPr>
      <w:r w:rsidRPr="00FF1946">
        <w:rPr>
          <w:highlight w:val="green"/>
          <w:lang w:eastAsia="x-none"/>
        </w:rPr>
        <w:t>Agreement</w:t>
      </w:r>
    </w:p>
    <w:p w14:paraId="50D86387" w14:textId="77777777" w:rsidR="00FF1946" w:rsidRPr="00FF1946" w:rsidRDefault="00FF1946" w:rsidP="00FF1946">
      <w:pPr>
        <w:rPr>
          <w:bCs/>
        </w:rPr>
      </w:pPr>
      <w:r w:rsidRPr="00FF1946">
        <w:rPr>
          <w:bCs/>
        </w:rPr>
        <w:t>Confirm the following evaluation results of DL and UL reliability for NR satellite access:</w:t>
      </w:r>
    </w:p>
    <w:p w14:paraId="186F22AA" w14:textId="77777777" w:rsidR="00FF1946" w:rsidRPr="00FF1946" w:rsidRDefault="00FF1946" w:rsidP="00FF1946">
      <w:pPr>
        <w:tabs>
          <w:tab w:val="left" w:pos="1701"/>
        </w:tabs>
        <w:rPr>
          <w:bCs/>
          <w:szCs w:val="20"/>
        </w:rPr>
      </w:pPr>
    </w:p>
    <w:p w14:paraId="7A919551" w14:textId="0817CF5C" w:rsidR="00FF1946" w:rsidRPr="00FF1946" w:rsidRDefault="00FF1946" w:rsidP="006D3143">
      <w:pPr>
        <w:ind w:left="360"/>
        <w:jc w:val="center"/>
        <w:rPr>
          <w:rFonts w:ascii="Arial" w:eastAsia="Malgun Gothic" w:hAnsi="Arial" w:cs="Arial"/>
          <w:b/>
          <w:sz w:val="16"/>
          <w:szCs w:val="16"/>
        </w:rPr>
      </w:pPr>
      <w:r w:rsidRPr="00FF1946">
        <w:rPr>
          <w:rFonts w:ascii="Arial" w:eastAsia="Malgun Gothic" w:hAnsi="Arial" w:cs="Arial"/>
          <w:b/>
          <w:sz w:val="16"/>
          <w:szCs w:val="16"/>
        </w:rPr>
        <w:t>Table</w:t>
      </w:r>
      <w:r w:rsidR="006D3143" w:rsidRPr="006D3143">
        <w:rPr>
          <w:rFonts w:ascii="Arial" w:eastAsia="Malgun Gothic" w:hAnsi="Arial" w:cs="Arial"/>
          <w:b/>
          <w:sz w:val="16"/>
          <w:szCs w:val="16"/>
        </w:rPr>
        <w:t xml:space="preserve"> 1:</w:t>
      </w:r>
      <w:r w:rsidRPr="00FF1946">
        <w:rPr>
          <w:rFonts w:ascii="Arial" w:eastAsia="Malgun Gothic" w:hAnsi="Arial" w:cs="Arial"/>
          <w:b/>
          <w:sz w:val="16"/>
          <w:szCs w:val="16"/>
        </w:rPr>
        <w:t xml:space="preserve"> Evaluation results of DL reliability for NR satellite access</w:t>
      </w:r>
    </w:p>
    <w:tbl>
      <w:tblPr>
        <w:tblW w:w="58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2"/>
        <w:gridCol w:w="1359"/>
        <w:gridCol w:w="1150"/>
        <w:gridCol w:w="1604"/>
      </w:tblGrid>
      <w:tr w:rsidR="00FF1946" w:rsidRPr="00FF1946" w14:paraId="0DDFFA5F" w14:textId="77777777" w:rsidTr="006D3143">
        <w:trPr>
          <w:trHeight w:val="20"/>
        </w:trPr>
        <w:tc>
          <w:tcPr>
            <w:tcW w:w="0" w:type="auto"/>
            <w:shd w:val="clear" w:color="auto" w:fill="auto"/>
          </w:tcPr>
          <w:p w14:paraId="3E1A4228" w14:textId="77777777" w:rsidR="00FF1946" w:rsidRPr="00FF1946" w:rsidRDefault="00FF1946" w:rsidP="006D3143">
            <w:pPr>
              <w:rPr>
                <w:rFonts w:ascii="Arial" w:hAnsi="Arial" w:cs="Arial"/>
                <w:bCs/>
                <w:sz w:val="16"/>
                <w:szCs w:val="16"/>
              </w:rPr>
            </w:pPr>
            <w:r w:rsidRPr="00FF1946">
              <w:rPr>
                <w:rFonts w:ascii="Arial" w:hAnsi="Arial" w:cs="Arial"/>
                <w:bCs/>
                <w:sz w:val="16"/>
                <w:szCs w:val="16"/>
              </w:rPr>
              <w:t>Frequency Reuse Factor</w:t>
            </w:r>
          </w:p>
        </w:tc>
        <w:tc>
          <w:tcPr>
            <w:tcW w:w="0" w:type="auto"/>
            <w:shd w:val="clear" w:color="auto" w:fill="auto"/>
          </w:tcPr>
          <w:p w14:paraId="1068CA95" w14:textId="77777777" w:rsidR="00FF1946" w:rsidRPr="00FF1946" w:rsidRDefault="00FF1946" w:rsidP="006D3143">
            <w:pPr>
              <w:jc w:val="center"/>
              <w:rPr>
                <w:rFonts w:ascii="Arial" w:hAnsi="Arial" w:cs="Arial"/>
                <w:bCs/>
                <w:sz w:val="16"/>
                <w:szCs w:val="16"/>
              </w:rPr>
            </w:pPr>
            <w:r w:rsidRPr="00FF1946">
              <w:rPr>
                <w:rFonts w:ascii="Arial" w:hAnsi="Arial" w:cs="Arial"/>
                <w:bCs/>
                <w:sz w:val="16"/>
                <w:szCs w:val="16"/>
              </w:rPr>
              <w:t>ITU Requirement</w:t>
            </w:r>
          </w:p>
        </w:tc>
        <w:tc>
          <w:tcPr>
            <w:tcW w:w="0" w:type="auto"/>
            <w:shd w:val="clear" w:color="auto" w:fill="auto"/>
            <w:noWrap/>
          </w:tcPr>
          <w:p w14:paraId="1F3065A3" w14:textId="77777777" w:rsidR="00FF1946" w:rsidRPr="00FF1946" w:rsidRDefault="00FF1946" w:rsidP="006D3143">
            <w:pPr>
              <w:jc w:val="center"/>
              <w:rPr>
                <w:rFonts w:ascii="Arial" w:hAnsi="Arial" w:cs="Arial"/>
                <w:bCs/>
                <w:sz w:val="16"/>
                <w:szCs w:val="16"/>
              </w:rPr>
            </w:pPr>
            <w:r w:rsidRPr="00FF1946">
              <w:rPr>
                <w:rFonts w:ascii="Arial" w:hAnsi="Arial" w:cs="Arial"/>
                <w:bCs/>
                <w:sz w:val="16"/>
                <w:szCs w:val="16"/>
              </w:rPr>
              <w:t>DL Reliability</w:t>
            </w:r>
          </w:p>
        </w:tc>
        <w:tc>
          <w:tcPr>
            <w:tcW w:w="0" w:type="auto"/>
            <w:shd w:val="clear" w:color="auto" w:fill="auto"/>
            <w:noWrap/>
          </w:tcPr>
          <w:p w14:paraId="1EB7D7D6" w14:textId="77777777" w:rsidR="00FF1946" w:rsidRPr="00FF1946" w:rsidRDefault="00FF1946" w:rsidP="006D3143">
            <w:pPr>
              <w:jc w:val="center"/>
              <w:rPr>
                <w:rFonts w:ascii="Arial" w:hAnsi="Arial" w:cs="Arial"/>
                <w:bCs/>
                <w:sz w:val="16"/>
                <w:szCs w:val="16"/>
              </w:rPr>
            </w:pPr>
            <w:r w:rsidRPr="00FF1946">
              <w:rPr>
                <w:rFonts w:ascii="Arial" w:hAnsi="Arial" w:cs="Arial"/>
                <w:bCs/>
                <w:sz w:val="16"/>
                <w:szCs w:val="16"/>
              </w:rPr>
              <w:t>Number of samples</w:t>
            </w:r>
          </w:p>
        </w:tc>
      </w:tr>
      <w:tr w:rsidR="00FF1946" w:rsidRPr="00FF1946" w14:paraId="6FC0DF32" w14:textId="77777777" w:rsidTr="006D3143">
        <w:trPr>
          <w:trHeight w:val="20"/>
        </w:trPr>
        <w:tc>
          <w:tcPr>
            <w:tcW w:w="0" w:type="auto"/>
            <w:shd w:val="clear" w:color="auto" w:fill="auto"/>
          </w:tcPr>
          <w:p w14:paraId="6494C8E1" w14:textId="77777777" w:rsidR="00FF1946" w:rsidRPr="00FF1946" w:rsidRDefault="00FF1946" w:rsidP="006D3143">
            <w:pPr>
              <w:jc w:val="center"/>
              <w:rPr>
                <w:rFonts w:ascii="Arial" w:hAnsi="Arial" w:cs="Arial"/>
                <w:bCs/>
                <w:sz w:val="16"/>
                <w:szCs w:val="16"/>
              </w:rPr>
            </w:pPr>
            <w:r w:rsidRPr="00FF1946">
              <w:rPr>
                <w:rFonts w:ascii="Arial" w:hAnsi="Arial" w:cs="Arial"/>
                <w:bCs/>
                <w:sz w:val="16"/>
                <w:szCs w:val="16"/>
              </w:rPr>
              <w:t>FRF 1</w:t>
            </w:r>
          </w:p>
        </w:tc>
        <w:tc>
          <w:tcPr>
            <w:tcW w:w="0" w:type="auto"/>
            <w:shd w:val="clear" w:color="auto" w:fill="auto"/>
          </w:tcPr>
          <w:p w14:paraId="3AEB4CAF" w14:textId="77777777" w:rsidR="00FF1946" w:rsidRPr="00FF1946" w:rsidRDefault="00FF1946" w:rsidP="006D3143">
            <w:pPr>
              <w:jc w:val="center"/>
              <w:rPr>
                <w:rFonts w:ascii="Arial" w:hAnsi="Arial" w:cs="Arial"/>
                <w:bCs/>
                <w:sz w:val="16"/>
                <w:szCs w:val="16"/>
              </w:rPr>
            </w:pPr>
            <w:r w:rsidRPr="00FF1946">
              <w:rPr>
                <w:rFonts w:ascii="Arial" w:hAnsi="Arial" w:cs="Arial"/>
                <w:bCs/>
                <w:sz w:val="16"/>
                <w:szCs w:val="16"/>
              </w:rPr>
              <w:t>99.9%</w:t>
            </w:r>
          </w:p>
        </w:tc>
        <w:tc>
          <w:tcPr>
            <w:tcW w:w="0" w:type="auto"/>
            <w:shd w:val="clear" w:color="auto" w:fill="auto"/>
          </w:tcPr>
          <w:p w14:paraId="6FE9B375" w14:textId="77777777" w:rsidR="00FF1946" w:rsidRPr="00FF1946" w:rsidRDefault="00FF1946" w:rsidP="006D3143">
            <w:pPr>
              <w:jc w:val="center"/>
              <w:rPr>
                <w:rFonts w:ascii="Arial" w:hAnsi="Arial" w:cs="Arial"/>
                <w:bCs/>
                <w:sz w:val="16"/>
                <w:szCs w:val="16"/>
              </w:rPr>
            </w:pPr>
            <w:r w:rsidRPr="00FF1946">
              <w:rPr>
                <w:rFonts w:ascii="Arial" w:hAnsi="Arial" w:cs="Arial"/>
                <w:bCs/>
                <w:sz w:val="16"/>
                <w:szCs w:val="16"/>
              </w:rPr>
              <w:t>99.98%</w:t>
            </w:r>
          </w:p>
        </w:tc>
        <w:tc>
          <w:tcPr>
            <w:tcW w:w="0" w:type="auto"/>
            <w:shd w:val="clear" w:color="auto" w:fill="auto"/>
          </w:tcPr>
          <w:p w14:paraId="73968031" w14:textId="77777777" w:rsidR="00FF1946" w:rsidRPr="00FF1946" w:rsidRDefault="00FF1946" w:rsidP="006D3143">
            <w:pPr>
              <w:jc w:val="center"/>
              <w:rPr>
                <w:rFonts w:ascii="Arial" w:hAnsi="Arial" w:cs="Arial"/>
                <w:bCs/>
                <w:sz w:val="16"/>
                <w:szCs w:val="16"/>
              </w:rPr>
            </w:pPr>
            <w:r w:rsidRPr="00FF1946">
              <w:rPr>
                <w:rFonts w:ascii="Arial" w:hAnsi="Arial" w:cs="Arial"/>
                <w:bCs/>
                <w:sz w:val="16"/>
                <w:szCs w:val="16"/>
              </w:rPr>
              <w:t>4</w:t>
            </w:r>
          </w:p>
        </w:tc>
      </w:tr>
      <w:tr w:rsidR="00FF1946" w:rsidRPr="00FF1946" w14:paraId="337EA856" w14:textId="77777777" w:rsidTr="006D3143">
        <w:trPr>
          <w:trHeight w:val="20"/>
        </w:trPr>
        <w:tc>
          <w:tcPr>
            <w:tcW w:w="0" w:type="auto"/>
            <w:shd w:val="clear" w:color="auto" w:fill="auto"/>
          </w:tcPr>
          <w:p w14:paraId="553F63B2" w14:textId="77777777" w:rsidR="00FF1946" w:rsidRPr="00FF1946" w:rsidRDefault="00FF1946" w:rsidP="006D3143">
            <w:pPr>
              <w:jc w:val="center"/>
              <w:rPr>
                <w:rFonts w:ascii="Arial" w:hAnsi="Arial" w:cs="Arial"/>
                <w:bCs/>
                <w:sz w:val="16"/>
                <w:szCs w:val="16"/>
              </w:rPr>
            </w:pPr>
            <w:r w:rsidRPr="00FF1946">
              <w:rPr>
                <w:rFonts w:ascii="Arial" w:hAnsi="Arial" w:cs="Arial"/>
                <w:bCs/>
                <w:sz w:val="16"/>
                <w:szCs w:val="16"/>
              </w:rPr>
              <w:t>FRF 3</w:t>
            </w:r>
          </w:p>
        </w:tc>
        <w:tc>
          <w:tcPr>
            <w:tcW w:w="0" w:type="auto"/>
            <w:shd w:val="clear" w:color="auto" w:fill="auto"/>
          </w:tcPr>
          <w:p w14:paraId="7BE0781B" w14:textId="77777777" w:rsidR="00FF1946" w:rsidRPr="00FF1946" w:rsidRDefault="00FF1946" w:rsidP="006D3143">
            <w:pPr>
              <w:jc w:val="center"/>
              <w:rPr>
                <w:rFonts w:ascii="Arial" w:hAnsi="Arial" w:cs="Arial"/>
                <w:bCs/>
                <w:sz w:val="16"/>
                <w:szCs w:val="16"/>
              </w:rPr>
            </w:pPr>
            <w:r w:rsidRPr="00FF1946">
              <w:rPr>
                <w:rFonts w:ascii="Arial" w:hAnsi="Arial" w:cs="Arial"/>
                <w:bCs/>
                <w:sz w:val="16"/>
                <w:szCs w:val="16"/>
              </w:rPr>
              <w:t>99.9%</w:t>
            </w:r>
          </w:p>
        </w:tc>
        <w:tc>
          <w:tcPr>
            <w:tcW w:w="0" w:type="auto"/>
            <w:shd w:val="clear" w:color="auto" w:fill="auto"/>
          </w:tcPr>
          <w:p w14:paraId="6D6C98D8" w14:textId="77777777" w:rsidR="00FF1946" w:rsidRPr="00FF1946" w:rsidRDefault="00FF1946" w:rsidP="006D3143">
            <w:pPr>
              <w:jc w:val="center"/>
              <w:rPr>
                <w:rFonts w:ascii="Arial" w:hAnsi="Arial" w:cs="Arial"/>
                <w:bCs/>
                <w:sz w:val="16"/>
                <w:szCs w:val="16"/>
              </w:rPr>
            </w:pPr>
            <w:r w:rsidRPr="00FF1946">
              <w:rPr>
                <w:rFonts w:ascii="Arial" w:hAnsi="Arial" w:cs="Arial"/>
                <w:bCs/>
                <w:sz w:val="16"/>
                <w:szCs w:val="16"/>
              </w:rPr>
              <w:t>99.96%</w:t>
            </w:r>
          </w:p>
        </w:tc>
        <w:tc>
          <w:tcPr>
            <w:tcW w:w="0" w:type="auto"/>
            <w:shd w:val="clear" w:color="auto" w:fill="auto"/>
          </w:tcPr>
          <w:p w14:paraId="7A308C2E" w14:textId="77777777" w:rsidR="00FF1946" w:rsidRPr="00FF1946" w:rsidRDefault="00FF1946" w:rsidP="006D3143">
            <w:pPr>
              <w:jc w:val="center"/>
              <w:rPr>
                <w:rFonts w:ascii="Arial" w:hAnsi="Arial" w:cs="Arial"/>
                <w:bCs/>
                <w:sz w:val="16"/>
                <w:szCs w:val="16"/>
              </w:rPr>
            </w:pPr>
            <w:r w:rsidRPr="00FF1946">
              <w:rPr>
                <w:rFonts w:ascii="Arial" w:hAnsi="Arial" w:cs="Arial"/>
                <w:bCs/>
                <w:sz w:val="16"/>
                <w:szCs w:val="16"/>
              </w:rPr>
              <w:t>5</w:t>
            </w:r>
          </w:p>
        </w:tc>
      </w:tr>
    </w:tbl>
    <w:p w14:paraId="1D0CCD2D" w14:textId="77777777" w:rsidR="00FF1946" w:rsidRPr="00FF1946" w:rsidRDefault="00FF1946" w:rsidP="006D3143">
      <w:pPr>
        <w:rPr>
          <w:rFonts w:ascii="Arial" w:hAnsi="Arial" w:cs="Arial"/>
          <w:bCs/>
          <w:sz w:val="16"/>
          <w:szCs w:val="16"/>
        </w:rPr>
      </w:pPr>
    </w:p>
    <w:p w14:paraId="0F27FA56" w14:textId="05B6EF85" w:rsidR="00FF1946" w:rsidRPr="00FF1946" w:rsidRDefault="00FF1946" w:rsidP="006D3143">
      <w:pPr>
        <w:ind w:left="360"/>
        <w:jc w:val="center"/>
        <w:rPr>
          <w:rFonts w:ascii="Arial" w:eastAsia="Malgun Gothic" w:hAnsi="Arial" w:cs="Arial"/>
          <w:b/>
          <w:sz w:val="16"/>
          <w:szCs w:val="16"/>
        </w:rPr>
      </w:pPr>
      <w:r w:rsidRPr="00FF1946">
        <w:rPr>
          <w:rFonts w:ascii="Arial" w:eastAsia="Malgun Gothic" w:hAnsi="Arial" w:cs="Arial"/>
          <w:b/>
          <w:sz w:val="16"/>
          <w:szCs w:val="16"/>
        </w:rPr>
        <w:t>Table</w:t>
      </w:r>
      <w:r w:rsidR="006D3143" w:rsidRPr="006D3143">
        <w:rPr>
          <w:rFonts w:ascii="Arial" w:eastAsia="Malgun Gothic" w:hAnsi="Arial" w:cs="Arial"/>
          <w:b/>
          <w:sz w:val="16"/>
          <w:szCs w:val="16"/>
        </w:rPr>
        <w:t xml:space="preserve"> 2:</w:t>
      </w:r>
      <w:r w:rsidRPr="00FF1946">
        <w:rPr>
          <w:rFonts w:ascii="Arial" w:eastAsia="Malgun Gothic" w:hAnsi="Arial" w:cs="Arial"/>
          <w:b/>
          <w:sz w:val="16"/>
          <w:szCs w:val="16"/>
        </w:rPr>
        <w:t xml:space="preserve"> Evaluation results of UL reliability for NR satellite access</w:t>
      </w:r>
    </w:p>
    <w:tbl>
      <w:tblPr>
        <w:tblW w:w="58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2"/>
        <w:gridCol w:w="1359"/>
        <w:gridCol w:w="1150"/>
        <w:gridCol w:w="1604"/>
      </w:tblGrid>
      <w:tr w:rsidR="00FF1946" w:rsidRPr="00FF1946" w14:paraId="6EDD6820" w14:textId="77777777" w:rsidTr="006D3143">
        <w:trPr>
          <w:trHeight w:val="20"/>
        </w:trPr>
        <w:tc>
          <w:tcPr>
            <w:tcW w:w="0" w:type="auto"/>
            <w:shd w:val="clear" w:color="auto" w:fill="auto"/>
          </w:tcPr>
          <w:p w14:paraId="0BBB778F" w14:textId="77777777" w:rsidR="00FF1946" w:rsidRPr="00FF1946" w:rsidRDefault="00FF1946" w:rsidP="006D3143">
            <w:pPr>
              <w:rPr>
                <w:rFonts w:ascii="Arial" w:hAnsi="Arial" w:cs="Arial"/>
                <w:bCs/>
                <w:sz w:val="16"/>
                <w:szCs w:val="16"/>
              </w:rPr>
            </w:pPr>
            <w:r w:rsidRPr="00FF1946">
              <w:rPr>
                <w:rFonts w:ascii="Arial" w:hAnsi="Arial" w:cs="Arial"/>
                <w:bCs/>
                <w:sz w:val="16"/>
                <w:szCs w:val="16"/>
              </w:rPr>
              <w:t>Frequency Reuse Factor</w:t>
            </w:r>
          </w:p>
        </w:tc>
        <w:tc>
          <w:tcPr>
            <w:tcW w:w="0" w:type="auto"/>
            <w:shd w:val="clear" w:color="auto" w:fill="auto"/>
          </w:tcPr>
          <w:p w14:paraId="31E652E9" w14:textId="77777777" w:rsidR="00FF1946" w:rsidRPr="00FF1946" w:rsidRDefault="00FF1946" w:rsidP="006D3143">
            <w:pPr>
              <w:jc w:val="center"/>
              <w:rPr>
                <w:rFonts w:ascii="Arial" w:hAnsi="Arial" w:cs="Arial"/>
                <w:bCs/>
                <w:sz w:val="16"/>
                <w:szCs w:val="16"/>
              </w:rPr>
            </w:pPr>
            <w:r w:rsidRPr="00FF1946">
              <w:rPr>
                <w:rFonts w:ascii="Arial" w:hAnsi="Arial" w:cs="Arial"/>
                <w:bCs/>
                <w:sz w:val="16"/>
                <w:szCs w:val="16"/>
              </w:rPr>
              <w:t>ITU Requirement</w:t>
            </w:r>
          </w:p>
        </w:tc>
        <w:tc>
          <w:tcPr>
            <w:tcW w:w="0" w:type="auto"/>
            <w:shd w:val="clear" w:color="auto" w:fill="auto"/>
            <w:noWrap/>
          </w:tcPr>
          <w:p w14:paraId="6C0783B1" w14:textId="77777777" w:rsidR="00FF1946" w:rsidRPr="00FF1946" w:rsidRDefault="00FF1946" w:rsidP="006D3143">
            <w:pPr>
              <w:jc w:val="center"/>
              <w:rPr>
                <w:rFonts w:ascii="Arial" w:hAnsi="Arial" w:cs="Arial"/>
                <w:bCs/>
                <w:sz w:val="16"/>
                <w:szCs w:val="16"/>
              </w:rPr>
            </w:pPr>
            <w:r w:rsidRPr="00FF1946">
              <w:rPr>
                <w:rFonts w:ascii="Arial" w:hAnsi="Arial" w:cs="Arial"/>
                <w:bCs/>
                <w:sz w:val="16"/>
                <w:szCs w:val="16"/>
              </w:rPr>
              <w:t>UL Reliability</w:t>
            </w:r>
          </w:p>
        </w:tc>
        <w:tc>
          <w:tcPr>
            <w:tcW w:w="0" w:type="auto"/>
            <w:shd w:val="clear" w:color="auto" w:fill="auto"/>
            <w:noWrap/>
          </w:tcPr>
          <w:p w14:paraId="77540F57" w14:textId="77777777" w:rsidR="00FF1946" w:rsidRPr="00FF1946" w:rsidRDefault="00FF1946" w:rsidP="006D3143">
            <w:pPr>
              <w:jc w:val="center"/>
              <w:rPr>
                <w:rFonts w:ascii="Arial" w:hAnsi="Arial" w:cs="Arial"/>
                <w:bCs/>
                <w:sz w:val="16"/>
                <w:szCs w:val="16"/>
              </w:rPr>
            </w:pPr>
            <w:r w:rsidRPr="00FF1946">
              <w:rPr>
                <w:rFonts w:ascii="Arial" w:hAnsi="Arial" w:cs="Arial"/>
                <w:bCs/>
                <w:sz w:val="16"/>
                <w:szCs w:val="16"/>
              </w:rPr>
              <w:t>Number of samples</w:t>
            </w:r>
          </w:p>
        </w:tc>
      </w:tr>
      <w:tr w:rsidR="00FF1946" w:rsidRPr="00FF1946" w14:paraId="076F8A1D" w14:textId="77777777" w:rsidTr="006D3143">
        <w:trPr>
          <w:trHeight w:val="20"/>
        </w:trPr>
        <w:tc>
          <w:tcPr>
            <w:tcW w:w="0" w:type="auto"/>
            <w:shd w:val="clear" w:color="auto" w:fill="auto"/>
          </w:tcPr>
          <w:p w14:paraId="3EF086A4" w14:textId="77777777" w:rsidR="00FF1946" w:rsidRPr="00FF1946" w:rsidRDefault="00FF1946" w:rsidP="006D3143">
            <w:pPr>
              <w:jc w:val="center"/>
              <w:rPr>
                <w:rFonts w:ascii="Arial" w:hAnsi="Arial" w:cs="Arial"/>
                <w:bCs/>
                <w:sz w:val="16"/>
                <w:szCs w:val="16"/>
              </w:rPr>
            </w:pPr>
            <w:r w:rsidRPr="00FF1946">
              <w:rPr>
                <w:rFonts w:ascii="Arial" w:hAnsi="Arial" w:cs="Arial"/>
                <w:bCs/>
                <w:sz w:val="16"/>
                <w:szCs w:val="16"/>
              </w:rPr>
              <w:t>FRF 1</w:t>
            </w:r>
          </w:p>
        </w:tc>
        <w:tc>
          <w:tcPr>
            <w:tcW w:w="0" w:type="auto"/>
            <w:shd w:val="clear" w:color="auto" w:fill="auto"/>
          </w:tcPr>
          <w:p w14:paraId="2C6A1486" w14:textId="77777777" w:rsidR="00FF1946" w:rsidRPr="00FF1946" w:rsidRDefault="00FF1946" w:rsidP="006D3143">
            <w:pPr>
              <w:jc w:val="center"/>
              <w:rPr>
                <w:rFonts w:ascii="Arial" w:hAnsi="Arial" w:cs="Arial"/>
                <w:bCs/>
                <w:sz w:val="16"/>
                <w:szCs w:val="16"/>
              </w:rPr>
            </w:pPr>
            <w:r w:rsidRPr="00FF1946">
              <w:rPr>
                <w:rFonts w:ascii="Arial" w:hAnsi="Arial" w:cs="Arial"/>
                <w:bCs/>
                <w:sz w:val="16"/>
                <w:szCs w:val="16"/>
              </w:rPr>
              <w:t>99.9%</w:t>
            </w:r>
          </w:p>
        </w:tc>
        <w:tc>
          <w:tcPr>
            <w:tcW w:w="0" w:type="auto"/>
            <w:shd w:val="clear" w:color="auto" w:fill="auto"/>
          </w:tcPr>
          <w:p w14:paraId="7CA23570" w14:textId="77777777" w:rsidR="00FF1946" w:rsidRPr="00FF1946" w:rsidRDefault="00FF1946" w:rsidP="006D3143">
            <w:pPr>
              <w:jc w:val="center"/>
              <w:rPr>
                <w:rFonts w:ascii="Arial" w:hAnsi="Arial" w:cs="Arial"/>
                <w:bCs/>
                <w:sz w:val="16"/>
                <w:szCs w:val="16"/>
              </w:rPr>
            </w:pPr>
            <w:r w:rsidRPr="00FF1946">
              <w:rPr>
                <w:rFonts w:ascii="Arial" w:hAnsi="Arial" w:cs="Arial"/>
                <w:bCs/>
                <w:sz w:val="16"/>
                <w:szCs w:val="16"/>
              </w:rPr>
              <w:t>99.97%</w:t>
            </w:r>
          </w:p>
        </w:tc>
        <w:tc>
          <w:tcPr>
            <w:tcW w:w="0" w:type="auto"/>
            <w:shd w:val="clear" w:color="auto" w:fill="auto"/>
          </w:tcPr>
          <w:p w14:paraId="75E904F1" w14:textId="77777777" w:rsidR="00FF1946" w:rsidRPr="00FF1946" w:rsidRDefault="00FF1946" w:rsidP="006D3143">
            <w:pPr>
              <w:jc w:val="center"/>
              <w:rPr>
                <w:rFonts w:ascii="Arial" w:hAnsi="Arial" w:cs="Arial"/>
                <w:bCs/>
                <w:sz w:val="16"/>
                <w:szCs w:val="16"/>
              </w:rPr>
            </w:pPr>
            <w:r w:rsidRPr="00FF1946">
              <w:rPr>
                <w:rFonts w:ascii="Arial" w:hAnsi="Arial" w:cs="Arial"/>
                <w:bCs/>
                <w:sz w:val="16"/>
                <w:szCs w:val="16"/>
              </w:rPr>
              <w:t>4</w:t>
            </w:r>
          </w:p>
        </w:tc>
      </w:tr>
      <w:tr w:rsidR="00FF1946" w:rsidRPr="00FF1946" w14:paraId="6EBFCFBD" w14:textId="77777777" w:rsidTr="006D3143">
        <w:trPr>
          <w:trHeight w:val="20"/>
        </w:trPr>
        <w:tc>
          <w:tcPr>
            <w:tcW w:w="0" w:type="auto"/>
            <w:shd w:val="clear" w:color="auto" w:fill="auto"/>
          </w:tcPr>
          <w:p w14:paraId="5D12380D" w14:textId="77777777" w:rsidR="00FF1946" w:rsidRPr="00FF1946" w:rsidRDefault="00FF1946" w:rsidP="006D3143">
            <w:pPr>
              <w:jc w:val="center"/>
              <w:rPr>
                <w:rFonts w:ascii="Arial" w:hAnsi="Arial" w:cs="Arial"/>
                <w:bCs/>
                <w:sz w:val="16"/>
                <w:szCs w:val="16"/>
              </w:rPr>
            </w:pPr>
            <w:r w:rsidRPr="00FF1946">
              <w:rPr>
                <w:rFonts w:ascii="Arial" w:hAnsi="Arial" w:cs="Arial"/>
                <w:bCs/>
                <w:sz w:val="16"/>
                <w:szCs w:val="16"/>
              </w:rPr>
              <w:t>FRF 3</w:t>
            </w:r>
          </w:p>
        </w:tc>
        <w:tc>
          <w:tcPr>
            <w:tcW w:w="0" w:type="auto"/>
            <w:shd w:val="clear" w:color="auto" w:fill="auto"/>
          </w:tcPr>
          <w:p w14:paraId="1EFD296F" w14:textId="77777777" w:rsidR="00FF1946" w:rsidRPr="00FF1946" w:rsidRDefault="00FF1946" w:rsidP="006D3143">
            <w:pPr>
              <w:jc w:val="center"/>
              <w:rPr>
                <w:rFonts w:ascii="Arial" w:hAnsi="Arial" w:cs="Arial"/>
                <w:bCs/>
                <w:sz w:val="16"/>
                <w:szCs w:val="16"/>
              </w:rPr>
            </w:pPr>
            <w:r w:rsidRPr="00FF1946">
              <w:rPr>
                <w:rFonts w:ascii="Arial" w:hAnsi="Arial" w:cs="Arial"/>
                <w:bCs/>
                <w:sz w:val="16"/>
                <w:szCs w:val="16"/>
              </w:rPr>
              <w:t>99.9%</w:t>
            </w:r>
          </w:p>
        </w:tc>
        <w:tc>
          <w:tcPr>
            <w:tcW w:w="0" w:type="auto"/>
            <w:shd w:val="clear" w:color="auto" w:fill="auto"/>
          </w:tcPr>
          <w:p w14:paraId="712B5193" w14:textId="77777777" w:rsidR="00FF1946" w:rsidRPr="00FF1946" w:rsidRDefault="00FF1946" w:rsidP="006D3143">
            <w:pPr>
              <w:jc w:val="center"/>
              <w:rPr>
                <w:rFonts w:ascii="Arial" w:hAnsi="Arial" w:cs="Arial"/>
                <w:bCs/>
                <w:sz w:val="16"/>
                <w:szCs w:val="16"/>
              </w:rPr>
            </w:pPr>
            <w:r w:rsidRPr="00FF1946">
              <w:rPr>
                <w:rFonts w:ascii="Arial" w:hAnsi="Arial" w:cs="Arial"/>
                <w:bCs/>
                <w:sz w:val="16"/>
                <w:szCs w:val="16"/>
              </w:rPr>
              <w:t>99.97%</w:t>
            </w:r>
          </w:p>
        </w:tc>
        <w:tc>
          <w:tcPr>
            <w:tcW w:w="0" w:type="auto"/>
            <w:shd w:val="clear" w:color="auto" w:fill="auto"/>
          </w:tcPr>
          <w:p w14:paraId="25E574D5" w14:textId="77777777" w:rsidR="00FF1946" w:rsidRPr="00FF1946" w:rsidRDefault="00FF1946" w:rsidP="006D3143">
            <w:pPr>
              <w:jc w:val="center"/>
              <w:rPr>
                <w:rFonts w:ascii="Arial" w:hAnsi="Arial" w:cs="Arial"/>
                <w:bCs/>
                <w:sz w:val="16"/>
                <w:szCs w:val="16"/>
              </w:rPr>
            </w:pPr>
            <w:r w:rsidRPr="00FF1946">
              <w:rPr>
                <w:rFonts w:ascii="Arial" w:hAnsi="Arial" w:cs="Arial"/>
                <w:bCs/>
                <w:sz w:val="16"/>
                <w:szCs w:val="16"/>
              </w:rPr>
              <w:t>5</w:t>
            </w:r>
          </w:p>
        </w:tc>
      </w:tr>
    </w:tbl>
    <w:p w14:paraId="1CF45F2B" w14:textId="77777777" w:rsidR="00FF1946" w:rsidRPr="00FF1946" w:rsidRDefault="00FF1946" w:rsidP="00FF1946"/>
    <w:p w14:paraId="65F3C47E" w14:textId="77777777" w:rsidR="00FF1946" w:rsidRPr="00FF1946" w:rsidRDefault="00FF1946" w:rsidP="00FF1946">
      <w:pPr>
        <w:rPr>
          <w:lang w:eastAsia="x-none"/>
        </w:rPr>
      </w:pPr>
      <w:r w:rsidRPr="00FF1946">
        <w:rPr>
          <w:highlight w:val="green"/>
          <w:lang w:eastAsia="x-none"/>
        </w:rPr>
        <w:t>Agreement</w:t>
      </w:r>
    </w:p>
    <w:p w14:paraId="53C607BD" w14:textId="77777777" w:rsidR="00FF1946" w:rsidRPr="00FF1946" w:rsidRDefault="00FF1946" w:rsidP="00FF1946">
      <w:pPr>
        <w:rPr>
          <w:b/>
        </w:rPr>
      </w:pPr>
      <w:r w:rsidRPr="00FF1946">
        <w:rPr>
          <w:bCs/>
        </w:rPr>
        <w:t>Adopt the TP for clause 6.1 of TR 37.911 on Reliability evaluation in NR satellite access provided within the attached document (Attachment: Att  TP for TR37.911- Reliability).</w:t>
      </w:r>
    </w:p>
    <w:p w14:paraId="1CA17309" w14:textId="77777777" w:rsidR="00FF1946" w:rsidRPr="00FF1946" w:rsidRDefault="00FF1946" w:rsidP="00FF1946"/>
    <w:p w14:paraId="78C6DD8F" w14:textId="77777777" w:rsidR="00FF1946" w:rsidRPr="00FF1946" w:rsidRDefault="00FF1946" w:rsidP="00FF1946">
      <w:pPr>
        <w:rPr>
          <w:lang w:eastAsia="x-none"/>
        </w:rPr>
      </w:pPr>
      <w:r w:rsidRPr="00FF1946">
        <w:rPr>
          <w:highlight w:val="green"/>
          <w:lang w:eastAsia="x-none"/>
        </w:rPr>
        <w:t>Agreement</w:t>
      </w:r>
    </w:p>
    <w:p w14:paraId="002EA71F" w14:textId="77777777" w:rsidR="00FF1946" w:rsidRPr="00FF1946" w:rsidRDefault="00FF1946" w:rsidP="00FF1946">
      <w:pPr>
        <w:rPr>
          <w:bCs/>
          <w:szCs w:val="20"/>
        </w:rPr>
      </w:pPr>
      <w:r w:rsidRPr="00FF1946">
        <w:rPr>
          <w:bCs/>
          <w:szCs w:val="20"/>
        </w:rPr>
        <w:t>The evaluation results of connection density for NR satellite access are updated as follow:</w:t>
      </w:r>
    </w:p>
    <w:p w14:paraId="18CE0098" w14:textId="77777777" w:rsidR="00FF1946" w:rsidRPr="006D3143" w:rsidRDefault="00FF1946" w:rsidP="006D3143">
      <w:pPr>
        <w:jc w:val="center"/>
        <w:rPr>
          <w:rFonts w:ascii="Arial" w:hAnsi="Arial" w:cs="Arial"/>
          <w:b/>
          <w:bCs/>
          <w:sz w:val="16"/>
          <w:szCs w:val="16"/>
          <w:lang w:eastAsia="ar-SA"/>
        </w:rPr>
      </w:pPr>
      <w:r w:rsidRPr="006D3143">
        <w:rPr>
          <w:rFonts w:ascii="Arial" w:hAnsi="Arial" w:cs="Arial"/>
          <w:b/>
          <w:bCs/>
          <w:sz w:val="16"/>
          <w:szCs w:val="16"/>
          <w:lang w:eastAsia="ar-SA"/>
        </w:rPr>
        <w:t>Table  Evaluation results of connection density for NR satellite access</w:t>
      </w:r>
    </w:p>
    <w:tbl>
      <w:tblPr>
        <w:tblW w:w="85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5"/>
        <w:gridCol w:w="1795"/>
        <w:gridCol w:w="1406"/>
        <w:gridCol w:w="1277"/>
        <w:gridCol w:w="1080"/>
        <w:gridCol w:w="896"/>
      </w:tblGrid>
      <w:tr w:rsidR="00FF1946" w:rsidRPr="00FF1946" w14:paraId="052C434C" w14:textId="77777777" w:rsidTr="006D3143">
        <w:trPr>
          <w:trHeight w:val="20"/>
          <w:jc w:val="center"/>
        </w:trPr>
        <w:tc>
          <w:tcPr>
            <w:tcW w:w="2105" w:type="dxa"/>
            <w:shd w:val="clear" w:color="auto" w:fill="auto"/>
            <w:vAlign w:val="center"/>
          </w:tcPr>
          <w:p w14:paraId="31F980C4" w14:textId="77777777" w:rsidR="00FF1946" w:rsidRPr="00FF1946" w:rsidRDefault="00FF1946" w:rsidP="006D3143">
            <w:pPr>
              <w:overflowPunct w:val="0"/>
              <w:autoSpaceDE w:val="0"/>
              <w:autoSpaceDN w:val="0"/>
              <w:adjustRightInd w:val="0"/>
              <w:jc w:val="center"/>
              <w:textAlignment w:val="baseline"/>
              <w:rPr>
                <w:rFonts w:ascii="Arial" w:hAnsi="Arial" w:cs="Arial"/>
                <w:bCs/>
                <w:sz w:val="16"/>
                <w:szCs w:val="16"/>
              </w:rPr>
            </w:pPr>
            <w:r w:rsidRPr="00FF1946">
              <w:rPr>
                <w:rFonts w:ascii="Arial" w:hAnsi="Arial" w:cs="Arial"/>
                <w:bCs/>
                <w:sz w:val="16"/>
                <w:szCs w:val="16"/>
              </w:rPr>
              <w:t>Traffic model</w:t>
            </w:r>
          </w:p>
        </w:tc>
        <w:tc>
          <w:tcPr>
            <w:tcW w:w="1795" w:type="dxa"/>
            <w:shd w:val="clear" w:color="auto" w:fill="auto"/>
            <w:vAlign w:val="center"/>
          </w:tcPr>
          <w:p w14:paraId="4BCDB43A" w14:textId="77777777" w:rsidR="00FF1946" w:rsidRPr="00FF1946" w:rsidRDefault="00FF1946" w:rsidP="006D3143">
            <w:pPr>
              <w:overflowPunct w:val="0"/>
              <w:autoSpaceDE w:val="0"/>
              <w:autoSpaceDN w:val="0"/>
              <w:adjustRightInd w:val="0"/>
              <w:jc w:val="center"/>
              <w:textAlignment w:val="baseline"/>
              <w:rPr>
                <w:rFonts w:ascii="Arial" w:hAnsi="Arial" w:cs="Arial"/>
                <w:bCs/>
                <w:sz w:val="16"/>
                <w:szCs w:val="16"/>
              </w:rPr>
            </w:pPr>
            <w:r w:rsidRPr="00FF1946">
              <w:rPr>
                <w:rFonts w:ascii="Arial" w:hAnsi="Arial" w:cs="Arial"/>
                <w:bCs/>
                <w:sz w:val="16"/>
                <w:szCs w:val="16"/>
              </w:rPr>
              <w:t>Frequency reuse factor</w:t>
            </w:r>
          </w:p>
        </w:tc>
        <w:tc>
          <w:tcPr>
            <w:tcW w:w="1406" w:type="dxa"/>
            <w:shd w:val="clear" w:color="auto" w:fill="auto"/>
            <w:vAlign w:val="center"/>
          </w:tcPr>
          <w:p w14:paraId="2D87FCFF" w14:textId="77777777" w:rsidR="00FF1946" w:rsidRPr="00FF1946" w:rsidRDefault="00FF1946" w:rsidP="006D3143">
            <w:pPr>
              <w:overflowPunct w:val="0"/>
              <w:autoSpaceDE w:val="0"/>
              <w:autoSpaceDN w:val="0"/>
              <w:adjustRightInd w:val="0"/>
              <w:jc w:val="center"/>
              <w:textAlignment w:val="baseline"/>
              <w:rPr>
                <w:rFonts w:ascii="Arial" w:hAnsi="Arial" w:cs="Arial"/>
                <w:bCs/>
                <w:sz w:val="16"/>
                <w:szCs w:val="16"/>
              </w:rPr>
            </w:pPr>
            <w:r w:rsidRPr="00FF1946">
              <w:rPr>
                <w:rFonts w:ascii="Arial" w:hAnsi="Arial" w:cs="Arial"/>
                <w:bCs/>
                <w:sz w:val="16"/>
                <w:szCs w:val="16"/>
              </w:rPr>
              <w:t>ITU Requirement</w:t>
            </w:r>
          </w:p>
        </w:tc>
        <w:tc>
          <w:tcPr>
            <w:tcW w:w="1277" w:type="dxa"/>
            <w:shd w:val="clear" w:color="auto" w:fill="auto"/>
            <w:vAlign w:val="center"/>
          </w:tcPr>
          <w:p w14:paraId="55019A01" w14:textId="77777777" w:rsidR="00FF1946" w:rsidRPr="00FF1946" w:rsidRDefault="00FF1946" w:rsidP="006D3143">
            <w:pPr>
              <w:overflowPunct w:val="0"/>
              <w:autoSpaceDE w:val="0"/>
              <w:autoSpaceDN w:val="0"/>
              <w:adjustRightInd w:val="0"/>
              <w:jc w:val="center"/>
              <w:textAlignment w:val="baseline"/>
              <w:rPr>
                <w:rFonts w:ascii="Arial" w:hAnsi="Arial" w:cs="Arial"/>
                <w:bCs/>
                <w:sz w:val="16"/>
                <w:szCs w:val="16"/>
              </w:rPr>
            </w:pPr>
            <w:r w:rsidRPr="00FF1946">
              <w:rPr>
                <w:rFonts w:ascii="Arial" w:hAnsi="Arial" w:cs="Arial"/>
                <w:bCs/>
                <w:sz w:val="16"/>
                <w:szCs w:val="16"/>
              </w:rPr>
              <w:t>Connection density(/km2)</w:t>
            </w:r>
          </w:p>
        </w:tc>
        <w:tc>
          <w:tcPr>
            <w:tcW w:w="1080" w:type="dxa"/>
            <w:shd w:val="clear" w:color="auto" w:fill="auto"/>
            <w:vAlign w:val="center"/>
          </w:tcPr>
          <w:p w14:paraId="397DEA43" w14:textId="77777777" w:rsidR="00FF1946" w:rsidRPr="00FF1946" w:rsidRDefault="00FF1946" w:rsidP="006D3143">
            <w:pPr>
              <w:overflowPunct w:val="0"/>
              <w:autoSpaceDE w:val="0"/>
              <w:autoSpaceDN w:val="0"/>
              <w:adjustRightInd w:val="0"/>
              <w:jc w:val="center"/>
              <w:textAlignment w:val="baseline"/>
              <w:rPr>
                <w:rFonts w:ascii="Arial" w:hAnsi="Arial" w:cs="Arial"/>
                <w:bCs/>
                <w:sz w:val="16"/>
                <w:szCs w:val="16"/>
              </w:rPr>
            </w:pPr>
            <w:r w:rsidRPr="00FF1946">
              <w:rPr>
                <w:rFonts w:ascii="Arial" w:hAnsi="Arial" w:cs="Arial"/>
                <w:bCs/>
                <w:sz w:val="16"/>
                <w:szCs w:val="16"/>
              </w:rPr>
              <w:t>Bandwidth (kHz)</w:t>
            </w:r>
          </w:p>
        </w:tc>
        <w:tc>
          <w:tcPr>
            <w:tcW w:w="896" w:type="dxa"/>
            <w:shd w:val="clear" w:color="auto" w:fill="auto"/>
            <w:vAlign w:val="center"/>
          </w:tcPr>
          <w:p w14:paraId="2E90D446" w14:textId="77777777" w:rsidR="00FF1946" w:rsidRPr="00FF1946" w:rsidRDefault="00FF1946" w:rsidP="006D3143">
            <w:pPr>
              <w:overflowPunct w:val="0"/>
              <w:autoSpaceDE w:val="0"/>
              <w:autoSpaceDN w:val="0"/>
              <w:adjustRightInd w:val="0"/>
              <w:jc w:val="center"/>
              <w:textAlignment w:val="baseline"/>
              <w:rPr>
                <w:rFonts w:ascii="Arial" w:hAnsi="Arial" w:cs="Arial"/>
                <w:bCs/>
                <w:sz w:val="16"/>
                <w:szCs w:val="16"/>
              </w:rPr>
            </w:pPr>
            <w:r w:rsidRPr="00FF1946">
              <w:rPr>
                <w:rFonts w:ascii="Arial" w:hAnsi="Arial" w:cs="Arial"/>
                <w:bCs/>
                <w:sz w:val="16"/>
                <w:szCs w:val="16"/>
              </w:rPr>
              <w:t>Number of samples</w:t>
            </w:r>
          </w:p>
        </w:tc>
      </w:tr>
      <w:tr w:rsidR="00FF1946" w:rsidRPr="00FF1946" w14:paraId="40EF176F" w14:textId="77777777" w:rsidTr="006D3143">
        <w:trPr>
          <w:trHeight w:val="20"/>
          <w:jc w:val="center"/>
        </w:trPr>
        <w:tc>
          <w:tcPr>
            <w:tcW w:w="2105" w:type="dxa"/>
            <w:vMerge w:val="restart"/>
            <w:shd w:val="clear" w:color="auto" w:fill="auto"/>
            <w:vAlign w:val="center"/>
          </w:tcPr>
          <w:p w14:paraId="0E1E6120" w14:textId="77777777" w:rsidR="00FF1946" w:rsidRPr="00FF1946" w:rsidRDefault="00FF1946" w:rsidP="006D3143">
            <w:pPr>
              <w:overflowPunct w:val="0"/>
              <w:autoSpaceDE w:val="0"/>
              <w:autoSpaceDN w:val="0"/>
              <w:adjustRightInd w:val="0"/>
              <w:jc w:val="center"/>
              <w:textAlignment w:val="baseline"/>
              <w:rPr>
                <w:rFonts w:ascii="Arial" w:hAnsi="Arial" w:cs="Arial"/>
                <w:bCs/>
                <w:sz w:val="16"/>
                <w:szCs w:val="16"/>
              </w:rPr>
            </w:pPr>
            <w:r w:rsidRPr="00FF1946">
              <w:rPr>
                <w:rFonts w:ascii="Arial" w:hAnsi="Arial" w:cs="Arial"/>
                <w:bCs/>
                <w:sz w:val="16"/>
                <w:szCs w:val="16"/>
              </w:rPr>
              <w:t>1 message/day/device</w:t>
            </w:r>
          </w:p>
        </w:tc>
        <w:tc>
          <w:tcPr>
            <w:tcW w:w="1795" w:type="dxa"/>
            <w:shd w:val="clear" w:color="auto" w:fill="auto"/>
            <w:vAlign w:val="center"/>
          </w:tcPr>
          <w:p w14:paraId="3E80CA0A" w14:textId="77777777" w:rsidR="00FF1946" w:rsidRPr="00FF1946" w:rsidRDefault="00FF1946" w:rsidP="006D3143">
            <w:pPr>
              <w:overflowPunct w:val="0"/>
              <w:autoSpaceDE w:val="0"/>
              <w:autoSpaceDN w:val="0"/>
              <w:adjustRightInd w:val="0"/>
              <w:jc w:val="center"/>
              <w:textAlignment w:val="baseline"/>
              <w:rPr>
                <w:rFonts w:ascii="Arial" w:hAnsi="Arial" w:cs="Arial"/>
                <w:bCs/>
                <w:sz w:val="16"/>
                <w:szCs w:val="16"/>
              </w:rPr>
            </w:pPr>
            <w:r w:rsidRPr="00FF1946">
              <w:rPr>
                <w:rFonts w:ascii="Arial" w:hAnsi="Arial" w:cs="Arial"/>
                <w:bCs/>
                <w:sz w:val="16"/>
                <w:szCs w:val="16"/>
              </w:rPr>
              <w:t>FRF1</w:t>
            </w:r>
          </w:p>
        </w:tc>
        <w:tc>
          <w:tcPr>
            <w:tcW w:w="1406" w:type="dxa"/>
            <w:shd w:val="clear" w:color="auto" w:fill="auto"/>
            <w:vAlign w:val="center"/>
          </w:tcPr>
          <w:p w14:paraId="6DD3AB0F" w14:textId="77777777" w:rsidR="00FF1946" w:rsidRPr="00FF1946" w:rsidRDefault="00FF1946" w:rsidP="006D3143">
            <w:pPr>
              <w:overflowPunct w:val="0"/>
              <w:autoSpaceDE w:val="0"/>
              <w:autoSpaceDN w:val="0"/>
              <w:adjustRightInd w:val="0"/>
              <w:jc w:val="center"/>
              <w:textAlignment w:val="baseline"/>
              <w:rPr>
                <w:rFonts w:ascii="Arial" w:hAnsi="Arial" w:cs="Arial"/>
                <w:bCs/>
                <w:sz w:val="16"/>
                <w:szCs w:val="16"/>
              </w:rPr>
            </w:pPr>
            <w:r w:rsidRPr="00FF1946">
              <w:rPr>
                <w:rFonts w:ascii="Arial" w:hAnsi="Arial" w:cs="Arial"/>
                <w:bCs/>
                <w:sz w:val="16"/>
                <w:szCs w:val="16"/>
              </w:rPr>
              <w:t>500</w:t>
            </w:r>
          </w:p>
        </w:tc>
        <w:tc>
          <w:tcPr>
            <w:tcW w:w="1277" w:type="dxa"/>
            <w:shd w:val="clear" w:color="auto" w:fill="auto"/>
            <w:vAlign w:val="center"/>
          </w:tcPr>
          <w:p w14:paraId="6C565EF3" w14:textId="77777777" w:rsidR="00FF1946" w:rsidRPr="00FF1946" w:rsidRDefault="00FF1946" w:rsidP="006D3143">
            <w:pPr>
              <w:overflowPunct w:val="0"/>
              <w:autoSpaceDE w:val="0"/>
              <w:autoSpaceDN w:val="0"/>
              <w:adjustRightInd w:val="0"/>
              <w:jc w:val="center"/>
              <w:textAlignment w:val="baseline"/>
              <w:rPr>
                <w:rFonts w:ascii="Arial" w:hAnsi="Arial" w:cs="Arial"/>
                <w:bCs/>
                <w:color w:val="FF0000"/>
                <w:sz w:val="16"/>
                <w:szCs w:val="16"/>
              </w:rPr>
            </w:pPr>
            <w:r w:rsidRPr="00FF1946">
              <w:rPr>
                <w:rFonts w:ascii="Arial" w:hAnsi="Arial" w:cs="Arial"/>
                <w:bCs/>
                <w:color w:val="FF0000"/>
                <w:sz w:val="16"/>
                <w:szCs w:val="16"/>
              </w:rPr>
              <w:t xml:space="preserve">7205 </w:t>
            </w:r>
            <w:r w:rsidRPr="00FF1946">
              <w:rPr>
                <w:rFonts w:ascii="Arial" w:hAnsi="Arial" w:cs="Arial"/>
                <w:bCs/>
                <w:dstrike/>
                <w:sz w:val="16"/>
                <w:szCs w:val="16"/>
              </w:rPr>
              <w:t>[7334]</w:t>
            </w:r>
          </w:p>
        </w:tc>
        <w:tc>
          <w:tcPr>
            <w:tcW w:w="1080" w:type="dxa"/>
            <w:shd w:val="clear" w:color="auto" w:fill="auto"/>
            <w:vAlign w:val="center"/>
          </w:tcPr>
          <w:p w14:paraId="48857DE6" w14:textId="77777777" w:rsidR="00FF1946" w:rsidRPr="00FF1946" w:rsidRDefault="00FF1946" w:rsidP="006D3143">
            <w:pPr>
              <w:overflowPunct w:val="0"/>
              <w:autoSpaceDE w:val="0"/>
              <w:autoSpaceDN w:val="0"/>
              <w:adjustRightInd w:val="0"/>
              <w:jc w:val="center"/>
              <w:textAlignment w:val="baseline"/>
              <w:rPr>
                <w:rFonts w:ascii="Arial" w:hAnsi="Arial" w:cs="Arial"/>
                <w:bCs/>
                <w:sz w:val="16"/>
                <w:szCs w:val="16"/>
              </w:rPr>
            </w:pPr>
            <w:r w:rsidRPr="00FF1946">
              <w:rPr>
                <w:rFonts w:ascii="Arial" w:hAnsi="Arial" w:cs="Arial"/>
                <w:bCs/>
                <w:sz w:val="16"/>
                <w:szCs w:val="16"/>
              </w:rPr>
              <w:t>180</w:t>
            </w:r>
          </w:p>
        </w:tc>
        <w:tc>
          <w:tcPr>
            <w:tcW w:w="896" w:type="dxa"/>
            <w:shd w:val="clear" w:color="auto" w:fill="auto"/>
            <w:vAlign w:val="center"/>
          </w:tcPr>
          <w:p w14:paraId="443BB081" w14:textId="77777777" w:rsidR="00FF1946" w:rsidRPr="00FF1946" w:rsidRDefault="00FF1946" w:rsidP="006D3143">
            <w:pPr>
              <w:overflowPunct w:val="0"/>
              <w:autoSpaceDE w:val="0"/>
              <w:autoSpaceDN w:val="0"/>
              <w:adjustRightInd w:val="0"/>
              <w:jc w:val="center"/>
              <w:textAlignment w:val="baseline"/>
              <w:rPr>
                <w:rFonts w:ascii="Arial" w:hAnsi="Arial" w:cs="Arial"/>
                <w:bCs/>
                <w:sz w:val="16"/>
                <w:szCs w:val="16"/>
              </w:rPr>
            </w:pPr>
            <w:r w:rsidRPr="00FF1946">
              <w:rPr>
                <w:rFonts w:ascii="Arial" w:hAnsi="Arial" w:cs="Arial"/>
                <w:bCs/>
                <w:sz w:val="16"/>
                <w:szCs w:val="16"/>
              </w:rPr>
              <w:t>4</w:t>
            </w:r>
          </w:p>
        </w:tc>
      </w:tr>
      <w:tr w:rsidR="00FF1946" w:rsidRPr="00FF1946" w14:paraId="386308D6" w14:textId="77777777" w:rsidTr="006D3143">
        <w:trPr>
          <w:trHeight w:val="20"/>
          <w:jc w:val="center"/>
        </w:trPr>
        <w:tc>
          <w:tcPr>
            <w:tcW w:w="2105" w:type="dxa"/>
            <w:vMerge/>
            <w:shd w:val="clear" w:color="auto" w:fill="auto"/>
            <w:vAlign w:val="center"/>
          </w:tcPr>
          <w:p w14:paraId="2F62DD9C" w14:textId="77777777" w:rsidR="00FF1946" w:rsidRPr="00FF1946" w:rsidRDefault="00FF1946" w:rsidP="006D3143">
            <w:pPr>
              <w:overflowPunct w:val="0"/>
              <w:autoSpaceDE w:val="0"/>
              <w:autoSpaceDN w:val="0"/>
              <w:adjustRightInd w:val="0"/>
              <w:jc w:val="center"/>
              <w:textAlignment w:val="baseline"/>
              <w:rPr>
                <w:rFonts w:ascii="Arial" w:hAnsi="Arial" w:cs="Arial"/>
                <w:bCs/>
                <w:sz w:val="16"/>
                <w:szCs w:val="16"/>
              </w:rPr>
            </w:pPr>
          </w:p>
        </w:tc>
        <w:tc>
          <w:tcPr>
            <w:tcW w:w="1795" w:type="dxa"/>
            <w:shd w:val="clear" w:color="auto" w:fill="auto"/>
            <w:vAlign w:val="center"/>
          </w:tcPr>
          <w:p w14:paraId="7EDC6CCE" w14:textId="77777777" w:rsidR="00FF1946" w:rsidRPr="00FF1946" w:rsidRDefault="00FF1946" w:rsidP="006D3143">
            <w:pPr>
              <w:overflowPunct w:val="0"/>
              <w:autoSpaceDE w:val="0"/>
              <w:autoSpaceDN w:val="0"/>
              <w:adjustRightInd w:val="0"/>
              <w:jc w:val="center"/>
              <w:textAlignment w:val="baseline"/>
              <w:rPr>
                <w:rFonts w:ascii="Arial" w:hAnsi="Arial" w:cs="Arial"/>
                <w:bCs/>
                <w:sz w:val="16"/>
                <w:szCs w:val="16"/>
              </w:rPr>
            </w:pPr>
            <w:r w:rsidRPr="00FF1946">
              <w:rPr>
                <w:rFonts w:ascii="Arial" w:hAnsi="Arial" w:cs="Arial"/>
                <w:bCs/>
                <w:sz w:val="16"/>
                <w:szCs w:val="16"/>
              </w:rPr>
              <w:t>FRF3</w:t>
            </w:r>
          </w:p>
        </w:tc>
        <w:tc>
          <w:tcPr>
            <w:tcW w:w="1406" w:type="dxa"/>
            <w:shd w:val="clear" w:color="auto" w:fill="auto"/>
            <w:vAlign w:val="center"/>
          </w:tcPr>
          <w:p w14:paraId="69471172" w14:textId="77777777" w:rsidR="00FF1946" w:rsidRPr="00FF1946" w:rsidRDefault="00FF1946" w:rsidP="006D3143">
            <w:pPr>
              <w:overflowPunct w:val="0"/>
              <w:autoSpaceDE w:val="0"/>
              <w:autoSpaceDN w:val="0"/>
              <w:adjustRightInd w:val="0"/>
              <w:jc w:val="center"/>
              <w:textAlignment w:val="baseline"/>
              <w:rPr>
                <w:rFonts w:ascii="Arial" w:hAnsi="Arial" w:cs="Arial"/>
                <w:bCs/>
                <w:sz w:val="16"/>
                <w:szCs w:val="16"/>
              </w:rPr>
            </w:pPr>
            <w:r w:rsidRPr="00FF1946">
              <w:rPr>
                <w:rFonts w:ascii="Arial" w:hAnsi="Arial" w:cs="Arial"/>
                <w:bCs/>
                <w:sz w:val="16"/>
                <w:szCs w:val="16"/>
              </w:rPr>
              <w:t>500</w:t>
            </w:r>
          </w:p>
        </w:tc>
        <w:tc>
          <w:tcPr>
            <w:tcW w:w="1277" w:type="dxa"/>
            <w:shd w:val="clear" w:color="auto" w:fill="auto"/>
            <w:vAlign w:val="center"/>
          </w:tcPr>
          <w:p w14:paraId="667530EE" w14:textId="77777777" w:rsidR="00FF1946" w:rsidRPr="00FF1946" w:rsidRDefault="00FF1946" w:rsidP="006D3143">
            <w:pPr>
              <w:overflowPunct w:val="0"/>
              <w:autoSpaceDE w:val="0"/>
              <w:autoSpaceDN w:val="0"/>
              <w:adjustRightInd w:val="0"/>
              <w:jc w:val="center"/>
              <w:textAlignment w:val="baseline"/>
              <w:rPr>
                <w:rFonts w:ascii="Arial" w:hAnsi="Arial" w:cs="Arial"/>
                <w:bCs/>
                <w:color w:val="FF0000"/>
                <w:sz w:val="16"/>
                <w:szCs w:val="16"/>
              </w:rPr>
            </w:pPr>
            <w:r w:rsidRPr="00FF1946">
              <w:rPr>
                <w:rFonts w:ascii="Arial" w:hAnsi="Arial" w:cs="Arial"/>
                <w:bCs/>
                <w:color w:val="FF0000"/>
                <w:sz w:val="16"/>
                <w:szCs w:val="16"/>
              </w:rPr>
              <w:t xml:space="preserve">27357 </w:t>
            </w:r>
            <w:r w:rsidRPr="00FF1946">
              <w:rPr>
                <w:rFonts w:ascii="Arial" w:hAnsi="Arial" w:cs="Arial"/>
                <w:bCs/>
                <w:dstrike/>
                <w:sz w:val="16"/>
                <w:szCs w:val="16"/>
              </w:rPr>
              <w:t>[28115]</w:t>
            </w:r>
          </w:p>
        </w:tc>
        <w:tc>
          <w:tcPr>
            <w:tcW w:w="1080" w:type="dxa"/>
            <w:shd w:val="clear" w:color="auto" w:fill="auto"/>
            <w:vAlign w:val="center"/>
          </w:tcPr>
          <w:p w14:paraId="38E31798" w14:textId="77777777" w:rsidR="00FF1946" w:rsidRPr="00FF1946" w:rsidRDefault="00FF1946" w:rsidP="006D3143">
            <w:pPr>
              <w:overflowPunct w:val="0"/>
              <w:autoSpaceDE w:val="0"/>
              <w:autoSpaceDN w:val="0"/>
              <w:adjustRightInd w:val="0"/>
              <w:jc w:val="center"/>
              <w:textAlignment w:val="baseline"/>
              <w:rPr>
                <w:rFonts w:ascii="Arial" w:hAnsi="Arial" w:cs="Arial"/>
                <w:bCs/>
                <w:sz w:val="16"/>
                <w:szCs w:val="16"/>
              </w:rPr>
            </w:pPr>
            <w:r w:rsidRPr="00FF1946">
              <w:rPr>
                <w:rFonts w:ascii="Arial" w:hAnsi="Arial" w:cs="Arial"/>
                <w:bCs/>
                <w:sz w:val="16"/>
                <w:szCs w:val="16"/>
              </w:rPr>
              <w:t>540</w:t>
            </w:r>
          </w:p>
        </w:tc>
        <w:tc>
          <w:tcPr>
            <w:tcW w:w="896" w:type="dxa"/>
            <w:shd w:val="clear" w:color="auto" w:fill="auto"/>
            <w:vAlign w:val="center"/>
          </w:tcPr>
          <w:p w14:paraId="7B0CE2BB" w14:textId="77777777" w:rsidR="00FF1946" w:rsidRPr="00FF1946" w:rsidRDefault="00FF1946" w:rsidP="006D3143">
            <w:pPr>
              <w:overflowPunct w:val="0"/>
              <w:autoSpaceDE w:val="0"/>
              <w:autoSpaceDN w:val="0"/>
              <w:adjustRightInd w:val="0"/>
              <w:jc w:val="center"/>
              <w:textAlignment w:val="baseline"/>
              <w:rPr>
                <w:rFonts w:ascii="Arial" w:hAnsi="Arial" w:cs="Arial"/>
                <w:bCs/>
                <w:sz w:val="16"/>
                <w:szCs w:val="16"/>
              </w:rPr>
            </w:pPr>
            <w:r w:rsidRPr="00FF1946">
              <w:rPr>
                <w:rFonts w:ascii="Arial" w:hAnsi="Arial" w:cs="Arial"/>
                <w:bCs/>
                <w:sz w:val="16"/>
                <w:szCs w:val="16"/>
              </w:rPr>
              <w:t>4</w:t>
            </w:r>
          </w:p>
        </w:tc>
      </w:tr>
      <w:tr w:rsidR="00FF1946" w:rsidRPr="00FF1946" w14:paraId="12E5C191" w14:textId="77777777" w:rsidTr="006D3143">
        <w:trPr>
          <w:trHeight w:val="20"/>
          <w:jc w:val="center"/>
        </w:trPr>
        <w:tc>
          <w:tcPr>
            <w:tcW w:w="2105" w:type="dxa"/>
            <w:vMerge w:val="restart"/>
            <w:shd w:val="clear" w:color="auto" w:fill="auto"/>
            <w:vAlign w:val="center"/>
          </w:tcPr>
          <w:p w14:paraId="4A56B89B" w14:textId="77777777" w:rsidR="00FF1946" w:rsidRPr="00FF1946" w:rsidRDefault="00FF1946" w:rsidP="006D3143">
            <w:pPr>
              <w:overflowPunct w:val="0"/>
              <w:autoSpaceDE w:val="0"/>
              <w:autoSpaceDN w:val="0"/>
              <w:adjustRightInd w:val="0"/>
              <w:jc w:val="center"/>
              <w:textAlignment w:val="baseline"/>
              <w:rPr>
                <w:rFonts w:ascii="Arial" w:hAnsi="Arial" w:cs="Arial"/>
                <w:bCs/>
                <w:sz w:val="16"/>
                <w:szCs w:val="16"/>
              </w:rPr>
            </w:pPr>
            <w:r w:rsidRPr="00FF1946">
              <w:rPr>
                <w:rFonts w:ascii="Arial" w:hAnsi="Arial" w:cs="Arial"/>
                <w:bCs/>
                <w:sz w:val="16"/>
                <w:szCs w:val="16"/>
              </w:rPr>
              <w:t>1 message/2 hours/device</w:t>
            </w:r>
          </w:p>
        </w:tc>
        <w:tc>
          <w:tcPr>
            <w:tcW w:w="1795" w:type="dxa"/>
            <w:shd w:val="clear" w:color="auto" w:fill="auto"/>
            <w:vAlign w:val="center"/>
          </w:tcPr>
          <w:p w14:paraId="7BF4FB5B" w14:textId="77777777" w:rsidR="00FF1946" w:rsidRPr="00FF1946" w:rsidRDefault="00FF1946" w:rsidP="006D3143">
            <w:pPr>
              <w:overflowPunct w:val="0"/>
              <w:autoSpaceDE w:val="0"/>
              <w:autoSpaceDN w:val="0"/>
              <w:adjustRightInd w:val="0"/>
              <w:jc w:val="center"/>
              <w:textAlignment w:val="baseline"/>
              <w:rPr>
                <w:rFonts w:ascii="Arial" w:hAnsi="Arial" w:cs="Arial"/>
                <w:bCs/>
                <w:sz w:val="16"/>
                <w:szCs w:val="16"/>
              </w:rPr>
            </w:pPr>
            <w:r w:rsidRPr="00FF1946">
              <w:rPr>
                <w:rFonts w:ascii="Arial" w:hAnsi="Arial" w:cs="Arial"/>
                <w:bCs/>
                <w:sz w:val="16"/>
                <w:szCs w:val="16"/>
              </w:rPr>
              <w:t>FRF1</w:t>
            </w:r>
          </w:p>
        </w:tc>
        <w:tc>
          <w:tcPr>
            <w:tcW w:w="1406" w:type="dxa"/>
            <w:shd w:val="clear" w:color="auto" w:fill="auto"/>
            <w:vAlign w:val="center"/>
          </w:tcPr>
          <w:p w14:paraId="005BC53A" w14:textId="77777777" w:rsidR="00FF1946" w:rsidRPr="00FF1946" w:rsidRDefault="00FF1946" w:rsidP="006D3143">
            <w:pPr>
              <w:overflowPunct w:val="0"/>
              <w:autoSpaceDE w:val="0"/>
              <w:autoSpaceDN w:val="0"/>
              <w:adjustRightInd w:val="0"/>
              <w:jc w:val="center"/>
              <w:textAlignment w:val="baseline"/>
              <w:rPr>
                <w:rFonts w:ascii="Arial" w:hAnsi="Arial" w:cs="Arial"/>
                <w:bCs/>
                <w:sz w:val="16"/>
                <w:szCs w:val="16"/>
              </w:rPr>
            </w:pPr>
            <w:r w:rsidRPr="00FF1946">
              <w:rPr>
                <w:rFonts w:ascii="Arial" w:hAnsi="Arial" w:cs="Arial"/>
                <w:bCs/>
                <w:sz w:val="16"/>
                <w:szCs w:val="16"/>
              </w:rPr>
              <w:t>500</w:t>
            </w:r>
          </w:p>
        </w:tc>
        <w:tc>
          <w:tcPr>
            <w:tcW w:w="1277" w:type="dxa"/>
            <w:shd w:val="clear" w:color="auto" w:fill="auto"/>
            <w:vAlign w:val="center"/>
          </w:tcPr>
          <w:p w14:paraId="5BA9FC97" w14:textId="77777777" w:rsidR="00FF1946" w:rsidRPr="00FF1946" w:rsidRDefault="00FF1946" w:rsidP="006D3143">
            <w:pPr>
              <w:overflowPunct w:val="0"/>
              <w:autoSpaceDE w:val="0"/>
              <w:autoSpaceDN w:val="0"/>
              <w:adjustRightInd w:val="0"/>
              <w:jc w:val="center"/>
              <w:textAlignment w:val="baseline"/>
              <w:rPr>
                <w:rFonts w:ascii="Arial" w:hAnsi="Arial" w:cs="Arial"/>
                <w:bCs/>
                <w:dstrike/>
                <w:color w:val="FF0000"/>
                <w:sz w:val="16"/>
                <w:szCs w:val="16"/>
              </w:rPr>
            </w:pPr>
            <w:r w:rsidRPr="00FF1946">
              <w:rPr>
                <w:rFonts w:ascii="Arial" w:hAnsi="Arial" w:cs="Arial"/>
                <w:bCs/>
                <w:color w:val="FF0000"/>
                <w:sz w:val="16"/>
                <w:szCs w:val="16"/>
              </w:rPr>
              <w:t xml:space="preserve">600 </w:t>
            </w:r>
            <w:r w:rsidRPr="00FF1946">
              <w:rPr>
                <w:rFonts w:ascii="Arial" w:hAnsi="Arial" w:cs="Arial"/>
                <w:bCs/>
                <w:dstrike/>
                <w:sz w:val="16"/>
                <w:szCs w:val="16"/>
              </w:rPr>
              <w:t>[611]</w:t>
            </w:r>
          </w:p>
        </w:tc>
        <w:tc>
          <w:tcPr>
            <w:tcW w:w="1080" w:type="dxa"/>
            <w:shd w:val="clear" w:color="auto" w:fill="auto"/>
            <w:vAlign w:val="center"/>
          </w:tcPr>
          <w:p w14:paraId="234C0161" w14:textId="77777777" w:rsidR="00FF1946" w:rsidRPr="00FF1946" w:rsidRDefault="00FF1946" w:rsidP="006D3143">
            <w:pPr>
              <w:overflowPunct w:val="0"/>
              <w:autoSpaceDE w:val="0"/>
              <w:autoSpaceDN w:val="0"/>
              <w:adjustRightInd w:val="0"/>
              <w:jc w:val="center"/>
              <w:textAlignment w:val="baseline"/>
              <w:rPr>
                <w:rFonts w:ascii="Arial" w:hAnsi="Arial" w:cs="Arial"/>
                <w:bCs/>
                <w:sz w:val="16"/>
                <w:szCs w:val="16"/>
              </w:rPr>
            </w:pPr>
            <w:r w:rsidRPr="00FF1946">
              <w:rPr>
                <w:rFonts w:ascii="Arial" w:hAnsi="Arial" w:cs="Arial"/>
                <w:bCs/>
                <w:sz w:val="16"/>
                <w:szCs w:val="16"/>
              </w:rPr>
              <w:t>180</w:t>
            </w:r>
          </w:p>
        </w:tc>
        <w:tc>
          <w:tcPr>
            <w:tcW w:w="896" w:type="dxa"/>
            <w:shd w:val="clear" w:color="auto" w:fill="auto"/>
            <w:vAlign w:val="center"/>
          </w:tcPr>
          <w:p w14:paraId="35DDA3E8" w14:textId="77777777" w:rsidR="00FF1946" w:rsidRPr="00FF1946" w:rsidRDefault="00FF1946" w:rsidP="006D3143">
            <w:pPr>
              <w:overflowPunct w:val="0"/>
              <w:autoSpaceDE w:val="0"/>
              <w:autoSpaceDN w:val="0"/>
              <w:adjustRightInd w:val="0"/>
              <w:jc w:val="center"/>
              <w:textAlignment w:val="baseline"/>
              <w:rPr>
                <w:rFonts w:ascii="Arial" w:hAnsi="Arial" w:cs="Arial"/>
                <w:bCs/>
                <w:sz w:val="16"/>
                <w:szCs w:val="16"/>
              </w:rPr>
            </w:pPr>
            <w:r w:rsidRPr="00FF1946">
              <w:rPr>
                <w:rFonts w:ascii="Arial" w:hAnsi="Arial" w:cs="Arial"/>
                <w:bCs/>
                <w:sz w:val="16"/>
                <w:szCs w:val="16"/>
              </w:rPr>
              <w:t>4</w:t>
            </w:r>
          </w:p>
        </w:tc>
      </w:tr>
      <w:tr w:rsidR="00FF1946" w:rsidRPr="00FF1946" w14:paraId="7CE9A81E" w14:textId="77777777" w:rsidTr="006D3143">
        <w:trPr>
          <w:trHeight w:val="20"/>
          <w:jc w:val="center"/>
        </w:trPr>
        <w:tc>
          <w:tcPr>
            <w:tcW w:w="2105" w:type="dxa"/>
            <w:vMerge/>
            <w:shd w:val="clear" w:color="auto" w:fill="auto"/>
            <w:vAlign w:val="center"/>
          </w:tcPr>
          <w:p w14:paraId="133F99B1" w14:textId="77777777" w:rsidR="00FF1946" w:rsidRPr="00FF1946" w:rsidRDefault="00FF1946" w:rsidP="006D3143">
            <w:pPr>
              <w:overflowPunct w:val="0"/>
              <w:autoSpaceDE w:val="0"/>
              <w:autoSpaceDN w:val="0"/>
              <w:adjustRightInd w:val="0"/>
              <w:jc w:val="center"/>
              <w:textAlignment w:val="baseline"/>
              <w:rPr>
                <w:rFonts w:ascii="Arial" w:hAnsi="Arial" w:cs="Arial"/>
                <w:bCs/>
                <w:sz w:val="16"/>
                <w:szCs w:val="16"/>
              </w:rPr>
            </w:pPr>
          </w:p>
        </w:tc>
        <w:tc>
          <w:tcPr>
            <w:tcW w:w="1795" w:type="dxa"/>
            <w:shd w:val="clear" w:color="auto" w:fill="auto"/>
            <w:vAlign w:val="center"/>
          </w:tcPr>
          <w:p w14:paraId="09F7CFC1" w14:textId="77777777" w:rsidR="00FF1946" w:rsidRPr="00FF1946" w:rsidRDefault="00FF1946" w:rsidP="006D3143">
            <w:pPr>
              <w:overflowPunct w:val="0"/>
              <w:autoSpaceDE w:val="0"/>
              <w:autoSpaceDN w:val="0"/>
              <w:adjustRightInd w:val="0"/>
              <w:jc w:val="center"/>
              <w:textAlignment w:val="baseline"/>
              <w:rPr>
                <w:rFonts w:ascii="Arial" w:hAnsi="Arial" w:cs="Arial"/>
                <w:bCs/>
                <w:sz w:val="16"/>
                <w:szCs w:val="16"/>
              </w:rPr>
            </w:pPr>
            <w:r w:rsidRPr="00FF1946">
              <w:rPr>
                <w:rFonts w:ascii="Arial" w:hAnsi="Arial" w:cs="Arial"/>
                <w:bCs/>
                <w:sz w:val="16"/>
                <w:szCs w:val="16"/>
              </w:rPr>
              <w:t>FRF3</w:t>
            </w:r>
          </w:p>
        </w:tc>
        <w:tc>
          <w:tcPr>
            <w:tcW w:w="1406" w:type="dxa"/>
            <w:shd w:val="clear" w:color="auto" w:fill="auto"/>
            <w:vAlign w:val="center"/>
          </w:tcPr>
          <w:p w14:paraId="02E9D84A" w14:textId="77777777" w:rsidR="00FF1946" w:rsidRPr="00FF1946" w:rsidRDefault="00FF1946" w:rsidP="006D3143">
            <w:pPr>
              <w:overflowPunct w:val="0"/>
              <w:autoSpaceDE w:val="0"/>
              <w:autoSpaceDN w:val="0"/>
              <w:adjustRightInd w:val="0"/>
              <w:jc w:val="center"/>
              <w:textAlignment w:val="baseline"/>
              <w:rPr>
                <w:rFonts w:ascii="Arial" w:hAnsi="Arial" w:cs="Arial"/>
                <w:bCs/>
                <w:sz w:val="16"/>
                <w:szCs w:val="16"/>
              </w:rPr>
            </w:pPr>
            <w:r w:rsidRPr="00FF1946">
              <w:rPr>
                <w:rFonts w:ascii="Arial" w:hAnsi="Arial" w:cs="Arial"/>
                <w:bCs/>
                <w:sz w:val="16"/>
                <w:szCs w:val="16"/>
              </w:rPr>
              <w:t>500</w:t>
            </w:r>
          </w:p>
        </w:tc>
        <w:tc>
          <w:tcPr>
            <w:tcW w:w="1277" w:type="dxa"/>
            <w:shd w:val="clear" w:color="auto" w:fill="auto"/>
            <w:vAlign w:val="center"/>
          </w:tcPr>
          <w:p w14:paraId="601B32B2" w14:textId="77777777" w:rsidR="00FF1946" w:rsidRPr="00FF1946" w:rsidRDefault="00FF1946" w:rsidP="006D3143">
            <w:pPr>
              <w:overflowPunct w:val="0"/>
              <w:autoSpaceDE w:val="0"/>
              <w:autoSpaceDN w:val="0"/>
              <w:adjustRightInd w:val="0"/>
              <w:jc w:val="center"/>
              <w:textAlignment w:val="baseline"/>
              <w:rPr>
                <w:rFonts w:ascii="Arial" w:hAnsi="Arial" w:cs="Arial"/>
                <w:bCs/>
                <w:color w:val="FF0000"/>
                <w:sz w:val="16"/>
                <w:szCs w:val="16"/>
              </w:rPr>
            </w:pPr>
            <w:r w:rsidRPr="00FF1946">
              <w:rPr>
                <w:rFonts w:ascii="Arial" w:hAnsi="Arial" w:cs="Arial"/>
                <w:bCs/>
                <w:color w:val="FF0000"/>
                <w:sz w:val="16"/>
                <w:szCs w:val="16"/>
              </w:rPr>
              <w:t>2277</w:t>
            </w:r>
          </w:p>
          <w:p w14:paraId="0E74D021" w14:textId="77777777" w:rsidR="00FF1946" w:rsidRPr="00FF1946" w:rsidRDefault="00FF1946" w:rsidP="006D3143">
            <w:pPr>
              <w:overflowPunct w:val="0"/>
              <w:autoSpaceDE w:val="0"/>
              <w:autoSpaceDN w:val="0"/>
              <w:adjustRightInd w:val="0"/>
              <w:jc w:val="center"/>
              <w:textAlignment w:val="baseline"/>
              <w:rPr>
                <w:rFonts w:ascii="Arial" w:hAnsi="Arial" w:cs="Arial"/>
                <w:bCs/>
                <w:dstrike/>
                <w:color w:val="FF0000"/>
                <w:sz w:val="16"/>
                <w:szCs w:val="16"/>
              </w:rPr>
            </w:pPr>
            <w:r w:rsidRPr="00FF1946">
              <w:rPr>
                <w:rFonts w:ascii="Arial" w:hAnsi="Arial" w:cs="Arial"/>
                <w:bCs/>
                <w:dstrike/>
                <w:sz w:val="16"/>
                <w:szCs w:val="16"/>
              </w:rPr>
              <w:t>[2340]</w:t>
            </w:r>
          </w:p>
        </w:tc>
        <w:tc>
          <w:tcPr>
            <w:tcW w:w="1080" w:type="dxa"/>
            <w:shd w:val="clear" w:color="auto" w:fill="auto"/>
            <w:vAlign w:val="center"/>
          </w:tcPr>
          <w:p w14:paraId="326136F7" w14:textId="77777777" w:rsidR="00FF1946" w:rsidRPr="00FF1946" w:rsidRDefault="00FF1946" w:rsidP="006D3143">
            <w:pPr>
              <w:overflowPunct w:val="0"/>
              <w:autoSpaceDE w:val="0"/>
              <w:autoSpaceDN w:val="0"/>
              <w:adjustRightInd w:val="0"/>
              <w:jc w:val="center"/>
              <w:textAlignment w:val="baseline"/>
              <w:rPr>
                <w:rFonts w:ascii="Arial" w:hAnsi="Arial" w:cs="Arial"/>
                <w:bCs/>
                <w:sz w:val="16"/>
                <w:szCs w:val="16"/>
              </w:rPr>
            </w:pPr>
            <w:r w:rsidRPr="00FF1946">
              <w:rPr>
                <w:rFonts w:ascii="Arial" w:hAnsi="Arial" w:cs="Arial"/>
                <w:bCs/>
                <w:sz w:val="16"/>
                <w:szCs w:val="16"/>
              </w:rPr>
              <w:t>540</w:t>
            </w:r>
          </w:p>
        </w:tc>
        <w:tc>
          <w:tcPr>
            <w:tcW w:w="896" w:type="dxa"/>
            <w:shd w:val="clear" w:color="auto" w:fill="auto"/>
            <w:vAlign w:val="center"/>
          </w:tcPr>
          <w:p w14:paraId="56866551" w14:textId="77777777" w:rsidR="00FF1946" w:rsidRPr="00FF1946" w:rsidRDefault="00FF1946" w:rsidP="006D3143">
            <w:pPr>
              <w:overflowPunct w:val="0"/>
              <w:autoSpaceDE w:val="0"/>
              <w:autoSpaceDN w:val="0"/>
              <w:adjustRightInd w:val="0"/>
              <w:jc w:val="center"/>
              <w:textAlignment w:val="baseline"/>
              <w:rPr>
                <w:rFonts w:ascii="Arial" w:hAnsi="Arial" w:cs="Arial"/>
                <w:bCs/>
                <w:sz w:val="16"/>
                <w:szCs w:val="16"/>
              </w:rPr>
            </w:pPr>
            <w:r w:rsidRPr="00FF1946">
              <w:rPr>
                <w:rFonts w:ascii="Arial" w:hAnsi="Arial" w:cs="Arial"/>
                <w:bCs/>
                <w:sz w:val="16"/>
                <w:szCs w:val="16"/>
              </w:rPr>
              <w:t>4</w:t>
            </w:r>
          </w:p>
        </w:tc>
      </w:tr>
    </w:tbl>
    <w:p w14:paraId="7524A93A" w14:textId="77777777" w:rsidR="00FF1946" w:rsidRPr="00FF1946" w:rsidRDefault="00FF1946" w:rsidP="00FF1946">
      <w:pPr>
        <w:rPr>
          <w:bCs/>
        </w:rPr>
      </w:pPr>
    </w:p>
    <w:p w14:paraId="1A7D124E" w14:textId="77777777" w:rsidR="00FF1946" w:rsidRPr="00FF1946" w:rsidRDefault="00FF1946" w:rsidP="00FF1946">
      <w:pPr>
        <w:rPr>
          <w:lang w:eastAsia="x-none"/>
        </w:rPr>
      </w:pPr>
      <w:r w:rsidRPr="00FF1946">
        <w:rPr>
          <w:highlight w:val="green"/>
          <w:lang w:eastAsia="x-none"/>
        </w:rPr>
        <w:t>Agreement</w:t>
      </w:r>
    </w:p>
    <w:p w14:paraId="4B33F41B" w14:textId="560F7B76" w:rsidR="00FF1946" w:rsidRPr="00FF1946" w:rsidRDefault="00FF1946" w:rsidP="00FF1946">
      <w:pPr>
        <w:rPr>
          <w:bCs/>
        </w:rPr>
      </w:pPr>
      <w:r w:rsidRPr="00FF1946">
        <w:rPr>
          <w:bCs/>
        </w:rPr>
        <w:t>Adopt the TP for clause 4.8 of TR 37.911 on Energy efficiency evaluation in NR satellite access provided within the attached document (Attachment: Att  TP for TR37.911- Energy efficiency)</w:t>
      </w:r>
      <w:r w:rsidR="006D3143">
        <w:rPr>
          <w:bCs/>
        </w:rPr>
        <w:t>.</w:t>
      </w:r>
    </w:p>
    <w:p w14:paraId="23288B60" w14:textId="77777777" w:rsidR="00FF1946" w:rsidRDefault="00FF1946" w:rsidP="00FF1946">
      <w:pPr>
        <w:rPr>
          <w:lang w:eastAsia="x-none"/>
        </w:rPr>
      </w:pPr>
    </w:p>
    <w:p w14:paraId="2B8F7340" w14:textId="77777777" w:rsidR="00FF1946" w:rsidRPr="00FF1946" w:rsidRDefault="00FF1946" w:rsidP="00FF1946">
      <w:pPr>
        <w:rPr>
          <w:lang w:eastAsia="x-none"/>
        </w:rPr>
      </w:pPr>
    </w:p>
    <w:p w14:paraId="6F86FBC1" w14:textId="7BA52E4D" w:rsidR="00FF1946" w:rsidRPr="00531E43" w:rsidRDefault="005A18DC" w:rsidP="00FF1946">
      <w:pPr>
        <w:rPr>
          <w:b/>
          <w:bCs/>
          <w:lang w:eastAsia="x-none"/>
        </w:rPr>
      </w:pPr>
      <w:hyperlink r:id="rId1965" w:history="1">
        <w:r w:rsidR="00AF7253">
          <w:rPr>
            <w:rStyle w:val="Hyperlink"/>
            <w:b/>
            <w:bCs/>
            <w:lang w:eastAsia="x-none"/>
          </w:rPr>
          <w:t>R1-2310942</w:t>
        </w:r>
      </w:hyperlink>
      <w:r w:rsidR="00FF1946" w:rsidRPr="00531E43">
        <w:rPr>
          <w:b/>
          <w:bCs/>
          <w:lang w:eastAsia="x-none"/>
        </w:rPr>
        <w:tab/>
        <w:t>Feature Lead Summary#2 on self-evaluation results for NR NTN</w:t>
      </w:r>
      <w:r w:rsidR="00FF1946" w:rsidRPr="00531E43">
        <w:rPr>
          <w:b/>
          <w:bCs/>
          <w:lang w:eastAsia="x-none"/>
        </w:rPr>
        <w:tab/>
        <w:t>Moderator (THALES)</w:t>
      </w:r>
    </w:p>
    <w:p w14:paraId="20B6BFD9" w14:textId="233D1CD8" w:rsidR="00FF1946" w:rsidRDefault="00531E43" w:rsidP="00F74A6F">
      <w:pPr>
        <w:rPr>
          <w:lang w:eastAsia="x-none"/>
        </w:rPr>
      </w:pPr>
      <w:r>
        <w:rPr>
          <w:lang w:eastAsia="x-none"/>
        </w:rPr>
        <w:t>From Friday session</w:t>
      </w:r>
    </w:p>
    <w:p w14:paraId="743B6DD0" w14:textId="77777777" w:rsidR="00531E43" w:rsidRDefault="00531E43" w:rsidP="00531E43">
      <w:pPr>
        <w:rPr>
          <w:lang w:eastAsia="x-none"/>
        </w:rPr>
      </w:pPr>
      <w:r w:rsidRPr="00554AAE">
        <w:rPr>
          <w:highlight w:val="green"/>
          <w:lang w:eastAsia="x-none"/>
        </w:rPr>
        <w:t>Agreement</w:t>
      </w:r>
    </w:p>
    <w:p w14:paraId="26F0C0CC" w14:textId="1D35491B" w:rsidR="00531E43" w:rsidRPr="00FE1A99" w:rsidRDefault="00531E43" w:rsidP="00531E43">
      <w:pPr>
        <w:rPr>
          <w:lang w:eastAsia="x-none"/>
        </w:rPr>
      </w:pPr>
      <w:r>
        <w:rPr>
          <w:lang w:eastAsia="x-none"/>
        </w:rPr>
        <w:t xml:space="preserve">The proposals in section 12 of </w:t>
      </w:r>
      <w:hyperlink r:id="rId1966" w:history="1">
        <w:r w:rsidR="00AF7253">
          <w:rPr>
            <w:rStyle w:val="Hyperlink"/>
            <w:lang w:eastAsia="x-none"/>
          </w:rPr>
          <w:t>R1-2310942</w:t>
        </w:r>
      </w:hyperlink>
      <w:r>
        <w:rPr>
          <w:lang w:eastAsia="x-none"/>
        </w:rPr>
        <w:t xml:space="preserve"> are agreed.</w:t>
      </w:r>
    </w:p>
    <w:p w14:paraId="79698F82" w14:textId="77777777" w:rsidR="00F74A6F" w:rsidRPr="009537ED" w:rsidRDefault="00F74A6F" w:rsidP="00FF1946">
      <w:pPr>
        <w:pStyle w:val="Heading3"/>
      </w:pPr>
      <w:bookmarkStart w:id="791" w:name="_Toc150174502"/>
      <w:bookmarkStart w:id="792" w:name="_Toc159251044"/>
      <w:r w:rsidRPr="009537ED">
        <w:t>Self-evaluation results for IoT NTN</w:t>
      </w:r>
      <w:bookmarkEnd w:id="791"/>
      <w:bookmarkEnd w:id="792"/>
    </w:p>
    <w:p w14:paraId="61B35CF8" w14:textId="28BEC3DD" w:rsidR="00F74A6F" w:rsidRPr="009537ED" w:rsidRDefault="005A18DC" w:rsidP="00F74A6F">
      <w:pPr>
        <w:rPr>
          <w:lang w:eastAsia="x-none"/>
        </w:rPr>
      </w:pPr>
      <w:hyperlink r:id="rId1967" w:history="1">
        <w:r w:rsidR="00AF7253">
          <w:rPr>
            <w:rStyle w:val="Hyperlink"/>
            <w:lang w:eastAsia="x-none"/>
          </w:rPr>
          <w:t>R1-2311206</w:t>
        </w:r>
      </w:hyperlink>
      <w:r w:rsidR="00F74A6F" w:rsidRPr="009537ED">
        <w:rPr>
          <w:lang w:eastAsia="x-none"/>
        </w:rPr>
        <w:tab/>
        <w:t>Discussion on the Self-evaluation results for IoT NTN</w:t>
      </w:r>
      <w:r w:rsidR="00F74A6F" w:rsidRPr="009537ED">
        <w:rPr>
          <w:lang w:eastAsia="x-none"/>
        </w:rPr>
        <w:tab/>
        <w:t>ZTE</w:t>
      </w:r>
    </w:p>
    <w:p w14:paraId="390281EB" w14:textId="670A4ECB" w:rsidR="00F74A6F" w:rsidRPr="009537ED" w:rsidRDefault="005A18DC" w:rsidP="00F74A6F">
      <w:pPr>
        <w:rPr>
          <w:lang w:eastAsia="x-none"/>
        </w:rPr>
      </w:pPr>
      <w:hyperlink r:id="rId1968" w:history="1">
        <w:r w:rsidR="00AF7253">
          <w:rPr>
            <w:rStyle w:val="Hyperlink"/>
            <w:lang w:eastAsia="x-none"/>
          </w:rPr>
          <w:t>R1-2311259</w:t>
        </w:r>
      </w:hyperlink>
      <w:r w:rsidR="00F74A6F" w:rsidRPr="009537ED">
        <w:rPr>
          <w:lang w:eastAsia="x-none"/>
        </w:rPr>
        <w:tab/>
        <w:t>Self-evaluation results for IoT NTN</w:t>
      </w:r>
      <w:r w:rsidR="00F74A6F" w:rsidRPr="009537ED">
        <w:rPr>
          <w:lang w:eastAsia="x-none"/>
        </w:rPr>
        <w:tab/>
        <w:t>OPPO</w:t>
      </w:r>
    </w:p>
    <w:p w14:paraId="303ED676" w14:textId="3D4358DA" w:rsidR="00F74A6F" w:rsidRPr="009537ED" w:rsidRDefault="005A18DC" w:rsidP="00F74A6F">
      <w:pPr>
        <w:rPr>
          <w:lang w:eastAsia="x-none"/>
        </w:rPr>
      </w:pPr>
      <w:hyperlink r:id="rId1969" w:history="1">
        <w:r w:rsidR="00AF7253">
          <w:rPr>
            <w:rStyle w:val="Hyperlink"/>
            <w:lang w:eastAsia="x-none"/>
          </w:rPr>
          <w:t>R1-2312002</w:t>
        </w:r>
      </w:hyperlink>
      <w:r w:rsidR="00F74A6F" w:rsidRPr="009537ED">
        <w:rPr>
          <w:lang w:eastAsia="x-none"/>
        </w:rPr>
        <w:tab/>
        <w:t>Evaluation results for IoT NTN Connection Density</w:t>
      </w:r>
      <w:r w:rsidR="00F74A6F" w:rsidRPr="009537ED">
        <w:rPr>
          <w:lang w:eastAsia="x-none"/>
        </w:rPr>
        <w:tab/>
        <w:t>MediaTek Inc.</w:t>
      </w:r>
    </w:p>
    <w:p w14:paraId="75B62848" w14:textId="73966340" w:rsidR="00F74A6F" w:rsidRPr="009537ED" w:rsidRDefault="005A18DC" w:rsidP="00F74A6F">
      <w:pPr>
        <w:rPr>
          <w:lang w:eastAsia="x-none"/>
        </w:rPr>
      </w:pPr>
      <w:hyperlink r:id="rId1970" w:history="1">
        <w:r w:rsidR="00AF7253">
          <w:rPr>
            <w:rStyle w:val="Hyperlink"/>
            <w:lang w:eastAsia="x-none"/>
          </w:rPr>
          <w:t>R1-2312060</w:t>
        </w:r>
      </w:hyperlink>
      <w:r w:rsidR="00F74A6F" w:rsidRPr="009537ED">
        <w:rPr>
          <w:lang w:eastAsia="x-none"/>
        </w:rPr>
        <w:tab/>
        <w:t>Self-evaluation results for IOT NTN</w:t>
      </w:r>
      <w:r w:rsidR="00F74A6F" w:rsidRPr="009537ED">
        <w:rPr>
          <w:lang w:eastAsia="x-none"/>
        </w:rPr>
        <w:tab/>
        <w:t>Qualcomm Incorporated</w:t>
      </w:r>
    </w:p>
    <w:p w14:paraId="683453EE" w14:textId="5D93C947" w:rsidR="00F74A6F" w:rsidRDefault="005A18DC" w:rsidP="00F74A6F">
      <w:pPr>
        <w:rPr>
          <w:lang w:eastAsia="x-none"/>
        </w:rPr>
      </w:pPr>
      <w:hyperlink r:id="rId1971" w:history="1">
        <w:r w:rsidR="00AF7253">
          <w:rPr>
            <w:rStyle w:val="Hyperlink"/>
            <w:lang w:eastAsia="x-none"/>
          </w:rPr>
          <w:t>R1-2312150</w:t>
        </w:r>
      </w:hyperlink>
      <w:r w:rsidR="00F74A6F" w:rsidRPr="009537ED">
        <w:rPr>
          <w:lang w:eastAsia="x-none"/>
        </w:rPr>
        <w:tab/>
        <w:t>Self-evaluation results for IoT NTN</w:t>
      </w:r>
      <w:r w:rsidR="00F74A6F" w:rsidRPr="009537ED">
        <w:rPr>
          <w:lang w:eastAsia="x-none"/>
        </w:rPr>
        <w:tab/>
        <w:t>Huawei, HiSilicon</w:t>
      </w:r>
    </w:p>
    <w:p w14:paraId="2921F229" w14:textId="77777777" w:rsidR="00FF1946" w:rsidRDefault="00FF1946" w:rsidP="00F74A6F">
      <w:pPr>
        <w:rPr>
          <w:lang w:eastAsia="x-none"/>
        </w:rPr>
      </w:pPr>
    </w:p>
    <w:p w14:paraId="6B666022" w14:textId="3F8D0973" w:rsidR="00FF1946" w:rsidRDefault="005A18DC" w:rsidP="00FF1946">
      <w:pPr>
        <w:rPr>
          <w:b/>
          <w:lang w:eastAsia="x-none"/>
        </w:rPr>
      </w:pPr>
      <w:hyperlink r:id="rId1972" w:history="1">
        <w:r w:rsidR="00AF7253">
          <w:rPr>
            <w:rStyle w:val="Hyperlink"/>
            <w:b/>
            <w:lang w:eastAsia="x-none"/>
          </w:rPr>
          <w:t>R1-2312419</w:t>
        </w:r>
      </w:hyperlink>
      <w:r w:rsidR="006D3143" w:rsidRPr="006D3143">
        <w:rPr>
          <w:b/>
          <w:lang w:eastAsia="x-none"/>
        </w:rPr>
        <w:tab/>
        <w:t>Feature Lead summary for 8.15.3: Self-Evaluation Results for IoT NTN</w:t>
      </w:r>
      <w:r w:rsidR="006D3143" w:rsidRPr="006D3143">
        <w:rPr>
          <w:b/>
          <w:lang w:eastAsia="x-none"/>
        </w:rPr>
        <w:tab/>
        <w:t>Moderator (MediaTek)</w:t>
      </w:r>
    </w:p>
    <w:p w14:paraId="6A6EF452" w14:textId="7B987816" w:rsidR="006D3143" w:rsidRPr="00FF1946" w:rsidRDefault="006D3143" w:rsidP="00FF1946">
      <w:pPr>
        <w:rPr>
          <w:bCs/>
          <w:lang w:eastAsia="x-none"/>
        </w:rPr>
      </w:pPr>
      <w:r w:rsidRPr="006D3143">
        <w:rPr>
          <w:bCs/>
          <w:lang w:eastAsia="x-none"/>
        </w:rPr>
        <w:t>From Tuesday session</w:t>
      </w:r>
    </w:p>
    <w:p w14:paraId="6DAF156C" w14:textId="77777777" w:rsidR="00FF1946" w:rsidRPr="00FF1946" w:rsidRDefault="00FF1946" w:rsidP="006D3143">
      <w:pPr>
        <w:overflowPunct w:val="0"/>
        <w:autoSpaceDE w:val="0"/>
        <w:autoSpaceDN w:val="0"/>
        <w:adjustRightInd w:val="0"/>
        <w:textAlignment w:val="baseline"/>
        <w:rPr>
          <w:rFonts w:ascii="Times New Roman" w:hAnsi="Times New Roman"/>
          <w:szCs w:val="20"/>
          <w:lang w:val="en-US" w:eastAsia="zh-CN"/>
        </w:rPr>
      </w:pPr>
      <w:r w:rsidRPr="00FF1946">
        <w:rPr>
          <w:rFonts w:ascii="Times New Roman" w:hAnsi="Times New Roman"/>
          <w:szCs w:val="20"/>
          <w:highlight w:val="green"/>
          <w:lang w:val="en-US" w:eastAsia="zh-CN"/>
        </w:rPr>
        <w:t>Agreement</w:t>
      </w:r>
    </w:p>
    <w:p w14:paraId="70D5C784" w14:textId="77777777" w:rsidR="00FF1946" w:rsidRPr="00FF1946" w:rsidRDefault="00FF1946" w:rsidP="006D3143">
      <w:pPr>
        <w:overflowPunct w:val="0"/>
        <w:autoSpaceDE w:val="0"/>
        <w:autoSpaceDN w:val="0"/>
        <w:adjustRightInd w:val="0"/>
        <w:textAlignment w:val="baseline"/>
        <w:rPr>
          <w:rFonts w:ascii="Times New Roman" w:hAnsi="Times New Roman"/>
          <w:szCs w:val="20"/>
          <w:lang w:val="en-US" w:eastAsia="zh-CN"/>
        </w:rPr>
      </w:pPr>
      <w:r w:rsidRPr="00FF1946">
        <w:rPr>
          <w:rFonts w:ascii="Times New Roman" w:hAnsi="Times New Roman"/>
          <w:szCs w:val="20"/>
          <w:lang w:val="en-US" w:eastAsia="zh-CN"/>
        </w:rPr>
        <w:t xml:space="preserve">Unbounded BLER results: Do not capture the values not bounded by 10% BLER in the results spreadsheet. But add a note to the </w:t>
      </w:r>
      <w:r w:rsidRPr="00FF1946">
        <w:rPr>
          <w:rFonts w:ascii="Times New Roman" w:hAnsi="Times New Roman"/>
          <w:szCs w:val="20"/>
          <w:u w:val="single"/>
          <w:lang w:val="en-US" w:eastAsia="zh-CN"/>
        </w:rPr>
        <w:t>Results Spreadsheet</w:t>
      </w:r>
      <w:r w:rsidRPr="00FF1946">
        <w:rPr>
          <w:rFonts w:ascii="Times New Roman" w:hAnsi="Times New Roman"/>
          <w:color w:val="FF0000"/>
          <w:szCs w:val="20"/>
          <w:lang w:val="en-US" w:eastAsia="zh-CN"/>
        </w:rPr>
        <w:t xml:space="preserve"> </w:t>
      </w:r>
      <w:r w:rsidRPr="00FF1946">
        <w:rPr>
          <w:rFonts w:ascii="Times New Roman" w:hAnsi="Times New Roman"/>
          <w:szCs w:val="20"/>
          <w:lang w:val="en-US" w:eastAsia="zh-CN"/>
        </w:rPr>
        <w:t>that one company showed that with unbounded BLER for FRF=1, higher connection density values are feasible due to higher spectral efficiency vs SINR.</w:t>
      </w:r>
    </w:p>
    <w:p w14:paraId="545419C0" w14:textId="77777777" w:rsidR="00FF1946" w:rsidRPr="00FF1946" w:rsidRDefault="00FF1946" w:rsidP="006D3143">
      <w:pPr>
        <w:overflowPunct w:val="0"/>
        <w:autoSpaceDE w:val="0"/>
        <w:autoSpaceDN w:val="0"/>
        <w:adjustRightInd w:val="0"/>
        <w:textAlignment w:val="baseline"/>
        <w:rPr>
          <w:rFonts w:ascii="Times New Roman" w:hAnsi="Times New Roman"/>
          <w:szCs w:val="20"/>
          <w:lang w:val="en-US" w:eastAsia="zh-CN"/>
        </w:rPr>
      </w:pPr>
    </w:p>
    <w:p w14:paraId="396CABE6" w14:textId="77777777" w:rsidR="00FF1946" w:rsidRPr="00FF1946" w:rsidRDefault="00FF1946" w:rsidP="006D3143">
      <w:pPr>
        <w:overflowPunct w:val="0"/>
        <w:autoSpaceDE w:val="0"/>
        <w:autoSpaceDN w:val="0"/>
        <w:adjustRightInd w:val="0"/>
        <w:textAlignment w:val="baseline"/>
        <w:rPr>
          <w:rFonts w:ascii="Times New Roman" w:hAnsi="Times New Roman"/>
          <w:szCs w:val="20"/>
          <w:lang w:val="en-US" w:eastAsia="zh-CN"/>
        </w:rPr>
      </w:pPr>
      <w:r w:rsidRPr="00FF1946">
        <w:rPr>
          <w:rFonts w:ascii="Times New Roman" w:hAnsi="Times New Roman"/>
          <w:szCs w:val="20"/>
          <w:highlight w:val="green"/>
          <w:lang w:val="en-US" w:eastAsia="zh-CN"/>
        </w:rPr>
        <w:t>Agreement</w:t>
      </w:r>
    </w:p>
    <w:p w14:paraId="190B6588" w14:textId="77777777" w:rsidR="00FF1946" w:rsidRPr="00FF1946" w:rsidRDefault="00FF1946" w:rsidP="006D3143">
      <w:pPr>
        <w:overflowPunct w:val="0"/>
        <w:autoSpaceDE w:val="0"/>
        <w:autoSpaceDN w:val="0"/>
        <w:adjustRightInd w:val="0"/>
        <w:textAlignment w:val="baseline"/>
        <w:rPr>
          <w:rFonts w:ascii="Times New Roman" w:hAnsi="Times New Roman"/>
          <w:szCs w:val="20"/>
          <w:lang w:val="en-US" w:eastAsia="zh-CN"/>
        </w:rPr>
      </w:pPr>
      <w:r w:rsidRPr="00FF1946">
        <w:rPr>
          <w:rFonts w:ascii="Times New Roman" w:hAnsi="Times New Roman"/>
          <w:szCs w:val="20"/>
          <w:lang w:val="en-US" w:eastAsia="zh-CN"/>
        </w:rPr>
        <w:t>99%ile packet latency values: Capture in the TR that for the given connection density values the 99</w:t>
      </w:r>
      <w:r w:rsidRPr="00FF1946">
        <w:rPr>
          <w:rFonts w:ascii="Times New Roman" w:hAnsi="Times New Roman"/>
          <w:szCs w:val="20"/>
          <w:vertAlign w:val="superscript"/>
          <w:lang w:val="en-US" w:eastAsia="zh-CN"/>
        </w:rPr>
        <w:t>th</w:t>
      </w:r>
      <w:r w:rsidRPr="00FF1946">
        <w:rPr>
          <w:rFonts w:ascii="Times New Roman" w:hAnsi="Times New Roman"/>
          <w:szCs w:val="20"/>
          <w:lang w:val="en-US" w:eastAsia="zh-CN"/>
        </w:rPr>
        <w:t xml:space="preserve"> percentile packet latency fulfils the &lt;10 seconds requirement by a large margin.</w:t>
      </w:r>
    </w:p>
    <w:p w14:paraId="6542D71D" w14:textId="77777777" w:rsidR="00FF1946" w:rsidRPr="00FF1946" w:rsidRDefault="00FF1946" w:rsidP="006D3143">
      <w:pPr>
        <w:overflowPunct w:val="0"/>
        <w:autoSpaceDE w:val="0"/>
        <w:autoSpaceDN w:val="0"/>
        <w:adjustRightInd w:val="0"/>
        <w:textAlignment w:val="baseline"/>
        <w:rPr>
          <w:rFonts w:ascii="Times New Roman" w:hAnsi="Times New Roman"/>
          <w:szCs w:val="20"/>
          <w:lang w:val="en-US" w:eastAsia="zh-CN"/>
        </w:rPr>
      </w:pPr>
    </w:p>
    <w:p w14:paraId="50436307" w14:textId="77777777" w:rsidR="00FF1946" w:rsidRPr="00FF1946" w:rsidRDefault="00FF1946" w:rsidP="006D3143">
      <w:pPr>
        <w:overflowPunct w:val="0"/>
        <w:autoSpaceDE w:val="0"/>
        <w:autoSpaceDN w:val="0"/>
        <w:adjustRightInd w:val="0"/>
        <w:textAlignment w:val="baseline"/>
        <w:rPr>
          <w:rFonts w:ascii="Times New Roman" w:hAnsi="Times New Roman"/>
          <w:szCs w:val="20"/>
          <w:lang w:val="en-US" w:eastAsia="zh-CN"/>
        </w:rPr>
      </w:pPr>
      <w:r w:rsidRPr="00FF1946">
        <w:rPr>
          <w:rFonts w:ascii="Times New Roman" w:hAnsi="Times New Roman"/>
          <w:szCs w:val="20"/>
          <w:highlight w:val="green"/>
          <w:lang w:val="en-US" w:eastAsia="zh-CN"/>
        </w:rPr>
        <w:lastRenderedPageBreak/>
        <w:t>Agreement</w:t>
      </w:r>
    </w:p>
    <w:p w14:paraId="443AE82C" w14:textId="77777777" w:rsidR="00FF1946" w:rsidRPr="00FF1946" w:rsidRDefault="00FF1946" w:rsidP="006D3143">
      <w:pPr>
        <w:overflowPunct w:val="0"/>
        <w:autoSpaceDE w:val="0"/>
        <w:autoSpaceDN w:val="0"/>
        <w:adjustRightInd w:val="0"/>
        <w:textAlignment w:val="baseline"/>
        <w:rPr>
          <w:rFonts w:ascii="Times New Roman" w:hAnsi="Times New Roman"/>
          <w:szCs w:val="20"/>
          <w:lang w:val="en-US" w:eastAsia="zh-CN"/>
        </w:rPr>
      </w:pPr>
      <w:r w:rsidRPr="00FF1946">
        <w:rPr>
          <w:rFonts w:ascii="Times New Roman" w:hAnsi="Times New Roman"/>
          <w:szCs w:val="20"/>
          <w:lang w:val="en-US" w:eastAsia="zh-CN"/>
        </w:rPr>
        <w:t>Bandwidth capture: Capture the bandwidth needed by the average result. Also add a note to say that number of users will scale up further with higher bandwidth. Capture also for NR.</w:t>
      </w:r>
    </w:p>
    <w:p w14:paraId="22E9B7A7" w14:textId="77777777" w:rsidR="00FF1946" w:rsidRPr="00FF1946" w:rsidRDefault="00FF1946" w:rsidP="006D3143">
      <w:pPr>
        <w:rPr>
          <w:rFonts w:ascii="Times New Roman" w:hAnsi="Times New Roman"/>
          <w:szCs w:val="20"/>
          <w:lang w:eastAsia="x-none"/>
        </w:rPr>
      </w:pPr>
    </w:p>
    <w:p w14:paraId="7B374912" w14:textId="77777777" w:rsidR="00FF1946" w:rsidRPr="00FF1946" w:rsidRDefault="00FF1946" w:rsidP="006D3143">
      <w:pPr>
        <w:overflowPunct w:val="0"/>
        <w:autoSpaceDE w:val="0"/>
        <w:autoSpaceDN w:val="0"/>
        <w:adjustRightInd w:val="0"/>
        <w:textAlignment w:val="baseline"/>
        <w:rPr>
          <w:rFonts w:ascii="Times New Roman" w:hAnsi="Times New Roman"/>
          <w:szCs w:val="20"/>
          <w:lang w:val="en-US" w:eastAsia="zh-CN"/>
        </w:rPr>
      </w:pPr>
      <w:r w:rsidRPr="00FF1946">
        <w:rPr>
          <w:rFonts w:ascii="Times New Roman" w:hAnsi="Times New Roman"/>
          <w:szCs w:val="20"/>
          <w:highlight w:val="green"/>
          <w:lang w:val="en-US" w:eastAsia="zh-CN"/>
        </w:rPr>
        <w:t>Agreement</w:t>
      </w:r>
    </w:p>
    <w:p w14:paraId="12FB3BB7" w14:textId="70357FF6" w:rsidR="00FF1946" w:rsidRPr="00FF1946" w:rsidRDefault="00FF1946" w:rsidP="006D3143">
      <w:pPr>
        <w:rPr>
          <w:rFonts w:ascii="Times New Roman" w:eastAsia="Times New Roman" w:hAnsi="Times New Roman"/>
          <w:szCs w:val="20"/>
          <w:lang w:eastAsia="zh-CN"/>
        </w:rPr>
      </w:pPr>
      <w:r w:rsidRPr="00FF1946">
        <w:rPr>
          <w:rFonts w:ascii="Times New Roman" w:hAnsi="Times New Roman"/>
          <w:szCs w:val="20"/>
          <w:lang w:eastAsia="zh-CN"/>
        </w:rPr>
        <w:t xml:space="preserve">Agree the following terminology: </w:t>
      </w:r>
      <w:r w:rsidRPr="00FF1946">
        <w:rPr>
          <w:rFonts w:ascii="Times New Roman" w:eastAsia="Times New Roman" w:hAnsi="Times New Roman"/>
          <w:szCs w:val="20"/>
          <w:lang w:eastAsia="zh-CN"/>
        </w:rPr>
        <w:t>“IoT NTN, i.e. NB-IoT and eMTC satellite access”</w:t>
      </w:r>
      <w:r w:rsidR="00531E43">
        <w:rPr>
          <w:rFonts w:ascii="Times New Roman" w:eastAsia="Times New Roman" w:hAnsi="Times New Roman"/>
          <w:szCs w:val="20"/>
          <w:lang w:eastAsia="zh-CN"/>
        </w:rPr>
        <w:t>.</w:t>
      </w:r>
    </w:p>
    <w:p w14:paraId="4B2E9ED7" w14:textId="77777777" w:rsidR="00FF1946" w:rsidRPr="00FF1946" w:rsidRDefault="00FF1946" w:rsidP="006D3143">
      <w:pPr>
        <w:rPr>
          <w:rFonts w:ascii="Times New Roman" w:hAnsi="Times New Roman"/>
          <w:szCs w:val="20"/>
          <w:lang w:eastAsia="x-none"/>
        </w:rPr>
      </w:pPr>
    </w:p>
    <w:p w14:paraId="02AE606A" w14:textId="77777777" w:rsidR="00FF1946" w:rsidRPr="00FF1946" w:rsidRDefault="00FF1946" w:rsidP="006D3143">
      <w:pPr>
        <w:rPr>
          <w:rFonts w:ascii="Times New Roman" w:hAnsi="Times New Roman"/>
          <w:szCs w:val="20"/>
          <w:lang w:eastAsia="zh-CN"/>
        </w:rPr>
      </w:pPr>
      <w:r w:rsidRPr="00FF1946">
        <w:rPr>
          <w:rFonts w:ascii="Times New Roman" w:hAnsi="Times New Roman"/>
          <w:szCs w:val="20"/>
          <w:highlight w:val="green"/>
          <w:lang w:eastAsia="zh-CN"/>
        </w:rPr>
        <w:t>Agreement</w:t>
      </w:r>
    </w:p>
    <w:p w14:paraId="2A1A5CBB" w14:textId="0A3D9C51" w:rsidR="00FF1946" w:rsidRPr="006D3143" w:rsidRDefault="00FF1946" w:rsidP="006D3143">
      <w:pPr>
        <w:rPr>
          <w:rFonts w:ascii="Times New Roman" w:hAnsi="Times New Roman"/>
          <w:szCs w:val="20"/>
          <w:lang w:eastAsia="x-none"/>
        </w:rPr>
      </w:pPr>
      <w:r w:rsidRPr="00FF1946">
        <w:rPr>
          <w:rFonts w:ascii="Times New Roman" w:hAnsi="Times New Roman"/>
          <w:szCs w:val="20"/>
          <w:lang w:eastAsia="zh-CN"/>
        </w:rPr>
        <w:t xml:space="preserve">The IoT NTN _ConnDensity_Simulation Results in attachment of </w:t>
      </w:r>
      <w:hyperlink r:id="rId1973" w:history="1">
        <w:r w:rsidR="00AF7253">
          <w:rPr>
            <w:rStyle w:val="Hyperlink"/>
            <w:rFonts w:ascii="Times New Roman" w:hAnsi="Times New Roman"/>
            <w:szCs w:val="20"/>
            <w:lang w:eastAsia="zh-CN"/>
          </w:rPr>
          <w:t>R1-2312419</w:t>
        </w:r>
      </w:hyperlink>
      <w:r w:rsidRPr="00FF1946">
        <w:rPr>
          <w:rFonts w:ascii="Times New Roman" w:hAnsi="Times New Roman"/>
          <w:szCs w:val="20"/>
          <w:lang w:eastAsia="zh-CN"/>
        </w:rPr>
        <w:t xml:space="preserve"> are endorsed.</w:t>
      </w:r>
    </w:p>
    <w:p w14:paraId="3A84C261" w14:textId="77777777" w:rsidR="00F74A6F" w:rsidRPr="009537ED" w:rsidRDefault="00F74A6F" w:rsidP="00F74A6F">
      <w:pPr>
        <w:pStyle w:val="Heading2"/>
      </w:pPr>
      <w:bookmarkStart w:id="793" w:name="_Toc150174503"/>
      <w:bookmarkStart w:id="794" w:name="_Toc159251045"/>
      <w:r w:rsidRPr="009537ED">
        <w:t>UE Features</w:t>
      </w:r>
      <w:bookmarkEnd w:id="793"/>
      <w:bookmarkEnd w:id="794"/>
    </w:p>
    <w:p w14:paraId="4D410243" w14:textId="75738208" w:rsidR="00C56E1B" w:rsidRPr="00103EE2" w:rsidRDefault="00F74A6F" w:rsidP="00F74A6F">
      <w:r w:rsidRPr="00103EE2">
        <w:rPr>
          <w:lang w:eastAsia="x-none"/>
        </w:rPr>
        <w:t xml:space="preserve">[115-R18-UE_features-01] </w:t>
      </w:r>
      <w:r w:rsidR="00C56E1B" w:rsidRPr="00103EE2">
        <w:t>– Shinya (</w:t>
      </w:r>
      <w:r w:rsidR="00103EE2" w:rsidRPr="00103EE2">
        <w:t xml:space="preserve">NTT </w:t>
      </w:r>
      <w:r w:rsidR="00C56E1B" w:rsidRPr="00103EE2">
        <w:t>DOCOMO)</w:t>
      </w:r>
    </w:p>
    <w:p w14:paraId="36A14BA8" w14:textId="236DFAF3" w:rsidR="00F74A6F" w:rsidRPr="00103EE2" w:rsidRDefault="00F74A6F" w:rsidP="00F74A6F">
      <w:r w:rsidRPr="00103EE2">
        <w:rPr>
          <w:lang w:eastAsia="x-none"/>
        </w:rPr>
        <w:t>Email discussion on UE features for s</w:t>
      </w:r>
      <w:r w:rsidRPr="00103EE2">
        <w:t xml:space="preserve">idelink, RedCap, MC-Enh, less than 5MHz, DSS, </w:t>
      </w:r>
      <w:r w:rsidRPr="00103EE2">
        <w:rPr>
          <w:lang w:eastAsia="x-none"/>
        </w:rPr>
        <w:t>XR</w:t>
      </w:r>
      <w:r w:rsidRPr="00103EE2">
        <w:t>, coverage enhancement, TEI(s)</w:t>
      </w:r>
    </w:p>
    <w:p w14:paraId="64E03A8E" w14:textId="77777777" w:rsidR="00F74A6F" w:rsidRPr="00103EE2" w:rsidRDefault="00F74A6F" w:rsidP="00F74A6F">
      <w:pPr>
        <w:numPr>
          <w:ilvl w:val="0"/>
          <w:numId w:val="68"/>
        </w:numPr>
        <w:rPr>
          <w:lang w:eastAsia="x-none"/>
        </w:rPr>
      </w:pPr>
      <w:r w:rsidRPr="00103EE2">
        <w:rPr>
          <w:lang w:eastAsia="x-none"/>
        </w:rPr>
        <w:t>To be used for sharing updates on online/offline schedule, details on what is to be discussed in online/offline sessions, tdoc number of the moderator summary for online session, etc</w:t>
      </w:r>
    </w:p>
    <w:p w14:paraId="09334137" w14:textId="77777777" w:rsidR="00F74A6F" w:rsidRPr="00103EE2" w:rsidRDefault="00F74A6F" w:rsidP="00F74A6F">
      <w:pPr>
        <w:rPr>
          <w:lang w:eastAsia="x-none"/>
        </w:rPr>
      </w:pPr>
    </w:p>
    <w:p w14:paraId="04881224" w14:textId="77777777" w:rsidR="00C56E1B" w:rsidRPr="00103EE2" w:rsidRDefault="00F74A6F" w:rsidP="00F74A6F">
      <w:pPr>
        <w:rPr>
          <w:lang w:eastAsia="x-none"/>
        </w:rPr>
      </w:pPr>
      <w:r w:rsidRPr="00103EE2">
        <w:rPr>
          <w:lang w:eastAsia="x-none"/>
        </w:rPr>
        <w:t xml:space="preserve">[115-R18-UE_features-02] </w:t>
      </w:r>
      <w:r w:rsidR="00C56E1B" w:rsidRPr="00103EE2">
        <w:rPr>
          <w:lang w:eastAsia="x-none"/>
        </w:rPr>
        <w:t>– Ralf (AT&amp;T)</w:t>
      </w:r>
    </w:p>
    <w:p w14:paraId="0E59967A" w14:textId="63671471" w:rsidR="00F74A6F" w:rsidRPr="00103EE2" w:rsidRDefault="00F74A6F" w:rsidP="00F74A6F">
      <w:pPr>
        <w:rPr>
          <w:lang w:eastAsia="x-none"/>
        </w:rPr>
      </w:pPr>
      <w:r w:rsidRPr="00103EE2">
        <w:rPr>
          <w:lang w:eastAsia="x-none"/>
        </w:rPr>
        <w:t>Email discussion on UE features for MIMO, positioning, NCR, NR-NTN, IoT-NTN, BWP without restriction, NW energy saving, mobility enhancement</w:t>
      </w:r>
    </w:p>
    <w:p w14:paraId="1DEE8257" w14:textId="77777777" w:rsidR="00F74A6F" w:rsidRPr="00103EE2" w:rsidRDefault="00F74A6F" w:rsidP="00F74A6F">
      <w:pPr>
        <w:numPr>
          <w:ilvl w:val="0"/>
          <w:numId w:val="68"/>
        </w:numPr>
        <w:rPr>
          <w:lang w:eastAsia="x-none"/>
        </w:rPr>
      </w:pPr>
      <w:r w:rsidRPr="00103EE2">
        <w:rPr>
          <w:lang w:eastAsia="x-none"/>
        </w:rPr>
        <w:t>To be used for sharing updates on online/offline schedule, details on what is to be discussed in online/offline sessions, tdoc number of the moderator summary for online session, etc</w:t>
      </w:r>
    </w:p>
    <w:p w14:paraId="6B9C7D32" w14:textId="77777777" w:rsidR="0030612D" w:rsidRPr="00103EE2" w:rsidRDefault="0030612D" w:rsidP="0030612D">
      <w:pPr>
        <w:rPr>
          <w:lang w:val="en-US" w:eastAsia="x-none"/>
        </w:rPr>
      </w:pPr>
    </w:p>
    <w:p w14:paraId="6A082C95" w14:textId="77777777" w:rsidR="00C56E1B" w:rsidRPr="00703994" w:rsidRDefault="00C56E1B" w:rsidP="00C56E1B">
      <w:pPr>
        <w:rPr>
          <w:b/>
          <w:bCs/>
          <w:lang w:eastAsia="x-none"/>
        </w:rPr>
      </w:pPr>
      <w:r w:rsidRPr="00703994">
        <w:rPr>
          <w:b/>
          <w:bCs/>
          <w:lang w:eastAsia="x-none"/>
        </w:rPr>
        <w:t>LTE feature list</w:t>
      </w:r>
    </w:p>
    <w:p w14:paraId="374E2CCE" w14:textId="4924A864" w:rsidR="00C56E1B" w:rsidRPr="00C56E1B" w:rsidRDefault="005A18DC" w:rsidP="00C56E1B">
      <w:pPr>
        <w:rPr>
          <w:b/>
          <w:bCs/>
          <w:lang w:val="en-US" w:eastAsia="x-none"/>
        </w:rPr>
      </w:pPr>
      <w:hyperlink r:id="rId1974" w:history="1">
        <w:r w:rsidR="00AF7253">
          <w:rPr>
            <w:rStyle w:val="Hyperlink"/>
            <w:b/>
            <w:bCs/>
            <w:highlight w:val="green"/>
            <w:lang w:val="en-US" w:eastAsia="x-none"/>
          </w:rPr>
          <w:t>R1-2312569</w:t>
        </w:r>
      </w:hyperlink>
      <w:r w:rsidR="00C56E1B" w:rsidRPr="00C56E1B">
        <w:rPr>
          <w:b/>
          <w:bCs/>
          <w:lang w:val="en-US" w:eastAsia="x-none"/>
        </w:rPr>
        <w:tab/>
        <w:t>Updated RAN1 UE features list for Rel-18 LTE after RAN1#115</w:t>
      </w:r>
      <w:r w:rsidR="00C56E1B" w:rsidRPr="00C56E1B">
        <w:rPr>
          <w:b/>
          <w:bCs/>
          <w:lang w:val="en-US" w:eastAsia="x-none"/>
        </w:rPr>
        <w:tab/>
        <w:t>Moderators (AT&amp;T, NTT DOCOMO, INC.)</w:t>
      </w:r>
    </w:p>
    <w:p w14:paraId="4D87F584" w14:textId="24992A41" w:rsidR="00C56E1B" w:rsidRDefault="00BD49D2" w:rsidP="00C56E1B">
      <w:r w:rsidRPr="00BD49D2">
        <w:rPr>
          <w:b/>
          <w:bCs/>
        </w:rPr>
        <w:t>Friday d</w:t>
      </w:r>
      <w:r w:rsidR="00C56E1B" w:rsidRPr="00BD49D2">
        <w:rPr>
          <w:b/>
          <w:bCs/>
        </w:rPr>
        <w:t>ecision:</w:t>
      </w:r>
      <w:r w:rsidR="00C56E1B" w:rsidRPr="00BD49D2">
        <w:t xml:space="preserve"> </w:t>
      </w:r>
      <w:r w:rsidRPr="00BD49D2">
        <w:t>T</w:t>
      </w:r>
      <w:r w:rsidR="00C56E1B" w:rsidRPr="00BD49D2">
        <w:t>he updated RAN1 UE features list for Rel-18 LTE is endorsed.</w:t>
      </w:r>
    </w:p>
    <w:p w14:paraId="6C4C7881" w14:textId="77AA9E0C" w:rsidR="00C56E1B" w:rsidRPr="00C56E1B" w:rsidRDefault="005A18DC" w:rsidP="00C56E1B">
      <w:pPr>
        <w:rPr>
          <w:b/>
          <w:bCs/>
          <w:lang w:val="en-US" w:eastAsia="x-none"/>
        </w:rPr>
      </w:pPr>
      <w:hyperlink r:id="rId1975" w:history="1">
        <w:r w:rsidR="00AF7253">
          <w:rPr>
            <w:rStyle w:val="Hyperlink"/>
            <w:b/>
            <w:bCs/>
            <w:lang w:val="en-US" w:eastAsia="x-none"/>
          </w:rPr>
          <w:t>R1-2312570</w:t>
        </w:r>
      </w:hyperlink>
      <w:r w:rsidR="00C56E1B" w:rsidRPr="00C56E1B">
        <w:rPr>
          <w:b/>
          <w:bCs/>
          <w:lang w:val="en-US" w:eastAsia="x-none"/>
        </w:rPr>
        <w:tab/>
        <w:t>Draft LS on Rel-18 RAN1 UE features list for LTE after RAN1#115</w:t>
      </w:r>
      <w:r w:rsidR="00C56E1B" w:rsidRPr="00C56E1B">
        <w:rPr>
          <w:b/>
          <w:bCs/>
          <w:lang w:val="en-US" w:eastAsia="x-none"/>
        </w:rPr>
        <w:tab/>
        <w:t>Moderators (AT&amp;T, NTT DOCOMO, INC.)</w:t>
      </w:r>
    </w:p>
    <w:p w14:paraId="567E0F15" w14:textId="66885248" w:rsidR="00C56E1B" w:rsidRPr="00703994" w:rsidRDefault="00C56E1B" w:rsidP="00C56E1B">
      <w:pPr>
        <w:rPr>
          <w:rFonts w:ascii="Times New Roman" w:hAnsi="Times New Roman"/>
        </w:rPr>
      </w:pPr>
      <w:r w:rsidRPr="006F3699">
        <w:rPr>
          <w:b/>
          <w:bCs/>
        </w:rPr>
        <w:t>Decision:</w:t>
      </w:r>
      <w:r>
        <w:t xml:space="preserve"> </w:t>
      </w:r>
      <w:r w:rsidR="00BD49D2">
        <w:t>T</w:t>
      </w:r>
      <w:r>
        <w:t>he draft LS with attached list (</w:t>
      </w:r>
      <w:hyperlink r:id="rId1976" w:history="1">
        <w:r w:rsidR="00AF7253">
          <w:rPr>
            <w:rStyle w:val="Hyperlink"/>
          </w:rPr>
          <w:t>R1-2312569</w:t>
        </w:r>
      </w:hyperlink>
      <w:r>
        <w:t xml:space="preserve">) is endorsed. Final LS is </w:t>
      </w:r>
      <w:r w:rsidRPr="00BD49D2">
        <w:rPr>
          <w:highlight w:val="green"/>
        </w:rPr>
        <w:t xml:space="preserve">approved in </w:t>
      </w:r>
      <w:hyperlink r:id="rId1977" w:history="1">
        <w:r w:rsidR="00AF7253">
          <w:rPr>
            <w:rStyle w:val="Hyperlink"/>
            <w:highlight w:val="green"/>
          </w:rPr>
          <w:t>R1-2312571</w:t>
        </w:r>
      </w:hyperlink>
      <w:r w:rsidRPr="00BD49D2">
        <w:rPr>
          <w:rFonts w:ascii="Times New Roman" w:hAnsi="Times New Roman"/>
          <w:highlight w:val="green"/>
        </w:rPr>
        <w:t>.</w:t>
      </w:r>
    </w:p>
    <w:p w14:paraId="3D158B58" w14:textId="77777777" w:rsidR="00C56E1B" w:rsidRPr="006F3699" w:rsidRDefault="00C56E1B" w:rsidP="00C56E1B">
      <w:pPr>
        <w:rPr>
          <w:rFonts w:ascii="Times New Roman" w:hAnsi="Times New Roman"/>
        </w:rPr>
      </w:pPr>
    </w:p>
    <w:p w14:paraId="7E8F8C53" w14:textId="77777777" w:rsidR="00C56E1B" w:rsidRPr="00703994" w:rsidRDefault="00C56E1B" w:rsidP="00C56E1B">
      <w:pPr>
        <w:rPr>
          <w:rFonts w:ascii="Times New Roman" w:hAnsi="Times New Roman"/>
          <w:b/>
          <w:bCs/>
        </w:rPr>
      </w:pPr>
      <w:r w:rsidRPr="00703994">
        <w:rPr>
          <w:rFonts w:ascii="Times New Roman" w:hAnsi="Times New Roman"/>
          <w:b/>
          <w:bCs/>
        </w:rPr>
        <w:t>NR features list</w:t>
      </w:r>
    </w:p>
    <w:bookmarkStart w:id="795" w:name="_Hlk151489244"/>
    <w:p w14:paraId="1CE42CD9" w14:textId="243519FC" w:rsidR="00C56E1B" w:rsidRPr="00C56E1B" w:rsidRDefault="00AF7253" w:rsidP="00C56E1B">
      <w:pPr>
        <w:rPr>
          <w:b/>
          <w:bCs/>
          <w:lang w:val="en-US" w:eastAsia="x-none"/>
        </w:rPr>
      </w:pPr>
      <w:r>
        <w:rPr>
          <w:b/>
          <w:bCs/>
          <w:highlight w:val="green"/>
          <w:lang w:val="en-US" w:eastAsia="x-none"/>
        </w:rPr>
        <w:fldChar w:fldCharType="begin"/>
      </w:r>
      <w:r>
        <w:rPr>
          <w:b/>
          <w:bCs/>
          <w:highlight w:val="green"/>
          <w:lang w:val="en-US" w:eastAsia="x-none"/>
        </w:rPr>
        <w:instrText>HYPERLINK "../Docs/R1-2312572.zip"</w:instrText>
      </w:r>
      <w:r>
        <w:rPr>
          <w:b/>
          <w:bCs/>
          <w:highlight w:val="green"/>
          <w:lang w:val="en-US" w:eastAsia="x-none"/>
        </w:rPr>
      </w:r>
      <w:r>
        <w:rPr>
          <w:b/>
          <w:bCs/>
          <w:highlight w:val="green"/>
          <w:lang w:val="en-US" w:eastAsia="x-none"/>
        </w:rPr>
        <w:fldChar w:fldCharType="separate"/>
      </w:r>
      <w:r>
        <w:rPr>
          <w:rStyle w:val="Hyperlink"/>
          <w:b/>
          <w:bCs/>
          <w:highlight w:val="green"/>
          <w:lang w:val="en-US" w:eastAsia="x-none"/>
        </w:rPr>
        <w:t>R1-2312572</w:t>
      </w:r>
      <w:r>
        <w:rPr>
          <w:b/>
          <w:bCs/>
          <w:highlight w:val="green"/>
          <w:lang w:val="en-US" w:eastAsia="x-none"/>
        </w:rPr>
        <w:fldChar w:fldCharType="end"/>
      </w:r>
      <w:r w:rsidR="00C56E1B" w:rsidRPr="00C56E1B">
        <w:rPr>
          <w:b/>
          <w:bCs/>
          <w:lang w:val="en-US" w:eastAsia="x-none"/>
        </w:rPr>
        <w:tab/>
        <w:t>Updated RAN1 UE features list for Rel-18 NR after RAN1#115</w:t>
      </w:r>
      <w:r w:rsidR="00C56E1B" w:rsidRPr="00C56E1B">
        <w:rPr>
          <w:b/>
          <w:bCs/>
          <w:lang w:val="en-US" w:eastAsia="x-none"/>
        </w:rPr>
        <w:tab/>
        <w:t>Moderators (AT&amp;T, NTT DOCOMO, INC.)</w:t>
      </w:r>
    </w:p>
    <w:p w14:paraId="08E63B57" w14:textId="769919FB" w:rsidR="00C56E1B" w:rsidRDefault="00BD49D2" w:rsidP="00C56E1B">
      <w:r>
        <w:rPr>
          <w:b/>
          <w:bCs/>
        </w:rPr>
        <w:t>Friday d</w:t>
      </w:r>
      <w:r w:rsidR="00C56E1B" w:rsidRPr="00BD49D2">
        <w:rPr>
          <w:b/>
          <w:bCs/>
        </w:rPr>
        <w:t>ecision:</w:t>
      </w:r>
      <w:r w:rsidR="00C56E1B" w:rsidRPr="00BD49D2">
        <w:t xml:space="preserve"> </w:t>
      </w:r>
      <w:r>
        <w:t>T</w:t>
      </w:r>
      <w:r w:rsidR="00C56E1B" w:rsidRPr="00BD49D2">
        <w:t>he updated RAN1 UE features list for Rel-18 NR is endorsed.</w:t>
      </w:r>
    </w:p>
    <w:bookmarkEnd w:id="795"/>
    <w:p w14:paraId="291F44DF" w14:textId="6AC4E49C" w:rsidR="00C56E1B" w:rsidRPr="00C56E1B" w:rsidRDefault="00AF7253" w:rsidP="00C56E1B">
      <w:pPr>
        <w:rPr>
          <w:b/>
          <w:bCs/>
          <w:lang w:val="en-US" w:eastAsia="x-none"/>
        </w:rPr>
      </w:pPr>
      <w:r>
        <w:rPr>
          <w:b/>
          <w:bCs/>
          <w:lang w:val="en-US" w:eastAsia="x-none"/>
        </w:rPr>
        <w:fldChar w:fldCharType="begin"/>
      </w:r>
      <w:r>
        <w:rPr>
          <w:b/>
          <w:bCs/>
          <w:lang w:val="en-US" w:eastAsia="x-none"/>
        </w:rPr>
        <w:instrText>HYPERLINK "../Docs/R1-2312573.zip"</w:instrText>
      </w:r>
      <w:r>
        <w:rPr>
          <w:b/>
          <w:bCs/>
          <w:lang w:val="en-US" w:eastAsia="x-none"/>
        </w:rPr>
      </w:r>
      <w:r>
        <w:rPr>
          <w:b/>
          <w:bCs/>
          <w:lang w:val="en-US" w:eastAsia="x-none"/>
        </w:rPr>
        <w:fldChar w:fldCharType="separate"/>
      </w:r>
      <w:r>
        <w:rPr>
          <w:rStyle w:val="Hyperlink"/>
          <w:b/>
          <w:bCs/>
          <w:lang w:val="en-US" w:eastAsia="x-none"/>
        </w:rPr>
        <w:t>R1-2312573</w:t>
      </w:r>
      <w:r>
        <w:rPr>
          <w:b/>
          <w:bCs/>
          <w:lang w:val="en-US" w:eastAsia="x-none"/>
        </w:rPr>
        <w:fldChar w:fldCharType="end"/>
      </w:r>
      <w:r w:rsidR="00C56E1B" w:rsidRPr="00C56E1B">
        <w:rPr>
          <w:b/>
          <w:bCs/>
          <w:lang w:val="en-US" w:eastAsia="x-none"/>
        </w:rPr>
        <w:tab/>
        <w:t>Draft LS on Rel-18 RAN1 UE features list for NR after RAN1#115</w:t>
      </w:r>
      <w:r w:rsidR="00C56E1B" w:rsidRPr="00C56E1B">
        <w:rPr>
          <w:b/>
          <w:bCs/>
          <w:lang w:val="en-US" w:eastAsia="x-none"/>
        </w:rPr>
        <w:tab/>
        <w:t>Moderators (AT&amp;T, NTT DOCOMO, INC.)</w:t>
      </w:r>
    </w:p>
    <w:p w14:paraId="75CDF9CD" w14:textId="12A02F36" w:rsidR="00C56E1B" w:rsidRDefault="00C56E1B" w:rsidP="00C56E1B">
      <w:pPr>
        <w:rPr>
          <w:rFonts w:ascii="Times New Roman" w:hAnsi="Times New Roman"/>
        </w:rPr>
      </w:pPr>
      <w:r w:rsidRPr="006F3699">
        <w:rPr>
          <w:b/>
          <w:bCs/>
        </w:rPr>
        <w:t>Decision:</w:t>
      </w:r>
      <w:r>
        <w:t xml:space="preserve"> </w:t>
      </w:r>
      <w:r w:rsidR="00BD49D2">
        <w:t>T</w:t>
      </w:r>
      <w:r>
        <w:t>he draft LS with attached list (</w:t>
      </w:r>
      <w:hyperlink r:id="rId1978" w:history="1">
        <w:r w:rsidR="00AF7253">
          <w:rPr>
            <w:rStyle w:val="Hyperlink"/>
          </w:rPr>
          <w:t>R1-2312572</w:t>
        </w:r>
      </w:hyperlink>
      <w:r>
        <w:t>) is endorsed. Fin</w:t>
      </w:r>
      <w:r w:rsidRPr="00C56E1B">
        <w:t xml:space="preserve">al LS is </w:t>
      </w:r>
      <w:r w:rsidRPr="00BD49D2">
        <w:rPr>
          <w:highlight w:val="green"/>
        </w:rPr>
        <w:t xml:space="preserve">approved in </w:t>
      </w:r>
      <w:hyperlink r:id="rId1979" w:history="1">
        <w:r w:rsidR="00AF7253">
          <w:rPr>
            <w:rStyle w:val="Hyperlink"/>
            <w:highlight w:val="green"/>
          </w:rPr>
          <w:t>R1-2312574</w:t>
        </w:r>
      </w:hyperlink>
      <w:r w:rsidRPr="00C56E1B">
        <w:rPr>
          <w:rFonts w:ascii="Times New Roman" w:hAnsi="Times New Roman"/>
        </w:rPr>
        <w:t>.</w:t>
      </w:r>
    </w:p>
    <w:p w14:paraId="002E6678" w14:textId="77777777" w:rsidR="00293529" w:rsidRPr="00562C64" w:rsidRDefault="00293529" w:rsidP="00293529">
      <w:pPr>
        <w:rPr>
          <w:lang w:val="en-US" w:eastAsia="x-none"/>
        </w:rPr>
      </w:pPr>
      <w:r w:rsidRPr="00293529">
        <w:rPr>
          <w:highlight w:val="magenta"/>
          <w:lang w:val="en-US" w:eastAsia="x-none"/>
        </w:rPr>
        <w:t>Post-meeting:</w:t>
      </w:r>
      <w:r>
        <w:rPr>
          <w:lang w:val="en-US" w:eastAsia="x-none"/>
        </w:rPr>
        <w:t xml:space="preserve"> It was noticed that t</w:t>
      </w:r>
      <w:r w:rsidRPr="00562C64">
        <w:rPr>
          <w:lang w:val="en-US" w:eastAsia="x-none"/>
        </w:rPr>
        <w:t>he following RAN1 Positioning FGs were captured by mistake and are not agreed in RAN1.</w:t>
      </w:r>
    </w:p>
    <w:p w14:paraId="0F1DAD0A" w14:textId="77777777" w:rsidR="00293529" w:rsidRPr="00293529" w:rsidRDefault="00293529" w:rsidP="00AA1D48">
      <w:pPr>
        <w:pStyle w:val="ListParagraph"/>
        <w:numPr>
          <w:ilvl w:val="0"/>
          <w:numId w:val="141"/>
        </w:numPr>
        <w:rPr>
          <w:lang w:val="en-US"/>
        </w:rPr>
      </w:pPr>
      <w:r w:rsidRPr="00293529">
        <w:rPr>
          <w:lang w:val="en-US"/>
        </w:rPr>
        <w:t>41-1-19b</w:t>
      </w:r>
    </w:p>
    <w:p w14:paraId="008408E4" w14:textId="77777777" w:rsidR="00293529" w:rsidRPr="00293529" w:rsidRDefault="00293529" w:rsidP="00AA1D48">
      <w:pPr>
        <w:pStyle w:val="ListParagraph"/>
        <w:numPr>
          <w:ilvl w:val="0"/>
          <w:numId w:val="141"/>
        </w:numPr>
        <w:rPr>
          <w:lang w:val="en-US"/>
        </w:rPr>
      </w:pPr>
      <w:r w:rsidRPr="00293529">
        <w:rPr>
          <w:lang w:val="en-US"/>
        </w:rPr>
        <w:t>41-1-20</w:t>
      </w:r>
    </w:p>
    <w:p w14:paraId="6455D3C5" w14:textId="77777777" w:rsidR="00293529" w:rsidRPr="00293529" w:rsidRDefault="00293529" w:rsidP="00AA1D48">
      <w:pPr>
        <w:pStyle w:val="ListParagraph"/>
        <w:numPr>
          <w:ilvl w:val="0"/>
          <w:numId w:val="141"/>
        </w:numPr>
        <w:rPr>
          <w:lang w:val="en-US"/>
        </w:rPr>
      </w:pPr>
      <w:r w:rsidRPr="00293529">
        <w:rPr>
          <w:lang w:val="en-US"/>
        </w:rPr>
        <w:t>41-1-21</w:t>
      </w:r>
    </w:p>
    <w:p w14:paraId="4BAA20C3" w14:textId="77777777" w:rsidR="00293529" w:rsidRPr="00293529" w:rsidRDefault="00293529" w:rsidP="00AA1D48">
      <w:pPr>
        <w:pStyle w:val="ListParagraph"/>
        <w:numPr>
          <w:ilvl w:val="0"/>
          <w:numId w:val="141"/>
        </w:numPr>
        <w:rPr>
          <w:lang w:val="en-US"/>
        </w:rPr>
      </w:pPr>
      <w:r w:rsidRPr="00293529">
        <w:rPr>
          <w:lang w:val="en-US"/>
        </w:rPr>
        <w:t>41-1-22</w:t>
      </w:r>
    </w:p>
    <w:p w14:paraId="58B7BB72" w14:textId="77777777" w:rsidR="00293529" w:rsidRPr="00293529" w:rsidRDefault="00293529" w:rsidP="00AA1D48">
      <w:pPr>
        <w:pStyle w:val="ListParagraph"/>
        <w:numPr>
          <w:ilvl w:val="0"/>
          <w:numId w:val="141"/>
        </w:numPr>
        <w:rPr>
          <w:lang w:val="en-US"/>
        </w:rPr>
      </w:pPr>
      <w:r w:rsidRPr="00293529">
        <w:rPr>
          <w:lang w:val="en-US"/>
        </w:rPr>
        <w:t>41-2-12</w:t>
      </w:r>
    </w:p>
    <w:p w14:paraId="1B9EDFC1" w14:textId="77777777" w:rsidR="00293529" w:rsidRPr="00293529" w:rsidRDefault="00293529" w:rsidP="00AA1D48">
      <w:pPr>
        <w:pStyle w:val="ListParagraph"/>
        <w:numPr>
          <w:ilvl w:val="0"/>
          <w:numId w:val="141"/>
        </w:numPr>
        <w:rPr>
          <w:lang w:val="en-US"/>
        </w:rPr>
      </w:pPr>
      <w:r w:rsidRPr="00293529">
        <w:rPr>
          <w:lang w:val="en-US"/>
        </w:rPr>
        <w:t>41-4-19</w:t>
      </w:r>
    </w:p>
    <w:p w14:paraId="2D7D7EAB" w14:textId="24DB5E9B" w:rsidR="009C16A2" w:rsidRPr="009C16A2" w:rsidRDefault="00293529" w:rsidP="00C56E1B">
      <w:pPr>
        <w:rPr>
          <w:rFonts w:ascii="Times New Roman" w:hAnsi="Times New Roman"/>
        </w:rPr>
      </w:pPr>
      <w:r>
        <w:rPr>
          <w:rFonts w:ascii="Times New Roman" w:hAnsi="Times New Roman"/>
        </w:rPr>
        <w:t>See annex F for the corrective action to RAN2.</w:t>
      </w:r>
    </w:p>
    <w:p w14:paraId="5C8CF194" w14:textId="77777777" w:rsidR="00F74A6F" w:rsidRDefault="00F74A6F" w:rsidP="00F74A6F">
      <w:pPr>
        <w:pStyle w:val="Heading3"/>
      </w:pPr>
      <w:bookmarkStart w:id="796" w:name="_Toc150174504"/>
      <w:bookmarkStart w:id="797" w:name="_Toc159251046"/>
      <w:r w:rsidRPr="009537ED">
        <w:t>UE features for NR MIMO evolution</w:t>
      </w:r>
      <w:bookmarkEnd w:id="796"/>
      <w:bookmarkEnd w:id="797"/>
    </w:p>
    <w:p w14:paraId="5E271DFD" w14:textId="18F47728" w:rsidR="0030612D" w:rsidRPr="0030612D" w:rsidRDefault="005A18DC" w:rsidP="0030612D">
      <w:pPr>
        <w:rPr>
          <w:b/>
          <w:bCs/>
          <w:lang w:val="en-US" w:eastAsia="x-none"/>
        </w:rPr>
      </w:pPr>
      <w:hyperlink r:id="rId1980" w:history="1">
        <w:r w:rsidR="00AF7253">
          <w:rPr>
            <w:rStyle w:val="Hyperlink"/>
            <w:b/>
            <w:bCs/>
            <w:lang w:val="en-US" w:eastAsia="x-none"/>
          </w:rPr>
          <w:t>R1-2312608</w:t>
        </w:r>
      </w:hyperlink>
      <w:r w:rsidR="0030612D" w:rsidRPr="0030612D">
        <w:rPr>
          <w:b/>
          <w:bCs/>
          <w:lang w:val="en-US" w:eastAsia="x-none"/>
        </w:rPr>
        <w:tab/>
        <w:t>Session Notes of AI 8.16.1</w:t>
      </w:r>
      <w:r w:rsidR="0030612D" w:rsidRPr="0030612D">
        <w:rPr>
          <w:b/>
          <w:bCs/>
          <w:lang w:val="en-US" w:eastAsia="x-none"/>
        </w:rPr>
        <w:tab/>
        <w:t>Ad-Hoc Chair (AT&amp;T)</w:t>
      </w:r>
    </w:p>
    <w:p w14:paraId="1DB6572B" w14:textId="77777777" w:rsidR="0030612D" w:rsidRPr="00663F3A" w:rsidRDefault="0030612D" w:rsidP="0030612D">
      <w:pPr>
        <w:rPr>
          <w:lang w:val="en-US" w:eastAsia="x-none"/>
        </w:rPr>
      </w:pPr>
      <w:r w:rsidRPr="00F05EFE">
        <w:rPr>
          <w:b/>
          <w:bCs/>
        </w:rPr>
        <w:t>Friday decision:</w:t>
      </w:r>
      <w:r>
        <w:t xml:space="preserve"> The </w:t>
      </w:r>
      <w:r>
        <w:rPr>
          <w:lang w:val="en-US" w:eastAsia="x-none"/>
        </w:rPr>
        <w:t>s</w:t>
      </w:r>
      <w:r w:rsidRPr="00663F3A">
        <w:rPr>
          <w:lang w:val="en-US" w:eastAsia="x-none"/>
        </w:rPr>
        <w:t>ession notes</w:t>
      </w:r>
      <w:r>
        <w:rPr>
          <w:lang w:val="en-US" w:eastAsia="x-none"/>
        </w:rPr>
        <w:t xml:space="preserve"> (all agreements reached during RAN1#115)</w:t>
      </w:r>
      <w:r w:rsidRPr="00663F3A">
        <w:rPr>
          <w:lang w:val="en-US" w:eastAsia="x-none"/>
        </w:rPr>
        <w:t xml:space="preserve"> are </w:t>
      </w:r>
      <w:r w:rsidRPr="00663F3A">
        <w:rPr>
          <w:highlight w:val="green"/>
          <w:lang w:val="en-US" w:eastAsia="x-none"/>
        </w:rPr>
        <w:t>endorsed</w:t>
      </w:r>
      <w:r w:rsidRPr="00663F3A">
        <w:rPr>
          <w:lang w:val="en-US" w:eastAsia="x-none"/>
        </w:rPr>
        <w:t>.</w:t>
      </w:r>
    </w:p>
    <w:p w14:paraId="2CFF6DE1" w14:textId="77777777" w:rsidR="0030612D" w:rsidRPr="0030612D" w:rsidRDefault="0030612D" w:rsidP="0030612D">
      <w:pPr>
        <w:rPr>
          <w:lang w:val="en-US"/>
        </w:rPr>
      </w:pPr>
    </w:p>
    <w:p w14:paraId="261CB3B4" w14:textId="3E43275B" w:rsidR="00F74A6F" w:rsidRPr="009537ED" w:rsidRDefault="005A18DC" w:rsidP="00F74A6F">
      <w:pPr>
        <w:rPr>
          <w:lang w:eastAsia="x-none"/>
        </w:rPr>
      </w:pPr>
      <w:hyperlink r:id="rId1981" w:history="1">
        <w:r w:rsidR="00AF7253">
          <w:rPr>
            <w:rStyle w:val="Hyperlink"/>
            <w:lang w:eastAsia="x-none"/>
          </w:rPr>
          <w:t>R1-2310889</w:t>
        </w:r>
      </w:hyperlink>
      <w:r w:rsidR="00F74A6F" w:rsidRPr="009537ED">
        <w:rPr>
          <w:lang w:eastAsia="x-none"/>
        </w:rPr>
        <w:tab/>
        <w:t>On UE features for Rel. 18 MIMO evolution WI</w:t>
      </w:r>
      <w:r w:rsidR="00F74A6F" w:rsidRPr="009537ED">
        <w:rPr>
          <w:lang w:eastAsia="x-none"/>
        </w:rPr>
        <w:tab/>
        <w:t>Nokia, Nokia Shanghai Bell</w:t>
      </w:r>
    </w:p>
    <w:p w14:paraId="3626BA50" w14:textId="7A98E276" w:rsidR="00F74A6F" w:rsidRPr="009537ED" w:rsidRDefault="005A18DC" w:rsidP="00F74A6F">
      <w:pPr>
        <w:rPr>
          <w:lang w:eastAsia="x-none"/>
        </w:rPr>
      </w:pPr>
      <w:hyperlink r:id="rId1982" w:history="1">
        <w:r w:rsidR="00AF7253">
          <w:rPr>
            <w:rStyle w:val="Hyperlink"/>
            <w:lang w:eastAsia="x-none"/>
          </w:rPr>
          <w:t>R1-2310907</w:t>
        </w:r>
      </w:hyperlink>
      <w:r w:rsidR="00F74A6F" w:rsidRPr="009537ED">
        <w:rPr>
          <w:lang w:eastAsia="x-none"/>
        </w:rPr>
        <w:tab/>
        <w:t>Discussion on UE features for Rel18 MIMO</w:t>
      </w:r>
      <w:r w:rsidR="00F74A6F" w:rsidRPr="009537ED">
        <w:rPr>
          <w:lang w:eastAsia="x-none"/>
        </w:rPr>
        <w:tab/>
        <w:t>Ericsson</w:t>
      </w:r>
    </w:p>
    <w:p w14:paraId="06C65234" w14:textId="5671042C" w:rsidR="00F74A6F" w:rsidRPr="009537ED" w:rsidRDefault="005A18DC" w:rsidP="00F74A6F">
      <w:pPr>
        <w:rPr>
          <w:lang w:eastAsia="x-none"/>
        </w:rPr>
      </w:pPr>
      <w:hyperlink r:id="rId1983" w:history="1">
        <w:r w:rsidR="00AF7253">
          <w:rPr>
            <w:rStyle w:val="Hyperlink"/>
            <w:lang w:eastAsia="x-none"/>
          </w:rPr>
          <w:t>R1-2310956</w:t>
        </w:r>
      </w:hyperlink>
      <w:r w:rsidR="00F74A6F" w:rsidRPr="009537ED">
        <w:rPr>
          <w:lang w:eastAsia="x-none"/>
        </w:rPr>
        <w:tab/>
        <w:t>Discussion on UE features for NR MIMO evolution</w:t>
      </w:r>
      <w:r w:rsidR="00F74A6F" w:rsidRPr="009537ED">
        <w:rPr>
          <w:lang w:eastAsia="x-none"/>
        </w:rPr>
        <w:tab/>
        <w:t>ZTE</w:t>
      </w:r>
    </w:p>
    <w:p w14:paraId="014C3EC8" w14:textId="48C38CD8" w:rsidR="00F74A6F" w:rsidRPr="009537ED" w:rsidRDefault="005A18DC" w:rsidP="00F74A6F">
      <w:pPr>
        <w:rPr>
          <w:lang w:eastAsia="x-none"/>
        </w:rPr>
      </w:pPr>
      <w:hyperlink r:id="rId1984" w:history="1">
        <w:r w:rsidR="00AF7253">
          <w:rPr>
            <w:rStyle w:val="Hyperlink"/>
            <w:lang w:eastAsia="x-none"/>
          </w:rPr>
          <w:t>R1-2311049</w:t>
        </w:r>
      </w:hyperlink>
      <w:r w:rsidR="00F74A6F" w:rsidRPr="009537ED">
        <w:rPr>
          <w:lang w:eastAsia="x-none"/>
        </w:rPr>
        <w:tab/>
        <w:t>Discussion on UE features for NR MIMO evolution</w:t>
      </w:r>
      <w:r w:rsidR="00F74A6F" w:rsidRPr="009537ED">
        <w:rPr>
          <w:lang w:eastAsia="x-none"/>
        </w:rPr>
        <w:tab/>
        <w:t>Fujitsu</w:t>
      </w:r>
    </w:p>
    <w:p w14:paraId="6511205F" w14:textId="4158375A" w:rsidR="00F74A6F" w:rsidRPr="009537ED" w:rsidRDefault="005A18DC" w:rsidP="00F74A6F">
      <w:pPr>
        <w:rPr>
          <w:lang w:eastAsia="x-none"/>
        </w:rPr>
      </w:pPr>
      <w:hyperlink r:id="rId1985" w:history="1">
        <w:r w:rsidR="00AF7253">
          <w:rPr>
            <w:rStyle w:val="Hyperlink"/>
            <w:lang w:eastAsia="x-none"/>
          </w:rPr>
          <w:t>R1-2311117</w:t>
        </w:r>
      </w:hyperlink>
      <w:r w:rsidR="00F74A6F" w:rsidRPr="009537ED">
        <w:rPr>
          <w:lang w:eastAsia="x-none"/>
        </w:rPr>
        <w:tab/>
        <w:t>Discussion on Rel-18 MIMO UE features</w:t>
      </w:r>
      <w:r w:rsidR="00F74A6F" w:rsidRPr="009537ED">
        <w:rPr>
          <w:lang w:eastAsia="x-none"/>
        </w:rPr>
        <w:tab/>
        <w:t>vivo</w:t>
      </w:r>
    </w:p>
    <w:p w14:paraId="5D13D2AC" w14:textId="0A41532B" w:rsidR="00F74A6F" w:rsidRPr="009537ED" w:rsidRDefault="005A18DC" w:rsidP="00F74A6F">
      <w:pPr>
        <w:rPr>
          <w:lang w:eastAsia="x-none"/>
        </w:rPr>
      </w:pPr>
      <w:hyperlink r:id="rId1986" w:history="1">
        <w:r w:rsidR="00AF7253">
          <w:rPr>
            <w:rStyle w:val="Hyperlink"/>
            <w:lang w:eastAsia="x-none"/>
          </w:rPr>
          <w:t>R1-2311150</w:t>
        </w:r>
      </w:hyperlink>
      <w:r w:rsidR="00F74A6F" w:rsidRPr="009537ED">
        <w:rPr>
          <w:lang w:eastAsia="x-none"/>
        </w:rPr>
        <w:tab/>
        <w:t>UE features for NR-MIMO evolution</w:t>
      </w:r>
      <w:r w:rsidR="00F74A6F" w:rsidRPr="009537ED">
        <w:rPr>
          <w:lang w:eastAsia="x-none"/>
        </w:rPr>
        <w:tab/>
        <w:t>Intel Corporation</w:t>
      </w:r>
    </w:p>
    <w:p w14:paraId="5C8606F2" w14:textId="239E4863" w:rsidR="00F74A6F" w:rsidRPr="009537ED" w:rsidRDefault="005A18DC" w:rsidP="00F74A6F">
      <w:pPr>
        <w:rPr>
          <w:lang w:eastAsia="x-none"/>
        </w:rPr>
      </w:pPr>
      <w:hyperlink r:id="rId1987" w:history="1">
        <w:r w:rsidR="00AF7253">
          <w:rPr>
            <w:rStyle w:val="Hyperlink"/>
            <w:lang w:eastAsia="x-none"/>
          </w:rPr>
          <w:t>R1-2311220</w:t>
        </w:r>
      </w:hyperlink>
      <w:r w:rsidR="00F74A6F" w:rsidRPr="009537ED">
        <w:rPr>
          <w:lang w:eastAsia="x-none"/>
        </w:rPr>
        <w:tab/>
        <w:t>UE features for Rel-18 MIMO evolution</w:t>
      </w:r>
      <w:r w:rsidR="00F74A6F" w:rsidRPr="009537ED">
        <w:rPr>
          <w:lang w:eastAsia="x-none"/>
        </w:rPr>
        <w:tab/>
        <w:t>OPPO</w:t>
      </w:r>
    </w:p>
    <w:p w14:paraId="1CC5526D" w14:textId="12A45DD4" w:rsidR="00F74A6F" w:rsidRPr="009537ED" w:rsidRDefault="005A18DC" w:rsidP="00F74A6F">
      <w:pPr>
        <w:rPr>
          <w:lang w:eastAsia="x-none"/>
        </w:rPr>
      </w:pPr>
      <w:hyperlink r:id="rId1988" w:history="1">
        <w:r w:rsidR="00AF7253">
          <w:rPr>
            <w:rStyle w:val="Hyperlink"/>
            <w:lang w:eastAsia="x-none"/>
          </w:rPr>
          <w:t>R1-2311328</w:t>
        </w:r>
      </w:hyperlink>
      <w:r w:rsidR="00F74A6F" w:rsidRPr="009537ED">
        <w:rPr>
          <w:lang w:eastAsia="x-none"/>
        </w:rPr>
        <w:tab/>
        <w:t>Further discussion on UE features for NR MIMO evolution</w:t>
      </w:r>
      <w:r w:rsidR="00F74A6F" w:rsidRPr="009537ED">
        <w:rPr>
          <w:lang w:eastAsia="x-none"/>
        </w:rPr>
        <w:tab/>
        <w:t>CATT</w:t>
      </w:r>
    </w:p>
    <w:p w14:paraId="58F7D146" w14:textId="0EC9349C" w:rsidR="00F74A6F" w:rsidRPr="009537ED" w:rsidRDefault="005A18DC" w:rsidP="00F74A6F">
      <w:pPr>
        <w:rPr>
          <w:lang w:eastAsia="x-none"/>
        </w:rPr>
      </w:pPr>
      <w:hyperlink r:id="rId1989" w:history="1">
        <w:r w:rsidR="00AF7253">
          <w:rPr>
            <w:rStyle w:val="Hyperlink"/>
            <w:lang w:eastAsia="x-none"/>
          </w:rPr>
          <w:t>R1-2311392</w:t>
        </w:r>
      </w:hyperlink>
      <w:r w:rsidR="00F74A6F" w:rsidRPr="009537ED">
        <w:rPr>
          <w:lang w:eastAsia="x-none"/>
        </w:rPr>
        <w:tab/>
        <w:t>Further discussion on UE features for NR MIMO evolution</w:t>
      </w:r>
      <w:r w:rsidR="00F74A6F" w:rsidRPr="009537ED">
        <w:rPr>
          <w:lang w:eastAsia="x-none"/>
        </w:rPr>
        <w:tab/>
        <w:t>xiaomi</w:t>
      </w:r>
    </w:p>
    <w:p w14:paraId="362454AE" w14:textId="39548E9C" w:rsidR="00F74A6F" w:rsidRPr="009537ED" w:rsidRDefault="005A18DC" w:rsidP="00F74A6F">
      <w:pPr>
        <w:rPr>
          <w:lang w:eastAsia="x-none"/>
        </w:rPr>
      </w:pPr>
      <w:hyperlink r:id="rId1990" w:history="1">
        <w:r w:rsidR="00AF7253">
          <w:rPr>
            <w:rStyle w:val="Hyperlink"/>
            <w:lang w:eastAsia="x-none"/>
          </w:rPr>
          <w:t>R1-2311438</w:t>
        </w:r>
      </w:hyperlink>
      <w:r w:rsidR="00F74A6F" w:rsidRPr="009537ED">
        <w:rPr>
          <w:lang w:eastAsia="x-none"/>
        </w:rPr>
        <w:tab/>
        <w:t>Discussion on Rel-18 MIMO UE features</w:t>
      </w:r>
      <w:r w:rsidR="00F74A6F" w:rsidRPr="009537ED">
        <w:rPr>
          <w:lang w:eastAsia="x-none"/>
        </w:rPr>
        <w:tab/>
        <w:t>LG Electronics</w:t>
      </w:r>
    </w:p>
    <w:p w14:paraId="2AD1606B" w14:textId="6211335D" w:rsidR="00F74A6F" w:rsidRPr="009537ED" w:rsidRDefault="005A18DC" w:rsidP="00F74A6F">
      <w:pPr>
        <w:rPr>
          <w:lang w:eastAsia="x-none"/>
        </w:rPr>
      </w:pPr>
      <w:hyperlink r:id="rId1991" w:history="1">
        <w:r w:rsidR="00AF7253">
          <w:rPr>
            <w:rStyle w:val="Hyperlink"/>
            <w:lang w:eastAsia="x-none"/>
          </w:rPr>
          <w:t>R1-2311501</w:t>
        </w:r>
      </w:hyperlink>
      <w:r w:rsidR="00F74A6F" w:rsidRPr="009537ED">
        <w:rPr>
          <w:lang w:eastAsia="x-none"/>
        </w:rPr>
        <w:tab/>
        <w:t>Discussion on UE features for NR MIMO evolution</w:t>
      </w:r>
      <w:r w:rsidR="00F74A6F" w:rsidRPr="009537ED">
        <w:rPr>
          <w:lang w:eastAsia="x-none"/>
        </w:rPr>
        <w:tab/>
        <w:t>CMCC</w:t>
      </w:r>
    </w:p>
    <w:p w14:paraId="3D6CAE1B" w14:textId="302526EC" w:rsidR="00F74A6F" w:rsidRPr="009537ED" w:rsidRDefault="005A18DC" w:rsidP="00F74A6F">
      <w:pPr>
        <w:rPr>
          <w:lang w:eastAsia="x-none"/>
        </w:rPr>
      </w:pPr>
      <w:hyperlink r:id="rId1992" w:history="1">
        <w:r w:rsidR="00AF7253">
          <w:rPr>
            <w:rStyle w:val="Hyperlink"/>
            <w:lang w:eastAsia="x-none"/>
          </w:rPr>
          <w:t>R1-2311576</w:t>
        </w:r>
      </w:hyperlink>
      <w:r w:rsidR="00F74A6F" w:rsidRPr="009537ED">
        <w:rPr>
          <w:lang w:eastAsia="x-none"/>
        </w:rPr>
        <w:tab/>
        <w:t>UE feature on NR MIMO evolution</w:t>
      </w:r>
      <w:r w:rsidR="00F74A6F" w:rsidRPr="009537ED">
        <w:rPr>
          <w:lang w:eastAsia="x-none"/>
        </w:rPr>
        <w:tab/>
        <w:t>Google</w:t>
      </w:r>
    </w:p>
    <w:p w14:paraId="0D60155B" w14:textId="6DCBB512" w:rsidR="00F74A6F" w:rsidRPr="009537ED" w:rsidRDefault="005A18DC" w:rsidP="00F74A6F">
      <w:pPr>
        <w:rPr>
          <w:lang w:eastAsia="x-none"/>
        </w:rPr>
      </w:pPr>
      <w:hyperlink r:id="rId1993" w:history="1">
        <w:r w:rsidR="00AF7253">
          <w:rPr>
            <w:rStyle w:val="Hyperlink"/>
            <w:lang w:eastAsia="x-none"/>
          </w:rPr>
          <w:t>R1-2311642</w:t>
        </w:r>
      </w:hyperlink>
      <w:r w:rsidR="00F74A6F" w:rsidRPr="009537ED">
        <w:rPr>
          <w:lang w:eastAsia="x-none"/>
        </w:rPr>
        <w:tab/>
        <w:t>Discussion on UE features for NR MIMO evolution</w:t>
      </w:r>
      <w:r w:rsidR="00F74A6F" w:rsidRPr="009537ED">
        <w:rPr>
          <w:lang w:eastAsia="x-none"/>
        </w:rPr>
        <w:tab/>
        <w:t>NTT DOCOMO, INC.</w:t>
      </w:r>
    </w:p>
    <w:p w14:paraId="3A200BD7" w14:textId="7B40A27C" w:rsidR="00F74A6F" w:rsidRPr="009537ED" w:rsidRDefault="005A18DC" w:rsidP="00F74A6F">
      <w:pPr>
        <w:rPr>
          <w:lang w:eastAsia="x-none"/>
        </w:rPr>
      </w:pPr>
      <w:hyperlink r:id="rId1994" w:history="1">
        <w:r w:rsidR="00AF7253">
          <w:rPr>
            <w:rStyle w:val="Hyperlink"/>
            <w:lang w:eastAsia="x-none"/>
          </w:rPr>
          <w:t>R1-2311706</w:t>
        </w:r>
      </w:hyperlink>
      <w:r w:rsidR="00F74A6F" w:rsidRPr="009537ED">
        <w:rPr>
          <w:lang w:eastAsia="x-none"/>
        </w:rPr>
        <w:tab/>
        <w:t>Views on UE features for Rel-18 NR MIMO evolution</w:t>
      </w:r>
      <w:r w:rsidR="00F74A6F" w:rsidRPr="009537ED">
        <w:rPr>
          <w:lang w:eastAsia="x-none"/>
        </w:rPr>
        <w:tab/>
        <w:t>Apple</w:t>
      </w:r>
    </w:p>
    <w:p w14:paraId="7A731164" w14:textId="7330B6BA" w:rsidR="00F74A6F" w:rsidRPr="009537ED" w:rsidRDefault="005A18DC" w:rsidP="00F74A6F">
      <w:pPr>
        <w:rPr>
          <w:lang w:eastAsia="x-none"/>
        </w:rPr>
      </w:pPr>
      <w:hyperlink r:id="rId1995" w:history="1">
        <w:r w:rsidR="00AF7253">
          <w:rPr>
            <w:rStyle w:val="Hyperlink"/>
            <w:lang w:eastAsia="x-none"/>
          </w:rPr>
          <w:t>R1-2311867</w:t>
        </w:r>
      </w:hyperlink>
      <w:r w:rsidR="00F74A6F" w:rsidRPr="009537ED">
        <w:rPr>
          <w:lang w:eastAsia="x-none"/>
        </w:rPr>
        <w:tab/>
        <w:t>UE features for Rel-18 MIMO</w:t>
      </w:r>
      <w:r w:rsidR="00F74A6F" w:rsidRPr="009537ED">
        <w:rPr>
          <w:lang w:eastAsia="x-none"/>
        </w:rPr>
        <w:tab/>
        <w:t>Samsung</w:t>
      </w:r>
    </w:p>
    <w:p w14:paraId="2B6F24D0" w14:textId="1B671D7A" w:rsidR="00F74A6F" w:rsidRPr="009537ED" w:rsidRDefault="005A18DC" w:rsidP="00F74A6F">
      <w:pPr>
        <w:rPr>
          <w:lang w:eastAsia="x-none"/>
        </w:rPr>
      </w:pPr>
      <w:hyperlink r:id="rId1996" w:history="1">
        <w:r w:rsidR="00AF7253">
          <w:rPr>
            <w:rStyle w:val="Hyperlink"/>
            <w:lang w:eastAsia="x-none"/>
          </w:rPr>
          <w:t>R1-2311974</w:t>
        </w:r>
      </w:hyperlink>
      <w:r w:rsidR="00F74A6F" w:rsidRPr="009537ED">
        <w:rPr>
          <w:lang w:eastAsia="x-none"/>
        </w:rPr>
        <w:tab/>
        <w:t>UE Features for NR MIMO Evolution</w:t>
      </w:r>
      <w:r w:rsidR="00F74A6F" w:rsidRPr="009537ED">
        <w:rPr>
          <w:lang w:eastAsia="x-none"/>
        </w:rPr>
        <w:tab/>
        <w:t>MediaTek Inc.</w:t>
      </w:r>
    </w:p>
    <w:p w14:paraId="61E40039" w14:textId="6ABC5B46" w:rsidR="00F74A6F" w:rsidRPr="009537ED" w:rsidRDefault="005A18DC" w:rsidP="00F74A6F">
      <w:pPr>
        <w:rPr>
          <w:lang w:eastAsia="x-none"/>
        </w:rPr>
      </w:pPr>
      <w:hyperlink r:id="rId1997" w:history="1">
        <w:r w:rsidR="00AF7253">
          <w:rPr>
            <w:rStyle w:val="Hyperlink"/>
            <w:lang w:eastAsia="x-none"/>
          </w:rPr>
          <w:t>R1-2312061</w:t>
        </w:r>
      </w:hyperlink>
      <w:r w:rsidR="00F74A6F" w:rsidRPr="009537ED">
        <w:rPr>
          <w:lang w:eastAsia="x-none"/>
        </w:rPr>
        <w:tab/>
        <w:t>UE features for NR MIMO evolution</w:t>
      </w:r>
      <w:r w:rsidR="00F74A6F" w:rsidRPr="009537ED">
        <w:rPr>
          <w:lang w:eastAsia="x-none"/>
        </w:rPr>
        <w:tab/>
        <w:t>Qualcomm Incorporated</w:t>
      </w:r>
    </w:p>
    <w:p w14:paraId="531B8E7B" w14:textId="2D40AA67" w:rsidR="00F74A6F" w:rsidRDefault="005A18DC" w:rsidP="00F74A6F">
      <w:pPr>
        <w:rPr>
          <w:lang w:eastAsia="x-none"/>
        </w:rPr>
      </w:pPr>
      <w:hyperlink r:id="rId1998" w:history="1">
        <w:r w:rsidR="00AF7253">
          <w:rPr>
            <w:rStyle w:val="Hyperlink"/>
            <w:lang w:eastAsia="x-none"/>
          </w:rPr>
          <w:t>R1-2312152</w:t>
        </w:r>
      </w:hyperlink>
      <w:r w:rsidR="00F74A6F" w:rsidRPr="009537ED">
        <w:rPr>
          <w:lang w:eastAsia="x-none"/>
        </w:rPr>
        <w:tab/>
        <w:t>UE features for NR MIMO evolution</w:t>
      </w:r>
      <w:r w:rsidR="00F74A6F" w:rsidRPr="009537ED">
        <w:rPr>
          <w:lang w:eastAsia="x-none"/>
        </w:rPr>
        <w:tab/>
        <w:t>Huawei, HiSilicon</w:t>
      </w:r>
    </w:p>
    <w:p w14:paraId="7E2B8D8C" w14:textId="77777777" w:rsidR="00955F5C" w:rsidRDefault="00955F5C" w:rsidP="00F74A6F">
      <w:pPr>
        <w:rPr>
          <w:lang w:eastAsia="x-none"/>
        </w:rPr>
      </w:pPr>
    </w:p>
    <w:p w14:paraId="0D5AD76F" w14:textId="50772016" w:rsidR="00955F5C" w:rsidRPr="00955F5C" w:rsidRDefault="005A18DC" w:rsidP="00955F5C">
      <w:pPr>
        <w:rPr>
          <w:b/>
          <w:bCs/>
          <w:lang w:eastAsia="x-none"/>
        </w:rPr>
      </w:pPr>
      <w:hyperlink r:id="rId1999" w:history="1">
        <w:r w:rsidR="00AF7253">
          <w:rPr>
            <w:rStyle w:val="Hyperlink"/>
            <w:b/>
            <w:bCs/>
            <w:lang w:eastAsia="x-none"/>
          </w:rPr>
          <w:t>R1-2312079</w:t>
        </w:r>
      </w:hyperlink>
      <w:r w:rsidR="00955F5C" w:rsidRPr="00955F5C">
        <w:rPr>
          <w:b/>
          <w:bCs/>
          <w:lang w:eastAsia="x-none"/>
        </w:rPr>
        <w:tab/>
        <w:t>Summary of UE features for NR MIMO evolution</w:t>
      </w:r>
      <w:r w:rsidR="00955F5C" w:rsidRPr="00955F5C">
        <w:rPr>
          <w:b/>
          <w:bCs/>
          <w:lang w:eastAsia="x-none"/>
        </w:rPr>
        <w:tab/>
        <w:t>Moderator (AT&amp;T)</w:t>
      </w:r>
    </w:p>
    <w:p w14:paraId="51372B76" w14:textId="4CB21DB6" w:rsidR="00955F5C" w:rsidRPr="009537ED" w:rsidRDefault="00955F5C" w:rsidP="00F74A6F">
      <w:pPr>
        <w:rPr>
          <w:lang w:eastAsia="x-none"/>
        </w:rPr>
      </w:pPr>
      <w:r w:rsidRPr="00955F5C">
        <w:rPr>
          <w:lang w:eastAsia="x-none"/>
        </w:rPr>
        <w:t xml:space="preserve">This document presents the summary of email discussion [115-R18-UE_features-02] </w:t>
      </w:r>
      <w:r>
        <w:rPr>
          <w:lang w:eastAsia="x-none"/>
        </w:rPr>
        <w:t xml:space="preserve">related to MIMO </w:t>
      </w:r>
      <w:r w:rsidRPr="00955F5C">
        <w:rPr>
          <w:lang w:eastAsia="x-none"/>
        </w:rPr>
        <w:t>during RAN1 #115.</w:t>
      </w:r>
    </w:p>
    <w:p w14:paraId="6335EE7C" w14:textId="77777777" w:rsidR="00F74A6F" w:rsidRDefault="00F74A6F" w:rsidP="00F74A6F">
      <w:pPr>
        <w:pStyle w:val="Heading3"/>
      </w:pPr>
      <w:bookmarkStart w:id="798" w:name="_Toc150174505"/>
      <w:bookmarkStart w:id="799" w:name="_Toc159251047"/>
      <w:r w:rsidRPr="009537ED">
        <w:t>UE features for NR sidelink evolution</w:t>
      </w:r>
      <w:bookmarkEnd w:id="798"/>
      <w:bookmarkEnd w:id="799"/>
    </w:p>
    <w:p w14:paraId="72E4EC1B" w14:textId="1946A4C9" w:rsidR="00B86E76" w:rsidRPr="00B86E76" w:rsidRDefault="005A18DC" w:rsidP="00B86E76">
      <w:pPr>
        <w:rPr>
          <w:b/>
          <w:bCs/>
          <w:lang w:eastAsia="x-none"/>
        </w:rPr>
      </w:pPr>
      <w:hyperlink r:id="rId2000" w:history="1">
        <w:r w:rsidR="00AF7253">
          <w:rPr>
            <w:rStyle w:val="Hyperlink"/>
            <w:b/>
            <w:bCs/>
            <w:lang w:eastAsia="x-none"/>
          </w:rPr>
          <w:t>R1-2312575</w:t>
        </w:r>
      </w:hyperlink>
      <w:r w:rsidR="00B86E76" w:rsidRPr="00B86E76">
        <w:rPr>
          <w:b/>
          <w:bCs/>
          <w:lang w:eastAsia="x-none"/>
        </w:rPr>
        <w:tab/>
        <w:t>Session Notes for 8.16.2</w:t>
      </w:r>
      <w:r w:rsidR="00B86E76" w:rsidRPr="00B86E76">
        <w:rPr>
          <w:b/>
          <w:bCs/>
          <w:lang w:eastAsia="x-none"/>
        </w:rPr>
        <w:tab/>
        <w:t>Ad-Hoc Chair (NTT DOCOMO)</w:t>
      </w:r>
    </w:p>
    <w:p w14:paraId="5342C205" w14:textId="77777777" w:rsidR="00B86E76" w:rsidRPr="00663F3A" w:rsidRDefault="00B86E76" w:rsidP="00B86E76">
      <w:pPr>
        <w:rPr>
          <w:lang w:val="en-US" w:eastAsia="x-none"/>
        </w:rPr>
      </w:pPr>
      <w:r w:rsidRPr="00F05EFE">
        <w:rPr>
          <w:b/>
          <w:bCs/>
        </w:rPr>
        <w:t>Friday decision:</w:t>
      </w:r>
      <w:r>
        <w:t xml:space="preserve"> The </w:t>
      </w:r>
      <w:r>
        <w:rPr>
          <w:lang w:val="en-US" w:eastAsia="x-none"/>
        </w:rPr>
        <w:t>s</w:t>
      </w:r>
      <w:r w:rsidRPr="00663F3A">
        <w:rPr>
          <w:lang w:val="en-US" w:eastAsia="x-none"/>
        </w:rPr>
        <w:t>ession notes</w:t>
      </w:r>
      <w:r>
        <w:rPr>
          <w:lang w:val="en-US" w:eastAsia="x-none"/>
        </w:rPr>
        <w:t xml:space="preserve"> (all agreements reached during RAN1#115)</w:t>
      </w:r>
      <w:r w:rsidRPr="00663F3A">
        <w:rPr>
          <w:lang w:val="en-US" w:eastAsia="x-none"/>
        </w:rPr>
        <w:t xml:space="preserve"> are </w:t>
      </w:r>
      <w:r w:rsidRPr="00663F3A">
        <w:rPr>
          <w:highlight w:val="green"/>
          <w:lang w:val="en-US" w:eastAsia="x-none"/>
        </w:rPr>
        <w:t>endorsed</w:t>
      </w:r>
      <w:r w:rsidRPr="00663F3A">
        <w:rPr>
          <w:lang w:val="en-US" w:eastAsia="x-none"/>
        </w:rPr>
        <w:t>.</w:t>
      </w:r>
    </w:p>
    <w:p w14:paraId="02F4581C" w14:textId="77777777" w:rsidR="00B86E76" w:rsidRPr="00B86E76" w:rsidRDefault="00B86E76" w:rsidP="00B86E76">
      <w:pPr>
        <w:rPr>
          <w:lang w:val="en-US"/>
        </w:rPr>
      </w:pPr>
    </w:p>
    <w:p w14:paraId="270AE7CF" w14:textId="61EDE3B1" w:rsidR="00F74A6F" w:rsidRPr="009537ED" w:rsidRDefault="005A18DC" w:rsidP="00F74A6F">
      <w:pPr>
        <w:rPr>
          <w:lang w:eastAsia="x-none"/>
        </w:rPr>
      </w:pPr>
      <w:hyperlink r:id="rId2001" w:history="1">
        <w:r w:rsidR="00AF7253">
          <w:rPr>
            <w:rStyle w:val="Hyperlink"/>
            <w:lang w:eastAsia="x-none"/>
          </w:rPr>
          <w:t>R1-2310825</w:t>
        </w:r>
      </w:hyperlink>
      <w:r w:rsidR="00F74A6F" w:rsidRPr="009537ED">
        <w:rPr>
          <w:lang w:eastAsia="x-none"/>
        </w:rPr>
        <w:tab/>
        <w:t>Sidelink unlicensed UE features</w:t>
      </w:r>
      <w:r w:rsidR="00F74A6F" w:rsidRPr="009537ED">
        <w:rPr>
          <w:lang w:eastAsia="x-none"/>
        </w:rPr>
        <w:tab/>
        <w:t>FUTUREWEI</w:t>
      </w:r>
    </w:p>
    <w:p w14:paraId="686BC517" w14:textId="012B1D20" w:rsidR="00F74A6F" w:rsidRPr="009537ED" w:rsidRDefault="005A18DC" w:rsidP="00F74A6F">
      <w:pPr>
        <w:rPr>
          <w:lang w:eastAsia="x-none"/>
        </w:rPr>
      </w:pPr>
      <w:hyperlink r:id="rId2002" w:history="1">
        <w:r w:rsidR="00AF7253">
          <w:rPr>
            <w:rStyle w:val="Hyperlink"/>
            <w:lang w:eastAsia="x-none"/>
          </w:rPr>
          <w:t>R1-2310855</w:t>
        </w:r>
      </w:hyperlink>
      <w:r w:rsidR="00F74A6F" w:rsidRPr="009537ED">
        <w:rPr>
          <w:lang w:eastAsia="x-none"/>
        </w:rPr>
        <w:tab/>
        <w:t>UE features for NR sidelink evolution</w:t>
      </w:r>
      <w:r w:rsidR="00F74A6F" w:rsidRPr="009537ED">
        <w:rPr>
          <w:lang w:eastAsia="x-none"/>
        </w:rPr>
        <w:tab/>
        <w:t>Huawei, HiSilicon</w:t>
      </w:r>
    </w:p>
    <w:p w14:paraId="0974FBD8" w14:textId="463D5E46" w:rsidR="00F74A6F" w:rsidRPr="009537ED" w:rsidRDefault="005A18DC" w:rsidP="00F74A6F">
      <w:pPr>
        <w:rPr>
          <w:lang w:eastAsia="x-none"/>
        </w:rPr>
      </w:pPr>
      <w:hyperlink r:id="rId2003" w:history="1">
        <w:r w:rsidR="00AF7253">
          <w:rPr>
            <w:rStyle w:val="Hyperlink"/>
            <w:lang w:eastAsia="x-none"/>
          </w:rPr>
          <w:t>R1-2310890</w:t>
        </w:r>
      </w:hyperlink>
      <w:r w:rsidR="00F74A6F" w:rsidRPr="009537ED">
        <w:rPr>
          <w:lang w:eastAsia="x-none"/>
        </w:rPr>
        <w:tab/>
        <w:t>On UE features for NR sidelink evolution</w:t>
      </w:r>
      <w:r w:rsidR="00F74A6F" w:rsidRPr="009537ED">
        <w:rPr>
          <w:lang w:eastAsia="x-none"/>
        </w:rPr>
        <w:tab/>
        <w:t>Nokia, Nokia Shanghai Bell</w:t>
      </w:r>
    </w:p>
    <w:p w14:paraId="67EE43F1" w14:textId="6CB1896F" w:rsidR="00F74A6F" w:rsidRPr="009537ED" w:rsidRDefault="005A18DC" w:rsidP="00F74A6F">
      <w:pPr>
        <w:rPr>
          <w:lang w:eastAsia="x-none"/>
        </w:rPr>
      </w:pPr>
      <w:hyperlink r:id="rId2004" w:history="1">
        <w:r w:rsidR="00AF7253">
          <w:rPr>
            <w:rStyle w:val="Hyperlink"/>
            <w:lang w:eastAsia="x-none"/>
          </w:rPr>
          <w:t>R1-2311118</w:t>
        </w:r>
      </w:hyperlink>
      <w:r w:rsidR="00F74A6F" w:rsidRPr="009537ED">
        <w:rPr>
          <w:lang w:eastAsia="x-none"/>
        </w:rPr>
        <w:tab/>
        <w:t>Discussion on Rel-18 sidelink UE features</w:t>
      </w:r>
      <w:r w:rsidR="00F74A6F" w:rsidRPr="009537ED">
        <w:rPr>
          <w:lang w:eastAsia="x-none"/>
        </w:rPr>
        <w:tab/>
        <w:t>vivo</w:t>
      </w:r>
    </w:p>
    <w:p w14:paraId="3AB1506A" w14:textId="29B483B8" w:rsidR="00F74A6F" w:rsidRPr="009537ED" w:rsidRDefault="005A18DC" w:rsidP="00F74A6F">
      <w:pPr>
        <w:rPr>
          <w:lang w:eastAsia="x-none"/>
        </w:rPr>
      </w:pPr>
      <w:hyperlink r:id="rId2005" w:history="1">
        <w:r w:rsidR="00AF7253">
          <w:rPr>
            <w:rStyle w:val="Hyperlink"/>
            <w:lang w:eastAsia="x-none"/>
          </w:rPr>
          <w:t>R1-2311184</w:t>
        </w:r>
      </w:hyperlink>
      <w:r w:rsidR="00F74A6F" w:rsidRPr="009537ED">
        <w:rPr>
          <w:lang w:eastAsia="x-none"/>
        </w:rPr>
        <w:tab/>
        <w:t>Discussion on UE features for NR sidelink evolution</w:t>
      </w:r>
      <w:r w:rsidR="00F74A6F" w:rsidRPr="009537ED">
        <w:rPr>
          <w:lang w:eastAsia="x-none"/>
        </w:rPr>
        <w:tab/>
        <w:t>Spreadtrum Communications</w:t>
      </w:r>
    </w:p>
    <w:p w14:paraId="3F66C082" w14:textId="09634E26" w:rsidR="00F74A6F" w:rsidRPr="009537ED" w:rsidRDefault="005A18DC" w:rsidP="00F74A6F">
      <w:pPr>
        <w:rPr>
          <w:lang w:eastAsia="x-none"/>
        </w:rPr>
      </w:pPr>
      <w:hyperlink r:id="rId2006" w:history="1">
        <w:r w:rsidR="00AF7253">
          <w:rPr>
            <w:rStyle w:val="Hyperlink"/>
            <w:lang w:eastAsia="x-none"/>
          </w:rPr>
          <w:t>R1-2311278</w:t>
        </w:r>
      </w:hyperlink>
      <w:r w:rsidR="00F74A6F" w:rsidRPr="009537ED">
        <w:rPr>
          <w:lang w:eastAsia="x-none"/>
        </w:rPr>
        <w:tab/>
        <w:t>UE features list for Rel-18 NR sidelink evolution WI</w:t>
      </w:r>
      <w:r w:rsidR="00F74A6F" w:rsidRPr="009537ED">
        <w:rPr>
          <w:lang w:eastAsia="x-none"/>
        </w:rPr>
        <w:tab/>
        <w:t>OPPO, Huawei, HiSilicon, LG Electronics</w:t>
      </w:r>
    </w:p>
    <w:p w14:paraId="63F4186F" w14:textId="0FE7202D" w:rsidR="00F74A6F" w:rsidRPr="009537ED" w:rsidRDefault="005A18DC" w:rsidP="00F74A6F">
      <w:pPr>
        <w:rPr>
          <w:lang w:eastAsia="x-none"/>
        </w:rPr>
      </w:pPr>
      <w:hyperlink r:id="rId2007" w:history="1">
        <w:r w:rsidR="00AF7253">
          <w:rPr>
            <w:rStyle w:val="Hyperlink"/>
            <w:lang w:eastAsia="x-none"/>
          </w:rPr>
          <w:t>R1-2311329</w:t>
        </w:r>
      </w:hyperlink>
      <w:r w:rsidR="00F74A6F" w:rsidRPr="009537ED">
        <w:rPr>
          <w:lang w:eastAsia="x-none"/>
        </w:rPr>
        <w:tab/>
        <w:t>Further discussion on UE features for NR sidelink evolution</w:t>
      </w:r>
      <w:r w:rsidR="00F74A6F" w:rsidRPr="009537ED">
        <w:rPr>
          <w:lang w:eastAsia="x-none"/>
        </w:rPr>
        <w:tab/>
        <w:t>CATT, CICTCI</w:t>
      </w:r>
    </w:p>
    <w:p w14:paraId="265A5908" w14:textId="04CFCC1B" w:rsidR="00F74A6F" w:rsidRPr="009537ED" w:rsidRDefault="005A18DC" w:rsidP="00F74A6F">
      <w:pPr>
        <w:rPr>
          <w:lang w:eastAsia="x-none"/>
        </w:rPr>
      </w:pPr>
      <w:hyperlink r:id="rId2008" w:history="1">
        <w:r w:rsidR="00AF7253">
          <w:rPr>
            <w:rStyle w:val="Hyperlink"/>
            <w:lang w:eastAsia="x-none"/>
          </w:rPr>
          <w:t>R1-2311394</w:t>
        </w:r>
      </w:hyperlink>
      <w:r w:rsidR="00F74A6F" w:rsidRPr="009537ED">
        <w:rPr>
          <w:lang w:eastAsia="x-none"/>
        </w:rPr>
        <w:tab/>
        <w:t>Discussion on UE features for NR sidelink evolution</w:t>
      </w:r>
      <w:r w:rsidR="00F74A6F" w:rsidRPr="009537ED">
        <w:rPr>
          <w:lang w:eastAsia="x-none"/>
        </w:rPr>
        <w:tab/>
        <w:t>xiaomi</w:t>
      </w:r>
    </w:p>
    <w:p w14:paraId="7316414C" w14:textId="2A4EA09C" w:rsidR="00F74A6F" w:rsidRPr="009537ED" w:rsidRDefault="005A18DC" w:rsidP="00F74A6F">
      <w:pPr>
        <w:rPr>
          <w:lang w:eastAsia="x-none"/>
        </w:rPr>
      </w:pPr>
      <w:hyperlink r:id="rId2009" w:history="1">
        <w:r w:rsidR="00AF7253">
          <w:rPr>
            <w:rStyle w:val="Hyperlink"/>
            <w:lang w:eastAsia="x-none"/>
          </w:rPr>
          <w:t>R1-2311519</w:t>
        </w:r>
      </w:hyperlink>
      <w:r w:rsidR="00F74A6F" w:rsidRPr="009537ED">
        <w:rPr>
          <w:lang w:eastAsia="x-none"/>
        </w:rPr>
        <w:tab/>
        <w:t>Discussion on UE features for NR sidelink evolution</w:t>
      </w:r>
      <w:r w:rsidR="00F74A6F" w:rsidRPr="009537ED">
        <w:rPr>
          <w:lang w:eastAsia="x-none"/>
        </w:rPr>
        <w:tab/>
        <w:t>ZTE, Sanechips</w:t>
      </w:r>
    </w:p>
    <w:p w14:paraId="37D4060F" w14:textId="7F11C000" w:rsidR="00F74A6F" w:rsidRPr="009537ED" w:rsidRDefault="005A18DC" w:rsidP="00F74A6F">
      <w:pPr>
        <w:rPr>
          <w:lang w:eastAsia="x-none"/>
        </w:rPr>
      </w:pPr>
      <w:hyperlink r:id="rId2010" w:history="1">
        <w:r w:rsidR="00AF7253">
          <w:rPr>
            <w:rStyle w:val="Hyperlink"/>
            <w:lang w:eastAsia="x-none"/>
          </w:rPr>
          <w:t>R1-2311643</w:t>
        </w:r>
      </w:hyperlink>
      <w:r w:rsidR="00F74A6F" w:rsidRPr="009537ED">
        <w:rPr>
          <w:lang w:eastAsia="x-none"/>
        </w:rPr>
        <w:tab/>
        <w:t>Discussion on UE features for NR SL evolution</w:t>
      </w:r>
      <w:r w:rsidR="00F74A6F" w:rsidRPr="009537ED">
        <w:rPr>
          <w:lang w:eastAsia="x-none"/>
        </w:rPr>
        <w:tab/>
        <w:t>NTT DOCOMO, INC.</w:t>
      </w:r>
    </w:p>
    <w:p w14:paraId="5BF93441" w14:textId="00373366" w:rsidR="00F74A6F" w:rsidRPr="009537ED" w:rsidRDefault="005A18DC" w:rsidP="00F74A6F">
      <w:pPr>
        <w:rPr>
          <w:lang w:eastAsia="x-none"/>
        </w:rPr>
      </w:pPr>
      <w:hyperlink r:id="rId2011" w:history="1">
        <w:r w:rsidR="00AF7253">
          <w:rPr>
            <w:rStyle w:val="Hyperlink"/>
            <w:lang w:eastAsia="x-none"/>
          </w:rPr>
          <w:t>R1-2311707</w:t>
        </w:r>
      </w:hyperlink>
      <w:r w:rsidR="00F74A6F" w:rsidRPr="009537ED">
        <w:rPr>
          <w:lang w:eastAsia="x-none"/>
        </w:rPr>
        <w:tab/>
        <w:t>Views on UE Features for Rel-18 NR Sidelink Evolution</w:t>
      </w:r>
      <w:r w:rsidR="00F74A6F" w:rsidRPr="009537ED">
        <w:rPr>
          <w:lang w:eastAsia="x-none"/>
        </w:rPr>
        <w:tab/>
        <w:t>Apple</w:t>
      </w:r>
    </w:p>
    <w:p w14:paraId="02569468" w14:textId="38BBA46F" w:rsidR="00F74A6F" w:rsidRPr="009537ED" w:rsidRDefault="005A18DC" w:rsidP="00F74A6F">
      <w:pPr>
        <w:rPr>
          <w:lang w:eastAsia="x-none"/>
        </w:rPr>
      </w:pPr>
      <w:hyperlink r:id="rId2012" w:history="1">
        <w:r w:rsidR="00AF7253">
          <w:rPr>
            <w:rStyle w:val="Hyperlink"/>
            <w:lang w:eastAsia="x-none"/>
          </w:rPr>
          <w:t>R1-2311868</w:t>
        </w:r>
      </w:hyperlink>
      <w:r w:rsidR="00F74A6F" w:rsidRPr="009537ED">
        <w:rPr>
          <w:lang w:eastAsia="x-none"/>
        </w:rPr>
        <w:tab/>
        <w:t>UE features for NR sidelink evolution</w:t>
      </w:r>
      <w:r w:rsidR="00F74A6F" w:rsidRPr="009537ED">
        <w:rPr>
          <w:lang w:eastAsia="x-none"/>
        </w:rPr>
        <w:tab/>
        <w:t>Samsung</w:t>
      </w:r>
    </w:p>
    <w:p w14:paraId="4E8817BF" w14:textId="35A04451" w:rsidR="00F74A6F" w:rsidRPr="009537ED" w:rsidRDefault="005A18DC" w:rsidP="00F74A6F">
      <w:pPr>
        <w:rPr>
          <w:lang w:eastAsia="x-none"/>
        </w:rPr>
      </w:pPr>
      <w:hyperlink r:id="rId2013" w:history="1">
        <w:r w:rsidR="00AF7253">
          <w:rPr>
            <w:rStyle w:val="Hyperlink"/>
            <w:lang w:eastAsia="x-none"/>
          </w:rPr>
          <w:t>R1-2311977</w:t>
        </w:r>
      </w:hyperlink>
      <w:r w:rsidR="00F74A6F" w:rsidRPr="009537ED">
        <w:rPr>
          <w:lang w:eastAsia="x-none"/>
        </w:rPr>
        <w:tab/>
        <w:t>Discussion on UE feature list for NR Sidelink Evolution</w:t>
      </w:r>
      <w:r w:rsidR="00F74A6F" w:rsidRPr="009537ED">
        <w:rPr>
          <w:lang w:eastAsia="x-none"/>
        </w:rPr>
        <w:tab/>
        <w:t>MediaTek Inc.</w:t>
      </w:r>
    </w:p>
    <w:p w14:paraId="5603DC8B" w14:textId="431D03CD" w:rsidR="00F74A6F" w:rsidRDefault="005A18DC" w:rsidP="00F74A6F">
      <w:pPr>
        <w:rPr>
          <w:lang w:eastAsia="x-none"/>
        </w:rPr>
      </w:pPr>
      <w:hyperlink r:id="rId2014" w:history="1">
        <w:r w:rsidR="00AF7253">
          <w:rPr>
            <w:rStyle w:val="Hyperlink"/>
            <w:lang w:eastAsia="x-none"/>
          </w:rPr>
          <w:t>R1-2312062</w:t>
        </w:r>
      </w:hyperlink>
      <w:r w:rsidR="00F74A6F" w:rsidRPr="009537ED">
        <w:rPr>
          <w:lang w:eastAsia="x-none"/>
        </w:rPr>
        <w:tab/>
        <w:t>UE feature for sidelink evolution</w:t>
      </w:r>
      <w:r w:rsidR="00F74A6F" w:rsidRPr="009537ED">
        <w:rPr>
          <w:lang w:eastAsia="x-none"/>
        </w:rPr>
        <w:tab/>
        <w:t>Qualcomm Incorporated</w:t>
      </w:r>
    </w:p>
    <w:p w14:paraId="7F70582C" w14:textId="77777777" w:rsidR="001359FB" w:rsidRDefault="001359FB" w:rsidP="00F74A6F">
      <w:pPr>
        <w:rPr>
          <w:lang w:eastAsia="x-none"/>
        </w:rPr>
      </w:pPr>
    </w:p>
    <w:p w14:paraId="42E796A3" w14:textId="55EA862B" w:rsidR="001359FB" w:rsidRDefault="005A18DC" w:rsidP="001359FB">
      <w:pPr>
        <w:rPr>
          <w:b/>
          <w:bCs/>
          <w:lang w:eastAsia="x-none"/>
        </w:rPr>
      </w:pPr>
      <w:hyperlink r:id="rId2015" w:history="1">
        <w:r w:rsidR="00AF7253">
          <w:rPr>
            <w:rStyle w:val="Hyperlink"/>
            <w:b/>
            <w:bCs/>
            <w:lang w:eastAsia="x-none"/>
          </w:rPr>
          <w:t>R1-2312583</w:t>
        </w:r>
      </w:hyperlink>
      <w:r w:rsidR="001359FB" w:rsidRPr="001359FB">
        <w:rPr>
          <w:b/>
          <w:bCs/>
          <w:lang w:eastAsia="x-none"/>
        </w:rPr>
        <w:tab/>
        <w:t>Summary on UE features for NR sidelink evolution</w:t>
      </w:r>
      <w:r w:rsidR="001359FB" w:rsidRPr="001359FB">
        <w:rPr>
          <w:b/>
          <w:bCs/>
          <w:lang w:eastAsia="x-none"/>
        </w:rPr>
        <w:tab/>
        <w:t>Moderator (NTT DOCOMO)</w:t>
      </w:r>
    </w:p>
    <w:p w14:paraId="046BC0D0" w14:textId="3FA7FFC9" w:rsidR="00955F5C" w:rsidRPr="00955F5C" w:rsidRDefault="00955F5C" w:rsidP="001359FB">
      <w:pPr>
        <w:rPr>
          <w:lang w:eastAsia="x-none"/>
        </w:rPr>
      </w:pPr>
      <w:r w:rsidRPr="00955F5C">
        <w:rPr>
          <w:lang w:eastAsia="x-none"/>
        </w:rPr>
        <w:t>This document presents the summary of email discussion [115-R18-UE_features-0</w:t>
      </w:r>
      <w:r>
        <w:rPr>
          <w:lang w:eastAsia="x-none"/>
        </w:rPr>
        <w:t>1</w:t>
      </w:r>
      <w:r w:rsidRPr="00955F5C">
        <w:rPr>
          <w:lang w:eastAsia="x-none"/>
        </w:rPr>
        <w:t xml:space="preserve">] </w:t>
      </w:r>
      <w:r>
        <w:rPr>
          <w:lang w:eastAsia="x-none"/>
        </w:rPr>
        <w:t xml:space="preserve">related to NR SL </w:t>
      </w:r>
      <w:r w:rsidRPr="00955F5C">
        <w:rPr>
          <w:lang w:eastAsia="x-none"/>
        </w:rPr>
        <w:t>during RAN1 #115.</w:t>
      </w:r>
    </w:p>
    <w:p w14:paraId="6D30AF63" w14:textId="77777777" w:rsidR="00F74A6F" w:rsidRDefault="00F74A6F" w:rsidP="00F74A6F">
      <w:pPr>
        <w:pStyle w:val="Heading3"/>
      </w:pPr>
      <w:bookmarkStart w:id="800" w:name="_Toc150174506"/>
      <w:bookmarkStart w:id="801" w:name="_Toc159251048"/>
      <w:r w:rsidRPr="009537ED">
        <w:t>UE features for expanded and improved NR positioning</w:t>
      </w:r>
      <w:bookmarkEnd w:id="800"/>
      <w:bookmarkEnd w:id="801"/>
    </w:p>
    <w:bookmarkStart w:id="802" w:name="_Hlk151489159"/>
    <w:p w14:paraId="09C93193" w14:textId="1223103C" w:rsidR="0030612D" w:rsidRPr="0030612D" w:rsidRDefault="00AF7253" w:rsidP="0030612D">
      <w:pPr>
        <w:rPr>
          <w:b/>
          <w:bCs/>
          <w:lang w:val="en-US" w:eastAsia="x-none"/>
        </w:rPr>
      </w:pPr>
      <w:r>
        <w:rPr>
          <w:b/>
          <w:bCs/>
          <w:lang w:val="en-US" w:eastAsia="x-none"/>
        </w:rPr>
        <w:fldChar w:fldCharType="begin"/>
      </w:r>
      <w:r>
        <w:rPr>
          <w:b/>
          <w:bCs/>
          <w:lang w:val="en-US" w:eastAsia="x-none"/>
        </w:rPr>
        <w:instrText>HYPERLINK "../Docs/R1-2312609.zip"</w:instrText>
      </w:r>
      <w:r>
        <w:rPr>
          <w:b/>
          <w:bCs/>
          <w:lang w:val="en-US" w:eastAsia="x-none"/>
        </w:rPr>
      </w:r>
      <w:r>
        <w:rPr>
          <w:b/>
          <w:bCs/>
          <w:lang w:val="en-US" w:eastAsia="x-none"/>
        </w:rPr>
        <w:fldChar w:fldCharType="separate"/>
      </w:r>
      <w:r>
        <w:rPr>
          <w:rStyle w:val="Hyperlink"/>
          <w:b/>
          <w:bCs/>
          <w:lang w:val="en-US" w:eastAsia="x-none"/>
        </w:rPr>
        <w:t>R1-2312609</w:t>
      </w:r>
      <w:r>
        <w:rPr>
          <w:b/>
          <w:bCs/>
          <w:lang w:val="en-US" w:eastAsia="x-none"/>
        </w:rPr>
        <w:fldChar w:fldCharType="end"/>
      </w:r>
      <w:r w:rsidR="0030612D" w:rsidRPr="0030612D">
        <w:rPr>
          <w:b/>
          <w:bCs/>
          <w:lang w:val="en-US" w:eastAsia="x-none"/>
        </w:rPr>
        <w:tab/>
        <w:t>Session Notes of AI 8.16.3</w:t>
      </w:r>
      <w:r w:rsidR="0030612D" w:rsidRPr="0030612D">
        <w:rPr>
          <w:b/>
          <w:bCs/>
          <w:lang w:val="en-US" w:eastAsia="x-none"/>
        </w:rPr>
        <w:tab/>
        <w:t>Ad-Hoc Chair (AT&amp;T)</w:t>
      </w:r>
    </w:p>
    <w:p w14:paraId="067F87A8" w14:textId="77777777" w:rsidR="0030612D" w:rsidRDefault="0030612D" w:rsidP="0030612D">
      <w:pPr>
        <w:rPr>
          <w:lang w:val="en-US" w:eastAsia="x-none"/>
        </w:rPr>
      </w:pPr>
      <w:r w:rsidRPr="00F05EFE">
        <w:rPr>
          <w:b/>
          <w:bCs/>
        </w:rPr>
        <w:t>Friday decision:</w:t>
      </w:r>
      <w:r>
        <w:t xml:space="preserve"> The </w:t>
      </w:r>
      <w:r>
        <w:rPr>
          <w:lang w:val="en-US" w:eastAsia="x-none"/>
        </w:rPr>
        <w:t>s</w:t>
      </w:r>
      <w:r w:rsidRPr="00663F3A">
        <w:rPr>
          <w:lang w:val="en-US" w:eastAsia="x-none"/>
        </w:rPr>
        <w:t>ession notes</w:t>
      </w:r>
      <w:r>
        <w:rPr>
          <w:lang w:val="en-US" w:eastAsia="x-none"/>
        </w:rPr>
        <w:t xml:space="preserve"> (all agreements reached during RAN1#115)</w:t>
      </w:r>
      <w:r w:rsidRPr="00663F3A">
        <w:rPr>
          <w:lang w:val="en-US" w:eastAsia="x-none"/>
        </w:rPr>
        <w:t xml:space="preserve"> are </w:t>
      </w:r>
      <w:r w:rsidRPr="00663F3A">
        <w:rPr>
          <w:highlight w:val="green"/>
          <w:lang w:val="en-US" w:eastAsia="x-none"/>
        </w:rPr>
        <w:t>endorsed</w:t>
      </w:r>
      <w:r w:rsidRPr="00663F3A">
        <w:rPr>
          <w:lang w:val="en-US" w:eastAsia="x-none"/>
        </w:rPr>
        <w:t>.</w:t>
      </w:r>
    </w:p>
    <w:bookmarkEnd w:id="802"/>
    <w:p w14:paraId="5DB527EA" w14:textId="77777777" w:rsidR="0030612D" w:rsidRPr="0030612D" w:rsidRDefault="0030612D" w:rsidP="0030612D">
      <w:pPr>
        <w:rPr>
          <w:lang w:val="en-US"/>
        </w:rPr>
      </w:pPr>
    </w:p>
    <w:p w14:paraId="7FC56292" w14:textId="4189F548" w:rsidR="00F74A6F" w:rsidRPr="009537ED" w:rsidRDefault="005A18DC" w:rsidP="00F74A6F">
      <w:pPr>
        <w:rPr>
          <w:lang w:eastAsia="x-none"/>
        </w:rPr>
      </w:pPr>
      <w:hyperlink r:id="rId2016" w:history="1">
        <w:r w:rsidR="00AF7253">
          <w:rPr>
            <w:rStyle w:val="Hyperlink"/>
            <w:lang w:eastAsia="x-none"/>
          </w:rPr>
          <w:t>R1-2310826</w:t>
        </w:r>
      </w:hyperlink>
      <w:r w:rsidR="00F74A6F" w:rsidRPr="009537ED">
        <w:rPr>
          <w:lang w:eastAsia="x-none"/>
        </w:rPr>
        <w:tab/>
        <w:t>Sidelink positioning UE features</w:t>
      </w:r>
      <w:r w:rsidR="00F74A6F" w:rsidRPr="009537ED">
        <w:rPr>
          <w:lang w:eastAsia="x-none"/>
        </w:rPr>
        <w:tab/>
        <w:t>FUTUREWEI</w:t>
      </w:r>
    </w:p>
    <w:p w14:paraId="526373BF" w14:textId="37C0998E" w:rsidR="00F74A6F" w:rsidRPr="009537ED" w:rsidRDefault="005A18DC" w:rsidP="00F74A6F">
      <w:pPr>
        <w:rPr>
          <w:lang w:eastAsia="x-none"/>
        </w:rPr>
      </w:pPr>
      <w:hyperlink r:id="rId2017" w:history="1">
        <w:r w:rsidR="00AF7253">
          <w:rPr>
            <w:rStyle w:val="Hyperlink"/>
            <w:lang w:eastAsia="x-none"/>
          </w:rPr>
          <w:t>R1-2310843</w:t>
        </w:r>
      </w:hyperlink>
      <w:r w:rsidR="00F74A6F" w:rsidRPr="009537ED">
        <w:rPr>
          <w:lang w:eastAsia="x-none"/>
        </w:rPr>
        <w:tab/>
        <w:t>UE features for Rel-18 positioning</w:t>
      </w:r>
      <w:r w:rsidR="00F74A6F" w:rsidRPr="009537ED">
        <w:rPr>
          <w:lang w:eastAsia="x-none"/>
        </w:rPr>
        <w:tab/>
        <w:t>Huawei, HiSilicon</w:t>
      </w:r>
    </w:p>
    <w:p w14:paraId="4C5C5834" w14:textId="214AF82C" w:rsidR="00F74A6F" w:rsidRPr="009537ED" w:rsidRDefault="005A18DC" w:rsidP="00F74A6F">
      <w:pPr>
        <w:rPr>
          <w:lang w:eastAsia="x-none"/>
        </w:rPr>
      </w:pPr>
      <w:hyperlink r:id="rId2018" w:history="1">
        <w:r w:rsidR="00AF7253">
          <w:rPr>
            <w:rStyle w:val="Hyperlink"/>
            <w:lang w:eastAsia="x-none"/>
          </w:rPr>
          <w:t>R1-2310891</w:t>
        </w:r>
      </w:hyperlink>
      <w:r w:rsidR="00F74A6F" w:rsidRPr="009537ED">
        <w:rPr>
          <w:lang w:eastAsia="x-none"/>
        </w:rPr>
        <w:tab/>
        <w:t>On UE features for expanded and improved NR positioning</w:t>
      </w:r>
      <w:r w:rsidR="00F74A6F" w:rsidRPr="009537ED">
        <w:rPr>
          <w:lang w:eastAsia="x-none"/>
        </w:rPr>
        <w:tab/>
        <w:t>Nokia, Nokia Shanghai Bell</w:t>
      </w:r>
    </w:p>
    <w:p w14:paraId="0DB0995C" w14:textId="5ABE60A6" w:rsidR="00F74A6F" w:rsidRPr="009537ED" w:rsidRDefault="005A18DC" w:rsidP="00F74A6F">
      <w:pPr>
        <w:rPr>
          <w:lang w:eastAsia="x-none"/>
        </w:rPr>
      </w:pPr>
      <w:hyperlink r:id="rId2019" w:history="1">
        <w:r w:rsidR="00AF7253">
          <w:rPr>
            <w:rStyle w:val="Hyperlink"/>
            <w:lang w:eastAsia="x-none"/>
          </w:rPr>
          <w:t>R1-2311119</w:t>
        </w:r>
      </w:hyperlink>
      <w:r w:rsidR="00F74A6F" w:rsidRPr="009537ED">
        <w:rPr>
          <w:lang w:eastAsia="x-none"/>
        </w:rPr>
        <w:tab/>
        <w:t>Discussion on Rel-18 positioning UE features</w:t>
      </w:r>
      <w:r w:rsidR="00F74A6F" w:rsidRPr="009537ED">
        <w:rPr>
          <w:lang w:eastAsia="x-none"/>
        </w:rPr>
        <w:tab/>
        <w:t>vivo</w:t>
      </w:r>
    </w:p>
    <w:p w14:paraId="4AF8296D" w14:textId="5EC8559D" w:rsidR="00F74A6F" w:rsidRPr="009537ED" w:rsidRDefault="005A18DC" w:rsidP="00F74A6F">
      <w:pPr>
        <w:rPr>
          <w:lang w:eastAsia="x-none"/>
        </w:rPr>
      </w:pPr>
      <w:hyperlink r:id="rId2020" w:history="1">
        <w:r w:rsidR="00AF7253">
          <w:rPr>
            <w:rStyle w:val="Hyperlink"/>
            <w:lang w:eastAsia="x-none"/>
          </w:rPr>
          <w:t>R1-2311147</w:t>
        </w:r>
      </w:hyperlink>
      <w:r w:rsidR="00F74A6F" w:rsidRPr="009537ED">
        <w:rPr>
          <w:lang w:eastAsia="x-none"/>
        </w:rPr>
        <w:tab/>
        <w:t>On UE features for expanded and improved NR positioning</w:t>
      </w:r>
      <w:r w:rsidR="00F74A6F" w:rsidRPr="009537ED">
        <w:rPr>
          <w:lang w:eastAsia="x-none"/>
        </w:rPr>
        <w:tab/>
        <w:t>Intel Corporation</w:t>
      </w:r>
    </w:p>
    <w:p w14:paraId="2D5A0D9F" w14:textId="05D68D73" w:rsidR="00F74A6F" w:rsidRPr="009537ED" w:rsidRDefault="005A18DC" w:rsidP="00F74A6F">
      <w:pPr>
        <w:rPr>
          <w:lang w:eastAsia="x-none"/>
        </w:rPr>
      </w:pPr>
      <w:hyperlink r:id="rId2021" w:history="1">
        <w:r w:rsidR="00AF7253">
          <w:rPr>
            <w:rStyle w:val="Hyperlink"/>
            <w:lang w:eastAsia="x-none"/>
          </w:rPr>
          <w:t>R1-2311185</w:t>
        </w:r>
      </w:hyperlink>
      <w:r w:rsidR="00F74A6F" w:rsidRPr="009537ED">
        <w:rPr>
          <w:lang w:eastAsia="x-none"/>
        </w:rPr>
        <w:tab/>
        <w:t>Discussion on UE features for expanded and improved NR positioning</w:t>
      </w:r>
      <w:r w:rsidR="00F74A6F" w:rsidRPr="009537ED">
        <w:rPr>
          <w:lang w:eastAsia="x-none"/>
        </w:rPr>
        <w:tab/>
        <w:t>Spreadtrum Communications</w:t>
      </w:r>
    </w:p>
    <w:p w14:paraId="72C94A20" w14:textId="591DB8CA" w:rsidR="00F74A6F" w:rsidRPr="009537ED" w:rsidRDefault="005A18DC" w:rsidP="00F74A6F">
      <w:pPr>
        <w:rPr>
          <w:lang w:eastAsia="x-none"/>
        </w:rPr>
      </w:pPr>
      <w:hyperlink r:id="rId2022" w:history="1">
        <w:r w:rsidR="00AF7253">
          <w:rPr>
            <w:rStyle w:val="Hyperlink"/>
            <w:lang w:eastAsia="x-none"/>
          </w:rPr>
          <w:t>R1-2311277</w:t>
        </w:r>
      </w:hyperlink>
      <w:r w:rsidR="00F74A6F" w:rsidRPr="009537ED">
        <w:rPr>
          <w:lang w:eastAsia="x-none"/>
        </w:rPr>
        <w:tab/>
        <w:t>Discussion on UE features for expanded and improved NR positioning</w:t>
      </w:r>
      <w:r w:rsidR="00F74A6F" w:rsidRPr="009537ED">
        <w:rPr>
          <w:lang w:eastAsia="x-none"/>
        </w:rPr>
        <w:tab/>
        <w:t>OPPO</w:t>
      </w:r>
    </w:p>
    <w:p w14:paraId="2F2DA4C3" w14:textId="471266B9" w:rsidR="00F74A6F" w:rsidRPr="009537ED" w:rsidRDefault="005A18DC" w:rsidP="00F74A6F">
      <w:pPr>
        <w:rPr>
          <w:lang w:eastAsia="x-none"/>
        </w:rPr>
      </w:pPr>
      <w:hyperlink r:id="rId2023" w:history="1">
        <w:r w:rsidR="00AF7253">
          <w:rPr>
            <w:rStyle w:val="Hyperlink"/>
            <w:lang w:eastAsia="x-none"/>
          </w:rPr>
          <w:t>R1-2311330</w:t>
        </w:r>
      </w:hyperlink>
      <w:r w:rsidR="00F74A6F" w:rsidRPr="009537ED">
        <w:rPr>
          <w:lang w:eastAsia="x-none"/>
        </w:rPr>
        <w:tab/>
        <w:t>Remaining issues on UE features for expanded and improved NR positioning</w:t>
      </w:r>
      <w:r w:rsidR="00F74A6F" w:rsidRPr="009537ED">
        <w:rPr>
          <w:lang w:eastAsia="x-none"/>
        </w:rPr>
        <w:tab/>
        <w:t>CATT</w:t>
      </w:r>
    </w:p>
    <w:p w14:paraId="05169F7D" w14:textId="100A0B16" w:rsidR="00F74A6F" w:rsidRPr="009537ED" w:rsidRDefault="005A18DC" w:rsidP="00F74A6F">
      <w:pPr>
        <w:rPr>
          <w:lang w:eastAsia="x-none"/>
        </w:rPr>
      </w:pPr>
      <w:hyperlink r:id="rId2024" w:history="1">
        <w:r w:rsidR="00AF7253">
          <w:rPr>
            <w:rStyle w:val="Hyperlink"/>
            <w:lang w:eastAsia="x-none"/>
          </w:rPr>
          <w:t>R1-2311395</w:t>
        </w:r>
      </w:hyperlink>
      <w:r w:rsidR="00F74A6F" w:rsidRPr="009537ED">
        <w:rPr>
          <w:lang w:eastAsia="x-none"/>
        </w:rPr>
        <w:tab/>
        <w:t>Discussion on UE features for expanded and improved NR positioning</w:t>
      </w:r>
      <w:r w:rsidR="00F74A6F" w:rsidRPr="009537ED">
        <w:rPr>
          <w:lang w:eastAsia="x-none"/>
        </w:rPr>
        <w:tab/>
        <w:t>xiaomi</w:t>
      </w:r>
    </w:p>
    <w:p w14:paraId="4FF13F4C" w14:textId="1E2AA1B3" w:rsidR="00F74A6F" w:rsidRPr="009537ED" w:rsidRDefault="005A18DC" w:rsidP="00F74A6F">
      <w:pPr>
        <w:rPr>
          <w:lang w:eastAsia="x-none"/>
        </w:rPr>
      </w:pPr>
      <w:hyperlink r:id="rId2025" w:history="1">
        <w:r w:rsidR="00AF7253">
          <w:rPr>
            <w:rStyle w:val="Hyperlink"/>
            <w:lang w:eastAsia="x-none"/>
          </w:rPr>
          <w:t>R1-2311463</w:t>
        </w:r>
      </w:hyperlink>
      <w:r w:rsidR="00F74A6F" w:rsidRPr="009537ED">
        <w:rPr>
          <w:lang w:eastAsia="x-none"/>
        </w:rPr>
        <w:tab/>
        <w:t>UE features for Rel-18 NR positioning</w:t>
      </w:r>
      <w:r w:rsidR="00F74A6F" w:rsidRPr="009537ED">
        <w:rPr>
          <w:lang w:eastAsia="x-none"/>
        </w:rPr>
        <w:tab/>
        <w:t>ZTE</w:t>
      </w:r>
    </w:p>
    <w:p w14:paraId="75162BFC" w14:textId="1D32E096" w:rsidR="00F74A6F" w:rsidRPr="009537ED" w:rsidRDefault="005A18DC" w:rsidP="00F74A6F">
      <w:pPr>
        <w:rPr>
          <w:lang w:eastAsia="x-none"/>
        </w:rPr>
      </w:pPr>
      <w:hyperlink r:id="rId2026" w:history="1">
        <w:r w:rsidR="00AF7253">
          <w:rPr>
            <w:rStyle w:val="Hyperlink"/>
            <w:lang w:eastAsia="x-none"/>
          </w:rPr>
          <w:t>R1-2311502</w:t>
        </w:r>
      </w:hyperlink>
      <w:r w:rsidR="00F74A6F" w:rsidRPr="009537ED">
        <w:rPr>
          <w:lang w:eastAsia="x-none"/>
        </w:rPr>
        <w:tab/>
        <w:t>Discussion on UE features for expanded and improved NR positioning</w:t>
      </w:r>
      <w:r w:rsidR="00F74A6F" w:rsidRPr="009537ED">
        <w:rPr>
          <w:lang w:eastAsia="x-none"/>
        </w:rPr>
        <w:tab/>
        <w:t>CMCC</w:t>
      </w:r>
    </w:p>
    <w:p w14:paraId="6EA25988" w14:textId="0F580567" w:rsidR="00F74A6F" w:rsidRPr="009537ED" w:rsidRDefault="005A18DC" w:rsidP="00F74A6F">
      <w:pPr>
        <w:rPr>
          <w:lang w:eastAsia="x-none"/>
        </w:rPr>
      </w:pPr>
      <w:hyperlink r:id="rId2027" w:history="1">
        <w:r w:rsidR="00AF7253">
          <w:rPr>
            <w:rStyle w:val="Hyperlink"/>
            <w:lang w:eastAsia="x-none"/>
          </w:rPr>
          <w:t>R1-2311555</w:t>
        </w:r>
      </w:hyperlink>
      <w:r w:rsidR="00F74A6F" w:rsidRPr="009537ED">
        <w:rPr>
          <w:lang w:eastAsia="x-none"/>
        </w:rPr>
        <w:tab/>
        <w:t>Discussion on UE features for Rel-18 NR positioning</w:t>
      </w:r>
      <w:r w:rsidR="00F74A6F" w:rsidRPr="009537ED">
        <w:rPr>
          <w:lang w:eastAsia="x-none"/>
        </w:rPr>
        <w:tab/>
        <w:t>China Telecom</w:t>
      </w:r>
    </w:p>
    <w:p w14:paraId="6551A154" w14:textId="7DF6E34C" w:rsidR="00F74A6F" w:rsidRPr="009537ED" w:rsidRDefault="005A18DC" w:rsidP="00F74A6F">
      <w:pPr>
        <w:rPr>
          <w:lang w:eastAsia="x-none"/>
        </w:rPr>
      </w:pPr>
      <w:hyperlink r:id="rId2028" w:history="1">
        <w:r w:rsidR="00AF7253">
          <w:rPr>
            <w:rStyle w:val="Hyperlink"/>
            <w:lang w:eastAsia="x-none"/>
          </w:rPr>
          <w:t>R1-2311644</w:t>
        </w:r>
      </w:hyperlink>
      <w:r w:rsidR="00F74A6F" w:rsidRPr="009537ED">
        <w:rPr>
          <w:lang w:eastAsia="x-none"/>
        </w:rPr>
        <w:tab/>
        <w:t>Discussion on UE features for expanded and improved NR positioning</w:t>
      </w:r>
      <w:r w:rsidR="00F74A6F" w:rsidRPr="009537ED">
        <w:rPr>
          <w:lang w:eastAsia="x-none"/>
        </w:rPr>
        <w:tab/>
        <w:t>NTT DOCOMO, INC.</w:t>
      </w:r>
    </w:p>
    <w:p w14:paraId="07A6F527" w14:textId="377AB37D" w:rsidR="00F74A6F" w:rsidRPr="009537ED" w:rsidRDefault="005A18DC" w:rsidP="00F74A6F">
      <w:pPr>
        <w:rPr>
          <w:lang w:eastAsia="x-none"/>
        </w:rPr>
      </w:pPr>
      <w:hyperlink r:id="rId2029" w:history="1">
        <w:r w:rsidR="00AF7253">
          <w:rPr>
            <w:rStyle w:val="Hyperlink"/>
            <w:lang w:eastAsia="x-none"/>
          </w:rPr>
          <w:t>R1-2311708</w:t>
        </w:r>
      </w:hyperlink>
      <w:r w:rsidR="00F74A6F" w:rsidRPr="009537ED">
        <w:rPr>
          <w:lang w:eastAsia="x-none"/>
        </w:rPr>
        <w:tab/>
        <w:t>On UE features for expanded and improved NR positioning</w:t>
      </w:r>
      <w:r w:rsidR="00F74A6F" w:rsidRPr="009537ED">
        <w:rPr>
          <w:lang w:eastAsia="x-none"/>
        </w:rPr>
        <w:tab/>
        <w:t>Apple</w:t>
      </w:r>
    </w:p>
    <w:p w14:paraId="2B178048" w14:textId="0859CF46" w:rsidR="00F74A6F" w:rsidRPr="009537ED" w:rsidRDefault="005A18DC" w:rsidP="00F74A6F">
      <w:pPr>
        <w:rPr>
          <w:lang w:eastAsia="x-none"/>
        </w:rPr>
      </w:pPr>
      <w:hyperlink r:id="rId2030" w:history="1">
        <w:r w:rsidR="00AF7253">
          <w:rPr>
            <w:rStyle w:val="Hyperlink"/>
            <w:lang w:eastAsia="x-none"/>
          </w:rPr>
          <w:t>R1-2311869</w:t>
        </w:r>
      </w:hyperlink>
      <w:r w:rsidR="00F74A6F" w:rsidRPr="009537ED">
        <w:rPr>
          <w:lang w:eastAsia="x-none"/>
        </w:rPr>
        <w:tab/>
        <w:t>UE features for expanded and improved NR positioning</w:t>
      </w:r>
      <w:r w:rsidR="00F74A6F" w:rsidRPr="009537ED">
        <w:rPr>
          <w:lang w:eastAsia="x-none"/>
        </w:rPr>
        <w:tab/>
        <w:t>Samsung</w:t>
      </w:r>
    </w:p>
    <w:p w14:paraId="3FA11CF4" w14:textId="4759D28A" w:rsidR="00F74A6F" w:rsidRPr="009537ED" w:rsidRDefault="005A18DC" w:rsidP="00F74A6F">
      <w:pPr>
        <w:rPr>
          <w:lang w:eastAsia="x-none"/>
        </w:rPr>
      </w:pPr>
      <w:hyperlink r:id="rId2031" w:history="1">
        <w:r w:rsidR="00AF7253">
          <w:rPr>
            <w:rStyle w:val="Hyperlink"/>
            <w:lang w:eastAsia="x-none"/>
          </w:rPr>
          <w:t>R1-2312063</w:t>
        </w:r>
      </w:hyperlink>
      <w:r w:rsidR="00F74A6F" w:rsidRPr="009537ED">
        <w:rPr>
          <w:lang w:eastAsia="x-none"/>
        </w:rPr>
        <w:tab/>
        <w:t>UE features for expanded and improved NR positioning</w:t>
      </w:r>
      <w:r w:rsidR="00F74A6F" w:rsidRPr="009537ED">
        <w:rPr>
          <w:lang w:eastAsia="x-none"/>
        </w:rPr>
        <w:tab/>
        <w:t>Qualcomm Incorporated</w:t>
      </w:r>
    </w:p>
    <w:p w14:paraId="1B53315E" w14:textId="08EB9145" w:rsidR="00F74A6F" w:rsidRDefault="005A18DC" w:rsidP="00F74A6F">
      <w:pPr>
        <w:rPr>
          <w:lang w:eastAsia="x-none"/>
        </w:rPr>
      </w:pPr>
      <w:hyperlink r:id="rId2032" w:history="1">
        <w:r w:rsidR="00AF7253">
          <w:rPr>
            <w:rStyle w:val="Hyperlink"/>
            <w:lang w:eastAsia="x-none"/>
          </w:rPr>
          <w:t>R1-2312192</w:t>
        </w:r>
      </w:hyperlink>
      <w:r w:rsidR="00F74A6F" w:rsidRPr="009537ED">
        <w:rPr>
          <w:lang w:eastAsia="x-none"/>
        </w:rPr>
        <w:tab/>
        <w:t>UE features for expanded and improved NR positioning</w:t>
      </w:r>
      <w:r w:rsidR="00F74A6F" w:rsidRPr="009537ED">
        <w:rPr>
          <w:lang w:eastAsia="x-none"/>
        </w:rPr>
        <w:tab/>
        <w:t>Ericsson</w:t>
      </w:r>
    </w:p>
    <w:p w14:paraId="5BE0D5D7" w14:textId="77777777" w:rsidR="00065A8D" w:rsidRDefault="00065A8D" w:rsidP="00F74A6F">
      <w:pPr>
        <w:rPr>
          <w:lang w:eastAsia="x-none"/>
        </w:rPr>
      </w:pPr>
    </w:p>
    <w:p w14:paraId="2E494C6C" w14:textId="76924FB7" w:rsidR="00065A8D" w:rsidRPr="00CB57AA" w:rsidRDefault="005A18DC" w:rsidP="00065A8D">
      <w:pPr>
        <w:rPr>
          <w:b/>
          <w:bCs/>
          <w:lang w:eastAsia="x-none"/>
        </w:rPr>
      </w:pPr>
      <w:hyperlink r:id="rId2033" w:history="1">
        <w:r w:rsidR="00AF7253">
          <w:rPr>
            <w:rStyle w:val="Hyperlink"/>
            <w:b/>
            <w:bCs/>
            <w:lang w:eastAsia="x-none"/>
          </w:rPr>
          <w:t>R1-2312080</w:t>
        </w:r>
      </w:hyperlink>
      <w:r w:rsidR="00065A8D" w:rsidRPr="00CB57AA">
        <w:rPr>
          <w:b/>
          <w:bCs/>
          <w:lang w:eastAsia="x-none"/>
        </w:rPr>
        <w:tab/>
        <w:t>Summary of UE features for expanded and improved NR positioning</w:t>
      </w:r>
      <w:r w:rsidR="00065A8D" w:rsidRPr="00CB57AA">
        <w:rPr>
          <w:b/>
          <w:bCs/>
          <w:lang w:eastAsia="x-none"/>
        </w:rPr>
        <w:tab/>
        <w:t>Moderator (AT&amp;T)</w:t>
      </w:r>
    </w:p>
    <w:p w14:paraId="6B448AF6" w14:textId="26CFE1DB" w:rsidR="00065A8D" w:rsidRPr="00955F5C" w:rsidRDefault="00065A8D" w:rsidP="00065A8D">
      <w:pPr>
        <w:rPr>
          <w:lang w:eastAsia="x-none"/>
        </w:rPr>
      </w:pPr>
      <w:bookmarkStart w:id="803" w:name="_Toc150174507"/>
      <w:r w:rsidRPr="00955F5C">
        <w:rPr>
          <w:lang w:eastAsia="x-none"/>
        </w:rPr>
        <w:t>This document presents the summary of email discussion [115-R18-UE_features-0</w:t>
      </w:r>
      <w:r>
        <w:rPr>
          <w:lang w:eastAsia="x-none"/>
        </w:rPr>
        <w:t>2</w:t>
      </w:r>
      <w:r w:rsidRPr="00955F5C">
        <w:rPr>
          <w:lang w:eastAsia="x-none"/>
        </w:rPr>
        <w:t xml:space="preserve">] </w:t>
      </w:r>
      <w:r>
        <w:rPr>
          <w:lang w:eastAsia="x-none"/>
        </w:rPr>
        <w:t xml:space="preserve">related to NR pos </w:t>
      </w:r>
      <w:r w:rsidRPr="00955F5C">
        <w:rPr>
          <w:lang w:eastAsia="x-none"/>
        </w:rPr>
        <w:t>during RAN1 #115.</w:t>
      </w:r>
    </w:p>
    <w:p w14:paraId="6199B485" w14:textId="25D6E5B9" w:rsidR="00F74A6F" w:rsidRDefault="00F74A6F" w:rsidP="00F74A6F">
      <w:pPr>
        <w:pStyle w:val="Heading3"/>
      </w:pPr>
      <w:bookmarkStart w:id="804" w:name="_Toc159251049"/>
      <w:r w:rsidRPr="009537ED">
        <w:lastRenderedPageBreak/>
        <w:t>UE features for eRedCap</w:t>
      </w:r>
      <w:bookmarkEnd w:id="803"/>
      <w:bookmarkEnd w:id="804"/>
    </w:p>
    <w:p w14:paraId="0E702ED1" w14:textId="5B597934" w:rsidR="00B86E76" w:rsidRPr="00B86E76" w:rsidRDefault="005A18DC" w:rsidP="00B86E76">
      <w:pPr>
        <w:rPr>
          <w:b/>
          <w:bCs/>
          <w:lang w:eastAsia="x-none"/>
        </w:rPr>
      </w:pPr>
      <w:hyperlink r:id="rId2034" w:history="1">
        <w:r w:rsidR="00AF7253">
          <w:rPr>
            <w:rStyle w:val="Hyperlink"/>
            <w:b/>
            <w:bCs/>
            <w:lang w:eastAsia="x-none"/>
          </w:rPr>
          <w:t>R1-2312576</w:t>
        </w:r>
      </w:hyperlink>
      <w:r w:rsidR="00B86E76" w:rsidRPr="00B86E76">
        <w:rPr>
          <w:b/>
          <w:bCs/>
          <w:lang w:eastAsia="x-none"/>
        </w:rPr>
        <w:tab/>
        <w:t>Session Notes for 8.16.4</w:t>
      </w:r>
      <w:r w:rsidR="00B86E76" w:rsidRPr="00B86E76">
        <w:rPr>
          <w:b/>
          <w:bCs/>
          <w:lang w:eastAsia="x-none"/>
        </w:rPr>
        <w:tab/>
        <w:t>Ad-Hoc Chair (NTT DOCOMO)</w:t>
      </w:r>
    </w:p>
    <w:p w14:paraId="00C0CC1D" w14:textId="77777777" w:rsidR="00B86E76" w:rsidRPr="00663F3A" w:rsidRDefault="00B86E76" w:rsidP="00B86E76">
      <w:pPr>
        <w:rPr>
          <w:lang w:val="en-US" w:eastAsia="x-none"/>
        </w:rPr>
      </w:pPr>
      <w:r w:rsidRPr="00F05EFE">
        <w:rPr>
          <w:b/>
          <w:bCs/>
        </w:rPr>
        <w:t>Friday decision:</w:t>
      </w:r>
      <w:r>
        <w:t xml:space="preserve"> The </w:t>
      </w:r>
      <w:r>
        <w:rPr>
          <w:lang w:val="en-US" w:eastAsia="x-none"/>
        </w:rPr>
        <w:t>s</w:t>
      </w:r>
      <w:r w:rsidRPr="00663F3A">
        <w:rPr>
          <w:lang w:val="en-US" w:eastAsia="x-none"/>
        </w:rPr>
        <w:t>ession notes</w:t>
      </w:r>
      <w:r>
        <w:rPr>
          <w:lang w:val="en-US" w:eastAsia="x-none"/>
        </w:rPr>
        <w:t xml:space="preserve"> (all agreements reached during RAN1#115)</w:t>
      </w:r>
      <w:r w:rsidRPr="00663F3A">
        <w:rPr>
          <w:lang w:val="en-US" w:eastAsia="x-none"/>
        </w:rPr>
        <w:t xml:space="preserve"> are </w:t>
      </w:r>
      <w:r w:rsidRPr="00663F3A">
        <w:rPr>
          <w:highlight w:val="green"/>
          <w:lang w:val="en-US" w:eastAsia="x-none"/>
        </w:rPr>
        <w:t>endorsed</w:t>
      </w:r>
      <w:r w:rsidRPr="00663F3A">
        <w:rPr>
          <w:lang w:val="en-US" w:eastAsia="x-none"/>
        </w:rPr>
        <w:t>.</w:t>
      </w:r>
    </w:p>
    <w:p w14:paraId="32A8BD3A" w14:textId="77777777" w:rsidR="00B86E76" w:rsidRPr="00B86E76" w:rsidRDefault="00B86E76" w:rsidP="00B86E76">
      <w:pPr>
        <w:rPr>
          <w:lang w:val="en-US"/>
        </w:rPr>
      </w:pPr>
    </w:p>
    <w:p w14:paraId="60AF3632" w14:textId="66933F55" w:rsidR="00F74A6F" w:rsidRPr="009537ED" w:rsidRDefault="005A18DC" w:rsidP="00F74A6F">
      <w:pPr>
        <w:rPr>
          <w:lang w:eastAsia="x-none"/>
        </w:rPr>
      </w:pPr>
      <w:hyperlink r:id="rId2035" w:history="1">
        <w:r w:rsidR="00AF7253">
          <w:rPr>
            <w:rStyle w:val="Hyperlink"/>
            <w:lang w:eastAsia="x-none"/>
          </w:rPr>
          <w:t>R1-2310821</w:t>
        </w:r>
      </w:hyperlink>
      <w:r w:rsidR="00F74A6F" w:rsidRPr="009537ED">
        <w:rPr>
          <w:lang w:eastAsia="x-none"/>
        </w:rPr>
        <w:tab/>
        <w:t>R18 RedCap UE features</w:t>
      </w:r>
      <w:r w:rsidR="00F74A6F" w:rsidRPr="009537ED">
        <w:rPr>
          <w:lang w:eastAsia="x-none"/>
        </w:rPr>
        <w:tab/>
        <w:t>FUTUREWEI</w:t>
      </w:r>
    </w:p>
    <w:p w14:paraId="3CBEFAE0" w14:textId="23532318" w:rsidR="00F74A6F" w:rsidRPr="009537ED" w:rsidRDefault="005A18DC" w:rsidP="00F74A6F">
      <w:pPr>
        <w:rPr>
          <w:lang w:eastAsia="x-none"/>
        </w:rPr>
      </w:pPr>
      <w:hyperlink r:id="rId2036" w:history="1">
        <w:r w:rsidR="00AF7253">
          <w:rPr>
            <w:rStyle w:val="Hyperlink"/>
            <w:lang w:eastAsia="x-none"/>
          </w:rPr>
          <w:t>R1-2310858</w:t>
        </w:r>
      </w:hyperlink>
      <w:r w:rsidR="00F74A6F" w:rsidRPr="009537ED">
        <w:rPr>
          <w:lang w:eastAsia="x-none"/>
        </w:rPr>
        <w:tab/>
        <w:t>UE features for Rel-18 RedCap</w:t>
      </w:r>
      <w:r w:rsidR="00F74A6F" w:rsidRPr="009537ED">
        <w:rPr>
          <w:lang w:eastAsia="x-none"/>
        </w:rPr>
        <w:tab/>
        <w:t>Huawei, HiSilicon</w:t>
      </w:r>
    </w:p>
    <w:p w14:paraId="05AB2DA2" w14:textId="1B7E147B" w:rsidR="00F74A6F" w:rsidRPr="009537ED" w:rsidRDefault="005A18DC" w:rsidP="00F74A6F">
      <w:pPr>
        <w:rPr>
          <w:lang w:eastAsia="x-none"/>
        </w:rPr>
      </w:pPr>
      <w:hyperlink r:id="rId2037" w:history="1">
        <w:r w:rsidR="00AF7253">
          <w:rPr>
            <w:rStyle w:val="Hyperlink"/>
            <w:lang w:eastAsia="x-none"/>
          </w:rPr>
          <w:t>R1-2310892</w:t>
        </w:r>
      </w:hyperlink>
      <w:r w:rsidR="00F74A6F" w:rsidRPr="009537ED">
        <w:rPr>
          <w:lang w:eastAsia="x-none"/>
        </w:rPr>
        <w:tab/>
        <w:t>On UE features for eRedCap</w:t>
      </w:r>
      <w:r w:rsidR="00F74A6F" w:rsidRPr="009537ED">
        <w:rPr>
          <w:lang w:eastAsia="x-none"/>
        </w:rPr>
        <w:tab/>
        <w:t>Nokia, Nokia Shanghai Bell</w:t>
      </w:r>
    </w:p>
    <w:p w14:paraId="1302538E" w14:textId="46C77A24" w:rsidR="00F74A6F" w:rsidRPr="009537ED" w:rsidRDefault="005A18DC" w:rsidP="00F74A6F">
      <w:pPr>
        <w:rPr>
          <w:lang w:eastAsia="x-none"/>
        </w:rPr>
      </w:pPr>
      <w:hyperlink r:id="rId2038" w:history="1">
        <w:r w:rsidR="00AF7253">
          <w:rPr>
            <w:rStyle w:val="Hyperlink"/>
            <w:lang w:eastAsia="x-none"/>
          </w:rPr>
          <w:t>R1-2310996</w:t>
        </w:r>
      </w:hyperlink>
      <w:r w:rsidR="00F74A6F" w:rsidRPr="009537ED">
        <w:rPr>
          <w:lang w:eastAsia="x-none"/>
        </w:rPr>
        <w:tab/>
        <w:t>Discussion on UE features for eRedcap</w:t>
      </w:r>
      <w:r w:rsidR="00F74A6F" w:rsidRPr="009537ED">
        <w:rPr>
          <w:lang w:eastAsia="x-none"/>
        </w:rPr>
        <w:tab/>
        <w:t>ZTE, Sanechips</w:t>
      </w:r>
    </w:p>
    <w:p w14:paraId="5B4C2ECC" w14:textId="3BCA60A0" w:rsidR="00F74A6F" w:rsidRPr="009537ED" w:rsidRDefault="005A18DC" w:rsidP="00F74A6F">
      <w:pPr>
        <w:rPr>
          <w:lang w:eastAsia="x-none"/>
        </w:rPr>
      </w:pPr>
      <w:hyperlink r:id="rId2039" w:history="1">
        <w:r w:rsidR="00AF7253">
          <w:rPr>
            <w:rStyle w:val="Hyperlink"/>
            <w:lang w:eastAsia="x-none"/>
          </w:rPr>
          <w:t>R1-2311120</w:t>
        </w:r>
      </w:hyperlink>
      <w:r w:rsidR="00F74A6F" w:rsidRPr="009537ED">
        <w:rPr>
          <w:lang w:eastAsia="x-none"/>
        </w:rPr>
        <w:tab/>
        <w:t>Discussion on Rel-18 eRedCap UE features</w:t>
      </w:r>
      <w:r w:rsidR="00F74A6F" w:rsidRPr="009537ED">
        <w:rPr>
          <w:lang w:eastAsia="x-none"/>
        </w:rPr>
        <w:tab/>
        <w:t>vivo</w:t>
      </w:r>
    </w:p>
    <w:p w14:paraId="14AC3B80" w14:textId="37219949" w:rsidR="00F74A6F" w:rsidRPr="009537ED" w:rsidRDefault="005A18DC" w:rsidP="00F74A6F">
      <w:pPr>
        <w:rPr>
          <w:lang w:eastAsia="x-none"/>
        </w:rPr>
      </w:pPr>
      <w:hyperlink r:id="rId2040" w:history="1">
        <w:r w:rsidR="00AF7253">
          <w:rPr>
            <w:rStyle w:val="Hyperlink"/>
            <w:lang w:eastAsia="x-none"/>
          </w:rPr>
          <w:t>R1-2311186</w:t>
        </w:r>
      </w:hyperlink>
      <w:r w:rsidR="00F74A6F" w:rsidRPr="009537ED">
        <w:rPr>
          <w:lang w:eastAsia="x-none"/>
        </w:rPr>
        <w:tab/>
        <w:t>Discussion on UE features for eRedCap</w:t>
      </w:r>
      <w:r w:rsidR="00F74A6F" w:rsidRPr="009537ED">
        <w:rPr>
          <w:lang w:eastAsia="x-none"/>
        </w:rPr>
        <w:tab/>
        <w:t>Spreadtrum Communications</w:t>
      </w:r>
    </w:p>
    <w:p w14:paraId="2E736CDA" w14:textId="70756143" w:rsidR="00F74A6F" w:rsidRPr="009537ED" w:rsidRDefault="005A18DC" w:rsidP="00F74A6F">
      <w:pPr>
        <w:rPr>
          <w:lang w:eastAsia="x-none"/>
        </w:rPr>
      </w:pPr>
      <w:hyperlink r:id="rId2041" w:history="1">
        <w:r w:rsidR="00AF7253">
          <w:rPr>
            <w:rStyle w:val="Hyperlink"/>
            <w:lang w:eastAsia="x-none"/>
          </w:rPr>
          <w:t>R1-2311266</w:t>
        </w:r>
      </w:hyperlink>
      <w:r w:rsidR="00F74A6F" w:rsidRPr="009537ED">
        <w:rPr>
          <w:lang w:eastAsia="x-none"/>
        </w:rPr>
        <w:tab/>
        <w:t>Rel-18 eRedCap UE features</w:t>
      </w:r>
      <w:r w:rsidR="00F74A6F" w:rsidRPr="009537ED">
        <w:rPr>
          <w:lang w:eastAsia="x-none"/>
        </w:rPr>
        <w:tab/>
        <w:t>OPPO</w:t>
      </w:r>
    </w:p>
    <w:p w14:paraId="1D23A863" w14:textId="5D5E6EBA" w:rsidR="00F74A6F" w:rsidRPr="009537ED" w:rsidRDefault="005A18DC" w:rsidP="00F74A6F">
      <w:pPr>
        <w:rPr>
          <w:lang w:eastAsia="x-none"/>
        </w:rPr>
      </w:pPr>
      <w:hyperlink r:id="rId2042" w:history="1">
        <w:r w:rsidR="00AF7253">
          <w:rPr>
            <w:rStyle w:val="Hyperlink"/>
            <w:lang w:eastAsia="x-none"/>
          </w:rPr>
          <w:t>R1-2311331</w:t>
        </w:r>
      </w:hyperlink>
      <w:r w:rsidR="00F74A6F" w:rsidRPr="009537ED">
        <w:rPr>
          <w:lang w:eastAsia="x-none"/>
        </w:rPr>
        <w:tab/>
        <w:t>Discussion on UE features for R18 RedCap</w:t>
      </w:r>
      <w:r w:rsidR="00F74A6F" w:rsidRPr="009537ED">
        <w:rPr>
          <w:lang w:eastAsia="x-none"/>
        </w:rPr>
        <w:tab/>
        <w:t>CATT</w:t>
      </w:r>
    </w:p>
    <w:p w14:paraId="7BFF927C" w14:textId="3AE3082F" w:rsidR="00F74A6F" w:rsidRPr="009537ED" w:rsidRDefault="005A18DC" w:rsidP="00F74A6F">
      <w:pPr>
        <w:rPr>
          <w:lang w:eastAsia="x-none"/>
        </w:rPr>
      </w:pPr>
      <w:hyperlink r:id="rId2043" w:history="1">
        <w:r w:rsidR="00AF7253">
          <w:rPr>
            <w:rStyle w:val="Hyperlink"/>
            <w:lang w:eastAsia="x-none"/>
          </w:rPr>
          <w:t>R1-2311396</w:t>
        </w:r>
      </w:hyperlink>
      <w:r w:rsidR="00F74A6F" w:rsidRPr="009537ED">
        <w:rPr>
          <w:lang w:eastAsia="x-none"/>
        </w:rPr>
        <w:tab/>
        <w:t>Discussion on UE features for eRedCap</w:t>
      </w:r>
      <w:r w:rsidR="00F74A6F" w:rsidRPr="009537ED">
        <w:rPr>
          <w:lang w:eastAsia="x-none"/>
        </w:rPr>
        <w:tab/>
        <w:t>xiaomi</w:t>
      </w:r>
    </w:p>
    <w:p w14:paraId="16A3ABEA" w14:textId="064213EA" w:rsidR="00F74A6F" w:rsidRPr="009537ED" w:rsidRDefault="005A18DC" w:rsidP="00F74A6F">
      <w:pPr>
        <w:rPr>
          <w:lang w:eastAsia="x-none"/>
        </w:rPr>
      </w:pPr>
      <w:hyperlink r:id="rId2044" w:history="1">
        <w:r w:rsidR="00AF7253">
          <w:rPr>
            <w:rStyle w:val="Hyperlink"/>
            <w:lang w:eastAsia="x-none"/>
          </w:rPr>
          <w:t>R1-2311428</w:t>
        </w:r>
      </w:hyperlink>
      <w:r w:rsidR="00F74A6F" w:rsidRPr="009537ED">
        <w:rPr>
          <w:lang w:eastAsia="x-none"/>
        </w:rPr>
        <w:tab/>
        <w:t>Discussion on the UE features for NR NTN enhancements</w:t>
      </w:r>
      <w:r w:rsidR="00F74A6F" w:rsidRPr="009537ED">
        <w:rPr>
          <w:lang w:eastAsia="x-none"/>
        </w:rPr>
        <w:tab/>
        <w:t>NEC</w:t>
      </w:r>
    </w:p>
    <w:p w14:paraId="2006F611" w14:textId="60F620F6" w:rsidR="00F74A6F" w:rsidRPr="009537ED" w:rsidRDefault="005A18DC" w:rsidP="00F74A6F">
      <w:pPr>
        <w:rPr>
          <w:lang w:eastAsia="x-none"/>
        </w:rPr>
      </w:pPr>
      <w:hyperlink r:id="rId2045" w:history="1">
        <w:r w:rsidR="00AF7253">
          <w:rPr>
            <w:rStyle w:val="Hyperlink"/>
            <w:lang w:eastAsia="x-none"/>
          </w:rPr>
          <w:t>R1-2311556</w:t>
        </w:r>
      </w:hyperlink>
      <w:r w:rsidR="00F74A6F" w:rsidRPr="009537ED">
        <w:rPr>
          <w:lang w:eastAsia="x-none"/>
        </w:rPr>
        <w:tab/>
        <w:t>Discussion on UE features for eRedCap</w:t>
      </w:r>
      <w:r w:rsidR="00F74A6F" w:rsidRPr="009537ED">
        <w:rPr>
          <w:lang w:eastAsia="x-none"/>
        </w:rPr>
        <w:tab/>
        <w:t>China Telecom</w:t>
      </w:r>
    </w:p>
    <w:p w14:paraId="461ABDA5" w14:textId="121B04A2" w:rsidR="00F74A6F" w:rsidRPr="009537ED" w:rsidRDefault="005A18DC" w:rsidP="00F74A6F">
      <w:pPr>
        <w:rPr>
          <w:lang w:eastAsia="x-none"/>
        </w:rPr>
      </w:pPr>
      <w:hyperlink r:id="rId2046" w:history="1">
        <w:r w:rsidR="00AF7253">
          <w:rPr>
            <w:rStyle w:val="Hyperlink"/>
            <w:lang w:eastAsia="x-none"/>
          </w:rPr>
          <w:t>R1-2311645</w:t>
        </w:r>
      </w:hyperlink>
      <w:r w:rsidR="00F74A6F" w:rsidRPr="009537ED">
        <w:rPr>
          <w:lang w:eastAsia="x-none"/>
        </w:rPr>
        <w:tab/>
        <w:t>Discussion on UE features for eRedCap</w:t>
      </w:r>
      <w:r w:rsidR="00F74A6F" w:rsidRPr="009537ED">
        <w:rPr>
          <w:lang w:eastAsia="x-none"/>
        </w:rPr>
        <w:tab/>
        <w:t>NTT DOCOMO, INC.</w:t>
      </w:r>
    </w:p>
    <w:p w14:paraId="0AEA4A1F" w14:textId="4361AAEA" w:rsidR="00F74A6F" w:rsidRPr="009537ED" w:rsidRDefault="005A18DC" w:rsidP="00F74A6F">
      <w:pPr>
        <w:rPr>
          <w:lang w:eastAsia="x-none"/>
        </w:rPr>
      </w:pPr>
      <w:hyperlink r:id="rId2047" w:history="1">
        <w:r w:rsidR="00AF7253">
          <w:rPr>
            <w:rStyle w:val="Hyperlink"/>
            <w:lang w:eastAsia="x-none"/>
          </w:rPr>
          <w:t>R1-2311709</w:t>
        </w:r>
      </w:hyperlink>
      <w:r w:rsidR="00F74A6F" w:rsidRPr="009537ED">
        <w:rPr>
          <w:lang w:eastAsia="x-none"/>
        </w:rPr>
        <w:tab/>
        <w:t>UE features for eRedCap</w:t>
      </w:r>
      <w:r w:rsidR="00F74A6F" w:rsidRPr="009537ED">
        <w:rPr>
          <w:lang w:eastAsia="x-none"/>
        </w:rPr>
        <w:tab/>
        <w:t>Apple</w:t>
      </w:r>
    </w:p>
    <w:p w14:paraId="592A3F4F" w14:textId="3EB2EB35" w:rsidR="00F74A6F" w:rsidRPr="009537ED" w:rsidRDefault="005A18DC" w:rsidP="00F74A6F">
      <w:pPr>
        <w:rPr>
          <w:lang w:eastAsia="x-none"/>
        </w:rPr>
      </w:pPr>
      <w:hyperlink r:id="rId2048" w:history="1">
        <w:r w:rsidR="00AF7253">
          <w:rPr>
            <w:rStyle w:val="Hyperlink"/>
            <w:lang w:eastAsia="x-none"/>
          </w:rPr>
          <w:t>R1-2311870</w:t>
        </w:r>
      </w:hyperlink>
      <w:r w:rsidR="00F74A6F" w:rsidRPr="009537ED">
        <w:rPr>
          <w:lang w:eastAsia="x-none"/>
        </w:rPr>
        <w:tab/>
        <w:t>UE features for eRedCap</w:t>
      </w:r>
      <w:r w:rsidR="00F74A6F" w:rsidRPr="009537ED">
        <w:rPr>
          <w:lang w:eastAsia="x-none"/>
        </w:rPr>
        <w:tab/>
        <w:t>Samsung</w:t>
      </w:r>
    </w:p>
    <w:p w14:paraId="44CB8E71" w14:textId="141921C1" w:rsidR="00F74A6F" w:rsidRPr="009537ED" w:rsidRDefault="005A18DC" w:rsidP="00F74A6F">
      <w:pPr>
        <w:rPr>
          <w:lang w:eastAsia="x-none"/>
        </w:rPr>
      </w:pPr>
      <w:hyperlink r:id="rId2049" w:history="1">
        <w:r w:rsidR="00AF7253">
          <w:rPr>
            <w:rStyle w:val="Hyperlink"/>
            <w:lang w:eastAsia="x-none"/>
          </w:rPr>
          <w:t>R1-2311979</w:t>
        </w:r>
      </w:hyperlink>
      <w:r w:rsidR="00F74A6F" w:rsidRPr="009537ED">
        <w:rPr>
          <w:lang w:eastAsia="x-none"/>
        </w:rPr>
        <w:tab/>
        <w:t>UE features for eRedCap</w:t>
      </w:r>
      <w:r w:rsidR="00F74A6F" w:rsidRPr="009537ED">
        <w:rPr>
          <w:lang w:eastAsia="x-none"/>
        </w:rPr>
        <w:tab/>
        <w:t>MediaTek Inc.</w:t>
      </w:r>
    </w:p>
    <w:p w14:paraId="50246F99" w14:textId="2B98B58D" w:rsidR="00F74A6F" w:rsidRPr="009537ED" w:rsidRDefault="005A18DC" w:rsidP="00F74A6F">
      <w:pPr>
        <w:rPr>
          <w:lang w:eastAsia="x-none"/>
        </w:rPr>
      </w:pPr>
      <w:hyperlink r:id="rId2050" w:history="1">
        <w:r w:rsidR="00AF7253">
          <w:rPr>
            <w:rStyle w:val="Hyperlink"/>
            <w:lang w:eastAsia="x-none"/>
          </w:rPr>
          <w:t>R1-2312064</w:t>
        </w:r>
      </w:hyperlink>
      <w:r w:rsidR="00F74A6F" w:rsidRPr="009537ED">
        <w:rPr>
          <w:lang w:eastAsia="x-none"/>
        </w:rPr>
        <w:tab/>
        <w:t>UE features for eRedcap</w:t>
      </w:r>
      <w:r w:rsidR="00F74A6F" w:rsidRPr="009537ED">
        <w:rPr>
          <w:lang w:eastAsia="x-none"/>
        </w:rPr>
        <w:tab/>
        <w:t>Qualcomm Incorporated</w:t>
      </w:r>
    </w:p>
    <w:p w14:paraId="20DA25AA" w14:textId="33836AE6" w:rsidR="00F74A6F" w:rsidRDefault="005A18DC" w:rsidP="00F74A6F">
      <w:pPr>
        <w:rPr>
          <w:lang w:eastAsia="x-none"/>
        </w:rPr>
      </w:pPr>
      <w:hyperlink r:id="rId2051" w:history="1">
        <w:r w:rsidR="00AF7253">
          <w:rPr>
            <w:rStyle w:val="Hyperlink"/>
            <w:lang w:eastAsia="x-none"/>
          </w:rPr>
          <w:t>R1-2312168</w:t>
        </w:r>
      </w:hyperlink>
      <w:r w:rsidR="00F74A6F" w:rsidRPr="009537ED">
        <w:rPr>
          <w:lang w:eastAsia="x-none"/>
        </w:rPr>
        <w:tab/>
        <w:t>UE features for eRedCap</w:t>
      </w:r>
      <w:r w:rsidR="00F74A6F" w:rsidRPr="009537ED">
        <w:rPr>
          <w:lang w:eastAsia="x-none"/>
        </w:rPr>
        <w:tab/>
        <w:t>Ericsson</w:t>
      </w:r>
    </w:p>
    <w:p w14:paraId="5ADD968D" w14:textId="77777777" w:rsidR="001359FB" w:rsidRDefault="001359FB" w:rsidP="001359FB">
      <w:pPr>
        <w:rPr>
          <w:lang w:eastAsia="x-none"/>
        </w:rPr>
      </w:pPr>
    </w:p>
    <w:p w14:paraId="01E57911" w14:textId="2F9B7F70" w:rsidR="001359FB" w:rsidRDefault="005A18DC" w:rsidP="001359FB">
      <w:pPr>
        <w:rPr>
          <w:b/>
          <w:bCs/>
          <w:lang w:eastAsia="x-none"/>
        </w:rPr>
      </w:pPr>
      <w:hyperlink r:id="rId2052" w:history="1">
        <w:r w:rsidR="00AF7253">
          <w:rPr>
            <w:rStyle w:val="Hyperlink"/>
            <w:b/>
            <w:bCs/>
            <w:lang w:eastAsia="x-none"/>
          </w:rPr>
          <w:t>R1-2312584</w:t>
        </w:r>
      </w:hyperlink>
      <w:r w:rsidR="001359FB" w:rsidRPr="001359FB">
        <w:rPr>
          <w:b/>
          <w:bCs/>
          <w:lang w:eastAsia="x-none"/>
        </w:rPr>
        <w:tab/>
        <w:t>Summary on UE features for eRedCap</w:t>
      </w:r>
      <w:r w:rsidR="001359FB" w:rsidRPr="001359FB">
        <w:rPr>
          <w:b/>
          <w:bCs/>
          <w:lang w:eastAsia="x-none"/>
        </w:rPr>
        <w:tab/>
        <w:t>Moderator (NTT DOCOMO)</w:t>
      </w:r>
    </w:p>
    <w:p w14:paraId="14787725" w14:textId="2A9D2520" w:rsidR="00065A8D" w:rsidRPr="00955F5C" w:rsidRDefault="00065A8D" w:rsidP="00065A8D">
      <w:pPr>
        <w:rPr>
          <w:lang w:eastAsia="x-none"/>
        </w:rPr>
      </w:pPr>
      <w:bookmarkStart w:id="805" w:name="_Toc150174508"/>
      <w:r w:rsidRPr="00955F5C">
        <w:rPr>
          <w:lang w:eastAsia="x-none"/>
        </w:rPr>
        <w:t>This document presents the summary of email discussion [115-R18-UE_features-0</w:t>
      </w:r>
      <w:r>
        <w:rPr>
          <w:lang w:eastAsia="x-none"/>
        </w:rPr>
        <w:t>1</w:t>
      </w:r>
      <w:r w:rsidRPr="00955F5C">
        <w:rPr>
          <w:lang w:eastAsia="x-none"/>
        </w:rPr>
        <w:t xml:space="preserve">] </w:t>
      </w:r>
      <w:r>
        <w:rPr>
          <w:lang w:eastAsia="x-none"/>
        </w:rPr>
        <w:t xml:space="preserve">related to eRedCap </w:t>
      </w:r>
      <w:r w:rsidRPr="00955F5C">
        <w:rPr>
          <w:lang w:eastAsia="x-none"/>
        </w:rPr>
        <w:t>during RAN1 #115.</w:t>
      </w:r>
    </w:p>
    <w:p w14:paraId="6BE39F81" w14:textId="77777777" w:rsidR="00F74A6F" w:rsidRDefault="00F74A6F" w:rsidP="00F74A6F">
      <w:pPr>
        <w:pStyle w:val="Heading3"/>
      </w:pPr>
      <w:bookmarkStart w:id="806" w:name="_Toc159251050"/>
      <w:r w:rsidRPr="009537ED">
        <w:t>UE features for NR network energy savings</w:t>
      </w:r>
      <w:bookmarkEnd w:id="805"/>
      <w:bookmarkEnd w:id="806"/>
    </w:p>
    <w:p w14:paraId="399CF505" w14:textId="23501027" w:rsidR="0030612D" w:rsidRPr="0030612D" w:rsidRDefault="005A18DC" w:rsidP="0030612D">
      <w:pPr>
        <w:rPr>
          <w:b/>
          <w:bCs/>
          <w:lang w:val="en-US" w:eastAsia="x-none"/>
        </w:rPr>
      </w:pPr>
      <w:hyperlink r:id="rId2053" w:history="1">
        <w:r w:rsidR="00AF7253">
          <w:rPr>
            <w:rStyle w:val="Hyperlink"/>
            <w:b/>
            <w:bCs/>
            <w:lang w:val="en-US" w:eastAsia="x-none"/>
          </w:rPr>
          <w:t>R1-2312610</w:t>
        </w:r>
      </w:hyperlink>
      <w:r w:rsidR="0030612D" w:rsidRPr="0030612D">
        <w:rPr>
          <w:b/>
          <w:bCs/>
          <w:lang w:val="en-US" w:eastAsia="x-none"/>
        </w:rPr>
        <w:tab/>
        <w:t>Session Notes of AI 8.16.5</w:t>
      </w:r>
      <w:r w:rsidR="0030612D" w:rsidRPr="0030612D">
        <w:rPr>
          <w:b/>
          <w:bCs/>
          <w:lang w:val="en-US" w:eastAsia="x-none"/>
        </w:rPr>
        <w:tab/>
        <w:t>Ad-Hoc Chair (AT&amp;T)</w:t>
      </w:r>
    </w:p>
    <w:p w14:paraId="5570A2AC" w14:textId="77777777" w:rsidR="0030612D" w:rsidRPr="00663F3A" w:rsidRDefault="0030612D" w:rsidP="0030612D">
      <w:pPr>
        <w:rPr>
          <w:lang w:val="en-US" w:eastAsia="x-none"/>
        </w:rPr>
      </w:pPr>
      <w:r w:rsidRPr="00F05EFE">
        <w:rPr>
          <w:b/>
          <w:bCs/>
        </w:rPr>
        <w:t>Friday decision:</w:t>
      </w:r>
      <w:r>
        <w:t xml:space="preserve"> The </w:t>
      </w:r>
      <w:r>
        <w:rPr>
          <w:lang w:val="en-US" w:eastAsia="x-none"/>
        </w:rPr>
        <w:t>s</w:t>
      </w:r>
      <w:r w:rsidRPr="00663F3A">
        <w:rPr>
          <w:lang w:val="en-US" w:eastAsia="x-none"/>
        </w:rPr>
        <w:t>ession notes</w:t>
      </w:r>
      <w:r>
        <w:rPr>
          <w:lang w:val="en-US" w:eastAsia="x-none"/>
        </w:rPr>
        <w:t xml:space="preserve"> (all agreements reached during RAN1#115)</w:t>
      </w:r>
      <w:r w:rsidRPr="00663F3A">
        <w:rPr>
          <w:lang w:val="en-US" w:eastAsia="x-none"/>
        </w:rPr>
        <w:t xml:space="preserve"> are </w:t>
      </w:r>
      <w:r w:rsidRPr="00663F3A">
        <w:rPr>
          <w:highlight w:val="green"/>
          <w:lang w:val="en-US" w:eastAsia="x-none"/>
        </w:rPr>
        <w:t>endorsed</w:t>
      </w:r>
      <w:r w:rsidRPr="00663F3A">
        <w:rPr>
          <w:lang w:val="en-US" w:eastAsia="x-none"/>
        </w:rPr>
        <w:t>.</w:t>
      </w:r>
    </w:p>
    <w:p w14:paraId="203202AA" w14:textId="77777777" w:rsidR="0030612D" w:rsidRPr="0030612D" w:rsidRDefault="0030612D" w:rsidP="0030612D">
      <w:pPr>
        <w:rPr>
          <w:lang w:val="en-US"/>
        </w:rPr>
      </w:pPr>
    </w:p>
    <w:p w14:paraId="166B1346" w14:textId="477969B7" w:rsidR="00F74A6F" w:rsidRPr="009537ED" w:rsidRDefault="005A18DC" w:rsidP="00F74A6F">
      <w:pPr>
        <w:rPr>
          <w:lang w:eastAsia="x-none"/>
        </w:rPr>
      </w:pPr>
      <w:hyperlink r:id="rId2054" w:history="1">
        <w:r w:rsidR="00AF7253">
          <w:rPr>
            <w:rStyle w:val="Hyperlink"/>
            <w:lang w:eastAsia="x-none"/>
          </w:rPr>
          <w:t>R1-2310865</w:t>
        </w:r>
      </w:hyperlink>
      <w:r w:rsidR="00F74A6F" w:rsidRPr="009537ED">
        <w:rPr>
          <w:lang w:eastAsia="x-none"/>
        </w:rPr>
        <w:tab/>
        <w:t>UE features for Rel-18 NES</w:t>
      </w:r>
      <w:r w:rsidR="00F74A6F" w:rsidRPr="009537ED">
        <w:rPr>
          <w:lang w:eastAsia="x-none"/>
        </w:rPr>
        <w:tab/>
        <w:t>Huawei, HiSilicon</w:t>
      </w:r>
    </w:p>
    <w:p w14:paraId="24CF1E34" w14:textId="25E6EA57" w:rsidR="00F74A6F" w:rsidRPr="009537ED" w:rsidRDefault="005A18DC" w:rsidP="00F74A6F">
      <w:pPr>
        <w:rPr>
          <w:lang w:eastAsia="x-none"/>
        </w:rPr>
      </w:pPr>
      <w:hyperlink r:id="rId2055" w:history="1">
        <w:r w:rsidR="00AF7253">
          <w:rPr>
            <w:rStyle w:val="Hyperlink"/>
            <w:lang w:eastAsia="x-none"/>
          </w:rPr>
          <w:t>R1-2310893</w:t>
        </w:r>
      </w:hyperlink>
      <w:r w:rsidR="00F74A6F" w:rsidRPr="009537ED">
        <w:rPr>
          <w:lang w:eastAsia="x-none"/>
        </w:rPr>
        <w:tab/>
        <w:t>On UE features for NR network energy savings</w:t>
      </w:r>
      <w:r w:rsidR="00F74A6F" w:rsidRPr="009537ED">
        <w:rPr>
          <w:lang w:eastAsia="x-none"/>
        </w:rPr>
        <w:tab/>
        <w:t>Nokia, Nokia Shanghai Bell</w:t>
      </w:r>
    </w:p>
    <w:p w14:paraId="38C66617" w14:textId="38EE73AE" w:rsidR="00F74A6F" w:rsidRPr="009537ED" w:rsidRDefault="005A18DC" w:rsidP="00F74A6F">
      <w:pPr>
        <w:rPr>
          <w:lang w:eastAsia="x-none"/>
        </w:rPr>
      </w:pPr>
      <w:hyperlink r:id="rId2056" w:history="1">
        <w:r w:rsidR="00AF7253">
          <w:rPr>
            <w:rStyle w:val="Hyperlink"/>
            <w:lang w:eastAsia="x-none"/>
          </w:rPr>
          <w:t>R1-2310997</w:t>
        </w:r>
      </w:hyperlink>
      <w:r w:rsidR="00F74A6F" w:rsidRPr="009537ED">
        <w:rPr>
          <w:lang w:eastAsia="x-none"/>
        </w:rPr>
        <w:tab/>
        <w:t>Discussion on UE features for NES</w:t>
      </w:r>
      <w:r w:rsidR="00F74A6F" w:rsidRPr="009537ED">
        <w:rPr>
          <w:lang w:eastAsia="x-none"/>
        </w:rPr>
        <w:tab/>
        <w:t>ZTE, Sanechips</w:t>
      </w:r>
    </w:p>
    <w:p w14:paraId="2E4758D9" w14:textId="559F1864" w:rsidR="00F74A6F" w:rsidRPr="009537ED" w:rsidRDefault="005A18DC" w:rsidP="00F74A6F">
      <w:pPr>
        <w:rPr>
          <w:lang w:eastAsia="x-none"/>
        </w:rPr>
      </w:pPr>
      <w:hyperlink r:id="rId2057" w:history="1">
        <w:r w:rsidR="00AF7253">
          <w:rPr>
            <w:rStyle w:val="Hyperlink"/>
            <w:lang w:eastAsia="x-none"/>
          </w:rPr>
          <w:t>R1-2311050</w:t>
        </w:r>
      </w:hyperlink>
      <w:r w:rsidR="00F74A6F" w:rsidRPr="009537ED">
        <w:rPr>
          <w:lang w:eastAsia="x-none"/>
        </w:rPr>
        <w:tab/>
        <w:t>UE features for Rel-18 network energy savings</w:t>
      </w:r>
      <w:r w:rsidR="00F74A6F" w:rsidRPr="009537ED">
        <w:rPr>
          <w:lang w:eastAsia="x-none"/>
        </w:rPr>
        <w:tab/>
        <w:t>Fujitsu</w:t>
      </w:r>
    </w:p>
    <w:p w14:paraId="0228442B" w14:textId="669CAFEE" w:rsidR="00F74A6F" w:rsidRPr="009537ED" w:rsidRDefault="005A18DC" w:rsidP="00F74A6F">
      <w:pPr>
        <w:rPr>
          <w:lang w:eastAsia="x-none"/>
        </w:rPr>
      </w:pPr>
      <w:hyperlink r:id="rId2058" w:history="1">
        <w:r w:rsidR="00AF7253">
          <w:rPr>
            <w:rStyle w:val="Hyperlink"/>
            <w:lang w:eastAsia="x-none"/>
          </w:rPr>
          <w:t>R1-2311121</w:t>
        </w:r>
      </w:hyperlink>
      <w:r w:rsidR="00F74A6F" w:rsidRPr="009537ED">
        <w:rPr>
          <w:lang w:eastAsia="x-none"/>
        </w:rPr>
        <w:tab/>
        <w:t>Discussions on UE features for network energy saving</w:t>
      </w:r>
      <w:r w:rsidR="00F74A6F" w:rsidRPr="009537ED">
        <w:rPr>
          <w:lang w:eastAsia="x-none"/>
        </w:rPr>
        <w:tab/>
        <w:t>vivo</w:t>
      </w:r>
    </w:p>
    <w:p w14:paraId="5DCBD619" w14:textId="56CD01F5" w:rsidR="00F74A6F" w:rsidRPr="009537ED" w:rsidRDefault="005A18DC" w:rsidP="00F74A6F">
      <w:pPr>
        <w:rPr>
          <w:lang w:eastAsia="x-none"/>
        </w:rPr>
      </w:pPr>
      <w:hyperlink r:id="rId2059" w:history="1">
        <w:r w:rsidR="00AF7253">
          <w:rPr>
            <w:rStyle w:val="Hyperlink"/>
            <w:lang w:eastAsia="x-none"/>
          </w:rPr>
          <w:t>R1-2311139</w:t>
        </w:r>
      </w:hyperlink>
      <w:r w:rsidR="00F74A6F" w:rsidRPr="009537ED">
        <w:rPr>
          <w:lang w:eastAsia="x-none"/>
        </w:rPr>
        <w:tab/>
        <w:t>Discussion on UE features for NES</w:t>
      </w:r>
      <w:r w:rsidR="00F74A6F" w:rsidRPr="009537ED">
        <w:rPr>
          <w:lang w:eastAsia="x-none"/>
        </w:rPr>
        <w:tab/>
        <w:t>Intel Corporation</w:t>
      </w:r>
    </w:p>
    <w:p w14:paraId="6FE16AED" w14:textId="542768C0" w:rsidR="00F74A6F" w:rsidRPr="009537ED" w:rsidRDefault="005A18DC" w:rsidP="00F74A6F">
      <w:pPr>
        <w:rPr>
          <w:lang w:eastAsia="x-none"/>
        </w:rPr>
      </w:pPr>
      <w:hyperlink r:id="rId2060" w:history="1">
        <w:r w:rsidR="00AF7253">
          <w:rPr>
            <w:rStyle w:val="Hyperlink"/>
            <w:lang w:eastAsia="x-none"/>
          </w:rPr>
          <w:t>R1-2311254</w:t>
        </w:r>
      </w:hyperlink>
      <w:r w:rsidR="00F74A6F" w:rsidRPr="009537ED">
        <w:rPr>
          <w:lang w:eastAsia="x-none"/>
        </w:rPr>
        <w:tab/>
        <w:t>Discussion on UE features for NR network energy savings</w:t>
      </w:r>
      <w:r w:rsidR="00F74A6F" w:rsidRPr="009537ED">
        <w:rPr>
          <w:lang w:eastAsia="x-none"/>
        </w:rPr>
        <w:tab/>
        <w:t>OPPO</w:t>
      </w:r>
    </w:p>
    <w:p w14:paraId="35D001E1" w14:textId="0F7EDEED" w:rsidR="00F74A6F" w:rsidRPr="009537ED" w:rsidRDefault="005A18DC" w:rsidP="00F74A6F">
      <w:pPr>
        <w:rPr>
          <w:lang w:eastAsia="x-none"/>
        </w:rPr>
      </w:pPr>
      <w:hyperlink r:id="rId2061" w:history="1">
        <w:r w:rsidR="00AF7253">
          <w:rPr>
            <w:rStyle w:val="Hyperlink"/>
            <w:lang w:eastAsia="x-none"/>
          </w:rPr>
          <w:t>R1-2311332</w:t>
        </w:r>
      </w:hyperlink>
      <w:r w:rsidR="00F74A6F" w:rsidRPr="009537ED">
        <w:rPr>
          <w:lang w:eastAsia="x-none"/>
        </w:rPr>
        <w:tab/>
        <w:t>Discussion on Rel-18 UE features for Network Energy Saving</w:t>
      </w:r>
      <w:r w:rsidR="00F74A6F" w:rsidRPr="009537ED">
        <w:rPr>
          <w:lang w:eastAsia="x-none"/>
        </w:rPr>
        <w:tab/>
        <w:t>CATT</w:t>
      </w:r>
    </w:p>
    <w:p w14:paraId="07E4F147" w14:textId="2F8FBEF8" w:rsidR="00F74A6F" w:rsidRPr="009537ED" w:rsidRDefault="005A18DC" w:rsidP="00F74A6F">
      <w:pPr>
        <w:rPr>
          <w:lang w:eastAsia="x-none"/>
        </w:rPr>
      </w:pPr>
      <w:hyperlink r:id="rId2062" w:history="1">
        <w:r w:rsidR="00AF7253">
          <w:rPr>
            <w:rStyle w:val="Hyperlink"/>
            <w:lang w:eastAsia="x-none"/>
          </w:rPr>
          <w:t>R1-2311397</w:t>
        </w:r>
      </w:hyperlink>
      <w:r w:rsidR="00F74A6F" w:rsidRPr="009537ED">
        <w:rPr>
          <w:lang w:eastAsia="x-none"/>
        </w:rPr>
        <w:tab/>
        <w:t>Views on Rel-18 network energy saving UE features</w:t>
      </w:r>
      <w:r w:rsidR="00F74A6F" w:rsidRPr="009537ED">
        <w:rPr>
          <w:lang w:eastAsia="x-none"/>
        </w:rPr>
        <w:tab/>
        <w:t>xiaomi</w:t>
      </w:r>
    </w:p>
    <w:p w14:paraId="7508F0C7" w14:textId="5530C32E" w:rsidR="00F74A6F" w:rsidRPr="009537ED" w:rsidRDefault="005A18DC" w:rsidP="00F74A6F">
      <w:pPr>
        <w:rPr>
          <w:lang w:eastAsia="x-none"/>
        </w:rPr>
      </w:pPr>
      <w:hyperlink r:id="rId2063" w:history="1">
        <w:r w:rsidR="00AF7253">
          <w:rPr>
            <w:rStyle w:val="Hyperlink"/>
            <w:lang w:eastAsia="x-none"/>
          </w:rPr>
          <w:t>R1-2311503</w:t>
        </w:r>
      </w:hyperlink>
      <w:r w:rsidR="00F74A6F" w:rsidRPr="009537ED">
        <w:rPr>
          <w:lang w:eastAsia="x-none"/>
        </w:rPr>
        <w:tab/>
        <w:t>Discussion on UE features for network energy saving</w:t>
      </w:r>
      <w:r w:rsidR="00F74A6F" w:rsidRPr="009537ED">
        <w:rPr>
          <w:lang w:eastAsia="x-none"/>
        </w:rPr>
        <w:tab/>
        <w:t>CMCC</w:t>
      </w:r>
    </w:p>
    <w:p w14:paraId="730A0723" w14:textId="6E9EB853" w:rsidR="00F74A6F" w:rsidRPr="009537ED" w:rsidRDefault="005A18DC" w:rsidP="00F74A6F">
      <w:pPr>
        <w:rPr>
          <w:lang w:eastAsia="x-none"/>
        </w:rPr>
      </w:pPr>
      <w:hyperlink r:id="rId2064" w:history="1">
        <w:r w:rsidR="00AF7253">
          <w:rPr>
            <w:rStyle w:val="Hyperlink"/>
            <w:lang w:eastAsia="x-none"/>
          </w:rPr>
          <w:t>R1-2311557</w:t>
        </w:r>
      </w:hyperlink>
      <w:r w:rsidR="00F74A6F" w:rsidRPr="009537ED">
        <w:rPr>
          <w:lang w:eastAsia="x-none"/>
        </w:rPr>
        <w:tab/>
        <w:t>Discussion on UE features for NES</w:t>
      </w:r>
      <w:r w:rsidR="00F74A6F" w:rsidRPr="009537ED">
        <w:rPr>
          <w:lang w:eastAsia="x-none"/>
        </w:rPr>
        <w:tab/>
        <w:t>China Telecom</w:t>
      </w:r>
    </w:p>
    <w:p w14:paraId="62C0CBDD" w14:textId="3DA9EAE9" w:rsidR="00F74A6F" w:rsidRPr="009537ED" w:rsidRDefault="005A18DC" w:rsidP="00F74A6F">
      <w:pPr>
        <w:rPr>
          <w:lang w:eastAsia="x-none"/>
        </w:rPr>
      </w:pPr>
      <w:hyperlink r:id="rId2065" w:history="1">
        <w:r w:rsidR="00AF7253">
          <w:rPr>
            <w:rStyle w:val="Hyperlink"/>
            <w:lang w:eastAsia="x-none"/>
          </w:rPr>
          <w:t>R1-2311577</w:t>
        </w:r>
      </w:hyperlink>
      <w:r w:rsidR="00F74A6F" w:rsidRPr="009537ED">
        <w:rPr>
          <w:lang w:eastAsia="x-none"/>
        </w:rPr>
        <w:tab/>
        <w:t>UE feature on Network Energy Saving</w:t>
      </w:r>
      <w:r w:rsidR="00F74A6F" w:rsidRPr="009537ED">
        <w:rPr>
          <w:lang w:eastAsia="x-none"/>
        </w:rPr>
        <w:tab/>
        <w:t>Google</w:t>
      </w:r>
    </w:p>
    <w:p w14:paraId="1959CAC2" w14:textId="398DFE29" w:rsidR="00F74A6F" w:rsidRPr="009537ED" w:rsidRDefault="005A18DC" w:rsidP="00F74A6F">
      <w:pPr>
        <w:rPr>
          <w:lang w:eastAsia="x-none"/>
        </w:rPr>
      </w:pPr>
      <w:hyperlink r:id="rId2066" w:history="1">
        <w:r w:rsidR="00AF7253">
          <w:rPr>
            <w:rStyle w:val="Hyperlink"/>
            <w:lang w:eastAsia="x-none"/>
          </w:rPr>
          <w:t>R1-2311646</w:t>
        </w:r>
      </w:hyperlink>
      <w:r w:rsidR="00F74A6F" w:rsidRPr="009537ED">
        <w:rPr>
          <w:lang w:eastAsia="x-none"/>
        </w:rPr>
        <w:tab/>
        <w:t>Discussion on UE features for NR NW energy savings</w:t>
      </w:r>
      <w:r w:rsidR="00F74A6F" w:rsidRPr="009537ED">
        <w:rPr>
          <w:lang w:eastAsia="x-none"/>
        </w:rPr>
        <w:tab/>
        <w:t>NTT DOCOMO, INC.</w:t>
      </w:r>
    </w:p>
    <w:p w14:paraId="24C4366A" w14:textId="747C4BB1" w:rsidR="00F74A6F" w:rsidRPr="009537ED" w:rsidRDefault="005A18DC" w:rsidP="00F74A6F">
      <w:pPr>
        <w:rPr>
          <w:lang w:eastAsia="x-none"/>
        </w:rPr>
      </w:pPr>
      <w:hyperlink r:id="rId2067" w:history="1">
        <w:r w:rsidR="00AF7253">
          <w:rPr>
            <w:rStyle w:val="Hyperlink"/>
            <w:lang w:eastAsia="x-none"/>
          </w:rPr>
          <w:t>R1-2311710</w:t>
        </w:r>
      </w:hyperlink>
      <w:r w:rsidR="00F74A6F" w:rsidRPr="009537ED">
        <w:rPr>
          <w:lang w:eastAsia="x-none"/>
        </w:rPr>
        <w:tab/>
        <w:t>Views on UE features for NR Network Energy Savings</w:t>
      </w:r>
      <w:r w:rsidR="00F74A6F" w:rsidRPr="009537ED">
        <w:rPr>
          <w:lang w:eastAsia="x-none"/>
        </w:rPr>
        <w:tab/>
        <w:t>Apple</w:t>
      </w:r>
    </w:p>
    <w:p w14:paraId="1668545B" w14:textId="1D711AC1" w:rsidR="00F74A6F" w:rsidRPr="009537ED" w:rsidRDefault="005A18DC" w:rsidP="00F74A6F">
      <w:pPr>
        <w:rPr>
          <w:lang w:eastAsia="x-none"/>
        </w:rPr>
      </w:pPr>
      <w:hyperlink r:id="rId2068" w:history="1">
        <w:r w:rsidR="00AF7253">
          <w:rPr>
            <w:rStyle w:val="Hyperlink"/>
            <w:lang w:eastAsia="x-none"/>
          </w:rPr>
          <w:t>R1-2311782</w:t>
        </w:r>
      </w:hyperlink>
      <w:r w:rsidR="00F74A6F" w:rsidRPr="009537ED">
        <w:rPr>
          <w:lang w:eastAsia="x-none"/>
        </w:rPr>
        <w:tab/>
        <w:t>UE Features for Cell DTX/DRX</w:t>
      </w:r>
      <w:r w:rsidR="00F74A6F" w:rsidRPr="009537ED">
        <w:rPr>
          <w:lang w:eastAsia="x-none"/>
        </w:rPr>
        <w:tab/>
        <w:t>Vodafone, Deutsche Telekom</w:t>
      </w:r>
    </w:p>
    <w:p w14:paraId="3B78E45A" w14:textId="5E781D22" w:rsidR="00F74A6F" w:rsidRPr="009537ED" w:rsidRDefault="005A18DC" w:rsidP="00F74A6F">
      <w:pPr>
        <w:rPr>
          <w:lang w:eastAsia="x-none"/>
        </w:rPr>
      </w:pPr>
      <w:hyperlink r:id="rId2069" w:history="1">
        <w:r w:rsidR="00AF7253">
          <w:rPr>
            <w:rStyle w:val="Hyperlink"/>
            <w:lang w:eastAsia="x-none"/>
          </w:rPr>
          <w:t>R1-2311871</w:t>
        </w:r>
      </w:hyperlink>
      <w:r w:rsidR="00F74A6F" w:rsidRPr="009537ED">
        <w:rPr>
          <w:lang w:eastAsia="x-none"/>
        </w:rPr>
        <w:tab/>
        <w:t>UE features for NR network energy savings</w:t>
      </w:r>
      <w:r w:rsidR="00F74A6F" w:rsidRPr="009537ED">
        <w:rPr>
          <w:lang w:eastAsia="x-none"/>
        </w:rPr>
        <w:tab/>
        <w:t>Samsung</w:t>
      </w:r>
    </w:p>
    <w:p w14:paraId="27DD1A80" w14:textId="27C5E56D" w:rsidR="00F74A6F" w:rsidRPr="009537ED" w:rsidRDefault="005A18DC" w:rsidP="00F74A6F">
      <w:pPr>
        <w:rPr>
          <w:lang w:eastAsia="x-none"/>
        </w:rPr>
      </w:pPr>
      <w:hyperlink r:id="rId2070" w:history="1">
        <w:r w:rsidR="00AF7253">
          <w:rPr>
            <w:rStyle w:val="Hyperlink"/>
            <w:lang w:eastAsia="x-none"/>
          </w:rPr>
          <w:t>R1-2311901</w:t>
        </w:r>
      </w:hyperlink>
      <w:r w:rsidR="00F74A6F" w:rsidRPr="009537ED">
        <w:rPr>
          <w:lang w:eastAsia="x-none"/>
        </w:rPr>
        <w:tab/>
        <w:t>Discussion on UE features for NES</w:t>
      </w:r>
      <w:r w:rsidR="00F74A6F" w:rsidRPr="009537ED">
        <w:rPr>
          <w:lang w:eastAsia="x-none"/>
        </w:rPr>
        <w:tab/>
        <w:t>LG Electronics</w:t>
      </w:r>
    </w:p>
    <w:p w14:paraId="684E771D" w14:textId="3FD07E74" w:rsidR="00F74A6F" w:rsidRPr="009537ED" w:rsidRDefault="005A18DC" w:rsidP="00F74A6F">
      <w:pPr>
        <w:rPr>
          <w:lang w:eastAsia="x-none"/>
        </w:rPr>
      </w:pPr>
      <w:hyperlink r:id="rId2071" w:history="1">
        <w:r w:rsidR="00AF7253">
          <w:rPr>
            <w:rStyle w:val="Hyperlink"/>
            <w:lang w:eastAsia="x-none"/>
          </w:rPr>
          <w:t>R1-2311982</w:t>
        </w:r>
      </w:hyperlink>
      <w:r w:rsidR="00F74A6F" w:rsidRPr="009537ED">
        <w:rPr>
          <w:lang w:eastAsia="x-none"/>
        </w:rPr>
        <w:tab/>
        <w:t>On UE features for NR network energy savings</w:t>
      </w:r>
      <w:r w:rsidR="00F74A6F" w:rsidRPr="009537ED">
        <w:rPr>
          <w:lang w:eastAsia="x-none"/>
        </w:rPr>
        <w:tab/>
        <w:t>MediaTek Inc.</w:t>
      </w:r>
    </w:p>
    <w:p w14:paraId="253C92D7" w14:textId="023880EC" w:rsidR="00F74A6F" w:rsidRPr="009537ED" w:rsidRDefault="005A18DC" w:rsidP="00F74A6F">
      <w:pPr>
        <w:rPr>
          <w:lang w:eastAsia="x-none"/>
        </w:rPr>
      </w:pPr>
      <w:hyperlink r:id="rId2072" w:history="1">
        <w:r w:rsidR="00AF7253">
          <w:rPr>
            <w:rStyle w:val="Hyperlink"/>
            <w:lang w:eastAsia="x-none"/>
          </w:rPr>
          <w:t>R1-2312065</w:t>
        </w:r>
      </w:hyperlink>
      <w:r w:rsidR="00F74A6F" w:rsidRPr="009537ED">
        <w:rPr>
          <w:lang w:eastAsia="x-none"/>
        </w:rPr>
        <w:tab/>
        <w:t>UE features for NES</w:t>
      </w:r>
      <w:r w:rsidR="00F74A6F" w:rsidRPr="009537ED">
        <w:rPr>
          <w:lang w:eastAsia="x-none"/>
        </w:rPr>
        <w:tab/>
        <w:t>Qualcomm Incorporated</w:t>
      </w:r>
    </w:p>
    <w:p w14:paraId="0B2D1E95" w14:textId="47E6A5C3" w:rsidR="00F74A6F" w:rsidRDefault="005A18DC" w:rsidP="00F74A6F">
      <w:pPr>
        <w:rPr>
          <w:lang w:eastAsia="x-none"/>
        </w:rPr>
      </w:pPr>
      <w:hyperlink r:id="rId2073" w:history="1">
        <w:r w:rsidR="00AF7253">
          <w:rPr>
            <w:rStyle w:val="Hyperlink"/>
            <w:lang w:eastAsia="x-none"/>
          </w:rPr>
          <w:t>R1-2312103</w:t>
        </w:r>
      </w:hyperlink>
      <w:r w:rsidR="00F74A6F" w:rsidRPr="009537ED">
        <w:rPr>
          <w:lang w:eastAsia="x-none"/>
        </w:rPr>
        <w:tab/>
        <w:t>UE features for Rel-18 network energy savings</w:t>
      </w:r>
      <w:r w:rsidR="00F74A6F" w:rsidRPr="009537ED">
        <w:rPr>
          <w:lang w:eastAsia="x-none"/>
        </w:rPr>
        <w:tab/>
        <w:t>Ericsson</w:t>
      </w:r>
    </w:p>
    <w:p w14:paraId="2287F29D" w14:textId="77777777" w:rsidR="00065A8D" w:rsidRDefault="00065A8D" w:rsidP="00F74A6F">
      <w:pPr>
        <w:rPr>
          <w:lang w:eastAsia="x-none"/>
        </w:rPr>
      </w:pPr>
    </w:p>
    <w:bookmarkStart w:id="807" w:name="_Toc150174509"/>
    <w:p w14:paraId="409E5637" w14:textId="61EFB995" w:rsidR="00065A8D" w:rsidRDefault="00AF7253" w:rsidP="00065A8D">
      <w:pPr>
        <w:rPr>
          <w:b/>
          <w:bCs/>
          <w:lang w:eastAsia="x-none"/>
        </w:rPr>
      </w:pPr>
      <w:r>
        <w:rPr>
          <w:b/>
          <w:bCs/>
          <w:lang w:eastAsia="x-none"/>
        </w:rPr>
        <w:fldChar w:fldCharType="begin"/>
      </w:r>
      <w:r>
        <w:rPr>
          <w:b/>
          <w:bCs/>
          <w:lang w:eastAsia="x-none"/>
        </w:rPr>
        <w:instrText>HYPERLINK "../Docs/R1-2312081.zip"</w:instrText>
      </w:r>
      <w:r>
        <w:rPr>
          <w:b/>
          <w:bCs/>
          <w:lang w:eastAsia="x-none"/>
        </w:rPr>
      </w:r>
      <w:r>
        <w:rPr>
          <w:b/>
          <w:bCs/>
          <w:lang w:eastAsia="x-none"/>
        </w:rPr>
        <w:fldChar w:fldCharType="separate"/>
      </w:r>
      <w:r>
        <w:rPr>
          <w:rStyle w:val="Hyperlink"/>
          <w:b/>
          <w:bCs/>
          <w:lang w:eastAsia="x-none"/>
        </w:rPr>
        <w:t>R1-2312081</w:t>
      </w:r>
      <w:r>
        <w:rPr>
          <w:b/>
          <w:bCs/>
          <w:lang w:eastAsia="x-none"/>
        </w:rPr>
        <w:fldChar w:fldCharType="end"/>
      </w:r>
      <w:r w:rsidR="00065A8D" w:rsidRPr="00065A8D">
        <w:rPr>
          <w:b/>
          <w:bCs/>
          <w:lang w:eastAsia="x-none"/>
        </w:rPr>
        <w:tab/>
        <w:t>Summary of UE features for NR network energy savings</w:t>
      </w:r>
      <w:r w:rsidR="00065A8D" w:rsidRPr="00065A8D">
        <w:rPr>
          <w:b/>
          <w:bCs/>
          <w:lang w:eastAsia="x-none"/>
        </w:rPr>
        <w:tab/>
        <w:t>Moderator (AT&amp;T)</w:t>
      </w:r>
    </w:p>
    <w:p w14:paraId="1ED16747" w14:textId="5FB2BDB6" w:rsidR="00065A8D" w:rsidRPr="00065A8D" w:rsidRDefault="00065A8D" w:rsidP="00065A8D">
      <w:pPr>
        <w:rPr>
          <w:lang w:eastAsia="x-none"/>
        </w:rPr>
      </w:pPr>
      <w:r w:rsidRPr="00955F5C">
        <w:rPr>
          <w:lang w:eastAsia="x-none"/>
        </w:rPr>
        <w:t>This document presents the summary of email discussion [115-R18-UE_features-0</w:t>
      </w:r>
      <w:r>
        <w:rPr>
          <w:lang w:eastAsia="x-none"/>
        </w:rPr>
        <w:t>2</w:t>
      </w:r>
      <w:r w:rsidRPr="00955F5C">
        <w:rPr>
          <w:lang w:eastAsia="x-none"/>
        </w:rPr>
        <w:t xml:space="preserve">] </w:t>
      </w:r>
      <w:r>
        <w:rPr>
          <w:lang w:eastAsia="x-none"/>
        </w:rPr>
        <w:t xml:space="preserve">related to NES </w:t>
      </w:r>
      <w:r w:rsidRPr="00955F5C">
        <w:rPr>
          <w:lang w:eastAsia="x-none"/>
        </w:rPr>
        <w:t>during RAN1 #115.</w:t>
      </w:r>
    </w:p>
    <w:p w14:paraId="5CFB03DB" w14:textId="77777777" w:rsidR="00F74A6F" w:rsidRDefault="00F74A6F" w:rsidP="00F74A6F">
      <w:pPr>
        <w:pStyle w:val="Heading3"/>
      </w:pPr>
      <w:bookmarkStart w:id="808" w:name="_Toc159251051"/>
      <w:r w:rsidRPr="009537ED">
        <w:t>UE features for XR enhancements</w:t>
      </w:r>
      <w:bookmarkEnd w:id="807"/>
      <w:bookmarkEnd w:id="808"/>
    </w:p>
    <w:p w14:paraId="0679DD8C" w14:textId="170D8C2C" w:rsidR="00B86E76" w:rsidRPr="00B86E76" w:rsidRDefault="005A18DC" w:rsidP="00B86E76">
      <w:pPr>
        <w:rPr>
          <w:b/>
          <w:bCs/>
          <w:lang w:eastAsia="x-none"/>
        </w:rPr>
      </w:pPr>
      <w:hyperlink r:id="rId2074" w:history="1">
        <w:r w:rsidR="00AF7253">
          <w:rPr>
            <w:rStyle w:val="Hyperlink"/>
            <w:b/>
            <w:bCs/>
            <w:lang w:eastAsia="x-none"/>
          </w:rPr>
          <w:t>R1-2312577</w:t>
        </w:r>
      </w:hyperlink>
      <w:r w:rsidR="00B86E76" w:rsidRPr="00B86E76">
        <w:rPr>
          <w:b/>
          <w:bCs/>
          <w:lang w:eastAsia="x-none"/>
        </w:rPr>
        <w:tab/>
        <w:t>Session Notes for 8.16.6</w:t>
      </w:r>
      <w:r w:rsidR="00B86E76" w:rsidRPr="00B86E76">
        <w:rPr>
          <w:b/>
          <w:bCs/>
          <w:lang w:eastAsia="x-none"/>
        </w:rPr>
        <w:tab/>
        <w:t>Ad-Hoc Chair (NTT DOCOMO)</w:t>
      </w:r>
    </w:p>
    <w:p w14:paraId="0C34F5FD" w14:textId="77777777" w:rsidR="00B86E76" w:rsidRPr="00663F3A" w:rsidRDefault="00B86E76" w:rsidP="00B86E76">
      <w:pPr>
        <w:rPr>
          <w:lang w:val="en-US" w:eastAsia="x-none"/>
        </w:rPr>
      </w:pPr>
      <w:r w:rsidRPr="00F05EFE">
        <w:rPr>
          <w:b/>
          <w:bCs/>
        </w:rPr>
        <w:t>Friday decision:</w:t>
      </w:r>
      <w:r>
        <w:t xml:space="preserve"> The </w:t>
      </w:r>
      <w:r>
        <w:rPr>
          <w:lang w:val="en-US" w:eastAsia="x-none"/>
        </w:rPr>
        <w:t>s</w:t>
      </w:r>
      <w:r w:rsidRPr="00663F3A">
        <w:rPr>
          <w:lang w:val="en-US" w:eastAsia="x-none"/>
        </w:rPr>
        <w:t>ession notes</w:t>
      </w:r>
      <w:r>
        <w:rPr>
          <w:lang w:val="en-US" w:eastAsia="x-none"/>
        </w:rPr>
        <w:t xml:space="preserve"> (all agreements reached during RAN1#115)</w:t>
      </w:r>
      <w:r w:rsidRPr="00663F3A">
        <w:rPr>
          <w:lang w:val="en-US" w:eastAsia="x-none"/>
        </w:rPr>
        <w:t xml:space="preserve"> are </w:t>
      </w:r>
      <w:r w:rsidRPr="00663F3A">
        <w:rPr>
          <w:highlight w:val="green"/>
          <w:lang w:val="en-US" w:eastAsia="x-none"/>
        </w:rPr>
        <w:t>endorsed</w:t>
      </w:r>
      <w:r w:rsidRPr="00663F3A">
        <w:rPr>
          <w:lang w:val="en-US" w:eastAsia="x-none"/>
        </w:rPr>
        <w:t>.</w:t>
      </w:r>
    </w:p>
    <w:p w14:paraId="08A39438" w14:textId="77777777" w:rsidR="00B86E76" w:rsidRPr="00B86E76" w:rsidRDefault="00B86E76" w:rsidP="00B86E76">
      <w:pPr>
        <w:rPr>
          <w:lang w:val="en-US"/>
        </w:rPr>
      </w:pPr>
    </w:p>
    <w:p w14:paraId="24CFDE93" w14:textId="46F5CCE3" w:rsidR="00F74A6F" w:rsidRPr="009537ED" w:rsidRDefault="005A18DC" w:rsidP="00F74A6F">
      <w:pPr>
        <w:rPr>
          <w:lang w:eastAsia="x-none"/>
        </w:rPr>
      </w:pPr>
      <w:hyperlink r:id="rId2075" w:history="1">
        <w:r w:rsidR="00AF7253">
          <w:rPr>
            <w:rStyle w:val="Hyperlink"/>
            <w:lang w:eastAsia="x-none"/>
          </w:rPr>
          <w:t>R1-2310847</w:t>
        </w:r>
      </w:hyperlink>
      <w:r w:rsidR="00F74A6F" w:rsidRPr="009537ED">
        <w:rPr>
          <w:lang w:eastAsia="x-none"/>
        </w:rPr>
        <w:tab/>
        <w:t>UE features for XR enhancements</w:t>
      </w:r>
      <w:r w:rsidR="00F74A6F" w:rsidRPr="009537ED">
        <w:rPr>
          <w:lang w:eastAsia="x-none"/>
        </w:rPr>
        <w:tab/>
        <w:t>Huawei, HiSilicon</w:t>
      </w:r>
    </w:p>
    <w:p w14:paraId="559A6419" w14:textId="72449594" w:rsidR="00F74A6F" w:rsidRPr="009537ED" w:rsidRDefault="005A18DC" w:rsidP="00F74A6F">
      <w:pPr>
        <w:rPr>
          <w:lang w:eastAsia="x-none"/>
        </w:rPr>
      </w:pPr>
      <w:hyperlink r:id="rId2076" w:history="1">
        <w:r w:rsidR="00AF7253">
          <w:rPr>
            <w:rStyle w:val="Hyperlink"/>
            <w:lang w:eastAsia="x-none"/>
          </w:rPr>
          <w:t>R1-2310894</w:t>
        </w:r>
      </w:hyperlink>
      <w:r w:rsidR="00F74A6F" w:rsidRPr="009537ED">
        <w:rPr>
          <w:lang w:eastAsia="x-none"/>
        </w:rPr>
        <w:tab/>
        <w:t>On UE features for XR enhancements</w:t>
      </w:r>
      <w:r w:rsidR="00F74A6F" w:rsidRPr="009537ED">
        <w:rPr>
          <w:lang w:eastAsia="x-none"/>
        </w:rPr>
        <w:tab/>
        <w:t>Nokia, Nokia Shanghai Bell</w:t>
      </w:r>
    </w:p>
    <w:p w14:paraId="1EFF03DA" w14:textId="4273CCBD" w:rsidR="00F74A6F" w:rsidRPr="009537ED" w:rsidRDefault="005A18DC" w:rsidP="00F74A6F">
      <w:pPr>
        <w:rPr>
          <w:lang w:eastAsia="x-none"/>
        </w:rPr>
      </w:pPr>
      <w:hyperlink r:id="rId2077" w:history="1">
        <w:r w:rsidR="00AF7253">
          <w:rPr>
            <w:rStyle w:val="Hyperlink"/>
            <w:lang w:eastAsia="x-none"/>
          </w:rPr>
          <w:t>R1-2310998</w:t>
        </w:r>
      </w:hyperlink>
      <w:r w:rsidR="00F74A6F" w:rsidRPr="009537ED">
        <w:rPr>
          <w:lang w:eastAsia="x-none"/>
        </w:rPr>
        <w:tab/>
        <w:t>Discussion on UE features for XR enhancements</w:t>
      </w:r>
      <w:r w:rsidR="00F74A6F" w:rsidRPr="009537ED">
        <w:rPr>
          <w:lang w:eastAsia="x-none"/>
        </w:rPr>
        <w:tab/>
        <w:t>ZTE, Sanechips</w:t>
      </w:r>
    </w:p>
    <w:p w14:paraId="384383D5" w14:textId="58B2B79A" w:rsidR="00F74A6F" w:rsidRPr="009537ED" w:rsidRDefault="005A18DC" w:rsidP="00F74A6F">
      <w:pPr>
        <w:rPr>
          <w:lang w:eastAsia="x-none"/>
        </w:rPr>
      </w:pPr>
      <w:hyperlink r:id="rId2078" w:history="1">
        <w:r w:rsidR="00AF7253">
          <w:rPr>
            <w:rStyle w:val="Hyperlink"/>
            <w:lang w:eastAsia="x-none"/>
          </w:rPr>
          <w:t>R1-2311122</w:t>
        </w:r>
      </w:hyperlink>
      <w:r w:rsidR="00F74A6F" w:rsidRPr="009537ED">
        <w:rPr>
          <w:lang w:eastAsia="x-none"/>
        </w:rPr>
        <w:tab/>
        <w:t>Discussion on Rel-18 XR UE features</w:t>
      </w:r>
      <w:r w:rsidR="00F74A6F" w:rsidRPr="009537ED">
        <w:rPr>
          <w:lang w:eastAsia="x-none"/>
        </w:rPr>
        <w:tab/>
        <w:t>vivo</w:t>
      </w:r>
    </w:p>
    <w:p w14:paraId="112560B8" w14:textId="40E3D729" w:rsidR="00F74A6F" w:rsidRPr="009537ED" w:rsidRDefault="005A18DC" w:rsidP="00F74A6F">
      <w:pPr>
        <w:rPr>
          <w:lang w:eastAsia="x-none"/>
        </w:rPr>
      </w:pPr>
      <w:hyperlink r:id="rId2079" w:history="1">
        <w:r w:rsidR="00AF7253">
          <w:rPr>
            <w:rStyle w:val="Hyperlink"/>
            <w:lang w:eastAsia="x-none"/>
          </w:rPr>
          <w:t>R1-2311187</w:t>
        </w:r>
      </w:hyperlink>
      <w:r w:rsidR="00F74A6F" w:rsidRPr="009537ED">
        <w:rPr>
          <w:lang w:eastAsia="x-none"/>
        </w:rPr>
        <w:tab/>
        <w:t>Discussion on UE features for XR Enhancements</w:t>
      </w:r>
      <w:r w:rsidR="00F74A6F" w:rsidRPr="009537ED">
        <w:rPr>
          <w:lang w:eastAsia="x-none"/>
        </w:rPr>
        <w:tab/>
        <w:t>Spreadtrum Communications</w:t>
      </w:r>
    </w:p>
    <w:p w14:paraId="61FC1A41" w14:textId="475A526F" w:rsidR="00F74A6F" w:rsidRPr="009537ED" w:rsidRDefault="005A18DC" w:rsidP="00F74A6F">
      <w:pPr>
        <w:rPr>
          <w:lang w:eastAsia="x-none"/>
        </w:rPr>
      </w:pPr>
      <w:hyperlink r:id="rId2080" w:history="1">
        <w:r w:rsidR="00AF7253">
          <w:rPr>
            <w:rStyle w:val="Hyperlink"/>
            <w:lang w:eastAsia="x-none"/>
          </w:rPr>
          <w:t>R1-2311280</w:t>
        </w:r>
      </w:hyperlink>
      <w:r w:rsidR="00F74A6F" w:rsidRPr="009537ED">
        <w:rPr>
          <w:lang w:eastAsia="x-none"/>
        </w:rPr>
        <w:tab/>
        <w:t>Discussion on UE features for XR</w:t>
      </w:r>
      <w:r w:rsidR="00F74A6F" w:rsidRPr="009537ED">
        <w:rPr>
          <w:lang w:eastAsia="x-none"/>
        </w:rPr>
        <w:tab/>
        <w:t>OPPO</w:t>
      </w:r>
    </w:p>
    <w:p w14:paraId="1F881E49" w14:textId="486BCE4A" w:rsidR="00F74A6F" w:rsidRPr="009537ED" w:rsidRDefault="005A18DC" w:rsidP="00F74A6F">
      <w:pPr>
        <w:rPr>
          <w:lang w:eastAsia="x-none"/>
        </w:rPr>
      </w:pPr>
      <w:hyperlink r:id="rId2081" w:history="1">
        <w:r w:rsidR="00AF7253">
          <w:rPr>
            <w:rStyle w:val="Hyperlink"/>
            <w:lang w:eastAsia="x-none"/>
          </w:rPr>
          <w:t>R1-2311333</w:t>
        </w:r>
      </w:hyperlink>
      <w:r w:rsidR="00F74A6F" w:rsidRPr="009537ED">
        <w:rPr>
          <w:lang w:eastAsia="x-none"/>
        </w:rPr>
        <w:tab/>
        <w:t>Discussion on Rel-18 UE features for XR in RAN1</w:t>
      </w:r>
      <w:r w:rsidR="00F74A6F" w:rsidRPr="009537ED">
        <w:rPr>
          <w:lang w:eastAsia="x-none"/>
        </w:rPr>
        <w:tab/>
        <w:t>CATT</w:t>
      </w:r>
    </w:p>
    <w:p w14:paraId="43FE94DC" w14:textId="3FC5B8AC" w:rsidR="00F74A6F" w:rsidRPr="009537ED" w:rsidRDefault="005A18DC" w:rsidP="00F74A6F">
      <w:pPr>
        <w:rPr>
          <w:lang w:eastAsia="x-none"/>
        </w:rPr>
      </w:pPr>
      <w:hyperlink r:id="rId2082" w:history="1">
        <w:r w:rsidR="00AF7253">
          <w:rPr>
            <w:rStyle w:val="Hyperlink"/>
            <w:lang w:eastAsia="x-none"/>
          </w:rPr>
          <w:t>R1-2311398</w:t>
        </w:r>
      </w:hyperlink>
      <w:r w:rsidR="00F74A6F" w:rsidRPr="009537ED">
        <w:rPr>
          <w:lang w:eastAsia="x-none"/>
        </w:rPr>
        <w:tab/>
        <w:t>Discussion on UE features for XR-specific capacity enhancements</w:t>
      </w:r>
      <w:r w:rsidR="00F74A6F" w:rsidRPr="009537ED">
        <w:rPr>
          <w:lang w:eastAsia="x-none"/>
        </w:rPr>
        <w:tab/>
        <w:t>xiaomi</w:t>
      </w:r>
    </w:p>
    <w:p w14:paraId="18A19A8F" w14:textId="6E36456C" w:rsidR="00F74A6F" w:rsidRPr="009537ED" w:rsidRDefault="005A18DC" w:rsidP="00F74A6F">
      <w:pPr>
        <w:rPr>
          <w:lang w:eastAsia="x-none"/>
        </w:rPr>
      </w:pPr>
      <w:hyperlink r:id="rId2083" w:history="1">
        <w:r w:rsidR="00AF7253">
          <w:rPr>
            <w:rStyle w:val="Hyperlink"/>
            <w:lang w:eastAsia="x-none"/>
          </w:rPr>
          <w:t>R1-2311534</w:t>
        </w:r>
      </w:hyperlink>
      <w:r w:rsidR="00F74A6F" w:rsidRPr="009537ED">
        <w:rPr>
          <w:lang w:eastAsia="x-none"/>
        </w:rPr>
        <w:tab/>
        <w:t>Discussion on UE features for XR</w:t>
      </w:r>
      <w:r w:rsidR="00F74A6F" w:rsidRPr="009537ED">
        <w:rPr>
          <w:lang w:eastAsia="x-none"/>
        </w:rPr>
        <w:tab/>
        <w:t>InterDigital, Inc.</w:t>
      </w:r>
    </w:p>
    <w:p w14:paraId="0AB3233D" w14:textId="08D4B79A" w:rsidR="00F74A6F" w:rsidRPr="009537ED" w:rsidRDefault="005A18DC" w:rsidP="00F74A6F">
      <w:pPr>
        <w:rPr>
          <w:lang w:eastAsia="x-none"/>
        </w:rPr>
      </w:pPr>
      <w:hyperlink r:id="rId2084" w:history="1">
        <w:r w:rsidR="00AF7253">
          <w:rPr>
            <w:rStyle w:val="Hyperlink"/>
            <w:lang w:eastAsia="x-none"/>
          </w:rPr>
          <w:t>R1-2311647</w:t>
        </w:r>
      </w:hyperlink>
      <w:r w:rsidR="00F74A6F" w:rsidRPr="009537ED">
        <w:rPr>
          <w:lang w:eastAsia="x-none"/>
        </w:rPr>
        <w:tab/>
        <w:t>Discussion on UE features for Rel-18 XR enhancements</w:t>
      </w:r>
      <w:r w:rsidR="00F74A6F" w:rsidRPr="009537ED">
        <w:rPr>
          <w:lang w:eastAsia="x-none"/>
        </w:rPr>
        <w:tab/>
        <w:t>NTT DOCOMO, INC.</w:t>
      </w:r>
    </w:p>
    <w:p w14:paraId="155B92FC" w14:textId="2D811837" w:rsidR="00F74A6F" w:rsidRPr="009537ED" w:rsidRDefault="005A18DC" w:rsidP="00F74A6F">
      <w:pPr>
        <w:rPr>
          <w:lang w:eastAsia="x-none"/>
        </w:rPr>
      </w:pPr>
      <w:hyperlink r:id="rId2085" w:history="1">
        <w:r w:rsidR="00AF7253">
          <w:rPr>
            <w:rStyle w:val="Hyperlink"/>
            <w:lang w:eastAsia="x-none"/>
          </w:rPr>
          <w:t>R1-2311711</w:t>
        </w:r>
      </w:hyperlink>
      <w:r w:rsidR="00F74A6F" w:rsidRPr="009537ED">
        <w:rPr>
          <w:lang w:eastAsia="x-none"/>
        </w:rPr>
        <w:tab/>
        <w:t>Views on UE features for XR enhancements</w:t>
      </w:r>
      <w:r w:rsidR="00F74A6F" w:rsidRPr="009537ED">
        <w:rPr>
          <w:lang w:eastAsia="x-none"/>
        </w:rPr>
        <w:tab/>
        <w:t>Apple</w:t>
      </w:r>
    </w:p>
    <w:p w14:paraId="75228D62" w14:textId="1954F818" w:rsidR="00F74A6F" w:rsidRPr="009537ED" w:rsidRDefault="005A18DC" w:rsidP="00F74A6F">
      <w:pPr>
        <w:rPr>
          <w:lang w:eastAsia="x-none"/>
        </w:rPr>
      </w:pPr>
      <w:hyperlink r:id="rId2086" w:history="1">
        <w:r w:rsidR="00AF7253">
          <w:rPr>
            <w:rStyle w:val="Hyperlink"/>
            <w:lang w:eastAsia="x-none"/>
          </w:rPr>
          <w:t>R1-2311872</w:t>
        </w:r>
      </w:hyperlink>
      <w:r w:rsidR="00F74A6F" w:rsidRPr="009537ED">
        <w:rPr>
          <w:lang w:eastAsia="x-none"/>
        </w:rPr>
        <w:tab/>
        <w:t>UE features for XR</w:t>
      </w:r>
      <w:r w:rsidR="00F74A6F" w:rsidRPr="009537ED">
        <w:rPr>
          <w:lang w:eastAsia="x-none"/>
        </w:rPr>
        <w:tab/>
        <w:t>Samsung</w:t>
      </w:r>
    </w:p>
    <w:p w14:paraId="4996DF83" w14:textId="65658D79" w:rsidR="00F74A6F" w:rsidRPr="009537ED" w:rsidRDefault="005A18DC" w:rsidP="00F74A6F">
      <w:pPr>
        <w:rPr>
          <w:lang w:eastAsia="x-none"/>
        </w:rPr>
      </w:pPr>
      <w:hyperlink r:id="rId2087" w:history="1">
        <w:r w:rsidR="00AF7253">
          <w:rPr>
            <w:rStyle w:val="Hyperlink"/>
            <w:lang w:eastAsia="x-none"/>
          </w:rPr>
          <w:t>R1-2311902</w:t>
        </w:r>
      </w:hyperlink>
      <w:r w:rsidR="00F74A6F" w:rsidRPr="009537ED">
        <w:rPr>
          <w:lang w:eastAsia="x-none"/>
        </w:rPr>
        <w:tab/>
        <w:t>Discussion on UE features for XR enhancements</w:t>
      </w:r>
      <w:r w:rsidR="00F74A6F" w:rsidRPr="009537ED">
        <w:rPr>
          <w:lang w:eastAsia="x-none"/>
        </w:rPr>
        <w:tab/>
        <w:t>LG Electronics</w:t>
      </w:r>
    </w:p>
    <w:p w14:paraId="3C09889F" w14:textId="7EC401BE" w:rsidR="00F74A6F" w:rsidRPr="009537ED" w:rsidRDefault="005A18DC" w:rsidP="00F74A6F">
      <w:pPr>
        <w:rPr>
          <w:lang w:eastAsia="x-none"/>
        </w:rPr>
      </w:pPr>
      <w:hyperlink r:id="rId2088" w:history="1">
        <w:r w:rsidR="00AF7253">
          <w:rPr>
            <w:rStyle w:val="Hyperlink"/>
            <w:lang w:eastAsia="x-none"/>
          </w:rPr>
          <w:t>R1-2311906</w:t>
        </w:r>
      </w:hyperlink>
      <w:r w:rsidR="00F74A6F" w:rsidRPr="009537ED">
        <w:rPr>
          <w:lang w:eastAsia="x-none"/>
        </w:rPr>
        <w:tab/>
        <w:t>On UE features for XR Enhancements</w:t>
      </w:r>
      <w:r w:rsidR="00F74A6F" w:rsidRPr="009537ED">
        <w:rPr>
          <w:lang w:eastAsia="x-none"/>
        </w:rPr>
        <w:tab/>
        <w:t>Ericsson</w:t>
      </w:r>
    </w:p>
    <w:p w14:paraId="54CB020B" w14:textId="2155C1A4" w:rsidR="00F74A6F" w:rsidRPr="009537ED" w:rsidRDefault="005A18DC" w:rsidP="00F74A6F">
      <w:pPr>
        <w:rPr>
          <w:lang w:eastAsia="x-none"/>
        </w:rPr>
      </w:pPr>
      <w:hyperlink r:id="rId2089" w:history="1">
        <w:r w:rsidR="00AF7253">
          <w:rPr>
            <w:rStyle w:val="Hyperlink"/>
            <w:lang w:eastAsia="x-none"/>
          </w:rPr>
          <w:t>R1-2311983</w:t>
        </w:r>
      </w:hyperlink>
      <w:r w:rsidR="00F74A6F" w:rsidRPr="009537ED">
        <w:rPr>
          <w:lang w:eastAsia="x-none"/>
        </w:rPr>
        <w:tab/>
        <w:t>Discussion on UE features for XR enhancements</w:t>
      </w:r>
      <w:r w:rsidR="00F74A6F" w:rsidRPr="009537ED">
        <w:rPr>
          <w:lang w:eastAsia="x-none"/>
        </w:rPr>
        <w:tab/>
        <w:t>MediaTek Inc.</w:t>
      </w:r>
    </w:p>
    <w:p w14:paraId="0B1A4860" w14:textId="301EC061" w:rsidR="00F74A6F" w:rsidRDefault="005A18DC" w:rsidP="00F74A6F">
      <w:pPr>
        <w:rPr>
          <w:lang w:eastAsia="x-none"/>
        </w:rPr>
      </w:pPr>
      <w:hyperlink r:id="rId2090" w:history="1">
        <w:r w:rsidR="00AF7253">
          <w:rPr>
            <w:rStyle w:val="Hyperlink"/>
            <w:lang w:eastAsia="x-none"/>
          </w:rPr>
          <w:t>R1-2312066</w:t>
        </w:r>
      </w:hyperlink>
      <w:r w:rsidR="00F74A6F" w:rsidRPr="009537ED">
        <w:rPr>
          <w:lang w:eastAsia="x-none"/>
        </w:rPr>
        <w:tab/>
        <w:t>UE features for XR enhancements</w:t>
      </w:r>
      <w:r w:rsidR="00F74A6F" w:rsidRPr="009537ED">
        <w:rPr>
          <w:lang w:eastAsia="x-none"/>
        </w:rPr>
        <w:tab/>
        <w:t>Qualcomm Incorporated</w:t>
      </w:r>
    </w:p>
    <w:p w14:paraId="1BED9A9B" w14:textId="77777777" w:rsidR="001359FB" w:rsidRDefault="001359FB" w:rsidP="00F74A6F">
      <w:pPr>
        <w:rPr>
          <w:lang w:eastAsia="x-none"/>
        </w:rPr>
      </w:pPr>
    </w:p>
    <w:p w14:paraId="25524880" w14:textId="6F9CBA49" w:rsidR="001359FB" w:rsidRDefault="005A18DC" w:rsidP="001359FB">
      <w:pPr>
        <w:rPr>
          <w:b/>
          <w:bCs/>
          <w:lang w:eastAsia="x-none"/>
        </w:rPr>
      </w:pPr>
      <w:hyperlink r:id="rId2091" w:history="1">
        <w:r w:rsidR="00AF7253">
          <w:rPr>
            <w:rStyle w:val="Hyperlink"/>
            <w:b/>
            <w:bCs/>
            <w:lang w:eastAsia="x-none"/>
          </w:rPr>
          <w:t>R1-2312585</w:t>
        </w:r>
      </w:hyperlink>
      <w:r w:rsidR="001359FB" w:rsidRPr="001359FB">
        <w:rPr>
          <w:b/>
          <w:bCs/>
          <w:lang w:eastAsia="x-none"/>
        </w:rPr>
        <w:tab/>
        <w:t>Summary on UE features for XR enhancements</w:t>
      </w:r>
      <w:r w:rsidR="001359FB" w:rsidRPr="001359FB">
        <w:rPr>
          <w:b/>
          <w:bCs/>
          <w:lang w:eastAsia="x-none"/>
        </w:rPr>
        <w:tab/>
        <w:t>Moderator (NTT DOCOMO)</w:t>
      </w:r>
    </w:p>
    <w:p w14:paraId="6724D9BD" w14:textId="1799BDCF" w:rsidR="00065A8D" w:rsidRPr="00955F5C" w:rsidRDefault="00065A8D" w:rsidP="00065A8D">
      <w:pPr>
        <w:rPr>
          <w:lang w:eastAsia="x-none"/>
        </w:rPr>
      </w:pPr>
      <w:bookmarkStart w:id="809" w:name="_Toc150174510"/>
      <w:r w:rsidRPr="00955F5C">
        <w:rPr>
          <w:lang w:eastAsia="x-none"/>
        </w:rPr>
        <w:t>This document presents the summary of email discussion [115-R18-UE_features-0</w:t>
      </w:r>
      <w:r>
        <w:rPr>
          <w:lang w:eastAsia="x-none"/>
        </w:rPr>
        <w:t>1</w:t>
      </w:r>
      <w:r w:rsidRPr="00955F5C">
        <w:rPr>
          <w:lang w:eastAsia="x-none"/>
        </w:rPr>
        <w:t xml:space="preserve">] </w:t>
      </w:r>
      <w:r>
        <w:rPr>
          <w:lang w:eastAsia="x-none"/>
        </w:rPr>
        <w:t xml:space="preserve">related to XR </w:t>
      </w:r>
      <w:r w:rsidRPr="00955F5C">
        <w:rPr>
          <w:lang w:eastAsia="x-none"/>
        </w:rPr>
        <w:t>during RAN1 #115.</w:t>
      </w:r>
    </w:p>
    <w:p w14:paraId="0A573F54" w14:textId="77777777" w:rsidR="00F74A6F" w:rsidRDefault="00F74A6F" w:rsidP="00F74A6F">
      <w:pPr>
        <w:pStyle w:val="Heading3"/>
      </w:pPr>
      <w:bookmarkStart w:id="810" w:name="_Toc159251052"/>
      <w:r w:rsidRPr="009537ED">
        <w:t>UE features for NR mobility enhancements</w:t>
      </w:r>
      <w:bookmarkEnd w:id="809"/>
      <w:bookmarkEnd w:id="810"/>
    </w:p>
    <w:p w14:paraId="7B274618" w14:textId="3BB4CEB5" w:rsidR="0030612D" w:rsidRPr="0030612D" w:rsidRDefault="005A18DC" w:rsidP="0030612D">
      <w:pPr>
        <w:rPr>
          <w:b/>
          <w:bCs/>
          <w:lang w:val="en-US" w:eastAsia="x-none"/>
        </w:rPr>
      </w:pPr>
      <w:hyperlink r:id="rId2092" w:history="1">
        <w:r w:rsidR="00AF7253">
          <w:rPr>
            <w:rStyle w:val="Hyperlink"/>
            <w:b/>
            <w:bCs/>
            <w:lang w:val="en-US" w:eastAsia="x-none"/>
          </w:rPr>
          <w:t>R1-2312613</w:t>
        </w:r>
      </w:hyperlink>
      <w:r w:rsidR="0030612D" w:rsidRPr="0030612D">
        <w:rPr>
          <w:b/>
          <w:bCs/>
          <w:lang w:val="en-US" w:eastAsia="x-none"/>
        </w:rPr>
        <w:tab/>
        <w:t>Session Notes of AI 8.16.7</w:t>
      </w:r>
      <w:r w:rsidR="0030612D" w:rsidRPr="0030612D">
        <w:rPr>
          <w:b/>
          <w:bCs/>
          <w:lang w:val="en-US" w:eastAsia="x-none"/>
        </w:rPr>
        <w:tab/>
        <w:t>Ad-Hoc Chair (AT&amp;T)</w:t>
      </w:r>
    </w:p>
    <w:p w14:paraId="2CB91263" w14:textId="77777777" w:rsidR="0030612D" w:rsidRPr="00663F3A" w:rsidRDefault="0030612D" w:rsidP="0030612D">
      <w:pPr>
        <w:rPr>
          <w:lang w:val="en-US" w:eastAsia="x-none"/>
        </w:rPr>
      </w:pPr>
      <w:r w:rsidRPr="00F05EFE">
        <w:rPr>
          <w:b/>
          <w:bCs/>
        </w:rPr>
        <w:t>Friday decision:</w:t>
      </w:r>
      <w:r>
        <w:t xml:space="preserve"> The </w:t>
      </w:r>
      <w:r>
        <w:rPr>
          <w:lang w:val="en-US" w:eastAsia="x-none"/>
        </w:rPr>
        <w:t>s</w:t>
      </w:r>
      <w:r w:rsidRPr="00663F3A">
        <w:rPr>
          <w:lang w:val="en-US" w:eastAsia="x-none"/>
        </w:rPr>
        <w:t>ession notes</w:t>
      </w:r>
      <w:r>
        <w:rPr>
          <w:lang w:val="en-US" w:eastAsia="x-none"/>
        </w:rPr>
        <w:t xml:space="preserve"> (all agreements reached during RAN1#115)</w:t>
      </w:r>
      <w:r w:rsidRPr="00663F3A">
        <w:rPr>
          <w:lang w:val="en-US" w:eastAsia="x-none"/>
        </w:rPr>
        <w:t xml:space="preserve"> are </w:t>
      </w:r>
      <w:r w:rsidRPr="00663F3A">
        <w:rPr>
          <w:highlight w:val="green"/>
          <w:lang w:val="en-US" w:eastAsia="x-none"/>
        </w:rPr>
        <w:t>endorsed</w:t>
      </w:r>
      <w:r w:rsidRPr="00663F3A">
        <w:rPr>
          <w:lang w:val="en-US" w:eastAsia="x-none"/>
        </w:rPr>
        <w:t>.</w:t>
      </w:r>
    </w:p>
    <w:p w14:paraId="1BAF5613" w14:textId="77777777" w:rsidR="0030612D" w:rsidRPr="0030612D" w:rsidRDefault="0030612D" w:rsidP="0030612D">
      <w:pPr>
        <w:rPr>
          <w:lang w:val="en-US"/>
        </w:rPr>
      </w:pPr>
    </w:p>
    <w:p w14:paraId="502532AF" w14:textId="227A31F1" w:rsidR="00F74A6F" w:rsidRPr="009537ED" w:rsidRDefault="005A18DC" w:rsidP="00F74A6F">
      <w:pPr>
        <w:rPr>
          <w:lang w:eastAsia="x-none"/>
        </w:rPr>
      </w:pPr>
      <w:hyperlink r:id="rId2093" w:history="1">
        <w:r w:rsidR="00AF7253">
          <w:rPr>
            <w:rStyle w:val="Hyperlink"/>
            <w:lang w:eastAsia="x-none"/>
          </w:rPr>
          <w:t>R1-2310850</w:t>
        </w:r>
      </w:hyperlink>
      <w:r w:rsidR="00F74A6F" w:rsidRPr="009537ED">
        <w:rPr>
          <w:lang w:eastAsia="x-none"/>
        </w:rPr>
        <w:tab/>
        <w:t>UE features on R18 Mobility Enhancement</w:t>
      </w:r>
      <w:r w:rsidR="00F74A6F" w:rsidRPr="009537ED">
        <w:rPr>
          <w:lang w:eastAsia="x-none"/>
        </w:rPr>
        <w:tab/>
        <w:t>Huawei, HiSilicon</w:t>
      </w:r>
    </w:p>
    <w:p w14:paraId="3E16541E" w14:textId="533DC9F1" w:rsidR="00F74A6F" w:rsidRPr="009537ED" w:rsidRDefault="005A18DC" w:rsidP="00F74A6F">
      <w:pPr>
        <w:rPr>
          <w:lang w:eastAsia="x-none"/>
        </w:rPr>
      </w:pPr>
      <w:hyperlink r:id="rId2094" w:history="1">
        <w:r w:rsidR="00AF7253">
          <w:rPr>
            <w:rStyle w:val="Hyperlink"/>
            <w:lang w:eastAsia="x-none"/>
          </w:rPr>
          <w:t>R1-2310895</w:t>
        </w:r>
      </w:hyperlink>
      <w:r w:rsidR="00F74A6F" w:rsidRPr="009537ED">
        <w:rPr>
          <w:lang w:eastAsia="x-none"/>
        </w:rPr>
        <w:tab/>
        <w:t>On UE features for NR mobility enhancements</w:t>
      </w:r>
      <w:r w:rsidR="00F74A6F" w:rsidRPr="009537ED">
        <w:rPr>
          <w:lang w:eastAsia="x-none"/>
        </w:rPr>
        <w:tab/>
        <w:t>Nokia, Nokia Shanghai Bell</w:t>
      </w:r>
    </w:p>
    <w:p w14:paraId="79A5D5FE" w14:textId="6CD13919" w:rsidR="00F74A6F" w:rsidRPr="009537ED" w:rsidRDefault="005A18DC" w:rsidP="00F74A6F">
      <w:pPr>
        <w:rPr>
          <w:lang w:eastAsia="x-none"/>
        </w:rPr>
      </w:pPr>
      <w:hyperlink r:id="rId2095" w:history="1">
        <w:r w:rsidR="00AF7253">
          <w:rPr>
            <w:rStyle w:val="Hyperlink"/>
            <w:lang w:eastAsia="x-none"/>
          </w:rPr>
          <w:t>R1-2310957</w:t>
        </w:r>
      </w:hyperlink>
      <w:r w:rsidR="00F74A6F" w:rsidRPr="009537ED">
        <w:rPr>
          <w:lang w:eastAsia="x-none"/>
        </w:rPr>
        <w:tab/>
        <w:t>Discussion on UE features for NR mobility enhancements</w:t>
      </w:r>
      <w:r w:rsidR="00F74A6F" w:rsidRPr="009537ED">
        <w:rPr>
          <w:lang w:eastAsia="x-none"/>
        </w:rPr>
        <w:tab/>
        <w:t>ZTE</w:t>
      </w:r>
    </w:p>
    <w:p w14:paraId="6A0F5BF8" w14:textId="0D66DCD4" w:rsidR="00F74A6F" w:rsidRPr="009537ED" w:rsidRDefault="005A18DC" w:rsidP="00F74A6F">
      <w:pPr>
        <w:rPr>
          <w:lang w:eastAsia="x-none"/>
        </w:rPr>
      </w:pPr>
      <w:hyperlink r:id="rId2096" w:history="1">
        <w:r w:rsidR="00AF7253">
          <w:rPr>
            <w:rStyle w:val="Hyperlink"/>
            <w:lang w:eastAsia="x-none"/>
          </w:rPr>
          <w:t>R1-2311033</w:t>
        </w:r>
      </w:hyperlink>
      <w:r w:rsidR="00F74A6F" w:rsidRPr="009537ED">
        <w:rPr>
          <w:lang w:eastAsia="x-none"/>
        </w:rPr>
        <w:tab/>
        <w:t>UE-features for NR mobility enhancements</w:t>
      </w:r>
      <w:r w:rsidR="00F74A6F" w:rsidRPr="009537ED">
        <w:rPr>
          <w:lang w:eastAsia="x-none"/>
        </w:rPr>
        <w:tab/>
        <w:t>Ericsson</w:t>
      </w:r>
    </w:p>
    <w:p w14:paraId="6A482C1B" w14:textId="7F9214C1" w:rsidR="00F74A6F" w:rsidRPr="009537ED" w:rsidRDefault="005A18DC" w:rsidP="00F74A6F">
      <w:pPr>
        <w:rPr>
          <w:lang w:eastAsia="x-none"/>
        </w:rPr>
      </w:pPr>
      <w:hyperlink r:id="rId2097" w:history="1">
        <w:r w:rsidR="00AF7253">
          <w:rPr>
            <w:rStyle w:val="Hyperlink"/>
            <w:lang w:eastAsia="x-none"/>
          </w:rPr>
          <w:t>R1-2311123</w:t>
        </w:r>
      </w:hyperlink>
      <w:r w:rsidR="00F74A6F" w:rsidRPr="009537ED">
        <w:rPr>
          <w:lang w:eastAsia="x-none"/>
        </w:rPr>
        <w:tab/>
        <w:t>Discussion on UE features for L1/L2-triggered Mobility</w:t>
      </w:r>
      <w:r w:rsidR="00F74A6F" w:rsidRPr="009537ED">
        <w:rPr>
          <w:lang w:eastAsia="x-none"/>
        </w:rPr>
        <w:tab/>
        <w:t>vivo</w:t>
      </w:r>
    </w:p>
    <w:p w14:paraId="6DD1010A" w14:textId="5865FC67" w:rsidR="00F74A6F" w:rsidRPr="009537ED" w:rsidRDefault="005A18DC" w:rsidP="00F74A6F">
      <w:pPr>
        <w:rPr>
          <w:lang w:eastAsia="x-none"/>
        </w:rPr>
      </w:pPr>
      <w:hyperlink r:id="rId2098" w:history="1">
        <w:r w:rsidR="00AF7253">
          <w:rPr>
            <w:rStyle w:val="Hyperlink"/>
            <w:lang w:eastAsia="x-none"/>
          </w:rPr>
          <w:t>R1-2311188</w:t>
        </w:r>
      </w:hyperlink>
      <w:r w:rsidR="00F74A6F" w:rsidRPr="009537ED">
        <w:rPr>
          <w:lang w:eastAsia="x-none"/>
        </w:rPr>
        <w:tab/>
        <w:t>Discussion on UE features for mobility</w:t>
      </w:r>
      <w:r w:rsidR="00F74A6F" w:rsidRPr="009537ED">
        <w:rPr>
          <w:lang w:eastAsia="x-none"/>
        </w:rPr>
        <w:tab/>
        <w:t>Spreadtrum Communications</w:t>
      </w:r>
    </w:p>
    <w:p w14:paraId="0621D8CB" w14:textId="2B22C5E7" w:rsidR="00F74A6F" w:rsidRPr="009537ED" w:rsidRDefault="005A18DC" w:rsidP="00F74A6F">
      <w:pPr>
        <w:rPr>
          <w:lang w:eastAsia="x-none"/>
        </w:rPr>
      </w:pPr>
      <w:hyperlink r:id="rId2099" w:history="1">
        <w:r w:rsidR="00AF7253">
          <w:rPr>
            <w:rStyle w:val="Hyperlink"/>
            <w:lang w:eastAsia="x-none"/>
          </w:rPr>
          <w:t>R1-2311232</w:t>
        </w:r>
      </w:hyperlink>
      <w:r w:rsidR="00F74A6F" w:rsidRPr="009537ED">
        <w:rPr>
          <w:lang w:eastAsia="x-none"/>
        </w:rPr>
        <w:tab/>
        <w:t>Discussion on UE features for NR mobility enhancements</w:t>
      </w:r>
      <w:r w:rsidR="00F74A6F" w:rsidRPr="009537ED">
        <w:rPr>
          <w:lang w:eastAsia="x-none"/>
        </w:rPr>
        <w:tab/>
        <w:t>OPPO</w:t>
      </w:r>
    </w:p>
    <w:p w14:paraId="5B869679" w14:textId="1CCBCE2B" w:rsidR="00F74A6F" w:rsidRPr="009537ED" w:rsidRDefault="005A18DC" w:rsidP="00F74A6F">
      <w:pPr>
        <w:rPr>
          <w:lang w:eastAsia="x-none"/>
        </w:rPr>
      </w:pPr>
      <w:hyperlink r:id="rId2100" w:history="1">
        <w:r w:rsidR="00AF7253">
          <w:rPr>
            <w:rStyle w:val="Hyperlink"/>
            <w:lang w:eastAsia="x-none"/>
          </w:rPr>
          <w:t>R1-2311504</w:t>
        </w:r>
      </w:hyperlink>
      <w:r w:rsidR="00F74A6F" w:rsidRPr="009537ED">
        <w:rPr>
          <w:lang w:eastAsia="x-none"/>
        </w:rPr>
        <w:tab/>
        <w:t>Discussion on the UE features for NR Mobility</w:t>
      </w:r>
      <w:r w:rsidR="00F74A6F" w:rsidRPr="009537ED">
        <w:rPr>
          <w:lang w:eastAsia="x-none"/>
        </w:rPr>
        <w:tab/>
        <w:t>CMCC</w:t>
      </w:r>
    </w:p>
    <w:p w14:paraId="554778AC" w14:textId="6AD5AAF8" w:rsidR="00F74A6F" w:rsidRPr="009537ED" w:rsidRDefault="005A18DC" w:rsidP="00F74A6F">
      <w:pPr>
        <w:rPr>
          <w:lang w:eastAsia="x-none"/>
        </w:rPr>
      </w:pPr>
      <w:hyperlink r:id="rId2101" w:history="1">
        <w:r w:rsidR="00AF7253">
          <w:rPr>
            <w:rStyle w:val="Hyperlink"/>
            <w:lang w:eastAsia="x-none"/>
          </w:rPr>
          <w:t>R1-2311648</w:t>
        </w:r>
      </w:hyperlink>
      <w:r w:rsidR="00F74A6F" w:rsidRPr="009537ED">
        <w:rPr>
          <w:lang w:eastAsia="x-none"/>
        </w:rPr>
        <w:tab/>
        <w:t>Discussion on UE features for NR mobility enhancements</w:t>
      </w:r>
      <w:r w:rsidR="00F74A6F" w:rsidRPr="009537ED">
        <w:rPr>
          <w:lang w:eastAsia="x-none"/>
        </w:rPr>
        <w:tab/>
        <w:t>NTT DOCOMO, INC.</w:t>
      </w:r>
    </w:p>
    <w:p w14:paraId="31ED3AB9" w14:textId="048B251B" w:rsidR="00F74A6F" w:rsidRPr="009537ED" w:rsidRDefault="005A18DC" w:rsidP="00F74A6F">
      <w:pPr>
        <w:rPr>
          <w:lang w:eastAsia="x-none"/>
        </w:rPr>
      </w:pPr>
      <w:hyperlink r:id="rId2102" w:history="1">
        <w:r w:rsidR="00AF7253">
          <w:rPr>
            <w:rStyle w:val="Hyperlink"/>
            <w:lang w:eastAsia="x-none"/>
          </w:rPr>
          <w:t>R1-2311712</w:t>
        </w:r>
      </w:hyperlink>
      <w:r w:rsidR="00F74A6F" w:rsidRPr="009537ED">
        <w:rPr>
          <w:lang w:eastAsia="x-none"/>
        </w:rPr>
        <w:tab/>
        <w:t>UE features for NR mobility enhancements</w:t>
      </w:r>
      <w:r w:rsidR="00F74A6F" w:rsidRPr="009537ED">
        <w:rPr>
          <w:lang w:eastAsia="x-none"/>
        </w:rPr>
        <w:tab/>
        <w:t>Apple</w:t>
      </w:r>
    </w:p>
    <w:p w14:paraId="74F295AF" w14:textId="01EFF74D" w:rsidR="00F74A6F" w:rsidRPr="009537ED" w:rsidRDefault="005A18DC" w:rsidP="00F74A6F">
      <w:pPr>
        <w:rPr>
          <w:lang w:eastAsia="x-none"/>
        </w:rPr>
      </w:pPr>
      <w:hyperlink r:id="rId2103" w:history="1">
        <w:r w:rsidR="00AF7253">
          <w:rPr>
            <w:rStyle w:val="Hyperlink"/>
            <w:lang w:eastAsia="x-none"/>
          </w:rPr>
          <w:t>R1-2311873</w:t>
        </w:r>
      </w:hyperlink>
      <w:r w:rsidR="00F74A6F" w:rsidRPr="009537ED">
        <w:rPr>
          <w:lang w:eastAsia="x-none"/>
        </w:rPr>
        <w:tab/>
        <w:t>UE features for mobility</w:t>
      </w:r>
      <w:r w:rsidR="00F74A6F" w:rsidRPr="009537ED">
        <w:rPr>
          <w:lang w:eastAsia="x-none"/>
        </w:rPr>
        <w:tab/>
        <w:t>Samsung</w:t>
      </w:r>
    </w:p>
    <w:p w14:paraId="1965498C" w14:textId="45FC1320" w:rsidR="00F74A6F" w:rsidRPr="009537ED" w:rsidRDefault="005A18DC" w:rsidP="00F74A6F">
      <w:pPr>
        <w:rPr>
          <w:lang w:eastAsia="x-none"/>
        </w:rPr>
      </w:pPr>
      <w:hyperlink r:id="rId2104" w:history="1">
        <w:r w:rsidR="00AF7253">
          <w:rPr>
            <w:rStyle w:val="Hyperlink"/>
            <w:lang w:eastAsia="x-none"/>
          </w:rPr>
          <w:t>R1-2311985</w:t>
        </w:r>
      </w:hyperlink>
      <w:r w:rsidR="00F74A6F" w:rsidRPr="009537ED">
        <w:rPr>
          <w:lang w:eastAsia="x-none"/>
        </w:rPr>
        <w:tab/>
        <w:t>Views on UE features for NR mobility enhancements</w:t>
      </w:r>
      <w:r w:rsidR="00F74A6F" w:rsidRPr="009537ED">
        <w:rPr>
          <w:lang w:eastAsia="x-none"/>
        </w:rPr>
        <w:tab/>
        <w:t>MediaTek Inc.</w:t>
      </w:r>
    </w:p>
    <w:p w14:paraId="5DC333C8" w14:textId="132A3921" w:rsidR="00F74A6F" w:rsidRDefault="005A18DC" w:rsidP="00F74A6F">
      <w:pPr>
        <w:rPr>
          <w:lang w:eastAsia="x-none"/>
        </w:rPr>
      </w:pPr>
      <w:hyperlink r:id="rId2105" w:history="1">
        <w:r w:rsidR="00AF7253">
          <w:rPr>
            <w:rStyle w:val="Hyperlink"/>
            <w:lang w:eastAsia="x-none"/>
          </w:rPr>
          <w:t>R1-2312067</w:t>
        </w:r>
      </w:hyperlink>
      <w:r w:rsidR="00F74A6F" w:rsidRPr="009537ED">
        <w:rPr>
          <w:lang w:eastAsia="x-none"/>
        </w:rPr>
        <w:tab/>
        <w:t>UE features for NR mobility enhancements</w:t>
      </w:r>
      <w:r w:rsidR="00F74A6F" w:rsidRPr="009537ED">
        <w:rPr>
          <w:lang w:eastAsia="x-none"/>
        </w:rPr>
        <w:tab/>
        <w:t>Qualcomm Incorporated</w:t>
      </w:r>
    </w:p>
    <w:p w14:paraId="2BA2E146" w14:textId="77777777" w:rsidR="00210F2F" w:rsidRPr="009537ED" w:rsidRDefault="00210F2F" w:rsidP="00F74A6F">
      <w:pPr>
        <w:rPr>
          <w:lang w:eastAsia="x-none"/>
        </w:rPr>
      </w:pPr>
    </w:p>
    <w:p w14:paraId="24A67B24" w14:textId="2F870E8C" w:rsidR="00F74A6F" w:rsidRDefault="005A18DC" w:rsidP="00F74A6F">
      <w:pPr>
        <w:rPr>
          <w:b/>
          <w:bCs/>
          <w:lang w:eastAsia="x-none"/>
        </w:rPr>
      </w:pPr>
      <w:hyperlink r:id="rId2106" w:history="1">
        <w:r w:rsidR="00AF7253">
          <w:rPr>
            <w:rStyle w:val="Hyperlink"/>
            <w:b/>
            <w:bCs/>
            <w:lang w:eastAsia="x-none"/>
          </w:rPr>
          <w:t>R1-2312084</w:t>
        </w:r>
      </w:hyperlink>
      <w:r w:rsidR="00F74A6F" w:rsidRPr="00210F2F">
        <w:rPr>
          <w:b/>
          <w:bCs/>
          <w:lang w:eastAsia="x-none"/>
        </w:rPr>
        <w:tab/>
        <w:t>Summary of UE features for NR mobility enhancements</w:t>
      </w:r>
      <w:r w:rsidR="00F74A6F" w:rsidRPr="00210F2F">
        <w:rPr>
          <w:b/>
          <w:bCs/>
          <w:lang w:eastAsia="x-none"/>
        </w:rPr>
        <w:tab/>
        <w:t>Moderator (AT&amp;T)</w:t>
      </w:r>
    </w:p>
    <w:p w14:paraId="144DC220" w14:textId="69338203" w:rsidR="00210F2F" w:rsidRPr="00065A8D" w:rsidRDefault="00210F2F" w:rsidP="00210F2F">
      <w:pPr>
        <w:rPr>
          <w:lang w:eastAsia="x-none"/>
        </w:rPr>
      </w:pPr>
      <w:bookmarkStart w:id="811" w:name="_Toc150174511"/>
      <w:r w:rsidRPr="00955F5C">
        <w:rPr>
          <w:lang w:eastAsia="x-none"/>
        </w:rPr>
        <w:t>This document presents the summary of email discussion [115-R18-UE_features-0</w:t>
      </w:r>
      <w:r>
        <w:rPr>
          <w:lang w:eastAsia="x-none"/>
        </w:rPr>
        <w:t>2</w:t>
      </w:r>
      <w:r w:rsidRPr="00955F5C">
        <w:rPr>
          <w:lang w:eastAsia="x-none"/>
        </w:rPr>
        <w:t xml:space="preserve">] </w:t>
      </w:r>
      <w:r>
        <w:rPr>
          <w:lang w:eastAsia="x-none"/>
        </w:rPr>
        <w:t xml:space="preserve">related to mobility </w:t>
      </w:r>
      <w:r w:rsidRPr="00955F5C">
        <w:rPr>
          <w:lang w:eastAsia="x-none"/>
        </w:rPr>
        <w:t>during RAN1 #115.</w:t>
      </w:r>
    </w:p>
    <w:p w14:paraId="21CED4BE" w14:textId="77777777" w:rsidR="00F74A6F" w:rsidRDefault="00F74A6F" w:rsidP="00F74A6F">
      <w:pPr>
        <w:pStyle w:val="Heading3"/>
      </w:pPr>
      <w:bookmarkStart w:id="812" w:name="_Toc159251053"/>
      <w:r w:rsidRPr="009537ED">
        <w:t>UE features for coverage enhancements</w:t>
      </w:r>
      <w:bookmarkEnd w:id="811"/>
      <w:bookmarkEnd w:id="812"/>
    </w:p>
    <w:p w14:paraId="70FB4E78" w14:textId="4369CE6A" w:rsidR="00B86E76" w:rsidRPr="00B86E76" w:rsidRDefault="005A18DC" w:rsidP="00B86E76">
      <w:pPr>
        <w:rPr>
          <w:b/>
          <w:bCs/>
          <w:lang w:eastAsia="x-none"/>
        </w:rPr>
      </w:pPr>
      <w:hyperlink r:id="rId2107" w:history="1">
        <w:r w:rsidR="00AF7253">
          <w:rPr>
            <w:rStyle w:val="Hyperlink"/>
            <w:b/>
            <w:bCs/>
            <w:lang w:eastAsia="x-none"/>
          </w:rPr>
          <w:t>R1-2312578</w:t>
        </w:r>
      </w:hyperlink>
      <w:r w:rsidR="00B86E76" w:rsidRPr="00B86E76">
        <w:rPr>
          <w:b/>
          <w:bCs/>
          <w:lang w:eastAsia="x-none"/>
        </w:rPr>
        <w:tab/>
        <w:t>Session Notes for 8.16.8</w:t>
      </w:r>
      <w:r w:rsidR="00B86E76" w:rsidRPr="00B86E76">
        <w:rPr>
          <w:b/>
          <w:bCs/>
          <w:lang w:eastAsia="x-none"/>
        </w:rPr>
        <w:tab/>
        <w:t>Ad-Hoc Chair (NTT DOCOMO)</w:t>
      </w:r>
    </w:p>
    <w:p w14:paraId="73FE41D5" w14:textId="77777777" w:rsidR="00B86E76" w:rsidRPr="00663F3A" w:rsidRDefault="00B86E76" w:rsidP="00B86E76">
      <w:pPr>
        <w:rPr>
          <w:lang w:val="en-US" w:eastAsia="x-none"/>
        </w:rPr>
      </w:pPr>
      <w:r w:rsidRPr="00F05EFE">
        <w:rPr>
          <w:b/>
          <w:bCs/>
        </w:rPr>
        <w:t>Friday decision:</w:t>
      </w:r>
      <w:r>
        <w:t xml:space="preserve"> The </w:t>
      </w:r>
      <w:r>
        <w:rPr>
          <w:lang w:val="en-US" w:eastAsia="x-none"/>
        </w:rPr>
        <w:t>s</w:t>
      </w:r>
      <w:r w:rsidRPr="00663F3A">
        <w:rPr>
          <w:lang w:val="en-US" w:eastAsia="x-none"/>
        </w:rPr>
        <w:t>ession notes</w:t>
      </w:r>
      <w:r>
        <w:rPr>
          <w:lang w:val="en-US" w:eastAsia="x-none"/>
        </w:rPr>
        <w:t xml:space="preserve"> (all agreements reached during RAN1#115)</w:t>
      </w:r>
      <w:r w:rsidRPr="00663F3A">
        <w:rPr>
          <w:lang w:val="en-US" w:eastAsia="x-none"/>
        </w:rPr>
        <w:t xml:space="preserve"> are </w:t>
      </w:r>
      <w:r w:rsidRPr="00663F3A">
        <w:rPr>
          <w:highlight w:val="green"/>
          <w:lang w:val="en-US" w:eastAsia="x-none"/>
        </w:rPr>
        <w:t>endorsed</w:t>
      </w:r>
      <w:r w:rsidRPr="00663F3A">
        <w:rPr>
          <w:lang w:val="en-US" w:eastAsia="x-none"/>
        </w:rPr>
        <w:t>.</w:t>
      </w:r>
    </w:p>
    <w:p w14:paraId="573D97F4" w14:textId="77777777" w:rsidR="00B86E76" w:rsidRPr="00B86E76" w:rsidRDefault="00B86E76" w:rsidP="00B86E76">
      <w:pPr>
        <w:rPr>
          <w:lang w:val="en-US"/>
        </w:rPr>
      </w:pPr>
    </w:p>
    <w:p w14:paraId="16C44D80" w14:textId="2BDE775B" w:rsidR="00F74A6F" w:rsidRPr="009537ED" w:rsidRDefault="005A18DC" w:rsidP="00F74A6F">
      <w:pPr>
        <w:rPr>
          <w:lang w:eastAsia="x-none"/>
        </w:rPr>
      </w:pPr>
      <w:hyperlink r:id="rId2108" w:history="1">
        <w:r w:rsidR="00AF7253">
          <w:rPr>
            <w:rStyle w:val="Hyperlink"/>
            <w:lang w:eastAsia="x-none"/>
          </w:rPr>
          <w:t>R1-2310885</w:t>
        </w:r>
      </w:hyperlink>
      <w:r w:rsidR="00F74A6F" w:rsidRPr="009537ED">
        <w:rPr>
          <w:lang w:eastAsia="x-none"/>
        </w:rPr>
        <w:tab/>
        <w:t>UE features for Coverage Enhancement</w:t>
      </w:r>
      <w:r w:rsidR="00F74A6F" w:rsidRPr="009537ED">
        <w:rPr>
          <w:lang w:eastAsia="x-none"/>
        </w:rPr>
        <w:tab/>
        <w:t>Huawei, HiSilicon</w:t>
      </w:r>
    </w:p>
    <w:p w14:paraId="03DDDE20" w14:textId="079629EC" w:rsidR="00F74A6F" w:rsidRPr="009537ED" w:rsidRDefault="005A18DC" w:rsidP="00F74A6F">
      <w:pPr>
        <w:rPr>
          <w:lang w:eastAsia="x-none"/>
        </w:rPr>
      </w:pPr>
      <w:hyperlink r:id="rId2109" w:history="1">
        <w:r w:rsidR="00AF7253">
          <w:rPr>
            <w:rStyle w:val="Hyperlink"/>
            <w:lang w:eastAsia="x-none"/>
          </w:rPr>
          <w:t>R1-2310896</w:t>
        </w:r>
      </w:hyperlink>
      <w:r w:rsidR="00F74A6F" w:rsidRPr="009537ED">
        <w:rPr>
          <w:lang w:eastAsia="x-none"/>
        </w:rPr>
        <w:tab/>
        <w:t>On UE features for coverage enhancements</w:t>
      </w:r>
      <w:r w:rsidR="00F74A6F" w:rsidRPr="009537ED">
        <w:rPr>
          <w:lang w:eastAsia="x-none"/>
        </w:rPr>
        <w:tab/>
        <w:t>Nokia, Nokia Shanghai Bell</w:t>
      </w:r>
    </w:p>
    <w:p w14:paraId="719F350F" w14:textId="76572A4E" w:rsidR="00F74A6F" w:rsidRPr="009537ED" w:rsidRDefault="005A18DC" w:rsidP="00F74A6F">
      <w:pPr>
        <w:rPr>
          <w:lang w:eastAsia="x-none"/>
        </w:rPr>
      </w:pPr>
      <w:hyperlink r:id="rId2110" w:history="1">
        <w:r w:rsidR="00AF7253">
          <w:rPr>
            <w:rStyle w:val="Hyperlink"/>
            <w:lang w:eastAsia="x-none"/>
          </w:rPr>
          <w:t>R1-2311026</w:t>
        </w:r>
      </w:hyperlink>
      <w:r w:rsidR="00F74A6F" w:rsidRPr="009537ED">
        <w:rPr>
          <w:lang w:eastAsia="x-none"/>
        </w:rPr>
        <w:tab/>
        <w:t>Discussion on UE feature for coverage enhancements</w:t>
      </w:r>
      <w:r w:rsidR="00F74A6F" w:rsidRPr="009537ED">
        <w:rPr>
          <w:lang w:eastAsia="x-none"/>
        </w:rPr>
        <w:tab/>
        <w:t>ZTE</w:t>
      </w:r>
    </w:p>
    <w:p w14:paraId="03C36C93" w14:textId="5057E5BD" w:rsidR="00F74A6F" w:rsidRPr="009537ED" w:rsidRDefault="005A18DC" w:rsidP="00F74A6F">
      <w:pPr>
        <w:rPr>
          <w:lang w:eastAsia="x-none"/>
        </w:rPr>
      </w:pPr>
      <w:hyperlink r:id="rId2111" w:history="1">
        <w:r w:rsidR="00AF7253">
          <w:rPr>
            <w:rStyle w:val="Hyperlink"/>
            <w:lang w:eastAsia="x-none"/>
          </w:rPr>
          <w:t>R1-2311124</w:t>
        </w:r>
      </w:hyperlink>
      <w:r w:rsidR="00F74A6F" w:rsidRPr="009537ED">
        <w:rPr>
          <w:lang w:eastAsia="x-none"/>
        </w:rPr>
        <w:tab/>
        <w:t>Discussions on Rel-18 NR coverage enhancements UE features</w:t>
      </w:r>
      <w:r w:rsidR="00F74A6F" w:rsidRPr="009537ED">
        <w:rPr>
          <w:lang w:eastAsia="x-none"/>
        </w:rPr>
        <w:tab/>
        <w:t>vivo</w:t>
      </w:r>
    </w:p>
    <w:p w14:paraId="7B28FB12" w14:textId="2228C7D4" w:rsidR="00F74A6F" w:rsidRPr="009537ED" w:rsidRDefault="005A18DC" w:rsidP="00F74A6F">
      <w:pPr>
        <w:rPr>
          <w:lang w:eastAsia="x-none"/>
        </w:rPr>
      </w:pPr>
      <w:hyperlink r:id="rId2112" w:history="1">
        <w:r w:rsidR="00AF7253">
          <w:rPr>
            <w:rStyle w:val="Hyperlink"/>
            <w:lang w:eastAsia="x-none"/>
          </w:rPr>
          <w:t>R1-2311136</w:t>
        </w:r>
      </w:hyperlink>
      <w:r w:rsidR="00F74A6F" w:rsidRPr="009537ED">
        <w:rPr>
          <w:lang w:eastAsia="x-none"/>
        </w:rPr>
        <w:tab/>
        <w:t>Discussion on UE features for NR coverage enhancement</w:t>
      </w:r>
      <w:r w:rsidR="00F74A6F" w:rsidRPr="009537ED">
        <w:rPr>
          <w:lang w:eastAsia="x-none"/>
        </w:rPr>
        <w:tab/>
        <w:t>Intel Corporation</w:t>
      </w:r>
    </w:p>
    <w:p w14:paraId="6E34E02A" w14:textId="0BD5C710" w:rsidR="00F74A6F" w:rsidRPr="009537ED" w:rsidRDefault="005A18DC" w:rsidP="00F74A6F">
      <w:pPr>
        <w:rPr>
          <w:lang w:eastAsia="x-none"/>
        </w:rPr>
      </w:pPr>
      <w:hyperlink r:id="rId2113" w:history="1">
        <w:r w:rsidR="00AF7253">
          <w:rPr>
            <w:rStyle w:val="Hyperlink"/>
            <w:lang w:eastAsia="x-none"/>
          </w:rPr>
          <w:t>R1-2311189</w:t>
        </w:r>
      </w:hyperlink>
      <w:r w:rsidR="00F74A6F" w:rsidRPr="009537ED">
        <w:rPr>
          <w:lang w:eastAsia="x-none"/>
        </w:rPr>
        <w:tab/>
        <w:t>Discussion on UE features for coverage enhancements</w:t>
      </w:r>
      <w:r w:rsidR="00F74A6F" w:rsidRPr="009537ED">
        <w:rPr>
          <w:lang w:eastAsia="x-none"/>
        </w:rPr>
        <w:tab/>
        <w:t>Spreadtrum Communications</w:t>
      </w:r>
    </w:p>
    <w:p w14:paraId="7D88AA8F" w14:textId="733375D2" w:rsidR="00F74A6F" w:rsidRPr="009537ED" w:rsidRDefault="005A18DC" w:rsidP="00F74A6F">
      <w:pPr>
        <w:rPr>
          <w:lang w:eastAsia="x-none"/>
        </w:rPr>
      </w:pPr>
      <w:hyperlink r:id="rId2114" w:history="1">
        <w:r w:rsidR="00AF7253">
          <w:rPr>
            <w:rStyle w:val="Hyperlink"/>
            <w:lang w:eastAsia="x-none"/>
          </w:rPr>
          <w:t>R1-2311267</w:t>
        </w:r>
      </w:hyperlink>
      <w:r w:rsidR="00F74A6F" w:rsidRPr="009537ED">
        <w:rPr>
          <w:lang w:eastAsia="x-none"/>
        </w:rPr>
        <w:tab/>
        <w:t>Rel-18 UE features for coverage enhancements</w:t>
      </w:r>
      <w:r w:rsidR="00F74A6F" w:rsidRPr="009537ED">
        <w:rPr>
          <w:lang w:eastAsia="x-none"/>
        </w:rPr>
        <w:tab/>
        <w:t>OPPO</w:t>
      </w:r>
    </w:p>
    <w:p w14:paraId="7F04212A" w14:textId="32023326" w:rsidR="00F74A6F" w:rsidRPr="009537ED" w:rsidRDefault="005A18DC" w:rsidP="00F74A6F">
      <w:pPr>
        <w:rPr>
          <w:lang w:eastAsia="x-none"/>
        </w:rPr>
      </w:pPr>
      <w:hyperlink r:id="rId2115" w:history="1">
        <w:r w:rsidR="00AF7253">
          <w:rPr>
            <w:rStyle w:val="Hyperlink"/>
            <w:lang w:eastAsia="x-none"/>
          </w:rPr>
          <w:t>R1-2311334</w:t>
        </w:r>
      </w:hyperlink>
      <w:r w:rsidR="00F74A6F" w:rsidRPr="009537ED">
        <w:rPr>
          <w:lang w:eastAsia="x-none"/>
        </w:rPr>
        <w:tab/>
        <w:t>UE features for coverage enhancements</w:t>
      </w:r>
      <w:r w:rsidR="00F74A6F" w:rsidRPr="009537ED">
        <w:rPr>
          <w:lang w:eastAsia="x-none"/>
        </w:rPr>
        <w:tab/>
        <w:t>CATT</w:t>
      </w:r>
    </w:p>
    <w:p w14:paraId="5C7933C7" w14:textId="5A3DB15C" w:rsidR="00F74A6F" w:rsidRPr="009537ED" w:rsidRDefault="005A18DC" w:rsidP="00F74A6F">
      <w:pPr>
        <w:rPr>
          <w:lang w:eastAsia="x-none"/>
        </w:rPr>
      </w:pPr>
      <w:hyperlink r:id="rId2116" w:history="1">
        <w:r w:rsidR="00AF7253">
          <w:rPr>
            <w:rStyle w:val="Hyperlink"/>
            <w:lang w:eastAsia="x-none"/>
          </w:rPr>
          <w:t>R1-2311399</w:t>
        </w:r>
      </w:hyperlink>
      <w:r w:rsidR="00F74A6F" w:rsidRPr="009537ED">
        <w:rPr>
          <w:lang w:eastAsia="x-none"/>
        </w:rPr>
        <w:tab/>
        <w:t>Discussion on UE features for coverage enhancements</w:t>
      </w:r>
      <w:r w:rsidR="00F74A6F" w:rsidRPr="009537ED">
        <w:rPr>
          <w:lang w:eastAsia="x-none"/>
        </w:rPr>
        <w:tab/>
        <w:t>xiaomi</w:t>
      </w:r>
    </w:p>
    <w:p w14:paraId="30C44C4F" w14:textId="5B9129E8" w:rsidR="00F74A6F" w:rsidRPr="009537ED" w:rsidRDefault="005A18DC" w:rsidP="00F74A6F">
      <w:pPr>
        <w:rPr>
          <w:lang w:eastAsia="x-none"/>
        </w:rPr>
      </w:pPr>
      <w:hyperlink r:id="rId2117" w:history="1">
        <w:r w:rsidR="00AF7253">
          <w:rPr>
            <w:rStyle w:val="Hyperlink"/>
            <w:lang w:eastAsia="x-none"/>
          </w:rPr>
          <w:t>R1-2311447</w:t>
        </w:r>
      </w:hyperlink>
      <w:r w:rsidR="00F74A6F" w:rsidRPr="009537ED">
        <w:rPr>
          <w:lang w:eastAsia="x-none"/>
        </w:rPr>
        <w:tab/>
        <w:t>Discussion on UE features for further NR coverage enhancement in Rel.18</w:t>
      </w:r>
      <w:r w:rsidR="00F74A6F" w:rsidRPr="009537ED">
        <w:rPr>
          <w:lang w:eastAsia="x-none"/>
        </w:rPr>
        <w:tab/>
        <w:t>Panasonic</w:t>
      </w:r>
    </w:p>
    <w:p w14:paraId="75B04591" w14:textId="5B3AD773" w:rsidR="00F74A6F" w:rsidRPr="009537ED" w:rsidRDefault="005A18DC" w:rsidP="00F74A6F">
      <w:pPr>
        <w:rPr>
          <w:lang w:eastAsia="x-none"/>
        </w:rPr>
      </w:pPr>
      <w:hyperlink r:id="rId2118" w:history="1">
        <w:r w:rsidR="00AF7253">
          <w:rPr>
            <w:rStyle w:val="Hyperlink"/>
            <w:lang w:eastAsia="x-none"/>
          </w:rPr>
          <w:t>R1-2311505</w:t>
        </w:r>
      </w:hyperlink>
      <w:r w:rsidR="00F74A6F" w:rsidRPr="009537ED">
        <w:rPr>
          <w:lang w:eastAsia="x-none"/>
        </w:rPr>
        <w:tab/>
        <w:t>Discussion on UE feature for coverage enhancement</w:t>
      </w:r>
      <w:r w:rsidR="00F74A6F" w:rsidRPr="009537ED">
        <w:rPr>
          <w:lang w:eastAsia="x-none"/>
        </w:rPr>
        <w:tab/>
        <w:t>CMCC</w:t>
      </w:r>
    </w:p>
    <w:p w14:paraId="0669C7D6" w14:textId="47A35F20" w:rsidR="00F74A6F" w:rsidRPr="009537ED" w:rsidRDefault="005A18DC" w:rsidP="00F74A6F">
      <w:pPr>
        <w:rPr>
          <w:lang w:eastAsia="x-none"/>
        </w:rPr>
      </w:pPr>
      <w:hyperlink r:id="rId2119" w:history="1">
        <w:r w:rsidR="00AF7253">
          <w:rPr>
            <w:rStyle w:val="Hyperlink"/>
            <w:lang w:eastAsia="x-none"/>
          </w:rPr>
          <w:t>R1-2311558</w:t>
        </w:r>
      </w:hyperlink>
      <w:r w:rsidR="00F74A6F" w:rsidRPr="009537ED">
        <w:rPr>
          <w:lang w:eastAsia="x-none"/>
        </w:rPr>
        <w:tab/>
        <w:t>Discussion on UE features for coverage enhancement</w:t>
      </w:r>
      <w:r w:rsidR="00F74A6F" w:rsidRPr="009537ED">
        <w:rPr>
          <w:lang w:eastAsia="x-none"/>
        </w:rPr>
        <w:tab/>
        <w:t>China Telecom</w:t>
      </w:r>
    </w:p>
    <w:p w14:paraId="23240F79" w14:textId="7C7D7AD7" w:rsidR="00F74A6F" w:rsidRPr="009537ED" w:rsidRDefault="005A18DC" w:rsidP="00F74A6F">
      <w:pPr>
        <w:rPr>
          <w:lang w:eastAsia="x-none"/>
        </w:rPr>
      </w:pPr>
      <w:hyperlink r:id="rId2120" w:history="1">
        <w:r w:rsidR="00AF7253">
          <w:rPr>
            <w:rStyle w:val="Hyperlink"/>
            <w:lang w:eastAsia="x-none"/>
          </w:rPr>
          <w:t>R1-2311649</w:t>
        </w:r>
      </w:hyperlink>
      <w:r w:rsidR="00F74A6F" w:rsidRPr="009537ED">
        <w:rPr>
          <w:lang w:eastAsia="x-none"/>
        </w:rPr>
        <w:tab/>
        <w:t>Discussion on UE features for NR further coverage enhancements</w:t>
      </w:r>
      <w:r w:rsidR="00F74A6F" w:rsidRPr="009537ED">
        <w:rPr>
          <w:lang w:eastAsia="x-none"/>
        </w:rPr>
        <w:tab/>
        <w:t>NTT DOCOMO, INC.</w:t>
      </w:r>
    </w:p>
    <w:p w14:paraId="3972474F" w14:textId="1688C8EB" w:rsidR="00F74A6F" w:rsidRPr="009537ED" w:rsidRDefault="005A18DC" w:rsidP="00F74A6F">
      <w:pPr>
        <w:rPr>
          <w:lang w:eastAsia="x-none"/>
        </w:rPr>
      </w:pPr>
      <w:hyperlink r:id="rId2121" w:history="1">
        <w:r w:rsidR="00AF7253">
          <w:rPr>
            <w:rStyle w:val="Hyperlink"/>
            <w:lang w:eastAsia="x-none"/>
          </w:rPr>
          <w:t>R1-2311713</w:t>
        </w:r>
      </w:hyperlink>
      <w:r w:rsidR="00F74A6F" w:rsidRPr="009537ED">
        <w:rPr>
          <w:lang w:eastAsia="x-none"/>
        </w:rPr>
        <w:tab/>
        <w:t>Views on UE features for NR coverage ehancmenents</w:t>
      </w:r>
      <w:r w:rsidR="00F74A6F" w:rsidRPr="009537ED">
        <w:rPr>
          <w:lang w:eastAsia="x-none"/>
        </w:rPr>
        <w:tab/>
        <w:t>Apple</w:t>
      </w:r>
    </w:p>
    <w:p w14:paraId="70267DEF" w14:textId="62EDBBC1" w:rsidR="00F74A6F" w:rsidRPr="009537ED" w:rsidRDefault="005A18DC" w:rsidP="00F74A6F">
      <w:pPr>
        <w:rPr>
          <w:lang w:eastAsia="x-none"/>
        </w:rPr>
      </w:pPr>
      <w:hyperlink r:id="rId2122" w:history="1">
        <w:r w:rsidR="00AF7253">
          <w:rPr>
            <w:rStyle w:val="Hyperlink"/>
            <w:lang w:eastAsia="x-none"/>
          </w:rPr>
          <w:t>R1-2311774</w:t>
        </w:r>
      </w:hyperlink>
      <w:r w:rsidR="00F74A6F" w:rsidRPr="009537ED">
        <w:rPr>
          <w:lang w:eastAsia="x-none"/>
        </w:rPr>
        <w:tab/>
        <w:t>UE features for Rel-18 Coverage Enhancements</w:t>
      </w:r>
      <w:r w:rsidR="00F74A6F" w:rsidRPr="009537ED">
        <w:rPr>
          <w:lang w:eastAsia="x-none"/>
        </w:rPr>
        <w:tab/>
        <w:t>Sharp</w:t>
      </w:r>
    </w:p>
    <w:p w14:paraId="0FBA2AAB" w14:textId="7805B065" w:rsidR="00F74A6F" w:rsidRPr="009537ED" w:rsidRDefault="005A18DC" w:rsidP="00F74A6F">
      <w:pPr>
        <w:rPr>
          <w:lang w:eastAsia="x-none"/>
        </w:rPr>
      </w:pPr>
      <w:hyperlink r:id="rId2123" w:history="1">
        <w:r w:rsidR="00AF7253">
          <w:rPr>
            <w:rStyle w:val="Hyperlink"/>
            <w:lang w:eastAsia="x-none"/>
          </w:rPr>
          <w:t>R1-2311874</w:t>
        </w:r>
      </w:hyperlink>
      <w:r w:rsidR="00F74A6F" w:rsidRPr="009537ED">
        <w:rPr>
          <w:lang w:eastAsia="x-none"/>
        </w:rPr>
        <w:tab/>
        <w:t>UE features for coverage enhancements</w:t>
      </w:r>
      <w:r w:rsidR="00F74A6F" w:rsidRPr="009537ED">
        <w:rPr>
          <w:lang w:eastAsia="x-none"/>
        </w:rPr>
        <w:tab/>
        <w:t>Samsung</w:t>
      </w:r>
    </w:p>
    <w:p w14:paraId="7403AAE0" w14:textId="6933E0B4" w:rsidR="00F74A6F" w:rsidRPr="009537ED" w:rsidRDefault="005A18DC" w:rsidP="00F74A6F">
      <w:pPr>
        <w:rPr>
          <w:lang w:eastAsia="x-none"/>
        </w:rPr>
      </w:pPr>
      <w:hyperlink r:id="rId2124" w:history="1">
        <w:r w:rsidR="00AF7253">
          <w:rPr>
            <w:rStyle w:val="Hyperlink"/>
            <w:lang w:eastAsia="x-none"/>
          </w:rPr>
          <w:t>R1-2311948</w:t>
        </w:r>
      </w:hyperlink>
      <w:r w:rsidR="00F74A6F" w:rsidRPr="009537ED">
        <w:rPr>
          <w:lang w:eastAsia="x-none"/>
        </w:rPr>
        <w:tab/>
        <w:t>UE Features for Coverage Enhancements</w:t>
      </w:r>
      <w:r w:rsidR="00F74A6F" w:rsidRPr="009537ED">
        <w:rPr>
          <w:lang w:eastAsia="x-none"/>
        </w:rPr>
        <w:tab/>
        <w:t>Ericsson</w:t>
      </w:r>
    </w:p>
    <w:p w14:paraId="4BBF3B86" w14:textId="00A62537" w:rsidR="00F74A6F" w:rsidRPr="009537ED" w:rsidRDefault="005A18DC" w:rsidP="00F74A6F">
      <w:pPr>
        <w:rPr>
          <w:lang w:eastAsia="x-none"/>
        </w:rPr>
      </w:pPr>
      <w:hyperlink r:id="rId2125" w:history="1">
        <w:r w:rsidR="00AF7253">
          <w:rPr>
            <w:rStyle w:val="Hyperlink"/>
            <w:lang w:eastAsia="x-none"/>
          </w:rPr>
          <w:t>R1-2311987</w:t>
        </w:r>
      </w:hyperlink>
      <w:r w:rsidR="00F74A6F" w:rsidRPr="009537ED">
        <w:rPr>
          <w:lang w:eastAsia="x-none"/>
        </w:rPr>
        <w:tab/>
        <w:t>Discussion on UE features for coverage enhancements</w:t>
      </w:r>
      <w:r w:rsidR="00F74A6F" w:rsidRPr="009537ED">
        <w:rPr>
          <w:lang w:eastAsia="x-none"/>
        </w:rPr>
        <w:tab/>
        <w:t>MediaTek Inc.</w:t>
      </w:r>
    </w:p>
    <w:p w14:paraId="025B701B" w14:textId="10A16A89" w:rsidR="00F74A6F" w:rsidRDefault="005A18DC" w:rsidP="00F74A6F">
      <w:pPr>
        <w:rPr>
          <w:lang w:eastAsia="x-none"/>
        </w:rPr>
      </w:pPr>
      <w:hyperlink r:id="rId2126" w:history="1">
        <w:r w:rsidR="00AF7253">
          <w:rPr>
            <w:rStyle w:val="Hyperlink"/>
            <w:lang w:eastAsia="x-none"/>
          </w:rPr>
          <w:t>R1-2312068</w:t>
        </w:r>
      </w:hyperlink>
      <w:r w:rsidR="00F74A6F" w:rsidRPr="009537ED">
        <w:rPr>
          <w:lang w:eastAsia="x-none"/>
        </w:rPr>
        <w:tab/>
        <w:t>UE features for coverage enhancements</w:t>
      </w:r>
      <w:r w:rsidR="00F74A6F" w:rsidRPr="009537ED">
        <w:rPr>
          <w:lang w:eastAsia="x-none"/>
        </w:rPr>
        <w:tab/>
        <w:t>Qualcomm Incorporated</w:t>
      </w:r>
    </w:p>
    <w:p w14:paraId="65059172" w14:textId="77777777" w:rsidR="001359FB" w:rsidRDefault="001359FB" w:rsidP="00F74A6F">
      <w:pPr>
        <w:rPr>
          <w:lang w:eastAsia="x-none"/>
        </w:rPr>
      </w:pPr>
    </w:p>
    <w:p w14:paraId="77A2D72E" w14:textId="7607A432" w:rsidR="001359FB" w:rsidRDefault="005A18DC" w:rsidP="001359FB">
      <w:pPr>
        <w:rPr>
          <w:b/>
          <w:bCs/>
          <w:lang w:eastAsia="x-none"/>
        </w:rPr>
      </w:pPr>
      <w:hyperlink r:id="rId2127" w:history="1">
        <w:r w:rsidR="00AF7253">
          <w:rPr>
            <w:rStyle w:val="Hyperlink"/>
            <w:b/>
            <w:bCs/>
            <w:lang w:eastAsia="x-none"/>
          </w:rPr>
          <w:t>R1-2312586</w:t>
        </w:r>
      </w:hyperlink>
      <w:r w:rsidR="001359FB" w:rsidRPr="001359FB">
        <w:rPr>
          <w:b/>
          <w:bCs/>
          <w:lang w:eastAsia="x-none"/>
        </w:rPr>
        <w:tab/>
        <w:t>Summary on UE features for coverage enhancements</w:t>
      </w:r>
      <w:r w:rsidR="001359FB" w:rsidRPr="001359FB">
        <w:rPr>
          <w:b/>
          <w:bCs/>
          <w:lang w:eastAsia="x-none"/>
        </w:rPr>
        <w:tab/>
        <w:t>Moderator (NTT DOCOMO)</w:t>
      </w:r>
    </w:p>
    <w:p w14:paraId="3C2074F8" w14:textId="1B61121D" w:rsidR="00210F2F" w:rsidRPr="00065A8D" w:rsidRDefault="00210F2F" w:rsidP="00210F2F">
      <w:pPr>
        <w:rPr>
          <w:lang w:eastAsia="x-none"/>
        </w:rPr>
      </w:pPr>
      <w:bookmarkStart w:id="813" w:name="_Toc150174512"/>
      <w:r w:rsidRPr="00955F5C">
        <w:rPr>
          <w:lang w:eastAsia="x-none"/>
        </w:rPr>
        <w:t>This document presents the summary of email discussion [115-R18-UE_features-0</w:t>
      </w:r>
      <w:r>
        <w:rPr>
          <w:lang w:eastAsia="x-none"/>
        </w:rPr>
        <w:t>1</w:t>
      </w:r>
      <w:r w:rsidRPr="00955F5C">
        <w:rPr>
          <w:lang w:eastAsia="x-none"/>
        </w:rPr>
        <w:t xml:space="preserve">] </w:t>
      </w:r>
      <w:r>
        <w:rPr>
          <w:lang w:eastAsia="x-none"/>
        </w:rPr>
        <w:t xml:space="preserve">related to coverage </w:t>
      </w:r>
      <w:r w:rsidRPr="00955F5C">
        <w:rPr>
          <w:lang w:eastAsia="x-none"/>
        </w:rPr>
        <w:t>during RAN1 #115.</w:t>
      </w:r>
    </w:p>
    <w:p w14:paraId="08E868EB" w14:textId="77777777" w:rsidR="00F74A6F" w:rsidRDefault="00F74A6F" w:rsidP="00F74A6F">
      <w:pPr>
        <w:pStyle w:val="Heading3"/>
      </w:pPr>
      <w:bookmarkStart w:id="814" w:name="_Toc159251054"/>
      <w:r w:rsidRPr="009537ED">
        <w:t>UE features for dedicated spectrum less than 5MHz</w:t>
      </w:r>
      <w:bookmarkEnd w:id="813"/>
      <w:bookmarkEnd w:id="814"/>
    </w:p>
    <w:p w14:paraId="0601BB6C" w14:textId="27806CDD" w:rsidR="00B86E76" w:rsidRPr="00B86E76" w:rsidRDefault="005A18DC" w:rsidP="00B86E76">
      <w:pPr>
        <w:rPr>
          <w:b/>
          <w:bCs/>
          <w:lang w:eastAsia="x-none"/>
        </w:rPr>
      </w:pPr>
      <w:hyperlink r:id="rId2128" w:history="1">
        <w:r w:rsidR="00AF7253">
          <w:rPr>
            <w:rStyle w:val="Hyperlink"/>
            <w:b/>
            <w:bCs/>
            <w:lang w:eastAsia="x-none"/>
          </w:rPr>
          <w:t>R1-2312579</w:t>
        </w:r>
      </w:hyperlink>
      <w:r w:rsidR="00B86E76" w:rsidRPr="00B86E76">
        <w:rPr>
          <w:b/>
          <w:bCs/>
          <w:lang w:eastAsia="x-none"/>
        </w:rPr>
        <w:tab/>
        <w:t>Session Notes for 8.16.9</w:t>
      </w:r>
      <w:r w:rsidR="00B86E76" w:rsidRPr="00B86E76">
        <w:rPr>
          <w:b/>
          <w:bCs/>
          <w:lang w:eastAsia="x-none"/>
        </w:rPr>
        <w:tab/>
        <w:t>Ad-Hoc Chair (NTT DOCOMO)</w:t>
      </w:r>
    </w:p>
    <w:p w14:paraId="0B7FE39F" w14:textId="77777777" w:rsidR="00B86E76" w:rsidRPr="00663F3A" w:rsidRDefault="00B86E76" w:rsidP="00B86E76">
      <w:pPr>
        <w:rPr>
          <w:lang w:val="en-US" w:eastAsia="x-none"/>
        </w:rPr>
      </w:pPr>
      <w:r w:rsidRPr="00F05EFE">
        <w:rPr>
          <w:b/>
          <w:bCs/>
        </w:rPr>
        <w:t>Friday decision:</w:t>
      </w:r>
      <w:r>
        <w:t xml:space="preserve"> The </w:t>
      </w:r>
      <w:r>
        <w:rPr>
          <w:lang w:val="en-US" w:eastAsia="x-none"/>
        </w:rPr>
        <w:t>s</w:t>
      </w:r>
      <w:r w:rsidRPr="00663F3A">
        <w:rPr>
          <w:lang w:val="en-US" w:eastAsia="x-none"/>
        </w:rPr>
        <w:t>ession notes</w:t>
      </w:r>
      <w:r>
        <w:rPr>
          <w:lang w:val="en-US" w:eastAsia="x-none"/>
        </w:rPr>
        <w:t xml:space="preserve"> (all agreements reached during RAN1#115)</w:t>
      </w:r>
      <w:r w:rsidRPr="00663F3A">
        <w:rPr>
          <w:lang w:val="en-US" w:eastAsia="x-none"/>
        </w:rPr>
        <w:t xml:space="preserve"> are </w:t>
      </w:r>
      <w:r w:rsidRPr="00663F3A">
        <w:rPr>
          <w:highlight w:val="green"/>
          <w:lang w:val="en-US" w:eastAsia="x-none"/>
        </w:rPr>
        <w:t>endorsed</w:t>
      </w:r>
      <w:r w:rsidRPr="00663F3A">
        <w:rPr>
          <w:lang w:val="en-US" w:eastAsia="x-none"/>
        </w:rPr>
        <w:t>.</w:t>
      </w:r>
    </w:p>
    <w:p w14:paraId="4F302B80" w14:textId="77777777" w:rsidR="00B86E76" w:rsidRPr="00B86E76" w:rsidRDefault="00B86E76" w:rsidP="00B86E76">
      <w:pPr>
        <w:rPr>
          <w:lang w:val="en-US"/>
        </w:rPr>
      </w:pPr>
    </w:p>
    <w:p w14:paraId="570DC02F" w14:textId="575891F3" w:rsidR="00F74A6F" w:rsidRPr="009537ED" w:rsidRDefault="005A18DC" w:rsidP="00F74A6F">
      <w:pPr>
        <w:rPr>
          <w:lang w:eastAsia="x-none"/>
        </w:rPr>
      </w:pPr>
      <w:hyperlink r:id="rId2129" w:history="1">
        <w:r w:rsidR="00AF7253">
          <w:rPr>
            <w:rStyle w:val="Hyperlink"/>
            <w:lang w:eastAsia="x-none"/>
          </w:rPr>
          <w:t>R1-2310822</w:t>
        </w:r>
      </w:hyperlink>
      <w:r w:rsidR="00F74A6F" w:rsidRPr="009537ED">
        <w:rPr>
          <w:lang w:eastAsia="x-none"/>
        </w:rPr>
        <w:tab/>
        <w:t>Less than 5 MHz dedicated spectrum UE features</w:t>
      </w:r>
      <w:r w:rsidR="00F74A6F" w:rsidRPr="009537ED">
        <w:rPr>
          <w:lang w:eastAsia="x-none"/>
        </w:rPr>
        <w:tab/>
        <w:t>FUTUREWEI</w:t>
      </w:r>
    </w:p>
    <w:p w14:paraId="4592C07A" w14:textId="57EBCA93" w:rsidR="00F74A6F" w:rsidRPr="009537ED" w:rsidRDefault="005A18DC" w:rsidP="00F74A6F">
      <w:pPr>
        <w:rPr>
          <w:lang w:eastAsia="x-none"/>
        </w:rPr>
      </w:pPr>
      <w:hyperlink r:id="rId2130" w:history="1">
        <w:r w:rsidR="00AF7253">
          <w:rPr>
            <w:rStyle w:val="Hyperlink"/>
            <w:lang w:eastAsia="x-none"/>
          </w:rPr>
          <w:t>R1-2310859</w:t>
        </w:r>
      </w:hyperlink>
      <w:r w:rsidR="00F74A6F" w:rsidRPr="009537ED">
        <w:rPr>
          <w:lang w:eastAsia="x-none"/>
        </w:rPr>
        <w:tab/>
        <w:t>UE features for dedicated spectrum less than 5 MHz</w:t>
      </w:r>
      <w:r w:rsidR="00F74A6F" w:rsidRPr="009537ED">
        <w:rPr>
          <w:lang w:eastAsia="x-none"/>
        </w:rPr>
        <w:tab/>
        <w:t>Huawei, HiSilicon</w:t>
      </w:r>
    </w:p>
    <w:p w14:paraId="29EEEB14" w14:textId="6D19E11A" w:rsidR="00F74A6F" w:rsidRPr="009537ED" w:rsidRDefault="005A18DC" w:rsidP="00F74A6F">
      <w:pPr>
        <w:rPr>
          <w:lang w:eastAsia="x-none"/>
        </w:rPr>
      </w:pPr>
      <w:hyperlink r:id="rId2131" w:history="1">
        <w:r w:rsidR="00AF7253">
          <w:rPr>
            <w:rStyle w:val="Hyperlink"/>
            <w:lang w:eastAsia="x-none"/>
          </w:rPr>
          <w:t>R1-2310897</w:t>
        </w:r>
      </w:hyperlink>
      <w:r w:rsidR="00F74A6F" w:rsidRPr="009537ED">
        <w:rPr>
          <w:lang w:eastAsia="x-none"/>
        </w:rPr>
        <w:tab/>
        <w:t>On UE features for dedicated spectrum less than 5MHz</w:t>
      </w:r>
      <w:r w:rsidR="00F74A6F" w:rsidRPr="009537ED">
        <w:rPr>
          <w:lang w:eastAsia="x-none"/>
        </w:rPr>
        <w:tab/>
        <w:t>Nokia, Nokia Shanghai Bell</w:t>
      </w:r>
    </w:p>
    <w:p w14:paraId="4DBD212D" w14:textId="46AE28AC" w:rsidR="00F74A6F" w:rsidRPr="009537ED" w:rsidRDefault="005A18DC" w:rsidP="00F74A6F">
      <w:pPr>
        <w:rPr>
          <w:lang w:eastAsia="x-none"/>
        </w:rPr>
      </w:pPr>
      <w:hyperlink r:id="rId2132" w:history="1">
        <w:r w:rsidR="00AF7253">
          <w:rPr>
            <w:rStyle w:val="Hyperlink"/>
            <w:lang w:eastAsia="x-none"/>
          </w:rPr>
          <w:t>R1-2310968</w:t>
        </w:r>
      </w:hyperlink>
      <w:r w:rsidR="00F74A6F" w:rsidRPr="009537ED">
        <w:rPr>
          <w:lang w:eastAsia="x-none"/>
        </w:rPr>
        <w:tab/>
        <w:t>On UE features for LessThan5MHzFR1</w:t>
      </w:r>
      <w:r w:rsidR="00F74A6F" w:rsidRPr="009537ED">
        <w:rPr>
          <w:lang w:eastAsia="x-none"/>
        </w:rPr>
        <w:tab/>
        <w:t>Ericsson</w:t>
      </w:r>
    </w:p>
    <w:p w14:paraId="6BAE9D0D" w14:textId="2B1C316B" w:rsidR="00F74A6F" w:rsidRPr="009537ED" w:rsidRDefault="005A18DC" w:rsidP="00F74A6F">
      <w:pPr>
        <w:rPr>
          <w:lang w:eastAsia="x-none"/>
        </w:rPr>
      </w:pPr>
      <w:hyperlink r:id="rId2133" w:history="1">
        <w:r w:rsidR="00AF7253">
          <w:rPr>
            <w:rStyle w:val="Hyperlink"/>
            <w:lang w:eastAsia="x-none"/>
          </w:rPr>
          <w:t>R1-2311027</w:t>
        </w:r>
      </w:hyperlink>
      <w:r w:rsidR="00F74A6F" w:rsidRPr="009537ED">
        <w:rPr>
          <w:lang w:eastAsia="x-none"/>
        </w:rPr>
        <w:tab/>
        <w:t>Discussion on UE feature for dedicated spectrum less than 5MHz</w:t>
      </w:r>
      <w:r w:rsidR="00F74A6F" w:rsidRPr="009537ED">
        <w:rPr>
          <w:lang w:eastAsia="x-none"/>
        </w:rPr>
        <w:tab/>
        <w:t>ZTE</w:t>
      </w:r>
    </w:p>
    <w:p w14:paraId="24CBF688" w14:textId="43C5D91D" w:rsidR="00F74A6F" w:rsidRPr="009537ED" w:rsidRDefault="005A18DC" w:rsidP="00F74A6F">
      <w:pPr>
        <w:rPr>
          <w:lang w:eastAsia="x-none"/>
        </w:rPr>
      </w:pPr>
      <w:hyperlink r:id="rId2134" w:history="1">
        <w:r w:rsidR="00AF7253">
          <w:rPr>
            <w:rStyle w:val="Hyperlink"/>
            <w:lang w:eastAsia="x-none"/>
          </w:rPr>
          <w:t>R1-2311335</w:t>
        </w:r>
      </w:hyperlink>
      <w:r w:rsidR="00F74A6F" w:rsidRPr="009537ED">
        <w:rPr>
          <w:lang w:eastAsia="x-none"/>
        </w:rPr>
        <w:tab/>
        <w:t>UE features for dedicated spectrum less than 5MHz</w:t>
      </w:r>
      <w:r w:rsidR="00F74A6F" w:rsidRPr="009537ED">
        <w:rPr>
          <w:lang w:eastAsia="x-none"/>
        </w:rPr>
        <w:tab/>
        <w:t>CATT</w:t>
      </w:r>
    </w:p>
    <w:p w14:paraId="3FBD8E28" w14:textId="3E2351E2" w:rsidR="00F74A6F" w:rsidRPr="009537ED" w:rsidRDefault="005A18DC" w:rsidP="00F74A6F">
      <w:pPr>
        <w:rPr>
          <w:lang w:eastAsia="x-none"/>
        </w:rPr>
      </w:pPr>
      <w:hyperlink r:id="rId2135" w:history="1">
        <w:r w:rsidR="00AF7253">
          <w:rPr>
            <w:rStyle w:val="Hyperlink"/>
            <w:lang w:eastAsia="x-none"/>
          </w:rPr>
          <w:t>R1-2311650</w:t>
        </w:r>
      </w:hyperlink>
      <w:r w:rsidR="00F74A6F" w:rsidRPr="009537ED">
        <w:rPr>
          <w:lang w:eastAsia="x-none"/>
        </w:rPr>
        <w:tab/>
        <w:t>Discussion on UE features for dedicated spectrum less than 5MHz</w:t>
      </w:r>
      <w:r w:rsidR="00F74A6F" w:rsidRPr="009537ED">
        <w:rPr>
          <w:lang w:eastAsia="x-none"/>
        </w:rPr>
        <w:tab/>
        <w:t>NTT DOCOMO, INC.</w:t>
      </w:r>
    </w:p>
    <w:p w14:paraId="66036AB2" w14:textId="5BF611C8" w:rsidR="00F74A6F" w:rsidRPr="009537ED" w:rsidRDefault="005A18DC" w:rsidP="00F74A6F">
      <w:pPr>
        <w:rPr>
          <w:lang w:eastAsia="x-none"/>
        </w:rPr>
      </w:pPr>
      <w:hyperlink r:id="rId2136" w:history="1">
        <w:r w:rsidR="00AF7253">
          <w:rPr>
            <w:rStyle w:val="Hyperlink"/>
            <w:lang w:eastAsia="x-none"/>
          </w:rPr>
          <w:t>R1-2311875</w:t>
        </w:r>
      </w:hyperlink>
      <w:r w:rsidR="00F74A6F" w:rsidRPr="009537ED">
        <w:rPr>
          <w:lang w:eastAsia="x-none"/>
        </w:rPr>
        <w:tab/>
        <w:t>UE features for dedicated spectrum less than 5MHz</w:t>
      </w:r>
      <w:r w:rsidR="00F74A6F" w:rsidRPr="009537ED">
        <w:rPr>
          <w:lang w:eastAsia="x-none"/>
        </w:rPr>
        <w:tab/>
        <w:t>Samsung</w:t>
      </w:r>
    </w:p>
    <w:p w14:paraId="2C212A86" w14:textId="23A27BE9" w:rsidR="00F74A6F" w:rsidRPr="009537ED" w:rsidRDefault="005A18DC" w:rsidP="00F74A6F">
      <w:pPr>
        <w:rPr>
          <w:lang w:eastAsia="x-none"/>
        </w:rPr>
      </w:pPr>
      <w:hyperlink r:id="rId2137" w:history="1">
        <w:r w:rsidR="00AF7253">
          <w:rPr>
            <w:rStyle w:val="Hyperlink"/>
            <w:lang w:eastAsia="x-none"/>
          </w:rPr>
          <w:t>R1-2311989</w:t>
        </w:r>
      </w:hyperlink>
      <w:r w:rsidR="00F74A6F" w:rsidRPr="009537ED">
        <w:rPr>
          <w:lang w:eastAsia="x-none"/>
        </w:rPr>
        <w:tab/>
        <w:t>UE features for dedicated spectrum less than 5MHz</w:t>
      </w:r>
      <w:r w:rsidR="00F74A6F" w:rsidRPr="009537ED">
        <w:rPr>
          <w:lang w:eastAsia="x-none"/>
        </w:rPr>
        <w:tab/>
        <w:t>MediaTek Inc.</w:t>
      </w:r>
    </w:p>
    <w:p w14:paraId="0F6913D3" w14:textId="5DB9DDFA" w:rsidR="00F74A6F" w:rsidRDefault="005A18DC" w:rsidP="00F74A6F">
      <w:pPr>
        <w:rPr>
          <w:lang w:eastAsia="x-none"/>
        </w:rPr>
      </w:pPr>
      <w:hyperlink r:id="rId2138" w:history="1">
        <w:r w:rsidR="00AF7253">
          <w:rPr>
            <w:rStyle w:val="Hyperlink"/>
            <w:lang w:eastAsia="x-none"/>
          </w:rPr>
          <w:t>R1-2312069</w:t>
        </w:r>
      </w:hyperlink>
      <w:r w:rsidR="00F74A6F" w:rsidRPr="009537ED">
        <w:rPr>
          <w:lang w:eastAsia="x-none"/>
        </w:rPr>
        <w:tab/>
        <w:t>UE features for dedicated spectrum less than 5MHz</w:t>
      </w:r>
      <w:r w:rsidR="00F74A6F" w:rsidRPr="009537ED">
        <w:rPr>
          <w:lang w:eastAsia="x-none"/>
        </w:rPr>
        <w:tab/>
        <w:t>Qualcomm Incorporated</w:t>
      </w:r>
    </w:p>
    <w:p w14:paraId="6F8D7E07" w14:textId="77777777" w:rsidR="001359FB" w:rsidRDefault="001359FB" w:rsidP="00F74A6F">
      <w:pPr>
        <w:rPr>
          <w:lang w:eastAsia="x-none"/>
        </w:rPr>
      </w:pPr>
    </w:p>
    <w:p w14:paraId="4DB38285" w14:textId="4ADB8604" w:rsidR="001359FB" w:rsidRDefault="005A18DC" w:rsidP="001359FB">
      <w:pPr>
        <w:rPr>
          <w:b/>
          <w:bCs/>
          <w:lang w:eastAsia="x-none"/>
        </w:rPr>
      </w:pPr>
      <w:hyperlink r:id="rId2139" w:history="1">
        <w:r w:rsidR="00AF7253">
          <w:rPr>
            <w:rStyle w:val="Hyperlink"/>
            <w:b/>
            <w:bCs/>
            <w:lang w:eastAsia="x-none"/>
          </w:rPr>
          <w:t>R1-2312587</w:t>
        </w:r>
      </w:hyperlink>
      <w:r w:rsidR="001359FB" w:rsidRPr="001359FB">
        <w:rPr>
          <w:b/>
          <w:bCs/>
          <w:lang w:eastAsia="x-none"/>
        </w:rPr>
        <w:tab/>
        <w:t>Summary on UE features for dedicated spectrum less than 5MHz</w:t>
      </w:r>
      <w:r w:rsidR="001359FB" w:rsidRPr="001359FB">
        <w:rPr>
          <w:b/>
          <w:bCs/>
          <w:lang w:eastAsia="x-none"/>
        </w:rPr>
        <w:tab/>
        <w:t>Moderator (NTT DOCOMO)</w:t>
      </w:r>
    </w:p>
    <w:p w14:paraId="0B279307" w14:textId="151ECA7F" w:rsidR="00210F2F" w:rsidRPr="00065A8D" w:rsidRDefault="00210F2F" w:rsidP="00210F2F">
      <w:pPr>
        <w:rPr>
          <w:lang w:eastAsia="x-none"/>
        </w:rPr>
      </w:pPr>
      <w:bookmarkStart w:id="815" w:name="_Toc150174513"/>
      <w:r w:rsidRPr="00955F5C">
        <w:rPr>
          <w:lang w:eastAsia="x-none"/>
        </w:rPr>
        <w:t>This document presents the summary of email discussion [115-R18-UE_features-0</w:t>
      </w:r>
      <w:r>
        <w:rPr>
          <w:lang w:eastAsia="x-none"/>
        </w:rPr>
        <w:t>1</w:t>
      </w:r>
      <w:r w:rsidRPr="00955F5C">
        <w:rPr>
          <w:lang w:eastAsia="x-none"/>
        </w:rPr>
        <w:t xml:space="preserve">] </w:t>
      </w:r>
      <w:r>
        <w:rPr>
          <w:lang w:eastAsia="x-none"/>
        </w:rPr>
        <w:t xml:space="preserve">related to </w:t>
      </w:r>
      <w:r w:rsidRPr="009537ED">
        <w:rPr>
          <w:lang w:eastAsia="x-none"/>
        </w:rPr>
        <w:t>LessThan5MHz</w:t>
      </w:r>
      <w:r>
        <w:rPr>
          <w:lang w:eastAsia="x-none"/>
        </w:rPr>
        <w:t xml:space="preserve"> </w:t>
      </w:r>
      <w:r w:rsidRPr="00955F5C">
        <w:rPr>
          <w:lang w:eastAsia="x-none"/>
        </w:rPr>
        <w:t>during RAN1 #115.</w:t>
      </w:r>
    </w:p>
    <w:p w14:paraId="4D2A4185" w14:textId="77777777" w:rsidR="00F74A6F" w:rsidRDefault="00F74A6F" w:rsidP="00F74A6F">
      <w:pPr>
        <w:pStyle w:val="Heading3"/>
      </w:pPr>
      <w:bookmarkStart w:id="816" w:name="_Toc159251055"/>
      <w:r w:rsidRPr="009537ED">
        <w:t>UE features for eDSS</w:t>
      </w:r>
      <w:bookmarkEnd w:id="815"/>
      <w:bookmarkEnd w:id="816"/>
    </w:p>
    <w:p w14:paraId="5F671B5B" w14:textId="3DEDFFD8" w:rsidR="00B86E76" w:rsidRPr="00B86E76" w:rsidRDefault="005A18DC" w:rsidP="00B86E76">
      <w:pPr>
        <w:rPr>
          <w:b/>
          <w:bCs/>
          <w:lang w:eastAsia="x-none"/>
        </w:rPr>
      </w:pPr>
      <w:hyperlink r:id="rId2140" w:history="1">
        <w:r w:rsidR="00AF7253">
          <w:rPr>
            <w:rStyle w:val="Hyperlink"/>
            <w:b/>
            <w:bCs/>
            <w:lang w:eastAsia="x-none"/>
          </w:rPr>
          <w:t>R1-2312580</w:t>
        </w:r>
      </w:hyperlink>
      <w:r w:rsidR="00B86E76" w:rsidRPr="00B86E76">
        <w:rPr>
          <w:b/>
          <w:bCs/>
          <w:lang w:eastAsia="x-none"/>
        </w:rPr>
        <w:tab/>
        <w:t>Session Notes for 8.16.10</w:t>
      </w:r>
      <w:r w:rsidR="00B86E76" w:rsidRPr="00B86E76">
        <w:rPr>
          <w:b/>
          <w:bCs/>
          <w:lang w:eastAsia="x-none"/>
        </w:rPr>
        <w:tab/>
        <w:t>Ad-Hoc Chair (NTT DOCOMO)</w:t>
      </w:r>
    </w:p>
    <w:p w14:paraId="1191509F" w14:textId="77777777" w:rsidR="00B86E76" w:rsidRPr="00663F3A" w:rsidRDefault="00B86E76" w:rsidP="00B86E76">
      <w:pPr>
        <w:rPr>
          <w:lang w:val="en-US" w:eastAsia="x-none"/>
        </w:rPr>
      </w:pPr>
      <w:r w:rsidRPr="00F05EFE">
        <w:rPr>
          <w:b/>
          <w:bCs/>
        </w:rPr>
        <w:t>Friday decision:</w:t>
      </w:r>
      <w:r>
        <w:t xml:space="preserve"> The </w:t>
      </w:r>
      <w:r>
        <w:rPr>
          <w:lang w:val="en-US" w:eastAsia="x-none"/>
        </w:rPr>
        <w:t>s</w:t>
      </w:r>
      <w:r w:rsidRPr="00663F3A">
        <w:rPr>
          <w:lang w:val="en-US" w:eastAsia="x-none"/>
        </w:rPr>
        <w:t>ession notes</w:t>
      </w:r>
      <w:r>
        <w:rPr>
          <w:lang w:val="en-US" w:eastAsia="x-none"/>
        </w:rPr>
        <w:t xml:space="preserve"> (all agreements reached during RAN1#115)</w:t>
      </w:r>
      <w:r w:rsidRPr="00663F3A">
        <w:rPr>
          <w:lang w:val="en-US" w:eastAsia="x-none"/>
        </w:rPr>
        <w:t xml:space="preserve"> are </w:t>
      </w:r>
      <w:r w:rsidRPr="00663F3A">
        <w:rPr>
          <w:highlight w:val="green"/>
          <w:lang w:val="en-US" w:eastAsia="x-none"/>
        </w:rPr>
        <w:t>endorsed</w:t>
      </w:r>
      <w:r w:rsidRPr="00663F3A">
        <w:rPr>
          <w:lang w:val="en-US" w:eastAsia="x-none"/>
        </w:rPr>
        <w:t>.</w:t>
      </w:r>
    </w:p>
    <w:p w14:paraId="562187E4" w14:textId="77777777" w:rsidR="00B86E76" w:rsidRPr="00B86E76" w:rsidRDefault="00B86E76" w:rsidP="00B86E76">
      <w:pPr>
        <w:rPr>
          <w:lang w:val="en-US"/>
        </w:rPr>
      </w:pPr>
    </w:p>
    <w:p w14:paraId="69206A2C" w14:textId="2E5B7C42" w:rsidR="00F74A6F" w:rsidRPr="009537ED" w:rsidRDefault="005A18DC" w:rsidP="00F74A6F">
      <w:pPr>
        <w:rPr>
          <w:lang w:eastAsia="x-none"/>
        </w:rPr>
      </w:pPr>
      <w:hyperlink r:id="rId2141" w:history="1">
        <w:r w:rsidR="00AF7253">
          <w:rPr>
            <w:rStyle w:val="Hyperlink"/>
            <w:lang w:eastAsia="x-none"/>
          </w:rPr>
          <w:t>R1-2310898</w:t>
        </w:r>
      </w:hyperlink>
      <w:r w:rsidR="00F74A6F" w:rsidRPr="009537ED">
        <w:rPr>
          <w:lang w:eastAsia="x-none"/>
        </w:rPr>
        <w:tab/>
        <w:t>On UE features for eDSS</w:t>
      </w:r>
      <w:r w:rsidR="00F74A6F" w:rsidRPr="009537ED">
        <w:rPr>
          <w:lang w:eastAsia="x-none"/>
        </w:rPr>
        <w:tab/>
        <w:t>Nokia, Nokia Shanghai Bell</w:t>
      </w:r>
    </w:p>
    <w:p w14:paraId="1B96188A" w14:textId="30F10A90" w:rsidR="00F74A6F" w:rsidRPr="009537ED" w:rsidRDefault="005A18DC" w:rsidP="00F74A6F">
      <w:pPr>
        <w:rPr>
          <w:lang w:eastAsia="x-none"/>
        </w:rPr>
      </w:pPr>
      <w:hyperlink r:id="rId2142" w:history="1">
        <w:r w:rsidR="00AF7253">
          <w:rPr>
            <w:rStyle w:val="Hyperlink"/>
            <w:lang w:eastAsia="x-none"/>
          </w:rPr>
          <w:t>R1-2311190</w:t>
        </w:r>
      </w:hyperlink>
      <w:r w:rsidR="00F74A6F" w:rsidRPr="009537ED">
        <w:rPr>
          <w:lang w:eastAsia="x-none"/>
        </w:rPr>
        <w:tab/>
        <w:t>Discussion on UE features for eDSS</w:t>
      </w:r>
      <w:r w:rsidR="00F74A6F" w:rsidRPr="009537ED">
        <w:rPr>
          <w:lang w:eastAsia="x-none"/>
        </w:rPr>
        <w:tab/>
        <w:t>Spreadtrum Communications</w:t>
      </w:r>
    </w:p>
    <w:p w14:paraId="683837F4" w14:textId="55E8DED2" w:rsidR="00F74A6F" w:rsidRDefault="005A18DC" w:rsidP="00F74A6F">
      <w:pPr>
        <w:rPr>
          <w:lang w:eastAsia="x-none"/>
        </w:rPr>
      </w:pPr>
      <w:hyperlink r:id="rId2143" w:history="1">
        <w:r w:rsidR="00AF7253">
          <w:rPr>
            <w:rStyle w:val="Hyperlink"/>
            <w:lang w:eastAsia="x-none"/>
          </w:rPr>
          <w:t>R1-2312153</w:t>
        </w:r>
      </w:hyperlink>
      <w:r w:rsidR="00F74A6F" w:rsidRPr="009537ED">
        <w:rPr>
          <w:lang w:eastAsia="x-none"/>
        </w:rPr>
        <w:tab/>
        <w:t>UE features for eDSS</w:t>
      </w:r>
      <w:r w:rsidR="00F74A6F" w:rsidRPr="009537ED">
        <w:rPr>
          <w:lang w:eastAsia="x-none"/>
        </w:rPr>
        <w:tab/>
        <w:t>Huawei, HiSilicon</w:t>
      </w:r>
    </w:p>
    <w:p w14:paraId="7855160A" w14:textId="77777777" w:rsidR="001359FB" w:rsidRDefault="001359FB" w:rsidP="00F74A6F">
      <w:pPr>
        <w:rPr>
          <w:lang w:eastAsia="x-none"/>
        </w:rPr>
      </w:pPr>
    </w:p>
    <w:p w14:paraId="30037982" w14:textId="3B9C7D08" w:rsidR="001359FB" w:rsidRDefault="005A18DC" w:rsidP="001359FB">
      <w:pPr>
        <w:rPr>
          <w:b/>
          <w:bCs/>
          <w:lang w:eastAsia="x-none"/>
        </w:rPr>
      </w:pPr>
      <w:hyperlink r:id="rId2144" w:history="1">
        <w:r w:rsidR="00AF7253">
          <w:rPr>
            <w:rStyle w:val="Hyperlink"/>
            <w:b/>
            <w:bCs/>
            <w:lang w:eastAsia="x-none"/>
          </w:rPr>
          <w:t>R1-2312588</w:t>
        </w:r>
      </w:hyperlink>
      <w:r w:rsidR="001359FB" w:rsidRPr="001359FB">
        <w:rPr>
          <w:b/>
          <w:bCs/>
          <w:lang w:eastAsia="x-none"/>
        </w:rPr>
        <w:tab/>
        <w:t>Summary on UE features for eDSS</w:t>
      </w:r>
      <w:r w:rsidR="001359FB" w:rsidRPr="001359FB">
        <w:rPr>
          <w:b/>
          <w:bCs/>
          <w:lang w:eastAsia="x-none"/>
        </w:rPr>
        <w:tab/>
        <w:t>Moderator (NTT DOCOMO)</w:t>
      </w:r>
    </w:p>
    <w:p w14:paraId="5F51552A" w14:textId="70B3F535" w:rsidR="00210F2F" w:rsidRPr="00065A8D" w:rsidRDefault="00210F2F" w:rsidP="00210F2F">
      <w:pPr>
        <w:rPr>
          <w:lang w:eastAsia="x-none"/>
        </w:rPr>
      </w:pPr>
      <w:bookmarkStart w:id="817" w:name="_Toc150174514"/>
      <w:r w:rsidRPr="00955F5C">
        <w:rPr>
          <w:lang w:eastAsia="x-none"/>
        </w:rPr>
        <w:t>This document presents the summary of email discussion [115-R18-UE_features-0</w:t>
      </w:r>
      <w:r>
        <w:rPr>
          <w:lang w:eastAsia="x-none"/>
        </w:rPr>
        <w:t>1</w:t>
      </w:r>
      <w:r w:rsidRPr="00955F5C">
        <w:rPr>
          <w:lang w:eastAsia="x-none"/>
        </w:rPr>
        <w:t xml:space="preserve">] </w:t>
      </w:r>
      <w:r>
        <w:rPr>
          <w:lang w:eastAsia="x-none"/>
        </w:rPr>
        <w:t xml:space="preserve">related to eDSS </w:t>
      </w:r>
      <w:r w:rsidRPr="00955F5C">
        <w:rPr>
          <w:lang w:eastAsia="x-none"/>
        </w:rPr>
        <w:t>during RAN1 #115.</w:t>
      </w:r>
    </w:p>
    <w:p w14:paraId="4FC772F7" w14:textId="77777777" w:rsidR="00F74A6F" w:rsidRDefault="00F74A6F" w:rsidP="00F74A6F">
      <w:pPr>
        <w:pStyle w:val="Heading3"/>
      </w:pPr>
      <w:bookmarkStart w:id="818" w:name="_Toc159251056"/>
      <w:r w:rsidRPr="009537ED">
        <w:t>UE features for NR NCR</w:t>
      </w:r>
      <w:bookmarkEnd w:id="817"/>
      <w:bookmarkEnd w:id="818"/>
    </w:p>
    <w:p w14:paraId="19AA1C45" w14:textId="32325D95" w:rsidR="0030612D" w:rsidRPr="0030612D" w:rsidRDefault="005A18DC" w:rsidP="0030612D">
      <w:pPr>
        <w:rPr>
          <w:b/>
          <w:bCs/>
          <w:lang w:val="en-US" w:eastAsia="x-none"/>
        </w:rPr>
      </w:pPr>
      <w:hyperlink r:id="rId2145" w:history="1">
        <w:r w:rsidR="00AF7253">
          <w:rPr>
            <w:rStyle w:val="Hyperlink"/>
            <w:b/>
            <w:bCs/>
            <w:lang w:val="en-US" w:eastAsia="x-none"/>
          </w:rPr>
          <w:t>R1-2312611</w:t>
        </w:r>
      </w:hyperlink>
      <w:r w:rsidR="0030612D" w:rsidRPr="0030612D">
        <w:rPr>
          <w:b/>
          <w:bCs/>
          <w:lang w:val="en-US" w:eastAsia="x-none"/>
        </w:rPr>
        <w:tab/>
        <w:t>Session Notes of AI 8.16.11</w:t>
      </w:r>
      <w:r w:rsidR="0030612D" w:rsidRPr="0030612D">
        <w:rPr>
          <w:b/>
          <w:bCs/>
          <w:lang w:val="en-US" w:eastAsia="x-none"/>
        </w:rPr>
        <w:tab/>
        <w:t>Ad-Hoc Chair (AT&amp;T)</w:t>
      </w:r>
    </w:p>
    <w:p w14:paraId="2E0B4D2C" w14:textId="77777777" w:rsidR="0030612D" w:rsidRPr="00663F3A" w:rsidRDefault="0030612D" w:rsidP="0030612D">
      <w:pPr>
        <w:rPr>
          <w:lang w:val="en-US" w:eastAsia="x-none"/>
        </w:rPr>
      </w:pPr>
      <w:r w:rsidRPr="00F05EFE">
        <w:rPr>
          <w:b/>
          <w:bCs/>
        </w:rPr>
        <w:t>Friday decision:</w:t>
      </w:r>
      <w:r>
        <w:t xml:space="preserve"> The </w:t>
      </w:r>
      <w:r>
        <w:rPr>
          <w:lang w:val="en-US" w:eastAsia="x-none"/>
        </w:rPr>
        <w:t>s</w:t>
      </w:r>
      <w:r w:rsidRPr="00663F3A">
        <w:rPr>
          <w:lang w:val="en-US" w:eastAsia="x-none"/>
        </w:rPr>
        <w:t>ession notes</w:t>
      </w:r>
      <w:r>
        <w:rPr>
          <w:lang w:val="en-US" w:eastAsia="x-none"/>
        </w:rPr>
        <w:t xml:space="preserve"> (all agreements reached during RAN1#115)</w:t>
      </w:r>
      <w:r w:rsidRPr="00663F3A">
        <w:rPr>
          <w:lang w:val="en-US" w:eastAsia="x-none"/>
        </w:rPr>
        <w:t xml:space="preserve"> are </w:t>
      </w:r>
      <w:r w:rsidRPr="00663F3A">
        <w:rPr>
          <w:highlight w:val="green"/>
          <w:lang w:val="en-US" w:eastAsia="x-none"/>
        </w:rPr>
        <w:t>endorsed</w:t>
      </w:r>
      <w:r w:rsidRPr="00663F3A">
        <w:rPr>
          <w:lang w:val="en-US" w:eastAsia="x-none"/>
        </w:rPr>
        <w:t>.</w:t>
      </w:r>
    </w:p>
    <w:p w14:paraId="22D937CB" w14:textId="77777777" w:rsidR="0030612D" w:rsidRPr="0030612D" w:rsidRDefault="0030612D" w:rsidP="0030612D">
      <w:pPr>
        <w:rPr>
          <w:lang w:val="en-US"/>
        </w:rPr>
      </w:pPr>
    </w:p>
    <w:p w14:paraId="31925A14" w14:textId="030295DB" w:rsidR="00F74A6F" w:rsidRPr="009537ED" w:rsidRDefault="005A18DC" w:rsidP="00F74A6F">
      <w:pPr>
        <w:rPr>
          <w:lang w:eastAsia="x-none"/>
        </w:rPr>
      </w:pPr>
      <w:hyperlink r:id="rId2146" w:history="1">
        <w:r w:rsidR="00AF7253">
          <w:rPr>
            <w:rStyle w:val="Hyperlink"/>
            <w:lang w:eastAsia="x-none"/>
          </w:rPr>
          <w:t>R1-2310862</w:t>
        </w:r>
      </w:hyperlink>
      <w:r w:rsidR="00F74A6F" w:rsidRPr="009537ED">
        <w:rPr>
          <w:lang w:eastAsia="x-none"/>
        </w:rPr>
        <w:tab/>
        <w:t>UE features for NR NCR</w:t>
      </w:r>
      <w:r w:rsidR="00F74A6F" w:rsidRPr="009537ED">
        <w:rPr>
          <w:lang w:eastAsia="x-none"/>
        </w:rPr>
        <w:tab/>
        <w:t>Huawei, HiSilicon</w:t>
      </w:r>
    </w:p>
    <w:p w14:paraId="56967DC4" w14:textId="3E039A8B" w:rsidR="00F74A6F" w:rsidRPr="009537ED" w:rsidRDefault="005A18DC" w:rsidP="00F74A6F">
      <w:pPr>
        <w:rPr>
          <w:lang w:eastAsia="x-none"/>
        </w:rPr>
      </w:pPr>
      <w:hyperlink r:id="rId2147" w:history="1">
        <w:r w:rsidR="00AF7253">
          <w:rPr>
            <w:rStyle w:val="Hyperlink"/>
            <w:lang w:eastAsia="x-none"/>
          </w:rPr>
          <w:t>R1-2310899</w:t>
        </w:r>
      </w:hyperlink>
      <w:r w:rsidR="00F74A6F" w:rsidRPr="009537ED">
        <w:rPr>
          <w:lang w:eastAsia="x-none"/>
        </w:rPr>
        <w:tab/>
        <w:t>On UE features for NR NCR</w:t>
      </w:r>
      <w:r w:rsidR="00F74A6F" w:rsidRPr="009537ED">
        <w:rPr>
          <w:lang w:eastAsia="x-none"/>
        </w:rPr>
        <w:tab/>
        <w:t>Nokia, Nokia Shanghai Bell</w:t>
      </w:r>
    </w:p>
    <w:p w14:paraId="6663B380" w14:textId="0D61DA4F" w:rsidR="00F74A6F" w:rsidRPr="009537ED" w:rsidRDefault="005A18DC" w:rsidP="00F74A6F">
      <w:pPr>
        <w:rPr>
          <w:lang w:eastAsia="x-none"/>
        </w:rPr>
      </w:pPr>
      <w:hyperlink r:id="rId2148" w:history="1">
        <w:r w:rsidR="00AF7253">
          <w:rPr>
            <w:rStyle w:val="Hyperlink"/>
            <w:lang w:eastAsia="x-none"/>
          </w:rPr>
          <w:t>R1-2311032</w:t>
        </w:r>
      </w:hyperlink>
      <w:r w:rsidR="00F74A6F" w:rsidRPr="009537ED">
        <w:rPr>
          <w:lang w:eastAsia="x-none"/>
        </w:rPr>
        <w:tab/>
        <w:t>UE-features for NR NCR</w:t>
      </w:r>
      <w:r w:rsidR="00F74A6F" w:rsidRPr="009537ED">
        <w:rPr>
          <w:lang w:eastAsia="x-none"/>
        </w:rPr>
        <w:tab/>
        <w:t>Ericsson</w:t>
      </w:r>
    </w:p>
    <w:p w14:paraId="19EA138A" w14:textId="75F7CAAD" w:rsidR="00F74A6F" w:rsidRPr="009537ED" w:rsidRDefault="005A18DC" w:rsidP="00F74A6F">
      <w:pPr>
        <w:rPr>
          <w:lang w:eastAsia="x-none"/>
        </w:rPr>
      </w:pPr>
      <w:hyperlink r:id="rId2149" w:history="1">
        <w:r w:rsidR="00AF7253">
          <w:rPr>
            <w:rStyle w:val="Hyperlink"/>
            <w:lang w:eastAsia="x-none"/>
          </w:rPr>
          <w:t>R1-2311761</w:t>
        </w:r>
      </w:hyperlink>
      <w:r w:rsidR="00F74A6F" w:rsidRPr="009537ED">
        <w:rPr>
          <w:lang w:eastAsia="x-none"/>
        </w:rPr>
        <w:tab/>
        <w:t>Discussion on NCR features</w:t>
      </w:r>
      <w:r w:rsidR="00F74A6F" w:rsidRPr="009537ED">
        <w:rPr>
          <w:lang w:eastAsia="x-none"/>
        </w:rPr>
        <w:tab/>
        <w:t>ETRI</w:t>
      </w:r>
    </w:p>
    <w:p w14:paraId="43FC4709" w14:textId="4CE7A48D" w:rsidR="00F74A6F" w:rsidRDefault="005A18DC" w:rsidP="00F74A6F">
      <w:pPr>
        <w:rPr>
          <w:lang w:eastAsia="x-none"/>
        </w:rPr>
      </w:pPr>
      <w:hyperlink r:id="rId2150" w:history="1">
        <w:r w:rsidR="00AF7253">
          <w:rPr>
            <w:rStyle w:val="Hyperlink"/>
            <w:lang w:eastAsia="x-none"/>
          </w:rPr>
          <w:t>R1-2311876</w:t>
        </w:r>
      </w:hyperlink>
      <w:r w:rsidR="00F74A6F" w:rsidRPr="009537ED">
        <w:rPr>
          <w:lang w:eastAsia="x-none"/>
        </w:rPr>
        <w:tab/>
        <w:t>UE feature for NR NCR</w:t>
      </w:r>
      <w:r w:rsidR="00F74A6F" w:rsidRPr="009537ED">
        <w:rPr>
          <w:lang w:eastAsia="x-none"/>
        </w:rPr>
        <w:tab/>
        <w:t>Samsung</w:t>
      </w:r>
    </w:p>
    <w:p w14:paraId="11355460" w14:textId="77777777" w:rsidR="00CB57AA" w:rsidRPr="009537ED" w:rsidRDefault="00CB57AA" w:rsidP="00F74A6F">
      <w:pPr>
        <w:rPr>
          <w:lang w:eastAsia="x-none"/>
        </w:rPr>
      </w:pPr>
    </w:p>
    <w:p w14:paraId="403DFD0F" w14:textId="0CF760EC" w:rsidR="00F74A6F" w:rsidRDefault="005A18DC" w:rsidP="00F74A6F">
      <w:pPr>
        <w:rPr>
          <w:b/>
          <w:bCs/>
          <w:lang w:eastAsia="x-none"/>
        </w:rPr>
      </w:pPr>
      <w:hyperlink r:id="rId2151" w:history="1">
        <w:r w:rsidR="00AF7253">
          <w:rPr>
            <w:rStyle w:val="Hyperlink"/>
            <w:b/>
            <w:bCs/>
            <w:lang w:eastAsia="x-none"/>
          </w:rPr>
          <w:t>R1-2312082</w:t>
        </w:r>
      </w:hyperlink>
      <w:r w:rsidR="00F74A6F" w:rsidRPr="00CB57AA">
        <w:rPr>
          <w:b/>
          <w:bCs/>
          <w:lang w:eastAsia="x-none"/>
        </w:rPr>
        <w:tab/>
        <w:t>Summary of UE features for NR NCR</w:t>
      </w:r>
      <w:r w:rsidR="00F74A6F" w:rsidRPr="00CB57AA">
        <w:rPr>
          <w:b/>
          <w:bCs/>
          <w:lang w:eastAsia="x-none"/>
        </w:rPr>
        <w:tab/>
        <w:t>Moderator (AT&amp;T)</w:t>
      </w:r>
    </w:p>
    <w:p w14:paraId="55113827" w14:textId="33D32567" w:rsidR="00CB57AA" w:rsidRPr="00065A8D" w:rsidRDefault="00CB57AA" w:rsidP="00CB57AA">
      <w:pPr>
        <w:rPr>
          <w:lang w:eastAsia="x-none"/>
        </w:rPr>
      </w:pPr>
      <w:bookmarkStart w:id="819" w:name="_Toc150174515"/>
      <w:r w:rsidRPr="00955F5C">
        <w:rPr>
          <w:lang w:eastAsia="x-none"/>
        </w:rPr>
        <w:t>This document presents the summary of email discussion [115-R18-UE_features-0</w:t>
      </w:r>
      <w:r>
        <w:rPr>
          <w:lang w:eastAsia="x-none"/>
        </w:rPr>
        <w:t>2</w:t>
      </w:r>
      <w:r w:rsidRPr="00955F5C">
        <w:rPr>
          <w:lang w:eastAsia="x-none"/>
        </w:rPr>
        <w:t xml:space="preserve">] </w:t>
      </w:r>
      <w:r>
        <w:rPr>
          <w:lang w:eastAsia="x-none"/>
        </w:rPr>
        <w:t xml:space="preserve">related to NCR </w:t>
      </w:r>
      <w:r w:rsidRPr="00955F5C">
        <w:rPr>
          <w:lang w:eastAsia="x-none"/>
        </w:rPr>
        <w:t>during RAN1 #115.</w:t>
      </w:r>
    </w:p>
    <w:p w14:paraId="25220BA8" w14:textId="77777777" w:rsidR="00F74A6F" w:rsidRDefault="00F74A6F" w:rsidP="00F74A6F">
      <w:pPr>
        <w:pStyle w:val="Heading3"/>
      </w:pPr>
      <w:bookmarkStart w:id="820" w:name="_Toc159251057"/>
      <w:r w:rsidRPr="009537ED">
        <w:t>UE features for MC enhancements</w:t>
      </w:r>
      <w:bookmarkEnd w:id="819"/>
      <w:bookmarkEnd w:id="820"/>
    </w:p>
    <w:p w14:paraId="051D90CA" w14:textId="716C4A82" w:rsidR="00B86E76" w:rsidRPr="00B86E76" w:rsidRDefault="005A18DC" w:rsidP="00B86E76">
      <w:pPr>
        <w:rPr>
          <w:b/>
          <w:bCs/>
          <w:lang w:eastAsia="x-none"/>
        </w:rPr>
      </w:pPr>
      <w:hyperlink r:id="rId2152" w:history="1">
        <w:r w:rsidR="00AF7253">
          <w:rPr>
            <w:rStyle w:val="Hyperlink"/>
            <w:b/>
            <w:bCs/>
            <w:lang w:eastAsia="x-none"/>
          </w:rPr>
          <w:t>R1-2312581</w:t>
        </w:r>
      </w:hyperlink>
      <w:r w:rsidR="00B86E76" w:rsidRPr="00B86E76">
        <w:rPr>
          <w:b/>
          <w:bCs/>
          <w:lang w:eastAsia="x-none"/>
        </w:rPr>
        <w:tab/>
        <w:t>Session Notes for 8.16.12</w:t>
      </w:r>
      <w:r w:rsidR="00B86E76" w:rsidRPr="00B86E76">
        <w:rPr>
          <w:b/>
          <w:bCs/>
          <w:lang w:eastAsia="x-none"/>
        </w:rPr>
        <w:tab/>
        <w:t>Ad-Hoc Chair (NTT DOCOMO)</w:t>
      </w:r>
    </w:p>
    <w:p w14:paraId="5A4838F9" w14:textId="77777777" w:rsidR="00B86E76" w:rsidRPr="00663F3A" w:rsidRDefault="00B86E76" w:rsidP="00B86E76">
      <w:pPr>
        <w:rPr>
          <w:lang w:val="en-US" w:eastAsia="x-none"/>
        </w:rPr>
      </w:pPr>
      <w:r w:rsidRPr="00F05EFE">
        <w:rPr>
          <w:b/>
          <w:bCs/>
        </w:rPr>
        <w:t>Friday decision:</w:t>
      </w:r>
      <w:r>
        <w:t xml:space="preserve"> The </w:t>
      </w:r>
      <w:r>
        <w:rPr>
          <w:lang w:val="en-US" w:eastAsia="x-none"/>
        </w:rPr>
        <w:t>s</w:t>
      </w:r>
      <w:r w:rsidRPr="00663F3A">
        <w:rPr>
          <w:lang w:val="en-US" w:eastAsia="x-none"/>
        </w:rPr>
        <w:t>ession notes</w:t>
      </w:r>
      <w:r>
        <w:rPr>
          <w:lang w:val="en-US" w:eastAsia="x-none"/>
        </w:rPr>
        <w:t xml:space="preserve"> (all agreements reached during RAN1#115)</w:t>
      </w:r>
      <w:r w:rsidRPr="00663F3A">
        <w:rPr>
          <w:lang w:val="en-US" w:eastAsia="x-none"/>
        </w:rPr>
        <w:t xml:space="preserve"> are </w:t>
      </w:r>
      <w:r w:rsidRPr="00663F3A">
        <w:rPr>
          <w:highlight w:val="green"/>
          <w:lang w:val="en-US" w:eastAsia="x-none"/>
        </w:rPr>
        <w:t>endorsed</w:t>
      </w:r>
      <w:r w:rsidRPr="00663F3A">
        <w:rPr>
          <w:lang w:val="en-US" w:eastAsia="x-none"/>
        </w:rPr>
        <w:t>.</w:t>
      </w:r>
    </w:p>
    <w:p w14:paraId="0AC00F74" w14:textId="77777777" w:rsidR="00B86E76" w:rsidRPr="00B86E76" w:rsidRDefault="00B86E76" w:rsidP="00B86E76">
      <w:pPr>
        <w:rPr>
          <w:lang w:val="en-US"/>
        </w:rPr>
      </w:pPr>
    </w:p>
    <w:p w14:paraId="2625F264" w14:textId="0A79270C" w:rsidR="00F74A6F" w:rsidRPr="009537ED" w:rsidRDefault="005A18DC" w:rsidP="00F74A6F">
      <w:pPr>
        <w:rPr>
          <w:lang w:eastAsia="x-none"/>
        </w:rPr>
      </w:pPr>
      <w:hyperlink r:id="rId2153" w:history="1">
        <w:r w:rsidR="00AF7253">
          <w:rPr>
            <w:rStyle w:val="Hyperlink"/>
            <w:lang w:eastAsia="x-none"/>
          </w:rPr>
          <w:t>R1-2310886</w:t>
        </w:r>
      </w:hyperlink>
      <w:r w:rsidR="00F74A6F" w:rsidRPr="009537ED">
        <w:rPr>
          <w:lang w:eastAsia="x-none"/>
        </w:rPr>
        <w:tab/>
        <w:t>Discussion on UE features for MC enhancements</w:t>
      </w:r>
      <w:r w:rsidR="00F74A6F" w:rsidRPr="009537ED">
        <w:rPr>
          <w:lang w:eastAsia="x-none"/>
        </w:rPr>
        <w:tab/>
        <w:t>Huawei, HiSilicon</w:t>
      </w:r>
    </w:p>
    <w:p w14:paraId="18D0AF50" w14:textId="03D1BE9C" w:rsidR="00F74A6F" w:rsidRPr="009537ED" w:rsidRDefault="005A18DC" w:rsidP="00F74A6F">
      <w:pPr>
        <w:rPr>
          <w:lang w:eastAsia="x-none"/>
        </w:rPr>
      </w:pPr>
      <w:hyperlink r:id="rId2154" w:history="1">
        <w:r w:rsidR="00AF7253">
          <w:rPr>
            <w:rStyle w:val="Hyperlink"/>
            <w:lang w:eastAsia="x-none"/>
          </w:rPr>
          <w:t>R1-2310900</w:t>
        </w:r>
      </w:hyperlink>
      <w:r w:rsidR="00F74A6F" w:rsidRPr="009537ED">
        <w:rPr>
          <w:lang w:eastAsia="x-none"/>
        </w:rPr>
        <w:tab/>
        <w:t>On UE features for MC enhancements</w:t>
      </w:r>
      <w:r w:rsidR="00F74A6F" w:rsidRPr="009537ED">
        <w:rPr>
          <w:lang w:eastAsia="x-none"/>
        </w:rPr>
        <w:tab/>
        <w:t>Nokia, Nokia Shanghai Bell</w:t>
      </w:r>
    </w:p>
    <w:p w14:paraId="18E24065" w14:textId="08B7F1E1" w:rsidR="00F74A6F" w:rsidRPr="009537ED" w:rsidRDefault="005A18DC" w:rsidP="00F74A6F">
      <w:pPr>
        <w:rPr>
          <w:lang w:eastAsia="x-none"/>
        </w:rPr>
      </w:pPr>
      <w:hyperlink r:id="rId2155" w:history="1">
        <w:r w:rsidR="00AF7253">
          <w:rPr>
            <w:rStyle w:val="Hyperlink"/>
            <w:lang w:eastAsia="x-none"/>
          </w:rPr>
          <w:t>R1-2311028</w:t>
        </w:r>
      </w:hyperlink>
      <w:r w:rsidR="00F74A6F" w:rsidRPr="009537ED">
        <w:rPr>
          <w:lang w:eastAsia="x-none"/>
        </w:rPr>
        <w:tab/>
        <w:t>Discussion on UE feature for MC enhancements</w:t>
      </w:r>
      <w:r w:rsidR="00F74A6F" w:rsidRPr="009537ED">
        <w:rPr>
          <w:lang w:eastAsia="x-none"/>
        </w:rPr>
        <w:tab/>
        <w:t>ZTE</w:t>
      </w:r>
    </w:p>
    <w:p w14:paraId="3ACD1C3D" w14:textId="38AB4FEA" w:rsidR="00F74A6F" w:rsidRPr="009537ED" w:rsidRDefault="005A18DC" w:rsidP="00F74A6F">
      <w:pPr>
        <w:rPr>
          <w:lang w:eastAsia="x-none"/>
        </w:rPr>
      </w:pPr>
      <w:hyperlink r:id="rId2156" w:history="1">
        <w:r w:rsidR="00AF7253">
          <w:rPr>
            <w:rStyle w:val="Hyperlink"/>
            <w:lang w:eastAsia="x-none"/>
          </w:rPr>
          <w:t>R1-2311125</w:t>
        </w:r>
      </w:hyperlink>
      <w:r w:rsidR="00F74A6F" w:rsidRPr="009537ED">
        <w:rPr>
          <w:lang w:eastAsia="x-none"/>
        </w:rPr>
        <w:tab/>
        <w:t>Discussion on Rel-18 Multi-carrier enhancements UE features</w:t>
      </w:r>
      <w:r w:rsidR="00F74A6F" w:rsidRPr="009537ED">
        <w:rPr>
          <w:lang w:eastAsia="x-none"/>
        </w:rPr>
        <w:tab/>
        <w:t>vivo</w:t>
      </w:r>
    </w:p>
    <w:p w14:paraId="69C116D1" w14:textId="63425F88" w:rsidR="00F74A6F" w:rsidRPr="009537ED" w:rsidRDefault="005A18DC" w:rsidP="00F74A6F">
      <w:pPr>
        <w:rPr>
          <w:lang w:eastAsia="x-none"/>
        </w:rPr>
      </w:pPr>
      <w:hyperlink r:id="rId2157" w:history="1">
        <w:r w:rsidR="00AF7253">
          <w:rPr>
            <w:rStyle w:val="Hyperlink"/>
            <w:lang w:eastAsia="x-none"/>
          </w:rPr>
          <w:t>R1-2311191</w:t>
        </w:r>
      </w:hyperlink>
      <w:r w:rsidR="00F74A6F" w:rsidRPr="009537ED">
        <w:rPr>
          <w:lang w:eastAsia="x-none"/>
        </w:rPr>
        <w:tab/>
        <w:t>Discussion on UE features for multi-carrier enhancement</w:t>
      </w:r>
      <w:r w:rsidR="00F74A6F" w:rsidRPr="009537ED">
        <w:rPr>
          <w:lang w:eastAsia="x-none"/>
        </w:rPr>
        <w:tab/>
        <w:t>Spreadtrum Communications</w:t>
      </w:r>
    </w:p>
    <w:p w14:paraId="2F9534C8" w14:textId="6400B8CE" w:rsidR="00F74A6F" w:rsidRPr="009537ED" w:rsidRDefault="005A18DC" w:rsidP="00F74A6F">
      <w:pPr>
        <w:rPr>
          <w:lang w:eastAsia="x-none"/>
        </w:rPr>
      </w:pPr>
      <w:hyperlink r:id="rId2158" w:history="1">
        <w:r w:rsidR="00AF7253">
          <w:rPr>
            <w:rStyle w:val="Hyperlink"/>
            <w:lang w:eastAsia="x-none"/>
          </w:rPr>
          <w:t>R1-2311279</w:t>
        </w:r>
      </w:hyperlink>
      <w:r w:rsidR="00F74A6F" w:rsidRPr="009537ED">
        <w:rPr>
          <w:lang w:eastAsia="x-none"/>
        </w:rPr>
        <w:tab/>
        <w:t>Discussion on UE features for multi-carrier enhancement</w:t>
      </w:r>
      <w:r w:rsidR="00F74A6F" w:rsidRPr="009537ED">
        <w:rPr>
          <w:lang w:eastAsia="x-none"/>
        </w:rPr>
        <w:tab/>
        <w:t>OPPO</w:t>
      </w:r>
    </w:p>
    <w:p w14:paraId="0A16A2DE" w14:textId="0C3A61BE" w:rsidR="00F74A6F" w:rsidRPr="009537ED" w:rsidRDefault="005A18DC" w:rsidP="00F74A6F">
      <w:pPr>
        <w:rPr>
          <w:lang w:eastAsia="x-none"/>
        </w:rPr>
      </w:pPr>
      <w:hyperlink r:id="rId2159" w:history="1">
        <w:r w:rsidR="00AF7253">
          <w:rPr>
            <w:rStyle w:val="Hyperlink"/>
            <w:lang w:eastAsia="x-none"/>
          </w:rPr>
          <w:t>R1-2311393</w:t>
        </w:r>
      </w:hyperlink>
      <w:r w:rsidR="00F74A6F" w:rsidRPr="009537ED">
        <w:rPr>
          <w:lang w:eastAsia="x-none"/>
        </w:rPr>
        <w:tab/>
        <w:t>Discussion on UE features for MC enhancements</w:t>
      </w:r>
      <w:r w:rsidR="00F74A6F" w:rsidRPr="009537ED">
        <w:rPr>
          <w:lang w:eastAsia="x-none"/>
        </w:rPr>
        <w:tab/>
        <w:t>xiaomi</w:t>
      </w:r>
    </w:p>
    <w:p w14:paraId="2172D9B2" w14:textId="121A92DB" w:rsidR="00F74A6F" w:rsidRPr="009537ED" w:rsidRDefault="005A18DC" w:rsidP="00F74A6F">
      <w:pPr>
        <w:rPr>
          <w:lang w:eastAsia="x-none"/>
        </w:rPr>
      </w:pPr>
      <w:hyperlink r:id="rId2160" w:history="1">
        <w:r w:rsidR="00AF7253">
          <w:rPr>
            <w:rStyle w:val="Hyperlink"/>
            <w:lang w:eastAsia="x-none"/>
          </w:rPr>
          <w:t>R1-2311651</w:t>
        </w:r>
      </w:hyperlink>
      <w:r w:rsidR="00F74A6F" w:rsidRPr="009537ED">
        <w:rPr>
          <w:lang w:eastAsia="x-none"/>
        </w:rPr>
        <w:tab/>
        <w:t>Discussion on UE features for Multi-carrier enhancements</w:t>
      </w:r>
      <w:r w:rsidR="00F74A6F" w:rsidRPr="009537ED">
        <w:rPr>
          <w:lang w:eastAsia="x-none"/>
        </w:rPr>
        <w:tab/>
        <w:t>NTT DOCOMO, INC.</w:t>
      </w:r>
    </w:p>
    <w:p w14:paraId="4E163A3C" w14:textId="4F375662" w:rsidR="00F74A6F" w:rsidRPr="009537ED" w:rsidRDefault="005A18DC" w:rsidP="00F74A6F">
      <w:pPr>
        <w:rPr>
          <w:lang w:eastAsia="x-none"/>
        </w:rPr>
      </w:pPr>
      <w:hyperlink r:id="rId2161" w:history="1">
        <w:r w:rsidR="00AF7253">
          <w:rPr>
            <w:rStyle w:val="Hyperlink"/>
            <w:lang w:eastAsia="x-none"/>
          </w:rPr>
          <w:t>R1-2311714</w:t>
        </w:r>
      </w:hyperlink>
      <w:r w:rsidR="00F74A6F" w:rsidRPr="009537ED">
        <w:rPr>
          <w:lang w:eastAsia="x-none"/>
        </w:rPr>
        <w:tab/>
        <w:t>Views on UE features for Rel-18 MC enhancements</w:t>
      </w:r>
      <w:r w:rsidR="00F74A6F" w:rsidRPr="009537ED">
        <w:rPr>
          <w:lang w:eastAsia="x-none"/>
        </w:rPr>
        <w:tab/>
        <w:t>Apple</w:t>
      </w:r>
    </w:p>
    <w:p w14:paraId="45C4EEF5" w14:textId="36F35035" w:rsidR="00F74A6F" w:rsidRPr="009537ED" w:rsidRDefault="005A18DC" w:rsidP="00F74A6F">
      <w:pPr>
        <w:rPr>
          <w:lang w:eastAsia="x-none"/>
        </w:rPr>
      </w:pPr>
      <w:hyperlink r:id="rId2162" w:history="1">
        <w:r w:rsidR="00AF7253">
          <w:rPr>
            <w:rStyle w:val="Hyperlink"/>
            <w:lang w:eastAsia="x-none"/>
          </w:rPr>
          <w:t>R1-2311877</w:t>
        </w:r>
      </w:hyperlink>
      <w:r w:rsidR="00F74A6F" w:rsidRPr="009537ED">
        <w:rPr>
          <w:lang w:eastAsia="x-none"/>
        </w:rPr>
        <w:tab/>
        <w:t>UE features for multi-carrier enhancements</w:t>
      </w:r>
      <w:r w:rsidR="00F74A6F" w:rsidRPr="009537ED">
        <w:rPr>
          <w:lang w:eastAsia="x-none"/>
        </w:rPr>
        <w:tab/>
        <w:t>Samsung</w:t>
      </w:r>
    </w:p>
    <w:p w14:paraId="2F0FFAB5" w14:textId="6350FD7E" w:rsidR="00F74A6F" w:rsidRPr="009537ED" w:rsidRDefault="005A18DC" w:rsidP="00F74A6F">
      <w:pPr>
        <w:rPr>
          <w:lang w:eastAsia="x-none"/>
        </w:rPr>
      </w:pPr>
      <w:hyperlink r:id="rId2163" w:history="1">
        <w:r w:rsidR="00AF7253">
          <w:rPr>
            <w:rStyle w:val="Hyperlink"/>
            <w:lang w:eastAsia="x-none"/>
          </w:rPr>
          <w:t>R1-2311903</w:t>
        </w:r>
      </w:hyperlink>
      <w:r w:rsidR="00F74A6F" w:rsidRPr="009537ED">
        <w:rPr>
          <w:lang w:eastAsia="x-none"/>
        </w:rPr>
        <w:tab/>
        <w:t>Discussion on UE features for MC enhancements</w:t>
      </w:r>
      <w:r w:rsidR="00F74A6F" w:rsidRPr="009537ED">
        <w:rPr>
          <w:lang w:eastAsia="x-none"/>
        </w:rPr>
        <w:tab/>
        <w:t>LG Electronics</w:t>
      </w:r>
    </w:p>
    <w:p w14:paraId="1311B318" w14:textId="5B7BE3A6" w:rsidR="00F74A6F" w:rsidRPr="009537ED" w:rsidRDefault="005A18DC" w:rsidP="00F74A6F">
      <w:pPr>
        <w:rPr>
          <w:lang w:eastAsia="x-none"/>
        </w:rPr>
      </w:pPr>
      <w:hyperlink r:id="rId2164" w:history="1">
        <w:r w:rsidR="00AF7253">
          <w:rPr>
            <w:rStyle w:val="Hyperlink"/>
            <w:lang w:eastAsia="x-none"/>
          </w:rPr>
          <w:t>R1-2311991</w:t>
        </w:r>
      </w:hyperlink>
      <w:r w:rsidR="00F74A6F" w:rsidRPr="009537ED">
        <w:rPr>
          <w:lang w:eastAsia="x-none"/>
        </w:rPr>
        <w:tab/>
        <w:t>On UE feature discussion for Rel-18 multi-carrier enhancement</w:t>
      </w:r>
      <w:r w:rsidR="00F74A6F" w:rsidRPr="009537ED">
        <w:rPr>
          <w:lang w:eastAsia="x-none"/>
        </w:rPr>
        <w:tab/>
        <w:t>MediaTek Inc.</w:t>
      </w:r>
    </w:p>
    <w:p w14:paraId="2910622F" w14:textId="3C36E1B5" w:rsidR="00F74A6F" w:rsidRPr="009537ED" w:rsidRDefault="005A18DC" w:rsidP="00F74A6F">
      <w:pPr>
        <w:rPr>
          <w:lang w:eastAsia="x-none"/>
        </w:rPr>
      </w:pPr>
      <w:hyperlink r:id="rId2165" w:history="1">
        <w:r w:rsidR="00AF7253">
          <w:rPr>
            <w:rStyle w:val="Hyperlink"/>
            <w:lang w:eastAsia="x-none"/>
          </w:rPr>
          <w:t>R1-2312070</w:t>
        </w:r>
      </w:hyperlink>
      <w:r w:rsidR="00F74A6F" w:rsidRPr="009537ED">
        <w:rPr>
          <w:lang w:eastAsia="x-none"/>
        </w:rPr>
        <w:tab/>
        <w:t>UE features for MC enhancements</w:t>
      </w:r>
      <w:r w:rsidR="00F74A6F" w:rsidRPr="009537ED">
        <w:rPr>
          <w:lang w:eastAsia="x-none"/>
        </w:rPr>
        <w:tab/>
        <w:t>Qualcomm Incorporated</w:t>
      </w:r>
    </w:p>
    <w:p w14:paraId="74935CF8" w14:textId="28EC4D43" w:rsidR="00F74A6F" w:rsidRDefault="005A18DC" w:rsidP="00F74A6F">
      <w:pPr>
        <w:rPr>
          <w:lang w:eastAsia="x-none"/>
        </w:rPr>
      </w:pPr>
      <w:hyperlink r:id="rId2166" w:history="1">
        <w:r w:rsidR="00AF7253">
          <w:rPr>
            <w:rStyle w:val="Hyperlink"/>
            <w:lang w:eastAsia="x-none"/>
          </w:rPr>
          <w:t>R1-2312104</w:t>
        </w:r>
      </w:hyperlink>
      <w:r w:rsidR="00F74A6F" w:rsidRPr="009537ED">
        <w:rPr>
          <w:lang w:eastAsia="x-none"/>
        </w:rPr>
        <w:tab/>
        <w:t>UE features for Rel-18 multi-carrier enhancements</w:t>
      </w:r>
      <w:r w:rsidR="00F74A6F" w:rsidRPr="009537ED">
        <w:rPr>
          <w:lang w:eastAsia="x-none"/>
        </w:rPr>
        <w:tab/>
        <w:t>Ericsson</w:t>
      </w:r>
    </w:p>
    <w:p w14:paraId="6B16CD07" w14:textId="77777777" w:rsidR="001359FB" w:rsidRDefault="001359FB" w:rsidP="00F74A6F">
      <w:pPr>
        <w:rPr>
          <w:lang w:eastAsia="x-none"/>
        </w:rPr>
      </w:pPr>
    </w:p>
    <w:p w14:paraId="58C06D26" w14:textId="244EBA27" w:rsidR="001359FB" w:rsidRDefault="005A18DC" w:rsidP="001359FB">
      <w:pPr>
        <w:rPr>
          <w:b/>
          <w:bCs/>
          <w:lang w:eastAsia="x-none"/>
        </w:rPr>
      </w:pPr>
      <w:hyperlink r:id="rId2167" w:history="1">
        <w:r w:rsidR="00AF7253">
          <w:rPr>
            <w:rStyle w:val="Hyperlink"/>
            <w:b/>
            <w:bCs/>
            <w:lang w:eastAsia="x-none"/>
          </w:rPr>
          <w:t>R1-2312589</w:t>
        </w:r>
      </w:hyperlink>
      <w:r w:rsidR="001359FB" w:rsidRPr="001359FB">
        <w:rPr>
          <w:b/>
          <w:bCs/>
          <w:lang w:eastAsia="x-none"/>
        </w:rPr>
        <w:tab/>
        <w:t>Summary on UE features for MC enhancements</w:t>
      </w:r>
      <w:r w:rsidR="001359FB" w:rsidRPr="001359FB">
        <w:rPr>
          <w:b/>
          <w:bCs/>
          <w:lang w:eastAsia="x-none"/>
        </w:rPr>
        <w:tab/>
        <w:t>Moderator (NTT DOCOMO)</w:t>
      </w:r>
    </w:p>
    <w:p w14:paraId="54BF0959" w14:textId="0214F4E6" w:rsidR="00CB57AA" w:rsidRPr="00065A8D" w:rsidRDefault="00CB57AA" w:rsidP="00CB57AA">
      <w:pPr>
        <w:rPr>
          <w:lang w:eastAsia="x-none"/>
        </w:rPr>
      </w:pPr>
      <w:bookmarkStart w:id="821" w:name="_Toc150174516"/>
      <w:r w:rsidRPr="00955F5C">
        <w:rPr>
          <w:lang w:eastAsia="x-none"/>
        </w:rPr>
        <w:t>This document presents the summary of email discussion [115-R18-UE_features-0</w:t>
      </w:r>
      <w:r>
        <w:rPr>
          <w:lang w:eastAsia="x-none"/>
        </w:rPr>
        <w:t>1</w:t>
      </w:r>
      <w:r w:rsidRPr="00955F5C">
        <w:rPr>
          <w:lang w:eastAsia="x-none"/>
        </w:rPr>
        <w:t xml:space="preserve">] </w:t>
      </w:r>
      <w:r>
        <w:rPr>
          <w:lang w:eastAsia="x-none"/>
        </w:rPr>
        <w:t xml:space="preserve">related to MC ench </w:t>
      </w:r>
      <w:r w:rsidRPr="00955F5C">
        <w:rPr>
          <w:lang w:eastAsia="x-none"/>
        </w:rPr>
        <w:t>during RAN1 #115.</w:t>
      </w:r>
    </w:p>
    <w:p w14:paraId="54628343" w14:textId="77777777" w:rsidR="00F74A6F" w:rsidRDefault="00F74A6F" w:rsidP="00F74A6F">
      <w:pPr>
        <w:pStyle w:val="Heading3"/>
      </w:pPr>
      <w:bookmarkStart w:id="822" w:name="_Toc159251058"/>
      <w:r w:rsidRPr="009537ED">
        <w:t>UE features for IoT NTN enhancements</w:t>
      </w:r>
      <w:bookmarkEnd w:id="821"/>
      <w:bookmarkEnd w:id="822"/>
    </w:p>
    <w:p w14:paraId="2032B8D6" w14:textId="2BE1AA23" w:rsidR="0030612D" w:rsidRPr="0030612D" w:rsidRDefault="005A18DC" w:rsidP="0030612D">
      <w:pPr>
        <w:rPr>
          <w:b/>
          <w:bCs/>
          <w:lang w:val="en-US" w:eastAsia="x-none"/>
        </w:rPr>
      </w:pPr>
      <w:hyperlink r:id="rId2168" w:history="1">
        <w:r w:rsidR="00AF7253">
          <w:rPr>
            <w:rStyle w:val="Hyperlink"/>
            <w:b/>
            <w:bCs/>
            <w:lang w:val="en-US" w:eastAsia="x-none"/>
          </w:rPr>
          <w:t>R1-2312614</w:t>
        </w:r>
      </w:hyperlink>
      <w:r w:rsidR="0030612D" w:rsidRPr="0030612D">
        <w:rPr>
          <w:b/>
          <w:bCs/>
          <w:lang w:val="en-US" w:eastAsia="x-none"/>
        </w:rPr>
        <w:tab/>
        <w:t>Session Notes of AI 8.16.13</w:t>
      </w:r>
      <w:r w:rsidR="0030612D" w:rsidRPr="0030612D">
        <w:rPr>
          <w:b/>
          <w:bCs/>
          <w:lang w:val="en-US" w:eastAsia="x-none"/>
        </w:rPr>
        <w:tab/>
        <w:t>Ad-Hoc Chair (AT&amp;T)</w:t>
      </w:r>
    </w:p>
    <w:p w14:paraId="54E9B711" w14:textId="77777777" w:rsidR="0030612D" w:rsidRPr="00663F3A" w:rsidRDefault="0030612D" w:rsidP="0030612D">
      <w:pPr>
        <w:rPr>
          <w:lang w:val="en-US" w:eastAsia="x-none"/>
        </w:rPr>
      </w:pPr>
      <w:r w:rsidRPr="00F05EFE">
        <w:rPr>
          <w:b/>
          <w:bCs/>
        </w:rPr>
        <w:t>Friday decision:</w:t>
      </w:r>
      <w:r>
        <w:t xml:space="preserve"> The </w:t>
      </w:r>
      <w:r>
        <w:rPr>
          <w:lang w:val="en-US" w:eastAsia="x-none"/>
        </w:rPr>
        <w:t>s</w:t>
      </w:r>
      <w:r w:rsidRPr="00663F3A">
        <w:rPr>
          <w:lang w:val="en-US" w:eastAsia="x-none"/>
        </w:rPr>
        <w:t>ession notes</w:t>
      </w:r>
      <w:r>
        <w:rPr>
          <w:lang w:val="en-US" w:eastAsia="x-none"/>
        </w:rPr>
        <w:t xml:space="preserve"> (all agreements reached during RAN1#115)</w:t>
      </w:r>
      <w:r w:rsidRPr="00663F3A">
        <w:rPr>
          <w:lang w:val="en-US" w:eastAsia="x-none"/>
        </w:rPr>
        <w:t xml:space="preserve"> are </w:t>
      </w:r>
      <w:r w:rsidRPr="00663F3A">
        <w:rPr>
          <w:highlight w:val="green"/>
          <w:lang w:val="en-US" w:eastAsia="x-none"/>
        </w:rPr>
        <w:t>endorsed</w:t>
      </w:r>
      <w:r w:rsidRPr="00663F3A">
        <w:rPr>
          <w:lang w:val="en-US" w:eastAsia="x-none"/>
        </w:rPr>
        <w:t>.</w:t>
      </w:r>
    </w:p>
    <w:p w14:paraId="525EF6E6" w14:textId="77777777" w:rsidR="0030612D" w:rsidRPr="0030612D" w:rsidRDefault="0030612D" w:rsidP="0030612D">
      <w:pPr>
        <w:rPr>
          <w:lang w:val="en-US"/>
        </w:rPr>
      </w:pPr>
    </w:p>
    <w:p w14:paraId="62529434" w14:textId="4FA2B98E" w:rsidR="00F74A6F" w:rsidRPr="009537ED" w:rsidRDefault="005A18DC" w:rsidP="00F74A6F">
      <w:pPr>
        <w:rPr>
          <w:lang w:eastAsia="x-none"/>
        </w:rPr>
      </w:pPr>
      <w:hyperlink r:id="rId2169" w:history="1">
        <w:r w:rsidR="00AF7253">
          <w:rPr>
            <w:rStyle w:val="Hyperlink"/>
            <w:lang w:eastAsia="x-none"/>
          </w:rPr>
          <w:t>R1-2310881</w:t>
        </w:r>
      </w:hyperlink>
      <w:r w:rsidR="00F74A6F" w:rsidRPr="009537ED">
        <w:rPr>
          <w:lang w:eastAsia="x-none"/>
        </w:rPr>
        <w:tab/>
        <w:t>UE features for IoT NTN enhancements</w:t>
      </w:r>
      <w:r w:rsidR="00F74A6F" w:rsidRPr="009537ED">
        <w:rPr>
          <w:lang w:eastAsia="x-none"/>
        </w:rPr>
        <w:tab/>
        <w:t>Huawei, HiSilicon</w:t>
      </w:r>
    </w:p>
    <w:p w14:paraId="150C7A31" w14:textId="47B1825A" w:rsidR="00F74A6F" w:rsidRPr="009537ED" w:rsidRDefault="005A18DC" w:rsidP="00F74A6F">
      <w:pPr>
        <w:rPr>
          <w:lang w:eastAsia="x-none"/>
        </w:rPr>
      </w:pPr>
      <w:hyperlink r:id="rId2170" w:history="1">
        <w:r w:rsidR="00AF7253">
          <w:rPr>
            <w:rStyle w:val="Hyperlink"/>
            <w:lang w:eastAsia="x-none"/>
          </w:rPr>
          <w:t>R1-2310901</w:t>
        </w:r>
      </w:hyperlink>
      <w:r w:rsidR="00F74A6F" w:rsidRPr="009537ED">
        <w:rPr>
          <w:lang w:eastAsia="x-none"/>
        </w:rPr>
        <w:tab/>
        <w:t>On UE features for IoT NTN enhancements</w:t>
      </w:r>
      <w:r w:rsidR="00F74A6F" w:rsidRPr="009537ED">
        <w:rPr>
          <w:lang w:eastAsia="x-none"/>
        </w:rPr>
        <w:tab/>
        <w:t>Nokia, Nokia Shanghai Bell</w:t>
      </w:r>
    </w:p>
    <w:p w14:paraId="1AB8617A" w14:textId="28D5869B" w:rsidR="00F74A6F" w:rsidRPr="009537ED" w:rsidRDefault="005A18DC" w:rsidP="00F74A6F">
      <w:pPr>
        <w:rPr>
          <w:lang w:eastAsia="x-none"/>
        </w:rPr>
      </w:pPr>
      <w:hyperlink r:id="rId2171" w:history="1">
        <w:r w:rsidR="00AF7253">
          <w:rPr>
            <w:rStyle w:val="Hyperlink"/>
            <w:lang w:eastAsia="x-none"/>
          </w:rPr>
          <w:t>R1-2310967</w:t>
        </w:r>
      </w:hyperlink>
      <w:r w:rsidR="00F74A6F" w:rsidRPr="009537ED">
        <w:rPr>
          <w:lang w:eastAsia="x-none"/>
        </w:rPr>
        <w:tab/>
        <w:t>On UE features for IoT NTN enhancements</w:t>
      </w:r>
      <w:r w:rsidR="00F74A6F" w:rsidRPr="009537ED">
        <w:rPr>
          <w:lang w:eastAsia="x-none"/>
        </w:rPr>
        <w:tab/>
        <w:t>Ericsson</w:t>
      </w:r>
    </w:p>
    <w:p w14:paraId="2E803739" w14:textId="1E82B18A" w:rsidR="00F74A6F" w:rsidRPr="009537ED" w:rsidRDefault="005A18DC" w:rsidP="00F74A6F">
      <w:pPr>
        <w:rPr>
          <w:lang w:eastAsia="x-none"/>
        </w:rPr>
      </w:pPr>
      <w:hyperlink r:id="rId2172" w:history="1">
        <w:r w:rsidR="00AF7253">
          <w:rPr>
            <w:rStyle w:val="Hyperlink"/>
            <w:lang w:eastAsia="x-none"/>
          </w:rPr>
          <w:t>R1-2311192</w:t>
        </w:r>
      </w:hyperlink>
      <w:r w:rsidR="00F74A6F" w:rsidRPr="009537ED">
        <w:rPr>
          <w:lang w:eastAsia="x-none"/>
        </w:rPr>
        <w:tab/>
        <w:t>Discussion on UE features for IoT NTN enhancements</w:t>
      </w:r>
      <w:r w:rsidR="00F74A6F" w:rsidRPr="009537ED">
        <w:rPr>
          <w:lang w:eastAsia="x-none"/>
        </w:rPr>
        <w:tab/>
        <w:t>Spreadtrum Communications</w:t>
      </w:r>
    </w:p>
    <w:p w14:paraId="07D35E80" w14:textId="4730CFFB" w:rsidR="00F74A6F" w:rsidRPr="009537ED" w:rsidRDefault="005A18DC" w:rsidP="00F74A6F">
      <w:pPr>
        <w:rPr>
          <w:lang w:eastAsia="x-none"/>
        </w:rPr>
      </w:pPr>
      <w:hyperlink r:id="rId2173" w:history="1">
        <w:r w:rsidR="00AF7253">
          <w:rPr>
            <w:rStyle w:val="Hyperlink"/>
            <w:lang w:eastAsia="x-none"/>
          </w:rPr>
          <w:t>R1-2311207</w:t>
        </w:r>
      </w:hyperlink>
      <w:r w:rsidR="00F74A6F" w:rsidRPr="009537ED">
        <w:rPr>
          <w:lang w:eastAsia="x-none"/>
        </w:rPr>
        <w:tab/>
        <w:t>Discussion on UE features for IoT-NTN</w:t>
      </w:r>
      <w:r w:rsidR="00F74A6F" w:rsidRPr="009537ED">
        <w:rPr>
          <w:lang w:eastAsia="x-none"/>
        </w:rPr>
        <w:tab/>
        <w:t>ZTE</w:t>
      </w:r>
    </w:p>
    <w:p w14:paraId="52DD1157" w14:textId="6C32CA74" w:rsidR="00F74A6F" w:rsidRPr="009537ED" w:rsidRDefault="005A18DC" w:rsidP="00F74A6F">
      <w:pPr>
        <w:rPr>
          <w:lang w:eastAsia="x-none"/>
        </w:rPr>
      </w:pPr>
      <w:hyperlink r:id="rId2174" w:history="1">
        <w:r w:rsidR="00AF7253">
          <w:rPr>
            <w:rStyle w:val="Hyperlink"/>
            <w:lang w:eastAsia="x-none"/>
          </w:rPr>
          <w:t>R1-2311255</w:t>
        </w:r>
      </w:hyperlink>
      <w:r w:rsidR="00F74A6F" w:rsidRPr="009537ED">
        <w:rPr>
          <w:lang w:eastAsia="x-none"/>
        </w:rPr>
        <w:tab/>
        <w:t>Discussion on UE features for IoT NTN enhancements</w:t>
      </w:r>
      <w:r w:rsidR="00F74A6F" w:rsidRPr="009537ED">
        <w:rPr>
          <w:lang w:eastAsia="x-none"/>
        </w:rPr>
        <w:tab/>
        <w:t>OPPO</w:t>
      </w:r>
    </w:p>
    <w:p w14:paraId="05EF2355" w14:textId="22F18D3E" w:rsidR="00F74A6F" w:rsidRPr="009537ED" w:rsidRDefault="005A18DC" w:rsidP="00F74A6F">
      <w:pPr>
        <w:rPr>
          <w:lang w:eastAsia="x-none"/>
        </w:rPr>
      </w:pPr>
      <w:hyperlink r:id="rId2175" w:history="1">
        <w:r w:rsidR="00AF7253">
          <w:rPr>
            <w:rStyle w:val="Hyperlink"/>
            <w:lang w:eastAsia="x-none"/>
          </w:rPr>
          <w:t>R1-2311564</w:t>
        </w:r>
      </w:hyperlink>
      <w:r w:rsidR="00F74A6F" w:rsidRPr="009537ED">
        <w:rPr>
          <w:lang w:eastAsia="x-none"/>
        </w:rPr>
        <w:tab/>
        <w:t>Discussion on the UE features for IoT NTN</w:t>
      </w:r>
      <w:r w:rsidR="00F74A6F" w:rsidRPr="009537ED">
        <w:rPr>
          <w:lang w:eastAsia="x-none"/>
        </w:rPr>
        <w:tab/>
        <w:t>Beijing Xiaomi Mobile Software</w:t>
      </w:r>
    </w:p>
    <w:p w14:paraId="422B167F" w14:textId="5939C23C" w:rsidR="00F74A6F" w:rsidRPr="009537ED" w:rsidRDefault="005A18DC" w:rsidP="00F74A6F">
      <w:pPr>
        <w:rPr>
          <w:lang w:eastAsia="x-none"/>
        </w:rPr>
      </w:pPr>
      <w:hyperlink r:id="rId2176" w:history="1">
        <w:r w:rsidR="00AF7253">
          <w:rPr>
            <w:rStyle w:val="Hyperlink"/>
            <w:lang w:eastAsia="x-none"/>
          </w:rPr>
          <w:t>R1-2311715</w:t>
        </w:r>
      </w:hyperlink>
      <w:r w:rsidR="00F74A6F" w:rsidRPr="009537ED">
        <w:rPr>
          <w:lang w:eastAsia="x-none"/>
        </w:rPr>
        <w:tab/>
        <w:t>Views on UE Features for Rel-18 IoT NTN Enhancements</w:t>
      </w:r>
      <w:r w:rsidR="00F74A6F" w:rsidRPr="009537ED">
        <w:rPr>
          <w:lang w:eastAsia="x-none"/>
        </w:rPr>
        <w:tab/>
        <w:t>Apple</w:t>
      </w:r>
    </w:p>
    <w:p w14:paraId="0A0ADCD5" w14:textId="38102CB8" w:rsidR="00F74A6F" w:rsidRPr="009537ED" w:rsidRDefault="005A18DC" w:rsidP="00F74A6F">
      <w:pPr>
        <w:rPr>
          <w:lang w:eastAsia="x-none"/>
        </w:rPr>
      </w:pPr>
      <w:hyperlink r:id="rId2177" w:history="1">
        <w:r w:rsidR="00AF7253">
          <w:rPr>
            <w:rStyle w:val="Hyperlink"/>
            <w:lang w:eastAsia="x-none"/>
          </w:rPr>
          <w:t>R1-2311878</w:t>
        </w:r>
      </w:hyperlink>
      <w:r w:rsidR="00F74A6F" w:rsidRPr="009537ED">
        <w:rPr>
          <w:lang w:eastAsia="x-none"/>
        </w:rPr>
        <w:tab/>
        <w:t>UE features for IoT NTN enhancements</w:t>
      </w:r>
      <w:r w:rsidR="00F74A6F" w:rsidRPr="009537ED">
        <w:rPr>
          <w:lang w:eastAsia="x-none"/>
        </w:rPr>
        <w:tab/>
        <w:t>Samsung</w:t>
      </w:r>
    </w:p>
    <w:p w14:paraId="5DC690EC" w14:textId="2E9F5DE7" w:rsidR="00F74A6F" w:rsidRPr="009537ED" w:rsidRDefault="005A18DC" w:rsidP="00F74A6F">
      <w:pPr>
        <w:rPr>
          <w:lang w:eastAsia="x-none"/>
        </w:rPr>
      </w:pPr>
      <w:hyperlink r:id="rId2178" w:history="1">
        <w:r w:rsidR="00AF7253">
          <w:rPr>
            <w:rStyle w:val="Hyperlink"/>
            <w:lang w:eastAsia="x-none"/>
          </w:rPr>
          <w:t>R1-2312000</w:t>
        </w:r>
      </w:hyperlink>
      <w:r w:rsidR="00F74A6F" w:rsidRPr="009537ED">
        <w:rPr>
          <w:lang w:eastAsia="x-none"/>
        </w:rPr>
        <w:tab/>
        <w:t>Views on UE features for Rel-18 IoT NTN enhancements</w:t>
      </w:r>
      <w:r w:rsidR="00F74A6F" w:rsidRPr="009537ED">
        <w:rPr>
          <w:lang w:eastAsia="x-none"/>
        </w:rPr>
        <w:tab/>
        <w:t>MediaTek Inc.</w:t>
      </w:r>
    </w:p>
    <w:p w14:paraId="25B29AC2" w14:textId="7494D4EC" w:rsidR="00F74A6F" w:rsidRPr="009537ED" w:rsidRDefault="005A18DC" w:rsidP="00F74A6F">
      <w:pPr>
        <w:rPr>
          <w:lang w:eastAsia="x-none"/>
        </w:rPr>
      </w:pPr>
      <w:hyperlink r:id="rId2179" w:history="1">
        <w:r w:rsidR="00AF7253">
          <w:rPr>
            <w:rStyle w:val="Hyperlink"/>
            <w:lang w:eastAsia="x-none"/>
          </w:rPr>
          <w:t>R1-2312071</w:t>
        </w:r>
      </w:hyperlink>
      <w:r w:rsidR="00F74A6F" w:rsidRPr="009537ED">
        <w:rPr>
          <w:lang w:eastAsia="x-none"/>
        </w:rPr>
        <w:tab/>
        <w:t xml:space="preserve">UE features for IOT NTN </w:t>
      </w:r>
      <w:r w:rsidR="00CB57AA" w:rsidRPr="009537ED">
        <w:rPr>
          <w:lang w:eastAsia="x-none"/>
        </w:rPr>
        <w:t>enhancements</w:t>
      </w:r>
      <w:r w:rsidR="00F74A6F" w:rsidRPr="009537ED">
        <w:rPr>
          <w:lang w:eastAsia="x-none"/>
        </w:rPr>
        <w:tab/>
        <w:t>Qualcomm Incorporated</w:t>
      </w:r>
    </w:p>
    <w:p w14:paraId="092F6A4E" w14:textId="6EA22A98" w:rsidR="00F74A6F" w:rsidRDefault="005A18DC" w:rsidP="00F74A6F">
      <w:pPr>
        <w:rPr>
          <w:lang w:eastAsia="x-none"/>
        </w:rPr>
      </w:pPr>
      <w:hyperlink r:id="rId2180" w:history="1">
        <w:r w:rsidR="00AF7253">
          <w:rPr>
            <w:rStyle w:val="Hyperlink"/>
            <w:lang w:eastAsia="x-none"/>
          </w:rPr>
          <w:t>R1-2312127</w:t>
        </w:r>
      </w:hyperlink>
      <w:r w:rsidR="00F74A6F" w:rsidRPr="009537ED">
        <w:rPr>
          <w:lang w:eastAsia="x-none"/>
        </w:rPr>
        <w:tab/>
        <w:t>On IoT NTN feature set</w:t>
      </w:r>
      <w:r w:rsidR="00F74A6F" w:rsidRPr="009537ED">
        <w:rPr>
          <w:lang w:eastAsia="x-none"/>
        </w:rPr>
        <w:tab/>
        <w:t>Nordic Semiconductor ASA</w:t>
      </w:r>
    </w:p>
    <w:p w14:paraId="379C4C55" w14:textId="77777777" w:rsidR="00CB57AA" w:rsidRDefault="00CB57AA" w:rsidP="00F74A6F">
      <w:pPr>
        <w:rPr>
          <w:lang w:eastAsia="x-none"/>
        </w:rPr>
      </w:pPr>
    </w:p>
    <w:p w14:paraId="5C6F527D" w14:textId="21E0A4E5" w:rsidR="00CB57AA" w:rsidRPr="00CB57AA" w:rsidRDefault="005A18DC" w:rsidP="00CB57AA">
      <w:pPr>
        <w:rPr>
          <w:b/>
          <w:bCs/>
          <w:lang w:eastAsia="x-none"/>
        </w:rPr>
      </w:pPr>
      <w:hyperlink r:id="rId2181" w:history="1">
        <w:r w:rsidR="00AF7253">
          <w:rPr>
            <w:rStyle w:val="Hyperlink"/>
            <w:b/>
            <w:bCs/>
            <w:lang w:eastAsia="x-none"/>
          </w:rPr>
          <w:t>R1-2312085</w:t>
        </w:r>
      </w:hyperlink>
      <w:r w:rsidR="00CB57AA" w:rsidRPr="00CB57AA">
        <w:rPr>
          <w:b/>
          <w:bCs/>
          <w:lang w:eastAsia="x-none"/>
        </w:rPr>
        <w:tab/>
        <w:t>Summary of UE features for IoT NTN enhancements</w:t>
      </w:r>
      <w:r w:rsidR="00CB57AA" w:rsidRPr="00CB57AA">
        <w:rPr>
          <w:b/>
          <w:bCs/>
          <w:lang w:eastAsia="x-none"/>
        </w:rPr>
        <w:tab/>
        <w:t>Moderator (AT&amp;T)</w:t>
      </w:r>
    </w:p>
    <w:p w14:paraId="1B33B729" w14:textId="3471F10C" w:rsidR="00CB57AA" w:rsidRPr="00065A8D" w:rsidRDefault="00CB57AA" w:rsidP="00CB57AA">
      <w:pPr>
        <w:rPr>
          <w:lang w:eastAsia="x-none"/>
        </w:rPr>
      </w:pPr>
      <w:bookmarkStart w:id="823" w:name="_Toc150174517"/>
      <w:r w:rsidRPr="00955F5C">
        <w:rPr>
          <w:lang w:eastAsia="x-none"/>
        </w:rPr>
        <w:t>This document presents the summary of email discussion [115-R18-UE_features-0</w:t>
      </w:r>
      <w:r>
        <w:rPr>
          <w:lang w:eastAsia="x-none"/>
        </w:rPr>
        <w:t>2</w:t>
      </w:r>
      <w:r w:rsidRPr="00955F5C">
        <w:rPr>
          <w:lang w:eastAsia="x-none"/>
        </w:rPr>
        <w:t xml:space="preserve">] </w:t>
      </w:r>
      <w:r>
        <w:rPr>
          <w:lang w:eastAsia="x-none"/>
        </w:rPr>
        <w:t xml:space="preserve">related to IoT NTN </w:t>
      </w:r>
      <w:r w:rsidRPr="00955F5C">
        <w:rPr>
          <w:lang w:eastAsia="x-none"/>
        </w:rPr>
        <w:t>during RAN1 #115.</w:t>
      </w:r>
    </w:p>
    <w:p w14:paraId="7B0DED60" w14:textId="77777777" w:rsidR="00F74A6F" w:rsidRDefault="00F74A6F" w:rsidP="00F74A6F">
      <w:pPr>
        <w:pStyle w:val="Heading3"/>
      </w:pPr>
      <w:bookmarkStart w:id="824" w:name="_Toc159251059"/>
      <w:r w:rsidRPr="009537ED">
        <w:t>UE features for NR NTN enhancements</w:t>
      </w:r>
      <w:bookmarkEnd w:id="823"/>
      <w:bookmarkEnd w:id="824"/>
    </w:p>
    <w:p w14:paraId="14AEB7D4" w14:textId="275F1B04" w:rsidR="0030612D" w:rsidRPr="0030612D" w:rsidRDefault="005A18DC" w:rsidP="0030612D">
      <w:pPr>
        <w:rPr>
          <w:b/>
          <w:bCs/>
          <w:lang w:val="en-US" w:eastAsia="x-none"/>
        </w:rPr>
      </w:pPr>
      <w:hyperlink r:id="rId2182" w:history="1">
        <w:r w:rsidR="00AF7253">
          <w:rPr>
            <w:rStyle w:val="Hyperlink"/>
            <w:b/>
            <w:bCs/>
            <w:lang w:val="en-US" w:eastAsia="x-none"/>
          </w:rPr>
          <w:t>R1-2312612</w:t>
        </w:r>
      </w:hyperlink>
      <w:r w:rsidR="0030612D" w:rsidRPr="0030612D">
        <w:rPr>
          <w:b/>
          <w:bCs/>
          <w:lang w:val="en-US" w:eastAsia="x-none"/>
        </w:rPr>
        <w:tab/>
        <w:t>Session Notes of AI 8.16.14</w:t>
      </w:r>
      <w:r w:rsidR="0030612D" w:rsidRPr="0030612D">
        <w:rPr>
          <w:b/>
          <w:bCs/>
          <w:lang w:val="en-US" w:eastAsia="x-none"/>
        </w:rPr>
        <w:tab/>
        <w:t>Ad-Hoc Chair (AT&amp;T)</w:t>
      </w:r>
    </w:p>
    <w:p w14:paraId="0DCEFC56" w14:textId="77777777" w:rsidR="0030612D" w:rsidRPr="00663F3A" w:rsidRDefault="0030612D" w:rsidP="0030612D">
      <w:pPr>
        <w:rPr>
          <w:lang w:val="en-US" w:eastAsia="x-none"/>
        </w:rPr>
      </w:pPr>
      <w:r w:rsidRPr="00F05EFE">
        <w:rPr>
          <w:b/>
          <w:bCs/>
        </w:rPr>
        <w:t>Friday decision:</w:t>
      </w:r>
      <w:r>
        <w:t xml:space="preserve"> The </w:t>
      </w:r>
      <w:r>
        <w:rPr>
          <w:lang w:val="en-US" w:eastAsia="x-none"/>
        </w:rPr>
        <w:t>s</w:t>
      </w:r>
      <w:r w:rsidRPr="00663F3A">
        <w:rPr>
          <w:lang w:val="en-US" w:eastAsia="x-none"/>
        </w:rPr>
        <w:t>ession notes</w:t>
      </w:r>
      <w:r>
        <w:rPr>
          <w:lang w:val="en-US" w:eastAsia="x-none"/>
        </w:rPr>
        <w:t xml:space="preserve"> (all agreements reached during RAN1#115)</w:t>
      </w:r>
      <w:r w:rsidRPr="00663F3A">
        <w:rPr>
          <w:lang w:val="en-US" w:eastAsia="x-none"/>
        </w:rPr>
        <w:t xml:space="preserve"> are </w:t>
      </w:r>
      <w:r w:rsidRPr="00663F3A">
        <w:rPr>
          <w:highlight w:val="green"/>
          <w:lang w:val="en-US" w:eastAsia="x-none"/>
        </w:rPr>
        <w:t>endorsed</w:t>
      </w:r>
      <w:r w:rsidRPr="00663F3A">
        <w:rPr>
          <w:lang w:val="en-US" w:eastAsia="x-none"/>
        </w:rPr>
        <w:t>.</w:t>
      </w:r>
    </w:p>
    <w:p w14:paraId="2138A215" w14:textId="77777777" w:rsidR="0030612D" w:rsidRPr="0030612D" w:rsidRDefault="0030612D" w:rsidP="0030612D">
      <w:pPr>
        <w:rPr>
          <w:lang w:val="en-US"/>
        </w:rPr>
      </w:pPr>
    </w:p>
    <w:p w14:paraId="6058812C" w14:textId="0A0E89DE" w:rsidR="00F74A6F" w:rsidRPr="009537ED" w:rsidRDefault="005A18DC" w:rsidP="00F74A6F">
      <w:pPr>
        <w:rPr>
          <w:lang w:eastAsia="x-none"/>
        </w:rPr>
      </w:pPr>
      <w:hyperlink r:id="rId2183" w:history="1">
        <w:r w:rsidR="00AF7253">
          <w:rPr>
            <w:rStyle w:val="Hyperlink"/>
            <w:lang w:eastAsia="x-none"/>
          </w:rPr>
          <w:t>R1-2310880</w:t>
        </w:r>
      </w:hyperlink>
      <w:r w:rsidR="00F74A6F" w:rsidRPr="009537ED">
        <w:rPr>
          <w:lang w:eastAsia="x-none"/>
        </w:rPr>
        <w:tab/>
        <w:t>UE features for NR NTN enhancements</w:t>
      </w:r>
      <w:r w:rsidR="00F74A6F" w:rsidRPr="009537ED">
        <w:rPr>
          <w:lang w:eastAsia="x-none"/>
        </w:rPr>
        <w:tab/>
        <w:t>Huawei, HiSilicon</w:t>
      </w:r>
    </w:p>
    <w:p w14:paraId="3E605438" w14:textId="23E3C6BB" w:rsidR="00F74A6F" w:rsidRPr="009537ED" w:rsidRDefault="005A18DC" w:rsidP="00F74A6F">
      <w:pPr>
        <w:rPr>
          <w:lang w:eastAsia="x-none"/>
        </w:rPr>
      </w:pPr>
      <w:hyperlink r:id="rId2184" w:history="1">
        <w:r w:rsidR="00AF7253">
          <w:rPr>
            <w:rStyle w:val="Hyperlink"/>
            <w:lang w:eastAsia="x-none"/>
          </w:rPr>
          <w:t>R1-2310902</w:t>
        </w:r>
      </w:hyperlink>
      <w:r w:rsidR="00F74A6F" w:rsidRPr="009537ED">
        <w:rPr>
          <w:lang w:eastAsia="x-none"/>
        </w:rPr>
        <w:tab/>
        <w:t>On UE features for NR NTN enhancements</w:t>
      </w:r>
      <w:r w:rsidR="00F74A6F" w:rsidRPr="009537ED">
        <w:rPr>
          <w:lang w:eastAsia="x-none"/>
        </w:rPr>
        <w:tab/>
        <w:t>Nokia, Nokia Shanghai Bell</w:t>
      </w:r>
    </w:p>
    <w:p w14:paraId="108BBD04" w14:textId="75F6783C" w:rsidR="00F74A6F" w:rsidRPr="009537ED" w:rsidRDefault="005A18DC" w:rsidP="00F74A6F">
      <w:pPr>
        <w:rPr>
          <w:lang w:eastAsia="x-none"/>
        </w:rPr>
      </w:pPr>
      <w:hyperlink r:id="rId2185" w:history="1">
        <w:r w:rsidR="00AF7253">
          <w:rPr>
            <w:rStyle w:val="Hyperlink"/>
            <w:lang w:eastAsia="x-none"/>
          </w:rPr>
          <w:t>R1-2310915</w:t>
        </w:r>
      </w:hyperlink>
      <w:r w:rsidR="00F74A6F" w:rsidRPr="009537ED">
        <w:rPr>
          <w:lang w:eastAsia="x-none"/>
        </w:rPr>
        <w:tab/>
        <w:t>On UE features for NR NTN enhancements</w:t>
      </w:r>
      <w:r w:rsidR="00F74A6F" w:rsidRPr="009537ED">
        <w:rPr>
          <w:lang w:eastAsia="x-none"/>
        </w:rPr>
        <w:tab/>
        <w:t>Ericsson</w:t>
      </w:r>
    </w:p>
    <w:p w14:paraId="5BDEFFAB" w14:textId="400D0F1D" w:rsidR="00F74A6F" w:rsidRPr="009537ED" w:rsidRDefault="005A18DC" w:rsidP="00F74A6F">
      <w:pPr>
        <w:rPr>
          <w:lang w:eastAsia="x-none"/>
        </w:rPr>
      </w:pPr>
      <w:hyperlink r:id="rId2186" w:history="1">
        <w:r w:rsidR="00AF7253">
          <w:rPr>
            <w:rStyle w:val="Hyperlink"/>
            <w:lang w:eastAsia="x-none"/>
          </w:rPr>
          <w:t>R1-2311126</w:t>
        </w:r>
      </w:hyperlink>
      <w:r w:rsidR="00F74A6F" w:rsidRPr="009537ED">
        <w:rPr>
          <w:lang w:eastAsia="x-none"/>
        </w:rPr>
        <w:tab/>
        <w:t>Discussions on NR NTN enhancements UE features</w:t>
      </w:r>
      <w:r w:rsidR="00F74A6F" w:rsidRPr="009537ED">
        <w:rPr>
          <w:lang w:eastAsia="x-none"/>
        </w:rPr>
        <w:tab/>
        <w:t>vivo</w:t>
      </w:r>
    </w:p>
    <w:p w14:paraId="15032C53" w14:textId="2B87E161" w:rsidR="00F74A6F" w:rsidRPr="009537ED" w:rsidRDefault="005A18DC" w:rsidP="00F74A6F">
      <w:pPr>
        <w:rPr>
          <w:lang w:eastAsia="x-none"/>
        </w:rPr>
      </w:pPr>
      <w:hyperlink r:id="rId2187" w:history="1">
        <w:r w:rsidR="00AF7253">
          <w:rPr>
            <w:rStyle w:val="Hyperlink"/>
            <w:lang w:eastAsia="x-none"/>
          </w:rPr>
          <w:t>R1-2311193</w:t>
        </w:r>
      </w:hyperlink>
      <w:r w:rsidR="00F74A6F" w:rsidRPr="009537ED">
        <w:rPr>
          <w:lang w:eastAsia="x-none"/>
        </w:rPr>
        <w:tab/>
        <w:t>Discussion on UE feature of NR NTN enhancements</w:t>
      </w:r>
      <w:r w:rsidR="00F74A6F" w:rsidRPr="009537ED">
        <w:rPr>
          <w:lang w:eastAsia="x-none"/>
        </w:rPr>
        <w:tab/>
        <w:t>Spreadtrum Communications</w:t>
      </w:r>
    </w:p>
    <w:p w14:paraId="35C82087" w14:textId="5D41F54B" w:rsidR="00F74A6F" w:rsidRPr="009537ED" w:rsidRDefault="005A18DC" w:rsidP="00F74A6F">
      <w:pPr>
        <w:rPr>
          <w:lang w:eastAsia="x-none"/>
        </w:rPr>
      </w:pPr>
      <w:hyperlink r:id="rId2188" w:history="1">
        <w:r w:rsidR="00AF7253">
          <w:rPr>
            <w:rStyle w:val="Hyperlink"/>
            <w:lang w:eastAsia="x-none"/>
          </w:rPr>
          <w:t>R1-2311208</w:t>
        </w:r>
      </w:hyperlink>
      <w:r w:rsidR="00F74A6F" w:rsidRPr="009537ED">
        <w:rPr>
          <w:lang w:eastAsia="x-none"/>
        </w:rPr>
        <w:tab/>
        <w:t>Discussion on UE features for NR-NTN</w:t>
      </w:r>
      <w:r w:rsidR="00F74A6F" w:rsidRPr="009537ED">
        <w:rPr>
          <w:lang w:eastAsia="x-none"/>
        </w:rPr>
        <w:tab/>
        <w:t>ZTE</w:t>
      </w:r>
    </w:p>
    <w:p w14:paraId="5994B39B" w14:textId="56C98B3A" w:rsidR="00F74A6F" w:rsidRPr="009537ED" w:rsidRDefault="005A18DC" w:rsidP="00F74A6F">
      <w:pPr>
        <w:rPr>
          <w:lang w:eastAsia="x-none"/>
        </w:rPr>
      </w:pPr>
      <w:hyperlink r:id="rId2189" w:history="1">
        <w:r w:rsidR="00AF7253">
          <w:rPr>
            <w:rStyle w:val="Hyperlink"/>
            <w:lang w:eastAsia="x-none"/>
          </w:rPr>
          <w:t>R1-2311256</w:t>
        </w:r>
      </w:hyperlink>
      <w:r w:rsidR="00F74A6F" w:rsidRPr="009537ED">
        <w:rPr>
          <w:lang w:eastAsia="x-none"/>
        </w:rPr>
        <w:tab/>
        <w:t>Discussion on UE features for NR NTN enhancements</w:t>
      </w:r>
      <w:r w:rsidR="00F74A6F" w:rsidRPr="009537ED">
        <w:rPr>
          <w:lang w:eastAsia="x-none"/>
        </w:rPr>
        <w:tab/>
        <w:t>OPPO</w:t>
      </w:r>
    </w:p>
    <w:p w14:paraId="38BB35F9" w14:textId="3E9EB26A" w:rsidR="00F74A6F" w:rsidRPr="009537ED" w:rsidRDefault="005A18DC" w:rsidP="00F74A6F">
      <w:pPr>
        <w:rPr>
          <w:lang w:eastAsia="x-none"/>
        </w:rPr>
      </w:pPr>
      <w:hyperlink r:id="rId2190" w:history="1">
        <w:r w:rsidR="00AF7253">
          <w:rPr>
            <w:rStyle w:val="Hyperlink"/>
            <w:lang w:eastAsia="x-none"/>
          </w:rPr>
          <w:t>R1-2311652</w:t>
        </w:r>
      </w:hyperlink>
      <w:r w:rsidR="00F74A6F" w:rsidRPr="009537ED">
        <w:rPr>
          <w:lang w:eastAsia="x-none"/>
        </w:rPr>
        <w:tab/>
        <w:t>Discussion on UE features for NR NTN enhancements</w:t>
      </w:r>
      <w:r w:rsidR="00F74A6F" w:rsidRPr="009537ED">
        <w:rPr>
          <w:lang w:eastAsia="x-none"/>
        </w:rPr>
        <w:tab/>
        <w:t>NTT DOCOMO, INC.</w:t>
      </w:r>
    </w:p>
    <w:p w14:paraId="0112642F" w14:textId="137F1E88" w:rsidR="00F74A6F" w:rsidRPr="009537ED" w:rsidRDefault="005A18DC" w:rsidP="00F74A6F">
      <w:pPr>
        <w:rPr>
          <w:lang w:eastAsia="x-none"/>
        </w:rPr>
      </w:pPr>
      <w:hyperlink r:id="rId2191" w:history="1">
        <w:r w:rsidR="00AF7253">
          <w:rPr>
            <w:rStyle w:val="Hyperlink"/>
            <w:lang w:eastAsia="x-none"/>
          </w:rPr>
          <w:t>R1-2311716</w:t>
        </w:r>
      </w:hyperlink>
      <w:r w:rsidR="00F74A6F" w:rsidRPr="009537ED">
        <w:rPr>
          <w:lang w:eastAsia="x-none"/>
        </w:rPr>
        <w:tab/>
        <w:t>Views on UE Features for Rel-18 NR NTN Enhancements</w:t>
      </w:r>
      <w:r w:rsidR="00F74A6F" w:rsidRPr="009537ED">
        <w:rPr>
          <w:lang w:eastAsia="x-none"/>
        </w:rPr>
        <w:tab/>
        <w:t>Apple</w:t>
      </w:r>
    </w:p>
    <w:p w14:paraId="399A0091" w14:textId="49D5E6F4" w:rsidR="00F74A6F" w:rsidRPr="009537ED" w:rsidRDefault="005A18DC" w:rsidP="00F74A6F">
      <w:pPr>
        <w:rPr>
          <w:lang w:eastAsia="x-none"/>
        </w:rPr>
      </w:pPr>
      <w:hyperlink r:id="rId2192" w:history="1">
        <w:r w:rsidR="00AF7253">
          <w:rPr>
            <w:rStyle w:val="Hyperlink"/>
            <w:lang w:eastAsia="x-none"/>
          </w:rPr>
          <w:t>R1-2311733</w:t>
        </w:r>
      </w:hyperlink>
      <w:r w:rsidR="00F74A6F" w:rsidRPr="009537ED">
        <w:rPr>
          <w:lang w:eastAsia="x-none"/>
        </w:rPr>
        <w:tab/>
        <w:t>Discussion on the UE features for NR NTN</w:t>
      </w:r>
      <w:r w:rsidR="00F74A6F" w:rsidRPr="009537ED">
        <w:rPr>
          <w:lang w:eastAsia="x-none"/>
        </w:rPr>
        <w:tab/>
        <w:t>Beijing Xiaomi Mobile Software</w:t>
      </w:r>
    </w:p>
    <w:p w14:paraId="64149BEF" w14:textId="34514E2F" w:rsidR="00F74A6F" w:rsidRPr="009537ED" w:rsidRDefault="005A18DC" w:rsidP="00F74A6F">
      <w:pPr>
        <w:rPr>
          <w:lang w:eastAsia="x-none"/>
        </w:rPr>
      </w:pPr>
      <w:hyperlink r:id="rId2193" w:history="1">
        <w:r w:rsidR="00AF7253">
          <w:rPr>
            <w:rStyle w:val="Hyperlink"/>
            <w:lang w:eastAsia="x-none"/>
          </w:rPr>
          <w:t>R1-2311762</w:t>
        </w:r>
      </w:hyperlink>
      <w:r w:rsidR="00F74A6F" w:rsidRPr="009537ED">
        <w:rPr>
          <w:lang w:eastAsia="x-none"/>
        </w:rPr>
        <w:tab/>
        <w:t>Discussion on UE features for NR NTN enhancements</w:t>
      </w:r>
      <w:r w:rsidR="00F74A6F" w:rsidRPr="009537ED">
        <w:rPr>
          <w:lang w:eastAsia="x-none"/>
        </w:rPr>
        <w:tab/>
        <w:t>ETRI</w:t>
      </w:r>
    </w:p>
    <w:p w14:paraId="05AEFC4A" w14:textId="6FCE93C1" w:rsidR="00F74A6F" w:rsidRPr="009537ED" w:rsidRDefault="005A18DC" w:rsidP="00F74A6F">
      <w:pPr>
        <w:rPr>
          <w:lang w:eastAsia="x-none"/>
        </w:rPr>
      </w:pPr>
      <w:hyperlink r:id="rId2194" w:history="1">
        <w:r w:rsidR="00AF7253">
          <w:rPr>
            <w:rStyle w:val="Hyperlink"/>
            <w:lang w:eastAsia="x-none"/>
          </w:rPr>
          <w:t>R1-2311775</w:t>
        </w:r>
      </w:hyperlink>
      <w:r w:rsidR="00F74A6F" w:rsidRPr="009537ED">
        <w:rPr>
          <w:lang w:eastAsia="x-none"/>
        </w:rPr>
        <w:tab/>
        <w:t>Discussions on UE features for NR NTN</w:t>
      </w:r>
      <w:r w:rsidR="00F74A6F" w:rsidRPr="009537ED">
        <w:rPr>
          <w:lang w:eastAsia="x-none"/>
        </w:rPr>
        <w:tab/>
        <w:t>Sharp</w:t>
      </w:r>
    </w:p>
    <w:p w14:paraId="25115BE8" w14:textId="584CE4DD" w:rsidR="00F74A6F" w:rsidRPr="009537ED" w:rsidRDefault="005A18DC" w:rsidP="00F74A6F">
      <w:pPr>
        <w:rPr>
          <w:lang w:eastAsia="x-none"/>
        </w:rPr>
      </w:pPr>
      <w:hyperlink r:id="rId2195" w:history="1">
        <w:r w:rsidR="00AF7253">
          <w:rPr>
            <w:rStyle w:val="Hyperlink"/>
            <w:lang w:eastAsia="x-none"/>
          </w:rPr>
          <w:t>R1-2311879</w:t>
        </w:r>
      </w:hyperlink>
      <w:r w:rsidR="00F74A6F" w:rsidRPr="009537ED">
        <w:rPr>
          <w:lang w:eastAsia="x-none"/>
        </w:rPr>
        <w:tab/>
        <w:t>UE features for NR NTN enhancements</w:t>
      </w:r>
      <w:r w:rsidR="00F74A6F" w:rsidRPr="009537ED">
        <w:rPr>
          <w:lang w:eastAsia="x-none"/>
        </w:rPr>
        <w:tab/>
        <w:t>Samsung</w:t>
      </w:r>
    </w:p>
    <w:p w14:paraId="25FF8F87" w14:textId="1207999F" w:rsidR="00F74A6F" w:rsidRPr="009537ED" w:rsidRDefault="005A18DC" w:rsidP="00F74A6F">
      <w:pPr>
        <w:rPr>
          <w:lang w:eastAsia="x-none"/>
        </w:rPr>
      </w:pPr>
      <w:hyperlink r:id="rId2196" w:history="1">
        <w:r w:rsidR="00AF7253">
          <w:rPr>
            <w:rStyle w:val="Hyperlink"/>
            <w:lang w:eastAsia="x-none"/>
          </w:rPr>
          <w:t>R1-2311919</w:t>
        </w:r>
      </w:hyperlink>
      <w:r w:rsidR="00F74A6F" w:rsidRPr="009537ED">
        <w:rPr>
          <w:lang w:eastAsia="x-none"/>
        </w:rPr>
        <w:tab/>
        <w:t>Discussions on UE features for NR NTN enhancements</w:t>
      </w:r>
      <w:r w:rsidR="00F74A6F" w:rsidRPr="009537ED">
        <w:rPr>
          <w:lang w:eastAsia="x-none"/>
        </w:rPr>
        <w:tab/>
        <w:t>LG Electronics</w:t>
      </w:r>
    </w:p>
    <w:p w14:paraId="5831E304" w14:textId="7D9202A8" w:rsidR="00F74A6F" w:rsidRPr="009537ED" w:rsidRDefault="005A18DC" w:rsidP="00F74A6F">
      <w:pPr>
        <w:rPr>
          <w:lang w:eastAsia="x-none"/>
        </w:rPr>
      </w:pPr>
      <w:hyperlink r:id="rId2197" w:history="1">
        <w:r w:rsidR="00AF7253">
          <w:rPr>
            <w:rStyle w:val="Hyperlink"/>
            <w:lang w:eastAsia="x-none"/>
          </w:rPr>
          <w:t>R1-2311997</w:t>
        </w:r>
      </w:hyperlink>
      <w:r w:rsidR="00F74A6F" w:rsidRPr="009537ED">
        <w:rPr>
          <w:lang w:eastAsia="x-none"/>
        </w:rPr>
        <w:tab/>
        <w:t>UE features for NR NTN enhancements</w:t>
      </w:r>
      <w:r w:rsidR="00F74A6F" w:rsidRPr="009537ED">
        <w:rPr>
          <w:lang w:eastAsia="x-none"/>
        </w:rPr>
        <w:tab/>
        <w:t>MediaTek Inc.</w:t>
      </w:r>
    </w:p>
    <w:p w14:paraId="0CDEFA68" w14:textId="58282F8C" w:rsidR="00F74A6F" w:rsidRDefault="005A18DC" w:rsidP="00F74A6F">
      <w:pPr>
        <w:rPr>
          <w:lang w:eastAsia="x-none"/>
        </w:rPr>
      </w:pPr>
      <w:hyperlink r:id="rId2198" w:history="1">
        <w:r w:rsidR="00AF7253">
          <w:rPr>
            <w:rStyle w:val="Hyperlink"/>
            <w:lang w:eastAsia="x-none"/>
          </w:rPr>
          <w:t>R1-2312072</w:t>
        </w:r>
      </w:hyperlink>
      <w:r w:rsidR="00F74A6F" w:rsidRPr="009537ED">
        <w:rPr>
          <w:lang w:eastAsia="x-none"/>
        </w:rPr>
        <w:tab/>
        <w:t>UE features for NR NTN enhancements</w:t>
      </w:r>
      <w:r w:rsidR="00F74A6F" w:rsidRPr="009537ED">
        <w:rPr>
          <w:lang w:eastAsia="x-none"/>
        </w:rPr>
        <w:tab/>
        <w:t>Qualcomm Incorporated</w:t>
      </w:r>
    </w:p>
    <w:p w14:paraId="48E740F1" w14:textId="77777777" w:rsidR="00CB57AA" w:rsidRPr="009537ED" w:rsidRDefault="00CB57AA" w:rsidP="00F74A6F">
      <w:pPr>
        <w:rPr>
          <w:lang w:eastAsia="x-none"/>
        </w:rPr>
      </w:pPr>
    </w:p>
    <w:p w14:paraId="6139151C" w14:textId="7216C2D3" w:rsidR="00F74A6F" w:rsidRPr="00CB57AA" w:rsidRDefault="005A18DC" w:rsidP="00F74A6F">
      <w:pPr>
        <w:rPr>
          <w:b/>
          <w:bCs/>
          <w:lang w:eastAsia="x-none"/>
        </w:rPr>
      </w:pPr>
      <w:hyperlink r:id="rId2199" w:history="1">
        <w:r w:rsidR="00AF7253">
          <w:rPr>
            <w:rStyle w:val="Hyperlink"/>
            <w:b/>
            <w:bCs/>
            <w:lang w:eastAsia="x-none"/>
          </w:rPr>
          <w:t>R1-2312083</w:t>
        </w:r>
      </w:hyperlink>
      <w:r w:rsidR="00F74A6F" w:rsidRPr="00CB57AA">
        <w:rPr>
          <w:b/>
          <w:bCs/>
          <w:lang w:eastAsia="x-none"/>
        </w:rPr>
        <w:tab/>
        <w:t>Summary of UE features for NR NTN enhancements</w:t>
      </w:r>
      <w:r w:rsidR="00F74A6F" w:rsidRPr="00CB57AA">
        <w:rPr>
          <w:b/>
          <w:bCs/>
          <w:lang w:eastAsia="x-none"/>
        </w:rPr>
        <w:tab/>
        <w:t>Moderator (AT&amp;T)</w:t>
      </w:r>
    </w:p>
    <w:p w14:paraId="6F0C6A03" w14:textId="0B6DD6E7" w:rsidR="00CB57AA" w:rsidRPr="00065A8D" w:rsidRDefault="00CB57AA" w:rsidP="00CB57AA">
      <w:pPr>
        <w:rPr>
          <w:lang w:eastAsia="x-none"/>
        </w:rPr>
      </w:pPr>
      <w:bookmarkStart w:id="825" w:name="_Toc150174518"/>
      <w:r w:rsidRPr="00955F5C">
        <w:rPr>
          <w:lang w:eastAsia="x-none"/>
        </w:rPr>
        <w:t>This document presents the summary of email discussion [115-R18-UE_features-0</w:t>
      </w:r>
      <w:r>
        <w:rPr>
          <w:lang w:eastAsia="x-none"/>
        </w:rPr>
        <w:t>2</w:t>
      </w:r>
      <w:r w:rsidRPr="00955F5C">
        <w:rPr>
          <w:lang w:eastAsia="x-none"/>
        </w:rPr>
        <w:t xml:space="preserve">] </w:t>
      </w:r>
      <w:r>
        <w:rPr>
          <w:lang w:eastAsia="x-none"/>
        </w:rPr>
        <w:t xml:space="preserve">related to NR NTN </w:t>
      </w:r>
      <w:r w:rsidRPr="00955F5C">
        <w:rPr>
          <w:lang w:eastAsia="x-none"/>
        </w:rPr>
        <w:t>during RAN1 #115.</w:t>
      </w:r>
    </w:p>
    <w:p w14:paraId="65EBCF40" w14:textId="77777777" w:rsidR="00F74A6F" w:rsidRDefault="00F74A6F" w:rsidP="00F74A6F">
      <w:pPr>
        <w:pStyle w:val="Heading3"/>
      </w:pPr>
      <w:bookmarkStart w:id="826" w:name="_Toc159251060"/>
      <w:r w:rsidRPr="009537ED">
        <w:t>UE features for BWP without restriction</w:t>
      </w:r>
      <w:bookmarkEnd w:id="825"/>
      <w:bookmarkEnd w:id="826"/>
    </w:p>
    <w:p w14:paraId="65E05E25" w14:textId="1ABC7923" w:rsidR="0030612D" w:rsidRDefault="005A18DC" w:rsidP="0030612D">
      <w:pPr>
        <w:rPr>
          <w:b/>
          <w:bCs/>
          <w:lang w:val="en-US" w:eastAsia="x-none"/>
        </w:rPr>
      </w:pPr>
      <w:hyperlink r:id="rId2200" w:history="1">
        <w:r w:rsidR="00AF7253">
          <w:rPr>
            <w:rStyle w:val="Hyperlink"/>
            <w:b/>
            <w:bCs/>
            <w:lang w:val="en-US" w:eastAsia="x-none"/>
          </w:rPr>
          <w:t>R1-2312615</w:t>
        </w:r>
      </w:hyperlink>
      <w:r w:rsidR="0030612D" w:rsidRPr="0030612D">
        <w:rPr>
          <w:b/>
          <w:bCs/>
          <w:lang w:val="en-US" w:eastAsia="x-none"/>
        </w:rPr>
        <w:tab/>
        <w:t>Session Notes of AI 8.16.15</w:t>
      </w:r>
      <w:r w:rsidR="0030612D" w:rsidRPr="0030612D">
        <w:rPr>
          <w:b/>
          <w:bCs/>
          <w:lang w:val="en-US" w:eastAsia="x-none"/>
        </w:rPr>
        <w:tab/>
        <w:t>Ad-Hoc Chair (AT&amp;T)</w:t>
      </w:r>
    </w:p>
    <w:p w14:paraId="6B88B16B" w14:textId="77777777" w:rsidR="0030612D" w:rsidRPr="00663F3A" w:rsidRDefault="0030612D" w:rsidP="0030612D">
      <w:pPr>
        <w:rPr>
          <w:lang w:val="en-US" w:eastAsia="x-none"/>
        </w:rPr>
      </w:pPr>
      <w:r w:rsidRPr="00F05EFE">
        <w:rPr>
          <w:b/>
          <w:bCs/>
        </w:rPr>
        <w:t>Friday decision:</w:t>
      </w:r>
      <w:r>
        <w:t xml:space="preserve"> The </w:t>
      </w:r>
      <w:r>
        <w:rPr>
          <w:lang w:val="en-US" w:eastAsia="x-none"/>
        </w:rPr>
        <w:t>s</w:t>
      </w:r>
      <w:r w:rsidRPr="00663F3A">
        <w:rPr>
          <w:lang w:val="en-US" w:eastAsia="x-none"/>
        </w:rPr>
        <w:t>ession notes</w:t>
      </w:r>
      <w:r>
        <w:rPr>
          <w:lang w:val="en-US" w:eastAsia="x-none"/>
        </w:rPr>
        <w:t xml:space="preserve"> (all agreements reached during RAN1#115)</w:t>
      </w:r>
      <w:r w:rsidRPr="00663F3A">
        <w:rPr>
          <w:lang w:val="en-US" w:eastAsia="x-none"/>
        </w:rPr>
        <w:t xml:space="preserve"> are </w:t>
      </w:r>
      <w:r w:rsidRPr="00663F3A">
        <w:rPr>
          <w:highlight w:val="green"/>
          <w:lang w:val="en-US" w:eastAsia="x-none"/>
        </w:rPr>
        <w:t>endorsed</w:t>
      </w:r>
      <w:r w:rsidRPr="00663F3A">
        <w:rPr>
          <w:lang w:val="en-US" w:eastAsia="x-none"/>
        </w:rPr>
        <w:t>.</w:t>
      </w:r>
    </w:p>
    <w:p w14:paraId="2B72958F" w14:textId="77777777" w:rsidR="0030612D" w:rsidRPr="0030612D" w:rsidRDefault="0030612D" w:rsidP="0030612D">
      <w:pPr>
        <w:rPr>
          <w:lang w:val="en-US"/>
        </w:rPr>
      </w:pPr>
    </w:p>
    <w:p w14:paraId="227AC2A9" w14:textId="0A84B2CB" w:rsidR="00F74A6F" w:rsidRPr="009537ED" w:rsidRDefault="005A18DC" w:rsidP="00F74A6F">
      <w:pPr>
        <w:rPr>
          <w:lang w:eastAsia="x-none"/>
        </w:rPr>
      </w:pPr>
      <w:hyperlink r:id="rId2201" w:history="1">
        <w:r w:rsidR="00AF7253">
          <w:rPr>
            <w:rStyle w:val="Hyperlink"/>
            <w:lang w:eastAsia="x-none"/>
          </w:rPr>
          <w:t>R1-2310903</w:t>
        </w:r>
      </w:hyperlink>
      <w:r w:rsidR="00F74A6F" w:rsidRPr="009537ED">
        <w:rPr>
          <w:lang w:eastAsia="x-none"/>
        </w:rPr>
        <w:tab/>
        <w:t>On UE features for BWP without restriction</w:t>
      </w:r>
      <w:r w:rsidR="00F74A6F" w:rsidRPr="009537ED">
        <w:rPr>
          <w:lang w:eastAsia="x-none"/>
        </w:rPr>
        <w:tab/>
        <w:t>Nokia, Nokia Shanghai Bell</w:t>
      </w:r>
    </w:p>
    <w:p w14:paraId="5A8AA343" w14:textId="261F450A" w:rsidR="00F74A6F" w:rsidRPr="009537ED" w:rsidRDefault="005A18DC" w:rsidP="00F74A6F">
      <w:pPr>
        <w:rPr>
          <w:lang w:eastAsia="x-none"/>
        </w:rPr>
      </w:pPr>
      <w:hyperlink r:id="rId2202" w:history="1">
        <w:r w:rsidR="00AF7253">
          <w:rPr>
            <w:rStyle w:val="Hyperlink"/>
            <w:lang w:eastAsia="x-none"/>
          </w:rPr>
          <w:t>R1-2310974</w:t>
        </w:r>
      </w:hyperlink>
      <w:r w:rsidR="00F74A6F" w:rsidRPr="009537ED">
        <w:rPr>
          <w:lang w:eastAsia="x-none"/>
        </w:rPr>
        <w:tab/>
        <w:t>UE features for BWP without restriction</w:t>
      </w:r>
      <w:r w:rsidR="00F74A6F" w:rsidRPr="009537ED">
        <w:rPr>
          <w:lang w:eastAsia="x-none"/>
        </w:rPr>
        <w:tab/>
        <w:t>Ericsson</w:t>
      </w:r>
    </w:p>
    <w:p w14:paraId="13A62153" w14:textId="4CD9DAE8" w:rsidR="00F74A6F" w:rsidRPr="009537ED" w:rsidRDefault="005A18DC" w:rsidP="00F74A6F">
      <w:pPr>
        <w:rPr>
          <w:lang w:eastAsia="x-none"/>
        </w:rPr>
      </w:pPr>
      <w:hyperlink r:id="rId2203" w:history="1">
        <w:r w:rsidR="00AF7253">
          <w:rPr>
            <w:rStyle w:val="Hyperlink"/>
            <w:lang w:eastAsia="x-none"/>
          </w:rPr>
          <w:t>R1-2311653</w:t>
        </w:r>
      </w:hyperlink>
      <w:r w:rsidR="00F74A6F" w:rsidRPr="009537ED">
        <w:rPr>
          <w:lang w:eastAsia="x-none"/>
        </w:rPr>
        <w:tab/>
        <w:t>Discussion on UE features for BWP without restriction</w:t>
      </w:r>
      <w:r w:rsidR="00F74A6F" w:rsidRPr="009537ED">
        <w:rPr>
          <w:lang w:eastAsia="x-none"/>
        </w:rPr>
        <w:tab/>
        <w:t>NTT DOCOMO, INC.</w:t>
      </w:r>
    </w:p>
    <w:p w14:paraId="67593AC7" w14:textId="0DF24605" w:rsidR="00F74A6F" w:rsidRPr="009537ED" w:rsidRDefault="005A18DC" w:rsidP="00F74A6F">
      <w:pPr>
        <w:rPr>
          <w:lang w:eastAsia="x-none"/>
        </w:rPr>
      </w:pPr>
      <w:hyperlink r:id="rId2204" w:history="1">
        <w:r w:rsidR="00AF7253">
          <w:rPr>
            <w:rStyle w:val="Hyperlink"/>
            <w:lang w:eastAsia="x-none"/>
          </w:rPr>
          <w:t>R1-2311781</w:t>
        </w:r>
      </w:hyperlink>
      <w:r w:rsidR="00F74A6F" w:rsidRPr="009537ED">
        <w:rPr>
          <w:lang w:eastAsia="x-none"/>
        </w:rPr>
        <w:tab/>
        <w:t>Remaining clarifications on BWP Without Restriction</w:t>
      </w:r>
      <w:r w:rsidR="00F74A6F" w:rsidRPr="009537ED">
        <w:rPr>
          <w:lang w:eastAsia="x-none"/>
        </w:rPr>
        <w:tab/>
        <w:t>Vodafone, vivo, Nokia, Nokia Shanghai Bell</w:t>
      </w:r>
    </w:p>
    <w:p w14:paraId="6530C506" w14:textId="01AA2E6D" w:rsidR="00F74A6F" w:rsidRPr="009537ED" w:rsidRDefault="005A18DC" w:rsidP="00F74A6F">
      <w:pPr>
        <w:rPr>
          <w:lang w:eastAsia="x-none"/>
        </w:rPr>
      </w:pPr>
      <w:hyperlink r:id="rId2205" w:history="1">
        <w:r w:rsidR="00AF7253">
          <w:rPr>
            <w:rStyle w:val="Hyperlink"/>
            <w:lang w:eastAsia="x-none"/>
          </w:rPr>
          <w:t>R1-2311880</w:t>
        </w:r>
      </w:hyperlink>
      <w:r w:rsidR="00F74A6F" w:rsidRPr="009537ED">
        <w:rPr>
          <w:lang w:eastAsia="x-none"/>
        </w:rPr>
        <w:tab/>
        <w:t>UE features for BWP without restriction</w:t>
      </w:r>
      <w:r w:rsidR="00F74A6F" w:rsidRPr="009537ED">
        <w:rPr>
          <w:lang w:eastAsia="x-none"/>
        </w:rPr>
        <w:tab/>
        <w:t>Samsung</w:t>
      </w:r>
    </w:p>
    <w:p w14:paraId="1B036421" w14:textId="6C5C7101" w:rsidR="00F74A6F" w:rsidRDefault="005A18DC" w:rsidP="00F74A6F">
      <w:pPr>
        <w:rPr>
          <w:lang w:eastAsia="x-none"/>
        </w:rPr>
      </w:pPr>
      <w:hyperlink r:id="rId2206" w:history="1">
        <w:r w:rsidR="00AF7253">
          <w:rPr>
            <w:rStyle w:val="Hyperlink"/>
            <w:lang w:eastAsia="x-none"/>
          </w:rPr>
          <w:t>R1-2312003</w:t>
        </w:r>
      </w:hyperlink>
      <w:r w:rsidR="00F74A6F" w:rsidRPr="009537ED">
        <w:rPr>
          <w:lang w:eastAsia="x-none"/>
        </w:rPr>
        <w:tab/>
        <w:t>UE features for BWP without restriction</w:t>
      </w:r>
      <w:r w:rsidR="00F74A6F" w:rsidRPr="009537ED">
        <w:rPr>
          <w:lang w:eastAsia="x-none"/>
        </w:rPr>
        <w:tab/>
        <w:t>MediaTek Inc.</w:t>
      </w:r>
    </w:p>
    <w:p w14:paraId="3CA15AF3" w14:textId="77777777" w:rsidR="00CB57AA" w:rsidRPr="009537ED" w:rsidRDefault="00CB57AA" w:rsidP="00F74A6F">
      <w:pPr>
        <w:rPr>
          <w:lang w:eastAsia="x-none"/>
        </w:rPr>
      </w:pPr>
    </w:p>
    <w:p w14:paraId="6C24FD82" w14:textId="612208B1" w:rsidR="00F74A6F" w:rsidRPr="00CB57AA" w:rsidRDefault="005A18DC" w:rsidP="00F74A6F">
      <w:pPr>
        <w:rPr>
          <w:b/>
          <w:bCs/>
          <w:lang w:eastAsia="x-none"/>
        </w:rPr>
      </w:pPr>
      <w:hyperlink r:id="rId2207" w:history="1">
        <w:r w:rsidR="00AF7253">
          <w:rPr>
            <w:rStyle w:val="Hyperlink"/>
            <w:b/>
            <w:bCs/>
            <w:lang w:eastAsia="x-none"/>
          </w:rPr>
          <w:t>R1-2312086</w:t>
        </w:r>
      </w:hyperlink>
      <w:r w:rsidR="00F74A6F" w:rsidRPr="00CB57AA">
        <w:rPr>
          <w:b/>
          <w:bCs/>
          <w:lang w:eastAsia="x-none"/>
        </w:rPr>
        <w:tab/>
        <w:t>Summary of UE features for BWP without restriction</w:t>
      </w:r>
      <w:r w:rsidR="00F74A6F" w:rsidRPr="00CB57AA">
        <w:rPr>
          <w:b/>
          <w:bCs/>
          <w:lang w:eastAsia="x-none"/>
        </w:rPr>
        <w:tab/>
        <w:t>Moderator (AT&amp;T)</w:t>
      </w:r>
    </w:p>
    <w:p w14:paraId="6F897886" w14:textId="69A3B95E" w:rsidR="00CB57AA" w:rsidRPr="00065A8D" w:rsidRDefault="00CB57AA" w:rsidP="00CB57AA">
      <w:pPr>
        <w:rPr>
          <w:lang w:eastAsia="x-none"/>
        </w:rPr>
      </w:pPr>
      <w:bookmarkStart w:id="827" w:name="_Toc150174519"/>
      <w:r w:rsidRPr="00955F5C">
        <w:rPr>
          <w:lang w:eastAsia="x-none"/>
        </w:rPr>
        <w:t>This document presents the summary of email discussion [115-R18-UE_features-0</w:t>
      </w:r>
      <w:r>
        <w:rPr>
          <w:lang w:eastAsia="x-none"/>
        </w:rPr>
        <w:t>2</w:t>
      </w:r>
      <w:r w:rsidRPr="00955F5C">
        <w:rPr>
          <w:lang w:eastAsia="x-none"/>
        </w:rPr>
        <w:t xml:space="preserve">] </w:t>
      </w:r>
      <w:r>
        <w:rPr>
          <w:lang w:eastAsia="x-none"/>
        </w:rPr>
        <w:t xml:space="preserve">related to BWP wo restriction </w:t>
      </w:r>
      <w:r w:rsidRPr="00955F5C">
        <w:rPr>
          <w:lang w:eastAsia="x-none"/>
        </w:rPr>
        <w:t>during RAN1 #115.</w:t>
      </w:r>
    </w:p>
    <w:p w14:paraId="621E54EB" w14:textId="51B89B9F" w:rsidR="00F74A6F" w:rsidRPr="009537ED" w:rsidRDefault="00F74A6F" w:rsidP="00F74A6F">
      <w:pPr>
        <w:pStyle w:val="Heading3"/>
      </w:pPr>
      <w:bookmarkStart w:id="828" w:name="_Toc159251061"/>
      <w:r w:rsidRPr="009537ED">
        <w:t>Other</w:t>
      </w:r>
      <w:bookmarkEnd w:id="827"/>
      <w:bookmarkEnd w:id="828"/>
    </w:p>
    <w:p w14:paraId="40AC9C67" w14:textId="77777777" w:rsidR="00F74A6F" w:rsidRPr="009537ED" w:rsidRDefault="00F74A6F" w:rsidP="00F74A6F">
      <w:pPr>
        <w:rPr>
          <w:i/>
          <w:lang w:eastAsia="x-none"/>
        </w:rPr>
      </w:pPr>
      <w:r w:rsidRPr="009537ED">
        <w:rPr>
          <w:i/>
          <w:lang w:eastAsia="x-none"/>
        </w:rPr>
        <w:t>Including UE features for endorsed TEI proposals.</w:t>
      </w:r>
    </w:p>
    <w:p w14:paraId="0406A04B" w14:textId="77777777" w:rsidR="00F74A6F" w:rsidRDefault="00F74A6F" w:rsidP="00F74A6F"/>
    <w:p w14:paraId="115ED7D5" w14:textId="4A126E23" w:rsidR="00B86E76" w:rsidRDefault="005A18DC" w:rsidP="00B86E76">
      <w:pPr>
        <w:rPr>
          <w:b/>
          <w:bCs/>
          <w:lang w:eastAsia="x-none"/>
        </w:rPr>
      </w:pPr>
      <w:hyperlink r:id="rId2208" w:history="1">
        <w:r w:rsidR="00AF7253">
          <w:rPr>
            <w:rStyle w:val="Hyperlink"/>
            <w:b/>
            <w:bCs/>
            <w:lang w:eastAsia="x-none"/>
          </w:rPr>
          <w:t>R1-2312582</w:t>
        </w:r>
      </w:hyperlink>
      <w:r w:rsidR="00B86E76" w:rsidRPr="00B86E76">
        <w:rPr>
          <w:b/>
          <w:bCs/>
          <w:lang w:eastAsia="x-none"/>
        </w:rPr>
        <w:tab/>
        <w:t>Session Notes for 8.16.16</w:t>
      </w:r>
      <w:r w:rsidR="00B86E76" w:rsidRPr="00B86E76">
        <w:rPr>
          <w:b/>
          <w:bCs/>
          <w:lang w:eastAsia="x-none"/>
        </w:rPr>
        <w:tab/>
        <w:t>Ad-Hoc Chair (NTT DOCOMO)</w:t>
      </w:r>
    </w:p>
    <w:p w14:paraId="7E8AC996" w14:textId="77777777" w:rsidR="00B86E76" w:rsidRPr="00663F3A" w:rsidRDefault="00B86E76" w:rsidP="00B86E76">
      <w:pPr>
        <w:rPr>
          <w:lang w:val="en-US" w:eastAsia="x-none"/>
        </w:rPr>
      </w:pPr>
      <w:r w:rsidRPr="00F05EFE">
        <w:rPr>
          <w:b/>
          <w:bCs/>
        </w:rPr>
        <w:t>Friday decision:</w:t>
      </w:r>
      <w:r>
        <w:t xml:space="preserve"> The </w:t>
      </w:r>
      <w:r>
        <w:rPr>
          <w:lang w:val="en-US" w:eastAsia="x-none"/>
        </w:rPr>
        <w:t>s</w:t>
      </w:r>
      <w:r w:rsidRPr="00663F3A">
        <w:rPr>
          <w:lang w:val="en-US" w:eastAsia="x-none"/>
        </w:rPr>
        <w:t>ession notes</w:t>
      </w:r>
      <w:r>
        <w:rPr>
          <w:lang w:val="en-US" w:eastAsia="x-none"/>
        </w:rPr>
        <w:t xml:space="preserve"> (all agreements reached during RAN1#115)</w:t>
      </w:r>
      <w:r w:rsidRPr="00663F3A">
        <w:rPr>
          <w:lang w:val="en-US" w:eastAsia="x-none"/>
        </w:rPr>
        <w:t xml:space="preserve"> are </w:t>
      </w:r>
      <w:r w:rsidRPr="00663F3A">
        <w:rPr>
          <w:highlight w:val="green"/>
          <w:lang w:val="en-US" w:eastAsia="x-none"/>
        </w:rPr>
        <w:t>endorsed</w:t>
      </w:r>
      <w:r w:rsidRPr="00663F3A">
        <w:rPr>
          <w:lang w:val="en-US" w:eastAsia="x-none"/>
        </w:rPr>
        <w:t>.</w:t>
      </w:r>
    </w:p>
    <w:p w14:paraId="7531C4FB" w14:textId="77777777" w:rsidR="00B86E76" w:rsidRPr="00B86E76" w:rsidRDefault="00B86E76" w:rsidP="00F74A6F">
      <w:pPr>
        <w:rPr>
          <w:lang w:val="en-US"/>
        </w:rPr>
      </w:pPr>
    </w:p>
    <w:p w14:paraId="38F8FDE0" w14:textId="3F3A6373" w:rsidR="00F74A6F" w:rsidRPr="009537ED" w:rsidRDefault="005A18DC" w:rsidP="00F74A6F">
      <w:pPr>
        <w:rPr>
          <w:lang w:eastAsia="x-none"/>
        </w:rPr>
      </w:pPr>
      <w:hyperlink r:id="rId2209" w:history="1">
        <w:r w:rsidR="00AF7253">
          <w:rPr>
            <w:rStyle w:val="Hyperlink"/>
            <w:lang w:eastAsia="x-none"/>
          </w:rPr>
          <w:t>R1-2310904</w:t>
        </w:r>
      </w:hyperlink>
      <w:r w:rsidR="00F74A6F" w:rsidRPr="009537ED">
        <w:rPr>
          <w:lang w:eastAsia="x-none"/>
        </w:rPr>
        <w:tab/>
        <w:t>On UE features for TEI18</w:t>
      </w:r>
      <w:r w:rsidR="00F74A6F" w:rsidRPr="009537ED">
        <w:rPr>
          <w:lang w:eastAsia="x-none"/>
        </w:rPr>
        <w:tab/>
        <w:t>Nokia, Nokia Shanghai Bell</w:t>
      </w:r>
    </w:p>
    <w:p w14:paraId="433047C7" w14:textId="0FF47CA0" w:rsidR="00F74A6F" w:rsidRPr="009537ED" w:rsidRDefault="005A18DC" w:rsidP="00F74A6F">
      <w:pPr>
        <w:rPr>
          <w:lang w:eastAsia="x-none"/>
        </w:rPr>
      </w:pPr>
      <w:hyperlink r:id="rId2210" w:history="1">
        <w:r w:rsidR="00AF7253">
          <w:rPr>
            <w:rStyle w:val="Hyperlink"/>
            <w:lang w:eastAsia="x-none"/>
          </w:rPr>
          <w:t>R1-2311029</w:t>
        </w:r>
      </w:hyperlink>
      <w:r w:rsidR="00F74A6F" w:rsidRPr="009537ED">
        <w:rPr>
          <w:lang w:eastAsia="x-none"/>
        </w:rPr>
        <w:tab/>
        <w:t>Discussion on UE feature for Rel-18 TEI</w:t>
      </w:r>
      <w:r w:rsidR="00F74A6F" w:rsidRPr="009537ED">
        <w:rPr>
          <w:lang w:eastAsia="x-none"/>
        </w:rPr>
        <w:tab/>
        <w:t>ZTE</w:t>
      </w:r>
    </w:p>
    <w:p w14:paraId="2E3E691F" w14:textId="45259289" w:rsidR="00F74A6F" w:rsidRPr="009537ED" w:rsidRDefault="005A18DC" w:rsidP="00F74A6F">
      <w:pPr>
        <w:rPr>
          <w:lang w:eastAsia="x-none"/>
        </w:rPr>
      </w:pPr>
      <w:hyperlink r:id="rId2211" w:history="1">
        <w:r w:rsidR="00AF7253">
          <w:rPr>
            <w:rStyle w:val="Hyperlink"/>
            <w:lang w:eastAsia="x-none"/>
          </w:rPr>
          <w:t>R1-2311140</w:t>
        </w:r>
      </w:hyperlink>
      <w:r w:rsidR="00F74A6F" w:rsidRPr="009537ED">
        <w:rPr>
          <w:lang w:eastAsia="x-none"/>
        </w:rPr>
        <w:tab/>
        <w:t>Discussion on UE features for TEI</w:t>
      </w:r>
      <w:r w:rsidR="00F74A6F" w:rsidRPr="009537ED">
        <w:rPr>
          <w:lang w:eastAsia="x-none"/>
        </w:rPr>
        <w:tab/>
        <w:t>Intel Corporation</w:t>
      </w:r>
    </w:p>
    <w:p w14:paraId="2B539D35" w14:textId="0AB7277F" w:rsidR="00F74A6F" w:rsidRPr="009537ED" w:rsidRDefault="005A18DC" w:rsidP="00F74A6F">
      <w:pPr>
        <w:rPr>
          <w:lang w:eastAsia="x-none"/>
        </w:rPr>
      </w:pPr>
      <w:hyperlink r:id="rId2212" w:history="1">
        <w:r w:rsidR="00AF7253">
          <w:rPr>
            <w:rStyle w:val="Hyperlink"/>
            <w:lang w:eastAsia="x-none"/>
          </w:rPr>
          <w:t>R1-2311881</w:t>
        </w:r>
      </w:hyperlink>
      <w:r w:rsidR="00F74A6F" w:rsidRPr="009537ED">
        <w:rPr>
          <w:lang w:eastAsia="x-none"/>
        </w:rPr>
        <w:tab/>
        <w:t>UE features for endorsed Rel-18 TEI</w:t>
      </w:r>
      <w:r w:rsidR="00F74A6F" w:rsidRPr="009537ED">
        <w:rPr>
          <w:lang w:eastAsia="x-none"/>
        </w:rPr>
        <w:tab/>
        <w:t>Samsung</w:t>
      </w:r>
    </w:p>
    <w:p w14:paraId="41C2D704" w14:textId="60FBE310" w:rsidR="00F74A6F" w:rsidRPr="009537ED" w:rsidRDefault="005A18DC" w:rsidP="00F74A6F">
      <w:pPr>
        <w:rPr>
          <w:lang w:eastAsia="x-none"/>
        </w:rPr>
      </w:pPr>
      <w:hyperlink r:id="rId2213" w:history="1">
        <w:r w:rsidR="00AF7253">
          <w:rPr>
            <w:rStyle w:val="Hyperlink"/>
            <w:lang w:eastAsia="x-none"/>
          </w:rPr>
          <w:t>R1-2312073</w:t>
        </w:r>
      </w:hyperlink>
      <w:r w:rsidR="00F74A6F" w:rsidRPr="009537ED">
        <w:rPr>
          <w:lang w:eastAsia="x-none"/>
        </w:rPr>
        <w:tab/>
        <w:t>UE features for endorsed TEI proposals.</w:t>
      </w:r>
      <w:r w:rsidR="00F74A6F" w:rsidRPr="009537ED">
        <w:rPr>
          <w:lang w:eastAsia="x-none"/>
        </w:rPr>
        <w:tab/>
        <w:t>Qualcomm Incorporated</w:t>
      </w:r>
    </w:p>
    <w:p w14:paraId="6ABF8958" w14:textId="56E07D7E" w:rsidR="00F74A6F" w:rsidRPr="009537ED" w:rsidRDefault="005A18DC" w:rsidP="00F74A6F">
      <w:pPr>
        <w:rPr>
          <w:lang w:eastAsia="x-none"/>
        </w:rPr>
      </w:pPr>
      <w:hyperlink r:id="rId2214" w:history="1">
        <w:r w:rsidR="00AF7253">
          <w:rPr>
            <w:rStyle w:val="Hyperlink"/>
            <w:lang w:eastAsia="x-none"/>
          </w:rPr>
          <w:t>R1-2312227</w:t>
        </w:r>
      </w:hyperlink>
      <w:r w:rsidR="00F74A6F" w:rsidRPr="009537ED">
        <w:rPr>
          <w:lang w:eastAsia="x-none"/>
        </w:rPr>
        <w:tab/>
        <w:t>UE features for endorsed Rel-18 TEI on HARQ multiplexing on PUSCH</w:t>
      </w:r>
      <w:r w:rsidR="00F74A6F" w:rsidRPr="009537ED">
        <w:rPr>
          <w:lang w:eastAsia="x-none"/>
        </w:rPr>
        <w:tab/>
        <w:t>Huawei, HiSilicon</w:t>
      </w:r>
    </w:p>
    <w:p w14:paraId="5104ED74" w14:textId="40935167" w:rsidR="00F74A6F" w:rsidRDefault="005A18DC" w:rsidP="00F74A6F">
      <w:pPr>
        <w:rPr>
          <w:lang w:eastAsia="x-none"/>
        </w:rPr>
      </w:pPr>
      <w:hyperlink r:id="rId2215" w:history="1">
        <w:r w:rsidR="00AF7253">
          <w:rPr>
            <w:rStyle w:val="Hyperlink"/>
            <w:lang w:eastAsia="x-none"/>
          </w:rPr>
          <w:t>R1-2312244</w:t>
        </w:r>
      </w:hyperlink>
      <w:r w:rsidR="00F74A6F" w:rsidRPr="009537ED">
        <w:rPr>
          <w:lang w:eastAsia="x-none"/>
        </w:rPr>
        <w:tab/>
        <w:t>On UE features for HARQ-ACK multiplexing on PUSCH TEI</w:t>
      </w:r>
      <w:r w:rsidR="00F74A6F" w:rsidRPr="009537ED">
        <w:rPr>
          <w:lang w:eastAsia="x-none"/>
        </w:rPr>
        <w:tab/>
        <w:t>Ericsson</w:t>
      </w:r>
    </w:p>
    <w:p w14:paraId="036D0BA5" w14:textId="77777777" w:rsidR="001359FB" w:rsidRDefault="001359FB" w:rsidP="00F74A6F">
      <w:pPr>
        <w:rPr>
          <w:lang w:eastAsia="x-none"/>
        </w:rPr>
      </w:pPr>
    </w:p>
    <w:p w14:paraId="0B0BA57E" w14:textId="7CB904FA" w:rsidR="001359FB" w:rsidRDefault="005A18DC" w:rsidP="00F74A6F">
      <w:pPr>
        <w:rPr>
          <w:b/>
          <w:bCs/>
          <w:lang w:eastAsia="x-none"/>
        </w:rPr>
      </w:pPr>
      <w:hyperlink r:id="rId2216" w:history="1">
        <w:r w:rsidR="00AF7253">
          <w:rPr>
            <w:rStyle w:val="Hyperlink"/>
            <w:b/>
            <w:bCs/>
            <w:lang w:eastAsia="x-none"/>
          </w:rPr>
          <w:t>R1-2312590</w:t>
        </w:r>
      </w:hyperlink>
      <w:r w:rsidR="001359FB" w:rsidRPr="001359FB">
        <w:rPr>
          <w:b/>
          <w:bCs/>
          <w:lang w:eastAsia="x-none"/>
        </w:rPr>
        <w:tab/>
        <w:t>Summary on UE features for TEIs</w:t>
      </w:r>
      <w:r w:rsidR="001359FB" w:rsidRPr="001359FB">
        <w:rPr>
          <w:b/>
          <w:bCs/>
          <w:lang w:eastAsia="x-none"/>
        </w:rPr>
        <w:tab/>
        <w:t>Moderator (NTT DOCOMO)</w:t>
      </w:r>
    </w:p>
    <w:p w14:paraId="4E3D3110" w14:textId="3FF883AF" w:rsidR="00CB57AA" w:rsidRPr="00CB57AA" w:rsidRDefault="00CB57AA" w:rsidP="00F74A6F">
      <w:pPr>
        <w:rPr>
          <w:lang w:eastAsia="x-none"/>
        </w:rPr>
      </w:pPr>
      <w:r w:rsidRPr="00955F5C">
        <w:rPr>
          <w:lang w:eastAsia="x-none"/>
        </w:rPr>
        <w:t>This document presents the summary of email discussion [115-R18-UE_features-0</w:t>
      </w:r>
      <w:r>
        <w:rPr>
          <w:lang w:eastAsia="x-none"/>
        </w:rPr>
        <w:t>1</w:t>
      </w:r>
      <w:r w:rsidRPr="00955F5C">
        <w:rPr>
          <w:lang w:eastAsia="x-none"/>
        </w:rPr>
        <w:t xml:space="preserve">] </w:t>
      </w:r>
      <w:r>
        <w:rPr>
          <w:lang w:eastAsia="x-none"/>
        </w:rPr>
        <w:t xml:space="preserve">related to TEI </w:t>
      </w:r>
      <w:r w:rsidRPr="00955F5C">
        <w:rPr>
          <w:lang w:eastAsia="x-none"/>
        </w:rPr>
        <w:t>during RAN1 #115.</w:t>
      </w:r>
    </w:p>
    <w:p w14:paraId="451657FA" w14:textId="074B39E0" w:rsidR="00F74A6F" w:rsidRPr="009537ED" w:rsidRDefault="00F74A6F" w:rsidP="00F74A6F">
      <w:pPr>
        <w:pStyle w:val="Heading2"/>
      </w:pPr>
      <w:bookmarkStart w:id="829" w:name="_Toc150174520"/>
      <w:bookmarkStart w:id="830" w:name="_Toc159251062"/>
      <w:r w:rsidRPr="009537ED">
        <w:t>Other</w:t>
      </w:r>
      <w:bookmarkEnd w:id="829"/>
      <w:bookmarkEnd w:id="830"/>
    </w:p>
    <w:p w14:paraId="0539EDB0" w14:textId="77777777" w:rsidR="00F74A6F" w:rsidRPr="009537ED" w:rsidRDefault="00F74A6F" w:rsidP="00F74A6F">
      <w:pPr>
        <w:rPr>
          <w:i/>
          <w:iCs/>
        </w:rPr>
      </w:pPr>
      <w:r w:rsidRPr="009537ED">
        <w:rPr>
          <w:i/>
          <w:iCs/>
        </w:rPr>
        <w:t>Including any maintenance related discussions BWP without restriction and endorsed TEI proposals.</w:t>
      </w:r>
    </w:p>
    <w:p w14:paraId="1A602094" w14:textId="77777777" w:rsidR="00F74A6F" w:rsidRPr="009537ED" w:rsidRDefault="00F74A6F" w:rsidP="00F74A6F">
      <w:pPr>
        <w:rPr>
          <w:i/>
          <w:iCs/>
        </w:rPr>
      </w:pPr>
    </w:p>
    <w:p w14:paraId="2F93B77E" w14:textId="77777777" w:rsidR="00F02E47" w:rsidRPr="004A041D" w:rsidRDefault="00F74A6F" w:rsidP="00F74A6F">
      <w:pPr>
        <w:rPr>
          <w:lang w:eastAsia="x-none"/>
        </w:rPr>
      </w:pPr>
      <w:r w:rsidRPr="004A041D">
        <w:rPr>
          <w:lang w:eastAsia="x-none"/>
        </w:rPr>
        <w:t xml:space="preserve">[115-R18-Others] </w:t>
      </w:r>
      <w:r w:rsidR="00F02E47" w:rsidRPr="004A041D">
        <w:rPr>
          <w:lang w:eastAsia="x-none"/>
        </w:rPr>
        <w:t xml:space="preserve">– RAN1 Chair </w:t>
      </w:r>
    </w:p>
    <w:p w14:paraId="74CE849C" w14:textId="17EB0E63" w:rsidR="00F74A6F" w:rsidRPr="004A041D" w:rsidRDefault="00F74A6F" w:rsidP="00F74A6F">
      <w:pPr>
        <w:rPr>
          <w:lang w:eastAsia="x-none"/>
        </w:rPr>
      </w:pPr>
      <w:r w:rsidRPr="004A041D">
        <w:rPr>
          <w:lang w:eastAsia="x-none"/>
        </w:rPr>
        <w:t>To be used for sharing updates on online/offline schedule, details on what is to be discussed in online/offline sessions, tdoc number of the moderator summary for online session, etc</w:t>
      </w:r>
    </w:p>
    <w:p w14:paraId="31C25360" w14:textId="77777777" w:rsidR="00F74A6F" w:rsidRPr="009537ED" w:rsidRDefault="00F74A6F" w:rsidP="00F74A6F">
      <w:pPr>
        <w:rPr>
          <w:i/>
          <w:iCs/>
        </w:rPr>
      </w:pPr>
    </w:p>
    <w:p w14:paraId="070569B6" w14:textId="6E5A0F6A" w:rsidR="00F74A6F" w:rsidRPr="009537ED" w:rsidRDefault="005A18DC" w:rsidP="00F74A6F">
      <w:pPr>
        <w:rPr>
          <w:iCs/>
        </w:rPr>
      </w:pPr>
      <w:hyperlink r:id="rId2217" w:history="1">
        <w:r w:rsidR="00AF7253">
          <w:rPr>
            <w:rStyle w:val="Hyperlink"/>
            <w:iCs/>
          </w:rPr>
          <w:t>R1-2310934</w:t>
        </w:r>
      </w:hyperlink>
      <w:r w:rsidR="00F74A6F" w:rsidRPr="009537ED">
        <w:rPr>
          <w:iCs/>
        </w:rPr>
        <w:tab/>
        <w:t>Discussion on enhanced sidelink operation on FR2 licensed spectrum</w:t>
      </w:r>
      <w:r w:rsidR="00F74A6F" w:rsidRPr="009537ED">
        <w:rPr>
          <w:iCs/>
        </w:rPr>
        <w:tab/>
        <w:t>KRRI</w:t>
      </w:r>
    </w:p>
    <w:p w14:paraId="75B52ACE" w14:textId="7F1AC842" w:rsidR="00F74A6F" w:rsidRPr="00F02E47" w:rsidRDefault="00F02E47" w:rsidP="00F74A6F">
      <w:pPr>
        <w:rPr>
          <w:iCs/>
        </w:rPr>
      </w:pPr>
      <w:r w:rsidRPr="00F02E47">
        <w:rPr>
          <w:b/>
          <w:bCs/>
          <w:iCs/>
        </w:rPr>
        <w:t>Decision:</w:t>
      </w:r>
      <w:r>
        <w:rPr>
          <w:iCs/>
        </w:rPr>
        <w:t xml:space="preserve"> </w:t>
      </w:r>
      <w:r w:rsidR="00F74A6F" w:rsidRPr="00F02E47">
        <w:rPr>
          <w:iCs/>
        </w:rPr>
        <w:t>The study on sidelink operation on FR2 licensed spectrum has been completed in RAN1#114. No further RAN1 action necessary.</w:t>
      </w:r>
    </w:p>
    <w:p w14:paraId="423809D0" w14:textId="77777777" w:rsidR="00F74A6F" w:rsidRDefault="00F74A6F" w:rsidP="00F74A6F">
      <w:pPr>
        <w:rPr>
          <w:iCs/>
        </w:rPr>
      </w:pPr>
    </w:p>
    <w:p w14:paraId="214D797F" w14:textId="3591DEB0" w:rsidR="00F02E47" w:rsidRPr="00F02E47" w:rsidRDefault="00F02E47" w:rsidP="00F74A6F">
      <w:pPr>
        <w:rPr>
          <w:iCs/>
        </w:rPr>
      </w:pPr>
      <w:r>
        <w:rPr>
          <w:iCs/>
        </w:rPr>
        <w:t>-------------------------</w:t>
      </w:r>
    </w:p>
    <w:p w14:paraId="7ADD3678" w14:textId="0DFA220D" w:rsidR="00F74A6F" w:rsidRPr="00F02E47" w:rsidRDefault="005A18DC" w:rsidP="00F74A6F">
      <w:pPr>
        <w:rPr>
          <w:iCs/>
        </w:rPr>
      </w:pPr>
      <w:hyperlink r:id="rId2218" w:history="1">
        <w:r w:rsidR="00AF7253">
          <w:rPr>
            <w:rStyle w:val="Hyperlink"/>
            <w:iCs/>
          </w:rPr>
          <w:t>R1-2311506</w:t>
        </w:r>
      </w:hyperlink>
      <w:r w:rsidR="00F74A6F" w:rsidRPr="00F02E47">
        <w:rPr>
          <w:iCs/>
        </w:rPr>
        <w:tab/>
        <w:t>TP for TR 38.858 Study on Evolution of NR Duplex Operation</w:t>
      </w:r>
      <w:r w:rsidR="00F74A6F" w:rsidRPr="00F02E47">
        <w:rPr>
          <w:iCs/>
        </w:rPr>
        <w:tab/>
        <w:t>CMCC, Samsung</w:t>
      </w:r>
    </w:p>
    <w:p w14:paraId="49FF7CA2" w14:textId="47C64741" w:rsidR="000C218C" w:rsidRPr="004A041D" w:rsidRDefault="005A18DC" w:rsidP="000C218C">
      <w:pPr>
        <w:rPr>
          <w:b/>
          <w:bCs/>
          <w:iCs/>
        </w:rPr>
      </w:pPr>
      <w:hyperlink r:id="rId2219" w:history="1">
        <w:r w:rsidR="00AF7253">
          <w:rPr>
            <w:rStyle w:val="Hyperlink"/>
            <w:b/>
            <w:bCs/>
            <w:iCs/>
          </w:rPr>
          <w:t>R1-2312309</w:t>
        </w:r>
      </w:hyperlink>
      <w:r w:rsidR="000C218C" w:rsidRPr="004A041D">
        <w:rPr>
          <w:b/>
          <w:bCs/>
          <w:iCs/>
        </w:rPr>
        <w:tab/>
        <w:t>TR 38.858 v1.0.1 Study on Evolution of NR Duplex Operation</w:t>
      </w:r>
      <w:r w:rsidR="000C218C" w:rsidRPr="004A041D">
        <w:rPr>
          <w:b/>
          <w:bCs/>
          <w:iCs/>
        </w:rPr>
        <w:tab/>
        <w:t>ETSI MCC</w:t>
      </w:r>
    </w:p>
    <w:p w14:paraId="137F857E" w14:textId="77777777" w:rsidR="00F74A6F" w:rsidRPr="00F02E47" w:rsidRDefault="00F74A6F" w:rsidP="00F74A6F">
      <w:pPr>
        <w:rPr>
          <w:iCs/>
        </w:rPr>
      </w:pPr>
      <w:r w:rsidRPr="00F02E47">
        <w:rPr>
          <w:iCs/>
        </w:rPr>
        <w:t>Check status on Tuesday. Contact Kyungjun (Samsung) if there are any issues on the TP.</w:t>
      </w:r>
    </w:p>
    <w:p w14:paraId="3D85B370" w14:textId="7C1CC967" w:rsidR="00F02E47" w:rsidRPr="00F02E47" w:rsidRDefault="005A18DC" w:rsidP="00F02E47">
      <w:pPr>
        <w:rPr>
          <w:b/>
          <w:bCs/>
          <w:lang w:eastAsia="x-none"/>
        </w:rPr>
      </w:pPr>
      <w:hyperlink r:id="rId2220" w:history="1">
        <w:r w:rsidR="00AF7253">
          <w:rPr>
            <w:rStyle w:val="Hyperlink"/>
            <w:b/>
            <w:bCs/>
            <w:lang w:eastAsia="x-none"/>
          </w:rPr>
          <w:t>R1-2312429</w:t>
        </w:r>
      </w:hyperlink>
      <w:r w:rsidR="00F02E47" w:rsidRPr="00F02E47">
        <w:rPr>
          <w:b/>
          <w:bCs/>
          <w:lang w:eastAsia="x-none"/>
        </w:rPr>
        <w:tab/>
        <w:t>TP for TR 38.858 Study on Evolution of NR Duplex Operation</w:t>
      </w:r>
      <w:r w:rsidR="00F02E47" w:rsidRPr="00F02E47">
        <w:rPr>
          <w:b/>
          <w:bCs/>
          <w:lang w:eastAsia="x-none"/>
        </w:rPr>
        <w:tab/>
        <w:t>Moderator (Samsung)</w:t>
      </w:r>
    </w:p>
    <w:p w14:paraId="1E30FBD5" w14:textId="1538012B" w:rsidR="00F74A6F" w:rsidRDefault="00F02E47" w:rsidP="00F74A6F">
      <w:pPr>
        <w:rPr>
          <w:iCs/>
        </w:rPr>
      </w:pPr>
      <w:r>
        <w:rPr>
          <w:iCs/>
        </w:rPr>
        <w:t>From Tuesday session</w:t>
      </w:r>
    </w:p>
    <w:p w14:paraId="2075085D" w14:textId="77777777" w:rsidR="00F02E47" w:rsidRPr="003762F9" w:rsidRDefault="00F02E47" w:rsidP="00F02E47">
      <w:pPr>
        <w:rPr>
          <w:iCs/>
          <w:highlight w:val="green"/>
        </w:rPr>
      </w:pPr>
      <w:r w:rsidRPr="003762F9">
        <w:rPr>
          <w:iCs/>
          <w:highlight w:val="green"/>
        </w:rPr>
        <w:t>Agreement</w:t>
      </w:r>
    </w:p>
    <w:p w14:paraId="44CEA69C" w14:textId="4C1BFC8B" w:rsidR="00F02E47" w:rsidRDefault="00F02E47" w:rsidP="00F02E47">
      <w:pPr>
        <w:rPr>
          <w:iCs/>
        </w:rPr>
      </w:pPr>
      <w:r>
        <w:rPr>
          <w:iCs/>
        </w:rPr>
        <w:t>The TP in x2429 is endorsed for TR 38.858.</w:t>
      </w:r>
    </w:p>
    <w:p w14:paraId="08E84E61" w14:textId="77777777" w:rsidR="00F02E47" w:rsidRDefault="00F02E47" w:rsidP="00F74A6F">
      <w:pPr>
        <w:rPr>
          <w:iCs/>
        </w:rPr>
      </w:pPr>
    </w:p>
    <w:p w14:paraId="2B5F3D36" w14:textId="77777777" w:rsidR="00F02E47" w:rsidRPr="00F02E47" w:rsidRDefault="00F02E47" w:rsidP="00F02E47">
      <w:pPr>
        <w:rPr>
          <w:iCs/>
        </w:rPr>
      </w:pPr>
      <w:r>
        <w:rPr>
          <w:iCs/>
        </w:rPr>
        <w:t>-------------------------</w:t>
      </w:r>
    </w:p>
    <w:p w14:paraId="5839D1AD" w14:textId="779CDB78" w:rsidR="00F74A6F" w:rsidRPr="009537ED" w:rsidRDefault="005A18DC" w:rsidP="00F74A6F">
      <w:pPr>
        <w:rPr>
          <w:iCs/>
        </w:rPr>
      </w:pPr>
      <w:hyperlink r:id="rId2221" w:history="1">
        <w:r w:rsidR="00AF7253">
          <w:rPr>
            <w:rStyle w:val="Hyperlink"/>
            <w:iCs/>
          </w:rPr>
          <w:t>R1-2311127</w:t>
        </w:r>
      </w:hyperlink>
      <w:r w:rsidR="00F74A6F" w:rsidRPr="009537ED">
        <w:rPr>
          <w:iCs/>
        </w:rPr>
        <w:tab/>
        <w:t>Maintenance for BWP without restriction</w:t>
      </w:r>
      <w:r w:rsidR="00F74A6F" w:rsidRPr="009537ED">
        <w:rPr>
          <w:iCs/>
        </w:rPr>
        <w:tab/>
        <w:t>vivo, Vodafone</w:t>
      </w:r>
    </w:p>
    <w:p w14:paraId="3D2DB5A3" w14:textId="478ABAF5" w:rsidR="00F74A6F" w:rsidRPr="009537ED" w:rsidRDefault="005A18DC" w:rsidP="00F74A6F">
      <w:pPr>
        <w:rPr>
          <w:iCs/>
        </w:rPr>
      </w:pPr>
      <w:hyperlink r:id="rId2222" w:history="1">
        <w:r w:rsidR="00AF7253">
          <w:rPr>
            <w:rStyle w:val="Hyperlink"/>
            <w:iCs/>
          </w:rPr>
          <w:t>R1-2312074</w:t>
        </w:r>
      </w:hyperlink>
      <w:r w:rsidR="00F74A6F" w:rsidRPr="009537ED">
        <w:rPr>
          <w:iCs/>
        </w:rPr>
        <w:tab/>
        <w:t>Maintenance for BWP without restriction</w:t>
      </w:r>
      <w:r w:rsidR="00F74A6F" w:rsidRPr="009537ED">
        <w:rPr>
          <w:iCs/>
        </w:rPr>
        <w:tab/>
        <w:t>Qualcomm Incorporated</w:t>
      </w:r>
    </w:p>
    <w:p w14:paraId="1D9DF540" w14:textId="41B5A0DD" w:rsidR="00F74A6F" w:rsidRPr="009537ED" w:rsidRDefault="005A18DC" w:rsidP="00F74A6F">
      <w:pPr>
        <w:rPr>
          <w:iCs/>
        </w:rPr>
      </w:pPr>
      <w:hyperlink r:id="rId2223" w:history="1">
        <w:r w:rsidR="00AF7253">
          <w:rPr>
            <w:rStyle w:val="Hyperlink"/>
            <w:iCs/>
          </w:rPr>
          <w:t>R1-2312203</w:t>
        </w:r>
      </w:hyperlink>
      <w:r w:rsidR="00F74A6F" w:rsidRPr="009537ED">
        <w:rPr>
          <w:iCs/>
        </w:rPr>
        <w:tab/>
        <w:t>Correction to the Bandwidth Part without Restriction capability names</w:t>
      </w:r>
      <w:r w:rsidR="00F74A6F" w:rsidRPr="009537ED">
        <w:rPr>
          <w:iCs/>
        </w:rPr>
        <w:tab/>
        <w:t>Nokia, Nokia Shanghai Bell</w:t>
      </w:r>
    </w:p>
    <w:p w14:paraId="4FD65338" w14:textId="77777777" w:rsidR="00F74A6F" w:rsidRPr="004A041D" w:rsidRDefault="00F74A6F" w:rsidP="00F74A6F">
      <w:pPr>
        <w:rPr>
          <w:iCs/>
        </w:rPr>
      </w:pPr>
      <w:r w:rsidRPr="004A041D">
        <w:rPr>
          <w:iCs/>
        </w:rPr>
        <w:t>To be moderated by Diogo (Vodafone). Check status on Tuesday.</w:t>
      </w:r>
    </w:p>
    <w:p w14:paraId="3C3333B3" w14:textId="18D3EB21" w:rsidR="00F02E47" w:rsidRPr="00F02E47" w:rsidRDefault="005A18DC" w:rsidP="00F02E47">
      <w:pPr>
        <w:rPr>
          <w:b/>
          <w:bCs/>
          <w:lang w:eastAsia="x-none"/>
        </w:rPr>
      </w:pPr>
      <w:hyperlink r:id="rId2224" w:history="1">
        <w:r w:rsidR="00AF7253">
          <w:rPr>
            <w:rStyle w:val="Hyperlink"/>
            <w:b/>
            <w:bCs/>
            <w:lang w:eastAsia="x-none"/>
          </w:rPr>
          <w:t>R1-2312431</w:t>
        </w:r>
      </w:hyperlink>
      <w:r w:rsidR="00F02E47" w:rsidRPr="00F02E47">
        <w:rPr>
          <w:b/>
          <w:bCs/>
          <w:lang w:eastAsia="x-none"/>
        </w:rPr>
        <w:tab/>
        <w:t>Draft summary of discussion on BWP Without Restriction maintenance</w:t>
      </w:r>
      <w:r w:rsidR="00F02E47" w:rsidRPr="00F02E47">
        <w:rPr>
          <w:b/>
          <w:bCs/>
          <w:lang w:eastAsia="x-none"/>
        </w:rPr>
        <w:tab/>
        <w:t>Moderator (Vodafone)</w:t>
      </w:r>
    </w:p>
    <w:p w14:paraId="7EF30E03" w14:textId="77777777" w:rsidR="004A041D" w:rsidRDefault="004A041D" w:rsidP="004A041D">
      <w:pPr>
        <w:rPr>
          <w:iCs/>
        </w:rPr>
      </w:pPr>
      <w:r>
        <w:rPr>
          <w:iCs/>
        </w:rPr>
        <w:t>From Tuesday session</w:t>
      </w:r>
    </w:p>
    <w:p w14:paraId="4D6D7729" w14:textId="77777777" w:rsidR="004A041D" w:rsidRPr="003762F9" w:rsidRDefault="004A041D" w:rsidP="004A041D">
      <w:pPr>
        <w:rPr>
          <w:iCs/>
          <w:highlight w:val="green"/>
        </w:rPr>
      </w:pPr>
      <w:r w:rsidRPr="003762F9">
        <w:rPr>
          <w:iCs/>
          <w:highlight w:val="green"/>
        </w:rPr>
        <w:t>Agreement</w:t>
      </w:r>
    </w:p>
    <w:p w14:paraId="2AD6BD72" w14:textId="69B47B78" w:rsidR="00F02E47" w:rsidRPr="005C12AB" w:rsidRDefault="00F02E47" w:rsidP="004A041D">
      <w:r w:rsidRPr="005C12AB">
        <w:t xml:space="preserve">The text proposal </w:t>
      </w:r>
      <w:hyperlink r:id="rId2225" w:history="1">
        <w:r w:rsidR="00AF7253">
          <w:rPr>
            <w:rStyle w:val="Hyperlink"/>
          </w:rPr>
          <w:t>R1-2312203</w:t>
        </w:r>
      </w:hyperlink>
      <w:r w:rsidRPr="005C12AB">
        <w:t xml:space="preserve"> for the correction of the capability names of the multiple Options (as captured in the RAN2 TS 38.306 running CR) is endorsed.</w:t>
      </w:r>
    </w:p>
    <w:p w14:paraId="6C43634F" w14:textId="77777777" w:rsidR="00F74A6F" w:rsidRDefault="00F74A6F" w:rsidP="00F74A6F">
      <w:pPr>
        <w:rPr>
          <w:iCs/>
        </w:rPr>
      </w:pPr>
    </w:p>
    <w:p w14:paraId="7EFB5DB1" w14:textId="77777777" w:rsidR="00F02E47" w:rsidRPr="00F02E47" w:rsidRDefault="00F02E47" w:rsidP="00F02E47">
      <w:pPr>
        <w:rPr>
          <w:iCs/>
        </w:rPr>
      </w:pPr>
      <w:r>
        <w:rPr>
          <w:iCs/>
        </w:rPr>
        <w:lastRenderedPageBreak/>
        <w:t>-------------------------</w:t>
      </w:r>
    </w:p>
    <w:p w14:paraId="7045B0FA" w14:textId="752DC8E9" w:rsidR="00F74A6F" w:rsidRPr="009537ED" w:rsidRDefault="005A18DC" w:rsidP="00F74A6F">
      <w:pPr>
        <w:rPr>
          <w:iCs/>
        </w:rPr>
      </w:pPr>
      <w:hyperlink r:id="rId2226" w:history="1">
        <w:r w:rsidR="00AF7253">
          <w:rPr>
            <w:rStyle w:val="Hyperlink"/>
            <w:iCs/>
          </w:rPr>
          <w:t>R1-2311882</w:t>
        </w:r>
      </w:hyperlink>
      <w:r w:rsidR="00F74A6F" w:rsidRPr="009537ED">
        <w:rPr>
          <w:iCs/>
        </w:rPr>
        <w:tab/>
        <w:t>Remaining issue for HARQ-ACK multiplexing on PUSCH</w:t>
      </w:r>
      <w:r w:rsidR="00F74A6F" w:rsidRPr="009537ED">
        <w:rPr>
          <w:iCs/>
        </w:rPr>
        <w:tab/>
        <w:t>Samsung</w:t>
      </w:r>
    </w:p>
    <w:p w14:paraId="3CA35A96" w14:textId="6A5360CE" w:rsidR="00F74A6F" w:rsidRPr="009537ED" w:rsidRDefault="005A18DC" w:rsidP="00F74A6F">
      <w:pPr>
        <w:rPr>
          <w:iCs/>
        </w:rPr>
      </w:pPr>
      <w:hyperlink r:id="rId2227" w:history="1">
        <w:r w:rsidR="00AF7253">
          <w:rPr>
            <w:rStyle w:val="Hyperlink"/>
            <w:iCs/>
          </w:rPr>
          <w:t>R1-2312245</w:t>
        </w:r>
      </w:hyperlink>
      <w:r w:rsidR="00F74A6F" w:rsidRPr="009537ED">
        <w:rPr>
          <w:iCs/>
        </w:rPr>
        <w:tab/>
        <w:t>Discussion on HARQ-ACK multiplexing on PUSCH TEI</w:t>
      </w:r>
      <w:r w:rsidR="00F74A6F" w:rsidRPr="009537ED">
        <w:rPr>
          <w:iCs/>
        </w:rPr>
        <w:tab/>
        <w:t>Ericsson</w:t>
      </w:r>
    </w:p>
    <w:p w14:paraId="61D6F865" w14:textId="1E479A29" w:rsidR="00F74A6F" w:rsidRPr="005C12AB" w:rsidRDefault="00F74A6F" w:rsidP="00F74A6F">
      <w:pPr>
        <w:rPr>
          <w:iCs/>
        </w:rPr>
      </w:pPr>
      <w:r w:rsidRPr="005C12AB">
        <w:rPr>
          <w:iCs/>
        </w:rPr>
        <w:t xml:space="preserve">To be moderated by </w:t>
      </w:r>
      <w:r w:rsidR="005C12AB" w:rsidRPr="005C12AB">
        <w:rPr>
          <w:iCs/>
        </w:rPr>
        <w:t>Sa (Samsung)</w:t>
      </w:r>
      <w:r w:rsidRPr="005C12AB">
        <w:rPr>
          <w:iCs/>
        </w:rPr>
        <w:t>. Check status on Tuesday.</w:t>
      </w:r>
    </w:p>
    <w:p w14:paraId="1F2ECF3C" w14:textId="76C6775E" w:rsidR="00F02E47" w:rsidRDefault="005A18DC" w:rsidP="00F02E47">
      <w:pPr>
        <w:rPr>
          <w:b/>
          <w:bCs/>
          <w:lang w:eastAsia="x-none"/>
        </w:rPr>
      </w:pPr>
      <w:hyperlink r:id="rId2228" w:history="1">
        <w:r w:rsidR="00AF7253">
          <w:rPr>
            <w:rStyle w:val="Hyperlink"/>
            <w:b/>
            <w:bCs/>
            <w:lang w:eastAsia="x-none"/>
          </w:rPr>
          <w:t>R1-2312423</w:t>
        </w:r>
      </w:hyperlink>
      <w:r w:rsidR="00F02E47" w:rsidRPr="004A041D">
        <w:rPr>
          <w:b/>
          <w:bCs/>
          <w:lang w:eastAsia="x-none"/>
        </w:rPr>
        <w:tab/>
        <w:t>Summary #1 of discussion on multiplexing HARQ-ACK in a PUSCH</w:t>
      </w:r>
      <w:r w:rsidR="00F02E47" w:rsidRPr="004A041D">
        <w:rPr>
          <w:b/>
          <w:bCs/>
          <w:lang w:eastAsia="x-none"/>
        </w:rPr>
        <w:tab/>
        <w:t>Moderator (Samsung)</w:t>
      </w:r>
    </w:p>
    <w:p w14:paraId="29759C34" w14:textId="08A38BC5" w:rsidR="004A041D" w:rsidRDefault="005C12AB" w:rsidP="004A041D">
      <w:r w:rsidRPr="005C12AB">
        <w:t xml:space="preserve">Presented in Tuesday session. </w:t>
      </w:r>
      <w:r w:rsidRPr="005C12AB">
        <w:rPr>
          <w:iCs/>
        </w:rPr>
        <w:t>Comeback on Thursday.</w:t>
      </w:r>
    </w:p>
    <w:p w14:paraId="0F2B5598" w14:textId="77777777" w:rsidR="004A041D" w:rsidRDefault="004A041D" w:rsidP="004A041D"/>
    <w:p w14:paraId="217F5F9E" w14:textId="249E12A9" w:rsidR="005C12AB" w:rsidRPr="005C12AB" w:rsidRDefault="005A18DC" w:rsidP="005C12AB">
      <w:pPr>
        <w:rPr>
          <w:b/>
          <w:bCs/>
        </w:rPr>
      </w:pPr>
      <w:hyperlink r:id="rId2229" w:history="1">
        <w:r w:rsidR="00AF7253">
          <w:rPr>
            <w:rStyle w:val="Hyperlink"/>
            <w:b/>
            <w:bCs/>
          </w:rPr>
          <w:t>R1-2312624</w:t>
        </w:r>
      </w:hyperlink>
      <w:r w:rsidR="005C12AB" w:rsidRPr="005C12AB">
        <w:rPr>
          <w:b/>
          <w:bCs/>
        </w:rPr>
        <w:tab/>
        <w:t>Summary #2 of discussion on multiplexing HARQ-ACK in a PUSCH</w:t>
      </w:r>
      <w:r w:rsidR="005C12AB" w:rsidRPr="005C12AB">
        <w:rPr>
          <w:b/>
          <w:bCs/>
        </w:rPr>
        <w:tab/>
        <w:t>Moderator (Samsung)</w:t>
      </w:r>
    </w:p>
    <w:p w14:paraId="57C368A1" w14:textId="20F255A6" w:rsidR="005C12AB" w:rsidRDefault="005C12AB" w:rsidP="005C12AB">
      <w:r>
        <w:t>From Thursday session</w:t>
      </w:r>
    </w:p>
    <w:p w14:paraId="16D5F210" w14:textId="73BB8D26" w:rsidR="005C12AB" w:rsidRPr="005C12AB" w:rsidRDefault="005C12AB" w:rsidP="005C12AB">
      <w:pPr>
        <w:jc w:val="both"/>
        <w:rPr>
          <w:highlight w:val="green"/>
        </w:rPr>
      </w:pPr>
      <w:r w:rsidRPr="005C12AB">
        <w:rPr>
          <w:highlight w:val="green"/>
        </w:rPr>
        <w:t xml:space="preserve">Agreement: </w:t>
      </w:r>
    </w:p>
    <w:p w14:paraId="28B3FAAC" w14:textId="461A35DC" w:rsidR="005C12AB" w:rsidRPr="005C12AB" w:rsidRDefault="005C12AB" w:rsidP="005C12AB">
      <w:pPr>
        <w:jc w:val="both"/>
      </w:pPr>
      <w:r w:rsidRPr="005C12AB">
        <w:t xml:space="preserve">Update the previous agreement made </w:t>
      </w:r>
      <w:r>
        <w:t xml:space="preserve">in </w:t>
      </w:r>
      <w:r w:rsidRPr="005C12AB">
        <w:t>RAN1#113</w:t>
      </w:r>
      <w:r w:rsidRPr="005C12AB">
        <w:rPr>
          <w:rFonts w:cs="Times"/>
          <w:lang w:eastAsia="x-none"/>
        </w:rPr>
        <w:t xml:space="preserve"> </w:t>
      </w:r>
      <w:r w:rsidRPr="005C12AB">
        <w:t>as following,</w:t>
      </w:r>
    </w:p>
    <w:p w14:paraId="1BA46E6E" w14:textId="77777777" w:rsidR="005C12AB" w:rsidRPr="005C12AB" w:rsidRDefault="005C12AB" w:rsidP="005C12AB">
      <w:pPr>
        <w:ind w:left="720"/>
        <w:rPr>
          <w:b/>
          <w:bCs/>
          <w:sz w:val="18"/>
          <w:szCs w:val="18"/>
        </w:rPr>
      </w:pPr>
      <w:r w:rsidRPr="005C12AB">
        <w:rPr>
          <w:bCs/>
          <w:sz w:val="18"/>
          <w:szCs w:val="18"/>
          <w:highlight w:val="green"/>
        </w:rPr>
        <w:t>Agreement</w:t>
      </w:r>
    </w:p>
    <w:p w14:paraId="0E2D328D" w14:textId="77777777" w:rsidR="005C12AB" w:rsidRPr="005C12AB" w:rsidRDefault="005C12AB" w:rsidP="005C12AB">
      <w:pPr>
        <w:ind w:left="720"/>
        <w:jc w:val="both"/>
        <w:rPr>
          <w:rFonts w:eastAsia="Times New Roman" w:cs="MS PGothic"/>
          <w:sz w:val="18"/>
          <w:szCs w:val="18"/>
          <w:lang w:eastAsia="x-none"/>
        </w:rPr>
      </w:pPr>
      <w:r w:rsidRPr="005C12AB">
        <w:rPr>
          <w:sz w:val="18"/>
          <w:szCs w:val="18"/>
          <w:lang w:eastAsia="x-none"/>
        </w:rPr>
        <w:t>If UCI multiplexing of different priorities is not enabled, the restriction on scheduling PDSCH</w:t>
      </w:r>
      <w:r w:rsidRPr="005C12AB">
        <w:rPr>
          <w:color w:val="FF0000"/>
          <w:sz w:val="18"/>
          <w:szCs w:val="18"/>
          <w:lang w:eastAsia="x-none"/>
        </w:rPr>
        <w:t xml:space="preserve"> </w:t>
      </w:r>
      <w:r w:rsidRPr="005C12AB">
        <w:rPr>
          <w:sz w:val="18"/>
          <w:szCs w:val="18"/>
          <w:lang w:eastAsia="x-none"/>
        </w:rPr>
        <w:t>after UL grant is removed for the case of PUSCH with repetitions except the first repetition</w:t>
      </w:r>
    </w:p>
    <w:p w14:paraId="76F914B9" w14:textId="77777777" w:rsidR="005C12AB" w:rsidRPr="005C12AB" w:rsidRDefault="005C12AB" w:rsidP="00A67145">
      <w:pPr>
        <w:numPr>
          <w:ilvl w:val="0"/>
          <w:numId w:val="216"/>
        </w:numPr>
        <w:ind w:left="1440"/>
        <w:rPr>
          <w:sz w:val="18"/>
          <w:szCs w:val="18"/>
          <w:lang w:eastAsia="x-none"/>
        </w:rPr>
      </w:pPr>
      <w:r w:rsidRPr="005C12AB">
        <w:rPr>
          <w:sz w:val="18"/>
          <w:szCs w:val="18"/>
          <w:lang w:eastAsia="x-none"/>
        </w:rPr>
        <w:t>UE generates Type-1 HARQ-ACK codebook according to the existing specification with the modification of setting the actual ‘ACK/NACK’ value corresponding to PDSCH(s) scheduled after the UL grant.</w:t>
      </w:r>
    </w:p>
    <w:p w14:paraId="4C9D04AD" w14:textId="77777777" w:rsidR="005C12AB" w:rsidRPr="005C12AB" w:rsidRDefault="005C12AB" w:rsidP="00A67145">
      <w:pPr>
        <w:numPr>
          <w:ilvl w:val="0"/>
          <w:numId w:val="216"/>
        </w:numPr>
        <w:ind w:left="1440"/>
        <w:rPr>
          <w:sz w:val="18"/>
          <w:szCs w:val="18"/>
          <w:lang w:eastAsia="x-none"/>
        </w:rPr>
      </w:pPr>
      <w:r w:rsidRPr="005C12AB">
        <w:rPr>
          <w:sz w:val="18"/>
          <w:szCs w:val="18"/>
          <w:lang w:eastAsia="x-none"/>
        </w:rPr>
        <w:t>UE generates Type-2/3 HARQ-ACK codebook according to the existing specification.</w:t>
      </w:r>
    </w:p>
    <w:p w14:paraId="3EC94A46" w14:textId="77777777" w:rsidR="005C12AB" w:rsidRPr="005C12AB" w:rsidRDefault="005C12AB" w:rsidP="00A67145">
      <w:pPr>
        <w:numPr>
          <w:ilvl w:val="1"/>
          <w:numId w:val="216"/>
        </w:numPr>
        <w:ind w:left="2160"/>
        <w:rPr>
          <w:sz w:val="18"/>
          <w:szCs w:val="18"/>
          <w:lang w:eastAsia="x-none"/>
        </w:rPr>
      </w:pPr>
      <w:r w:rsidRPr="005C12AB">
        <w:rPr>
          <w:sz w:val="18"/>
          <w:szCs w:val="18"/>
          <w:lang w:eastAsia="x-none"/>
        </w:rPr>
        <w:t>For Type-2 CB, UL DAI is used for generating HARQ CB.</w:t>
      </w:r>
    </w:p>
    <w:p w14:paraId="4B3328B6" w14:textId="77777777" w:rsidR="005C12AB" w:rsidRPr="005C12AB" w:rsidRDefault="005C12AB" w:rsidP="00A67145">
      <w:pPr>
        <w:numPr>
          <w:ilvl w:val="0"/>
          <w:numId w:val="216"/>
        </w:numPr>
        <w:ind w:left="1440"/>
        <w:rPr>
          <w:sz w:val="18"/>
          <w:szCs w:val="18"/>
          <w:lang w:eastAsia="x-none"/>
        </w:rPr>
      </w:pPr>
      <w:r w:rsidRPr="005C12AB">
        <w:rPr>
          <w:sz w:val="18"/>
          <w:szCs w:val="18"/>
          <w:lang w:eastAsia="x-none"/>
        </w:rPr>
        <w:t xml:space="preserve">This feature is subject to separate UE capabilities for type-1, type-2, and type-3 codebooks. </w:t>
      </w:r>
    </w:p>
    <w:p w14:paraId="04AD9A53" w14:textId="77777777" w:rsidR="005C12AB" w:rsidRPr="005C12AB" w:rsidRDefault="005C12AB" w:rsidP="00A67145">
      <w:pPr>
        <w:numPr>
          <w:ilvl w:val="0"/>
          <w:numId w:val="216"/>
        </w:numPr>
        <w:ind w:left="1440"/>
        <w:rPr>
          <w:sz w:val="18"/>
          <w:szCs w:val="18"/>
          <w:lang w:eastAsia="x-none"/>
        </w:rPr>
      </w:pPr>
      <w:r w:rsidRPr="005C12AB">
        <w:rPr>
          <w:sz w:val="18"/>
          <w:szCs w:val="18"/>
          <w:lang w:eastAsia="x-none"/>
        </w:rPr>
        <w:t>RRC parameter(s) to configure the function of scheduling PDSCH after a UL DCI format and multiplexing associated HARQ on a PUSCH repetition except the first repetition are introduced in Rel-18.</w:t>
      </w:r>
    </w:p>
    <w:p w14:paraId="13060B37" w14:textId="77777777" w:rsidR="005C12AB" w:rsidRPr="005C12AB" w:rsidRDefault="005C12AB" w:rsidP="00A67145">
      <w:pPr>
        <w:numPr>
          <w:ilvl w:val="0"/>
          <w:numId w:val="216"/>
        </w:numPr>
        <w:ind w:left="1440"/>
        <w:rPr>
          <w:sz w:val="18"/>
          <w:szCs w:val="18"/>
          <w:lang w:eastAsia="x-none"/>
        </w:rPr>
      </w:pPr>
      <w:r w:rsidRPr="005C12AB">
        <w:rPr>
          <w:sz w:val="18"/>
          <w:szCs w:val="18"/>
          <w:lang w:eastAsia="x-none"/>
        </w:rPr>
        <w:t>Note: the number of PUSCH repetitions can be scheduled/configured by gNB.</w:t>
      </w:r>
    </w:p>
    <w:p w14:paraId="69E90522" w14:textId="77777777" w:rsidR="005C12AB" w:rsidRPr="005C12AB" w:rsidRDefault="005C12AB" w:rsidP="00A67145">
      <w:pPr>
        <w:numPr>
          <w:ilvl w:val="0"/>
          <w:numId w:val="216"/>
        </w:numPr>
        <w:ind w:left="1440"/>
        <w:rPr>
          <w:sz w:val="18"/>
          <w:szCs w:val="18"/>
          <w:lang w:eastAsia="x-none"/>
        </w:rPr>
      </w:pPr>
      <w:r w:rsidRPr="005C12AB">
        <w:rPr>
          <w:sz w:val="18"/>
          <w:szCs w:val="18"/>
          <w:lang w:eastAsia="x-none"/>
        </w:rPr>
        <w:t>Note: same principle of current specification which UL DAI in UL grant is applied to each PUSCH repetition is reused.</w:t>
      </w:r>
    </w:p>
    <w:p w14:paraId="2B76E67C" w14:textId="77777777" w:rsidR="005C12AB" w:rsidRPr="005C12AB" w:rsidRDefault="005C12AB" w:rsidP="00A67145">
      <w:pPr>
        <w:numPr>
          <w:ilvl w:val="0"/>
          <w:numId w:val="216"/>
        </w:numPr>
        <w:ind w:left="1440"/>
        <w:rPr>
          <w:sz w:val="18"/>
          <w:szCs w:val="18"/>
          <w:lang w:eastAsia="x-none"/>
        </w:rPr>
      </w:pPr>
      <w:r w:rsidRPr="005C12AB">
        <w:rPr>
          <w:sz w:val="18"/>
          <w:szCs w:val="18"/>
          <w:lang w:eastAsia="x-none"/>
        </w:rPr>
        <w:t xml:space="preserve">The timeline specified in TS 38.213 Clause </w:t>
      </w:r>
      <w:r w:rsidRPr="005C12AB">
        <w:rPr>
          <w:color w:val="FF0000"/>
          <w:sz w:val="18"/>
          <w:szCs w:val="18"/>
          <w:lang w:eastAsia="x-none"/>
        </w:rPr>
        <w:t xml:space="preserve">9.2.3 and </w:t>
      </w:r>
      <w:r w:rsidRPr="005C12AB">
        <w:rPr>
          <w:sz w:val="18"/>
          <w:szCs w:val="18"/>
          <w:lang w:eastAsia="x-none"/>
        </w:rPr>
        <w:t xml:space="preserve">9.2.5 are satisfied, i.e. </w:t>
      </w:r>
      <w:r w:rsidRPr="005C12AB">
        <w:rPr>
          <w:sz w:val="18"/>
          <w:szCs w:val="18"/>
          <w:lang w:eastAsia="x-none"/>
        </w:rPr>
        <w:fldChar w:fldCharType="begin"/>
      </w:r>
      <w:r w:rsidRPr="005C12AB">
        <w:rPr>
          <w:sz w:val="18"/>
          <w:szCs w:val="18"/>
          <w:lang w:eastAsia="x-none"/>
        </w:rPr>
        <w:instrText xml:space="preserve"> QUOTE </w:instrText>
      </w:r>
      <w:r w:rsidR="00A6784C">
        <w:rPr>
          <w:position w:val="-8"/>
          <w:sz w:val="18"/>
          <w:szCs w:val="18"/>
        </w:rPr>
        <w:pict w14:anchorId="0E66265E">
          <v:shape id="_x0000_i1244" type="#_x0000_t75" style="width:27pt;height:13.5pt" equationxml="&lt;">
            <v:imagedata r:id="rId2230" o:title="" chromakey="white"/>
          </v:shape>
        </w:pict>
      </w:r>
      <w:r w:rsidRPr="005C12AB">
        <w:rPr>
          <w:sz w:val="18"/>
          <w:szCs w:val="18"/>
          <w:lang w:eastAsia="x-none"/>
        </w:rPr>
        <w:instrText xml:space="preserve"> </w:instrText>
      </w:r>
      <w:r w:rsidRPr="005C12AB">
        <w:rPr>
          <w:sz w:val="18"/>
          <w:szCs w:val="18"/>
          <w:lang w:eastAsia="x-none"/>
        </w:rPr>
        <w:fldChar w:fldCharType="separate"/>
      </w:r>
      <w:r w:rsidR="00A6784C">
        <w:rPr>
          <w:position w:val="-8"/>
          <w:sz w:val="18"/>
          <w:szCs w:val="18"/>
        </w:rPr>
        <w:pict w14:anchorId="7FDA91DA">
          <v:shape id="_x0000_i1245" type="#_x0000_t75" style="width:27pt;height:13.5pt" equationxml="&lt;">
            <v:imagedata r:id="rId2230" o:title="" chromakey="white"/>
          </v:shape>
        </w:pict>
      </w:r>
      <w:r w:rsidRPr="005C12AB">
        <w:rPr>
          <w:sz w:val="18"/>
          <w:szCs w:val="18"/>
          <w:lang w:eastAsia="x-none"/>
        </w:rPr>
        <w:fldChar w:fldCharType="end"/>
      </w:r>
      <w:r w:rsidRPr="005C12AB">
        <w:rPr>
          <w:sz w:val="18"/>
          <w:szCs w:val="18"/>
          <w:lang w:eastAsia="x-none"/>
        </w:rPr>
        <w:t xml:space="preserve">between the last PDSCH and PUCCH, </w:t>
      </w:r>
      <w:r w:rsidRPr="005C12AB">
        <w:rPr>
          <w:sz w:val="18"/>
          <w:szCs w:val="18"/>
          <w:lang w:eastAsia="x-none"/>
        </w:rPr>
        <w:fldChar w:fldCharType="begin"/>
      </w:r>
      <w:r w:rsidRPr="005C12AB">
        <w:rPr>
          <w:sz w:val="18"/>
          <w:szCs w:val="18"/>
          <w:lang w:eastAsia="x-none"/>
        </w:rPr>
        <w:instrText xml:space="preserve"> QUOTE </w:instrText>
      </w:r>
      <w:r w:rsidR="00A6784C">
        <w:rPr>
          <w:position w:val="-8"/>
          <w:sz w:val="18"/>
          <w:szCs w:val="18"/>
        </w:rPr>
        <w:pict w14:anchorId="7F1A50C0">
          <v:shape id="_x0000_i1246" type="#_x0000_t75" style="width:27pt;height:13.5pt" equationxml="&lt;">
            <v:imagedata r:id="rId2231" o:title="" chromakey="white"/>
          </v:shape>
        </w:pict>
      </w:r>
      <w:r w:rsidRPr="005C12AB">
        <w:rPr>
          <w:sz w:val="18"/>
          <w:szCs w:val="18"/>
          <w:lang w:eastAsia="x-none"/>
        </w:rPr>
        <w:instrText xml:space="preserve"> </w:instrText>
      </w:r>
      <w:r w:rsidRPr="005C12AB">
        <w:rPr>
          <w:sz w:val="18"/>
          <w:szCs w:val="18"/>
          <w:lang w:eastAsia="x-none"/>
        </w:rPr>
        <w:fldChar w:fldCharType="separate"/>
      </w:r>
      <w:r w:rsidR="00A6784C">
        <w:rPr>
          <w:position w:val="-8"/>
          <w:sz w:val="18"/>
          <w:szCs w:val="18"/>
        </w:rPr>
        <w:pict w14:anchorId="2F98DFFE">
          <v:shape id="_x0000_i1247" type="#_x0000_t75" style="width:27pt;height:13.5pt" equationxml="&lt;">
            <v:imagedata r:id="rId2231" o:title="" chromakey="white"/>
          </v:shape>
        </w:pict>
      </w:r>
      <w:r w:rsidRPr="005C12AB">
        <w:rPr>
          <w:sz w:val="18"/>
          <w:szCs w:val="18"/>
          <w:lang w:eastAsia="x-none"/>
        </w:rPr>
        <w:fldChar w:fldCharType="end"/>
      </w:r>
      <w:r w:rsidRPr="005C12AB">
        <w:rPr>
          <w:sz w:val="18"/>
          <w:szCs w:val="18"/>
          <w:lang w:eastAsia="x-none"/>
        </w:rPr>
        <w:t xml:space="preserve"> between the last PDCCH among UL grant /DL grant(s) and the earliest PUCCH or PUSCH.  </w:t>
      </w:r>
    </w:p>
    <w:p w14:paraId="0B74E390" w14:textId="77777777" w:rsidR="005C12AB" w:rsidRPr="005C12AB" w:rsidRDefault="005C12AB" w:rsidP="00A67145">
      <w:pPr>
        <w:numPr>
          <w:ilvl w:val="0"/>
          <w:numId w:val="216"/>
        </w:numPr>
        <w:ind w:left="1440"/>
        <w:rPr>
          <w:sz w:val="18"/>
          <w:szCs w:val="18"/>
          <w:lang w:eastAsia="x-none"/>
        </w:rPr>
      </w:pPr>
      <w:r w:rsidRPr="005C12AB">
        <w:rPr>
          <w:sz w:val="18"/>
          <w:szCs w:val="18"/>
          <w:lang w:eastAsia="x-none"/>
        </w:rPr>
        <w:t>Additional UE capabilities are introduced to support the following functions (UE will be configured by gNB to use the following features via RRC)</w:t>
      </w:r>
    </w:p>
    <w:p w14:paraId="1E4ACDDA" w14:textId="77777777" w:rsidR="005C12AB" w:rsidRPr="005C12AB" w:rsidRDefault="005C12AB" w:rsidP="00A67145">
      <w:pPr>
        <w:numPr>
          <w:ilvl w:val="1"/>
          <w:numId w:val="216"/>
        </w:numPr>
        <w:ind w:left="2160"/>
        <w:rPr>
          <w:sz w:val="18"/>
          <w:szCs w:val="18"/>
          <w:lang w:eastAsia="x-none"/>
        </w:rPr>
      </w:pPr>
      <w:r w:rsidRPr="005C12AB">
        <w:rPr>
          <w:sz w:val="18"/>
          <w:szCs w:val="18"/>
          <w:lang w:eastAsia="x-none"/>
        </w:rPr>
        <w:t>HARQ-ACK codebook size change on a PUCCH slot</w:t>
      </w:r>
    </w:p>
    <w:p w14:paraId="36C7E310" w14:textId="77777777" w:rsidR="005C12AB" w:rsidRPr="005C12AB" w:rsidRDefault="005C12AB" w:rsidP="00A67145">
      <w:pPr>
        <w:numPr>
          <w:ilvl w:val="1"/>
          <w:numId w:val="216"/>
        </w:numPr>
        <w:ind w:left="2160"/>
        <w:rPr>
          <w:sz w:val="18"/>
          <w:szCs w:val="18"/>
          <w:lang w:eastAsia="x-none"/>
        </w:rPr>
      </w:pPr>
      <w:r w:rsidRPr="005C12AB">
        <w:rPr>
          <w:sz w:val="18"/>
          <w:szCs w:val="18"/>
          <w:lang w:eastAsia="x-none"/>
        </w:rPr>
        <w:t xml:space="preserve">PUCCH </w:t>
      </w:r>
      <w:r w:rsidRPr="005C12AB">
        <w:rPr>
          <w:color w:val="FF0000"/>
          <w:sz w:val="18"/>
          <w:szCs w:val="18"/>
          <w:lang w:eastAsia="x-none"/>
        </w:rPr>
        <w:t xml:space="preserve">time domain </w:t>
      </w:r>
      <w:r w:rsidRPr="005C12AB">
        <w:rPr>
          <w:sz w:val="18"/>
          <w:szCs w:val="18"/>
          <w:lang w:eastAsia="x-none"/>
        </w:rPr>
        <w:t>resource change on a PUCCH slot</w:t>
      </w:r>
    </w:p>
    <w:p w14:paraId="2D5E9F80" w14:textId="77777777" w:rsidR="005C12AB" w:rsidRPr="005C12AB" w:rsidRDefault="005C12AB" w:rsidP="00A67145">
      <w:pPr>
        <w:numPr>
          <w:ilvl w:val="0"/>
          <w:numId w:val="216"/>
        </w:numPr>
        <w:ind w:left="1440"/>
        <w:rPr>
          <w:color w:val="FF0000"/>
          <w:sz w:val="18"/>
          <w:szCs w:val="18"/>
          <w:lang w:eastAsia="x-none"/>
        </w:rPr>
      </w:pPr>
      <w:r w:rsidRPr="005C12AB">
        <w:rPr>
          <w:color w:val="FF0000"/>
          <w:sz w:val="18"/>
          <w:szCs w:val="18"/>
          <w:lang w:eastAsia="x-none"/>
        </w:rPr>
        <w:t>The above feature cannot be simultaneously enabled with PUCCH carrier switching.</w:t>
      </w:r>
    </w:p>
    <w:p w14:paraId="41F8BCAB" w14:textId="77777777" w:rsidR="005C12AB" w:rsidRDefault="005C12AB" w:rsidP="005C12AB"/>
    <w:p w14:paraId="600B82E6" w14:textId="77777777" w:rsidR="00CB57AA" w:rsidRDefault="00CB57AA" w:rsidP="005C12AB"/>
    <w:p w14:paraId="6FFF3C23" w14:textId="2DAF3C06" w:rsidR="005C12AB" w:rsidRPr="004A041D" w:rsidRDefault="005C12AB" w:rsidP="005C12AB">
      <w:r>
        <w:t xml:space="preserve">Final summary </w:t>
      </w:r>
      <w:r w:rsidR="00CB57AA">
        <w:t xml:space="preserve">in </w:t>
      </w:r>
      <w:hyperlink r:id="rId2232" w:history="1">
        <w:r w:rsidR="00AF7253">
          <w:rPr>
            <w:rStyle w:val="Hyperlink"/>
          </w:rPr>
          <w:t>R1-2312643</w:t>
        </w:r>
      </w:hyperlink>
      <w:r w:rsidR="00CB57AA">
        <w:t>.</w:t>
      </w:r>
    </w:p>
    <w:p w14:paraId="141E80D3" w14:textId="1643BDDA" w:rsidR="008F4B8C" w:rsidRDefault="008F4B8C" w:rsidP="00FF25B0">
      <w:pPr>
        <w:pStyle w:val="Heading1"/>
      </w:pPr>
      <w:bookmarkStart w:id="831" w:name="_Toc159251063"/>
      <w:r w:rsidRPr="009537ED">
        <w:t>Closing of the meeting</w:t>
      </w:r>
      <w:bookmarkEnd w:id="18"/>
      <w:bookmarkEnd w:id="831"/>
    </w:p>
    <w:p w14:paraId="67A1B570" w14:textId="480BF22C" w:rsidR="00C57DB8" w:rsidRPr="00C57DB8" w:rsidRDefault="00824913" w:rsidP="00C57DB8">
      <w:r w:rsidRPr="00824913">
        <w:t xml:space="preserve">As a conclusion of the meeting, RAN1 chair announced that any post-meeting email discussions shouldn’t be initiated before Nov. 27th, as the following week is being considered </w:t>
      </w:r>
      <w:r>
        <w:t>“QUIET”</w:t>
      </w:r>
      <w:r w:rsidRPr="00824913">
        <w:t xml:space="preserve"> due to the upcoming Thanksgiving.</w:t>
      </w:r>
    </w:p>
    <w:p w14:paraId="24CBA290" w14:textId="29959547" w:rsidR="00F701E1" w:rsidRPr="009537ED" w:rsidRDefault="00AF7912" w:rsidP="00D92DF7">
      <w:pPr>
        <w:rPr>
          <w:rFonts w:eastAsia="MS Mincho"/>
          <w:szCs w:val="20"/>
        </w:rPr>
      </w:pPr>
      <w:r w:rsidRPr="00C57DB8">
        <w:rPr>
          <w:rFonts w:eastAsia="MS Mincho"/>
          <w:szCs w:val="20"/>
        </w:rPr>
        <w:t>Meeting was</w:t>
      </w:r>
      <w:r w:rsidRPr="00C57DB8">
        <w:rPr>
          <w:rFonts w:ascii="Times New Roman" w:eastAsia="SimSun" w:hAnsi="Times New Roman"/>
          <w:kern w:val="2"/>
          <w:szCs w:val="20"/>
        </w:rPr>
        <w:t xml:space="preserve"> </w:t>
      </w:r>
      <w:r w:rsidRPr="00C57DB8">
        <w:rPr>
          <w:rFonts w:eastAsia="MS Mincho"/>
          <w:szCs w:val="20"/>
        </w:rPr>
        <w:t xml:space="preserve">closed on </w:t>
      </w:r>
      <w:r w:rsidR="00F74A6F" w:rsidRPr="00C57DB8">
        <w:rPr>
          <w:rFonts w:eastAsia="MS Mincho"/>
          <w:szCs w:val="20"/>
        </w:rPr>
        <w:t>November</w:t>
      </w:r>
      <w:r w:rsidR="00503C2A" w:rsidRPr="00C57DB8">
        <w:rPr>
          <w:rFonts w:eastAsia="MS Mincho"/>
          <w:szCs w:val="20"/>
        </w:rPr>
        <w:t xml:space="preserve"> 1</w:t>
      </w:r>
      <w:r w:rsidR="00F74A6F" w:rsidRPr="00C57DB8">
        <w:rPr>
          <w:rFonts w:eastAsia="MS Mincho"/>
          <w:szCs w:val="20"/>
        </w:rPr>
        <w:t>7</w:t>
      </w:r>
      <w:r w:rsidR="00BB4899" w:rsidRPr="00C57DB8">
        <w:rPr>
          <w:rFonts w:eastAsia="MS Mincho"/>
          <w:szCs w:val="20"/>
        </w:rPr>
        <w:t xml:space="preserve">th </w:t>
      </w:r>
      <w:r w:rsidR="00C57DB8" w:rsidRPr="00C57DB8">
        <w:rPr>
          <w:rFonts w:eastAsia="MS Mincho"/>
          <w:szCs w:val="20"/>
        </w:rPr>
        <w:t>19</w:t>
      </w:r>
      <w:r w:rsidRPr="00C57DB8">
        <w:rPr>
          <w:rFonts w:eastAsia="MS Mincho"/>
          <w:szCs w:val="20"/>
        </w:rPr>
        <w:t>:</w:t>
      </w:r>
      <w:r w:rsidR="00C57DB8" w:rsidRPr="00C57DB8">
        <w:rPr>
          <w:rFonts w:eastAsia="MS Mincho"/>
          <w:szCs w:val="20"/>
        </w:rPr>
        <w:t>5</w:t>
      </w:r>
      <w:r w:rsidR="00274CF7" w:rsidRPr="00C57DB8">
        <w:rPr>
          <w:rFonts w:eastAsia="MS Mincho"/>
          <w:szCs w:val="20"/>
        </w:rPr>
        <w:t>0</w:t>
      </w:r>
      <w:r w:rsidRPr="00C57DB8">
        <w:rPr>
          <w:rFonts w:eastAsia="MS Mincho"/>
          <w:szCs w:val="20"/>
        </w:rPr>
        <w:t xml:space="preserve"> UTC (excluding post email discussions </w:t>
      </w:r>
      <w:r w:rsidR="00F20699" w:rsidRPr="00C57DB8">
        <w:rPr>
          <w:rFonts w:eastAsia="MS Mincho"/>
          <w:szCs w:val="20"/>
        </w:rPr>
        <w:t>- see Annex F</w:t>
      </w:r>
      <w:r w:rsidRPr="00C57DB8">
        <w:rPr>
          <w:rFonts w:eastAsia="MS Mincho"/>
          <w:szCs w:val="20"/>
        </w:rPr>
        <w:t>).</w:t>
      </w:r>
    </w:p>
    <w:p w14:paraId="6CF152FE" w14:textId="77777777" w:rsidR="00DF73DC" w:rsidRPr="009537ED" w:rsidRDefault="00DF73DC" w:rsidP="00D92DF7">
      <w:pPr>
        <w:rPr>
          <w:rFonts w:eastAsia="MS Mincho"/>
          <w:szCs w:val="20"/>
        </w:rPr>
      </w:pPr>
    </w:p>
    <w:p w14:paraId="1A527666" w14:textId="1FBE7F51" w:rsidR="000C3D87" w:rsidRPr="009537ED" w:rsidRDefault="000C3D87" w:rsidP="009643F7">
      <w:pPr>
        <w:rPr>
          <w:rFonts w:ascii="Times New Roman" w:eastAsia="MS Mincho" w:hAnsi="Times New Roman"/>
          <w:szCs w:val="20"/>
        </w:rPr>
        <w:sectPr w:rsidR="000C3D87" w:rsidRPr="009537ED" w:rsidSect="00066B44">
          <w:headerReference w:type="default" r:id="rId2233"/>
          <w:footerReference w:type="default" r:id="rId2234"/>
          <w:pgSz w:w="11907" w:h="16840" w:code="9"/>
          <w:pgMar w:top="720" w:right="720" w:bottom="720" w:left="720" w:header="709" w:footer="578" w:gutter="0"/>
          <w:cols w:space="720"/>
          <w:docGrid w:linePitch="272"/>
        </w:sectPr>
      </w:pPr>
    </w:p>
    <w:p w14:paraId="6894D6A2" w14:textId="1835EE02" w:rsidR="007A5AC0" w:rsidRPr="009537ED" w:rsidRDefault="007A5AC0" w:rsidP="009643F7">
      <w:pPr>
        <w:pStyle w:val="Heading1"/>
        <w:numPr>
          <w:ilvl w:val="0"/>
          <w:numId w:val="0"/>
        </w:numPr>
        <w:spacing w:before="0" w:after="0"/>
        <w:rPr>
          <w:rFonts w:ascii="Times New Roman" w:hAnsi="Times New Roman" w:cs="Times New Roman"/>
          <w:sz w:val="20"/>
          <w:szCs w:val="20"/>
        </w:rPr>
      </w:pPr>
      <w:bookmarkStart w:id="833" w:name="_Toc159251064"/>
      <w:r w:rsidRPr="009537ED">
        <w:rPr>
          <w:rFonts w:ascii="Times New Roman" w:hAnsi="Times New Roman" w:cs="Times New Roman"/>
          <w:sz w:val="20"/>
          <w:szCs w:val="20"/>
        </w:rPr>
        <w:lastRenderedPageBreak/>
        <w:t>Annex</w:t>
      </w:r>
      <w:r w:rsidR="00233210" w:rsidRPr="009537ED">
        <w:rPr>
          <w:rFonts w:ascii="Times New Roman" w:hAnsi="Times New Roman" w:cs="Times New Roman"/>
          <w:sz w:val="20"/>
          <w:szCs w:val="20"/>
        </w:rPr>
        <w:t xml:space="preserve"> </w:t>
      </w:r>
      <w:r w:rsidRPr="009537ED">
        <w:rPr>
          <w:rFonts w:ascii="Times New Roman" w:hAnsi="Times New Roman" w:cs="Times New Roman"/>
          <w:sz w:val="20"/>
          <w:szCs w:val="20"/>
        </w:rPr>
        <w:t>A</w:t>
      </w:r>
      <w:r w:rsidR="007D00AE" w:rsidRPr="009537ED">
        <w:rPr>
          <w:rFonts w:ascii="Times New Roman" w:hAnsi="Times New Roman" w:cs="Times New Roman"/>
          <w:sz w:val="20"/>
          <w:szCs w:val="20"/>
        </w:rPr>
        <w:t>-1</w:t>
      </w:r>
      <w:r w:rsidRPr="009537ED">
        <w:rPr>
          <w:rFonts w:ascii="Times New Roman" w:hAnsi="Times New Roman" w:cs="Times New Roman"/>
          <w:sz w:val="20"/>
          <w:szCs w:val="20"/>
        </w:rPr>
        <w:t>:</w:t>
      </w:r>
      <w:r w:rsidRPr="009537ED">
        <w:rPr>
          <w:rFonts w:ascii="Times New Roman" w:hAnsi="Times New Roman" w:cs="Times New Roman"/>
          <w:sz w:val="20"/>
          <w:szCs w:val="20"/>
        </w:rPr>
        <w:tab/>
        <w:t>List</w:t>
      </w:r>
      <w:r w:rsidR="00233210" w:rsidRPr="009537ED">
        <w:rPr>
          <w:rFonts w:ascii="Times New Roman" w:hAnsi="Times New Roman" w:cs="Times New Roman"/>
          <w:sz w:val="20"/>
          <w:szCs w:val="20"/>
        </w:rPr>
        <w:t xml:space="preserve"> </w:t>
      </w:r>
      <w:r w:rsidRPr="009537ED">
        <w:rPr>
          <w:rFonts w:ascii="Times New Roman" w:hAnsi="Times New Roman" w:cs="Times New Roman"/>
          <w:sz w:val="20"/>
          <w:szCs w:val="20"/>
        </w:rPr>
        <w:t>of</w:t>
      </w:r>
      <w:r w:rsidR="00233210" w:rsidRPr="009537ED">
        <w:rPr>
          <w:rFonts w:ascii="Times New Roman" w:hAnsi="Times New Roman" w:cs="Times New Roman"/>
          <w:sz w:val="20"/>
          <w:szCs w:val="20"/>
        </w:rPr>
        <w:t xml:space="preserve"> </w:t>
      </w:r>
      <w:r w:rsidRPr="009537ED">
        <w:rPr>
          <w:rFonts w:ascii="Times New Roman" w:hAnsi="Times New Roman" w:cs="Times New Roman"/>
          <w:sz w:val="20"/>
          <w:szCs w:val="20"/>
        </w:rPr>
        <w:t>Tdocs</w:t>
      </w:r>
      <w:r w:rsidR="00233210" w:rsidRPr="009537ED">
        <w:rPr>
          <w:rFonts w:ascii="Times New Roman" w:hAnsi="Times New Roman" w:cs="Times New Roman"/>
          <w:sz w:val="20"/>
          <w:szCs w:val="20"/>
        </w:rPr>
        <w:t xml:space="preserve"> </w:t>
      </w:r>
      <w:r w:rsidRPr="009537ED">
        <w:rPr>
          <w:rFonts w:ascii="Times New Roman" w:hAnsi="Times New Roman" w:cs="Times New Roman"/>
          <w:sz w:val="20"/>
          <w:szCs w:val="20"/>
        </w:rPr>
        <w:t>at</w:t>
      </w:r>
      <w:r w:rsidR="00233210" w:rsidRPr="009537ED">
        <w:rPr>
          <w:rFonts w:ascii="Times New Roman" w:hAnsi="Times New Roman" w:cs="Times New Roman"/>
          <w:sz w:val="20"/>
          <w:szCs w:val="20"/>
        </w:rPr>
        <w:t xml:space="preserve"> </w:t>
      </w:r>
      <w:r w:rsidR="00CC2881" w:rsidRPr="009537ED">
        <w:rPr>
          <w:rFonts w:ascii="Times New Roman" w:hAnsi="Times New Roman" w:cs="Times New Roman"/>
          <w:sz w:val="20"/>
          <w:szCs w:val="20"/>
        </w:rPr>
        <w:t xml:space="preserve">RAN1 </w:t>
      </w:r>
      <w:r w:rsidR="00AE38CD" w:rsidRPr="009537ED">
        <w:rPr>
          <w:rFonts w:ascii="Times New Roman" w:hAnsi="Times New Roman" w:cs="Times New Roman"/>
          <w:sz w:val="20"/>
          <w:szCs w:val="20"/>
        </w:rPr>
        <w:t>#115</w:t>
      </w:r>
      <w:bookmarkEnd w:id="833"/>
    </w:p>
    <w:p w14:paraId="20896DE6" w14:textId="77777777" w:rsidR="005C5573" w:rsidRPr="009537ED" w:rsidRDefault="005C5573" w:rsidP="009643F7">
      <w:pPr>
        <w:rPr>
          <w:rFonts w:ascii="Times New Roman" w:eastAsia="SimSun" w:hAnsi="Times New Roman"/>
          <w:kern w:val="2"/>
          <w:szCs w:val="20"/>
        </w:rPr>
      </w:pPr>
    </w:p>
    <w:p w14:paraId="30FAEBCE" w14:textId="784D0926" w:rsidR="007A5AC0" w:rsidRPr="009537ED" w:rsidRDefault="007A5AC0" w:rsidP="009643F7">
      <w:pPr>
        <w:rPr>
          <w:rFonts w:ascii="Times New Roman" w:eastAsia="SimSun" w:hAnsi="Times New Roman"/>
          <w:kern w:val="2"/>
          <w:szCs w:val="20"/>
        </w:rPr>
      </w:pPr>
      <w:r w:rsidRPr="009537ED">
        <w:rPr>
          <w:rFonts w:ascii="Times New Roman" w:eastAsia="SimSun" w:hAnsi="Times New Roman"/>
          <w:kern w:val="2"/>
          <w:szCs w:val="20"/>
        </w:rPr>
        <w:t>Please</w:t>
      </w:r>
      <w:r w:rsidR="00233210" w:rsidRPr="009537ED">
        <w:rPr>
          <w:rFonts w:ascii="Times New Roman" w:eastAsia="SimSun" w:hAnsi="Times New Roman"/>
          <w:kern w:val="2"/>
          <w:szCs w:val="20"/>
        </w:rPr>
        <w:t xml:space="preserve"> </w:t>
      </w:r>
      <w:r w:rsidRPr="009537ED">
        <w:rPr>
          <w:rFonts w:ascii="Times New Roman" w:eastAsia="SimSun" w:hAnsi="Times New Roman"/>
          <w:kern w:val="2"/>
          <w:szCs w:val="20"/>
        </w:rPr>
        <w:t>see</w:t>
      </w:r>
      <w:r w:rsidR="00233210" w:rsidRPr="009537ED">
        <w:rPr>
          <w:rFonts w:ascii="Times New Roman" w:eastAsia="SimSun" w:hAnsi="Times New Roman"/>
          <w:kern w:val="2"/>
          <w:szCs w:val="20"/>
        </w:rPr>
        <w:t xml:space="preserve"> </w:t>
      </w:r>
      <w:r w:rsidRPr="009537ED">
        <w:rPr>
          <w:rFonts w:ascii="Times New Roman" w:eastAsia="SimSun" w:hAnsi="Times New Roman"/>
          <w:kern w:val="2"/>
          <w:szCs w:val="20"/>
        </w:rPr>
        <w:t>excel</w:t>
      </w:r>
      <w:r w:rsidR="00233210" w:rsidRPr="009537ED">
        <w:rPr>
          <w:rFonts w:ascii="Times New Roman" w:eastAsia="SimSun" w:hAnsi="Times New Roman"/>
          <w:kern w:val="2"/>
          <w:szCs w:val="20"/>
        </w:rPr>
        <w:t xml:space="preserve"> </w:t>
      </w:r>
      <w:r w:rsidRPr="009537ED">
        <w:rPr>
          <w:rFonts w:ascii="Times New Roman" w:eastAsia="SimSun" w:hAnsi="Times New Roman"/>
          <w:kern w:val="2"/>
          <w:szCs w:val="20"/>
        </w:rPr>
        <w:t>file</w:t>
      </w:r>
      <w:r w:rsidR="00233210" w:rsidRPr="009537ED">
        <w:rPr>
          <w:rFonts w:ascii="Times New Roman" w:eastAsia="SimSun" w:hAnsi="Times New Roman"/>
          <w:kern w:val="2"/>
          <w:szCs w:val="20"/>
        </w:rPr>
        <w:t xml:space="preserve"> </w:t>
      </w:r>
      <w:r w:rsidRPr="009537ED">
        <w:rPr>
          <w:rFonts w:ascii="Times New Roman" w:eastAsia="SimSun" w:hAnsi="Times New Roman"/>
          <w:kern w:val="2"/>
          <w:szCs w:val="20"/>
        </w:rPr>
        <w:t>attached</w:t>
      </w:r>
      <w:r w:rsidR="00233210" w:rsidRPr="009537ED">
        <w:rPr>
          <w:rFonts w:ascii="Times New Roman" w:eastAsia="SimSun" w:hAnsi="Times New Roman"/>
          <w:kern w:val="2"/>
          <w:szCs w:val="20"/>
        </w:rPr>
        <w:t xml:space="preserve"> </w:t>
      </w:r>
      <w:r w:rsidRPr="009537ED">
        <w:rPr>
          <w:rFonts w:ascii="Times New Roman" w:eastAsia="SimSun" w:hAnsi="Times New Roman"/>
          <w:kern w:val="2"/>
          <w:szCs w:val="20"/>
        </w:rPr>
        <w:t>to</w:t>
      </w:r>
      <w:r w:rsidR="00233210" w:rsidRPr="009537ED">
        <w:rPr>
          <w:rFonts w:ascii="Times New Roman" w:eastAsia="SimSun" w:hAnsi="Times New Roman"/>
          <w:kern w:val="2"/>
          <w:szCs w:val="20"/>
        </w:rPr>
        <w:t xml:space="preserve"> </w:t>
      </w:r>
      <w:r w:rsidRPr="009537ED">
        <w:rPr>
          <w:rFonts w:ascii="Times New Roman" w:eastAsia="SimSun" w:hAnsi="Times New Roman"/>
          <w:kern w:val="2"/>
          <w:szCs w:val="20"/>
        </w:rPr>
        <w:t>this</w:t>
      </w:r>
      <w:r w:rsidR="00233210" w:rsidRPr="009537ED">
        <w:rPr>
          <w:rFonts w:ascii="Times New Roman" w:eastAsia="SimSun" w:hAnsi="Times New Roman"/>
          <w:kern w:val="2"/>
          <w:szCs w:val="20"/>
        </w:rPr>
        <w:t xml:space="preserve"> </w:t>
      </w:r>
      <w:r w:rsidRPr="009537ED">
        <w:rPr>
          <w:rFonts w:ascii="Times New Roman" w:eastAsia="SimSun" w:hAnsi="Times New Roman"/>
          <w:kern w:val="2"/>
          <w:szCs w:val="20"/>
        </w:rPr>
        <w:t>report</w:t>
      </w:r>
    </w:p>
    <w:p w14:paraId="3EF003DD" w14:textId="77777777" w:rsidR="007D00AE" w:rsidRPr="009537ED" w:rsidRDefault="007D00AE" w:rsidP="007D00AE">
      <w:pPr>
        <w:rPr>
          <w:rFonts w:ascii="Times New Roman" w:hAnsi="Times New Roman"/>
          <w:b/>
          <w:bCs/>
          <w:kern w:val="32"/>
          <w:szCs w:val="20"/>
        </w:rPr>
      </w:pPr>
      <w:r w:rsidRPr="009537ED">
        <w:rPr>
          <w:rFonts w:ascii="Times New Roman" w:hAnsi="Times New Roman"/>
          <w:szCs w:val="20"/>
        </w:rPr>
        <w:br w:type="page"/>
      </w:r>
    </w:p>
    <w:p w14:paraId="18D10875" w14:textId="3FAE2556" w:rsidR="007D00AE" w:rsidRPr="009537ED" w:rsidRDefault="005A18DC" w:rsidP="007D00AE">
      <w:pPr>
        <w:pStyle w:val="Heading1"/>
        <w:numPr>
          <w:ilvl w:val="0"/>
          <w:numId w:val="0"/>
        </w:numPr>
        <w:spacing w:before="0" w:after="0"/>
        <w:rPr>
          <w:rFonts w:ascii="Times New Roman" w:hAnsi="Times New Roman" w:cs="Times New Roman"/>
          <w:sz w:val="20"/>
          <w:szCs w:val="20"/>
        </w:rPr>
      </w:pPr>
      <w:bookmarkStart w:id="834" w:name="_Toc159251065"/>
      <w:r>
        <w:rPr>
          <w:noProof/>
        </w:rPr>
        <w:lastRenderedPageBreak/>
        <w:pict w14:anchorId="286E22E2">
          <v:shapetype id="_x0000_t202" coordsize="21600,21600" o:spt="202" path="m,l,21600r21600,l21600,xe">
            <v:stroke joinstyle="miter"/>
            <v:path gradientshapeok="t" o:connecttype="rect"/>
          </v:shapetype>
          <v:shape id="_x0000_s2211" type="#_x0000_t202" style="position:absolute;margin-left:607.6pt;margin-top:-19.7pt;width:102.65pt;height:22.5pt;z-index:251742208;visibility:visible;mso-wrap-distance-top:3.6pt;mso-wrap-distance-bottom:3.6pt;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" fillcolor="#ffd966">
            <v:textbox>
              <w:txbxContent>
                <w:p w14:paraId="7F4E253A" w14:textId="2F62D9A3" w:rsidR="002826A7" w:rsidRPr="00326CEB" w:rsidRDefault="002826A7" w:rsidP="002826A7">
                  <w:pPr>
                    <w:jc w:val="center"/>
                    <w:rPr>
                      <w:rFonts w:ascii="Arial Narrow" w:hAnsi="Arial Narrow"/>
                      <w:b/>
                      <w:sz w:val="18"/>
                      <w:szCs w:val="18"/>
                    </w:rPr>
                  </w:pPr>
                  <w:r w:rsidRPr="00326CEB">
                    <w:rPr>
                      <w:rFonts w:ascii="Arial Narrow" w:hAnsi="Arial Narrow"/>
                      <w:b/>
                      <w:sz w:val="18"/>
                      <w:szCs w:val="18"/>
                    </w:rPr>
                    <w:t>RAN1 Brk 2</w:t>
                  </w:r>
                </w:p>
              </w:txbxContent>
            </v:textbox>
            <w10:wrap type="square"/>
          </v:shape>
        </w:pict>
      </w:r>
      <w:r>
        <w:rPr>
          <w:noProof/>
        </w:rPr>
        <w:pict w14:anchorId="02BDBB82">
          <v:shape id="_x0000_s2212" type="#_x0000_t202" style="position:absolute;margin-left:493.25pt;margin-top:-19.7pt;width:102.65pt;height:22.5pt;z-index:251741184;visibility:visible;mso-wrap-distance-top:3.6pt;mso-wrap-distance-bottom:3.6pt;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" fillcolor="#d9d9d9">
            <v:textbox>
              <w:txbxContent>
                <w:p w14:paraId="6B7F5CCC" w14:textId="77777777" w:rsidR="002826A7" w:rsidRPr="00326CEB" w:rsidRDefault="002826A7" w:rsidP="002826A7">
                  <w:pPr>
                    <w:jc w:val="center"/>
                    <w:rPr>
                      <w:rFonts w:ascii="Arial Narrow" w:hAnsi="Arial Narrow"/>
                      <w:b/>
                      <w:sz w:val="18"/>
                      <w:szCs w:val="18"/>
                    </w:rPr>
                  </w:pPr>
                  <w:r w:rsidRPr="00326CEB">
                    <w:rPr>
                      <w:rFonts w:ascii="Arial Narrow" w:hAnsi="Arial Narrow"/>
                      <w:b/>
                      <w:sz w:val="18"/>
                      <w:szCs w:val="18"/>
                    </w:rPr>
                    <w:t>RAN1 Brk 1</w:t>
                  </w:r>
                </w:p>
              </w:txbxContent>
            </v:textbox>
            <w10:wrap type="square"/>
          </v:shape>
        </w:pict>
      </w:r>
      <w:r>
        <w:rPr>
          <w:noProof/>
        </w:rPr>
        <w:pict w14:anchorId="12E6C979">
          <v:shape id="텍스트 상자 2" o:spid="_x0000_s2213" type="#_x0000_t202" style="position:absolute;margin-left:380.45pt;margin-top:-19.7pt;width:102.65pt;height:22.5pt;z-index:251740160;visibility:visible;mso-wrap-distance-top:3.6pt;mso-wrap-distance-bottom:3.6pt;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">
            <v:textbox>
              <w:txbxContent>
                <w:p w14:paraId="2B475B1E" w14:textId="77777777" w:rsidR="002826A7" w:rsidRPr="00326CEB" w:rsidRDefault="002826A7" w:rsidP="002826A7">
                  <w:pPr>
                    <w:jc w:val="center"/>
                    <w:rPr>
                      <w:rFonts w:ascii="Arial Narrow" w:hAnsi="Arial Narrow"/>
                      <w:b/>
                      <w:sz w:val="18"/>
                      <w:szCs w:val="18"/>
                    </w:rPr>
                  </w:pPr>
                  <w:r w:rsidRPr="00326CEB">
                    <w:rPr>
                      <w:rFonts w:ascii="Arial Narrow" w:hAnsi="Arial Narrow"/>
                      <w:b/>
                      <w:sz w:val="18"/>
                      <w:szCs w:val="18"/>
                    </w:rPr>
                    <w:t>RAN1 Main</w:t>
                  </w:r>
                </w:p>
              </w:txbxContent>
            </v:textbox>
            <w10:wrap type="square"/>
          </v:shape>
        </w:pict>
      </w:r>
      <w:r w:rsidR="007D00AE" w:rsidRPr="009537ED">
        <w:rPr>
          <w:rFonts w:ascii="Times New Roman" w:hAnsi="Times New Roman" w:cs="Times New Roman"/>
          <w:sz w:val="20"/>
          <w:szCs w:val="20"/>
        </w:rPr>
        <w:t>Annex A-2:</w:t>
      </w:r>
      <w:r w:rsidR="007D00AE" w:rsidRPr="009537ED">
        <w:rPr>
          <w:rFonts w:ascii="Times New Roman" w:hAnsi="Times New Roman" w:cs="Times New Roman"/>
          <w:sz w:val="20"/>
          <w:szCs w:val="20"/>
        </w:rPr>
        <w:tab/>
      </w:r>
      <w:r w:rsidR="00D12A5E" w:rsidRPr="009537ED">
        <w:rPr>
          <w:rFonts w:ascii="Times New Roman" w:hAnsi="Times New Roman" w:cs="Times New Roman"/>
          <w:sz w:val="20"/>
          <w:szCs w:val="20"/>
        </w:rPr>
        <w:t>RAN1</w:t>
      </w:r>
      <w:r w:rsidR="00AE38CD" w:rsidRPr="009537ED">
        <w:rPr>
          <w:rFonts w:ascii="Times New Roman" w:hAnsi="Times New Roman" w:cs="Times New Roman"/>
          <w:sz w:val="20"/>
          <w:szCs w:val="20"/>
        </w:rPr>
        <w:t>#115</w:t>
      </w:r>
      <w:r w:rsidR="00D12A5E" w:rsidRPr="009537ED">
        <w:rPr>
          <w:rFonts w:ascii="Times New Roman" w:hAnsi="Times New Roman" w:cs="Times New Roman"/>
          <w:sz w:val="20"/>
          <w:szCs w:val="20"/>
        </w:rPr>
        <w:t xml:space="preserve"> Online Session Schedule</w:t>
      </w:r>
      <w:bookmarkEnd w:id="834"/>
    </w:p>
    <w:p w14:paraId="6C7A3746" w14:textId="77777777" w:rsidR="002826A7" w:rsidRPr="009537ED" w:rsidRDefault="002826A7" w:rsidP="002826A7">
      <w:pPr>
        <w:widowControl w:val="0"/>
        <w:wordWrap w:val="0"/>
        <w:autoSpaceDE w:val="0"/>
        <w:autoSpaceDN w:val="0"/>
        <w:jc w:val="both"/>
        <w:rPr>
          <w:rFonts w:ascii="Arial" w:eastAsia="Malgun Gothic" w:hAnsi="Arial" w:cs="Arial"/>
          <w:b/>
          <w:kern w:val="2"/>
          <w:sz w:val="16"/>
          <w:szCs w:val="22"/>
          <w:lang w:eastAsia="ko-KR"/>
        </w:rPr>
      </w:pPr>
    </w:p>
    <w:tbl>
      <w:tblPr>
        <w:tblStyle w:val="TableGrid101"/>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817"/>
        <w:gridCol w:w="839"/>
        <w:gridCol w:w="787"/>
        <w:gridCol w:w="906"/>
        <w:gridCol w:w="872"/>
        <w:gridCol w:w="950"/>
        <w:gridCol w:w="920"/>
        <w:gridCol w:w="872"/>
        <w:gridCol w:w="910"/>
        <w:gridCol w:w="960"/>
        <w:gridCol w:w="855"/>
        <w:gridCol w:w="912"/>
        <w:gridCol w:w="919"/>
        <w:gridCol w:w="821"/>
        <w:gridCol w:w="910"/>
        <w:gridCol w:w="920"/>
      </w:tblGrid>
      <w:tr w:rsidR="00E91A5A" w:rsidRPr="00E91A5A" w14:paraId="5E0A8C03" w14:textId="77777777" w:rsidTr="00E91A5A">
        <w:trPr>
          <w:trHeight w:val="20"/>
        </w:trPr>
        <w:tc>
          <w:tcPr>
            <w:tcW w:w="938" w:type="dxa"/>
            <w:tcBorders>
              <w:top w:val="single" w:sz="12" w:space="0" w:color="auto"/>
              <w:left w:val="single" w:sz="12" w:space="0" w:color="auto"/>
              <w:bottom w:val="single" w:sz="12" w:space="0" w:color="auto"/>
              <w:right w:val="single" w:sz="12" w:space="0" w:color="auto"/>
            </w:tcBorders>
            <w:shd w:val="clear" w:color="auto" w:fill="FFFFFF"/>
            <w:vAlign w:val="center"/>
          </w:tcPr>
          <w:p w14:paraId="41D578FB" w14:textId="77777777" w:rsidR="00E91A5A" w:rsidRPr="00E91A5A" w:rsidRDefault="00E91A5A" w:rsidP="00E91A5A">
            <w:pPr>
              <w:autoSpaceDE w:val="0"/>
              <w:autoSpaceDN w:val="0"/>
              <w:jc w:val="center"/>
              <w:rPr>
                <w:rFonts w:ascii="Arial" w:hAnsi="Arial" w:cs="Arial"/>
                <w:szCs w:val="20"/>
                <w:lang w:eastAsia="ko-KR"/>
              </w:rPr>
            </w:pPr>
            <w:bookmarkStart w:id="835" w:name="_Hlk151243643"/>
          </w:p>
        </w:tc>
        <w:tc>
          <w:tcPr>
            <w:tcW w:w="2836" w:type="dxa"/>
            <w:gridSpan w:val="3"/>
            <w:tcBorders>
              <w:top w:val="single" w:sz="12" w:space="0" w:color="auto"/>
              <w:left w:val="single" w:sz="12" w:space="0" w:color="auto"/>
              <w:bottom w:val="single" w:sz="12" w:space="0" w:color="auto"/>
              <w:right w:val="single" w:sz="12" w:space="0" w:color="auto"/>
            </w:tcBorders>
            <w:shd w:val="clear" w:color="auto" w:fill="FFFFFF"/>
            <w:vAlign w:val="center"/>
          </w:tcPr>
          <w:p w14:paraId="358EFD0A" w14:textId="77777777" w:rsidR="00E91A5A" w:rsidRPr="00E91A5A" w:rsidRDefault="00E91A5A" w:rsidP="00E91A5A">
            <w:pPr>
              <w:autoSpaceDE w:val="0"/>
              <w:autoSpaceDN w:val="0"/>
              <w:jc w:val="center"/>
              <w:rPr>
                <w:rFonts w:ascii="Arial" w:hAnsi="Arial" w:cs="Arial"/>
                <w:szCs w:val="20"/>
                <w:lang w:eastAsia="ko-KR"/>
              </w:rPr>
            </w:pPr>
            <w:r w:rsidRPr="00E91A5A">
              <w:rPr>
                <w:rFonts w:ascii="Arial" w:hAnsi="Arial" w:cs="Arial"/>
                <w:szCs w:val="20"/>
                <w:lang w:eastAsia="ko-KR"/>
              </w:rPr>
              <w:t>Monday</w:t>
            </w:r>
          </w:p>
        </w:tc>
        <w:tc>
          <w:tcPr>
            <w:tcW w:w="2890" w:type="dxa"/>
            <w:gridSpan w:val="3"/>
            <w:tcBorders>
              <w:top w:val="single" w:sz="12" w:space="0" w:color="auto"/>
              <w:left w:val="single" w:sz="12" w:space="0" w:color="auto"/>
              <w:bottom w:val="single" w:sz="12" w:space="0" w:color="auto"/>
              <w:right w:val="single" w:sz="12" w:space="0" w:color="auto"/>
            </w:tcBorders>
            <w:shd w:val="clear" w:color="auto" w:fill="FFFFFF"/>
            <w:vAlign w:val="center"/>
          </w:tcPr>
          <w:p w14:paraId="498E49E4" w14:textId="77777777" w:rsidR="00E91A5A" w:rsidRPr="00E91A5A" w:rsidRDefault="00E91A5A" w:rsidP="00E91A5A">
            <w:pPr>
              <w:autoSpaceDE w:val="0"/>
              <w:autoSpaceDN w:val="0"/>
              <w:jc w:val="center"/>
              <w:rPr>
                <w:rFonts w:ascii="Arial" w:hAnsi="Arial" w:cs="Arial"/>
                <w:szCs w:val="20"/>
                <w:lang w:eastAsia="ko-KR"/>
              </w:rPr>
            </w:pPr>
            <w:r w:rsidRPr="00E91A5A">
              <w:rPr>
                <w:rFonts w:ascii="Arial" w:hAnsi="Arial" w:cs="Arial"/>
                <w:szCs w:val="20"/>
                <w:lang w:eastAsia="ko-KR"/>
              </w:rPr>
              <w:t>Tuesday</w:t>
            </w:r>
          </w:p>
        </w:tc>
        <w:tc>
          <w:tcPr>
            <w:tcW w:w="2996" w:type="dxa"/>
            <w:gridSpan w:val="3"/>
            <w:tcBorders>
              <w:top w:val="single" w:sz="12" w:space="0" w:color="auto"/>
              <w:left w:val="single" w:sz="12" w:space="0" w:color="auto"/>
              <w:bottom w:val="single" w:sz="12" w:space="0" w:color="auto"/>
              <w:right w:val="single" w:sz="12" w:space="0" w:color="auto"/>
            </w:tcBorders>
            <w:shd w:val="clear" w:color="auto" w:fill="FFFFFF"/>
            <w:vAlign w:val="center"/>
          </w:tcPr>
          <w:p w14:paraId="72B580D3" w14:textId="77777777" w:rsidR="00E91A5A" w:rsidRPr="00E91A5A" w:rsidRDefault="00E91A5A" w:rsidP="00E91A5A">
            <w:pPr>
              <w:autoSpaceDE w:val="0"/>
              <w:autoSpaceDN w:val="0"/>
              <w:jc w:val="center"/>
              <w:rPr>
                <w:rFonts w:ascii="Arial" w:hAnsi="Arial" w:cs="Arial"/>
                <w:szCs w:val="20"/>
                <w:lang w:eastAsia="ko-KR"/>
              </w:rPr>
            </w:pPr>
            <w:r w:rsidRPr="00E91A5A">
              <w:rPr>
                <w:rFonts w:ascii="Arial" w:hAnsi="Arial" w:cs="Arial"/>
                <w:szCs w:val="20"/>
                <w:lang w:eastAsia="ko-KR"/>
              </w:rPr>
              <w:t>Wednesday</w:t>
            </w:r>
          </w:p>
        </w:tc>
        <w:tc>
          <w:tcPr>
            <w:tcW w:w="2900" w:type="dxa"/>
            <w:gridSpan w:val="3"/>
            <w:tcBorders>
              <w:top w:val="single" w:sz="12" w:space="0" w:color="auto"/>
              <w:left w:val="single" w:sz="12" w:space="0" w:color="auto"/>
              <w:bottom w:val="single" w:sz="12" w:space="0" w:color="auto"/>
              <w:right w:val="single" w:sz="12" w:space="0" w:color="auto"/>
            </w:tcBorders>
            <w:shd w:val="clear" w:color="auto" w:fill="FFFFFF"/>
            <w:vAlign w:val="center"/>
          </w:tcPr>
          <w:p w14:paraId="381C060E" w14:textId="77777777" w:rsidR="00E91A5A" w:rsidRPr="00E91A5A" w:rsidRDefault="00E91A5A" w:rsidP="00E91A5A">
            <w:pPr>
              <w:autoSpaceDE w:val="0"/>
              <w:autoSpaceDN w:val="0"/>
              <w:jc w:val="center"/>
              <w:rPr>
                <w:rFonts w:ascii="Arial" w:hAnsi="Arial" w:cs="Arial"/>
                <w:szCs w:val="20"/>
                <w:lang w:eastAsia="ko-KR"/>
              </w:rPr>
            </w:pPr>
            <w:r w:rsidRPr="00E91A5A">
              <w:rPr>
                <w:rFonts w:ascii="Arial" w:hAnsi="Arial" w:cs="Arial"/>
                <w:szCs w:val="20"/>
                <w:lang w:eastAsia="ko-KR"/>
              </w:rPr>
              <w:t>Thursday</w:t>
            </w:r>
          </w:p>
        </w:tc>
        <w:tc>
          <w:tcPr>
            <w:tcW w:w="2808" w:type="dxa"/>
            <w:gridSpan w:val="3"/>
            <w:tcBorders>
              <w:top w:val="single" w:sz="12" w:space="0" w:color="auto"/>
              <w:left w:val="single" w:sz="12" w:space="0" w:color="auto"/>
              <w:bottom w:val="single" w:sz="12" w:space="0" w:color="auto"/>
              <w:right w:val="single" w:sz="12" w:space="0" w:color="auto"/>
            </w:tcBorders>
            <w:shd w:val="clear" w:color="auto" w:fill="FFFFFF"/>
            <w:vAlign w:val="center"/>
          </w:tcPr>
          <w:p w14:paraId="2621140A" w14:textId="77777777" w:rsidR="00E91A5A" w:rsidRPr="00E91A5A" w:rsidRDefault="00E91A5A" w:rsidP="00E91A5A">
            <w:pPr>
              <w:autoSpaceDE w:val="0"/>
              <w:autoSpaceDN w:val="0"/>
              <w:jc w:val="center"/>
              <w:rPr>
                <w:rFonts w:ascii="Arial" w:hAnsi="Arial" w:cs="Arial"/>
                <w:szCs w:val="20"/>
                <w:lang w:eastAsia="ko-KR"/>
              </w:rPr>
            </w:pPr>
            <w:r w:rsidRPr="00E91A5A">
              <w:rPr>
                <w:rFonts w:ascii="Arial" w:hAnsi="Arial" w:cs="Arial"/>
                <w:szCs w:val="20"/>
                <w:lang w:eastAsia="ko-KR"/>
              </w:rPr>
              <w:t>Friday</w:t>
            </w:r>
          </w:p>
        </w:tc>
      </w:tr>
      <w:tr w:rsidR="00E91A5A" w:rsidRPr="00E91A5A" w14:paraId="55AB16DF" w14:textId="77777777" w:rsidTr="00E91A5A">
        <w:trPr>
          <w:trHeight w:val="20"/>
        </w:trPr>
        <w:tc>
          <w:tcPr>
            <w:tcW w:w="938" w:type="dxa"/>
            <w:tcBorders>
              <w:top w:val="single" w:sz="12" w:space="0" w:color="auto"/>
              <w:left w:val="single" w:sz="12" w:space="0" w:color="auto"/>
              <w:bottom w:val="single" w:sz="12" w:space="0" w:color="auto"/>
              <w:right w:val="single" w:sz="12" w:space="0" w:color="auto"/>
            </w:tcBorders>
            <w:shd w:val="clear" w:color="auto" w:fill="FFFFFF"/>
            <w:vAlign w:val="center"/>
          </w:tcPr>
          <w:p w14:paraId="55AA3AC3" w14:textId="77777777" w:rsidR="00E91A5A" w:rsidRPr="00E91A5A" w:rsidRDefault="00E91A5A" w:rsidP="00E91A5A">
            <w:pPr>
              <w:autoSpaceDE w:val="0"/>
              <w:autoSpaceDN w:val="0"/>
              <w:jc w:val="center"/>
              <w:rPr>
                <w:rFonts w:ascii="Arial" w:hAnsi="Arial" w:cs="Arial"/>
                <w:sz w:val="18"/>
                <w:szCs w:val="18"/>
                <w:lang w:eastAsia="ko-KR"/>
              </w:rPr>
            </w:pPr>
            <w:r w:rsidRPr="00E91A5A">
              <w:rPr>
                <w:rFonts w:ascii="Arial" w:hAnsi="Arial" w:cs="Arial"/>
                <w:sz w:val="18"/>
                <w:szCs w:val="18"/>
                <w:lang w:eastAsia="ko-KR"/>
              </w:rPr>
              <w:t xml:space="preserve">08:15 </w:t>
            </w:r>
          </w:p>
          <w:p w14:paraId="7E9D255A" w14:textId="77777777" w:rsidR="00E91A5A" w:rsidRPr="00E91A5A" w:rsidRDefault="00E91A5A" w:rsidP="00E91A5A">
            <w:pPr>
              <w:autoSpaceDE w:val="0"/>
              <w:autoSpaceDN w:val="0"/>
              <w:jc w:val="center"/>
              <w:rPr>
                <w:rFonts w:ascii="Arial" w:hAnsi="Arial" w:cs="Arial"/>
                <w:sz w:val="18"/>
                <w:szCs w:val="18"/>
                <w:lang w:eastAsia="ko-KR"/>
              </w:rPr>
            </w:pPr>
            <w:r w:rsidRPr="00E91A5A">
              <w:rPr>
                <w:rFonts w:ascii="Arial" w:hAnsi="Arial" w:cs="Arial"/>
                <w:sz w:val="18"/>
                <w:szCs w:val="18"/>
                <w:lang w:eastAsia="ko-KR"/>
              </w:rPr>
              <w:t>~</w:t>
            </w:r>
          </w:p>
          <w:p w14:paraId="6DAED7B7" w14:textId="77777777" w:rsidR="00E91A5A" w:rsidRPr="00E91A5A" w:rsidRDefault="00E91A5A" w:rsidP="00E91A5A">
            <w:pPr>
              <w:autoSpaceDE w:val="0"/>
              <w:autoSpaceDN w:val="0"/>
              <w:jc w:val="center"/>
              <w:rPr>
                <w:rFonts w:ascii="Arial" w:hAnsi="Arial" w:cs="Arial"/>
                <w:sz w:val="18"/>
                <w:szCs w:val="18"/>
                <w:lang w:eastAsia="ko-KR"/>
              </w:rPr>
            </w:pPr>
            <w:r w:rsidRPr="00E91A5A">
              <w:rPr>
                <w:rFonts w:ascii="Arial" w:hAnsi="Arial" w:cs="Arial"/>
                <w:sz w:val="18"/>
                <w:szCs w:val="18"/>
                <w:lang w:eastAsia="ko-KR"/>
              </w:rPr>
              <w:t>10:30</w:t>
            </w:r>
          </w:p>
          <w:p w14:paraId="67968894" w14:textId="77777777" w:rsidR="00E91A5A" w:rsidRPr="00E91A5A" w:rsidRDefault="00E91A5A" w:rsidP="00E91A5A">
            <w:pPr>
              <w:autoSpaceDE w:val="0"/>
              <w:autoSpaceDN w:val="0"/>
              <w:jc w:val="center"/>
              <w:rPr>
                <w:rFonts w:ascii="Arial" w:hAnsi="Arial" w:cs="Arial"/>
                <w:sz w:val="18"/>
                <w:szCs w:val="18"/>
                <w:lang w:eastAsia="ko-KR"/>
              </w:rPr>
            </w:pPr>
          </w:p>
          <w:p w14:paraId="150294C6" w14:textId="77777777" w:rsidR="00E91A5A" w:rsidRPr="00E91A5A" w:rsidRDefault="00E91A5A" w:rsidP="00E91A5A">
            <w:pPr>
              <w:autoSpaceDE w:val="0"/>
              <w:autoSpaceDN w:val="0"/>
              <w:jc w:val="center"/>
              <w:rPr>
                <w:rFonts w:ascii="Arial" w:hAnsi="Arial" w:cs="Arial"/>
                <w:sz w:val="18"/>
                <w:szCs w:val="18"/>
                <w:lang w:eastAsia="ko-KR"/>
              </w:rPr>
            </w:pPr>
            <w:r w:rsidRPr="00E91A5A">
              <w:rPr>
                <w:rFonts w:ascii="Arial" w:hAnsi="Arial" w:cs="Arial"/>
                <w:sz w:val="18"/>
                <w:szCs w:val="18"/>
                <w:lang w:eastAsia="ko-KR"/>
              </w:rPr>
              <w:t>(135 min)</w:t>
            </w:r>
          </w:p>
        </w:tc>
        <w:tc>
          <w:tcPr>
            <w:tcW w:w="2836" w:type="dxa"/>
            <w:gridSpan w:val="3"/>
            <w:tcBorders>
              <w:top w:val="single" w:sz="12" w:space="0" w:color="auto"/>
              <w:left w:val="single" w:sz="12" w:space="0" w:color="auto"/>
              <w:bottom w:val="single" w:sz="12" w:space="0" w:color="auto"/>
              <w:right w:val="single" w:sz="12" w:space="0" w:color="auto"/>
            </w:tcBorders>
            <w:shd w:val="clear" w:color="auto" w:fill="FFFFFF"/>
            <w:vAlign w:val="center"/>
          </w:tcPr>
          <w:p w14:paraId="1F121ED6" w14:textId="77777777" w:rsidR="00E91A5A" w:rsidRPr="00E91A5A" w:rsidRDefault="00E91A5A" w:rsidP="00E91A5A">
            <w:pPr>
              <w:autoSpaceDE w:val="0"/>
              <w:autoSpaceDN w:val="0"/>
              <w:jc w:val="left"/>
              <w:rPr>
                <w:rFonts w:ascii="Arial" w:hAnsi="Arial" w:cs="Arial"/>
                <w:sz w:val="18"/>
                <w:szCs w:val="18"/>
                <w:lang w:eastAsia="ko-KR"/>
              </w:rPr>
            </w:pPr>
            <w:r w:rsidRPr="00E91A5A">
              <w:rPr>
                <w:rFonts w:ascii="Arial" w:hAnsi="Arial" w:cs="Arial"/>
                <w:sz w:val="18"/>
                <w:szCs w:val="18"/>
                <w:lang w:eastAsia="ko-KR"/>
              </w:rPr>
              <w:t>RAN1#115 commences at 09:00 (local time) on Monday</w:t>
            </w:r>
          </w:p>
          <w:p w14:paraId="1535C658" w14:textId="77777777" w:rsidR="00E91A5A" w:rsidRPr="00E91A5A" w:rsidRDefault="00E91A5A" w:rsidP="00E91A5A">
            <w:pPr>
              <w:autoSpaceDE w:val="0"/>
              <w:autoSpaceDN w:val="0"/>
              <w:jc w:val="left"/>
              <w:rPr>
                <w:rFonts w:ascii="Arial" w:hAnsi="Arial" w:cs="Arial"/>
                <w:sz w:val="18"/>
                <w:szCs w:val="18"/>
                <w:lang w:eastAsia="ko-KR"/>
              </w:rPr>
            </w:pPr>
            <w:r w:rsidRPr="00E91A5A">
              <w:rPr>
                <w:rFonts w:ascii="Arial" w:hAnsi="Arial" w:cs="Arial"/>
                <w:sz w:val="18"/>
                <w:szCs w:val="18"/>
                <w:lang w:eastAsia="ko-KR"/>
              </w:rPr>
              <w:t>Agenda items 1, 2, 3, 4, 5</w:t>
            </w:r>
          </w:p>
          <w:p w14:paraId="4B06E633" w14:textId="77777777" w:rsidR="00E91A5A" w:rsidRPr="00E91A5A" w:rsidRDefault="00E91A5A" w:rsidP="00E91A5A">
            <w:pPr>
              <w:autoSpaceDE w:val="0"/>
              <w:autoSpaceDN w:val="0"/>
              <w:jc w:val="left"/>
              <w:rPr>
                <w:rFonts w:ascii="Arial" w:hAnsi="Arial" w:cs="Arial"/>
                <w:sz w:val="18"/>
                <w:szCs w:val="18"/>
                <w:lang w:eastAsia="ko-KR"/>
              </w:rPr>
            </w:pPr>
            <w:r w:rsidRPr="00E91A5A">
              <w:rPr>
                <w:rFonts w:ascii="Arial" w:hAnsi="Arial" w:cs="Arial"/>
                <w:sz w:val="18"/>
                <w:szCs w:val="18"/>
                <w:lang w:eastAsia="ko-KR"/>
              </w:rPr>
              <w:t>Agenda items 6, 7.1</w:t>
            </w:r>
          </w:p>
        </w:tc>
        <w:tc>
          <w:tcPr>
            <w:tcW w:w="958" w:type="dxa"/>
            <w:tcBorders>
              <w:top w:val="single" w:sz="12" w:space="0" w:color="auto"/>
              <w:left w:val="single" w:sz="12" w:space="0" w:color="auto"/>
              <w:bottom w:val="single" w:sz="12" w:space="0" w:color="auto"/>
            </w:tcBorders>
            <w:shd w:val="clear" w:color="auto" w:fill="FFFFFF"/>
            <w:vAlign w:val="center"/>
          </w:tcPr>
          <w:p w14:paraId="62BA1043" w14:textId="77777777" w:rsidR="00E91A5A" w:rsidRPr="00E91A5A" w:rsidRDefault="00E91A5A" w:rsidP="00E91A5A">
            <w:pPr>
              <w:autoSpaceDE w:val="0"/>
              <w:autoSpaceDN w:val="0"/>
              <w:jc w:val="left"/>
              <w:rPr>
                <w:rFonts w:ascii="Arial" w:hAnsi="Arial" w:cs="Arial"/>
                <w:sz w:val="18"/>
                <w:szCs w:val="18"/>
                <w:lang w:eastAsia="ko-KR"/>
              </w:rPr>
            </w:pPr>
            <w:r w:rsidRPr="00E91A5A">
              <w:rPr>
                <w:rFonts w:ascii="Arial" w:hAnsi="Arial" w:cs="Arial"/>
                <w:sz w:val="18"/>
                <w:szCs w:val="18"/>
                <w:lang w:eastAsia="ko-KR"/>
              </w:rPr>
              <w:t>AI/ML (135)</w:t>
            </w:r>
          </w:p>
        </w:tc>
        <w:tc>
          <w:tcPr>
            <w:tcW w:w="969" w:type="dxa"/>
            <w:tcBorders>
              <w:top w:val="single" w:sz="12" w:space="0" w:color="auto"/>
              <w:bottom w:val="single" w:sz="12" w:space="0" w:color="auto"/>
            </w:tcBorders>
            <w:shd w:val="clear" w:color="auto" w:fill="D9D9D9"/>
            <w:vAlign w:val="center"/>
          </w:tcPr>
          <w:p w14:paraId="170EBD19" w14:textId="77777777" w:rsidR="00E91A5A" w:rsidRPr="00E91A5A" w:rsidRDefault="00E91A5A" w:rsidP="00E91A5A">
            <w:pPr>
              <w:autoSpaceDE w:val="0"/>
              <w:autoSpaceDN w:val="0"/>
              <w:jc w:val="left"/>
              <w:rPr>
                <w:rFonts w:ascii="Arial" w:hAnsi="Arial" w:cs="Arial"/>
                <w:sz w:val="18"/>
                <w:szCs w:val="18"/>
                <w:lang w:eastAsia="ko-KR"/>
              </w:rPr>
            </w:pPr>
            <w:r w:rsidRPr="00E91A5A">
              <w:rPr>
                <w:rFonts w:ascii="Arial" w:hAnsi="Arial" w:cs="Arial"/>
                <w:sz w:val="18"/>
                <w:szCs w:val="18"/>
                <w:lang w:eastAsia="ko-KR"/>
              </w:rPr>
              <w:t>CovEnh (45)</w:t>
            </w:r>
          </w:p>
          <w:p w14:paraId="2B792AFF" w14:textId="77777777" w:rsidR="00E91A5A" w:rsidRPr="00E91A5A" w:rsidRDefault="00E91A5A" w:rsidP="00E91A5A">
            <w:pPr>
              <w:autoSpaceDE w:val="0"/>
              <w:autoSpaceDN w:val="0"/>
              <w:jc w:val="left"/>
              <w:rPr>
                <w:rFonts w:ascii="Arial" w:hAnsi="Arial" w:cs="Arial"/>
                <w:sz w:val="18"/>
                <w:szCs w:val="18"/>
                <w:lang w:eastAsia="ko-KR"/>
              </w:rPr>
            </w:pPr>
            <w:r w:rsidRPr="00E91A5A">
              <w:rPr>
                <w:rFonts w:ascii="Arial" w:hAnsi="Arial" w:cs="Arial"/>
                <w:sz w:val="18"/>
                <w:szCs w:val="18"/>
                <w:lang w:eastAsia="ko-KR"/>
              </w:rPr>
              <w:t>Mobility (60)</w:t>
            </w:r>
          </w:p>
          <w:p w14:paraId="627333FA" w14:textId="77777777" w:rsidR="00E91A5A" w:rsidRPr="00E91A5A" w:rsidRDefault="00E91A5A" w:rsidP="00E91A5A">
            <w:pPr>
              <w:autoSpaceDE w:val="0"/>
              <w:autoSpaceDN w:val="0"/>
              <w:jc w:val="left"/>
              <w:rPr>
                <w:rFonts w:ascii="Arial" w:hAnsi="Arial" w:cs="Arial"/>
                <w:sz w:val="18"/>
                <w:szCs w:val="18"/>
                <w:lang w:eastAsia="ko-KR"/>
              </w:rPr>
            </w:pPr>
            <w:r w:rsidRPr="00E91A5A">
              <w:rPr>
                <w:rFonts w:ascii="Arial" w:hAnsi="Arial" w:cs="Arial"/>
                <w:sz w:val="18"/>
                <w:szCs w:val="18"/>
                <w:lang w:eastAsia="ko-KR"/>
              </w:rPr>
              <w:t>Pos (30)</w:t>
            </w:r>
          </w:p>
        </w:tc>
        <w:tc>
          <w:tcPr>
            <w:tcW w:w="963" w:type="dxa"/>
            <w:tcBorders>
              <w:top w:val="single" w:sz="12" w:space="0" w:color="auto"/>
              <w:bottom w:val="single" w:sz="12" w:space="0" w:color="auto"/>
              <w:right w:val="single" w:sz="12" w:space="0" w:color="auto"/>
            </w:tcBorders>
            <w:shd w:val="clear" w:color="auto" w:fill="FFD966"/>
            <w:vAlign w:val="center"/>
          </w:tcPr>
          <w:p w14:paraId="789DF8A0" w14:textId="77777777" w:rsidR="00E91A5A" w:rsidRPr="00E91A5A" w:rsidRDefault="00E91A5A" w:rsidP="00E91A5A">
            <w:pPr>
              <w:autoSpaceDE w:val="0"/>
              <w:autoSpaceDN w:val="0"/>
              <w:jc w:val="left"/>
              <w:rPr>
                <w:rFonts w:ascii="Arial" w:hAnsi="Arial" w:cs="Arial"/>
                <w:sz w:val="18"/>
                <w:szCs w:val="18"/>
                <w:lang w:eastAsia="ko-KR"/>
              </w:rPr>
            </w:pPr>
            <w:r w:rsidRPr="00E91A5A">
              <w:rPr>
                <w:rFonts w:ascii="Arial" w:hAnsi="Arial" w:cs="Arial"/>
                <w:sz w:val="18"/>
                <w:szCs w:val="18"/>
                <w:lang w:eastAsia="ko-KR"/>
              </w:rPr>
              <w:t>UE features (135)</w:t>
            </w:r>
          </w:p>
        </w:tc>
        <w:tc>
          <w:tcPr>
            <w:tcW w:w="1008" w:type="dxa"/>
            <w:tcBorders>
              <w:top w:val="single" w:sz="12" w:space="0" w:color="auto"/>
              <w:left w:val="single" w:sz="12" w:space="0" w:color="auto"/>
              <w:bottom w:val="single" w:sz="12" w:space="0" w:color="auto"/>
            </w:tcBorders>
            <w:shd w:val="clear" w:color="auto" w:fill="FFFFFF"/>
            <w:vAlign w:val="center"/>
          </w:tcPr>
          <w:p w14:paraId="5F580729" w14:textId="77777777" w:rsidR="00E91A5A" w:rsidRPr="00E91A5A" w:rsidRDefault="00E91A5A" w:rsidP="00E91A5A">
            <w:pPr>
              <w:autoSpaceDE w:val="0"/>
              <w:autoSpaceDN w:val="0"/>
              <w:jc w:val="left"/>
              <w:rPr>
                <w:rFonts w:ascii="Arial" w:hAnsi="Arial" w:cs="Arial"/>
                <w:sz w:val="18"/>
                <w:szCs w:val="18"/>
                <w:lang w:eastAsia="ko-KR"/>
              </w:rPr>
            </w:pPr>
            <w:r w:rsidRPr="00E91A5A">
              <w:rPr>
                <w:rFonts w:ascii="Arial" w:hAnsi="Arial" w:cs="Arial"/>
                <w:sz w:val="18"/>
                <w:szCs w:val="18"/>
                <w:lang w:eastAsia="ko-KR"/>
              </w:rPr>
              <w:t>AI/ML (135)</w:t>
            </w:r>
          </w:p>
        </w:tc>
        <w:tc>
          <w:tcPr>
            <w:tcW w:w="953" w:type="dxa"/>
            <w:tcBorders>
              <w:top w:val="single" w:sz="12" w:space="0" w:color="auto"/>
              <w:bottom w:val="single" w:sz="12" w:space="0" w:color="auto"/>
            </w:tcBorders>
            <w:shd w:val="clear" w:color="auto" w:fill="D9D9D9"/>
            <w:vAlign w:val="center"/>
          </w:tcPr>
          <w:p w14:paraId="4F17A59B" w14:textId="77777777" w:rsidR="00E91A5A" w:rsidRPr="00E91A5A" w:rsidRDefault="00E91A5A" w:rsidP="00E91A5A">
            <w:pPr>
              <w:autoSpaceDE w:val="0"/>
              <w:autoSpaceDN w:val="0"/>
              <w:jc w:val="left"/>
              <w:rPr>
                <w:rFonts w:ascii="Arial" w:hAnsi="Arial" w:cs="Arial"/>
                <w:sz w:val="18"/>
                <w:szCs w:val="18"/>
                <w:lang w:eastAsia="ko-KR"/>
              </w:rPr>
            </w:pPr>
            <w:r w:rsidRPr="00E91A5A">
              <w:rPr>
                <w:rFonts w:ascii="Arial" w:hAnsi="Arial" w:cs="Arial"/>
                <w:sz w:val="18"/>
                <w:szCs w:val="18"/>
                <w:lang w:eastAsia="ko-KR"/>
              </w:rPr>
              <w:t>Sidelink (135)</w:t>
            </w:r>
          </w:p>
        </w:tc>
        <w:tc>
          <w:tcPr>
            <w:tcW w:w="1035" w:type="dxa"/>
            <w:tcBorders>
              <w:top w:val="single" w:sz="12" w:space="0" w:color="auto"/>
              <w:bottom w:val="single" w:sz="12" w:space="0" w:color="auto"/>
              <w:right w:val="single" w:sz="12" w:space="0" w:color="auto"/>
            </w:tcBorders>
            <w:shd w:val="clear" w:color="auto" w:fill="FFD966"/>
            <w:vAlign w:val="center"/>
          </w:tcPr>
          <w:p w14:paraId="593912DC" w14:textId="77777777" w:rsidR="00E91A5A" w:rsidRPr="00E91A5A" w:rsidRDefault="00E91A5A" w:rsidP="00E91A5A">
            <w:pPr>
              <w:autoSpaceDE w:val="0"/>
              <w:autoSpaceDN w:val="0"/>
              <w:jc w:val="left"/>
              <w:rPr>
                <w:rFonts w:ascii="Arial" w:hAnsi="Arial" w:cs="Arial"/>
                <w:sz w:val="18"/>
                <w:szCs w:val="18"/>
                <w:lang w:eastAsia="ko-KR"/>
              </w:rPr>
            </w:pPr>
            <w:r w:rsidRPr="00E91A5A">
              <w:rPr>
                <w:rFonts w:ascii="Arial" w:hAnsi="Arial" w:cs="Arial"/>
                <w:sz w:val="18"/>
                <w:szCs w:val="18"/>
                <w:lang w:eastAsia="ko-KR"/>
              </w:rPr>
              <w:t>UE features (135)</w:t>
            </w:r>
          </w:p>
        </w:tc>
        <w:tc>
          <w:tcPr>
            <w:tcW w:w="998" w:type="dxa"/>
            <w:tcBorders>
              <w:top w:val="single" w:sz="12" w:space="0" w:color="auto"/>
              <w:left w:val="single" w:sz="12" w:space="0" w:color="auto"/>
              <w:bottom w:val="single" w:sz="12" w:space="0" w:color="auto"/>
            </w:tcBorders>
            <w:shd w:val="clear" w:color="auto" w:fill="FFFFFF"/>
            <w:vAlign w:val="center"/>
          </w:tcPr>
          <w:p w14:paraId="7D955CCE" w14:textId="77777777" w:rsidR="00E91A5A" w:rsidRPr="00E91A5A" w:rsidRDefault="00E91A5A" w:rsidP="00E91A5A">
            <w:pPr>
              <w:autoSpaceDE w:val="0"/>
              <w:autoSpaceDN w:val="0"/>
              <w:jc w:val="left"/>
              <w:rPr>
                <w:rFonts w:ascii="Arial" w:hAnsi="Arial" w:cs="Arial"/>
                <w:sz w:val="18"/>
                <w:szCs w:val="18"/>
                <w:lang w:eastAsia="ko-KR"/>
              </w:rPr>
            </w:pPr>
            <w:r w:rsidRPr="00E91A5A">
              <w:rPr>
                <w:rFonts w:ascii="Arial" w:hAnsi="Arial" w:cs="Arial"/>
                <w:sz w:val="18"/>
                <w:szCs w:val="18"/>
                <w:lang w:eastAsia="ko-KR"/>
              </w:rPr>
              <w:t>AI/ML (135)</w:t>
            </w:r>
          </w:p>
        </w:tc>
        <w:tc>
          <w:tcPr>
            <w:tcW w:w="940" w:type="dxa"/>
            <w:tcBorders>
              <w:top w:val="single" w:sz="12" w:space="0" w:color="auto"/>
              <w:bottom w:val="single" w:sz="12" w:space="0" w:color="auto"/>
            </w:tcBorders>
            <w:shd w:val="clear" w:color="auto" w:fill="D9D9D9"/>
            <w:vAlign w:val="center"/>
          </w:tcPr>
          <w:p w14:paraId="661657B3" w14:textId="77777777" w:rsidR="00E91A5A" w:rsidRPr="00E91A5A" w:rsidRDefault="00E91A5A" w:rsidP="00E91A5A">
            <w:pPr>
              <w:autoSpaceDE w:val="0"/>
              <w:autoSpaceDN w:val="0"/>
              <w:jc w:val="left"/>
              <w:rPr>
                <w:rFonts w:ascii="Arial" w:hAnsi="Arial" w:cs="Arial"/>
                <w:sz w:val="18"/>
                <w:szCs w:val="18"/>
                <w:lang w:eastAsia="ko-KR"/>
              </w:rPr>
            </w:pPr>
            <w:r w:rsidRPr="00E91A5A">
              <w:rPr>
                <w:rFonts w:ascii="Arial" w:hAnsi="Arial" w:cs="Arial"/>
                <w:sz w:val="18"/>
                <w:szCs w:val="18"/>
                <w:lang w:eastAsia="ko-KR"/>
              </w:rPr>
              <w:t>Sidelink (75)</w:t>
            </w:r>
          </w:p>
          <w:p w14:paraId="022F5A74" w14:textId="77777777" w:rsidR="00E91A5A" w:rsidRPr="00E91A5A" w:rsidRDefault="00E91A5A" w:rsidP="00E91A5A">
            <w:pPr>
              <w:autoSpaceDE w:val="0"/>
              <w:autoSpaceDN w:val="0"/>
              <w:jc w:val="left"/>
              <w:rPr>
                <w:rFonts w:ascii="Arial" w:hAnsi="Arial" w:cs="Arial"/>
                <w:sz w:val="18"/>
                <w:szCs w:val="18"/>
                <w:lang w:eastAsia="ko-KR"/>
              </w:rPr>
            </w:pPr>
            <w:r w:rsidRPr="00E91A5A">
              <w:rPr>
                <w:rFonts w:ascii="Arial" w:hAnsi="Arial" w:cs="Arial"/>
                <w:sz w:val="18"/>
                <w:szCs w:val="18"/>
                <w:lang w:eastAsia="ko-KR"/>
              </w:rPr>
              <w:t>&lt;5MHz, DSS, RedCap (60)</w:t>
            </w:r>
          </w:p>
        </w:tc>
        <w:tc>
          <w:tcPr>
            <w:tcW w:w="962" w:type="dxa"/>
            <w:tcBorders>
              <w:top w:val="single" w:sz="12" w:space="0" w:color="auto"/>
              <w:bottom w:val="single" w:sz="12" w:space="0" w:color="auto"/>
              <w:right w:val="single" w:sz="12" w:space="0" w:color="auto"/>
            </w:tcBorders>
            <w:shd w:val="clear" w:color="auto" w:fill="FFD966"/>
            <w:vAlign w:val="center"/>
          </w:tcPr>
          <w:p w14:paraId="6DADC13F" w14:textId="77777777" w:rsidR="00E91A5A" w:rsidRPr="00E91A5A" w:rsidRDefault="00E91A5A" w:rsidP="00E91A5A">
            <w:pPr>
              <w:autoSpaceDE w:val="0"/>
              <w:autoSpaceDN w:val="0"/>
              <w:jc w:val="left"/>
              <w:rPr>
                <w:rFonts w:ascii="Arial" w:hAnsi="Arial" w:cs="Arial"/>
                <w:sz w:val="18"/>
                <w:szCs w:val="18"/>
                <w:lang w:eastAsia="ko-KR"/>
              </w:rPr>
            </w:pPr>
            <w:r w:rsidRPr="00E91A5A">
              <w:rPr>
                <w:rFonts w:ascii="Arial" w:hAnsi="Arial" w:cs="Arial"/>
                <w:sz w:val="18"/>
                <w:szCs w:val="18"/>
                <w:lang w:eastAsia="ko-KR"/>
              </w:rPr>
              <w:t>UE features (135)</w:t>
            </w:r>
          </w:p>
        </w:tc>
        <w:tc>
          <w:tcPr>
            <w:tcW w:w="935" w:type="dxa"/>
            <w:tcBorders>
              <w:top w:val="single" w:sz="12" w:space="0" w:color="auto"/>
              <w:left w:val="single" w:sz="12" w:space="0" w:color="auto"/>
              <w:bottom w:val="single" w:sz="12" w:space="0" w:color="auto"/>
            </w:tcBorders>
            <w:shd w:val="clear" w:color="auto" w:fill="auto"/>
            <w:vAlign w:val="center"/>
          </w:tcPr>
          <w:p w14:paraId="3DDB7511" w14:textId="77777777" w:rsidR="00E91A5A" w:rsidRPr="00E91A5A" w:rsidRDefault="00E91A5A" w:rsidP="00E91A5A">
            <w:pPr>
              <w:autoSpaceDE w:val="0"/>
              <w:autoSpaceDN w:val="0"/>
              <w:jc w:val="left"/>
              <w:rPr>
                <w:rFonts w:ascii="Arial" w:hAnsi="Arial" w:cs="Arial"/>
                <w:sz w:val="18"/>
                <w:szCs w:val="18"/>
                <w:lang w:eastAsia="ko-KR"/>
              </w:rPr>
            </w:pPr>
            <w:r w:rsidRPr="00E91A5A">
              <w:rPr>
                <w:rFonts w:ascii="Arial" w:hAnsi="Arial" w:cs="Arial"/>
                <w:sz w:val="18"/>
                <w:szCs w:val="18"/>
                <w:lang w:eastAsia="ko-KR"/>
              </w:rPr>
              <w:t>AI 7.1 (15)</w:t>
            </w:r>
          </w:p>
          <w:p w14:paraId="2726DC3A" w14:textId="77777777" w:rsidR="00E91A5A" w:rsidRPr="00E91A5A" w:rsidRDefault="00E91A5A" w:rsidP="00E91A5A">
            <w:pPr>
              <w:autoSpaceDE w:val="0"/>
              <w:autoSpaceDN w:val="0"/>
              <w:jc w:val="left"/>
              <w:rPr>
                <w:rFonts w:ascii="Arial" w:hAnsi="Arial" w:cs="Arial"/>
                <w:sz w:val="18"/>
                <w:szCs w:val="18"/>
                <w:lang w:eastAsia="ko-KR"/>
              </w:rPr>
            </w:pPr>
            <w:r w:rsidRPr="00E91A5A">
              <w:rPr>
                <w:rFonts w:ascii="Arial" w:hAnsi="Arial" w:cs="Arial"/>
                <w:sz w:val="18"/>
                <w:szCs w:val="18"/>
                <w:lang w:eastAsia="ko-KR"/>
              </w:rPr>
              <w:t>AI/ML (120)</w:t>
            </w:r>
          </w:p>
        </w:tc>
        <w:tc>
          <w:tcPr>
            <w:tcW w:w="937" w:type="dxa"/>
            <w:tcBorders>
              <w:top w:val="single" w:sz="12" w:space="0" w:color="auto"/>
              <w:bottom w:val="single" w:sz="12" w:space="0" w:color="auto"/>
            </w:tcBorders>
            <w:shd w:val="clear" w:color="auto" w:fill="D9D9D9"/>
            <w:vAlign w:val="center"/>
          </w:tcPr>
          <w:p w14:paraId="18DB68C0" w14:textId="77777777" w:rsidR="00E91A5A" w:rsidRPr="00E91A5A" w:rsidRDefault="00E91A5A" w:rsidP="00E91A5A">
            <w:pPr>
              <w:autoSpaceDE w:val="0"/>
              <w:autoSpaceDN w:val="0"/>
              <w:jc w:val="left"/>
              <w:rPr>
                <w:rFonts w:ascii="Arial" w:hAnsi="Arial" w:cs="Arial"/>
                <w:sz w:val="18"/>
                <w:szCs w:val="18"/>
                <w:lang w:eastAsia="ko-KR"/>
              </w:rPr>
            </w:pPr>
            <w:r w:rsidRPr="00E91A5A">
              <w:rPr>
                <w:rFonts w:ascii="Arial" w:hAnsi="Arial" w:cs="Arial"/>
                <w:sz w:val="18"/>
                <w:szCs w:val="18"/>
                <w:lang w:eastAsia="ko-KR"/>
              </w:rPr>
              <w:t>CovEnh (45)</w:t>
            </w:r>
          </w:p>
          <w:p w14:paraId="344E52C3" w14:textId="77777777" w:rsidR="00E91A5A" w:rsidRPr="00E91A5A" w:rsidRDefault="00E91A5A" w:rsidP="00E91A5A">
            <w:pPr>
              <w:autoSpaceDE w:val="0"/>
              <w:autoSpaceDN w:val="0"/>
              <w:jc w:val="left"/>
              <w:rPr>
                <w:rFonts w:ascii="Arial" w:hAnsi="Arial" w:cs="Arial"/>
                <w:sz w:val="18"/>
                <w:szCs w:val="18"/>
                <w:lang w:val="fr-FR" w:eastAsia="ko-KR"/>
              </w:rPr>
            </w:pPr>
            <w:r w:rsidRPr="00E91A5A">
              <w:rPr>
                <w:rFonts w:ascii="Arial" w:hAnsi="Arial" w:cs="Arial"/>
                <w:sz w:val="18"/>
                <w:szCs w:val="18"/>
                <w:lang w:val="fr-FR" w:eastAsia="ko-KR"/>
              </w:rPr>
              <w:t>Pos (45)</w:t>
            </w:r>
          </w:p>
          <w:p w14:paraId="3BC9C17B" w14:textId="77777777" w:rsidR="00E91A5A" w:rsidRPr="00E91A5A" w:rsidRDefault="00E91A5A" w:rsidP="00E91A5A">
            <w:pPr>
              <w:autoSpaceDE w:val="0"/>
              <w:autoSpaceDN w:val="0"/>
              <w:jc w:val="left"/>
              <w:rPr>
                <w:rFonts w:ascii="Arial" w:hAnsi="Arial" w:cs="Arial"/>
                <w:sz w:val="18"/>
                <w:szCs w:val="18"/>
                <w:lang w:val="fr-FR" w:eastAsia="ko-KR"/>
              </w:rPr>
            </w:pPr>
            <w:r w:rsidRPr="00E91A5A">
              <w:rPr>
                <w:rFonts w:ascii="Arial" w:hAnsi="Arial" w:cs="Arial"/>
                <w:sz w:val="18"/>
                <w:szCs w:val="18"/>
                <w:lang w:val="fr-FR" w:eastAsia="ko-KR"/>
              </w:rPr>
              <w:t>Sat Eval (30)</w:t>
            </w:r>
          </w:p>
          <w:p w14:paraId="46105FD4" w14:textId="77777777" w:rsidR="00E91A5A" w:rsidRPr="00E91A5A" w:rsidRDefault="00E91A5A" w:rsidP="00E91A5A">
            <w:pPr>
              <w:autoSpaceDE w:val="0"/>
              <w:autoSpaceDN w:val="0"/>
              <w:jc w:val="left"/>
              <w:rPr>
                <w:rFonts w:ascii="Arial" w:hAnsi="Arial" w:cs="Arial"/>
                <w:sz w:val="18"/>
                <w:szCs w:val="18"/>
                <w:lang w:eastAsia="ko-KR"/>
              </w:rPr>
            </w:pPr>
            <w:r w:rsidRPr="00E91A5A">
              <w:rPr>
                <w:rFonts w:ascii="Arial" w:hAnsi="Arial" w:cs="Arial"/>
                <w:sz w:val="18"/>
                <w:szCs w:val="18"/>
                <w:lang w:val="fr-FR" w:eastAsia="ko-KR"/>
              </w:rPr>
              <w:t>NR NTN &lt;5MHz</w:t>
            </w:r>
            <w:r w:rsidRPr="00E91A5A">
              <w:rPr>
                <w:rFonts w:ascii="Arial" w:hAnsi="Arial" w:cs="Arial"/>
                <w:sz w:val="18"/>
                <w:szCs w:val="18"/>
                <w:lang w:eastAsia="ko-KR"/>
              </w:rPr>
              <w:t xml:space="preserve"> RedCap</w:t>
            </w:r>
          </w:p>
        </w:tc>
        <w:tc>
          <w:tcPr>
            <w:tcW w:w="936" w:type="dxa"/>
            <w:tcBorders>
              <w:top w:val="single" w:sz="12" w:space="0" w:color="auto"/>
              <w:bottom w:val="single" w:sz="12" w:space="0" w:color="auto"/>
              <w:right w:val="single" w:sz="12" w:space="0" w:color="auto"/>
            </w:tcBorders>
            <w:shd w:val="clear" w:color="auto" w:fill="FFD966"/>
            <w:vAlign w:val="center"/>
          </w:tcPr>
          <w:p w14:paraId="7D39212D" w14:textId="77777777" w:rsidR="00E91A5A" w:rsidRPr="00E91A5A" w:rsidRDefault="00E91A5A" w:rsidP="00E91A5A">
            <w:pPr>
              <w:widowControl w:val="0"/>
              <w:autoSpaceDE w:val="0"/>
              <w:autoSpaceDN w:val="0"/>
              <w:rPr>
                <w:rFonts w:ascii="Arial" w:hAnsi="Arial" w:cs="Arial"/>
                <w:sz w:val="18"/>
                <w:szCs w:val="18"/>
                <w:lang w:eastAsia="ko-KR"/>
              </w:rPr>
            </w:pPr>
            <w:r w:rsidRPr="00E91A5A">
              <w:rPr>
                <w:rFonts w:ascii="Arial" w:hAnsi="Arial" w:cs="Arial"/>
                <w:sz w:val="18"/>
                <w:szCs w:val="18"/>
                <w:lang w:eastAsia="ko-KR"/>
              </w:rPr>
              <w:t>UE features (135)</w:t>
            </w:r>
          </w:p>
          <w:p w14:paraId="13BAC166" w14:textId="77777777" w:rsidR="00E91A5A" w:rsidRPr="00E91A5A" w:rsidRDefault="00E91A5A" w:rsidP="00E91A5A">
            <w:pPr>
              <w:widowControl w:val="0"/>
              <w:autoSpaceDE w:val="0"/>
              <w:autoSpaceDN w:val="0"/>
              <w:rPr>
                <w:rFonts w:ascii="Arial" w:hAnsi="Arial" w:cs="Arial"/>
                <w:sz w:val="14"/>
                <w:szCs w:val="14"/>
                <w:lang w:eastAsia="ko-KR"/>
              </w:rPr>
            </w:pPr>
            <w:r w:rsidRPr="00E91A5A">
              <w:rPr>
                <w:rFonts w:ascii="Arial" w:hAnsi="Arial" w:cs="Arial"/>
                <w:sz w:val="14"/>
                <w:szCs w:val="14"/>
                <w:lang w:eastAsia="ko-KR"/>
              </w:rPr>
              <w:t>Positioning (20)</w:t>
            </w:r>
          </w:p>
          <w:p w14:paraId="7E9A17E1" w14:textId="77777777" w:rsidR="00E91A5A" w:rsidRPr="00E91A5A" w:rsidRDefault="00E91A5A" w:rsidP="00E91A5A">
            <w:pPr>
              <w:widowControl w:val="0"/>
              <w:autoSpaceDE w:val="0"/>
              <w:autoSpaceDN w:val="0"/>
              <w:rPr>
                <w:rFonts w:ascii="Arial" w:hAnsi="Arial" w:cs="Arial"/>
                <w:sz w:val="14"/>
                <w:szCs w:val="14"/>
                <w:lang w:eastAsia="ko-KR"/>
              </w:rPr>
            </w:pPr>
            <w:r w:rsidRPr="00E91A5A">
              <w:rPr>
                <w:rFonts w:ascii="Arial" w:hAnsi="Arial" w:cs="Arial"/>
                <w:sz w:val="14"/>
                <w:szCs w:val="14"/>
                <w:lang w:eastAsia="ko-KR"/>
              </w:rPr>
              <w:t xml:space="preserve">MIMO (70) </w:t>
            </w:r>
          </w:p>
          <w:p w14:paraId="78930AEC" w14:textId="77777777" w:rsidR="00E91A5A" w:rsidRPr="00E91A5A" w:rsidRDefault="00E91A5A" w:rsidP="00E91A5A">
            <w:pPr>
              <w:widowControl w:val="0"/>
              <w:autoSpaceDE w:val="0"/>
              <w:autoSpaceDN w:val="0"/>
              <w:rPr>
                <w:rFonts w:ascii="Arial" w:hAnsi="Arial" w:cs="Arial"/>
                <w:sz w:val="14"/>
                <w:szCs w:val="14"/>
                <w:lang w:eastAsia="ko-KR"/>
              </w:rPr>
            </w:pPr>
            <w:r w:rsidRPr="00E91A5A">
              <w:rPr>
                <w:rFonts w:ascii="Arial" w:hAnsi="Arial" w:cs="Arial"/>
                <w:sz w:val="14"/>
                <w:szCs w:val="14"/>
                <w:lang w:eastAsia="ko-KR"/>
              </w:rPr>
              <w:t>Mobility (25)</w:t>
            </w:r>
          </w:p>
          <w:p w14:paraId="3C16E710" w14:textId="77777777" w:rsidR="00E91A5A" w:rsidRPr="00E91A5A" w:rsidRDefault="00E91A5A" w:rsidP="00E91A5A">
            <w:pPr>
              <w:autoSpaceDE w:val="0"/>
              <w:autoSpaceDN w:val="0"/>
              <w:jc w:val="left"/>
              <w:rPr>
                <w:rFonts w:ascii="Arial" w:hAnsi="Arial" w:cs="Arial"/>
                <w:sz w:val="18"/>
                <w:szCs w:val="18"/>
                <w:lang w:eastAsia="ko-KR"/>
              </w:rPr>
            </w:pPr>
            <w:r w:rsidRPr="00E91A5A">
              <w:rPr>
                <w:rFonts w:ascii="Arial" w:hAnsi="Arial" w:cs="Arial"/>
                <w:sz w:val="14"/>
                <w:szCs w:val="14"/>
                <w:lang w:eastAsia="ko-KR"/>
              </w:rPr>
              <w:t>NES (20)</w:t>
            </w:r>
          </w:p>
        </w:tc>
      </w:tr>
      <w:tr w:rsidR="00E91A5A" w:rsidRPr="00E91A5A" w14:paraId="54B221DC" w14:textId="77777777" w:rsidTr="00E91A5A">
        <w:trPr>
          <w:trHeight w:val="20"/>
        </w:trPr>
        <w:tc>
          <w:tcPr>
            <w:tcW w:w="15368" w:type="dxa"/>
            <w:gridSpan w:val="16"/>
            <w:tcBorders>
              <w:left w:val="single" w:sz="12" w:space="0" w:color="auto"/>
              <w:right w:val="single" w:sz="12" w:space="0" w:color="auto"/>
            </w:tcBorders>
            <w:shd w:val="clear" w:color="auto" w:fill="FFFFFF"/>
            <w:vAlign w:val="center"/>
          </w:tcPr>
          <w:p w14:paraId="1F993C7C" w14:textId="77777777" w:rsidR="00E91A5A" w:rsidRPr="00E91A5A" w:rsidRDefault="00E91A5A" w:rsidP="00E91A5A">
            <w:pPr>
              <w:autoSpaceDE w:val="0"/>
              <w:autoSpaceDN w:val="0"/>
              <w:jc w:val="center"/>
              <w:rPr>
                <w:rFonts w:ascii="Arial" w:hAnsi="Arial" w:cs="Arial"/>
                <w:sz w:val="18"/>
                <w:szCs w:val="18"/>
                <w:lang w:eastAsia="ko-KR"/>
              </w:rPr>
            </w:pPr>
            <w:r w:rsidRPr="00E91A5A">
              <w:rPr>
                <w:rFonts w:ascii="Arial" w:hAnsi="Arial" w:cs="Arial"/>
                <w:sz w:val="18"/>
                <w:szCs w:val="18"/>
                <w:lang w:eastAsia="ko-KR"/>
              </w:rPr>
              <w:t>Morning coffee break: 10:30 ~ 11:00</w:t>
            </w:r>
          </w:p>
        </w:tc>
      </w:tr>
      <w:tr w:rsidR="00E91A5A" w:rsidRPr="00E91A5A" w14:paraId="2BD366E0" w14:textId="77777777" w:rsidTr="00E91A5A">
        <w:trPr>
          <w:trHeight w:val="20"/>
        </w:trPr>
        <w:tc>
          <w:tcPr>
            <w:tcW w:w="938" w:type="dxa"/>
            <w:tcBorders>
              <w:top w:val="single" w:sz="12" w:space="0" w:color="auto"/>
              <w:left w:val="single" w:sz="12" w:space="0" w:color="auto"/>
              <w:bottom w:val="single" w:sz="12" w:space="0" w:color="auto"/>
              <w:right w:val="single" w:sz="12" w:space="0" w:color="auto"/>
            </w:tcBorders>
            <w:shd w:val="clear" w:color="auto" w:fill="FFFFFF"/>
            <w:vAlign w:val="center"/>
          </w:tcPr>
          <w:p w14:paraId="50C9D355" w14:textId="77777777" w:rsidR="00E91A5A" w:rsidRPr="00E91A5A" w:rsidRDefault="00E91A5A" w:rsidP="00E91A5A">
            <w:pPr>
              <w:autoSpaceDE w:val="0"/>
              <w:autoSpaceDN w:val="0"/>
              <w:jc w:val="center"/>
              <w:rPr>
                <w:rFonts w:ascii="Arial" w:hAnsi="Arial" w:cs="Arial"/>
                <w:sz w:val="18"/>
                <w:szCs w:val="18"/>
                <w:lang w:eastAsia="ko-KR"/>
              </w:rPr>
            </w:pPr>
            <w:r w:rsidRPr="00E91A5A">
              <w:rPr>
                <w:rFonts w:ascii="Arial" w:hAnsi="Arial" w:cs="Arial"/>
                <w:sz w:val="18"/>
                <w:szCs w:val="18"/>
                <w:lang w:eastAsia="ko-KR"/>
              </w:rPr>
              <w:t>11:00</w:t>
            </w:r>
          </w:p>
          <w:p w14:paraId="69BD389F" w14:textId="77777777" w:rsidR="00E91A5A" w:rsidRPr="00E91A5A" w:rsidRDefault="00E91A5A" w:rsidP="00E91A5A">
            <w:pPr>
              <w:autoSpaceDE w:val="0"/>
              <w:autoSpaceDN w:val="0"/>
              <w:jc w:val="center"/>
              <w:rPr>
                <w:rFonts w:ascii="Arial" w:hAnsi="Arial" w:cs="Arial"/>
                <w:sz w:val="18"/>
                <w:szCs w:val="18"/>
                <w:lang w:eastAsia="ko-KR"/>
              </w:rPr>
            </w:pPr>
            <w:r w:rsidRPr="00E91A5A">
              <w:rPr>
                <w:rFonts w:ascii="Arial" w:hAnsi="Arial" w:cs="Arial"/>
                <w:sz w:val="18"/>
                <w:szCs w:val="18"/>
                <w:lang w:eastAsia="ko-KR"/>
              </w:rPr>
              <w:t>~</w:t>
            </w:r>
          </w:p>
          <w:p w14:paraId="1B321650" w14:textId="77777777" w:rsidR="00E91A5A" w:rsidRPr="00E91A5A" w:rsidRDefault="00E91A5A" w:rsidP="00E91A5A">
            <w:pPr>
              <w:autoSpaceDE w:val="0"/>
              <w:autoSpaceDN w:val="0"/>
              <w:jc w:val="center"/>
              <w:rPr>
                <w:rFonts w:ascii="Arial" w:hAnsi="Arial" w:cs="Arial"/>
                <w:sz w:val="18"/>
                <w:szCs w:val="18"/>
                <w:lang w:eastAsia="ko-KR"/>
              </w:rPr>
            </w:pPr>
            <w:r w:rsidRPr="00E91A5A">
              <w:rPr>
                <w:rFonts w:ascii="Arial" w:hAnsi="Arial" w:cs="Arial"/>
                <w:sz w:val="18"/>
                <w:szCs w:val="18"/>
                <w:lang w:eastAsia="ko-KR"/>
              </w:rPr>
              <w:t>12:45</w:t>
            </w:r>
          </w:p>
          <w:p w14:paraId="6B8EB9C6" w14:textId="77777777" w:rsidR="00E91A5A" w:rsidRPr="00E91A5A" w:rsidRDefault="00E91A5A" w:rsidP="00E91A5A">
            <w:pPr>
              <w:autoSpaceDE w:val="0"/>
              <w:autoSpaceDN w:val="0"/>
              <w:jc w:val="center"/>
              <w:rPr>
                <w:rFonts w:ascii="Arial" w:hAnsi="Arial" w:cs="Arial"/>
                <w:sz w:val="18"/>
                <w:szCs w:val="18"/>
                <w:lang w:eastAsia="ko-KR"/>
              </w:rPr>
            </w:pPr>
          </w:p>
          <w:p w14:paraId="5D79E268" w14:textId="77777777" w:rsidR="00E91A5A" w:rsidRPr="00E91A5A" w:rsidRDefault="00E91A5A" w:rsidP="00E91A5A">
            <w:pPr>
              <w:autoSpaceDE w:val="0"/>
              <w:autoSpaceDN w:val="0"/>
              <w:jc w:val="center"/>
              <w:rPr>
                <w:rFonts w:ascii="Arial" w:hAnsi="Arial" w:cs="Arial"/>
                <w:sz w:val="18"/>
                <w:szCs w:val="18"/>
                <w:lang w:eastAsia="ko-KR"/>
              </w:rPr>
            </w:pPr>
            <w:r w:rsidRPr="00E91A5A">
              <w:rPr>
                <w:rFonts w:ascii="Arial" w:hAnsi="Arial" w:cs="Arial"/>
                <w:sz w:val="18"/>
                <w:szCs w:val="18"/>
                <w:lang w:eastAsia="ko-KR"/>
              </w:rPr>
              <w:t>(105 min)</w:t>
            </w:r>
          </w:p>
        </w:tc>
        <w:tc>
          <w:tcPr>
            <w:tcW w:w="2836" w:type="dxa"/>
            <w:gridSpan w:val="3"/>
            <w:tcBorders>
              <w:top w:val="single" w:sz="12" w:space="0" w:color="auto"/>
              <w:left w:val="single" w:sz="12" w:space="0" w:color="auto"/>
              <w:bottom w:val="single" w:sz="12" w:space="0" w:color="auto"/>
              <w:right w:val="single" w:sz="12" w:space="0" w:color="auto"/>
            </w:tcBorders>
            <w:shd w:val="clear" w:color="auto" w:fill="FFFFFF"/>
            <w:vAlign w:val="center"/>
          </w:tcPr>
          <w:p w14:paraId="27EF84D4" w14:textId="77777777" w:rsidR="00E91A5A" w:rsidRPr="00E91A5A" w:rsidRDefault="00E91A5A" w:rsidP="00E91A5A">
            <w:pPr>
              <w:autoSpaceDE w:val="0"/>
              <w:autoSpaceDN w:val="0"/>
              <w:jc w:val="left"/>
              <w:rPr>
                <w:rFonts w:ascii="Arial" w:hAnsi="Arial" w:cs="Arial"/>
                <w:sz w:val="18"/>
                <w:szCs w:val="18"/>
                <w:lang w:eastAsia="ko-KR"/>
              </w:rPr>
            </w:pPr>
            <w:r w:rsidRPr="00E91A5A">
              <w:rPr>
                <w:rFonts w:ascii="Arial" w:hAnsi="Arial" w:cs="Arial"/>
                <w:sz w:val="18"/>
                <w:szCs w:val="18"/>
                <w:lang w:eastAsia="ko-KR"/>
              </w:rPr>
              <w:t>Agenda item 7.1, 7.2 (105)</w:t>
            </w:r>
          </w:p>
        </w:tc>
        <w:tc>
          <w:tcPr>
            <w:tcW w:w="958" w:type="dxa"/>
            <w:tcBorders>
              <w:top w:val="single" w:sz="12" w:space="0" w:color="auto"/>
              <w:left w:val="single" w:sz="12" w:space="0" w:color="auto"/>
              <w:bottom w:val="single" w:sz="12" w:space="0" w:color="auto"/>
            </w:tcBorders>
            <w:shd w:val="clear" w:color="auto" w:fill="FFFFFF"/>
            <w:vAlign w:val="center"/>
          </w:tcPr>
          <w:p w14:paraId="2AC772B6" w14:textId="77777777" w:rsidR="00E91A5A" w:rsidRPr="00E91A5A" w:rsidRDefault="00E91A5A" w:rsidP="00E91A5A">
            <w:pPr>
              <w:autoSpaceDE w:val="0"/>
              <w:autoSpaceDN w:val="0"/>
              <w:jc w:val="left"/>
              <w:rPr>
                <w:rFonts w:ascii="Arial" w:hAnsi="Arial" w:cs="Arial"/>
                <w:sz w:val="18"/>
                <w:szCs w:val="18"/>
                <w:lang w:eastAsia="ko-KR"/>
              </w:rPr>
            </w:pPr>
            <w:r w:rsidRPr="00E91A5A">
              <w:rPr>
                <w:rFonts w:ascii="Arial" w:hAnsi="Arial" w:cs="Arial"/>
                <w:sz w:val="18"/>
                <w:szCs w:val="18"/>
                <w:lang w:eastAsia="ko-KR"/>
              </w:rPr>
              <w:t>NCR, XR, MC-Enh (105)</w:t>
            </w:r>
          </w:p>
        </w:tc>
        <w:tc>
          <w:tcPr>
            <w:tcW w:w="969" w:type="dxa"/>
            <w:tcBorders>
              <w:top w:val="single" w:sz="12" w:space="0" w:color="auto"/>
              <w:bottom w:val="single" w:sz="12" w:space="0" w:color="auto"/>
            </w:tcBorders>
            <w:shd w:val="clear" w:color="auto" w:fill="D9D9D9"/>
            <w:vAlign w:val="center"/>
          </w:tcPr>
          <w:p w14:paraId="408884B6" w14:textId="77777777" w:rsidR="00E91A5A" w:rsidRPr="00E91A5A" w:rsidRDefault="00E91A5A" w:rsidP="00E91A5A">
            <w:pPr>
              <w:autoSpaceDE w:val="0"/>
              <w:autoSpaceDN w:val="0"/>
              <w:jc w:val="left"/>
              <w:rPr>
                <w:rFonts w:ascii="Arial" w:hAnsi="Arial" w:cs="Arial"/>
                <w:sz w:val="18"/>
                <w:szCs w:val="18"/>
                <w:lang w:eastAsia="ko-KR"/>
              </w:rPr>
            </w:pPr>
            <w:r w:rsidRPr="00E91A5A">
              <w:rPr>
                <w:rFonts w:ascii="Arial" w:hAnsi="Arial" w:cs="Arial"/>
                <w:sz w:val="18"/>
                <w:szCs w:val="18"/>
                <w:lang w:eastAsia="ko-KR"/>
              </w:rPr>
              <w:t>Pos (105)</w:t>
            </w:r>
          </w:p>
        </w:tc>
        <w:tc>
          <w:tcPr>
            <w:tcW w:w="963" w:type="dxa"/>
            <w:tcBorders>
              <w:top w:val="single" w:sz="12" w:space="0" w:color="auto"/>
              <w:bottom w:val="single" w:sz="12" w:space="0" w:color="auto"/>
              <w:right w:val="single" w:sz="12" w:space="0" w:color="auto"/>
            </w:tcBorders>
            <w:shd w:val="clear" w:color="auto" w:fill="FFD966"/>
            <w:vAlign w:val="center"/>
          </w:tcPr>
          <w:p w14:paraId="505816BA" w14:textId="77777777" w:rsidR="00E91A5A" w:rsidRPr="00E91A5A" w:rsidRDefault="00E91A5A" w:rsidP="00E91A5A">
            <w:pPr>
              <w:autoSpaceDE w:val="0"/>
              <w:autoSpaceDN w:val="0"/>
              <w:jc w:val="left"/>
              <w:rPr>
                <w:rFonts w:ascii="Arial" w:hAnsi="Arial" w:cs="Arial"/>
                <w:sz w:val="18"/>
                <w:szCs w:val="18"/>
                <w:lang w:eastAsia="ko-KR"/>
              </w:rPr>
            </w:pPr>
            <w:r w:rsidRPr="00E91A5A">
              <w:rPr>
                <w:rFonts w:ascii="Arial" w:hAnsi="Arial" w:cs="Arial"/>
                <w:sz w:val="18"/>
                <w:szCs w:val="18"/>
                <w:lang w:eastAsia="ko-KR"/>
              </w:rPr>
              <w:t>UE features (105)</w:t>
            </w:r>
          </w:p>
        </w:tc>
        <w:tc>
          <w:tcPr>
            <w:tcW w:w="1008" w:type="dxa"/>
            <w:tcBorders>
              <w:top w:val="single" w:sz="12" w:space="0" w:color="auto"/>
              <w:left w:val="single" w:sz="12" w:space="0" w:color="auto"/>
              <w:bottom w:val="single" w:sz="12" w:space="0" w:color="auto"/>
            </w:tcBorders>
            <w:shd w:val="clear" w:color="auto" w:fill="FFFFFF"/>
            <w:vAlign w:val="center"/>
          </w:tcPr>
          <w:p w14:paraId="5E6CCAE4" w14:textId="77777777" w:rsidR="00E91A5A" w:rsidRPr="00E91A5A" w:rsidRDefault="00E91A5A" w:rsidP="00E91A5A">
            <w:pPr>
              <w:autoSpaceDE w:val="0"/>
              <w:autoSpaceDN w:val="0"/>
              <w:jc w:val="left"/>
              <w:rPr>
                <w:rFonts w:ascii="Arial" w:hAnsi="Arial" w:cs="Arial"/>
                <w:sz w:val="18"/>
                <w:szCs w:val="18"/>
                <w:lang w:eastAsia="ko-KR"/>
              </w:rPr>
            </w:pPr>
            <w:r w:rsidRPr="00E91A5A">
              <w:rPr>
                <w:rFonts w:ascii="Arial" w:hAnsi="Arial" w:cs="Arial"/>
                <w:sz w:val="18"/>
                <w:szCs w:val="18"/>
                <w:lang w:eastAsia="ko-KR"/>
              </w:rPr>
              <w:t>MC-Enh (45)</w:t>
            </w:r>
          </w:p>
          <w:p w14:paraId="0EB06732" w14:textId="77777777" w:rsidR="00E91A5A" w:rsidRPr="00E91A5A" w:rsidRDefault="00E91A5A" w:rsidP="00E91A5A">
            <w:pPr>
              <w:autoSpaceDE w:val="0"/>
              <w:autoSpaceDN w:val="0"/>
              <w:jc w:val="left"/>
              <w:rPr>
                <w:rFonts w:ascii="Arial" w:hAnsi="Arial" w:cs="Arial"/>
                <w:sz w:val="18"/>
                <w:szCs w:val="18"/>
                <w:lang w:eastAsia="ko-KR"/>
              </w:rPr>
            </w:pPr>
            <w:r w:rsidRPr="00E91A5A">
              <w:rPr>
                <w:rFonts w:ascii="Arial" w:hAnsi="Arial" w:cs="Arial"/>
                <w:sz w:val="18"/>
                <w:szCs w:val="18"/>
                <w:lang w:eastAsia="ko-KR"/>
              </w:rPr>
              <w:t>MIMO (60)</w:t>
            </w:r>
          </w:p>
        </w:tc>
        <w:tc>
          <w:tcPr>
            <w:tcW w:w="953" w:type="dxa"/>
            <w:tcBorders>
              <w:top w:val="single" w:sz="12" w:space="0" w:color="auto"/>
              <w:bottom w:val="single" w:sz="12" w:space="0" w:color="auto"/>
            </w:tcBorders>
            <w:shd w:val="clear" w:color="auto" w:fill="D9D9D9"/>
            <w:vAlign w:val="center"/>
          </w:tcPr>
          <w:p w14:paraId="20739EE4" w14:textId="77777777" w:rsidR="00E91A5A" w:rsidRPr="00E91A5A" w:rsidRDefault="00E91A5A" w:rsidP="00E91A5A">
            <w:pPr>
              <w:autoSpaceDE w:val="0"/>
              <w:autoSpaceDN w:val="0"/>
              <w:jc w:val="left"/>
              <w:rPr>
                <w:rFonts w:ascii="Arial" w:hAnsi="Arial" w:cs="Arial"/>
                <w:sz w:val="18"/>
                <w:szCs w:val="18"/>
                <w:lang w:eastAsia="ko-KR"/>
              </w:rPr>
            </w:pPr>
            <w:r w:rsidRPr="00E91A5A">
              <w:rPr>
                <w:rFonts w:ascii="Arial" w:hAnsi="Arial" w:cs="Arial"/>
                <w:sz w:val="18"/>
                <w:szCs w:val="18"/>
                <w:lang w:eastAsia="ko-KR"/>
              </w:rPr>
              <w:t>Pos (105)</w:t>
            </w:r>
          </w:p>
        </w:tc>
        <w:tc>
          <w:tcPr>
            <w:tcW w:w="1035" w:type="dxa"/>
            <w:tcBorders>
              <w:top w:val="single" w:sz="12" w:space="0" w:color="auto"/>
              <w:bottom w:val="single" w:sz="12" w:space="0" w:color="auto"/>
              <w:right w:val="single" w:sz="12" w:space="0" w:color="auto"/>
            </w:tcBorders>
            <w:shd w:val="clear" w:color="auto" w:fill="FFD966"/>
            <w:vAlign w:val="center"/>
          </w:tcPr>
          <w:p w14:paraId="0EA34D60" w14:textId="77777777" w:rsidR="00E91A5A" w:rsidRPr="00E91A5A" w:rsidRDefault="00E91A5A" w:rsidP="00E91A5A">
            <w:pPr>
              <w:autoSpaceDE w:val="0"/>
              <w:autoSpaceDN w:val="0"/>
              <w:jc w:val="left"/>
              <w:rPr>
                <w:rFonts w:ascii="Arial" w:hAnsi="Arial" w:cs="Arial"/>
                <w:sz w:val="18"/>
                <w:szCs w:val="18"/>
                <w:lang w:eastAsia="ko-KR"/>
              </w:rPr>
            </w:pPr>
            <w:r w:rsidRPr="00E91A5A">
              <w:rPr>
                <w:rFonts w:ascii="Arial" w:hAnsi="Arial" w:cs="Arial"/>
                <w:sz w:val="18"/>
                <w:szCs w:val="18"/>
                <w:lang w:eastAsia="ko-KR"/>
              </w:rPr>
              <w:t>UE features (105)</w:t>
            </w:r>
          </w:p>
        </w:tc>
        <w:tc>
          <w:tcPr>
            <w:tcW w:w="998" w:type="dxa"/>
            <w:tcBorders>
              <w:top w:val="single" w:sz="12" w:space="0" w:color="auto"/>
              <w:left w:val="single" w:sz="12" w:space="0" w:color="auto"/>
              <w:bottom w:val="single" w:sz="12" w:space="0" w:color="auto"/>
            </w:tcBorders>
            <w:shd w:val="clear" w:color="auto" w:fill="FFFFFF"/>
            <w:vAlign w:val="center"/>
          </w:tcPr>
          <w:p w14:paraId="29DC065C" w14:textId="77777777" w:rsidR="00E91A5A" w:rsidRPr="00E91A5A" w:rsidRDefault="00E91A5A" w:rsidP="00E91A5A">
            <w:pPr>
              <w:autoSpaceDE w:val="0"/>
              <w:autoSpaceDN w:val="0"/>
              <w:jc w:val="left"/>
              <w:rPr>
                <w:rFonts w:ascii="Arial" w:hAnsi="Arial" w:cs="Arial"/>
                <w:sz w:val="18"/>
                <w:szCs w:val="18"/>
                <w:lang w:eastAsia="ko-KR"/>
              </w:rPr>
            </w:pPr>
            <w:r w:rsidRPr="00E91A5A">
              <w:rPr>
                <w:rFonts w:ascii="Arial" w:hAnsi="Arial" w:cs="Arial"/>
                <w:sz w:val="18"/>
                <w:szCs w:val="18"/>
                <w:lang w:eastAsia="ko-KR"/>
              </w:rPr>
              <w:t>NCR, MC-Enh (75)</w:t>
            </w:r>
          </w:p>
          <w:p w14:paraId="78ECD0E2" w14:textId="77777777" w:rsidR="00E91A5A" w:rsidRPr="00E91A5A" w:rsidRDefault="00E91A5A" w:rsidP="00E91A5A">
            <w:pPr>
              <w:autoSpaceDE w:val="0"/>
              <w:autoSpaceDN w:val="0"/>
              <w:jc w:val="left"/>
              <w:rPr>
                <w:rFonts w:ascii="Arial" w:hAnsi="Arial" w:cs="Arial"/>
                <w:sz w:val="18"/>
                <w:szCs w:val="18"/>
                <w:lang w:eastAsia="ko-KR"/>
              </w:rPr>
            </w:pPr>
            <w:r w:rsidRPr="00E91A5A">
              <w:rPr>
                <w:rFonts w:ascii="Arial" w:hAnsi="Arial" w:cs="Arial"/>
                <w:sz w:val="18"/>
                <w:szCs w:val="18"/>
                <w:lang w:eastAsia="ko-KR"/>
              </w:rPr>
              <w:t>AI 7.2 (30)</w:t>
            </w:r>
          </w:p>
        </w:tc>
        <w:tc>
          <w:tcPr>
            <w:tcW w:w="940" w:type="dxa"/>
            <w:tcBorders>
              <w:top w:val="single" w:sz="12" w:space="0" w:color="auto"/>
              <w:bottom w:val="single" w:sz="12" w:space="0" w:color="auto"/>
            </w:tcBorders>
            <w:shd w:val="clear" w:color="auto" w:fill="D9D9D9"/>
            <w:vAlign w:val="center"/>
          </w:tcPr>
          <w:p w14:paraId="301669A9" w14:textId="77777777" w:rsidR="00E91A5A" w:rsidRPr="00E91A5A" w:rsidRDefault="00E91A5A" w:rsidP="00E91A5A">
            <w:pPr>
              <w:autoSpaceDE w:val="0"/>
              <w:autoSpaceDN w:val="0"/>
              <w:jc w:val="left"/>
              <w:rPr>
                <w:rFonts w:ascii="Arial" w:hAnsi="Arial" w:cs="Arial"/>
                <w:sz w:val="18"/>
                <w:szCs w:val="18"/>
                <w:lang w:eastAsia="ko-KR"/>
              </w:rPr>
            </w:pPr>
            <w:r w:rsidRPr="00E91A5A">
              <w:rPr>
                <w:rFonts w:ascii="Arial" w:hAnsi="Arial" w:cs="Arial"/>
                <w:sz w:val="18"/>
                <w:szCs w:val="18"/>
                <w:lang w:eastAsia="ko-KR"/>
              </w:rPr>
              <w:t>Pos (105)</w:t>
            </w:r>
          </w:p>
        </w:tc>
        <w:tc>
          <w:tcPr>
            <w:tcW w:w="962" w:type="dxa"/>
            <w:tcBorders>
              <w:top w:val="single" w:sz="12" w:space="0" w:color="auto"/>
              <w:bottom w:val="single" w:sz="12" w:space="0" w:color="auto"/>
              <w:right w:val="single" w:sz="12" w:space="0" w:color="auto"/>
            </w:tcBorders>
            <w:shd w:val="clear" w:color="auto" w:fill="FFD966"/>
            <w:vAlign w:val="center"/>
          </w:tcPr>
          <w:p w14:paraId="66E04019" w14:textId="77777777" w:rsidR="00E91A5A" w:rsidRPr="00E91A5A" w:rsidRDefault="00E91A5A" w:rsidP="00E91A5A">
            <w:pPr>
              <w:autoSpaceDE w:val="0"/>
              <w:autoSpaceDN w:val="0"/>
              <w:jc w:val="left"/>
              <w:rPr>
                <w:rFonts w:ascii="Arial" w:hAnsi="Arial" w:cs="Arial"/>
                <w:sz w:val="18"/>
                <w:szCs w:val="18"/>
                <w:lang w:eastAsia="ko-KR"/>
              </w:rPr>
            </w:pPr>
            <w:r w:rsidRPr="00E91A5A">
              <w:rPr>
                <w:rFonts w:ascii="Arial" w:hAnsi="Arial" w:cs="Arial"/>
                <w:sz w:val="18"/>
                <w:szCs w:val="18"/>
                <w:lang w:eastAsia="ko-KR"/>
              </w:rPr>
              <w:t>UE features (105)</w:t>
            </w:r>
          </w:p>
        </w:tc>
        <w:tc>
          <w:tcPr>
            <w:tcW w:w="935" w:type="dxa"/>
            <w:tcBorders>
              <w:top w:val="single" w:sz="12" w:space="0" w:color="auto"/>
              <w:left w:val="single" w:sz="12" w:space="0" w:color="auto"/>
              <w:bottom w:val="single" w:sz="12" w:space="0" w:color="auto"/>
            </w:tcBorders>
            <w:shd w:val="clear" w:color="auto" w:fill="FFFFFF"/>
            <w:vAlign w:val="center"/>
          </w:tcPr>
          <w:p w14:paraId="4407F8C4" w14:textId="77777777" w:rsidR="00E91A5A" w:rsidRPr="00E91A5A" w:rsidRDefault="00E91A5A" w:rsidP="00E91A5A">
            <w:pPr>
              <w:autoSpaceDE w:val="0"/>
              <w:autoSpaceDN w:val="0"/>
              <w:jc w:val="left"/>
              <w:rPr>
                <w:rFonts w:ascii="Arial" w:hAnsi="Arial" w:cs="Arial"/>
                <w:sz w:val="18"/>
                <w:szCs w:val="18"/>
                <w:lang w:eastAsia="ko-KR"/>
              </w:rPr>
            </w:pPr>
            <w:r w:rsidRPr="00E91A5A">
              <w:rPr>
                <w:rFonts w:ascii="Arial" w:hAnsi="Arial" w:cs="Arial"/>
                <w:sz w:val="18"/>
                <w:szCs w:val="18"/>
                <w:lang w:eastAsia="ko-KR"/>
              </w:rPr>
              <w:t>NES (60)</w:t>
            </w:r>
          </w:p>
          <w:p w14:paraId="00DF5072" w14:textId="77777777" w:rsidR="00E91A5A" w:rsidRPr="00E91A5A" w:rsidRDefault="00E91A5A" w:rsidP="00E91A5A">
            <w:pPr>
              <w:autoSpaceDE w:val="0"/>
              <w:autoSpaceDN w:val="0"/>
              <w:jc w:val="left"/>
              <w:rPr>
                <w:rFonts w:ascii="Arial" w:hAnsi="Arial" w:cs="Arial"/>
                <w:sz w:val="18"/>
                <w:szCs w:val="18"/>
                <w:lang w:eastAsia="ko-KR"/>
              </w:rPr>
            </w:pPr>
            <w:r w:rsidRPr="00E91A5A">
              <w:rPr>
                <w:rFonts w:ascii="Arial" w:hAnsi="Arial" w:cs="Arial"/>
                <w:sz w:val="18"/>
                <w:szCs w:val="18"/>
                <w:lang w:eastAsia="ko-KR"/>
              </w:rPr>
              <w:t>MC-Enh (45)</w:t>
            </w:r>
          </w:p>
        </w:tc>
        <w:tc>
          <w:tcPr>
            <w:tcW w:w="937" w:type="dxa"/>
            <w:tcBorders>
              <w:top w:val="single" w:sz="12" w:space="0" w:color="auto"/>
              <w:bottom w:val="single" w:sz="12" w:space="0" w:color="auto"/>
              <w:tl2br w:val="nil"/>
              <w:tr2bl w:val="nil"/>
            </w:tcBorders>
            <w:shd w:val="clear" w:color="auto" w:fill="D9D9D9"/>
            <w:vAlign w:val="center"/>
          </w:tcPr>
          <w:p w14:paraId="121DE5B5" w14:textId="77777777" w:rsidR="00E91A5A" w:rsidRPr="00E91A5A" w:rsidRDefault="00E91A5A" w:rsidP="00E91A5A">
            <w:pPr>
              <w:autoSpaceDE w:val="0"/>
              <w:autoSpaceDN w:val="0"/>
              <w:jc w:val="left"/>
              <w:rPr>
                <w:rFonts w:ascii="Arial" w:hAnsi="Arial" w:cs="Arial"/>
                <w:sz w:val="18"/>
                <w:szCs w:val="18"/>
                <w:lang w:eastAsia="ko-KR"/>
              </w:rPr>
            </w:pPr>
            <w:r w:rsidRPr="00E91A5A">
              <w:rPr>
                <w:rFonts w:ascii="Arial" w:hAnsi="Arial" w:cs="Arial"/>
                <w:sz w:val="18"/>
                <w:szCs w:val="18"/>
                <w:lang w:eastAsia="ko-KR"/>
              </w:rPr>
              <w:t>Sidelink (60)</w:t>
            </w:r>
          </w:p>
          <w:p w14:paraId="2001FE64" w14:textId="77777777" w:rsidR="00E91A5A" w:rsidRPr="00E91A5A" w:rsidRDefault="00E91A5A" w:rsidP="00E91A5A">
            <w:pPr>
              <w:autoSpaceDE w:val="0"/>
              <w:autoSpaceDN w:val="0"/>
              <w:jc w:val="left"/>
              <w:rPr>
                <w:rFonts w:ascii="Arial" w:hAnsi="Arial" w:cs="Arial"/>
                <w:sz w:val="18"/>
                <w:szCs w:val="18"/>
                <w:lang w:eastAsia="ko-KR"/>
              </w:rPr>
            </w:pPr>
            <w:r w:rsidRPr="00E91A5A">
              <w:rPr>
                <w:rFonts w:ascii="Arial" w:hAnsi="Arial" w:cs="Arial"/>
                <w:sz w:val="18"/>
                <w:szCs w:val="18"/>
                <w:lang w:eastAsia="ko-KR"/>
              </w:rPr>
              <w:t>Mobility (45)</w:t>
            </w:r>
          </w:p>
        </w:tc>
        <w:tc>
          <w:tcPr>
            <w:tcW w:w="936" w:type="dxa"/>
            <w:tcBorders>
              <w:top w:val="single" w:sz="12" w:space="0" w:color="auto"/>
              <w:bottom w:val="single" w:sz="12" w:space="0" w:color="auto"/>
              <w:right w:val="single" w:sz="12" w:space="0" w:color="auto"/>
              <w:tl2br w:val="nil"/>
              <w:tr2bl w:val="nil"/>
            </w:tcBorders>
            <w:shd w:val="clear" w:color="auto" w:fill="FFD966"/>
            <w:vAlign w:val="center"/>
          </w:tcPr>
          <w:p w14:paraId="0788F2B3" w14:textId="77777777" w:rsidR="00E91A5A" w:rsidRPr="00E91A5A" w:rsidRDefault="00E91A5A" w:rsidP="00E91A5A">
            <w:pPr>
              <w:autoSpaceDE w:val="0"/>
              <w:autoSpaceDN w:val="0"/>
              <w:jc w:val="left"/>
              <w:rPr>
                <w:rFonts w:ascii="Arial" w:hAnsi="Arial" w:cs="Arial"/>
                <w:sz w:val="18"/>
                <w:szCs w:val="18"/>
                <w:lang w:eastAsia="ko-KR"/>
              </w:rPr>
            </w:pPr>
          </w:p>
        </w:tc>
      </w:tr>
      <w:tr w:rsidR="00E91A5A" w:rsidRPr="00E91A5A" w14:paraId="380AF676" w14:textId="77777777" w:rsidTr="00E91A5A">
        <w:trPr>
          <w:trHeight w:val="20"/>
        </w:trPr>
        <w:tc>
          <w:tcPr>
            <w:tcW w:w="12560" w:type="dxa"/>
            <w:gridSpan w:val="13"/>
            <w:tcBorders>
              <w:top w:val="single" w:sz="12" w:space="0" w:color="auto"/>
              <w:left w:val="single" w:sz="12" w:space="0" w:color="auto"/>
              <w:bottom w:val="single" w:sz="12" w:space="0" w:color="auto"/>
              <w:right w:val="single" w:sz="12" w:space="0" w:color="auto"/>
            </w:tcBorders>
            <w:shd w:val="clear" w:color="auto" w:fill="FFFFFF"/>
            <w:vAlign w:val="center"/>
          </w:tcPr>
          <w:p w14:paraId="681E7727" w14:textId="5897292E" w:rsidR="00E91A5A" w:rsidRPr="00E91A5A" w:rsidRDefault="00E91A5A" w:rsidP="00E91A5A">
            <w:pPr>
              <w:autoSpaceDE w:val="0"/>
              <w:autoSpaceDN w:val="0"/>
              <w:jc w:val="center"/>
              <w:rPr>
                <w:rFonts w:ascii="Arial" w:hAnsi="Arial" w:cs="Arial"/>
                <w:sz w:val="18"/>
                <w:szCs w:val="18"/>
                <w:lang w:eastAsia="ko-KR"/>
              </w:rPr>
            </w:pPr>
            <w:r w:rsidRPr="00E91A5A">
              <w:rPr>
                <w:rFonts w:ascii="Arial" w:hAnsi="Arial" w:cs="Arial"/>
                <w:sz w:val="18"/>
                <w:szCs w:val="18"/>
                <w:lang w:eastAsia="ko-KR"/>
              </w:rPr>
              <w:t>Lunch break: 12:45 ~ 14:00</w:t>
            </w:r>
          </w:p>
        </w:tc>
        <w:tc>
          <w:tcPr>
            <w:tcW w:w="2808" w:type="dxa"/>
            <w:gridSpan w:val="3"/>
            <w:vMerge w:val="restart"/>
            <w:tcBorders>
              <w:top w:val="single" w:sz="12" w:space="0" w:color="auto"/>
              <w:left w:val="single" w:sz="12" w:space="0" w:color="auto"/>
              <w:right w:val="single" w:sz="12" w:space="0" w:color="auto"/>
            </w:tcBorders>
            <w:shd w:val="clear" w:color="auto" w:fill="FFFFFF"/>
            <w:vAlign w:val="center"/>
          </w:tcPr>
          <w:p w14:paraId="73CDF835" w14:textId="77777777" w:rsidR="00E91A5A" w:rsidRPr="00E91A5A" w:rsidRDefault="00E91A5A" w:rsidP="00E91A5A">
            <w:pPr>
              <w:autoSpaceDE w:val="0"/>
              <w:autoSpaceDN w:val="0"/>
              <w:jc w:val="left"/>
              <w:rPr>
                <w:rFonts w:ascii="Arial" w:hAnsi="Arial" w:cs="Arial"/>
                <w:color w:val="FF0000"/>
                <w:sz w:val="18"/>
                <w:szCs w:val="18"/>
                <w:lang w:eastAsia="ko-KR"/>
              </w:rPr>
            </w:pPr>
            <w:r w:rsidRPr="00E91A5A">
              <w:rPr>
                <w:rFonts w:ascii="Arial" w:hAnsi="Arial" w:cs="Arial"/>
                <w:color w:val="FF0000"/>
                <w:sz w:val="18"/>
                <w:szCs w:val="18"/>
                <w:lang w:eastAsia="ko-KR"/>
              </w:rPr>
              <w:t>Break for 15 min (12:45 ~ 13:00)</w:t>
            </w:r>
          </w:p>
          <w:p w14:paraId="3FB7F41A" w14:textId="77777777" w:rsidR="00E91A5A" w:rsidRPr="00E91A5A" w:rsidRDefault="00E91A5A" w:rsidP="00E91A5A">
            <w:pPr>
              <w:autoSpaceDE w:val="0"/>
              <w:autoSpaceDN w:val="0"/>
              <w:jc w:val="left"/>
              <w:rPr>
                <w:rFonts w:ascii="Arial" w:hAnsi="Arial" w:cs="Arial"/>
                <w:color w:val="FF0000"/>
                <w:sz w:val="18"/>
                <w:szCs w:val="18"/>
                <w:lang w:eastAsia="ko-KR"/>
              </w:rPr>
            </w:pPr>
            <w:r w:rsidRPr="00E91A5A">
              <w:rPr>
                <w:rFonts w:ascii="Arial" w:hAnsi="Arial" w:cs="Arial"/>
                <w:color w:val="FF0000"/>
                <w:sz w:val="18"/>
                <w:szCs w:val="18"/>
                <w:lang w:eastAsia="ko-KR"/>
              </w:rPr>
              <w:t>Reconvene joint session at 13:00</w:t>
            </w:r>
            <w:r w:rsidRPr="00E91A5A">
              <w:rPr>
                <w:rFonts w:ascii="Arial" w:hAnsi="Arial" w:cs="Arial"/>
                <w:color w:val="FF0000"/>
                <w:sz w:val="18"/>
                <w:szCs w:val="18"/>
                <w:lang w:eastAsia="ko-KR"/>
              </w:rPr>
              <w:br/>
            </w:r>
            <w:r w:rsidRPr="00E91A5A">
              <w:rPr>
                <w:rFonts w:ascii="Arial" w:hAnsi="Arial" w:cs="Arial"/>
                <w:sz w:val="18"/>
                <w:szCs w:val="18"/>
                <w:lang w:eastAsia="ko-KR"/>
              </w:rPr>
              <w:t>. Any open issues</w:t>
            </w:r>
            <w:r w:rsidRPr="00E91A5A">
              <w:rPr>
                <w:rFonts w:ascii="Arial" w:hAnsi="Arial" w:cs="Arial"/>
                <w:sz w:val="18"/>
                <w:szCs w:val="18"/>
                <w:lang w:eastAsia="ko-KR"/>
              </w:rPr>
              <w:br/>
              <w:t>. Session reports (start with 8.16)</w:t>
            </w:r>
          </w:p>
          <w:p w14:paraId="0F1C6430" w14:textId="77777777" w:rsidR="00E91A5A" w:rsidRPr="00E91A5A" w:rsidRDefault="00E91A5A" w:rsidP="00E91A5A">
            <w:pPr>
              <w:autoSpaceDE w:val="0"/>
              <w:autoSpaceDN w:val="0"/>
              <w:jc w:val="left"/>
              <w:rPr>
                <w:rFonts w:ascii="Arial" w:hAnsi="Arial" w:cs="Arial"/>
                <w:sz w:val="18"/>
                <w:szCs w:val="18"/>
                <w:lang w:eastAsia="ko-KR"/>
              </w:rPr>
            </w:pPr>
          </w:p>
          <w:p w14:paraId="4F3C37A4" w14:textId="77777777" w:rsidR="00E91A5A" w:rsidRPr="00E91A5A" w:rsidRDefault="00E91A5A" w:rsidP="00E91A5A">
            <w:pPr>
              <w:autoSpaceDE w:val="0"/>
              <w:autoSpaceDN w:val="0"/>
              <w:jc w:val="left"/>
              <w:rPr>
                <w:rFonts w:ascii="Arial" w:hAnsi="Arial" w:cs="Arial"/>
                <w:sz w:val="18"/>
                <w:szCs w:val="18"/>
                <w:lang w:eastAsia="ko-KR"/>
              </w:rPr>
            </w:pPr>
            <w:r w:rsidRPr="00E91A5A">
              <w:rPr>
                <w:rFonts w:ascii="Arial" w:hAnsi="Arial" w:cs="Arial"/>
                <w:sz w:val="18"/>
                <w:szCs w:val="18"/>
                <w:lang w:eastAsia="ko-KR"/>
              </w:rPr>
              <w:t>RAN1#115 is expected to close at 14:30 (local time) on Friday</w:t>
            </w:r>
          </w:p>
          <w:p w14:paraId="542F5CE1" w14:textId="77777777" w:rsidR="00E91A5A" w:rsidRPr="00E91A5A" w:rsidRDefault="00E91A5A" w:rsidP="00E91A5A">
            <w:pPr>
              <w:autoSpaceDE w:val="0"/>
              <w:autoSpaceDN w:val="0"/>
              <w:jc w:val="left"/>
              <w:rPr>
                <w:rFonts w:ascii="Arial" w:hAnsi="Arial" w:cs="Arial"/>
                <w:sz w:val="18"/>
                <w:szCs w:val="18"/>
                <w:lang w:eastAsia="ko-KR"/>
              </w:rPr>
            </w:pPr>
          </w:p>
        </w:tc>
      </w:tr>
      <w:tr w:rsidR="00E91A5A" w:rsidRPr="00E91A5A" w14:paraId="5DCE4658" w14:textId="77777777" w:rsidTr="00E91A5A">
        <w:trPr>
          <w:trHeight w:val="20"/>
        </w:trPr>
        <w:tc>
          <w:tcPr>
            <w:tcW w:w="938" w:type="dxa"/>
            <w:tcBorders>
              <w:top w:val="single" w:sz="12" w:space="0" w:color="auto"/>
              <w:left w:val="single" w:sz="12" w:space="0" w:color="auto"/>
              <w:bottom w:val="single" w:sz="12" w:space="0" w:color="auto"/>
              <w:right w:val="single" w:sz="12" w:space="0" w:color="auto"/>
            </w:tcBorders>
            <w:shd w:val="clear" w:color="auto" w:fill="FFFFFF"/>
            <w:vAlign w:val="center"/>
          </w:tcPr>
          <w:p w14:paraId="179DD4BA" w14:textId="77777777" w:rsidR="00E91A5A" w:rsidRPr="00E91A5A" w:rsidRDefault="00E91A5A" w:rsidP="00E91A5A">
            <w:pPr>
              <w:autoSpaceDE w:val="0"/>
              <w:autoSpaceDN w:val="0"/>
              <w:jc w:val="center"/>
              <w:rPr>
                <w:rFonts w:ascii="Arial" w:hAnsi="Arial" w:cs="Arial"/>
                <w:sz w:val="18"/>
                <w:szCs w:val="18"/>
                <w:lang w:eastAsia="ko-KR"/>
              </w:rPr>
            </w:pPr>
            <w:r w:rsidRPr="00E91A5A">
              <w:rPr>
                <w:rFonts w:ascii="Arial" w:hAnsi="Arial" w:cs="Arial"/>
                <w:sz w:val="18"/>
                <w:szCs w:val="18"/>
                <w:lang w:eastAsia="ko-KR"/>
              </w:rPr>
              <w:t>14:00</w:t>
            </w:r>
          </w:p>
          <w:p w14:paraId="1CF69E77" w14:textId="77777777" w:rsidR="00E91A5A" w:rsidRPr="00E91A5A" w:rsidRDefault="00E91A5A" w:rsidP="00E91A5A">
            <w:pPr>
              <w:autoSpaceDE w:val="0"/>
              <w:autoSpaceDN w:val="0"/>
              <w:jc w:val="center"/>
              <w:rPr>
                <w:rFonts w:ascii="Arial" w:hAnsi="Arial" w:cs="Arial"/>
                <w:sz w:val="18"/>
                <w:szCs w:val="18"/>
                <w:lang w:eastAsia="ko-KR"/>
              </w:rPr>
            </w:pPr>
            <w:r w:rsidRPr="00E91A5A">
              <w:rPr>
                <w:rFonts w:ascii="Arial" w:hAnsi="Arial" w:cs="Arial"/>
                <w:sz w:val="18"/>
                <w:szCs w:val="18"/>
                <w:lang w:eastAsia="ko-KR"/>
              </w:rPr>
              <w:t>~</w:t>
            </w:r>
          </w:p>
          <w:p w14:paraId="3C2A0C3A" w14:textId="77777777" w:rsidR="00E91A5A" w:rsidRPr="00E91A5A" w:rsidRDefault="00E91A5A" w:rsidP="00E91A5A">
            <w:pPr>
              <w:autoSpaceDE w:val="0"/>
              <w:autoSpaceDN w:val="0"/>
              <w:jc w:val="center"/>
              <w:rPr>
                <w:rFonts w:ascii="Arial" w:hAnsi="Arial" w:cs="Arial"/>
                <w:sz w:val="18"/>
                <w:szCs w:val="18"/>
                <w:lang w:eastAsia="ko-KR"/>
              </w:rPr>
            </w:pPr>
            <w:r w:rsidRPr="00E91A5A">
              <w:rPr>
                <w:rFonts w:ascii="Arial" w:hAnsi="Arial" w:cs="Arial"/>
                <w:sz w:val="18"/>
                <w:szCs w:val="18"/>
                <w:lang w:eastAsia="ko-KR"/>
              </w:rPr>
              <w:t>15:30</w:t>
            </w:r>
          </w:p>
          <w:p w14:paraId="3423F479" w14:textId="77777777" w:rsidR="00E91A5A" w:rsidRPr="00E91A5A" w:rsidRDefault="00E91A5A" w:rsidP="00E91A5A">
            <w:pPr>
              <w:autoSpaceDE w:val="0"/>
              <w:autoSpaceDN w:val="0"/>
              <w:jc w:val="center"/>
              <w:rPr>
                <w:rFonts w:ascii="Arial" w:hAnsi="Arial" w:cs="Arial"/>
                <w:sz w:val="18"/>
                <w:szCs w:val="18"/>
                <w:lang w:eastAsia="ko-KR"/>
              </w:rPr>
            </w:pPr>
          </w:p>
          <w:p w14:paraId="626692E8" w14:textId="77777777" w:rsidR="00E91A5A" w:rsidRPr="00E91A5A" w:rsidRDefault="00E91A5A" w:rsidP="00E91A5A">
            <w:pPr>
              <w:autoSpaceDE w:val="0"/>
              <w:autoSpaceDN w:val="0"/>
              <w:jc w:val="center"/>
              <w:rPr>
                <w:rFonts w:ascii="Arial" w:hAnsi="Arial" w:cs="Arial"/>
                <w:sz w:val="18"/>
                <w:szCs w:val="18"/>
                <w:lang w:eastAsia="ko-KR"/>
              </w:rPr>
            </w:pPr>
            <w:r w:rsidRPr="00E91A5A">
              <w:rPr>
                <w:rFonts w:ascii="Arial" w:hAnsi="Arial" w:cs="Arial"/>
                <w:sz w:val="18"/>
                <w:szCs w:val="18"/>
                <w:lang w:eastAsia="ko-KR"/>
              </w:rPr>
              <w:t>(90 min)</w:t>
            </w:r>
          </w:p>
        </w:tc>
        <w:tc>
          <w:tcPr>
            <w:tcW w:w="948" w:type="dxa"/>
            <w:tcBorders>
              <w:top w:val="single" w:sz="12" w:space="0" w:color="auto"/>
              <w:left w:val="single" w:sz="12" w:space="0" w:color="auto"/>
              <w:bottom w:val="single" w:sz="12" w:space="0" w:color="auto"/>
            </w:tcBorders>
            <w:shd w:val="clear" w:color="auto" w:fill="FFFFFF"/>
            <w:vAlign w:val="center"/>
          </w:tcPr>
          <w:p w14:paraId="141EBD07" w14:textId="77777777" w:rsidR="00E91A5A" w:rsidRPr="00E91A5A" w:rsidRDefault="00E91A5A" w:rsidP="00E91A5A">
            <w:pPr>
              <w:autoSpaceDE w:val="0"/>
              <w:autoSpaceDN w:val="0"/>
              <w:jc w:val="left"/>
              <w:rPr>
                <w:rFonts w:ascii="Arial" w:hAnsi="Arial" w:cs="Arial"/>
                <w:sz w:val="18"/>
                <w:szCs w:val="18"/>
                <w:lang w:eastAsia="ko-KR"/>
              </w:rPr>
            </w:pPr>
            <w:r w:rsidRPr="00E91A5A">
              <w:rPr>
                <w:rFonts w:ascii="Arial" w:hAnsi="Arial" w:cs="Arial"/>
                <w:sz w:val="18"/>
                <w:szCs w:val="18"/>
                <w:lang w:eastAsia="ko-KR"/>
              </w:rPr>
              <w:t>MIMO (90)</w:t>
            </w:r>
          </w:p>
        </w:tc>
        <w:tc>
          <w:tcPr>
            <w:tcW w:w="951" w:type="dxa"/>
            <w:tcBorders>
              <w:top w:val="single" w:sz="12" w:space="0" w:color="auto"/>
              <w:bottom w:val="single" w:sz="12" w:space="0" w:color="auto"/>
            </w:tcBorders>
            <w:shd w:val="clear" w:color="auto" w:fill="D9D9D9"/>
            <w:vAlign w:val="center"/>
          </w:tcPr>
          <w:p w14:paraId="7A467AD9" w14:textId="77777777" w:rsidR="00E91A5A" w:rsidRPr="00E91A5A" w:rsidRDefault="00E91A5A" w:rsidP="00E91A5A">
            <w:pPr>
              <w:autoSpaceDE w:val="0"/>
              <w:autoSpaceDN w:val="0"/>
              <w:jc w:val="left"/>
              <w:rPr>
                <w:rFonts w:ascii="Arial" w:hAnsi="Arial" w:cs="Arial"/>
                <w:sz w:val="18"/>
                <w:szCs w:val="18"/>
                <w:lang w:eastAsia="ko-KR"/>
              </w:rPr>
            </w:pPr>
            <w:r w:rsidRPr="00E91A5A">
              <w:rPr>
                <w:rFonts w:ascii="Arial" w:hAnsi="Arial" w:cs="Arial"/>
                <w:sz w:val="18"/>
                <w:szCs w:val="18"/>
                <w:lang w:eastAsia="ko-KR"/>
              </w:rPr>
              <w:t>Pos (90)</w:t>
            </w:r>
          </w:p>
        </w:tc>
        <w:tc>
          <w:tcPr>
            <w:tcW w:w="937" w:type="dxa"/>
            <w:tcBorders>
              <w:top w:val="single" w:sz="12" w:space="0" w:color="auto"/>
              <w:bottom w:val="single" w:sz="12" w:space="0" w:color="auto"/>
              <w:right w:val="single" w:sz="12" w:space="0" w:color="auto"/>
            </w:tcBorders>
            <w:shd w:val="clear" w:color="auto" w:fill="FFD966"/>
            <w:vAlign w:val="center"/>
          </w:tcPr>
          <w:p w14:paraId="7CE3D7B5" w14:textId="77777777" w:rsidR="00E91A5A" w:rsidRPr="00E91A5A" w:rsidRDefault="00E91A5A" w:rsidP="00E91A5A">
            <w:pPr>
              <w:autoSpaceDE w:val="0"/>
              <w:autoSpaceDN w:val="0"/>
              <w:jc w:val="left"/>
              <w:rPr>
                <w:rFonts w:ascii="Arial" w:hAnsi="Arial" w:cs="Arial"/>
                <w:sz w:val="18"/>
                <w:szCs w:val="18"/>
                <w:lang w:eastAsia="ko-KR"/>
              </w:rPr>
            </w:pPr>
            <w:r w:rsidRPr="00E91A5A">
              <w:rPr>
                <w:rFonts w:ascii="Arial" w:hAnsi="Arial" w:cs="Arial"/>
                <w:sz w:val="18"/>
                <w:szCs w:val="18"/>
                <w:lang w:eastAsia="ko-KR"/>
              </w:rPr>
              <w:t>UE features (90)</w:t>
            </w:r>
          </w:p>
        </w:tc>
        <w:tc>
          <w:tcPr>
            <w:tcW w:w="958" w:type="dxa"/>
            <w:tcBorders>
              <w:top w:val="single" w:sz="12" w:space="0" w:color="auto"/>
              <w:left w:val="single" w:sz="12" w:space="0" w:color="auto"/>
              <w:bottom w:val="single" w:sz="12" w:space="0" w:color="auto"/>
            </w:tcBorders>
            <w:shd w:val="clear" w:color="auto" w:fill="FFFFFF"/>
            <w:vAlign w:val="center"/>
          </w:tcPr>
          <w:p w14:paraId="4BD724C7" w14:textId="77777777" w:rsidR="00E91A5A" w:rsidRPr="00E91A5A" w:rsidRDefault="00E91A5A" w:rsidP="00E91A5A">
            <w:pPr>
              <w:autoSpaceDE w:val="0"/>
              <w:autoSpaceDN w:val="0"/>
              <w:jc w:val="left"/>
              <w:rPr>
                <w:rFonts w:ascii="Arial" w:hAnsi="Arial" w:cs="Arial"/>
                <w:sz w:val="18"/>
                <w:szCs w:val="18"/>
                <w:lang w:eastAsia="ko-KR"/>
              </w:rPr>
            </w:pPr>
            <w:r w:rsidRPr="00E91A5A">
              <w:rPr>
                <w:rFonts w:ascii="Arial" w:hAnsi="Arial" w:cs="Arial"/>
                <w:sz w:val="18"/>
                <w:szCs w:val="18"/>
                <w:lang w:eastAsia="ko-KR"/>
              </w:rPr>
              <w:t>AI 8.17 Others (20)</w:t>
            </w:r>
          </w:p>
          <w:p w14:paraId="17AAC109" w14:textId="77777777" w:rsidR="00E91A5A" w:rsidRPr="00E91A5A" w:rsidRDefault="00E91A5A" w:rsidP="00E91A5A">
            <w:pPr>
              <w:autoSpaceDE w:val="0"/>
              <w:autoSpaceDN w:val="0"/>
              <w:jc w:val="left"/>
              <w:rPr>
                <w:rFonts w:ascii="Arial" w:hAnsi="Arial" w:cs="Arial"/>
                <w:sz w:val="18"/>
                <w:szCs w:val="18"/>
                <w:lang w:eastAsia="ko-KR"/>
              </w:rPr>
            </w:pPr>
            <w:r w:rsidRPr="00E91A5A">
              <w:rPr>
                <w:rFonts w:ascii="Arial" w:hAnsi="Arial" w:cs="Arial"/>
                <w:sz w:val="18"/>
                <w:szCs w:val="18"/>
                <w:lang w:eastAsia="ko-KR"/>
              </w:rPr>
              <w:t>AI 7.1/7.2 (70)</w:t>
            </w:r>
          </w:p>
        </w:tc>
        <w:tc>
          <w:tcPr>
            <w:tcW w:w="969" w:type="dxa"/>
            <w:tcBorders>
              <w:top w:val="single" w:sz="12" w:space="0" w:color="auto"/>
              <w:bottom w:val="single" w:sz="12" w:space="0" w:color="auto"/>
            </w:tcBorders>
            <w:shd w:val="clear" w:color="auto" w:fill="D9D9D9"/>
            <w:vAlign w:val="center"/>
          </w:tcPr>
          <w:p w14:paraId="0CBC287A" w14:textId="77777777" w:rsidR="00E91A5A" w:rsidRPr="00E91A5A" w:rsidRDefault="00E91A5A" w:rsidP="00E91A5A">
            <w:pPr>
              <w:autoSpaceDE w:val="0"/>
              <w:autoSpaceDN w:val="0"/>
              <w:jc w:val="left"/>
              <w:rPr>
                <w:rFonts w:ascii="Arial" w:hAnsi="Arial" w:cs="Arial"/>
                <w:sz w:val="18"/>
                <w:szCs w:val="18"/>
                <w:lang w:eastAsia="ko-KR"/>
              </w:rPr>
            </w:pPr>
            <w:r w:rsidRPr="00E91A5A">
              <w:rPr>
                <w:rFonts w:ascii="Arial" w:hAnsi="Arial" w:cs="Arial"/>
                <w:sz w:val="18"/>
                <w:szCs w:val="18"/>
                <w:lang w:eastAsia="ko-KR"/>
              </w:rPr>
              <w:t>&lt;5MHz, DSS, RedCap, (70)</w:t>
            </w:r>
          </w:p>
          <w:p w14:paraId="29697842" w14:textId="77777777" w:rsidR="00E91A5A" w:rsidRPr="00E91A5A" w:rsidRDefault="00E91A5A" w:rsidP="00E91A5A">
            <w:pPr>
              <w:autoSpaceDE w:val="0"/>
              <w:autoSpaceDN w:val="0"/>
              <w:jc w:val="left"/>
              <w:rPr>
                <w:rFonts w:ascii="Arial" w:hAnsi="Arial" w:cs="Arial"/>
                <w:sz w:val="18"/>
                <w:szCs w:val="18"/>
                <w:lang w:eastAsia="ko-KR"/>
              </w:rPr>
            </w:pPr>
            <w:r w:rsidRPr="00E91A5A">
              <w:rPr>
                <w:rFonts w:ascii="Arial" w:hAnsi="Arial" w:cs="Arial"/>
                <w:sz w:val="18"/>
                <w:szCs w:val="18"/>
                <w:lang w:eastAsia="ko-KR"/>
              </w:rPr>
              <w:t>Sat Eval (20)</w:t>
            </w:r>
          </w:p>
        </w:tc>
        <w:tc>
          <w:tcPr>
            <w:tcW w:w="963" w:type="dxa"/>
            <w:tcBorders>
              <w:top w:val="single" w:sz="12" w:space="0" w:color="auto"/>
              <w:bottom w:val="single" w:sz="12" w:space="0" w:color="auto"/>
              <w:right w:val="single" w:sz="12" w:space="0" w:color="auto"/>
            </w:tcBorders>
            <w:shd w:val="clear" w:color="auto" w:fill="FFD966"/>
            <w:vAlign w:val="center"/>
          </w:tcPr>
          <w:p w14:paraId="4E374EB2" w14:textId="77777777" w:rsidR="00E91A5A" w:rsidRPr="00E91A5A" w:rsidRDefault="00E91A5A" w:rsidP="00E91A5A">
            <w:pPr>
              <w:autoSpaceDE w:val="0"/>
              <w:autoSpaceDN w:val="0"/>
              <w:jc w:val="left"/>
              <w:rPr>
                <w:rFonts w:ascii="Arial" w:hAnsi="Arial" w:cs="Arial"/>
                <w:sz w:val="18"/>
                <w:szCs w:val="18"/>
                <w:lang w:eastAsia="ko-KR"/>
              </w:rPr>
            </w:pPr>
            <w:r w:rsidRPr="00E91A5A">
              <w:rPr>
                <w:rFonts w:ascii="Arial" w:hAnsi="Arial" w:cs="Arial"/>
                <w:sz w:val="18"/>
                <w:szCs w:val="18"/>
                <w:lang w:eastAsia="ko-KR"/>
              </w:rPr>
              <w:t>UE features (90)</w:t>
            </w:r>
          </w:p>
        </w:tc>
        <w:tc>
          <w:tcPr>
            <w:tcW w:w="1008" w:type="dxa"/>
            <w:tcBorders>
              <w:top w:val="single" w:sz="12" w:space="0" w:color="auto"/>
              <w:left w:val="single" w:sz="12" w:space="0" w:color="auto"/>
              <w:bottom w:val="single" w:sz="12" w:space="0" w:color="auto"/>
            </w:tcBorders>
            <w:shd w:val="clear" w:color="auto" w:fill="FFFFFF"/>
            <w:vAlign w:val="center"/>
          </w:tcPr>
          <w:p w14:paraId="3AD2F0E2" w14:textId="77777777" w:rsidR="00E91A5A" w:rsidRPr="00E91A5A" w:rsidRDefault="00E91A5A" w:rsidP="00E91A5A">
            <w:pPr>
              <w:autoSpaceDE w:val="0"/>
              <w:autoSpaceDN w:val="0"/>
              <w:jc w:val="left"/>
              <w:rPr>
                <w:rFonts w:ascii="Arial" w:hAnsi="Arial" w:cs="Arial"/>
                <w:sz w:val="18"/>
                <w:szCs w:val="18"/>
                <w:lang w:eastAsia="ko-KR"/>
              </w:rPr>
            </w:pPr>
            <w:r w:rsidRPr="00E91A5A">
              <w:rPr>
                <w:rFonts w:ascii="Arial" w:hAnsi="Arial" w:cs="Arial"/>
                <w:sz w:val="18"/>
                <w:szCs w:val="18"/>
                <w:lang w:eastAsia="ko-KR"/>
              </w:rPr>
              <w:t>MIMO (90)</w:t>
            </w:r>
          </w:p>
        </w:tc>
        <w:tc>
          <w:tcPr>
            <w:tcW w:w="953" w:type="dxa"/>
            <w:tcBorders>
              <w:top w:val="single" w:sz="12" w:space="0" w:color="auto"/>
              <w:bottom w:val="single" w:sz="12" w:space="0" w:color="auto"/>
            </w:tcBorders>
            <w:shd w:val="clear" w:color="auto" w:fill="D9D9D9"/>
            <w:vAlign w:val="center"/>
          </w:tcPr>
          <w:p w14:paraId="496FEF5C" w14:textId="77777777" w:rsidR="00E91A5A" w:rsidRPr="00E91A5A" w:rsidRDefault="00E91A5A" w:rsidP="00E91A5A">
            <w:pPr>
              <w:autoSpaceDE w:val="0"/>
              <w:autoSpaceDN w:val="0"/>
              <w:jc w:val="left"/>
              <w:rPr>
                <w:rFonts w:ascii="Arial" w:hAnsi="Arial" w:cs="Arial"/>
                <w:sz w:val="18"/>
                <w:szCs w:val="18"/>
                <w:lang w:eastAsia="ko-KR"/>
              </w:rPr>
            </w:pPr>
            <w:r w:rsidRPr="00E91A5A">
              <w:rPr>
                <w:rFonts w:ascii="Arial" w:hAnsi="Arial" w:cs="Arial"/>
                <w:sz w:val="18"/>
                <w:szCs w:val="18"/>
                <w:lang w:eastAsia="ko-KR"/>
              </w:rPr>
              <w:t>NTN (90)</w:t>
            </w:r>
          </w:p>
        </w:tc>
        <w:tc>
          <w:tcPr>
            <w:tcW w:w="1035" w:type="dxa"/>
            <w:tcBorders>
              <w:top w:val="single" w:sz="12" w:space="0" w:color="auto"/>
              <w:bottom w:val="single" w:sz="12" w:space="0" w:color="auto"/>
              <w:right w:val="single" w:sz="12" w:space="0" w:color="auto"/>
            </w:tcBorders>
            <w:shd w:val="clear" w:color="auto" w:fill="FFD966"/>
            <w:vAlign w:val="center"/>
          </w:tcPr>
          <w:p w14:paraId="663E6D6B" w14:textId="77777777" w:rsidR="00E91A5A" w:rsidRPr="00E91A5A" w:rsidRDefault="00E91A5A" w:rsidP="00E91A5A">
            <w:pPr>
              <w:autoSpaceDE w:val="0"/>
              <w:autoSpaceDN w:val="0"/>
              <w:jc w:val="left"/>
              <w:rPr>
                <w:rFonts w:ascii="Arial" w:hAnsi="Arial" w:cs="Arial"/>
                <w:sz w:val="18"/>
                <w:szCs w:val="18"/>
                <w:lang w:eastAsia="ko-KR"/>
              </w:rPr>
            </w:pPr>
            <w:r w:rsidRPr="00E91A5A">
              <w:rPr>
                <w:rFonts w:ascii="Arial" w:hAnsi="Arial" w:cs="Arial"/>
                <w:sz w:val="18"/>
                <w:szCs w:val="18"/>
                <w:lang w:eastAsia="ko-KR"/>
              </w:rPr>
              <w:t>UE features (90)</w:t>
            </w:r>
          </w:p>
        </w:tc>
        <w:tc>
          <w:tcPr>
            <w:tcW w:w="998" w:type="dxa"/>
            <w:tcBorders>
              <w:top w:val="single" w:sz="12" w:space="0" w:color="auto"/>
              <w:left w:val="single" w:sz="12" w:space="0" w:color="auto"/>
              <w:bottom w:val="single" w:sz="12" w:space="0" w:color="auto"/>
            </w:tcBorders>
            <w:shd w:val="clear" w:color="auto" w:fill="FFFFFF"/>
            <w:vAlign w:val="center"/>
          </w:tcPr>
          <w:p w14:paraId="03F88947" w14:textId="77777777" w:rsidR="00E91A5A" w:rsidRPr="00E91A5A" w:rsidRDefault="00E91A5A" w:rsidP="00E91A5A">
            <w:pPr>
              <w:autoSpaceDE w:val="0"/>
              <w:autoSpaceDN w:val="0"/>
              <w:jc w:val="left"/>
              <w:rPr>
                <w:rFonts w:ascii="Arial" w:hAnsi="Arial" w:cs="Arial"/>
                <w:sz w:val="18"/>
                <w:szCs w:val="18"/>
                <w:lang w:eastAsia="ko-KR"/>
              </w:rPr>
            </w:pPr>
            <w:r w:rsidRPr="00E91A5A">
              <w:rPr>
                <w:rFonts w:ascii="Arial" w:hAnsi="Arial" w:cs="Arial"/>
                <w:sz w:val="18"/>
                <w:szCs w:val="18"/>
                <w:lang w:eastAsia="ko-KR"/>
              </w:rPr>
              <w:t>AI 7.1 (70)</w:t>
            </w:r>
          </w:p>
          <w:p w14:paraId="70B70F61" w14:textId="77777777" w:rsidR="00E91A5A" w:rsidRPr="00E91A5A" w:rsidRDefault="00E91A5A" w:rsidP="00E91A5A">
            <w:pPr>
              <w:autoSpaceDE w:val="0"/>
              <w:autoSpaceDN w:val="0"/>
              <w:jc w:val="left"/>
              <w:rPr>
                <w:rFonts w:ascii="Arial" w:hAnsi="Arial" w:cs="Arial"/>
                <w:sz w:val="18"/>
                <w:szCs w:val="18"/>
                <w:lang w:eastAsia="ko-KR"/>
              </w:rPr>
            </w:pPr>
            <w:r w:rsidRPr="00E91A5A">
              <w:rPr>
                <w:rFonts w:ascii="Arial" w:hAnsi="Arial" w:cs="Arial"/>
                <w:sz w:val="18"/>
                <w:szCs w:val="18"/>
                <w:lang w:eastAsia="ko-KR"/>
              </w:rPr>
              <w:t xml:space="preserve">AI 8.17, </w:t>
            </w:r>
            <w:r w:rsidRPr="00E91A5A">
              <w:rPr>
                <w:rFonts w:ascii="Arial" w:hAnsi="Arial" w:cs="Arial"/>
                <w:sz w:val="18"/>
                <w:szCs w:val="18"/>
                <w:lang w:eastAsia="ko-KR"/>
              </w:rPr>
              <w:br/>
              <w:t>AI 5 LSs (20)</w:t>
            </w:r>
          </w:p>
        </w:tc>
        <w:tc>
          <w:tcPr>
            <w:tcW w:w="940" w:type="dxa"/>
            <w:tcBorders>
              <w:top w:val="single" w:sz="12" w:space="0" w:color="auto"/>
              <w:bottom w:val="single" w:sz="12" w:space="0" w:color="auto"/>
            </w:tcBorders>
            <w:shd w:val="clear" w:color="auto" w:fill="D9D9D9"/>
            <w:vAlign w:val="center"/>
          </w:tcPr>
          <w:p w14:paraId="39D5EAFC" w14:textId="77777777" w:rsidR="00E91A5A" w:rsidRPr="00E91A5A" w:rsidRDefault="00E91A5A" w:rsidP="00E91A5A">
            <w:pPr>
              <w:autoSpaceDE w:val="0"/>
              <w:autoSpaceDN w:val="0"/>
              <w:jc w:val="left"/>
              <w:rPr>
                <w:rFonts w:ascii="Arial" w:hAnsi="Arial" w:cs="Arial"/>
                <w:sz w:val="18"/>
                <w:szCs w:val="18"/>
                <w:lang w:eastAsia="ko-KR"/>
              </w:rPr>
            </w:pPr>
            <w:r w:rsidRPr="00E91A5A">
              <w:rPr>
                <w:rFonts w:ascii="Arial" w:hAnsi="Arial" w:cs="Arial"/>
                <w:sz w:val="18"/>
                <w:szCs w:val="18"/>
                <w:lang w:eastAsia="ko-KR"/>
              </w:rPr>
              <w:t>AI 7.2 (90)</w:t>
            </w:r>
          </w:p>
        </w:tc>
        <w:tc>
          <w:tcPr>
            <w:tcW w:w="962" w:type="dxa"/>
            <w:tcBorders>
              <w:top w:val="single" w:sz="12" w:space="0" w:color="auto"/>
              <w:bottom w:val="single" w:sz="12" w:space="0" w:color="auto"/>
              <w:right w:val="single" w:sz="12" w:space="0" w:color="auto"/>
            </w:tcBorders>
            <w:shd w:val="clear" w:color="auto" w:fill="FFD966"/>
            <w:vAlign w:val="center"/>
          </w:tcPr>
          <w:p w14:paraId="5EA48B01" w14:textId="77777777" w:rsidR="00E91A5A" w:rsidRPr="00E91A5A" w:rsidRDefault="00E91A5A" w:rsidP="00E91A5A">
            <w:pPr>
              <w:autoSpaceDE w:val="0"/>
              <w:autoSpaceDN w:val="0"/>
              <w:jc w:val="left"/>
              <w:rPr>
                <w:rFonts w:ascii="Arial" w:hAnsi="Arial" w:cs="Arial"/>
                <w:sz w:val="18"/>
                <w:szCs w:val="18"/>
                <w:lang w:eastAsia="ko-KR"/>
              </w:rPr>
            </w:pPr>
            <w:r w:rsidRPr="00E91A5A">
              <w:rPr>
                <w:rFonts w:ascii="Arial" w:hAnsi="Arial" w:cs="Arial"/>
                <w:sz w:val="18"/>
                <w:szCs w:val="18"/>
                <w:lang w:eastAsia="ko-KR"/>
              </w:rPr>
              <w:t>UE features (90)</w:t>
            </w:r>
          </w:p>
        </w:tc>
        <w:tc>
          <w:tcPr>
            <w:tcW w:w="2808" w:type="dxa"/>
            <w:gridSpan w:val="3"/>
            <w:vMerge/>
            <w:tcBorders>
              <w:left w:val="single" w:sz="12" w:space="0" w:color="auto"/>
              <w:right w:val="single" w:sz="12" w:space="0" w:color="auto"/>
            </w:tcBorders>
            <w:shd w:val="clear" w:color="auto" w:fill="FFFFFF"/>
            <w:vAlign w:val="center"/>
          </w:tcPr>
          <w:p w14:paraId="69758DD0" w14:textId="77777777" w:rsidR="00E91A5A" w:rsidRPr="00E91A5A" w:rsidRDefault="00E91A5A" w:rsidP="00E91A5A">
            <w:pPr>
              <w:autoSpaceDE w:val="0"/>
              <w:autoSpaceDN w:val="0"/>
              <w:jc w:val="left"/>
              <w:rPr>
                <w:rFonts w:ascii="Arial" w:hAnsi="Arial" w:cs="Arial"/>
                <w:sz w:val="18"/>
                <w:szCs w:val="18"/>
                <w:lang w:eastAsia="ko-KR"/>
              </w:rPr>
            </w:pPr>
          </w:p>
        </w:tc>
      </w:tr>
      <w:tr w:rsidR="00E91A5A" w:rsidRPr="00E91A5A" w14:paraId="6C73211A" w14:textId="77777777" w:rsidTr="00E91A5A">
        <w:trPr>
          <w:trHeight w:val="20"/>
        </w:trPr>
        <w:tc>
          <w:tcPr>
            <w:tcW w:w="12560" w:type="dxa"/>
            <w:gridSpan w:val="13"/>
            <w:tcBorders>
              <w:left w:val="single" w:sz="12" w:space="0" w:color="auto"/>
              <w:right w:val="single" w:sz="12" w:space="0" w:color="auto"/>
            </w:tcBorders>
            <w:shd w:val="clear" w:color="auto" w:fill="FFFFFF"/>
            <w:vAlign w:val="center"/>
          </w:tcPr>
          <w:p w14:paraId="4D6D7961" w14:textId="26B7F58B" w:rsidR="00E91A5A" w:rsidRPr="00E91A5A" w:rsidRDefault="00E91A5A" w:rsidP="00E91A5A">
            <w:pPr>
              <w:autoSpaceDE w:val="0"/>
              <w:autoSpaceDN w:val="0"/>
              <w:jc w:val="center"/>
              <w:rPr>
                <w:rFonts w:ascii="Arial" w:hAnsi="Arial" w:cs="Arial"/>
                <w:sz w:val="18"/>
                <w:szCs w:val="18"/>
                <w:lang w:eastAsia="ko-KR"/>
              </w:rPr>
            </w:pPr>
            <w:r w:rsidRPr="00E91A5A">
              <w:rPr>
                <w:rFonts w:ascii="Arial" w:hAnsi="Arial" w:cs="Arial"/>
                <w:sz w:val="18"/>
                <w:szCs w:val="18"/>
                <w:lang w:eastAsia="ko-KR"/>
              </w:rPr>
              <w:t>Afternoon coffee break: 15:30 ~ 16:00</w:t>
            </w:r>
          </w:p>
        </w:tc>
        <w:tc>
          <w:tcPr>
            <w:tcW w:w="2808" w:type="dxa"/>
            <w:gridSpan w:val="3"/>
            <w:vMerge/>
            <w:tcBorders>
              <w:left w:val="single" w:sz="12" w:space="0" w:color="auto"/>
              <w:right w:val="single" w:sz="12" w:space="0" w:color="auto"/>
            </w:tcBorders>
            <w:shd w:val="clear" w:color="auto" w:fill="FFFFFF"/>
            <w:vAlign w:val="center"/>
          </w:tcPr>
          <w:p w14:paraId="7BD66F27" w14:textId="77777777" w:rsidR="00E91A5A" w:rsidRPr="00E91A5A" w:rsidRDefault="00E91A5A" w:rsidP="00E91A5A">
            <w:pPr>
              <w:autoSpaceDE w:val="0"/>
              <w:autoSpaceDN w:val="0"/>
              <w:jc w:val="left"/>
              <w:rPr>
                <w:rFonts w:ascii="Arial" w:hAnsi="Arial" w:cs="Arial"/>
                <w:sz w:val="18"/>
                <w:szCs w:val="18"/>
                <w:lang w:eastAsia="ko-KR"/>
              </w:rPr>
            </w:pPr>
          </w:p>
        </w:tc>
      </w:tr>
      <w:tr w:rsidR="00E91A5A" w:rsidRPr="00E91A5A" w14:paraId="5B1D4511" w14:textId="77777777" w:rsidTr="00E91A5A">
        <w:trPr>
          <w:trHeight w:val="20"/>
        </w:trPr>
        <w:tc>
          <w:tcPr>
            <w:tcW w:w="938" w:type="dxa"/>
            <w:tcBorders>
              <w:top w:val="single" w:sz="12" w:space="0" w:color="auto"/>
              <w:left w:val="single" w:sz="12" w:space="0" w:color="auto"/>
              <w:bottom w:val="single" w:sz="12" w:space="0" w:color="auto"/>
              <w:right w:val="single" w:sz="12" w:space="0" w:color="auto"/>
            </w:tcBorders>
            <w:shd w:val="clear" w:color="auto" w:fill="FFFFFF"/>
            <w:vAlign w:val="center"/>
          </w:tcPr>
          <w:p w14:paraId="17C9DF0E" w14:textId="77777777" w:rsidR="00E91A5A" w:rsidRPr="00E91A5A" w:rsidRDefault="00E91A5A" w:rsidP="00E91A5A">
            <w:pPr>
              <w:autoSpaceDE w:val="0"/>
              <w:autoSpaceDN w:val="0"/>
              <w:jc w:val="center"/>
              <w:rPr>
                <w:rFonts w:ascii="Arial" w:hAnsi="Arial" w:cs="Arial"/>
                <w:sz w:val="18"/>
                <w:szCs w:val="18"/>
                <w:lang w:eastAsia="ko-KR"/>
              </w:rPr>
            </w:pPr>
            <w:r w:rsidRPr="00E91A5A">
              <w:rPr>
                <w:rFonts w:ascii="Arial" w:hAnsi="Arial" w:cs="Arial"/>
                <w:sz w:val="18"/>
                <w:szCs w:val="18"/>
                <w:lang w:eastAsia="ko-KR"/>
              </w:rPr>
              <w:t>16:00</w:t>
            </w:r>
          </w:p>
          <w:p w14:paraId="367ED243" w14:textId="77777777" w:rsidR="00E91A5A" w:rsidRPr="00E91A5A" w:rsidRDefault="00E91A5A" w:rsidP="00E91A5A">
            <w:pPr>
              <w:autoSpaceDE w:val="0"/>
              <w:autoSpaceDN w:val="0"/>
              <w:jc w:val="center"/>
              <w:rPr>
                <w:rFonts w:ascii="Arial" w:hAnsi="Arial" w:cs="Arial"/>
                <w:sz w:val="18"/>
                <w:szCs w:val="18"/>
                <w:lang w:eastAsia="ko-KR"/>
              </w:rPr>
            </w:pPr>
            <w:r w:rsidRPr="00E91A5A">
              <w:rPr>
                <w:rFonts w:ascii="Arial" w:hAnsi="Arial" w:cs="Arial"/>
                <w:sz w:val="18"/>
                <w:szCs w:val="18"/>
                <w:lang w:eastAsia="ko-KR"/>
              </w:rPr>
              <w:t>~</w:t>
            </w:r>
          </w:p>
          <w:p w14:paraId="3A551454" w14:textId="77777777" w:rsidR="00E91A5A" w:rsidRPr="00E91A5A" w:rsidRDefault="00E91A5A" w:rsidP="00E91A5A">
            <w:pPr>
              <w:autoSpaceDE w:val="0"/>
              <w:autoSpaceDN w:val="0"/>
              <w:jc w:val="center"/>
              <w:rPr>
                <w:rFonts w:ascii="Arial" w:hAnsi="Arial" w:cs="Arial"/>
                <w:sz w:val="18"/>
                <w:szCs w:val="18"/>
                <w:lang w:eastAsia="ko-KR"/>
              </w:rPr>
            </w:pPr>
            <w:r w:rsidRPr="00E91A5A">
              <w:rPr>
                <w:rFonts w:ascii="Arial" w:hAnsi="Arial" w:cs="Arial"/>
                <w:sz w:val="18"/>
                <w:szCs w:val="18"/>
                <w:lang w:eastAsia="ko-KR"/>
              </w:rPr>
              <w:t>18:30</w:t>
            </w:r>
          </w:p>
          <w:p w14:paraId="6CF9B8FF" w14:textId="77777777" w:rsidR="00E91A5A" w:rsidRPr="00E91A5A" w:rsidRDefault="00E91A5A" w:rsidP="00E91A5A">
            <w:pPr>
              <w:autoSpaceDE w:val="0"/>
              <w:autoSpaceDN w:val="0"/>
              <w:jc w:val="center"/>
              <w:rPr>
                <w:rFonts w:ascii="Arial" w:hAnsi="Arial" w:cs="Arial"/>
                <w:sz w:val="18"/>
                <w:szCs w:val="18"/>
                <w:lang w:eastAsia="ko-KR"/>
              </w:rPr>
            </w:pPr>
          </w:p>
          <w:p w14:paraId="433B10B6" w14:textId="77777777" w:rsidR="00E91A5A" w:rsidRPr="00E91A5A" w:rsidRDefault="00E91A5A" w:rsidP="00E91A5A">
            <w:pPr>
              <w:autoSpaceDE w:val="0"/>
              <w:autoSpaceDN w:val="0"/>
              <w:jc w:val="center"/>
              <w:rPr>
                <w:rFonts w:ascii="Arial" w:hAnsi="Arial" w:cs="Arial"/>
                <w:sz w:val="18"/>
                <w:szCs w:val="18"/>
                <w:lang w:eastAsia="ko-KR"/>
              </w:rPr>
            </w:pPr>
            <w:r w:rsidRPr="00E91A5A">
              <w:rPr>
                <w:rFonts w:ascii="Arial" w:hAnsi="Arial" w:cs="Arial"/>
                <w:sz w:val="18"/>
                <w:szCs w:val="18"/>
                <w:lang w:eastAsia="ko-KR"/>
              </w:rPr>
              <w:t>(150 min)</w:t>
            </w:r>
          </w:p>
        </w:tc>
        <w:tc>
          <w:tcPr>
            <w:tcW w:w="948" w:type="dxa"/>
            <w:tcBorders>
              <w:top w:val="single" w:sz="12" w:space="0" w:color="auto"/>
              <w:left w:val="single" w:sz="12" w:space="0" w:color="auto"/>
              <w:bottom w:val="single" w:sz="12" w:space="0" w:color="auto"/>
            </w:tcBorders>
            <w:shd w:val="clear" w:color="auto" w:fill="FFFFFF"/>
            <w:vAlign w:val="center"/>
          </w:tcPr>
          <w:p w14:paraId="4BFCFC8B" w14:textId="77777777" w:rsidR="00E91A5A" w:rsidRPr="00E91A5A" w:rsidRDefault="00E91A5A" w:rsidP="00E91A5A">
            <w:pPr>
              <w:autoSpaceDE w:val="0"/>
              <w:autoSpaceDN w:val="0"/>
              <w:jc w:val="left"/>
              <w:rPr>
                <w:rFonts w:ascii="Arial" w:hAnsi="Arial" w:cs="Arial"/>
                <w:sz w:val="18"/>
                <w:szCs w:val="18"/>
                <w:lang w:eastAsia="ko-KR"/>
              </w:rPr>
            </w:pPr>
            <w:r w:rsidRPr="00E91A5A">
              <w:rPr>
                <w:rFonts w:ascii="Arial" w:hAnsi="Arial" w:cs="Arial"/>
                <w:sz w:val="18"/>
                <w:szCs w:val="18"/>
                <w:lang w:eastAsia="ko-KR"/>
              </w:rPr>
              <w:t>MIMO (60)</w:t>
            </w:r>
          </w:p>
          <w:p w14:paraId="437145F3" w14:textId="77777777" w:rsidR="00E91A5A" w:rsidRPr="00E91A5A" w:rsidRDefault="00E91A5A" w:rsidP="00E91A5A">
            <w:pPr>
              <w:autoSpaceDE w:val="0"/>
              <w:autoSpaceDN w:val="0"/>
              <w:jc w:val="left"/>
              <w:rPr>
                <w:rFonts w:ascii="Arial" w:hAnsi="Arial" w:cs="Arial"/>
                <w:sz w:val="18"/>
                <w:szCs w:val="18"/>
                <w:lang w:eastAsia="ko-KR"/>
              </w:rPr>
            </w:pPr>
            <w:r w:rsidRPr="00E91A5A">
              <w:rPr>
                <w:rFonts w:ascii="Arial" w:hAnsi="Arial" w:cs="Arial"/>
                <w:sz w:val="18"/>
                <w:szCs w:val="18"/>
                <w:lang w:eastAsia="ko-KR"/>
              </w:rPr>
              <w:t>NES (90)</w:t>
            </w:r>
          </w:p>
        </w:tc>
        <w:tc>
          <w:tcPr>
            <w:tcW w:w="951" w:type="dxa"/>
            <w:tcBorders>
              <w:top w:val="single" w:sz="12" w:space="0" w:color="auto"/>
              <w:bottom w:val="single" w:sz="12" w:space="0" w:color="auto"/>
            </w:tcBorders>
            <w:shd w:val="clear" w:color="auto" w:fill="D9D9D9"/>
            <w:vAlign w:val="center"/>
          </w:tcPr>
          <w:p w14:paraId="6B9552DE" w14:textId="77777777" w:rsidR="00E91A5A" w:rsidRPr="00E91A5A" w:rsidRDefault="00E91A5A" w:rsidP="00E91A5A">
            <w:pPr>
              <w:autoSpaceDE w:val="0"/>
              <w:autoSpaceDN w:val="0"/>
              <w:jc w:val="left"/>
              <w:rPr>
                <w:rFonts w:ascii="Arial" w:hAnsi="Arial" w:cs="Arial"/>
                <w:sz w:val="18"/>
                <w:szCs w:val="18"/>
                <w:lang w:eastAsia="ko-KR"/>
              </w:rPr>
            </w:pPr>
            <w:r w:rsidRPr="00E91A5A">
              <w:rPr>
                <w:rFonts w:ascii="Arial" w:hAnsi="Arial" w:cs="Arial"/>
                <w:sz w:val="18"/>
                <w:szCs w:val="18"/>
                <w:lang w:eastAsia="ko-KR"/>
              </w:rPr>
              <w:t>NTN (60)</w:t>
            </w:r>
          </w:p>
          <w:p w14:paraId="5A98F573" w14:textId="77777777" w:rsidR="00E91A5A" w:rsidRPr="00E91A5A" w:rsidRDefault="00E91A5A" w:rsidP="00E91A5A">
            <w:pPr>
              <w:autoSpaceDE w:val="0"/>
              <w:autoSpaceDN w:val="0"/>
              <w:jc w:val="left"/>
              <w:rPr>
                <w:rFonts w:ascii="Arial" w:hAnsi="Arial" w:cs="Arial"/>
                <w:sz w:val="18"/>
                <w:szCs w:val="18"/>
                <w:lang w:eastAsia="ko-KR"/>
              </w:rPr>
            </w:pPr>
            <w:r w:rsidRPr="00E91A5A">
              <w:rPr>
                <w:rFonts w:ascii="Arial" w:hAnsi="Arial" w:cs="Arial"/>
                <w:sz w:val="18"/>
                <w:szCs w:val="18"/>
                <w:lang w:eastAsia="ko-KR"/>
              </w:rPr>
              <w:t>SL (90)</w:t>
            </w:r>
          </w:p>
        </w:tc>
        <w:tc>
          <w:tcPr>
            <w:tcW w:w="937" w:type="dxa"/>
            <w:tcBorders>
              <w:top w:val="single" w:sz="12" w:space="0" w:color="auto"/>
              <w:bottom w:val="single" w:sz="12" w:space="0" w:color="auto"/>
              <w:right w:val="single" w:sz="12" w:space="0" w:color="auto"/>
            </w:tcBorders>
            <w:shd w:val="clear" w:color="auto" w:fill="FFD966"/>
            <w:vAlign w:val="center"/>
          </w:tcPr>
          <w:p w14:paraId="390D1EB6" w14:textId="77777777" w:rsidR="00E91A5A" w:rsidRPr="00E91A5A" w:rsidRDefault="00E91A5A" w:rsidP="00E91A5A">
            <w:pPr>
              <w:autoSpaceDE w:val="0"/>
              <w:autoSpaceDN w:val="0"/>
              <w:jc w:val="left"/>
              <w:rPr>
                <w:rFonts w:ascii="Arial" w:hAnsi="Arial" w:cs="Arial"/>
                <w:sz w:val="18"/>
                <w:szCs w:val="18"/>
                <w:lang w:eastAsia="ko-KR"/>
              </w:rPr>
            </w:pPr>
            <w:r w:rsidRPr="00E91A5A">
              <w:rPr>
                <w:rFonts w:ascii="Arial" w:hAnsi="Arial" w:cs="Arial"/>
                <w:sz w:val="18"/>
                <w:szCs w:val="18"/>
                <w:lang w:eastAsia="ko-KR"/>
              </w:rPr>
              <w:t>UE features (150)</w:t>
            </w:r>
          </w:p>
        </w:tc>
        <w:tc>
          <w:tcPr>
            <w:tcW w:w="958" w:type="dxa"/>
            <w:tcBorders>
              <w:top w:val="single" w:sz="12" w:space="0" w:color="auto"/>
              <w:left w:val="single" w:sz="12" w:space="0" w:color="auto"/>
              <w:bottom w:val="single" w:sz="12" w:space="0" w:color="auto"/>
            </w:tcBorders>
            <w:shd w:val="clear" w:color="auto" w:fill="FFFFFF"/>
            <w:vAlign w:val="center"/>
          </w:tcPr>
          <w:p w14:paraId="475FEF1A" w14:textId="77777777" w:rsidR="00E91A5A" w:rsidRPr="00E91A5A" w:rsidRDefault="00E91A5A" w:rsidP="00E91A5A">
            <w:pPr>
              <w:autoSpaceDE w:val="0"/>
              <w:autoSpaceDN w:val="0"/>
              <w:jc w:val="left"/>
              <w:rPr>
                <w:rFonts w:ascii="Arial" w:hAnsi="Arial" w:cs="Arial"/>
                <w:sz w:val="18"/>
                <w:szCs w:val="18"/>
                <w:lang w:eastAsia="ko-KR"/>
              </w:rPr>
            </w:pPr>
            <w:r w:rsidRPr="00E91A5A">
              <w:rPr>
                <w:rFonts w:ascii="Arial" w:hAnsi="Arial" w:cs="Arial"/>
                <w:sz w:val="18"/>
                <w:szCs w:val="18"/>
                <w:lang w:eastAsia="ko-KR"/>
              </w:rPr>
              <w:t>AI 7.1/7.2 (60)</w:t>
            </w:r>
          </w:p>
          <w:p w14:paraId="4664A11F" w14:textId="77777777" w:rsidR="00E91A5A" w:rsidRPr="00E91A5A" w:rsidRDefault="00E91A5A" w:rsidP="00E91A5A">
            <w:pPr>
              <w:autoSpaceDE w:val="0"/>
              <w:autoSpaceDN w:val="0"/>
              <w:jc w:val="left"/>
              <w:rPr>
                <w:rFonts w:ascii="Arial" w:hAnsi="Arial" w:cs="Arial"/>
                <w:sz w:val="18"/>
                <w:szCs w:val="18"/>
                <w:lang w:eastAsia="ko-KR"/>
              </w:rPr>
            </w:pPr>
            <w:r w:rsidRPr="00E91A5A">
              <w:rPr>
                <w:rFonts w:ascii="Arial" w:hAnsi="Arial" w:cs="Arial"/>
                <w:sz w:val="18"/>
                <w:szCs w:val="18"/>
                <w:lang w:eastAsia="ko-KR"/>
              </w:rPr>
              <w:t>NES (90)</w:t>
            </w:r>
          </w:p>
        </w:tc>
        <w:tc>
          <w:tcPr>
            <w:tcW w:w="969" w:type="dxa"/>
            <w:tcBorders>
              <w:top w:val="single" w:sz="12" w:space="0" w:color="auto"/>
              <w:bottom w:val="single" w:sz="12" w:space="0" w:color="auto"/>
            </w:tcBorders>
            <w:shd w:val="clear" w:color="auto" w:fill="D9D9D9"/>
            <w:vAlign w:val="center"/>
          </w:tcPr>
          <w:p w14:paraId="1D85F296" w14:textId="77777777" w:rsidR="00E91A5A" w:rsidRPr="00E91A5A" w:rsidRDefault="00E91A5A" w:rsidP="00E91A5A">
            <w:pPr>
              <w:autoSpaceDE w:val="0"/>
              <w:autoSpaceDN w:val="0"/>
              <w:jc w:val="left"/>
              <w:rPr>
                <w:rFonts w:ascii="Arial" w:hAnsi="Arial" w:cs="Arial"/>
                <w:sz w:val="18"/>
                <w:szCs w:val="18"/>
                <w:lang w:eastAsia="ko-KR"/>
              </w:rPr>
            </w:pPr>
            <w:r w:rsidRPr="00E91A5A">
              <w:rPr>
                <w:rFonts w:ascii="Arial" w:hAnsi="Arial" w:cs="Arial"/>
                <w:sz w:val="18"/>
                <w:szCs w:val="18"/>
                <w:lang w:eastAsia="ko-KR"/>
              </w:rPr>
              <w:t>NTN (60)</w:t>
            </w:r>
          </w:p>
          <w:p w14:paraId="36B8338B" w14:textId="77777777" w:rsidR="00E91A5A" w:rsidRPr="00E91A5A" w:rsidRDefault="00E91A5A" w:rsidP="00E91A5A">
            <w:pPr>
              <w:autoSpaceDE w:val="0"/>
              <w:autoSpaceDN w:val="0"/>
              <w:jc w:val="left"/>
              <w:rPr>
                <w:rFonts w:ascii="Arial" w:hAnsi="Arial" w:cs="Arial"/>
                <w:sz w:val="18"/>
                <w:szCs w:val="18"/>
                <w:lang w:eastAsia="ko-KR"/>
              </w:rPr>
            </w:pPr>
            <w:r w:rsidRPr="00E91A5A">
              <w:rPr>
                <w:rFonts w:ascii="Arial" w:hAnsi="Arial" w:cs="Arial"/>
                <w:sz w:val="18"/>
                <w:szCs w:val="18"/>
                <w:lang w:eastAsia="ko-KR"/>
              </w:rPr>
              <w:t>7.2 (90)</w:t>
            </w:r>
          </w:p>
        </w:tc>
        <w:tc>
          <w:tcPr>
            <w:tcW w:w="963" w:type="dxa"/>
            <w:tcBorders>
              <w:top w:val="single" w:sz="12" w:space="0" w:color="auto"/>
              <w:bottom w:val="single" w:sz="12" w:space="0" w:color="auto"/>
              <w:right w:val="single" w:sz="12" w:space="0" w:color="auto"/>
            </w:tcBorders>
            <w:shd w:val="clear" w:color="auto" w:fill="FFD966"/>
            <w:vAlign w:val="center"/>
          </w:tcPr>
          <w:p w14:paraId="539E272C" w14:textId="77777777" w:rsidR="00E91A5A" w:rsidRPr="00E91A5A" w:rsidRDefault="00E91A5A" w:rsidP="00E91A5A">
            <w:pPr>
              <w:autoSpaceDE w:val="0"/>
              <w:autoSpaceDN w:val="0"/>
              <w:jc w:val="left"/>
              <w:rPr>
                <w:rFonts w:ascii="Arial" w:hAnsi="Arial" w:cs="Arial"/>
                <w:sz w:val="18"/>
                <w:szCs w:val="18"/>
                <w:lang w:eastAsia="ko-KR"/>
              </w:rPr>
            </w:pPr>
            <w:r w:rsidRPr="00E91A5A">
              <w:rPr>
                <w:rFonts w:ascii="Arial" w:hAnsi="Arial" w:cs="Arial"/>
                <w:sz w:val="18"/>
                <w:szCs w:val="18"/>
                <w:lang w:eastAsia="ko-KR"/>
              </w:rPr>
              <w:t>UE features (150)</w:t>
            </w:r>
          </w:p>
        </w:tc>
        <w:tc>
          <w:tcPr>
            <w:tcW w:w="1008" w:type="dxa"/>
            <w:tcBorders>
              <w:top w:val="single" w:sz="12" w:space="0" w:color="auto"/>
              <w:left w:val="single" w:sz="12" w:space="0" w:color="auto"/>
              <w:bottom w:val="single" w:sz="12" w:space="0" w:color="auto"/>
            </w:tcBorders>
            <w:shd w:val="clear" w:color="auto" w:fill="FFFFFF"/>
            <w:vAlign w:val="center"/>
          </w:tcPr>
          <w:p w14:paraId="7551AE5B" w14:textId="77777777" w:rsidR="00E91A5A" w:rsidRPr="00E91A5A" w:rsidRDefault="00E91A5A" w:rsidP="00E91A5A">
            <w:pPr>
              <w:autoSpaceDE w:val="0"/>
              <w:autoSpaceDN w:val="0"/>
              <w:jc w:val="left"/>
              <w:rPr>
                <w:rFonts w:ascii="Arial" w:hAnsi="Arial" w:cs="Arial"/>
                <w:sz w:val="18"/>
                <w:szCs w:val="18"/>
                <w:lang w:eastAsia="ko-KR"/>
              </w:rPr>
            </w:pPr>
            <w:r w:rsidRPr="00E91A5A">
              <w:rPr>
                <w:rFonts w:ascii="Arial" w:hAnsi="Arial" w:cs="Arial"/>
                <w:sz w:val="18"/>
                <w:szCs w:val="18"/>
                <w:lang w:eastAsia="ko-KR"/>
              </w:rPr>
              <w:t>AI 7.2 (20)</w:t>
            </w:r>
          </w:p>
          <w:p w14:paraId="599ABE10" w14:textId="77777777" w:rsidR="00E91A5A" w:rsidRPr="00E91A5A" w:rsidRDefault="00E91A5A" w:rsidP="00E91A5A">
            <w:pPr>
              <w:autoSpaceDE w:val="0"/>
              <w:autoSpaceDN w:val="0"/>
              <w:jc w:val="left"/>
              <w:rPr>
                <w:rFonts w:ascii="Arial" w:hAnsi="Arial" w:cs="Arial"/>
                <w:sz w:val="18"/>
                <w:szCs w:val="18"/>
                <w:lang w:eastAsia="ko-KR"/>
              </w:rPr>
            </w:pPr>
            <w:r w:rsidRPr="00E91A5A">
              <w:rPr>
                <w:rFonts w:ascii="Arial" w:hAnsi="Arial" w:cs="Arial"/>
                <w:sz w:val="18"/>
                <w:szCs w:val="18"/>
                <w:lang w:eastAsia="ko-KR"/>
              </w:rPr>
              <w:t>AI 5 LSs (30)</w:t>
            </w:r>
          </w:p>
          <w:p w14:paraId="207A3FF6" w14:textId="77777777" w:rsidR="00E91A5A" w:rsidRPr="00E91A5A" w:rsidRDefault="00E91A5A" w:rsidP="00E91A5A">
            <w:pPr>
              <w:autoSpaceDE w:val="0"/>
              <w:autoSpaceDN w:val="0"/>
              <w:jc w:val="left"/>
              <w:rPr>
                <w:rFonts w:ascii="Arial" w:hAnsi="Arial" w:cs="Arial"/>
                <w:sz w:val="18"/>
                <w:szCs w:val="18"/>
                <w:lang w:eastAsia="ko-KR"/>
              </w:rPr>
            </w:pPr>
            <w:r w:rsidRPr="00E91A5A">
              <w:rPr>
                <w:rFonts w:ascii="Arial" w:hAnsi="Arial" w:cs="Arial"/>
                <w:sz w:val="18"/>
                <w:szCs w:val="18"/>
                <w:lang w:eastAsia="ko-KR"/>
              </w:rPr>
              <w:t>NES (100)</w:t>
            </w:r>
          </w:p>
        </w:tc>
        <w:tc>
          <w:tcPr>
            <w:tcW w:w="953" w:type="dxa"/>
            <w:tcBorders>
              <w:top w:val="single" w:sz="12" w:space="0" w:color="auto"/>
              <w:bottom w:val="single" w:sz="12" w:space="0" w:color="auto"/>
            </w:tcBorders>
            <w:shd w:val="clear" w:color="auto" w:fill="D9D9D9"/>
            <w:vAlign w:val="center"/>
          </w:tcPr>
          <w:p w14:paraId="0CF4732C" w14:textId="77777777" w:rsidR="00E91A5A" w:rsidRPr="00E91A5A" w:rsidRDefault="00E91A5A" w:rsidP="00E91A5A">
            <w:pPr>
              <w:autoSpaceDE w:val="0"/>
              <w:autoSpaceDN w:val="0"/>
              <w:jc w:val="left"/>
              <w:rPr>
                <w:rFonts w:ascii="Arial" w:hAnsi="Arial" w:cs="Arial"/>
                <w:sz w:val="18"/>
                <w:szCs w:val="18"/>
                <w:lang w:eastAsia="ko-KR"/>
              </w:rPr>
            </w:pPr>
            <w:r w:rsidRPr="00E91A5A">
              <w:rPr>
                <w:rFonts w:ascii="Arial" w:hAnsi="Arial" w:cs="Arial"/>
                <w:sz w:val="18"/>
                <w:szCs w:val="18"/>
                <w:lang w:eastAsia="ko-KR"/>
              </w:rPr>
              <w:t>7.2 (50)</w:t>
            </w:r>
          </w:p>
          <w:p w14:paraId="18F3184F" w14:textId="77777777" w:rsidR="00E91A5A" w:rsidRPr="00E91A5A" w:rsidRDefault="00E91A5A" w:rsidP="00E91A5A">
            <w:pPr>
              <w:autoSpaceDE w:val="0"/>
              <w:autoSpaceDN w:val="0"/>
              <w:jc w:val="left"/>
              <w:rPr>
                <w:rFonts w:ascii="Arial" w:hAnsi="Arial" w:cs="Arial"/>
                <w:sz w:val="18"/>
                <w:szCs w:val="18"/>
                <w:lang w:eastAsia="ko-KR"/>
              </w:rPr>
            </w:pPr>
            <w:r w:rsidRPr="00E91A5A">
              <w:rPr>
                <w:rFonts w:ascii="Arial" w:hAnsi="Arial" w:cs="Arial"/>
                <w:sz w:val="18"/>
                <w:szCs w:val="18"/>
                <w:lang w:eastAsia="ko-KR"/>
              </w:rPr>
              <w:t>CovEnh (40)</w:t>
            </w:r>
          </w:p>
          <w:p w14:paraId="40F84074" w14:textId="77777777" w:rsidR="00E91A5A" w:rsidRPr="00E91A5A" w:rsidRDefault="00E91A5A" w:rsidP="00E91A5A">
            <w:pPr>
              <w:autoSpaceDE w:val="0"/>
              <w:autoSpaceDN w:val="0"/>
              <w:jc w:val="left"/>
              <w:rPr>
                <w:rFonts w:ascii="Arial" w:hAnsi="Arial" w:cs="Arial"/>
                <w:sz w:val="18"/>
                <w:szCs w:val="18"/>
                <w:lang w:eastAsia="ko-KR"/>
              </w:rPr>
            </w:pPr>
            <w:r w:rsidRPr="00E91A5A">
              <w:rPr>
                <w:rFonts w:ascii="Arial" w:hAnsi="Arial" w:cs="Arial"/>
                <w:sz w:val="18"/>
                <w:szCs w:val="18"/>
                <w:lang w:eastAsia="ko-KR"/>
              </w:rPr>
              <w:t>Mobility (60)</w:t>
            </w:r>
          </w:p>
        </w:tc>
        <w:tc>
          <w:tcPr>
            <w:tcW w:w="1035" w:type="dxa"/>
            <w:tcBorders>
              <w:top w:val="single" w:sz="12" w:space="0" w:color="auto"/>
              <w:bottom w:val="single" w:sz="12" w:space="0" w:color="auto"/>
              <w:right w:val="single" w:sz="12" w:space="0" w:color="auto"/>
            </w:tcBorders>
            <w:shd w:val="clear" w:color="auto" w:fill="FFD966"/>
            <w:vAlign w:val="center"/>
          </w:tcPr>
          <w:p w14:paraId="0ECD6CFF" w14:textId="77777777" w:rsidR="00E91A5A" w:rsidRPr="00E91A5A" w:rsidRDefault="00E91A5A" w:rsidP="00E91A5A">
            <w:pPr>
              <w:autoSpaceDE w:val="0"/>
              <w:autoSpaceDN w:val="0"/>
              <w:jc w:val="left"/>
              <w:rPr>
                <w:rFonts w:ascii="Arial" w:hAnsi="Arial" w:cs="Arial"/>
                <w:sz w:val="18"/>
                <w:szCs w:val="18"/>
                <w:lang w:eastAsia="ko-KR"/>
              </w:rPr>
            </w:pPr>
            <w:r w:rsidRPr="00E91A5A">
              <w:rPr>
                <w:rFonts w:ascii="Arial" w:hAnsi="Arial" w:cs="Arial"/>
                <w:sz w:val="18"/>
                <w:szCs w:val="18"/>
                <w:lang w:eastAsia="ko-KR"/>
              </w:rPr>
              <w:t>UE features (150)</w:t>
            </w:r>
          </w:p>
        </w:tc>
        <w:tc>
          <w:tcPr>
            <w:tcW w:w="998" w:type="dxa"/>
            <w:tcBorders>
              <w:top w:val="single" w:sz="12" w:space="0" w:color="auto"/>
              <w:left w:val="single" w:sz="12" w:space="0" w:color="auto"/>
              <w:bottom w:val="single" w:sz="12" w:space="0" w:color="auto"/>
            </w:tcBorders>
            <w:shd w:val="clear" w:color="auto" w:fill="FFFFFF"/>
            <w:vAlign w:val="center"/>
          </w:tcPr>
          <w:p w14:paraId="79DB37B8" w14:textId="77777777" w:rsidR="00E91A5A" w:rsidRPr="00E91A5A" w:rsidRDefault="00E91A5A" w:rsidP="00E91A5A">
            <w:pPr>
              <w:autoSpaceDE w:val="0"/>
              <w:autoSpaceDN w:val="0"/>
              <w:jc w:val="left"/>
              <w:rPr>
                <w:rFonts w:ascii="Arial" w:hAnsi="Arial" w:cs="Arial"/>
                <w:sz w:val="18"/>
                <w:szCs w:val="18"/>
                <w:lang w:eastAsia="ko-KR"/>
              </w:rPr>
            </w:pPr>
            <w:r w:rsidRPr="00E91A5A">
              <w:rPr>
                <w:rFonts w:ascii="Arial" w:hAnsi="Arial" w:cs="Arial"/>
                <w:sz w:val="18"/>
                <w:szCs w:val="18"/>
                <w:lang w:eastAsia="ko-KR"/>
              </w:rPr>
              <w:t>NES (150)</w:t>
            </w:r>
          </w:p>
        </w:tc>
        <w:tc>
          <w:tcPr>
            <w:tcW w:w="940" w:type="dxa"/>
            <w:tcBorders>
              <w:top w:val="single" w:sz="12" w:space="0" w:color="auto"/>
              <w:bottom w:val="single" w:sz="12" w:space="0" w:color="auto"/>
            </w:tcBorders>
            <w:shd w:val="clear" w:color="auto" w:fill="D9D9D9"/>
            <w:vAlign w:val="center"/>
          </w:tcPr>
          <w:p w14:paraId="69F579D0" w14:textId="77777777" w:rsidR="00E91A5A" w:rsidRPr="00E91A5A" w:rsidRDefault="00E91A5A" w:rsidP="00E91A5A">
            <w:pPr>
              <w:autoSpaceDE w:val="0"/>
              <w:autoSpaceDN w:val="0"/>
              <w:jc w:val="left"/>
              <w:rPr>
                <w:rFonts w:ascii="Arial" w:hAnsi="Arial" w:cs="Arial"/>
                <w:sz w:val="18"/>
                <w:szCs w:val="18"/>
                <w:lang w:eastAsia="ko-KR"/>
              </w:rPr>
            </w:pPr>
            <w:r w:rsidRPr="00E91A5A">
              <w:rPr>
                <w:rFonts w:ascii="Arial" w:hAnsi="Arial" w:cs="Arial"/>
                <w:sz w:val="18"/>
                <w:szCs w:val="18"/>
                <w:lang w:eastAsia="ko-KR"/>
              </w:rPr>
              <w:t>NTN (90)</w:t>
            </w:r>
          </w:p>
          <w:p w14:paraId="094F1707" w14:textId="77777777" w:rsidR="00E91A5A" w:rsidRPr="00E91A5A" w:rsidRDefault="00E91A5A" w:rsidP="00E91A5A">
            <w:pPr>
              <w:autoSpaceDE w:val="0"/>
              <w:autoSpaceDN w:val="0"/>
              <w:jc w:val="left"/>
              <w:rPr>
                <w:rFonts w:ascii="Arial" w:hAnsi="Arial" w:cs="Arial"/>
                <w:sz w:val="18"/>
                <w:szCs w:val="18"/>
                <w:lang w:eastAsia="ko-KR"/>
              </w:rPr>
            </w:pPr>
            <w:r w:rsidRPr="00E91A5A">
              <w:rPr>
                <w:rFonts w:ascii="Arial" w:hAnsi="Arial" w:cs="Arial"/>
                <w:sz w:val="18"/>
                <w:szCs w:val="18"/>
                <w:lang w:eastAsia="ko-KR"/>
              </w:rPr>
              <w:t>Mobility (60)</w:t>
            </w:r>
          </w:p>
        </w:tc>
        <w:tc>
          <w:tcPr>
            <w:tcW w:w="962" w:type="dxa"/>
            <w:tcBorders>
              <w:top w:val="single" w:sz="12" w:space="0" w:color="auto"/>
              <w:bottom w:val="single" w:sz="12" w:space="0" w:color="auto"/>
              <w:right w:val="single" w:sz="12" w:space="0" w:color="auto"/>
            </w:tcBorders>
            <w:shd w:val="clear" w:color="auto" w:fill="FFD966"/>
            <w:vAlign w:val="center"/>
          </w:tcPr>
          <w:p w14:paraId="3A3321B0" w14:textId="77777777" w:rsidR="00E91A5A" w:rsidRPr="00E91A5A" w:rsidRDefault="00E91A5A" w:rsidP="00E91A5A">
            <w:pPr>
              <w:autoSpaceDE w:val="0"/>
              <w:autoSpaceDN w:val="0"/>
              <w:jc w:val="left"/>
              <w:rPr>
                <w:rFonts w:ascii="Arial" w:hAnsi="Arial" w:cs="Arial"/>
                <w:sz w:val="18"/>
                <w:szCs w:val="18"/>
                <w:lang w:eastAsia="ko-KR"/>
              </w:rPr>
            </w:pPr>
            <w:r w:rsidRPr="00E91A5A">
              <w:rPr>
                <w:rFonts w:ascii="Arial" w:hAnsi="Arial" w:cs="Arial"/>
                <w:sz w:val="18"/>
                <w:szCs w:val="18"/>
                <w:lang w:eastAsia="ko-KR"/>
              </w:rPr>
              <w:t>UE features (150)</w:t>
            </w:r>
          </w:p>
        </w:tc>
        <w:tc>
          <w:tcPr>
            <w:tcW w:w="2808" w:type="dxa"/>
            <w:gridSpan w:val="3"/>
            <w:vMerge/>
            <w:tcBorders>
              <w:left w:val="single" w:sz="12" w:space="0" w:color="auto"/>
              <w:bottom w:val="single" w:sz="12" w:space="0" w:color="auto"/>
              <w:right w:val="single" w:sz="12" w:space="0" w:color="auto"/>
            </w:tcBorders>
            <w:shd w:val="clear" w:color="auto" w:fill="FFFFFF"/>
          </w:tcPr>
          <w:p w14:paraId="56A034FA" w14:textId="77777777" w:rsidR="00E91A5A" w:rsidRPr="00E91A5A" w:rsidRDefault="00E91A5A" w:rsidP="00E91A5A">
            <w:pPr>
              <w:autoSpaceDE w:val="0"/>
              <w:autoSpaceDN w:val="0"/>
              <w:jc w:val="left"/>
              <w:rPr>
                <w:rFonts w:ascii="Arial" w:hAnsi="Arial" w:cs="Arial"/>
                <w:sz w:val="18"/>
                <w:szCs w:val="18"/>
                <w:lang w:eastAsia="ko-KR"/>
              </w:rPr>
            </w:pPr>
          </w:p>
        </w:tc>
      </w:tr>
      <w:tr w:rsidR="00E91A5A" w:rsidRPr="00E91A5A" w14:paraId="5CF7409E" w14:textId="77777777" w:rsidTr="00E91A5A">
        <w:trPr>
          <w:trHeight w:val="20"/>
        </w:trPr>
        <w:tc>
          <w:tcPr>
            <w:tcW w:w="15368" w:type="dxa"/>
            <w:gridSpan w:val="16"/>
            <w:tcBorders>
              <w:left w:val="single" w:sz="12" w:space="0" w:color="auto"/>
              <w:bottom w:val="single" w:sz="12" w:space="0" w:color="auto"/>
              <w:right w:val="single" w:sz="12" w:space="0" w:color="auto"/>
            </w:tcBorders>
            <w:shd w:val="clear" w:color="auto" w:fill="FFFFFF"/>
            <w:vAlign w:val="center"/>
          </w:tcPr>
          <w:p w14:paraId="0CEF8CBF" w14:textId="77777777" w:rsidR="00E91A5A" w:rsidRPr="00E91A5A" w:rsidRDefault="00E91A5A" w:rsidP="00E91A5A">
            <w:pPr>
              <w:autoSpaceDE w:val="0"/>
              <w:autoSpaceDN w:val="0"/>
              <w:jc w:val="center"/>
              <w:rPr>
                <w:rFonts w:ascii="Arial" w:hAnsi="Arial" w:cs="Arial"/>
                <w:sz w:val="18"/>
                <w:szCs w:val="18"/>
                <w:lang w:eastAsia="ko-KR"/>
              </w:rPr>
            </w:pPr>
            <w:r w:rsidRPr="00E91A5A">
              <w:rPr>
                <w:rFonts w:ascii="Arial" w:hAnsi="Arial" w:cs="Arial"/>
                <w:sz w:val="18"/>
                <w:szCs w:val="18"/>
                <w:lang w:eastAsia="ko-KR"/>
              </w:rPr>
              <w:t>All sessions end at 18:45 (at the latest) – no exceptions</w:t>
            </w:r>
          </w:p>
        </w:tc>
      </w:tr>
      <w:bookmarkEnd w:id="835"/>
    </w:tbl>
    <w:p w14:paraId="610A8100" w14:textId="77777777" w:rsidR="00CA6C73" w:rsidRPr="00E91A5A" w:rsidRDefault="00CA6C73" w:rsidP="00BA48F8">
      <w:pPr>
        <w:rPr>
          <w:rFonts w:ascii="Arial" w:hAnsi="Arial" w:cs="Arial"/>
          <w:sz w:val="16"/>
          <w:szCs w:val="16"/>
          <w:lang w:val="en-US"/>
        </w:rPr>
      </w:pPr>
    </w:p>
    <w:p w14:paraId="7597CE76" w14:textId="77777777" w:rsidR="00BA48F8" w:rsidRPr="009537ED" w:rsidRDefault="00BA48F8">
      <w:pPr>
        <w:rPr>
          <w:rFonts w:ascii="Times New Roman" w:hAnsi="Times New Roman"/>
          <w:b/>
          <w:bCs/>
          <w:kern w:val="32"/>
          <w:szCs w:val="20"/>
        </w:rPr>
      </w:pPr>
      <w:r w:rsidRPr="009537ED">
        <w:rPr>
          <w:rFonts w:ascii="Times New Roman" w:hAnsi="Times New Roman"/>
          <w:szCs w:val="20"/>
        </w:rPr>
        <w:br w:type="page"/>
      </w:r>
    </w:p>
    <w:p w14:paraId="7A6A8F62" w14:textId="6939DBE2" w:rsidR="00BA48F8" w:rsidRPr="009537ED" w:rsidRDefault="00BA48F8" w:rsidP="00BA48F8">
      <w:pPr>
        <w:pStyle w:val="Heading1"/>
        <w:numPr>
          <w:ilvl w:val="0"/>
          <w:numId w:val="0"/>
        </w:numPr>
        <w:spacing w:before="0" w:after="0"/>
        <w:rPr>
          <w:rFonts w:ascii="Times New Roman" w:hAnsi="Times New Roman" w:cs="Times New Roman"/>
          <w:sz w:val="20"/>
          <w:szCs w:val="20"/>
        </w:rPr>
      </w:pPr>
      <w:bookmarkStart w:id="836" w:name="_Toc159251066"/>
      <w:r w:rsidRPr="009537ED">
        <w:rPr>
          <w:rFonts w:ascii="Times New Roman" w:hAnsi="Times New Roman" w:cs="Times New Roman"/>
          <w:sz w:val="20"/>
          <w:szCs w:val="20"/>
        </w:rPr>
        <w:lastRenderedPageBreak/>
        <w:t>Annex</w:t>
      </w:r>
      <w:r w:rsidR="00233210" w:rsidRPr="009537ED">
        <w:rPr>
          <w:rFonts w:ascii="Times New Roman" w:hAnsi="Times New Roman" w:cs="Times New Roman"/>
          <w:sz w:val="20"/>
          <w:szCs w:val="20"/>
        </w:rPr>
        <w:t xml:space="preserve"> </w:t>
      </w:r>
      <w:r w:rsidRPr="009537ED">
        <w:rPr>
          <w:rFonts w:ascii="Times New Roman" w:hAnsi="Times New Roman" w:cs="Times New Roman"/>
          <w:sz w:val="20"/>
          <w:szCs w:val="20"/>
        </w:rPr>
        <w:t>B:</w:t>
      </w:r>
      <w:r w:rsidRPr="009537ED">
        <w:rPr>
          <w:rFonts w:ascii="Times New Roman" w:hAnsi="Times New Roman" w:cs="Times New Roman"/>
          <w:sz w:val="20"/>
          <w:szCs w:val="20"/>
        </w:rPr>
        <w:tab/>
        <w:t>List</w:t>
      </w:r>
      <w:r w:rsidR="00233210" w:rsidRPr="009537ED">
        <w:rPr>
          <w:rFonts w:ascii="Times New Roman" w:hAnsi="Times New Roman" w:cs="Times New Roman"/>
          <w:sz w:val="20"/>
          <w:szCs w:val="20"/>
        </w:rPr>
        <w:t xml:space="preserve"> </w:t>
      </w:r>
      <w:r w:rsidRPr="009537ED">
        <w:rPr>
          <w:rFonts w:ascii="Times New Roman" w:hAnsi="Times New Roman" w:cs="Times New Roman"/>
          <w:sz w:val="20"/>
          <w:szCs w:val="20"/>
        </w:rPr>
        <w:t>of</w:t>
      </w:r>
      <w:r w:rsidR="00233210" w:rsidRPr="009537ED">
        <w:rPr>
          <w:rFonts w:ascii="Times New Roman" w:hAnsi="Times New Roman" w:cs="Times New Roman"/>
          <w:sz w:val="20"/>
          <w:szCs w:val="20"/>
        </w:rPr>
        <w:t xml:space="preserve"> </w:t>
      </w:r>
      <w:r w:rsidRPr="009537ED">
        <w:rPr>
          <w:rFonts w:ascii="Times New Roman" w:hAnsi="Times New Roman" w:cs="Times New Roman"/>
          <w:sz w:val="20"/>
          <w:szCs w:val="20"/>
        </w:rPr>
        <w:t>CRs</w:t>
      </w:r>
      <w:r w:rsidR="00233210" w:rsidRPr="009537ED">
        <w:rPr>
          <w:rFonts w:ascii="Times New Roman" w:hAnsi="Times New Roman" w:cs="Times New Roman"/>
          <w:sz w:val="20"/>
          <w:szCs w:val="20"/>
        </w:rPr>
        <w:t xml:space="preserve"> </w:t>
      </w:r>
      <w:r w:rsidRPr="009537ED">
        <w:rPr>
          <w:rFonts w:ascii="Times New Roman" w:hAnsi="Times New Roman" w:cs="Times New Roman"/>
          <w:sz w:val="20"/>
          <w:szCs w:val="20"/>
        </w:rPr>
        <w:t>agreed</w:t>
      </w:r>
      <w:r w:rsidR="00233210" w:rsidRPr="009537ED">
        <w:rPr>
          <w:rFonts w:ascii="Times New Roman" w:hAnsi="Times New Roman" w:cs="Times New Roman"/>
          <w:sz w:val="20"/>
          <w:szCs w:val="20"/>
        </w:rPr>
        <w:t xml:space="preserve"> </w:t>
      </w:r>
      <w:r w:rsidRPr="009537ED">
        <w:rPr>
          <w:rFonts w:ascii="Times New Roman" w:hAnsi="Times New Roman" w:cs="Times New Roman"/>
          <w:sz w:val="20"/>
          <w:szCs w:val="20"/>
        </w:rPr>
        <w:t>at</w:t>
      </w:r>
      <w:r w:rsidR="00233210" w:rsidRPr="009537ED">
        <w:rPr>
          <w:rFonts w:ascii="Times New Roman" w:hAnsi="Times New Roman" w:cs="Times New Roman"/>
          <w:sz w:val="20"/>
          <w:szCs w:val="20"/>
        </w:rPr>
        <w:t xml:space="preserve"> </w:t>
      </w:r>
      <w:r w:rsidR="00CC2881" w:rsidRPr="009537ED">
        <w:rPr>
          <w:rFonts w:ascii="Times New Roman" w:hAnsi="Times New Roman" w:cs="Times New Roman"/>
          <w:sz w:val="20"/>
          <w:szCs w:val="20"/>
        </w:rPr>
        <w:t xml:space="preserve">RAN1 </w:t>
      </w:r>
      <w:r w:rsidR="00AE38CD" w:rsidRPr="009537ED">
        <w:rPr>
          <w:rFonts w:ascii="Times New Roman" w:hAnsi="Times New Roman" w:cs="Times New Roman"/>
          <w:sz w:val="20"/>
          <w:szCs w:val="20"/>
        </w:rPr>
        <w:t>#115</w:t>
      </w:r>
      <w:bookmarkEnd w:id="836"/>
    </w:p>
    <w:p w14:paraId="220FF2CC" w14:textId="77777777" w:rsidR="00FD5B1A" w:rsidRPr="009537ED" w:rsidRDefault="00FD5B1A" w:rsidP="00FD5B1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5"/>
        <w:gridCol w:w="4170"/>
        <w:gridCol w:w="2407"/>
        <w:gridCol w:w="704"/>
        <w:gridCol w:w="853"/>
        <w:gridCol w:w="918"/>
        <w:gridCol w:w="2208"/>
        <w:gridCol w:w="660"/>
        <w:gridCol w:w="640"/>
        <w:gridCol w:w="575"/>
      </w:tblGrid>
      <w:tr w:rsidR="00FC74E1" w:rsidRPr="009537ED" w14:paraId="5715D0FF" w14:textId="77777777" w:rsidTr="00AA703E">
        <w:trPr>
          <w:trHeight w:val="20"/>
          <w:tblHeader/>
        </w:trPr>
        <w:tc>
          <w:tcPr>
            <w:tcW w:w="365" w:type="pct"/>
            <w:shd w:val="clear" w:color="000000" w:fill="F3F3F3"/>
            <w:vAlign w:val="center"/>
          </w:tcPr>
          <w:p w14:paraId="12B0FC90" w14:textId="14EEE58F" w:rsidR="00FF7F9A" w:rsidRPr="009537ED" w:rsidRDefault="00FF7F9A" w:rsidP="00FF7F9A">
            <w:pPr>
              <w:pStyle w:val="TAH"/>
              <w:rPr>
                <w:rFonts w:cs="Arial"/>
                <w:sz w:val="14"/>
                <w:szCs w:val="14"/>
              </w:rPr>
            </w:pPr>
            <w:r w:rsidRPr="009537ED">
              <w:rPr>
                <w:rFonts w:cs="Arial"/>
                <w:sz w:val="14"/>
                <w:szCs w:val="14"/>
              </w:rPr>
              <w:t>TD#</w:t>
            </w:r>
          </w:p>
        </w:tc>
        <w:tc>
          <w:tcPr>
            <w:tcW w:w="1471" w:type="pct"/>
            <w:shd w:val="clear" w:color="000000" w:fill="F3F3F3"/>
            <w:vAlign w:val="center"/>
          </w:tcPr>
          <w:p w14:paraId="7D4C5BAD" w14:textId="24C62DBA" w:rsidR="00FF7F9A" w:rsidRPr="009537ED" w:rsidRDefault="00FF7F9A" w:rsidP="00FF7F9A">
            <w:pPr>
              <w:pStyle w:val="TAH"/>
              <w:rPr>
                <w:rFonts w:cs="Arial"/>
                <w:sz w:val="14"/>
                <w:szCs w:val="14"/>
              </w:rPr>
            </w:pPr>
            <w:r w:rsidRPr="009537ED">
              <w:rPr>
                <w:rFonts w:cs="Arial"/>
                <w:sz w:val="14"/>
                <w:szCs w:val="14"/>
              </w:rPr>
              <w:t>Title</w:t>
            </w:r>
          </w:p>
        </w:tc>
        <w:tc>
          <w:tcPr>
            <w:tcW w:w="849" w:type="pct"/>
            <w:shd w:val="clear" w:color="000000" w:fill="F3F3F3"/>
            <w:vAlign w:val="center"/>
          </w:tcPr>
          <w:p w14:paraId="2571EF0B" w14:textId="331D9EBB" w:rsidR="00FF7F9A" w:rsidRPr="009537ED" w:rsidRDefault="00FF7F9A" w:rsidP="00FF7F9A">
            <w:pPr>
              <w:pStyle w:val="TAH"/>
              <w:rPr>
                <w:rFonts w:cs="Arial"/>
                <w:sz w:val="14"/>
                <w:szCs w:val="14"/>
              </w:rPr>
            </w:pPr>
            <w:r w:rsidRPr="009537ED">
              <w:rPr>
                <w:rFonts w:cs="Arial"/>
                <w:sz w:val="14"/>
                <w:szCs w:val="14"/>
              </w:rPr>
              <w:t>Source to WG</w:t>
            </w:r>
          </w:p>
        </w:tc>
        <w:tc>
          <w:tcPr>
            <w:tcW w:w="248" w:type="pct"/>
            <w:shd w:val="clear" w:color="000000" w:fill="F3F3F3"/>
            <w:vAlign w:val="center"/>
          </w:tcPr>
          <w:p w14:paraId="718CA30C" w14:textId="6DEE7308" w:rsidR="00FF7F9A" w:rsidRPr="009537ED" w:rsidRDefault="00FF7F9A" w:rsidP="00FF7F9A">
            <w:pPr>
              <w:pStyle w:val="TAH"/>
              <w:rPr>
                <w:rFonts w:cs="Arial"/>
                <w:sz w:val="14"/>
                <w:szCs w:val="14"/>
              </w:rPr>
            </w:pPr>
            <w:r w:rsidRPr="009537ED">
              <w:rPr>
                <w:rFonts w:cs="Arial"/>
                <w:sz w:val="14"/>
                <w:szCs w:val="14"/>
              </w:rPr>
              <w:t>Rel</w:t>
            </w:r>
          </w:p>
        </w:tc>
        <w:tc>
          <w:tcPr>
            <w:tcW w:w="301" w:type="pct"/>
            <w:shd w:val="clear" w:color="000000" w:fill="F3F3F3"/>
            <w:vAlign w:val="center"/>
            <w:hideMark/>
          </w:tcPr>
          <w:p w14:paraId="4305A905" w14:textId="1983D4EF" w:rsidR="00FF7F9A" w:rsidRPr="009537ED" w:rsidRDefault="00FF7F9A" w:rsidP="00FF7F9A">
            <w:pPr>
              <w:pStyle w:val="TAH"/>
              <w:rPr>
                <w:rFonts w:cs="Arial"/>
                <w:sz w:val="14"/>
                <w:szCs w:val="14"/>
              </w:rPr>
            </w:pPr>
            <w:r w:rsidRPr="009537ED">
              <w:rPr>
                <w:rFonts w:cs="Arial"/>
                <w:sz w:val="14"/>
                <w:szCs w:val="14"/>
              </w:rPr>
              <w:t>TS</w:t>
            </w:r>
          </w:p>
        </w:tc>
        <w:tc>
          <w:tcPr>
            <w:tcW w:w="324" w:type="pct"/>
            <w:shd w:val="clear" w:color="000000" w:fill="F3F3F3"/>
            <w:vAlign w:val="center"/>
            <w:hideMark/>
          </w:tcPr>
          <w:p w14:paraId="750C4230" w14:textId="77777777" w:rsidR="00FF7F9A" w:rsidRPr="009537ED" w:rsidRDefault="00FF7F9A" w:rsidP="00FF7F9A">
            <w:pPr>
              <w:pStyle w:val="TAH"/>
              <w:rPr>
                <w:rFonts w:cs="Arial"/>
                <w:sz w:val="14"/>
                <w:szCs w:val="14"/>
              </w:rPr>
            </w:pPr>
            <w:r w:rsidRPr="009537ED">
              <w:rPr>
                <w:rFonts w:cs="Arial"/>
                <w:sz w:val="14"/>
                <w:szCs w:val="14"/>
              </w:rPr>
              <w:t>Vsn</w:t>
            </w:r>
          </w:p>
        </w:tc>
        <w:tc>
          <w:tcPr>
            <w:tcW w:w="779" w:type="pct"/>
            <w:shd w:val="clear" w:color="000000" w:fill="F3F3F3"/>
            <w:vAlign w:val="center"/>
          </w:tcPr>
          <w:p w14:paraId="44090BED" w14:textId="51C804AD" w:rsidR="00FF7F9A" w:rsidRPr="009537ED" w:rsidRDefault="00FF7F9A" w:rsidP="00FF7F9A">
            <w:pPr>
              <w:pStyle w:val="TAH"/>
              <w:rPr>
                <w:rFonts w:cs="Arial"/>
                <w:sz w:val="14"/>
                <w:szCs w:val="14"/>
              </w:rPr>
            </w:pPr>
            <w:r w:rsidRPr="009537ED">
              <w:rPr>
                <w:rFonts w:cs="Arial"/>
                <w:sz w:val="14"/>
                <w:szCs w:val="14"/>
              </w:rPr>
              <w:t>Work Item</w:t>
            </w:r>
          </w:p>
        </w:tc>
        <w:tc>
          <w:tcPr>
            <w:tcW w:w="233" w:type="pct"/>
            <w:shd w:val="clear" w:color="000000" w:fill="F3F3F3"/>
            <w:vAlign w:val="center"/>
          </w:tcPr>
          <w:p w14:paraId="488FA54D" w14:textId="196147B8" w:rsidR="00FF7F9A" w:rsidRPr="009537ED" w:rsidRDefault="00FF7F9A" w:rsidP="00FF7F9A">
            <w:pPr>
              <w:pStyle w:val="TAH"/>
              <w:rPr>
                <w:rFonts w:cs="Arial"/>
                <w:sz w:val="14"/>
                <w:szCs w:val="14"/>
              </w:rPr>
            </w:pPr>
            <w:r w:rsidRPr="009537ED">
              <w:rPr>
                <w:rFonts w:cs="Arial"/>
                <w:sz w:val="14"/>
                <w:szCs w:val="14"/>
              </w:rPr>
              <w:t>CR</w:t>
            </w:r>
          </w:p>
        </w:tc>
        <w:tc>
          <w:tcPr>
            <w:tcW w:w="226" w:type="pct"/>
            <w:shd w:val="clear" w:color="000000" w:fill="F3F3F3"/>
            <w:vAlign w:val="center"/>
          </w:tcPr>
          <w:p w14:paraId="49C5655F" w14:textId="1C5F1A16" w:rsidR="00FF7F9A" w:rsidRPr="009537ED" w:rsidRDefault="00FF7F9A" w:rsidP="00FF7F9A">
            <w:pPr>
              <w:pStyle w:val="TAH"/>
              <w:rPr>
                <w:rFonts w:cs="Arial"/>
                <w:sz w:val="14"/>
                <w:szCs w:val="14"/>
              </w:rPr>
            </w:pPr>
            <w:r w:rsidRPr="009537ED">
              <w:rPr>
                <w:rFonts w:cs="Arial"/>
                <w:sz w:val="14"/>
                <w:szCs w:val="14"/>
              </w:rPr>
              <w:t>Rev</w:t>
            </w:r>
          </w:p>
        </w:tc>
        <w:tc>
          <w:tcPr>
            <w:tcW w:w="203" w:type="pct"/>
            <w:shd w:val="clear" w:color="000000" w:fill="F3F3F3"/>
            <w:vAlign w:val="center"/>
          </w:tcPr>
          <w:p w14:paraId="34CEC4A8" w14:textId="07786C87" w:rsidR="00FF7F9A" w:rsidRPr="009537ED" w:rsidRDefault="00FF7F9A" w:rsidP="00FF7F9A">
            <w:pPr>
              <w:pStyle w:val="TAH"/>
              <w:rPr>
                <w:rFonts w:cs="Arial"/>
                <w:sz w:val="14"/>
                <w:szCs w:val="14"/>
              </w:rPr>
            </w:pPr>
            <w:r w:rsidRPr="009537ED">
              <w:rPr>
                <w:rFonts w:cs="Arial"/>
                <w:sz w:val="14"/>
                <w:szCs w:val="14"/>
              </w:rPr>
              <w:t>Cat</w:t>
            </w:r>
          </w:p>
        </w:tc>
      </w:tr>
      <w:tr w:rsidR="005A18DC" w:rsidRPr="009537ED" w14:paraId="6F277987" w14:textId="77777777" w:rsidTr="00AA703E">
        <w:trPr>
          <w:trHeight w:val="20"/>
        </w:trPr>
        <w:tc>
          <w:tcPr>
            <w:tcW w:w="365" w:type="pct"/>
          </w:tcPr>
          <w:p w14:paraId="7180E30B" w14:textId="5EC9B1D8" w:rsidR="005A18DC" w:rsidRPr="005A18DC" w:rsidRDefault="005A18DC" w:rsidP="005A18DC">
            <w:pPr>
              <w:rPr>
                <w:rFonts w:ascii="Arial" w:eastAsia="Times New Roman" w:hAnsi="Arial" w:cs="Arial"/>
                <w:color w:val="000000"/>
                <w:sz w:val="14"/>
                <w:szCs w:val="14"/>
                <w:lang w:eastAsia="en-GB"/>
              </w:rPr>
            </w:pPr>
            <w:hyperlink r:id="rId2235" w:history="1">
              <w:r w:rsidRPr="005A18DC">
                <w:rPr>
                  <w:rStyle w:val="Hyperlink"/>
                  <w:rFonts w:ascii="Arial" w:hAnsi="Arial" w:cs="Arial"/>
                  <w:b/>
                  <w:bCs/>
                  <w:sz w:val="14"/>
                  <w:szCs w:val="14"/>
                </w:rPr>
                <w:t>R1-2312364</w:t>
              </w:r>
            </w:hyperlink>
          </w:p>
        </w:tc>
        <w:tc>
          <w:tcPr>
            <w:tcW w:w="1471" w:type="pct"/>
          </w:tcPr>
          <w:p w14:paraId="7893000C" w14:textId="7AB8A586"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Correction on the order of SRS transmissions on multiple uplinks triggered by DCI 2_3 for SRS carrier switching</w:t>
            </w:r>
          </w:p>
        </w:tc>
        <w:tc>
          <w:tcPr>
            <w:tcW w:w="849" w:type="pct"/>
          </w:tcPr>
          <w:p w14:paraId="3A75D1A8" w14:textId="18B301C3"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Huawei, HiSilicon, Samsung</w:t>
            </w:r>
          </w:p>
        </w:tc>
        <w:tc>
          <w:tcPr>
            <w:tcW w:w="248" w:type="pct"/>
          </w:tcPr>
          <w:p w14:paraId="54F8F944" w14:textId="265767E3" w:rsidR="005A18DC" w:rsidRPr="005A18DC" w:rsidRDefault="005A18DC" w:rsidP="005A18DC">
            <w:pPr>
              <w:rPr>
                <w:rFonts w:ascii="Arial" w:eastAsia="Times New Roman" w:hAnsi="Arial" w:cs="Arial"/>
                <w:color w:val="000000"/>
                <w:sz w:val="14"/>
                <w:szCs w:val="14"/>
                <w:lang w:eastAsia="en-GB"/>
              </w:rPr>
            </w:pPr>
            <w:hyperlink r:id="rId2236" w:history="1">
              <w:r w:rsidRPr="005A18DC">
                <w:rPr>
                  <w:rStyle w:val="Hyperlink"/>
                  <w:rFonts w:ascii="Arial" w:hAnsi="Arial" w:cs="Arial"/>
                  <w:b/>
                  <w:bCs/>
                  <w:sz w:val="14"/>
                  <w:szCs w:val="14"/>
                </w:rPr>
                <w:t>Rel-17</w:t>
              </w:r>
            </w:hyperlink>
          </w:p>
        </w:tc>
        <w:tc>
          <w:tcPr>
            <w:tcW w:w="301" w:type="pct"/>
            <w:shd w:val="clear" w:color="auto" w:fill="auto"/>
          </w:tcPr>
          <w:p w14:paraId="6E7F7A5F" w14:textId="02394556" w:rsidR="005A18DC" w:rsidRPr="005A18DC" w:rsidRDefault="005A18DC" w:rsidP="005A18DC">
            <w:pPr>
              <w:rPr>
                <w:rFonts w:ascii="Arial" w:eastAsia="Times New Roman" w:hAnsi="Arial" w:cs="Arial"/>
                <w:color w:val="000000"/>
                <w:sz w:val="14"/>
                <w:szCs w:val="14"/>
                <w:lang w:eastAsia="en-GB"/>
              </w:rPr>
            </w:pPr>
            <w:hyperlink r:id="rId2237" w:history="1">
              <w:r w:rsidRPr="005A18DC">
                <w:rPr>
                  <w:rStyle w:val="Hyperlink"/>
                  <w:rFonts w:ascii="Arial" w:hAnsi="Arial" w:cs="Arial"/>
                  <w:b/>
                  <w:bCs/>
                  <w:sz w:val="14"/>
                  <w:szCs w:val="14"/>
                </w:rPr>
                <w:t>38.214</w:t>
              </w:r>
            </w:hyperlink>
          </w:p>
        </w:tc>
        <w:tc>
          <w:tcPr>
            <w:tcW w:w="324" w:type="pct"/>
            <w:shd w:val="clear" w:color="auto" w:fill="auto"/>
          </w:tcPr>
          <w:p w14:paraId="2B867218" w14:textId="6A25ADDC"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17.7.0</w:t>
            </w:r>
          </w:p>
        </w:tc>
        <w:tc>
          <w:tcPr>
            <w:tcW w:w="779" w:type="pct"/>
          </w:tcPr>
          <w:p w14:paraId="5FD3C5A1" w14:textId="428BC4EA"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color w:val="000000"/>
                <w:sz w:val="14"/>
                <w:szCs w:val="14"/>
              </w:rPr>
              <w:t>NR_newRAT-Core, TEI17</w:t>
            </w:r>
          </w:p>
        </w:tc>
        <w:tc>
          <w:tcPr>
            <w:tcW w:w="233" w:type="pct"/>
          </w:tcPr>
          <w:p w14:paraId="5A519332" w14:textId="070E1662"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0458</w:t>
            </w:r>
          </w:p>
        </w:tc>
        <w:tc>
          <w:tcPr>
            <w:tcW w:w="226" w:type="pct"/>
          </w:tcPr>
          <w:p w14:paraId="0688B99D" w14:textId="427D6B1E"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 </w:t>
            </w:r>
          </w:p>
        </w:tc>
        <w:tc>
          <w:tcPr>
            <w:tcW w:w="203" w:type="pct"/>
          </w:tcPr>
          <w:p w14:paraId="46456459" w14:textId="60833C9B"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F</w:t>
            </w:r>
          </w:p>
        </w:tc>
      </w:tr>
      <w:tr w:rsidR="005A18DC" w:rsidRPr="009537ED" w14:paraId="75BE05C4" w14:textId="77777777" w:rsidTr="00AA703E">
        <w:trPr>
          <w:trHeight w:val="20"/>
        </w:trPr>
        <w:tc>
          <w:tcPr>
            <w:tcW w:w="365" w:type="pct"/>
          </w:tcPr>
          <w:p w14:paraId="695A0D4D" w14:textId="25B8F6EE" w:rsidR="005A18DC" w:rsidRPr="005A18DC" w:rsidRDefault="005A18DC" w:rsidP="005A18DC">
            <w:pPr>
              <w:rPr>
                <w:rFonts w:ascii="Arial" w:eastAsia="Times New Roman" w:hAnsi="Arial" w:cs="Arial"/>
                <w:color w:val="000000"/>
                <w:sz w:val="14"/>
                <w:szCs w:val="14"/>
                <w:lang w:eastAsia="en-GB"/>
              </w:rPr>
            </w:pPr>
            <w:hyperlink r:id="rId2238" w:history="1">
              <w:r w:rsidRPr="005A18DC">
                <w:rPr>
                  <w:rStyle w:val="Hyperlink"/>
                  <w:rFonts w:ascii="Arial" w:hAnsi="Arial" w:cs="Arial"/>
                  <w:b/>
                  <w:bCs/>
                  <w:sz w:val="14"/>
                  <w:szCs w:val="14"/>
                </w:rPr>
                <w:t>R1-2312365</w:t>
              </w:r>
            </w:hyperlink>
          </w:p>
        </w:tc>
        <w:tc>
          <w:tcPr>
            <w:tcW w:w="1471" w:type="pct"/>
          </w:tcPr>
          <w:p w14:paraId="3EBD2DE5" w14:textId="43E5BC29"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Correction on the order of SRS transmissions on multiple uplinks triggered by DCI 2_3 for SRS carrier switching</w:t>
            </w:r>
          </w:p>
        </w:tc>
        <w:tc>
          <w:tcPr>
            <w:tcW w:w="849" w:type="pct"/>
          </w:tcPr>
          <w:p w14:paraId="7A968BBF" w14:textId="5F705778"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Huawei, HiSilicon, Samsung</w:t>
            </w:r>
          </w:p>
        </w:tc>
        <w:tc>
          <w:tcPr>
            <w:tcW w:w="248" w:type="pct"/>
          </w:tcPr>
          <w:p w14:paraId="7C7C0B41" w14:textId="73D889FB" w:rsidR="005A18DC" w:rsidRPr="005A18DC" w:rsidRDefault="005A18DC" w:rsidP="005A18DC">
            <w:pPr>
              <w:rPr>
                <w:rFonts w:ascii="Arial" w:eastAsia="Times New Roman" w:hAnsi="Arial" w:cs="Arial"/>
                <w:color w:val="000000"/>
                <w:sz w:val="14"/>
                <w:szCs w:val="14"/>
                <w:lang w:eastAsia="en-GB"/>
              </w:rPr>
            </w:pPr>
            <w:hyperlink r:id="rId2239" w:history="1">
              <w:r w:rsidRPr="005A18DC">
                <w:rPr>
                  <w:rStyle w:val="Hyperlink"/>
                  <w:rFonts w:ascii="Arial" w:hAnsi="Arial" w:cs="Arial"/>
                  <w:b/>
                  <w:bCs/>
                  <w:sz w:val="14"/>
                  <w:szCs w:val="14"/>
                </w:rPr>
                <w:t>Rel-18</w:t>
              </w:r>
            </w:hyperlink>
          </w:p>
        </w:tc>
        <w:tc>
          <w:tcPr>
            <w:tcW w:w="301" w:type="pct"/>
            <w:shd w:val="clear" w:color="auto" w:fill="auto"/>
          </w:tcPr>
          <w:p w14:paraId="3DC8B9F8" w14:textId="553257E5" w:rsidR="005A18DC" w:rsidRPr="005A18DC" w:rsidRDefault="005A18DC" w:rsidP="005A18DC">
            <w:pPr>
              <w:rPr>
                <w:rFonts w:ascii="Arial" w:eastAsia="Times New Roman" w:hAnsi="Arial" w:cs="Arial"/>
                <w:color w:val="000000"/>
                <w:sz w:val="14"/>
                <w:szCs w:val="14"/>
                <w:lang w:eastAsia="en-GB"/>
              </w:rPr>
            </w:pPr>
            <w:hyperlink r:id="rId2240" w:history="1">
              <w:r w:rsidRPr="005A18DC">
                <w:rPr>
                  <w:rStyle w:val="Hyperlink"/>
                  <w:rFonts w:ascii="Arial" w:hAnsi="Arial" w:cs="Arial"/>
                  <w:b/>
                  <w:bCs/>
                  <w:sz w:val="14"/>
                  <w:szCs w:val="14"/>
                </w:rPr>
                <w:t>38.214</w:t>
              </w:r>
            </w:hyperlink>
          </w:p>
        </w:tc>
        <w:tc>
          <w:tcPr>
            <w:tcW w:w="324" w:type="pct"/>
            <w:shd w:val="clear" w:color="auto" w:fill="auto"/>
          </w:tcPr>
          <w:p w14:paraId="58933496" w14:textId="0762D3D2"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18.0.0</w:t>
            </w:r>
          </w:p>
        </w:tc>
        <w:tc>
          <w:tcPr>
            <w:tcW w:w="779" w:type="pct"/>
          </w:tcPr>
          <w:p w14:paraId="22554200" w14:textId="7564DAC7"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color w:val="000000"/>
                <w:sz w:val="14"/>
                <w:szCs w:val="14"/>
              </w:rPr>
              <w:t>NR_newRAT-Core, TEI17</w:t>
            </w:r>
          </w:p>
        </w:tc>
        <w:tc>
          <w:tcPr>
            <w:tcW w:w="233" w:type="pct"/>
          </w:tcPr>
          <w:p w14:paraId="3BD1B5DE" w14:textId="392A0D0A"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0459</w:t>
            </w:r>
          </w:p>
        </w:tc>
        <w:tc>
          <w:tcPr>
            <w:tcW w:w="226" w:type="pct"/>
          </w:tcPr>
          <w:p w14:paraId="773AE481" w14:textId="1D42FF25"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 </w:t>
            </w:r>
          </w:p>
        </w:tc>
        <w:tc>
          <w:tcPr>
            <w:tcW w:w="203" w:type="pct"/>
          </w:tcPr>
          <w:p w14:paraId="295D276B" w14:textId="2E42DEFF"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A</w:t>
            </w:r>
          </w:p>
        </w:tc>
      </w:tr>
      <w:tr w:rsidR="005A18DC" w:rsidRPr="009537ED" w14:paraId="5D8A9C64" w14:textId="77777777" w:rsidTr="00AA703E">
        <w:trPr>
          <w:trHeight w:val="20"/>
        </w:trPr>
        <w:tc>
          <w:tcPr>
            <w:tcW w:w="365" w:type="pct"/>
          </w:tcPr>
          <w:p w14:paraId="15F01E80" w14:textId="5671AB16" w:rsidR="005A18DC" w:rsidRPr="005A18DC" w:rsidRDefault="005A18DC" w:rsidP="005A18DC">
            <w:pPr>
              <w:rPr>
                <w:rFonts w:ascii="Arial" w:eastAsia="Times New Roman" w:hAnsi="Arial" w:cs="Arial"/>
                <w:color w:val="000000"/>
                <w:sz w:val="14"/>
                <w:szCs w:val="14"/>
                <w:lang w:eastAsia="en-GB"/>
              </w:rPr>
            </w:pPr>
            <w:hyperlink r:id="rId2241" w:history="1">
              <w:r w:rsidRPr="005A18DC">
                <w:rPr>
                  <w:rStyle w:val="Hyperlink"/>
                  <w:rFonts w:ascii="Arial" w:hAnsi="Arial" w:cs="Arial"/>
                  <w:b/>
                  <w:bCs/>
                  <w:sz w:val="14"/>
                  <w:szCs w:val="14"/>
                </w:rPr>
                <w:t>R1-2312378</w:t>
              </w:r>
            </w:hyperlink>
          </w:p>
        </w:tc>
        <w:tc>
          <w:tcPr>
            <w:tcW w:w="1471" w:type="pct"/>
          </w:tcPr>
          <w:p w14:paraId="37CED65D" w14:textId="61BD4BA6"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Correction on PUCCH power control parameter determination</w:t>
            </w:r>
          </w:p>
        </w:tc>
        <w:tc>
          <w:tcPr>
            <w:tcW w:w="849" w:type="pct"/>
          </w:tcPr>
          <w:p w14:paraId="15027AAA" w14:textId="360C0548"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CATT, Nokia, Nokia Shanghai Bell, Samsung, Apple, Huawei, Ericsson, vivo</w:t>
            </w:r>
          </w:p>
        </w:tc>
        <w:tc>
          <w:tcPr>
            <w:tcW w:w="248" w:type="pct"/>
          </w:tcPr>
          <w:p w14:paraId="1B288D2C" w14:textId="06337D2B" w:rsidR="005A18DC" w:rsidRPr="005A18DC" w:rsidRDefault="005A18DC" w:rsidP="005A18DC">
            <w:pPr>
              <w:rPr>
                <w:rFonts w:ascii="Arial" w:eastAsia="Times New Roman" w:hAnsi="Arial" w:cs="Arial"/>
                <w:color w:val="000000"/>
                <w:sz w:val="14"/>
                <w:szCs w:val="14"/>
                <w:lang w:eastAsia="en-GB"/>
              </w:rPr>
            </w:pPr>
            <w:hyperlink r:id="rId2242" w:history="1">
              <w:r w:rsidRPr="005A18DC">
                <w:rPr>
                  <w:rStyle w:val="Hyperlink"/>
                  <w:rFonts w:ascii="Arial" w:hAnsi="Arial" w:cs="Arial"/>
                  <w:b/>
                  <w:bCs/>
                  <w:sz w:val="14"/>
                  <w:szCs w:val="14"/>
                </w:rPr>
                <w:t>Rel-17</w:t>
              </w:r>
            </w:hyperlink>
          </w:p>
        </w:tc>
        <w:tc>
          <w:tcPr>
            <w:tcW w:w="301" w:type="pct"/>
            <w:shd w:val="clear" w:color="auto" w:fill="auto"/>
          </w:tcPr>
          <w:p w14:paraId="7DBC9A69" w14:textId="00557E37" w:rsidR="005A18DC" w:rsidRPr="005A18DC" w:rsidRDefault="005A18DC" w:rsidP="005A18DC">
            <w:pPr>
              <w:rPr>
                <w:rFonts w:ascii="Arial" w:eastAsia="Times New Roman" w:hAnsi="Arial" w:cs="Arial"/>
                <w:color w:val="000000"/>
                <w:sz w:val="14"/>
                <w:szCs w:val="14"/>
                <w:lang w:eastAsia="en-GB"/>
              </w:rPr>
            </w:pPr>
            <w:hyperlink r:id="rId2243" w:history="1">
              <w:r w:rsidRPr="005A18DC">
                <w:rPr>
                  <w:rStyle w:val="Hyperlink"/>
                  <w:rFonts w:ascii="Arial" w:hAnsi="Arial" w:cs="Arial"/>
                  <w:b/>
                  <w:bCs/>
                  <w:sz w:val="14"/>
                  <w:szCs w:val="14"/>
                </w:rPr>
                <w:t>38.213</w:t>
              </w:r>
            </w:hyperlink>
          </w:p>
        </w:tc>
        <w:tc>
          <w:tcPr>
            <w:tcW w:w="324" w:type="pct"/>
            <w:shd w:val="clear" w:color="auto" w:fill="auto"/>
          </w:tcPr>
          <w:p w14:paraId="477CAEA5" w14:textId="6AD7C22B"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17.7.0</w:t>
            </w:r>
          </w:p>
        </w:tc>
        <w:tc>
          <w:tcPr>
            <w:tcW w:w="779" w:type="pct"/>
          </w:tcPr>
          <w:p w14:paraId="1544DD90" w14:textId="7240E2AE" w:rsidR="005A18DC" w:rsidRPr="005A18DC" w:rsidRDefault="005A18DC" w:rsidP="005A18DC">
            <w:pPr>
              <w:rPr>
                <w:rFonts w:ascii="Arial" w:eastAsia="Times New Roman" w:hAnsi="Arial" w:cs="Arial"/>
                <w:color w:val="000000"/>
                <w:sz w:val="14"/>
                <w:szCs w:val="14"/>
                <w:lang w:eastAsia="en-GB"/>
              </w:rPr>
            </w:pPr>
            <w:hyperlink r:id="rId2244" w:history="1">
              <w:r w:rsidRPr="005A18DC">
                <w:rPr>
                  <w:rStyle w:val="Hyperlink"/>
                  <w:rFonts w:ascii="Arial" w:hAnsi="Arial" w:cs="Arial"/>
                  <w:b/>
                  <w:bCs/>
                  <w:sz w:val="14"/>
                  <w:szCs w:val="14"/>
                </w:rPr>
                <w:t>NR_IIOT_URLLC_enh-Core</w:t>
              </w:r>
            </w:hyperlink>
          </w:p>
        </w:tc>
        <w:tc>
          <w:tcPr>
            <w:tcW w:w="233" w:type="pct"/>
          </w:tcPr>
          <w:p w14:paraId="0DF4AD30" w14:textId="3E452D90"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0538</w:t>
            </w:r>
          </w:p>
        </w:tc>
        <w:tc>
          <w:tcPr>
            <w:tcW w:w="226" w:type="pct"/>
          </w:tcPr>
          <w:p w14:paraId="7EA4D609" w14:textId="7EF1CCFE"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 </w:t>
            </w:r>
          </w:p>
        </w:tc>
        <w:tc>
          <w:tcPr>
            <w:tcW w:w="203" w:type="pct"/>
          </w:tcPr>
          <w:p w14:paraId="14B4220A" w14:textId="1D522AC1"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F</w:t>
            </w:r>
          </w:p>
        </w:tc>
      </w:tr>
      <w:tr w:rsidR="005A18DC" w:rsidRPr="009537ED" w14:paraId="70D1307D" w14:textId="77777777" w:rsidTr="00AA703E">
        <w:trPr>
          <w:trHeight w:val="20"/>
        </w:trPr>
        <w:tc>
          <w:tcPr>
            <w:tcW w:w="365" w:type="pct"/>
          </w:tcPr>
          <w:p w14:paraId="299EA277" w14:textId="743EF8F7" w:rsidR="005A18DC" w:rsidRPr="005A18DC" w:rsidRDefault="005A18DC" w:rsidP="005A18DC">
            <w:pPr>
              <w:rPr>
                <w:rFonts w:ascii="Arial" w:eastAsia="Times New Roman" w:hAnsi="Arial" w:cs="Arial"/>
                <w:color w:val="000000"/>
                <w:sz w:val="14"/>
                <w:szCs w:val="14"/>
                <w:lang w:eastAsia="en-GB"/>
              </w:rPr>
            </w:pPr>
            <w:hyperlink r:id="rId2245" w:history="1">
              <w:r w:rsidRPr="005A18DC">
                <w:rPr>
                  <w:rStyle w:val="Hyperlink"/>
                  <w:rFonts w:ascii="Arial" w:hAnsi="Arial" w:cs="Arial"/>
                  <w:b/>
                  <w:bCs/>
                  <w:sz w:val="14"/>
                  <w:szCs w:val="14"/>
                </w:rPr>
                <w:t>R1-2312379</w:t>
              </w:r>
            </w:hyperlink>
          </w:p>
        </w:tc>
        <w:tc>
          <w:tcPr>
            <w:tcW w:w="1471" w:type="pct"/>
          </w:tcPr>
          <w:p w14:paraId="45CB658E" w14:textId="2EE2072E"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Correction on PUCCH power control parameter determination</w:t>
            </w:r>
          </w:p>
        </w:tc>
        <w:tc>
          <w:tcPr>
            <w:tcW w:w="849" w:type="pct"/>
          </w:tcPr>
          <w:p w14:paraId="2703C683" w14:textId="303A3578"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CATT, Nokia, Nokia Shanghai Bell, Samsung, Apple, Huawei, Ericsson, vivo</w:t>
            </w:r>
          </w:p>
        </w:tc>
        <w:tc>
          <w:tcPr>
            <w:tcW w:w="248" w:type="pct"/>
          </w:tcPr>
          <w:p w14:paraId="56E365D5" w14:textId="44221A8E" w:rsidR="005A18DC" w:rsidRPr="005A18DC" w:rsidRDefault="005A18DC" w:rsidP="005A18DC">
            <w:pPr>
              <w:rPr>
                <w:rFonts w:ascii="Arial" w:eastAsia="Times New Roman" w:hAnsi="Arial" w:cs="Arial"/>
                <w:color w:val="000000"/>
                <w:sz w:val="14"/>
                <w:szCs w:val="14"/>
                <w:lang w:eastAsia="en-GB"/>
              </w:rPr>
            </w:pPr>
            <w:hyperlink r:id="rId2246" w:history="1">
              <w:r w:rsidRPr="005A18DC">
                <w:rPr>
                  <w:rStyle w:val="Hyperlink"/>
                  <w:rFonts w:ascii="Arial" w:hAnsi="Arial" w:cs="Arial"/>
                  <w:b/>
                  <w:bCs/>
                  <w:sz w:val="14"/>
                  <w:szCs w:val="14"/>
                </w:rPr>
                <w:t>Rel-18</w:t>
              </w:r>
            </w:hyperlink>
          </w:p>
        </w:tc>
        <w:tc>
          <w:tcPr>
            <w:tcW w:w="301" w:type="pct"/>
            <w:shd w:val="clear" w:color="auto" w:fill="auto"/>
          </w:tcPr>
          <w:p w14:paraId="6CC678D7" w14:textId="6B618AE1" w:rsidR="005A18DC" w:rsidRPr="005A18DC" w:rsidRDefault="005A18DC" w:rsidP="005A18DC">
            <w:pPr>
              <w:rPr>
                <w:rFonts w:ascii="Arial" w:eastAsia="Times New Roman" w:hAnsi="Arial" w:cs="Arial"/>
                <w:color w:val="000000"/>
                <w:sz w:val="14"/>
                <w:szCs w:val="14"/>
                <w:lang w:eastAsia="en-GB"/>
              </w:rPr>
            </w:pPr>
            <w:hyperlink r:id="rId2247" w:history="1">
              <w:r w:rsidRPr="005A18DC">
                <w:rPr>
                  <w:rStyle w:val="Hyperlink"/>
                  <w:rFonts w:ascii="Arial" w:hAnsi="Arial" w:cs="Arial"/>
                  <w:b/>
                  <w:bCs/>
                  <w:sz w:val="14"/>
                  <w:szCs w:val="14"/>
                </w:rPr>
                <w:t>38.213</w:t>
              </w:r>
            </w:hyperlink>
          </w:p>
        </w:tc>
        <w:tc>
          <w:tcPr>
            <w:tcW w:w="324" w:type="pct"/>
            <w:shd w:val="clear" w:color="auto" w:fill="auto"/>
          </w:tcPr>
          <w:p w14:paraId="1516AF7E" w14:textId="1819DD04"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18.0.0</w:t>
            </w:r>
          </w:p>
        </w:tc>
        <w:tc>
          <w:tcPr>
            <w:tcW w:w="779" w:type="pct"/>
          </w:tcPr>
          <w:p w14:paraId="22573118" w14:textId="33409EEC" w:rsidR="005A18DC" w:rsidRPr="005A18DC" w:rsidRDefault="005A18DC" w:rsidP="005A18DC">
            <w:pPr>
              <w:rPr>
                <w:rFonts w:ascii="Arial" w:eastAsia="Times New Roman" w:hAnsi="Arial" w:cs="Arial"/>
                <w:color w:val="000000"/>
                <w:sz w:val="14"/>
                <w:szCs w:val="14"/>
                <w:lang w:eastAsia="en-GB"/>
              </w:rPr>
            </w:pPr>
            <w:hyperlink r:id="rId2248" w:history="1">
              <w:r w:rsidRPr="005A18DC">
                <w:rPr>
                  <w:rStyle w:val="Hyperlink"/>
                  <w:rFonts w:ascii="Arial" w:hAnsi="Arial" w:cs="Arial"/>
                  <w:b/>
                  <w:bCs/>
                  <w:sz w:val="14"/>
                  <w:szCs w:val="14"/>
                </w:rPr>
                <w:t>NR_IIOT_URLLC_enh-Core</w:t>
              </w:r>
            </w:hyperlink>
          </w:p>
        </w:tc>
        <w:tc>
          <w:tcPr>
            <w:tcW w:w="233" w:type="pct"/>
          </w:tcPr>
          <w:p w14:paraId="060321AA" w14:textId="511D8D9D"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0539</w:t>
            </w:r>
          </w:p>
        </w:tc>
        <w:tc>
          <w:tcPr>
            <w:tcW w:w="226" w:type="pct"/>
          </w:tcPr>
          <w:p w14:paraId="412F3639" w14:textId="75CE9D9E"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 </w:t>
            </w:r>
          </w:p>
        </w:tc>
        <w:tc>
          <w:tcPr>
            <w:tcW w:w="203" w:type="pct"/>
          </w:tcPr>
          <w:p w14:paraId="4B3FFCC7" w14:textId="1281B195"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A</w:t>
            </w:r>
          </w:p>
        </w:tc>
      </w:tr>
      <w:tr w:rsidR="005A18DC" w:rsidRPr="009537ED" w14:paraId="672FE02F" w14:textId="77777777" w:rsidTr="00B97F04">
        <w:trPr>
          <w:trHeight w:val="20"/>
        </w:trPr>
        <w:tc>
          <w:tcPr>
            <w:tcW w:w="365" w:type="pct"/>
          </w:tcPr>
          <w:p w14:paraId="3527DA5D" w14:textId="14866C49" w:rsidR="005A18DC" w:rsidRPr="005A18DC" w:rsidRDefault="005A18DC" w:rsidP="005A18DC">
            <w:pPr>
              <w:rPr>
                <w:rFonts w:ascii="Arial" w:eastAsia="Times New Roman" w:hAnsi="Arial" w:cs="Arial"/>
                <w:color w:val="000000"/>
                <w:sz w:val="14"/>
                <w:szCs w:val="14"/>
                <w:lang w:eastAsia="en-GB"/>
              </w:rPr>
            </w:pPr>
            <w:hyperlink r:id="rId2249" w:history="1">
              <w:r w:rsidRPr="005A18DC">
                <w:rPr>
                  <w:rStyle w:val="Hyperlink"/>
                  <w:rFonts w:ascii="Arial" w:hAnsi="Arial" w:cs="Arial"/>
                  <w:b/>
                  <w:bCs/>
                  <w:sz w:val="14"/>
                  <w:szCs w:val="14"/>
                </w:rPr>
                <w:t>R1-2312453</w:t>
              </w:r>
            </w:hyperlink>
          </w:p>
        </w:tc>
        <w:tc>
          <w:tcPr>
            <w:tcW w:w="1471" w:type="pct"/>
          </w:tcPr>
          <w:p w14:paraId="54F0E465" w14:textId="03F4E71E"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Correction on HARQ feedback for TCI state update indication</w:t>
            </w:r>
          </w:p>
        </w:tc>
        <w:tc>
          <w:tcPr>
            <w:tcW w:w="849" w:type="pct"/>
          </w:tcPr>
          <w:p w14:paraId="3876E2E3" w14:textId="65531F05"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Moderator (ZTE), CATT, Samsung</w:t>
            </w:r>
          </w:p>
        </w:tc>
        <w:tc>
          <w:tcPr>
            <w:tcW w:w="248" w:type="pct"/>
          </w:tcPr>
          <w:p w14:paraId="43EB0365" w14:textId="40D9FAB4" w:rsidR="005A18DC" w:rsidRPr="005A18DC" w:rsidRDefault="005A18DC" w:rsidP="005A18DC">
            <w:pPr>
              <w:rPr>
                <w:rFonts w:ascii="Arial" w:eastAsia="Times New Roman" w:hAnsi="Arial" w:cs="Arial"/>
                <w:color w:val="000000"/>
                <w:sz w:val="14"/>
                <w:szCs w:val="14"/>
                <w:lang w:eastAsia="en-GB"/>
              </w:rPr>
            </w:pPr>
            <w:hyperlink r:id="rId2250" w:history="1">
              <w:r w:rsidRPr="005A18DC">
                <w:rPr>
                  <w:rStyle w:val="Hyperlink"/>
                  <w:rFonts w:ascii="Arial" w:hAnsi="Arial" w:cs="Arial"/>
                  <w:b/>
                  <w:bCs/>
                  <w:sz w:val="14"/>
                  <w:szCs w:val="14"/>
                </w:rPr>
                <w:t>Rel-17</w:t>
              </w:r>
            </w:hyperlink>
          </w:p>
        </w:tc>
        <w:tc>
          <w:tcPr>
            <w:tcW w:w="301" w:type="pct"/>
            <w:shd w:val="clear" w:color="auto" w:fill="auto"/>
          </w:tcPr>
          <w:p w14:paraId="29EE06DF" w14:textId="057396D9" w:rsidR="005A18DC" w:rsidRPr="005A18DC" w:rsidRDefault="005A18DC" w:rsidP="005A18DC">
            <w:pPr>
              <w:rPr>
                <w:rFonts w:ascii="Arial" w:eastAsia="Times New Roman" w:hAnsi="Arial" w:cs="Arial"/>
                <w:color w:val="000000"/>
                <w:sz w:val="14"/>
                <w:szCs w:val="14"/>
                <w:lang w:eastAsia="en-GB"/>
              </w:rPr>
            </w:pPr>
            <w:hyperlink r:id="rId2251" w:history="1">
              <w:r w:rsidRPr="005A18DC">
                <w:rPr>
                  <w:rStyle w:val="Hyperlink"/>
                  <w:rFonts w:ascii="Arial" w:hAnsi="Arial" w:cs="Arial"/>
                  <w:b/>
                  <w:bCs/>
                  <w:sz w:val="14"/>
                  <w:szCs w:val="14"/>
                </w:rPr>
                <w:t>38.213</w:t>
              </w:r>
            </w:hyperlink>
          </w:p>
        </w:tc>
        <w:tc>
          <w:tcPr>
            <w:tcW w:w="324" w:type="pct"/>
            <w:shd w:val="clear" w:color="auto" w:fill="auto"/>
          </w:tcPr>
          <w:p w14:paraId="2B8A4FF0" w14:textId="3E6EB2F0"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17.7.0</w:t>
            </w:r>
          </w:p>
        </w:tc>
        <w:tc>
          <w:tcPr>
            <w:tcW w:w="779" w:type="pct"/>
          </w:tcPr>
          <w:p w14:paraId="74296321" w14:textId="37D36C31" w:rsidR="005A18DC" w:rsidRPr="005A18DC" w:rsidRDefault="005A18DC" w:rsidP="005A18DC">
            <w:pPr>
              <w:rPr>
                <w:rFonts w:ascii="Arial" w:eastAsia="Times New Roman" w:hAnsi="Arial" w:cs="Arial"/>
                <w:color w:val="000000"/>
                <w:sz w:val="14"/>
                <w:szCs w:val="14"/>
                <w:lang w:eastAsia="en-GB"/>
              </w:rPr>
            </w:pPr>
            <w:hyperlink r:id="rId2252" w:history="1">
              <w:r w:rsidRPr="005A18DC">
                <w:rPr>
                  <w:rStyle w:val="Hyperlink"/>
                  <w:rFonts w:ascii="Arial" w:hAnsi="Arial" w:cs="Arial"/>
                  <w:b/>
                  <w:bCs/>
                  <w:sz w:val="14"/>
                  <w:szCs w:val="14"/>
                </w:rPr>
                <w:t>NR_FeMIMO-Core</w:t>
              </w:r>
            </w:hyperlink>
          </w:p>
        </w:tc>
        <w:tc>
          <w:tcPr>
            <w:tcW w:w="233" w:type="pct"/>
          </w:tcPr>
          <w:p w14:paraId="72CCEAFC" w14:textId="44EA66D2"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0540</w:t>
            </w:r>
          </w:p>
        </w:tc>
        <w:tc>
          <w:tcPr>
            <w:tcW w:w="226" w:type="pct"/>
          </w:tcPr>
          <w:p w14:paraId="3A5FCB72" w14:textId="6F776A04"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 </w:t>
            </w:r>
          </w:p>
        </w:tc>
        <w:tc>
          <w:tcPr>
            <w:tcW w:w="203" w:type="pct"/>
          </w:tcPr>
          <w:p w14:paraId="080C9EAC" w14:textId="532B1297"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F</w:t>
            </w:r>
          </w:p>
        </w:tc>
      </w:tr>
      <w:tr w:rsidR="005A18DC" w:rsidRPr="009537ED" w14:paraId="4FF7180F" w14:textId="77777777" w:rsidTr="00B97F04">
        <w:trPr>
          <w:trHeight w:val="20"/>
        </w:trPr>
        <w:tc>
          <w:tcPr>
            <w:tcW w:w="365" w:type="pct"/>
          </w:tcPr>
          <w:p w14:paraId="32B851A7" w14:textId="3674FD81" w:rsidR="005A18DC" w:rsidRPr="005A18DC" w:rsidRDefault="005A18DC" w:rsidP="005A18DC">
            <w:pPr>
              <w:rPr>
                <w:rFonts w:ascii="Arial" w:eastAsia="Times New Roman" w:hAnsi="Arial" w:cs="Arial"/>
                <w:color w:val="000000"/>
                <w:sz w:val="14"/>
                <w:szCs w:val="14"/>
                <w:lang w:eastAsia="en-GB"/>
              </w:rPr>
            </w:pPr>
            <w:hyperlink r:id="rId2253" w:history="1">
              <w:r w:rsidRPr="005A18DC">
                <w:rPr>
                  <w:rStyle w:val="Hyperlink"/>
                  <w:rFonts w:ascii="Arial" w:hAnsi="Arial" w:cs="Arial"/>
                  <w:b/>
                  <w:bCs/>
                  <w:sz w:val="14"/>
                  <w:szCs w:val="14"/>
                </w:rPr>
                <w:t>R1-2312454</w:t>
              </w:r>
            </w:hyperlink>
          </w:p>
        </w:tc>
        <w:tc>
          <w:tcPr>
            <w:tcW w:w="1471" w:type="pct"/>
          </w:tcPr>
          <w:p w14:paraId="642140B1" w14:textId="412DFEC0"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Correction on HARQ feedback for TCI state update indication</w:t>
            </w:r>
          </w:p>
        </w:tc>
        <w:tc>
          <w:tcPr>
            <w:tcW w:w="849" w:type="pct"/>
          </w:tcPr>
          <w:p w14:paraId="6ABBBC03" w14:textId="1C92F121"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Moderator (ZTE), CATT, Samsung</w:t>
            </w:r>
          </w:p>
        </w:tc>
        <w:tc>
          <w:tcPr>
            <w:tcW w:w="248" w:type="pct"/>
          </w:tcPr>
          <w:p w14:paraId="3F28A6A4" w14:textId="4C394F9C" w:rsidR="005A18DC" w:rsidRPr="005A18DC" w:rsidRDefault="005A18DC" w:rsidP="005A18DC">
            <w:pPr>
              <w:rPr>
                <w:rFonts w:ascii="Arial" w:eastAsia="Times New Roman" w:hAnsi="Arial" w:cs="Arial"/>
                <w:color w:val="000000"/>
                <w:sz w:val="14"/>
                <w:szCs w:val="14"/>
                <w:lang w:eastAsia="en-GB"/>
              </w:rPr>
            </w:pPr>
            <w:hyperlink r:id="rId2254" w:history="1">
              <w:r w:rsidRPr="005A18DC">
                <w:rPr>
                  <w:rStyle w:val="Hyperlink"/>
                  <w:rFonts w:ascii="Arial" w:hAnsi="Arial" w:cs="Arial"/>
                  <w:b/>
                  <w:bCs/>
                  <w:sz w:val="14"/>
                  <w:szCs w:val="14"/>
                </w:rPr>
                <w:t>Rel-18</w:t>
              </w:r>
            </w:hyperlink>
          </w:p>
        </w:tc>
        <w:tc>
          <w:tcPr>
            <w:tcW w:w="301" w:type="pct"/>
            <w:shd w:val="clear" w:color="auto" w:fill="auto"/>
          </w:tcPr>
          <w:p w14:paraId="158DBC78" w14:textId="4DAFFE98" w:rsidR="005A18DC" w:rsidRPr="005A18DC" w:rsidRDefault="005A18DC" w:rsidP="005A18DC">
            <w:pPr>
              <w:rPr>
                <w:rFonts w:ascii="Arial" w:eastAsia="Times New Roman" w:hAnsi="Arial" w:cs="Arial"/>
                <w:color w:val="000000"/>
                <w:sz w:val="14"/>
                <w:szCs w:val="14"/>
                <w:lang w:eastAsia="en-GB"/>
              </w:rPr>
            </w:pPr>
            <w:hyperlink r:id="rId2255" w:history="1">
              <w:r w:rsidRPr="005A18DC">
                <w:rPr>
                  <w:rStyle w:val="Hyperlink"/>
                  <w:rFonts w:ascii="Arial" w:hAnsi="Arial" w:cs="Arial"/>
                  <w:b/>
                  <w:bCs/>
                  <w:sz w:val="14"/>
                  <w:szCs w:val="14"/>
                </w:rPr>
                <w:t>38.213</w:t>
              </w:r>
            </w:hyperlink>
          </w:p>
        </w:tc>
        <w:tc>
          <w:tcPr>
            <w:tcW w:w="324" w:type="pct"/>
            <w:shd w:val="clear" w:color="auto" w:fill="auto"/>
          </w:tcPr>
          <w:p w14:paraId="798407BB" w14:textId="73C6EEC6"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18.0.0</w:t>
            </w:r>
          </w:p>
        </w:tc>
        <w:tc>
          <w:tcPr>
            <w:tcW w:w="779" w:type="pct"/>
          </w:tcPr>
          <w:p w14:paraId="59297D5B" w14:textId="31C30ECD" w:rsidR="005A18DC" w:rsidRPr="005A18DC" w:rsidRDefault="005A18DC" w:rsidP="005A18DC">
            <w:pPr>
              <w:rPr>
                <w:rFonts w:ascii="Arial" w:eastAsia="Times New Roman" w:hAnsi="Arial" w:cs="Arial"/>
                <w:color w:val="000000"/>
                <w:sz w:val="14"/>
                <w:szCs w:val="14"/>
                <w:lang w:eastAsia="en-GB"/>
              </w:rPr>
            </w:pPr>
            <w:hyperlink r:id="rId2256" w:history="1">
              <w:r w:rsidRPr="005A18DC">
                <w:rPr>
                  <w:rStyle w:val="Hyperlink"/>
                  <w:rFonts w:ascii="Arial" w:hAnsi="Arial" w:cs="Arial"/>
                  <w:b/>
                  <w:bCs/>
                  <w:sz w:val="14"/>
                  <w:szCs w:val="14"/>
                </w:rPr>
                <w:t>NR_FeMIMO-Core</w:t>
              </w:r>
            </w:hyperlink>
          </w:p>
        </w:tc>
        <w:tc>
          <w:tcPr>
            <w:tcW w:w="233" w:type="pct"/>
          </w:tcPr>
          <w:p w14:paraId="27BADF9B" w14:textId="231BA577"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0541</w:t>
            </w:r>
          </w:p>
        </w:tc>
        <w:tc>
          <w:tcPr>
            <w:tcW w:w="226" w:type="pct"/>
          </w:tcPr>
          <w:p w14:paraId="47210517" w14:textId="76A79BA5"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 </w:t>
            </w:r>
          </w:p>
        </w:tc>
        <w:tc>
          <w:tcPr>
            <w:tcW w:w="203" w:type="pct"/>
          </w:tcPr>
          <w:p w14:paraId="58CD1DA5" w14:textId="170B0BD8"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A</w:t>
            </w:r>
          </w:p>
        </w:tc>
      </w:tr>
      <w:tr w:rsidR="005A18DC" w:rsidRPr="009537ED" w14:paraId="1477D441" w14:textId="77777777" w:rsidTr="00B97F04">
        <w:trPr>
          <w:trHeight w:val="20"/>
        </w:trPr>
        <w:tc>
          <w:tcPr>
            <w:tcW w:w="365" w:type="pct"/>
          </w:tcPr>
          <w:p w14:paraId="5562DE7A" w14:textId="1DD21D89" w:rsidR="005A18DC" w:rsidRPr="005A18DC" w:rsidRDefault="005A18DC" w:rsidP="005A18DC">
            <w:pPr>
              <w:rPr>
                <w:rFonts w:ascii="Arial" w:eastAsia="Times New Roman" w:hAnsi="Arial" w:cs="Arial"/>
                <w:color w:val="000000"/>
                <w:sz w:val="14"/>
                <w:szCs w:val="14"/>
                <w:lang w:eastAsia="en-GB"/>
              </w:rPr>
            </w:pPr>
            <w:hyperlink r:id="rId2257" w:history="1">
              <w:r w:rsidRPr="005A18DC">
                <w:rPr>
                  <w:rStyle w:val="Hyperlink"/>
                  <w:rFonts w:ascii="Arial" w:hAnsi="Arial" w:cs="Arial"/>
                  <w:b/>
                  <w:bCs/>
                  <w:sz w:val="14"/>
                  <w:szCs w:val="14"/>
                </w:rPr>
                <w:t>R1-2312461</w:t>
              </w:r>
            </w:hyperlink>
          </w:p>
        </w:tc>
        <w:tc>
          <w:tcPr>
            <w:tcW w:w="1471" w:type="pct"/>
          </w:tcPr>
          <w:p w14:paraId="4CFDBECB" w14:textId="20C3CFDD"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CR on transmission timing adjustments for Rel-17 NR-NTN</w:t>
            </w:r>
          </w:p>
        </w:tc>
        <w:tc>
          <w:tcPr>
            <w:tcW w:w="849" w:type="pct"/>
          </w:tcPr>
          <w:p w14:paraId="3D8D4EBC" w14:textId="130A0284"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OPPO, THALES, ZTE</w:t>
            </w:r>
          </w:p>
        </w:tc>
        <w:tc>
          <w:tcPr>
            <w:tcW w:w="248" w:type="pct"/>
          </w:tcPr>
          <w:p w14:paraId="711245BB" w14:textId="020F4265" w:rsidR="005A18DC" w:rsidRPr="005A18DC" w:rsidRDefault="005A18DC" w:rsidP="005A18DC">
            <w:pPr>
              <w:rPr>
                <w:rFonts w:ascii="Arial" w:eastAsia="Times New Roman" w:hAnsi="Arial" w:cs="Arial"/>
                <w:color w:val="000000"/>
                <w:sz w:val="14"/>
                <w:szCs w:val="14"/>
                <w:lang w:eastAsia="en-GB"/>
              </w:rPr>
            </w:pPr>
            <w:hyperlink r:id="rId2258" w:history="1">
              <w:r w:rsidRPr="005A18DC">
                <w:rPr>
                  <w:rStyle w:val="Hyperlink"/>
                  <w:rFonts w:ascii="Arial" w:hAnsi="Arial" w:cs="Arial"/>
                  <w:b/>
                  <w:bCs/>
                  <w:sz w:val="14"/>
                  <w:szCs w:val="14"/>
                </w:rPr>
                <w:t>Rel-17</w:t>
              </w:r>
            </w:hyperlink>
          </w:p>
        </w:tc>
        <w:tc>
          <w:tcPr>
            <w:tcW w:w="301" w:type="pct"/>
            <w:shd w:val="clear" w:color="auto" w:fill="auto"/>
          </w:tcPr>
          <w:p w14:paraId="650A030E" w14:textId="1E72D843" w:rsidR="005A18DC" w:rsidRPr="005A18DC" w:rsidRDefault="005A18DC" w:rsidP="005A18DC">
            <w:pPr>
              <w:rPr>
                <w:rFonts w:ascii="Arial" w:eastAsia="Times New Roman" w:hAnsi="Arial" w:cs="Arial"/>
                <w:color w:val="000000"/>
                <w:sz w:val="14"/>
                <w:szCs w:val="14"/>
                <w:lang w:eastAsia="en-GB"/>
              </w:rPr>
            </w:pPr>
            <w:hyperlink r:id="rId2259" w:history="1">
              <w:r w:rsidRPr="005A18DC">
                <w:rPr>
                  <w:rStyle w:val="Hyperlink"/>
                  <w:rFonts w:ascii="Arial" w:hAnsi="Arial" w:cs="Arial"/>
                  <w:b/>
                  <w:bCs/>
                  <w:sz w:val="14"/>
                  <w:szCs w:val="14"/>
                </w:rPr>
                <w:t>38.213</w:t>
              </w:r>
            </w:hyperlink>
          </w:p>
        </w:tc>
        <w:tc>
          <w:tcPr>
            <w:tcW w:w="324" w:type="pct"/>
            <w:shd w:val="clear" w:color="auto" w:fill="auto"/>
          </w:tcPr>
          <w:p w14:paraId="4C240E1F" w14:textId="36DF4554"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17.7.0</w:t>
            </w:r>
          </w:p>
        </w:tc>
        <w:tc>
          <w:tcPr>
            <w:tcW w:w="779" w:type="pct"/>
          </w:tcPr>
          <w:p w14:paraId="1E3E9388" w14:textId="2E7380D5" w:rsidR="005A18DC" w:rsidRPr="005A18DC" w:rsidRDefault="005A18DC" w:rsidP="005A18DC">
            <w:pPr>
              <w:rPr>
                <w:rFonts w:ascii="Arial" w:eastAsia="Times New Roman" w:hAnsi="Arial" w:cs="Arial"/>
                <w:color w:val="000000"/>
                <w:sz w:val="14"/>
                <w:szCs w:val="14"/>
                <w:lang w:eastAsia="en-GB"/>
              </w:rPr>
            </w:pPr>
            <w:hyperlink r:id="rId2260" w:history="1">
              <w:r w:rsidRPr="005A18DC">
                <w:rPr>
                  <w:rStyle w:val="Hyperlink"/>
                  <w:rFonts w:ascii="Arial" w:hAnsi="Arial" w:cs="Arial"/>
                  <w:b/>
                  <w:bCs/>
                  <w:sz w:val="14"/>
                  <w:szCs w:val="14"/>
                </w:rPr>
                <w:t>NR_NTN_solutions-Core</w:t>
              </w:r>
            </w:hyperlink>
          </w:p>
        </w:tc>
        <w:tc>
          <w:tcPr>
            <w:tcW w:w="233" w:type="pct"/>
          </w:tcPr>
          <w:p w14:paraId="61AE7AD5" w14:textId="202232A3"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0542</w:t>
            </w:r>
          </w:p>
        </w:tc>
        <w:tc>
          <w:tcPr>
            <w:tcW w:w="226" w:type="pct"/>
          </w:tcPr>
          <w:p w14:paraId="7DAB2095" w14:textId="5AFD6716"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 </w:t>
            </w:r>
          </w:p>
        </w:tc>
        <w:tc>
          <w:tcPr>
            <w:tcW w:w="203" w:type="pct"/>
          </w:tcPr>
          <w:p w14:paraId="290DE0DA" w14:textId="4668A8F5"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F</w:t>
            </w:r>
          </w:p>
        </w:tc>
      </w:tr>
      <w:tr w:rsidR="005A18DC" w:rsidRPr="009537ED" w14:paraId="7781B8F3" w14:textId="77777777" w:rsidTr="00B97F04">
        <w:trPr>
          <w:trHeight w:val="20"/>
        </w:trPr>
        <w:tc>
          <w:tcPr>
            <w:tcW w:w="365" w:type="pct"/>
          </w:tcPr>
          <w:p w14:paraId="541678E9" w14:textId="3826A369" w:rsidR="005A18DC" w:rsidRPr="005A18DC" w:rsidRDefault="005A18DC" w:rsidP="005A18DC">
            <w:pPr>
              <w:rPr>
                <w:rFonts w:ascii="Arial" w:eastAsia="Times New Roman" w:hAnsi="Arial" w:cs="Arial"/>
                <w:color w:val="000000"/>
                <w:sz w:val="14"/>
                <w:szCs w:val="14"/>
                <w:lang w:eastAsia="en-GB"/>
              </w:rPr>
            </w:pPr>
            <w:hyperlink r:id="rId2261" w:history="1">
              <w:r w:rsidRPr="005A18DC">
                <w:rPr>
                  <w:rStyle w:val="Hyperlink"/>
                  <w:rFonts w:ascii="Arial" w:hAnsi="Arial" w:cs="Arial"/>
                  <w:b/>
                  <w:bCs/>
                  <w:sz w:val="14"/>
                  <w:szCs w:val="14"/>
                </w:rPr>
                <w:t>R1-2312462</w:t>
              </w:r>
            </w:hyperlink>
          </w:p>
        </w:tc>
        <w:tc>
          <w:tcPr>
            <w:tcW w:w="1471" w:type="pct"/>
          </w:tcPr>
          <w:p w14:paraId="7D295E6E" w14:textId="3D57B5E8"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CR on transmission timing adjustments for Rel-17 NR-NTN</w:t>
            </w:r>
          </w:p>
        </w:tc>
        <w:tc>
          <w:tcPr>
            <w:tcW w:w="849" w:type="pct"/>
          </w:tcPr>
          <w:p w14:paraId="37188F5B" w14:textId="68EA590D"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OPPO, THALES, ZTE</w:t>
            </w:r>
          </w:p>
        </w:tc>
        <w:tc>
          <w:tcPr>
            <w:tcW w:w="248" w:type="pct"/>
          </w:tcPr>
          <w:p w14:paraId="44407764" w14:textId="0167246A" w:rsidR="005A18DC" w:rsidRPr="005A18DC" w:rsidRDefault="005A18DC" w:rsidP="005A18DC">
            <w:pPr>
              <w:rPr>
                <w:rFonts w:ascii="Arial" w:eastAsia="Times New Roman" w:hAnsi="Arial" w:cs="Arial"/>
                <w:color w:val="000000"/>
                <w:sz w:val="14"/>
                <w:szCs w:val="14"/>
                <w:lang w:eastAsia="en-GB"/>
              </w:rPr>
            </w:pPr>
            <w:hyperlink r:id="rId2262" w:history="1">
              <w:r w:rsidRPr="005A18DC">
                <w:rPr>
                  <w:rStyle w:val="Hyperlink"/>
                  <w:rFonts w:ascii="Arial" w:hAnsi="Arial" w:cs="Arial"/>
                  <w:b/>
                  <w:bCs/>
                  <w:sz w:val="14"/>
                  <w:szCs w:val="14"/>
                </w:rPr>
                <w:t>Rel-18</w:t>
              </w:r>
            </w:hyperlink>
          </w:p>
        </w:tc>
        <w:tc>
          <w:tcPr>
            <w:tcW w:w="301" w:type="pct"/>
            <w:shd w:val="clear" w:color="auto" w:fill="auto"/>
          </w:tcPr>
          <w:p w14:paraId="78310F4A" w14:textId="6CEC9E11" w:rsidR="005A18DC" w:rsidRPr="005A18DC" w:rsidRDefault="005A18DC" w:rsidP="005A18DC">
            <w:pPr>
              <w:rPr>
                <w:rFonts w:ascii="Arial" w:eastAsia="Times New Roman" w:hAnsi="Arial" w:cs="Arial"/>
                <w:color w:val="000000"/>
                <w:sz w:val="14"/>
                <w:szCs w:val="14"/>
                <w:lang w:eastAsia="en-GB"/>
              </w:rPr>
            </w:pPr>
            <w:hyperlink r:id="rId2263" w:history="1">
              <w:r w:rsidRPr="005A18DC">
                <w:rPr>
                  <w:rStyle w:val="Hyperlink"/>
                  <w:rFonts w:ascii="Arial" w:hAnsi="Arial" w:cs="Arial"/>
                  <w:b/>
                  <w:bCs/>
                  <w:sz w:val="14"/>
                  <w:szCs w:val="14"/>
                </w:rPr>
                <w:t>38.213</w:t>
              </w:r>
            </w:hyperlink>
          </w:p>
        </w:tc>
        <w:tc>
          <w:tcPr>
            <w:tcW w:w="324" w:type="pct"/>
            <w:shd w:val="clear" w:color="auto" w:fill="auto"/>
          </w:tcPr>
          <w:p w14:paraId="0D249388" w14:textId="4C78EEC8"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18.0.0</w:t>
            </w:r>
          </w:p>
        </w:tc>
        <w:tc>
          <w:tcPr>
            <w:tcW w:w="779" w:type="pct"/>
          </w:tcPr>
          <w:p w14:paraId="4F3C6F71" w14:textId="566D56BB" w:rsidR="005A18DC" w:rsidRPr="005A18DC" w:rsidRDefault="005A18DC" w:rsidP="005A18DC">
            <w:pPr>
              <w:rPr>
                <w:rFonts w:ascii="Arial" w:eastAsia="Times New Roman" w:hAnsi="Arial" w:cs="Arial"/>
                <w:color w:val="000000"/>
                <w:sz w:val="14"/>
                <w:szCs w:val="14"/>
                <w:lang w:eastAsia="en-GB"/>
              </w:rPr>
            </w:pPr>
            <w:hyperlink r:id="rId2264" w:history="1">
              <w:r w:rsidRPr="005A18DC">
                <w:rPr>
                  <w:rStyle w:val="Hyperlink"/>
                  <w:rFonts w:ascii="Arial" w:hAnsi="Arial" w:cs="Arial"/>
                  <w:b/>
                  <w:bCs/>
                  <w:sz w:val="14"/>
                  <w:szCs w:val="14"/>
                </w:rPr>
                <w:t>NR_NTN_solutions-Core</w:t>
              </w:r>
            </w:hyperlink>
          </w:p>
        </w:tc>
        <w:tc>
          <w:tcPr>
            <w:tcW w:w="233" w:type="pct"/>
          </w:tcPr>
          <w:p w14:paraId="5C8C343D" w14:textId="3BA5293D"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0543</w:t>
            </w:r>
          </w:p>
        </w:tc>
        <w:tc>
          <w:tcPr>
            <w:tcW w:w="226" w:type="pct"/>
          </w:tcPr>
          <w:p w14:paraId="09BD0179" w14:textId="4A2BD2D0"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 </w:t>
            </w:r>
          </w:p>
        </w:tc>
        <w:tc>
          <w:tcPr>
            <w:tcW w:w="203" w:type="pct"/>
          </w:tcPr>
          <w:p w14:paraId="32EE355B" w14:textId="0E43649C"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A</w:t>
            </w:r>
          </w:p>
        </w:tc>
      </w:tr>
      <w:tr w:rsidR="005A18DC" w:rsidRPr="009537ED" w14:paraId="4ABC83B7" w14:textId="77777777" w:rsidTr="00B97F04">
        <w:trPr>
          <w:trHeight w:val="20"/>
        </w:trPr>
        <w:tc>
          <w:tcPr>
            <w:tcW w:w="365" w:type="pct"/>
          </w:tcPr>
          <w:p w14:paraId="46A13AC3" w14:textId="4A776F7E" w:rsidR="005A18DC" w:rsidRPr="005A18DC" w:rsidRDefault="005A18DC" w:rsidP="005A18DC">
            <w:pPr>
              <w:rPr>
                <w:rFonts w:ascii="Arial" w:eastAsia="Times New Roman" w:hAnsi="Arial" w:cs="Arial"/>
                <w:color w:val="000000"/>
                <w:sz w:val="14"/>
                <w:szCs w:val="14"/>
                <w:lang w:eastAsia="en-GB"/>
              </w:rPr>
            </w:pPr>
            <w:hyperlink r:id="rId2265" w:history="1">
              <w:r w:rsidRPr="005A18DC">
                <w:rPr>
                  <w:rStyle w:val="Hyperlink"/>
                  <w:rFonts w:ascii="Arial" w:hAnsi="Arial" w:cs="Arial"/>
                  <w:b/>
                  <w:bCs/>
                  <w:sz w:val="14"/>
                  <w:szCs w:val="14"/>
                </w:rPr>
                <w:t>R1-2312470</w:t>
              </w:r>
            </w:hyperlink>
          </w:p>
        </w:tc>
        <w:tc>
          <w:tcPr>
            <w:tcW w:w="1471" w:type="pct"/>
          </w:tcPr>
          <w:p w14:paraId="325827AD" w14:textId="62FCFECD"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Correction on Type-2 HARQ-ACK codebook for multi-slot scheduling</w:t>
            </w:r>
          </w:p>
        </w:tc>
        <w:tc>
          <w:tcPr>
            <w:tcW w:w="849" w:type="pct"/>
          </w:tcPr>
          <w:p w14:paraId="7AF6F3B5" w14:textId="1EC7E9FF"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Moderator (LG Electronics), Samsung, Ericsson, vivo, NTT DOCOMO, INC., ZTE, Sanechips, Huawei, HiSilicon</w:t>
            </w:r>
          </w:p>
        </w:tc>
        <w:tc>
          <w:tcPr>
            <w:tcW w:w="248" w:type="pct"/>
          </w:tcPr>
          <w:p w14:paraId="6EF05B1D" w14:textId="7668A836" w:rsidR="005A18DC" w:rsidRPr="005A18DC" w:rsidRDefault="005A18DC" w:rsidP="005A18DC">
            <w:pPr>
              <w:rPr>
                <w:rFonts w:ascii="Arial" w:eastAsia="Times New Roman" w:hAnsi="Arial" w:cs="Arial"/>
                <w:color w:val="000000"/>
                <w:sz w:val="14"/>
                <w:szCs w:val="14"/>
                <w:lang w:eastAsia="en-GB"/>
              </w:rPr>
            </w:pPr>
            <w:hyperlink r:id="rId2266" w:history="1">
              <w:r w:rsidRPr="005A18DC">
                <w:rPr>
                  <w:rStyle w:val="Hyperlink"/>
                  <w:rFonts w:ascii="Arial" w:hAnsi="Arial" w:cs="Arial"/>
                  <w:b/>
                  <w:bCs/>
                  <w:sz w:val="14"/>
                  <w:szCs w:val="14"/>
                </w:rPr>
                <w:t>Rel-17</w:t>
              </w:r>
            </w:hyperlink>
          </w:p>
        </w:tc>
        <w:tc>
          <w:tcPr>
            <w:tcW w:w="301" w:type="pct"/>
            <w:shd w:val="clear" w:color="auto" w:fill="auto"/>
          </w:tcPr>
          <w:p w14:paraId="15E46B30" w14:textId="280A11E2" w:rsidR="005A18DC" w:rsidRPr="005A18DC" w:rsidRDefault="005A18DC" w:rsidP="005A18DC">
            <w:pPr>
              <w:rPr>
                <w:rFonts w:ascii="Arial" w:eastAsia="Times New Roman" w:hAnsi="Arial" w:cs="Arial"/>
                <w:color w:val="000000"/>
                <w:sz w:val="14"/>
                <w:szCs w:val="14"/>
                <w:lang w:eastAsia="en-GB"/>
              </w:rPr>
            </w:pPr>
            <w:hyperlink r:id="rId2267" w:history="1">
              <w:r w:rsidRPr="005A18DC">
                <w:rPr>
                  <w:rStyle w:val="Hyperlink"/>
                  <w:rFonts w:ascii="Arial" w:hAnsi="Arial" w:cs="Arial"/>
                  <w:b/>
                  <w:bCs/>
                  <w:sz w:val="14"/>
                  <w:szCs w:val="14"/>
                </w:rPr>
                <w:t>38.213</w:t>
              </w:r>
            </w:hyperlink>
          </w:p>
        </w:tc>
        <w:tc>
          <w:tcPr>
            <w:tcW w:w="324" w:type="pct"/>
            <w:shd w:val="clear" w:color="auto" w:fill="auto"/>
          </w:tcPr>
          <w:p w14:paraId="76F0C974" w14:textId="255CE518"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17.7.0</w:t>
            </w:r>
          </w:p>
        </w:tc>
        <w:tc>
          <w:tcPr>
            <w:tcW w:w="779" w:type="pct"/>
          </w:tcPr>
          <w:p w14:paraId="0E6D701D" w14:textId="77CD82F6" w:rsidR="005A18DC" w:rsidRPr="005A18DC" w:rsidRDefault="005A18DC" w:rsidP="005A18DC">
            <w:pPr>
              <w:rPr>
                <w:rFonts w:ascii="Arial" w:eastAsia="Times New Roman" w:hAnsi="Arial" w:cs="Arial"/>
                <w:color w:val="000000"/>
                <w:sz w:val="14"/>
                <w:szCs w:val="14"/>
                <w:lang w:eastAsia="en-GB"/>
              </w:rPr>
            </w:pPr>
            <w:hyperlink r:id="rId2268" w:history="1">
              <w:r w:rsidRPr="005A18DC">
                <w:rPr>
                  <w:rStyle w:val="Hyperlink"/>
                  <w:rFonts w:ascii="Arial" w:hAnsi="Arial" w:cs="Arial"/>
                  <w:b/>
                  <w:bCs/>
                  <w:sz w:val="14"/>
                  <w:szCs w:val="14"/>
                </w:rPr>
                <w:t>NR_ext_to_71GHz-Core</w:t>
              </w:r>
            </w:hyperlink>
          </w:p>
        </w:tc>
        <w:tc>
          <w:tcPr>
            <w:tcW w:w="233" w:type="pct"/>
          </w:tcPr>
          <w:p w14:paraId="1772BD83" w14:textId="22260EE1"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0521</w:t>
            </w:r>
          </w:p>
        </w:tc>
        <w:tc>
          <w:tcPr>
            <w:tcW w:w="226" w:type="pct"/>
          </w:tcPr>
          <w:p w14:paraId="27DD0E2D" w14:textId="29159CCA"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1</w:t>
            </w:r>
          </w:p>
        </w:tc>
        <w:tc>
          <w:tcPr>
            <w:tcW w:w="203" w:type="pct"/>
          </w:tcPr>
          <w:p w14:paraId="6675A80A" w14:textId="3D2CBD10"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F</w:t>
            </w:r>
          </w:p>
        </w:tc>
      </w:tr>
      <w:tr w:rsidR="005A18DC" w:rsidRPr="009537ED" w14:paraId="4583BED5" w14:textId="77777777" w:rsidTr="00B97F04">
        <w:trPr>
          <w:trHeight w:val="20"/>
        </w:trPr>
        <w:tc>
          <w:tcPr>
            <w:tcW w:w="365" w:type="pct"/>
          </w:tcPr>
          <w:p w14:paraId="3D15D587" w14:textId="785DD3D1" w:rsidR="005A18DC" w:rsidRPr="005A18DC" w:rsidRDefault="005A18DC" w:rsidP="005A18DC">
            <w:pPr>
              <w:rPr>
                <w:rFonts w:ascii="Arial" w:eastAsia="Times New Roman" w:hAnsi="Arial" w:cs="Arial"/>
                <w:color w:val="000000"/>
                <w:sz w:val="14"/>
                <w:szCs w:val="14"/>
                <w:lang w:eastAsia="en-GB"/>
              </w:rPr>
            </w:pPr>
            <w:hyperlink r:id="rId2269" w:history="1">
              <w:r w:rsidRPr="005A18DC">
                <w:rPr>
                  <w:rStyle w:val="Hyperlink"/>
                  <w:rFonts w:ascii="Arial" w:hAnsi="Arial" w:cs="Arial"/>
                  <w:b/>
                  <w:bCs/>
                  <w:sz w:val="14"/>
                  <w:szCs w:val="14"/>
                </w:rPr>
                <w:t>R1-2312471</w:t>
              </w:r>
            </w:hyperlink>
          </w:p>
        </w:tc>
        <w:tc>
          <w:tcPr>
            <w:tcW w:w="1471" w:type="pct"/>
          </w:tcPr>
          <w:p w14:paraId="09AD71EA" w14:textId="4294044B"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Correction on Type-2 HARQ-ACK codebook for multi-slot scheduling</w:t>
            </w:r>
          </w:p>
        </w:tc>
        <w:tc>
          <w:tcPr>
            <w:tcW w:w="849" w:type="pct"/>
          </w:tcPr>
          <w:p w14:paraId="5DF7D7A0" w14:textId="43758564"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Moderator (LG Electronics), Samsung, Ericsson, vivo, NTT DOCOMO, INC., ZTE, Sanechips, Huawei, HiSilicon</w:t>
            </w:r>
          </w:p>
        </w:tc>
        <w:tc>
          <w:tcPr>
            <w:tcW w:w="248" w:type="pct"/>
          </w:tcPr>
          <w:p w14:paraId="0818091E" w14:textId="0E8B267F" w:rsidR="005A18DC" w:rsidRPr="005A18DC" w:rsidRDefault="005A18DC" w:rsidP="005A18DC">
            <w:pPr>
              <w:rPr>
                <w:rFonts w:ascii="Arial" w:eastAsia="Times New Roman" w:hAnsi="Arial" w:cs="Arial"/>
                <w:color w:val="000000"/>
                <w:sz w:val="14"/>
                <w:szCs w:val="14"/>
                <w:lang w:eastAsia="en-GB"/>
              </w:rPr>
            </w:pPr>
            <w:hyperlink r:id="rId2270" w:history="1">
              <w:r w:rsidRPr="005A18DC">
                <w:rPr>
                  <w:rStyle w:val="Hyperlink"/>
                  <w:rFonts w:ascii="Arial" w:hAnsi="Arial" w:cs="Arial"/>
                  <w:b/>
                  <w:bCs/>
                  <w:sz w:val="14"/>
                  <w:szCs w:val="14"/>
                </w:rPr>
                <w:t>Rel-18</w:t>
              </w:r>
            </w:hyperlink>
          </w:p>
        </w:tc>
        <w:tc>
          <w:tcPr>
            <w:tcW w:w="301" w:type="pct"/>
            <w:shd w:val="clear" w:color="auto" w:fill="auto"/>
          </w:tcPr>
          <w:p w14:paraId="1D227E45" w14:textId="0B508F76" w:rsidR="005A18DC" w:rsidRPr="005A18DC" w:rsidRDefault="005A18DC" w:rsidP="005A18DC">
            <w:pPr>
              <w:rPr>
                <w:rFonts w:ascii="Arial" w:eastAsia="Times New Roman" w:hAnsi="Arial" w:cs="Arial"/>
                <w:color w:val="000000"/>
                <w:sz w:val="14"/>
                <w:szCs w:val="14"/>
                <w:lang w:eastAsia="en-GB"/>
              </w:rPr>
            </w:pPr>
            <w:hyperlink r:id="rId2271" w:history="1">
              <w:r w:rsidRPr="005A18DC">
                <w:rPr>
                  <w:rStyle w:val="Hyperlink"/>
                  <w:rFonts w:ascii="Arial" w:hAnsi="Arial" w:cs="Arial"/>
                  <w:b/>
                  <w:bCs/>
                  <w:sz w:val="14"/>
                  <w:szCs w:val="14"/>
                </w:rPr>
                <w:t>38.213</w:t>
              </w:r>
            </w:hyperlink>
          </w:p>
        </w:tc>
        <w:tc>
          <w:tcPr>
            <w:tcW w:w="324" w:type="pct"/>
            <w:shd w:val="clear" w:color="auto" w:fill="auto"/>
          </w:tcPr>
          <w:p w14:paraId="4F52E3A6" w14:textId="2C9C539F"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18.0.0</w:t>
            </w:r>
          </w:p>
        </w:tc>
        <w:tc>
          <w:tcPr>
            <w:tcW w:w="779" w:type="pct"/>
          </w:tcPr>
          <w:p w14:paraId="39F43531" w14:textId="0440C59E" w:rsidR="005A18DC" w:rsidRPr="005A18DC" w:rsidRDefault="005A18DC" w:rsidP="005A18DC">
            <w:pPr>
              <w:rPr>
                <w:rFonts w:ascii="Arial" w:eastAsia="Times New Roman" w:hAnsi="Arial" w:cs="Arial"/>
                <w:color w:val="000000"/>
                <w:sz w:val="14"/>
                <w:szCs w:val="14"/>
                <w:lang w:eastAsia="en-GB"/>
              </w:rPr>
            </w:pPr>
            <w:hyperlink r:id="rId2272" w:history="1">
              <w:r w:rsidRPr="005A18DC">
                <w:rPr>
                  <w:rStyle w:val="Hyperlink"/>
                  <w:rFonts w:ascii="Arial" w:hAnsi="Arial" w:cs="Arial"/>
                  <w:b/>
                  <w:bCs/>
                  <w:sz w:val="14"/>
                  <w:szCs w:val="14"/>
                </w:rPr>
                <w:t>NR_ext_to_71GHz-Core</w:t>
              </w:r>
            </w:hyperlink>
          </w:p>
        </w:tc>
        <w:tc>
          <w:tcPr>
            <w:tcW w:w="233" w:type="pct"/>
          </w:tcPr>
          <w:p w14:paraId="68A96321" w14:textId="43EA037B"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0522</w:t>
            </w:r>
          </w:p>
        </w:tc>
        <w:tc>
          <w:tcPr>
            <w:tcW w:w="226" w:type="pct"/>
          </w:tcPr>
          <w:p w14:paraId="454CCA05" w14:textId="039471A9"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1</w:t>
            </w:r>
          </w:p>
        </w:tc>
        <w:tc>
          <w:tcPr>
            <w:tcW w:w="203" w:type="pct"/>
          </w:tcPr>
          <w:p w14:paraId="2DEF0446" w14:textId="70D90A0D"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A</w:t>
            </w:r>
          </w:p>
        </w:tc>
      </w:tr>
      <w:tr w:rsidR="005A18DC" w:rsidRPr="009537ED" w14:paraId="3336C8A8" w14:textId="77777777" w:rsidTr="00B97F04">
        <w:trPr>
          <w:trHeight w:val="20"/>
        </w:trPr>
        <w:tc>
          <w:tcPr>
            <w:tcW w:w="365" w:type="pct"/>
          </w:tcPr>
          <w:p w14:paraId="6A3CBD34" w14:textId="516394A0" w:rsidR="005A18DC" w:rsidRPr="005A18DC" w:rsidRDefault="005A18DC" w:rsidP="005A18DC">
            <w:pPr>
              <w:rPr>
                <w:rFonts w:ascii="Arial" w:eastAsia="Times New Roman" w:hAnsi="Arial" w:cs="Arial"/>
                <w:color w:val="000000"/>
                <w:sz w:val="14"/>
                <w:szCs w:val="14"/>
                <w:lang w:eastAsia="en-GB"/>
              </w:rPr>
            </w:pPr>
            <w:hyperlink r:id="rId2273" w:history="1">
              <w:r w:rsidRPr="005A18DC">
                <w:rPr>
                  <w:rStyle w:val="Hyperlink"/>
                  <w:rFonts w:ascii="Arial" w:hAnsi="Arial" w:cs="Arial"/>
                  <w:b/>
                  <w:bCs/>
                  <w:sz w:val="14"/>
                  <w:szCs w:val="14"/>
                </w:rPr>
                <w:t>R1-2312477</w:t>
              </w:r>
            </w:hyperlink>
          </w:p>
        </w:tc>
        <w:tc>
          <w:tcPr>
            <w:tcW w:w="1471" w:type="pct"/>
          </w:tcPr>
          <w:p w14:paraId="37336D33" w14:textId="74499A5C"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Correction on CSI related timeline for 480/960 kHz</w:t>
            </w:r>
          </w:p>
        </w:tc>
        <w:tc>
          <w:tcPr>
            <w:tcW w:w="849" w:type="pct"/>
          </w:tcPr>
          <w:p w14:paraId="4AF11A4A" w14:textId="46B3AC44"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Moderator (LG Electronics), NTT DOCOMO, INC., Samsung, ZTE, Sanechips, Huawei, HiSilicon, Ericsson</w:t>
            </w:r>
          </w:p>
        </w:tc>
        <w:tc>
          <w:tcPr>
            <w:tcW w:w="248" w:type="pct"/>
          </w:tcPr>
          <w:p w14:paraId="1E8A5DC7" w14:textId="75E47575" w:rsidR="005A18DC" w:rsidRPr="005A18DC" w:rsidRDefault="005A18DC" w:rsidP="005A18DC">
            <w:pPr>
              <w:rPr>
                <w:rFonts w:ascii="Arial" w:eastAsia="Times New Roman" w:hAnsi="Arial" w:cs="Arial"/>
                <w:color w:val="000000"/>
                <w:sz w:val="14"/>
                <w:szCs w:val="14"/>
                <w:lang w:eastAsia="en-GB"/>
              </w:rPr>
            </w:pPr>
            <w:hyperlink r:id="rId2274" w:history="1">
              <w:r w:rsidRPr="005A18DC">
                <w:rPr>
                  <w:rStyle w:val="Hyperlink"/>
                  <w:rFonts w:ascii="Arial" w:hAnsi="Arial" w:cs="Arial"/>
                  <w:b/>
                  <w:bCs/>
                  <w:sz w:val="14"/>
                  <w:szCs w:val="14"/>
                </w:rPr>
                <w:t>Rel-17</w:t>
              </w:r>
            </w:hyperlink>
          </w:p>
        </w:tc>
        <w:tc>
          <w:tcPr>
            <w:tcW w:w="301" w:type="pct"/>
            <w:shd w:val="clear" w:color="auto" w:fill="auto"/>
          </w:tcPr>
          <w:p w14:paraId="3D3C6D6A" w14:textId="587AF1A7" w:rsidR="005A18DC" w:rsidRPr="005A18DC" w:rsidRDefault="005A18DC" w:rsidP="005A18DC">
            <w:pPr>
              <w:rPr>
                <w:rFonts w:ascii="Arial" w:eastAsia="Times New Roman" w:hAnsi="Arial" w:cs="Arial"/>
                <w:color w:val="000000"/>
                <w:sz w:val="14"/>
                <w:szCs w:val="14"/>
                <w:lang w:eastAsia="en-GB"/>
              </w:rPr>
            </w:pPr>
            <w:hyperlink r:id="rId2275" w:history="1">
              <w:r w:rsidRPr="005A18DC">
                <w:rPr>
                  <w:rStyle w:val="Hyperlink"/>
                  <w:rFonts w:ascii="Arial" w:hAnsi="Arial" w:cs="Arial"/>
                  <w:b/>
                  <w:bCs/>
                  <w:sz w:val="14"/>
                  <w:szCs w:val="14"/>
                </w:rPr>
                <w:t>38.213</w:t>
              </w:r>
            </w:hyperlink>
          </w:p>
        </w:tc>
        <w:tc>
          <w:tcPr>
            <w:tcW w:w="324" w:type="pct"/>
            <w:shd w:val="clear" w:color="auto" w:fill="auto"/>
          </w:tcPr>
          <w:p w14:paraId="523E5858" w14:textId="7F958016"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17.7.0</w:t>
            </w:r>
          </w:p>
        </w:tc>
        <w:tc>
          <w:tcPr>
            <w:tcW w:w="779" w:type="pct"/>
          </w:tcPr>
          <w:p w14:paraId="3CD003D5" w14:textId="255FC5D4" w:rsidR="005A18DC" w:rsidRPr="005A18DC" w:rsidRDefault="005A18DC" w:rsidP="005A18DC">
            <w:pPr>
              <w:rPr>
                <w:rFonts w:ascii="Arial" w:eastAsia="Times New Roman" w:hAnsi="Arial" w:cs="Arial"/>
                <w:color w:val="000000"/>
                <w:sz w:val="14"/>
                <w:szCs w:val="14"/>
                <w:lang w:eastAsia="en-GB"/>
              </w:rPr>
            </w:pPr>
            <w:hyperlink r:id="rId2276" w:history="1">
              <w:r w:rsidRPr="005A18DC">
                <w:rPr>
                  <w:rStyle w:val="Hyperlink"/>
                  <w:rFonts w:ascii="Arial" w:hAnsi="Arial" w:cs="Arial"/>
                  <w:b/>
                  <w:bCs/>
                  <w:sz w:val="14"/>
                  <w:szCs w:val="14"/>
                </w:rPr>
                <w:t>NR_ext_to_71GHz-Core</w:t>
              </w:r>
            </w:hyperlink>
          </w:p>
        </w:tc>
        <w:tc>
          <w:tcPr>
            <w:tcW w:w="233" w:type="pct"/>
          </w:tcPr>
          <w:p w14:paraId="132FD062" w14:textId="663516FA"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0544</w:t>
            </w:r>
          </w:p>
        </w:tc>
        <w:tc>
          <w:tcPr>
            <w:tcW w:w="226" w:type="pct"/>
          </w:tcPr>
          <w:p w14:paraId="2C59F673" w14:textId="1DBF612B"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 </w:t>
            </w:r>
          </w:p>
        </w:tc>
        <w:tc>
          <w:tcPr>
            <w:tcW w:w="203" w:type="pct"/>
          </w:tcPr>
          <w:p w14:paraId="1250721F" w14:textId="51FF7B1F"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F</w:t>
            </w:r>
          </w:p>
        </w:tc>
      </w:tr>
      <w:tr w:rsidR="005A18DC" w:rsidRPr="009537ED" w14:paraId="410AF43F" w14:textId="77777777" w:rsidTr="00B97F04">
        <w:trPr>
          <w:trHeight w:val="20"/>
        </w:trPr>
        <w:tc>
          <w:tcPr>
            <w:tcW w:w="365" w:type="pct"/>
          </w:tcPr>
          <w:p w14:paraId="57BCB41D" w14:textId="51233F8F" w:rsidR="005A18DC" w:rsidRPr="005A18DC" w:rsidRDefault="005A18DC" w:rsidP="005A18DC">
            <w:pPr>
              <w:rPr>
                <w:rFonts w:ascii="Arial" w:eastAsia="Times New Roman" w:hAnsi="Arial" w:cs="Arial"/>
                <w:color w:val="000000"/>
                <w:sz w:val="14"/>
                <w:szCs w:val="14"/>
                <w:lang w:eastAsia="en-GB"/>
              </w:rPr>
            </w:pPr>
            <w:hyperlink r:id="rId2277" w:history="1">
              <w:r w:rsidRPr="005A18DC">
                <w:rPr>
                  <w:rStyle w:val="Hyperlink"/>
                  <w:rFonts w:ascii="Arial" w:hAnsi="Arial" w:cs="Arial"/>
                  <w:b/>
                  <w:bCs/>
                  <w:sz w:val="14"/>
                  <w:szCs w:val="14"/>
                </w:rPr>
                <w:t>R1-2312478</w:t>
              </w:r>
            </w:hyperlink>
          </w:p>
        </w:tc>
        <w:tc>
          <w:tcPr>
            <w:tcW w:w="1471" w:type="pct"/>
          </w:tcPr>
          <w:p w14:paraId="7D56A9A1" w14:textId="504A2EFC"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Correction on CSI related timeline for 480/960 kHz</w:t>
            </w:r>
          </w:p>
        </w:tc>
        <w:tc>
          <w:tcPr>
            <w:tcW w:w="849" w:type="pct"/>
          </w:tcPr>
          <w:p w14:paraId="00B67150" w14:textId="48F951D0"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Moderator (LG Electronics), NTT DOCOMO, INC., Samsung, ZTE, Sanechips, Huawei, HiSilicon, Ericsson</w:t>
            </w:r>
          </w:p>
        </w:tc>
        <w:tc>
          <w:tcPr>
            <w:tcW w:w="248" w:type="pct"/>
          </w:tcPr>
          <w:p w14:paraId="7225CC39" w14:textId="1FC4715B" w:rsidR="005A18DC" w:rsidRPr="005A18DC" w:rsidRDefault="005A18DC" w:rsidP="005A18DC">
            <w:pPr>
              <w:rPr>
                <w:rFonts w:ascii="Arial" w:eastAsia="Times New Roman" w:hAnsi="Arial" w:cs="Arial"/>
                <w:color w:val="000000"/>
                <w:sz w:val="14"/>
                <w:szCs w:val="14"/>
                <w:lang w:eastAsia="en-GB"/>
              </w:rPr>
            </w:pPr>
            <w:hyperlink r:id="rId2278" w:history="1">
              <w:r w:rsidRPr="005A18DC">
                <w:rPr>
                  <w:rStyle w:val="Hyperlink"/>
                  <w:rFonts w:ascii="Arial" w:hAnsi="Arial" w:cs="Arial"/>
                  <w:b/>
                  <w:bCs/>
                  <w:sz w:val="14"/>
                  <w:szCs w:val="14"/>
                </w:rPr>
                <w:t>Rel-18</w:t>
              </w:r>
            </w:hyperlink>
          </w:p>
        </w:tc>
        <w:tc>
          <w:tcPr>
            <w:tcW w:w="301" w:type="pct"/>
            <w:shd w:val="clear" w:color="auto" w:fill="auto"/>
          </w:tcPr>
          <w:p w14:paraId="2F188F76" w14:textId="4E3D6CE6" w:rsidR="005A18DC" w:rsidRPr="005A18DC" w:rsidRDefault="005A18DC" w:rsidP="005A18DC">
            <w:pPr>
              <w:rPr>
                <w:rFonts w:ascii="Arial" w:eastAsia="Times New Roman" w:hAnsi="Arial" w:cs="Arial"/>
                <w:color w:val="000000"/>
                <w:sz w:val="14"/>
                <w:szCs w:val="14"/>
                <w:lang w:eastAsia="en-GB"/>
              </w:rPr>
            </w:pPr>
            <w:hyperlink r:id="rId2279" w:history="1">
              <w:r w:rsidRPr="005A18DC">
                <w:rPr>
                  <w:rStyle w:val="Hyperlink"/>
                  <w:rFonts w:ascii="Arial" w:hAnsi="Arial" w:cs="Arial"/>
                  <w:b/>
                  <w:bCs/>
                  <w:sz w:val="14"/>
                  <w:szCs w:val="14"/>
                </w:rPr>
                <w:t>38.213</w:t>
              </w:r>
            </w:hyperlink>
          </w:p>
        </w:tc>
        <w:tc>
          <w:tcPr>
            <w:tcW w:w="324" w:type="pct"/>
            <w:shd w:val="clear" w:color="auto" w:fill="auto"/>
          </w:tcPr>
          <w:p w14:paraId="5C445E55" w14:textId="2587A047"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18.0.0</w:t>
            </w:r>
          </w:p>
        </w:tc>
        <w:tc>
          <w:tcPr>
            <w:tcW w:w="779" w:type="pct"/>
          </w:tcPr>
          <w:p w14:paraId="45E3D31F" w14:textId="5F1C8CC6" w:rsidR="005A18DC" w:rsidRPr="005A18DC" w:rsidRDefault="005A18DC" w:rsidP="005A18DC">
            <w:pPr>
              <w:rPr>
                <w:rFonts w:ascii="Arial" w:eastAsia="Times New Roman" w:hAnsi="Arial" w:cs="Arial"/>
                <w:color w:val="000000"/>
                <w:sz w:val="14"/>
                <w:szCs w:val="14"/>
                <w:lang w:eastAsia="en-GB"/>
              </w:rPr>
            </w:pPr>
            <w:hyperlink r:id="rId2280" w:history="1">
              <w:r w:rsidRPr="005A18DC">
                <w:rPr>
                  <w:rStyle w:val="Hyperlink"/>
                  <w:rFonts w:ascii="Arial" w:hAnsi="Arial" w:cs="Arial"/>
                  <w:b/>
                  <w:bCs/>
                  <w:sz w:val="14"/>
                  <w:szCs w:val="14"/>
                </w:rPr>
                <w:t>NR_ext_to_71GHz-Core</w:t>
              </w:r>
            </w:hyperlink>
          </w:p>
        </w:tc>
        <w:tc>
          <w:tcPr>
            <w:tcW w:w="233" w:type="pct"/>
          </w:tcPr>
          <w:p w14:paraId="502729D9" w14:textId="65515E9F"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0545</w:t>
            </w:r>
          </w:p>
        </w:tc>
        <w:tc>
          <w:tcPr>
            <w:tcW w:w="226" w:type="pct"/>
          </w:tcPr>
          <w:p w14:paraId="097D3EA8" w14:textId="7DA7D9AB"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 </w:t>
            </w:r>
          </w:p>
        </w:tc>
        <w:tc>
          <w:tcPr>
            <w:tcW w:w="203" w:type="pct"/>
          </w:tcPr>
          <w:p w14:paraId="24D957D3" w14:textId="2B566225"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A</w:t>
            </w:r>
          </w:p>
        </w:tc>
      </w:tr>
      <w:tr w:rsidR="005A18DC" w:rsidRPr="009537ED" w14:paraId="4F11162F" w14:textId="77777777" w:rsidTr="00B97F04">
        <w:trPr>
          <w:trHeight w:val="20"/>
        </w:trPr>
        <w:tc>
          <w:tcPr>
            <w:tcW w:w="365" w:type="pct"/>
          </w:tcPr>
          <w:p w14:paraId="5C48F05F" w14:textId="2BFFE402" w:rsidR="005A18DC" w:rsidRPr="005A18DC" w:rsidRDefault="005A18DC" w:rsidP="005A18DC">
            <w:pPr>
              <w:rPr>
                <w:rFonts w:ascii="Arial" w:eastAsia="Times New Roman" w:hAnsi="Arial" w:cs="Arial"/>
                <w:color w:val="000000"/>
                <w:sz w:val="14"/>
                <w:szCs w:val="14"/>
                <w:lang w:eastAsia="en-GB"/>
              </w:rPr>
            </w:pPr>
            <w:hyperlink r:id="rId2281" w:history="1">
              <w:r w:rsidRPr="005A18DC">
                <w:rPr>
                  <w:rStyle w:val="Hyperlink"/>
                  <w:rFonts w:ascii="Arial" w:hAnsi="Arial" w:cs="Arial"/>
                  <w:b/>
                  <w:bCs/>
                  <w:sz w:val="14"/>
                  <w:szCs w:val="14"/>
                </w:rPr>
                <w:t>R1-2312481</w:t>
              </w:r>
            </w:hyperlink>
          </w:p>
        </w:tc>
        <w:tc>
          <w:tcPr>
            <w:tcW w:w="1471" w:type="pct"/>
          </w:tcPr>
          <w:p w14:paraId="753A6465" w14:textId="12DAEDE8"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CR on resource allocation in time domain for multi-PXSCH scheduling</w:t>
            </w:r>
          </w:p>
        </w:tc>
        <w:tc>
          <w:tcPr>
            <w:tcW w:w="849" w:type="pct"/>
          </w:tcPr>
          <w:p w14:paraId="5C2A6882" w14:textId="73E59433"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Moderator (LG Electronics), vivo, Ericsson, NTT DOCOMO, INC., Samsung, ZTE, Sanechips, Huawei, HiSilicon</w:t>
            </w:r>
          </w:p>
        </w:tc>
        <w:tc>
          <w:tcPr>
            <w:tcW w:w="248" w:type="pct"/>
          </w:tcPr>
          <w:p w14:paraId="61F819C4" w14:textId="49736E33" w:rsidR="005A18DC" w:rsidRPr="005A18DC" w:rsidRDefault="005A18DC" w:rsidP="005A18DC">
            <w:pPr>
              <w:rPr>
                <w:rFonts w:ascii="Arial" w:eastAsia="Times New Roman" w:hAnsi="Arial" w:cs="Arial"/>
                <w:color w:val="000000"/>
                <w:sz w:val="14"/>
                <w:szCs w:val="14"/>
                <w:lang w:eastAsia="en-GB"/>
              </w:rPr>
            </w:pPr>
            <w:hyperlink r:id="rId2282" w:history="1">
              <w:r w:rsidRPr="005A18DC">
                <w:rPr>
                  <w:rStyle w:val="Hyperlink"/>
                  <w:rFonts w:ascii="Arial" w:hAnsi="Arial" w:cs="Arial"/>
                  <w:b/>
                  <w:bCs/>
                  <w:sz w:val="14"/>
                  <w:szCs w:val="14"/>
                </w:rPr>
                <w:t>Rel-17</w:t>
              </w:r>
            </w:hyperlink>
          </w:p>
        </w:tc>
        <w:tc>
          <w:tcPr>
            <w:tcW w:w="301" w:type="pct"/>
            <w:shd w:val="clear" w:color="auto" w:fill="auto"/>
          </w:tcPr>
          <w:p w14:paraId="06016C8B" w14:textId="6C57762A" w:rsidR="005A18DC" w:rsidRPr="005A18DC" w:rsidRDefault="005A18DC" w:rsidP="005A18DC">
            <w:pPr>
              <w:rPr>
                <w:rFonts w:ascii="Arial" w:eastAsia="Times New Roman" w:hAnsi="Arial" w:cs="Arial"/>
                <w:color w:val="000000"/>
                <w:sz w:val="14"/>
                <w:szCs w:val="14"/>
                <w:lang w:eastAsia="en-GB"/>
              </w:rPr>
            </w:pPr>
            <w:hyperlink r:id="rId2283" w:history="1">
              <w:r w:rsidRPr="005A18DC">
                <w:rPr>
                  <w:rStyle w:val="Hyperlink"/>
                  <w:rFonts w:ascii="Arial" w:hAnsi="Arial" w:cs="Arial"/>
                  <w:b/>
                  <w:bCs/>
                  <w:sz w:val="14"/>
                  <w:szCs w:val="14"/>
                </w:rPr>
                <w:t>38.214</w:t>
              </w:r>
            </w:hyperlink>
          </w:p>
        </w:tc>
        <w:tc>
          <w:tcPr>
            <w:tcW w:w="324" w:type="pct"/>
            <w:shd w:val="clear" w:color="auto" w:fill="auto"/>
          </w:tcPr>
          <w:p w14:paraId="7FADB907" w14:textId="725D08B7"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17.7.0</w:t>
            </w:r>
          </w:p>
        </w:tc>
        <w:tc>
          <w:tcPr>
            <w:tcW w:w="779" w:type="pct"/>
          </w:tcPr>
          <w:p w14:paraId="46A04C03" w14:textId="76243E34" w:rsidR="005A18DC" w:rsidRPr="005A18DC" w:rsidRDefault="005A18DC" w:rsidP="005A18DC">
            <w:pPr>
              <w:rPr>
                <w:rFonts w:ascii="Arial" w:eastAsia="Times New Roman" w:hAnsi="Arial" w:cs="Arial"/>
                <w:color w:val="000000"/>
                <w:sz w:val="14"/>
                <w:szCs w:val="14"/>
                <w:lang w:eastAsia="en-GB"/>
              </w:rPr>
            </w:pPr>
            <w:hyperlink r:id="rId2284" w:history="1">
              <w:r w:rsidRPr="005A18DC">
                <w:rPr>
                  <w:rStyle w:val="Hyperlink"/>
                  <w:rFonts w:ascii="Arial" w:hAnsi="Arial" w:cs="Arial"/>
                  <w:b/>
                  <w:bCs/>
                  <w:sz w:val="14"/>
                  <w:szCs w:val="14"/>
                </w:rPr>
                <w:t>NR_ext_to_71GHz-Core</w:t>
              </w:r>
            </w:hyperlink>
          </w:p>
        </w:tc>
        <w:tc>
          <w:tcPr>
            <w:tcW w:w="233" w:type="pct"/>
          </w:tcPr>
          <w:p w14:paraId="0E90DC58" w14:textId="6773361E"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0460</w:t>
            </w:r>
          </w:p>
        </w:tc>
        <w:tc>
          <w:tcPr>
            <w:tcW w:w="226" w:type="pct"/>
          </w:tcPr>
          <w:p w14:paraId="6661D9DC" w14:textId="49F00606"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 </w:t>
            </w:r>
          </w:p>
        </w:tc>
        <w:tc>
          <w:tcPr>
            <w:tcW w:w="203" w:type="pct"/>
          </w:tcPr>
          <w:p w14:paraId="52EFA81C" w14:textId="1823E7F4"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F</w:t>
            </w:r>
          </w:p>
        </w:tc>
      </w:tr>
      <w:tr w:rsidR="005A18DC" w:rsidRPr="009537ED" w14:paraId="6C8B1492" w14:textId="77777777" w:rsidTr="00B97F04">
        <w:trPr>
          <w:trHeight w:val="20"/>
        </w:trPr>
        <w:tc>
          <w:tcPr>
            <w:tcW w:w="365" w:type="pct"/>
          </w:tcPr>
          <w:p w14:paraId="5D8CE502" w14:textId="348631F7" w:rsidR="005A18DC" w:rsidRPr="005A18DC" w:rsidRDefault="005A18DC" w:rsidP="005A18DC">
            <w:pPr>
              <w:rPr>
                <w:rFonts w:ascii="Arial" w:eastAsia="Times New Roman" w:hAnsi="Arial" w:cs="Arial"/>
                <w:color w:val="000000"/>
                <w:sz w:val="14"/>
                <w:szCs w:val="14"/>
                <w:lang w:eastAsia="en-GB"/>
              </w:rPr>
            </w:pPr>
            <w:hyperlink r:id="rId2285" w:history="1">
              <w:r w:rsidRPr="005A18DC">
                <w:rPr>
                  <w:rStyle w:val="Hyperlink"/>
                  <w:rFonts w:ascii="Arial" w:hAnsi="Arial" w:cs="Arial"/>
                  <w:b/>
                  <w:bCs/>
                  <w:sz w:val="14"/>
                  <w:szCs w:val="14"/>
                </w:rPr>
                <w:t>R1-2312482</w:t>
              </w:r>
            </w:hyperlink>
          </w:p>
        </w:tc>
        <w:tc>
          <w:tcPr>
            <w:tcW w:w="1471" w:type="pct"/>
          </w:tcPr>
          <w:p w14:paraId="013A7910" w14:textId="1B379EA9"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CR on resource allocation in time domain for multi-PXSCH scheduling</w:t>
            </w:r>
          </w:p>
        </w:tc>
        <w:tc>
          <w:tcPr>
            <w:tcW w:w="849" w:type="pct"/>
          </w:tcPr>
          <w:p w14:paraId="3B430D8A" w14:textId="3FCE6946"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Moderator (LG Electronics), vivo, Ericsson, NTT DOCOMO, INC., Samsung, ZTE, Sanechips, Huawei, HiSilicon</w:t>
            </w:r>
          </w:p>
        </w:tc>
        <w:tc>
          <w:tcPr>
            <w:tcW w:w="248" w:type="pct"/>
          </w:tcPr>
          <w:p w14:paraId="166B3FDA" w14:textId="6CA97EE4" w:rsidR="005A18DC" w:rsidRPr="005A18DC" w:rsidRDefault="005A18DC" w:rsidP="005A18DC">
            <w:pPr>
              <w:rPr>
                <w:rFonts w:ascii="Arial" w:eastAsia="Times New Roman" w:hAnsi="Arial" w:cs="Arial"/>
                <w:color w:val="000000"/>
                <w:sz w:val="14"/>
                <w:szCs w:val="14"/>
                <w:lang w:eastAsia="en-GB"/>
              </w:rPr>
            </w:pPr>
            <w:hyperlink r:id="rId2286" w:history="1">
              <w:r w:rsidRPr="005A18DC">
                <w:rPr>
                  <w:rStyle w:val="Hyperlink"/>
                  <w:rFonts w:ascii="Arial" w:hAnsi="Arial" w:cs="Arial"/>
                  <w:b/>
                  <w:bCs/>
                  <w:sz w:val="14"/>
                  <w:szCs w:val="14"/>
                </w:rPr>
                <w:t>Rel-18</w:t>
              </w:r>
            </w:hyperlink>
          </w:p>
        </w:tc>
        <w:tc>
          <w:tcPr>
            <w:tcW w:w="301" w:type="pct"/>
            <w:shd w:val="clear" w:color="auto" w:fill="auto"/>
          </w:tcPr>
          <w:p w14:paraId="2B7D4F89" w14:textId="3D75D036" w:rsidR="005A18DC" w:rsidRPr="005A18DC" w:rsidRDefault="005A18DC" w:rsidP="005A18DC">
            <w:pPr>
              <w:rPr>
                <w:rFonts w:ascii="Arial" w:eastAsia="Times New Roman" w:hAnsi="Arial" w:cs="Arial"/>
                <w:color w:val="000000"/>
                <w:sz w:val="14"/>
                <w:szCs w:val="14"/>
                <w:lang w:eastAsia="en-GB"/>
              </w:rPr>
            </w:pPr>
            <w:hyperlink r:id="rId2287" w:history="1">
              <w:r w:rsidRPr="005A18DC">
                <w:rPr>
                  <w:rStyle w:val="Hyperlink"/>
                  <w:rFonts w:ascii="Arial" w:hAnsi="Arial" w:cs="Arial"/>
                  <w:b/>
                  <w:bCs/>
                  <w:sz w:val="14"/>
                  <w:szCs w:val="14"/>
                </w:rPr>
                <w:t>38.214</w:t>
              </w:r>
            </w:hyperlink>
          </w:p>
        </w:tc>
        <w:tc>
          <w:tcPr>
            <w:tcW w:w="324" w:type="pct"/>
            <w:shd w:val="clear" w:color="auto" w:fill="auto"/>
          </w:tcPr>
          <w:p w14:paraId="0160FD3C" w14:textId="6BC18A4C"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18.0.0</w:t>
            </w:r>
          </w:p>
        </w:tc>
        <w:tc>
          <w:tcPr>
            <w:tcW w:w="779" w:type="pct"/>
          </w:tcPr>
          <w:p w14:paraId="00DF9EB3" w14:textId="7AE367E9" w:rsidR="005A18DC" w:rsidRPr="005A18DC" w:rsidRDefault="005A18DC" w:rsidP="005A18DC">
            <w:pPr>
              <w:rPr>
                <w:rFonts w:ascii="Arial" w:eastAsia="Times New Roman" w:hAnsi="Arial" w:cs="Arial"/>
                <w:color w:val="000000"/>
                <w:sz w:val="14"/>
                <w:szCs w:val="14"/>
                <w:lang w:eastAsia="en-GB"/>
              </w:rPr>
            </w:pPr>
            <w:hyperlink r:id="rId2288" w:history="1">
              <w:r w:rsidRPr="005A18DC">
                <w:rPr>
                  <w:rStyle w:val="Hyperlink"/>
                  <w:rFonts w:ascii="Arial" w:hAnsi="Arial" w:cs="Arial"/>
                  <w:b/>
                  <w:bCs/>
                  <w:sz w:val="14"/>
                  <w:szCs w:val="14"/>
                </w:rPr>
                <w:t>NR_ext_to_71GHz-Core</w:t>
              </w:r>
            </w:hyperlink>
          </w:p>
        </w:tc>
        <w:tc>
          <w:tcPr>
            <w:tcW w:w="233" w:type="pct"/>
          </w:tcPr>
          <w:p w14:paraId="1DD7D97A" w14:textId="011661D7"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0461</w:t>
            </w:r>
          </w:p>
        </w:tc>
        <w:tc>
          <w:tcPr>
            <w:tcW w:w="226" w:type="pct"/>
          </w:tcPr>
          <w:p w14:paraId="7CBECEE1" w14:textId="52B422E3"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 </w:t>
            </w:r>
          </w:p>
        </w:tc>
        <w:tc>
          <w:tcPr>
            <w:tcW w:w="203" w:type="pct"/>
          </w:tcPr>
          <w:p w14:paraId="3F139014" w14:textId="63AB37A1"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A</w:t>
            </w:r>
          </w:p>
        </w:tc>
      </w:tr>
      <w:tr w:rsidR="005A18DC" w:rsidRPr="009537ED" w14:paraId="58D2E62B" w14:textId="77777777" w:rsidTr="00B97F04">
        <w:trPr>
          <w:trHeight w:val="20"/>
        </w:trPr>
        <w:tc>
          <w:tcPr>
            <w:tcW w:w="365" w:type="pct"/>
          </w:tcPr>
          <w:p w14:paraId="2EA125EB" w14:textId="3A8206A3" w:rsidR="005A18DC" w:rsidRPr="005A18DC" w:rsidRDefault="005A18DC" w:rsidP="005A18DC">
            <w:pPr>
              <w:rPr>
                <w:rFonts w:ascii="Arial" w:eastAsia="Times New Roman" w:hAnsi="Arial" w:cs="Arial"/>
                <w:color w:val="000000"/>
                <w:sz w:val="14"/>
                <w:szCs w:val="14"/>
                <w:lang w:eastAsia="en-GB"/>
              </w:rPr>
            </w:pPr>
            <w:hyperlink r:id="rId2289" w:history="1">
              <w:r w:rsidRPr="005A18DC">
                <w:rPr>
                  <w:rStyle w:val="Hyperlink"/>
                  <w:rFonts w:ascii="Arial" w:hAnsi="Arial" w:cs="Arial"/>
                  <w:b/>
                  <w:bCs/>
                  <w:sz w:val="14"/>
                  <w:szCs w:val="14"/>
                </w:rPr>
                <w:t>R1-2312483</w:t>
              </w:r>
            </w:hyperlink>
          </w:p>
        </w:tc>
        <w:tc>
          <w:tcPr>
            <w:tcW w:w="1471" w:type="pct"/>
          </w:tcPr>
          <w:p w14:paraId="77386C07" w14:textId="29456B51"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CR on default pathloss reference signal for SRS and PUCCH</w:t>
            </w:r>
          </w:p>
        </w:tc>
        <w:tc>
          <w:tcPr>
            <w:tcW w:w="849" w:type="pct"/>
          </w:tcPr>
          <w:p w14:paraId="4A954992" w14:textId="6732BC91"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Moderator (Google), Google, Ericsson</w:t>
            </w:r>
          </w:p>
        </w:tc>
        <w:tc>
          <w:tcPr>
            <w:tcW w:w="248" w:type="pct"/>
          </w:tcPr>
          <w:p w14:paraId="5C3437C9" w14:textId="20790515" w:rsidR="005A18DC" w:rsidRPr="005A18DC" w:rsidRDefault="005A18DC" w:rsidP="005A18DC">
            <w:pPr>
              <w:rPr>
                <w:rFonts w:ascii="Arial" w:eastAsia="Times New Roman" w:hAnsi="Arial" w:cs="Arial"/>
                <w:color w:val="000000"/>
                <w:sz w:val="14"/>
                <w:szCs w:val="14"/>
                <w:lang w:eastAsia="en-GB"/>
              </w:rPr>
            </w:pPr>
            <w:hyperlink r:id="rId2290" w:history="1">
              <w:r w:rsidRPr="005A18DC">
                <w:rPr>
                  <w:rStyle w:val="Hyperlink"/>
                  <w:rFonts w:ascii="Arial" w:hAnsi="Arial" w:cs="Arial"/>
                  <w:b/>
                  <w:bCs/>
                  <w:sz w:val="14"/>
                  <w:szCs w:val="14"/>
                </w:rPr>
                <w:t>Rel-16</w:t>
              </w:r>
            </w:hyperlink>
          </w:p>
        </w:tc>
        <w:tc>
          <w:tcPr>
            <w:tcW w:w="301" w:type="pct"/>
            <w:shd w:val="clear" w:color="auto" w:fill="auto"/>
          </w:tcPr>
          <w:p w14:paraId="5A4CFA60" w14:textId="5DC4BA83" w:rsidR="005A18DC" w:rsidRPr="005A18DC" w:rsidRDefault="005A18DC" w:rsidP="005A18DC">
            <w:pPr>
              <w:rPr>
                <w:rFonts w:ascii="Arial" w:eastAsia="Times New Roman" w:hAnsi="Arial" w:cs="Arial"/>
                <w:color w:val="000000"/>
                <w:sz w:val="14"/>
                <w:szCs w:val="14"/>
                <w:lang w:eastAsia="en-GB"/>
              </w:rPr>
            </w:pPr>
            <w:hyperlink r:id="rId2291" w:history="1">
              <w:r w:rsidRPr="005A18DC">
                <w:rPr>
                  <w:rStyle w:val="Hyperlink"/>
                  <w:rFonts w:ascii="Arial" w:hAnsi="Arial" w:cs="Arial"/>
                  <w:b/>
                  <w:bCs/>
                  <w:sz w:val="14"/>
                  <w:szCs w:val="14"/>
                </w:rPr>
                <w:t>38.213</w:t>
              </w:r>
            </w:hyperlink>
          </w:p>
        </w:tc>
        <w:tc>
          <w:tcPr>
            <w:tcW w:w="324" w:type="pct"/>
            <w:shd w:val="clear" w:color="auto" w:fill="auto"/>
          </w:tcPr>
          <w:p w14:paraId="562E2557" w14:textId="5F342328"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16.15.0</w:t>
            </w:r>
          </w:p>
        </w:tc>
        <w:tc>
          <w:tcPr>
            <w:tcW w:w="779" w:type="pct"/>
          </w:tcPr>
          <w:p w14:paraId="435B6D19" w14:textId="6E35A120" w:rsidR="005A18DC" w:rsidRPr="005A18DC" w:rsidRDefault="005A18DC" w:rsidP="005A18DC">
            <w:pPr>
              <w:rPr>
                <w:rFonts w:ascii="Arial" w:eastAsia="Times New Roman" w:hAnsi="Arial" w:cs="Arial"/>
                <w:color w:val="000000"/>
                <w:sz w:val="14"/>
                <w:szCs w:val="14"/>
                <w:lang w:eastAsia="en-GB"/>
              </w:rPr>
            </w:pPr>
            <w:hyperlink r:id="rId2292" w:history="1">
              <w:r w:rsidRPr="005A18DC">
                <w:rPr>
                  <w:rStyle w:val="Hyperlink"/>
                  <w:rFonts w:ascii="Arial" w:hAnsi="Arial" w:cs="Arial"/>
                  <w:b/>
                  <w:bCs/>
                  <w:sz w:val="14"/>
                  <w:szCs w:val="14"/>
                </w:rPr>
                <w:t>NR_eMIMO-Core</w:t>
              </w:r>
            </w:hyperlink>
          </w:p>
        </w:tc>
        <w:tc>
          <w:tcPr>
            <w:tcW w:w="233" w:type="pct"/>
          </w:tcPr>
          <w:p w14:paraId="2575208A" w14:textId="1A734289"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0546</w:t>
            </w:r>
          </w:p>
        </w:tc>
        <w:tc>
          <w:tcPr>
            <w:tcW w:w="226" w:type="pct"/>
          </w:tcPr>
          <w:p w14:paraId="196E1A6A" w14:textId="52CC49A0"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 </w:t>
            </w:r>
          </w:p>
        </w:tc>
        <w:tc>
          <w:tcPr>
            <w:tcW w:w="203" w:type="pct"/>
          </w:tcPr>
          <w:p w14:paraId="2FF8048A" w14:textId="02316063"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F</w:t>
            </w:r>
          </w:p>
        </w:tc>
      </w:tr>
      <w:tr w:rsidR="005A18DC" w:rsidRPr="009537ED" w14:paraId="6D50F6B2" w14:textId="77777777" w:rsidTr="00B97F04">
        <w:trPr>
          <w:trHeight w:val="20"/>
        </w:trPr>
        <w:tc>
          <w:tcPr>
            <w:tcW w:w="365" w:type="pct"/>
          </w:tcPr>
          <w:p w14:paraId="2DD4D6C4" w14:textId="3B4B609A" w:rsidR="005A18DC" w:rsidRPr="005A18DC" w:rsidRDefault="005A18DC" w:rsidP="005A18DC">
            <w:pPr>
              <w:rPr>
                <w:rFonts w:ascii="Arial" w:eastAsia="Times New Roman" w:hAnsi="Arial" w:cs="Arial"/>
                <w:color w:val="000000"/>
                <w:sz w:val="14"/>
                <w:szCs w:val="14"/>
                <w:lang w:eastAsia="en-GB"/>
              </w:rPr>
            </w:pPr>
            <w:hyperlink r:id="rId2293" w:history="1">
              <w:r w:rsidRPr="005A18DC">
                <w:rPr>
                  <w:rStyle w:val="Hyperlink"/>
                  <w:rFonts w:ascii="Arial" w:hAnsi="Arial" w:cs="Arial"/>
                  <w:b/>
                  <w:bCs/>
                  <w:sz w:val="14"/>
                  <w:szCs w:val="14"/>
                </w:rPr>
                <w:t>R1-2312484</w:t>
              </w:r>
            </w:hyperlink>
          </w:p>
        </w:tc>
        <w:tc>
          <w:tcPr>
            <w:tcW w:w="1471" w:type="pct"/>
          </w:tcPr>
          <w:p w14:paraId="593FDA32" w14:textId="55C5B4FC"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CR on default pathloss reference signal for SRS and PUCCH</w:t>
            </w:r>
          </w:p>
        </w:tc>
        <w:tc>
          <w:tcPr>
            <w:tcW w:w="849" w:type="pct"/>
          </w:tcPr>
          <w:p w14:paraId="01A28476" w14:textId="1CBD0B81"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Moderator (Google), Google, Ericsson</w:t>
            </w:r>
          </w:p>
        </w:tc>
        <w:tc>
          <w:tcPr>
            <w:tcW w:w="248" w:type="pct"/>
          </w:tcPr>
          <w:p w14:paraId="52C0639B" w14:textId="1B6F132E" w:rsidR="005A18DC" w:rsidRPr="005A18DC" w:rsidRDefault="005A18DC" w:rsidP="005A18DC">
            <w:pPr>
              <w:rPr>
                <w:rFonts w:ascii="Arial" w:eastAsia="Times New Roman" w:hAnsi="Arial" w:cs="Arial"/>
                <w:color w:val="000000"/>
                <w:sz w:val="14"/>
                <w:szCs w:val="14"/>
                <w:lang w:eastAsia="en-GB"/>
              </w:rPr>
            </w:pPr>
            <w:hyperlink r:id="rId2294" w:history="1">
              <w:r w:rsidRPr="005A18DC">
                <w:rPr>
                  <w:rStyle w:val="Hyperlink"/>
                  <w:rFonts w:ascii="Arial" w:hAnsi="Arial" w:cs="Arial"/>
                  <w:b/>
                  <w:bCs/>
                  <w:sz w:val="14"/>
                  <w:szCs w:val="14"/>
                </w:rPr>
                <w:t>Rel-17</w:t>
              </w:r>
            </w:hyperlink>
          </w:p>
        </w:tc>
        <w:tc>
          <w:tcPr>
            <w:tcW w:w="301" w:type="pct"/>
            <w:shd w:val="clear" w:color="auto" w:fill="auto"/>
          </w:tcPr>
          <w:p w14:paraId="39BA08C0" w14:textId="0F3F91D9" w:rsidR="005A18DC" w:rsidRPr="005A18DC" w:rsidRDefault="005A18DC" w:rsidP="005A18DC">
            <w:pPr>
              <w:rPr>
                <w:rFonts w:ascii="Arial" w:eastAsia="Times New Roman" w:hAnsi="Arial" w:cs="Arial"/>
                <w:color w:val="000000"/>
                <w:sz w:val="14"/>
                <w:szCs w:val="14"/>
                <w:lang w:eastAsia="en-GB"/>
              </w:rPr>
            </w:pPr>
            <w:hyperlink r:id="rId2295" w:history="1">
              <w:r w:rsidRPr="005A18DC">
                <w:rPr>
                  <w:rStyle w:val="Hyperlink"/>
                  <w:rFonts w:ascii="Arial" w:hAnsi="Arial" w:cs="Arial"/>
                  <w:b/>
                  <w:bCs/>
                  <w:sz w:val="14"/>
                  <w:szCs w:val="14"/>
                </w:rPr>
                <w:t>38.213</w:t>
              </w:r>
            </w:hyperlink>
          </w:p>
        </w:tc>
        <w:tc>
          <w:tcPr>
            <w:tcW w:w="324" w:type="pct"/>
            <w:shd w:val="clear" w:color="auto" w:fill="auto"/>
          </w:tcPr>
          <w:p w14:paraId="30EE9215" w14:textId="14CAE5E9"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17.7.0</w:t>
            </w:r>
          </w:p>
        </w:tc>
        <w:tc>
          <w:tcPr>
            <w:tcW w:w="779" w:type="pct"/>
          </w:tcPr>
          <w:p w14:paraId="4B66EB6C" w14:textId="46E2D856" w:rsidR="005A18DC" w:rsidRPr="005A18DC" w:rsidRDefault="005A18DC" w:rsidP="005A18DC">
            <w:pPr>
              <w:rPr>
                <w:rFonts w:ascii="Arial" w:eastAsia="Times New Roman" w:hAnsi="Arial" w:cs="Arial"/>
                <w:color w:val="000000"/>
                <w:sz w:val="14"/>
                <w:szCs w:val="14"/>
                <w:lang w:eastAsia="en-GB"/>
              </w:rPr>
            </w:pPr>
            <w:hyperlink r:id="rId2296" w:history="1">
              <w:r w:rsidRPr="005A18DC">
                <w:rPr>
                  <w:rStyle w:val="Hyperlink"/>
                  <w:rFonts w:ascii="Arial" w:hAnsi="Arial" w:cs="Arial"/>
                  <w:b/>
                  <w:bCs/>
                  <w:sz w:val="14"/>
                  <w:szCs w:val="14"/>
                </w:rPr>
                <w:t>NR_eMIMO-Core</w:t>
              </w:r>
            </w:hyperlink>
          </w:p>
        </w:tc>
        <w:tc>
          <w:tcPr>
            <w:tcW w:w="233" w:type="pct"/>
          </w:tcPr>
          <w:p w14:paraId="46626620" w14:textId="07923A08"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0547</w:t>
            </w:r>
          </w:p>
        </w:tc>
        <w:tc>
          <w:tcPr>
            <w:tcW w:w="226" w:type="pct"/>
          </w:tcPr>
          <w:p w14:paraId="47F4B5F0" w14:textId="0FC8EFC5"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 </w:t>
            </w:r>
          </w:p>
        </w:tc>
        <w:tc>
          <w:tcPr>
            <w:tcW w:w="203" w:type="pct"/>
          </w:tcPr>
          <w:p w14:paraId="11F489A3" w14:textId="2AA30826"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A</w:t>
            </w:r>
          </w:p>
        </w:tc>
      </w:tr>
      <w:tr w:rsidR="005A18DC" w:rsidRPr="009537ED" w14:paraId="05A99810" w14:textId="77777777" w:rsidTr="00B97F04">
        <w:trPr>
          <w:trHeight w:val="20"/>
        </w:trPr>
        <w:tc>
          <w:tcPr>
            <w:tcW w:w="365" w:type="pct"/>
          </w:tcPr>
          <w:p w14:paraId="56150B9D" w14:textId="4B7C5A64" w:rsidR="005A18DC" w:rsidRPr="005A18DC" w:rsidRDefault="005A18DC" w:rsidP="005A18DC">
            <w:pPr>
              <w:rPr>
                <w:rFonts w:ascii="Arial" w:eastAsia="Times New Roman" w:hAnsi="Arial" w:cs="Arial"/>
                <w:color w:val="000000"/>
                <w:sz w:val="14"/>
                <w:szCs w:val="14"/>
                <w:lang w:eastAsia="en-GB"/>
              </w:rPr>
            </w:pPr>
            <w:hyperlink r:id="rId2297" w:history="1">
              <w:r w:rsidRPr="005A18DC">
                <w:rPr>
                  <w:rStyle w:val="Hyperlink"/>
                  <w:rFonts w:ascii="Arial" w:hAnsi="Arial" w:cs="Arial"/>
                  <w:b/>
                  <w:bCs/>
                  <w:sz w:val="14"/>
                  <w:szCs w:val="14"/>
                </w:rPr>
                <w:t>R1-2312485</w:t>
              </w:r>
            </w:hyperlink>
          </w:p>
        </w:tc>
        <w:tc>
          <w:tcPr>
            <w:tcW w:w="1471" w:type="pct"/>
          </w:tcPr>
          <w:p w14:paraId="006B771B" w14:textId="7CA49E31"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CR on default pathloss reference signal for SRS and PUCCH</w:t>
            </w:r>
          </w:p>
        </w:tc>
        <w:tc>
          <w:tcPr>
            <w:tcW w:w="849" w:type="pct"/>
          </w:tcPr>
          <w:p w14:paraId="35C4FDF5" w14:textId="5255C545"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Moderator (Google), Google, Ericsson</w:t>
            </w:r>
          </w:p>
        </w:tc>
        <w:tc>
          <w:tcPr>
            <w:tcW w:w="248" w:type="pct"/>
          </w:tcPr>
          <w:p w14:paraId="614F6DDB" w14:textId="3F7DD17E" w:rsidR="005A18DC" w:rsidRPr="005A18DC" w:rsidRDefault="005A18DC" w:rsidP="005A18DC">
            <w:pPr>
              <w:rPr>
                <w:rFonts w:ascii="Arial" w:eastAsia="Times New Roman" w:hAnsi="Arial" w:cs="Arial"/>
                <w:color w:val="000000"/>
                <w:sz w:val="14"/>
                <w:szCs w:val="14"/>
                <w:lang w:eastAsia="en-GB"/>
              </w:rPr>
            </w:pPr>
            <w:hyperlink r:id="rId2298" w:history="1">
              <w:r w:rsidRPr="005A18DC">
                <w:rPr>
                  <w:rStyle w:val="Hyperlink"/>
                  <w:rFonts w:ascii="Arial" w:hAnsi="Arial" w:cs="Arial"/>
                  <w:b/>
                  <w:bCs/>
                  <w:sz w:val="14"/>
                  <w:szCs w:val="14"/>
                </w:rPr>
                <w:t>Rel-18</w:t>
              </w:r>
            </w:hyperlink>
          </w:p>
        </w:tc>
        <w:tc>
          <w:tcPr>
            <w:tcW w:w="301" w:type="pct"/>
            <w:shd w:val="clear" w:color="auto" w:fill="auto"/>
          </w:tcPr>
          <w:p w14:paraId="3F36454C" w14:textId="58DA980D" w:rsidR="005A18DC" w:rsidRPr="005A18DC" w:rsidRDefault="005A18DC" w:rsidP="005A18DC">
            <w:pPr>
              <w:rPr>
                <w:rFonts w:ascii="Arial" w:eastAsia="Times New Roman" w:hAnsi="Arial" w:cs="Arial"/>
                <w:color w:val="000000"/>
                <w:sz w:val="14"/>
                <w:szCs w:val="14"/>
                <w:lang w:eastAsia="en-GB"/>
              </w:rPr>
            </w:pPr>
            <w:hyperlink r:id="rId2299" w:history="1">
              <w:r w:rsidRPr="005A18DC">
                <w:rPr>
                  <w:rStyle w:val="Hyperlink"/>
                  <w:rFonts w:ascii="Arial" w:hAnsi="Arial" w:cs="Arial"/>
                  <w:b/>
                  <w:bCs/>
                  <w:sz w:val="14"/>
                  <w:szCs w:val="14"/>
                </w:rPr>
                <w:t>38.213</w:t>
              </w:r>
            </w:hyperlink>
          </w:p>
        </w:tc>
        <w:tc>
          <w:tcPr>
            <w:tcW w:w="324" w:type="pct"/>
            <w:shd w:val="clear" w:color="auto" w:fill="auto"/>
          </w:tcPr>
          <w:p w14:paraId="200D4D2D" w14:textId="55081D49"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18.0.0</w:t>
            </w:r>
          </w:p>
        </w:tc>
        <w:tc>
          <w:tcPr>
            <w:tcW w:w="779" w:type="pct"/>
          </w:tcPr>
          <w:p w14:paraId="395685A6" w14:textId="33586F4F" w:rsidR="005A18DC" w:rsidRPr="005A18DC" w:rsidRDefault="005A18DC" w:rsidP="005A18DC">
            <w:pPr>
              <w:rPr>
                <w:rFonts w:ascii="Arial" w:eastAsia="Times New Roman" w:hAnsi="Arial" w:cs="Arial"/>
                <w:color w:val="000000"/>
                <w:sz w:val="14"/>
                <w:szCs w:val="14"/>
                <w:lang w:eastAsia="en-GB"/>
              </w:rPr>
            </w:pPr>
            <w:hyperlink r:id="rId2300" w:history="1">
              <w:r w:rsidRPr="005A18DC">
                <w:rPr>
                  <w:rStyle w:val="Hyperlink"/>
                  <w:rFonts w:ascii="Arial" w:hAnsi="Arial" w:cs="Arial"/>
                  <w:b/>
                  <w:bCs/>
                  <w:sz w:val="14"/>
                  <w:szCs w:val="14"/>
                </w:rPr>
                <w:t>NR_eMIMO-Core</w:t>
              </w:r>
            </w:hyperlink>
          </w:p>
        </w:tc>
        <w:tc>
          <w:tcPr>
            <w:tcW w:w="233" w:type="pct"/>
          </w:tcPr>
          <w:p w14:paraId="47520407" w14:textId="62B2F1DA"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0548</w:t>
            </w:r>
          </w:p>
        </w:tc>
        <w:tc>
          <w:tcPr>
            <w:tcW w:w="226" w:type="pct"/>
          </w:tcPr>
          <w:p w14:paraId="30714867" w14:textId="05F53554"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 </w:t>
            </w:r>
          </w:p>
        </w:tc>
        <w:tc>
          <w:tcPr>
            <w:tcW w:w="203" w:type="pct"/>
          </w:tcPr>
          <w:p w14:paraId="04F35251" w14:textId="2B0B9808"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A</w:t>
            </w:r>
          </w:p>
        </w:tc>
      </w:tr>
      <w:tr w:rsidR="005A18DC" w:rsidRPr="009537ED" w14:paraId="7469E700" w14:textId="77777777" w:rsidTr="00B97F04">
        <w:trPr>
          <w:trHeight w:val="20"/>
        </w:trPr>
        <w:tc>
          <w:tcPr>
            <w:tcW w:w="365" w:type="pct"/>
          </w:tcPr>
          <w:p w14:paraId="563B5ED9" w14:textId="76D42D71" w:rsidR="005A18DC" w:rsidRPr="005A18DC" w:rsidRDefault="005A18DC" w:rsidP="005A18DC">
            <w:pPr>
              <w:rPr>
                <w:rFonts w:ascii="Arial" w:eastAsia="Times New Roman" w:hAnsi="Arial" w:cs="Arial"/>
                <w:color w:val="000000"/>
                <w:sz w:val="14"/>
                <w:szCs w:val="14"/>
                <w:lang w:eastAsia="en-GB"/>
              </w:rPr>
            </w:pPr>
            <w:hyperlink r:id="rId2301" w:history="1">
              <w:r w:rsidRPr="005A18DC">
                <w:rPr>
                  <w:rStyle w:val="Hyperlink"/>
                  <w:rFonts w:ascii="Arial" w:hAnsi="Arial" w:cs="Arial"/>
                  <w:b/>
                  <w:bCs/>
                  <w:sz w:val="14"/>
                  <w:szCs w:val="14"/>
                </w:rPr>
                <w:t>R1-2312490</w:t>
              </w:r>
            </w:hyperlink>
          </w:p>
        </w:tc>
        <w:tc>
          <w:tcPr>
            <w:tcW w:w="1471" w:type="pct"/>
          </w:tcPr>
          <w:p w14:paraId="3EB29E26" w14:textId="44E02D47"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Correction on Koffset during random access procedure</w:t>
            </w:r>
          </w:p>
        </w:tc>
        <w:tc>
          <w:tcPr>
            <w:tcW w:w="849" w:type="pct"/>
          </w:tcPr>
          <w:p w14:paraId="6569E02F" w14:textId="6735E5EA"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Qualcomm Incorporated</w:t>
            </w:r>
          </w:p>
        </w:tc>
        <w:tc>
          <w:tcPr>
            <w:tcW w:w="248" w:type="pct"/>
          </w:tcPr>
          <w:p w14:paraId="29CA56BF" w14:textId="19C23C25" w:rsidR="005A18DC" w:rsidRPr="005A18DC" w:rsidRDefault="005A18DC" w:rsidP="005A18DC">
            <w:pPr>
              <w:rPr>
                <w:rFonts w:ascii="Arial" w:eastAsia="Times New Roman" w:hAnsi="Arial" w:cs="Arial"/>
                <w:color w:val="000000"/>
                <w:sz w:val="14"/>
                <w:szCs w:val="14"/>
                <w:lang w:eastAsia="en-GB"/>
              </w:rPr>
            </w:pPr>
            <w:hyperlink r:id="rId2302" w:history="1">
              <w:r w:rsidRPr="005A18DC">
                <w:rPr>
                  <w:rStyle w:val="Hyperlink"/>
                  <w:rFonts w:ascii="Arial" w:hAnsi="Arial" w:cs="Arial"/>
                  <w:b/>
                  <w:bCs/>
                  <w:sz w:val="14"/>
                  <w:szCs w:val="14"/>
                </w:rPr>
                <w:t>Rel-17</w:t>
              </w:r>
            </w:hyperlink>
          </w:p>
        </w:tc>
        <w:tc>
          <w:tcPr>
            <w:tcW w:w="301" w:type="pct"/>
            <w:shd w:val="clear" w:color="auto" w:fill="auto"/>
          </w:tcPr>
          <w:p w14:paraId="526EB7E6" w14:textId="4B8A0DC4" w:rsidR="005A18DC" w:rsidRPr="005A18DC" w:rsidRDefault="005A18DC" w:rsidP="005A18DC">
            <w:pPr>
              <w:rPr>
                <w:rFonts w:ascii="Arial" w:eastAsia="Times New Roman" w:hAnsi="Arial" w:cs="Arial"/>
                <w:color w:val="000000"/>
                <w:sz w:val="14"/>
                <w:szCs w:val="14"/>
                <w:lang w:eastAsia="en-GB"/>
              </w:rPr>
            </w:pPr>
            <w:hyperlink r:id="rId2303" w:history="1">
              <w:r w:rsidRPr="005A18DC">
                <w:rPr>
                  <w:rStyle w:val="Hyperlink"/>
                  <w:rFonts w:ascii="Arial" w:hAnsi="Arial" w:cs="Arial"/>
                  <w:b/>
                  <w:bCs/>
                  <w:sz w:val="14"/>
                  <w:szCs w:val="14"/>
                </w:rPr>
                <w:t>36.213</w:t>
              </w:r>
            </w:hyperlink>
          </w:p>
        </w:tc>
        <w:tc>
          <w:tcPr>
            <w:tcW w:w="324" w:type="pct"/>
            <w:shd w:val="clear" w:color="auto" w:fill="auto"/>
          </w:tcPr>
          <w:p w14:paraId="7C91DC93" w14:textId="0A3EE622"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17.5.0</w:t>
            </w:r>
          </w:p>
        </w:tc>
        <w:tc>
          <w:tcPr>
            <w:tcW w:w="779" w:type="pct"/>
          </w:tcPr>
          <w:p w14:paraId="02C7F46F" w14:textId="2A0F563B" w:rsidR="005A18DC" w:rsidRPr="005A18DC" w:rsidRDefault="005A18DC" w:rsidP="005A18DC">
            <w:pPr>
              <w:rPr>
                <w:rFonts w:ascii="Arial" w:eastAsia="Times New Roman" w:hAnsi="Arial" w:cs="Arial"/>
                <w:color w:val="000000"/>
                <w:sz w:val="14"/>
                <w:szCs w:val="14"/>
                <w:lang w:val="fr-FR" w:eastAsia="en-GB"/>
              </w:rPr>
            </w:pPr>
            <w:hyperlink r:id="rId2304" w:history="1">
              <w:r w:rsidRPr="005A18DC">
                <w:rPr>
                  <w:rStyle w:val="Hyperlink"/>
                  <w:rFonts w:ascii="Arial" w:hAnsi="Arial" w:cs="Arial"/>
                  <w:b/>
                  <w:bCs/>
                  <w:sz w:val="14"/>
                  <w:szCs w:val="14"/>
                  <w:lang w:val="fr-FR"/>
                </w:rPr>
                <w:t>LTE_NBIOT_eMTC_NTN-Core</w:t>
              </w:r>
            </w:hyperlink>
          </w:p>
        </w:tc>
        <w:tc>
          <w:tcPr>
            <w:tcW w:w="233" w:type="pct"/>
          </w:tcPr>
          <w:p w14:paraId="4BF8F1B5" w14:textId="296BF1E6"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1440</w:t>
            </w:r>
          </w:p>
        </w:tc>
        <w:tc>
          <w:tcPr>
            <w:tcW w:w="226" w:type="pct"/>
          </w:tcPr>
          <w:p w14:paraId="285D8D1E" w14:textId="2D2BBD94"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 </w:t>
            </w:r>
          </w:p>
        </w:tc>
        <w:tc>
          <w:tcPr>
            <w:tcW w:w="203" w:type="pct"/>
          </w:tcPr>
          <w:p w14:paraId="27FB72A5" w14:textId="02149303"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F</w:t>
            </w:r>
          </w:p>
        </w:tc>
      </w:tr>
      <w:tr w:rsidR="005A18DC" w:rsidRPr="009537ED" w14:paraId="24B74BA7" w14:textId="77777777" w:rsidTr="00B97F04">
        <w:trPr>
          <w:trHeight w:val="20"/>
        </w:trPr>
        <w:tc>
          <w:tcPr>
            <w:tcW w:w="365" w:type="pct"/>
          </w:tcPr>
          <w:p w14:paraId="1DCFDAA5" w14:textId="6A588F10" w:rsidR="005A18DC" w:rsidRPr="005A18DC" w:rsidRDefault="005A18DC" w:rsidP="005A18DC">
            <w:pPr>
              <w:rPr>
                <w:rFonts w:ascii="Arial" w:eastAsia="Times New Roman" w:hAnsi="Arial" w:cs="Arial"/>
                <w:color w:val="000000"/>
                <w:sz w:val="14"/>
                <w:szCs w:val="14"/>
                <w:lang w:eastAsia="en-GB"/>
              </w:rPr>
            </w:pPr>
            <w:hyperlink r:id="rId2305" w:history="1">
              <w:r w:rsidRPr="005A18DC">
                <w:rPr>
                  <w:rStyle w:val="Hyperlink"/>
                  <w:rFonts w:ascii="Arial" w:hAnsi="Arial" w:cs="Arial"/>
                  <w:b/>
                  <w:bCs/>
                  <w:sz w:val="14"/>
                  <w:szCs w:val="14"/>
                </w:rPr>
                <w:t>R1-2312491</w:t>
              </w:r>
            </w:hyperlink>
          </w:p>
        </w:tc>
        <w:tc>
          <w:tcPr>
            <w:tcW w:w="1471" w:type="pct"/>
          </w:tcPr>
          <w:p w14:paraId="4A03B84B" w14:textId="627542C3"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Correction on Koffset during random access procedure</w:t>
            </w:r>
          </w:p>
        </w:tc>
        <w:tc>
          <w:tcPr>
            <w:tcW w:w="849" w:type="pct"/>
          </w:tcPr>
          <w:p w14:paraId="0BC1F29C" w14:textId="478F1D8A"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Qualcomm Incorporated</w:t>
            </w:r>
          </w:p>
        </w:tc>
        <w:tc>
          <w:tcPr>
            <w:tcW w:w="248" w:type="pct"/>
          </w:tcPr>
          <w:p w14:paraId="2A850A96" w14:textId="586D03C9" w:rsidR="005A18DC" w:rsidRPr="005A18DC" w:rsidRDefault="005A18DC" w:rsidP="005A18DC">
            <w:pPr>
              <w:rPr>
                <w:rFonts w:ascii="Arial" w:eastAsia="Times New Roman" w:hAnsi="Arial" w:cs="Arial"/>
                <w:color w:val="000000"/>
                <w:sz w:val="14"/>
                <w:szCs w:val="14"/>
                <w:lang w:eastAsia="en-GB"/>
              </w:rPr>
            </w:pPr>
            <w:hyperlink r:id="rId2306" w:history="1">
              <w:r w:rsidRPr="005A18DC">
                <w:rPr>
                  <w:rStyle w:val="Hyperlink"/>
                  <w:rFonts w:ascii="Arial" w:hAnsi="Arial" w:cs="Arial"/>
                  <w:b/>
                  <w:bCs/>
                  <w:sz w:val="14"/>
                  <w:szCs w:val="14"/>
                </w:rPr>
                <w:t>Rel-18</w:t>
              </w:r>
            </w:hyperlink>
          </w:p>
        </w:tc>
        <w:tc>
          <w:tcPr>
            <w:tcW w:w="301" w:type="pct"/>
            <w:shd w:val="clear" w:color="auto" w:fill="auto"/>
          </w:tcPr>
          <w:p w14:paraId="4CF3F402" w14:textId="693708E3" w:rsidR="005A18DC" w:rsidRPr="005A18DC" w:rsidRDefault="005A18DC" w:rsidP="005A18DC">
            <w:pPr>
              <w:rPr>
                <w:rFonts w:ascii="Arial" w:eastAsia="Times New Roman" w:hAnsi="Arial" w:cs="Arial"/>
                <w:color w:val="000000"/>
                <w:sz w:val="14"/>
                <w:szCs w:val="14"/>
                <w:lang w:eastAsia="en-GB"/>
              </w:rPr>
            </w:pPr>
            <w:hyperlink r:id="rId2307" w:history="1">
              <w:r w:rsidRPr="005A18DC">
                <w:rPr>
                  <w:rStyle w:val="Hyperlink"/>
                  <w:rFonts w:ascii="Arial" w:hAnsi="Arial" w:cs="Arial"/>
                  <w:b/>
                  <w:bCs/>
                  <w:sz w:val="14"/>
                  <w:szCs w:val="14"/>
                </w:rPr>
                <w:t>36.213</w:t>
              </w:r>
            </w:hyperlink>
          </w:p>
        </w:tc>
        <w:tc>
          <w:tcPr>
            <w:tcW w:w="324" w:type="pct"/>
            <w:shd w:val="clear" w:color="auto" w:fill="auto"/>
          </w:tcPr>
          <w:p w14:paraId="45E4D08F" w14:textId="7F5CE89E"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18.0.0</w:t>
            </w:r>
          </w:p>
        </w:tc>
        <w:tc>
          <w:tcPr>
            <w:tcW w:w="779" w:type="pct"/>
          </w:tcPr>
          <w:p w14:paraId="7621E400" w14:textId="2A54F4C7" w:rsidR="005A18DC" w:rsidRPr="005A18DC" w:rsidRDefault="005A18DC" w:rsidP="005A18DC">
            <w:pPr>
              <w:rPr>
                <w:rFonts w:ascii="Arial" w:eastAsia="Times New Roman" w:hAnsi="Arial" w:cs="Arial"/>
                <w:color w:val="000000"/>
                <w:sz w:val="14"/>
                <w:szCs w:val="14"/>
                <w:lang w:val="fr-FR" w:eastAsia="en-GB"/>
              </w:rPr>
            </w:pPr>
            <w:hyperlink r:id="rId2308" w:history="1">
              <w:r w:rsidRPr="005A18DC">
                <w:rPr>
                  <w:rStyle w:val="Hyperlink"/>
                  <w:rFonts w:ascii="Arial" w:hAnsi="Arial" w:cs="Arial"/>
                  <w:b/>
                  <w:bCs/>
                  <w:sz w:val="14"/>
                  <w:szCs w:val="14"/>
                  <w:lang w:val="fr-FR"/>
                </w:rPr>
                <w:t>LTE_NBIOT_eMTC_NTN-Core</w:t>
              </w:r>
            </w:hyperlink>
          </w:p>
        </w:tc>
        <w:tc>
          <w:tcPr>
            <w:tcW w:w="233" w:type="pct"/>
          </w:tcPr>
          <w:p w14:paraId="0D34BCFA" w14:textId="183F480B"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1441</w:t>
            </w:r>
          </w:p>
        </w:tc>
        <w:tc>
          <w:tcPr>
            <w:tcW w:w="226" w:type="pct"/>
          </w:tcPr>
          <w:p w14:paraId="3B4288BB" w14:textId="4EBB87FD"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 </w:t>
            </w:r>
          </w:p>
        </w:tc>
        <w:tc>
          <w:tcPr>
            <w:tcW w:w="203" w:type="pct"/>
          </w:tcPr>
          <w:p w14:paraId="02843379" w14:textId="0B5CE562"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A</w:t>
            </w:r>
          </w:p>
        </w:tc>
      </w:tr>
      <w:tr w:rsidR="005A18DC" w:rsidRPr="009537ED" w14:paraId="7A5BCE2E" w14:textId="77777777" w:rsidTr="00B97F04">
        <w:trPr>
          <w:trHeight w:val="20"/>
        </w:trPr>
        <w:tc>
          <w:tcPr>
            <w:tcW w:w="365" w:type="pct"/>
          </w:tcPr>
          <w:p w14:paraId="26DDFCF8" w14:textId="05D8865F" w:rsidR="005A18DC" w:rsidRPr="005A18DC" w:rsidRDefault="005A18DC" w:rsidP="005A18DC">
            <w:pPr>
              <w:rPr>
                <w:rFonts w:ascii="Arial" w:eastAsia="Times New Roman" w:hAnsi="Arial" w:cs="Arial"/>
                <w:color w:val="000000"/>
                <w:sz w:val="14"/>
                <w:szCs w:val="14"/>
                <w:lang w:eastAsia="en-GB"/>
              </w:rPr>
            </w:pPr>
            <w:hyperlink r:id="rId2309" w:history="1">
              <w:r w:rsidRPr="005A18DC">
                <w:rPr>
                  <w:rStyle w:val="Hyperlink"/>
                  <w:rFonts w:ascii="Arial" w:hAnsi="Arial" w:cs="Arial"/>
                  <w:b/>
                  <w:bCs/>
                  <w:sz w:val="14"/>
                  <w:szCs w:val="14"/>
                </w:rPr>
                <w:t>R1-2312512</w:t>
              </w:r>
            </w:hyperlink>
          </w:p>
        </w:tc>
        <w:tc>
          <w:tcPr>
            <w:tcW w:w="1471" w:type="pct"/>
          </w:tcPr>
          <w:p w14:paraId="2D3E8286" w14:textId="5EA78C9A"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Correction on fallback Type-1 HARQ-ACK codebook</w:t>
            </w:r>
          </w:p>
        </w:tc>
        <w:tc>
          <w:tcPr>
            <w:tcW w:w="849" w:type="pct"/>
          </w:tcPr>
          <w:p w14:paraId="52220CA5" w14:textId="5CC9E296"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CATT, Samsung, New H3C</w:t>
            </w:r>
          </w:p>
        </w:tc>
        <w:tc>
          <w:tcPr>
            <w:tcW w:w="248" w:type="pct"/>
          </w:tcPr>
          <w:p w14:paraId="7F4BF818" w14:textId="48066AE2" w:rsidR="005A18DC" w:rsidRPr="005A18DC" w:rsidRDefault="005A18DC" w:rsidP="005A18DC">
            <w:pPr>
              <w:rPr>
                <w:rFonts w:ascii="Arial" w:eastAsia="Times New Roman" w:hAnsi="Arial" w:cs="Arial"/>
                <w:color w:val="000000"/>
                <w:sz w:val="14"/>
                <w:szCs w:val="14"/>
                <w:lang w:eastAsia="en-GB"/>
              </w:rPr>
            </w:pPr>
            <w:hyperlink r:id="rId2310" w:history="1">
              <w:r w:rsidRPr="005A18DC">
                <w:rPr>
                  <w:rStyle w:val="Hyperlink"/>
                  <w:rFonts w:ascii="Arial" w:hAnsi="Arial" w:cs="Arial"/>
                  <w:b/>
                  <w:bCs/>
                  <w:sz w:val="14"/>
                  <w:szCs w:val="14"/>
                </w:rPr>
                <w:t>Rel-16</w:t>
              </w:r>
            </w:hyperlink>
          </w:p>
        </w:tc>
        <w:tc>
          <w:tcPr>
            <w:tcW w:w="301" w:type="pct"/>
            <w:shd w:val="clear" w:color="auto" w:fill="auto"/>
          </w:tcPr>
          <w:p w14:paraId="2079AEFA" w14:textId="393F4A80" w:rsidR="005A18DC" w:rsidRPr="005A18DC" w:rsidRDefault="005A18DC" w:rsidP="005A18DC">
            <w:pPr>
              <w:rPr>
                <w:rFonts w:ascii="Arial" w:eastAsia="Times New Roman" w:hAnsi="Arial" w:cs="Arial"/>
                <w:color w:val="000000"/>
                <w:sz w:val="14"/>
                <w:szCs w:val="14"/>
                <w:lang w:eastAsia="en-GB"/>
              </w:rPr>
            </w:pPr>
            <w:hyperlink r:id="rId2311" w:history="1">
              <w:r w:rsidRPr="005A18DC">
                <w:rPr>
                  <w:rStyle w:val="Hyperlink"/>
                  <w:rFonts w:ascii="Arial" w:hAnsi="Arial" w:cs="Arial"/>
                  <w:b/>
                  <w:bCs/>
                  <w:sz w:val="14"/>
                  <w:szCs w:val="14"/>
                </w:rPr>
                <w:t>38.213</w:t>
              </w:r>
            </w:hyperlink>
          </w:p>
        </w:tc>
        <w:tc>
          <w:tcPr>
            <w:tcW w:w="324" w:type="pct"/>
            <w:shd w:val="clear" w:color="auto" w:fill="auto"/>
          </w:tcPr>
          <w:p w14:paraId="773A62D7" w14:textId="4C19E7A4"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16.15.0</w:t>
            </w:r>
          </w:p>
        </w:tc>
        <w:tc>
          <w:tcPr>
            <w:tcW w:w="779" w:type="pct"/>
          </w:tcPr>
          <w:p w14:paraId="15EED0E3" w14:textId="18D861F0" w:rsidR="005A18DC" w:rsidRPr="005A18DC" w:rsidRDefault="005A18DC" w:rsidP="005A18DC">
            <w:pPr>
              <w:rPr>
                <w:rFonts w:ascii="Arial" w:eastAsia="Times New Roman" w:hAnsi="Arial" w:cs="Arial"/>
                <w:color w:val="000000"/>
                <w:sz w:val="14"/>
                <w:szCs w:val="14"/>
                <w:lang w:eastAsia="en-GB"/>
              </w:rPr>
            </w:pPr>
            <w:hyperlink r:id="rId2312" w:history="1">
              <w:r w:rsidRPr="005A18DC">
                <w:rPr>
                  <w:rStyle w:val="Hyperlink"/>
                  <w:rFonts w:ascii="Arial" w:hAnsi="Arial" w:cs="Arial"/>
                  <w:b/>
                  <w:bCs/>
                  <w:sz w:val="14"/>
                  <w:szCs w:val="14"/>
                </w:rPr>
                <w:t>NR_IIOT-Core</w:t>
              </w:r>
            </w:hyperlink>
          </w:p>
        </w:tc>
        <w:tc>
          <w:tcPr>
            <w:tcW w:w="233" w:type="pct"/>
          </w:tcPr>
          <w:p w14:paraId="05D054D5" w14:textId="4031E21E"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0549</w:t>
            </w:r>
          </w:p>
        </w:tc>
        <w:tc>
          <w:tcPr>
            <w:tcW w:w="226" w:type="pct"/>
          </w:tcPr>
          <w:p w14:paraId="245323FB" w14:textId="54BC8000"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 </w:t>
            </w:r>
          </w:p>
        </w:tc>
        <w:tc>
          <w:tcPr>
            <w:tcW w:w="203" w:type="pct"/>
          </w:tcPr>
          <w:p w14:paraId="24981B4B" w14:textId="5E875771"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F</w:t>
            </w:r>
          </w:p>
        </w:tc>
      </w:tr>
      <w:tr w:rsidR="005A18DC" w:rsidRPr="009537ED" w14:paraId="03A468A6" w14:textId="77777777" w:rsidTr="00B97F04">
        <w:trPr>
          <w:trHeight w:val="20"/>
        </w:trPr>
        <w:tc>
          <w:tcPr>
            <w:tcW w:w="365" w:type="pct"/>
          </w:tcPr>
          <w:p w14:paraId="2F01B4EC" w14:textId="093262EB" w:rsidR="005A18DC" w:rsidRPr="005A18DC" w:rsidRDefault="005A18DC" w:rsidP="005A18DC">
            <w:pPr>
              <w:rPr>
                <w:rFonts w:ascii="Arial" w:eastAsia="Times New Roman" w:hAnsi="Arial" w:cs="Arial"/>
                <w:color w:val="000000"/>
                <w:sz w:val="14"/>
                <w:szCs w:val="14"/>
                <w:lang w:eastAsia="en-GB"/>
              </w:rPr>
            </w:pPr>
            <w:hyperlink r:id="rId2313" w:history="1">
              <w:r w:rsidRPr="005A18DC">
                <w:rPr>
                  <w:rStyle w:val="Hyperlink"/>
                  <w:rFonts w:ascii="Arial" w:hAnsi="Arial" w:cs="Arial"/>
                  <w:b/>
                  <w:bCs/>
                  <w:sz w:val="14"/>
                  <w:szCs w:val="14"/>
                </w:rPr>
                <w:t>R1-2312523</w:t>
              </w:r>
            </w:hyperlink>
          </w:p>
        </w:tc>
        <w:tc>
          <w:tcPr>
            <w:tcW w:w="1471" w:type="pct"/>
          </w:tcPr>
          <w:p w14:paraId="6F867F19" w14:textId="6D09952E"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Correction on NR Sidelink</w:t>
            </w:r>
          </w:p>
        </w:tc>
        <w:tc>
          <w:tcPr>
            <w:tcW w:w="849" w:type="pct"/>
          </w:tcPr>
          <w:p w14:paraId="15C6D939" w14:textId="23ACEE50"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Philips International B.V., Huawei, HiSilicon</w:t>
            </w:r>
          </w:p>
        </w:tc>
        <w:tc>
          <w:tcPr>
            <w:tcW w:w="248" w:type="pct"/>
          </w:tcPr>
          <w:p w14:paraId="08880BFE" w14:textId="3C3F3C6B" w:rsidR="005A18DC" w:rsidRPr="005A18DC" w:rsidRDefault="005A18DC" w:rsidP="005A18DC">
            <w:pPr>
              <w:rPr>
                <w:rFonts w:ascii="Arial" w:eastAsia="Times New Roman" w:hAnsi="Arial" w:cs="Arial"/>
                <w:color w:val="000000"/>
                <w:sz w:val="14"/>
                <w:szCs w:val="14"/>
                <w:lang w:eastAsia="en-GB"/>
              </w:rPr>
            </w:pPr>
            <w:hyperlink r:id="rId2314" w:history="1">
              <w:r w:rsidRPr="005A18DC">
                <w:rPr>
                  <w:rStyle w:val="Hyperlink"/>
                  <w:rFonts w:ascii="Arial" w:hAnsi="Arial" w:cs="Arial"/>
                  <w:b/>
                  <w:bCs/>
                  <w:sz w:val="14"/>
                  <w:szCs w:val="14"/>
                </w:rPr>
                <w:t>Rel-16</w:t>
              </w:r>
            </w:hyperlink>
          </w:p>
        </w:tc>
        <w:tc>
          <w:tcPr>
            <w:tcW w:w="301" w:type="pct"/>
            <w:shd w:val="clear" w:color="auto" w:fill="auto"/>
          </w:tcPr>
          <w:p w14:paraId="6640D029" w14:textId="60FDA80A" w:rsidR="005A18DC" w:rsidRPr="005A18DC" w:rsidRDefault="005A18DC" w:rsidP="005A18DC">
            <w:pPr>
              <w:rPr>
                <w:rFonts w:ascii="Arial" w:eastAsia="Times New Roman" w:hAnsi="Arial" w:cs="Arial"/>
                <w:color w:val="000000"/>
                <w:sz w:val="14"/>
                <w:szCs w:val="14"/>
                <w:lang w:eastAsia="en-GB"/>
              </w:rPr>
            </w:pPr>
            <w:hyperlink r:id="rId2315" w:history="1">
              <w:r w:rsidRPr="005A18DC">
                <w:rPr>
                  <w:rStyle w:val="Hyperlink"/>
                  <w:rFonts w:ascii="Arial" w:hAnsi="Arial" w:cs="Arial"/>
                  <w:b/>
                  <w:bCs/>
                  <w:sz w:val="14"/>
                  <w:szCs w:val="14"/>
                </w:rPr>
                <w:t>38.202</w:t>
              </w:r>
            </w:hyperlink>
          </w:p>
        </w:tc>
        <w:tc>
          <w:tcPr>
            <w:tcW w:w="324" w:type="pct"/>
            <w:shd w:val="clear" w:color="auto" w:fill="auto"/>
          </w:tcPr>
          <w:p w14:paraId="5F7E9A45" w14:textId="7E24794C"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16.3.0</w:t>
            </w:r>
          </w:p>
        </w:tc>
        <w:tc>
          <w:tcPr>
            <w:tcW w:w="779" w:type="pct"/>
          </w:tcPr>
          <w:p w14:paraId="16F1400E" w14:textId="584E4781" w:rsidR="005A18DC" w:rsidRPr="005A18DC" w:rsidRDefault="005A18DC" w:rsidP="005A18DC">
            <w:pPr>
              <w:rPr>
                <w:rFonts w:ascii="Arial" w:eastAsia="Times New Roman" w:hAnsi="Arial" w:cs="Arial"/>
                <w:color w:val="000000"/>
                <w:sz w:val="14"/>
                <w:szCs w:val="14"/>
                <w:lang w:eastAsia="en-GB"/>
              </w:rPr>
            </w:pPr>
            <w:hyperlink r:id="rId2316" w:history="1">
              <w:r w:rsidRPr="005A18DC">
                <w:rPr>
                  <w:rStyle w:val="Hyperlink"/>
                  <w:rFonts w:ascii="Arial" w:hAnsi="Arial" w:cs="Arial"/>
                  <w:b/>
                  <w:bCs/>
                  <w:sz w:val="14"/>
                  <w:szCs w:val="14"/>
                </w:rPr>
                <w:t>5G_V2X_NRSL-Core</w:t>
              </w:r>
            </w:hyperlink>
          </w:p>
        </w:tc>
        <w:tc>
          <w:tcPr>
            <w:tcW w:w="233" w:type="pct"/>
          </w:tcPr>
          <w:p w14:paraId="40331DA5" w14:textId="4E19F31C"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0029</w:t>
            </w:r>
          </w:p>
        </w:tc>
        <w:tc>
          <w:tcPr>
            <w:tcW w:w="226" w:type="pct"/>
          </w:tcPr>
          <w:p w14:paraId="04052481" w14:textId="54904B71"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1</w:t>
            </w:r>
          </w:p>
        </w:tc>
        <w:tc>
          <w:tcPr>
            <w:tcW w:w="203" w:type="pct"/>
          </w:tcPr>
          <w:p w14:paraId="54560902" w14:textId="3EAB18D3"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F</w:t>
            </w:r>
          </w:p>
        </w:tc>
      </w:tr>
      <w:tr w:rsidR="005A18DC" w:rsidRPr="009537ED" w14:paraId="5E91EEEF" w14:textId="77777777" w:rsidTr="00B97F04">
        <w:trPr>
          <w:trHeight w:val="20"/>
        </w:trPr>
        <w:tc>
          <w:tcPr>
            <w:tcW w:w="365" w:type="pct"/>
          </w:tcPr>
          <w:p w14:paraId="554F5064" w14:textId="44E42A46" w:rsidR="005A18DC" w:rsidRPr="005A18DC" w:rsidRDefault="005A18DC" w:rsidP="005A18DC">
            <w:pPr>
              <w:rPr>
                <w:rFonts w:ascii="Arial" w:eastAsia="Times New Roman" w:hAnsi="Arial" w:cs="Arial"/>
                <w:color w:val="000000"/>
                <w:sz w:val="14"/>
                <w:szCs w:val="14"/>
                <w:lang w:eastAsia="en-GB"/>
              </w:rPr>
            </w:pPr>
            <w:hyperlink r:id="rId2317" w:history="1">
              <w:r w:rsidRPr="005A18DC">
                <w:rPr>
                  <w:rStyle w:val="Hyperlink"/>
                  <w:rFonts w:ascii="Arial" w:hAnsi="Arial" w:cs="Arial"/>
                  <w:b/>
                  <w:bCs/>
                  <w:sz w:val="14"/>
                  <w:szCs w:val="14"/>
                </w:rPr>
                <w:t>R1-2312524</w:t>
              </w:r>
            </w:hyperlink>
          </w:p>
        </w:tc>
        <w:tc>
          <w:tcPr>
            <w:tcW w:w="1471" w:type="pct"/>
          </w:tcPr>
          <w:p w14:paraId="5ECBECFC" w14:textId="00368E2F"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Correction on NR Sidelink</w:t>
            </w:r>
          </w:p>
        </w:tc>
        <w:tc>
          <w:tcPr>
            <w:tcW w:w="849" w:type="pct"/>
          </w:tcPr>
          <w:p w14:paraId="504F6586" w14:textId="47F950E1"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Philips International B.V., Huawei, HiSilicon</w:t>
            </w:r>
          </w:p>
        </w:tc>
        <w:tc>
          <w:tcPr>
            <w:tcW w:w="248" w:type="pct"/>
          </w:tcPr>
          <w:p w14:paraId="10F6A7B0" w14:textId="42A09D3C" w:rsidR="005A18DC" w:rsidRPr="005A18DC" w:rsidRDefault="005A18DC" w:rsidP="005A18DC">
            <w:pPr>
              <w:rPr>
                <w:rFonts w:ascii="Arial" w:eastAsia="Times New Roman" w:hAnsi="Arial" w:cs="Arial"/>
                <w:color w:val="000000"/>
                <w:sz w:val="14"/>
                <w:szCs w:val="14"/>
                <w:lang w:eastAsia="en-GB"/>
              </w:rPr>
            </w:pPr>
            <w:hyperlink r:id="rId2318" w:history="1">
              <w:r w:rsidRPr="005A18DC">
                <w:rPr>
                  <w:rStyle w:val="Hyperlink"/>
                  <w:rFonts w:ascii="Arial" w:hAnsi="Arial" w:cs="Arial"/>
                  <w:b/>
                  <w:bCs/>
                  <w:sz w:val="14"/>
                  <w:szCs w:val="14"/>
                </w:rPr>
                <w:t>Rel-17</w:t>
              </w:r>
            </w:hyperlink>
          </w:p>
        </w:tc>
        <w:tc>
          <w:tcPr>
            <w:tcW w:w="301" w:type="pct"/>
            <w:shd w:val="clear" w:color="auto" w:fill="auto"/>
          </w:tcPr>
          <w:p w14:paraId="618BD4E4" w14:textId="26BCD254" w:rsidR="005A18DC" w:rsidRPr="005A18DC" w:rsidRDefault="005A18DC" w:rsidP="005A18DC">
            <w:pPr>
              <w:rPr>
                <w:rFonts w:ascii="Arial" w:eastAsia="Times New Roman" w:hAnsi="Arial" w:cs="Arial"/>
                <w:color w:val="000000"/>
                <w:sz w:val="14"/>
                <w:szCs w:val="14"/>
                <w:lang w:eastAsia="en-GB"/>
              </w:rPr>
            </w:pPr>
            <w:hyperlink r:id="rId2319" w:history="1">
              <w:r w:rsidRPr="005A18DC">
                <w:rPr>
                  <w:rStyle w:val="Hyperlink"/>
                  <w:rFonts w:ascii="Arial" w:hAnsi="Arial" w:cs="Arial"/>
                  <w:b/>
                  <w:bCs/>
                  <w:sz w:val="14"/>
                  <w:szCs w:val="14"/>
                </w:rPr>
                <w:t>38.202</w:t>
              </w:r>
            </w:hyperlink>
          </w:p>
        </w:tc>
        <w:tc>
          <w:tcPr>
            <w:tcW w:w="324" w:type="pct"/>
            <w:shd w:val="clear" w:color="auto" w:fill="auto"/>
          </w:tcPr>
          <w:p w14:paraId="4C731362" w14:textId="34DD9797"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17.4.0</w:t>
            </w:r>
          </w:p>
        </w:tc>
        <w:tc>
          <w:tcPr>
            <w:tcW w:w="779" w:type="pct"/>
          </w:tcPr>
          <w:p w14:paraId="75BB674C" w14:textId="340D42BD" w:rsidR="005A18DC" w:rsidRPr="005A18DC" w:rsidRDefault="005A18DC" w:rsidP="005A18DC">
            <w:pPr>
              <w:rPr>
                <w:rFonts w:ascii="Arial" w:eastAsia="Times New Roman" w:hAnsi="Arial" w:cs="Arial"/>
                <w:color w:val="000000"/>
                <w:sz w:val="14"/>
                <w:szCs w:val="14"/>
                <w:lang w:eastAsia="en-GB"/>
              </w:rPr>
            </w:pPr>
            <w:hyperlink r:id="rId2320" w:history="1">
              <w:r w:rsidRPr="005A18DC">
                <w:rPr>
                  <w:rStyle w:val="Hyperlink"/>
                  <w:rFonts w:ascii="Arial" w:hAnsi="Arial" w:cs="Arial"/>
                  <w:b/>
                  <w:bCs/>
                  <w:sz w:val="14"/>
                  <w:szCs w:val="14"/>
                </w:rPr>
                <w:t>5G_V2X_NRSL-Core</w:t>
              </w:r>
            </w:hyperlink>
          </w:p>
        </w:tc>
        <w:tc>
          <w:tcPr>
            <w:tcW w:w="233" w:type="pct"/>
          </w:tcPr>
          <w:p w14:paraId="3176C080" w14:textId="7BC6200D"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0030</w:t>
            </w:r>
          </w:p>
        </w:tc>
        <w:tc>
          <w:tcPr>
            <w:tcW w:w="226" w:type="pct"/>
          </w:tcPr>
          <w:p w14:paraId="33C3CBF0" w14:textId="7AC8994A"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1</w:t>
            </w:r>
          </w:p>
        </w:tc>
        <w:tc>
          <w:tcPr>
            <w:tcW w:w="203" w:type="pct"/>
          </w:tcPr>
          <w:p w14:paraId="79737D11" w14:textId="7CADB4C6"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A</w:t>
            </w:r>
          </w:p>
        </w:tc>
      </w:tr>
      <w:tr w:rsidR="005A18DC" w:rsidRPr="009537ED" w14:paraId="18A9F518" w14:textId="77777777" w:rsidTr="00B97F04">
        <w:trPr>
          <w:trHeight w:val="20"/>
        </w:trPr>
        <w:tc>
          <w:tcPr>
            <w:tcW w:w="365" w:type="pct"/>
          </w:tcPr>
          <w:p w14:paraId="1F88271C" w14:textId="2EFD0ABD" w:rsidR="005A18DC" w:rsidRPr="005A18DC" w:rsidRDefault="005A18DC" w:rsidP="005A18DC">
            <w:pPr>
              <w:rPr>
                <w:rFonts w:ascii="Arial" w:eastAsia="Times New Roman" w:hAnsi="Arial" w:cs="Arial"/>
                <w:color w:val="000000"/>
                <w:sz w:val="14"/>
                <w:szCs w:val="14"/>
                <w:lang w:eastAsia="en-GB"/>
              </w:rPr>
            </w:pPr>
            <w:hyperlink r:id="rId2321" w:history="1">
              <w:r w:rsidRPr="005A18DC">
                <w:rPr>
                  <w:rStyle w:val="Hyperlink"/>
                  <w:rFonts w:ascii="Arial" w:hAnsi="Arial" w:cs="Arial"/>
                  <w:b/>
                  <w:bCs/>
                  <w:sz w:val="14"/>
                  <w:szCs w:val="14"/>
                </w:rPr>
                <w:t>R1-2312525</w:t>
              </w:r>
            </w:hyperlink>
          </w:p>
        </w:tc>
        <w:tc>
          <w:tcPr>
            <w:tcW w:w="1471" w:type="pct"/>
          </w:tcPr>
          <w:p w14:paraId="4551204F" w14:textId="3C91C369"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Correction on NR Sidelink</w:t>
            </w:r>
          </w:p>
        </w:tc>
        <w:tc>
          <w:tcPr>
            <w:tcW w:w="849" w:type="pct"/>
          </w:tcPr>
          <w:p w14:paraId="545146F2" w14:textId="3F026950"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Philips International B.V., Huawei, HiSilicon</w:t>
            </w:r>
          </w:p>
        </w:tc>
        <w:tc>
          <w:tcPr>
            <w:tcW w:w="248" w:type="pct"/>
          </w:tcPr>
          <w:p w14:paraId="4D1BA05C" w14:textId="5A8EF78E" w:rsidR="005A18DC" w:rsidRPr="005A18DC" w:rsidRDefault="005A18DC" w:rsidP="005A18DC">
            <w:pPr>
              <w:rPr>
                <w:rFonts w:ascii="Arial" w:eastAsia="Times New Roman" w:hAnsi="Arial" w:cs="Arial"/>
                <w:color w:val="000000"/>
                <w:sz w:val="14"/>
                <w:szCs w:val="14"/>
                <w:lang w:eastAsia="en-GB"/>
              </w:rPr>
            </w:pPr>
            <w:hyperlink r:id="rId2322" w:history="1">
              <w:r w:rsidRPr="005A18DC">
                <w:rPr>
                  <w:rStyle w:val="Hyperlink"/>
                  <w:rFonts w:ascii="Arial" w:hAnsi="Arial" w:cs="Arial"/>
                  <w:b/>
                  <w:bCs/>
                  <w:sz w:val="14"/>
                  <w:szCs w:val="14"/>
                </w:rPr>
                <w:t>Rel-18</w:t>
              </w:r>
            </w:hyperlink>
          </w:p>
        </w:tc>
        <w:tc>
          <w:tcPr>
            <w:tcW w:w="301" w:type="pct"/>
            <w:shd w:val="clear" w:color="auto" w:fill="auto"/>
          </w:tcPr>
          <w:p w14:paraId="37E3B939" w14:textId="39BBE617" w:rsidR="005A18DC" w:rsidRPr="005A18DC" w:rsidRDefault="005A18DC" w:rsidP="005A18DC">
            <w:pPr>
              <w:rPr>
                <w:rFonts w:ascii="Arial" w:eastAsia="Times New Roman" w:hAnsi="Arial" w:cs="Arial"/>
                <w:color w:val="000000"/>
                <w:sz w:val="14"/>
                <w:szCs w:val="14"/>
                <w:lang w:eastAsia="en-GB"/>
              </w:rPr>
            </w:pPr>
            <w:hyperlink r:id="rId2323" w:history="1">
              <w:r w:rsidRPr="005A18DC">
                <w:rPr>
                  <w:rStyle w:val="Hyperlink"/>
                  <w:rFonts w:ascii="Arial" w:hAnsi="Arial" w:cs="Arial"/>
                  <w:b/>
                  <w:bCs/>
                  <w:sz w:val="14"/>
                  <w:szCs w:val="14"/>
                </w:rPr>
                <w:t>38.202</w:t>
              </w:r>
            </w:hyperlink>
          </w:p>
        </w:tc>
        <w:tc>
          <w:tcPr>
            <w:tcW w:w="324" w:type="pct"/>
            <w:shd w:val="clear" w:color="auto" w:fill="auto"/>
          </w:tcPr>
          <w:p w14:paraId="36458458" w14:textId="7876E295"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18.0.0</w:t>
            </w:r>
          </w:p>
        </w:tc>
        <w:tc>
          <w:tcPr>
            <w:tcW w:w="779" w:type="pct"/>
          </w:tcPr>
          <w:p w14:paraId="23F2E622" w14:textId="03DF735B" w:rsidR="005A18DC" w:rsidRPr="005A18DC" w:rsidRDefault="005A18DC" w:rsidP="005A18DC">
            <w:pPr>
              <w:rPr>
                <w:rFonts w:ascii="Arial" w:eastAsia="Times New Roman" w:hAnsi="Arial" w:cs="Arial"/>
                <w:color w:val="000000"/>
                <w:sz w:val="14"/>
                <w:szCs w:val="14"/>
                <w:lang w:eastAsia="en-GB"/>
              </w:rPr>
            </w:pPr>
            <w:hyperlink r:id="rId2324" w:history="1">
              <w:r w:rsidRPr="005A18DC">
                <w:rPr>
                  <w:rStyle w:val="Hyperlink"/>
                  <w:rFonts w:ascii="Arial" w:hAnsi="Arial" w:cs="Arial"/>
                  <w:b/>
                  <w:bCs/>
                  <w:sz w:val="14"/>
                  <w:szCs w:val="14"/>
                </w:rPr>
                <w:t>5G_V2X_NRSL-Core</w:t>
              </w:r>
            </w:hyperlink>
          </w:p>
        </w:tc>
        <w:tc>
          <w:tcPr>
            <w:tcW w:w="233" w:type="pct"/>
          </w:tcPr>
          <w:p w14:paraId="387368BD" w14:textId="2E591C0A"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0031</w:t>
            </w:r>
          </w:p>
        </w:tc>
        <w:tc>
          <w:tcPr>
            <w:tcW w:w="226" w:type="pct"/>
          </w:tcPr>
          <w:p w14:paraId="3E85F1F4" w14:textId="2B956508"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1</w:t>
            </w:r>
          </w:p>
        </w:tc>
        <w:tc>
          <w:tcPr>
            <w:tcW w:w="203" w:type="pct"/>
          </w:tcPr>
          <w:p w14:paraId="339FE892" w14:textId="1D519CA1"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A</w:t>
            </w:r>
          </w:p>
        </w:tc>
      </w:tr>
      <w:tr w:rsidR="005A18DC" w:rsidRPr="009537ED" w14:paraId="75476E7D" w14:textId="77777777" w:rsidTr="00B97F04">
        <w:trPr>
          <w:trHeight w:val="20"/>
        </w:trPr>
        <w:tc>
          <w:tcPr>
            <w:tcW w:w="365" w:type="pct"/>
          </w:tcPr>
          <w:p w14:paraId="4B2C5B35" w14:textId="5EF29338" w:rsidR="005A18DC" w:rsidRPr="005A18DC" w:rsidRDefault="005A18DC" w:rsidP="005A18DC">
            <w:pPr>
              <w:rPr>
                <w:rFonts w:ascii="Arial" w:eastAsia="Times New Roman" w:hAnsi="Arial" w:cs="Arial"/>
                <w:color w:val="000000"/>
                <w:sz w:val="14"/>
                <w:szCs w:val="14"/>
                <w:lang w:eastAsia="en-GB"/>
              </w:rPr>
            </w:pPr>
            <w:hyperlink r:id="rId2325" w:history="1">
              <w:r w:rsidRPr="005A18DC">
                <w:rPr>
                  <w:rStyle w:val="Hyperlink"/>
                  <w:rFonts w:ascii="Arial" w:hAnsi="Arial" w:cs="Arial"/>
                  <w:b/>
                  <w:bCs/>
                  <w:sz w:val="14"/>
                  <w:szCs w:val="14"/>
                </w:rPr>
                <w:t>R1-2312528</w:t>
              </w:r>
            </w:hyperlink>
          </w:p>
        </w:tc>
        <w:tc>
          <w:tcPr>
            <w:tcW w:w="1471" w:type="pct"/>
          </w:tcPr>
          <w:p w14:paraId="7FB3D0A6" w14:textId="1B06B72B"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CR on slot offset calculation for PUSCH carrying aperiodic CSI with no transport block</w:t>
            </w:r>
          </w:p>
        </w:tc>
        <w:tc>
          <w:tcPr>
            <w:tcW w:w="849" w:type="pct"/>
          </w:tcPr>
          <w:p w14:paraId="30586CB0" w14:textId="6BADAEB5"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Moderator (Apple), Nokia, Nokia Shanghai Bell, Ericsson, Samsung</w:t>
            </w:r>
          </w:p>
        </w:tc>
        <w:tc>
          <w:tcPr>
            <w:tcW w:w="248" w:type="pct"/>
          </w:tcPr>
          <w:p w14:paraId="4B4E637E" w14:textId="0114378A" w:rsidR="005A18DC" w:rsidRPr="005A18DC" w:rsidRDefault="005A18DC" w:rsidP="005A18DC">
            <w:pPr>
              <w:rPr>
                <w:rFonts w:ascii="Arial" w:eastAsia="Times New Roman" w:hAnsi="Arial" w:cs="Arial"/>
                <w:color w:val="000000"/>
                <w:sz w:val="14"/>
                <w:szCs w:val="14"/>
                <w:lang w:eastAsia="en-GB"/>
              </w:rPr>
            </w:pPr>
            <w:hyperlink r:id="rId2326" w:history="1">
              <w:r w:rsidRPr="005A18DC">
                <w:rPr>
                  <w:rStyle w:val="Hyperlink"/>
                  <w:rFonts w:ascii="Arial" w:hAnsi="Arial" w:cs="Arial"/>
                  <w:b/>
                  <w:bCs/>
                  <w:sz w:val="14"/>
                  <w:szCs w:val="14"/>
                </w:rPr>
                <w:t>Rel-16</w:t>
              </w:r>
            </w:hyperlink>
          </w:p>
        </w:tc>
        <w:tc>
          <w:tcPr>
            <w:tcW w:w="301" w:type="pct"/>
            <w:shd w:val="clear" w:color="auto" w:fill="auto"/>
          </w:tcPr>
          <w:p w14:paraId="194BC486" w14:textId="7FA35E41" w:rsidR="005A18DC" w:rsidRPr="005A18DC" w:rsidRDefault="005A18DC" w:rsidP="005A18DC">
            <w:pPr>
              <w:rPr>
                <w:rFonts w:ascii="Arial" w:eastAsia="Times New Roman" w:hAnsi="Arial" w:cs="Arial"/>
                <w:color w:val="000000"/>
                <w:sz w:val="14"/>
                <w:szCs w:val="14"/>
                <w:lang w:eastAsia="en-GB"/>
              </w:rPr>
            </w:pPr>
            <w:hyperlink r:id="rId2327" w:history="1">
              <w:r w:rsidRPr="005A18DC">
                <w:rPr>
                  <w:rStyle w:val="Hyperlink"/>
                  <w:rFonts w:ascii="Arial" w:hAnsi="Arial" w:cs="Arial"/>
                  <w:b/>
                  <w:bCs/>
                  <w:sz w:val="14"/>
                  <w:szCs w:val="14"/>
                </w:rPr>
                <w:t>38.214</w:t>
              </w:r>
            </w:hyperlink>
          </w:p>
        </w:tc>
        <w:tc>
          <w:tcPr>
            <w:tcW w:w="324" w:type="pct"/>
            <w:shd w:val="clear" w:color="auto" w:fill="auto"/>
          </w:tcPr>
          <w:p w14:paraId="0ABF03CD" w14:textId="3963DB80"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16.14.0</w:t>
            </w:r>
          </w:p>
        </w:tc>
        <w:tc>
          <w:tcPr>
            <w:tcW w:w="779" w:type="pct"/>
          </w:tcPr>
          <w:p w14:paraId="5D018F03" w14:textId="46E8947E"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color w:val="000000"/>
                <w:sz w:val="14"/>
                <w:szCs w:val="14"/>
              </w:rPr>
              <w:t>NR_newRAT-Core, TEI16</w:t>
            </w:r>
          </w:p>
        </w:tc>
        <w:tc>
          <w:tcPr>
            <w:tcW w:w="233" w:type="pct"/>
          </w:tcPr>
          <w:p w14:paraId="1FD84121" w14:textId="63957B31"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0462</w:t>
            </w:r>
          </w:p>
        </w:tc>
        <w:tc>
          <w:tcPr>
            <w:tcW w:w="226" w:type="pct"/>
          </w:tcPr>
          <w:p w14:paraId="46475D10" w14:textId="78A3E356"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 </w:t>
            </w:r>
          </w:p>
        </w:tc>
        <w:tc>
          <w:tcPr>
            <w:tcW w:w="203" w:type="pct"/>
          </w:tcPr>
          <w:p w14:paraId="3ACA12FE" w14:textId="42554098"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F</w:t>
            </w:r>
          </w:p>
        </w:tc>
      </w:tr>
      <w:tr w:rsidR="005A18DC" w:rsidRPr="009537ED" w14:paraId="08E80398" w14:textId="77777777" w:rsidTr="00B97F04">
        <w:trPr>
          <w:trHeight w:val="20"/>
        </w:trPr>
        <w:tc>
          <w:tcPr>
            <w:tcW w:w="365" w:type="pct"/>
          </w:tcPr>
          <w:p w14:paraId="5066B7E8" w14:textId="5B9BE5DA" w:rsidR="005A18DC" w:rsidRPr="005A18DC" w:rsidRDefault="005A18DC" w:rsidP="005A18DC">
            <w:pPr>
              <w:rPr>
                <w:rFonts w:ascii="Arial" w:eastAsia="Times New Roman" w:hAnsi="Arial" w:cs="Arial"/>
                <w:color w:val="000000"/>
                <w:sz w:val="14"/>
                <w:szCs w:val="14"/>
                <w:lang w:eastAsia="en-GB"/>
              </w:rPr>
            </w:pPr>
            <w:hyperlink r:id="rId2328" w:history="1">
              <w:r w:rsidRPr="005A18DC">
                <w:rPr>
                  <w:rStyle w:val="Hyperlink"/>
                  <w:rFonts w:ascii="Arial" w:hAnsi="Arial" w:cs="Arial"/>
                  <w:b/>
                  <w:bCs/>
                  <w:sz w:val="14"/>
                  <w:szCs w:val="14"/>
                </w:rPr>
                <w:t>R1-2312529</w:t>
              </w:r>
            </w:hyperlink>
          </w:p>
        </w:tc>
        <w:tc>
          <w:tcPr>
            <w:tcW w:w="1471" w:type="pct"/>
          </w:tcPr>
          <w:p w14:paraId="0FAA1AEC" w14:textId="06CDC5D9"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CR on slot offset calculation for PUSCH carrying aperiodic CSI with no transport block</w:t>
            </w:r>
          </w:p>
        </w:tc>
        <w:tc>
          <w:tcPr>
            <w:tcW w:w="849" w:type="pct"/>
          </w:tcPr>
          <w:p w14:paraId="0BD788D5" w14:textId="1F2BCDA8"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Moderator (Apple), Nokia, Nokia Shanghai Bell, Ericsson, Samsung</w:t>
            </w:r>
          </w:p>
        </w:tc>
        <w:tc>
          <w:tcPr>
            <w:tcW w:w="248" w:type="pct"/>
          </w:tcPr>
          <w:p w14:paraId="66A91696" w14:textId="6E7D65DE" w:rsidR="005A18DC" w:rsidRPr="005A18DC" w:rsidRDefault="005A18DC" w:rsidP="005A18DC">
            <w:pPr>
              <w:rPr>
                <w:rFonts w:ascii="Arial" w:eastAsia="Times New Roman" w:hAnsi="Arial" w:cs="Arial"/>
                <w:color w:val="000000"/>
                <w:sz w:val="14"/>
                <w:szCs w:val="14"/>
                <w:lang w:eastAsia="en-GB"/>
              </w:rPr>
            </w:pPr>
            <w:hyperlink r:id="rId2329" w:history="1">
              <w:r w:rsidRPr="005A18DC">
                <w:rPr>
                  <w:rStyle w:val="Hyperlink"/>
                  <w:rFonts w:ascii="Arial" w:hAnsi="Arial" w:cs="Arial"/>
                  <w:b/>
                  <w:bCs/>
                  <w:sz w:val="14"/>
                  <w:szCs w:val="14"/>
                </w:rPr>
                <w:t>Rel-17</w:t>
              </w:r>
            </w:hyperlink>
          </w:p>
        </w:tc>
        <w:tc>
          <w:tcPr>
            <w:tcW w:w="301" w:type="pct"/>
            <w:shd w:val="clear" w:color="auto" w:fill="auto"/>
          </w:tcPr>
          <w:p w14:paraId="7FD47612" w14:textId="5BB9EC8F" w:rsidR="005A18DC" w:rsidRPr="005A18DC" w:rsidRDefault="005A18DC" w:rsidP="005A18DC">
            <w:pPr>
              <w:rPr>
                <w:rFonts w:ascii="Arial" w:eastAsia="Times New Roman" w:hAnsi="Arial" w:cs="Arial"/>
                <w:color w:val="000000"/>
                <w:sz w:val="14"/>
                <w:szCs w:val="14"/>
                <w:lang w:eastAsia="en-GB"/>
              </w:rPr>
            </w:pPr>
            <w:hyperlink r:id="rId2330" w:history="1">
              <w:r w:rsidRPr="005A18DC">
                <w:rPr>
                  <w:rStyle w:val="Hyperlink"/>
                  <w:rFonts w:ascii="Arial" w:hAnsi="Arial" w:cs="Arial"/>
                  <w:b/>
                  <w:bCs/>
                  <w:sz w:val="14"/>
                  <w:szCs w:val="14"/>
                </w:rPr>
                <w:t>38.214</w:t>
              </w:r>
            </w:hyperlink>
          </w:p>
        </w:tc>
        <w:tc>
          <w:tcPr>
            <w:tcW w:w="324" w:type="pct"/>
            <w:shd w:val="clear" w:color="auto" w:fill="auto"/>
          </w:tcPr>
          <w:p w14:paraId="14C27ADE" w14:textId="06B50DFB"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17.7.0</w:t>
            </w:r>
          </w:p>
        </w:tc>
        <w:tc>
          <w:tcPr>
            <w:tcW w:w="779" w:type="pct"/>
          </w:tcPr>
          <w:p w14:paraId="03F0408A" w14:textId="6AE61C77"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color w:val="000000"/>
                <w:sz w:val="14"/>
                <w:szCs w:val="14"/>
              </w:rPr>
              <w:t>NR_newRAT-Core, TEI16</w:t>
            </w:r>
          </w:p>
        </w:tc>
        <w:tc>
          <w:tcPr>
            <w:tcW w:w="233" w:type="pct"/>
          </w:tcPr>
          <w:p w14:paraId="32E88FDA" w14:textId="18DEE99C"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0463</w:t>
            </w:r>
          </w:p>
        </w:tc>
        <w:tc>
          <w:tcPr>
            <w:tcW w:w="226" w:type="pct"/>
          </w:tcPr>
          <w:p w14:paraId="1EE36DFF" w14:textId="3AB4BA32"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 </w:t>
            </w:r>
          </w:p>
        </w:tc>
        <w:tc>
          <w:tcPr>
            <w:tcW w:w="203" w:type="pct"/>
          </w:tcPr>
          <w:p w14:paraId="15FF9446" w14:textId="4257F6AB"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A</w:t>
            </w:r>
          </w:p>
        </w:tc>
      </w:tr>
      <w:tr w:rsidR="005A18DC" w:rsidRPr="009537ED" w14:paraId="4EE7F338" w14:textId="77777777" w:rsidTr="00B97F04">
        <w:trPr>
          <w:trHeight w:val="20"/>
        </w:trPr>
        <w:tc>
          <w:tcPr>
            <w:tcW w:w="365" w:type="pct"/>
          </w:tcPr>
          <w:p w14:paraId="47DEA09B" w14:textId="439EC42E" w:rsidR="005A18DC" w:rsidRPr="005A18DC" w:rsidRDefault="005A18DC" w:rsidP="005A18DC">
            <w:pPr>
              <w:rPr>
                <w:rFonts w:ascii="Arial" w:eastAsia="Times New Roman" w:hAnsi="Arial" w:cs="Arial"/>
                <w:color w:val="000000"/>
                <w:sz w:val="14"/>
                <w:szCs w:val="14"/>
                <w:lang w:eastAsia="en-GB"/>
              </w:rPr>
            </w:pPr>
            <w:hyperlink r:id="rId2331" w:history="1">
              <w:r w:rsidRPr="005A18DC">
                <w:rPr>
                  <w:rStyle w:val="Hyperlink"/>
                  <w:rFonts w:ascii="Arial" w:hAnsi="Arial" w:cs="Arial"/>
                  <w:b/>
                  <w:bCs/>
                  <w:sz w:val="14"/>
                  <w:szCs w:val="14"/>
                </w:rPr>
                <w:t>R1-2312530</w:t>
              </w:r>
            </w:hyperlink>
          </w:p>
        </w:tc>
        <w:tc>
          <w:tcPr>
            <w:tcW w:w="1471" w:type="pct"/>
          </w:tcPr>
          <w:p w14:paraId="42C4319A" w14:textId="3CD8EC2E"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CR on slot offset calculation for PUSCH carrying aperiodic CSI with no transport block</w:t>
            </w:r>
          </w:p>
        </w:tc>
        <w:tc>
          <w:tcPr>
            <w:tcW w:w="849" w:type="pct"/>
          </w:tcPr>
          <w:p w14:paraId="7BAFABDF" w14:textId="68E987E3"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Moderator (Apple), Nokia, Nokia Shanghai Bell, Ericsson, Samsung</w:t>
            </w:r>
          </w:p>
        </w:tc>
        <w:tc>
          <w:tcPr>
            <w:tcW w:w="248" w:type="pct"/>
          </w:tcPr>
          <w:p w14:paraId="1D617C6E" w14:textId="620EEDDF" w:rsidR="005A18DC" w:rsidRPr="005A18DC" w:rsidRDefault="005A18DC" w:rsidP="005A18DC">
            <w:pPr>
              <w:rPr>
                <w:rFonts w:ascii="Arial" w:eastAsia="Times New Roman" w:hAnsi="Arial" w:cs="Arial"/>
                <w:color w:val="000000"/>
                <w:sz w:val="14"/>
                <w:szCs w:val="14"/>
                <w:lang w:eastAsia="en-GB"/>
              </w:rPr>
            </w:pPr>
            <w:hyperlink r:id="rId2332" w:history="1">
              <w:r w:rsidRPr="005A18DC">
                <w:rPr>
                  <w:rStyle w:val="Hyperlink"/>
                  <w:rFonts w:ascii="Arial" w:hAnsi="Arial" w:cs="Arial"/>
                  <w:b/>
                  <w:bCs/>
                  <w:sz w:val="14"/>
                  <w:szCs w:val="14"/>
                </w:rPr>
                <w:t>Rel-18</w:t>
              </w:r>
            </w:hyperlink>
          </w:p>
        </w:tc>
        <w:tc>
          <w:tcPr>
            <w:tcW w:w="301" w:type="pct"/>
            <w:shd w:val="clear" w:color="auto" w:fill="auto"/>
          </w:tcPr>
          <w:p w14:paraId="3FEF4986" w14:textId="71C87F1E" w:rsidR="005A18DC" w:rsidRPr="005A18DC" w:rsidRDefault="005A18DC" w:rsidP="005A18DC">
            <w:pPr>
              <w:rPr>
                <w:rFonts w:ascii="Arial" w:eastAsia="Times New Roman" w:hAnsi="Arial" w:cs="Arial"/>
                <w:color w:val="000000"/>
                <w:sz w:val="14"/>
                <w:szCs w:val="14"/>
                <w:lang w:eastAsia="en-GB"/>
              </w:rPr>
            </w:pPr>
            <w:hyperlink r:id="rId2333" w:history="1">
              <w:r w:rsidRPr="005A18DC">
                <w:rPr>
                  <w:rStyle w:val="Hyperlink"/>
                  <w:rFonts w:ascii="Arial" w:hAnsi="Arial" w:cs="Arial"/>
                  <w:b/>
                  <w:bCs/>
                  <w:sz w:val="14"/>
                  <w:szCs w:val="14"/>
                </w:rPr>
                <w:t>38.214</w:t>
              </w:r>
            </w:hyperlink>
          </w:p>
        </w:tc>
        <w:tc>
          <w:tcPr>
            <w:tcW w:w="324" w:type="pct"/>
            <w:shd w:val="clear" w:color="auto" w:fill="auto"/>
          </w:tcPr>
          <w:p w14:paraId="59E4710B" w14:textId="33C18C73"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18.0.0</w:t>
            </w:r>
          </w:p>
        </w:tc>
        <w:tc>
          <w:tcPr>
            <w:tcW w:w="779" w:type="pct"/>
          </w:tcPr>
          <w:p w14:paraId="2BD1AB42" w14:textId="2335D6A5"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color w:val="000000"/>
                <w:sz w:val="14"/>
                <w:szCs w:val="14"/>
              </w:rPr>
              <w:t>NR_newRAT-Core, TEI16</w:t>
            </w:r>
          </w:p>
        </w:tc>
        <w:tc>
          <w:tcPr>
            <w:tcW w:w="233" w:type="pct"/>
          </w:tcPr>
          <w:p w14:paraId="25A3CAE9" w14:textId="63783AA0"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0464</w:t>
            </w:r>
          </w:p>
        </w:tc>
        <w:tc>
          <w:tcPr>
            <w:tcW w:w="226" w:type="pct"/>
          </w:tcPr>
          <w:p w14:paraId="17AC0E82" w14:textId="166DFF4B"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 </w:t>
            </w:r>
          </w:p>
        </w:tc>
        <w:tc>
          <w:tcPr>
            <w:tcW w:w="203" w:type="pct"/>
          </w:tcPr>
          <w:p w14:paraId="3EB55E1A" w14:textId="14E79AB1"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A</w:t>
            </w:r>
          </w:p>
        </w:tc>
      </w:tr>
      <w:tr w:rsidR="005A18DC" w:rsidRPr="009537ED" w14:paraId="58E04337" w14:textId="77777777" w:rsidTr="00B97F04">
        <w:trPr>
          <w:trHeight w:val="20"/>
        </w:trPr>
        <w:tc>
          <w:tcPr>
            <w:tcW w:w="365" w:type="pct"/>
          </w:tcPr>
          <w:p w14:paraId="336A9B23" w14:textId="142645DB" w:rsidR="005A18DC" w:rsidRPr="005A18DC" w:rsidRDefault="005A18DC" w:rsidP="005A18DC">
            <w:pPr>
              <w:rPr>
                <w:rFonts w:ascii="Arial" w:eastAsia="Times New Roman" w:hAnsi="Arial" w:cs="Arial"/>
                <w:color w:val="000000"/>
                <w:sz w:val="14"/>
                <w:szCs w:val="14"/>
                <w:lang w:eastAsia="en-GB"/>
              </w:rPr>
            </w:pPr>
            <w:hyperlink r:id="rId2334" w:history="1">
              <w:r w:rsidRPr="005A18DC">
                <w:rPr>
                  <w:rStyle w:val="Hyperlink"/>
                  <w:rFonts w:ascii="Arial" w:hAnsi="Arial" w:cs="Arial"/>
                  <w:b/>
                  <w:bCs/>
                  <w:sz w:val="14"/>
                  <w:szCs w:val="14"/>
                </w:rPr>
                <w:t>R1-2312544</w:t>
              </w:r>
            </w:hyperlink>
          </w:p>
        </w:tc>
        <w:tc>
          <w:tcPr>
            <w:tcW w:w="1471" w:type="pct"/>
          </w:tcPr>
          <w:p w14:paraId="1BCE67DB" w14:textId="1B5295F6"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Correction of PDCCH monitoring adaptation behaviour for DRX groups</w:t>
            </w:r>
          </w:p>
        </w:tc>
        <w:tc>
          <w:tcPr>
            <w:tcW w:w="849" w:type="pct"/>
          </w:tcPr>
          <w:p w14:paraId="587303BD" w14:textId="4A4FC912"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Nokia, Nokia Shanghai Bell, MediaTek, Ericsson</w:t>
            </w:r>
          </w:p>
        </w:tc>
        <w:tc>
          <w:tcPr>
            <w:tcW w:w="248" w:type="pct"/>
          </w:tcPr>
          <w:p w14:paraId="4F6358EE" w14:textId="71E1950C" w:rsidR="005A18DC" w:rsidRPr="005A18DC" w:rsidRDefault="005A18DC" w:rsidP="005A18DC">
            <w:pPr>
              <w:rPr>
                <w:rFonts w:ascii="Arial" w:eastAsia="Times New Roman" w:hAnsi="Arial" w:cs="Arial"/>
                <w:color w:val="000000"/>
                <w:sz w:val="14"/>
                <w:szCs w:val="14"/>
                <w:lang w:eastAsia="en-GB"/>
              </w:rPr>
            </w:pPr>
            <w:hyperlink r:id="rId2335" w:history="1">
              <w:r w:rsidRPr="005A18DC">
                <w:rPr>
                  <w:rStyle w:val="Hyperlink"/>
                  <w:rFonts w:ascii="Arial" w:hAnsi="Arial" w:cs="Arial"/>
                  <w:b/>
                  <w:bCs/>
                  <w:sz w:val="14"/>
                  <w:szCs w:val="14"/>
                </w:rPr>
                <w:t>Rel-17</w:t>
              </w:r>
            </w:hyperlink>
          </w:p>
        </w:tc>
        <w:tc>
          <w:tcPr>
            <w:tcW w:w="301" w:type="pct"/>
            <w:shd w:val="clear" w:color="auto" w:fill="auto"/>
          </w:tcPr>
          <w:p w14:paraId="31577230" w14:textId="761FE192" w:rsidR="005A18DC" w:rsidRPr="005A18DC" w:rsidRDefault="005A18DC" w:rsidP="005A18DC">
            <w:pPr>
              <w:rPr>
                <w:rFonts w:ascii="Arial" w:eastAsia="Times New Roman" w:hAnsi="Arial" w:cs="Arial"/>
                <w:color w:val="000000"/>
                <w:sz w:val="14"/>
                <w:szCs w:val="14"/>
                <w:lang w:eastAsia="en-GB"/>
              </w:rPr>
            </w:pPr>
            <w:hyperlink r:id="rId2336" w:history="1">
              <w:r w:rsidRPr="005A18DC">
                <w:rPr>
                  <w:rStyle w:val="Hyperlink"/>
                  <w:rFonts w:ascii="Arial" w:hAnsi="Arial" w:cs="Arial"/>
                  <w:b/>
                  <w:bCs/>
                  <w:sz w:val="14"/>
                  <w:szCs w:val="14"/>
                </w:rPr>
                <w:t>38.213</w:t>
              </w:r>
            </w:hyperlink>
          </w:p>
        </w:tc>
        <w:tc>
          <w:tcPr>
            <w:tcW w:w="324" w:type="pct"/>
            <w:shd w:val="clear" w:color="auto" w:fill="auto"/>
          </w:tcPr>
          <w:p w14:paraId="02C4591C" w14:textId="401D93C0"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17.7.0</w:t>
            </w:r>
          </w:p>
        </w:tc>
        <w:tc>
          <w:tcPr>
            <w:tcW w:w="779" w:type="pct"/>
          </w:tcPr>
          <w:p w14:paraId="419B2717" w14:textId="49BA1460" w:rsidR="005A18DC" w:rsidRPr="005A18DC" w:rsidRDefault="005A18DC" w:rsidP="005A18DC">
            <w:pPr>
              <w:rPr>
                <w:rFonts w:ascii="Arial" w:eastAsia="Times New Roman" w:hAnsi="Arial" w:cs="Arial"/>
                <w:color w:val="000000"/>
                <w:sz w:val="14"/>
                <w:szCs w:val="14"/>
                <w:lang w:eastAsia="en-GB"/>
              </w:rPr>
            </w:pPr>
            <w:hyperlink r:id="rId2337" w:history="1">
              <w:r w:rsidRPr="005A18DC">
                <w:rPr>
                  <w:rStyle w:val="Hyperlink"/>
                  <w:rFonts w:ascii="Arial" w:hAnsi="Arial" w:cs="Arial"/>
                  <w:b/>
                  <w:bCs/>
                  <w:sz w:val="14"/>
                  <w:szCs w:val="14"/>
                </w:rPr>
                <w:t>NR_UE_pow_sav_enh-Core</w:t>
              </w:r>
            </w:hyperlink>
          </w:p>
        </w:tc>
        <w:tc>
          <w:tcPr>
            <w:tcW w:w="233" w:type="pct"/>
          </w:tcPr>
          <w:p w14:paraId="783785BB" w14:textId="02AC88BC"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0550</w:t>
            </w:r>
          </w:p>
        </w:tc>
        <w:tc>
          <w:tcPr>
            <w:tcW w:w="226" w:type="pct"/>
          </w:tcPr>
          <w:p w14:paraId="051248C1" w14:textId="30065051"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 </w:t>
            </w:r>
          </w:p>
        </w:tc>
        <w:tc>
          <w:tcPr>
            <w:tcW w:w="203" w:type="pct"/>
          </w:tcPr>
          <w:p w14:paraId="297DC44B" w14:textId="7D43F9DB"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F</w:t>
            </w:r>
          </w:p>
        </w:tc>
      </w:tr>
      <w:tr w:rsidR="005A18DC" w:rsidRPr="009537ED" w14:paraId="26420224" w14:textId="77777777" w:rsidTr="00B97F04">
        <w:trPr>
          <w:trHeight w:val="20"/>
        </w:trPr>
        <w:tc>
          <w:tcPr>
            <w:tcW w:w="365" w:type="pct"/>
          </w:tcPr>
          <w:p w14:paraId="2E7F8A3F" w14:textId="33D553E0" w:rsidR="005A18DC" w:rsidRPr="005A18DC" w:rsidRDefault="005A18DC" w:rsidP="005A18DC">
            <w:pPr>
              <w:rPr>
                <w:rFonts w:ascii="Arial" w:eastAsia="Times New Roman" w:hAnsi="Arial" w:cs="Arial"/>
                <w:color w:val="000000"/>
                <w:sz w:val="14"/>
                <w:szCs w:val="14"/>
                <w:lang w:eastAsia="en-GB"/>
              </w:rPr>
            </w:pPr>
            <w:hyperlink r:id="rId2338" w:history="1">
              <w:r w:rsidRPr="005A18DC">
                <w:rPr>
                  <w:rStyle w:val="Hyperlink"/>
                  <w:rFonts w:ascii="Arial" w:hAnsi="Arial" w:cs="Arial"/>
                  <w:b/>
                  <w:bCs/>
                  <w:sz w:val="14"/>
                  <w:szCs w:val="14"/>
                </w:rPr>
                <w:t>R1-2312545</w:t>
              </w:r>
            </w:hyperlink>
          </w:p>
        </w:tc>
        <w:tc>
          <w:tcPr>
            <w:tcW w:w="1471" w:type="pct"/>
          </w:tcPr>
          <w:p w14:paraId="6DE750A0" w14:textId="19FF8208"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Correction of PDCCH monitoring adaptation behaviour for DRX groups</w:t>
            </w:r>
          </w:p>
        </w:tc>
        <w:tc>
          <w:tcPr>
            <w:tcW w:w="849" w:type="pct"/>
          </w:tcPr>
          <w:p w14:paraId="5E0CFDBD" w14:textId="7A2C3595"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Nokia, Nokia Shanghai Bell, MediaTek, Ericsson</w:t>
            </w:r>
          </w:p>
        </w:tc>
        <w:tc>
          <w:tcPr>
            <w:tcW w:w="248" w:type="pct"/>
          </w:tcPr>
          <w:p w14:paraId="336F1FFD" w14:textId="0D109CAD" w:rsidR="005A18DC" w:rsidRPr="005A18DC" w:rsidRDefault="005A18DC" w:rsidP="005A18DC">
            <w:pPr>
              <w:rPr>
                <w:rFonts w:ascii="Arial" w:eastAsia="Times New Roman" w:hAnsi="Arial" w:cs="Arial"/>
                <w:color w:val="000000"/>
                <w:sz w:val="14"/>
                <w:szCs w:val="14"/>
                <w:lang w:eastAsia="en-GB"/>
              </w:rPr>
            </w:pPr>
            <w:hyperlink r:id="rId2339" w:history="1">
              <w:r w:rsidRPr="005A18DC">
                <w:rPr>
                  <w:rStyle w:val="Hyperlink"/>
                  <w:rFonts w:ascii="Arial" w:hAnsi="Arial" w:cs="Arial"/>
                  <w:b/>
                  <w:bCs/>
                  <w:sz w:val="14"/>
                  <w:szCs w:val="14"/>
                </w:rPr>
                <w:t>Rel-18</w:t>
              </w:r>
            </w:hyperlink>
          </w:p>
        </w:tc>
        <w:tc>
          <w:tcPr>
            <w:tcW w:w="301" w:type="pct"/>
            <w:shd w:val="clear" w:color="auto" w:fill="auto"/>
          </w:tcPr>
          <w:p w14:paraId="492B0F11" w14:textId="515762F3" w:rsidR="005A18DC" w:rsidRPr="005A18DC" w:rsidRDefault="005A18DC" w:rsidP="005A18DC">
            <w:pPr>
              <w:rPr>
                <w:rFonts w:ascii="Arial" w:eastAsia="Times New Roman" w:hAnsi="Arial" w:cs="Arial"/>
                <w:color w:val="000000"/>
                <w:sz w:val="14"/>
                <w:szCs w:val="14"/>
                <w:lang w:eastAsia="en-GB"/>
              </w:rPr>
            </w:pPr>
            <w:hyperlink r:id="rId2340" w:history="1">
              <w:r w:rsidRPr="005A18DC">
                <w:rPr>
                  <w:rStyle w:val="Hyperlink"/>
                  <w:rFonts w:ascii="Arial" w:hAnsi="Arial" w:cs="Arial"/>
                  <w:b/>
                  <w:bCs/>
                  <w:sz w:val="14"/>
                  <w:szCs w:val="14"/>
                </w:rPr>
                <w:t>38.213</w:t>
              </w:r>
            </w:hyperlink>
          </w:p>
        </w:tc>
        <w:tc>
          <w:tcPr>
            <w:tcW w:w="324" w:type="pct"/>
            <w:shd w:val="clear" w:color="auto" w:fill="auto"/>
          </w:tcPr>
          <w:p w14:paraId="13EDD712" w14:textId="207BF6C5"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18.0.0</w:t>
            </w:r>
          </w:p>
        </w:tc>
        <w:tc>
          <w:tcPr>
            <w:tcW w:w="779" w:type="pct"/>
          </w:tcPr>
          <w:p w14:paraId="2660837D" w14:textId="4EB6AC06" w:rsidR="005A18DC" w:rsidRPr="005A18DC" w:rsidRDefault="005A18DC" w:rsidP="005A18DC">
            <w:pPr>
              <w:rPr>
                <w:rFonts w:ascii="Arial" w:eastAsia="Times New Roman" w:hAnsi="Arial" w:cs="Arial"/>
                <w:color w:val="000000"/>
                <w:sz w:val="14"/>
                <w:szCs w:val="14"/>
                <w:lang w:eastAsia="en-GB"/>
              </w:rPr>
            </w:pPr>
            <w:hyperlink r:id="rId2341" w:history="1">
              <w:r w:rsidRPr="005A18DC">
                <w:rPr>
                  <w:rStyle w:val="Hyperlink"/>
                  <w:rFonts w:ascii="Arial" w:hAnsi="Arial" w:cs="Arial"/>
                  <w:b/>
                  <w:bCs/>
                  <w:sz w:val="14"/>
                  <w:szCs w:val="14"/>
                </w:rPr>
                <w:t>NR_UE_pow_sav_enh-Core</w:t>
              </w:r>
            </w:hyperlink>
          </w:p>
        </w:tc>
        <w:tc>
          <w:tcPr>
            <w:tcW w:w="233" w:type="pct"/>
          </w:tcPr>
          <w:p w14:paraId="5FA123DB" w14:textId="50F22E75"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0551</w:t>
            </w:r>
          </w:p>
        </w:tc>
        <w:tc>
          <w:tcPr>
            <w:tcW w:w="226" w:type="pct"/>
          </w:tcPr>
          <w:p w14:paraId="43E97368" w14:textId="75ED14E5"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 </w:t>
            </w:r>
          </w:p>
        </w:tc>
        <w:tc>
          <w:tcPr>
            <w:tcW w:w="203" w:type="pct"/>
          </w:tcPr>
          <w:p w14:paraId="6DFD375E" w14:textId="23477F97"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A</w:t>
            </w:r>
          </w:p>
        </w:tc>
      </w:tr>
      <w:tr w:rsidR="005A18DC" w:rsidRPr="009537ED" w14:paraId="4CC9D4C0" w14:textId="77777777" w:rsidTr="00B97F04">
        <w:trPr>
          <w:trHeight w:val="20"/>
        </w:trPr>
        <w:tc>
          <w:tcPr>
            <w:tcW w:w="365" w:type="pct"/>
          </w:tcPr>
          <w:p w14:paraId="4D58F59F" w14:textId="08F69B00" w:rsidR="005A18DC" w:rsidRPr="005A18DC" w:rsidRDefault="005A18DC" w:rsidP="005A18DC">
            <w:pPr>
              <w:rPr>
                <w:rFonts w:ascii="Arial" w:eastAsia="Times New Roman" w:hAnsi="Arial" w:cs="Arial"/>
                <w:color w:val="000000"/>
                <w:sz w:val="14"/>
                <w:szCs w:val="14"/>
                <w:lang w:eastAsia="en-GB"/>
              </w:rPr>
            </w:pPr>
            <w:hyperlink r:id="rId2342" w:history="1">
              <w:r w:rsidRPr="005A18DC">
                <w:rPr>
                  <w:rStyle w:val="Hyperlink"/>
                  <w:rFonts w:ascii="Arial" w:hAnsi="Arial" w:cs="Arial"/>
                  <w:b/>
                  <w:bCs/>
                  <w:sz w:val="14"/>
                  <w:szCs w:val="14"/>
                </w:rPr>
                <w:t>R1-2312548</w:t>
              </w:r>
            </w:hyperlink>
          </w:p>
        </w:tc>
        <w:tc>
          <w:tcPr>
            <w:tcW w:w="1471" w:type="pct"/>
          </w:tcPr>
          <w:p w14:paraId="68D3A6BB" w14:textId="77A50BFD"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CR on UL beam after 2-step RACH</w:t>
            </w:r>
          </w:p>
        </w:tc>
        <w:tc>
          <w:tcPr>
            <w:tcW w:w="849" w:type="pct"/>
          </w:tcPr>
          <w:p w14:paraId="1AB04933" w14:textId="11C9E392"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Moderator (ZTE), Google, Samsung, ZTE</w:t>
            </w:r>
          </w:p>
        </w:tc>
        <w:tc>
          <w:tcPr>
            <w:tcW w:w="248" w:type="pct"/>
          </w:tcPr>
          <w:p w14:paraId="77F4E744" w14:textId="092C18DB" w:rsidR="005A18DC" w:rsidRPr="005A18DC" w:rsidRDefault="005A18DC" w:rsidP="005A18DC">
            <w:pPr>
              <w:rPr>
                <w:rFonts w:ascii="Arial" w:eastAsia="Times New Roman" w:hAnsi="Arial" w:cs="Arial"/>
                <w:color w:val="000000"/>
                <w:sz w:val="14"/>
                <w:szCs w:val="14"/>
                <w:lang w:eastAsia="en-GB"/>
              </w:rPr>
            </w:pPr>
            <w:hyperlink r:id="rId2343" w:history="1">
              <w:r w:rsidRPr="005A18DC">
                <w:rPr>
                  <w:rStyle w:val="Hyperlink"/>
                  <w:rFonts w:ascii="Arial" w:hAnsi="Arial" w:cs="Arial"/>
                  <w:b/>
                  <w:bCs/>
                  <w:sz w:val="14"/>
                  <w:szCs w:val="14"/>
                </w:rPr>
                <w:t>Rel-17</w:t>
              </w:r>
            </w:hyperlink>
          </w:p>
        </w:tc>
        <w:tc>
          <w:tcPr>
            <w:tcW w:w="301" w:type="pct"/>
            <w:shd w:val="clear" w:color="auto" w:fill="auto"/>
          </w:tcPr>
          <w:p w14:paraId="09590F52" w14:textId="7BC2419A" w:rsidR="005A18DC" w:rsidRPr="005A18DC" w:rsidRDefault="005A18DC" w:rsidP="005A18DC">
            <w:pPr>
              <w:rPr>
                <w:rFonts w:ascii="Arial" w:eastAsia="Times New Roman" w:hAnsi="Arial" w:cs="Arial"/>
                <w:color w:val="000000"/>
                <w:sz w:val="14"/>
                <w:szCs w:val="14"/>
                <w:lang w:eastAsia="en-GB"/>
              </w:rPr>
            </w:pPr>
            <w:hyperlink r:id="rId2344" w:history="1">
              <w:r w:rsidRPr="005A18DC">
                <w:rPr>
                  <w:rStyle w:val="Hyperlink"/>
                  <w:rFonts w:ascii="Arial" w:hAnsi="Arial" w:cs="Arial"/>
                  <w:b/>
                  <w:bCs/>
                  <w:sz w:val="14"/>
                  <w:szCs w:val="14"/>
                </w:rPr>
                <w:t>38.214</w:t>
              </w:r>
            </w:hyperlink>
          </w:p>
        </w:tc>
        <w:tc>
          <w:tcPr>
            <w:tcW w:w="324" w:type="pct"/>
            <w:shd w:val="clear" w:color="auto" w:fill="auto"/>
          </w:tcPr>
          <w:p w14:paraId="38AD7AC1" w14:textId="665BAC0D"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17.7.0</w:t>
            </w:r>
          </w:p>
        </w:tc>
        <w:tc>
          <w:tcPr>
            <w:tcW w:w="779" w:type="pct"/>
          </w:tcPr>
          <w:p w14:paraId="724B2044" w14:textId="65E45958" w:rsidR="005A18DC" w:rsidRPr="005A18DC" w:rsidRDefault="005A18DC" w:rsidP="005A18DC">
            <w:pPr>
              <w:rPr>
                <w:rFonts w:ascii="Arial" w:eastAsia="Times New Roman" w:hAnsi="Arial" w:cs="Arial"/>
                <w:color w:val="000000"/>
                <w:sz w:val="14"/>
                <w:szCs w:val="14"/>
                <w:lang w:eastAsia="en-GB"/>
              </w:rPr>
            </w:pPr>
            <w:hyperlink r:id="rId2345" w:history="1">
              <w:r w:rsidRPr="005A18DC">
                <w:rPr>
                  <w:rStyle w:val="Hyperlink"/>
                  <w:rFonts w:ascii="Arial" w:hAnsi="Arial" w:cs="Arial"/>
                  <w:b/>
                  <w:bCs/>
                  <w:sz w:val="14"/>
                  <w:szCs w:val="14"/>
                </w:rPr>
                <w:t>NR_FeMIMO-Core</w:t>
              </w:r>
            </w:hyperlink>
          </w:p>
        </w:tc>
        <w:tc>
          <w:tcPr>
            <w:tcW w:w="233" w:type="pct"/>
          </w:tcPr>
          <w:p w14:paraId="4721CEF5" w14:textId="04447105"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0465</w:t>
            </w:r>
          </w:p>
        </w:tc>
        <w:tc>
          <w:tcPr>
            <w:tcW w:w="226" w:type="pct"/>
          </w:tcPr>
          <w:p w14:paraId="770D6963" w14:textId="50B07D72"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 </w:t>
            </w:r>
          </w:p>
        </w:tc>
        <w:tc>
          <w:tcPr>
            <w:tcW w:w="203" w:type="pct"/>
          </w:tcPr>
          <w:p w14:paraId="5890F9BE" w14:textId="1DC953D6"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F</w:t>
            </w:r>
          </w:p>
        </w:tc>
      </w:tr>
      <w:tr w:rsidR="005A18DC" w:rsidRPr="009537ED" w14:paraId="78E0D5A8" w14:textId="77777777" w:rsidTr="00B97F04">
        <w:trPr>
          <w:trHeight w:val="20"/>
        </w:trPr>
        <w:tc>
          <w:tcPr>
            <w:tcW w:w="365" w:type="pct"/>
          </w:tcPr>
          <w:p w14:paraId="75F3A4B6" w14:textId="4FA1EEEA" w:rsidR="005A18DC" w:rsidRPr="005A18DC" w:rsidRDefault="005A18DC" w:rsidP="005A18DC">
            <w:pPr>
              <w:rPr>
                <w:rFonts w:ascii="Arial" w:eastAsia="Times New Roman" w:hAnsi="Arial" w:cs="Arial"/>
                <w:color w:val="000000"/>
                <w:sz w:val="14"/>
                <w:szCs w:val="14"/>
                <w:lang w:eastAsia="en-GB"/>
              </w:rPr>
            </w:pPr>
            <w:hyperlink r:id="rId2346" w:history="1">
              <w:r w:rsidRPr="005A18DC">
                <w:rPr>
                  <w:rStyle w:val="Hyperlink"/>
                  <w:rFonts w:ascii="Arial" w:hAnsi="Arial" w:cs="Arial"/>
                  <w:b/>
                  <w:bCs/>
                  <w:sz w:val="14"/>
                  <w:szCs w:val="14"/>
                </w:rPr>
                <w:t>R1-2312549</w:t>
              </w:r>
            </w:hyperlink>
          </w:p>
        </w:tc>
        <w:tc>
          <w:tcPr>
            <w:tcW w:w="1471" w:type="pct"/>
          </w:tcPr>
          <w:p w14:paraId="1F02C797" w14:textId="12576D5D"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CR on UL beam after 2-step RACH</w:t>
            </w:r>
          </w:p>
        </w:tc>
        <w:tc>
          <w:tcPr>
            <w:tcW w:w="849" w:type="pct"/>
          </w:tcPr>
          <w:p w14:paraId="48AFADDE" w14:textId="3F0B40E8"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Moderator (ZTE), Google, Samsung, ZTE</w:t>
            </w:r>
          </w:p>
        </w:tc>
        <w:tc>
          <w:tcPr>
            <w:tcW w:w="248" w:type="pct"/>
          </w:tcPr>
          <w:p w14:paraId="16ADF877" w14:textId="2DC5DFFF" w:rsidR="005A18DC" w:rsidRPr="005A18DC" w:rsidRDefault="005A18DC" w:rsidP="005A18DC">
            <w:pPr>
              <w:rPr>
                <w:rFonts w:ascii="Arial" w:eastAsia="Times New Roman" w:hAnsi="Arial" w:cs="Arial"/>
                <w:color w:val="000000"/>
                <w:sz w:val="14"/>
                <w:szCs w:val="14"/>
                <w:lang w:eastAsia="en-GB"/>
              </w:rPr>
            </w:pPr>
            <w:hyperlink r:id="rId2347" w:history="1">
              <w:r w:rsidRPr="005A18DC">
                <w:rPr>
                  <w:rStyle w:val="Hyperlink"/>
                  <w:rFonts w:ascii="Arial" w:hAnsi="Arial" w:cs="Arial"/>
                  <w:b/>
                  <w:bCs/>
                  <w:sz w:val="14"/>
                  <w:szCs w:val="14"/>
                </w:rPr>
                <w:t>Rel-18</w:t>
              </w:r>
            </w:hyperlink>
          </w:p>
        </w:tc>
        <w:tc>
          <w:tcPr>
            <w:tcW w:w="301" w:type="pct"/>
            <w:shd w:val="clear" w:color="auto" w:fill="auto"/>
          </w:tcPr>
          <w:p w14:paraId="2B21A667" w14:textId="1B2EF9B4" w:rsidR="005A18DC" w:rsidRPr="005A18DC" w:rsidRDefault="005A18DC" w:rsidP="005A18DC">
            <w:pPr>
              <w:rPr>
                <w:rFonts w:ascii="Arial" w:eastAsia="Times New Roman" w:hAnsi="Arial" w:cs="Arial"/>
                <w:color w:val="000000"/>
                <w:sz w:val="14"/>
                <w:szCs w:val="14"/>
                <w:lang w:eastAsia="en-GB"/>
              </w:rPr>
            </w:pPr>
            <w:hyperlink r:id="rId2348" w:history="1">
              <w:r w:rsidRPr="005A18DC">
                <w:rPr>
                  <w:rStyle w:val="Hyperlink"/>
                  <w:rFonts w:ascii="Arial" w:hAnsi="Arial" w:cs="Arial"/>
                  <w:b/>
                  <w:bCs/>
                  <w:sz w:val="14"/>
                  <w:szCs w:val="14"/>
                </w:rPr>
                <w:t>38.214</w:t>
              </w:r>
            </w:hyperlink>
          </w:p>
        </w:tc>
        <w:tc>
          <w:tcPr>
            <w:tcW w:w="324" w:type="pct"/>
            <w:shd w:val="clear" w:color="auto" w:fill="auto"/>
          </w:tcPr>
          <w:p w14:paraId="44F98799" w14:textId="742E2D7A"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18.0.0</w:t>
            </w:r>
          </w:p>
        </w:tc>
        <w:tc>
          <w:tcPr>
            <w:tcW w:w="779" w:type="pct"/>
          </w:tcPr>
          <w:p w14:paraId="33D3CBAE" w14:textId="2A939F47" w:rsidR="005A18DC" w:rsidRPr="005A18DC" w:rsidRDefault="005A18DC" w:rsidP="005A18DC">
            <w:pPr>
              <w:rPr>
                <w:rFonts w:ascii="Arial" w:eastAsia="Times New Roman" w:hAnsi="Arial" w:cs="Arial"/>
                <w:color w:val="000000"/>
                <w:sz w:val="14"/>
                <w:szCs w:val="14"/>
                <w:lang w:eastAsia="en-GB"/>
              </w:rPr>
            </w:pPr>
            <w:hyperlink r:id="rId2349" w:history="1">
              <w:r w:rsidRPr="005A18DC">
                <w:rPr>
                  <w:rStyle w:val="Hyperlink"/>
                  <w:rFonts w:ascii="Arial" w:hAnsi="Arial" w:cs="Arial"/>
                  <w:b/>
                  <w:bCs/>
                  <w:sz w:val="14"/>
                  <w:szCs w:val="14"/>
                </w:rPr>
                <w:t>NR_FeMIMO-Core</w:t>
              </w:r>
            </w:hyperlink>
          </w:p>
        </w:tc>
        <w:tc>
          <w:tcPr>
            <w:tcW w:w="233" w:type="pct"/>
          </w:tcPr>
          <w:p w14:paraId="5F39968B" w14:textId="7C52274E"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0466</w:t>
            </w:r>
          </w:p>
        </w:tc>
        <w:tc>
          <w:tcPr>
            <w:tcW w:w="226" w:type="pct"/>
          </w:tcPr>
          <w:p w14:paraId="3F514583" w14:textId="76BAC43C"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 </w:t>
            </w:r>
          </w:p>
        </w:tc>
        <w:tc>
          <w:tcPr>
            <w:tcW w:w="203" w:type="pct"/>
          </w:tcPr>
          <w:p w14:paraId="2BE48576" w14:textId="76071706"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A</w:t>
            </w:r>
          </w:p>
        </w:tc>
      </w:tr>
      <w:tr w:rsidR="005A18DC" w:rsidRPr="009537ED" w14:paraId="17C41C3A" w14:textId="77777777" w:rsidTr="00B97F04">
        <w:trPr>
          <w:trHeight w:val="20"/>
        </w:trPr>
        <w:tc>
          <w:tcPr>
            <w:tcW w:w="365" w:type="pct"/>
          </w:tcPr>
          <w:p w14:paraId="64718D68" w14:textId="090B2A4F" w:rsidR="005A18DC" w:rsidRPr="005A18DC" w:rsidRDefault="005A18DC" w:rsidP="005A18DC">
            <w:pPr>
              <w:rPr>
                <w:rFonts w:ascii="Arial" w:eastAsia="Times New Roman" w:hAnsi="Arial" w:cs="Arial"/>
                <w:color w:val="000000"/>
                <w:sz w:val="14"/>
                <w:szCs w:val="14"/>
                <w:lang w:eastAsia="en-GB"/>
              </w:rPr>
            </w:pPr>
            <w:hyperlink r:id="rId2350" w:history="1">
              <w:r w:rsidRPr="005A18DC">
                <w:rPr>
                  <w:rStyle w:val="Hyperlink"/>
                  <w:rFonts w:ascii="Arial" w:hAnsi="Arial" w:cs="Arial"/>
                  <w:b/>
                  <w:bCs/>
                  <w:sz w:val="14"/>
                  <w:szCs w:val="14"/>
                </w:rPr>
                <w:t>R1-2312550</w:t>
              </w:r>
            </w:hyperlink>
          </w:p>
        </w:tc>
        <w:tc>
          <w:tcPr>
            <w:tcW w:w="1471" w:type="pct"/>
          </w:tcPr>
          <w:p w14:paraId="734AC6E3" w14:textId="0C62C62F"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CR on default beam based on unified TCI framework</w:t>
            </w:r>
          </w:p>
        </w:tc>
        <w:tc>
          <w:tcPr>
            <w:tcW w:w="849" w:type="pct"/>
          </w:tcPr>
          <w:p w14:paraId="16BCF930" w14:textId="4459B65E"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Moderator (ZTE), Google, Samsung, ZTE</w:t>
            </w:r>
          </w:p>
        </w:tc>
        <w:tc>
          <w:tcPr>
            <w:tcW w:w="248" w:type="pct"/>
          </w:tcPr>
          <w:p w14:paraId="6AB070B0" w14:textId="40B5FDF4" w:rsidR="005A18DC" w:rsidRPr="005A18DC" w:rsidRDefault="005A18DC" w:rsidP="005A18DC">
            <w:pPr>
              <w:rPr>
                <w:rFonts w:ascii="Arial" w:eastAsia="Times New Roman" w:hAnsi="Arial" w:cs="Arial"/>
                <w:color w:val="000000"/>
                <w:sz w:val="14"/>
                <w:szCs w:val="14"/>
                <w:lang w:eastAsia="en-GB"/>
              </w:rPr>
            </w:pPr>
            <w:hyperlink r:id="rId2351" w:history="1">
              <w:r w:rsidRPr="005A18DC">
                <w:rPr>
                  <w:rStyle w:val="Hyperlink"/>
                  <w:rFonts w:ascii="Arial" w:hAnsi="Arial" w:cs="Arial"/>
                  <w:b/>
                  <w:bCs/>
                  <w:sz w:val="14"/>
                  <w:szCs w:val="14"/>
                </w:rPr>
                <w:t>Rel-17</w:t>
              </w:r>
            </w:hyperlink>
          </w:p>
        </w:tc>
        <w:tc>
          <w:tcPr>
            <w:tcW w:w="301" w:type="pct"/>
            <w:shd w:val="clear" w:color="auto" w:fill="auto"/>
          </w:tcPr>
          <w:p w14:paraId="0DE0105E" w14:textId="20DC5043" w:rsidR="005A18DC" w:rsidRPr="005A18DC" w:rsidRDefault="005A18DC" w:rsidP="005A18DC">
            <w:pPr>
              <w:rPr>
                <w:rFonts w:ascii="Arial" w:eastAsia="Times New Roman" w:hAnsi="Arial" w:cs="Arial"/>
                <w:color w:val="000000"/>
                <w:sz w:val="14"/>
                <w:szCs w:val="14"/>
                <w:lang w:eastAsia="en-GB"/>
              </w:rPr>
            </w:pPr>
            <w:hyperlink r:id="rId2352" w:history="1">
              <w:r w:rsidRPr="005A18DC">
                <w:rPr>
                  <w:rStyle w:val="Hyperlink"/>
                  <w:rFonts w:ascii="Arial" w:hAnsi="Arial" w:cs="Arial"/>
                  <w:b/>
                  <w:bCs/>
                  <w:sz w:val="14"/>
                  <w:szCs w:val="14"/>
                </w:rPr>
                <w:t>38.214</w:t>
              </w:r>
            </w:hyperlink>
          </w:p>
        </w:tc>
        <w:tc>
          <w:tcPr>
            <w:tcW w:w="324" w:type="pct"/>
            <w:shd w:val="clear" w:color="auto" w:fill="auto"/>
          </w:tcPr>
          <w:p w14:paraId="67E0A65C" w14:textId="3EFFCCEB"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17.7.0</w:t>
            </w:r>
          </w:p>
        </w:tc>
        <w:tc>
          <w:tcPr>
            <w:tcW w:w="779" w:type="pct"/>
          </w:tcPr>
          <w:p w14:paraId="305B0AD0" w14:textId="76651E26" w:rsidR="005A18DC" w:rsidRPr="005A18DC" w:rsidRDefault="005A18DC" w:rsidP="005A18DC">
            <w:pPr>
              <w:rPr>
                <w:rFonts w:ascii="Arial" w:eastAsia="Times New Roman" w:hAnsi="Arial" w:cs="Arial"/>
                <w:color w:val="000000"/>
                <w:sz w:val="14"/>
                <w:szCs w:val="14"/>
                <w:lang w:eastAsia="en-GB"/>
              </w:rPr>
            </w:pPr>
            <w:hyperlink r:id="rId2353" w:history="1">
              <w:r w:rsidRPr="005A18DC">
                <w:rPr>
                  <w:rStyle w:val="Hyperlink"/>
                  <w:rFonts w:ascii="Arial" w:hAnsi="Arial" w:cs="Arial"/>
                  <w:b/>
                  <w:bCs/>
                  <w:sz w:val="14"/>
                  <w:szCs w:val="14"/>
                </w:rPr>
                <w:t>NR_FeMIMO-Core</w:t>
              </w:r>
            </w:hyperlink>
          </w:p>
        </w:tc>
        <w:tc>
          <w:tcPr>
            <w:tcW w:w="233" w:type="pct"/>
          </w:tcPr>
          <w:p w14:paraId="2FBA9CEA" w14:textId="20427C49"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0467</w:t>
            </w:r>
          </w:p>
        </w:tc>
        <w:tc>
          <w:tcPr>
            <w:tcW w:w="226" w:type="pct"/>
          </w:tcPr>
          <w:p w14:paraId="25227E33" w14:textId="31A6C653"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 </w:t>
            </w:r>
          </w:p>
        </w:tc>
        <w:tc>
          <w:tcPr>
            <w:tcW w:w="203" w:type="pct"/>
          </w:tcPr>
          <w:p w14:paraId="37501F0E" w14:textId="661334C4"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F</w:t>
            </w:r>
          </w:p>
        </w:tc>
      </w:tr>
      <w:tr w:rsidR="005A18DC" w:rsidRPr="009537ED" w14:paraId="06745EB5" w14:textId="77777777" w:rsidTr="00B97F04">
        <w:trPr>
          <w:trHeight w:val="20"/>
        </w:trPr>
        <w:tc>
          <w:tcPr>
            <w:tcW w:w="365" w:type="pct"/>
          </w:tcPr>
          <w:p w14:paraId="597BA321" w14:textId="09DC4283" w:rsidR="005A18DC" w:rsidRPr="005A18DC" w:rsidRDefault="005A18DC" w:rsidP="005A18DC">
            <w:pPr>
              <w:rPr>
                <w:rFonts w:ascii="Arial" w:eastAsia="Times New Roman" w:hAnsi="Arial" w:cs="Arial"/>
                <w:color w:val="000000"/>
                <w:sz w:val="14"/>
                <w:szCs w:val="14"/>
                <w:lang w:eastAsia="en-GB"/>
              </w:rPr>
            </w:pPr>
            <w:hyperlink r:id="rId2354" w:history="1">
              <w:r w:rsidRPr="005A18DC">
                <w:rPr>
                  <w:rStyle w:val="Hyperlink"/>
                  <w:rFonts w:ascii="Arial" w:hAnsi="Arial" w:cs="Arial"/>
                  <w:b/>
                  <w:bCs/>
                  <w:sz w:val="14"/>
                  <w:szCs w:val="14"/>
                </w:rPr>
                <w:t>R1-2312551</w:t>
              </w:r>
            </w:hyperlink>
          </w:p>
        </w:tc>
        <w:tc>
          <w:tcPr>
            <w:tcW w:w="1471" w:type="pct"/>
          </w:tcPr>
          <w:p w14:paraId="772DFC75" w14:textId="61F04001"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CR on default beam based on unified TCI framework</w:t>
            </w:r>
          </w:p>
        </w:tc>
        <w:tc>
          <w:tcPr>
            <w:tcW w:w="849" w:type="pct"/>
          </w:tcPr>
          <w:p w14:paraId="3A3AFBAE" w14:textId="58D44AD7"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Moderator (ZTE), Google, Samsung, ZTE</w:t>
            </w:r>
          </w:p>
        </w:tc>
        <w:tc>
          <w:tcPr>
            <w:tcW w:w="248" w:type="pct"/>
          </w:tcPr>
          <w:p w14:paraId="03D620B3" w14:textId="63480A32" w:rsidR="005A18DC" w:rsidRPr="005A18DC" w:rsidRDefault="005A18DC" w:rsidP="005A18DC">
            <w:pPr>
              <w:rPr>
                <w:rFonts w:ascii="Arial" w:eastAsia="Times New Roman" w:hAnsi="Arial" w:cs="Arial"/>
                <w:color w:val="000000"/>
                <w:sz w:val="14"/>
                <w:szCs w:val="14"/>
                <w:lang w:eastAsia="en-GB"/>
              </w:rPr>
            </w:pPr>
            <w:hyperlink r:id="rId2355" w:history="1">
              <w:r w:rsidRPr="005A18DC">
                <w:rPr>
                  <w:rStyle w:val="Hyperlink"/>
                  <w:rFonts w:ascii="Arial" w:hAnsi="Arial" w:cs="Arial"/>
                  <w:b/>
                  <w:bCs/>
                  <w:sz w:val="14"/>
                  <w:szCs w:val="14"/>
                </w:rPr>
                <w:t>Rel-18</w:t>
              </w:r>
            </w:hyperlink>
          </w:p>
        </w:tc>
        <w:tc>
          <w:tcPr>
            <w:tcW w:w="301" w:type="pct"/>
            <w:shd w:val="clear" w:color="auto" w:fill="auto"/>
          </w:tcPr>
          <w:p w14:paraId="48B12860" w14:textId="5DBC162D" w:rsidR="005A18DC" w:rsidRPr="005A18DC" w:rsidRDefault="005A18DC" w:rsidP="005A18DC">
            <w:pPr>
              <w:rPr>
                <w:rFonts w:ascii="Arial" w:eastAsia="Times New Roman" w:hAnsi="Arial" w:cs="Arial"/>
                <w:color w:val="000000"/>
                <w:sz w:val="14"/>
                <w:szCs w:val="14"/>
                <w:lang w:eastAsia="en-GB"/>
              </w:rPr>
            </w:pPr>
            <w:hyperlink r:id="rId2356" w:history="1">
              <w:r w:rsidRPr="005A18DC">
                <w:rPr>
                  <w:rStyle w:val="Hyperlink"/>
                  <w:rFonts w:ascii="Arial" w:hAnsi="Arial" w:cs="Arial"/>
                  <w:b/>
                  <w:bCs/>
                  <w:sz w:val="14"/>
                  <w:szCs w:val="14"/>
                </w:rPr>
                <w:t>38.214</w:t>
              </w:r>
            </w:hyperlink>
          </w:p>
        </w:tc>
        <w:tc>
          <w:tcPr>
            <w:tcW w:w="324" w:type="pct"/>
            <w:shd w:val="clear" w:color="auto" w:fill="auto"/>
          </w:tcPr>
          <w:p w14:paraId="4F66D14D" w14:textId="13AB9969"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18.0.0</w:t>
            </w:r>
          </w:p>
        </w:tc>
        <w:tc>
          <w:tcPr>
            <w:tcW w:w="779" w:type="pct"/>
          </w:tcPr>
          <w:p w14:paraId="36785C6D" w14:textId="39291B8D" w:rsidR="005A18DC" w:rsidRPr="005A18DC" w:rsidRDefault="005A18DC" w:rsidP="005A18DC">
            <w:pPr>
              <w:rPr>
                <w:rFonts w:ascii="Arial" w:eastAsia="Times New Roman" w:hAnsi="Arial" w:cs="Arial"/>
                <w:color w:val="000000"/>
                <w:sz w:val="14"/>
                <w:szCs w:val="14"/>
                <w:lang w:eastAsia="en-GB"/>
              </w:rPr>
            </w:pPr>
            <w:hyperlink r:id="rId2357" w:history="1">
              <w:r w:rsidRPr="005A18DC">
                <w:rPr>
                  <w:rStyle w:val="Hyperlink"/>
                  <w:rFonts w:ascii="Arial" w:hAnsi="Arial" w:cs="Arial"/>
                  <w:b/>
                  <w:bCs/>
                  <w:sz w:val="14"/>
                  <w:szCs w:val="14"/>
                </w:rPr>
                <w:t>NR_FeMIMO-Core</w:t>
              </w:r>
            </w:hyperlink>
          </w:p>
        </w:tc>
        <w:tc>
          <w:tcPr>
            <w:tcW w:w="233" w:type="pct"/>
          </w:tcPr>
          <w:p w14:paraId="427E9930" w14:textId="7912B1DB"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0468</w:t>
            </w:r>
          </w:p>
        </w:tc>
        <w:tc>
          <w:tcPr>
            <w:tcW w:w="226" w:type="pct"/>
          </w:tcPr>
          <w:p w14:paraId="0DC7AD3E" w14:textId="5D3E2341"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 </w:t>
            </w:r>
          </w:p>
        </w:tc>
        <w:tc>
          <w:tcPr>
            <w:tcW w:w="203" w:type="pct"/>
          </w:tcPr>
          <w:p w14:paraId="404DDF17" w14:textId="33DB68D4"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A</w:t>
            </w:r>
          </w:p>
        </w:tc>
      </w:tr>
      <w:tr w:rsidR="005A18DC" w:rsidRPr="009537ED" w14:paraId="5048B56A" w14:textId="77777777" w:rsidTr="00B97F04">
        <w:trPr>
          <w:trHeight w:val="20"/>
        </w:trPr>
        <w:tc>
          <w:tcPr>
            <w:tcW w:w="365" w:type="pct"/>
          </w:tcPr>
          <w:p w14:paraId="39620811" w14:textId="03515C4B" w:rsidR="005A18DC" w:rsidRPr="005A18DC" w:rsidRDefault="005A18DC" w:rsidP="005A18DC">
            <w:pPr>
              <w:rPr>
                <w:rFonts w:ascii="Arial" w:eastAsia="Times New Roman" w:hAnsi="Arial" w:cs="Arial"/>
                <w:color w:val="000000"/>
                <w:sz w:val="14"/>
                <w:szCs w:val="14"/>
                <w:lang w:eastAsia="en-GB"/>
              </w:rPr>
            </w:pPr>
            <w:hyperlink r:id="rId2358" w:history="1">
              <w:r w:rsidRPr="005A18DC">
                <w:rPr>
                  <w:rStyle w:val="Hyperlink"/>
                  <w:rFonts w:ascii="Arial" w:hAnsi="Arial" w:cs="Arial"/>
                  <w:b/>
                  <w:bCs/>
                  <w:sz w:val="14"/>
                  <w:szCs w:val="14"/>
                </w:rPr>
                <w:t>R1-2312555</w:t>
              </w:r>
            </w:hyperlink>
          </w:p>
        </w:tc>
        <w:tc>
          <w:tcPr>
            <w:tcW w:w="1471" w:type="pct"/>
          </w:tcPr>
          <w:p w14:paraId="00DC4481" w14:textId="634E6377"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CR on Type-1 HARQ-ACK codebook on PUSCH</w:t>
            </w:r>
          </w:p>
        </w:tc>
        <w:tc>
          <w:tcPr>
            <w:tcW w:w="849" w:type="pct"/>
          </w:tcPr>
          <w:p w14:paraId="1D3CB18D" w14:textId="514AAB3E"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Moderator (Huawei), Samsung, CATT, vivo, ZTE</w:t>
            </w:r>
          </w:p>
        </w:tc>
        <w:tc>
          <w:tcPr>
            <w:tcW w:w="248" w:type="pct"/>
          </w:tcPr>
          <w:p w14:paraId="3C7439E7" w14:textId="3898404B" w:rsidR="005A18DC" w:rsidRPr="005A18DC" w:rsidRDefault="005A18DC" w:rsidP="005A18DC">
            <w:pPr>
              <w:rPr>
                <w:rFonts w:ascii="Arial" w:eastAsia="Times New Roman" w:hAnsi="Arial" w:cs="Arial"/>
                <w:color w:val="000000"/>
                <w:sz w:val="14"/>
                <w:szCs w:val="14"/>
                <w:lang w:eastAsia="en-GB"/>
              </w:rPr>
            </w:pPr>
            <w:hyperlink r:id="rId2359" w:history="1">
              <w:r w:rsidRPr="005A18DC">
                <w:rPr>
                  <w:rStyle w:val="Hyperlink"/>
                  <w:rFonts w:ascii="Arial" w:hAnsi="Arial" w:cs="Arial"/>
                  <w:b/>
                  <w:bCs/>
                  <w:sz w:val="14"/>
                  <w:szCs w:val="14"/>
                </w:rPr>
                <w:t>Rel-17</w:t>
              </w:r>
            </w:hyperlink>
          </w:p>
        </w:tc>
        <w:tc>
          <w:tcPr>
            <w:tcW w:w="301" w:type="pct"/>
            <w:shd w:val="clear" w:color="auto" w:fill="auto"/>
          </w:tcPr>
          <w:p w14:paraId="51DE236D" w14:textId="43E73DC2" w:rsidR="005A18DC" w:rsidRPr="005A18DC" w:rsidRDefault="005A18DC" w:rsidP="005A18DC">
            <w:pPr>
              <w:rPr>
                <w:rFonts w:ascii="Arial" w:eastAsia="Times New Roman" w:hAnsi="Arial" w:cs="Arial"/>
                <w:color w:val="000000"/>
                <w:sz w:val="14"/>
                <w:szCs w:val="14"/>
                <w:lang w:eastAsia="en-GB"/>
              </w:rPr>
            </w:pPr>
            <w:hyperlink r:id="rId2360" w:history="1">
              <w:r w:rsidRPr="005A18DC">
                <w:rPr>
                  <w:rStyle w:val="Hyperlink"/>
                  <w:rFonts w:ascii="Arial" w:hAnsi="Arial" w:cs="Arial"/>
                  <w:b/>
                  <w:bCs/>
                  <w:sz w:val="14"/>
                  <w:szCs w:val="14"/>
                </w:rPr>
                <w:t>38.213</w:t>
              </w:r>
            </w:hyperlink>
          </w:p>
        </w:tc>
        <w:tc>
          <w:tcPr>
            <w:tcW w:w="324" w:type="pct"/>
            <w:shd w:val="clear" w:color="auto" w:fill="auto"/>
          </w:tcPr>
          <w:p w14:paraId="52020049" w14:textId="19392461"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17.7.0</w:t>
            </w:r>
          </w:p>
        </w:tc>
        <w:tc>
          <w:tcPr>
            <w:tcW w:w="779" w:type="pct"/>
          </w:tcPr>
          <w:p w14:paraId="31D1DBBE" w14:textId="40355C1A"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color w:val="000000"/>
                <w:sz w:val="14"/>
                <w:szCs w:val="14"/>
              </w:rPr>
              <w:t>NR_MBS-Core, NR_IIOT-Core, TEI17</w:t>
            </w:r>
          </w:p>
        </w:tc>
        <w:tc>
          <w:tcPr>
            <w:tcW w:w="233" w:type="pct"/>
          </w:tcPr>
          <w:p w14:paraId="5AE7DF17" w14:textId="5A1B3A7E"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0552</w:t>
            </w:r>
          </w:p>
        </w:tc>
        <w:tc>
          <w:tcPr>
            <w:tcW w:w="226" w:type="pct"/>
          </w:tcPr>
          <w:p w14:paraId="0C6651BF" w14:textId="619FE6F0"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 </w:t>
            </w:r>
          </w:p>
        </w:tc>
        <w:tc>
          <w:tcPr>
            <w:tcW w:w="203" w:type="pct"/>
          </w:tcPr>
          <w:p w14:paraId="4C5ABE70" w14:textId="4E6B65FF"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F</w:t>
            </w:r>
          </w:p>
        </w:tc>
      </w:tr>
      <w:tr w:rsidR="005A18DC" w:rsidRPr="009537ED" w14:paraId="50B0666F" w14:textId="77777777" w:rsidTr="00B97F04">
        <w:trPr>
          <w:trHeight w:val="20"/>
        </w:trPr>
        <w:tc>
          <w:tcPr>
            <w:tcW w:w="365" w:type="pct"/>
          </w:tcPr>
          <w:p w14:paraId="10647E79" w14:textId="0934B531" w:rsidR="005A18DC" w:rsidRPr="005A18DC" w:rsidRDefault="005A18DC" w:rsidP="005A18DC">
            <w:pPr>
              <w:rPr>
                <w:rFonts w:ascii="Arial" w:eastAsia="Times New Roman" w:hAnsi="Arial" w:cs="Arial"/>
                <w:color w:val="000000"/>
                <w:sz w:val="14"/>
                <w:szCs w:val="14"/>
                <w:lang w:eastAsia="en-GB"/>
              </w:rPr>
            </w:pPr>
            <w:hyperlink r:id="rId2361" w:history="1">
              <w:r w:rsidRPr="005A18DC">
                <w:rPr>
                  <w:rStyle w:val="Hyperlink"/>
                  <w:rFonts w:ascii="Arial" w:hAnsi="Arial" w:cs="Arial"/>
                  <w:b/>
                  <w:bCs/>
                  <w:sz w:val="14"/>
                  <w:szCs w:val="14"/>
                </w:rPr>
                <w:t>R1-2312556</w:t>
              </w:r>
            </w:hyperlink>
          </w:p>
        </w:tc>
        <w:tc>
          <w:tcPr>
            <w:tcW w:w="1471" w:type="pct"/>
          </w:tcPr>
          <w:p w14:paraId="7A54AF10" w14:textId="4617CC34"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CR on Type-1 HARQ-ACK codebook on PUSCH</w:t>
            </w:r>
          </w:p>
        </w:tc>
        <w:tc>
          <w:tcPr>
            <w:tcW w:w="849" w:type="pct"/>
          </w:tcPr>
          <w:p w14:paraId="1DCCE11D" w14:textId="1A01B199"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Moderator (Huawei), Samsung, CATT, vivo, ZTE</w:t>
            </w:r>
          </w:p>
        </w:tc>
        <w:tc>
          <w:tcPr>
            <w:tcW w:w="248" w:type="pct"/>
          </w:tcPr>
          <w:p w14:paraId="57E4E961" w14:textId="4E06F1BB" w:rsidR="005A18DC" w:rsidRPr="005A18DC" w:rsidRDefault="005A18DC" w:rsidP="005A18DC">
            <w:pPr>
              <w:rPr>
                <w:rFonts w:ascii="Arial" w:eastAsia="Times New Roman" w:hAnsi="Arial" w:cs="Arial"/>
                <w:color w:val="000000"/>
                <w:sz w:val="14"/>
                <w:szCs w:val="14"/>
                <w:lang w:eastAsia="en-GB"/>
              </w:rPr>
            </w:pPr>
            <w:hyperlink r:id="rId2362" w:history="1">
              <w:r w:rsidRPr="005A18DC">
                <w:rPr>
                  <w:rStyle w:val="Hyperlink"/>
                  <w:rFonts w:ascii="Arial" w:hAnsi="Arial" w:cs="Arial"/>
                  <w:b/>
                  <w:bCs/>
                  <w:sz w:val="14"/>
                  <w:szCs w:val="14"/>
                </w:rPr>
                <w:t>Rel-18</w:t>
              </w:r>
            </w:hyperlink>
          </w:p>
        </w:tc>
        <w:tc>
          <w:tcPr>
            <w:tcW w:w="301" w:type="pct"/>
            <w:shd w:val="clear" w:color="auto" w:fill="auto"/>
          </w:tcPr>
          <w:p w14:paraId="03DA11E6" w14:textId="7B7460C8" w:rsidR="005A18DC" w:rsidRPr="005A18DC" w:rsidRDefault="005A18DC" w:rsidP="005A18DC">
            <w:pPr>
              <w:rPr>
                <w:rFonts w:ascii="Arial" w:eastAsia="Times New Roman" w:hAnsi="Arial" w:cs="Arial"/>
                <w:color w:val="000000"/>
                <w:sz w:val="14"/>
                <w:szCs w:val="14"/>
                <w:lang w:eastAsia="en-GB"/>
              </w:rPr>
            </w:pPr>
            <w:hyperlink r:id="rId2363" w:history="1">
              <w:r w:rsidRPr="005A18DC">
                <w:rPr>
                  <w:rStyle w:val="Hyperlink"/>
                  <w:rFonts w:ascii="Arial" w:hAnsi="Arial" w:cs="Arial"/>
                  <w:b/>
                  <w:bCs/>
                  <w:sz w:val="14"/>
                  <w:szCs w:val="14"/>
                </w:rPr>
                <w:t>38.213</w:t>
              </w:r>
            </w:hyperlink>
          </w:p>
        </w:tc>
        <w:tc>
          <w:tcPr>
            <w:tcW w:w="324" w:type="pct"/>
            <w:shd w:val="clear" w:color="auto" w:fill="auto"/>
          </w:tcPr>
          <w:p w14:paraId="5FED47FF" w14:textId="3AB1CE4B"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18.0.0</w:t>
            </w:r>
          </w:p>
        </w:tc>
        <w:tc>
          <w:tcPr>
            <w:tcW w:w="779" w:type="pct"/>
          </w:tcPr>
          <w:p w14:paraId="2CEFD841" w14:textId="5243F3FA"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color w:val="000000"/>
                <w:sz w:val="14"/>
                <w:szCs w:val="14"/>
              </w:rPr>
              <w:t>NR_MBS-Core, NR_IIOT-Core, TEI17</w:t>
            </w:r>
          </w:p>
        </w:tc>
        <w:tc>
          <w:tcPr>
            <w:tcW w:w="233" w:type="pct"/>
          </w:tcPr>
          <w:p w14:paraId="08480E8F" w14:textId="13F3AAC5"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0553</w:t>
            </w:r>
          </w:p>
        </w:tc>
        <w:tc>
          <w:tcPr>
            <w:tcW w:w="226" w:type="pct"/>
          </w:tcPr>
          <w:p w14:paraId="4F63285D" w14:textId="05EAFF18"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 </w:t>
            </w:r>
          </w:p>
        </w:tc>
        <w:tc>
          <w:tcPr>
            <w:tcW w:w="203" w:type="pct"/>
          </w:tcPr>
          <w:p w14:paraId="2A105C44" w14:textId="2348DFB0"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A</w:t>
            </w:r>
          </w:p>
        </w:tc>
      </w:tr>
      <w:tr w:rsidR="005A18DC" w:rsidRPr="009537ED" w14:paraId="0AF08B3B" w14:textId="77777777" w:rsidTr="00B97F04">
        <w:trPr>
          <w:trHeight w:val="20"/>
        </w:trPr>
        <w:tc>
          <w:tcPr>
            <w:tcW w:w="365" w:type="pct"/>
          </w:tcPr>
          <w:p w14:paraId="1A567FFA" w14:textId="3DBA1D9B" w:rsidR="005A18DC" w:rsidRPr="005A18DC" w:rsidRDefault="005A18DC" w:rsidP="005A18DC">
            <w:pPr>
              <w:rPr>
                <w:rFonts w:ascii="Arial" w:eastAsia="Times New Roman" w:hAnsi="Arial" w:cs="Arial"/>
                <w:color w:val="000000"/>
                <w:sz w:val="14"/>
                <w:szCs w:val="14"/>
                <w:lang w:eastAsia="en-GB"/>
              </w:rPr>
            </w:pPr>
            <w:hyperlink r:id="rId2364" w:history="1">
              <w:r w:rsidRPr="005A18DC">
                <w:rPr>
                  <w:rStyle w:val="Hyperlink"/>
                  <w:rFonts w:ascii="Arial" w:hAnsi="Arial" w:cs="Arial"/>
                  <w:b/>
                  <w:bCs/>
                  <w:sz w:val="14"/>
                  <w:szCs w:val="14"/>
                </w:rPr>
                <w:t>R1-2312557</w:t>
              </w:r>
            </w:hyperlink>
          </w:p>
        </w:tc>
        <w:tc>
          <w:tcPr>
            <w:tcW w:w="1471" w:type="pct"/>
          </w:tcPr>
          <w:p w14:paraId="03785086" w14:textId="280EA5C4"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CR on PDCCH monitoring in Type0B CSS for HD-FDD RedCap UEs</w:t>
            </w:r>
          </w:p>
        </w:tc>
        <w:tc>
          <w:tcPr>
            <w:tcW w:w="849" w:type="pct"/>
          </w:tcPr>
          <w:p w14:paraId="39B5C8B9" w14:textId="54FA1D9A"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Moderator (Huawei), Qualcomm</w:t>
            </w:r>
          </w:p>
        </w:tc>
        <w:tc>
          <w:tcPr>
            <w:tcW w:w="248" w:type="pct"/>
          </w:tcPr>
          <w:p w14:paraId="0DE222D9" w14:textId="1A4E8F23" w:rsidR="005A18DC" w:rsidRPr="005A18DC" w:rsidRDefault="005A18DC" w:rsidP="005A18DC">
            <w:pPr>
              <w:rPr>
                <w:rFonts w:ascii="Arial" w:eastAsia="Times New Roman" w:hAnsi="Arial" w:cs="Arial"/>
                <w:color w:val="000000"/>
                <w:sz w:val="14"/>
                <w:szCs w:val="14"/>
                <w:lang w:eastAsia="en-GB"/>
              </w:rPr>
            </w:pPr>
            <w:hyperlink r:id="rId2365" w:history="1">
              <w:r w:rsidRPr="005A18DC">
                <w:rPr>
                  <w:rStyle w:val="Hyperlink"/>
                  <w:rFonts w:ascii="Arial" w:hAnsi="Arial" w:cs="Arial"/>
                  <w:b/>
                  <w:bCs/>
                  <w:sz w:val="14"/>
                  <w:szCs w:val="14"/>
                </w:rPr>
                <w:t>Rel-17</w:t>
              </w:r>
            </w:hyperlink>
          </w:p>
        </w:tc>
        <w:tc>
          <w:tcPr>
            <w:tcW w:w="301" w:type="pct"/>
            <w:shd w:val="clear" w:color="auto" w:fill="auto"/>
          </w:tcPr>
          <w:p w14:paraId="375F96CE" w14:textId="52D604A9" w:rsidR="005A18DC" w:rsidRPr="005A18DC" w:rsidRDefault="005A18DC" w:rsidP="005A18DC">
            <w:pPr>
              <w:rPr>
                <w:rFonts w:ascii="Arial" w:eastAsia="Times New Roman" w:hAnsi="Arial" w:cs="Arial"/>
                <w:color w:val="000000"/>
                <w:sz w:val="14"/>
                <w:szCs w:val="14"/>
                <w:lang w:eastAsia="en-GB"/>
              </w:rPr>
            </w:pPr>
            <w:hyperlink r:id="rId2366" w:history="1">
              <w:r w:rsidRPr="005A18DC">
                <w:rPr>
                  <w:rStyle w:val="Hyperlink"/>
                  <w:rFonts w:ascii="Arial" w:hAnsi="Arial" w:cs="Arial"/>
                  <w:b/>
                  <w:bCs/>
                  <w:sz w:val="14"/>
                  <w:szCs w:val="14"/>
                </w:rPr>
                <w:t>38.213</w:t>
              </w:r>
            </w:hyperlink>
          </w:p>
        </w:tc>
        <w:tc>
          <w:tcPr>
            <w:tcW w:w="324" w:type="pct"/>
            <w:shd w:val="clear" w:color="auto" w:fill="auto"/>
          </w:tcPr>
          <w:p w14:paraId="69292A9C" w14:textId="777DA427"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17.7.0</w:t>
            </w:r>
          </w:p>
        </w:tc>
        <w:tc>
          <w:tcPr>
            <w:tcW w:w="779" w:type="pct"/>
          </w:tcPr>
          <w:p w14:paraId="6B549157" w14:textId="2A0F676D"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color w:val="000000"/>
                <w:sz w:val="14"/>
                <w:szCs w:val="14"/>
              </w:rPr>
              <w:t>NR_MBS-Core, NR_redcap-Core</w:t>
            </w:r>
          </w:p>
        </w:tc>
        <w:tc>
          <w:tcPr>
            <w:tcW w:w="233" w:type="pct"/>
          </w:tcPr>
          <w:p w14:paraId="26589B50" w14:textId="2BFF92CC"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0554</w:t>
            </w:r>
          </w:p>
        </w:tc>
        <w:tc>
          <w:tcPr>
            <w:tcW w:w="226" w:type="pct"/>
          </w:tcPr>
          <w:p w14:paraId="304B0456" w14:textId="06AF598E"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 </w:t>
            </w:r>
          </w:p>
        </w:tc>
        <w:tc>
          <w:tcPr>
            <w:tcW w:w="203" w:type="pct"/>
          </w:tcPr>
          <w:p w14:paraId="48F21A87" w14:textId="100B4DF8"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F</w:t>
            </w:r>
          </w:p>
        </w:tc>
      </w:tr>
      <w:tr w:rsidR="005A18DC" w:rsidRPr="009537ED" w14:paraId="403EA492" w14:textId="77777777" w:rsidTr="00B97F04">
        <w:trPr>
          <w:trHeight w:val="20"/>
        </w:trPr>
        <w:tc>
          <w:tcPr>
            <w:tcW w:w="365" w:type="pct"/>
          </w:tcPr>
          <w:p w14:paraId="491A1646" w14:textId="1CBACB1C" w:rsidR="005A18DC" w:rsidRPr="005A18DC" w:rsidRDefault="005A18DC" w:rsidP="005A18DC">
            <w:pPr>
              <w:rPr>
                <w:rFonts w:ascii="Arial" w:eastAsia="Times New Roman" w:hAnsi="Arial" w:cs="Arial"/>
                <w:color w:val="000000"/>
                <w:sz w:val="14"/>
                <w:szCs w:val="14"/>
                <w:lang w:eastAsia="en-GB"/>
              </w:rPr>
            </w:pPr>
            <w:hyperlink r:id="rId2367" w:history="1">
              <w:r w:rsidRPr="005A18DC">
                <w:rPr>
                  <w:rStyle w:val="Hyperlink"/>
                  <w:rFonts w:ascii="Arial" w:hAnsi="Arial" w:cs="Arial"/>
                  <w:b/>
                  <w:bCs/>
                  <w:sz w:val="14"/>
                  <w:szCs w:val="14"/>
                </w:rPr>
                <w:t>R1-2312558</w:t>
              </w:r>
            </w:hyperlink>
          </w:p>
        </w:tc>
        <w:tc>
          <w:tcPr>
            <w:tcW w:w="1471" w:type="pct"/>
          </w:tcPr>
          <w:p w14:paraId="08D54BFB" w14:textId="450EA47F"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CR on PDCCH monitoring in Type0B CSS for HD-FDD RedCap UEs</w:t>
            </w:r>
          </w:p>
        </w:tc>
        <w:tc>
          <w:tcPr>
            <w:tcW w:w="849" w:type="pct"/>
          </w:tcPr>
          <w:p w14:paraId="79D099C5" w14:textId="5DC9863C"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Moderator (Huawei), Qualcomm</w:t>
            </w:r>
          </w:p>
        </w:tc>
        <w:tc>
          <w:tcPr>
            <w:tcW w:w="248" w:type="pct"/>
          </w:tcPr>
          <w:p w14:paraId="52A8269B" w14:textId="172F8D6E" w:rsidR="005A18DC" w:rsidRPr="005A18DC" w:rsidRDefault="005A18DC" w:rsidP="005A18DC">
            <w:pPr>
              <w:rPr>
                <w:rFonts w:ascii="Arial" w:eastAsia="Times New Roman" w:hAnsi="Arial" w:cs="Arial"/>
                <w:color w:val="000000"/>
                <w:sz w:val="14"/>
                <w:szCs w:val="14"/>
                <w:lang w:eastAsia="en-GB"/>
              </w:rPr>
            </w:pPr>
            <w:hyperlink r:id="rId2368" w:history="1">
              <w:r w:rsidRPr="005A18DC">
                <w:rPr>
                  <w:rStyle w:val="Hyperlink"/>
                  <w:rFonts w:ascii="Arial" w:hAnsi="Arial" w:cs="Arial"/>
                  <w:b/>
                  <w:bCs/>
                  <w:sz w:val="14"/>
                  <w:szCs w:val="14"/>
                </w:rPr>
                <w:t>Rel-18</w:t>
              </w:r>
            </w:hyperlink>
          </w:p>
        </w:tc>
        <w:tc>
          <w:tcPr>
            <w:tcW w:w="301" w:type="pct"/>
            <w:shd w:val="clear" w:color="auto" w:fill="auto"/>
          </w:tcPr>
          <w:p w14:paraId="17DDF4E2" w14:textId="16518271" w:rsidR="005A18DC" w:rsidRPr="005A18DC" w:rsidRDefault="005A18DC" w:rsidP="005A18DC">
            <w:pPr>
              <w:rPr>
                <w:rFonts w:ascii="Arial" w:eastAsia="Times New Roman" w:hAnsi="Arial" w:cs="Arial"/>
                <w:color w:val="000000"/>
                <w:sz w:val="14"/>
                <w:szCs w:val="14"/>
                <w:lang w:eastAsia="en-GB"/>
              </w:rPr>
            </w:pPr>
            <w:hyperlink r:id="rId2369" w:history="1">
              <w:r w:rsidRPr="005A18DC">
                <w:rPr>
                  <w:rStyle w:val="Hyperlink"/>
                  <w:rFonts w:ascii="Arial" w:hAnsi="Arial" w:cs="Arial"/>
                  <w:b/>
                  <w:bCs/>
                  <w:sz w:val="14"/>
                  <w:szCs w:val="14"/>
                </w:rPr>
                <w:t>38.213</w:t>
              </w:r>
            </w:hyperlink>
          </w:p>
        </w:tc>
        <w:tc>
          <w:tcPr>
            <w:tcW w:w="324" w:type="pct"/>
            <w:shd w:val="clear" w:color="auto" w:fill="auto"/>
          </w:tcPr>
          <w:p w14:paraId="39083D25" w14:textId="5005D57C"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18.0.0</w:t>
            </w:r>
          </w:p>
        </w:tc>
        <w:tc>
          <w:tcPr>
            <w:tcW w:w="779" w:type="pct"/>
          </w:tcPr>
          <w:p w14:paraId="0C1E9361" w14:textId="0ADBC4E0"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color w:val="000000"/>
                <w:sz w:val="14"/>
                <w:szCs w:val="14"/>
              </w:rPr>
              <w:t>NR_MBS-Core, NR_redcap-Core</w:t>
            </w:r>
          </w:p>
        </w:tc>
        <w:tc>
          <w:tcPr>
            <w:tcW w:w="233" w:type="pct"/>
          </w:tcPr>
          <w:p w14:paraId="0C08A90A" w14:textId="2C1C7C26"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0555</w:t>
            </w:r>
          </w:p>
        </w:tc>
        <w:tc>
          <w:tcPr>
            <w:tcW w:w="226" w:type="pct"/>
          </w:tcPr>
          <w:p w14:paraId="43498BF8" w14:textId="5BD38F2D"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 </w:t>
            </w:r>
          </w:p>
        </w:tc>
        <w:tc>
          <w:tcPr>
            <w:tcW w:w="203" w:type="pct"/>
          </w:tcPr>
          <w:p w14:paraId="778B90CB" w14:textId="5E28953A"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A</w:t>
            </w:r>
          </w:p>
        </w:tc>
      </w:tr>
      <w:tr w:rsidR="005A18DC" w:rsidRPr="009537ED" w14:paraId="7ACDEB89" w14:textId="77777777" w:rsidTr="00B97F04">
        <w:trPr>
          <w:trHeight w:val="20"/>
        </w:trPr>
        <w:tc>
          <w:tcPr>
            <w:tcW w:w="365" w:type="pct"/>
          </w:tcPr>
          <w:p w14:paraId="3E3C5360" w14:textId="55F1B0C7" w:rsidR="005A18DC" w:rsidRPr="005A18DC" w:rsidRDefault="005A18DC" w:rsidP="005A18DC">
            <w:pPr>
              <w:rPr>
                <w:rFonts w:ascii="Arial" w:eastAsia="Times New Roman" w:hAnsi="Arial" w:cs="Arial"/>
                <w:color w:val="000000"/>
                <w:sz w:val="14"/>
                <w:szCs w:val="14"/>
                <w:lang w:eastAsia="en-GB"/>
              </w:rPr>
            </w:pPr>
            <w:hyperlink r:id="rId2370" w:history="1">
              <w:r w:rsidRPr="005A18DC">
                <w:rPr>
                  <w:rStyle w:val="Hyperlink"/>
                  <w:rFonts w:ascii="Arial" w:hAnsi="Arial" w:cs="Arial"/>
                  <w:b/>
                  <w:bCs/>
                  <w:sz w:val="14"/>
                  <w:szCs w:val="14"/>
                </w:rPr>
                <w:t>R1-2312559</w:t>
              </w:r>
            </w:hyperlink>
          </w:p>
        </w:tc>
        <w:tc>
          <w:tcPr>
            <w:tcW w:w="1471" w:type="pct"/>
          </w:tcPr>
          <w:p w14:paraId="2B5757A7" w14:textId="3417B2E9"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CR correcting scaling of angles for CDL model and a figure reference</w:t>
            </w:r>
          </w:p>
        </w:tc>
        <w:tc>
          <w:tcPr>
            <w:tcW w:w="849" w:type="pct"/>
          </w:tcPr>
          <w:p w14:paraId="50CA69F9" w14:textId="0C376EB6"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Ericsson, Samsung, Intel, Nokia, Nokia Shanghai Bell, ZTE</w:t>
            </w:r>
          </w:p>
        </w:tc>
        <w:tc>
          <w:tcPr>
            <w:tcW w:w="248" w:type="pct"/>
          </w:tcPr>
          <w:p w14:paraId="00505A2A" w14:textId="459EFC55" w:rsidR="005A18DC" w:rsidRPr="005A18DC" w:rsidRDefault="005A18DC" w:rsidP="005A18DC">
            <w:pPr>
              <w:rPr>
                <w:rFonts w:ascii="Arial" w:eastAsia="Times New Roman" w:hAnsi="Arial" w:cs="Arial"/>
                <w:color w:val="000000"/>
                <w:sz w:val="14"/>
                <w:szCs w:val="14"/>
                <w:lang w:eastAsia="en-GB"/>
              </w:rPr>
            </w:pPr>
            <w:hyperlink r:id="rId2371" w:history="1">
              <w:r w:rsidRPr="005A18DC">
                <w:rPr>
                  <w:rStyle w:val="Hyperlink"/>
                  <w:rFonts w:ascii="Arial" w:hAnsi="Arial" w:cs="Arial"/>
                  <w:b/>
                  <w:bCs/>
                  <w:sz w:val="14"/>
                  <w:szCs w:val="14"/>
                </w:rPr>
                <w:t>Rel-17</w:t>
              </w:r>
            </w:hyperlink>
          </w:p>
        </w:tc>
        <w:tc>
          <w:tcPr>
            <w:tcW w:w="301" w:type="pct"/>
            <w:shd w:val="clear" w:color="auto" w:fill="auto"/>
          </w:tcPr>
          <w:p w14:paraId="259FB588" w14:textId="7F4315E7" w:rsidR="005A18DC" w:rsidRPr="005A18DC" w:rsidRDefault="005A18DC" w:rsidP="005A18DC">
            <w:pPr>
              <w:rPr>
                <w:rFonts w:ascii="Arial" w:eastAsia="Times New Roman" w:hAnsi="Arial" w:cs="Arial"/>
                <w:color w:val="000000"/>
                <w:sz w:val="14"/>
                <w:szCs w:val="14"/>
                <w:lang w:eastAsia="en-GB"/>
              </w:rPr>
            </w:pPr>
            <w:hyperlink r:id="rId2372" w:history="1">
              <w:r w:rsidRPr="005A18DC">
                <w:rPr>
                  <w:rStyle w:val="Hyperlink"/>
                  <w:rFonts w:ascii="Arial" w:hAnsi="Arial" w:cs="Arial"/>
                  <w:b/>
                  <w:bCs/>
                  <w:sz w:val="14"/>
                  <w:szCs w:val="14"/>
                </w:rPr>
                <w:t>38.901</w:t>
              </w:r>
            </w:hyperlink>
          </w:p>
        </w:tc>
        <w:tc>
          <w:tcPr>
            <w:tcW w:w="324" w:type="pct"/>
            <w:shd w:val="clear" w:color="auto" w:fill="auto"/>
          </w:tcPr>
          <w:p w14:paraId="7B03E5B1" w14:textId="4BAC34A1"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17.0.0</w:t>
            </w:r>
          </w:p>
        </w:tc>
        <w:tc>
          <w:tcPr>
            <w:tcW w:w="779" w:type="pct"/>
          </w:tcPr>
          <w:p w14:paraId="5F8FA3DF" w14:textId="286BEC1E"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color w:val="000000"/>
                <w:sz w:val="14"/>
                <w:szCs w:val="14"/>
              </w:rPr>
              <w:t>NR_newRAT-Core, TEI17</w:t>
            </w:r>
          </w:p>
        </w:tc>
        <w:tc>
          <w:tcPr>
            <w:tcW w:w="233" w:type="pct"/>
          </w:tcPr>
          <w:p w14:paraId="248E837F" w14:textId="4F4DF664"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0025</w:t>
            </w:r>
          </w:p>
        </w:tc>
        <w:tc>
          <w:tcPr>
            <w:tcW w:w="226" w:type="pct"/>
          </w:tcPr>
          <w:p w14:paraId="0A575EAE" w14:textId="7CF23CB5"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 </w:t>
            </w:r>
          </w:p>
        </w:tc>
        <w:tc>
          <w:tcPr>
            <w:tcW w:w="203" w:type="pct"/>
          </w:tcPr>
          <w:p w14:paraId="54D7EDE2" w14:textId="740FD88C"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F</w:t>
            </w:r>
          </w:p>
        </w:tc>
      </w:tr>
      <w:tr w:rsidR="005A18DC" w:rsidRPr="009537ED" w14:paraId="7227AF19" w14:textId="77777777" w:rsidTr="00B97F04">
        <w:trPr>
          <w:trHeight w:val="20"/>
        </w:trPr>
        <w:tc>
          <w:tcPr>
            <w:tcW w:w="365" w:type="pct"/>
          </w:tcPr>
          <w:p w14:paraId="48D1F150" w14:textId="1EF3692C" w:rsidR="005A18DC" w:rsidRPr="005A18DC" w:rsidRDefault="005A18DC" w:rsidP="005A18DC">
            <w:pPr>
              <w:rPr>
                <w:rFonts w:ascii="Arial" w:eastAsia="Times New Roman" w:hAnsi="Arial" w:cs="Arial"/>
                <w:color w:val="000000"/>
                <w:sz w:val="14"/>
                <w:szCs w:val="14"/>
                <w:lang w:eastAsia="en-GB"/>
              </w:rPr>
            </w:pPr>
            <w:hyperlink r:id="rId2373" w:history="1">
              <w:r w:rsidRPr="005A18DC">
                <w:rPr>
                  <w:rStyle w:val="Hyperlink"/>
                  <w:rFonts w:ascii="Arial" w:hAnsi="Arial" w:cs="Arial"/>
                  <w:b/>
                  <w:bCs/>
                  <w:sz w:val="14"/>
                  <w:szCs w:val="14"/>
                </w:rPr>
                <w:t>R1-2312594</w:t>
              </w:r>
            </w:hyperlink>
          </w:p>
        </w:tc>
        <w:tc>
          <w:tcPr>
            <w:tcW w:w="1471" w:type="pct"/>
          </w:tcPr>
          <w:p w14:paraId="39235E5C" w14:textId="7B168FA1"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Correction to the SRS transmission collision</w:t>
            </w:r>
          </w:p>
        </w:tc>
        <w:tc>
          <w:tcPr>
            <w:tcW w:w="849" w:type="pct"/>
          </w:tcPr>
          <w:p w14:paraId="1CE7B02A" w14:textId="2B90FABE"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Moderator (Samsung)</w:t>
            </w:r>
          </w:p>
        </w:tc>
        <w:tc>
          <w:tcPr>
            <w:tcW w:w="248" w:type="pct"/>
          </w:tcPr>
          <w:p w14:paraId="7F5DEC55" w14:textId="73F00A2F" w:rsidR="005A18DC" w:rsidRPr="005A18DC" w:rsidRDefault="005A18DC" w:rsidP="005A18DC">
            <w:pPr>
              <w:rPr>
                <w:rFonts w:ascii="Arial" w:eastAsia="Times New Roman" w:hAnsi="Arial" w:cs="Arial"/>
                <w:color w:val="000000"/>
                <w:sz w:val="14"/>
                <w:szCs w:val="14"/>
                <w:lang w:eastAsia="en-GB"/>
              </w:rPr>
            </w:pPr>
            <w:hyperlink r:id="rId2374" w:history="1">
              <w:r w:rsidRPr="005A18DC">
                <w:rPr>
                  <w:rStyle w:val="Hyperlink"/>
                  <w:rFonts w:ascii="Arial" w:hAnsi="Arial" w:cs="Arial"/>
                  <w:b/>
                  <w:bCs/>
                  <w:sz w:val="14"/>
                  <w:szCs w:val="14"/>
                </w:rPr>
                <w:t>Rel-17</w:t>
              </w:r>
            </w:hyperlink>
          </w:p>
        </w:tc>
        <w:tc>
          <w:tcPr>
            <w:tcW w:w="301" w:type="pct"/>
            <w:shd w:val="clear" w:color="auto" w:fill="auto"/>
          </w:tcPr>
          <w:p w14:paraId="5140781B" w14:textId="5AC3B1FF" w:rsidR="005A18DC" w:rsidRPr="005A18DC" w:rsidRDefault="005A18DC" w:rsidP="005A18DC">
            <w:pPr>
              <w:rPr>
                <w:rFonts w:ascii="Arial" w:eastAsia="Times New Roman" w:hAnsi="Arial" w:cs="Arial"/>
                <w:color w:val="000000"/>
                <w:sz w:val="14"/>
                <w:szCs w:val="14"/>
                <w:lang w:eastAsia="en-GB"/>
              </w:rPr>
            </w:pPr>
            <w:hyperlink r:id="rId2375" w:history="1">
              <w:r w:rsidRPr="005A18DC">
                <w:rPr>
                  <w:rStyle w:val="Hyperlink"/>
                  <w:rFonts w:ascii="Arial" w:hAnsi="Arial" w:cs="Arial"/>
                  <w:b/>
                  <w:bCs/>
                  <w:sz w:val="14"/>
                  <w:szCs w:val="14"/>
                </w:rPr>
                <w:t>38.214</w:t>
              </w:r>
            </w:hyperlink>
          </w:p>
        </w:tc>
        <w:tc>
          <w:tcPr>
            <w:tcW w:w="324" w:type="pct"/>
            <w:shd w:val="clear" w:color="auto" w:fill="auto"/>
          </w:tcPr>
          <w:p w14:paraId="314C8E22" w14:textId="20906678"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17.7.0</w:t>
            </w:r>
          </w:p>
        </w:tc>
        <w:tc>
          <w:tcPr>
            <w:tcW w:w="779" w:type="pct"/>
          </w:tcPr>
          <w:p w14:paraId="60F57E86" w14:textId="5EB7D379" w:rsidR="005A18DC" w:rsidRPr="005A18DC" w:rsidRDefault="005A18DC" w:rsidP="005A18DC">
            <w:pPr>
              <w:rPr>
                <w:rFonts w:ascii="Arial" w:eastAsia="Times New Roman" w:hAnsi="Arial" w:cs="Arial"/>
                <w:color w:val="000000"/>
                <w:sz w:val="14"/>
                <w:szCs w:val="14"/>
                <w:lang w:eastAsia="en-GB"/>
              </w:rPr>
            </w:pPr>
            <w:hyperlink r:id="rId2376" w:history="1">
              <w:r w:rsidRPr="005A18DC">
                <w:rPr>
                  <w:rStyle w:val="Hyperlink"/>
                  <w:rFonts w:ascii="Arial" w:hAnsi="Arial" w:cs="Arial"/>
                  <w:b/>
                  <w:bCs/>
                  <w:sz w:val="14"/>
                  <w:szCs w:val="14"/>
                </w:rPr>
                <w:t>NR_pos_enh-Core</w:t>
              </w:r>
            </w:hyperlink>
          </w:p>
        </w:tc>
        <w:tc>
          <w:tcPr>
            <w:tcW w:w="233" w:type="pct"/>
          </w:tcPr>
          <w:p w14:paraId="4503C228" w14:textId="4D38A68B"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0469</w:t>
            </w:r>
          </w:p>
        </w:tc>
        <w:tc>
          <w:tcPr>
            <w:tcW w:w="226" w:type="pct"/>
          </w:tcPr>
          <w:p w14:paraId="3C3C4C74" w14:textId="1159F751"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 </w:t>
            </w:r>
          </w:p>
        </w:tc>
        <w:tc>
          <w:tcPr>
            <w:tcW w:w="203" w:type="pct"/>
          </w:tcPr>
          <w:p w14:paraId="704DC266" w14:textId="4371A994"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F</w:t>
            </w:r>
          </w:p>
        </w:tc>
      </w:tr>
      <w:tr w:rsidR="005A18DC" w:rsidRPr="009537ED" w14:paraId="7F81D407" w14:textId="77777777" w:rsidTr="00B97F04">
        <w:trPr>
          <w:trHeight w:val="20"/>
        </w:trPr>
        <w:tc>
          <w:tcPr>
            <w:tcW w:w="365" w:type="pct"/>
          </w:tcPr>
          <w:p w14:paraId="77754F95" w14:textId="7A8373B8" w:rsidR="005A18DC" w:rsidRPr="005A18DC" w:rsidRDefault="005A18DC" w:rsidP="005A18DC">
            <w:pPr>
              <w:rPr>
                <w:rFonts w:ascii="Arial" w:eastAsia="Times New Roman" w:hAnsi="Arial" w:cs="Arial"/>
                <w:color w:val="000000"/>
                <w:sz w:val="14"/>
                <w:szCs w:val="14"/>
                <w:lang w:eastAsia="en-GB"/>
              </w:rPr>
            </w:pPr>
            <w:hyperlink r:id="rId2377" w:history="1">
              <w:r w:rsidRPr="005A18DC">
                <w:rPr>
                  <w:rStyle w:val="Hyperlink"/>
                  <w:rFonts w:ascii="Arial" w:hAnsi="Arial" w:cs="Arial"/>
                  <w:b/>
                  <w:bCs/>
                  <w:sz w:val="14"/>
                  <w:szCs w:val="14"/>
                </w:rPr>
                <w:t>R1-2312595</w:t>
              </w:r>
            </w:hyperlink>
          </w:p>
        </w:tc>
        <w:tc>
          <w:tcPr>
            <w:tcW w:w="1471" w:type="pct"/>
          </w:tcPr>
          <w:p w14:paraId="6A7B10EB" w14:textId="1FFB5BB2"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Correction to the SRS transmission collision</w:t>
            </w:r>
          </w:p>
        </w:tc>
        <w:tc>
          <w:tcPr>
            <w:tcW w:w="849" w:type="pct"/>
          </w:tcPr>
          <w:p w14:paraId="0E450913" w14:textId="08F98D44"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Moderator (Samsung)</w:t>
            </w:r>
          </w:p>
        </w:tc>
        <w:tc>
          <w:tcPr>
            <w:tcW w:w="248" w:type="pct"/>
          </w:tcPr>
          <w:p w14:paraId="0979E17E" w14:textId="68AD15C2" w:rsidR="005A18DC" w:rsidRPr="005A18DC" w:rsidRDefault="005A18DC" w:rsidP="005A18DC">
            <w:pPr>
              <w:rPr>
                <w:rFonts w:ascii="Arial" w:eastAsia="Times New Roman" w:hAnsi="Arial" w:cs="Arial"/>
                <w:color w:val="000000"/>
                <w:sz w:val="14"/>
                <w:szCs w:val="14"/>
                <w:lang w:eastAsia="en-GB"/>
              </w:rPr>
            </w:pPr>
            <w:hyperlink r:id="rId2378" w:history="1">
              <w:r w:rsidRPr="005A18DC">
                <w:rPr>
                  <w:rStyle w:val="Hyperlink"/>
                  <w:rFonts w:ascii="Arial" w:hAnsi="Arial" w:cs="Arial"/>
                  <w:b/>
                  <w:bCs/>
                  <w:sz w:val="14"/>
                  <w:szCs w:val="14"/>
                </w:rPr>
                <w:t>Rel-18</w:t>
              </w:r>
            </w:hyperlink>
          </w:p>
        </w:tc>
        <w:tc>
          <w:tcPr>
            <w:tcW w:w="301" w:type="pct"/>
            <w:shd w:val="clear" w:color="auto" w:fill="auto"/>
          </w:tcPr>
          <w:p w14:paraId="23CC4C1B" w14:textId="5328AC2F" w:rsidR="005A18DC" w:rsidRPr="005A18DC" w:rsidRDefault="005A18DC" w:rsidP="005A18DC">
            <w:pPr>
              <w:rPr>
                <w:rFonts w:ascii="Arial" w:eastAsia="Times New Roman" w:hAnsi="Arial" w:cs="Arial"/>
                <w:color w:val="000000"/>
                <w:sz w:val="14"/>
                <w:szCs w:val="14"/>
                <w:lang w:eastAsia="en-GB"/>
              </w:rPr>
            </w:pPr>
            <w:hyperlink r:id="rId2379" w:history="1">
              <w:r w:rsidRPr="005A18DC">
                <w:rPr>
                  <w:rStyle w:val="Hyperlink"/>
                  <w:rFonts w:ascii="Arial" w:hAnsi="Arial" w:cs="Arial"/>
                  <w:b/>
                  <w:bCs/>
                  <w:sz w:val="14"/>
                  <w:szCs w:val="14"/>
                </w:rPr>
                <w:t>38.214</w:t>
              </w:r>
            </w:hyperlink>
          </w:p>
        </w:tc>
        <w:tc>
          <w:tcPr>
            <w:tcW w:w="324" w:type="pct"/>
            <w:shd w:val="clear" w:color="auto" w:fill="auto"/>
          </w:tcPr>
          <w:p w14:paraId="6F907D86" w14:textId="5A6278D0"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18.0.0</w:t>
            </w:r>
          </w:p>
        </w:tc>
        <w:tc>
          <w:tcPr>
            <w:tcW w:w="779" w:type="pct"/>
          </w:tcPr>
          <w:p w14:paraId="152C7618" w14:textId="0EC1B96E" w:rsidR="005A18DC" w:rsidRPr="005A18DC" w:rsidRDefault="005A18DC" w:rsidP="005A18DC">
            <w:pPr>
              <w:rPr>
                <w:rFonts w:ascii="Arial" w:eastAsia="Times New Roman" w:hAnsi="Arial" w:cs="Arial"/>
                <w:color w:val="000000"/>
                <w:sz w:val="14"/>
                <w:szCs w:val="14"/>
                <w:lang w:eastAsia="en-GB"/>
              </w:rPr>
            </w:pPr>
            <w:hyperlink r:id="rId2380" w:history="1">
              <w:r w:rsidRPr="005A18DC">
                <w:rPr>
                  <w:rStyle w:val="Hyperlink"/>
                  <w:rFonts w:ascii="Arial" w:hAnsi="Arial" w:cs="Arial"/>
                  <w:b/>
                  <w:bCs/>
                  <w:sz w:val="14"/>
                  <w:szCs w:val="14"/>
                </w:rPr>
                <w:t>NR_pos_enh-Core</w:t>
              </w:r>
            </w:hyperlink>
          </w:p>
        </w:tc>
        <w:tc>
          <w:tcPr>
            <w:tcW w:w="233" w:type="pct"/>
          </w:tcPr>
          <w:p w14:paraId="65BB264C" w14:textId="38F359B9"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0470</w:t>
            </w:r>
          </w:p>
        </w:tc>
        <w:tc>
          <w:tcPr>
            <w:tcW w:w="226" w:type="pct"/>
          </w:tcPr>
          <w:p w14:paraId="57B9188F" w14:textId="6AC5E0DA"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 </w:t>
            </w:r>
          </w:p>
        </w:tc>
        <w:tc>
          <w:tcPr>
            <w:tcW w:w="203" w:type="pct"/>
          </w:tcPr>
          <w:p w14:paraId="72F015D0" w14:textId="444FF272"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A</w:t>
            </w:r>
          </w:p>
        </w:tc>
      </w:tr>
      <w:tr w:rsidR="005A18DC" w:rsidRPr="009537ED" w14:paraId="39D05416" w14:textId="77777777" w:rsidTr="00B97F04">
        <w:trPr>
          <w:trHeight w:val="20"/>
        </w:trPr>
        <w:tc>
          <w:tcPr>
            <w:tcW w:w="365" w:type="pct"/>
          </w:tcPr>
          <w:p w14:paraId="32B02055" w14:textId="4A14E4F1" w:rsidR="005A18DC" w:rsidRPr="005A18DC" w:rsidRDefault="005A18DC" w:rsidP="005A18DC">
            <w:pPr>
              <w:rPr>
                <w:rFonts w:ascii="Arial" w:eastAsia="Times New Roman" w:hAnsi="Arial" w:cs="Arial"/>
                <w:color w:val="000000"/>
                <w:sz w:val="14"/>
                <w:szCs w:val="14"/>
                <w:lang w:eastAsia="en-GB"/>
              </w:rPr>
            </w:pPr>
            <w:hyperlink r:id="rId2381" w:history="1">
              <w:r w:rsidRPr="005A18DC">
                <w:rPr>
                  <w:rStyle w:val="Hyperlink"/>
                  <w:rFonts w:ascii="Arial" w:hAnsi="Arial" w:cs="Arial"/>
                  <w:b/>
                  <w:bCs/>
                  <w:sz w:val="14"/>
                  <w:szCs w:val="14"/>
                </w:rPr>
                <w:t>R1-2312599</w:t>
              </w:r>
            </w:hyperlink>
          </w:p>
        </w:tc>
        <w:tc>
          <w:tcPr>
            <w:tcW w:w="1471" w:type="pct"/>
          </w:tcPr>
          <w:p w14:paraId="29D5263C" w14:textId="1E9FD01D"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CR on Memory issue associated to slot offset determination for A-CSI without data</w:t>
            </w:r>
          </w:p>
        </w:tc>
        <w:tc>
          <w:tcPr>
            <w:tcW w:w="849" w:type="pct"/>
          </w:tcPr>
          <w:p w14:paraId="71289EF7" w14:textId="73FFA4D9"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Moderator (Apple), Nokia, Nokia Shanghai Bell, Samsung</w:t>
            </w:r>
          </w:p>
        </w:tc>
        <w:tc>
          <w:tcPr>
            <w:tcW w:w="248" w:type="pct"/>
          </w:tcPr>
          <w:p w14:paraId="3E675B66" w14:textId="31642181" w:rsidR="005A18DC" w:rsidRPr="005A18DC" w:rsidRDefault="005A18DC" w:rsidP="005A18DC">
            <w:pPr>
              <w:rPr>
                <w:rFonts w:ascii="Arial" w:eastAsia="Times New Roman" w:hAnsi="Arial" w:cs="Arial"/>
                <w:color w:val="000000"/>
                <w:sz w:val="14"/>
                <w:szCs w:val="14"/>
                <w:lang w:eastAsia="en-GB"/>
              </w:rPr>
            </w:pPr>
            <w:hyperlink r:id="rId2382" w:history="1">
              <w:r w:rsidRPr="005A18DC">
                <w:rPr>
                  <w:rStyle w:val="Hyperlink"/>
                  <w:rFonts w:ascii="Arial" w:hAnsi="Arial" w:cs="Arial"/>
                  <w:b/>
                  <w:bCs/>
                  <w:sz w:val="14"/>
                  <w:szCs w:val="14"/>
                </w:rPr>
                <w:t>Rel-16</w:t>
              </w:r>
            </w:hyperlink>
          </w:p>
        </w:tc>
        <w:tc>
          <w:tcPr>
            <w:tcW w:w="301" w:type="pct"/>
            <w:shd w:val="clear" w:color="auto" w:fill="auto"/>
          </w:tcPr>
          <w:p w14:paraId="1E2A20AA" w14:textId="69661153" w:rsidR="005A18DC" w:rsidRPr="005A18DC" w:rsidRDefault="005A18DC" w:rsidP="005A18DC">
            <w:pPr>
              <w:rPr>
                <w:rFonts w:ascii="Arial" w:eastAsia="Times New Roman" w:hAnsi="Arial" w:cs="Arial"/>
                <w:color w:val="000000"/>
                <w:sz w:val="14"/>
                <w:szCs w:val="14"/>
                <w:lang w:eastAsia="en-GB"/>
              </w:rPr>
            </w:pPr>
            <w:hyperlink r:id="rId2383" w:history="1">
              <w:r w:rsidRPr="005A18DC">
                <w:rPr>
                  <w:rStyle w:val="Hyperlink"/>
                  <w:rFonts w:ascii="Arial" w:hAnsi="Arial" w:cs="Arial"/>
                  <w:b/>
                  <w:bCs/>
                  <w:sz w:val="14"/>
                  <w:szCs w:val="14"/>
                </w:rPr>
                <w:t>38.214</w:t>
              </w:r>
            </w:hyperlink>
          </w:p>
        </w:tc>
        <w:tc>
          <w:tcPr>
            <w:tcW w:w="324" w:type="pct"/>
            <w:shd w:val="clear" w:color="auto" w:fill="auto"/>
          </w:tcPr>
          <w:p w14:paraId="5133CD9C" w14:textId="0BB39797"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16.14.0</w:t>
            </w:r>
          </w:p>
        </w:tc>
        <w:tc>
          <w:tcPr>
            <w:tcW w:w="779" w:type="pct"/>
          </w:tcPr>
          <w:p w14:paraId="4B63A7D2" w14:textId="03CB27B1" w:rsidR="005A18DC" w:rsidRPr="005A18DC" w:rsidRDefault="005A18DC" w:rsidP="005A18DC">
            <w:pPr>
              <w:rPr>
                <w:rFonts w:ascii="Arial" w:eastAsia="Times New Roman" w:hAnsi="Arial" w:cs="Arial"/>
                <w:color w:val="000000"/>
                <w:sz w:val="14"/>
                <w:szCs w:val="14"/>
                <w:lang w:eastAsia="en-GB"/>
              </w:rPr>
            </w:pPr>
            <w:hyperlink r:id="rId2384" w:history="1">
              <w:r w:rsidRPr="005A18DC">
                <w:rPr>
                  <w:rStyle w:val="Hyperlink"/>
                  <w:rFonts w:ascii="Arial" w:hAnsi="Arial" w:cs="Arial"/>
                  <w:b/>
                  <w:bCs/>
                  <w:sz w:val="14"/>
                  <w:szCs w:val="14"/>
                </w:rPr>
                <w:t>NR_L1enh_URLLC-Core</w:t>
              </w:r>
            </w:hyperlink>
          </w:p>
        </w:tc>
        <w:tc>
          <w:tcPr>
            <w:tcW w:w="233" w:type="pct"/>
          </w:tcPr>
          <w:p w14:paraId="492A0E70" w14:textId="23BE6EBE"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0471</w:t>
            </w:r>
          </w:p>
        </w:tc>
        <w:tc>
          <w:tcPr>
            <w:tcW w:w="226" w:type="pct"/>
          </w:tcPr>
          <w:p w14:paraId="6D78AEC9" w14:textId="5BAB46C3"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 </w:t>
            </w:r>
          </w:p>
        </w:tc>
        <w:tc>
          <w:tcPr>
            <w:tcW w:w="203" w:type="pct"/>
          </w:tcPr>
          <w:p w14:paraId="49D63587" w14:textId="54C69B94"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F</w:t>
            </w:r>
          </w:p>
        </w:tc>
      </w:tr>
      <w:tr w:rsidR="005A18DC" w:rsidRPr="009537ED" w14:paraId="483DAD4A" w14:textId="77777777" w:rsidTr="00B97F04">
        <w:trPr>
          <w:trHeight w:val="20"/>
        </w:trPr>
        <w:tc>
          <w:tcPr>
            <w:tcW w:w="365" w:type="pct"/>
          </w:tcPr>
          <w:p w14:paraId="083693E2" w14:textId="624B5674" w:rsidR="005A18DC" w:rsidRPr="005A18DC" w:rsidRDefault="005A18DC" w:rsidP="005A18DC">
            <w:pPr>
              <w:rPr>
                <w:rFonts w:ascii="Arial" w:eastAsia="Times New Roman" w:hAnsi="Arial" w:cs="Arial"/>
                <w:color w:val="000000"/>
                <w:sz w:val="14"/>
                <w:szCs w:val="14"/>
                <w:lang w:eastAsia="en-GB"/>
              </w:rPr>
            </w:pPr>
            <w:hyperlink r:id="rId2385" w:history="1">
              <w:r w:rsidRPr="005A18DC">
                <w:rPr>
                  <w:rStyle w:val="Hyperlink"/>
                  <w:rFonts w:ascii="Arial" w:hAnsi="Arial" w:cs="Arial"/>
                  <w:b/>
                  <w:bCs/>
                  <w:sz w:val="14"/>
                  <w:szCs w:val="14"/>
                </w:rPr>
                <w:t>R1-2312600</w:t>
              </w:r>
            </w:hyperlink>
          </w:p>
        </w:tc>
        <w:tc>
          <w:tcPr>
            <w:tcW w:w="1471" w:type="pct"/>
          </w:tcPr>
          <w:p w14:paraId="30D3E7F2" w14:textId="7F408A3C"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CR on Memory issue associated to slot offset determination for A-CSI without data</w:t>
            </w:r>
          </w:p>
        </w:tc>
        <w:tc>
          <w:tcPr>
            <w:tcW w:w="849" w:type="pct"/>
          </w:tcPr>
          <w:p w14:paraId="4C75F426" w14:textId="6A0427CA"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Moderator (Apple), Nokia, Nokia Shanghai Bell, Samsung</w:t>
            </w:r>
          </w:p>
        </w:tc>
        <w:tc>
          <w:tcPr>
            <w:tcW w:w="248" w:type="pct"/>
          </w:tcPr>
          <w:p w14:paraId="64242959" w14:textId="3C77644C" w:rsidR="005A18DC" w:rsidRPr="005A18DC" w:rsidRDefault="005A18DC" w:rsidP="005A18DC">
            <w:pPr>
              <w:rPr>
                <w:rFonts w:ascii="Arial" w:eastAsia="Times New Roman" w:hAnsi="Arial" w:cs="Arial"/>
                <w:color w:val="000000"/>
                <w:sz w:val="14"/>
                <w:szCs w:val="14"/>
                <w:lang w:eastAsia="en-GB"/>
              </w:rPr>
            </w:pPr>
            <w:hyperlink r:id="rId2386" w:history="1">
              <w:r w:rsidRPr="005A18DC">
                <w:rPr>
                  <w:rStyle w:val="Hyperlink"/>
                  <w:rFonts w:ascii="Arial" w:hAnsi="Arial" w:cs="Arial"/>
                  <w:b/>
                  <w:bCs/>
                  <w:sz w:val="14"/>
                  <w:szCs w:val="14"/>
                </w:rPr>
                <w:t>Rel-17</w:t>
              </w:r>
            </w:hyperlink>
          </w:p>
        </w:tc>
        <w:tc>
          <w:tcPr>
            <w:tcW w:w="301" w:type="pct"/>
            <w:shd w:val="clear" w:color="auto" w:fill="auto"/>
          </w:tcPr>
          <w:p w14:paraId="5A53297A" w14:textId="4B4F9160" w:rsidR="005A18DC" w:rsidRPr="005A18DC" w:rsidRDefault="005A18DC" w:rsidP="005A18DC">
            <w:pPr>
              <w:rPr>
                <w:rFonts w:ascii="Arial" w:eastAsia="Times New Roman" w:hAnsi="Arial" w:cs="Arial"/>
                <w:color w:val="000000"/>
                <w:sz w:val="14"/>
                <w:szCs w:val="14"/>
                <w:lang w:eastAsia="en-GB"/>
              </w:rPr>
            </w:pPr>
            <w:hyperlink r:id="rId2387" w:history="1">
              <w:r w:rsidRPr="005A18DC">
                <w:rPr>
                  <w:rStyle w:val="Hyperlink"/>
                  <w:rFonts w:ascii="Arial" w:hAnsi="Arial" w:cs="Arial"/>
                  <w:b/>
                  <w:bCs/>
                  <w:sz w:val="14"/>
                  <w:szCs w:val="14"/>
                </w:rPr>
                <w:t>38.214</w:t>
              </w:r>
            </w:hyperlink>
          </w:p>
        </w:tc>
        <w:tc>
          <w:tcPr>
            <w:tcW w:w="324" w:type="pct"/>
            <w:shd w:val="clear" w:color="auto" w:fill="auto"/>
          </w:tcPr>
          <w:p w14:paraId="436B079C" w14:textId="4688DA94"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17.7.0</w:t>
            </w:r>
          </w:p>
        </w:tc>
        <w:tc>
          <w:tcPr>
            <w:tcW w:w="779" w:type="pct"/>
          </w:tcPr>
          <w:p w14:paraId="7C0FC0C9" w14:textId="0B363D48" w:rsidR="005A18DC" w:rsidRPr="005A18DC" w:rsidRDefault="005A18DC" w:rsidP="005A18DC">
            <w:pPr>
              <w:rPr>
                <w:rFonts w:ascii="Arial" w:eastAsia="Times New Roman" w:hAnsi="Arial" w:cs="Arial"/>
                <w:color w:val="000000"/>
                <w:sz w:val="14"/>
                <w:szCs w:val="14"/>
                <w:lang w:eastAsia="en-GB"/>
              </w:rPr>
            </w:pPr>
            <w:hyperlink r:id="rId2388" w:history="1">
              <w:r w:rsidRPr="005A18DC">
                <w:rPr>
                  <w:rStyle w:val="Hyperlink"/>
                  <w:rFonts w:ascii="Arial" w:hAnsi="Arial" w:cs="Arial"/>
                  <w:b/>
                  <w:bCs/>
                  <w:sz w:val="14"/>
                  <w:szCs w:val="14"/>
                </w:rPr>
                <w:t>NR_L1enh_URLLC-Core</w:t>
              </w:r>
            </w:hyperlink>
          </w:p>
        </w:tc>
        <w:tc>
          <w:tcPr>
            <w:tcW w:w="233" w:type="pct"/>
          </w:tcPr>
          <w:p w14:paraId="0363EC6A" w14:textId="3AD99AA5"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0472</w:t>
            </w:r>
          </w:p>
        </w:tc>
        <w:tc>
          <w:tcPr>
            <w:tcW w:w="226" w:type="pct"/>
          </w:tcPr>
          <w:p w14:paraId="2B7148B2" w14:textId="490E7B37"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 </w:t>
            </w:r>
          </w:p>
        </w:tc>
        <w:tc>
          <w:tcPr>
            <w:tcW w:w="203" w:type="pct"/>
          </w:tcPr>
          <w:p w14:paraId="33FE9242" w14:textId="4B99CD90"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A</w:t>
            </w:r>
          </w:p>
        </w:tc>
      </w:tr>
      <w:tr w:rsidR="005A18DC" w:rsidRPr="009537ED" w14:paraId="4A835EFE" w14:textId="77777777" w:rsidTr="00B97F04">
        <w:trPr>
          <w:trHeight w:val="20"/>
        </w:trPr>
        <w:tc>
          <w:tcPr>
            <w:tcW w:w="365" w:type="pct"/>
          </w:tcPr>
          <w:p w14:paraId="012DDC62" w14:textId="666FEC52" w:rsidR="005A18DC" w:rsidRPr="005A18DC" w:rsidRDefault="005A18DC" w:rsidP="005A18DC">
            <w:pPr>
              <w:rPr>
                <w:rFonts w:ascii="Arial" w:eastAsia="Times New Roman" w:hAnsi="Arial" w:cs="Arial"/>
                <w:color w:val="000000"/>
                <w:sz w:val="14"/>
                <w:szCs w:val="14"/>
                <w:lang w:eastAsia="en-GB"/>
              </w:rPr>
            </w:pPr>
            <w:hyperlink r:id="rId2389" w:history="1">
              <w:r w:rsidRPr="005A18DC">
                <w:rPr>
                  <w:rStyle w:val="Hyperlink"/>
                  <w:rFonts w:ascii="Arial" w:hAnsi="Arial" w:cs="Arial"/>
                  <w:b/>
                  <w:bCs/>
                  <w:sz w:val="14"/>
                  <w:szCs w:val="14"/>
                </w:rPr>
                <w:t>R1-2312601</w:t>
              </w:r>
            </w:hyperlink>
          </w:p>
        </w:tc>
        <w:tc>
          <w:tcPr>
            <w:tcW w:w="1471" w:type="pct"/>
          </w:tcPr>
          <w:p w14:paraId="576C4FAD" w14:textId="6EC9EBEA"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CR on Memory issue associated to slot offset determination for A-CSI without data</w:t>
            </w:r>
          </w:p>
        </w:tc>
        <w:tc>
          <w:tcPr>
            <w:tcW w:w="849" w:type="pct"/>
          </w:tcPr>
          <w:p w14:paraId="713982E7" w14:textId="536C5FF3"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Moderator (Apple), Nokia, Nokia Shanghai Bell, Samsung</w:t>
            </w:r>
          </w:p>
        </w:tc>
        <w:tc>
          <w:tcPr>
            <w:tcW w:w="248" w:type="pct"/>
          </w:tcPr>
          <w:p w14:paraId="465FC22B" w14:textId="7FA9D580" w:rsidR="005A18DC" w:rsidRPr="005A18DC" w:rsidRDefault="005A18DC" w:rsidP="005A18DC">
            <w:pPr>
              <w:rPr>
                <w:rFonts w:ascii="Arial" w:eastAsia="Times New Roman" w:hAnsi="Arial" w:cs="Arial"/>
                <w:color w:val="000000"/>
                <w:sz w:val="14"/>
                <w:szCs w:val="14"/>
                <w:lang w:eastAsia="en-GB"/>
              </w:rPr>
            </w:pPr>
            <w:hyperlink r:id="rId2390" w:history="1">
              <w:r w:rsidRPr="005A18DC">
                <w:rPr>
                  <w:rStyle w:val="Hyperlink"/>
                  <w:rFonts w:ascii="Arial" w:hAnsi="Arial" w:cs="Arial"/>
                  <w:b/>
                  <w:bCs/>
                  <w:sz w:val="14"/>
                  <w:szCs w:val="14"/>
                </w:rPr>
                <w:t>Rel-18</w:t>
              </w:r>
            </w:hyperlink>
          </w:p>
        </w:tc>
        <w:tc>
          <w:tcPr>
            <w:tcW w:w="301" w:type="pct"/>
            <w:shd w:val="clear" w:color="auto" w:fill="auto"/>
          </w:tcPr>
          <w:p w14:paraId="62A8B4F9" w14:textId="317082BE" w:rsidR="005A18DC" w:rsidRPr="005A18DC" w:rsidRDefault="005A18DC" w:rsidP="005A18DC">
            <w:pPr>
              <w:rPr>
                <w:rFonts w:ascii="Arial" w:eastAsia="Times New Roman" w:hAnsi="Arial" w:cs="Arial"/>
                <w:color w:val="000000"/>
                <w:sz w:val="14"/>
                <w:szCs w:val="14"/>
                <w:lang w:eastAsia="en-GB"/>
              </w:rPr>
            </w:pPr>
            <w:hyperlink r:id="rId2391" w:history="1">
              <w:r w:rsidRPr="005A18DC">
                <w:rPr>
                  <w:rStyle w:val="Hyperlink"/>
                  <w:rFonts w:ascii="Arial" w:hAnsi="Arial" w:cs="Arial"/>
                  <w:b/>
                  <w:bCs/>
                  <w:sz w:val="14"/>
                  <w:szCs w:val="14"/>
                </w:rPr>
                <w:t>38.214</w:t>
              </w:r>
            </w:hyperlink>
          </w:p>
        </w:tc>
        <w:tc>
          <w:tcPr>
            <w:tcW w:w="324" w:type="pct"/>
            <w:shd w:val="clear" w:color="auto" w:fill="auto"/>
          </w:tcPr>
          <w:p w14:paraId="7D33ADFD" w14:textId="44547496"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18.0.0</w:t>
            </w:r>
          </w:p>
        </w:tc>
        <w:tc>
          <w:tcPr>
            <w:tcW w:w="779" w:type="pct"/>
          </w:tcPr>
          <w:p w14:paraId="42A6B494" w14:textId="770975DB" w:rsidR="005A18DC" w:rsidRPr="005A18DC" w:rsidRDefault="005A18DC" w:rsidP="005A18DC">
            <w:pPr>
              <w:rPr>
                <w:rFonts w:ascii="Arial" w:eastAsia="Times New Roman" w:hAnsi="Arial" w:cs="Arial"/>
                <w:color w:val="000000"/>
                <w:sz w:val="14"/>
                <w:szCs w:val="14"/>
                <w:lang w:eastAsia="en-GB"/>
              </w:rPr>
            </w:pPr>
            <w:hyperlink r:id="rId2392" w:history="1">
              <w:r w:rsidRPr="005A18DC">
                <w:rPr>
                  <w:rStyle w:val="Hyperlink"/>
                  <w:rFonts w:ascii="Arial" w:hAnsi="Arial" w:cs="Arial"/>
                  <w:b/>
                  <w:bCs/>
                  <w:sz w:val="14"/>
                  <w:szCs w:val="14"/>
                </w:rPr>
                <w:t>NR_L1enh_URLLC-Core</w:t>
              </w:r>
            </w:hyperlink>
          </w:p>
        </w:tc>
        <w:tc>
          <w:tcPr>
            <w:tcW w:w="233" w:type="pct"/>
          </w:tcPr>
          <w:p w14:paraId="106A5A60" w14:textId="40FB4AD2"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0473</w:t>
            </w:r>
          </w:p>
        </w:tc>
        <w:tc>
          <w:tcPr>
            <w:tcW w:w="226" w:type="pct"/>
          </w:tcPr>
          <w:p w14:paraId="5B19C8B9" w14:textId="0372224D"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 </w:t>
            </w:r>
          </w:p>
        </w:tc>
        <w:tc>
          <w:tcPr>
            <w:tcW w:w="203" w:type="pct"/>
          </w:tcPr>
          <w:p w14:paraId="073655B9" w14:textId="4C9A8670"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A</w:t>
            </w:r>
          </w:p>
        </w:tc>
      </w:tr>
      <w:tr w:rsidR="005A18DC" w:rsidRPr="009537ED" w14:paraId="77342915" w14:textId="77777777" w:rsidTr="00B97F04">
        <w:trPr>
          <w:trHeight w:val="20"/>
        </w:trPr>
        <w:tc>
          <w:tcPr>
            <w:tcW w:w="365" w:type="pct"/>
          </w:tcPr>
          <w:p w14:paraId="2CE00660" w14:textId="5F2465CE" w:rsidR="005A18DC" w:rsidRPr="005A18DC" w:rsidRDefault="005A18DC" w:rsidP="005A18DC">
            <w:pPr>
              <w:rPr>
                <w:rFonts w:ascii="Arial" w:eastAsia="Times New Roman" w:hAnsi="Arial" w:cs="Arial"/>
                <w:color w:val="000000"/>
                <w:sz w:val="14"/>
                <w:szCs w:val="14"/>
                <w:lang w:eastAsia="en-GB"/>
              </w:rPr>
            </w:pPr>
            <w:hyperlink r:id="rId2393" w:history="1">
              <w:r w:rsidRPr="005A18DC">
                <w:rPr>
                  <w:rStyle w:val="Hyperlink"/>
                  <w:rFonts w:ascii="Arial" w:hAnsi="Arial" w:cs="Arial"/>
                  <w:b/>
                  <w:bCs/>
                  <w:sz w:val="14"/>
                  <w:szCs w:val="14"/>
                </w:rPr>
                <w:t>R1-2312626</w:t>
              </w:r>
            </w:hyperlink>
          </w:p>
        </w:tc>
        <w:tc>
          <w:tcPr>
            <w:tcW w:w="1471" w:type="pct"/>
          </w:tcPr>
          <w:p w14:paraId="29614B05" w14:textId="126277FD"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CR on Simultaneous PUCCH and PUSCH transmission with same priority in UL CA</w:t>
            </w:r>
          </w:p>
        </w:tc>
        <w:tc>
          <w:tcPr>
            <w:tcW w:w="849" w:type="pct"/>
          </w:tcPr>
          <w:p w14:paraId="1487D6DC" w14:textId="66A1EAD1"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Samsung, Ericsson, Verizon, Nokia, Nokia Shanghai Bell, ZTE</w:t>
            </w:r>
          </w:p>
        </w:tc>
        <w:tc>
          <w:tcPr>
            <w:tcW w:w="248" w:type="pct"/>
          </w:tcPr>
          <w:p w14:paraId="3A4A79CF" w14:textId="6CBA3FD2" w:rsidR="005A18DC" w:rsidRPr="005A18DC" w:rsidRDefault="005A18DC" w:rsidP="005A18DC">
            <w:pPr>
              <w:rPr>
                <w:rFonts w:ascii="Arial" w:eastAsia="Times New Roman" w:hAnsi="Arial" w:cs="Arial"/>
                <w:color w:val="000000"/>
                <w:sz w:val="14"/>
                <w:szCs w:val="14"/>
                <w:lang w:eastAsia="en-GB"/>
              </w:rPr>
            </w:pPr>
            <w:hyperlink r:id="rId2394" w:history="1">
              <w:r w:rsidRPr="005A18DC">
                <w:rPr>
                  <w:rStyle w:val="Hyperlink"/>
                  <w:rFonts w:ascii="Arial" w:hAnsi="Arial" w:cs="Arial"/>
                  <w:b/>
                  <w:bCs/>
                  <w:sz w:val="14"/>
                  <w:szCs w:val="14"/>
                </w:rPr>
                <w:t>Rel-17</w:t>
              </w:r>
            </w:hyperlink>
          </w:p>
        </w:tc>
        <w:tc>
          <w:tcPr>
            <w:tcW w:w="301" w:type="pct"/>
            <w:shd w:val="clear" w:color="auto" w:fill="auto"/>
          </w:tcPr>
          <w:p w14:paraId="562FC367" w14:textId="402F4AB5" w:rsidR="005A18DC" w:rsidRPr="005A18DC" w:rsidRDefault="005A18DC" w:rsidP="005A18DC">
            <w:pPr>
              <w:rPr>
                <w:rFonts w:ascii="Arial" w:eastAsia="Times New Roman" w:hAnsi="Arial" w:cs="Arial"/>
                <w:color w:val="000000"/>
                <w:sz w:val="14"/>
                <w:szCs w:val="14"/>
                <w:lang w:eastAsia="en-GB"/>
              </w:rPr>
            </w:pPr>
            <w:hyperlink r:id="rId2395" w:history="1">
              <w:r w:rsidRPr="005A18DC">
                <w:rPr>
                  <w:rStyle w:val="Hyperlink"/>
                  <w:rFonts w:ascii="Arial" w:hAnsi="Arial" w:cs="Arial"/>
                  <w:b/>
                  <w:bCs/>
                  <w:sz w:val="14"/>
                  <w:szCs w:val="14"/>
                </w:rPr>
                <w:t>38.213</w:t>
              </w:r>
            </w:hyperlink>
          </w:p>
        </w:tc>
        <w:tc>
          <w:tcPr>
            <w:tcW w:w="324" w:type="pct"/>
            <w:shd w:val="clear" w:color="auto" w:fill="auto"/>
          </w:tcPr>
          <w:p w14:paraId="01683205" w14:textId="7151DF7D"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17.7.0</w:t>
            </w:r>
          </w:p>
        </w:tc>
        <w:tc>
          <w:tcPr>
            <w:tcW w:w="779" w:type="pct"/>
          </w:tcPr>
          <w:p w14:paraId="15539700" w14:textId="6CF7A12A"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color w:val="000000"/>
                <w:sz w:val="14"/>
                <w:szCs w:val="14"/>
              </w:rPr>
              <w:t>NR_newRAT-Core, TEI17</w:t>
            </w:r>
          </w:p>
        </w:tc>
        <w:tc>
          <w:tcPr>
            <w:tcW w:w="233" w:type="pct"/>
          </w:tcPr>
          <w:p w14:paraId="42D4A2C8" w14:textId="72EEB1AE"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0556</w:t>
            </w:r>
          </w:p>
        </w:tc>
        <w:tc>
          <w:tcPr>
            <w:tcW w:w="226" w:type="pct"/>
          </w:tcPr>
          <w:p w14:paraId="7275B872" w14:textId="4A234FEE"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 </w:t>
            </w:r>
          </w:p>
        </w:tc>
        <w:tc>
          <w:tcPr>
            <w:tcW w:w="203" w:type="pct"/>
          </w:tcPr>
          <w:p w14:paraId="2931D138" w14:textId="47BE30B5"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F</w:t>
            </w:r>
          </w:p>
        </w:tc>
      </w:tr>
      <w:tr w:rsidR="005A18DC" w:rsidRPr="009537ED" w14:paraId="3D512995" w14:textId="77777777" w:rsidTr="00B97F04">
        <w:trPr>
          <w:trHeight w:val="20"/>
        </w:trPr>
        <w:tc>
          <w:tcPr>
            <w:tcW w:w="365" w:type="pct"/>
          </w:tcPr>
          <w:p w14:paraId="2718FF5E" w14:textId="665F6206" w:rsidR="005A18DC" w:rsidRPr="005A18DC" w:rsidRDefault="005A18DC" w:rsidP="005A18DC">
            <w:pPr>
              <w:rPr>
                <w:rFonts w:ascii="Arial" w:eastAsia="Times New Roman" w:hAnsi="Arial" w:cs="Arial"/>
                <w:color w:val="000000"/>
                <w:sz w:val="14"/>
                <w:szCs w:val="14"/>
                <w:lang w:eastAsia="en-GB"/>
              </w:rPr>
            </w:pPr>
            <w:hyperlink r:id="rId2396" w:history="1">
              <w:r w:rsidRPr="005A18DC">
                <w:rPr>
                  <w:rStyle w:val="Hyperlink"/>
                  <w:rFonts w:ascii="Arial" w:hAnsi="Arial" w:cs="Arial"/>
                  <w:b/>
                  <w:bCs/>
                  <w:sz w:val="14"/>
                  <w:szCs w:val="14"/>
                </w:rPr>
                <w:t>R1-2312627</w:t>
              </w:r>
            </w:hyperlink>
          </w:p>
        </w:tc>
        <w:tc>
          <w:tcPr>
            <w:tcW w:w="1471" w:type="pct"/>
          </w:tcPr>
          <w:p w14:paraId="050992FE" w14:textId="74406AF3"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CR on Simultaneous PUCCH and PUSCH transmission with same priority in UL CA</w:t>
            </w:r>
          </w:p>
        </w:tc>
        <w:tc>
          <w:tcPr>
            <w:tcW w:w="849" w:type="pct"/>
          </w:tcPr>
          <w:p w14:paraId="5B58C595" w14:textId="6653E642"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Samsung, Ericsson, Verizon, Nokia, Nokia Shanghai Bell, ZTE</w:t>
            </w:r>
          </w:p>
        </w:tc>
        <w:tc>
          <w:tcPr>
            <w:tcW w:w="248" w:type="pct"/>
          </w:tcPr>
          <w:p w14:paraId="77A0BE84" w14:textId="3BB56717" w:rsidR="005A18DC" w:rsidRPr="005A18DC" w:rsidRDefault="005A18DC" w:rsidP="005A18DC">
            <w:pPr>
              <w:rPr>
                <w:rFonts w:ascii="Arial" w:eastAsia="Times New Roman" w:hAnsi="Arial" w:cs="Arial"/>
                <w:color w:val="000000"/>
                <w:sz w:val="14"/>
                <w:szCs w:val="14"/>
                <w:lang w:eastAsia="en-GB"/>
              </w:rPr>
            </w:pPr>
            <w:hyperlink r:id="rId2397" w:history="1">
              <w:r w:rsidRPr="005A18DC">
                <w:rPr>
                  <w:rStyle w:val="Hyperlink"/>
                  <w:rFonts w:ascii="Arial" w:hAnsi="Arial" w:cs="Arial"/>
                  <w:b/>
                  <w:bCs/>
                  <w:sz w:val="14"/>
                  <w:szCs w:val="14"/>
                </w:rPr>
                <w:t>Rel-18</w:t>
              </w:r>
            </w:hyperlink>
          </w:p>
        </w:tc>
        <w:tc>
          <w:tcPr>
            <w:tcW w:w="301" w:type="pct"/>
            <w:shd w:val="clear" w:color="auto" w:fill="auto"/>
          </w:tcPr>
          <w:p w14:paraId="6CB9C28A" w14:textId="3940B386" w:rsidR="005A18DC" w:rsidRPr="005A18DC" w:rsidRDefault="005A18DC" w:rsidP="005A18DC">
            <w:pPr>
              <w:rPr>
                <w:rFonts w:ascii="Arial" w:eastAsia="Times New Roman" w:hAnsi="Arial" w:cs="Arial"/>
                <w:color w:val="000000"/>
                <w:sz w:val="14"/>
                <w:szCs w:val="14"/>
                <w:lang w:eastAsia="en-GB"/>
              </w:rPr>
            </w:pPr>
            <w:hyperlink r:id="rId2398" w:history="1">
              <w:r w:rsidRPr="005A18DC">
                <w:rPr>
                  <w:rStyle w:val="Hyperlink"/>
                  <w:rFonts w:ascii="Arial" w:hAnsi="Arial" w:cs="Arial"/>
                  <w:b/>
                  <w:bCs/>
                  <w:sz w:val="14"/>
                  <w:szCs w:val="14"/>
                </w:rPr>
                <w:t>38.213</w:t>
              </w:r>
            </w:hyperlink>
          </w:p>
        </w:tc>
        <w:tc>
          <w:tcPr>
            <w:tcW w:w="324" w:type="pct"/>
            <w:shd w:val="clear" w:color="auto" w:fill="auto"/>
          </w:tcPr>
          <w:p w14:paraId="2D691A40" w14:textId="0233F12D"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18.0.0</w:t>
            </w:r>
          </w:p>
        </w:tc>
        <w:tc>
          <w:tcPr>
            <w:tcW w:w="779" w:type="pct"/>
          </w:tcPr>
          <w:p w14:paraId="3420D54E" w14:textId="1DB8087E"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color w:val="000000"/>
                <w:sz w:val="14"/>
                <w:szCs w:val="14"/>
              </w:rPr>
              <w:t>NR_newRAT-Core, TEI17</w:t>
            </w:r>
          </w:p>
        </w:tc>
        <w:tc>
          <w:tcPr>
            <w:tcW w:w="233" w:type="pct"/>
          </w:tcPr>
          <w:p w14:paraId="6AA3D2D2" w14:textId="382A85A5"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0557</w:t>
            </w:r>
          </w:p>
        </w:tc>
        <w:tc>
          <w:tcPr>
            <w:tcW w:w="226" w:type="pct"/>
          </w:tcPr>
          <w:p w14:paraId="29DBB90D" w14:textId="5255DA71"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 </w:t>
            </w:r>
          </w:p>
        </w:tc>
        <w:tc>
          <w:tcPr>
            <w:tcW w:w="203" w:type="pct"/>
          </w:tcPr>
          <w:p w14:paraId="6D56FDBD" w14:textId="42A9F02D"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A</w:t>
            </w:r>
          </w:p>
        </w:tc>
      </w:tr>
      <w:tr w:rsidR="005A18DC" w:rsidRPr="009537ED" w14:paraId="55BFE387" w14:textId="77777777" w:rsidTr="00B97F04">
        <w:trPr>
          <w:trHeight w:val="20"/>
        </w:trPr>
        <w:tc>
          <w:tcPr>
            <w:tcW w:w="365" w:type="pct"/>
          </w:tcPr>
          <w:p w14:paraId="6DB4FE96" w14:textId="0C6FC0FF" w:rsidR="005A18DC" w:rsidRPr="005A18DC" w:rsidRDefault="005A18DC" w:rsidP="005A18DC">
            <w:pPr>
              <w:rPr>
                <w:rFonts w:ascii="Arial" w:eastAsia="Times New Roman" w:hAnsi="Arial" w:cs="Arial"/>
                <w:color w:val="000000"/>
                <w:sz w:val="14"/>
                <w:szCs w:val="14"/>
                <w:lang w:eastAsia="en-GB"/>
              </w:rPr>
            </w:pPr>
            <w:hyperlink r:id="rId2399" w:history="1">
              <w:r w:rsidRPr="005A18DC">
                <w:rPr>
                  <w:rStyle w:val="Hyperlink"/>
                  <w:rFonts w:ascii="Arial" w:hAnsi="Arial" w:cs="Arial"/>
                  <w:b/>
                  <w:bCs/>
                  <w:sz w:val="14"/>
                  <w:szCs w:val="14"/>
                </w:rPr>
                <w:t>R1-2312631</w:t>
              </w:r>
            </w:hyperlink>
          </w:p>
        </w:tc>
        <w:tc>
          <w:tcPr>
            <w:tcW w:w="1471" w:type="pct"/>
          </w:tcPr>
          <w:p w14:paraId="5397A8F1" w14:textId="364BB787"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CR on clarification of CSI-RS transmission occasion for NCJT CSI</w:t>
            </w:r>
          </w:p>
        </w:tc>
        <w:tc>
          <w:tcPr>
            <w:tcW w:w="849" w:type="pct"/>
          </w:tcPr>
          <w:p w14:paraId="7C39077B" w14:textId="11CC7510"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Moderator (Huawei), NTT DOCOMO, Nokia, Samsung</w:t>
            </w:r>
          </w:p>
        </w:tc>
        <w:tc>
          <w:tcPr>
            <w:tcW w:w="248" w:type="pct"/>
          </w:tcPr>
          <w:p w14:paraId="32E0E309" w14:textId="6BB39112" w:rsidR="005A18DC" w:rsidRPr="005A18DC" w:rsidRDefault="005A18DC" w:rsidP="005A18DC">
            <w:pPr>
              <w:rPr>
                <w:rFonts w:ascii="Arial" w:eastAsia="Times New Roman" w:hAnsi="Arial" w:cs="Arial"/>
                <w:color w:val="000000"/>
                <w:sz w:val="14"/>
                <w:szCs w:val="14"/>
                <w:lang w:eastAsia="en-GB"/>
              </w:rPr>
            </w:pPr>
            <w:hyperlink r:id="rId2400" w:history="1">
              <w:r w:rsidRPr="005A18DC">
                <w:rPr>
                  <w:rStyle w:val="Hyperlink"/>
                  <w:rFonts w:ascii="Arial" w:hAnsi="Arial" w:cs="Arial"/>
                  <w:b/>
                  <w:bCs/>
                  <w:sz w:val="14"/>
                  <w:szCs w:val="14"/>
                </w:rPr>
                <w:t>Rel-17</w:t>
              </w:r>
            </w:hyperlink>
          </w:p>
        </w:tc>
        <w:tc>
          <w:tcPr>
            <w:tcW w:w="301" w:type="pct"/>
            <w:shd w:val="clear" w:color="auto" w:fill="auto"/>
          </w:tcPr>
          <w:p w14:paraId="787292BA" w14:textId="62D14A76" w:rsidR="005A18DC" w:rsidRPr="005A18DC" w:rsidRDefault="005A18DC" w:rsidP="005A18DC">
            <w:pPr>
              <w:rPr>
                <w:rFonts w:ascii="Arial" w:eastAsia="Times New Roman" w:hAnsi="Arial" w:cs="Arial"/>
                <w:color w:val="000000"/>
                <w:sz w:val="14"/>
                <w:szCs w:val="14"/>
                <w:lang w:eastAsia="en-GB"/>
              </w:rPr>
            </w:pPr>
            <w:hyperlink r:id="rId2401" w:history="1">
              <w:r w:rsidRPr="005A18DC">
                <w:rPr>
                  <w:rStyle w:val="Hyperlink"/>
                  <w:rFonts w:ascii="Arial" w:hAnsi="Arial" w:cs="Arial"/>
                  <w:b/>
                  <w:bCs/>
                  <w:sz w:val="14"/>
                  <w:szCs w:val="14"/>
                </w:rPr>
                <w:t>38.214</w:t>
              </w:r>
            </w:hyperlink>
          </w:p>
        </w:tc>
        <w:tc>
          <w:tcPr>
            <w:tcW w:w="324" w:type="pct"/>
            <w:shd w:val="clear" w:color="auto" w:fill="auto"/>
          </w:tcPr>
          <w:p w14:paraId="5E73EE31" w14:textId="12227280"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17.7.0</w:t>
            </w:r>
          </w:p>
        </w:tc>
        <w:tc>
          <w:tcPr>
            <w:tcW w:w="779" w:type="pct"/>
          </w:tcPr>
          <w:p w14:paraId="2085BB20" w14:textId="4E8F65FA" w:rsidR="005A18DC" w:rsidRPr="005A18DC" w:rsidRDefault="005A18DC" w:rsidP="005A18DC">
            <w:pPr>
              <w:rPr>
                <w:rFonts w:ascii="Arial" w:eastAsia="Times New Roman" w:hAnsi="Arial" w:cs="Arial"/>
                <w:color w:val="000000"/>
                <w:sz w:val="14"/>
                <w:szCs w:val="14"/>
                <w:lang w:eastAsia="en-GB"/>
              </w:rPr>
            </w:pPr>
            <w:hyperlink r:id="rId2402" w:history="1">
              <w:r w:rsidRPr="005A18DC">
                <w:rPr>
                  <w:rStyle w:val="Hyperlink"/>
                  <w:rFonts w:ascii="Arial" w:hAnsi="Arial" w:cs="Arial"/>
                  <w:b/>
                  <w:bCs/>
                  <w:sz w:val="14"/>
                  <w:szCs w:val="14"/>
                </w:rPr>
                <w:t>NR_FeMIMO-Core</w:t>
              </w:r>
            </w:hyperlink>
          </w:p>
        </w:tc>
        <w:tc>
          <w:tcPr>
            <w:tcW w:w="233" w:type="pct"/>
          </w:tcPr>
          <w:p w14:paraId="45686EA0" w14:textId="6E47FA9D"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0474</w:t>
            </w:r>
          </w:p>
        </w:tc>
        <w:tc>
          <w:tcPr>
            <w:tcW w:w="226" w:type="pct"/>
          </w:tcPr>
          <w:p w14:paraId="5268CC36" w14:textId="5A664E39"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 </w:t>
            </w:r>
          </w:p>
        </w:tc>
        <w:tc>
          <w:tcPr>
            <w:tcW w:w="203" w:type="pct"/>
          </w:tcPr>
          <w:p w14:paraId="196F1686" w14:textId="21D3BDD8"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F</w:t>
            </w:r>
          </w:p>
        </w:tc>
      </w:tr>
      <w:tr w:rsidR="005A18DC" w:rsidRPr="009537ED" w14:paraId="7CE1DD63" w14:textId="77777777" w:rsidTr="00B97F04">
        <w:trPr>
          <w:trHeight w:val="20"/>
        </w:trPr>
        <w:tc>
          <w:tcPr>
            <w:tcW w:w="365" w:type="pct"/>
          </w:tcPr>
          <w:p w14:paraId="3D888B82" w14:textId="5326D8D7" w:rsidR="005A18DC" w:rsidRPr="005A18DC" w:rsidRDefault="005A18DC" w:rsidP="005A18DC">
            <w:pPr>
              <w:rPr>
                <w:rFonts w:ascii="Arial" w:eastAsia="Times New Roman" w:hAnsi="Arial" w:cs="Arial"/>
                <w:color w:val="000000"/>
                <w:sz w:val="14"/>
                <w:szCs w:val="14"/>
                <w:lang w:eastAsia="en-GB"/>
              </w:rPr>
            </w:pPr>
            <w:hyperlink r:id="rId2403" w:history="1">
              <w:r w:rsidRPr="005A18DC">
                <w:rPr>
                  <w:rStyle w:val="Hyperlink"/>
                  <w:rFonts w:ascii="Arial" w:hAnsi="Arial" w:cs="Arial"/>
                  <w:b/>
                  <w:bCs/>
                  <w:sz w:val="14"/>
                  <w:szCs w:val="14"/>
                </w:rPr>
                <w:t>R1-2312632</w:t>
              </w:r>
            </w:hyperlink>
          </w:p>
        </w:tc>
        <w:tc>
          <w:tcPr>
            <w:tcW w:w="1471" w:type="pct"/>
          </w:tcPr>
          <w:p w14:paraId="3A5CCF6C" w14:textId="145993FD"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CR on clarification of CSI-RS transmission occasion for NCJT CSI</w:t>
            </w:r>
          </w:p>
        </w:tc>
        <w:tc>
          <w:tcPr>
            <w:tcW w:w="849" w:type="pct"/>
          </w:tcPr>
          <w:p w14:paraId="158E29DE" w14:textId="4B8F0941"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Moderator (Huawei), NTT DOCOMO, Nokia, Samsung</w:t>
            </w:r>
          </w:p>
        </w:tc>
        <w:tc>
          <w:tcPr>
            <w:tcW w:w="248" w:type="pct"/>
          </w:tcPr>
          <w:p w14:paraId="09E8F601" w14:textId="4962F33B" w:rsidR="005A18DC" w:rsidRPr="005A18DC" w:rsidRDefault="005A18DC" w:rsidP="005A18DC">
            <w:pPr>
              <w:rPr>
                <w:rFonts w:ascii="Arial" w:eastAsia="Times New Roman" w:hAnsi="Arial" w:cs="Arial"/>
                <w:color w:val="000000"/>
                <w:sz w:val="14"/>
                <w:szCs w:val="14"/>
                <w:lang w:eastAsia="en-GB"/>
              </w:rPr>
            </w:pPr>
            <w:hyperlink r:id="rId2404" w:history="1">
              <w:r w:rsidRPr="005A18DC">
                <w:rPr>
                  <w:rStyle w:val="Hyperlink"/>
                  <w:rFonts w:ascii="Arial" w:hAnsi="Arial" w:cs="Arial"/>
                  <w:b/>
                  <w:bCs/>
                  <w:sz w:val="14"/>
                  <w:szCs w:val="14"/>
                </w:rPr>
                <w:t>Rel-18</w:t>
              </w:r>
            </w:hyperlink>
          </w:p>
        </w:tc>
        <w:tc>
          <w:tcPr>
            <w:tcW w:w="301" w:type="pct"/>
            <w:shd w:val="clear" w:color="auto" w:fill="auto"/>
          </w:tcPr>
          <w:p w14:paraId="49323B5C" w14:textId="7419F87F" w:rsidR="005A18DC" w:rsidRPr="005A18DC" w:rsidRDefault="005A18DC" w:rsidP="005A18DC">
            <w:pPr>
              <w:rPr>
                <w:rFonts w:ascii="Arial" w:eastAsia="Times New Roman" w:hAnsi="Arial" w:cs="Arial"/>
                <w:color w:val="000000"/>
                <w:sz w:val="14"/>
                <w:szCs w:val="14"/>
                <w:lang w:eastAsia="en-GB"/>
              </w:rPr>
            </w:pPr>
            <w:hyperlink r:id="rId2405" w:history="1">
              <w:r w:rsidRPr="005A18DC">
                <w:rPr>
                  <w:rStyle w:val="Hyperlink"/>
                  <w:rFonts w:ascii="Arial" w:hAnsi="Arial" w:cs="Arial"/>
                  <w:b/>
                  <w:bCs/>
                  <w:sz w:val="14"/>
                  <w:szCs w:val="14"/>
                </w:rPr>
                <w:t>38.214</w:t>
              </w:r>
            </w:hyperlink>
          </w:p>
        </w:tc>
        <w:tc>
          <w:tcPr>
            <w:tcW w:w="324" w:type="pct"/>
            <w:shd w:val="clear" w:color="auto" w:fill="auto"/>
          </w:tcPr>
          <w:p w14:paraId="271C1EB3" w14:textId="235F06B7"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18.0.0</w:t>
            </w:r>
          </w:p>
        </w:tc>
        <w:tc>
          <w:tcPr>
            <w:tcW w:w="779" w:type="pct"/>
          </w:tcPr>
          <w:p w14:paraId="7CD2908A" w14:textId="0F916796" w:rsidR="005A18DC" w:rsidRPr="005A18DC" w:rsidRDefault="005A18DC" w:rsidP="005A18DC">
            <w:pPr>
              <w:rPr>
                <w:rFonts w:ascii="Arial" w:eastAsia="Times New Roman" w:hAnsi="Arial" w:cs="Arial"/>
                <w:color w:val="000000"/>
                <w:sz w:val="14"/>
                <w:szCs w:val="14"/>
                <w:lang w:eastAsia="en-GB"/>
              </w:rPr>
            </w:pPr>
            <w:hyperlink r:id="rId2406" w:history="1">
              <w:r w:rsidRPr="005A18DC">
                <w:rPr>
                  <w:rStyle w:val="Hyperlink"/>
                  <w:rFonts w:ascii="Arial" w:hAnsi="Arial" w:cs="Arial"/>
                  <w:b/>
                  <w:bCs/>
                  <w:sz w:val="14"/>
                  <w:szCs w:val="14"/>
                </w:rPr>
                <w:t>NR_FeMIMO-Core</w:t>
              </w:r>
            </w:hyperlink>
          </w:p>
        </w:tc>
        <w:tc>
          <w:tcPr>
            <w:tcW w:w="233" w:type="pct"/>
          </w:tcPr>
          <w:p w14:paraId="35000455" w14:textId="583F9572"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0475</w:t>
            </w:r>
          </w:p>
        </w:tc>
        <w:tc>
          <w:tcPr>
            <w:tcW w:w="226" w:type="pct"/>
          </w:tcPr>
          <w:p w14:paraId="5CB2F0A4" w14:textId="1A5519D9"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 </w:t>
            </w:r>
          </w:p>
        </w:tc>
        <w:tc>
          <w:tcPr>
            <w:tcW w:w="203" w:type="pct"/>
          </w:tcPr>
          <w:p w14:paraId="57C6B385" w14:textId="4DCD4EBB"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A</w:t>
            </w:r>
          </w:p>
        </w:tc>
      </w:tr>
      <w:tr w:rsidR="005A18DC" w:rsidRPr="009537ED" w14:paraId="0CB6CFFF" w14:textId="77777777" w:rsidTr="00B97F04">
        <w:trPr>
          <w:trHeight w:val="20"/>
        </w:trPr>
        <w:tc>
          <w:tcPr>
            <w:tcW w:w="365" w:type="pct"/>
          </w:tcPr>
          <w:p w14:paraId="7FF72AA1" w14:textId="58523EEA" w:rsidR="005A18DC" w:rsidRPr="005A18DC" w:rsidRDefault="005A18DC" w:rsidP="005A18DC">
            <w:pPr>
              <w:rPr>
                <w:rFonts w:ascii="Arial" w:eastAsia="Times New Roman" w:hAnsi="Arial" w:cs="Arial"/>
                <w:color w:val="000000"/>
                <w:sz w:val="14"/>
                <w:szCs w:val="14"/>
                <w:lang w:eastAsia="en-GB"/>
              </w:rPr>
            </w:pPr>
            <w:hyperlink r:id="rId2407" w:history="1">
              <w:r w:rsidRPr="005A18DC">
                <w:rPr>
                  <w:rStyle w:val="Hyperlink"/>
                  <w:rFonts w:ascii="Arial" w:hAnsi="Arial" w:cs="Arial"/>
                  <w:b/>
                  <w:bCs/>
                  <w:sz w:val="14"/>
                  <w:szCs w:val="14"/>
                </w:rPr>
                <w:t>R1-2312634</w:t>
              </w:r>
            </w:hyperlink>
          </w:p>
        </w:tc>
        <w:tc>
          <w:tcPr>
            <w:tcW w:w="1471" w:type="pct"/>
          </w:tcPr>
          <w:p w14:paraId="482B5282" w14:textId="66446ED2"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Clarification on the first SPS PDSCH and Type2 CG PUSCH</w:t>
            </w:r>
          </w:p>
        </w:tc>
        <w:tc>
          <w:tcPr>
            <w:tcW w:w="849" w:type="pct"/>
          </w:tcPr>
          <w:p w14:paraId="41090DFB" w14:textId="6A5C69FE"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CATT, Apple, Ericsson</w:t>
            </w:r>
          </w:p>
        </w:tc>
        <w:tc>
          <w:tcPr>
            <w:tcW w:w="248" w:type="pct"/>
          </w:tcPr>
          <w:p w14:paraId="136A3E56" w14:textId="765B3134" w:rsidR="005A18DC" w:rsidRPr="005A18DC" w:rsidRDefault="005A18DC" w:rsidP="005A18DC">
            <w:pPr>
              <w:rPr>
                <w:rFonts w:ascii="Arial" w:eastAsia="Times New Roman" w:hAnsi="Arial" w:cs="Arial"/>
                <w:color w:val="000000"/>
                <w:sz w:val="14"/>
                <w:szCs w:val="14"/>
                <w:lang w:eastAsia="en-GB"/>
              </w:rPr>
            </w:pPr>
            <w:hyperlink r:id="rId2408" w:history="1">
              <w:r w:rsidRPr="005A18DC">
                <w:rPr>
                  <w:rStyle w:val="Hyperlink"/>
                  <w:rFonts w:ascii="Arial" w:hAnsi="Arial" w:cs="Arial"/>
                  <w:b/>
                  <w:bCs/>
                  <w:sz w:val="14"/>
                  <w:szCs w:val="14"/>
                </w:rPr>
                <w:t>Rel-17</w:t>
              </w:r>
            </w:hyperlink>
          </w:p>
        </w:tc>
        <w:tc>
          <w:tcPr>
            <w:tcW w:w="301" w:type="pct"/>
            <w:shd w:val="clear" w:color="auto" w:fill="auto"/>
          </w:tcPr>
          <w:p w14:paraId="6DE62F26" w14:textId="237B825E" w:rsidR="005A18DC" w:rsidRPr="005A18DC" w:rsidRDefault="005A18DC" w:rsidP="005A18DC">
            <w:pPr>
              <w:rPr>
                <w:rFonts w:ascii="Arial" w:eastAsia="Times New Roman" w:hAnsi="Arial" w:cs="Arial"/>
                <w:color w:val="000000"/>
                <w:sz w:val="14"/>
                <w:szCs w:val="14"/>
                <w:lang w:eastAsia="en-GB"/>
              </w:rPr>
            </w:pPr>
            <w:hyperlink r:id="rId2409" w:history="1">
              <w:r w:rsidRPr="005A18DC">
                <w:rPr>
                  <w:rStyle w:val="Hyperlink"/>
                  <w:rFonts w:ascii="Arial" w:hAnsi="Arial" w:cs="Arial"/>
                  <w:b/>
                  <w:bCs/>
                  <w:sz w:val="14"/>
                  <w:szCs w:val="14"/>
                </w:rPr>
                <w:t>38.213</w:t>
              </w:r>
            </w:hyperlink>
          </w:p>
        </w:tc>
        <w:tc>
          <w:tcPr>
            <w:tcW w:w="324" w:type="pct"/>
            <w:shd w:val="clear" w:color="auto" w:fill="auto"/>
          </w:tcPr>
          <w:p w14:paraId="32ABB0B4" w14:textId="544507F8"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17.7.0</w:t>
            </w:r>
          </w:p>
        </w:tc>
        <w:tc>
          <w:tcPr>
            <w:tcW w:w="779" w:type="pct"/>
          </w:tcPr>
          <w:p w14:paraId="7FA6B271" w14:textId="774F9B4B"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color w:val="000000"/>
                <w:sz w:val="14"/>
                <w:szCs w:val="14"/>
              </w:rPr>
              <w:t>NR_L1enh_URLLC-Core, TEI17</w:t>
            </w:r>
          </w:p>
        </w:tc>
        <w:tc>
          <w:tcPr>
            <w:tcW w:w="233" w:type="pct"/>
          </w:tcPr>
          <w:p w14:paraId="39189D13" w14:textId="44058328"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0558</w:t>
            </w:r>
          </w:p>
        </w:tc>
        <w:tc>
          <w:tcPr>
            <w:tcW w:w="226" w:type="pct"/>
          </w:tcPr>
          <w:p w14:paraId="004EBDD8" w14:textId="22857990"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 </w:t>
            </w:r>
          </w:p>
        </w:tc>
        <w:tc>
          <w:tcPr>
            <w:tcW w:w="203" w:type="pct"/>
          </w:tcPr>
          <w:p w14:paraId="67D5B612" w14:textId="75954F98"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F</w:t>
            </w:r>
          </w:p>
        </w:tc>
      </w:tr>
      <w:tr w:rsidR="005A18DC" w:rsidRPr="009537ED" w14:paraId="298466D2" w14:textId="77777777" w:rsidTr="00B97F04">
        <w:trPr>
          <w:trHeight w:val="20"/>
        </w:trPr>
        <w:tc>
          <w:tcPr>
            <w:tcW w:w="365" w:type="pct"/>
          </w:tcPr>
          <w:p w14:paraId="5C562A60" w14:textId="7C1B6297" w:rsidR="005A18DC" w:rsidRPr="005A18DC" w:rsidRDefault="005A18DC" w:rsidP="005A18DC">
            <w:pPr>
              <w:rPr>
                <w:rFonts w:ascii="Arial" w:eastAsia="Times New Roman" w:hAnsi="Arial" w:cs="Arial"/>
                <w:color w:val="000000"/>
                <w:sz w:val="14"/>
                <w:szCs w:val="14"/>
                <w:lang w:eastAsia="en-GB"/>
              </w:rPr>
            </w:pPr>
            <w:hyperlink r:id="rId2410" w:history="1">
              <w:r w:rsidRPr="005A18DC">
                <w:rPr>
                  <w:rStyle w:val="Hyperlink"/>
                  <w:rFonts w:ascii="Arial" w:hAnsi="Arial" w:cs="Arial"/>
                  <w:b/>
                  <w:bCs/>
                  <w:sz w:val="14"/>
                  <w:szCs w:val="14"/>
                </w:rPr>
                <w:t>R1-2312635</w:t>
              </w:r>
            </w:hyperlink>
          </w:p>
        </w:tc>
        <w:tc>
          <w:tcPr>
            <w:tcW w:w="1471" w:type="pct"/>
          </w:tcPr>
          <w:p w14:paraId="70A47C50" w14:textId="41A23C1B"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Clarification on the first SPS PDSCH and Type2 CG PUSCH</w:t>
            </w:r>
          </w:p>
        </w:tc>
        <w:tc>
          <w:tcPr>
            <w:tcW w:w="849" w:type="pct"/>
          </w:tcPr>
          <w:p w14:paraId="7142084A" w14:textId="07E8BE64"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CATT, Apple, Ericsson</w:t>
            </w:r>
          </w:p>
        </w:tc>
        <w:tc>
          <w:tcPr>
            <w:tcW w:w="248" w:type="pct"/>
          </w:tcPr>
          <w:p w14:paraId="0D44E936" w14:textId="06DCA8FF" w:rsidR="005A18DC" w:rsidRPr="005A18DC" w:rsidRDefault="005A18DC" w:rsidP="005A18DC">
            <w:pPr>
              <w:rPr>
                <w:rFonts w:ascii="Arial" w:eastAsia="Times New Roman" w:hAnsi="Arial" w:cs="Arial"/>
                <w:color w:val="000000"/>
                <w:sz w:val="14"/>
                <w:szCs w:val="14"/>
                <w:lang w:eastAsia="en-GB"/>
              </w:rPr>
            </w:pPr>
            <w:hyperlink r:id="rId2411" w:history="1">
              <w:r w:rsidRPr="005A18DC">
                <w:rPr>
                  <w:rStyle w:val="Hyperlink"/>
                  <w:rFonts w:ascii="Arial" w:hAnsi="Arial" w:cs="Arial"/>
                  <w:b/>
                  <w:bCs/>
                  <w:sz w:val="14"/>
                  <w:szCs w:val="14"/>
                </w:rPr>
                <w:t>Rel-18</w:t>
              </w:r>
            </w:hyperlink>
          </w:p>
        </w:tc>
        <w:tc>
          <w:tcPr>
            <w:tcW w:w="301" w:type="pct"/>
            <w:shd w:val="clear" w:color="auto" w:fill="auto"/>
          </w:tcPr>
          <w:p w14:paraId="27B36681" w14:textId="5A4BE79F" w:rsidR="005A18DC" w:rsidRPr="005A18DC" w:rsidRDefault="005A18DC" w:rsidP="005A18DC">
            <w:pPr>
              <w:rPr>
                <w:rFonts w:ascii="Arial" w:eastAsia="Times New Roman" w:hAnsi="Arial" w:cs="Arial"/>
                <w:color w:val="000000"/>
                <w:sz w:val="14"/>
                <w:szCs w:val="14"/>
                <w:lang w:eastAsia="en-GB"/>
              </w:rPr>
            </w:pPr>
            <w:hyperlink r:id="rId2412" w:history="1">
              <w:r w:rsidRPr="005A18DC">
                <w:rPr>
                  <w:rStyle w:val="Hyperlink"/>
                  <w:rFonts w:ascii="Arial" w:hAnsi="Arial" w:cs="Arial"/>
                  <w:b/>
                  <w:bCs/>
                  <w:sz w:val="14"/>
                  <w:szCs w:val="14"/>
                </w:rPr>
                <w:t>38.213</w:t>
              </w:r>
            </w:hyperlink>
          </w:p>
        </w:tc>
        <w:tc>
          <w:tcPr>
            <w:tcW w:w="324" w:type="pct"/>
            <w:shd w:val="clear" w:color="auto" w:fill="auto"/>
          </w:tcPr>
          <w:p w14:paraId="28702AF2" w14:textId="2D01A650"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18.0.0</w:t>
            </w:r>
          </w:p>
        </w:tc>
        <w:tc>
          <w:tcPr>
            <w:tcW w:w="779" w:type="pct"/>
          </w:tcPr>
          <w:p w14:paraId="722C55B6" w14:textId="335625F4"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color w:val="000000"/>
                <w:sz w:val="14"/>
                <w:szCs w:val="14"/>
              </w:rPr>
              <w:t>NR_L1enh_URLLC-Core, TEI17</w:t>
            </w:r>
          </w:p>
        </w:tc>
        <w:tc>
          <w:tcPr>
            <w:tcW w:w="233" w:type="pct"/>
          </w:tcPr>
          <w:p w14:paraId="29E1121E" w14:textId="0AFAC1C8"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0559</w:t>
            </w:r>
          </w:p>
        </w:tc>
        <w:tc>
          <w:tcPr>
            <w:tcW w:w="226" w:type="pct"/>
          </w:tcPr>
          <w:p w14:paraId="3A80CB10" w14:textId="50E8DBB7"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 </w:t>
            </w:r>
          </w:p>
        </w:tc>
        <w:tc>
          <w:tcPr>
            <w:tcW w:w="203" w:type="pct"/>
          </w:tcPr>
          <w:p w14:paraId="79FAE732" w14:textId="1041CEF4"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A</w:t>
            </w:r>
          </w:p>
        </w:tc>
      </w:tr>
      <w:tr w:rsidR="005A18DC" w:rsidRPr="009537ED" w14:paraId="67ACB872" w14:textId="77777777" w:rsidTr="00B97F04">
        <w:trPr>
          <w:trHeight w:val="20"/>
        </w:trPr>
        <w:tc>
          <w:tcPr>
            <w:tcW w:w="365" w:type="pct"/>
          </w:tcPr>
          <w:p w14:paraId="5769514B" w14:textId="47AD2774" w:rsidR="005A18DC" w:rsidRPr="005A18DC" w:rsidRDefault="005A18DC" w:rsidP="005A18DC">
            <w:pPr>
              <w:rPr>
                <w:rFonts w:ascii="Arial" w:eastAsia="Times New Roman" w:hAnsi="Arial" w:cs="Arial"/>
                <w:color w:val="000000"/>
                <w:sz w:val="14"/>
                <w:szCs w:val="14"/>
                <w:lang w:eastAsia="en-GB"/>
              </w:rPr>
            </w:pPr>
            <w:hyperlink r:id="rId2413" w:history="1">
              <w:r w:rsidRPr="005A18DC">
                <w:rPr>
                  <w:rStyle w:val="Hyperlink"/>
                  <w:rFonts w:ascii="Arial" w:hAnsi="Arial" w:cs="Arial"/>
                  <w:b/>
                  <w:bCs/>
                  <w:sz w:val="14"/>
                  <w:szCs w:val="14"/>
                </w:rPr>
                <w:t>R1-2312636</w:t>
              </w:r>
            </w:hyperlink>
          </w:p>
        </w:tc>
        <w:tc>
          <w:tcPr>
            <w:tcW w:w="1471" w:type="pct"/>
          </w:tcPr>
          <w:p w14:paraId="7E607D43" w14:textId="58CF6B8D"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CR on HARQ-ACK for SPS PDSCH</w:t>
            </w:r>
          </w:p>
        </w:tc>
        <w:tc>
          <w:tcPr>
            <w:tcW w:w="849" w:type="pct"/>
          </w:tcPr>
          <w:p w14:paraId="56B27D6E" w14:textId="285DD4F8"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Moderator (Huawei), CATT, ZTE, Samsung, Qualcomm</w:t>
            </w:r>
          </w:p>
        </w:tc>
        <w:tc>
          <w:tcPr>
            <w:tcW w:w="248" w:type="pct"/>
          </w:tcPr>
          <w:p w14:paraId="1882DC2D" w14:textId="32BFF248" w:rsidR="005A18DC" w:rsidRPr="005A18DC" w:rsidRDefault="005A18DC" w:rsidP="005A18DC">
            <w:pPr>
              <w:rPr>
                <w:rFonts w:ascii="Arial" w:eastAsia="Times New Roman" w:hAnsi="Arial" w:cs="Arial"/>
                <w:color w:val="000000"/>
                <w:sz w:val="14"/>
                <w:szCs w:val="14"/>
                <w:lang w:eastAsia="en-GB"/>
              </w:rPr>
            </w:pPr>
            <w:hyperlink r:id="rId2414" w:history="1">
              <w:r w:rsidRPr="005A18DC">
                <w:rPr>
                  <w:rStyle w:val="Hyperlink"/>
                  <w:rFonts w:ascii="Arial" w:hAnsi="Arial" w:cs="Arial"/>
                  <w:b/>
                  <w:bCs/>
                  <w:sz w:val="14"/>
                  <w:szCs w:val="14"/>
                </w:rPr>
                <w:t>Rel-17</w:t>
              </w:r>
            </w:hyperlink>
          </w:p>
        </w:tc>
        <w:tc>
          <w:tcPr>
            <w:tcW w:w="301" w:type="pct"/>
            <w:shd w:val="clear" w:color="auto" w:fill="auto"/>
          </w:tcPr>
          <w:p w14:paraId="6F455D72" w14:textId="08BE72E0" w:rsidR="005A18DC" w:rsidRPr="005A18DC" w:rsidRDefault="005A18DC" w:rsidP="005A18DC">
            <w:pPr>
              <w:rPr>
                <w:rFonts w:ascii="Arial" w:eastAsia="Times New Roman" w:hAnsi="Arial" w:cs="Arial"/>
                <w:color w:val="000000"/>
                <w:sz w:val="14"/>
                <w:szCs w:val="14"/>
                <w:lang w:eastAsia="en-GB"/>
              </w:rPr>
            </w:pPr>
            <w:hyperlink r:id="rId2415" w:history="1">
              <w:r w:rsidRPr="005A18DC">
                <w:rPr>
                  <w:rStyle w:val="Hyperlink"/>
                  <w:rFonts w:ascii="Arial" w:hAnsi="Arial" w:cs="Arial"/>
                  <w:b/>
                  <w:bCs/>
                  <w:sz w:val="14"/>
                  <w:szCs w:val="14"/>
                </w:rPr>
                <w:t>38.213</w:t>
              </w:r>
            </w:hyperlink>
          </w:p>
        </w:tc>
        <w:tc>
          <w:tcPr>
            <w:tcW w:w="324" w:type="pct"/>
            <w:shd w:val="clear" w:color="auto" w:fill="auto"/>
          </w:tcPr>
          <w:p w14:paraId="531ED9F8" w14:textId="0D49B021"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17.7.0</w:t>
            </w:r>
          </w:p>
        </w:tc>
        <w:tc>
          <w:tcPr>
            <w:tcW w:w="779" w:type="pct"/>
          </w:tcPr>
          <w:p w14:paraId="619CED29" w14:textId="5EF690AB" w:rsidR="005A18DC" w:rsidRPr="005A18DC" w:rsidRDefault="005A18DC" w:rsidP="005A18DC">
            <w:pPr>
              <w:rPr>
                <w:rFonts w:ascii="Arial" w:eastAsia="Times New Roman" w:hAnsi="Arial" w:cs="Arial"/>
                <w:color w:val="000000"/>
                <w:sz w:val="14"/>
                <w:szCs w:val="14"/>
                <w:lang w:eastAsia="en-GB"/>
              </w:rPr>
            </w:pPr>
            <w:hyperlink r:id="rId2416" w:history="1">
              <w:r w:rsidRPr="005A18DC">
                <w:rPr>
                  <w:rStyle w:val="Hyperlink"/>
                  <w:rFonts w:ascii="Arial" w:hAnsi="Arial" w:cs="Arial"/>
                  <w:b/>
                  <w:bCs/>
                  <w:sz w:val="14"/>
                  <w:szCs w:val="14"/>
                </w:rPr>
                <w:t>NR_MBS-Core</w:t>
              </w:r>
            </w:hyperlink>
          </w:p>
        </w:tc>
        <w:tc>
          <w:tcPr>
            <w:tcW w:w="233" w:type="pct"/>
          </w:tcPr>
          <w:p w14:paraId="5C433794" w14:textId="3418D02E"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0560</w:t>
            </w:r>
          </w:p>
        </w:tc>
        <w:tc>
          <w:tcPr>
            <w:tcW w:w="226" w:type="pct"/>
          </w:tcPr>
          <w:p w14:paraId="19B80202" w14:textId="36F7494E"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 </w:t>
            </w:r>
          </w:p>
        </w:tc>
        <w:tc>
          <w:tcPr>
            <w:tcW w:w="203" w:type="pct"/>
          </w:tcPr>
          <w:p w14:paraId="4331C704" w14:textId="47C411F2"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F</w:t>
            </w:r>
          </w:p>
        </w:tc>
      </w:tr>
      <w:tr w:rsidR="005A18DC" w:rsidRPr="009537ED" w14:paraId="56975855" w14:textId="77777777" w:rsidTr="00B97F04">
        <w:trPr>
          <w:trHeight w:val="20"/>
        </w:trPr>
        <w:tc>
          <w:tcPr>
            <w:tcW w:w="365" w:type="pct"/>
          </w:tcPr>
          <w:p w14:paraId="682CDF01" w14:textId="47F15E3C" w:rsidR="005A18DC" w:rsidRPr="005A18DC" w:rsidRDefault="005A18DC" w:rsidP="005A18DC">
            <w:pPr>
              <w:rPr>
                <w:rFonts w:ascii="Arial" w:eastAsia="Times New Roman" w:hAnsi="Arial" w:cs="Arial"/>
                <w:color w:val="000000"/>
                <w:sz w:val="14"/>
                <w:szCs w:val="14"/>
                <w:lang w:eastAsia="en-GB"/>
              </w:rPr>
            </w:pPr>
            <w:hyperlink r:id="rId2417" w:history="1">
              <w:r w:rsidRPr="005A18DC">
                <w:rPr>
                  <w:rStyle w:val="Hyperlink"/>
                  <w:rFonts w:ascii="Arial" w:hAnsi="Arial" w:cs="Arial"/>
                  <w:b/>
                  <w:bCs/>
                  <w:sz w:val="14"/>
                  <w:szCs w:val="14"/>
                </w:rPr>
                <w:t>R1-2312637</w:t>
              </w:r>
            </w:hyperlink>
          </w:p>
        </w:tc>
        <w:tc>
          <w:tcPr>
            <w:tcW w:w="1471" w:type="pct"/>
          </w:tcPr>
          <w:p w14:paraId="1C74114B" w14:textId="11B8FE2A"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CR on HARQ-ACK for SPS PDSCH</w:t>
            </w:r>
          </w:p>
        </w:tc>
        <w:tc>
          <w:tcPr>
            <w:tcW w:w="849" w:type="pct"/>
          </w:tcPr>
          <w:p w14:paraId="2BC81B40" w14:textId="00FB46FC"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Moderator (Huawei), CATT, ZTE, Samsung, Qualcomm</w:t>
            </w:r>
          </w:p>
        </w:tc>
        <w:tc>
          <w:tcPr>
            <w:tcW w:w="248" w:type="pct"/>
          </w:tcPr>
          <w:p w14:paraId="36CA3826" w14:textId="42DEEE17" w:rsidR="005A18DC" w:rsidRPr="005A18DC" w:rsidRDefault="005A18DC" w:rsidP="005A18DC">
            <w:pPr>
              <w:rPr>
                <w:rFonts w:ascii="Arial" w:eastAsia="Times New Roman" w:hAnsi="Arial" w:cs="Arial"/>
                <w:color w:val="000000"/>
                <w:sz w:val="14"/>
                <w:szCs w:val="14"/>
                <w:lang w:eastAsia="en-GB"/>
              </w:rPr>
            </w:pPr>
            <w:hyperlink r:id="rId2418" w:history="1">
              <w:r w:rsidRPr="005A18DC">
                <w:rPr>
                  <w:rStyle w:val="Hyperlink"/>
                  <w:rFonts w:ascii="Arial" w:hAnsi="Arial" w:cs="Arial"/>
                  <w:b/>
                  <w:bCs/>
                  <w:sz w:val="14"/>
                  <w:szCs w:val="14"/>
                </w:rPr>
                <w:t>Rel-18</w:t>
              </w:r>
            </w:hyperlink>
          </w:p>
        </w:tc>
        <w:tc>
          <w:tcPr>
            <w:tcW w:w="301" w:type="pct"/>
            <w:shd w:val="clear" w:color="auto" w:fill="auto"/>
          </w:tcPr>
          <w:p w14:paraId="06D8D1BD" w14:textId="7D60B933" w:rsidR="005A18DC" w:rsidRPr="005A18DC" w:rsidRDefault="005A18DC" w:rsidP="005A18DC">
            <w:pPr>
              <w:rPr>
                <w:rFonts w:ascii="Arial" w:eastAsia="Times New Roman" w:hAnsi="Arial" w:cs="Arial"/>
                <w:color w:val="000000"/>
                <w:sz w:val="14"/>
                <w:szCs w:val="14"/>
                <w:lang w:eastAsia="en-GB"/>
              </w:rPr>
            </w:pPr>
            <w:hyperlink r:id="rId2419" w:history="1">
              <w:r w:rsidRPr="005A18DC">
                <w:rPr>
                  <w:rStyle w:val="Hyperlink"/>
                  <w:rFonts w:ascii="Arial" w:hAnsi="Arial" w:cs="Arial"/>
                  <w:b/>
                  <w:bCs/>
                  <w:sz w:val="14"/>
                  <w:szCs w:val="14"/>
                </w:rPr>
                <w:t>38.213</w:t>
              </w:r>
            </w:hyperlink>
          </w:p>
        </w:tc>
        <w:tc>
          <w:tcPr>
            <w:tcW w:w="324" w:type="pct"/>
            <w:shd w:val="clear" w:color="auto" w:fill="auto"/>
          </w:tcPr>
          <w:p w14:paraId="46F30186" w14:textId="02ADE4D3"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18.0.0</w:t>
            </w:r>
          </w:p>
        </w:tc>
        <w:tc>
          <w:tcPr>
            <w:tcW w:w="779" w:type="pct"/>
          </w:tcPr>
          <w:p w14:paraId="738E3E8E" w14:textId="6430198A" w:rsidR="005A18DC" w:rsidRPr="005A18DC" w:rsidRDefault="005A18DC" w:rsidP="005A18DC">
            <w:pPr>
              <w:rPr>
                <w:rFonts w:ascii="Arial" w:eastAsia="Times New Roman" w:hAnsi="Arial" w:cs="Arial"/>
                <w:color w:val="000000"/>
                <w:sz w:val="14"/>
                <w:szCs w:val="14"/>
                <w:lang w:eastAsia="en-GB"/>
              </w:rPr>
            </w:pPr>
            <w:hyperlink r:id="rId2420" w:history="1">
              <w:r w:rsidRPr="005A18DC">
                <w:rPr>
                  <w:rStyle w:val="Hyperlink"/>
                  <w:rFonts w:ascii="Arial" w:hAnsi="Arial" w:cs="Arial"/>
                  <w:b/>
                  <w:bCs/>
                  <w:sz w:val="14"/>
                  <w:szCs w:val="14"/>
                </w:rPr>
                <w:t>NR_MBS-Core</w:t>
              </w:r>
            </w:hyperlink>
          </w:p>
        </w:tc>
        <w:tc>
          <w:tcPr>
            <w:tcW w:w="233" w:type="pct"/>
          </w:tcPr>
          <w:p w14:paraId="3302B55D" w14:textId="2450A764"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0561</w:t>
            </w:r>
          </w:p>
        </w:tc>
        <w:tc>
          <w:tcPr>
            <w:tcW w:w="226" w:type="pct"/>
          </w:tcPr>
          <w:p w14:paraId="09F47A4B" w14:textId="45327328"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 </w:t>
            </w:r>
          </w:p>
        </w:tc>
        <w:tc>
          <w:tcPr>
            <w:tcW w:w="203" w:type="pct"/>
          </w:tcPr>
          <w:p w14:paraId="030449FE" w14:textId="3B78987A"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A</w:t>
            </w:r>
          </w:p>
        </w:tc>
      </w:tr>
      <w:tr w:rsidR="005A18DC" w:rsidRPr="009537ED" w14:paraId="5351BEEA" w14:textId="77777777" w:rsidTr="00B97F04">
        <w:trPr>
          <w:trHeight w:val="20"/>
        </w:trPr>
        <w:tc>
          <w:tcPr>
            <w:tcW w:w="365" w:type="pct"/>
          </w:tcPr>
          <w:p w14:paraId="0724A487" w14:textId="1C7E5D16" w:rsidR="005A18DC" w:rsidRPr="005A18DC" w:rsidRDefault="005A18DC" w:rsidP="005A18DC">
            <w:pPr>
              <w:rPr>
                <w:rFonts w:ascii="Arial" w:eastAsia="Times New Roman" w:hAnsi="Arial" w:cs="Arial"/>
                <w:color w:val="000000"/>
                <w:sz w:val="14"/>
                <w:szCs w:val="14"/>
                <w:lang w:eastAsia="en-GB"/>
              </w:rPr>
            </w:pPr>
            <w:hyperlink r:id="rId2421" w:history="1">
              <w:r w:rsidRPr="005A18DC">
                <w:rPr>
                  <w:rStyle w:val="Hyperlink"/>
                  <w:rFonts w:ascii="Arial" w:hAnsi="Arial" w:cs="Arial"/>
                  <w:b/>
                  <w:bCs/>
                  <w:sz w:val="14"/>
                  <w:szCs w:val="14"/>
                </w:rPr>
                <w:t>R1-2312658</w:t>
              </w:r>
            </w:hyperlink>
          </w:p>
        </w:tc>
        <w:tc>
          <w:tcPr>
            <w:tcW w:w="1471" w:type="pct"/>
          </w:tcPr>
          <w:p w14:paraId="23C88BE3" w14:textId="36C5C386"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Introduction of extended CG-SDT periodicities [CG-SDT-Enh]</w:t>
            </w:r>
          </w:p>
        </w:tc>
        <w:tc>
          <w:tcPr>
            <w:tcW w:w="849" w:type="pct"/>
          </w:tcPr>
          <w:p w14:paraId="5FAB49D2" w14:textId="5BEABDCD"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Moderator (Ericsson), ZTE, Samsung, xiaomi, Ericsson</w:t>
            </w:r>
          </w:p>
        </w:tc>
        <w:tc>
          <w:tcPr>
            <w:tcW w:w="248" w:type="pct"/>
          </w:tcPr>
          <w:p w14:paraId="493BECA2" w14:textId="57803E4F" w:rsidR="005A18DC" w:rsidRPr="005A18DC" w:rsidRDefault="005A18DC" w:rsidP="005A18DC">
            <w:pPr>
              <w:rPr>
                <w:rFonts w:ascii="Arial" w:eastAsia="Times New Roman" w:hAnsi="Arial" w:cs="Arial"/>
                <w:color w:val="000000"/>
                <w:sz w:val="14"/>
                <w:szCs w:val="14"/>
                <w:lang w:eastAsia="en-GB"/>
              </w:rPr>
            </w:pPr>
            <w:hyperlink r:id="rId2422" w:history="1">
              <w:r w:rsidRPr="005A18DC">
                <w:rPr>
                  <w:rStyle w:val="Hyperlink"/>
                  <w:rFonts w:ascii="Arial" w:hAnsi="Arial" w:cs="Arial"/>
                  <w:b/>
                  <w:bCs/>
                  <w:sz w:val="14"/>
                  <w:szCs w:val="14"/>
                </w:rPr>
                <w:t>Rel-18</w:t>
              </w:r>
            </w:hyperlink>
          </w:p>
        </w:tc>
        <w:tc>
          <w:tcPr>
            <w:tcW w:w="301" w:type="pct"/>
            <w:shd w:val="clear" w:color="auto" w:fill="auto"/>
          </w:tcPr>
          <w:p w14:paraId="1AF1D98C" w14:textId="6DE3388F" w:rsidR="005A18DC" w:rsidRPr="005A18DC" w:rsidRDefault="005A18DC" w:rsidP="005A18DC">
            <w:pPr>
              <w:rPr>
                <w:rFonts w:ascii="Arial" w:eastAsia="Times New Roman" w:hAnsi="Arial" w:cs="Arial"/>
                <w:color w:val="000000"/>
                <w:sz w:val="14"/>
                <w:szCs w:val="14"/>
                <w:lang w:eastAsia="en-GB"/>
              </w:rPr>
            </w:pPr>
            <w:hyperlink r:id="rId2423" w:history="1">
              <w:r w:rsidRPr="005A18DC">
                <w:rPr>
                  <w:rStyle w:val="Hyperlink"/>
                  <w:rFonts w:ascii="Arial" w:hAnsi="Arial" w:cs="Arial"/>
                  <w:b/>
                  <w:bCs/>
                  <w:sz w:val="14"/>
                  <w:szCs w:val="14"/>
                </w:rPr>
                <w:t>38.213</w:t>
              </w:r>
            </w:hyperlink>
          </w:p>
        </w:tc>
        <w:tc>
          <w:tcPr>
            <w:tcW w:w="324" w:type="pct"/>
            <w:shd w:val="clear" w:color="auto" w:fill="auto"/>
          </w:tcPr>
          <w:p w14:paraId="4B338967" w14:textId="40FDBA50"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18.0.0</w:t>
            </w:r>
          </w:p>
        </w:tc>
        <w:tc>
          <w:tcPr>
            <w:tcW w:w="779" w:type="pct"/>
          </w:tcPr>
          <w:p w14:paraId="132B2171" w14:textId="60E16C59" w:rsidR="005A18DC" w:rsidRPr="005A18DC" w:rsidRDefault="005A18DC" w:rsidP="005A18DC">
            <w:pPr>
              <w:rPr>
                <w:rFonts w:ascii="Arial" w:eastAsia="Times New Roman" w:hAnsi="Arial" w:cs="Arial"/>
                <w:color w:val="000000"/>
                <w:sz w:val="14"/>
                <w:szCs w:val="14"/>
                <w:lang w:eastAsia="en-GB"/>
              </w:rPr>
            </w:pPr>
            <w:hyperlink r:id="rId2424" w:history="1">
              <w:r w:rsidRPr="005A18DC">
                <w:rPr>
                  <w:rStyle w:val="Hyperlink"/>
                  <w:rFonts w:ascii="Arial" w:hAnsi="Arial" w:cs="Arial"/>
                  <w:b/>
                  <w:bCs/>
                  <w:sz w:val="14"/>
                  <w:szCs w:val="14"/>
                </w:rPr>
                <w:t>TEI18</w:t>
              </w:r>
            </w:hyperlink>
          </w:p>
        </w:tc>
        <w:tc>
          <w:tcPr>
            <w:tcW w:w="233" w:type="pct"/>
          </w:tcPr>
          <w:p w14:paraId="78AEAA8A" w14:textId="430671A4"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0562</w:t>
            </w:r>
          </w:p>
        </w:tc>
        <w:tc>
          <w:tcPr>
            <w:tcW w:w="226" w:type="pct"/>
          </w:tcPr>
          <w:p w14:paraId="5FD15CB4" w14:textId="69427C37"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 </w:t>
            </w:r>
          </w:p>
        </w:tc>
        <w:tc>
          <w:tcPr>
            <w:tcW w:w="203" w:type="pct"/>
          </w:tcPr>
          <w:p w14:paraId="7DDE46DE" w14:textId="36A42971"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B</w:t>
            </w:r>
          </w:p>
        </w:tc>
      </w:tr>
      <w:tr w:rsidR="005A18DC" w:rsidRPr="009537ED" w14:paraId="2DBDBD81" w14:textId="77777777" w:rsidTr="00B97F04">
        <w:trPr>
          <w:trHeight w:val="20"/>
        </w:trPr>
        <w:tc>
          <w:tcPr>
            <w:tcW w:w="365" w:type="pct"/>
          </w:tcPr>
          <w:p w14:paraId="0215F20D" w14:textId="52D69743" w:rsidR="005A18DC" w:rsidRPr="005A18DC" w:rsidRDefault="005A18DC" w:rsidP="005A18DC">
            <w:pPr>
              <w:rPr>
                <w:rFonts w:ascii="Arial" w:eastAsia="Times New Roman" w:hAnsi="Arial" w:cs="Arial"/>
                <w:color w:val="000000"/>
                <w:sz w:val="14"/>
                <w:szCs w:val="14"/>
                <w:lang w:eastAsia="en-GB"/>
              </w:rPr>
            </w:pPr>
            <w:hyperlink r:id="rId2425" w:history="1">
              <w:r w:rsidRPr="005A18DC">
                <w:rPr>
                  <w:rStyle w:val="Hyperlink"/>
                  <w:rFonts w:ascii="Arial" w:hAnsi="Arial" w:cs="Arial"/>
                  <w:b/>
                  <w:bCs/>
                  <w:sz w:val="14"/>
                  <w:szCs w:val="14"/>
                </w:rPr>
                <w:t>R1-2312673</w:t>
              </w:r>
            </w:hyperlink>
          </w:p>
        </w:tc>
        <w:tc>
          <w:tcPr>
            <w:tcW w:w="1471" w:type="pct"/>
          </w:tcPr>
          <w:p w14:paraId="1EF38470" w14:textId="0D75BC8F"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Correction for SRS carrier switching for DCI formats 1_1 and 1_2</w:t>
            </w:r>
          </w:p>
        </w:tc>
        <w:tc>
          <w:tcPr>
            <w:tcW w:w="849" w:type="pct"/>
          </w:tcPr>
          <w:p w14:paraId="7F2C7A81" w14:textId="78CF7DE8"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Ericsson, T-Mobile USA, Verizon, Samsung</w:t>
            </w:r>
          </w:p>
        </w:tc>
        <w:tc>
          <w:tcPr>
            <w:tcW w:w="248" w:type="pct"/>
          </w:tcPr>
          <w:p w14:paraId="68649215" w14:textId="4B1E23D1" w:rsidR="005A18DC" w:rsidRPr="005A18DC" w:rsidRDefault="005A18DC" w:rsidP="005A18DC">
            <w:pPr>
              <w:rPr>
                <w:rFonts w:ascii="Arial" w:eastAsia="Times New Roman" w:hAnsi="Arial" w:cs="Arial"/>
                <w:color w:val="000000"/>
                <w:sz w:val="14"/>
                <w:szCs w:val="14"/>
                <w:lang w:eastAsia="en-GB"/>
              </w:rPr>
            </w:pPr>
            <w:hyperlink r:id="rId2426" w:history="1">
              <w:r w:rsidRPr="005A18DC">
                <w:rPr>
                  <w:rStyle w:val="Hyperlink"/>
                  <w:rFonts w:ascii="Arial" w:hAnsi="Arial" w:cs="Arial"/>
                  <w:b/>
                  <w:bCs/>
                  <w:sz w:val="14"/>
                  <w:szCs w:val="14"/>
                </w:rPr>
                <w:t>Rel-17</w:t>
              </w:r>
            </w:hyperlink>
          </w:p>
        </w:tc>
        <w:tc>
          <w:tcPr>
            <w:tcW w:w="301" w:type="pct"/>
            <w:shd w:val="clear" w:color="auto" w:fill="auto"/>
          </w:tcPr>
          <w:p w14:paraId="75452D22" w14:textId="5E50F08D" w:rsidR="005A18DC" w:rsidRPr="005A18DC" w:rsidRDefault="005A18DC" w:rsidP="005A18DC">
            <w:pPr>
              <w:rPr>
                <w:rFonts w:ascii="Arial" w:eastAsia="Times New Roman" w:hAnsi="Arial" w:cs="Arial"/>
                <w:color w:val="000000"/>
                <w:sz w:val="14"/>
                <w:szCs w:val="14"/>
                <w:lang w:eastAsia="en-GB"/>
              </w:rPr>
            </w:pPr>
            <w:hyperlink r:id="rId2427" w:history="1">
              <w:r w:rsidRPr="005A18DC">
                <w:rPr>
                  <w:rStyle w:val="Hyperlink"/>
                  <w:rFonts w:ascii="Arial" w:hAnsi="Arial" w:cs="Arial"/>
                  <w:b/>
                  <w:bCs/>
                  <w:sz w:val="14"/>
                  <w:szCs w:val="14"/>
                </w:rPr>
                <w:t>38.214</w:t>
              </w:r>
            </w:hyperlink>
          </w:p>
        </w:tc>
        <w:tc>
          <w:tcPr>
            <w:tcW w:w="324" w:type="pct"/>
            <w:shd w:val="clear" w:color="auto" w:fill="auto"/>
          </w:tcPr>
          <w:p w14:paraId="79E154B4" w14:textId="62293314"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17.7.0</w:t>
            </w:r>
          </w:p>
        </w:tc>
        <w:tc>
          <w:tcPr>
            <w:tcW w:w="779" w:type="pct"/>
          </w:tcPr>
          <w:p w14:paraId="547B7832" w14:textId="619968A5"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color w:val="000000"/>
                <w:sz w:val="14"/>
                <w:szCs w:val="14"/>
              </w:rPr>
              <w:t>NR_newRAT-Core, TEI17</w:t>
            </w:r>
          </w:p>
        </w:tc>
        <w:tc>
          <w:tcPr>
            <w:tcW w:w="233" w:type="pct"/>
          </w:tcPr>
          <w:p w14:paraId="1FBF0B47" w14:textId="55506EBC"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0476</w:t>
            </w:r>
          </w:p>
        </w:tc>
        <w:tc>
          <w:tcPr>
            <w:tcW w:w="226" w:type="pct"/>
          </w:tcPr>
          <w:p w14:paraId="7F2078F5" w14:textId="09B5189D"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 </w:t>
            </w:r>
          </w:p>
        </w:tc>
        <w:tc>
          <w:tcPr>
            <w:tcW w:w="203" w:type="pct"/>
          </w:tcPr>
          <w:p w14:paraId="1BCD4ADD" w14:textId="037DEB3F"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F</w:t>
            </w:r>
          </w:p>
        </w:tc>
      </w:tr>
      <w:tr w:rsidR="005A18DC" w:rsidRPr="009537ED" w14:paraId="33BBBA26" w14:textId="77777777" w:rsidTr="00B97F04">
        <w:trPr>
          <w:trHeight w:val="20"/>
        </w:trPr>
        <w:tc>
          <w:tcPr>
            <w:tcW w:w="365" w:type="pct"/>
          </w:tcPr>
          <w:p w14:paraId="631BC0B3" w14:textId="10B689CF" w:rsidR="005A18DC" w:rsidRPr="005A18DC" w:rsidRDefault="005A18DC" w:rsidP="005A18DC">
            <w:pPr>
              <w:rPr>
                <w:rFonts w:ascii="Arial" w:eastAsia="Times New Roman" w:hAnsi="Arial" w:cs="Arial"/>
                <w:color w:val="000000"/>
                <w:sz w:val="14"/>
                <w:szCs w:val="14"/>
                <w:lang w:eastAsia="en-GB"/>
              </w:rPr>
            </w:pPr>
            <w:hyperlink r:id="rId2428" w:history="1">
              <w:r w:rsidRPr="005A18DC">
                <w:rPr>
                  <w:rStyle w:val="Hyperlink"/>
                  <w:rFonts w:ascii="Arial" w:hAnsi="Arial" w:cs="Arial"/>
                  <w:b/>
                  <w:bCs/>
                  <w:sz w:val="14"/>
                  <w:szCs w:val="14"/>
                </w:rPr>
                <w:t>R1-2312674</w:t>
              </w:r>
            </w:hyperlink>
          </w:p>
        </w:tc>
        <w:tc>
          <w:tcPr>
            <w:tcW w:w="1471" w:type="pct"/>
          </w:tcPr>
          <w:p w14:paraId="3ABC6DC4" w14:textId="45D18D56"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Correction for SRS carrier switching for DCI formats 1_1 and 1_2</w:t>
            </w:r>
          </w:p>
        </w:tc>
        <w:tc>
          <w:tcPr>
            <w:tcW w:w="849" w:type="pct"/>
          </w:tcPr>
          <w:p w14:paraId="69CBD0C4" w14:textId="1327EC7E"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Ericsson, T-Mobile USA, Verizon, Samsung</w:t>
            </w:r>
          </w:p>
        </w:tc>
        <w:tc>
          <w:tcPr>
            <w:tcW w:w="248" w:type="pct"/>
          </w:tcPr>
          <w:p w14:paraId="4B14E3DE" w14:textId="7DA865DA" w:rsidR="005A18DC" w:rsidRPr="005A18DC" w:rsidRDefault="005A18DC" w:rsidP="005A18DC">
            <w:pPr>
              <w:rPr>
                <w:rFonts w:ascii="Arial" w:eastAsia="Times New Roman" w:hAnsi="Arial" w:cs="Arial"/>
                <w:color w:val="000000"/>
                <w:sz w:val="14"/>
                <w:szCs w:val="14"/>
                <w:lang w:eastAsia="en-GB"/>
              </w:rPr>
            </w:pPr>
            <w:hyperlink r:id="rId2429" w:history="1">
              <w:r w:rsidRPr="005A18DC">
                <w:rPr>
                  <w:rStyle w:val="Hyperlink"/>
                  <w:rFonts w:ascii="Arial" w:hAnsi="Arial" w:cs="Arial"/>
                  <w:b/>
                  <w:bCs/>
                  <w:sz w:val="14"/>
                  <w:szCs w:val="14"/>
                </w:rPr>
                <w:t>Rel-18</w:t>
              </w:r>
            </w:hyperlink>
          </w:p>
        </w:tc>
        <w:tc>
          <w:tcPr>
            <w:tcW w:w="301" w:type="pct"/>
            <w:shd w:val="clear" w:color="auto" w:fill="auto"/>
          </w:tcPr>
          <w:p w14:paraId="7B768E5E" w14:textId="4058525C" w:rsidR="005A18DC" w:rsidRPr="005A18DC" w:rsidRDefault="005A18DC" w:rsidP="005A18DC">
            <w:pPr>
              <w:rPr>
                <w:rFonts w:ascii="Arial" w:eastAsia="Times New Roman" w:hAnsi="Arial" w:cs="Arial"/>
                <w:color w:val="000000"/>
                <w:sz w:val="14"/>
                <w:szCs w:val="14"/>
                <w:lang w:eastAsia="en-GB"/>
              </w:rPr>
            </w:pPr>
            <w:hyperlink r:id="rId2430" w:history="1">
              <w:r w:rsidRPr="005A18DC">
                <w:rPr>
                  <w:rStyle w:val="Hyperlink"/>
                  <w:rFonts w:ascii="Arial" w:hAnsi="Arial" w:cs="Arial"/>
                  <w:b/>
                  <w:bCs/>
                  <w:sz w:val="14"/>
                  <w:szCs w:val="14"/>
                </w:rPr>
                <w:t>38.214</w:t>
              </w:r>
            </w:hyperlink>
          </w:p>
        </w:tc>
        <w:tc>
          <w:tcPr>
            <w:tcW w:w="324" w:type="pct"/>
            <w:shd w:val="clear" w:color="auto" w:fill="auto"/>
          </w:tcPr>
          <w:p w14:paraId="0E409A5F" w14:textId="175C5822"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18.0.0</w:t>
            </w:r>
          </w:p>
        </w:tc>
        <w:tc>
          <w:tcPr>
            <w:tcW w:w="779" w:type="pct"/>
          </w:tcPr>
          <w:p w14:paraId="5F6EE97B" w14:textId="4CADD97B"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color w:val="000000"/>
                <w:sz w:val="14"/>
                <w:szCs w:val="14"/>
              </w:rPr>
              <w:t>NR_newRAT-Core, TEI17</w:t>
            </w:r>
          </w:p>
        </w:tc>
        <w:tc>
          <w:tcPr>
            <w:tcW w:w="233" w:type="pct"/>
          </w:tcPr>
          <w:p w14:paraId="3CFFEBA6" w14:textId="447D2850"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0477</w:t>
            </w:r>
          </w:p>
        </w:tc>
        <w:tc>
          <w:tcPr>
            <w:tcW w:w="226" w:type="pct"/>
          </w:tcPr>
          <w:p w14:paraId="41002296" w14:textId="10805CBB"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 </w:t>
            </w:r>
          </w:p>
        </w:tc>
        <w:tc>
          <w:tcPr>
            <w:tcW w:w="203" w:type="pct"/>
          </w:tcPr>
          <w:p w14:paraId="3D3BA1D2" w14:textId="27723958"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A</w:t>
            </w:r>
          </w:p>
        </w:tc>
      </w:tr>
      <w:tr w:rsidR="005A18DC" w:rsidRPr="009537ED" w14:paraId="45A83549" w14:textId="77777777" w:rsidTr="00B97F04">
        <w:trPr>
          <w:trHeight w:val="20"/>
        </w:trPr>
        <w:tc>
          <w:tcPr>
            <w:tcW w:w="365" w:type="pct"/>
          </w:tcPr>
          <w:p w14:paraId="43E11ADF" w14:textId="640E9C6A" w:rsidR="005A18DC" w:rsidRPr="005A18DC" w:rsidRDefault="005A18DC" w:rsidP="005A18DC">
            <w:pPr>
              <w:rPr>
                <w:rFonts w:ascii="Arial" w:eastAsia="Times New Roman" w:hAnsi="Arial" w:cs="Arial"/>
                <w:color w:val="000000"/>
                <w:sz w:val="14"/>
                <w:szCs w:val="14"/>
                <w:lang w:eastAsia="en-GB"/>
              </w:rPr>
            </w:pPr>
            <w:hyperlink r:id="rId2431" w:history="1">
              <w:r w:rsidRPr="005A18DC">
                <w:rPr>
                  <w:rStyle w:val="Hyperlink"/>
                  <w:rFonts w:ascii="Arial" w:hAnsi="Arial" w:cs="Arial"/>
                  <w:b/>
                  <w:bCs/>
                  <w:sz w:val="14"/>
                  <w:szCs w:val="14"/>
                </w:rPr>
                <w:t>R1-2312675</w:t>
              </w:r>
            </w:hyperlink>
          </w:p>
        </w:tc>
        <w:tc>
          <w:tcPr>
            <w:tcW w:w="1471" w:type="pct"/>
          </w:tcPr>
          <w:p w14:paraId="2DD0B966" w14:textId="1F93783C"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Correction on CSI reporting for 1 CSI-RS port</w:t>
            </w:r>
          </w:p>
        </w:tc>
        <w:tc>
          <w:tcPr>
            <w:tcW w:w="849" w:type="pct"/>
          </w:tcPr>
          <w:p w14:paraId="3B655678" w14:textId="77785495"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ZTE, Huawei, HiSilicon, Ericsson, Samsung</w:t>
            </w:r>
          </w:p>
        </w:tc>
        <w:tc>
          <w:tcPr>
            <w:tcW w:w="248" w:type="pct"/>
          </w:tcPr>
          <w:p w14:paraId="39B32052" w14:textId="5E51E092" w:rsidR="005A18DC" w:rsidRPr="005A18DC" w:rsidRDefault="005A18DC" w:rsidP="005A18DC">
            <w:pPr>
              <w:rPr>
                <w:rFonts w:ascii="Arial" w:eastAsia="Times New Roman" w:hAnsi="Arial" w:cs="Arial"/>
                <w:color w:val="000000"/>
                <w:sz w:val="14"/>
                <w:szCs w:val="14"/>
                <w:lang w:eastAsia="en-GB"/>
              </w:rPr>
            </w:pPr>
            <w:hyperlink r:id="rId2432" w:history="1">
              <w:r w:rsidRPr="005A18DC">
                <w:rPr>
                  <w:rStyle w:val="Hyperlink"/>
                  <w:rFonts w:ascii="Arial" w:hAnsi="Arial" w:cs="Arial"/>
                  <w:b/>
                  <w:bCs/>
                  <w:sz w:val="14"/>
                  <w:szCs w:val="14"/>
                </w:rPr>
                <w:t>Rel-17</w:t>
              </w:r>
            </w:hyperlink>
          </w:p>
        </w:tc>
        <w:tc>
          <w:tcPr>
            <w:tcW w:w="301" w:type="pct"/>
            <w:shd w:val="clear" w:color="auto" w:fill="auto"/>
          </w:tcPr>
          <w:p w14:paraId="27EBC4C1" w14:textId="06213867" w:rsidR="005A18DC" w:rsidRPr="005A18DC" w:rsidRDefault="005A18DC" w:rsidP="005A18DC">
            <w:pPr>
              <w:rPr>
                <w:rFonts w:ascii="Arial" w:eastAsia="Times New Roman" w:hAnsi="Arial" w:cs="Arial"/>
                <w:color w:val="000000"/>
                <w:sz w:val="14"/>
                <w:szCs w:val="14"/>
                <w:lang w:eastAsia="en-GB"/>
              </w:rPr>
            </w:pPr>
            <w:hyperlink r:id="rId2433" w:history="1">
              <w:r w:rsidRPr="005A18DC">
                <w:rPr>
                  <w:rStyle w:val="Hyperlink"/>
                  <w:rFonts w:ascii="Arial" w:hAnsi="Arial" w:cs="Arial"/>
                  <w:b/>
                  <w:bCs/>
                  <w:sz w:val="14"/>
                  <w:szCs w:val="14"/>
                </w:rPr>
                <w:t>38.212</w:t>
              </w:r>
            </w:hyperlink>
          </w:p>
        </w:tc>
        <w:tc>
          <w:tcPr>
            <w:tcW w:w="324" w:type="pct"/>
            <w:shd w:val="clear" w:color="auto" w:fill="auto"/>
          </w:tcPr>
          <w:p w14:paraId="1AE7E739" w14:textId="437D8875"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17.6.0</w:t>
            </w:r>
          </w:p>
        </w:tc>
        <w:tc>
          <w:tcPr>
            <w:tcW w:w="779" w:type="pct"/>
          </w:tcPr>
          <w:p w14:paraId="4D9E37A5" w14:textId="41E8BD75"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color w:val="000000"/>
                <w:sz w:val="14"/>
                <w:szCs w:val="14"/>
              </w:rPr>
              <w:t>NR_newRAT-Core, TEI17</w:t>
            </w:r>
          </w:p>
        </w:tc>
        <w:tc>
          <w:tcPr>
            <w:tcW w:w="233" w:type="pct"/>
          </w:tcPr>
          <w:p w14:paraId="49C988C9" w14:textId="18B8F9E3"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0159</w:t>
            </w:r>
          </w:p>
        </w:tc>
        <w:tc>
          <w:tcPr>
            <w:tcW w:w="226" w:type="pct"/>
          </w:tcPr>
          <w:p w14:paraId="53916AAC" w14:textId="0B573EC7"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 </w:t>
            </w:r>
          </w:p>
        </w:tc>
        <w:tc>
          <w:tcPr>
            <w:tcW w:w="203" w:type="pct"/>
          </w:tcPr>
          <w:p w14:paraId="0CB638A8" w14:textId="2D100C72"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F</w:t>
            </w:r>
          </w:p>
        </w:tc>
      </w:tr>
      <w:tr w:rsidR="005A18DC" w:rsidRPr="009537ED" w14:paraId="7836B575" w14:textId="77777777" w:rsidTr="00B97F04">
        <w:trPr>
          <w:trHeight w:val="20"/>
        </w:trPr>
        <w:tc>
          <w:tcPr>
            <w:tcW w:w="365" w:type="pct"/>
          </w:tcPr>
          <w:p w14:paraId="61110A75" w14:textId="5BBA3513" w:rsidR="005A18DC" w:rsidRPr="005A18DC" w:rsidRDefault="005A18DC" w:rsidP="005A18DC">
            <w:pPr>
              <w:rPr>
                <w:rFonts w:ascii="Arial" w:eastAsia="Times New Roman" w:hAnsi="Arial" w:cs="Arial"/>
                <w:color w:val="000000"/>
                <w:sz w:val="14"/>
                <w:szCs w:val="14"/>
                <w:lang w:eastAsia="en-GB"/>
              </w:rPr>
            </w:pPr>
            <w:hyperlink r:id="rId2434" w:history="1">
              <w:r w:rsidRPr="005A18DC">
                <w:rPr>
                  <w:rStyle w:val="Hyperlink"/>
                  <w:rFonts w:ascii="Arial" w:hAnsi="Arial" w:cs="Arial"/>
                  <w:b/>
                  <w:bCs/>
                  <w:sz w:val="14"/>
                  <w:szCs w:val="14"/>
                </w:rPr>
                <w:t>R1-2312676</w:t>
              </w:r>
            </w:hyperlink>
          </w:p>
        </w:tc>
        <w:tc>
          <w:tcPr>
            <w:tcW w:w="1471" w:type="pct"/>
          </w:tcPr>
          <w:p w14:paraId="65CB1BA5" w14:textId="1192F492"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Correction on CSI reporting for 1 CSI-RS port</w:t>
            </w:r>
          </w:p>
        </w:tc>
        <w:tc>
          <w:tcPr>
            <w:tcW w:w="849" w:type="pct"/>
          </w:tcPr>
          <w:p w14:paraId="3BF06D6C" w14:textId="4DBD3046"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ZTE, Huawei, HiSilicon, Ericsson, Samsung</w:t>
            </w:r>
          </w:p>
        </w:tc>
        <w:tc>
          <w:tcPr>
            <w:tcW w:w="248" w:type="pct"/>
          </w:tcPr>
          <w:p w14:paraId="11A291F8" w14:textId="6DF1BFD9" w:rsidR="005A18DC" w:rsidRPr="005A18DC" w:rsidRDefault="005A18DC" w:rsidP="005A18DC">
            <w:pPr>
              <w:rPr>
                <w:rFonts w:ascii="Arial" w:eastAsia="Times New Roman" w:hAnsi="Arial" w:cs="Arial"/>
                <w:color w:val="000000"/>
                <w:sz w:val="14"/>
                <w:szCs w:val="14"/>
                <w:lang w:eastAsia="en-GB"/>
              </w:rPr>
            </w:pPr>
            <w:hyperlink r:id="rId2435" w:history="1">
              <w:r w:rsidRPr="005A18DC">
                <w:rPr>
                  <w:rStyle w:val="Hyperlink"/>
                  <w:rFonts w:ascii="Arial" w:hAnsi="Arial" w:cs="Arial"/>
                  <w:b/>
                  <w:bCs/>
                  <w:sz w:val="14"/>
                  <w:szCs w:val="14"/>
                </w:rPr>
                <w:t>Rel-18</w:t>
              </w:r>
            </w:hyperlink>
          </w:p>
        </w:tc>
        <w:tc>
          <w:tcPr>
            <w:tcW w:w="301" w:type="pct"/>
            <w:shd w:val="clear" w:color="auto" w:fill="auto"/>
          </w:tcPr>
          <w:p w14:paraId="24C68062" w14:textId="6E59E08A" w:rsidR="005A18DC" w:rsidRPr="005A18DC" w:rsidRDefault="005A18DC" w:rsidP="005A18DC">
            <w:pPr>
              <w:rPr>
                <w:rFonts w:ascii="Arial" w:eastAsia="Times New Roman" w:hAnsi="Arial" w:cs="Arial"/>
                <w:color w:val="000000"/>
                <w:sz w:val="14"/>
                <w:szCs w:val="14"/>
                <w:lang w:eastAsia="en-GB"/>
              </w:rPr>
            </w:pPr>
            <w:hyperlink r:id="rId2436" w:history="1">
              <w:r w:rsidRPr="005A18DC">
                <w:rPr>
                  <w:rStyle w:val="Hyperlink"/>
                  <w:rFonts w:ascii="Arial" w:hAnsi="Arial" w:cs="Arial"/>
                  <w:b/>
                  <w:bCs/>
                  <w:sz w:val="14"/>
                  <w:szCs w:val="14"/>
                </w:rPr>
                <w:t>38.212</w:t>
              </w:r>
            </w:hyperlink>
          </w:p>
        </w:tc>
        <w:tc>
          <w:tcPr>
            <w:tcW w:w="324" w:type="pct"/>
            <w:shd w:val="clear" w:color="auto" w:fill="auto"/>
          </w:tcPr>
          <w:p w14:paraId="6E37E64C" w14:textId="0907FFF4"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18.0.0</w:t>
            </w:r>
          </w:p>
        </w:tc>
        <w:tc>
          <w:tcPr>
            <w:tcW w:w="779" w:type="pct"/>
          </w:tcPr>
          <w:p w14:paraId="718AE260" w14:textId="12F2E3D3"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color w:val="000000"/>
                <w:sz w:val="14"/>
                <w:szCs w:val="14"/>
              </w:rPr>
              <w:t>NR_newRAT-Core, TEI17</w:t>
            </w:r>
          </w:p>
        </w:tc>
        <w:tc>
          <w:tcPr>
            <w:tcW w:w="233" w:type="pct"/>
          </w:tcPr>
          <w:p w14:paraId="781B64F3" w14:textId="0B1AC144"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0160</w:t>
            </w:r>
          </w:p>
        </w:tc>
        <w:tc>
          <w:tcPr>
            <w:tcW w:w="226" w:type="pct"/>
          </w:tcPr>
          <w:p w14:paraId="4DFCA3A8" w14:textId="1C74F63E"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 </w:t>
            </w:r>
          </w:p>
        </w:tc>
        <w:tc>
          <w:tcPr>
            <w:tcW w:w="203" w:type="pct"/>
          </w:tcPr>
          <w:p w14:paraId="701F34BA" w14:textId="4E176644"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A</w:t>
            </w:r>
          </w:p>
        </w:tc>
      </w:tr>
      <w:tr w:rsidR="005A18DC" w:rsidRPr="009537ED" w14:paraId="502F3BBC" w14:textId="77777777" w:rsidTr="00B97F04">
        <w:trPr>
          <w:trHeight w:val="20"/>
        </w:trPr>
        <w:tc>
          <w:tcPr>
            <w:tcW w:w="365" w:type="pct"/>
          </w:tcPr>
          <w:p w14:paraId="65DC4D4D" w14:textId="72BB0BF4" w:rsidR="005A18DC" w:rsidRPr="005A18DC" w:rsidRDefault="005A18DC" w:rsidP="005A18DC">
            <w:pPr>
              <w:rPr>
                <w:rFonts w:ascii="Arial" w:eastAsia="Times New Roman" w:hAnsi="Arial" w:cs="Arial"/>
                <w:color w:val="000000"/>
                <w:sz w:val="14"/>
                <w:szCs w:val="14"/>
                <w:lang w:eastAsia="en-GB"/>
              </w:rPr>
            </w:pPr>
            <w:hyperlink r:id="rId2437" w:history="1">
              <w:r w:rsidRPr="005A18DC">
                <w:rPr>
                  <w:rStyle w:val="Hyperlink"/>
                  <w:rFonts w:ascii="Arial" w:hAnsi="Arial" w:cs="Arial"/>
                  <w:b/>
                  <w:bCs/>
                  <w:sz w:val="14"/>
                  <w:szCs w:val="14"/>
                </w:rPr>
                <w:t>R1-2312682</w:t>
              </w:r>
            </w:hyperlink>
          </w:p>
        </w:tc>
        <w:tc>
          <w:tcPr>
            <w:tcW w:w="1471" w:type="pct"/>
          </w:tcPr>
          <w:p w14:paraId="4F8E704B" w14:textId="0CC673E6"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Correction of monitoring of paging occasions for CG-SDT with HD-FDD RedCap UEs</w:t>
            </w:r>
          </w:p>
        </w:tc>
        <w:tc>
          <w:tcPr>
            <w:tcW w:w="849" w:type="pct"/>
          </w:tcPr>
          <w:p w14:paraId="2676C79D" w14:textId="3458F388"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Moderator (Ericsson), NTT DOCOMO, ZTE, Ericsson</w:t>
            </w:r>
          </w:p>
        </w:tc>
        <w:tc>
          <w:tcPr>
            <w:tcW w:w="248" w:type="pct"/>
          </w:tcPr>
          <w:p w14:paraId="35D487C2" w14:textId="53836BFE" w:rsidR="005A18DC" w:rsidRPr="005A18DC" w:rsidRDefault="005A18DC" w:rsidP="005A18DC">
            <w:pPr>
              <w:rPr>
                <w:rFonts w:ascii="Arial" w:eastAsia="Times New Roman" w:hAnsi="Arial" w:cs="Arial"/>
                <w:color w:val="000000"/>
                <w:sz w:val="14"/>
                <w:szCs w:val="14"/>
                <w:lang w:eastAsia="en-GB"/>
              </w:rPr>
            </w:pPr>
            <w:hyperlink r:id="rId2438" w:history="1">
              <w:r w:rsidRPr="005A18DC">
                <w:rPr>
                  <w:rStyle w:val="Hyperlink"/>
                  <w:rFonts w:ascii="Arial" w:hAnsi="Arial" w:cs="Arial"/>
                  <w:b/>
                  <w:bCs/>
                  <w:sz w:val="14"/>
                  <w:szCs w:val="14"/>
                </w:rPr>
                <w:t>Rel-17</w:t>
              </w:r>
            </w:hyperlink>
          </w:p>
        </w:tc>
        <w:tc>
          <w:tcPr>
            <w:tcW w:w="301" w:type="pct"/>
            <w:shd w:val="clear" w:color="auto" w:fill="auto"/>
          </w:tcPr>
          <w:p w14:paraId="35690062" w14:textId="73D2C2F7" w:rsidR="005A18DC" w:rsidRPr="005A18DC" w:rsidRDefault="005A18DC" w:rsidP="005A18DC">
            <w:pPr>
              <w:rPr>
                <w:rFonts w:ascii="Arial" w:eastAsia="Times New Roman" w:hAnsi="Arial" w:cs="Arial"/>
                <w:color w:val="000000"/>
                <w:sz w:val="14"/>
                <w:szCs w:val="14"/>
                <w:lang w:eastAsia="en-GB"/>
              </w:rPr>
            </w:pPr>
            <w:hyperlink r:id="rId2439" w:history="1">
              <w:r w:rsidRPr="005A18DC">
                <w:rPr>
                  <w:rStyle w:val="Hyperlink"/>
                  <w:rFonts w:ascii="Arial" w:hAnsi="Arial" w:cs="Arial"/>
                  <w:b/>
                  <w:bCs/>
                  <w:sz w:val="14"/>
                  <w:szCs w:val="14"/>
                </w:rPr>
                <w:t>38.213</w:t>
              </w:r>
            </w:hyperlink>
          </w:p>
        </w:tc>
        <w:tc>
          <w:tcPr>
            <w:tcW w:w="324" w:type="pct"/>
            <w:shd w:val="clear" w:color="auto" w:fill="auto"/>
          </w:tcPr>
          <w:p w14:paraId="18408074" w14:textId="778E79CF"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17.7.0</w:t>
            </w:r>
          </w:p>
        </w:tc>
        <w:tc>
          <w:tcPr>
            <w:tcW w:w="779" w:type="pct"/>
          </w:tcPr>
          <w:p w14:paraId="7D8C953D" w14:textId="2FE3F29C"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color w:val="000000"/>
                <w:sz w:val="14"/>
                <w:szCs w:val="14"/>
              </w:rPr>
              <w:t>NR_SmallData_INACTIVE-Core, NR_redcap-Core</w:t>
            </w:r>
          </w:p>
        </w:tc>
        <w:tc>
          <w:tcPr>
            <w:tcW w:w="233" w:type="pct"/>
          </w:tcPr>
          <w:p w14:paraId="154640B8" w14:textId="56DF209D"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0563</w:t>
            </w:r>
          </w:p>
        </w:tc>
        <w:tc>
          <w:tcPr>
            <w:tcW w:w="226" w:type="pct"/>
          </w:tcPr>
          <w:p w14:paraId="432D9A8D" w14:textId="48F30DFD"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 </w:t>
            </w:r>
          </w:p>
        </w:tc>
        <w:tc>
          <w:tcPr>
            <w:tcW w:w="203" w:type="pct"/>
          </w:tcPr>
          <w:p w14:paraId="478EE68B" w14:textId="2F6C6C6B"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F</w:t>
            </w:r>
          </w:p>
        </w:tc>
      </w:tr>
      <w:tr w:rsidR="005A18DC" w:rsidRPr="009537ED" w14:paraId="6FF7C365" w14:textId="77777777" w:rsidTr="00B97F04">
        <w:trPr>
          <w:trHeight w:val="20"/>
        </w:trPr>
        <w:tc>
          <w:tcPr>
            <w:tcW w:w="365" w:type="pct"/>
          </w:tcPr>
          <w:p w14:paraId="3F1381F3" w14:textId="6D87FF9D" w:rsidR="005A18DC" w:rsidRPr="005A18DC" w:rsidRDefault="005A18DC" w:rsidP="005A18DC">
            <w:pPr>
              <w:rPr>
                <w:rFonts w:ascii="Arial" w:eastAsia="Times New Roman" w:hAnsi="Arial" w:cs="Arial"/>
                <w:color w:val="000000"/>
                <w:sz w:val="14"/>
                <w:szCs w:val="14"/>
                <w:lang w:eastAsia="en-GB"/>
              </w:rPr>
            </w:pPr>
            <w:hyperlink r:id="rId2440" w:history="1">
              <w:r w:rsidRPr="005A18DC">
                <w:rPr>
                  <w:rStyle w:val="Hyperlink"/>
                  <w:rFonts w:ascii="Arial" w:hAnsi="Arial" w:cs="Arial"/>
                  <w:b/>
                  <w:bCs/>
                  <w:sz w:val="14"/>
                  <w:szCs w:val="14"/>
                </w:rPr>
                <w:t>R1-2312683</w:t>
              </w:r>
            </w:hyperlink>
          </w:p>
        </w:tc>
        <w:tc>
          <w:tcPr>
            <w:tcW w:w="1471" w:type="pct"/>
          </w:tcPr>
          <w:p w14:paraId="6A6D1B45" w14:textId="15661376"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Correction of monitoring of paging occasions for CG-SDT with HD-FDD RedCap UEs</w:t>
            </w:r>
          </w:p>
        </w:tc>
        <w:tc>
          <w:tcPr>
            <w:tcW w:w="849" w:type="pct"/>
          </w:tcPr>
          <w:p w14:paraId="76BC17A8" w14:textId="08055F3A"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Moderator (Ericsson), NTT DOCOMO, ZTE, Ericsson</w:t>
            </w:r>
          </w:p>
        </w:tc>
        <w:tc>
          <w:tcPr>
            <w:tcW w:w="248" w:type="pct"/>
          </w:tcPr>
          <w:p w14:paraId="28E46FF5" w14:textId="5122E0E0" w:rsidR="005A18DC" w:rsidRPr="005A18DC" w:rsidRDefault="005A18DC" w:rsidP="005A18DC">
            <w:pPr>
              <w:rPr>
                <w:rFonts w:ascii="Arial" w:eastAsia="Times New Roman" w:hAnsi="Arial" w:cs="Arial"/>
                <w:color w:val="000000"/>
                <w:sz w:val="14"/>
                <w:szCs w:val="14"/>
                <w:lang w:eastAsia="en-GB"/>
              </w:rPr>
            </w:pPr>
            <w:hyperlink r:id="rId2441" w:history="1">
              <w:r w:rsidRPr="005A18DC">
                <w:rPr>
                  <w:rStyle w:val="Hyperlink"/>
                  <w:rFonts w:ascii="Arial" w:hAnsi="Arial" w:cs="Arial"/>
                  <w:b/>
                  <w:bCs/>
                  <w:sz w:val="14"/>
                  <w:szCs w:val="14"/>
                </w:rPr>
                <w:t>Rel-18</w:t>
              </w:r>
            </w:hyperlink>
          </w:p>
        </w:tc>
        <w:tc>
          <w:tcPr>
            <w:tcW w:w="301" w:type="pct"/>
            <w:shd w:val="clear" w:color="auto" w:fill="auto"/>
          </w:tcPr>
          <w:p w14:paraId="5EA7E172" w14:textId="4219E30B" w:rsidR="005A18DC" w:rsidRPr="005A18DC" w:rsidRDefault="005A18DC" w:rsidP="005A18DC">
            <w:pPr>
              <w:rPr>
                <w:rFonts w:ascii="Arial" w:eastAsia="Times New Roman" w:hAnsi="Arial" w:cs="Arial"/>
                <w:color w:val="000000"/>
                <w:sz w:val="14"/>
                <w:szCs w:val="14"/>
                <w:lang w:eastAsia="en-GB"/>
              </w:rPr>
            </w:pPr>
            <w:hyperlink r:id="rId2442" w:history="1">
              <w:r w:rsidRPr="005A18DC">
                <w:rPr>
                  <w:rStyle w:val="Hyperlink"/>
                  <w:rFonts w:ascii="Arial" w:hAnsi="Arial" w:cs="Arial"/>
                  <w:b/>
                  <w:bCs/>
                  <w:sz w:val="14"/>
                  <w:szCs w:val="14"/>
                </w:rPr>
                <w:t>38.213</w:t>
              </w:r>
            </w:hyperlink>
          </w:p>
        </w:tc>
        <w:tc>
          <w:tcPr>
            <w:tcW w:w="324" w:type="pct"/>
            <w:shd w:val="clear" w:color="auto" w:fill="auto"/>
          </w:tcPr>
          <w:p w14:paraId="6980AB47" w14:textId="7627E586"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18.0.0</w:t>
            </w:r>
          </w:p>
        </w:tc>
        <w:tc>
          <w:tcPr>
            <w:tcW w:w="779" w:type="pct"/>
          </w:tcPr>
          <w:p w14:paraId="0837ACF8" w14:textId="739D3F49"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color w:val="000000"/>
                <w:sz w:val="14"/>
                <w:szCs w:val="14"/>
              </w:rPr>
              <w:t>NR_SmallData_INACTIVE-Core, NR_redcap-Core</w:t>
            </w:r>
          </w:p>
        </w:tc>
        <w:tc>
          <w:tcPr>
            <w:tcW w:w="233" w:type="pct"/>
          </w:tcPr>
          <w:p w14:paraId="5AF36854" w14:textId="7291CC3A"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0564</w:t>
            </w:r>
          </w:p>
        </w:tc>
        <w:tc>
          <w:tcPr>
            <w:tcW w:w="226" w:type="pct"/>
          </w:tcPr>
          <w:p w14:paraId="46F64E3C" w14:textId="5E54BEE3"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 </w:t>
            </w:r>
          </w:p>
        </w:tc>
        <w:tc>
          <w:tcPr>
            <w:tcW w:w="203" w:type="pct"/>
          </w:tcPr>
          <w:p w14:paraId="722426F7" w14:textId="742BE101"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A</w:t>
            </w:r>
          </w:p>
        </w:tc>
      </w:tr>
      <w:tr w:rsidR="005A18DC" w:rsidRPr="009537ED" w14:paraId="3316FDD4" w14:textId="77777777" w:rsidTr="00B97F04">
        <w:trPr>
          <w:trHeight w:val="20"/>
        </w:trPr>
        <w:tc>
          <w:tcPr>
            <w:tcW w:w="365" w:type="pct"/>
          </w:tcPr>
          <w:p w14:paraId="0F0FE8AA" w14:textId="5263DBB3" w:rsidR="005A18DC" w:rsidRPr="005A18DC" w:rsidRDefault="005A18DC" w:rsidP="005A18DC">
            <w:pPr>
              <w:rPr>
                <w:rFonts w:ascii="Arial" w:eastAsia="Times New Roman" w:hAnsi="Arial" w:cs="Arial"/>
                <w:color w:val="000000"/>
                <w:sz w:val="14"/>
                <w:szCs w:val="14"/>
                <w:lang w:eastAsia="en-GB"/>
              </w:rPr>
            </w:pPr>
            <w:hyperlink r:id="rId2443" w:history="1">
              <w:r w:rsidRPr="005A18DC">
                <w:rPr>
                  <w:rStyle w:val="Hyperlink"/>
                  <w:rFonts w:ascii="Arial" w:hAnsi="Arial" w:cs="Arial"/>
                  <w:b/>
                  <w:bCs/>
                  <w:sz w:val="14"/>
                  <w:szCs w:val="14"/>
                </w:rPr>
                <w:t>R1-2312691</w:t>
              </w:r>
            </w:hyperlink>
          </w:p>
        </w:tc>
        <w:tc>
          <w:tcPr>
            <w:tcW w:w="1471" w:type="pct"/>
          </w:tcPr>
          <w:p w14:paraId="705D75AE" w14:textId="5BF03113"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CR on applicability of sidelink measurements</w:t>
            </w:r>
          </w:p>
        </w:tc>
        <w:tc>
          <w:tcPr>
            <w:tcW w:w="849" w:type="pct"/>
          </w:tcPr>
          <w:p w14:paraId="4C788FB1" w14:textId="289797F2"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Huawei, HiSilicon, Qualcomm, Nokia, Nokia Shanghai Bell, Samsung</w:t>
            </w:r>
          </w:p>
        </w:tc>
        <w:tc>
          <w:tcPr>
            <w:tcW w:w="248" w:type="pct"/>
          </w:tcPr>
          <w:p w14:paraId="482D6054" w14:textId="5AACE3EC" w:rsidR="005A18DC" w:rsidRPr="005A18DC" w:rsidRDefault="005A18DC" w:rsidP="005A18DC">
            <w:pPr>
              <w:rPr>
                <w:rFonts w:ascii="Arial" w:eastAsia="Times New Roman" w:hAnsi="Arial" w:cs="Arial"/>
                <w:color w:val="000000"/>
                <w:sz w:val="14"/>
                <w:szCs w:val="14"/>
                <w:lang w:eastAsia="en-GB"/>
              </w:rPr>
            </w:pPr>
            <w:hyperlink r:id="rId2444" w:history="1">
              <w:r w:rsidRPr="005A18DC">
                <w:rPr>
                  <w:rStyle w:val="Hyperlink"/>
                  <w:rFonts w:ascii="Arial" w:hAnsi="Arial" w:cs="Arial"/>
                  <w:b/>
                  <w:bCs/>
                  <w:sz w:val="14"/>
                  <w:szCs w:val="14"/>
                </w:rPr>
                <w:t>Rel-16</w:t>
              </w:r>
            </w:hyperlink>
          </w:p>
        </w:tc>
        <w:tc>
          <w:tcPr>
            <w:tcW w:w="301" w:type="pct"/>
            <w:shd w:val="clear" w:color="auto" w:fill="auto"/>
          </w:tcPr>
          <w:p w14:paraId="0FD546FE" w14:textId="35B0B9BD" w:rsidR="005A18DC" w:rsidRPr="005A18DC" w:rsidRDefault="005A18DC" w:rsidP="005A18DC">
            <w:pPr>
              <w:rPr>
                <w:rFonts w:ascii="Arial" w:eastAsia="Times New Roman" w:hAnsi="Arial" w:cs="Arial"/>
                <w:color w:val="000000"/>
                <w:sz w:val="14"/>
                <w:szCs w:val="14"/>
                <w:lang w:eastAsia="en-GB"/>
              </w:rPr>
            </w:pPr>
            <w:hyperlink r:id="rId2445" w:history="1">
              <w:r w:rsidRPr="005A18DC">
                <w:rPr>
                  <w:rStyle w:val="Hyperlink"/>
                  <w:rFonts w:ascii="Arial" w:hAnsi="Arial" w:cs="Arial"/>
                  <w:b/>
                  <w:bCs/>
                  <w:sz w:val="14"/>
                  <w:szCs w:val="14"/>
                </w:rPr>
                <w:t>38.215</w:t>
              </w:r>
            </w:hyperlink>
          </w:p>
        </w:tc>
        <w:tc>
          <w:tcPr>
            <w:tcW w:w="324" w:type="pct"/>
            <w:shd w:val="clear" w:color="auto" w:fill="auto"/>
          </w:tcPr>
          <w:p w14:paraId="041134E6" w14:textId="57D25BCE"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16.6.0</w:t>
            </w:r>
          </w:p>
        </w:tc>
        <w:tc>
          <w:tcPr>
            <w:tcW w:w="779" w:type="pct"/>
          </w:tcPr>
          <w:p w14:paraId="23271EFE" w14:textId="3C18C700" w:rsidR="005A18DC" w:rsidRPr="005A18DC" w:rsidRDefault="005A18DC" w:rsidP="005A18DC">
            <w:pPr>
              <w:rPr>
                <w:rFonts w:ascii="Arial" w:eastAsia="Times New Roman" w:hAnsi="Arial" w:cs="Arial"/>
                <w:color w:val="000000"/>
                <w:sz w:val="14"/>
                <w:szCs w:val="14"/>
                <w:lang w:eastAsia="en-GB"/>
              </w:rPr>
            </w:pPr>
            <w:hyperlink r:id="rId2446" w:history="1">
              <w:r w:rsidRPr="005A18DC">
                <w:rPr>
                  <w:rStyle w:val="Hyperlink"/>
                  <w:rFonts w:ascii="Arial" w:hAnsi="Arial" w:cs="Arial"/>
                  <w:b/>
                  <w:bCs/>
                  <w:sz w:val="14"/>
                  <w:szCs w:val="14"/>
                </w:rPr>
                <w:t>5G_V2X_NRSL-Core</w:t>
              </w:r>
            </w:hyperlink>
          </w:p>
        </w:tc>
        <w:tc>
          <w:tcPr>
            <w:tcW w:w="233" w:type="pct"/>
          </w:tcPr>
          <w:p w14:paraId="2EDCBC08" w14:textId="1D972AB0"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0057</w:t>
            </w:r>
          </w:p>
        </w:tc>
        <w:tc>
          <w:tcPr>
            <w:tcW w:w="226" w:type="pct"/>
          </w:tcPr>
          <w:p w14:paraId="65265CDD" w14:textId="4B4D53B1"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 </w:t>
            </w:r>
          </w:p>
        </w:tc>
        <w:tc>
          <w:tcPr>
            <w:tcW w:w="203" w:type="pct"/>
          </w:tcPr>
          <w:p w14:paraId="0BC581F3" w14:textId="70907827"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F</w:t>
            </w:r>
          </w:p>
        </w:tc>
      </w:tr>
      <w:tr w:rsidR="005A18DC" w:rsidRPr="009537ED" w14:paraId="7FC490EF" w14:textId="77777777" w:rsidTr="00B97F04">
        <w:trPr>
          <w:trHeight w:val="20"/>
        </w:trPr>
        <w:tc>
          <w:tcPr>
            <w:tcW w:w="365" w:type="pct"/>
          </w:tcPr>
          <w:p w14:paraId="14146A7C" w14:textId="715E5B9D" w:rsidR="005A18DC" w:rsidRPr="005A18DC" w:rsidRDefault="005A18DC" w:rsidP="005A18DC">
            <w:pPr>
              <w:rPr>
                <w:rFonts w:ascii="Arial" w:eastAsia="Times New Roman" w:hAnsi="Arial" w:cs="Arial"/>
                <w:color w:val="000000"/>
                <w:sz w:val="14"/>
                <w:szCs w:val="14"/>
                <w:lang w:eastAsia="en-GB"/>
              </w:rPr>
            </w:pPr>
            <w:hyperlink r:id="rId2447" w:history="1">
              <w:r w:rsidRPr="005A18DC">
                <w:rPr>
                  <w:rStyle w:val="Hyperlink"/>
                  <w:rFonts w:ascii="Arial" w:hAnsi="Arial" w:cs="Arial"/>
                  <w:b/>
                  <w:bCs/>
                  <w:sz w:val="14"/>
                  <w:szCs w:val="14"/>
                </w:rPr>
                <w:t>R1-2312692</w:t>
              </w:r>
            </w:hyperlink>
          </w:p>
        </w:tc>
        <w:tc>
          <w:tcPr>
            <w:tcW w:w="1471" w:type="pct"/>
          </w:tcPr>
          <w:p w14:paraId="6E45E0EC" w14:textId="4BED8228"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CR on applicability of sidelink measurements</w:t>
            </w:r>
          </w:p>
        </w:tc>
        <w:tc>
          <w:tcPr>
            <w:tcW w:w="849" w:type="pct"/>
          </w:tcPr>
          <w:p w14:paraId="09D2C1B0" w14:textId="71A71690"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Huawei, HiSilicon, Qualcomm, Nokia, Nokia Shanghai Bell, Samsung</w:t>
            </w:r>
          </w:p>
        </w:tc>
        <w:tc>
          <w:tcPr>
            <w:tcW w:w="248" w:type="pct"/>
          </w:tcPr>
          <w:p w14:paraId="755D2B77" w14:textId="321990F1" w:rsidR="005A18DC" w:rsidRPr="005A18DC" w:rsidRDefault="005A18DC" w:rsidP="005A18DC">
            <w:pPr>
              <w:rPr>
                <w:rFonts w:ascii="Arial" w:eastAsia="Times New Roman" w:hAnsi="Arial" w:cs="Arial"/>
                <w:color w:val="000000"/>
                <w:sz w:val="14"/>
                <w:szCs w:val="14"/>
                <w:lang w:eastAsia="en-GB"/>
              </w:rPr>
            </w:pPr>
            <w:hyperlink r:id="rId2448" w:history="1">
              <w:r w:rsidRPr="005A18DC">
                <w:rPr>
                  <w:rStyle w:val="Hyperlink"/>
                  <w:rFonts w:ascii="Arial" w:hAnsi="Arial" w:cs="Arial"/>
                  <w:b/>
                  <w:bCs/>
                  <w:sz w:val="14"/>
                  <w:szCs w:val="14"/>
                </w:rPr>
                <w:t>Rel-17</w:t>
              </w:r>
            </w:hyperlink>
          </w:p>
        </w:tc>
        <w:tc>
          <w:tcPr>
            <w:tcW w:w="301" w:type="pct"/>
            <w:shd w:val="clear" w:color="auto" w:fill="auto"/>
          </w:tcPr>
          <w:p w14:paraId="12596CB8" w14:textId="19DA467E" w:rsidR="005A18DC" w:rsidRPr="005A18DC" w:rsidRDefault="005A18DC" w:rsidP="005A18DC">
            <w:pPr>
              <w:rPr>
                <w:rFonts w:ascii="Arial" w:eastAsia="Times New Roman" w:hAnsi="Arial" w:cs="Arial"/>
                <w:color w:val="000000"/>
                <w:sz w:val="14"/>
                <w:szCs w:val="14"/>
                <w:lang w:eastAsia="en-GB"/>
              </w:rPr>
            </w:pPr>
            <w:hyperlink r:id="rId2449" w:history="1">
              <w:r w:rsidRPr="005A18DC">
                <w:rPr>
                  <w:rStyle w:val="Hyperlink"/>
                  <w:rFonts w:ascii="Arial" w:hAnsi="Arial" w:cs="Arial"/>
                  <w:b/>
                  <w:bCs/>
                  <w:sz w:val="14"/>
                  <w:szCs w:val="14"/>
                </w:rPr>
                <w:t>38.215</w:t>
              </w:r>
            </w:hyperlink>
          </w:p>
        </w:tc>
        <w:tc>
          <w:tcPr>
            <w:tcW w:w="324" w:type="pct"/>
            <w:shd w:val="clear" w:color="auto" w:fill="auto"/>
          </w:tcPr>
          <w:p w14:paraId="0BAC8552" w14:textId="65CF1A8D"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17.3.0</w:t>
            </w:r>
          </w:p>
        </w:tc>
        <w:tc>
          <w:tcPr>
            <w:tcW w:w="779" w:type="pct"/>
          </w:tcPr>
          <w:p w14:paraId="74835049" w14:textId="553A77B3" w:rsidR="005A18DC" w:rsidRPr="005A18DC" w:rsidRDefault="005A18DC" w:rsidP="005A18DC">
            <w:pPr>
              <w:rPr>
                <w:rFonts w:ascii="Arial" w:eastAsia="Times New Roman" w:hAnsi="Arial" w:cs="Arial"/>
                <w:color w:val="000000"/>
                <w:sz w:val="14"/>
                <w:szCs w:val="14"/>
                <w:lang w:eastAsia="en-GB"/>
              </w:rPr>
            </w:pPr>
            <w:hyperlink r:id="rId2450" w:history="1">
              <w:r w:rsidRPr="005A18DC">
                <w:rPr>
                  <w:rStyle w:val="Hyperlink"/>
                  <w:rFonts w:ascii="Arial" w:hAnsi="Arial" w:cs="Arial"/>
                  <w:b/>
                  <w:bCs/>
                  <w:sz w:val="14"/>
                  <w:szCs w:val="14"/>
                </w:rPr>
                <w:t>5G_V2X_NRSL-Core</w:t>
              </w:r>
            </w:hyperlink>
          </w:p>
        </w:tc>
        <w:tc>
          <w:tcPr>
            <w:tcW w:w="233" w:type="pct"/>
          </w:tcPr>
          <w:p w14:paraId="6CABF4E1" w14:textId="3F0EFE1F"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0058</w:t>
            </w:r>
          </w:p>
        </w:tc>
        <w:tc>
          <w:tcPr>
            <w:tcW w:w="226" w:type="pct"/>
          </w:tcPr>
          <w:p w14:paraId="1BDE5F64" w14:textId="3D37BAE9"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 </w:t>
            </w:r>
          </w:p>
        </w:tc>
        <w:tc>
          <w:tcPr>
            <w:tcW w:w="203" w:type="pct"/>
          </w:tcPr>
          <w:p w14:paraId="3CFE3859" w14:textId="1E0A59B5"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A</w:t>
            </w:r>
          </w:p>
        </w:tc>
      </w:tr>
      <w:tr w:rsidR="005A18DC" w:rsidRPr="009537ED" w14:paraId="10323C4F" w14:textId="77777777" w:rsidTr="00B97F04">
        <w:trPr>
          <w:trHeight w:val="20"/>
        </w:trPr>
        <w:tc>
          <w:tcPr>
            <w:tcW w:w="365" w:type="pct"/>
          </w:tcPr>
          <w:p w14:paraId="32F92287" w14:textId="0E203F29" w:rsidR="005A18DC" w:rsidRPr="005A18DC" w:rsidRDefault="005A18DC" w:rsidP="005A18DC">
            <w:pPr>
              <w:rPr>
                <w:rFonts w:ascii="Arial" w:eastAsia="Times New Roman" w:hAnsi="Arial" w:cs="Arial"/>
                <w:color w:val="000000"/>
                <w:sz w:val="14"/>
                <w:szCs w:val="14"/>
                <w:lang w:eastAsia="en-GB"/>
              </w:rPr>
            </w:pPr>
            <w:hyperlink r:id="rId2451" w:history="1">
              <w:r w:rsidRPr="005A18DC">
                <w:rPr>
                  <w:rStyle w:val="Hyperlink"/>
                  <w:rFonts w:ascii="Arial" w:hAnsi="Arial" w:cs="Arial"/>
                  <w:b/>
                  <w:bCs/>
                  <w:sz w:val="14"/>
                  <w:szCs w:val="14"/>
                </w:rPr>
                <w:t>R1-2312693</w:t>
              </w:r>
            </w:hyperlink>
          </w:p>
        </w:tc>
        <w:tc>
          <w:tcPr>
            <w:tcW w:w="1471" w:type="pct"/>
          </w:tcPr>
          <w:p w14:paraId="1AAE58B5" w14:textId="0623C989"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CR on applicability of sidelink measurements</w:t>
            </w:r>
          </w:p>
        </w:tc>
        <w:tc>
          <w:tcPr>
            <w:tcW w:w="849" w:type="pct"/>
          </w:tcPr>
          <w:p w14:paraId="2D8DCC0E" w14:textId="25F744BE"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Huawei, HiSilicon, Qualcomm, Nokia, Nokia Shanghai Bell, Samsung</w:t>
            </w:r>
          </w:p>
        </w:tc>
        <w:tc>
          <w:tcPr>
            <w:tcW w:w="248" w:type="pct"/>
          </w:tcPr>
          <w:p w14:paraId="33DA06AF" w14:textId="1A14FACD" w:rsidR="005A18DC" w:rsidRPr="005A18DC" w:rsidRDefault="005A18DC" w:rsidP="005A18DC">
            <w:pPr>
              <w:rPr>
                <w:rFonts w:ascii="Arial" w:eastAsia="Times New Roman" w:hAnsi="Arial" w:cs="Arial"/>
                <w:color w:val="000000"/>
                <w:sz w:val="14"/>
                <w:szCs w:val="14"/>
                <w:lang w:eastAsia="en-GB"/>
              </w:rPr>
            </w:pPr>
            <w:hyperlink r:id="rId2452" w:history="1">
              <w:r w:rsidRPr="005A18DC">
                <w:rPr>
                  <w:rStyle w:val="Hyperlink"/>
                  <w:rFonts w:ascii="Arial" w:hAnsi="Arial" w:cs="Arial"/>
                  <w:b/>
                  <w:bCs/>
                  <w:sz w:val="14"/>
                  <w:szCs w:val="14"/>
                </w:rPr>
                <w:t>Rel-18</w:t>
              </w:r>
            </w:hyperlink>
          </w:p>
        </w:tc>
        <w:tc>
          <w:tcPr>
            <w:tcW w:w="301" w:type="pct"/>
            <w:shd w:val="clear" w:color="auto" w:fill="auto"/>
          </w:tcPr>
          <w:p w14:paraId="4E3F39FF" w14:textId="31E652C8" w:rsidR="005A18DC" w:rsidRPr="005A18DC" w:rsidRDefault="005A18DC" w:rsidP="005A18DC">
            <w:pPr>
              <w:rPr>
                <w:rFonts w:ascii="Arial" w:eastAsia="Times New Roman" w:hAnsi="Arial" w:cs="Arial"/>
                <w:color w:val="000000"/>
                <w:sz w:val="14"/>
                <w:szCs w:val="14"/>
                <w:lang w:eastAsia="en-GB"/>
              </w:rPr>
            </w:pPr>
            <w:hyperlink r:id="rId2453" w:history="1">
              <w:r w:rsidRPr="005A18DC">
                <w:rPr>
                  <w:rStyle w:val="Hyperlink"/>
                  <w:rFonts w:ascii="Arial" w:hAnsi="Arial" w:cs="Arial"/>
                  <w:b/>
                  <w:bCs/>
                  <w:sz w:val="14"/>
                  <w:szCs w:val="14"/>
                </w:rPr>
                <w:t>38.215</w:t>
              </w:r>
            </w:hyperlink>
          </w:p>
        </w:tc>
        <w:tc>
          <w:tcPr>
            <w:tcW w:w="324" w:type="pct"/>
            <w:shd w:val="clear" w:color="auto" w:fill="auto"/>
          </w:tcPr>
          <w:p w14:paraId="6AA0BDFB" w14:textId="6C0280FF"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18.0.0</w:t>
            </w:r>
          </w:p>
        </w:tc>
        <w:tc>
          <w:tcPr>
            <w:tcW w:w="779" w:type="pct"/>
          </w:tcPr>
          <w:p w14:paraId="33A537ED" w14:textId="371B9546" w:rsidR="005A18DC" w:rsidRPr="005A18DC" w:rsidRDefault="005A18DC" w:rsidP="005A18DC">
            <w:pPr>
              <w:rPr>
                <w:rFonts w:ascii="Arial" w:eastAsia="Times New Roman" w:hAnsi="Arial" w:cs="Arial"/>
                <w:color w:val="000000"/>
                <w:sz w:val="14"/>
                <w:szCs w:val="14"/>
                <w:lang w:eastAsia="en-GB"/>
              </w:rPr>
            </w:pPr>
            <w:hyperlink r:id="rId2454" w:history="1">
              <w:r w:rsidRPr="005A18DC">
                <w:rPr>
                  <w:rStyle w:val="Hyperlink"/>
                  <w:rFonts w:ascii="Arial" w:hAnsi="Arial" w:cs="Arial"/>
                  <w:b/>
                  <w:bCs/>
                  <w:sz w:val="14"/>
                  <w:szCs w:val="14"/>
                </w:rPr>
                <w:t>5G_V2X_NRSL-Core</w:t>
              </w:r>
            </w:hyperlink>
          </w:p>
        </w:tc>
        <w:tc>
          <w:tcPr>
            <w:tcW w:w="233" w:type="pct"/>
          </w:tcPr>
          <w:p w14:paraId="645F4E98" w14:textId="383A61CB"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0059</w:t>
            </w:r>
          </w:p>
        </w:tc>
        <w:tc>
          <w:tcPr>
            <w:tcW w:w="226" w:type="pct"/>
          </w:tcPr>
          <w:p w14:paraId="375712B5" w14:textId="32C6678A"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 </w:t>
            </w:r>
          </w:p>
        </w:tc>
        <w:tc>
          <w:tcPr>
            <w:tcW w:w="203" w:type="pct"/>
          </w:tcPr>
          <w:p w14:paraId="22757C67" w14:textId="007ED4DB"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A</w:t>
            </w:r>
          </w:p>
        </w:tc>
      </w:tr>
      <w:tr w:rsidR="005A18DC" w:rsidRPr="009537ED" w14:paraId="7DDAE7E2" w14:textId="77777777" w:rsidTr="00B97F04">
        <w:trPr>
          <w:trHeight w:val="20"/>
        </w:trPr>
        <w:tc>
          <w:tcPr>
            <w:tcW w:w="365" w:type="pct"/>
          </w:tcPr>
          <w:p w14:paraId="724061B6" w14:textId="1CB8801F" w:rsidR="005A18DC" w:rsidRPr="005A18DC" w:rsidRDefault="005A18DC" w:rsidP="005A18DC">
            <w:pPr>
              <w:rPr>
                <w:rFonts w:ascii="Arial" w:eastAsia="Times New Roman" w:hAnsi="Arial" w:cs="Arial"/>
                <w:color w:val="000000"/>
                <w:sz w:val="14"/>
                <w:szCs w:val="14"/>
                <w:lang w:eastAsia="en-GB"/>
              </w:rPr>
            </w:pPr>
            <w:hyperlink r:id="rId2455" w:history="1">
              <w:r w:rsidRPr="005A18DC">
                <w:rPr>
                  <w:rStyle w:val="Hyperlink"/>
                  <w:rFonts w:ascii="Arial" w:hAnsi="Arial" w:cs="Arial"/>
                  <w:b/>
                  <w:bCs/>
                  <w:sz w:val="14"/>
                  <w:szCs w:val="14"/>
                </w:rPr>
                <w:t>R1-2312699</w:t>
              </w:r>
            </w:hyperlink>
          </w:p>
        </w:tc>
        <w:tc>
          <w:tcPr>
            <w:tcW w:w="1471" w:type="pct"/>
          </w:tcPr>
          <w:p w14:paraId="2AF17A1B" w14:textId="6D17DF54"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Correction of PUCCH repetition for RedCap UE with NCD-SSB in TDD</w:t>
            </w:r>
          </w:p>
        </w:tc>
        <w:tc>
          <w:tcPr>
            <w:tcW w:w="849" w:type="pct"/>
          </w:tcPr>
          <w:p w14:paraId="0CE6225F" w14:textId="47DF9C74"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Moderator (Ericsson), Xiaomi, MediaTek, Ericsson</w:t>
            </w:r>
          </w:p>
        </w:tc>
        <w:tc>
          <w:tcPr>
            <w:tcW w:w="248" w:type="pct"/>
          </w:tcPr>
          <w:p w14:paraId="73C151B4" w14:textId="6881E4D5" w:rsidR="005A18DC" w:rsidRPr="005A18DC" w:rsidRDefault="005A18DC" w:rsidP="005A18DC">
            <w:pPr>
              <w:rPr>
                <w:rFonts w:ascii="Arial" w:eastAsia="Times New Roman" w:hAnsi="Arial" w:cs="Arial"/>
                <w:color w:val="000000"/>
                <w:sz w:val="14"/>
                <w:szCs w:val="14"/>
                <w:lang w:eastAsia="en-GB"/>
              </w:rPr>
            </w:pPr>
            <w:hyperlink r:id="rId2456" w:history="1">
              <w:r w:rsidRPr="005A18DC">
                <w:rPr>
                  <w:rStyle w:val="Hyperlink"/>
                  <w:rFonts w:ascii="Arial" w:hAnsi="Arial" w:cs="Arial"/>
                  <w:b/>
                  <w:bCs/>
                  <w:sz w:val="14"/>
                  <w:szCs w:val="14"/>
                </w:rPr>
                <w:t>Rel-17</w:t>
              </w:r>
            </w:hyperlink>
          </w:p>
        </w:tc>
        <w:tc>
          <w:tcPr>
            <w:tcW w:w="301" w:type="pct"/>
            <w:shd w:val="clear" w:color="auto" w:fill="auto"/>
          </w:tcPr>
          <w:p w14:paraId="5A685343" w14:textId="5A349F49" w:rsidR="005A18DC" w:rsidRPr="005A18DC" w:rsidRDefault="005A18DC" w:rsidP="005A18DC">
            <w:pPr>
              <w:rPr>
                <w:rFonts w:ascii="Arial" w:eastAsia="Times New Roman" w:hAnsi="Arial" w:cs="Arial"/>
                <w:color w:val="000000"/>
                <w:sz w:val="14"/>
                <w:szCs w:val="14"/>
                <w:lang w:eastAsia="en-GB"/>
              </w:rPr>
            </w:pPr>
            <w:hyperlink r:id="rId2457" w:history="1">
              <w:r w:rsidRPr="005A18DC">
                <w:rPr>
                  <w:rStyle w:val="Hyperlink"/>
                  <w:rFonts w:ascii="Arial" w:hAnsi="Arial" w:cs="Arial"/>
                  <w:b/>
                  <w:bCs/>
                  <w:sz w:val="14"/>
                  <w:szCs w:val="14"/>
                </w:rPr>
                <w:t>38.213</w:t>
              </w:r>
            </w:hyperlink>
          </w:p>
        </w:tc>
        <w:tc>
          <w:tcPr>
            <w:tcW w:w="324" w:type="pct"/>
            <w:shd w:val="clear" w:color="auto" w:fill="auto"/>
          </w:tcPr>
          <w:p w14:paraId="6F4F0854" w14:textId="2FCFA08B"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17.7.0</w:t>
            </w:r>
          </w:p>
        </w:tc>
        <w:tc>
          <w:tcPr>
            <w:tcW w:w="779" w:type="pct"/>
          </w:tcPr>
          <w:p w14:paraId="45FF7A4C" w14:textId="4B4EB2FC" w:rsidR="005A18DC" w:rsidRPr="005A18DC" w:rsidRDefault="005A18DC" w:rsidP="005A18DC">
            <w:pPr>
              <w:rPr>
                <w:rFonts w:ascii="Arial" w:eastAsia="Times New Roman" w:hAnsi="Arial" w:cs="Arial"/>
                <w:color w:val="000000"/>
                <w:sz w:val="14"/>
                <w:szCs w:val="14"/>
                <w:lang w:eastAsia="en-GB"/>
              </w:rPr>
            </w:pPr>
            <w:hyperlink r:id="rId2458" w:history="1">
              <w:r w:rsidRPr="005A18DC">
                <w:rPr>
                  <w:rStyle w:val="Hyperlink"/>
                  <w:rFonts w:ascii="Arial" w:hAnsi="Arial" w:cs="Arial"/>
                  <w:b/>
                  <w:bCs/>
                  <w:sz w:val="14"/>
                  <w:szCs w:val="14"/>
                </w:rPr>
                <w:t>NR_redcap-Core</w:t>
              </w:r>
            </w:hyperlink>
          </w:p>
        </w:tc>
        <w:tc>
          <w:tcPr>
            <w:tcW w:w="233" w:type="pct"/>
          </w:tcPr>
          <w:p w14:paraId="75039225" w14:textId="25355A1F"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0565</w:t>
            </w:r>
          </w:p>
        </w:tc>
        <w:tc>
          <w:tcPr>
            <w:tcW w:w="226" w:type="pct"/>
          </w:tcPr>
          <w:p w14:paraId="250A7BCC" w14:textId="0ACF124F"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1</w:t>
            </w:r>
          </w:p>
        </w:tc>
        <w:tc>
          <w:tcPr>
            <w:tcW w:w="203" w:type="pct"/>
          </w:tcPr>
          <w:p w14:paraId="1E3BF962" w14:textId="44FE1945"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F</w:t>
            </w:r>
          </w:p>
        </w:tc>
      </w:tr>
      <w:tr w:rsidR="005A18DC" w:rsidRPr="009537ED" w14:paraId="2506DCAA" w14:textId="77777777" w:rsidTr="00B97F04">
        <w:trPr>
          <w:trHeight w:val="20"/>
        </w:trPr>
        <w:tc>
          <w:tcPr>
            <w:tcW w:w="365" w:type="pct"/>
          </w:tcPr>
          <w:p w14:paraId="51FECDA6" w14:textId="631C4B39" w:rsidR="005A18DC" w:rsidRPr="005A18DC" w:rsidRDefault="005A18DC" w:rsidP="005A18DC">
            <w:pPr>
              <w:rPr>
                <w:rFonts w:ascii="Arial" w:eastAsia="Times New Roman" w:hAnsi="Arial" w:cs="Arial"/>
                <w:color w:val="000000"/>
                <w:sz w:val="14"/>
                <w:szCs w:val="14"/>
                <w:lang w:eastAsia="en-GB"/>
              </w:rPr>
            </w:pPr>
            <w:hyperlink r:id="rId2459" w:history="1">
              <w:r w:rsidRPr="005A18DC">
                <w:rPr>
                  <w:rStyle w:val="Hyperlink"/>
                  <w:rFonts w:ascii="Arial" w:hAnsi="Arial" w:cs="Arial"/>
                  <w:b/>
                  <w:bCs/>
                  <w:sz w:val="14"/>
                  <w:szCs w:val="14"/>
                </w:rPr>
                <w:t>R1-2312700</w:t>
              </w:r>
            </w:hyperlink>
          </w:p>
        </w:tc>
        <w:tc>
          <w:tcPr>
            <w:tcW w:w="1471" w:type="pct"/>
          </w:tcPr>
          <w:p w14:paraId="37243F95" w14:textId="4F7EBDC5"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Correction of PUCCH repetition for RedCap UE with NCD-SSB in TDD</w:t>
            </w:r>
          </w:p>
        </w:tc>
        <w:tc>
          <w:tcPr>
            <w:tcW w:w="849" w:type="pct"/>
          </w:tcPr>
          <w:p w14:paraId="04A80EA6" w14:textId="4C431644"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Moderator (Ericsson), Xiaomi, MediaTek, Ericsson</w:t>
            </w:r>
          </w:p>
        </w:tc>
        <w:tc>
          <w:tcPr>
            <w:tcW w:w="248" w:type="pct"/>
          </w:tcPr>
          <w:p w14:paraId="3E46AFC6" w14:textId="44BA1787" w:rsidR="005A18DC" w:rsidRPr="005A18DC" w:rsidRDefault="005A18DC" w:rsidP="005A18DC">
            <w:pPr>
              <w:rPr>
                <w:rFonts w:ascii="Arial" w:eastAsia="Times New Roman" w:hAnsi="Arial" w:cs="Arial"/>
                <w:color w:val="000000"/>
                <w:sz w:val="14"/>
                <w:szCs w:val="14"/>
                <w:lang w:eastAsia="en-GB"/>
              </w:rPr>
            </w:pPr>
            <w:hyperlink r:id="rId2460" w:history="1">
              <w:r w:rsidRPr="005A18DC">
                <w:rPr>
                  <w:rStyle w:val="Hyperlink"/>
                  <w:rFonts w:ascii="Arial" w:hAnsi="Arial" w:cs="Arial"/>
                  <w:b/>
                  <w:bCs/>
                  <w:sz w:val="14"/>
                  <w:szCs w:val="14"/>
                </w:rPr>
                <w:t>Rel-18</w:t>
              </w:r>
            </w:hyperlink>
          </w:p>
        </w:tc>
        <w:tc>
          <w:tcPr>
            <w:tcW w:w="301" w:type="pct"/>
            <w:shd w:val="clear" w:color="auto" w:fill="auto"/>
          </w:tcPr>
          <w:p w14:paraId="38D224FC" w14:textId="3225744E" w:rsidR="005A18DC" w:rsidRPr="005A18DC" w:rsidRDefault="005A18DC" w:rsidP="005A18DC">
            <w:pPr>
              <w:rPr>
                <w:rFonts w:ascii="Arial" w:eastAsia="Times New Roman" w:hAnsi="Arial" w:cs="Arial"/>
                <w:color w:val="000000"/>
                <w:sz w:val="14"/>
                <w:szCs w:val="14"/>
                <w:lang w:eastAsia="en-GB"/>
              </w:rPr>
            </w:pPr>
            <w:hyperlink r:id="rId2461" w:history="1">
              <w:r w:rsidRPr="005A18DC">
                <w:rPr>
                  <w:rStyle w:val="Hyperlink"/>
                  <w:rFonts w:ascii="Arial" w:hAnsi="Arial" w:cs="Arial"/>
                  <w:b/>
                  <w:bCs/>
                  <w:sz w:val="14"/>
                  <w:szCs w:val="14"/>
                </w:rPr>
                <w:t>38.213</w:t>
              </w:r>
            </w:hyperlink>
          </w:p>
        </w:tc>
        <w:tc>
          <w:tcPr>
            <w:tcW w:w="324" w:type="pct"/>
            <w:shd w:val="clear" w:color="auto" w:fill="auto"/>
          </w:tcPr>
          <w:p w14:paraId="70E19A28" w14:textId="61EB9B24"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18.0.0</w:t>
            </w:r>
          </w:p>
        </w:tc>
        <w:tc>
          <w:tcPr>
            <w:tcW w:w="779" w:type="pct"/>
          </w:tcPr>
          <w:p w14:paraId="19E3DCBB" w14:textId="26ABA6DF" w:rsidR="005A18DC" w:rsidRPr="005A18DC" w:rsidRDefault="005A18DC" w:rsidP="005A18DC">
            <w:pPr>
              <w:rPr>
                <w:rFonts w:ascii="Arial" w:eastAsia="Times New Roman" w:hAnsi="Arial" w:cs="Arial"/>
                <w:color w:val="000000"/>
                <w:sz w:val="14"/>
                <w:szCs w:val="14"/>
                <w:lang w:eastAsia="en-GB"/>
              </w:rPr>
            </w:pPr>
            <w:hyperlink r:id="rId2462" w:history="1">
              <w:r w:rsidRPr="005A18DC">
                <w:rPr>
                  <w:rStyle w:val="Hyperlink"/>
                  <w:rFonts w:ascii="Arial" w:hAnsi="Arial" w:cs="Arial"/>
                  <w:b/>
                  <w:bCs/>
                  <w:sz w:val="14"/>
                  <w:szCs w:val="14"/>
                </w:rPr>
                <w:t>NR_redcap-Core</w:t>
              </w:r>
            </w:hyperlink>
          </w:p>
        </w:tc>
        <w:tc>
          <w:tcPr>
            <w:tcW w:w="233" w:type="pct"/>
          </w:tcPr>
          <w:p w14:paraId="5597B07F" w14:textId="222D76FB"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0566</w:t>
            </w:r>
          </w:p>
        </w:tc>
        <w:tc>
          <w:tcPr>
            <w:tcW w:w="226" w:type="pct"/>
          </w:tcPr>
          <w:p w14:paraId="375AEBAD" w14:textId="453A36FA"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1</w:t>
            </w:r>
          </w:p>
        </w:tc>
        <w:tc>
          <w:tcPr>
            <w:tcW w:w="203" w:type="pct"/>
          </w:tcPr>
          <w:p w14:paraId="36102922" w14:textId="655BECB6"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A</w:t>
            </w:r>
          </w:p>
        </w:tc>
      </w:tr>
      <w:tr w:rsidR="005A18DC" w:rsidRPr="009537ED" w14:paraId="3A3536D6" w14:textId="77777777" w:rsidTr="00B97F04">
        <w:trPr>
          <w:trHeight w:val="20"/>
        </w:trPr>
        <w:tc>
          <w:tcPr>
            <w:tcW w:w="365" w:type="pct"/>
          </w:tcPr>
          <w:p w14:paraId="134C1B09" w14:textId="1294DE6F" w:rsidR="005A18DC" w:rsidRPr="005A18DC" w:rsidRDefault="005A18DC" w:rsidP="005A18DC">
            <w:pPr>
              <w:rPr>
                <w:rFonts w:ascii="Arial" w:eastAsia="Times New Roman" w:hAnsi="Arial" w:cs="Arial"/>
                <w:color w:val="000000"/>
                <w:sz w:val="14"/>
                <w:szCs w:val="14"/>
                <w:lang w:eastAsia="en-GB"/>
              </w:rPr>
            </w:pPr>
            <w:hyperlink r:id="rId2463" w:history="1">
              <w:r w:rsidRPr="005A18DC">
                <w:rPr>
                  <w:rStyle w:val="Hyperlink"/>
                  <w:rFonts w:ascii="Arial" w:hAnsi="Arial" w:cs="Arial"/>
                  <w:b/>
                  <w:bCs/>
                  <w:sz w:val="14"/>
                  <w:szCs w:val="14"/>
                </w:rPr>
                <w:t>R1-2312701</w:t>
              </w:r>
            </w:hyperlink>
          </w:p>
        </w:tc>
        <w:tc>
          <w:tcPr>
            <w:tcW w:w="1471" w:type="pct"/>
          </w:tcPr>
          <w:p w14:paraId="69B5E15D" w14:textId="7425F368"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Correction of PUSCH repetition for RedCap UE with NCD-SSB in TDD</w:t>
            </w:r>
          </w:p>
        </w:tc>
        <w:tc>
          <w:tcPr>
            <w:tcW w:w="849" w:type="pct"/>
          </w:tcPr>
          <w:p w14:paraId="0193965D" w14:textId="6EF7C7A0"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Moderator (Ericsson), Xiaomi, MediaTek, Ericsson</w:t>
            </w:r>
          </w:p>
        </w:tc>
        <w:tc>
          <w:tcPr>
            <w:tcW w:w="248" w:type="pct"/>
          </w:tcPr>
          <w:p w14:paraId="15FC1EA4" w14:textId="32B2463A" w:rsidR="005A18DC" w:rsidRPr="005A18DC" w:rsidRDefault="005A18DC" w:rsidP="005A18DC">
            <w:pPr>
              <w:rPr>
                <w:rFonts w:ascii="Arial" w:eastAsia="Times New Roman" w:hAnsi="Arial" w:cs="Arial"/>
                <w:color w:val="000000"/>
                <w:sz w:val="14"/>
                <w:szCs w:val="14"/>
                <w:lang w:eastAsia="en-GB"/>
              </w:rPr>
            </w:pPr>
            <w:hyperlink r:id="rId2464" w:history="1">
              <w:r w:rsidRPr="005A18DC">
                <w:rPr>
                  <w:rStyle w:val="Hyperlink"/>
                  <w:rFonts w:ascii="Arial" w:hAnsi="Arial" w:cs="Arial"/>
                  <w:b/>
                  <w:bCs/>
                  <w:sz w:val="14"/>
                  <w:szCs w:val="14"/>
                </w:rPr>
                <w:t>Rel-17</w:t>
              </w:r>
            </w:hyperlink>
          </w:p>
        </w:tc>
        <w:tc>
          <w:tcPr>
            <w:tcW w:w="301" w:type="pct"/>
            <w:shd w:val="clear" w:color="auto" w:fill="auto"/>
          </w:tcPr>
          <w:p w14:paraId="04303D8B" w14:textId="7C3CF7B5" w:rsidR="005A18DC" w:rsidRPr="005A18DC" w:rsidRDefault="005A18DC" w:rsidP="005A18DC">
            <w:pPr>
              <w:rPr>
                <w:rFonts w:ascii="Arial" w:eastAsia="Times New Roman" w:hAnsi="Arial" w:cs="Arial"/>
                <w:color w:val="000000"/>
                <w:sz w:val="14"/>
                <w:szCs w:val="14"/>
                <w:lang w:eastAsia="en-GB"/>
              </w:rPr>
            </w:pPr>
            <w:hyperlink r:id="rId2465" w:history="1">
              <w:r w:rsidRPr="005A18DC">
                <w:rPr>
                  <w:rStyle w:val="Hyperlink"/>
                  <w:rFonts w:ascii="Arial" w:hAnsi="Arial" w:cs="Arial"/>
                  <w:b/>
                  <w:bCs/>
                  <w:sz w:val="14"/>
                  <w:szCs w:val="14"/>
                </w:rPr>
                <w:t>38.214</w:t>
              </w:r>
            </w:hyperlink>
          </w:p>
        </w:tc>
        <w:tc>
          <w:tcPr>
            <w:tcW w:w="324" w:type="pct"/>
            <w:shd w:val="clear" w:color="auto" w:fill="auto"/>
          </w:tcPr>
          <w:p w14:paraId="49B5B2CF" w14:textId="49F7D663"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17.7.0</w:t>
            </w:r>
          </w:p>
        </w:tc>
        <w:tc>
          <w:tcPr>
            <w:tcW w:w="779" w:type="pct"/>
          </w:tcPr>
          <w:p w14:paraId="5A997EF6" w14:textId="43E862B7" w:rsidR="005A18DC" w:rsidRPr="005A18DC" w:rsidRDefault="005A18DC" w:rsidP="005A18DC">
            <w:pPr>
              <w:rPr>
                <w:rFonts w:ascii="Arial" w:eastAsia="Times New Roman" w:hAnsi="Arial" w:cs="Arial"/>
                <w:color w:val="000000"/>
                <w:sz w:val="14"/>
                <w:szCs w:val="14"/>
                <w:lang w:eastAsia="en-GB"/>
              </w:rPr>
            </w:pPr>
            <w:hyperlink r:id="rId2466" w:history="1">
              <w:r w:rsidRPr="005A18DC">
                <w:rPr>
                  <w:rStyle w:val="Hyperlink"/>
                  <w:rFonts w:ascii="Arial" w:hAnsi="Arial" w:cs="Arial"/>
                  <w:b/>
                  <w:bCs/>
                  <w:sz w:val="14"/>
                  <w:szCs w:val="14"/>
                </w:rPr>
                <w:t>NR_redcap-Core</w:t>
              </w:r>
            </w:hyperlink>
          </w:p>
        </w:tc>
        <w:tc>
          <w:tcPr>
            <w:tcW w:w="233" w:type="pct"/>
          </w:tcPr>
          <w:p w14:paraId="4DA877BC" w14:textId="451FDCA6"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0478</w:t>
            </w:r>
          </w:p>
        </w:tc>
        <w:tc>
          <w:tcPr>
            <w:tcW w:w="226" w:type="pct"/>
          </w:tcPr>
          <w:p w14:paraId="5306555E" w14:textId="7260A1CC"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1</w:t>
            </w:r>
          </w:p>
        </w:tc>
        <w:tc>
          <w:tcPr>
            <w:tcW w:w="203" w:type="pct"/>
          </w:tcPr>
          <w:p w14:paraId="3505CA78" w14:textId="002BF29E"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F</w:t>
            </w:r>
          </w:p>
        </w:tc>
      </w:tr>
      <w:tr w:rsidR="005A18DC" w:rsidRPr="009537ED" w14:paraId="53C3B853" w14:textId="77777777" w:rsidTr="00B97F04">
        <w:trPr>
          <w:trHeight w:val="20"/>
        </w:trPr>
        <w:tc>
          <w:tcPr>
            <w:tcW w:w="365" w:type="pct"/>
          </w:tcPr>
          <w:p w14:paraId="26857008" w14:textId="31075344" w:rsidR="005A18DC" w:rsidRPr="005A18DC" w:rsidRDefault="005A18DC" w:rsidP="005A18DC">
            <w:pPr>
              <w:rPr>
                <w:rFonts w:ascii="Arial" w:eastAsia="Times New Roman" w:hAnsi="Arial" w:cs="Arial"/>
                <w:color w:val="000000"/>
                <w:sz w:val="14"/>
                <w:szCs w:val="14"/>
                <w:lang w:eastAsia="en-GB"/>
              </w:rPr>
            </w:pPr>
            <w:hyperlink r:id="rId2467" w:history="1">
              <w:r w:rsidRPr="005A18DC">
                <w:rPr>
                  <w:rStyle w:val="Hyperlink"/>
                  <w:rFonts w:ascii="Arial" w:hAnsi="Arial" w:cs="Arial"/>
                  <w:b/>
                  <w:bCs/>
                  <w:sz w:val="14"/>
                  <w:szCs w:val="14"/>
                </w:rPr>
                <w:t>R1-2312702</w:t>
              </w:r>
            </w:hyperlink>
          </w:p>
        </w:tc>
        <w:tc>
          <w:tcPr>
            <w:tcW w:w="1471" w:type="pct"/>
          </w:tcPr>
          <w:p w14:paraId="6827B6E6" w14:textId="01123691"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Correction of PUSCH repetition for RedCap UE with NCD-SSB in TDD</w:t>
            </w:r>
          </w:p>
        </w:tc>
        <w:tc>
          <w:tcPr>
            <w:tcW w:w="849" w:type="pct"/>
          </w:tcPr>
          <w:p w14:paraId="56A08725" w14:textId="32C418E4"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Moderator (Ericsson), Xiaomi, MediaTek, Ericsson</w:t>
            </w:r>
          </w:p>
        </w:tc>
        <w:tc>
          <w:tcPr>
            <w:tcW w:w="248" w:type="pct"/>
          </w:tcPr>
          <w:p w14:paraId="676D7E5D" w14:textId="27FBAFDB" w:rsidR="005A18DC" w:rsidRPr="005A18DC" w:rsidRDefault="005A18DC" w:rsidP="005A18DC">
            <w:pPr>
              <w:rPr>
                <w:rFonts w:ascii="Arial" w:eastAsia="Times New Roman" w:hAnsi="Arial" w:cs="Arial"/>
                <w:color w:val="000000"/>
                <w:sz w:val="14"/>
                <w:szCs w:val="14"/>
                <w:lang w:eastAsia="en-GB"/>
              </w:rPr>
            </w:pPr>
            <w:hyperlink r:id="rId2468" w:history="1">
              <w:r w:rsidRPr="005A18DC">
                <w:rPr>
                  <w:rStyle w:val="Hyperlink"/>
                  <w:rFonts w:ascii="Arial" w:hAnsi="Arial" w:cs="Arial"/>
                  <w:b/>
                  <w:bCs/>
                  <w:sz w:val="14"/>
                  <w:szCs w:val="14"/>
                </w:rPr>
                <w:t>Rel-18</w:t>
              </w:r>
            </w:hyperlink>
          </w:p>
        </w:tc>
        <w:tc>
          <w:tcPr>
            <w:tcW w:w="301" w:type="pct"/>
            <w:shd w:val="clear" w:color="auto" w:fill="auto"/>
          </w:tcPr>
          <w:p w14:paraId="6E95B383" w14:textId="7D963F68" w:rsidR="005A18DC" w:rsidRPr="005A18DC" w:rsidRDefault="005A18DC" w:rsidP="005A18DC">
            <w:pPr>
              <w:rPr>
                <w:rFonts w:ascii="Arial" w:eastAsia="Times New Roman" w:hAnsi="Arial" w:cs="Arial"/>
                <w:color w:val="000000"/>
                <w:sz w:val="14"/>
                <w:szCs w:val="14"/>
                <w:lang w:eastAsia="en-GB"/>
              </w:rPr>
            </w:pPr>
            <w:hyperlink r:id="rId2469" w:history="1">
              <w:r w:rsidRPr="005A18DC">
                <w:rPr>
                  <w:rStyle w:val="Hyperlink"/>
                  <w:rFonts w:ascii="Arial" w:hAnsi="Arial" w:cs="Arial"/>
                  <w:b/>
                  <w:bCs/>
                  <w:sz w:val="14"/>
                  <w:szCs w:val="14"/>
                </w:rPr>
                <w:t>38.214</w:t>
              </w:r>
            </w:hyperlink>
          </w:p>
        </w:tc>
        <w:tc>
          <w:tcPr>
            <w:tcW w:w="324" w:type="pct"/>
            <w:shd w:val="clear" w:color="auto" w:fill="auto"/>
          </w:tcPr>
          <w:p w14:paraId="0014A0DB" w14:textId="080B6EFC"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18.0.0</w:t>
            </w:r>
          </w:p>
        </w:tc>
        <w:tc>
          <w:tcPr>
            <w:tcW w:w="779" w:type="pct"/>
          </w:tcPr>
          <w:p w14:paraId="326B9334" w14:textId="39AD6E86" w:rsidR="005A18DC" w:rsidRPr="005A18DC" w:rsidRDefault="005A18DC" w:rsidP="005A18DC">
            <w:pPr>
              <w:rPr>
                <w:rFonts w:ascii="Arial" w:eastAsia="Times New Roman" w:hAnsi="Arial" w:cs="Arial"/>
                <w:color w:val="000000"/>
                <w:sz w:val="14"/>
                <w:szCs w:val="14"/>
                <w:lang w:eastAsia="en-GB"/>
              </w:rPr>
            </w:pPr>
            <w:hyperlink r:id="rId2470" w:history="1">
              <w:r w:rsidRPr="005A18DC">
                <w:rPr>
                  <w:rStyle w:val="Hyperlink"/>
                  <w:rFonts w:ascii="Arial" w:hAnsi="Arial" w:cs="Arial"/>
                  <w:b/>
                  <w:bCs/>
                  <w:sz w:val="14"/>
                  <w:szCs w:val="14"/>
                </w:rPr>
                <w:t>NR_redcap-Core</w:t>
              </w:r>
            </w:hyperlink>
          </w:p>
        </w:tc>
        <w:tc>
          <w:tcPr>
            <w:tcW w:w="233" w:type="pct"/>
          </w:tcPr>
          <w:p w14:paraId="63FAFAB8" w14:textId="4D75CE44"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0479</w:t>
            </w:r>
          </w:p>
        </w:tc>
        <w:tc>
          <w:tcPr>
            <w:tcW w:w="226" w:type="pct"/>
          </w:tcPr>
          <w:p w14:paraId="2E71619A" w14:textId="3B76DA66"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1</w:t>
            </w:r>
          </w:p>
        </w:tc>
        <w:tc>
          <w:tcPr>
            <w:tcW w:w="203" w:type="pct"/>
          </w:tcPr>
          <w:p w14:paraId="4EBA14FB" w14:textId="59A550C5"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A</w:t>
            </w:r>
          </w:p>
        </w:tc>
      </w:tr>
      <w:tr w:rsidR="005A18DC" w:rsidRPr="009537ED" w14:paraId="6ADBC9BF" w14:textId="77777777" w:rsidTr="00AA703E">
        <w:trPr>
          <w:trHeight w:val="20"/>
        </w:trPr>
        <w:tc>
          <w:tcPr>
            <w:tcW w:w="365" w:type="pct"/>
          </w:tcPr>
          <w:p w14:paraId="243E0F37" w14:textId="36188DFA" w:rsidR="005A18DC" w:rsidRPr="005A18DC" w:rsidRDefault="005A18DC" w:rsidP="005A18DC">
            <w:pPr>
              <w:rPr>
                <w:rFonts w:ascii="Arial" w:eastAsia="Times New Roman" w:hAnsi="Arial" w:cs="Arial"/>
                <w:color w:val="000000"/>
                <w:sz w:val="14"/>
                <w:szCs w:val="14"/>
                <w:lang w:eastAsia="en-GB"/>
              </w:rPr>
            </w:pPr>
            <w:hyperlink r:id="rId2471" w:history="1">
              <w:r w:rsidRPr="005A18DC">
                <w:rPr>
                  <w:rStyle w:val="Hyperlink"/>
                  <w:rFonts w:ascii="Arial" w:hAnsi="Arial" w:cs="Arial"/>
                  <w:b/>
                  <w:bCs/>
                  <w:sz w:val="14"/>
                  <w:szCs w:val="14"/>
                </w:rPr>
                <w:t>R1-2312711</w:t>
              </w:r>
            </w:hyperlink>
          </w:p>
        </w:tc>
        <w:tc>
          <w:tcPr>
            <w:tcW w:w="1471" w:type="pct"/>
          </w:tcPr>
          <w:p w14:paraId="7BDA88B8" w14:textId="670B85B0"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Introduction of RS for pathloss determination of Type 1 CG PUSCH [PL RS Type 1 CG]</w:t>
            </w:r>
          </w:p>
        </w:tc>
        <w:tc>
          <w:tcPr>
            <w:tcW w:w="849" w:type="pct"/>
          </w:tcPr>
          <w:p w14:paraId="09BBEF96" w14:textId="401490EC"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Samsung</w:t>
            </w:r>
          </w:p>
        </w:tc>
        <w:tc>
          <w:tcPr>
            <w:tcW w:w="248" w:type="pct"/>
          </w:tcPr>
          <w:p w14:paraId="09E300F9" w14:textId="70087B5C" w:rsidR="005A18DC" w:rsidRPr="005A18DC" w:rsidRDefault="005A18DC" w:rsidP="005A18DC">
            <w:pPr>
              <w:rPr>
                <w:rFonts w:ascii="Arial" w:eastAsia="Times New Roman" w:hAnsi="Arial" w:cs="Arial"/>
                <w:color w:val="000000"/>
                <w:sz w:val="14"/>
                <w:szCs w:val="14"/>
                <w:lang w:eastAsia="en-GB"/>
              </w:rPr>
            </w:pPr>
            <w:hyperlink r:id="rId2472" w:history="1">
              <w:r w:rsidRPr="005A18DC">
                <w:rPr>
                  <w:rStyle w:val="Hyperlink"/>
                  <w:rFonts w:ascii="Arial" w:hAnsi="Arial" w:cs="Arial"/>
                  <w:b/>
                  <w:bCs/>
                  <w:sz w:val="14"/>
                  <w:szCs w:val="14"/>
                </w:rPr>
                <w:t>Rel-18</w:t>
              </w:r>
            </w:hyperlink>
          </w:p>
        </w:tc>
        <w:tc>
          <w:tcPr>
            <w:tcW w:w="301" w:type="pct"/>
            <w:shd w:val="clear" w:color="auto" w:fill="auto"/>
          </w:tcPr>
          <w:p w14:paraId="64A8FBC4" w14:textId="10715928" w:rsidR="005A18DC" w:rsidRPr="005A18DC" w:rsidRDefault="005A18DC" w:rsidP="005A18DC">
            <w:pPr>
              <w:rPr>
                <w:rFonts w:ascii="Arial" w:eastAsia="Times New Roman" w:hAnsi="Arial" w:cs="Arial"/>
                <w:color w:val="000000"/>
                <w:sz w:val="14"/>
                <w:szCs w:val="14"/>
                <w:lang w:eastAsia="en-GB"/>
              </w:rPr>
            </w:pPr>
            <w:hyperlink r:id="rId2473" w:history="1">
              <w:r w:rsidRPr="005A18DC">
                <w:rPr>
                  <w:rStyle w:val="Hyperlink"/>
                  <w:rFonts w:ascii="Arial" w:hAnsi="Arial" w:cs="Arial"/>
                  <w:b/>
                  <w:bCs/>
                  <w:sz w:val="14"/>
                  <w:szCs w:val="14"/>
                </w:rPr>
                <w:t>38.213</w:t>
              </w:r>
            </w:hyperlink>
          </w:p>
        </w:tc>
        <w:tc>
          <w:tcPr>
            <w:tcW w:w="324" w:type="pct"/>
            <w:shd w:val="clear" w:color="auto" w:fill="auto"/>
          </w:tcPr>
          <w:p w14:paraId="41CF6798" w14:textId="67761A30"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18.0.0</w:t>
            </w:r>
          </w:p>
        </w:tc>
        <w:tc>
          <w:tcPr>
            <w:tcW w:w="779" w:type="pct"/>
          </w:tcPr>
          <w:p w14:paraId="4CC60072" w14:textId="38D7884B" w:rsidR="005A18DC" w:rsidRPr="005A18DC" w:rsidRDefault="005A18DC" w:rsidP="005A18DC">
            <w:pPr>
              <w:rPr>
                <w:rFonts w:ascii="Arial" w:eastAsia="Times New Roman" w:hAnsi="Arial" w:cs="Arial"/>
                <w:color w:val="000000"/>
                <w:sz w:val="14"/>
                <w:szCs w:val="14"/>
                <w:lang w:eastAsia="en-GB"/>
              </w:rPr>
            </w:pPr>
            <w:hyperlink r:id="rId2474" w:history="1">
              <w:r w:rsidRPr="005A18DC">
                <w:rPr>
                  <w:rStyle w:val="Hyperlink"/>
                  <w:rFonts w:ascii="Arial" w:hAnsi="Arial" w:cs="Arial"/>
                  <w:b/>
                  <w:bCs/>
                  <w:sz w:val="14"/>
                  <w:szCs w:val="14"/>
                </w:rPr>
                <w:t>TEI18</w:t>
              </w:r>
            </w:hyperlink>
          </w:p>
        </w:tc>
        <w:tc>
          <w:tcPr>
            <w:tcW w:w="233" w:type="pct"/>
          </w:tcPr>
          <w:p w14:paraId="630BE12A" w14:textId="3F946B74"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0567</w:t>
            </w:r>
          </w:p>
        </w:tc>
        <w:tc>
          <w:tcPr>
            <w:tcW w:w="226" w:type="pct"/>
          </w:tcPr>
          <w:p w14:paraId="59C9FA99" w14:textId="3BEB228C"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 </w:t>
            </w:r>
          </w:p>
        </w:tc>
        <w:tc>
          <w:tcPr>
            <w:tcW w:w="203" w:type="pct"/>
          </w:tcPr>
          <w:p w14:paraId="349FA077" w14:textId="469933CB"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B</w:t>
            </w:r>
          </w:p>
        </w:tc>
      </w:tr>
      <w:tr w:rsidR="005A18DC" w:rsidRPr="009537ED" w14:paraId="10FEBBF8" w14:textId="77777777" w:rsidTr="00AA703E">
        <w:trPr>
          <w:trHeight w:val="20"/>
        </w:trPr>
        <w:tc>
          <w:tcPr>
            <w:tcW w:w="365" w:type="pct"/>
          </w:tcPr>
          <w:p w14:paraId="0CD7A066" w14:textId="7E64D1E7" w:rsidR="005A18DC" w:rsidRPr="005A18DC" w:rsidRDefault="005A18DC" w:rsidP="005A18DC">
            <w:pPr>
              <w:rPr>
                <w:rFonts w:ascii="Arial" w:eastAsia="Times New Roman" w:hAnsi="Arial" w:cs="Arial"/>
                <w:color w:val="000000"/>
                <w:sz w:val="14"/>
                <w:szCs w:val="14"/>
                <w:lang w:eastAsia="en-GB"/>
              </w:rPr>
            </w:pPr>
            <w:hyperlink r:id="rId2475" w:history="1">
              <w:r w:rsidRPr="005A18DC">
                <w:rPr>
                  <w:rStyle w:val="Hyperlink"/>
                  <w:rFonts w:ascii="Arial" w:hAnsi="Arial" w:cs="Arial"/>
                  <w:b/>
                  <w:bCs/>
                  <w:sz w:val="14"/>
                  <w:szCs w:val="14"/>
                </w:rPr>
                <w:t>R1-2312713</w:t>
              </w:r>
            </w:hyperlink>
          </w:p>
        </w:tc>
        <w:tc>
          <w:tcPr>
            <w:tcW w:w="1471" w:type="pct"/>
          </w:tcPr>
          <w:p w14:paraId="47310DD8" w14:textId="7CD57EFA"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Introduction of additional PRS configurations [1symbol_PRS]</w:t>
            </w:r>
          </w:p>
        </w:tc>
        <w:tc>
          <w:tcPr>
            <w:tcW w:w="849" w:type="pct"/>
          </w:tcPr>
          <w:p w14:paraId="3FECF86D" w14:textId="25754AF6"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Ericsson</w:t>
            </w:r>
          </w:p>
        </w:tc>
        <w:tc>
          <w:tcPr>
            <w:tcW w:w="248" w:type="pct"/>
          </w:tcPr>
          <w:p w14:paraId="01034917" w14:textId="1FC988E0" w:rsidR="005A18DC" w:rsidRPr="005A18DC" w:rsidRDefault="005A18DC" w:rsidP="005A18DC">
            <w:pPr>
              <w:rPr>
                <w:rFonts w:ascii="Arial" w:eastAsia="Times New Roman" w:hAnsi="Arial" w:cs="Arial"/>
                <w:color w:val="000000"/>
                <w:sz w:val="14"/>
                <w:szCs w:val="14"/>
                <w:lang w:eastAsia="en-GB"/>
              </w:rPr>
            </w:pPr>
            <w:hyperlink r:id="rId2476" w:history="1">
              <w:r w:rsidRPr="005A18DC">
                <w:rPr>
                  <w:rStyle w:val="Hyperlink"/>
                  <w:rFonts w:ascii="Arial" w:hAnsi="Arial" w:cs="Arial"/>
                  <w:b/>
                  <w:bCs/>
                  <w:sz w:val="14"/>
                  <w:szCs w:val="14"/>
                </w:rPr>
                <w:t>Rel-18</w:t>
              </w:r>
            </w:hyperlink>
          </w:p>
        </w:tc>
        <w:tc>
          <w:tcPr>
            <w:tcW w:w="301" w:type="pct"/>
            <w:shd w:val="clear" w:color="auto" w:fill="auto"/>
          </w:tcPr>
          <w:p w14:paraId="7617A283" w14:textId="1194B41F" w:rsidR="005A18DC" w:rsidRPr="005A18DC" w:rsidRDefault="005A18DC" w:rsidP="005A18DC">
            <w:pPr>
              <w:rPr>
                <w:rFonts w:ascii="Arial" w:eastAsia="Times New Roman" w:hAnsi="Arial" w:cs="Arial"/>
                <w:color w:val="000000"/>
                <w:sz w:val="14"/>
                <w:szCs w:val="14"/>
                <w:lang w:eastAsia="en-GB"/>
              </w:rPr>
            </w:pPr>
            <w:hyperlink r:id="rId2477" w:history="1">
              <w:r w:rsidRPr="005A18DC">
                <w:rPr>
                  <w:rStyle w:val="Hyperlink"/>
                  <w:rFonts w:ascii="Arial" w:hAnsi="Arial" w:cs="Arial"/>
                  <w:b/>
                  <w:bCs/>
                  <w:sz w:val="14"/>
                  <w:szCs w:val="14"/>
                </w:rPr>
                <w:t>38.211</w:t>
              </w:r>
            </w:hyperlink>
          </w:p>
        </w:tc>
        <w:tc>
          <w:tcPr>
            <w:tcW w:w="324" w:type="pct"/>
            <w:shd w:val="clear" w:color="auto" w:fill="auto"/>
          </w:tcPr>
          <w:p w14:paraId="03C26D69" w14:textId="10CECC53"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18.0.0</w:t>
            </w:r>
          </w:p>
        </w:tc>
        <w:tc>
          <w:tcPr>
            <w:tcW w:w="779" w:type="pct"/>
          </w:tcPr>
          <w:p w14:paraId="54EC10DD" w14:textId="6881556E" w:rsidR="005A18DC" w:rsidRPr="005A18DC" w:rsidRDefault="005A18DC" w:rsidP="005A18DC">
            <w:pPr>
              <w:rPr>
                <w:rFonts w:ascii="Arial" w:eastAsia="Times New Roman" w:hAnsi="Arial" w:cs="Arial"/>
                <w:color w:val="000000"/>
                <w:sz w:val="14"/>
                <w:szCs w:val="14"/>
                <w:lang w:eastAsia="en-GB"/>
              </w:rPr>
            </w:pPr>
            <w:hyperlink r:id="rId2478" w:history="1">
              <w:r w:rsidRPr="005A18DC">
                <w:rPr>
                  <w:rStyle w:val="Hyperlink"/>
                  <w:rFonts w:ascii="Arial" w:hAnsi="Arial" w:cs="Arial"/>
                  <w:b/>
                  <w:bCs/>
                  <w:sz w:val="14"/>
                  <w:szCs w:val="14"/>
                </w:rPr>
                <w:t>TEI18</w:t>
              </w:r>
            </w:hyperlink>
          </w:p>
        </w:tc>
        <w:tc>
          <w:tcPr>
            <w:tcW w:w="233" w:type="pct"/>
          </w:tcPr>
          <w:p w14:paraId="7F4FBF34" w14:textId="44B74F87"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0114</w:t>
            </w:r>
          </w:p>
        </w:tc>
        <w:tc>
          <w:tcPr>
            <w:tcW w:w="226" w:type="pct"/>
          </w:tcPr>
          <w:p w14:paraId="316734B0" w14:textId="4772BD78"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 </w:t>
            </w:r>
          </w:p>
        </w:tc>
        <w:tc>
          <w:tcPr>
            <w:tcW w:w="203" w:type="pct"/>
          </w:tcPr>
          <w:p w14:paraId="5F5D1515" w14:textId="17DB6CC1"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B</w:t>
            </w:r>
          </w:p>
        </w:tc>
      </w:tr>
      <w:tr w:rsidR="005A18DC" w:rsidRPr="009537ED" w14:paraId="4443DA8F" w14:textId="77777777" w:rsidTr="00AA703E">
        <w:trPr>
          <w:trHeight w:val="20"/>
        </w:trPr>
        <w:tc>
          <w:tcPr>
            <w:tcW w:w="365" w:type="pct"/>
          </w:tcPr>
          <w:p w14:paraId="177DDDCE" w14:textId="57E7D884" w:rsidR="005A18DC" w:rsidRPr="005A18DC" w:rsidRDefault="005A18DC" w:rsidP="005A18DC">
            <w:pPr>
              <w:rPr>
                <w:rFonts w:ascii="Arial" w:eastAsia="Times New Roman" w:hAnsi="Arial" w:cs="Arial"/>
                <w:color w:val="000000"/>
                <w:sz w:val="14"/>
                <w:szCs w:val="14"/>
                <w:lang w:eastAsia="en-GB"/>
              </w:rPr>
            </w:pPr>
            <w:hyperlink r:id="rId2479" w:history="1">
              <w:r w:rsidRPr="005A18DC">
                <w:rPr>
                  <w:rStyle w:val="Hyperlink"/>
                  <w:rFonts w:ascii="Arial" w:hAnsi="Arial" w:cs="Arial"/>
                  <w:b/>
                  <w:bCs/>
                  <w:sz w:val="14"/>
                  <w:szCs w:val="14"/>
                </w:rPr>
                <w:t>R1-2312714</w:t>
              </w:r>
            </w:hyperlink>
          </w:p>
        </w:tc>
        <w:tc>
          <w:tcPr>
            <w:tcW w:w="1471" w:type="pct"/>
          </w:tcPr>
          <w:p w14:paraId="52B2F0F7" w14:textId="746A26D4"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Introduction of QCL-TypeD priorities for overlapping CORESETs in M-DCI/M-TRP operation [QCL-TypeD CORESET priority for M-TRP]</w:t>
            </w:r>
          </w:p>
        </w:tc>
        <w:tc>
          <w:tcPr>
            <w:tcW w:w="849" w:type="pct"/>
          </w:tcPr>
          <w:p w14:paraId="35D3185C" w14:textId="27607BEB"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Samsung</w:t>
            </w:r>
          </w:p>
        </w:tc>
        <w:tc>
          <w:tcPr>
            <w:tcW w:w="248" w:type="pct"/>
          </w:tcPr>
          <w:p w14:paraId="7E5A5916" w14:textId="3B7EA53D" w:rsidR="005A18DC" w:rsidRPr="005A18DC" w:rsidRDefault="005A18DC" w:rsidP="005A18DC">
            <w:pPr>
              <w:rPr>
                <w:rFonts w:ascii="Arial" w:eastAsia="Times New Roman" w:hAnsi="Arial" w:cs="Arial"/>
                <w:color w:val="000000"/>
                <w:sz w:val="14"/>
                <w:szCs w:val="14"/>
                <w:lang w:eastAsia="en-GB"/>
              </w:rPr>
            </w:pPr>
            <w:hyperlink r:id="rId2480" w:history="1">
              <w:r w:rsidRPr="005A18DC">
                <w:rPr>
                  <w:rStyle w:val="Hyperlink"/>
                  <w:rFonts w:ascii="Arial" w:hAnsi="Arial" w:cs="Arial"/>
                  <w:b/>
                  <w:bCs/>
                  <w:sz w:val="14"/>
                  <w:szCs w:val="14"/>
                </w:rPr>
                <w:t>Rel-18</w:t>
              </w:r>
            </w:hyperlink>
          </w:p>
        </w:tc>
        <w:tc>
          <w:tcPr>
            <w:tcW w:w="301" w:type="pct"/>
            <w:shd w:val="clear" w:color="auto" w:fill="auto"/>
          </w:tcPr>
          <w:p w14:paraId="6B188EC3" w14:textId="0495D7DA" w:rsidR="005A18DC" w:rsidRPr="005A18DC" w:rsidRDefault="005A18DC" w:rsidP="005A18DC">
            <w:pPr>
              <w:rPr>
                <w:rFonts w:ascii="Arial" w:eastAsia="Times New Roman" w:hAnsi="Arial" w:cs="Arial"/>
                <w:color w:val="000000"/>
                <w:sz w:val="14"/>
                <w:szCs w:val="14"/>
                <w:lang w:eastAsia="en-GB"/>
              </w:rPr>
            </w:pPr>
            <w:hyperlink r:id="rId2481" w:history="1">
              <w:r w:rsidRPr="005A18DC">
                <w:rPr>
                  <w:rStyle w:val="Hyperlink"/>
                  <w:rFonts w:ascii="Arial" w:hAnsi="Arial" w:cs="Arial"/>
                  <w:b/>
                  <w:bCs/>
                  <w:sz w:val="14"/>
                  <w:szCs w:val="14"/>
                </w:rPr>
                <w:t>38.213</w:t>
              </w:r>
            </w:hyperlink>
          </w:p>
        </w:tc>
        <w:tc>
          <w:tcPr>
            <w:tcW w:w="324" w:type="pct"/>
            <w:shd w:val="clear" w:color="auto" w:fill="auto"/>
          </w:tcPr>
          <w:p w14:paraId="2829ACBA" w14:textId="03866CA3"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18.0.0</w:t>
            </w:r>
          </w:p>
        </w:tc>
        <w:tc>
          <w:tcPr>
            <w:tcW w:w="779" w:type="pct"/>
          </w:tcPr>
          <w:p w14:paraId="61D425F9" w14:textId="570263A8" w:rsidR="005A18DC" w:rsidRPr="005A18DC" w:rsidRDefault="005A18DC" w:rsidP="005A18DC">
            <w:pPr>
              <w:rPr>
                <w:rFonts w:ascii="Arial" w:eastAsia="Times New Roman" w:hAnsi="Arial" w:cs="Arial"/>
                <w:color w:val="000000"/>
                <w:sz w:val="14"/>
                <w:szCs w:val="14"/>
                <w:lang w:eastAsia="en-GB"/>
              </w:rPr>
            </w:pPr>
            <w:hyperlink r:id="rId2482" w:history="1">
              <w:r w:rsidRPr="005A18DC">
                <w:rPr>
                  <w:rStyle w:val="Hyperlink"/>
                  <w:rFonts w:ascii="Arial" w:hAnsi="Arial" w:cs="Arial"/>
                  <w:b/>
                  <w:bCs/>
                  <w:sz w:val="14"/>
                  <w:szCs w:val="14"/>
                </w:rPr>
                <w:t>TEI18</w:t>
              </w:r>
            </w:hyperlink>
          </w:p>
        </w:tc>
        <w:tc>
          <w:tcPr>
            <w:tcW w:w="233" w:type="pct"/>
          </w:tcPr>
          <w:p w14:paraId="22C1A976" w14:textId="11B617F3"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0569</w:t>
            </w:r>
          </w:p>
        </w:tc>
        <w:tc>
          <w:tcPr>
            <w:tcW w:w="226" w:type="pct"/>
          </w:tcPr>
          <w:p w14:paraId="7A8ECBD6" w14:textId="11C178AE"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 </w:t>
            </w:r>
          </w:p>
        </w:tc>
        <w:tc>
          <w:tcPr>
            <w:tcW w:w="203" w:type="pct"/>
          </w:tcPr>
          <w:p w14:paraId="532EC4E1" w14:textId="463F75EA"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B</w:t>
            </w:r>
          </w:p>
        </w:tc>
      </w:tr>
      <w:tr w:rsidR="005A18DC" w:rsidRPr="009537ED" w14:paraId="6D1B9A8A" w14:textId="77777777" w:rsidTr="00AA703E">
        <w:trPr>
          <w:trHeight w:val="20"/>
        </w:trPr>
        <w:tc>
          <w:tcPr>
            <w:tcW w:w="365" w:type="pct"/>
          </w:tcPr>
          <w:p w14:paraId="7A246C39" w14:textId="0B9B6F86" w:rsidR="005A18DC" w:rsidRPr="005A18DC" w:rsidRDefault="005A18DC" w:rsidP="005A18DC">
            <w:pPr>
              <w:rPr>
                <w:rFonts w:ascii="Arial" w:eastAsia="Times New Roman" w:hAnsi="Arial" w:cs="Arial"/>
                <w:color w:val="000000"/>
                <w:sz w:val="14"/>
                <w:szCs w:val="14"/>
                <w:lang w:eastAsia="en-GB"/>
              </w:rPr>
            </w:pPr>
            <w:hyperlink r:id="rId2483" w:history="1">
              <w:r w:rsidRPr="005A18DC">
                <w:rPr>
                  <w:rStyle w:val="Hyperlink"/>
                  <w:rFonts w:ascii="Arial" w:hAnsi="Arial" w:cs="Arial"/>
                  <w:b/>
                  <w:bCs/>
                  <w:sz w:val="14"/>
                  <w:szCs w:val="14"/>
                </w:rPr>
                <w:t>R1-2312717</w:t>
              </w:r>
            </w:hyperlink>
          </w:p>
        </w:tc>
        <w:tc>
          <w:tcPr>
            <w:tcW w:w="1471" w:type="pct"/>
          </w:tcPr>
          <w:p w14:paraId="6258C376" w14:textId="65120F2A"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Rel-17 editorial corrections for TS 38.212</w:t>
            </w:r>
          </w:p>
        </w:tc>
        <w:tc>
          <w:tcPr>
            <w:tcW w:w="849" w:type="pct"/>
          </w:tcPr>
          <w:p w14:paraId="024F7058" w14:textId="00DCB3E6"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Huawei</w:t>
            </w:r>
          </w:p>
        </w:tc>
        <w:tc>
          <w:tcPr>
            <w:tcW w:w="248" w:type="pct"/>
          </w:tcPr>
          <w:p w14:paraId="3C9597B7" w14:textId="2DEE38C7" w:rsidR="005A18DC" w:rsidRPr="005A18DC" w:rsidRDefault="005A18DC" w:rsidP="005A18DC">
            <w:pPr>
              <w:rPr>
                <w:rFonts w:ascii="Arial" w:eastAsia="Times New Roman" w:hAnsi="Arial" w:cs="Arial"/>
                <w:color w:val="000000"/>
                <w:sz w:val="14"/>
                <w:szCs w:val="14"/>
                <w:lang w:eastAsia="en-GB"/>
              </w:rPr>
            </w:pPr>
            <w:hyperlink r:id="rId2484" w:history="1">
              <w:r w:rsidRPr="005A18DC">
                <w:rPr>
                  <w:rStyle w:val="Hyperlink"/>
                  <w:rFonts w:ascii="Arial" w:hAnsi="Arial" w:cs="Arial"/>
                  <w:b/>
                  <w:bCs/>
                  <w:sz w:val="14"/>
                  <w:szCs w:val="14"/>
                </w:rPr>
                <w:t>Rel-17</w:t>
              </w:r>
            </w:hyperlink>
          </w:p>
        </w:tc>
        <w:tc>
          <w:tcPr>
            <w:tcW w:w="301" w:type="pct"/>
            <w:shd w:val="clear" w:color="auto" w:fill="auto"/>
          </w:tcPr>
          <w:p w14:paraId="51EA26B7" w14:textId="2704E2F1" w:rsidR="005A18DC" w:rsidRPr="005A18DC" w:rsidRDefault="005A18DC" w:rsidP="005A18DC">
            <w:pPr>
              <w:rPr>
                <w:rFonts w:ascii="Arial" w:eastAsia="Times New Roman" w:hAnsi="Arial" w:cs="Arial"/>
                <w:color w:val="000000"/>
                <w:sz w:val="14"/>
                <w:szCs w:val="14"/>
                <w:lang w:eastAsia="en-GB"/>
              </w:rPr>
            </w:pPr>
            <w:hyperlink r:id="rId2485" w:history="1">
              <w:r w:rsidRPr="005A18DC">
                <w:rPr>
                  <w:rStyle w:val="Hyperlink"/>
                  <w:rFonts w:ascii="Arial" w:hAnsi="Arial" w:cs="Arial"/>
                  <w:b/>
                  <w:bCs/>
                  <w:sz w:val="14"/>
                  <w:szCs w:val="14"/>
                </w:rPr>
                <w:t>38.212</w:t>
              </w:r>
            </w:hyperlink>
          </w:p>
        </w:tc>
        <w:tc>
          <w:tcPr>
            <w:tcW w:w="324" w:type="pct"/>
            <w:shd w:val="clear" w:color="auto" w:fill="auto"/>
          </w:tcPr>
          <w:p w14:paraId="1EDC2628" w14:textId="018302D2"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17.6.0</w:t>
            </w:r>
          </w:p>
        </w:tc>
        <w:tc>
          <w:tcPr>
            <w:tcW w:w="779" w:type="pct"/>
          </w:tcPr>
          <w:p w14:paraId="7EB080AE" w14:textId="1A0FE428"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color w:val="000000"/>
                <w:sz w:val="14"/>
                <w:szCs w:val="14"/>
              </w:rPr>
              <w:t>NR_MBS-Core, NR_ext_to_71GHz-Core</w:t>
            </w:r>
          </w:p>
        </w:tc>
        <w:tc>
          <w:tcPr>
            <w:tcW w:w="233" w:type="pct"/>
          </w:tcPr>
          <w:p w14:paraId="54457D3C" w14:textId="6EB094A7"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0161</w:t>
            </w:r>
          </w:p>
        </w:tc>
        <w:tc>
          <w:tcPr>
            <w:tcW w:w="226" w:type="pct"/>
          </w:tcPr>
          <w:p w14:paraId="08E2418A" w14:textId="0743CE9F"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 </w:t>
            </w:r>
          </w:p>
        </w:tc>
        <w:tc>
          <w:tcPr>
            <w:tcW w:w="203" w:type="pct"/>
          </w:tcPr>
          <w:p w14:paraId="6AF8FD55" w14:textId="4F5A584B"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F</w:t>
            </w:r>
          </w:p>
        </w:tc>
      </w:tr>
      <w:tr w:rsidR="005A18DC" w:rsidRPr="009537ED" w14:paraId="5DCBCE02" w14:textId="77777777" w:rsidTr="00AA703E">
        <w:trPr>
          <w:trHeight w:val="20"/>
        </w:trPr>
        <w:tc>
          <w:tcPr>
            <w:tcW w:w="365" w:type="pct"/>
          </w:tcPr>
          <w:p w14:paraId="5704994A" w14:textId="57FA075E" w:rsidR="005A18DC" w:rsidRPr="005A18DC" w:rsidRDefault="005A18DC" w:rsidP="005A18DC">
            <w:pPr>
              <w:rPr>
                <w:rFonts w:ascii="Arial" w:eastAsia="Times New Roman" w:hAnsi="Arial" w:cs="Arial"/>
                <w:color w:val="000000"/>
                <w:sz w:val="14"/>
                <w:szCs w:val="14"/>
                <w:lang w:eastAsia="en-GB"/>
              </w:rPr>
            </w:pPr>
            <w:hyperlink r:id="rId2486" w:history="1">
              <w:r w:rsidRPr="005A18DC">
                <w:rPr>
                  <w:rStyle w:val="Hyperlink"/>
                  <w:rFonts w:ascii="Arial" w:hAnsi="Arial" w:cs="Arial"/>
                  <w:b/>
                  <w:bCs/>
                  <w:sz w:val="14"/>
                  <w:szCs w:val="14"/>
                </w:rPr>
                <w:t>R1-2312718</w:t>
              </w:r>
            </w:hyperlink>
          </w:p>
        </w:tc>
        <w:tc>
          <w:tcPr>
            <w:tcW w:w="1471" w:type="pct"/>
          </w:tcPr>
          <w:p w14:paraId="6679A125" w14:textId="2DF97DFC"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Rel-17 editorial corrections for TS 38.213</w:t>
            </w:r>
          </w:p>
        </w:tc>
        <w:tc>
          <w:tcPr>
            <w:tcW w:w="849" w:type="pct"/>
          </w:tcPr>
          <w:p w14:paraId="6327EC8B" w14:textId="57630868"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Samsung</w:t>
            </w:r>
          </w:p>
        </w:tc>
        <w:tc>
          <w:tcPr>
            <w:tcW w:w="248" w:type="pct"/>
          </w:tcPr>
          <w:p w14:paraId="0DAA841D" w14:textId="0D467226" w:rsidR="005A18DC" w:rsidRPr="005A18DC" w:rsidRDefault="005A18DC" w:rsidP="005A18DC">
            <w:pPr>
              <w:rPr>
                <w:rFonts w:ascii="Arial" w:eastAsia="Times New Roman" w:hAnsi="Arial" w:cs="Arial"/>
                <w:color w:val="000000"/>
                <w:sz w:val="14"/>
                <w:szCs w:val="14"/>
                <w:lang w:eastAsia="en-GB"/>
              </w:rPr>
            </w:pPr>
            <w:hyperlink r:id="rId2487" w:history="1">
              <w:r w:rsidRPr="005A18DC">
                <w:rPr>
                  <w:rStyle w:val="Hyperlink"/>
                  <w:rFonts w:ascii="Arial" w:hAnsi="Arial" w:cs="Arial"/>
                  <w:b/>
                  <w:bCs/>
                  <w:sz w:val="14"/>
                  <w:szCs w:val="14"/>
                </w:rPr>
                <w:t>Rel-17</w:t>
              </w:r>
            </w:hyperlink>
          </w:p>
        </w:tc>
        <w:tc>
          <w:tcPr>
            <w:tcW w:w="301" w:type="pct"/>
            <w:shd w:val="clear" w:color="auto" w:fill="auto"/>
          </w:tcPr>
          <w:p w14:paraId="619B0A6D" w14:textId="6295D2A7" w:rsidR="005A18DC" w:rsidRPr="005A18DC" w:rsidRDefault="005A18DC" w:rsidP="005A18DC">
            <w:pPr>
              <w:rPr>
                <w:rFonts w:ascii="Arial" w:eastAsia="Times New Roman" w:hAnsi="Arial" w:cs="Arial"/>
                <w:color w:val="000000"/>
                <w:sz w:val="14"/>
                <w:szCs w:val="14"/>
                <w:lang w:eastAsia="en-GB"/>
              </w:rPr>
            </w:pPr>
            <w:hyperlink r:id="rId2488" w:history="1">
              <w:r w:rsidRPr="005A18DC">
                <w:rPr>
                  <w:rStyle w:val="Hyperlink"/>
                  <w:rFonts w:ascii="Arial" w:hAnsi="Arial" w:cs="Arial"/>
                  <w:b/>
                  <w:bCs/>
                  <w:sz w:val="14"/>
                  <w:szCs w:val="14"/>
                </w:rPr>
                <w:t>38.213</w:t>
              </w:r>
            </w:hyperlink>
          </w:p>
        </w:tc>
        <w:tc>
          <w:tcPr>
            <w:tcW w:w="324" w:type="pct"/>
            <w:shd w:val="clear" w:color="auto" w:fill="auto"/>
          </w:tcPr>
          <w:p w14:paraId="13EBD2CA" w14:textId="28BF2903"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17.7.0</w:t>
            </w:r>
          </w:p>
        </w:tc>
        <w:tc>
          <w:tcPr>
            <w:tcW w:w="779" w:type="pct"/>
          </w:tcPr>
          <w:p w14:paraId="59024508" w14:textId="4895117C"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color w:val="000000"/>
                <w:sz w:val="14"/>
                <w:szCs w:val="14"/>
              </w:rPr>
              <w:t>TEI17, NR_newRAT-Core, NR_unlic-Core, NR_FeMIMO-Core, NR_MBS-Core, NR_NTN_solutions-Core</w:t>
            </w:r>
          </w:p>
        </w:tc>
        <w:tc>
          <w:tcPr>
            <w:tcW w:w="233" w:type="pct"/>
          </w:tcPr>
          <w:p w14:paraId="471F1FD8" w14:textId="19CCA122"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0570</w:t>
            </w:r>
          </w:p>
        </w:tc>
        <w:tc>
          <w:tcPr>
            <w:tcW w:w="226" w:type="pct"/>
          </w:tcPr>
          <w:p w14:paraId="10157671" w14:textId="5A4E5C15"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 </w:t>
            </w:r>
          </w:p>
        </w:tc>
        <w:tc>
          <w:tcPr>
            <w:tcW w:w="203" w:type="pct"/>
          </w:tcPr>
          <w:p w14:paraId="226D7FC8" w14:textId="0B2F7D74"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F</w:t>
            </w:r>
          </w:p>
        </w:tc>
      </w:tr>
      <w:tr w:rsidR="005A18DC" w:rsidRPr="009537ED" w14:paraId="0B25B403" w14:textId="77777777" w:rsidTr="00AA703E">
        <w:trPr>
          <w:trHeight w:val="20"/>
        </w:trPr>
        <w:tc>
          <w:tcPr>
            <w:tcW w:w="365" w:type="pct"/>
          </w:tcPr>
          <w:p w14:paraId="6EAAFEF6" w14:textId="37EC8D3A" w:rsidR="005A18DC" w:rsidRPr="005A18DC" w:rsidRDefault="005A18DC" w:rsidP="005A18DC">
            <w:pPr>
              <w:rPr>
                <w:rFonts w:ascii="Arial" w:eastAsia="Times New Roman" w:hAnsi="Arial" w:cs="Arial"/>
                <w:color w:val="000000"/>
                <w:sz w:val="14"/>
                <w:szCs w:val="14"/>
                <w:lang w:eastAsia="en-GB"/>
              </w:rPr>
            </w:pPr>
            <w:hyperlink r:id="rId2489" w:history="1">
              <w:r w:rsidRPr="005A18DC">
                <w:rPr>
                  <w:rStyle w:val="Hyperlink"/>
                  <w:rFonts w:ascii="Arial" w:hAnsi="Arial" w:cs="Arial"/>
                  <w:b/>
                  <w:bCs/>
                  <w:sz w:val="14"/>
                  <w:szCs w:val="14"/>
                </w:rPr>
                <w:t>R1-2312719</w:t>
              </w:r>
            </w:hyperlink>
          </w:p>
        </w:tc>
        <w:tc>
          <w:tcPr>
            <w:tcW w:w="1471" w:type="pct"/>
          </w:tcPr>
          <w:p w14:paraId="31041436" w14:textId="08F2CBDB"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Rel-17 editorial corrections for TS 38.214</w:t>
            </w:r>
          </w:p>
        </w:tc>
        <w:tc>
          <w:tcPr>
            <w:tcW w:w="849" w:type="pct"/>
          </w:tcPr>
          <w:p w14:paraId="04882460" w14:textId="6583459B"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Nokia</w:t>
            </w:r>
          </w:p>
        </w:tc>
        <w:tc>
          <w:tcPr>
            <w:tcW w:w="248" w:type="pct"/>
          </w:tcPr>
          <w:p w14:paraId="75E838A9" w14:textId="78123C39" w:rsidR="005A18DC" w:rsidRPr="005A18DC" w:rsidRDefault="005A18DC" w:rsidP="005A18DC">
            <w:pPr>
              <w:rPr>
                <w:rFonts w:ascii="Arial" w:eastAsia="Times New Roman" w:hAnsi="Arial" w:cs="Arial"/>
                <w:color w:val="000000"/>
                <w:sz w:val="14"/>
                <w:szCs w:val="14"/>
                <w:lang w:eastAsia="en-GB"/>
              </w:rPr>
            </w:pPr>
            <w:hyperlink r:id="rId2490" w:history="1">
              <w:r w:rsidRPr="005A18DC">
                <w:rPr>
                  <w:rStyle w:val="Hyperlink"/>
                  <w:rFonts w:ascii="Arial" w:hAnsi="Arial" w:cs="Arial"/>
                  <w:b/>
                  <w:bCs/>
                  <w:sz w:val="14"/>
                  <w:szCs w:val="14"/>
                </w:rPr>
                <w:t>Rel-17</w:t>
              </w:r>
            </w:hyperlink>
          </w:p>
        </w:tc>
        <w:tc>
          <w:tcPr>
            <w:tcW w:w="301" w:type="pct"/>
            <w:shd w:val="clear" w:color="auto" w:fill="auto"/>
          </w:tcPr>
          <w:p w14:paraId="68D297AA" w14:textId="6E9D4CA4" w:rsidR="005A18DC" w:rsidRPr="005A18DC" w:rsidRDefault="005A18DC" w:rsidP="005A18DC">
            <w:pPr>
              <w:rPr>
                <w:rFonts w:ascii="Arial" w:eastAsia="Times New Roman" w:hAnsi="Arial" w:cs="Arial"/>
                <w:color w:val="000000"/>
                <w:sz w:val="14"/>
                <w:szCs w:val="14"/>
                <w:lang w:eastAsia="en-GB"/>
              </w:rPr>
            </w:pPr>
            <w:hyperlink r:id="rId2491" w:history="1">
              <w:r w:rsidRPr="005A18DC">
                <w:rPr>
                  <w:rStyle w:val="Hyperlink"/>
                  <w:rFonts w:ascii="Arial" w:hAnsi="Arial" w:cs="Arial"/>
                  <w:b/>
                  <w:bCs/>
                  <w:sz w:val="14"/>
                  <w:szCs w:val="14"/>
                </w:rPr>
                <w:t>38.214</w:t>
              </w:r>
            </w:hyperlink>
          </w:p>
        </w:tc>
        <w:tc>
          <w:tcPr>
            <w:tcW w:w="324" w:type="pct"/>
            <w:shd w:val="clear" w:color="auto" w:fill="auto"/>
          </w:tcPr>
          <w:p w14:paraId="721140BA" w14:textId="23922C30"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17.7.0</w:t>
            </w:r>
          </w:p>
        </w:tc>
        <w:tc>
          <w:tcPr>
            <w:tcW w:w="779" w:type="pct"/>
          </w:tcPr>
          <w:p w14:paraId="1AED15F6" w14:textId="39B5E39D"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color w:val="000000"/>
                <w:sz w:val="14"/>
                <w:szCs w:val="14"/>
              </w:rPr>
              <w:t>NR_FeMIMO-Core, NR_SmallData_INACTIVE-Core, NR_MBS-Core</w:t>
            </w:r>
          </w:p>
        </w:tc>
        <w:tc>
          <w:tcPr>
            <w:tcW w:w="233" w:type="pct"/>
          </w:tcPr>
          <w:p w14:paraId="1470318C" w14:textId="11E9BE07"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0480</w:t>
            </w:r>
          </w:p>
        </w:tc>
        <w:tc>
          <w:tcPr>
            <w:tcW w:w="226" w:type="pct"/>
          </w:tcPr>
          <w:p w14:paraId="2F297DA9" w14:textId="4F2BCAAA"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 </w:t>
            </w:r>
          </w:p>
        </w:tc>
        <w:tc>
          <w:tcPr>
            <w:tcW w:w="203" w:type="pct"/>
          </w:tcPr>
          <w:p w14:paraId="65C67FE7" w14:textId="5E0AB778"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F</w:t>
            </w:r>
          </w:p>
        </w:tc>
      </w:tr>
      <w:tr w:rsidR="005A18DC" w:rsidRPr="009537ED" w14:paraId="7BB10636" w14:textId="77777777" w:rsidTr="00AA703E">
        <w:trPr>
          <w:trHeight w:val="20"/>
        </w:trPr>
        <w:tc>
          <w:tcPr>
            <w:tcW w:w="365" w:type="pct"/>
          </w:tcPr>
          <w:p w14:paraId="40778A91" w14:textId="5C2D5D05" w:rsidR="005A18DC" w:rsidRPr="005A18DC" w:rsidRDefault="005A18DC" w:rsidP="005A18DC">
            <w:pPr>
              <w:rPr>
                <w:rFonts w:ascii="Arial" w:eastAsia="Times New Roman" w:hAnsi="Arial" w:cs="Arial"/>
                <w:color w:val="000000"/>
                <w:sz w:val="14"/>
                <w:szCs w:val="14"/>
                <w:lang w:eastAsia="en-GB"/>
              </w:rPr>
            </w:pPr>
            <w:hyperlink r:id="rId2492" w:history="1">
              <w:r w:rsidRPr="005A18DC">
                <w:rPr>
                  <w:rStyle w:val="Hyperlink"/>
                  <w:rFonts w:ascii="Arial" w:hAnsi="Arial" w:cs="Arial"/>
                  <w:b/>
                  <w:bCs/>
                  <w:sz w:val="14"/>
                  <w:szCs w:val="14"/>
                </w:rPr>
                <w:t>R1-2312720</w:t>
              </w:r>
            </w:hyperlink>
          </w:p>
        </w:tc>
        <w:tc>
          <w:tcPr>
            <w:tcW w:w="1471" w:type="pct"/>
          </w:tcPr>
          <w:p w14:paraId="450BAE59" w14:textId="53566E45"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Rel-17 editorial corrections for TS 38.212 (mirrored to Rel-18)</w:t>
            </w:r>
          </w:p>
        </w:tc>
        <w:tc>
          <w:tcPr>
            <w:tcW w:w="849" w:type="pct"/>
          </w:tcPr>
          <w:p w14:paraId="6C2C65B8" w14:textId="35D124A9"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Huawei</w:t>
            </w:r>
          </w:p>
        </w:tc>
        <w:tc>
          <w:tcPr>
            <w:tcW w:w="248" w:type="pct"/>
          </w:tcPr>
          <w:p w14:paraId="7E47386E" w14:textId="337827D5" w:rsidR="005A18DC" w:rsidRPr="005A18DC" w:rsidRDefault="005A18DC" w:rsidP="005A18DC">
            <w:pPr>
              <w:rPr>
                <w:rFonts w:ascii="Arial" w:eastAsia="Times New Roman" w:hAnsi="Arial" w:cs="Arial"/>
                <w:color w:val="000000"/>
                <w:sz w:val="14"/>
                <w:szCs w:val="14"/>
                <w:lang w:eastAsia="en-GB"/>
              </w:rPr>
            </w:pPr>
            <w:hyperlink r:id="rId2493" w:history="1">
              <w:r w:rsidRPr="005A18DC">
                <w:rPr>
                  <w:rStyle w:val="Hyperlink"/>
                  <w:rFonts w:ascii="Arial" w:hAnsi="Arial" w:cs="Arial"/>
                  <w:b/>
                  <w:bCs/>
                  <w:sz w:val="14"/>
                  <w:szCs w:val="14"/>
                </w:rPr>
                <w:t>Rel-18</w:t>
              </w:r>
            </w:hyperlink>
          </w:p>
        </w:tc>
        <w:tc>
          <w:tcPr>
            <w:tcW w:w="301" w:type="pct"/>
            <w:shd w:val="clear" w:color="auto" w:fill="auto"/>
          </w:tcPr>
          <w:p w14:paraId="0D4CC615" w14:textId="239CF850" w:rsidR="005A18DC" w:rsidRPr="005A18DC" w:rsidRDefault="005A18DC" w:rsidP="005A18DC">
            <w:pPr>
              <w:rPr>
                <w:rFonts w:ascii="Arial" w:eastAsia="Times New Roman" w:hAnsi="Arial" w:cs="Arial"/>
                <w:color w:val="000000"/>
                <w:sz w:val="14"/>
                <w:szCs w:val="14"/>
                <w:lang w:eastAsia="en-GB"/>
              </w:rPr>
            </w:pPr>
            <w:hyperlink r:id="rId2494" w:history="1">
              <w:r w:rsidRPr="005A18DC">
                <w:rPr>
                  <w:rStyle w:val="Hyperlink"/>
                  <w:rFonts w:ascii="Arial" w:hAnsi="Arial" w:cs="Arial"/>
                  <w:b/>
                  <w:bCs/>
                  <w:sz w:val="14"/>
                  <w:szCs w:val="14"/>
                </w:rPr>
                <w:t>38.212</w:t>
              </w:r>
            </w:hyperlink>
          </w:p>
        </w:tc>
        <w:tc>
          <w:tcPr>
            <w:tcW w:w="324" w:type="pct"/>
            <w:shd w:val="clear" w:color="auto" w:fill="auto"/>
          </w:tcPr>
          <w:p w14:paraId="5557B951" w14:textId="57EED80C"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18.0.0</w:t>
            </w:r>
          </w:p>
        </w:tc>
        <w:tc>
          <w:tcPr>
            <w:tcW w:w="779" w:type="pct"/>
          </w:tcPr>
          <w:p w14:paraId="216D4047" w14:textId="00E32D0A"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color w:val="000000"/>
                <w:sz w:val="14"/>
                <w:szCs w:val="14"/>
              </w:rPr>
              <w:t>NR_MBS-Core, NR_ext_to_71GHz-Core</w:t>
            </w:r>
          </w:p>
        </w:tc>
        <w:tc>
          <w:tcPr>
            <w:tcW w:w="233" w:type="pct"/>
          </w:tcPr>
          <w:p w14:paraId="7747B430" w14:textId="26438298"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0162</w:t>
            </w:r>
          </w:p>
        </w:tc>
        <w:tc>
          <w:tcPr>
            <w:tcW w:w="226" w:type="pct"/>
          </w:tcPr>
          <w:p w14:paraId="14D891D2" w14:textId="06F5D046"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 </w:t>
            </w:r>
          </w:p>
        </w:tc>
        <w:tc>
          <w:tcPr>
            <w:tcW w:w="203" w:type="pct"/>
          </w:tcPr>
          <w:p w14:paraId="535EECD8" w14:textId="1F43BE3F"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A</w:t>
            </w:r>
          </w:p>
        </w:tc>
      </w:tr>
      <w:tr w:rsidR="005A18DC" w:rsidRPr="009537ED" w14:paraId="228F8713" w14:textId="77777777" w:rsidTr="00AA703E">
        <w:trPr>
          <w:trHeight w:val="20"/>
        </w:trPr>
        <w:tc>
          <w:tcPr>
            <w:tcW w:w="365" w:type="pct"/>
          </w:tcPr>
          <w:p w14:paraId="51484D76" w14:textId="04E64A8C" w:rsidR="005A18DC" w:rsidRPr="005A18DC" w:rsidRDefault="005A18DC" w:rsidP="005A18DC">
            <w:pPr>
              <w:rPr>
                <w:rFonts w:ascii="Arial" w:eastAsia="Times New Roman" w:hAnsi="Arial" w:cs="Arial"/>
                <w:color w:val="000000"/>
                <w:sz w:val="14"/>
                <w:szCs w:val="14"/>
                <w:lang w:eastAsia="en-GB"/>
              </w:rPr>
            </w:pPr>
            <w:hyperlink r:id="rId2495" w:history="1">
              <w:r w:rsidRPr="005A18DC">
                <w:rPr>
                  <w:rStyle w:val="Hyperlink"/>
                  <w:rFonts w:ascii="Arial" w:hAnsi="Arial" w:cs="Arial"/>
                  <w:b/>
                  <w:bCs/>
                  <w:sz w:val="14"/>
                  <w:szCs w:val="14"/>
                </w:rPr>
                <w:t>R1-2312721</w:t>
              </w:r>
            </w:hyperlink>
          </w:p>
        </w:tc>
        <w:tc>
          <w:tcPr>
            <w:tcW w:w="1471" w:type="pct"/>
          </w:tcPr>
          <w:p w14:paraId="5DD08DD8" w14:textId="11C69BEA"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Rel-17 editorial corrections for TS 38.213 (mirrored to Rel-18)</w:t>
            </w:r>
          </w:p>
        </w:tc>
        <w:tc>
          <w:tcPr>
            <w:tcW w:w="849" w:type="pct"/>
          </w:tcPr>
          <w:p w14:paraId="24DE797A" w14:textId="0B5820F0"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Samsung</w:t>
            </w:r>
          </w:p>
        </w:tc>
        <w:tc>
          <w:tcPr>
            <w:tcW w:w="248" w:type="pct"/>
          </w:tcPr>
          <w:p w14:paraId="05E70747" w14:textId="4EF44681" w:rsidR="005A18DC" w:rsidRPr="005A18DC" w:rsidRDefault="005A18DC" w:rsidP="005A18DC">
            <w:pPr>
              <w:rPr>
                <w:rFonts w:ascii="Arial" w:eastAsia="Times New Roman" w:hAnsi="Arial" w:cs="Arial"/>
                <w:color w:val="000000"/>
                <w:sz w:val="14"/>
                <w:szCs w:val="14"/>
                <w:lang w:eastAsia="en-GB"/>
              </w:rPr>
            </w:pPr>
            <w:hyperlink r:id="rId2496" w:history="1">
              <w:r w:rsidRPr="005A18DC">
                <w:rPr>
                  <w:rStyle w:val="Hyperlink"/>
                  <w:rFonts w:ascii="Arial" w:hAnsi="Arial" w:cs="Arial"/>
                  <w:b/>
                  <w:bCs/>
                  <w:sz w:val="14"/>
                  <w:szCs w:val="14"/>
                </w:rPr>
                <w:t>Rel-18</w:t>
              </w:r>
            </w:hyperlink>
          </w:p>
        </w:tc>
        <w:tc>
          <w:tcPr>
            <w:tcW w:w="301" w:type="pct"/>
            <w:shd w:val="clear" w:color="auto" w:fill="auto"/>
          </w:tcPr>
          <w:p w14:paraId="0B0EECFD" w14:textId="0C41A49C" w:rsidR="005A18DC" w:rsidRPr="005A18DC" w:rsidRDefault="005A18DC" w:rsidP="005A18DC">
            <w:pPr>
              <w:rPr>
                <w:rFonts w:ascii="Arial" w:eastAsia="Times New Roman" w:hAnsi="Arial" w:cs="Arial"/>
                <w:color w:val="000000"/>
                <w:sz w:val="14"/>
                <w:szCs w:val="14"/>
                <w:lang w:eastAsia="en-GB"/>
              </w:rPr>
            </w:pPr>
            <w:hyperlink r:id="rId2497" w:history="1">
              <w:r w:rsidRPr="005A18DC">
                <w:rPr>
                  <w:rStyle w:val="Hyperlink"/>
                  <w:rFonts w:ascii="Arial" w:hAnsi="Arial" w:cs="Arial"/>
                  <w:b/>
                  <w:bCs/>
                  <w:sz w:val="14"/>
                  <w:szCs w:val="14"/>
                </w:rPr>
                <w:t>38.213</w:t>
              </w:r>
            </w:hyperlink>
          </w:p>
        </w:tc>
        <w:tc>
          <w:tcPr>
            <w:tcW w:w="324" w:type="pct"/>
            <w:shd w:val="clear" w:color="auto" w:fill="auto"/>
          </w:tcPr>
          <w:p w14:paraId="56A6503E" w14:textId="4D54B975"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18.0.0</w:t>
            </w:r>
          </w:p>
        </w:tc>
        <w:tc>
          <w:tcPr>
            <w:tcW w:w="779" w:type="pct"/>
          </w:tcPr>
          <w:p w14:paraId="45614C6A" w14:textId="465B8D9A"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color w:val="000000"/>
                <w:sz w:val="14"/>
                <w:szCs w:val="14"/>
              </w:rPr>
              <w:t>TEI17, NR_newRAT-Core, NR_unlic-Core, NR_FeMIMO-Core, NR_MBS-Core, NR_NTN_solutions-Core</w:t>
            </w:r>
          </w:p>
        </w:tc>
        <w:tc>
          <w:tcPr>
            <w:tcW w:w="233" w:type="pct"/>
          </w:tcPr>
          <w:p w14:paraId="40BD5BF2" w14:textId="41542D74"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0571</w:t>
            </w:r>
          </w:p>
        </w:tc>
        <w:tc>
          <w:tcPr>
            <w:tcW w:w="226" w:type="pct"/>
          </w:tcPr>
          <w:p w14:paraId="3B7D19CC" w14:textId="5560932E"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 </w:t>
            </w:r>
          </w:p>
        </w:tc>
        <w:tc>
          <w:tcPr>
            <w:tcW w:w="203" w:type="pct"/>
          </w:tcPr>
          <w:p w14:paraId="49537A81" w14:textId="74FB35F5"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A</w:t>
            </w:r>
          </w:p>
        </w:tc>
      </w:tr>
      <w:tr w:rsidR="005A18DC" w:rsidRPr="009537ED" w14:paraId="683074CC" w14:textId="77777777" w:rsidTr="00AA703E">
        <w:trPr>
          <w:trHeight w:val="20"/>
        </w:trPr>
        <w:tc>
          <w:tcPr>
            <w:tcW w:w="365" w:type="pct"/>
          </w:tcPr>
          <w:p w14:paraId="773DA011" w14:textId="6451E792" w:rsidR="005A18DC" w:rsidRPr="005A18DC" w:rsidRDefault="005A18DC" w:rsidP="005A18DC">
            <w:pPr>
              <w:rPr>
                <w:rFonts w:ascii="Arial" w:eastAsia="Times New Roman" w:hAnsi="Arial" w:cs="Arial"/>
                <w:color w:val="000000"/>
                <w:sz w:val="14"/>
                <w:szCs w:val="14"/>
                <w:lang w:eastAsia="en-GB"/>
              </w:rPr>
            </w:pPr>
            <w:hyperlink r:id="rId2498" w:history="1">
              <w:r w:rsidRPr="005A18DC">
                <w:rPr>
                  <w:rStyle w:val="Hyperlink"/>
                  <w:rFonts w:ascii="Arial" w:hAnsi="Arial" w:cs="Arial"/>
                  <w:b/>
                  <w:bCs/>
                  <w:sz w:val="14"/>
                  <w:szCs w:val="14"/>
                </w:rPr>
                <w:t>R1-2312722</w:t>
              </w:r>
            </w:hyperlink>
          </w:p>
        </w:tc>
        <w:tc>
          <w:tcPr>
            <w:tcW w:w="1471" w:type="pct"/>
          </w:tcPr>
          <w:p w14:paraId="1232A6E9" w14:textId="352DB7B6"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Rel-17 editorial corrections for TS 38.214 (mirrored to Rel-18)</w:t>
            </w:r>
          </w:p>
        </w:tc>
        <w:tc>
          <w:tcPr>
            <w:tcW w:w="849" w:type="pct"/>
          </w:tcPr>
          <w:p w14:paraId="3C3A0080" w14:textId="35ED9BA2"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Nokia</w:t>
            </w:r>
          </w:p>
        </w:tc>
        <w:tc>
          <w:tcPr>
            <w:tcW w:w="248" w:type="pct"/>
          </w:tcPr>
          <w:p w14:paraId="18320FC2" w14:textId="77785982" w:rsidR="005A18DC" w:rsidRPr="005A18DC" w:rsidRDefault="005A18DC" w:rsidP="005A18DC">
            <w:pPr>
              <w:rPr>
                <w:rFonts w:ascii="Arial" w:eastAsia="Times New Roman" w:hAnsi="Arial" w:cs="Arial"/>
                <w:color w:val="000000"/>
                <w:sz w:val="14"/>
                <w:szCs w:val="14"/>
                <w:lang w:eastAsia="en-GB"/>
              </w:rPr>
            </w:pPr>
            <w:hyperlink r:id="rId2499" w:history="1">
              <w:r w:rsidRPr="005A18DC">
                <w:rPr>
                  <w:rStyle w:val="Hyperlink"/>
                  <w:rFonts w:ascii="Arial" w:hAnsi="Arial" w:cs="Arial"/>
                  <w:b/>
                  <w:bCs/>
                  <w:sz w:val="14"/>
                  <w:szCs w:val="14"/>
                </w:rPr>
                <w:t>Rel-18</w:t>
              </w:r>
            </w:hyperlink>
          </w:p>
        </w:tc>
        <w:tc>
          <w:tcPr>
            <w:tcW w:w="301" w:type="pct"/>
            <w:shd w:val="clear" w:color="auto" w:fill="auto"/>
          </w:tcPr>
          <w:p w14:paraId="53935679" w14:textId="5F0ED140" w:rsidR="005A18DC" w:rsidRPr="005A18DC" w:rsidRDefault="005A18DC" w:rsidP="005A18DC">
            <w:pPr>
              <w:rPr>
                <w:rFonts w:ascii="Arial" w:eastAsia="Times New Roman" w:hAnsi="Arial" w:cs="Arial"/>
                <w:color w:val="000000"/>
                <w:sz w:val="14"/>
                <w:szCs w:val="14"/>
                <w:lang w:eastAsia="en-GB"/>
              </w:rPr>
            </w:pPr>
            <w:hyperlink r:id="rId2500" w:history="1">
              <w:r w:rsidRPr="005A18DC">
                <w:rPr>
                  <w:rStyle w:val="Hyperlink"/>
                  <w:rFonts w:ascii="Arial" w:hAnsi="Arial" w:cs="Arial"/>
                  <w:b/>
                  <w:bCs/>
                  <w:sz w:val="14"/>
                  <w:szCs w:val="14"/>
                </w:rPr>
                <w:t>38.214</w:t>
              </w:r>
            </w:hyperlink>
          </w:p>
        </w:tc>
        <w:tc>
          <w:tcPr>
            <w:tcW w:w="324" w:type="pct"/>
            <w:shd w:val="clear" w:color="auto" w:fill="auto"/>
          </w:tcPr>
          <w:p w14:paraId="5669475B" w14:textId="567E7C5C"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18.0.0</w:t>
            </w:r>
          </w:p>
        </w:tc>
        <w:tc>
          <w:tcPr>
            <w:tcW w:w="779" w:type="pct"/>
          </w:tcPr>
          <w:p w14:paraId="1FE36160" w14:textId="4D75B5C7"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color w:val="000000"/>
                <w:sz w:val="14"/>
                <w:szCs w:val="14"/>
              </w:rPr>
              <w:t>NR_FeMIMO-Core, NR_SmallData_INACTIVE-Core, NR_MBS-Core</w:t>
            </w:r>
          </w:p>
        </w:tc>
        <w:tc>
          <w:tcPr>
            <w:tcW w:w="233" w:type="pct"/>
          </w:tcPr>
          <w:p w14:paraId="711B6841" w14:textId="37CB83C3"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0481</w:t>
            </w:r>
          </w:p>
        </w:tc>
        <w:tc>
          <w:tcPr>
            <w:tcW w:w="226" w:type="pct"/>
          </w:tcPr>
          <w:p w14:paraId="437B7149" w14:textId="158A9BF8"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 </w:t>
            </w:r>
          </w:p>
        </w:tc>
        <w:tc>
          <w:tcPr>
            <w:tcW w:w="203" w:type="pct"/>
          </w:tcPr>
          <w:p w14:paraId="71B5D81B" w14:textId="018E418E"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A</w:t>
            </w:r>
          </w:p>
        </w:tc>
      </w:tr>
      <w:tr w:rsidR="005A18DC" w:rsidRPr="009537ED" w14:paraId="786DB560" w14:textId="77777777" w:rsidTr="00AA703E">
        <w:trPr>
          <w:trHeight w:val="20"/>
        </w:trPr>
        <w:tc>
          <w:tcPr>
            <w:tcW w:w="365" w:type="pct"/>
          </w:tcPr>
          <w:p w14:paraId="25FDB304" w14:textId="49758A80" w:rsidR="005A18DC" w:rsidRPr="005A18DC" w:rsidRDefault="005A18DC" w:rsidP="005A18DC">
            <w:pPr>
              <w:rPr>
                <w:rFonts w:ascii="Arial" w:eastAsia="Times New Roman" w:hAnsi="Arial" w:cs="Arial"/>
                <w:color w:val="000000"/>
                <w:sz w:val="14"/>
                <w:szCs w:val="14"/>
                <w:lang w:eastAsia="en-GB"/>
              </w:rPr>
            </w:pPr>
            <w:hyperlink r:id="rId2501" w:history="1">
              <w:r w:rsidRPr="005A18DC">
                <w:rPr>
                  <w:rStyle w:val="Hyperlink"/>
                  <w:rFonts w:ascii="Arial" w:hAnsi="Arial" w:cs="Arial"/>
                  <w:b/>
                  <w:bCs/>
                  <w:sz w:val="14"/>
                  <w:szCs w:val="14"/>
                </w:rPr>
                <w:t>R1-2312723</w:t>
              </w:r>
            </w:hyperlink>
          </w:p>
        </w:tc>
        <w:tc>
          <w:tcPr>
            <w:tcW w:w="1471" w:type="pct"/>
          </w:tcPr>
          <w:p w14:paraId="10C9726E" w14:textId="3D4F26E5"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Maintenance of further NR coverage enhancements</w:t>
            </w:r>
          </w:p>
        </w:tc>
        <w:tc>
          <w:tcPr>
            <w:tcW w:w="849" w:type="pct"/>
          </w:tcPr>
          <w:p w14:paraId="1B378E80" w14:textId="2093EEB1"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Samsung</w:t>
            </w:r>
          </w:p>
        </w:tc>
        <w:tc>
          <w:tcPr>
            <w:tcW w:w="248" w:type="pct"/>
          </w:tcPr>
          <w:p w14:paraId="3D62823E" w14:textId="6638CB6C" w:rsidR="005A18DC" w:rsidRPr="005A18DC" w:rsidRDefault="005A18DC" w:rsidP="005A18DC">
            <w:pPr>
              <w:rPr>
                <w:rFonts w:ascii="Arial" w:eastAsia="Times New Roman" w:hAnsi="Arial" w:cs="Arial"/>
                <w:color w:val="000000"/>
                <w:sz w:val="14"/>
                <w:szCs w:val="14"/>
                <w:lang w:eastAsia="en-GB"/>
              </w:rPr>
            </w:pPr>
            <w:hyperlink r:id="rId2502" w:history="1">
              <w:r w:rsidRPr="005A18DC">
                <w:rPr>
                  <w:rStyle w:val="Hyperlink"/>
                  <w:rFonts w:ascii="Arial" w:hAnsi="Arial" w:cs="Arial"/>
                  <w:b/>
                  <w:bCs/>
                  <w:sz w:val="14"/>
                  <w:szCs w:val="14"/>
                </w:rPr>
                <w:t>Rel-18</w:t>
              </w:r>
            </w:hyperlink>
          </w:p>
        </w:tc>
        <w:tc>
          <w:tcPr>
            <w:tcW w:w="301" w:type="pct"/>
            <w:shd w:val="clear" w:color="auto" w:fill="auto"/>
          </w:tcPr>
          <w:p w14:paraId="072B51C7" w14:textId="2BE0E73F" w:rsidR="005A18DC" w:rsidRPr="005A18DC" w:rsidRDefault="005A18DC" w:rsidP="005A18DC">
            <w:pPr>
              <w:rPr>
                <w:rFonts w:ascii="Arial" w:eastAsia="Times New Roman" w:hAnsi="Arial" w:cs="Arial"/>
                <w:color w:val="000000"/>
                <w:sz w:val="14"/>
                <w:szCs w:val="14"/>
                <w:lang w:eastAsia="en-GB"/>
              </w:rPr>
            </w:pPr>
            <w:hyperlink r:id="rId2503" w:history="1">
              <w:r w:rsidRPr="005A18DC">
                <w:rPr>
                  <w:rStyle w:val="Hyperlink"/>
                  <w:rFonts w:ascii="Arial" w:hAnsi="Arial" w:cs="Arial"/>
                  <w:b/>
                  <w:bCs/>
                  <w:sz w:val="14"/>
                  <w:szCs w:val="14"/>
                </w:rPr>
                <w:t>38.213</w:t>
              </w:r>
            </w:hyperlink>
          </w:p>
        </w:tc>
        <w:tc>
          <w:tcPr>
            <w:tcW w:w="324" w:type="pct"/>
            <w:shd w:val="clear" w:color="auto" w:fill="auto"/>
          </w:tcPr>
          <w:p w14:paraId="23ECFD30" w14:textId="6E141CC6"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18.0.0</w:t>
            </w:r>
          </w:p>
        </w:tc>
        <w:tc>
          <w:tcPr>
            <w:tcW w:w="779" w:type="pct"/>
          </w:tcPr>
          <w:p w14:paraId="55B9CF43" w14:textId="14A0BD50" w:rsidR="005A18DC" w:rsidRPr="005A18DC" w:rsidRDefault="005A18DC" w:rsidP="005A18DC">
            <w:pPr>
              <w:rPr>
                <w:rFonts w:ascii="Arial" w:eastAsia="Times New Roman" w:hAnsi="Arial" w:cs="Arial"/>
                <w:color w:val="000000"/>
                <w:sz w:val="14"/>
                <w:szCs w:val="14"/>
                <w:lang w:eastAsia="en-GB"/>
              </w:rPr>
            </w:pPr>
            <w:hyperlink r:id="rId2504" w:history="1">
              <w:r w:rsidRPr="005A18DC">
                <w:rPr>
                  <w:rStyle w:val="Hyperlink"/>
                  <w:rFonts w:ascii="Arial" w:hAnsi="Arial" w:cs="Arial"/>
                  <w:b/>
                  <w:bCs/>
                  <w:sz w:val="14"/>
                  <w:szCs w:val="14"/>
                </w:rPr>
                <w:t>NR_cov_enh2-Core</w:t>
              </w:r>
            </w:hyperlink>
          </w:p>
        </w:tc>
        <w:tc>
          <w:tcPr>
            <w:tcW w:w="233" w:type="pct"/>
          </w:tcPr>
          <w:p w14:paraId="5451195A" w14:textId="758B5065"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0572</w:t>
            </w:r>
          </w:p>
        </w:tc>
        <w:tc>
          <w:tcPr>
            <w:tcW w:w="226" w:type="pct"/>
          </w:tcPr>
          <w:p w14:paraId="46466DA2" w14:textId="7C982494"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 </w:t>
            </w:r>
          </w:p>
        </w:tc>
        <w:tc>
          <w:tcPr>
            <w:tcW w:w="203" w:type="pct"/>
          </w:tcPr>
          <w:p w14:paraId="16E8B4D3" w14:textId="73C04590"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F</w:t>
            </w:r>
          </w:p>
        </w:tc>
      </w:tr>
      <w:tr w:rsidR="005A18DC" w:rsidRPr="009537ED" w14:paraId="30646FE2" w14:textId="77777777" w:rsidTr="00AA703E">
        <w:trPr>
          <w:trHeight w:val="20"/>
        </w:trPr>
        <w:tc>
          <w:tcPr>
            <w:tcW w:w="365" w:type="pct"/>
          </w:tcPr>
          <w:p w14:paraId="23D422F5" w14:textId="323992A2" w:rsidR="005A18DC" w:rsidRPr="005A18DC" w:rsidRDefault="005A18DC" w:rsidP="005A18DC">
            <w:pPr>
              <w:rPr>
                <w:rFonts w:ascii="Arial" w:eastAsia="Times New Roman" w:hAnsi="Arial" w:cs="Arial"/>
                <w:color w:val="000000"/>
                <w:sz w:val="14"/>
                <w:szCs w:val="14"/>
                <w:lang w:eastAsia="en-GB"/>
              </w:rPr>
            </w:pPr>
            <w:hyperlink r:id="rId2505" w:history="1">
              <w:r w:rsidRPr="005A18DC">
                <w:rPr>
                  <w:rStyle w:val="Hyperlink"/>
                  <w:rFonts w:ascii="Arial" w:hAnsi="Arial" w:cs="Arial"/>
                  <w:b/>
                  <w:bCs/>
                  <w:sz w:val="14"/>
                  <w:szCs w:val="14"/>
                </w:rPr>
                <w:t>R1-2312724</w:t>
              </w:r>
            </w:hyperlink>
          </w:p>
        </w:tc>
        <w:tc>
          <w:tcPr>
            <w:tcW w:w="1471" w:type="pct"/>
          </w:tcPr>
          <w:p w14:paraId="1C4DC6E1" w14:textId="65BB2B4A"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Maintenance of further mobility enhancements</w:t>
            </w:r>
          </w:p>
        </w:tc>
        <w:tc>
          <w:tcPr>
            <w:tcW w:w="849" w:type="pct"/>
          </w:tcPr>
          <w:p w14:paraId="6ED37037" w14:textId="587898F0"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Samsung</w:t>
            </w:r>
          </w:p>
        </w:tc>
        <w:tc>
          <w:tcPr>
            <w:tcW w:w="248" w:type="pct"/>
          </w:tcPr>
          <w:p w14:paraId="4084DCF3" w14:textId="25900DF9" w:rsidR="005A18DC" w:rsidRPr="005A18DC" w:rsidRDefault="005A18DC" w:rsidP="005A18DC">
            <w:pPr>
              <w:rPr>
                <w:rFonts w:ascii="Arial" w:eastAsia="Times New Roman" w:hAnsi="Arial" w:cs="Arial"/>
                <w:color w:val="000000"/>
                <w:sz w:val="14"/>
                <w:szCs w:val="14"/>
                <w:lang w:eastAsia="en-GB"/>
              </w:rPr>
            </w:pPr>
            <w:hyperlink r:id="rId2506" w:history="1">
              <w:r w:rsidRPr="005A18DC">
                <w:rPr>
                  <w:rStyle w:val="Hyperlink"/>
                  <w:rFonts w:ascii="Arial" w:hAnsi="Arial" w:cs="Arial"/>
                  <w:b/>
                  <w:bCs/>
                  <w:sz w:val="14"/>
                  <w:szCs w:val="14"/>
                </w:rPr>
                <w:t>Rel-18</w:t>
              </w:r>
            </w:hyperlink>
          </w:p>
        </w:tc>
        <w:tc>
          <w:tcPr>
            <w:tcW w:w="301" w:type="pct"/>
            <w:shd w:val="clear" w:color="auto" w:fill="auto"/>
          </w:tcPr>
          <w:p w14:paraId="441D3091" w14:textId="2274DAAE" w:rsidR="005A18DC" w:rsidRPr="005A18DC" w:rsidRDefault="005A18DC" w:rsidP="005A18DC">
            <w:pPr>
              <w:rPr>
                <w:rFonts w:ascii="Arial" w:eastAsia="Times New Roman" w:hAnsi="Arial" w:cs="Arial"/>
                <w:color w:val="000000"/>
                <w:sz w:val="14"/>
                <w:szCs w:val="14"/>
                <w:lang w:eastAsia="en-GB"/>
              </w:rPr>
            </w:pPr>
            <w:hyperlink r:id="rId2507" w:history="1">
              <w:r w:rsidRPr="005A18DC">
                <w:rPr>
                  <w:rStyle w:val="Hyperlink"/>
                  <w:rFonts w:ascii="Arial" w:hAnsi="Arial" w:cs="Arial"/>
                  <w:b/>
                  <w:bCs/>
                  <w:sz w:val="14"/>
                  <w:szCs w:val="14"/>
                </w:rPr>
                <w:t>38.213</w:t>
              </w:r>
            </w:hyperlink>
          </w:p>
        </w:tc>
        <w:tc>
          <w:tcPr>
            <w:tcW w:w="324" w:type="pct"/>
            <w:shd w:val="clear" w:color="auto" w:fill="auto"/>
          </w:tcPr>
          <w:p w14:paraId="2EDCFFCC" w14:textId="77F61B27"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18.0.0</w:t>
            </w:r>
          </w:p>
        </w:tc>
        <w:tc>
          <w:tcPr>
            <w:tcW w:w="779" w:type="pct"/>
          </w:tcPr>
          <w:p w14:paraId="6F4DF5C5" w14:textId="377C8E1F" w:rsidR="005A18DC" w:rsidRPr="005A18DC" w:rsidRDefault="005A18DC" w:rsidP="005A18DC">
            <w:pPr>
              <w:rPr>
                <w:rFonts w:ascii="Arial" w:eastAsia="Times New Roman" w:hAnsi="Arial" w:cs="Arial"/>
                <w:color w:val="000000"/>
                <w:sz w:val="14"/>
                <w:szCs w:val="14"/>
                <w:lang w:eastAsia="en-GB"/>
              </w:rPr>
            </w:pPr>
            <w:hyperlink r:id="rId2508" w:history="1">
              <w:r w:rsidRPr="005A18DC">
                <w:rPr>
                  <w:rStyle w:val="Hyperlink"/>
                  <w:rFonts w:ascii="Arial" w:hAnsi="Arial" w:cs="Arial"/>
                  <w:b/>
                  <w:bCs/>
                  <w:sz w:val="14"/>
                  <w:szCs w:val="14"/>
                </w:rPr>
                <w:t>NR_Mob_enh2-Core</w:t>
              </w:r>
            </w:hyperlink>
          </w:p>
        </w:tc>
        <w:tc>
          <w:tcPr>
            <w:tcW w:w="233" w:type="pct"/>
          </w:tcPr>
          <w:p w14:paraId="1CDA7D68" w14:textId="406504EB"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0573</w:t>
            </w:r>
          </w:p>
        </w:tc>
        <w:tc>
          <w:tcPr>
            <w:tcW w:w="226" w:type="pct"/>
          </w:tcPr>
          <w:p w14:paraId="0509B58F" w14:textId="7E7A740C"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 </w:t>
            </w:r>
          </w:p>
        </w:tc>
        <w:tc>
          <w:tcPr>
            <w:tcW w:w="203" w:type="pct"/>
          </w:tcPr>
          <w:p w14:paraId="6086D9F5" w14:textId="3AC2F7E8"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F</w:t>
            </w:r>
          </w:p>
        </w:tc>
      </w:tr>
      <w:tr w:rsidR="005A18DC" w:rsidRPr="009537ED" w14:paraId="7D47B0A3" w14:textId="77777777" w:rsidTr="00AA703E">
        <w:trPr>
          <w:trHeight w:val="20"/>
        </w:trPr>
        <w:tc>
          <w:tcPr>
            <w:tcW w:w="365" w:type="pct"/>
          </w:tcPr>
          <w:p w14:paraId="18250FD0" w14:textId="64AD4962" w:rsidR="005A18DC" w:rsidRPr="005A18DC" w:rsidRDefault="005A18DC" w:rsidP="005A18DC">
            <w:pPr>
              <w:rPr>
                <w:rFonts w:ascii="Arial" w:eastAsia="Times New Roman" w:hAnsi="Arial" w:cs="Arial"/>
                <w:color w:val="000000"/>
                <w:sz w:val="14"/>
                <w:szCs w:val="14"/>
                <w:lang w:eastAsia="en-GB"/>
              </w:rPr>
            </w:pPr>
            <w:hyperlink r:id="rId2509" w:history="1">
              <w:r w:rsidRPr="005A18DC">
                <w:rPr>
                  <w:rStyle w:val="Hyperlink"/>
                  <w:rFonts w:ascii="Arial" w:hAnsi="Arial" w:cs="Arial"/>
                  <w:b/>
                  <w:bCs/>
                  <w:sz w:val="14"/>
                  <w:szCs w:val="14"/>
                </w:rPr>
                <w:t>R1-2312725</w:t>
              </w:r>
            </w:hyperlink>
          </w:p>
        </w:tc>
        <w:tc>
          <w:tcPr>
            <w:tcW w:w="1471" w:type="pct"/>
          </w:tcPr>
          <w:p w14:paraId="60DC68D1" w14:textId="66E52717"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Maintenance of dynamic spectrum sharing (DSS) enhancements</w:t>
            </w:r>
          </w:p>
        </w:tc>
        <w:tc>
          <w:tcPr>
            <w:tcW w:w="849" w:type="pct"/>
          </w:tcPr>
          <w:p w14:paraId="02ADF3FE" w14:textId="00198C2E"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Samsung</w:t>
            </w:r>
          </w:p>
        </w:tc>
        <w:tc>
          <w:tcPr>
            <w:tcW w:w="248" w:type="pct"/>
          </w:tcPr>
          <w:p w14:paraId="6676177C" w14:textId="6F23669F" w:rsidR="005A18DC" w:rsidRPr="005A18DC" w:rsidRDefault="005A18DC" w:rsidP="005A18DC">
            <w:pPr>
              <w:rPr>
                <w:rFonts w:ascii="Arial" w:eastAsia="Times New Roman" w:hAnsi="Arial" w:cs="Arial"/>
                <w:color w:val="000000"/>
                <w:sz w:val="14"/>
                <w:szCs w:val="14"/>
                <w:lang w:eastAsia="en-GB"/>
              </w:rPr>
            </w:pPr>
            <w:hyperlink r:id="rId2510" w:history="1">
              <w:r w:rsidRPr="005A18DC">
                <w:rPr>
                  <w:rStyle w:val="Hyperlink"/>
                  <w:rFonts w:ascii="Arial" w:hAnsi="Arial" w:cs="Arial"/>
                  <w:b/>
                  <w:bCs/>
                  <w:sz w:val="14"/>
                  <w:szCs w:val="14"/>
                </w:rPr>
                <w:t>Rel-18</w:t>
              </w:r>
            </w:hyperlink>
          </w:p>
        </w:tc>
        <w:tc>
          <w:tcPr>
            <w:tcW w:w="301" w:type="pct"/>
            <w:shd w:val="clear" w:color="auto" w:fill="auto"/>
          </w:tcPr>
          <w:p w14:paraId="5B6FE370" w14:textId="3C24DE85" w:rsidR="005A18DC" w:rsidRPr="005A18DC" w:rsidRDefault="005A18DC" w:rsidP="005A18DC">
            <w:pPr>
              <w:rPr>
                <w:rFonts w:ascii="Arial" w:eastAsia="Times New Roman" w:hAnsi="Arial" w:cs="Arial"/>
                <w:color w:val="000000"/>
                <w:sz w:val="14"/>
                <w:szCs w:val="14"/>
                <w:lang w:eastAsia="en-GB"/>
              </w:rPr>
            </w:pPr>
            <w:hyperlink r:id="rId2511" w:history="1">
              <w:r w:rsidRPr="005A18DC">
                <w:rPr>
                  <w:rStyle w:val="Hyperlink"/>
                  <w:rFonts w:ascii="Arial" w:hAnsi="Arial" w:cs="Arial"/>
                  <w:b/>
                  <w:bCs/>
                  <w:sz w:val="14"/>
                  <w:szCs w:val="14"/>
                </w:rPr>
                <w:t>38.213</w:t>
              </w:r>
            </w:hyperlink>
          </w:p>
        </w:tc>
        <w:tc>
          <w:tcPr>
            <w:tcW w:w="324" w:type="pct"/>
            <w:shd w:val="clear" w:color="auto" w:fill="auto"/>
          </w:tcPr>
          <w:p w14:paraId="6E752609" w14:textId="6D796610"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18.0.0</w:t>
            </w:r>
          </w:p>
        </w:tc>
        <w:tc>
          <w:tcPr>
            <w:tcW w:w="779" w:type="pct"/>
          </w:tcPr>
          <w:p w14:paraId="1F412C1F" w14:textId="654D542B" w:rsidR="005A18DC" w:rsidRPr="005A18DC" w:rsidRDefault="005A18DC" w:rsidP="005A18DC">
            <w:pPr>
              <w:rPr>
                <w:rFonts w:ascii="Arial" w:eastAsia="Times New Roman" w:hAnsi="Arial" w:cs="Arial"/>
                <w:color w:val="000000"/>
                <w:sz w:val="14"/>
                <w:szCs w:val="14"/>
                <w:lang w:eastAsia="en-GB"/>
              </w:rPr>
            </w:pPr>
            <w:hyperlink r:id="rId2512" w:history="1">
              <w:r w:rsidRPr="005A18DC">
                <w:rPr>
                  <w:rStyle w:val="Hyperlink"/>
                  <w:rFonts w:ascii="Arial" w:hAnsi="Arial" w:cs="Arial"/>
                  <w:b/>
                  <w:bCs/>
                  <w:sz w:val="14"/>
                  <w:szCs w:val="14"/>
                </w:rPr>
                <w:t>NR_DSS_enh-Core</w:t>
              </w:r>
            </w:hyperlink>
          </w:p>
        </w:tc>
        <w:tc>
          <w:tcPr>
            <w:tcW w:w="233" w:type="pct"/>
          </w:tcPr>
          <w:p w14:paraId="224656B0" w14:textId="62A2E63D"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0574</w:t>
            </w:r>
          </w:p>
        </w:tc>
        <w:tc>
          <w:tcPr>
            <w:tcW w:w="226" w:type="pct"/>
          </w:tcPr>
          <w:p w14:paraId="7F7864F7" w14:textId="1E678C3A"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 </w:t>
            </w:r>
          </w:p>
        </w:tc>
        <w:tc>
          <w:tcPr>
            <w:tcW w:w="203" w:type="pct"/>
          </w:tcPr>
          <w:p w14:paraId="48C65F6D" w14:textId="057B4D4A"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F</w:t>
            </w:r>
          </w:p>
        </w:tc>
      </w:tr>
      <w:tr w:rsidR="005A18DC" w:rsidRPr="009537ED" w14:paraId="19F171E7" w14:textId="77777777" w:rsidTr="00AA703E">
        <w:trPr>
          <w:trHeight w:val="20"/>
        </w:trPr>
        <w:tc>
          <w:tcPr>
            <w:tcW w:w="365" w:type="pct"/>
          </w:tcPr>
          <w:p w14:paraId="42504777" w14:textId="6650B68B" w:rsidR="005A18DC" w:rsidRPr="005A18DC" w:rsidRDefault="005A18DC" w:rsidP="005A18DC">
            <w:pPr>
              <w:rPr>
                <w:rFonts w:ascii="Arial" w:eastAsia="Times New Roman" w:hAnsi="Arial" w:cs="Arial"/>
                <w:color w:val="000000"/>
                <w:sz w:val="14"/>
                <w:szCs w:val="14"/>
                <w:lang w:eastAsia="en-GB"/>
              </w:rPr>
            </w:pPr>
            <w:hyperlink r:id="rId2513" w:history="1">
              <w:r w:rsidRPr="005A18DC">
                <w:rPr>
                  <w:rStyle w:val="Hyperlink"/>
                  <w:rFonts w:ascii="Arial" w:hAnsi="Arial" w:cs="Arial"/>
                  <w:b/>
                  <w:bCs/>
                  <w:sz w:val="14"/>
                  <w:szCs w:val="14"/>
                </w:rPr>
                <w:t>R1-2312726</w:t>
              </w:r>
            </w:hyperlink>
          </w:p>
        </w:tc>
        <w:tc>
          <w:tcPr>
            <w:tcW w:w="1471" w:type="pct"/>
          </w:tcPr>
          <w:p w14:paraId="1CD26996" w14:textId="4177E835"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Maintenance of multi-carrier enhancements for NR</w:t>
            </w:r>
          </w:p>
        </w:tc>
        <w:tc>
          <w:tcPr>
            <w:tcW w:w="849" w:type="pct"/>
          </w:tcPr>
          <w:p w14:paraId="4F2972A9" w14:textId="301420CE"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Samsung</w:t>
            </w:r>
          </w:p>
        </w:tc>
        <w:tc>
          <w:tcPr>
            <w:tcW w:w="248" w:type="pct"/>
          </w:tcPr>
          <w:p w14:paraId="0420AF11" w14:textId="0F3B59BA" w:rsidR="005A18DC" w:rsidRPr="005A18DC" w:rsidRDefault="005A18DC" w:rsidP="005A18DC">
            <w:pPr>
              <w:rPr>
                <w:rFonts w:ascii="Arial" w:eastAsia="Times New Roman" w:hAnsi="Arial" w:cs="Arial"/>
                <w:color w:val="000000"/>
                <w:sz w:val="14"/>
                <w:szCs w:val="14"/>
                <w:lang w:eastAsia="en-GB"/>
              </w:rPr>
            </w:pPr>
            <w:hyperlink r:id="rId2514" w:history="1">
              <w:r w:rsidRPr="005A18DC">
                <w:rPr>
                  <w:rStyle w:val="Hyperlink"/>
                  <w:rFonts w:ascii="Arial" w:hAnsi="Arial" w:cs="Arial"/>
                  <w:b/>
                  <w:bCs/>
                  <w:sz w:val="14"/>
                  <w:szCs w:val="14"/>
                </w:rPr>
                <w:t>Rel-18</w:t>
              </w:r>
            </w:hyperlink>
          </w:p>
        </w:tc>
        <w:tc>
          <w:tcPr>
            <w:tcW w:w="301" w:type="pct"/>
            <w:shd w:val="clear" w:color="auto" w:fill="auto"/>
          </w:tcPr>
          <w:p w14:paraId="74E8C157" w14:textId="72EDF4B5" w:rsidR="005A18DC" w:rsidRPr="005A18DC" w:rsidRDefault="005A18DC" w:rsidP="005A18DC">
            <w:pPr>
              <w:rPr>
                <w:rFonts w:ascii="Arial" w:eastAsia="Times New Roman" w:hAnsi="Arial" w:cs="Arial"/>
                <w:color w:val="000000"/>
                <w:sz w:val="14"/>
                <w:szCs w:val="14"/>
                <w:lang w:eastAsia="en-GB"/>
              </w:rPr>
            </w:pPr>
            <w:hyperlink r:id="rId2515" w:history="1">
              <w:r w:rsidRPr="005A18DC">
                <w:rPr>
                  <w:rStyle w:val="Hyperlink"/>
                  <w:rFonts w:ascii="Arial" w:hAnsi="Arial" w:cs="Arial"/>
                  <w:b/>
                  <w:bCs/>
                  <w:sz w:val="14"/>
                  <w:szCs w:val="14"/>
                </w:rPr>
                <w:t>38.213</w:t>
              </w:r>
            </w:hyperlink>
          </w:p>
        </w:tc>
        <w:tc>
          <w:tcPr>
            <w:tcW w:w="324" w:type="pct"/>
            <w:shd w:val="clear" w:color="auto" w:fill="auto"/>
          </w:tcPr>
          <w:p w14:paraId="204E2037" w14:textId="2DD1B02D"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18.0.0</w:t>
            </w:r>
          </w:p>
        </w:tc>
        <w:tc>
          <w:tcPr>
            <w:tcW w:w="779" w:type="pct"/>
          </w:tcPr>
          <w:p w14:paraId="7036B053" w14:textId="606081E4" w:rsidR="005A18DC" w:rsidRPr="005A18DC" w:rsidRDefault="005A18DC" w:rsidP="005A18DC">
            <w:pPr>
              <w:rPr>
                <w:rFonts w:ascii="Arial" w:eastAsia="Times New Roman" w:hAnsi="Arial" w:cs="Arial"/>
                <w:color w:val="000000"/>
                <w:sz w:val="14"/>
                <w:szCs w:val="14"/>
                <w:lang w:eastAsia="en-GB"/>
              </w:rPr>
            </w:pPr>
            <w:hyperlink r:id="rId2516" w:history="1">
              <w:r w:rsidRPr="005A18DC">
                <w:rPr>
                  <w:rStyle w:val="Hyperlink"/>
                  <w:rFonts w:ascii="Arial" w:hAnsi="Arial" w:cs="Arial"/>
                  <w:b/>
                  <w:bCs/>
                  <w:sz w:val="14"/>
                  <w:szCs w:val="14"/>
                </w:rPr>
                <w:t>NR_MC_enh-Core</w:t>
              </w:r>
            </w:hyperlink>
          </w:p>
        </w:tc>
        <w:tc>
          <w:tcPr>
            <w:tcW w:w="233" w:type="pct"/>
          </w:tcPr>
          <w:p w14:paraId="7D1751E4" w14:textId="7163F5F8"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0575</w:t>
            </w:r>
          </w:p>
        </w:tc>
        <w:tc>
          <w:tcPr>
            <w:tcW w:w="226" w:type="pct"/>
          </w:tcPr>
          <w:p w14:paraId="02AD8DD8" w14:textId="22E02BBF"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 </w:t>
            </w:r>
          </w:p>
        </w:tc>
        <w:tc>
          <w:tcPr>
            <w:tcW w:w="203" w:type="pct"/>
          </w:tcPr>
          <w:p w14:paraId="57274E3E" w14:textId="0CFB1395"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F</w:t>
            </w:r>
          </w:p>
        </w:tc>
      </w:tr>
      <w:tr w:rsidR="005A18DC" w:rsidRPr="009537ED" w14:paraId="4B49B4A8" w14:textId="77777777" w:rsidTr="00AA703E">
        <w:trPr>
          <w:trHeight w:val="20"/>
        </w:trPr>
        <w:tc>
          <w:tcPr>
            <w:tcW w:w="365" w:type="pct"/>
          </w:tcPr>
          <w:p w14:paraId="5EAB5912" w14:textId="172B02C3" w:rsidR="005A18DC" w:rsidRPr="005A18DC" w:rsidRDefault="005A18DC" w:rsidP="005A18DC">
            <w:pPr>
              <w:rPr>
                <w:rFonts w:ascii="Arial" w:eastAsia="Times New Roman" w:hAnsi="Arial" w:cs="Arial"/>
                <w:color w:val="000000"/>
                <w:sz w:val="14"/>
                <w:szCs w:val="14"/>
                <w:lang w:eastAsia="en-GB"/>
              </w:rPr>
            </w:pPr>
            <w:hyperlink r:id="rId2517" w:history="1">
              <w:r w:rsidRPr="005A18DC">
                <w:rPr>
                  <w:rStyle w:val="Hyperlink"/>
                  <w:rFonts w:ascii="Arial" w:hAnsi="Arial" w:cs="Arial"/>
                  <w:b/>
                  <w:bCs/>
                  <w:sz w:val="14"/>
                  <w:szCs w:val="14"/>
                </w:rPr>
                <w:t>R1-2312727</w:t>
              </w:r>
            </w:hyperlink>
          </w:p>
        </w:tc>
        <w:tc>
          <w:tcPr>
            <w:tcW w:w="1471" w:type="pct"/>
          </w:tcPr>
          <w:p w14:paraId="6E85038B" w14:textId="6815BF31"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Maintenance of MIMO Evolution for Downlink and Uplink</w:t>
            </w:r>
          </w:p>
        </w:tc>
        <w:tc>
          <w:tcPr>
            <w:tcW w:w="849" w:type="pct"/>
          </w:tcPr>
          <w:p w14:paraId="7FE5DCEF" w14:textId="2554982A"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Samsung</w:t>
            </w:r>
          </w:p>
        </w:tc>
        <w:tc>
          <w:tcPr>
            <w:tcW w:w="248" w:type="pct"/>
          </w:tcPr>
          <w:p w14:paraId="3059BD54" w14:textId="395E432C" w:rsidR="005A18DC" w:rsidRPr="005A18DC" w:rsidRDefault="005A18DC" w:rsidP="005A18DC">
            <w:pPr>
              <w:rPr>
                <w:rFonts w:ascii="Arial" w:eastAsia="Times New Roman" w:hAnsi="Arial" w:cs="Arial"/>
                <w:color w:val="000000"/>
                <w:sz w:val="14"/>
                <w:szCs w:val="14"/>
                <w:lang w:eastAsia="en-GB"/>
              </w:rPr>
            </w:pPr>
            <w:hyperlink r:id="rId2518" w:history="1">
              <w:r w:rsidRPr="005A18DC">
                <w:rPr>
                  <w:rStyle w:val="Hyperlink"/>
                  <w:rFonts w:ascii="Arial" w:hAnsi="Arial" w:cs="Arial"/>
                  <w:b/>
                  <w:bCs/>
                  <w:sz w:val="14"/>
                  <w:szCs w:val="14"/>
                </w:rPr>
                <w:t>Rel-18</w:t>
              </w:r>
            </w:hyperlink>
          </w:p>
        </w:tc>
        <w:tc>
          <w:tcPr>
            <w:tcW w:w="301" w:type="pct"/>
            <w:shd w:val="clear" w:color="auto" w:fill="auto"/>
          </w:tcPr>
          <w:p w14:paraId="7DC106C5" w14:textId="7043C67F" w:rsidR="005A18DC" w:rsidRPr="005A18DC" w:rsidRDefault="005A18DC" w:rsidP="005A18DC">
            <w:pPr>
              <w:rPr>
                <w:rFonts w:ascii="Arial" w:eastAsia="Times New Roman" w:hAnsi="Arial" w:cs="Arial"/>
                <w:color w:val="000000"/>
                <w:sz w:val="14"/>
                <w:szCs w:val="14"/>
                <w:lang w:eastAsia="en-GB"/>
              </w:rPr>
            </w:pPr>
            <w:hyperlink r:id="rId2519" w:history="1">
              <w:r w:rsidRPr="005A18DC">
                <w:rPr>
                  <w:rStyle w:val="Hyperlink"/>
                  <w:rFonts w:ascii="Arial" w:hAnsi="Arial" w:cs="Arial"/>
                  <w:b/>
                  <w:bCs/>
                  <w:sz w:val="14"/>
                  <w:szCs w:val="14"/>
                </w:rPr>
                <w:t>38.213</w:t>
              </w:r>
            </w:hyperlink>
          </w:p>
        </w:tc>
        <w:tc>
          <w:tcPr>
            <w:tcW w:w="324" w:type="pct"/>
            <w:shd w:val="clear" w:color="auto" w:fill="auto"/>
          </w:tcPr>
          <w:p w14:paraId="712DA9CD" w14:textId="7322FC55"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18.0.0</w:t>
            </w:r>
          </w:p>
        </w:tc>
        <w:tc>
          <w:tcPr>
            <w:tcW w:w="779" w:type="pct"/>
          </w:tcPr>
          <w:p w14:paraId="7FD80F96" w14:textId="20372F02" w:rsidR="005A18DC" w:rsidRPr="005A18DC" w:rsidRDefault="005A18DC" w:rsidP="005A18DC">
            <w:pPr>
              <w:rPr>
                <w:rFonts w:ascii="Arial" w:eastAsia="Times New Roman" w:hAnsi="Arial" w:cs="Arial"/>
                <w:color w:val="000000"/>
                <w:sz w:val="14"/>
                <w:szCs w:val="14"/>
                <w:lang w:eastAsia="en-GB"/>
              </w:rPr>
            </w:pPr>
            <w:hyperlink r:id="rId2520" w:history="1">
              <w:r w:rsidRPr="005A18DC">
                <w:rPr>
                  <w:rStyle w:val="Hyperlink"/>
                  <w:rFonts w:ascii="Arial" w:hAnsi="Arial" w:cs="Arial"/>
                  <w:b/>
                  <w:bCs/>
                  <w:sz w:val="14"/>
                  <w:szCs w:val="14"/>
                </w:rPr>
                <w:t>NR_MIMO_evo_DL_UL-Core</w:t>
              </w:r>
            </w:hyperlink>
          </w:p>
        </w:tc>
        <w:tc>
          <w:tcPr>
            <w:tcW w:w="233" w:type="pct"/>
          </w:tcPr>
          <w:p w14:paraId="1EDADFE9" w14:textId="00132963"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0576</w:t>
            </w:r>
          </w:p>
        </w:tc>
        <w:tc>
          <w:tcPr>
            <w:tcW w:w="226" w:type="pct"/>
          </w:tcPr>
          <w:p w14:paraId="4DCCAF35" w14:textId="7A275D47"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 </w:t>
            </w:r>
          </w:p>
        </w:tc>
        <w:tc>
          <w:tcPr>
            <w:tcW w:w="203" w:type="pct"/>
          </w:tcPr>
          <w:p w14:paraId="406A5B9F" w14:textId="53327457"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F</w:t>
            </w:r>
          </w:p>
        </w:tc>
      </w:tr>
      <w:tr w:rsidR="005A18DC" w:rsidRPr="009537ED" w14:paraId="5FCE11D3" w14:textId="77777777" w:rsidTr="00AA703E">
        <w:trPr>
          <w:trHeight w:val="20"/>
        </w:trPr>
        <w:tc>
          <w:tcPr>
            <w:tcW w:w="365" w:type="pct"/>
          </w:tcPr>
          <w:p w14:paraId="65A47F53" w14:textId="51A60559" w:rsidR="005A18DC" w:rsidRPr="005A18DC" w:rsidRDefault="005A18DC" w:rsidP="005A18DC">
            <w:pPr>
              <w:rPr>
                <w:rFonts w:ascii="Arial" w:eastAsia="Times New Roman" w:hAnsi="Arial" w:cs="Arial"/>
                <w:color w:val="000000"/>
                <w:sz w:val="14"/>
                <w:szCs w:val="14"/>
                <w:lang w:eastAsia="en-GB"/>
              </w:rPr>
            </w:pPr>
            <w:hyperlink r:id="rId2521" w:history="1">
              <w:r w:rsidRPr="005A18DC">
                <w:rPr>
                  <w:rStyle w:val="Hyperlink"/>
                  <w:rFonts w:ascii="Arial" w:hAnsi="Arial" w:cs="Arial"/>
                  <w:b/>
                  <w:bCs/>
                  <w:sz w:val="14"/>
                  <w:szCs w:val="14"/>
                </w:rPr>
                <w:t>R1-2312728</w:t>
              </w:r>
            </w:hyperlink>
          </w:p>
        </w:tc>
        <w:tc>
          <w:tcPr>
            <w:tcW w:w="1471" w:type="pct"/>
          </w:tcPr>
          <w:p w14:paraId="72B57B60" w14:textId="6927F5B4"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Maintenance of Network Controlled Repeaters</w:t>
            </w:r>
          </w:p>
        </w:tc>
        <w:tc>
          <w:tcPr>
            <w:tcW w:w="849" w:type="pct"/>
          </w:tcPr>
          <w:p w14:paraId="374B051E" w14:textId="3D09FA72"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Samsung</w:t>
            </w:r>
          </w:p>
        </w:tc>
        <w:tc>
          <w:tcPr>
            <w:tcW w:w="248" w:type="pct"/>
          </w:tcPr>
          <w:p w14:paraId="54101176" w14:textId="42D9AB26" w:rsidR="005A18DC" w:rsidRPr="005A18DC" w:rsidRDefault="005A18DC" w:rsidP="005A18DC">
            <w:pPr>
              <w:rPr>
                <w:rFonts w:ascii="Arial" w:eastAsia="Times New Roman" w:hAnsi="Arial" w:cs="Arial"/>
                <w:color w:val="000000"/>
                <w:sz w:val="14"/>
                <w:szCs w:val="14"/>
                <w:lang w:eastAsia="en-GB"/>
              </w:rPr>
            </w:pPr>
            <w:hyperlink r:id="rId2522" w:history="1">
              <w:r w:rsidRPr="005A18DC">
                <w:rPr>
                  <w:rStyle w:val="Hyperlink"/>
                  <w:rFonts w:ascii="Arial" w:hAnsi="Arial" w:cs="Arial"/>
                  <w:b/>
                  <w:bCs/>
                  <w:sz w:val="14"/>
                  <w:szCs w:val="14"/>
                </w:rPr>
                <w:t>Rel-18</w:t>
              </w:r>
            </w:hyperlink>
          </w:p>
        </w:tc>
        <w:tc>
          <w:tcPr>
            <w:tcW w:w="301" w:type="pct"/>
            <w:shd w:val="clear" w:color="auto" w:fill="auto"/>
          </w:tcPr>
          <w:p w14:paraId="077AB33D" w14:textId="3387B270" w:rsidR="005A18DC" w:rsidRPr="005A18DC" w:rsidRDefault="005A18DC" w:rsidP="005A18DC">
            <w:pPr>
              <w:rPr>
                <w:rFonts w:ascii="Arial" w:eastAsia="Times New Roman" w:hAnsi="Arial" w:cs="Arial"/>
                <w:color w:val="000000"/>
                <w:sz w:val="14"/>
                <w:szCs w:val="14"/>
                <w:lang w:eastAsia="en-GB"/>
              </w:rPr>
            </w:pPr>
            <w:hyperlink r:id="rId2523" w:history="1">
              <w:r w:rsidRPr="005A18DC">
                <w:rPr>
                  <w:rStyle w:val="Hyperlink"/>
                  <w:rFonts w:ascii="Arial" w:hAnsi="Arial" w:cs="Arial"/>
                  <w:b/>
                  <w:bCs/>
                  <w:sz w:val="14"/>
                  <w:szCs w:val="14"/>
                </w:rPr>
                <w:t>38.213</w:t>
              </w:r>
            </w:hyperlink>
          </w:p>
        </w:tc>
        <w:tc>
          <w:tcPr>
            <w:tcW w:w="324" w:type="pct"/>
            <w:shd w:val="clear" w:color="auto" w:fill="auto"/>
          </w:tcPr>
          <w:p w14:paraId="093AD6B2" w14:textId="77D54029"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18.0.0</w:t>
            </w:r>
          </w:p>
        </w:tc>
        <w:tc>
          <w:tcPr>
            <w:tcW w:w="779" w:type="pct"/>
          </w:tcPr>
          <w:p w14:paraId="314B3299" w14:textId="4B0B5E0E" w:rsidR="005A18DC" w:rsidRPr="005A18DC" w:rsidRDefault="005A18DC" w:rsidP="005A18DC">
            <w:pPr>
              <w:rPr>
                <w:rFonts w:ascii="Arial" w:eastAsia="Times New Roman" w:hAnsi="Arial" w:cs="Arial"/>
                <w:color w:val="000000"/>
                <w:sz w:val="14"/>
                <w:szCs w:val="14"/>
                <w:lang w:eastAsia="en-GB"/>
              </w:rPr>
            </w:pPr>
            <w:hyperlink r:id="rId2524" w:history="1">
              <w:r w:rsidRPr="005A18DC">
                <w:rPr>
                  <w:rStyle w:val="Hyperlink"/>
                  <w:rFonts w:ascii="Arial" w:hAnsi="Arial" w:cs="Arial"/>
                  <w:b/>
                  <w:bCs/>
                  <w:sz w:val="14"/>
                  <w:szCs w:val="14"/>
                </w:rPr>
                <w:t>NR_netcon_repeater-Core</w:t>
              </w:r>
            </w:hyperlink>
          </w:p>
        </w:tc>
        <w:tc>
          <w:tcPr>
            <w:tcW w:w="233" w:type="pct"/>
          </w:tcPr>
          <w:p w14:paraId="2CE0D972" w14:textId="0E240DFD"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0577</w:t>
            </w:r>
          </w:p>
        </w:tc>
        <w:tc>
          <w:tcPr>
            <w:tcW w:w="226" w:type="pct"/>
          </w:tcPr>
          <w:p w14:paraId="4902B74A" w14:textId="183960A7"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 </w:t>
            </w:r>
          </w:p>
        </w:tc>
        <w:tc>
          <w:tcPr>
            <w:tcW w:w="203" w:type="pct"/>
          </w:tcPr>
          <w:p w14:paraId="083E79AA" w14:textId="6C3DB3EB"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F</w:t>
            </w:r>
          </w:p>
        </w:tc>
      </w:tr>
      <w:tr w:rsidR="005A18DC" w:rsidRPr="009537ED" w14:paraId="2DBC7572" w14:textId="77777777" w:rsidTr="00AA703E">
        <w:trPr>
          <w:trHeight w:val="20"/>
        </w:trPr>
        <w:tc>
          <w:tcPr>
            <w:tcW w:w="365" w:type="pct"/>
          </w:tcPr>
          <w:p w14:paraId="7F8EA5CA" w14:textId="162C22A1" w:rsidR="005A18DC" w:rsidRPr="005A18DC" w:rsidRDefault="005A18DC" w:rsidP="005A18DC">
            <w:pPr>
              <w:rPr>
                <w:rFonts w:ascii="Arial" w:eastAsia="Times New Roman" w:hAnsi="Arial" w:cs="Arial"/>
                <w:color w:val="000000"/>
                <w:sz w:val="14"/>
                <w:szCs w:val="14"/>
                <w:lang w:eastAsia="en-GB"/>
              </w:rPr>
            </w:pPr>
            <w:hyperlink r:id="rId2525" w:history="1">
              <w:r w:rsidRPr="005A18DC">
                <w:rPr>
                  <w:rStyle w:val="Hyperlink"/>
                  <w:rFonts w:ascii="Arial" w:hAnsi="Arial" w:cs="Arial"/>
                  <w:b/>
                  <w:bCs/>
                  <w:sz w:val="14"/>
                  <w:szCs w:val="14"/>
                </w:rPr>
                <w:t>R1-2312729</w:t>
              </w:r>
            </w:hyperlink>
          </w:p>
        </w:tc>
        <w:tc>
          <w:tcPr>
            <w:tcW w:w="1471" w:type="pct"/>
          </w:tcPr>
          <w:p w14:paraId="1E7B23EE" w14:textId="36392F77"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Maintenance of network energy savings for NR</w:t>
            </w:r>
          </w:p>
        </w:tc>
        <w:tc>
          <w:tcPr>
            <w:tcW w:w="849" w:type="pct"/>
          </w:tcPr>
          <w:p w14:paraId="751E2A83" w14:textId="4ADEABD1"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Samsung</w:t>
            </w:r>
          </w:p>
        </w:tc>
        <w:tc>
          <w:tcPr>
            <w:tcW w:w="248" w:type="pct"/>
          </w:tcPr>
          <w:p w14:paraId="2151E79E" w14:textId="5B72449F" w:rsidR="005A18DC" w:rsidRPr="005A18DC" w:rsidRDefault="005A18DC" w:rsidP="005A18DC">
            <w:pPr>
              <w:rPr>
                <w:rFonts w:ascii="Arial" w:eastAsia="Times New Roman" w:hAnsi="Arial" w:cs="Arial"/>
                <w:color w:val="000000"/>
                <w:sz w:val="14"/>
                <w:szCs w:val="14"/>
                <w:lang w:eastAsia="en-GB"/>
              </w:rPr>
            </w:pPr>
            <w:hyperlink r:id="rId2526" w:history="1">
              <w:r w:rsidRPr="005A18DC">
                <w:rPr>
                  <w:rStyle w:val="Hyperlink"/>
                  <w:rFonts w:ascii="Arial" w:hAnsi="Arial" w:cs="Arial"/>
                  <w:b/>
                  <w:bCs/>
                  <w:sz w:val="14"/>
                  <w:szCs w:val="14"/>
                </w:rPr>
                <w:t>Rel-18</w:t>
              </w:r>
            </w:hyperlink>
          </w:p>
        </w:tc>
        <w:tc>
          <w:tcPr>
            <w:tcW w:w="301" w:type="pct"/>
            <w:shd w:val="clear" w:color="auto" w:fill="auto"/>
          </w:tcPr>
          <w:p w14:paraId="5E2F4DF8" w14:textId="49BF5D7B" w:rsidR="005A18DC" w:rsidRPr="005A18DC" w:rsidRDefault="005A18DC" w:rsidP="005A18DC">
            <w:pPr>
              <w:rPr>
                <w:rFonts w:ascii="Arial" w:eastAsia="Times New Roman" w:hAnsi="Arial" w:cs="Arial"/>
                <w:color w:val="000000"/>
                <w:sz w:val="14"/>
                <w:szCs w:val="14"/>
                <w:lang w:eastAsia="en-GB"/>
              </w:rPr>
            </w:pPr>
            <w:hyperlink r:id="rId2527" w:history="1">
              <w:r w:rsidRPr="005A18DC">
                <w:rPr>
                  <w:rStyle w:val="Hyperlink"/>
                  <w:rFonts w:ascii="Arial" w:hAnsi="Arial" w:cs="Arial"/>
                  <w:b/>
                  <w:bCs/>
                  <w:sz w:val="14"/>
                  <w:szCs w:val="14"/>
                </w:rPr>
                <w:t>38.213</w:t>
              </w:r>
            </w:hyperlink>
          </w:p>
        </w:tc>
        <w:tc>
          <w:tcPr>
            <w:tcW w:w="324" w:type="pct"/>
            <w:shd w:val="clear" w:color="auto" w:fill="auto"/>
          </w:tcPr>
          <w:p w14:paraId="57CF1E6D" w14:textId="4D7209BB"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18.0.0</w:t>
            </w:r>
          </w:p>
        </w:tc>
        <w:tc>
          <w:tcPr>
            <w:tcW w:w="779" w:type="pct"/>
          </w:tcPr>
          <w:p w14:paraId="3FCF14B0" w14:textId="2AEC20CE" w:rsidR="005A18DC" w:rsidRPr="005A18DC" w:rsidRDefault="005A18DC" w:rsidP="005A18DC">
            <w:pPr>
              <w:rPr>
                <w:rFonts w:ascii="Arial" w:eastAsia="Times New Roman" w:hAnsi="Arial" w:cs="Arial"/>
                <w:color w:val="000000"/>
                <w:sz w:val="14"/>
                <w:szCs w:val="14"/>
                <w:lang w:eastAsia="en-GB"/>
              </w:rPr>
            </w:pPr>
            <w:hyperlink r:id="rId2528" w:history="1">
              <w:r w:rsidRPr="005A18DC">
                <w:rPr>
                  <w:rStyle w:val="Hyperlink"/>
                  <w:rFonts w:ascii="Arial" w:hAnsi="Arial" w:cs="Arial"/>
                  <w:b/>
                  <w:bCs/>
                  <w:sz w:val="14"/>
                  <w:szCs w:val="14"/>
                </w:rPr>
                <w:t>Netw_Energy_NR-Core</w:t>
              </w:r>
            </w:hyperlink>
          </w:p>
        </w:tc>
        <w:tc>
          <w:tcPr>
            <w:tcW w:w="233" w:type="pct"/>
          </w:tcPr>
          <w:p w14:paraId="06597CA8" w14:textId="3FB33875"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0578</w:t>
            </w:r>
          </w:p>
        </w:tc>
        <w:tc>
          <w:tcPr>
            <w:tcW w:w="226" w:type="pct"/>
          </w:tcPr>
          <w:p w14:paraId="320FEEE8" w14:textId="5989AE21"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 </w:t>
            </w:r>
          </w:p>
        </w:tc>
        <w:tc>
          <w:tcPr>
            <w:tcW w:w="203" w:type="pct"/>
          </w:tcPr>
          <w:p w14:paraId="284D04C3" w14:textId="11EA08B9"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F</w:t>
            </w:r>
          </w:p>
        </w:tc>
      </w:tr>
      <w:tr w:rsidR="005A18DC" w:rsidRPr="009537ED" w14:paraId="5B39C587" w14:textId="77777777" w:rsidTr="00AA703E">
        <w:trPr>
          <w:trHeight w:val="20"/>
        </w:trPr>
        <w:tc>
          <w:tcPr>
            <w:tcW w:w="365" w:type="pct"/>
          </w:tcPr>
          <w:p w14:paraId="31F270A1" w14:textId="5A5D67CA" w:rsidR="005A18DC" w:rsidRPr="005A18DC" w:rsidRDefault="005A18DC" w:rsidP="005A18DC">
            <w:pPr>
              <w:rPr>
                <w:rFonts w:ascii="Arial" w:eastAsia="Times New Roman" w:hAnsi="Arial" w:cs="Arial"/>
                <w:color w:val="000000"/>
                <w:sz w:val="14"/>
                <w:szCs w:val="14"/>
                <w:lang w:eastAsia="en-GB"/>
              </w:rPr>
            </w:pPr>
            <w:hyperlink r:id="rId2529" w:history="1">
              <w:r w:rsidRPr="005A18DC">
                <w:rPr>
                  <w:rStyle w:val="Hyperlink"/>
                  <w:rFonts w:ascii="Arial" w:hAnsi="Arial" w:cs="Arial"/>
                  <w:b/>
                  <w:bCs/>
                  <w:sz w:val="14"/>
                  <w:szCs w:val="14"/>
                </w:rPr>
                <w:t>R1-2312730</w:t>
              </w:r>
            </w:hyperlink>
          </w:p>
        </w:tc>
        <w:tc>
          <w:tcPr>
            <w:tcW w:w="1471" w:type="pct"/>
          </w:tcPr>
          <w:p w14:paraId="3CD79EA4" w14:textId="4C638E44"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Maintenance of expanded and improved NR positioning</w:t>
            </w:r>
          </w:p>
        </w:tc>
        <w:tc>
          <w:tcPr>
            <w:tcW w:w="849" w:type="pct"/>
          </w:tcPr>
          <w:p w14:paraId="36EDBE5D" w14:textId="2255B766"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Samsung</w:t>
            </w:r>
          </w:p>
        </w:tc>
        <w:tc>
          <w:tcPr>
            <w:tcW w:w="248" w:type="pct"/>
          </w:tcPr>
          <w:p w14:paraId="59ACC5E2" w14:textId="4D697EB9" w:rsidR="005A18DC" w:rsidRPr="005A18DC" w:rsidRDefault="005A18DC" w:rsidP="005A18DC">
            <w:pPr>
              <w:rPr>
                <w:rFonts w:ascii="Arial" w:eastAsia="Times New Roman" w:hAnsi="Arial" w:cs="Arial"/>
                <w:color w:val="000000"/>
                <w:sz w:val="14"/>
                <w:szCs w:val="14"/>
                <w:lang w:eastAsia="en-GB"/>
              </w:rPr>
            </w:pPr>
            <w:hyperlink r:id="rId2530" w:history="1">
              <w:r w:rsidRPr="005A18DC">
                <w:rPr>
                  <w:rStyle w:val="Hyperlink"/>
                  <w:rFonts w:ascii="Arial" w:hAnsi="Arial" w:cs="Arial"/>
                  <w:b/>
                  <w:bCs/>
                  <w:sz w:val="14"/>
                  <w:szCs w:val="14"/>
                </w:rPr>
                <w:t>Rel-18</w:t>
              </w:r>
            </w:hyperlink>
          </w:p>
        </w:tc>
        <w:tc>
          <w:tcPr>
            <w:tcW w:w="301" w:type="pct"/>
            <w:shd w:val="clear" w:color="auto" w:fill="auto"/>
          </w:tcPr>
          <w:p w14:paraId="54304F9C" w14:textId="632F61A9" w:rsidR="005A18DC" w:rsidRPr="005A18DC" w:rsidRDefault="005A18DC" w:rsidP="005A18DC">
            <w:pPr>
              <w:rPr>
                <w:rFonts w:ascii="Arial" w:eastAsia="Times New Roman" w:hAnsi="Arial" w:cs="Arial"/>
                <w:color w:val="000000"/>
                <w:sz w:val="14"/>
                <w:szCs w:val="14"/>
                <w:lang w:eastAsia="en-GB"/>
              </w:rPr>
            </w:pPr>
            <w:hyperlink r:id="rId2531" w:history="1">
              <w:r w:rsidRPr="005A18DC">
                <w:rPr>
                  <w:rStyle w:val="Hyperlink"/>
                  <w:rFonts w:ascii="Arial" w:hAnsi="Arial" w:cs="Arial"/>
                  <w:b/>
                  <w:bCs/>
                  <w:sz w:val="14"/>
                  <w:szCs w:val="14"/>
                </w:rPr>
                <w:t>38.213</w:t>
              </w:r>
            </w:hyperlink>
          </w:p>
        </w:tc>
        <w:tc>
          <w:tcPr>
            <w:tcW w:w="324" w:type="pct"/>
            <w:shd w:val="clear" w:color="auto" w:fill="auto"/>
          </w:tcPr>
          <w:p w14:paraId="5C6AEBB6" w14:textId="2BC28429"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18.0.0</w:t>
            </w:r>
          </w:p>
        </w:tc>
        <w:tc>
          <w:tcPr>
            <w:tcW w:w="779" w:type="pct"/>
          </w:tcPr>
          <w:p w14:paraId="0CE18F5E" w14:textId="6054E4B8" w:rsidR="005A18DC" w:rsidRPr="005A18DC" w:rsidRDefault="005A18DC" w:rsidP="005A18DC">
            <w:pPr>
              <w:rPr>
                <w:rFonts w:ascii="Arial" w:eastAsia="Times New Roman" w:hAnsi="Arial" w:cs="Arial"/>
                <w:color w:val="000000"/>
                <w:sz w:val="14"/>
                <w:szCs w:val="14"/>
                <w:lang w:eastAsia="en-GB"/>
              </w:rPr>
            </w:pPr>
            <w:hyperlink r:id="rId2532" w:history="1">
              <w:r w:rsidRPr="005A18DC">
                <w:rPr>
                  <w:rStyle w:val="Hyperlink"/>
                  <w:rFonts w:ascii="Arial" w:hAnsi="Arial" w:cs="Arial"/>
                  <w:b/>
                  <w:bCs/>
                  <w:sz w:val="14"/>
                  <w:szCs w:val="14"/>
                </w:rPr>
                <w:t>NR_pos_enh2-Core</w:t>
              </w:r>
            </w:hyperlink>
          </w:p>
        </w:tc>
        <w:tc>
          <w:tcPr>
            <w:tcW w:w="233" w:type="pct"/>
          </w:tcPr>
          <w:p w14:paraId="4445D25A" w14:textId="33D76027"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0579</w:t>
            </w:r>
          </w:p>
        </w:tc>
        <w:tc>
          <w:tcPr>
            <w:tcW w:w="226" w:type="pct"/>
          </w:tcPr>
          <w:p w14:paraId="45A3B24B" w14:textId="689094ED"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 </w:t>
            </w:r>
          </w:p>
        </w:tc>
        <w:tc>
          <w:tcPr>
            <w:tcW w:w="203" w:type="pct"/>
          </w:tcPr>
          <w:p w14:paraId="33FBBACB" w14:textId="0DAE435C"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F</w:t>
            </w:r>
          </w:p>
        </w:tc>
      </w:tr>
      <w:tr w:rsidR="005A18DC" w:rsidRPr="009537ED" w14:paraId="58A3B3C8" w14:textId="77777777" w:rsidTr="00AA703E">
        <w:trPr>
          <w:trHeight w:val="20"/>
        </w:trPr>
        <w:tc>
          <w:tcPr>
            <w:tcW w:w="365" w:type="pct"/>
          </w:tcPr>
          <w:p w14:paraId="525BA655" w14:textId="715ACC2D" w:rsidR="005A18DC" w:rsidRPr="005A18DC" w:rsidRDefault="005A18DC" w:rsidP="005A18DC">
            <w:pPr>
              <w:rPr>
                <w:rFonts w:ascii="Arial" w:eastAsia="Times New Roman" w:hAnsi="Arial" w:cs="Arial"/>
                <w:color w:val="000000"/>
                <w:sz w:val="14"/>
                <w:szCs w:val="14"/>
                <w:lang w:eastAsia="en-GB"/>
              </w:rPr>
            </w:pPr>
            <w:hyperlink r:id="rId2533" w:history="1">
              <w:r w:rsidRPr="005A18DC">
                <w:rPr>
                  <w:rStyle w:val="Hyperlink"/>
                  <w:rFonts w:ascii="Arial" w:hAnsi="Arial" w:cs="Arial"/>
                  <w:b/>
                  <w:bCs/>
                  <w:sz w:val="14"/>
                  <w:szCs w:val="14"/>
                </w:rPr>
                <w:t>R1-2312731</w:t>
              </w:r>
            </w:hyperlink>
          </w:p>
        </w:tc>
        <w:tc>
          <w:tcPr>
            <w:tcW w:w="1471" w:type="pct"/>
          </w:tcPr>
          <w:p w14:paraId="2108E000" w14:textId="4357DD8C"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Maintenance of support for enhanced reduced capability NR devices</w:t>
            </w:r>
          </w:p>
        </w:tc>
        <w:tc>
          <w:tcPr>
            <w:tcW w:w="849" w:type="pct"/>
          </w:tcPr>
          <w:p w14:paraId="6C8620A9" w14:textId="1CDB1FCD"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Samsung</w:t>
            </w:r>
          </w:p>
        </w:tc>
        <w:tc>
          <w:tcPr>
            <w:tcW w:w="248" w:type="pct"/>
          </w:tcPr>
          <w:p w14:paraId="709FEA3A" w14:textId="1D5FAA15" w:rsidR="005A18DC" w:rsidRPr="005A18DC" w:rsidRDefault="005A18DC" w:rsidP="005A18DC">
            <w:pPr>
              <w:rPr>
                <w:rFonts w:ascii="Arial" w:eastAsia="Times New Roman" w:hAnsi="Arial" w:cs="Arial"/>
                <w:color w:val="000000"/>
                <w:sz w:val="14"/>
                <w:szCs w:val="14"/>
                <w:lang w:eastAsia="en-GB"/>
              </w:rPr>
            </w:pPr>
            <w:hyperlink r:id="rId2534" w:history="1">
              <w:r w:rsidRPr="005A18DC">
                <w:rPr>
                  <w:rStyle w:val="Hyperlink"/>
                  <w:rFonts w:ascii="Arial" w:hAnsi="Arial" w:cs="Arial"/>
                  <w:b/>
                  <w:bCs/>
                  <w:sz w:val="14"/>
                  <w:szCs w:val="14"/>
                </w:rPr>
                <w:t>Rel-18</w:t>
              </w:r>
            </w:hyperlink>
          </w:p>
        </w:tc>
        <w:tc>
          <w:tcPr>
            <w:tcW w:w="301" w:type="pct"/>
            <w:shd w:val="clear" w:color="auto" w:fill="auto"/>
          </w:tcPr>
          <w:p w14:paraId="41E9B692" w14:textId="7A0C9A5A" w:rsidR="005A18DC" w:rsidRPr="005A18DC" w:rsidRDefault="005A18DC" w:rsidP="005A18DC">
            <w:pPr>
              <w:rPr>
                <w:rFonts w:ascii="Arial" w:eastAsia="Times New Roman" w:hAnsi="Arial" w:cs="Arial"/>
                <w:color w:val="000000"/>
                <w:sz w:val="14"/>
                <w:szCs w:val="14"/>
                <w:lang w:eastAsia="en-GB"/>
              </w:rPr>
            </w:pPr>
            <w:hyperlink r:id="rId2535" w:history="1">
              <w:r w:rsidRPr="005A18DC">
                <w:rPr>
                  <w:rStyle w:val="Hyperlink"/>
                  <w:rFonts w:ascii="Arial" w:hAnsi="Arial" w:cs="Arial"/>
                  <w:b/>
                  <w:bCs/>
                  <w:sz w:val="14"/>
                  <w:szCs w:val="14"/>
                </w:rPr>
                <w:t>38.213</w:t>
              </w:r>
            </w:hyperlink>
          </w:p>
        </w:tc>
        <w:tc>
          <w:tcPr>
            <w:tcW w:w="324" w:type="pct"/>
            <w:shd w:val="clear" w:color="auto" w:fill="auto"/>
          </w:tcPr>
          <w:p w14:paraId="3E0DD07D" w14:textId="508A6DC6"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18.0.0</w:t>
            </w:r>
          </w:p>
        </w:tc>
        <w:tc>
          <w:tcPr>
            <w:tcW w:w="779" w:type="pct"/>
          </w:tcPr>
          <w:p w14:paraId="33040FE5" w14:textId="69A2212A" w:rsidR="005A18DC" w:rsidRPr="005A18DC" w:rsidRDefault="005A18DC" w:rsidP="005A18DC">
            <w:pPr>
              <w:rPr>
                <w:rFonts w:ascii="Arial" w:eastAsia="Times New Roman" w:hAnsi="Arial" w:cs="Arial"/>
                <w:color w:val="000000"/>
                <w:sz w:val="14"/>
                <w:szCs w:val="14"/>
                <w:lang w:eastAsia="en-GB"/>
              </w:rPr>
            </w:pPr>
            <w:hyperlink r:id="rId2536" w:history="1">
              <w:r w:rsidRPr="005A18DC">
                <w:rPr>
                  <w:rStyle w:val="Hyperlink"/>
                  <w:rFonts w:ascii="Arial" w:hAnsi="Arial" w:cs="Arial"/>
                  <w:b/>
                  <w:bCs/>
                  <w:sz w:val="14"/>
                  <w:szCs w:val="14"/>
                </w:rPr>
                <w:t>NR_redcap_enh-Core</w:t>
              </w:r>
            </w:hyperlink>
          </w:p>
        </w:tc>
        <w:tc>
          <w:tcPr>
            <w:tcW w:w="233" w:type="pct"/>
          </w:tcPr>
          <w:p w14:paraId="3DE29EC8" w14:textId="0BDF391A"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0580</w:t>
            </w:r>
          </w:p>
        </w:tc>
        <w:tc>
          <w:tcPr>
            <w:tcW w:w="226" w:type="pct"/>
          </w:tcPr>
          <w:p w14:paraId="39F22949" w14:textId="0D9E630E"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 </w:t>
            </w:r>
          </w:p>
        </w:tc>
        <w:tc>
          <w:tcPr>
            <w:tcW w:w="203" w:type="pct"/>
          </w:tcPr>
          <w:p w14:paraId="1A26AC10" w14:textId="104AC3F1"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F</w:t>
            </w:r>
          </w:p>
        </w:tc>
      </w:tr>
      <w:tr w:rsidR="005A18DC" w:rsidRPr="009537ED" w14:paraId="1928076C" w14:textId="77777777" w:rsidTr="00AA703E">
        <w:trPr>
          <w:trHeight w:val="20"/>
        </w:trPr>
        <w:tc>
          <w:tcPr>
            <w:tcW w:w="365" w:type="pct"/>
          </w:tcPr>
          <w:p w14:paraId="1B34F4EC" w14:textId="1F4B9C57" w:rsidR="005A18DC" w:rsidRPr="005A18DC" w:rsidRDefault="005A18DC" w:rsidP="005A18DC">
            <w:pPr>
              <w:rPr>
                <w:rFonts w:ascii="Arial" w:eastAsia="Times New Roman" w:hAnsi="Arial" w:cs="Arial"/>
                <w:color w:val="000000"/>
                <w:sz w:val="14"/>
                <w:szCs w:val="14"/>
                <w:lang w:eastAsia="en-GB"/>
              </w:rPr>
            </w:pPr>
            <w:hyperlink r:id="rId2537" w:history="1">
              <w:r w:rsidRPr="005A18DC">
                <w:rPr>
                  <w:rStyle w:val="Hyperlink"/>
                  <w:rFonts w:ascii="Arial" w:hAnsi="Arial" w:cs="Arial"/>
                  <w:b/>
                  <w:bCs/>
                  <w:sz w:val="14"/>
                  <w:szCs w:val="14"/>
                </w:rPr>
                <w:t>R1-2312732</w:t>
              </w:r>
            </w:hyperlink>
          </w:p>
        </w:tc>
        <w:tc>
          <w:tcPr>
            <w:tcW w:w="1471" w:type="pct"/>
          </w:tcPr>
          <w:p w14:paraId="59A4BF79" w14:textId="32B97A64"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Maintenance of NR sidelink evolution</w:t>
            </w:r>
          </w:p>
        </w:tc>
        <w:tc>
          <w:tcPr>
            <w:tcW w:w="849" w:type="pct"/>
          </w:tcPr>
          <w:p w14:paraId="20527893" w14:textId="10991E6E"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Samsung</w:t>
            </w:r>
          </w:p>
        </w:tc>
        <w:tc>
          <w:tcPr>
            <w:tcW w:w="248" w:type="pct"/>
          </w:tcPr>
          <w:p w14:paraId="16E85D4C" w14:textId="5D311C1B" w:rsidR="005A18DC" w:rsidRPr="005A18DC" w:rsidRDefault="005A18DC" w:rsidP="005A18DC">
            <w:pPr>
              <w:rPr>
                <w:rFonts w:ascii="Arial" w:eastAsia="Times New Roman" w:hAnsi="Arial" w:cs="Arial"/>
                <w:color w:val="000000"/>
                <w:sz w:val="14"/>
                <w:szCs w:val="14"/>
                <w:lang w:eastAsia="en-GB"/>
              </w:rPr>
            </w:pPr>
            <w:hyperlink r:id="rId2538" w:history="1">
              <w:r w:rsidRPr="005A18DC">
                <w:rPr>
                  <w:rStyle w:val="Hyperlink"/>
                  <w:rFonts w:ascii="Arial" w:hAnsi="Arial" w:cs="Arial"/>
                  <w:b/>
                  <w:bCs/>
                  <w:sz w:val="14"/>
                  <w:szCs w:val="14"/>
                </w:rPr>
                <w:t>Rel-18</w:t>
              </w:r>
            </w:hyperlink>
          </w:p>
        </w:tc>
        <w:tc>
          <w:tcPr>
            <w:tcW w:w="301" w:type="pct"/>
            <w:shd w:val="clear" w:color="auto" w:fill="auto"/>
          </w:tcPr>
          <w:p w14:paraId="6B4FE16E" w14:textId="40100FDA" w:rsidR="005A18DC" w:rsidRPr="005A18DC" w:rsidRDefault="005A18DC" w:rsidP="005A18DC">
            <w:pPr>
              <w:rPr>
                <w:rFonts w:ascii="Arial" w:eastAsia="Times New Roman" w:hAnsi="Arial" w:cs="Arial"/>
                <w:color w:val="000000"/>
                <w:sz w:val="14"/>
                <w:szCs w:val="14"/>
                <w:lang w:eastAsia="en-GB"/>
              </w:rPr>
            </w:pPr>
            <w:hyperlink r:id="rId2539" w:history="1">
              <w:r w:rsidRPr="005A18DC">
                <w:rPr>
                  <w:rStyle w:val="Hyperlink"/>
                  <w:rFonts w:ascii="Arial" w:hAnsi="Arial" w:cs="Arial"/>
                  <w:b/>
                  <w:bCs/>
                  <w:sz w:val="14"/>
                  <w:szCs w:val="14"/>
                </w:rPr>
                <w:t>38.213</w:t>
              </w:r>
            </w:hyperlink>
          </w:p>
        </w:tc>
        <w:tc>
          <w:tcPr>
            <w:tcW w:w="324" w:type="pct"/>
            <w:shd w:val="clear" w:color="auto" w:fill="auto"/>
          </w:tcPr>
          <w:p w14:paraId="72883B55" w14:textId="433CE215"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18.0.0</w:t>
            </w:r>
          </w:p>
        </w:tc>
        <w:tc>
          <w:tcPr>
            <w:tcW w:w="779" w:type="pct"/>
          </w:tcPr>
          <w:p w14:paraId="6F592E2D" w14:textId="11BA08D6" w:rsidR="005A18DC" w:rsidRPr="005A18DC" w:rsidRDefault="005A18DC" w:rsidP="005A18DC">
            <w:pPr>
              <w:rPr>
                <w:rFonts w:ascii="Arial" w:eastAsia="Times New Roman" w:hAnsi="Arial" w:cs="Arial"/>
                <w:color w:val="000000"/>
                <w:sz w:val="14"/>
                <w:szCs w:val="14"/>
                <w:lang w:eastAsia="en-GB"/>
              </w:rPr>
            </w:pPr>
            <w:hyperlink r:id="rId2540" w:history="1">
              <w:r w:rsidRPr="005A18DC">
                <w:rPr>
                  <w:rStyle w:val="Hyperlink"/>
                  <w:rFonts w:ascii="Arial" w:hAnsi="Arial" w:cs="Arial"/>
                  <w:b/>
                  <w:bCs/>
                  <w:sz w:val="14"/>
                  <w:szCs w:val="14"/>
                </w:rPr>
                <w:t>NR_SL_enh2-Core</w:t>
              </w:r>
            </w:hyperlink>
          </w:p>
        </w:tc>
        <w:tc>
          <w:tcPr>
            <w:tcW w:w="233" w:type="pct"/>
          </w:tcPr>
          <w:p w14:paraId="4B4D6FC1" w14:textId="28F1BEFA"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0581</w:t>
            </w:r>
          </w:p>
        </w:tc>
        <w:tc>
          <w:tcPr>
            <w:tcW w:w="226" w:type="pct"/>
          </w:tcPr>
          <w:p w14:paraId="74C51F3E" w14:textId="5D38505D"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 </w:t>
            </w:r>
          </w:p>
        </w:tc>
        <w:tc>
          <w:tcPr>
            <w:tcW w:w="203" w:type="pct"/>
          </w:tcPr>
          <w:p w14:paraId="494C8F73" w14:textId="546FEDEE"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F</w:t>
            </w:r>
          </w:p>
        </w:tc>
      </w:tr>
      <w:tr w:rsidR="005A18DC" w:rsidRPr="009537ED" w14:paraId="36FCC623" w14:textId="77777777" w:rsidTr="00AA703E">
        <w:trPr>
          <w:trHeight w:val="20"/>
        </w:trPr>
        <w:tc>
          <w:tcPr>
            <w:tcW w:w="365" w:type="pct"/>
          </w:tcPr>
          <w:p w14:paraId="2FB16924" w14:textId="65079DBF" w:rsidR="005A18DC" w:rsidRPr="005A18DC" w:rsidRDefault="005A18DC" w:rsidP="005A18DC">
            <w:pPr>
              <w:rPr>
                <w:rFonts w:ascii="Arial" w:eastAsia="Times New Roman" w:hAnsi="Arial" w:cs="Arial"/>
                <w:color w:val="000000"/>
                <w:sz w:val="14"/>
                <w:szCs w:val="14"/>
                <w:lang w:eastAsia="en-GB"/>
              </w:rPr>
            </w:pPr>
            <w:hyperlink r:id="rId2541" w:history="1">
              <w:r w:rsidRPr="005A18DC">
                <w:rPr>
                  <w:rStyle w:val="Hyperlink"/>
                  <w:rFonts w:ascii="Arial" w:hAnsi="Arial" w:cs="Arial"/>
                  <w:b/>
                  <w:bCs/>
                  <w:sz w:val="14"/>
                  <w:szCs w:val="14"/>
                </w:rPr>
                <w:t>R1-2312733</w:t>
              </w:r>
            </w:hyperlink>
          </w:p>
        </w:tc>
        <w:tc>
          <w:tcPr>
            <w:tcW w:w="1471" w:type="pct"/>
          </w:tcPr>
          <w:p w14:paraId="441B58AE" w14:textId="703BA3DE"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Maintenance of XR enhancements for NR</w:t>
            </w:r>
          </w:p>
        </w:tc>
        <w:tc>
          <w:tcPr>
            <w:tcW w:w="849" w:type="pct"/>
          </w:tcPr>
          <w:p w14:paraId="6825D371" w14:textId="3B0A62AD"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Samsung</w:t>
            </w:r>
          </w:p>
        </w:tc>
        <w:tc>
          <w:tcPr>
            <w:tcW w:w="248" w:type="pct"/>
          </w:tcPr>
          <w:p w14:paraId="0E2D73CA" w14:textId="18785766" w:rsidR="005A18DC" w:rsidRPr="005A18DC" w:rsidRDefault="005A18DC" w:rsidP="005A18DC">
            <w:pPr>
              <w:rPr>
                <w:rFonts w:ascii="Arial" w:eastAsia="Times New Roman" w:hAnsi="Arial" w:cs="Arial"/>
                <w:color w:val="000000"/>
                <w:sz w:val="14"/>
                <w:szCs w:val="14"/>
                <w:lang w:eastAsia="en-GB"/>
              </w:rPr>
            </w:pPr>
            <w:hyperlink r:id="rId2542" w:history="1">
              <w:r w:rsidRPr="005A18DC">
                <w:rPr>
                  <w:rStyle w:val="Hyperlink"/>
                  <w:rFonts w:ascii="Arial" w:hAnsi="Arial" w:cs="Arial"/>
                  <w:b/>
                  <w:bCs/>
                  <w:sz w:val="14"/>
                  <w:szCs w:val="14"/>
                </w:rPr>
                <w:t>Rel-18</w:t>
              </w:r>
            </w:hyperlink>
          </w:p>
        </w:tc>
        <w:tc>
          <w:tcPr>
            <w:tcW w:w="301" w:type="pct"/>
            <w:shd w:val="clear" w:color="auto" w:fill="auto"/>
          </w:tcPr>
          <w:p w14:paraId="00BFC8C7" w14:textId="5BBDA1A5" w:rsidR="005A18DC" w:rsidRPr="005A18DC" w:rsidRDefault="005A18DC" w:rsidP="005A18DC">
            <w:pPr>
              <w:rPr>
                <w:rFonts w:ascii="Arial" w:eastAsia="Times New Roman" w:hAnsi="Arial" w:cs="Arial"/>
                <w:color w:val="000000"/>
                <w:sz w:val="14"/>
                <w:szCs w:val="14"/>
                <w:lang w:eastAsia="en-GB"/>
              </w:rPr>
            </w:pPr>
            <w:hyperlink r:id="rId2543" w:history="1">
              <w:r w:rsidRPr="005A18DC">
                <w:rPr>
                  <w:rStyle w:val="Hyperlink"/>
                  <w:rFonts w:ascii="Arial" w:hAnsi="Arial" w:cs="Arial"/>
                  <w:b/>
                  <w:bCs/>
                  <w:sz w:val="14"/>
                  <w:szCs w:val="14"/>
                </w:rPr>
                <w:t>38.213</w:t>
              </w:r>
            </w:hyperlink>
          </w:p>
        </w:tc>
        <w:tc>
          <w:tcPr>
            <w:tcW w:w="324" w:type="pct"/>
            <w:shd w:val="clear" w:color="auto" w:fill="auto"/>
          </w:tcPr>
          <w:p w14:paraId="58863D34" w14:textId="14EF1C9F"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18.0.0</w:t>
            </w:r>
          </w:p>
        </w:tc>
        <w:tc>
          <w:tcPr>
            <w:tcW w:w="779" w:type="pct"/>
          </w:tcPr>
          <w:p w14:paraId="30E6D599" w14:textId="3429C5E5" w:rsidR="005A18DC" w:rsidRPr="005A18DC" w:rsidRDefault="005A18DC" w:rsidP="005A18DC">
            <w:pPr>
              <w:rPr>
                <w:rFonts w:ascii="Arial" w:eastAsia="Times New Roman" w:hAnsi="Arial" w:cs="Arial"/>
                <w:color w:val="000000"/>
                <w:sz w:val="14"/>
                <w:szCs w:val="14"/>
                <w:lang w:eastAsia="en-GB"/>
              </w:rPr>
            </w:pPr>
            <w:hyperlink r:id="rId2544" w:history="1">
              <w:r w:rsidRPr="005A18DC">
                <w:rPr>
                  <w:rStyle w:val="Hyperlink"/>
                  <w:rFonts w:ascii="Arial" w:hAnsi="Arial" w:cs="Arial"/>
                  <w:b/>
                  <w:bCs/>
                  <w:sz w:val="14"/>
                  <w:szCs w:val="14"/>
                </w:rPr>
                <w:t>NR_XR_enh-Core</w:t>
              </w:r>
            </w:hyperlink>
          </w:p>
        </w:tc>
        <w:tc>
          <w:tcPr>
            <w:tcW w:w="233" w:type="pct"/>
          </w:tcPr>
          <w:p w14:paraId="229D2E7E" w14:textId="4199BCA1"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0582</w:t>
            </w:r>
          </w:p>
        </w:tc>
        <w:tc>
          <w:tcPr>
            <w:tcW w:w="226" w:type="pct"/>
          </w:tcPr>
          <w:p w14:paraId="030D5E6F" w14:textId="41E64F8B"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 </w:t>
            </w:r>
          </w:p>
        </w:tc>
        <w:tc>
          <w:tcPr>
            <w:tcW w:w="203" w:type="pct"/>
          </w:tcPr>
          <w:p w14:paraId="32EC86D1" w14:textId="3B866648"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F</w:t>
            </w:r>
          </w:p>
        </w:tc>
      </w:tr>
      <w:tr w:rsidR="005A18DC" w:rsidRPr="009537ED" w14:paraId="62AC9C97" w14:textId="77777777" w:rsidTr="00AA703E">
        <w:trPr>
          <w:trHeight w:val="20"/>
        </w:trPr>
        <w:tc>
          <w:tcPr>
            <w:tcW w:w="365" w:type="pct"/>
          </w:tcPr>
          <w:p w14:paraId="1A49FEC4" w14:textId="2E0EA961" w:rsidR="005A18DC" w:rsidRPr="005A18DC" w:rsidRDefault="005A18DC" w:rsidP="005A18DC">
            <w:pPr>
              <w:rPr>
                <w:rFonts w:ascii="Arial" w:eastAsia="Times New Roman" w:hAnsi="Arial" w:cs="Arial"/>
                <w:color w:val="000000"/>
                <w:sz w:val="14"/>
                <w:szCs w:val="14"/>
                <w:lang w:eastAsia="en-GB"/>
              </w:rPr>
            </w:pPr>
            <w:hyperlink r:id="rId2545" w:history="1">
              <w:r w:rsidRPr="005A18DC">
                <w:rPr>
                  <w:rStyle w:val="Hyperlink"/>
                  <w:rFonts w:ascii="Arial" w:hAnsi="Arial" w:cs="Arial"/>
                  <w:b/>
                  <w:bCs/>
                  <w:sz w:val="14"/>
                  <w:szCs w:val="14"/>
                </w:rPr>
                <w:t>R1-2312734</w:t>
              </w:r>
            </w:hyperlink>
          </w:p>
        </w:tc>
        <w:tc>
          <w:tcPr>
            <w:tcW w:w="1471" w:type="pct"/>
          </w:tcPr>
          <w:p w14:paraId="23BF54B6" w14:textId="0384C42F"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Correction of Rel-18 MIMO evolution</w:t>
            </w:r>
          </w:p>
        </w:tc>
        <w:tc>
          <w:tcPr>
            <w:tcW w:w="849" w:type="pct"/>
          </w:tcPr>
          <w:p w14:paraId="7E2183BC" w14:textId="1766FFAA"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Intel Corporation</w:t>
            </w:r>
          </w:p>
        </w:tc>
        <w:tc>
          <w:tcPr>
            <w:tcW w:w="248" w:type="pct"/>
          </w:tcPr>
          <w:p w14:paraId="66C7B749" w14:textId="656AE643" w:rsidR="005A18DC" w:rsidRPr="005A18DC" w:rsidRDefault="005A18DC" w:rsidP="005A18DC">
            <w:pPr>
              <w:rPr>
                <w:rFonts w:ascii="Arial" w:eastAsia="Times New Roman" w:hAnsi="Arial" w:cs="Arial"/>
                <w:color w:val="000000"/>
                <w:sz w:val="14"/>
                <w:szCs w:val="14"/>
                <w:lang w:eastAsia="en-GB"/>
              </w:rPr>
            </w:pPr>
            <w:hyperlink r:id="rId2546" w:history="1">
              <w:r w:rsidRPr="005A18DC">
                <w:rPr>
                  <w:rStyle w:val="Hyperlink"/>
                  <w:rFonts w:ascii="Arial" w:hAnsi="Arial" w:cs="Arial"/>
                  <w:b/>
                  <w:bCs/>
                  <w:sz w:val="14"/>
                  <w:szCs w:val="14"/>
                </w:rPr>
                <w:t>Rel-18</w:t>
              </w:r>
            </w:hyperlink>
          </w:p>
        </w:tc>
        <w:tc>
          <w:tcPr>
            <w:tcW w:w="301" w:type="pct"/>
            <w:shd w:val="clear" w:color="auto" w:fill="auto"/>
          </w:tcPr>
          <w:p w14:paraId="16CF4C41" w14:textId="51107972" w:rsidR="005A18DC" w:rsidRPr="005A18DC" w:rsidRDefault="005A18DC" w:rsidP="005A18DC">
            <w:pPr>
              <w:rPr>
                <w:rFonts w:ascii="Arial" w:eastAsia="Times New Roman" w:hAnsi="Arial" w:cs="Arial"/>
                <w:color w:val="000000"/>
                <w:sz w:val="14"/>
                <w:szCs w:val="14"/>
                <w:lang w:eastAsia="en-GB"/>
              </w:rPr>
            </w:pPr>
            <w:hyperlink r:id="rId2547" w:history="1">
              <w:r w:rsidRPr="005A18DC">
                <w:rPr>
                  <w:rStyle w:val="Hyperlink"/>
                  <w:rFonts w:ascii="Arial" w:hAnsi="Arial" w:cs="Arial"/>
                  <w:b/>
                  <w:bCs/>
                  <w:sz w:val="14"/>
                  <w:szCs w:val="14"/>
                </w:rPr>
                <w:t>38.215</w:t>
              </w:r>
            </w:hyperlink>
          </w:p>
        </w:tc>
        <w:tc>
          <w:tcPr>
            <w:tcW w:w="324" w:type="pct"/>
            <w:shd w:val="clear" w:color="auto" w:fill="auto"/>
          </w:tcPr>
          <w:p w14:paraId="29AD2033" w14:textId="000FF3D8"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18.0.0</w:t>
            </w:r>
          </w:p>
        </w:tc>
        <w:tc>
          <w:tcPr>
            <w:tcW w:w="779" w:type="pct"/>
          </w:tcPr>
          <w:p w14:paraId="71B8FC0C" w14:textId="7F0A4862" w:rsidR="005A18DC" w:rsidRPr="005A18DC" w:rsidRDefault="005A18DC" w:rsidP="005A18DC">
            <w:pPr>
              <w:rPr>
                <w:rFonts w:ascii="Arial" w:eastAsia="Times New Roman" w:hAnsi="Arial" w:cs="Arial"/>
                <w:color w:val="000000"/>
                <w:sz w:val="14"/>
                <w:szCs w:val="14"/>
                <w:lang w:eastAsia="en-GB"/>
              </w:rPr>
            </w:pPr>
            <w:hyperlink r:id="rId2548" w:history="1">
              <w:r w:rsidRPr="005A18DC">
                <w:rPr>
                  <w:rStyle w:val="Hyperlink"/>
                  <w:rFonts w:ascii="Arial" w:hAnsi="Arial" w:cs="Arial"/>
                  <w:b/>
                  <w:bCs/>
                  <w:sz w:val="14"/>
                  <w:szCs w:val="14"/>
                </w:rPr>
                <w:t>NR_MIMO_evo_DL_UL-Core</w:t>
              </w:r>
            </w:hyperlink>
          </w:p>
        </w:tc>
        <w:tc>
          <w:tcPr>
            <w:tcW w:w="233" w:type="pct"/>
          </w:tcPr>
          <w:p w14:paraId="60AA490D" w14:textId="4887CA2B"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0060</w:t>
            </w:r>
          </w:p>
        </w:tc>
        <w:tc>
          <w:tcPr>
            <w:tcW w:w="226" w:type="pct"/>
          </w:tcPr>
          <w:p w14:paraId="7FC158C0" w14:textId="1C63B0C2"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 </w:t>
            </w:r>
          </w:p>
        </w:tc>
        <w:tc>
          <w:tcPr>
            <w:tcW w:w="203" w:type="pct"/>
          </w:tcPr>
          <w:p w14:paraId="3776C692" w14:textId="3780D3D9"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F</w:t>
            </w:r>
          </w:p>
        </w:tc>
      </w:tr>
      <w:tr w:rsidR="005A18DC" w:rsidRPr="009537ED" w14:paraId="5CEAC6E9" w14:textId="77777777" w:rsidTr="00AA703E">
        <w:trPr>
          <w:trHeight w:val="20"/>
        </w:trPr>
        <w:tc>
          <w:tcPr>
            <w:tcW w:w="365" w:type="pct"/>
          </w:tcPr>
          <w:p w14:paraId="1300269F" w14:textId="644C0FB6" w:rsidR="005A18DC" w:rsidRPr="005A18DC" w:rsidRDefault="005A18DC" w:rsidP="005A18DC">
            <w:pPr>
              <w:rPr>
                <w:rFonts w:ascii="Arial" w:eastAsia="Times New Roman" w:hAnsi="Arial" w:cs="Arial"/>
                <w:color w:val="000000"/>
                <w:sz w:val="14"/>
                <w:szCs w:val="14"/>
                <w:lang w:eastAsia="en-GB"/>
              </w:rPr>
            </w:pPr>
            <w:hyperlink r:id="rId2549" w:history="1">
              <w:r w:rsidRPr="005A18DC">
                <w:rPr>
                  <w:rStyle w:val="Hyperlink"/>
                  <w:rFonts w:ascii="Arial" w:hAnsi="Arial" w:cs="Arial"/>
                  <w:b/>
                  <w:bCs/>
                  <w:sz w:val="14"/>
                  <w:szCs w:val="14"/>
                </w:rPr>
                <w:t>R1-2312735</w:t>
              </w:r>
            </w:hyperlink>
          </w:p>
        </w:tc>
        <w:tc>
          <w:tcPr>
            <w:tcW w:w="1471" w:type="pct"/>
          </w:tcPr>
          <w:p w14:paraId="07D66C78" w14:textId="550397D3"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Correction of Rel-18 NR NTN enhancements</w:t>
            </w:r>
          </w:p>
        </w:tc>
        <w:tc>
          <w:tcPr>
            <w:tcW w:w="849" w:type="pct"/>
          </w:tcPr>
          <w:p w14:paraId="480BEEBE" w14:textId="05E46A46"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Intel Corporation</w:t>
            </w:r>
          </w:p>
        </w:tc>
        <w:tc>
          <w:tcPr>
            <w:tcW w:w="248" w:type="pct"/>
          </w:tcPr>
          <w:p w14:paraId="0CD2BCE1" w14:textId="26CDB322" w:rsidR="005A18DC" w:rsidRPr="005A18DC" w:rsidRDefault="005A18DC" w:rsidP="005A18DC">
            <w:pPr>
              <w:rPr>
                <w:rFonts w:ascii="Arial" w:eastAsia="Times New Roman" w:hAnsi="Arial" w:cs="Arial"/>
                <w:color w:val="000000"/>
                <w:sz w:val="14"/>
                <w:szCs w:val="14"/>
                <w:lang w:eastAsia="en-GB"/>
              </w:rPr>
            </w:pPr>
            <w:hyperlink r:id="rId2550" w:history="1">
              <w:r w:rsidRPr="005A18DC">
                <w:rPr>
                  <w:rStyle w:val="Hyperlink"/>
                  <w:rFonts w:ascii="Arial" w:hAnsi="Arial" w:cs="Arial"/>
                  <w:b/>
                  <w:bCs/>
                  <w:sz w:val="14"/>
                  <w:szCs w:val="14"/>
                </w:rPr>
                <w:t>Rel-18</w:t>
              </w:r>
            </w:hyperlink>
          </w:p>
        </w:tc>
        <w:tc>
          <w:tcPr>
            <w:tcW w:w="301" w:type="pct"/>
            <w:shd w:val="clear" w:color="auto" w:fill="auto"/>
          </w:tcPr>
          <w:p w14:paraId="0BA4ACA7" w14:textId="3C5DDF91" w:rsidR="005A18DC" w:rsidRPr="005A18DC" w:rsidRDefault="005A18DC" w:rsidP="005A18DC">
            <w:pPr>
              <w:rPr>
                <w:rFonts w:ascii="Arial" w:eastAsia="Times New Roman" w:hAnsi="Arial" w:cs="Arial"/>
                <w:color w:val="000000"/>
                <w:sz w:val="14"/>
                <w:szCs w:val="14"/>
                <w:lang w:eastAsia="en-GB"/>
              </w:rPr>
            </w:pPr>
            <w:hyperlink r:id="rId2551" w:history="1">
              <w:r w:rsidRPr="005A18DC">
                <w:rPr>
                  <w:rStyle w:val="Hyperlink"/>
                  <w:rFonts w:ascii="Arial" w:hAnsi="Arial" w:cs="Arial"/>
                  <w:b/>
                  <w:bCs/>
                  <w:sz w:val="14"/>
                  <w:szCs w:val="14"/>
                </w:rPr>
                <w:t>38.215</w:t>
              </w:r>
            </w:hyperlink>
          </w:p>
        </w:tc>
        <w:tc>
          <w:tcPr>
            <w:tcW w:w="324" w:type="pct"/>
            <w:shd w:val="clear" w:color="auto" w:fill="auto"/>
          </w:tcPr>
          <w:p w14:paraId="47803CE3" w14:textId="78568AB3"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18.0.0</w:t>
            </w:r>
          </w:p>
        </w:tc>
        <w:tc>
          <w:tcPr>
            <w:tcW w:w="779" w:type="pct"/>
          </w:tcPr>
          <w:p w14:paraId="1DACAF7A" w14:textId="2B13EABE" w:rsidR="005A18DC" w:rsidRPr="005A18DC" w:rsidRDefault="005A18DC" w:rsidP="005A18DC">
            <w:pPr>
              <w:rPr>
                <w:rFonts w:ascii="Arial" w:eastAsia="Times New Roman" w:hAnsi="Arial" w:cs="Arial"/>
                <w:color w:val="000000"/>
                <w:sz w:val="14"/>
                <w:szCs w:val="14"/>
                <w:lang w:eastAsia="en-GB"/>
              </w:rPr>
            </w:pPr>
            <w:hyperlink r:id="rId2552" w:history="1">
              <w:r w:rsidRPr="005A18DC">
                <w:rPr>
                  <w:rStyle w:val="Hyperlink"/>
                  <w:rFonts w:ascii="Arial" w:hAnsi="Arial" w:cs="Arial"/>
                  <w:b/>
                  <w:bCs/>
                  <w:sz w:val="14"/>
                  <w:szCs w:val="14"/>
                </w:rPr>
                <w:t>NR_NTN_enh-Core</w:t>
              </w:r>
            </w:hyperlink>
          </w:p>
        </w:tc>
        <w:tc>
          <w:tcPr>
            <w:tcW w:w="233" w:type="pct"/>
          </w:tcPr>
          <w:p w14:paraId="04D49B17" w14:textId="36213C49"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0061</w:t>
            </w:r>
          </w:p>
        </w:tc>
        <w:tc>
          <w:tcPr>
            <w:tcW w:w="226" w:type="pct"/>
          </w:tcPr>
          <w:p w14:paraId="6B4E6492" w14:textId="34129E60"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 </w:t>
            </w:r>
          </w:p>
        </w:tc>
        <w:tc>
          <w:tcPr>
            <w:tcW w:w="203" w:type="pct"/>
          </w:tcPr>
          <w:p w14:paraId="39751D1D" w14:textId="4952AB41"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F</w:t>
            </w:r>
          </w:p>
        </w:tc>
      </w:tr>
      <w:tr w:rsidR="005A18DC" w:rsidRPr="009537ED" w14:paraId="0EB8333E" w14:textId="77777777" w:rsidTr="00AA703E">
        <w:trPr>
          <w:trHeight w:val="20"/>
        </w:trPr>
        <w:tc>
          <w:tcPr>
            <w:tcW w:w="365" w:type="pct"/>
          </w:tcPr>
          <w:p w14:paraId="35DDCFA2" w14:textId="0380C96A" w:rsidR="005A18DC" w:rsidRPr="005A18DC" w:rsidRDefault="005A18DC" w:rsidP="005A18DC">
            <w:pPr>
              <w:rPr>
                <w:rFonts w:ascii="Arial" w:eastAsia="Times New Roman" w:hAnsi="Arial" w:cs="Arial"/>
                <w:color w:val="000000"/>
                <w:sz w:val="14"/>
                <w:szCs w:val="14"/>
                <w:lang w:eastAsia="en-GB"/>
              </w:rPr>
            </w:pPr>
            <w:hyperlink r:id="rId2553" w:history="1">
              <w:r w:rsidRPr="005A18DC">
                <w:rPr>
                  <w:rStyle w:val="Hyperlink"/>
                  <w:rFonts w:ascii="Arial" w:hAnsi="Arial" w:cs="Arial"/>
                  <w:b/>
                  <w:bCs/>
                  <w:sz w:val="14"/>
                  <w:szCs w:val="14"/>
                </w:rPr>
                <w:t>R1-2312736</w:t>
              </w:r>
            </w:hyperlink>
          </w:p>
        </w:tc>
        <w:tc>
          <w:tcPr>
            <w:tcW w:w="1471" w:type="pct"/>
          </w:tcPr>
          <w:p w14:paraId="19733E6A" w14:textId="7EBB9117"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Correction of Rel-18 Positioning Enhancements</w:t>
            </w:r>
          </w:p>
        </w:tc>
        <w:tc>
          <w:tcPr>
            <w:tcW w:w="849" w:type="pct"/>
          </w:tcPr>
          <w:p w14:paraId="752E23B3" w14:textId="7CBA1849"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Intel Corporation</w:t>
            </w:r>
          </w:p>
        </w:tc>
        <w:tc>
          <w:tcPr>
            <w:tcW w:w="248" w:type="pct"/>
          </w:tcPr>
          <w:p w14:paraId="061C76E7" w14:textId="0A42AF52" w:rsidR="005A18DC" w:rsidRPr="005A18DC" w:rsidRDefault="005A18DC" w:rsidP="005A18DC">
            <w:pPr>
              <w:rPr>
                <w:rFonts w:ascii="Arial" w:eastAsia="Times New Roman" w:hAnsi="Arial" w:cs="Arial"/>
                <w:color w:val="000000"/>
                <w:sz w:val="14"/>
                <w:szCs w:val="14"/>
                <w:lang w:eastAsia="en-GB"/>
              </w:rPr>
            </w:pPr>
            <w:hyperlink r:id="rId2554" w:history="1">
              <w:r w:rsidRPr="005A18DC">
                <w:rPr>
                  <w:rStyle w:val="Hyperlink"/>
                  <w:rFonts w:ascii="Arial" w:hAnsi="Arial" w:cs="Arial"/>
                  <w:b/>
                  <w:bCs/>
                  <w:sz w:val="14"/>
                  <w:szCs w:val="14"/>
                </w:rPr>
                <w:t>Rel-18</w:t>
              </w:r>
            </w:hyperlink>
          </w:p>
        </w:tc>
        <w:tc>
          <w:tcPr>
            <w:tcW w:w="301" w:type="pct"/>
            <w:shd w:val="clear" w:color="auto" w:fill="auto"/>
          </w:tcPr>
          <w:p w14:paraId="0D0A2C8D" w14:textId="3B4C8793" w:rsidR="005A18DC" w:rsidRPr="005A18DC" w:rsidRDefault="005A18DC" w:rsidP="005A18DC">
            <w:pPr>
              <w:rPr>
                <w:rFonts w:ascii="Arial" w:eastAsia="Times New Roman" w:hAnsi="Arial" w:cs="Arial"/>
                <w:color w:val="000000"/>
                <w:sz w:val="14"/>
                <w:szCs w:val="14"/>
                <w:lang w:eastAsia="en-GB"/>
              </w:rPr>
            </w:pPr>
            <w:hyperlink r:id="rId2555" w:history="1">
              <w:r w:rsidRPr="005A18DC">
                <w:rPr>
                  <w:rStyle w:val="Hyperlink"/>
                  <w:rFonts w:ascii="Arial" w:hAnsi="Arial" w:cs="Arial"/>
                  <w:b/>
                  <w:bCs/>
                  <w:sz w:val="14"/>
                  <w:szCs w:val="14"/>
                </w:rPr>
                <w:t>38.215</w:t>
              </w:r>
            </w:hyperlink>
          </w:p>
        </w:tc>
        <w:tc>
          <w:tcPr>
            <w:tcW w:w="324" w:type="pct"/>
            <w:shd w:val="clear" w:color="auto" w:fill="auto"/>
          </w:tcPr>
          <w:p w14:paraId="5A5BCC47" w14:textId="01F9E162"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18.0.0</w:t>
            </w:r>
          </w:p>
        </w:tc>
        <w:tc>
          <w:tcPr>
            <w:tcW w:w="779" w:type="pct"/>
          </w:tcPr>
          <w:p w14:paraId="0EB89C55" w14:textId="6A480AF2" w:rsidR="005A18DC" w:rsidRPr="005A18DC" w:rsidRDefault="005A18DC" w:rsidP="005A18DC">
            <w:pPr>
              <w:rPr>
                <w:rFonts w:ascii="Arial" w:eastAsia="Times New Roman" w:hAnsi="Arial" w:cs="Arial"/>
                <w:color w:val="000000"/>
                <w:sz w:val="14"/>
                <w:szCs w:val="14"/>
                <w:lang w:eastAsia="en-GB"/>
              </w:rPr>
            </w:pPr>
            <w:hyperlink r:id="rId2556" w:history="1">
              <w:r w:rsidRPr="005A18DC">
                <w:rPr>
                  <w:rStyle w:val="Hyperlink"/>
                  <w:rFonts w:ascii="Arial" w:hAnsi="Arial" w:cs="Arial"/>
                  <w:b/>
                  <w:bCs/>
                  <w:sz w:val="14"/>
                  <w:szCs w:val="14"/>
                </w:rPr>
                <w:t>NR_pos_enh2-Core</w:t>
              </w:r>
            </w:hyperlink>
          </w:p>
        </w:tc>
        <w:tc>
          <w:tcPr>
            <w:tcW w:w="233" w:type="pct"/>
          </w:tcPr>
          <w:p w14:paraId="5B5228DE" w14:textId="68D8D568"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0062</w:t>
            </w:r>
          </w:p>
        </w:tc>
        <w:tc>
          <w:tcPr>
            <w:tcW w:w="226" w:type="pct"/>
          </w:tcPr>
          <w:p w14:paraId="79F6AB21" w14:textId="617FF269"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 </w:t>
            </w:r>
          </w:p>
        </w:tc>
        <w:tc>
          <w:tcPr>
            <w:tcW w:w="203" w:type="pct"/>
          </w:tcPr>
          <w:p w14:paraId="07101311" w14:textId="04839B1D"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F</w:t>
            </w:r>
          </w:p>
        </w:tc>
      </w:tr>
      <w:tr w:rsidR="005A18DC" w:rsidRPr="009537ED" w14:paraId="2411BBCA" w14:textId="77777777" w:rsidTr="00AA703E">
        <w:trPr>
          <w:trHeight w:val="20"/>
        </w:trPr>
        <w:tc>
          <w:tcPr>
            <w:tcW w:w="365" w:type="pct"/>
          </w:tcPr>
          <w:p w14:paraId="4B92909D" w14:textId="47E24967" w:rsidR="005A18DC" w:rsidRPr="005A18DC" w:rsidRDefault="005A18DC" w:rsidP="005A18DC">
            <w:pPr>
              <w:rPr>
                <w:rFonts w:ascii="Arial" w:eastAsia="Times New Roman" w:hAnsi="Arial" w:cs="Arial"/>
                <w:color w:val="000000"/>
                <w:sz w:val="14"/>
                <w:szCs w:val="14"/>
                <w:lang w:eastAsia="en-GB"/>
              </w:rPr>
            </w:pPr>
            <w:hyperlink r:id="rId2557" w:history="1">
              <w:r w:rsidRPr="005A18DC">
                <w:rPr>
                  <w:rStyle w:val="Hyperlink"/>
                  <w:rFonts w:ascii="Arial" w:hAnsi="Arial" w:cs="Arial"/>
                  <w:b/>
                  <w:bCs/>
                  <w:sz w:val="14"/>
                  <w:szCs w:val="14"/>
                </w:rPr>
                <w:t>R1-2312737</w:t>
              </w:r>
            </w:hyperlink>
          </w:p>
        </w:tc>
        <w:tc>
          <w:tcPr>
            <w:tcW w:w="1471" w:type="pct"/>
          </w:tcPr>
          <w:p w14:paraId="50C2AEA0" w14:textId="4F26D227"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Corrections on NR positioning enhancement in 38.212</w:t>
            </w:r>
          </w:p>
        </w:tc>
        <w:tc>
          <w:tcPr>
            <w:tcW w:w="849" w:type="pct"/>
          </w:tcPr>
          <w:p w14:paraId="57B216ED" w14:textId="1F5904ED"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Huawei</w:t>
            </w:r>
          </w:p>
        </w:tc>
        <w:tc>
          <w:tcPr>
            <w:tcW w:w="248" w:type="pct"/>
          </w:tcPr>
          <w:p w14:paraId="66266407" w14:textId="351EBB02" w:rsidR="005A18DC" w:rsidRPr="005A18DC" w:rsidRDefault="005A18DC" w:rsidP="005A18DC">
            <w:pPr>
              <w:rPr>
                <w:rFonts w:ascii="Arial" w:eastAsia="Times New Roman" w:hAnsi="Arial" w:cs="Arial"/>
                <w:color w:val="000000"/>
                <w:sz w:val="14"/>
                <w:szCs w:val="14"/>
                <w:lang w:eastAsia="en-GB"/>
              </w:rPr>
            </w:pPr>
            <w:hyperlink r:id="rId2558" w:history="1">
              <w:r w:rsidRPr="005A18DC">
                <w:rPr>
                  <w:rStyle w:val="Hyperlink"/>
                  <w:rFonts w:ascii="Arial" w:hAnsi="Arial" w:cs="Arial"/>
                  <w:b/>
                  <w:bCs/>
                  <w:sz w:val="14"/>
                  <w:szCs w:val="14"/>
                </w:rPr>
                <w:t>Rel-18</w:t>
              </w:r>
            </w:hyperlink>
          </w:p>
        </w:tc>
        <w:tc>
          <w:tcPr>
            <w:tcW w:w="301" w:type="pct"/>
            <w:shd w:val="clear" w:color="auto" w:fill="auto"/>
          </w:tcPr>
          <w:p w14:paraId="69D849E4" w14:textId="76F91D6E" w:rsidR="005A18DC" w:rsidRPr="005A18DC" w:rsidRDefault="005A18DC" w:rsidP="005A18DC">
            <w:pPr>
              <w:rPr>
                <w:rFonts w:ascii="Arial" w:eastAsia="Times New Roman" w:hAnsi="Arial" w:cs="Arial"/>
                <w:color w:val="000000"/>
                <w:sz w:val="14"/>
                <w:szCs w:val="14"/>
                <w:lang w:eastAsia="en-GB"/>
              </w:rPr>
            </w:pPr>
            <w:hyperlink r:id="rId2559" w:history="1">
              <w:r w:rsidRPr="005A18DC">
                <w:rPr>
                  <w:rStyle w:val="Hyperlink"/>
                  <w:rFonts w:ascii="Arial" w:hAnsi="Arial" w:cs="Arial"/>
                  <w:b/>
                  <w:bCs/>
                  <w:sz w:val="14"/>
                  <w:szCs w:val="14"/>
                </w:rPr>
                <w:t>38.212</w:t>
              </w:r>
            </w:hyperlink>
          </w:p>
        </w:tc>
        <w:tc>
          <w:tcPr>
            <w:tcW w:w="324" w:type="pct"/>
            <w:shd w:val="clear" w:color="auto" w:fill="auto"/>
          </w:tcPr>
          <w:p w14:paraId="29979881" w14:textId="4DEAFFC5"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18.0.0</w:t>
            </w:r>
          </w:p>
        </w:tc>
        <w:tc>
          <w:tcPr>
            <w:tcW w:w="779" w:type="pct"/>
          </w:tcPr>
          <w:p w14:paraId="37C25D30" w14:textId="4B62F751" w:rsidR="005A18DC" w:rsidRPr="005A18DC" w:rsidRDefault="005A18DC" w:rsidP="005A18DC">
            <w:pPr>
              <w:rPr>
                <w:rFonts w:ascii="Arial" w:eastAsia="Times New Roman" w:hAnsi="Arial" w:cs="Arial"/>
                <w:color w:val="000000"/>
                <w:sz w:val="14"/>
                <w:szCs w:val="14"/>
                <w:lang w:eastAsia="en-GB"/>
              </w:rPr>
            </w:pPr>
            <w:hyperlink r:id="rId2560" w:history="1">
              <w:r w:rsidRPr="005A18DC">
                <w:rPr>
                  <w:rStyle w:val="Hyperlink"/>
                  <w:rFonts w:ascii="Arial" w:hAnsi="Arial" w:cs="Arial"/>
                  <w:b/>
                  <w:bCs/>
                  <w:sz w:val="14"/>
                  <w:szCs w:val="14"/>
                </w:rPr>
                <w:t>NR_pos_enh2-Core</w:t>
              </w:r>
            </w:hyperlink>
          </w:p>
        </w:tc>
        <w:tc>
          <w:tcPr>
            <w:tcW w:w="233" w:type="pct"/>
          </w:tcPr>
          <w:p w14:paraId="367DC97D" w14:textId="2EB6B498"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0163</w:t>
            </w:r>
          </w:p>
        </w:tc>
        <w:tc>
          <w:tcPr>
            <w:tcW w:w="226" w:type="pct"/>
          </w:tcPr>
          <w:p w14:paraId="12A78C17" w14:textId="323B00B7"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 </w:t>
            </w:r>
          </w:p>
        </w:tc>
        <w:tc>
          <w:tcPr>
            <w:tcW w:w="203" w:type="pct"/>
          </w:tcPr>
          <w:p w14:paraId="40B6135D" w14:textId="1C9729A0"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F</w:t>
            </w:r>
          </w:p>
        </w:tc>
      </w:tr>
      <w:tr w:rsidR="005A18DC" w:rsidRPr="009537ED" w14:paraId="565571CD" w14:textId="77777777" w:rsidTr="00AA703E">
        <w:trPr>
          <w:trHeight w:val="20"/>
        </w:trPr>
        <w:tc>
          <w:tcPr>
            <w:tcW w:w="365" w:type="pct"/>
          </w:tcPr>
          <w:p w14:paraId="575E0887" w14:textId="6E249AFD" w:rsidR="005A18DC" w:rsidRPr="005A18DC" w:rsidRDefault="005A18DC" w:rsidP="005A18DC">
            <w:pPr>
              <w:rPr>
                <w:rFonts w:ascii="Arial" w:eastAsia="Times New Roman" w:hAnsi="Arial" w:cs="Arial"/>
                <w:color w:val="000000"/>
                <w:sz w:val="14"/>
                <w:szCs w:val="14"/>
                <w:lang w:eastAsia="en-GB"/>
              </w:rPr>
            </w:pPr>
            <w:hyperlink r:id="rId2561" w:history="1">
              <w:r w:rsidRPr="005A18DC">
                <w:rPr>
                  <w:rStyle w:val="Hyperlink"/>
                  <w:rFonts w:ascii="Arial" w:hAnsi="Arial" w:cs="Arial"/>
                  <w:b/>
                  <w:bCs/>
                  <w:sz w:val="14"/>
                  <w:szCs w:val="14"/>
                </w:rPr>
                <w:t>R1-2312738</w:t>
              </w:r>
            </w:hyperlink>
          </w:p>
        </w:tc>
        <w:tc>
          <w:tcPr>
            <w:tcW w:w="1471" w:type="pct"/>
          </w:tcPr>
          <w:p w14:paraId="4D79FC35" w14:textId="0D5AE123"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Corrections on Rel-18 NR sidelink evolution in 38.212</w:t>
            </w:r>
          </w:p>
        </w:tc>
        <w:tc>
          <w:tcPr>
            <w:tcW w:w="849" w:type="pct"/>
          </w:tcPr>
          <w:p w14:paraId="5BCD5CF0" w14:textId="727BADB0"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Huawei</w:t>
            </w:r>
          </w:p>
        </w:tc>
        <w:tc>
          <w:tcPr>
            <w:tcW w:w="248" w:type="pct"/>
          </w:tcPr>
          <w:p w14:paraId="70733B4D" w14:textId="0DC33F10" w:rsidR="005A18DC" w:rsidRPr="005A18DC" w:rsidRDefault="005A18DC" w:rsidP="005A18DC">
            <w:pPr>
              <w:rPr>
                <w:rFonts w:ascii="Arial" w:eastAsia="Times New Roman" w:hAnsi="Arial" w:cs="Arial"/>
                <w:color w:val="000000"/>
                <w:sz w:val="14"/>
                <w:szCs w:val="14"/>
                <w:lang w:eastAsia="en-GB"/>
              </w:rPr>
            </w:pPr>
            <w:hyperlink r:id="rId2562" w:history="1">
              <w:r w:rsidRPr="005A18DC">
                <w:rPr>
                  <w:rStyle w:val="Hyperlink"/>
                  <w:rFonts w:ascii="Arial" w:hAnsi="Arial" w:cs="Arial"/>
                  <w:b/>
                  <w:bCs/>
                  <w:sz w:val="14"/>
                  <w:szCs w:val="14"/>
                </w:rPr>
                <w:t>Rel-18</w:t>
              </w:r>
            </w:hyperlink>
          </w:p>
        </w:tc>
        <w:tc>
          <w:tcPr>
            <w:tcW w:w="301" w:type="pct"/>
            <w:shd w:val="clear" w:color="auto" w:fill="auto"/>
          </w:tcPr>
          <w:p w14:paraId="0FB6EA31" w14:textId="165701B0" w:rsidR="005A18DC" w:rsidRPr="005A18DC" w:rsidRDefault="005A18DC" w:rsidP="005A18DC">
            <w:pPr>
              <w:rPr>
                <w:rFonts w:ascii="Arial" w:eastAsia="Times New Roman" w:hAnsi="Arial" w:cs="Arial"/>
                <w:color w:val="000000"/>
                <w:sz w:val="14"/>
                <w:szCs w:val="14"/>
                <w:lang w:eastAsia="en-GB"/>
              </w:rPr>
            </w:pPr>
            <w:hyperlink r:id="rId2563" w:history="1">
              <w:r w:rsidRPr="005A18DC">
                <w:rPr>
                  <w:rStyle w:val="Hyperlink"/>
                  <w:rFonts w:ascii="Arial" w:hAnsi="Arial" w:cs="Arial"/>
                  <w:b/>
                  <w:bCs/>
                  <w:sz w:val="14"/>
                  <w:szCs w:val="14"/>
                </w:rPr>
                <w:t>38.212</w:t>
              </w:r>
            </w:hyperlink>
          </w:p>
        </w:tc>
        <w:tc>
          <w:tcPr>
            <w:tcW w:w="324" w:type="pct"/>
            <w:shd w:val="clear" w:color="auto" w:fill="auto"/>
          </w:tcPr>
          <w:p w14:paraId="77431EF5" w14:textId="22E86B3F"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18.0.0</w:t>
            </w:r>
          </w:p>
        </w:tc>
        <w:tc>
          <w:tcPr>
            <w:tcW w:w="779" w:type="pct"/>
          </w:tcPr>
          <w:p w14:paraId="65078FF1" w14:textId="49670D1A" w:rsidR="005A18DC" w:rsidRPr="005A18DC" w:rsidRDefault="005A18DC" w:rsidP="005A18DC">
            <w:pPr>
              <w:rPr>
                <w:rFonts w:ascii="Arial" w:eastAsia="Times New Roman" w:hAnsi="Arial" w:cs="Arial"/>
                <w:color w:val="000000"/>
                <w:sz w:val="14"/>
                <w:szCs w:val="14"/>
                <w:lang w:eastAsia="en-GB"/>
              </w:rPr>
            </w:pPr>
            <w:hyperlink r:id="rId2564" w:history="1">
              <w:r w:rsidRPr="005A18DC">
                <w:rPr>
                  <w:rStyle w:val="Hyperlink"/>
                  <w:rFonts w:ascii="Arial" w:hAnsi="Arial" w:cs="Arial"/>
                  <w:b/>
                  <w:bCs/>
                  <w:sz w:val="14"/>
                  <w:szCs w:val="14"/>
                </w:rPr>
                <w:t>NR_SL_enh2-Core</w:t>
              </w:r>
            </w:hyperlink>
          </w:p>
        </w:tc>
        <w:tc>
          <w:tcPr>
            <w:tcW w:w="233" w:type="pct"/>
          </w:tcPr>
          <w:p w14:paraId="6E2A02F7" w14:textId="116E87A6"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0164</w:t>
            </w:r>
          </w:p>
        </w:tc>
        <w:tc>
          <w:tcPr>
            <w:tcW w:w="226" w:type="pct"/>
          </w:tcPr>
          <w:p w14:paraId="5CC0A594" w14:textId="58569FAE"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 </w:t>
            </w:r>
          </w:p>
        </w:tc>
        <w:tc>
          <w:tcPr>
            <w:tcW w:w="203" w:type="pct"/>
          </w:tcPr>
          <w:p w14:paraId="659D15AD" w14:textId="0E38AEC8"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F</w:t>
            </w:r>
          </w:p>
        </w:tc>
      </w:tr>
      <w:tr w:rsidR="005A18DC" w:rsidRPr="009537ED" w14:paraId="2B44617E" w14:textId="77777777" w:rsidTr="00AA703E">
        <w:trPr>
          <w:trHeight w:val="20"/>
        </w:trPr>
        <w:tc>
          <w:tcPr>
            <w:tcW w:w="365" w:type="pct"/>
          </w:tcPr>
          <w:p w14:paraId="26FBAB27" w14:textId="2F95D698" w:rsidR="005A18DC" w:rsidRPr="005A18DC" w:rsidRDefault="005A18DC" w:rsidP="005A18DC">
            <w:pPr>
              <w:rPr>
                <w:rFonts w:ascii="Arial" w:eastAsia="Times New Roman" w:hAnsi="Arial" w:cs="Arial"/>
                <w:color w:val="000000"/>
                <w:sz w:val="14"/>
                <w:szCs w:val="14"/>
                <w:lang w:eastAsia="en-GB"/>
              </w:rPr>
            </w:pPr>
            <w:hyperlink r:id="rId2565" w:history="1">
              <w:r w:rsidRPr="005A18DC">
                <w:rPr>
                  <w:rStyle w:val="Hyperlink"/>
                  <w:rFonts w:ascii="Arial" w:hAnsi="Arial" w:cs="Arial"/>
                  <w:b/>
                  <w:bCs/>
                  <w:sz w:val="14"/>
                  <w:szCs w:val="14"/>
                </w:rPr>
                <w:t>R1-2312739</w:t>
              </w:r>
            </w:hyperlink>
          </w:p>
        </w:tc>
        <w:tc>
          <w:tcPr>
            <w:tcW w:w="1471" w:type="pct"/>
          </w:tcPr>
          <w:p w14:paraId="1FE1BD4E" w14:textId="225657F1"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Corrections on Rel-18 further NR Coverage enhancement in 38.212</w:t>
            </w:r>
          </w:p>
        </w:tc>
        <w:tc>
          <w:tcPr>
            <w:tcW w:w="849" w:type="pct"/>
          </w:tcPr>
          <w:p w14:paraId="32280D6A" w14:textId="65788068"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Huawei</w:t>
            </w:r>
          </w:p>
        </w:tc>
        <w:tc>
          <w:tcPr>
            <w:tcW w:w="248" w:type="pct"/>
          </w:tcPr>
          <w:p w14:paraId="45975833" w14:textId="5AE2F709" w:rsidR="005A18DC" w:rsidRPr="005A18DC" w:rsidRDefault="005A18DC" w:rsidP="005A18DC">
            <w:pPr>
              <w:rPr>
                <w:rFonts w:ascii="Arial" w:eastAsia="Times New Roman" w:hAnsi="Arial" w:cs="Arial"/>
                <w:color w:val="000000"/>
                <w:sz w:val="14"/>
                <w:szCs w:val="14"/>
                <w:lang w:eastAsia="en-GB"/>
              </w:rPr>
            </w:pPr>
            <w:hyperlink r:id="rId2566" w:history="1">
              <w:r w:rsidRPr="005A18DC">
                <w:rPr>
                  <w:rStyle w:val="Hyperlink"/>
                  <w:rFonts w:ascii="Arial" w:hAnsi="Arial" w:cs="Arial"/>
                  <w:b/>
                  <w:bCs/>
                  <w:sz w:val="14"/>
                  <w:szCs w:val="14"/>
                </w:rPr>
                <w:t>Rel-18</w:t>
              </w:r>
            </w:hyperlink>
          </w:p>
        </w:tc>
        <w:tc>
          <w:tcPr>
            <w:tcW w:w="301" w:type="pct"/>
            <w:shd w:val="clear" w:color="auto" w:fill="auto"/>
          </w:tcPr>
          <w:p w14:paraId="5A1F7B4F" w14:textId="502C0BA1" w:rsidR="005A18DC" w:rsidRPr="005A18DC" w:rsidRDefault="005A18DC" w:rsidP="005A18DC">
            <w:pPr>
              <w:rPr>
                <w:rFonts w:ascii="Arial" w:eastAsia="Times New Roman" w:hAnsi="Arial" w:cs="Arial"/>
                <w:color w:val="000000"/>
                <w:sz w:val="14"/>
                <w:szCs w:val="14"/>
                <w:lang w:eastAsia="en-GB"/>
              </w:rPr>
            </w:pPr>
            <w:hyperlink r:id="rId2567" w:history="1">
              <w:r w:rsidRPr="005A18DC">
                <w:rPr>
                  <w:rStyle w:val="Hyperlink"/>
                  <w:rFonts w:ascii="Arial" w:hAnsi="Arial" w:cs="Arial"/>
                  <w:b/>
                  <w:bCs/>
                  <w:sz w:val="14"/>
                  <w:szCs w:val="14"/>
                </w:rPr>
                <w:t>38.212</w:t>
              </w:r>
            </w:hyperlink>
          </w:p>
        </w:tc>
        <w:tc>
          <w:tcPr>
            <w:tcW w:w="324" w:type="pct"/>
            <w:shd w:val="clear" w:color="auto" w:fill="auto"/>
          </w:tcPr>
          <w:p w14:paraId="04CA7D4A" w14:textId="44C706E4"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18.0.0</w:t>
            </w:r>
          </w:p>
        </w:tc>
        <w:tc>
          <w:tcPr>
            <w:tcW w:w="779" w:type="pct"/>
          </w:tcPr>
          <w:p w14:paraId="67352F76" w14:textId="226025C8" w:rsidR="005A18DC" w:rsidRPr="005A18DC" w:rsidRDefault="005A18DC" w:rsidP="005A18DC">
            <w:pPr>
              <w:rPr>
                <w:rFonts w:ascii="Arial" w:eastAsia="Times New Roman" w:hAnsi="Arial" w:cs="Arial"/>
                <w:color w:val="000000"/>
                <w:sz w:val="14"/>
                <w:szCs w:val="14"/>
                <w:lang w:eastAsia="en-GB"/>
              </w:rPr>
            </w:pPr>
            <w:hyperlink r:id="rId2568" w:history="1">
              <w:r w:rsidRPr="005A18DC">
                <w:rPr>
                  <w:rStyle w:val="Hyperlink"/>
                  <w:rFonts w:ascii="Arial" w:hAnsi="Arial" w:cs="Arial"/>
                  <w:b/>
                  <w:bCs/>
                  <w:sz w:val="14"/>
                  <w:szCs w:val="14"/>
                </w:rPr>
                <w:t>NR_cov_enh2-Core</w:t>
              </w:r>
            </w:hyperlink>
          </w:p>
        </w:tc>
        <w:tc>
          <w:tcPr>
            <w:tcW w:w="233" w:type="pct"/>
          </w:tcPr>
          <w:p w14:paraId="7E6AA8D1" w14:textId="5D963209"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0165</w:t>
            </w:r>
          </w:p>
        </w:tc>
        <w:tc>
          <w:tcPr>
            <w:tcW w:w="226" w:type="pct"/>
          </w:tcPr>
          <w:p w14:paraId="5CDB49CB" w14:textId="660A6EF1"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 </w:t>
            </w:r>
          </w:p>
        </w:tc>
        <w:tc>
          <w:tcPr>
            <w:tcW w:w="203" w:type="pct"/>
          </w:tcPr>
          <w:p w14:paraId="63AAD1ED" w14:textId="394EEE11"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F</w:t>
            </w:r>
          </w:p>
        </w:tc>
      </w:tr>
      <w:tr w:rsidR="005A18DC" w:rsidRPr="009537ED" w14:paraId="7CBE3BF2" w14:textId="77777777" w:rsidTr="00AA703E">
        <w:trPr>
          <w:trHeight w:val="20"/>
        </w:trPr>
        <w:tc>
          <w:tcPr>
            <w:tcW w:w="365" w:type="pct"/>
          </w:tcPr>
          <w:p w14:paraId="795CE3EE" w14:textId="240FC5D7" w:rsidR="005A18DC" w:rsidRPr="005A18DC" w:rsidRDefault="005A18DC" w:rsidP="005A18DC">
            <w:pPr>
              <w:rPr>
                <w:rFonts w:ascii="Arial" w:eastAsia="Times New Roman" w:hAnsi="Arial" w:cs="Arial"/>
                <w:color w:val="000000"/>
                <w:sz w:val="14"/>
                <w:szCs w:val="14"/>
                <w:lang w:eastAsia="en-GB"/>
              </w:rPr>
            </w:pPr>
            <w:hyperlink r:id="rId2569" w:history="1">
              <w:r w:rsidRPr="005A18DC">
                <w:rPr>
                  <w:rStyle w:val="Hyperlink"/>
                  <w:rFonts w:ascii="Arial" w:hAnsi="Arial" w:cs="Arial"/>
                  <w:b/>
                  <w:bCs/>
                  <w:sz w:val="14"/>
                  <w:szCs w:val="14"/>
                </w:rPr>
                <w:t>R1-2312740</w:t>
              </w:r>
            </w:hyperlink>
          </w:p>
        </w:tc>
        <w:tc>
          <w:tcPr>
            <w:tcW w:w="1471" w:type="pct"/>
          </w:tcPr>
          <w:p w14:paraId="7BA11466" w14:textId="0C257D69"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Corrections on Rel-18 Further NR mobility enhancements in 38.212</w:t>
            </w:r>
          </w:p>
        </w:tc>
        <w:tc>
          <w:tcPr>
            <w:tcW w:w="849" w:type="pct"/>
          </w:tcPr>
          <w:p w14:paraId="6D987F78" w14:textId="1548D062"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Huawei</w:t>
            </w:r>
          </w:p>
        </w:tc>
        <w:tc>
          <w:tcPr>
            <w:tcW w:w="248" w:type="pct"/>
          </w:tcPr>
          <w:p w14:paraId="0E5F0686" w14:textId="256EEBA9" w:rsidR="005A18DC" w:rsidRPr="005A18DC" w:rsidRDefault="005A18DC" w:rsidP="005A18DC">
            <w:pPr>
              <w:rPr>
                <w:rFonts w:ascii="Arial" w:eastAsia="Times New Roman" w:hAnsi="Arial" w:cs="Arial"/>
                <w:color w:val="000000"/>
                <w:sz w:val="14"/>
                <w:szCs w:val="14"/>
                <w:lang w:eastAsia="en-GB"/>
              </w:rPr>
            </w:pPr>
            <w:hyperlink r:id="rId2570" w:history="1">
              <w:r w:rsidRPr="005A18DC">
                <w:rPr>
                  <w:rStyle w:val="Hyperlink"/>
                  <w:rFonts w:ascii="Arial" w:hAnsi="Arial" w:cs="Arial"/>
                  <w:b/>
                  <w:bCs/>
                  <w:sz w:val="14"/>
                  <w:szCs w:val="14"/>
                </w:rPr>
                <w:t>Rel-18</w:t>
              </w:r>
            </w:hyperlink>
          </w:p>
        </w:tc>
        <w:tc>
          <w:tcPr>
            <w:tcW w:w="301" w:type="pct"/>
            <w:shd w:val="clear" w:color="auto" w:fill="auto"/>
          </w:tcPr>
          <w:p w14:paraId="6E89F3C1" w14:textId="2B5384BE" w:rsidR="005A18DC" w:rsidRPr="005A18DC" w:rsidRDefault="005A18DC" w:rsidP="005A18DC">
            <w:pPr>
              <w:rPr>
                <w:rFonts w:ascii="Arial" w:eastAsia="Times New Roman" w:hAnsi="Arial" w:cs="Arial"/>
                <w:color w:val="000000"/>
                <w:sz w:val="14"/>
                <w:szCs w:val="14"/>
                <w:lang w:eastAsia="en-GB"/>
              </w:rPr>
            </w:pPr>
            <w:hyperlink r:id="rId2571" w:history="1">
              <w:r w:rsidRPr="005A18DC">
                <w:rPr>
                  <w:rStyle w:val="Hyperlink"/>
                  <w:rFonts w:ascii="Arial" w:hAnsi="Arial" w:cs="Arial"/>
                  <w:b/>
                  <w:bCs/>
                  <w:sz w:val="14"/>
                  <w:szCs w:val="14"/>
                </w:rPr>
                <w:t>38.212</w:t>
              </w:r>
            </w:hyperlink>
          </w:p>
        </w:tc>
        <w:tc>
          <w:tcPr>
            <w:tcW w:w="324" w:type="pct"/>
            <w:shd w:val="clear" w:color="auto" w:fill="auto"/>
          </w:tcPr>
          <w:p w14:paraId="3D593258" w14:textId="3E183867"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18.0.0</w:t>
            </w:r>
          </w:p>
        </w:tc>
        <w:tc>
          <w:tcPr>
            <w:tcW w:w="779" w:type="pct"/>
          </w:tcPr>
          <w:p w14:paraId="21ED1DEE" w14:textId="423896EB" w:rsidR="005A18DC" w:rsidRPr="005A18DC" w:rsidRDefault="005A18DC" w:rsidP="005A18DC">
            <w:pPr>
              <w:rPr>
                <w:rFonts w:ascii="Arial" w:eastAsia="Times New Roman" w:hAnsi="Arial" w:cs="Arial"/>
                <w:color w:val="000000"/>
                <w:sz w:val="14"/>
                <w:szCs w:val="14"/>
                <w:lang w:eastAsia="en-GB"/>
              </w:rPr>
            </w:pPr>
            <w:hyperlink r:id="rId2572" w:history="1">
              <w:r w:rsidRPr="005A18DC">
                <w:rPr>
                  <w:rStyle w:val="Hyperlink"/>
                  <w:rFonts w:ascii="Arial" w:hAnsi="Arial" w:cs="Arial"/>
                  <w:b/>
                  <w:bCs/>
                  <w:sz w:val="14"/>
                  <w:szCs w:val="14"/>
                </w:rPr>
                <w:t>NR_Mob_enh2-Core</w:t>
              </w:r>
            </w:hyperlink>
          </w:p>
        </w:tc>
        <w:tc>
          <w:tcPr>
            <w:tcW w:w="233" w:type="pct"/>
          </w:tcPr>
          <w:p w14:paraId="20A203A3" w14:textId="10028480"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0166</w:t>
            </w:r>
          </w:p>
        </w:tc>
        <w:tc>
          <w:tcPr>
            <w:tcW w:w="226" w:type="pct"/>
          </w:tcPr>
          <w:p w14:paraId="02724555" w14:textId="4BA1CEC8"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 </w:t>
            </w:r>
          </w:p>
        </w:tc>
        <w:tc>
          <w:tcPr>
            <w:tcW w:w="203" w:type="pct"/>
          </w:tcPr>
          <w:p w14:paraId="74DA7B6F" w14:textId="1986B5E9"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F</w:t>
            </w:r>
          </w:p>
        </w:tc>
      </w:tr>
      <w:tr w:rsidR="005A18DC" w:rsidRPr="009537ED" w14:paraId="68FB3EEC" w14:textId="77777777" w:rsidTr="00AA703E">
        <w:trPr>
          <w:trHeight w:val="20"/>
        </w:trPr>
        <w:tc>
          <w:tcPr>
            <w:tcW w:w="365" w:type="pct"/>
          </w:tcPr>
          <w:p w14:paraId="290EB5F7" w14:textId="5FFD6AA8" w:rsidR="005A18DC" w:rsidRPr="005A18DC" w:rsidRDefault="005A18DC" w:rsidP="005A18DC">
            <w:pPr>
              <w:rPr>
                <w:rFonts w:ascii="Arial" w:eastAsia="Times New Roman" w:hAnsi="Arial" w:cs="Arial"/>
                <w:color w:val="000000"/>
                <w:sz w:val="14"/>
                <w:szCs w:val="14"/>
                <w:lang w:eastAsia="en-GB"/>
              </w:rPr>
            </w:pPr>
            <w:hyperlink r:id="rId2573" w:history="1">
              <w:r w:rsidRPr="005A18DC">
                <w:rPr>
                  <w:rStyle w:val="Hyperlink"/>
                  <w:rFonts w:ascii="Arial" w:hAnsi="Arial" w:cs="Arial"/>
                  <w:b/>
                  <w:bCs/>
                  <w:sz w:val="14"/>
                  <w:szCs w:val="14"/>
                </w:rPr>
                <w:t>R1-2312741</w:t>
              </w:r>
            </w:hyperlink>
          </w:p>
        </w:tc>
        <w:tc>
          <w:tcPr>
            <w:tcW w:w="1471" w:type="pct"/>
          </w:tcPr>
          <w:p w14:paraId="346792BB" w14:textId="17F1A605"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Corrections on Rel-18 MIMO Evolution for Downlink and Uplink in 38.212</w:t>
            </w:r>
          </w:p>
        </w:tc>
        <w:tc>
          <w:tcPr>
            <w:tcW w:w="849" w:type="pct"/>
          </w:tcPr>
          <w:p w14:paraId="0474ED26" w14:textId="2C7AD261"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Huawei</w:t>
            </w:r>
          </w:p>
        </w:tc>
        <w:tc>
          <w:tcPr>
            <w:tcW w:w="248" w:type="pct"/>
          </w:tcPr>
          <w:p w14:paraId="14BA7CC9" w14:textId="7EE58E6E" w:rsidR="005A18DC" w:rsidRPr="005A18DC" w:rsidRDefault="005A18DC" w:rsidP="005A18DC">
            <w:pPr>
              <w:rPr>
                <w:rFonts w:ascii="Arial" w:eastAsia="Times New Roman" w:hAnsi="Arial" w:cs="Arial"/>
                <w:color w:val="000000"/>
                <w:sz w:val="14"/>
                <w:szCs w:val="14"/>
                <w:lang w:eastAsia="en-GB"/>
              </w:rPr>
            </w:pPr>
            <w:hyperlink r:id="rId2574" w:history="1">
              <w:r w:rsidRPr="005A18DC">
                <w:rPr>
                  <w:rStyle w:val="Hyperlink"/>
                  <w:rFonts w:ascii="Arial" w:hAnsi="Arial" w:cs="Arial"/>
                  <w:b/>
                  <w:bCs/>
                  <w:sz w:val="14"/>
                  <w:szCs w:val="14"/>
                </w:rPr>
                <w:t>Rel-18</w:t>
              </w:r>
            </w:hyperlink>
          </w:p>
        </w:tc>
        <w:tc>
          <w:tcPr>
            <w:tcW w:w="301" w:type="pct"/>
            <w:shd w:val="clear" w:color="auto" w:fill="auto"/>
          </w:tcPr>
          <w:p w14:paraId="5151E46A" w14:textId="4795FED5" w:rsidR="005A18DC" w:rsidRPr="005A18DC" w:rsidRDefault="005A18DC" w:rsidP="005A18DC">
            <w:pPr>
              <w:rPr>
                <w:rFonts w:ascii="Arial" w:eastAsia="Times New Roman" w:hAnsi="Arial" w:cs="Arial"/>
                <w:color w:val="000000"/>
                <w:sz w:val="14"/>
                <w:szCs w:val="14"/>
                <w:lang w:eastAsia="en-GB"/>
              </w:rPr>
            </w:pPr>
            <w:hyperlink r:id="rId2575" w:history="1">
              <w:r w:rsidRPr="005A18DC">
                <w:rPr>
                  <w:rStyle w:val="Hyperlink"/>
                  <w:rFonts w:ascii="Arial" w:hAnsi="Arial" w:cs="Arial"/>
                  <w:b/>
                  <w:bCs/>
                  <w:sz w:val="14"/>
                  <w:szCs w:val="14"/>
                </w:rPr>
                <w:t>38.212</w:t>
              </w:r>
            </w:hyperlink>
          </w:p>
        </w:tc>
        <w:tc>
          <w:tcPr>
            <w:tcW w:w="324" w:type="pct"/>
            <w:shd w:val="clear" w:color="auto" w:fill="auto"/>
          </w:tcPr>
          <w:p w14:paraId="4DB49597" w14:textId="605E085E"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18.0.0</w:t>
            </w:r>
          </w:p>
        </w:tc>
        <w:tc>
          <w:tcPr>
            <w:tcW w:w="779" w:type="pct"/>
          </w:tcPr>
          <w:p w14:paraId="23DBAEF4" w14:textId="1273F9EF" w:rsidR="005A18DC" w:rsidRPr="005A18DC" w:rsidRDefault="005A18DC" w:rsidP="005A18DC">
            <w:pPr>
              <w:rPr>
                <w:rFonts w:ascii="Arial" w:eastAsia="Times New Roman" w:hAnsi="Arial" w:cs="Arial"/>
                <w:color w:val="000000"/>
                <w:sz w:val="14"/>
                <w:szCs w:val="14"/>
                <w:lang w:eastAsia="en-GB"/>
              </w:rPr>
            </w:pPr>
            <w:hyperlink r:id="rId2576" w:history="1">
              <w:r w:rsidRPr="005A18DC">
                <w:rPr>
                  <w:rStyle w:val="Hyperlink"/>
                  <w:rFonts w:ascii="Arial" w:hAnsi="Arial" w:cs="Arial"/>
                  <w:b/>
                  <w:bCs/>
                  <w:sz w:val="14"/>
                  <w:szCs w:val="14"/>
                </w:rPr>
                <w:t>NR_MIMO_evo_DL_UL-Core</w:t>
              </w:r>
            </w:hyperlink>
          </w:p>
        </w:tc>
        <w:tc>
          <w:tcPr>
            <w:tcW w:w="233" w:type="pct"/>
          </w:tcPr>
          <w:p w14:paraId="3DD38C1A" w14:textId="0647FC00"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0167</w:t>
            </w:r>
          </w:p>
        </w:tc>
        <w:tc>
          <w:tcPr>
            <w:tcW w:w="226" w:type="pct"/>
          </w:tcPr>
          <w:p w14:paraId="77B28387" w14:textId="129B4BFE"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 </w:t>
            </w:r>
          </w:p>
        </w:tc>
        <w:tc>
          <w:tcPr>
            <w:tcW w:w="203" w:type="pct"/>
          </w:tcPr>
          <w:p w14:paraId="166CDA31" w14:textId="6ABF0764"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F</w:t>
            </w:r>
          </w:p>
        </w:tc>
      </w:tr>
      <w:tr w:rsidR="005A18DC" w:rsidRPr="009537ED" w14:paraId="611B8B9D" w14:textId="77777777" w:rsidTr="00AA703E">
        <w:trPr>
          <w:trHeight w:val="20"/>
        </w:trPr>
        <w:tc>
          <w:tcPr>
            <w:tcW w:w="365" w:type="pct"/>
          </w:tcPr>
          <w:p w14:paraId="09A9DBA0" w14:textId="3D8B8967" w:rsidR="005A18DC" w:rsidRPr="005A18DC" w:rsidRDefault="005A18DC" w:rsidP="005A18DC">
            <w:pPr>
              <w:rPr>
                <w:rFonts w:ascii="Arial" w:eastAsia="Times New Roman" w:hAnsi="Arial" w:cs="Arial"/>
                <w:color w:val="000000"/>
                <w:sz w:val="14"/>
                <w:szCs w:val="14"/>
                <w:lang w:eastAsia="en-GB"/>
              </w:rPr>
            </w:pPr>
            <w:hyperlink r:id="rId2577" w:history="1">
              <w:r w:rsidRPr="005A18DC">
                <w:rPr>
                  <w:rStyle w:val="Hyperlink"/>
                  <w:rFonts w:ascii="Arial" w:hAnsi="Arial" w:cs="Arial"/>
                  <w:b/>
                  <w:bCs/>
                  <w:sz w:val="14"/>
                  <w:szCs w:val="14"/>
                </w:rPr>
                <w:t>R1-2312742</w:t>
              </w:r>
            </w:hyperlink>
          </w:p>
        </w:tc>
        <w:tc>
          <w:tcPr>
            <w:tcW w:w="1471" w:type="pct"/>
          </w:tcPr>
          <w:p w14:paraId="545B2E37" w14:textId="2D231AD9"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Corrections on Rel-18 Multi-carrier enhancements in 38.212</w:t>
            </w:r>
          </w:p>
        </w:tc>
        <w:tc>
          <w:tcPr>
            <w:tcW w:w="849" w:type="pct"/>
          </w:tcPr>
          <w:p w14:paraId="4908CA73" w14:textId="36C9B5EC"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Huawei</w:t>
            </w:r>
          </w:p>
        </w:tc>
        <w:tc>
          <w:tcPr>
            <w:tcW w:w="248" w:type="pct"/>
          </w:tcPr>
          <w:p w14:paraId="714B68C7" w14:textId="7354F653" w:rsidR="005A18DC" w:rsidRPr="005A18DC" w:rsidRDefault="005A18DC" w:rsidP="005A18DC">
            <w:pPr>
              <w:rPr>
                <w:rFonts w:ascii="Arial" w:eastAsia="Times New Roman" w:hAnsi="Arial" w:cs="Arial"/>
                <w:color w:val="000000"/>
                <w:sz w:val="14"/>
                <w:szCs w:val="14"/>
                <w:lang w:eastAsia="en-GB"/>
              </w:rPr>
            </w:pPr>
            <w:hyperlink r:id="rId2578" w:history="1">
              <w:r w:rsidRPr="005A18DC">
                <w:rPr>
                  <w:rStyle w:val="Hyperlink"/>
                  <w:rFonts w:ascii="Arial" w:hAnsi="Arial" w:cs="Arial"/>
                  <w:b/>
                  <w:bCs/>
                  <w:sz w:val="14"/>
                  <w:szCs w:val="14"/>
                </w:rPr>
                <w:t>Rel-18</w:t>
              </w:r>
            </w:hyperlink>
          </w:p>
        </w:tc>
        <w:tc>
          <w:tcPr>
            <w:tcW w:w="301" w:type="pct"/>
            <w:shd w:val="clear" w:color="auto" w:fill="auto"/>
          </w:tcPr>
          <w:p w14:paraId="74FF93AD" w14:textId="1D7AB4F5" w:rsidR="005A18DC" w:rsidRPr="005A18DC" w:rsidRDefault="005A18DC" w:rsidP="005A18DC">
            <w:pPr>
              <w:rPr>
                <w:rFonts w:ascii="Arial" w:eastAsia="Times New Roman" w:hAnsi="Arial" w:cs="Arial"/>
                <w:color w:val="000000"/>
                <w:sz w:val="14"/>
                <w:szCs w:val="14"/>
                <w:lang w:eastAsia="en-GB"/>
              </w:rPr>
            </w:pPr>
            <w:hyperlink r:id="rId2579" w:history="1">
              <w:r w:rsidRPr="005A18DC">
                <w:rPr>
                  <w:rStyle w:val="Hyperlink"/>
                  <w:rFonts w:ascii="Arial" w:hAnsi="Arial" w:cs="Arial"/>
                  <w:b/>
                  <w:bCs/>
                  <w:sz w:val="14"/>
                  <w:szCs w:val="14"/>
                </w:rPr>
                <w:t>38.212</w:t>
              </w:r>
            </w:hyperlink>
          </w:p>
        </w:tc>
        <w:tc>
          <w:tcPr>
            <w:tcW w:w="324" w:type="pct"/>
            <w:shd w:val="clear" w:color="auto" w:fill="auto"/>
          </w:tcPr>
          <w:p w14:paraId="0BD13795" w14:textId="077CD693"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18.0.0</w:t>
            </w:r>
          </w:p>
        </w:tc>
        <w:tc>
          <w:tcPr>
            <w:tcW w:w="779" w:type="pct"/>
          </w:tcPr>
          <w:p w14:paraId="744DF99C" w14:textId="5B408863" w:rsidR="005A18DC" w:rsidRPr="005A18DC" w:rsidRDefault="005A18DC" w:rsidP="005A18DC">
            <w:pPr>
              <w:rPr>
                <w:rFonts w:ascii="Arial" w:eastAsia="Times New Roman" w:hAnsi="Arial" w:cs="Arial"/>
                <w:color w:val="000000"/>
                <w:sz w:val="14"/>
                <w:szCs w:val="14"/>
                <w:lang w:eastAsia="en-GB"/>
              </w:rPr>
            </w:pPr>
            <w:hyperlink r:id="rId2580" w:history="1">
              <w:r w:rsidRPr="005A18DC">
                <w:rPr>
                  <w:rStyle w:val="Hyperlink"/>
                  <w:rFonts w:ascii="Arial" w:hAnsi="Arial" w:cs="Arial"/>
                  <w:b/>
                  <w:bCs/>
                  <w:sz w:val="14"/>
                  <w:szCs w:val="14"/>
                </w:rPr>
                <w:t>NR_MC_enh-Core</w:t>
              </w:r>
            </w:hyperlink>
          </w:p>
        </w:tc>
        <w:tc>
          <w:tcPr>
            <w:tcW w:w="233" w:type="pct"/>
          </w:tcPr>
          <w:p w14:paraId="6E6DD57F" w14:textId="55BD26A3"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0168</w:t>
            </w:r>
          </w:p>
        </w:tc>
        <w:tc>
          <w:tcPr>
            <w:tcW w:w="226" w:type="pct"/>
          </w:tcPr>
          <w:p w14:paraId="06A464D9" w14:textId="548031E6"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 </w:t>
            </w:r>
          </w:p>
        </w:tc>
        <w:tc>
          <w:tcPr>
            <w:tcW w:w="203" w:type="pct"/>
          </w:tcPr>
          <w:p w14:paraId="6BBD881C" w14:textId="550739F7"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F</w:t>
            </w:r>
          </w:p>
        </w:tc>
      </w:tr>
      <w:tr w:rsidR="005A18DC" w:rsidRPr="009537ED" w14:paraId="4312EFFB" w14:textId="77777777" w:rsidTr="00AA703E">
        <w:trPr>
          <w:trHeight w:val="20"/>
        </w:trPr>
        <w:tc>
          <w:tcPr>
            <w:tcW w:w="365" w:type="pct"/>
          </w:tcPr>
          <w:p w14:paraId="78C7E02C" w14:textId="1147AAC6" w:rsidR="005A18DC" w:rsidRPr="005A18DC" w:rsidRDefault="005A18DC" w:rsidP="005A18DC">
            <w:pPr>
              <w:rPr>
                <w:rFonts w:ascii="Arial" w:eastAsia="Times New Roman" w:hAnsi="Arial" w:cs="Arial"/>
                <w:color w:val="000000"/>
                <w:sz w:val="14"/>
                <w:szCs w:val="14"/>
                <w:lang w:eastAsia="en-GB"/>
              </w:rPr>
            </w:pPr>
            <w:hyperlink r:id="rId2581" w:history="1">
              <w:r w:rsidRPr="005A18DC">
                <w:rPr>
                  <w:rStyle w:val="Hyperlink"/>
                  <w:rFonts w:ascii="Arial" w:hAnsi="Arial" w:cs="Arial"/>
                  <w:b/>
                  <w:bCs/>
                  <w:sz w:val="14"/>
                  <w:szCs w:val="14"/>
                </w:rPr>
                <w:t>R1-2312743</w:t>
              </w:r>
            </w:hyperlink>
          </w:p>
        </w:tc>
        <w:tc>
          <w:tcPr>
            <w:tcW w:w="1471" w:type="pct"/>
          </w:tcPr>
          <w:p w14:paraId="26EFE588" w14:textId="056F32F1"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Corrections on Rel-18 network energy saving for NR in 38.212</w:t>
            </w:r>
          </w:p>
        </w:tc>
        <w:tc>
          <w:tcPr>
            <w:tcW w:w="849" w:type="pct"/>
          </w:tcPr>
          <w:p w14:paraId="5C455B76" w14:textId="16020632"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Huawei</w:t>
            </w:r>
          </w:p>
        </w:tc>
        <w:tc>
          <w:tcPr>
            <w:tcW w:w="248" w:type="pct"/>
          </w:tcPr>
          <w:p w14:paraId="6BD29B86" w14:textId="66B459F1" w:rsidR="005A18DC" w:rsidRPr="005A18DC" w:rsidRDefault="005A18DC" w:rsidP="005A18DC">
            <w:pPr>
              <w:rPr>
                <w:rFonts w:ascii="Arial" w:eastAsia="Times New Roman" w:hAnsi="Arial" w:cs="Arial"/>
                <w:color w:val="000000"/>
                <w:sz w:val="14"/>
                <w:szCs w:val="14"/>
                <w:lang w:eastAsia="en-GB"/>
              </w:rPr>
            </w:pPr>
            <w:hyperlink r:id="rId2582" w:history="1">
              <w:r w:rsidRPr="005A18DC">
                <w:rPr>
                  <w:rStyle w:val="Hyperlink"/>
                  <w:rFonts w:ascii="Arial" w:hAnsi="Arial" w:cs="Arial"/>
                  <w:b/>
                  <w:bCs/>
                  <w:sz w:val="14"/>
                  <w:szCs w:val="14"/>
                </w:rPr>
                <w:t>Rel-18</w:t>
              </w:r>
            </w:hyperlink>
          </w:p>
        </w:tc>
        <w:tc>
          <w:tcPr>
            <w:tcW w:w="301" w:type="pct"/>
            <w:shd w:val="clear" w:color="auto" w:fill="auto"/>
          </w:tcPr>
          <w:p w14:paraId="09A565D5" w14:textId="2FEB7214" w:rsidR="005A18DC" w:rsidRPr="005A18DC" w:rsidRDefault="005A18DC" w:rsidP="005A18DC">
            <w:pPr>
              <w:rPr>
                <w:rFonts w:ascii="Arial" w:eastAsia="Times New Roman" w:hAnsi="Arial" w:cs="Arial"/>
                <w:color w:val="000000"/>
                <w:sz w:val="14"/>
                <w:szCs w:val="14"/>
                <w:lang w:eastAsia="en-GB"/>
              </w:rPr>
            </w:pPr>
            <w:hyperlink r:id="rId2583" w:history="1">
              <w:r w:rsidRPr="005A18DC">
                <w:rPr>
                  <w:rStyle w:val="Hyperlink"/>
                  <w:rFonts w:ascii="Arial" w:hAnsi="Arial" w:cs="Arial"/>
                  <w:b/>
                  <w:bCs/>
                  <w:sz w:val="14"/>
                  <w:szCs w:val="14"/>
                </w:rPr>
                <w:t>38.212</w:t>
              </w:r>
            </w:hyperlink>
          </w:p>
        </w:tc>
        <w:tc>
          <w:tcPr>
            <w:tcW w:w="324" w:type="pct"/>
            <w:shd w:val="clear" w:color="auto" w:fill="auto"/>
          </w:tcPr>
          <w:p w14:paraId="2940637D" w14:textId="768448F2"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18.0.0</w:t>
            </w:r>
          </w:p>
        </w:tc>
        <w:tc>
          <w:tcPr>
            <w:tcW w:w="779" w:type="pct"/>
          </w:tcPr>
          <w:p w14:paraId="26357459" w14:textId="4BEF6A65" w:rsidR="005A18DC" w:rsidRPr="005A18DC" w:rsidRDefault="005A18DC" w:rsidP="005A18DC">
            <w:pPr>
              <w:rPr>
                <w:rFonts w:ascii="Arial" w:eastAsia="Times New Roman" w:hAnsi="Arial" w:cs="Arial"/>
                <w:color w:val="000000"/>
                <w:sz w:val="14"/>
                <w:szCs w:val="14"/>
                <w:lang w:eastAsia="en-GB"/>
              </w:rPr>
            </w:pPr>
            <w:hyperlink r:id="rId2584" w:history="1">
              <w:r w:rsidRPr="005A18DC">
                <w:rPr>
                  <w:rStyle w:val="Hyperlink"/>
                  <w:rFonts w:ascii="Arial" w:hAnsi="Arial" w:cs="Arial"/>
                  <w:b/>
                  <w:bCs/>
                  <w:sz w:val="14"/>
                  <w:szCs w:val="14"/>
                </w:rPr>
                <w:t>Netw_Energy_NR-Core</w:t>
              </w:r>
            </w:hyperlink>
          </w:p>
        </w:tc>
        <w:tc>
          <w:tcPr>
            <w:tcW w:w="233" w:type="pct"/>
          </w:tcPr>
          <w:p w14:paraId="6BBD4E2D" w14:textId="3AD16F8C"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0169</w:t>
            </w:r>
          </w:p>
        </w:tc>
        <w:tc>
          <w:tcPr>
            <w:tcW w:w="226" w:type="pct"/>
          </w:tcPr>
          <w:p w14:paraId="586CF800" w14:textId="0FB112F2"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 </w:t>
            </w:r>
          </w:p>
        </w:tc>
        <w:tc>
          <w:tcPr>
            <w:tcW w:w="203" w:type="pct"/>
          </w:tcPr>
          <w:p w14:paraId="67730851" w14:textId="17309386"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F</w:t>
            </w:r>
          </w:p>
        </w:tc>
      </w:tr>
      <w:tr w:rsidR="005A18DC" w:rsidRPr="009537ED" w14:paraId="16019B79" w14:textId="77777777" w:rsidTr="00AA703E">
        <w:trPr>
          <w:trHeight w:val="20"/>
        </w:trPr>
        <w:tc>
          <w:tcPr>
            <w:tcW w:w="365" w:type="pct"/>
          </w:tcPr>
          <w:p w14:paraId="488D40E2" w14:textId="3D984BB4" w:rsidR="005A18DC" w:rsidRPr="005A18DC" w:rsidRDefault="005A18DC" w:rsidP="005A18DC">
            <w:pPr>
              <w:rPr>
                <w:rFonts w:ascii="Arial" w:eastAsia="Times New Roman" w:hAnsi="Arial" w:cs="Arial"/>
                <w:color w:val="000000"/>
                <w:sz w:val="14"/>
                <w:szCs w:val="14"/>
                <w:lang w:eastAsia="en-GB"/>
              </w:rPr>
            </w:pPr>
            <w:hyperlink r:id="rId2585" w:history="1">
              <w:r w:rsidRPr="005A18DC">
                <w:rPr>
                  <w:rStyle w:val="Hyperlink"/>
                  <w:rFonts w:ascii="Arial" w:hAnsi="Arial" w:cs="Arial"/>
                  <w:b/>
                  <w:bCs/>
                  <w:sz w:val="14"/>
                  <w:szCs w:val="14"/>
                </w:rPr>
                <w:t>R1-2312744</w:t>
              </w:r>
            </w:hyperlink>
          </w:p>
        </w:tc>
        <w:tc>
          <w:tcPr>
            <w:tcW w:w="1471" w:type="pct"/>
          </w:tcPr>
          <w:p w14:paraId="6DFEE9A0" w14:textId="169D11EF"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Corrections on Rel-18 NR NTN enhancements in 38.212</w:t>
            </w:r>
          </w:p>
        </w:tc>
        <w:tc>
          <w:tcPr>
            <w:tcW w:w="849" w:type="pct"/>
          </w:tcPr>
          <w:p w14:paraId="6755A2EC" w14:textId="22C5B3A0"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Huawei</w:t>
            </w:r>
          </w:p>
        </w:tc>
        <w:tc>
          <w:tcPr>
            <w:tcW w:w="248" w:type="pct"/>
          </w:tcPr>
          <w:p w14:paraId="5B58250E" w14:textId="1588C4A3" w:rsidR="005A18DC" w:rsidRPr="005A18DC" w:rsidRDefault="005A18DC" w:rsidP="005A18DC">
            <w:pPr>
              <w:rPr>
                <w:rFonts w:ascii="Arial" w:eastAsia="Times New Roman" w:hAnsi="Arial" w:cs="Arial"/>
                <w:color w:val="000000"/>
                <w:sz w:val="14"/>
                <w:szCs w:val="14"/>
                <w:lang w:eastAsia="en-GB"/>
              </w:rPr>
            </w:pPr>
            <w:hyperlink r:id="rId2586" w:history="1">
              <w:r w:rsidRPr="005A18DC">
                <w:rPr>
                  <w:rStyle w:val="Hyperlink"/>
                  <w:rFonts w:ascii="Arial" w:hAnsi="Arial" w:cs="Arial"/>
                  <w:b/>
                  <w:bCs/>
                  <w:sz w:val="14"/>
                  <w:szCs w:val="14"/>
                </w:rPr>
                <w:t>Rel-18</w:t>
              </w:r>
            </w:hyperlink>
          </w:p>
        </w:tc>
        <w:tc>
          <w:tcPr>
            <w:tcW w:w="301" w:type="pct"/>
            <w:shd w:val="clear" w:color="auto" w:fill="auto"/>
          </w:tcPr>
          <w:p w14:paraId="5F926473" w14:textId="3AEC6DF1" w:rsidR="005A18DC" w:rsidRPr="005A18DC" w:rsidRDefault="005A18DC" w:rsidP="005A18DC">
            <w:pPr>
              <w:rPr>
                <w:rFonts w:ascii="Arial" w:eastAsia="Times New Roman" w:hAnsi="Arial" w:cs="Arial"/>
                <w:color w:val="000000"/>
                <w:sz w:val="14"/>
                <w:szCs w:val="14"/>
                <w:lang w:eastAsia="en-GB"/>
              </w:rPr>
            </w:pPr>
            <w:hyperlink r:id="rId2587" w:history="1">
              <w:r w:rsidRPr="005A18DC">
                <w:rPr>
                  <w:rStyle w:val="Hyperlink"/>
                  <w:rFonts w:ascii="Arial" w:hAnsi="Arial" w:cs="Arial"/>
                  <w:b/>
                  <w:bCs/>
                  <w:sz w:val="14"/>
                  <w:szCs w:val="14"/>
                </w:rPr>
                <w:t>38.212</w:t>
              </w:r>
            </w:hyperlink>
          </w:p>
        </w:tc>
        <w:tc>
          <w:tcPr>
            <w:tcW w:w="324" w:type="pct"/>
            <w:shd w:val="clear" w:color="auto" w:fill="auto"/>
          </w:tcPr>
          <w:p w14:paraId="0E246BDE" w14:textId="1B429064"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18.0.0</w:t>
            </w:r>
          </w:p>
        </w:tc>
        <w:tc>
          <w:tcPr>
            <w:tcW w:w="779" w:type="pct"/>
          </w:tcPr>
          <w:p w14:paraId="264AE031" w14:textId="63AA1E00" w:rsidR="005A18DC" w:rsidRPr="005A18DC" w:rsidRDefault="005A18DC" w:rsidP="005A18DC">
            <w:pPr>
              <w:rPr>
                <w:rFonts w:ascii="Arial" w:eastAsia="Times New Roman" w:hAnsi="Arial" w:cs="Arial"/>
                <w:color w:val="000000"/>
                <w:sz w:val="14"/>
                <w:szCs w:val="14"/>
                <w:lang w:eastAsia="en-GB"/>
              </w:rPr>
            </w:pPr>
            <w:hyperlink r:id="rId2588" w:history="1">
              <w:r w:rsidRPr="005A18DC">
                <w:rPr>
                  <w:rStyle w:val="Hyperlink"/>
                  <w:rFonts w:ascii="Arial" w:hAnsi="Arial" w:cs="Arial"/>
                  <w:b/>
                  <w:bCs/>
                  <w:sz w:val="14"/>
                  <w:szCs w:val="14"/>
                </w:rPr>
                <w:t>NR_NTN_enh-Core</w:t>
              </w:r>
            </w:hyperlink>
          </w:p>
        </w:tc>
        <w:tc>
          <w:tcPr>
            <w:tcW w:w="233" w:type="pct"/>
          </w:tcPr>
          <w:p w14:paraId="218788A7" w14:textId="104DBF65"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0170</w:t>
            </w:r>
          </w:p>
        </w:tc>
        <w:tc>
          <w:tcPr>
            <w:tcW w:w="226" w:type="pct"/>
          </w:tcPr>
          <w:p w14:paraId="679221C4" w14:textId="11B42D8E"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 </w:t>
            </w:r>
          </w:p>
        </w:tc>
        <w:tc>
          <w:tcPr>
            <w:tcW w:w="203" w:type="pct"/>
          </w:tcPr>
          <w:p w14:paraId="6C2657C2" w14:textId="48446C57"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F</w:t>
            </w:r>
          </w:p>
        </w:tc>
      </w:tr>
      <w:tr w:rsidR="005A18DC" w:rsidRPr="009537ED" w14:paraId="30AECD25" w14:textId="77777777" w:rsidTr="00AA703E">
        <w:trPr>
          <w:trHeight w:val="20"/>
        </w:trPr>
        <w:tc>
          <w:tcPr>
            <w:tcW w:w="365" w:type="pct"/>
          </w:tcPr>
          <w:p w14:paraId="56B63D4F" w14:textId="03FD1196" w:rsidR="005A18DC" w:rsidRPr="005A18DC" w:rsidRDefault="005A18DC" w:rsidP="005A18DC">
            <w:pPr>
              <w:rPr>
                <w:rFonts w:ascii="Arial" w:eastAsia="Times New Roman" w:hAnsi="Arial" w:cs="Arial"/>
                <w:color w:val="000000"/>
                <w:sz w:val="14"/>
                <w:szCs w:val="14"/>
                <w:lang w:eastAsia="en-GB"/>
              </w:rPr>
            </w:pPr>
            <w:hyperlink r:id="rId2589" w:history="1">
              <w:r w:rsidRPr="005A18DC">
                <w:rPr>
                  <w:rStyle w:val="Hyperlink"/>
                  <w:rFonts w:ascii="Arial" w:hAnsi="Arial" w:cs="Arial"/>
                  <w:b/>
                  <w:bCs/>
                  <w:sz w:val="14"/>
                  <w:szCs w:val="14"/>
                </w:rPr>
                <w:t>R1-2312745</w:t>
              </w:r>
            </w:hyperlink>
          </w:p>
        </w:tc>
        <w:tc>
          <w:tcPr>
            <w:tcW w:w="1471" w:type="pct"/>
          </w:tcPr>
          <w:p w14:paraId="285ADD10" w14:textId="1E986203"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Corrections on Rel-18 XR enhancements for NR in 38.212</w:t>
            </w:r>
          </w:p>
        </w:tc>
        <w:tc>
          <w:tcPr>
            <w:tcW w:w="849" w:type="pct"/>
          </w:tcPr>
          <w:p w14:paraId="40DF6EBA" w14:textId="56F4E19C"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Huawei</w:t>
            </w:r>
          </w:p>
        </w:tc>
        <w:tc>
          <w:tcPr>
            <w:tcW w:w="248" w:type="pct"/>
          </w:tcPr>
          <w:p w14:paraId="56A7AD16" w14:textId="0B7FF352" w:rsidR="005A18DC" w:rsidRPr="005A18DC" w:rsidRDefault="005A18DC" w:rsidP="005A18DC">
            <w:pPr>
              <w:rPr>
                <w:rFonts w:ascii="Arial" w:eastAsia="Times New Roman" w:hAnsi="Arial" w:cs="Arial"/>
                <w:color w:val="000000"/>
                <w:sz w:val="14"/>
                <w:szCs w:val="14"/>
                <w:lang w:eastAsia="en-GB"/>
              </w:rPr>
            </w:pPr>
            <w:hyperlink r:id="rId2590" w:history="1">
              <w:r w:rsidRPr="005A18DC">
                <w:rPr>
                  <w:rStyle w:val="Hyperlink"/>
                  <w:rFonts w:ascii="Arial" w:hAnsi="Arial" w:cs="Arial"/>
                  <w:b/>
                  <w:bCs/>
                  <w:sz w:val="14"/>
                  <w:szCs w:val="14"/>
                </w:rPr>
                <w:t>Rel-18</w:t>
              </w:r>
            </w:hyperlink>
          </w:p>
        </w:tc>
        <w:tc>
          <w:tcPr>
            <w:tcW w:w="301" w:type="pct"/>
            <w:shd w:val="clear" w:color="auto" w:fill="auto"/>
          </w:tcPr>
          <w:p w14:paraId="79A804D3" w14:textId="46A63581" w:rsidR="005A18DC" w:rsidRPr="005A18DC" w:rsidRDefault="005A18DC" w:rsidP="005A18DC">
            <w:pPr>
              <w:rPr>
                <w:rFonts w:ascii="Arial" w:eastAsia="Times New Roman" w:hAnsi="Arial" w:cs="Arial"/>
                <w:color w:val="000000"/>
                <w:sz w:val="14"/>
                <w:szCs w:val="14"/>
                <w:lang w:eastAsia="en-GB"/>
              </w:rPr>
            </w:pPr>
            <w:hyperlink r:id="rId2591" w:history="1">
              <w:r w:rsidRPr="005A18DC">
                <w:rPr>
                  <w:rStyle w:val="Hyperlink"/>
                  <w:rFonts w:ascii="Arial" w:hAnsi="Arial" w:cs="Arial"/>
                  <w:b/>
                  <w:bCs/>
                  <w:sz w:val="14"/>
                  <w:szCs w:val="14"/>
                </w:rPr>
                <w:t>38.212</w:t>
              </w:r>
            </w:hyperlink>
          </w:p>
        </w:tc>
        <w:tc>
          <w:tcPr>
            <w:tcW w:w="324" w:type="pct"/>
            <w:shd w:val="clear" w:color="auto" w:fill="auto"/>
          </w:tcPr>
          <w:p w14:paraId="3DCDF8B5" w14:textId="715F6FD9"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18.0.0</w:t>
            </w:r>
          </w:p>
        </w:tc>
        <w:tc>
          <w:tcPr>
            <w:tcW w:w="779" w:type="pct"/>
          </w:tcPr>
          <w:p w14:paraId="21CAFA84" w14:textId="7552DDCD" w:rsidR="005A18DC" w:rsidRPr="005A18DC" w:rsidRDefault="005A18DC" w:rsidP="005A18DC">
            <w:pPr>
              <w:rPr>
                <w:rFonts w:ascii="Arial" w:eastAsia="Times New Roman" w:hAnsi="Arial" w:cs="Arial"/>
                <w:color w:val="000000"/>
                <w:sz w:val="14"/>
                <w:szCs w:val="14"/>
                <w:lang w:eastAsia="en-GB"/>
              </w:rPr>
            </w:pPr>
            <w:hyperlink r:id="rId2592" w:history="1">
              <w:r w:rsidRPr="005A18DC">
                <w:rPr>
                  <w:rStyle w:val="Hyperlink"/>
                  <w:rFonts w:ascii="Arial" w:hAnsi="Arial" w:cs="Arial"/>
                  <w:b/>
                  <w:bCs/>
                  <w:sz w:val="14"/>
                  <w:szCs w:val="14"/>
                </w:rPr>
                <w:t>NR_XR_enh-Core</w:t>
              </w:r>
            </w:hyperlink>
          </w:p>
        </w:tc>
        <w:tc>
          <w:tcPr>
            <w:tcW w:w="233" w:type="pct"/>
          </w:tcPr>
          <w:p w14:paraId="02F96DBA" w14:textId="0713F8FD"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0171</w:t>
            </w:r>
          </w:p>
        </w:tc>
        <w:tc>
          <w:tcPr>
            <w:tcW w:w="226" w:type="pct"/>
          </w:tcPr>
          <w:p w14:paraId="35F32EE5" w14:textId="2443AA99"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 </w:t>
            </w:r>
          </w:p>
        </w:tc>
        <w:tc>
          <w:tcPr>
            <w:tcW w:w="203" w:type="pct"/>
          </w:tcPr>
          <w:p w14:paraId="4D5AD51E" w14:textId="52F47B42"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F</w:t>
            </w:r>
          </w:p>
        </w:tc>
      </w:tr>
      <w:tr w:rsidR="005A18DC" w:rsidRPr="009537ED" w14:paraId="7C7CE7D6" w14:textId="77777777" w:rsidTr="00AA703E">
        <w:trPr>
          <w:trHeight w:val="20"/>
        </w:trPr>
        <w:tc>
          <w:tcPr>
            <w:tcW w:w="365" w:type="pct"/>
          </w:tcPr>
          <w:p w14:paraId="3D00D7D6" w14:textId="08297E5A" w:rsidR="005A18DC" w:rsidRPr="005A18DC" w:rsidRDefault="005A18DC" w:rsidP="005A18DC">
            <w:pPr>
              <w:rPr>
                <w:rFonts w:ascii="Arial" w:eastAsia="Times New Roman" w:hAnsi="Arial" w:cs="Arial"/>
                <w:color w:val="000000"/>
                <w:sz w:val="14"/>
                <w:szCs w:val="14"/>
                <w:lang w:eastAsia="en-GB"/>
              </w:rPr>
            </w:pPr>
            <w:hyperlink r:id="rId2593" w:history="1">
              <w:r w:rsidRPr="005A18DC">
                <w:rPr>
                  <w:rStyle w:val="Hyperlink"/>
                  <w:rFonts w:ascii="Arial" w:hAnsi="Arial" w:cs="Arial"/>
                  <w:b/>
                  <w:bCs/>
                  <w:sz w:val="14"/>
                  <w:szCs w:val="14"/>
                </w:rPr>
                <w:t>R1-2312746</w:t>
              </w:r>
            </w:hyperlink>
          </w:p>
        </w:tc>
        <w:tc>
          <w:tcPr>
            <w:tcW w:w="1471" w:type="pct"/>
          </w:tcPr>
          <w:p w14:paraId="64650CF3" w14:textId="3AE10156"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Maintenance of NR Sidelink operation on shared spectrum</w:t>
            </w:r>
          </w:p>
        </w:tc>
        <w:tc>
          <w:tcPr>
            <w:tcW w:w="849" w:type="pct"/>
          </w:tcPr>
          <w:p w14:paraId="13AEA8D0" w14:textId="64FD1462"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Ericsson</w:t>
            </w:r>
          </w:p>
        </w:tc>
        <w:tc>
          <w:tcPr>
            <w:tcW w:w="248" w:type="pct"/>
          </w:tcPr>
          <w:p w14:paraId="2E8EE192" w14:textId="5C03F321" w:rsidR="005A18DC" w:rsidRPr="005A18DC" w:rsidRDefault="005A18DC" w:rsidP="005A18DC">
            <w:pPr>
              <w:rPr>
                <w:rFonts w:ascii="Arial" w:eastAsia="Times New Roman" w:hAnsi="Arial" w:cs="Arial"/>
                <w:color w:val="000000"/>
                <w:sz w:val="14"/>
                <w:szCs w:val="14"/>
                <w:lang w:eastAsia="en-GB"/>
              </w:rPr>
            </w:pPr>
            <w:hyperlink r:id="rId2594" w:history="1">
              <w:r w:rsidRPr="005A18DC">
                <w:rPr>
                  <w:rStyle w:val="Hyperlink"/>
                  <w:rFonts w:ascii="Arial" w:hAnsi="Arial" w:cs="Arial"/>
                  <w:b/>
                  <w:bCs/>
                  <w:sz w:val="14"/>
                  <w:szCs w:val="14"/>
                </w:rPr>
                <w:t>Rel-18</w:t>
              </w:r>
            </w:hyperlink>
          </w:p>
        </w:tc>
        <w:tc>
          <w:tcPr>
            <w:tcW w:w="301" w:type="pct"/>
            <w:shd w:val="clear" w:color="auto" w:fill="auto"/>
          </w:tcPr>
          <w:p w14:paraId="3A7065BF" w14:textId="1E9318AD" w:rsidR="005A18DC" w:rsidRPr="005A18DC" w:rsidRDefault="005A18DC" w:rsidP="005A18DC">
            <w:pPr>
              <w:rPr>
                <w:rFonts w:ascii="Arial" w:eastAsia="Times New Roman" w:hAnsi="Arial" w:cs="Arial"/>
                <w:color w:val="000000"/>
                <w:sz w:val="14"/>
                <w:szCs w:val="14"/>
                <w:lang w:eastAsia="en-GB"/>
              </w:rPr>
            </w:pPr>
            <w:hyperlink r:id="rId2595" w:history="1">
              <w:r w:rsidRPr="005A18DC">
                <w:rPr>
                  <w:rStyle w:val="Hyperlink"/>
                  <w:rFonts w:ascii="Arial" w:hAnsi="Arial" w:cs="Arial"/>
                  <w:b/>
                  <w:bCs/>
                  <w:sz w:val="14"/>
                  <w:szCs w:val="14"/>
                </w:rPr>
                <w:t>37.213</w:t>
              </w:r>
            </w:hyperlink>
          </w:p>
        </w:tc>
        <w:tc>
          <w:tcPr>
            <w:tcW w:w="324" w:type="pct"/>
            <w:shd w:val="clear" w:color="auto" w:fill="auto"/>
          </w:tcPr>
          <w:p w14:paraId="04FC23B6" w14:textId="0C26569B"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18.0.0</w:t>
            </w:r>
          </w:p>
        </w:tc>
        <w:tc>
          <w:tcPr>
            <w:tcW w:w="779" w:type="pct"/>
          </w:tcPr>
          <w:p w14:paraId="57F2AFFE" w14:textId="35D51CCD" w:rsidR="005A18DC" w:rsidRPr="005A18DC" w:rsidRDefault="005A18DC" w:rsidP="005A18DC">
            <w:pPr>
              <w:rPr>
                <w:rFonts w:ascii="Arial" w:eastAsia="Times New Roman" w:hAnsi="Arial" w:cs="Arial"/>
                <w:color w:val="000000"/>
                <w:sz w:val="14"/>
                <w:szCs w:val="14"/>
                <w:lang w:eastAsia="en-GB"/>
              </w:rPr>
            </w:pPr>
            <w:hyperlink r:id="rId2596" w:history="1">
              <w:r w:rsidRPr="005A18DC">
                <w:rPr>
                  <w:rStyle w:val="Hyperlink"/>
                  <w:rFonts w:ascii="Arial" w:hAnsi="Arial" w:cs="Arial"/>
                  <w:b/>
                  <w:bCs/>
                  <w:sz w:val="14"/>
                  <w:szCs w:val="14"/>
                </w:rPr>
                <w:t>NR_SL_enh2-Core</w:t>
              </w:r>
            </w:hyperlink>
          </w:p>
        </w:tc>
        <w:tc>
          <w:tcPr>
            <w:tcW w:w="233" w:type="pct"/>
          </w:tcPr>
          <w:p w14:paraId="145689EE" w14:textId="4BBEA98E"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0050</w:t>
            </w:r>
          </w:p>
        </w:tc>
        <w:tc>
          <w:tcPr>
            <w:tcW w:w="226" w:type="pct"/>
          </w:tcPr>
          <w:p w14:paraId="56F61D17" w14:textId="6C7B988E"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 </w:t>
            </w:r>
          </w:p>
        </w:tc>
        <w:tc>
          <w:tcPr>
            <w:tcW w:w="203" w:type="pct"/>
          </w:tcPr>
          <w:p w14:paraId="3AC6ECF3" w14:textId="5C9875F9"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F</w:t>
            </w:r>
          </w:p>
        </w:tc>
      </w:tr>
      <w:tr w:rsidR="005A18DC" w:rsidRPr="009537ED" w14:paraId="4EBB78EA" w14:textId="77777777" w:rsidTr="00AA703E">
        <w:trPr>
          <w:trHeight w:val="20"/>
        </w:trPr>
        <w:tc>
          <w:tcPr>
            <w:tcW w:w="365" w:type="pct"/>
          </w:tcPr>
          <w:p w14:paraId="5ED6FA78" w14:textId="5FF2AAFF" w:rsidR="005A18DC" w:rsidRPr="005A18DC" w:rsidRDefault="005A18DC" w:rsidP="005A18DC">
            <w:pPr>
              <w:rPr>
                <w:rFonts w:ascii="Arial" w:eastAsia="Times New Roman" w:hAnsi="Arial" w:cs="Arial"/>
                <w:color w:val="000000"/>
                <w:sz w:val="14"/>
                <w:szCs w:val="14"/>
                <w:lang w:eastAsia="en-GB"/>
              </w:rPr>
            </w:pPr>
            <w:hyperlink r:id="rId2597" w:history="1">
              <w:r w:rsidRPr="005A18DC">
                <w:rPr>
                  <w:rStyle w:val="Hyperlink"/>
                  <w:rFonts w:ascii="Arial" w:hAnsi="Arial" w:cs="Arial"/>
                  <w:b/>
                  <w:bCs/>
                  <w:sz w:val="14"/>
                  <w:szCs w:val="14"/>
                </w:rPr>
                <w:t>R1-2312747</w:t>
              </w:r>
            </w:hyperlink>
          </w:p>
        </w:tc>
        <w:tc>
          <w:tcPr>
            <w:tcW w:w="1471" w:type="pct"/>
          </w:tcPr>
          <w:p w14:paraId="7853C600" w14:textId="7B96D4CC"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Corrections to NR Dynamic Spectrum Sharing (DSS)</w:t>
            </w:r>
          </w:p>
        </w:tc>
        <w:tc>
          <w:tcPr>
            <w:tcW w:w="849" w:type="pct"/>
          </w:tcPr>
          <w:p w14:paraId="40DFEA3B" w14:textId="646E7FFB"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Ericsson</w:t>
            </w:r>
          </w:p>
        </w:tc>
        <w:tc>
          <w:tcPr>
            <w:tcW w:w="248" w:type="pct"/>
          </w:tcPr>
          <w:p w14:paraId="6929B990" w14:textId="7E30B358" w:rsidR="005A18DC" w:rsidRPr="005A18DC" w:rsidRDefault="005A18DC" w:rsidP="005A18DC">
            <w:pPr>
              <w:rPr>
                <w:rFonts w:ascii="Arial" w:eastAsia="Times New Roman" w:hAnsi="Arial" w:cs="Arial"/>
                <w:color w:val="000000"/>
                <w:sz w:val="14"/>
                <w:szCs w:val="14"/>
                <w:lang w:eastAsia="en-GB"/>
              </w:rPr>
            </w:pPr>
            <w:hyperlink r:id="rId2598" w:history="1">
              <w:r w:rsidRPr="005A18DC">
                <w:rPr>
                  <w:rStyle w:val="Hyperlink"/>
                  <w:rFonts w:ascii="Arial" w:hAnsi="Arial" w:cs="Arial"/>
                  <w:b/>
                  <w:bCs/>
                  <w:sz w:val="14"/>
                  <w:szCs w:val="14"/>
                </w:rPr>
                <w:t>Rel-18</w:t>
              </w:r>
            </w:hyperlink>
          </w:p>
        </w:tc>
        <w:tc>
          <w:tcPr>
            <w:tcW w:w="301" w:type="pct"/>
            <w:shd w:val="clear" w:color="auto" w:fill="auto"/>
          </w:tcPr>
          <w:p w14:paraId="00C0CB3E" w14:textId="2D5D3E24" w:rsidR="005A18DC" w:rsidRPr="005A18DC" w:rsidRDefault="005A18DC" w:rsidP="005A18DC">
            <w:pPr>
              <w:rPr>
                <w:rFonts w:ascii="Arial" w:eastAsia="Times New Roman" w:hAnsi="Arial" w:cs="Arial"/>
                <w:color w:val="000000"/>
                <w:sz w:val="14"/>
                <w:szCs w:val="14"/>
                <w:lang w:eastAsia="en-GB"/>
              </w:rPr>
            </w:pPr>
            <w:hyperlink r:id="rId2599" w:history="1">
              <w:r w:rsidRPr="005A18DC">
                <w:rPr>
                  <w:rStyle w:val="Hyperlink"/>
                  <w:rFonts w:ascii="Arial" w:hAnsi="Arial" w:cs="Arial"/>
                  <w:b/>
                  <w:bCs/>
                  <w:sz w:val="14"/>
                  <w:szCs w:val="14"/>
                </w:rPr>
                <w:t>38.211</w:t>
              </w:r>
            </w:hyperlink>
          </w:p>
        </w:tc>
        <w:tc>
          <w:tcPr>
            <w:tcW w:w="324" w:type="pct"/>
            <w:shd w:val="clear" w:color="auto" w:fill="auto"/>
          </w:tcPr>
          <w:p w14:paraId="7F41BBA6" w14:textId="6D25B8A0"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18.0.0</w:t>
            </w:r>
          </w:p>
        </w:tc>
        <w:tc>
          <w:tcPr>
            <w:tcW w:w="779" w:type="pct"/>
          </w:tcPr>
          <w:p w14:paraId="17C8BD01" w14:textId="5B28D240" w:rsidR="005A18DC" w:rsidRPr="005A18DC" w:rsidRDefault="005A18DC" w:rsidP="005A18DC">
            <w:pPr>
              <w:rPr>
                <w:rFonts w:ascii="Arial" w:eastAsia="Times New Roman" w:hAnsi="Arial" w:cs="Arial"/>
                <w:color w:val="000000"/>
                <w:sz w:val="14"/>
                <w:szCs w:val="14"/>
                <w:lang w:eastAsia="en-GB"/>
              </w:rPr>
            </w:pPr>
            <w:hyperlink r:id="rId2600" w:history="1">
              <w:r w:rsidRPr="005A18DC">
                <w:rPr>
                  <w:rStyle w:val="Hyperlink"/>
                  <w:rFonts w:ascii="Arial" w:hAnsi="Arial" w:cs="Arial"/>
                  <w:b/>
                  <w:bCs/>
                  <w:sz w:val="14"/>
                  <w:szCs w:val="14"/>
                </w:rPr>
                <w:t>NR_DSS_enh-Core</w:t>
              </w:r>
            </w:hyperlink>
          </w:p>
        </w:tc>
        <w:tc>
          <w:tcPr>
            <w:tcW w:w="233" w:type="pct"/>
          </w:tcPr>
          <w:p w14:paraId="0B078B62" w14:textId="4816D277"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0115</w:t>
            </w:r>
          </w:p>
        </w:tc>
        <w:tc>
          <w:tcPr>
            <w:tcW w:w="226" w:type="pct"/>
          </w:tcPr>
          <w:p w14:paraId="3B7AF509" w14:textId="2E950AAE"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 </w:t>
            </w:r>
          </w:p>
        </w:tc>
        <w:tc>
          <w:tcPr>
            <w:tcW w:w="203" w:type="pct"/>
          </w:tcPr>
          <w:p w14:paraId="77172A37" w14:textId="26C77AD2"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F</w:t>
            </w:r>
          </w:p>
        </w:tc>
      </w:tr>
      <w:tr w:rsidR="005A18DC" w:rsidRPr="009537ED" w14:paraId="0C358962" w14:textId="77777777" w:rsidTr="00AA703E">
        <w:trPr>
          <w:trHeight w:val="20"/>
        </w:trPr>
        <w:tc>
          <w:tcPr>
            <w:tcW w:w="365" w:type="pct"/>
          </w:tcPr>
          <w:p w14:paraId="091A8972" w14:textId="4DBF9A50" w:rsidR="005A18DC" w:rsidRPr="005A18DC" w:rsidRDefault="005A18DC" w:rsidP="005A18DC">
            <w:pPr>
              <w:rPr>
                <w:rFonts w:ascii="Arial" w:eastAsia="Times New Roman" w:hAnsi="Arial" w:cs="Arial"/>
                <w:color w:val="000000"/>
                <w:sz w:val="14"/>
                <w:szCs w:val="14"/>
                <w:lang w:eastAsia="en-GB"/>
              </w:rPr>
            </w:pPr>
            <w:hyperlink r:id="rId2601" w:history="1">
              <w:r w:rsidRPr="005A18DC">
                <w:rPr>
                  <w:rStyle w:val="Hyperlink"/>
                  <w:rFonts w:ascii="Arial" w:hAnsi="Arial" w:cs="Arial"/>
                  <w:b/>
                  <w:bCs/>
                  <w:sz w:val="14"/>
                  <w:szCs w:val="14"/>
                </w:rPr>
                <w:t>R1-2312748</w:t>
              </w:r>
            </w:hyperlink>
          </w:p>
        </w:tc>
        <w:tc>
          <w:tcPr>
            <w:tcW w:w="1471" w:type="pct"/>
          </w:tcPr>
          <w:p w14:paraId="5A17851F" w14:textId="4A8FC89A"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Corrections to NR support for dedicated spectrum less than 5MHz for FR1</w:t>
            </w:r>
          </w:p>
        </w:tc>
        <w:tc>
          <w:tcPr>
            <w:tcW w:w="849" w:type="pct"/>
          </w:tcPr>
          <w:p w14:paraId="535AE4A1" w14:textId="090F981C"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Ericsson</w:t>
            </w:r>
          </w:p>
        </w:tc>
        <w:tc>
          <w:tcPr>
            <w:tcW w:w="248" w:type="pct"/>
          </w:tcPr>
          <w:p w14:paraId="6101E3AE" w14:textId="364B2DAF" w:rsidR="005A18DC" w:rsidRPr="005A18DC" w:rsidRDefault="005A18DC" w:rsidP="005A18DC">
            <w:pPr>
              <w:rPr>
                <w:rFonts w:ascii="Arial" w:eastAsia="Times New Roman" w:hAnsi="Arial" w:cs="Arial"/>
                <w:color w:val="000000"/>
                <w:sz w:val="14"/>
                <w:szCs w:val="14"/>
                <w:lang w:eastAsia="en-GB"/>
              </w:rPr>
            </w:pPr>
            <w:hyperlink r:id="rId2602" w:history="1">
              <w:r w:rsidRPr="005A18DC">
                <w:rPr>
                  <w:rStyle w:val="Hyperlink"/>
                  <w:rFonts w:ascii="Arial" w:hAnsi="Arial" w:cs="Arial"/>
                  <w:b/>
                  <w:bCs/>
                  <w:sz w:val="14"/>
                  <w:szCs w:val="14"/>
                </w:rPr>
                <w:t>Rel-18</w:t>
              </w:r>
            </w:hyperlink>
          </w:p>
        </w:tc>
        <w:tc>
          <w:tcPr>
            <w:tcW w:w="301" w:type="pct"/>
            <w:shd w:val="clear" w:color="auto" w:fill="auto"/>
          </w:tcPr>
          <w:p w14:paraId="20887955" w14:textId="7D245F4C" w:rsidR="005A18DC" w:rsidRPr="005A18DC" w:rsidRDefault="005A18DC" w:rsidP="005A18DC">
            <w:pPr>
              <w:rPr>
                <w:rFonts w:ascii="Arial" w:eastAsia="Times New Roman" w:hAnsi="Arial" w:cs="Arial"/>
                <w:color w:val="000000"/>
                <w:sz w:val="14"/>
                <w:szCs w:val="14"/>
                <w:lang w:eastAsia="en-GB"/>
              </w:rPr>
            </w:pPr>
            <w:hyperlink r:id="rId2603" w:history="1">
              <w:r w:rsidRPr="005A18DC">
                <w:rPr>
                  <w:rStyle w:val="Hyperlink"/>
                  <w:rFonts w:ascii="Arial" w:hAnsi="Arial" w:cs="Arial"/>
                  <w:b/>
                  <w:bCs/>
                  <w:sz w:val="14"/>
                  <w:szCs w:val="14"/>
                </w:rPr>
                <w:t>38.211</w:t>
              </w:r>
            </w:hyperlink>
          </w:p>
        </w:tc>
        <w:tc>
          <w:tcPr>
            <w:tcW w:w="324" w:type="pct"/>
            <w:shd w:val="clear" w:color="auto" w:fill="auto"/>
          </w:tcPr>
          <w:p w14:paraId="2EA373AB" w14:textId="7768E6CF"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18.0.0</w:t>
            </w:r>
          </w:p>
        </w:tc>
        <w:tc>
          <w:tcPr>
            <w:tcW w:w="779" w:type="pct"/>
          </w:tcPr>
          <w:p w14:paraId="4F992D07" w14:textId="0E6B8B50" w:rsidR="005A18DC" w:rsidRPr="005A18DC" w:rsidRDefault="005A18DC" w:rsidP="005A18DC">
            <w:pPr>
              <w:rPr>
                <w:rFonts w:ascii="Arial" w:eastAsia="Times New Roman" w:hAnsi="Arial" w:cs="Arial"/>
                <w:color w:val="000000"/>
                <w:sz w:val="14"/>
                <w:szCs w:val="14"/>
                <w:lang w:eastAsia="en-GB"/>
              </w:rPr>
            </w:pPr>
            <w:hyperlink r:id="rId2604" w:history="1">
              <w:r w:rsidRPr="005A18DC">
                <w:rPr>
                  <w:rStyle w:val="Hyperlink"/>
                  <w:rFonts w:ascii="Arial" w:hAnsi="Arial" w:cs="Arial"/>
                  <w:b/>
                  <w:bCs/>
                  <w:sz w:val="14"/>
                  <w:szCs w:val="14"/>
                </w:rPr>
                <w:t>NR_FR1_lessthan_5MHz_BW-Core</w:t>
              </w:r>
            </w:hyperlink>
          </w:p>
        </w:tc>
        <w:tc>
          <w:tcPr>
            <w:tcW w:w="233" w:type="pct"/>
          </w:tcPr>
          <w:p w14:paraId="42615171" w14:textId="4ECC3622"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0116</w:t>
            </w:r>
          </w:p>
        </w:tc>
        <w:tc>
          <w:tcPr>
            <w:tcW w:w="226" w:type="pct"/>
          </w:tcPr>
          <w:p w14:paraId="2A7E251C" w14:textId="0B45876D"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 </w:t>
            </w:r>
          </w:p>
        </w:tc>
        <w:tc>
          <w:tcPr>
            <w:tcW w:w="203" w:type="pct"/>
          </w:tcPr>
          <w:p w14:paraId="44625A78" w14:textId="0569289C"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F</w:t>
            </w:r>
          </w:p>
        </w:tc>
      </w:tr>
      <w:tr w:rsidR="005A18DC" w:rsidRPr="009537ED" w14:paraId="4FD95B71" w14:textId="77777777" w:rsidTr="00AA703E">
        <w:trPr>
          <w:trHeight w:val="20"/>
        </w:trPr>
        <w:tc>
          <w:tcPr>
            <w:tcW w:w="365" w:type="pct"/>
          </w:tcPr>
          <w:p w14:paraId="7CE43BA1" w14:textId="2E478B24" w:rsidR="005A18DC" w:rsidRPr="005A18DC" w:rsidRDefault="005A18DC" w:rsidP="005A18DC">
            <w:pPr>
              <w:rPr>
                <w:rFonts w:ascii="Arial" w:eastAsia="Times New Roman" w:hAnsi="Arial" w:cs="Arial"/>
                <w:color w:val="000000"/>
                <w:sz w:val="14"/>
                <w:szCs w:val="14"/>
                <w:lang w:eastAsia="en-GB"/>
              </w:rPr>
            </w:pPr>
            <w:hyperlink r:id="rId2605" w:history="1">
              <w:r w:rsidRPr="005A18DC">
                <w:rPr>
                  <w:rStyle w:val="Hyperlink"/>
                  <w:rFonts w:ascii="Arial" w:hAnsi="Arial" w:cs="Arial"/>
                  <w:b/>
                  <w:bCs/>
                  <w:sz w:val="14"/>
                  <w:szCs w:val="14"/>
                </w:rPr>
                <w:t>R1-2312749</w:t>
              </w:r>
            </w:hyperlink>
          </w:p>
        </w:tc>
        <w:tc>
          <w:tcPr>
            <w:tcW w:w="1471" w:type="pct"/>
          </w:tcPr>
          <w:p w14:paraId="5AD0972F" w14:textId="09B1ACD6"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Corrections to MIMO enhancements</w:t>
            </w:r>
          </w:p>
        </w:tc>
        <w:tc>
          <w:tcPr>
            <w:tcW w:w="849" w:type="pct"/>
          </w:tcPr>
          <w:p w14:paraId="0F44BE1E" w14:textId="00404F89"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Ericsson</w:t>
            </w:r>
          </w:p>
        </w:tc>
        <w:tc>
          <w:tcPr>
            <w:tcW w:w="248" w:type="pct"/>
          </w:tcPr>
          <w:p w14:paraId="5B3E48C8" w14:textId="3E37DA51" w:rsidR="005A18DC" w:rsidRPr="005A18DC" w:rsidRDefault="005A18DC" w:rsidP="005A18DC">
            <w:pPr>
              <w:rPr>
                <w:rFonts w:ascii="Arial" w:eastAsia="Times New Roman" w:hAnsi="Arial" w:cs="Arial"/>
                <w:color w:val="000000"/>
                <w:sz w:val="14"/>
                <w:szCs w:val="14"/>
                <w:lang w:eastAsia="en-GB"/>
              </w:rPr>
            </w:pPr>
            <w:hyperlink r:id="rId2606" w:history="1">
              <w:r w:rsidRPr="005A18DC">
                <w:rPr>
                  <w:rStyle w:val="Hyperlink"/>
                  <w:rFonts w:ascii="Arial" w:hAnsi="Arial" w:cs="Arial"/>
                  <w:b/>
                  <w:bCs/>
                  <w:sz w:val="14"/>
                  <w:szCs w:val="14"/>
                </w:rPr>
                <w:t>Rel-18</w:t>
              </w:r>
            </w:hyperlink>
          </w:p>
        </w:tc>
        <w:tc>
          <w:tcPr>
            <w:tcW w:w="301" w:type="pct"/>
            <w:shd w:val="clear" w:color="auto" w:fill="auto"/>
          </w:tcPr>
          <w:p w14:paraId="7F7B1039" w14:textId="7FBF1AF5" w:rsidR="005A18DC" w:rsidRPr="005A18DC" w:rsidRDefault="005A18DC" w:rsidP="005A18DC">
            <w:pPr>
              <w:rPr>
                <w:rFonts w:ascii="Arial" w:eastAsia="Times New Roman" w:hAnsi="Arial" w:cs="Arial"/>
                <w:color w:val="000000"/>
                <w:sz w:val="14"/>
                <w:szCs w:val="14"/>
                <w:lang w:eastAsia="en-GB"/>
              </w:rPr>
            </w:pPr>
            <w:hyperlink r:id="rId2607" w:history="1">
              <w:r w:rsidRPr="005A18DC">
                <w:rPr>
                  <w:rStyle w:val="Hyperlink"/>
                  <w:rFonts w:ascii="Arial" w:hAnsi="Arial" w:cs="Arial"/>
                  <w:b/>
                  <w:bCs/>
                  <w:sz w:val="14"/>
                  <w:szCs w:val="14"/>
                </w:rPr>
                <w:t>38.211</w:t>
              </w:r>
            </w:hyperlink>
          </w:p>
        </w:tc>
        <w:tc>
          <w:tcPr>
            <w:tcW w:w="324" w:type="pct"/>
            <w:shd w:val="clear" w:color="auto" w:fill="auto"/>
          </w:tcPr>
          <w:p w14:paraId="2F2A464E" w14:textId="617A26CF"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18.0.0</w:t>
            </w:r>
          </w:p>
        </w:tc>
        <w:tc>
          <w:tcPr>
            <w:tcW w:w="779" w:type="pct"/>
          </w:tcPr>
          <w:p w14:paraId="03D7F1E3" w14:textId="262FAC24" w:rsidR="005A18DC" w:rsidRPr="005A18DC" w:rsidRDefault="005A18DC" w:rsidP="005A18DC">
            <w:pPr>
              <w:rPr>
                <w:rFonts w:ascii="Arial" w:eastAsia="Times New Roman" w:hAnsi="Arial" w:cs="Arial"/>
                <w:color w:val="000000"/>
                <w:sz w:val="14"/>
                <w:szCs w:val="14"/>
                <w:lang w:eastAsia="en-GB"/>
              </w:rPr>
            </w:pPr>
            <w:hyperlink r:id="rId2608" w:history="1">
              <w:r w:rsidRPr="005A18DC">
                <w:rPr>
                  <w:rStyle w:val="Hyperlink"/>
                  <w:rFonts w:ascii="Arial" w:hAnsi="Arial" w:cs="Arial"/>
                  <w:b/>
                  <w:bCs/>
                  <w:sz w:val="14"/>
                  <w:szCs w:val="14"/>
                </w:rPr>
                <w:t>NR_MIMO_evo_DL_UL-Core</w:t>
              </w:r>
            </w:hyperlink>
          </w:p>
        </w:tc>
        <w:tc>
          <w:tcPr>
            <w:tcW w:w="233" w:type="pct"/>
          </w:tcPr>
          <w:p w14:paraId="0E6732E3" w14:textId="0DEBABDC"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0117</w:t>
            </w:r>
          </w:p>
        </w:tc>
        <w:tc>
          <w:tcPr>
            <w:tcW w:w="226" w:type="pct"/>
          </w:tcPr>
          <w:p w14:paraId="2817E264" w14:textId="252CD50A"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 </w:t>
            </w:r>
          </w:p>
        </w:tc>
        <w:tc>
          <w:tcPr>
            <w:tcW w:w="203" w:type="pct"/>
          </w:tcPr>
          <w:p w14:paraId="3754EB73" w14:textId="43F5AA5D"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F</w:t>
            </w:r>
          </w:p>
        </w:tc>
      </w:tr>
      <w:tr w:rsidR="005A18DC" w:rsidRPr="009537ED" w14:paraId="38688DBD" w14:textId="77777777" w:rsidTr="00AA703E">
        <w:trPr>
          <w:trHeight w:val="20"/>
        </w:trPr>
        <w:tc>
          <w:tcPr>
            <w:tcW w:w="365" w:type="pct"/>
          </w:tcPr>
          <w:p w14:paraId="6095CE86" w14:textId="4295816F" w:rsidR="005A18DC" w:rsidRPr="005A18DC" w:rsidRDefault="005A18DC" w:rsidP="005A18DC">
            <w:pPr>
              <w:rPr>
                <w:rFonts w:ascii="Arial" w:eastAsia="Times New Roman" w:hAnsi="Arial" w:cs="Arial"/>
                <w:color w:val="000000"/>
                <w:sz w:val="14"/>
                <w:szCs w:val="14"/>
                <w:lang w:eastAsia="en-GB"/>
              </w:rPr>
            </w:pPr>
            <w:hyperlink r:id="rId2609" w:history="1">
              <w:r w:rsidRPr="005A18DC">
                <w:rPr>
                  <w:rStyle w:val="Hyperlink"/>
                  <w:rFonts w:ascii="Arial" w:hAnsi="Arial" w:cs="Arial"/>
                  <w:b/>
                  <w:bCs/>
                  <w:sz w:val="14"/>
                  <w:szCs w:val="14"/>
                </w:rPr>
                <w:t>R1-2312750</w:t>
              </w:r>
            </w:hyperlink>
          </w:p>
        </w:tc>
        <w:tc>
          <w:tcPr>
            <w:tcW w:w="1471" w:type="pct"/>
          </w:tcPr>
          <w:p w14:paraId="6E20C7AA" w14:textId="7C935C62"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Corrections to NR Network-controlled Repeaters</w:t>
            </w:r>
          </w:p>
        </w:tc>
        <w:tc>
          <w:tcPr>
            <w:tcW w:w="849" w:type="pct"/>
          </w:tcPr>
          <w:p w14:paraId="7A98AE8E" w14:textId="3C4C0C5F"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Ericsson</w:t>
            </w:r>
          </w:p>
        </w:tc>
        <w:tc>
          <w:tcPr>
            <w:tcW w:w="248" w:type="pct"/>
          </w:tcPr>
          <w:p w14:paraId="4E6D69B5" w14:textId="4C835A39" w:rsidR="005A18DC" w:rsidRPr="005A18DC" w:rsidRDefault="005A18DC" w:rsidP="005A18DC">
            <w:pPr>
              <w:rPr>
                <w:rFonts w:ascii="Arial" w:eastAsia="Times New Roman" w:hAnsi="Arial" w:cs="Arial"/>
                <w:color w:val="000000"/>
                <w:sz w:val="14"/>
                <w:szCs w:val="14"/>
                <w:lang w:eastAsia="en-GB"/>
              </w:rPr>
            </w:pPr>
            <w:hyperlink r:id="rId2610" w:history="1">
              <w:r w:rsidRPr="005A18DC">
                <w:rPr>
                  <w:rStyle w:val="Hyperlink"/>
                  <w:rFonts w:ascii="Arial" w:hAnsi="Arial" w:cs="Arial"/>
                  <w:b/>
                  <w:bCs/>
                  <w:sz w:val="14"/>
                  <w:szCs w:val="14"/>
                </w:rPr>
                <w:t>Rel-18</w:t>
              </w:r>
            </w:hyperlink>
          </w:p>
        </w:tc>
        <w:tc>
          <w:tcPr>
            <w:tcW w:w="301" w:type="pct"/>
            <w:shd w:val="clear" w:color="auto" w:fill="auto"/>
          </w:tcPr>
          <w:p w14:paraId="567D22CA" w14:textId="66292202" w:rsidR="005A18DC" w:rsidRPr="005A18DC" w:rsidRDefault="005A18DC" w:rsidP="005A18DC">
            <w:pPr>
              <w:rPr>
                <w:rFonts w:ascii="Arial" w:eastAsia="Times New Roman" w:hAnsi="Arial" w:cs="Arial"/>
                <w:color w:val="000000"/>
                <w:sz w:val="14"/>
                <w:szCs w:val="14"/>
                <w:lang w:eastAsia="en-GB"/>
              </w:rPr>
            </w:pPr>
            <w:hyperlink r:id="rId2611" w:history="1">
              <w:r w:rsidRPr="005A18DC">
                <w:rPr>
                  <w:rStyle w:val="Hyperlink"/>
                  <w:rFonts w:ascii="Arial" w:hAnsi="Arial" w:cs="Arial"/>
                  <w:b/>
                  <w:bCs/>
                  <w:sz w:val="14"/>
                  <w:szCs w:val="14"/>
                </w:rPr>
                <w:t>38.211</w:t>
              </w:r>
            </w:hyperlink>
          </w:p>
        </w:tc>
        <w:tc>
          <w:tcPr>
            <w:tcW w:w="324" w:type="pct"/>
            <w:shd w:val="clear" w:color="auto" w:fill="auto"/>
          </w:tcPr>
          <w:p w14:paraId="19AC77A7" w14:textId="530A96BE"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18.0.0</w:t>
            </w:r>
          </w:p>
        </w:tc>
        <w:tc>
          <w:tcPr>
            <w:tcW w:w="779" w:type="pct"/>
          </w:tcPr>
          <w:p w14:paraId="0876F419" w14:textId="5845E611" w:rsidR="005A18DC" w:rsidRPr="005A18DC" w:rsidRDefault="005A18DC" w:rsidP="005A18DC">
            <w:pPr>
              <w:rPr>
                <w:rFonts w:ascii="Arial" w:eastAsia="Times New Roman" w:hAnsi="Arial" w:cs="Arial"/>
                <w:color w:val="000000"/>
                <w:sz w:val="14"/>
                <w:szCs w:val="14"/>
                <w:lang w:eastAsia="en-GB"/>
              </w:rPr>
            </w:pPr>
            <w:hyperlink r:id="rId2612" w:history="1">
              <w:r w:rsidRPr="005A18DC">
                <w:rPr>
                  <w:rStyle w:val="Hyperlink"/>
                  <w:rFonts w:ascii="Arial" w:hAnsi="Arial" w:cs="Arial"/>
                  <w:b/>
                  <w:bCs/>
                  <w:sz w:val="14"/>
                  <w:szCs w:val="14"/>
                </w:rPr>
                <w:t>NR_netcon_repeater-Core</w:t>
              </w:r>
            </w:hyperlink>
          </w:p>
        </w:tc>
        <w:tc>
          <w:tcPr>
            <w:tcW w:w="233" w:type="pct"/>
          </w:tcPr>
          <w:p w14:paraId="567F1FEC" w14:textId="0C97FB5C"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0118</w:t>
            </w:r>
          </w:p>
        </w:tc>
        <w:tc>
          <w:tcPr>
            <w:tcW w:w="226" w:type="pct"/>
          </w:tcPr>
          <w:p w14:paraId="65F88D74" w14:textId="3D92C274"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 </w:t>
            </w:r>
          </w:p>
        </w:tc>
        <w:tc>
          <w:tcPr>
            <w:tcW w:w="203" w:type="pct"/>
          </w:tcPr>
          <w:p w14:paraId="0B578A7D" w14:textId="423AA14D"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F</w:t>
            </w:r>
          </w:p>
        </w:tc>
      </w:tr>
      <w:tr w:rsidR="005A18DC" w:rsidRPr="009537ED" w14:paraId="53C695D5" w14:textId="77777777" w:rsidTr="00AA703E">
        <w:trPr>
          <w:trHeight w:val="20"/>
        </w:trPr>
        <w:tc>
          <w:tcPr>
            <w:tcW w:w="365" w:type="pct"/>
          </w:tcPr>
          <w:p w14:paraId="1E126B92" w14:textId="5E4AD38C" w:rsidR="005A18DC" w:rsidRPr="005A18DC" w:rsidRDefault="005A18DC" w:rsidP="005A18DC">
            <w:pPr>
              <w:rPr>
                <w:rFonts w:ascii="Arial" w:eastAsia="Times New Roman" w:hAnsi="Arial" w:cs="Arial"/>
                <w:color w:val="000000"/>
                <w:sz w:val="14"/>
                <w:szCs w:val="14"/>
                <w:lang w:eastAsia="en-GB"/>
              </w:rPr>
            </w:pPr>
            <w:hyperlink r:id="rId2613" w:history="1">
              <w:r w:rsidRPr="005A18DC">
                <w:rPr>
                  <w:rStyle w:val="Hyperlink"/>
                  <w:rFonts w:ascii="Arial" w:hAnsi="Arial" w:cs="Arial"/>
                  <w:b/>
                  <w:bCs/>
                  <w:sz w:val="14"/>
                  <w:szCs w:val="14"/>
                </w:rPr>
                <w:t>R1-2312751</w:t>
              </w:r>
            </w:hyperlink>
          </w:p>
        </w:tc>
        <w:tc>
          <w:tcPr>
            <w:tcW w:w="1471" w:type="pct"/>
          </w:tcPr>
          <w:p w14:paraId="43B586B2" w14:textId="77A2941F"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Corrections to positioning enhancements</w:t>
            </w:r>
          </w:p>
        </w:tc>
        <w:tc>
          <w:tcPr>
            <w:tcW w:w="849" w:type="pct"/>
          </w:tcPr>
          <w:p w14:paraId="25FD3F85" w14:textId="3319698A"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Ericsson</w:t>
            </w:r>
          </w:p>
        </w:tc>
        <w:tc>
          <w:tcPr>
            <w:tcW w:w="248" w:type="pct"/>
          </w:tcPr>
          <w:p w14:paraId="7F7A9785" w14:textId="70F2ABC5" w:rsidR="005A18DC" w:rsidRPr="005A18DC" w:rsidRDefault="005A18DC" w:rsidP="005A18DC">
            <w:pPr>
              <w:rPr>
                <w:rFonts w:ascii="Arial" w:eastAsia="Times New Roman" w:hAnsi="Arial" w:cs="Arial"/>
                <w:color w:val="000000"/>
                <w:sz w:val="14"/>
                <w:szCs w:val="14"/>
                <w:lang w:eastAsia="en-GB"/>
              </w:rPr>
            </w:pPr>
            <w:hyperlink r:id="rId2614" w:history="1">
              <w:r w:rsidRPr="005A18DC">
                <w:rPr>
                  <w:rStyle w:val="Hyperlink"/>
                  <w:rFonts w:ascii="Arial" w:hAnsi="Arial" w:cs="Arial"/>
                  <w:b/>
                  <w:bCs/>
                  <w:sz w:val="14"/>
                  <w:szCs w:val="14"/>
                </w:rPr>
                <w:t>Rel-18</w:t>
              </w:r>
            </w:hyperlink>
          </w:p>
        </w:tc>
        <w:tc>
          <w:tcPr>
            <w:tcW w:w="301" w:type="pct"/>
            <w:shd w:val="clear" w:color="auto" w:fill="auto"/>
          </w:tcPr>
          <w:p w14:paraId="1D13D117" w14:textId="28B4A033" w:rsidR="005A18DC" w:rsidRPr="005A18DC" w:rsidRDefault="005A18DC" w:rsidP="005A18DC">
            <w:pPr>
              <w:rPr>
                <w:rFonts w:ascii="Arial" w:eastAsia="Times New Roman" w:hAnsi="Arial" w:cs="Arial"/>
                <w:color w:val="000000"/>
                <w:sz w:val="14"/>
                <w:szCs w:val="14"/>
                <w:lang w:eastAsia="en-GB"/>
              </w:rPr>
            </w:pPr>
            <w:hyperlink r:id="rId2615" w:history="1">
              <w:r w:rsidRPr="005A18DC">
                <w:rPr>
                  <w:rStyle w:val="Hyperlink"/>
                  <w:rFonts w:ascii="Arial" w:hAnsi="Arial" w:cs="Arial"/>
                  <w:b/>
                  <w:bCs/>
                  <w:sz w:val="14"/>
                  <w:szCs w:val="14"/>
                </w:rPr>
                <w:t>38.211</w:t>
              </w:r>
            </w:hyperlink>
          </w:p>
        </w:tc>
        <w:tc>
          <w:tcPr>
            <w:tcW w:w="324" w:type="pct"/>
            <w:shd w:val="clear" w:color="auto" w:fill="auto"/>
          </w:tcPr>
          <w:p w14:paraId="1C4917EE" w14:textId="34729347"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18.0.0</w:t>
            </w:r>
          </w:p>
        </w:tc>
        <w:tc>
          <w:tcPr>
            <w:tcW w:w="779" w:type="pct"/>
          </w:tcPr>
          <w:p w14:paraId="3B27BE42" w14:textId="2A88E0F6" w:rsidR="005A18DC" w:rsidRPr="005A18DC" w:rsidRDefault="005A18DC" w:rsidP="005A18DC">
            <w:pPr>
              <w:rPr>
                <w:rFonts w:ascii="Arial" w:eastAsia="Times New Roman" w:hAnsi="Arial" w:cs="Arial"/>
                <w:color w:val="000000"/>
                <w:sz w:val="14"/>
                <w:szCs w:val="14"/>
                <w:lang w:eastAsia="en-GB"/>
              </w:rPr>
            </w:pPr>
            <w:hyperlink r:id="rId2616" w:history="1">
              <w:r w:rsidRPr="005A18DC">
                <w:rPr>
                  <w:rStyle w:val="Hyperlink"/>
                  <w:rFonts w:ascii="Arial" w:hAnsi="Arial" w:cs="Arial"/>
                  <w:b/>
                  <w:bCs/>
                  <w:sz w:val="14"/>
                  <w:szCs w:val="14"/>
                </w:rPr>
                <w:t>NR_pos_enh2-Core</w:t>
              </w:r>
            </w:hyperlink>
          </w:p>
        </w:tc>
        <w:tc>
          <w:tcPr>
            <w:tcW w:w="233" w:type="pct"/>
          </w:tcPr>
          <w:p w14:paraId="7EBAB7AC" w14:textId="602B12DC"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0119</w:t>
            </w:r>
          </w:p>
        </w:tc>
        <w:tc>
          <w:tcPr>
            <w:tcW w:w="226" w:type="pct"/>
          </w:tcPr>
          <w:p w14:paraId="5C254F8C" w14:textId="6F7F656D"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 </w:t>
            </w:r>
          </w:p>
        </w:tc>
        <w:tc>
          <w:tcPr>
            <w:tcW w:w="203" w:type="pct"/>
          </w:tcPr>
          <w:p w14:paraId="1E6996B0" w14:textId="0562E8D5"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F</w:t>
            </w:r>
          </w:p>
        </w:tc>
      </w:tr>
      <w:tr w:rsidR="005A18DC" w:rsidRPr="009537ED" w14:paraId="0A33672D" w14:textId="77777777" w:rsidTr="00AA703E">
        <w:trPr>
          <w:trHeight w:val="20"/>
        </w:trPr>
        <w:tc>
          <w:tcPr>
            <w:tcW w:w="365" w:type="pct"/>
          </w:tcPr>
          <w:p w14:paraId="046EF98E" w14:textId="3E8AEBF3" w:rsidR="005A18DC" w:rsidRPr="005A18DC" w:rsidRDefault="005A18DC" w:rsidP="005A18DC">
            <w:pPr>
              <w:rPr>
                <w:rFonts w:ascii="Arial" w:eastAsia="Times New Roman" w:hAnsi="Arial" w:cs="Arial"/>
                <w:color w:val="000000"/>
                <w:sz w:val="14"/>
                <w:szCs w:val="14"/>
                <w:lang w:eastAsia="en-GB"/>
              </w:rPr>
            </w:pPr>
            <w:hyperlink r:id="rId2617" w:history="1">
              <w:r w:rsidRPr="005A18DC">
                <w:rPr>
                  <w:rStyle w:val="Hyperlink"/>
                  <w:rFonts w:ascii="Arial" w:hAnsi="Arial" w:cs="Arial"/>
                  <w:b/>
                  <w:bCs/>
                  <w:sz w:val="14"/>
                  <w:szCs w:val="14"/>
                </w:rPr>
                <w:t>R1-2312752</w:t>
              </w:r>
            </w:hyperlink>
          </w:p>
        </w:tc>
        <w:tc>
          <w:tcPr>
            <w:tcW w:w="1471" w:type="pct"/>
          </w:tcPr>
          <w:p w14:paraId="306862A7" w14:textId="728AA86F"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Correction of specification support for network energy saving</w:t>
            </w:r>
          </w:p>
        </w:tc>
        <w:tc>
          <w:tcPr>
            <w:tcW w:w="849" w:type="pct"/>
          </w:tcPr>
          <w:p w14:paraId="2F9D5EA3" w14:textId="4C6C9E63"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Nokia</w:t>
            </w:r>
          </w:p>
        </w:tc>
        <w:tc>
          <w:tcPr>
            <w:tcW w:w="248" w:type="pct"/>
          </w:tcPr>
          <w:p w14:paraId="43444F02" w14:textId="7E0523BD" w:rsidR="005A18DC" w:rsidRPr="005A18DC" w:rsidRDefault="005A18DC" w:rsidP="005A18DC">
            <w:pPr>
              <w:rPr>
                <w:rFonts w:ascii="Arial" w:eastAsia="Times New Roman" w:hAnsi="Arial" w:cs="Arial"/>
                <w:color w:val="000000"/>
                <w:sz w:val="14"/>
                <w:szCs w:val="14"/>
                <w:lang w:eastAsia="en-GB"/>
              </w:rPr>
            </w:pPr>
            <w:hyperlink r:id="rId2618" w:history="1">
              <w:r w:rsidRPr="005A18DC">
                <w:rPr>
                  <w:rStyle w:val="Hyperlink"/>
                  <w:rFonts w:ascii="Arial" w:hAnsi="Arial" w:cs="Arial"/>
                  <w:b/>
                  <w:bCs/>
                  <w:sz w:val="14"/>
                  <w:szCs w:val="14"/>
                </w:rPr>
                <w:t>Rel-18</w:t>
              </w:r>
            </w:hyperlink>
          </w:p>
        </w:tc>
        <w:tc>
          <w:tcPr>
            <w:tcW w:w="301" w:type="pct"/>
            <w:shd w:val="clear" w:color="auto" w:fill="auto"/>
          </w:tcPr>
          <w:p w14:paraId="2E97D79E" w14:textId="2638F974" w:rsidR="005A18DC" w:rsidRPr="005A18DC" w:rsidRDefault="005A18DC" w:rsidP="005A18DC">
            <w:pPr>
              <w:rPr>
                <w:rFonts w:ascii="Arial" w:eastAsia="Times New Roman" w:hAnsi="Arial" w:cs="Arial"/>
                <w:color w:val="000000"/>
                <w:sz w:val="14"/>
                <w:szCs w:val="14"/>
                <w:lang w:eastAsia="en-GB"/>
              </w:rPr>
            </w:pPr>
            <w:hyperlink r:id="rId2619" w:history="1">
              <w:r w:rsidRPr="005A18DC">
                <w:rPr>
                  <w:rStyle w:val="Hyperlink"/>
                  <w:rFonts w:ascii="Arial" w:hAnsi="Arial" w:cs="Arial"/>
                  <w:b/>
                  <w:bCs/>
                  <w:sz w:val="14"/>
                  <w:szCs w:val="14"/>
                </w:rPr>
                <w:t>38.214</w:t>
              </w:r>
            </w:hyperlink>
          </w:p>
        </w:tc>
        <w:tc>
          <w:tcPr>
            <w:tcW w:w="324" w:type="pct"/>
            <w:shd w:val="clear" w:color="auto" w:fill="auto"/>
          </w:tcPr>
          <w:p w14:paraId="1237A4B7" w14:textId="72C6B147"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18.0.0</w:t>
            </w:r>
          </w:p>
        </w:tc>
        <w:tc>
          <w:tcPr>
            <w:tcW w:w="779" w:type="pct"/>
          </w:tcPr>
          <w:p w14:paraId="7BB6AB90" w14:textId="4B8BDE56" w:rsidR="005A18DC" w:rsidRPr="005A18DC" w:rsidRDefault="005A18DC" w:rsidP="005A18DC">
            <w:pPr>
              <w:rPr>
                <w:rFonts w:ascii="Arial" w:eastAsia="Times New Roman" w:hAnsi="Arial" w:cs="Arial"/>
                <w:color w:val="000000"/>
                <w:sz w:val="14"/>
                <w:szCs w:val="14"/>
                <w:lang w:eastAsia="en-GB"/>
              </w:rPr>
            </w:pPr>
            <w:hyperlink r:id="rId2620" w:history="1">
              <w:r w:rsidRPr="005A18DC">
                <w:rPr>
                  <w:rStyle w:val="Hyperlink"/>
                  <w:rFonts w:ascii="Arial" w:hAnsi="Arial" w:cs="Arial"/>
                  <w:b/>
                  <w:bCs/>
                  <w:sz w:val="14"/>
                  <w:szCs w:val="14"/>
                </w:rPr>
                <w:t>Netw_Energy_NR-Core</w:t>
              </w:r>
            </w:hyperlink>
          </w:p>
        </w:tc>
        <w:tc>
          <w:tcPr>
            <w:tcW w:w="233" w:type="pct"/>
          </w:tcPr>
          <w:p w14:paraId="29E09E29" w14:textId="4FDD78A9"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0482</w:t>
            </w:r>
          </w:p>
        </w:tc>
        <w:tc>
          <w:tcPr>
            <w:tcW w:w="226" w:type="pct"/>
          </w:tcPr>
          <w:p w14:paraId="292065A2" w14:textId="7E6AC90D"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 </w:t>
            </w:r>
          </w:p>
        </w:tc>
        <w:tc>
          <w:tcPr>
            <w:tcW w:w="203" w:type="pct"/>
          </w:tcPr>
          <w:p w14:paraId="5AE7D06A" w14:textId="61AFF9DF"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F</w:t>
            </w:r>
          </w:p>
        </w:tc>
      </w:tr>
      <w:tr w:rsidR="005A18DC" w:rsidRPr="009537ED" w14:paraId="4B8EB164" w14:textId="77777777" w:rsidTr="00AA703E">
        <w:trPr>
          <w:trHeight w:val="20"/>
        </w:trPr>
        <w:tc>
          <w:tcPr>
            <w:tcW w:w="365" w:type="pct"/>
          </w:tcPr>
          <w:p w14:paraId="7109D5B4" w14:textId="3711CD7C" w:rsidR="005A18DC" w:rsidRPr="005A18DC" w:rsidRDefault="005A18DC" w:rsidP="005A18DC">
            <w:pPr>
              <w:rPr>
                <w:rFonts w:ascii="Arial" w:eastAsia="Times New Roman" w:hAnsi="Arial" w:cs="Arial"/>
                <w:color w:val="000000"/>
                <w:sz w:val="14"/>
                <w:szCs w:val="14"/>
                <w:lang w:eastAsia="en-GB"/>
              </w:rPr>
            </w:pPr>
            <w:hyperlink r:id="rId2621" w:history="1">
              <w:r w:rsidRPr="005A18DC">
                <w:rPr>
                  <w:rStyle w:val="Hyperlink"/>
                  <w:rFonts w:ascii="Arial" w:hAnsi="Arial" w:cs="Arial"/>
                  <w:b/>
                  <w:bCs/>
                  <w:sz w:val="14"/>
                  <w:szCs w:val="14"/>
                </w:rPr>
                <w:t>R1-2312753</w:t>
              </w:r>
            </w:hyperlink>
          </w:p>
        </w:tc>
        <w:tc>
          <w:tcPr>
            <w:tcW w:w="1471" w:type="pct"/>
          </w:tcPr>
          <w:p w14:paraId="2158489D" w14:textId="4104CFFC"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Correction of specification support for MIMO enhancements on CSI</w:t>
            </w:r>
          </w:p>
        </w:tc>
        <w:tc>
          <w:tcPr>
            <w:tcW w:w="849" w:type="pct"/>
          </w:tcPr>
          <w:p w14:paraId="52E66A01" w14:textId="70ABCA64"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Nokia</w:t>
            </w:r>
          </w:p>
        </w:tc>
        <w:tc>
          <w:tcPr>
            <w:tcW w:w="248" w:type="pct"/>
          </w:tcPr>
          <w:p w14:paraId="6C7D8054" w14:textId="098041FD" w:rsidR="005A18DC" w:rsidRPr="005A18DC" w:rsidRDefault="005A18DC" w:rsidP="005A18DC">
            <w:pPr>
              <w:rPr>
                <w:rFonts w:ascii="Arial" w:eastAsia="Times New Roman" w:hAnsi="Arial" w:cs="Arial"/>
                <w:color w:val="000000"/>
                <w:sz w:val="14"/>
                <w:szCs w:val="14"/>
                <w:lang w:eastAsia="en-GB"/>
              </w:rPr>
            </w:pPr>
            <w:hyperlink r:id="rId2622" w:history="1">
              <w:r w:rsidRPr="005A18DC">
                <w:rPr>
                  <w:rStyle w:val="Hyperlink"/>
                  <w:rFonts w:ascii="Arial" w:hAnsi="Arial" w:cs="Arial"/>
                  <w:b/>
                  <w:bCs/>
                  <w:sz w:val="14"/>
                  <w:szCs w:val="14"/>
                </w:rPr>
                <w:t>Rel-18</w:t>
              </w:r>
            </w:hyperlink>
          </w:p>
        </w:tc>
        <w:tc>
          <w:tcPr>
            <w:tcW w:w="301" w:type="pct"/>
            <w:shd w:val="clear" w:color="auto" w:fill="auto"/>
          </w:tcPr>
          <w:p w14:paraId="25B0F9CC" w14:textId="18702A81" w:rsidR="005A18DC" w:rsidRPr="005A18DC" w:rsidRDefault="005A18DC" w:rsidP="005A18DC">
            <w:pPr>
              <w:rPr>
                <w:rFonts w:ascii="Arial" w:eastAsia="Times New Roman" w:hAnsi="Arial" w:cs="Arial"/>
                <w:color w:val="000000"/>
                <w:sz w:val="14"/>
                <w:szCs w:val="14"/>
                <w:lang w:eastAsia="en-GB"/>
              </w:rPr>
            </w:pPr>
            <w:hyperlink r:id="rId2623" w:history="1">
              <w:r w:rsidRPr="005A18DC">
                <w:rPr>
                  <w:rStyle w:val="Hyperlink"/>
                  <w:rFonts w:ascii="Arial" w:hAnsi="Arial" w:cs="Arial"/>
                  <w:b/>
                  <w:bCs/>
                  <w:sz w:val="14"/>
                  <w:szCs w:val="14"/>
                </w:rPr>
                <w:t>38.214</w:t>
              </w:r>
            </w:hyperlink>
          </w:p>
        </w:tc>
        <w:tc>
          <w:tcPr>
            <w:tcW w:w="324" w:type="pct"/>
            <w:shd w:val="clear" w:color="auto" w:fill="auto"/>
          </w:tcPr>
          <w:p w14:paraId="116BD483" w14:textId="221B550E"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18.0.0</w:t>
            </w:r>
          </w:p>
        </w:tc>
        <w:tc>
          <w:tcPr>
            <w:tcW w:w="779" w:type="pct"/>
          </w:tcPr>
          <w:p w14:paraId="70C4716A" w14:textId="0D9ACACA" w:rsidR="005A18DC" w:rsidRPr="005A18DC" w:rsidRDefault="005A18DC" w:rsidP="005A18DC">
            <w:pPr>
              <w:rPr>
                <w:rFonts w:ascii="Arial" w:eastAsia="Times New Roman" w:hAnsi="Arial" w:cs="Arial"/>
                <w:color w:val="000000"/>
                <w:sz w:val="14"/>
                <w:szCs w:val="14"/>
                <w:lang w:eastAsia="en-GB"/>
              </w:rPr>
            </w:pPr>
            <w:hyperlink r:id="rId2624" w:history="1">
              <w:r w:rsidRPr="005A18DC">
                <w:rPr>
                  <w:rStyle w:val="Hyperlink"/>
                  <w:rFonts w:ascii="Arial" w:hAnsi="Arial" w:cs="Arial"/>
                  <w:b/>
                  <w:bCs/>
                  <w:sz w:val="14"/>
                  <w:szCs w:val="14"/>
                </w:rPr>
                <w:t>NR_MIMO_evo_DL_UL-Core</w:t>
              </w:r>
            </w:hyperlink>
          </w:p>
        </w:tc>
        <w:tc>
          <w:tcPr>
            <w:tcW w:w="233" w:type="pct"/>
          </w:tcPr>
          <w:p w14:paraId="3B3FE8D1" w14:textId="06624C8D"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0483</w:t>
            </w:r>
          </w:p>
        </w:tc>
        <w:tc>
          <w:tcPr>
            <w:tcW w:w="226" w:type="pct"/>
          </w:tcPr>
          <w:p w14:paraId="1DD376C4" w14:textId="041F744D"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 </w:t>
            </w:r>
          </w:p>
        </w:tc>
        <w:tc>
          <w:tcPr>
            <w:tcW w:w="203" w:type="pct"/>
          </w:tcPr>
          <w:p w14:paraId="547FF2B3" w14:textId="45BD4E7E"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F</w:t>
            </w:r>
          </w:p>
        </w:tc>
      </w:tr>
      <w:tr w:rsidR="005A18DC" w:rsidRPr="009537ED" w14:paraId="5B9A2DC0" w14:textId="77777777" w:rsidTr="00AA703E">
        <w:trPr>
          <w:trHeight w:val="20"/>
        </w:trPr>
        <w:tc>
          <w:tcPr>
            <w:tcW w:w="365" w:type="pct"/>
          </w:tcPr>
          <w:p w14:paraId="3C38268A" w14:textId="0A790B2C" w:rsidR="005A18DC" w:rsidRPr="005A18DC" w:rsidRDefault="005A18DC" w:rsidP="005A18DC">
            <w:pPr>
              <w:rPr>
                <w:rFonts w:ascii="Arial" w:eastAsia="Times New Roman" w:hAnsi="Arial" w:cs="Arial"/>
                <w:color w:val="000000"/>
                <w:sz w:val="14"/>
                <w:szCs w:val="14"/>
                <w:lang w:eastAsia="en-GB"/>
              </w:rPr>
            </w:pPr>
            <w:hyperlink r:id="rId2625" w:history="1">
              <w:r w:rsidRPr="005A18DC">
                <w:rPr>
                  <w:rStyle w:val="Hyperlink"/>
                  <w:rFonts w:ascii="Arial" w:hAnsi="Arial" w:cs="Arial"/>
                  <w:b/>
                  <w:bCs/>
                  <w:sz w:val="14"/>
                  <w:szCs w:val="14"/>
                </w:rPr>
                <w:t>R1-2312754</w:t>
              </w:r>
            </w:hyperlink>
          </w:p>
        </w:tc>
        <w:tc>
          <w:tcPr>
            <w:tcW w:w="1471" w:type="pct"/>
          </w:tcPr>
          <w:p w14:paraId="512B5479" w14:textId="60AE50D4"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Correction of specification support for MIMO enhancements on uTCI_STxMP_DMRS_SRS_8Tx_2TA</w:t>
            </w:r>
          </w:p>
        </w:tc>
        <w:tc>
          <w:tcPr>
            <w:tcW w:w="849" w:type="pct"/>
          </w:tcPr>
          <w:p w14:paraId="065485B8" w14:textId="1A5FB78D"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Nokia</w:t>
            </w:r>
          </w:p>
        </w:tc>
        <w:tc>
          <w:tcPr>
            <w:tcW w:w="248" w:type="pct"/>
          </w:tcPr>
          <w:p w14:paraId="739A9C90" w14:textId="65114A3A" w:rsidR="005A18DC" w:rsidRPr="005A18DC" w:rsidRDefault="005A18DC" w:rsidP="005A18DC">
            <w:pPr>
              <w:rPr>
                <w:rFonts w:ascii="Arial" w:eastAsia="Times New Roman" w:hAnsi="Arial" w:cs="Arial"/>
                <w:color w:val="000000"/>
                <w:sz w:val="14"/>
                <w:szCs w:val="14"/>
                <w:lang w:eastAsia="en-GB"/>
              </w:rPr>
            </w:pPr>
            <w:hyperlink r:id="rId2626" w:history="1">
              <w:r w:rsidRPr="005A18DC">
                <w:rPr>
                  <w:rStyle w:val="Hyperlink"/>
                  <w:rFonts w:ascii="Arial" w:hAnsi="Arial" w:cs="Arial"/>
                  <w:b/>
                  <w:bCs/>
                  <w:sz w:val="14"/>
                  <w:szCs w:val="14"/>
                </w:rPr>
                <w:t>Rel-18</w:t>
              </w:r>
            </w:hyperlink>
          </w:p>
        </w:tc>
        <w:tc>
          <w:tcPr>
            <w:tcW w:w="301" w:type="pct"/>
            <w:shd w:val="clear" w:color="auto" w:fill="auto"/>
          </w:tcPr>
          <w:p w14:paraId="0D752D69" w14:textId="63598123" w:rsidR="005A18DC" w:rsidRPr="005A18DC" w:rsidRDefault="005A18DC" w:rsidP="005A18DC">
            <w:pPr>
              <w:rPr>
                <w:rFonts w:ascii="Arial" w:eastAsia="Times New Roman" w:hAnsi="Arial" w:cs="Arial"/>
                <w:color w:val="000000"/>
                <w:sz w:val="14"/>
                <w:szCs w:val="14"/>
                <w:lang w:eastAsia="en-GB"/>
              </w:rPr>
            </w:pPr>
            <w:hyperlink r:id="rId2627" w:history="1">
              <w:r w:rsidRPr="005A18DC">
                <w:rPr>
                  <w:rStyle w:val="Hyperlink"/>
                  <w:rFonts w:ascii="Arial" w:hAnsi="Arial" w:cs="Arial"/>
                  <w:b/>
                  <w:bCs/>
                  <w:sz w:val="14"/>
                  <w:szCs w:val="14"/>
                </w:rPr>
                <w:t>38.214</w:t>
              </w:r>
            </w:hyperlink>
          </w:p>
        </w:tc>
        <w:tc>
          <w:tcPr>
            <w:tcW w:w="324" w:type="pct"/>
            <w:shd w:val="clear" w:color="auto" w:fill="auto"/>
          </w:tcPr>
          <w:p w14:paraId="635BDA9A" w14:textId="7BBC1565"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18.0.0</w:t>
            </w:r>
          </w:p>
        </w:tc>
        <w:tc>
          <w:tcPr>
            <w:tcW w:w="779" w:type="pct"/>
          </w:tcPr>
          <w:p w14:paraId="55DE2E65" w14:textId="798DC34B" w:rsidR="005A18DC" w:rsidRPr="005A18DC" w:rsidRDefault="005A18DC" w:rsidP="005A18DC">
            <w:pPr>
              <w:rPr>
                <w:rFonts w:ascii="Arial" w:eastAsia="Times New Roman" w:hAnsi="Arial" w:cs="Arial"/>
                <w:color w:val="000000"/>
                <w:sz w:val="14"/>
                <w:szCs w:val="14"/>
                <w:lang w:eastAsia="en-GB"/>
              </w:rPr>
            </w:pPr>
            <w:hyperlink r:id="rId2628" w:history="1">
              <w:r w:rsidRPr="005A18DC">
                <w:rPr>
                  <w:rStyle w:val="Hyperlink"/>
                  <w:rFonts w:ascii="Arial" w:hAnsi="Arial" w:cs="Arial"/>
                  <w:b/>
                  <w:bCs/>
                  <w:sz w:val="14"/>
                  <w:szCs w:val="14"/>
                </w:rPr>
                <w:t>NR_MIMO_evo_DL_UL-Core</w:t>
              </w:r>
            </w:hyperlink>
          </w:p>
        </w:tc>
        <w:tc>
          <w:tcPr>
            <w:tcW w:w="233" w:type="pct"/>
          </w:tcPr>
          <w:p w14:paraId="47A6BA79" w14:textId="4E89FAF9"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0484</w:t>
            </w:r>
          </w:p>
        </w:tc>
        <w:tc>
          <w:tcPr>
            <w:tcW w:w="226" w:type="pct"/>
          </w:tcPr>
          <w:p w14:paraId="624C8F5E" w14:textId="1E6DFD7F"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 </w:t>
            </w:r>
          </w:p>
        </w:tc>
        <w:tc>
          <w:tcPr>
            <w:tcW w:w="203" w:type="pct"/>
          </w:tcPr>
          <w:p w14:paraId="2E24FA11" w14:textId="7CA2BF35"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F</w:t>
            </w:r>
          </w:p>
        </w:tc>
      </w:tr>
      <w:tr w:rsidR="005A18DC" w:rsidRPr="009537ED" w14:paraId="1CF84A47" w14:textId="77777777" w:rsidTr="00AA703E">
        <w:trPr>
          <w:trHeight w:val="20"/>
        </w:trPr>
        <w:tc>
          <w:tcPr>
            <w:tcW w:w="365" w:type="pct"/>
          </w:tcPr>
          <w:p w14:paraId="44D9F4D8" w14:textId="0A8E5ECD" w:rsidR="005A18DC" w:rsidRPr="005A18DC" w:rsidRDefault="005A18DC" w:rsidP="005A18DC">
            <w:pPr>
              <w:rPr>
                <w:rFonts w:ascii="Arial" w:eastAsia="Times New Roman" w:hAnsi="Arial" w:cs="Arial"/>
                <w:color w:val="000000"/>
                <w:sz w:val="14"/>
                <w:szCs w:val="14"/>
                <w:lang w:eastAsia="en-GB"/>
              </w:rPr>
            </w:pPr>
            <w:hyperlink r:id="rId2629" w:history="1">
              <w:r w:rsidRPr="005A18DC">
                <w:rPr>
                  <w:rStyle w:val="Hyperlink"/>
                  <w:rFonts w:ascii="Arial" w:hAnsi="Arial" w:cs="Arial"/>
                  <w:b/>
                  <w:bCs/>
                  <w:sz w:val="14"/>
                  <w:szCs w:val="14"/>
                </w:rPr>
                <w:t>R1-2312755</w:t>
              </w:r>
            </w:hyperlink>
          </w:p>
        </w:tc>
        <w:tc>
          <w:tcPr>
            <w:tcW w:w="1471" w:type="pct"/>
          </w:tcPr>
          <w:p w14:paraId="7892D0FE" w14:textId="12D78C68"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Corrections of specification support for mobility enhancements</w:t>
            </w:r>
          </w:p>
        </w:tc>
        <w:tc>
          <w:tcPr>
            <w:tcW w:w="849" w:type="pct"/>
          </w:tcPr>
          <w:p w14:paraId="336887E6" w14:textId="72323284"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Nokia</w:t>
            </w:r>
          </w:p>
        </w:tc>
        <w:tc>
          <w:tcPr>
            <w:tcW w:w="248" w:type="pct"/>
          </w:tcPr>
          <w:p w14:paraId="4C32647C" w14:textId="0AC8EFC3" w:rsidR="005A18DC" w:rsidRPr="005A18DC" w:rsidRDefault="005A18DC" w:rsidP="005A18DC">
            <w:pPr>
              <w:rPr>
                <w:rFonts w:ascii="Arial" w:eastAsia="Times New Roman" w:hAnsi="Arial" w:cs="Arial"/>
                <w:color w:val="000000"/>
                <w:sz w:val="14"/>
                <w:szCs w:val="14"/>
                <w:lang w:eastAsia="en-GB"/>
              </w:rPr>
            </w:pPr>
            <w:hyperlink r:id="rId2630" w:history="1">
              <w:r w:rsidRPr="005A18DC">
                <w:rPr>
                  <w:rStyle w:val="Hyperlink"/>
                  <w:rFonts w:ascii="Arial" w:hAnsi="Arial" w:cs="Arial"/>
                  <w:b/>
                  <w:bCs/>
                  <w:sz w:val="14"/>
                  <w:szCs w:val="14"/>
                </w:rPr>
                <w:t>Rel-18</w:t>
              </w:r>
            </w:hyperlink>
          </w:p>
        </w:tc>
        <w:tc>
          <w:tcPr>
            <w:tcW w:w="301" w:type="pct"/>
            <w:shd w:val="clear" w:color="auto" w:fill="auto"/>
          </w:tcPr>
          <w:p w14:paraId="4445D265" w14:textId="59A2BE6A" w:rsidR="005A18DC" w:rsidRPr="005A18DC" w:rsidRDefault="005A18DC" w:rsidP="005A18DC">
            <w:pPr>
              <w:rPr>
                <w:rFonts w:ascii="Arial" w:eastAsia="Times New Roman" w:hAnsi="Arial" w:cs="Arial"/>
                <w:color w:val="000000"/>
                <w:sz w:val="14"/>
                <w:szCs w:val="14"/>
                <w:lang w:eastAsia="en-GB"/>
              </w:rPr>
            </w:pPr>
            <w:hyperlink r:id="rId2631" w:history="1">
              <w:r w:rsidRPr="005A18DC">
                <w:rPr>
                  <w:rStyle w:val="Hyperlink"/>
                  <w:rFonts w:ascii="Arial" w:hAnsi="Arial" w:cs="Arial"/>
                  <w:b/>
                  <w:bCs/>
                  <w:sz w:val="14"/>
                  <w:szCs w:val="14"/>
                </w:rPr>
                <w:t>38.214</w:t>
              </w:r>
            </w:hyperlink>
          </w:p>
        </w:tc>
        <w:tc>
          <w:tcPr>
            <w:tcW w:w="324" w:type="pct"/>
            <w:shd w:val="clear" w:color="auto" w:fill="auto"/>
          </w:tcPr>
          <w:p w14:paraId="45A5555E" w14:textId="536FD9A6"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18.0.0</w:t>
            </w:r>
          </w:p>
        </w:tc>
        <w:tc>
          <w:tcPr>
            <w:tcW w:w="779" w:type="pct"/>
          </w:tcPr>
          <w:p w14:paraId="72C8C778" w14:textId="04FD99CA" w:rsidR="005A18DC" w:rsidRPr="005A18DC" w:rsidRDefault="005A18DC" w:rsidP="005A18DC">
            <w:pPr>
              <w:rPr>
                <w:rFonts w:ascii="Arial" w:eastAsia="Times New Roman" w:hAnsi="Arial" w:cs="Arial"/>
                <w:color w:val="000000"/>
                <w:sz w:val="14"/>
                <w:szCs w:val="14"/>
                <w:lang w:eastAsia="en-GB"/>
              </w:rPr>
            </w:pPr>
            <w:hyperlink r:id="rId2632" w:history="1">
              <w:r w:rsidRPr="005A18DC">
                <w:rPr>
                  <w:rStyle w:val="Hyperlink"/>
                  <w:rFonts w:ascii="Arial" w:hAnsi="Arial" w:cs="Arial"/>
                  <w:b/>
                  <w:bCs/>
                  <w:sz w:val="14"/>
                  <w:szCs w:val="14"/>
                </w:rPr>
                <w:t>NR_Mob_enh2-Core</w:t>
              </w:r>
            </w:hyperlink>
          </w:p>
        </w:tc>
        <w:tc>
          <w:tcPr>
            <w:tcW w:w="233" w:type="pct"/>
          </w:tcPr>
          <w:p w14:paraId="1B993C02" w14:textId="10017DC1"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0485</w:t>
            </w:r>
          </w:p>
        </w:tc>
        <w:tc>
          <w:tcPr>
            <w:tcW w:w="226" w:type="pct"/>
          </w:tcPr>
          <w:p w14:paraId="609FE47A" w14:textId="2441FE67"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 </w:t>
            </w:r>
          </w:p>
        </w:tc>
        <w:tc>
          <w:tcPr>
            <w:tcW w:w="203" w:type="pct"/>
          </w:tcPr>
          <w:p w14:paraId="710D0EA9" w14:textId="12C96C1E"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F</w:t>
            </w:r>
          </w:p>
        </w:tc>
      </w:tr>
      <w:tr w:rsidR="005A18DC" w:rsidRPr="009537ED" w14:paraId="03BF03CD" w14:textId="77777777" w:rsidTr="00AA703E">
        <w:trPr>
          <w:trHeight w:val="20"/>
        </w:trPr>
        <w:tc>
          <w:tcPr>
            <w:tcW w:w="365" w:type="pct"/>
          </w:tcPr>
          <w:p w14:paraId="7C465A62" w14:textId="5445854D" w:rsidR="005A18DC" w:rsidRPr="005A18DC" w:rsidRDefault="005A18DC" w:rsidP="005A18DC">
            <w:pPr>
              <w:rPr>
                <w:rFonts w:ascii="Arial" w:eastAsia="Times New Roman" w:hAnsi="Arial" w:cs="Arial"/>
                <w:color w:val="000000"/>
                <w:sz w:val="14"/>
                <w:szCs w:val="14"/>
                <w:lang w:eastAsia="en-GB"/>
              </w:rPr>
            </w:pPr>
            <w:hyperlink r:id="rId2633" w:history="1">
              <w:r w:rsidRPr="005A18DC">
                <w:rPr>
                  <w:rStyle w:val="Hyperlink"/>
                  <w:rFonts w:ascii="Arial" w:hAnsi="Arial" w:cs="Arial"/>
                  <w:b/>
                  <w:bCs/>
                  <w:sz w:val="14"/>
                  <w:szCs w:val="14"/>
                </w:rPr>
                <w:t>R1-2312756</w:t>
              </w:r>
            </w:hyperlink>
          </w:p>
        </w:tc>
        <w:tc>
          <w:tcPr>
            <w:tcW w:w="1471" w:type="pct"/>
          </w:tcPr>
          <w:p w14:paraId="32066494" w14:textId="0A17C2FA"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Correction of specification support for NR NTN enhancements</w:t>
            </w:r>
          </w:p>
        </w:tc>
        <w:tc>
          <w:tcPr>
            <w:tcW w:w="849" w:type="pct"/>
          </w:tcPr>
          <w:p w14:paraId="3A4D48B9" w14:textId="4C9FA8CB"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Nokia</w:t>
            </w:r>
          </w:p>
        </w:tc>
        <w:tc>
          <w:tcPr>
            <w:tcW w:w="248" w:type="pct"/>
          </w:tcPr>
          <w:p w14:paraId="41EBBB92" w14:textId="241B4186" w:rsidR="005A18DC" w:rsidRPr="005A18DC" w:rsidRDefault="005A18DC" w:rsidP="005A18DC">
            <w:pPr>
              <w:rPr>
                <w:rFonts w:ascii="Arial" w:eastAsia="Times New Roman" w:hAnsi="Arial" w:cs="Arial"/>
                <w:color w:val="000000"/>
                <w:sz w:val="14"/>
                <w:szCs w:val="14"/>
                <w:lang w:eastAsia="en-GB"/>
              </w:rPr>
            </w:pPr>
            <w:hyperlink r:id="rId2634" w:history="1">
              <w:r w:rsidRPr="005A18DC">
                <w:rPr>
                  <w:rStyle w:val="Hyperlink"/>
                  <w:rFonts w:ascii="Arial" w:hAnsi="Arial" w:cs="Arial"/>
                  <w:b/>
                  <w:bCs/>
                  <w:sz w:val="14"/>
                  <w:szCs w:val="14"/>
                </w:rPr>
                <w:t>Rel-18</w:t>
              </w:r>
            </w:hyperlink>
          </w:p>
        </w:tc>
        <w:tc>
          <w:tcPr>
            <w:tcW w:w="301" w:type="pct"/>
            <w:shd w:val="clear" w:color="auto" w:fill="auto"/>
          </w:tcPr>
          <w:p w14:paraId="0B87AC21" w14:textId="44AD79FC" w:rsidR="005A18DC" w:rsidRPr="005A18DC" w:rsidRDefault="005A18DC" w:rsidP="005A18DC">
            <w:pPr>
              <w:rPr>
                <w:rFonts w:ascii="Arial" w:eastAsia="Times New Roman" w:hAnsi="Arial" w:cs="Arial"/>
                <w:color w:val="000000"/>
                <w:sz w:val="14"/>
                <w:szCs w:val="14"/>
                <w:lang w:eastAsia="en-GB"/>
              </w:rPr>
            </w:pPr>
            <w:hyperlink r:id="rId2635" w:history="1">
              <w:r w:rsidRPr="005A18DC">
                <w:rPr>
                  <w:rStyle w:val="Hyperlink"/>
                  <w:rFonts w:ascii="Arial" w:hAnsi="Arial" w:cs="Arial"/>
                  <w:b/>
                  <w:bCs/>
                  <w:sz w:val="14"/>
                  <w:szCs w:val="14"/>
                </w:rPr>
                <w:t>38.214</w:t>
              </w:r>
            </w:hyperlink>
          </w:p>
        </w:tc>
        <w:tc>
          <w:tcPr>
            <w:tcW w:w="324" w:type="pct"/>
            <w:shd w:val="clear" w:color="auto" w:fill="auto"/>
          </w:tcPr>
          <w:p w14:paraId="6EE32A87" w14:textId="4E2D9D40"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18.0.0</w:t>
            </w:r>
          </w:p>
        </w:tc>
        <w:tc>
          <w:tcPr>
            <w:tcW w:w="779" w:type="pct"/>
          </w:tcPr>
          <w:p w14:paraId="1BE37442" w14:textId="46F67EE2" w:rsidR="005A18DC" w:rsidRPr="005A18DC" w:rsidRDefault="005A18DC" w:rsidP="005A18DC">
            <w:pPr>
              <w:rPr>
                <w:rFonts w:ascii="Arial" w:eastAsia="Times New Roman" w:hAnsi="Arial" w:cs="Arial"/>
                <w:color w:val="000000"/>
                <w:sz w:val="14"/>
                <w:szCs w:val="14"/>
                <w:lang w:eastAsia="en-GB"/>
              </w:rPr>
            </w:pPr>
            <w:hyperlink r:id="rId2636" w:history="1">
              <w:r w:rsidRPr="005A18DC">
                <w:rPr>
                  <w:rStyle w:val="Hyperlink"/>
                  <w:rFonts w:ascii="Arial" w:hAnsi="Arial" w:cs="Arial"/>
                  <w:b/>
                  <w:bCs/>
                  <w:sz w:val="14"/>
                  <w:szCs w:val="14"/>
                </w:rPr>
                <w:t>NR_NTN_enh-Core</w:t>
              </w:r>
            </w:hyperlink>
          </w:p>
        </w:tc>
        <w:tc>
          <w:tcPr>
            <w:tcW w:w="233" w:type="pct"/>
          </w:tcPr>
          <w:p w14:paraId="7FEFBB26" w14:textId="796E8DBF"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0486</w:t>
            </w:r>
          </w:p>
        </w:tc>
        <w:tc>
          <w:tcPr>
            <w:tcW w:w="226" w:type="pct"/>
          </w:tcPr>
          <w:p w14:paraId="2AEBA355" w14:textId="2140DCF0"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 </w:t>
            </w:r>
          </w:p>
        </w:tc>
        <w:tc>
          <w:tcPr>
            <w:tcW w:w="203" w:type="pct"/>
          </w:tcPr>
          <w:p w14:paraId="2CE5B78A" w14:textId="5068A31A"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F</w:t>
            </w:r>
          </w:p>
        </w:tc>
      </w:tr>
      <w:tr w:rsidR="005A18DC" w:rsidRPr="009537ED" w14:paraId="0F12BB09" w14:textId="77777777" w:rsidTr="00AA703E">
        <w:trPr>
          <w:trHeight w:val="20"/>
        </w:trPr>
        <w:tc>
          <w:tcPr>
            <w:tcW w:w="365" w:type="pct"/>
          </w:tcPr>
          <w:p w14:paraId="52017AB5" w14:textId="5945F3F6" w:rsidR="005A18DC" w:rsidRPr="005A18DC" w:rsidRDefault="005A18DC" w:rsidP="005A18DC">
            <w:pPr>
              <w:rPr>
                <w:rFonts w:ascii="Arial" w:eastAsia="Times New Roman" w:hAnsi="Arial" w:cs="Arial"/>
                <w:color w:val="000000"/>
                <w:sz w:val="14"/>
                <w:szCs w:val="14"/>
                <w:lang w:eastAsia="en-GB"/>
              </w:rPr>
            </w:pPr>
            <w:hyperlink r:id="rId2637" w:history="1">
              <w:r w:rsidRPr="005A18DC">
                <w:rPr>
                  <w:rStyle w:val="Hyperlink"/>
                  <w:rFonts w:ascii="Arial" w:hAnsi="Arial" w:cs="Arial"/>
                  <w:b/>
                  <w:bCs/>
                  <w:sz w:val="14"/>
                  <w:szCs w:val="14"/>
                </w:rPr>
                <w:t>R1-2312757</w:t>
              </w:r>
            </w:hyperlink>
          </w:p>
        </w:tc>
        <w:tc>
          <w:tcPr>
            <w:tcW w:w="1471" w:type="pct"/>
          </w:tcPr>
          <w:p w14:paraId="1DCD442D" w14:textId="6BAD0433"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Corrections on the support for Expanded and Improved NR Positioning</w:t>
            </w:r>
          </w:p>
        </w:tc>
        <w:tc>
          <w:tcPr>
            <w:tcW w:w="849" w:type="pct"/>
          </w:tcPr>
          <w:p w14:paraId="66BD44B1" w14:textId="6786FE94"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Nokia</w:t>
            </w:r>
          </w:p>
        </w:tc>
        <w:tc>
          <w:tcPr>
            <w:tcW w:w="248" w:type="pct"/>
          </w:tcPr>
          <w:p w14:paraId="06012C0C" w14:textId="40E15CE4" w:rsidR="005A18DC" w:rsidRPr="005A18DC" w:rsidRDefault="005A18DC" w:rsidP="005A18DC">
            <w:pPr>
              <w:rPr>
                <w:rFonts w:ascii="Arial" w:eastAsia="Times New Roman" w:hAnsi="Arial" w:cs="Arial"/>
                <w:color w:val="000000"/>
                <w:sz w:val="14"/>
                <w:szCs w:val="14"/>
                <w:lang w:eastAsia="en-GB"/>
              </w:rPr>
            </w:pPr>
            <w:hyperlink r:id="rId2638" w:history="1">
              <w:r w:rsidRPr="005A18DC">
                <w:rPr>
                  <w:rStyle w:val="Hyperlink"/>
                  <w:rFonts w:ascii="Arial" w:hAnsi="Arial" w:cs="Arial"/>
                  <w:b/>
                  <w:bCs/>
                  <w:sz w:val="14"/>
                  <w:szCs w:val="14"/>
                </w:rPr>
                <w:t>Rel-18</w:t>
              </w:r>
            </w:hyperlink>
          </w:p>
        </w:tc>
        <w:tc>
          <w:tcPr>
            <w:tcW w:w="301" w:type="pct"/>
            <w:shd w:val="clear" w:color="auto" w:fill="auto"/>
          </w:tcPr>
          <w:p w14:paraId="7603717E" w14:textId="20B56A9A" w:rsidR="005A18DC" w:rsidRPr="005A18DC" w:rsidRDefault="005A18DC" w:rsidP="005A18DC">
            <w:pPr>
              <w:rPr>
                <w:rFonts w:ascii="Arial" w:eastAsia="Times New Roman" w:hAnsi="Arial" w:cs="Arial"/>
                <w:color w:val="000000"/>
                <w:sz w:val="14"/>
                <w:szCs w:val="14"/>
                <w:lang w:eastAsia="en-GB"/>
              </w:rPr>
            </w:pPr>
            <w:hyperlink r:id="rId2639" w:history="1">
              <w:r w:rsidRPr="005A18DC">
                <w:rPr>
                  <w:rStyle w:val="Hyperlink"/>
                  <w:rFonts w:ascii="Arial" w:hAnsi="Arial" w:cs="Arial"/>
                  <w:b/>
                  <w:bCs/>
                  <w:sz w:val="14"/>
                  <w:szCs w:val="14"/>
                </w:rPr>
                <w:t>38.214</w:t>
              </w:r>
            </w:hyperlink>
          </w:p>
        </w:tc>
        <w:tc>
          <w:tcPr>
            <w:tcW w:w="324" w:type="pct"/>
            <w:shd w:val="clear" w:color="auto" w:fill="auto"/>
          </w:tcPr>
          <w:p w14:paraId="7D25E442" w14:textId="6AC74C44"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18.0.0</w:t>
            </w:r>
          </w:p>
        </w:tc>
        <w:tc>
          <w:tcPr>
            <w:tcW w:w="779" w:type="pct"/>
          </w:tcPr>
          <w:p w14:paraId="31B2B0FD" w14:textId="7AC5C0FD" w:rsidR="005A18DC" w:rsidRPr="005A18DC" w:rsidRDefault="005A18DC" w:rsidP="005A18DC">
            <w:pPr>
              <w:rPr>
                <w:rFonts w:ascii="Arial" w:eastAsia="Times New Roman" w:hAnsi="Arial" w:cs="Arial"/>
                <w:color w:val="000000"/>
                <w:sz w:val="14"/>
                <w:szCs w:val="14"/>
                <w:lang w:eastAsia="en-GB"/>
              </w:rPr>
            </w:pPr>
            <w:hyperlink r:id="rId2640" w:history="1">
              <w:r w:rsidRPr="005A18DC">
                <w:rPr>
                  <w:rStyle w:val="Hyperlink"/>
                  <w:rFonts w:ascii="Arial" w:hAnsi="Arial" w:cs="Arial"/>
                  <w:b/>
                  <w:bCs/>
                  <w:sz w:val="14"/>
                  <w:szCs w:val="14"/>
                </w:rPr>
                <w:t>NR_pos_enh2-Core</w:t>
              </w:r>
            </w:hyperlink>
          </w:p>
        </w:tc>
        <w:tc>
          <w:tcPr>
            <w:tcW w:w="233" w:type="pct"/>
          </w:tcPr>
          <w:p w14:paraId="2F3C9AE0" w14:textId="0F89A685"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0487</w:t>
            </w:r>
          </w:p>
        </w:tc>
        <w:tc>
          <w:tcPr>
            <w:tcW w:w="226" w:type="pct"/>
          </w:tcPr>
          <w:p w14:paraId="430E495C" w14:textId="2EC5F27E"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 </w:t>
            </w:r>
          </w:p>
        </w:tc>
        <w:tc>
          <w:tcPr>
            <w:tcW w:w="203" w:type="pct"/>
          </w:tcPr>
          <w:p w14:paraId="16211AED" w14:textId="7AF48BC2"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F</w:t>
            </w:r>
          </w:p>
        </w:tc>
      </w:tr>
      <w:tr w:rsidR="005A18DC" w:rsidRPr="009537ED" w14:paraId="474A68C4" w14:textId="77777777" w:rsidTr="00AA703E">
        <w:trPr>
          <w:trHeight w:val="20"/>
        </w:trPr>
        <w:tc>
          <w:tcPr>
            <w:tcW w:w="365" w:type="pct"/>
          </w:tcPr>
          <w:p w14:paraId="5C9DFFF1" w14:textId="12A29654" w:rsidR="005A18DC" w:rsidRPr="005A18DC" w:rsidRDefault="005A18DC" w:rsidP="005A18DC">
            <w:pPr>
              <w:rPr>
                <w:rFonts w:ascii="Arial" w:eastAsia="Times New Roman" w:hAnsi="Arial" w:cs="Arial"/>
                <w:color w:val="000000"/>
                <w:sz w:val="14"/>
                <w:szCs w:val="14"/>
                <w:lang w:eastAsia="en-GB"/>
              </w:rPr>
            </w:pPr>
            <w:hyperlink r:id="rId2641" w:history="1">
              <w:r w:rsidRPr="005A18DC">
                <w:rPr>
                  <w:rStyle w:val="Hyperlink"/>
                  <w:rFonts w:ascii="Arial" w:hAnsi="Arial" w:cs="Arial"/>
                  <w:b/>
                  <w:bCs/>
                  <w:sz w:val="14"/>
                  <w:szCs w:val="14"/>
                </w:rPr>
                <w:t>R1-2312758</w:t>
              </w:r>
            </w:hyperlink>
          </w:p>
        </w:tc>
        <w:tc>
          <w:tcPr>
            <w:tcW w:w="1471" w:type="pct"/>
          </w:tcPr>
          <w:p w14:paraId="347098D1" w14:textId="026DC9F2"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Correction of enhancements for NR sidelink evolution</w:t>
            </w:r>
          </w:p>
        </w:tc>
        <w:tc>
          <w:tcPr>
            <w:tcW w:w="849" w:type="pct"/>
          </w:tcPr>
          <w:p w14:paraId="5EA362B7" w14:textId="48E8E995"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Nokia</w:t>
            </w:r>
          </w:p>
        </w:tc>
        <w:tc>
          <w:tcPr>
            <w:tcW w:w="248" w:type="pct"/>
          </w:tcPr>
          <w:p w14:paraId="3D0EE9B0" w14:textId="2A55DA77" w:rsidR="005A18DC" w:rsidRPr="005A18DC" w:rsidRDefault="005A18DC" w:rsidP="005A18DC">
            <w:pPr>
              <w:rPr>
                <w:rFonts w:ascii="Arial" w:eastAsia="Times New Roman" w:hAnsi="Arial" w:cs="Arial"/>
                <w:color w:val="000000"/>
                <w:sz w:val="14"/>
                <w:szCs w:val="14"/>
                <w:lang w:eastAsia="en-GB"/>
              </w:rPr>
            </w:pPr>
            <w:hyperlink r:id="rId2642" w:history="1">
              <w:r w:rsidRPr="005A18DC">
                <w:rPr>
                  <w:rStyle w:val="Hyperlink"/>
                  <w:rFonts w:ascii="Arial" w:hAnsi="Arial" w:cs="Arial"/>
                  <w:b/>
                  <w:bCs/>
                  <w:sz w:val="14"/>
                  <w:szCs w:val="14"/>
                </w:rPr>
                <w:t>Rel-18</w:t>
              </w:r>
            </w:hyperlink>
          </w:p>
        </w:tc>
        <w:tc>
          <w:tcPr>
            <w:tcW w:w="301" w:type="pct"/>
            <w:shd w:val="clear" w:color="auto" w:fill="auto"/>
          </w:tcPr>
          <w:p w14:paraId="0027CB4D" w14:textId="3AAACFD6" w:rsidR="005A18DC" w:rsidRPr="005A18DC" w:rsidRDefault="005A18DC" w:rsidP="005A18DC">
            <w:pPr>
              <w:rPr>
                <w:rFonts w:ascii="Arial" w:eastAsia="Times New Roman" w:hAnsi="Arial" w:cs="Arial"/>
                <w:color w:val="000000"/>
                <w:sz w:val="14"/>
                <w:szCs w:val="14"/>
                <w:lang w:eastAsia="en-GB"/>
              </w:rPr>
            </w:pPr>
            <w:hyperlink r:id="rId2643" w:history="1">
              <w:r w:rsidRPr="005A18DC">
                <w:rPr>
                  <w:rStyle w:val="Hyperlink"/>
                  <w:rFonts w:ascii="Arial" w:hAnsi="Arial" w:cs="Arial"/>
                  <w:b/>
                  <w:bCs/>
                  <w:sz w:val="14"/>
                  <w:szCs w:val="14"/>
                </w:rPr>
                <w:t>38.214</w:t>
              </w:r>
            </w:hyperlink>
          </w:p>
        </w:tc>
        <w:tc>
          <w:tcPr>
            <w:tcW w:w="324" w:type="pct"/>
            <w:shd w:val="clear" w:color="auto" w:fill="auto"/>
          </w:tcPr>
          <w:p w14:paraId="11AEEB98" w14:textId="45F41EF5"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18.0.0</w:t>
            </w:r>
          </w:p>
        </w:tc>
        <w:tc>
          <w:tcPr>
            <w:tcW w:w="779" w:type="pct"/>
          </w:tcPr>
          <w:p w14:paraId="7E90D68C" w14:textId="41546B28" w:rsidR="005A18DC" w:rsidRPr="005A18DC" w:rsidRDefault="005A18DC" w:rsidP="005A18DC">
            <w:pPr>
              <w:rPr>
                <w:rFonts w:ascii="Arial" w:eastAsia="Times New Roman" w:hAnsi="Arial" w:cs="Arial"/>
                <w:color w:val="000000"/>
                <w:sz w:val="14"/>
                <w:szCs w:val="14"/>
                <w:lang w:eastAsia="en-GB"/>
              </w:rPr>
            </w:pPr>
            <w:hyperlink r:id="rId2644" w:history="1">
              <w:r w:rsidRPr="005A18DC">
                <w:rPr>
                  <w:rStyle w:val="Hyperlink"/>
                  <w:rFonts w:ascii="Arial" w:hAnsi="Arial" w:cs="Arial"/>
                  <w:b/>
                  <w:bCs/>
                  <w:sz w:val="14"/>
                  <w:szCs w:val="14"/>
                </w:rPr>
                <w:t>NR_SL_enh2-Core</w:t>
              </w:r>
            </w:hyperlink>
          </w:p>
        </w:tc>
        <w:tc>
          <w:tcPr>
            <w:tcW w:w="233" w:type="pct"/>
          </w:tcPr>
          <w:p w14:paraId="1583A723" w14:textId="5E9FA250"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0488</w:t>
            </w:r>
          </w:p>
        </w:tc>
        <w:tc>
          <w:tcPr>
            <w:tcW w:w="226" w:type="pct"/>
          </w:tcPr>
          <w:p w14:paraId="76AFB384" w14:textId="2D22CD87"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 </w:t>
            </w:r>
          </w:p>
        </w:tc>
        <w:tc>
          <w:tcPr>
            <w:tcW w:w="203" w:type="pct"/>
          </w:tcPr>
          <w:p w14:paraId="4D86CBEF" w14:textId="2B336E30"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F</w:t>
            </w:r>
          </w:p>
        </w:tc>
      </w:tr>
      <w:tr w:rsidR="005A18DC" w:rsidRPr="009537ED" w14:paraId="1716CCEE" w14:textId="77777777" w:rsidTr="00AA703E">
        <w:trPr>
          <w:trHeight w:val="20"/>
        </w:trPr>
        <w:tc>
          <w:tcPr>
            <w:tcW w:w="365" w:type="pct"/>
          </w:tcPr>
          <w:p w14:paraId="0CA1F1FC" w14:textId="6F16FF7A" w:rsidR="005A18DC" w:rsidRPr="005A18DC" w:rsidRDefault="005A18DC" w:rsidP="005A18DC">
            <w:pPr>
              <w:rPr>
                <w:rFonts w:ascii="Arial" w:eastAsia="Times New Roman" w:hAnsi="Arial" w:cs="Arial"/>
                <w:color w:val="000000"/>
                <w:sz w:val="14"/>
                <w:szCs w:val="14"/>
                <w:lang w:eastAsia="en-GB"/>
              </w:rPr>
            </w:pPr>
            <w:hyperlink r:id="rId2645" w:history="1">
              <w:r w:rsidRPr="005A18DC">
                <w:rPr>
                  <w:rStyle w:val="Hyperlink"/>
                  <w:rFonts w:ascii="Arial" w:hAnsi="Arial" w:cs="Arial"/>
                  <w:b/>
                  <w:bCs/>
                  <w:sz w:val="14"/>
                  <w:szCs w:val="14"/>
                </w:rPr>
                <w:t>R1-2312759</w:t>
              </w:r>
            </w:hyperlink>
          </w:p>
        </w:tc>
        <w:tc>
          <w:tcPr>
            <w:tcW w:w="1471" w:type="pct"/>
          </w:tcPr>
          <w:p w14:paraId="3BCD0EAA" w14:textId="6053D591"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Correction of enhanced reduced capability NR devices</w:t>
            </w:r>
          </w:p>
        </w:tc>
        <w:tc>
          <w:tcPr>
            <w:tcW w:w="849" w:type="pct"/>
          </w:tcPr>
          <w:p w14:paraId="44B8597D" w14:textId="0B350B66"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Nokia</w:t>
            </w:r>
          </w:p>
        </w:tc>
        <w:tc>
          <w:tcPr>
            <w:tcW w:w="248" w:type="pct"/>
          </w:tcPr>
          <w:p w14:paraId="6F4DE00E" w14:textId="0D02F4DE" w:rsidR="005A18DC" w:rsidRPr="005A18DC" w:rsidRDefault="005A18DC" w:rsidP="005A18DC">
            <w:pPr>
              <w:rPr>
                <w:rFonts w:ascii="Arial" w:eastAsia="Times New Roman" w:hAnsi="Arial" w:cs="Arial"/>
                <w:color w:val="000000"/>
                <w:sz w:val="14"/>
                <w:szCs w:val="14"/>
                <w:lang w:eastAsia="en-GB"/>
              </w:rPr>
            </w:pPr>
            <w:hyperlink r:id="rId2646" w:history="1">
              <w:r w:rsidRPr="005A18DC">
                <w:rPr>
                  <w:rStyle w:val="Hyperlink"/>
                  <w:rFonts w:ascii="Arial" w:hAnsi="Arial" w:cs="Arial"/>
                  <w:b/>
                  <w:bCs/>
                  <w:sz w:val="14"/>
                  <w:szCs w:val="14"/>
                </w:rPr>
                <w:t>Rel-18</w:t>
              </w:r>
            </w:hyperlink>
          </w:p>
        </w:tc>
        <w:tc>
          <w:tcPr>
            <w:tcW w:w="301" w:type="pct"/>
            <w:shd w:val="clear" w:color="auto" w:fill="auto"/>
          </w:tcPr>
          <w:p w14:paraId="19997C83" w14:textId="45788D97" w:rsidR="005A18DC" w:rsidRPr="005A18DC" w:rsidRDefault="005A18DC" w:rsidP="005A18DC">
            <w:pPr>
              <w:rPr>
                <w:rFonts w:ascii="Arial" w:eastAsia="Times New Roman" w:hAnsi="Arial" w:cs="Arial"/>
                <w:color w:val="000000"/>
                <w:sz w:val="14"/>
                <w:szCs w:val="14"/>
                <w:lang w:eastAsia="en-GB"/>
              </w:rPr>
            </w:pPr>
            <w:hyperlink r:id="rId2647" w:history="1">
              <w:r w:rsidRPr="005A18DC">
                <w:rPr>
                  <w:rStyle w:val="Hyperlink"/>
                  <w:rFonts w:ascii="Arial" w:hAnsi="Arial" w:cs="Arial"/>
                  <w:b/>
                  <w:bCs/>
                  <w:sz w:val="14"/>
                  <w:szCs w:val="14"/>
                </w:rPr>
                <w:t>38.214</w:t>
              </w:r>
            </w:hyperlink>
          </w:p>
        </w:tc>
        <w:tc>
          <w:tcPr>
            <w:tcW w:w="324" w:type="pct"/>
            <w:shd w:val="clear" w:color="auto" w:fill="auto"/>
          </w:tcPr>
          <w:p w14:paraId="304A7825" w14:textId="3CDCA263"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18.0.0</w:t>
            </w:r>
          </w:p>
        </w:tc>
        <w:tc>
          <w:tcPr>
            <w:tcW w:w="779" w:type="pct"/>
          </w:tcPr>
          <w:p w14:paraId="33EFF304" w14:textId="774E8335" w:rsidR="005A18DC" w:rsidRPr="005A18DC" w:rsidRDefault="005A18DC" w:rsidP="005A18DC">
            <w:pPr>
              <w:rPr>
                <w:rFonts w:ascii="Arial" w:eastAsia="Times New Roman" w:hAnsi="Arial" w:cs="Arial"/>
                <w:color w:val="000000"/>
                <w:sz w:val="14"/>
                <w:szCs w:val="14"/>
                <w:lang w:eastAsia="en-GB"/>
              </w:rPr>
            </w:pPr>
            <w:hyperlink r:id="rId2648" w:history="1">
              <w:r w:rsidRPr="005A18DC">
                <w:rPr>
                  <w:rStyle w:val="Hyperlink"/>
                  <w:rFonts w:ascii="Arial" w:hAnsi="Arial" w:cs="Arial"/>
                  <w:b/>
                  <w:bCs/>
                  <w:sz w:val="14"/>
                  <w:szCs w:val="14"/>
                </w:rPr>
                <w:t>NR_redcap_enh-Core</w:t>
              </w:r>
            </w:hyperlink>
          </w:p>
        </w:tc>
        <w:tc>
          <w:tcPr>
            <w:tcW w:w="233" w:type="pct"/>
          </w:tcPr>
          <w:p w14:paraId="174AB68C" w14:textId="1A0C80E4"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0489</w:t>
            </w:r>
          </w:p>
        </w:tc>
        <w:tc>
          <w:tcPr>
            <w:tcW w:w="226" w:type="pct"/>
          </w:tcPr>
          <w:p w14:paraId="2849E763" w14:textId="6CB96F63"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 </w:t>
            </w:r>
          </w:p>
        </w:tc>
        <w:tc>
          <w:tcPr>
            <w:tcW w:w="203" w:type="pct"/>
          </w:tcPr>
          <w:p w14:paraId="363E823A" w14:textId="20F30A86"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F</w:t>
            </w:r>
          </w:p>
        </w:tc>
      </w:tr>
      <w:tr w:rsidR="005A18DC" w:rsidRPr="009537ED" w14:paraId="2AB1C0FA" w14:textId="77777777" w:rsidTr="00AA703E">
        <w:trPr>
          <w:trHeight w:val="20"/>
        </w:trPr>
        <w:tc>
          <w:tcPr>
            <w:tcW w:w="365" w:type="pct"/>
          </w:tcPr>
          <w:p w14:paraId="60C0827A" w14:textId="26E77D57" w:rsidR="005A18DC" w:rsidRPr="005A18DC" w:rsidRDefault="005A18DC" w:rsidP="005A18DC">
            <w:pPr>
              <w:rPr>
                <w:rFonts w:ascii="Arial" w:eastAsia="Times New Roman" w:hAnsi="Arial" w:cs="Arial"/>
                <w:color w:val="000000"/>
                <w:sz w:val="14"/>
                <w:szCs w:val="14"/>
                <w:lang w:eastAsia="en-GB"/>
              </w:rPr>
            </w:pPr>
            <w:hyperlink r:id="rId2649" w:history="1">
              <w:r w:rsidRPr="005A18DC">
                <w:rPr>
                  <w:rStyle w:val="Hyperlink"/>
                  <w:rFonts w:ascii="Arial" w:hAnsi="Arial" w:cs="Arial"/>
                  <w:b/>
                  <w:bCs/>
                  <w:sz w:val="14"/>
                  <w:szCs w:val="14"/>
                </w:rPr>
                <w:t>R1-2312760</w:t>
              </w:r>
            </w:hyperlink>
          </w:p>
        </w:tc>
        <w:tc>
          <w:tcPr>
            <w:tcW w:w="1471" w:type="pct"/>
          </w:tcPr>
          <w:p w14:paraId="545A6F1E" w14:textId="19C03119"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Corrections of XR Enhancements for NR</w:t>
            </w:r>
          </w:p>
        </w:tc>
        <w:tc>
          <w:tcPr>
            <w:tcW w:w="849" w:type="pct"/>
          </w:tcPr>
          <w:p w14:paraId="2C65A1D9" w14:textId="7D285249"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Nokia</w:t>
            </w:r>
          </w:p>
        </w:tc>
        <w:tc>
          <w:tcPr>
            <w:tcW w:w="248" w:type="pct"/>
          </w:tcPr>
          <w:p w14:paraId="51FED467" w14:textId="0EE9C24B" w:rsidR="005A18DC" w:rsidRPr="005A18DC" w:rsidRDefault="005A18DC" w:rsidP="005A18DC">
            <w:pPr>
              <w:rPr>
                <w:rFonts w:ascii="Arial" w:eastAsia="Times New Roman" w:hAnsi="Arial" w:cs="Arial"/>
                <w:color w:val="000000"/>
                <w:sz w:val="14"/>
                <w:szCs w:val="14"/>
                <w:lang w:eastAsia="en-GB"/>
              </w:rPr>
            </w:pPr>
            <w:hyperlink r:id="rId2650" w:history="1">
              <w:r w:rsidRPr="005A18DC">
                <w:rPr>
                  <w:rStyle w:val="Hyperlink"/>
                  <w:rFonts w:ascii="Arial" w:hAnsi="Arial" w:cs="Arial"/>
                  <w:b/>
                  <w:bCs/>
                  <w:sz w:val="14"/>
                  <w:szCs w:val="14"/>
                </w:rPr>
                <w:t>Rel-18</w:t>
              </w:r>
            </w:hyperlink>
          </w:p>
        </w:tc>
        <w:tc>
          <w:tcPr>
            <w:tcW w:w="301" w:type="pct"/>
            <w:shd w:val="clear" w:color="auto" w:fill="auto"/>
          </w:tcPr>
          <w:p w14:paraId="382753B4" w14:textId="38CF6FD1" w:rsidR="005A18DC" w:rsidRPr="005A18DC" w:rsidRDefault="005A18DC" w:rsidP="005A18DC">
            <w:pPr>
              <w:rPr>
                <w:rFonts w:ascii="Arial" w:eastAsia="Times New Roman" w:hAnsi="Arial" w:cs="Arial"/>
                <w:color w:val="000000"/>
                <w:sz w:val="14"/>
                <w:szCs w:val="14"/>
                <w:lang w:eastAsia="en-GB"/>
              </w:rPr>
            </w:pPr>
            <w:hyperlink r:id="rId2651" w:history="1">
              <w:r w:rsidRPr="005A18DC">
                <w:rPr>
                  <w:rStyle w:val="Hyperlink"/>
                  <w:rFonts w:ascii="Arial" w:hAnsi="Arial" w:cs="Arial"/>
                  <w:b/>
                  <w:bCs/>
                  <w:sz w:val="14"/>
                  <w:szCs w:val="14"/>
                </w:rPr>
                <w:t>38.214</w:t>
              </w:r>
            </w:hyperlink>
          </w:p>
        </w:tc>
        <w:tc>
          <w:tcPr>
            <w:tcW w:w="324" w:type="pct"/>
            <w:shd w:val="clear" w:color="auto" w:fill="auto"/>
          </w:tcPr>
          <w:p w14:paraId="57C2E386" w14:textId="09018417"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18.0.0</w:t>
            </w:r>
          </w:p>
        </w:tc>
        <w:tc>
          <w:tcPr>
            <w:tcW w:w="779" w:type="pct"/>
          </w:tcPr>
          <w:p w14:paraId="6A9F824A" w14:textId="1A350DB2" w:rsidR="005A18DC" w:rsidRPr="005A18DC" w:rsidRDefault="005A18DC" w:rsidP="005A18DC">
            <w:pPr>
              <w:rPr>
                <w:rFonts w:ascii="Arial" w:eastAsia="Times New Roman" w:hAnsi="Arial" w:cs="Arial"/>
                <w:color w:val="000000"/>
                <w:sz w:val="14"/>
                <w:szCs w:val="14"/>
                <w:lang w:eastAsia="en-GB"/>
              </w:rPr>
            </w:pPr>
            <w:hyperlink r:id="rId2652" w:history="1">
              <w:r w:rsidRPr="005A18DC">
                <w:rPr>
                  <w:rStyle w:val="Hyperlink"/>
                  <w:rFonts w:ascii="Arial" w:hAnsi="Arial" w:cs="Arial"/>
                  <w:b/>
                  <w:bCs/>
                  <w:sz w:val="14"/>
                  <w:szCs w:val="14"/>
                </w:rPr>
                <w:t>NR_XR_enh-Core</w:t>
              </w:r>
            </w:hyperlink>
          </w:p>
        </w:tc>
        <w:tc>
          <w:tcPr>
            <w:tcW w:w="233" w:type="pct"/>
          </w:tcPr>
          <w:p w14:paraId="04563F55" w14:textId="005B2701"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0490</w:t>
            </w:r>
          </w:p>
        </w:tc>
        <w:tc>
          <w:tcPr>
            <w:tcW w:w="226" w:type="pct"/>
          </w:tcPr>
          <w:p w14:paraId="7BC84950" w14:textId="43F413D3"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 </w:t>
            </w:r>
          </w:p>
        </w:tc>
        <w:tc>
          <w:tcPr>
            <w:tcW w:w="203" w:type="pct"/>
          </w:tcPr>
          <w:p w14:paraId="4DB16D0F" w14:textId="05A963EB"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F</w:t>
            </w:r>
          </w:p>
        </w:tc>
      </w:tr>
      <w:tr w:rsidR="005A18DC" w:rsidRPr="009537ED" w14:paraId="5C946C87" w14:textId="77777777" w:rsidTr="00AA703E">
        <w:trPr>
          <w:trHeight w:val="20"/>
        </w:trPr>
        <w:tc>
          <w:tcPr>
            <w:tcW w:w="365" w:type="pct"/>
          </w:tcPr>
          <w:p w14:paraId="0044F936" w14:textId="4E6ADD33" w:rsidR="005A18DC" w:rsidRPr="005A18DC" w:rsidRDefault="005A18DC" w:rsidP="005A18DC">
            <w:pPr>
              <w:rPr>
                <w:rFonts w:ascii="Arial" w:eastAsia="Times New Roman" w:hAnsi="Arial" w:cs="Arial"/>
                <w:color w:val="000000"/>
                <w:sz w:val="14"/>
                <w:szCs w:val="14"/>
                <w:lang w:eastAsia="en-GB"/>
              </w:rPr>
            </w:pPr>
            <w:hyperlink r:id="rId2653" w:history="1">
              <w:r w:rsidRPr="005A18DC">
                <w:rPr>
                  <w:rStyle w:val="Hyperlink"/>
                  <w:rFonts w:ascii="Arial" w:hAnsi="Arial" w:cs="Arial"/>
                  <w:b/>
                  <w:bCs/>
                  <w:sz w:val="14"/>
                  <w:szCs w:val="14"/>
                </w:rPr>
                <w:t>R1-2312761</w:t>
              </w:r>
            </w:hyperlink>
          </w:p>
        </w:tc>
        <w:tc>
          <w:tcPr>
            <w:tcW w:w="1471" w:type="pct"/>
          </w:tcPr>
          <w:p w14:paraId="71193D8B" w14:textId="74B4DB85"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Introduction of UL Tx switching across up to 4 bands</w:t>
            </w:r>
          </w:p>
        </w:tc>
        <w:tc>
          <w:tcPr>
            <w:tcW w:w="849" w:type="pct"/>
          </w:tcPr>
          <w:p w14:paraId="705AEEC9" w14:textId="59567008"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Nokia</w:t>
            </w:r>
          </w:p>
        </w:tc>
        <w:tc>
          <w:tcPr>
            <w:tcW w:w="248" w:type="pct"/>
          </w:tcPr>
          <w:p w14:paraId="6B8795D2" w14:textId="6414C057" w:rsidR="005A18DC" w:rsidRPr="005A18DC" w:rsidRDefault="005A18DC" w:rsidP="005A18DC">
            <w:pPr>
              <w:rPr>
                <w:rFonts w:ascii="Arial" w:eastAsia="Times New Roman" w:hAnsi="Arial" w:cs="Arial"/>
                <w:color w:val="000000"/>
                <w:sz w:val="14"/>
                <w:szCs w:val="14"/>
                <w:lang w:eastAsia="en-GB"/>
              </w:rPr>
            </w:pPr>
            <w:hyperlink r:id="rId2654" w:history="1">
              <w:r w:rsidRPr="005A18DC">
                <w:rPr>
                  <w:rStyle w:val="Hyperlink"/>
                  <w:rFonts w:ascii="Arial" w:hAnsi="Arial" w:cs="Arial"/>
                  <w:b/>
                  <w:bCs/>
                  <w:sz w:val="14"/>
                  <w:szCs w:val="14"/>
                </w:rPr>
                <w:t>Rel-18</w:t>
              </w:r>
            </w:hyperlink>
          </w:p>
        </w:tc>
        <w:tc>
          <w:tcPr>
            <w:tcW w:w="301" w:type="pct"/>
            <w:shd w:val="clear" w:color="auto" w:fill="auto"/>
          </w:tcPr>
          <w:p w14:paraId="4B8B7C6B" w14:textId="0B23B6DB" w:rsidR="005A18DC" w:rsidRPr="005A18DC" w:rsidRDefault="005A18DC" w:rsidP="005A18DC">
            <w:pPr>
              <w:rPr>
                <w:rFonts w:ascii="Arial" w:eastAsia="Times New Roman" w:hAnsi="Arial" w:cs="Arial"/>
                <w:color w:val="000000"/>
                <w:sz w:val="14"/>
                <w:szCs w:val="14"/>
                <w:lang w:eastAsia="en-GB"/>
              </w:rPr>
            </w:pPr>
            <w:hyperlink r:id="rId2655" w:history="1">
              <w:r w:rsidRPr="005A18DC">
                <w:rPr>
                  <w:rStyle w:val="Hyperlink"/>
                  <w:rFonts w:ascii="Arial" w:hAnsi="Arial" w:cs="Arial"/>
                  <w:b/>
                  <w:bCs/>
                  <w:sz w:val="14"/>
                  <w:szCs w:val="14"/>
                </w:rPr>
                <w:t>38.214</w:t>
              </w:r>
            </w:hyperlink>
          </w:p>
        </w:tc>
        <w:tc>
          <w:tcPr>
            <w:tcW w:w="324" w:type="pct"/>
            <w:shd w:val="clear" w:color="auto" w:fill="auto"/>
          </w:tcPr>
          <w:p w14:paraId="4130FAB3" w14:textId="742A9C96"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18.0.0</w:t>
            </w:r>
          </w:p>
        </w:tc>
        <w:tc>
          <w:tcPr>
            <w:tcW w:w="779" w:type="pct"/>
          </w:tcPr>
          <w:p w14:paraId="0F0E791A" w14:textId="21C62D11" w:rsidR="005A18DC" w:rsidRPr="005A18DC" w:rsidRDefault="005A18DC" w:rsidP="005A18DC">
            <w:pPr>
              <w:rPr>
                <w:rFonts w:ascii="Arial" w:eastAsia="Times New Roman" w:hAnsi="Arial" w:cs="Arial"/>
                <w:color w:val="000000"/>
                <w:sz w:val="14"/>
                <w:szCs w:val="14"/>
                <w:lang w:eastAsia="en-GB"/>
              </w:rPr>
            </w:pPr>
            <w:hyperlink r:id="rId2656" w:history="1">
              <w:r w:rsidRPr="005A18DC">
                <w:rPr>
                  <w:rStyle w:val="Hyperlink"/>
                  <w:rFonts w:ascii="Arial" w:hAnsi="Arial" w:cs="Arial"/>
                  <w:b/>
                  <w:bCs/>
                  <w:sz w:val="14"/>
                  <w:szCs w:val="14"/>
                </w:rPr>
                <w:t>NR_MC_enh-Core</w:t>
              </w:r>
            </w:hyperlink>
          </w:p>
        </w:tc>
        <w:tc>
          <w:tcPr>
            <w:tcW w:w="233" w:type="pct"/>
          </w:tcPr>
          <w:p w14:paraId="39488647" w14:textId="4ABBA158"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0491</w:t>
            </w:r>
          </w:p>
        </w:tc>
        <w:tc>
          <w:tcPr>
            <w:tcW w:w="226" w:type="pct"/>
          </w:tcPr>
          <w:p w14:paraId="2E543599" w14:textId="1B298157"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 </w:t>
            </w:r>
          </w:p>
        </w:tc>
        <w:tc>
          <w:tcPr>
            <w:tcW w:w="203" w:type="pct"/>
          </w:tcPr>
          <w:p w14:paraId="6F990652" w14:textId="2253AE50"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B</w:t>
            </w:r>
          </w:p>
        </w:tc>
      </w:tr>
      <w:tr w:rsidR="005A18DC" w:rsidRPr="009537ED" w14:paraId="1C338C25" w14:textId="77777777" w:rsidTr="00AA703E">
        <w:trPr>
          <w:trHeight w:val="20"/>
        </w:trPr>
        <w:tc>
          <w:tcPr>
            <w:tcW w:w="365" w:type="pct"/>
          </w:tcPr>
          <w:p w14:paraId="451450E2" w14:textId="7F530661" w:rsidR="005A18DC" w:rsidRPr="005A18DC" w:rsidRDefault="005A18DC" w:rsidP="005A18DC">
            <w:pPr>
              <w:rPr>
                <w:rFonts w:ascii="Arial" w:eastAsia="Times New Roman" w:hAnsi="Arial" w:cs="Arial"/>
                <w:color w:val="000000"/>
                <w:sz w:val="14"/>
                <w:szCs w:val="14"/>
                <w:lang w:eastAsia="en-GB"/>
              </w:rPr>
            </w:pPr>
            <w:hyperlink r:id="rId2657" w:history="1">
              <w:r w:rsidRPr="005A18DC">
                <w:rPr>
                  <w:rStyle w:val="Hyperlink"/>
                  <w:rFonts w:ascii="Arial" w:hAnsi="Arial" w:cs="Arial"/>
                  <w:b/>
                  <w:bCs/>
                  <w:sz w:val="14"/>
                  <w:szCs w:val="14"/>
                </w:rPr>
                <w:t>R1-2312762</w:t>
              </w:r>
            </w:hyperlink>
          </w:p>
        </w:tc>
        <w:tc>
          <w:tcPr>
            <w:tcW w:w="1471" w:type="pct"/>
          </w:tcPr>
          <w:p w14:paraId="376FBFC6" w14:textId="2F28B6D8"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Corrections to IoT (Internet of Things) NTN (non-terrestrial network) enhancements</w:t>
            </w:r>
          </w:p>
        </w:tc>
        <w:tc>
          <w:tcPr>
            <w:tcW w:w="849" w:type="pct"/>
          </w:tcPr>
          <w:p w14:paraId="551CE851" w14:textId="47FB3CD5"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Motorola Mobility</w:t>
            </w:r>
          </w:p>
        </w:tc>
        <w:tc>
          <w:tcPr>
            <w:tcW w:w="248" w:type="pct"/>
          </w:tcPr>
          <w:p w14:paraId="51096003" w14:textId="0C599258" w:rsidR="005A18DC" w:rsidRPr="005A18DC" w:rsidRDefault="005A18DC" w:rsidP="005A18DC">
            <w:pPr>
              <w:rPr>
                <w:rFonts w:ascii="Arial" w:eastAsia="Times New Roman" w:hAnsi="Arial" w:cs="Arial"/>
                <w:color w:val="000000"/>
                <w:sz w:val="14"/>
                <w:szCs w:val="14"/>
                <w:lang w:eastAsia="en-GB"/>
              </w:rPr>
            </w:pPr>
            <w:hyperlink r:id="rId2658" w:history="1">
              <w:r w:rsidRPr="005A18DC">
                <w:rPr>
                  <w:rStyle w:val="Hyperlink"/>
                  <w:rFonts w:ascii="Arial" w:hAnsi="Arial" w:cs="Arial"/>
                  <w:b/>
                  <w:bCs/>
                  <w:sz w:val="14"/>
                  <w:szCs w:val="14"/>
                </w:rPr>
                <w:t>Rel-18</w:t>
              </w:r>
            </w:hyperlink>
          </w:p>
        </w:tc>
        <w:tc>
          <w:tcPr>
            <w:tcW w:w="301" w:type="pct"/>
            <w:shd w:val="clear" w:color="auto" w:fill="auto"/>
          </w:tcPr>
          <w:p w14:paraId="6FB54534" w14:textId="63500113" w:rsidR="005A18DC" w:rsidRPr="005A18DC" w:rsidRDefault="005A18DC" w:rsidP="005A18DC">
            <w:pPr>
              <w:rPr>
                <w:rFonts w:ascii="Arial" w:eastAsia="Times New Roman" w:hAnsi="Arial" w:cs="Arial"/>
                <w:color w:val="000000"/>
                <w:sz w:val="14"/>
                <w:szCs w:val="14"/>
                <w:lang w:eastAsia="en-GB"/>
              </w:rPr>
            </w:pPr>
            <w:hyperlink r:id="rId2659" w:history="1">
              <w:r w:rsidRPr="005A18DC">
                <w:rPr>
                  <w:rStyle w:val="Hyperlink"/>
                  <w:rFonts w:ascii="Arial" w:hAnsi="Arial" w:cs="Arial"/>
                  <w:b/>
                  <w:bCs/>
                  <w:sz w:val="14"/>
                  <w:szCs w:val="14"/>
                </w:rPr>
                <w:t>36.213</w:t>
              </w:r>
            </w:hyperlink>
          </w:p>
        </w:tc>
        <w:tc>
          <w:tcPr>
            <w:tcW w:w="324" w:type="pct"/>
            <w:shd w:val="clear" w:color="auto" w:fill="auto"/>
          </w:tcPr>
          <w:p w14:paraId="182CCE3C" w14:textId="0F461E35"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18.0.0</w:t>
            </w:r>
          </w:p>
        </w:tc>
        <w:tc>
          <w:tcPr>
            <w:tcW w:w="779" w:type="pct"/>
          </w:tcPr>
          <w:p w14:paraId="09F08E78" w14:textId="100184BD" w:rsidR="005A18DC" w:rsidRPr="005A18DC" w:rsidRDefault="005A18DC" w:rsidP="005A18DC">
            <w:pPr>
              <w:rPr>
                <w:rFonts w:ascii="Arial" w:eastAsia="Times New Roman" w:hAnsi="Arial" w:cs="Arial"/>
                <w:color w:val="000000"/>
                <w:sz w:val="14"/>
                <w:szCs w:val="14"/>
                <w:lang w:eastAsia="en-GB"/>
              </w:rPr>
            </w:pPr>
            <w:hyperlink r:id="rId2660" w:history="1">
              <w:r w:rsidRPr="005A18DC">
                <w:rPr>
                  <w:rStyle w:val="Hyperlink"/>
                  <w:rFonts w:ascii="Arial" w:hAnsi="Arial" w:cs="Arial"/>
                  <w:b/>
                  <w:bCs/>
                  <w:sz w:val="14"/>
                  <w:szCs w:val="14"/>
                </w:rPr>
                <w:t>IoT_NTN_enh-Core</w:t>
              </w:r>
            </w:hyperlink>
          </w:p>
        </w:tc>
        <w:tc>
          <w:tcPr>
            <w:tcW w:w="233" w:type="pct"/>
          </w:tcPr>
          <w:p w14:paraId="6C964DAF" w14:textId="254E03F4"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1442</w:t>
            </w:r>
          </w:p>
        </w:tc>
        <w:tc>
          <w:tcPr>
            <w:tcW w:w="226" w:type="pct"/>
          </w:tcPr>
          <w:p w14:paraId="5D2F2656" w14:textId="3CFA7172"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 </w:t>
            </w:r>
          </w:p>
        </w:tc>
        <w:tc>
          <w:tcPr>
            <w:tcW w:w="203" w:type="pct"/>
          </w:tcPr>
          <w:p w14:paraId="74DEA381" w14:textId="6EDEF907"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F</w:t>
            </w:r>
          </w:p>
        </w:tc>
      </w:tr>
      <w:tr w:rsidR="005A18DC" w:rsidRPr="009537ED" w14:paraId="4F140BAA" w14:textId="77777777" w:rsidTr="00AA703E">
        <w:trPr>
          <w:trHeight w:val="20"/>
        </w:trPr>
        <w:tc>
          <w:tcPr>
            <w:tcW w:w="365" w:type="pct"/>
          </w:tcPr>
          <w:p w14:paraId="009419B9" w14:textId="7B0480D8" w:rsidR="005A18DC" w:rsidRPr="005A18DC" w:rsidRDefault="005A18DC" w:rsidP="005A18DC">
            <w:pPr>
              <w:rPr>
                <w:rFonts w:ascii="Arial" w:eastAsia="Times New Roman" w:hAnsi="Arial" w:cs="Arial"/>
                <w:color w:val="000000"/>
                <w:sz w:val="14"/>
                <w:szCs w:val="14"/>
                <w:lang w:eastAsia="en-GB"/>
              </w:rPr>
            </w:pPr>
            <w:hyperlink r:id="rId2661" w:history="1">
              <w:r w:rsidRPr="005A18DC">
                <w:rPr>
                  <w:rStyle w:val="Hyperlink"/>
                  <w:rFonts w:ascii="Arial" w:hAnsi="Arial" w:cs="Arial"/>
                  <w:b/>
                  <w:bCs/>
                  <w:sz w:val="14"/>
                  <w:szCs w:val="14"/>
                </w:rPr>
                <w:t>R1-2312763</w:t>
              </w:r>
            </w:hyperlink>
          </w:p>
        </w:tc>
        <w:tc>
          <w:tcPr>
            <w:tcW w:w="1471" w:type="pct"/>
          </w:tcPr>
          <w:p w14:paraId="4CAB7D1D" w14:textId="76CFCFAF"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Corrections on further NR coverage enhancements</w:t>
            </w:r>
          </w:p>
        </w:tc>
        <w:tc>
          <w:tcPr>
            <w:tcW w:w="849" w:type="pct"/>
          </w:tcPr>
          <w:p w14:paraId="69EB9022" w14:textId="1D5F5819"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Nokia</w:t>
            </w:r>
          </w:p>
        </w:tc>
        <w:tc>
          <w:tcPr>
            <w:tcW w:w="248" w:type="pct"/>
          </w:tcPr>
          <w:p w14:paraId="0D05626A" w14:textId="6DC383BB" w:rsidR="005A18DC" w:rsidRPr="005A18DC" w:rsidRDefault="005A18DC" w:rsidP="005A18DC">
            <w:pPr>
              <w:rPr>
                <w:rFonts w:ascii="Arial" w:eastAsia="Times New Roman" w:hAnsi="Arial" w:cs="Arial"/>
                <w:color w:val="000000"/>
                <w:sz w:val="14"/>
                <w:szCs w:val="14"/>
                <w:lang w:eastAsia="en-GB"/>
              </w:rPr>
            </w:pPr>
            <w:hyperlink r:id="rId2662" w:history="1">
              <w:r w:rsidRPr="005A18DC">
                <w:rPr>
                  <w:rStyle w:val="Hyperlink"/>
                  <w:rFonts w:ascii="Arial" w:hAnsi="Arial" w:cs="Arial"/>
                  <w:b/>
                  <w:bCs/>
                  <w:sz w:val="14"/>
                  <w:szCs w:val="14"/>
                </w:rPr>
                <w:t>Rel-18</w:t>
              </w:r>
            </w:hyperlink>
          </w:p>
        </w:tc>
        <w:tc>
          <w:tcPr>
            <w:tcW w:w="301" w:type="pct"/>
            <w:shd w:val="clear" w:color="auto" w:fill="auto"/>
          </w:tcPr>
          <w:p w14:paraId="229D2BDD" w14:textId="00A1962C" w:rsidR="005A18DC" w:rsidRPr="005A18DC" w:rsidRDefault="005A18DC" w:rsidP="005A18DC">
            <w:pPr>
              <w:rPr>
                <w:rFonts w:ascii="Arial" w:eastAsia="Times New Roman" w:hAnsi="Arial" w:cs="Arial"/>
                <w:color w:val="000000"/>
                <w:sz w:val="14"/>
                <w:szCs w:val="14"/>
                <w:lang w:eastAsia="en-GB"/>
              </w:rPr>
            </w:pPr>
            <w:hyperlink r:id="rId2663" w:history="1">
              <w:r w:rsidRPr="005A18DC">
                <w:rPr>
                  <w:rStyle w:val="Hyperlink"/>
                  <w:rFonts w:ascii="Arial" w:hAnsi="Arial" w:cs="Arial"/>
                  <w:b/>
                  <w:bCs/>
                  <w:sz w:val="14"/>
                  <w:szCs w:val="14"/>
                </w:rPr>
                <w:t>38.214</w:t>
              </w:r>
            </w:hyperlink>
          </w:p>
        </w:tc>
        <w:tc>
          <w:tcPr>
            <w:tcW w:w="324" w:type="pct"/>
            <w:shd w:val="clear" w:color="auto" w:fill="auto"/>
          </w:tcPr>
          <w:p w14:paraId="02A88F56" w14:textId="520AC590"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18.0.0</w:t>
            </w:r>
          </w:p>
        </w:tc>
        <w:tc>
          <w:tcPr>
            <w:tcW w:w="779" w:type="pct"/>
          </w:tcPr>
          <w:p w14:paraId="178F85C0" w14:textId="024A0C45" w:rsidR="005A18DC" w:rsidRPr="005A18DC" w:rsidRDefault="005A18DC" w:rsidP="005A18DC">
            <w:pPr>
              <w:rPr>
                <w:rFonts w:ascii="Arial" w:eastAsia="Times New Roman" w:hAnsi="Arial" w:cs="Arial"/>
                <w:color w:val="000000"/>
                <w:sz w:val="14"/>
                <w:szCs w:val="14"/>
                <w:lang w:eastAsia="en-GB"/>
              </w:rPr>
            </w:pPr>
            <w:hyperlink r:id="rId2664" w:history="1">
              <w:r w:rsidRPr="005A18DC">
                <w:rPr>
                  <w:rStyle w:val="Hyperlink"/>
                  <w:rFonts w:ascii="Arial" w:hAnsi="Arial" w:cs="Arial"/>
                  <w:b/>
                  <w:bCs/>
                  <w:sz w:val="14"/>
                  <w:szCs w:val="14"/>
                </w:rPr>
                <w:t>NR_cov_enh2-Core</w:t>
              </w:r>
            </w:hyperlink>
          </w:p>
        </w:tc>
        <w:tc>
          <w:tcPr>
            <w:tcW w:w="233" w:type="pct"/>
          </w:tcPr>
          <w:p w14:paraId="780AD05E" w14:textId="6DC561AB"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0492</w:t>
            </w:r>
          </w:p>
        </w:tc>
        <w:tc>
          <w:tcPr>
            <w:tcW w:w="226" w:type="pct"/>
          </w:tcPr>
          <w:p w14:paraId="51E8B124" w14:textId="4840DC94"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 </w:t>
            </w:r>
          </w:p>
        </w:tc>
        <w:tc>
          <w:tcPr>
            <w:tcW w:w="203" w:type="pct"/>
          </w:tcPr>
          <w:p w14:paraId="66E089D1" w14:textId="7B5AE31E"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F</w:t>
            </w:r>
          </w:p>
        </w:tc>
      </w:tr>
      <w:tr w:rsidR="005A18DC" w:rsidRPr="009537ED" w14:paraId="677A04DB" w14:textId="77777777" w:rsidTr="00AA703E">
        <w:trPr>
          <w:trHeight w:val="20"/>
        </w:trPr>
        <w:tc>
          <w:tcPr>
            <w:tcW w:w="365" w:type="pct"/>
          </w:tcPr>
          <w:p w14:paraId="4F105272" w14:textId="68C7EF6E" w:rsidR="005A18DC" w:rsidRPr="005A18DC" w:rsidRDefault="005A18DC" w:rsidP="005A18DC">
            <w:pPr>
              <w:rPr>
                <w:rFonts w:ascii="Arial" w:eastAsia="Times New Roman" w:hAnsi="Arial" w:cs="Arial"/>
                <w:color w:val="000000"/>
                <w:sz w:val="14"/>
                <w:szCs w:val="14"/>
                <w:lang w:eastAsia="en-GB"/>
              </w:rPr>
            </w:pPr>
            <w:hyperlink r:id="rId2665" w:history="1">
              <w:r w:rsidRPr="005A18DC">
                <w:rPr>
                  <w:rStyle w:val="Hyperlink"/>
                  <w:rFonts w:ascii="Arial" w:hAnsi="Arial" w:cs="Arial"/>
                  <w:b/>
                  <w:bCs/>
                  <w:sz w:val="14"/>
                  <w:szCs w:val="14"/>
                </w:rPr>
                <w:t>R1-2312766</w:t>
              </w:r>
            </w:hyperlink>
          </w:p>
        </w:tc>
        <w:tc>
          <w:tcPr>
            <w:tcW w:w="1471" w:type="pct"/>
          </w:tcPr>
          <w:p w14:paraId="4037C983" w14:textId="593940C7"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Introduction of multicast reception in RRC_INACTIVE</w:t>
            </w:r>
          </w:p>
        </w:tc>
        <w:tc>
          <w:tcPr>
            <w:tcW w:w="849" w:type="pct"/>
          </w:tcPr>
          <w:p w14:paraId="373A8839" w14:textId="0476E8C4"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Ericsson</w:t>
            </w:r>
          </w:p>
        </w:tc>
        <w:tc>
          <w:tcPr>
            <w:tcW w:w="248" w:type="pct"/>
          </w:tcPr>
          <w:p w14:paraId="5B88C02E" w14:textId="60CC4BD7" w:rsidR="005A18DC" w:rsidRPr="005A18DC" w:rsidRDefault="005A18DC" w:rsidP="005A18DC">
            <w:pPr>
              <w:rPr>
                <w:rFonts w:ascii="Arial" w:eastAsia="Times New Roman" w:hAnsi="Arial" w:cs="Arial"/>
                <w:color w:val="000000"/>
                <w:sz w:val="14"/>
                <w:szCs w:val="14"/>
                <w:lang w:eastAsia="en-GB"/>
              </w:rPr>
            </w:pPr>
            <w:hyperlink r:id="rId2666" w:history="1">
              <w:r w:rsidRPr="005A18DC">
                <w:rPr>
                  <w:rStyle w:val="Hyperlink"/>
                  <w:rFonts w:ascii="Arial" w:hAnsi="Arial" w:cs="Arial"/>
                  <w:b/>
                  <w:bCs/>
                  <w:sz w:val="14"/>
                  <w:szCs w:val="14"/>
                </w:rPr>
                <w:t>Rel-18</w:t>
              </w:r>
            </w:hyperlink>
          </w:p>
        </w:tc>
        <w:tc>
          <w:tcPr>
            <w:tcW w:w="301" w:type="pct"/>
            <w:shd w:val="clear" w:color="auto" w:fill="auto"/>
          </w:tcPr>
          <w:p w14:paraId="28419DDF" w14:textId="1886707E" w:rsidR="005A18DC" w:rsidRPr="005A18DC" w:rsidRDefault="005A18DC" w:rsidP="005A18DC">
            <w:pPr>
              <w:rPr>
                <w:rFonts w:ascii="Arial" w:eastAsia="Times New Roman" w:hAnsi="Arial" w:cs="Arial"/>
                <w:color w:val="000000"/>
                <w:sz w:val="14"/>
                <w:szCs w:val="14"/>
                <w:lang w:eastAsia="en-GB"/>
              </w:rPr>
            </w:pPr>
            <w:hyperlink r:id="rId2667" w:history="1">
              <w:r w:rsidRPr="005A18DC">
                <w:rPr>
                  <w:rStyle w:val="Hyperlink"/>
                  <w:rFonts w:ascii="Arial" w:hAnsi="Arial" w:cs="Arial"/>
                  <w:b/>
                  <w:bCs/>
                  <w:sz w:val="14"/>
                  <w:szCs w:val="14"/>
                </w:rPr>
                <w:t>38.211</w:t>
              </w:r>
            </w:hyperlink>
          </w:p>
        </w:tc>
        <w:tc>
          <w:tcPr>
            <w:tcW w:w="324" w:type="pct"/>
            <w:shd w:val="clear" w:color="auto" w:fill="auto"/>
          </w:tcPr>
          <w:p w14:paraId="785242D5" w14:textId="78964F23"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18.0.0</w:t>
            </w:r>
          </w:p>
        </w:tc>
        <w:tc>
          <w:tcPr>
            <w:tcW w:w="779" w:type="pct"/>
          </w:tcPr>
          <w:p w14:paraId="06DAE8E2" w14:textId="3966E8DA" w:rsidR="005A18DC" w:rsidRPr="005A18DC" w:rsidRDefault="005A18DC" w:rsidP="005A18DC">
            <w:pPr>
              <w:rPr>
                <w:rFonts w:ascii="Arial" w:eastAsia="Times New Roman" w:hAnsi="Arial" w:cs="Arial"/>
                <w:color w:val="000000"/>
                <w:sz w:val="14"/>
                <w:szCs w:val="14"/>
                <w:lang w:eastAsia="en-GB"/>
              </w:rPr>
            </w:pPr>
            <w:hyperlink r:id="rId2668" w:history="1">
              <w:r w:rsidRPr="005A18DC">
                <w:rPr>
                  <w:rStyle w:val="Hyperlink"/>
                  <w:rFonts w:ascii="Arial" w:hAnsi="Arial" w:cs="Arial"/>
                  <w:b/>
                  <w:bCs/>
                  <w:sz w:val="14"/>
                  <w:szCs w:val="14"/>
                </w:rPr>
                <w:t>NR_MBS_enh-Core</w:t>
              </w:r>
            </w:hyperlink>
          </w:p>
        </w:tc>
        <w:tc>
          <w:tcPr>
            <w:tcW w:w="233" w:type="pct"/>
          </w:tcPr>
          <w:p w14:paraId="1724D130" w14:textId="3BFFC5D7"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0120</w:t>
            </w:r>
          </w:p>
        </w:tc>
        <w:tc>
          <w:tcPr>
            <w:tcW w:w="226" w:type="pct"/>
          </w:tcPr>
          <w:p w14:paraId="7A79E2EB" w14:textId="5E55B05B"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 </w:t>
            </w:r>
          </w:p>
        </w:tc>
        <w:tc>
          <w:tcPr>
            <w:tcW w:w="203" w:type="pct"/>
          </w:tcPr>
          <w:p w14:paraId="31035253" w14:textId="185B7870"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B</w:t>
            </w:r>
          </w:p>
        </w:tc>
      </w:tr>
      <w:tr w:rsidR="005A18DC" w:rsidRPr="009537ED" w14:paraId="08C54341" w14:textId="77777777" w:rsidTr="00AA703E">
        <w:trPr>
          <w:trHeight w:val="20"/>
        </w:trPr>
        <w:tc>
          <w:tcPr>
            <w:tcW w:w="365" w:type="pct"/>
          </w:tcPr>
          <w:p w14:paraId="4F192312" w14:textId="08283150" w:rsidR="005A18DC" w:rsidRPr="005A18DC" w:rsidRDefault="005A18DC" w:rsidP="005A18DC">
            <w:pPr>
              <w:rPr>
                <w:rFonts w:ascii="Arial" w:eastAsia="Times New Roman" w:hAnsi="Arial" w:cs="Arial"/>
                <w:color w:val="000000"/>
                <w:sz w:val="14"/>
                <w:szCs w:val="14"/>
                <w:lang w:eastAsia="en-GB"/>
              </w:rPr>
            </w:pPr>
            <w:hyperlink r:id="rId2669" w:history="1">
              <w:r w:rsidRPr="005A18DC">
                <w:rPr>
                  <w:rStyle w:val="Hyperlink"/>
                  <w:rFonts w:ascii="Arial" w:hAnsi="Arial" w:cs="Arial"/>
                  <w:b/>
                  <w:bCs/>
                  <w:sz w:val="14"/>
                  <w:szCs w:val="14"/>
                </w:rPr>
                <w:t>R1-2312775</w:t>
              </w:r>
            </w:hyperlink>
          </w:p>
        </w:tc>
        <w:tc>
          <w:tcPr>
            <w:tcW w:w="1471" w:type="pct"/>
          </w:tcPr>
          <w:p w14:paraId="12633765" w14:textId="08F88EA0"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Introduction of Rel-18 NR demodulation performance evolution</w:t>
            </w:r>
          </w:p>
        </w:tc>
        <w:tc>
          <w:tcPr>
            <w:tcW w:w="849" w:type="pct"/>
          </w:tcPr>
          <w:p w14:paraId="0350C69B" w14:textId="42844B52"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Huawei</w:t>
            </w:r>
          </w:p>
        </w:tc>
        <w:tc>
          <w:tcPr>
            <w:tcW w:w="248" w:type="pct"/>
          </w:tcPr>
          <w:p w14:paraId="4CDFE287" w14:textId="684A4F4B" w:rsidR="005A18DC" w:rsidRPr="005A18DC" w:rsidRDefault="005A18DC" w:rsidP="005A18DC">
            <w:pPr>
              <w:rPr>
                <w:rFonts w:ascii="Arial" w:eastAsia="Times New Roman" w:hAnsi="Arial" w:cs="Arial"/>
                <w:color w:val="000000"/>
                <w:sz w:val="14"/>
                <w:szCs w:val="14"/>
                <w:lang w:eastAsia="en-GB"/>
              </w:rPr>
            </w:pPr>
            <w:hyperlink r:id="rId2670" w:history="1">
              <w:r w:rsidRPr="005A18DC">
                <w:rPr>
                  <w:rStyle w:val="Hyperlink"/>
                  <w:rFonts w:ascii="Arial" w:hAnsi="Arial" w:cs="Arial"/>
                  <w:b/>
                  <w:bCs/>
                  <w:sz w:val="14"/>
                  <w:szCs w:val="14"/>
                </w:rPr>
                <w:t>Rel-18</w:t>
              </w:r>
            </w:hyperlink>
          </w:p>
        </w:tc>
        <w:tc>
          <w:tcPr>
            <w:tcW w:w="301" w:type="pct"/>
            <w:shd w:val="clear" w:color="auto" w:fill="auto"/>
          </w:tcPr>
          <w:p w14:paraId="4402340E" w14:textId="05D0ED88" w:rsidR="005A18DC" w:rsidRPr="005A18DC" w:rsidRDefault="005A18DC" w:rsidP="005A18DC">
            <w:pPr>
              <w:rPr>
                <w:rFonts w:ascii="Arial" w:eastAsia="Times New Roman" w:hAnsi="Arial" w:cs="Arial"/>
                <w:color w:val="000000"/>
                <w:sz w:val="14"/>
                <w:szCs w:val="14"/>
                <w:lang w:eastAsia="en-GB"/>
              </w:rPr>
            </w:pPr>
            <w:hyperlink r:id="rId2671" w:history="1">
              <w:r w:rsidRPr="005A18DC">
                <w:rPr>
                  <w:rStyle w:val="Hyperlink"/>
                  <w:rFonts w:ascii="Arial" w:hAnsi="Arial" w:cs="Arial"/>
                  <w:b/>
                  <w:bCs/>
                  <w:sz w:val="14"/>
                  <w:szCs w:val="14"/>
                </w:rPr>
                <w:t>38.212</w:t>
              </w:r>
            </w:hyperlink>
          </w:p>
        </w:tc>
        <w:tc>
          <w:tcPr>
            <w:tcW w:w="324" w:type="pct"/>
            <w:shd w:val="clear" w:color="auto" w:fill="auto"/>
          </w:tcPr>
          <w:p w14:paraId="2393D3DB" w14:textId="3B35227E"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18.0.0</w:t>
            </w:r>
          </w:p>
        </w:tc>
        <w:tc>
          <w:tcPr>
            <w:tcW w:w="779" w:type="pct"/>
          </w:tcPr>
          <w:p w14:paraId="79333912" w14:textId="00791C6F" w:rsidR="005A18DC" w:rsidRPr="005A18DC" w:rsidRDefault="005A18DC" w:rsidP="005A18DC">
            <w:pPr>
              <w:rPr>
                <w:rFonts w:ascii="Arial" w:eastAsia="Times New Roman" w:hAnsi="Arial" w:cs="Arial"/>
                <w:color w:val="000000"/>
                <w:sz w:val="14"/>
                <w:szCs w:val="14"/>
                <w:lang w:eastAsia="en-GB"/>
              </w:rPr>
            </w:pPr>
            <w:hyperlink r:id="rId2672" w:history="1">
              <w:r w:rsidRPr="005A18DC">
                <w:rPr>
                  <w:rStyle w:val="Hyperlink"/>
                  <w:rFonts w:ascii="Arial" w:hAnsi="Arial" w:cs="Arial"/>
                  <w:b/>
                  <w:bCs/>
                  <w:sz w:val="14"/>
                  <w:szCs w:val="14"/>
                </w:rPr>
                <w:t>NR_demod_enh3-Core</w:t>
              </w:r>
            </w:hyperlink>
          </w:p>
        </w:tc>
        <w:tc>
          <w:tcPr>
            <w:tcW w:w="233" w:type="pct"/>
          </w:tcPr>
          <w:p w14:paraId="3D215070" w14:textId="41448DF0"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0172</w:t>
            </w:r>
          </w:p>
        </w:tc>
        <w:tc>
          <w:tcPr>
            <w:tcW w:w="226" w:type="pct"/>
          </w:tcPr>
          <w:p w14:paraId="4217BDEA" w14:textId="7E061231"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 </w:t>
            </w:r>
          </w:p>
        </w:tc>
        <w:tc>
          <w:tcPr>
            <w:tcW w:w="203" w:type="pct"/>
          </w:tcPr>
          <w:p w14:paraId="23DDA30F" w14:textId="49F4DD95"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B</w:t>
            </w:r>
          </w:p>
        </w:tc>
      </w:tr>
      <w:tr w:rsidR="005A18DC" w:rsidRPr="009537ED" w14:paraId="726ED6A8" w14:textId="77777777" w:rsidTr="00AA703E">
        <w:trPr>
          <w:trHeight w:val="20"/>
        </w:trPr>
        <w:tc>
          <w:tcPr>
            <w:tcW w:w="365" w:type="pct"/>
          </w:tcPr>
          <w:p w14:paraId="586E3005" w14:textId="51E579AA" w:rsidR="005A18DC" w:rsidRPr="005A18DC" w:rsidRDefault="005A18DC" w:rsidP="005A18DC">
            <w:pPr>
              <w:rPr>
                <w:rFonts w:ascii="Arial" w:eastAsia="Times New Roman" w:hAnsi="Arial" w:cs="Arial"/>
                <w:color w:val="000000"/>
                <w:sz w:val="14"/>
                <w:szCs w:val="14"/>
                <w:lang w:eastAsia="en-GB"/>
              </w:rPr>
            </w:pPr>
            <w:hyperlink r:id="rId2673" w:history="1">
              <w:r w:rsidRPr="005A18DC">
                <w:rPr>
                  <w:rStyle w:val="Hyperlink"/>
                  <w:rFonts w:ascii="Arial" w:hAnsi="Arial" w:cs="Arial"/>
                  <w:b/>
                  <w:bCs/>
                  <w:sz w:val="14"/>
                  <w:szCs w:val="14"/>
                </w:rPr>
                <w:t>R1-2312776</w:t>
              </w:r>
            </w:hyperlink>
          </w:p>
        </w:tc>
        <w:tc>
          <w:tcPr>
            <w:tcW w:w="1471" w:type="pct"/>
          </w:tcPr>
          <w:p w14:paraId="163512F3" w14:textId="6B79551C"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Introduction of Rel-18 enhancements of NR Multicast and Broadcast Services</w:t>
            </w:r>
          </w:p>
        </w:tc>
        <w:tc>
          <w:tcPr>
            <w:tcW w:w="849" w:type="pct"/>
          </w:tcPr>
          <w:p w14:paraId="0D24B3AC" w14:textId="28C2F1A8"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Huawei</w:t>
            </w:r>
          </w:p>
        </w:tc>
        <w:tc>
          <w:tcPr>
            <w:tcW w:w="248" w:type="pct"/>
          </w:tcPr>
          <w:p w14:paraId="540D7439" w14:textId="59BD95D1" w:rsidR="005A18DC" w:rsidRPr="005A18DC" w:rsidRDefault="005A18DC" w:rsidP="005A18DC">
            <w:pPr>
              <w:rPr>
                <w:rFonts w:ascii="Arial" w:eastAsia="Times New Roman" w:hAnsi="Arial" w:cs="Arial"/>
                <w:color w:val="000000"/>
                <w:sz w:val="14"/>
                <w:szCs w:val="14"/>
                <w:lang w:eastAsia="en-GB"/>
              </w:rPr>
            </w:pPr>
            <w:hyperlink r:id="rId2674" w:history="1">
              <w:r w:rsidRPr="005A18DC">
                <w:rPr>
                  <w:rStyle w:val="Hyperlink"/>
                  <w:rFonts w:ascii="Arial" w:hAnsi="Arial" w:cs="Arial"/>
                  <w:b/>
                  <w:bCs/>
                  <w:sz w:val="14"/>
                  <w:szCs w:val="14"/>
                </w:rPr>
                <w:t>Rel-18</w:t>
              </w:r>
            </w:hyperlink>
          </w:p>
        </w:tc>
        <w:tc>
          <w:tcPr>
            <w:tcW w:w="301" w:type="pct"/>
            <w:shd w:val="clear" w:color="auto" w:fill="auto"/>
          </w:tcPr>
          <w:p w14:paraId="23308507" w14:textId="59296052" w:rsidR="005A18DC" w:rsidRPr="005A18DC" w:rsidRDefault="005A18DC" w:rsidP="005A18DC">
            <w:pPr>
              <w:rPr>
                <w:rFonts w:ascii="Arial" w:eastAsia="Times New Roman" w:hAnsi="Arial" w:cs="Arial"/>
                <w:color w:val="000000"/>
                <w:sz w:val="14"/>
                <w:szCs w:val="14"/>
                <w:lang w:eastAsia="en-GB"/>
              </w:rPr>
            </w:pPr>
            <w:hyperlink r:id="rId2675" w:history="1">
              <w:r w:rsidRPr="005A18DC">
                <w:rPr>
                  <w:rStyle w:val="Hyperlink"/>
                  <w:rFonts w:ascii="Arial" w:hAnsi="Arial" w:cs="Arial"/>
                  <w:b/>
                  <w:bCs/>
                  <w:sz w:val="14"/>
                  <w:szCs w:val="14"/>
                </w:rPr>
                <w:t>38.212</w:t>
              </w:r>
            </w:hyperlink>
          </w:p>
        </w:tc>
        <w:tc>
          <w:tcPr>
            <w:tcW w:w="324" w:type="pct"/>
            <w:shd w:val="clear" w:color="auto" w:fill="auto"/>
          </w:tcPr>
          <w:p w14:paraId="176C1A9D" w14:textId="23610B1F"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18.0.0</w:t>
            </w:r>
          </w:p>
        </w:tc>
        <w:tc>
          <w:tcPr>
            <w:tcW w:w="779" w:type="pct"/>
          </w:tcPr>
          <w:p w14:paraId="2945ADF0" w14:textId="5CF47C3A" w:rsidR="005A18DC" w:rsidRPr="005A18DC" w:rsidRDefault="005A18DC" w:rsidP="005A18DC">
            <w:pPr>
              <w:rPr>
                <w:rFonts w:ascii="Arial" w:eastAsia="Times New Roman" w:hAnsi="Arial" w:cs="Arial"/>
                <w:color w:val="000000"/>
                <w:sz w:val="14"/>
                <w:szCs w:val="14"/>
                <w:lang w:eastAsia="en-GB"/>
              </w:rPr>
            </w:pPr>
            <w:hyperlink r:id="rId2676" w:history="1">
              <w:r w:rsidRPr="005A18DC">
                <w:rPr>
                  <w:rStyle w:val="Hyperlink"/>
                  <w:rFonts w:ascii="Arial" w:hAnsi="Arial" w:cs="Arial"/>
                  <w:b/>
                  <w:bCs/>
                  <w:sz w:val="14"/>
                  <w:szCs w:val="14"/>
                </w:rPr>
                <w:t>NR_MBS_enh-Core</w:t>
              </w:r>
            </w:hyperlink>
          </w:p>
        </w:tc>
        <w:tc>
          <w:tcPr>
            <w:tcW w:w="233" w:type="pct"/>
          </w:tcPr>
          <w:p w14:paraId="712E8CCD" w14:textId="2A4EA05A"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0173</w:t>
            </w:r>
          </w:p>
        </w:tc>
        <w:tc>
          <w:tcPr>
            <w:tcW w:w="226" w:type="pct"/>
          </w:tcPr>
          <w:p w14:paraId="21DC92A7" w14:textId="256A6A06"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 </w:t>
            </w:r>
          </w:p>
        </w:tc>
        <w:tc>
          <w:tcPr>
            <w:tcW w:w="203" w:type="pct"/>
          </w:tcPr>
          <w:p w14:paraId="25F2E603" w14:textId="7E722D09"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B</w:t>
            </w:r>
          </w:p>
        </w:tc>
      </w:tr>
      <w:tr w:rsidR="005A18DC" w:rsidRPr="009537ED" w14:paraId="5A1972E1" w14:textId="77777777" w:rsidTr="00AA703E">
        <w:trPr>
          <w:trHeight w:val="20"/>
        </w:trPr>
        <w:tc>
          <w:tcPr>
            <w:tcW w:w="365" w:type="pct"/>
          </w:tcPr>
          <w:p w14:paraId="212DD582" w14:textId="7D36AFB2" w:rsidR="005A18DC" w:rsidRPr="005A18DC" w:rsidRDefault="005A18DC" w:rsidP="005A18DC">
            <w:pPr>
              <w:rPr>
                <w:rFonts w:ascii="Arial" w:eastAsia="Times New Roman" w:hAnsi="Arial" w:cs="Arial"/>
                <w:color w:val="000000"/>
                <w:sz w:val="14"/>
                <w:szCs w:val="14"/>
                <w:lang w:eastAsia="en-GB"/>
              </w:rPr>
            </w:pPr>
            <w:hyperlink r:id="rId2677" w:history="1">
              <w:r w:rsidRPr="005A18DC">
                <w:rPr>
                  <w:rStyle w:val="Hyperlink"/>
                  <w:rFonts w:ascii="Arial" w:hAnsi="Arial" w:cs="Arial"/>
                  <w:b/>
                  <w:bCs/>
                  <w:sz w:val="14"/>
                  <w:szCs w:val="14"/>
                </w:rPr>
                <w:t>R1-2312777</w:t>
              </w:r>
            </w:hyperlink>
          </w:p>
        </w:tc>
        <w:tc>
          <w:tcPr>
            <w:tcW w:w="1471" w:type="pct"/>
          </w:tcPr>
          <w:p w14:paraId="7664940C" w14:textId="35FF4291"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Corrections on Rel-18 network controlled repeaters in 38.212</w:t>
            </w:r>
          </w:p>
        </w:tc>
        <w:tc>
          <w:tcPr>
            <w:tcW w:w="849" w:type="pct"/>
          </w:tcPr>
          <w:p w14:paraId="0B907691" w14:textId="1CA974BE"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Huawei</w:t>
            </w:r>
          </w:p>
        </w:tc>
        <w:tc>
          <w:tcPr>
            <w:tcW w:w="248" w:type="pct"/>
          </w:tcPr>
          <w:p w14:paraId="402142DC" w14:textId="2BF05C1D" w:rsidR="005A18DC" w:rsidRPr="005A18DC" w:rsidRDefault="005A18DC" w:rsidP="005A18DC">
            <w:pPr>
              <w:rPr>
                <w:rFonts w:ascii="Arial" w:eastAsia="Times New Roman" w:hAnsi="Arial" w:cs="Arial"/>
                <w:color w:val="000000"/>
                <w:sz w:val="14"/>
                <w:szCs w:val="14"/>
                <w:lang w:eastAsia="en-GB"/>
              </w:rPr>
            </w:pPr>
            <w:hyperlink r:id="rId2678" w:history="1">
              <w:r w:rsidRPr="005A18DC">
                <w:rPr>
                  <w:rStyle w:val="Hyperlink"/>
                  <w:rFonts w:ascii="Arial" w:hAnsi="Arial" w:cs="Arial"/>
                  <w:b/>
                  <w:bCs/>
                  <w:sz w:val="14"/>
                  <w:szCs w:val="14"/>
                </w:rPr>
                <w:t>Rel-18</w:t>
              </w:r>
            </w:hyperlink>
          </w:p>
        </w:tc>
        <w:tc>
          <w:tcPr>
            <w:tcW w:w="301" w:type="pct"/>
            <w:shd w:val="clear" w:color="auto" w:fill="auto"/>
          </w:tcPr>
          <w:p w14:paraId="570ED5E0" w14:textId="3F0A9C20" w:rsidR="005A18DC" w:rsidRPr="005A18DC" w:rsidRDefault="005A18DC" w:rsidP="005A18DC">
            <w:pPr>
              <w:rPr>
                <w:rFonts w:ascii="Arial" w:eastAsia="Times New Roman" w:hAnsi="Arial" w:cs="Arial"/>
                <w:color w:val="000000"/>
                <w:sz w:val="14"/>
                <w:szCs w:val="14"/>
                <w:lang w:eastAsia="en-GB"/>
              </w:rPr>
            </w:pPr>
            <w:hyperlink r:id="rId2679" w:history="1">
              <w:r w:rsidRPr="005A18DC">
                <w:rPr>
                  <w:rStyle w:val="Hyperlink"/>
                  <w:rFonts w:ascii="Arial" w:hAnsi="Arial" w:cs="Arial"/>
                  <w:b/>
                  <w:bCs/>
                  <w:sz w:val="14"/>
                  <w:szCs w:val="14"/>
                </w:rPr>
                <w:t>38.212</w:t>
              </w:r>
            </w:hyperlink>
          </w:p>
        </w:tc>
        <w:tc>
          <w:tcPr>
            <w:tcW w:w="324" w:type="pct"/>
            <w:shd w:val="clear" w:color="auto" w:fill="auto"/>
          </w:tcPr>
          <w:p w14:paraId="6F2FD80D" w14:textId="15145E6E"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18.0.0</w:t>
            </w:r>
          </w:p>
        </w:tc>
        <w:tc>
          <w:tcPr>
            <w:tcW w:w="779" w:type="pct"/>
          </w:tcPr>
          <w:p w14:paraId="19805739" w14:textId="49775D87" w:rsidR="005A18DC" w:rsidRPr="005A18DC" w:rsidRDefault="005A18DC" w:rsidP="005A18DC">
            <w:pPr>
              <w:rPr>
                <w:rFonts w:ascii="Arial" w:eastAsia="Times New Roman" w:hAnsi="Arial" w:cs="Arial"/>
                <w:color w:val="000000"/>
                <w:sz w:val="14"/>
                <w:szCs w:val="14"/>
                <w:lang w:eastAsia="en-GB"/>
              </w:rPr>
            </w:pPr>
            <w:hyperlink r:id="rId2680" w:history="1">
              <w:r w:rsidRPr="005A18DC">
                <w:rPr>
                  <w:rStyle w:val="Hyperlink"/>
                  <w:rFonts w:ascii="Arial" w:hAnsi="Arial" w:cs="Arial"/>
                  <w:b/>
                  <w:bCs/>
                  <w:sz w:val="14"/>
                  <w:szCs w:val="14"/>
                </w:rPr>
                <w:t>NR_netcon_repeater-Core</w:t>
              </w:r>
            </w:hyperlink>
          </w:p>
        </w:tc>
        <w:tc>
          <w:tcPr>
            <w:tcW w:w="233" w:type="pct"/>
          </w:tcPr>
          <w:p w14:paraId="6B9ED9C8" w14:textId="034BED65"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0174</w:t>
            </w:r>
          </w:p>
        </w:tc>
        <w:tc>
          <w:tcPr>
            <w:tcW w:w="226" w:type="pct"/>
          </w:tcPr>
          <w:p w14:paraId="4815B0B6" w14:textId="12DEFE02"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 </w:t>
            </w:r>
          </w:p>
        </w:tc>
        <w:tc>
          <w:tcPr>
            <w:tcW w:w="203" w:type="pct"/>
          </w:tcPr>
          <w:p w14:paraId="0329150E" w14:textId="0FC33CB1"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F</w:t>
            </w:r>
          </w:p>
        </w:tc>
      </w:tr>
      <w:tr w:rsidR="005A18DC" w:rsidRPr="009537ED" w14:paraId="7B34398B" w14:textId="77777777" w:rsidTr="00AA703E">
        <w:trPr>
          <w:trHeight w:val="20"/>
        </w:trPr>
        <w:tc>
          <w:tcPr>
            <w:tcW w:w="365" w:type="pct"/>
          </w:tcPr>
          <w:p w14:paraId="1D5915CF" w14:textId="4FFC11FD" w:rsidR="005A18DC" w:rsidRPr="005A18DC" w:rsidRDefault="005A18DC" w:rsidP="005A18DC">
            <w:pPr>
              <w:rPr>
                <w:rFonts w:ascii="Arial" w:eastAsia="Times New Roman" w:hAnsi="Arial" w:cs="Arial"/>
                <w:color w:val="000000"/>
                <w:sz w:val="14"/>
                <w:szCs w:val="14"/>
                <w:lang w:eastAsia="en-GB"/>
              </w:rPr>
            </w:pPr>
            <w:hyperlink r:id="rId2681" w:history="1">
              <w:r w:rsidRPr="005A18DC">
                <w:rPr>
                  <w:rStyle w:val="Hyperlink"/>
                  <w:rFonts w:ascii="Arial" w:hAnsi="Arial" w:cs="Arial"/>
                  <w:b/>
                  <w:bCs/>
                  <w:sz w:val="14"/>
                  <w:szCs w:val="14"/>
                </w:rPr>
                <w:t>R1-2312782</w:t>
              </w:r>
            </w:hyperlink>
          </w:p>
        </w:tc>
        <w:tc>
          <w:tcPr>
            <w:tcW w:w="1471" w:type="pct"/>
          </w:tcPr>
          <w:p w14:paraId="7DA6582C" w14:textId="144AFFE3"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Maintenance of support for dedicated spectrum less than 5MHz for FR1</w:t>
            </w:r>
          </w:p>
        </w:tc>
        <w:tc>
          <w:tcPr>
            <w:tcW w:w="849" w:type="pct"/>
          </w:tcPr>
          <w:p w14:paraId="7191961A" w14:textId="1C476D4D"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Samsung</w:t>
            </w:r>
          </w:p>
        </w:tc>
        <w:tc>
          <w:tcPr>
            <w:tcW w:w="248" w:type="pct"/>
          </w:tcPr>
          <w:p w14:paraId="7938690A" w14:textId="7B38E189" w:rsidR="005A18DC" w:rsidRPr="005A18DC" w:rsidRDefault="005A18DC" w:rsidP="005A18DC">
            <w:pPr>
              <w:rPr>
                <w:rFonts w:ascii="Arial" w:eastAsia="Times New Roman" w:hAnsi="Arial" w:cs="Arial"/>
                <w:color w:val="000000"/>
                <w:sz w:val="14"/>
                <w:szCs w:val="14"/>
                <w:lang w:eastAsia="en-GB"/>
              </w:rPr>
            </w:pPr>
            <w:hyperlink r:id="rId2682" w:history="1">
              <w:r w:rsidRPr="005A18DC">
                <w:rPr>
                  <w:rStyle w:val="Hyperlink"/>
                  <w:rFonts w:ascii="Arial" w:hAnsi="Arial" w:cs="Arial"/>
                  <w:b/>
                  <w:bCs/>
                  <w:sz w:val="14"/>
                  <w:szCs w:val="14"/>
                </w:rPr>
                <w:t>Rel-18</w:t>
              </w:r>
            </w:hyperlink>
          </w:p>
        </w:tc>
        <w:tc>
          <w:tcPr>
            <w:tcW w:w="301" w:type="pct"/>
            <w:shd w:val="clear" w:color="auto" w:fill="auto"/>
          </w:tcPr>
          <w:p w14:paraId="04229FBE" w14:textId="5031384F" w:rsidR="005A18DC" w:rsidRPr="005A18DC" w:rsidRDefault="005A18DC" w:rsidP="005A18DC">
            <w:pPr>
              <w:rPr>
                <w:rFonts w:ascii="Arial" w:eastAsia="Times New Roman" w:hAnsi="Arial" w:cs="Arial"/>
                <w:color w:val="000000"/>
                <w:sz w:val="14"/>
                <w:szCs w:val="14"/>
                <w:lang w:eastAsia="en-GB"/>
              </w:rPr>
            </w:pPr>
            <w:hyperlink r:id="rId2683" w:history="1">
              <w:r w:rsidRPr="005A18DC">
                <w:rPr>
                  <w:rStyle w:val="Hyperlink"/>
                  <w:rFonts w:ascii="Arial" w:hAnsi="Arial" w:cs="Arial"/>
                  <w:b/>
                  <w:bCs/>
                  <w:sz w:val="14"/>
                  <w:szCs w:val="14"/>
                </w:rPr>
                <w:t>38.213</w:t>
              </w:r>
            </w:hyperlink>
          </w:p>
        </w:tc>
        <w:tc>
          <w:tcPr>
            <w:tcW w:w="324" w:type="pct"/>
            <w:shd w:val="clear" w:color="auto" w:fill="auto"/>
          </w:tcPr>
          <w:p w14:paraId="3F570049" w14:textId="0B4A0C23"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18.0.0</w:t>
            </w:r>
          </w:p>
        </w:tc>
        <w:tc>
          <w:tcPr>
            <w:tcW w:w="779" w:type="pct"/>
          </w:tcPr>
          <w:p w14:paraId="07B2B635" w14:textId="32C06199" w:rsidR="005A18DC" w:rsidRPr="005A18DC" w:rsidRDefault="005A18DC" w:rsidP="005A18DC">
            <w:pPr>
              <w:rPr>
                <w:rFonts w:ascii="Arial" w:eastAsia="Times New Roman" w:hAnsi="Arial" w:cs="Arial"/>
                <w:color w:val="000000"/>
                <w:sz w:val="14"/>
                <w:szCs w:val="14"/>
                <w:lang w:eastAsia="en-GB"/>
              </w:rPr>
            </w:pPr>
            <w:hyperlink r:id="rId2684" w:history="1">
              <w:r w:rsidRPr="005A18DC">
                <w:rPr>
                  <w:rStyle w:val="Hyperlink"/>
                  <w:rFonts w:ascii="Arial" w:hAnsi="Arial" w:cs="Arial"/>
                  <w:b/>
                  <w:bCs/>
                  <w:sz w:val="14"/>
                  <w:szCs w:val="14"/>
                </w:rPr>
                <w:t>NR_FR1_lessthan_5MHz_BW-Core</w:t>
              </w:r>
            </w:hyperlink>
          </w:p>
        </w:tc>
        <w:tc>
          <w:tcPr>
            <w:tcW w:w="233" w:type="pct"/>
          </w:tcPr>
          <w:p w14:paraId="6E04BFE1" w14:textId="196CFDFB"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0583</w:t>
            </w:r>
          </w:p>
        </w:tc>
        <w:tc>
          <w:tcPr>
            <w:tcW w:w="226" w:type="pct"/>
          </w:tcPr>
          <w:p w14:paraId="47421685" w14:textId="05584008"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 </w:t>
            </w:r>
          </w:p>
        </w:tc>
        <w:tc>
          <w:tcPr>
            <w:tcW w:w="203" w:type="pct"/>
          </w:tcPr>
          <w:p w14:paraId="4D66C8DA" w14:textId="259D2F13"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F</w:t>
            </w:r>
          </w:p>
        </w:tc>
      </w:tr>
      <w:tr w:rsidR="005A18DC" w:rsidRPr="009537ED" w14:paraId="209EEF13" w14:textId="77777777" w:rsidTr="00AA703E">
        <w:trPr>
          <w:trHeight w:val="20"/>
        </w:trPr>
        <w:tc>
          <w:tcPr>
            <w:tcW w:w="365" w:type="pct"/>
          </w:tcPr>
          <w:p w14:paraId="1D908E59" w14:textId="1A23C046" w:rsidR="005A18DC" w:rsidRPr="005A18DC" w:rsidRDefault="005A18DC" w:rsidP="005A18DC">
            <w:pPr>
              <w:rPr>
                <w:rFonts w:ascii="Arial" w:eastAsia="Times New Roman" w:hAnsi="Arial" w:cs="Arial"/>
                <w:color w:val="000000"/>
                <w:sz w:val="14"/>
                <w:szCs w:val="14"/>
                <w:lang w:eastAsia="en-GB"/>
              </w:rPr>
            </w:pPr>
            <w:hyperlink r:id="rId2685" w:history="1">
              <w:r w:rsidRPr="005A18DC">
                <w:rPr>
                  <w:rStyle w:val="Hyperlink"/>
                  <w:rFonts w:ascii="Arial" w:hAnsi="Arial" w:cs="Arial"/>
                  <w:b/>
                  <w:bCs/>
                  <w:sz w:val="14"/>
                  <w:szCs w:val="14"/>
                </w:rPr>
                <w:t>R1-2312783</w:t>
              </w:r>
            </w:hyperlink>
          </w:p>
        </w:tc>
        <w:tc>
          <w:tcPr>
            <w:tcW w:w="1471" w:type="pct"/>
          </w:tcPr>
          <w:p w14:paraId="4DB1A1C1" w14:textId="68940522"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Introduction of Rel-18 enhancements of NR Multicast and Broadcast Services</w:t>
            </w:r>
          </w:p>
        </w:tc>
        <w:tc>
          <w:tcPr>
            <w:tcW w:w="849" w:type="pct"/>
          </w:tcPr>
          <w:p w14:paraId="32975682" w14:textId="1195E30A"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Samsung</w:t>
            </w:r>
          </w:p>
        </w:tc>
        <w:tc>
          <w:tcPr>
            <w:tcW w:w="248" w:type="pct"/>
          </w:tcPr>
          <w:p w14:paraId="72DE9A8E" w14:textId="3E33A982" w:rsidR="005A18DC" w:rsidRPr="005A18DC" w:rsidRDefault="005A18DC" w:rsidP="005A18DC">
            <w:pPr>
              <w:rPr>
                <w:rFonts w:ascii="Arial" w:eastAsia="Times New Roman" w:hAnsi="Arial" w:cs="Arial"/>
                <w:color w:val="000000"/>
                <w:sz w:val="14"/>
                <w:szCs w:val="14"/>
                <w:lang w:eastAsia="en-GB"/>
              </w:rPr>
            </w:pPr>
            <w:hyperlink r:id="rId2686" w:history="1">
              <w:r w:rsidRPr="005A18DC">
                <w:rPr>
                  <w:rStyle w:val="Hyperlink"/>
                  <w:rFonts w:ascii="Arial" w:hAnsi="Arial" w:cs="Arial"/>
                  <w:b/>
                  <w:bCs/>
                  <w:sz w:val="14"/>
                  <w:szCs w:val="14"/>
                </w:rPr>
                <w:t>Rel-18</w:t>
              </w:r>
            </w:hyperlink>
          </w:p>
        </w:tc>
        <w:tc>
          <w:tcPr>
            <w:tcW w:w="301" w:type="pct"/>
            <w:shd w:val="clear" w:color="auto" w:fill="auto"/>
          </w:tcPr>
          <w:p w14:paraId="60DC37EA" w14:textId="5EFAC6E0" w:rsidR="005A18DC" w:rsidRPr="005A18DC" w:rsidRDefault="005A18DC" w:rsidP="005A18DC">
            <w:pPr>
              <w:rPr>
                <w:rFonts w:ascii="Arial" w:eastAsia="Times New Roman" w:hAnsi="Arial" w:cs="Arial"/>
                <w:color w:val="000000"/>
                <w:sz w:val="14"/>
                <w:szCs w:val="14"/>
                <w:lang w:eastAsia="en-GB"/>
              </w:rPr>
            </w:pPr>
            <w:hyperlink r:id="rId2687" w:history="1">
              <w:r w:rsidRPr="005A18DC">
                <w:rPr>
                  <w:rStyle w:val="Hyperlink"/>
                  <w:rFonts w:ascii="Arial" w:hAnsi="Arial" w:cs="Arial"/>
                  <w:b/>
                  <w:bCs/>
                  <w:sz w:val="14"/>
                  <w:szCs w:val="14"/>
                </w:rPr>
                <w:t>38.213</w:t>
              </w:r>
            </w:hyperlink>
          </w:p>
        </w:tc>
        <w:tc>
          <w:tcPr>
            <w:tcW w:w="324" w:type="pct"/>
            <w:shd w:val="clear" w:color="auto" w:fill="auto"/>
          </w:tcPr>
          <w:p w14:paraId="7B59EF6F" w14:textId="55AC79BB"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18.0.0</w:t>
            </w:r>
          </w:p>
        </w:tc>
        <w:tc>
          <w:tcPr>
            <w:tcW w:w="779" w:type="pct"/>
          </w:tcPr>
          <w:p w14:paraId="444376F3" w14:textId="54C6EC86" w:rsidR="005A18DC" w:rsidRPr="005A18DC" w:rsidRDefault="005A18DC" w:rsidP="005A18DC">
            <w:pPr>
              <w:rPr>
                <w:rFonts w:ascii="Arial" w:eastAsia="Times New Roman" w:hAnsi="Arial" w:cs="Arial"/>
                <w:color w:val="000000"/>
                <w:sz w:val="14"/>
                <w:szCs w:val="14"/>
                <w:lang w:eastAsia="en-GB"/>
              </w:rPr>
            </w:pPr>
            <w:hyperlink r:id="rId2688" w:history="1">
              <w:r w:rsidRPr="005A18DC">
                <w:rPr>
                  <w:rStyle w:val="Hyperlink"/>
                  <w:rFonts w:ascii="Arial" w:hAnsi="Arial" w:cs="Arial"/>
                  <w:b/>
                  <w:bCs/>
                  <w:sz w:val="14"/>
                  <w:szCs w:val="14"/>
                </w:rPr>
                <w:t>NR_MBS_enh-Core</w:t>
              </w:r>
            </w:hyperlink>
          </w:p>
        </w:tc>
        <w:tc>
          <w:tcPr>
            <w:tcW w:w="233" w:type="pct"/>
          </w:tcPr>
          <w:p w14:paraId="6B372B68" w14:textId="6E6CB89A"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0584</w:t>
            </w:r>
          </w:p>
        </w:tc>
        <w:tc>
          <w:tcPr>
            <w:tcW w:w="226" w:type="pct"/>
          </w:tcPr>
          <w:p w14:paraId="3E891A89" w14:textId="5BF2E9AC"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 </w:t>
            </w:r>
          </w:p>
        </w:tc>
        <w:tc>
          <w:tcPr>
            <w:tcW w:w="203" w:type="pct"/>
          </w:tcPr>
          <w:p w14:paraId="2CCBC706" w14:textId="10FB63E6"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B</w:t>
            </w:r>
          </w:p>
        </w:tc>
      </w:tr>
      <w:tr w:rsidR="005A18DC" w:rsidRPr="009537ED" w14:paraId="0CB8CE8F" w14:textId="77777777" w:rsidTr="00AA703E">
        <w:trPr>
          <w:trHeight w:val="20"/>
        </w:trPr>
        <w:tc>
          <w:tcPr>
            <w:tcW w:w="365" w:type="pct"/>
          </w:tcPr>
          <w:p w14:paraId="0C4660BB" w14:textId="17341E10" w:rsidR="005A18DC" w:rsidRPr="005A18DC" w:rsidRDefault="005A18DC" w:rsidP="005A18DC">
            <w:pPr>
              <w:rPr>
                <w:rFonts w:ascii="Arial" w:eastAsia="Times New Roman" w:hAnsi="Arial" w:cs="Arial"/>
                <w:color w:val="000000"/>
                <w:sz w:val="14"/>
                <w:szCs w:val="14"/>
                <w:lang w:eastAsia="en-GB"/>
              </w:rPr>
            </w:pPr>
            <w:hyperlink r:id="rId2689" w:history="1">
              <w:r w:rsidRPr="005A18DC">
                <w:rPr>
                  <w:rStyle w:val="Hyperlink"/>
                  <w:rFonts w:ascii="Arial" w:hAnsi="Arial" w:cs="Arial"/>
                  <w:b/>
                  <w:bCs/>
                  <w:sz w:val="14"/>
                  <w:szCs w:val="14"/>
                </w:rPr>
                <w:t>R1-2312784</w:t>
              </w:r>
            </w:hyperlink>
          </w:p>
        </w:tc>
        <w:tc>
          <w:tcPr>
            <w:tcW w:w="1471" w:type="pct"/>
          </w:tcPr>
          <w:p w14:paraId="02F99B96" w14:textId="4572056F"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Maintenance of support for NR NTN enhancements</w:t>
            </w:r>
          </w:p>
        </w:tc>
        <w:tc>
          <w:tcPr>
            <w:tcW w:w="849" w:type="pct"/>
          </w:tcPr>
          <w:p w14:paraId="3CD27F11" w14:textId="424740F3"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Samsung</w:t>
            </w:r>
          </w:p>
        </w:tc>
        <w:tc>
          <w:tcPr>
            <w:tcW w:w="248" w:type="pct"/>
          </w:tcPr>
          <w:p w14:paraId="72618425" w14:textId="42938B03" w:rsidR="005A18DC" w:rsidRPr="005A18DC" w:rsidRDefault="005A18DC" w:rsidP="005A18DC">
            <w:pPr>
              <w:rPr>
                <w:rFonts w:ascii="Arial" w:eastAsia="Times New Roman" w:hAnsi="Arial" w:cs="Arial"/>
                <w:color w:val="000000"/>
                <w:sz w:val="14"/>
                <w:szCs w:val="14"/>
                <w:lang w:eastAsia="en-GB"/>
              </w:rPr>
            </w:pPr>
            <w:hyperlink r:id="rId2690" w:history="1">
              <w:r w:rsidRPr="005A18DC">
                <w:rPr>
                  <w:rStyle w:val="Hyperlink"/>
                  <w:rFonts w:ascii="Arial" w:hAnsi="Arial" w:cs="Arial"/>
                  <w:b/>
                  <w:bCs/>
                  <w:sz w:val="14"/>
                  <w:szCs w:val="14"/>
                </w:rPr>
                <w:t>Rel-18</w:t>
              </w:r>
            </w:hyperlink>
          </w:p>
        </w:tc>
        <w:tc>
          <w:tcPr>
            <w:tcW w:w="301" w:type="pct"/>
            <w:shd w:val="clear" w:color="auto" w:fill="auto"/>
          </w:tcPr>
          <w:p w14:paraId="22176F89" w14:textId="3148B8AC" w:rsidR="005A18DC" w:rsidRPr="005A18DC" w:rsidRDefault="005A18DC" w:rsidP="005A18DC">
            <w:pPr>
              <w:rPr>
                <w:rFonts w:ascii="Arial" w:eastAsia="Times New Roman" w:hAnsi="Arial" w:cs="Arial"/>
                <w:color w:val="000000"/>
                <w:sz w:val="14"/>
                <w:szCs w:val="14"/>
                <w:lang w:eastAsia="en-GB"/>
              </w:rPr>
            </w:pPr>
            <w:hyperlink r:id="rId2691" w:history="1">
              <w:r w:rsidRPr="005A18DC">
                <w:rPr>
                  <w:rStyle w:val="Hyperlink"/>
                  <w:rFonts w:ascii="Arial" w:hAnsi="Arial" w:cs="Arial"/>
                  <w:b/>
                  <w:bCs/>
                  <w:sz w:val="14"/>
                  <w:szCs w:val="14"/>
                </w:rPr>
                <w:t>38.213</w:t>
              </w:r>
            </w:hyperlink>
          </w:p>
        </w:tc>
        <w:tc>
          <w:tcPr>
            <w:tcW w:w="324" w:type="pct"/>
            <w:shd w:val="clear" w:color="auto" w:fill="auto"/>
          </w:tcPr>
          <w:p w14:paraId="781EAA6A" w14:textId="4DE17C5E"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18.0.0</w:t>
            </w:r>
          </w:p>
        </w:tc>
        <w:tc>
          <w:tcPr>
            <w:tcW w:w="779" w:type="pct"/>
          </w:tcPr>
          <w:p w14:paraId="4B7CA7EF" w14:textId="5E6D12D7" w:rsidR="005A18DC" w:rsidRPr="005A18DC" w:rsidRDefault="005A18DC" w:rsidP="005A18DC">
            <w:pPr>
              <w:rPr>
                <w:rFonts w:ascii="Arial" w:eastAsia="Times New Roman" w:hAnsi="Arial" w:cs="Arial"/>
                <w:color w:val="000000"/>
                <w:sz w:val="14"/>
                <w:szCs w:val="14"/>
                <w:lang w:eastAsia="en-GB"/>
              </w:rPr>
            </w:pPr>
            <w:hyperlink r:id="rId2692" w:history="1">
              <w:r w:rsidRPr="005A18DC">
                <w:rPr>
                  <w:rStyle w:val="Hyperlink"/>
                  <w:rFonts w:ascii="Arial" w:hAnsi="Arial" w:cs="Arial"/>
                  <w:b/>
                  <w:bCs/>
                  <w:sz w:val="14"/>
                  <w:szCs w:val="14"/>
                </w:rPr>
                <w:t>NR_NTN_enh-Core</w:t>
              </w:r>
            </w:hyperlink>
          </w:p>
        </w:tc>
        <w:tc>
          <w:tcPr>
            <w:tcW w:w="233" w:type="pct"/>
          </w:tcPr>
          <w:p w14:paraId="08434662" w14:textId="1978A324"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0585</w:t>
            </w:r>
          </w:p>
        </w:tc>
        <w:tc>
          <w:tcPr>
            <w:tcW w:w="226" w:type="pct"/>
          </w:tcPr>
          <w:p w14:paraId="17EFC6D1" w14:textId="4417582C"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 </w:t>
            </w:r>
          </w:p>
        </w:tc>
        <w:tc>
          <w:tcPr>
            <w:tcW w:w="203" w:type="pct"/>
          </w:tcPr>
          <w:p w14:paraId="64AAEFA7" w14:textId="4E9E5D62"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F</w:t>
            </w:r>
          </w:p>
        </w:tc>
      </w:tr>
      <w:tr w:rsidR="005A18DC" w:rsidRPr="009537ED" w14:paraId="111D36AD" w14:textId="77777777" w:rsidTr="00AA703E">
        <w:trPr>
          <w:trHeight w:val="20"/>
        </w:trPr>
        <w:tc>
          <w:tcPr>
            <w:tcW w:w="365" w:type="pct"/>
          </w:tcPr>
          <w:p w14:paraId="28D90537" w14:textId="2C716ACB" w:rsidR="005A18DC" w:rsidRPr="005A18DC" w:rsidRDefault="005A18DC" w:rsidP="005A18DC">
            <w:pPr>
              <w:rPr>
                <w:rFonts w:ascii="Arial" w:eastAsia="Times New Roman" w:hAnsi="Arial" w:cs="Arial"/>
                <w:color w:val="000000"/>
                <w:sz w:val="14"/>
                <w:szCs w:val="14"/>
                <w:lang w:eastAsia="en-GB"/>
              </w:rPr>
            </w:pPr>
            <w:hyperlink r:id="rId2693" w:history="1">
              <w:r w:rsidRPr="005A18DC">
                <w:rPr>
                  <w:rStyle w:val="Hyperlink"/>
                  <w:rFonts w:ascii="Arial" w:hAnsi="Arial" w:cs="Arial"/>
                  <w:b/>
                  <w:bCs/>
                  <w:sz w:val="14"/>
                  <w:szCs w:val="14"/>
                </w:rPr>
                <w:t>R1-2312785</w:t>
              </w:r>
            </w:hyperlink>
          </w:p>
        </w:tc>
        <w:tc>
          <w:tcPr>
            <w:tcW w:w="1471" w:type="pct"/>
          </w:tcPr>
          <w:p w14:paraId="28A9CA7A" w14:textId="161AC0B2"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Maintenance of BWP operation without restriction</w:t>
            </w:r>
          </w:p>
        </w:tc>
        <w:tc>
          <w:tcPr>
            <w:tcW w:w="849" w:type="pct"/>
          </w:tcPr>
          <w:p w14:paraId="14C96657" w14:textId="1B5F2311"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Samsung</w:t>
            </w:r>
          </w:p>
        </w:tc>
        <w:tc>
          <w:tcPr>
            <w:tcW w:w="248" w:type="pct"/>
          </w:tcPr>
          <w:p w14:paraId="0D67DE0B" w14:textId="2BD0F1B5" w:rsidR="005A18DC" w:rsidRPr="005A18DC" w:rsidRDefault="005A18DC" w:rsidP="005A18DC">
            <w:pPr>
              <w:rPr>
                <w:rFonts w:ascii="Arial" w:eastAsia="Times New Roman" w:hAnsi="Arial" w:cs="Arial"/>
                <w:color w:val="000000"/>
                <w:sz w:val="14"/>
                <w:szCs w:val="14"/>
                <w:lang w:eastAsia="en-GB"/>
              </w:rPr>
            </w:pPr>
            <w:hyperlink r:id="rId2694" w:history="1">
              <w:r w:rsidRPr="005A18DC">
                <w:rPr>
                  <w:rStyle w:val="Hyperlink"/>
                  <w:rFonts w:ascii="Arial" w:hAnsi="Arial" w:cs="Arial"/>
                  <w:b/>
                  <w:bCs/>
                  <w:sz w:val="14"/>
                  <w:szCs w:val="14"/>
                </w:rPr>
                <w:t>Rel-18</w:t>
              </w:r>
            </w:hyperlink>
          </w:p>
        </w:tc>
        <w:tc>
          <w:tcPr>
            <w:tcW w:w="301" w:type="pct"/>
            <w:shd w:val="clear" w:color="auto" w:fill="auto"/>
          </w:tcPr>
          <w:p w14:paraId="64BDF594" w14:textId="09D57EE1" w:rsidR="005A18DC" w:rsidRPr="005A18DC" w:rsidRDefault="005A18DC" w:rsidP="005A18DC">
            <w:pPr>
              <w:rPr>
                <w:rFonts w:ascii="Arial" w:eastAsia="Times New Roman" w:hAnsi="Arial" w:cs="Arial"/>
                <w:color w:val="000000"/>
                <w:sz w:val="14"/>
                <w:szCs w:val="14"/>
                <w:lang w:eastAsia="en-GB"/>
              </w:rPr>
            </w:pPr>
            <w:hyperlink r:id="rId2695" w:history="1">
              <w:r w:rsidRPr="005A18DC">
                <w:rPr>
                  <w:rStyle w:val="Hyperlink"/>
                  <w:rFonts w:ascii="Arial" w:hAnsi="Arial" w:cs="Arial"/>
                  <w:b/>
                  <w:bCs/>
                  <w:sz w:val="14"/>
                  <w:szCs w:val="14"/>
                </w:rPr>
                <w:t>38.213</w:t>
              </w:r>
            </w:hyperlink>
          </w:p>
        </w:tc>
        <w:tc>
          <w:tcPr>
            <w:tcW w:w="324" w:type="pct"/>
            <w:shd w:val="clear" w:color="auto" w:fill="auto"/>
          </w:tcPr>
          <w:p w14:paraId="668327B3" w14:textId="5E713436"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18.0.0</w:t>
            </w:r>
          </w:p>
        </w:tc>
        <w:tc>
          <w:tcPr>
            <w:tcW w:w="779" w:type="pct"/>
          </w:tcPr>
          <w:p w14:paraId="5096DE4F" w14:textId="37ECD77B" w:rsidR="005A18DC" w:rsidRPr="005A18DC" w:rsidRDefault="005A18DC" w:rsidP="005A18DC">
            <w:pPr>
              <w:rPr>
                <w:rFonts w:ascii="Arial" w:eastAsia="Times New Roman" w:hAnsi="Arial" w:cs="Arial"/>
                <w:color w:val="000000"/>
                <w:sz w:val="14"/>
                <w:szCs w:val="14"/>
                <w:lang w:eastAsia="en-GB"/>
              </w:rPr>
            </w:pPr>
            <w:hyperlink r:id="rId2696" w:history="1">
              <w:r w:rsidRPr="005A18DC">
                <w:rPr>
                  <w:rStyle w:val="Hyperlink"/>
                  <w:rFonts w:ascii="Arial" w:hAnsi="Arial" w:cs="Arial"/>
                  <w:b/>
                  <w:bCs/>
                  <w:sz w:val="14"/>
                  <w:szCs w:val="14"/>
                </w:rPr>
                <w:t>NR_BWP_wor-Core</w:t>
              </w:r>
            </w:hyperlink>
          </w:p>
        </w:tc>
        <w:tc>
          <w:tcPr>
            <w:tcW w:w="233" w:type="pct"/>
          </w:tcPr>
          <w:p w14:paraId="46DB6633" w14:textId="141357B0"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0586</w:t>
            </w:r>
          </w:p>
        </w:tc>
        <w:tc>
          <w:tcPr>
            <w:tcW w:w="226" w:type="pct"/>
          </w:tcPr>
          <w:p w14:paraId="69EC82C6" w14:textId="4517B1C9"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 </w:t>
            </w:r>
          </w:p>
        </w:tc>
        <w:tc>
          <w:tcPr>
            <w:tcW w:w="203" w:type="pct"/>
          </w:tcPr>
          <w:p w14:paraId="3161D460" w14:textId="390C445C"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F</w:t>
            </w:r>
          </w:p>
        </w:tc>
      </w:tr>
      <w:tr w:rsidR="005A18DC" w:rsidRPr="009537ED" w14:paraId="338BB1AB" w14:textId="77777777" w:rsidTr="00AA703E">
        <w:trPr>
          <w:trHeight w:val="20"/>
        </w:trPr>
        <w:tc>
          <w:tcPr>
            <w:tcW w:w="365" w:type="pct"/>
          </w:tcPr>
          <w:p w14:paraId="6E037AB3" w14:textId="26A75D2F" w:rsidR="005A18DC" w:rsidRPr="005A18DC" w:rsidRDefault="005A18DC" w:rsidP="005A18DC">
            <w:pPr>
              <w:rPr>
                <w:rFonts w:ascii="Arial" w:eastAsia="Times New Roman" w:hAnsi="Arial" w:cs="Arial"/>
                <w:color w:val="000000"/>
                <w:sz w:val="14"/>
                <w:szCs w:val="14"/>
                <w:lang w:eastAsia="en-GB"/>
              </w:rPr>
            </w:pPr>
            <w:hyperlink r:id="rId2697" w:history="1">
              <w:r w:rsidRPr="005A18DC">
                <w:rPr>
                  <w:rStyle w:val="Hyperlink"/>
                  <w:rFonts w:ascii="Arial" w:hAnsi="Arial" w:cs="Arial"/>
                  <w:b/>
                  <w:bCs/>
                  <w:sz w:val="14"/>
                  <w:szCs w:val="14"/>
                </w:rPr>
                <w:t>R1-2312794</w:t>
              </w:r>
            </w:hyperlink>
          </w:p>
        </w:tc>
        <w:tc>
          <w:tcPr>
            <w:tcW w:w="1471" w:type="pct"/>
          </w:tcPr>
          <w:p w14:paraId="16871E0A" w14:textId="7DAE8CCB"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Introduction of sidelink CA and dynamic resource pool sharing for NR V2X</w:t>
            </w:r>
          </w:p>
        </w:tc>
        <w:tc>
          <w:tcPr>
            <w:tcW w:w="849" w:type="pct"/>
          </w:tcPr>
          <w:p w14:paraId="58982698" w14:textId="2C5C34D8"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Huawei (Editor)</w:t>
            </w:r>
          </w:p>
        </w:tc>
        <w:tc>
          <w:tcPr>
            <w:tcW w:w="248" w:type="pct"/>
          </w:tcPr>
          <w:p w14:paraId="600D8190" w14:textId="686407ED" w:rsidR="005A18DC" w:rsidRPr="005A18DC" w:rsidRDefault="005A18DC" w:rsidP="005A18DC">
            <w:pPr>
              <w:rPr>
                <w:rFonts w:ascii="Arial" w:eastAsia="Times New Roman" w:hAnsi="Arial" w:cs="Arial"/>
                <w:color w:val="000000"/>
                <w:sz w:val="14"/>
                <w:szCs w:val="14"/>
                <w:lang w:eastAsia="en-GB"/>
              </w:rPr>
            </w:pPr>
            <w:hyperlink r:id="rId2698" w:history="1">
              <w:r w:rsidRPr="005A18DC">
                <w:rPr>
                  <w:rStyle w:val="Hyperlink"/>
                  <w:rFonts w:ascii="Arial" w:hAnsi="Arial" w:cs="Arial"/>
                  <w:b/>
                  <w:bCs/>
                  <w:sz w:val="14"/>
                  <w:szCs w:val="14"/>
                </w:rPr>
                <w:t>Rel-18</w:t>
              </w:r>
            </w:hyperlink>
          </w:p>
        </w:tc>
        <w:tc>
          <w:tcPr>
            <w:tcW w:w="301" w:type="pct"/>
            <w:shd w:val="clear" w:color="auto" w:fill="auto"/>
          </w:tcPr>
          <w:p w14:paraId="0130642F" w14:textId="6090F78C" w:rsidR="005A18DC" w:rsidRPr="005A18DC" w:rsidRDefault="005A18DC" w:rsidP="005A18DC">
            <w:pPr>
              <w:rPr>
                <w:rFonts w:ascii="Arial" w:eastAsia="Times New Roman" w:hAnsi="Arial" w:cs="Arial"/>
                <w:color w:val="000000"/>
                <w:sz w:val="14"/>
                <w:szCs w:val="14"/>
                <w:lang w:eastAsia="en-GB"/>
              </w:rPr>
            </w:pPr>
            <w:hyperlink r:id="rId2699" w:history="1">
              <w:r w:rsidRPr="005A18DC">
                <w:rPr>
                  <w:rStyle w:val="Hyperlink"/>
                  <w:rFonts w:ascii="Arial" w:hAnsi="Arial" w:cs="Arial"/>
                  <w:b/>
                  <w:bCs/>
                  <w:sz w:val="14"/>
                  <w:szCs w:val="14"/>
                </w:rPr>
                <w:t>37.985</w:t>
              </w:r>
            </w:hyperlink>
          </w:p>
        </w:tc>
        <w:tc>
          <w:tcPr>
            <w:tcW w:w="324" w:type="pct"/>
            <w:shd w:val="clear" w:color="auto" w:fill="auto"/>
          </w:tcPr>
          <w:p w14:paraId="387FFDA5" w14:textId="347597A4"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17.1.1</w:t>
            </w:r>
          </w:p>
        </w:tc>
        <w:tc>
          <w:tcPr>
            <w:tcW w:w="779" w:type="pct"/>
          </w:tcPr>
          <w:p w14:paraId="213280FB" w14:textId="1E4749FE" w:rsidR="005A18DC" w:rsidRPr="005A18DC" w:rsidRDefault="005A18DC" w:rsidP="005A18DC">
            <w:pPr>
              <w:rPr>
                <w:rFonts w:ascii="Arial" w:eastAsia="Times New Roman" w:hAnsi="Arial" w:cs="Arial"/>
                <w:color w:val="000000"/>
                <w:sz w:val="14"/>
                <w:szCs w:val="14"/>
                <w:lang w:eastAsia="en-GB"/>
              </w:rPr>
            </w:pPr>
            <w:hyperlink r:id="rId2700" w:history="1">
              <w:r w:rsidRPr="005A18DC">
                <w:rPr>
                  <w:rStyle w:val="Hyperlink"/>
                  <w:rFonts w:ascii="Arial" w:hAnsi="Arial" w:cs="Arial"/>
                  <w:b/>
                  <w:bCs/>
                  <w:sz w:val="14"/>
                  <w:szCs w:val="14"/>
                </w:rPr>
                <w:t>NR_SL_enh2-Core</w:t>
              </w:r>
            </w:hyperlink>
          </w:p>
        </w:tc>
        <w:tc>
          <w:tcPr>
            <w:tcW w:w="233" w:type="pct"/>
          </w:tcPr>
          <w:p w14:paraId="298ADA8D" w14:textId="2FEE5FD4"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0007</w:t>
            </w:r>
          </w:p>
        </w:tc>
        <w:tc>
          <w:tcPr>
            <w:tcW w:w="226" w:type="pct"/>
          </w:tcPr>
          <w:p w14:paraId="4EEF23FF" w14:textId="66DF1796"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 </w:t>
            </w:r>
          </w:p>
        </w:tc>
        <w:tc>
          <w:tcPr>
            <w:tcW w:w="203" w:type="pct"/>
          </w:tcPr>
          <w:p w14:paraId="4744C022" w14:textId="1798D1F3"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B</w:t>
            </w:r>
          </w:p>
        </w:tc>
      </w:tr>
      <w:tr w:rsidR="005A18DC" w:rsidRPr="009537ED" w14:paraId="7B117E69" w14:textId="77777777" w:rsidTr="00AA703E">
        <w:trPr>
          <w:trHeight w:val="20"/>
        </w:trPr>
        <w:tc>
          <w:tcPr>
            <w:tcW w:w="365" w:type="pct"/>
          </w:tcPr>
          <w:p w14:paraId="112BB462" w14:textId="5CBB25CD" w:rsidR="005A18DC" w:rsidRPr="005A18DC" w:rsidRDefault="005A18DC" w:rsidP="005A18DC">
            <w:pPr>
              <w:rPr>
                <w:rFonts w:ascii="Arial" w:eastAsia="Times New Roman" w:hAnsi="Arial" w:cs="Arial"/>
                <w:color w:val="000000"/>
                <w:sz w:val="14"/>
                <w:szCs w:val="14"/>
                <w:lang w:eastAsia="en-GB"/>
              </w:rPr>
            </w:pPr>
            <w:hyperlink r:id="rId2701" w:history="1">
              <w:r w:rsidRPr="005A18DC">
                <w:rPr>
                  <w:rStyle w:val="Hyperlink"/>
                  <w:rFonts w:ascii="Arial" w:hAnsi="Arial" w:cs="Arial"/>
                  <w:b/>
                  <w:bCs/>
                  <w:sz w:val="14"/>
                  <w:szCs w:val="14"/>
                </w:rPr>
                <w:t>R1-2312797</w:t>
              </w:r>
            </w:hyperlink>
          </w:p>
        </w:tc>
        <w:tc>
          <w:tcPr>
            <w:tcW w:w="1471" w:type="pct"/>
          </w:tcPr>
          <w:p w14:paraId="54B3BD1C" w14:textId="12A6111A"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Release 18 TS38.202 Editor CR for multicast in RRC_INACTIVE state</w:t>
            </w:r>
          </w:p>
        </w:tc>
        <w:tc>
          <w:tcPr>
            <w:tcW w:w="849" w:type="pct"/>
          </w:tcPr>
          <w:p w14:paraId="0E6ACD24" w14:textId="07EACDF1"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Qualcomm</w:t>
            </w:r>
          </w:p>
        </w:tc>
        <w:tc>
          <w:tcPr>
            <w:tcW w:w="248" w:type="pct"/>
          </w:tcPr>
          <w:p w14:paraId="324C9C1F" w14:textId="55EB5291" w:rsidR="005A18DC" w:rsidRPr="005A18DC" w:rsidRDefault="005A18DC" w:rsidP="005A18DC">
            <w:pPr>
              <w:rPr>
                <w:rFonts w:ascii="Arial" w:eastAsia="Times New Roman" w:hAnsi="Arial" w:cs="Arial"/>
                <w:color w:val="000000"/>
                <w:sz w:val="14"/>
                <w:szCs w:val="14"/>
                <w:lang w:eastAsia="en-GB"/>
              </w:rPr>
            </w:pPr>
            <w:hyperlink r:id="rId2702" w:history="1">
              <w:r w:rsidRPr="005A18DC">
                <w:rPr>
                  <w:rStyle w:val="Hyperlink"/>
                  <w:rFonts w:ascii="Arial" w:hAnsi="Arial" w:cs="Arial"/>
                  <w:b/>
                  <w:bCs/>
                  <w:sz w:val="14"/>
                  <w:szCs w:val="14"/>
                </w:rPr>
                <w:t>Rel-18</w:t>
              </w:r>
            </w:hyperlink>
          </w:p>
        </w:tc>
        <w:tc>
          <w:tcPr>
            <w:tcW w:w="301" w:type="pct"/>
            <w:shd w:val="clear" w:color="auto" w:fill="auto"/>
          </w:tcPr>
          <w:p w14:paraId="400E1406" w14:textId="3FCB7179" w:rsidR="005A18DC" w:rsidRPr="005A18DC" w:rsidRDefault="005A18DC" w:rsidP="005A18DC">
            <w:pPr>
              <w:rPr>
                <w:rFonts w:ascii="Arial" w:eastAsia="Times New Roman" w:hAnsi="Arial" w:cs="Arial"/>
                <w:color w:val="000000"/>
                <w:sz w:val="14"/>
                <w:szCs w:val="14"/>
                <w:lang w:eastAsia="en-GB"/>
              </w:rPr>
            </w:pPr>
            <w:hyperlink r:id="rId2703" w:history="1">
              <w:r w:rsidRPr="005A18DC">
                <w:rPr>
                  <w:rStyle w:val="Hyperlink"/>
                  <w:rFonts w:ascii="Arial" w:hAnsi="Arial" w:cs="Arial"/>
                  <w:b/>
                  <w:bCs/>
                  <w:sz w:val="14"/>
                  <w:szCs w:val="14"/>
                </w:rPr>
                <w:t>38.202</w:t>
              </w:r>
            </w:hyperlink>
          </w:p>
        </w:tc>
        <w:tc>
          <w:tcPr>
            <w:tcW w:w="324" w:type="pct"/>
            <w:shd w:val="clear" w:color="auto" w:fill="auto"/>
          </w:tcPr>
          <w:p w14:paraId="7722FDF2" w14:textId="7ACCFEE7"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18.0.0</w:t>
            </w:r>
          </w:p>
        </w:tc>
        <w:tc>
          <w:tcPr>
            <w:tcW w:w="779" w:type="pct"/>
          </w:tcPr>
          <w:p w14:paraId="14752FF7" w14:textId="255BDCDB" w:rsidR="005A18DC" w:rsidRPr="005A18DC" w:rsidRDefault="005A18DC" w:rsidP="005A18DC">
            <w:pPr>
              <w:rPr>
                <w:rFonts w:ascii="Arial" w:eastAsia="Times New Roman" w:hAnsi="Arial" w:cs="Arial"/>
                <w:color w:val="000000"/>
                <w:sz w:val="14"/>
                <w:szCs w:val="14"/>
                <w:lang w:eastAsia="en-GB"/>
              </w:rPr>
            </w:pPr>
            <w:hyperlink r:id="rId2704" w:history="1">
              <w:r w:rsidRPr="005A18DC">
                <w:rPr>
                  <w:rStyle w:val="Hyperlink"/>
                  <w:rFonts w:ascii="Arial" w:hAnsi="Arial" w:cs="Arial"/>
                  <w:b/>
                  <w:bCs/>
                  <w:sz w:val="14"/>
                  <w:szCs w:val="14"/>
                </w:rPr>
                <w:t>NR_MBS_enh-Core</w:t>
              </w:r>
            </w:hyperlink>
          </w:p>
        </w:tc>
        <w:tc>
          <w:tcPr>
            <w:tcW w:w="233" w:type="pct"/>
          </w:tcPr>
          <w:p w14:paraId="6EBDE4BA" w14:textId="503477A1"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0032</w:t>
            </w:r>
          </w:p>
        </w:tc>
        <w:tc>
          <w:tcPr>
            <w:tcW w:w="226" w:type="pct"/>
          </w:tcPr>
          <w:p w14:paraId="05FCB726" w14:textId="07DE2C90"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 </w:t>
            </w:r>
          </w:p>
        </w:tc>
        <w:tc>
          <w:tcPr>
            <w:tcW w:w="203" w:type="pct"/>
          </w:tcPr>
          <w:p w14:paraId="4B0ADEC8" w14:textId="71605851"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B</w:t>
            </w:r>
          </w:p>
        </w:tc>
      </w:tr>
      <w:tr w:rsidR="005A18DC" w:rsidRPr="009537ED" w14:paraId="2BF45F3F" w14:textId="77777777" w:rsidTr="00AA703E">
        <w:trPr>
          <w:trHeight w:val="20"/>
        </w:trPr>
        <w:tc>
          <w:tcPr>
            <w:tcW w:w="365" w:type="pct"/>
          </w:tcPr>
          <w:p w14:paraId="692B8797" w14:textId="18290A9F" w:rsidR="005A18DC" w:rsidRPr="005A18DC" w:rsidRDefault="005A18DC" w:rsidP="005A18DC">
            <w:pPr>
              <w:rPr>
                <w:rFonts w:ascii="Arial" w:eastAsia="Times New Roman" w:hAnsi="Arial" w:cs="Arial"/>
                <w:color w:val="000000"/>
                <w:sz w:val="14"/>
                <w:szCs w:val="14"/>
                <w:lang w:eastAsia="en-GB"/>
              </w:rPr>
            </w:pPr>
            <w:hyperlink r:id="rId2705" w:history="1">
              <w:r w:rsidRPr="005A18DC">
                <w:rPr>
                  <w:rStyle w:val="Hyperlink"/>
                  <w:rFonts w:ascii="Arial" w:hAnsi="Arial" w:cs="Arial"/>
                  <w:b/>
                  <w:bCs/>
                  <w:sz w:val="14"/>
                  <w:szCs w:val="14"/>
                </w:rPr>
                <w:t>R1-2312798</w:t>
              </w:r>
            </w:hyperlink>
          </w:p>
        </w:tc>
        <w:tc>
          <w:tcPr>
            <w:tcW w:w="1471" w:type="pct"/>
          </w:tcPr>
          <w:p w14:paraId="45FD9907" w14:textId="79893E84"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Release 18 TS38.202 Editor CR for SL-PRS transmission and Reception</w:t>
            </w:r>
          </w:p>
        </w:tc>
        <w:tc>
          <w:tcPr>
            <w:tcW w:w="849" w:type="pct"/>
          </w:tcPr>
          <w:p w14:paraId="2CE46DF9" w14:textId="2130361B"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Qualcomm</w:t>
            </w:r>
          </w:p>
        </w:tc>
        <w:tc>
          <w:tcPr>
            <w:tcW w:w="248" w:type="pct"/>
          </w:tcPr>
          <w:p w14:paraId="525BA76C" w14:textId="51986FDE" w:rsidR="005A18DC" w:rsidRPr="005A18DC" w:rsidRDefault="005A18DC" w:rsidP="005A18DC">
            <w:pPr>
              <w:rPr>
                <w:rFonts w:ascii="Arial" w:eastAsia="Times New Roman" w:hAnsi="Arial" w:cs="Arial"/>
                <w:color w:val="000000"/>
                <w:sz w:val="14"/>
                <w:szCs w:val="14"/>
                <w:lang w:eastAsia="en-GB"/>
              </w:rPr>
            </w:pPr>
            <w:hyperlink r:id="rId2706" w:history="1">
              <w:r w:rsidRPr="005A18DC">
                <w:rPr>
                  <w:rStyle w:val="Hyperlink"/>
                  <w:rFonts w:ascii="Arial" w:hAnsi="Arial" w:cs="Arial"/>
                  <w:b/>
                  <w:bCs/>
                  <w:sz w:val="14"/>
                  <w:szCs w:val="14"/>
                </w:rPr>
                <w:t>Rel-18</w:t>
              </w:r>
            </w:hyperlink>
          </w:p>
        </w:tc>
        <w:tc>
          <w:tcPr>
            <w:tcW w:w="301" w:type="pct"/>
            <w:shd w:val="clear" w:color="auto" w:fill="auto"/>
          </w:tcPr>
          <w:p w14:paraId="2132BC65" w14:textId="60086B1E" w:rsidR="005A18DC" w:rsidRPr="005A18DC" w:rsidRDefault="005A18DC" w:rsidP="005A18DC">
            <w:pPr>
              <w:rPr>
                <w:rFonts w:ascii="Arial" w:eastAsia="Times New Roman" w:hAnsi="Arial" w:cs="Arial"/>
                <w:color w:val="000000"/>
                <w:sz w:val="14"/>
                <w:szCs w:val="14"/>
                <w:lang w:eastAsia="en-GB"/>
              </w:rPr>
            </w:pPr>
            <w:hyperlink r:id="rId2707" w:history="1">
              <w:r w:rsidRPr="005A18DC">
                <w:rPr>
                  <w:rStyle w:val="Hyperlink"/>
                  <w:rFonts w:ascii="Arial" w:hAnsi="Arial" w:cs="Arial"/>
                  <w:b/>
                  <w:bCs/>
                  <w:sz w:val="14"/>
                  <w:szCs w:val="14"/>
                </w:rPr>
                <w:t>38.202</w:t>
              </w:r>
            </w:hyperlink>
          </w:p>
        </w:tc>
        <w:tc>
          <w:tcPr>
            <w:tcW w:w="324" w:type="pct"/>
            <w:shd w:val="clear" w:color="auto" w:fill="auto"/>
          </w:tcPr>
          <w:p w14:paraId="32722038" w14:textId="3E024513"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18.0.0</w:t>
            </w:r>
          </w:p>
        </w:tc>
        <w:tc>
          <w:tcPr>
            <w:tcW w:w="779" w:type="pct"/>
          </w:tcPr>
          <w:p w14:paraId="5F4AE0A7" w14:textId="7820C84F" w:rsidR="005A18DC" w:rsidRPr="005A18DC" w:rsidRDefault="005A18DC" w:rsidP="005A18DC">
            <w:pPr>
              <w:rPr>
                <w:rFonts w:ascii="Arial" w:eastAsia="Times New Roman" w:hAnsi="Arial" w:cs="Arial"/>
                <w:color w:val="000000"/>
                <w:sz w:val="14"/>
                <w:szCs w:val="14"/>
                <w:lang w:eastAsia="en-GB"/>
              </w:rPr>
            </w:pPr>
            <w:hyperlink r:id="rId2708" w:history="1">
              <w:r w:rsidRPr="005A18DC">
                <w:rPr>
                  <w:rStyle w:val="Hyperlink"/>
                  <w:rFonts w:ascii="Arial" w:hAnsi="Arial" w:cs="Arial"/>
                  <w:b/>
                  <w:bCs/>
                  <w:sz w:val="14"/>
                  <w:szCs w:val="14"/>
                </w:rPr>
                <w:t>NR_pos_enh2-Core</w:t>
              </w:r>
            </w:hyperlink>
          </w:p>
        </w:tc>
        <w:tc>
          <w:tcPr>
            <w:tcW w:w="233" w:type="pct"/>
          </w:tcPr>
          <w:p w14:paraId="56995E7A" w14:textId="1CB179CF"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0033</w:t>
            </w:r>
          </w:p>
        </w:tc>
        <w:tc>
          <w:tcPr>
            <w:tcW w:w="226" w:type="pct"/>
          </w:tcPr>
          <w:p w14:paraId="54CA592B" w14:textId="5F9ABE75"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 </w:t>
            </w:r>
          </w:p>
        </w:tc>
        <w:tc>
          <w:tcPr>
            <w:tcW w:w="203" w:type="pct"/>
          </w:tcPr>
          <w:p w14:paraId="71CBA135" w14:textId="4E897A8D"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F</w:t>
            </w:r>
          </w:p>
        </w:tc>
      </w:tr>
      <w:tr w:rsidR="005A18DC" w:rsidRPr="009537ED" w14:paraId="0C039C99" w14:textId="77777777" w:rsidTr="00AA703E">
        <w:trPr>
          <w:trHeight w:val="20"/>
        </w:trPr>
        <w:tc>
          <w:tcPr>
            <w:tcW w:w="365" w:type="pct"/>
          </w:tcPr>
          <w:p w14:paraId="58F6CA6D" w14:textId="0B2F4A38" w:rsidR="005A18DC" w:rsidRPr="005A18DC" w:rsidRDefault="005A18DC" w:rsidP="005A18DC">
            <w:pPr>
              <w:rPr>
                <w:rFonts w:ascii="Arial" w:eastAsia="Times New Roman" w:hAnsi="Arial" w:cs="Arial"/>
                <w:color w:val="000000"/>
                <w:sz w:val="14"/>
                <w:szCs w:val="14"/>
                <w:lang w:eastAsia="en-GB"/>
              </w:rPr>
            </w:pPr>
            <w:hyperlink r:id="rId2709" w:history="1">
              <w:r w:rsidRPr="005A18DC">
                <w:rPr>
                  <w:rStyle w:val="Hyperlink"/>
                  <w:rFonts w:ascii="Arial" w:hAnsi="Arial" w:cs="Arial"/>
                  <w:b/>
                  <w:bCs/>
                  <w:sz w:val="14"/>
                  <w:szCs w:val="14"/>
                </w:rPr>
                <w:t>R1-2312802</w:t>
              </w:r>
            </w:hyperlink>
          </w:p>
        </w:tc>
        <w:tc>
          <w:tcPr>
            <w:tcW w:w="1471" w:type="pct"/>
          </w:tcPr>
          <w:p w14:paraId="0EC0AFF0" w14:textId="303EF566"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Corrections on multi-cell PDSCH / PUSCH scheduling</w:t>
            </w:r>
          </w:p>
        </w:tc>
        <w:tc>
          <w:tcPr>
            <w:tcW w:w="849" w:type="pct"/>
          </w:tcPr>
          <w:p w14:paraId="112A32BA" w14:textId="7A592697"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Nokia</w:t>
            </w:r>
          </w:p>
        </w:tc>
        <w:tc>
          <w:tcPr>
            <w:tcW w:w="248" w:type="pct"/>
          </w:tcPr>
          <w:p w14:paraId="1AE8C750" w14:textId="492A5535" w:rsidR="005A18DC" w:rsidRPr="005A18DC" w:rsidRDefault="005A18DC" w:rsidP="005A18DC">
            <w:pPr>
              <w:rPr>
                <w:rFonts w:ascii="Arial" w:eastAsia="Times New Roman" w:hAnsi="Arial" w:cs="Arial"/>
                <w:color w:val="000000"/>
                <w:sz w:val="14"/>
                <w:szCs w:val="14"/>
                <w:lang w:eastAsia="en-GB"/>
              </w:rPr>
            </w:pPr>
            <w:hyperlink r:id="rId2710" w:history="1">
              <w:r w:rsidRPr="005A18DC">
                <w:rPr>
                  <w:rStyle w:val="Hyperlink"/>
                  <w:rFonts w:ascii="Arial" w:hAnsi="Arial" w:cs="Arial"/>
                  <w:b/>
                  <w:bCs/>
                  <w:sz w:val="14"/>
                  <w:szCs w:val="14"/>
                </w:rPr>
                <w:t>Rel-18</w:t>
              </w:r>
            </w:hyperlink>
          </w:p>
        </w:tc>
        <w:tc>
          <w:tcPr>
            <w:tcW w:w="301" w:type="pct"/>
            <w:shd w:val="clear" w:color="auto" w:fill="auto"/>
          </w:tcPr>
          <w:p w14:paraId="6F331550" w14:textId="7813B0E3" w:rsidR="005A18DC" w:rsidRPr="005A18DC" w:rsidRDefault="005A18DC" w:rsidP="005A18DC">
            <w:pPr>
              <w:rPr>
                <w:rFonts w:ascii="Arial" w:eastAsia="Times New Roman" w:hAnsi="Arial" w:cs="Arial"/>
                <w:color w:val="000000"/>
                <w:sz w:val="14"/>
                <w:szCs w:val="14"/>
                <w:lang w:eastAsia="en-GB"/>
              </w:rPr>
            </w:pPr>
            <w:hyperlink r:id="rId2711" w:history="1">
              <w:r w:rsidRPr="005A18DC">
                <w:rPr>
                  <w:rStyle w:val="Hyperlink"/>
                  <w:rFonts w:ascii="Arial" w:hAnsi="Arial" w:cs="Arial"/>
                  <w:b/>
                  <w:bCs/>
                  <w:sz w:val="14"/>
                  <w:szCs w:val="14"/>
                </w:rPr>
                <w:t>38.214</w:t>
              </w:r>
            </w:hyperlink>
          </w:p>
        </w:tc>
        <w:tc>
          <w:tcPr>
            <w:tcW w:w="324" w:type="pct"/>
            <w:shd w:val="clear" w:color="auto" w:fill="auto"/>
          </w:tcPr>
          <w:p w14:paraId="15C58252" w14:textId="2675DE1E"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18.0.0</w:t>
            </w:r>
          </w:p>
        </w:tc>
        <w:tc>
          <w:tcPr>
            <w:tcW w:w="779" w:type="pct"/>
          </w:tcPr>
          <w:p w14:paraId="552538C3" w14:textId="12D6DCDF" w:rsidR="005A18DC" w:rsidRPr="005A18DC" w:rsidRDefault="005A18DC" w:rsidP="005A18DC">
            <w:pPr>
              <w:rPr>
                <w:rFonts w:ascii="Arial" w:eastAsia="Times New Roman" w:hAnsi="Arial" w:cs="Arial"/>
                <w:color w:val="000000"/>
                <w:sz w:val="14"/>
                <w:szCs w:val="14"/>
                <w:lang w:eastAsia="en-GB"/>
              </w:rPr>
            </w:pPr>
            <w:hyperlink r:id="rId2712" w:history="1">
              <w:r w:rsidRPr="005A18DC">
                <w:rPr>
                  <w:rStyle w:val="Hyperlink"/>
                  <w:rFonts w:ascii="Arial" w:hAnsi="Arial" w:cs="Arial"/>
                  <w:b/>
                  <w:bCs/>
                  <w:sz w:val="14"/>
                  <w:szCs w:val="14"/>
                </w:rPr>
                <w:t>NR_MC_enh-Core</w:t>
              </w:r>
            </w:hyperlink>
          </w:p>
        </w:tc>
        <w:tc>
          <w:tcPr>
            <w:tcW w:w="233" w:type="pct"/>
          </w:tcPr>
          <w:p w14:paraId="0FFF7ACB" w14:textId="57E424C9"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0493</w:t>
            </w:r>
          </w:p>
        </w:tc>
        <w:tc>
          <w:tcPr>
            <w:tcW w:w="226" w:type="pct"/>
          </w:tcPr>
          <w:p w14:paraId="57166B14" w14:textId="666421B0"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 </w:t>
            </w:r>
          </w:p>
        </w:tc>
        <w:tc>
          <w:tcPr>
            <w:tcW w:w="203" w:type="pct"/>
          </w:tcPr>
          <w:p w14:paraId="1216B3FD" w14:textId="2A6D41A5"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F</w:t>
            </w:r>
          </w:p>
        </w:tc>
      </w:tr>
      <w:tr w:rsidR="005A18DC" w:rsidRPr="009537ED" w14:paraId="7E7BC20F" w14:textId="77777777" w:rsidTr="00AA703E">
        <w:trPr>
          <w:trHeight w:val="20"/>
        </w:trPr>
        <w:tc>
          <w:tcPr>
            <w:tcW w:w="365" w:type="pct"/>
          </w:tcPr>
          <w:p w14:paraId="019B4917" w14:textId="3C7C0F37" w:rsidR="005A18DC" w:rsidRPr="005A18DC" w:rsidRDefault="005A18DC" w:rsidP="005A18DC">
            <w:pPr>
              <w:rPr>
                <w:rFonts w:ascii="Arial" w:eastAsia="Times New Roman" w:hAnsi="Arial" w:cs="Arial"/>
                <w:color w:val="000000"/>
                <w:sz w:val="14"/>
                <w:szCs w:val="14"/>
                <w:lang w:eastAsia="en-GB"/>
              </w:rPr>
            </w:pPr>
            <w:hyperlink r:id="rId2713" w:history="1">
              <w:r w:rsidRPr="005A18DC">
                <w:rPr>
                  <w:rStyle w:val="Hyperlink"/>
                  <w:rFonts w:ascii="Arial" w:hAnsi="Arial" w:cs="Arial"/>
                  <w:b/>
                  <w:bCs/>
                  <w:sz w:val="14"/>
                  <w:szCs w:val="14"/>
                </w:rPr>
                <w:t>R1-2312804</w:t>
              </w:r>
            </w:hyperlink>
          </w:p>
        </w:tc>
        <w:tc>
          <w:tcPr>
            <w:tcW w:w="1471" w:type="pct"/>
          </w:tcPr>
          <w:p w14:paraId="3D4FB0FA" w14:textId="7E607443"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Introduction of NR support for dedicated spectrum less than 5MHz for FR1</w:t>
            </w:r>
          </w:p>
        </w:tc>
        <w:tc>
          <w:tcPr>
            <w:tcW w:w="849" w:type="pct"/>
          </w:tcPr>
          <w:p w14:paraId="35453473" w14:textId="555932E3"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Nokia</w:t>
            </w:r>
          </w:p>
        </w:tc>
        <w:tc>
          <w:tcPr>
            <w:tcW w:w="248" w:type="pct"/>
          </w:tcPr>
          <w:p w14:paraId="3AF9E59C" w14:textId="5A0214BE" w:rsidR="005A18DC" w:rsidRPr="005A18DC" w:rsidRDefault="005A18DC" w:rsidP="005A18DC">
            <w:pPr>
              <w:rPr>
                <w:rFonts w:ascii="Arial" w:eastAsia="Times New Roman" w:hAnsi="Arial" w:cs="Arial"/>
                <w:color w:val="000000"/>
                <w:sz w:val="14"/>
                <w:szCs w:val="14"/>
                <w:lang w:eastAsia="en-GB"/>
              </w:rPr>
            </w:pPr>
            <w:hyperlink r:id="rId2714" w:history="1">
              <w:r w:rsidRPr="005A18DC">
                <w:rPr>
                  <w:rStyle w:val="Hyperlink"/>
                  <w:rFonts w:ascii="Arial" w:hAnsi="Arial" w:cs="Arial"/>
                  <w:b/>
                  <w:bCs/>
                  <w:sz w:val="14"/>
                  <w:szCs w:val="14"/>
                </w:rPr>
                <w:t>Rel-18</w:t>
              </w:r>
            </w:hyperlink>
          </w:p>
        </w:tc>
        <w:tc>
          <w:tcPr>
            <w:tcW w:w="301" w:type="pct"/>
            <w:shd w:val="clear" w:color="auto" w:fill="auto"/>
          </w:tcPr>
          <w:p w14:paraId="1FEA769A" w14:textId="1CE2948B" w:rsidR="005A18DC" w:rsidRPr="005A18DC" w:rsidRDefault="005A18DC" w:rsidP="005A18DC">
            <w:pPr>
              <w:rPr>
                <w:rFonts w:ascii="Arial" w:eastAsia="Times New Roman" w:hAnsi="Arial" w:cs="Arial"/>
                <w:color w:val="000000"/>
                <w:sz w:val="14"/>
                <w:szCs w:val="14"/>
                <w:lang w:eastAsia="en-GB"/>
              </w:rPr>
            </w:pPr>
            <w:hyperlink r:id="rId2715" w:history="1">
              <w:r w:rsidRPr="005A18DC">
                <w:rPr>
                  <w:rStyle w:val="Hyperlink"/>
                  <w:rFonts w:ascii="Arial" w:hAnsi="Arial" w:cs="Arial"/>
                  <w:b/>
                  <w:bCs/>
                  <w:sz w:val="14"/>
                  <w:szCs w:val="14"/>
                </w:rPr>
                <w:t>38.214</w:t>
              </w:r>
            </w:hyperlink>
          </w:p>
        </w:tc>
        <w:tc>
          <w:tcPr>
            <w:tcW w:w="324" w:type="pct"/>
            <w:shd w:val="clear" w:color="auto" w:fill="auto"/>
          </w:tcPr>
          <w:p w14:paraId="00D4BF20" w14:textId="3B6951F7"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18.0.0</w:t>
            </w:r>
          </w:p>
        </w:tc>
        <w:tc>
          <w:tcPr>
            <w:tcW w:w="779" w:type="pct"/>
          </w:tcPr>
          <w:p w14:paraId="7CB4E58B" w14:textId="527A56C8" w:rsidR="005A18DC" w:rsidRPr="005A18DC" w:rsidRDefault="005A18DC" w:rsidP="005A18DC">
            <w:pPr>
              <w:rPr>
                <w:rFonts w:ascii="Arial" w:eastAsia="Times New Roman" w:hAnsi="Arial" w:cs="Arial"/>
                <w:color w:val="000000"/>
                <w:sz w:val="14"/>
                <w:szCs w:val="14"/>
                <w:lang w:eastAsia="en-GB"/>
              </w:rPr>
            </w:pPr>
            <w:hyperlink r:id="rId2716" w:history="1">
              <w:r w:rsidRPr="005A18DC">
                <w:rPr>
                  <w:rStyle w:val="Hyperlink"/>
                  <w:rFonts w:ascii="Arial" w:hAnsi="Arial" w:cs="Arial"/>
                  <w:b/>
                  <w:bCs/>
                  <w:sz w:val="14"/>
                  <w:szCs w:val="14"/>
                </w:rPr>
                <w:t>NR_FR1_lessthan_5MHz_BW-Core</w:t>
              </w:r>
            </w:hyperlink>
          </w:p>
        </w:tc>
        <w:tc>
          <w:tcPr>
            <w:tcW w:w="233" w:type="pct"/>
          </w:tcPr>
          <w:p w14:paraId="42D70B2B" w14:textId="3A601FA2"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0494</w:t>
            </w:r>
          </w:p>
        </w:tc>
        <w:tc>
          <w:tcPr>
            <w:tcW w:w="226" w:type="pct"/>
          </w:tcPr>
          <w:p w14:paraId="4ED457CC" w14:textId="14AA4FB0"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 </w:t>
            </w:r>
          </w:p>
        </w:tc>
        <w:tc>
          <w:tcPr>
            <w:tcW w:w="203" w:type="pct"/>
          </w:tcPr>
          <w:p w14:paraId="43390B85" w14:textId="64BFD180"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B</w:t>
            </w:r>
          </w:p>
        </w:tc>
      </w:tr>
      <w:tr w:rsidR="005A18DC" w:rsidRPr="009537ED" w14:paraId="59BDF94E" w14:textId="77777777" w:rsidTr="00AA703E">
        <w:trPr>
          <w:trHeight w:val="20"/>
        </w:trPr>
        <w:tc>
          <w:tcPr>
            <w:tcW w:w="365" w:type="pct"/>
          </w:tcPr>
          <w:p w14:paraId="6CD0A3FF" w14:textId="2DD50F0A" w:rsidR="005A18DC" w:rsidRPr="005A18DC" w:rsidRDefault="005A18DC" w:rsidP="005A18DC">
            <w:pPr>
              <w:rPr>
                <w:rFonts w:ascii="Arial" w:eastAsia="Times New Roman" w:hAnsi="Arial" w:cs="Arial"/>
                <w:color w:val="000000"/>
                <w:sz w:val="14"/>
                <w:szCs w:val="14"/>
                <w:lang w:eastAsia="en-GB"/>
              </w:rPr>
            </w:pPr>
            <w:hyperlink r:id="rId2717" w:history="1">
              <w:r w:rsidRPr="005A18DC">
                <w:rPr>
                  <w:rStyle w:val="Hyperlink"/>
                  <w:rFonts w:ascii="Arial" w:hAnsi="Arial" w:cs="Arial"/>
                  <w:b/>
                  <w:bCs/>
                  <w:sz w:val="14"/>
                  <w:szCs w:val="14"/>
                </w:rPr>
                <w:t>R1-2312805</w:t>
              </w:r>
            </w:hyperlink>
          </w:p>
        </w:tc>
        <w:tc>
          <w:tcPr>
            <w:tcW w:w="1471" w:type="pct"/>
          </w:tcPr>
          <w:p w14:paraId="1B3052DE" w14:textId="61AECFEB"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Introduction of Rel-18 enhancements of NR Multicast and Broadcast Services</w:t>
            </w:r>
          </w:p>
        </w:tc>
        <w:tc>
          <w:tcPr>
            <w:tcW w:w="849" w:type="pct"/>
          </w:tcPr>
          <w:p w14:paraId="27E7D169" w14:textId="0A6B49AF"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Nokia</w:t>
            </w:r>
          </w:p>
        </w:tc>
        <w:tc>
          <w:tcPr>
            <w:tcW w:w="248" w:type="pct"/>
          </w:tcPr>
          <w:p w14:paraId="03597CEB" w14:textId="50F673D9" w:rsidR="005A18DC" w:rsidRPr="005A18DC" w:rsidRDefault="005A18DC" w:rsidP="005A18DC">
            <w:pPr>
              <w:rPr>
                <w:rFonts w:ascii="Arial" w:eastAsia="Times New Roman" w:hAnsi="Arial" w:cs="Arial"/>
                <w:color w:val="000000"/>
                <w:sz w:val="14"/>
                <w:szCs w:val="14"/>
                <w:lang w:eastAsia="en-GB"/>
              </w:rPr>
            </w:pPr>
            <w:hyperlink r:id="rId2718" w:history="1">
              <w:r w:rsidRPr="005A18DC">
                <w:rPr>
                  <w:rStyle w:val="Hyperlink"/>
                  <w:rFonts w:ascii="Arial" w:hAnsi="Arial" w:cs="Arial"/>
                  <w:b/>
                  <w:bCs/>
                  <w:sz w:val="14"/>
                  <w:szCs w:val="14"/>
                </w:rPr>
                <w:t>Rel-18</w:t>
              </w:r>
            </w:hyperlink>
          </w:p>
        </w:tc>
        <w:tc>
          <w:tcPr>
            <w:tcW w:w="301" w:type="pct"/>
            <w:shd w:val="clear" w:color="auto" w:fill="auto"/>
          </w:tcPr>
          <w:p w14:paraId="1B19F9B2" w14:textId="19C72B4B" w:rsidR="005A18DC" w:rsidRPr="005A18DC" w:rsidRDefault="005A18DC" w:rsidP="005A18DC">
            <w:pPr>
              <w:rPr>
                <w:rFonts w:ascii="Arial" w:eastAsia="Times New Roman" w:hAnsi="Arial" w:cs="Arial"/>
                <w:color w:val="000000"/>
                <w:sz w:val="14"/>
                <w:szCs w:val="14"/>
                <w:lang w:eastAsia="en-GB"/>
              </w:rPr>
            </w:pPr>
            <w:hyperlink r:id="rId2719" w:history="1">
              <w:r w:rsidRPr="005A18DC">
                <w:rPr>
                  <w:rStyle w:val="Hyperlink"/>
                  <w:rFonts w:ascii="Arial" w:hAnsi="Arial" w:cs="Arial"/>
                  <w:b/>
                  <w:bCs/>
                  <w:sz w:val="14"/>
                  <w:szCs w:val="14"/>
                </w:rPr>
                <w:t>38.214</w:t>
              </w:r>
            </w:hyperlink>
          </w:p>
        </w:tc>
        <w:tc>
          <w:tcPr>
            <w:tcW w:w="324" w:type="pct"/>
            <w:shd w:val="clear" w:color="auto" w:fill="auto"/>
          </w:tcPr>
          <w:p w14:paraId="4E8CEF97" w14:textId="08D49F76"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18.0.0</w:t>
            </w:r>
          </w:p>
        </w:tc>
        <w:tc>
          <w:tcPr>
            <w:tcW w:w="779" w:type="pct"/>
          </w:tcPr>
          <w:p w14:paraId="0FD04A1A" w14:textId="5FF622B8" w:rsidR="005A18DC" w:rsidRPr="005A18DC" w:rsidRDefault="005A18DC" w:rsidP="005A18DC">
            <w:pPr>
              <w:rPr>
                <w:rFonts w:ascii="Arial" w:eastAsia="Times New Roman" w:hAnsi="Arial" w:cs="Arial"/>
                <w:color w:val="000000"/>
                <w:sz w:val="14"/>
                <w:szCs w:val="14"/>
                <w:lang w:eastAsia="en-GB"/>
              </w:rPr>
            </w:pPr>
            <w:hyperlink r:id="rId2720" w:history="1">
              <w:r w:rsidRPr="005A18DC">
                <w:rPr>
                  <w:rStyle w:val="Hyperlink"/>
                  <w:rFonts w:ascii="Arial" w:hAnsi="Arial" w:cs="Arial"/>
                  <w:b/>
                  <w:bCs/>
                  <w:sz w:val="14"/>
                  <w:szCs w:val="14"/>
                </w:rPr>
                <w:t>NR_MBS_enh-Core</w:t>
              </w:r>
            </w:hyperlink>
          </w:p>
        </w:tc>
        <w:tc>
          <w:tcPr>
            <w:tcW w:w="233" w:type="pct"/>
          </w:tcPr>
          <w:p w14:paraId="44B77D8B" w14:textId="009ED72C"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0495</w:t>
            </w:r>
          </w:p>
        </w:tc>
        <w:tc>
          <w:tcPr>
            <w:tcW w:w="226" w:type="pct"/>
          </w:tcPr>
          <w:p w14:paraId="4E581CE1" w14:textId="68B15CCB"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 </w:t>
            </w:r>
          </w:p>
        </w:tc>
        <w:tc>
          <w:tcPr>
            <w:tcW w:w="203" w:type="pct"/>
          </w:tcPr>
          <w:p w14:paraId="2558C659" w14:textId="7741BF38"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B</w:t>
            </w:r>
          </w:p>
        </w:tc>
      </w:tr>
      <w:tr w:rsidR="005A18DC" w:rsidRPr="009537ED" w14:paraId="3B146B9D" w14:textId="77777777" w:rsidTr="00AA703E">
        <w:trPr>
          <w:trHeight w:val="20"/>
        </w:trPr>
        <w:tc>
          <w:tcPr>
            <w:tcW w:w="365" w:type="pct"/>
          </w:tcPr>
          <w:p w14:paraId="68120F48" w14:textId="3051CD18" w:rsidR="005A18DC" w:rsidRPr="005A18DC" w:rsidRDefault="005A18DC" w:rsidP="005A18DC">
            <w:pPr>
              <w:rPr>
                <w:rFonts w:ascii="Arial" w:eastAsia="Times New Roman" w:hAnsi="Arial" w:cs="Arial"/>
                <w:color w:val="000000"/>
                <w:sz w:val="14"/>
                <w:szCs w:val="14"/>
                <w:lang w:eastAsia="en-GB"/>
              </w:rPr>
            </w:pPr>
            <w:hyperlink r:id="rId2721" w:history="1">
              <w:r w:rsidRPr="005A18DC">
                <w:rPr>
                  <w:rStyle w:val="Hyperlink"/>
                  <w:rFonts w:ascii="Arial" w:hAnsi="Arial" w:cs="Arial"/>
                  <w:b/>
                  <w:bCs/>
                  <w:sz w:val="14"/>
                  <w:szCs w:val="14"/>
                </w:rPr>
                <w:t>R1-2312810</w:t>
              </w:r>
            </w:hyperlink>
          </w:p>
        </w:tc>
        <w:tc>
          <w:tcPr>
            <w:tcW w:w="1471" w:type="pct"/>
          </w:tcPr>
          <w:p w14:paraId="17E13738" w14:textId="4D35CE09"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Introduction of Network Controlled Repeaters</w:t>
            </w:r>
          </w:p>
        </w:tc>
        <w:tc>
          <w:tcPr>
            <w:tcW w:w="849" w:type="pct"/>
          </w:tcPr>
          <w:p w14:paraId="36100EB3" w14:textId="242E1194"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Nokia</w:t>
            </w:r>
          </w:p>
        </w:tc>
        <w:tc>
          <w:tcPr>
            <w:tcW w:w="248" w:type="pct"/>
          </w:tcPr>
          <w:p w14:paraId="2110BB13" w14:textId="16651A3C" w:rsidR="005A18DC" w:rsidRPr="005A18DC" w:rsidRDefault="005A18DC" w:rsidP="005A18DC">
            <w:pPr>
              <w:rPr>
                <w:rFonts w:ascii="Arial" w:eastAsia="Times New Roman" w:hAnsi="Arial" w:cs="Arial"/>
                <w:color w:val="000000"/>
                <w:sz w:val="14"/>
                <w:szCs w:val="14"/>
                <w:lang w:eastAsia="en-GB"/>
              </w:rPr>
            </w:pPr>
            <w:hyperlink r:id="rId2722" w:history="1">
              <w:r w:rsidRPr="005A18DC">
                <w:rPr>
                  <w:rStyle w:val="Hyperlink"/>
                  <w:rFonts w:ascii="Arial" w:hAnsi="Arial" w:cs="Arial"/>
                  <w:b/>
                  <w:bCs/>
                  <w:sz w:val="14"/>
                  <w:szCs w:val="14"/>
                </w:rPr>
                <w:t>Rel-18</w:t>
              </w:r>
            </w:hyperlink>
          </w:p>
        </w:tc>
        <w:tc>
          <w:tcPr>
            <w:tcW w:w="301" w:type="pct"/>
            <w:shd w:val="clear" w:color="auto" w:fill="auto"/>
          </w:tcPr>
          <w:p w14:paraId="19E59DC6" w14:textId="3FAC1D81" w:rsidR="005A18DC" w:rsidRPr="005A18DC" w:rsidRDefault="005A18DC" w:rsidP="005A18DC">
            <w:pPr>
              <w:rPr>
                <w:rFonts w:ascii="Arial" w:eastAsia="Times New Roman" w:hAnsi="Arial" w:cs="Arial"/>
                <w:color w:val="000000"/>
                <w:sz w:val="14"/>
                <w:szCs w:val="14"/>
                <w:lang w:eastAsia="en-GB"/>
              </w:rPr>
            </w:pPr>
            <w:hyperlink r:id="rId2723" w:history="1">
              <w:r w:rsidRPr="005A18DC">
                <w:rPr>
                  <w:rStyle w:val="Hyperlink"/>
                  <w:rFonts w:ascii="Arial" w:hAnsi="Arial" w:cs="Arial"/>
                  <w:b/>
                  <w:bCs/>
                  <w:sz w:val="14"/>
                  <w:szCs w:val="14"/>
                </w:rPr>
                <w:t>38.214</w:t>
              </w:r>
            </w:hyperlink>
          </w:p>
        </w:tc>
        <w:tc>
          <w:tcPr>
            <w:tcW w:w="324" w:type="pct"/>
            <w:shd w:val="clear" w:color="auto" w:fill="auto"/>
          </w:tcPr>
          <w:p w14:paraId="18E26E8D" w14:textId="48F4B00F"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18.0.0</w:t>
            </w:r>
          </w:p>
        </w:tc>
        <w:tc>
          <w:tcPr>
            <w:tcW w:w="779" w:type="pct"/>
          </w:tcPr>
          <w:p w14:paraId="41B7E4D9" w14:textId="6E131340" w:rsidR="005A18DC" w:rsidRPr="005A18DC" w:rsidRDefault="005A18DC" w:rsidP="005A18DC">
            <w:pPr>
              <w:rPr>
                <w:rFonts w:ascii="Arial" w:eastAsia="Times New Roman" w:hAnsi="Arial" w:cs="Arial"/>
                <w:color w:val="000000"/>
                <w:sz w:val="14"/>
                <w:szCs w:val="14"/>
                <w:lang w:eastAsia="en-GB"/>
              </w:rPr>
            </w:pPr>
            <w:hyperlink r:id="rId2724" w:history="1">
              <w:r w:rsidRPr="005A18DC">
                <w:rPr>
                  <w:rStyle w:val="Hyperlink"/>
                  <w:rFonts w:ascii="Arial" w:hAnsi="Arial" w:cs="Arial"/>
                  <w:b/>
                  <w:bCs/>
                  <w:sz w:val="14"/>
                  <w:szCs w:val="14"/>
                </w:rPr>
                <w:t>NR_netcon_repeater-Core</w:t>
              </w:r>
            </w:hyperlink>
          </w:p>
        </w:tc>
        <w:tc>
          <w:tcPr>
            <w:tcW w:w="233" w:type="pct"/>
          </w:tcPr>
          <w:p w14:paraId="46D33990" w14:textId="6CD67C5A"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0496</w:t>
            </w:r>
          </w:p>
        </w:tc>
        <w:tc>
          <w:tcPr>
            <w:tcW w:w="226" w:type="pct"/>
          </w:tcPr>
          <w:p w14:paraId="30543642" w14:textId="7B6D7D81"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 </w:t>
            </w:r>
          </w:p>
        </w:tc>
        <w:tc>
          <w:tcPr>
            <w:tcW w:w="203" w:type="pct"/>
          </w:tcPr>
          <w:p w14:paraId="29B25FDD" w14:textId="3274C4F6" w:rsidR="005A18DC" w:rsidRPr="005A18DC" w:rsidRDefault="005A18DC" w:rsidP="005A18DC">
            <w:pPr>
              <w:rPr>
                <w:rFonts w:ascii="Arial" w:eastAsia="Times New Roman" w:hAnsi="Arial" w:cs="Arial"/>
                <w:color w:val="000000"/>
                <w:sz w:val="14"/>
                <w:szCs w:val="14"/>
                <w:lang w:eastAsia="en-GB"/>
              </w:rPr>
            </w:pPr>
            <w:r w:rsidRPr="005A18DC">
              <w:rPr>
                <w:rFonts w:ascii="Arial" w:hAnsi="Arial" w:cs="Arial"/>
                <w:sz w:val="14"/>
                <w:szCs w:val="14"/>
              </w:rPr>
              <w:t>B</w:t>
            </w:r>
          </w:p>
        </w:tc>
      </w:tr>
    </w:tbl>
    <w:p w14:paraId="45A28BEF" w14:textId="77777777" w:rsidR="00D5529D" w:rsidRPr="009537ED" w:rsidRDefault="00D5529D" w:rsidP="009643F7">
      <w:pPr>
        <w:rPr>
          <w:rFonts w:ascii="Times New Roman" w:hAnsi="Times New Roman"/>
          <w:szCs w:val="20"/>
        </w:rPr>
      </w:pPr>
    </w:p>
    <w:p w14:paraId="39609A58" w14:textId="290AC469" w:rsidR="007A5AC0" w:rsidRPr="009537ED" w:rsidRDefault="007A5AC0" w:rsidP="009643F7">
      <w:pPr>
        <w:pStyle w:val="Heading1"/>
        <w:numPr>
          <w:ilvl w:val="0"/>
          <w:numId w:val="0"/>
        </w:numPr>
        <w:spacing w:before="0" w:after="0"/>
        <w:rPr>
          <w:rFonts w:ascii="Times New Roman" w:hAnsi="Times New Roman" w:cs="Times New Roman"/>
          <w:sz w:val="20"/>
          <w:szCs w:val="20"/>
        </w:rPr>
      </w:pPr>
      <w:r w:rsidRPr="009537ED">
        <w:rPr>
          <w:rFonts w:ascii="Times New Roman" w:hAnsi="Times New Roman" w:cs="Times New Roman"/>
          <w:sz w:val="20"/>
          <w:szCs w:val="20"/>
        </w:rPr>
        <w:br w:type="page"/>
      </w:r>
      <w:bookmarkStart w:id="837" w:name="_Toc159251067"/>
      <w:r w:rsidRPr="009537ED">
        <w:rPr>
          <w:rFonts w:ascii="Times New Roman" w:hAnsi="Times New Roman" w:cs="Times New Roman"/>
          <w:sz w:val="20"/>
          <w:szCs w:val="20"/>
        </w:rPr>
        <w:lastRenderedPageBreak/>
        <w:t>Annex</w:t>
      </w:r>
      <w:r w:rsidR="00233210" w:rsidRPr="009537ED">
        <w:rPr>
          <w:rFonts w:ascii="Times New Roman" w:hAnsi="Times New Roman" w:cs="Times New Roman"/>
          <w:sz w:val="20"/>
          <w:szCs w:val="20"/>
        </w:rPr>
        <w:t xml:space="preserve"> </w:t>
      </w:r>
      <w:r w:rsidRPr="009537ED">
        <w:rPr>
          <w:rFonts w:ascii="Times New Roman" w:hAnsi="Times New Roman" w:cs="Times New Roman"/>
          <w:sz w:val="20"/>
          <w:szCs w:val="20"/>
        </w:rPr>
        <w:t>C</w:t>
      </w:r>
      <w:r w:rsidRPr="009537ED">
        <w:rPr>
          <w:rFonts w:ascii="Times New Roman" w:eastAsia="MS Mincho" w:hAnsi="Times New Roman" w:cs="Times New Roman"/>
          <w:sz w:val="20"/>
          <w:szCs w:val="20"/>
          <w:lang w:eastAsia="ja-JP"/>
        </w:rPr>
        <w:t>-1</w:t>
      </w:r>
      <w:r w:rsidRPr="009537ED">
        <w:rPr>
          <w:rFonts w:ascii="Times New Roman" w:hAnsi="Times New Roman" w:cs="Times New Roman"/>
          <w:sz w:val="20"/>
          <w:szCs w:val="20"/>
        </w:rPr>
        <w:t>:</w:t>
      </w:r>
      <w:r w:rsidRPr="009537ED">
        <w:rPr>
          <w:rFonts w:ascii="Times New Roman" w:hAnsi="Times New Roman" w:cs="Times New Roman"/>
          <w:sz w:val="20"/>
          <w:szCs w:val="20"/>
        </w:rPr>
        <w:tab/>
        <w:t>List</w:t>
      </w:r>
      <w:r w:rsidR="00233210" w:rsidRPr="009537ED">
        <w:rPr>
          <w:rFonts w:ascii="Times New Roman" w:hAnsi="Times New Roman" w:cs="Times New Roman"/>
          <w:sz w:val="20"/>
          <w:szCs w:val="20"/>
        </w:rPr>
        <w:t xml:space="preserve"> </w:t>
      </w:r>
      <w:r w:rsidRPr="009537ED">
        <w:rPr>
          <w:rFonts w:ascii="Times New Roman" w:hAnsi="Times New Roman" w:cs="Times New Roman"/>
          <w:sz w:val="20"/>
          <w:szCs w:val="20"/>
        </w:rPr>
        <w:t>of</w:t>
      </w:r>
      <w:r w:rsidR="00233210" w:rsidRPr="009537ED">
        <w:rPr>
          <w:rFonts w:ascii="Times New Roman" w:hAnsi="Times New Roman" w:cs="Times New Roman"/>
          <w:sz w:val="20"/>
          <w:szCs w:val="20"/>
        </w:rPr>
        <w:t xml:space="preserve"> </w:t>
      </w:r>
      <w:r w:rsidRPr="009537ED">
        <w:rPr>
          <w:rFonts w:ascii="Times New Roman" w:hAnsi="Times New Roman" w:cs="Times New Roman"/>
          <w:sz w:val="20"/>
          <w:szCs w:val="20"/>
        </w:rPr>
        <w:t>Outgoing</w:t>
      </w:r>
      <w:r w:rsidR="00233210" w:rsidRPr="009537ED">
        <w:rPr>
          <w:rFonts w:ascii="Times New Roman" w:hAnsi="Times New Roman" w:cs="Times New Roman"/>
          <w:sz w:val="20"/>
          <w:szCs w:val="20"/>
        </w:rPr>
        <w:t xml:space="preserve"> </w:t>
      </w:r>
      <w:r w:rsidRPr="009537ED">
        <w:rPr>
          <w:rFonts w:ascii="Times New Roman" w:hAnsi="Times New Roman" w:cs="Times New Roman"/>
          <w:sz w:val="20"/>
          <w:szCs w:val="20"/>
        </w:rPr>
        <w:t>LSs</w:t>
      </w:r>
      <w:r w:rsidR="00233210" w:rsidRPr="009537ED">
        <w:rPr>
          <w:rFonts w:ascii="Times New Roman" w:eastAsia="MS Mincho" w:hAnsi="Times New Roman" w:cs="Times New Roman"/>
          <w:sz w:val="20"/>
          <w:szCs w:val="20"/>
          <w:lang w:eastAsia="ja-JP"/>
        </w:rPr>
        <w:t xml:space="preserve"> </w:t>
      </w:r>
      <w:r w:rsidRPr="009537ED">
        <w:rPr>
          <w:rFonts w:ascii="Times New Roman" w:eastAsia="MS Mincho" w:hAnsi="Times New Roman" w:cs="Times New Roman"/>
          <w:sz w:val="20"/>
          <w:szCs w:val="20"/>
          <w:lang w:eastAsia="ja-JP"/>
        </w:rPr>
        <w:t>from</w:t>
      </w:r>
      <w:r w:rsidR="00233210" w:rsidRPr="009537ED">
        <w:rPr>
          <w:rFonts w:ascii="Times New Roman" w:eastAsia="MS Mincho" w:hAnsi="Times New Roman" w:cs="Times New Roman"/>
          <w:sz w:val="20"/>
          <w:szCs w:val="20"/>
          <w:lang w:eastAsia="ja-JP"/>
        </w:rPr>
        <w:t xml:space="preserve"> </w:t>
      </w:r>
      <w:r w:rsidR="00CC2881" w:rsidRPr="009537ED">
        <w:rPr>
          <w:rFonts w:ascii="Times New Roman" w:hAnsi="Times New Roman" w:cs="Times New Roman"/>
          <w:sz w:val="20"/>
          <w:szCs w:val="20"/>
        </w:rPr>
        <w:t xml:space="preserve">RAN1 </w:t>
      </w:r>
      <w:r w:rsidR="00AE38CD" w:rsidRPr="009537ED">
        <w:rPr>
          <w:rFonts w:ascii="Times New Roman" w:hAnsi="Times New Roman" w:cs="Times New Roman"/>
          <w:sz w:val="20"/>
          <w:szCs w:val="20"/>
        </w:rPr>
        <w:t>#115</w:t>
      </w:r>
      <w:bookmarkEnd w:id="837"/>
    </w:p>
    <w:p w14:paraId="5349C5C1" w14:textId="77777777" w:rsidR="005C5573" w:rsidRPr="009537ED" w:rsidRDefault="005C5573" w:rsidP="005C5573">
      <w:pPr>
        <w:rPr>
          <w:szCs w:val="20"/>
        </w:rPr>
      </w:pPr>
    </w:p>
    <w:tbl>
      <w:tblPr>
        <w:tblStyle w:val="TableGrid"/>
        <w:tblW w:w="14067" w:type="dxa"/>
        <w:jc w:val="center"/>
        <w:tblLayout w:type="fixed"/>
        <w:tblLook w:val="04A0" w:firstRow="1" w:lastRow="0" w:firstColumn="1" w:lastColumn="0" w:noHBand="0" w:noVBand="1"/>
      </w:tblPr>
      <w:tblGrid>
        <w:gridCol w:w="1094"/>
        <w:gridCol w:w="2646"/>
        <w:gridCol w:w="1583"/>
        <w:gridCol w:w="813"/>
        <w:gridCol w:w="2696"/>
        <w:gridCol w:w="1065"/>
        <w:gridCol w:w="994"/>
        <w:gridCol w:w="994"/>
        <w:gridCol w:w="1120"/>
        <w:gridCol w:w="1062"/>
      </w:tblGrid>
      <w:tr w:rsidR="00BA2E22" w:rsidRPr="009537ED" w14:paraId="1CF70865" w14:textId="77777777" w:rsidTr="002E42C4">
        <w:trPr>
          <w:trHeight w:val="20"/>
          <w:tblHeader/>
          <w:jc w:val="center"/>
        </w:trPr>
        <w:tc>
          <w:tcPr>
            <w:tcW w:w="1094" w:type="dxa"/>
            <w:shd w:val="clear" w:color="auto" w:fill="BFBFBF" w:themeFill="background1" w:themeFillShade="BF"/>
            <w:hideMark/>
          </w:tcPr>
          <w:p w14:paraId="2A0CD22B" w14:textId="656990E9" w:rsidR="003D240D" w:rsidRPr="009537ED" w:rsidRDefault="003D240D" w:rsidP="00266384">
            <w:pPr>
              <w:rPr>
                <w:rFonts w:ascii="Arial" w:hAnsi="Arial" w:cs="Arial"/>
                <w:b/>
                <w:sz w:val="14"/>
                <w:szCs w:val="14"/>
              </w:rPr>
            </w:pPr>
            <w:r w:rsidRPr="009537ED">
              <w:rPr>
                <w:rFonts w:ascii="Arial" w:hAnsi="Arial" w:cs="Arial"/>
                <w:b/>
                <w:sz w:val="14"/>
                <w:szCs w:val="14"/>
              </w:rPr>
              <w:t>TDoc</w:t>
            </w:r>
            <w:r w:rsidR="00233210" w:rsidRPr="009537ED">
              <w:rPr>
                <w:rFonts w:ascii="Arial" w:hAnsi="Arial" w:cs="Arial"/>
                <w:b/>
                <w:sz w:val="14"/>
                <w:szCs w:val="14"/>
              </w:rPr>
              <w:t xml:space="preserve"> </w:t>
            </w:r>
            <w:r w:rsidRPr="009537ED">
              <w:rPr>
                <w:rFonts w:ascii="Arial" w:hAnsi="Arial" w:cs="Arial"/>
                <w:b/>
                <w:sz w:val="14"/>
                <w:szCs w:val="14"/>
              </w:rPr>
              <w:t>#</w:t>
            </w:r>
          </w:p>
        </w:tc>
        <w:tc>
          <w:tcPr>
            <w:tcW w:w="2646" w:type="dxa"/>
            <w:shd w:val="clear" w:color="auto" w:fill="BFBFBF" w:themeFill="background1" w:themeFillShade="BF"/>
            <w:hideMark/>
          </w:tcPr>
          <w:p w14:paraId="48E79649" w14:textId="77777777" w:rsidR="003D240D" w:rsidRPr="009537ED" w:rsidRDefault="003D240D" w:rsidP="00266384">
            <w:pPr>
              <w:rPr>
                <w:rFonts w:ascii="Arial" w:hAnsi="Arial" w:cs="Arial"/>
                <w:b/>
                <w:sz w:val="14"/>
                <w:szCs w:val="14"/>
              </w:rPr>
            </w:pPr>
            <w:r w:rsidRPr="009537ED">
              <w:rPr>
                <w:rFonts w:ascii="Arial" w:hAnsi="Arial" w:cs="Arial"/>
                <w:b/>
                <w:sz w:val="14"/>
                <w:szCs w:val="14"/>
              </w:rPr>
              <w:t>Title</w:t>
            </w:r>
          </w:p>
        </w:tc>
        <w:tc>
          <w:tcPr>
            <w:tcW w:w="1583" w:type="dxa"/>
            <w:shd w:val="clear" w:color="auto" w:fill="BFBFBF" w:themeFill="background1" w:themeFillShade="BF"/>
            <w:hideMark/>
          </w:tcPr>
          <w:p w14:paraId="777D401D" w14:textId="77777777" w:rsidR="003D240D" w:rsidRPr="009537ED" w:rsidRDefault="003D240D" w:rsidP="00266384">
            <w:pPr>
              <w:rPr>
                <w:rFonts w:ascii="Arial" w:hAnsi="Arial" w:cs="Arial"/>
                <w:b/>
                <w:sz w:val="14"/>
                <w:szCs w:val="14"/>
              </w:rPr>
            </w:pPr>
            <w:r w:rsidRPr="009537ED">
              <w:rPr>
                <w:rFonts w:ascii="Arial" w:hAnsi="Arial" w:cs="Arial"/>
                <w:b/>
                <w:sz w:val="14"/>
                <w:szCs w:val="14"/>
              </w:rPr>
              <w:t>Source</w:t>
            </w:r>
          </w:p>
        </w:tc>
        <w:tc>
          <w:tcPr>
            <w:tcW w:w="813" w:type="dxa"/>
            <w:shd w:val="clear" w:color="auto" w:fill="BFBFBF" w:themeFill="background1" w:themeFillShade="BF"/>
            <w:hideMark/>
          </w:tcPr>
          <w:p w14:paraId="1B119152" w14:textId="77777777" w:rsidR="003D240D" w:rsidRPr="009537ED" w:rsidRDefault="003D240D" w:rsidP="00266384">
            <w:pPr>
              <w:rPr>
                <w:rFonts w:ascii="Arial" w:hAnsi="Arial" w:cs="Arial"/>
                <w:b/>
                <w:sz w:val="14"/>
                <w:szCs w:val="14"/>
              </w:rPr>
            </w:pPr>
            <w:r w:rsidRPr="009537ED">
              <w:rPr>
                <w:rFonts w:ascii="Arial" w:hAnsi="Arial" w:cs="Arial"/>
                <w:b/>
                <w:sz w:val="14"/>
                <w:szCs w:val="14"/>
              </w:rPr>
              <w:t>Release</w:t>
            </w:r>
          </w:p>
        </w:tc>
        <w:tc>
          <w:tcPr>
            <w:tcW w:w="2696" w:type="dxa"/>
            <w:shd w:val="clear" w:color="auto" w:fill="BFBFBF" w:themeFill="background1" w:themeFillShade="BF"/>
            <w:hideMark/>
          </w:tcPr>
          <w:p w14:paraId="0C00C924" w14:textId="17020E54" w:rsidR="003D240D" w:rsidRPr="009537ED" w:rsidRDefault="003D240D" w:rsidP="00266384">
            <w:pPr>
              <w:rPr>
                <w:rFonts w:ascii="Arial" w:hAnsi="Arial" w:cs="Arial"/>
                <w:b/>
                <w:sz w:val="14"/>
                <w:szCs w:val="14"/>
              </w:rPr>
            </w:pPr>
            <w:r w:rsidRPr="009537ED">
              <w:rPr>
                <w:rFonts w:ascii="Arial" w:hAnsi="Arial" w:cs="Arial"/>
                <w:b/>
                <w:sz w:val="14"/>
                <w:szCs w:val="14"/>
              </w:rPr>
              <w:t>Related</w:t>
            </w:r>
            <w:r w:rsidR="00233210" w:rsidRPr="009537ED">
              <w:rPr>
                <w:rFonts w:ascii="Arial" w:hAnsi="Arial" w:cs="Arial"/>
                <w:b/>
                <w:sz w:val="14"/>
                <w:szCs w:val="14"/>
              </w:rPr>
              <w:t xml:space="preserve"> </w:t>
            </w:r>
            <w:r w:rsidRPr="009537ED">
              <w:rPr>
                <w:rFonts w:ascii="Arial" w:hAnsi="Arial" w:cs="Arial"/>
                <w:b/>
                <w:sz w:val="14"/>
                <w:szCs w:val="14"/>
              </w:rPr>
              <w:t>WIs</w:t>
            </w:r>
          </w:p>
        </w:tc>
        <w:tc>
          <w:tcPr>
            <w:tcW w:w="1065" w:type="dxa"/>
            <w:shd w:val="clear" w:color="auto" w:fill="BFBFBF" w:themeFill="background1" w:themeFillShade="BF"/>
            <w:hideMark/>
          </w:tcPr>
          <w:p w14:paraId="15310F18" w14:textId="3A25D0B7" w:rsidR="003D240D" w:rsidRPr="009537ED" w:rsidRDefault="003D240D" w:rsidP="00266384">
            <w:pPr>
              <w:rPr>
                <w:rFonts w:ascii="Arial" w:hAnsi="Arial" w:cs="Arial"/>
                <w:b/>
                <w:sz w:val="14"/>
                <w:szCs w:val="14"/>
              </w:rPr>
            </w:pPr>
            <w:r w:rsidRPr="009537ED">
              <w:rPr>
                <w:rFonts w:ascii="Arial" w:hAnsi="Arial" w:cs="Arial"/>
                <w:b/>
                <w:sz w:val="14"/>
                <w:szCs w:val="14"/>
              </w:rPr>
              <w:t>Reply</w:t>
            </w:r>
            <w:r w:rsidR="00233210" w:rsidRPr="009537ED">
              <w:rPr>
                <w:rFonts w:ascii="Arial" w:hAnsi="Arial" w:cs="Arial"/>
                <w:b/>
                <w:sz w:val="14"/>
                <w:szCs w:val="14"/>
              </w:rPr>
              <w:t xml:space="preserve"> </w:t>
            </w:r>
            <w:r w:rsidRPr="009537ED">
              <w:rPr>
                <w:rFonts w:ascii="Arial" w:hAnsi="Arial" w:cs="Arial"/>
                <w:b/>
                <w:sz w:val="14"/>
                <w:szCs w:val="14"/>
              </w:rPr>
              <w:t>to</w:t>
            </w:r>
          </w:p>
        </w:tc>
        <w:tc>
          <w:tcPr>
            <w:tcW w:w="994" w:type="dxa"/>
            <w:shd w:val="clear" w:color="auto" w:fill="BFBFBF" w:themeFill="background1" w:themeFillShade="BF"/>
            <w:hideMark/>
          </w:tcPr>
          <w:p w14:paraId="161CDB38" w14:textId="77777777" w:rsidR="003D240D" w:rsidRPr="009537ED" w:rsidRDefault="003D240D" w:rsidP="00266384">
            <w:pPr>
              <w:rPr>
                <w:rFonts w:ascii="Arial" w:hAnsi="Arial" w:cs="Arial"/>
                <w:b/>
                <w:sz w:val="14"/>
                <w:szCs w:val="14"/>
              </w:rPr>
            </w:pPr>
            <w:r w:rsidRPr="009537ED">
              <w:rPr>
                <w:rFonts w:ascii="Arial" w:hAnsi="Arial" w:cs="Arial"/>
                <w:b/>
                <w:sz w:val="14"/>
                <w:szCs w:val="14"/>
              </w:rPr>
              <w:t>To</w:t>
            </w:r>
          </w:p>
        </w:tc>
        <w:tc>
          <w:tcPr>
            <w:tcW w:w="994" w:type="dxa"/>
            <w:shd w:val="clear" w:color="auto" w:fill="BFBFBF" w:themeFill="background1" w:themeFillShade="BF"/>
            <w:hideMark/>
          </w:tcPr>
          <w:p w14:paraId="6C12C277" w14:textId="77777777" w:rsidR="003D240D" w:rsidRPr="009537ED" w:rsidRDefault="003D240D" w:rsidP="00266384">
            <w:pPr>
              <w:rPr>
                <w:rFonts w:ascii="Arial" w:hAnsi="Arial" w:cs="Arial"/>
                <w:b/>
                <w:sz w:val="14"/>
                <w:szCs w:val="14"/>
              </w:rPr>
            </w:pPr>
            <w:r w:rsidRPr="009537ED">
              <w:rPr>
                <w:rFonts w:ascii="Arial" w:hAnsi="Arial" w:cs="Arial"/>
                <w:b/>
                <w:sz w:val="14"/>
                <w:szCs w:val="14"/>
              </w:rPr>
              <w:t>Cc</w:t>
            </w:r>
          </w:p>
        </w:tc>
        <w:tc>
          <w:tcPr>
            <w:tcW w:w="1120" w:type="dxa"/>
            <w:shd w:val="clear" w:color="auto" w:fill="BFBFBF" w:themeFill="background1" w:themeFillShade="BF"/>
            <w:hideMark/>
          </w:tcPr>
          <w:p w14:paraId="26BB483E" w14:textId="3403091C" w:rsidR="003D240D" w:rsidRPr="009537ED" w:rsidRDefault="003D240D" w:rsidP="00266384">
            <w:pPr>
              <w:rPr>
                <w:rFonts w:ascii="Arial" w:hAnsi="Arial" w:cs="Arial"/>
                <w:b/>
                <w:sz w:val="14"/>
                <w:szCs w:val="14"/>
              </w:rPr>
            </w:pPr>
            <w:r w:rsidRPr="009537ED">
              <w:rPr>
                <w:rFonts w:ascii="Arial" w:hAnsi="Arial" w:cs="Arial"/>
                <w:b/>
                <w:sz w:val="14"/>
                <w:szCs w:val="14"/>
              </w:rPr>
              <w:t>Original</w:t>
            </w:r>
            <w:r w:rsidR="00233210" w:rsidRPr="009537ED">
              <w:rPr>
                <w:rFonts w:ascii="Arial" w:hAnsi="Arial" w:cs="Arial"/>
                <w:b/>
                <w:sz w:val="14"/>
                <w:szCs w:val="14"/>
              </w:rPr>
              <w:t xml:space="preserve"> </w:t>
            </w:r>
            <w:r w:rsidRPr="009537ED">
              <w:rPr>
                <w:rFonts w:ascii="Arial" w:hAnsi="Arial" w:cs="Arial"/>
                <w:b/>
                <w:sz w:val="14"/>
                <w:szCs w:val="14"/>
              </w:rPr>
              <w:t>LS</w:t>
            </w:r>
          </w:p>
        </w:tc>
        <w:tc>
          <w:tcPr>
            <w:tcW w:w="1062" w:type="dxa"/>
            <w:shd w:val="clear" w:color="auto" w:fill="BFBFBF" w:themeFill="background1" w:themeFillShade="BF"/>
            <w:hideMark/>
          </w:tcPr>
          <w:p w14:paraId="79CF337C" w14:textId="42F992AB" w:rsidR="003D240D" w:rsidRPr="009537ED" w:rsidRDefault="003D240D" w:rsidP="00266384">
            <w:pPr>
              <w:rPr>
                <w:rFonts w:ascii="Arial" w:hAnsi="Arial" w:cs="Arial"/>
                <w:b/>
                <w:sz w:val="14"/>
                <w:szCs w:val="14"/>
              </w:rPr>
            </w:pPr>
            <w:r w:rsidRPr="009537ED">
              <w:rPr>
                <w:rFonts w:ascii="Arial" w:hAnsi="Arial" w:cs="Arial"/>
                <w:b/>
                <w:sz w:val="14"/>
                <w:szCs w:val="14"/>
              </w:rPr>
              <w:t>Reply</w:t>
            </w:r>
            <w:r w:rsidR="00233210" w:rsidRPr="009537ED">
              <w:rPr>
                <w:rFonts w:ascii="Arial" w:hAnsi="Arial" w:cs="Arial"/>
                <w:b/>
                <w:sz w:val="14"/>
                <w:szCs w:val="14"/>
              </w:rPr>
              <w:t xml:space="preserve"> </w:t>
            </w:r>
            <w:r w:rsidRPr="009537ED">
              <w:rPr>
                <w:rFonts w:ascii="Arial" w:hAnsi="Arial" w:cs="Arial"/>
                <w:b/>
                <w:sz w:val="14"/>
                <w:szCs w:val="14"/>
              </w:rPr>
              <w:t>in</w:t>
            </w:r>
          </w:p>
        </w:tc>
      </w:tr>
      <w:tr w:rsidR="005A18DC" w:rsidRPr="005A18DC" w14:paraId="04EE44F1" w14:textId="77777777" w:rsidTr="00B97F04">
        <w:trPr>
          <w:trHeight w:val="20"/>
          <w:jc w:val="center"/>
        </w:trPr>
        <w:tc>
          <w:tcPr>
            <w:tcW w:w="1094" w:type="dxa"/>
          </w:tcPr>
          <w:p w14:paraId="03B7C76D" w14:textId="47C684E4" w:rsidR="005A18DC" w:rsidRPr="005A18DC" w:rsidRDefault="005A18DC" w:rsidP="005A18DC">
            <w:pPr>
              <w:rPr>
                <w:rFonts w:ascii="Arial" w:hAnsi="Arial" w:cs="Arial"/>
                <w:sz w:val="14"/>
                <w:szCs w:val="14"/>
              </w:rPr>
            </w:pPr>
            <w:hyperlink r:id="rId2725" w:history="1">
              <w:r w:rsidRPr="005A18DC">
                <w:rPr>
                  <w:rStyle w:val="Hyperlink"/>
                  <w:rFonts w:ascii="Arial" w:hAnsi="Arial" w:cs="Arial"/>
                  <w:b/>
                  <w:bCs/>
                  <w:sz w:val="14"/>
                  <w:szCs w:val="14"/>
                </w:rPr>
                <w:t>R1-2312339</w:t>
              </w:r>
            </w:hyperlink>
          </w:p>
        </w:tc>
        <w:tc>
          <w:tcPr>
            <w:tcW w:w="2646" w:type="dxa"/>
          </w:tcPr>
          <w:p w14:paraId="3C6A47F0" w14:textId="25E4F718" w:rsidR="005A18DC" w:rsidRPr="005A18DC" w:rsidRDefault="005A18DC" w:rsidP="005A18DC">
            <w:pPr>
              <w:rPr>
                <w:rFonts w:ascii="Arial" w:hAnsi="Arial" w:cs="Arial"/>
                <w:sz w:val="14"/>
                <w:szCs w:val="14"/>
              </w:rPr>
            </w:pPr>
            <w:r w:rsidRPr="005A18DC">
              <w:rPr>
                <w:rFonts w:ascii="Arial" w:hAnsi="Arial" w:cs="Arial"/>
                <w:sz w:val="14"/>
                <w:szCs w:val="14"/>
              </w:rPr>
              <w:t>Reply LS on PHR reporting</w:t>
            </w:r>
          </w:p>
        </w:tc>
        <w:tc>
          <w:tcPr>
            <w:tcW w:w="1583" w:type="dxa"/>
          </w:tcPr>
          <w:p w14:paraId="54568386" w14:textId="5BE82C82" w:rsidR="005A18DC" w:rsidRPr="005A18DC" w:rsidRDefault="005A18DC" w:rsidP="005A18DC">
            <w:pPr>
              <w:rPr>
                <w:rFonts w:ascii="Arial" w:hAnsi="Arial" w:cs="Arial"/>
                <w:sz w:val="14"/>
                <w:szCs w:val="14"/>
              </w:rPr>
            </w:pPr>
            <w:r w:rsidRPr="005A18DC">
              <w:rPr>
                <w:rFonts w:ascii="Arial" w:hAnsi="Arial" w:cs="Arial"/>
                <w:sz w:val="14"/>
                <w:szCs w:val="14"/>
              </w:rPr>
              <w:t>RAN1, InterDigital, Inc.</w:t>
            </w:r>
          </w:p>
        </w:tc>
        <w:tc>
          <w:tcPr>
            <w:tcW w:w="813" w:type="dxa"/>
          </w:tcPr>
          <w:p w14:paraId="16009482" w14:textId="75005A6E" w:rsidR="005A18DC" w:rsidRPr="005A18DC" w:rsidRDefault="005A18DC" w:rsidP="005A18DC">
            <w:pPr>
              <w:rPr>
                <w:rFonts w:ascii="Arial" w:hAnsi="Arial" w:cs="Arial"/>
                <w:bCs/>
                <w:sz w:val="14"/>
                <w:szCs w:val="14"/>
              </w:rPr>
            </w:pPr>
            <w:hyperlink r:id="rId2726" w:history="1">
              <w:r w:rsidRPr="005A18DC">
                <w:rPr>
                  <w:rStyle w:val="Hyperlink"/>
                  <w:rFonts w:ascii="Arial" w:hAnsi="Arial" w:cs="Arial"/>
                  <w:b/>
                  <w:bCs/>
                  <w:sz w:val="14"/>
                  <w:szCs w:val="14"/>
                </w:rPr>
                <w:t>Rel-18</w:t>
              </w:r>
            </w:hyperlink>
          </w:p>
        </w:tc>
        <w:tc>
          <w:tcPr>
            <w:tcW w:w="2696" w:type="dxa"/>
          </w:tcPr>
          <w:p w14:paraId="2F4DF720" w14:textId="299A1AAF" w:rsidR="005A18DC" w:rsidRPr="005A18DC" w:rsidRDefault="005A18DC" w:rsidP="005A18DC">
            <w:pPr>
              <w:rPr>
                <w:rFonts w:ascii="Arial" w:hAnsi="Arial" w:cs="Arial"/>
                <w:sz w:val="14"/>
                <w:szCs w:val="14"/>
              </w:rPr>
            </w:pPr>
            <w:hyperlink r:id="rId2727" w:history="1">
              <w:r w:rsidRPr="005A18DC">
                <w:rPr>
                  <w:rStyle w:val="Hyperlink"/>
                  <w:rFonts w:ascii="Arial" w:hAnsi="Arial" w:cs="Arial"/>
                  <w:b/>
                  <w:bCs/>
                  <w:sz w:val="14"/>
                  <w:szCs w:val="14"/>
                </w:rPr>
                <w:t>NR_cov_enh2-Core</w:t>
              </w:r>
            </w:hyperlink>
          </w:p>
        </w:tc>
        <w:tc>
          <w:tcPr>
            <w:tcW w:w="1065" w:type="dxa"/>
          </w:tcPr>
          <w:p w14:paraId="5D0E4D6E" w14:textId="17FE74A2" w:rsidR="005A18DC" w:rsidRPr="005A18DC" w:rsidRDefault="005A18DC" w:rsidP="005A18DC">
            <w:pPr>
              <w:rPr>
                <w:rFonts w:ascii="Arial" w:hAnsi="Arial" w:cs="Arial"/>
                <w:sz w:val="14"/>
                <w:szCs w:val="14"/>
              </w:rPr>
            </w:pPr>
            <w:r w:rsidRPr="005A18DC">
              <w:rPr>
                <w:rFonts w:ascii="Arial" w:hAnsi="Arial" w:cs="Arial"/>
                <w:sz w:val="14"/>
                <w:szCs w:val="14"/>
              </w:rPr>
              <w:t>R2-2311616</w:t>
            </w:r>
          </w:p>
        </w:tc>
        <w:tc>
          <w:tcPr>
            <w:tcW w:w="994" w:type="dxa"/>
          </w:tcPr>
          <w:p w14:paraId="08BD67C1" w14:textId="17CD2227" w:rsidR="005A18DC" w:rsidRPr="005A18DC" w:rsidRDefault="005A18DC" w:rsidP="005A18DC">
            <w:pPr>
              <w:rPr>
                <w:rFonts w:ascii="Arial" w:hAnsi="Arial" w:cs="Arial"/>
                <w:sz w:val="14"/>
                <w:szCs w:val="14"/>
              </w:rPr>
            </w:pPr>
            <w:r w:rsidRPr="005A18DC">
              <w:rPr>
                <w:rFonts w:ascii="Arial" w:hAnsi="Arial" w:cs="Arial"/>
                <w:sz w:val="14"/>
                <w:szCs w:val="14"/>
              </w:rPr>
              <w:t>RAN2</w:t>
            </w:r>
          </w:p>
        </w:tc>
        <w:tc>
          <w:tcPr>
            <w:tcW w:w="994" w:type="dxa"/>
          </w:tcPr>
          <w:p w14:paraId="65421514" w14:textId="33A3E798" w:rsidR="005A18DC" w:rsidRPr="005A18DC" w:rsidRDefault="005A18DC" w:rsidP="005A18DC">
            <w:pPr>
              <w:rPr>
                <w:rFonts w:ascii="Arial" w:hAnsi="Arial" w:cs="Arial"/>
                <w:sz w:val="14"/>
                <w:szCs w:val="14"/>
              </w:rPr>
            </w:pPr>
            <w:r w:rsidRPr="005A18DC">
              <w:rPr>
                <w:rFonts w:ascii="Arial" w:hAnsi="Arial" w:cs="Arial"/>
                <w:sz w:val="14"/>
                <w:szCs w:val="14"/>
              </w:rPr>
              <w:t> </w:t>
            </w:r>
          </w:p>
        </w:tc>
        <w:tc>
          <w:tcPr>
            <w:tcW w:w="1120" w:type="dxa"/>
          </w:tcPr>
          <w:p w14:paraId="332F826C" w14:textId="31F87941" w:rsidR="005A18DC" w:rsidRPr="005A18DC" w:rsidRDefault="005A18DC" w:rsidP="005A18DC">
            <w:pPr>
              <w:rPr>
                <w:rFonts w:ascii="Arial" w:hAnsi="Arial" w:cs="Arial"/>
                <w:sz w:val="14"/>
                <w:szCs w:val="14"/>
              </w:rPr>
            </w:pPr>
            <w:r w:rsidRPr="005A18DC">
              <w:rPr>
                <w:rFonts w:ascii="Arial" w:hAnsi="Arial" w:cs="Arial"/>
                <w:sz w:val="14"/>
                <w:szCs w:val="14"/>
              </w:rPr>
              <w:t> </w:t>
            </w:r>
          </w:p>
        </w:tc>
        <w:tc>
          <w:tcPr>
            <w:tcW w:w="1062" w:type="dxa"/>
          </w:tcPr>
          <w:p w14:paraId="40AB4120" w14:textId="24506D95" w:rsidR="005A18DC" w:rsidRPr="005A18DC" w:rsidRDefault="005A18DC" w:rsidP="005A18DC">
            <w:pPr>
              <w:rPr>
                <w:rFonts w:ascii="Arial" w:hAnsi="Arial" w:cs="Arial"/>
                <w:sz w:val="14"/>
                <w:szCs w:val="14"/>
              </w:rPr>
            </w:pPr>
            <w:r w:rsidRPr="005A18DC">
              <w:rPr>
                <w:rFonts w:ascii="Arial" w:hAnsi="Arial" w:cs="Arial"/>
                <w:sz w:val="14"/>
                <w:szCs w:val="14"/>
              </w:rPr>
              <w:t> </w:t>
            </w:r>
          </w:p>
        </w:tc>
      </w:tr>
      <w:tr w:rsidR="005A18DC" w:rsidRPr="005A18DC" w14:paraId="1D4BDF3A" w14:textId="77777777" w:rsidTr="00B97F04">
        <w:trPr>
          <w:trHeight w:val="20"/>
          <w:jc w:val="center"/>
        </w:trPr>
        <w:tc>
          <w:tcPr>
            <w:tcW w:w="1094" w:type="dxa"/>
          </w:tcPr>
          <w:p w14:paraId="43D77CA2" w14:textId="3C88C518" w:rsidR="005A18DC" w:rsidRPr="005A18DC" w:rsidRDefault="005A18DC" w:rsidP="005A18DC">
            <w:pPr>
              <w:rPr>
                <w:rFonts w:ascii="Arial" w:hAnsi="Arial" w:cs="Arial"/>
                <w:bCs/>
                <w:sz w:val="14"/>
                <w:szCs w:val="14"/>
              </w:rPr>
            </w:pPr>
            <w:hyperlink r:id="rId2728" w:history="1">
              <w:r w:rsidRPr="005A18DC">
                <w:rPr>
                  <w:rStyle w:val="Hyperlink"/>
                  <w:rFonts w:ascii="Arial" w:hAnsi="Arial" w:cs="Arial"/>
                  <w:b/>
                  <w:bCs/>
                  <w:sz w:val="14"/>
                  <w:szCs w:val="14"/>
                </w:rPr>
                <w:t>R1-2312371</w:t>
              </w:r>
            </w:hyperlink>
          </w:p>
        </w:tc>
        <w:tc>
          <w:tcPr>
            <w:tcW w:w="2646" w:type="dxa"/>
          </w:tcPr>
          <w:p w14:paraId="3CD53DB3" w14:textId="65FE0CFF" w:rsidR="005A18DC" w:rsidRPr="005A18DC" w:rsidRDefault="005A18DC" w:rsidP="005A18DC">
            <w:pPr>
              <w:rPr>
                <w:rFonts w:ascii="Arial" w:hAnsi="Arial" w:cs="Arial"/>
                <w:sz w:val="14"/>
                <w:szCs w:val="14"/>
              </w:rPr>
            </w:pPr>
            <w:r w:rsidRPr="005A18DC">
              <w:rPr>
                <w:rFonts w:ascii="Arial" w:hAnsi="Arial" w:cs="Arial"/>
                <w:sz w:val="14"/>
                <w:szCs w:val="14"/>
              </w:rPr>
              <w:t>Reply LS on MIMOevo</w:t>
            </w:r>
          </w:p>
        </w:tc>
        <w:tc>
          <w:tcPr>
            <w:tcW w:w="1583" w:type="dxa"/>
          </w:tcPr>
          <w:p w14:paraId="5BACD69D" w14:textId="5E458653" w:rsidR="005A18DC" w:rsidRPr="005A18DC" w:rsidRDefault="005A18DC" w:rsidP="005A18DC">
            <w:pPr>
              <w:rPr>
                <w:rFonts w:ascii="Arial" w:hAnsi="Arial" w:cs="Arial"/>
                <w:sz w:val="14"/>
                <w:szCs w:val="14"/>
              </w:rPr>
            </w:pPr>
            <w:r w:rsidRPr="005A18DC">
              <w:rPr>
                <w:rFonts w:ascii="Arial" w:hAnsi="Arial" w:cs="Arial"/>
                <w:sz w:val="14"/>
                <w:szCs w:val="14"/>
              </w:rPr>
              <w:t>RAN1, Samsung</w:t>
            </w:r>
          </w:p>
        </w:tc>
        <w:tc>
          <w:tcPr>
            <w:tcW w:w="813" w:type="dxa"/>
          </w:tcPr>
          <w:p w14:paraId="10B23608" w14:textId="2C3F0960" w:rsidR="005A18DC" w:rsidRPr="005A18DC" w:rsidRDefault="005A18DC" w:rsidP="005A18DC">
            <w:pPr>
              <w:rPr>
                <w:rFonts w:ascii="Arial" w:hAnsi="Arial" w:cs="Arial"/>
                <w:bCs/>
                <w:sz w:val="14"/>
                <w:szCs w:val="14"/>
              </w:rPr>
            </w:pPr>
            <w:hyperlink r:id="rId2729" w:history="1">
              <w:r w:rsidRPr="005A18DC">
                <w:rPr>
                  <w:rStyle w:val="Hyperlink"/>
                  <w:rFonts w:ascii="Arial" w:hAnsi="Arial" w:cs="Arial"/>
                  <w:b/>
                  <w:bCs/>
                  <w:sz w:val="14"/>
                  <w:szCs w:val="14"/>
                </w:rPr>
                <w:t>Rel-18</w:t>
              </w:r>
            </w:hyperlink>
          </w:p>
        </w:tc>
        <w:tc>
          <w:tcPr>
            <w:tcW w:w="2696" w:type="dxa"/>
          </w:tcPr>
          <w:p w14:paraId="1FCF8116" w14:textId="09577EF2" w:rsidR="005A18DC" w:rsidRPr="005A18DC" w:rsidRDefault="005A18DC" w:rsidP="005A18DC">
            <w:pPr>
              <w:rPr>
                <w:rFonts w:ascii="Arial" w:hAnsi="Arial" w:cs="Arial"/>
                <w:bCs/>
                <w:sz w:val="14"/>
                <w:szCs w:val="14"/>
              </w:rPr>
            </w:pPr>
            <w:hyperlink r:id="rId2730" w:history="1">
              <w:r w:rsidRPr="005A18DC">
                <w:rPr>
                  <w:rStyle w:val="Hyperlink"/>
                  <w:rFonts w:ascii="Arial" w:hAnsi="Arial" w:cs="Arial"/>
                  <w:b/>
                  <w:bCs/>
                  <w:sz w:val="14"/>
                  <w:szCs w:val="14"/>
                </w:rPr>
                <w:t>NR_MIMO_evo_DL_UL-Core</w:t>
              </w:r>
            </w:hyperlink>
          </w:p>
        </w:tc>
        <w:tc>
          <w:tcPr>
            <w:tcW w:w="1065" w:type="dxa"/>
          </w:tcPr>
          <w:p w14:paraId="7697FAF6" w14:textId="7CADBFEF" w:rsidR="005A18DC" w:rsidRPr="005A18DC" w:rsidRDefault="005A18DC" w:rsidP="005A18DC">
            <w:pPr>
              <w:rPr>
                <w:rFonts w:ascii="Arial" w:hAnsi="Arial" w:cs="Arial"/>
                <w:sz w:val="14"/>
                <w:szCs w:val="14"/>
              </w:rPr>
            </w:pPr>
            <w:r w:rsidRPr="005A18DC">
              <w:rPr>
                <w:rFonts w:ascii="Arial" w:hAnsi="Arial" w:cs="Arial"/>
                <w:sz w:val="14"/>
                <w:szCs w:val="14"/>
              </w:rPr>
              <w:t>R2-2311609</w:t>
            </w:r>
          </w:p>
        </w:tc>
        <w:tc>
          <w:tcPr>
            <w:tcW w:w="994" w:type="dxa"/>
          </w:tcPr>
          <w:p w14:paraId="3F83A4A1" w14:textId="30A9329B" w:rsidR="005A18DC" w:rsidRPr="005A18DC" w:rsidRDefault="005A18DC" w:rsidP="005A18DC">
            <w:pPr>
              <w:rPr>
                <w:rFonts w:ascii="Arial" w:hAnsi="Arial" w:cs="Arial"/>
                <w:sz w:val="14"/>
                <w:szCs w:val="14"/>
              </w:rPr>
            </w:pPr>
            <w:r w:rsidRPr="005A18DC">
              <w:rPr>
                <w:rFonts w:ascii="Arial" w:hAnsi="Arial" w:cs="Arial"/>
                <w:sz w:val="14"/>
                <w:szCs w:val="14"/>
              </w:rPr>
              <w:t>RAN2</w:t>
            </w:r>
          </w:p>
        </w:tc>
        <w:tc>
          <w:tcPr>
            <w:tcW w:w="994" w:type="dxa"/>
          </w:tcPr>
          <w:p w14:paraId="384F98AB" w14:textId="660724AC" w:rsidR="005A18DC" w:rsidRPr="005A18DC" w:rsidRDefault="005A18DC" w:rsidP="005A18DC">
            <w:pPr>
              <w:rPr>
                <w:rFonts w:ascii="Arial" w:hAnsi="Arial" w:cs="Arial"/>
                <w:sz w:val="14"/>
                <w:szCs w:val="14"/>
              </w:rPr>
            </w:pPr>
            <w:r w:rsidRPr="005A18DC">
              <w:rPr>
                <w:rFonts w:ascii="Arial" w:hAnsi="Arial" w:cs="Arial"/>
                <w:sz w:val="14"/>
                <w:szCs w:val="14"/>
              </w:rPr>
              <w:t> </w:t>
            </w:r>
          </w:p>
        </w:tc>
        <w:tc>
          <w:tcPr>
            <w:tcW w:w="1120" w:type="dxa"/>
          </w:tcPr>
          <w:p w14:paraId="60A0AC57" w14:textId="3B16B573" w:rsidR="005A18DC" w:rsidRPr="005A18DC" w:rsidRDefault="005A18DC" w:rsidP="005A18DC">
            <w:pPr>
              <w:rPr>
                <w:rFonts w:ascii="Arial" w:hAnsi="Arial" w:cs="Arial"/>
                <w:sz w:val="14"/>
                <w:szCs w:val="14"/>
              </w:rPr>
            </w:pPr>
            <w:r w:rsidRPr="005A18DC">
              <w:rPr>
                <w:rFonts w:ascii="Arial" w:hAnsi="Arial" w:cs="Arial"/>
                <w:sz w:val="14"/>
                <w:szCs w:val="14"/>
              </w:rPr>
              <w:t> </w:t>
            </w:r>
          </w:p>
        </w:tc>
        <w:tc>
          <w:tcPr>
            <w:tcW w:w="1062" w:type="dxa"/>
          </w:tcPr>
          <w:p w14:paraId="0F0065BE" w14:textId="713BC3E2" w:rsidR="005A18DC" w:rsidRPr="005A18DC" w:rsidRDefault="005A18DC" w:rsidP="005A18DC">
            <w:pPr>
              <w:rPr>
                <w:rFonts w:ascii="Arial" w:hAnsi="Arial" w:cs="Arial"/>
                <w:sz w:val="14"/>
                <w:szCs w:val="14"/>
              </w:rPr>
            </w:pPr>
            <w:r w:rsidRPr="005A18DC">
              <w:rPr>
                <w:rFonts w:ascii="Arial" w:hAnsi="Arial" w:cs="Arial"/>
                <w:sz w:val="14"/>
                <w:szCs w:val="14"/>
              </w:rPr>
              <w:t> </w:t>
            </w:r>
          </w:p>
        </w:tc>
      </w:tr>
      <w:tr w:rsidR="005A18DC" w:rsidRPr="005A18DC" w14:paraId="30B5E77E" w14:textId="77777777" w:rsidTr="00B97F04">
        <w:trPr>
          <w:trHeight w:val="20"/>
          <w:jc w:val="center"/>
        </w:trPr>
        <w:tc>
          <w:tcPr>
            <w:tcW w:w="1094" w:type="dxa"/>
          </w:tcPr>
          <w:p w14:paraId="02BF6634" w14:textId="1CD69D67" w:rsidR="005A18DC" w:rsidRPr="005A18DC" w:rsidRDefault="005A18DC" w:rsidP="005A18DC">
            <w:pPr>
              <w:rPr>
                <w:rFonts w:ascii="Arial" w:hAnsi="Arial" w:cs="Arial"/>
                <w:bCs/>
                <w:sz w:val="14"/>
                <w:szCs w:val="14"/>
              </w:rPr>
            </w:pPr>
            <w:hyperlink r:id="rId2731" w:history="1">
              <w:r w:rsidRPr="005A18DC">
                <w:rPr>
                  <w:rStyle w:val="Hyperlink"/>
                  <w:rFonts w:ascii="Arial" w:hAnsi="Arial" w:cs="Arial"/>
                  <w:b/>
                  <w:bCs/>
                  <w:sz w:val="14"/>
                  <w:szCs w:val="14"/>
                </w:rPr>
                <w:t>R1-2312382</w:t>
              </w:r>
            </w:hyperlink>
          </w:p>
        </w:tc>
        <w:tc>
          <w:tcPr>
            <w:tcW w:w="2646" w:type="dxa"/>
          </w:tcPr>
          <w:p w14:paraId="03C079DD" w14:textId="70614C43" w:rsidR="005A18DC" w:rsidRPr="005A18DC" w:rsidRDefault="005A18DC" w:rsidP="005A18DC">
            <w:pPr>
              <w:rPr>
                <w:rFonts w:ascii="Arial" w:hAnsi="Arial" w:cs="Arial"/>
                <w:sz w:val="14"/>
                <w:szCs w:val="14"/>
              </w:rPr>
            </w:pPr>
            <w:r w:rsidRPr="005A18DC">
              <w:rPr>
                <w:rFonts w:ascii="Arial" w:hAnsi="Arial" w:cs="Arial"/>
                <w:sz w:val="14"/>
                <w:szCs w:val="14"/>
              </w:rPr>
              <w:t>LS to RAN2 on TDCP for Rel-18 MIMO</w:t>
            </w:r>
          </w:p>
        </w:tc>
        <w:tc>
          <w:tcPr>
            <w:tcW w:w="1583" w:type="dxa"/>
          </w:tcPr>
          <w:p w14:paraId="0A0FC3C5" w14:textId="5FB789FE" w:rsidR="005A18DC" w:rsidRPr="005A18DC" w:rsidRDefault="005A18DC" w:rsidP="005A18DC">
            <w:pPr>
              <w:rPr>
                <w:rFonts w:ascii="Arial" w:hAnsi="Arial" w:cs="Arial"/>
                <w:sz w:val="14"/>
                <w:szCs w:val="14"/>
              </w:rPr>
            </w:pPr>
            <w:r w:rsidRPr="005A18DC">
              <w:rPr>
                <w:rFonts w:ascii="Arial" w:hAnsi="Arial" w:cs="Arial"/>
                <w:sz w:val="14"/>
                <w:szCs w:val="14"/>
              </w:rPr>
              <w:t>RAN1, Samsung</w:t>
            </w:r>
          </w:p>
        </w:tc>
        <w:tc>
          <w:tcPr>
            <w:tcW w:w="813" w:type="dxa"/>
          </w:tcPr>
          <w:p w14:paraId="19D614AE" w14:textId="1F35C598" w:rsidR="005A18DC" w:rsidRPr="005A18DC" w:rsidRDefault="005A18DC" w:rsidP="005A18DC">
            <w:pPr>
              <w:rPr>
                <w:rFonts w:ascii="Arial" w:hAnsi="Arial" w:cs="Arial"/>
                <w:bCs/>
                <w:sz w:val="14"/>
                <w:szCs w:val="14"/>
              </w:rPr>
            </w:pPr>
            <w:hyperlink r:id="rId2732" w:history="1">
              <w:r w:rsidRPr="005A18DC">
                <w:rPr>
                  <w:rStyle w:val="Hyperlink"/>
                  <w:rFonts w:ascii="Arial" w:hAnsi="Arial" w:cs="Arial"/>
                  <w:b/>
                  <w:bCs/>
                  <w:sz w:val="14"/>
                  <w:szCs w:val="14"/>
                </w:rPr>
                <w:t>Rel-18</w:t>
              </w:r>
            </w:hyperlink>
          </w:p>
        </w:tc>
        <w:tc>
          <w:tcPr>
            <w:tcW w:w="2696" w:type="dxa"/>
          </w:tcPr>
          <w:p w14:paraId="44E423AA" w14:textId="6CEA1668" w:rsidR="005A18DC" w:rsidRPr="005A18DC" w:rsidRDefault="005A18DC" w:rsidP="005A18DC">
            <w:pPr>
              <w:rPr>
                <w:rFonts w:ascii="Arial" w:hAnsi="Arial" w:cs="Arial"/>
                <w:bCs/>
                <w:sz w:val="14"/>
                <w:szCs w:val="14"/>
              </w:rPr>
            </w:pPr>
            <w:hyperlink r:id="rId2733" w:history="1">
              <w:r w:rsidRPr="005A18DC">
                <w:rPr>
                  <w:rStyle w:val="Hyperlink"/>
                  <w:rFonts w:ascii="Arial" w:hAnsi="Arial" w:cs="Arial"/>
                  <w:b/>
                  <w:bCs/>
                  <w:sz w:val="14"/>
                  <w:szCs w:val="14"/>
                </w:rPr>
                <w:t>NR_MIMO_evo_DL_UL-Core</w:t>
              </w:r>
            </w:hyperlink>
          </w:p>
        </w:tc>
        <w:tc>
          <w:tcPr>
            <w:tcW w:w="1065" w:type="dxa"/>
          </w:tcPr>
          <w:p w14:paraId="7F391C80" w14:textId="6B6A8AD7" w:rsidR="005A18DC" w:rsidRPr="005A18DC" w:rsidRDefault="005A18DC" w:rsidP="005A18DC">
            <w:pPr>
              <w:rPr>
                <w:rFonts w:ascii="Arial" w:hAnsi="Arial" w:cs="Arial"/>
                <w:sz w:val="14"/>
                <w:szCs w:val="14"/>
              </w:rPr>
            </w:pPr>
            <w:r w:rsidRPr="005A18DC">
              <w:rPr>
                <w:rFonts w:ascii="Arial" w:hAnsi="Arial" w:cs="Arial"/>
                <w:sz w:val="14"/>
                <w:szCs w:val="14"/>
              </w:rPr>
              <w:t> </w:t>
            </w:r>
          </w:p>
        </w:tc>
        <w:tc>
          <w:tcPr>
            <w:tcW w:w="994" w:type="dxa"/>
          </w:tcPr>
          <w:p w14:paraId="4D076258" w14:textId="715D4C12" w:rsidR="005A18DC" w:rsidRPr="005A18DC" w:rsidRDefault="005A18DC" w:rsidP="005A18DC">
            <w:pPr>
              <w:rPr>
                <w:rFonts w:ascii="Arial" w:hAnsi="Arial" w:cs="Arial"/>
                <w:sz w:val="14"/>
                <w:szCs w:val="14"/>
              </w:rPr>
            </w:pPr>
            <w:r w:rsidRPr="005A18DC">
              <w:rPr>
                <w:rFonts w:ascii="Arial" w:hAnsi="Arial" w:cs="Arial"/>
                <w:sz w:val="14"/>
                <w:szCs w:val="14"/>
              </w:rPr>
              <w:t>RAN2</w:t>
            </w:r>
          </w:p>
        </w:tc>
        <w:tc>
          <w:tcPr>
            <w:tcW w:w="994" w:type="dxa"/>
          </w:tcPr>
          <w:p w14:paraId="2F54AFF3" w14:textId="233C3305" w:rsidR="005A18DC" w:rsidRPr="005A18DC" w:rsidRDefault="005A18DC" w:rsidP="005A18DC">
            <w:pPr>
              <w:rPr>
                <w:rFonts w:ascii="Arial" w:hAnsi="Arial" w:cs="Arial"/>
                <w:sz w:val="14"/>
                <w:szCs w:val="14"/>
              </w:rPr>
            </w:pPr>
            <w:r w:rsidRPr="005A18DC">
              <w:rPr>
                <w:rFonts w:ascii="Arial" w:hAnsi="Arial" w:cs="Arial"/>
                <w:sz w:val="14"/>
                <w:szCs w:val="14"/>
              </w:rPr>
              <w:t> </w:t>
            </w:r>
          </w:p>
        </w:tc>
        <w:tc>
          <w:tcPr>
            <w:tcW w:w="1120" w:type="dxa"/>
          </w:tcPr>
          <w:p w14:paraId="5EEEB8EB" w14:textId="577E109F" w:rsidR="005A18DC" w:rsidRPr="005A18DC" w:rsidRDefault="005A18DC" w:rsidP="005A18DC">
            <w:pPr>
              <w:rPr>
                <w:rFonts w:ascii="Arial" w:hAnsi="Arial" w:cs="Arial"/>
                <w:sz w:val="14"/>
                <w:szCs w:val="14"/>
              </w:rPr>
            </w:pPr>
            <w:r w:rsidRPr="005A18DC">
              <w:rPr>
                <w:rFonts w:ascii="Arial" w:hAnsi="Arial" w:cs="Arial"/>
                <w:sz w:val="14"/>
                <w:szCs w:val="14"/>
              </w:rPr>
              <w:t> </w:t>
            </w:r>
          </w:p>
        </w:tc>
        <w:tc>
          <w:tcPr>
            <w:tcW w:w="1062" w:type="dxa"/>
          </w:tcPr>
          <w:p w14:paraId="0738FFB1" w14:textId="1A507A62" w:rsidR="005A18DC" w:rsidRPr="005A18DC" w:rsidRDefault="005A18DC" w:rsidP="005A18DC">
            <w:pPr>
              <w:rPr>
                <w:rFonts w:ascii="Arial" w:hAnsi="Arial" w:cs="Arial"/>
                <w:sz w:val="14"/>
                <w:szCs w:val="14"/>
              </w:rPr>
            </w:pPr>
            <w:r w:rsidRPr="005A18DC">
              <w:rPr>
                <w:rFonts w:ascii="Arial" w:hAnsi="Arial" w:cs="Arial"/>
                <w:sz w:val="14"/>
                <w:szCs w:val="14"/>
              </w:rPr>
              <w:t> </w:t>
            </w:r>
          </w:p>
        </w:tc>
      </w:tr>
      <w:tr w:rsidR="005A18DC" w:rsidRPr="005A18DC" w14:paraId="2A1E79C3" w14:textId="77777777" w:rsidTr="00B97F04">
        <w:trPr>
          <w:trHeight w:val="20"/>
          <w:jc w:val="center"/>
        </w:trPr>
        <w:tc>
          <w:tcPr>
            <w:tcW w:w="1094" w:type="dxa"/>
          </w:tcPr>
          <w:p w14:paraId="4D7E9D79" w14:textId="1C73B42E" w:rsidR="005A18DC" w:rsidRPr="005A18DC" w:rsidRDefault="005A18DC" w:rsidP="005A18DC">
            <w:pPr>
              <w:rPr>
                <w:rFonts w:ascii="Arial" w:hAnsi="Arial" w:cs="Arial"/>
                <w:bCs/>
                <w:sz w:val="14"/>
                <w:szCs w:val="14"/>
              </w:rPr>
            </w:pPr>
            <w:hyperlink r:id="rId2734" w:history="1">
              <w:r w:rsidRPr="005A18DC">
                <w:rPr>
                  <w:rStyle w:val="Hyperlink"/>
                  <w:rFonts w:ascii="Arial" w:hAnsi="Arial" w:cs="Arial"/>
                  <w:b/>
                  <w:bCs/>
                  <w:sz w:val="14"/>
                  <w:szCs w:val="14"/>
                </w:rPr>
                <w:t>R1-2312393</w:t>
              </w:r>
            </w:hyperlink>
          </w:p>
        </w:tc>
        <w:tc>
          <w:tcPr>
            <w:tcW w:w="2646" w:type="dxa"/>
          </w:tcPr>
          <w:p w14:paraId="0D6BF67D" w14:textId="1DD4137E" w:rsidR="005A18DC" w:rsidRPr="005A18DC" w:rsidRDefault="005A18DC" w:rsidP="005A18DC">
            <w:pPr>
              <w:rPr>
                <w:rFonts w:ascii="Arial" w:hAnsi="Arial" w:cs="Arial"/>
                <w:sz w:val="14"/>
                <w:szCs w:val="14"/>
              </w:rPr>
            </w:pPr>
            <w:r w:rsidRPr="005A18DC">
              <w:rPr>
                <w:rFonts w:ascii="Arial" w:hAnsi="Arial" w:cs="Arial"/>
                <w:sz w:val="14"/>
                <w:szCs w:val="14"/>
              </w:rPr>
              <w:t>Reply LS on CPP</w:t>
            </w:r>
          </w:p>
        </w:tc>
        <w:tc>
          <w:tcPr>
            <w:tcW w:w="1583" w:type="dxa"/>
          </w:tcPr>
          <w:p w14:paraId="01DBD07D" w14:textId="6BFC86E3" w:rsidR="005A18DC" w:rsidRPr="005A18DC" w:rsidRDefault="005A18DC" w:rsidP="005A18DC">
            <w:pPr>
              <w:rPr>
                <w:rFonts w:ascii="Arial" w:hAnsi="Arial" w:cs="Arial"/>
                <w:sz w:val="14"/>
                <w:szCs w:val="14"/>
              </w:rPr>
            </w:pPr>
            <w:r w:rsidRPr="005A18DC">
              <w:rPr>
                <w:rFonts w:ascii="Arial" w:hAnsi="Arial" w:cs="Arial"/>
                <w:sz w:val="14"/>
                <w:szCs w:val="14"/>
              </w:rPr>
              <w:t>RAN1, CATT</w:t>
            </w:r>
          </w:p>
        </w:tc>
        <w:tc>
          <w:tcPr>
            <w:tcW w:w="813" w:type="dxa"/>
          </w:tcPr>
          <w:p w14:paraId="68D9EBED" w14:textId="51CFA28F" w:rsidR="005A18DC" w:rsidRPr="005A18DC" w:rsidRDefault="005A18DC" w:rsidP="005A18DC">
            <w:pPr>
              <w:rPr>
                <w:rFonts w:ascii="Arial" w:hAnsi="Arial" w:cs="Arial"/>
                <w:bCs/>
                <w:sz w:val="14"/>
                <w:szCs w:val="14"/>
              </w:rPr>
            </w:pPr>
            <w:hyperlink r:id="rId2735" w:history="1">
              <w:r w:rsidRPr="005A18DC">
                <w:rPr>
                  <w:rStyle w:val="Hyperlink"/>
                  <w:rFonts w:ascii="Arial" w:hAnsi="Arial" w:cs="Arial"/>
                  <w:b/>
                  <w:bCs/>
                  <w:sz w:val="14"/>
                  <w:szCs w:val="14"/>
                </w:rPr>
                <w:t>Rel-18</w:t>
              </w:r>
            </w:hyperlink>
          </w:p>
        </w:tc>
        <w:tc>
          <w:tcPr>
            <w:tcW w:w="2696" w:type="dxa"/>
          </w:tcPr>
          <w:p w14:paraId="0B3CDCDD" w14:textId="259C179A" w:rsidR="005A18DC" w:rsidRPr="005A18DC" w:rsidRDefault="005A18DC" w:rsidP="005A18DC">
            <w:pPr>
              <w:rPr>
                <w:rFonts w:ascii="Arial" w:hAnsi="Arial" w:cs="Arial"/>
                <w:bCs/>
                <w:sz w:val="14"/>
                <w:szCs w:val="14"/>
              </w:rPr>
            </w:pPr>
            <w:hyperlink r:id="rId2736" w:history="1">
              <w:r w:rsidRPr="005A18DC">
                <w:rPr>
                  <w:rStyle w:val="Hyperlink"/>
                  <w:rFonts w:ascii="Arial" w:hAnsi="Arial" w:cs="Arial"/>
                  <w:b/>
                  <w:bCs/>
                  <w:sz w:val="14"/>
                  <w:szCs w:val="14"/>
                </w:rPr>
                <w:t>NR_pos_enh2-Core</w:t>
              </w:r>
            </w:hyperlink>
          </w:p>
        </w:tc>
        <w:tc>
          <w:tcPr>
            <w:tcW w:w="1065" w:type="dxa"/>
          </w:tcPr>
          <w:p w14:paraId="38F1B4C5" w14:textId="704225A4" w:rsidR="005A18DC" w:rsidRPr="005A18DC" w:rsidRDefault="005A18DC" w:rsidP="005A18DC">
            <w:pPr>
              <w:rPr>
                <w:rFonts w:ascii="Arial" w:hAnsi="Arial" w:cs="Arial"/>
                <w:sz w:val="14"/>
                <w:szCs w:val="14"/>
              </w:rPr>
            </w:pPr>
            <w:r w:rsidRPr="005A18DC">
              <w:rPr>
                <w:rFonts w:ascii="Arial" w:hAnsi="Arial" w:cs="Arial"/>
                <w:sz w:val="14"/>
                <w:szCs w:val="14"/>
              </w:rPr>
              <w:t>R2-2311565</w:t>
            </w:r>
          </w:p>
        </w:tc>
        <w:tc>
          <w:tcPr>
            <w:tcW w:w="994" w:type="dxa"/>
          </w:tcPr>
          <w:p w14:paraId="2BB0C308" w14:textId="34AAF559" w:rsidR="005A18DC" w:rsidRPr="005A18DC" w:rsidRDefault="005A18DC" w:rsidP="005A18DC">
            <w:pPr>
              <w:rPr>
                <w:rFonts w:ascii="Arial" w:hAnsi="Arial" w:cs="Arial"/>
                <w:sz w:val="14"/>
                <w:szCs w:val="14"/>
              </w:rPr>
            </w:pPr>
            <w:r w:rsidRPr="005A18DC">
              <w:rPr>
                <w:rFonts w:ascii="Arial" w:hAnsi="Arial" w:cs="Arial"/>
                <w:sz w:val="14"/>
                <w:szCs w:val="14"/>
              </w:rPr>
              <w:t>RAN2</w:t>
            </w:r>
          </w:p>
        </w:tc>
        <w:tc>
          <w:tcPr>
            <w:tcW w:w="994" w:type="dxa"/>
          </w:tcPr>
          <w:p w14:paraId="3736DF1A" w14:textId="1D93190C" w:rsidR="005A18DC" w:rsidRPr="005A18DC" w:rsidRDefault="005A18DC" w:rsidP="005A18DC">
            <w:pPr>
              <w:rPr>
                <w:rFonts w:ascii="Arial" w:hAnsi="Arial" w:cs="Arial"/>
                <w:sz w:val="14"/>
                <w:szCs w:val="14"/>
              </w:rPr>
            </w:pPr>
            <w:r w:rsidRPr="005A18DC">
              <w:rPr>
                <w:rFonts w:ascii="Arial" w:hAnsi="Arial" w:cs="Arial"/>
                <w:sz w:val="14"/>
                <w:szCs w:val="14"/>
              </w:rPr>
              <w:t>RAN4, RAN3, SA2</w:t>
            </w:r>
          </w:p>
        </w:tc>
        <w:tc>
          <w:tcPr>
            <w:tcW w:w="1120" w:type="dxa"/>
          </w:tcPr>
          <w:p w14:paraId="4F19B013" w14:textId="2F34A04D" w:rsidR="005A18DC" w:rsidRPr="005A18DC" w:rsidRDefault="005A18DC" w:rsidP="005A18DC">
            <w:pPr>
              <w:rPr>
                <w:rFonts w:ascii="Arial" w:hAnsi="Arial" w:cs="Arial"/>
                <w:sz w:val="14"/>
                <w:szCs w:val="14"/>
              </w:rPr>
            </w:pPr>
            <w:r w:rsidRPr="005A18DC">
              <w:rPr>
                <w:rFonts w:ascii="Arial" w:hAnsi="Arial" w:cs="Arial"/>
                <w:sz w:val="14"/>
                <w:szCs w:val="14"/>
              </w:rPr>
              <w:t> </w:t>
            </w:r>
          </w:p>
        </w:tc>
        <w:tc>
          <w:tcPr>
            <w:tcW w:w="1062" w:type="dxa"/>
          </w:tcPr>
          <w:p w14:paraId="2784BB9F" w14:textId="10F673A1" w:rsidR="005A18DC" w:rsidRPr="005A18DC" w:rsidRDefault="005A18DC" w:rsidP="005A18DC">
            <w:pPr>
              <w:rPr>
                <w:rFonts w:ascii="Arial" w:hAnsi="Arial" w:cs="Arial"/>
                <w:sz w:val="14"/>
                <w:szCs w:val="14"/>
              </w:rPr>
            </w:pPr>
            <w:r w:rsidRPr="005A18DC">
              <w:rPr>
                <w:rFonts w:ascii="Arial" w:hAnsi="Arial" w:cs="Arial"/>
                <w:sz w:val="14"/>
                <w:szCs w:val="14"/>
              </w:rPr>
              <w:t> </w:t>
            </w:r>
          </w:p>
        </w:tc>
      </w:tr>
      <w:tr w:rsidR="005A18DC" w:rsidRPr="005A18DC" w14:paraId="025C4F15" w14:textId="77777777" w:rsidTr="00B97F04">
        <w:trPr>
          <w:trHeight w:val="20"/>
          <w:jc w:val="center"/>
        </w:trPr>
        <w:tc>
          <w:tcPr>
            <w:tcW w:w="1094" w:type="dxa"/>
          </w:tcPr>
          <w:p w14:paraId="6E31EDC0" w14:textId="59BEB02B" w:rsidR="005A18DC" w:rsidRPr="005A18DC" w:rsidRDefault="005A18DC" w:rsidP="005A18DC">
            <w:pPr>
              <w:rPr>
                <w:rFonts w:ascii="Arial" w:hAnsi="Arial" w:cs="Arial"/>
                <w:bCs/>
                <w:sz w:val="14"/>
                <w:szCs w:val="14"/>
              </w:rPr>
            </w:pPr>
            <w:hyperlink r:id="rId2737" w:history="1">
              <w:r w:rsidRPr="005A18DC">
                <w:rPr>
                  <w:rStyle w:val="Hyperlink"/>
                  <w:rFonts w:ascii="Arial" w:hAnsi="Arial" w:cs="Arial"/>
                  <w:b/>
                  <w:bCs/>
                  <w:sz w:val="14"/>
                  <w:szCs w:val="14"/>
                </w:rPr>
                <w:t>R1-2312395</w:t>
              </w:r>
            </w:hyperlink>
          </w:p>
        </w:tc>
        <w:tc>
          <w:tcPr>
            <w:tcW w:w="2646" w:type="dxa"/>
          </w:tcPr>
          <w:p w14:paraId="0C7ADCA2" w14:textId="037942CF" w:rsidR="005A18DC" w:rsidRPr="005A18DC" w:rsidRDefault="005A18DC" w:rsidP="005A18DC">
            <w:pPr>
              <w:rPr>
                <w:rFonts w:ascii="Arial" w:hAnsi="Arial" w:cs="Arial"/>
                <w:sz w:val="14"/>
                <w:szCs w:val="14"/>
              </w:rPr>
            </w:pPr>
            <w:r w:rsidRPr="005A18DC">
              <w:rPr>
                <w:rFonts w:ascii="Arial" w:hAnsi="Arial" w:cs="Arial"/>
                <w:sz w:val="14"/>
                <w:szCs w:val="14"/>
              </w:rPr>
              <w:t>Reply LS on SRS and PRS bandwidth aggregation for positioning</w:t>
            </w:r>
          </w:p>
        </w:tc>
        <w:tc>
          <w:tcPr>
            <w:tcW w:w="1583" w:type="dxa"/>
          </w:tcPr>
          <w:p w14:paraId="606EEC52" w14:textId="5E04A2DD" w:rsidR="005A18DC" w:rsidRPr="005A18DC" w:rsidRDefault="005A18DC" w:rsidP="005A18DC">
            <w:pPr>
              <w:rPr>
                <w:rFonts w:ascii="Arial" w:hAnsi="Arial" w:cs="Arial"/>
                <w:sz w:val="14"/>
                <w:szCs w:val="14"/>
              </w:rPr>
            </w:pPr>
            <w:r w:rsidRPr="005A18DC">
              <w:rPr>
                <w:rFonts w:ascii="Arial" w:hAnsi="Arial" w:cs="Arial"/>
                <w:sz w:val="14"/>
                <w:szCs w:val="14"/>
              </w:rPr>
              <w:t>RAN1, ZTE</w:t>
            </w:r>
          </w:p>
        </w:tc>
        <w:tc>
          <w:tcPr>
            <w:tcW w:w="813" w:type="dxa"/>
          </w:tcPr>
          <w:p w14:paraId="1A6CEBD8" w14:textId="72E8E3CE" w:rsidR="005A18DC" w:rsidRPr="005A18DC" w:rsidRDefault="005A18DC" w:rsidP="005A18DC">
            <w:pPr>
              <w:rPr>
                <w:rFonts w:ascii="Arial" w:hAnsi="Arial" w:cs="Arial"/>
                <w:bCs/>
                <w:sz w:val="14"/>
                <w:szCs w:val="14"/>
              </w:rPr>
            </w:pPr>
            <w:hyperlink r:id="rId2738" w:history="1">
              <w:r w:rsidRPr="005A18DC">
                <w:rPr>
                  <w:rStyle w:val="Hyperlink"/>
                  <w:rFonts w:ascii="Arial" w:hAnsi="Arial" w:cs="Arial"/>
                  <w:b/>
                  <w:bCs/>
                  <w:sz w:val="14"/>
                  <w:szCs w:val="14"/>
                </w:rPr>
                <w:t>Rel-18</w:t>
              </w:r>
            </w:hyperlink>
          </w:p>
        </w:tc>
        <w:tc>
          <w:tcPr>
            <w:tcW w:w="2696" w:type="dxa"/>
          </w:tcPr>
          <w:p w14:paraId="5FA08014" w14:textId="6B7848C6" w:rsidR="005A18DC" w:rsidRPr="005A18DC" w:rsidRDefault="005A18DC" w:rsidP="005A18DC">
            <w:pPr>
              <w:rPr>
                <w:rFonts w:ascii="Arial" w:hAnsi="Arial" w:cs="Arial"/>
                <w:bCs/>
                <w:sz w:val="14"/>
                <w:szCs w:val="14"/>
              </w:rPr>
            </w:pPr>
            <w:hyperlink r:id="rId2739" w:history="1">
              <w:r w:rsidRPr="005A18DC">
                <w:rPr>
                  <w:rStyle w:val="Hyperlink"/>
                  <w:rFonts w:ascii="Arial" w:hAnsi="Arial" w:cs="Arial"/>
                  <w:b/>
                  <w:bCs/>
                  <w:sz w:val="14"/>
                  <w:szCs w:val="14"/>
                </w:rPr>
                <w:t>NR_pos_enh2-Core</w:t>
              </w:r>
            </w:hyperlink>
          </w:p>
        </w:tc>
        <w:tc>
          <w:tcPr>
            <w:tcW w:w="1065" w:type="dxa"/>
          </w:tcPr>
          <w:p w14:paraId="2B5E6B77" w14:textId="008CC659" w:rsidR="005A18DC" w:rsidRPr="005A18DC" w:rsidRDefault="005A18DC" w:rsidP="005A18DC">
            <w:pPr>
              <w:rPr>
                <w:rFonts w:ascii="Arial" w:hAnsi="Arial" w:cs="Arial"/>
                <w:sz w:val="14"/>
                <w:szCs w:val="14"/>
              </w:rPr>
            </w:pPr>
            <w:r w:rsidRPr="005A18DC">
              <w:rPr>
                <w:rFonts w:ascii="Arial" w:hAnsi="Arial" w:cs="Arial"/>
                <w:sz w:val="14"/>
                <w:szCs w:val="14"/>
              </w:rPr>
              <w:t>R4-2317389</w:t>
            </w:r>
          </w:p>
        </w:tc>
        <w:tc>
          <w:tcPr>
            <w:tcW w:w="994" w:type="dxa"/>
          </w:tcPr>
          <w:p w14:paraId="604D72CB" w14:textId="33A205E5" w:rsidR="005A18DC" w:rsidRPr="005A18DC" w:rsidRDefault="005A18DC" w:rsidP="005A18DC">
            <w:pPr>
              <w:rPr>
                <w:rFonts w:ascii="Arial" w:hAnsi="Arial" w:cs="Arial"/>
                <w:sz w:val="14"/>
                <w:szCs w:val="14"/>
              </w:rPr>
            </w:pPr>
            <w:r w:rsidRPr="005A18DC">
              <w:rPr>
                <w:rFonts w:ascii="Arial" w:hAnsi="Arial" w:cs="Arial"/>
                <w:sz w:val="14"/>
                <w:szCs w:val="14"/>
              </w:rPr>
              <w:t>RAN4</w:t>
            </w:r>
          </w:p>
        </w:tc>
        <w:tc>
          <w:tcPr>
            <w:tcW w:w="994" w:type="dxa"/>
          </w:tcPr>
          <w:p w14:paraId="1639C94A" w14:textId="69C8F98F" w:rsidR="005A18DC" w:rsidRPr="005A18DC" w:rsidRDefault="005A18DC" w:rsidP="005A18DC">
            <w:pPr>
              <w:rPr>
                <w:rFonts w:ascii="Arial" w:hAnsi="Arial" w:cs="Arial"/>
                <w:sz w:val="14"/>
                <w:szCs w:val="14"/>
              </w:rPr>
            </w:pPr>
            <w:r w:rsidRPr="005A18DC">
              <w:rPr>
                <w:rFonts w:ascii="Arial" w:hAnsi="Arial" w:cs="Arial"/>
                <w:sz w:val="14"/>
                <w:szCs w:val="14"/>
              </w:rPr>
              <w:t>RAN2, RAN3</w:t>
            </w:r>
          </w:p>
        </w:tc>
        <w:tc>
          <w:tcPr>
            <w:tcW w:w="1120" w:type="dxa"/>
          </w:tcPr>
          <w:p w14:paraId="41EBD2CE" w14:textId="5E1AC059" w:rsidR="005A18DC" w:rsidRPr="005A18DC" w:rsidRDefault="005A18DC" w:rsidP="005A18DC">
            <w:pPr>
              <w:rPr>
                <w:rFonts w:ascii="Arial" w:hAnsi="Arial" w:cs="Arial"/>
                <w:sz w:val="14"/>
                <w:szCs w:val="14"/>
              </w:rPr>
            </w:pPr>
            <w:r w:rsidRPr="005A18DC">
              <w:rPr>
                <w:rFonts w:ascii="Arial" w:hAnsi="Arial" w:cs="Arial"/>
                <w:sz w:val="14"/>
                <w:szCs w:val="14"/>
              </w:rPr>
              <w:t> </w:t>
            </w:r>
          </w:p>
        </w:tc>
        <w:tc>
          <w:tcPr>
            <w:tcW w:w="1062" w:type="dxa"/>
          </w:tcPr>
          <w:p w14:paraId="0F030826" w14:textId="4351ECF3" w:rsidR="005A18DC" w:rsidRPr="005A18DC" w:rsidRDefault="005A18DC" w:rsidP="005A18DC">
            <w:pPr>
              <w:rPr>
                <w:rFonts w:ascii="Arial" w:hAnsi="Arial" w:cs="Arial"/>
                <w:sz w:val="14"/>
                <w:szCs w:val="14"/>
              </w:rPr>
            </w:pPr>
            <w:r w:rsidRPr="005A18DC">
              <w:rPr>
                <w:rFonts w:ascii="Arial" w:hAnsi="Arial" w:cs="Arial"/>
                <w:sz w:val="14"/>
                <w:szCs w:val="14"/>
              </w:rPr>
              <w:t>R4-2402190</w:t>
            </w:r>
          </w:p>
        </w:tc>
      </w:tr>
      <w:tr w:rsidR="005A18DC" w:rsidRPr="005A18DC" w14:paraId="43F9EA2D" w14:textId="77777777" w:rsidTr="00B97F04">
        <w:trPr>
          <w:trHeight w:val="20"/>
          <w:jc w:val="center"/>
        </w:trPr>
        <w:tc>
          <w:tcPr>
            <w:tcW w:w="1094" w:type="dxa"/>
          </w:tcPr>
          <w:p w14:paraId="2A5291BA" w14:textId="38FBFF38" w:rsidR="005A18DC" w:rsidRPr="005A18DC" w:rsidRDefault="005A18DC" w:rsidP="005A18DC">
            <w:pPr>
              <w:rPr>
                <w:rFonts w:ascii="Arial" w:hAnsi="Arial" w:cs="Arial"/>
                <w:sz w:val="14"/>
                <w:szCs w:val="14"/>
              </w:rPr>
            </w:pPr>
            <w:hyperlink r:id="rId2740" w:history="1">
              <w:r w:rsidRPr="005A18DC">
                <w:rPr>
                  <w:rStyle w:val="Hyperlink"/>
                  <w:rFonts w:ascii="Arial" w:hAnsi="Arial" w:cs="Arial"/>
                  <w:b/>
                  <w:bCs/>
                  <w:sz w:val="14"/>
                  <w:szCs w:val="14"/>
                </w:rPr>
                <w:t>R1-2312409</w:t>
              </w:r>
            </w:hyperlink>
          </w:p>
        </w:tc>
        <w:tc>
          <w:tcPr>
            <w:tcW w:w="2646" w:type="dxa"/>
          </w:tcPr>
          <w:p w14:paraId="3CAD4FC9" w14:textId="367AD220" w:rsidR="005A18DC" w:rsidRPr="005A18DC" w:rsidRDefault="005A18DC" w:rsidP="005A18DC">
            <w:pPr>
              <w:rPr>
                <w:rFonts w:ascii="Arial" w:hAnsi="Arial" w:cs="Arial"/>
                <w:sz w:val="14"/>
                <w:szCs w:val="14"/>
              </w:rPr>
            </w:pPr>
            <w:r w:rsidRPr="005A18DC">
              <w:rPr>
                <w:rFonts w:ascii="Arial" w:hAnsi="Arial" w:cs="Arial"/>
                <w:sz w:val="14"/>
                <w:szCs w:val="14"/>
              </w:rPr>
              <w:t>LS on Cell DTX/DRX operations for sTRP</w:t>
            </w:r>
          </w:p>
        </w:tc>
        <w:tc>
          <w:tcPr>
            <w:tcW w:w="1583" w:type="dxa"/>
          </w:tcPr>
          <w:p w14:paraId="5FDA99E0" w14:textId="20DBD3BE" w:rsidR="005A18DC" w:rsidRPr="005A18DC" w:rsidRDefault="005A18DC" w:rsidP="005A18DC">
            <w:pPr>
              <w:rPr>
                <w:rFonts w:ascii="Arial" w:hAnsi="Arial" w:cs="Arial"/>
                <w:sz w:val="14"/>
                <w:szCs w:val="14"/>
              </w:rPr>
            </w:pPr>
            <w:r w:rsidRPr="005A18DC">
              <w:rPr>
                <w:rFonts w:ascii="Arial" w:hAnsi="Arial" w:cs="Arial"/>
                <w:sz w:val="14"/>
                <w:szCs w:val="14"/>
              </w:rPr>
              <w:t>RAN1, Intel Corporation</w:t>
            </w:r>
          </w:p>
        </w:tc>
        <w:tc>
          <w:tcPr>
            <w:tcW w:w="813" w:type="dxa"/>
          </w:tcPr>
          <w:p w14:paraId="604E07A1" w14:textId="2C56E9C1" w:rsidR="005A18DC" w:rsidRPr="005A18DC" w:rsidRDefault="005A18DC" w:rsidP="005A18DC">
            <w:pPr>
              <w:rPr>
                <w:rFonts w:ascii="Arial" w:hAnsi="Arial" w:cs="Arial"/>
                <w:sz w:val="14"/>
                <w:szCs w:val="14"/>
              </w:rPr>
            </w:pPr>
            <w:hyperlink r:id="rId2741" w:history="1">
              <w:r w:rsidRPr="005A18DC">
                <w:rPr>
                  <w:rStyle w:val="Hyperlink"/>
                  <w:rFonts w:ascii="Arial" w:hAnsi="Arial" w:cs="Arial"/>
                  <w:b/>
                  <w:bCs/>
                  <w:sz w:val="14"/>
                  <w:szCs w:val="14"/>
                </w:rPr>
                <w:t>Rel-18</w:t>
              </w:r>
            </w:hyperlink>
          </w:p>
        </w:tc>
        <w:tc>
          <w:tcPr>
            <w:tcW w:w="2696" w:type="dxa"/>
          </w:tcPr>
          <w:p w14:paraId="2C87A2DA" w14:textId="1D5260C4" w:rsidR="005A18DC" w:rsidRPr="005A18DC" w:rsidRDefault="005A18DC" w:rsidP="005A18DC">
            <w:pPr>
              <w:rPr>
                <w:rFonts w:ascii="Arial" w:hAnsi="Arial" w:cs="Arial"/>
                <w:sz w:val="14"/>
                <w:szCs w:val="14"/>
              </w:rPr>
            </w:pPr>
            <w:hyperlink r:id="rId2742" w:history="1">
              <w:r w:rsidRPr="005A18DC">
                <w:rPr>
                  <w:rStyle w:val="Hyperlink"/>
                  <w:rFonts w:ascii="Arial" w:hAnsi="Arial" w:cs="Arial"/>
                  <w:b/>
                  <w:bCs/>
                  <w:sz w:val="14"/>
                  <w:szCs w:val="14"/>
                </w:rPr>
                <w:t>Netw_Energy_NR-Core</w:t>
              </w:r>
            </w:hyperlink>
          </w:p>
        </w:tc>
        <w:tc>
          <w:tcPr>
            <w:tcW w:w="1065" w:type="dxa"/>
          </w:tcPr>
          <w:p w14:paraId="6A7F463B" w14:textId="7C56F5E6" w:rsidR="005A18DC" w:rsidRPr="005A18DC" w:rsidRDefault="005A18DC" w:rsidP="005A18DC">
            <w:pPr>
              <w:rPr>
                <w:rFonts w:ascii="Arial" w:hAnsi="Arial" w:cs="Arial"/>
                <w:sz w:val="14"/>
                <w:szCs w:val="14"/>
              </w:rPr>
            </w:pPr>
            <w:r w:rsidRPr="005A18DC">
              <w:rPr>
                <w:rFonts w:ascii="Arial" w:hAnsi="Arial" w:cs="Arial"/>
                <w:sz w:val="14"/>
                <w:szCs w:val="14"/>
              </w:rPr>
              <w:t> </w:t>
            </w:r>
          </w:p>
        </w:tc>
        <w:tc>
          <w:tcPr>
            <w:tcW w:w="994" w:type="dxa"/>
          </w:tcPr>
          <w:p w14:paraId="2FB638C0" w14:textId="2F246953" w:rsidR="005A18DC" w:rsidRPr="005A18DC" w:rsidRDefault="005A18DC" w:rsidP="005A18DC">
            <w:pPr>
              <w:rPr>
                <w:rFonts w:ascii="Arial" w:hAnsi="Arial" w:cs="Arial"/>
                <w:sz w:val="14"/>
                <w:szCs w:val="14"/>
              </w:rPr>
            </w:pPr>
            <w:r w:rsidRPr="005A18DC">
              <w:rPr>
                <w:rFonts w:ascii="Arial" w:hAnsi="Arial" w:cs="Arial"/>
                <w:sz w:val="14"/>
                <w:szCs w:val="14"/>
              </w:rPr>
              <w:t>RAN2</w:t>
            </w:r>
          </w:p>
        </w:tc>
        <w:tc>
          <w:tcPr>
            <w:tcW w:w="994" w:type="dxa"/>
          </w:tcPr>
          <w:p w14:paraId="7CABE621" w14:textId="22E956DE" w:rsidR="005A18DC" w:rsidRPr="005A18DC" w:rsidRDefault="005A18DC" w:rsidP="005A18DC">
            <w:pPr>
              <w:rPr>
                <w:rFonts w:ascii="Arial" w:hAnsi="Arial" w:cs="Arial"/>
                <w:sz w:val="14"/>
                <w:szCs w:val="14"/>
              </w:rPr>
            </w:pPr>
            <w:r w:rsidRPr="005A18DC">
              <w:rPr>
                <w:rFonts w:ascii="Arial" w:hAnsi="Arial" w:cs="Arial"/>
                <w:sz w:val="14"/>
                <w:szCs w:val="14"/>
              </w:rPr>
              <w:t> </w:t>
            </w:r>
          </w:p>
        </w:tc>
        <w:tc>
          <w:tcPr>
            <w:tcW w:w="1120" w:type="dxa"/>
          </w:tcPr>
          <w:p w14:paraId="69A86BA8" w14:textId="6CB64196" w:rsidR="005A18DC" w:rsidRPr="005A18DC" w:rsidRDefault="005A18DC" w:rsidP="005A18DC">
            <w:pPr>
              <w:rPr>
                <w:rFonts w:ascii="Arial" w:hAnsi="Arial" w:cs="Arial"/>
                <w:sz w:val="14"/>
                <w:szCs w:val="14"/>
              </w:rPr>
            </w:pPr>
            <w:r w:rsidRPr="005A18DC">
              <w:rPr>
                <w:rFonts w:ascii="Arial" w:hAnsi="Arial" w:cs="Arial"/>
                <w:sz w:val="14"/>
                <w:szCs w:val="14"/>
              </w:rPr>
              <w:t> </w:t>
            </w:r>
          </w:p>
        </w:tc>
        <w:tc>
          <w:tcPr>
            <w:tcW w:w="1062" w:type="dxa"/>
          </w:tcPr>
          <w:p w14:paraId="7D370CFB" w14:textId="26FF0783" w:rsidR="005A18DC" w:rsidRPr="005A18DC" w:rsidRDefault="005A18DC" w:rsidP="005A18DC">
            <w:pPr>
              <w:rPr>
                <w:rFonts w:ascii="Arial" w:hAnsi="Arial" w:cs="Arial"/>
                <w:sz w:val="14"/>
                <w:szCs w:val="14"/>
              </w:rPr>
            </w:pPr>
            <w:r w:rsidRPr="005A18DC">
              <w:rPr>
                <w:rFonts w:ascii="Arial" w:hAnsi="Arial" w:cs="Arial"/>
                <w:sz w:val="14"/>
                <w:szCs w:val="14"/>
              </w:rPr>
              <w:t> </w:t>
            </w:r>
          </w:p>
        </w:tc>
      </w:tr>
      <w:tr w:rsidR="005A18DC" w:rsidRPr="005A18DC" w14:paraId="75AEAC1F" w14:textId="77777777" w:rsidTr="00B97F04">
        <w:trPr>
          <w:trHeight w:val="20"/>
          <w:jc w:val="center"/>
        </w:trPr>
        <w:tc>
          <w:tcPr>
            <w:tcW w:w="1094" w:type="dxa"/>
          </w:tcPr>
          <w:p w14:paraId="659996E3" w14:textId="20CFF559" w:rsidR="005A18DC" w:rsidRPr="005A18DC" w:rsidRDefault="005A18DC" w:rsidP="005A18DC">
            <w:pPr>
              <w:rPr>
                <w:rFonts w:ascii="Arial" w:hAnsi="Arial" w:cs="Arial"/>
                <w:bCs/>
                <w:sz w:val="14"/>
                <w:szCs w:val="14"/>
              </w:rPr>
            </w:pPr>
            <w:hyperlink r:id="rId2743" w:history="1">
              <w:r w:rsidRPr="005A18DC">
                <w:rPr>
                  <w:rStyle w:val="Hyperlink"/>
                  <w:rFonts w:ascii="Arial" w:hAnsi="Arial" w:cs="Arial"/>
                  <w:b/>
                  <w:bCs/>
                  <w:sz w:val="14"/>
                  <w:szCs w:val="14"/>
                </w:rPr>
                <w:t>R1-2312434</w:t>
              </w:r>
            </w:hyperlink>
          </w:p>
        </w:tc>
        <w:tc>
          <w:tcPr>
            <w:tcW w:w="2646" w:type="dxa"/>
          </w:tcPr>
          <w:p w14:paraId="503E7ACD" w14:textId="6504191E" w:rsidR="005A18DC" w:rsidRPr="005A18DC" w:rsidRDefault="005A18DC" w:rsidP="005A18DC">
            <w:pPr>
              <w:rPr>
                <w:rFonts w:ascii="Arial" w:hAnsi="Arial" w:cs="Arial"/>
                <w:sz w:val="14"/>
                <w:szCs w:val="14"/>
              </w:rPr>
            </w:pPr>
            <w:r w:rsidRPr="005A18DC">
              <w:rPr>
                <w:rFonts w:ascii="Arial" w:hAnsi="Arial" w:cs="Arial"/>
                <w:sz w:val="14"/>
                <w:szCs w:val="14"/>
              </w:rPr>
              <w:t>Reply LS on request for clarifications on RedCap positioning, carrier phase positioning, and bandwidth aggregation for positioning</w:t>
            </w:r>
          </w:p>
        </w:tc>
        <w:tc>
          <w:tcPr>
            <w:tcW w:w="1583" w:type="dxa"/>
          </w:tcPr>
          <w:p w14:paraId="07F9D960" w14:textId="6944802B" w:rsidR="005A18DC" w:rsidRPr="005A18DC" w:rsidRDefault="005A18DC" w:rsidP="005A18DC">
            <w:pPr>
              <w:rPr>
                <w:rFonts w:ascii="Arial" w:hAnsi="Arial" w:cs="Arial"/>
                <w:sz w:val="14"/>
                <w:szCs w:val="14"/>
              </w:rPr>
            </w:pPr>
            <w:r w:rsidRPr="005A18DC">
              <w:rPr>
                <w:rFonts w:ascii="Arial" w:hAnsi="Arial" w:cs="Arial"/>
                <w:sz w:val="14"/>
                <w:szCs w:val="14"/>
              </w:rPr>
              <w:t>RAN1, Nokia</w:t>
            </w:r>
          </w:p>
        </w:tc>
        <w:tc>
          <w:tcPr>
            <w:tcW w:w="813" w:type="dxa"/>
          </w:tcPr>
          <w:p w14:paraId="1714F59E" w14:textId="03F5DD86" w:rsidR="005A18DC" w:rsidRPr="005A18DC" w:rsidRDefault="005A18DC" w:rsidP="005A18DC">
            <w:pPr>
              <w:rPr>
                <w:rFonts w:ascii="Arial" w:hAnsi="Arial" w:cs="Arial"/>
                <w:bCs/>
                <w:sz w:val="14"/>
                <w:szCs w:val="14"/>
              </w:rPr>
            </w:pPr>
            <w:hyperlink r:id="rId2744" w:history="1">
              <w:r w:rsidRPr="005A18DC">
                <w:rPr>
                  <w:rStyle w:val="Hyperlink"/>
                  <w:rFonts w:ascii="Arial" w:hAnsi="Arial" w:cs="Arial"/>
                  <w:b/>
                  <w:bCs/>
                  <w:sz w:val="14"/>
                  <w:szCs w:val="14"/>
                </w:rPr>
                <w:t>Rel-18</w:t>
              </w:r>
            </w:hyperlink>
          </w:p>
        </w:tc>
        <w:tc>
          <w:tcPr>
            <w:tcW w:w="2696" w:type="dxa"/>
          </w:tcPr>
          <w:p w14:paraId="1A1F7BA7" w14:textId="0A400060" w:rsidR="005A18DC" w:rsidRPr="005A18DC" w:rsidRDefault="005A18DC" w:rsidP="005A18DC">
            <w:pPr>
              <w:rPr>
                <w:rFonts w:ascii="Arial" w:hAnsi="Arial" w:cs="Arial"/>
                <w:bCs/>
                <w:sz w:val="14"/>
                <w:szCs w:val="14"/>
              </w:rPr>
            </w:pPr>
            <w:hyperlink r:id="rId2745" w:history="1">
              <w:r w:rsidRPr="005A18DC">
                <w:rPr>
                  <w:rStyle w:val="Hyperlink"/>
                  <w:rFonts w:ascii="Arial" w:hAnsi="Arial" w:cs="Arial"/>
                  <w:b/>
                  <w:bCs/>
                  <w:sz w:val="14"/>
                  <w:szCs w:val="14"/>
                </w:rPr>
                <w:t>NR_pos_enh2-Core</w:t>
              </w:r>
            </w:hyperlink>
          </w:p>
        </w:tc>
        <w:tc>
          <w:tcPr>
            <w:tcW w:w="1065" w:type="dxa"/>
          </w:tcPr>
          <w:p w14:paraId="44D7738F" w14:textId="545B1A2C" w:rsidR="005A18DC" w:rsidRPr="005A18DC" w:rsidRDefault="005A18DC" w:rsidP="005A18DC">
            <w:pPr>
              <w:rPr>
                <w:rFonts w:ascii="Arial" w:hAnsi="Arial" w:cs="Arial"/>
                <w:sz w:val="14"/>
                <w:szCs w:val="14"/>
              </w:rPr>
            </w:pPr>
            <w:r w:rsidRPr="005A18DC">
              <w:rPr>
                <w:rFonts w:ascii="Arial" w:hAnsi="Arial" w:cs="Arial"/>
                <w:sz w:val="14"/>
                <w:szCs w:val="14"/>
              </w:rPr>
              <w:t>R2-2311391</w:t>
            </w:r>
          </w:p>
        </w:tc>
        <w:tc>
          <w:tcPr>
            <w:tcW w:w="994" w:type="dxa"/>
          </w:tcPr>
          <w:p w14:paraId="18791024" w14:textId="4607E5C6" w:rsidR="005A18DC" w:rsidRPr="005A18DC" w:rsidRDefault="005A18DC" w:rsidP="005A18DC">
            <w:pPr>
              <w:rPr>
                <w:rFonts w:ascii="Arial" w:hAnsi="Arial" w:cs="Arial"/>
                <w:sz w:val="14"/>
                <w:szCs w:val="14"/>
              </w:rPr>
            </w:pPr>
            <w:r w:rsidRPr="005A18DC">
              <w:rPr>
                <w:rFonts w:ascii="Arial" w:hAnsi="Arial" w:cs="Arial"/>
                <w:sz w:val="14"/>
                <w:szCs w:val="14"/>
              </w:rPr>
              <w:t>RAN2</w:t>
            </w:r>
          </w:p>
        </w:tc>
        <w:tc>
          <w:tcPr>
            <w:tcW w:w="994" w:type="dxa"/>
          </w:tcPr>
          <w:p w14:paraId="776CEAB9" w14:textId="3806A3F6" w:rsidR="005A18DC" w:rsidRPr="005A18DC" w:rsidRDefault="005A18DC" w:rsidP="005A18DC">
            <w:pPr>
              <w:rPr>
                <w:rFonts w:ascii="Arial" w:hAnsi="Arial" w:cs="Arial"/>
                <w:sz w:val="14"/>
                <w:szCs w:val="14"/>
              </w:rPr>
            </w:pPr>
            <w:r w:rsidRPr="005A18DC">
              <w:rPr>
                <w:rFonts w:ascii="Arial" w:hAnsi="Arial" w:cs="Arial"/>
                <w:sz w:val="14"/>
                <w:szCs w:val="14"/>
              </w:rPr>
              <w:t>RAN3, RAN4</w:t>
            </w:r>
          </w:p>
        </w:tc>
        <w:tc>
          <w:tcPr>
            <w:tcW w:w="1120" w:type="dxa"/>
          </w:tcPr>
          <w:p w14:paraId="2875BD82" w14:textId="71CCF5B2" w:rsidR="005A18DC" w:rsidRPr="005A18DC" w:rsidRDefault="005A18DC" w:rsidP="005A18DC">
            <w:pPr>
              <w:rPr>
                <w:rFonts w:ascii="Arial" w:hAnsi="Arial" w:cs="Arial"/>
                <w:sz w:val="14"/>
                <w:szCs w:val="14"/>
              </w:rPr>
            </w:pPr>
            <w:r w:rsidRPr="005A18DC">
              <w:rPr>
                <w:rFonts w:ascii="Arial" w:hAnsi="Arial" w:cs="Arial"/>
                <w:sz w:val="14"/>
                <w:szCs w:val="14"/>
              </w:rPr>
              <w:t> </w:t>
            </w:r>
          </w:p>
        </w:tc>
        <w:tc>
          <w:tcPr>
            <w:tcW w:w="1062" w:type="dxa"/>
          </w:tcPr>
          <w:p w14:paraId="47F3F945" w14:textId="5EFAABFE" w:rsidR="005A18DC" w:rsidRPr="005A18DC" w:rsidRDefault="005A18DC" w:rsidP="005A18DC">
            <w:pPr>
              <w:rPr>
                <w:rFonts w:ascii="Arial" w:hAnsi="Arial" w:cs="Arial"/>
                <w:sz w:val="14"/>
                <w:szCs w:val="14"/>
              </w:rPr>
            </w:pPr>
            <w:r w:rsidRPr="005A18DC">
              <w:rPr>
                <w:rFonts w:ascii="Arial" w:hAnsi="Arial" w:cs="Arial"/>
                <w:sz w:val="14"/>
                <w:szCs w:val="14"/>
              </w:rPr>
              <w:t> </w:t>
            </w:r>
          </w:p>
        </w:tc>
      </w:tr>
      <w:tr w:rsidR="005A18DC" w:rsidRPr="005A18DC" w14:paraId="2978F595" w14:textId="77777777" w:rsidTr="00B97F04">
        <w:trPr>
          <w:trHeight w:val="20"/>
          <w:jc w:val="center"/>
        </w:trPr>
        <w:tc>
          <w:tcPr>
            <w:tcW w:w="1094" w:type="dxa"/>
          </w:tcPr>
          <w:p w14:paraId="490E1C38" w14:textId="51A512B4" w:rsidR="005A18DC" w:rsidRPr="005A18DC" w:rsidRDefault="005A18DC" w:rsidP="005A18DC">
            <w:pPr>
              <w:rPr>
                <w:rFonts w:ascii="Arial" w:hAnsi="Arial" w:cs="Arial"/>
                <w:bCs/>
                <w:sz w:val="14"/>
                <w:szCs w:val="14"/>
              </w:rPr>
            </w:pPr>
            <w:hyperlink r:id="rId2746" w:history="1">
              <w:r w:rsidRPr="005A18DC">
                <w:rPr>
                  <w:rStyle w:val="Hyperlink"/>
                  <w:rFonts w:ascii="Arial" w:hAnsi="Arial" w:cs="Arial"/>
                  <w:b/>
                  <w:bCs/>
                  <w:sz w:val="14"/>
                  <w:szCs w:val="14"/>
                </w:rPr>
                <w:t>R1-2312443</w:t>
              </w:r>
            </w:hyperlink>
          </w:p>
        </w:tc>
        <w:tc>
          <w:tcPr>
            <w:tcW w:w="2646" w:type="dxa"/>
          </w:tcPr>
          <w:p w14:paraId="3D5D6D08" w14:textId="44CB5EA7" w:rsidR="005A18DC" w:rsidRPr="005A18DC" w:rsidRDefault="005A18DC" w:rsidP="005A18DC">
            <w:pPr>
              <w:rPr>
                <w:rFonts w:ascii="Arial" w:hAnsi="Arial" w:cs="Arial"/>
                <w:sz w:val="14"/>
                <w:szCs w:val="14"/>
              </w:rPr>
            </w:pPr>
            <w:r w:rsidRPr="005A18DC">
              <w:rPr>
                <w:rFonts w:ascii="Arial" w:hAnsi="Arial" w:cs="Arial"/>
                <w:sz w:val="14"/>
                <w:szCs w:val="14"/>
              </w:rPr>
              <w:t>Reply LS on L1 measurements in LTM</w:t>
            </w:r>
          </w:p>
        </w:tc>
        <w:tc>
          <w:tcPr>
            <w:tcW w:w="1583" w:type="dxa"/>
          </w:tcPr>
          <w:p w14:paraId="442C99D5" w14:textId="48FB0FA6" w:rsidR="005A18DC" w:rsidRPr="005A18DC" w:rsidRDefault="005A18DC" w:rsidP="005A18DC">
            <w:pPr>
              <w:rPr>
                <w:rFonts w:ascii="Arial" w:hAnsi="Arial" w:cs="Arial"/>
                <w:sz w:val="14"/>
                <w:szCs w:val="14"/>
              </w:rPr>
            </w:pPr>
            <w:r w:rsidRPr="005A18DC">
              <w:rPr>
                <w:rFonts w:ascii="Arial" w:hAnsi="Arial" w:cs="Arial"/>
                <w:sz w:val="14"/>
                <w:szCs w:val="14"/>
              </w:rPr>
              <w:t>RAN1, Ericsson</w:t>
            </w:r>
          </w:p>
        </w:tc>
        <w:tc>
          <w:tcPr>
            <w:tcW w:w="813" w:type="dxa"/>
          </w:tcPr>
          <w:p w14:paraId="7E16569E" w14:textId="62942B1E" w:rsidR="005A18DC" w:rsidRPr="005A18DC" w:rsidRDefault="005A18DC" w:rsidP="005A18DC">
            <w:pPr>
              <w:rPr>
                <w:rFonts w:ascii="Arial" w:hAnsi="Arial" w:cs="Arial"/>
                <w:bCs/>
                <w:sz w:val="14"/>
                <w:szCs w:val="14"/>
              </w:rPr>
            </w:pPr>
            <w:hyperlink r:id="rId2747" w:history="1">
              <w:r w:rsidRPr="005A18DC">
                <w:rPr>
                  <w:rStyle w:val="Hyperlink"/>
                  <w:rFonts w:ascii="Arial" w:hAnsi="Arial" w:cs="Arial"/>
                  <w:b/>
                  <w:bCs/>
                  <w:sz w:val="14"/>
                  <w:szCs w:val="14"/>
                </w:rPr>
                <w:t>Rel-18</w:t>
              </w:r>
            </w:hyperlink>
          </w:p>
        </w:tc>
        <w:tc>
          <w:tcPr>
            <w:tcW w:w="2696" w:type="dxa"/>
          </w:tcPr>
          <w:p w14:paraId="3A05EE39" w14:textId="6947199A" w:rsidR="005A18DC" w:rsidRPr="005A18DC" w:rsidRDefault="005A18DC" w:rsidP="005A18DC">
            <w:pPr>
              <w:rPr>
                <w:rFonts w:ascii="Arial" w:hAnsi="Arial" w:cs="Arial"/>
                <w:bCs/>
                <w:sz w:val="14"/>
                <w:szCs w:val="14"/>
              </w:rPr>
            </w:pPr>
            <w:hyperlink r:id="rId2748" w:history="1">
              <w:r w:rsidRPr="005A18DC">
                <w:rPr>
                  <w:rStyle w:val="Hyperlink"/>
                  <w:rFonts w:ascii="Arial" w:hAnsi="Arial" w:cs="Arial"/>
                  <w:b/>
                  <w:bCs/>
                  <w:sz w:val="14"/>
                  <w:szCs w:val="14"/>
                </w:rPr>
                <w:t>NR_Mob_enh2-Core</w:t>
              </w:r>
            </w:hyperlink>
          </w:p>
        </w:tc>
        <w:tc>
          <w:tcPr>
            <w:tcW w:w="1065" w:type="dxa"/>
          </w:tcPr>
          <w:p w14:paraId="1090E03E" w14:textId="67AE24E0" w:rsidR="005A18DC" w:rsidRPr="005A18DC" w:rsidRDefault="005A18DC" w:rsidP="005A18DC">
            <w:pPr>
              <w:rPr>
                <w:rFonts w:ascii="Arial" w:hAnsi="Arial" w:cs="Arial"/>
                <w:sz w:val="14"/>
                <w:szCs w:val="14"/>
              </w:rPr>
            </w:pPr>
            <w:r w:rsidRPr="005A18DC">
              <w:rPr>
                <w:rFonts w:ascii="Arial" w:hAnsi="Arial" w:cs="Arial"/>
                <w:sz w:val="14"/>
                <w:szCs w:val="14"/>
              </w:rPr>
              <w:t>R2-2311333</w:t>
            </w:r>
          </w:p>
        </w:tc>
        <w:tc>
          <w:tcPr>
            <w:tcW w:w="994" w:type="dxa"/>
          </w:tcPr>
          <w:p w14:paraId="20F774B4" w14:textId="1EC98FDA" w:rsidR="005A18DC" w:rsidRPr="005A18DC" w:rsidRDefault="005A18DC" w:rsidP="005A18DC">
            <w:pPr>
              <w:rPr>
                <w:rFonts w:ascii="Arial" w:hAnsi="Arial" w:cs="Arial"/>
                <w:sz w:val="14"/>
                <w:szCs w:val="14"/>
              </w:rPr>
            </w:pPr>
            <w:r w:rsidRPr="005A18DC">
              <w:rPr>
                <w:rFonts w:ascii="Arial" w:hAnsi="Arial" w:cs="Arial"/>
                <w:sz w:val="14"/>
                <w:szCs w:val="14"/>
              </w:rPr>
              <w:t>RAN2</w:t>
            </w:r>
          </w:p>
        </w:tc>
        <w:tc>
          <w:tcPr>
            <w:tcW w:w="994" w:type="dxa"/>
          </w:tcPr>
          <w:p w14:paraId="5044F07C" w14:textId="35A055F1" w:rsidR="005A18DC" w:rsidRPr="005A18DC" w:rsidRDefault="005A18DC" w:rsidP="005A18DC">
            <w:pPr>
              <w:rPr>
                <w:rFonts w:ascii="Arial" w:hAnsi="Arial" w:cs="Arial"/>
                <w:sz w:val="14"/>
                <w:szCs w:val="14"/>
              </w:rPr>
            </w:pPr>
            <w:r w:rsidRPr="005A18DC">
              <w:rPr>
                <w:rFonts w:ascii="Arial" w:hAnsi="Arial" w:cs="Arial"/>
                <w:sz w:val="14"/>
                <w:szCs w:val="14"/>
              </w:rPr>
              <w:t>RAN4</w:t>
            </w:r>
          </w:p>
        </w:tc>
        <w:tc>
          <w:tcPr>
            <w:tcW w:w="1120" w:type="dxa"/>
          </w:tcPr>
          <w:p w14:paraId="7FCAAFBE" w14:textId="630DDDC8" w:rsidR="005A18DC" w:rsidRPr="005A18DC" w:rsidRDefault="005A18DC" w:rsidP="005A18DC">
            <w:pPr>
              <w:rPr>
                <w:rFonts w:ascii="Arial" w:hAnsi="Arial" w:cs="Arial"/>
                <w:sz w:val="14"/>
                <w:szCs w:val="14"/>
              </w:rPr>
            </w:pPr>
            <w:r w:rsidRPr="005A18DC">
              <w:rPr>
                <w:rFonts w:ascii="Arial" w:hAnsi="Arial" w:cs="Arial"/>
                <w:sz w:val="14"/>
                <w:szCs w:val="14"/>
              </w:rPr>
              <w:t> </w:t>
            </w:r>
          </w:p>
        </w:tc>
        <w:tc>
          <w:tcPr>
            <w:tcW w:w="1062" w:type="dxa"/>
          </w:tcPr>
          <w:p w14:paraId="1DC4FF0A" w14:textId="26023CB1" w:rsidR="005A18DC" w:rsidRPr="005A18DC" w:rsidRDefault="005A18DC" w:rsidP="005A18DC">
            <w:pPr>
              <w:rPr>
                <w:rFonts w:ascii="Arial" w:hAnsi="Arial" w:cs="Arial"/>
                <w:sz w:val="14"/>
                <w:szCs w:val="14"/>
              </w:rPr>
            </w:pPr>
            <w:r w:rsidRPr="005A18DC">
              <w:rPr>
                <w:rFonts w:ascii="Arial" w:hAnsi="Arial" w:cs="Arial"/>
                <w:sz w:val="14"/>
                <w:szCs w:val="14"/>
              </w:rPr>
              <w:t> </w:t>
            </w:r>
          </w:p>
        </w:tc>
      </w:tr>
      <w:tr w:rsidR="005A18DC" w:rsidRPr="005A18DC" w14:paraId="5C3B0876" w14:textId="77777777" w:rsidTr="00B97F04">
        <w:trPr>
          <w:trHeight w:val="20"/>
          <w:jc w:val="center"/>
        </w:trPr>
        <w:tc>
          <w:tcPr>
            <w:tcW w:w="1094" w:type="dxa"/>
          </w:tcPr>
          <w:p w14:paraId="20720B87" w14:textId="3EDF0F85" w:rsidR="005A18DC" w:rsidRPr="005A18DC" w:rsidRDefault="005A18DC" w:rsidP="005A18DC">
            <w:pPr>
              <w:rPr>
                <w:rFonts w:ascii="Arial" w:hAnsi="Arial" w:cs="Arial"/>
                <w:sz w:val="14"/>
                <w:szCs w:val="14"/>
              </w:rPr>
            </w:pPr>
            <w:hyperlink r:id="rId2749" w:history="1">
              <w:r w:rsidRPr="005A18DC">
                <w:rPr>
                  <w:rStyle w:val="Hyperlink"/>
                  <w:rFonts w:ascii="Arial" w:hAnsi="Arial" w:cs="Arial"/>
                  <w:b/>
                  <w:bCs/>
                  <w:sz w:val="14"/>
                  <w:szCs w:val="14"/>
                </w:rPr>
                <w:t>R1-2312456</w:t>
              </w:r>
            </w:hyperlink>
          </w:p>
        </w:tc>
        <w:tc>
          <w:tcPr>
            <w:tcW w:w="2646" w:type="dxa"/>
          </w:tcPr>
          <w:p w14:paraId="52310EF0" w14:textId="0E632428" w:rsidR="005A18DC" w:rsidRPr="005A18DC" w:rsidRDefault="005A18DC" w:rsidP="005A18DC">
            <w:pPr>
              <w:rPr>
                <w:rFonts w:ascii="Arial" w:hAnsi="Arial" w:cs="Arial"/>
                <w:sz w:val="14"/>
                <w:szCs w:val="14"/>
              </w:rPr>
            </w:pPr>
            <w:r w:rsidRPr="005A18DC">
              <w:rPr>
                <w:rFonts w:ascii="Arial" w:hAnsi="Arial" w:cs="Arial"/>
                <w:sz w:val="14"/>
                <w:szCs w:val="14"/>
              </w:rPr>
              <w:t>LS to RAN2 on introduction of simultaneous PUCCH and PUSCH transmission with same priority</w:t>
            </w:r>
          </w:p>
        </w:tc>
        <w:tc>
          <w:tcPr>
            <w:tcW w:w="1583" w:type="dxa"/>
          </w:tcPr>
          <w:p w14:paraId="3F16DF4F" w14:textId="0C6EC6E9" w:rsidR="005A18DC" w:rsidRPr="005A18DC" w:rsidRDefault="005A18DC" w:rsidP="005A18DC">
            <w:pPr>
              <w:rPr>
                <w:rFonts w:ascii="Arial" w:hAnsi="Arial" w:cs="Arial"/>
                <w:sz w:val="14"/>
                <w:szCs w:val="14"/>
              </w:rPr>
            </w:pPr>
            <w:r w:rsidRPr="005A18DC">
              <w:rPr>
                <w:rFonts w:ascii="Arial" w:hAnsi="Arial" w:cs="Arial"/>
                <w:sz w:val="14"/>
                <w:szCs w:val="14"/>
              </w:rPr>
              <w:t>RAN1, Samsung</w:t>
            </w:r>
          </w:p>
        </w:tc>
        <w:tc>
          <w:tcPr>
            <w:tcW w:w="813" w:type="dxa"/>
          </w:tcPr>
          <w:p w14:paraId="6B81B688" w14:textId="10D18ADA" w:rsidR="005A18DC" w:rsidRPr="005A18DC" w:rsidRDefault="005A18DC" w:rsidP="005A18DC">
            <w:pPr>
              <w:rPr>
                <w:rFonts w:ascii="Arial" w:hAnsi="Arial" w:cs="Arial"/>
                <w:bCs/>
                <w:sz w:val="14"/>
                <w:szCs w:val="14"/>
              </w:rPr>
            </w:pPr>
            <w:hyperlink r:id="rId2750" w:history="1">
              <w:r w:rsidRPr="005A18DC">
                <w:rPr>
                  <w:rStyle w:val="Hyperlink"/>
                  <w:rFonts w:ascii="Arial" w:hAnsi="Arial" w:cs="Arial"/>
                  <w:b/>
                  <w:bCs/>
                  <w:sz w:val="14"/>
                  <w:szCs w:val="14"/>
                </w:rPr>
                <w:t>Rel-17</w:t>
              </w:r>
            </w:hyperlink>
          </w:p>
        </w:tc>
        <w:tc>
          <w:tcPr>
            <w:tcW w:w="2696" w:type="dxa"/>
          </w:tcPr>
          <w:p w14:paraId="6A4481A1" w14:textId="51C87522" w:rsidR="005A18DC" w:rsidRPr="005A18DC" w:rsidRDefault="005A18DC" w:rsidP="005A18DC">
            <w:pPr>
              <w:rPr>
                <w:rFonts w:ascii="Arial" w:hAnsi="Arial" w:cs="Arial"/>
                <w:sz w:val="14"/>
                <w:szCs w:val="14"/>
              </w:rPr>
            </w:pPr>
            <w:r w:rsidRPr="005A18DC">
              <w:rPr>
                <w:rFonts w:ascii="Arial" w:hAnsi="Arial" w:cs="Arial"/>
                <w:color w:val="000000"/>
                <w:sz w:val="14"/>
                <w:szCs w:val="14"/>
              </w:rPr>
              <w:t>TEI17, NR_newRAT-Core</w:t>
            </w:r>
          </w:p>
        </w:tc>
        <w:tc>
          <w:tcPr>
            <w:tcW w:w="1065" w:type="dxa"/>
          </w:tcPr>
          <w:p w14:paraId="612DF200" w14:textId="12426C13" w:rsidR="005A18DC" w:rsidRPr="005A18DC" w:rsidRDefault="005A18DC" w:rsidP="005A18DC">
            <w:pPr>
              <w:rPr>
                <w:rFonts w:ascii="Arial" w:hAnsi="Arial" w:cs="Arial"/>
                <w:sz w:val="14"/>
                <w:szCs w:val="14"/>
              </w:rPr>
            </w:pPr>
            <w:r w:rsidRPr="005A18DC">
              <w:rPr>
                <w:rFonts w:ascii="Arial" w:hAnsi="Arial" w:cs="Arial"/>
                <w:sz w:val="14"/>
                <w:szCs w:val="14"/>
              </w:rPr>
              <w:t> </w:t>
            </w:r>
          </w:p>
        </w:tc>
        <w:tc>
          <w:tcPr>
            <w:tcW w:w="994" w:type="dxa"/>
          </w:tcPr>
          <w:p w14:paraId="3AA9D526" w14:textId="1938DCC3" w:rsidR="005A18DC" w:rsidRPr="005A18DC" w:rsidRDefault="005A18DC" w:rsidP="005A18DC">
            <w:pPr>
              <w:rPr>
                <w:rFonts w:ascii="Arial" w:hAnsi="Arial" w:cs="Arial"/>
                <w:sz w:val="14"/>
                <w:szCs w:val="14"/>
              </w:rPr>
            </w:pPr>
            <w:r w:rsidRPr="005A18DC">
              <w:rPr>
                <w:rFonts w:ascii="Arial" w:hAnsi="Arial" w:cs="Arial"/>
                <w:sz w:val="14"/>
                <w:szCs w:val="14"/>
              </w:rPr>
              <w:t>RAN2</w:t>
            </w:r>
          </w:p>
        </w:tc>
        <w:tc>
          <w:tcPr>
            <w:tcW w:w="994" w:type="dxa"/>
          </w:tcPr>
          <w:p w14:paraId="2062E2E8" w14:textId="3579DFBC" w:rsidR="005A18DC" w:rsidRPr="005A18DC" w:rsidRDefault="005A18DC" w:rsidP="005A18DC">
            <w:pPr>
              <w:rPr>
                <w:rFonts w:ascii="Arial" w:hAnsi="Arial" w:cs="Arial"/>
                <w:sz w:val="14"/>
                <w:szCs w:val="14"/>
              </w:rPr>
            </w:pPr>
            <w:r w:rsidRPr="005A18DC">
              <w:rPr>
                <w:rFonts w:ascii="Arial" w:hAnsi="Arial" w:cs="Arial"/>
                <w:sz w:val="14"/>
                <w:szCs w:val="14"/>
              </w:rPr>
              <w:t> </w:t>
            </w:r>
          </w:p>
        </w:tc>
        <w:tc>
          <w:tcPr>
            <w:tcW w:w="1120" w:type="dxa"/>
          </w:tcPr>
          <w:p w14:paraId="0CA7986E" w14:textId="1F89004C" w:rsidR="005A18DC" w:rsidRPr="005A18DC" w:rsidRDefault="005A18DC" w:rsidP="005A18DC">
            <w:pPr>
              <w:rPr>
                <w:rFonts w:ascii="Arial" w:hAnsi="Arial" w:cs="Arial"/>
                <w:sz w:val="14"/>
                <w:szCs w:val="14"/>
              </w:rPr>
            </w:pPr>
            <w:r w:rsidRPr="005A18DC">
              <w:rPr>
                <w:rFonts w:ascii="Arial" w:hAnsi="Arial" w:cs="Arial"/>
                <w:sz w:val="14"/>
                <w:szCs w:val="14"/>
              </w:rPr>
              <w:t> </w:t>
            </w:r>
          </w:p>
        </w:tc>
        <w:tc>
          <w:tcPr>
            <w:tcW w:w="1062" w:type="dxa"/>
          </w:tcPr>
          <w:p w14:paraId="148F65A4" w14:textId="65DD24A5" w:rsidR="005A18DC" w:rsidRPr="005A18DC" w:rsidRDefault="005A18DC" w:rsidP="005A18DC">
            <w:pPr>
              <w:rPr>
                <w:rFonts w:ascii="Arial" w:hAnsi="Arial" w:cs="Arial"/>
                <w:sz w:val="14"/>
                <w:szCs w:val="14"/>
              </w:rPr>
            </w:pPr>
            <w:r w:rsidRPr="005A18DC">
              <w:rPr>
                <w:rFonts w:ascii="Arial" w:hAnsi="Arial" w:cs="Arial"/>
                <w:sz w:val="14"/>
                <w:szCs w:val="14"/>
              </w:rPr>
              <w:t> </w:t>
            </w:r>
          </w:p>
        </w:tc>
      </w:tr>
      <w:tr w:rsidR="005A18DC" w:rsidRPr="005A18DC" w14:paraId="4F459485" w14:textId="77777777" w:rsidTr="00B97F04">
        <w:trPr>
          <w:trHeight w:val="20"/>
          <w:jc w:val="center"/>
        </w:trPr>
        <w:tc>
          <w:tcPr>
            <w:tcW w:w="1094" w:type="dxa"/>
          </w:tcPr>
          <w:p w14:paraId="5FC0866F" w14:textId="6FD3C141" w:rsidR="005A18DC" w:rsidRPr="005A18DC" w:rsidRDefault="005A18DC" w:rsidP="005A18DC">
            <w:pPr>
              <w:rPr>
                <w:rFonts w:ascii="Arial" w:hAnsi="Arial" w:cs="Arial"/>
                <w:bCs/>
                <w:sz w:val="14"/>
                <w:szCs w:val="14"/>
              </w:rPr>
            </w:pPr>
            <w:hyperlink r:id="rId2751" w:history="1">
              <w:r w:rsidRPr="005A18DC">
                <w:rPr>
                  <w:rStyle w:val="Hyperlink"/>
                  <w:rFonts w:ascii="Arial" w:hAnsi="Arial" w:cs="Arial"/>
                  <w:b/>
                  <w:bCs/>
                  <w:sz w:val="14"/>
                  <w:szCs w:val="14"/>
                </w:rPr>
                <w:t>R1-2312458</w:t>
              </w:r>
            </w:hyperlink>
          </w:p>
        </w:tc>
        <w:tc>
          <w:tcPr>
            <w:tcW w:w="2646" w:type="dxa"/>
          </w:tcPr>
          <w:p w14:paraId="77F23BEB" w14:textId="29A9C95C" w:rsidR="005A18DC" w:rsidRPr="005A18DC" w:rsidRDefault="005A18DC" w:rsidP="005A18DC">
            <w:pPr>
              <w:rPr>
                <w:rFonts w:ascii="Arial" w:hAnsi="Arial" w:cs="Arial"/>
                <w:sz w:val="14"/>
                <w:szCs w:val="14"/>
              </w:rPr>
            </w:pPr>
            <w:r w:rsidRPr="005A18DC">
              <w:rPr>
                <w:rFonts w:ascii="Arial" w:hAnsi="Arial" w:cs="Arial"/>
                <w:sz w:val="14"/>
                <w:szCs w:val="14"/>
              </w:rPr>
              <w:t>LS on Introduction of NR support for dedicated spectrum less than 5MHz for FR1 to TS 38.300</w:t>
            </w:r>
          </w:p>
        </w:tc>
        <w:tc>
          <w:tcPr>
            <w:tcW w:w="1583" w:type="dxa"/>
          </w:tcPr>
          <w:p w14:paraId="22F1A048" w14:textId="719E93E1" w:rsidR="005A18DC" w:rsidRPr="005A18DC" w:rsidRDefault="005A18DC" w:rsidP="005A18DC">
            <w:pPr>
              <w:rPr>
                <w:rFonts w:ascii="Arial" w:hAnsi="Arial" w:cs="Arial"/>
                <w:sz w:val="14"/>
                <w:szCs w:val="14"/>
              </w:rPr>
            </w:pPr>
            <w:r w:rsidRPr="005A18DC">
              <w:rPr>
                <w:rFonts w:ascii="Arial" w:hAnsi="Arial" w:cs="Arial"/>
                <w:sz w:val="14"/>
                <w:szCs w:val="14"/>
              </w:rPr>
              <w:t>RAN1, Nokia</w:t>
            </w:r>
          </w:p>
        </w:tc>
        <w:tc>
          <w:tcPr>
            <w:tcW w:w="813" w:type="dxa"/>
          </w:tcPr>
          <w:p w14:paraId="2A9EB204" w14:textId="6B9C0730" w:rsidR="005A18DC" w:rsidRPr="005A18DC" w:rsidRDefault="005A18DC" w:rsidP="005A18DC">
            <w:pPr>
              <w:rPr>
                <w:rFonts w:ascii="Arial" w:hAnsi="Arial" w:cs="Arial"/>
                <w:bCs/>
                <w:sz w:val="14"/>
                <w:szCs w:val="14"/>
              </w:rPr>
            </w:pPr>
            <w:hyperlink r:id="rId2752" w:history="1">
              <w:r w:rsidRPr="005A18DC">
                <w:rPr>
                  <w:rStyle w:val="Hyperlink"/>
                  <w:rFonts w:ascii="Arial" w:hAnsi="Arial" w:cs="Arial"/>
                  <w:b/>
                  <w:bCs/>
                  <w:sz w:val="14"/>
                  <w:szCs w:val="14"/>
                </w:rPr>
                <w:t>Rel-18</w:t>
              </w:r>
            </w:hyperlink>
          </w:p>
        </w:tc>
        <w:tc>
          <w:tcPr>
            <w:tcW w:w="2696" w:type="dxa"/>
          </w:tcPr>
          <w:p w14:paraId="251FFE59" w14:textId="5BCC9E5E" w:rsidR="005A18DC" w:rsidRPr="005A18DC" w:rsidRDefault="005A18DC" w:rsidP="005A18DC">
            <w:pPr>
              <w:rPr>
                <w:rFonts w:ascii="Arial" w:hAnsi="Arial" w:cs="Arial"/>
                <w:bCs/>
                <w:sz w:val="14"/>
                <w:szCs w:val="14"/>
              </w:rPr>
            </w:pPr>
            <w:hyperlink r:id="rId2753" w:history="1">
              <w:r w:rsidRPr="005A18DC">
                <w:rPr>
                  <w:rStyle w:val="Hyperlink"/>
                  <w:rFonts w:ascii="Arial" w:hAnsi="Arial" w:cs="Arial"/>
                  <w:b/>
                  <w:bCs/>
                  <w:sz w:val="14"/>
                  <w:szCs w:val="14"/>
                </w:rPr>
                <w:t>NR_FR1_lessthan_5MHz_BW-Core</w:t>
              </w:r>
            </w:hyperlink>
          </w:p>
        </w:tc>
        <w:tc>
          <w:tcPr>
            <w:tcW w:w="1065" w:type="dxa"/>
          </w:tcPr>
          <w:p w14:paraId="576D6D54" w14:textId="53E46592" w:rsidR="005A18DC" w:rsidRPr="005A18DC" w:rsidRDefault="005A18DC" w:rsidP="005A18DC">
            <w:pPr>
              <w:rPr>
                <w:rFonts w:ascii="Arial" w:hAnsi="Arial" w:cs="Arial"/>
                <w:sz w:val="14"/>
                <w:szCs w:val="14"/>
              </w:rPr>
            </w:pPr>
            <w:r w:rsidRPr="005A18DC">
              <w:rPr>
                <w:rFonts w:ascii="Arial" w:hAnsi="Arial" w:cs="Arial"/>
                <w:sz w:val="14"/>
                <w:szCs w:val="14"/>
              </w:rPr>
              <w:t> </w:t>
            </w:r>
          </w:p>
        </w:tc>
        <w:tc>
          <w:tcPr>
            <w:tcW w:w="994" w:type="dxa"/>
          </w:tcPr>
          <w:p w14:paraId="1C0816EB" w14:textId="7C1981AE" w:rsidR="005A18DC" w:rsidRPr="005A18DC" w:rsidRDefault="005A18DC" w:rsidP="005A18DC">
            <w:pPr>
              <w:rPr>
                <w:rFonts w:ascii="Arial" w:hAnsi="Arial" w:cs="Arial"/>
                <w:sz w:val="14"/>
                <w:szCs w:val="14"/>
              </w:rPr>
            </w:pPr>
            <w:r w:rsidRPr="005A18DC">
              <w:rPr>
                <w:rFonts w:ascii="Arial" w:hAnsi="Arial" w:cs="Arial"/>
                <w:sz w:val="14"/>
                <w:szCs w:val="14"/>
              </w:rPr>
              <w:t>RAN2</w:t>
            </w:r>
          </w:p>
        </w:tc>
        <w:tc>
          <w:tcPr>
            <w:tcW w:w="994" w:type="dxa"/>
          </w:tcPr>
          <w:p w14:paraId="7D640252" w14:textId="7990E2C6" w:rsidR="005A18DC" w:rsidRPr="005A18DC" w:rsidRDefault="005A18DC" w:rsidP="005A18DC">
            <w:pPr>
              <w:rPr>
                <w:rFonts w:ascii="Arial" w:hAnsi="Arial" w:cs="Arial"/>
                <w:sz w:val="14"/>
                <w:szCs w:val="14"/>
              </w:rPr>
            </w:pPr>
            <w:r w:rsidRPr="005A18DC">
              <w:rPr>
                <w:rFonts w:ascii="Arial" w:hAnsi="Arial" w:cs="Arial"/>
                <w:sz w:val="14"/>
                <w:szCs w:val="14"/>
              </w:rPr>
              <w:t> </w:t>
            </w:r>
          </w:p>
        </w:tc>
        <w:tc>
          <w:tcPr>
            <w:tcW w:w="1120" w:type="dxa"/>
          </w:tcPr>
          <w:p w14:paraId="00B9F28A" w14:textId="4658BBCB" w:rsidR="005A18DC" w:rsidRPr="005A18DC" w:rsidRDefault="005A18DC" w:rsidP="005A18DC">
            <w:pPr>
              <w:rPr>
                <w:rFonts w:ascii="Arial" w:hAnsi="Arial" w:cs="Arial"/>
                <w:sz w:val="14"/>
                <w:szCs w:val="14"/>
              </w:rPr>
            </w:pPr>
            <w:r w:rsidRPr="005A18DC">
              <w:rPr>
                <w:rFonts w:ascii="Arial" w:hAnsi="Arial" w:cs="Arial"/>
                <w:sz w:val="14"/>
                <w:szCs w:val="14"/>
              </w:rPr>
              <w:t> </w:t>
            </w:r>
          </w:p>
        </w:tc>
        <w:tc>
          <w:tcPr>
            <w:tcW w:w="1062" w:type="dxa"/>
          </w:tcPr>
          <w:p w14:paraId="789A373A" w14:textId="552929F2" w:rsidR="005A18DC" w:rsidRPr="005A18DC" w:rsidRDefault="005A18DC" w:rsidP="005A18DC">
            <w:pPr>
              <w:rPr>
                <w:rFonts w:ascii="Arial" w:hAnsi="Arial" w:cs="Arial"/>
                <w:sz w:val="14"/>
                <w:szCs w:val="14"/>
              </w:rPr>
            </w:pPr>
            <w:r w:rsidRPr="005A18DC">
              <w:rPr>
                <w:rFonts w:ascii="Arial" w:hAnsi="Arial" w:cs="Arial"/>
                <w:sz w:val="14"/>
                <w:szCs w:val="14"/>
              </w:rPr>
              <w:t> </w:t>
            </w:r>
          </w:p>
        </w:tc>
      </w:tr>
      <w:tr w:rsidR="005A18DC" w:rsidRPr="005A18DC" w14:paraId="0C10750C" w14:textId="77777777" w:rsidTr="00B97F04">
        <w:trPr>
          <w:trHeight w:val="20"/>
          <w:jc w:val="center"/>
        </w:trPr>
        <w:tc>
          <w:tcPr>
            <w:tcW w:w="1094" w:type="dxa"/>
          </w:tcPr>
          <w:p w14:paraId="3B5F9FA3" w14:textId="273B0288" w:rsidR="005A18DC" w:rsidRPr="005A18DC" w:rsidRDefault="005A18DC" w:rsidP="005A18DC">
            <w:pPr>
              <w:rPr>
                <w:rFonts w:ascii="Arial" w:hAnsi="Arial" w:cs="Arial"/>
                <w:bCs/>
                <w:sz w:val="14"/>
                <w:szCs w:val="14"/>
              </w:rPr>
            </w:pPr>
            <w:hyperlink r:id="rId2754" w:history="1">
              <w:r w:rsidRPr="005A18DC">
                <w:rPr>
                  <w:rStyle w:val="Hyperlink"/>
                  <w:rFonts w:ascii="Arial" w:hAnsi="Arial" w:cs="Arial"/>
                  <w:b/>
                  <w:bCs/>
                  <w:sz w:val="14"/>
                  <w:szCs w:val="14"/>
                </w:rPr>
                <w:t>R1-2312520</w:t>
              </w:r>
            </w:hyperlink>
          </w:p>
        </w:tc>
        <w:tc>
          <w:tcPr>
            <w:tcW w:w="2646" w:type="dxa"/>
          </w:tcPr>
          <w:p w14:paraId="5E7C0A94" w14:textId="1DDCD82D" w:rsidR="005A18DC" w:rsidRPr="005A18DC" w:rsidRDefault="005A18DC" w:rsidP="005A18DC">
            <w:pPr>
              <w:rPr>
                <w:rFonts w:ascii="Arial" w:hAnsi="Arial" w:cs="Arial"/>
                <w:sz w:val="14"/>
                <w:szCs w:val="14"/>
              </w:rPr>
            </w:pPr>
            <w:r w:rsidRPr="005A18DC">
              <w:rPr>
                <w:rFonts w:ascii="Arial" w:hAnsi="Arial" w:cs="Arial"/>
                <w:sz w:val="14"/>
                <w:szCs w:val="14"/>
              </w:rPr>
              <w:t>LS on PBCH payload of NCD-SSB</w:t>
            </w:r>
          </w:p>
        </w:tc>
        <w:tc>
          <w:tcPr>
            <w:tcW w:w="1583" w:type="dxa"/>
          </w:tcPr>
          <w:p w14:paraId="57AEABDA" w14:textId="3C5DF5BD" w:rsidR="005A18DC" w:rsidRPr="005A18DC" w:rsidRDefault="005A18DC" w:rsidP="005A18DC">
            <w:pPr>
              <w:rPr>
                <w:rFonts w:ascii="Arial" w:hAnsi="Arial" w:cs="Arial"/>
                <w:sz w:val="14"/>
                <w:szCs w:val="14"/>
              </w:rPr>
            </w:pPr>
            <w:r w:rsidRPr="005A18DC">
              <w:rPr>
                <w:rFonts w:ascii="Arial" w:hAnsi="Arial" w:cs="Arial"/>
                <w:sz w:val="14"/>
                <w:szCs w:val="14"/>
              </w:rPr>
              <w:t>RAN1, Ericsson</w:t>
            </w:r>
          </w:p>
        </w:tc>
        <w:tc>
          <w:tcPr>
            <w:tcW w:w="813" w:type="dxa"/>
          </w:tcPr>
          <w:p w14:paraId="6303AD19" w14:textId="7BA920C2" w:rsidR="005A18DC" w:rsidRPr="005A18DC" w:rsidRDefault="005A18DC" w:rsidP="005A18DC">
            <w:pPr>
              <w:rPr>
                <w:rFonts w:ascii="Arial" w:hAnsi="Arial" w:cs="Arial"/>
                <w:bCs/>
                <w:sz w:val="14"/>
                <w:szCs w:val="14"/>
              </w:rPr>
            </w:pPr>
            <w:hyperlink r:id="rId2755" w:history="1">
              <w:r w:rsidRPr="005A18DC">
                <w:rPr>
                  <w:rStyle w:val="Hyperlink"/>
                  <w:rFonts w:ascii="Arial" w:hAnsi="Arial" w:cs="Arial"/>
                  <w:b/>
                  <w:bCs/>
                  <w:sz w:val="14"/>
                  <w:szCs w:val="14"/>
                </w:rPr>
                <w:t>Rel-17</w:t>
              </w:r>
            </w:hyperlink>
          </w:p>
        </w:tc>
        <w:tc>
          <w:tcPr>
            <w:tcW w:w="2696" w:type="dxa"/>
          </w:tcPr>
          <w:p w14:paraId="1F148F4C" w14:textId="225AAF29" w:rsidR="005A18DC" w:rsidRPr="005A18DC" w:rsidRDefault="005A18DC" w:rsidP="005A18DC">
            <w:pPr>
              <w:rPr>
                <w:rFonts w:ascii="Arial" w:hAnsi="Arial" w:cs="Arial"/>
                <w:bCs/>
                <w:sz w:val="14"/>
                <w:szCs w:val="14"/>
              </w:rPr>
            </w:pPr>
            <w:hyperlink r:id="rId2756" w:history="1">
              <w:r w:rsidRPr="005A18DC">
                <w:rPr>
                  <w:rStyle w:val="Hyperlink"/>
                  <w:rFonts w:ascii="Arial" w:hAnsi="Arial" w:cs="Arial"/>
                  <w:b/>
                  <w:bCs/>
                  <w:sz w:val="14"/>
                  <w:szCs w:val="14"/>
                </w:rPr>
                <w:t>NR_redcap-Core</w:t>
              </w:r>
            </w:hyperlink>
          </w:p>
        </w:tc>
        <w:tc>
          <w:tcPr>
            <w:tcW w:w="1065" w:type="dxa"/>
          </w:tcPr>
          <w:p w14:paraId="72CA09B5" w14:textId="0BFE74F7" w:rsidR="005A18DC" w:rsidRPr="005A18DC" w:rsidRDefault="005A18DC" w:rsidP="005A18DC">
            <w:pPr>
              <w:rPr>
                <w:rFonts w:ascii="Arial" w:hAnsi="Arial" w:cs="Arial"/>
                <w:sz w:val="14"/>
                <w:szCs w:val="14"/>
              </w:rPr>
            </w:pPr>
            <w:r w:rsidRPr="005A18DC">
              <w:rPr>
                <w:rFonts w:ascii="Arial" w:hAnsi="Arial" w:cs="Arial"/>
                <w:sz w:val="14"/>
                <w:szCs w:val="14"/>
              </w:rPr>
              <w:t> </w:t>
            </w:r>
          </w:p>
        </w:tc>
        <w:tc>
          <w:tcPr>
            <w:tcW w:w="994" w:type="dxa"/>
          </w:tcPr>
          <w:p w14:paraId="4BE3604F" w14:textId="3BD9DCA1" w:rsidR="005A18DC" w:rsidRPr="005A18DC" w:rsidRDefault="005A18DC" w:rsidP="005A18DC">
            <w:pPr>
              <w:rPr>
                <w:rFonts w:ascii="Arial" w:hAnsi="Arial" w:cs="Arial"/>
                <w:sz w:val="14"/>
                <w:szCs w:val="14"/>
              </w:rPr>
            </w:pPr>
            <w:r w:rsidRPr="005A18DC">
              <w:rPr>
                <w:rFonts w:ascii="Arial" w:hAnsi="Arial" w:cs="Arial"/>
                <w:sz w:val="14"/>
                <w:szCs w:val="14"/>
              </w:rPr>
              <w:t>RAN2</w:t>
            </w:r>
          </w:p>
        </w:tc>
        <w:tc>
          <w:tcPr>
            <w:tcW w:w="994" w:type="dxa"/>
          </w:tcPr>
          <w:p w14:paraId="6CF2A4C4" w14:textId="2FF1EF78" w:rsidR="005A18DC" w:rsidRPr="005A18DC" w:rsidRDefault="005A18DC" w:rsidP="005A18DC">
            <w:pPr>
              <w:rPr>
                <w:rFonts w:ascii="Arial" w:hAnsi="Arial" w:cs="Arial"/>
                <w:sz w:val="14"/>
                <w:szCs w:val="14"/>
              </w:rPr>
            </w:pPr>
            <w:r w:rsidRPr="005A18DC">
              <w:rPr>
                <w:rFonts w:ascii="Arial" w:hAnsi="Arial" w:cs="Arial"/>
                <w:sz w:val="14"/>
                <w:szCs w:val="14"/>
              </w:rPr>
              <w:t> </w:t>
            </w:r>
          </w:p>
        </w:tc>
        <w:tc>
          <w:tcPr>
            <w:tcW w:w="1120" w:type="dxa"/>
          </w:tcPr>
          <w:p w14:paraId="33A7ECE3" w14:textId="6F7CA668" w:rsidR="005A18DC" w:rsidRPr="005A18DC" w:rsidRDefault="005A18DC" w:rsidP="005A18DC">
            <w:pPr>
              <w:rPr>
                <w:rFonts w:ascii="Arial" w:hAnsi="Arial" w:cs="Arial"/>
                <w:sz w:val="14"/>
                <w:szCs w:val="14"/>
              </w:rPr>
            </w:pPr>
            <w:r w:rsidRPr="005A18DC">
              <w:rPr>
                <w:rFonts w:ascii="Arial" w:hAnsi="Arial" w:cs="Arial"/>
                <w:sz w:val="14"/>
                <w:szCs w:val="14"/>
              </w:rPr>
              <w:t> </w:t>
            </w:r>
          </w:p>
        </w:tc>
        <w:tc>
          <w:tcPr>
            <w:tcW w:w="1062" w:type="dxa"/>
          </w:tcPr>
          <w:p w14:paraId="4C3799B4" w14:textId="1C08DF7E" w:rsidR="005A18DC" w:rsidRPr="005A18DC" w:rsidRDefault="005A18DC" w:rsidP="005A18DC">
            <w:pPr>
              <w:rPr>
                <w:rFonts w:ascii="Arial" w:hAnsi="Arial" w:cs="Arial"/>
                <w:sz w:val="14"/>
                <w:szCs w:val="14"/>
              </w:rPr>
            </w:pPr>
            <w:r w:rsidRPr="005A18DC">
              <w:rPr>
                <w:rFonts w:ascii="Arial" w:hAnsi="Arial" w:cs="Arial"/>
                <w:sz w:val="14"/>
                <w:szCs w:val="14"/>
              </w:rPr>
              <w:t> </w:t>
            </w:r>
          </w:p>
        </w:tc>
      </w:tr>
      <w:tr w:rsidR="005A18DC" w:rsidRPr="005A18DC" w14:paraId="3D28530E" w14:textId="77777777" w:rsidTr="00B97F04">
        <w:trPr>
          <w:trHeight w:val="20"/>
          <w:jc w:val="center"/>
        </w:trPr>
        <w:tc>
          <w:tcPr>
            <w:tcW w:w="1094" w:type="dxa"/>
          </w:tcPr>
          <w:p w14:paraId="6E66FAFD" w14:textId="1B72940E" w:rsidR="005A18DC" w:rsidRPr="005A18DC" w:rsidRDefault="005A18DC" w:rsidP="005A18DC">
            <w:pPr>
              <w:rPr>
                <w:rFonts w:ascii="Arial" w:hAnsi="Arial" w:cs="Arial"/>
                <w:bCs/>
                <w:sz w:val="14"/>
                <w:szCs w:val="14"/>
              </w:rPr>
            </w:pPr>
            <w:hyperlink r:id="rId2757" w:history="1">
              <w:r w:rsidRPr="005A18DC">
                <w:rPr>
                  <w:rStyle w:val="Hyperlink"/>
                  <w:rFonts w:ascii="Arial" w:hAnsi="Arial" w:cs="Arial"/>
                  <w:b/>
                  <w:bCs/>
                  <w:sz w:val="14"/>
                  <w:szCs w:val="14"/>
                </w:rPr>
                <w:t>R1-2312522</w:t>
              </w:r>
            </w:hyperlink>
          </w:p>
        </w:tc>
        <w:tc>
          <w:tcPr>
            <w:tcW w:w="2646" w:type="dxa"/>
          </w:tcPr>
          <w:p w14:paraId="7FB7AD7F" w14:textId="15A6A82B" w:rsidR="005A18DC" w:rsidRPr="005A18DC" w:rsidRDefault="005A18DC" w:rsidP="005A18DC">
            <w:pPr>
              <w:rPr>
                <w:rFonts w:ascii="Arial" w:hAnsi="Arial" w:cs="Arial"/>
                <w:sz w:val="14"/>
                <w:szCs w:val="14"/>
              </w:rPr>
            </w:pPr>
            <w:r w:rsidRPr="005A18DC">
              <w:rPr>
                <w:rFonts w:ascii="Arial" w:hAnsi="Arial" w:cs="Arial"/>
                <w:sz w:val="14"/>
                <w:szCs w:val="14"/>
              </w:rPr>
              <w:t>Reply LS on monitoring of paging occasions for CG-SDT with HD-FDD RedCap UEs</w:t>
            </w:r>
          </w:p>
        </w:tc>
        <w:tc>
          <w:tcPr>
            <w:tcW w:w="1583" w:type="dxa"/>
          </w:tcPr>
          <w:p w14:paraId="4487EF6D" w14:textId="358E2D3F" w:rsidR="005A18DC" w:rsidRPr="005A18DC" w:rsidRDefault="005A18DC" w:rsidP="005A18DC">
            <w:pPr>
              <w:rPr>
                <w:rFonts w:ascii="Arial" w:hAnsi="Arial" w:cs="Arial"/>
                <w:sz w:val="14"/>
                <w:szCs w:val="14"/>
              </w:rPr>
            </w:pPr>
            <w:r w:rsidRPr="005A18DC">
              <w:rPr>
                <w:rFonts w:ascii="Arial" w:hAnsi="Arial" w:cs="Arial"/>
                <w:sz w:val="14"/>
                <w:szCs w:val="14"/>
              </w:rPr>
              <w:t>RAN1, Ericsson</w:t>
            </w:r>
          </w:p>
        </w:tc>
        <w:tc>
          <w:tcPr>
            <w:tcW w:w="813" w:type="dxa"/>
          </w:tcPr>
          <w:p w14:paraId="2DF9000A" w14:textId="2A6AA97F" w:rsidR="005A18DC" w:rsidRPr="005A18DC" w:rsidRDefault="005A18DC" w:rsidP="005A18DC">
            <w:pPr>
              <w:rPr>
                <w:rFonts w:ascii="Arial" w:hAnsi="Arial" w:cs="Arial"/>
                <w:bCs/>
                <w:sz w:val="14"/>
                <w:szCs w:val="14"/>
              </w:rPr>
            </w:pPr>
            <w:hyperlink r:id="rId2758" w:history="1">
              <w:r w:rsidRPr="005A18DC">
                <w:rPr>
                  <w:rStyle w:val="Hyperlink"/>
                  <w:rFonts w:ascii="Arial" w:hAnsi="Arial" w:cs="Arial"/>
                  <w:b/>
                  <w:bCs/>
                  <w:sz w:val="14"/>
                  <w:szCs w:val="14"/>
                </w:rPr>
                <w:t>Rel-17</w:t>
              </w:r>
            </w:hyperlink>
          </w:p>
        </w:tc>
        <w:tc>
          <w:tcPr>
            <w:tcW w:w="2696" w:type="dxa"/>
          </w:tcPr>
          <w:p w14:paraId="4483587F" w14:textId="58F53E48" w:rsidR="005A18DC" w:rsidRPr="005A18DC" w:rsidRDefault="005A18DC" w:rsidP="005A18DC">
            <w:pPr>
              <w:rPr>
                <w:rFonts w:ascii="Arial" w:hAnsi="Arial" w:cs="Arial"/>
                <w:bCs/>
                <w:sz w:val="14"/>
                <w:szCs w:val="14"/>
              </w:rPr>
            </w:pPr>
            <w:r w:rsidRPr="005A18DC">
              <w:rPr>
                <w:rFonts w:ascii="Arial" w:hAnsi="Arial" w:cs="Arial"/>
                <w:color w:val="000000"/>
                <w:sz w:val="14"/>
                <w:szCs w:val="14"/>
              </w:rPr>
              <w:t>NR_redcap-Core, NR_SmallData_INACTIVE-Core</w:t>
            </w:r>
          </w:p>
        </w:tc>
        <w:tc>
          <w:tcPr>
            <w:tcW w:w="1065" w:type="dxa"/>
          </w:tcPr>
          <w:p w14:paraId="7DE6EA4F" w14:textId="5363457E" w:rsidR="005A18DC" w:rsidRPr="005A18DC" w:rsidRDefault="005A18DC" w:rsidP="005A18DC">
            <w:pPr>
              <w:rPr>
                <w:rFonts w:ascii="Arial" w:hAnsi="Arial" w:cs="Arial"/>
                <w:sz w:val="14"/>
                <w:szCs w:val="14"/>
              </w:rPr>
            </w:pPr>
            <w:r w:rsidRPr="005A18DC">
              <w:rPr>
                <w:rFonts w:ascii="Arial" w:hAnsi="Arial" w:cs="Arial"/>
                <w:sz w:val="14"/>
                <w:szCs w:val="14"/>
              </w:rPr>
              <w:t>R2-2304562, R4-2314464</w:t>
            </w:r>
          </w:p>
        </w:tc>
        <w:tc>
          <w:tcPr>
            <w:tcW w:w="994" w:type="dxa"/>
          </w:tcPr>
          <w:p w14:paraId="1EB7C14D" w14:textId="226DDDD9" w:rsidR="005A18DC" w:rsidRPr="005A18DC" w:rsidRDefault="005A18DC" w:rsidP="005A18DC">
            <w:pPr>
              <w:rPr>
                <w:rFonts w:ascii="Arial" w:hAnsi="Arial" w:cs="Arial"/>
                <w:sz w:val="14"/>
                <w:szCs w:val="14"/>
              </w:rPr>
            </w:pPr>
            <w:r w:rsidRPr="005A18DC">
              <w:rPr>
                <w:rFonts w:ascii="Arial" w:hAnsi="Arial" w:cs="Arial"/>
                <w:sz w:val="14"/>
                <w:szCs w:val="14"/>
              </w:rPr>
              <w:t>RAN2, RAN4</w:t>
            </w:r>
          </w:p>
        </w:tc>
        <w:tc>
          <w:tcPr>
            <w:tcW w:w="994" w:type="dxa"/>
          </w:tcPr>
          <w:p w14:paraId="0A7F7055" w14:textId="6BE496F6" w:rsidR="005A18DC" w:rsidRPr="005A18DC" w:rsidRDefault="005A18DC" w:rsidP="005A18DC">
            <w:pPr>
              <w:rPr>
                <w:rFonts w:ascii="Arial" w:hAnsi="Arial" w:cs="Arial"/>
                <w:sz w:val="14"/>
                <w:szCs w:val="14"/>
              </w:rPr>
            </w:pPr>
            <w:r w:rsidRPr="005A18DC">
              <w:rPr>
                <w:rFonts w:ascii="Arial" w:hAnsi="Arial" w:cs="Arial"/>
                <w:sz w:val="14"/>
                <w:szCs w:val="14"/>
              </w:rPr>
              <w:t> </w:t>
            </w:r>
          </w:p>
        </w:tc>
        <w:tc>
          <w:tcPr>
            <w:tcW w:w="1120" w:type="dxa"/>
          </w:tcPr>
          <w:p w14:paraId="560519AF" w14:textId="3B803FFF" w:rsidR="005A18DC" w:rsidRPr="005A18DC" w:rsidRDefault="005A18DC" w:rsidP="005A18DC">
            <w:pPr>
              <w:rPr>
                <w:rFonts w:ascii="Arial" w:hAnsi="Arial" w:cs="Arial"/>
                <w:sz w:val="14"/>
                <w:szCs w:val="14"/>
              </w:rPr>
            </w:pPr>
            <w:r w:rsidRPr="005A18DC">
              <w:rPr>
                <w:rFonts w:ascii="Arial" w:hAnsi="Arial" w:cs="Arial"/>
                <w:sz w:val="14"/>
                <w:szCs w:val="14"/>
              </w:rPr>
              <w:t> </w:t>
            </w:r>
          </w:p>
        </w:tc>
        <w:tc>
          <w:tcPr>
            <w:tcW w:w="1062" w:type="dxa"/>
          </w:tcPr>
          <w:p w14:paraId="1CB7403E" w14:textId="4223F161" w:rsidR="005A18DC" w:rsidRPr="005A18DC" w:rsidRDefault="005A18DC" w:rsidP="005A18DC">
            <w:pPr>
              <w:rPr>
                <w:rFonts w:ascii="Arial" w:hAnsi="Arial" w:cs="Arial"/>
                <w:sz w:val="14"/>
                <w:szCs w:val="14"/>
              </w:rPr>
            </w:pPr>
            <w:r w:rsidRPr="005A18DC">
              <w:rPr>
                <w:rFonts w:ascii="Arial" w:hAnsi="Arial" w:cs="Arial"/>
                <w:sz w:val="14"/>
                <w:szCs w:val="14"/>
              </w:rPr>
              <w:t> </w:t>
            </w:r>
          </w:p>
        </w:tc>
      </w:tr>
      <w:tr w:rsidR="005A18DC" w:rsidRPr="005A18DC" w14:paraId="5A3A4BA7" w14:textId="77777777" w:rsidTr="00B97F04">
        <w:trPr>
          <w:trHeight w:val="20"/>
          <w:jc w:val="center"/>
        </w:trPr>
        <w:tc>
          <w:tcPr>
            <w:tcW w:w="1094" w:type="dxa"/>
          </w:tcPr>
          <w:p w14:paraId="4F071355" w14:textId="77EFE49C" w:rsidR="005A18DC" w:rsidRPr="005A18DC" w:rsidRDefault="005A18DC" w:rsidP="005A18DC">
            <w:pPr>
              <w:rPr>
                <w:rFonts w:ascii="Arial" w:hAnsi="Arial" w:cs="Arial"/>
                <w:bCs/>
                <w:sz w:val="14"/>
                <w:szCs w:val="14"/>
              </w:rPr>
            </w:pPr>
            <w:hyperlink r:id="rId2759" w:history="1">
              <w:r w:rsidRPr="005A18DC">
                <w:rPr>
                  <w:rStyle w:val="Hyperlink"/>
                  <w:rFonts w:ascii="Arial" w:hAnsi="Arial" w:cs="Arial"/>
                  <w:b/>
                  <w:bCs/>
                  <w:sz w:val="14"/>
                  <w:szCs w:val="14"/>
                </w:rPr>
                <w:t>R1-2312526</w:t>
              </w:r>
            </w:hyperlink>
          </w:p>
        </w:tc>
        <w:tc>
          <w:tcPr>
            <w:tcW w:w="2646" w:type="dxa"/>
          </w:tcPr>
          <w:p w14:paraId="5D7D7626" w14:textId="492234B9" w:rsidR="005A18DC" w:rsidRPr="005A18DC" w:rsidRDefault="005A18DC" w:rsidP="005A18DC">
            <w:pPr>
              <w:rPr>
                <w:rFonts w:ascii="Arial" w:hAnsi="Arial" w:cs="Arial"/>
                <w:sz w:val="14"/>
                <w:szCs w:val="14"/>
              </w:rPr>
            </w:pPr>
            <w:r w:rsidRPr="005A18DC">
              <w:rPr>
                <w:rFonts w:ascii="Arial" w:hAnsi="Arial" w:cs="Arial"/>
                <w:sz w:val="14"/>
                <w:szCs w:val="14"/>
              </w:rPr>
              <w:t>Reply LS on Stage-2 CR for MIMO evolution</w:t>
            </w:r>
          </w:p>
        </w:tc>
        <w:tc>
          <w:tcPr>
            <w:tcW w:w="1583" w:type="dxa"/>
          </w:tcPr>
          <w:p w14:paraId="312A7A94" w14:textId="404D8761" w:rsidR="005A18DC" w:rsidRPr="005A18DC" w:rsidRDefault="005A18DC" w:rsidP="005A18DC">
            <w:pPr>
              <w:rPr>
                <w:rFonts w:ascii="Arial" w:hAnsi="Arial" w:cs="Arial"/>
                <w:sz w:val="14"/>
                <w:szCs w:val="14"/>
              </w:rPr>
            </w:pPr>
            <w:r w:rsidRPr="005A18DC">
              <w:rPr>
                <w:rFonts w:ascii="Arial" w:hAnsi="Arial" w:cs="Arial"/>
                <w:sz w:val="14"/>
                <w:szCs w:val="14"/>
              </w:rPr>
              <w:t>RAN1, NTT DOCOMO</w:t>
            </w:r>
          </w:p>
        </w:tc>
        <w:tc>
          <w:tcPr>
            <w:tcW w:w="813" w:type="dxa"/>
          </w:tcPr>
          <w:p w14:paraId="45AD5363" w14:textId="794F7CD6" w:rsidR="005A18DC" w:rsidRPr="005A18DC" w:rsidRDefault="005A18DC" w:rsidP="005A18DC">
            <w:pPr>
              <w:rPr>
                <w:rFonts w:ascii="Arial" w:hAnsi="Arial" w:cs="Arial"/>
                <w:bCs/>
                <w:sz w:val="14"/>
                <w:szCs w:val="14"/>
              </w:rPr>
            </w:pPr>
            <w:hyperlink r:id="rId2760" w:history="1">
              <w:r w:rsidRPr="005A18DC">
                <w:rPr>
                  <w:rStyle w:val="Hyperlink"/>
                  <w:rFonts w:ascii="Arial" w:hAnsi="Arial" w:cs="Arial"/>
                  <w:b/>
                  <w:bCs/>
                  <w:sz w:val="14"/>
                  <w:szCs w:val="14"/>
                </w:rPr>
                <w:t>Rel-18</w:t>
              </w:r>
            </w:hyperlink>
          </w:p>
        </w:tc>
        <w:tc>
          <w:tcPr>
            <w:tcW w:w="2696" w:type="dxa"/>
          </w:tcPr>
          <w:p w14:paraId="2564CBB7" w14:textId="79750D75" w:rsidR="005A18DC" w:rsidRPr="005A18DC" w:rsidRDefault="005A18DC" w:rsidP="005A18DC">
            <w:pPr>
              <w:rPr>
                <w:rFonts w:ascii="Arial" w:hAnsi="Arial" w:cs="Arial"/>
                <w:bCs/>
                <w:sz w:val="14"/>
                <w:szCs w:val="14"/>
              </w:rPr>
            </w:pPr>
            <w:hyperlink r:id="rId2761" w:history="1">
              <w:r w:rsidRPr="005A18DC">
                <w:rPr>
                  <w:rStyle w:val="Hyperlink"/>
                  <w:rFonts w:ascii="Arial" w:hAnsi="Arial" w:cs="Arial"/>
                  <w:b/>
                  <w:bCs/>
                  <w:sz w:val="14"/>
                  <w:szCs w:val="14"/>
                </w:rPr>
                <w:t>NR_MIMO_evo_DL_UL-Core</w:t>
              </w:r>
            </w:hyperlink>
          </w:p>
        </w:tc>
        <w:tc>
          <w:tcPr>
            <w:tcW w:w="1065" w:type="dxa"/>
          </w:tcPr>
          <w:p w14:paraId="26E801A6" w14:textId="1A923B1D" w:rsidR="005A18DC" w:rsidRPr="005A18DC" w:rsidRDefault="005A18DC" w:rsidP="005A18DC">
            <w:pPr>
              <w:rPr>
                <w:rFonts w:ascii="Arial" w:hAnsi="Arial" w:cs="Arial"/>
                <w:sz w:val="14"/>
                <w:szCs w:val="14"/>
              </w:rPr>
            </w:pPr>
            <w:r w:rsidRPr="005A18DC">
              <w:rPr>
                <w:rFonts w:ascii="Arial" w:hAnsi="Arial" w:cs="Arial"/>
                <w:sz w:val="14"/>
                <w:szCs w:val="14"/>
              </w:rPr>
              <w:t>R2-2311293</w:t>
            </w:r>
          </w:p>
        </w:tc>
        <w:tc>
          <w:tcPr>
            <w:tcW w:w="994" w:type="dxa"/>
          </w:tcPr>
          <w:p w14:paraId="2D9412CD" w14:textId="76F299E1" w:rsidR="005A18DC" w:rsidRPr="005A18DC" w:rsidRDefault="005A18DC" w:rsidP="005A18DC">
            <w:pPr>
              <w:rPr>
                <w:rFonts w:ascii="Arial" w:hAnsi="Arial" w:cs="Arial"/>
                <w:sz w:val="14"/>
                <w:szCs w:val="14"/>
              </w:rPr>
            </w:pPr>
            <w:r w:rsidRPr="005A18DC">
              <w:rPr>
                <w:rFonts w:ascii="Arial" w:hAnsi="Arial" w:cs="Arial"/>
                <w:sz w:val="14"/>
                <w:szCs w:val="14"/>
              </w:rPr>
              <w:t>RAN2</w:t>
            </w:r>
          </w:p>
        </w:tc>
        <w:tc>
          <w:tcPr>
            <w:tcW w:w="994" w:type="dxa"/>
          </w:tcPr>
          <w:p w14:paraId="24A1FF9E" w14:textId="54063E7B" w:rsidR="005A18DC" w:rsidRPr="005A18DC" w:rsidRDefault="005A18DC" w:rsidP="005A18DC">
            <w:pPr>
              <w:rPr>
                <w:rFonts w:ascii="Arial" w:hAnsi="Arial" w:cs="Arial"/>
                <w:sz w:val="14"/>
                <w:szCs w:val="14"/>
              </w:rPr>
            </w:pPr>
            <w:r w:rsidRPr="005A18DC">
              <w:rPr>
                <w:rFonts w:ascii="Arial" w:hAnsi="Arial" w:cs="Arial"/>
                <w:sz w:val="14"/>
                <w:szCs w:val="14"/>
              </w:rPr>
              <w:t>RAN4</w:t>
            </w:r>
          </w:p>
        </w:tc>
        <w:tc>
          <w:tcPr>
            <w:tcW w:w="1120" w:type="dxa"/>
          </w:tcPr>
          <w:p w14:paraId="75D80C43" w14:textId="0E97C456" w:rsidR="005A18DC" w:rsidRPr="005A18DC" w:rsidRDefault="005A18DC" w:rsidP="005A18DC">
            <w:pPr>
              <w:rPr>
                <w:rFonts w:ascii="Arial" w:hAnsi="Arial" w:cs="Arial"/>
                <w:sz w:val="14"/>
                <w:szCs w:val="14"/>
              </w:rPr>
            </w:pPr>
            <w:r w:rsidRPr="005A18DC">
              <w:rPr>
                <w:rFonts w:ascii="Arial" w:hAnsi="Arial" w:cs="Arial"/>
                <w:sz w:val="14"/>
                <w:szCs w:val="14"/>
              </w:rPr>
              <w:t> </w:t>
            </w:r>
          </w:p>
        </w:tc>
        <w:tc>
          <w:tcPr>
            <w:tcW w:w="1062" w:type="dxa"/>
          </w:tcPr>
          <w:p w14:paraId="7C5B6B8F" w14:textId="6F53CDF0" w:rsidR="005A18DC" w:rsidRPr="005A18DC" w:rsidRDefault="005A18DC" w:rsidP="005A18DC">
            <w:pPr>
              <w:rPr>
                <w:rFonts w:ascii="Arial" w:hAnsi="Arial" w:cs="Arial"/>
                <w:sz w:val="14"/>
                <w:szCs w:val="14"/>
              </w:rPr>
            </w:pPr>
            <w:r w:rsidRPr="005A18DC">
              <w:rPr>
                <w:rFonts w:ascii="Arial" w:hAnsi="Arial" w:cs="Arial"/>
                <w:sz w:val="14"/>
                <w:szCs w:val="14"/>
              </w:rPr>
              <w:t> </w:t>
            </w:r>
          </w:p>
        </w:tc>
      </w:tr>
      <w:tr w:rsidR="005A18DC" w:rsidRPr="005A18DC" w14:paraId="1F81F1F1" w14:textId="77777777" w:rsidTr="00B97F04">
        <w:trPr>
          <w:trHeight w:val="20"/>
          <w:jc w:val="center"/>
        </w:trPr>
        <w:tc>
          <w:tcPr>
            <w:tcW w:w="1094" w:type="dxa"/>
          </w:tcPr>
          <w:p w14:paraId="09752581" w14:textId="7D1060F4" w:rsidR="005A18DC" w:rsidRPr="005A18DC" w:rsidRDefault="005A18DC" w:rsidP="005A18DC">
            <w:pPr>
              <w:rPr>
                <w:rFonts w:ascii="Arial" w:hAnsi="Arial" w:cs="Arial"/>
                <w:bCs/>
                <w:sz w:val="14"/>
                <w:szCs w:val="14"/>
              </w:rPr>
            </w:pPr>
            <w:hyperlink r:id="rId2762" w:history="1">
              <w:r w:rsidRPr="005A18DC">
                <w:rPr>
                  <w:rStyle w:val="Hyperlink"/>
                  <w:rFonts w:ascii="Arial" w:hAnsi="Arial" w:cs="Arial"/>
                  <w:b/>
                  <w:bCs/>
                  <w:sz w:val="14"/>
                  <w:szCs w:val="14"/>
                </w:rPr>
                <w:t>R1-2312538</w:t>
              </w:r>
            </w:hyperlink>
          </w:p>
        </w:tc>
        <w:tc>
          <w:tcPr>
            <w:tcW w:w="2646" w:type="dxa"/>
          </w:tcPr>
          <w:p w14:paraId="6E2C858D" w14:textId="786458B7" w:rsidR="005A18DC" w:rsidRPr="005A18DC" w:rsidRDefault="005A18DC" w:rsidP="005A18DC">
            <w:pPr>
              <w:rPr>
                <w:rFonts w:ascii="Arial" w:hAnsi="Arial" w:cs="Arial"/>
                <w:sz w:val="14"/>
                <w:szCs w:val="14"/>
              </w:rPr>
            </w:pPr>
            <w:r w:rsidRPr="005A18DC">
              <w:rPr>
                <w:rFonts w:ascii="Arial" w:hAnsi="Arial" w:cs="Arial"/>
                <w:sz w:val="14"/>
                <w:szCs w:val="14"/>
              </w:rPr>
              <w:t>LS on Rel-18 higher-layers parameter list</w:t>
            </w:r>
          </w:p>
        </w:tc>
        <w:tc>
          <w:tcPr>
            <w:tcW w:w="1583" w:type="dxa"/>
          </w:tcPr>
          <w:p w14:paraId="3D0C5B33" w14:textId="3CAC49DC" w:rsidR="005A18DC" w:rsidRPr="005A18DC" w:rsidRDefault="005A18DC" w:rsidP="005A18DC">
            <w:pPr>
              <w:rPr>
                <w:rFonts w:ascii="Arial" w:hAnsi="Arial" w:cs="Arial"/>
                <w:sz w:val="14"/>
                <w:szCs w:val="14"/>
              </w:rPr>
            </w:pPr>
            <w:r w:rsidRPr="005A18DC">
              <w:rPr>
                <w:rFonts w:ascii="Arial" w:hAnsi="Arial" w:cs="Arial"/>
                <w:sz w:val="14"/>
                <w:szCs w:val="14"/>
              </w:rPr>
              <w:t>RAN1, Ericsson</w:t>
            </w:r>
          </w:p>
        </w:tc>
        <w:tc>
          <w:tcPr>
            <w:tcW w:w="813" w:type="dxa"/>
          </w:tcPr>
          <w:p w14:paraId="1E137970" w14:textId="389A4D9F" w:rsidR="005A18DC" w:rsidRPr="005A18DC" w:rsidRDefault="005A18DC" w:rsidP="005A18DC">
            <w:pPr>
              <w:rPr>
                <w:rFonts w:ascii="Arial" w:hAnsi="Arial" w:cs="Arial"/>
                <w:bCs/>
                <w:sz w:val="14"/>
                <w:szCs w:val="14"/>
              </w:rPr>
            </w:pPr>
            <w:hyperlink r:id="rId2763" w:history="1">
              <w:r w:rsidRPr="005A18DC">
                <w:rPr>
                  <w:rStyle w:val="Hyperlink"/>
                  <w:rFonts w:ascii="Arial" w:hAnsi="Arial" w:cs="Arial"/>
                  <w:b/>
                  <w:bCs/>
                  <w:sz w:val="14"/>
                  <w:szCs w:val="14"/>
                </w:rPr>
                <w:t>Rel-18</w:t>
              </w:r>
            </w:hyperlink>
          </w:p>
        </w:tc>
        <w:tc>
          <w:tcPr>
            <w:tcW w:w="2696" w:type="dxa"/>
          </w:tcPr>
          <w:p w14:paraId="6C268338" w14:textId="12A0984B" w:rsidR="005A18DC" w:rsidRPr="005A18DC" w:rsidRDefault="005A18DC" w:rsidP="005A18DC">
            <w:pPr>
              <w:rPr>
                <w:rFonts w:ascii="Arial" w:hAnsi="Arial" w:cs="Arial"/>
                <w:bCs/>
                <w:sz w:val="14"/>
                <w:szCs w:val="14"/>
              </w:rPr>
            </w:pPr>
            <w:r w:rsidRPr="005A18DC">
              <w:rPr>
                <w:rFonts w:ascii="Arial" w:hAnsi="Arial" w:cs="Arial"/>
                <w:color w:val="000000"/>
                <w:sz w:val="14"/>
                <w:szCs w:val="14"/>
              </w:rPr>
              <w:t>NR_MC_enh-Core, NR_SL_enh2-Core, NR_pos_enh2-Core, Netw_Energy_NR-Core, NR_cov_enh2-Core, NR_Mob_enh2-Core, NR_NTN_enh-Core, IoT_NTN_enh-Core</w:t>
            </w:r>
          </w:p>
        </w:tc>
        <w:tc>
          <w:tcPr>
            <w:tcW w:w="1065" w:type="dxa"/>
          </w:tcPr>
          <w:p w14:paraId="1C84EAC4" w14:textId="35FF2C52" w:rsidR="005A18DC" w:rsidRPr="005A18DC" w:rsidRDefault="005A18DC" w:rsidP="005A18DC">
            <w:pPr>
              <w:rPr>
                <w:rFonts w:ascii="Arial" w:hAnsi="Arial" w:cs="Arial"/>
                <w:sz w:val="14"/>
                <w:szCs w:val="14"/>
              </w:rPr>
            </w:pPr>
            <w:r w:rsidRPr="005A18DC">
              <w:rPr>
                <w:rFonts w:ascii="Arial" w:hAnsi="Arial" w:cs="Arial"/>
                <w:sz w:val="14"/>
                <w:szCs w:val="14"/>
              </w:rPr>
              <w:t> </w:t>
            </w:r>
          </w:p>
        </w:tc>
        <w:tc>
          <w:tcPr>
            <w:tcW w:w="994" w:type="dxa"/>
          </w:tcPr>
          <w:p w14:paraId="322F1894" w14:textId="19540CAD" w:rsidR="005A18DC" w:rsidRPr="005A18DC" w:rsidRDefault="005A18DC" w:rsidP="005A18DC">
            <w:pPr>
              <w:rPr>
                <w:rFonts w:ascii="Arial" w:hAnsi="Arial" w:cs="Arial"/>
                <w:sz w:val="14"/>
                <w:szCs w:val="14"/>
              </w:rPr>
            </w:pPr>
            <w:r w:rsidRPr="005A18DC">
              <w:rPr>
                <w:rFonts w:ascii="Arial" w:hAnsi="Arial" w:cs="Arial"/>
                <w:sz w:val="14"/>
                <w:szCs w:val="14"/>
              </w:rPr>
              <w:t>RAN2, RAN3</w:t>
            </w:r>
          </w:p>
        </w:tc>
        <w:tc>
          <w:tcPr>
            <w:tcW w:w="994" w:type="dxa"/>
          </w:tcPr>
          <w:p w14:paraId="53CEA228" w14:textId="4876F5E1" w:rsidR="005A18DC" w:rsidRPr="005A18DC" w:rsidRDefault="005A18DC" w:rsidP="005A18DC">
            <w:pPr>
              <w:rPr>
                <w:rFonts w:ascii="Arial" w:hAnsi="Arial" w:cs="Arial"/>
                <w:sz w:val="14"/>
                <w:szCs w:val="14"/>
              </w:rPr>
            </w:pPr>
            <w:r w:rsidRPr="005A18DC">
              <w:rPr>
                <w:rFonts w:ascii="Arial" w:hAnsi="Arial" w:cs="Arial"/>
                <w:sz w:val="14"/>
                <w:szCs w:val="14"/>
              </w:rPr>
              <w:t>RAN4</w:t>
            </w:r>
          </w:p>
        </w:tc>
        <w:tc>
          <w:tcPr>
            <w:tcW w:w="1120" w:type="dxa"/>
          </w:tcPr>
          <w:p w14:paraId="392FC1CE" w14:textId="16C398F3" w:rsidR="005A18DC" w:rsidRPr="005A18DC" w:rsidRDefault="005A18DC" w:rsidP="005A18DC">
            <w:pPr>
              <w:rPr>
                <w:rFonts w:ascii="Arial" w:hAnsi="Arial" w:cs="Arial"/>
                <w:sz w:val="14"/>
                <w:szCs w:val="14"/>
              </w:rPr>
            </w:pPr>
            <w:r w:rsidRPr="005A18DC">
              <w:rPr>
                <w:rFonts w:ascii="Arial" w:hAnsi="Arial" w:cs="Arial"/>
                <w:sz w:val="14"/>
                <w:szCs w:val="14"/>
              </w:rPr>
              <w:t> </w:t>
            </w:r>
          </w:p>
        </w:tc>
        <w:tc>
          <w:tcPr>
            <w:tcW w:w="1062" w:type="dxa"/>
          </w:tcPr>
          <w:p w14:paraId="782ADD8A" w14:textId="68CF5E71" w:rsidR="005A18DC" w:rsidRPr="005A18DC" w:rsidRDefault="005A18DC" w:rsidP="005A18DC">
            <w:pPr>
              <w:rPr>
                <w:rFonts w:ascii="Arial" w:hAnsi="Arial" w:cs="Arial"/>
                <w:sz w:val="14"/>
                <w:szCs w:val="14"/>
              </w:rPr>
            </w:pPr>
            <w:r w:rsidRPr="005A18DC">
              <w:rPr>
                <w:rFonts w:ascii="Arial" w:hAnsi="Arial" w:cs="Arial"/>
                <w:sz w:val="14"/>
                <w:szCs w:val="14"/>
              </w:rPr>
              <w:t> </w:t>
            </w:r>
          </w:p>
        </w:tc>
      </w:tr>
      <w:tr w:rsidR="005A18DC" w:rsidRPr="005A18DC" w14:paraId="223E51DA" w14:textId="77777777" w:rsidTr="00B97F04">
        <w:trPr>
          <w:trHeight w:val="20"/>
          <w:jc w:val="center"/>
        </w:trPr>
        <w:tc>
          <w:tcPr>
            <w:tcW w:w="1094" w:type="dxa"/>
          </w:tcPr>
          <w:p w14:paraId="572B794D" w14:textId="76670FC8" w:rsidR="005A18DC" w:rsidRPr="005A18DC" w:rsidRDefault="005A18DC" w:rsidP="005A18DC">
            <w:pPr>
              <w:rPr>
                <w:rFonts w:ascii="Arial" w:hAnsi="Arial" w:cs="Arial"/>
                <w:bCs/>
                <w:sz w:val="14"/>
                <w:szCs w:val="14"/>
              </w:rPr>
            </w:pPr>
            <w:hyperlink r:id="rId2764" w:history="1">
              <w:r w:rsidRPr="005A18DC">
                <w:rPr>
                  <w:rStyle w:val="Hyperlink"/>
                  <w:rFonts w:ascii="Arial" w:hAnsi="Arial" w:cs="Arial"/>
                  <w:b/>
                  <w:bCs/>
                  <w:sz w:val="14"/>
                  <w:szCs w:val="14"/>
                </w:rPr>
                <w:t>R1-2312553</w:t>
              </w:r>
            </w:hyperlink>
          </w:p>
        </w:tc>
        <w:tc>
          <w:tcPr>
            <w:tcW w:w="2646" w:type="dxa"/>
          </w:tcPr>
          <w:p w14:paraId="39D95524" w14:textId="6AD559B9" w:rsidR="005A18DC" w:rsidRPr="005A18DC" w:rsidRDefault="005A18DC" w:rsidP="005A18DC">
            <w:pPr>
              <w:rPr>
                <w:rFonts w:ascii="Arial" w:hAnsi="Arial" w:cs="Arial"/>
                <w:sz w:val="14"/>
                <w:szCs w:val="14"/>
              </w:rPr>
            </w:pPr>
            <w:r w:rsidRPr="005A18DC">
              <w:rPr>
                <w:rFonts w:ascii="Arial" w:hAnsi="Arial" w:cs="Arial"/>
                <w:sz w:val="14"/>
                <w:szCs w:val="14"/>
              </w:rPr>
              <w:t>Response on LS on the system parameters for NTN above 10 GHz</w:t>
            </w:r>
          </w:p>
        </w:tc>
        <w:tc>
          <w:tcPr>
            <w:tcW w:w="1583" w:type="dxa"/>
          </w:tcPr>
          <w:p w14:paraId="61A41B92" w14:textId="15E007F8" w:rsidR="005A18DC" w:rsidRPr="005A18DC" w:rsidRDefault="005A18DC" w:rsidP="005A18DC">
            <w:pPr>
              <w:rPr>
                <w:rFonts w:ascii="Arial" w:hAnsi="Arial" w:cs="Arial"/>
                <w:sz w:val="14"/>
                <w:szCs w:val="14"/>
              </w:rPr>
            </w:pPr>
            <w:r w:rsidRPr="005A18DC">
              <w:rPr>
                <w:rFonts w:ascii="Arial" w:hAnsi="Arial" w:cs="Arial"/>
                <w:sz w:val="14"/>
                <w:szCs w:val="14"/>
              </w:rPr>
              <w:t>RAN1, Nokia</w:t>
            </w:r>
          </w:p>
        </w:tc>
        <w:tc>
          <w:tcPr>
            <w:tcW w:w="813" w:type="dxa"/>
          </w:tcPr>
          <w:p w14:paraId="6FC2938B" w14:textId="4E9E6F03" w:rsidR="005A18DC" w:rsidRPr="005A18DC" w:rsidRDefault="005A18DC" w:rsidP="005A18DC">
            <w:pPr>
              <w:rPr>
                <w:rFonts w:ascii="Arial" w:hAnsi="Arial" w:cs="Arial"/>
                <w:bCs/>
                <w:sz w:val="14"/>
                <w:szCs w:val="14"/>
              </w:rPr>
            </w:pPr>
            <w:hyperlink r:id="rId2765" w:history="1">
              <w:r w:rsidRPr="005A18DC">
                <w:rPr>
                  <w:rStyle w:val="Hyperlink"/>
                  <w:rFonts w:ascii="Arial" w:hAnsi="Arial" w:cs="Arial"/>
                  <w:b/>
                  <w:bCs/>
                  <w:sz w:val="14"/>
                  <w:szCs w:val="14"/>
                </w:rPr>
                <w:t>Rel-18</w:t>
              </w:r>
            </w:hyperlink>
          </w:p>
        </w:tc>
        <w:tc>
          <w:tcPr>
            <w:tcW w:w="2696" w:type="dxa"/>
          </w:tcPr>
          <w:p w14:paraId="16A31DBB" w14:textId="2F15AF97" w:rsidR="005A18DC" w:rsidRPr="005A18DC" w:rsidRDefault="005A18DC" w:rsidP="005A18DC">
            <w:pPr>
              <w:rPr>
                <w:rFonts w:ascii="Arial" w:hAnsi="Arial" w:cs="Arial"/>
                <w:bCs/>
                <w:sz w:val="14"/>
                <w:szCs w:val="14"/>
              </w:rPr>
            </w:pPr>
            <w:hyperlink r:id="rId2766" w:history="1">
              <w:r w:rsidRPr="005A18DC">
                <w:rPr>
                  <w:rStyle w:val="Hyperlink"/>
                  <w:rFonts w:ascii="Arial" w:hAnsi="Arial" w:cs="Arial"/>
                  <w:b/>
                  <w:bCs/>
                  <w:sz w:val="14"/>
                  <w:szCs w:val="14"/>
                </w:rPr>
                <w:t>NR_NTN_enh-Core</w:t>
              </w:r>
            </w:hyperlink>
          </w:p>
        </w:tc>
        <w:tc>
          <w:tcPr>
            <w:tcW w:w="1065" w:type="dxa"/>
          </w:tcPr>
          <w:p w14:paraId="0AB84782" w14:textId="6DFE041A" w:rsidR="005A18DC" w:rsidRPr="005A18DC" w:rsidRDefault="005A18DC" w:rsidP="005A18DC">
            <w:pPr>
              <w:rPr>
                <w:rFonts w:ascii="Arial" w:hAnsi="Arial" w:cs="Arial"/>
                <w:sz w:val="14"/>
                <w:szCs w:val="14"/>
              </w:rPr>
            </w:pPr>
            <w:r w:rsidRPr="005A18DC">
              <w:rPr>
                <w:rFonts w:ascii="Arial" w:hAnsi="Arial" w:cs="Arial"/>
                <w:sz w:val="14"/>
                <w:szCs w:val="14"/>
              </w:rPr>
              <w:t>R4-2305926</w:t>
            </w:r>
          </w:p>
        </w:tc>
        <w:tc>
          <w:tcPr>
            <w:tcW w:w="994" w:type="dxa"/>
          </w:tcPr>
          <w:p w14:paraId="5A9BFF05" w14:textId="44F047E4" w:rsidR="005A18DC" w:rsidRPr="005A18DC" w:rsidRDefault="005A18DC" w:rsidP="005A18DC">
            <w:pPr>
              <w:rPr>
                <w:rFonts w:ascii="Arial" w:hAnsi="Arial" w:cs="Arial"/>
                <w:sz w:val="14"/>
                <w:szCs w:val="14"/>
              </w:rPr>
            </w:pPr>
            <w:r w:rsidRPr="005A18DC">
              <w:rPr>
                <w:rFonts w:ascii="Arial" w:hAnsi="Arial" w:cs="Arial"/>
                <w:sz w:val="14"/>
                <w:szCs w:val="14"/>
              </w:rPr>
              <w:t>RAN4</w:t>
            </w:r>
          </w:p>
        </w:tc>
        <w:tc>
          <w:tcPr>
            <w:tcW w:w="994" w:type="dxa"/>
          </w:tcPr>
          <w:p w14:paraId="2D9356E2" w14:textId="5102C5C7" w:rsidR="005A18DC" w:rsidRPr="005A18DC" w:rsidRDefault="005A18DC" w:rsidP="005A18DC">
            <w:pPr>
              <w:rPr>
                <w:rFonts w:ascii="Arial" w:hAnsi="Arial" w:cs="Arial"/>
                <w:sz w:val="14"/>
                <w:szCs w:val="14"/>
              </w:rPr>
            </w:pPr>
            <w:r w:rsidRPr="005A18DC">
              <w:rPr>
                <w:rFonts w:ascii="Arial" w:hAnsi="Arial" w:cs="Arial"/>
                <w:sz w:val="14"/>
                <w:szCs w:val="14"/>
              </w:rPr>
              <w:t> </w:t>
            </w:r>
          </w:p>
        </w:tc>
        <w:tc>
          <w:tcPr>
            <w:tcW w:w="1120" w:type="dxa"/>
          </w:tcPr>
          <w:p w14:paraId="0878DD71" w14:textId="726A35DC" w:rsidR="005A18DC" w:rsidRPr="005A18DC" w:rsidRDefault="005A18DC" w:rsidP="005A18DC">
            <w:pPr>
              <w:rPr>
                <w:rFonts w:ascii="Arial" w:hAnsi="Arial" w:cs="Arial"/>
                <w:sz w:val="14"/>
                <w:szCs w:val="14"/>
              </w:rPr>
            </w:pPr>
            <w:r w:rsidRPr="005A18DC">
              <w:rPr>
                <w:rFonts w:ascii="Arial" w:hAnsi="Arial" w:cs="Arial"/>
                <w:sz w:val="14"/>
                <w:szCs w:val="14"/>
              </w:rPr>
              <w:t> </w:t>
            </w:r>
          </w:p>
        </w:tc>
        <w:tc>
          <w:tcPr>
            <w:tcW w:w="1062" w:type="dxa"/>
          </w:tcPr>
          <w:p w14:paraId="1FD3FA84" w14:textId="6FA13F91" w:rsidR="005A18DC" w:rsidRPr="005A18DC" w:rsidRDefault="005A18DC" w:rsidP="005A18DC">
            <w:pPr>
              <w:rPr>
                <w:rFonts w:ascii="Arial" w:hAnsi="Arial" w:cs="Arial"/>
                <w:sz w:val="14"/>
                <w:szCs w:val="14"/>
              </w:rPr>
            </w:pPr>
            <w:r w:rsidRPr="005A18DC">
              <w:rPr>
                <w:rFonts w:ascii="Arial" w:hAnsi="Arial" w:cs="Arial"/>
                <w:sz w:val="14"/>
                <w:szCs w:val="14"/>
              </w:rPr>
              <w:t>R4-2402192, R4-2402262, R4-2402314</w:t>
            </w:r>
          </w:p>
        </w:tc>
      </w:tr>
      <w:tr w:rsidR="005A18DC" w:rsidRPr="005A18DC" w14:paraId="3EF0CBF8" w14:textId="77777777" w:rsidTr="00B97F04">
        <w:trPr>
          <w:trHeight w:val="20"/>
          <w:jc w:val="center"/>
        </w:trPr>
        <w:tc>
          <w:tcPr>
            <w:tcW w:w="1094" w:type="dxa"/>
          </w:tcPr>
          <w:p w14:paraId="4BD6DF01" w14:textId="18108741" w:rsidR="005A18DC" w:rsidRPr="005A18DC" w:rsidRDefault="005A18DC" w:rsidP="005A18DC">
            <w:pPr>
              <w:rPr>
                <w:rFonts w:ascii="Arial" w:hAnsi="Arial" w:cs="Arial"/>
                <w:bCs/>
                <w:sz w:val="14"/>
                <w:szCs w:val="14"/>
              </w:rPr>
            </w:pPr>
            <w:hyperlink r:id="rId2767" w:history="1">
              <w:r w:rsidRPr="005A18DC">
                <w:rPr>
                  <w:rStyle w:val="Hyperlink"/>
                  <w:rFonts w:ascii="Arial" w:hAnsi="Arial" w:cs="Arial"/>
                  <w:b/>
                  <w:bCs/>
                  <w:sz w:val="14"/>
                  <w:szCs w:val="14"/>
                </w:rPr>
                <w:t>R1-2312566</w:t>
              </w:r>
            </w:hyperlink>
          </w:p>
        </w:tc>
        <w:tc>
          <w:tcPr>
            <w:tcW w:w="2646" w:type="dxa"/>
          </w:tcPr>
          <w:p w14:paraId="0D35F5CB" w14:textId="4D21798A" w:rsidR="005A18DC" w:rsidRPr="005A18DC" w:rsidRDefault="005A18DC" w:rsidP="005A18DC">
            <w:pPr>
              <w:rPr>
                <w:rFonts w:ascii="Arial" w:hAnsi="Arial" w:cs="Arial"/>
                <w:sz w:val="14"/>
                <w:szCs w:val="14"/>
              </w:rPr>
            </w:pPr>
            <w:r w:rsidRPr="005A18DC">
              <w:rPr>
                <w:rFonts w:ascii="Arial" w:hAnsi="Arial" w:cs="Arial"/>
                <w:sz w:val="14"/>
                <w:szCs w:val="14"/>
              </w:rPr>
              <w:t>LS On Relative Phase/Power Error Requirements within Port Groups for 8TX UE</w:t>
            </w:r>
          </w:p>
        </w:tc>
        <w:tc>
          <w:tcPr>
            <w:tcW w:w="1583" w:type="dxa"/>
          </w:tcPr>
          <w:p w14:paraId="6A232AB6" w14:textId="1840946D" w:rsidR="005A18DC" w:rsidRPr="005A18DC" w:rsidRDefault="005A18DC" w:rsidP="005A18DC">
            <w:pPr>
              <w:rPr>
                <w:rFonts w:ascii="Arial" w:hAnsi="Arial" w:cs="Arial"/>
                <w:sz w:val="14"/>
                <w:szCs w:val="14"/>
              </w:rPr>
            </w:pPr>
            <w:r w:rsidRPr="005A18DC">
              <w:rPr>
                <w:rFonts w:ascii="Arial" w:hAnsi="Arial" w:cs="Arial"/>
                <w:sz w:val="14"/>
                <w:szCs w:val="14"/>
              </w:rPr>
              <w:t>RAN1, InterDigital</w:t>
            </w:r>
          </w:p>
        </w:tc>
        <w:tc>
          <w:tcPr>
            <w:tcW w:w="813" w:type="dxa"/>
          </w:tcPr>
          <w:p w14:paraId="622A6A46" w14:textId="008AE5A7" w:rsidR="005A18DC" w:rsidRPr="005A18DC" w:rsidRDefault="005A18DC" w:rsidP="005A18DC">
            <w:pPr>
              <w:rPr>
                <w:rFonts w:ascii="Arial" w:hAnsi="Arial" w:cs="Arial"/>
                <w:bCs/>
                <w:sz w:val="14"/>
                <w:szCs w:val="14"/>
              </w:rPr>
            </w:pPr>
            <w:hyperlink r:id="rId2768" w:history="1">
              <w:r w:rsidRPr="005A18DC">
                <w:rPr>
                  <w:rStyle w:val="Hyperlink"/>
                  <w:rFonts w:ascii="Arial" w:hAnsi="Arial" w:cs="Arial"/>
                  <w:b/>
                  <w:bCs/>
                  <w:sz w:val="14"/>
                  <w:szCs w:val="14"/>
                </w:rPr>
                <w:t>Rel-18</w:t>
              </w:r>
            </w:hyperlink>
          </w:p>
        </w:tc>
        <w:tc>
          <w:tcPr>
            <w:tcW w:w="2696" w:type="dxa"/>
          </w:tcPr>
          <w:p w14:paraId="103BD753" w14:textId="6B98F927" w:rsidR="005A18DC" w:rsidRPr="005A18DC" w:rsidRDefault="005A18DC" w:rsidP="005A18DC">
            <w:pPr>
              <w:rPr>
                <w:rFonts w:ascii="Arial" w:hAnsi="Arial" w:cs="Arial"/>
                <w:bCs/>
                <w:sz w:val="14"/>
                <w:szCs w:val="14"/>
              </w:rPr>
            </w:pPr>
            <w:r w:rsidRPr="005A18DC">
              <w:rPr>
                <w:rFonts w:ascii="Arial" w:hAnsi="Arial" w:cs="Arial"/>
                <w:b/>
                <w:bCs/>
                <w:color w:val="0000FF"/>
                <w:sz w:val="14"/>
                <w:szCs w:val="14"/>
                <w:u w:val="single"/>
              </w:rPr>
              <w:t> </w:t>
            </w:r>
          </w:p>
        </w:tc>
        <w:tc>
          <w:tcPr>
            <w:tcW w:w="1065" w:type="dxa"/>
          </w:tcPr>
          <w:p w14:paraId="62C04119" w14:textId="669B43EE" w:rsidR="005A18DC" w:rsidRPr="005A18DC" w:rsidRDefault="005A18DC" w:rsidP="005A18DC">
            <w:pPr>
              <w:rPr>
                <w:rFonts w:ascii="Arial" w:hAnsi="Arial" w:cs="Arial"/>
                <w:sz w:val="14"/>
                <w:szCs w:val="14"/>
              </w:rPr>
            </w:pPr>
            <w:r w:rsidRPr="005A18DC">
              <w:rPr>
                <w:rFonts w:ascii="Arial" w:hAnsi="Arial" w:cs="Arial"/>
                <w:sz w:val="14"/>
                <w:szCs w:val="14"/>
              </w:rPr>
              <w:t> </w:t>
            </w:r>
          </w:p>
        </w:tc>
        <w:tc>
          <w:tcPr>
            <w:tcW w:w="994" w:type="dxa"/>
          </w:tcPr>
          <w:p w14:paraId="048E53E5" w14:textId="6D89E317" w:rsidR="005A18DC" w:rsidRPr="005A18DC" w:rsidRDefault="005A18DC" w:rsidP="005A18DC">
            <w:pPr>
              <w:rPr>
                <w:rFonts w:ascii="Arial" w:hAnsi="Arial" w:cs="Arial"/>
                <w:sz w:val="14"/>
                <w:szCs w:val="14"/>
              </w:rPr>
            </w:pPr>
            <w:r w:rsidRPr="005A18DC">
              <w:rPr>
                <w:rFonts w:ascii="Arial" w:hAnsi="Arial" w:cs="Arial"/>
                <w:sz w:val="14"/>
                <w:szCs w:val="14"/>
              </w:rPr>
              <w:t>RAN4</w:t>
            </w:r>
          </w:p>
        </w:tc>
        <w:tc>
          <w:tcPr>
            <w:tcW w:w="994" w:type="dxa"/>
          </w:tcPr>
          <w:p w14:paraId="63353CAD" w14:textId="5DD9DD31" w:rsidR="005A18DC" w:rsidRPr="005A18DC" w:rsidRDefault="005A18DC" w:rsidP="005A18DC">
            <w:pPr>
              <w:rPr>
                <w:rFonts w:ascii="Arial" w:hAnsi="Arial" w:cs="Arial"/>
                <w:sz w:val="14"/>
                <w:szCs w:val="14"/>
              </w:rPr>
            </w:pPr>
            <w:r w:rsidRPr="005A18DC">
              <w:rPr>
                <w:rFonts w:ascii="Arial" w:hAnsi="Arial" w:cs="Arial"/>
                <w:sz w:val="14"/>
                <w:szCs w:val="14"/>
              </w:rPr>
              <w:t> </w:t>
            </w:r>
          </w:p>
        </w:tc>
        <w:tc>
          <w:tcPr>
            <w:tcW w:w="1120" w:type="dxa"/>
          </w:tcPr>
          <w:p w14:paraId="0C659370" w14:textId="0A079A1D" w:rsidR="005A18DC" w:rsidRPr="005A18DC" w:rsidRDefault="005A18DC" w:rsidP="005A18DC">
            <w:pPr>
              <w:rPr>
                <w:rFonts w:ascii="Arial" w:hAnsi="Arial" w:cs="Arial"/>
                <w:sz w:val="14"/>
                <w:szCs w:val="14"/>
              </w:rPr>
            </w:pPr>
            <w:r w:rsidRPr="005A18DC">
              <w:rPr>
                <w:rFonts w:ascii="Arial" w:hAnsi="Arial" w:cs="Arial"/>
                <w:sz w:val="14"/>
                <w:szCs w:val="14"/>
              </w:rPr>
              <w:t> </w:t>
            </w:r>
          </w:p>
        </w:tc>
        <w:tc>
          <w:tcPr>
            <w:tcW w:w="1062" w:type="dxa"/>
          </w:tcPr>
          <w:p w14:paraId="2FD5FA51" w14:textId="60B000EE" w:rsidR="005A18DC" w:rsidRPr="005A18DC" w:rsidRDefault="005A18DC" w:rsidP="005A18DC">
            <w:pPr>
              <w:rPr>
                <w:rFonts w:ascii="Arial" w:hAnsi="Arial" w:cs="Arial"/>
                <w:sz w:val="14"/>
                <w:szCs w:val="14"/>
              </w:rPr>
            </w:pPr>
            <w:r w:rsidRPr="005A18DC">
              <w:rPr>
                <w:rFonts w:ascii="Arial" w:hAnsi="Arial" w:cs="Arial"/>
                <w:sz w:val="14"/>
                <w:szCs w:val="14"/>
              </w:rPr>
              <w:t>R4-2400348</w:t>
            </w:r>
          </w:p>
        </w:tc>
      </w:tr>
      <w:tr w:rsidR="005A18DC" w:rsidRPr="005A18DC" w14:paraId="1830041D" w14:textId="77777777" w:rsidTr="00B97F04">
        <w:trPr>
          <w:trHeight w:val="20"/>
          <w:jc w:val="center"/>
        </w:trPr>
        <w:tc>
          <w:tcPr>
            <w:tcW w:w="1094" w:type="dxa"/>
          </w:tcPr>
          <w:p w14:paraId="36CDBB11" w14:textId="5B20A5B7" w:rsidR="005A18DC" w:rsidRPr="005A18DC" w:rsidRDefault="005A18DC" w:rsidP="005A18DC">
            <w:pPr>
              <w:rPr>
                <w:rFonts w:ascii="Arial" w:hAnsi="Arial" w:cs="Arial"/>
                <w:bCs/>
                <w:sz w:val="14"/>
                <w:szCs w:val="14"/>
              </w:rPr>
            </w:pPr>
            <w:hyperlink r:id="rId2769" w:history="1">
              <w:r w:rsidRPr="005A18DC">
                <w:rPr>
                  <w:rStyle w:val="Hyperlink"/>
                  <w:rFonts w:ascii="Arial" w:hAnsi="Arial" w:cs="Arial"/>
                  <w:b/>
                  <w:bCs/>
                  <w:sz w:val="14"/>
                  <w:szCs w:val="14"/>
                </w:rPr>
                <w:t>R1-2312571</w:t>
              </w:r>
            </w:hyperlink>
          </w:p>
        </w:tc>
        <w:tc>
          <w:tcPr>
            <w:tcW w:w="2646" w:type="dxa"/>
          </w:tcPr>
          <w:p w14:paraId="0D8E4A14" w14:textId="0E8255F8" w:rsidR="005A18DC" w:rsidRPr="005A18DC" w:rsidRDefault="005A18DC" w:rsidP="005A18DC">
            <w:pPr>
              <w:rPr>
                <w:rFonts w:ascii="Arial" w:hAnsi="Arial" w:cs="Arial"/>
                <w:sz w:val="14"/>
                <w:szCs w:val="14"/>
              </w:rPr>
            </w:pPr>
            <w:r w:rsidRPr="005A18DC">
              <w:rPr>
                <w:rFonts w:ascii="Arial" w:hAnsi="Arial" w:cs="Arial"/>
                <w:sz w:val="14"/>
                <w:szCs w:val="14"/>
              </w:rPr>
              <w:t>LS on Rel-18 RAN1 UE features list for LTE after RAN1#115</w:t>
            </w:r>
          </w:p>
        </w:tc>
        <w:tc>
          <w:tcPr>
            <w:tcW w:w="1583" w:type="dxa"/>
          </w:tcPr>
          <w:p w14:paraId="26BC9F02" w14:textId="3928C191" w:rsidR="005A18DC" w:rsidRPr="005A18DC" w:rsidRDefault="005A18DC" w:rsidP="005A18DC">
            <w:pPr>
              <w:rPr>
                <w:rFonts w:ascii="Arial" w:hAnsi="Arial" w:cs="Arial"/>
                <w:sz w:val="14"/>
                <w:szCs w:val="14"/>
              </w:rPr>
            </w:pPr>
            <w:r w:rsidRPr="005A18DC">
              <w:rPr>
                <w:rFonts w:ascii="Arial" w:hAnsi="Arial" w:cs="Arial"/>
                <w:sz w:val="14"/>
                <w:szCs w:val="14"/>
              </w:rPr>
              <w:t>RAN1, AT&amp;T, NTT DOCOMO, INC.</w:t>
            </w:r>
          </w:p>
        </w:tc>
        <w:tc>
          <w:tcPr>
            <w:tcW w:w="813" w:type="dxa"/>
          </w:tcPr>
          <w:p w14:paraId="2D2CDCFB" w14:textId="6B96B389" w:rsidR="005A18DC" w:rsidRPr="005A18DC" w:rsidRDefault="005A18DC" w:rsidP="005A18DC">
            <w:pPr>
              <w:rPr>
                <w:rFonts w:ascii="Arial" w:hAnsi="Arial" w:cs="Arial"/>
                <w:bCs/>
                <w:sz w:val="14"/>
                <w:szCs w:val="14"/>
              </w:rPr>
            </w:pPr>
            <w:hyperlink r:id="rId2770" w:history="1">
              <w:r w:rsidRPr="005A18DC">
                <w:rPr>
                  <w:rStyle w:val="Hyperlink"/>
                  <w:rFonts w:ascii="Arial" w:hAnsi="Arial" w:cs="Arial"/>
                  <w:b/>
                  <w:bCs/>
                  <w:sz w:val="14"/>
                  <w:szCs w:val="14"/>
                </w:rPr>
                <w:t>Rel-18</w:t>
              </w:r>
            </w:hyperlink>
          </w:p>
        </w:tc>
        <w:tc>
          <w:tcPr>
            <w:tcW w:w="2696" w:type="dxa"/>
          </w:tcPr>
          <w:p w14:paraId="2D264713" w14:textId="0F728323" w:rsidR="005A18DC" w:rsidRPr="005A18DC" w:rsidRDefault="005A18DC" w:rsidP="005A18DC">
            <w:pPr>
              <w:rPr>
                <w:rFonts w:ascii="Arial" w:hAnsi="Arial" w:cs="Arial"/>
                <w:bCs/>
                <w:sz w:val="14"/>
                <w:szCs w:val="14"/>
              </w:rPr>
            </w:pPr>
            <w:hyperlink r:id="rId2771" w:history="1">
              <w:r w:rsidRPr="005A18DC">
                <w:rPr>
                  <w:rStyle w:val="Hyperlink"/>
                  <w:rFonts w:ascii="Arial" w:hAnsi="Arial" w:cs="Arial"/>
                  <w:b/>
                  <w:bCs/>
                  <w:sz w:val="14"/>
                  <w:szCs w:val="14"/>
                </w:rPr>
                <w:t>IoT_NTN_enh-Core</w:t>
              </w:r>
            </w:hyperlink>
          </w:p>
        </w:tc>
        <w:tc>
          <w:tcPr>
            <w:tcW w:w="1065" w:type="dxa"/>
          </w:tcPr>
          <w:p w14:paraId="30817F17" w14:textId="371D8CA3" w:rsidR="005A18DC" w:rsidRPr="005A18DC" w:rsidRDefault="005A18DC" w:rsidP="005A18DC">
            <w:pPr>
              <w:rPr>
                <w:rFonts w:ascii="Arial" w:hAnsi="Arial" w:cs="Arial"/>
                <w:sz w:val="14"/>
                <w:szCs w:val="14"/>
              </w:rPr>
            </w:pPr>
            <w:r w:rsidRPr="005A18DC">
              <w:rPr>
                <w:rFonts w:ascii="Arial" w:hAnsi="Arial" w:cs="Arial"/>
                <w:sz w:val="14"/>
                <w:szCs w:val="14"/>
              </w:rPr>
              <w:t> </w:t>
            </w:r>
          </w:p>
        </w:tc>
        <w:tc>
          <w:tcPr>
            <w:tcW w:w="994" w:type="dxa"/>
          </w:tcPr>
          <w:p w14:paraId="72F5715D" w14:textId="03A92887" w:rsidR="005A18DC" w:rsidRPr="005A18DC" w:rsidRDefault="005A18DC" w:rsidP="005A18DC">
            <w:pPr>
              <w:rPr>
                <w:rFonts w:ascii="Arial" w:hAnsi="Arial" w:cs="Arial"/>
                <w:sz w:val="14"/>
                <w:szCs w:val="14"/>
              </w:rPr>
            </w:pPr>
            <w:r w:rsidRPr="005A18DC">
              <w:rPr>
                <w:rFonts w:ascii="Arial" w:hAnsi="Arial" w:cs="Arial"/>
                <w:sz w:val="14"/>
                <w:szCs w:val="14"/>
              </w:rPr>
              <w:t>RAN2</w:t>
            </w:r>
          </w:p>
        </w:tc>
        <w:tc>
          <w:tcPr>
            <w:tcW w:w="994" w:type="dxa"/>
          </w:tcPr>
          <w:p w14:paraId="4D0AFF16" w14:textId="0B847852" w:rsidR="005A18DC" w:rsidRPr="005A18DC" w:rsidRDefault="005A18DC" w:rsidP="005A18DC">
            <w:pPr>
              <w:rPr>
                <w:rFonts w:ascii="Arial" w:hAnsi="Arial" w:cs="Arial"/>
                <w:sz w:val="14"/>
                <w:szCs w:val="14"/>
              </w:rPr>
            </w:pPr>
            <w:r w:rsidRPr="005A18DC">
              <w:rPr>
                <w:rFonts w:ascii="Arial" w:hAnsi="Arial" w:cs="Arial"/>
                <w:sz w:val="14"/>
                <w:szCs w:val="14"/>
              </w:rPr>
              <w:t>RAN4</w:t>
            </w:r>
          </w:p>
        </w:tc>
        <w:tc>
          <w:tcPr>
            <w:tcW w:w="1120" w:type="dxa"/>
          </w:tcPr>
          <w:p w14:paraId="39E8C409" w14:textId="74089AE2" w:rsidR="005A18DC" w:rsidRPr="005A18DC" w:rsidRDefault="005A18DC" w:rsidP="005A18DC">
            <w:pPr>
              <w:rPr>
                <w:rFonts w:ascii="Arial" w:hAnsi="Arial" w:cs="Arial"/>
                <w:sz w:val="14"/>
                <w:szCs w:val="14"/>
              </w:rPr>
            </w:pPr>
            <w:r w:rsidRPr="005A18DC">
              <w:rPr>
                <w:rFonts w:ascii="Arial" w:hAnsi="Arial" w:cs="Arial"/>
                <w:sz w:val="14"/>
                <w:szCs w:val="14"/>
              </w:rPr>
              <w:t> </w:t>
            </w:r>
          </w:p>
        </w:tc>
        <w:tc>
          <w:tcPr>
            <w:tcW w:w="1062" w:type="dxa"/>
          </w:tcPr>
          <w:p w14:paraId="31B56D54" w14:textId="092AB9AE" w:rsidR="005A18DC" w:rsidRPr="005A18DC" w:rsidRDefault="005A18DC" w:rsidP="005A18DC">
            <w:pPr>
              <w:rPr>
                <w:rFonts w:ascii="Arial" w:hAnsi="Arial" w:cs="Arial"/>
                <w:sz w:val="14"/>
                <w:szCs w:val="14"/>
              </w:rPr>
            </w:pPr>
            <w:r w:rsidRPr="005A18DC">
              <w:rPr>
                <w:rFonts w:ascii="Arial" w:hAnsi="Arial" w:cs="Arial"/>
                <w:sz w:val="14"/>
                <w:szCs w:val="14"/>
              </w:rPr>
              <w:t> </w:t>
            </w:r>
          </w:p>
        </w:tc>
      </w:tr>
      <w:tr w:rsidR="005A18DC" w:rsidRPr="005A18DC" w14:paraId="6D38824B" w14:textId="77777777" w:rsidTr="00B97F04">
        <w:trPr>
          <w:trHeight w:val="20"/>
          <w:jc w:val="center"/>
        </w:trPr>
        <w:tc>
          <w:tcPr>
            <w:tcW w:w="1094" w:type="dxa"/>
          </w:tcPr>
          <w:p w14:paraId="051A82CA" w14:textId="4721F924" w:rsidR="005A18DC" w:rsidRPr="005A18DC" w:rsidRDefault="005A18DC" w:rsidP="005A18DC">
            <w:pPr>
              <w:rPr>
                <w:rFonts w:ascii="Arial" w:hAnsi="Arial" w:cs="Arial"/>
                <w:bCs/>
                <w:sz w:val="14"/>
                <w:szCs w:val="14"/>
              </w:rPr>
            </w:pPr>
            <w:hyperlink r:id="rId2772" w:history="1">
              <w:r w:rsidRPr="005A18DC">
                <w:rPr>
                  <w:rStyle w:val="Hyperlink"/>
                  <w:rFonts w:ascii="Arial" w:hAnsi="Arial" w:cs="Arial"/>
                  <w:b/>
                  <w:bCs/>
                  <w:sz w:val="14"/>
                  <w:szCs w:val="14"/>
                </w:rPr>
                <w:t>R1-2312574</w:t>
              </w:r>
            </w:hyperlink>
          </w:p>
        </w:tc>
        <w:tc>
          <w:tcPr>
            <w:tcW w:w="2646" w:type="dxa"/>
          </w:tcPr>
          <w:p w14:paraId="65181FFA" w14:textId="7D5FA501" w:rsidR="005A18DC" w:rsidRPr="005A18DC" w:rsidRDefault="005A18DC" w:rsidP="005A18DC">
            <w:pPr>
              <w:rPr>
                <w:rFonts w:ascii="Arial" w:hAnsi="Arial" w:cs="Arial"/>
                <w:sz w:val="14"/>
                <w:szCs w:val="14"/>
              </w:rPr>
            </w:pPr>
            <w:r w:rsidRPr="005A18DC">
              <w:rPr>
                <w:rFonts w:ascii="Arial" w:hAnsi="Arial" w:cs="Arial"/>
                <w:sz w:val="14"/>
                <w:szCs w:val="14"/>
              </w:rPr>
              <w:t>LS on Rel-18 RAN1 UE features list for NR after RAN1#115</w:t>
            </w:r>
          </w:p>
        </w:tc>
        <w:tc>
          <w:tcPr>
            <w:tcW w:w="1583" w:type="dxa"/>
          </w:tcPr>
          <w:p w14:paraId="698F942E" w14:textId="594A09C7" w:rsidR="005A18DC" w:rsidRPr="005A18DC" w:rsidRDefault="005A18DC" w:rsidP="005A18DC">
            <w:pPr>
              <w:rPr>
                <w:rFonts w:ascii="Arial" w:hAnsi="Arial" w:cs="Arial"/>
                <w:sz w:val="14"/>
                <w:szCs w:val="14"/>
              </w:rPr>
            </w:pPr>
            <w:r w:rsidRPr="005A18DC">
              <w:rPr>
                <w:rFonts w:ascii="Arial" w:hAnsi="Arial" w:cs="Arial"/>
                <w:sz w:val="14"/>
                <w:szCs w:val="14"/>
              </w:rPr>
              <w:t>RAN1, AT&amp;T, NTT DOCOMO, INC.</w:t>
            </w:r>
          </w:p>
        </w:tc>
        <w:tc>
          <w:tcPr>
            <w:tcW w:w="813" w:type="dxa"/>
          </w:tcPr>
          <w:p w14:paraId="4434AB29" w14:textId="0865FF39" w:rsidR="005A18DC" w:rsidRPr="005A18DC" w:rsidRDefault="005A18DC" w:rsidP="005A18DC">
            <w:pPr>
              <w:rPr>
                <w:rFonts w:ascii="Arial" w:hAnsi="Arial" w:cs="Arial"/>
                <w:bCs/>
                <w:sz w:val="14"/>
                <w:szCs w:val="14"/>
              </w:rPr>
            </w:pPr>
            <w:hyperlink r:id="rId2773" w:history="1">
              <w:r w:rsidRPr="005A18DC">
                <w:rPr>
                  <w:rStyle w:val="Hyperlink"/>
                  <w:rFonts w:ascii="Arial" w:hAnsi="Arial" w:cs="Arial"/>
                  <w:b/>
                  <w:bCs/>
                  <w:sz w:val="14"/>
                  <w:szCs w:val="14"/>
                </w:rPr>
                <w:t>Rel-18</w:t>
              </w:r>
            </w:hyperlink>
          </w:p>
        </w:tc>
        <w:tc>
          <w:tcPr>
            <w:tcW w:w="2696" w:type="dxa"/>
          </w:tcPr>
          <w:p w14:paraId="339726CD" w14:textId="4BFCDEB6" w:rsidR="005A18DC" w:rsidRPr="005A18DC" w:rsidRDefault="005A18DC" w:rsidP="005A18DC">
            <w:pPr>
              <w:rPr>
                <w:rFonts w:ascii="Arial" w:hAnsi="Arial" w:cs="Arial"/>
                <w:bCs/>
                <w:sz w:val="14"/>
                <w:szCs w:val="14"/>
              </w:rPr>
            </w:pPr>
            <w:r w:rsidRPr="005A18DC">
              <w:rPr>
                <w:rFonts w:ascii="Arial" w:hAnsi="Arial" w:cs="Arial"/>
                <w:color w:val="000000"/>
                <w:sz w:val="14"/>
                <w:szCs w:val="14"/>
              </w:rPr>
              <w:t>NR_MIMO_evo_DL_UL, NR_pos_enh2, Netw_Energy_NR, NR_netcon_repeater, NR_NTN_enh, NR_Mob_enh2, NR_SL_enh2, NR_redcap_enh, NR_MC_enh, NR_XR_enh, NR_FR1_lessthan_5MHz_BW, NR_DSS_enh, NR_BWP_wor, NR_cov_enh2, TEI18</w:t>
            </w:r>
          </w:p>
        </w:tc>
        <w:tc>
          <w:tcPr>
            <w:tcW w:w="1065" w:type="dxa"/>
          </w:tcPr>
          <w:p w14:paraId="48B85752" w14:textId="3EF8BE04" w:rsidR="005A18DC" w:rsidRPr="005A18DC" w:rsidRDefault="005A18DC" w:rsidP="005A18DC">
            <w:pPr>
              <w:rPr>
                <w:rFonts w:ascii="Arial" w:hAnsi="Arial" w:cs="Arial"/>
                <w:sz w:val="14"/>
                <w:szCs w:val="14"/>
              </w:rPr>
            </w:pPr>
            <w:r w:rsidRPr="005A18DC">
              <w:rPr>
                <w:rFonts w:ascii="Arial" w:hAnsi="Arial" w:cs="Arial"/>
                <w:sz w:val="14"/>
                <w:szCs w:val="14"/>
              </w:rPr>
              <w:t> </w:t>
            </w:r>
          </w:p>
        </w:tc>
        <w:tc>
          <w:tcPr>
            <w:tcW w:w="994" w:type="dxa"/>
          </w:tcPr>
          <w:p w14:paraId="62FABE40" w14:textId="679E6762" w:rsidR="005A18DC" w:rsidRPr="005A18DC" w:rsidRDefault="005A18DC" w:rsidP="005A18DC">
            <w:pPr>
              <w:rPr>
                <w:rFonts w:ascii="Arial" w:hAnsi="Arial" w:cs="Arial"/>
                <w:sz w:val="14"/>
                <w:szCs w:val="14"/>
              </w:rPr>
            </w:pPr>
            <w:r w:rsidRPr="005A18DC">
              <w:rPr>
                <w:rFonts w:ascii="Arial" w:hAnsi="Arial" w:cs="Arial"/>
                <w:sz w:val="14"/>
                <w:szCs w:val="14"/>
              </w:rPr>
              <w:t>RAN2, RAN4</w:t>
            </w:r>
          </w:p>
        </w:tc>
        <w:tc>
          <w:tcPr>
            <w:tcW w:w="994" w:type="dxa"/>
          </w:tcPr>
          <w:p w14:paraId="486198CE" w14:textId="42F102D4" w:rsidR="005A18DC" w:rsidRPr="005A18DC" w:rsidRDefault="005A18DC" w:rsidP="005A18DC">
            <w:pPr>
              <w:rPr>
                <w:rFonts w:ascii="Arial" w:hAnsi="Arial" w:cs="Arial"/>
                <w:sz w:val="14"/>
                <w:szCs w:val="14"/>
              </w:rPr>
            </w:pPr>
            <w:r w:rsidRPr="005A18DC">
              <w:rPr>
                <w:rFonts w:ascii="Arial" w:hAnsi="Arial" w:cs="Arial"/>
                <w:sz w:val="14"/>
                <w:szCs w:val="14"/>
              </w:rPr>
              <w:t> </w:t>
            </w:r>
          </w:p>
        </w:tc>
        <w:tc>
          <w:tcPr>
            <w:tcW w:w="1120" w:type="dxa"/>
          </w:tcPr>
          <w:p w14:paraId="633004D4" w14:textId="33064BE5" w:rsidR="005A18DC" w:rsidRPr="005A18DC" w:rsidRDefault="005A18DC" w:rsidP="005A18DC">
            <w:pPr>
              <w:rPr>
                <w:rFonts w:ascii="Arial" w:hAnsi="Arial" w:cs="Arial"/>
                <w:sz w:val="14"/>
                <w:szCs w:val="14"/>
              </w:rPr>
            </w:pPr>
            <w:r w:rsidRPr="005A18DC">
              <w:rPr>
                <w:rFonts w:ascii="Arial" w:hAnsi="Arial" w:cs="Arial"/>
                <w:sz w:val="14"/>
                <w:szCs w:val="14"/>
              </w:rPr>
              <w:t> </w:t>
            </w:r>
          </w:p>
        </w:tc>
        <w:tc>
          <w:tcPr>
            <w:tcW w:w="1062" w:type="dxa"/>
          </w:tcPr>
          <w:p w14:paraId="44362BBB" w14:textId="139A519B" w:rsidR="005A18DC" w:rsidRPr="005A18DC" w:rsidRDefault="005A18DC" w:rsidP="005A18DC">
            <w:pPr>
              <w:rPr>
                <w:rFonts w:ascii="Arial" w:hAnsi="Arial" w:cs="Arial"/>
                <w:sz w:val="14"/>
                <w:szCs w:val="14"/>
              </w:rPr>
            </w:pPr>
            <w:r w:rsidRPr="005A18DC">
              <w:rPr>
                <w:rFonts w:ascii="Arial" w:hAnsi="Arial" w:cs="Arial"/>
                <w:sz w:val="14"/>
                <w:szCs w:val="14"/>
              </w:rPr>
              <w:t> </w:t>
            </w:r>
          </w:p>
        </w:tc>
      </w:tr>
      <w:tr w:rsidR="005A18DC" w:rsidRPr="005A18DC" w14:paraId="57E73EB0" w14:textId="77777777" w:rsidTr="00B97F04">
        <w:trPr>
          <w:trHeight w:val="20"/>
          <w:jc w:val="center"/>
        </w:trPr>
        <w:tc>
          <w:tcPr>
            <w:tcW w:w="1094" w:type="dxa"/>
          </w:tcPr>
          <w:p w14:paraId="2BEB5D86" w14:textId="223970BE" w:rsidR="005A18DC" w:rsidRPr="005A18DC" w:rsidRDefault="005A18DC" w:rsidP="005A18DC">
            <w:pPr>
              <w:rPr>
                <w:rFonts w:ascii="Arial" w:hAnsi="Arial" w:cs="Arial"/>
                <w:bCs/>
                <w:sz w:val="14"/>
                <w:szCs w:val="14"/>
              </w:rPr>
            </w:pPr>
            <w:hyperlink r:id="rId2774" w:history="1">
              <w:r w:rsidRPr="005A18DC">
                <w:rPr>
                  <w:rStyle w:val="Hyperlink"/>
                  <w:rFonts w:ascii="Arial" w:hAnsi="Arial" w:cs="Arial"/>
                  <w:b/>
                  <w:bCs/>
                  <w:sz w:val="14"/>
                  <w:szCs w:val="14"/>
                </w:rPr>
                <w:t>R1-2312618</w:t>
              </w:r>
            </w:hyperlink>
          </w:p>
        </w:tc>
        <w:tc>
          <w:tcPr>
            <w:tcW w:w="2646" w:type="dxa"/>
          </w:tcPr>
          <w:p w14:paraId="7F6FB544" w14:textId="10A6DCCD" w:rsidR="005A18DC" w:rsidRPr="005A18DC" w:rsidRDefault="005A18DC" w:rsidP="005A18DC">
            <w:pPr>
              <w:rPr>
                <w:rFonts w:ascii="Arial" w:hAnsi="Arial" w:cs="Arial"/>
                <w:sz w:val="14"/>
                <w:szCs w:val="14"/>
              </w:rPr>
            </w:pPr>
            <w:r w:rsidRPr="005A18DC">
              <w:rPr>
                <w:rFonts w:ascii="Arial" w:hAnsi="Arial" w:cs="Arial"/>
                <w:sz w:val="14"/>
                <w:szCs w:val="14"/>
              </w:rPr>
              <w:t>LS on eRedCap agreements on early indication in MsgA PRACH and on peak rate related capability parameters</w:t>
            </w:r>
          </w:p>
        </w:tc>
        <w:tc>
          <w:tcPr>
            <w:tcW w:w="1583" w:type="dxa"/>
          </w:tcPr>
          <w:p w14:paraId="7B89FEDD" w14:textId="6C716BA7" w:rsidR="005A18DC" w:rsidRPr="005A18DC" w:rsidRDefault="005A18DC" w:rsidP="005A18DC">
            <w:pPr>
              <w:rPr>
                <w:rFonts w:ascii="Arial" w:hAnsi="Arial" w:cs="Arial"/>
                <w:sz w:val="14"/>
                <w:szCs w:val="14"/>
              </w:rPr>
            </w:pPr>
            <w:r w:rsidRPr="005A18DC">
              <w:rPr>
                <w:rFonts w:ascii="Arial" w:hAnsi="Arial" w:cs="Arial"/>
                <w:sz w:val="14"/>
                <w:szCs w:val="14"/>
              </w:rPr>
              <w:t>RAN1, Ericsson</w:t>
            </w:r>
          </w:p>
        </w:tc>
        <w:tc>
          <w:tcPr>
            <w:tcW w:w="813" w:type="dxa"/>
          </w:tcPr>
          <w:p w14:paraId="78036C94" w14:textId="563BD4EF" w:rsidR="005A18DC" w:rsidRPr="005A18DC" w:rsidRDefault="005A18DC" w:rsidP="005A18DC">
            <w:pPr>
              <w:rPr>
                <w:rFonts w:ascii="Arial" w:hAnsi="Arial" w:cs="Arial"/>
                <w:bCs/>
                <w:sz w:val="14"/>
                <w:szCs w:val="14"/>
              </w:rPr>
            </w:pPr>
            <w:hyperlink r:id="rId2775" w:history="1">
              <w:r w:rsidRPr="005A18DC">
                <w:rPr>
                  <w:rStyle w:val="Hyperlink"/>
                  <w:rFonts w:ascii="Arial" w:hAnsi="Arial" w:cs="Arial"/>
                  <w:b/>
                  <w:bCs/>
                  <w:sz w:val="14"/>
                  <w:szCs w:val="14"/>
                </w:rPr>
                <w:t>Rel-18</w:t>
              </w:r>
            </w:hyperlink>
          </w:p>
        </w:tc>
        <w:tc>
          <w:tcPr>
            <w:tcW w:w="2696" w:type="dxa"/>
          </w:tcPr>
          <w:p w14:paraId="36695331" w14:textId="5064CAFC" w:rsidR="005A18DC" w:rsidRPr="005A18DC" w:rsidRDefault="005A18DC" w:rsidP="005A18DC">
            <w:pPr>
              <w:rPr>
                <w:rFonts w:ascii="Arial" w:hAnsi="Arial" w:cs="Arial"/>
                <w:bCs/>
                <w:sz w:val="14"/>
                <w:szCs w:val="14"/>
              </w:rPr>
            </w:pPr>
            <w:hyperlink r:id="rId2776" w:history="1">
              <w:r w:rsidRPr="005A18DC">
                <w:rPr>
                  <w:rStyle w:val="Hyperlink"/>
                  <w:rFonts w:ascii="Arial" w:hAnsi="Arial" w:cs="Arial"/>
                  <w:b/>
                  <w:bCs/>
                  <w:sz w:val="14"/>
                  <w:szCs w:val="14"/>
                </w:rPr>
                <w:t>NR_redcap_enh-Core</w:t>
              </w:r>
            </w:hyperlink>
          </w:p>
        </w:tc>
        <w:tc>
          <w:tcPr>
            <w:tcW w:w="1065" w:type="dxa"/>
          </w:tcPr>
          <w:p w14:paraId="01A94829" w14:textId="45CC108B" w:rsidR="005A18DC" w:rsidRPr="005A18DC" w:rsidRDefault="005A18DC" w:rsidP="005A18DC">
            <w:pPr>
              <w:rPr>
                <w:rFonts w:ascii="Arial" w:hAnsi="Arial" w:cs="Arial"/>
                <w:sz w:val="14"/>
                <w:szCs w:val="14"/>
              </w:rPr>
            </w:pPr>
            <w:r w:rsidRPr="005A18DC">
              <w:rPr>
                <w:rFonts w:ascii="Arial" w:hAnsi="Arial" w:cs="Arial"/>
                <w:sz w:val="14"/>
                <w:szCs w:val="14"/>
              </w:rPr>
              <w:t> </w:t>
            </w:r>
          </w:p>
        </w:tc>
        <w:tc>
          <w:tcPr>
            <w:tcW w:w="994" w:type="dxa"/>
          </w:tcPr>
          <w:p w14:paraId="5641F9B3" w14:textId="40A38D05" w:rsidR="005A18DC" w:rsidRPr="005A18DC" w:rsidRDefault="005A18DC" w:rsidP="005A18DC">
            <w:pPr>
              <w:rPr>
                <w:rFonts w:ascii="Arial" w:hAnsi="Arial" w:cs="Arial"/>
                <w:sz w:val="14"/>
                <w:szCs w:val="14"/>
              </w:rPr>
            </w:pPr>
            <w:r w:rsidRPr="005A18DC">
              <w:rPr>
                <w:rFonts w:ascii="Arial" w:hAnsi="Arial" w:cs="Arial"/>
                <w:sz w:val="14"/>
                <w:szCs w:val="14"/>
              </w:rPr>
              <w:t>RAN2</w:t>
            </w:r>
          </w:p>
        </w:tc>
        <w:tc>
          <w:tcPr>
            <w:tcW w:w="994" w:type="dxa"/>
          </w:tcPr>
          <w:p w14:paraId="3C1539B2" w14:textId="5D65E191" w:rsidR="005A18DC" w:rsidRPr="005A18DC" w:rsidRDefault="005A18DC" w:rsidP="005A18DC">
            <w:pPr>
              <w:rPr>
                <w:rFonts w:ascii="Arial" w:hAnsi="Arial" w:cs="Arial"/>
                <w:sz w:val="14"/>
                <w:szCs w:val="14"/>
              </w:rPr>
            </w:pPr>
            <w:r w:rsidRPr="005A18DC">
              <w:rPr>
                <w:rFonts w:ascii="Arial" w:hAnsi="Arial" w:cs="Arial"/>
                <w:sz w:val="14"/>
                <w:szCs w:val="14"/>
              </w:rPr>
              <w:t> </w:t>
            </w:r>
          </w:p>
        </w:tc>
        <w:tc>
          <w:tcPr>
            <w:tcW w:w="1120" w:type="dxa"/>
          </w:tcPr>
          <w:p w14:paraId="155335A9" w14:textId="288B4EF8" w:rsidR="005A18DC" w:rsidRPr="005A18DC" w:rsidRDefault="005A18DC" w:rsidP="005A18DC">
            <w:pPr>
              <w:rPr>
                <w:rFonts w:ascii="Arial" w:hAnsi="Arial" w:cs="Arial"/>
                <w:sz w:val="14"/>
                <w:szCs w:val="14"/>
              </w:rPr>
            </w:pPr>
            <w:r w:rsidRPr="005A18DC">
              <w:rPr>
                <w:rFonts w:ascii="Arial" w:hAnsi="Arial" w:cs="Arial"/>
                <w:sz w:val="14"/>
                <w:szCs w:val="14"/>
              </w:rPr>
              <w:t> </w:t>
            </w:r>
          </w:p>
        </w:tc>
        <w:tc>
          <w:tcPr>
            <w:tcW w:w="1062" w:type="dxa"/>
          </w:tcPr>
          <w:p w14:paraId="343E5FA0" w14:textId="03614B07" w:rsidR="005A18DC" w:rsidRPr="005A18DC" w:rsidRDefault="005A18DC" w:rsidP="005A18DC">
            <w:pPr>
              <w:rPr>
                <w:rFonts w:ascii="Arial" w:hAnsi="Arial" w:cs="Arial"/>
                <w:sz w:val="14"/>
                <w:szCs w:val="14"/>
              </w:rPr>
            </w:pPr>
            <w:r w:rsidRPr="005A18DC">
              <w:rPr>
                <w:rFonts w:ascii="Arial" w:hAnsi="Arial" w:cs="Arial"/>
                <w:sz w:val="14"/>
                <w:szCs w:val="14"/>
              </w:rPr>
              <w:t> </w:t>
            </w:r>
          </w:p>
        </w:tc>
      </w:tr>
      <w:tr w:rsidR="005A18DC" w:rsidRPr="005A18DC" w14:paraId="3187C926" w14:textId="77777777" w:rsidTr="00B97F04">
        <w:trPr>
          <w:trHeight w:val="20"/>
          <w:jc w:val="center"/>
        </w:trPr>
        <w:tc>
          <w:tcPr>
            <w:tcW w:w="1094" w:type="dxa"/>
          </w:tcPr>
          <w:p w14:paraId="5D5CBD4D" w14:textId="4687F13B" w:rsidR="005A18DC" w:rsidRPr="005A18DC" w:rsidRDefault="005A18DC" w:rsidP="005A18DC">
            <w:pPr>
              <w:rPr>
                <w:rFonts w:ascii="Arial" w:hAnsi="Arial" w:cs="Arial"/>
                <w:bCs/>
                <w:sz w:val="14"/>
                <w:szCs w:val="14"/>
              </w:rPr>
            </w:pPr>
            <w:hyperlink r:id="rId2777" w:history="1">
              <w:r w:rsidRPr="005A18DC">
                <w:rPr>
                  <w:rStyle w:val="Hyperlink"/>
                  <w:rFonts w:ascii="Arial" w:hAnsi="Arial" w:cs="Arial"/>
                  <w:b/>
                  <w:bCs/>
                  <w:sz w:val="14"/>
                  <w:szCs w:val="14"/>
                </w:rPr>
                <w:t>R1-2312620</w:t>
              </w:r>
            </w:hyperlink>
          </w:p>
        </w:tc>
        <w:tc>
          <w:tcPr>
            <w:tcW w:w="2646" w:type="dxa"/>
          </w:tcPr>
          <w:p w14:paraId="49D72B3B" w14:textId="683E4C48" w:rsidR="005A18DC" w:rsidRPr="005A18DC" w:rsidRDefault="005A18DC" w:rsidP="005A18DC">
            <w:pPr>
              <w:rPr>
                <w:rFonts w:ascii="Arial" w:hAnsi="Arial" w:cs="Arial"/>
                <w:sz w:val="14"/>
                <w:szCs w:val="14"/>
              </w:rPr>
            </w:pPr>
            <w:r w:rsidRPr="005A18DC">
              <w:rPr>
                <w:rFonts w:ascii="Arial" w:hAnsi="Arial" w:cs="Arial"/>
                <w:sz w:val="14"/>
                <w:szCs w:val="14"/>
              </w:rPr>
              <w:t>LS on periodicity of TRS resources for idle/inactive UEs</w:t>
            </w:r>
          </w:p>
        </w:tc>
        <w:tc>
          <w:tcPr>
            <w:tcW w:w="1583" w:type="dxa"/>
          </w:tcPr>
          <w:p w14:paraId="5EA264BA" w14:textId="39015CEB" w:rsidR="005A18DC" w:rsidRPr="005A18DC" w:rsidRDefault="005A18DC" w:rsidP="005A18DC">
            <w:pPr>
              <w:rPr>
                <w:rFonts w:ascii="Arial" w:hAnsi="Arial" w:cs="Arial"/>
                <w:sz w:val="14"/>
                <w:szCs w:val="14"/>
              </w:rPr>
            </w:pPr>
            <w:r w:rsidRPr="005A18DC">
              <w:rPr>
                <w:rFonts w:ascii="Arial" w:hAnsi="Arial" w:cs="Arial"/>
                <w:sz w:val="14"/>
                <w:szCs w:val="14"/>
              </w:rPr>
              <w:t>RAN1, Ericsson</w:t>
            </w:r>
          </w:p>
        </w:tc>
        <w:tc>
          <w:tcPr>
            <w:tcW w:w="813" w:type="dxa"/>
          </w:tcPr>
          <w:p w14:paraId="16FF1BCC" w14:textId="04567965" w:rsidR="005A18DC" w:rsidRPr="005A18DC" w:rsidRDefault="005A18DC" w:rsidP="005A18DC">
            <w:pPr>
              <w:rPr>
                <w:rFonts w:ascii="Arial" w:hAnsi="Arial" w:cs="Arial"/>
                <w:bCs/>
                <w:sz w:val="14"/>
                <w:szCs w:val="14"/>
              </w:rPr>
            </w:pPr>
            <w:hyperlink r:id="rId2778" w:history="1">
              <w:r w:rsidRPr="005A18DC">
                <w:rPr>
                  <w:rStyle w:val="Hyperlink"/>
                  <w:rFonts w:ascii="Arial" w:hAnsi="Arial" w:cs="Arial"/>
                  <w:b/>
                  <w:bCs/>
                  <w:sz w:val="14"/>
                  <w:szCs w:val="14"/>
                </w:rPr>
                <w:t>Rel-17</w:t>
              </w:r>
            </w:hyperlink>
          </w:p>
        </w:tc>
        <w:tc>
          <w:tcPr>
            <w:tcW w:w="2696" w:type="dxa"/>
          </w:tcPr>
          <w:p w14:paraId="53DA2DFC" w14:textId="047BB8E3" w:rsidR="005A18DC" w:rsidRPr="005A18DC" w:rsidRDefault="005A18DC" w:rsidP="005A18DC">
            <w:pPr>
              <w:rPr>
                <w:rFonts w:ascii="Arial" w:hAnsi="Arial" w:cs="Arial"/>
                <w:bCs/>
                <w:sz w:val="14"/>
                <w:szCs w:val="14"/>
              </w:rPr>
            </w:pPr>
            <w:hyperlink r:id="rId2779" w:history="1">
              <w:r w:rsidRPr="005A18DC">
                <w:rPr>
                  <w:rStyle w:val="Hyperlink"/>
                  <w:rFonts w:ascii="Arial" w:hAnsi="Arial" w:cs="Arial"/>
                  <w:b/>
                  <w:bCs/>
                  <w:sz w:val="14"/>
                  <w:szCs w:val="14"/>
                </w:rPr>
                <w:t>NR_UE_pow_sav_enh-Core</w:t>
              </w:r>
            </w:hyperlink>
          </w:p>
        </w:tc>
        <w:tc>
          <w:tcPr>
            <w:tcW w:w="1065" w:type="dxa"/>
          </w:tcPr>
          <w:p w14:paraId="74230452" w14:textId="1970A1DA" w:rsidR="005A18DC" w:rsidRPr="005A18DC" w:rsidRDefault="005A18DC" w:rsidP="005A18DC">
            <w:pPr>
              <w:rPr>
                <w:rFonts w:ascii="Arial" w:hAnsi="Arial" w:cs="Arial"/>
                <w:sz w:val="14"/>
                <w:szCs w:val="14"/>
              </w:rPr>
            </w:pPr>
            <w:r w:rsidRPr="005A18DC">
              <w:rPr>
                <w:rFonts w:ascii="Arial" w:hAnsi="Arial" w:cs="Arial"/>
                <w:sz w:val="14"/>
                <w:szCs w:val="14"/>
              </w:rPr>
              <w:t> </w:t>
            </w:r>
          </w:p>
        </w:tc>
        <w:tc>
          <w:tcPr>
            <w:tcW w:w="994" w:type="dxa"/>
          </w:tcPr>
          <w:p w14:paraId="7E69AD94" w14:textId="10FDE351" w:rsidR="005A18DC" w:rsidRPr="005A18DC" w:rsidRDefault="005A18DC" w:rsidP="005A18DC">
            <w:pPr>
              <w:rPr>
                <w:rFonts w:ascii="Arial" w:hAnsi="Arial" w:cs="Arial"/>
                <w:sz w:val="14"/>
                <w:szCs w:val="14"/>
              </w:rPr>
            </w:pPr>
            <w:r w:rsidRPr="005A18DC">
              <w:rPr>
                <w:rFonts w:ascii="Arial" w:hAnsi="Arial" w:cs="Arial"/>
                <w:sz w:val="14"/>
                <w:szCs w:val="14"/>
              </w:rPr>
              <w:t>RAN2</w:t>
            </w:r>
          </w:p>
        </w:tc>
        <w:tc>
          <w:tcPr>
            <w:tcW w:w="994" w:type="dxa"/>
          </w:tcPr>
          <w:p w14:paraId="37350745" w14:textId="770659F6" w:rsidR="005A18DC" w:rsidRPr="005A18DC" w:rsidRDefault="005A18DC" w:rsidP="005A18DC">
            <w:pPr>
              <w:rPr>
                <w:rFonts w:ascii="Arial" w:hAnsi="Arial" w:cs="Arial"/>
                <w:sz w:val="14"/>
                <w:szCs w:val="14"/>
              </w:rPr>
            </w:pPr>
            <w:r w:rsidRPr="005A18DC">
              <w:rPr>
                <w:rFonts w:ascii="Arial" w:hAnsi="Arial" w:cs="Arial"/>
                <w:sz w:val="14"/>
                <w:szCs w:val="14"/>
              </w:rPr>
              <w:t> </w:t>
            </w:r>
          </w:p>
        </w:tc>
        <w:tc>
          <w:tcPr>
            <w:tcW w:w="1120" w:type="dxa"/>
          </w:tcPr>
          <w:p w14:paraId="0864A954" w14:textId="49B633C5" w:rsidR="005A18DC" w:rsidRPr="005A18DC" w:rsidRDefault="005A18DC" w:rsidP="005A18DC">
            <w:pPr>
              <w:rPr>
                <w:rFonts w:ascii="Arial" w:hAnsi="Arial" w:cs="Arial"/>
                <w:sz w:val="14"/>
                <w:szCs w:val="14"/>
              </w:rPr>
            </w:pPr>
            <w:r w:rsidRPr="005A18DC">
              <w:rPr>
                <w:rFonts w:ascii="Arial" w:hAnsi="Arial" w:cs="Arial"/>
                <w:sz w:val="14"/>
                <w:szCs w:val="14"/>
              </w:rPr>
              <w:t> </w:t>
            </w:r>
          </w:p>
        </w:tc>
        <w:tc>
          <w:tcPr>
            <w:tcW w:w="1062" w:type="dxa"/>
          </w:tcPr>
          <w:p w14:paraId="18C0A507" w14:textId="6DECDAB7" w:rsidR="005A18DC" w:rsidRPr="005A18DC" w:rsidRDefault="005A18DC" w:rsidP="005A18DC">
            <w:pPr>
              <w:rPr>
                <w:rFonts w:ascii="Arial" w:hAnsi="Arial" w:cs="Arial"/>
                <w:sz w:val="14"/>
                <w:szCs w:val="14"/>
              </w:rPr>
            </w:pPr>
            <w:r w:rsidRPr="005A18DC">
              <w:rPr>
                <w:rFonts w:ascii="Arial" w:hAnsi="Arial" w:cs="Arial"/>
                <w:sz w:val="14"/>
                <w:szCs w:val="14"/>
              </w:rPr>
              <w:t> </w:t>
            </w:r>
          </w:p>
        </w:tc>
      </w:tr>
      <w:tr w:rsidR="005A18DC" w:rsidRPr="005A18DC" w14:paraId="24C7B888" w14:textId="77777777" w:rsidTr="00B97F04">
        <w:trPr>
          <w:trHeight w:val="20"/>
          <w:jc w:val="center"/>
        </w:trPr>
        <w:tc>
          <w:tcPr>
            <w:tcW w:w="1094" w:type="dxa"/>
          </w:tcPr>
          <w:p w14:paraId="413C74D8" w14:textId="328F89A1" w:rsidR="005A18DC" w:rsidRPr="005A18DC" w:rsidRDefault="005A18DC" w:rsidP="005A18DC">
            <w:pPr>
              <w:rPr>
                <w:rFonts w:ascii="Arial" w:hAnsi="Arial" w:cs="Arial"/>
                <w:bCs/>
                <w:sz w:val="14"/>
                <w:szCs w:val="14"/>
              </w:rPr>
            </w:pPr>
            <w:hyperlink r:id="rId2780" w:history="1">
              <w:r w:rsidRPr="005A18DC">
                <w:rPr>
                  <w:rStyle w:val="Hyperlink"/>
                  <w:rFonts w:ascii="Arial" w:hAnsi="Arial" w:cs="Arial"/>
                  <w:b/>
                  <w:bCs/>
                  <w:sz w:val="14"/>
                  <w:szCs w:val="14"/>
                </w:rPr>
                <w:t>R1-2312621</w:t>
              </w:r>
            </w:hyperlink>
          </w:p>
        </w:tc>
        <w:tc>
          <w:tcPr>
            <w:tcW w:w="2646" w:type="dxa"/>
          </w:tcPr>
          <w:p w14:paraId="475B6B98" w14:textId="479FB5BD" w:rsidR="005A18DC" w:rsidRPr="005A18DC" w:rsidRDefault="005A18DC" w:rsidP="005A18DC">
            <w:pPr>
              <w:rPr>
                <w:rFonts w:ascii="Arial" w:hAnsi="Arial" w:cs="Arial"/>
                <w:sz w:val="14"/>
                <w:szCs w:val="14"/>
              </w:rPr>
            </w:pPr>
            <w:r w:rsidRPr="005A18DC">
              <w:rPr>
                <w:rFonts w:ascii="Arial" w:hAnsi="Arial" w:cs="Arial"/>
                <w:sz w:val="14"/>
                <w:szCs w:val="14"/>
              </w:rPr>
              <w:t>LS on Rel-17 URLLC/IIoT required RRC parameter description change in 38.331</w:t>
            </w:r>
          </w:p>
        </w:tc>
        <w:tc>
          <w:tcPr>
            <w:tcW w:w="1583" w:type="dxa"/>
          </w:tcPr>
          <w:p w14:paraId="193B79FE" w14:textId="550BDBBD" w:rsidR="005A18DC" w:rsidRPr="005A18DC" w:rsidRDefault="005A18DC" w:rsidP="005A18DC">
            <w:pPr>
              <w:rPr>
                <w:rFonts w:ascii="Arial" w:hAnsi="Arial" w:cs="Arial"/>
                <w:sz w:val="14"/>
                <w:szCs w:val="14"/>
              </w:rPr>
            </w:pPr>
            <w:r w:rsidRPr="005A18DC">
              <w:rPr>
                <w:rFonts w:ascii="Arial" w:hAnsi="Arial" w:cs="Arial"/>
                <w:sz w:val="14"/>
                <w:szCs w:val="14"/>
              </w:rPr>
              <w:t>RAN1, Nokia</w:t>
            </w:r>
          </w:p>
        </w:tc>
        <w:tc>
          <w:tcPr>
            <w:tcW w:w="813" w:type="dxa"/>
          </w:tcPr>
          <w:p w14:paraId="19C3BB99" w14:textId="42F9D7D2" w:rsidR="005A18DC" w:rsidRPr="005A18DC" w:rsidRDefault="005A18DC" w:rsidP="005A18DC">
            <w:pPr>
              <w:rPr>
                <w:rFonts w:ascii="Arial" w:hAnsi="Arial" w:cs="Arial"/>
                <w:bCs/>
                <w:sz w:val="14"/>
                <w:szCs w:val="14"/>
              </w:rPr>
            </w:pPr>
            <w:hyperlink r:id="rId2781" w:history="1">
              <w:r w:rsidRPr="005A18DC">
                <w:rPr>
                  <w:rStyle w:val="Hyperlink"/>
                  <w:rFonts w:ascii="Arial" w:hAnsi="Arial" w:cs="Arial"/>
                  <w:b/>
                  <w:bCs/>
                  <w:sz w:val="14"/>
                  <w:szCs w:val="14"/>
                </w:rPr>
                <w:t>Rel-17</w:t>
              </w:r>
            </w:hyperlink>
          </w:p>
        </w:tc>
        <w:tc>
          <w:tcPr>
            <w:tcW w:w="2696" w:type="dxa"/>
          </w:tcPr>
          <w:p w14:paraId="0500AA83" w14:textId="05D97E4A" w:rsidR="005A18DC" w:rsidRPr="005A18DC" w:rsidRDefault="005A18DC" w:rsidP="005A18DC">
            <w:pPr>
              <w:rPr>
                <w:rFonts w:ascii="Arial" w:hAnsi="Arial" w:cs="Arial"/>
                <w:bCs/>
                <w:sz w:val="14"/>
                <w:szCs w:val="14"/>
              </w:rPr>
            </w:pPr>
            <w:hyperlink r:id="rId2782" w:history="1">
              <w:r w:rsidRPr="005A18DC">
                <w:rPr>
                  <w:rStyle w:val="Hyperlink"/>
                  <w:rFonts w:ascii="Arial" w:hAnsi="Arial" w:cs="Arial"/>
                  <w:b/>
                  <w:bCs/>
                  <w:sz w:val="14"/>
                  <w:szCs w:val="14"/>
                </w:rPr>
                <w:t>NR_IIOT_URLLC_enh-Core</w:t>
              </w:r>
            </w:hyperlink>
          </w:p>
        </w:tc>
        <w:tc>
          <w:tcPr>
            <w:tcW w:w="1065" w:type="dxa"/>
          </w:tcPr>
          <w:p w14:paraId="059A1379" w14:textId="03CE9F0C" w:rsidR="005A18DC" w:rsidRPr="005A18DC" w:rsidRDefault="005A18DC" w:rsidP="005A18DC">
            <w:pPr>
              <w:rPr>
                <w:rFonts w:ascii="Arial" w:hAnsi="Arial" w:cs="Arial"/>
                <w:sz w:val="14"/>
                <w:szCs w:val="14"/>
              </w:rPr>
            </w:pPr>
            <w:r w:rsidRPr="005A18DC">
              <w:rPr>
                <w:rFonts w:ascii="Arial" w:hAnsi="Arial" w:cs="Arial"/>
                <w:sz w:val="14"/>
                <w:szCs w:val="14"/>
              </w:rPr>
              <w:t> </w:t>
            </w:r>
          </w:p>
        </w:tc>
        <w:tc>
          <w:tcPr>
            <w:tcW w:w="994" w:type="dxa"/>
          </w:tcPr>
          <w:p w14:paraId="02E9BF0F" w14:textId="28B851BF" w:rsidR="005A18DC" w:rsidRPr="005A18DC" w:rsidRDefault="005A18DC" w:rsidP="005A18DC">
            <w:pPr>
              <w:rPr>
                <w:rFonts w:ascii="Arial" w:hAnsi="Arial" w:cs="Arial"/>
                <w:sz w:val="14"/>
                <w:szCs w:val="14"/>
              </w:rPr>
            </w:pPr>
            <w:r w:rsidRPr="005A18DC">
              <w:rPr>
                <w:rFonts w:ascii="Arial" w:hAnsi="Arial" w:cs="Arial"/>
                <w:sz w:val="14"/>
                <w:szCs w:val="14"/>
              </w:rPr>
              <w:t>RAN2</w:t>
            </w:r>
          </w:p>
        </w:tc>
        <w:tc>
          <w:tcPr>
            <w:tcW w:w="994" w:type="dxa"/>
          </w:tcPr>
          <w:p w14:paraId="5C535B78" w14:textId="4224E3AE" w:rsidR="005A18DC" w:rsidRPr="005A18DC" w:rsidRDefault="005A18DC" w:rsidP="005A18DC">
            <w:pPr>
              <w:rPr>
                <w:rFonts w:ascii="Arial" w:hAnsi="Arial" w:cs="Arial"/>
                <w:sz w:val="14"/>
                <w:szCs w:val="14"/>
              </w:rPr>
            </w:pPr>
            <w:r w:rsidRPr="005A18DC">
              <w:rPr>
                <w:rFonts w:ascii="Arial" w:hAnsi="Arial" w:cs="Arial"/>
                <w:sz w:val="14"/>
                <w:szCs w:val="14"/>
              </w:rPr>
              <w:t> </w:t>
            </w:r>
          </w:p>
        </w:tc>
        <w:tc>
          <w:tcPr>
            <w:tcW w:w="1120" w:type="dxa"/>
          </w:tcPr>
          <w:p w14:paraId="04E8ED35" w14:textId="1C3F5524" w:rsidR="005A18DC" w:rsidRPr="005A18DC" w:rsidRDefault="005A18DC" w:rsidP="005A18DC">
            <w:pPr>
              <w:rPr>
                <w:rFonts w:ascii="Arial" w:hAnsi="Arial" w:cs="Arial"/>
                <w:sz w:val="14"/>
                <w:szCs w:val="14"/>
              </w:rPr>
            </w:pPr>
            <w:r w:rsidRPr="005A18DC">
              <w:rPr>
                <w:rFonts w:ascii="Arial" w:hAnsi="Arial" w:cs="Arial"/>
                <w:sz w:val="14"/>
                <w:szCs w:val="14"/>
              </w:rPr>
              <w:t> </w:t>
            </w:r>
          </w:p>
        </w:tc>
        <w:tc>
          <w:tcPr>
            <w:tcW w:w="1062" w:type="dxa"/>
          </w:tcPr>
          <w:p w14:paraId="76E0AFDD" w14:textId="44B21221" w:rsidR="005A18DC" w:rsidRPr="005A18DC" w:rsidRDefault="005A18DC" w:rsidP="005A18DC">
            <w:pPr>
              <w:rPr>
                <w:rFonts w:ascii="Arial" w:hAnsi="Arial" w:cs="Arial"/>
                <w:sz w:val="14"/>
                <w:szCs w:val="14"/>
              </w:rPr>
            </w:pPr>
            <w:r w:rsidRPr="005A18DC">
              <w:rPr>
                <w:rFonts w:ascii="Arial" w:hAnsi="Arial" w:cs="Arial"/>
                <w:sz w:val="14"/>
                <w:szCs w:val="14"/>
              </w:rPr>
              <w:t> </w:t>
            </w:r>
          </w:p>
        </w:tc>
      </w:tr>
      <w:tr w:rsidR="005A18DC" w:rsidRPr="005A18DC" w14:paraId="69F4532B" w14:textId="77777777" w:rsidTr="00B97F04">
        <w:trPr>
          <w:trHeight w:val="20"/>
          <w:jc w:val="center"/>
        </w:trPr>
        <w:tc>
          <w:tcPr>
            <w:tcW w:w="1094" w:type="dxa"/>
          </w:tcPr>
          <w:p w14:paraId="1CFF0E01" w14:textId="7E6E63D6" w:rsidR="005A18DC" w:rsidRPr="005A18DC" w:rsidRDefault="005A18DC" w:rsidP="005A18DC">
            <w:pPr>
              <w:rPr>
                <w:rFonts w:ascii="Arial" w:hAnsi="Arial" w:cs="Arial"/>
                <w:bCs/>
                <w:sz w:val="14"/>
                <w:szCs w:val="14"/>
              </w:rPr>
            </w:pPr>
            <w:hyperlink r:id="rId2783" w:history="1">
              <w:r w:rsidRPr="005A18DC">
                <w:rPr>
                  <w:rStyle w:val="Hyperlink"/>
                  <w:rFonts w:ascii="Arial" w:hAnsi="Arial" w:cs="Arial"/>
                  <w:b/>
                  <w:bCs/>
                  <w:sz w:val="14"/>
                  <w:szCs w:val="14"/>
                </w:rPr>
                <w:t>R1-2312630</w:t>
              </w:r>
            </w:hyperlink>
          </w:p>
        </w:tc>
        <w:tc>
          <w:tcPr>
            <w:tcW w:w="2646" w:type="dxa"/>
          </w:tcPr>
          <w:p w14:paraId="7FC8F29C" w14:textId="6BF8FF80" w:rsidR="005A18DC" w:rsidRPr="005A18DC" w:rsidRDefault="005A18DC" w:rsidP="005A18DC">
            <w:pPr>
              <w:rPr>
                <w:rFonts w:ascii="Arial" w:hAnsi="Arial" w:cs="Arial"/>
                <w:sz w:val="14"/>
                <w:szCs w:val="14"/>
              </w:rPr>
            </w:pPr>
            <w:r w:rsidRPr="005A18DC">
              <w:rPr>
                <w:rFonts w:ascii="Arial" w:hAnsi="Arial" w:cs="Arial"/>
                <w:sz w:val="14"/>
                <w:szCs w:val="14"/>
              </w:rPr>
              <w:t>LS on the request for specific SL PRS resource characteristic(s)/SL-PRS resource configuration</w:t>
            </w:r>
          </w:p>
        </w:tc>
        <w:tc>
          <w:tcPr>
            <w:tcW w:w="1583" w:type="dxa"/>
          </w:tcPr>
          <w:p w14:paraId="5B1037FE" w14:textId="4A6ECDF5" w:rsidR="005A18DC" w:rsidRPr="005A18DC" w:rsidRDefault="005A18DC" w:rsidP="005A18DC">
            <w:pPr>
              <w:rPr>
                <w:rFonts w:ascii="Arial" w:hAnsi="Arial" w:cs="Arial"/>
                <w:sz w:val="14"/>
                <w:szCs w:val="14"/>
              </w:rPr>
            </w:pPr>
            <w:r w:rsidRPr="005A18DC">
              <w:rPr>
                <w:rFonts w:ascii="Arial" w:hAnsi="Arial" w:cs="Arial"/>
                <w:sz w:val="14"/>
                <w:szCs w:val="14"/>
              </w:rPr>
              <w:t>RAN1, Qualcomm Incorporated</w:t>
            </w:r>
          </w:p>
        </w:tc>
        <w:tc>
          <w:tcPr>
            <w:tcW w:w="813" w:type="dxa"/>
          </w:tcPr>
          <w:p w14:paraId="1840E5B7" w14:textId="17DFFE9B" w:rsidR="005A18DC" w:rsidRPr="005A18DC" w:rsidRDefault="005A18DC" w:rsidP="005A18DC">
            <w:pPr>
              <w:rPr>
                <w:rFonts w:ascii="Arial" w:hAnsi="Arial" w:cs="Arial"/>
                <w:bCs/>
                <w:sz w:val="14"/>
                <w:szCs w:val="14"/>
              </w:rPr>
            </w:pPr>
            <w:hyperlink r:id="rId2784" w:history="1">
              <w:r w:rsidRPr="005A18DC">
                <w:rPr>
                  <w:rStyle w:val="Hyperlink"/>
                  <w:rFonts w:ascii="Arial" w:hAnsi="Arial" w:cs="Arial"/>
                  <w:b/>
                  <w:bCs/>
                  <w:sz w:val="14"/>
                  <w:szCs w:val="14"/>
                </w:rPr>
                <w:t>Rel-18</w:t>
              </w:r>
            </w:hyperlink>
          </w:p>
        </w:tc>
        <w:tc>
          <w:tcPr>
            <w:tcW w:w="2696" w:type="dxa"/>
          </w:tcPr>
          <w:p w14:paraId="0CB95A2D" w14:textId="0737488B" w:rsidR="005A18DC" w:rsidRPr="005A18DC" w:rsidRDefault="005A18DC" w:rsidP="005A18DC">
            <w:pPr>
              <w:rPr>
                <w:rFonts w:ascii="Arial" w:hAnsi="Arial" w:cs="Arial"/>
                <w:bCs/>
                <w:sz w:val="14"/>
                <w:szCs w:val="14"/>
              </w:rPr>
            </w:pPr>
            <w:hyperlink r:id="rId2785" w:history="1">
              <w:r w:rsidRPr="005A18DC">
                <w:rPr>
                  <w:rStyle w:val="Hyperlink"/>
                  <w:rFonts w:ascii="Arial" w:hAnsi="Arial" w:cs="Arial"/>
                  <w:b/>
                  <w:bCs/>
                  <w:sz w:val="14"/>
                  <w:szCs w:val="14"/>
                </w:rPr>
                <w:t>NR_pos_enh2-Core</w:t>
              </w:r>
            </w:hyperlink>
          </w:p>
        </w:tc>
        <w:tc>
          <w:tcPr>
            <w:tcW w:w="1065" w:type="dxa"/>
          </w:tcPr>
          <w:p w14:paraId="3DC528C5" w14:textId="6EE6B3DE" w:rsidR="005A18DC" w:rsidRPr="005A18DC" w:rsidRDefault="005A18DC" w:rsidP="005A18DC">
            <w:pPr>
              <w:rPr>
                <w:rFonts w:ascii="Arial" w:hAnsi="Arial" w:cs="Arial"/>
                <w:sz w:val="14"/>
                <w:szCs w:val="14"/>
              </w:rPr>
            </w:pPr>
            <w:r w:rsidRPr="005A18DC">
              <w:rPr>
                <w:rFonts w:ascii="Arial" w:hAnsi="Arial" w:cs="Arial"/>
                <w:sz w:val="14"/>
                <w:szCs w:val="14"/>
              </w:rPr>
              <w:t> </w:t>
            </w:r>
          </w:p>
        </w:tc>
        <w:tc>
          <w:tcPr>
            <w:tcW w:w="994" w:type="dxa"/>
          </w:tcPr>
          <w:p w14:paraId="4FB9DECA" w14:textId="238F2E68" w:rsidR="005A18DC" w:rsidRPr="005A18DC" w:rsidRDefault="005A18DC" w:rsidP="005A18DC">
            <w:pPr>
              <w:rPr>
                <w:rFonts w:ascii="Arial" w:hAnsi="Arial" w:cs="Arial"/>
                <w:sz w:val="14"/>
                <w:szCs w:val="14"/>
              </w:rPr>
            </w:pPr>
            <w:r w:rsidRPr="005A18DC">
              <w:rPr>
                <w:rFonts w:ascii="Arial" w:hAnsi="Arial" w:cs="Arial"/>
                <w:sz w:val="14"/>
                <w:szCs w:val="14"/>
              </w:rPr>
              <w:t>RAN2, RAN3</w:t>
            </w:r>
          </w:p>
        </w:tc>
        <w:tc>
          <w:tcPr>
            <w:tcW w:w="994" w:type="dxa"/>
          </w:tcPr>
          <w:p w14:paraId="28A4C154" w14:textId="46F40ED8" w:rsidR="005A18DC" w:rsidRPr="005A18DC" w:rsidRDefault="005A18DC" w:rsidP="005A18DC">
            <w:pPr>
              <w:rPr>
                <w:rFonts w:ascii="Arial" w:hAnsi="Arial" w:cs="Arial"/>
                <w:sz w:val="14"/>
                <w:szCs w:val="14"/>
              </w:rPr>
            </w:pPr>
            <w:r w:rsidRPr="005A18DC">
              <w:rPr>
                <w:rFonts w:ascii="Arial" w:hAnsi="Arial" w:cs="Arial"/>
                <w:sz w:val="14"/>
                <w:szCs w:val="14"/>
              </w:rPr>
              <w:t> </w:t>
            </w:r>
          </w:p>
        </w:tc>
        <w:tc>
          <w:tcPr>
            <w:tcW w:w="1120" w:type="dxa"/>
          </w:tcPr>
          <w:p w14:paraId="5399741A" w14:textId="1BEA3DC0" w:rsidR="005A18DC" w:rsidRPr="005A18DC" w:rsidRDefault="005A18DC" w:rsidP="005A18DC">
            <w:pPr>
              <w:rPr>
                <w:rFonts w:ascii="Arial" w:hAnsi="Arial" w:cs="Arial"/>
                <w:sz w:val="14"/>
                <w:szCs w:val="14"/>
              </w:rPr>
            </w:pPr>
            <w:r w:rsidRPr="005A18DC">
              <w:rPr>
                <w:rFonts w:ascii="Arial" w:hAnsi="Arial" w:cs="Arial"/>
                <w:sz w:val="14"/>
                <w:szCs w:val="14"/>
              </w:rPr>
              <w:t> </w:t>
            </w:r>
          </w:p>
        </w:tc>
        <w:tc>
          <w:tcPr>
            <w:tcW w:w="1062" w:type="dxa"/>
          </w:tcPr>
          <w:p w14:paraId="4107F950" w14:textId="044FBAF5" w:rsidR="005A18DC" w:rsidRPr="005A18DC" w:rsidRDefault="005A18DC" w:rsidP="005A18DC">
            <w:pPr>
              <w:rPr>
                <w:rFonts w:ascii="Arial" w:hAnsi="Arial" w:cs="Arial"/>
                <w:sz w:val="14"/>
                <w:szCs w:val="14"/>
              </w:rPr>
            </w:pPr>
            <w:r w:rsidRPr="005A18DC">
              <w:rPr>
                <w:rFonts w:ascii="Arial" w:hAnsi="Arial" w:cs="Arial"/>
                <w:sz w:val="14"/>
                <w:szCs w:val="14"/>
              </w:rPr>
              <w:t> </w:t>
            </w:r>
          </w:p>
        </w:tc>
      </w:tr>
      <w:tr w:rsidR="005A18DC" w:rsidRPr="005A18DC" w14:paraId="2D3F9084" w14:textId="77777777" w:rsidTr="00B97F04">
        <w:trPr>
          <w:trHeight w:val="20"/>
          <w:jc w:val="center"/>
        </w:trPr>
        <w:tc>
          <w:tcPr>
            <w:tcW w:w="1094" w:type="dxa"/>
          </w:tcPr>
          <w:p w14:paraId="5D27820B" w14:textId="01C3F212" w:rsidR="005A18DC" w:rsidRPr="005A18DC" w:rsidRDefault="005A18DC" w:rsidP="005A18DC">
            <w:pPr>
              <w:rPr>
                <w:rFonts w:ascii="Arial" w:hAnsi="Arial" w:cs="Arial"/>
                <w:bCs/>
                <w:sz w:val="14"/>
                <w:szCs w:val="14"/>
              </w:rPr>
            </w:pPr>
            <w:hyperlink r:id="rId2786" w:history="1">
              <w:r w:rsidRPr="005A18DC">
                <w:rPr>
                  <w:rStyle w:val="Hyperlink"/>
                  <w:rFonts w:ascii="Arial" w:hAnsi="Arial" w:cs="Arial"/>
                  <w:b/>
                  <w:bCs/>
                  <w:sz w:val="14"/>
                  <w:szCs w:val="14"/>
                </w:rPr>
                <w:t>R1-2312641</w:t>
              </w:r>
            </w:hyperlink>
          </w:p>
        </w:tc>
        <w:tc>
          <w:tcPr>
            <w:tcW w:w="2646" w:type="dxa"/>
          </w:tcPr>
          <w:p w14:paraId="4FB4CFA3" w14:textId="552A3E55" w:rsidR="005A18DC" w:rsidRPr="005A18DC" w:rsidRDefault="005A18DC" w:rsidP="005A18DC">
            <w:pPr>
              <w:rPr>
                <w:rFonts w:ascii="Arial" w:hAnsi="Arial" w:cs="Arial"/>
                <w:sz w:val="14"/>
                <w:szCs w:val="14"/>
              </w:rPr>
            </w:pPr>
            <w:r w:rsidRPr="005A18DC">
              <w:rPr>
                <w:rFonts w:ascii="Arial" w:hAnsi="Arial" w:cs="Arial"/>
                <w:sz w:val="14"/>
                <w:szCs w:val="14"/>
              </w:rPr>
              <w:t>Reply LS on UE Capability of Multicast Reception in RRC_INACTIVE</w:t>
            </w:r>
          </w:p>
        </w:tc>
        <w:tc>
          <w:tcPr>
            <w:tcW w:w="1583" w:type="dxa"/>
          </w:tcPr>
          <w:p w14:paraId="668E92C7" w14:textId="50A619A6" w:rsidR="005A18DC" w:rsidRPr="005A18DC" w:rsidRDefault="005A18DC" w:rsidP="005A18DC">
            <w:pPr>
              <w:rPr>
                <w:rFonts w:ascii="Arial" w:hAnsi="Arial" w:cs="Arial"/>
                <w:sz w:val="14"/>
                <w:szCs w:val="14"/>
              </w:rPr>
            </w:pPr>
            <w:r w:rsidRPr="005A18DC">
              <w:rPr>
                <w:rFonts w:ascii="Arial" w:hAnsi="Arial" w:cs="Arial"/>
                <w:sz w:val="14"/>
                <w:szCs w:val="14"/>
              </w:rPr>
              <w:t>RAN1, vivo</w:t>
            </w:r>
          </w:p>
        </w:tc>
        <w:tc>
          <w:tcPr>
            <w:tcW w:w="813" w:type="dxa"/>
          </w:tcPr>
          <w:p w14:paraId="06A1D216" w14:textId="0F32CCD3" w:rsidR="005A18DC" w:rsidRPr="005A18DC" w:rsidRDefault="005A18DC" w:rsidP="005A18DC">
            <w:pPr>
              <w:rPr>
                <w:rFonts w:ascii="Arial" w:hAnsi="Arial" w:cs="Arial"/>
                <w:bCs/>
                <w:sz w:val="14"/>
                <w:szCs w:val="14"/>
              </w:rPr>
            </w:pPr>
            <w:hyperlink r:id="rId2787" w:history="1">
              <w:r w:rsidRPr="005A18DC">
                <w:rPr>
                  <w:rStyle w:val="Hyperlink"/>
                  <w:rFonts w:ascii="Arial" w:hAnsi="Arial" w:cs="Arial"/>
                  <w:b/>
                  <w:bCs/>
                  <w:sz w:val="14"/>
                  <w:szCs w:val="14"/>
                </w:rPr>
                <w:t>Rel-18</w:t>
              </w:r>
            </w:hyperlink>
          </w:p>
        </w:tc>
        <w:tc>
          <w:tcPr>
            <w:tcW w:w="2696" w:type="dxa"/>
          </w:tcPr>
          <w:p w14:paraId="090537CA" w14:textId="2AE87420" w:rsidR="005A18DC" w:rsidRPr="005A18DC" w:rsidRDefault="005A18DC" w:rsidP="005A18DC">
            <w:pPr>
              <w:rPr>
                <w:rFonts w:ascii="Arial" w:hAnsi="Arial" w:cs="Arial"/>
                <w:bCs/>
                <w:sz w:val="14"/>
                <w:szCs w:val="14"/>
              </w:rPr>
            </w:pPr>
            <w:hyperlink r:id="rId2788" w:history="1">
              <w:r w:rsidRPr="005A18DC">
                <w:rPr>
                  <w:rStyle w:val="Hyperlink"/>
                  <w:rFonts w:ascii="Arial" w:hAnsi="Arial" w:cs="Arial"/>
                  <w:b/>
                  <w:bCs/>
                  <w:sz w:val="14"/>
                  <w:szCs w:val="14"/>
                </w:rPr>
                <w:t>NR_MBS_enh-Core</w:t>
              </w:r>
            </w:hyperlink>
          </w:p>
        </w:tc>
        <w:tc>
          <w:tcPr>
            <w:tcW w:w="1065" w:type="dxa"/>
          </w:tcPr>
          <w:p w14:paraId="2839F0CA" w14:textId="32BBAF51" w:rsidR="005A18DC" w:rsidRPr="005A18DC" w:rsidRDefault="005A18DC" w:rsidP="005A18DC">
            <w:pPr>
              <w:rPr>
                <w:rFonts w:ascii="Arial" w:hAnsi="Arial" w:cs="Arial"/>
                <w:sz w:val="14"/>
                <w:szCs w:val="14"/>
              </w:rPr>
            </w:pPr>
            <w:r w:rsidRPr="005A18DC">
              <w:rPr>
                <w:rFonts w:ascii="Arial" w:hAnsi="Arial" w:cs="Arial"/>
                <w:sz w:val="14"/>
                <w:szCs w:val="14"/>
              </w:rPr>
              <w:t>R2-2311542</w:t>
            </w:r>
          </w:p>
        </w:tc>
        <w:tc>
          <w:tcPr>
            <w:tcW w:w="994" w:type="dxa"/>
          </w:tcPr>
          <w:p w14:paraId="51D735E5" w14:textId="65417909" w:rsidR="005A18DC" w:rsidRPr="005A18DC" w:rsidRDefault="005A18DC" w:rsidP="005A18DC">
            <w:pPr>
              <w:rPr>
                <w:rFonts w:ascii="Arial" w:hAnsi="Arial" w:cs="Arial"/>
                <w:sz w:val="14"/>
                <w:szCs w:val="14"/>
              </w:rPr>
            </w:pPr>
            <w:r w:rsidRPr="005A18DC">
              <w:rPr>
                <w:rFonts w:ascii="Arial" w:hAnsi="Arial" w:cs="Arial"/>
                <w:sz w:val="14"/>
                <w:szCs w:val="14"/>
              </w:rPr>
              <w:t>RAN2</w:t>
            </w:r>
          </w:p>
        </w:tc>
        <w:tc>
          <w:tcPr>
            <w:tcW w:w="994" w:type="dxa"/>
          </w:tcPr>
          <w:p w14:paraId="483B7B17" w14:textId="1BCD3A78" w:rsidR="005A18DC" w:rsidRPr="005A18DC" w:rsidRDefault="005A18DC" w:rsidP="005A18DC">
            <w:pPr>
              <w:rPr>
                <w:rFonts w:ascii="Arial" w:hAnsi="Arial" w:cs="Arial"/>
                <w:sz w:val="14"/>
                <w:szCs w:val="14"/>
              </w:rPr>
            </w:pPr>
            <w:r w:rsidRPr="005A18DC">
              <w:rPr>
                <w:rFonts w:ascii="Arial" w:hAnsi="Arial" w:cs="Arial"/>
                <w:sz w:val="14"/>
                <w:szCs w:val="14"/>
              </w:rPr>
              <w:t> </w:t>
            </w:r>
          </w:p>
        </w:tc>
        <w:tc>
          <w:tcPr>
            <w:tcW w:w="1120" w:type="dxa"/>
          </w:tcPr>
          <w:p w14:paraId="2CEE0696" w14:textId="2B48CC29" w:rsidR="005A18DC" w:rsidRPr="005A18DC" w:rsidRDefault="005A18DC" w:rsidP="005A18DC">
            <w:pPr>
              <w:rPr>
                <w:rFonts w:ascii="Arial" w:hAnsi="Arial" w:cs="Arial"/>
                <w:sz w:val="14"/>
                <w:szCs w:val="14"/>
              </w:rPr>
            </w:pPr>
            <w:r w:rsidRPr="005A18DC">
              <w:rPr>
                <w:rFonts w:ascii="Arial" w:hAnsi="Arial" w:cs="Arial"/>
                <w:sz w:val="14"/>
                <w:szCs w:val="14"/>
              </w:rPr>
              <w:t> </w:t>
            </w:r>
          </w:p>
        </w:tc>
        <w:tc>
          <w:tcPr>
            <w:tcW w:w="1062" w:type="dxa"/>
          </w:tcPr>
          <w:p w14:paraId="427F6B2E" w14:textId="22CD0E13" w:rsidR="005A18DC" w:rsidRPr="005A18DC" w:rsidRDefault="005A18DC" w:rsidP="005A18DC">
            <w:pPr>
              <w:rPr>
                <w:rFonts w:ascii="Arial" w:hAnsi="Arial" w:cs="Arial"/>
                <w:sz w:val="14"/>
                <w:szCs w:val="14"/>
              </w:rPr>
            </w:pPr>
            <w:r w:rsidRPr="005A18DC">
              <w:rPr>
                <w:rFonts w:ascii="Arial" w:hAnsi="Arial" w:cs="Arial"/>
                <w:sz w:val="14"/>
                <w:szCs w:val="14"/>
              </w:rPr>
              <w:t> </w:t>
            </w:r>
          </w:p>
        </w:tc>
      </w:tr>
      <w:tr w:rsidR="005A18DC" w:rsidRPr="005A18DC" w14:paraId="7C536052" w14:textId="77777777" w:rsidTr="00B97F04">
        <w:trPr>
          <w:trHeight w:val="20"/>
          <w:jc w:val="center"/>
        </w:trPr>
        <w:tc>
          <w:tcPr>
            <w:tcW w:w="1094" w:type="dxa"/>
          </w:tcPr>
          <w:p w14:paraId="7A97D265" w14:textId="2FA1A5D3" w:rsidR="005A18DC" w:rsidRPr="005A18DC" w:rsidRDefault="005A18DC" w:rsidP="005A18DC">
            <w:pPr>
              <w:rPr>
                <w:rFonts w:ascii="Arial" w:hAnsi="Arial" w:cs="Arial"/>
                <w:bCs/>
                <w:sz w:val="14"/>
                <w:szCs w:val="14"/>
              </w:rPr>
            </w:pPr>
            <w:hyperlink r:id="rId2789" w:history="1">
              <w:r w:rsidRPr="005A18DC">
                <w:rPr>
                  <w:rStyle w:val="Hyperlink"/>
                  <w:rFonts w:ascii="Arial" w:hAnsi="Arial" w:cs="Arial"/>
                  <w:b/>
                  <w:bCs/>
                  <w:sz w:val="14"/>
                  <w:szCs w:val="14"/>
                </w:rPr>
                <w:t>R1-2312642</w:t>
              </w:r>
            </w:hyperlink>
          </w:p>
        </w:tc>
        <w:tc>
          <w:tcPr>
            <w:tcW w:w="2646" w:type="dxa"/>
          </w:tcPr>
          <w:p w14:paraId="2D6F609B" w14:textId="67636EF6" w:rsidR="005A18DC" w:rsidRPr="005A18DC" w:rsidRDefault="005A18DC" w:rsidP="005A18DC">
            <w:pPr>
              <w:rPr>
                <w:rFonts w:ascii="Arial" w:hAnsi="Arial" w:cs="Arial"/>
                <w:sz w:val="14"/>
                <w:szCs w:val="14"/>
              </w:rPr>
            </w:pPr>
            <w:r w:rsidRPr="005A18DC">
              <w:rPr>
                <w:rFonts w:ascii="Arial" w:hAnsi="Arial" w:cs="Arial"/>
                <w:sz w:val="14"/>
                <w:szCs w:val="14"/>
              </w:rPr>
              <w:t>LS on MAC CE to activate/deactivate semi-persistent PUCCH report for LTM</w:t>
            </w:r>
          </w:p>
        </w:tc>
        <w:tc>
          <w:tcPr>
            <w:tcW w:w="1583" w:type="dxa"/>
          </w:tcPr>
          <w:p w14:paraId="24D9F426" w14:textId="6CA4AF01" w:rsidR="005A18DC" w:rsidRPr="005A18DC" w:rsidRDefault="005A18DC" w:rsidP="005A18DC">
            <w:pPr>
              <w:rPr>
                <w:rFonts w:ascii="Arial" w:hAnsi="Arial" w:cs="Arial"/>
                <w:sz w:val="14"/>
                <w:szCs w:val="14"/>
              </w:rPr>
            </w:pPr>
            <w:r w:rsidRPr="005A18DC">
              <w:rPr>
                <w:rFonts w:ascii="Arial" w:hAnsi="Arial" w:cs="Arial"/>
                <w:sz w:val="14"/>
                <w:szCs w:val="14"/>
              </w:rPr>
              <w:t>RAN1, Fujitsu</w:t>
            </w:r>
          </w:p>
        </w:tc>
        <w:tc>
          <w:tcPr>
            <w:tcW w:w="813" w:type="dxa"/>
          </w:tcPr>
          <w:p w14:paraId="5878277A" w14:textId="04DA98D3" w:rsidR="005A18DC" w:rsidRPr="005A18DC" w:rsidRDefault="005A18DC" w:rsidP="005A18DC">
            <w:pPr>
              <w:rPr>
                <w:rFonts w:ascii="Arial" w:hAnsi="Arial" w:cs="Arial"/>
                <w:bCs/>
                <w:sz w:val="14"/>
                <w:szCs w:val="14"/>
              </w:rPr>
            </w:pPr>
            <w:hyperlink r:id="rId2790" w:history="1">
              <w:r w:rsidRPr="005A18DC">
                <w:rPr>
                  <w:rStyle w:val="Hyperlink"/>
                  <w:rFonts w:ascii="Arial" w:hAnsi="Arial" w:cs="Arial"/>
                  <w:b/>
                  <w:bCs/>
                  <w:sz w:val="14"/>
                  <w:szCs w:val="14"/>
                </w:rPr>
                <w:t>Rel-18</w:t>
              </w:r>
            </w:hyperlink>
          </w:p>
        </w:tc>
        <w:tc>
          <w:tcPr>
            <w:tcW w:w="2696" w:type="dxa"/>
          </w:tcPr>
          <w:p w14:paraId="148F4CB6" w14:textId="51259A03" w:rsidR="005A18DC" w:rsidRPr="005A18DC" w:rsidRDefault="005A18DC" w:rsidP="005A18DC">
            <w:pPr>
              <w:rPr>
                <w:rFonts w:ascii="Arial" w:hAnsi="Arial" w:cs="Arial"/>
                <w:bCs/>
                <w:sz w:val="14"/>
                <w:szCs w:val="14"/>
              </w:rPr>
            </w:pPr>
            <w:hyperlink r:id="rId2791" w:history="1">
              <w:r w:rsidRPr="005A18DC">
                <w:rPr>
                  <w:rStyle w:val="Hyperlink"/>
                  <w:rFonts w:ascii="Arial" w:hAnsi="Arial" w:cs="Arial"/>
                  <w:b/>
                  <w:bCs/>
                  <w:sz w:val="14"/>
                  <w:szCs w:val="14"/>
                </w:rPr>
                <w:t>NR_Mob_enh2-Core</w:t>
              </w:r>
            </w:hyperlink>
          </w:p>
        </w:tc>
        <w:tc>
          <w:tcPr>
            <w:tcW w:w="1065" w:type="dxa"/>
          </w:tcPr>
          <w:p w14:paraId="587EB057" w14:textId="2A924A3F" w:rsidR="005A18DC" w:rsidRPr="005A18DC" w:rsidRDefault="005A18DC" w:rsidP="005A18DC">
            <w:pPr>
              <w:rPr>
                <w:rFonts w:ascii="Arial" w:hAnsi="Arial" w:cs="Arial"/>
                <w:sz w:val="14"/>
                <w:szCs w:val="14"/>
              </w:rPr>
            </w:pPr>
            <w:r w:rsidRPr="005A18DC">
              <w:rPr>
                <w:rFonts w:ascii="Arial" w:hAnsi="Arial" w:cs="Arial"/>
                <w:sz w:val="14"/>
                <w:szCs w:val="14"/>
              </w:rPr>
              <w:t> </w:t>
            </w:r>
          </w:p>
        </w:tc>
        <w:tc>
          <w:tcPr>
            <w:tcW w:w="994" w:type="dxa"/>
          </w:tcPr>
          <w:p w14:paraId="0F3FEBB9" w14:textId="49370E9B" w:rsidR="005A18DC" w:rsidRPr="005A18DC" w:rsidRDefault="005A18DC" w:rsidP="005A18DC">
            <w:pPr>
              <w:rPr>
                <w:rFonts w:ascii="Arial" w:hAnsi="Arial" w:cs="Arial"/>
                <w:sz w:val="14"/>
                <w:szCs w:val="14"/>
              </w:rPr>
            </w:pPr>
            <w:r w:rsidRPr="005A18DC">
              <w:rPr>
                <w:rFonts w:ascii="Arial" w:hAnsi="Arial" w:cs="Arial"/>
                <w:sz w:val="14"/>
                <w:szCs w:val="14"/>
              </w:rPr>
              <w:t>RAN2</w:t>
            </w:r>
          </w:p>
        </w:tc>
        <w:tc>
          <w:tcPr>
            <w:tcW w:w="994" w:type="dxa"/>
          </w:tcPr>
          <w:p w14:paraId="2242E430" w14:textId="6038213B" w:rsidR="005A18DC" w:rsidRPr="005A18DC" w:rsidRDefault="005A18DC" w:rsidP="005A18DC">
            <w:pPr>
              <w:rPr>
                <w:rFonts w:ascii="Arial" w:hAnsi="Arial" w:cs="Arial"/>
                <w:sz w:val="14"/>
                <w:szCs w:val="14"/>
              </w:rPr>
            </w:pPr>
            <w:r w:rsidRPr="005A18DC">
              <w:rPr>
                <w:rFonts w:ascii="Arial" w:hAnsi="Arial" w:cs="Arial"/>
                <w:sz w:val="14"/>
                <w:szCs w:val="14"/>
              </w:rPr>
              <w:t> </w:t>
            </w:r>
          </w:p>
        </w:tc>
        <w:tc>
          <w:tcPr>
            <w:tcW w:w="1120" w:type="dxa"/>
          </w:tcPr>
          <w:p w14:paraId="7B38BFF4" w14:textId="645FB4DD" w:rsidR="005A18DC" w:rsidRPr="005A18DC" w:rsidRDefault="005A18DC" w:rsidP="005A18DC">
            <w:pPr>
              <w:rPr>
                <w:rFonts w:ascii="Arial" w:hAnsi="Arial" w:cs="Arial"/>
                <w:sz w:val="14"/>
                <w:szCs w:val="14"/>
              </w:rPr>
            </w:pPr>
            <w:r w:rsidRPr="005A18DC">
              <w:rPr>
                <w:rFonts w:ascii="Arial" w:hAnsi="Arial" w:cs="Arial"/>
                <w:sz w:val="14"/>
                <w:szCs w:val="14"/>
              </w:rPr>
              <w:t> </w:t>
            </w:r>
          </w:p>
        </w:tc>
        <w:tc>
          <w:tcPr>
            <w:tcW w:w="1062" w:type="dxa"/>
          </w:tcPr>
          <w:p w14:paraId="4B28EE86" w14:textId="46AA79B9" w:rsidR="005A18DC" w:rsidRPr="005A18DC" w:rsidRDefault="005A18DC" w:rsidP="005A18DC">
            <w:pPr>
              <w:rPr>
                <w:rFonts w:ascii="Arial" w:hAnsi="Arial" w:cs="Arial"/>
                <w:sz w:val="14"/>
                <w:szCs w:val="14"/>
              </w:rPr>
            </w:pPr>
            <w:r w:rsidRPr="005A18DC">
              <w:rPr>
                <w:rFonts w:ascii="Arial" w:hAnsi="Arial" w:cs="Arial"/>
                <w:sz w:val="14"/>
                <w:szCs w:val="14"/>
              </w:rPr>
              <w:t> </w:t>
            </w:r>
          </w:p>
        </w:tc>
      </w:tr>
      <w:tr w:rsidR="005A18DC" w:rsidRPr="005A18DC" w14:paraId="682FEA1F" w14:textId="77777777" w:rsidTr="00B97F04">
        <w:trPr>
          <w:trHeight w:val="20"/>
          <w:jc w:val="center"/>
        </w:trPr>
        <w:tc>
          <w:tcPr>
            <w:tcW w:w="1094" w:type="dxa"/>
          </w:tcPr>
          <w:p w14:paraId="25A31B3C" w14:textId="150C7637" w:rsidR="005A18DC" w:rsidRPr="005A18DC" w:rsidRDefault="005A18DC" w:rsidP="005A18DC">
            <w:pPr>
              <w:rPr>
                <w:rFonts w:ascii="Arial" w:hAnsi="Arial" w:cs="Arial"/>
                <w:bCs/>
                <w:sz w:val="14"/>
                <w:szCs w:val="14"/>
              </w:rPr>
            </w:pPr>
            <w:hyperlink r:id="rId2792" w:history="1">
              <w:r w:rsidRPr="005A18DC">
                <w:rPr>
                  <w:rStyle w:val="Hyperlink"/>
                  <w:rFonts w:ascii="Arial" w:hAnsi="Arial" w:cs="Arial"/>
                  <w:b/>
                  <w:bCs/>
                  <w:sz w:val="14"/>
                  <w:szCs w:val="14"/>
                </w:rPr>
                <w:t>R1-2312651</w:t>
              </w:r>
            </w:hyperlink>
          </w:p>
        </w:tc>
        <w:tc>
          <w:tcPr>
            <w:tcW w:w="2646" w:type="dxa"/>
          </w:tcPr>
          <w:p w14:paraId="7D588092" w14:textId="1A1FE4D0" w:rsidR="005A18DC" w:rsidRPr="005A18DC" w:rsidRDefault="005A18DC" w:rsidP="005A18DC">
            <w:pPr>
              <w:rPr>
                <w:rFonts w:ascii="Arial" w:hAnsi="Arial" w:cs="Arial"/>
                <w:sz w:val="14"/>
                <w:szCs w:val="14"/>
              </w:rPr>
            </w:pPr>
            <w:r w:rsidRPr="005A18DC">
              <w:rPr>
                <w:rFonts w:ascii="Arial" w:hAnsi="Arial" w:cs="Arial"/>
                <w:sz w:val="14"/>
                <w:szCs w:val="14"/>
              </w:rPr>
              <w:t>LS on skipping UL transmission and R17 TBoMS</w:t>
            </w:r>
          </w:p>
        </w:tc>
        <w:tc>
          <w:tcPr>
            <w:tcW w:w="1583" w:type="dxa"/>
          </w:tcPr>
          <w:p w14:paraId="47494E96" w14:textId="5499C851" w:rsidR="005A18DC" w:rsidRPr="005A18DC" w:rsidRDefault="005A18DC" w:rsidP="005A18DC">
            <w:pPr>
              <w:rPr>
                <w:rFonts w:ascii="Arial" w:hAnsi="Arial" w:cs="Arial"/>
                <w:sz w:val="14"/>
                <w:szCs w:val="14"/>
              </w:rPr>
            </w:pPr>
            <w:r w:rsidRPr="005A18DC">
              <w:rPr>
                <w:rFonts w:ascii="Arial" w:hAnsi="Arial" w:cs="Arial"/>
                <w:sz w:val="14"/>
                <w:szCs w:val="14"/>
              </w:rPr>
              <w:t>RAN1, Huawei</w:t>
            </w:r>
          </w:p>
        </w:tc>
        <w:tc>
          <w:tcPr>
            <w:tcW w:w="813" w:type="dxa"/>
          </w:tcPr>
          <w:p w14:paraId="6258998C" w14:textId="2AA6B394" w:rsidR="005A18DC" w:rsidRPr="005A18DC" w:rsidRDefault="005A18DC" w:rsidP="005A18DC">
            <w:pPr>
              <w:rPr>
                <w:rFonts w:ascii="Arial" w:hAnsi="Arial" w:cs="Arial"/>
                <w:bCs/>
                <w:sz w:val="14"/>
                <w:szCs w:val="14"/>
              </w:rPr>
            </w:pPr>
            <w:hyperlink r:id="rId2793" w:history="1">
              <w:r w:rsidRPr="005A18DC">
                <w:rPr>
                  <w:rStyle w:val="Hyperlink"/>
                  <w:rFonts w:ascii="Arial" w:hAnsi="Arial" w:cs="Arial"/>
                  <w:b/>
                  <w:bCs/>
                  <w:sz w:val="14"/>
                  <w:szCs w:val="14"/>
                </w:rPr>
                <w:t>Rel-17</w:t>
              </w:r>
            </w:hyperlink>
          </w:p>
        </w:tc>
        <w:tc>
          <w:tcPr>
            <w:tcW w:w="2696" w:type="dxa"/>
          </w:tcPr>
          <w:p w14:paraId="7C076D84" w14:textId="5843FAAC" w:rsidR="005A18DC" w:rsidRPr="005A18DC" w:rsidRDefault="005A18DC" w:rsidP="005A18DC">
            <w:pPr>
              <w:rPr>
                <w:rFonts w:ascii="Arial" w:hAnsi="Arial" w:cs="Arial"/>
                <w:bCs/>
                <w:sz w:val="14"/>
                <w:szCs w:val="14"/>
              </w:rPr>
            </w:pPr>
            <w:hyperlink r:id="rId2794" w:history="1">
              <w:r w:rsidRPr="005A18DC">
                <w:rPr>
                  <w:rStyle w:val="Hyperlink"/>
                  <w:rFonts w:ascii="Arial" w:hAnsi="Arial" w:cs="Arial"/>
                  <w:b/>
                  <w:bCs/>
                  <w:sz w:val="14"/>
                  <w:szCs w:val="14"/>
                </w:rPr>
                <w:t>NR_cov_enh-Core</w:t>
              </w:r>
            </w:hyperlink>
          </w:p>
        </w:tc>
        <w:tc>
          <w:tcPr>
            <w:tcW w:w="1065" w:type="dxa"/>
          </w:tcPr>
          <w:p w14:paraId="4401631B" w14:textId="42F48462" w:rsidR="005A18DC" w:rsidRPr="005A18DC" w:rsidRDefault="005A18DC" w:rsidP="005A18DC">
            <w:pPr>
              <w:rPr>
                <w:rFonts w:ascii="Arial" w:hAnsi="Arial" w:cs="Arial"/>
                <w:sz w:val="14"/>
                <w:szCs w:val="14"/>
              </w:rPr>
            </w:pPr>
            <w:r w:rsidRPr="005A18DC">
              <w:rPr>
                <w:rFonts w:ascii="Arial" w:hAnsi="Arial" w:cs="Arial"/>
                <w:sz w:val="14"/>
                <w:szCs w:val="14"/>
              </w:rPr>
              <w:t> </w:t>
            </w:r>
          </w:p>
        </w:tc>
        <w:tc>
          <w:tcPr>
            <w:tcW w:w="994" w:type="dxa"/>
          </w:tcPr>
          <w:p w14:paraId="0443C9EB" w14:textId="39876CA8" w:rsidR="005A18DC" w:rsidRPr="005A18DC" w:rsidRDefault="005A18DC" w:rsidP="005A18DC">
            <w:pPr>
              <w:rPr>
                <w:rFonts w:ascii="Arial" w:hAnsi="Arial" w:cs="Arial"/>
                <w:sz w:val="14"/>
                <w:szCs w:val="14"/>
              </w:rPr>
            </w:pPr>
            <w:r w:rsidRPr="005A18DC">
              <w:rPr>
                <w:rFonts w:ascii="Arial" w:hAnsi="Arial" w:cs="Arial"/>
                <w:sz w:val="14"/>
                <w:szCs w:val="14"/>
              </w:rPr>
              <w:t>RAN2</w:t>
            </w:r>
          </w:p>
        </w:tc>
        <w:tc>
          <w:tcPr>
            <w:tcW w:w="994" w:type="dxa"/>
          </w:tcPr>
          <w:p w14:paraId="37A5FE4F" w14:textId="1B6046B2" w:rsidR="005A18DC" w:rsidRPr="005A18DC" w:rsidRDefault="005A18DC" w:rsidP="005A18DC">
            <w:pPr>
              <w:rPr>
                <w:rFonts w:ascii="Arial" w:hAnsi="Arial" w:cs="Arial"/>
                <w:sz w:val="14"/>
                <w:szCs w:val="14"/>
              </w:rPr>
            </w:pPr>
            <w:r w:rsidRPr="005A18DC">
              <w:rPr>
                <w:rFonts w:ascii="Arial" w:hAnsi="Arial" w:cs="Arial"/>
                <w:sz w:val="14"/>
                <w:szCs w:val="14"/>
              </w:rPr>
              <w:t> </w:t>
            </w:r>
          </w:p>
        </w:tc>
        <w:tc>
          <w:tcPr>
            <w:tcW w:w="1120" w:type="dxa"/>
          </w:tcPr>
          <w:p w14:paraId="7619F08A" w14:textId="5784D016" w:rsidR="005A18DC" w:rsidRPr="005A18DC" w:rsidRDefault="005A18DC" w:rsidP="005A18DC">
            <w:pPr>
              <w:rPr>
                <w:rFonts w:ascii="Arial" w:hAnsi="Arial" w:cs="Arial"/>
                <w:sz w:val="14"/>
                <w:szCs w:val="14"/>
              </w:rPr>
            </w:pPr>
            <w:r w:rsidRPr="005A18DC">
              <w:rPr>
                <w:rFonts w:ascii="Arial" w:hAnsi="Arial" w:cs="Arial"/>
                <w:sz w:val="14"/>
                <w:szCs w:val="14"/>
              </w:rPr>
              <w:t> </w:t>
            </w:r>
          </w:p>
        </w:tc>
        <w:tc>
          <w:tcPr>
            <w:tcW w:w="1062" w:type="dxa"/>
          </w:tcPr>
          <w:p w14:paraId="5C2DE826" w14:textId="1D2FC964" w:rsidR="005A18DC" w:rsidRPr="005A18DC" w:rsidRDefault="005A18DC" w:rsidP="005A18DC">
            <w:pPr>
              <w:rPr>
                <w:rFonts w:ascii="Arial" w:hAnsi="Arial" w:cs="Arial"/>
                <w:sz w:val="14"/>
                <w:szCs w:val="14"/>
              </w:rPr>
            </w:pPr>
            <w:r w:rsidRPr="005A18DC">
              <w:rPr>
                <w:rFonts w:ascii="Arial" w:hAnsi="Arial" w:cs="Arial"/>
                <w:sz w:val="14"/>
                <w:szCs w:val="14"/>
              </w:rPr>
              <w:t> </w:t>
            </w:r>
          </w:p>
        </w:tc>
      </w:tr>
      <w:tr w:rsidR="005A18DC" w:rsidRPr="005A18DC" w14:paraId="690C2A31" w14:textId="77777777" w:rsidTr="00B97F04">
        <w:trPr>
          <w:trHeight w:val="20"/>
          <w:jc w:val="center"/>
        </w:trPr>
        <w:tc>
          <w:tcPr>
            <w:tcW w:w="1094" w:type="dxa"/>
          </w:tcPr>
          <w:p w14:paraId="11358BD2" w14:textId="4D4DBC4C" w:rsidR="005A18DC" w:rsidRPr="005A18DC" w:rsidRDefault="005A18DC" w:rsidP="005A18DC">
            <w:pPr>
              <w:rPr>
                <w:rFonts w:ascii="Arial" w:hAnsi="Arial" w:cs="Arial"/>
                <w:bCs/>
                <w:sz w:val="14"/>
                <w:szCs w:val="14"/>
              </w:rPr>
            </w:pPr>
            <w:hyperlink r:id="rId2795" w:history="1">
              <w:r w:rsidRPr="005A18DC">
                <w:rPr>
                  <w:rStyle w:val="Hyperlink"/>
                  <w:rFonts w:ascii="Arial" w:hAnsi="Arial" w:cs="Arial"/>
                  <w:b/>
                  <w:bCs/>
                  <w:sz w:val="14"/>
                  <w:szCs w:val="14"/>
                </w:rPr>
                <w:t>R1-2312661</w:t>
              </w:r>
            </w:hyperlink>
          </w:p>
        </w:tc>
        <w:tc>
          <w:tcPr>
            <w:tcW w:w="2646" w:type="dxa"/>
          </w:tcPr>
          <w:p w14:paraId="4E41A19F" w14:textId="3A3D8793" w:rsidR="005A18DC" w:rsidRPr="005A18DC" w:rsidRDefault="005A18DC" w:rsidP="005A18DC">
            <w:pPr>
              <w:rPr>
                <w:rFonts w:ascii="Arial" w:hAnsi="Arial" w:cs="Arial"/>
                <w:sz w:val="14"/>
                <w:szCs w:val="14"/>
              </w:rPr>
            </w:pPr>
            <w:r w:rsidRPr="005A18DC">
              <w:rPr>
                <w:rFonts w:ascii="Arial" w:hAnsi="Arial" w:cs="Arial"/>
                <w:sz w:val="14"/>
                <w:szCs w:val="14"/>
              </w:rPr>
              <w:t>LS on Rel-18 higher-layers parameter list</w:t>
            </w:r>
          </w:p>
        </w:tc>
        <w:tc>
          <w:tcPr>
            <w:tcW w:w="1583" w:type="dxa"/>
          </w:tcPr>
          <w:p w14:paraId="46E242A7" w14:textId="6586F5AE" w:rsidR="005A18DC" w:rsidRPr="005A18DC" w:rsidRDefault="005A18DC" w:rsidP="005A18DC">
            <w:pPr>
              <w:rPr>
                <w:rFonts w:ascii="Arial" w:hAnsi="Arial" w:cs="Arial"/>
                <w:sz w:val="14"/>
                <w:szCs w:val="14"/>
              </w:rPr>
            </w:pPr>
            <w:r w:rsidRPr="005A18DC">
              <w:rPr>
                <w:rFonts w:ascii="Arial" w:hAnsi="Arial" w:cs="Arial"/>
                <w:sz w:val="14"/>
                <w:szCs w:val="14"/>
              </w:rPr>
              <w:t>RAN1, Ericsson</w:t>
            </w:r>
          </w:p>
        </w:tc>
        <w:tc>
          <w:tcPr>
            <w:tcW w:w="813" w:type="dxa"/>
          </w:tcPr>
          <w:p w14:paraId="7123DE1A" w14:textId="058C07E7" w:rsidR="005A18DC" w:rsidRPr="005A18DC" w:rsidRDefault="005A18DC" w:rsidP="005A18DC">
            <w:pPr>
              <w:rPr>
                <w:rFonts w:ascii="Arial" w:hAnsi="Arial" w:cs="Arial"/>
                <w:bCs/>
                <w:sz w:val="14"/>
                <w:szCs w:val="14"/>
              </w:rPr>
            </w:pPr>
            <w:hyperlink r:id="rId2796" w:history="1">
              <w:r w:rsidRPr="005A18DC">
                <w:rPr>
                  <w:rStyle w:val="Hyperlink"/>
                  <w:rFonts w:ascii="Arial" w:hAnsi="Arial" w:cs="Arial"/>
                  <w:b/>
                  <w:bCs/>
                  <w:sz w:val="14"/>
                  <w:szCs w:val="14"/>
                </w:rPr>
                <w:t>Rel-18</w:t>
              </w:r>
            </w:hyperlink>
          </w:p>
        </w:tc>
        <w:tc>
          <w:tcPr>
            <w:tcW w:w="2696" w:type="dxa"/>
          </w:tcPr>
          <w:p w14:paraId="080C78B2" w14:textId="6817EDC6" w:rsidR="005A18DC" w:rsidRPr="005A18DC" w:rsidRDefault="005A18DC" w:rsidP="005A18DC">
            <w:pPr>
              <w:rPr>
                <w:rFonts w:ascii="Arial" w:hAnsi="Arial" w:cs="Arial"/>
                <w:bCs/>
                <w:sz w:val="14"/>
                <w:szCs w:val="14"/>
              </w:rPr>
            </w:pPr>
            <w:r w:rsidRPr="005A18DC">
              <w:rPr>
                <w:rFonts w:ascii="Arial" w:hAnsi="Arial" w:cs="Arial"/>
                <w:color w:val="000000"/>
                <w:sz w:val="14"/>
                <w:szCs w:val="14"/>
              </w:rPr>
              <w:t>NR_MIMO_evo_DL_UL-Core, Netw_Energy_NR-Core, TEI18, NR_pos_enh2-Core, NR_Mob_enh2-Core, IoT_NTN_enh-Core</w:t>
            </w:r>
          </w:p>
        </w:tc>
        <w:tc>
          <w:tcPr>
            <w:tcW w:w="1065" w:type="dxa"/>
          </w:tcPr>
          <w:p w14:paraId="617EF1D8" w14:textId="7909C25B" w:rsidR="005A18DC" w:rsidRPr="005A18DC" w:rsidRDefault="005A18DC" w:rsidP="005A18DC">
            <w:pPr>
              <w:rPr>
                <w:rFonts w:ascii="Arial" w:hAnsi="Arial" w:cs="Arial"/>
                <w:sz w:val="14"/>
                <w:szCs w:val="14"/>
              </w:rPr>
            </w:pPr>
            <w:r w:rsidRPr="005A18DC">
              <w:rPr>
                <w:rFonts w:ascii="Arial" w:hAnsi="Arial" w:cs="Arial"/>
                <w:sz w:val="14"/>
                <w:szCs w:val="14"/>
              </w:rPr>
              <w:t> </w:t>
            </w:r>
          </w:p>
        </w:tc>
        <w:tc>
          <w:tcPr>
            <w:tcW w:w="994" w:type="dxa"/>
          </w:tcPr>
          <w:p w14:paraId="5E10D99D" w14:textId="06721FD0" w:rsidR="005A18DC" w:rsidRPr="005A18DC" w:rsidRDefault="005A18DC" w:rsidP="005A18DC">
            <w:pPr>
              <w:rPr>
                <w:rFonts w:ascii="Arial" w:hAnsi="Arial" w:cs="Arial"/>
                <w:sz w:val="14"/>
                <w:szCs w:val="14"/>
              </w:rPr>
            </w:pPr>
            <w:r w:rsidRPr="005A18DC">
              <w:rPr>
                <w:rFonts w:ascii="Arial" w:hAnsi="Arial" w:cs="Arial"/>
                <w:sz w:val="14"/>
                <w:szCs w:val="14"/>
              </w:rPr>
              <w:t>RAN2, RAN3</w:t>
            </w:r>
          </w:p>
        </w:tc>
        <w:tc>
          <w:tcPr>
            <w:tcW w:w="994" w:type="dxa"/>
          </w:tcPr>
          <w:p w14:paraId="47793653" w14:textId="633B20B0" w:rsidR="005A18DC" w:rsidRPr="005A18DC" w:rsidRDefault="005A18DC" w:rsidP="005A18DC">
            <w:pPr>
              <w:rPr>
                <w:rFonts w:ascii="Arial" w:hAnsi="Arial" w:cs="Arial"/>
                <w:sz w:val="14"/>
                <w:szCs w:val="14"/>
              </w:rPr>
            </w:pPr>
            <w:r w:rsidRPr="005A18DC">
              <w:rPr>
                <w:rFonts w:ascii="Arial" w:hAnsi="Arial" w:cs="Arial"/>
                <w:sz w:val="14"/>
                <w:szCs w:val="14"/>
              </w:rPr>
              <w:t>RAN4</w:t>
            </w:r>
          </w:p>
        </w:tc>
        <w:tc>
          <w:tcPr>
            <w:tcW w:w="1120" w:type="dxa"/>
          </w:tcPr>
          <w:p w14:paraId="1025E346" w14:textId="6E61EDA1" w:rsidR="005A18DC" w:rsidRPr="005A18DC" w:rsidRDefault="005A18DC" w:rsidP="005A18DC">
            <w:pPr>
              <w:rPr>
                <w:rFonts w:ascii="Arial" w:hAnsi="Arial" w:cs="Arial"/>
                <w:sz w:val="14"/>
                <w:szCs w:val="14"/>
              </w:rPr>
            </w:pPr>
            <w:r w:rsidRPr="005A18DC">
              <w:rPr>
                <w:rFonts w:ascii="Arial" w:hAnsi="Arial" w:cs="Arial"/>
                <w:sz w:val="14"/>
                <w:szCs w:val="14"/>
              </w:rPr>
              <w:t> </w:t>
            </w:r>
          </w:p>
        </w:tc>
        <w:tc>
          <w:tcPr>
            <w:tcW w:w="1062" w:type="dxa"/>
          </w:tcPr>
          <w:p w14:paraId="188CB518" w14:textId="3DE636B2" w:rsidR="005A18DC" w:rsidRPr="005A18DC" w:rsidRDefault="005A18DC" w:rsidP="005A18DC">
            <w:pPr>
              <w:rPr>
                <w:rFonts w:ascii="Arial" w:hAnsi="Arial" w:cs="Arial"/>
                <w:sz w:val="14"/>
                <w:szCs w:val="14"/>
              </w:rPr>
            </w:pPr>
            <w:r w:rsidRPr="005A18DC">
              <w:rPr>
                <w:rFonts w:ascii="Arial" w:hAnsi="Arial" w:cs="Arial"/>
                <w:sz w:val="14"/>
                <w:szCs w:val="14"/>
              </w:rPr>
              <w:t> </w:t>
            </w:r>
          </w:p>
        </w:tc>
      </w:tr>
      <w:tr w:rsidR="005A18DC" w:rsidRPr="005A18DC" w14:paraId="2751DC0B" w14:textId="77777777" w:rsidTr="00B97F04">
        <w:trPr>
          <w:trHeight w:val="20"/>
          <w:jc w:val="center"/>
        </w:trPr>
        <w:tc>
          <w:tcPr>
            <w:tcW w:w="1094" w:type="dxa"/>
          </w:tcPr>
          <w:p w14:paraId="12BB76CA" w14:textId="43CD1238" w:rsidR="005A18DC" w:rsidRPr="005A18DC" w:rsidRDefault="005A18DC" w:rsidP="005A18DC">
            <w:pPr>
              <w:rPr>
                <w:rFonts w:ascii="Arial" w:hAnsi="Arial" w:cs="Arial"/>
                <w:bCs/>
                <w:sz w:val="14"/>
                <w:szCs w:val="14"/>
              </w:rPr>
            </w:pPr>
            <w:hyperlink r:id="rId2797" w:history="1">
              <w:r w:rsidRPr="005A18DC">
                <w:rPr>
                  <w:rStyle w:val="Hyperlink"/>
                  <w:rFonts w:ascii="Arial" w:hAnsi="Arial" w:cs="Arial"/>
                  <w:b/>
                  <w:bCs/>
                  <w:sz w:val="14"/>
                  <w:szCs w:val="14"/>
                </w:rPr>
                <w:t>R1-2312668</w:t>
              </w:r>
            </w:hyperlink>
          </w:p>
        </w:tc>
        <w:tc>
          <w:tcPr>
            <w:tcW w:w="2646" w:type="dxa"/>
          </w:tcPr>
          <w:p w14:paraId="3CC8E6D2" w14:textId="2D40DA18" w:rsidR="005A18DC" w:rsidRPr="005A18DC" w:rsidRDefault="005A18DC" w:rsidP="005A18DC">
            <w:pPr>
              <w:rPr>
                <w:rFonts w:ascii="Arial" w:hAnsi="Arial" w:cs="Arial"/>
                <w:sz w:val="14"/>
                <w:szCs w:val="14"/>
              </w:rPr>
            </w:pPr>
            <w:r w:rsidRPr="005A18DC">
              <w:rPr>
                <w:rFonts w:ascii="Arial" w:hAnsi="Arial" w:cs="Arial"/>
                <w:sz w:val="14"/>
                <w:szCs w:val="14"/>
              </w:rPr>
              <w:t>LS on inter-frequency neighbour cells supporting NR dedicated spectrum less than 5 MHz for FR1</w:t>
            </w:r>
          </w:p>
        </w:tc>
        <w:tc>
          <w:tcPr>
            <w:tcW w:w="1583" w:type="dxa"/>
          </w:tcPr>
          <w:p w14:paraId="024BCC0D" w14:textId="2BFB85D7" w:rsidR="005A18DC" w:rsidRPr="005A18DC" w:rsidRDefault="005A18DC" w:rsidP="005A18DC">
            <w:pPr>
              <w:rPr>
                <w:rFonts w:ascii="Arial" w:hAnsi="Arial" w:cs="Arial"/>
                <w:sz w:val="14"/>
                <w:szCs w:val="14"/>
              </w:rPr>
            </w:pPr>
            <w:r w:rsidRPr="005A18DC">
              <w:rPr>
                <w:rFonts w:ascii="Arial" w:hAnsi="Arial" w:cs="Arial"/>
                <w:sz w:val="14"/>
                <w:szCs w:val="14"/>
              </w:rPr>
              <w:t>RAN1, Qualcomm Incorporated</w:t>
            </w:r>
          </w:p>
        </w:tc>
        <w:tc>
          <w:tcPr>
            <w:tcW w:w="813" w:type="dxa"/>
          </w:tcPr>
          <w:p w14:paraId="30DFC652" w14:textId="6B4A48A4" w:rsidR="005A18DC" w:rsidRPr="005A18DC" w:rsidRDefault="005A18DC" w:rsidP="005A18DC">
            <w:pPr>
              <w:rPr>
                <w:rFonts w:ascii="Arial" w:hAnsi="Arial" w:cs="Arial"/>
                <w:bCs/>
                <w:sz w:val="14"/>
                <w:szCs w:val="14"/>
              </w:rPr>
            </w:pPr>
            <w:hyperlink r:id="rId2798" w:history="1">
              <w:r w:rsidRPr="005A18DC">
                <w:rPr>
                  <w:rStyle w:val="Hyperlink"/>
                  <w:rFonts w:ascii="Arial" w:hAnsi="Arial" w:cs="Arial"/>
                  <w:b/>
                  <w:bCs/>
                  <w:sz w:val="14"/>
                  <w:szCs w:val="14"/>
                </w:rPr>
                <w:t>Rel-18</w:t>
              </w:r>
            </w:hyperlink>
          </w:p>
        </w:tc>
        <w:tc>
          <w:tcPr>
            <w:tcW w:w="2696" w:type="dxa"/>
          </w:tcPr>
          <w:p w14:paraId="13C80917" w14:textId="1BD1BCFB" w:rsidR="005A18DC" w:rsidRPr="005A18DC" w:rsidRDefault="005A18DC" w:rsidP="005A18DC">
            <w:pPr>
              <w:rPr>
                <w:rFonts w:ascii="Arial" w:hAnsi="Arial" w:cs="Arial"/>
                <w:bCs/>
                <w:sz w:val="14"/>
                <w:szCs w:val="14"/>
              </w:rPr>
            </w:pPr>
            <w:hyperlink r:id="rId2799" w:history="1">
              <w:r w:rsidRPr="005A18DC">
                <w:rPr>
                  <w:rStyle w:val="Hyperlink"/>
                  <w:rFonts w:ascii="Arial" w:hAnsi="Arial" w:cs="Arial"/>
                  <w:b/>
                  <w:bCs/>
                  <w:sz w:val="14"/>
                  <w:szCs w:val="14"/>
                </w:rPr>
                <w:t>NR_FR1_lessthan_5MHz_BW-Core</w:t>
              </w:r>
            </w:hyperlink>
          </w:p>
        </w:tc>
        <w:tc>
          <w:tcPr>
            <w:tcW w:w="1065" w:type="dxa"/>
          </w:tcPr>
          <w:p w14:paraId="7C1184E7" w14:textId="584BB755" w:rsidR="005A18DC" w:rsidRPr="005A18DC" w:rsidRDefault="005A18DC" w:rsidP="005A18DC">
            <w:pPr>
              <w:rPr>
                <w:rFonts w:ascii="Arial" w:hAnsi="Arial" w:cs="Arial"/>
                <w:sz w:val="14"/>
                <w:szCs w:val="14"/>
              </w:rPr>
            </w:pPr>
            <w:r w:rsidRPr="005A18DC">
              <w:rPr>
                <w:rFonts w:ascii="Arial" w:hAnsi="Arial" w:cs="Arial"/>
                <w:sz w:val="14"/>
                <w:szCs w:val="14"/>
              </w:rPr>
              <w:t> </w:t>
            </w:r>
          </w:p>
        </w:tc>
        <w:tc>
          <w:tcPr>
            <w:tcW w:w="994" w:type="dxa"/>
          </w:tcPr>
          <w:p w14:paraId="4724920C" w14:textId="6BC52306" w:rsidR="005A18DC" w:rsidRPr="005A18DC" w:rsidRDefault="005A18DC" w:rsidP="005A18DC">
            <w:pPr>
              <w:rPr>
                <w:rFonts w:ascii="Arial" w:hAnsi="Arial" w:cs="Arial"/>
                <w:sz w:val="14"/>
                <w:szCs w:val="14"/>
              </w:rPr>
            </w:pPr>
            <w:r w:rsidRPr="005A18DC">
              <w:rPr>
                <w:rFonts w:ascii="Arial" w:hAnsi="Arial" w:cs="Arial"/>
                <w:sz w:val="14"/>
                <w:szCs w:val="14"/>
              </w:rPr>
              <w:t>RAN2, RAN4</w:t>
            </w:r>
          </w:p>
        </w:tc>
        <w:tc>
          <w:tcPr>
            <w:tcW w:w="994" w:type="dxa"/>
          </w:tcPr>
          <w:p w14:paraId="6103A136" w14:textId="04DD93A5" w:rsidR="005A18DC" w:rsidRPr="005A18DC" w:rsidRDefault="005A18DC" w:rsidP="005A18DC">
            <w:pPr>
              <w:rPr>
                <w:rFonts w:ascii="Arial" w:hAnsi="Arial" w:cs="Arial"/>
                <w:sz w:val="14"/>
                <w:szCs w:val="14"/>
              </w:rPr>
            </w:pPr>
            <w:r w:rsidRPr="005A18DC">
              <w:rPr>
                <w:rFonts w:ascii="Arial" w:hAnsi="Arial" w:cs="Arial"/>
                <w:sz w:val="14"/>
                <w:szCs w:val="14"/>
              </w:rPr>
              <w:t> </w:t>
            </w:r>
          </w:p>
        </w:tc>
        <w:tc>
          <w:tcPr>
            <w:tcW w:w="1120" w:type="dxa"/>
          </w:tcPr>
          <w:p w14:paraId="634C8010" w14:textId="4375DB29" w:rsidR="005A18DC" w:rsidRPr="005A18DC" w:rsidRDefault="005A18DC" w:rsidP="005A18DC">
            <w:pPr>
              <w:rPr>
                <w:rFonts w:ascii="Arial" w:hAnsi="Arial" w:cs="Arial"/>
                <w:sz w:val="14"/>
                <w:szCs w:val="14"/>
              </w:rPr>
            </w:pPr>
            <w:r w:rsidRPr="005A18DC">
              <w:rPr>
                <w:rFonts w:ascii="Arial" w:hAnsi="Arial" w:cs="Arial"/>
                <w:sz w:val="14"/>
                <w:szCs w:val="14"/>
              </w:rPr>
              <w:t> </w:t>
            </w:r>
          </w:p>
        </w:tc>
        <w:tc>
          <w:tcPr>
            <w:tcW w:w="1062" w:type="dxa"/>
          </w:tcPr>
          <w:p w14:paraId="08D9D1CA" w14:textId="1B6592E8" w:rsidR="005A18DC" w:rsidRPr="005A18DC" w:rsidRDefault="005A18DC" w:rsidP="005A18DC">
            <w:pPr>
              <w:rPr>
                <w:rFonts w:ascii="Arial" w:hAnsi="Arial" w:cs="Arial"/>
                <w:sz w:val="14"/>
                <w:szCs w:val="14"/>
              </w:rPr>
            </w:pPr>
            <w:r w:rsidRPr="005A18DC">
              <w:rPr>
                <w:rFonts w:ascii="Arial" w:hAnsi="Arial" w:cs="Arial"/>
                <w:sz w:val="14"/>
                <w:szCs w:val="14"/>
              </w:rPr>
              <w:t>R4-2400481</w:t>
            </w:r>
          </w:p>
        </w:tc>
      </w:tr>
      <w:tr w:rsidR="005A18DC" w:rsidRPr="005A18DC" w14:paraId="26DAF253" w14:textId="77777777" w:rsidTr="00B97F04">
        <w:trPr>
          <w:trHeight w:val="20"/>
          <w:jc w:val="center"/>
        </w:trPr>
        <w:tc>
          <w:tcPr>
            <w:tcW w:w="1094" w:type="dxa"/>
          </w:tcPr>
          <w:p w14:paraId="0A736B8A" w14:textId="22C18E0C" w:rsidR="005A18DC" w:rsidRPr="005A18DC" w:rsidRDefault="005A18DC" w:rsidP="005A18DC">
            <w:pPr>
              <w:rPr>
                <w:rFonts w:ascii="Arial" w:hAnsi="Arial" w:cs="Arial"/>
                <w:bCs/>
                <w:sz w:val="14"/>
                <w:szCs w:val="14"/>
              </w:rPr>
            </w:pPr>
            <w:hyperlink r:id="rId2800" w:history="1">
              <w:r w:rsidRPr="005A18DC">
                <w:rPr>
                  <w:rStyle w:val="Hyperlink"/>
                  <w:rFonts w:ascii="Arial" w:hAnsi="Arial" w:cs="Arial"/>
                  <w:b/>
                  <w:bCs/>
                  <w:sz w:val="14"/>
                  <w:szCs w:val="14"/>
                </w:rPr>
                <w:t>R1-2312681</w:t>
              </w:r>
            </w:hyperlink>
          </w:p>
        </w:tc>
        <w:tc>
          <w:tcPr>
            <w:tcW w:w="2646" w:type="dxa"/>
          </w:tcPr>
          <w:p w14:paraId="08F142EF" w14:textId="76732BF0" w:rsidR="005A18DC" w:rsidRPr="005A18DC" w:rsidRDefault="005A18DC" w:rsidP="005A18DC">
            <w:pPr>
              <w:rPr>
                <w:rFonts w:ascii="Arial" w:hAnsi="Arial" w:cs="Arial"/>
                <w:sz w:val="14"/>
                <w:szCs w:val="14"/>
              </w:rPr>
            </w:pPr>
            <w:r w:rsidRPr="005A18DC">
              <w:rPr>
                <w:rFonts w:ascii="Arial" w:hAnsi="Arial" w:cs="Arial"/>
                <w:sz w:val="14"/>
                <w:szCs w:val="14"/>
              </w:rPr>
              <w:t>LS on NR-NTN TP for TS 38.300</w:t>
            </w:r>
          </w:p>
        </w:tc>
        <w:tc>
          <w:tcPr>
            <w:tcW w:w="1583" w:type="dxa"/>
          </w:tcPr>
          <w:p w14:paraId="2AA18E56" w14:textId="3B697E43" w:rsidR="005A18DC" w:rsidRPr="005A18DC" w:rsidRDefault="005A18DC" w:rsidP="005A18DC">
            <w:pPr>
              <w:rPr>
                <w:rFonts w:ascii="Arial" w:hAnsi="Arial" w:cs="Arial"/>
                <w:sz w:val="14"/>
                <w:szCs w:val="14"/>
              </w:rPr>
            </w:pPr>
            <w:r w:rsidRPr="005A18DC">
              <w:rPr>
                <w:rFonts w:ascii="Arial" w:hAnsi="Arial" w:cs="Arial"/>
                <w:sz w:val="14"/>
                <w:szCs w:val="14"/>
              </w:rPr>
              <w:t>RAN1, THALES</w:t>
            </w:r>
          </w:p>
        </w:tc>
        <w:tc>
          <w:tcPr>
            <w:tcW w:w="813" w:type="dxa"/>
          </w:tcPr>
          <w:p w14:paraId="12DE45F9" w14:textId="591DB5B7" w:rsidR="005A18DC" w:rsidRPr="005A18DC" w:rsidRDefault="005A18DC" w:rsidP="005A18DC">
            <w:pPr>
              <w:rPr>
                <w:rFonts w:ascii="Arial" w:hAnsi="Arial" w:cs="Arial"/>
                <w:bCs/>
                <w:sz w:val="14"/>
                <w:szCs w:val="14"/>
              </w:rPr>
            </w:pPr>
            <w:hyperlink r:id="rId2801" w:history="1">
              <w:r w:rsidRPr="005A18DC">
                <w:rPr>
                  <w:rStyle w:val="Hyperlink"/>
                  <w:rFonts w:ascii="Arial" w:hAnsi="Arial" w:cs="Arial"/>
                  <w:b/>
                  <w:bCs/>
                  <w:sz w:val="14"/>
                  <w:szCs w:val="14"/>
                </w:rPr>
                <w:t>Rel-18</w:t>
              </w:r>
            </w:hyperlink>
          </w:p>
        </w:tc>
        <w:tc>
          <w:tcPr>
            <w:tcW w:w="2696" w:type="dxa"/>
          </w:tcPr>
          <w:p w14:paraId="742F14EE" w14:textId="63D12477" w:rsidR="005A18DC" w:rsidRPr="005A18DC" w:rsidRDefault="005A18DC" w:rsidP="005A18DC">
            <w:pPr>
              <w:rPr>
                <w:rFonts w:ascii="Arial" w:hAnsi="Arial" w:cs="Arial"/>
                <w:bCs/>
                <w:sz w:val="14"/>
                <w:szCs w:val="14"/>
              </w:rPr>
            </w:pPr>
            <w:hyperlink r:id="rId2802" w:history="1">
              <w:r w:rsidRPr="005A18DC">
                <w:rPr>
                  <w:rStyle w:val="Hyperlink"/>
                  <w:rFonts w:ascii="Arial" w:hAnsi="Arial" w:cs="Arial"/>
                  <w:b/>
                  <w:bCs/>
                  <w:sz w:val="14"/>
                  <w:szCs w:val="14"/>
                </w:rPr>
                <w:t>NR_NTN_enh-Core</w:t>
              </w:r>
            </w:hyperlink>
          </w:p>
        </w:tc>
        <w:tc>
          <w:tcPr>
            <w:tcW w:w="1065" w:type="dxa"/>
          </w:tcPr>
          <w:p w14:paraId="4D42E67F" w14:textId="6970D427" w:rsidR="005A18DC" w:rsidRPr="005A18DC" w:rsidRDefault="005A18DC" w:rsidP="005A18DC">
            <w:pPr>
              <w:rPr>
                <w:rFonts w:ascii="Arial" w:hAnsi="Arial" w:cs="Arial"/>
                <w:sz w:val="14"/>
                <w:szCs w:val="14"/>
              </w:rPr>
            </w:pPr>
            <w:r w:rsidRPr="005A18DC">
              <w:rPr>
                <w:rFonts w:ascii="Arial" w:hAnsi="Arial" w:cs="Arial"/>
                <w:sz w:val="14"/>
                <w:szCs w:val="14"/>
              </w:rPr>
              <w:t> </w:t>
            </w:r>
          </w:p>
        </w:tc>
        <w:tc>
          <w:tcPr>
            <w:tcW w:w="994" w:type="dxa"/>
          </w:tcPr>
          <w:p w14:paraId="1A916FAE" w14:textId="2887BDBA" w:rsidR="005A18DC" w:rsidRPr="005A18DC" w:rsidRDefault="005A18DC" w:rsidP="005A18DC">
            <w:pPr>
              <w:rPr>
                <w:rFonts w:ascii="Arial" w:hAnsi="Arial" w:cs="Arial"/>
                <w:sz w:val="14"/>
                <w:szCs w:val="14"/>
              </w:rPr>
            </w:pPr>
            <w:r w:rsidRPr="005A18DC">
              <w:rPr>
                <w:rFonts w:ascii="Arial" w:hAnsi="Arial" w:cs="Arial"/>
                <w:sz w:val="14"/>
                <w:szCs w:val="14"/>
              </w:rPr>
              <w:t>RAN2</w:t>
            </w:r>
          </w:p>
        </w:tc>
        <w:tc>
          <w:tcPr>
            <w:tcW w:w="994" w:type="dxa"/>
          </w:tcPr>
          <w:p w14:paraId="58761C02" w14:textId="7A864F13" w:rsidR="005A18DC" w:rsidRPr="005A18DC" w:rsidRDefault="005A18DC" w:rsidP="005A18DC">
            <w:pPr>
              <w:rPr>
                <w:rFonts w:ascii="Arial" w:hAnsi="Arial" w:cs="Arial"/>
                <w:sz w:val="14"/>
                <w:szCs w:val="14"/>
              </w:rPr>
            </w:pPr>
            <w:r w:rsidRPr="005A18DC">
              <w:rPr>
                <w:rFonts w:ascii="Arial" w:hAnsi="Arial" w:cs="Arial"/>
                <w:sz w:val="14"/>
                <w:szCs w:val="14"/>
              </w:rPr>
              <w:t> </w:t>
            </w:r>
          </w:p>
        </w:tc>
        <w:tc>
          <w:tcPr>
            <w:tcW w:w="1120" w:type="dxa"/>
          </w:tcPr>
          <w:p w14:paraId="461D629A" w14:textId="0D948930" w:rsidR="005A18DC" w:rsidRPr="005A18DC" w:rsidRDefault="005A18DC" w:rsidP="005A18DC">
            <w:pPr>
              <w:rPr>
                <w:rFonts w:ascii="Arial" w:hAnsi="Arial" w:cs="Arial"/>
                <w:sz w:val="14"/>
                <w:szCs w:val="14"/>
              </w:rPr>
            </w:pPr>
            <w:r w:rsidRPr="005A18DC">
              <w:rPr>
                <w:rFonts w:ascii="Arial" w:hAnsi="Arial" w:cs="Arial"/>
                <w:sz w:val="14"/>
                <w:szCs w:val="14"/>
              </w:rPr>
              <w:t> </w:t>
            </w:r>
          </w:p>
        </w:tc>
        <w:tc>
          <w:tcPr>
            <w:tcW w:w="1062" w:type="dxa"/>
          </w:tcPr>
          <w:p w14:paraId="705C7AAB" w14:textId="165F9E87" w:rsidR="005A18DC" w:rsidRPr="005A18DC" w:rsidRDefault="005A18DC" w:rsidP="005A18DC">
            <w:pPr>
              <w:rPr>
                <w:rFonts w:ascii="Arial" w:hAnsi="Arial" w:cs="Arial"/>
                <w:sz w:val="14"/>
                <w:szCs w:val="14"/>
              </w:rPr>
            </w:pPr>
            <w:r w:rsidRPr="005A18DC">
              <w:rPr>
                <w:rFonts w:ascii="Arial" w:hAnsi="Arial" w:cs="Arial"/>
                <w:sz w:val="14"/>
                <w:szCs w:val="14"/>
              </w:rPr>
              <w:t> </w:t>
            </w:r>
          </w:p>
        </w:tc>
      </w:tr>
      <w:tr w:rsidR="005A18DC" w:rsidRPr="005A18DC" w14:paraId="73A3646D" w14:textId="77777777" w:rsidTr="00E013E9">
        <w:trPr>
          <w:trHeight w:val="20"/>
          <w:jc w:val="center"/>
        </w:trPr>
        <w:tc>
          <w:tcPr>
            <w:tcW w:w="1094" w:type="dxa"/>
          </w:tcPr>
          <w:p w14:paraId="04D34008" w14:textId="6D515B56" w:rsidR="005A18DC" w:rsidRPr="005A18DC" w:rsidRDefault="005A18DC" w:rsidP="005A18DC">
            <w:pPr>
              <w:rPr>
                <w:rFonts w:ascii="Arial" w:hAnsi="Arial" w:cs="Arial"/>
                <w:sz w:val="14"/>
                <w:szCs w:val="14"/>
              </w:rPr>
            </w:pPr>
            <w:hyperlink r:id="rId2803" w:history="1">
              <w:r w:rsidRPr="005A18DC">
                <w:rPr>
                  <w:rStyle w:val="Hyperlink"/>
                  <w:rFonts w:ascii="Arial" w:hAnsi="Arial" w:cs="Arial"/>
                  <w:b/>
                  <w:bCs/>
                  <w:sz w:val="14"/>
                  <w:szCs w:val="14"/>
                </w:rPr>
                <w:t>R1-2312696</w:t>
              </w:r>
            </w:hyperlink>
          </w:p>
        </w:tc>
        <w:tc>
          <w:tcPr>
            <w:tcW w:w="2646" w:type="dxa"/>
          </w:tcPr>
          <w:p w14:paraId="374C384A" w14:textId="6529D838" w:rsidR="005A18DC" w:rsidRPr="005A18DC" w:rsidRDefault="005A18DC" w:rsidP="005A18DC">
            <w:pPr>
              <w:rPr>
                <w:rFonts w:ascii="Arial" w:hAnsi="Arial" w:cs="Arial"/>
                <w:sz w:val="14"/>
                <w:szCs w:val="14"/>
              </w:rPr>
            </w:pPr>
            <w:r w:rsidRPr="005A18DC">
              <w:rPr>
                <w:rFonts w:ascii="Arial" w:hAnsi="Arial" w:cs="Arial"/>
                <w:sz w:val="14"/>
                <w:szCs w:val="14"/>
              </w:rPr>
              <w:t>LS on improved GNSS operations in Rel-18 IoT NTN</w:t>
            </w:r>
          </w:p>
        </w:tc>
        <w:tc>
          <w:tcPr>
            <w:tcW w:w="1583" w:type="dxa"/>
          </w:tcPr>
          <w:p w14:paraId="0218505E" w14:textId="1158BE6E" w:rsidR="005A18DC" w:rsidRPr="005A18DC" w:rsidRDefault="005A18DC" w:rsidP="005A18DC">
            <w:pPr>
              <w:rPr>
                <w:rFonts w:ascii="Arial" w:hAnsi="Arial" w:cs="Arial"/>
                <w:sz w:val="14"/>
                <w:szCs w:val="14"/>
              </w:rPr>
            </w:pPr>
            <w:r w:rsidRPr="005A18DC">
              <w:rPr>
                <w:rFonts w:ascii="Arial" w:hAnsi="Arial" w:cs="Arial"/>
                <w:sz w:val="14"/>
                <w:szCs w:val="14"/>
              </w:rPr>
              <w:t>Moderator (MediaTek Inc.)</w:t>
            </w:r>
          </w:p>
        </w:tc>
        <w:tc>
          <w:tcPr>
            <w:tcW w:w="813" w:type="dxa"/>
          </w:tcPr>
          <w:p w14:paraId="79CFE5AF" w14:textId="148E2C86" w:rsidR="005A18DC" w:rsidRPr="005A18DC" w:rsidRDefault="005A18DC" w:rsidP="005A18DC">
            <w:pPr>
              <w:rPr>
                <w:rFonts w:ascii="Arial" w:hAnsi="Arial" w:cs="Arial"/>
                <w:bCs/>
                <w:sz w:val="14"/>
                <w:szCs w:val="14"/>
              </w:rPr>
            </w:pPr>
            <w:hyperlink r:id="rId2804" w:history="1">
              <w:r w:rsidRPr="005A18DC">
                <w:rPr>
                  <w:rStyle w:val="Hyperlink"/>
                  <w:rFonts w:ascii="Arial" w:hAnsi="Arial" w:cs="Arial"/>
                  <w:b/>
                  <w:bCs/>
                  <w:sz w:val="14"/>
                  <w:szCs w:val="14"/>
                </w:rPr>
                <w:t>Rel-18</w:t>
              </w:r>
            </w:hyperlink>
          </w:p>
        </w:tc>
        <w:tc>
          <w:tcPr>
            <w:tcW w:w="2696" w:type="dxa"/>
          </w:tcPr>
          <w:p w14:paraId="37AB6BFB" w14:textId="2D4ECAC0" w:rsidR="005A18DC" w:rsidRPr="005A18DC" w:rsidRDefault="005A18DC" w:rsidP="005A18DC">
            <w:pPr>
              <w:rPr>
                <w:rFonts w:ascii="Arial" w:hAnsi="Arial" w:cs="Arial"/>
                <w:sz w:val="14"/>
                <w:szCs w:val="14"/>
              </w:rPr>
            </w:pPr>
            <w:hyperlink r:id="rId2805" w:history="1">
              <w:r w:rsidRPr="005A18DC">
                <w:rPr>
                  <w:rStyle w:val="Hyperlink"/>
                  <w:rFonts w:ascii="Arial" w:hAnsi="Arial" w:cs="Arial"/>
                  <w:b/>
                  <w:bCs/>
                  <w:sz w:val="14"/>
                  <w:szCs w:val="14"/>
                </w:rPr>
                <w:t>IoT_NTN_enh-Core</w:t>
              </w:r>
            </w:hyperlink>
          </w:p>
        </w:tc>
        <w:tc>
          <w:tcPr>
            <w:tcW w:w="1065" w:type="dxa"/>
          </w:tcPr>
          <w:p w14:paraId="465A3AE6" w14:textId="42C4F8D3" w:rsidR="005A18DC" w:rsidRPr="005A18DC" w:rsidRDefault="005A18DC" w:rsidP="005A18DC">
            <w:pPr>
              <w:rPr>
                <w:rFonts w:ascii="Arial" w:hAnsi="Arial" w:cs="Arial"/>
                <w:sz w:val="14"/>
                <w:szCs w:val="14"/>
              </w:rPr>
            </w:pPr>
            <w:r w:rsidRPr="005A18DC">
              <w:rPr>
                <w:rFonts w:ascii="Arial" w:hAnsi="Arial" w:cs="Arial"/>
                <w:sz w:val="14"/>
                <w:szCs w:val="14"/>
              </w:rPr>
              <w:t> </w:t>
            </w:r>
          </w:p>
        </w:tc>
        <w:tc>
          <w:tcPr>
            <w:tcW w:w="994" w:type="dxa"/>
          </w:tcPr>
          <w:p w14:paraId="0E9264AC" w14:textId="198A7EA9" w:rsidR="005A18DC" w:rsidRPr="005A18DC" w:rsidRDefault="005A18DC" w:rsidP="005A18DC">
            <w:pPr>
              <w:rPr>
                <w:rFonts w:ascii="Arial" w:hAnsi="Arial" w:cs="Arial"/>
                <w:sz w:val="14"/>
                <w:szCs w:val="14"/>
              </w:rPr>
            </w:pPr>
            <w:r w:rsidRPr="005A18DC">
              <w:rPr>
                <w:rFonts w:ascii="Arial" w:hAnsi="Arial" w:cs="Arial"/>
                <w:sz w:val="14"/>
                <w:szCs w:val="14"/>
              </w:rPr>
              <w:t>RAN2</w:t>
            </w:r>
          </w:p>
        </w:tc>
        <w:tc>
          <w:tcPr>
            <w:tcW w:w="994" w:type="dxa"/>
          </w:tcPr>
          <w:p w14:paraId="212CC92B" w14:textId="7129E239" w:rsidR="005A18DC" w:rsidRPr="005A18DC" w:rsidRDefault="005A18DC" w:rsidP="005A18DC">
            <w:pPr>
              <w:rPr>
                <w:rFonts w:ascii="Arial" w:hAnsi="Arial" w:cs="Arial"/>
                <w:sz w:val="14"/>
                <w:szCs w:val="14"/>
              </w:rPr>
            </w:pPr>
            <w:r w:rsidRPr="005A18DC">
              <w:rPr>
                <w:rFonts w:ascii="Arial" w:hAnsi="Arial" w:cs="Arial"/>
                <w:sz w:val="14"/>
                <w:szCs w:val="14"/>
              </w:rPr>
              <w:t> </w:t>
            </w:r>
          </w:p>
        </w:tc>
        <w:tc>
          <w:tcPr>
            <w:tcW w:w="1120" w:type="dxa"/>
          </w:tcPr>
          <w:p w14:paraId="4E2E3051" w14:textId="6ED893D3" w:rsidR="005A18DC" w:rsidRPr="005A18DC" w:rsidRDefault="005A18DC" w:rsidP="005A18DC">
            <w:pPr>
              <w:rPr>
                <w:rFonts w:ascii="Arial" w:hAnsi="Arial" w:cs="Arial"/>
                <w:sz w:val="14"/>
                <w:szCs w:val="14"/>
              </w:rPr>
            </w:pPr>
            <w:r w:rsidRPr="005A18DC">
              <w:rPr>
                <w:rFonts w:ascii="Arial" w:hAnsi="Arial" w:cs="Arial"/>
                <w:sz w:val="14"/>
                <w:szCs w:val="14"/>
              </w:rPr>
              <w:t> </w:t>
            </w:r>
          </w:p>
        </w:tc>
        <w:tc>
          <w:tcPr>
            <w:tcW w:w="1062" w:type="dxa"/>
          </w:tcPr>
          <w:p w14:paraId="5D006805" w14:textId="05ABEDE2" w:rsidR="005A18DC" w:rsidRPr="005A18DC" w:rsidRDefault="005A18DC" w:rsidP="005A18DC">
            <w:pPr>
              <w:rPr>
                <w:rFonts w:ascii="Arial" w:hAnsi="Arial" w:cs="Arial"/>
                <w:sz w:val="14"/>
                <w:szCs w:val="14"/>
              </w:rPr>
            </w:pPr>
            <w:r w:rsidRPr="005A18DC">
              <w:rPr>
                <w:rFonts w:ascii="Arial" w:hAnsi="Arial" w:cs="Arial"/>
                <w:sz w:val="14"/>
                <w:szCs w:val="14"/>
              </w:rPr>
              <w:t> </w:t>
            </w:r>
          </w:p>
        </w:tc>
      </w:tr>
      <w:tr w:rsidR="005A18DC" w:rsidRPr="005A18DC" w14:paraId="06EEB5ED" w14:textId="77777777" w:rsidTr="00E013E9">
        <w:trPr>
          <w:trHeight w:val="20"/>
          <w:jc w:val="center"/>
        </w:trPr>
        <w:tc>
          <w:tcPr>
            <w:tcW w:w="1094" w:type="dxa"/>
          </w:tcPr>
          <w:p w14:paraId="5E5096EB" w14:textId="2FD19DB1" w:rsidR="005A18DC" w:rsidRPr="005A18DC" w:rsidRDefault="005A18DC" w:rsidP="005A18DC">
            <w:pPr>
              <w:rPr>
                <w:rFonts w:ascii="Arial" w:hAnsi="Arial" w:cs="Arial"/>
                <w:bCs/>
                <w:sz w:val="14"/>
                <w:szCs w:val="14"/>
              </w:rPr>
            </w:pPr>
            <w:hyperlink r:id="rId2806" w:history="1">
              <w:r w:rsidRPr="005A18DC">
                <w:rPr>
                  <w:rStyle w:val="Hyperlink"/>
                  <w:rFonts w:ascii="Arial" w:hAnsi="Arial" w:cs="Arial"/>
                  <w:b/>
                  <w:bCs/>
                  <w:sz w:val="14"/>
                  <w:szCs w:val="14"/>
                </w:rPr>
                <w:t>R1-2312707</w:t>
              </w:r>
            </w:hyperlink>
          </w:p>
        </w:tc>
        <w:tc>
          <w:tcPr>
            <w:tcW w:w="2646" w:type="dxa"/>
          </w:tcPr>
          <w:p w14:paraId="54BA8FCF" w14:textId="179B57AF" w:rsidR="005A18DC" w:rsidRPr="005A18DC" w:rsidRDefault="005A18DC" w:rsidP="005A18DC">
            <w:pPr>
              <w:rPr>
                <w:rFonts w:ascii="Arial" w:hAnsi="Arial" w:cs="Arial"/>
                <w:sz w:val="14"/>
                <w:szCs w:val="14"/>
              </w:rPr>
            </w:pPr>
            <w:r w:rsidRPr="005A18DC">
              <w:rPr>
                <w:rFonts w:ascii="Arial" w:hAnsi="Arial" w:cs="Arial"/>
                <w:sz w:val="14"/>
                <w:szCs w:val="14"/>
              </w:rPr>
              <w:t>LS on updates of the Rel-18 RAN1 UE features list for NR after RAN1#115</w:t>
            </w:r>
          </w:p>
        </w:tc>
        <w:tc>
          <w:tcPr>
            <w:tcW w:w="1583" w:type="dxa"/>
          </w:tcPr>
          <w:p w14:paraId="142BDB42" w14:textId="3D7F99E2" w:rsidR="005A18DC" w:rsidRPr="005A18DC" w:rsidRDefault="005A18DC" w:rsidP="005A18DC">
            <w:pPr>
              <w:rPr>
                <w:rFonts w:ascii="Arial" w:hAnsi="Arial" w:cs="Arial"/>
                <w:sz w:val="14"/>
                <w:szCs w:val="14"/>
              </w:rPr>
            </w:pPr>
            <w:r w:rsidRPr="005A18DC">
              <w:rPr>
                <w:rFonts w:ascii="Arial" w:hAnsi="Arial" w:cs="Arial"/>
                <w:sz w:val="14"/>
                <w:szCs w:val="14"/>
              </w:rPr>
              <w:t>RAN1, AT&amp;T, NTT DOCOMO, INC.</w:t>
            </w:r>
          </w:p>
        </w:tc>
        <w:tc>
          <w:tcPr>
            <w:tcW w:w="813" w:type="dxa"/>
          </w:tcPr>
          <w:p w14:paraId="71872B65" w14:textId="633F4D9D" w:rsidR="005A18DC" w:rsidRPr="005A18DC" w:rsidRDefault="005A18DC" w:rsidP="005A18DC">
            <w:pPr>
              <w:rPr>
                <w:rFonts w:ascii="Arial" w:hAnsi="Arial" w:cs="Arial"/>
                <w:bCs/>
                <w:sz w:val="14"/>
                <w:szCs w:val="14"/>
              </w:rPr>
            </w:pPr>
            <w:hyperlink r:id="rId2807" w:history="1">
              <w:r w:rsidRPr="005A18DC">
                <w:rPr>
                  <w:rStyle w:val="Hyperlink"/>
                  <w:rFonts w:ascii="Arial" w:hAnsi="Arial" w:cs="Arial"/>
                  <w:b/>
                  <w:bCs/>
                  <w:sz w:val="14"/>
                  <w:szCs w:val="14"/>
                </w:rPr>
                <w:t>Rel-18</w:t>
              </w:r>
            </w:hyperlink>
          </w:p>
        </w:tc>
        <w:tc>
          <w:tcPr>
            <w:tcW w:w="2696" w:type="dxa"/>
          </w:tcPr>
          <w:p w14:paraId="6998B946" w14:textId="0E916A10" w:rsidR="005A18DC" w:rsidRPr="005A18DC" w:rsidRDefault="005A18DC" w:rsidP="005A18DC">
            <w:pPr>
              <w:rPr>
                <w:rFonts w:ascii="Arial" w:hAnsi="Arial" w:cs="Arial"/>
                <w:bCs/>
                <w:sz w:val="14"/>
                <w:szCs w:val="14"/>
              </w:rPr>
            </w:pPr>
            <w:r w:rsidRPr="005A18DC">
              <w:rPr>
                <w:rFonts w:ascii="Arial" w:hAnsi="Arial" w:cs="Arial"/>
                <w:color w:val="000000"/>
                <w:sz w:val="14"/>
                <w:szCs w:val="14"/>
              </w:rPr>
              <w:t>TEI18, NR_DSS_enh, NR_MC_enh, NR_cov_enh2, NR_MIMO_evo_DL_UL, NR_SL_enh2, NR_Mob_enh2, NR_NTN_enh, NR_FR1_lessthan_5MHz_BW, NR_netcon_repeater, NR_redcap_enh, Netw_Energy_NR, NR_pos_enh2, NR_XR_enh, NR_BWP_wor</w:t>
            </w:r>
          </w:p>
        </w:tc>
        <w:tc>
          <w:tcPr>
            <w:tcW w:w="1065" w:type="dxa"/>
          </w:tcPr>
          <w:p w14:paraId="2308AEBD" w14:textId="7B9E9C1C" w:rsidR="005A18DC" w:rsidRPr="005A18DC" w:rsidRDefault="005A18DC" w:rsidP="005A18DC">
            <w:pPr>
              <w:rPr>
                <w:rFonts w:ascii="Arial" w:hAnsi="Arial" w:cs="Arial"/>
                <w:sz w:val="14"/>
                <w:szCs w:val="14"/>
              </w:rPr>
            </w:pPr>
            <w:r w:rsidRPr="005A18DC">
              <w:rPr>
                <w:rFonts w:ascii="Arial" w:hAnsi="Arial" w:cs="Arial"/>
                <w:sz w:val="14"/>
                <w:szCs w:val="14"/>
              </w:rPr>
              <w:t> </w:t>
            </w:r>
          </w:p>
        </w:tc>
        <w:tc>
          <w:tcPr>
            <w:tcW w:w="994" w:type="dxa"/>
          </w:tcPr>
          <w:p w14:paraId="1F244940" w14:textId="0ED7D623" w:rsidR="005A18DC" w:rsidRPr="005A18DC" w:rsidRDefault="005A18DC" w:rsidP="005A18DC">
            <w:pPr>
              <w:rPr>
                <w:rFonts w:ascii="Arial" w:hAnsi="Arial" w:cs="Arial"/>
                <w:sz w:val="14"/>
                <w:szCs w:val="14"/>
              </w:rPr>
            </w:pPr>
            <w:r w:rsidRPr="005A18DC">
              <w:rPr>
                <w:rFonts w:ascii="Arial" w:hAnsi="Arial" w:cs="Arial"/>
                <w:sz w:val="14"/>
                <w:szCs w:val="14"/>
              </w:rPr>
              <w:t>RAN2</w:t>
            </w:r>
          </w:p>
        </w:tc>
        <w:tc>
          <w:tcPr>
            <w:tcW w:w="994" w:type="dxa"/>
          </w:tcPr>
          <w:p w14:paraId="4E1AE5C1" w14:textId="093EA8DA" w:rsidR="005A18DC" w:rsidRPr="005A18DC" w:rsidRDefault="005A18DC" w:rsidP="005A18DC">
            <w:pPr>
              <w:rPr>
                <w:rFonts w:ascii="Arial" w:hAnsi="Arial" w:cs="Arial"/>
                <w:sz w:val="14"/>
                <w:szCs w:val="14"/>
              </w:rPr>
            </w:pPr>
            <w:r w:rsidRPr="005A18DC">
              <w:rPr>
                <w:rFonts w:ascii="Arial" w:hAnsi="Arial" w:cs="Arial"/>
                <w:sz w:val="14"/>
                <w:szCs w:val="14"/>
              </w:rPr>
              <w:t>RAN4</w:t>
            </w:r>
          </w:p>
        </w:tc>
        <w:tc>
          <w:tcPr>
            <w:tcW w:w="1120" w:type="dxa"/>
          </w:tcPr>
          <w:p w14:paraId="78ECFE38" w14:textId="43E06626" w:rsidR="005A18DC" w:rsidRPr="005A18DC" w:rsidRDefault="005A18DC" w:rsidP="005A18DC">
            <w:pPr>
              <w:rPr>
                <w:rFonts w:ascii="Arial" w:hAnsi="Arial" w:cs="Arial"/>
                <w:sz w:val="14"/>
                <w:szCs w:val="14"/>
              </w:rPr>
            </w:pPr>
            <w:r w:rsidRPr="005A18DC">
              <w:rPr>
                <w:rFonts w:ascii="Arial" w:hAnsi="Arial" w:cs="Arial"/>
                <w:sz w:val="14"/>
                <w:szCs w:val="14"/>
              </w:rPr>
              <w:t> </w:t>
            </w:r>
          </w:p>
        </w:tc>
        <w:tc>
          <w:tcPr>
            <w:tcW w:w="1062" w:type="dxa"/>
          </w:tcPr>
          <w:p w14:paraId="36E193C5" w14:textId="12BB8711" w:rsidR="005A18DC" w:rsidRPr="005A18DC" w:rsidRDefault="005A18DC" w:rsidP="005A18DC">
            <w:pPr>
              <w:rPr>
                <w:rFonts w:ascii="Arial" w:hAnsi="Arial" w:cs="Arial"/>
                <w:sz w:val="14"/>
                <w:szCs w:val="14"/>
              </w:rPr>
            </w:pPr>
            <w:r w:rsidRPr="005A18DC">
              <w:rPr>
                <w:rFonts w:ascii="Arial" w:hAnsi="Arial" w:cs="Arial"/>
                <w:sz w:val="14"/>
                <w:szCs w:val="14"/>
              </w:rPr>
              <w:t> </w:t>
            </w:r>
          </w:p>
        </w:tc>
      </w:tr>
      <w:tr w:rsidR="005A18DC" w:rsidRPr="005A18DC" w14:paraId="507E407A" w14:textId="77777777" w:rsidTr="00E013E9">
        <w:trPr>
          <w:trHeight w:val="20"/>
          <w:jc w:val="center"/>
        </w:trPr>
        <w:tc>
          <w:tcPr>
            <w:tcW w:w="1094" w:type="dxa"/>
          </w:tcPr>
          <w:p w14:paraId="0EC5F1E8" w14:textId="3F3940B0" w:rsidR="005A18DC" w:rsidRPr="005A18DC" w:rsidRDefault="005A18DC" w:rsidP="005A18DC">
            <w:pPr>
              <w:rPr>
                <w:rFonts w:ascii="Arial" w:hAnsi="Arial" w:cs="Arial"/>
                <w:bCs/>
                <w:sz w:val="14"/>
                <w:szCs w:val="14"/>
              </w:rPr>
            </w:pPr>
            <w:hyperlink r:id="rId2808" w:history="1">
              <w:r w:rsidRPr="005A18DC">
                <w:rPr>
                  <w:rStyle w:val="Hyperlink"/>
                  <w:rFonts w:ascii="Arial" w:hAnsi="Arial" w:cs="Arial"/>
                  <w:b/>
                  <w:bCs/>
                  <w:sz w:val="14"/>
                  <w:szCs w:val="14"/>
                </w:rPr>
                <w:t>R1-2312710</w:t>
              </w:r>
            </w:hyperlink>
          </w:p>
        </w:tc>
        <w:tc>
          <w:tcPr>
            <w:tcW w:w="2646" w:type="dxa"/>
          </w:tcPr>
          <w:p w14:paraId="5ADE1C95" w14:textId="12736B8B" w:rsidR="005A18DC" w:rsidRPr="005A18DC" w:rsidRDefault="005A18DC" w:rsidP="005A18DC">
            <w:pPr>
              <w:rPr>
                <w:rFonts w:ascii="Arial" w:hAnsi="Arial" w:cs="Arial"/>
                <w:sz w:val="14"/>
                <w:szCs w:val="14"/>
              </w:rPr>
            </w:pPr>
            <w:r w:rsidRPr="005A18DC">
              <w:rPr>
                <w:rFonts w:ascii="Arial" w:hAnsi="Arial" w:cs="Arial"/>
                <w:sz w:val="14"/>
                <w:szCs w:val="14"/>
              </w:rPr>
              <w:t>LS on updates of the Rel-18 higher-layers parameter list</w:t>
            </w:r>
          </w:p>
        </w:tc>
        <w:tc>
          <w:tcPr>
            <w:tcW w:w="1583" w:type="dxa"/>
          </w:tcPr>
          <w:p w14:paraId="15FB6F07" w14:textId="70F17189" w:rsidR="005A18DC" w:rsidRPr="005A18DC" w:rsidRDefault="005A18DC" w:rsidP="005A18DC">
            <w:pPr>
              <w:rPr>
                <w:rFonts w:ascii="Arial" w:hAnsi="Arial" w:cs="Arial"/>
                <w:sz w:val="14"/>
                <w:szCs w:val="14"/>
              </w:rPr>
            </w:pPr>
            <w:r w:rsidRPr="005A18DC">
              <w:rPr>
                <w:rFonts w:ascii="Arial" w:hAnsi="Arial" w:cs="Arial"/>
                <w:sz w:val="14"/>
                <w:szCs w:val="14"/>
              </w:rPr>
              <w:t>RAN1, Ericsson</w:t>
            </w:r>
          </w:p>
        </w:tc>
        <w:tc>
          <w:tcPr>
            <w:tcW w:w="813" w:type="dxa"/>
          </w:tcPr>
          <w:p w14:paraId="69DF0C6C" w14:textId="799D7DE4" w:rsidR="005A18DC" w:rsidRPr="005A18DC" w:rsidRDefault="005A18DC" w:rsidP="005A18DC">
            <w:pPr>
              <w:rPr>
                <w:rFonts w:ascii="Arial" w:hAnsi="Arial" w:cs="Arial"/>
                <w:bCs/>
                <w:sz w:val="14"/>
                <w:szCs w:val="14"/>
              </w:rPr>
            </w:pPr>
            <w:hyperlink r:id="rId2809" w:history="1">
              <w:r w:rsidRPr="005A18DC">
                <w:rPr>
                  <w:rStyle w:val="Hyperlink"/>
                  <w:rFonts w:ascii="Arial" w:hAnsi="Arial" w:cs="Arial"/>
                  <w:b/>
                  <w:bCs/>
                  <w:sz w:val="14"/>
                  <w:szCs w:val="14"/>
                </w:rPr>
                <w:t>Rel-18</w:t>
              </w:r>
            </w:hyperlink>
          </w:p>
        </w:tc>
        <w:tc>
          <w:tcPr>
            <w:tcW w:w="2696" w:type="dxa"/>
          </w:tcPr>
          <w:p w14:paraId="2CEC83DF" w14:textId="29F38E0A" w:rsidR="005A18DC" w:rsidRPr="005A18DC" w:rsidRDefault="005A18DC" w:rsidP="005A18DC">
            <w:pPr>
              <w:rPr>
                <w:rFonts w:ascii="Arial" w:hAnsi="Arial" w:cs="Arial"/>
                <w:bCs/>
                <w:sz w:val="14"/>
                <w:szCs w:val="14"/>
              </w:rPr>
            </w:pPr>
            <w:hyperlink r:id="rId2810" w:history="1">
              <w:r w:rsidRPr="005A18DC">
                <w:rPr>
                  <w:rStyle w:val="Hyperlink"/>
                  <w:rFonts w:ascii="Arial" w:hAnsi="Arial" w:cs="Arial"/>
                  <w:b/>
                  <w:bCs/>
                  <w:sz w:val="14"/>
                  <w:szCs w:val="14"/>
                </w:rPr>
                <w:t>Netw_Energy_NR-Core</w:t>
              </w:r>
            </w:hyperlink>
          </w:p>
        </w:tc>
        <w:tc>
          <w:tcPr>
            <w:tcW w:w="1065" w:type="dxa"/>
          </w:tcPr>
          <w:p w14:paraId="088BC66D" w14:textId="7F9CD2FF" w:rsidR="005A18DC" w:rsidRPr="005A18DC" w:rsidRDefault="005A18DC" w:rsidP="005A18DC">
            <w:pPr>
              <w:rPr>
                <w:rFonts w:ascii="Arial" w:hAnsi="Arial" w:cs="Arial"/>
                <w:sz w:val="14"/>
                <w:szCs w:val="14"/>
              </w:rPr>
            </w:pPr>
            <w:r w:rsidRPr="005A18DC">
              <w:rPr>
                <w:rFonts w:ascii="Arial" w:hAnsi="Arial" w:cs="Arial"/>
                <w:sz w:val="14"/>
                <w:szCs w:val="14"/>
              </w:rPr>
              <w:t> </w:t>
            </w:r>
          </w:p>
        </w:tc>
        <w:tc>
          <w:tcPr>
            <w:tcW w:w="994" w:type="dxa"/>
          </w:tcPr>
          <w:p w14:paraId="7547F0DA" w14:textId="3E5777C6" w:rsidR="005A18DC" w:rsidRPr="005A18DC" w:rsidRDefault="005A18DC" w:rsidP="005A18DC">
            <w:pPr>
              <w:rPr>
                <w:rFonts w:ascii="Arial" w:hAnsi="Arial" w:cs="Arial"/>
                <w:sz w:val="14"/>
                <w:szCs w:val="14"/>
              </w:rPr>
            </w:pPr>
            <w:r w:rsidRPr="005A18DC">
              <w:rPr>
                <w:rFonts w:ascii="Arial" w:hAnsi="Arial" w:cs="Arial"/>
                <w:sz w:val="14"/>
                <w:szCs w:val="14"/>
              </w:rPr>
              <w:t>RAN2, RAN3</w:t>
            </w:r>
          </w:p>
        </w:tc>
        <w:tc>
          <w:tcPr>
            <w:tcW w:w="994" w:type="dxa"/>
          </w:tcPr>
          <w:p w14:paraId="63EFD04E" w14:textId="3C9AB993" w:rsidR="005A18DC" w:rsidRPr="005A18DC" w:rsidRDefault="005A18DC" w:rsidP="005A18DC">
            <w:pPr>
              <w:rPr>
                <w:rFonts w:ascii="Arial" w:hAnsi="Arial" w:cs="Arial"/>
                <w:sz w:val="14"/>
                <w:szCs w:val="14"/>
              </w:rPr>
            </w:pPr>
            <w:r w:rsidRPr="005A18DC">
              <w:rPr>
                <w:rFonts w:ascii="Arial" w:hAnsi="Arial" w:cs="Arial"/>
                <w:sz w:val="14"/>
                <w:szCs w:val="14"/>
              </w:rPr>
              <w:t>RAN4</w:t>
            </w:r>
          </w:p>
        </w:tc>
        <w:tc>
          <w:tcPr>
            <w:tcW w:w="1120" w:type="dxa"/>
          </w:tcPr>
          <w:p w14:paraId="02173CF2" w14:textId="16CE23A8" w:rsidR="005A18DC" w:rsidRPr="005A18DC" w:rsidRDefault="005A18DC" w:rsidP="005A18DC">
            <w:pPr>
              <w:rPr>
                <w:rFonts w:ascii="Arial" w:hAnsi="Arial" w:cs="Arial"/>
                <w:sz w:val="14"/>
                <w:szCs w:val="14"/>
              </w:rPr>
            </w:pPr>
            <w:r w:rsidRPr="005A18DC">
              <w:rPr>
                <w:rFonts w:ascii="Arial" w:hAnsi="Arial" w:cs="Arial"/>
                <w:sz w:val="14"/>
                <w:szCs w:val="14"/>
              </w:rPr>
              <w:t> </w:t>
            </w:r>
          </w:p>
        </w:tc>
        <w:tc>
          <w:tcPr>
            <w:tcW w:w="1062" w:type="dxa"/>
          </w:tcPr>
          <w:p w14:paraId="5089C603" w14:textId="7D3AA30B" w:rsidR="005A18DC" w:rsidRPr="005A18DC" w:rsidRDefault="005A18DC" w:rsidP="005A18DC">
            <w:pPr>
              <w:rPr>
                <w:rFonts w:ascii="Arial" w:hAnsi="Arial" w:cs="Arial"/>
                <w:sz w:val="14"/>
                <w:szCs w:val="14"/>
              </w:rPr>
            </w:pPr>
            <w:r w:rsidRPr="005A18DC">
              <w:rPr>
                <w:rFonts w:ascii="Arial" w:hAnsi="Arial" w:cs="Arial"/>
                <w:sz w:val="14"/>
                <w:szCs w:val="14"/>
              </w:rPr>
              <w:t> </w:t>
            </w:r>
          </w:p>
        </w:tc>
      </w:tr>
    </w:tbl>
    <w:p w14:paraId="26DCC5E9" w14:textId="7CFE3AB8" w:rsidR="007A5AC0" w:rsidRPr="009537ED" w:rsidRDefault="007A5AC0" w:rsidP="009643F7">
      <w:pPr>
        <w:pStyle w:val="Heading1"/>
        <w:numPr>
          <w:ilvl w:val="0"/>
          <w:numId w:val="0"/>
        </w:numPr>
        <w:spacing w:before="0" w:after="0"/>
        <w:rPr>
          <w:rFonts w:ascii="Times New Roman" w:hAnsi="Times New Roman" w:cs="Times New Roman"/>
          <w:sz w:val="20"/>
          <w:szCs w:val="20"/>
        </w:rPr>
      </w:pPr>
      <w:r w:rsidRPr="009537ED">
        <w:rPr>
          <w:rFonts w:ascii="Times New Roman" w:hAnsi="Times New Roman" w:cs="Times New Roman"/>
          <w:sz w:val="20"/>
          <w:szCs w:val="20"/>
        </w:rPr>
        <w:br w:type="page"/>
      </w:r>
      <w:bookmarkStart w:id="838" w:name="_Toc159251068"/>
      <w:r w:rsidRPr="009537ED">
        <w:rPr>
          <w:rFonts w:ascii="Times New Roman" w:hAnsi="Times New Roman" w:cs="Times New Roman"/>
          <w:sz w:val="20"/>
          <w:szCs w:val="20"/>
        </w:rPr>
        <w:lastRenderedPageBreak/>
        <w:t>Annex</w:t>
      </w:r>
      <w:r w:rsidR="00233210" w:rsidRPr="009537ED">
        <w:rPr>
          <w:rFonts w:ascii="Times New Roman" w:hAnsi="Times New Roman" w:cs="Times New Roman"/>
          <w:sz w:val="20"/>
          <w:szCs w:val="20"/>
        </w:rPr>
        <w:t xml:space="preserve"> </w:t>
      </w:r>
      <w:r w:rsidRPr="009537ED">
        <w:rPr>
          <w:rFonts w:ascii="Times New Roman" w:eastAsia="MS Mincho" w:hAnsi="Times New Roman" w:cs="Times New Roman"/>
          <w:sz w:val="20"/>
          <w:szCs w:val="20"/>
          <w:lang w:eastAsia="ja-JP"/>
        </w:rPr>
        <w:t>C-2</w:t>
      </w:r>
      <w:r w:rsidRPr="009537ED">
        <w:rPr>
          <w:rFonts w:ascii="Times New Roman" w:hAnsi="Times New Roman" w:cs="Times New Roman"/>
          <w:sz w:val="20"/>
          <w:szCs w:val="20"/>
        </w:rPr>
        <w:t>:</w:t>
      </w:r>
      <w:r w:rsidRPr="009537ED">
        <w:rPr>
          <w:rFonts w:ascii="Times New Roman" w:hAnsi="Times New Roman" w:cs="Times New Roman"/>
          <w:sz w:val="20"/>
          <w:szCs w:val="20"/>
        </w:rPr>
        <w:tab/>
        <w:t>List</w:t>
      </w:r>
      <w:r w:rsidR="00233210" w:rsidRPr="009537ED">
        <w:rPr>
          <w:rFonts w:ascii="Times New Roman" w:hAnsi="Times New Roman" w:cs="Times New Roman"/>
          <w:sz w:val="20"/>
          <w:szCs w:val="20"/>
        </w:rPr>
        <w:t xml:space="preserve"> </w:t>
      </w:r>
      <w:r w:rsidRPr="009537ED">
        <w:rPr>
          <w:rFonts w:ascii="Times New Roman" w:hAnsi="Times New Roman" w:cs="Times New Roman"/>
          <w:sz w:val="20"/>
          <w:szCs w:val="20"/>
        </w:rPr>
        <w:t>of</w:t>
      </w:r>
      <w:r w:rsidR="00233210" w:rsidRPr="009537ED">
        <w:rPr>
          <w:rFonts w:ascii="Times New Roman" w:hAnsi="Times New Roman" w:cs="Times New Roman"/>
          <w:sz w:val="20"/>
          <w:szCs w:val="20"/>
        </w:rPr>
        <w:t xml:space="preserve"> </w:t>
      </w:r>
      <w:r w:rsidRPr="009537ED">
        <w:rPr>
          <w:rFonts w:ascii="Times New Roman" w:hAnsi="Times New Roman" w:cs="Times New Roman"/>
          <w:sz w:val="20"/>
          <w:szCs w:val="20"/>
        </w:rPr>
        <w:t>Incoming</w:t>
      </w:r>
      <w:r w:rsidR="00233210" w:rsidRPr="009537ED">
        <w:rPr>
          <w:rFonts w:ascii="Times New Roman" w:hAnsi="Times New Roman" w:cs="Times New Roman"/>
          <w:sz w:val="20"/>
          <w:szCs w:val="20"/>
        </w:rPr>
        <w:t xml:space="preserve"> </w:t>
      </w:r>
      <w:r w:rsidRPr="009537ED">
        <w:rPr>
          <w:rFonts w:ascii="Times New Roman" w:hAnsi="Times New Roman" w:cs="Times New Roman"/>
          <w:sz w:val="20"/>
          <w:szCs w:val="20"/>
        </w:rPr>
        <w:t>LSs</w:t>
      </w:r>
      <w:r w:rsidR="00233210" w:rsidRPr="009537ED">
        <w:rPr>
          <w:rFonts w:ascii="Times New Roman" w:eastAsia="MS Mincho" w:hAnsi="Times New Roman" w:cs="Times New Roman"/>
          <w:sz w:val="20"/>
          <w:szCs w:val="20"/>
          <w:lang w:eastAsia="ja-JP"/>
        </w:rPr>
        <w:t xml:space="preserve"> </w:t>
      </w:r>
      <w:r w:rsidRPr="009537ED">
        <w:rPr>
          <w:rFonts w:ascii="Times New Roman" w:eastAsia="MS Mincho" w:hAnsi="Times New Roman" w:cs="Times New Roman"/>
          <w:sz w:val="20"/>
          <w:szCs w:val="20"/>
          <w:lang w:eastAsia="ja-JP"/>
        </w:rPr>
        <w:t>from</w:t>
      </w:r>
      <w:r w:rsidR="00233210" w:rsidRPr="009537ED">
        <w:rPr>
          <w:rFonts w:ascii="Times New Roman" w:eastAsia="MS Mincho" w:hAnsi="Times New Roman" w:cs="Times New Roman"/>
          <w:sz w:val="20"/>
          <w:szCs w:val="20"/>
          <w:lang w:eastAsia="ja-JP"/>
        </w:rPr>
        <w:t xml:space="preserve"> </w:t>
      </w:r>
      <w:r w:rsidR="00CC2881" w:rsidRPr="009537ED">
        <w:rPr>
          <w:rFonts w:ascii="Times New Roman" w:hAnsi="Times New Roman" w:cs="Times New Roman"/>
          <w:sz w:val="20"/>
          <w:szCs w:val="20"/>
        </w:rPr>
        <w:t xml:space="preserve">RAN1 </w:t>
      </w:r>
      <w:r w:rsidR="00AE38CD" w:rsidRPr="009537ED">
        <w:rPr>
          <w:rFonts w:ascii="Times New Roman" w:hAnsi="Times New Roman" w:cs="Times New Roman"/>
          <w:sz w:val="20"/>
          <w:szCs w:val="20"/>
        </w:rPr>
        <w:t>#115</w:t>
      </w:r>
      <w:bookmarkEnd w:id="838"/>
    </w:p>
    <w:p w14:paraId="37A1C420" w14:textId="77777777" w:rsidR="000D7152" w:rsidRPr="009537ED" w:rsidRDefault="000D7152" w:rsidP="000D7152"/>
    <w:tbl>
      <w:tblPr>
        <w:tblStyle w:val="TableGrid"/>
        <w:tblW w:w="14067" w:type="dxa"/>
        <w:jc w:val="center"/>
        <w:tblLayout w:type="fixed"/>
        <w:tblLook w:val="04A0" w:firstRow="1" w:lastRow="0" w:firstColumn="1" w:lastColumn="0" w:noHBand="0" w:noVBand="1"/>
      </w:tblPr>
      <w:tblGrid>
        <w:gridCol w:w="1094"/>
        <w:gridCol w:w="2646"/>
        <w:gridCol w:w="1583"/>
        <w:gridCol w:w="909"/>
        <w:gridCol w:w="2600"/>
        <w:gridCol w:w="1065"/>
        <w:gridCol w:w="994"/>
        <w:gridCol w:w="994"/>
        <w:gridCol w:w="1120"/>
        <w:gridCol w:w="1062"/>
      </w:tblGrid>
      <w:tr w:rsidR="000D7152" w:rsidRPr="009537ED" w14:paraId="4DEEA9B2" w14:textId="77777777" w:rsidTr="00350D33">
        <w:trPr>
          <w:trHeight w:val="20"/>
          <w:tblHeader/>
          <w:jc w:val="center"/>
        </w:trPr>
        <w:tc>
          <w:tcPr>
            <w:tcW w:w="1094" w:type="dxa"/>
            <w:shd w:val="clear" w:color="auto" w:fill="BFBFBF" w:themeFill="background1" w:themeFillShade="BF"/>
            <w:hideMark/>
          </w:tcPr>
          <w:p w14:paraId="6D2843F2" w14:textId="73391C45" w:rsidR="007B422F" w:rsidRPr="00697CF0" w:rsidRDefault="007B422F" w:rsidP="000D7152">
            <w:pPr>
              <w:pStyle w:val="TAH"/>
              <w:rPr>
                <w:rFonts w:cs="Arial"/>
                <w:sz w:val="14"/>
                <w:szCs w:val="14"/>
              </w:rPr>
            </w:pPr>
            <w:r w:rsidRPr="00697CF0">
              <w:rPr>
                <w:rFonts w:cs="Arial"/>
                <w:sz w:val="14"/>
                <w:szCs w:val="14"/>
              </w:rPr>
              <w:t>TDoc</w:t>
            </w:r>
            <w:r w:rsidR="00233210" w:rsidRPr="00697CF0">
              <w:rPr>
                <w:rFonts w:cs="Arial"/>
                <w:sz w:val="14"/>
                <w:szCs w:val="14"/>
              </w:rPr>
              <w:t xml:space="preserve"> </w:t>
            </w:r>
            <w:r w:rsidRPr="00697CF0">
              <w:rPr>
                <w:rFonts w:cs="Arial"/>
                <w:sz w:val="14"/>
                <w:szCs w:val="14"/>
              </w:rPr>
              <w:t>#</w:t>
            </w:r>
          </w:p>
        </w:tc>
        <w:tc>
          <w:tcPr>
            <w:tcW w:w="2646" w:type="dxa"/>
            <w:shd w:val="clear" w:color="auto" w:fill="BFBFBF" w:themeFill="background1" w:themeFillShade="BF"/>
            <w:hideMark/>
          </w:tcPr>
          <w:p w14:paraId="3CC39652" w14:textId="77777777" w:rsidR="007B422F" w:rsidRPr="00697CF0" w:rsidRDefault="007B422F" w:rsidP="000D7152">
            <w:pPr>
              <w:pStyle w:val="TAH"/>
              <w:rPr>
                <w:rFonts w:cs="Arial"/>
                <w:sz w:val="14"/>
                <w:szCs w:val="14"/>
              </w:rPr>
            </w:pPr>
            <w:r w:rsidRPr="00697CF0">
              <w:rPr>
                <w:rFonts w:cs="Arial"/>
                <w:sz w:val="14"/>
                <w:szCs w:val="14"/>
              </w:rPr>
              <w:t>Title</w:t>
            </w:r>
          </w:p>
        </w:tc>
        <w:tc>
          <w:tcPr>
            <w:tcW w:w="1583" w:type="dxa"/>
            <w:shd w:val="clear" w:color="auto" w:fill="BFBFBF" w:themeFill="background1" w:themeFillShade="BF"/>
            <w:hideMark/>
          </w:tcPr>
          <w:p w14:paraId="366AA7EC" w14:textId="77777777" w:rsidR="007B422F" w:rsidRPr="00697CF0" w:rsidRDefault="007B422F" w:rsidP="000D7152">
            <w:pPr>
              <w:pStyle w:val="TAH"/>
              <w:rPr>
                <w:rFonts w:cs="Arial"/>
                <w:sz w:val="14"/>
                <w:szCs w:val="14"/>
              </w:rPr>
            </w:pPr>
            <w:r w:rsidRPr="00697CF0">
              <w:rPr>
                <w:rFonts w:cs="Arial"/>
                <w:sz w:val="14"/>
                <w:szCs w:val="14"/>
              </w:rPr>
              <w:t>Source</w:t>
            </w:r>
          </w:p>
        </w:tc>
        <w:tc>
          <w:tcPr>
            <w:tcW w:w="909" w:type="dxa"/>
            <w:shd w:val="clear" w:color="auto" w:fill="BFBFBF" w:themeFill="background1" w:themeFillShade="BF"/>
            <w:hideMark/>
          </w:tcPr>
          <w:p w14:paraId="34B8E44C" w14:textId="77777777" w:rsidR="007B422F" w:rsidRPr="00697CF0" w:rsidRDefault="007B422F" w:rsidP="000D7152">
            <w:pPr>
              <w:pStyle w:val="TAH"/>
              <w:rPr>
                <w:rFonts w:cs="Arial"/>
                <w:sz w:val="14"/>
                <w:szCs w:val="14"/>
              </w:rPr>
            </w:pPr>
            <w:r w:rsidRPr="00697CF0">
              <w:rPr>
                <w:rFonts w:cs="Arial"/>
                <w:sz w:val="14"/>
                <w:szCs w:val="14"/>
              </w:rPr>
              <w:t>Release</w:t>
            </w:r>
          </w:p>
        </w:tc>
        <w:tc>
          <w:tcPr>
            <w:tcW w:w="2600" w:type="dxa"/>
            <w:shd w:val="clear" w:color="auto" w:fill="BFBFBF" w:themeFill="background1" w:themeFillShade="BF"/>
            <w:hideMark/>
          </w:tcPr>
          <w:p w14:paraId="341B101A" w14:textId="6CBCF9E1" w:rsidR="007B422F" w:rsidRPr="00697CF0" w:rsidRDefault="007B422F" w:rsidP="000D7152">
            <w:pPr>
              <w:pStyle w:val="TAH"/>
              <w:rPr>
                <w:rFonts w:cs="Arial"/>
                <w:sz w:val="14"/>
                <w:szCs w:val="14"/>
              </w:rPr>
            </w:pPr>
            <w:r w:rsidRPr="00697CF0">
              <w:rPr>
                <w:rFonts w:cs="Arial"/>
                <w:sz w:val="14"/>
                <w:szCs w:val="14"/>
              </w:rPr>
              <w:t>Related</w:t>
            </w:r>
            <w:r w:rsidR="00233210" w:rsidRPr="00697CF0">
              <w:rPr>
                <w:rFonts w:cs="Arial"/>
                <w:sz w:val="14"/>
                <w:szCs w:val="14"/>
              </w:rPr>
              <w:t xml:space="preserve"> </w:t>
            </w:r>
            <w:r w:rsidRPr="00697CF0">
              <w:rPr>
                <w:rFonts w:cs="Arial"/>
                <w:sz w:val="14"/>
                <w:szCs w:val="14"/>
              </w:rPr>
              <w:t>WIs</w:t>
            </w:r>
          </w:p>
        </w:tc>
        <w:tc>
          <w:tcPr>
            <w:tcW w:w="1065" w:type="dxa"/>
            <w:shd w:val="clear" w:color="auto" w:fill="BFBFBF" w:themeFill="background1" w:themeFillShade="BF"/>
            <w:hideMark/>
          </w:tcPr>
          <w:p w14:paraId="0D457CC8" w14:textId="15376EEC" w:rsidR="007B422F" w:rsidRPr="00697CF0" w:rsidRDefault="007B422F" w:rsidP="000D7152">
            <w:pPr>
              <w:pStyle w:val="TAH"/>
              <w:rPr>
                <w:rFonts w:cs="Arial"/>
                <w:sz w:val="14"/>
                <w:szCs w:val="14"/>
              </w:rPr>
            </w:pPr>
            <w:r w:rsidRPr="00697CF0">
              <w:rPr>
                <w:rFonts w:cs="Arial"/>
                <w:sz w:val="14"/>
                <w:szCs w:val="14"/>
              </w:rPr>
              <w:t>Reply</w:t>
            </w:r>
            <w:r w:rsidR="00233210" w:rsidRPr="00697CF0">
              <w:rPr>
                <w:rFonts w:cs="Arial"/>
                <w:sz w:val="14"/>
                <w:szCs w:val="14"/>
              </w:rPr>
              <w:t xml:space="preserve"> </w:t>
            </w:r>
            <w:r w:rsidRPr="00697CF0">
              <w:rPr>
                <w:rFonts w:cs="Arial"/>
                <w:sz w:val="14"/>
                <w:szCs w:val="14"/>
              </w:rPr>
              <w:t>to</w:t>
            </w:r>
          </w:p>
        </w:tc>
        <w:tc>
          <w:tcPr>
            <w:tcW w:w="994" w:type="dxa"/>
            <w:shd w:val="clear" w:color="auto" w:fill="BFBFBF" w:themeFill="background1" w:themeFillShade="BF"/>
            <w:hideMark/>
          </w:tcPr>
          <w:p w14:paraId="3DD0B523" w14:textId="77777777" w:rsidR="007B422F" w:rsidRPr="00697CF0" w:rsidRDefault="007B422F" w:rsidP="000D7152">
            <w:pPr>
              <w:pStyle w:val="TAH"/>
              <w:rPr>
                <w:rFonts w:cs="Arial"/>
                <w:sz w:val="14"/>
                <w:szCs w:val="14"/>
              </w:rPr>
            </w:pPr>
            <w:r w:rsidRPr="00697CF0">
              <w:rPr>
                <w:rFonts w:cs="Arial"/>
                <w:sz w:val="14"/>
                <w:szCs w:val="14"/>
              </w:rPr>
              <w:t>To</w:t>
            </w:r>
          </w:p>
        </w:tc>
        <w:tc>
          <w:tcPr>
            <w:tcW w:w="994" w:type="dxa"/>
            <w:shd w:val="clear" w:color="auto" w:fill="BFBFBF" w:themeFill="background1" w:themeFillShade="BF"/>
            <w:hideMark/>
          </w:tcPr>
          <w:p w14:paraId="0AC1C733" w14:textId="77777777" w:rsidR="007B422F" w:rsidRPr="00697CF0" w:rsidRDefault="007B422F" w:rsidP="000D7152">
            <w:pPr>
              <w:pStyle w:val="TAH"/>
              <w:rPr>
                <w:rFonts w:cs="Arial"/>
                <w:sz w:val="14"/>
                <w:szCs w:val="14"/>
              </w:rPr>
            </w:pPr>
            <w:r w:rsidRPr="00697CF0">
              <w:rPr>
                <w:rFonts w:cs="Arial"/>
                <w:sz w:val="14"/>
                <w:szCs w:val="14"/>
              </w:rPr>
              <w:t>Cc</w:t>
            </w:r>
          </w:p>
        </w:tc>
        <w:tc>
          <w:tcPr>
            <w:tcW w:w="1120" w:type="dxa"/>
            <w:shd w:val="clear" w:color="auto" w:fill="BFBFBF" w:themeFill="background1" w:themeFillShade="BF"/>
            <w:hideMark/>
          </w:tcPr>
          <w:p w14:paraId="4703ADF1" w14:textId="45D20885" w:rsidR="007B422F" w:rsidRPr="00697CF0" w:rsidRDefault="007B422F" w:rsidP="000D7152">
            <w:pPr>
              <w:pStyle w:val="TAH"/>
              <w:rPr>
                <w:rFonts w:cs="Arial"/>
                <w:sz w:val="14"/>
                <w:szCs w:val="14"/>
              </w:rPr>
            </w:pPr>
            <w:r w:rsidRPr="00697CF0">
              <w:rPr>
                <w:rFonts w:cs="Arial"/>
                <w:sz w:val="14"/>
                <w:szCs w:val="14"/>
              </w:rPr>
              <w:t>Original</w:t>
            </w:r>
            <w:r w:rsidR="00233210" w:rsidRPr="00697CF0">
              <w:rPr>
                <w:rFonts w:cs="Arial"/>
                <w:sz w:val="14"/>
                <w:szCs w:val="14"/>
              </w:rPr>
              <w:t xml:space="preserve"> </w:t>
            </w:r>
            <w:r w:rsidRPr="00697CF0">
              <w:rPr>
                <w:rFonts w:cs="Arial"/>
                <w:sz w:val="14"/>
                <w:szCs w:val="14"/>
              </w:rPr>
              <w:t>LS</w:t>
            </w:r>
          </w:p>
        </w:tc>
        <w:tc>
          <w:tcPr>
            <w:tcW w:w="1062" w:type="dxa"/>
            <w:shd w:val="clear" w:color="auto" w:fill="BFBFBF" w:themeFill="background1" w:themeFillShade="BF"/>
            <w:hideMark/>
          </w:tcPr>
          <w:p w14:paraId="7334DC27" w14:textId="2EB5121C" w:rsidR="007B422F" w:rsidRPr="00697CF0" w:rsidRDefault="007B422F" w:rsidP="000D7152">
            <w:pPr>
              <w:pStyle w:val="TAH"/>
              <w:rPr>
                <w:rFonts w:cs="Arial"/>
                <w:sz w:val="14"/>
                <w:szCs w:val="14"/>
              </w:rPr>
            </w:pPr>
            <w:r w:rsidRPr="00697CF0">
              <w:rPr>
                <w:rFonts w:cs="Arial"/>
                <w:sz w:val="14"/>
                <w:szCs w:val="14"/>
              </w:rPr>
              <w:t>Reply</w:t>
            </w:r>
            <w:r w:rsidR="00233210" w:rsidRPr="00697CF0">
              <w:rPr>
                <w:rFonts w:cs="Arial"/>
                <w:sz w:val="14"/>
                <w:szCs w:val="14"/>
              </w:rPr>
              <w:t xml:space="preserve"> </w:t>
            </w:r>
            <w:r w:rsidRPr="00697CF0">
              <w:rPr>
                <w:rFonts w:cs="Arial"/>
                <w:sz w:val="14"/>
                <w:szCs w:val="14"/>
              </w:rPr>
              <w:t>in</w:t>
            </w:r>
          </w:p>
        </w:tc>
      </w:tr>
      <w:tr w:rsidR="00697CF0" w:rsidRPr="009537ED" w14:paraId="57000AB1" w14:textId="77777777" w:rsidTr="00E013E9">
        <w:trPr>
          <w:trHeight w:val="20"/>
          <w:jc w:val="center"/>
        </w:trPr>
        <w:tc>
          <w:tcPr>
            <w:tcW w:w="1094" w:type="dxa"/>
            <w:shd w:val="clear" w:color="auto" w:fill="auto"/>
          </w:tcPr>
          <w:p w14:paraId="56D31422" w14:textId="59D6D327" w:rsidR="00697CF0" w:rsidRPr="00697CF0" w:rsidRDefault="005A18DC" w:rsidP="00697CF0">
            <w:pPr>
              <w:rPr>
                <w:rFonts w:ascii="Arial" w:hAnsi="Arial" w:cs="Arial"/>
                <w:bCs/>
                <w:sz w:val="14"/>
                <w:szCs w:val="14"/>
              </w:rPr>
            </w:pPr>
            <w:hyperlink r:id="rId2811" w:history="1">
              <w:r w:rsidR="00AF7253">
                <w:rPr>
                  <w:rStyle w:val="Hyperlink"/>
                  <w:rFonts w:ascii="Arial" w:hAnsi="Arial" w:cs="Arial"/>
                  <w:b/>
                  <w:bCs/>
                  <w:sz w:val="14"/>
                  <w:szCs w:val="14"/>
                </w:rPr>
                <w:t>R1-2310784</w:t>
              </w:r>
            </w:hyperlink>
          </w:p>
        </w:tc>
        <w:tc>
          <w:tcPr>
            <w:tcW w:w="2646" w:type="dxa"/>
            <w:shd w:val="clear" w:color="auto" w:fill="auto"/>
          </w:tcPr>
          <w:p w14:paraId="7AB851D6" w14:textId="2F7BDBE2" w:rsidR="00697CF0" w:rsidRPr="00697CF0" w:rsidRDefault="00697CF0" w:rsidP="00697CF0">
            <w:pPr>
              <w:rPr>
                <w:rFonts w:ascii="Arial" w:hAnsi="Arial" w:cs="Arial"/>
                <w:bCs/>
                <w:sz w:val="14"/>
                <w:szCs w:val="14"/>
              </w:rPr>
            </w:pPr>
            <w:r w:rsidRPr="00697CF0">
              <w:rPr>
                <w:rFonts w:ascii="Arial" w:hAnsi="Arial" w:cs="Arial"/>
                <w:sz w:val="14"/>
                <w:szCs w:val="14"/>
              </w:rPr>
              <w:t>LS to RAN1 on RAN2 progress of NTN Self Evaluation</w:t>
            </w:r>
          </w:p>
        </w:tc>
        <w:tc>
          <w:tcPr>
            <w:tcW w:w="1583" w:type="dxa"/>
            <w:shd w:val="clear" w:color="auto" w:fill="auto"/>
          </w:tcPr>
          <w:p w14:paraId="0C2877C1" w14:textId="3DAF3A0E" w:rsidR="00697CF0" w:rsidRPr="00697CF0" w:rsidRDefault="00697CF0" w:rsidP="00697CF0">
            <w:pPr>
              <w:rPr>
                <w:rFonts w:ascii="Arial" w:hAnsi="Arial" w:cs="Arial"/>
                <w:bCs/>
                <w:sz w:val="14"/>
                <w:szCs w:val="14"/>
              </w:rPr>
            </w:pPr>
            <w:r w:rsidRPr="00697CF0">
              <w:rPr>
                <w:rFonts w:ascii="Arial" w:hAnsi="Arial" w:cs="Arial"/>
                <w:sz w:val="14"/>
                <w:szCs w:val="14"/>
              </w:rPr>
              <w:t>RAN2, Ericsson</w:t>
            </w:r>
          </w:p>
        </w:tc>
        <w:tc>
          <w:tcPr>
            <w:tcW w:w="909" w:type="dxa"/>
            <w:shd w:val="clear" w:color="auto" w:fill="auto"/>
          </w:tcPr>
          <w:p w14:paraId="0786E814" w14:textId="0652F378" w:rsidR="00697CF0" w:rsidRPr="00697CF0" w:rsidRDefault="005A18DC" w:rsidP="00697CF0">
            <w:pPr>
              <w:rPr>
                <w:rFonts w:ascii="Arial" w:hAnsi="Arial" w:cs="Arial"/>
                <w:bCs/>
                <w:sz w:val="14"/>
                <w:szCs w:val="14"/>
              </w:rPr>
            </w:pPr>
            <w:hyperlink r:id="rId2812" w:history="1">
              <w:r w:rsidR="00697CF0" w:rsidRPr="00697CF0">
                <w:rPr>
                  <w:rStyle w:val="Hyperlink"/>
                  <w:rFonts w:ascii="Arial" w:hAnsi="Arial" w:cs="Arial"/>
                  <w:b/>
                  <w:bCs/>
                  <w:sz w:val="14"/>
                  <w:szCs w:val="14"/>
                </w:rPr>
                <w:t>Rel-18</w:t>
              </w:r>
            </w:hyperlink>
          </w:p>
        </w:tc>
        <w:tc>
          <w:tcPr>
            <w:tcW w:w="2600" w:type="dxa"/>
            <w:shd w:val="clear" w:color="auto" w:fill="auto"/>
          </w:tcPr>
          <w:p w14:paraId="5D820D3F" w14:textId="375307E7" w:rsidR="00697CF0" w:rsidRPr="00697CF0" w:rsidRDefault="005A18DC" w:rsidP="00697CF0">
            <w:pPr>
              <w:rPr>
                <w:rFonts w:ascii="Arial" w:hAnsi="Arial" w:cs="Arial"/>
                <w:bCs/>
                <w:sz w:val="14"/>
                <w:szCs w:val="14"/>
              </w:rPr>
            </w:pPr>
            <w:hyperlink r:id="rId2813" w:history="1">
              <w:r w:rsidR="00697CF0" w:rsidRPr="00697CF0">
                <w:rPr>
                  <w:rStyle w:val="Hyperlink"/>
                  <w:rFonts w:ascii="Arial" w:hAnsi="Arial" w:cs="Arial"/>
                  <w:b/>
                  <w:bCs/>
                  <w:sz w:val="14"/>
                  <w:szCs w:val="14"/>
                </w:rPr>
                <w:t>FS_IMT2020_SAT_eval</w:t>
              </w:r>
            </w:hyperlink>
          </w:p>
        </w:tc>
        <w:tc>
          <w:tcPr>
            <w:tcW w:w="1065" w:type="dxa"/>
            <w:shd w:val="clear" w:color="auto" w:fill="auto"/>
          </w:tcPr>
          <w:p w14:paraId="61431CC0" w14:textId="0763036F" w:rsidR="00697CF0" w:rsidRPr="00697CF0" w:rsidRDefault="00697CF0" w:rsidP="00697CF0">
            <w:pPr>
              <w:rPr>
                <w:rFonts w:ascii="Arial" w:hAnsi="Arial" w:cs="Arial"/>
                <w:bCs/>
                <w:sz w:val="14"/>
                <w:szCs w:val="14"/>
              </w:rPr>
            </w:pPr>
            <w:r w:rsidRPr="00697CF0">
              <w:rPr>
                <w:rFonts w:ascii="Arial" w:hAnsi="Arial" w:cs="Arial"/>
                <w:sz w:val="14"/>
                <w:szCs w:val="14"/>
              </w:rPr>
              <w:t> </w:t>
            </w:r>
          </w:p>
        </w:tc>
        <w:tc>
          <w:tcPr>
            <w:tcW w:w="994" w:type="dxa"/>
            <w:shd w:val="clear" w:color="auto" w:fill="auto"/>
          </w:tcPr>
          <w:p w14:paraId="66B2DD0C" w14:textId="7C877CFB" w:rsidR="00697CF0" w:rsidRPr="00697CF0" w:rsidRDefault="00697CF0" w:rsidP="00697CF0">
            <w:pPr>
              <w:rPr>
                <w:rFonts w:ascii="Arial" w:hAnsi="Arial" w:cs="Arial"/>
                <w:bCs/>
                <w:sz w:val="14"/>
                <w:szCs w:val="14"/>
              </w:rPr>
            </w:pPr>
            <w:r w:rsidRPr="00697CF0">
              <w:rPr>
                <w:rFonts w:ascii="Arial" w:hAnsi="Arial" w:cs="Arial"/>
                <w:sz w:val="14"/>
                <w:szCs w:val="14"/>
              </w:rPr>
              <w:t>RAN1</w:t>
            </w:r>
          </w:p>
        </w:tc>
        <w:tc>
          <w:tcPr>
            <w:tcW w:w="994" w:type="dxa"/>
            <w:shd w:val="clear" w:color="auto" w:fill="auto"/>
          </w:tcPr>
          <w:p w14:paraId="76D6F364" w14:textId="74D2AA35" w:rsidR="00697CF0" w:rsidRPr="00697CF0" w:rsidRDefault="00697CF0" w:rsidP="00697CF0">
            <w:pPr>
              <w:rPr>
                <w:rFonts w:ascii="Arial" w:hAnsi="Arial" w:cs="Arial"/>
                <w:bCs/>
                <w:sz w:val="14"/>
                <w:szCs w:val="14"/>
              </w:rPr>
            </w:pPr>
            <w:r w:rsidRPr="00697CF0">
              <w:rPr>
                <w:rFonts w:ascii="Arial" w:hAnsi="Arial" w:cs="Arial"/>
                <w:sz w:val="14"/>
                <w:szCs w:val="14"/>
              </w:rPr>
              <w:t> </w:t>
            </w:r>
          </w:p>
        </w:tc>
        <w:tc>
          <w:tcPr>
            <w:tcW w:w="1120" w:type="dxa"/>
            <w:shd w:val="clear" w:color="auto" w:fill="auto"/>
          </w:tcPr>
          <w:p w14:paraId="2F4441F5" w14:textId="50D8AB5D" w:rsidR="00697CF0" w:rsidRPr="00697CF0" w:rsidRDefault="00697CF0" w:rsidP="00697CF0">
            <w:pPr>
              <w:rPr>
                <w:rFonts w:ascii="Arial" w:hAnsi="Arial" w:cs="Arial"/>
                <w:bCs/>
                <w:sz w:val="14"/>
                <w:szCs w:val="14"/>
              </w:rPr>
            </w:pPr>
            <w:r w:rsidRPr="00697CF0">
              <w:rPr>
                <w:rFonts w:ascii="Arial" w:hAnsi="Arial" w:cs="Arial"/>
                <w:sz w:val="14"/>
                <w:szCs w:val="14"/>
              </w:rPr>
              <w:t>R2-2311315</w:t>
            </w:r>
          </w:p>
        </w:tc>
        <w:tc>
          <w:tcPr>
            <w:tcW w:w="1062" w:type="dxa"/>
            <w:shd w:val="clear" w:color="auto" w:fill="auto"/>
          </w:tcPr>
          <w:p w14:paraId="68A32CF1" w14:textId="2332EF38" w:rsidR="00697CF0" w:rsidRPr="00697CF0" w:rsidRDefault="00697CF0" w:rsidP="00697CF0">
            <w:pPr>
              <w:rPr>
                <w:rFonts w:ascii="Arial" w:hAnsi="Arial" w:cs="Arial"/>
                <w:bCs/>
                <w:sz w:val="14"/>
                <w:szCs w:val="14"/>
              </w:rPr>
            </w:pPr>
            <w:r w:rsidRPr="00697CF0">
              <w:rPr>
                <w:rFonts w:ascii="Arial" w:hAnsi="Arial" w:cs="Arial"/>
                <w:sz w:val="14"/>
                <w:szCs w:val="14"/>
              </w:rPr>
              <w:t> </w:t>
            </w:r>
          </w:p>
        </w:tc>
      </w:tr>
      <w:tr w:rsidR="00697CF0" w:rsidRPr="009537ED" w14:paraId="7709966B" w14:textId="77777777" w:rsidTr="00E013E9">
        <w:trPr>
          <w:trHeight w:val="20"/>
          <w:jc w:val="center"/>
        </w:trPr>
        <w:tc>
          <w:tcPr>
            <w:tcW w:w="1094" w:type="dxa"/>
            <w:shd w:val="clear" w:color="auto" w:fill="auto"/>
          </w:tcPr>
          <w:p w14:paraId="37A70CC8" w14:textId="6E4FE111" w:rsidR="00697CF0" w:rsidRPr="00697CF0" w:rsidRDefault="005A18DC" w:rsidP="00697CF0">
            <w:pPr>
              <w:rPr>
                <w:rFonts w:ascii="Arial" w:hAnsi="Arial" w:cs="Arial"/>
                <w:bCs/>
                <w:sz w:val="14"/>
                <w:szCs w:val="14"/>
              </w:rPr>
            </w:pPr>
            <w:hyperlink r:id="rId2814" w:history="1">
              <w:r w:rsidR="00AF7253">
                <w:rPr>
                  <w:rStyle w:val="Hyperlink"/>
                  <w:rFonts w:ascii="Arial" w:hAnsi="Arial" w:cs="Arial"/>
                  <w:b/>
                  <w:bCs/>
                  <w:sz w:val="14"/>
                  <w:szCs w:val="14"/>
                </w:rPr>
                <w:t>R1-2310785</w:t>
              </w:r>
            </w:hyperlink>
          </w:p>
        </w:tc>
        <w:tc>
          <w:tcPr>
            <w:tcW w:w="2646" w:type="dxa"/>
            <w:shd w:val="clear" w:color="auto" w:fill="auto"/>
          </w:tcPr>
          <w:p w14:paraId="1EA21E63" w14:textId="261FB8E1" w:rsidR="00697CF0" w:rsidRPr="00697CF0" w:rsidRDefault="00697CF0" w:rsidP="00697CF0">
            <w:pPr>
              <w:rPr>
                <w:rFonts w:ascii="Arial" w:hAnsi="Arial" w:cs="Arial"/>
                <w:bCs/>
                <w:sz w:val="14"/>
                <w:szCs w:val="14"/>
              </w:rPr>
            </w:pPr>
            <w:r w:rsidRPr="00697CF0">
              <w:rPr>
                <w:rFonts w:ascii="Arial" w:hAnsi="Arial" w:cs="Arial"/>
                <w:sz w:val="14"/>
                <w:szCs w:val="14"/>
              </w:rPr>
              <w:t>LS on extended PRS and SRS periodicity</w:t>
            </w:r>
          </w:p>
        </w:tc>
        <w:tc>
          <w:tcPr>
            <w:tcW w:w="1583" w:type="dxa"/>
            <w:shd w:val="clear" w:color="auto" w:fill="auto"/>
          </w:tcPr>
          <w:p w14:paraId="4C748B9D" w14:textId="2A0458A5" w:rsidR="00697CF0" w:rsidRPr="00697CF0" w:rsidRDefault="00697CF0" w:rsidP="00697CF0">
            <w:pPr>
              <w:rPr>
                <w:rFonts w:ascii="Arial" w:hAnsi="Arial" w:cs="Arial"/>
                <w:bCs/>
                <w:sz w:val="14"/>
                <w:szCs w:val="14"/>
              </w:rPr>
            </w:pPr>
            <w:r w:rsidRPr="00697CF0">
              <w:rPr>
                <w:rFonts w:ascii="Arial" w:hAnsi="Arial" w:cs="Arial"/>
                <w:sz w:val="14"/>
                <w:szCs w:val="14"/>
              </w:rPr>
              <w:t>RAN2, Huawei</w:t>
            </w:r>
          </w:p>
        </w:tc>
        <w:tc>
          <w:tcPr>
            <w:tcW w:w="909" w:type="dxa"/>
            <w:shd w:val="clear" w:color="auto" w:fill="auto"/>
          </w:tcPr>
          <w:p w14:paraId="2E1CE319" w14:textId="03C981AB" w:rsidR="00697CF0" w:rsidRPr="00697CF0" w:rsidRDefault="005A18DC" w:rsidP="00697CF0">
            <w:pPr>
              <w:rPr>
                <w:rFonts w:ascii="Arial" w:hAnsi="Arial" w:cs="Arial"/>
                <w:bCs/>
                <w:sz w:val="14"/>
                <w:szCs w:val="14"/>
              </w:rPr>
            </w:pPr>
            <w:hyperlink r:id="rId2815" w:history="1">
              <w:r w:rsidR="00697CF0" w:rsidRPr="00697CF0">
                <w:rPr>
                  <w:rStyle w:val="Hyperlink"/>
                  <w:rFonts w:ascii="Arial" w:hAnsi="Arial" w:cs="Arial"/>
                  <w:b/>
                  <w:bCs/>
                  <w:sz w:val="14"/>
                  <w:szCs w:val="14"/>
                </w:rPr>
                <w:t>Rel-18</w:t>
              </w:r>
            </w:hyperlink>
          </w:p>
        </w:tc>
        <w:tc>
          <w:tcPr>
            <w:tcW w:w="2600" w:type="dxa"/>
            <w:shd w:val="clear" w:color="auto" w:fill="auto"/>
          </w:tcPr>
          <w:p w14:paraId="2541007D" w14:textId="64803AC9" w:rsidR="00697CF0" w:rsidRPr="00697CF0" w:rsidRDefault="005A18DC" w:rsidP="00697CF0">
            <w:pPr>
              <w:rPr>
                <w:rFonts w:ascii="Arial" w:hAnsi="Arial" w:cs="Arial"/>
                <w:bCs/>
                <w:sz w:val="14"/>
                <w:szCs w:val="14"/>
              </w:rPr>
            </w:pPr>
            <w:hyperlink r:id="rId2816" w:history="1">
              <w:r w:rsidR="00697CF0" w:rsidRPr="00697CF0">
                <w:rPr>
                  <w:rStyle w:val="Hyperlink"/>
                  <w:rFonts w:ascii="Arial" w:hAnsi="Arial" w:cs="Arial"/>
                  <w:b/>
                  <w:bCs/>
                  <w:sz w:val="14"/>
                  <w:szCs w:val="14"/>
                </w:rPr>
                <w:t>NR_pos_enh2-Core</w:t>
              </w:r>
            </w:hyperlink>
          </w:p>
        </w:tc>
        <w:tc>
          <w:tcPr>
            <w:tcW w:w="1065" w:type="dxa"/>
            <w:shd w:val="clear" w:color="auto" w:fill="auto"/>
          </w:tcPr>
          <w:p w14:paraId="49BC7D0C" w14:textId="0FF0AE3C" w:rsidR="00697CF0" w:rsidRPr="00697CF0" w:rsidRDefault="005A18DC" w:rsidP="00697CF0">
            <w:pPr>
              <w:rPr>
                <w:rFonts w:ascii="Arial" w:hAnsi="Arial" w:cs="Arial"/>
                <w:bCs/>
                <w:sz w:val="14"/>
                <w:szCs w:val="14"/>
              </w:rPr>
            </w:pPr>
            <w:hyperlink r:id="rId2817" w:history="1">
              <w:r w:rsidR="00AF7253">
                <w:rPr>
                  <w:rStyle w:val="Hyperlink"/>
                  <w:rFonts w:ascii="Arial" w:hAnsi="Arial" w:cs="Arial"/>
                  <w:sz w:val="14"/>
                  <w:szCs w:val="14"/>
                </w:rPr>
                <w:t>R1-2308571</w:t>
              </w:r>
            </w:hyperlink>
          </w:p>
        </w:tc>
        <w:tc>
          <w:tcPr>
            <w:tcW w:w="994" w:type="dxa"/>
            <w:shd w:val="clear" w:color="auto" w:fill="auto"/>
          </w:tcPr>
          <w:p w14:paraId="5F1613B1" w14:textId="36EAEB22" w:rsidR="00697CF0" w:rsidRPr="00697CF0" w:rsidRDefault="00697CF0" w:rsidP="00697CF0">
            <w:pPr>
              <w:rPr>
                <w:rFonts w:ascii="Arial" w:hAnsi="Arial" w:cs="Arial"/>
                <w:bCs/>
                <w:sz w:val="14"/>
                <w:szCs w:val="14"/>
              </w:rPr>
            </w:pPr>
            <w:r w:rsidRPr="00697CF0">
              <w:rPr>
                <w:rFonts w:ascii="Arial" w:hAnsi="Arial" w:cs="Arial"/>
                <w:sz w:val="14"/>
                <w:szCs w:val="14"/>
              </w:rPr>
              <w:t>RAN1</w:t>
            </w:r>
          </w:p>
        </w:tc>
        <w:tc>
          <w:tcPr>
            <w:tcW w:w="994" w:type="dxa"/>
            <w:shd w:val="clear" w:color="auto" w:fill="auto"/>
          </w:tcPr>
          <w:p w14:paraId="6CFE6170" w14:textId="6D4B522A" w:rsidR="00697CF0" w:rsidRPr="00697CF0" w:rsidRDefault="00697CF0" w:rsidP="00697CF0">
            <w:pPr>
              <w:rPr>
                <w:rFonts w:ascii="Arial" w:hAnsi="Arial" w:cs="Arial"/>
                <w:bCs/>
                <w:sz w:val="14"/>
                <w:szCs w:val="14"/>
              </w:rPr>
            </w:pPr>
            <w:r w:rsidRPr="00697CF0">
              <w:rPr>
                <w:rFonts w:ascii="Arial" w:hAnsi="Arial" w:cs="Arial"/>
                <w:sz w:val="14"/>
                <w:szCs w:val="14"/>
              </w:rPr>
              <w:t> </w:t>
            </w:r>
          </w:p>
        </w:tc>
        <w:tc>
          <w:tcPr>
            <w:tcW w:w="1120" w:type="dxa"/>
            <w:shd w:val="clear" w:color="auto" w:fill="auto"/>
          </w:tcPr>
          <w:p w14:paraId="75ECF45B" w14:textId="7D9BF4CA" w:rsidR="00697CF0" w:rsidRPr="00697CF0" w:rsidRDefault="00697CF0" w:rsidP="00697CF0">
            <w:pPr>
              <w:rPr>
                <w:rFonts w:ascii="Arial" w:hAnsi="Arial" w:cs="Arial"/>
                <w:bCs/>
                <w:sz w:val="14"/>
                <w:szCs w:val="14"/>
              </w:rPr>
            </w:pPr>
            <w:r w:rsidRPr="00697CF0">
              <w:rPr>
                <w:rFonts w:ascii="Arial" w:hAnsi="Arial" w:cs="Arial"/>
                <w:sz w:val="14"/>
                <w:szCs w:val="14"/>
              </w:rPr>
              <w:t>R2-2311386</w:t>
            </w:r>
          </w:p>
        </w:tc>
        <w:tc>
          <w:tcPr>
            <w:tcW w:w="1062" w:type="dxa"/>
            <w:shd w:val="clear" w:color="auto" w:fill="auto"/>
          </w:tcPr>
          <w:p w14:paraId="1E672BD7" w14:textId="630ADA00" w:rsidR="00697CF0" w:rsidRPr="00697CF0" w:rsidRDefault="00697CF0" w:rsidP="00697CF0">
            <w:pPr>
              <w:rPr>
                <w:rFonts w:ascii="Arial" w:hAnsi="Arial" w:cs="Arial"/>
                <w:bCs/>
                <w:sz w:val="14"/>
                <w:szCs w:val="14"/>
              </w:rPr>
            </w:pPr>
            <w:r w:rsidRPr="00697CF0">
              <w:rPr>
                <w:rFonts w:ascii="Arial" w:hAnsi="Arial" w:cs="Arial"/>
                <w:sz w:val="14"/>
                <w:szCs w:val="14"/>
              </w:rPr>
              <w:t> </w:t>
            </w:r>
          </w:p>
        </w:tc>
      </w:tr>
      <w:tr w:rsidR="00697CF0" w:rsidRPr="009537ED" w14:paraId="5AD54A03" w14:textId="77777777" w:rsidTr="00E013E9">
        <w:trPr>
          <w:trHeight w:val="20"/>
          <w:jc w:val="center"/>
        </w:trPr>
        <w:tc>
          <w:tcPr>
            <w:tcW w:w="1094" w:type="dxa"/>
          </w:tcPr>
          <w:p w14:paraId="45DC735E" w14:textId="47C0A0B3" w:rsidR="00697CF0" w:rsidRPr="00697CF0" w:rsidRDefault="005A18DC" w:rsidP="00697CF0">
            <w:pPr>
              <w:rPr>
                <w:rFonts w:ascii="Arial" w:hAnsi="Arial" w:cs="Arial"/>
                <w:bCs/>
                <w:sz w:val="14"/>
                <w:szCs w:val="14"/>
              </w:rPr>
            </w:pPr>
            <w:hyperlink r:id="rId2818" w:history="1">
              <w:r w:rsidR="00AF7253">
                <w:rPr>
                  <w:rStyle w:val="Hyperlink"/>
                  <w:rFonts w:ascii="Arial" w:hAnsi="Arial" w:cs="Arial"/>
                  <w:b/>
                  <w:bCs/>
                  <w:sz w:val="14"/>
                  <w:szCs w:val="14"/>
                </w:rPr>
                <w:t>R1-2310786</w:t>
              </w:r>
            </w:hyperlink>
          </w:p>
        </w:tc>
        <w:tc>
          <w:tcPr>
            <w:tcW w:w="2646" w:type="dxa"/>
          </w:tcPr>
          <w:p w14:paraId="3542B796" w14:textId="43908843" w:rsidR="00697CF0" w:rsidRPr="00697CF0" w:rsidRDefault="00697CF0" w:rsidP="00697CF0">
            <w:pPr>
              <w:rPr>
                <w:rFonts w:ascii="Arial" w:hAnsi="Arial" w:cs="Arial"/>
                <w:sz w:val="14"/>
                <w:szCs w:val="14"/>
              </w:rPr>
            </w:pPr>
            <w:r w:rsidRPr="00697CF0">
              <w:rPr>
                <w:rFonts w:ascii="Arial" w:hAnsi="Arial" w:cs="Arial"/>
                <w:sz w:val="14"/>
                <w:szCs w:val="14"/>
              </w:rPr>
              <w:t>Reply LS on the resource selection window for Scheme 2 in a dedicated resource pool for positioning</w:t>
            </w:r>
          </w:p>
        </w:tc>
        <w:tc>
          <w:tcPr>
            <w:tcW w:w="1583" w:type="dxa"/>
          </w:tcPr>
          <w:p w14:paraId="5B89D88C" w14:textId="1AC83B3F" w:rsidR="00697CF0" w:rsidRPr="00697CF0" w:rsidRDefault="00697CF0" w:rsidP="00697CF0">
            <w:pPr>
              <w:rPr>
                <w:rFonts w:ascii="Arial" w:hAnsi="Arial" w:cs="Arial"/>
                <w:sz w:val="14"/>
                <w:szCs w:val="14"/>
              </w:rPr>
            </w:pPr>
            <w:r w:rsidRPr="00697CF0">
              <w:rPr>
                <w:rFonts w:ascii="Arial" w:hAnsi="Arial" w:cs="Arial"/>
                <w:sz w:val="14"/>
                <w:szCs w:val="14"/>
              </w:rPr>
              <w:t>RAN2, Qualcomm</w:t>
            </w:r>
          </w:p>
        </w:tc>
        <w:tc>
          <w:tcPr>
            <w:tcW w:w="909" w:type="dxa"/>
          </w:tcPr>
          <w:p w14:paraId="524551A5" w14:textId="0E95AF9D" w:rsidR="00697CF0" w:rsidRPr="00697CF0" w:rsidRDefault="005A18DC" w:rsidP="00697CF0">
            <w:pPr>
              <w:rPr>
                <w:rFonts w:ascii="Arial" w:hAnsi="Arial" w:cs="Arial"/>
                <w:bCs/>
                <w:sz w:val="14"/>
                <w:szCs w:val="14"/>
              </w:rPr>
            </w:pPr>
            <w:hyperlink r:id="rId2819" w:history="1">
              <w:r w:rsidR="00697CF0" w:rsidRPr="00697CF0">
                <w:rPr>
                  <w:rStyle w:val="Hyperlink"/>
                  <w:rFonts w:ascii="Arial" w:hAnsi="Arial" w:cs="Arial"/>
                  <w:b/>
                  <w:bCs/>
                  <w:sz w:val="14"/>
                  <w:szCs w:val="14"/>
                </w:rPr>
                <w:t>Rel-18</w:t>
              </w:r>
            </w:hyperlink>
          </w:p>
        </w:tc>
        <w:tc>
          <w:tcPr>
            <w:tcW w:w="2600" w:type="dxa"/>
          </w:tcPr>
          <w:p w14:paraId="4859F82A" w14:textId="1F7ED7B4" w:rsidR="00697CF0" w:rsidRPr="00697CF0" w:rsidRDefault="005A18DC" w:rsidP="00697CF0">
            <w:pPr>
              <w:rPr>
                <w:rFonts w:ascii="Arial" w:hAnsi="Arial" w:cs="Arial"/>
                <w:bCs/>
                <w:sz w:val="14"/>
                <w:szCs w:val="14"/>
              </w:rPr>
            </w:pPr>
            <w:hyperlink r:id="rId2820" w:history="1">
              <w:r w:rsidR="00697CF0" w:rsidRPr="00697CF0">
                <w:rPr>
                  <w:rStyle w:val="Hyperlink"/>
                  <w:rFonts w:ascii="Arial" w:hAnsi="Arial" w:cs="Arial"/>
                  <w:b/>
                  <w:bCs/>
                  <w:sz w:val="14"/>
                  <w:szCs w:val="14"/>
                </w:rPr>
                <w:t>NR_pos_enh2-Core</w:t>
              </w:r>
            </w:hyperlink>
          </w:p>
        </w:tc>
        <w:tc>
          <w:tcPr>
            <w:tcW w:w="1065" w:type="dxa"/>
          </w:tcPr>
          <w:p w14:paraId="3E923933" w14:textId="3583FF53" w:rsidR="00697CF0" w:rsidRPr="00697CF0" w:rsidRDefault="005A18DC" w:rsidP="00697CF0">
            <w:pPr>
              <w:rPr>
                <w:rFonts w:ascii="Arial" w:hAnsi="Arial" w:cs="Arial"/>
                <w:sz w:val="14"/>
                <w:szCs w:val="14"/>
              </w:rPr>
            </w:pPr>
            <w:hyperlink r:id="rId2821" w:history="1">
              <w:r w:rsidR="00AF7253">
                <w:rPr>
                  <w:rStyle w:val="Hyperlink"/>
                  <w:rFonts w:ascii="Arial" w:hAnsi="Arial" w:cs="Arial"/>
                  <w:sz w:val="14"/>
                  <w:szCs w:val="14"/>
                </w:rPr>
                <w:t>R1-2308651</w:t>
              </w:r>
            </w:hyperlink>
          </w:p>
        </w:tc>
        <w:tc>
          <w:tcPr>
            <w:tcW w:w="994" w:type="dxa"/>
          </w:tcPr>
          <w:p w14:paraId="0AA9407B" w14:textId="2742E0DC" w:rsidR="00697CF0" w:rsidRPr="00697CF0" w:rsidRDefault="00697CF0" w:rsidP="00697CF0">
            <w:pPr>
              <w:rPr>
                <w:rFonts w:ascii="Arial" w:hAnsi="Arial" w:cs="Arial"/>
                <w:sz w:val="14"/>
                <w:szCs w:val="14"/>
              </w:rPr>
            </w:pPr>
            <w:r w:rsidRPr="00697CF0">
              <w:rPr>
                <w:rFonts w:ascii="Arial" w:hAnsi="Arial" w:cs="Arial"/>
                <w:sz w:val="14"/>
                <w:szCs w:val="14"/>
              </w:rPr>
              <w:t>RAN1, SA2</w:t>
            </w:r>
          </w:p>
        </w:tc>
        <w:tc>
          <w:tcPr>
            <w:tcW w:w="994" w:type="dxa"/>
          </w:tcPr>
          <w:p w14:paraId="1A1B7831" w14:textId="4BB932BC" w:rsidR="00697CF0" w:rsidRPr="00697CF0" w:rsidRDefault="00697CF0" w:rsidP="00697CF0">
            <w:pPr>
              <w:rPr>
                <w:rFonts w:ascii="Arial" w:hAnsi="Arial" w:cs="Arial"/>
                <w:sz w:val="14"/>
                <w:szCs w:val="14"/>
              </w:rPr>
            </w:pPr>
            <w:r w:rsidRPr="00697CF0">
              <w:rPr>
                <w:rFonts w:ascii="Arial" w:hAnsi="Arial" w:cs="Arial"/>
                <w:sz w:val="14"/>
                <w:szCs w:val="14"/>
              </w:rPr>
              <w:t> </w:t>
            </w:r>
          </w:p>
        </w:tc>
        <w:tc>
          <w:tcPr>
            <w:tcW w:w="1120" w:type="dxa"/>
          </w:tcPr>
          <w:p w14:paraId="2ADEAA8C" w14:textId="1ADC35D5" w:rsidR="00697CF0" w:rsidRPr="00697CF0" w:rsidRDefault="00697CF0" w:rsidP="00697CF0">
            <w:pPr>
              <w:rPr>
                <w:rFonts w:ascii="Arial" w:hAnsi="Arial" w:cs="Arial"/>
                <w:sz w:val="14"/>
                <w:szCs w:val="14"/>
              </w:rPr>
            </w:pPr>
            <w:r w:rsidRPr="00697CF0">
              <w:rPr>
                <w:rFonts w:ascii="Arial" w:hAnsi="Arial" w:cs="Arial"/>
                <w:sz w:val="14"/>
                <w:szCs w:val="14"/>
              </w:rPr>
              <w:t>R2-2311389</w:t>
            </w:r>
          </w:p>
        </w:tc>
        <w:tc>
          <w:tcPr>
            <w:tcW w:w="1062" w:type="dxa"/>
          </w:tcPr>
          <w:p w14:paraId="3B417FEC" w14:textId="0D09F690" w:rsidR="00697CF0" w:rsidRPr="00697CF0" w:rsidRDefault="00697CF0" w:rsidP="00697CF0">
            <w:pPr>
              <w:rPr>
                <w:rFonts w:ascii="Arial" w:hAnsi="Arial" w:cs="Arial"/>
                <w:sz w:val="14"/>
                <w:szCs w:val="14"/>
              </w:rPr>
            </w:pPr>
            <w:r w:rsidRPr="00697CF0">
              <w:rPr>
                <w:rFonts w:ascii="Arial" w:hAnsi="Arial" w:cs="Arial"/>
                <w:sz w:val="14"/>
                <w:szCs w:val="14"/>
              </w:rPr>
              <w:t> </w:t>
            </w:r>
          </w:p>
        </w:tc>
      </w:tr>
      <w:tr w:rsidR="00697CF0" w:rsidRPr="009537ED" w14:paraId="47749D8F" w14:textId="77777777" w:rsidTr="00E013E9">
        <w:trPr>
          <w:trHeight w:val="20"/>
          <w:jc w:val="center"/>
        </w:trPr>
        <w:tc>
          <w:tcPr>
            <w:tcW w:w="1094" w:type="dxa"/>
          </w:tcPr>
          <w:p w14:paraId="438547A8" w14:textId="79530D7F" w:rsidR="00697CF0" w:rsidRPr="00697CF0" w:rsidRDefault="005A18DC" w:rsidP="00697CF0">
            <w:pPr>
              <w:rPr>
                <w:rFonts w:ascii="Arial" w:hAnsi="Arial" w:cs="Arial"/>
                <w:bCs/>
                <w:sz w:val="14"/>
                <w:szCs w:val="14"/>
              </w:rPr>
            </w:pPr>
            <w:hyperlink r:id="rId2822" w:history="1">
              <w:r w:rsidR="00AF7253">
                <w:rPr>
                  <w:rStyle w:val="Hyperlink"/>
                  <w:rFonts w:ascii="Arial" w:hAnsi="Arial" w:cs="Arial"/>
                  <w:b/>
                  <w:bCs/>
                  <w:sz w:val="14"/>
                  <w:szCs w:val="14"/>
                </w:rPr>
                <w:t>R1-2310787</w:t>
              </w:r>
            </w:hyperlink>
          </w:p>
        </w:tc>
        <w:tc>
          <w:tcPr>
            <w:tcW w:w="2646" w:type="dxa"/>
          </w:tcPr>
          <w:p w14:paraId="6B1AC774" w14:textId="2D9653B2" w:rsidR="00697CF0" w:rsidRPr="00697CF0" w:rsidRDefault="00697CF0" w:rsidP="00697CF0">
            <w:pPr>
              <w:rPr>
                <w:rFonts w:ascii="Arial" w:hAnsi="Arial" w:cs="Arial"/>
                <w:sz w:val="14"/>
                <w:szCs w:val="14"/>
              </w:rPr>
            </w:pPr>
            <w:r w:rsidRPr="00697CF0">
              <w:rPr>
                <w:rFonts w:ascii="Arial" w:hAnsi="Arial" w:cs="Arial"/>
                <w:sz w:val="14"/>
                <w:szCs w:val="14"/>
              </w:rPr>
              <w:t>LS on request for clarifications on RedCap positioning, carrier phase positioning, and bandwidth aggregation for positioning</w:t>
            </w:r>
          </w:p>
        </w:tc>
        <w:tc>
          <w:tcPr>
            <w:tcW w:w="1583" w:type="dxa"/>
          </w:tcPr>
          <w:p w14:paraId="7D629BA8" w14:textId="7B15A050" w:rsidR="00697CF0" w:rsidRPr="00697CF0" w:rsidRDefault="00697CF0" w:rsidP="00697CF0">
            <w:pPr>
              <w:rPr>
                <w:rFonts w:ascii="Arial" w:hAnsi="Arial" w:cs="Arial"/>
                <w:sz w:val="14"/>
                <w:szCs w:val="14"/>
              </w:rPr>
            </w:pPr>
            <w:r w:rsidRPr="00697CF0">
              <w:rPr>
                <w:rFonts w:ascii="Arial" w:hAnsi="Arial" w:cs="Arial"/>
                <w:sz w:val="14"/>
                <w:szCs w:val="14"/>
              </w:rPr>
              <w:t>RAN2, Nokia</w:t>
            </w:r>
          </w:p>
        </w:tc>
        <w:tc>
          <w:tcPr>
            <w:tcW w:w="909" w:type="dxa"/>
          </w:tcPr>
          <w:p w14:paraId="4AFA793C" w14:textId="07B4164D" w:rsidR="00697CF0" w:rsidRPr="00697CF0" w:rsidRDefault="005A18DC" w:rsidP="00697CF0">
            <w:pPr>
              <w:rPr>
                <w:rFonts w:ascii="Arial" w:hAnsi="Arial" w:cs="Arial"/>
                <w:bCs/>
                <w:sz w:val="14"/>
                <w:szCs w:val="14"/>
              </w:rPr>
            </w:pPr>
            <w:hyperlink r:id="rId2823" w:history="1">
              <w:r w:rsidR="00697CF0" w:rsidRPr="00697CF0">
                <w:rPr>
                  <w:rStyle w:val="Hyperlink"/>
                  <w:rFonts w:ascii="Arial" w:hAnsi="Arial" w:cs="Arial"/>
                  <w:b/>
                  <w:bCs/>
                  <w:sz w:val="14"/>
                  <w:szCs w:val="14"/>
                </w:rPr>
                <w:t>Rel-18</w:t>
              </w:r>
            </w:hyperlink>
          </w:p>
        </w:tc>
        <w:tc>
          <w:tcPr>
            <w:tcW w:w="2600" w:type="dxa"/>
          </w:tcPr>
          <w:p w14:paraId="0609E0B8" w14:textId="22C8378E" w:rsidR="00697CF0" w:rsidRPr="00697CF0" w:rsidRDefault="005A18DC" w:rsidP="00697CF0">
            <w:pPr>
              <w:rPr>
                <w:rFonts w:ascii="Arial" w:hAnsi="Arial" w:cs="Arial"/>
                <w:bCs/>
                <w:sz w:val="14"/>
                <w:szCs w:val="14"/>
              </w:rPr>
            </w:pPr>
            <w:hyperlink r:id="rId2824" w:history="1">
              <w:r w:rsidR="00697CF0" w:rsidRPr="00697CF0">
                <w:rPr>
                  <w:rStyle w:val="Hyperlink"/>
                  <w:rFonts w:ascii="Arial" w:hAnsi="Arial" w:cs="Arial"/>
                  <w:b/>
                  <w:bCs/>
                  <w:sz w:val="14"/>
                  <w:szCs w:val="14"/>
                </w:rPr>
                <w:t>NR_pos_enh2-Core</w:t>
              </w:r>
            </w:hyperlink>
          </w:p>
        </w:tc>
        <w:tc>
          <w:tcPr>
            <w:tcW w:w="1065" w:type="dxa"/>
          </w:tcPr>
          <w:p w14:paraId="43FEB83A" w14:textId="7608032C" w:rsidR="00697CF0" w:rsidRPr="00697CF0" w:rsidRDefault="00697CF0" w:rsidP="00697CF0">
            <w:pPr>
              <w:rPr>
                <w:rFonts w:ascii="Arial" w:hAnsi="Arial" w:cs="Arial"/>
                <w:sz w:val="14"/>
                <w:szCs w:val="14"/>
              </w:rPr>
            </w:pPr>
            <w:r w:rsidRPr="00697CF0">
              <w:rPr>
                <w:rFonts w:ascii="Arial" w:hAnsi="Arial" w:cs="Arial"/>
                <w:sz w:val="14"/>
                <w:szCs w:val="14"/>
              </w:rPr>
              <w:t> </w:t>
            </w:r>
          </w:p>
        </w:tc>
        <w:tc>
          <w:tcPr>
            <w:tcW w:w="994" w:type="dxa"/>
          </w:tcPr>
          <w:p w14:paraId="1DEE6A8E" w14:textId="2C6E9EDB" w:rsidR="00697CF0" w:rsidRPr="00697CF0" w:rsidRDefault="00697CF0" w:rsidP="00697CF0">
            <w:pPr>
              <w:rPr>
                <w:rFonts w:ascii="Arial" w:hAnsi="Arial" w:cs="Arial"/>
                <w:sz w:val="14"/>
                <w:szCs w:val="14"/>
              </w:rPr>
            </w:pPr>
            <w:r w:rsidRPr="00697CF0">
              <w:rPr>
                <w:rFonts w:ascii="Arial" w:hAnsi="Arial" w:cs="Arial"/>
                <w:sz w:val="14"/>
                <w:szCs w:val="14"/>
              </w:rPr>
              <w:t>RAN1</w:t>
            </w:r>
          </w:p>
        </w:tc>
        <w:tc>
          <w:tcPr>
            <w:tcW w:w="994" w:type="dxa"/>
          </w:tcPr>
          <w:p w14:paraId="5E7A8920" w14:textId="2AD0F261" w:rsidR="00697CF0" w:rsidRPr="00697CF0" w:rsidRDefault="00697CF0" w:rsidP="00697CF0">
            <w:pPr>
              <w:rPr>
                <w:rFonts w:ascii="Arial" w:hAnsi="Arial" w:cs="Arial"/>
                <w:sz w:val="14"/>
                <w:szCs w:val="14"/>
              </w:rPr>
            </w:pPr>
            <w:r w:rsidRPr="00697CF0">
              <w:rPr>
                <w:rFonts w:ascii="Arial" w:hAnsi="Arial" w:cs="Arial"/>
                <w:sz w:val="14"/>
                <w:szCs w:val="14"/>
              </w:rPr>
              <w:t>RAN3, RAN4</w:t>
            </w:r>
          </w:p>
        </w:tc>
        <w:tc>
          <w:tcPr>
            <w:tcW w:w="1120" w:type="dxa"/>
          </w:tcPr>
          <w:p w14:paraId="1DEB6BAA" w14:textId="2CEF3D45" w:rsidR="00697CF0" w:rsidRPr="00697CF0" w:rsidRDefault="00697CF0" w:rsidP="00697CF0">
            <w:pPr>
              <w:rPr>
                <w:rFonts w:ascii="Arial" w:hAnsi="Arial" w:cs="Arial"/>
                <w:sz w:val="14"/>
                <w:szCs w:val="14"/>
              </w:rPr>
            </w:pPr>
            <w:r w:rsidRPr="00697CF0">
              <w:rPr>
                <w:rFonts w:ascii="Arial" w:hAnsi="Arial" w:cs="Arial"/>
                <w:sz w:val="14"/>
                <w:szCs w:val="14"/>
              </w:rPr>
              <w:t>R2-2311391</w:t>
            </w:r>
          </w:p>
        </w:tc>
        <w:tc>
          <w:tcPr>
            <w:tcW w:w="1062" w:type="dxa"/>
          </w:tcPr>
          <w:p w14:paraId="6B8E26D5" w14:textId="710E4539" w:rsidR="00697CF0" w:rsidRPr="00697CF0" w:rsidRDefault="00697CF0" w:rsidP="00697CF0">
            <w:pPr>
              <w:rPr>
                <w:rFonts w:ascii="Arial" w:hAnsi="Arial" w:cs="Arial"/>
                <w:sz w:val="14"/>
                <w:szCs w:val="14"/>
              </w:rPr>
            </w:pPr>
            <w:r w:rsidRPr="00697CF0">
              <w:rPr>
                <w:rFonts w:ascii="Arial" w:hAnsi="Arial" w:cs="Arial"/>
                <w:sz w:val="14"/>
                <w:szCs w:val="14"/>
              </w:rPr>
              <w:t> </w:t>
            </w:r>
          </w:p>
        </w:tc>
      </w:tr>
      <w:tr w:rsidR="00697CF0" w:rsidRPr="009537ED" w14:paraId="180CA049" w14:textId="77777777" w:rsidTr="00E013E9">
        <w:trPr>
          <w:trHeight w:val="20"/>
          <w:jc w:val="center"/>
        </w:trPr>
        <w:tc>
          <w:tcPr>
            <w:tcW w:w="1094" w:type="dxa"/>
          </w:tcPr>
          <w:p w14:paraId="5FCD4B3E" w14:textId="7214A899" w:rsidR="00697CF0" w:rsidRPr="00697CF0" w:rsidRDefault="005A18DC" w:rsidP="00697CF0">
            <w:pPr>
              <w:rPr>
                <w:rFonts w:ascii="Arial" w:hAnsi="Arial" w:cs="Arial"/>
                <w:bCs/>
                <w:sz w:val="14"/>
                <w:szCs w:val="14"/>
              </w:rPr>
            </w:pPr>
            <w:hyperlink r:id="rId2825" w:history="1">
              <w:r w:rsidR="00AF7253">
                <w:rPr>
                  <w:rStyle w:val="Hyperlink"/>
                  <w:rFonts w:ascii="Arial" w:hAnsi="Arial" w:cs="Arial"/>
                  <w:b/>
                  <w:bCs/>
                  <w:sz w:val="14"/>
                  <w:szCs w:val="14"/>
                </w:rPr>
                <w:t>R1-2310788</w:t>
              </w:r>
            </w:hyperlink>
          </w:p>
        </w:tc>
        <w:tc>
          <w:tcPr>
            <w:tcW w:w="2646" w:type="dxa"/>
          </w:tcPr>
          <w:p w14:paraId="61CC709F" w14:textId="6AA7425B" w:rsidR="00697CF0" w:rsidRPr="00697CF0" w:rsidRDefault="00697CF0" w:rsidP="00697CF0">
            <w:pPr>
              <w:rPr>
                <w:rFonts w:ascii="Arial" w:hAnsi="Arial" w:cs="Arial"/>
                <w:sz w:val="14"/>
                <w:szCs w:val="14"/>
              </w:rPr>
            </w:pPr>
            <w:r w:rsidRPr="00697CF0">
              <w:rPr>
                <w:rFonts w:ascii="Arial" w:hAnsi="Arial" w:cs="Arial"/>
                <w:sz w:val="14"/>
                <w:szCs w:val="14"/>
              </w:rPr>
              <w:t>LS on UE Capability of Multicast Reception in RRC_INACTIVE</w:t>
            </w:r>
          </w:p>
        </w:tc>
        <w:tc>
          <w:tcPr>
            <w:tcW w:w="1583" w:type="dxa"/>
          </w:tcPr>
          <w:p w14:paraId="7B098190" w14:textId="2DA984E9" w:rsidR="00697CF0" w:rsidRPr="00697CF0" w:rsidRDefault="00697CF0" w:rsidP="00697CF0">
            <w:pPr>
              <w:rPr>
                <w:rFonts w:ascii="Arial" w:hAnsi="Arial" w:cs="Arial"/>
                <w:sz w:val="14"/>
                <w:szCs w:val="14"/>
              </w:rPr>
            </w:pPr>
            <w:r w:rsidRPr="00697CF0">
              <w:rPr>
                <w:rFonts w:ascii="Arial" w:hAnsi="Arial" w:cs="Arial"/>
                <w:sz w:val="14"/>
                <w:szCs w:val="14"/>
              </w:rPr>
              <w:t>RAN2, vivo</w:t>
            </w:r>
          </w:p>
        </w:tc>
        <w:tc>
          <w:tcPr>
            <w:tcW w:w="909" w:type="dxa"/>
          </w:tcPr>
          <w:p w14:paraId="36BC708B" w14:textId="5B5CAF0B" w:rsidR="00697CF0" w:rsidRPr="00697CF0" w:rsidRDefault="005A18DC" w:rsidP="00697CF0">
            <w:pPr>
              <w:rPr>
                <w:rFonts w:ascii="Arial" w:hAnsi="Arial" w:cs="Arial"/>
                <w:bCs/>
                <w:sz w:val="14"/>
                <w:szCs w:val="14"/>
              </w:rPr>
            </w:pPr>
            <w:hyperlink r:id="rId2826" w:history="1">
              <w:r w:rsidR="00697CF0" w:rsidRPr="00697CF0">
                <w:rPr>
                  <w:rStyle w:val="Hyperlink"/>
                  <w:rFonts w:ascii="Arial" w:hAnsi="Arial" w:cs="Arial"/>
                  <w:b/>
                  <w:bCs/>
                  <w:sz w:val="14"/>
                  <w:szCs w:val="14"/>
                </w:rPr>
                <w:t>Rel-18</w:t>
              </w:r>
            </w:hyperlink>
          </w:p>
        </w:tc>
        <w:tc>
          <w:tcPr>
            <w:tcW w:w="2600" w:type="dxa"/>
          </w:tcPr>
          <w:p w14:paraId="76364874" w14:textId="0DB40F04" w:rsidR="00697CF0" w:rsidRPr="00697CF0" w:rsidRDefault="005A18DC" w:rsidP="00697CF0">
            <w:pPr>
              <w:rPr>
                <w:rFonts w:ascii="Arial" w:hAnsi="Arial" w:cs="Arial"/>
                <w:bCs/>
                <w:sz w:val="14"/>
                <w:szCs w:val="14"/>
              </w:rPr>
            </w:pPr>
            <w:hyperlink r:id="rId2827" w:history="1">
              <w:r w:rsidR="00697CF0" w:rsidRPr="00697CF0">
                <w:rPr>
                  <w:rStyle w:val="Hyperlink"/>
                  <w:rFonts w:ascii="Arial" w:hAnsi="Arial" w:cs="Arial"/>
                  <w:b/>
                  <w:bCs/>
                  <w:sz w:val="14"/>
                  <w:szCs w:val="14"/>
                </w:rPr>
                <w:t>NR_MBS_enh-Core</w:t>
              </w:r>
            </w:hyperlink>
          </w:p>
        </w:tc>
        <w:tc>
          <w:tcPr>
            <w:tcW w:w="1065" w:type="dxa"/>
          </w:tcPr>
          <w:p w14:paraId="1B8680AE" w14:textId="4FB0D402" w:rsidR="00697CF0" w:rsidRPr="00697CF0" w:rsidRDefault="00697CF0" w:rsidP="00697CF0">
            <w:pPr>
              <w:rPr>
                <w:rFonts w:ascii="Arial" w:hAnsi="Arial" w:cs="Arial"/>
                <w:sz w:val="14"/>
                <w:szCs w:val="14"/>
              </w:rPr>
            </w:pPr>
            <w:r w:rsidRPr="00697CF0">
              <w:rPr>
                <w:rFonts w:ascii="Arial" w:hAnsi="Arial" w:cs="Arial"/>
                <w:sz w:val="14"/>
                <w:szCs w:val="14"/>
              </w:rPr>
              <w:t> </w:t>
            </w:r>
          </w:p>
        </w:tc>
        <w:tc>
          <w:tcPr>
            <w:tcW w:w="994" w:type="dxa"/>
          </w:tcPr>
          <w:p w14:paraId="1203547A" w14:textId="4DC23C79" w:rsidR="00697CF0" w:rsidRPr="00697CF0" w:rsidRDefault="00697CF0" w:rsidP="00697CF0">
            <w:pPr>
              <w:rPr>
                <w:rFonts w:ascii="Arial" w:hAnsi="Arial" w:cs="Arial"/>
                <w:sz w:val="14"/>
                <w:szCs w:val="14"/>
              </w:rPr>
            </w:pPr>
            <w:r w:rsidRPr="00697CF0">
              <w:rPr>
                <w:rFonts w:ascii="Arial" w:hAnsi="Arial" w:cs="Arial"/>
                <w:sz w:val="14"/>
                <w:szCs w:val="14"/>
              </w:rPr>
              <w:t>RAN1</w:t>
            </w:r>
          </w:p>
        </w:tc>
        <w:tc>
          <w:tcPr>
            <w:tcW w:w="994" w:type="dxa"/>
          </w:tcPr>
          <w:p w14:paraId="24CC87D1" w14:textId="2F96CF71" w:rsidR="00697CF0" w:rsidRPr="00697CF0" w:rsidRDefault="00697CF0" w:rsidP="00697CF0">
            <w:pPr>
              <w:rPr>
                <w:rFonts w:ascii="Arial" w:hAnsi="Arial" w:cs="Arial"/>
                <w:sz w:val="14"/>
                <w:szCs w:val="14"/>
              </w:rPr>
            </w:pPr>
            <w:r w:rsidRPr="00697CF0">
              <w:rPr>
                <w:rFonts w:ascii="Arial" w:hAnsi="Arial" w:cs="Arial"/>
                <w:sz w:val="14"/>
                <w:szCs w:val="14"/>
              </w:rPr>
              <w:t> </w:t>
            </w:r>
          </w:p>
        </w:tc>
        <w:tc>
          <w:tcPr>
            <w:tcW w:w="1120" w:type="dxa"/>
          </w:tcPr>
          <w:p w14:paraId="558318F1" w14:textId="47A0E197" w:rsidR="00697CF0" w:rsidRPr="00697CF0" w:rsidRDefault="00697CF0" w:rsidP="00697CF0">
            <w:pPr>
              <w:rPr>
                <w:rFonts w:ascii="Arial" w:hAnsi="Arial" w:cs="Arial"/>
                <w:sz w:val="14"/>
                <w:szCs w:val="14"/>
              </w:rPr>
            </w:pPr>
            <w:r w:rsidRPr="00697CF0">
              <w:rPr>
                <w:rFonts w:ascii="Arial" w:hAnsi="Arial" w:cs="Arial"/>
                <w:sz w:val="14"/>
                <w:szCs w:val="14"/>
              </w:rPr>
              <w:t>R2-2311542</w:t>
            </w:r>
          </w:p>
        </w:tc>
        <w:tc>
          <w:tcPr>
            <w:tcW w:w="1062" w:type="dxa"/>
          </w:tcPr>
          <w:p w14:paraId="2160C259" w14:textId="01FB38E6" w:rsidR="00697CF0" w:rsidRPr="00697CF0" w:rsidRDefault="00697CF0" w:rsidP="00697CF0">
            <w:pPr>
              <w:rPr>
                <w:rFonts w:ascii="Arial" w:hAnsi="Arial" w:cs="Arial"/>
                <w:sz w:val="14"/>
                <w:szCs w:val="14"/>
              </w:rPr>
            </w:pPr>
            <w:r w:rsidRPr="00697CF0">
              <w:rPr>
                <w:rFonts w:ascii="Arial" w:hAnsi="Arial" w:cs="Arial"/>
                <w:sz w:val="14"/>
                <w:szCs w:val="14"/>
              </w:rPr>
              <w:t> </w:t>
            </w:r>
          </w:p>
        </w:tc>
      </w:tr>
      <w:tr w:rsidR="00697CF0" w:rsidRPr="009537ED" w14:paraId="2F145F04" w14:textId="77777777" w:rsidTr="00E013E9">
        <w:trPr>
          <w:trHeight w:val="20"/>
          <w:jc w:val="center"/>
        </w:trPr>
        <w:tc>
          <w:tcPr>
            <w:tcW w:w="1094" w:type="dxa"/>
          </w:tcPr>
          <w:p w14:paraId="376DBCBA" w14:textId="3AAA39BE" w:rsidR="00697CF0" w:rsidRPr="00697CF0" w:rsidRDefault="005A18DC" w:rsidP="00697CF0">
            <w:pPr>
              <w:rPr>
                <w:rFonts w:ascii="Arial" w:hAnsi="Arial" w:cs="Arial"/>
                <w:bCs/>
                <w:sz w:val="14"/>
                <w:szCs w:val="14"/>
              </w:rPr>
            </w:pPr>
            <w:hyperlink r:id="rId2828" w:history="1">
              <w:r w:rsidR="00AF7253">
                <w:rPr>
                  <w:rStyle w:val="Hyperlink"/>
                  <w:rFonts w:ascii="Arial" w:hAnsi="Arial" w:cs="Arial"/>
                  <w:b/>
                  <w:bCs/>
                  <w:sz w:val="14"/>
                  <w:szCs w:val="14"/>
                </w:rPr>
                <w:t>R1-2310789</w:t>
              </w:r>
            </w:hyperlink>
          </w:p>
        </w:tc>
        <w:tc>
          <w:tcPr>
            <w:tcW w:w="2646" w:type="dxa"/>
          </w:tcPr>
          <w:p w14:paraId="07EE0BDB" w14:textId="7FA5649D" w:rsidR="00697CF0" w:rsidRPr="00697CF0" w:rsidRDefault="00697CF0" w:rsidP="00697CF0">
            <w:pPr>
              <w:rPr>
                <w:rFonts w:ascii="Arial" w:hAnsi="Arial" w:cs="Arial"/>
                <w:sz w:val="14"/>
                <w:szCs w:val="14"/>
              </w:rPr>
            </w:pPr>
            <w:r w:rsidRPr="00697CF0">
              <w:rPr>
                <w:rFonts w:ascii="Arial" w:hAnsi="Arial" w:cs="Arial"/>
                <w:sz w:val="14"/>
                <w:szCs w:val="14"/>
              </w:rPr>
              <w:t xml:space="preserve">Reply LS on </w:t>
            </w:r>
            <w:hyperlink r:id="rId2829" w:history="1">
              <w:r w:rsidR="00AF7253">
                <w:rPr>
                  <w:rStyle w:val="Hyperlink"/>
                  <w:rFonts w:ascii="Arial" w:hAnsi="Arial" w:cs="Arial"/>
                  <w:sz w:val="14"/>
                  <w:szCs w:val="14"/>
                </w:rPr>
                <w:t>R1-2308644</w:t>
              </w:r>
            </w:hyperlink>
            <w:r w:rsidRPr="00697CF0">
              <w:rPr>
                <w:rFonts w:ascii="Arial" w:hAnsi="Arial" w:cs="Arial"/>
                <w:sz w:val="14"/>
                <w:szCs w:val="14"/>
              </w:rPr>
              <w:t xml:space="preserve"> for CPP</w:t>
            </w:r>
          </w:p>
        </w:tc>
        <w:tc>
          <w:tcPr>
            <w:tcW w:w="1583" w:type="dxa"/>
          </w:tcPr>
          <w:p w14:paraId="524993B2" w14:textId="18137C54" w:rsidR="00697CF0" w:rsidRPr="00697CF0" w:rsidRDefault="00697CF0" w:rsidP="00697CF0">
            <w:pPr>
              <w:rPr>
                <w:rFonts w:ascii="Arial" w:hAnsi="Arial" w:cs="Arial"/>
                <w:sz w:val="14"/>
                <w:szCs w:val="14"/>
              </w:rPr>
            </w:pPr>
            <w:r w:rsidRPr="00697CF0">
              <w:rPr>
                <w:rFonts w:ascii="Arial" w:hAnsi="Arial" w:cs="Arial"/>
                <w:sz w:val="14"/>
                <w:szCs w:val="14"/>
              </w:rPr>
              <w:t>RAN2, CATT</w:t>
            </w:r>
          </w:p>
        </w:tc>
        <w:tc>
          <w:tcPr>
            <w:tcW w:w="909" w:type="dxa"/>
          </w:tcPr>
          <w:p w14:paraId="6BB3E3E9" w14:textId="3E955338" w:rsidR="00697CF0" w:rsidRPr="00697CF0" w:rsidRDefault="005A18DC" w:rsidP="00697CF0">
            <w:pPr>
              <w:rPr>
                <w:rFonts w:ascii="Arial" w:hAnsi="Arial" w:cs="Arial"/>
                <w:bCs/>
                <w:sz w:val="14"/>
                <w:szCs w:val="14"/>
              </w:rPr>
            </w:pPr>
            <w:hyperlink r:id="rId2830" w:history="1">
              <w:r w:rsidR="00697CF0" w:rsidRPr="00697CF0">
                <w:rPr>
                  <w:rStyle w:val="Hyperlink"/>
                  <w:rFonts w:ascii="Arial" w:hAnsi="Arial" w:cs="Arial"/>
                  <w:b/>
                  <w:bCs/>
                  <w:sz w:val="14"/>
                  <w:szCs w:val="14"/>
                </w:rPr>
                <w:t>Rel-18</w:t>
              </w:r>
            </w:hyperlink>
          </w:p>
        </w:tc>
        <w:tc>
          <w:tcPr>
            <w:tcW w:w="2600" w:type="dxa"/>
          </w:tcPr>
          <w:p w14:paraId="6F3B5016" w14:textId="01A667BC" w:rsidR="00697CF0" w:rsidRPr="00697CF0" w:rsidRDefault="005A18DC" w:rsidP="00697CF0">
            <w:pPr>
              <w:rPr>
                <w:rFonts w:ascii="Arial" w:hAnsi="Arial" w:cs="Arial"/>
                <w:bCs/>
                <w:sz w:val="14"/>
                <w:szCs w:val="14"/>
              </w:rPr>
            </w:pPr>
            <w:hyperlink r:id="rId2831" w:history="1">
              <w:r w:rsidR="00697CF0" w:rsidRPr="00697CF0">
                <w:rPr>
                  <w:rStyle w:val="Hyperlink"/>
                  <w:rFonts w:ascii="Arial" w:hAnsi="Arial" w:cs="Arial"/>
                  <w:b/>
                  <w:bCs/>
                  <w:sz w:val="14"/>
                  <w:szCs w:val="14"/>
                </w:rPr>
                <w:t>NR_pos_enh2-Core</w:t>
              </w:r>
            </w:hyperlink>
          </w:p>
        </w:tc>
        <w:tc>
          <w:tcPr>
            <w:tcW w:w="1065" w:type="dxa"/>
          </w:tcPr>
          <w:p w14:paraId="517C524E" w14:textId="1D6A75B2" w:rsidR="00697CF0" w:rsidRPr="00697CF0" w:rsidRDefault="005A18DC" w:rsidP="00697CF0">
            <w:pPr>
              <w:rPr>
                <w:rFonts w:ascii="Arial" w:hAnsi="Arial" w:cs="Arial"/>
                <w:sz w:val="14"/>
                <w:szCs w:val="14"/>
              </w:rPr>
            </w:pPr>
            <w:hyperlink r:id="rId2832" w:history="1">
              <w:r w:rsidR="00AF7253">
                <w:rPr>
                  <w:rStyle w:val="Hyperlink"/>
                  <w:rFonts w:ascii="Arial" w:hAnsi="Arial" w:cs="Arial"/>
                  <w:sz w:val="14"/>
                  <w:szCs w:val="14"/>
                </w:rPr>
                <w:t>R1-2308644</w:t>
              </w:r>
            </w:hyperlink>
          </w:p>
        </w:tc>
        <w:tc>
          <w:tcPr>
            <w:tcW w:w="994" w:type="dxa"/>
          </w:tcPr>
          <w:p w14:paraId="296E4CFC" w14:textId="0898C210" w:rsidR="00697CF0" w:rsidRPr="00697CF0" w:rsidRDefault="00697CF0" w:rsidP="00697CF0">
            <w:pPr>
              <w:rPr>
                <w:rFonts w:ascii="Arial" w:hAnsi="Arial" w:cs="Arial"/>
                <w:sz w:val="14"/>
                <w:szCs w:val="14"/>
              </w:rPr>
            </w:pPr>
            <w:r w:rsidRPr="00697CF0">
              <w:rPr>
                <w:rFonts w:ascii="Arial" w:hAnsi="Arial" w:cs="Arial"/>
                <w:sz w:val="14"/>
                <w:szCs w:val="14"/>
              </w:rPr>
              <w:t>RAN1</w:t>
            </w:r>
          </w:p>
        </w:tc>
        <w:tc>
          <w:tcPr>
            <w:tcW w:w="994" w:type="dxa"/>
          </w:tcPr>
          <w:p w14:paraId="078C2070" w14:textId="67599FE0" w:rsidR="00697CF0" w:rsidRPr="00697CF0" w:rsidRDefault="00697CF0" w:rsidP="00697CF0">
            <w:pPr>
              <w:rPr>
                <w:rFonts w:ascii="Arial" w:hAnsi="Arial" w:cs="Arial"/>
                <w:sz w:val="14"/>
                <w:szCs w:val="14"/>
              </w:rPr>
            </w:pPr>
            <w:r w:rsidRPr="00697CF0">
              <w:rPr>
                <w:rFonts w:ascii="Arial" w:hAnsi="Arial" w:cs="Arial"/>
                <w:sz w:val="14"/>
                <w:szCs w:val="14"/>
              </w:rPr>
              <w:t>RAN4, RAN3, SA2</w:t>
            </w:r>
          </w:p>
        </w:tc>
        <w:tc>
          <w:tcPr>
            <w:tcW w:w="1120" w:type="dxa"/>
          </w:tcPr>
          <w:p w14:paraId="25C527B4" w14:textId="745739D3" w:rsidR="00697CF0" w:rsidRPr="00697CF0" w:rsidRDefault="00697CF0" w:rsidP="00697CF0">
            <w:pPr>
              <w:rPr>
                <w:rFonts w:ascii="Arial" w:hAnsi="Arial" w:cs="Arial"/>
                <w:sz w:val="14"/>
                <w:szCs w:val="14"/>
              </w:rPr>
            </w:pPr>
            <w:r w:rsidRPr="00697CF0">
              <w:rPr>
                <w:rFonts w:ascii="Arial" w:hAnsi="Arial" w:cs="Arial"/>
                <w:sz w:val="14"/>
                <w:szCs w:val="14"/>
              </w:rPr>
              <w:t>R2-2311565</w:t>
            </w:r>
          </w:p>
        </w:tc>
        <w:tc>
          <w:tcPr>
            <w:tcW w:w="1062" w:type="dxa"/>
          </w:tcPr>
          <w:p w14:paraId="1790F504" w14:textId="5152519B" w:rsidR="00697CF0" w:rsidRPr="00697CF0" w:rsidRDefault="00697CF0" w:rsidP="00697CF0">
            <w:pPr>
              <w:rPr>
                <w:rFonts w:ascii="Arial" w:hAnsi="Arial" w:cs="Arial"/>
                <w:sz w:val="14"/>
                <w:szCs w:val="14"/>
              </w:rPr>
            </w:pPr>
            <w:r w:rsidRPr="00697CF0">
              <w:rPr>
                <w:rFonts w:ascii="Arial" w:hAnsi="Arial" w:cs="Arial"/>
                <w:sz w:val="14"/>
                <w:szCs w:val="14"/>
              </w:rPr>
              <w:t> </w:t>
            </w:r>
          </w:p>
        </w:tc>
      </w:tr>
      <w:tr w:rsidR="00697CF0" w:rsidRPr="009537ED" w14:paraId="3E3A0D64" w14:textId="77777777" w:rsidTr="00E013E9">
        <w:trPr>
          <w:trHeight w:val="20"/>
          <w:jc w:val="center"/>
        </w:trPr>
        <w:tc>
          <w:tcPr>
            <w:tcW w:w="1094" w:type="dxa"/>
          </w:tcPr>
          <w:p w14:paraId="3B8DD7A6" w14:textId="61BEBBDD" w:rsidR="00697CF0" w:rsidRPr="00697CF0" w:rsidRDefault="005A18DC" w:rsidP="00697CF0">
            <w:pPr>
              <w:rPr>
                <w:rFonts w:ascii="Arial" w:hAnsi="Arial" w:cs="Arial"/>
                <w:sz w:val="14"/>
                <w:szCs w:val="14"/>
              </w:rPr>
            </w:pPr>
            <w:hyperlink r:id="rId2833" w:history="1">
              <w:r w:rsidR="00AF7253">
                <w:rPr>
                  <w:rStyle w:val="Hyperlink"/>
                  <w:rFonts w:ascii="Arial" w:hAnsi="Arial" w:cs="Arial"/>
                  <w:b/>
                  <w:bCs/>
                  <w:sz w:val="14"/>
                  <w:szCs w:val="14"/>
                </w:rPr>
                <w:t>R1-2310790</w:t>
              </w:r>
            </w:hyperlink>
          </w:p>
        </w:tc>
        <w:tc>
          <w:tcPr>
            <w:tcW w:w="2646" w:type="dxa"/>
          </w:tcPr>
          <w:p w14:paraId="4B96C1D0" w14:textId="628889F9" w:rsidR="00697CF0" w:rsidRPr="00697CF0" w:rsidRDefault="00697CF0" w:rsidP="00697CF0">
            <w:pPr>
              <w:rPr>
                <w:rFonts w:ascii="Arial" w:hAnsi="Arial" w:cs="Arial"/>
                <w:sz w:val="14"/>
                <w:szCs w:val="14"/>
              </w:rPr>
            </w:pPr>
            <w:r w:rsidRPr="00697CF0">
              <w:rPr>
                <w:rFonts w:ascii="Arial" w:hAnsi="Arial" w:cs="Arial"/>
                <w:sz w:val="14"/>
                <w:szCs w:val="14"/>
              </w:rPr>
              <w:t>LS on TA validation for LPHAP</w:t>
            </w:r>
          </w:p>
        </w:tc>
        <w:tc>
          <w:tcPr>
            <w:tcW w:w="1583" w:type="dxa"/>
          </w:tcPr>
          <w:p w14:paraId="71961F7A" w14:textId="2B21FAB0" w:rsidR="00697CF0" w:rsidRPr="00697CF0" w:rsidRDefault="00697CF0" w:rsidP="00697CF0">
            <w:pPr>
              <w:rPr>
                <w:rFonts w:ascii="Arial" w:hAnsi="Arial" w:cs="Arial"/>
                <w:sz w:val="14"/>
                <w:szCs w:val="14"/>
              </w:rPr>
            </w:pPr>
            <w:r w:rsidRPr="00697CF0">
              <w:rPr>
                <w:rFonts w:ascii="Arial" w:hAnsi="Arial" w:cs="Arial"/>
                <w:sz w:val="14"/>
                <w:szCs w:val="14"/>
              </w:rPr>
              <w:t>RAN2, Huawei</w:t>
            </w:r>
          </w:p>
        </w:tc>
        <w:tc>
          <w:tcPr>
            <w:tcW w:w="909" w:type="dxa"/>
          </w:tcPr>
          <w:p w14:paraId="27428023" w14:textId="519AF49F" w:rsidR="00697CF0" w:rsidRPr="00697CF0" w:rsidRDefault="005A18DC" w:rsidP="00697CF0">
            <w:pPr>
              <w:rPr>
                <w:rFonts w:ascii="Arial" w:hAnsi="Arial" w:cs="Arial"/>
                <w:sz w:val="14"/>
                <w:szCs w:val="14"/>
              </w:rPr>
            </w:pPr>
            <w:hyperlink r:id="rId2834" w:history="1">
              <w:r w:rsidR="00697CF0" w:rsidRPr="00697CF0">
                <w:rPr>
                  <w:rStyle w:val="Hyperlink"/>
                  <w:rFonts w:ascii="Arial" w:hAnsi="Arial" w:cs="Arial"/>
                  <w:b/>
                  <w:bCs/>
                  <w:sz w:val="14"/>
                  <w:szCs w:val="14"/>
                </w:rPr>
                <w:t>Rel-18</w:t>
              </w:r>
            </w:hyperlink>
          </w:p>
        </w:tc>
        <w:tc>
          <w:tcPr>
            <w:tcW w:w="2600" w:type="dxa"/>
          </w:tcPr>
          <w:p w14:paraId="3D3A7916" w14:textId="40A76AED" w:rsidR="00697CF0" w:rsidRPr="00697CF0" w:rsidRDefault="005A18DC" w:rsidP="00697CF0">
            <w:pPr>
              <w:rPr>
                <w:rFonts w:ascii="Arial" w:hAnsi="Arial" w:cs="Arial"/>
                <w:sz w:val="14"/>
                <w:szCs w:val="14"/>
              </w:rPr>
            </w:pPr>
            <w:hyperlink r:id="rId2835" w:history="1">
              <w:r w:rsidR="00697CF0" w:rsidRPr="00697CF0">
                <w:rPr>
                  <w:rStyle w:val="Hyperlink"/>
                  <w:rFonts w:ascii="Arial" w:hAnsi="Arial" w:cs="Arial"/>
                  <w:b/>
                  <w:bCs/>
                  <w:sz w:val="14"/>
                  <w:szCs w:val="14"/>
                </w:rPr>
                <w:t>NR_pos_enh2-Core</w:t>
              </w:r>
            </w:hyperlink>
          </w:p>
        </w:tc>
        <w:tc>
          <w:tcPr>
            <w:tcW w:w="1065" w:type="dxa"/>
          </w:tcPr>
          <w:p w14:paraId="07440794" w14:textId="0EF8CBE3" w:rsidR="00697CF0" w:rsidRPr="00697CF0" w:rsidRDefault="005A18DC" w:rsidP="00697CF0">
            <w:pPr>
              <w:rPr>
                <w:rFonts w:ascii="Arial" w:hAnsi="Arial" w:cs="Arial"/>
                <w:sz w:val="14"/>
                <w:szCs w:val="14"/>
              </w:rPr>
            </w:pPr>
            <w:hyperlink r:id="rId2836" w:history="1">
              <w:r w:rsidR="00AF7253">
                <w:rPr>
                  <w:rStyle w:val="Hyperlink"/>
                  <w:rFonts w:ascii="Arial" w:hAnsi="Arial" w:cs="Arial"/>
                  <w:sz w:val="14"/>
                  <w:szCs w:val="14"/>
                </w:rPr>
                <w:t>R1-2308649</w:t>
              </w:r>
            </w:hyperlink>
          </w:p>
        </w:tc>
        <w:tc>
          <w:tcPr>
            <w:tcW w:w="994" w:type="dxa"/>
          </w:tcPr>
          <w:p w14:paraId="57E37049" w14:textId="1D501FD6" w:rsidR="00697CF0" w:rsidRPr="00697CF0" w:rsidRDefault="00697CF0" w:rsidP="00697CF0">
            <w:pPr>
              <w:rPr>
                <w:rFonts w:ascii="Arial" w:hAnsi="Arial" w:cs="Arial"/>
                <w:sz w:val="14"/>
                <w:szCs w:val="14"/>
              </w:rPr>
            </w:pPr>
            <w:r w:rsidRPr="00697CF0">
              <w:rPr>
                <w:rFonts w:ascii="Arial" w:hAnsi="Arial" w:cs="Arial"/>
                <w:sz w:val="14"/>
                <w:szCs w:val="14"/>
              </w:rPr>
              <w:t>RAN1, RAN4</w:t>
            </w:r>
          </w:p>
        </w:tc>
        <w:tc>
          <w:tcPr>
            <w:tcW w:w="994" w:type="dxa"/>
          </w:tcPr>
          <w:p w14:paraId="4B579136" w14:textId="25E20838" w:rsidR="00697CF0" w:rsidRPr="00697CF0" w:rsidRDefault="00697CF0" w:rsidP="00697CF0">
            <w:pPr>
              <w:rPr>
                <w:rFonts w:ascii="Arial" w:hAnsi="Arial" w:cs="Arial"/>
                <w:sz w:val="14"/>
                <w:szCs w:val="14"/>
              </w:rPr>
            </w:pPr>
            <w:r w:rsidRPr="00697CF0">
              <w:rPr>
                <w:rFonts w:ascii="Arial" w:hAnsi="Arial" w:cs="Arial"/>
                <w:sz w:val="14"/>
                <w:szCs w:val="14"/>
              </w:rPr>
              <w:t> </w:t>
            </w:r>
          </w:p>
        </w:tc>
        <w:tc>
          <w:tcPr>
            <w:tcW w:w="1120" w:type="dxa"/>
          </w:tcPr>
          <w:p w14:paraId="796AA5A5" w14:textId="6B621E03" w:rsidR="00697CF0" w:rsidRPr="00697CF0" w:rsidRDefault="00697CF0" w:rsidP="00697CF0">
            <w:pPr>
              <w:rPr>
                <w:rFonts w:ascii="Arial" w:hAnsi="Arial" w:cs="Arial"/>
                <w:sz w:val="14"/>
                <w:szCs w:val="14"/>
              </w:rPr>
            </w:pPr>
            <w:r w:rsidRPr="00697CF0">
              <w:rPr>
                <w:rFonts w:ascii="Arial" w:hAnsi="Arial" w:cs="Arial"/>
                <w:sz w:val="14"/>
                <w:szCs w:val="14"/>
              </w:rPr>
              <w:t>R2-2311568</w:t>
            </w:r>
          </w:p>
        </w:tc>
        <w:tc>
          <w:tcPr>
            <w:tcW w:w="1062" w:type="dxa"/>
          </w:tcPr>
          <w:p w14:paraId="0B61B3C4" w14:textId="2E2658D8" w:rsidR="00697CF0" w:rsidRPr="00697CF0" w:rsidRDefault="00697CF0" w:rsidP="00697CF0">
            <w:pPr>
              <w:rPr>
                <w:rFonts w:ascii="Arial" w:hAnsi="Arial" w:cs="Arial"/>
                <w:sz w:val="14"/>
                <w:szCs w:val="14"/>
              </w:rPr>
            </w:pPr>
            <w:r w:rsidRPr="00697CF0">
              <w:rPr>
                <w:rFonts w:ascii="Arial" w:hAnsi="Arial" w:cs="Arial"/>
                <w:sz w:val="14"/>
                <w:szCs w:val="14"/>
              </w:rPr>
              <w:t> </w:t>
            </w:r>
          </w:p>
        </w:tc>
      </w:tr>
      <w:tr w:rsidR="00697CF0" w:rsidRPr="009537ED" w14:paraId="3D951EF0" w14:textId="77777777" w:rsidTr="00E013E9">
        <w:trPr>
          <w:trHeight w:val="20"/>
          <w:jc w:val="center"/>
        </w:trPr>
        <w:tc>
          <w:tcPr>
            <w:tcW w:w="1094" w:type="dxa"/>
          </w:tcPr>
          <w:p w14:paraId="54208F17" w14:textId="20394642" w:rsidR="00697CF0" w:rsidRPr="00697CF0" w:rsidRDefault="005A18DC" w:rsidP="00697CF0">
            <w:pPr>
              <w:rPr>
                <w:rFonts w:ascii="Arial" w:hAnsi="Arial" w:cs="Arial"/>
                <w:bCs/>
                <w:sz w:val="14"/>
                <w:szCs w:val="14"/>
              </w:rPr>
            </w:pPr>
            <w:hyperlink r:id="rId2837" w:history="1">
              <w:r w:rsidR="00AF7253">
                <w:rPr>
                  <w:rStyle w:val="Hyperlink"/>
                  <w:rFonts w:ascii="Arial" w:hAnsi="Arial" w:cs="Arial"/>
                  <w:b/>
                  <w:bCs/>
                  <w:sz w:val="14"/>
                  <w:szCs w:val="14"/>
                </w:rPr>
                <w:t>R1-2310791</w:t>
              </w:r>
            </w:hyperlink>
          </w:p>
        </w:tc>
        <w:tc>
          <w:tcPr>
            <w:tcW w:w="2646" w:type="dxa"/>
          </w:tcPr>
          <w:p w14:paraId="001E566D" w14:textId="622E6C49" w:rsidR="00697CF0" w:rsidRPr="00697CF0" w:rsidRDefault="00697CF0" w:rsidP="00697CF0">
            <w:pPr>
              <w:rPr>
                <w:rFonts w:ascii="Arial" w:hAnsi="Arial" w:cs="Arial"/>
                <w:sz w:val="14"/>
                <w:szCs w:val="14"/>
              </w:rPr>
            </w:pPr>
            <w:r w:rsidRPr="00697CF0">
              <w:rPr>
                <w:rFonts w:ascii="Arial" w:hAnsi="Arial" w:cs="Arial"/>
                <w:sz w:val="14"/>
                <w:szCs w:val="14"/>
              </w:rPr>
              <w:t>LS on extended CG-SDT periodicities</w:t>
            </w:r>
          </w:p>
        </w:tc>
        <w:tc>
          <w:tcPr>
            <w:tcW w:w="1583" w:type="dxa"/>
          </w:tcPr>
          <w:p w14:paraId="26E64ABF" w14:textId="29FD1ABE" w:rsidR="00697CF0" w:rsidRPr="00697CF0" w:rsidRDefault="00697CF0" w:rsidP="00697CF0">
            <w:pPr>
              <w:rPr>
                <w:rFonts w:ascii="Arial" w:hAnsi="Arial" w:cs="Arial"/>
                <w:sz w:val="14"/>
                <w:szCs w:val="14"/>
              </w:rPr>
            </w:pPr>
            <w:r w:rsidRPr="00697CF0">
              <w:rPr>
                <w:rFonts w:ascii="Arial" w:hAnsi="Arial" w:cs="Arial"/>
                <w:sz w:val="14"/>
                <w:szCs w:val="14"/>
              </w:rPr>
              <w:t>RAN2, Ericsson</w:t>
            </w:r>
          </w:p>
        </w:tc>
        <w:tc>
          <w:tcPr>
            <w:tcW w:w="909" w:type="dxa"/>
          </w:tcPr>
          <w:p w14:paraId="6BCE4F3D" w14:textId="6DF7A5EA" w:rsidR="00697CF0" w:rsidRPr="00697CF0" w:rsidRDefault="005A18DC" w:rsidP="00697CF0">
            <w:pPr>
              <w:rPr>
                <w:rFonts w:ascii="Arial" w:hAnsi="Arial" w:cs="Arial"/>
                <w:bCs/>
                <w:sz w:val="14"/>
                <w:szCs w:val="14"/>
              </w:rPr>
            </w:pPr>
            <w:hyperlink r:id="rId2838" w:history="1">
              <w:r w:rsidR="00697CF0" w:rsidRPr="00697CF0">
                <w:rPr>
                  <w:rStyle w:val="Hyperlink"/>
                  <w:rFonts w:ascii="Arial" w:hAnsi="Arial" w:cs="Arial"/>
                  <w:b/>
                  <w:bCs/>
                  <w:sz w:val="14"/>
                  <w:szCs w:val="14"/>
                </w:rPr>
                <w:t>Rel-18</w:t>
              </w:r>
            </w:hyperlink>
          </w:p>
        </w:tc>
        <w:tc>
          <w:tcPr>
            <w:tcW w:w="2600" w:type="dxa"/>
          </w:tcPr>
          <w:p w14:paraId="64C2B4D2" w14:textId="50A4F95E" w:rsidR="00697CF0" w:rsidRPr="00697CF0" w:rsidRDefault="005A18DC" w:rsidP="00697CF0">
            <w:pPr>
              <w:rPr>
                <w:rFonts w:ascii="Arial" w:hAnsi="Arial" w:cs="Arial"/>
                <w:bCs/>
                <w:sz w:val="14"/>
                <w:szCs w:val="14"/>
              </w:rPr>
            </w:pPr>
            <w:hyperlink r:id="rId2839" w:history="1">
              <w:r w:rsidR="00697CF0" w:rsidRPr="00697CF0">
                <w:rPr>
                  <w:rStyle w:val="Hyperlink"/>
                  <w:rFonts w:ascii="Arial" w:hAnsi="Arial" w:cs="Arial"/>
                  <w:b/>
                  <w:bCs/>
                  <w:sz w:val="14"/>
                  <w:szCs w:val="14"/>
                </w:rPr>
                <w:t>TEI18</w:t>
              </w:r>
            </w:hyperlink>
          </w:p>
        </w:tc>
        <w:tc>
          <w:tcPr>
            <w:tcW w:w="1065" w:type="dxa"/>
          </w:tcPr>
          <w:p w14:paraId="1C9FB83B" w14:textId="63FF729F" w:rsidR="00697CF0" w:rsidRPr="00697CF0" w:rsidRDefault="00697CF0" w:rsidP="00697CF0">
            <w:pPr>
              <w:rPr>
                <w:rFonts w:ascii="Arial" w:hAnsi="Arial" w:cs="Arial"/>
                <w:sz w:val="14"/>
                <w:szCs w:val="14"/>
              </w:rPr>
            </w:pPr>
            <w:r w:rsidRPr="00697CF0">
              <w:rPr>
                <w:rFonts w:ascii="Arial" w:hAnsi="Arial" w:cs="Arial"/>
                <w:sz w:val="14"/>
                <w:szCs w:val="14"/>
              </w:rPr>
              <w:t> </w:t>
            </w:r>
          </w:p>
        </w:tc>
        <w:tc>
          <w:tcPr>
            <w:tcW w:w="994" w:type="dxa"/>
          </w:tcPr>
          <w:p w14:paraId="366B5E0A" w14:textId="59DD380B" w:rsidR="00697CF0" w:rsidRPr="00697CF0" w:rsidRDefault="00697CF0" w:rsidP="00697CF0">
            <w:pPr>
              <w:rPr>
                <w:rFonts w:ascii="Arial" w:hAnsi="Arial" w:cs="Arial"/>
                <w:sz w:val="14"/>
                <w:szCs w:val="14"/>
              </w:rPr>
            </w:pPr>
            <w:r w:rsidRPr="00697CF0">
              <w:rPr>
                <w:rFonts w:ascii="Arial" w:hAnsi="Arial" w:cs="Arial"/>
                <w:sz w:val="14"/>
                <w:szCs w:val="14"/>
              </w:rPr>
              <w:t>RAN1</w:t>
            </w:r>
          </w:p>
        </w:tc>
        <w:tc>
          <w:tcPr>
            <w:tcW w:w="994" w:type="dxa"/>
          </w:tcPr>
          <w:p w14:paraId="50037EB9" w14:textId="16BBE89F" w:rsidR="00697CF0" w:rsidRPr="00697CF0" w:rsidRDefault="00697CF0" w:rsidP="00697CF0">
            <w:pPr>
              <w:rPr>
                <w:rFonts w:ascii="Arial" w:hAnsi="Arial" w:cs="Arial"/>
                <w:sz w:val="14"/>
                <w:szCs w:val="14"/>
              </w:rPr>
            </w:pPr>
            <w:r w:rsidRPr="00697CF0">
              <w:rPr>
                <w:rFonts w:ascii="Arial" w:hAnsi="Arial" w:cs="Arial"/>
                <w:sz w:val="14"/>
                <w:szCs w:val="14"/>
              </w:rPr>
              <w:t> </w:t>
            </w:r>
          </w:p>
        </w:tc>
        <w:tc>
          <w:tcPr>
            <w:tcW w:w="1120" w:type="dxa"/>
          </w:tcPr>
          <w:p w14:paraId="312157EC" w14:textId="41D7E172" w:rsidR="00697CF0" w:rsidRPr="00697CF0" w:rsidRDefault="00697CF0" w:rsidP="00697CF0">
            <w:pPr>
              <w:rPr>
                <w:rFonts w:ascii="Arial" w:hAnsi="Arial" w:cs="Arial"/>
                <w:sz w:val="14"/>
                <w:szCs w:val="14"/>
              </w:rPr>
            </w:pPr>
            <w:r w:rsidRPr="00697CF0">
              <w:rPr>
                <w:rFonts w:ascii="Arial" w:hAnsi="Arial" w:cs="Arial"/>
                <w:sz w:val="14"/>
                <w:szCs w:val="14"/>
              </w:rPr>
              <w:t>R2-2311588</w:t>
            </w:r>
          </w:p>
        </w:tc>
        <w:tc>
          <w:tcPr>
            <w:tcW w:w="1062" w:type="dxa"/>
          </w:tcPr>
          <w:p w14:paraId="6736D4F8" w14:textId="11F0A969" w:rsidR="00697CF0" w:rsidRPr="00697CF0" w:rsidRDefault="00697CF0" w:rsidP="00697CF0">
            <w:pPr>
              <w:rPr>
                <w:rFonts w:ascii="Arial" w:hAnsi="Arial" w:cs="Arial"/>
                <w:sz w:val="14"/>
                <w:szCs w:val="14"/>
              </w:rPr>
            </w:pPr>
            <w:r w:rsidRPr="00697CF0">
              <w:rPr>
                <w:rFonts w:ascii="Arial" w:hAnsi="Arial" w:cs="Arial"/>
                <w:sz w:val="14"/>
                <w:szCs w:val="14"/>
              </w:rPr>
              <w:t> </w:t>
            </w:r>
          </w:p>
        </w:tc>
      </w:tr>
      <w:tr w:rsidR="00697CF0" w:rsidRPr="009537ED" w14:paraId="444C5A7F" w14:textId="77777777" w:rsidTr="00E013E9">
        <w:trPr>
          <w:trHeight w:val="20"/>
          <w:jc w:val="center"/>
        </w:trPr>
        <w:tc>
          <w:tcPr>
            <w:tcW w:w="1094" w:type="dxa"/>
          </w:tcPr>
          <w:p w14:paraId="1CD0A5CC" w14:textId="549E8A6F" w:rsidR="00697CF0" w:rsidRPr="00697CF0" w:rsidRDefault="005A18DC" w:rsidP="00697CF0">
            <w:pPr>
              <w:rPr>
                <w:rFonts w:ascii="Arial" w:hAnsi="Arial" w:cs="Arial"/>
                <w:bCs/>
                <w:sz w:val="14"/>
                <w:szCs w:val="14"/>
              </w:rPr>
            </w:pPr>
            <w:hyperlink r:id="rId2840" w:history="1">
              <w:r w:rsidR="00AF7253">
                <w:rPr>
                  <w:rStyle w:val="Hyperlink"/>
                  <w:rFonts w:ascii="Arial" w:hAnsi="Arial" w:cs="Arial"/>
                  <w:b/>
                  <w:bCs/>
                  <w:sz w:val="14"/>
                  <w:szCs w:val="14"/>
                </w:rPr>
                <w:t>R1-2310792</w:t>
              </w:r>
            </w:hyperlink>
          </w:p>
        </w:tc>
        <w:tc>
          <w:tcPr>
            <w:tcW w:w="2646" w:type="dxa"/>
          </w:tcPr>
          <w:p w14:paraId="0B7536F7" w14:textId="06031111" w:rsidR="00697CF0" w:rsidRPr="00697CF0" w:rsidRDefault="00697CF0" w:rsidP="00697CF0">
            <w:pPr>
              <w:rPr>
                <w:rFonts w:ascii="Arial" w:hAnsi="Arial" w:cs="Arial"/>
                <w:sz w:val="14"/>
                <w:szCs w:val="14"/>
              </w:rPr>
            </w:pPr>
            <w:r w:rsidRPr="00697CF0">
              <w:rPr>
                <w:rFonts w:ascii="Arial" w:hAnsi="Arial" w:cs="Arial"/>
                <w:sz w:val="14"/>
                <w:szCs w:val="14"/>
              </w:rPr>
              <w:t>Reply LS on monitoring of paging occasions for CG-SDT with HD-FDD Redcap UEs</w:t>
            </w:r>
          </w:p>
        </w:tc>
        <w:tc>
          <w:tcPr>
            <w:tcW w:w="1583" w:type="dxa"/>
          </w:tcPr>
          <w:p w14:paraId="2ACA4985" w14:textId="3EB2792A" w:rsidR="00697CF0" w:rsidRPr="00697CF0" w:rsidRDefault="00697CF0" w:rsidP="00697CF0">
            <w:pPr>
              <w:rPr>
                <w:rFonts w:ascii="Arial" w:hAnsi="Arial" w:cs="Arial"/>
                <w:sz w:val="14"/>
                <w:szCs w:val="14"/>
              </w:rPr>
            </w:pPr>
            <w:r w:rsidRPr="00697CF0">
              <w:rPr>
                <w:rFonts w:ascii="Arial" w:hAnsi="Arial" w:cs="Arial"/>
                <w:sz w:val="14"/>
                <w:szCs w:val="14"/>
              </w:rPr>
              <w:t>RAN2, MediaTek</w:t>
            </w:r>
          </w:p>
        </w:tc>
        <w:tc>
          <w:tcPr>
            <w:tcW w:w="909" w:type="dxa"/>
          </w:tcPr>
          <w:p w14:paraId="2D73381A" w14:textId="5FDF1EBE" w:rsidR="00697CF0" w:rsidRPr="00697CF0" w:rsidRDefault="005A18DC" w:rsidP="00697CF0">
            <w:pPr>
              <w:rPr>
                <w:rFonts w:ascii="Arial" w:hAnsi="Arial" w:cs="Arial"/>
                <w:bCs/>
                <w:sz w:val="14"/>
                <w:szCs w:val="14"/>
              </w:rPr>
            </w:pPr>
            <w:hyperlink r:id="rId2841" w:history="1">
              <w:r w:rsidR="00697CF0" w:rsidRPr="00697CF0">
                <w:rPr>
                  <w:rStyle w:val="Hyperlink"/>
                  <w:rFonts w:ascii="Arial" w:hAnsi="Arial" w:cs="Arial"/>
                  <w:b/>
                  <w:bCs/>
                  <w:sz w:val="14"/>
                  <w:szCs w:val="14"/>
                </w:rPr>
                <w:t>Rel-17</w:t>
              </w:r>
            </w:hyperlink>
          </w:p>
        </w:tc>
        <w:tc>
          <w:tcPr>
            <w:tcW w:w="2600" w:type="dxa"/>
          </w:tcPr>
          <w:p w14:paraId="383C0D8B" w14:textId="0DAB3ABD" w:rsidR="00697CF0" w:rsidRPr="00697CF0" w:rsidRDefault="005A18DC" w:rsidP="00697CF0">
            <w:pPr>
              <w:rPr>
                <w:rFonts w:ascii="Arial" w:hAnsi="Arial" w:cs="Arial"/>
                <w:bCs/>
                <w:sz w:val="14"/>
                <w:szCs w:val="14"/>
              </w:rPr>
            </w:pPr>
            <w:hyperlink r:id="rId2842" w:history="1">
              <w:r w:rsidR="00697CF0" w:rsidRPr="00697CF0">
                <w:rPr>
                  <w:rStyle w:val="Hyperlink"/>
                  <w:rFonts w:ascii="Arial" w:hAnsi="Arial" w:cs="Arial"/>
                  <w:b/>
                  <w:bCs/>
                  <w:sz w:val="14"/>
                  <w:szCs w:val="14"/>
                </w:rPr>
                <w:t>NR_SmallData_INACTIVE-Core</w:t>
              </w:r>
            </w:hyperlink>
          </w:p>
        </w:tc>
        <w:tc>
          <w:tcPr>
            <w:tcW w:w="1065" w:type="dxa"/>
          </w:tcPr>
          <w:p w14:paraId="72E06E00" w14:textId="7CF924B8" w:rsidR="00697CF0" w:rsidRPr="00697CF0" w:rsidRDefault="00697CF0" w:rsidP="00697CF0">
            <w:pPr>
              <w:rPr>
                <w:rFonts w:ascii="Arial" w:hAnsi="Arial" w:cs="Arial"/>
                <w:sz w:val="14"/>
                <w:szCs w:val="14"/>
              </w:rPr>
            </w:pPr>
            <w:r w:rsidRPr="00697CF0">
              <w:rPr>
                <w:rFonts w:ascii="Arial" w:hAnsi="Arial" w:cs="Arial"/>
                <w:sz w:val="14"/>
                <w:szCs w:val="14"/>
              </w:rPr>
              <w:t>R4-2314464</w:t>
            </w:r>
          </w:p>
        </w:tc>
        <w:tc>
          <w:tcPr>
            <w:tcW w:w="994" w:type="dxa"/>
          </w:tcPr>
          <w:p w14:paraId="26E8F468" w14:textId="7D02B2A8" w:rsidR="00697CF0" w:rsidRPr="00697CF0" w:rsidRDefault="00697CF0" w:rsidP="00697CF0">
            <w:pPr>
              <w:rPr>
                <w:rFonts w:ascii="Arial" w:hAnsi="Arial" w:cs="Arial"/>
                <w:sz w:val="14"/>
                <w:szCs w:val="14"/>
              </w:rPr>
            </w:pPr>
            <w:r w:rsidRPr="00697CF0">
              <w:rPr>
                <w:rFonts w:ascii="Arial" w:hAnsi="Arial" w:cs="Arial"/>
                <w:sz w:val="14"/>
                <w:szCs w:val="14"/>
              </w:rPr>
              <w:t>RAN4</w:t>
            </w:r>
          </w:p>
        </w:tc>
        <w:tc>
          <w:tcPr>
            <w:tcW w:w="994" w:type="dxa"/>
          </w:tcPr>
          <w:p w14:paraId="51F4FDBE" w14:textId="6B8CD522" w:rsidR="00697CF0" w:rsidRPr="00697CF0" w:rsidRDefault="00697CF0" w:rsidP="00697CF0">
            <w:pPr>
              <w:rPr>
                <w:rFonts w:ascii="Arial" w:hAnsi="Arial" w:cs="Arial"/>
                <w:sz w:val="14"/>
                <w:szCs w:val="14"/>
              </w:rPr>
            </w:pPr>
            <w:r w:rsidRPr="00697CF0">
              <w:rPr>
                <w:rFonts w:ascii="Arial" w:hAnsi="Arial" w:cs="Arial"/>
                <w:sz w:val="14"/>
                <w:szCs w:val="14"/>
              </w:rPr>
              <w:t>RAN1</w:t>
            </w:r>
          </w:p>
        </w:tc>
        <w:tc>
          <w:tcPr>
            <w:tcW w:w="1120" w:type="dxa"/>
          </w:tcPr>
          <w:p w14:paraId="3EB73232" w14:textId="14D96E2B" w:rsidR="00697CF0" w:rsidRPr="00697CF0" w:rsidRDefault="00697CF0" w:rsidP="00697CF0">
            <w:pPr>
              <w:rPr>
                <w:rFonts w:ascii="Arial" w:hAnsi="Arial" w:cs="Arial"/>
                <w:sz w:val="14"/>
                <w:szCs w:val="14"/>
              </w:rPr>
            </w:pPr>
            <w:r w:rsidRPr="00697CF0">
              <w:rPr>
                <w:rFonts w:ascii="Arial" w:hAnsi="Arial" w:cs="Arial"/>
                <w:sz w:val="14"/>
                <w:szCs w:val="14"/>
              </w:rPr>
              <w:t>R2-2311424</w:t>
            </w:r>
          </w:p>
        </w:tc>
        <w:tc>
          <w:tcPr>
            <w:tcW w:w="1062" w:type="dxa"/>
          </w:tcPr>
          <w:p w14:paraId="150D8FA5" w14:textId="746421FD" w:rsidR="00697CF0" w:rsidRPr="00697CF0" w:rsidRDefault="00697CF0" w:rsidP="00697CF0">
            <w:pPr>
              <w:rPr>
                <w:rFonts w:ascii="Arial" w:hAnsi="Arial" w:cs="Arial"/>
                <w:sz w:val="14"/>
                <w:szCs w:val="14"/>
              </w:rPr>
            </w:pPr>
            <w:r w:rsidRPr="00697CF0">
              <w:rPr>
                <w:rFonts w:ascii="Arial" w:hAnsi="Arial" w:cs="Arial"/>
                <w:sz w:val="14"/>
                <w:szCs w:val="14"/>
              </w:rPr>
              <w:t> </w:t>
            </w:r>
          </w:p>
        </w:tc>
      </w:tr>
      <w:tr w:rsidR="00697CF0" w:rsidRPr="009537ED" w14:paraId="47AC2BC0" w14:textId="77777777" w:rsidTr="00E013E9">
        <w:trPr>
          <w:trHeight w:val="20"/>
          <w:jc w:val="center"/>
        </w:trPr>
        <w:tc>
          <w:tcPr>
            <w:tcW w:w="1094" w:type="dxa"/>
          </w:tcPr>
          <w:p w14:paraId="4038A4C3" w14:textId="1BFA0ACA" w:rsidR="00697CF0" w:rsidRPr="00697CF0" w:rsidRDefault="005A18DC" w:rsidP="00697CF0">
            <w:pPr>
              <w:rPr>
                <w:rFonts w:ascii="Arial" w:hAnsi="Arial" w:cs="Arial"/>
                <w:bCs/>
                <w:sz w:val="14"/>
                <w:szCs w:val="14"/>
              </w:rPr>
            </w:pPr>
            <w:hyperlink r:id="rId2843" w:history="1">
              <w:r w:rsidR="00AF7253">
                <w:rPr>
                  <w:rStyle w:val="Hyperlink"/>
                  <w:rFonts w:ascii="Arial" w:hAnsi="Arial" w:cs="Arial"/>
                  <w:b/>
                  <w:bCs/>
                  <w:sz w:val="14"/>
                  <w:szCs w:val="14"/>
                </w:rPr>
                <w:t>R1-2310793</w:t>
              </w:r>
            </w:hyperlink>
          </w:p>
        </w:tc>
        <w:tc>
          <w:tcPr>
            <w:tcW w:w="2646" w:type="dxa"/>
          </w:tcPr>
          <w:p w14:paraId="58159286" w14:textId="76645697" w:rsidR="00697CF0" w:rsidRPr="00697CF0" w:rsidRDefault="00697CF0" w:rsidP="00697CF0">
            <w:pPr>
              <w:rPr>
                <w:rFonts w:ascii="Arial" w:hAnsi="Arial" w:cs="Arial"/>
                <w:sz w:val="14"/>
                <w:szCs w:val="14"/>
              </w:rPr>
            </w:pPr>
            <w:r w:rsidRPr="00697CF0">
              <w:rPr>
                <w:rFonts w:ascii="Arial" w:hAnsi="Arial" w:cs="Arial"/>
                <w:sz w:val="14"/>
                <w:szCs w:val="14"/>
              </w:rPr>
              <w:t>LS reply to RAN4 LS R4-2314351</w:t>
            </w:r>
          </w:p>
        </w:tc>
        <w:tc>
          <w:tcPr>
            <w:tcW w:w="1583" w:type="dxa"/>
          </w:tcPr>
          <w:p w14:paraId="4EA2F5AC" w14:textId="025ADD7D" w:rsidR="00697CF0" w:rsidRPr="00697CF0" w:rsidRDefault="00697CF0" w:rsidP="00697CF0">
            <w:pPr>
              <w:rPr>
                <w:rFonts w:ascii="Arial" w:hAnsi="Arial" w:cs="Arial"/>
                <w:sz w:val="14"/>
                <w:szCs w:val="14"/>
              </w:rPr>
            </w:pPr>
            <w:r w:rsidRPr="00697CF0">
              <w:rPr>
                <w:rFonts w:ascii="Arial" w:hAnsi="Arial" w:cs="Arial"/>
                <w:sz w:val="14"/>
                <w:szCs w:val="14"/>
              </w:rPr>
              <w:t>RAN2, Ericsson</w:t>
            </w:r>
          </w:p>
        </w:tc>
        <w:tc>
          <w:tcPr>
            <w:tcW w:w="909" w:type="dxa"/>
          </w:tcPr>
          <w:p w14:paraId="5CB79CE7" w14:textId="72EFB6FC" w:rsidR="00697CF0" w:rsidRPr="00697CF0" w:rsidRDefault="005A18DC" w:rsidP="00697CF0">
            <w:pPr>
              <w:rPr>
                <w:rFonts w:ascii="Arial" w:hAnsi="Arial" w:cs="Arial"/>
                <w:bCs/>
                <w:sz w:val="14"/>
                <w:szCs w:val="14"/>
              </w:rPr>
            </w:pPr>
            <w:hyperlink r:id="rId2844" w:history="1">
              <w:r w:rsidR="00697CF0" w:rsidRPr="00697CF0">
                <w:rPr>
                  <w:rStyle w:val="Hyperlink"/>
                  <w:rFonts w:ascii="Arial" w:hAnsi="Arial" w:cs="Arial"/>
                  <w:b/>
                  <w:bCs/>
                  <w:sz w:val="14"/>
                  <w:szCs w:val="14"/>
                </w:rPr>
                <w:t>Rel-18</w:t>
              </w:r>
            </w:hyperlink>
          </w:p>
        </w:tc>
        <w:tc>
          <w:tcPr>
            <w:tcW w:w="2600" w:type="dxa"/>
          </w:tcPr>
          <w:p w14:paraId="0B0B2675" w14:textId="714BD2B0" w:rsidR="00697CF0" w:rsidRPr="00697CF0" w:rsidRDefault="005A18DC" w:rsidP="00697CF0">
            <w:pPr>
              <w:rPr>
                <w:rFonts w:ascii="Arial" w:hAnsi="Arial" w:cs="Arial"/>
                <w:bCs/>
                <w:sz w:val="14"/>
                <w:szCs w:val="14"/>
              </w:rPr>
            </w:pPr>
            <w:hyperlink r:id="rId2845" w:history="1">
              <w:r w:rsidR="00697CF0" w:rsidRPr="00697CF0">
                <w:rPr>
                  <w:rStyle w:val="Hyperlink"/>
                  <w:rFonts w:ascii="Arial" w:hAnsi="Arial" w:cs="Arial"/>
                  <w:b/>
                  <w:bCs/>
                  <w:sz w:val="14"/>
                  <w:szCs w:val="14"/>
                </w:rPr>
                <w:t>NR_SL_enh2-Core</w:t>
              </w:r>
            </w:hyperlink>
          </w:p>
        </w:tc>
        <w:tc>
          <w:tcPr>
            <w:tcW w:w="1065" w:type="dxa"/>
          </w:tcPr>
          <w:p w14:paraId="45CF167E" w14:textId="04DEA580" w:rsidR="00697CF0" w:rsidRPr="00697CF0" w:rsidRDefault="00697CF0" w:rsidP="00697CF0">
            <w:pPr>
              <w:rPr>
                <w:rFonts w:ascii="Arial" w:hAnsi="Arial" w:cs="Arial"/>
                <w:sz w:val="14"/>
                <w:szCs w:val="14"/>
              </w:rPr>
            </w:pPr>
            <w:r w:rsidRPr="00697CF0">
              <w:rPr>
                <w:rFonts w:ascii="Arial" w:hAnsi="Arial" w:cs="Arial"/>
                <w:sz w:val="14"/>
                <w:szCs w:val="14"/>
              </w:rPr>
              <w:t>R4-2314351</w:t>
            </w:r>
          </w:p>
        </w:tc>
        <w:tc>
          <w:tcPr>
            <w:tcW w:w="994" w:type="dxa"/>
          </w:tcPr>
          <w:p w14:paraId="349EBE42" w14:textId="6C7FC0D7" w:rsidR="00697CF0" w:rsidRPr="00697CF0" w:rsidRDefault="00697CF0" w:rsidP="00697CF0">
            <w:pPr>
              <w:rPr>
                <w:rFonts w:ascii="Arial" w:hAnsi="Arial" w:cs="Arial"/>
                <w:sz w:val="14"/>
                <w:szCs w:val="14"/>
              </w:rPr>
            </w:pPr>
            <w:r w:rsidRPr="00697CF0">
              <w:rPr>
                <w:rFonts w:ascii="Arial" w:hAnsi="Arial" w:cs="Arial"/>
                <w:sz w:val="14"/>
                <w:szCs w:val="14"/>
              </w:rPr>
              <w:t>RAN4</w:t>
            </w:r>
          </w:p>
        </w:tc>
        <w:tc>
          <w:tcPr>
            <w:tcW w:w="994" w:type="dxa"/>
          </w:tcPr>
          <w:p w14:paraId="48F5C5B0" w14:textId="7C15F1C9" w:rsidR="00697CF0" w:rsidRPr="00697CF0" w:rsidRDefault="00697CF0" w:rsidP="00697CF0">
            <w:pPr>
              <w:rPr>
                <w:rFonts w:ascii="Arial" w:hAnsi="Arial" w:cs="Arial"/>
                <w:sz w:val="14"/>
                <w:szCs w:val="14"/>
              </w:rPr>
            </w:pPr>
            <w:r w:rsidRPr="00697CF0">
              <w:rPr>
                <w:rFonts w:ascii="Arial" w:hAnsi="Arial" w:cs="Arial"/>
                <w:sz w:val="14"/>
                <w:szCs w:val="14"/>
              </w:rPr>
              <w:t>RAN1</w:t>
            </w:r>
          </w:p>
        </w:tc>
        <w:tc>
          <w:tcPr>
            <w:tcW w:w="1120" w:type="dxa"/>
          </w:tcPr>
          <w:p w14:paraId="17ADD75E" w14:textId="70E9AB9F" w:rsidR="00697CF0" w:rsidRPr="00697CF0" w:rsidRDefault="00697CF0" w:rsidP="00697CF0">
            <w:pPr>
              <w:rPr>
                <w:rFonts w:ascii="Arial" w:hAnsi="Arial" w:cs="Arial"/>
                <w:sz w:val="14"/>
                <w:szCs w:val="14"/>
              </w:rPr>
            </w:pPr>
            <w:r w:rsidRPr="00697CF0">
              <w:rPr>
                <w:rFonts w:ascii="Arial" w:hAnsi="Arial" w:cs="Arial"/>
                <w:sz w:val="14"/>
                <w:szCs w:val="14"/>
              </w:rPr>
              <w:t>R2-2311505</w:t>
            </w:r>
          </w:p>
        </w:tc>
        <w:tc>
          <w:tcPr>
            <w:tcW w:w="1062" w:type="dxa"/>
          </w:tcPr>
          <w:p w14:paraId="032BF03E" w14:textId="4F69D97D" w:rsidR="00697CF0" w:rsidRPr="00697CF0" w:rsidRDefault="00697CF0" w:rsidP="00697CF0">
            <w:pPr>
              <w:rPr>
                <w:rFonts w:ascii="Arial" w:hAnsi="Arial" w:cs="Arial"/>
                <w:sz w:val="14"/>
                <w:szCs w:val="14"/>
              </w:rPr>
            </w:pPr>
            <w:r w:rsidRPr="00697CF0">
              <w:rPr>
                <w:rFonts w:ascii="Arial" w:hAnsi="Arial" w:cs="Arial"/>
                <w:sz w:val="14"/>
                <w:szCs w:val="14"/>
              </w:rPr>
              <w:t> </w:t>
            </w:r>
          </w:p>
        </w:tc>
      </w:tr>
      <w:tr w:rsidR="00697CF0" w:rsidRPr="009537ED" w14:paraId="7DD2F7FC" w14:textId="77777777" w:rsidTr="00E013E9">
        <w:trPr>
          <w:trHeight w:val="20"/>
          <w:jc w:val="center"/>
        </w:trPr>
        <w:tc>
          <w:tcPr>
            <w:tcW w:w="1094" w:type="dxa"/>
          </w:tcPr>
          <w:p w14:paraId="33174B8E" w14:textId="5969D59B" w:rsidR="00697CF0" w:rsidRPr="00697CF0" w:rsidRDefault="005A18DC" w:rsidP="00697CF0">
            <w:pPr>
              <w:rPr>
                <w:rFonts w:ascii="Arial" w:hAnsi="Arial" w:cs="Arial"/>
                <w:bCs/>
                <w:sz w:val="14"/>
                <w:szCs w:val="14"/>
              </w:rPr>
            </w:pPr>
            <w:hyperlink r:id="rId2846" w:history="1">
              <w:r w:rsidR="00AF7253">
                <w:rPr>
                  <w:rStyle w:val="Hyperlink"/>
                  <w:rFonts w:ascii="Arial" w:hAnsi="Arial" w:cs="Arial"/>
                  <w:b/>
                  <w:bCs/>
                  <w:sz w:val="14"/>
                  <w:szCs w:val="14"/>
                </w:rPr>
                <w:t>R1-2310794</w:t>
              </w:r>
            </w:hyperlink>
          </w:p>
        </w:tc>
        <w:tc>
          <w:tcPr>
            <w:tcW w:w="2646" w:type="dxa"/>
          </w:tcPr>
          <w:p w14:paraId="1FBA5929" w14:textId="0C2BE8DB" w:rsidR="00697CF0" w:rsidRPr="00697CF0" w:rsidRDefault="00697CF0" w:rsidP="00697CF0">
            <w:pPr>
              <w:rPr>
                <w:rFonts w:ascii="Arial" w:hAnsi="Arial" w:cs="Arial"/>
                <w:sz w:val="14"/>
                <w:szCs w:val="14"/>
              </w:rPr>
            </w:pPr>
            <w:r w:rsidRPr="00697CF0">
              <w:rPr>
                <w:rFonts w:ascii="Arial" w:hAnsi="Arial" w:cs="Arial"/>
                <w:sz w:val="14"/>
                <w:szCs w:val="14"/>
              </w:rPr>
              <w:t>Reply LS on required DCI signalling for advanced receiver on MU-MIMO scenario</w:t>
            </w:r>
          </w:p>
        </w:tc>
        <w:tc>
          <w:tcPr>
            <w:tcW w:w="1583" w:type="dxa"/>
          </w:tcPr>
          <w:p w14:paraId="4AFB33D0" w14:textId="0B90D761" w:rsidR="00697CF0" w:rsidRPr="00697CF0" w:rsidRDefault="00697CF0" w:rsidP="00697CF0">
            <w:pPr>
              <w:rPr>
                <w:rFonts w:ascii="Arial" w:hAnsi="Arial" w:cs="Arial"/>
                <w:sz w:val="14"/>
                <w:szCs w:val="14"/>
              </w:rPr>
            </w:pPr>
            <w:r w:rsidRPr="00697CF0">
              <w:rPr>
                <w:rFonts w:ascii="Arial" w:hAnsi="Arial" w:cs="Arial"/>
                <w:sz w:val="14"/>
                <w:szCs w:val="14"/>
              </w:rPr>
              <w:t>RAN4, HiSilicon, Apple, China Telecom</w:t>
            </w:r>
          </w:p>
        </w:tc>
        <w:tc>
          <w:tcPr>
            <w:tcW w:w="909" w:type="dxa"/>
          </w:tcPr>
          <w:p w14:paraId="21FF9C10" w14:textId="4EA35218" w:rsidR="00697CF0" w:rsidRPr="00697CF0" w:rsidRDefault="005A18DC" w:rsidP="00697CF0">
            <w:pPr>
              <w:rPr>
                <w:rFonts w:ascii="Arial" w:hAnsi="Arial" w:cs="Arial"/>
                <w:bCs/>
                <w:sz w:val="14"/>
                <w:szCs w:val="14"/>
              </w:rPr>
            </w:pPr>
            <w:hyperlink r:id="rId2847" w:history="1">
              <w:r w:rsidR="00697CF0" w:rsidRPr="00697CF0">
                <w:rPr>
                  <w:rStyle w:val="Hyperlink"/>
                  <w:rFonts w:ascii="Arial" w:hAnsi="Arial" w:cs="Arial"/>
                  <w:b/>
                  <w:bCs/>
                  <w:sz w:val="14"/>
                  <w:szCs w:val="14"/>
                </w:rPr>
                <w:t>Rel-18</w:t>
              </w:r>
            </w:hyperlink>
          </w:p>
        </w:tc>
        <w:tc>
          <w:tcPr>
            <w:tcW w:w="2600" w:type="dxa"/>
          </w:tcPr>
          <w:p w14:paraId="6612E20F" w14:textId="6A9142D9" w:rsidR="00697CF0" w:rsidRPr="00697CF0" w:rsidRDefault="005A18DC" w:rsidP="00697CF0">
            <w:pPr>
              <w:rPr>
                <w:rFonts w:ascii="Arial" w:hAnsi="Arial" w:cs="Arial"/>
                <w:bCs/>
                <w:sz w:val="14"/>
                <w:szCs w:val="14"/>
              </w:rPr>
            </w:pPr>
            <w:hyperlink r:id="rId2848" w:history="1">
              <w:r w:rsidR="00697CF0" w:rsidRPr="00697CF0">
                <w:rPr>
                  <w:rStyle w:val="Hyperlink"/>
                  <w:rFonts w:ascii="Arial" w:hAnsi="Arial" w:cs="Arial"/>
                  <w:b/>
                  <w:bCs/>
                  <w:sz w:val="14"/>
                  <w:szCs w:val="14"/>
                </w:rPr>
                <w:t>NR_demod_enh3-Core</w:t>
              </w:r>
            </w:hyperlink>
          </w:p>
        </w:tc>
        <w:tc>
          <w:tcPr>
            <w:tcW w:w="1065" w:type="dxa"/>
          </w:tcPr>
          <w:p w14:paraId="7D7747E4" w14:textId="7BDE2875" w:rsidR="00697CF0" w:rsidRPr="00697CF0" w:rsidRDefault="005A18DC" w:rsidP="00697CF0">
            <w:pPr>
              <w:rPr>
                <w:rFonts w:ascii="Arial" w:hAnsi="Arial" w:cs="Arial"/>
                <w:sz w:val="14"/>
                <w:szCs w:val="14"/>
              </w:rPr>
            </w:pPr>
            <w:hyperlink r:id="rId2849" w:history="1">
              <w:r w:rsidR="00AF7253">
                <w:rPr>
                  <w:rStyle w:val="Hyperlink"/>
                  <w:rFonts w:ascii="Arial" w:hAnsi="Arial" w:cs="Arial"/>
                  <w:sz w:val="14"/>
                  <w:szCs w:val="14"/>
                </w:rPr>
                <w:t>R1-2308598</w:t>
              </w:r>
            </w:hyperlink>
          </w:p>
        </w:tc>
        <w:tc>
          <w:tcPr>
            <w:tcW w:w="994" w:type="dxa"/>
          </w:tcPr>
          <w:p w14:paraId="640DEBFD" w14:textId="645E6AF7" w:rsidR="00697CF0" w:rsidRPr="00697CF0" w:rsidRDefault="00697CF0" w:rsidP="00697CF0">
            <w:pPr>
              <w:rPr>
                <w:rFonts w:ascii="Arial" w:hAnsi="Arial" w:cs="Arial"/>
                <w:sz w:val="14"/>
                <w:szCs w:val="14"/>
              </w:rPr>
            </w:pPr>
            <w:r w:rsidRPr="00697CF0">
              <w:rPr>
                <w:rFonts w:ascii="Arial" w:hAnsi="Arial" w:cs="Arial"/>
                <w:sz w:val="14"/>
                <w:szCs w:val="14"/>
              </w:rPr>
              <w:t>RAN1</w:t>
            </w:r>
          </w:p>
        </w:tc>
        <w:tc>
          <w:tcPr>
            <w:tcW w:w="994" w:type="dxa"/>
          </w:tcPr>
          <w:p w14:paraId="052333FD" w14:textId="153A736E" w:rsidR="00697CF0" w:rsidRPr="00697CF0" w:rsidRDefault="00697CF0" w:rsidP="00697CF0">
            <w:pPr>
              <w:rPr>
                <w:rFonts w:ascii="Arial" w:hAnsi="Arial" w:cs="Arial"/>
                <w:sz w:val="14"/>
                <w:szCs w:val="14"/>
              </w:rPr>
            </w:pPr>
            <w:r w:rsidRPr="00697CF0">
              <w:rPr>
                <w:rFonts w:ascii="Arial" w:hAnsi="Arial" w:cs="Arial"/>
                <w:sz w:val="14"/>
                <w:szCs w:val="14"/>
              </w:rPr>
              <w:t>RAN2</w:t>
            </w:r>
          </w:p>
        </w:tc>
        <w:tc>
          <w:tcPr>
            <w:tcW w:w="1120" w:type="dxa"/>
          </w:tcPr>
          <w:p w14:paraId="328E13AE" w14:textId="7E6AF370" w:rsidR="00697CF0" w:rsidRPr="00697CF0" w:rsidRDefault="00697CF0" w:rsidP="00697CF0">
            <w:pPr>
              <w:rPr>
                <w:rFonts w:ascii="Arial" w:hAnsi="Arial" w:cs="Arial"/>
                <w:sz w:val="14"/>
                <w:szCs w:val="14"/>
              </w:rPr>
            </w:pPr>
            <w:r w:rsidRPr="00697CF0">
              <w:rPr>
                <w:rFonts w:ascii="Arial" w:hAnsi="Arial" w:cs="Arial"/>
                <w:sz w:val="14"/>
                <w:szCs w:val="14"/>
              </w:rPr>
              <w:t>R4-2317011</w:t>
            </w:r>
          </w:p>
        </w:tc>
        <w:tc>
          <w:tcPr>
            <w:tcW w:w="1062" w:type="dxa"/>
          </w:tcPr>
          <w:p w14:paraId="0F95B87B" w14:textId="6809FD88" w:rsidR="00697CF0" w:rsidRPr="00697CF0" w:rsidRDefault="00697CF0" w:rsidP="00697CF0">
            <w:pPr>
              <w:rPr>
                <w:rFonts w:ascii="Arial" w:hAnsi="Arial" w:cs="Arial"/>
                <w:sz w:val="14"/>
                <w:szCs w:val="14"/>
              </w:rPr>
            </w:pPr>
            <w:r w:rsidRPr="00697CF0">
              <w:rPr>
                <w:rFonts w:ascii="Arial" w:hAnsi="Arial" w:cs="Arial"/>
                <w:sz w:val="14"/>
                <w:szCs w:val="14"/>
              </w:rPr>
              <w:t> </w:t>
            </w:r>
          </w:p>
        </w:tc>
      </w:tr>
      <w:tr w:rsidR="00697CF0" w:rsidRPr="009537ED" w14:paraId="0D2BCC8E" w14:textId="77777777" w:rsidTr="00E013E9">
        <w:trPr>
          <w:trHeight w:val="20"/>
          <w:jc w:val="center"/>
        </w:trPr>
        <w:tc>
          <w:tcPr>
            <w:tcW w:w="1094" w:type="dxa"/>
          </w:tcPr>
          <w:p w14:paraId="21806C52" w14:textId="01BEB775" w:rsidR="00697CF0" w:rsidRPr="00697CF0" w:rsidRDefault="005A18DC" w:rsidP="00697CF0">
            <w:pPr>
              <w:rPr>
                <w:rFonts w:ascii="Arial" w:hAnsi="Arial" w:cs="Arial"/>
                <w:bCs/>
                <w:sz w:val="14"/>
                <w:szCs w:val="14"/>
              </w:rPr>
            </w:pPr>
            <w:hyperlink r:id="rId2850" w:history="1">
              <w:r w:rsidR="00AF7253">
                <w:rPr>
                  <w:rStyle w:val="Hyperlink"/>
                  <w:rFonts w:ascii="Arial" w:hAnsi="Arial" w:cs="Arial"/>
                  <w:b/>
                  <w:bCs/>
                  <w:sz w:val="14"/>
                  <w:szCs w:val="14"/>
                </w:rPr>
                <w:t>R1-2310795</w:t>
              </w:r>
            </w:hyperlink>
          </w:p>
        </w:tc>
        <w:tc>
          <w:tcPr>
            <w:tcW w:w="2646" w:type="dxa"/>
          </w:tcPr>
          <w:p w14:paraId="56C83D4F" w14:textId="3934C36B" w:rsidR="00697CF0" w:rsidRPr="00697CF0" w:rsidRDefault="00697CF0" w:rsidP="00697CF0">
            <w:pPr>
              <w:rPr>
                <w:rFonts w:ascii="Arial" w:hAnsi="Arial" w:cs="Arial"/>
                <w:sz w:val="14"/>
                <w:szCs w:val="14"/>
              </w:rPr>
            </w:pPr>
            <w:r w:rsidRPr="00697CF0">
              <w:rPr>
                <w:rFonts w:ascii="Arial" w:hAnsi="Arial" w:cs="Arial"/>
                <w:sz w:val="14"/>
                <w:szCs w:val="14"/>
              </w:rPr>
              <w:t>Reply LS on beam application time for LTM</w:t>
            </w:r>
          </w:p>
        </w:tc>
        <w:tc>
          <w:tcPr>
            <w:tcW w:w="1583" w:type="dxa"/>
          </w:tcPr>
          <w:p w14:paraId="5AE4F064" w14:textId="3839BD28" w:rsidR="00697CF0" w:rsidRPr="00697CF0" w:rsidRDefault="00697CF0" w:rsidP="00697CF0">
            <w:pPr>
              <w:rPr>
                <w:rFonts w:ascii="Arial" w:hAnsi="Arial" w:cs="Arial"/>
                <w:sz w:val="14"/>
                <w:szCs w:val="14"/>
              </w:rPr>
            </w:pPr>
            <w:r w:rsidRPr="00697CF0">
              <w:rPr>
                <w:rFonts w:ascii="Arial" w:hAnsi="Arial" w:cs="Arial"/>
                <w:sz w:val="14"/>
                <w:szCs w:val="14"/>
              </w:rPr>
              <w:t>RAN4, Ericsson</w:t>
            </w:r>
          </w:p>
        </w:tc>
        <w:tc>
          <w:tcPr>
            <w:tcW w:w="909" w:type="dxa"/>
          </w:tcPr>
          <w:p w14:paraId="1BE70D5D" w14:textId="1A1A86D8" w:rsidR="00697CF0" w:rsidRPr="00697CF0" w:rsidRDefault="005A18DC" w:rsidP="00697CF0">
            <w:pPr>
              <w:rPr>
                <w:rFonts w:ascii="Arial" w:hAnsi="Arial" w:cs="Arial"/>
                <w:bCs/>
                <w:sz w:val="14"/>
                <w:szCs w:val="14"/>
              </w:rPr>
            </w:pPr>
            <w:hyperlink r:id="rId2851" w:history="1">
              <w:r w:rsidR="00697CF0" w:rsidRPr="00697CF0">
                <w:rPr>
                  <w:rStyle w:val="Hyperlink"/>
                  <w:rFonts w:ascii="Arial" w:hAnsi="Arial" w:cs="Arial"/>
                  <w:b/>
                  <w:bCs/>
                  <w:sz w:val="14"/>
                  <w:szCs w:val="14"/>
                </w:rPr>
                <w:t>Rel-18</w:t>
              </w:r>
            </w:hyperlink>
          </w:p>
        </w:tc>
        <w:tc>
          <w:tcPr>
            <w:tcW w:w="2600" w:type="dxa"/>
          </w:tcPr>
          <w:p w14:paraId="09F864E2" w14:textId="06B3C1BF" w:rsidR="00697CF0" w:rsidRPr="00697CF0" w:rsidRDefault="005A18DC" w:rsidP="00697CF0">
            <w:pPr>
              <w:rPr>
                <w:rFonts w:ascii="Arial" w:hAnsi="Arial" w:cs="Arial"/>
                <w:bCs/>
                <w:sz w:val="14"/>
                <w:szCs w:val="14"/>
              </w:rPr>
            </w:pPr>
            <w:hyperlink r:id="rId2852" w:history="1">
              <w:r w:rsidR="00697CF0" w:rsidRPr="00697CF0">
                <w:rPr>
                  <w:rStyle w:val="Hyperlink"/>
                  <w:rFonts w:ascii="Arial" w:hAnsi="Arial" w:cs="Arial"/>
                  <w:b/>
                  <w:bCs/>
                  <w:sz w:val="14"/>
                  <w:szCs w:val="14"/>
                </w:rPr>
                <w:t>NR_Mob_enh2-Core</w:t>
              </w:r>
            </w:hyperlink>
          </w:p>
        </w:tc>
        <w:tc>
          <w:tcPr>
            <w:tcW w:w="1065" w:type="dxa"/>
          </w:tcPr>
          <w:p w14:paraId="1942D924" w14:textId="480D29DF" w:rsidR="00697CF0" w:rsidRPr="00697CF0" w:rsidRDefault="005A18DC" w:rsidP="00697CF0">
            <w:pPr>
              <w:rPr>
                <w:rFonts w:ascii="Arial" w:hAnsi="Arial" w:cs="Arial"/>
                <w:sz w:val="14"/>
                <w:szCs w:val="14"/>
              </w:rPr>
            </w:pPr>
            <w:hyperlink r:id="rId2853" w:history="1">
              <w:r w:rsidR="00AF7253">
                <w:rPr>
                  <w:rStyle w:val="Hyperlink"/>
                  <w:rFonts w:ascii="Arial" w:hAnsi="Arial" w:cs="Arial"/>
                  <w:sz w:val="14"/>
                  <w:szCs w:val="14"/>
                </w:rPr>
                <w:t>R1-2306259</w:t>
              </w:r>
            </w:hyperlink>
            <w:r w:rsidR="00697CF0" w:rsidRPr="00697CF0">
              <w:rPr>
                <w:rFonts w:ascii="Arial" w:hAnsi="Arial" w:cs="Arial"/>
                <w:sz w:val="14"/>
                <w:szCs w:val="14"/>
              </w:rPr>
              <w:t>, R2-2309250</w:t>
            </w:r>
          </w:p>
        </w:tc>
        <w:tc>
          <w:tcPr>
            <w:tcW w:w="994" w:type="dxa"/>
          </w:tcPr>
          <w:p w14:paraId="349105E8" w14:textId="13D3D943" w:rsidR="00697CF0" w:rsidRPr="00697CF0" w:rsidRDefault="00697CF0" w:rsidP="00697CF0">
            <w:pPr>
              <w:rPr>
                <w:rFonts w:ascii="Arial" w:hAnsi="Arial" w:cs="Arial"/>
                <w:sz w:val="14"/>
                <w:szCs w:val="14"/>
              </w:rPr>
            </w:pPr>
            <w:r w:rsidRPr="00697CF0">
              <w:rPr>
                <w:rFonts w:ascii="Arial" w:hAnsi="Arial" w:cs="Arial"/>
                <w:sz w:val="14"/>
                <w:szCs w:val="14"/>
              </w:rPr>
              <w:t>RAN1, RAN2</w:t>
            </w:r>
          </w:p>
        </w:tc>
        <w:tc>
          <w:tcPr>
            <w:tcW w:w="994" w:type="dxa"/>
          </w:tcPr>
          <w:p w14:paraId="3A9C683A" w14:textId="41429031" w:rsidR="00697CF0" w:rsidRPr="00697CF0" w:rsidRDefault="00697CF0" w:rsidP="00697CF0">
            <w:pPr>
              <w:rPr>
                <w:rFonts w:ascii="Arial" w:hAnsi="Arial" w:cs="Arial"/>
                <w:sz w:val="14"/>
                <w:szCs w:val="14"/>
              </w:rPr>
            </w:pPr>
            <w:r w:rsidRPr="00697CF0">
              <w:rPr>
                <w:rFonts w:ascii="Arial" w:hAnsi="Arial" w:cs="Arial"/>
                <w:sz w:val="14"/>
                <w:szCs w:val="14"/>
              </w:rPr>
              <w:t>RAN3</w:t>
            </w:r>
          </w:p>
        </w:tc>
        <w:tc>
          <w:tcPr>
            <w:tcW w:w="1120" w:type="dxa"/>
          </w:tcPr>
          <w:p w14:paraId="1D5755D5" w14:textId="31A29220" w:rsidR="00697CF0" w:rsidRPr="00697CF0" w:rsidRDefault="00697CF0" w:rsidP="00697CF0">
            <w:pPr>
              <w:rPr>
                <w:rFonts w:ascii="Arial" w:hAnsi="Arial" w:cs="Arial"/>
                <w:sz w:val="14"/>
                <w:szCs w:val="14"/>
              </w:rPr>
            </w:pPr>
            <w:r w:rsidRPr="00697CF0">
              <w:rPr>
                <w:rFonts w:ascii="Arial" w:hAnsi="Arial" w:cs="Arial"/>
                <w:sz w:val="14"/>
                <w:szCs w:val="14"/>
              </w:rPr>
              <w:t>R4-2317331</w:t>
            </w:r>
          </w:p>
        </w:tc>
        <w:tc>
          <w:tcPr>
            <w:tcW w:w="1062" w:type="dxa"/>
          </w:tcPr>
          <w:p w14:paraId="3A84A146" w14:textId="44CCA5CC" w:rsidR="00697CF0" w:rsidRPr="00697CF0" w:rsidRDefault="00697CF0" w:rsidP="00697CF0">
            <w:pPr>
              <w:rPr>
                <w:rFonts w:ascii="Arial" w:hAnsi="Arial" w:cs="Arial"/>
                <w:sz w:val="14"/>
                <w:szCs w:val="14"/>
              </w:rPr>
            </w:pPr>
            <w:r w:rsidRPr="00697CF0">
              <w:rPr>
                <w:rFonts w:ascii="Arial" w:hAnsi="Arial" w:cs="Arial"/>
                <w:sz w:val="14"/>
                <w:szCs w:val="14"/>
              </w:rPr>
              <w:t> </w:t>
            </w:r>
          </w:p>
        </w:tc>
      </w:tr>
      <w:tr w:rsidR="00697CF0" w:rsidRPr="009537ED" w14:paraId="59D16550" w14:textId="77777777" w:rsidTr="00E013E9">
        <w:trPr>
          <w:trHeight w:val="20"/>
          <w:jc w:val="center"/>
        </w:trPr>
        <w:tc>
          <w:tcPr>
            <w:tcW w:w="1094" w:type="dxa"/>
          </w:tcPr>
          <w:p w14:paraId="64531A0F" w14:textId="57486BF9" w:rsidR="00697CF0" w:rsidRPr="00697CF0" w:rsidRDefault="005A18DC" w:rsidP="00697CF0">
            <w:pPr>
              <w:rPr>
                <w:rFonts w:ascii="Arial" w:hAnsi="Arial" w:cs="Arial"/>
                <w:bCs/>
                <w:sz w:val="14"/>
                <w:szCs w:val="14"/>
              </w:rPr>
            </w:pPr>
            <w:hyperlink r:id="rId2854" w:history="1">
              <w:r w:rsidR="00AF7253">
                <w:rPr>
                  <w:rStyle w:val="Hyperlink"/>
                  <w:rFonts w:ascii="Arial" w:hAnsi="Arial" w:cs="Arial"/>
                  <w:b/>
                  <w:bCs/>
                  <w:sz w:val="14"/>
                  <w:szCs w:val="14"/>
                </w:rPr>
                <w:t>R1-2310796</w:t>
              </w:r>
            </w:hyperlink>
          </w:p>
        </w:tc>
        <w:tc>
          <w:tcPr>
            <w:tcW w:w="2646" w:type="dxa"/>
          </w:tcPr>
          <w:p w14:paraId="631B8D4F" w14:textId="2362D06A" w:rsidR="00697CF0" w:rsidRPr="00697CF0" w:rsidRDefault="00697CF0" w:rsidP="00697CF0">
            <w:pPr>
              <w:rPr>
                <w:rFonts w:ascii="Arial" w:hAnsi="Arial" w:cs="Arial"/>
                <w:sz w:val="14"/>
                <w:szCs w:val="14"/>
              </w:rPr>
            </w:pPr>
            <w:r w:rsidRPr="00697CF0">
              <w:rPr>
                <w:rFonts w:ascii="Arial" w:hAnsi="Arial" w:cs="Arial"/>
                <w:sz w:val="14"/>
                <w:szCs w:val="14"/>
              </w:rPr>
              <w:t>Reply LS on determination of UL timing to transmit SRS for positioning by UEs in RRC_INACTIVE states</w:t>
            </w:r>
          </w:p>
        </w:tc>
        <w:tc>
          <w:tcPr>
            <w:tcW w:w="1583" w:type="dxa"/>
          </w:tcPr>
          <w:p w14:paraId="33090410" w14:textId="20E236C5" w:rsidR="00697CF0" w:rsidRPr="00697CF0" w:rsidRDefault="00697CF0" w:rsidP="00697CF0">
            <w:pPr>
              <w:rPr>
                <w:rFonts w:ascii="Arial" w:hAnsi="Arial" w:cs="Arial"/>
                <w:sz w:val="14"/>
                <w:szCs w:val="14"/>
              </w:rPr>
            </w:pPr>
            <w:r w:rsidRPr="00697CF0">
              <w:rPr>
                <w:rFonts w:ascii="Arial" w:hAnsi="Arial" w:cs="Arial"/>
                <w:sz w:val="14"/>
                <w:szCs w:val="14"/>
              </w:rPr>
              <w:t>RAN4, CMCC</w:t>
            </w:r>
          </w:p>
        </w:tc>
        <w:tc>
          <w:tcPr>
            <w:tcW w:w="909" w:type="dxa"/>
          </w:tcPr>
          <w:p w14:paraId="7BEDB705" w14:textId="215BE940" w:rsidR="00697CF0" w:rsidRPr="00697CF0" w:rsidRDefault="005A18DC" w:rsidP="00697CF0">
            <w:pPr>
              <w:rPr>
                <w:rFonts w:ascii="Arial" w:hAnsi="Arial" w:cs="Arial"/>
                <w:bCs/>
                <w:sz w:val="14"/>
                <w:szCs w:val="14"/>
              </w:rPr>
            </w:pPr>
            <w:hyperlink r:id="rId2855" w:history="1">
              <w:r w:rsidR="00697CF0" w:rsidRPr="00697CF0">
                <w:rPr>
                  <w:rStyle w:val="Hyperlink"/>
                  <w:rFonts w:ascii="Arial" w:hAnsi="Arial" w:cs="Arial"/>
                  <w:b/>
                  <w:bCs/>
                  <w:sz w:val="14"/>
                  <w:szCs w:val="14"/>
                </w:rPr>
                <w:t>Rel-18</w:t>
              </w:r>
            </w:hyperlink>
          </w:p>
        </w:tc>
        <w:tc>
          <w:tcPr>
            <w:tcW w:w="2600" w:type="dxa"/>
          </w:tcPr>
          <w:p w14:paraId="69933985" w14:textId="5E10133E" w:rsidR="00697CF0" w:rsidRPr="00697CF0" w:rsidRDefault="005A18DC" w:rsidP="00697CF0">
            <w:pPr>
              <w:rPr>
                <w:rFonts w:ascii="Arial" w:hAnsi="Arial" w:cs="Arial"/>
                <w:bCs/>
                <w:sz w:val="14"/>
                <w:szCs w:val="14"/>
              </w:rPr>
            </w:pPr>
            <w:hyperlink r:id="rId2856" w:history="1">
              <w:r w:rsidR="00697CF0" w:rsidRPr="00697CF0">
                <w:rPr>
                  <w:rStyle w:val="Hyperlink"/>
                  <w:rFonts w:ascii="Arial" w:hAnsi="Arial" w:cs="Arial"/>
                  <w:b/>
                  <w:bCs/>
                  <w:sz w:val="14"/>
                  <w:szCs w:val="14"/>
                </w:rPr>
                <w:t>NR_pos_enh2-Core</w:t>
              </w:r>
            </w:hyperlink>
          </w:p>
        </w:tc>
        <w:tc>
          <w:tcPr>
            <w:tcW w:w="1065" w:type="dxa"/>
          </w:tcPr>
          <w:p w14:paraId="50128326" w14:textId="60DD3A80" w:rsidR="00697CF0" w:rsidRPr="00697CF0" w:rsidRDefault="005A18DC" w:rsidP="00697CF0">
            <w:pPr>
              <w:rPr>
                <w:rFonts w:ascii="Arial" w:hAnsi="Arial" w:cs="Arial"/>
                <w:sz w:val="14"/>
                <w:szCs w:val="14"/>
              </w:rPr>
            </w:pPr>
            <w:hyperlink r:id="rId2857" w:history="1">
              <w:r w:rsidR="00AF7253">
                <w:rPr>
                  <w:rStyle w:val="Hyperlink"/>
                  <w:rFonts w:ascii="Arial" w:hAnsi="Arial" w:cs="Arial"/>
                  <w:sz w:val="14"/>
                  <w:szCs w:val="14"/>
                </w:rPr>
                <w:t>R1-2306248</w:t>
              </w:r>
            </w:hyperlink>
          </w:p>
        </w:tc>
        <w:tc>
          <w:tcPr>
            <w:tcW w:w="994" w:type="dxa"/>
          </w:tcPr>
          <w:p w14:paraId="713E2EDB" w14:textId="207A2817" w:rsidR="00697CF0" w:rsidRPr="00697CF0" w:rsidRDefault="00697CF0" w:rsidP="00697CF0">
            <w:pPr>
              <w:rPr>
                <w:rFonts w:ascii="Arial" w:hAnsi="Arial" w:cs="Arial"/>
                <w:sz w:val="14"/>
                <w:szCs w:val="14"/>
              </w:rPr>
            </w:pPr>
            <w:r w:rsidRPr="00697CF0">
              <w:rPr>
                <w:rFonts w:ascii="Arial" w:hAnsi="Arial" w:cs="Arial"/>
                <w:sz w:val="14"/>
                <w:szCs w:val="14"/>
              </w:rPr>
              <w:t>RAN1</w:t>
            </w:r>
          </w:p>
        </w:tc>
        <w:tc>
          <w:tcPr>
            <w:tcW w:w="994" w:type="dxa"/>
          </w:tcPr>
          <w:p w14:paraId="79987088" w14:textId="0960BA59" w:rsidR="00697CF0" w:rsidRPr="00697CF0" w:rsidRDefault="00697CF0" w:rsidP="00697CF0">
            <w:pPr>
              <w:rPr>
                <w:rFonts w:ascii="Arial" w:hAnsi="Arial" w:cs="Arial"/>
                <w:sz w:val="14"/>
                <w:szCs w:val="14"/>
              </w:rPr>
            </w:pPr>
            <w:r w:rsidRPr="00697CF0">
              <w:rPr>
                <w:rFonts w:ascii="Arial" w:hAnsi="Arial" w:cs="Arial"/>
                <w:sz w:val="14"/>
                <w:szCs w:val="14"/>
              </w:rPr>
              <w:t> </w:t>
            </w:r>
          </w:p>
        </w:tc>
        <w:tc>
          <w:tcPr>
            <w:tcW w:w="1120" w:type="dxa"/>
          </w:tcPr>
          <w:p w14:paraId="6821FDAD" w14:textId="5ED9A074" w:rsidR="00697CF0" w:rsidRPr="00697CF0" w:rsidRDefault="00697CF0" w:rsidP="00697CF0">
            <w:pPr>
              <w:rPr>
                <w:rFonts w:ascii="Arial" w:hAnsi="Arial" w:cs="Arial"/>
                <w:sz w:val="14"/>
                <w:szCs w:val="14"/>
              </w:rPr>
            </w:pPr>
            <w:r w:rsidRPr="00697CF0">
              <w:rPr>
                <w:rFonts w:ascii="Arial" w:hAnsi="Arial" w:cs="Arial"/>
                <w:sz w:val="14"/>
                <w:szCs w:val="14"/>
              </w:rPr>
              <w:t>R4-2317379</w:t>
            </w:r>
          </w:p>
        </w:tc>
        <w:tc>
          <w:tcPr>
            <w:tcW w:w="1062" w:type="dxa"/>
          </w:tcPr>
          <w:p w14:paraId="7B0DC1D1" w14:textId="5DED5DDA" w:rsidR="00697CF0" w:rsidRPr="00697CF0" w:rsidRDefault="00697CF0" w:rsidP="00697CF0">
            <w:pPr>
              <w:rPr>
                <w:rFonts w:ascii="Arial" w:hAnsi="Arial" w:cs="Arial"/>
                <w:sz w:val="14"/>
                <w:szCs w:val="14"/>
              </w:rPr>
            </w:pPr>
            <w:r w:rsidRPr="00697CF0">
              <w:rPr>
                <w:rFonts w:ascii="Arial" w:hAnsi="Arial" w:cs="Arial"/>
                <w:sz w:val="14"/>
                <w:szCs w:val="14"/>
              </w:rPr>
              <w:t> </w:t>
            </w:r>
          </w:p>
        </w:tc>
      </w:tr>
      <w:tr w:rsidR="00697CF0" w:rsidRPr="009537ED" w14:paraId="549DE98F" w14:textId="77777777" w:rsidTr="00E013E9">
        <w:trPr>
          <w:trHeight w:val="20"/>
          <w:jc w:val="center"/>
        </w:trPr>
        <w:tc>
          <w:tcPr>
            <w:tcW w:w="1094" w:type="dxa"/>
          </w:tcPr>
          <w:p w14:paraId="5128879A" w14:textId="74E23FC2" w:rsidR="00697CF0" w:rsidRPr="00697CF0" w:rsidRDefault="005A18DC" w:rsidP="00697CF0">
            <w:pPr>
              <w:rPr>
                <w:rFonts w:ascii="Arial" w:hAnsi="Arial" w:cs="Arial"/>
                <w:sz w:val="14"/>
                <w:szCs w:val="14"/>
              </w:rPr>
            </w:pPr>
            <w:hyperlink r:id="rId2858" w:history="1">
              <w:r w:rsidR="00AF7253">
                <w:rPr>
                  <w:rStyle w:val="Hyperlink"/>
                  <w:rFonts w:ascii="Arial" w:hAnsi="Arial" w:cs="Arial"/>
                  <w:b/>
                  <w:bCs/>
                  <w:sz w:val="14"/>
                  <w:szCs w:val="14"/>
                </w:rPr>
                <w:t>R1-2310797</w:t>
              </w:r>
            </w:hyperlink>
          </w:p>
        </w:tc>
        <w:tc>
          <w:tcPr>
            <w:tcW w:w="2646" w:type="dxa"/>
          </w:tcPr>
          <w:p w14:paraId="1AE6FB1C" w14:textId="1E3F6B38" w:rsidR="00697CF0" w:rsidRPr="00697CF0" w:rsidRDefault="00697CF0" w:rsidP="00697CF0">
            <w:pPr>
              <w:rPr>
                <w:rFonts w:ascii="Arial" w:hAnsi="Arial" w:cs="Arial"/>
                <w:sz w:val="14"/>
                <w:szCs w:val="14"/>
              </w:rPr>
            </w:pPr>
            <w:r w:rsidRPr="00697CF0">
              <w:rPr>
                <w:rFonts w:ascii="Arial" w:hAnsi="Arial" w:cs="Arial"/>
                <w:sz w:val="14"/>
                <w:szCs w:val="14"/>
              </w:rPr>
              <w:t>Reply LS to RAN1 on SRS and PRS bandwidth aggregation for positioning</w:t>
            </w:r>
          </w:p>
        </w:tc>
        <w:tc>
          <w:tcPr>
            <w:tcW w:w="1583" w:type="dxa"/>
          </w:tcPr>
          <w:p w14:paraId="2A3C24AF" w14:textId="0200F4BA" w:rsidR="00697CF0" w:rsidRPr="00697CF0" w:rsidRDefault="00697CF0" w:rsidP="00697CF0">
            <w:pPr>
              <w:rPr>
                <w:rFonts w:ascii="Arial" w:hAnsi="Arial" w:cs="Arial"/>
                <w:sz w:val="14"/>
                <w:szCs w:val="14"/>
              </w:rPr>
            </w:pPr>
            <w:r w:rsidRPr="00697CF0">
              <w:rPr>
                <w:rFonts w:ascii="Arial" w:hAnsi="Arial" w:cs="Arial"/>
                <w:sz w:val="14"/>
                <w:szCs w:val="14"/>
              </w:rPr>
              <w:t>RAN4, ZTE Corporation</w:t>
            </w:r>
          </w:p>
        </w:tc>
        <w:tc>
          <w:tcPr>
            <w:tcW w:w="909" w:type="dxa"/>
          </w:tcPr>
          <w:p w14:paraId="60581A4D" w14:textId="79B92B94" w:rsidR="00697CF0" w:rsidRPr="00697CF0" w:rsidRDefault="005A18DC" w:rsidP="00697CF0">
            <w:pPr>
              <w:rPr>
                <w:rFonts w:ascii="Arial" w:hAnsi="Arial" w:cs="Arial"/>
                <w:sz w:val="14"/>
                <w:szCs w:val="14"/>
              </w:rPr>
            </w:pPr>
            <w:hyperlink r:id="rId2859" w:history="1">
              <w:r w:rsidR="00697CF0" w:rsidRPr="00697CF0">
                <w:rPr>
                  <w:rStyle w:val="Hyperlink"/>
                  <w:rFonts w:ascii="Arial" w:hAnsi="Arial" w:cs="Arial"/>
                  <w:b/>
                  <w:bCs/>
                  <w:sz w:val="14"/>
                  <w:szCs w:val="14"/>
                </w:rPr>
                <w:t>Rel-18</w:t>
              </w:r>
            </w:hyperlink>
          </w:p>
        </w:tc>
        <w:tc>
          <w:tcPr>
            <w:tcW w:w="2600" w:type="dxa"/>
          </w:tcPr>
          <w:p w14:paraId="2EF5D5D0" w14:textId="4FC9CCD2" w:rsidR="00697CF0" w:rsidRPr="00697CF0" w:rsidRDefault="005A18DC" w:rsidP="00697CF0">
            <w:pPr>
              <w:rPr>
                <w:rFonts w:ascii="Arial" w:hAnsi="Arial" w:cs="Arial"/>
                <w:sz w:val="14"/>
                <w:szCs w:val="14"/>
              </w:rPr>
            </w:pPr>
            <w:hyperlink r:id="rId2860" w:history="1">
              <w:r w:rsidR="00697CF0" w:rsidRPr="00697CF0">
                <w:rPr>
                  <w:rStyle w:val="Hyperlink"/>
                  <w:rFonts w:ascii="Arial" w:hAnsi="Arial" w:cs="Arial"/>
                  <w:b/>
                  <w:bCs/>
                  <w:sz w:val="14"/>
                  <w:szCs w:val="14"/>
                </w:rPr>
                <w:t>NR_pos_enh2-Core</w:t>
              </w:r>
            </w:hyperlink>
          </w:p>
        </w:tc>
        <w:tc>
          <w:tcPr>
            <w:tcW w:w="1065" w:type="dxa"/>
          </w:tcPr>
          <w:p w14:paraId="28185E3C" w14:textId="35653E03" w:rsidR="00697CF0" w:rsidRPr="00697CF0" w:rsidRDefault="005A18DC" w:rsidP="00697CF0">
            <w:pPr>
              <w:rPr>
                <w:rFonts w:ascii="Arial" w:hAnsi="Arial" w:cs="Arial"/>
                <w:sz w:val="14"/>
                <w:szCs w:val="14"/>
              </w:rPr>
            </w:pPr>
            <w:hyperlink r:id="rId2861" w:history="1">
              <w:r w:rsidR="00AF7253">
                <w:rPr>
                  <w:rStyle w:val="Hyperlink"/>
                  <w:rFonts w:ascii="Arial" w:hAnsi="Arial" w:cs="Arial"/>
                  <w:sz w:val="14"/>
                  <w:szCs w:val="14"/>
                </w:rPr>
                <w:t>R1-2306216</w:t>
              </w:r>
            </w:hyperlink>
          </w:p>
        </w:tc>
        <w:tc>
          <w:tcPr>
            <w:tcW w:w="994" w:type="dxa"/>
          </w:tcPr>
          <w:p w14:paraId="49E3FD30" w14:textId="6387381B" w:rsidR="00697CF0" w:rsidRPr="00697CF0" w:rsidRDefault="00697CF0" w:rsidP="00697CF0">
            <w:pPr>
              <w:rPr>
                <w:rFonts w:ascii="Arial" w:hAnsi="Arial" w:cs="Arial"/>
                <w:sz w:val="14"/>
                <w:szCs w:val="14"/>
              </w:rPr>
            </w:pPr>
            <w:r w:rsidRPr="00697CF0">
              <w:rPr>
                <w:rFonts w:ascii="Arial" w:hAnsi="Arial" w:cs="Arial"/>
                <w:sz w:val="14"/>
                <w:szCs w:val="14"/>
              </w:rPr>
              <w:t>RAN1</w:t>
            </w:r>
          </w:p>
        </w:tc>
        <w:tc>
          <w:tcPr>
            <w:tcW w:w="994" w:type="dxa"/>
          </w:tcPr>
          <w:p w14:paraId="4A74E8AA" w14:textId="55805879" w:rsidR="00697CF0" w:rsidRPr="00697CF0" w:rsidRDefault="00697CF0" w:rsidP="00697CF0">
            <w:pPr>
              <w:rPr>
                <w:rFonts w:ascii="Arial" w:hAnsi="Arial" w:cs="Arial"/>
                <w:sz w:val="14"/>
                <w:szCs w:val="14"/>
              </w:rPr>
            </w:pPr>
            <w:r w:rsidRPr="00697CF0">
              <w:rPr>
                <w:rFonts w:ascii="Arial" w:hAnsi="Arial" w:cs="Arial"/>
                <w:sz w:val="14"/>
                <w:szCs w:val="14"/>
              </w:rPr>
              <w:t>RAN2, RAN3</w:t>
            </w:r>
          </w:p>
        </w:tc>
        <w:tc>
          <w:tcPr>
            <w:tcW w:w="1120" w:type="dxa"/>
          </w:tcPr>
          <w:p w14:paraId="020E8D84" w14:textId="37CEECAE" w:rsidR="00697CF0" w:rsidRPr="00697CF0" w:rsidRDefault="00697CF0" w:rsidP="00697CF0">
            <w:pPr>
              <w:rPr>
                <w:rFonts w:ascii="Arial" w:hAnsi="Arial" w:cs="Arial"/>
                <w:sz w:val="14"/>
                <w:szCs w:val="14"/>
              </w:rPr>
            </w:pPr>
            <w:r w:rsidRPr="00697CF0">
              <w:rPr>
                <w:rFonts w:ascii="Arial" w:hAnsi="Arial" w:cs="Arial"/>
                <w:sz w:val="14"/>
                <w:szCs w:val="14"/>
              </w:rPr>
              <w:t>R4-2317389</w:t>
            </w:r>
          </w:p>
        </w:tc>
        <w:tc>
          <w:tcPr>
            <w:tcW w:w="1062" w:type="dxa"/>
          </w:tcPr>
          <w:p w14:paraId="0357A692" w14:textId="185A9712" w:rsidR="00697CF0" w:rsidRPr="00697CF0" w:rsidRDefault="00697CF0" w:rsidP="00697CF0">
            <w:pPr>
              <w:rPr>
                <w:rFonts w:ascii="Arial" w:hAnsi="Arial" w:cs="Arial"/>
                <w:sz w:val="14"/>
                <w:szCs w:val="14"/>
              </w:rPr>
            </w:pPr>
            <w:r w:rsidRPr="00697CF0">
              <w:rPr>
                <w:rFonts w:ascii="Arial" w:hAnsi="Arial" w:cs="Arial"/>
                <w:sz w:val="14"/>
                <w:szCs w:val="14"/>
              </w:rPr>
              <w:t> </w:t>
            </w:r>
          </w:p>
        </w:tc>
      </w:tr>
      <w:tr w:rsidR="00697CF0" w:rsidRPr="009537ED" w14:paraId="2B909908" w14:textId="77777777" w:rsidTr="009F368E">
        <w:trPr>
          <w:trHeight w:val="20"/>
          <w:jc w:val="center"/>
        </w:trPr>
        <w:tc>
          <w:tcPr>
            <w:tcW w:w="1094" w:type="dxa"/>
          </w:tcPr>
          <w:p w14:paraId="5C2D40CD" w14:textId="6CB67299" w:rsidR="00697CF0" w:rsidRPr="00697CF0" w:rsidRDefault="005A18DC" w:rsidP="00697CF0">
            <w:pPr>
              <w:rPr>
                <w:rFonts w:ascii="Arial" w:hAnsi="Arial" w:cs="Arial"/>
                <w:bCs/>
                <w:sz w:val="14"/>
                <w:szCs w:val="14"/>
              </w:rPr>
            </w:pPr>
            <w:hyperlink r:id="rId2862" w:history="1">
              <w:r w:rsidR="00AF7253">
                <w:rPr>
                  <w:rStyle w:val="Hyperlink"/>
                  <w:rFonts w:ascii="Arial" w:hAnsi="Arial" w:cs="Arial"/>
                  <w:b/>
                  <w:bCs/>
                  <w:sz w:val="14"/>
                  <w:szCs w:val="14"/>
                </w:rPr>
                <w:t>R1-2310798</w:t>
              </w:r>
            </w:hyperlink>
          </w:p>
        </w:tc>
        <w:tc>
          <w:tcPr>
            <w:tcW w:w="2646" w:type="dxa"/>
          </w:tcPr>
          <w:p w14:paraId="4F1BCE91" w14:textId="63819B52" w:rsidR="00697CF0" w:rsidRPr="00697CF0" w:rsidRDefault="00697CF0" w:rsidP="00697CF0">
            <w:pPr>
              <w:rPr>
                <w:rFonts w:ascii="Arial" w:hAnsi="Arial" w:cs="Arial"/>
                <w:sz w:val="14"/>
                <w:szCs w:val="14"/>
              </w:rPr>
            </w:pPr>
            <w:r w:rsidRPr="00697CF0">
              <w:rPr>
                <w:rFonts w:ascii="Arial" w:hAnsi="Arial" w:cs="Arial"/>
                <w:sz w:val="14"/>
                <w:szCs w:val="14"/>
              </w:rPr>
              <w:t>LS on SL positioning and carrier phase positioning measurements</w:t>
            </w:r>
          </w:p>
        </w:tc>
        <w:tc>
          <w:tcPr>
            <w:tcW w:w="1583" w:type="dxa"/>
          </w:tcPr>
          <w:p w14:paraId="78D05F33" w14:textId="7E308030" w:rsidR="00697CF0" w:rsidRPr="00697CF0" w:rsidRDefault="00697CF0" w:rsidP="00697CF0">
            <w:pPr>
              <w:rPr>
                <w:rFonts w:ascii="Arial" w:hAnsi="Arial" w:cs="Arial"/>
                <w:sz w:val="14"/>
                <w:szCs w:val="14"/>
              </w:rPr>
            </w:pPr>
            <w:r w:rsidRPr="00697CF0">
              <w:rPr>
                <w:rFonts w:ascii="Arial" w:hAnsi="Arial" w:cs="Arial"/>
                <w:sz w:val="14"/>
                <w:szCs w:val="14"/>
              </w:rPr>
              <w:t>RAN4, CATT</w:t>
            </w:r>
          </w:p>
        </w:tc>
        <w:tc>
          <w:tcPr>
            <w:tcW w:w="909" w:type="dxa"/>
          </w:tcPr>
          <w:p w14:paraId="6CE10F27" w14:textId="25B2A4C1" w:rsidR="00697CF0" w:rsidRPr="00697CF0" w:rsidRDefault="005A18DC" w:rsidP="00697CF0">
            <w:pPr>
              <w:rPr>
                <w:rFonts w:ascii="Arial" w:hAnsi="Arial" w:cs="Arial"/>
                <w:bCs/>
                <w:sz w:val="14"/>
                <w:szCs w:val="14"/>
              </w:rPr>
            </w:pPr>
            <w:hyperlink r:id="rId2863" w:history="1">
              <w:r w:rsidR="00697CF0" w:rsidRPr="00697CF0">
                <w:rPr>
                  <w:rStyle w:val="Hyperlink"/>
                  <w:rFonts w:ascii="Arial" w:hAnsi="Arial" w:cs="Arial"/>
                  <w:b/>
                  <w:bCs/>
                  <w:sz w:val="14"/>
                  <w:szCs w:val="14"/>
                </w:rPr>
                <w:t>Rel-18</w:t>
              </w:r>
            </w:hyperlink>
          </w:p>
        </w:tc>
        <w:tc>
          <w:tcPr>
            <w:tcW w:w="2600" w:type="dxa"/>
          </w:tcPr>
          <w:p w14:paraId="110F2D1A" w14:textId="51674891" w:rsidR="00697CF0" w:rsidRPr="00697CF0" w:rsidRDefault="005A18DC" w:rsidP="00697CF0">
            <w:pPr>
              <w:rPr>
                <w:rFonts w:ascii="Arial" w:hAnsi="Arial" w:cs="Arial"/>
                <w:bCs/>
                <w:sz w:val="14"/>
                <w:szCs w:val="14"/>
              </w:rPr>
            </w:pPr>
            <w:hyperlink r:id="rId2864" w:history="1">
              <w:r w:rsidR="00697CF0" w:rsidRPr="00697CF0">
                <w:rPr>
                  <w:rStyle w:val="Hyperlink"/>
                  <w:rFonts w:ascii="Arial" w:hAnsi="Arial" w:cs="Arial"/>
                  <w:b/>
                  <w:bCs/>
                  <w:sz w:val="14"/>
                  <w:szCs w:val="14"/>
                </w:rPr>
                <w:t>NR_pos_enh2-Core</w:t>
              </w:r>
            </w:hyperlink>
          </w:p>
        </w:tc>
        <w:tc>
          <w:tcPr>
            <w:tcW w:w="1065" w:type="dxa"/>
          </w:tcPr>
          <w:p w14:paraId="0E420182" w14:textId="0257D552" w:rsidR="00697CF0" w:rsidRPr="00697CF0" w:rsidRDefault="00697CF0" w:rsidP="00697CF0">
            <w:pPr>
              <w:rPr>
                <w:rFonts w:ascii="Arial" w:hAnsi="Arial" w:cs="Arial"/>
                <w:sz w:val="14"/>
                <w:szCs w:val="14"/>
              </w:rPr>
            </w:pPr>
            <w:r w:rsidRPr="00697CF0">
              <w:rPr>
                <w:rFonts w:ascii="Arial" w:hAnsi="Arial" w:cs="Arial"/>
                <w:sz w:val="14"/>
                <w:szCs w:val="14"/>
              </w:rPr>
              <w:t> </w:t>
            </w:r>
          </w:p>
        </w:tc>
        <w:tc>
          <w:tcPr>
            <w:tcW w:w="994" w:type="dxa"/>
          </w:tcPr>
          <w:p w14:paraId="1540A182" w14:textId="7E9F5AD1" w:rsidR="00697CF0" w:rsidRPr="00697CF0" w:rsidRDefault="00697CF0" w:rsidP="00697CF0">
            <w:pPr>
              <w:rPr>
                <w:rFonts w:ascii="Arial" w:hAnsi="Arial" w:cs="Arial"/>
                <w:sz w:val="14"/>
                <w:szCs w:val="14"/>
              </w:rPr>
            </w:pPr>
            <w:r w:rsidRPr="00697CF0">
              <w:rPr>
                <w:rFonts w:ascii="Arial" w:hAnsi="Arial" w:cs="Arial"/>
                <w:sz w:val="14"/>
                <w:szCs w:val="14"/>
              </w:rPr>
              <w:t>RAN1, RAN2, RAN3</w:t>
            </w:r>
          </w:p>
        </w:tc>
        <w:tc>
          <w:tcPr>
            <w:tcW w:w="994" w:type="dxa"/>
          </w:tcPr>
          <w:p w14:paraId="6B80C46D" w14:textId="426BEE54" w:rsidR="00697CF0" w:rsidRPr="00697CF0" w:rsidRDefault="00697CF0" w:rsidP="00697CF0">
            <w:pPr>
              <w:rPr>
                <w:rFonts w:ascii="Arial" w:hAnsi="Arial" w:cs="Arial"/>
                <w:sz w:val="14"/>
                <w:szCs w:val="14"/>
              </w:rPr>
            </w:pPr>
            <w:r w:rsidRPr="00697CF0">
              <w:rPr>
                <w:rFonts w:ascii="Arial" w:hAnsi="Arial" w:cs="Arial"/>
                <w:sz w:val="14"/>
                <w:szCs w:val="14"/>
              </w:rPr>
              <w:t> </w:t>
            </w:r>
          </w:p>
        </w:tc>
        <w:tc>
          <w:tcPr>
            <w:tcW w:w="1120" w:type="dxa"/>
          </w:tcPr>
          <w:p w14:paraId="45FC7F63" w14:textId="41A2D45F" w:rsidR="00697CF0" w:rsidRPr="00697CF0" w:rsidRDefault="00697CF0" w:rsidP="00697CF0">
            <w:pPr>
              <w:rPr>
                <w:rFonts w:ascii="Arial" w:hAnsi="Arial" w:cs="Arial"/>
                <w:sz w:val="14"/>
                <w:szCs w:val="14"/>
              </w:rPr>
            </w:pPr>
            <w:r w:rsidRPr="00697CF0">
              <w:rPr>
                <w:rFonts w:ascii="Arial" w:hAnsi="Arial" w:cs="Arial"/>
                <w:sz w:val="14"/>
                <w:szCs w:val="14"/>
              </w:rPr>
              <w:t>R4-2317391</w:t>
            </w:r>
          </w:p>
        </w:tc>
        <w:tc>
          <w:tcPr>
            <w:tcW w:w="1062" w:type="dxa"/>
          </w:tcPr>
          <w:p w14:paraId="02AFC120" w14:textId="1EBA21C5" w:rsidR="00697CF0" w:rsidRPr="00697CF0" w:rsidRDefault="00697CF0" w:rsidP="00697CF0">
            <w:pPr>
              <w:rPr>
                <w:rFonts w:ascii="Arial" w:hAnsi="Arial" w:cs="Arial"/>
                <w:sz w:val="14"/>
                <w:szCs w:val="14"/>
              </w:rPr>
            </w:pPr>
            <w:r w:rsidRPr="00697CF0">
              <w:rPr>
                <w:rFonts w:ascii="Arial" w:hAnsi="Arial" w:cs="Arial"/>
                <w:sz w:val="14"/>
                <w:szCs w:val="14"/>
              </w:rPr>
              <w:t> </w:t>
            </w:r>
          </w:p>
        </w:tc>
      </w:tr>
      <w:tr w:rsidR="00697CF0" w:rsidRPr="009537ED" w14:paraId="0E56885E" w14:textId="77777777" w:rsidTr="009F368E">
        <w:trPr>
          <w:trHeight w:val="20"/>
          <w:jc w:val="center"/>
        </w:trPr>
        <w:tc>
          <w:tcPr>
            <w:tcW w:w="1094" w:type="dxa"/>
          </w:tcPr>
          <w:p w14:paraId="654B886B" w14:textId="09A075EE" w:rsidR="00697CF0" w:rsidRPr="00697CF0" w:rsidRDefault="005A18DC" w:rsidP="00697CF0">
            <w:pPr>
              <w:rPr>
                <w:rFonts w:ascii="Arial" w:hAnsi="Arial" w:cs="Arial"/>
                <w:bCs/>
                <w:sz w:val="14"/>
                <w:szCs w:val="14"/>
              </w:rPr>
            </w:pPr>
            <w:hyperlink r:id="rId2865" w:history="1">
              <w:r w:rsidR="00AF7253">
                <w:rPr>
                  <w:rStyle w:val="Hyperlink"/>
                  <w:rFonts w:ascii="Arial" w:hAnsi="Arial" w:cs="Arial"/>
                  <w:b/>
                  <w:bCs/>
                  <w:sz w:val="14"/>
                  <w:szCs w:val="14"/>
                </w:rPr>
                <w:t>R1-2310799</w:t>
              </w:r>
            </w:hyperlink>
          </w:p>
        </w:tc>
        <w:tc>
          <w:tcPr>
            <w:tcW w:w="2646" w:type="dxa"/>
          </w:tcPr>
          <w:p w14:paraId="1DBD70C7" w14:textId="6BC8A2B6" w:rsidR="00697CF0" w:rsidRPr="00697CF0" w:rsidRDefault="00697CF0" w:rsidP="00697CF0">
            <w:pPr>
              <w:rPr>
                <w:rFonts w:ascii="Arial" w:hAnsi="Arial" w:cs="Arial"/>
                <w:sz w:val="14"/>
                <w:szCs w:val="14"/>
              </w:rPr>
            </w:pPr>
            <w:r w:rsidRPr="00697CF0">
              <w:rPr>
                <w:rFonts w:ascii="Arial" w:hAnsi="Arial" w:cs="Arial"/>
                <w:sz w:val="14"/>
                <w:szCs w:val="14"/>
              </w:rPr>
              <w:t>LS on conclusions on BWP operation without restriction</w:t>
            </w:r>
          </w:p>
        </w:tc>
        <w:tc>
          <w:tcPr>
            <w:tcW w:w="1583" w:type="dxa"/>
          </w:tcPr>
          <w:p w14:paraId="079C3818" w14:textId="0B17136F" w:rsidR="00697CF0" w:rsidRPr="00697CF0" w:rsidRDefault="00697CF0" w:rsidP="00697CF0">
            <w:pPr>
              <w:rPr>
                <w:rFonts w:ascii="Arial" w:hAnsi="Arial" w:cs="Arial"/>
                <w:sz w:val="14"/>
                <w:szCs w:val="14"/>
              </w:rPr>
            </w:pPr>
            <w:r w:rsidRPr="00697CF0">
              <w:rPr>
                <w:rFonts w:ascii="Arial" w:hAnsi="Arial" w:cs="Arial"/>
                <w:sz w:val="14"/>
                <w:szCs w:val="14"/>
              </w:rPr>
              <w:t>RAN4, vivo, Vodafone</w:t>
            </w:r>
          </w:p>
        </w:tc>
        <w:tc>
          <w:tcPr>
            <w:tcW w:w="909" w:type="dxa"/>
          </w:tcPr>
          <w:p w14:paraId="0F20B43C" w14:textId="0F5151C8" w:rsidR="00697CF0" w:rsidRPr="00697CF0" w:rsidRDefault="005A18DC" w:rsidP="00697CF0">
            <w:pPr>
              <w:rPr>
                <w:rFonts w:ascii="Arial" w:hAnsi="Arial" w:cs="Arial"/>
                <w:bCs/>
                <w:sz w:val="14"/>
                <w:szCs w:val="14"/>
              </w:rPr>
            </w:pPr>
            <w:hyperlink r:id="rId2866" w:history="1">
              <w:r w:rsidR="00697CF0" w:rsidRPr="00697CF0">
                <w:rPr>
                  <w:rStyle w:val="Hyperlink"/>
                  <w:rFonts w:ascii="Arial" w:hAnsi="Arial" w:cs="Arial"/>
                  <w:b/>
                  <w:bCs/>
                  <w:sz w:val="14"/>
                  <w:szCs w:val="14"/>
                </w:rPr>
                <w:t>Rel-18</w:t>
              </w:r>
            </w:hyperlink>
          </w:p>
        </w:tc>
        <w:tc>
          <w:tcPr>
            <w:tcW w:w="2600" w:type="dxa"/>
          </w:tcPr>
          <w:p w14:paraId="74AF0828" w14:textId="3DBB31EF" w:rsidR="00697CF0" w:rsidRPr="00697CF0" w:rsidRDefault="005A18DC" w:rsidP="00697CF0">
            <w:pPr>
              <w:rPr>
                <w:rFonts w:ascii="Arial" w:hAnsi="Arial" w:cs="Arial"/>
                <w:bCs/>
                <w:sz w:val="14"/>
                <w:szCs w:val="14"/>
              </w:rPr>
            </w:pPr>
            <w:hyperlink r:id="rId2867" w:history="1">
              <w:r w:rsidR="00697CF0" w:rsidRPr="00697CF0">
                <w:rPr>
                  <w:rStyle w:val="Hyperlink"/>
                  <w:rFonts w:ascii="Arial" w:hAnsi="Arial" w:cs="Arial"/>
                  <w:b/>
                  <w:bCs/>
                  <w:sz w:val="14"/>
                  <w:szCs w:val="14"/>
                </w:rPr>
                <w:t>NR_BWP_wor-Core</w:t>
              </w:r>
            </w:hyperlink>
          </w:p>
        </w:tc>
        <w:tc>
          <w:tcPr>
            <w:tcW w:w="1065" w:type="dxa"/>
          </w:tcPr>
          <w:p w14:paraId="79D8E6BB" w14:textId="51777437" w:rsidR="00697CF0" w:rsidRPr="00697CF0" w:rsidRDefault="00697CF0" w:rsidP="00697CF0">
            <w:pPr>
              <w:rPr>
                <w:rFonts w:ascii="Arial" w:hAnsi="Arial" w:cs="Arial"/>
                <w:sz w:val="14"/>
                <w:szCs w:val="14"/>
              </w:rPr>
            </w:pPr>
            <w:r w:rsidRPr="00697CF0">
              <w:rPr>
                <w:rFonts w:ascii="Arial" w:hAnsi="Arial" w:cs="Arial"/>
                <w:sz w:val="14"/>
                <w:szCs w:val="14"/>
              </w:rPr>
              <w:t> </w:t>
            </w:r>
          </w:p>
        </w:tc>
        <w:tc>
          <w:tcPr>
            <w:tcW w:w="994" w:type="dxa"/>
          </w:tcPr>
          <w:p w14:paraId="11188C0C" w14:textId="6EB24C60" w:rsidR="00697CF0" w:rsidRPr="00697CF0" w:rsidRDefault="00697CF0" w:rsidP="00697CF0">
            <w:pPr>
              <w:rPr>
                <w:rFonts w:ascii="Arial" w:hAnsi="Arial" w:cs="Arial"/>
                <w:sz w:val="14"/>
                <w:szCs w:val="14"/>
              </w:rPr>
            </w:pPr>
            <w:r w:rsidRPr="00697CF0">
              <w:rPr>
                <w:rFonts w:ascii="Arial" w:hAnsi="Arial" w:cs="Arial"/>
                <w:sz w:val="14"/>
                <w:szCs w:val="14"/>
              </w:rPr>
              <w:t>RAN2, RAN1</w:t>
            </w:r>
          </w:p>
        </w:tc>
        <w:tc>
          <w:tcPr>
            <w:tcW w:w="994" w:type="dxa"/>
          </w:tcPr>
          <w:p w14:paraId="75C1626D" w14:textId="4928FC61" w:rsidR="00697CF0" w:rsidRPr="00697CF0" w:rsidRDefault="00697CF0" w:rsidP="00697CF0">
            <w:pPr>
              <w:rPr>
                <w:rFonts w:ascii="Arial" w:hAnsi="Arial" w:cs="Arial"/>
                <w:sz w:val="14"/>
                <w:szCs w:val="14"/>
              </w:rPr>
            </w:pPr>
            <w:r w:rsidRPr="00697CF0">
              <w:rPr>
                <w:rFonts w:ascii="Arial" w:hAnsi="Arial" w:cs="Arial"/>
                <w:sz w:val="14"/>
                <w:szCs w:val="14"/>
              </w:rPr>
              <w:t> </w:t>
            </w:r>
          </w:p>
        </w:tc>
        <w:tc>
          <w:tcPr>
            <w:tcW w:w="1120" w:type="dxa"/>
          </w:tcPr>
          <w:p w14:paraId="16E9E709" w14:textId="4466F8AB" w:rsidR="00697CF0" w:rsidRPr="00697CF0" w:rsidRDefault="00697CF0" w:rsidP="00697CF0">
            <w:pPr>
              <w:rPr>
                <w:rFonts w:ascii="Arial" w:hAnsi="Arial" w:cs="Arial"/>
                <w:sz w:val="14"/>
                <w:szCs w:val="14"/>
              </w:rPr>
            </w:pPr>
            <w:r w:rsidRPr="00697CF0">
              <w:rPr>
                <w:rFonts w:ascii="Arial" w:hAnsi="Arial" w:cs="Arial"/>
                <w:sz w:val="14"/>
                <w:szCs w:val="14"/>
              </w:rPr>
              <w:t>R4-2317430</w:t>
            </w:r>
          </w:p>
        </w:tc>
        <w:tc>
          <w:tcPr>
            <w:tcW w:w="1062" w:type="dxa"/>
          </w:tcPr>
          <w:p w14:paraId="26510C6D" w14:textId="3D5E9362" w:rsidR="00697CF0" w:rsidRPr="00697CF0" w:rsidRDefault="00697CF0" w:rsidP="00697CF0">
            <w:pPr>
              <w:rPr>
                <w:rFonts w:ascii="Arial" w:hAnsi="Arial" w:cs="Arial"/>
                <w:sz w:val="14"/>
                <w:szCs w:val="14"/>
              </w:rPr>
            </w:pPr>
            <w:r w:rsidRPr="00697CF0">
              <w:rPr>
                <w:rFonts w:ascii="Arial" w:hAnsi="Arial" w:cs="Arial"/>
                <w:sz w:val="14"/>
                <w:szCs w:val="14"/>
              </w:rPr>
              <w:t> </w:t>
            </w:r>
          </w:p>
        </w:tc>
      </w:tr>
      <w:tr w:rsidR="00697CF0" w:rsidRPr="009537ED" w14:paraId="4A030488" w14:textId="77777777" w:rsidTr="009F368E">
        <w:trPr>
          <w:trHeight w:val="20"/>
          <w:jc w:val="center"/>
        </w:trPr>
        <w:tc>
          <w:tcPr>
            <w:tcW w:w="1094" w:type="dxa"/>
          </w:tcPr>
          <w:p w14:paraId="28BA3EAA" w14:textId="2EA4EB01" w:rsidR="00697CF0" w:rsidRPr="00697CF0" w:rsidRDefault="005A18DC" w:rsidP="00697CF0">
            <w:pPr>
              <w:rPr>
                <w:rFonts w:ascii="Arial" w:hAnsi="Arial" w:cs="Arial"/>
                <w:bCs/>
                <w:sz w:val="14"/>
                <w:szCs w:val="14"/>
              </w:rPr>
            </w:pPr>
            <w:hyperlink r:id="rId2868" w:history="1">
              <w:r w:rsidR="00AF7253">
                <w:rPr>
                  <w:rStyle w:val="Hyperlink"/>
                  <w:rFonts w:ascii="Arial" w:hAnsi="Arial" w:cs="Arial"/>
                  <w:b/>
                  <w:bCs/>
                  <w:sz w:val="14"/>
                  <w:szCs w:val="14"/>
                </w:rPr>
                <w:t>R1-2310800</w:t>
              </w:r>
            </w:hyperlink>
          </w:p>
        </w:tc>
        <w:tc>
          <w:tcPr>
            <w:tcW w:w="2646" w:type="dxa"/>
          </w:tcPr>
          <w:p w14:paraId="0C02C24C" w14:textId="3A9BA0F2" w:rsidR="00697CF0" w:rsidRPr="00697CF0" w:rsidRDefault="00697CF0" w:rsidP="00697CF0">
            <w:pPr>
              <w:rPr>
                <w:rFonts w:ascii="Arial" w:hAnsi="Arial" w:cs="Arial"/>
                <w:sz w:val="14"/>
                <w:szCs w:val="14"/>
              </w:rPr>
            </w:pPr>
            <w:r w:rsidRPr="00697CF0">
              <w:rPr>
                <w:rFonts w:ascii="Arial" w:hAnsi="Arial" w:cs="Arial"/>
                <w:sz w:val="14"/>
                <w:szCs w:val="14"/>
              </w:rPr>
              <w:t>LS reply on further clarifications on enhancements to realize increasing UE power high limit for CA and DC</w:t>
            </w:r>
          </w:p>
        </w:tc>
        <w:tc>
          <w:tcPr>
            <w:tcW w:w="1583" w:type="dxa"/>
          </w:tcPr>
          <w:p w14:paraId="60E49C79" w14:textId="7F7A3941" w:rsidR="00697CF0" w:rsidRPr="00697CF0" w:rsidRDefault="00697CF0" w:rsidP="00697CF0">
            <w:pPr>
              <w:rPr>
                <w:rFonts w:ascii="Arial" w:hAnsi="Arial" w:cs="Arial"/>
                <w:sz w:val="14"/>
                <w:szCs w:val="14"/>
              </w:rPr>
            </w:pPr>
            <w:r w:rsidRPr="00697CF0">
              <w:rPr>
                <w:rFonts w:ascii="Arial" w:hAnsi="Arial" w:cs="Arial"/>
                <w:sz w:val="14"/>
                <w:szCs w:val="14"/>
              </w:rPr>
              <w:t>RAN4, Huawei</w:t>
            </w:r>
          </w:p>
        </w:tc>
        <w:tc>
          <w:tcPr>
            <w:tcW w:w="909" w:type="dxa"/>
          </w:tcPr>
          <w:p w14:paraId="3D53B702" w14:textId="0EF36E8C" w:rsidR="00697CF0" w:rsidRPr="00697CF0" w:rsidRDefault="005A18DC" w:rsidP="00697CF0">
            <w:pPr>
              <w:rPr>
                <w:rFonts w:ascii="Arial" w:hAnsi="Arial" w:cs="Arial"/>
                <w:bCs/>
                <w:sz w:val="14"/>
                <w:szCs w:val="14"/>
              </w:rPr>
            </w:pPr>
            <w:hyperlink r:id="rId2869" w:history="1">
              <w:r w:rsidR="00697CF0" w:rsidRPr="00697CF0">
                <w:rPr>
                  <w:rStyle w:val="Hyperlink"/>
                  <w:rFonts w:ascii="Arial" w:hAnsi="Arial" w:cs="Arial"/>
                  <w:b/>
                  <w:bCs/>
                  <w:sz w:val="14"/>
                  <w:szCs w:val="14"/>
                </w:rPr>
                <w:t>Rel-18</w:t>
              </w:r>
            </w:hyperlink>
          </w:p>
        </w:tc>
        <w:tc>
          <w:tcPr>
            <w:tcW w:w="2600" w:type="dxa"/>
          </w:tcPr>
          <w:p w14:paraId="4FA09487" w14:textId="2BE4B51F" w:rsidR="00697CF0" w:rsidRPr="00697CF0" w:rsidRDefault="005A18DC" w:rsidP="00697CF0">
            <w:pPr>
              <w:rPr>
                <w:rFonts w:ascii="Arial" w:hAnsi="Arial" w:cs="Arial"/>
                <w:bCs/>
                <w:sz w:val="14"/>
                <w:szCs w:val="14"/>
              </w:rPr>
            </w:pPr>
            <w:hyperlink r:id="rId2870" w:history="1">
              <w:r w:rsidR="00697CF0" w:rsidRPr="00697CF0">
                <w:rPr>
                  <w:rStyle w:val="Hyperlink"/>
                  <w:rFonts w:ascii="Arial" w:hAnsi="Arial" w:cs="Arial"/>
                  <w:b/>
                  <w:bCs/>
                  <w:sz w:val="14"/>
                  <w:szCs w:val="14"/>
                </w:rPr>
                <w:t>NR_cov_enh2-Core</w:t>
              </w:r>
            </w:hyperlink>
          </w:p>
        </w:tc>
        <w:tc>
          <w:tcPr>
            <w:tcW w:w="1065" w:type="dxa"/>
          </w:tcPr>
          <w:p w14:paraId="5E6EDFD9" w14:textId="0005985E" w:rsidR="00697CF0" w:rsidRPr="00697CF0" w:rsidRDefault="005A18DC" w:rsidP="00697CF0">
            <w:pPr>
              <w:rPr>
                <w:rFonts w:ascii="Arial" w:hAnsi="Arial" w:cs="Arial"/>
                <w:sz w:val="14"/>
                <w:szCs w:val="14"/>
              </w:rPr>
            </w:pPr>
            <w:hyperlink r:id="rId2871" w:history="1">
              <w:r w:rsidR="00AF7253">
                <w:rPr>
                  <w:rStyle w:val="Hyperlink"/>
                  <w:rFonts w:ascii="Arial" w:hAnsi="Arial" w:cs="Arial"/>
                  <w:sz w:val="14"/>
                  <w:szCs w:val="14"/>
                </w:rPr>
                <w:t>R1-2308561</w:t>
              </w:r>
            </w:hyperlink>
          </w:p>
        </w:tc>
        <w:tc>
          <w:tcPr>
            <w:tcW w:w="994" w:type="dxa"/>
          </w:tcPr>
          <w:p w14:paraId="5E8E7BBF" w14:textId="6173B9E7" w:rsidR="00697CF0" w:rsidRPr="00697CF0" w:rsidRDefault="00697CF0" w:rsidP="00697CF0">
            <w:pPr>
              <w:rPr>
                <w:rFonts w:ascii="Arial" w:hAnsi="Arial" w:cs="Arial"/>
                <w:sz w:val="14"/>
                <w:szCs w:val="14"/>
              </w:rPr>
            </w:pPr>
            <w:r w:rsidRPr="00697CF0">
              <w:rPr>
                <w:rFonts w:ascii="Arial" w:hAnsi="Arial" w:cs="Arial"/>
                <w:sz w:val="14"/>
                <w:szCs w:val="14"/>
              </w:rPr>
              <w:t>RAN1, RAN2</w:t>
            </w:r>
          </w:p>
        </w:tc>
        <w:tc>
          <w:tcPr>
            <w:tcW w:w="994" w:type="dxa"/>
          </w:tcPr>
          <w:p w14:paraId="1B2E2827" w14:textId="2FAFCEB4" w:rsidR="00697CF0" w:rsidRPr="00697CF0" w:rsidRDefault="00697CF0" w:rsidP="00697CF0">
            <w:pPr>
              <w:rPr>
                <w:rFonts w:ascii="Arial" w:hAnsi="Arial" w:cs="Arial"/>
                <w:sz w:val="14"/>
                <w:szCs w:val="14"/>
              </w:rPr>
            </w:pPr>
            <w:r w:rsidRPr="00697CF0">
              <w:rPr>
                <w:rFonts w:ascii="Arial" w:hAnsi="Arial" w:cs="Arial"/>
                <w:sz w:val="14"/>
                <w:szCs w:val="14"/>
              </w:rPr>
              <w:t> </w:t>
            </w:r>
          </w:p>
        </w:tc>
        <w:tc>
          <w:tcPr>
            <w:tcW w:w="1120" w:type="dxa"/>
          </w:tcPr>
          <w:p w14:paraId="54C72ADF" w14:textId="0699936E" w:rsidR="00697CF0" w:rsidRPr="00697CF0" w:rsidRDefault="00697CF0" w:rsidP="00697CF0">
            <w:pPr>
              <w:rPr>
                <w:rFonts w:ascii="Arial" w:hAnsi="Arial" w:cs="Arial"/>
                <w:sz w:val="14"/>
                <w:szCs w:val="14"/>
              </w:rPr>
            </w:pPr>
            <w:r w:rsidRPr="00697CF0">
              <w:rPr>
                <w:rFonts w:ascii="Arial" w:hAnsi="Arial" w:cs="Arial"/>
                <w:sz w:val="14"/>
                <w:szCs w:val="14"/>
              </w:rPr>
              <w:t>R4-2317768</w:t>
            </w:r>
          </w:p>
        </w:tc>
        <w:tc>
          <w:tcPr>
            <w:tcW w:w="1062" w:type="dxa"/>
          </w:tcPr>
          <w:p w14:paraId="77C48A85" w14:textId="4CB993BD" w:rsidR="00697CF0" w:rsidRPr="00697CF0" w:rsidRDefault="00697CF0" w:rsidP="00697CF0">
            <w:pPr>
              <w:rPr>
                <w:rFonts w:ascii="Arial" w:hAnsi="Arial" w:cs="Arial"/>
                <w:sz w:val="14"/>
                <w:szCs w:val="14"/>
              </w:rPr>
            </w:pPr>
            <w:r w:rsidRPr="00697CF0">
              <w:rPr>
                <w:rFonts w:ascii="Arial" w:hAnsi="Arial" w:cs="Arial"/>
                <w:sz w:val="14"/>
                <w:szCs w:val="14"/>
              </w:rPr>
              <w:t> </w:t>
            </w:r>
          </w:p>
        </w:tc>
      </w:tr>
      <w:tr w:rsidR="00697CF0" w:rsidRPr="009537ED" w14:paraId="4B761A10" w14:textId="77777777" w:rsidTr="009F368E">
        <w:trPr>
          <w:trHeight w:val="20"/>
          <w:jc w:val="center"/>
        </w:trPr>
        <w:tc>
          <w:tcPr>
            <w:tcW w:w="1094" w:type="dxa"/>
          </w:tcPr>
          <w:p w14:paraId="70D1A4C1" w14:textId="2988DCC5" w:rsidR="00697CF0" w:rsidRPr="00697CF0" w:rsidRDefault="005A18DC" w:rsidP="00697CF0">
            <w:pPr>
              <w:rPr>
                <w:rFonts w:ascii="Arial" w:hAnsi="Arial" w:cs="Arial"/>
                <w:bCs/>
                <w:sz w:val="14"/>
                <w:szCs w:val="14"/>
              </w:rPr>
            </w:pPr>
            <w:hyperlink r:id="rId2872" w:history="1">
              <w:r w:rsidR="00AF7253">
                <w:rPr>
                  <w:rStyle w:val="Hyperlink"/>
                  <w:rFonts w:ascii="Arial" w:hAnsi="Arial" w:cs="Arial"/>
                  <w:b/>
                  <w:bCs/>
                  <w:sz w:val="14"/>
                  <w:szCs w:val="14"/>
                </w:rPr>
                <w:t>R1-2310801</w:t>
              </w:r>
            </w:hyperlink>
          </w:p>
        </w:tc>
        <w:tc>
          <w:tcPr>
            <w:tcW w:w="2646" w:type="dxa"/>
          </w:tcPr>
          <w:p w14:paraId="35AA67AA" w14:textId="034576C0" w:rsidR="00697CF0" w:rsidRPr="00697CF0" w:rsidRDefault="00697CF0" w:rsidP="00697CF0">
            <w:pPr>
              <w:rPr>
                <w:rFonts w:ascii="Arial" w:hAnsi="Arial" w:cs="Arial"/>
                <w:sz w:val="14"/>
                <w:szCs w:val="14"/>
              </w:rPr>
            </w:pPr>
            <w:r w:rsidRPr="00697CF0">
              <w:rPr>
                <w:rFonts w:ascii="Arial" w:hAnsi="Arial" w:cs="Arial"/>
                <w:sz w:val="14"/>
                <w:szCs w:val="14"/>
              </w:rPr>
              <w:t>LS on network assistant signalling for advanced receivers</w:t>
            </w:r>
          </w:p>
        </w:tc>
        <w:tc>
          <w:tcPr>
            <w:tcW w:w="1583" w:type="dxa"/>
          </w:tcPr>
          <w:p w14:paraId="6557BFCB" w14:textId="1AE9647E" w:rsidR="00697CF0" w:rsidRPr="00697CF0" w:rsidRDefault="00697CF0" w:rsidP="00697CF0">
            <w:pPr>
              <w:rPr>
                <w:rFonts w:ascii="Arial" w:hAnsi="Arial" w:cs="Arial"/>
                <w:sz w:val="14"/>
                <w:szCs w:val="14"/>
              </w:rPr>
            </w:pPr>
            <w:r w:rsidRPr="00697CF0">
              <w:rPr>
                <w:rFonts w:ascii="Arial" w:hAnsi="Arial" w:cs="Arial"/>
                <w:sz w:val="14"/>
                <w:szCs w:val="14"/>
              </w:rPr>
              <w:t>RAN4, Nokia</w:t>
            </w:r>
          </w:p>
        </w:tc>
        <w:tc>
          <w:tcPr>
            <w:tcW w:w="909" w:type="dxa"/>
          </w:tcPr>
          <w:p w14:paraId="7265C32F" w14:textId="06C0E6DC" w:rsidR="00697CF0" w:rsidRPr="00697CF0" w:rsidRDefault="005A18DC" w:rsidP="00697CF0">
            <w:pPr>
              <w:rPr>
                <w:rFonts w:ascii="Arial" w:hAnsi="Arial" w:cs="Arial"/>
                <w:bCs/>
                <w:sz w:val="14"/>
                <w:szCs w:val="14"/>
              </w:rPr>
            </w:pPr>
            <w:hyperlink r:id="rId2873" w:history="1">
              <w:r w:rsidR="00697CF0" w:rsidRPr="00697CF0">
                <w:rPr>
                  <w:rStyle w:val="Hyperlink"/>
                  <w:rFonts w:ascii="Arial" w:hAnsi="Arial" w:cs="Arial"/>
                  <w:b/>
                  <w:bCs/>
                  <w:sz w:val="14"/>
                  <w:szCs w:val="14"/>
                </w:rPr>
                <w:t>Rel-18</w:t>
              </w:r>
            </w:hyperlink>
          </w:p>
        </w:tc>
        <w:tc>
          <w:tcPr>
            <w:tcW w:w="2600" w:type="dxa"/>
          </w:tcPr>
          <w:p w14:paraId="44FDC641" w14:textId="31652911" w:rsidR="00697CF0" w:rsidRPr="00697CF0" w:rsidRDefault="005A18DC" w:rsidP="00697CF0">
            <w:pPr>
              <w:rPr>
                <w:rFonts w:ascii="Arial" w:hAnsi="Arial" w:cs="Arial"/>
                <w:bCs/>
                <w:sz w:val="14"/>
                <w:szCs w:val="14"/>
              </w:rPr>
            </w:pPr>
            <w:hyperlink r:id="rId2874" w:history="1">
              <w:r w:rsidR="00697CF0" w:rsidRPr="00697CF0">
                <w:rPr>
                  <w:rStyle w:val="Hyperlink"/>
                  <w:rFonts w:ascii="Arial" w:hAnsi="Arial" w:cs="Arial"/>
                  <w:b/>
                  <w:bCs/>
                  <w:sz w:val="14"/>
                  <w:szCs w:val="14"/>
                </w:rPr>
                <w:t>NR_demod_enh3-Perf</w:t>
              </w:r>
            </w:hyperlink>
          </w:p>
        </w:tc>
        <w:tc>
          <w:tcPr>
            <w:tcW w:w="1065" w:type="dxa"/>
          </w:tcPr>
          <w:p w14:paraId="56AB7FE8" w14:textId="10E52BEC" w:rsidR="00697CF0" w:rsidRPr="00697CF0" w:rsidRDefault="00697CF0" w:rsidP="00697CF0">
            <w:pPr>
              <w:rPr>
                <w:rFonts w:ascii="Arial" w:hAnsi="Arial" w:cs="Arial"/>
                <w:sz w:val="14"/>
                <w:szCs w:val="14"/>
              </w:rPr>
            </w:pPr>
            <w:r w:rsidRPr="00697CF0">
              <w:rPr>
                <w:rFonts w:ascii="Arial" w:hAnsi="Arial" w:cs="Arial"/>
                <w:sz w:val="14"/>
                <w:szCs w:val="14"/>
              </w:rPr>
              <w:t> </w:t>
            </w:r>
          </w:p>
        </w:tc>
        <w:tc>
          <w:tcPr>
            <w:tcW w:w="994" w:type="dxa"/>
          </w:tcPr>
          <w:p w14:paraId="0C56CE63" w14:textId="42D2BFCC" w:rsidR="00697CF0" w:rsidRPr="00697CF0" w:rsidRDefault="00697CF0" w:rsidP="00697CF0">
            <w:pPr>
              <w:rPr>
                <w:rFonts w:ascii="Arial" w:hAnsi="Arial" w:cs="Arial"/>
                <w:sz w:val="14"/>
                <w:szCs w:val="14"/>
              </w:rPr>
            </w:pPr>
            <w:r w:rsidRPr="00697CF0">
              <w:rPr>
                <w:rFonts w:ascii="Arial" w:hAnsi="Arial" w:cs="Arial"/>
                <w:sz w:val="14"/>
                <w:szCs w:val="14"/>
              </w:rPr>
              <w:t>RAN2</w:t>
            </w:r>
          </w:p>
        </w:tc>
        <w:tc>
          <w:tcPr>
            <w:tcW w:w="994" w:type="dxa"/>
          </w:tcPr>
          <w:p w14:paraId="79385D0A" w14:textId="2A14BE64" w:rsidR="00697CF0" w:rsidRPr="00697CF0" w:rsidRDefault="00697CF0" w:rsidP="00697CF0">
            <w:pPr>
              <w:rPr>
                <w:rFonts w:ascii="Arial" w:hAnsi="Arial" w:cs="Arial"/>
                <w:sz w:val="14"/>
                <w:szCs w:val="14"/>
              </w:rPr>
            </w:pPr>
            <w:r w:rsidRPr="00697CF0">
              <w:rPr>
                <w:rFonts w:ascii="Arial" w:hAnsi="Arial" w:cs="Arial"/>
                <w:sz w:val="14"/>
                <w:szCs w:val="14"/>
              </w:rPr>
              <w:t>RAN1</w:t>
            </w:r>
          </w:p>
        </w:tc>
        <w:tc>
          <w:tcPr>
            <w:tcW w:w="1120" w:type="dxa"/>
          </w:tcPr>
          <w:p w14:paraId="025647DD" w14:textId="78D8CE87" w:rsidR="00697CF0" w:rsidRPr="00697CF0" w:rsidRDefault="00697CF0" w:rsidP="00697CF0">
            <w:pPr>
              <w:rPr>
                <w:rFonts w:ascii="Arial" w:hAnsi="Arial" w:cs="Arial"/>
                <w:sz w:val="14"/>
                <w:szCs w:val="14"/>
              </w:rPr>
            </w:pPr>
            <w:r w:rsidRPr="00697CF0">
              <w:rPr>
                <w:rFonts w:ascii="Arial" w:hAnsi="Arial" w:cs="Arial"/>
                <w:sz w:val="14"/>
                <w:szCs w:val="14"/>
              </w:rPr>
              <w:t>R4-2316980</w:t>
            </w:r>
          </w:p>
        </w:tc>
        <w:tc>
          <w:tcPr>
            <w:tcW w:w="1062" w:type="dxa"/>
          </w:tcPr>
          <w:p w14:paraId="430FAD3F" w14:textId="307806D5" w:rsidR="00697CF0" w:rsidRPr="00697CF0" w:rsidRDefault="00697CF0" w:rsidP="00697CF0">
            <w:pPr>
              <w:rPr>
                <w:rFonts w:ascii="Arial" w:hAnsi="Arial" w:cs="Arial"/>
                <w:sz w:val="14"/>
                <w:szCs w:val="14"/>
              </w:rPr>
            </w:pPr>
            <w:r w:rsidRPr="00697CF0">
              <w:rPr>
                <w:rFonts w:ascii="Arial" w:hAnsi="Arial" w:cs="Arial"/>
                <w:sz w:val="14"/>
                <w:szCs w:val="14"/>
              </w:rPr>
              <w:t> </w:t>
            </w:r>
          </w:p>
        </w:tc>
      </w:tr>
      <w:tr w:rsidR="00697CF0" w:rsidRPr="009537ED" w14:paraId="5768597E" w14:textId="77777777" w:rsidTr="009F368E">
        <w:trPr>
          <w:trHeight w:val="20"/>
          <w:jc w:val="center"/>
        </w:trPr>
        <w:tc>
          <w:tcPr>
            <w:tcW w:w="1094" w:type="dxa"/>
          </w:tcPr>
          <w:p w14:paraId="0CD2AFEE" w14:textId="5548860A" w:rsidR="00697CF0" w:rsidRPr="00697CF0" w:rsidRDefault="005A18DC" w:rsidP="00697CF0">
            <w:pPr>
              <w:rPr>
                <w:rFonts w:ascii="Arial" w:hAnsi="Arial" w:cs="Arial"/>
                <w:bCs/>
                <w:sz w:val="14"/>
                <w:szCs w:val="14"/>
              </w:rPr>
            </w:pPr>
            <w:hyperlink r:id="rId2875" w:history="1">
              <w:r w:rsidR="00AF7253">
                <w:rPr>
                  <w:rStyle w:val="Hyperlink"/>
                  <w:rFonts w:ascii="Arial" w:hAnsi="Arial" w:cs="Arial"/>
                  <w:b/>
                  <w:bCs/>
                  <w:sz w:val="14"/>
                  <w:szCs w:val="14"/>
                </w:rPr>
                <w:t>R1-2310802</w:t>
              </w:r>
            </w:hyperlink>
          </w:p>
        </w:tc>
        <w:tc>
          <w:tcPr>
            <w:tcW w:w="2646" w:type="dxa"/>
          </w:tcPr>
          <w:p w14:paraId="09B40851" w14:textId="419B1B89" w:rsidR="00697CF0" w:rsidRPr="00697CF0" w:rsidRDefault="00697CF0" w:rsidP="00697CF0">
            <w:pPr>
              <w:rPr>
                <w:rFonts w:ascii="Arial" w:hAnsi="Arial" w:cs="Arial"/>
                <w:sz w:val="14"/>
                <w:szCs w:val="14"/>
              </w:rPr>
            </w:pPr>
            <w:r w:rsidRPr="00697CF0">
              <w:rPr>
                <w:rFonts w:ascii="Arial" w:hAnsi="Arial" w:cs="Arial"/>
                <w:sz w:val="14"/>
                <w:szCs w:val="14"/>
              </w:rPr>
              <w:t>LS on SSB-less operation for Rel-18 NES</w:t>
            </w:r>
          </w:p>
        </w:tc>
        <w:tc>
          <w:tcPr>
            <w:tcW w:w="1583" w:type="dxa"/>
          </w:tcPr>
          <w:p w14:paraId="5AAFD082" w14:textId="767C3DA5" w:rsidR="00697CF0" w:rsidRPr="00697CF0" w:rsidRDefault="00697CF0" w:rsidP="00697CF0">
            <w:pPr>
              <w:rPr>
                <w:rFonts w:ascii="Arial" w:hAnsi="Arial" w:cs="Arial"/>
                <w:sz w:val="14"/>
                <w:szCs w:val="14"/>
              </w:rPr>
            </w:pPr>
            <w:r w:rsidRPr="00697CF0">
              <w:rPr>
                <w:rFonts w:ascii="Arial" w:hAnsi="Arial" w:cs="Arial"/>
                <w:sz w:val="14"/>
                <w:szCs w:val="14"/>
              </w:rPr>
              <w:t>RAN4, Huawei</w:t>
            </w:r>
          </w:p>
        </w:tc>
        <w:tc>
          <w:tcPr>
            <w:tcW w:w="909" w:type="dxa"/>
          </w:tcPr>
          <w:p w14:paraId="25DEF733" w14:textId="1755CBD8" w:rsidR="00697CF0" w:rsidRPr="00697CF0" w:rsidRDefault="005A18DC" w:rsidP="00697CF0">
            <w:pPr>
              <w:rPr>
                <w:rFonts w:ascii="Arial" w:hAnsi="Arial" w:cs="Arial"/>
                <w:bCs/>
                <w:sz w:val="14"/>
                <w:szCs w:val="14"/>
              </w:rPr>
            </w:pPr>
            <w:hyperlink r:id="rId2876" w:history="1">
              <w:r w:rsidR="00697CF0" w:rsidRPr="00697CF0">
                <w:rPr>
                  <w:rStyle w:val="Hyperlink"/>
                  <w:rFonts w:ascii="Arial" w:hAnsi="Arial" w:cs="Arial"/>
                  <w:b/>
                  <w:bCs/>
                  <w:sz w:val="14"/>
                  <w:szCs w:val="14"/>
                </w:rPr>
                <w:t>Rel-18</w:t>
              </w:r>
            </w:hyperlink>
          </w:p>
        </w:tc>
        <w:tc>
          <w:tcPr>
            <w:tcW w:w="2600" w:type="dxa"/>
          </w:tcPr>
          <w:p w14:paraId="75BE2F8C" w14:textId="5179DC55" w:rsidR="00697CF0" w:rsidRPr="00697CF0" w:rsidRDefault="005A18DC" w:rsidP="00697CF0">
            <w:pPr>
              <w:rPr>
                <w:rFonts w:ascii="Arial" w:hAnsi="Arial" w:cs="Arial"/>
                <w:bCs/>
                <w:sz w:val="14"/>
                <w:szCs w:val="14"/>
              </w:rPr>
            </w:pPr>
            <w:hyperlink r:id="rId2877" w:history="1">
              <w:r w:rsidR="00697CF0" w:rsidRPr="00697CF0">
                <w:rPr>
                  <w:rStyle w:val="Hyperlink"/>
                  <w:rFonts w:ascii="Arial" w:hAnsi="Arial" w:cs="Arial"/>
                  <w:b/>
                  <w:bCs/>
                  <w:sz w:val="14"/>
                  <w:szCs w:val="14"/>
                </w:rPr>
                <w:t>Netw_Energy_NR-Core</w:t>
              </w:r>
            </w:hyperlink>
          </w:p>
        </w:tc>
        <w:tc>
          <w:tcPr>
            <w:tcW w:w="1065" w:type="dxa"/>
          </w:tcPr>
          <w:p w14:paraId="1C330DC4" w14:textId="4B0691EE" w:rsidR="00697CF0" w:rsidRPr="00697CF0" w:rsidRDefault="00697CF0" w:rsidP="00697CF0">
            <w:pPr>
              <w:rPr>
                <w:rFonts w:ascii="Arial" w:hAnsi="Arial" w:cs="Arial"/>
                <w:sz w:val="14"/>
                <w:szCs w:val="14"/>
              </w:rPr>
            </w:pPr>
            <w:r w:rsidRPr="00697CF0">
              <w:rPr>
                <w:rFonts w:ascii="Arial" w:hAnsi="Arial" w:cs="Arial"/>
                <w:sz w:val="14"/>
                <w:szCs w:val="14"/>
              </w:rPr>
              <w:t> </w:t>
            </w:r>
          </w:p>
        </w:tc>
        <w:tc>
          <w:tcPr>
            <w:tcW w:w="994" w:type="dxa"/>
          </w:tcPr>
          <w:p w14:paraId="6DA3CE13" w14:textId="56192443" w:rsidR="00697CF0" w:rsidRPr="00697CF0" w:rsidRDefault="00697CF0" w:rsidP="00697CF0">
            <w:pPr>
              <w:rPr>
                <w:rFonts w:ascii="Arial" w:hAnsi="Arial" w:cs="Arial"/>
                <w:sz w:val="14"/>
                <w:szCs w:val="14"/>
              </w:rPr>
            </w:pPr>
            <w:r w:rsidRPr="00697CF0">
              <w:rPr>
                <w:rFonts w:ascii="Arial" w:hAnsi="Arial" w:cs="Arial"/>
                <w:sz w:val="14"/>
                <w:szCs w:val="14"/>
              </w:rPr>
              <w:t>RAN2</w:t>
            </w:r>
          </w:p>
        </w:tc>
        <w:tc>
          <w:tcPr>
            <w:tcW w:w="994" w:type="dxa"/>
          </w:tcPr>
          <w:p w14:paraId="40259FBF" w14:textId="1D90FF26" w:rsidR="00697CF0" w:rsidRPr="00697CF0" w:rsidRDefault="00697CF0" w:rsidP="00697CF0">
            <w:pPr>
              <w:rPr>
                <w:rFonts w:ascii="Arial" w:hAnsi="Arial" w:cs="Arial"/>
                <w:sz w:val="14"/>
                <w:szCs w:val="14"/>
              </w:rPr>
            </w:pPr>
            <w:r w:rsidRPr="00697CF0">
              <w:rPr>
                <w:rFonts w:ascii="Arial" w:hAnsi="Arial" w:cs="Arial"/>
                <w:sz w:val="14"/>
                <w:szCs w:val="14"/>
              </w:rPr>
              <w:t>RAN1</w:t>
            </w:r>
          </w:p>
        </w:tc>
        <w:tc>
          <w:tcPr>
            <w:tcW w:w="1120" w:type="dxa"/>
          </w:tcPr>
          <w:p w14:paraId="7E6E2B23" w14:textId="5E99225B" w:rsidR="00697CF0" w:rsidRPr="00697CF0" w:rsidRDefault="00697CF0" w:rsidP="00697CF0">
            <w:pPr>
              <w:rPr>
                <w:rFonts w:ascii="Arial" w:hAnsi="Arial" w:cs="Arial"/>
                <w:sz w:val="14"/>
                <w:szCs w:val="14"/>
              </w:rPr>
            </w:pPr>
            <w:r w:rsidRPr="00697CF0">
              <w:rPr>
                <w:rFonts w:ascii="Arial" w:hAnsi="Arial" w:cs="Arial"/>
                <w:sz w:val="14"/>
                <w:szCs w:val="14"/>
              </w:rPr>
              <w:t>R4-2317307</w:t>
            </w:r>
          </w:p>
        </w:tc>
        <w:tc>
          <w:tcPr>
            <w:tcW w:w="1062" w:type="dxa"/>
          </w:tcPr>
          <w:p w14:paraId="6379EC3A" w14:textId="33C7D6D3" w:rsidR="00697CF0" w:rsidRPr="00697CF0" w:rsidRDefault="00697CF0" w:rsidP="00697CF0">
            <w:pPr>
              <w:rPr>
                <w:rFonts w:ascii="Arial" w:hAnsi="Arial" w:cs="Arial"/>
                <w:sz w:val="14"/>
                <w:szCs w:val="14"/>
              </w:rPr>
            </w:pPr>
            <w:r w:rsidRPr="00697CF0">
              <w:rPr>
                <w:rFonts w:ascii="Arial" w:hAnsi="Arial" w:cs="Arial"/>
                <w:sz w:val="14"/>
                <w:szCs w:val="14"/>
              </w:rPr>
              <w:t> </w:t>
            </w:r>
          </w:p>
        </w:tc>
      </w:tr>
      <w:tr w:rsidR="00697CF0" w:rsidRPr="009537ED" w14:paraId="750894B5" w14:textId="77777777" w:rsidTr="009F368E">
        <w:trPr>
          <w:trHeight w:val="20"/>
          <w:jc w:val="center"/>
        </w:trPr>
        <w:tc>
          <w:tcPr>
            <w:tcW w:w="1094" w:type="dxa"/>
          </w:tcPr>
          <w:p w14:paraId="593E0A3E" w14:textId="74628040" w:rsidR="00697CF0" w:rsidRPr="00697CF0" w:rsidRDefault="005A18DC" w:rsidP="00697CF0">
            <w:pPr>
              <w:rPr>
                <w:rFonts w:ascii="Arial" w:hAnsi="Arial" w:cs="Arial"/>
                <w:bCs/>
                <w:sz w:val="14"/>
                <w:szCs w:val="14"/>
              </w:rPr>
            </w:pPr>
            <w:hyperlink r:id="rId2878" w:history="1">
              <w:r w:rsidR="00AF7253">
                <w:rPr>
                  <w:rStyle w:val="Hyperlink"/>
                  <w:rFonts w:ascii="Arial" w:hAnsi="Arial" w:cs="Arial"/>
                  <w:b/>
                  <w:bCs/>
                  <w:sz w:val="14"/>
                  <w:szCs w:val="14"/>
                </w:rPr>
                <w:t>R1-2310803</w:t>
              </w:r>
            </w:hyperlink>
          </w:p>
        </w:tc>
        <w:tc>
          <w:tcPr>
            <w:tcW w:w="2646" w:type="dxa"/>
          </w:tcPr>
          <w:p w14:paraId="3C1BD3B3" w14:textId="6CB7AB91" w:rsidR="00697CF0" w:rsidRPr="00697CF0" w:rsidRDefault="00697CF0" w:rsidP="00697CF0">
            <w:pPr>
              <w:rPr>
                <w:rFonts w:ascii="Arial" w:hAnsi="Arial" w:cs="Arial"/>
                <w:sz w:val="14"/>
                <w:szCs w:val="14"/>
              </w:rPr>
            </w:pPr>
            <w:r w:rsidRPr="00697CF0">
              <w:rPr>
                <w:rFonts w:ascii="Arial" w:hAnsi="Arial" w:cs="Arial"/>
                <w:sz w:val="14"/>
                <w:szCs w:val="14"/>
              </w:rPr>
              <w:t>LS on report mapping for positioning measurements with PRS_SRS bandwidth aggregation</w:t>
            </w:r>
          </w:p>
        </w:tc>
        <w:tc>
          <w:tcPr>
            <w:tcW w:w="1583" w:type="dxa"/>
          </w:tcPr>
          <w:p w14:paraId="12955871" w14:textId="5D3DCDE3" w:rsidR="00697CF0" w:rsidRPr="00697CF0" w:rsidRDefault="00697CF0" w:rsidP="00697CF0">
            <w:pPr>
              <w:rPr>
                <w:rFonts w:ascii="Arial" w:hAnsi="Arial" w:cs="Arial"/>
                <w:sz w:val="14"/>
                <w:szCs w:val="14"/>
              </w:rPr>
            </w:pPr>
            <w:r w:rsidRPr="00697CF0">
              <w:rPr>
                <w:rFonts w:ascii="Arial" w:hAnsi="Arial" w:cs="Arial"/>
                <w:sz w:val="14"/>
                <w:szCs w:val="14"/>
              </w:rPr>
              <w:t>RAN4, Ericsson</w:t>
            </w:r>
          </w:p>
        </w:tc>
        <w:tc>
          <w:tcPr>
            <w:tcW w:w="909" w:type="dxa"/>
          </w:tcPr>
          <w:p w14:paraId="066E956F" w14:textId="2710732E" w:rsidR="00697CF0" w:rsidRPr="00697CF0" w:rsidRDefault="005A18DC" w:rsidP="00697CF0">
            <w:pPr>
              <w:rPr>
                <w:rFonts w:ascii="Arial" w:hAnsi="Arial" w:cs="Arial"/>
                <w:bCs/>
                <w:sz w:val="14"/>
                <w:szCs w:val="14"/>
              </w:rPr>
            </w:pPr>
            <w:hyperlink r:id="rId2879" w:history="1">
              <w:r w:rsidR="00697CF0" w:rsidRPr="00697CF0">
                <w:rPr>
                  <w:rStyle w:val="Hyperlink"/>
                  <w:rFonts w:ascii="Arial" w:hAnsi="Arial" w:cs="Arial"/>
                  <w:b/>
                  <w:bCs/>
                  <w:sz w:val="14"/>
                  <w:szCs w:val="14"/>
                </w:rPr>
                <w:t>Rel-18</w:t>
              </w:r>
            </w:hyperlink>
          </w:p>
        </w:tc>
        <w:tc>
          <w:tcPr>
            <w:tcW w:w="2600" w:type="dxa"/>
          </w:tcPr>
          <w:p w14:paraId="5B678782" w14:textId="3D1F6CE6" w:rsidR="00697CF0" w:rsidRPr="00697CF0" w:rsidRDefault="005A18DC" w:rsidP="00697CF0">
            <w:pPr>
              <w:rPr>
                <w:rFonts w:ascii="Arial" w:hAnsi="Arial" w:cs="Arial"/>
                <w:bCs/>
                <w:sz w:val="14"/>
                <w:szCs w:val="14"/>
              </w:rPr>
            </w:pPr>
            <w:hyperlink r:id="rId2880" w:history="1">
              <w:r w:rsidR="00697CF0" w:rsidRPr="00697CF0">
                <w:rPr>
                  <w:rStyle w:val="Hyperlink"/>
                  <w:rFonts w:ascii="Arial" w:hAnsi="Arial" w:cs="Arial"/>
                  <w:b/>
                  <w:bCs/>
                  <w:sz w:val="14"/>
                  <w:szCs w:val="14"/>
                </w:rPr>
                <w:t>NR_pos_enh2-Core</w:t>
              </w:r>
            </w:hyperlink>
          </w:p>
        </w:tc>
        <w:tc>
          <w:tcPr>
            <w:tcW w:w="1065" w:type="dxa"/>
          </w:tcPr>
          <w:p w14:paraId="2DC66B4E" w14:textId="79A18E71" w:rsidR="00697CF0" w:rsidRPr="00697CF0" w:rsidRDefault="00697CF0" w:rsidP="00697CF0">
            <w:pPr>
              <w:rPr>
                <w:rFonts w:ascii="Arial" w:hAnsi="Arial" w:cs="Arial"/>
                <w:sz w:val="14"/>
                <w:szCs w:val="14"/>
              </w:rPr>
            </w:pPr>
            <w:r w:rsidRPr="00697CF0">
              <w:rPr>
                <w:rFonts w:ascii="Arial" w:hAnsi="Arial" w:cs="Arial"/>
                <w:sz w:val="14"/>
                <w:szCs w:val="14"/>
              </w:rPr>
              <w:t> </w:t>
            </w:r>
          </w:p>
        </w:tc>
        <w:tc>
          <w:tcPr>
            <w:tcW w:w="994" w:type="dxa"/>
          </w:tcPr>
          <w:p w14:paraId="300F6A73" w14:textId="45E26B8D" w:rsidR="00697CF0" w:rsidRPr="00697CF0" w:rsidRDefault="00697CF0" w:rsidP="00697CF0">
            <w:pPr>
              <w:rPr>
                <w:rFonts w:ascii="Arial" w:hAnsi="Arial" w:cs="Arial"/>
                <w:sz w:val="14"/>
                <w:szCs w:val="14"/>
              </w:rPr>
            </w:pPr>
            <w:r w:rsidRPr="00697CF0">
              <w:rPr>
                <w:rFonts w:ascii="Arial" w:hAnsi="Arial" w:cs="Arial"/>
                <w:sz w:val="14"/>
                <w:szCs w:val="14"/>
              </w:rPr>
              <w:t>RAN2, RAN3</w:t>
            </w:r>
          </w:p>
        </w:tc>
        <w:tc>
          <w:tcPr>
            <w:tcW w:w="994" w:type="dxa"/>
          </w:tcPr>
          <w:p w14:paraId="5A7392D2" w14:textId="1A44ECA6" w:rsidR="00697CF0" w:rsidRPr="00697CF0" w:rsidRDefault="00697CF0" w:rsidP="00697CF0">
            <w:pPr>
              <w:rPr>
                <w:rFonts w:ascii="Arial" w:hAnsi="Arial" w:cs="Arial"/>
                <w:sz w:val="14"/>
                <w:szCs w:val="14"/>
              </w:rPr>
            </w:pPr>
            <w:r w:rsidRPr="00697CF0">
              <w:rPr>
                <w:rFonts w:ascii="Arial" w:hAnsi="Arial" w:cs="Arial"/>
                <w:sz w:val="14"/>
                <w:szCs w:val="14"/>
              </w:rPr>
              <w:t>RAN1</w:t>
            </w:r>
          </w:p>
        </w:tc>
        <w:tc>
          <w:tcPr>
            <w:tcW w:w="1120" w:type="dxa"/>
          </w:tcPr>
          <w:p w14:paraId="1ED46259" w14:textId="61374969" w:rsidR="00697CF0" w:rsidRPr="00697CF0" w:rsidRDefault="00697CF0" w:rsidP="00697CF0">
            <w:pPr>
              <w:rPr>
                <w:rFonts w:ascii="Arial" w:hAnsi="Arial" w:cs="Arial"/>
                <w:sz w:val="14"/>
                <w:szCs w:val="14"/>
              </w:rPr>
            </w:pPr>
            <w:r w:rsidRPr="00697CF0">
              <w:rPr>
                <w:rFonts w:ascii="Arial" w:hAnsi="Arial" w:cs="Arial"/>
                <w:sz w:val="14"/>
                <w:szCs w:val="14"/>
              </w:rPr>
              <w:t>R4-2317390</w:t>
            </w:r>
          </w:p>
        </w:tc>
        <w:tc>
          <w:tcPr>
            <w:tcW w:w="1062" w:type="dxa"/>
          </w:tcPr>
          <w:p w14:paraId="54CDC4ED" w14:textId="21082853" w:rsidR="00697CF0" w:rsidRPr="00697CF0" w:rsidRDefault="00697CF0" w:rsidP="00697CF0">
            <w:pPr>
              <w:rPr>
                <w:rFonts w:ascii="Arial" w:hAnsi="Arial" w:cs="Arial"/>
                <w:sz w:val="14"/>
                <w:szCs w:val="14"/>
              </w:rPr>
            </w:pPr>
            <w:r w:rsidRPr="00697CF0">
              <w:rPr>
                <w:rFonts w:ascii="Arial" w:hAnsi="Arial" w:cs="Arial"/>
                <w:sz w:val="14"/>
                <w:szCs w:val="14"/>
              </w:rPr>
              <w:t> </w:t>
            </w:r>
          </w:p>
        </w:tc>
      </w:tr>
      <w:tr w:rsidR="00697CF0" w:rsidRPr="009537ED" w14:paraId="32C828A9" w14:textId="77777777" w:rsidTr="009F368E">
        <w:trPr>
          <w:trHeight w:val="20"/>
          <w:jc w:val="center"/>
        </w:trPr>
        <w:tc>
          <w:tcPr>
            <w:tcW w:w="1094" w:type="dxa"/>
          </w:tcPr>
          <w:p w14:paraId="653DD113" w14:textId="3AB8C553" w:rsidR="00697CF0" w:rsidRPr="00697CF0" w:rsidRDefault="005A18DC" w:rsidP="00697CF0">
            <w:pPr>
              <w:rPr>
                <w:rFonts w:ascii="Arial" w:hAnsi="Arial" w:cs="Arial"/>
                <w:bCs/>
                <w:sz w:val="14"/>
                <w:szCs w:val="14"/>
              </w:rPr>
            </w:pPr>
            <w:hyperlink r:id="rId2881" w:history="1">
              <w:r w:rsidR="00AF7253">
                <w:rPr>
                  <w:rStyle w:val="Hyperlink"/>
                  <w:rFonts w:ascii="Arial" w:hAnsi="Arial" w:cs="Arial"/>
                  <w:b/>
                  <w:bCs/>
                  <w:sz w:val="14"/>
                  <w:szCs w:val="14"/>
                </w:rPr>
                <w:t>R1-2310804</w:t>
              </w:r>
            </w:hyperlink>
          </w:p>
        </w:tc>
        <w:tc>
          <w:tcPr>
            <w:tcW w:w="2646" w:type="dxa"/>
          </w:tcPr>
          <w:p w14:paraId="0F8AA058" w14:textId="7C176945" w:rsidR="00697CF0" w:rsidRPr="00697CF0" w:rsidRDefault="00697CF0" w:rsidP="00697CF0">
            <w:pPr>
              <w:rPr>
                <w:rFonts w:ascii="Arial" w:hAnsi="Arial" w:cs="Arial"/>
                <w:sz w:val="14"/>
                <w:szCs w:val="14"/>
              </w:rPr>
            </w:pPr>
            <w:r w:rsidRPr="00697CF0">
              <w:rPr>
                <w:rFonts w:ascii="Arial" w:hAnsi="Arial" w:cs="Arial"/>
                <w:sz w:val="14"/>
                <w:szCs w:val="14"/>
              </w:rPr>
              <w:t>LS on Rel-18 UL Tx switching for parallel switching on four bands</w:t>
            </w:r>
          </w:p>
        </w:tc>
        <w:tc>
          <w:tcPr>
            <w:tcW w:w="1583" w:type="dxa"/>
          </w:tcPr>
          <w:p w14:paraId="54360CA9" w14:textId="292E669E" w:rsidR="00697CF0" w:rsidRPr="00697CF0" w:rsidRDefault="00697CF0" w:rsidP="00697CF0">
            <w:pPr>
              <w:rPr>
                <w:rFonts w:ascii="Arial" w:hAnsi="Arial" w:cs="Arial"/>
                <w:sz w:val="14"/>
                <w:szCs w:val="14"/>
              </w:rPr>
            </w:pPr>
            <w:r w:rsidRPr="00697CF0">
              <w:rPr>
                <w:rFonts w:ascii="Arial" w:hAnsi="Arial" w:cs="Arial"/>
                <w:sz w:val="14"/>
                <w:szCs w:val="14"/>
              </w:rPr>
              <w:t>RAN4, MediaTek</w:t>
            </w:r>
          </w:p>
        </w:tc>
        <w:tc>
          <w:tcPr>
            <w:tcW w:w="909" w:type="dxa"/>
          </w:tcPr>
          <w:p w14:paraId="38908E2E" w14:textId="74237A43" w:rsidR="00697CF0" w:rsidRPr="00697CF0" w:rsidRDefault="005A18DC" w:rsidP="00697CF0">
            <w:pPr>
              <w:rPr>
                <w:rFonts w:ascii="Arial" w:hAnsi="Arial" w:cs="Arial"/>
                <w:bCs/>
                <w:sz w:val="14"/>
                <w:szCs w:val="14"/>
              </w:rPr>
            </w:pPr>
            <w:hyperlink r:id="rId2882" w:history="1">
              <w:r w:rsidR="00697CF0" w:rsidRPr="00697CF0">
                <w:rPr>
                  <w:rStyle w:val="Hyperlink"/>
                  <w:rFonts w:ascii="Arial" w:hAnsi="Arial" w:cs="Arial"/>
                  <w:b/>
                  <w:bCs/>
                  <w:sz w:val="14"/>
                  <w:szCs w:val="14"/>
                </w:rPr>
                <w:t>Rel-18</w:t>
              </w:r>
            </w:hyperlink>
          </w:p>
        </w:tc>
        <w:tc>
          <w:tcPr>
            <w:tcW w:w="2600" w:type="dxa"/>
          </w:tcPr>
          <w:p w14:paraId="1CAB4BF0" w14:textId="10164564" w:rsidR="00697CF0" w:rsidRPr="00697CF0" w:rsidRDefault="005A18DC" w:rsidP="00697CF0">
            <w:pPr>
              <w:rPr>
                <w:rFonts w:ascii="Arial" w:hAnsi="Arial" w:cs="Arial"/>
                <w:bCs/>
                <w:sz w:val="14"/>
                <w:szCs w:val="14"/>
              </w:rPr>
            </w:pPr>
            <w:hyperlink r:id="rId2883" w:history="1">
              <w:r w:rsidR="00697CF0" w:rsidRPr="00697CF0">
                <w:rPr>
                  <w:rStyle w:val="Hyperlink"/>
                  <w:rFonts w:ascii="Arial" w:hAnsi="Arial" w:cs="Arial"/>
                  <w:b/>
                  <w:bCs/>
                  <w:sz w:val="14"/>
                  <w:szCs w:val="14"/>
                </w:rPr>
                <w:t>NR_MC_enh-Core</w:t>
              </w:r>
            </w:hyperlink>
          </w:p>
        </w:tc>
        <w:tc>
          <w:tcPr>
            <w:tcW w:w="1065" w:type="dxa"/>
          </w:tcPr>
          <w:p w14:paraId="728CE5C4" w14:textId="4170DA48" w:rsidR="00697CF0" w:rsidRPr="00697CF0" w:rsidRDefault="00697CF0" w:rsidP="00697CF0">
            <w:pPr>
              <w:rPr>
                <w:rFonts w:ascii="Arial" w:hAnsi="Arial" w:cs="Arial"/>
                <w:sz w:val="14"/>
                <w:szCs w:val="14"/>
              </w:rPr>
            </w:pPr>
            <w:r w:rsidRPr="00697CF0">
              <w:rPr>
                <w:rFonts w:ascii="Arial" w:hAnsi="Arial" w:cs="Arial"/>
                <w:sz w:val="14"/>
                <w:szCs w:val="14"/>
              </w:rPr>
              <w:t> </w:t>
            </w:r>
          </w:p>
        </w:tc>
        <w:tc>
          <w:tcPr>
            <w:tcW w:w="994" w:type="dxa"/>
          </w:tcPr>
          <w:p w14:paraId="22577728" w14:textId="2172C48A" w:rsidR="00697CF0" w:rsidRPr="00697CF0" w:rsidRDefault="00697CF0" w:rsidP="00697CF0">
            <w:pPr>
              <w:rPr>
                <w:rFonts w:ascii="Arial" w:hAnsi="Arial" w:cs="Arial"/>
                <w:sz w:val="14"/>
                <w:szCs w:val="14"/>
              </w:rPr>
            </w:pPr>
            <w:r w:rsidRPr="00697CF0">
              <w:rPr>
                <w:rFonts w:ascii="Arial" w:hAnsi="Arial" w:cs="Arial"/>
                <w:sz w:val="14"/>
                <w:szCs w:val="14"/>
              </w:rPr>
              <w:t>RAN2</w:t>
            </w:r>
          </w:p>
        </w:tc>
        <w:tc>
          <w:tcPr>
            <w:tcW w:w="994" w:type="dxa"/>
          </w:tcPr>
          <w:p w14:paraId="10830330" w14:textId="4AEAA771" w:rsidR="00697CF0" w:rsidRPr="00697CF0" w:rsidRDefault="00697CF0" w:rsidP="00697CF0">
            <w:pPr>
              <w:rPr>
                <w:rFonts w:ascii="Arial" w:hAnsi="Arial" w:cs="Arial"/>
                <w:sz w:val="14"/>
                <w:szCs w:val="14"/>
              </w:rPr>
            </w:pPr>
            <w:r w:rsidRPr="00697CF0">
              <w:rPr>
                <w:rFonts w:ascii="Arial" w:hAnsi="Arial" w:cs="Arial"/>
                <w:sz w:val="14"/>
                <w:szCs w:val="14"/>
              </w:rPr>
              <w:t>RAN1</w:t>
            </w:r>
          </w:p>
        </w:tc>
        <w:tc>
          <w:tcPr>
            <w:tcW w:w="1120" w:type="dxa"/>
          </w:tcPr>
          <w:p w14:paraId="0D1E111F" w14:textId="27267491" w:rsidR="00697CF0" w:rsidRPr="00697CF0" w:rsidRDefault="00697CF0" w:rsidP="00697CF0">
            <w:pPr>
              <w:rPr>
                <w:rFonts w:ascii="Arial" w:hAnsi="Arial" w:cs="Arial"/>
                <w:sz w:val="14"/>
                <w:szCs w:val="14"/>
              </w:rPr>
            </w:pPr>
            <w:r w:rsidRPr="00697CF0">
              <w:rPr>
                <w:rFonts w:ascii="Arial" w:hAnsi="Arial" w:cs="Arial"/>
                <w:sz w:val="14"/>
                <w:szCs w:val="14"/>
              </w:rPr>
              <w:t>R4-2317609</w:t>
            </w:r>
          </w:p>
        </w:tc>
        <w:tc>
          <w:tcPr>
            <w:tcW w:w="1062" w:type="dxa"/>
          </w:tcPr>
          <w:p w14:paraId="55838D14" w14:textId="0952A257" w:rsidR="00697CF0" w:rsidRPr="00697CF0" w:rsidRDefault="00697CF0" w:rsidP="00697CF0">
            <w:pPr>
              <w:rPr>
                <w:rFonts w:ascii="Arial" w:hAnsi="Arial" w:cs="Arial"/>
                <w:sz w:val="14"/>
                <w:szCs w:val="14"/>
              </w:rPr>
            </w:pPr>
            <w:r w:rsidRPr="00697CF0">
              <w:rPr>
                <w:rFonts w:ascii="Arial" w:hAnsi="Arial" w:cs="Arial"/>
                <w:sz w:val="14"/>
                <w:szCs w:val="14"/>
              </w:rPr>
              <w:t> </w:t>
            </w:r>
          </w:p>
        </w:tc>
      </w:tr>
      <w:tr w:rsidR="00697CF0" w:rsidRPr="009537ED" w14:paraId="10620A43" w14:textId="77777777" w:rsidTr="00E013E9">
        <w:trPr>
          <w:trHeight w:val="20"/>
          <w:jc w:val="center"/>
        </w:trPr>
        <w:tc>
          <w:tcPr>
            <w:tcW w:w="1094" w:type="dxa"/>
          </w:tcPr>
          <w:p w14:paraId="4915FE76" w14:textId="12B9EE6E" w:rsidR="00697CF0" w:rsidRPr="00697CF0" w:rsidRDefault="005A18DC" w:rsidP="00697CF0">
            <w:pPr>
              <w:rPr>
                <w:rFonts w:ascii="Arial" w:hAnsi="Arial" w:cs="Arial"/>
                <w:bCs/>
                <w:sz w:val="14"/>
                <w:szCs w:val="14"/>
              </w:rPr>
            </w:pPr>
            <w:hyperlink r:id="rId2884" w:history="1">
              <w:r w:rsidR="00AF7253">
                <w:rPr>
                  <w:rStyle w:val="Hyperlink"/>
                  <w:rFonts w:ascii="Arial" w:hAnsi="Arial" w:cs="Arial"/>
                  <w:b/>
                  <w:bCs/>
                  <w:sz w:val="14"/>
                  <w:szCs w:val="14"/>
                </w:rPr>
                <w:t>R1-2310805</w:t>
              </w:r>
            </w:hyperlink>
          </w:p>
        </w:tc>
        <w:tc>
          <w:tcPr>
            <w:tcW w:w="2646" w:type="dxa"/>
          </w:tcPr>
          <w:p w14:paraId="6BCFD885" w14:textId="771270E0" w:rsidR="00697CF0" w:rsidRPr="00697CF0" w:rsidRDefault="00697CF0" w:rsidP="00697CF0">
            <w:pPr>
              <w:rPr>
                <w:rFonts w:ascii="Arial" w:hAnsi="Arial" w:cs="Arial"/>
                <w:sz w:val="14"/>
                <w:szCs w:val="14"/>
              </w:rPr>
            </w:pPr>
            <w:r w:rsidRPr="00697CF0">
              <w:rPr>
                <w:rFonts w:ascii="Arial" w:hAnsi="Arial" w:cs="Arial"/>
                <w:sz w:val="14"/>
                <w:szCs w:val="14"/>
              </w:rPr>
              <w:t>LS on unaffected band case for UL Tx switching</w:t>
            </w:r>
          </w:p>
        </w:tc>
        <w:tc>
          <w:tcPr>
            <w:tcW w:w="1583" w:type="dxa"/>
          </w:tcPr>
          <w:p w14:paraId="1FB2567D" w14:textId="19813A29" w:rsidR="00697CF0" w:rsidRPr="00697CF0" w:rsidRDefault="00697CF0" w:rsidP="00697CF0">
            <w:pPr>
              <w:rPr>
                <w:rFonts w:ascii="Arial" w:hAnsi="Arial" w:cs="Arial"/>
                <w:sz w:val="14"/>
                <w:szCs w:val="14"/>
              </w:rPr>
            </w:pPr>
            <w:r w:rsidRPr="00697CF0">
              <w:rPr>
                <w:rFonts w:ascii="Arial" w:hAnsi="Arial" w:cs="Arial"/>
                <w:sz w:val="14"/>
                <w:szCs w:val="14"/>
              </w:rPr>
              <w:t>RAN4, vivo</w:t>
            </w:r>
          </w:p>
        </w:tc>
        <w:tc>
          <w:tcPr>
            <w:tcW w:w="909" w:type="dxa"/>
          </w:tcPr>
          <w:p w14:paraId="17ACA9BE" w14:textId="0DA1093E" w:rsidR="00697CF0" w:rsidRPr="00697CF0" w:rsidRDefault="005A18DC" w:rsidP="00697CF0">
            <w:pPr>
              <w:rPr>
                <w:rFonts w:ascii="Arial" w:hAnsi="Arial" w:cs="Arial"/>
                <w:bCs/>
                <w:sz w:val="14"/>
                <w:szCs w:val="14"/>
              </w:rPr>
            </w:pPr>
            <w:hyperlink r:id="rId2885" w:history="1">
              <w:r w:rsidR="00697CF0" w:rsidRPr="00697CF0">
                <w:rPr>
                  <w:rStyle w:val="Hyperlink"/>
                  <w:rFonts w:ascii="Arial" w:hAnsi="Arial" w:cs="Arial"/>
                  <w:b/>
                  <w:bCs/>
                  <w:sz w:val="14"/>
                  <w:szCs w:val="14"/>
                </w:rPr>
                <w:t>Rel-18</w:t>
              </w:r>
            </w:hyperlink>
          </w:p>
        </w:tc>
        <w:tc>
          <w:tcPr>
            <w:tcW w:w="2600" w:type="dxa"/>
          </w:tcPr>
          <w:p w14:paraId="55F89791" w14:textId="75EC5AE6" w:rsidR="00697CF0" w:rsidRPr="00697CF0" w:rsidRDefault="005A18DC" w:rsidP="00697CF0">
            <w:pPr>
              <w:rPr>
                <w:rFonts w:ascii="Arial" w:hAnsi="Arial" w:cs="Arial"/>
                <w:bCs/>
                <w:sz w:val="14"/>
                <w:szCs w:val="14"/>
              </w:rPr>
            </w:pPr>
            <w:hyperlink r:id="rId2886" w:history="1">
              <w:r w:rsidR="00697CF0" w:rsidRPr="00697CF0">
                <w:rPr>
                  <w:rStyle w:val="Hyperlink"/>
                  <w:rFonts w:ascii="Arial" w:hAnsi="Arial" w:cs="Arial"/>
                  <w:b/>
                  <w:bCs/>
                  <w:sz w:val="14"/>
                  <w:szCs w:val="14"/>
                </w:rPr>
                <w:t>NR_MC_enh-Core</w:t>
              </w:r>
            </w:hyperlink>
          </w:p>
        </w:tc>
        <w:tc>
          <w:tcPr>
            <w:tcW w:w="1065" w:type="dxa"/>
          </w:tcPr>
          <w:p w14:paraId="3CDB82B2" w14:textId="07681F6C" w:rsidR="00697CF0" w:rsidRPr="00697CF0" w:rsidRDefault="00697CF0" w:rsidP="00697CF0">
            <w:pPr>
              <w:rPr>
                <w:rFonts w:ascii="Arial" w:hAnsi="Arial" w:cs="Arial"/>
                <w:sz w:val="14"/>
                <w:szCs w:val="14"/>
              </w:rPr>
            </w:pPr>
            <w:r w:rsidRPr="00697CF0">
              <w:rPr>
                <w:rFonts w:ascii="Arial" w:hAnsi="Arial" w:cs="Arial"/>
                <w:sz w:val="14"/>
                <w:szCs w:val="14"/>
              </w:rPr>
              <w:t> </w:t>
            </w:r>
          </w:p>
        </w:tc>
        <w:tc>
          <w:tcPr>
            <w:tcW w:w="994" w:type="dxa"/>
          </w:tcPr>
          <w:p w14:paraId="4C31CB84" w14:textId="408A1B12" w:rsidR="00697CF0" w:rsidRPr="00697CF0" w:rsidRDefault="00697CF0" w:rsidP="00697CF0">
            <w:pPr>
              <w:rPr>
                <w:rFonts w:ascii="Arial" w:hAnsi="Arial" w:cs="Arial"/>
                <w:sz w:val="14"/>
                <w:szCs w:val="14"/>
              </w:rPr>
            </w:pPr>
            <w:r w:rsidRPr="00697CF0">
              <w:rPr>
                <w:rFonts w:ascii="Arial" w:hAnsi="Arial" w:cs="Arial"/>
                <w:sz w:val="14"/>
                <w:szCs w:val="14"/>
              </w:rPr>
              <w:t>RAN2</w:t>
            </w:r>
          </w:p>
        </w:tc>
        <w:tc>
          <w:tcPr>
            <w:tcW w:w="994" w:type="dxa"/>
          </w:tcPr>
          <w:p w14:paraId="2D597387" w14:textId="0D3D5B28" w:rsidR="00697CF0" w:rsidRPr="00697CF0" w:rsidRDefault="00697CF0" w:rsidP="00697CF0">
            <w:pPr>
              <w:rPr>
                <w:rFonts w:ascii="Arial" w:hAnsi="Arial" w:cs="Arial"/>
                <w:sz w:val="14"/>
                <w:szCs w:val="14"/>
              </w:rPr>
            </w:pPr>
            <w:r w:rsidRPr="00697CF0">
              <w:rPr>
                <w:rFonts w:ascii="Arial" w:hAnsi="Arial" w:cs="Arial"/>
                <w:sz w:val="14"/>
                <w:szCs w:val="14"/>
              </w:rPr>
              <w:t>RAN1</w:t>
            </w:r>
          </w:p>
        </w:tc>
        <w:tc>
          <w:tcPr>
            <w:tcW w:w="1120" w:type="dxa"/>
          </w:tcPr>
          <w:p w14:paraId="5BB1BD16" w14:textId="05DECA4D" w:rsidR="00697CF0" w:rsidRPr="00697CF0" w:rsidRDefault="00697CF0" w:rsidP="00697CF0">
            <w:pPr>
              <w:rPr>
                <w:rFonts w:ascii="Arial" w:hAnsi="Arial" w:cs="Arial"/>
                <w:sz w:val="14"/>
                <w:szCs w:val="14"/>
              </w:rPr>
            </w:pPr>
            <w:r w:rsidRPr="00697CF0">
              <w:rPr>
                <w:rFonts w:ascii="Arial" w:hAnsi="Arial" w:cs="Arial"/>
                <w:sz w:val="14"/>
                <w:szCs w:val="14"/>
              </w:rPr>
              <w:t>R4-2317610</w:t>
            </w:r>
          </w:p>
        </w:tc>
        <w:tc>
          <w:tcPr>
            <w:tcW w:w="1062" w:type="dxa"/>
          </w:tcPr>
          <w:p w14:paraId="4CAFD3ED" w14:textId="4F03AB5D" w:rsidR="00697CF0" w:rsidRPr="00697CF0" w:rsidRDefault="00697CF0" w:rsidP="00697CF0">
            <w:pPr>
              <w:rPr>
                <w:rFonts w:ascii="Arial" w:hAnsi="Arial" w:cs="Arial"/>
                <w:sz w:val="14"/>
                <w:szCs w:val="14"/>
              </w:rPr>
            </w:pPr>
            <w:r w:rsidRPr="00697CF0">
              <w:rPr>
                <w:rFonts w:ascii="Arial" w:hAnsi="Arial" w:cs="Arial"/>
                <w:sz w:val="14"/>
                <w:szCs w:val="14"/>
              </w:rPr>
              <w:t> </w:t>
            </w:r>
          </w:p>
        </w:tc>
      </w:tr>
      <w:tr w:rsidR="00697CF0" w:rsidRPr="009537ED" w14:paraId="0820B7CF" w14:textId="77777777" w:rsidTr="00012FC5">
        <w:trPr>
          <w:trHeight w:val="20"/>
          <w:jc w:val="center"/>
        </w:trPr>
        <w:tc>
          <w:tcPr>
            <w:tcW w:w="1094" w:type="dxa"/>
          </w:tcPr>
          <w:p w14:paraId="0246DAFC" w14:textId="640880D2" w:rsidR="00697CF0" w:rsidRPr="00697CF0" w:rsidRDefault="005A18DC" w:rsidP="00697CF0">
            <w:pPr>
              <w:rPr>
                <w:rFonts w:ascii="Arial" w:hAnsi="Arial" w:cs="Arial"/>
                <w:bCs/>
                <w:sz w:val="14"/>
                <w:szCs w:val="14"/>
              </w:rPr>
            </w:pPr>
            <w:hyperlink r:id="rId2887" w:history="1">
              <w:r w:rsidR="00AF7253">
                <w:rPr>
                  <w:rStyle w:val="Hyperlink"/>
                  <w:rFonts w:ascii="Arial" w:hAnsi="Arial" w:cs="Arial"/>
                  <w:b/>
                  <w:bCs/>
                  <w:sz w:val="14"/>
                  <w:szCs w:val="14"/>
                </w:rPr>
                <w:t>R1-2310806</w:t>
              </w:r>
            </w:hyperlink>
          </w:p>
        </w:tc>
        <w:tc>
          <w:tcPr>
            <w:tcW w:w="2646" w:type="dxa"/>
          </w:tcPr>
          <w:p w14:paraId="734BA653" w14:textId="3FED69C8" w:rsidR="00697CF0" w:rsidRPr="00697CF0" w:rsidRDefault="00697CF0" w:rsidP="00697CF0">
            <w:pPr>
              <w:rPr>
                <w:rFonts w:ascii="Arial" w:hAnsi="Arial" w:cs="Arial"/>
                <w:sz w:val="14"/>
                <w:szCs w:val="14"/>
              </w:rPr>
            </w:pPr>
            <w:r w:rsidRPr="00697CF0">
              <w:rPr>
                <w:rFonts w:ascii="Arial" w:hAnsi="Arial" w:cs="Arial"/>
                <w:sz w:val="14"/>
                <w:szCs w:val="14"/>
              </w:rPr>
              <w:t>LS on a capability of UE power class and IE on PEMAX,CA for SL CA</w:t>
            </w:r>
          </w:p>
        </w:tc>
        <w:tc>
          <w:tcPr>
            <w:tcW w:w="1583" w:type="dxa"/>
          </w:tcPr>
          <w:p w14:paraId="3838A183" w14:textId="12000117" w:rsidR="00697CF0" w:rsidRPr="00697CF0" w:rsidRDefault="00697CF0" w:rsidP="00697CF0">
            <w:pPr>
              <w:rPr>
                <w:rFonts w:ascii="Arial" w:hAnsi="Arial" w:cs="Arial"/>
                <w:sz w:val="14"/>
                <w:szCs w:val="14"/>
              </w:rPr>
            </w:pPr>
            <w:r w:rsidRPr="00697CF0">
              <w:rPr>
                <w:rFonts w:ascii="Arial" w:hAnsi="Arial" w:cs="Arial"/>
                <w:sz w:val="14"/>
                <w:szCs w:val="14"/>
              </w:rPr>
              <w:t>RAN4, LG Electronics, OPPO</w:t>
            </w:r>
          </w:p>
        </w:tc>
        <w:tc>
          <w:tcPr>
            <w:tcW w:w="909" w:type="dxa"/>
          </w:tcPr>
          <w:p w14:paraId="6F98E399" w14:textId="25368442" w:rsidR="00697CF0" w:rsidRPr="00697CF0" w:rsidRDefault="005A18DC" w:rsidP="00697CF0">
            <w:pPr>
              <w:rPr>
                <w:rFonts w:ascii="Arial" w:hAnsi="Arial" w:cs="Arial"/>
                <w:bCs/>
                <w:sz w:val="14"/>
                <w:szCs w:val="14"/>
              </w:rPr>
            </w:pPr>
            <w:hyperlink r:id="rId2888" w:history="1">
              <w:r w:rsidR="00697CF0" w:rsidRPr="00697CF0">
                <w:rPr>
                  <w:rStyle w:val="Hyperlink"/>
                  <w:rFonts w:ascii="Arial" w:hAnsi="Arial" w:cs="Arial"/>
                  <w:b/>
                  <w:bCs/>
                  <w:sz w:val="14"/>
                  <w:szCs w:val="14"/>
                </w:rPr>
                <w:t>Rel-18</w:t>
              </w:r>
            </w:hyperlink>
          </w:p>
        </w:tc>
        <w:tc>
          <w:tcPr>
            <w:tcW w:w="2600" w:type="dxa"/>
          </w:tcPr>
          <w:p w14:paraId="57604996" w14:textId="377C9498" w:rsidR="00697CF0" w:rsidRPr="00697CF0" w:rsidRDefault="005A18DC" w:rsidP="00697CF0">
            <w:pPr>
              <w:rPr>
                <w:rFonts w:ascii="Arial" w:hAnsi="Arial" w:cs="Arial"/>
                <w:bCs/>
                <w:sz w:val="14"/>
                <w:szCs w:val="14"/>
              </w:rPr>
            </w:pPr>
            <w:hyperlink r:id="rId2889" w:history="1">
              <w:r w:rsidR="00697CF0" w:rsidRPr="00697CF0">
                <w:rPr>
                  <w:rStyle w:val="Hyperlink"/>
                  <w:rFonts w:ascii="Arial" w:hAnsi="Arial" w:cs="Arial"/>
                  <w:b/>
                  <w:bCs/>
                  <w:sz w:val="14"/>
                  <w:szCs w:val="14"/>
                </w:rPr>
                <w:t>NR_SL_enh2-Core</w:t>
              </w:r>
            </w:hyperlink>
          </w:p>
        </w:tc>
        <w:tc>
          <w:tcPr>
            <w:tcW w:w="1065" w:type="dxa"/>
          </w:tcPr>
          <w:p w14:paraId="23F3D3A4" w14:textId="415D6309" w:rsidR="00697CF0" w:rsidRPr="00697CF0" w:rsidRDefault="00697CF0" w:rsidP="00697CF0">
            <w:pPr>
              <w:rPr>
                <w:rFonts w:ascii="Arial" w:hAnsi="Arial" w:cs="Arial"/>
                <w:sz w:val="14"/>
                <w:szCs w:val="14"/>
              </w:rPr>
            </w:pPr>
            <w:r w:rsidRPr="00697CF0">
              <w:rPr>
                <w:rFonts w:ascii="Arial" w:hAnsi="Arial" w:cs="Arial"/>
                <w:sz w:val="14"/>
                <w:szCs w:val="14"/>
              </w:rPr>
              <w:t> </w:t>
            </w:r>
          </w:p>
        </w:tc>
        <w:tc>
          <w:tcPr>
            <w:tcW w:w="994" w:type="dxa"/>
          </w:tcPr>
          <w:p w14:paraId="5C0AED61" w14:textId="36AD259D" w:rsidR="00697CF0" w:rsidRPr="00697CF0" w:rsidRDefault="00697CF0" w:rsidP="00697CF0">
            <w:pPr>
              <w:rPr>
                <w:rFonts w:ascii="Arial" w:hAnsi="Arial" w:cs="Arial"/>
                <w:sz w:val="14"/>
                <w:szCs w:val="14"/>
              </w:rPr>
            </w:pPr>
            <w:r w:rsidRPr="00697CF0">
              <w:rPr>
                <w:rFonts w:ascii="Arial" w:hAnsi="Arial" w:cs="Arial"/>
                <w:sz w:val="14"/>
                <w:szCs w:val="14"/>
              </w:rPr>
              <w:t>RAN2</w:t>
            </w:r>
          </w:p>
        </w:tc>
        <w:tc>
          <w:tcPr>
            <w:tcW w:w="994" w:type="dxa"/>
          </w:tcPr>
          <w:p w14:paraId="2A4181EC" w14:textId="2B88CD9B" w:rsidR="00697CF0" w:rsidRPr="00697CF0" w:rsidRDefault="00697CF0" w:rsidP="00697CF0">
            <w:pPr>
              <w:rPr>
                <w:rFonts w:ascii="Arial" w:hAnsi="Arial" w:cs="Arial"/>
                <w:sz w:val="14"/>
                <w:szCs w:val="14"/>
              </w:rPr>
            </w:pPr>
            <w:r w:rsidRPr="00697CF0">
              <w:rPr>
                <w:rFonts w:ascii="Arial" w:hAnsi="Arial" w:cs="Arial"/>
                <w:sz w:val="14"/>
                <w:szCs w:val="14"/>
              </w:rPr>
              <w:t>RAN1</w:t>
            </w:r>
          </w:p>
        </w:tc>
        <w:tc>
          <w:tcPr>
            <w:tcW w:w="1120" w:type="dxa"/>
          </w:tcPr>
          <w:p w14:paraId="2E2212DA" w14:textId="3A44776B" w:rsidR="00697CF0" w:rsidRPr="00697CF0" w:rsidRDefault="00697CF0" w:rsidP="00697CF0">
            <w:pPr>
              <w:rPr>
                <w:rFonts w:ascii="Arial" w:hAnsi="Arial" w:cs="Arial"/>
                <w:sz w:val="14"/>
                <w:szCs w:val="14"/>
              </w:rPr>
            </w:pPr>
            <w:r w:rsidRPr="00697CF0">
              <w:rPr>
                <w:rFonts w:ascii="Arial" w:hAnsi="Arial" w:cs="Arial"/>
                <w:sz w:val="14"/>
                <w:szCs w:val="14"/>
              </w:rPr>
              <w:t>R4-2317751</w:t>
            </w:r>
          </w:p>
        </w:tc>
        <w:tc>
          <w:tcPr>
            <w:tcW w:w="1062" w:type="dxa"/>
          </w:tcPr>
          <w:p w14:paraId="6C3A000C" w14:textId="6FA621FA" w:rsidR="00697CF0" w:rsidRPr="00697CF0" w:rsidRDefault="00697CF0" w:rsidP="00697CF0">
            <w:pPr>
              <w:rPr>
                <w:rFonts w:ascii="Arial" w:hAnsi="Arial" w:cs="Arial"/>
                <w:sz w:val="14"/>
                <w:szCs w:val="14"/>
              </w:rPr>
            </w:pPr>
            <w:r w:rsidRPr="00697CF0">
              <w:rPr>
                <w:rFonts w:ascii="Arial" w:hAnsi="Arial" w:cs="Arial"/>
                <w:sz w:val="14"/>
                <w:szCs w:val="14"/>
              </w:rPr>
              <w:t> </w:t>
            </w:r>
          </w:p>
        </w:tc>
      </w:tr>
      <w:tr w:rsidR="00697CF0" w:rsidRPr="009537ED" w14:paraId="7D696929" w14:textId="77777777" w:rsidTr="00012FC5">
        <w:trPr>
          <w:trHeight w:val="20"/>
          <w:jc w:val="center"/>
        </w:trPr>
        <w:tc>
          <w:tcPr>
            <w:tcW w:w="1094" w:type="dxa"/>
          </w:tcPr>
          <w:p w14:paraId="6A3845F5" w14:textId="220D4E15" w:rsidR="00697CF0" w:rsidRPr="00697CF0" w:rsidRDefault="005A18DC" w:rsidP="00697CF0">
            <w:pPr>
              <w:rPr>
                <w:rFonts w:ascii="Arial" w:hAnsi="Arial" w:cs="Arial"/>
                <w:bCs/>
                <w:sz w:val="14"/>
                <w:szCs w:val="14"/>
              </w:rPr>
            </w:pPr>
            <w:hyperlink r:id="rId2890" w:history="1">
              <w:r w:rsidR="00AF7253">
                <w:rPr>
                  <w:rStyle w:val="Hyperlink"/>
                  <w:rFonts w:ascii="Arial" w:hAnsi="Arial" w:cs="Arial"/>
                  <w:b/>
                  <w:bCs/>
                  <w:sz w:val="14"/>
                  <w:szCs w:val="14"/>
                </w:rPr>
                <w:t>R1-2310807</w:t>
              </w:r>
            </w:hyperlink>
          </w:p>
        </w:tc>
        <w:tc>
          <w:tcPr>
            <w:tcW w:w="2646" w:type="dxa"/>
          </w:tcPr>
          <w:p w14:paraId="0BE0A5F8" w14:textId="69A8D29D" w:rsidR="00697CF0" w:rsidRPr="00697CF0" w:rsidRDefault="00697CF0" w:rsidP="00697CF0">
            <w:pPr>
              <w:rPr>
                <w:rFonts w:ascii="Arial" w:hAnsi="Arial" w:cs="Arial"/>
                <w:sz w:val="14"/>
                <w:szCs w:val="14"/>
              </w:rPr>
            </w:pPr>
            <w:r w:rsidRPr="00697CF0">
              <w:rPr>
                <w:rFonts w:ascii="Arial" w:hAnsi="Arial" w:cs="Arial"/>
                <w:sz w:val="14"/>
                <w:szCs w:val="14"/>
              </w:rPr>
              <w:t>LS on Rel-18 Tx switching enhancement</w:t>
            </w:r>
          </w:p>
        </w:tc>
        <w:tc>
          <w:tcPr>
            <w:tcW w:w="1583" w:type="dxa"/>
          </w:tcPr>
          <w:p w14:paraId="444BC607" w14:textId="0CA4BB96" w:rsidR="00697CF0" w:rsidRPr="00697CF0" w:rsidRDefault="00697CF0" w:rsidP="00697CF0">
            <w:pPr>
              <w:rPr>
                <w:rFonts w:ascii="Arial" w:hAnsi="Arial" w:cs="Arial"/>
                <w:sz w:val="14"/>
                <w:szCs w:val="14"/>
              </w:rPr>
            </w:pPr>
            <w:r w:rsidRPr="00697CF0">
              <w:rPr>
                <w:rFonts w:ascii="Arial" w:hAnsi="Arial" w:cs="Arial"/>
                <w:sz w:val="14"/>
                <w:szCs w:val="14"/>
              </w:rPr>
              <w:t>RAN4, Huawei</w:t>
            </w:r>
          </w:p>
        </w:tc>
        <w:tc>
          <w:tcPr>
            <w:tcW w:w="909" w:type="dxa"/>
          </w:tcPr>
          <w:p w14:paraId="29F8D775" w14:textId="26BD2836" w:rsidR="00697CF0" w:rsidRPr="00697CF0" w:rsidRDefault="005A18DC" w:rsidP="00697CF0">
            <w:pPr>
              <w:rPr>
                <w:rFonts w:ascii="Arial" w:hAnsi="Arial" w:cs="Arial"/>
                <w:bCs/>
                <w:sz w:val="14"/>
                <w:szCs w:val="14"/>
              </w:rPr>
            </w:pPr>
            <w:hyperlink r:id="rId2891" w:history="1">
              <w:r w:rsidR="00697CF0" w:rsidRPr="00697CF0">
                <w:rPr>
                  <w:rStyle w:val="Hyperlink"/>
                  <w:rFonts w:ascii="Arial" w:hAnsi="Arial" w:cs="Arial"/>
                  <w:b/>
                  <w:bCs/>
                  <w:sz w:val="14"/>
                  <w:szCs w:val="14"/>
                </w:rPr>
                <w:t>Rel-18</w:t>
              </w:r>
            </w:hyperlink>
          </w:p>
        </w:tc>
        <w:tc>
          <w:tcPr>
            <w:tcW w:w="2600" w:type="dxa"/>
          </w:tcPr>
          <w:p w14:paraId="4A6E5FF9" w14:textId="41BC545E" w:rsidR="00697CF0" w:rsidRPr="00697CF0" w:rsidRDefault="005A18DC" w:rsidP="00697CF0">
            <w:pPr>
              <w:rPr>
                <w:rFonts w:ascii="Arial" w:hAnsi="Arial" w:cs="Arial"/>
                <w:bCs/>
                <w:sz w:val="14"/>
                <w:szCs w:val="14"/>
              </w:rPr>
            </w:pPr>
            <w:hyperlink r:id="rId2892" w:history="1">
              <w:r w:rsidR="00697CF0" w:rsidRPr="00697CF0">
                <w:rPr>
                  <w:rStyle w:val="Hyperlink"/>
                  <w:rFonts w:ascii="Arial" w:hAnsi="Arial" w:cs="Arial"/>
                  <w:b/>
                  <w:bCs/>
                  <w:sz w:val="14"/>
                  <w:szCs w:val="14"/>
                </w:rPr>
                <w:t>NR_MC_enh-Core</w:t>
              </w:r>
            </w:hyperlink>
          </w:p>
        </w:tc>
        <w:tc>
          <w:tcPr>
            <w:tcW w:w="1065" w:type="dxa"/>
          </w:tcPr>
          <w:p w14:paraId="07649D57" w14:textId="70FD6F30" w:rsidR="00697CF0" w:rsidRPr="00697CF0" w:rsidRDefault="00697CF0" w:rsidP="00697CF0">
            <w:pPr>
              <w:rPr>
                <w:rFonts w:ascii="Arial" w:hAnsi="Arial" w:cs="Arial"/>
                <w:sz w:val="14"/>
                <w:szCs w:val="14"/>
              </w:rPr>
            </w:pPr>
            <w:r w:rsidRPr="00697CF0">
              <w:rPr>
                <w:rFonts w:ascii="Arial" w:hAnsi="Arial" w:cs="Arial"/>
                <w:sz w:val="14"/>
                <w:szCs w:val="14"/>
              </w:rPr>
              <w:t> </w:t>
            </w:r>
          </w:p>
        </w:tc>
        <w:tc>
          <w:tcPr>
            <w:tcW w:w="994" w:type="dxa"/>
          </w:tcPr>
          <w:p w14:paraId="39F4C9D4" w14:textId="459F8ADC" w:rsidR="00697CF0" w:rsidRPr="00697CF0" w:rsidRDefault="00697CF0" w:rsidP="00697CF0">
            <w:pPr>
              <w:rPr>
                <w:rFonts w:ascii="Arial" w:hAnsi="Arial" w:cs="Arial"/>
                <w:sz w:val="14"/>
                <w:szCs w:val="14"/>
              </w:rPr>
            </w:pPr>
            <w:r w:rsidRPr="00697CF0">
              <w:rPr>
                <w:rFonts w:ascii="Arial" w:hAnsi="Arial" w:cs="Arial"/>
                <w:sz w:val="14"/>
                <w:szCs w:val="14"/>
              </w:rPr>
              <w:t>RAN2</w:t>
            </w:r>
          </w:p>
        </w:tc>
        <w:tc>
          <w:tcPr>
            <w:tcW w:w="994" w:type="dxa"/>
          </w:tcPr>
          <w:p w14:paraId="7EEF9ED5" w14:textId="149EEEAB" w:rsidR="00697CF0" w:rsidRPr="00697CF0" w:rsidRDefault="00697CF0" w:rsidP="00697CF0">
            <w:pPr>
              <w:rPr>
                <w:rFonts w:ascii="Arial" w:hAnsi="Arial" w:cs="Arial"/>
                <w:sz w:val="14"/>
                <w:szCs w:val="14"/>
              </w:rPr>
            </w:pPr>
            <w:r w:rsidRPr="00697CF0">
              <w:rPr>
                <w:rFonts w:ascii="Arial" w:hAnsi="Arial" w:cs="Arial"/>
                <w:sz w:val="14"/>
                <w:szCs w:val="14"/>
              </w:rPr>
              <w:t>RAN1</w:t>
            </w:r>
          </w:p>
        </w:tc>
        <w:tc>
          <w:tcPr>
            <w:tcW w:w="1120" w:type="dxa"/>
          </w:tcPr>
          <w:p w14:paraId="49AD42E5" w14:textId="3036DA4F" w:rsidR="00697CF0" w:rsidRPr="00697CF0" w:rsidRDefault="00697CF0" w:rsidP="00697CF0">
            <w:pPr>
              <w:rPr>
                <w:rFonts w:ascii="Arial" w:hAnsi="Arial" w:cs="Arial"/>
                <w:sz w:val="14"/>
                <w:szCs w:val="14"/>
              </w:rPr>
            </w:pPr>
            <w:r w:rsidRPr="00697CF0">
              <w:rPr>
                <w:rFonts w:ascii="Arial" w:hAnsi="Arial" w:cs="Arial"/>
                <w:sz w:val="14"/>
                <w:szCs w:val="14"/>
              </w:rPr>
              <w:t>R4-2317774</w:t>
            </w:r>
          </w:p>
        </w:tc>
        <w:tc>
          <w:tcPr>
            <w:tcW w:w="1062" w:type="dxa"/>
          </w:tcPr>
          <w:p w14:paraId="16EC2C3A" w14:textId="4361C76A" w:rsidR="00697CF0" w:rsidRPr="00697CF0" w:rsidRDefault="00697CF0" w:rsidP="00697CF0">
            <w:pPr>
              <w:rPr>
                <w:rFonts w:ascii="Arial" w:hAnsi="Arial" w:cs="Arial"/>
                <w:sz w:val="14"/>
                <w:szCs w:val="14"/>
              </w:rPr>
            </w:pPr>
            <w:r w:rsidRPr="00697CF0">
              <w:rPr>
                <w:rFonts w:ascii="Arial" w:hAnsi="Arial" w:cs="Arial"/>
                <w:sz w:val="14"/>
                <w:szCs w:val="14"/>
              </w:rPr>
              <w:t> </w:t>
            </w:r>
          </w:p>
        </w:tc>
      </w:tr>
      <w:tr w:rsidR="00697CF0" w:rsidRPr="009537ED" w14:paraId="20937F8C" w14:textId="77777777" w:rsidTr="00012FC5">
        <w:trPr>
          <w:trHeight w:val="20"/>
          <w:jc w:val="center"/>
        </w:trPr>
        <w:tc>
          <w:tcPr>
            <w:tcW w:w="1094" w:type="dxa"/>
          </w:tcPr>
          <w:p w14:paraId="4FF43DA8" w14:textId="4F41A95E" w:rsidR="00697CF0" w:rsidRPr="00697CF0" w:rsidRDefault="005A18DC" w:rsidP="00697CF0">
            <w:pPr>
              <w:rPr>
                <w:rFonts w:ascii="Arial" w:hAnsi="Arial" w:cs="Arial"/>
                <w:bCs/>
                <w:sz w:val="14"/>
                <w:szCs w:val="14"/>
              </w:rPr>
            </w:pPr>
            <w:hyperlink r:id="rId2893" w:history="1">
              <w:r w:rsidR="00AF7253">
                <w:rPr>
                  <w:rStyle w:val="Hyperlink"/>
                  <w:rFonts w:ascii="Arial" w:hAnsi="Arial" w:cs="Arial"/>
                  <w:b/>
                  <w:bCs/>
                  <w:sz w:val="14"/>
                  <w:szCs w:val="14"/>
                </w:rPr>
                <w:t>R1-2310808</w:t>
              </w:r>
            </w:hyperlink>
          </w:p>
        </w:tc>
        <w:tc>
          <w:tcPr>
            <w:tcW w:w="2646" w:type="dxa"/>
          </w:tcPr>
          <w:p w14:paraId="67EE484B" w14:textId="495390CE" w:rsidR="00697CF0" w:rsidRPr="00697CF0" w:rsidRDefault="00697CF0" w:rsidP="00697CF0">
            <w:pPr>
              <w:rPr>
                <w:rFonts w:ascii="Arial" w:hAnsi="Arial" w:cs="Arial"/>
                <w:sz w:val="14"/>
                <w:szCs w:val="14"/>
              </w:rPr>
            </w:pPr>
            <w:r w:rsidRPr="00697CF0">
              <w:rPr>
                <w:rFonts w:ascii="Arial" w:hAnsi="Arial" w:cs="Arial"/>
                <w:sz w:val="14"/>
                <w:szCs w:val="14"/>
              </w:rPr>
              <w:t>LS on AI/ML Core Network enhancements</w:t>
            </w:r>
          </w:p>
        </w:tc>
        <w:tc>
          <w:tcPr>
            <w:tcW w:w="1583" w:type="dxa"/>
          </w:tcPr>
          <w:p w14:paraId="3B586586" w14:textId="25E70EE5" w:rsidR="00697CF0" w:rsidRPr="00697CF0" w:rsidRDefault="00697CF0" w:rsidP="00697CF0">
            <w:pPr>
              <w:rPr>
                <w:rFonts w:ascii="Arial" w:hAnsi="Arial" w:cs="Arial"/>
                <w:sz w:val="14"/>
                <w:szCs w:val="14"/>
              </w:rPr>
            </w:pPr>
            <w:r w:rsidRPr="00697CF0">
              <w:rPr>
                <w:rFonts w:ascii="Arial" w:hAnsi="Arial" w:cs="Arial"/>
                <w:sz w:val="14"/>
                <w:szCs w:val="14"/>
              </w:rPr>
              <w:t>SA2, Qualcomm</w:t>
            </w:r>
          </w:p>
        </w:tc>
        <w:tc>
          <w:tcPr>
            <w:tcW w:w="909" w:type="dxa"/>
          </w:tcPr>
          <w:p w14:paraId="493B9E52" w14:textId="2C333BC9" w:rsidR="00697CF0" w:rsidRPr="00697CF0" w:rsidRDefault="005A18DC" w:rsidP="00697CF0">
            <w:pPr>
              <w:rPr>
                <w:rFonts w:ascii="Arial" w:hAnsi="Arial" w:cs="Arial"/>
                <w:bCs/>
                <w:sz w:val="14"/>
                <w:szCs w:val="14"/>
              </w:rPr>
            </w:pPr>
            <w:hyperlink r:id="rId2894" w:history="1">
              <w:r w:rsidR="00697CF0" w:rsidRPr="00697CF0">
                <w:rPr>
                  <w:rStyle w:val="Hyperlink"/>
                  <w:rFonts w:ascii="Arial" w:hAnsi="Arial" w:cs="Arial"/>
                  <w:b/>
                  <w:bCs/>
                  <w:sz w:val="14"/>
                  <w:szCs w:val="14"/>
                </w:rPr>
                <w:t>Rel-18</w:t>
              </w:r>
            </w:hyperlink>
          </w:p>
        </w:tc>
        <w:tc>
          <w:tcPr>
            <w:tcW w:w="2600" w:type="dxa"/>
          </w:tcPr>
          <w:p w14:paraId="0F358510" w14:textId="44896AA2" w:rsidR="00697CF0" w:rsidRPr="00697CF0" w:rsidRDefault="005A18DC" w:rsidP="00697CF0">
            <w:pPr>
              <w:rPr>
                <w:rFonts w:ascii="Arial" w:hAnsi="Arial" w:cs="Arial"/>
                <w:bCs/>
                <w:sz w:val="14"/>
                <w:szCs w:val="14"/>
              </w:rPr>
            </w:pPr>
            <w:hyperlink r:id="rId2895" w:history="1">
              <w:r w:rsidR="00697CF0" w:rsidRPr="00697CF0">
                <w:rPr>
                  <w:rStyle w:val="Hyperlink"/>
                  <w:rFonts w:ascii="Arial" w:hAnsi="Arial" w:cs="Arial"/>
                  <w:b/>
                  <w:bCs/>
                  <w:sz w:val="14"/>
                  <w:szCs w:val="14"/>
                </w:rPr>
                <w:t>FS_NR_AIML_air</w:t>
              </w:r>
            </w:hyperlink>
          </w:p>
        </w:tc>
        <w:tc>
          <w:tcPr>
            <w:tcW w:w="1065" w:type="dxa"/>
          </w:tcPr>
          <w:p w14:paraId="133E5F0D" w14:textId="66CC8FCE" w:rsidR="00697CF0" w:rsidRPr="00697CF0" w:rsidRDefault="00697CF0" w:rsidP="00697CF0">
            <w:pPr>
              <w:rPr>
                <w:rFonts w:ascii="Arial" w:hAnsi="Arial" w:cs="Arial"/>
                <w:sz w:val="14"/>
                <w:szCs w:val="14"/>
              </w:rPr>
            </w:pPr>
            <w:r w:rsidRPr="00697CF0">
              <w:rPr>
                <w:rFonts w:ascii="Arial" w:hAnsi="Arial" w:cs="Arial"/>
                <w:sz w:val="14"/>
                <w:szCs w:val="14"/>
              </w:rPr>
              <w:t> </w:t>
            </w:r>
          </w:p>
        </w:tc>
        <w:tc>
          <w:tcPr>
            <w:tcW w:w="994" w:type="dxa"/>
          </w:tcPr>
          <w:p w14:paraId="5AD13DF4" w14:textId="50B5D290" w:rsidR="00697CF0" w:rsidRPr="00697CF0" w:rsidRDefault="00697CF0" w:rsidP="00697CF0">
            <w:pPr>
              <w:rPr>
                <w:rFonts w:ascii="Arial" w:hAnsi="Arial" w:cs="Arial"/>
                <w:sz w:val="14"/>
                <w:szCs w:val="14"/>
              </w:rPr>
            </w:pPr>
            <w:r w:rsidRPr="00697CF0">
              <w:rPr>
                <w:rFonts w:ascii="Arial" w:hAnsi="Arial" w:cs="Arial"/>
                <w:sz w:val="14"/>
                <w:szCs w:val="14"/>
              </w:rPr>
              <w:t>RAN, RAN1, RAN2, RAN3</w:t>
            </w:r>
          </w:p>
        </w:tc>
        <w:tc>
          <w:tcPr>
            <w:tcW w:w="994" w:type="dxa"/>
          </w:tcPr>
          <w:p w14:paraId="28429761" w14:textId="6A5BBA66" w:rsidR="00697CF0" w:rsidRPr="00697CF0" w:rsidRDefault="00697CF0" w:rsidP="00697CF0">
            <w:pPr>
              <w:rPr>
                <w:rFonts w:ascii="Arial" w:hAnsi="Arial" w:cs="Arial"/>
                <w:sz w:val="14"/>
                <w:szCs w:val="14"/>
              </w:rPr>
            </w:pPr>
            <w:r w:rsidRPr="00697CF0">
              <w:rPr>
                <w:rFonts w:ascii="Arial" w:hAnsi="Arial" w:cs="Arial"/>
                <w:sz w:val="14"/>
                <w:szCs w:val="14"/>
              </w:rPr>
              <w:t>SA</w:t>
            </w:r>
          </w:p>
        </w:tc>
        <w:tc>
          <w:tcPr>
            <w:tcW w:w="1120" w:type="dxa"/>
          </w:tcPr>
          <w:p w14:paraId="1DB620A2" w14:textId="5C0ABDF5" w:rsidR="00697CF0" w:rsidRPr="00697CF0" w:rsidRDefault="00697CF0" w:rsidP="00697CF0">
            <w:pPr>
              <w:rPr>
                <w:rFonts w:ascii="Arial" w:hAnsi="Arial" w:cs="Arial"/>
                <w:sz w:val="14"/>
                <w:szCs w:val="14"/>
              </w:rPr>
            </w:pPr>
            <w:r w:rsidRPr="00697CF0">
              <w:rPr>
                <w:rFonts w:ascii="Arial" w:hAnsi="Arial" w:cs="Arial"/>
                <w:sz w:val="14"/>
                <w:szCs w:val="14"/>
              </w:rPr>
              <w:t>S2-2311921</w:t>
            </w:r>
          </w:p>
        </w:tc>
        <w:tc>
          <w:tcPr>
            <w:tcW w:w="1062" w:type="dxa"/>
          </w:tcPr>
          <w:p w14:paraId="6F0EA9C3" w14:textId="23265738" w:rsidR="00697CF0" w:rsidRPr="00697CF0" w:rsidRDefault="00697CF0" w:rsidP="00697CF0">
            <w:pPr>
              <w:rPr>
                <w:rFonts w:ascii="Arial" w:hAnsi="Arial" w:cs="Arial"/>
                <w:sz w:val="14"/>
                <w:szCs w:val="14"/>
              </w:rPr>
            </w:pPr>
            <w:r w:rsidRPr="00697CF0">
              <w:rPr>
                <w:rFonts w:ascii="Arial" w:hAnsi="Arial" w:cs="Arial"/>
                <w:sz w:val="14"/>
                <w:szCs w:val="14"/>
              </w:rPr>
              <w:t> </w:t>
            </w:r>
          </w:p>
        </w:tc>
      </w:tr>
      <w:tr w:rsidR="00697CF0" w:rsidRPr="009537ED" w14:paraId="145B1418" w14:textId="77777777" w:rsidTr="00012FC5">
        <w:trPr>
          <w:trHeight w:val="20"/>
          <w:jc w:val="center"/>
        </w:trPr>
        <w:tc>
          <w:tcPr>
            <w:tcW w:w="1094" w:type="dxa"/>
          </w:tcPr>
          <w:p w14:paraId="5590F24D" w14:textId="0A69CADB" w:rsidR="00697CF0" w:rsidRPr="00697CF0" w:rsidRDefault="005A18DC" w:rsidP="00697CF0">
            <w:pPr>
              <w:rPr>
                <w:rFonts w:ascii="Arial" w:hAnsi="Arial" w:cs="Arial"/>
                <w:bCs/>
                <w:sz w:val="14"/>
                <w:szCs w:val="14"/>
              </w:rPr>
            </w:pPr>
            <w:hyperlink r:id="rId2896" w:history="1">
              <w:r w:rsidR="00AF7253">
                <w:rPr>
                  <w:rStyle w:val="Hyperlink"/>
                  <w:rFonts w:ascii="Arial" w:hAnsi="Arial" w:cs="Arial"/>
                  <w:b/>
                  <w:bCs/>
                  <w:sz w:val="14"/>
                  <w:szCs w:val="14"/>
                </w:rPr>
                <w:t>R1-2310809</w:t>
              </w:r>
            </w:hyperlink>
          </w:p>
        </w:tc>
        <w:tc>
          <w:tcPr>
            <w:tcW w:w="2646" w:type="dxa"/>
          </w:tcPr>
          <w:p w14:paraId="34AC6903" w14:textId="6386949B" w:rsidR="00697CF0" w:rsidRPr="00697CF0" w:rsidRDefault="00697CF0" w:rsidP="00697CF0">
            <w:pPr>
              <w:rPr>
                <w:rFonts w:ascii="Arial" w:hAnsi="Arial" w:cs="Arial"/>
                <w:sz w:val="14"/>
                <w:szCs w:val="14"/>
              </w:rPr>
            </w:pPr>
            <w:r w:rsidRPr="00697CF0">
              <w:rPr>
                <w:rFonts w:ascii="Arial" w:hAnsi="Arial" w:cs="Arial"/>
                <w:sz w:val="14"/>
                <w:szCs w:val="14"/>
              </w:rPr>
              <w:t>LS on L1 measurements for LTM</w:t>
            </w:r>
          </w:p>
        </w:tc>
        <w:tc>
          <w:tcPr>
            <w:tcW w:w="1583" w:type="dxa"/>
          </w:tcPr>
          <w:p w14:paraId="5545674A" w14:textId="3CFFEC4E" w:rsidR="00697CF0" w:rsidRPr="00697CF0" w:rsidRDefault="00697CF0" w:rsidP="00697CF0">
            <w:pPr>
              <w:rPr>
                <w:rFonts w:ascii="Arial" w:hAnsi="Arial" w:cs="Arial"/>
                <w:sz w:val="14"/>
                <w:szCs w:val="14"/>
              </w:rPr>
            </w:pPr>
            <w:r w:rsidRPr="00697CF0">
              <w:rPr>
                <w:rFonts w:ascii="Arial" w:hAnsi="Arial" w:cs="Arial"/>
                <w:sz w:val="14"/>
                <w:szCs w:val="14"/>
              </w:rPr>
              <w:t>RAN2, Ericsson</w:t>
            </w:r>
          </w:p>
        </w:tc>
        <w:tc>
          <w:tcPr>
            <w:tcW w:w="909" w:type="dxa"/>
          </w:tcPr>
          <w:p w14:paraId="62985B7F" w14:textId="411938B0" w:rsidR="00697CF0" w:rsidRPr="00697CF0" w:rsidRDefault="005A18DC" w:rsidP="00697CF0">
            <w:pPr>
              <w:rPr>
                <w:rFonts w:ascii="Arial" w:hAnsi="Arial" w:cs="Arial"/>
                <w:bCs/>
                <w:sz w:val="14"/>
                <w:szCs w:val="14"/>
              </w:rPr>
            </w:pPr>
            <w:hyperlink r:id="rId2897" w:history="1">
              <w:r w:rsidR="00697CF0" w:rsidRPr="00697CF0">
                <w:rPr>
                  <w:rStyle w:val="Hyperlink"/>
                  <w:rFonts w:ascii="Arial" w:hAnsi="Arial" w:cs="Arial"/>
                  <w:b/>
                  <w:bCs/>
                  <w:sz w:val="14"/>
                  <w:szCs w:val="14"/>
                </w:rPr>
                <w:t>Rel-18</w:t>
              </w:r>
            </w:hyperlink>
          </w:p>
        </w:tc>
        <w:tc>
          <w:tcPr>
            <w:tcW w:w="2600" w:type="dxa"/>
          </w:tcPr>
          <w:p w14:paraId="09FAFA45" w14:textId="7FA0954B" w:rsidR="00697CF0" w:rsidRPr="00697CF0" w:rsidRDefault="005A18DC" w:rsidP="00697CF0">
            <w:pPr>
              <w:rPr>
                <w:rFonts w:ascii="Arial" w:hAnsi="Arial" w:cs="Arial"/>
                <w:bCs/>
                <w:sz w:val="14"/>
                <w:szCs w:val="14"/>
              </w:rPr>
            </w:pPr>
            <w:hyperlink r:id="rId2898" w:history="1">
              <w:r w:rsidR="00697CF0" w:rsidRPr="00697CF0">
                <w:rPr>
                  <w:rStyle w:val="Hyperlink"/>
                  <w:rFonts w:ascii="Arial" w:hAnsi="Arial" w:cs="Arial"/>
                  <w:b/>
                  <w:bCs/>
                  <w:sz w:val="14"/>
                  <w:szCs w:val="14"/>
                </w:rPr>
                <w:t>NR_Mob_enh2-Core</w:t>
              </w:r>
            </w:hyperlink>
          </w:p>
        </w:tc>
        <w:tc>
          <w:tcPr>
            <w:tcW w:w="1065" w:type="dxa"/>
          </w:tcPr>
          <w:p w14:paraId="7C5FE874" w14:textId="4E8C6AE3" w:rsidR="00697CF0" w:rsidRPr="00697CF0" w:rsidRDefault="00697CF0" w:rsidP="00697CF0">
            <w:pPr>
              <w:rPr>
                <w:rFonts w:ascii="Arial" w:hAnsi="Arial" w:cs="Arial"/>
                <w:sz w:val="14"/>
                <w:szCs w:val="14"/>
              </w:rPr>
            </w:pPr>
            <w:r w:rsidRPr="00697CF0">
              <w:rPr>
                <w:rFonts w:ascii="Arial" w:hAnsi="Arial" w:cs="Arial"/>
                <w:sz w:val="14"/>
                <w:szCs w:val="14"/>
              </w:rPr>
              <w:t> </w:t>
            </w:r>
          </w:p>
        </w:tc>
        <w:tc>
          <w:tcPr>
            <w:tcW w:w="994" w:type="dxa"/>
          </w:tcPr>
          <w:p w14:paraId="06659D9C" w14:textId="7BED5E0D" w:rsidR="00697CF0" w:rsidRPr="00697CF0" w:rsidRDefault="00697CF0" w:rsidP="00697CF0">
            <w:pPr>
              <w:rPr>
                <w:rFonts w:ascii="Arial" w:hAnsi="Arial" w:cs="Arial"/>
                <w:sz w:val="14"/>
                <w:szCs w:val="14"/>
              </w:rPr>
            </w:pPr>
            <w:r w:rsidRPr="00697CF0">
              <w:rPr>
                <w:rFonts w:ascii="Arial" w:hAnsi="Arial" w:cs="Arial"/>
                <w:sz w:val="14"/>
                <w:szCs w:val="14"/>
              </w:rPr>
              <w:t>RAN1, RAN4</w:t>
            </w:r>
          </w:p>
        </w:tc>
        <w:tc>
          <w:tcPr>
            <w:tcW w:w="994" w:type="dxa"/>
          </w:tcPr>
          <w:p w14:paraId="035C19B4" w14:textId="5C3E25E3" w:rsidR="00697CF0" w:rsidRPr="00697CF0" w:rsidRDefault="00697CF0" w:rsidP="00697CF0">
            <w:pPr>
              <w:rPr>
                <w:rFonts w:ascii="Arial" w:hAnsi="Arial" w:cs="Arial"/>
                <w:sz w:val="14"/>
                <w:szCs w:val="14"/>
              </w:rPr>
            </w:pPr>
            <w:r w:rsidRPr="00697CF0">
              <w:rPr>
                <w:rFonts w:ascii="Arial" w:hAnsi="Arial" w:cs="Arial"/>
                <w:sz w:val="14"/>
                <w:szCs w:val="14"/>
              </w:rPr>
              <w:t> </w:t>
            </w:r>
          </w:p>
        </w:tc>
        <w:tc>
          <w:tcPr>
            <w:tcW w:w="1120" w:type="dxa"/>
          </w:tcPr>
          <w:p w14:paraId="7F52D26C" w14:textId="57405765" w:rsidR="00697CF0" w:rsidRPr="00697CF0" w:rsidRDefault="00697CF0" w:rsidP="00697CF0">
            <w:pPr>
              <w:rPr>
                <w:rFonts w:ascii="Arial" w:hAnsi="Arial" w:cs="Arial"/>
                <w:sz w:val="14"/>
                <w:szCs w:val="14"/>
              </w:rPr>
            </w:pPr>
            <w:r w:rsidRPr="00697CF0">
              <w:rPr>
                <w:rFonts w:ascii="Arial" w:hAnsi="Arial" w:cs="Arial"/>
                <w:sz w:val="14"/>
                <w:szCs w:val="14"/>
              </w:rPr>
              <w:t>R2-2311333</w:t>
            </w:r>
          </w:p>
        </w:tc>
        <w:tc>
          <w:tcPr>
            <w:tcW w:w="1062" w:type="dxa"/>
          </w:tcPr>
          <w:p w14:paraId="275F76BE" w14:textId="5A65A70A" w:rsidR="00697CF0" w:rsidRPr="00697CF0" w:rsidRDefault="00697CF0" w:rsidP="00697CF0">
            <w:pPr>
              <w:rPr>
                <w:rFonts w:ascii="Arial" w:hAnsi="Arial" w:cs="Arial"/>
                <w:sz w:val="14"/>
                <w:szCs w:val="14"/>
              </w:rPr>
            </w:pPr>
            <w:r w:rsidRPr="00697CF0">
              <w:rPr>
                <w:rFonts w:ascii="Arial" w:hAnsi="Arial" w:cs="Arial"/>
                <w:sz w:val="14"/>
                <w:szCs w:val="14"/>
              </w:rPr>
              <w:t> </w:t>
            </w:r>
          </w:p>
        </w:tc>
      </w:tr>
      <w:tr w:rsidR="00697CF0" w:rsidRPr="009537ED" w14:paraId="664996B7" w14:textId="77777777" w:rsidTr="00012FC5">
        <w:trPr>
          <w:trHeight w:val="20"/>
          <w:jc w:val="center"/>
        </w:trPr>
        <w:tc>
          <w:tcPr>
            <w:tcW w:w="1094" w:type="dxa"/>
          </w:tcPr>
          <w:p w14:paraId="051E919F" w14:textId="427C974E" w:rsidR="00697CF0" w:rsidRPr="00697CF0" w:rsidRDefault="005A18DC" w:rsidP="00697CF0">
            <w:pPr>
              <w:rPr>
                <w:rFonts w:ascii="Arial" w:hAnsi="Arial" w:cs="Arial"/>
                <w:bCs/>
                <w:sz w:val="14"/>
                <w:szCs w:val="14"/>
              </w:rPr>
            </w:pPr>
            <w:hyperlink r:id="rId2899" w:history="1">
              <w:r w:rsidR="00AF7253">
                <w:rPr>
                  <w:rStyle w:val="Hyperlink"/>
                  <w:rFonts w:ascii="Arial" w:hAnsi="Arial" w:cs="Arial"/>
                  <w:b/>
                  <w:bCs/>
                  <w:sz w:val="14"/>
                  <w:szCs w:val="14"/>
                </w:rPr>
                <w:t>R1-2310810</w:t>
              </w:r>
            </w:hyperlink>
          </w:p>
        </w:tc>
        <w:tc>
          <w:tcPr>
            <w:tcW w:w="2646" w:type="dxa"/>
          </w:tcPr>
          <w:p w14:paraId="00C53D62" w14:textId="31DF8E06" w:rsidR="00697CF0" w:rsidRPr="00697CF0" w:rsidRDefault="00697CF0" w:rsidP="00697CF0">
            <w:pPr>
              <w:rPr>
                <w:rFonts w:ascii="Arial" w:hAnsi="Arial" w:cs="Arial"/>
                <w:sz w:val="14"/>
                <w:szCs w:val="14"/>
              </w:rPr>
            </w:pPr>
            <w:r w:rsidRPr="00697CF0">
              <w:rPr>
                <w:rFonts w:ascii="Arial" w:hAnsi="Arial" w:cs="Arial"/>
                <w:sz w:val="14"/>
                <w:szCs w:val="14"/>
              </w:rPr>
              <w:t>Reply LS to SA2 on reporting positioning measurements taken in RRC_IDLE</w:t>
            </w:r>
          </w:p>
        </w:tc>
        <w:tc>
          <w:tcPr>
            <w:tcW w:w="1583" w:type="dxa"/>
          </w:tcPr>
          <w:p w14:paraId="29D08A0E" w14:textId="68584B3A" w:rsidR="00697CF0" w:rsidRPr="00697CF0" w:rsidRDefault="00697CF0" w:rsidP="00697CF0">
            <w:pPr>
              <w:rPr>
                <w:rFonts w:ascii="Arial" w:hAnsi="Arial" w:cs="Arial"/>
                <w:sz w:val="14"/>
                <w:szCs w:val="14"/>
              </w:rPr>
            </w:pPr>
            <w:r w:rsidRPr="00697CF0">
              <w:rPr>
                <w:rFonts w:ascii="Arial" w:hAnsi="Arial" w:cs="Arial"/>
                <w:sz w:val="14"/>
                <w:szCs w:val="14"/>
              </w:rPr>
              <w:t>RAN2, CATT</w:t>
            </w:r>
          </w:p>
        </w:tc>
        <w:tc>
          <w:tcPr>
            <w:tcW w:w="909" w:type="dxa"/>
          </w:tcPr>
          <w:p w14:paraId="404D106E" w14:textId="1E4AE21D" w:rsidR="00697CF0" w:rsidRPr="00697CF0" w:rsidRDefault="005A18DC" w:rsidP="00697CF0">
            <w:pPr>
              <w:rPr>
                <w:rFonts w:ascii="Arial" w:hAnsi="Arial" w:cs="Arial"/>
                <w:bCs/>
                <w:sz w:val="14"/>
                <w:szCs w:val="14"/>
              </w:rPr>
            </w:pPr>
            <w:hyperlink r:id="rId2900" w:history="1">
              <w:r w:rsidR="00697CF0" w:rsidRPr="00697CF0">
                <w:rPr>
                  <w:rStyle w:val="Hyperlink"/>
                  <w:rFonts w:ascii="Arial" w:hAnsi="Arial" w:cs="Arial"/>
                  <w:b/>
                  <w:bCs/>
                  <w:sz w:val="14"/>
                  <w:szCs w:val="14"/>
                </w:rPr>
                <w:t>Rel-18</w:t>
              </w:r>
            </w:hyperlink>
          </w:p>
        </w:tc>
        <w:tc>
          <w:tcPr>
            <w:tcW w:w="2600" w:type="dxa"/>
          </w:tcPr>
          <w:p w14:paraId="677C2D07" w14:textId="39D1378B" w:rsidR="00697CF0" w:rsidRPr="00697CF0" w:rsidRDefault="005A18DC" w:rsidP="00697CF0">
            <w:pPr>
              <w:rPr>
                <w:rFonts w:ascii="Arial" w:hAnsi="Arial" w:cs="Arial"/>
                <w:bCs/>
                <w:sz w:val="14"/>
                <w:szCs w:val="14"/>
              </w:rPr>
            </w:pPr>
            <w:hyperlink r:id="rId2901" w:history="1">
              <w:r w:rsidR="00697CF0" w:rsidRPr="00697CF0">
                <w:rPr>
                  <w:rStyle w:val="Hyperlink"/>
                  <w:rFonts w:ascii="Arial" w:hAnsi="Arial" w:cs="Arial"/>
                  <w:b/>
                  <w:bCs/>
                  <w:sz w:val="14"/>
                  <w:szCs w:val="14"/>
                </w:rPr>
                <w:t>NR_pos_enh2-Core</w:t>
              </w:r>
            </w:hyperlink>
          </w:p>
        </w:tc>
        <w:tc>
          <w:tcPr>
            <w:tcW w:w="1065" w:type="dxa"/>
          </w:tcPr>
          <w:p w14:paraId="21D85EA1" w14:textId="2A4CB480" w:rsidR="00697CF0" w:rsidRPr="00697CF0" w:rsidRDefault="00697CF0" w:rsidP="00697CF0">
            <w:pPr>
              <w:rPr>
                <w:rFonts w:ascii="Arial" w:hAnsi="Arial" w:cs="Arial"/>
                <w:sz w:val="14"/>
                <w:szCs w:val="14"/>
              </w:rPr>
            </w:pPr>
            <w:r w:rsidRPr="00697CF0">
              <w:rPr>
                <w:rFonts w:ascii="Arial" w:hAnsi="Arial" w:cs="Arial"/>
                <w:sz w:val="14"/>
                <w:szCs w:val="14"/>
              </w:rPr>
              <w:t>S2-2309926</w:t>
            </w:r>
          </w:p>
        </w:tc>
        <w:tc>
          <w:tcPr>
            <w:tcW w:w="994" w:type="dxa"/>
          </w:tcPr>
          <w:p w14:paraId="04B30E59" w14:textId="5BB566A5" w:rsidR="00697CF0" w:rsidRPr="00697CF0" w:rsidRDefault="00697CF0" w:rsidP="00697CF0">
            <w:pPr>
              <w:rPr>
                <w:rFonts w:ascii="Arial" w:hAnsi="Arial" w:cs="Arial"/>
                <w:sz w:val="14"/>
                <w:szCs w:val="14"/>
              </w:rPr>
            </w:pPr>
            <w:r w:rsidRPr="00697CF0">
              <w:rPr>
                <w:rFonts w:ascii="Arial" w:hAnsi="Arial" w:cs="Arial"/>
                <w:sz w:val="14"/>
                <w:szCs w:val="14"/>
              </w:rPr>
              <w:t>SA2</w:t>
            </w:r>
          </w:p>
        </w:tc>
        <w:tc>
          <w:tcPr>
            <w:tcW w:w="994" w:type="dxa"/>
          </w:tcPr>
          <w:p w14:paraId="643A2739" w14:textId="592FA11B" w:rsidR="00697CF0" w:rsidRPr="00697CF0" w:rsidRDefault="00697CF0" w:rsidP="00697CF0">
            <w:pPr>
              <w:rPr>
                <w:rFonts w:ascii="Arial" w:hAnsi="Arial" w:cs="Arial"/>
                <w:sz w:val="14"/>
                <w:szCs w:val="14"/>
              </w:rPr>
            </w:pPr>
            <w:r w:rsidRPr="00697CF0">
              <w:rPr>
                <w:rFonts w:ascii="Arial" w:hAnsi="Arial" w:cs="Arial"/>
                <w:sz w:val="14"/>
                <w:szCs w:val="14"/>
              </w:rPr>
              <w:t>RAN1</w:t>
            </w:r>
          </w:p>
        </w:tc>
        <w:tc>
          <w:tcPr>
            <w:tcW w:w="1120" w:type="dxa"/>
          </w:tcPr>
          <w:p w14:paraId="25FFAD12" w14:textId="1344687F" w:rsidR="00697CF0" w:rsidRPr="00697CF0" w:rsidRDefault="00697CF0" w:rsidP="00697CF0">
            <w:pPr>
              <w:rPr>
                <w:rFonts w:ascii="Arial" w:hAnsi="Arial" w:cs="Arial"/>
                <w:sz w:val="14"/>
                <w:szCs w:val="14"/>
              </w:rPr>
            </w:pPr>
            <w:r w:rsidRPr="00697CF0">
              <w:rPr>
                <w:rFonts w:ascii="Arial" w:hAnsi="Arial" w:cs="Arial"/>
                <w:sz w:val="14"/>
                <w:szCs w:val="14"/>
              </w:rPr>
              <w:t>R2-2311381</w:t>
            </w:r>
          </w:p>
        </w:tc>
        <w:tc>
          <w:tcPr>
            <w:tcW w:w="1062" w:type="dxa"/>
          </w:tcPr>
          <w:p w14:paraId="5C9F4C93" w14:textId="426981E4" w:rsidR="00697CF0" w:rsidRPr="00697CF0" w:rsidRDefault="00697CF0" w:rsidP="00697CF0">
            <w:pPr>
              <w:rPr>
                <w:rFonts w:ascii="Arial" w:hAnsi="Arial" w:cs="Arial"/>
                <w:sz w:val="14"/>
                <w:szCs w:val="14"/>
              </w:rPr>
            </w:pPr>
            <w:r w:rsidRPr="00697CF0">
              <w:rPr>
                <w:rFonts w:ascii="Arial" w:hAnsi="Arial" w:cs="Arial"/>
                <w:sz w:val="14"/>
                <w:szCs w:val="14"/>
              </w:rPr>
              <w:t> </w:t>
            </w:r>
          </w:p>
        </w:tc>
      </w:tr>
      <w:tr w:rsidR="00697CF0" w:rsidRPr="009537ED" w14:paraId="43F2A72F" w14:textId="77777777" w:rsidTr="00012FC5">
        <w:trPr>
          <w:trHeight w:val="20"/>
          <w:jc w:val="center"/>
        </w:trPr>
        <w:tc>
          <w:tcPr>
            <w:tcW w:w="1094" w:type="dxa"/>
          </w:tcPr>
          <w:p w14:paraId="3027D93A" w14:textId="49C388D0" w:rsidR="00697CF0" w:rsidRPr="00697CF0" w:rsidRDefault="005A18DC" w:rsidP="00697CF0">
            <w:pPr>
              <w:rPr>
                <w:rFonts w:ascii="Arial" w:hAnsi="Arial" w:cs="Arial"/>
                <w:bCs/>
                <w:sz w:val="14"/>
                <w:szCs w:val="14"/>
              </w:rPr>
            </w:pPr>
            <w:hyperlink r:id="rId2902" w:history="1">
              <w:r w:rsidR="00AF7253">
                <w:rPr>
                  <w:rStyle w:val="Hyperlink"/>
                  <w:rFonts w:ascii="Arial" w:hAnsi="Arial" w:cs="Arial"/>
                  <w:b/>
                  <w:bCs/>
                  <w:sz w:val="14"/>
                  <w:szCs w:val="14"/>
                </w:rPr>
                <w:t>R1-2310964</w:t>
              </w:r>
            </w:hyperlink>
          </w:p>
        </w:tc>
        <w:tc>
          <w:tcPr>
            <w:tcW w:w="2646" w:type="dxa"/>
          </w:tcPr>
          <w:p w14:paraId="03C54B62" w14:textId="3BA748A9" w:rsidR="00697CF0" w:rsidRPr="00697CF0" w:rsidRDefault="00697CF0" w:rsidP="00697CF0">
            <w:pPr>
              <w:rPr>
                <w:rFonts w:ascii="Arial" w:hAnsi="Arial" w:cs="Arial"/>
                <w:sz w:val="14"/>
                <w:szCs w:val="14"/>
              </w:rPr>
            </w:pPr>
            <w:r w:rsidRPr="00697CF0">
              <w:rPr>
                <w:rFonts w:ascii="Arial" w:hAnsi="Arial" w:cs="Arial"/>
                <w:sz w:val="14"/>
                <w:szCs w:val="14"/>
              </w:rPr>
              <w:t>LS on NAS Cause Value - Unspecified</w:t>
            </w:r>
          </w:p>
        </w:tc>
        <w:tc>
          <w:tcPr>
            <w:tcW w:w="1583" w:type="dxa"/>
          </w:tcPr>
          <w:p w14:paraId="42E9A2C0" w14:textId="1B9B4101" w:rsidR="00697CF0" w:rsidRPr="00697CF0" w:rsidRDefault="00697CF0" w:rsidP="00697CF0">
            <w:pPr>
              <w:rPr>
                <w:rFonts w:ascii="Arial" w:hAnsi="Arial" w:cs="Arial"/>
                <w:sz w:val="14"/>
                <w:szCs w:val="14"/>
              </w:rPr>
            </w:pPr>
            <w:r w:rsidRPr="00697CF0">
              <w:rPr>
                <w:rFonts w:ascii="Arial" w:hAnsi="Arial" w:cs="Arial"/>
                <w:sz w:val="14"/>
                <w:szCs w:val="14"/>
              </w:rPr>
              <w:t>SA3-LI, Tridea Works</w:t>
            </w:r>
          </w:p>
        </w:tc>
        <w:tc>
          <w:tcPr>
            <w:tcW w:w="909" w:type="dxa"/>
          </w:tcPr>
          <w:p w14:paraId="181589C7" w14:textId="2E199363" w:rsidR="00697CF0" w:rsidRPr="00697CF0" w:rsidRDefault="005A18DC" w:rsidP="00697CF0">
            <w:pPr>
              <w:rPr>
                <w:rFonts w:ascii="Arial" w:hAnsi="Arial" w:cs="Arial"/>
                <w:bCs/>
                <w:sz w:val="14"/>
                <w:szCs w:val="14"/>
              </w:rPr>
            </w:pPr>
            <w:hyperlink r:id="rId2903" w:history="1">
              <w:r w:rsidR="00697CF0" w:rsidRPr="00697CF0">
                <w:rPr>
                  <w:rStyle w:val="Hyperlink"/>
                  <w:rFonts w:ascii="Arial" w:hAnsi="Arial" w:cs="Arial"/>
                  <w:b/>
                  <w:bCs/>
                  <w:sz w:val="14"/>
                  <w:szCs w:val="14"/>
                </w:rPr>
                <w:t>Rel-18</w:t>
              </w:r>
            </w:hyperlink>
          </w:p>
        </w:tc>
        <w:tc>
          <w:tcPr>
            <w:tcW w:w="2600" w:type="dxa"/>
          </w:tcPr>
          <w:p w14:paraId="0D534B99" w14:textId="26381682" w:rsidR="00697CF0" w:rsidRPr="00697CF0" w:rsidRDefault="005A18DC" w:rsidP="00697CF0">
            <w:pPr>
              <w:rPr>
                <w:rFonts w:ascii="Arial" w:hAnsi="Arial" w:cs="Arial"/>
                <w:bCs/>
                <w:sz w:val="14"/>
                <w:szCs w:val="14"/>
              </w:rPr>
            </w:pPr>
            <w:hyperlink r:id="rId2904" w:history="1">
              <w:r w:rsidR="00697CF0" w:rsidRPr="00697CF0">
                <w:rPr>
                  <w:rStyle w:val="Hyperlink"/>
                  <w:rFonts w:ascii="Arial" w:hAnsi="Arial" w:cs="Arial"/>
                  <w:b/>
                  <w:bCs/>
                  <w:sz w:val="14"/>
                  <w:szCs w:val="14"/>
                </w:rPr>
                <w:t>LI18</w:t>
              </w:r>
            </w:hyperlink>
          </w:p>
        </w:tc>
        <w:tc>
          <w:tcPr>
            <w:tcW w:w="1065" w:type="dxa"/>
          </w:tcPr>
          <w:p w14:paraId="4F87D7D1" w14:textId="50C42F06" w:rsidR="00697CF0" w:rsidRPr="00697CF0" w:rsidRDefault="00697CF0" w:rsidP="00697CF0">
            <w:pPr>
              <w:rPr>
                <w:rFonts w:ascii="Arial" w:hAnsi="Arial" w:cs="Arial"/>
                <w:sz w:val="14"/>
                <w:szCs w:val="14"/>
              </w:rPr>
            </w:pPr>
            <w:r w:rsidRPr="00697CF0">
              <w:rPr>
                <w:rFonts w:ascii="Arial" w:hAnsi="Arial" w:cs="Arial"/>
                <w:sz w:val="14"/>
                <w:szCs w:val="14"/>
              </w:rPr>
              <w:t> </w:t>
            </w:r>
          </w:p>
        </w:tc>
        <w:tc>
          <w:tcPr>
            <w:tcW w:w="994" w:type="dxa"/>
          </w:tcPr>
          <w:p w14:paraId="296F3F59" w14:textId="114CE30E" w:rsidR="00697CF0" w:rsidRPr="00697CF0" w:rsidRDefault="00697CF0" w:rsidP="00697CF0">
            <w:pPr>
              <w:rPr>
                <w:rFonts w:ascii="Arial" w:hAnsi="Arial" w:cs="Arial"/>
                <w:sz w:val="14"/>
                <w:szCs w:val="14"/>
              </w:rPr>
            </w:pPr>
            <w:r w:rsidRPr="00697CF0">
              <w:rPr>
                <w:rFonts w:ascii="Arial" w:hAnsi="Arial" w:cs="Arial"/>
                <w:sz w:val="14"/>
                <w:szCs w:val="14"/>
              </w:rPr>
              <w:t>RAN1</w:t>
            </w:r>
          </w:p>
        </w:tc>
        <w:tc>
          <w:tcPr>
            <w:tcW w:w="994" w:type="dxa"/>
          </w:tcPr>
          <w:p w14:paraId="2BDE0BAE" w14:textId="4DAF5CD0" w:rsidR="00697CF0" w:rsidRPr="00697CF0" w:rsidRDefault="00697CF0" w:rsidP="00697CF0">
            <w:pPr>
              <w:rPr>
                <w:rFonts w:ascii="Arial" w:hAnsi="Arial" w:cs="Arial"/>
                <w:sz w:val="14"/>
                <w:szCs w:val="14"/>
              </w:rPr>
            </w:pPr>
            <w:r w:rsidRPr="00697CF0">
              <w:rPr>
                <w:rFonts w:ascii="Arial" w:hAnsi="Arial" w:cs="Arial"/>
                <w:sz w:val="14"/>
                <w:szCs w:val="14"/>
              </w:rPr>
              <w:t>SA3</w:t>
            </w:r>
          </w:p>
        </w:tc>
        <w:tc>
          <w:tcPr>
            <w:tcW w:w="1120" w:type="dxa"/>
          </w:tcPr>
          <w:p w14:paraId="0072DD98" w14:textId="5B887166" w:rsidR="00697CF0" w:rsidRPr="00697CF0" w:rsidRDefault="00697CF0" w:rsidP="00697CF0">
            <w:pPr>
              <w:rPr>
                <w:rFonts w:ascii="Arial" w:hAnsi="Arial" w:cs="Arial"/>
                <w:sz w:val="14"/>
                <w:szCs w:val="14"/>
              </w:rPr>
            </w:pPr>
            <w:r w:rsidRPr="00697CF0">
              <w:rPr>
                <w:rFonts w:ascii="Arial" w:hAnsi="Arial" w:cs="Arial"/>
                <w:sz w:val="14"/>
                <w:szCs w:val="14"/>
              </w:rPr>
              <w:t>s3i230619</w:t>
            </w:r>
          </w:p>
        </w:tc>
        <w:tc>
          <w:tcPr>
            <w:tcW w:w="1062" w:type="dxa"/>
          </w:tcPr>
          <w:p w14:paraId="51ABB95B" w14:textId="1C734E18" w:rsidR="00697CF0" w:rsidRPr="00697CF0" w:rsidRDefault="00697CF0" w:rsidP="00697CF0">
            <w:pPr>
              <w:rPr>
                <w:rFonts w:ascii="Arial" w:hAnsi="Arial" w:cs="Arial"/>
                <w:sz w:val="14"/>
                <w:szCs w:val="14"/>
              </w:rPr>
            </w:pPr>
            <w:r w:rsidRPr="00697CF0">
              <w:rPr>
                <w:rFonts w:ascii="Arial" w:hAnsi="Arial" w:cs="Arial"/>
                <w:sz w:val="14"/>
                <w:szCs w:val="14"/>
              </w:rPr>
              <w:t> </w:t>
            </w:r>
          </w:p>
        </w:tc>
      </w:tr>
      <w:tr w:rsidR="00697CF0" w:rsidRPr="009537ED" w14:paraId="23A15AC1" w14:textId="77777777" w:rsidTr="00012FC5">
        <w:trPr>
          <w:trHeight w:val="20"/>
          <w:jc w:val="center"/>
        </w:trPr>
        <w:tc>
          <w:tcPr>
            <w:tcW w:w="1094" w:type="dxa"/>
          </w:tcPr>
          <w:p w14:paraId="4F04942F" w14:textId="4F72BD9D" w:rsidR="00697CF0" w:rsidRPr="00697CF0" w:rsidRDefault="005A18DC" w:rsidP="00697CF0">
            <w:pPr>
              <w:rPr>
                <w:rFonts w:ascii="Arial" w:hAnsi="Arial" w:cs="Arial"/>
                <w:bCs/>
                <w:sz w:val="14"/>
                <w:szCs w:val="14"/>
              </w:rPr>
            </w:pPr>
            <w:hyperlink r:id="rId2905" w:history="1">
              <w:r w:rsidR="00AF7253">
                <w:rPr>
                  <w:rStyle w:val="Hyperlink"/>
                  <w:rFonts w:ascii="Arial" w:hAnsi="Arial" w:cs="Arial"/>
                  <w:b/>
                  <w:bCs/>
                  <w:sz w:val="14"/>
                  <w:szCs w:val="14"/>
                </w:rPr>
                <w:t>R1-2311001</w:t>
              </w:r>
            </w:hyperlink>
          </w:p>
        </w:tc>
        <w:tc>
          <w:tcPr>
            <w:tcW w:w="2646" w:type="dxa"/>
          </w:tcPr>
          <w:p w14:paraId="7DB5AE4E" w14:textId="0454EA9E" w:rsidR="00697CF0" w:rsidRPr="00697CF0" w:rsidRDefault="00697CF0" w:rsidP="00697CF0">
            <w:pPr>
              <w:rPr>
                <w:rFonts w:ascii="Arial" w:hAnsi="Arial" w:cs="Arial"/>
                <w:sz w:val="14"/>
                <w:szCs w:val="14"/>
              </w:rPr>
            </w:pPr>
            <w:r w:rsidRPr="00697CF0">
              <w:rPr>
                <w:rFonts w:ascii="Arial" w:hAnsi="Arial" w:cs="Arial"/>
                <w:sz w:val="14"/>
                <w:szCs w:val="14"/>
              </w:rPr>
              <w:t>LS on Stage-2 CR for MIMO evolution</w:t>
            </w:r>
          </w:p>
        </w:tc>
        <w:tc>
          <w:tcPr>
            <w:tcW w:w="1583" w:type="dxa"/>
          </w:tcPr>
          <w:p w14:paraId="3DECE15E" w14:textId="48B954CA" w:rsidR="00697CF0" w:rsidRPr="00697CF0" w:rsidRDefault="00697CF0" w:rsidP="00697CF0">
            <w:pPr>
              <w:rPr>
                <w:rFonts w:ascii="Arial" w:hAnsi="Arial" w:cs="Arial"/>
                <w:sz w:val="14"/>
                <w:szCs w:val="14"/>
              </w:rPr>
            </w:pPr>
            <w:r w:rsidRPr="00697CF0">
              <w:rPr>
                <w:rFonts w:ascii="Arial" w:hAnsi="Arial" w:cs="Arial"/>
                <w:sz w:val="14"/>
                <w:szCs w:val="14"/>
              </w:rPr>
              <w:t>RAN2, NTT DOCOMO</w:t>
            </w:r>
          </w:p>
        </w:tc>
        <w:tc>
          <w:tcPr>
            <w:tcW w:w="909" w:type="dxa"/>
          </w:tcPr>
          <w:p w14:paraId="438EB6E1" w14:textId="08F6955D" w:rsidR="00697CF0" w:rsidRPr="00697CF0" w:rsidRDefault="005A18DC" w:rsidP="00697CF0">
            <w:pPr>
              <w:rPr>
                <w:rFonts w:ascii="Arial" w:hAnsi="Arial" w:cs="Arial"/>
                <w:bCs/>
                <w:sz w:val="14"/>
                <w:szCs w:val="14"/>
              </w:rPr>
            </w:pPr>
            <w:hyperlink r:id="rId2906" w:history="1">
              <w:r w:rsidR="00697CF0" w:rsidRPr="00697CF0">
                <w:rPr>
                  <w:rStyle w:val="Hyperlink"/>
                  <w:rFonts w:ascii="Arial" w:hAnsi="Arial" w:cs="Arial"/>
                  <w:b/>
                  <w:bCs/>
                  <w:sz w:val="14"/>
                  <w:szCs w:val="14"/>
                </w:rPr>
                <w:t>Rel-18</w:t>
              </w:r>
            </w:hyperlink>
          </w:p>
        </w:tc>
        <w:tc>
          <w:tcPr>
            <w:tcW w:w="2600" w:type="dxa"/>
          </w:tcPr>
          <w:p w14:paraId="550AA683" w14:textId="76CCCB4D" w:rsidR="00697CF0" w:rsidRPr="00697CF0" w:rsidRDefault="005A18DC" w:rsidP="00697CF0">
            <w:pPr>
              <w:rPr>
                <w:rFonts w:ascii="Arial" w:hAnsi="Arial" w:cs="Arial"/>
                <w:bCs/>
                <w:sz w:val="14"/>
                <w:szCs w:val="14"/>
              </w:rPr>
            </w:pPr>
            <w:hyperlink r:id="rId2907" w:history="1">
              <w:r w:rsidR="00697CF0" w:rsidRPr="00697CF0">
                <w:rPr>
                  <w:rStyle w:val="Hyperlink"/>
                  <w:rFonts w:ascii="Arial" w:hAnsi="Arial" w:cs="Arial"/>
                  <w:b/>
                  <w:bCs/>
                  <w:sz w:val="14"/>
                  <w:szCs w:val="14"/>
                </w:rPr>
                <w:t>NR_MIMO_evo_DL_UL-Core</w:t>
              </w:r>
            </w:hyperlink>
          </w:p>
        </w:tc>
        <w:tc>
          <w:tcPr>
            <w:tcW w:w="1065" w:type="dxa"/>
          </w:tcPr>
          <w:p w14:paraId="14A2C217" w14:textId="29A043DB" w:rsidR="00697CF0" w:rsidRPr="00697CF0" w:rsidRDefault="00697CF0" w:rsidP="00697CF0">
            <w:pPr>
              <w:rPr>
                <w:rFonts w:ascii="Arial" w:hAnsi="Arial" w:cs="Arial"/>
                <w:sz w:val="14"/>
                <w:szCs w:val="14"/>
              </w:rPr>
            </w:pPr>
            <w:r w:rsidRPr="00697CF0">
              <w:rPr>
                <w:rFonts w:ascii="Arial" w:hAnsi="Arial" w:cs="Arial"/>
                <w:sz w:val="14"/>
                <w:szCs w:val="14"/>
              </w:rPr>
              <w:t> </w:t>
            </w:r>
          </w:p>
        </w:tc>
        <w:tc>
          <w:tcPr>
            <w:tcW w:w="994" w:type="dxa"/>
          </w:tcPr>
          <w:p w14:paraId="42FC9F4F" w14:textId="0457FE35" w:rsidR="00697CF0" w:rsidRPr="00697CF0" w:rsidRDefault="00697CF0" w:rsidP="00697CF0">
            <w:pPr>
              <w:rPr>
                <w:rFonts w:ascii="Arial" w:hAnsi="Arial" w:cs="Arial"/>
                <w:sz w:val="14"/>
                <w:szCs w:val="14"/>
              </w:rPr>
            </w:pPr>
            <w:r w:rsidRPr="00697CF0">
              <w:rPr>
                <w:rFonts w:ascii="Arial" w:hAnsi="Arial" w:cs="Arial"/>
                <w:sz w:val="14"/>
                <w:szCs w:val="14"/>
              </w:rPr>
              <w:t>RAN1</w:t>
            </w:r>
          </w:p>
        </w:tc>
        <w:tc>
          <w:tcPr>
            <w:tcW w:w="994" w:type="dxa"/>
          </w:tcPr>
          <w:p w14:paraId="707860F4" w14:textId="3EBFDBF8" w:rsidR="00697CF0" w:rsidRPr="00697CF0" w:rsidRDefault="00697CF0" w:rsidP="00697CF0">
            <w:pPr>
              <w:rPr>
                <w:rFonts w:ascii="Arial" w:hAnsi="Arial" w:cs="Arial"/>
                <w:sz w:val="14"/>
                <w:szCs w:val="14"/>
              </w:rPr>
            </w:pPr>
            <w:r w:rsidRPr="00697CF0">
              <w:rPr>
                <w:rFonts w:ascii="Arial" w:hAnsi="Arial" w:cs="Arial"/>
                <w:sz w:val="14"/>
                <w:szCs w:val="14"/>
              </w:rPr>
              <w:t>RAN4</w:t>
            </w:r>
          </w:p>
        </w:tc>
        <w:tc>
          <w:tcPr>
            <w:tcW w:w="1120" w:type="dxa"/>
          </w:tcPr>
          <w:p w14:paraId="552C66E0" w14:textId="61669315" w:rsidR="00697CF0" w:rsidRPr="00697CF0" w:rsidRDefault="00697CF0" w:rsidP="00697CF0">
            <w:pPr>
              <w:rPr>
                <w:rFonts w:ascii="Arial" w:hAnsi="Arial" w:cs="Arial"/>
                <w:sz w:val="14"/>
                <w:szCs w:val="14"/>
              </w:rPr>
            </w:pPr>
            <w:r w:rsidRPr="00697CF0">
              <w:rPr>
                <w:rFonts w:ascii="Arial" w:hAnsi="Arial" w:cs="Arial"/>
                <w:sz w:val="14"/>
                <w:szCs w:val="14"/>
              </w:rPr>
              <w:t>R2-2311293</w:t>
            </w:r>
          </w:p>
        </w:tc>
        <w:tc>
          <w:tcPr>
            <w:tcW w:w="1062" w:type="dxa"/>
          </w:tcPr>
          <w:p w14:paraId="2373917E" w14:textId="37256C3D" w:rsidR="00697CF0" w:rsidRPr="00697CF0" w:rsidRDefault="00697CF0" w:rsidP="00697CF0">
            <w:pPr>
              <w:rPr>
                <w:rFonts w:ascii="Arial" w:hAnsi="Arial" w:cs="Arial"/>
                <w:sz w:val="14"/>
                <w:szCs w:val="14"/>
              </w:rPr>
            </w:pPr>
            <w:r w:rsidRPr="00697CF0">
              <w:rPr>
                <w:rFonts w:ascii="Arial" w:hAnsi="Arial" w:cs="Arial"/>
                <w:sz w:val="14"/>
                <w:szCs w:val="14"/>
              </w:rPr>
              <w:t> </w:t>
            </w:r>
          </w:p>
        </w:tc>
      </w:tr>
      <w:tr w:rsidR="00697CF0" w:rsidRPr="009537ED" w14:paraId="4D3CB97D" w14:textId="77777777" w:rsidTr="00012FC5">
        <w:trPr>
          <w:trHeight w:val="20"/>
          <w:jc w:val="center"/>
        </w:trPr>
        <w:tc>
          <w:tcPr>
            <w:tcW w:w="1094" w:type="dxa"/>
          </w:tcPr>
          <w:p w14:paraId="002358A3" w14:textId="4B901C0E" w:rsidR="00697CF0" w:rsidRPr="00697CF0" w:rsidRDefault="005A18DC" w:rsidP="00697CF0">
            <w:pPr>
              <w:rPr>
                <w:rFonts w:ascii="Arial" w:hAnsi="Arial" w:cs="Arial"/>
                <w:bCs/>
                <w:sz w:val="14"/>
                <w:szCs w:val="14"/>
              </w:rPr>
            </w:pPr>
            <w:hyperlink r:id="rId2908" w:history="1">
              <w:r w:rsidR="00AF7253">
                <w:rPr>
                  <w:rStyle w:val="Hyperlink"/>
                  <w:rFonts w:ascii="Arial" w:hAnsi="Arial" w:cs="Arial"/>
                  <w:b/>
                  <w:bCs/>
                  <w:sz w:val="14"/>
                  <w:szCs w:val="14"/>
                </w:rPr>
                <w:t>R1-2311002</w:t>
              </w:r>
            </w:hyperlink>
          </w:p>
        </w:tc>
        <w:tc>
          <w:tcPr>
            <w:tcW w:w="2646" w:type="dxa"/>
          </w:tcPr>
          <w:p w14:paraId="670C135E" w14:textId="358E72AD" w:rsidR="00697CF0" w:rsidRPr="00697CF0" w:rsidRDefault="00697CF0" w:rsidP="00697CF0">
            <w:pPr>
              <w:rPr>
                <w:rFonts w:ascii="Arial" w:hAnsi="Arial" w:cs="Arial"/>
                <w:sz w:val="14"/>
                <w:szCs w:val="14"/>
              </w:rPr>
            </w:pPr>
            <w:r w:rsidRPr="00697CF0">
              <w:rPr>
                <w:rFonts w:ascii="Arial" w:hAnsi="Arial" w:cs="Arial"/>
                <w:sz w:val="14"/>
                <w:szCs w:val="14"/>
              </w:rPr>
              <w:t>LS on NES CHO</w:t>
            </w:r>
          </w:p>
        </w:tc>
        <w:tc>
          <w:tcPr>
            <w:tcW w:w="1583" w:type="dxa"/>
          </w:tcPr>
          <w:p w14:paraId="554FF928" w14:textId="34D21B8F" w:rsidR="00697CF0" w:rsidRPr="00697CF0" w:rsidRDefault="00697CF0" w:rsidP="00697CF0">
            <w:pPr>
              <w:rPr>
                <w:rFonts w:ascii="Arial" w:hAnsi="Arial" w:cs="Arial"/>
                <w:sz w:val="14"/>
                <w:szCs w:val="14"/>
              </w:rPr>
            </w:pPr>
            <w:r w:rsidRPr="00697CF0">
              <w:rPr>
                <w:rFonts w:ascii="Arial" w:hAnsi="Arial" w:cs="Arial"/>
                <w:sz w:val="14"/>
                <w:szCs w:val="14"/>
              </w:rPr>
              <w:t>RAN2, Apple</w:t>
            </w:r>
          </w:p>
        </w:tc>
        <w:tc>
          <w:tcPr>
            <w:tcW w:w="909" w:type="dxa"/>
          </w:tcPr>
          <w:p w14:paraId="78164CFE" w14:textId="7B780613" w:rsidR="00697CF0" w:rsidRPr="00697CF0" w:rsidRDefault="005A18DC" w:rsidP="00697CF0">
            <w:pPr>
              <w:rPr>
                <w:rFonts w:ascii="Arial" w:hAnsi="Arial" w:cs="Arial"/>
                <w:bCs/>
                <w:sz w:val="14"/>
                <w:szCs w:val="14"/>
              </w:rPr>
            </w:pPr>
            <w:hyperlink r:id="rId2909" w:history="1">
              <w:r w:rsidR="00697CF0" w:rsidRPr="00697CF0">
                <w:rPr>
                  <w:rStyle w:val="Hyperlink"/>
                  <w:rFonts w:ascii="Arial" w:hAnsi="Arial" w:cs="Arial"/>
                  <w:b/>
                  <w:bCs/>
                  <w:sz w:val="14"/>
                  <w:szCs w:val="14"/>
                </w:rPr>
                <w:t>Rel-18</w:t>
              </w:r>
            </w:hyperlink>
          </w:p>
        </w:tc>
        <w:tc>
          <w:tcPr>
            <w:tcW w:w="2600" w:type="dxa"/>
          </w:tcPr>
          <w:p w14:paraId="0A94A7D5" w14:textId="468E11E5" w:rsidR="00697CF0" w:rsidRPr="00697CF0" w:rsidRDefault="005A18DC" w:rsidP="00697CF0">
            <w:pPr>
              <w:rPr>
                <w:rFonts w:ascii="Arial" w:hAnsi="Arial" w:cs="Arial"/>
                <w:bCs/>
                <w:sz w:val="14"/>
                <w:szCs w:val="14"/>
              </w:rPr>
            </w:pPr>
            <w:hyperlink r:id="rId2910" w:history="1">
              <w:r w:rsidR="00697CF0" w:rsidRPr="00697CF0">
                <w:rPr>
                  <w:rStyle w:val="Hyperlink"/>
                  <w:rFonts w:ascii="Arial" w:hAnsi="Arial" w:cs="Arial"/>
                  <w:b/>
                  <w:bCs/>
                  <w:sz w:val="14"/>
                  <w:szCs w:val="14"/>
                </w:rPr>
                <w:t>Netw_Energy_NR-Core</w:t>
              </w:r>
            </w:hyperlink>
          </w:p>
        </w:tc>
        <w:tc>
          <w:tcPr>
            <w:tcW w:w="1065" w:type="dxa"/>
          </w:tcPr>
          <w:p w14:paraId="03F75E17" w14:textId="535155EE" w:rsidR="00697CF0" w:rsidRPr="00697CF0" w:rsidRDefault="00697CF0" w:rsidP="00697CF0">
            <w:pPr>
              <w:rPr>
                <w:rFonts w:ascii="Arial" w:hAnsi="Arial" w:cs="Arial"/>
                <w:sz w:val="14"/>
                <w:szCs w:val="14"/>
              </w:rPr>
            </w:pPr>
            <w:r w:rsidRPr="00697CF0">
              <w:rPr>
                <w:rFonts w:ascii="Arial" w:hAnsi="Arial" w:cs="Arial"/>
                <w:sz w:val="14"/>
                <w:szCs w:val="14"/>
              </w:rPr>
              <w:t> </w:t>
            </w:r>
          </w:p>
        </w:tc>
        <w:tc>
          <w:tcPr>
            <w:tcW w:w="994" w:type="dxa"/>
          </w:tcPr>
          <w:p w14:paraId="43E14550" w14:textId="725A8032" w:rsidR="00697CF0" w:rsidRPr="00697CF0" w:rsidRDefault="00697CF0" w:rsidP="00697CF0">
            <w:pPr>
              <w:rPr>
                <w:rFonts w:ascii="Arial" w:hAnsi="Arial" w:cs="Arial"/>
                <w:sz w:val="14"/>
                <w:szCs w:val="14"/>
              </w:rPr>
            </w:pPr>
            <w:r w:rsidRPr="00697CF0">
              <w:rPr>
                <w:rFonts w:ascii="Arial" w:hAnsi="Arial" w:cs="Arial"/>
                <w:sz w:val="14"/>
                <w:szCs w:val="14"/>
              </w:rPr>
              <w:t>RAN1</w:t>
            </w:r>
          </w:p>
        </w:tc>
        <w:tc>
          <w:tcPr>
            <w:tcW w:w="994" w:type="dxa"/>
          </w:tcPr>
          <w:p w14:paraId="342CE74E" w14:textId="14F4FE38" w:rsidR="00697CF0" w:rsidRPr="00697CF0" w:rsidRDefault="00697CF0" w:rsidP="00697CF0">
            <w:pPr>
              <w:rPr>
                <w:rFonts w:ascii="Arial" w:hAnsi="Arial" w:cs="Arial"/>
                <w:sz w:val="14"/>
                <w:szCs w:val="14"/>
              </w:rPr>
            </w:pPr>
            <w:r w:rsidRPr="00697CF0">
              <w:rPr>
                <w:rFonts w:ascii="Arial" w:hAnsi="Arial" w:cs="Arial"/>
                <w:sz w:val="14"/>
                <w:szCs w:val="14"/>
              </w:rPr>
              <w:t> </w:t>
            </w:r>
          </w:p>
        </w:tc>
        <w:tc>
          <w:tcPr>
            <w:tcW w:w="1120" w:type="dxa"/>
          </w:tcPr>
          <w:p w14:paraId="39B25BA0" w14:textId="15C96E28" w:rsidR="00697CF0" w:rsidRPr="00697CF0" w:rsidRDefault="00697CF0" w:rsidP="00697CF0">
            <w:pPr>
              <w:rPr>
                <w:rFonts w:ascii="Arial" w:hAnsi="Arial" w:cs="Arial"/>
                <w:sz w:val="14"/>
                <w:szCs w:val="14"/>
              </w:rPr>
            </w:pPr>
            <w:r w:rsidRPr="00697CF0">
              <w:rPr>
                <w:rFonts w:ascii="Arial" w:hAnsi="Arial" w:cs="Arial"/>
                <w:sz w:val="14"/>
                <w:szCs w:val="14"/>
              </w:rPr>
              <w:t>R2-2311589</w:t>
            </w:r>
          </w:p>
        </w:tc>
        <w:tc>
          <w:tcPr>
            <w:tcW w:w="1062" w:type="dxa"/>
          </w:tcPr>
          <w:p w14:paraId="0A71DD20" w14:textId="6B93B6C4" w:rsidR="00697CF0" w:rsidRPr="00697CF0" w:rsidRDefault="00697CF0" w:rsidP="00697CF0">
            <w:pPr>
              <w:rPr>
                <w:rFonts w:ascii="Arial" w:hAnsi="Arial" w:cs="Arial"/>
                <w:sz w:val="14"/>
                <w:szCs w:val="14"/>
              </w:rPr>
            </w:pPr>
            <w:r w:rsidRPr="00697CF0">
              <w:rPr>
                <w:rFonts w:ascii="Arial" w:hAnsi="Arial" w:cs="Arial"/>
                <w:sz w:val="14"/>
                <w:szCs w:val="14"/>
              </w:rPr>
              <w:t> </w:t>
            </w:r>
          </w:p>
        </w:tc>
      </w:tr>
      <w:tr w:rsidR="00697CF0" w:rsidRPr="009537ED" w14:paraId="0ABBBEB6" w14:textId="77777777" w:rsidTr="00012FC5">
        <w:trPr>
          <w:trHeight w:val="20"/>
          <w:jc w:val="center"/>
        </w:trPr>
        <w:tc>
          <w:tcPr>
            <w:tcW w:w="1094" w:type="dxa"/>
          </w:tcPr>
          <w:p w14:paraId="2DA4D856" w14:textId="6E48579E" w:rsidR="00697CF0" w:rsidRPr="00697CF0" w:rsidRDefault="005A18DC" w:rsidP="00697CF0">
            <w:pPr>
              <w:rPr>
                <w:rFonts w:ascii="Arial" w:hAnsi="Arial" w:cs="Arial"/>
                <w:bCs/>
                <w:sz w:val="14"/>
                <w:szCs w:val="14"/>
              </w:rPr>
            </w:pPr>
            <w:hyperlink r:id="rId2911" w:history="1">
              <w:r w:rsidR="00AF7253">
                <w:rPr>
                  <w:rStyle w:val="Hyperlink"/>
                  <w:rFonts w:ascii="Arial" w:hAnsi="Arial" w:cs="Arial"/>
                  <w:b/>
                  <w:bCs/>
                  <w:sz w:val="14"/>
                  <w:szCs w:val="14"/>
                </w:rPr>
                <w:t>R1-2311003</w:t>
              </w:r>
            </w:hyperlink>
          </w:p>
        </w:tc>
        <w:tc>
          <w:tcPr>
            <w:tcW w:w="2646" w:type="dxa"/>
          </w:tcPr>
          <w:p w14:paraId="280C329C" w14:textId="0F7A6CFC" w:rsidR="00697CF0" w:rsidRPr="00697CF0" w:rsidRDefault="00697CF0" w:rsidP="00697CF0">
            <w:pPr>
              <w:rPr>
                <w:rFonts w:ascii="Arial" w:hAnsi="Arial" w:cs="Arial"/>
                <w:sz w:val="14"/>
                <w:szCs w:val="14"/>
              </w:rPr>
            </w:pPr>
            <w:r w:rsidRPr="00697CF0">
              <w:rPr>
                <w:rFonts w:ascii="Arial" w:hAnsi="Arial" w:cs="Arial"/>
                <w:sz w:val="14"/>
                <w:szCs w:val="14"/>
              </w:rPr>
              <w:t>Reply LS on Priority Handling for SL Positioning</w:t>
            </w:r>
          </w:p>
        </w:tc>
        <w:tc>
          <w:tcPr>
            <w:tcW w:w="1583" w:type="dxa"/>
          </w:tcPr>
          <w:p w14:paraId="76FE5C91" w14:textId="66B3AB74" w:rsidR="00697CF0" w:rsidRPr="00697CF0" w:rsidRDefault="00697CF0" w:rsidP="00697CF0">
            <w:pPr>
              <w:rPr>
                <w:rFonts w:ascii="Arial" w:hAnsi="Arial" w:cs="Arial"/>
                <w:sz w:val="14"/>
                <w:szCs w:val="14"/>
              </w:rPr>
            </w:pPr>
            <w:r w:rsidRPr="00697CF0">
              <w:rPr>
                <w:rFonts w:ascii="Arial" w:hAnsi="Arial" w:cs="Arial"/>
                <w:sz w:val="14"/>
                <w:szCs w:val="14"/>
              </w:rPr>
              <w:t>RAN2, Intel Corporation</w:t>
            </w:r>
          </w:p>
        </w:tc>
        <w:tc>
          <w:tcPr>
            <w:tcW w:w="909" w:type="dxa"/>
          </w:tcPr>
          <w:p w14:paraId="173214F9" w14:textId="15C56BEB" w:rsidR="00697CF0" w:rsidRPr="00697CF0" w:rsidRDefault="005A18DC" w:rsidP="00697CF0">
            <w:pPr>
              <w:rPr>
                <w:rFonts w:ascii="Arial" w:hAnsi="Arial" w:cs="Arial"/>
                <w:bCs/>
                <w:sz w:val="14"/>
                <w:szCs w:val="14"/>
              </w:rPr>
            </w:pPr>
            <w:hyperlink r:id="rId2912" w:history="1">
              <w:r w:rsidR="00697CF0" w:rsidRPr="00697CF0">
                <w:rPr>
                  <w:rStyle w:val="Hyperlink"/>
                  <w:rFonts w:ascii="Arial" w:hAnsi="Arial" w:cs="Arial"/>
                  <w:b/>
                  <w:bCs/>
                  <w:sz w:val="14"/>
                  <w:szCs w:val="14"/>
                </w:rPr>
                <w:t>Rel-18</w:t>
              </w:r>
            </w:hyperlink>
          </w:p>
        </w:tc>
        <w:tc>
          <w:tcPr>
            <w:tcW w:w="2600" w:type="dxa"/>
          </w:tcPr>
          <w:p w14:paraId="775B5651" w14:textId="51C9C3A1" w:rsidR="00697CF0" w:rsidRPr="00697CF0" w:rsidRDefault="005A18DC" w:rsidP="00697CF0">
            <w:pPr>
              <w:rPr>
                <w:rFonts w:ascii="Arial" w:hAnsi="Arial" w:cs="Arial"/>
                <w:bCs/>
                <w:sz w:val="14"/>
                <w:szCs w:val="14"/>
              </w:rPr>
            </w:pPr>
            <w:hyperlink r:id="rId2913" w:history="1">
              <w:r w:rsidR="00697CF0" w:rsidRPr="00697CF0">
                <w:rPr>
                  <w:rStyle w:val="Hyperlink"/>
                  <w:rFonts w:ascii="Arial" w:hAnsi="Arial" w:cs="Arial"/>
                  <w:b/>
                  <w:bCs/>
                  <w:sz w:val="14"/>
                  <w:szCs w:val="14"/>
                </w:rPr>
                <w:t>NR_pos_enh2-Core</w:t>
              </w:r>
            </w:hyperlink>
          </w:p>
        </w:tc>
        <w:tc>
          <w:tcPr>
            <w:tcW w:w="1065" w:type="dxa"/>
          </w:tcPr>
          <w:p w14:paraId="060B54AB" w14:textId="61792845" w:rsidR="00697CF0" w:rsidRPr="00697CF0" w:rsidRDefault="005A18DC" w:rsidP="00697CF0">
            <w:pPr>
              <w:rPr>
                <w:rFonts w:ascii="Arial" w:hAnsi="Arial" w:cs="Arial"/>
                <w:sz w:val="14"/>
                <w:szCs w:val="14"/>
              </w:rPr>
            </w:pPr>
            <w:hyperlink r:id="rId2914" w:history="1">
              <w:r w:rsidR="00AF7253">
                <w:rPr>
                  <w:rStyle w:val="Hyperlink"/>
                  <w:rFonts w:ascii="Arial" w:hAnsi="Arial" w:cs="Arial"/>
                  <w:sz w:val="14"/>
                  <w:szCs w:val="14"/>
                </w:rPr>
                <w:t>R1-2308559</w:t>
              </w:r>
            </w:hyperlink>
          </w:p>
        </w:tc>
        <w:tc>
          <w:tcPr>
            <w:tcW w:w="994" w:type="dxa"/>
          </w:tcPr>
          <w:p w14:paraId="7BBBE5AE" w14:textId="1C5BE855" w:rsidR="00697CF0" w:rsidRPr="00697CF0" w:rsidRDefault="00697CF0" w:rsidP="00697CF0">
            <w:pPr>
              <w:rPr>
                <w:rFonts w:ascii="Arial" w:hAnsi="Arial" w:cs="Arial"/>
                <w:sz w:val="14"/>
                <w:szCs w:val="14"/>
              </w:rPr>
            </w:pPr>
            <w:r w:rsidRPr="00697CF0">
              <w:rPr>
                <w:rFonts w:ascii="Arial" w:hAnsi="Arial" w:cs="Arial"/>
                <w:sz w:val="14"/>
                <w:szCs w:val="14"/>
              </w:rPr>
              <w:t>RAN1</w:t>
            </w:r>
          </w:p>
        </w:tc>
        <w:tc>
          <w:tcPr>
            <w:tcW w:w="994" w:type="dxa"/>
          </w:tcPr>
          <w:p w14:paraId="726741F0" w14:textId="0CECB403" w:rsidR="00697CF0" w:rsidRPr="00697CF0" w:rsidRDefault="00697CF0" w:rsidP="00697CF0">
            <w:pPr>
              <w:rPr>
                <w:rFonts w:ascii="Arial" w:hAnsi="Arial" w:cs="Arial"/>
                <w:sz w:val="14"/>
                <w:szCs w:val="14"/>
              </w:rPr>
            </w:pPr>
            <w:r w:rsidRPr="00697CF0">
              <w:rPr>
                <w:rFonts w:ascii="Arial" w:hAnsi="Arial" w:cs="Arial"/>
                <w:sz w:val="14"/>
                <w:szCs w:val="14"/>
              </w:rPr>
              <w:t> </w:t>
            </w:r>
          </w:p>
        </w:tc>
        <w:tc>
          <w:tcPr>
            <w:tcW w:w="1120" w:type="dxa"/>
          </w:tcPr>
          <w:p w14:paraId="7E598C98" w14:textId="6FC2943B" w:rsidR="00697CF0" w:rsidRPr="00697CF0" w:rsidRDefault="00697CF0" w:rsidP="00697CF0">
            <w:pPr>
              <w:rPr>
                <w:rFonts w:ascii="Arial" w:hAnsi="Arial" w:cs="Arial"/>
                <w:sz w:val="14"/>
                <w:szCs w:val="14"/>
              </w:rPr>
            </w:pPr>
            <w:r w:rsidRPr="00697CF0">
              <w:rPr>
                <w:rFonts w:ascii="Arial" w:hAnsi="Arial" w:cs="Arial"/>
                <w:sz w:val="14"/>
                <w:szCs w:val="14"/>
              </w:rPr>
              <w:t>R2-2311599</w:t>
            </w:r>
          </w:p>
        </w:tc>
        <w:tc>
          <w:tcPr>
            <w:tcW w:w="1062" w:type="dxa"/>
          </w:tcPr>
          <w:p w14:paraId="4C739F86" w14:textId="16BD7DAB" w:rsidR="00697CF0" w:rsidRPr="00697CF0" w:rsidRDefault="00697CF0" w:rsidP="00697CF0">
            <w:pPr>
              <w:rPr>
                <w:rFonts w:ascii="Arial" w:hAnsi="Arial" w:cs="Arial"/>
                <w:sz w:val="14"/>
                <w:szCs w:val="14"/>
              </w:rPr>
            </w:pPr>
            <w:r w:rsidRPr="00697CF0">
              <w:rPr>
                <w:rFonts w:ascii="Arial" w:hAnsi="Arial" w:cs="Arial"/>
                <w:sz w:val="14"/>
                <w:szCs w:val="14"/>
              </w:rPr>
              <w:t> </w:t>
            </w:r>
          </w:p>
        </w:tc>
      </w:tr>
      <w:tr w:rsidR="00697CF0" w:rsidRPr="009537ED" w14:paraId="4A3407BE" w14:textId="77777777" w:rsidTr="00E013E9">
        <w:trPr>
          <w:trHeight w:val="20"/>
          <w:jc w:val="center"/>
        </w:trPr>
        <w:tc>
          <w:tcPr>
            <w:tcW w:w="1094" w:type="dxa"/>
          </w:tcPr>
          <w:p w14:paraId="1C3053AE" w14:textId="117990BC" w:rsidR="00697CF0" w:rsidRPr="00697CF0" w:rsidRDefault="005A18DC" w:rsidP="00697CF0">
            <w:pPr>
              <w:rPr>
                <w:rFonts w:ascii="Arial" w:hAnsi="Arial" w:cs="Arial"/>
                <w:bCs/>
                <w:sz w:val="14"/>
                <w:szCs w:val="14"/>
              </w:rPr>
            </w:pPr>
            <w:hyperlink r:id="rId2915" w:history="1">
              <w:r w:rsidR="00AF7253">
                <w:rPr>
                  <w:rStyle w:val="Hyperlink"/>
                  <w:rFonts w:ascii="Arial" w:hAnsi="Arial" w:cs="Arial"/>
                  <w:b/>
                  <w:bCs/>
                  <w:sz w:val="14"/>
                  <w:szCs w:val="14"/>
                </w:rPr>
                <w:t>R1-2311004</w:t>
              </w:r>
            </w:hyperlink>
          </w:p>
        </w:tc>
        <w:tc>
          <w:tcPr>
            <w:tcW w:w="2646" w:type="dxa"/>
          </w:tcPr>
          <w:p w14:paraId="0506FB8D" w14:textId="2C358276" w:rsidR="00697CF0" w:rsidRPr="00697CF0" w:rsidRDefault="00697CF0" w:rsidP="00697CF0">
            <w:pPr>
              <w:rPr>
                <w:rFonts w:ascii="Arial" w:hAnsi="Arial" w:cs="Arial"/>
                <w:sz w:val="14"/>
                <w:szCs w:val="14"/>
              </w:rPr>
            </w:pPr>
            <w:r w:rsidRPr="00697CF0">
              <w:rPr>
                <w:rFonts w:ascii="Arial" w:hAnsi="Arial" w:cs="Arial"/>
                <w:sz w:val="14"/>
                <w:szCs w:val="14"/>
              </w:rPr>
              <w:t>LS on MIMOevo</w:t>
            </w:r>
          </w:p>
        </w:tc>
        <w:tc>
          <w:tcPr>
            <w:tcW w:w="1583" w:type="dxa"/>
          </w:tcPr>
          <w:p w14:paraId="77ED12AE" w14:textId="1BDAB6B8" w:rsidR="00697CF0" w:rsidRPr="00697CF0" w:rsidRDefault="00697CF0" w:rsidP="00697CF0">
            <w:pPr>
              <w:rPr>
                <w:rFonts w:ascii="Arial" w:hAnsi="Arial" w:cs="Arial"/>
                <w:sz w:val="14"/>
                <w:szCs w:val="14"/>
              </w:rPr>
            </w:pPr>
            <w:r w:rsidRPr="00697CF0">
              <w:rPr>
                <w:rFonts w:ascii="Arial" w:hAnsi="Arial" w:cs="Arial"/>
                <w:sz w:val="14"/>
                <w:szCs w:val="14"/>
              </w:rPr>
              <w:t>RAN2, Ericsson</w:t>
            </w:r>
          </w:p>
        </w:tc>
        <w:tc>
          <w:tcPr>
            <w:tcW w:w="909" w:type="dxa"/>
          </w:tcPr>
          <w:p w14:paraId="5CF2A1D5" w14:textId="30A0801F" w:rsidR="00697CF0" w:rsidRPr="00697CF0" w:rsidRDefault="005A18DC" w:rsidP="00697CF0">
            <w:pPr>
              <w:rPr>
                <w:rFonts w:ascii="Arial" w:hAnsi="Arial" w:cs="Arial"/>
                <w:bCs/>
                <w:sz w:val="14"/>
                <w:szCs w:val="14"/>
              </w:rPr>
            </w:pPr>
            <w:hyperlink r:id="rId2916" w:history="1">
              <w:r w:rsidR="00697CF0" w:rsidRPr="00697CF0">
                <w:rPr>
                  <w:rStyle w:val="Hyperlink"/>
                  <w:rFonts w:ascii="Arial" w:hAnsi="Arial" w:cs="Arial"/>
                  <w:b/>
                  <w:bCs/>
                  <w:sz w:val="14"/>
                  <w:szCs w:val="14"/>
                </w:rPr>
                <w:t>Rel-18</w:t>
              </w:r>
            </w:hyperlink>
          </w:p>
        </w:tc>
        <w:tc>
          <w:tcPr>
            <w:tcW w:w="2600" w:type="dxa"/>
          </w:tcPr>
          <w:p w14:paraId="633755B3" w14:textId="185FDF7C" w:rsidR="00697CF0" w:rsidRPr="00697CF0" w:rsidRDefault="005A18DC" w:rsidP="00697CF0">
            <w:pPr>
              <w:rPr>
                <w:rFonts w:ascii="Arial" w:hAnsi="Arial" w:cs="Arial"/>
                <w:bCs/>
                <w:sz w:val="14"/>
                <w:szCs w:val="14"/>
              </w:rPr>
            </w:pPr>
            <w:hyperlink r:id="rId2917" w:history="1">
              <w:r w:rsidR="00697CF0" w:rsidRPr="00697CF0">
                <w:rPr>
                  <w:rStyle w:val="Hyperlink"/>
                  <w:rFonts w:ascii="Arial" w:hAnsi="Arial" w:cs="Arial"/>
                  <w:b/>
                  <w:bCs/>
                  <w:sz w:val="14"/>
                  <w:szCs w:val="14"/>
                </w:rPr>
                <w:t>NR_MIMO_evo_DL_UL-Core</w:t>
              </w:r>
            </w:hyperlink>
          </w:p>
        </w:tc>
        <w:tc>
          <w:tcPr>
            <w:tcW w:w="1065" w:type="dxa"/>
          </w:tcPr>
          <w:p w14:paraId="5CDF8E64" w14:textId="310D50B2" w:rsidR="00697CF0" w:rsidRPr="00697CF0" w:rsidRDefault="00697CF0" w:rsidP="00697CF0">
            <w:pPr>
              <w:rPr>
                <w:rFonts w:ascii="Arial" w:hAnsi="Arial" w:cs="Arial"/>
                <w:sz w:val="14"/>
                <w:szCs w:val="14"/>
              </w:rPr>
            </w:pPr>
            <w:r w:rsidRPr="00697CF0">
              <w:rPr>
                <w:rFonts w:ascii="Arial" w:hAnsi="Arial" w:cs="Arial"/>
                <w:sz w:val="14"/>
                <w:szCs w:val="14"/>
              </w:rPr>
              <w:t> </w:t>
            </w:r>
          </w:p>
        </w:tc>
        <w:tc>
          <w:tcPr>
            <w:tcW w:w="994" w:type="dxa"/>
          </w:tcPr>
          <w:p w14:paraId="07666E6B" w14:textId="66DD7C6D" w:rsidR="00697CF0" w:rsidRPr="00697CF0" w:rsidRDefault="00697CF0" w:rsidP="00697CF0">
            <w:pPr>
              <w:rPr>
                <w:rFonts w:ascii="Arial" w:hAnsi="Arial" w:cs="Arial"/>
                <w:sz w:val="14"/>
                <w:szCs w:val="14"/>
              </w:rPr>
            </w:pPr>
            <w:r w:rsidRPr="00697CF0">
              <w:rPr>
                <w:rFonts w:ascii="Arial" w:hAnsi="Arial" w:cs="Arial"/>
                <w:sz w:val="14"/>
                <w:szCs w:val="14"/>
              </w:rPr>
              <w:t>RAN1</w:t>
            </w:r>
          </w:p>
        </w:tc>
        <w:tc>
          <w:tcPr>
            <w:tcW w:w="994" w:type="dxa"/>
          </w:tcPr>
          <w:p w14:paraId="7FA6BB69" w14:textId="59FB518A" w:rsidR="00697CF0" w:rsidRPr="00697CF0" w:rsidRDefault="00697CF0" w:rsidP="00697CF0">
            <w:pPr>
              <w:rPr>
                <w:rFonts w:ascii="Arial" w:hAnsi="Arial" w:cs="Arial"/>
                <w:sz w:val="14"/>
                <w:szCs w:val="14"/>
              </w:rPr>
            </w:pPr>
            <w:r w:rsidRPr="00697CF0">
              <w:rPr>
                <w:rFonts w:ascii="Arial" w:hAnsi="Arial" w:cs="Arial"/>
                <w:sz w:val="14"/>
                <w:szCs w:val="14"/>
              </w:rPr>
              <w:t> </w:t>
            </w:r>
          </w:p>
        </w:tc>
        <w:tc>
          <w:tcPr>
            <w:tcW w:w="1120" w:type="dxa"/>
          </w:tcPr>
          <w:p w14:paraId="3A70A25B" w14:textId="19740336" w:rsidR="00697CF0" w:rsidRPr="00697CF0" w:rsidRDefault="00697CF0" w:rsidP="00697CF0">
            <w:pPr>
              <w:rPr>
                <w:rFonts w:ascii="Arial" w:hAnsi="Arial" w:cs="Arial"/>
                <w:sz w:val="14"/>
                <w:szCs w:val="14"/>
              </w:rPr>
            </w:pPr>
            <w:r w:rsidRPr="00697CF0">
              <w:rPr>
                <w:rFonts w:ascii="Arial" w:hAnsi="Arial" w:cs="Arial"/>
                <w:sz w:val="14"/>
                <w:szCs w:val="14"/>
              </w:rPr>
              <w:t>R2-2311609</w:t>
            </w:r>
          </w:p>
        </w:tc>
        <w:tc>
          <w:tcPr>
            <w:tcW w:w="1062" w:type="dxa"/>
          </w:tcPr>
          <w:p w14:paraId="0E11569A" w14:textId="12ABED8F" w:rsidR="00697CF0" w:rsidRPr="00697CF0" w:rsidRDefault="00697CF0" w:rsidP="00697CF0">
            <w:pPr>
              <w:rPr>
                <w:rFonts w:ascii="Arial" w:hAnsi="Arial" w:cs="Arial"/>
                <w:sz w:val="14"/>
                <w:szCs w:val="14"/>
              </w:rPr>
            </w:pPr>
            <w:r w:rsidRPr="00697CF0">
              <w:rPr>
                <w:rFonts w:ascii="Arial" w:hAnsi="Arial" w:cs="Arial"/>
                <w:sz w:val="14"/>
                <w:szCs w:val="14"/>
              </w:rPr>
              <w:t> </w:t>
            </w:r>
          </w:p>
        </w:tc>
      </w:tr>
      <w:tr w:rsidR="00697CF0" w:rsidRPr="009537ED" w14:paraId="4EA67304" w14:textId="77777777" w:rsidTr="00E013E9">
        <w:trPr>
          <w:trHeight w:val="20"/>
          <w:jc w:val="center"/>
        </w:trPr>
        <w:tc>
          <w:tcPr>
            <w:tcW w:w="1094" w:type="dxa"/>
          </w:tcPr>
          <w:p w14:paraId="28B38DE0" w14:textId="5F38B624" w:rsidR="00697CF0" w:rsidRPr="00697CF0" w:rsidRDefault="005A18DC" w:rsidP="00697CF0">
            <w:pPr>
              <w:rPr>
                <w:rFonts w:ascii="Arial" w:hAnsi="Arial" w:cs="Arial"/>
                <w:bCs/>
                <w:sz w:val="14"/>
                <w:szCs w:val="14"/>
              </w:rPr>
            </w:pPr>
            <w:hyperlink r:id="rId2918" w:history="1">
              <w:r w:rsidR="00AF7253">
                <w:rPr>
                  <w:rStyle w:val="Hyperlink"/>
                  <w:rFonts w:ascii="Arial" w:hAnsi="Arial" w:cs="Arial"/>
                  <w:b/>
                  <w:bCs/>
                  <w:sz w:val="14"/>
                  <w:szCs w:val="14"/>
                </w:rPr>
                <w:t>R1-2311005</w:t>
              </w:r>
            </w:hyperlink>
          </w:p>
        </w:tc>
        <w:tc>
          <w:tcPr>
            <w:tcW w:w="2646" w:type="dxa"/>
          </w:tcPr>
          <w:p w14:paraId="0B5693BC" w14:textId="74B212FC" w:rsidR="00697CF0" w:rsidRPr="00697CF0" w:rsidRDefault="00697CF0" w:rsidP="00697CF0">
            <w:pPr>
              <w:rPr>
                <w:rFonts w:ascii="Arial" w:hAnsi="Arial" w:cs="Arial"/>
                <w:sz w:val="14"/>
                <w:szCs w:val="14"/>
              </w:rPr>
            </w:pPr>
            <w:r w:rsidRPr="00697CF0">
              <w:rPr>
                <w:rFonts w:ascii="Arial" w:hAnsi="Arial" w:cs="Arial"/>
                <w:sz w:val="14"/>
                <w:szCs w:val="14"/>
              </w:rPr>
              <w:t>LS to RAN1 on PHR reporting</w:t>
            </w:r>
          </w:p>
        </w:tc>
        <w:tc>
          <w:tcPr>
            <w:tcW w:w="1583" w:type="dxa"/>
          </w:tcPr>
          <w:p w14:paraId="136E401B" w14:textId="6E8F5517" w:rsidR="00697CF0" w:rsidRPr="00697CF0" w:rsidRDefault="00697CF0" w:rsidP="00697CF0">
            <w:pPr>
              <w:rPr>
                <w:rFonts w:ascii="Arial" w:hAnsi="Arial" w:cs="Arial"/>
                <w:sz w:val="14"/>
                <w:szCs w:val="14"/>
              </w:rPr>
            </w:pPr>
            <w:r w:rsidRPr="00697CF0">
              <w:rPr>
                <w:rFonts w:ascii="Arial" w:hAnsi="Arial" w:cs="Arial"/>
                <w:sz w:val="14"/>
                <w:szCs w:val="14"/>
              </w:rPr>
              <w:t>RAN2, InterDigital</w:t>
            </w:r>
          </w:p>
        </w:tc>
        <w:tc>
          <w:tcPr>
            <w:tcW w:w="909" w:type="dxa"/>
          </w:tcPr>
          <w:p w14:paraId="079E171E" w14:textId="0BC043D4" w:rsidR="00697CF0" w:rsidRPr="00697CF0" w:rsidRDefault="005A18DC" w:rsidP="00697CF0">
            <w:pPr>
              <w:rPr>
                <w:rFonts w:ascii="Arial" w:hAnsi="Arial" w:cs="Arial"/>
                <w:bCs/>
                <w:sz w:val="14"/>
                <w:szCs w:val="14"/>
              </w:rPr>
            </w:pPr>
            <w:hyperlink r:id="rId2919" w:history="1">
              <w:r w:rsidR="00697CF0" w:rsidRPr="00697CF0">
                <w:rPr>
                  <w:rStyle w:val="Hyperlink"/>
                  <w:rFonts w:ascii="Arial" w:hAnsi="Arial" w:cs="Arial"/>
                  <w:b/>
                  <w:bCs/>
                  <w:sz w:val="14"/>
                  <w:szCs w:val="14"/>
                </w:rPr>
                <w:t>Rel-18</w:t>
              </w:r>
            </w:hyperlink>
          </w:p>
        </w:tc>
        <w:tc>
          <w:tcPr>
            <w:tcW w:w="2600" w:type="dxa"/>
          </w:tcPr>
          <w:p w14:paraId="56E97C11" w14:textId="69F6C1DA" w:rsidR="00697CF0" w:rsidRPr="00697CF0" w:rsidRDefault="005A18DC" w:rsidP="00697CF0">
            <w:pPr>
              <w:rPr>
                <w:rFonts w:ascii="Arial" w:hAnsi="Arial" w:cs="Arial"/>
                <w:bCs/>
                <w:sz w:val="14"/>
                <w:szCs w:val="14"/>
              </w:rPr>
            </w:pPr>
            <w:hyperlink r:id="rId2920" w:history="1">
              <w:r w:rsidR="00697CF0" w:rsidRPr="00697CF0">
                <w:rPr>
                  <w:rStyle w:val="Hyperlink"/>
                  <w:rFonts w:ascii="Arial" w:hAnsi="Arial" w:cs="Arial"/>
                  <w:b/>
                  <w:bCs/>
                  <w:sz w:val="14"/>
                  <w:szCs w:val="14"/>
                </w:rPr>
                <w:t>NR_cov_enh2-Core</w:t>
              </w:r>
            </w:hyperlink>
          </w:p>
        </w:tc>
        <w:tc>
          <w:tcPr>
            <w:tcW w:w="1065" w:type="dxa"/>
          </w:tcPr>
          <w:p w14:paraId="56496B6C" w14:textId="3A77BDFC" w:rsidR="00697CF0" w:rsidRPr="00697CF0" w:rsidRDefault="00697CF0" w:rsidP="00697CF0">
            <w:pPr>
              <w:rPr>
                <w:rFonts w:ascii="Arial" w:hAnsi="Arial" w:cs="Arial"/>
                <w:sz w:val="14"/>
                <w:szCs w:val="14"/>
              </w:rPr>
            </w:pPr>
            <w:r w:rsidRPr="00697CF0">
              <w:rPr>
                <w:rFonts w:ascii="Arial" w:hAnsi="Arial" w:cs="Arial"/>
                <w:sz w:val="14"/>
                <w:szCs w:val="14"/>
              </w:rPr>
              <w:t> </w:t>
            </w:r>
          </w:p>
        </w:tc>
        <w:tc>
          <w:tcPr>
            <w:tcW w:w="994" w:type="dxa"/>
          </w:tcPr>
          <w:p w14:paraId="59AAE081" w14:textId="1EC034B5" w:rsidR="00697CF0" w:rsidRPr="00697CF0" w:rsidRDefault="00697CF0" w:rsidP="00697CF0">
            <w:pPr>
              <w:rPr>
                <w:rFonts w:ascii="Arial" w:hAnsi="Arial" w:cs="Arial"/>
                <w:sz w:val="14"/>
                <w:szCs w:val="14"/>
              </w:rPr>
            </w:pPr>
            <w:r w:rsidRPr="00697CF0">
              <w:rPr>
                <w:rFonts w:ascii="Arial" w:hAnsi="Arial" w:cs="Arial"/>
                <w:sz w:val="14"/>
                <w:szCs w:val="14"/>
              </w:rPr>
              <w:t>RAN1</w:t>
            </w:r>
          </w:p>
        </w:tc>
        <w:tc>
          <w:tcPr>
            <w:tcW w:w="994" w:type="dxa"/>
          </w:tcPr>
          <w:p w14:paraId="0B739FA4" w14:textId="4EB2B428" w:rsidR="00697CF0" w:rsidRPr="00697CF0" w:rsidRDefault="00697CF0" w:rsidP="00697CF0">
            <w:pPr>
              <w:rPr>
                <w:rFonts w:ascii="Arial" w:hAnsi="Arial" w:cs="Arial"/>
                <w:sz w:val="14"/>
                <w:szCs w:val="14"/>
              </w:rPr>
            </w:pPr>
            <w:r w:rsidRPr="00697CF0">
              <w:rPr>
                <w:rFonts w:ascii="Arial" w:hAnsi="Arial" w:cs="Arial"/>
                <w:sz w:val="14"/>
                <w:szCs w:val="14"/>
              </w:rPr>
              <w:t> </w:t>
            </w:r>
          </w:p>
        </w:tc>
        <w:tc>
          <w:tcPr>
            <w:tcW w:w="1120" w:type="dxa"/>
          </w:tcPr>
          <w:p w14:paraId="6DC003D5" w14:textId="38B64969" w:rsidR="00697CF0" w:rsidRPr="00697CF0" w:rsidRDefault="00697CF0" w:rsidP="00697CF0">
            <w:pPr>
              <w:rPr>
                <w:rFonts w:ascii="Arial" w:hAnsi="Arial" w:cs="Arial"/>
                <w:sz w:val="14"/>
                <w:szCs w:val="14"/>
              </w:rPr>
            </w:pPr>
            <w:r w:rsidRPr="00697CF0">
              <w:rPr>
                <w:rFonts w:ascii="Arial" w:hAnsi="Arial" w:cs="Arial"/>
                <w:sz w:val="14"/>
                <w:szCs w:val="14"/>
              </w:rPr>
              <w:t>R2-2311616</w:t>
            </w:r>
          </w:p>
        </w:tc>
        <w:tc>
          <w:tcPr>
            <w:tcW w:w="1062" w:type="dxa"/>
          </w:tcPr>
          <w:p w14:paraId="7A5FF77D" w14:textId="442B03AE" w:rsidR="00697CF0" w:rsidRPr="00697CF0" w:rsidRDefault="00697CF0" w:rsidP="00697CF0">
            <w:pPr>
              <w:rPr>
                <w:rFonts w:ascii="Arial" w:hAnsi="Arial" w:cs="Arial"/>
                <w:sz w:val="14"/>
                <w:szCs w:val="14"/>
              </w:rPr>
            </w:pPr>
            <w:r w:rsidRPr="00697CF0">
              <w:rPr>
                <w:rFonts w:ascii="Arial" w:hAnsi="Arial" w:cs="Arial"/>
                <w:sz w:val="14"/>
                <w:szCs w:val="14"/>
              </w:rPr>
              <w:t> </w:t>
            </w:r>
          </w:p>
        </w:tc>
      </w:tr>
      <w:tr w:rsidR="00697CF0" w:rsidRPr="009537ED" w14:paraId="67578CA2" w14:textId="77777777" w:rsidTr="00E013E9">
        <w:trPr>
          <w:trHeight w:val="20"/>
          <w:jc w:val="center"/>
        </w:trPr>
        <w:tc>
          <w:tcPr>
            <w:tcW w:w="1094" w:type="dxa"/>
          </w:tcPr>
          <w:p w14:paraId="37CA7641" w14:textId="4046159F" w:rsidR="00697CF0" w:rsidRPr="00697CF0" w:rsidRDefault="005A18DC" w:rsidP="00697CF0">
            <w:pPr>
              <w:rPr>
                <w:rFonts w:ascii="Arial" w:hAnsi="Arial" w:cs="Arial"/>
                <w:bCs/>
                <w:sz w:val="14"/>
                <w:szCs w:val="14"/>
              </w:rPr>
            </w:pPr>
            <w:hyperlink r:id="rId2921" w:history="1">
              <w:r w:rsidR="00AF7253">
                <w:rPr>
                  <w:rStyle w:val="Hyperlink"/>
                  <w:rFonts w:ascii="Arial" w:hAnsi="Arial" w:cs="Arial"/>
                  <w:b/>
                  <w:bCs/>
                  <w:sz w:val="14"/>
                  <w:szCs w:val="14"/>
                </w:rPr>
                <w:t>R1-2311006</w:t>
              </w:r>
            </w:hyperlink>
          </w:p>
        </w:tc>
        <w:tc>
          <w:tcPr>
            <w:tcW w:w="2646" w:type="dxa"/>
          </w:tcPr>
          <w:p w14:paraId="6D275FA5" w14:textId="451224BD" w:rsidR="00697CF0" w:rsidRPr="00697CF0" w:rsidRDefault="00697CF0" w:rsidP="00697CF0">
            <w:pPr>
              <w:rPr>
                <w:rFonts w:ascii="Arial" w:hAnsi="Arial" w:cs="Arial"/>
                <w:sz w:val="14"/>
                <w:szCs w:val="14"/>
              </w:rPr>
            </w:pPr>
            <w:r w:rsidRPr="00697CF0">
              <w:rPr>
                <w:rFonts w:ascii="Arial" w:hAnsi="Arial" w:cs="Arial"/>
                <w:sz w:val="14"/>
                <w:szCs w:val="14"/>
              </w:rPr>
              <w:t>Reply LS on delta power class</w:t>
            </w:r>
          </w:p>
        </w:tc>
        <w:tc>
          <w:tcPr>
            <w:tcW w:w="1583" w:type="dxa"/>
          </w:tcPr>
          <w:p w14:paraId="1A8D3A73" w14:textId="64183376" w:rsidR="00697CF0" w:rsidRPr="00697CF0" w:rsidRDefault="00697CF0" w:rsidP="00697CF0">
            <w:pPr>
              <w:rPr>
                <w:rFonts w:ascii="Arial" w:hAnsi="Arial" w:cs="Arial"/>
                <w:sz w:val="14"/>
                <w:szCs w:val="14"/>
              </w:rPr>
            </w:pPr>
            <w:r w:rsidRPr="00697CF0">
              <w:rPr>
                <w:rFonts w:ascii="Arial" w:hAnsi="Arial" w:cs="Arial"/>
                <w:sz w:val="14"/>
                <w:szCs w:val="14"/>
              </w:rPr>
              <w:t>RAN2, Nokia</w:t>
            </w:r>
          </w:p>
        </w:tc>
        <w:tc>
          <w:tcPr>
            <w:tcW w:w="909" w:type="dxa"/>
          </w:tcPr>
          <w:p w14:paraId="37080AD8" w14:textId="0F7B16AE" w:rsidR="00697CF0" w:rsidRPr="00697CF0" w:rsidRDefault="005A18DC" w:rsidP="00697CF0">
            <w:pPr>
              <w:rPr>
                <w:rFonts w:ascii="Arial" w:hAnsi="Arial" w:cs="Arial"/>
                <w:bCs/>
                <w:sz w:val="14"/>
                <w:szCs w:val="14"/>
              </w:rPr>
            </w:pPr>
            <w:hyperlink r:id="rId2922" w:history="1">
              <w:r w:rsidR="00697CF0" w:rsidRPr="00697CF0">
                <w:rPr>
                  <w:rStyle w:val="Hyperlink"/>
                  <w:rFonts w:ascii="Arial" w:hAnsi="Arial" w:cs="Arial"/>
                  <w:b/>
                  <w:bCs/>
                  <w:sz w:val="14"/>
                  <w:szCs w:val="14"/>
                </w:rPr>
                <w:t>Rel-18</w:t>
              </w:r>
            </w:hyperlink>
          </w:p>
        </w:tc>
        <w:tc>
          <w:tcPr>
            <w:tcW w:w="2600" w:type="dxa"/>
          </w:tcPr>
          <w:p w14:paraId="4A94DBBB" w14:textId="0021B867" w:rsidR="00697CF0" w:rsidRPr="00697CF0" w:rsidRDefault="005A18DC" w:rsidP="00697CF0">
            <w:pPr>
              <w:rPr>
                <w:rFonts w:ascii="Arial" w:hAnsi="Arial" w:cs="Arial"/>
                <w:bCs/>
                <w:sz w:val="14"/>
                <w:szCs w:val="14"/>
              </w:rPr>
            </w:pPr>
            <w:hyperlink r:id="rId2923" w:history="1">
              <w:r w:rsidR="00697CF0" w:rsidRPr="00697CF0">
                <w:rPr>
                  <w:rStyle w:val="Hyperlink"/>
                  <w:rFonts w:ascii="Arial" w:hAnsi="Arial" w:cs="Arial"/>
                  <w:b/>
                  <w:bCs/>
                  <w:sz w:val="14"/>
                  <w:szCs w:val="14"/>
                </w:rPr>
                <w:t>NR_cov_enh2-Core</w:t>
              </w:r>
            </w:hyperlink>
          </w:p>
        </w:tc>
        <w:tc>
          <w:tcPr>
            <w:tcW w:w="1065" w:type="dxa"/>
          </w:tcPr>
          <w:p w14:paraId="4BBE77EA" w14:textId="28ABFAD2" w:rsidR="00697CF0" w:rsidRPr="00697CF0" w:rsidRDefault="00697CF0" w:rsidP="00697CF0">
            <w:pPr>
              <w:rPr>
                <w:rFonts w:ascii="Arial" w:hAnsi="Arial" w:cs="Arial"/>
                <w:sz w:val="14"/>
                <w:szCs w:val="14"/>
              </w:rPr>
            </w:pPr>
            <w:r w:rsidRPr="00697CF0">
              <w:rPr>
                <w:rFonts w:ascii="Arial" w:hAnsi="Arial" w:cs="Arial"/>
                <w:sz w:val="14"/>
                <w:szCs w:val="14"/>
              </w:rPr>
              <w:t>R4-2314728</w:t>
            </w:r>
          </w:p>
        </w:tc>
        <w:tc>
          <w:tcPr>
            <w:tcW w:w="994" w:type="dxa"/>
          </w:tcPr>
          <w:p w14:paraId="650B23D2" w14:textId="68C214FE" w:rsidR="00697CF0" w:rsidRPr="00697CF0" w:rsidRDefault="00697CF0" w:rsidP="00697CF0">
            <w:pPr>
              <w:rPr>
                <w:rFonts w:ascii="Arial" w:hAnsi="Arial" w:cs="Arial"/>
                <w:sz w:val="14"/>
                <w:szCs w:val="14"/>
              </w:rPr>
            </w:pPr>
            <w:r w:rsidRPr="00697CF0">
              <w:rPr>
                <w:rFonts w:ascii="Arial" w:hAnsi="Arial" w:cs="Arial"/>
                <w:sz w:val="14"/>
                <w:szCs w:val="14"/>
              </w:rPr>
              <w:t>RAN4</w:t>
            </w:r>
          </w:p>
        </w:tc>
        <w:tc>
          <w:tcPr>
            <w:tcW w:w="994" w:type="dxa"/>
          </w:tcPr>
          <w:p w14:paraId="776A2AFE" w14:textId="78AC402B" w:rsidR="00697CF0" w:rsidRPr="00697CF0" w:rsidRDefault="00697CF0" w:rsidP="00697CF0">
            <w:pPr>
              <w:rPr>
                <w:rFonts w:ascii="Arial" w:hAnsi="Arial" w:cs="Arial"/>
                <w:sz w:val="14"/>
                <w:szCs w:val="14"/>
              </w:rPr>
            </w:pPr>
            <w:r w:rsidRPr="00697CF0">
              <w:rPr>
                <w:rFonts w:ascii="Arial" w:hAnsi="Arial" w:cs="Arial"/>
                <w:sz w:val="14"/>
                <w:szCs w:val="14"/>
              </w:rPr>
              <w:t>RAN1</w:t>
            </w:r>
          </w:p>
        </w:tc>
        <w:tc>
          <w:tcPr>
            <w:tcW w:w="1120" w:type="dxa"/>
          </w:tcPr>
          <w:p w14:paraId="3F004E35" w14:textId="0326A10B" w:rsidR="00697CF0" w:rsidRPr="00697CF0" w:rsidRDefault="00697CF0" w:rsidP="00697CF0">
            <w:pPr>
              <w:rPr>
                <w:rFonts w:ascii="Arial" w:hAnsi="Arial" w:cs="Arial"/>
                <w:sz w:val="14"/>
                <w:szCs w:val="14"/>
              </w:rPr>
            </w:pPr>
            <w:r w:rsidRPr="00697CF0">
              <w:rPr>
                <w:rFonts w:ascii="Arial" w:hAnsi="Arial" w:cs="Arial"/>
                <w:sz w:val="14"/>
                <w:szCs w:val="14"/>
              </w:rPr>
              <w:t>R2-2311611</w:t>
            </w:r>
          </w:p>
        </w:tc>
        <w:tc>
          <w:tcPr>
            <w:tcW w:w="1062" w:type="dxa"/>
          </w:tcPr>
          <w:p w14:paraId="09C50B84" w14:textId="7BFCDA5D" w:rsidR="00697CF0" w:rsidRPr="00697CF0" w:rsidRDefault="00697CF0" w:rsidP="00697CF0">
            <w:pPr>
              <w:rPr>
                <w:rFonts w:ascii="Arial" w:hAnsi="Arial" w:cs="Arial"/>
                <w:sz w:val="14"/>
                <w:szCs w:val="14"/>
              </w:rPr>
            </w:pPr>
            <w:r w:rsidRPr="00697CF0">
              <w:rPr>
                <w:rFonts w:ascii="Arial" w:hAnsi="Arial" w:cs="Arial"/>
                <w:sz w:val="14"/>
                <w:szCs w:val="14"/>
              </w:rPr>
              <w:t> </w:t>
            </w:r>
          </w:p>
        </w:tc>
      </w:tr>
      <w:tr w:rsidR="00697CF0" w:rsidRPr="009537ED" w14:paraId="3D720C10" w14:textId="77777777" w:rsidTr="00E013E9">
        <w:trPr>
          <w:trHeight w:val="20"/>
          <w:jc w:val="center"/>
        </w:trPr>
        <w:tc>
          <w:tcPr>
            <w:tcW w:w="1094" w:type="dxa"/>
          </w:tcPr>
          <w:p w14:paraId="7F7B53FB" w14:textId="510008DF" w:rsidR="00697CF0" w:rsidRPr="00697CF0" w:rsidRDefault="005A18DC" w:rsidP="00697CF0">
            <w:pPr>
              <w:rPr>
                <w:rFonts w:ascii="Arial" w:hAnsi="Arial" w:cs="Arial"/>
                <w:bCs/>
                <w:sz w:val="14"/>
                <w:szCs w:val="14"/>
              </w:rPr>
            </w:pPr>
            <w:hyperlink r:id="rId2924" w:history="1">
              <w:r w:rsidR="00AF7253">
                <w:rPr>
                  <w:rStyle w:val="Hyperlink"/>
                  <w:rFonts w:ascii="Arial" w:hAnsi="Arial" w:cs="Arial"/>
                  <w:b/>
                  <w:bCs/>
                  <w:sz w:val="14"/>
                  <w:szCs w:val="14"/>
                </w:rPr>
                <w:t>R1-2312494</w:t>
              </w:r>
            </w:hyperlink>
          </w:p>
        </w:tc>
        <w:tc>
          <w:tcPr>
            <w:tcW w:w="2646" w:type="dxa"/>
          </w:tcPr>
          <w:p w14:paraId="3951C031" w14:textId="2144E046" w:rsidR="00697CF0" w:rsidRPr="00697CF0" w:rsidRDefault="00697CF0" w:rsidP="00697CF0">
            <w:pPr>
              <w:rPr>
                <w:rFonts w:ascii="Arial" w:hAnsi="Arial" w:cs="Arial"/>
                <w:sz w:val="14"/>
                <w:szCs w:val="14"/>
              </w:rPr>
            </w:pPr>
            <w:r w:rsidRPr="00697CF0">
              <w:rPr>
                <w:rFonts w:ascii="Arial" w:hAnsi="Arial" w:cs="Arial"/>
                <w:sz w:val="14"/>
                <w:szCs w:val="14"/>
              </w:rPr>
              <w:t>LS on Sidelink CSI Reporting MAC-CE for SL-CA</w:t>
            </w:r>
          </w:p>
        </w:tc>
        <w:tc>
          <w:tcPr>
            <w:tcW w:w="1583" w:type="dxa"/>
          </w:tcPr>
          <w:p w14:paraId="1046E2F5" w14:textId="6A5C96AC" w:rsidR="00697CF0" w:rsidRPr="00697CF0" w:rsidRDefault="00697CF0" w:rsidP="00697CF0">
            <w:pPr>
              <w:rPr>
                <w:rFonts w:ascii="Arial" w:hAnsi="Arial" w:cs="Arial"/>
                <w:sz w:val="14"/>
                <w:szCs w:val="14"/>
              </w:rPr>
            </w:pPr>
            <w:r w:rsidRPr="00697CF0">
              <w:rPr>
                <w:rFonts w:ascii="Arial" w:hAnsi="Arial" w:cs="Arial"/>
                <w:sz w:val="14"/>
                <w:szCs w:val="14"/>
              </w:rPr>
              <w:t>RAN2, OPPO</w:t>
            </w:r>
          </w:p>
        </w:tc>
        <w:tc>
          <w:tcPr>
            <w:tcW w:w="909" w:type="dxa"/>
          </w:tcPr>
          <w:p w14:paraId="0A7D8B9A" w14:textId="7D0D3BFE" w:rsidR="00697CF0" w:rsidRPr="00697CF0" w:rsidRDefault="005A18DC" w:rsidP="00697CF0">
            <w:pPr>
              <w:rPr>
                <w:rFonts w:ascii="Arial" w:hAnsi="Arial" w:cs="Arial"/>
                <w:bCs/>
                <w:sz w:val="14"/>
                <w:szCs w:val="14"/>
              </w:rPr>
            </w:pPr>
            <w:hyperlink r:id="rId2925" w:history="1">
              <w:r w:rsidR="00697CF0" w:rsidRPr="00697CF0">
                <w:rPr>
                  <w:rStyle w:val="Hyperlink"/>
                  <w:rFonts w:ascii="Arial" w:hAnsi="Arial" w:cs="Arial"/>
                  <w:b/>
                  <w:bCs/>
                  <w:sz w:val="14"/>
                  <w:szCs w:val="14"/>
                </w:rPr>
                <w:t>Rel-18</w:t>
              </w:r>
            </w:hyperlink>
          </w:p>
        </w:tc>
        <w:tc>
          <w:tcPr>
            <w:tcW w:w="2600" w:type="dxa"/>
          </w:tcPr>
          <w:p w14:paraId="0D614813" w14:textId="7FC3749C" w:rsidR="00697CF0" w:rsidRPr="00697CF0" w:rsidRDefault="005A18DC" w:rsidP="00697CF0">
            <w:pPr>
              <w:rPr>
                <w:rFonts w:ascii="Arial" w:hAnsi="Arial" w:cs="Arial"/>
                <w:bCs/>
                <w:sz w:val="14"/>
                <w:szCs w:val="14"/>
              </w:rPr>
            </w:pPr>
            <w:hyperlink r:id="rId2926" w:history="1">
              <w:r w:rsidR="00697CF0" w:rsidRPr="00697CF0">
                <w:rPr>
                  <w:rStyle w:val="Hyperlink"/>
                  <w:rFonts w:ascii="Arial" w:hAnsi="Arial" w:cs="Arial"/>
                  <w:b/>
                  <w:bCs/>
                  <w:sz w:val="14"/>
                  <w:szCs w:val="14"/>
                </w:rPr>
                <w:t>NR_SL_enh2-Core</w:t>
              </w:r>
            </w:hyperlink>
          </w:p>
        </w:tc>
        <w:tc>
          <w:tcPr>
            <w:tcW w:w="1065" w:type="dxa"/>
          </w:tcPr>
          <w:p w14:paraId="6816AC0F" w14:textId="085D6FE6" w:rsidR="00697CF0" w:rsidRPr="00697CF0" w:rsidRDefault="00697CF0" w:rsidP="00697CF0">
            <w:pPr>
              <w:rPr>
                <w:rFonts w:ascii="Arial" w:hAnsi="Arial" w:cs="Arial"/>
                <w:sz w:val="14"/>
                <w:szCs w:val="14"/>
              </w:rPr>
            </w:pPr>
            <w:r w:rsidRPr="00697CF0">
              <w:rPr>
                <w:rFonts w:ascii="Arial" w:hAnsi="Arial" w:cs="Arial"/>
                <w:sz w:val="14"/>
                <w:szCs w:val="14"/>
              </w:rPr>
              <w:t> </w:t>
            </w:r>
          </w:p>
        </w:tc>
        <w:tc>
          <w:tcPr>
            <w:tcW w:w="994" w:type="dxa"/>
          </w:tcPr>
          <w:p w14:paraId="48D3AD44" w14:textId="039A7B56" w:rsidR="00697CF0" w:rsidRPr="00697CF0" w:rsidRDefault="00697CF0" w:rsidP="00697CF0">
            <w:pPr>
              <w:rPr>
                <w:rFonts w:ascii="Arial" w:hAnsi="Arial" w:cs="Arial"/>
                <w:sz w:val="14"/>
                <w:szCs w:val="14"/>
              </w:rPr>
            </w:pPr>
            <w:r w:rsidRPr="00697CF0">
              <w:rPr>
                <w:rFonts w:ascii="Arial" w:hAnsi="Arial" w:cs="Arial"/>
                <w:sz w:val="14"/>
                <w:szCs w:val="14"/>
              </w:rPr>
              <w:t>RAN1</w:t>
            </w:r>
          </w:p>
        </w:tc>
        <w:tc>
          <w:tcPr>
            <w:tcW w:w="994" w:type="dxa"/>
          </w:tcPr>
          <w:p w14:paraId="7BAAE02B" w14:textId="587A4F3C" w:rsidR="00697CF0" w:rsidRPr="00697CF0" w:rsidRDefault="00697CF0" w:rsidP="00697CF0">
            <w:pPr>
              <w:rPr>
                <w:rFonts w:ascii="Arial" w:hAnsi="Arial" w:cs="Arial"/>
                <w:sz w:val="14"/>
                <w:szCs w:val="14"/>
              </w:rPr>
            </w:pPr>
            <w:r w:rsidRPr="00697CF0">
              <w:rPr>
                <w:rFonts w:ascii="Arial" w:hAnsi="Arial" w:cs="Arial"/>
                <w:sz w:val="14"/>
                <w:szCs w:val="14"/>
              </w:rPr>
              <w:t> </w:t>
            </w:r>
          </w:p>
        </w:tc>
        <w:tc>
          <w:tcPr>
            <w:tcW w:w="1120" w:type="dxa"/>
          </w:tcPr>
          <w:p w14:paraId="6566C2FC" w14:textId="673E8517" w:rsidR="00697CF0" w:rsidRPr="00697CF0" w:rsidRDefault="00697CF0" w:rsidP="00697CF0">
            <w:pPr>
              <w:rPr>
                <w:rFonts w:ascii="Arial" w:hAnsi="Arial" w:cs="Arial"/>
                <w:sz w:val="14"/>
                <w:szCs w:val="14"/>
              </w:rPr>
            </w:pPr>
            <w:r w:rsidRPr="00697CF0">
              <w:rPr>
                <w:rFonts w:ascii="Arial" w:hAnsi="Arial" w:cs="Arial"/>
                <w:sz w:val="14"/>
                <w:szCs w:val="14"/>
              </w:rPr>
              <w:t>R2-2313621</w:t>
            </w:r>
          </w:p>
        </w:tc>
        <w:tc>
          <w:tcPr>
            <w:tcW w:w="1062" w:type="dxa"/>
          </w:tcPr>
          <w:p w14:paraId="32533702" w14:textId="6484AA74" w:rsidR="00697CF0" w:rsidRPr="00697CF0" w:rsidRDefault="00697CF0" w:rsidP="00697CF0">
            <w:pPr>
              <w:rPr>
                <w:rFonts w:ascii="Arial" w:hAnsi="Arial" w:cs="Arial"/>
                <w:sz w:val="14"/>
                <w:szCs w:val="14"/>
              </w:rPr>
            </w:pPr>
            <w:r w:rsidRPr="00697CF0">
              <w:rPr>
                <w:rFonts w:ascii="Arial" w:hAnsi="Arial" w:cs="Arial"/>
                <w:sz w:val="14"/>
                <w:szCs w:val="14"/>
              </w:rPr>
              <w:t> </w:t>
            </w:r>
          </w:p>
        </w:tc>
      </w:tr>
    </w:tbl>
    <w:p w14:paraId="50EC24DA" w14:textId="77777777" w:rsidR="00853B87" w:rsidRPr="009537ED" w:rsidRDefault="00853B87" w:rsidP="009643F7">
      <w:pPr>
        <w:rPr>
          <w:rFonts w:ascii="Times New Roman" w:hAnsi="Times New Roman"/>
          <w:szCs w:val="20"/>
        </w:rPr>
      </w:pPr>
    </w:p>
    <w:p w14:paraId="77D091CD" w14:textId="200B9B71" w:rsidR="007A5AC0" w:rsidRPr="009537ED" w:rsidRDefault="007A5AC0" w:rsidP="009643F7">
      <w:pPr>
        <w:pStyle w:val="Heading1"/>
        <w:numPr>
          <w:ilvl w:val="0"/>
          <w:numId w:val="0"/>
        </w:numPr>
        <w:spacing w:before="0" w:after="0"/>
        <w:rPr>
          <w:rFonts w:ascii="Times New Roman" w:hAnsi="Times New Roman" w:cs="Times New Roman"/>
          <w:sz w:val="20"/>
          <w:szCs w:val="20"/>
        </w:rPr>
      </w:pPr>
      <w:r w:rsidRPr="009537ED">
        <w:rPr>
          <w:rFonts w:ascii="Times New Roman" w:hAnsi="Times New Roman" w:cs="Times New Roman"/>
          <w:sz w:val="20"/>
          <w:szCs w:val="20"/>
        </w:rPr>
        <w:br w:type="page"/>
      </w:r>
      <w:bookmarkStart w:id="839" w:name="_Toc159251069"/>
      <w:r w:rsidRPr="009537ED">
        <w:rPr>
          <w:rFonts w:ascii="Times New Roman" w:hAnsi="Times New Roman" w:cs="Times New Roman"/>
          <w:sz w:val="20"/>
          <w:szCs w:val="20"/>
        </w:rPr>
        <w:lastRenderedPageBreak/>
        <w:t>Annex</w:t>
      </w:r>
      <w:r w:rsidR="00233210" w:rsidRPr="009537ED">
        <w:rPr>
          <w:rFonts w:ascii="Times New Roman" w:hAnsi="Times New Roman" w:cs="Times New Roman"/>
          <w:sz w:val="20"/>
          <w:szCs w:val="20"/>
        </w:rPr>
        <w:t xml:space="preserve"> </w:t>
      </w:r>
      <w:r w:rsidRPr="009537ED">
        <w:rPr>
          <w:rFonts w:ascii="Times New Roman" w:hAnsi="Times New Roman" w:cs="Times New Roman"/>
          <w:sz w:val="20"/>
          <w:szCs w:val="20"/>
        </w:rPr>
        <w:t>D:</w:t>
      </w:r>
      <w:r w:rsidRPr="009537ED">
        <w:rPr>
          <w:rFonts w:ascii="Times New Roman" w:hAnsi="Times New Roman" w:cs="Times New Roman"/>
          <w:sz w:val="20"/>
          <w:szCs w:val="20"/>
        </w:rPr>
        <w:tab/>
        <w:t>List</w:t>
      </w:r>
      <w:r w:rsidR="00233210" w:rsidRPr="009537ED">
        <w:rPr>
          <w:rFonts w:ascii="Times New Roman" w:hAnsi="Times New Roman" w:cs="Times New Roman"/>
          <w:sz w:val="20"/>
          <w:szCs w:val="20"/>
        </w:rPr>
        <w:t xml:space="preserve"> </w:t>
      </w:r>
      <w:r w:rsidRPr="009537ED">
        <w:rPr>
          <w:rFonts w:ascii="Times New Roman" w:hAnsi="Times New Roman" w:cs="Times New Roman"/>
          <w:sz w:val="20"/>
          <w:szCs w:val="20"/>
        </w:rPr>
        <w:t>of</w:t>
      </w:r>
      <w:r w:rsidR="00233210" w:rsidRPr="009537ED">
        <w:rPr>
          <w:rFonts w:ascii="Times New Roman" w:hAnsi="Times New Roman" w:cs="Times New Roman"/>
          <w:sz w:val="20"/>
          <w:szCs w:val="20"/>
        </w:rPr>
        <w:t xml:space="preserve"> </w:t>
      </w:r>
      <w:r w:rsidRPr="009537ED">
        <w:rPr>
          <w:rFonts w:ascii="Times New Roman" w:hAnsi="Times New Roman" w:cs="Times New Roman"/>
          <w:sz w:val="20"/>
          <w:szCs w:val="20"/>
        </w:rPr>
        <w:t>Approved</w:t>
      </w:r>
      <w:r w:rsidR="00233210" w:rsidRPr="009537ED">
        <w:rPr>
          <w:rFonts w:ascii="Times New Roman" w:hAnsi="Times New Roman" w:cs="Times New Roman"/>
          <w:sz w:val="20"/>
          <w:szCs w:val="20"/>
        </w:rPr>
        <w:t xml:space="preserve"> </w:t>
      </w:r>
      <w:r w:rsidRPr="009537ED">
        <w:rPr>
          <w:rFonts w:ascii="Times New Roman" w:hAnsi="Times New Roman" w:cs="Times New Roman"/>
          <w:sz w:val="20"/>
          <w:szCs w:val="20"/>
        </w:rPr>
        <w:t>updated</w:t>
      </w:r>
      <w:r w:rsidR="00233210" w:rsidRPr="009537ED">
        <w:rPr>
          <w:rFonts w:ascii="Times New Roman" w:hAnsi="Times New Roman" w:cs="Times New Roman"/>
          <w:sz w:val="20"/>
          <w:szCs w:val="20"/>
        </w:rPr>
        <w:t xml:space="preserve"> </w:t>
      </w:r>
      <w:r w:rsidRPr="009537ED">
        <w:rPr>
          <w:rFonts w:ascii="Times New Roman" w:hAnsi="Times New Roman" w:cs="Times New Roman"/>
          <w:sz w:val="20"/>
          <w:szCs w:val="20"/>
        </w:rPr>
        <w:t>WIDs</w:t>
      </w:r>
      <w:bookmarkEnd w:id="839"/>
    </w:p>
    <w:p w14:paraId="19A169FA" w14:textId="77777777" w:rsidR="005C5573" w:rsidRPr="009537ED" w:rsidRDefault="005C5573" w:rsidP="005C5573">
      <w:pPr>
        <w:rPr>
          <w:szCs w:val="20"/>
        </w:rPr>
      </w:pPr>
    </w:p>
    <w:p w14:paraId="17765E43" w14:textId="77777777" w:rsidR="007A5AC0" w:rsidRPr="009537ED" w:rsidRDefault="007A5AC0" w:rsidP="009643F7">
      <w:pPr>
        <w:rPr>
          <w:rFonts w:ascii="Times New Roman" w:eastAsia="SimSun" w:hAnsi="Times New Roman"/>
          <w:kern w:val="2"/>
          <w:szCs w:val="20"/>
        </w:rPr>
      </w:pPr>
      <w:r w:rsidRPr="009537ED">
        <w:rPr>
          <w:rFonts w:ascii="Times New Roman" w:eastAsia="SimSun" w:hAnsi="Times New Roman"/>
          <w:kern w:val="2"/>
          <w:szCs w:val="20"/>
        </w:rPr>
        <w:t>None</w:t>
      </w:r>
    </w:p>
    <w:p w14:paraId="330ADC53" w14:textId="77777777" w:rsidR="007A5AC0" w:rsidRPr="009537ED" w:rsidRDefault="007A5AC0" w:rsidP="009643F7">
      <w:pPr>
        <w:rPr>
          <w:rFonts w:ascii="Times New Roman" w:eastAsia="SimSun" w:hAnsi="Times New Roman"/>
          <w:kern w:val="2"/>
          <w:szCs w:val="20"/>
        </w:rPr>
      </w:pPr>
    </w:p>
    <w:p w14:paraId="42B32788" w14:textId="30D41945" w:rsidR="007A5AC0" w:rsidRPr="009537ED" w:rsidRDefault="007A5AC0" w:rsidP="009643F7">
      <w:pPr>
        <w:pStyle w:val="Heading1"/>
        <w:numPr>
          <w:ilvl w:val="0"/>
          <w:numId w:val="0"/>
        </w:numPr>
        <w:spacing w:before="0" w:after="0"/>
        <w:rPr>
          <w:rFonts w:ascii="Times New Roman" w:hAnsi="Times New Roman" w:cs="Times New Roman"/>
          <w:sz w:val="20"/>
          <w:szCs w:val="20"/>
        </w:rPr>
      </w:pPr>
      <w:r w:rsidRPr="009537ED">
        <w:rPr>
          <w:rFonts w:ascii="Times New Roman" w:hAnsi="Times New Roman" w:cs="Times New Roman"/>
          <w:sz w:val="20"/>
          <w:szCs w:val="20"/>
        </w:rPr>
        <w:br w:type="page"/>
      </w:r>
      <w:bookmarkStart w:id="840" w:name="_Toc159251070"/>
      <w:r w:rsidRPr="009537ED">
        <w:rPr>
          <w:rFonts w:ascii="Times New Roman" w:hAnsi="Times New Roman" w:cs="Times New Roman"/>
          <w:sz w:val="20"/>
          <w:szCs w:val="20"/>
        </w:rPr>
        <w:lastRenderedPageBreak/>
        <w:t>Annex</w:t>
      </w:r>
      <w:r w:rsidR="00233210" w:rsidRPr="009537ED">
        <w:rPr>
          <w:rFonts w:ascii="Times New Roman" w:hAnsi="Times New Roman" w:cs="Times New Roman"/>
          <w:sz w:val="20"/>
          <w:szCs w:val="20"/>
        </w:rPr>
        <w:t xml:space="preserve"> </w:t>
      </w:r>
      <w:r w:rsidRPr="009537ED">
        <w:rPr>
          <w:rFonts w:ascii="Times New Roman" w:hAnsi="Times New Roman" w:cs="Times New Roman"/>
          <w:sz w:val="20"/>
          <w:szCs w:val="20"/>
        </w:rPr>
        <w:t>E:</w:t>
      </w:r>
      <w:r w:rsidRPr="009537ED">
        <w:rPr>
          <w:rFonts w:ascii="Times New Roman" w:hAnsi="Times New Roman" w:cs="Times New Roman"/>
          <w:sz w:val="20"/>
          <w:szCs w:val="20"/>
        </w:rPr>
        <w:tab/>
        <w:t>List</w:t>
      </w:r>
      <w:r w:rsidR="00233210" w:rsidRPr="009537ED">
        <w:rPr>
          <w:rFonts w:ascii="Times New Roman" w:hAnsi="Times New Roman" w:cs="Times New Roman"/>
          <w:sz w:val="20"/>
          <w:szCs w:val="20"/>
        </w:rPr>
        <w:t xml:space="preserve"> </w:t>
      </w:r>
      <w:r w:rsidRPr="009537ED">
        <w:rPr>
          <w:rFonts w:ascii="Times New Roman" w:hAnsi="Times New Roman" w:cs="Times New Roman"/>
          <w:sz w:val="20"/>
          <w:szCs w:val="20"/>
        </w:rPr>
        <w:t>of</w:t>
      </w:r>
      <w:r w:rsidR="00233210" w:rsidRPr="009537ED">
        <w:rPr>
          <w:rFonts w:ascii="Times New Roman" w:hAnsi="Times New Roman" w:cs="Times New Roman"/>
          <w:sz w:val="20"/>
          <w:szCs w:val="20"/>
        </w:rPr>
        <w:t xml:space="preserve"> </w:t>
      </w:r>
      <w:r w:rsidRPr="009537ED">
        <w:rPr>
          <w:rFonts w:ascii="Times New Roman" w:hAnsi="Times New Roman" w:cs="Times New Roman"/>
          <w:sz w:val="20"/>
          <w:szCs w:val="20"/>
        </w:rPr>
        <w:t>draft</w:t>
      </w:r>
      <w:r w:rsidR="00233210" w:rsidRPr="009537ED">
        <w:rPr>
          <w:rFonts w:ascii="Times New Roman" w:hAnsi="Times New Roman" w:cs="Times New Roman"/>
          <w:sz w:val="20"/>
          <w:szCs w:val="20"/>
        </w:rPr>
        <w:t xml:space="preserve"> </w:t>
      </w:r>
      <w:r w:rsidRPr="009537ED">
        <w:rPr>
          <w:rFonts w:ascii="Times New Roman" w:hAnsi="Times New Roman" w:cs="Times New Roman"/>
          <w:sz w:val="20"/>
          <w:szCs w:val="20"/>
        </w:rPr>
        <w:t>TSs/TRs</w:t>
      </w:r>
      <w:r w:rsidR="00233210" w:rsidRPr="009537ED">
        <w:rPr>
          <w:rFonts w:ascii="Times New Roman" w:hAnsi="Times New Roman" w:cs="Times New Roman"/>
          <w:sz w:val="20"/>
          <w:szCs w:val="20"/>
        </w:rPr>
        <w:t xml:space="preserve"> </w:t>
      </w:r>
      <w:r w:rsidRPr="009537ED">
        <w:rPr>
          <w:rFonts w:ascii="Times New Roman" w:hAnsi="Times New Roman" w:cs="Times New Roman"/>
          <w:sz w:val="20"/>
          <w:szCs w:val="20"/>
        </w:rPr>
        <w:t>agreed</w:t>
      </w:r>
      <w:r w:rsidR="00233210" w:rsidRPr="009537ED">
        <w:rPr>
          <w:rFonts w:ascii="Times New Roman" w:hAnsi="Times New Roman" w:cs="Times New Roman"/>
          <w:sz w:val="20"/>
          <w:szCs w:val="20"/>
        </w:rPr>
        <w:t xml:space="preserve"> </w:t>
      </w:r>
      <w:r w:rsidRPr="009537ED">
        <w:rPr>
          <w:rFonts w:ascii="Times New Roman" w:hAnsi="Times New Roman" w:cs="Times New Roman"/>
          <w:sz w:val="20"/>
          <w:szCs w:val="20"/>
        </w:rPr>
        <w:t>at</w:t>
      </w:r>
      <w:r w:rsidR="00233210" w:rsidRPr="009537ED">
        <w:rPr>
          <w:rFonts w:ascii="Times New Roman" w:hAnsi="Times New Roman" w:cs="Times New Roman"/>
          <w:sz w:val="20"/>
          <w:szCs w:val="20"/>
        </w:rPr>
        <w:t xml:space="preserve"> </w:t>
      </w:r>
      <w:r w:rsidR="00CC2881" w:rsidRPr="009537ED">
        <w:rPr>
          <w:rFonts w:ascii="Times New Roman" w:hAnsi="Times New Roman" w:cs="Times New Roman"/>
          <w:sz w:val="20"/>
          <w:szCs w:val="20"/>
        </w:rPr>
        <w:t xml:space="preserve">RAN1 </w:t>
      </w:r>
      <w:r w:rsidR="00AE38CD" w:rsidRPr="009537ED">
        <w:rPr>
          <w:rFonts w:ascii="Times New Roman" w:hAnsi="Times New Roman" w:cs="Times New Roman"/>
          <w:sz w:val="20"/>
          <w:szCs w:val="20"/>
        </w:rPr>
        <w:t>#115</w:t>
      </w:r>
      <w:bookmarkEnd w:id="840"/>
    </w:p>
    <w:p w14:paraId="606B555D" w14:textId="77777777" w:rsidR="005C5573" w:rsidRPr="009537ED" w:rsidRDefault="005C5573" w:rsidP="005C5573">
      <w:pPr>
        <w:rPr>
          <w:szCs w:val="20"/>
        </w:rPr>
      </w:pPr>
    </w:p>
    <w:tbl>
      <w:tblPr>
        <w:tblW w:w="13708" w:type="dxa"/>
        <w:tblInd w:w="216" w:type="dxa"/>
        <w:tblLayout w:type="fixed"/>
        <w:tblLook w:val="0000" w:firstRow="0" w:lastRow="0" w:firstColumn="0" w:lastColumn="0" w:noHBand="0" w:noVBand="0"/>
      </w:tblPr>
      <w:tblGrid>
        <w:gridCol w:w="1612"/>
        <w:gridCol w:w="5242"/>
        <w:gridCol w:w="2554"/>
        <w:gridCol w:w="4300"/>
      </w:tblGrid>
      <w:tr w:rsidR="000B1042" w:rsidRPr="009537ED" w14:paraId="54770836" w14:textId="77777777" w:rsidTr="00EB2F97">
        <w:trPr>
          <w:trHeight w:val="480"/>
        </w:trPr>
        <w:tc>
          <w:tcPr>
            <w:tcW w:w="1612" w:type="dxa"/>
            <w:tcBorders>
              <w:top w:val="single" w:sz="12" w:space="0" w:color="auto"/>
              <w:left w:val="single" w:sz="12" w:space="0" w:color="auto"/>
              <w:bottom w:val="single" w:sz="4" w:space="0" w:color="auto"/>
              <w:right w:val="single" w:sz="12" w:space="0" w:color="auto"/>
            </w:tcBorders>
            <w:shd w:val="clear" w:color="auto" w:fill="C0C0C0"/>
            <w:vAlign w:val="center"/>
          </w:tcPr>
          <w:p w14:paraId="6E005BE7" w14:textId="0BD4F396" w:rsidR="007A5AC0" w:rsidRPr="009537ED" w:rsidRDefault="007A5AC0" w:rsidP="009643F7">
            <w:pPr>
              <w:rPr>
                <w:rFonts w:ascii="Arial" w:eastAsia="MS Mincho" w:hAnsi="Arial" w:cs="Arial"/>
                <w:b/>
                <w:bCs/>
                <w:sz w:val="14"/>
                <w:szCs w:val="14"/>
                <w:lang w:eastAsia="ja-JP"/>
              </w:rPr>
            </w:pPr>
            <w:r w:rsidRPr="009537ED">
              <w:rPr>
                <w:rFonts w:ascii="Arial" w:eastAsia="MS Mincho" w:hAnsi="Arial" w:cs="Arial"/>
                <w:b/>
                <w:bCs/>
                <w:sz w:val="14"/>
                <w:szCs w:val="14"/>
                <w:lang w:eastAsia="ja-JP"/>
              </w:rPr>
              <w:t>Tdoc</w:t>
            </w:r>
            <w:r w:rsidR="00233210" w:rsidRPr="009537ED">
              <w:rPr>
                <w:rFonts w:ascii="Arial" w:eastAsia="MS Mincho" w:hAnsi="Arial" w:cs="Arial"/>
                <w:b/>
                <w:bCs/>
                <w:sz w:val="14"/>
                <w:szCs w:val="14"/>
                <w:lang w:eastAsia="ja-JP"/>
              </w:rPr>
              <w:t xml:space="preserve"> </w:t>
            </w:r>
            <w:r w:rsidRPr="009537ED">
              <w:rPr>
                <w:rFonts w:ascii="Arial" w:eastAsia="MS Mincho" w:hAnsi="Arial" w:cs="Arial"/>
                <w:b/>
                <w:bCs/>
                <w:sz w:val="14"/>
                <w:szCs w:val="14"/>
                <w:lang w:eastAsia="ja-JP"/>
              </w:rPr>
              <w:t>Number</w:t>
            </w:r>
          </w:p>
        </w:tc>
        <w:tc>
          <w:tcPr>
            <w:tcW w:w="5242" w:type="dxa"/>
            <w:tcBorders>
              <w:top w:val="single" w:sz="12" w:space="0" w:color="auto"/>
              <w:left w:val="nil"/>
              <w:bottom w:val="single" w:sz="4" w:space="0" w:color="auto"/>
              <w:right w:val="single" w:sz="12" w:space="0" w:color="auto"/>
            </w:tcBorders>
            <w:shd w:val="clear" w:color="auto" w:fill="C0C0C0"/>
            <w:vAlign w:val="center"/>
          </w:tcPr>
          <w:p w14:paraId="1ED2A268" w14:textId="77777777" w:rsidR="007A5AC0" w:rsidRPr="009537ED" w:rsidRDefault="007A5AC0" w:rsidP="009643F7">
            <w:pPr>
              <w:rPr>
                <w:rFonts w:ascii="Arial" w:eastAsia="MS Mincho" w:hAnsi="Arial" w:cs="Arial"/>
                <w:b/>
                <w:bCs/>
                <w:sz w:val="14"/>
                <w:szCs w:val="14"/>
                <w:lang w:eastAsia="ja-JP"/>
              </w:rPr>
            </w:pPr>
            <w:r w:rsidRPr="009537ED">
              <w:rPr>
                <w:rFonts w:ascii="Arial" w:eastAsia="MS Mincho" w:hAnsi="Arial" w:cs="Arial"/>
                <w:b/>
                <w:bCs/>
                <w:sz w:val="14"/>
                <w:szCs w:val="14"/>
                <w:lang w:eastAsia="ja-JP"/>
              </w:rPr>
              <w:t>Title</w:t>
            </w:r>
          </w:p>
        </w:tc>
        <w:tc>
          <w:tcPr>
            <w:tcW w:w="2554" w:type="dxa"/>
            <w:tcBorders>
              <w:top w:val="single" w:sz="12" w:space="0" w:color="auto"/>
              <w:left w:val="nil"/>
              <w:bottom w:val="single" w:sz="4" w:space="0" w:color="auto"/>
              <w:right w:val="single" w:sz="12" w:space="0" w:color="auto"/>
            </w:tcBorders>
            <w:shd w:val="clear" w:color="auto" w:fill="C0C0C0"/>
            <w:vAlign w:val="center"/>
          </w:tcPr>
          <w:p w14:paraId="11AD426E" w14:textId="77777777" w:rsidR="007A5AC0" w:rsidRPr="009537ED" w:rsidRDefault="007A5AC0" w:rsidP="009643F7">
            <w:pPr>
              <w:rPr>
                <w:rFonts w:ascii="Arial" w:eastAsia="MS Mincho" w:hAnsi="Arial" w:cs="Arial"/>
                <w:b/>
                <w:bCs/>
                <w:sz w:val="14"/>
                <w:szCs w:val="14"/>
                <w:lang w:eastAsia="ja-JP"/>
              </w:rPr>
            </w:pPr>
            <w:r w:rsidRPr="009537ED">
              <w:rPr>
                <w:rFonts w:ascii="Arial" w:eastAsia="MS Mincho" w:hAnsi="Arial" w:cs="Arial"/>
                <w:b/>
                <w:bCs/>
                <w:sz w:val="14"/>
                <w:szCs w:val="14"/>
                <w:lang w:eastAsia="ja-JP"/>
              </w:rPr>
              <w:t>Source</w:t>
            </w:r>
          </w:p>
        </w:tc>
        <w:tc>
          <w:tcPr>
            <w:tcW w:w="4300" w:type="dxa"/>
            <w:tcBorders>
              <w:top w:val="single" w:sz="12" w:space="0" w:color="auto"/>
              <w:left w:val="nil"/>
              <w:bottom w:val="single" w:sz="4" w:space="0" w:color="auto"/>
              <w:right w:val="single" w:sz="12" w:space="0" w:color="auto"/>
            </w:tcBorders>
            <w:shd w:val="clear" w:color="auto" w:fill="C0C0C0"/>
            <w:vAlign w:val="center"/>
          </w:tcPr>
          <w:p w14:paraId="3EDA36D9" w14:textId="77777777" w:rsidR="007A5AC0" w:rsidRPr="009537ED" w:rsidRDefault="007A5AC0" w:rsidP="009643F7">
            <w:pPr>
              <w:rPr>
                <w:rFonts w:ascii="Arial" w:eastAsia="MS Mincho" w:hAnsi="Arial" w:cs="Arial"/>
                <w:b/>
                <w:bCs/>
                <w:sz w:val="14"/>
                <w:szCs w:val="14"/>
                <w:lang w:eastAsia="ja-JP"/>
              </w:rPr>
            </w:pPr>
            <w:r w:rsidRPr="009537ED">
              <w:rPr>
                <w:rFonts w:ascii="Arial" w:eastAsia="MS Mincho" w:hAnsi="Arial" w:cs="Arial"/>
                <w:b/>
                <w:bCs/>
                <w:sz w:val="14"/>
                <w:szCs w:val="14"/>
                <w:lang w:eastAsia="ja-JP"/>
              </w:rPr>
              <w:t>Conclusion/Decision</w:t>
            </w:r>
          </w:p>
        </w:tc>
      </w:tr>
      <w:tr w:rsidR="00B92D3B" w:rsidRPr="00B92D3B" w14:paraId="79220436" w14:textId="77777777" w:rsidTr="00541685">
        <w:trPr>
          <w:trHeight w:val="20"/>
        </w:trPr>
        <w:tc>
          <w:tcPr>
            <w:tcW w:w="1612" w:type="dxa"/>
            <w:tcBorders>
              <w:top w:val="single" w:sz="4" w:space="0" w:color="auto"/>
              <w:left w:val="single" w:sz="4" w:space="0" w:color="auto"/>
              <w:bottom w:val="single" w:sz="4" w:space="0" w:color="auto"/>
              <w:right w:val="single" w:sz="4" w:space="0" w:color="auto"/>
            </w:tcBorders>
            <w:shd w:val="clear" w:color="auto" w:fill="auto"/>
          </w:tcPr>
          <w:p w14:paraId="6666AA12" w14:textId="117AAFF0" w:rsidR="00B92D3B" w:rsidRPr="00B92D3B" w:rsidRDefault="00B92D3B" w:rsidP="00B92D3B">
            <w:pPr>
              <w:rPr>
                <w:rFonts w:ascii="Arial" w:hAnsi="Arial" w:cs="Arial"/>
                <w:sz w:val="14"/>
                <w:szCs w:val="14"/>
              </w:rPr>
            </w:pPr>
            <w:r w:rsidRPr="00B92D3B">
              <w:rPr>
                <w:rFonts w:ascii="Arial" w:hAnsi="Arial" w:cs="Arial"/>
                <w:sz w:val="14"/>
                <w:szCs w:val="14"/>
              </w:rPr>
              <w:t>R1-2312764</w:t>
            </w:r>
          </w:p>
        </w:tc>
        <w:tc>
          <w:tcPr>
            <w:tcW w:w="5242" w:type="dxa"/>
            <w:tcBorders>
              <w:top w:val="single" w:sz="4" w:space="0" w:color="auto"/>
              <w:left w:val="nil"/>
              <w:bottom w:val="single" w:sz="4" w:space="0" w:color="auto"/>
              <w:right w:val="single" w:sz="4" w:space="0" w:color="auto"/>
            </w:tcBorders>
            <w:shd w:val="clear" w:color="auto" w:fill="auto"/>
          </w:tcPr>
          <w:p w14:paraId="0B97519B" w14:textId="2ABC4EE6" w:rsidR="00B92D3B" w:rsidRPr="00B92D3B" w:rsidRDefault="00B92D3B" w:rsidP="00B92D3B">
            <w:pPr>
              <w:rPr>
                <w:rFonts w:ascii="Arial" w:hAnsi="Arial" w:cs="Arial"/>
                <w:sz w:val="14"/>
                <w:szCs w:val="14"/>
              </w:rPr>
            </w:pPr>
            <w:r w:rsidRPr="00B92D3B">
              <w:rPr>
                <w:rFonts w:ascii="Arial" w:hAnsi="Arial" w:cs="Arial"/>
                <w:sz w:val="14"/>
                <w:szCs w:val="14"/>
              </w:rPr>
              <w:t>TR 38.843 v1.3.0 on Artificial Intelligence (AI)/Machine Learning (ML) for NR air interface</w:t>
            </w:r>
          </w:p>
        </w:tc>
        <w:tc>
          <w:tcPr>
            <w:tcW w:w="2554" w:type="dxa"/>
            <w:tcBorders>
              <w:top w:val="single" w:sz="4" w:space="0" w:color="auto"/>
              <w:left w:val="nil"/>
              <w:bottom w:val="single" w:sz="4" w:space="0" w:color="auto"/>
              <w:right w:val="single" w:sz="4" w:space="0" w:color="auto"/>
            </w:tcBorders>
            <w:shd w:val="clear" w:color="auto" w:fill="auto"/>
          </w:tcPr>
          <w:p w14:paraId="47224B59" w14:textId="152B96B0" w:rsidR="00B92D3B" w:rsidRPr="00B92D3B" w:rsidRDefault="00B92D3B" w:rsidP="00B92D3B">
            <w:pPr>
              <w:rPr>
                <w:rFonts w:ascii="Arial" w:hAnsi="Arial" w:cs="Arial"/>
                <w:sz w:val="14"/>
                <w:szCs w:val="14"/>
              </w:rPr>
            </w:pPr>
            <w:r w:rsidRPr="00B92D3B">
              <w:rPr>
                <w:rFonts w:ascii="Arial" w:hAnsi="Arial" w:cs="Arial"/>
                <w:sz w:val="14"/>
                <w:szCs w:val="14"/>
              </w:rPr>
              <w:t>Qualcomm</w:t>
            </w:r>
          </w:p>
        </w:tc>
        <w:tc>
          <w:tcPr>
            <w:tcW w:w="4300" w:type="dxa"/>
            <w:tcBorders>
              <w:top w:val="single" w:sz="4" w:space="0" w:color="auto"/>
              <w:left w:val="nil"/>
              <w:bottom w:val="single" w:sz="4" w:space="0" w:color="auto"/>
              <w:right w:val="single" w:sz="4" w:space="0" w:color="auto"/>
            </w:tcBorders>
            <w:shd w:val="clear" w:color="auto" w:fill="auto"/>
            <w:vAlign w:val="center"/>
          </w:tcPr>
          <w:p w14:paraId="09B17D56" w14:textId="16732E45" w:rsidR="00B92D3B" w:rsidRPr="00B92D3B" w:rsidRDefault="00B92D3B" w:rsidP="00B92D3B">
            <w:pPr>
              <w:rPr>
                <w:rFonts w:ascii="Arial" w:eastAsia="SimSun" w:hAnsi="Arial" w:cs="Arial"/>
                <w:kern w:val="2"/>
                <w:sz w:val="14"/>
                <w:szCs w:val="14"/>
              </w:rPr>
            </w:pPr>
            <w:r>
              <w:rPr>
                <w:rFonts w:ascii="Arial" w:eastAsia="SimSun" w:hAnsi="Arial" w:cs="Arial"/>
                <w:kern w:val="2"/>
                <w:sz w:val="14"/>
                <w:szCs w:val="14"/>
              </w:rPr>
              <w:t xml:space="preserve">Endorsed </w:t>
            </w:r>
            <w:r w:rsidRPr="00B92D3B">
              <w:rPr>
                <w:rFonts w:ascii="Arial" w:eastAsia="SimSun" w:hAnsi="Arial" w:cs="Arial"/>
                <w:kern w:val="2"/>
                <w:sz w:val="14"/>
                <w:szCs w:val="14"/>
              </w:rPr>
              <w:t>as basis for approval by RAN#102 as v2.0.0</w:t>
            </w:r>
            <w:r>
              <w:rPr>
                <w:rFonts w:ascii="Arial" w:eastAsia="SimSun" w:hAnsi="Arial" w:cs="Arial"/>
                <w:kern w:val="2"/>
                <w:sz w:val="14"/>
                <w:szCs w:val="14"/>
              </w:rPr>
              <w:t>.</w:t>
            </w:r>
          </w:p>
        </w:tc>
      </w:tr>
      <w:tr w:rsidR="00B92D3B" w:rsidRPr="00B92D3B" w14:paraId="119EC0BA" w14:textId="77777777" w:rsidTr="00541685">
        <w:trPr>
          <w:trHeight w:val="20"/>
        </w:trPr>
        <w:tc>
          <w:tcPr>
            <w:tcW w:w="1612" w:type="dxa"/>
            <w:tcBorders>
              <w:top w:val="single" w:sz="4" w:space="0" w:color="auto"/>
              <w:left w:val="single" w:sz="4" w:space="0" w:color="auto"/>
              <w:bottom w:val="single" w:sz="4" w:space="0" w:color="auto"/>
              <w:right w:val="single" w:sz="4" w:space="0" w:color="auto"/>
            </w:tcBorders>
            <w:shd w:val="clear" w:color="auto" w:fill="auto"/>
          </w:tcPr>
          <w:p w14:paraId="41CE58F2" w14:textId="44409C34" w:rsidR="00B92D3B" w:rsidRPr="00B92D3B" w:rsidRDefault="00B92D3B" w:rsidP="00B92D3B">
            <w:pPr>
              <w:rPr>
                <w:rFonts w:ascii="Arial" w:hAnsi="Arial" w:cs="Arial"/>
                <w:sz w:val="14"/>
                <w:szCs w:val="14"/>
              </w:rPr>
            </w:pPr>
            <w:r w:rsidRPr="00B92D3B">
              <w:rPr>
                <w:rFonts w:ascii="Arial" w:hAnsi="Arial" w:cs="Arial"/>
                <w:sz w:val="14"/>
                <w:szCs w:val="14"/>
              </w:rPr>
              <w:t>R1-2312778</w:t>
            </w:r>
          </w:p>
        </w:tc>
        <w:tc>
          <w:tcPr>
            <w:tcW w:w="5242" w:type="dxa"/>
            <w:tcBorders>
              <w:top w:val="single" w:sz="4" w:space="0" w:color="auto"/>
              <w:left w:val="nil"/>
              <w:bottom w:val="single" w:sz="4" w:space="0" w:color="auto"/>
              <w:right w:val="single" w:sz="4" w:space="0" w:color="auto"/>
            </w:tcBorders>
            <w:shd w:val="clear" w:color="auto" w:fill="auto"/>
          </w:tcPr>
          <w:p w14:paraId="243715D4" w14:textId="7DB54E8E" w:rsidR="00B92D3B" w:rsidRPr="00B92D3B" w:rsidRDefault="00B92D3B" w:rsidP="00B92D3B">
            <w:pPr>
              <w:rPr>
                <w:rFonts w:ascii="Arial" w:hAnsi="Arial" w:cs="Arial"/>
                <w:sz w:val="14"/>
                <w:szCs w:val="14"/>
              </w:rPr>
            </w:pPr>
            <w:r w:rsidRPr="00B92D3B">
              <w:rPr>
                <w:rFonts w:ascii="Arial" w:hAnsi="Arial" w:cs="Arial"/>
                <w:sz w:val="14"/>
                <w:szCs w:val="14"/>
              </w:rPr>
              <w:t>TR 38.858 v1.1.0 for study on evolution of NR duplex operation</w:t>
            </w:r>
          </w:p>
        </w:tc>
        <w:tc>
          <w:tcPr>
            <w:tcW w:w="2554" w:type="dxa"/>
            <w:tcBorders>
              <w:top w:val="single" w:sz="4" w:space="0" w:color="auto"/>
              <w:left w:val="nil"/>
              <w:bottom w:val="single" w:sz="4" w:space="0" w:color="auto"/>
              <w:right w:val="single" w:sz="4" w:space="0" w:color="auto"/>
            </w:tcBorders>
            <w:shd w:val="clear" w:color="auto" w:fill="auto"/>
          </w:tcPr>
          <w:p w14:paraId="704D3EA7" w14:textId="2F938B5B" w:rsidR="00B92D3B" w:rsidRPr="00B92D3B" w:rsidRDefault="00B92D3B" w:rsidP="00B92D3B">
            <w:pPr>
              <w:rPr>
                <w:rFonts w:ascii="Arial" w:hAnsi="Arial" w:cs="Arial"/>
                <w:sz w:val="14"/>
                <w:szCs w:val="14"/>
              </w:rPr>
            </w:pPr>
            <w:r w:rsidRPr="00B92D3B">
              <w:rPr>
                <w:rFonts w:ascii="Arial" w:hAnsi="Arial" w:cs="Arial"/>
                <w:sz w:val="14"/>
                <w:szCs w:val="14"/>
              </w:rPr>
              <w:t>CMCC</w:t>
            </w:r>
          </w:p>
        </w:tc>
        <w:tc>
          <w:tcPr>
            <w:tcW w:w="4300" w:type="dxa"/>
            <w:tcBorders>
              <w:top w:val="single" w:sz="4" w:space="0" w:color="auto"/>
              <w:left w:val="nil"/>
              <w:bottom w:val="single" w:sz="4" w:space="0" w:color="auto"/>
              <w:right w:val="single" w:sz="4" w:space="0" w:color="auto"/>
            </w:tcBorders>
            <w:shd w:val="clear" w:color="auto" w:fill="auto"/>
            <w:vAlign w:val="center"/>
          </w:tcPr>
          <w:p w14:paraId="5E69884C" w14:textId="56D842AF" w:rsidR="00B92D3B" w:rsidRPr="00B92D3B" w:rsidRDefault="00B92D3B" w:rsidP="00B92D3B">
            <w:pPr>
              <w:rPr>
                <w:rFonts w:ascii="Arial" w:eastAsia="SimSun" w:hAnsi="Arial" w:cs="Arial"/>
                <w:kern w:val="2"/>
                <w:sz w:val="14"/>
                <w:szCs w:val="14"/>
              </w:rPr>
            </w:pPr>
            <w:r>
              <w:rPr>
                <w:rFonts w:ascii="Arial" w:eastAsia="SimSun" w:hAnsi="Arial" w:cs="Arial"/>
                <w:kern w:val="2"/>
                <w:sz w:val="14"/>
                <w:szCs w:val="14"/>
              </w:rPr>
              <w:t xml:space="preserve">Endorsed </w:t>
            </w:r>
            <w:r w:rsidRPr="00B92D3B">
              <w:rPr>
                <w:rFonts w:ascii="Arial" w:eastAsia="SimSun" w:hAnsi="Arial" w:cs="Arial"/>
                <w:kern w:val="2"/>
                <w:sz w:val="14"/>
                <w:szCs w:val="14"/>
              </w:rPr>
              <w:t>as basis for approval by RAN#102 as v2.0.0</w:t>
            </w:r>
            <w:r>
              <w:rPr>
                <w:rFonts w:ascii="Arial" w:eastAsia="SimSun" w:hAnsi="Arial" w:cs="Arial"/>
                <w:kern w:val="2"/>
                <w:sz w:val="14"/>
                <w:szCs w:val="14"/>
              </w:rPr>
              <w:t>.</w:t>
            </w:r>
          </w:p>
        </w:tc>
      </w:tr>
      <w:tr w:rsidR="00B92D3B" w:rsidRPr="00B92D3B" w14:paraId="33D21DFC" w14:textId="77777777" w:rsidTr="00541685">
        <w:trPr>
          <w:trHeight w:val="20"/>
        </w:trPr>
        <w:tc>
          <w:tcPr>
            <w:tcW w:w="1612" w:type="dxa"/>
            <w:tcBorders>
              <w:top w:val="single" w:sz="4" w:space="0" w:color="auto"/>
              <w:left w:val="single" w:sz="4" w:space="0" w:color="auto"/>
              <w:bottom w:val="single" w:sz="4" w:space="0" w:color="auto"/>
              <w:right w:val="single" w:sz="4" w:space="0" w:color="auto"/>
            </w:tcBorders>
            <w:shd w:val="clear" w:color="auto" w:fill="auto"/>
          </w:tcPr>
          <w:p w14:paraId="32F1BCE8" w14:textId="4A55FFF2" w:rsidR="00B92D3B" w:rsidRPr="00B92D3B" w:rsidRDefault="00B92D3B" w:rsidP="00B92D3B">
            <w:pPr>
              <w:rPr>
                <w:rFonts w:ascii="Arial" w:hAnsi="Arial" w:cs="Arial"/>
                <w:sz w:val="14"/>
                <w:szCs w:val="14"/>
              </w:rPr>
            </w:pPr>
            <w:r w:rsidRPr="00B92D3B">
              <w:rPr>
                <w:rFonts w:ascii="Arial" w:hAnsi="Arial" w:cs="Arial"/>
                <w:sz w:val="14"/>
                <w:szCs w:val="14"/>
              </w:rPr>
              <w:t>R1-2312819</w:t>
            </w:r>
          </w:p>
        </w:tc>
        <w:tc>
          <w:tcPr>
            <w:tcW w:w="5242" w:type="dxa"/>
            <w:tcBorders>
              <w:top w:val="single" w:sz="4" w:space="0" w:color="auto"/>
              <w:left w:val="nil"/>
              <w:bottom w:val="single" w:sz="4" w:space="0" w:color="auto"/>
              <w:right w:val="single" w:sz="4" w:space="0" w:color="auto"/>
            </w:tcBorders>
            <w:shd w:val="clear" w:color="auto" w:fill="auto"/>
          </w:tcPr>
          <w:p w14:paraId="7EE8ED0A" w14:textId="6048B13E" w:rsidR="00B92D3B" w:rsidRPr="00B92D3B" w:rsidRDefault="00B92D3B" w:rsidP="00B92D3B">
            <w:pPr>
              <w:rPr>
                <w:rFonts w:ascii="Arial" w:hAnsi="Arial" w:cs="Arial"/>
                <w:sz w:val="14"/>
                <w:szCs w:val="14"/>
              </w:rPr>
            </w:pPr>
            <w:r w:rsidRPr="00B92D3B">
              <w:rPr>
                <w:rFonts w:ascii="Arial" w:hAnsi="Arial" w:cs="Arial"/>
                <w:sz w:val="14"/>
                <w:szCs w:val="14"/>
              </w:rPr>
              <w:t>TR 38.869 v2.0.0 for study on low-power wake up signal and receiver for NR</w:t>
            </w:r>
          </w:p>
        </w:tc>
        <w:tc>
          <w:tcPr>
            <w:tcW w:w="2554" w:type="dxa"/>
            <w:tcBorders>
              <w:top w:val="single" w:sz="4" w:space="0" w:color="auto"/>
              <w:left w:val="nil"/>
              <w:bottom w:val="single" w:sz="4" w:space="0" w:color="auto"/>
              <w:right w:val="single" w:sz="4" w:space="0" w:color="auto"/>
            </w:tcBorders>
            <w:shd w:val="clear" w:color="auto" w:fill="auto"/>
          </w:tcPr>
          <w:p w14:paraId="48DA93E4" w14:textId="5FC4788E" w:rsidR="00B92D3B" w:rsidRPr="00B92D3B" w:rsidRDefault="00B92D3B" w:rsidP="00B92D3B">
            <w:pPr>
              <w:rPr>
                <w:rFonts w:ascii="Arial" w:hAnsi="Arial" w:cs="Arial"/>
                <w:sz w:val="14"/>
                <w:szCs w:val="14"/>
              </w:rPr>
            </w:pPr>
            <w:r w:rsidRPr="00B92D3B">
              <w:rPr>
                <w:rFonts w:ascii="Arial" w:hAnsi="Arial" w:cs="Arial"/>
                <w:sz w:val="14"/>
                <w:szCs w:val="14"/>
              </w:rPr>
              <w:t>vivo</w:t>
            </w:r>
          </w:p>
        </w:tc>
        <w:tc>
          <w:tcPr>
            <w:tcW w:w="4300" w:type="dxa"/>
            <w:tcBorders>
              <w:top w:val="single" w:sz="4" w:space="0" w:color="auto"/>
              <w:left w:val="nil"/>
              <w:bottom w:val="single" w:sz="4" w:space="0" w:color="auto"/>
              <w:right w:val="single" w:sz="4" w:space="0" w:color="auto"/>
            </w:tcBorders>
            <w:shd w:val="clear" w:color="auto" w:fill="auto"/>
            <w:vAlign w:val="center"/>
          </w:tcPr>
          <w:p w14:paraId="04686407" w14:textId="3BF499D6" w:rsidR="00B92D3B" w:rsidRPr="00B92D3B" w:rsidRDefault="00B92D3B" w:rsidP="00B92D3B">
            <w:pPr>
              <w:rPr>
                <w:rFonts w:ascii="Arial" w:eastAsia="SimSun" w:hAnsi="Arial" w:cs="Arial"/>
                <w:kern w:val="2"/>
                <w:sz w:val="14"/>
                <w:szCs w:val="14"/>
              </w:rPr>
            </w:pPr>
            <w:r>
              <w:rPr>
                <w:rFonts w:ascii="Arial" w:eastAsia="SimSun" w:hAnsi="Arial" w:cs="Arial"/>
                <w:kern w:val="2"/>
                <w:sz w:val="14"/>
                <w:szCs w:val="14"/>
              </w:rPr>
              <w:t xml:space="preserve">Endorsed </w:t>
            </w:r>
            <w:r w:rsidRPr="00B92D3B">
              <w:rPr>
                <w:rFonts w:ascii="Arial" w:eastAsia="SimSun" w:hAnsi="Arial" w:cs="Arial"/>
                <w:kern w:val="2"/>
                <w:sz w:val="14"/>
                <w:szCs w:val="14"/>
              </w:rPr>
              <w:t>as basis for approval by RAN#102 as v2.0.0</w:t>
            </w:r>
            <w:r>
              <w:rPr>
                <w:rFonts w:ascii="Arial" w:eastAsia="SimSun" w:hAnsi="Arial" w:cs="Arial"/>
                <w:kern w:val="2"/>
                <w:sz w:val="14"/>
                <w:szCs w:val="14"/>
              </w:rPr>
              <w:t>.</w:t>
            </w:r>
          </w:p>
        </w:tc>
      </w:tr>
    </w:tbl>
    <w:p w14:paraId="37398D75" w14:textId="44F54BD9" w:rsidR="007A5AC0" w:rsidRPr="009537ED" w:rsidRDefault="007A5AC0" w:rsidP="009643F7">
      <w:pPr>
        <w:rPr>
          <w:rFonts w:ascii="Times New Roman" w:eastAsia="SimSun" w:hAnsi="Times New Roman"/>
          <w:kern w:val="2"/>
          <w:szCs w:val="20"/>
        </w:rPr>
      </w:pPr>
    </w:p>
    <w:p w14:paraId="7E6D4450" w14:textId="77777777" w:rsidR="007A7F63" w:rsidRPr="009537ED" w:rsidRDefault="007A7F63" w:rsidP="007A7F63"/>
    <w:p w14:paraId="35F4A0AA" w14:textId="5563B078" w:rsidR="007A5AC0" w:rsidRPr="009537ED" w:rsidRDefault="007A5AC0" w:rsidP="009643F7">
      <w:pPr>
        <w:pStyle w:val="Heading1"/>
        <w:numPr>
          <w:ilvl w:val="0"/>
          <w:numId w:val="0"/>
        </w:numPr>
        <w:spacing w:before="0" w:after="0"/>
        <w:rPr>
          <w:rFonts w:ascii="Times New Roman" w:hAnsi="Times New Roman" w:cs="Times New Roman"/>
          <w:sz w:val="20"/>
          <w:szCs w:val="20"/>
        </w:rPr>
      </w:pPr>
      <w:r w:rsidRPr="009537ED">
        <w:rPr>
          <w:rFonts w:ascii="Times New Roman" w:hAnsi="Times New Roman" w:cs="Times New Roman"/>
          <w:sz w:val="20"/>
          <w:szCs w:val="20"/>
        </w:rPr>
        <w:br w:type="page"/>
      </w:r>
      <w:bookmarkStart w:id="841" w:name="_Toc159251071"/>
      <w:r w:rsidRPr="009537ED">
        <w:rPr>
          <w:rFonts w:ascii="Times New Roman" w:hAnsi="Times New Roman" w:cs="Times New Roman"/>
          <w:sz w:val="20"/>
          <w:szCs w:val="20"/>
        </w:rPr>
        <w:lastRenderedPageBreak/>
        <w:t>Annex</w:t>
      </w:r>
      <w:r w:rsidR="00233210" w:rsidRPr="009537ED">
        <w:rPr>
          <w:rFonts w:ascii="Times New Roman" w:hAnsi="Times New Roman" w:cs="Times New Roman"/>
          <w:sz w:val="20"/>
          <w:szCs w:val="20"/>
        </w:rPr>
        <w:t xml:space="preserve"> </w:t>
      </w:r>
      <w:r w:rsidRPr="009537ED">
        <w:rPr>
          <w:rFonts w:ascii="Times New Roman" w:hAnsi="Times New Roman" w:cs="Times New Roman"/>
          <w:sz w:val="20"/>
          <w:szCs w:val="20"/>
        </w:rPr>
        <w:t>F:</w:t>
      </w:r>
      <w:r w:rsidRPr="009537ED">
        <w:rPr>
          <w:rFonts w:ascii="Times New Roman" w:hAnsi="Times New Roman" w:cs="Times New Roman"/>
          <w:sz w:val="20"/>
          <w:szCs w:val="20"/>
        </w:rPr>
        <w:tab/>
        <w:t>List</w:t>
      </w:r>
      <w:r w:rsidR="00233210" w:rsidRPr="009537ED">
        <w:rPr>
          <w:rFonts w:ascii="Times New Roman" w:hAnsi="Times New Roman" w:cs="Times New Roman"/>
          <w:sz w:val="20"/>
          <w:szCs w:val="20"/>
        </w:rPr>
        <w:t xml:space="preserve"> </w:t>
      </w:r>
      <w:r w:rsidRPr="009537ED">
        <w:rPr>
          <w:rFonts w:ascii="Times New Roman" w:hAnsi="Times New Roman" w:cs="Times New Roman"/>
          <w:sz w:val="20"/>
          <w:szCs w:val="20"/>
        </w:rPr>
        <w:t>of</w:t>
      </w:r>
      <w:r w:rsidR="00233210" w:rsidRPr="009537ED">
        <w:rPr>
          <w:rFonts w:ascii="Times New Roman" w:hAnsi="Times New Roman" w:cs="Times New Roman"/>
          <w:sz w:val="20"/>
          <w:szCs w:val="20"/>
        </w:rPr>
        <w:t xml:space="preserve"> </w:t>
      </w:r>
      <w:r w:rsidRPr="009537ED">
        <w:rPr>
          <w:rFonts w:ascii="Times New Roman" w:hAnsi="Times New Roman" w:cs="Times New Roman"/>
          <w:sz w:val="20"/>
          <w:szCs w:val="20"/>
        </w:rPr>
        <w:t>actions</w:t>
      </w:r>
      <w:bookmarkEnd w:id="841"/>
    </w:p>
    <w:p w14:paraId="6C75DD42" w14:textId="00B61BE0" w:rsidR="00DD6A22" w:rsidRPr="009537ED" w:rsidRDefault="00DD6A22" w:rsidP="00DD6A22"/>
    <w:p w14:paraId="04C46776" w14:textId="35E12DCC" w:rsidR="007A5AC0" w:rsidRPr="009537ED" w:rsidRDefault="00DE04FB" w:rsidP="0078744C">
      <w:pPr>
        <w:numPr>
          <w:ilvl w:val="0"/>
          <w:numId w:val="9"/>
        </w:numPr>
        <w:rPr>
          <w:rFonts w:ascii="Times New Roman" w:hAnsi="Times New Roman"/>
          <w:b/>
          <w:szCs w:val="20"/>
        </w:rPr>
      </w:pPr>
      <w:r w:rsidRPr="009537ED">
        <w:rPr>
          <w:rFonts w:ascii="Times New Roman" w:hAnsi="Times New Roman"/>
          <w:b/>
          <w:szCs w:val="20"/>
        </w:rPr>
        <w:t>Outgoing</w:t>
      </w:r>
      <w:r w:rsidR="00233210" w:rsidRPr="009537ED">
        <w:rPr>
          <w:rFonts w:ascii="Times New Roman" w:hAnsi="Times New Roman"/>
          <w:b/>
          <w:szCs w:val="20"/>
        </w:rPr>
        <w:t xml:space="preserve"> </w:t>
      </w:r>
      <w:r w:rsidRPr="009537ED">
        <w:rPr>
          <w:rFonts w:ascii="Times New Roman" w:hAnsi="Times New Roman"/>
          <w:b/>
          <w:szCs w:val="20"/>
        </w:rPr>
        <w:t>LS</w:t>
      </w:r>
    </w:p>
    <w:p w14:paraId="6D3B578A" w14:textId="43B1D326" w:rsidR="00536D59" w:rsidRPr="009537ED" w:rsidRDefault="00536D59" w:rsidP="00536D59"/>
    <w:p w14:paraId="17F884F4" w14:textId="77777777" w:rsidR="003F3032" w:rsidRPr="00510215" w:rsidRDefault="003F3032" w:rsidP="003F3032">
      <w:pPr>
        <w:rPr>
          <w:lang w:val="en-US"/>
        </w:rPr>
      </w:pPr>
      <w:r w:rsidRPr="00510215">
        <w:rPr>
          <w:lang w:val="en-US"/>
        </w:rPr>
        <w:t>[Post-115-UE-Features] – Ralf (AT&amp;T)</w:t>
      </w:r>
    </w:p>
    <w:p w14:paraId="58A456EF" w14:textId="6C1C626B" w:rsidR="003F3032" w:rsidRPr="00510215" w:rsidRDefault="003F3032" w:rsidP="003F3032">
      <w:pPr>
        <w:rPr>
          <w:lang w:val="en-US"/>
        </w:rPr>
      </w:pPr>
      <w:r w:rsidRPr="00510215">
        <w:rPr>
          <w:lang w:val="en-US"/>
        </w:rPr>
        <w:t>Email discussion to revise Rel-18 UE feature list and endorse LS to RAN2 by Nov 28</w:t>
      </w:r>
    </w:p>
    <w:p w14:paraId="1A88BB5A" w14:textId="77777777" w:rsidR="003F3032" w:rsidRPr="003F3032" w:rsidRDefault="003F3032" w:rsidP="003F3032">
      <w:pPr>
        <w:rPr>
          <w:lang w:val="en-US"/>
        </w:rPr>
      </w:pPr>
      <w:r w:rsidRPr="003F3032">
        <w:rPr>
          <w:lang w:val="en-US"/>
        </w:rPr>
        <w:t>For UE features on positioning, FG 41-1-19b, 41-1-20, 41-1-21, 41-1-22, 41-2-12, 41-4-19 should not have been captured as agreed.</w:t>
      </w:r>
    </w:p>
    <w:p w14:paraId="405D5DC1" w14:textId="022DC893" w:rsidR="00920D0A" w:rsidRPr="00510215" w:rsidRDefault="005A18DC" w:rsidP="00920D0A">
      <w:pPr>
        <w:rPr>
          <w:b/>
          <w:bCs/>
          <w:lang w:val="en-US"/>
        </w:rPr>
      </w:pPr>
      <w:hyperlink r:id="rId2927" w:history="1">
        <w:r w:rsidR="00AF7253">
          <w:rPr>
            <w:rStyle w:val="Hyperlink"/>
            <w:b/>
            <w:bCs/>
            <w:lang w:val="en-US"/>
          </w:rPr>
          <w:t>R1-2312705</w:t>
        </w:r>
      </w:hyperlink>
      <w:r w:rsidR="00920D0A" w:rsidRPr="00510215">
        <w:rPr>
          <w:b/>
          <w:bCs/>
          <w:lang w:val="en-US"/>
        </w:rPr>
        <w:tab/>
        <w:t>Corrected RAN1 UE features list for Rel-18 NR after RAN1#115</w:t>
      </w:r>
      <w:r w:rsidR="00920D0A" w:rsidRPr="00510215">
        <w:rPr>
          <w:b/>
          <w:bCs/>
          <w:lang w:val="en-US"/>
        </w:rPr>
        <w:tab/>
        <w:t>Moderators (AT&amp;T, NTT DOCOMO, INC.)</w:t>
      </w:r>
    </w:p>
    <w:p w14:paraId="005C1ED6" w14:textId="5E95E2A2" w:rsidR="00510215" w:rsidRDefault="00510215" w:rsidP="00510215">
      <w:pPr>
        <w:rPr>
          <w:lang w:val="en-US"/>
        </w:rPr>
      </w:pPr>
      <w:r w:rsidRPr="00893919">
        <w:rPr>
          <w:b/>
          <w:bCs/>
          <w:lang w:val="en-US"/>
        </w:rPr>
        <w:t>Decision:</w:t>
      </w:r>
      <w:r>
        <w:rPr>
          <w:lang w:val="en-US"/>
        </w:rPr>
        <w:t xml:space="preserve"> As per email decision posted on Nov 28</w:t>
      </w:r>
      <w:r w:rsidRPr="00893919">
        <w:rPr>
          <w:vertAlign w:val="superscript"/>
          <w:lang w:val="en-US"/>
        </w:rPr>
        <w:t>th</w:t>
      </w:r>
      <w:r>
        <w:rPr>
          <w:lang w:val="en-US"/>
        </w:rPr>
        <w:t>, t</w:t>
      </w:r>
      <w:r w:rsidRPr="00893919">
        <w:rPr>
          <w:lang w:val="en-US"/>
        </w:rPr>
        <w:t xml:space="preserve">he latest version </w:t>
      </w:r>
      <w:r>
        <w:rPr>
          <w:lang w:val="en-US"/>
        </w:rPr>
        <w:t xml:space="preserve">of </w:t>
      </w:r>
      <w:r w:rsidRPr="00510215">
        <w:rPr>
          <w:lang w:val="en-US"/>
        </w:rPr>
        <w:t xml:space="preserve">RAN1 UE features list for Rel-18 NR </w:t>
      </w:r>
      <w:r w:rsidRPr="00893919">
        <w:rPr>
          <w:lang w:val="en-US"/>
        </w:rPr>
        <w:t>(</w:t>
      </w:r>
      <w:r>
        <w:rPr>
          <w:lang w:val="en-US"/>
        </w:rPr>
        <w:t xml:space="preserve">in </w:t>
      </w:r>
      <w:hyperlink r:id="rId2928" w:history="1">
        <w:r w:rsidR="00AF7253">
          <w:rPr>
            <w:rStyle w:val="Hyperlink"/>
            <w:lang w:val="en-US"/>
          </w:rPr>
          <w:t>R1-2312705</w:t>
        </w:r>
      </w:hyperlink>
      <w:r w:rsidRPr="00893919">
        <w:rPr>
          <w:lang w:val="en-US"/>
        </w:rPr>
        <w:t>)</w:t>
      </w:r>
      <w:r>
        <w:rPr>
          <w:lang w:val="en-US"/>
        </w:rPr>
        <w:t xml:space="preserve"> is endorsed.</w:t>
      </w:r>
    </w:p>
    <w:p w14:paraId="69179809" w14:textId="3A98FB61" w:rsidR="00510215" w:rsidRPr="00920D0A" w:rsidRDefault="00510215" w:rsidP="00510215">
      <w:pPr>
        <w:rPr>
          <w:lang w:val="en-US"/>
        </w:rPr>
      </w:pPr>
      <w:r>
        <w:rPr>
          <w:rFonts w:ascii="Times New Roman" w:eastAsia="Times New Roman" w:hAnsi="Times New Roman"/>
          <w:szCs w:val="20"/>
          <w:lang w:val="en-US"/>
        </w:rPr>
        <w:t xml:space="preserve">The corresponding draft LS with attachment </w:t>
      </w:r>
      <w:hyperlink r:id="rId2929" w:history="1">
        <w:r w:rsidR="00AF7253">
          <w:rPr>
            <w:rStyle w:val="Hyperlink"/>
            <w:rFonts w:ascii="Times New Roman" w:eastAsia="Times New Roman" w:hAnsi="Times New Roman"/>
            <w:szCs w:val="20"/>
            <w:lang w:val="en-US"/>
          </w:rPr>
          <w:t>R1-2312705</w:t>
        </w:r>
      </w:hyperlink>
      <w:r>
        <w:rPr>
          <w:rFonts w:ascii="Times New Roman" w:eastAsia="Times New Roman" w:hAnsi="Times New Roman"/>
          <w:szCs w:val="20"/>
          <w:lang w:val="en-US"/>
        </w:rPr>
        <w:t xml:space="preserve"> is</w:t>
      </w:r>
    </w:p>
    <w:p w14:paraId="58E27C38" w14:textId="3652B335" w:rsidR="00920D0A" w:rsidRPr="00510215" w:rsidRDefault="005A18DC" w:rsidP="00920D0A">
      <w:pPr>
        <w:rPr>
          <w:b/>
          <w:bCs/>
          <w:lang w:val="en-US"/>
        </w:rPr>
      </w:pPr>
      <w:hyperlink r:id="rId2930" w:history="1">
        <w:r w:rsidR="00AF7253">
          <w:rPr>
            <w:rStyle w:val="Hyperlink"/>
            <w:b/>
            <w:bCs/>
            <w:lang w:val="en-US"/>
          </w:rPr>
          <w:t>R1-2312706</w:t>
        </w:r>
      </w:hyperlink>
      <w:r w:rsidR="00920D0A" w:rsidRPr="00510215">
        <w:rPr>
          <w:b/>
          <w:bCs/>
          <w:lang w:val="en-US"/>
        </w:rPr>
        <w:tab/>
        <w:t>Draft LS on updates to the Rel-18 RAN1 UE features list for NR after RAN1#115</w:t>
      </w:r>
      <w:r w:rsidR="00920D0A" w:rsidRPr="00510215">
        <w:rPr>
          <w:b/>
          <w:bCs/>
          <w:lang w:val="en-US"/>
        </w:rPr>
        <w:tab/>
        <w:t>Moderators (AT&amp;T, NTT DOCOMO, INC.)</w:t>
      </w:r>
    </w:p>
    <w:p w14:paraId="622A5F2F" w14:textId="54A84F68" w:rsidR="00510215" w:rsidRDefault="00510215" w:rsidP="00510215">
      <w:pPr>
        <w:rPr>
          <w:lang w:val="en-US"/>
        </w:rPr>
      </w:pPr>
      <w:r w:rsidRPr="00893919">
        <w:rPr>
          <w:b/>
          <w:bCs/>
          <w:lang w:val="en-US"/>
        </w:rPr>
        <w:t>Decision:</w:t>
      </w:r>
      <w:r>
        <w:rPr>
          <w:lang w:val="en-US"/>
        </w:rPr>
        <w:t xml:space="preserve"> As per email decision posted on Nov 28</w:t>
      </w:r>
      <w:r w:rsidRPr="00893919">
        <w:rPr>
          <w:vertAlign w:val="superscript"/>
          <w:lang w:val="en-US"/>
        </w:rPr>
        <w:t>th</w:t>
      </w:r>
      <w:r>
        <w:rPr>
          <w:lang w:val="en-US"/>
        </w:rPr>
        <w:t>, t</w:t>
      </w:r>
      <w:r w:rsidRPr="00893919">
        <w:rPr>
          <w:lang w:val="en-US"/>
        </w:rPr>
        <w:t xml:space="preserve">he </w:t>
      </w:r>
      <w:r>
        <w:rPr>
          <w:lang w:val="en-US"/>
        </w:rPr>
        <w:t xml:space="preserve">draft LS is endorsed. Final version is </w:t>
      </w:r>
      <w:r w:rsidRPr="00893919">
        <w:rPr>
          <w:highlight w:val="green"/>
          <w:lang w:val="en-US"/>
        </w:rPr>
        <w:t xml:space="preserve">approved in </w:t>
      </w:r>
      <w:hyperlink r:id="rId2931" w:history="1">
        <w:r w:rsidR="00AF7253">
          <w:rPr>
            <w:rStyle w:val="Hyperlink"/>
            <w:highlight w:val="green"/>
            <w:lang w:val="en-US"/>
          </w:rPr>
          <w:t>R1-2312707</w:t>
        </w:r>
      </w:hyperlink>
      <w:r>
        <w:rPr>
          <w:lang w:val="en-US"/>
        </w:rPr>
        <w:t>.</w:t>
      </w:r>
    </w:p>
    <w:p w14:paraId="1F7DF0B1" w14:textId="77777777" w:rsidR="003F3032" w:rsidRDefault="003F3032" w:rsidP="003F3032">
      <w:pPr>
        <w:rPr>
          <w:lang w:val="en-US"/>
        </w:rPr>
      </w:pPr>
    </w:p>
    <w:p w14:paraId="32BE9CBA" w14:textId="77777777" w:rsidR="00920D0A" w:rsidRPr="003F3032" w:rsidRDefault="00920D0A" w:rsidP="003F3032">
      <w:pPr>
        <w:rPr>
          <w:lang w:val="en-US"/>
        </w:rPr>
      </w:pPr>
    </w:p>
    <w:p w14:paraId="31EB3EA3" w14:textId="77777777" w:rsidR="003F3032" w:rsidRPr="00893919" w:rsidRDefault="003F3032" w:rsidP="003F3032">
      <w:pPr>
        <w:rPr>
          <w:lang w:val="en-US"/>
        </w:rPr>
      </w:pPr>
      <w:r w:rsidRPr="00893919">
        <w:rPr>
          <w:lang w:val="en-US"/>
        </w:rPr>
        <w:t>[Post-115-RRC] – Sorour (Ericsson)</w:t>
      </w:r>
    </w:p>
    <w:p w14:paraId="4B4AD6CB" w14:textId="57A00BA3" w:rsidR="003F3032" w:rsidRPr="00893919" w:rsidRDefault="003F3032" w:rsidP="003F3032">
      <w:pPr>
        <w:rPr>
          <w:lang w:val="en-US"/>
        </w:rPr>
      </w:pPr>
      <w:r w:rsidRPr="00893919">
        <w:rPr>
          <w:lang w:val="en-US"/>
        </w:rPr>
        <w:t>Email discussion to revise Rel-18 higher layers parameter list and endorse LS to RAN2 by Nov 28</w:t>
      </w:r>
    </w:p>
    <w:p w14:paraId="7C7C3CB3" w14:textId="77777777" w:rsidR="003F3032" w:rsidRDefault="003F3032" w:rsidP="003F3032">
      <w:pPr>
        <w:rPr>
          <w:lang w:val="en-US"/>
        </w:rPr>
      </w:pPr>
      <w:r w:rsidRPr="00893919">
        <w:rPr>
          <w:lang w:val="en-US"/>
        </w:rPr>
        <w:t>For RRC signaling on NES, the value ranges on Row#2-Row#9 were not captured correctly.</w:t>
      </w:r>
    </w:p>
    <w:p w14:paraId="55A00495" w14:textId="5A944289" w:rsidR="00091505" w:rsidRPr="00091505" w:rsidRDefault="005A18DC" w:rsidP="00091505">
      <w:pPr>
        <w:rPr>
          <w:b/>
          <w:bCs/>
          <w:lang w:val="en-US"/>
        </w:rPr>
      </w:pPr>
      <w:hyperlink r:id="rId2932" w:history="1">
        <w:r w:rsidR="00AF7253">
          <w:rPr>
            <w:rStyle w:val="Hyperlink"/>
            <w:b/>
            <w:bCs/>
            <w:lang w:val="en-US"/>
          </w:rPr>
          <w:t>R1-2312716</w:t>
        </w:r>
      </w:hyperlink>
      <w:r w:rsidR="00091505" w:rsidRPr="00091505">
        <w:rPr>
          <w:b/>
          <w:bCs/>
          <w:lang w:val="en-US"/>
        </w:rPr>
        <w:tab/>
        <w:t>Email discussion summary on LS for Rel-18 higher layer parameters</w:t>
      </w:r>
      <w:r w:rsidR="00091505" w:rsidRPr="00091505">
        <w:rPr>
          <w:b/>
          <w:bCs/>
          <w:lang w:val="en-US"/>
        </w:rPr>
        <w:tab/>
        <w:t>Moderator (Ericsson)</w:t>
      </w:r>
    </w:p>
    <w:p w14:paraId="5504956F" w14:textId="2FF3E612" w:rsidR="00920D0A" w:rsidRPr="00893919" w:rsidRDefault="005A18DC" w:rsidP="00920D0A">
      <w:pPr>
        <w:rPr>
          <w:b/>
          <w:bCs/>
          <w:lang w:val="en-US"/>
        </w:rPr>
      </w:pPr>
      <w:hyperlink r:id="rId2933" w:history="1">
        <w:r w:rsidR="00AF7253">
          <w:rPr>
            <w:rStyle w:val="Hyperlink"/>
            <w:b/>
            <w:bCs/>
            <w:lang w:val="en-US"/>
          </w:rPr>
          <w:t>R1-2312708</w:t>
        </w:r>
      </w:hyperlink>
      <w:r w:rsidR="00920D0A" w:rsidRPr="00893919">
        <w:rPr>
          <w:b/>
          <w:bCs/>
          <w:lang w:val="en-US"/>
        </w:rPr>
        <w:tab/>
        <w:t>Corrected consolidated Rel-18 higher layers parameter list</w:t>
      </w:r>
      <w:r w:rsidR="00920D0A" w:rsidRPr="00893919">
        <w:rPr>
          <w:b/>
          <w:bCs/>
          <w:lang w:val="en-US"/>
        </w:rPr>
        <w:tab/>
        <w:t>Moderator (Ericsson)</w:t>
      </w:r>
    </w:p>
    <w:p w14:paraId="2E1AEB4D" w14:textId="530BC742" w:rsidR="00893919" w:rsidRDefault="00893919" w:rsidP="00920D0A">
      <w:pPr>
        <w:rPr>
          <w:lang w:val="en-US"/>
        </w:rPr>
      </w:pPr>
      <w:r w:rsidRPr="00893919">
        <w:rPr>
          <w:b/>
          <w:bCs/>
          <w:lang w:val="en-US"/>
        </w:rPr>
        <w:t>Decision:</w:t>
      </w:r>
      <w:r>
        <w:rPr>
          <w:lang w:val="en-US"/>
        </w:rPr>
        <w:t xml:space="preserve"> As per email decision posted on Nov 29</w:t>
      </w:r>
      <w:r w:rsidRPr="00893919">
        <w:rPr>
          <w:vertAlign w:val="superscript"/>
          <w:lang w:val="en-US"/>
        </w:rPr>
        <w:t>th</w:t>
      </w:r>
      <w:r>
        <w:rPr>
          <w:lang w:val="en-US"/>
        </w:rPr>
        <w:t>, t</w:t>
      </w:r>
      <w:r w:rsidRPr="00893919">
        <w:rPr>
          <w:lang w:val="en-US"/>
        </w:rPr>
        <w:t>he latest version on RRC parameters (</w:t>
      </w:r>
      <w:r>
        <w:rPr>
          <w:lang w:val="en-US"/>
        </w:rPr>
        <w:t xml:space="preserve">in </w:t>
      </w:r>
      <w:hyperlink r:id="rId2934" w:history="1">
        <w:r w:rsidR="00AF7253">
          <w:rPr>
            <w:rStyle w:val="Hyperlink"/>
            <w:lang w:val="en-US"/>
          </w:rPr>
          <w:t>R1-2312708</w:t>
        </w:r>
      </w:hyperlink>
      <w:r w:rsidRPr="00893919">
        <w:rPr>
          <w:lang w:val="en-US"/>
        </w:rPr>
        <w:t>)</w:t>
      </w:r>
      <w:r>
        <w:rPr>
          <w:lang w:val="en-US"/>
        </w:rPr>
        <w:t xml:space="preserve"> is endorsed.</w:t>
      </w:r>
    </w:p>
    <w:p w14:paraId="2B24550C" w14:textId="7C038B61" w:rsidR="00893919" w:rsidRPr="00920D0A" w:rsidRDefault="00893919" w:rsidP="00920D0A">
      <w:pPr>
        <w:rPr>
          <w:lang w:val="en-US"/>
        </w:rPr>
      </w:pPr>
      <w:r>
        <w:rPr>
          <w:rFonts w:ascii="Times New Roman" w:eastAsia="Times New Roman" w:hAnsi="Times New Roman"/>
          <w:szCs w:val="20"/>
          <w:lang w:val="en-US"/>
        </w:rPr>
        <w:t xml:space="preserve">The corresponding draft LS with attachment </w:t>
      </w:r>
      <w:hyperlink r:id="rId2935" w:history="1">
        <w:r w:rsidR="00AF7253">
          <w:rPr>
            <w:rStyle w:val="Hyperlink"/>
            <w:rFonts w:ascii="Times New Roman" w:eastAsia="Times New Roman" w:hAnsi="Times New Roman"/>
            <w:szCs w:val="20"/>
            <w:lang w:val="en-US"/>
          </w:rPr>
          <w:t>R1-2312708</w:t>
        </w:r>
      </w:hyperlink>
      <w:r>
        <w:rPr>
          <w:rFonts w:ascii="Times New Roman" w:eastAsia="Times New Roman" w:hAnsi="Times New Roman"/>
          <w:szCs w:val="20"/>
          <w:lang w:val="en-US"/>
        </w:rPr>
        <w:t xml:space="preserve"> is</w:t>
      </w:r>
    </w:p>
    <w:p w14:paraId="2BE5996B" w14:textId="0BF20DEF" w:rsidR="00920D0A" w:rsidRDefault="005A18DC" w:rsidP="00920D0A">
      <w:pPr>
        <w:rPr>
          <w:b/>
          <w:bCs/>
          <w:lang w:val="en-US"/>
        </w:rPr>
      </w:pPr>
      <w:hyperlink r:id="rId2936" w:history="1">
        <w:r w:rsidR="00AF7253">
          <w:rPr>
            <w:rStyle w:val="Hyperlink"/>
            <w:b/>
            <w:bCs/>
            <w:lang w:val="en-US"/>
          </w:rPr>
          <w:t>R1-2312709</w:t>
        </w:r>
      </w:hyperlink>
      <w:r w:rsidR="00920D0A" w:rsidRPr="00893919">
        <w:rPr>
          <w:b/>
          <w:bCs/>
          <w:lang w:val="en-US"/>
        </w:rPr>
        <w:tab/>
        <w:t>DRAFT LS on updates of the Rel-18 higher-layers parameter list</w:t>
      </w:r>
      <w:r w:rsidR="00920D0A" w:rsidRPr="00893919">
        <w:rPr>
          <w:b/>
          <w:bCs/>
          <w:lang w:val="en-US"/>
        </w:rPr>
        <w:tab/>
        <w:t>Moderator (Ericsson)</w:t>
      </w:r>
    </w:p>
    <w:p w14:paraId="223B6C66" w14:textId="10712C12" w:rsidR="00920D0A" w:rsidRDefault="00893919" w:rsidP="00920D0A">
      <w:pPr>
        <w:rPr>
          <w:lang w:val="en-US"/>
        </w:rPr>
      </w:pPr>
      <w:r w:rsidRPr="00893919">
        <w:rPr>
          <w:b/>
          <w:bCs/>
          <w:lang w:val="en-US"/>
        </w:rPr>
        <w:t>Decision:</w:t>
      </w:r>
      <w:r>
        <w:rPr>
          <w:lang w:val="en-US"/>
        </w:rPr>
        <w:t xml:space="preserve"> As per email decision posted on Nov 29</w:t>
      </w:r>
      <w:r w:rsidRPr="00893919">
        <w:rPr>
          <w:vertAlign w:val="superscript"/>
          <w:lang w:val="en-US"/>
        </w:rPr>
        <w:t>th</w:t>
      </w:r>
      <w:r>
        <w:rPr>
          <w:lang w:val="en-US"/>
        </w:rPr>
        <w:t>, t</w:t>
      </w:r>
      <w:r w:rsidRPr="00893919">
        <w:rPr>
          <w:lang w:val="en-US"/>
        </w:rPr>
        <w:t xml:space="preserve">he </w:t>
      </w:r>
      <w:r>
        <w:rPr>
          <w:lang w:val="en-US"/>
        </w:rPr>
        <w:t xml:space="preserve">draft LS is endorsed. Final version is </w:t>
      </w:r>
      <w:r w:rsidRPr="00893919">
        <w:rPr>
          <w:highlight w:val="green"/>
          <w:lang w:val="en-US"/>
        </w:rPr>
        <w:t xml:space="preserve">approved in </w:t>
      </w:r>
      <w:hyperlink r:id="rId2937" w:history="1">
        <w:r w:rsidR="00AF7253">
          <w:rPr>
            <w:rStyle w:val="Hyperlink"/>
            <w:highlight w:val="green"/>
            <w:lang w:val="en-US"/>
          </w:rPr>
          <w:t>R1-2312710</w:t>
        </w:r>
      </w:hyperlink>
      <w:r>
        <w:rPr>
          <w:lang w:val="en-US"/>
        </w:rPr>
        <w:t>.</w:t>
      </w:r>
    </w:p>
    <w:p w14:paraId="50CBC532" w14:textId="77777777" w:rsidR="00DA4294" w:rsidRDefault="00DA4294" w:rsidP="00703994">
      <w:pPr>
        <w:rPr>
          <w:rFonts w:ascii="Times New Roman" w:hAnsi="Times New Roman"/>
        </w:rPr>
      </w:pPr>
    </w:p>
    <w:p w14:paraId="1569077D" w14:textId="0AE0695B" w:rsidR="00091505" w:rsidRDefault="00091505" w:rsidP="00703994">
      <w:pPr>
        <w:rPr>
          <w:rFonts w:ascii="Times New Roman" w:hAnsi="Times New Roman"/>
        </w:rPr>
      </w:pPr>
      <w:r>
        <w:rPr>
          <w:rFonts w:ascii="Times New Roman" w:hAnsi="Times New Roman"/>
        </w:rPr>
        <w:t>For information and RAN1 internal use:</w:t>
      </w:r>
    </w:p>
    <w:p w14:paraId="306F7D33" w14:textId="3319E927" w:rsidR="00091505" w:rsidRPr="00091505" w:rsidRDefault="005A18DC" w:rsidP="00091505">
      <w:pPr>
        <w:rPr>
          <w:lang w:val="en-US"/>
        </w:rPr>
      </w:pPr>
      <w:hyperlink r:id="rId2938" w:history="1">
        <w:r w:rsidR="00AF7253">
          <w:rPr>
            <w:rStyle w:val="Hyperlink"/>
            <w:lang w:val="en-US"/>
          </w:rPr>
          <w:t>R1-2312715</w:t>
        </w:r>
      </w:hyperlink>
      <w:r w:rsidR="00091505" w:rsidRPr="00091505">
        <w:rPr>
          <w:lang w:val="en-US"/>
        </w:rPr>
        <w:tab/>
        <w:t>Collection of updated Rel-18 higher layers parameter list</w:t>
      </w:r>
      <w:r w:rsidR="00091505" w:rsidRPr="00091505">
        <w:rPr>
          <w:lang w:val="en-US"/>
        </w:rPr>
        <w:tab/>
        <w:t>Moderator (Ericsson)</w:t>
      </w:r>
    </w:p>
    <w:p w14:paraId="6D27F1AD" w14:textId="77777777" w:rsidR="00091505" w:rsidRPr="00091505" w:rsidRDefault="00091505" w:rsidP="00703994">
      <w:pPr>
        <w:rPr>
          <w:rFonts w:ascii="Times New Roman" w:hAnsi="Times New Roman"/>
          <w:lang w:val="en-US"/>
        </w:rPr>
      </w:pPr>
    </w:p>
    <w:p w14:paraId="5B6C8FCD" w14:textId="77777777" w:rsidR="00DD6A22" w:rsidRPr="009537ED" w:rsidRDefault="00DD6A22" w:rsidP="00DD6A22">
      <w:pPr>
        <w:numPr>
          <w:ilvl w:val="0"/>
          <w:numId w:val="9"/>
        </w:numPr>
        <w:rPr>
          <w:rFonts w:ascii="Times New Roman" w:hAnsi="Times New Roman"/>
          <w:b/>
          <w:szCs w:val="20"/>
        </w:rPr>
      </w:pPr>
      <w:r w:rsidRPr="009537ED">
        <w:rPr>
          <w:rFonts w:ascii="Times New Roman" w:hAnsi="Times New Roman"/>
          <w:b/>
          <w:szCs w:val="20"/>
        </w:rPr>
        <w:t>CR approval</w:t>
      </w:r>
    </w:p>
    <w:p w14:paraId="16AA5507" w14:textId="77777777" w:rsidR="00EC6E5E" w:rsidRDefault="00EC6E5E" w:rsidP="00EC6E5E"/>
    <w:p w14:paraId="777E8A8B" w14:textId="232D29D3" w:rsidR="00EC6E5E" w:rsidRPr="00EC6E5E" w:rsidRDefault="00EC6E5E" w:rsidP="00EC6E5E">
      <w:r w:rsidRPr="00EC6E5E">
        <w:t>Rel-17 alignment draft CRs</w:t>
      </w:r>
    </w:p>
    <w:p w14:paraId="3963682C" w14:textId="77777777" w:rsidR="004B3056" w:rsidRPr="00AF7253" w:rsidRDefault="005A18DC" w:rsidP="004B3056">
      <w:pPr>
        <w:rPr>
          <w:b/>
          <w:bCs/>
        </w:rPr>
      </w:pPr>
      <w:hyperlink r:id="rId2939" w:history="1">
        <w:r w:rsidR="004B3056">
          <w:rPr>
            <w:rStyle w:val="Hyperlink"/>
            <w:b/>
            <w:bCs/>
            <w:highlight w:val="green"/>
          </w:rPr>
          <w:t>R1-2312717</w:t>
        </w:r>
      </w:hyperlink>
      <w:r w:rsidR="004B3056" w:rsidRPr="00AF7253">
        <w:rPr>
          <w:b/>
          <w:bCs/>
        </w:rPr>
        <w:tab/>
        <w:t>Rel-17 editorial corrections for TS 38.212</w:t>
      </w:r>
      <w:r w:rsidR="004B3056" w:rsidRPr="00AF7253">
        <w:rPr>
          <w:b/>
          <w:bCs/>
        </w:rPr>
        <w:tab/>
        <w:t>Huawei</w:t>
      </w:r>
    </w:p>
    <w:p w14:paraId="35A028BE" w14:textId="77777777" w:rsidR="004B3056" w:rsidRPr="00AF7253" w:rsidRDefault="005A18DC" w:rsidP="004B3056">
      <w:pPr>
        <w:rPr>
          <w:b/>
          <w:bCs/>
        </w:rPr>
      </w:pPr>
      <w:hyperlink r:id="rId2940" w:history="1">
        <w:r w:rsidR="004B3056">
          <w:rPr>
            <w:rStyle w:val="Hyperlink"/>
            <w:b/>
            <w:bCs/>
            <w:highlight w:val="green"/>
          </w:rPr>
          <w:t>R1-2312720</w:t>
        </w:r>
      </w:hyperlink>
      <w:r w:rsidR="004B3056" w:rsidRPr="00AF7253">
        <w:rPr>
          <w:b/>
          <w:bCs/>
        </w:rPr>
        <w:tab/>
        <w:t>Rel-17 editorial corrections for TS 38.212 (mirrored to Rel-18)</w:t>
      </w:r>
      <w:r w:rsidR="004B3056" w:rsidRPr="00AF7253">
        <w:rPr>
          <w:b/>
          <w:bCs/>
        </w:rPr>
        <w:tab/>
        <w:t>Huawei</w:t>
      </w:r>
    </w:p>
    <w:p w14:paraId="68B439F3" w14:textId="7913F7F4" w:rsidR="00EC6E5E" w:rsidRPr="00EC6E5E" w:rsidRDefault="004B3056" w:rsidP="00EC6E5E">
      <w:pPr>
        <w:rPr>
          <w:rFonts w:ascii="Times New Roman" w:hAnsi="Times New Roman"/>
        </w:rPr>
      </w:pPr>
      <w:r w:rsidRPr="00EC6E5E">
        <w:rPr>
          <w:rFonts w:ascii="Times New Roman" w:hAnsi="Times New Roman"/>
          <w:b/>
          <w:bCs/>
        </w:rPr>
        <w:t>Decision:</w:t>
      </w:r>
      <w:r w:rsidRPr="00EC6E5E">
        <w:rPr>
          <w:rFonts w:ascii="Times New Roman" w:hAnsi="Times New Roman"/>
        </w:rPr>
        <w:t xml:space="preserve"> </w:t>
      </w:r>
      <w:r>
        <w:rPr>
          <w:rFonts w:ascii="Times New Roman" w:hAnsi="Times New Roman"/>
        </w:rPr>
        <w:t xml:space="preserve">No update in RAN1#115 further to </w:t>
      </w:r>
      <w:r w:rsidRPr="00594FDC">
        <w:rPr>
          <w:rFonts w:ascii="Times New Roman" w:hAnsi="Times New Roman"/>
        </w:rPr>
        <w:t xml:space="preserve">email decision posted on </w:t>
      </w:r>
      <w:r w:rsidRPr="00EC6E5E">
        <w:rPr>
          <w:rFonts w:ascii="Times New Roman" w:hAnsi="Times New Roman"/>
        </w:rPr>
        <w:t>Oct 20th [Post-114bis-AlignmentCR-Rel17-38.212]</w:t>
      </w:r>
      <w:r>
        <w:rPr>
          <w:rFonts w:ascii="Times New Roman" w:hAnsi="Times New Roman"/>
        </w:rPr>
        <w:t>,</w:t>
      </w:r>
      <w:r w:rsidRPr="00EC6E5E">
        <w:rPr>
          <w:rFonts w:ascii="Times New Roman" w:hAnsi="Times New Roman"/>
        </w:rPr>
        <w:t xml:space="preserve"> </w:t>
      </w:r>
      <w:r w:rsidR="00EC6E5E" w:rsidRPr="00EC6E5E">
        <w:rPr>
          <w:rFonts w:ascii="Times New Roman" w:hAnsi="Times New Roman"/>
        </w:rPr>
        <w:t xml:space="preserve">both CRs to 38.212 are </w:t>
      </w:r>
      <w:r>
        <w:rPr>
          <w:rFonts w:ascii="Times New Roman" w:hAnsi="Times New Roman"/>
        </w:rPr>
        <w:t>agreed</w:t>
      </w:r>
      <w:r w:rsidR="00EC6E5E" w:rsidRPr="00EC6E5E">
        <w:rPr>
          <w:rFonts w:ascii="Times New Roman" w:hAnsi="Times New Roman"/>
        </w:rPr>
        <w:t>.</w:t>
      </w:r>
    </w:p>
    <w:p w14:paraId="0B3A5612" w14:textId="77777777" w:rsidR="0056598C" w:rsidRPr="00AF7253" w:rsidRDefault="005A18DC" w:rsidP="0056598C">
      <w:pPr>
        <w:rPr>
          <w:b/>
          <w:bCs/>
        </w:rPr>
      </w:pPr>
      <w:hyperlink r:id="rId2941" w:history="1">
        <w:r w:rsidR="0056598C">
          <w:rPr>
            <w:rStyle w:val="Hyperlink"/>
            <w:b/>
            <w:bCs/>
            <w:highlight w:val="green"/>
          </w:rPr>
          <w:t>R1-2312718</w:t>
        </w:r>
      </w:hyperlink>
      <w:r w:rsidR="0056598C" w:rsidRPr="00AF7253">
        <w:rPr>
          <w:b/>
          <w:bCs/>
        </w:rPr>
        <w:tab/>
        <w:t>Rel-17 editorial corrections for TS 38.213</w:t>
      </w:r>
      <w:r w:rsidR="0056598C" w:rsidRPr="00AF7253">
        <w:rPr>
          <w:b/>
          <w:bCs/>
        </w:rPr>
        <w:tab/>
        <w:t>Samsung</w:t>
      </w:r>
    </w:p>
    <w:p w14:paraId="2CEA4E9D" w14:textId="77777777" w:rsidR="0056598C" w:rsidRPr="00AF7253" w:rsidRDefault="005A18DC" w:rsidP="0056598C">
      <w:pPr>
        <w:rPr>
          <w:b/>
          <w:bCs/>
        </w:rPr>
      </w:pPr>
      <w:hyperlink r:id="rId2942" w:history="1">
        <w:r w:rsidR="0056598C">
          <w:rPr>
            <w:rStyle w:val="Hyperlink"/>
            <w:b/>
            <w:bCs/>
            <w:highlight w:val="green"/>
          </w:rPr>
          <w:t>R1-2312721</w:t>
        </w:r>
      </w:hyperlink>
      <w:r w:rsidR="0056598C" w:rsidRPr="00AF7253">
        <w:rPr>
          <w:b/>
          <w:bCs/>
        </w:rPr>
        <w:tab/>
        <w:t>Rel-17 editorial corrections for TS 38.213 (mirrored to Rel-18)</w:t>
      </w:r>
      <w:r w:rsidR="0056598C" w:rsidRPr="00AF7253">
        <w:rPr>
          <w:b/>
          <w:bCs/>
        </w:rPr>
        <w:tab/>
        <w:t>Samsung</w:t>
      </w:r>
    </w:p>
    <w:p w14:paraId="161CA16B" w14:textId="6DFEA1E5" w:rsidR="00EC6E5E" w:rsidRDefault="00EC6E5E" w:rsidP="00EC6E5E">
      <w:pPr>
        <w:rPr>
          <w:rFonts w:ascii="Times New Roman" w:hAnsi="Times New Roman"/>
        </w:rPr>
      </w:pPr>
      <w:r w:rsidRPr="00EC6E5E">
        <w:rPr>
          <w:rFonts w:ascii="Times New Roman" w:hAnsi="Times New Roman"/>
          <w:b/>
          <w:bCs/>
        </w:rPr>
        <w:t>Decision:</w:t>
      </w:r>
      <w:r w:rsidRPr="00EC6E5E">
        <w:rPr>
          <w:rFonts w:ascii="Times New Roman" w:hAnsi="Times New Roman"/>
        </w:rPr>
        <w:t xml:space="preserve"> As per email decision posted on </w:t>
      </w:r>
      <w:r w:rsidR="0056598C">
        <w:rPr>
          <w:rFonts w:ascii="Times New Roman" w:hAnsi="Times New Roman"/>
        </w:rPr>
        <w:t>Nov 30</w:t>
      </w:r>
      <w:r w:rsidRPr="00EC6E5E">
        <w:rPr>
          <w:rFonts w:ascii="Times New Roman" w:hAnsi="Times New Roman"/>
        </w:rPr>
        <w:t xml:space="preserve">th </w:t>
      </w:r>
      <w:r w:rsidR="0056598C" w:rsidRPr="0056598C">
        <w:rPr>
          <w:rFonts w:ascii="Times New Roman" w:hAnsi="Times New Roman"/>
        </w:rPr>
        <w:t>[Post-115-38.213-AlignmentCR-Rel17/Rel18]</w:t>
      </w:r>
      <w:r w:rsidRPr="00EC6E5E">
        <w:rPr>
          <w:rFonts w:ascii="Times New Roman" w:hAnsi="Times New Roman"/>
        </w:rPr>
        <w:t xml:space="preserve">, both CRs to 38.213 are </w:t>
      </w:r>
      <w:r w:rsidR="00A9133F">
        <w:rPr>
          <w:rFonts w:ascii="Times New Roman" w:hAnsi="Times New Roman"/>
        </w:rPr>
        <w:t>agreed</w:t>
      </w:r>
      <w:r w:rsidRPr="00EC6E5E">
        <w:rPr>
          <w:rFonts w:ascii="Times New Roman" w:hAnsi="Times New Roman"/>
        </w:rPr>
        <w:t>.</w:t>
      </w:r>
    </w:p>
    <w:p w14:paraId="52CCDB70" w14:textId="59BB201F" w:rsidR="00A9133F" w:rsidRDefault="00A9133F" w:rsidP="00A9133F">
      <w:r>
        <w:t xml:space="preserve">Apple’s comment: Apple </w:t>
      </w:r>
      <w:r w:rsidRPr="0056598C">
        <w:t>agree</w:t>
      </w:r>
      <w:r>
        <w:t>s</w:t>
      </w:r>
      <w:r w:rsidRPr="0056598C">
        <w:t xml:space="preserve"> with </w:t>
      </w:r>
      <w:r>
        <w:t xml:space="preserve">spec editor </w:t>
      </w:r>
      <w:r w:rsidRPr="0056598C">
        <w:t xml:space="preserve">that </w:t>
      </w:r>
      <w:r>
        <w:t xml:space="preserve">Clause 9 </w:t>
      </w:r>
      <w:r w:rsidRPr="0056598C">
        <w:t xml:space="preserve">change (excluding TBoMS) </w:t>
      </w:r>
      <w:r>
        <w:t>is a</w:t>
      </w:r>
      <w:r w:rsidRPr="0056598C">
        <w:t xml:space="preserve"> functional</w:t>
      </w:r>
      <w:r>
        <w:t xml:space="preserve"> change</w:t>
      </w:r>
      <w:r w:rsidRPr="0056598C">
        <w:t xml:space="preserve">. For the sake of progress, </w:t>
      </w:r>
      <w:r>
        <w:t xml:space="preserve">Apple agrees </w:t>
      </w:r>
      <w:r w:rsidRPr="0056598C">
        <w:t xml:space="preserve">with the whole CR including </w:t>
      </w:r>
      <w:r>
        <w:t>Clause</w:t>
      </w:r>
      <w:r w:rsidRPr="0056598C">
        <w:t xml:space="preserve"> 9</w:t>
      </w:r>
      <w:r>
        <w:t xml:space="preserve"> and s</w:t>
      </w:r>
      <w:r w:rsidRPr="0056598C">
        <w:t xml:space="preserve">ome further offline discussions to see if we need to exclude TBoMS </w:t>
      </w:r>
      <w:r>
        <w:t xml:space="preserve">may occur </w:t>
      </w:r>
      <w:r w:rsidRPr="0056598C">
        <w:t>in RAN1#116.</w:t>
      </w:r>
    </w:p>
    <w:p w14:paraId="15E4E3CF" w14:textId="77777777" w:rsidR="0056598C" w:rsidRPr="00EC6E5E" w:rsidRDefault="0056598C" w:rsidP="00EC6E5E">
      <w:pPr>
        <w:rPr>
          <w:rFonts w:ascii="Times New Roman" w:hAnsi="Times New Roman"/>
        </w:rPr>
      </w:pPr>
    </w:p>
    <w:p w14:paraId="0CD822B7" w14:textId="77777777" w:rsidR="004B3056" w:rsidRPr="00AF7253" w:rsidRDefault="005A18DC" w:rsidP="004B3056">
      <w:pPr>
        <w:rPr>
          <w:b/>
          <w:bCs/>
        </w:rPr>
      </w:pPr>
      <w:hyperlink r:id="rId2943" w:history="1">
        <w:r w:rsidR="004B3056">
          <w:rPr>
            <w:rStyle w:val="Hyperlink"/>
            <w:b/>
            <w:bCs/>
            <w:highlight w:val="green"/>
          </w:rPr>
          <w:t>R1-2312719</w:t>
        </w:r>
      </w:hyperlink>
      <w:r w:rsidR="004B3056" w:rsidRPr="00AF7253">
        <w:rPr>
          <w:b/>
          <w:bCs/>
        </w:rPr>
        <w:tab/>
        <w:t>Rel-17 editorial corrections for TS 38.214</w:t>
      </w:r>
      <w:r w:rsidR="004B3056" w:rsidRPr="00AF7253">
        <w:rPr>
          <w:b/>
          <w:bCs/>
        </w:rPr>
        <w:tab/>
        <w:t>Nokia</w:t>
      </w:r>
    </w:p>
    <w:p w14:paraId="36CF1EAD" w14:textId="77777777" w:rsidR="004B3056" w:rsidRPr="00AF7253" w:rsidRDefault="005A18DC" w:rsidP="004B3056">
      <w:pPr>
        <w:rPr>
          <w:b/>
          <w:bCs/>
        </w:rPr>
      </w:pPr>
      <w:hyperlink r:id="rId2944" w:history="1">
        <w:r w:rsidR="004B3056">
          <w:rPr>
            <w:rStyle w:val="Hyperlink"/>
            <w:b/>
            <w:bCs/>
            <w:highlight w:val="green"/>
          </w:rPr>
          <w:t>R1-2312722</w:t>
        </w:r>
      </w:hyperlink>
      <w:r w:rsidR="004B3056" w:rsidRPr="00AF7253">
        <w:rPr>
          <w:b/>
          <w:bCs/>
        </w:rPr>
        <w:tab/>
        <w:t>Rel-17 editorial corrections for TS 38.214 (mirrored to Rel-18)</w:t>
      </w:r>
      <w:r w:rsidR="004B3056" w:rsidRPr="00AF7253">
        <w:rPr>
          <w:b/>
          <w:bCs/>
        </w:rPr>
        <w:tab/>
        <w:t>Nokia</w:t>
      </w:r>
    </w:p>
    <w:p w14:paraId="0B99C24E" w14:textId="49C5AC97" w:rsidR="004B3056" w:rsidRDefault="004B3056" w:rsidP="004B3056">
      <w:pPr>
        <w:rPr>
          <w:rFonts w:ascii="Times New Roman" w:hAnsi="Times New Roman"/>
        </w:rPr>
      </w:pPr>
      <w:r w:rsidRPr="00EC6E5E">
        <w:rPr>
          <w:rFonts w:ascii="Times New Roman" w:hAnsi="Times New Roman"/>
          <w:b/>
          <w:bCs/>
        </w:rPr>
        <w:t>Decision:</w:t>
      </w:r>
      <w:r w:rsidRPr="00EC6E5E">
        <w:rPr>
          <w:rFonts w:ascii="Times New Roman" w:hAnsi="Times New Roman"/>
        </w:rPr>
        <w:t xml:space="preserve"> As per email decision posted on </w:t>
      </w:r>
      <w:r>
        <w:rPr>
          <w:rFonts w:ascii="Times New Roman" w:hAnsi="Times New Roman"/>
        </w:rPr>
        <w:t>Nov 30</w:t>
      </w:r>
      <w:r w:rsidRPr="00EC6E5E">
        <w:rPr>
          <w:rFonts w:ascii="Times New Roman" w:hAnsi="Times New Roman"/>
        </w:rPr>
        <w:t xml:space="preserve">th </w:t>
      </w:r>
      <w:r w:rsidRPr="004B3056">
        <w:rPr>
          <w:rFonts w:ascii="Times New Roman" w:hAnsi="Times New Roman"/>
        </w:rPr>
        <w:t>[Post-115-38.214-AlignmentCR-Rel17/Rel18]</w:t>
      </w:r>
      <w:r w:rsidRPr="00EC6E5E">
        <w:rPr>
          <w:rFonts w:ascii="Times New Roman" w:hAnsi="Times New Roman"/>
        </w:rPr>
        <w:t>, both CRs to 38.21</w:t>
      </w:r>
      <w:r>
        <w:rPr>
          <w:rFonts w:ascii="Times New Roman" w:hAnsi="Times New Roman"/>
        </w:rPr>
        <w:t>4</w:t>
      </w:r>
      <w:r w:rsidRPr="00EC6E5E">
        <w:rPr>
          <w:rFonts w:ascii="Times New Roman" w:hAnsi="Times New Roman"/>
        </w:rPr>
        <w:t xml:space="preserve"> are </w:t>
      </w:r>
      <w:r>
        <w:rPr>
          <w:rFonts w:ascii="Times New Roman" w:hAnsi="Times New Roman"/>
        </w:rPr>
        <w:t>agreed</w:t>
      </w:r>
      <w:r w:rsidRPr="00EC6E5E">
        <w:rPr>
          <w:rFonts w:ascii="Times New Roman" w:hAnsi="Times New Roman"/>
        </w:rPr>
        <w:t>.</w:t>
      </w:r>
    </w:p>
    <w:p w14:paraId="7A6F83CD" w14:textId="77777777" w:rsidR="00AF7253" w:rsidRPr="00EC6E5E" w:rsidRDefault="00AF7253" w:rsidP="00AF7253"/>
    <w:p w14:paraId="38AF8EE1" w14:textId="77777777" w:rsidR="00EC6E5E" w:rsidRPr="00EC6E5E" w:rsidRDefault="00EC6E5E" w:rsidP="00EC6E5E">
      <w:r w:rsidRPr="00EC6E5E">
        <w:t>=====================================================</w:t>
      </w:r>
    </w:p>
    <w:p w14:paraId="1F8CAB10" w14:textId="77777777" w:rsidR="00EC6E5E" w:rsidRPr="00EC6E5E" w:rsidRDefault="00EC6E5E" w:rsidP="00EC6E5E">
      <w:pPr>
        <w:rPr>
          <w:rFonts w:ascii="Times New Roman" w:hAnsi="Times New Roman"/>
          <w:szCs w:val="20"/>
          <w:lang w:val="en-US" w:eastAsia="x-none"/>
        </w:rPr>
      </w:pPr>
      <w:r w:rsidRPr="00EC6E5E">
        <w:rPr>
          <w:rFonts w:ascii="Times New Roman" w:hAnsi="Times New Roman"/>
          <w:szCs w:val="20"/>
          <w:lang w:val="en-US" w:eastAsia="x-none"/>
        </w:rPr>
        <w:t>[Post-115-AAA-BBB] – Editors</w:t>
      </w:r>
    </w:p>
    <w:p w14:paraId="728B3D28" w14:textId="77777777" w:rsidR="00EC6E5E" w:rsidRPr="00EC6E5E" w:rsidRDefault="00EC6E5E" w:rsidP="00EC6E5E">
      <w:pPr>
        <w:rPr>
          <w:rFonts w:ascii="Times New Roman" w:hAnsi="Times New Roman"/>
          <w:b/>
          <w:bCs/>
          <w:szCs w:val="20"/>
          <w:lang w:val="en-US" w:eastAsia="x-none"/>
        </w:rPr>
      </w:pPr>
      <w:r w:rsidRPr="00EC6E5E">
        <w:rPr>
          <w:rFonts w:ascii="Times New Roman" w:hAnsi="Times New Roman"/>
          <w:szCs w:val="20"/>
          <w:lang w:val="en-US" w:eastAsia="x-none"/>
        </w:rPr>
        <w:t>Email discussion on endorsement of updated Rel-18 RAN1 CRs from Nov 27 until Nov 30</w:t>
      </w:r>
    </w:p>
    <w:p w14:paraId="62B61826" w14:textId="77777777" w:rsidR="00EC6E5E" w:rsidRPr="00EC6E5E" w:rsidRDefault="00EC6E5E" w:rsidP="00EC6E5E">
      <w:pPr>
        <w:numPr>
          <w:ilvl w:val="0"/>
          <w:numId w:val="233"/>
        </w:numPr>
        <w:autoSpaceDN w:val="0"/>
        <w:rPr>
          <w:rFonts w:ascii="Times New Roman" w:hAnsi="Times New Roman"/>
          <w:szCs w:val="20"/>
          <w:lang w:val="en-US"/>
        </w:rPr>
      </w:pPr>
      <w:r w:rsidRPr="00EC6E5E">
        <w:rPr>
          <w:rFonts w:ascii="Times New Roman" w:hAnsi="Times New Roman"/>
          <w:szCs w:val="20"/>
          <w:lang w:val="en-US"/>
        </w:rPr>
        <w:t>Editors to prepare updated draft CRs by Nov 27 (Monday)</w:t>
      </w:r>
    </w:p>
    <w:p w14:paraId="7EC943F1" w14:textId="77777777" w:rsidR="00EC6E5E" w:rsidRPr="00EC6E5E" w:rsidRDefault="00EC6E5E" w:rsidP="00EC6E5E">
      <w:pPr>
        <w:numPr>
          <w:ilvl w:val="0"/>
          <w:numId w:val="233"/>
        </w:numPr>
        <w:autoSpaceDN w:val="0"/>
        <w:rPr>
          <w:rFonts w:ascii="Times New Roman" w:hAnsi="Times New Roman"/>
          <w:szCs w:val="20"/>
          <w:lang w:val="en-US" w:eastAsia="en-GB"/>
        </w:rPr>
      </w:pPr>
      <w:r w:rsidRPr="00EC6E5E">
        <w:rPr>
          <w:rFonts w:ascii="Times New Roman" w:hAnsi="Times New Roman"/>
          <w:szCs w:val="20"/>
          <w:lang w:val="en-US"/>
        </w:rPr>
        <w:t>Endorsements by Nov 30 (Thursday)</w:t>
      </w:r>
    </w:p>
    <w:p w14:paraId="0A406219" w14:textId="77777777" w:rsidR="00EC6E5E" w:rsidRPr="00EC6E5E" w:rsidRDefault="00EC6E5E" w:rsidP="00EC6E5E">
      <w:pPr>
        <w:numPr>
          <w:ilvl w:val="0"/>
          <w:numId w:val="233"/>
        </w:numPr>
        <w:autoSpaceDN w:val="0"/>
        <w:rPr>
          <w:rFonts w:ascii="Times New Roman" w:hAnsi="Times New Roman"/>
          <w:szCs w:val="20"/>
          <w:lang w:val="en-US"/>
        </w:rPr>
      </w:pPr>
      <w:r w:rsidRPr="00EC6E5E">
        <w:rPr>
          <w:rFonts w:ascii="Times New Roman" w:hAnsi="Times New Roman"/>
          <w:szCs w:val="20"/>
          <w:lang w:val="en-US"/>
        </w:rPr>
        <w:t>Replace AAA with specification number, replace BBB with WI code</w:t>
      </w:r>
    </w:p>
    <w:p w14:paraId="00E789E0" w14:textId="77777777" w:rsidR="00EC6E5E" w:rsidRPr="00EC6E5E" w:rsidRDefault="00EC6E5E" w:rsidP="00EC6E5E">
      <w:pPr>
        <w:rPr>
          <w:rFonts w:ascii="Times New Roman" w:hAnsi="Times New Roman"/>
          <w:lang w:val="en-US"/>
        </w:rPr>
      </w:pPr>
    </w:p>
    <w:p w14:paraId="4DA10820" w14:textId="77777777" w:rsidR="00EC6E5E" w:rsidRDefault="00EC6E5E" w:rsidP="00EC6E5E">
      <w:pPr>
        <w:rPr>
          <w:rFonts w:ascii="Times New Roman" w:hAnsi="Times New Roman"/>
        </w:rPr>
      </w:pPr>
      <w:r w:rsidRPr="00EC6E5E">
        <w:rPr>
          <w:rFonts w:ascii="Times New Roman" w:hAnsi="Times New Roman"/>
        </w:rPr>
        <w:t>// IoT_NTN_enh</w:t>
      </w:r>
    </w:p>
    <w:p w14:paraId="61ACD31C" w14:textId="6E511133" w:rsidR="00376BEA" w:rsidRPr="00376BEA" w:rsidRDefault="005A18DC" w:rsidP="00376BEA">
      <w:pPr>
        <w:rPr>
          <w:rFonts w:ascii="Times New Roman" w:hAnsi="Times New Roman"/>
          <w:b/>
          <w:bCs/>
        </w:rPr>
      </w:pPr>
      <w:hyperlink r:id="rId2945" w:history="1">
        <w:r w:rsidR="00AF7253">
          <w:rPr>
            <w:rStyle w:val="Hyperlink"/>
            <w:rFonts w:ascii="Times New Roman" w:hAnsi="Times New Roman"/>
            <w:b/>
            <w:bCs/>
          </w:rPr>
          <w:t>R1-2312818</w:t>
        </w:r>
      </w:hyperlink>
      <w:r w:rsidR="00376BEA" w:rsidRPr="00376BEA">
        <w:rPr>
          <w:rFonts w:ascii="Times New Roman" w:hAnsi="Times New Roman"/>
          <w:b/>
          <w:bCs/>
        </w:rPr>
        <w:tab/>
        <w:t>Summary of email discussions [Post-115-36.213-IoT_NTN_enh-Core]</w:t>
      </w:r>
      <w:r w:rsidR="00376BEA" w:rsidRPr="00376BEA">
        <w:rPr>
          <w:rFonts w:ascii="Times New Roman" w:hAnsi="Times New Roman"/>
          <w:b/>
          <w:bCs/>
        </w:rPr>
        <w:tab/>
        <w:t>Moderator (Motorola Mobility)</w:t>
      </w:r>
    </w:p>
    <w:p w14:paraId="7F8AC880" w14:textId="4D07B1F2" w:rsidR="00376BEA" w:rsidRPr="00376BEA" w:rsidRDefault="005A18DC" w:rsidP="00376BEA">
      <w:pPr>
        <w:rPr>
          <w:rFonts w:ascii="Times New Roman" w:hAnsi="Times New Roman"/>
          <w:b/>
          <w:bCs/>
        </w:rPr>
      </w:pPr>
      <w:hyperlink r:id="rId2946" w:history="1">
        <w:r w:rsidR="00AF7253">
          <w:rPr>
            <w:rStyle w:val="Hyperlink"/>
            <w:rFonts w:ascii="Times New Roman" w:hAnsi="Times New Roman"/>
            <w:b/>
            <w:bCs/>
            <w:highlight w:val="green"/>
          </w:rPr>
          <w:t>R1-2312762</w:t>
        </w:r>
      </w:hyperlink>
      <w:r w:rsidR="00376BEA" w:rsidRPr="00376BEA">
        <w:rPr>
          <w:rFonts w:ascii="Times New Roman" w:hAnsi="Times New Roman"/>
          <w:b/>
          <w:bCs/>
        </w:rPr>
        <w:tab/>
        <w:t>Corrections to IoT (Internet of Things) NTN (non-terrestrial network) enhancements</w:t>
      </w:r>
      <w:r w:rsidR="00376BEA" w:rsidRPr="00376BEA">
        <w:rPr>
          <w:rFonts w:ascii="Times New Roman" w:hAnsi="Times New Roman"/>
          <w:b/>
          <w:bCs/>
        </w:rPr>
        <w:tab/>
        <w:t>Motorola Mobility</w:t>
      </w:r>
    </w:p>
    <w:p w14:paraId="368F5469" w14:textId="7BC8BFEE" w:rsidR="00EC6E5E" w:rsidRPr="00EC6E5E" w:rsidRDefault="00EC6E5E" w:rsidP="00EC6E5E">
      <w:pPr>
        <w:rPr>
          <w:rFonts w:ascii="Times New Roman" w:hAnsi="Times New Roman"/>
        </w:rPr>
      </w:pPr>
      <w:r w:rsidRPr="00EC6E5E">
        <w:rPr>
          <w:rFonts w:ascii="Times New Roman" w:hAnsi="Times New Roman"/>
          <w:b/>
          <w:bCs/>
        </w:rPr>
        <w:t>Decision:</w:t>
      </w:r>
      <w:r w:rsidRPr="00EC6E5E">
        <w:rPr>
          <w:rFonts w:ascii="Times New Roman" w:hAnsi="Times New Roman"/>
        </w:rPr>
        <w:t xml:space="preserve"> As per email decision posted on </w:t>
      </w:r>
      <w:r w:rsidR="00376BEA">
        <w:rPr>
          <w:rFonts w:ascii="Times New Roman" w:hAnsi="Times New Roman"/>
        </w:rPr>
        <w:t xml:space="preserve">Dec </w:t>
      </w:r>
      <w:r w:rsidRPr="00EC6E5E">
        <w:rPr>
          <w:rFonts w:ascii="Times New Roman" w:hAnsi="Times New Roman"/>
        </w:rPr>
        <w:t xml:space="preserve">1st </w:t>
      </w:r>
      <w:r w:rsidR="00376BEA" w:rsidRPr="00376BEA">
        <w:rPr>
          <w:rFonts w:ascii="Times New Roman" w:hAnsi="Times New Roman"/>
        </w:rPr>
        <w:t>[Post-115-36.213-IoT_NTN_enh-Core]</w:t>
      </w:r>
      <w:r w:rsidRPr="00EC6E5E">
        <w:rPr>
          <w:rFonts w:ascii="Times New Roman" w:hAnsi="Times New Roman"/>
        </w:rPr>
        <w:t xml:space="preserve">, </w:t>
      </w:r>
      <w:r w:rsidR="00376BEA">
        <w:rPr>
          <w:rFonts w:ascii="Times New Roman" w:hAnsi="Times New Roman"/>
        </w:rPr>
        <w:t>(Rel-18, 36.213, CR1442, Cat FI is agreed.</w:t>
      </w:r>
    </w:p>
    <w:p w14:paraId="33A5FF76" w14:textId="77777777" w:rsidR="00EC6E5E" w:rsidRPr="00EC6E5E" w:rsidRDefault="00EC6E5E" w:rsidP="00EC6E5E">
      <w:pPr>
        <w:rPr>
          <w:rFonts w:ascii="Times New Roman" w:hAnsi="Times New Roman"/>
        </w:rPr>
      </w:pPr>
    </w:p>
    <w:p w14:paraId="02461801" w14:textId="77777777" w:rsidR="00EC6E5E" w:rsidRPr="00EC6E5E" w:rsidRDefault="00EC6E5E" w:rsidP="00EC6E5E">
      <w:pPr>
        <w:rPr>
          <w:rFonts w:ascii="Times New Roman" w:hAnsi="Times New Roman"/>
        </w:rPr>
      </w:pPr>
      <w:r w:rsidRPr="00EC6E5E">
        <w:rPr>
          <w:rFonts w:ascii="Times New Roman" w:hAnsi="Times New Roman"/>
        </w:rPr>
        <w:t>// NR_MIMO_evo_DL_UL</w:t>
      </w:r>
    </w:p>
    <w:p w14:paraId="6762452A" w14:textId="0E3D3414" w:rsidR="00F17754" w:rsidRPr="00987DC5" w:rsidRDefault="005A18DC" w:rsidP="00F17754">
      <w:pPr>
        <w:rPr>
          <w:rFonts w:ascii="Times New Roman" w:hAnsi="Times New Roman"/>
          <w:b/>
          <w:bCs/>
        </w:rPr>
      </w:pPr>
      <w:hyperlink r:id="rId2947" w:history="1">
        <w:r w:rsidR="00AF7253">
          <w:rPr>
            <w:rStyle w:val="Hyperlink"/>
            <w:rFonts w:ascii="Times New Roman" w:hAnsi="Times New Roman"/>
            <w:b/>
            <w:bCs/>
          </w:rPr>
          <w:t>R1-2312781</w:t>
        </w:r>
      </w:hyperlink>
      <w:r w:rsidR="00F17754" w:rsidRPr="00987DC5">
        <w:rPr>
          <w:rFonts w:ascii="Times New Roman" w:hAnsi="Times New Roman"/>
          <w:b/>
          <w:bCs/>
        </w:rPr>
        <w:tab/>
        <w:t>Editor’s summary on draft CR 38.211 for NR_MIMO_evo_DL_UL-Core</w:t>
      </w:r>
      <w:r w:rsidR="00F17754" w:rsidRPr="00987DC5">
        <w:rPr>
          <w:rFonts w:ascii="Times New Roman" w:hAnsi="Times New Roman"/>
          <w:b/>
          <w:bCs/>
        </w:rPr>
        <w:tab/>
        <w:t>Moderator (Ericsson)</w:t>
      </w:r>
    </w:p>
    <w:p w14:paraId="7FCF69E4" w14:textId="533099C5" w:rsidR="00F17754" w:rsidRPr="00987DC5" w:rsidRDefault="005A18DC" w:rsidP="00F17754">
      <w:pPr>
        <w:rPr>
          <w:rFonts w:ascii="Times New Roman" w:hAnsi="Times New Roman"/>
          <w:b/>
          <w:bCs/>
        </w:rPr>
      </w:pPr>
      <w:hyperlink r:id="rId2948" w:history="1">
        <w:r w:rsidR="00AF7253">
          <w:rPr>
            <w:rStyle w:val="Hyperlink"/>
            <w:rFonts w:ascii="Times New Roman" w:hAnsi="Times New Roman"/>
            <w:b/>
            <w:bCs/>
            <w:highlight w:val="green"/>
          </w:rPr>
          <w:t>R1-2312749</w:t>
        </w:r>
      </w:hyperlink>
      <w:r w:rsidR="00F17754" w:rsidRPr="00987DC5">
        <w:rPr>
          <w:rFonts w:ascii="Times New Roman" w:hAnsi="Times New Roman"/>
          <w:b/>
          <w:bCs/>
        </w:rPr>
        <w:tab/>
        <w:t>Corrections to MIMO enhancements</w:t>
      </w:r>
      <w:r w:rsidR="00F17754" w:rsidRPr="00987DC5">
        <w:rPr>
          <w:rFonts w:ascii="Times New Roman" w:hAnsi="Times New Roman"/>
          <w:b/>
          <w:bCs/>
        </w:rPr>
        <w:tab/>
        <w:t>Ericsson</w:t>
      </w:r>
    </w:p>
    <w:p w14:paraId="48FD9A8E" w14:textId="669803FA" w:rsidR="00DF122F" w:rsidRPr="00EC6E5E" w:rsidRDefault="00DF122F" w:rsidP="00DF122F">
      <w:pPr>
        <w:rPr>
          <w:rFonts w:ascii="Times New Roman" w:hAnsi="Times New Roman"/>
        </w:rPr>
      </w:pPr>
      <w:r w:rsidRPr="00EC6E5E">
        <w:rPr>
          <w:rFonts w:ascii="Times New Roman" w:hAnsi="Times New Roman"/>
          <w:b/>
          <w:bCs/>
        </w:rPr>
        <w:t>Decision:</w:t>
      </w:r>
      <w:r w:rsidRPr="00EC6E5E">
        <w:rPr>
          <w:rFonts w:ascii="Times New Roman" w:hAnsi="Times New Roman"/>
        </w:rPr>
        <w:t xml:space="preserve"> As per email decision posted on </w:t>
      </w:r>
      <w:r w:rsidR="003D5CBB">
        <w:rPr>
          <w:rFonts w:ascii="Times New Roman" w:hAnsi="Times New Roman"/>
        </w:rPr>
        <w:t>Dec 1st</w:t>
      </w:r>
      <w:r w:rsidRPr="00EC6E5E">
        <w:rPr>
          <w:rFonts w:ascii="Times New Roman" w:hAnsi="Times New Roman"/>
        </w:rPr>
        <w:t xml:space="preserve"> </w:t>
      </w:r>
      <w:r w:rsidRPr="00DF122F">
        <w:rPr>
          <w:rFonts w:ascii="Times New Roman" w:hAnsi="Times New Roman"/>
        </w:rPr>
        <w:t>[Post-115-38.211-NR_MIMO_evo_DL_UL-Core]</w:t>
      </w:r>
      <w:r w:rsidRPr="00EC6E5E">
        <w:rPr>
          <w:rFonts w:ascii="Times New Roman" w:hAnsi="Times New Roman"/>
        </w:rPr>
        <w:t xml:space="preserve">, </w:t>
      </w:r>
      <w:r>
        <w:rPr>
          <w:rFonts w:ascii="Times New Roman" w:hAnsi="Times New Roman"/>
        </w:rPr>
        <w:t>(Rel-18, 38.211, CR0117, Cat F) is agreed.</w:t>
      </w:r>
    </w:p>
    <w:p w14:paraId="74763CD8" w14:textId="22C79B65" w:rsidR="00DF122F" w:rsidRPr="00987DC5" w:rsidRDefault="005A18DC" w:rsidP="00DF122F">
      <w:pPr>
        <w:rPr>
          <w:rFonts w:ascii="Times New Roman" w:hAnsi="Times New Roman"/>
          <w:b/>
          <w:bCs/>
        </w:rPr>
      </w:pPr>
      <w:hyperlink r:id="rId2949" w:history="1">
        <w:r w:rsidR="00AF7253">
          <w:rPr>
            <w:rStyle w:val="Hyperlink"/>
            <w:rFonts w:ascii="Times New Roman" w:hAnsi="Times New Roman"/>
            <w:b/>
            <w:bCs/>
          </w:rPr>
          <w:t>R1-2312770</w:t>
        </w:r>
      </w:hyperlink>
      <w:r w:rsidR="00DF122F" w:rsidRPr="00987DC5">
        <w:rPr>
          <w:rFonts w:ascii="Times New Roman" w:hAnsi="Times New Roman"/>
          <w:b/>
          <w:bCs/>
        </w:rPr>
        <w:tab/>
        <w:t>Summary of email discussion [Post-115-38.212-NR_MIMO_evo_DL_UL-Core]</w:t>
      </w:r>
      <w:r w:rsidR="00DF122F" w:rsidRPr="00987DC5">
        <w:rPr>
          <w:rFonts w:ascii="Times New Roman" w:hAnsi="Times New Roman"/>
          <w:b/>
          <w:bCs/>
        </w:rPr>
        <w:tab/>
        <w:t>Moderator (Huawei)</w:t>
      </w:r>
    </w:p>
    <w:p w14:paraId="339792C0" w14:textId="16C80060" w:rsidR="00DF122F" w:rsidRPr="00987DC5" w:rsidRDefault="005A18DC" w:rsidP="00DF122F">
      <w:pPr>
        <w:rPr>
          <w:rFonts w:ascii="Times New Roman" w:hAnsi="Times New Roman"/>
          <w:b/>
          <w:bCs/>
        </w:rPr>
      </w:pPr>
      <w:hyperlink r:id="rId2950" w:history="1">
        <w:r w:rsidR="00AF7253">
          <w:rPr>
            <w:rStyle w:val="Hyperlink"/>
            <w:rFonts w:ascii="Times New Roman" w:hAnsi="Times New Roman"/>
            <w:b/>
            <w:bCs/>
            <w:highlight w:val="green"/>
          </w:rPr>
          <w:t>R1-2312741</w:t>
        </w:r>
      </w:hyperlink>
      <w:r w:rsidR="00DF122F" w:rsidRPr="00987DC5">
        <w:rPr>
          <w:rFonts w:ascii="Times New Roman" w:hAnsi="Times New Roman"/>
          <w:b/>
          <w:bCs/>
        </w:rPr>
        <w:tab/>
        <w:t>Corrections on Rel-18 MIMO Evolution for Downlink and Uplink in 38.212</w:t>
      </w:r>
      <w:r w:rsidR="00DF122F" w:rsidRPr="00987DC5">
        <w:rPr>
          <w:rFonts w:ascii="Times New Roman" w:hAnsi="Times New Roman"/>
          <w:b/>
          <w:bCs/>
        </w:rPr>
        <w:tab/>
        <w:t>Huawei</w:t>
      </w:r>
    </w:p>
    <w:p w14:paraId="7BADEE49" w14:textId="64991AE0" w:rsidR="00DF122F" w:rsidRPr="00EC6E5E" w:rsidRDefault="00DF122F" w:rsidP="00DF122F">
      <w:pPr>
        <w:rPr>
          <w:rFonts w:ascii="Times New Roman" w:hAnsi="Times New Roman"/>
        </w:rPr>
      </w:pPr>
      <w:r w:rsidRPr="00EC6E5E">
        <w:rPr>
          <w:rFonts w:ascii="Times New Roman" w:hAnsi="Times New Roman"/>
          <w:b/>
          <w:bCs/>
        </w:rPr>
        <w:t>Decision:</w:t>
      </w:r>
      <w:r w:rsidRPr="00EC6E5E">
        <w:rPr>
          <w:rFonts w:ascii="Times New Roman" w:hAnsi="Times New Roman"/>
        </w:rPr>
        <w:t xml:space="preserve"> As per email decision posted on </w:t>
      </w:r>
      <w:r>
        <w:rPr>
          <w:rFonts w:ascii="Times New Roman" w:hAnsi="Times New Roman"/>
        </w:rPr>
        <w:t>Nov 30</w:t>
      </w:r>
      <w:r w:rsidRPr="00EC6E5E">
        <w:rPr>
          <w:rFonts w:ascii="Times New Roman" w:hAnsi="Times New Roman"/>
        </w:rPr>
        <w:t xml:space="preserve">th </w:t>
      </w:r>
      <w:r w:rsidRPr="00DF122F">
        <w:rPr>
          <w:rFonts w:ascii="Times New Roman" w:hAnsi="Times New Roman"/>
        </w:rPr>
        <w:t>[Post-115-38.212-NR_MIMO_evo_DL_UL-Core]</w:t>
      </w:r>
      <w:r w:rsidRPr="00EC6E5E">
        <w:rPr>
          <w:rFonts w:ascii="Times New Roman" w:hAnsi="Times New Roman"/>
        </w:rPr>
        <w:t xml:space="preserve">, </w:t>
      </w:r>
      <w:r>
        <w:rPr>
          <w:rFonts w:ascii="Times New Roman" w:hAnsi="Times New Roman"/>
        </w:rPr>
        <w:t>(Rel-18, 38.212, CR0167, Cat F) is agreed.</w:t>
      </w:r>
    </w:p>
    <w:p w14:paraId="2532DC0B" w14:textId="78305706" w:rsidR="003D5CBB" w:rsidRPr="00987DC5" w:rsidRDefault="005A18DC" w:rsidP="003D5CBB">
      <w:pPr>
        <w:rPr>
          <w:rFonts w:ascii="Times New Roman" w:hAnsi="Times New Roman"/>
          <w:b/>
          <w:bCs/>
        </w:rPr>
      </w:pPr>
      <w:hyperlink r:id="rId2951" w:history="1">
        <w:r w:rsidR="00AF7253">
          <w:rPr>
            <w:rStyle w:val="Hyperlink"/>
            <w:rFonts w:ascii="Times New Roman" w:hAnsi="Times New Roman"/>
            <w:b/>
            <w:bCs/>
          </w:rPr>
          <w:t>R1-2312788</w:t>
        </w:r>
      </w:hyperlink>
      <w:r w:rsidR="003D5CBB" w:rsidRPr="00987DC5">
        <w:rPr>
          <w:rFonts w:ascii="Times New Roman" w:hAnsi="Times New Roman"/>
          <w:b/>
          <w:bCs/>
        </w:rPr>
        <w:tab/>
        <w:t>Summary of email discussions [Post-115-38.213-NR_MIMO_evo_DL_UL]</w:t>
      </w:r>
      <w:r w:rsidR="003D5CBB" w:rsidRPr="00987DC5">
        <w:rPr>
          <w:rFonts w:ascii="Times New Roman" w:hAnsi="Times New Roman"/>
          <w:b/>
          <w:bCs/>
        </w:rPr>
        <w:tab/>
        <w:t>Moderator (Samsung)</w:t>
      </w:r>
    </w:p>
    <w:p w14:paraId="33DF0280" w14:textId="49A59043" w:rsidR="00987DC5" w:rsidRDefault="005A18DC" w:rsidP="00987DC5">
      <w:pPr>
        <w:rPr>
          <w:rFonts w:ascii="Times New Roman" w:hAnsi="Times New Roman"/>
          <w:b/>
          <w:bCs/>
        </w:rPr>
      </w:pPr>
      <w:hyperlink r:id="rId2952" w:history="1">
        <w:r w:rsidR="00AF7253">
          <w:rPr>
            <w:rStyle w:val="Hyperlink"/>
            <w:rFonts w:ascii="Times New Roman" w:hAnsi="Times New Roman"/>
            <w:b/>
            <w:bCs/>
            <w:highlight w:val="green"/>
          </w:rPr>
          <w:t>R1-2312727</w:t>
        </w:r>
      </w:hyperlink>
      <w:r w:rsidR="00987DC5" w:rsidRPr="00987DC5">
        <w:rPr>
          <w:rFonts w:ascii="Times New Roman" w:hAnsi="Times New Roman"/>
          <w:b/>
          <w:bCs/>
        </w:rPr>
        <w:tab/>
        <w:t>Maintenance of MIMO Evolution for Downlink and Uplink</w:t>
      </w:r>
      <w:r w:rsidR="00987DC5" w:rsidRPr="00987DC5">
        <w:rPr>
          <w:rFonts w:ascii="Times New Roman" w:hAnsi="Times New Roman"/>
          <w:b/>
          <w:bCs/>
        </w:rPr>
        <w:tab/>
        <w:t>Samsung</w:t>
      </w:r>
    </w:p>
    <w:p w14:paraId="50E905EA" w14:textId="0C15EC01" w:rsidR="003D5CBB" w:rsidRPr="00EC6E5E" w:rsidRDefault="003D5CBB" w:rsidP="003D5CBB">
      <w:pPr>
        <w:rPr>
          <w:rFonts w:ascii="Times New Roman" w:hAnsi="Times New Roman"/>
        </w:rPr>
      </w:pPr>
      <w:r w:rsidRPr="00EC6E5E">
        <w:rPr>
          <w:rFonts w:ascii="Times New Roman" w:hAnsi="Times New Roman"/>
          <w:b/>
          <w:bCs/>
        </w:rPr>
        <w:t>Decision:</w:t>
      </w:r>
      <w:r w:rsidRPr="00EC6E5E">
        <w:rPr>
          <w:rFonts w:ascii="Times New Roman" w:hAnsi="Times New Roman"/>
        </w:rPr>
        <w:t xml:space="preserve"> As per email decision posted on </w:t>
      </w:r>
      <w:r>
        <w:rPr>
          <w:rFonts w:ascii="Times New Roman" w:hAnsi="Times New Roman"/>
        </w:rPr>
        <w:t>Dec 1st</w:t>
      </w:r>
      <w:r w:rsidRPr="00EC6E5E">
        <w:rPr>
          <w:rFonts w:ascii="Times New Roman" w:hAnsi="Times New Roman"/>
        </w:rPr>
        <w:t xml:space="preserve"> </w:t>
      </w:r>
      <w:r w:rsidRPr="003D5CBB">
        <w:rPr>
          <w:rFonts w:ascii="Times New Roman" w:hAnsi="Times New Roman"/>
        </w:rPr>
        <w:t>[Post-115-38.213-NR_MIMO_evo_DL_UL]</w:t>
      </w:r>
      <w:r w:rsidRPr="00EC6E5E">
        <w:rPr>
          <w:rFonts w:ascii="Times New Roman" w:hAnsi="Times New Roman"/>
        </w:rPr>
        <w:t xml:space="preserve">, </w:t>
      </w:r>
      <w:r>
        <w:rPr>
          <w:rFonts w:ascii="Times New Roman" w:hAnsi="Times New Roman"/>
        </w:rPr>
        <w:t>(Rel-18, 38.213, CR0576, Cat F) is agreed.</w:t>
      </w:r>
    </w:p>
    <w:p w14:paraId="5EA57E73" w14:textId="00BAF1EE" w:rsidR="003D5CBB" w:rsidRPr="00987DC5" w:rsidRDefault="005A18DC" w:rsidP="003D5CBB">
      <w:pPr>
        <w:rPr>
          <w:rFonts w:ascii="Times New Roman" w:hAnsi="Times New Roman"/>
          <w:b/>
          <w:bCs/>
        </w:rPr>
      </w:pPr>
      <w:hyperlink r:id="rId2953" w:history="1">
        <w:r w:rsidR="00AF7253">
          <w:rPr>
            <w:rStyle w:val="Hyperlink"/>
            <w:rFonts w:ascii="Times New Roman" w:hAnsi="Times New Roman"/>
            <w:b/>
            <w:bCs/>
          </w:rPr>
          <w:t>R1-2312807</w:t>
        </w:r>
      </w:hyperlink>
      <w:r w:rsidR="003D5CBB" w:rsidRPr="00987DC5">
        <w:rPr>
          <w:rFonts w:ascii="Times New Roman" w:hAnsi="Times New Roman"/>
          <w:b/>
          <w:bCs/>
        </w:rPr>
        <w:tab/>
        <w:t>Summary of email discussion on NR_MIMO enhancements on CSI</w:t>
      </w:r>
      <w:r w:rsidR="003D5CBB" w:rsidRPr="00987DC5">
        <w:rPr>
          <w:rFonts w:ascii="Times New Roman" w:hAnsi="Times New Roman"/>
          <w:b/>
          <w:bCs/>
        </w:rPr>
        <w:tab/>
        <w:t>Moderator (Nokia)</w:t>
      </w:r>
    </w:p>
    <w:p w14:paraId="4CBB060E" w14:textId="754F28B3" w:rsidR="003D5CBB" w:rsidRPr="00987DC5" w:rsidRDefault="005A18DC" w:rsidP="003D5CBB">
      <w:pPr>
        <w:rPr>
          <w:rFonts w:ascii="Times New Roman" w:hAnsi="Times New Roman"/>
          <w:b/>
          <w:bCs/>
        </w:rPr>
      </w:pPr>
      <w:hyperlink r:id="rId2954" w:history="1">
        <w:r w:rsidR="00AF7253">
          <w:rPr>
            <w:rStyle w:val="Hyperlink"/>
            <w:rFonts w:ascii="Times New Roman" w:hAnsi="Times New Roman"/>
            <w:b/>
            <w:bCs/>
            <w:highlight w:val="green"/>
          </w:rPr>
          <w:t>R1-2312753</w:t>
        </w:r>
      </w:hyperlink>
      <w:r w:rsidR="003D5CBB" w:rsidRPr="00987DC5">
        <w:rPr>
          <w:rFonts w:ascii="Times New Roman" w:hAnsi="Times New Roman"/>
          <w:b/>
          <w:bCs/>
        </w:rPr>
        <w:tab/>
        <w:t>Correction of specification support for MIMO enhancements on CSI</w:t>
      </w:r>
      <w:r w:rsidR="003D5CBB" w:rsidRPr="00987DC5">
        <w:rPr>
          <w:rFonts w:ascii="Times New Roman" w:hAnsi="Times New Roman"/>
          <w:b/>
          <w:bCs/>
        </w:rPr>
        <w:tab/>
        <w:t>Nokia</w:t>
      </w:r>
    </w:p>
    <w:p w14:paraId="7679371E" w14:textId="3DF50A39" w:rsidR="003D5CBB" w:rsidRPr="00EC6E5E" w:rsidRDefault="003D5CBB" w:rsidP="003D5CBB">
      <w:pPr>
        <w:rPr>
          <w:rFonts w:ascii="Times New Roman" w:hAnsi="Times New Roman"/>
        </w:rPr>
      </w:pPr>
      <w:r w:rsidRPr="00EC6E5E">
        <w:rPr>
          <w:rFonts w:ascii="Times New Roman" w:hAnsi="Times New Roman"/>
          <w:b/>
          <w:bCs/>
        </w:rPr>
        <w:t>Decision:</w:t>
      </w:r>
      <w:r w:rsidRPr="00EC6E5E">
        <w:rPr>
          <w:rFonts w:ascii="Times New Roman" w:hAnsi="Times New Roman"/>
        </w:rPr>
        <w:t xml:space="preserve"> As per email decision posted on </w:t>
      </w:r>
      <w:r>
        <w:rPr>
          <w:rFonts w:ascii="Times New Roman" w:hAnsi="Times New Roman"/>
        </w:rPr>
        <w:t>Dec 1st</w:t>
      </w:r>
      <w:r w:rsidRPr="00EC6E5E">
        <w:rPr>
          <w:rFonts w:ascii="Times New Roman" w:hAnsi="Times New Roman"/>
        </w:rPr>
        <w:t xml:space="preserve"> </w:t>
      </w:r>
      <w:r w:rsidRPr="003D5CBB">
        <w:rPr>
          <w:rFonts w:ascii="Times New Roman" w:hAnsi="Times New Roman"/>
        </w:rPr>
        <w:t>[Post-115-38.214-NR_MIMO_evo_DL_UL-CSI]</w:t>
      </w:r>
      <w:r w:rsidRPr="00EC6E5E">
        <w:rPr>
          <w:rFonts w:ascii="Times New Roman" w:hAnsi="Times New Roman"/>
        </w:rPr>
        <w:t xml:space="preserve">, </w:t>
      </w:r>
      <w:r>
        <w:rPr>
          <w:rFonts w:ascii="Times New Roman" w:hAnsi="Times New Roman"/>
        </w:rPr>
        <w:t>(Rel-18, 38.214, CR0483, Cat F) is agreed.</w:t>
      </w:r>
    </w:p>
    <w:p w14:paraId="0DF0F94B" w14:textId="1255C6D0" w:rsidR="003D5CBB" w:rsidRPr="00987DC5" w:rsidRDefault="005A18DC" w:rsidP="003D5CBB">
      <w:pPr>
        <w:rPr>
          <w:rFonts w:ascii="Times New Roman" w:hAnsi="Times New Roman"/>
          <w:b/>
          <w:bCs/>
        </w:rPr>
      </w:pPr>
      <w:hyperlink r:id="rId2955" w:history="1">
        <w:r w:rsidR="00AF7253">
          <w:rPr>
            <w:rStyle w:val="Hyperlink"/>
            <w:rFonts w:ascii="Times New Roman" w:hAnsi="Times New Roman"/>
            <w:b/>
            <w:bCs/>
          </w:rPr>
          <w:t>R1-2312808</w:t>
        </w:r>
      </w:hyperlink>
      <w:r w:rsidR="003D5CBB" w:rsidRPr="00987DC5">
        <w:rPr>
          <w:rFonts w:ascii="Times New Roman" w:hAnsi="Times New Roman"/>
          <w:b/>
          <w:bCs/>
        </w:rPr>
        <w:tab/>
        <w:t>Summary of email discussion on NR_MIMO enhancements on uTCI_STxMP_DMRS_SRS_8Tx_2TA</w:t>
      </w:r>
      <w:r w:rsidR="003D5CBB" w:rsidRPr="00987DC5">
        <w:rPr>
          <w:rFonts w:ascii="Times New Roman" w:hAnsi="Times New Roman"/>
          <w:b/>
          <w:bCs/>
        </w:rPr>
        <w:tab/>
        <w:t>Moderator (Nokia)</w:t>
      </w:r>
    </w:p>
    <w:p w14:paraId="13454CF1" w14:textId="10772BF4" w:rsidR="003D5CBB" w:rsidRPr="00987DC5" w:rsidRDefault="005A18DC" w:rsidP="003D5CBB">
      <w:pPr>
        <w:rPr>
          <w:rFonts w:ascii="Times New Roman" w:hAnsi="Times New Roman"/>
          <w:b/>
          <w:bCs/>
        </w:rPr>
      </w:pPr>
      <w:hyperlink r:id="rId2956" w:history="1">
        <w:r w:rsidR="00AF7253">
          <w:rPr>
            <w:rStyle w:val="Hyperlink"/>
            <w:rFonts w:ascii="Times New Roman" w:hAnsi="Times New Roman"/>
            <w:b/>
            <w:bCs/>
            <w:highlight w:val="green"/>
          </w:rPr>
          <w:t>R1-2312754</w:t>
        </w:r>
      </w:hyperlink>
      <w:r w:rsidR="003D5CBB" w:rsidRPr="00987DC5">
        <w:rPr>
          <w:rFonts w:ascii="Times New Roman" w:hAnsi="Times New Roman"/>
          <w:b/>
          <w:bCs/>
        </w:rPr>
        <w:tab/>
        <w:t>Correction of specification support for MIMO enhancements on uTCI_STxMP_DMRS_SRS_8Tx_2TA</w:t>
      </w:r>
      <w:r w:rsidR="003D5CBB" w:rsidRPr="00987DC5">
        <w:rPr>
          <w:rFonts w:ascii="Times New Roman" w:hAnsi="Times New Roman"/>
          <w:b/>
          <w:bCs/>
        </w:rPr>
        <w:tab/>
        <w:t>Nokia</w:t>
      </w:r>
    </w:p>
    <w:p w14:paraId="3A710A6A" w14:textId="38CDB7B4" w:rsidR="003D5CBB" w:rsidRPr="00EC6E5E" w:rsidRDefault="003D5CBB" w:rsidP="003D5CBB">
      <w:pPr>
        <w:rPr>
          <w:rFonts w:ascii="Times New Roman" w:hAnsi="Times New Roman"/>
        </w:rPr>
      </w:pPr>
      <w:r w:rsidRPr="00EC6E5E">
        <w:rPr>
          <w:rFonts w:ascii="Times New Roman" w:hAnsi="Times New Roman"/>
          <w:b/>
          <w:bCs/>
        </w:rPr>
        <w:t>Decision:</w:t>
      </w:r>
      <w:r w:rsidRPr="00EC6E5E">
        <w:rPr>
          <w:rFonts w:ascii="Times New Roman" w:hAnsi="Times New Roman"/>
        </w:rPr>
        <w:t xml:space="preserve"> As per email decision posted on </w:t>
      </w:r>
      <w:r>
        <w:rPr>
          <w:rFonts w:ascii="Times New Roman" w:hAnsi="Times New Roman"/>
        </w:rPr>
        <w:t>Nov 30th</w:t>
      </w:r>
      <w:r w:rsidRPr="00EC6E5E">
        <w:rPr>
          <w:rFonts w:ascii="Times New Roman" w:hAnsi="Times New Roman"/>
        </w:rPr>
        <w:t xml:space="preserve"> </w:t>
      </w:r>
      <w:r w:rsidRPr="003D5CBB">
        <w:rPr>
          <w:rFonts w:ascii="Times New Roman" w:hAnsi="Times New Roman"/>
        </w:rPr>
        <w:t>[Post-115-38.214-NR_MIMO_evo_DL_UL-non-CSI]</w:t>
      </w:r>
      <w:r w:rsidRPr="00EC6E5E">
        <w:rPr>
          <w:rFonts w:ascii="Times New Roman" w:hAnsi="Times New Roman"/>
        </w:rPr>
        <w:t xml:space="preserve">, </w:t>
      </w:r>
      <w:r>
        <w:rPr>
          <w:rFonts w:ascii="Times New Roman" w:hAnsi="Times New Roman"/>
        </w:rPr>
        <w:t>(Rel-18, 38.214, CR0484, Cat F) is agreed.</w:t>
      </w:r>
    </w:p>
    <w:p w14:paraId="70985ADB" w14:textId="612BA972" w:rsidR="003D5CBB" w:rsidRPr="00987DC5" w:rsidRDefault="005A18DC" w:rsidP="003D5CBB">
      <w:pPr>
        <w:rPr>
          <w:rFonts w:ascii="Times New Roman" w:hAnsi="Times New Roman"/>
          <w:b/>
          <w:bCs/>
        </w:rPr>
      </w:pPr>
      <w:hyperlink r:id="rId2957" w:history="1">
        <w:r w:rsidR="00AF7253">
          <w:rPr>
            <w:rStyle w:val="Hyperlink"/>
            <w:rFonts w:ascii="Times New Roman" w:hAnsi="Times New Roman"/>
            <w:b/>
            <w:bCs/>
          </w:rPr>
          <w:t>R1-2312816</w:t>
        </w:r>
      </w:hyperlink>
      <w:r w:rsidR="003D5CBB" w:rsidRPr="00987DC5">
        <w:rPr>
          <w:rFonts w:ascii="Times New Roman" w:hAnsi="Times New Roman"/>
          <w:b/>
          <w:bCs/>
        </w:rPr>
        <w:tab/>
        <w:t>Discussion summary for TS38.215 draft CR for Rel-18 MIMO enhancements</w:t>
      </w:r>
      <w:r w:rsidR="003D5CBB" w:rsidRPr="00987DC5">
        <w:rPr>
          <w:rFonts w:ascii="Times New Roman" w:hAnsi="Times New Roman"/>
          <w:b/>
          <w:bCs/>
        </w:rPr>
        <w:tab/>
        <w:t>Moderator (Intel Corporation)</w:t>
      </w:r>
    </w:p>
    <w:p w14:paraId="0D6FA5A5" w14:textId="665C8478" w:rsidR="00987DC5" w:rsidRPr="00987DC5" w:rsidRDefault="005A18DC" w:rsidP="00987DC5">
      <w:pPr>
        <w:rPr>
          <w:rFonts w:ascii="Times New Roman" w:hAnsi="Times New Roman"/>
          <w:b/>
          <w:bCs/>
        </w:rPr>
      </w:pPr>
      <w:hyperlink r:id="rId2958" w:history="1">
        <w:r w:rsidR="00AF7253">
          <w:rPr>
            <w:rStyle w:val="Hyperlink"/>
            <w:rFonts w:ascii="Times New Roman" w:hAnsi="Times New Roman"/>
            <w:b/>
            <w:bCs/>
            <w:highlight w:val="green"/>
          </w:rPr>
          <w:t>R1-2312734</w:t>
        </w:r>
      </w:hyperlink>
      <w:r w:rsidR="00987DC5" w:rsidRPr="00987DC5">
        <w:rPr>
          <w:rFonts w:ascii="Times New Roman" w:hAnsi="Times New Roman"/>
          <w:b/>
          <w:bCs/>
        </w:rPr>
        <w:tab/>
        <w:t>Correction of Rel-18 MIMO evolution</w:t>
      </w:r>
      <w:r w:rsidR="00987DC5" w:rsidRPr="00987DC5">
        <w:rPr>
          <w:rFonts w:ascii="Times New Roman" w:hAnsi="Times New Roman"/>
          <w:b/>
          <w:bCs/>
        </w:rPr>
        <w:tab/>
        <w:t>Intel Corporation</w:t>
      </w:r>
    </w:p>
    <w:p w14:paraId="1DA9458C" w14:textId="39FD1DD4" w:rsidR="003D5CBB" w:rsidRPr="00EC6E5E" w:rsidRDefault="003D5CBB" w:rsidP="003D5CBB">
      <w:pPr>
        <w:rPr>
          <w:rFonts w:ascii="Times New Roman" w:hAnsi="Times New Roman"/>
        </w:rPr>
      </w:pPr>
      <w:r w:rsidRPr="00EC6E5E">
        <w:rPr>
          <w:rFonts w:ascii="Times New Roman" w:hAnsi="Times New Roman"/>
          <w:b/>
          <w:bCs/>
        </w:rPr>
        <w:t>Decision:</w:t>
      </w:r>
      <w:r w:rsidRPr="00EC6E5E">
        <w:rPr>
          <w:rFonts w:ascii="Times New Roman" w:hAnsi="Times New Roman"/>
        </w:rPr>
        <w:t xml:space="preserve"> As per email decision posted on </w:t>
      </w:r>
      <w:r w:rsidR="00700F4E">
        <w:rPr>
          <w:rFonts w:ascii="Times New Roman" w:hAnsi="Times New Roman"/>
        </w:rPr>
        <w:t>Nov 30th</w:t>
      </w:r>
      <w:r w:rsidRPr="00EC6E5E">
        <w:rPr>
          <w:rFonts w:ascii="Times New Roman" w:hAnsi="Times New Roman"/>
        </w:rPr>
        <w:t xml:space="preserve"> </w:t>
      </w:r>
      <w:r w:rsidR="00700F4E" w:rsidRPr="00700F4E">
        <w:rPr>
          <w:rFonts w:ascii="Times New Roman" w:hAnsi="Times New Roman"/>
        </w:rPr>
        <w:t>[Post-115-38.215-NR_MIMO_evo_DL_UL]</w:t>
      </w:r>
      <w:r w:rsidRPr="00EC6E5E">
        <w:rPr>
          <w:rFonts w:ascii="Times New Roman" w:hAnsi="Times New Roman"/>
        </w:rPr>
        <w:t xml:space="preserve">, </w:t>
      </w:r>
      <w:r>
        <w:rPr>
          <w:rFonts w:ascii="Times New Roman" w:hAnsi="Times New Roman"/>
        </w:rPr>
        <w:t>(Rel-18, 38.21</w:t>
      </w:r>
      <w:r w:rsidR="00700F4E">
        <w:rPr>
          <w:rFonts w:ascii="Times New Roman" w:hAnsi="Times New Roman"/>
        </w:rPr>
        <w:t>5</w:t>
      </w:r>
      <w:r>
        <w:rPr>
          <w:rFonts w:ascii="Times New Roman" w:hAnsi="Times New Roman"/>
        </w:rPr>
        <w:t>, CR0</w:t>
      </w:r>
      <w:r w:rsidR="00700F4E">
        <w:rPr>
          <w:rFonts w:ascii="Times New Roman" w:hAnsi="Times New Roman"/>
        </w:rPr>
        <w:t>060</w:t>
      </w:r>
      <w:r>
        <w:rPr>
          <w:rFonts w:ascii="Times New Roman" w:hAnsi="Times New Roman"/>
        </w:rPr>
        <w:t>, Cat F) is agreed.</w:t>
      </w:r>
    </w:p>
    <w:p w14:paraId="38D70497" w14:textId="77777777" w:rsidR="00987DC5" w:rsidRPr="00EC6E5E" w:rsidRDefault="00987DC5" w:rsidP="00987DC5">
      <w:pPr>
        <w:rPr>
          <w:rFonts w:ascii="Times New Roman" w:hAnsi="Times New Roman"/>
        </w:rPr>
      </w:pPr>
    </w:p>
    <w:p w14:paraId="1BF3B544" w14:textId="77777777" w:rsidR="00EC6E5E" w:rsidRPr="00EC6E5E" w:rsidRDefault="00EC6E5E" w:rsidP="00EC6E5E">
      <w:pPr>
        <w:rPr>
          <w:rFonts w:ascii="Times New Roman" w:hAnsi="Times New Roman"/>
        </w:rPr>
      </w:pPr>
      <w:r w:rsidRPr="00EC6E5E">
        <w:rPr>
          <w:rFonts w:ascii="Times New Roman" w:hAnsi="Times New Roman"/>
        </w:rPr>
        <w:t>// NR_SL_enh2</w:t>
      </w:r>
    </w:p>
    <w:p w14:paraId="0931F638" w14:textId="1AEEC2A0" w:rsidR="00AA2F9A" w:rsidRPr="00AA2F9A" w:rsidRDefault="005A18DC" w:rsidP="00AA2F9A">
      <w:pPr>
        <w:rPr>
          <w:rFonts w:ascii="Times New Roman" w:hAnsi="Times New Roman"/>
          <w:b/>
          <w:bCs/>
        </w:rPr>
      </w:pPr>
      <w:hyperlink r:id="rId2959" w:history="1">
        <w:r w:rsidR="00AF7253">
          <w:rPr>
            <w:rStyle w:val="Hyperlink"/>
            <w:rFonts w:ascii="Times New Roman" w:hAnsi="Times New Roman"/>
            <w:b/>
            <w:bCs/>
          </w:rPr>
          <w:t>R1-2312796</w:t>
        </w:r>
      </w:hyperlink>
      <w:r w:rsidR="00AA2F9A" w:rsidRPr="00AA2F9A">
        <w:rPr>
          <w:rFonts w:ascii="Times New Roman" w:hAnsi="Times New Roman"/>
          <w:b/>
          <w:bCs/>
        </w:rPr>
        <w:tab/>
        <w:t>Editor’s summary on draft CR 37.213 for SL-U</w:t>
      </w:r>
      <w:r w:rsidR="00AA2F9A" w:rsidRPr="00AA2F9A">
        <w:rPr>
          <w:rFonts w:ascii="Times New Roman" w:hAnsi="Times New Roman"/>
          <w:b/>
          <w:bCs/>
        </w:rPr>
        <w:tab/>
        <w:t>Moderator (Ericsson)</w:t>
      </w:r>
    </w:p>
    <w:p w14:paraId="38CFC2AF" w14:textId="57230399" w:rsidR="00AA2F9A" w:rsidRPr="00AA2F9A" w:rsidRDefault="005A18DC" w:rsidP="00AA2F9A">
      <w:pPr>
        <w:rPr>
          <w:rFonts w:ascii="Times New Roman" w:hAnsi="Times New Roman"/>
          <w:b/>
          <w:bCs/>
        </w:rPr>
      </w:pPr>
      <w:hyperlink r:id="rId2960" w:history="1">
        <w:r w:rsidR="00AF7253">
          <w:rPr>
            <w:rStyle w:val="Hyperlink"/>
            <w:rFonts w:ascii="Times New Roman" w:hAnsi="Times New Roman"/>
            <w:b/>
            <w:bCs/>
            <w:highlight w:val="green"/>
          </w:rPr>
          <w:t>R1-2312746</w:t>
        </w:r>
      </w:hyperlink>
      <w:r w:rsidR="00AA2F9A" w:rsidRPr="00AA2F9A">
        <w:rPr>
          <w:rFonts w:ascii="Times New Roman" w:hAnsi="Times New Roman"/>
          <w:b/>
          <w:bCs/>
        </w:rPr>
        <w:tab/>
        <w:t>Maintenance of NR Sidelink operation on shared spectrum</w:t>
      </w:r>
      <w:r w:rsidR="00AA2F9A" w:rsidRPr="00AA2F9A">
        <w:rPr>
          <w:rFonts w:ascii="Times New Roman" w:hAnsi="Times New Roman"/>
          <w:b/>
          <w:bCs/>
        </w:rPr>
        <w:tab/>
        <w:t>Ericsson</w:t>
      </w:r>
    </w:p>
    <w:p w14:paraId="0120A5AF" w14:textId="404A1EE0" w:rsidR="00AA2F9A" w:rsidRPr="00EC6E5E" w:rsidRDefault="00AA2F9A" w:rsidP="00AA2F9A">
      <w:pPr>
        <w:rPr>
          <w:rFonts w:ascii="Times New Roman" w:hAnsi="Times New Roman"/>
        </w:rPr>
      </w:pPr>
      <w:r w:rsidRPr="00EC6E5E">
        <w:rPr>
          <w:rFonts w:ascii="Times New Roman" w:hAnsi="Times New Roman"/>
          <w:b/>
          <w:bCs/>
        </w:rPr>
        <w:t>Decision:</w:t>
      </w:r>
      <w:r w:rsidRPr="00EC6E5E">
        <w:rPr>
          <w:rFonts w:ascii="Times New Roman" w:hAnsi="Times New Roman"/>
        </w:rPr>
        <w:t xml:space="preserve"> As per email decision posted on </w:t>
      </w:r>
      <w:r>
        <w:rPr>
          <w:rFonts w:ascii="Times New Roman" w:hAnsi="Times New Roman"/>
        </w:rPr>
        <w:t>Nov 30</w:t>
      </w:r>
      <w:r w:rsidRPr="00EC6E5E">
        <w:rPr>
          <w:rFonts w:ascii="Times New Roman" w:hAnsi="Times New Roman"/>
        </w:rPr>
        <w:t xml:space="preserve">th </w:t>
      </w:r>
      <w:r w:rsidRPr="00AA2F9A">
        <w:rPr>
          <w:rFonts w:ascii="Times New Roman" w:hAnsi="Times New Roman"/>
        </w:rPr>
        <w:t>[Post-115-37.213-NR_SL_enh2]</w:t>
      </w:r>
      <w:r w:rsidRPr="00EC6E5E">
        <w:rPr>
          <w:rFonts w:ascii="Times New Roman" w:hAnsi="Times New Roman"/>
        </w:rPr>
        <w:t xml:space="preserve">, </w:t>
      </w:r>
      <w:r>
        <w:rPr>
          <w:rFonts w:ascii="Times New Roman" w:hAnsi="Times New Roman"/>
        </w:rPr>
        <w:t>(Rel-18, 37.213, CR0050, Cat F) is agreed.</w:t>
      </w:r>
    </w:p>
    <w:p w14:paraId="6245D0CB" w14:textId="2DA6B6DB" w:rsidR="0089259E" w:rsidRPr="00AA2F9A" w:rsidRDefault="005A18DC" w:rsidP="0089259E">
      <w:pPr>
        <w:rPr>
          <w:rFonts w:ascii="Times New Roman" w:hAnsi="Times New Roman"/>
          <w:b/>
          <w:bCs/>
        </w:rPr>
      </w:pPr>
      <w:hyperlink r:id="rId2961" w:history="1">
        <w:r w:rsidR="00AF7253">
          <w:rPr>
            <w:rStyle w:val="Hyperlink"/>
            <w:rFonts w:ascii="Times New Roman" w:hAnsi="Times New Roman"/>
            <w:b/>
            <w:bCs/>
          </w:rPr>
          <w:t>R1-2312795</w:t>
        </w:r>
      </w:hyperlink>
      <w:r w:rsidR="0089259E" w:rsidRPr="00AA2F9A">
        <w:rPr>
          <w:rFonts w:ascii="Times New Roman" w:hAnsi="Times New Roman"/>
          <w:b/>
          <w:bCs/>
        </w:rPr>
        <w:tab/>
        <w:t>Summary of email discussion [Post-115-37.985-NR_SL_enh2-Core]</w:t>
      </w:r>
      <w:r w:rsidR="0089259E" w:rsidRPr="00AA2F9A">
        <w:rPr>
          <w:rFonts w:ascii="Times New Roman" w:hAnsi="Times New Roman"/>
          <w:b/>
          <w:bCs/>
        </w:rPr>
        <w:tab/>
        <w:t>Moderator (Huawei)</w:t>
      </w:r>
    </w:p>
    <w:p w14:paraId="4CC6C724" w14:textId="6F9C3550" w:rsidR="0089259E" w:rsidRPr="00AA2F9A" w:rsidRDefault="005A18DC" w:rsidP="0089259E">
      <w:pPr>
        <w:rPr>
          <w:rFonts w:ascii="Times New Roman" w:hAnsi="Times New Roman"/>
          <w:b/>
          <w:bCs/>
        </w:rPr>
      </w:pPr>
      <w:hyperlink r:id="rId2962" w:history="1">
        <w:r w:rsidR="00AF7253">
          <w:rPr>
            <w:rStyle w:val="Hyperlink"/>
            <w:rFonts w:ascii="Times New Roman" w:hAnsi="Times New Roman"/>
            <w:b/>
            <w:bCs/>
            <w:highlight w:val="green"/>
          </w:rPr>
          <w:t>R1-2312794</w:t>
        </w:r>
      </w:hyperlink>
      <w:r w:rsidR="0089259E" w:rsidRPr="00AA2F9A">
        <w:rPr>
          <w:rFonts w:ascii="Times New Roman" w:hAnsi="Times New Roman"/>
          <w:b/>
          <w:bCs/>
        </w:rPr>
        <w:tab/>
        <w:t>Introduction of sidelink CA and dynamic resource pool sharing for NR V2X</w:t>
      </w:r>
      <w:r w:rsidR="0089259E" w:rsidRPr="00AA2F9A">
        <w:rPr>
          <w:rFonts w:ascii="Times New Roman" w:hAnsi="Times New Roman"/>
          <w:b/>
          <w:bCs/>
        </w:rPr>
        <w:tab/>
        <w:t>Huawei</w:t>
      </w:r>
    </w:p>
    <w:p w14:paraId="2A57B325" w14:textId="74CC3DD0" w:rsidR="0089259E" w:rsidRPr="00EC6E5E" w:rsidRDefault="0089259E" w:rsidP="0089259E">
      <w:pPr>
        <w:rPr>
          <w:rFonts w:ascii="Times New Roman" w:hAnsi="Times New Roman"/>
        </w:rPr>
      </w:pPr>
      <w:r w:rsidRPr="00EC6E5E">
        <w:rPr>
          <w:rFonts w:ascii="Times New Roman" w:hAnsi="Times New Roman"/>
          <w:b/>
          <w:bCs/>
        </w:rPr>
        <w:t>Decision:</w:t>
      </w:r>
      <w:r w:rsidRPr="00EC6E5E">
        <w:rPr>
          <w:rFonts w:ascii="Times New Roman" w:hAnsi="Times New Roman"/>
        </w:rPr>
        <w:t xml:space="preserve"> As per email decision posted on </w:t>
      </w:r>
      <w:r>
        <w:rPr>
          <w:rFonts w:ascii="Times New Roman" w:hAnsi="Times New Roman"/>
        </w:rPr>
        <w:t>Nov 29</w:t>
      </w:r>
      <w:r w:rsidRPr="00EC6E5E">
        <w:rPr>
          <w:rFonts w:ascii="Times New Roman" w:hAnsi="Times New Roman"/>
        </w:rPr>
        <w:t xml:space="preserve">th </w:t>
      </w:r>
      <w:r w:rsidRPr="0089259E">
        <w:rPr>
          <w:rFonts w:ascii="Times New Roman" w:hAnsi="Times New Roman"/>
        </w:rPr>
        <w:t>[Post-115-37.985-NR_SL_enh2-Core]</w:t>
      </w:r>
      <w:r w:rsidRPr="00EC6E5E">
        <w:rPr>
          <w:rFonts w:ascii="Times New Roman" w:hAnsi="Times New Roman"/>
        </w:rPr>
        <w:t xml:space="preserve">, </w:t>
      </w:r>
      <w:r>
        <w:rPr>
          <w:rFonts w:ascii="Times New Roman" w:hAnsi="Times New Roman"/>
        </w:rPr>
        <w:t>(Rel-18, 37.985, CR0007, Cat B) is agreed.</w:t>
      </w:r>
    </w:p>
    <w:p w14:paraId="6B3D229A" w14:textId="4912415A" w:rsidR="00EC6E5E" w:rsidRPr="005B6CDA" w:rsidRDefault="005A18DC" w:rsidP="00EC6E5E">
      <w:pPr>
        <w:rPr>
          <w:rFonts w:ascii="Times New Roman" w:hAnsi="Times New Roman"/>
          <w:b/>
          <w:bCs/>
        </w:rPr>
      </w:pPr>
      <w:hyperlink r:id="rId2963" w:history="1">
        <w:r w:rsidR="00AF7253">
          <w:rPr>
            <w:rStyle w:val="Hyperlink"/>
            <w:rFonts w:ascii="Times New Roman" w:hAnsi="Times New Roman"/>
            <w:b/>
            <w:bCs/>
          </w:rPr>
          <w:t>R1-2312780</w:t>
        </w:r>
      </w:hyperlink>
      <w:r w:rsidR="005B6CDA" w:rsidRPr="005B6CDA">
        <w:rPr>
          <w:rFonts w:ascii="Times New Roman" w:hAnsi="Times New Roman"/>
          <w:b/>
          <w:bCs/>
        </w:rPr>
        <w:tab/>
        <w:t>Editor’s summary on draft CR 38.211 for NR_SL_enh2-Core</w:t>
      </w:r>
      <w:r w:rsidR="005B6CDA" w:rsidRPr="005B6CDA">
        <w:rPr>
          <w:rFonts w:ascii="Times New Roman" w:hAnsi="Times New Roman"/>
          <w:b/>
          <w:bCs/>
        </w:rPr>
        <w:tab/>
        <w:t>Moderator (Ericsson)</w:t>
      </w:r>
    </w:p>
    <w:p w14:paraId="60AE70DA" w14:textId="7C3FB1B8" w:rsidR="005B6CDA" w:rsidRPr="005B6CDA" w:rsidRDefault="005B6CDA" w:rsidP="00EC6E5E">
      <w:pPr>
        <w:rPr>
          <w:rFonts w:ascii="Times New Roman" w:hAnsi="Times New Roman"/>
        </w:rPr>
      </w:pPr>
      <w:r w:rsidRPr="00EC6E5E">
        <w:rPr>
          <w:rFonts w:ascii="Times New Roman" w:hAnsi="Times New Roman"/>
          <w:b/>
          <w:bCs/>
        </w:rPr>
        <w:t>Decision:</w:t>
      </w:r>
      <w:r>
        <w:rPr>
          <w:rFonts w:ascii="Times New Roman" w:hAnsi="Times New Roman"/>
          <w:b/>
          <w:bCs/>
        </w:rPr>
        <w:t xml:space="preserve"> </w:t>
      </w:r>
      <w:r w:rsidRPr="005B6CDA">
        <w:rPr>
          <w:rFonts w:ascii="Times New Roman" w:hAnsi="Times New Roman"/>
        </w:rPr>
        <w:t xml:space="preserve">No consensus whether a CR is needed or not and, based on the discussion, no CR to 38.211 is submitted. As stated by </w:t>
      </w:r>
      <w:r>
        <w:rPr>
          <w:rFonts w:ascii="Times New Roman" w:hAnsi="Times New Roman"/>
        </w:rPr>
        <w:t xml:space="preserve">RAN1 </w:t>
      </w:r>
      <w:r w:rsidRPr="005B6CDA">
        <w:rPr>
          <w:rFonts w:ascii="Times New Roman" w:hAnsi="Times New Roman"/>
        </w:rPr>
        <w:t>chair</w:t>
      </w:r>
      <w:r>
        <w:rPr>
          <w:rFonts w:ascii="Times New Roman" w:hAnsi="Times New Roman"/>
        </w:rPr>
        <w:t>,</w:t>
      </w:r>
      <w:r w:rsidRPr="005B6CDA">
        <w:rPr>
          <w:rFonts w:ascii="Times New Roman" w:hAnsi="Times New Roman"/>
        </w:rPr>
        <w:t xml:space="preserve"> let’s continue the discussions at the next RAN1 meeting.</w:t>
      </w:r>
    </w:p>
    <w:p w14:paraId="7CC06807" w14:textId="745C008C" w:rsidR="007F4549" w:rsidRDefault="005A18DC" w:rsidP="00AA2F9A">
      <w:pPr>
        <w:rPr>
          <w:rFonts w:ascii="Times New Roman" w:hAnsi="Times New Roman"/>
          <w:b/>
          <w:bCs/>
        </w:rPr>
      </w:pPr>
      <w:hyperlink r:id="rId2964" w:history="1">
        <w:r w:rsidR="00AF7253">
          <w:rPr>
            <w:rStyle w:val="Hyperlink"/>
            <w:rFonts w:ascii="Times New Roman" w:hAnsi="Times New Roman"/>
            <w:b/>
            <w:bCs/>
          </w:rPr>
          <w:t>R1-2312773</w:t>
        </w:r>
      </w:hyperlink>
      <w:r w:rsidR="007F4549" w:rsidRPr="007F4549">
        <w:rPr>
          <w:rFonts w:ascii="Times New Roman" w:hAnsi="Times New Roman"/>
          <w:b/>
          <w:bCs/>
        </w:rPr>
        <w:tab/>
        <w:t>Summary of email discussion [Post-115-38.212-NR_SL_enh2-Core]</w:t>
      </w:r>
      <w:r w:rsidR="007F4549" w:rsidRPr="007F4549">
        <w:rPr>
          <w:rFonts w:ascii="Times New Roman" w:hAnsi="Times New Roman"/>
          <w:b/>
          <w:bCs/>
        </w:rPr>
        <w:tab/>
        <w:t>Moderator (Huawei)</w:t>
      </w:r>
    </w:p>
    <w:p w14:paraId="780772E3" w14:textId="6701D727" w:rsidR="007F4549" w:rsidRPr="00AA2F9A" w:rsidRDefault="005A18DC" w:rsidP="007F4549">
      <w:pPr>
        <w:rPr>
          <w:rFonts w:ascii="Times New Roman" w:hAnsi="Times New Roman"/>
          <w:b/>
          <w:bCs/>
        </w:rPr>
      </w:pPr>
      <w:hyperlink r:id="rId2965" w:history="1">
        <w:r w:rsidR="00AF7253">
          <w:rPr>
            <w:rStyle w:val="Hyperlink"/>
            <w:rFonts w:ascii="Times New Roman" w:hAnsi="Times New Roman"/>
            <w:b/>
            <w:bCs/>
            <w:highlight w:val="green"/>
          </w:rPr>
          <w:t>R1-2312738</w:t>
        </w:r>
      </w:hyperlink>
      <w:r w:rsidR="007F4549" w:rsidRPr="00AA2F9A">
        <w:rPr>
          <w:rFonts w:ascii="Times New Roman" w:hAnsi="Times New Roman"/>
          <w:b/>
          <w:bCs/>
        </w:rPr>
        <w:tab/>
        <w:t>Corrections on Rel-18 NR sidelink evolution in 38.212</w:t>
      </w:r>
      <w:r w:rsidR="007F4549" w:rsidRPr="00AA2F9A">
        <w:rPr>
          <w:rFonts w:ascii="Times New Roman" w:hAnsi="Times New Roman"/>
          <w:b/>
          <w:bCs/>
        </w:rPr>
        <w:tab/>
        <w:t>Huawei</w:t>
      </w:r>
    </w:p>
    <w:p w14:paraId="6BADAC5A" w14:textId="46F0404D" w:rsidR="007F4549" w:rsidRPr="00EC6E5E" w:rsidRDefault="007F4549" w:rsidP="007F4549">
      <w:pPr>
        <w:rPr>
          <w:rFonts w:ascii="Times New Roman" w:hAnsi="Times New Roman"/>
        </w:rPr>
      </w:pPr>
      <w:r w:rsidRPr="00EC6E5E">
        <w:rPr>
          <w:rFonts w:ascii="Times New Roman" w:hAnsi="Times New Roman"/>
          <w:b/>
          <w:bCs/>
        </w:rPr>
        <w:t>Decision:</w:t>
      </w:r>
      <w:r w:rsidRPr="00EC6E5E">
        <w:rPr>
          <w:rFonts w:ascii="Times New Roman" w:hAnsi="Times New Roman"/>
        </w:rPr>
        <w:t xml:space="preserve"> As per email decision posted on </w:t>
      </w:r>
      <w:r>
        <w:rPr>
          <w:rFonts w:ascii="Times New Roman" w:hAnsi="Times New Roman"/>
        </w:rPr>
        <w:t>Nov 30</w:t>
      </w:r>
      <w:r w:rsidRPr="00EC6E5E">
        <w:rPr>
          <w:rFonts w:ascii="Times New Roman" w:hAnsi="Times New Roman"/>
        </w:rPr>
        <w:t xml:space="preserve">th </w:t>
      </w:r>
      <w:r w:rsidRPr="007F4549">
        <w:rPr>
          <w:rFonts w:ascii="Times New Roman" w:hAnsi="Times New Roman"/>
        </w:rPr>
        <w:t>[Post-115-38.212-NR_SL_enh2-Core]</w:t>
      </w:r>
      <w:r w:rsidRPr="00EC6E5E">
        <w:rPr>
          <w:rFonts w:ascii="Times New Roman" w:hAnsi="Times New Roman"/>
        </w:rPr>
        <w:t xml:space="preserve">, </w:t>
      </w:r>
      <w:r>
        <w:rPr>
          <w:rFonts w:ascii="Times New Roman" w:hAnsi="Times New Roman"/>
        </w:rPr>
        <w:t>(Rel-18, 38.212, CR0164, Cat F) is agreed.</w:t>
      </w:r>
    </w:p>
    <w:p w14:paraId="0F312B7C" w14:textId="08833B54" w:rsidR="00A53395" w:rsidRPr="00AA2F9A" w:rsidRDefault="005A18DC" w:rsidP="00A53395">
      <w:pPr>
        <w:rPr>
          <w:rFonts w:ascii="Times New Roman" w:hAnsi="Times New Roman"/>
          <w:b/>
          <w:bCs/>
        </w:rPr>
      </w:pPr>
      <w:hyperlink r:id="rId2966" w:history="1">
        <w:r w:rsidR="00AF7253">
          <w:rPr>
            <w:rStyle w:val="Hyperlink"/>
            <w:rFonts w:ascii="Times New Roman" w:hAnsi="Times New Roman"/>
            <w:b/>
            <w:bCs/>
          </w:rPr>
          <w:t>R1-2312792</w:t>
        </w:r>
      </w:hyperlink>
      <w:r w:rsidR="00A53395" w:rsidRPr="00AA2F9A">
        <w:rPr>
          <w:rFonts w:ascii="Times New Roman" w:hAnsi="Times New Roman"/>
          <w:b/>
          <w:bCs/>
        </w:rPr>
        <w:tab/>
        <w:t>Summary of email discussions [Post-115-38.213-NR_SL_enh2]</w:t>
      </w:r>
      <w:r w:rsidR="00A53395" w:rsidRPr="00AA2F9A">
        <w:rPr>
          <w:rFonts w:ascii="Times New Roman" w:hAnsi="Times New Roman"/>
          <w:b/>
          <w:bCs/>
        </w:rPr>
        <w:tab/>
        <w:t>Moderator (Samsung)</w:t>
      </w:r>
    </w:p>
    <w:p w14:paraId="4F84E3A4" w14:textId="144562F1" w:rsidR="00AA2F9A" w:rsidRPr="00AA2F9A" w:rsidRDefault="005A18DC" w:rsidP="00AA2F9A">
      <w:pPr>
        <w:rPr>
          <w:rFonts w:ascii="Times New Roman" w:hAnsi="Times New Roman"/>
          <w:b/>
          <w:bCs/>
        </w:rPr>
      </w:pPr>
      <w:hyperlink r:id="rId2967" w:history="1">
        <w:r w:rsidR="00AF7253">
          <w:rPr>
            <w:rStyle w:val="Hyperlink"/>
            <w:rFonts w:ascii="Times New Roman" w:hAnsi="Times New Roman"/>
            <w:b/>
            <w:bCs/>
            <w:highlight w:val="green"/>
          </w:rPr>
          <w:t>R1-2312732</w:t>
        </w:r>
      </w:hyperlink>
      <w:r w:rsidR="00AA2F9A" w:rsidRPr="00AA2F9A">
        <w:rPr>
          <w:rFonts w:ascii="Times New Roman" w:hAnsi="Times New Roman"/>
          <w:b/>
          <w:bCs/>
        </w:rPr>
        <w:tab/>
        <w:t>Maintenance of NR sidelink evolution</w:t>
      </w:r>
      <w:r w:rsidR="00AA2F9A" w:rsidRPr="00AA2F9A">
        <w:rPr>
          <w:rFonts w:ascii="Times New Roman" w:hAnsi="Times New Roman"/>
          <w:b/>
          <w:bCs/>
        </w:rPr>
        <w:tab/>
        <w:t>Samsung</w:t>
      </w:r>
    </w:p>
    <w:p w14:paraId="2C6DED6C" w14:textId="6CA29B5B" w:rsidR="00A53395" w:rsidRPr="00EC6E5E" w:rsidRDefault="00A53395" w:rsidP="00A53395">
      <w:pPr>
        <w:rPr>
          <w:rFonts w:ascii="Times New Roman" w:hAnsi="Times New Roman"/>
        </w:rPr>
      </w:pPr>
      <w:r w:rsidRPr="00EC6E5E">
        <w:rPr>
          <w:rFonts w:ascii="Times New Roman" w:hAnsi="Times New Roman"/>
          <w:b/>
          <w:bCs/>
        </w:rPr>
        <w:t>Decision:</w:t>
      </w:r>
      <w:r w:rsidRPr="00EC6E5E">
        <w:rPr>
          <w:rFonts w:ascii="Times New Roman" w:hAnsi="Times New Roman"/>
        </w:rPr>
        <w:t xml:space="preserve"> As per email decision posted on </w:t>
      </w:r>
      <w:r>
        <w:rPr>
          <w:rFonts w:ascii="Times New Roman" w:hAnsi="Times New Roman"/>
        </w:rPr>
        <w:t>Dec 1st</w:t>
      </w:r>
      <w:r w:rsidRPr="00EC6E5E">
        <w:rPr>
          <w:rFonts w:ascii="Times New Roman" w:hAnsi="Times New Roman"/>
        </w:rPr>
        <w:t xml:space="preserve"> </w:t>
      </w:r>
      <w:r w:rsidRPr="00A53395">
        <w:rPr>
          <w:rFonts w:ascii="Times New Roman" w:hAnsi="Times New Roman"/>
        </w:rPr>
        <w:t>[Post-115-38.213-SL_enh2]</w:t>
      </w:r>
      <w:r w:rsidRPr="00EC6E5E">
        <w:rPr>
          <w:rFonts w:ascii="Times New Roman" w:hAnsi="Times New Roman"/>
        </w:rPr>
        <w:t xml:space="preserve">, </w:t>
      </w:r>
      <w:r>
        <w:rPr>
          <w:rFonts w:ascii="Times New Roman" w:hAnsi="Times New Roman"/>
        </w:rPr>
        <w:t>(Rel-18, 38.213, CR0581, Cat F) is agreed.</w:t>
      </w:r>
    </w:p>
    <w:p w14:paraId="6870FDE5" w14:textId="7217B743" w:rsidR="00A53395" w:rsidRPr="00AA2F9A" w:rsidRDefault="005A18DC" w:rsidP="00A53395">
      <w:pPr>
        <w:rPr>
          <w:rFonts w:ascii="Times New Roman" w:hAnsi="Times New Roman"/>
          <w:b/>
          <w:bCs/>
        </w:rPr>
      </w:pPr>
      <w:hyperlink r:id="rId2968" w:history="1">
        <w:r w:rsidR="00AF7253">
          <w:rPr>
            <w:rStyle w:val="Hyperlink"/>
            <w:rFonts w:ascii="Times New Roman" w:hAnsi="Times New Roman"/>
            <w:b/>
            <w:bCs/>
          </w:rPr>
          <w:t>R1-2312814</w:t>
        </w:r>
      </w:hyperlink>
      <w:r w:rsidR="00A53395" w:rsidRPr="00AA2F9A">
        <w:rPr>
          <w:rFonts w:ascii="Times New Roman" w:hAnsi="Times New Roman"/>
          <w:b/>
          <w:bCs/>
        </w:rPr>
        <w:tab/>
        <w:t>Summary on email discussion on Sidelink enhancements</w:t>
      </w:r>
      <w:r w:rsidR="00A53395" w:rsidRPr="00AA2F9A">
        <w:rPr>
          <w:rFonts w:ascii="Times New Roman" w:hAnsi="Times New Roman"/>
          <w:b/>
          <w:bCs/>
        </w:rPr>
        <w:tab/>
        <w:t>Moderator (Nokia)</w:t>
      </w:r>
    </w:p>
    <w:p w14:paraId="32621706" w14:textId="5B616F3E" w:rsidR="00AA2F9A" w:rsidRPr="00AA2F9A" w:rsidRDefault="005A18DC" w:rsidP="00AA2F9A">
      <w:pPr>
        <w:rPr>
          <w:rFonts w:ascii="Times New Roman" w:hAnsi="Times New Roman"/>
          <w:b/>
          <w:bCs/>
        </w:rPr>
      </w:pPr>
      <w:hyperlink r:id="rId2969" w:history="1">
        <w:r w:rsidR="00AF7253">
          <w:rPr>
            <w:rStyle w:val="Hyperlink"/>
            <w:rFonts w:ascii="Times New Roman" w:hAnsi="Times New Roman"/>
            <w:b/>
            <w:bCs/>
            <w:highlight w:val="green"/>
          </w:rPr>
          <w:t>R1-2312758</w:t>
        </w:r>
      </w:hyperlink>
      <w:r w:rsidR="00AA2F9A" w:rsidRPr="00AA2F9A">
        <w:rPr>
          <w:rFonts w:ascii="Times New Roman" w:hAnsi="Times New Roman"/>
          <w:b/>
          <w:bCs/>
        </w:rPr>
        <w:tab/>
        <w:t>Correction of enhancements for NR sidelink evolution</w:t>
      </w:r>
      <w:r w:rsidR="00AA2F9A" w:rsidRPr="00AA2F9A">
        <w:rPr>
          <w:rFonts w:ascii="Times New Roman" w:hAnsi="Times New Roman"/>
          <w:b/>
          <w:bCs/>
        </w:rPr>
        <w:tab/>
        <w:t>Nokia</w:t>
      </w:r>
    </w:p>
    <w:p w14:paraId="103A0C33" w14:textId="4C4E6807" w:rsidR="00A53395" w:rsidRPr="00EC6E5E" w:rsidRDefault="00A53395" w:rsidP="00A53395">
      <w:pPr>
        <w:rPr>
          <w:rFonts w:ascii="Times New Roman" w:hAnsi="Times New Roman"/>
        </w:rPr>
      </w:pPr>
      <w:r w:rsidRPr="00EC6E5E">
        <w:rPr>
          <w:rFonts w:ascii="Times New Roman" w:hAnsi="Times New Roman"/>
          <w:b/>
          <w:bCs/>
        </w:rPr>
        <w:t>Decision:</w:t>
      </w:r>
      <w:r w:rsidRPr="00EC6E5E">
        <w:rPr>
          <w:rFonts w:ascii="Times New Roman" w:hAnsi="Times New Roman"/>
        </w:rPr>
        <w:t xml:space="preserve"> As per email decision posted on </w:t>
      </w:r>
      <w:r>
        <w:rPr>
          <w:rFonts w:ascii="Times New Roman" w:hAnsi="Times New Roman"/>
        </w:rPr>
        <w:t>Nov 30</w:t>
      </w:r>
      <w:r w:rsidRPr="00EC6E5E">
        <w:rPr>
          <w:rFonts w:ascii="Times New Roman" w:hAnsi="Times New Roman"/>
        </w:rPr>
        <w:t xml:space="preserve">th </w:t>
      </w:r>
      <w:r w:rsidRPr="007F4549">
        <w:rPr>
          <w:rFonts w:ascii="Times New Roman" w:hAnsi="Times New Roman"/>
        </w:rPr>
        <w:t>[Post-115-38.21</w:t>
      </w:r>
      <w:r>
        <w:rPr>
          <w:rFonts w:ascii="Times New Roman" w:hAnsi="Times New Roman"/>
        </w:rPr>
        <w:t>4</w:t>
      </w:r>
      <w:r w:rsidRPr="007F4549">
        <w:rPr>
          <w:rFonts w:ascii="Times New Roman" w:hAnsi="Times New Roman"/>
        </w:rPr>
        <w:t>-NR_SL_enh2]</w:t>
      </w:r>
      <w:r w:rsidRPr="00EC6E5E">
        <w:rPr>
          <w:rFonts w:ascii="Times New Roman" w:hAnsi="Times New Roman"/>
        </w:rPr>
        <w:t xml:space="preserve">, </w:t>
      </w:r>
      <w:r>
        <w:rPr>
          <w:rFonts w:ascii="Times New Roman" w:hAnsi="Times New Roman"/>
        </w:rPr>
        <w:t>(Rel-18, 38.214, CR0488, Cat F) is agreed.</w:t>
      </w:r>
    </w:p>
    <w:p w14:paraId="3DEF0296" w14:textId="77777777" w:rsidR="00AA2F9A" w:rsidRPr="00EC6E5E" w:rsidRDefault="00AA2F9A" w:rsidP="00AA2F9A">
      <w:pPr>
        <w:rPr>
          <w:rFonts w:ascii="Times New Roman" w:hAnsi="Times New Roman"/>
        </w:rPr>
      </w:pPr>
    </w:p>
    <w:p w14:paraId="23655D97" w14:textId="77777777" w:rsidR="00EC6E5E" w:rsidRPr="00EC6E5E" w:rsidRDefault="00EC6E5E" w:rsidP="00EC6E5E">
      <w:pPr>
        <w:rPr>
          <w:rFonts w:ascii="Times New Roman" w:hAnsi="Times New Roman"/>
        </w:rPr>
      </w:pPr>
      <w:r w:rsidRPr="00EC6E5E">
        <w:rPr>
          <w:rFonts w:ascii="Times New Roman" w:hAnsi="Times New Roman"/>
        </w:rPr>
        <w:t>//</w:t>
      </w:r>
      <w:r w:rsidRPr="00EC6E5E">
        <w:t xml:space="preserve"> </w:t>
      </w:r>
      <w:r w:rsidRPr="00EC6E5E">
        <w:rPr>
          <w:rFonts w:ascii="Times New Roman" w:hAnsi="Times New Roman"/>
        </w:rPr>
        <w:t>NR_pos_enh2</w:t>
      </w:r>
    </w:p>
    <w:p w14:paraId="495E8D5B" w14:textId="25EF0C6F" w:rsidR="001B1CCA" w:rsidRPr="00543A56" w:rsidRDefault="005A18DC" w:rsidP="001B1CCA">
      <w:pPr>
        <w:rPr>
          <w:b/>
          <w:bCs/>
        </w:rPr>
      </w:pPr>
      <w:hyperlink r:id="rId2970" w:history="1">
        <w:r w:rsidR="00AF7253">
          <w:rPr>
            <w:rStyle w:val="Hyperlink"/>
            <w:b/>
            <w:bCs/>
          </w:rPr>
          <w:t>R1-2312799</w:t>
        </w:r>
      </w:hyperlink>
      <w:r w:rsidR="001B1CCA" w:rsidRPr="00543A56">
        <w:rPr>
          <w:b/>
          <w:bCs/>
        </w:rPr>
        <w:tab/>
        <w:t>Summary of email discussions [Post-115-38.202-NR_pos_enh2]</w:t>
      </w:r>
      <w:r w:rsidR="001B1CCA" w:rsidRPr="00543A56">
        <w:rPr>
          <w:b/>
          <w:bCs/>
        </w:rPr>
        <w:tab/>
        <w:t>Moderator (Qualcomm)</w:t>
      </w:r>
    </w:p>
    <w:p w14:paraId="014F2A6B" w14:textId="01C774D1" w:rsidR="001B1CCA" w:rsidRPr="00543A56" w:rsidRDefault="005A18DC" w:rsidP="001B1CCA">
      <w:pPr>
        <w:rPr>
          <w:b/>
          <w:bCs/>
        </w:rPr>
      </w:pPr>
      <w:hyperlink r:id="rId2971" w:history="1">
        <w:r w:rsidR="00AF7253">
          <w:rPr>
            <w:rStyle w:val="Hyperlink"/>
            <w:b/>
            <w:bCs/>
            <w:highlight w:val="green"/>
          </w:rPr>
          <w:t>R1-2312798</w:t>
        </w:r>
      </w:hyperlink>
      <w:r w:rsidR="001B1CCA" w:rsidRPr="00543A56">
        <w:rPr>
          <w:b/>
          <w:bCs/>
        </w:rPr>
        <w:tab/>
        <w:t>Release 18 TS38.202 Editor CR for SL-PRS transmission and Reception</w:t>
      </w:r>
      <w:r w:rsidR="001B1CCA" w:rsidRPr="00543A56">
        <w:rPr>
          <w:b/>
          <w:bCs/>
        </w:rPr>
        <w:tab/>
        <w:t>Qualcomm</w:t>
      </w:r>
    </w:p>
    <w:p w14:paraId="05188AFA" w14:textId="63B96240" w:rsidR="001B1CCA" w:rsidRPr="00EC6E5E" w:rsidRDefault="001B1CCA" w:rsidP="001B1CCA">
      <w:pPr>
        <w:rPr>
          <w:rFonts w:ascii="Times New Roman" w:hAnsi="Times New Roman"/>
        </w:rPr>
      </w:pPr>
      <w:r w:rsidRPr="00EC6E5E">
        <w:rPr>
          <w:rFonts w:ascii="Times New Roman" w:hAnsi="Times New Roman"/>
          <w:b/>
          <w:bCs/>
        </w:rPr>
        <w:t>Decision:</w:t>
      </w:r>
      <w:r w:rsidRPr="00EC6E5E">
        <w:rPr>
          <w:rFonts w:ascii="Times New Roman" w:hAnsi="Times New Roman"/>
        </w:rPr>
        <w:t xml:space="preserve"> As per email decision posted on </w:t>
      </w:r>
      <w:r>
        <w:rPr>
          <w:rFonts w:ascii="Times New Roman" w:hAnsi="Times New Roman"/>
        </w:rPr>
        <w:t>Nov 30</w:t>
      </w:r>
      <w:r w:rsidRPr="00EC6E5E">
        <w:rPr>
          <w:rFonts w:ascii="Times New Roman" w:hAnsi="Times New Roman"/>
        </w:rPr>
        <w:t xml:space="preserve">th </w:t>
      </w:r>
      <w:r w:rsidRPr="001B1CCA">
        <w:rPr>
          <w:rFonts w:ascii="Times New Roman" w:hAnsi="Times New Roman"/>
        </w:rPr>
        <w:t>[Post-115-R18-38.202-NR_pos_enh2]</w:t>
      </w:r>
      <w:r w:rsidRPr="00EC6E5E">
        <w:rPr>
          <w:rFonts w:ascii="Times New Roman" w:hAnsi="Times New Roman"/>
        </w:rPr>
        <w:t xml:space="preserve">, </w:t>
      </w:r>
      <w:r>
        <w:rPr>
          <w:rFonts w:ascii="Times New Roman" w:hAnsi="Times New Roman"/>
        </w:rPr>
        <w:t>(Rel-18, 38.202, CR0033, Cat F) is agreed.</w:t>
      </w:r>
    </w:p>
    <w:p w14:paraId="418D109D" w14:textId="07B6C2E5" w:rsidR="00543A56" w:rsidRPr="00543A56" w:rsidRDefault="005A18DC" w:rsidP="00543A56">
      <w:pPr>
        <w:rPr>
          <w:b/>
          <w:bCs/>
        </w:rPr>
      </w:pPr>
      <w:hyperlink r:id="rId2972" w:history="1">
        <w:r w:rsidR="00AF7253">
          <w:rPr>
            <w:rStyle w:val="Hyperlink"/>
            <w:b/>
            <w:bCs/>
          </w:rPr>
          <w:t>R1-2312779</w:t>
        </w:r>
      </w:hyperlink>
      <w:r w:rsidR="00543A56" w:rsidRPr="00543A56">
        <w:rPr>
          <w:b/>
          <w:bCs/>
        </w:rPr>
        <w:tab/>
        <w:t>Editor’s summary on draft CR 38.211 for NR_pos_enh2-Core</w:t>
      </w:r>
      <w:r w:rsidR="00543A56" w:rsidRPr="00543A56">
        <w:rPr>
          <w:b/>
          <w:bCs/>
        </w:rPr>
        <w:tab/>
        <w:t>Moderator (Ericsson)</w:t>
      </w:r>
    </w:p>
    <w:p w14:paraId="6A74A04D" w14:textId="02762D87" w:rsidR="00543A56" w:rsidRPr="00543A56" w:rsidRDefault="005A18DC" w:rsidP="00543A56">
      <w:pPr>
        <w:rPr>
          <w:b/>
          <w:bCs/>
        </w:rPr>
      </w:pPr>
      <w:hyperlink r:id="rId2973" w:history="1">
        <w:r w:rsidR="00AF7253">
          <w:rPr>
            <w:rStyle w:val="Hyperlink"/>
            <w:b/>
            <w:bCs/>
            <w:highlight w:val="green"/>
          </w:rPr>
          <w:t>R1-2312751</w:t>
        </w:r>
      </w:hyperlink>
      <w:r w:rsidR="00543A56" w:rsidRPr="00543A56">
        <w:rPr>
          <w:b/>
          <w:bCs/>
        </w:rPr>
        <w:tab/>
        <w:t>Corrections to positioning enhancements</w:t>
      </w:r>
      <w:r w:rsidR="00543A56" w:rsidRPr="00543A56">
        <w:rPr>
          <w:b/>
          <w:bCs/>
        </w:rPr>
        <w:tab/>
        <w:t>Ericsson</w:t>
      </w:r>
    </w:p>
    <w:p w14:paraId="38697572" w14:textId="2CE8E5CC" w:rsidR="0080591B" w:rsidRPr="00EC6E5E" w:rsidRDefault="0080591B" w:rsidP="0080591B">
      <w:pPr>
        <w:rPr>
          <w:rFonts w:ascii="Times New Roman" w:hAnsi="Times New Roman"/>
        </w:rPr>
      </w:pPr>
      <w:r w:rsidRPr="00EC6E5E">
        <w:rPr>
          <w:rFonts w:ascii="Times New Roman" w:hAnsi="Times New Roman"/>
          <w:b/>
          <w:bCs/>
        </w:rPr>
        <w:t>Decision:</w:t>
      </w:r>
      <w:r w:rsidRPr="00EC6E5E">
        <w:rPr>
          <w:rFonts w:ascii="Times New Roman" w:hAnsi="Times New Roman"/>
        </w:rPr>
        <w:t xml:space="preserve"> As per email decision posted on </w:t>
      </w:r>
      <w:r>
        <w:rPr>
          <w:rFonts w:ascii="Times New Roman" w:hAnsi="Times New Roman"/>
        </w:rPr>
        <w:t>Nov 30</w:t>
      </w:r>
      <w:r w:rsidRPr="00EC6E5E">
        <w:rPr>
          <w:rFonts w:ascii="Times New Roman" w:hAnsi="Times New Roman"/>
        </w:rPr>
        <w:t xml:space="preserve">th </w:t>
      </w:r>
      <w:r w:rsidRPr="0080591B">
        <w:rPr>
          <w:rFonts w:ascii="Times New Roman" w:hAnsi="Times New Roman"/>
        </w:rPr>
        <w:t>[Post-115-38.211-NR_pos_enh2-Core]</w:t>
      </w:r>
      <w:r w:rsidRPr="00EC6E5E">
        <w:rPr>
          <w:rFonts w:ascii="Times New Roman" w:hAnsi="Times New Roman"/>
        </w:rPr>
        <w:t xml:space="preserve">, </w:t>
      </w:r>
      <w:r>
        <w:rPr>
          <w:rFonts w:ascii="Times New Roman" w:hAnsi="Times New Roman"/>
        </w:rPr>
        <w:t>(Rel-18, 38.211, CR0119, Cat F) is agreed.</w:t>
      </w:r>
    </w:p>
    <w:p w14:paraId="0BDDBA80" w14:textId="43E3FAD7" w:rsidR="0080591B" w:rsidRPr="00543A56" w:rsidRDefault="005A18DC" w:rsidP="0080591B">
      <w:pPr>
        <w:rPr>
          <w:b/>
          <w:bCs/>
        </w:rPr>
      </w:pPr>
      <w:hyperlink r:id="rId2974" w:history="1">
        <w:r w:rsidR="00AF7253">
          <w:rPr>
            <w:rStyle w:val="Hyperlink"/>
            <w:b/>
            <w:bCs/>
          </w:rPr>
          <w:t>R1-2312772</w:t>
        </w:r>
      </w:hyperlink>
      <w:r w:rsidR="0080591B" w:rsidRPr="00543A56">
        <w:rPr>
          <w:b/>
          <w:bCs/>
        </w:rPr>
        <w:tab/>
        <w:t>Summary of email discussion [Post-115-38.212-NR_pos_enh2-Core]</w:t>
      </w:r>
      <w:r w:rsidR="0080591B" w:rsidRPr="00543A56">
        <w:rPr>
          <w:b/>
          <w:bCs/>
        </w:rPr>
        <w:tab/>
        <w:t>Moderator (Huawei)</w:t>
      </w:r>
    </w:p>
    <w:p w14:paraId="7C567B50" w14:textId="590A3135" w:rsidR="0080591B" w:rsidRPr="00543A56" w:rsidRDefault="005A18DC" w:rsidP="0080591B">
      <w:pPr>
        <w:rPr>
          <w:b/>
          <w:bCs/>
        </w:rPr>
      </w:pPr>
      <w:hyperlink r:id="rId2975" w:history="1">
        <w:r w:rsidR="00AF7253">
          <w:rPr>
            <w:rStyle w:val="Hyperlink"/>
            <w:b/>
            <w:bCs/>
            <w:highlight w:val="green"/>
          </w:rPr>
          <w:t>R1-2312737</w:t>
        </w:r>
      </w:hyperlink>
      <w:r w:rsidR="0080591B" w:rsidRPr="00543A56">
        <w:rPr>
          <w:b/>
          <w:bCs/>
        </w:rPr>
        <w:tab/>
        <w:t>Corrections on NR positioning enhancement in 38.212</w:t>
      </w:r>
      <w:r w:rsidR="0080591B" w:rsidRPr="00543A56">
        <w:rPr>
          <w:b/>
          <w:bCs/>
        </w:rPr>
        <w:tab/>
        <w:t>Huawei</w:t>
      </w:r>
    </w:p>
    <w:p w14:paraId="67C1AF30" w14:textId="7D877838" w:rsidR="0080591B" w:rsidRPr="00EC6E5E" w:rsidRDefault="0080591B" w:rsidP="0080591B">
      <w:pPr>
        <w:rPr>
          <w:rFonts w:ascii="Times New Roman" w:hAnsi="Times New Roman"/>
        </w:rPr>
      </w:pPr>
      <w:r w:rsidRPr="00EC6E5E">
        <w:rPr>
          <w:rFonts w:ascii="Times New Roman" w:hAnsi="Times New Roman"/>
          <w:b/>
          <w:bCs/>
        </w:rPr>
        <w:t>Decision:</w:t>
      </w:r>
      <w:r w:rsidRPr="00EC6E5E">
        <w:rPr>
          <w:rFonts w:ascii="Times New Roman" w:hAnsi="Times New Roman"/>
        </w:rPr>
        <w:t xml:space="preserve"> As per email decision posted on </w:t>
      </w:r>
      <w:r>
        <w:rPr>
          <w:rFonts w:ascii="Times New Roman" w:hAnsi="Times New Roman"/>
        </w:rPr>
        <w:t>Nov 30</w:t>
      </w:r>
      <w:r w:rsidRPr="00EC6E5E">
        <w:rPr>
          <w:rFonts w:ascii="Times New Roman" w:hAnsi="Times New Roman"/>
        </w:rPr>
        <w:t xml:space="preserve">th </w:t>
      </w:r>
      <w:r w:rsidRPr="0080591B">
        <w:rPr>
          <w:rFonts w:ascii="Times New Roman" w:hAnsi="Times New Roman"/>
        </w:rPr>
        <w:t>[Post-115-38.212-NR_pos_enh2-Core]</w:t>
      </w:r>
      <w:r w:rsidRPr="00EC6E5E">
        <w:rPr>
          <w:rFonts w:ascii="Times New Roman" w:hAnsi="Times New Roman"/>
        </w:rPr>
        <w:t xml:space="preserve">, </w:t>
      </w:r>
      <w:r>
        <w:rPr>
          <w:rFonts w:ascii="Times New Roman" w:hAnsi="Times New Roman"/>
        </w:rPr>
        <w:t>(Rel-18, 38.212, CR0163, Cat F) is agreed.</w:t>
      </w:r>
    </w:p>
    <w:p w14:paraId="2A5DC88A" w14:textId="318E27B8" w:rsidR="00543A56" w:rsidRPr="00543A56" w:rsidRDefault="005A18DC" w:rsidP="00543A56">
      <w:pPr>
        <w:rPr>
          <w:b/>
          <w:bCs/>
        </w:rPr>
      </w:pPr>
      <w:hyperlink r:id="rId2976" w:history="1">
        <w:r w:rsidR="00AF7253">
          <w:rPr>
            <w:rStyle w:val="Hyperlink"/>
            <w:b/>
            <w:bCs/>
            <w:highlight w:val="green"/>
          </w:rPr>
          <w:t>R1-2312730</w:t>
        </w:r>
      </w:hyperlink>
      <w:r w:rsidR="00543A56" w:rsidRPr="00543A56">
        <w:rPr>
          <w:b/>
          <w:bCs/>
        </w:rPr>
        <w:tab/>
        <w:t>Maintenance of expanded and improved NR positioning</w:t>
      </w:r>
      <w:r w:rsidR="00543A56" w:rsidRPr="00543A56">
        <w:rPr>
          <w:b/>
          <w:bCs/>
        </w:rPr>
        <w:tab/>
        <w:t>Samsung</w:t>
      </w:r>
    </w:p>
    <w:p w14:paraId="5344C1FD" w14:textId="1F3E8BA7" w:rsidR="0080591B" w:rsidRPr="00EC6E5E" w:rsidRDefault="0080591B" w:rsidP="0080591B">
      <w:pPr>
        <w:rPr>
          <w:rFonts w:ascii="Times New Roman" w:hAnsi="Times New Roman"/>
        </w:rPr>
      </w:pPr>
      <w:r w:rsidRPr="00EC6E5E">
        <w:rPr>
          <w:rFonts w:ascii="Times New Roman" w:hAnsi="Times New Roman"/>
          <w:b/>
          <w:bCs/>
        </w:rPr>
        <w:t>Decision:</w:t>
      </w:r>
      <w:r w:rsidRPr="00EC6E5E">
        <w:rPr>
          <w:rFonts w:ascii="Times New Roman" w:hAnsi="Times New Roman"/>
        </w:rPr>
        <w:t xml:space="preserve"> As per email decision posted on </w:t>
      </w:r>
      <w:r>
        <w:rPr>
          <w:rFonts w:ascii="Times New Roman" w:hAnsi="Times New Roman"/>
        </w:rPr>
        <w:t>Nov 30</w:t>
      </w:r>
      <w:r w:rsidRPr="00EC6E5E">
        <w:rPr>
          <w:rFonts w:ascii="Times New Roman" w:hAnsi="Times New Roman"/>
        </w:rPr>
        <w:t xml:space="preserve">th </w:t>
      </w:r>
      <w:r w:rsidRPr="0080591B">
        <w:rPr>
          <w:rFonts w:ascii="Times New Roman" w:hAnsi="Times New Roman"/>
        </w:rPr>
        <w:t>[Post-115-R18-38.213-NR_pos_enh2]</w:t>
      </w:r>
      <w:r w:rsidRPr="00EC6E5E">
        <w:rPr>
          <w:rFonts w:ascii="Times New Roman" w:hAnsi="Times New Roman"/>
        </w:rPr>
        <w:t xml:space="preserve">, </w:t>
      </w:r>
      <w:r>
        <w:rPr>
          <w:rFonts w:ascii="Times New Roman" w:hAnsi="Times New Roman"/>
        </w:rPr>
        <w:t>(Rel-18, 38.213, CR0579, Cat F) is agreed.</w:t>
      </w:r>
    </w:p>
    <w:p w14:paraId="2F94F4B4" w14:textId="0A7971BD" w:rsidR="001B1CCA" w:rsidRPr="00543A56" w:rsidRDefault="005A18DC" w:rsidP="001B1CCA">
      <w:pPr>
        <w:rPr>
          <w:b/>
          <w:bCs/>
        </w:rPr>
      </w:pPr>
      <w:hyperlink r:id="rId2977" w:history="1">
        <w:r w:rsidR="00AF7253">
          <w:rPr>
            <w:rStyle w:val="Hyperlink"/>
            <w:b/>
            <w:bCs/>
          </w:rPr>
          <w:t>R1-2312813</w:t>
        </w:r>
      </w:hyperlink>
      <w:r w:rsidR="001B1CCA" w:rsidRPr="00543A56">
        <w:rPr>
          <w:b/>
          <w:bCs/>
        </w:rPr>
        <w:tab/>
        <w:t>Summary on email discussion on NR Enhanced Positioning</w:t>
      </w:r>
      <w:r w:rsidR="001B1CCA" w:rsidRPr="00543A56">
        <w:rPr>
          <w:b/>
          <w:bCs/>
        </w:rPr>
        <w:tab/>
        <w:t>Moderator (Nokia)</w:t>
      </w:r>
    </w:p>
    <w:p w14:paraId="21E9949C" w14:textId="49777ACC" w:rsidR="00543A56" w:rsidRPr="00543A56" w:rsidRDefault="005A18DC" w:rsidP="00543A56">
      <w:pPr>
        <w:rPr>
          <w:b/>
          <w:bCs/>
        </w:rPr>
      </w:pPr>
      <w:hyperlink r:id="rId2978" w:history="1">
        <w:r w:rsidR="00AF7253">
          <w:rPr>
            <w:rStyle w:val="Hyperlink"/>
            <w:b/>
            <w:bCs/>
            <w:highlight w:val="green"/>
          </w:rPr>
          <w:t>R1-2312757</w:t>
        </w:r>
      </w:hyperlink>
      <w:r w:rsidR="00543A56" w:rsidRPr="00543A56">
        <w:rPr>
          <w:b/>
          <w:bCs/>
        </w:rPr>
        <w:tab/>
        <w:t>Corrections on the support for Expanded and Improved NR Positioning</w:t>
      </w:r>
      <w:r w:rsidR="00543A56" w:rsidRPr="00543A56">
        <w:rPr>
          <w:b/>
          <w:bCs/>
        </w:rPr>
        <w:tab/>
        <w:t>Nokia</w:t>
      </w:r>
    </w:p>
    <w:p w14:paraId="3B105E1B" w14:textId="20323014" w:rsidR="001B1CCA" w:rsidRPr="00EC6E5E" w:rsidRDefault="001B1CCA" w:rsidP="001B1CCA">
      <w:pPr>
        <w:rPr>
          <w:rFonts w:ascii="Times New Roman" w:hAnsi="Times New Roman"/>
        </w:rPr>
      </w:pPr>
      <w:r w:rsidRPr="00EC6E5E">
        <w:rPr>
          <w:rFonts w:ascii="Times New Roman" w:hAnsi="Times New Roman"/>
          <w:b/>
          <w:bCs/>
        </w:rPr>
        <w:t>Decision:</w:t>
      </w:r>
      <w:r w:rsidRPr="00EC6E5E">
        <w:rPr>
          <w:rFonts w:ascii="Times New Roman" w:hAnsi="Times New Roman"/>
        </w:rPr>
        <w:t xml:space="preserve"> As per email decision posted on </w:t>
      </w:r>
      <w:r>
        <w:rPr>
          <w:rFonts w:ascii="Times New Roman" w:hAnsi="Times New Roman"/>
        </w:rPr>
        <w:t>Dec 1st</w:t>
      </w:r>
      <w:r w:rsidRPr="00EC6E5E">
        <w:rPr>
          <w:rFonts w:ascii="Times New Roman" w:hAnsi="Times New Roman"/>
        </w:rPr>
        <w:t xml:space="preserve"> </w:t>
      </w:r>
      <w:r w:rsidRPr="001B1CCA">
        <w:rPr>
          <w:rFonts w:ascii="Times New Roman" w:hAnsi="Times New Roman"/>
        </w:rPr>
        <w:t>[Post-115-38.214-NR_pos_enh2]</w:t>
      </w:r>
      <w:r w:rsidRPr="00EC6E5E">
        <w:rPr>
          <w:rFonts w:ascii="Times New Roman" w:hAnsi="Times New Roman"/>
        </w:rPr>
        <w:t xml:space="preserve">, </w:t>
      </w:r>
      <w:r>
        <w:rPr>
          <w:rFonts w:ascii="Times New Roman" w:hAnsi="Times New Roman"/>
        </w:rPr>
        <w:t>(Rel-18, 38.214, CR0487, Cat F) is agreed.</w:t>
      </w:r>
    </w:p>
    <w:p w14:paraId="47CECD2F" w14:textId="587766A4" w:rsidR="00543A56" w:rsidRPr="00543A56" w:rsidRDefault="005A18DC" w:rsidP="00543A56">
      <w:pPr>
        <w:rPr>
          <w:b/>
          <w:bCs/>
        </w:rPr>
      </w:pPr>
      <w:hyperlink r:id="rId2979" w:history="1">
        <w:r w:rsidR="00AF7253">
          <w:rPr>
            <w:rStyle w:val="Hyperlink"/>
            <w:b/>
            <w:bCs/>
          </w:rPr>
          <w:t>R1-2312817</w:t>
        </w:r>
      </w:hyperlink>
      <w:r w:rsidR="00543A56" w:rsidRPr="00543A56">
        <w:rPr>
          <w:b/>
          <w:bCs/>
        </w:rPr>
        <w:tab/>
        <w:t>Discussion summary for TS38.215 draft CR for Rel-18 positioning enhancements</w:t>
      </w:r>
      <w:r w:rsidR="00543A56" w:rsidRPr="00543A56">
        <w:rPr>
          <w:b/>
          <w:bCs/>
        </w:rPr>
        <w:tab/>
        <w:t>Moderator (Intel Corporation)</w:t>
      </w:r>
    </w:p>
    <w:p w14:paraId="1B230620" w14:textId="0E133E93" w:rsidR="001B1CCA" w:rsidRPr="00543A56" w:rsidRDefault="005A18DC" w:rsidP="001B1CCA">
      <w:pPr>
        <w:rPr>
          <w:b/>
          <w:bCs/>
        </w:rPr>
      </w:pPr>
      <w:hyperlink r:id="rId2980" w:history="1">
        <w:r w:rsidR="00AF7253">
          <w:rPr>
            <w:rStyle w:val="Hyperlink"/>
            <w:b/>
            <w:bCs/>
            <w:highlight w:val="green"/>
          </w:rPr>
          <w:t>R1-2312736</w:t>
        </w:r>
      </w:hyperlink>
      <w:r w:rsidR="001B1CCA" w:rsidRPr="00543A56">
        <w:rPr>
          <w:b/>
          <w:bCs/>
        </w:rPr>
        <w:tab/>
        <w:t>Correction of Rel-18 Positioning Enhancements</w:t>
      </w:r>
      <w:r w:rsidR="001B1CCA" w:rsidRPr="00543A56">
        <w:rPr>
          <w:b/>
          <w:bCs/>
        </w:rPr>
        <w:tab/>
        <w:t>Intel Corporation</w:t>
      </w:r>
    </w:p>
    <w:p w14:paraId="3D735818" w14:textId="44475873" w:rsidR="001B1CCA" w:rsidRPr="00EC6E5E" w:rsidRDefault="001B1CCA" w:rsidP="001B1CCA">
      <w:pPr>
        <w:rPr>
          <w:rFonts w:ascii="Times New Roman" w:hAnsi="Times New Roman"/>
        </w:rPr>
      </w:pPr>
      <w:r w:rsidRPr="00EC6E5E">
        <w:rPr>
          <w:rFonts w:ascii="Times New Roman" w:hAnsi="Times New Roman"/>
          <w:b/>
          <w:bCs/>
        </w:rPr>
        <w:t>Decision:</w:t>
      </w:r>
      <w:r w:rsidRPr="00EC6E5E">
        <w:rPr>
          <w:rFonts w:ascii="Times New Roman" w:hAnsi="Times New Roman"/>
        </w:rPr>
        <w:t xml:space="preserve"> As per email decision posted on </w:t>
      </w:r>
      <w:r>
        <w:rPr>
          <w:rFonts w:ascii="Times New Roman" w:hAnsi="Times New Roman"/>
        </w:rPr>
        <w:t>Nov 30</w:t>
      </w:r>
      <w:r w:rsidRPr="00EC6E5E">
        <w:rPr>
          <w:rFonts w:ascii="Times New Roman" w:hAnsi="Times New Roman"/>
        </w:rPr>
        <w:t xml:space="preserve">th </w:t>
      </w:r>
      <w:r w:rsidRPr="001B1CCA">
        <w:rPr>
          <w:rFonts w:ascii="Times New Roman" w:hAnsi="Times New Roman"/>
        </w:rPr>
        <w:t>[Post-115-38.215-NR_pos_enh2]</w:t>
      </w:r>
      <w:r w:rsidRPr="00EC6E5E">
        <w:rPr>
          <w:rFonts w:ascii="Times New Roman" w:hAnsi="Times New Roman"/>
        </w:rPr>
        <w:t xml:space="preserve">, </w:t>
      </w:r>
      <w:r>
        <w:rPr>
          <w:rFonts w:ascii="Times New Roman" w:hAnsi="Times New Roman"/>
        </w:rPr>
        <w:t>(Rel-18, 38.215, CR0062, Cat F) is agreed.</w:t>
      </w:r>
    </w:p>
    <w:p w14:paraId="6D841FFE" w14:textId="77777777" w:rsidR="00543A56" w:rsidRPr="00EC6E5E" w:rsidRDefault="00543A56" w:rsidP="00543A56"/>
    <w:p w14:paraId="6C3A82B6" w14:textId="77777777" w:rsidR="00EC6E5E" w:rsidRPr="00EC6E5E" w:rsidRDefault="00EC6E5E" w:rsidP="00EC6E5E">
      <w:pPr>
        <w:rPr>
          <w:rFonts w:ascii="Times New Roman" w:hAnsi="Times New Roman"/>
        </w:rPr>
      </w:pPr>
      <w:r w:rsidRPr="00EC6E5E">
        <w:lastRenderedPageBreak/>
        <w:t xml:space="preserve">// </w:t>
      </w:r>
      <w:r w:rsidRPr="00EC6E5E">
        <w:rPr>
          <w:rFonts w:ascii="Times New Roman" w:hAnsi="Times New Roman"/>
        </w:rPr>
        <w:t>NR_redcap_enh</w:t>
      </w:r>
    </w:p>
    <w:p w14:paraId="0BB660DE" w14:textId="557EC6DE" w:rsidR="00AF7253" w:rsidRPr="00AF7253" w:rsidRDefault="005A18DC" w:rsidP="00AF7253">
      <w:pPr>
        <w:rPr>
          <w:b/>
          <w:bCs/>
        </w:rPr>
      </w:pPr>
      <w:hyperlink r:id="rId2981" w:history="1">
        <w:r w:rsidR="00AF7253">
          <w:rPr>
            <w:rStyle w:val="Hyperlink"/>
            <w:b/>
            <w:bCs/>
            <w:highlight w:val="green"/>
          </w:rPr>
          <w:t>R1-2312731</w:t>
        </w:r>
      </w:hyperlink>
      <w:r w:rsidR="00AF7253" w:rsidRPr="00AF7253">
        <w:rPr>
          <w:b/>
          <w:bCs/>
        </w:rPr>
        <w:tab/>
        <w:t>Maintenance of support for enhanced reduced capability NR devices</w:t>
      </w:r>
      <w:r w:rsidR="00AF7253" w:rsidRPr="00AF7253">
        <w:rPr>
          <w:b/>
          <w:bCs/>
        </w:rPr>
        <w:tab/>
        <w:t>Samsung</w:t>
      </w:r>
    </w:p>
    <w:p w14:paraId="438A1FA5" w14:textId="76117C62" w:rsidR="00AF7253" w:rsidRPr="00EC6E5E" w:rsidRDefault="00AF7253" w:rsidP="00AF7253">
      <w:pPr>
        <w:rPr>
          <w:rFonts w:ascii="Times New Roman" w:hAnsi="Times New Roman"/>
        </w:rPr>
      </w:pPr>
      <w:r w:rsidRPr="00EC6E5E">
        <w:rPr>
          <w:rFonts w:ascii="Times New Roman" w:hAnsi="Times New Roman"/>
          <w:b/>
          <w:bCs/>
        </w:rPr>
        <w:t>Decision:</w:t>
      </w:r>
      <w:r w:rsidRPr="00EC6E5E">
        <w:rPr>
          <w:rFonts w:ascii="Times New Roman" w:hAnsi="Times New Roman"/>
        </w:rPr>
        <w:t xml:space="preserve"> As per email decision posted on </w:t>
      </w:r>
      <w:r>
        <w:rPr>
          <w:rFonts w:ascii="Times New Roman" w:hAnsi="Times New Roman"/>
        </w:rPr>
        <w:t>Nov 30</w:t>
      </w:r>
      <w:r w:rsidRPr="00EC6E5E">
        <w:rPr>
          <w:rFonts w:ascii="Times New Roman" w:hAnsi="Times New Roman"/>
        </w:rPr>
        <w:t xml:space="preserve">th </w:t>
      </w:r>
      <w:r w:rsidRPr="00AF7253">
        <w:rPr>
          <w:rFonts w:ascii="Times New Roman" w:hAnsi="Times New Roman"/>
        </w:rPr>
        <w:t>[Post-115-38.213-NR_redcap_enh]</w:t>
      </w:r>
      <w:r w:rsidRPr="00EC6E5E">
        <w:rPr>
          <w:rFonts w:ascii="Times New Roman" w:hAnsi="Times New Roman"/>
        </w:rPr>
        <w:t xml:space="preserve">, </w:t>
      </w:r>
      <w:r>
        <w:rPr>
          <w:rFonts w:ascii="Times New Roman" w:hAnsi="Times New Roman"/>
        </w:rPr>
        <w:t>(Rel-18, 38.213, CR0580, Cat F) is agreed.</w:t>
      </w:r>
    </w:p>
    <w:p w14:paraId="7A51984B" w14:textId="1464E680" w:rsidR="00AF7253" w:rsidRPr="00AF7253" w:rsidRDefault="005A18DC" w:rsidP="00AF7253">
      <w:pPr>
        <w:rPr>
          <w:b/>
          <w:bCs/>
        </w:rPr>
      </w:pPr>
      <w:hyperlink r:id="rId2982" w:history="1">
        <w:r w:rsidR="00AF7253">
          <w:rPr>
            <w:rStyle w:val="Hyperlink"/>
            <w:b/>
            <w:bCs/>
            <w:highlight w:val="green"/>
          </w:rPr>
          <w:t>R1-2312759</w:t>
        </w:r>
      </w:hyperlink>
      <w:r w:rsidR="00AF7253" w:rsidRPr="00AF7253">
        <w:rPr>
          <w:b/>
          <w:bCs/>
        </w:rPr>
        <w:tab/>
        <w:t>Correction of enhanced reduced capability NR devices</w:t>
      </w:r>
      <w:r w:rsidR="00AF7253" w:rsidRPr="00AF7253">
        <w:rPr>
          <w:b/>
          <w:bCs/>
        </w:rPr>
        <w:tab/>
        <w:t>Nokia</w:t>
      </w:r>
    </w:p>
    <w:p w14:paraId="24ECC3E7" w14:textId="6266C052" w:rsidR="00AF7253" w:rsidRPr="00EC6E5E" w:rsidRDefault="00AF7253" w:rsidP="00AF7253">
      <w:pPr>
        <w:rPr>
          <w:rFonts w:ascii="Times New Roman" w:hAnsi="Times New Roman"/>
        </w:rPr>
      </w:pPr>
      <w:r w:rsidRPr="00EC6E5E">
        <w:rPr>
          <w:rFonts w:ascii="Times New Roman" w:hAnsi="Times New Roman"/>
          <w:b/>
          <w:bCs/>
        </w:rPr>
        <w:t>Decision:</w:t>
      </w:r>
      <w:r w:rsidRPr="00EC6E5E">
        <w:rPr>
          <w:rFonts w:ascii="Times New Roman" w:hAnsi="Times New Roman"/>
        </w:rPr>
        <w:t xml:space="preserve"> As per email decision posted on </w:t>
      </w:r>
      <w:r>
        <w:rPr>
          <w:rFonts w:ascii="Times New Roman" w:hAnsi="Times New Roman"/>
        </w:rPr>
        <w:t>Nov 30</w:t>
      </w:r>
      <w:r w:rsidRPr="00EC6E5E">
        <w:rPr>
          <w:rFonts w:ascii="Times New Roman" w:hAnsi="Times New Roman"/>
        </w:rPr>
        <w:t xml:space="preserve">th </w:t>
      </w:r>
      <w:r w:rsidRPr="00AF7253">
        <w:rPr>
          <w:rFonts w:ascii="Times New Roman" w:hAnsi="Times New Roman"/>
        </w:rPr>
        <w:t>[Post-115-38.214-NR_redcap_enh]</w:t>
      </w:r>
      <w:r w:rsidRPr="00EC6E5E">
        <w:rPr>
          <w:rFonts w:ascii="Times New Roman" w:hAnsi="Times New Roman"/>
        </w:rPr>
        <w:t xml:space="preserve">, </w:t>
      </w:r>
      <w:r>
        <w:rPr>
          <w:rFonts w:ascii="Times New Roman" w:hAnsi="Times New Roman"/>
        </w:rPr>
        <w:t>(Rel-18, 38.214, CR0489, Cat F) is agreed.</w:t>
      </w:r>
    </w:p>
    <w:p w14:paraId="113DD036" w14:textId="77777777" w:rsidR="00AF7253" w:rsidRPr="00EC6E5E" w:rsidRDefault="00AF7253" w:rsidP="00AF7253"/>
    <w:p w14:paraId="3F9AB1FB" w14:textId="77777777" w:rsidR="00EC6E5E" w:rsidRPr="00EC6E5E" w:rsidRDefault="00EC6E5E" w:rsidP="00EC6E5E">
      <w:pPr>
        <w:rPr>
          <w:rFonts w:ascii="Times New Roman" w:hAnsi="Times New Roman"/>
        </w:rPr>
      </w:pPr>
      <w:r w:rsidRPr="00EC6E5E">
        <w:t xml:space="preserve">// </w:t>
      </w:r>
      <w:r w:rsidRPr="00EC6E5E">
        <w:rPr>
          <w:rFonts w:ascii="Times New Roman" w:hAnsi="Times New Roman"/>
        </w:rPr>
        <w:t>Netw_Energy_NR</w:t>
      </w:r>
    </w:p>
    <w:p w14:paraId="2F6EFB28" w14:textId="01C52B1C" w:rsidR="00B04C47" w:rsidRPr="00B04C47" w:rsidRDefault="005A18DC" w:rsidP="00B04C47">
      <w:pPr>
        <w:rPr>
          <w:b/>
          <w:bCs/>
        </w:rPr>
      </w:pPr>
      <w:hyperlink r:id="rId2983" w:history="1">
        <w:r w:rsidR="00AF7253">
          <w:rPr>
            <w:rStyle w:val="Hyperlink"/>
            <w:b/>
            <w:bCs/>
          </w:rPr>
          <w:t>R1-2312774</w:t>
        </w:r>
      </w:hyperlink>
      <w:r w:rsidR="00B04C47" w:rsidRPr="00B04C47">
        <w:rPr>
          <w:b/>
          <w:bCs/>
        </w:rPr>
        <w:tab/>
        <w:t>Summary of email discussion [Post-115-38.212-Netw_Energy_NR-Core]</w:t>
      </w:r>
      <w:r w:rsidR="00B04C47" w:rsidRPr="00B04C47">
        <w:rPr>
          <w:b/>
          <w:bCs/>
        </w:rPr>
        <w:tab/>
        <w:t>Moderator (Huawei)</w:t>
      </w:r>
    </w:p>
    <w:p w14:paraId="2CC0D85A" w14:textId="6D472E38" w:rsidR="00B04C47" w:rsidRPr="00B04C47" w:rsidRDefault="005A18DC" w:rsidP="00B04C47">
      <w:pPr>
        <w:rPr>
          <w:b/>
          <w:bCs/>
        </w:rPr>
      </w:pPr>
      <w:hyperlink r:id="rId2984" w:history="1">
        <w:r w:rsidR="00AF7253">
          <w:rPr>
            <w:rStyle w:val="Hyperlink"/>
            <w:b/>
            <w:bCs/>
            <w:highlight w:val="green"/>
          </w:rPr>
          <w:t>R1-2312743</w:t>
        </w:r>
      </w:hyperlink>
      <w:r w:rsidR="00B04C47" w:rsidRPr="00B04C47">
        <w:rPr>
          <w:b/>
          <w:bCs/>
        </w:rPr>
        <w:tab/>
        <w:t>Corrections on Rel-18 network energy saving for NR in 38.212</w:t>
      </w:r>
      <w:r w:rsidR="00B04C47" w:rsidRPr="00B04C47">
        <w:rPr>
          <w:b/>
          <w:bCs/>
        </w:rPr>
        <w:tab/>
        <w:t>Huawei</w:t>
      </w:r>
    </w:p>
    <w:p w14:paraId="2E1AC67B" w14:textId="3AD674B3" w:rsidR="001E5EDE" w:rsidRPr="00EC6E5E" w:rsidRDefault="001E5EDE" w:rsidP="001E5EDE">
      <w:pPr>
        <w:rPr>
          <w:rFonts w:ascii="Times New Roman" w:hAnsi="Times New Roman"/>
        </w:rPr>
      </w:pPr>
      <w:r w:rsidRPr="00EC6E5E">
        <w:rPr>
          <w:rFonts w:ascii="Times New Roman" w:hAnsi="Times New Roman"/>
          <w:b/>
          <w:bCs/>
        </w:rPr>
        <w:t>Decision:</w:t>
      </w:r>
      <w:r w:rsidRPr="00EC6E5E">
        <w:rPr>
          <w:rFonts w:ascii="Times New Roman" w:hAnsi="Times New Roman"/>
        </w:rPr>
        <w:t xml:space="preserve"> As per email decision posted on </w:t>
      </w:r>
      <w:r>
        <w:rPr>
          <w:rFonts w:ascii="Times New Roman" w:hAnsi="Times New Roman"/>
        </w:rPr>
        <w:t>Nov 30</w:t>
      </w:r>
      <w:r w:rsidRPr="00EC6E5E">
        <w:rPr>
          <w:rFonts w:ascii="Times New Roman" w:hAnsi="Times New Roman"/>
        </w:rPr>
        <w:t xml:space="preserve">th </w:t>
      </w:r>
      <w:r w:rsidRPr="001E5EDE">
        <w:rPr>
          <w:rFonts w:ascii="Times New Roman" w:hAnsi="Times New Roman"/>
        </w:rPr>
        <w:t>[Post-115-38.212-Netw_Energy_NR-Core]</w:t>
      </w:r>
      <w:r w:rsidRPr="00EC6E5E">
        <w:rPr>
          <w:rFonts w:ascii="Times New Roman" w:hAnsi="Times New Roman"/>
        </w:rPr>
        <w:t xml:space="preserve">, </w:t>
      </w:r>
      <w:r>
        <w:rPr>
          <w:rFonts w:ascii="Times New Roman" w:hAnsi="Times New Roman"/>
        </w:rPr>
        <w:t>(Rel-18, 38.212, CR0169, Cat F) is agreed.</w:t>
      </w:r>
    </w:p>
    <w:p w14:paraId="32BED79D" w14:textId="37EFFA27" w:rsidR="001E5EDE" w:rsidRPr="00B04C47" w:rsidRDefault="005A18DC" w:rsidP="001E5EDE">
      <w:pPr>
        <w:rPr>
          <w:b/>
          <w:bCs/>
        </w:rPr>
      </w:pPr>
      <w:hyperlink r:id="rId2985" w:history="1">
        <w:r w:rsidR="00AF7253">
          <w:rPr>
            <w:rStyle w:val="Hyperlink"/>
            <w:b/>
            <w:bCs/>
          </w:rPr>
          <w:t>R1-2312791</w:t>
        </w:r>
      </w:hyperlink>
      <w:r w:rsidR="001E5EDE" w:rsidRPr="00B04C47">
        <w:rPr>
          <w:b/>
          <w:bCs/>
        </w:rPr>
        <w:tab/>
        <w:t>Summary of email discussions [Post-115-38.213-NR_Netw_Energy_NR]</w:t>
      </w:r>
      <w:r w:rsidR="001E5EDE" w:rsidRPr="00B04C47">
        <w:rPr>
          <w:b/>
          <w:bCs/>
        </w:rPr>
        <w:tab/>
        <w:t>Moderator (Samsung)</w:t>
      </w:r>
    </w:p>
    <w:p w14:paraId="7FD2F91A" w14:textId="2CC45A3D" w:rsidR="001E5EDE" w:rsidRPr="00B04C47" w:rsidRDefault="005A18DC" w:rsidP="001E5EDE">
      <w:pPr>
        <w:rPr>
          <w:b/>
          <w:bCs/>
        </w:rPr>
      </w:pPr>
      <w:hyperlink r:id="rId2986" w:history="1">
        <w:r w:rsidR="00AF7253">
          <w:rPr>
            <w:rStyle w:val="Hyperlink"/>
            <w:b/>
            <w:bCs/>
            <w:highlight w:val="green"/>
          </w:rPr>
          <w:t>R1-2312729</w:t>
        </w:r>
      </w:hyperlink>
      <w:r w:rsidR="001E5EDE" w:rsidRPr="00B04C47">
        <w:rPr>
          <w:b/>
          <w:bCs/>
        </w:rPr>
        <w:tab/>
        <w:t>Maintenance of network energy savings for NR</w:t>
      </w:r>
      <w:r w:rsidR="001E5EDE" w:rsidRPr="00B04C47">
        <w:rPr>
          <w:b/>
          <w:bCs/>
        </w:rPr>
        <w:tab/>
        <w:t>Samsung</w:t>
      </w:r>
    </w:p>
    <w:p w14:paraId="29649F87" w14:textId="1338CB52" w:rsidR="001E5EDE" w:rsidRPr="00EC6E5E" w:rsidRDefault="001E5EDE" w:rsidP="001E5EDE">
      <w:pPr>
        <w:rPr>
          <w:rFonts w:ascii="Times New Roman" w:hAnsi="Times New Roman"/>
        </w:rPr>
      </w:pPr>
      <w:r w:rsidRPr="00EC6E5E">
        <w:rPr>
          <w:rFonts w:ascii="Times New Roman" w:hAnsi="Times New Roman"/>
          <w:b/>
          <w:bCs/>
        </w:rPr>
        <w:t>Decision:</w:t>
      </w:r>
      <w:r w:rsidRPr="00EC6E5E">
        <w:rPr>
          <w:rFonts w:ascii="Times New Roman" w:hAnsi="Times New Roman"/>
        </w:rPr>
        <w:t xml:space="preserve"> As per email decision posted on </w:t>
      </w:r>
      <w:r>
        <w:rPr>
          <w:rFonts w:ascii="Times New Roman" w:hAnsi="Times New Roman"/>
        </w:rPr>
        <w:t>Dec 1st</w:t>
      </w:r>
      <w:r w:rsidRPr="00EC6E5E">
        <w:rPr>
          <w:rFonts w:ascii="Times New Roman" w:hAnsi="Times New Roman"/>
        </w:rPr>
        <w:t xml:space="preserve"> </w:t>
      </w:r>
      <w:r w:rsidRPr="001E5EDE">
        <w:rPr>
          <w:rFonts w:ascii="Times New Roman" w:hAnsi="Times New Roman"/>
        </w:rPr>
        <w:t>[Post-115-38.213-NR__Netw_Energy_NR]</w:t>
      </w:r>
      <w:r w:rsidRPr="00EC6E5E">
        <w:rPr>
          <w:rFonts w:ascii="Times New Roman" w:hAnsi="Times New Roman"/>
        </w:rPr>
        <w:t xml:space="preserve">, </w:t>
      </w:r>
      <w:r>
        <w:rPr>
          <w:rFonts w:ascii="Times New Roman" w:hAnsi="Times New Roman"/>
        </w:rPr>
        <w:t>(Rel-18, 38.213, CR0578, Cat F) is agreed.</w:t>
      </w:r>
    </w:p>
    <w:p w14:paraId="547A09D0" w14:textId="0B5BFD63" w:rsidR="001E5EDE" w:rsidRPr="00DF35F3" w:rsidRDefault="005A18DC" w:rsidP="001E5EDE">
      <w:pPr>
        <w:rPr>
          <w:b/>
          <w:bCs/>
        </w:rPr>
      </w:pPr>
      <w:hyperlink r:id="rId2987" w:history="1">
        <w:r w:rsidR="00AF7253" w:rsidRPr="00DF35F3">
          <w:rPr>
            <w:rStyle w:val="Hyperlink"/>
            <w:b/>
            <w:bCs/>
          </w:rPr>
          <w:t>R1-2312803</w:t>
        </w:r>
      </w:hyperlink>
      <w:r w:rsidR="001E5EDE" w:rsidRPr="00DF35F3">
        <w:rPr>
          <w:b/>
          <w:bCs/>
        </w:rPr>
        <w:tab/>
        <w:t>Summary on email discussion on Netw_Energy_NR</w:t>
      </w:r>
      <w:r w:rsidR="001E5EDE" w:rsidRPr="00DF35F3">
        <w:rPr>
          <w:b/>
          <w:bCs/>
        </w:rPr>
        <w:tab/>
        <w:t>Moderator (Nokia)</w:t>
      </w:r>
    </w:p>
    <w:p w14:paraId="36B017FA" w14:textId="0473EC9B" w:rsidR="00B04C47" w:rsidRPr="00DF35F3" w:rsidRDefault="005A18DC" w:rsidP="00B04C47">
      <w:pPr>
        <w:rPr>
          <w:b/>
          <w:bCs/>
        </w:rPr>
      </w:pPr>
      <w:hyperlink r:id="rId2988" w:history="1">
        <w:r w:rsidR="00AF7253" w:rsidRPr="00DF35F3">
          <w:rPr>
            <w:rStyle w:val="Hyperlink"/>
            <w:b/>
            <w:bCs/>
            <w:highlight w:val="green"/>
          </w:rPr>
          <w:t>R1-2312752</w:t>
        </w:r>
      </w:hyperlink>
      <w:r w:rsidR="00B04C47" w:rsidRPr="00DF35F3">
        <w:rPr>
          <w:b/>
          <w:bCs/>
        </w:rPr>
        <w:tab/>
        <w:t>Correction of specification support for network energy saving</w:t>
      </w:r>
      <w:r w:rsidR="00B04C47" w:rsidRPr="00DF35F3">
        <w:rPr>
          <w:b/>
          <w:bCs/>
        </w:rPr>
        <w:tab/>
        <w:t>Nokia</w:t>
      </w:r>
    </w:p>
    <w:p w14:paraId="3598B400" w14:textId="0D140A47" w:rsidR="001E5EDE" w:rsidRPr="00EC6E5E" w:rsidRDefault="001E5EDE" w:rsidP="001E5EDE">
      <w:pPr>
        <w:rPr>
          <w:rFonts w:ascii="Times New Roman" w:hAnsi="Times New Roman"/>
        </w:rPr>
      </w:pPr>
      <w:r w:rsidRPr="00DF35F3">
        <w:rPr>
          <w:rFonts w:ascii="Times New Roman" w:hAnsi="Times New Roman"/>
          <w:b/>
          <w:bCs/>
        </w:rPr>
        <w:t>Decision:</w:t>
      </w:r>
      <w:r w:rsidRPr="00DF35F3">
        <w:rPr>
          <w:rFonts w:ascii="Times New Roman" w:hAnsi="Times New Roman"/>
        </w:rPr>
        <w:t xml:space="preserve"> As per email decision posted on Dec </w:t>
      </w:r>
      <w:r w:rsidR="00DF35F3">
        <w:rPr>
          <w:rFonts w:ascii="Times New Roman" w:hAnsi="Times New Roman"/>
        </w:rPr>
        <w:t>4th</w:t>
      </w:r>
      <w:r w:rsidRPr="00DF35F3">
        <w:rPr>
          <w:rFonts w:ascii="Times New Roman" w:hAnsi="Times New Roman"/>
        </w:rPr>
        <w:t xml:space="preserve"> </w:t>
      </w:r>
      <w:r w:rsidR="00DF35F3" w:rsidRPr="00DF35F3">
        <w:rPr>
          <w:rFonts w:ascii="Times New Roman" w:hAnsi="Times New Roman"/>
        </w:rPr>
        <w:t>[Post-115-38.214-Netw_Energy_NR]</w:t>
      </w:r>
      <w:r w:rsidRPr="00DF35F3">
        <w:rPr>
          <w:rFonts w:ascii="Times New Roman" w:hAnsi="Times New Roman"/>
        </w:rPr>
        <w:t>, (Rel-18, 38.214, CR0482, Cat F) is agreed.</w:t>
      </w:r>
    </w:p>
    <w:p w14:paraId="6B331871" w14:textId="77777777" w:rsidR="00B04C47" w:rsidRPr="00EC6E5E" w:rsidRDefault="00B04C47" w:rsidP="00B04C47"/>
    <w:p w14:paraId="3764760C" w14:textId="77777777" w:rsidR="00EC6E5E" w:rsidRPr="00EC6E5E" w:rsidRDefault="00EC6E5E" w:rsidP="00EC6E5E">
      <w:pPr>
        <w:rPr>
          <w:rFonts w:ascii="Times New Roman" w:hAnsi="Times New Roman"/>
        </w:rPr>
      </w:pPr>
      <w:r w:rsidRPr="00EC6E5E">
        <w:t xml:space="preserve">// </w:t>
      </w:r>
      <w:r w:rsidRPr="00EC6E5E">
        <w:rPr>
          <w:rFonts w:ascii="Times New Roman" w:hAnsi="Times New Roman"/>
        </w:rPr>
        <w:t>NR_XR_enh</w:t>
      </w:r>
    </w:p>
    <w:p w14:paraId="214C9877" w14:textId="65EA37B1" w:rsidR="00AF315F" w:rsidRPr="00AF315F" w:rsidRDefault="005A18DC" w:rsidP="00AF315F">
      <w:pPr>
        <w:rPr>
          <w:b/>
          <w:bCs/>
        </w:rPr>
      </w:pPr>
      <w:hyperlink r:id="rId2989" w:history="1">
        <w:r w:rsidR="00AF7253">
          <w:rPr>
            <w:rStyle w:val="Hyperlink"/>
            <w:b/>
            <w:bCs/>
            <w:highlight w:val="green"/>
          </w:rPr>
          <w:t>R1-2312745</w:t>
        </w:r>
      </w:hyperlink>
      <w:r w:rsidR="00AF315F" w:rsidRPr="00AF315F">
        <w:rPr>
          <w:b/>
          <w:bCs/>
        </w:rPr>
        <w:tab/>
        <w:t>Corrections on Rel-18 XR enhancements for NR in 38.212</w:t>
      </w:r>
      <w:r w:rsidR="00AF315F" w:rsidRPr="00AF315F">
        <w:rPr>
          <w:b/>
          <w:bCs/>
        </w:rPr>
        <w:tab/>
        <w:t>Huawei</w:t>
      </w:r>
    </w:p>
    <w:p w14:paraId="16F00FBF" w14:textId="32E259A1" w:rsidR="00AF315F" w:rsidRPr="00EC6E5E" w:rsidRDefault="00AF315F" w:rsidP="00AF315F">
      <w:pPr>
        <w:rPr>
          <w:rFonts w:ascii="Times New Roman" w:hAnsi="Times New Roman"/>
        </w:rPr>
      </w:pPr>
      <w:r w:rsidRPr="00EC6E5E">
        <w:rPr>
          <w:rFonts w:ascii="Times New Roman" w:hAnsi="Times New Roman"/>
          <w:b/>
          <w:bCs/>
        </w:rPr>
        <w:t>Decision:</w:t>
      </w:r>
      <w:r w:rsidRPr="00EC6E5E">
        <w:rPr>
          <w:rFonts w:ascii="Times New Roman" w:hAnsi="Times New Roman"/>
        </w:rPr>
        <w:t xml:space="preserve"> </w:t>
      </w:r>
      <w:r>
        <w:rPr>
          <w:rFonts w:ascii="Times New Roman" w:hAnsi="Times New Roman"/>
        </w:rPr>
        <w:t xml:space="preserve">No update in RAN1#115 further to </w:t>
      </w:r>
      <w:r w:rsidRPr="00594FDC">
        <w:rPr>
          <w:rFonts w:ascii="Times New Roman" w:hAnsi="Times New Roman"/>
        </w:rPr>
        <w:t xml:space="preserve">email decision posted on </w:t>
      </w:r>
      <w:r w:rsidRPr="00EC6E5E">
        <w:rPr>
          <w:rFonts w:ascii="Times New Roman" w:hAnsi="Times New Roman"/>
        </w:rPr>
        <w:t xml:space="preserve">Oct 20th [Post-114bis-38.212-NR_XR_enh-Core], </w:t>
      </w:r>
      <w:r>
        <w:rPr>
          <w:rFonts w:ascii="Times New Roman" w:hAnsi="Times New Roman"/>
        </w:rPr>
        <w:t>(Rel-18, 38.212, CR0171, Cat F) is agreed</w:t>
      </w:r>
      <w:r w:rsidRPr="00EC6E5E">
        <w:rPr>
          <w:rFonts w:ascii="Times New Roman" w:hAnsi="Times New Roman"/>
        </w:rPr>
        <w:t>.</w:t>
      </w:r>
    </w:p>
    <w:p w14:paraId="172A73D0" w14:textId="008B0F0F" w:rsidR="00AF315F" w:rsidRPr="00AF315F" w:rsidRDefault="005A18DC" w:rsidP="00AF315F">
      <w:pPr>
        <w:rPr>
          <w:b/>
          <w:bCs/>
        </w:rPr>
      </w:pPr>
      <w:hyperlink r:id="rId2990" w:history="1">
        <w:r w:rsidR="00AF7253">
          <w:rPr>
            <w:rStyle w:val="Hyperlink"/>
            <w:b/>
            <w:bCs/>
            <w:highlight w:val="green"/>
          </w:rPr>
          <w:t>R1-2312733</w:t>
        </w:r>
      </w:hyperlink>
      <w:r w:rsidR="00AF315F" w:rsidRPr="00AF315F">
        <w:rPr>
          <w:b/>
          <w:bCs/>
        </w:rPr>
        <w:tab/>
        <w:t>Maintenance of XR enhancements for NR</w:t>
      </w:r>
      <w:r w:rsidR="00AF315F" w:rsidRPr="00AF315F">
        <w:rPr>
          <w:b/>
          <w:bCs/>
        </w:rPr>
        <w:tab/>
        <w:t>Samsung</w:t>
      </w:r>
    </w:p>
    <w:p w14:paraId="23D0ABDB" w14:textId="7CD08D58" w:rsidR="00AF315F" w:rsidRPr="00EC6E5E" w:rsidRDefault="00AF315F" w:rsidP="00AF315F">
      <w:pPr>
        <w:rPr>
          <w:rFonts w:ascii="Times New Roman" w:hAnsi="Times New Roman"/>
        </w:rPr>
      </w:pPr>
      <w:r w:rsidRPr="00EC6E5E">
        <w:rPr>
          <w:rFonts w:ascii="Times New Roman" w:hAnsi="Times New Roman"/>
          <w:b/>
          <w:bCs/>
        </w:rPr>
        <w:t>Decision:</w:t>
      </w:r>
      <w:r w:rsidRPr="00EC6E5E">
        <w:rPr>
          <w:rFonts w:ascii="Times New Roman" w:hAnsi="Times New Roman"/>
        </w:rPr>
        <w:t xml:space="preserve"> </w:t>
      </w:r>
      <w:r>
        <w:rPr>
          <w:rFonts w:ascii="Times New Roman" w:hAnsi="Times New Roman"/>
        </w:rPr>
        <w:t xml:space="preserve">No update in RAN1#115 further to </w:t>
      </w:r>
      <w:r w:rsidRPr="00594FDC">
        <w:rPr>
          <w:rFonts w:ascii="Times New Roman" w:hAnsi="Times New Roman"/>
        </w:rPr>
        <w:t xml:space="preserve">email decision posted on </w:t>
      </w:r>
      <w:r w:rsidRPr="00EC6E5E">
        <w:rPr>
          <w:rFonts w:ascii="Times New Roman" w:hAnsi="Times New Roman"/>
        </w:rPr>
        <w:t xml:space="preserve">Oct 20th [Post-114bis-38.213-NR_XR_enh], </w:t>
      </w:r>
      <w:r>
        <w:rPr>
          <w:rFonts w:ascii="Times New Roman" w:hAnsi="Times New Roman"/>
        </w:rPr>
        <w:t>(Rel-18, 38.213, CR0582, Cat F) is agreed</w:t>
      </w:r>
      <w:r w:rsidRPr="00EC6E5E">
        <w:rPr>
          <w:rFonts w:ascii="Times New Roman" w:hAnsi="Times New Roman"/>
        </w:rPr>
        <w:t>.</w:t>
      </w:r>
    </w:p>
    <w:p w14:paraId="7F3F755E" w14:textId="2A323162" w:rsidR="00AF315F" w:rsidRPr="00AF315F" w:rsidRDefault="005A18DC" w:rsidP="00AF315F">
      <w:pPr>
        <w:rPr>
          <w:b/>
          <w:bCs/>
        </w:rPr>
      </w:pPr>
      <w:hyperlink r:id="rId2991" w:history="1">
        <w:r w:rsidR="00AF7253">
          <w:rPr>
            <w:rStyle w:val="Hyperlink"/>
            <w:b/>
            <w:bCs/>
          </w:rPr>
          <w:t>R1-2312815</w:t>
        </w:r>
      </w:hyperlink>
      <w:r w:rsidR="00AF315F" w:rsidRPr="00AF315F">
        <w:rPr>
          <w:b/>
          <w:bCs/>
        </w:rPr>
        <w:tab/>
        <w:t>Summary on email discussion on NR_XR_enh-Core</w:t>
      </w:r>
      <w:r w:rsidR="00AF315F" w:rsidRPr="00AF315F">
        <w:rPr>
          <w:b/>
          <w:bCs/>
        </w:rPr>
        <w:tab/>
        <w:t>Moderator (Nokia)</w:t>
      </w:r>
    </w:p>
    <w:p w14:paraId="53EE814D" w14:textId="47E2BE42" w:rsidR="00AF315F" w:rsidRPr="00AF315F" w:rsidRDefault="005A18DC" w:rsidP="00AF315F">
      <w:pPr>
        <w:rPr>
          <w:b/>
          <w:bCs/>
        </w:rPr>
      </w:pPr>
      <w:hyperlink r:id="rId2992" w:history="1">
        <w:r w:rsidR="00AF7253">
          <w:rPr>
            <w:rStyle w:val="Hyperlink"/>
            <w:b/>
            <w:bCs/>
            <w:highlight w:val="green"/>
          </w:rPr>
          <w:t>R1-2312760</w:t>
        </w:r>
      </w:hyperlink>
      <w:r w:rsidR="00AF315F" w:rsidRPr="00AF315F">
        <w:rPr>
          <w:b/>
          <w:bCs/>
        </w:rPr>
        <w:tab/>
        <w:t>Corrections of XR Enhancements for NR</w:t>
      </w:r>
      <w:r w:rsidR="00AF315F" w:rsidRPr="00AF315F">
        <w:rPr>
          <w:b/>
          <w:bCs/>
        </w:rPr>
        <w:tab/>
        <w:t>Nokia</w:t>
      </w:r>
    </w:p>
    <w:p w14:paraId="2B622F75" w14:textId="4552BCD4" w:rsidR="00AF315F" w:rsidRPr="00EC6E5E" w:rsidRDefault="00AF315F" w:rsidP="00AF315F">
      <w:pPr>
        <w:rPr>
          <w:rFonts w:ascii="Times New Roman" w:hAnsi="Times New Roman"/>
        </w:rPr>
      </w:pPr>
      <w:r w:rsidRPr="00EC6E5E">
        <w:rPr>
          <w:rFonts w:ascii="Times New Roman" w:hAnsi="Times New Roman"/>
          <w:b/>
          <w:bCs/>
        </w:rPr>
        <w:t>Decision:</w:t>
      </w:r>
      <w:r w:rsidRPr="00EC6E5E">
        <w:rPr>
          <w:rFonts w:ascii="Times New Roman" w:hAnsi="Times New Roman"/>
        </w:rPr>
        <w:t xml:space="preserve"> As per email decision posted on </w:t>
      </w:r>
      <w:r>
        <w:rPr>
          <w:rFonts w:ascii="Times New Roman" w:hAnsi="Times New Roman"/>
        </w:rPr>
        <w:t>Dec 1st</w:t>
      </w:r>
      <w:r w:rsidRPr="00EC6E5E">
        <w:rPr>
          <w:rFonts w:ascii="Times New Roman" w:hAnsi="Times New Roman"/>
        </w:rPr>
        <w:t xml:space="preserve"> </w:t>
      </w:r>
      <w:r w:rsidRPr="00AF315F">
        <w:rPr>
          <w:rFonts w:ascii="Times New Roman" w:hAnsi="Times New Roman"/>
        </w:rPr>
        <w:t>[Post-115-38.214-NR_XR_enh]</w:t>
      </w:r>
      <w:r w:rsidRPr="00EC6E5E">
        <w:rPr>
          <w:rFonts w:ascii="Times New Roman" w:hAnsi="Times New Roman"/>
        </w:rPr>
        <w:t xml:space="preserve">, </w:t>
      </w:r>
      <w:r>
        <w:rPr>
          <w:rFonts w:ascii="Times New Roman" w:hAnsi="Times New Roman"/>
        </w:rPr>
        <w:t>(Rel-18, 38.214, CR0490, Cat F) is agreed.</w:t>
      </w:r>
    </w:p>
    <w:p w14:paraId="16A61079" w14:textId="77777777" w:rsidR="00AF315F" w:rsidRDefault="00AF315F" w:rsidP="00AF315F"/>
    <w:p w14:paraId="36DE16FA" w14:textId="52D813B6" w:rsidR="004F5CDB" w:rsidRDefault="004F5CDB" w:rsidP="00EC6E5E">
      <w:r>
        <w:t xml:space="preserve">// </w:t>
      </w:r>
      <w:r w:rsidRPr="004F5CDB">
        <w:t>NR_demod_enh3</w:t>
      </w:r>
    </w:p>
    <w:p w14:paraId="53E31639" w14:textId="6C81283C" w:rsidR="004F5CDB" w:rsidRPr="004F5CDB" w:rsidRDefault="005A18DC" w:rsidP="004F5CDB">
      <w:pPr>
        <w:rPr>
          <w:b/>
          <w:bCs/>
        </w:rPr>
      </w:pPr>
      <w:hyperlink r:id="rId2993" w:history="1">
        <w:r w:rsidR="00AF7253">
          <w:rPr>
            <w:rStyle w:val="Hyperlink"/>
            <w:b/>
            <w:bCs/>
          </w:rPr>
          <w:t>R1-2312768</w:t>
        </w:r>
      </w:hyperlink>
      <w:r w:rsidR="004F5CDB" w:rsidRPr="004F5CDB">
        <w:rPr>
          <w:b/>
          <w:bCs/>
        </w:rPr>
        <w:tab/>
        <w:t>Summary of email discussion [Post-115-38.212-NR_demod_enh3-Perf]</w:t>
      </w:r>
      <w:r w:rsidR="004F5CDB" w:rsidRPr="004F5CDB">
        <w:rPr>
          <w:b/>
          <w:bCs/>
        </w:rPr>
        <w:tab/>
        <w:t>Moderator (Huawei)</w:t>
      </w:r>
    </w:p>
    <w:p w14:paraId="2DD8A1FC" w14:textId="5B680918" w:rsidR="004F5CDB" w:rsidRPr="004F5CDB" w:rsidRDefault="005A18DC" w:rsidP="004F5CDB">
      <w:pPr>
        <w:rPr>
          <w:b/>
          <w:bCs/>
        </w:rPr>
      </w:pPr>
      <w:hyperlink r:id="rId2994" w:history="1">
        <w:r w:rsidR="00AF7253">
          <w:rPr>
            <w:rStyle w:val="Hyperlink"/>
            <w:b/>
            <w:bCs/>
            <w:highlight w:val="green"/>
          </w:rPr>
          <w:t>R1-2312775</w:t>
        </w:r>
      </w:hyperlink>
      <w:r w:rsidR="004F5CDB" w:rsidRPr="004F5CDB">
        <w:rPr>
          <w:b/>
          <w:bCs/>
        </w:rPr>
        <w:tab/>
        <w:t>Introduction of Rel-18 NR demodulation performance evolution</w:t>
      </w:r>
      <w:r w:rsidR="004F5CDB" w:rsidRPr="004F5CDB">
        <w:rPr>
          <w:b/>
          <w:bCs/>
        </w:rPr>
        <w:tab/>
        <w:t>Huawei</w:t>
      </w:r>
    </w:p>
    <w:p w14:paraId="4D2EA894" w14:textId="23F80CB3" w:rsidR="004A4470" w:rsidRPr="00EC6E5E" w:rsidRDefault="004A4470" w:rsidP="004A4470">
      <w:pPr>
        <w:rPr>
          <w:rFonts w:ascii="Times New Roman" w:hAnsi="Times New Roman"/>
        </w:rPr>
      </w:pPr>
      <w:r w:rsidRPr="00EC6E5E">
        <w:rPr>
          <w:rFonts w:ascii="Times New Roman" w:hAnsi="Times New Roman"/>
          <w:b/>
          <w:bCs/>
        </w:rPr>
        <w:t>Decision:</w:t>
      </w:r>
      <w:r w:rsidRPr="00EC6E5E">
        <w:rPr>
          <w:rFonts w:ascii="Times New Roman" w:hAnsi="Times New Roman"/>
        </w:rPr>
        <w:t xml:space="preserve"> As per email decision posted on </w:t>
      </w:r>
      <w:r>
        <w:rPr>
          <w:rFonts w:ascii="Times New Roman" w:hAnsi="Times New Roman"/>
        </w:rPr>
        <w:t>Nov 30</w:t>
      </w:r>
      <w:r w:rsidRPr="00EC6E5E">
        <w:rPr>
          <w:rFonts w:ascii="Times New Roman" w:hAnsi="Times New Roman"/>
        </w:rPr>
        <w:t xml:space="preserve">th </w:t>
      </w:r>
      <w:r w:rsidRPr="004A4470">
        <w:rPr>
          <w:rFonts w:ascii="Times New Roman" w:hAnsi="Times New Roman"/>
        </w:rPr>
        <w:t>[Post-115-38.212-NR_demod_enh3-Perf]</w:t>
      </w:r>
      <w:r w:rsidRPr="00EC6E5E">
        <w:rPr>
          <w:rFonts w:ascii="Times New Roman" w:hAnsi="Times New Roman"/>
        </w:rPr>
        <w:t xml:space="preserve">, </w:t>
      </w:r>
      <w:r>
        <w:rPr>
          <w:rFonts w:ascii="Times New Roman" w:hAnsi="Times New Roman"/>
        </w:rPr>
        <w:t>(Rel-18, 38.212, CR0172, Cat B) is agreed.</w:t>
      </w:r>
    </w:p>
    <w:p w14:paraId="0B9AE6D5" w14:textId="77777777" w:rsidR="004F5CDB" w:rsidRPr="00EC6E5E" w:rsidRDefault="004F5CDB" w:rsidP="00EC6E5E"/>
    <w:p w14:paraId="241E16E4" w14:textId="77777777" w:rsidR="00EC6E5E" w:rsidRPr="00EC6E5E" w:rsidRDefault="00EC6E5E" w:rsidP="00EC6E5E">
      <w:pPr>
        <w:rPr>
          <w:rFonts w:ascii="Times New Roman" w:hAnsi="Times New Roman"/>
        </w:rPr>
      </w:pPr>
      <w:r w:rsidRPr="00EC6E5E">
        <w:t xml:space="preserve">// </w:t>
      </w:r>
      <w:r w:rsidRPr="00EC6E5E">
        <w:rPr>
          <w:rFonts w:ascii="Times New Roman" w:hAnsi="Times New Roman"/>
        </w:rPr>
        <w:t>NR_Mob_enh2</w:t>
      </w:r>
    </w:p>
    <w:p w14:paraId="12524372" w14:textId="6AEAC2AC" w:rsidR="0049713F" w:rsidRPr="0049713F" w:rsidRDefault="005A18DC" w:rsidP="0049713F">
      <w:pPr>
        <w:rPr>
          <w:b/>
          <w:bCs/>
        </w:rPr>
      </w:pPr>
      <w:hyperlink r:id="rId2995" w:history="1">
        <w:r w:rsidR="00AF7253">
          <w:rPr>
            <w:rStyle w:val="Hyperlink"/>
            <w:b/>
            <w:bCs/>
            <w:highlight w:val="green"/>
          </w:rPr>
          <w:t>R1-2312740</w:t>
        </w:r>
      </w:hyperlink>
      <w:r w:rsidR="0049713F" w:rsidRPr="0049713F">
        <w:rPr>
          <w:b/>
          <w:bCs/>
        </w:rPr>
        <w:tab/>
        <w:t>Corrections on Rel-18 Further NR mobility enhancements in 38.212</w:t>
      </w:r>
      <w:r w:rsidR="0049713F" w:rsidRPr="0049713F">
        <w:rPr>
          <w:b/>
          <w:bCs/>
        </w:rPr>
        <w:tab/>
        <w:t>Huawei</w:t>
      </w:r>
    </w:p>
    <w:p w14:paraId="7CFD5124" w14:textId="5EC1DE3A" w:rsidR="0049713F" w:rsidRPr="00EC6E5E" w:rsidRDefault="0049713F" w:rsidP="0049713F">
      <w:pPr>
        <w:rPr>
          <w:rFonts w:ascii="Times New Roman" w:hAnsi="Times New Roman"/>
        </w:rPr>
      </w:pPr>
      <w:r w:rsidRPr="00EC6E5E">
        <w:rPr>
          <w:rFonts w:ascii="Times New Roman" w:hAnsi="Times New Roman"/>
          <w:b/>
          <w:bCs/>
        </w:rPr>
        <w:t>Decision:</w:t>
      </w:r>
      <w:r w:rsidRPr="00EC6E5E">
        <w:rPr>
          <w:rFonts w:ascii="Times New Roman" w:hAnsi="Times New Roman"/>
        </w:rPr>
        <w:t xml:space="preserve"> </w:t>
      </w:r>
      <w:r>
        <w:rPr>
          <w:rFonts w:ascii="Times New Roman" w:hAnsi="Times New Roman"/>
        </w:rPr>
        <w:t xml:space="preserve">No update in RAN1#115 further to </w:t>
      </w:r>
      <w:r w:rsidRPr="00594FDC">
        <w:rPr>
          <w:rFonts w:ascii="Times New Roman" w:hAnsi="Times New Roman"/>
        </w:rPr>
        <w:t xml:space="preserve">email decision posted on </w:t>
      </w:r>
      <w:r w:rsidRPr="00EC6E5E">
        <w:rPr>
          <w:rFonts w:ascii="Times New Roman" w:hAnsi="Times New Roman"/>
        </w:rPr>
        <w:t xml:space="preserve">Oct 21st [Post-114bis-38.212-NR_Mob_enh2-Core], </w:t>
      </w:r>
      <w:r>
        <w:rPr>
          <w:rFonts w:ascii="Times New Roman" w:hAnsi="Times New Roman"/>
        </w:rPr>
        <w:t>(Rel-18, 38.212, CR0166, Cat F) is agreed</w:t>
      </w:r>
      <w:r w:rsidRPr="00EC6E5E">
        <w:rPr>
          <w:rFonts w:ascii="Times New Roman" w:hAnsi="Times New Roman"/>
        </w:rPr>
        <w:t>.</w:t>
      </w:r>
    </w:p>
    <w:p w14:paraId="5F855CDA" w14:textId="7F0BFB3A" w:rsidR="0049713F" w:rsidRPr="0049713F" w:rsidRDefault="005A18DC" w:rsidP="0049713F">
      <w:pPr>
        <w:rPr>
          <w:b/>
          <w:bCs/>
        </w:rPr>
      </w:pPr>
      <w:hyperlink r:id="rId2996" w:history="1">
        <w:r w:rsidR="00AF7253">
          <w:rPr>
            <w:rStyle w:val="Hyperlink"/>
            <w:b/>
            <w:bCs/>
          </w:rPr>
          <w:t>R1-2312789</w:t>
        </w:r>
      </w:hyperlink>
      <w:r w:rsidR="0049713F" w:rsidRPr="0049713F">
        <w:rPr>
          <w:b/>
          <w:bCs/>
        </w:rPr>
        <w:tab/>
        <w:t>Summary of email discussions [Post-115-38.213-NR_mob_enh2]</w:t>
      </w:r>
      <w:r w:rsidR="0049713F" w:rsidRPr="0049713F">
        <w:rPr>
          <w:b/>
          <w:bCs/>
        </w:rPr>
        <w:tab/>
        <w:t>Moderator (Samsung)</w:t>
      </w:r>
    </w:p>
    <w:p w14:paraId="2E7BFD69" w14:textId="71E13A36" w:rsidR="0049713F" w:rsidRPr="0049713F" w:rsidRDefault="005A18DC" w:rsidP="0049713F">
      <w:pPr>
        <w:rPr>
          <w:b/>
          <w:bCs/>
        </w:rPr>
      </w:pPr>
      <w:hyperlink r:id="rId2997" w:history="1">
        <w:r w:rsidR="00AF7253">
          <w:rPr>
            <w:rStyle w:val="Hyperlink"/>
            <w:b/>
            <w:bCs/>
            <w:highlight w:val="green"/>
          </w:rPr>
          <w:t>R1-2312724</w:t>
        </w:r>
      </w:hyperlink>
      <w:r w:rsidR="0049713F" w:rsidRPr="0049713F">
        <w:rPr>
          <w:b/>
          <w:bCs/>
        </w:rPr>
        <w:tab/>
        <w:t>Maintenance of further mobility enhancements</w:t>
      </w:r>
      <w:r w:rsidR="0049713F" w:rsidRPr="0049713F">
        <w:rPr>
          <w:b/>
          <w:bCs/>
        </w:rPr>
        <w:tab/>
        <w:t>Samsung</w:t>
      </w:r>
    </w:p>
    <w:p w14:paraId="55ABCFCB" w14:textId="1144E07F" w:rsidR="0049713F" w:rsidRPr="00EC6E5E" w:rsidRDefault="0049713F" w:rsidP="0049713F">
      <w:pPr>
        <w:rPr>
          <w:rFonts w:ascii="Times New Roman" w:hAnsi="Times New Roman"/>
        </w:rPr>
      </w:pPr>
      <w:r w:rsidRPr="00EC6E5E">
        <w:rPr>
          <w:rFonts w:ascii="Times New Roman" w:hAnsi="Times New Roman"/>
          <w:b/>
          <w:bCs/>
        </w:rPr>
        <w:t>Decision:</w:t>
      </w:r>
      <w:r w:rsidRPr="00EC6E5E">
        <w:rPr>
          <w:rFonts w:ascii="Times New Roman" w:hAnsi="Times New Roman"/>
        </w:rPr>
        <w:t xml:space="preserve"> As per email decision posted on </w:t>
      </w:r>
      <w:r>
        <w:rPr>
          <w:rFonts w:ascii="Times New Roman" w:hAnsi="Times New Roman"/>
        </w:rPr>
        <w:t>Dec 1st</w:t>
      </w:r>
      <w:r w:rsidRPr="00EC6E5E">
        <w:rPr>
          <w:rFonts w:ascii="Times New Roman" w:hAnsi="Times New Roman"/>
        </w:rPr>
        <w:t xml:space="preserve"> </w:t>
      </w:r>
      <w:r w:rsidRPr="0049713F">
        <w:rPr>
          <w:rFonts w:ascii="Times New Roman" w:hAnsi="Times New Roman"/>
        </w:rPr>
        <w:t>[Post-115-38.213-NR__mob_enh2]</w:t>
      </w:r>
      <w:r w:rsidRPr="00EC6E5E">
        <w:rPr>
          <w:rFonts w:ascii="Times New Roman" w:hAnsi="Times New Roman"/>
        </w:rPr>
        <w:t xml:space="preserve">, </w:t>
      </w:r>
      <w:r>
        <w:rPr>
          <w:rFonts w:ascii="Times New Roman" w:hAnsi="Times New Roman"/>
        </w:rPr>
        <w:t>(Rel-18, 38.213, CR0573, Cat F) is agreed.</w:t>
      </w:r>
    </w:p>
    <w:p w14:paraId="7416B58C" w14:textId="46CE512B" w:rsidR="0049713F" w:rsidRPr="0049713F" w:rsidRDefault="005A18DC" w:rsidP="0049713F">
      <w:pPr>
        <w:rPr>
          <w:b/>
          <w:bCs/>
        </w:rPr>
      </w:pPr>
      <w:hyperlink r:id="rId2998" w:history="1">
        <w:r w:rsidR="00AF7253">
          <w:rPr>
            <w:rStyle w:val="Hyperlink"/>
            <w:b/>
            <w:bCs/>
          </w:rPr>
          <w:t>R1-2312809</w:t>
        </w:r>
      </w:hyperlink>
      <w:r w:rsidR="0049713F" w:rsidRPr="0049713F">
        <w:rPr>
          <w:b/>
          <w:bCs/>
        </w:rPr>
        <w:tab/>
        <w:t>Summary on email discussion on NR_Mob_enh2</w:t>
      </w:r>
      <w:r w:rsidR="0049713F" w:rsidRPr="0049713F">
        <w:rPr>
          <w:b/>
          <w:bCs/>
        </w:rPr>
        <w:tab/>
        <w:t>Moderator (Nokia)</w:t>
      </w:r>
    </w:p>
    <w:p w14:paraId="7F14985F" w14:textId="5BF576D8" w:rsidR="0049713F" w:rsidRPr="0049713F" w:rsidRDefault="005A18DC" w:rsidP="0049713F">
      <w:pPr>
        <w:rPr>
          <w:b/>
          <w:bCs/>
        </w:rPr>
      </w:pPr>
      <w:hyperlink r:id="rId2999" w:history="1">
        <w:r w:rsidR="00AF7253">
          <w:rPr>
            <w:rStyle w:val="Hyperlink"/>
            <w:b/>
            <w:bCs/>
            <w:highlight w:val="green"/>
          </w:rPr>
          <w:t>R1-2312755</w:t>
        </w:r>
      </w:hyperlink>
      <w:r w:rsidR="0049713F" w:rsidRPr="0049713F">
        <w:rPr>
          <w:b/>
          <w:bCs/>
        </w:rPr>
        <w:tab/>
        <w:t>Corrections of specification support for mobility enhancements</w:t>
      </w:r>
      <w:r w:rsidR="0049713F" w:rsidRPr="0049713F">
        <w:rPr>
          <w:b/>
          <w:bCs/>
        </w:rPr>
        <w:tab/>
        <w:t>Nokia</w:t>
      </w:r>
    </w:p>
    <w:p w14:paraId="320EE5E4" w14:textId="29B7D8BF" w:rsidR="0049713F" w:rsidRPr="00EC6E5E" w:rsidRDefault="0049713F" w:rsidP="0049713F">
      <w:pPr>
        <w:rPr>
          <w:rFonts w:ascii="Times New Roman" w:hAnsi="Times New Roman"/>
        </w:rPr>
      </w:pPr>
      <w:r w:rsidRPr="00EC6E5E">
        <w:rPr>
          <w:rFonts w:ascii="Times New Roman" w:hAnsi="Times New Roman"/>
          <w:b/>
          <w:bCs/>
        </w:rPr>
        <w:t>Decision:</w:t>
      </w:r>
      <w:r w:rsidRPr="00EC6E5E">
        <w:rPr>
          <w:rFonts w:ascii="Times New Roman" w:hAnsi="Times New Roman"/>
        </w:rPr>
        <w:t xml:space="preserve"> As per email decision posted on </w:t>
      </w:r>
      <w:r>
        <w:rPr>
          <w:rFonts w:ascii="Times New Roman" w:hAnsi="Times New Roman"/>
        </w:rPr>
        <w:t>Nov 30th</w:t>
      </w:r>
      <w:r w:rsidRPr="00EC6E5E">
        <w:rPr>
          <w:rFonts w:ascii="Times New Roman" w:hAnsi="Times New Roman"/>
        </w:rPr>
        <w:t xml:space="preserve"> </w:t>
      </w:r>
      <w:r w:rsidRPr="0049713F">
        <w:rPr>
          <w:rFonts w:ascii="Times New Roman" w:hAnsi="Times New Roman"/>
        </w:rPr>
        <w:t>[Post-115-38.214-NR_Mob_enh2]</w:t>
      </w:r>
      <w:r w:rsidRPr="00EC6E5E">
        <w:rPr>
          <w:rFonts w:ascii="Times New Roman" w:hAnsi="Times New Roman"/>
        </w:rPr>
        <w:t xml:space="preserve">, </w:t>
      </w:r>
      <w:r>
        <w:rPr>
          <w:rFonts w:ascii="Times New Roman" w:hAnsi="Times New Roman"/>
        </w:rPr>
        <w:t>(Rel-18, 38.214, CR0485, Cat F) is agreed.</w:t>
      </w:r>
    </w:p>
    <w:p w14:paraId="41FBBE22" w14:textId="77777777" w:rsidR="0049713F" w:rsidRPr="00EC6E5E" w:rsidRDefault="0049713F" w:rsidP="0049713F"/>
    <w:p w14:paraId="2AF8B7E0" w14:textId="77777777" w:rsidR="00EC6E5E" w:rsidRPr="00EC6E5E" w:rsidRDefault="00EC6E5E" w:rsidP="00EC6E5E">
      <w:pPr>
        <w:rPr>
          <w:rFonts w:ascii="Times New Roman" w:hAnsi="Times New Roman"/>
        </w:rPr>
      </w:pPr>
      <w:r w:rsidRPr="00EC6E5E">
        <w:t xml:space="preserve">// </w:t>
      </w:r>
      <w:r w:rsidRPr="00EC6E5E">
        <w:rPr>
          <w:rFonts w:ascii="Times New Roman" w:hAnsi="Times New Roman"/>
        </w:rPr>
        <w:t>NR_cov_enh2</w:t>
      </w:r>
    </w:p>
    <w:p w14:paraId="357E5C24" w14:textId="29057B55" w:rsidR="004F5CDB" w:rsidRPr="004F5CDB" w:rsidRDefault="005A18DC" w:rsidP="004F5CDB">
      <w:pPr>
        <w:rPr>
          <w:b/>
          <w:bCs/>
        </w:rPr>
      </w:pPr>
      <w:hyperlink r:id="rId3000" w:history="1">
        <w:r w:rsidR="00AF7253">
          <w:rPr>
            <w:rStyle w:val="Hyperlink"/>
            <w:b/>
            <w:bCs/>
            <w:highlight w:val="green"/>
          </w:rPr>
          <w:t>R1-2312739</w:t>
        </w:r>
      </w:hyperlink>
      <w:r w:rsidR="004F5CDB" w:rsidRPr="004F5CDB">
        <w:rPr>
          <w:b/>
          <w:bCs/>
        </w:rPr>
        <w:tab/>
        <w:t>Corrections on Rel-18 further NR Coverage enhancement in 38.212</w:t>
      </w:r>
      <w:r w:rsidR="004F5CDB" w:rsidRPr="004F5CDB">
        <w:rPr>
          <w:b/>
          <w:bCs/>
        </w:rPr>
        <w:tab/>
        <w:t>Huawei</w:t>
      </w:r>
    </w:p>
    <w:p w14:paraId="120D433B" w14:textId="33D64972" w:rsidR="004F5CDB" w:rsidRPr="00EC6E5E" w:rsidRDefault="004F5CDB" w:rsidP="004F5CDB">
      <w:pPr>
        <w:rPr>
          <w:rFonts w:ascii="Times New Roman" w:hAnsi="Times New Roman"/>
        </w:rPr>
      </w:pPr>
      <w:r w:rsidRPr="00EC6E5E">
        <w:rPr>
          <w:rFonts w:ascii="Times New Roman" w:hAnsi="Times New Roman"/>
          <w:b/>
          <w:bCs/>
        </w:rPr>
        <w:t>Decision:</w:t>
      </w:r>
      <w:r w:rsidRPr="00EC6E5E">
        <w:rPr>
          <w:rFonts w:ascii="Times New Roman" w:hAnsi="Times New Roman"/>
        </w:rPr>
        <w:t xml:space="preserve"> </w:t>
      </w:r>
      <w:r>
        <w:rPr>
          <w:rFonts w:ascii="Times New Roman" w:hAnsi="Times New Roman"/>
        </w:rPr>
        <w:t xml:space="preserve">No update in RAN1#115 further to </w:t>
      </w:r>
      <w:r w:rsidRPr="00594FDC">
        <w:rPr>
          <w:rFonts w:ascii="Times New Roman" w:hAnsi="Times New Roman"/>
        </w:rPr>
        <w:t xml:space="preserve">email decision posted on </w:t>
      </w:r>
      <w:r w:rsidRPr="00EC6E5E">
        <w:rPr>
          <w:rFonts w:ascii="Times New Roman" w:hAnsi="Times New Roman"/>
        </w:rPr>
        <w:t xml:space="preserve">Oct 20th [Post-114bis-38.212-NR_cov_enh2-Core], </w:t>
      </w:r>
      <w:r>
        <w:rPr>
          <w:rFonts w:ascii="Times New Roman" w:hAnsi="Times New Roman"/>
        </w:rPr>
        <w:t>(Rel-18, 38.212, CR0165, Cat F) is agreed</w:t>
      </w:r>
      <w:r w:rsidRPr="00EC6E5E">
        <w:rPr>
          <w:rFonts w:ascii="Times New Roman" w:hAnsi="Times New Roman"/>
        </w:rPr>
        <w:t>.</w:t>
      </w:r>
    </w:p>
    <w:p w14:paraId="314DBD5C" w14:textId="151AB4A1" w:rsidR="004F5CDB" w:rsidRPr="004F5CDB" w:rsidRDefault="005A18DC" w:rsidP="004F5CDB">
      <w:pPr>
        <w:rPr>
          <w:b/>
          <w:bCs/>
        </w:rPr>
      </w:pPr>
      <w:hyperlink r:id="rId3001" w:history="1">
        <w:r w:rsidR="00AF7253">
          <w:rPr>
            <w:rStyle w:val="Hyperlink"/>
            <w:b/>
            <w:bCs/>
          </w:rPr>
          <w:t>R1-2312786</w:t>
        </w:r>
      </w:hyperlink>
      <w:r w:rsidR="004F5CDB" w:rsidRPr="004F5CDB">
        <w:rPr>
          <w:b/>
          <w:bCs/>
        </w:rPr>
        <w:tab/>
        <w:t>Summary of email discussions [Post-115-38.213-NR_cov_enh2]</w:t>
      </w:r>
      <w:r w:rsidR="004F5CDB" w:rsidRPr="004F5CDB">
        <w:rPr>
          <w:b/>
          <w:bCs/>
        </w:rPr>
        <w:tab/>
        <w:t>Moderator (Samsung)</w:t>
      </w:r>
    </w:p>
    <w:p w14:paraId="2DF200B3" w14:textId="60747258" w:rsidR="004F5CDB" w:rsidRPr="004F5CDB" w:rsidRDefault="005A18DC" w:rsidP="004F5CDB">
      <w:pPr>
        <w:rPr>
          <w:b/>
          <w:bCs/>
        </w:rPr>
      </w:pPr>
      <w:hyperlink r:id="rId3002" w:history="1">
        <w:r w:rsidR="00AF7253">
          <w:rPr>
            <w:rStyle w:val="Hyperlink"/>
            <w:b/>
            <w:bCs/>
            <w:highlight w:val="green"/>
          </w:rPr>
          <w:t>R1-2312723</w:t>
        </w:r>
      </w:hyperlink>
      <w:r w:rsidR="004F5CDB" w:rsidRPr="004F5CDB">
        <w:rPr>
          <w:b/>
          <w:bCs/>
        </w:rPr>
        <w:tab/>
        <w:t>Maintenance of further NR coverage enhancements</w:t>
      </w:r>
      <w:r w:rsidR="004F5CDB" w:rsidRPr="004F5CDB">
        <w:rPr>
          <w:b/>
          <w:bCs/>
        </w:rPr>
        <w:tab/>
        <w:t>Samsung</w:t>
      </w:r>
    </w:p>
    <w:p w14:paraId="06884C81" w14:textId="7ECCB888" w:rsidR="004F5CDB" w:rsidRPr="00EC6E5E" w:rsidRDefault="004F5CDB" w:rsidP="004F5CDB">
      <w:pPr>
        <w:rPr>
          <w:rFonts w:ascii="Times New Roman" w:hAnsi="Times New Roman"/>
        </w:rPr>
      </w:pPr>
      <w:r w:rsidRPr="00EC6E5E">
        <w:rPr>
          <w:rFonts w:ascii="Times New Roman" w:hAnsi="Times New Roman"/>
          <w:b/>
          <w:bCs/>
        </w:rPr>
        <w:t>Decision:</w:t>
      </w:r>
      <w:r w:rsidRPr="00EC6E5E">
        <w:rPr>
          <w:rFonts w:ascii="Times New Roman" w:hAnsi="Times New Roman"/>
        </w:rPr>
        <w:t xml:space="preserve"> As per email decision posted on </w:t>
      </w:r>
      <w:r>
        <w:rPr>
          <w:rFonts w:ascii="Times New Roman" w:hAnsi="Times New Roman"/>
        </w:rPr>
        <w:t>Dec 1st</w:t>
      </w:r>
      <w:r w:rsidRPr="00EC6E5E">
        <w:rPr>
          <w:rFonts w:ascii="Times New Roman" w:hAnsi="Times New Roman"/>
        </w:rPr>
        <w:t xml:space="preserve"> </w:t>
      </w:r>
      <w:r w:rsidRPr="004F5CDB">
        <w:rPr>
          <w:rFonts w:ascii="Times New Roman" w:hAnsi="Times New Roman"/>
        </w:rPr>
        <w:t>[Post-115-38.213-NR_cov_enh2]</w:t>
      </w:r>
      <w:r w:rsidRPr="00EC6E5E">
        <w:rPr>
          <w:rFonts w:ascii="Times New Roman" w:hAnsi="Times New Roman"/>
        </w:rPr>
        <w:t xml:space="preserve">, </w:t>
      </w:r>
      <w:r>
        <w:rPr>
          <w:rFonts w:ascii="Times New Roman" w:hAnsi="Times New Roman"/>
        </w:rPr>
        <w:t>(Rel-18, 38.213, CR0572, Cat F) is agreed.</w:t>
      </w:r>
    </w:p>
    <w:p w14:paraId="19720EB4" w14:textId="759123FE" w:rsidR="004F5CDB" w:rsidRPr="004F5CDB" w:rsidRDefault="005A18DC" w:rsidP="004F5CDB">
      <w:pPr>
        <w:rPr>
          <w:b/>
          <w:bCs/>
        </w:rPr>
      </w:pPr>
      <w:hyperlink r:id="rId3003" w:history="1">
        <w:r w:rsidR="00AF7253">
          <w:rPr>
            <w:rStyle w:val="Hyperlink"/>
            <w:b/>
            <w:bCs/>
            <w:highlight w:val="green"/>
          </w:rPr>
          <w:t>R1-2312763</w:t>
        </w:r>
      </w:hyperlink>
      <w:r w:rsidR="004F5CDB" w:rsidRPr="004F5CDB">
        <w:rPr>
          <w:b/>
          <w:bCs/>
        </w:rPr>
        <w:tab/>
        <w:t>Corrections on further NR coverage enhancements</w:t>
      </w:r>
      <w:r w:rsidR="004F5CDB" w:rsidRPr="004F5CDB">
        <w:rPr>
          <w:b/>
          <w:bCs/>
        </w:rPr>
        <w:tab/>
        <w:t>Nokia</w:t>
      </w:r>
    </w:p>
    <w:p w14:paraId="4EE74F93" w14:textId="2EF61C13" w:rsidR="004F5CDB" w:rsidRPr="00EC6E5E" w:rsidRDefault="004F5CDB" w:rsidP="004F5CDB">
      <w:pPr>
        <w:rPr>
          <w:rFonts w:ascii="Times New Roman" w:hAnsi="Times New Roman"/>
        </w:rPr>
      </w:pPr>
      <w:r w:rsidRPr="00EC6E5E">
        <w:rPr>
          <w:rFonts w:ascii="Times New Roman" w:hAnsi="Times New Roman"/>
          <w:b/>
          <w:bCs/>
        </w:rPr>
        <w:t>Decision:</w:t>
      </w:r>
      <w:r w:rsidRPr="00EC6E5E">
        <w:rPr>
          <w:rFonts w:ascii="Times New Roman" w:hAnsi="Times New Roman"/>
        </w:rPr>
        <w:t xml:space="preserve"> As per email decision posted on </w:t>
      </w:r>
      <w:r>
        <w:rPr>
          <w:rFonts w:ascii="Times New Roman" w:hAnsi="Times New Roman"/>
        </w:rPr>
        <w:t>Nov 30th</w:t>
      </w:r>
      <w:r w:rsidRPr="00EC6E5E">
        <w:rPr>
          <w:rFonts w:ascii="Times New Roman" w:hAnsi="Times New Roman"/>
        </w:rPr>
        <w:t xml:space="preserve"> </w:t>
      </w:r>
      <w:r w:rsidRPr="004F5CDB">
        <w:rPr>
          <w:rFonts w:ascii="Times New Roman" w:hAnsi="Times New Roman"/>
        </w:rPr>
        <w:t>[Post-115-38.214-NR_cov_enh2]</w:t>
      </w:r>
      <w:r w:rsidRPr="00EC6E5E">
        <w:rPr>
          <w:rFonts w:ascii="Times New Roman" w:hAnsi="Times New Roman"/>
        </w:rPr>
        <w:t xml:space="preserve">, </w:t>
      </w:r>
      <w:r>
        <w:rPr>
          <w:rFonts w:ascii="Times New Roman" w:hAnsi="Times New Roman"/>
        </w:rPr>
        <w:t>(Rel-18, 38.214, CR0492, Cat F) is agreed.</w:t>
      </w:r>
    </w:p>
    <w:p w14:paraId="17A75046" w14:textId="77777777" w:rsidR="004F5CDB" w:rsidRPr="00EC6E5E" w:rsidRDefault="004F5CDB" w:rsidP="004F5CDB"/>
    <w:p w14:paraId="1D69AAF7" w14:textId="77777777" w:rsidR="00EC6E5E" w:rsidRPr="00EC6E5E" w:rsidRDefault="00EC6E5E" w:rsidP="00EC6E5E">
      <w:pPr>
        <w:rPr>
          <w:rFonts w:ascii="Times New Roman" w:hAnsi="Times New Roman"/>
        </w:rPr>
      </w:pPr>
      <w:r w:rsidRPr="00EC6E5E">
        <w:t xml:space="preserve">// </w:t>
      </w:r>
      <w:r w:rsidRPr="00EC6E5E">
        <w:rPr>
          <w:rFonts w:ascii="Times New Roman" w:hAnsi="Times New Roman"/>
        </w:rPr>
        <w:t>NR_FR1_lessthan_5MHz_BW</w:t>
      </w:r>
    </w:p>
    <w:p w14:paraId="34D070CE" w14:textId="16892780" w:rsidR="007F7D4F" w:rsidRPr="007F7D4F" w:rsidRDefault="005A18DC" w:rsidP="007F7D4F">
      <w:pPr>
        <w:rPr>
          <w:b/>
          <w:bCs/>
        </w:rPr>
      </w:pPr>
      <w:hyperlink r:id="rId3004" w:history="1">
        <w:r w:rsidR="00AF7253">
          <w:rPr>
            <w:rStyle w:val="Hyperlink"/>
            <w:b/>
            <w:bCs/>
            <w:highlight w:val="green"/>
          </w:rPr>
          <w:t>R1-2312748</w:t>
        </w:r>
      </w:hyperlink>
      <w:r w:rsidR="007F7D4F" w:rsidRPr="007F7D4F">
        <w:rPr>
          <w:b/>
          <w:bCs/>
        </w:rPr>
        <w:tab/>
        <w:t>Corrections to NR support for dedicated spectrum less than 5MHz for FR1</w:t>
      </w:r>
      <w:r w:rsidR="007F7D4F" w:rsidRPr="007F7D4F">
        <w:rPr>
          <w:b/>
          <w:bCs/>
        </w:rPr>
        <w:tab/>
        <w:t>Ericsson</w:t>
      </w:r>
    </w:p>
    <w:p w14:paraId="7C13C0E5" w14:textId="13EFA7C5" w:rsidR="007F7D4F" w:rsidRPr="00EC6E5E" w:rsidRDefault="007F7D4F" w:rsidP="007F7D4F">
      <w:pPr>
        <w:rPr>
          <w:rFonts w:ascii="Times New Roman" w:hAnsi="Times New Roman"/>
        </w:rPr>
      </w:pPr>
      <w:r w:rsidRPr="00EC6E5E">
        <w:rPr>
          <w:rFonts w:ascii="Times New Roman" w:hAnsi="Times New Roman"/>
          <w:b/>
          <w:bCs/>
        </w:rPr>
        <w:t>Decision:</w:t>
      </w:r>
      <w:r w:rsidRPr="00EC6E5E">
        <w:rPr>
          <w:rFonts w:ascii="Times New Roman" w:hAnsi="Times New Roman"/>
        </w:rPr>
        <w:t xml:space="preserve"> </w:t>
      </w:r>
      <w:r>
        <w:rPr>
          <w:rFonts w:ascii="Times New Roman" w:hAnsi="Times New Roman"/>
        </w:rPr>
        <w:t xml:space="preserve">No update in RAN1#115 further to </w:t>
      </w:r>
      <w:r w:rsidRPr="00594FDC">
        <w:rPr>
          <w:rFonts w:ascii="Times New Roman" w:hAnsi="Times New Roman"/>
        </w:rPr>
        <w:t xml:space="preserve">email decision posted on </w:t>
      </w:r>
      <w:r w:rsidRPr="00EC6E5E">
        <w:rPr>
          <w:rFonts w:ascii="Times New Roman" w:hAnsi="Times New Roman"/>
        </w:rPr>
        <w:t xml:space="preserve">Oct 20th [Post-114bis-38.211-NR_LessThan_5MHz_FR1-Core], </w:t>
      </w:r>
      <w:r>
        <w:rPr>
          <w:rFonts w:ascii="Times New Roman" w:hAnsi="Times New Roman"/>
        </w:rPr>
        <w:t>(Rel-18, 38.211, CR0116, Cat F) is agreed</w:t>
      </w:r>
      <w:r w:rsidRPr="00EC6E5E">
        <w:rPr>
          <w:rFonts w:ascii="Times New Roman" w:hAnsi="Times New Roman"/>
        </w:rPr>
        <w:t>.</w:t>
      </w:r>
    </w:p>
    <w:p w14:paraId="3B845DBC" w14:textId="3A88405C" w:rsidR="007F7D4F" w:rsidRPr="007F7D4F" w:rsidRDefault="005A18DC" w:rsidP="007F7D4F">
      <w:pPr>
        <w:rPr>
          <w:b/>
          <w:bCs/>
        </w:rPr>
      </w:pPr>
      <w:hyperlink r:id="rId3005" w:history="1">
        <w:r w:rsidR="00AF7253">
          <w:rPr>
            <w:rStyle w:val="Hyperlink"/>
            <w:b/>
            <w:bCs/>
            <w:highlight w:val="green"/>
          </w:rPr>
          <w:t>R1-2312782</w:t>
        </w:r>
      </w:hyperlink>
      <w:r w:rsidR="007F7D4F" w:rsidRPr="007F7D4F">
        <w:rPr>
          <w:b/>
          <w:bCs/>
        </w:rPr>
        <w:tab/>
        <w:t>Maintenance of support for dedicated spectrum less than 5MHz for FR1</w:t>
      </w:r>
      <w:r w:rsidR="007F7D4F" w:rsidRPr="007F7D4F">
        <w:rPr>
          <w:b/>
          <w:bCs/>
        </w:rPr>
        <w:tab/>
        <w:t>Samsung</w:t>
      </w:r>
    </w:p>
    <w:p w14:paraId="5942980A" w14:textId="1ABA86EC" w:rsidR="007F7D4F" w:rsidRDefault="007F7D4F" w:rsidP="007F7D4F">
      <w:pPr>
        <w:rPr>
          <w:rFonts w:ascii="Times New Roman" w:hAnsi="Times New Roman"/>
        </w:rPr>
      </w:pPr>
      <w:r w:rsidRPr="00EC6E5E">
        <w:rPr>
          <w:rFonts w:ascii="Times New Roman" w:hAnsi="Times New Roman"/>
          <w:b/>
          <w:bCs/>
        </w:rPr>
        <w:t>Decision:</w:t>
      </w:r>
      <w:r w:rsidRPr="00EC6E5E">
        <w:rPr>
          <w:rFonts w:ascii="Times New Roman" w:hAnsi="Times New Roman"/>
        </w:rPr>
        <w:t xml:space="preserve"> As per email decision posted on </w:t>
      </w:r>
      <w:r>
        <w:rPr>
          <w:rFonts w:ascii="Times New Roman" w:hAnsi="Times New Roman"/>
        </w:rPr>
        <w:t>Nov 30th</w:t>
      </w:r>
      <w:r w:rsidRPr="00EC6E5E">
        <w:rPr>
          <w:rFonts w:ascii="Times New Roman" w:hAnsi="Times New Roman"/>
        </w:rPr>
        <w:t xml:space="preserve"> </w:t>
      </w:r>
      <w:r w:rsidRPr="007F7D4F">
        <w:rPr>
          <w:rFonts w:ascii="Times New Roman" w:hAnsi="Times New Roman"/>
        </w:rPr>
        <w:t>[Post-115-38.213-NR_FR1_lessthan_5MHz_BW]</w:t>
      </w:r>
      <w:r w:rsidRPr="00EC6E5E">
        <w:rPr>
          <w:rFonts w:ascii="Times New Roman" w:hAnsi="Times New Roman"/>
        </w:rPr>
        <w:t xml:space="preserve">, </w:t>
      </w:r>
      <w:r>
        <w:rPr>
          <w:rFonts w:ascii="Times New Roman" w:hAnsi="Times New Roman"/>
        </w:rPr>
        <w:t>(Rel-18, 38.213, CR0583, Cat F) is agreed</w:t>
      </w:r>
      <w:r w:rsidRPr="00EC6E5E">
        <w:rPr>
          <w:rFonts w:ascii="Times New Roman" w:hAnsi="Times New Roman"/>
        </w:rPr>
        <w:t>.</w:t>
      </w:r>
    </w:p>
    <w:p w14:paraId="77D11ABE" w14:textId="3189BD50" w:rsidR="006F761A" w:rsidRPr="00EC6E5E" w:rsidRDefault="006F761A" w:rsidP="007F7D4F">
      <w:pPr>
        <w:rPr>
          <w:rFonts w:ascii="Times New Roman" w:hAnsi="Times New Roman"/>
        </w:rPr>
      </w:pPr>
      <w:r w:rsidRPr="006F761A">
        <w:rPr>
          <w:rFonts w:ascii="Times New Roman" w:hAnsi="Times New Roman"/>
          <w:highlight w:val="magenta"/>
        </w:rPr>
        <w:t>MCC to correct CR cover sheet before submission to RAN.</w:t>
      </w:r>
    </w:p>
    <w:p w14:paraId="326C83E3" w14:textId="3C5BF4B1" w:rsidR="00EC6E5E" w:rsidRPr="007F7D4F" w:rsidRDefault="005A18DC" w:rsidP="007F7D4F">
      <w:pPr>
        <w:rPr>
          <w:b/>
          <w:bCs/>
        </w:rPr>
      </w:pPr>
      <w:hyperlink r:id="rId3006" w:history="1">
        <w:r w:rsidR="00AF7253">
          <w:rPr>
            <w:rStyle w:val="Hyperlink"/>
            <w:b/>
            <w:bCs/>
            <w:highlight w:val="green"/>
          </w:rPr>
          <w:t>R1-2312804</w:t>
        </w:r>
      </w:hyperlink>
      <w:r w:rsidR="007F7D4F" w:rsidRPr="007F7D4F">
        <w:rPr>
          <w:b/>
          <w:bCs/>
        </w:rPr>
        <w:tab/>
        <w:t>Introduction of NR support for dedicated spectrum less than 5MHz for FR1</w:t>
      </w:r>
      <w:r w:rsidR="007F7D4F" w:rsidRPr="007F7D4F">
        <w:rPr>
          <w:b/>
          <w:bCs/>
        </w:rPr>
        <w:tab/>
        <w:t>Nokia</w:t>
      </w:r>
    </w:p>
    <w:p w14:paraId="4DD91998" w14:textId="2F3F6D61" w:rsidR="007F7D4F" w:rsidRPr="00EC6E5E" w:rsidRDefault="007F7D4F" w:rsidP="007F7D4F">
      <w:pPr>
        <w:rPr>
          <w:rFonts w:ascii="Times New Roman" w:hAnsi="Times New Roman"/>
        </w:rPr>
      </w:pPr>
      <w:r w:rsidRPr="00EC6E5E">
        <w:rPr>
          <w:rFonts w:ascii="Times New Roman" w:hAnsi="Times New Roman"/>
          <w:b/>
          <w:bCs/>
        </w:rPr>
        <w:t>Decision:</w:t>
      </w:r>
      <w:r w:rsidRPr="00EC6E5E">
        <w:rPr>
          <w:rFonts w:ascii="Times New Roman" w:hAnsi="Times New Roman"/>
        </w:rPr>
        <w:t xml:space="preserve"> As per email decision posted on </w:t>
      </w:r>
      <w:r>
        <w:rPr>
          <w:rFonts w:ascii="Times New Roman" w:hAnsi="Times New Roman"/>
        </w:rPr>
        <w:t>Nov 30th</w:t>
      </w:r>
      <w:r w:rsidRPr="00EC6E5E">
        <w:rPr>
          <w:rFonts w:ascii="Times New Roman" w:hAnsi="Times New Roman"/>
        </w:rPr>
        <w:t xml:space="preserve"> </w:t>
      </w:r>
      <w:r w:rsidRPr="007F7D4F">
        <w:rPr>
          <w:rFonts w:ascii="Times New Roman" w:hAnsi="Times New Roman"/>
        </w:rPr>
        <w:t>[Post-115-38.214-NR_FR1_lessthan_5MHz_BW]</w:t>
      </w:r>
      <w:r w:rsidRPr="00EC6E5E">
        <w:rPr>
          <w:rFonts w:ascii="Times New Roman" w:hAnsi="Times New Roman"/>
        </w:rPr>
        <w:t xml:space="preserve">, </w:t>
      </w:r>
      <w:r>
        <w:rPr>
          <w:rFonts w:ascii="Times New Roman" w:hAnsi="Times New Roman"/>
        </w:rPr>
        <w:t>(Rel-18, 38.214, CR0494, Cat B) is agreed</w:t>
      </w:r>
      <w:r w:rsidRPr="00EC6E5E">
        <w:rPr>
          <w:rFonts w:ascii="Times New Roman" w:hAnsi="Times New Roman"/>
        </w:rPr>
        <w:t>.</w:t>
      </w:r>
    </w:p>
    <w:p w14:paraId="038B3BDC" w14:textId="77777777" w:rsidR="007F7D4F" w:rsidRPr="00EC6E5E" w:rsidRDefault="007F7D4F" w:rsidP="00EC6E5E"/>
    <w:p w14:paraId="080C5AC8" w14:textId="77777777" w:rsidR="00EC6E5E" w:rsidRPr="00EC6E5E" w:rsidRDefault="00EC6E5E" w:rsidP="00EC6E5E">
      <w:pPr>
        <w:rPr>
          <w:rFonts w:ascii="Times New Roman" w:hAnsi="Times New Roman"/>
        </w:rPr>
      </w:pPr>
      <w:r w:rsidRPr="00EC6E5E">
        <w:t xml:space="preserve">// </w:t>
      </w:r>
      <w:r w:rsidRPr="00EC6E5E">
        <w:rPr>
          <w:rFonts w:ascii="Times New Roman" w:hAnsi="Times New Roman"/>
        </w:rPr>
        <w:t>NR_DSS_enh</w:t>
      </w:r>
    </w:p>
    <w:p w14:paraId="59B06AE0" w14:textId="208CFF49" w:rsidR="00C72662" w:rsidRPr="00C72662" w:rsidRDefault="005A18DC" w:rsidP="00C72662">
      <w:pPr>
        <w:rPr>
          <w:rFonts w:ascii="Times New Roman" w:hAnsi="Times New Roman"/>
          <w:b/>
          <w:bCs/>
        </w:rPr>
      </w:pPr>
      <w:hyperlink r:id="rId3007" w:history="1">
        <w:r w:rsidR="00AF7253">
          <w:rPr>
            <w:rStyle w:val="Hyperlink"/>
            <w:rFonts w:ascii="Times New Roman" w:hAnsi="Times New Roman"/>
            <w:b/>
            <w:bCs/>
            <w:highlight w:val="green"/>
          </w:rPr>
          <w:t>R1-2312747</w:t>
        </w:r>
      </w:hyperlink>
      <w:r w:rsidR="00C72662" w:rsidRPr="00C72662">
        <w:rPr>
          <w:rFonts w:ascii="Times New Roman" w:hAnsi="Times New Roman"/>
          <w:b/>
          <w:bCs/>
        </w:rPr>
        <w:tab/>
        <w:t>Corrections to NR Dynamic Spectrum Sharing (DSS)</w:t>
      </w:r>
      <w:r w:rsidR="00C72662" w:rsidRPr="00C72662">
        <w:rPr>
          <w:rFonts w:ascii="Times New Roman" w:hAnsi="Times New Roman"/>
          <w:b/>
          <w:bCs/>
        </w:rPr>
        <w:tab/>
        <w:t>Ericsson</w:t>
      </w:r>
    </w:p>
    <w:p w14:paraId="1FCF9AB0" w14:textId="6530E6B8" w:rsidR="00C72662" w:rsidRPr="00EC6E5E" w:rsidRDefault="00C72662" w:rsidP="00C72662">
      <w:pPr>
        <w:rPr>
          <w:rFonts w:ascii="Times New Roman" w:hAnsi="Times New Roman"/>
        </w:rPr>
      </w:pPr>
      <w:r w:rsidRPr="00EC6E5E">
        <w:rPr>
          <w:rFonts w:ascii="Times New Roman" w:hAnsi="Times New Roman"/>
          <w:b/>
          <w:bCs/>
        </w:rPr>
        <w:t>Decision:</w:t>
      </w:r>
      <w:r w:rsidRPr="00EC6E5E">
        <w:rPr>
          <w:rFonts w:ascii="Times New Roman" w:hAnsi="Times New Roman"/>
        </w:rPr>
        <w:t xml:space="preserve"> As per email decision posted on </w:t>
      </w:r>
      <w:r>
        <w:rPr>
          <w:rFonts w:ascii="Times New Roman" w:hAnsi="Times New Roman"/>
        </w:rPr>
        <w:t>Nov 30th</w:t>
      </w:r>
      <w:r w:rsidRPr="00EC6E5E">
        <w:rPr>
          <w:rFonts w:ascii="Times New Roman" w:hAnsi="Times New Roman"/>
        </w:rPr>
        <w:t xml:space="preserve"> </w:t>
      </w:r>
      <w:r w:rsidRPr="00C72662">
        <w:rPr>
          <w:rFonts w:ascii="Times New Roman" w:hAnsi="Times New Roman"/>
        </w:rPr>
        <w:t>[Post-115-38.211-NR_DSS_enh-Core]</w:t>
      </w:r>
      <w:r w:rsidRPr="00EC6E5E">
        <w:rPr>
          <w:rFonts w:ascii="Times New Roman" w:hAnsi="Times New Roman"/>
        </w:rPr>
        <w:t xml:space="preserve">, </w:t>
      </w:r>
      <w:r>
        <w:rPr>
          <w:rFonts w:ascii="Times New Roman" w:hAnsi="Times New Roman"/>
        </w:rPr>
        <w:t>(Rel-18, 38.211, CR0115, Cat F) is agreed</w:t>
      </w:r>
      <w:r w:rsidRPr="00EC6E5E">
        <w:rPr>
          <w:rFonts w:ascii="Times New Roman" w:hAnsi="Times New Roman"/>
        </w:rPr>
        <w:t>.</w:t>
      </w:r>
    </w:p>
    <w:p w14:paraId="7AFCD291" w14:textId="3497C708" w:rsidR="00C72662" w:rsidRPr="00C72662" w:rsidRDefault="005A18DC" w:rsidP="00C72662">
      <w:pPr>
        <w:rPr>
          <w:rFonts w:ascii="Times New Roman" w:hAnsi="Times New Roman"/>
          <w:b/>
          <w:bCs/>
        </w:rPr>
      </w:pPr>
      <w:hyperlink r:id="rId3008" w:history="1">
        <w:r w:rsidR="00AF7253">
          <w:rPr>
            <w:rStyle w:val="Hyperlink"/>
            <w:rFonts w:ascii="Times New Roman" w:hAnsi="Times New Roman"/>
            <w:b/>
            <w:bCs/>
            <w:highlight w:val="green"/>
          </w:rPr>
          <w:t>R1-2312725</w:t>
        </w:r>
      </w:hyperlink>
      <w:r w:rsidR="00C72662" w:rsidRPr="00C72662">
        <w:rPr>
          <w:rFonts w:ascii="Times New Roman" w:hAnsi="Times New Roman"/>
          <w:b/>
          <w:bCs/>
        </w:rPr>
        <w:tab/>
        <w:t>Maintenance of dynamic spectrum sharing (DSS) enhancements</w:t>
      </w:r>
      <w:r w:rsidR="00C72662" w:rsidRPr="00C72662">
        <w:rPr>
          <w:rFonts w:ascii="Times New Roman" w:hAnsi="Times New Roman"/>
          <w:b/>
          <w:bCs/>
        </w:rPr>
        <w:tab/>
        <w:t>Samsung</w:t>
      </w:r>
    </w:p>
    <w:p w14:paraId="7A6E143F" w14:textId="4C7A6748" w:rsidR="00C72662" w:rsidRPr="00EC6E5E" w:rsidRDefault="00C72662" w:rsidP="00C72662">
      <w:pPr>
        <w:rPr>
          <w:rFonts w:ascii="Times New Roman" w:hAnsi="Times New Roman"/>
        </w:rPr>
      </w:pPr>
      <w:r w:rsidRPr="00EC6E5E">
        <w:rPr>
          <w:rFonts w:ascii="Times New Roman" w:hAnsi="Times New Roman"/>
          <w:b/>
          <w:bCs/>
        </w:rPr>
        <w:t>Decision:</w:t>
      </w:r>
      <w:r w:rsidRPr="00EC6E5E">
        <w:rPr>
          <w:rFonts w:ascii="Times New Roman" w:hAnsi="Times New Roman"/>
        </w:rPr>
        <w:t xml:space="preserve"> </w:t>
      </w:r>
      <w:r>
        <w:rPr>
          <w:rFonts w:ascii="Times New Roman" w:hAnsi="Times New Roman"/>
        </w:rPr>
        <w:t>N</w:t>
      </w:r>
      <w:r w:rsidR="00594FDC">
        <w:rPr>
          <w:rFonts w:ascii="Times New Roman" w:hAnsi="Times New Roman"/>
        </w:rPr>
        <w:t xml:space="preserve">o update in RAN1#115 further to </w:t>
      </w:r>
      <w:r w:rsidR="00594FDC" w:rsidRPr="00594FDC">
        <w:rPr>
          <w:rFonts w:ascii="Times New Roman" w:hAnsi="Times New Roman"/>
        </w:rPr>
        <w:t xml:space="preserve">email decision posted on Oct 20th [Post-114bis-38.213-NR_DSS_enh], </w:t>
      </w:r>
      <w:r>
        <w:rPr>
          <w:rFonts w:ascii="Times New Roman" w:hAnsi="Times New Roman"/>
        </w:rPr>
        <w:t>(Rel-18, 38.21</w:t>
      </w:r>
      <w:r w:rsidR="00594FDC">
        <w:rPr>
          <w:rFonts w:ascii="Times New Roman" w:hAnsi="Times New Roman"/>
        </w:rPr>
        <w:t>3</w:t>
      </w:r>
      <w:r>
        <w:rPr>
          <w:rFonts w:ascii="Times New Roman" w:hAnsi="Times New Roman"/>
        </w:rPr>
        <w:t>, CR0</w:t>
      </w:r>
      <w:r w:rsidR="00594FDC">
        <w:rPr>
          <w:rFonts w:ascii="Times New Roman" w:hAnsi="Times New Roman"/>
        </w:rPr>
        <w:t>574</w:t>
      </w:r>
      <w:r>
        <w:rPr>
          <w:rFonts w:ascii="Times New Roman" w:hAnsi="Times New Roman"/>
        </w:rPr>
        <w:t>, Cat F) is agreed</w:t>
      </w:r>
      <w:r w:rsidRPr="00EC6E5E">
        <w:rPr>
          <w:rFonts w:ascii="Times New Roman" w:hAnsi="Times New Roman"/>
        </w:rPr>
        <w:t>.</w:t>
      </w:r>
    </w:p>
    <w:p w14:paraId="1DDA4279" w14:textId="77777777" w:rsidR="00C72662" w:rsidRPr="00EC6E5E" w:rsidRDefault="00C72662" w:rsidP="00C72662">
      <w:pPr>
        <w:rPr>
          <w:rFonts w:ascii="Times New Roman" w:hAnsi="Times New Roman"/>
        </w:rPr>
      </w:pPr>
    </w:p>
    <w:p w14:paraId="7B2E3D2F" w14:textId="77777777" w:rsidR="00EC6E5E" w:rsidRPr="00EC6E5E" w:rsidRDefault="00EC6E5E" w:rsidP="00EC6E5E">
      <w:pPr>
        <w:rPr>
          <w:rFonts w:ascii="Times New Roman" w:hAnsi="Times New Roman"/>
        </w:rPr>
      </w:pPr>
      <w:r w:rsidRPr="00EC6E5E">
        <w:rPr>
          <w:rFonts w:ascii="Times New Roman" w:hAnsi="Times New Roman"/>
        </w:rPr>
        <w:t>// NR_netcon_repeater</w:t>
      </w:r>
    </w:p>
    <w:p w14:paraId="22765A24" w14:textId="70A1B988" w:rsidR="00CD5B7D" w:rsidRPr="00CD5B7D" w:rsidRDefault="005A18DC" w:rsidP="00CD5B7D">
      <w:pPr>
        <w:rPr>
          <w:rFonts w:ascii="Times New Roman" w:hAnsi="Times New Roman"/>
          <w:b/>
          <w:bCs/>
        </w:rPr>
      </w:pPr>
      <w:hyperlink r:id="rId3009" w:history="1">
        <w:r w:rsidR="00AF7253">
          <w:rPr>
            <w:rStyle w:val="Hyperlink"/>
            <w:rFonts w:ascii="Times New Roman" w:hAnsi="Times New Roman"/>
            <w:b/>
            <w:bCs/>
            <w:highlight w:val="green"/>
          </w:rPr>
          <w:t>R1-2312750</w:t>
        </w:r>
      </w:hyperlink>
      <w:r w:rsidR="00CD5B7D" w:rsidRPr="00CD5B7D">
        <w:rPr>
          <w:rFonts w:ascii="Times New Roman" w:hAnsi="Times New Roman"/>
          <w:b/>
          <w:bCs/>
        </w:rPr>
        <w:tab/>
        <w:t>Corrections to NR Network-controlled Repeaters</w:t>
      </w:r>
      <w:r w:rsidR="00CD5B7D" w:rsidRPr="00CD5B7D">
        <w:rPr>
          <w:rFonts w:ascii="Times New Roman" w:hAnsi="Times New Roman"/>
          <w:b/>
          <w:bCs/>
        </w:rPr>
        <w:tab/>
        <w:t>Ericsson</w:t>
      </w:r>
    </w:p>
    <w:p w14:paraId="48F3928E" w14:textId="0C1636BC" w:rsidR="00EC6E5E" w:rsidRPr="00EC6E5E" w:rsidRDefault="00CD5B7D" w:rsidP="00EC6E5E">
      <w:pPr>
        <w:rPr>
          <w:rFonts w:ascii="Times New Roman" w:hAnsi="Times New Roman"/>
        </w:rPr>
      </w:pPr>
      <w:r w:rsidRPr="00EC6E5E">
        <w:rPr>
          <w:rFonts w:ascii="Times New Roman" w:hAnsi="Times New Roman"/>
          <w:b/>
          <w:bCs/>
        </w:rPr>
        <w:t>Decision:</w:t>
      </w:r>
      <w:r w:rsidRPr="00EC6E5E">
        <w:rPr>
          <w:rFonts w:ascii="Times New Roman" w:hAnsi="Times New Roman"/>
        </w:rPr>
        <w:t xml:space="preserve"> </w:t>
      </w:r>
      <w:r>
        <w:rPr>
          <w:rFonts w:ascii="Times New Roman" w:hAnsi="Times New Roman"/>
        </w:rPr>
        <w:t xml:space="preserve">No update in RAN1#115 further to </w:t>
      </w:r>
      <w:r w:rsidRPr="00594FDC">
        <w:rPr>
          <w:rFonts w:ascii="Times New Roman" w:hAnsi="Times New Roman"/>
        </w:rPr>
        <w:t>email</w:t>
      </w:r>
      <w:r w:rsidR="00EC6E5E" w:rsidRPr="00EC6E5E">
        <w:rPr>
          <w:rFonts w:ascii="Times New Roman" w:hAnsi="Times New Roman"/>
        </w:rPr>
        <w:t xml:space="preserve"> decision posted </w:t>
      </w:r>
      <w:r>
        <w:rPr>
          <w:rFonts w:ascii="Times New Roman" w:hAnsi="Times New Roman"/>
        </w:rPr>
        <w:t xml:space="preserve">on Oct 20th </w:t>
      </w:r>
      <w:r w:rsidRPr="00EA2312">
        <w:rPr>
          <w:rFonts w:ascii="Times New Roman" w:hAnsi="Times New Roman"/>
        </w:rPr>
        <w:t>[Post-114bis-38.211-NR_netcon_repeater-Core]</w:t>
      </w:r>
      <w:r>
        <w:rPr>
          <w:rFonts w:ascii="Times New Roman" w:hAnsi="Times New Roman"/>
        </w:rPr>
        <w:t>,</w:t>
      </w:r>
      <w:r w:rsidR="00EC6E5E" w:rsidRPr="00EC6E5E">
        <w:rPr>
          <w:rFonts w:ascii="Times New Roman" w:hAnsi="Times New Roman"/>
        </w:rPr>
        <w:t xml:space="preserve"> </w:t>
      </w:r>
      <w:r>
        <w:rPr>
          <w:rFonts w:ascii="Times New Roman" w:hAnsi="Times New Roman"/>
        </w:rPr>
        <w:t>(Rel-18, 38.211, CR0118, Cat F) is agreed.</w:t>
      </w:r>
    </w:p>
    <w:p w14:paraId="212B9B70" w14:textId="60F10737" w:rsidR="005E61EC" w:rsidRPr="00CD5B7D" w:rsidRDefault="005A18DC" w:rsidP="005E61EC">
      <w:pPr>
        <w:rPr>
          <w:rFonts w:ascii="Times New Roman" w:hAnsi="Times New Roman"/>
          <w:b/>
          <w:bCs/>
        </w:rPr>
      </w:pPr>
      <w:hyperlink r:id="rId3010" w:history="1">
        <w:r w:rsidR="00AF7253">
          <w:rPr>
            <w:rStyle w:val="Hyperlink"/>
            <w:rFonts w:ascii="Times New Roman" w:hAnsi="Times New Roman"/>
            <w:b/>
            <w:bCs/>
            <w:highlight w:val="green"/>
          </w:rPr>
          <w:t>R1-2312777</w:t>
        </w:r>
      </w:hyperlink>
      <w:r w:rsidR="005E61EC" w:rsidRPr="00CD5B7D">
        <w:rPr>
          <w:rFonts w:ascii="Times New Roman" w:hAnsi="Times New Roman"/>
          <w:b/>
          <w:bCs/>
        </w:rPr>
        <w:tab/>
        <w:t>Corrections on Rel-18 network controlled repeaters in 38.212</w:t>
      </w:r>
      <w:r w:rsidR="005E61EC" w:rsidRPr="00CD5B7D">
        <w:rPr>
          <w:rFonts w:ascii="Times New Roman" w:hAnsi="Times New Roman"/>
          <w:b/>
          <w:bCs/>
        </w:rPr>
        <w:tab/>
        <w:t>Huawei</w:t>
      </w:r>
    </w:p>
    <w:p w14:paraId="38A5E75E" w14:textId="5E1109ED" w:rsidR="005E61EC" w:rsidRPr="00EC6E5E" w:rsidRDefault="005E61EC" w:rsidP="005E61EC">
      <w:pPr>
        <w:rPr>
          <w:rFonts w:ascii="Times New Roman" w:hAnsi="Times New Roman"/>
        </w:rPr>
      </w:pPr>
      <w:r w:rsidRPr="00EC6E5E">
        <w:rPr>
          <w:rFonts w:ascii="Times New Roman" w:hAnsi="Times New Roman"/>
          <w:b/>
          <w:bCs/>
        </w:rPr>
        <w:t>Decision:</w:t>
      </w:r>
      <w:r w:rsidRPr="00EC6E5E">
        <w:rPr>
          <w:rFonts w:ascii="Times New Roman" w:hAnsi="Times New Roman"/>
        </w:rPr>
        <w:t xml:space="preserve"> As per email decision posted on </w:t>
      </w:r>
      <w:r>
        <w:rPr>
          <w:rFonts w:ascii="Times New Roman" w:hAnsi="Times New Roman"/>
        </w:rPr>
        <w:t>Nov 30th</w:t>
      </w:r>
      <w:r w:rsidRPr="00EC6E5E">
        <w:rPr>
          <w:rFonts w:ascii="Times New Roman" w:hAnsi="Times New Roman"/>
        </w:rPr>
        <w:t xml:space="preserve"> </w:t>
      </w:r>
      <w:r w:rsidRPr="005E61EC">
        <w:rPr>
          <w:rFonts w:ascii="Times New Roman" w:hAnsi="Times New Roman"/>
        </w:rPr>
        <w:t>[Post-115-38.212-NR_netcon_repeater-Core]</w:t>
      </w:r>
      <w:r w:rsidRPr="00EC6E5E">
        <w:rPr>
          <w:rFonts w:ascii="Times New Roman" w:hAnsi="Times New Roman"/>
        </w:rPr>
        <w:t xml:space="preserve">, </w:t>
      </w:r>
      <w:r>
        <w:rPr>
          <w:rFonts w:ascii="Times New Roman" w:hAnsi="Times New Roman"/>
        </w:rPr>
        <w:t>(Rel-18, 38.212, CR0174, Cat F) is agreed</w:t>
      </w:r>
      <w:r w:rsidRPr="00EC6E5E">
        <w:rPr>
          <w:rFonts w:ascii="Times New Roman" w:hAnsi="Times New Roman"/>
        </w:rPr>
        <w:t>.</w:t>
      </w:r>
    </w:p>
    <w:p w14:paraId="0421DCED" w14:textId="02195B25" w:rsidR="005E61EC" w:rsidRPr="00CD5B7D" w:rsidRDefault="005A18DC" w:rsidP="005E61EC">
      <w:pPr>
        <w:rPr>
          <w:rFonts w:ascii="Times New Roman" w:hAnsi="Times New Roman"/>
          <w:b/>
          <w:bCs/>
        </w:rPr>
      </w:pPr>
      <w:hyperlink r:id="rId3011" w:history="1">
        <w:r w:rsidR="00AF7253">
          <w:rPr>
            <w:rStyle w:val="Hyperlink"/>
            <w:rFonts w:ascii="Times New Roman" w:hAnsi="Times New Roman"/>
            <w:b/>
            <w:bCs/>
          </w:rPr>
          <w:t>R1-2312790</w:t>
        </w:r>
      </w:hyperlink>
      <w:r w:rsidR="005E61EC" w:rsidRPr="00CD5B7D">
        <w:rPr>
          <w:rFonts w:ascii="Times New Roman" w:hAnsi="Times New Roman"/>
          <w:b/>
          <w:bCs/>
        </w:rPr>
        <w:tab/>
        <w:t>Summary of email discussions [Post-115-38.213-NR_NCR]</w:t>
      </w:r>
      <w:r w:rsidR="005E61EC" w:rsidRPr="00CD5B7D">
        <w:rPr>
          <w:rFonts w:ascii="Times New Roman" w:hAnsi="Times New Roman"/>
          <w:b/>
          <w:bCs/>
        </w:rPr>
        <w:tab/>
        <w:t>Moderator (Samsung)</w:t>
      </w:r>
    </w:p>
    <w:p w14:paraId="36B64161" w14:textId="213FF86A" w:rsidR="00CD5B7D" w:rsidRPr="00CD5B7D" w:rsidRDefault="005A18DC" w:rsidP="00CD5B7D">
      <w:pPr>
        <w:rPr>
          <w:rFonts w:ascii="Times New Roman" w:hAnsi="Times New Roman"/>
          <w:b/>
          <w:bCs/>
        </w:rPr>
      </w:pPr>
      <w:hyperlink r:id="rId3012" w:history="1">
        <w:r w:rsidR="00AF7253">
          <w:rPr>
            <w:rStyle w:val="Hyperlink"/>
            <w:rFonts w:ascii="Times New Roman" w:hAnsi="Times New Roman"/>
            <w:b/>
            <w:bCs/>
            <w:highlight w:val="green"/>
          </w:rPr>
          <w:t>R1-2312728</w:t>
        </w:r>
      </w:hyperlink>
      <w:r w:rsidR="00CD5B7D" w:rsidRPr="00CD5B7D">
        <w:rPr>
          <w:rFonts w:ascii="Times New Roman" w:hAnsi="Times New Roman"/>
          <w:b/>
          <w:bCs/>
        </w:rPr>
        <w:tab/>
        <w:t>Maintenance of Network Controlled Repeaters</w:t>
      </w:r>
      <w:r w:rsidR="00CD5B7D" w:rsidRPr="00CD5B7D">
        <w:rPr>
          <w:rFonts w:ascii="Times New Roman" w:hAnsi="Times New Roman"/>
          <w:b/>
          <w:bCs/>
        </w:rPr>
        <w:tab/>
        <w:t>Samsung</w:t>
      </w:r>
    </w:p>
    <w:p w14:paraId="4D6436DF" w14:textId="59142295" w:rsidR="005E61EC" w:rsidRPr="00EC6E5E" w:rsidRDefault="005E61EC" w:rsidP="005E61EC">
      <w:pPr>
        <w:rPr>
          <w:rFonts w:ascii="Times New Roman" w:hAnsi="Times New Roman"/>
        </w:rPr>
      </w:pPr>
      <w:r w:rsidRPr="00EC6E5E">
        <w:rPr>
          <w:rFonts w:ascii="Times New Roman" w:hAnsi="Times New Roman"/>
          <w:b/>
          <w:bCs/>
        </w:rPr>
        <w:t>Decision:</w:t>
      </w:r>
      <w:r w:rsidRPr="00EC6E5E">
        <w:rPr>
          <w:rFonts w:ascii="Times New Roman" w:hAnsi="Times New Roman"/>
        </w:rPr>
        <w:t xml:space="preserve"> As per email decision posted on </w:t>
      </w:r>
      <w:r>
        <w:rPr>
          <w:rFonts w:ascii="Times New Roman" w:hAnsi="Times New Roman"/>
        </w:rPr>
        <w:t>Nov 30th</w:t>
      </w:r>
      <w:r w:rsidRPr="00EC6E5E">
        <w:rPr>
          <w:rFonts w:ascii="Times New Roman" w:hAnsi="Times New Roman"/>
        </w:rPr>
        <w:t xml:space="preserve"> </w:t>
      </w:r>
      <w:r w:rsidRPr="005E61EC">
        <w:rPr>
          <w:rFonts w:ascii="Times New Roman" w:hAnsi="Times New Roman"/>
        </w:rPr>
        <w:t>[Post-115-38.213-NR_NCR]</w:t>
      </w:r>
      <w:r w:rsidRPr="00EC6E5E">
        <w:rPr>
          <w:rFonts w:ascii="Times New Roman" w:hAnsi="Times New Roman"/>
        </w:rPr>
        <w:t xml:space="preserve">, </w:t>
      </w:r>
      <w:r>
        <w:rPr>
          <w:rFonts w:ascii="Times New Roman" w:hAnsi="Times New Roman"/>
        </w:rPr>
        <w:t>(Rel-18, 38.213, CR0577, Cat F) is agreed</w:t>
      </w:r>
      <w:r w:rsidRPr="00EC6E5E">
        <w:rPr>
          <w:rFonts w:ascii="Times New Roman" w:hAnsi="Times New Roman"/>
        </w:rPr>
        <w:t>.</w:t>
      </w:r>
    </w:p>
    <w:p w14:paraId="05039964" w14:textId="3D58C11E" w:rsidR="005E61EC" w:rsidRPr="00CD5B7D" w:rsidRDefault="005A18DC" w:rsidP="005E61EC">
      <w:pPr>
        <w:rPr>
          <w:rFonts w:ascii="Times New Roman" w:hAnsi="Times New Roman"/>
          <w:b/>
          <w:bCs/>
        </w:rPr>
      </w:pPr>
      <w:hyperlink r:id="rId3013" w:history="1">
        <w:r w:rsidR="00AF7253">
          <w:rPr>
            <w:rStyle w:val="Hyperlink"/>
            <w:rFonts w:ascii="Times New Roman" w:hAnsi="Times New Roman"/>
            <w:b/>
            <w:bCs/>
          </w:rPr>
          <w:t>R1-2312811</w:t>
        </w:r>
      </w:hyperlink>
      <w:r w:rsidR="005E61EC" w:rsidRPr="00CD5B7D">
        <w:rPr>
          <w:rFonts w:ascii="Times New Roman" w:hAnsi="Times New Roman"/>
          <w:b/>
          <w:bCs/>
        </w:rPr>
        <w:tab/>
        <w:t>Summary on email discussion on NR_NCR-Core</w:t>
      </w:r>
      <w:r w:rsidR="005E61EC" w:rsidRPr="00CD5B7D">
        <w:rPr>
          <w:rFonts w:ascii="Times New Roman" w:hAnsi="Times New Roman"/>
          <w:b/>
          <w:bCs/>
        </w:rPr>
        <w:tab/>
        <w:t>Moderator (Nokia)</w:t>
      </w:r>
    </w:p>
    <w:p w14:paraId="4305894D" w14:textId="3A1E3FBA" w:rsidR="00CD5B7D" w:rsidRPr="00CD5B7D" w:rsidRDefault="005A18DC" w:rsidP="00CD5B7D">
      <w:pPr>
        <w:rPr>
          <w:rFonts w:ascii="Times New Roman" w:hAnsi="Times New Roman"/>
          <w:b/>
          <w:bCs/>
        </w:rPr>
      </w:pPr>
      <w:hyperlink r:id="rId3014" w:history="1">
        <w:r w:rsidR="00AF7253">
          <w:rPr>
            <w:rStyle w:val="Hyperlink"/>
            <w:rFonts w:ascii="Times New Roman" w:hAnsi="Times New Roman"/>
            <w:b/>
            <w:bCs/>
            <w:highlight w:val="green"/>
          </w:rPr>
          <w:t>R1-2312810</w:t>
        </w:r>
      </w:hyperlink>
      <w:r w:rsidR="00CD5B7D" w:rsidRPr="00CD5B7D">
        <w:rPr>
          <w:rFonts w:ascii="Times New Roman" w:hAnsi="Times New Roman"/>
          <w:b/>
          <w:bCs/>
        </w:rPr>
        <w:tab/>
        <w:t>Introduction of Network Controlled Repeaters</w:t>
      </w:r>
      <w:r w:rsidR="00CD5B7D" w:rsidRPr="00CD5B7D">
        <w:rPr>
          <w:rFonts w:ascii="Times New Roman" w:hAnsi="Times New Roman"/>
          <w:b/>
          <w:bCs/>
        </w:rPr>
        <w:tab/>
        <w:t>Nokia</w:t>
      </w:r>
    </w:p>
    <w:p w14:paraId="1899EC25" w14:textId="514203F7" w:rsidR="005E61EC" w:rsidRPr="00EC6E5E" w:rsidRDefault="005E61EC" w:rsidP="005E61EC">
      <w:pPr>
        <w:rPr>
          <w:rFonts w:ascii="Times New Roman" w:hAnsi="Times New Roman"/>
        </w:rPr>
      </w:pPr>
      <w:r w:rsidRPr="00EC6E5E">
        <w:rPr>
          <w:rFonts w:ascii="Times New Roman" w:hAnsi="Times New Roman"/>
          <w:b/>
          <w:bCs/>
        </w:rPr>
        <w:lastRenderedPageBreak/>
        <w:t>Decision:</w:t>
      </w:r>
      <w:r w:rsidRPr="00EC6E5E">
        <w:rPr>
          <w:rFonts w:ascii="Times New Roman" w:hAnsi="Times New Roman"/>
        </w:rPr>
        <w:t xml:space="preserve"> As per email decision posted on </w:t>
      </w:r>
      <w:r>
        <w:rPr>
          <w:rFonts w:ascii="Times New Roman" w:hAnsi="Times New Roman"/>
        </w:rPr>
        <w:t>Dec 1st</w:t>
      </w:r>
      <w:r w:rsidRPr="00EC6E5E">
        <w:rPr>
          <w:rFonts w:ascii="Times New Roman" w:hAnsi="Times New Roman"/>
        </w:rPr>
        <w:t xml:space="preserve"> </w:t>
      </w:r>
      <w:r w:rsidRPr="005E61EC">
        <w:rPr>
          <w:rFonts w:ascii="Times New Roman" w:hAnsi="Times New Roman"/>
        </w:rPr>
        <w:t>[Post-115-38.214-NR_NCR]</w:t>
      </w:r>
      <w:r w:rsidRPr="00EC6E5E">
        <w:rPr>
          <w:rFonts w:ascii="Times New Roman" w:hAnsi="Times New Roman"/>
        </w:rPr>
        <w:t xml:space="preserve">, </w:t>
      </w:r>
      <w:r>
        <w:rPr>
          <w:rFonts w:ascii="Times New Roman" w:hAnsi="Times New Roman"/>
        </w:rPr>
        <w:t>(Rel-18, 38.214, CR0496, Cat B) is agreed</w:t>
      </w:r>
      <w:r w:rsidRPr="00EC6E5E">
        <w:rPr>
          <w:rFonts w:ascii="Times New Roman" w:hAnsi="Times New Roman"/>
        </w:rPr>
        <w:t>.</w:t>
      </w:r>
    </w:p>
    <w:p w14:paraId="60AF775D" w14:textId="77777777" w:rsidR="00CD5B7D" w:rsidRPr="00EC6E5E" w:rsidRDefault="00CD5B7D" w:rsidP="00CD5B7D">
      <w:pPr>
        <w:rPr>
          <w:rFonts w:ascii="Times New Roman" w:hAnsi="Times New Roman"/>
        </w:rPr>
      </w:pPr>
    </w:p>
    <w:p w14:paraId="28399E6E" w14:textId="77777777" w:rsidR="00EC6E5E" w:rsidRPr="00EC6E5E" w:rsidRDefault="00EC6E5E" w:rsidP="00EC6E5E">
      <w:pPr>
        <w:rPr>
          <w:rFonts w:ascii="Times New Roman" w:hAnsi="Times New Roman"/>
        </w:rPr>
      </w:pPr>
      <w:r w:rsidRPr="00EC6E5E">
        <w:rPr>
          <w:rFonts w:ascii="Times New Roman" w:hAnsi="Times New Roman"/>
        </w:rPr>
        <w:t>// NR_MC_enh</w:t>
      </w:r>
    </w:p>
    <w:p w14:paraId="6688A019" w14:textId="4D23AF0D" w:rsidR="005E4C39" w:rsidRPr="005E4C39" w:rsidRDefault="005A18DC" w:rsidP="005E4C39">
      <w:pPr>
        <w:rPr>
          <w:rFonts w:ascii="Times New Roman" w:hAnsi="Times New Roman"/>
          <w:b/>
          <w:bCs/>
        </w:rPr>
      </w:pPr>
      <w:hyperlink r:id="rId3015" w:history="1">
        <w:r w:rsidR="00AF7253">
          <w:rPr>
            <w:rStyle w:val="Hyperlink"/>
            <w:rFonts w:ascii="Times New Roman" w:hAnsi="Times New Roman"/>
            <w:b/>
            <w:bCs/>
          </w:rPr>
          <w:t>R1-2312771</w:t>
        </w:r>
      </w:hyperlink>
      <w:r w:rsidR="005E4C39" w:rsidRPr="005E4C39">
        <w:rPr>
          <w:rFonts w:ascii="Times New Roman" w:hAnsi="Times New Roman"/>
          <w:b/>
          <w:bCs/>
        </w:rPr>
        <w:tab/>
        <w:t>Summary of email discussion [Post-115-38.212-NR_MC_enh]</w:t>
      </w:r>
      <w:r w:rsidR="005E4C39" w:rsidRPr="005E4C39">
        <w:rPr>
          <w:rFonts w:ascii="Times New Roman" w:hAnsi="Times New Roman"/>
          <w:b/>
          <w:bCs/>
        </w:rPr>
        <w:tab/>
        <w:t>Moderator (Huawei)</w:t>
      </w:r>
    </w:p>
    <w:p w14:paraId="2A4ED7D1" w14:textId="425D7381" w:rsidR="005E4C39" w:rsidRPr="005E4C39" w:rsidRDefault="005A18DC" w:rsidP="005E4C39">
      <w:pPr>
        <w:rPr>
          <w:rFonts w:ascii="Times New Roman" w:hAnsi="Times New Roman"/>
          <w:b/>
          <w:bCs/>
        </w:rPr>
      </w:pPr>
      <w:hyperlink r:id="rId3016" w:history="1">
        <w:r w:rsidR="00AF7253">
          <w:rPr>
            <w:rStyle w:val="Hyperlink"/>
            <w:rFonts w:ascii="Times New Roman" w:hAnsi="Times New Roman"/>
            <w:b/>
            <w:bCs/>
            <w:highlight w:val="green"/>
          </w:rPr>
          <w:t>R1-2312742</w:t>
        </w:r>
      </w:hyperlink>
      <w:r w:rsidR="005E4C39" w:rsidRPr="005E4C39">
        <w:rPr>
          <w:rFonts w:ascii="Times New Roman" w:hAnsi="Times New Roman"/>
          <w:b/>
          <w:bCs/>
        </w:rPr>
        <w:tab/>
        <w:t>Corrections on Rel-18 Multi-carrier enhancements in 38.212</w:t>
      </w:r>
      <w:r w:rsidR="005E4C39" w:rsidRPr="005E4C39">
        <w:rPr>
          <w:rFonts w:ascii="Times New Roman" w:hAnsi="Times New Roman"/>
          <w:b/>
          <w:bCs/>
        </w:rPr>
        <w:tab/>
        <w:t>Huawei</w:t>
      </w:r>
    </w:p>
    <w:p w14:paraId="5B1A82D4" w14:textId="22F75C1C" w:rsidR="005E4C39" w:rsidRPr="00EC6E5E" w:rsidRDefault="005E4C39" w:rsidP="005E4C39">
      <w:pPr>
        <w:rPr>
          <w:rFonts w:ascii="Times New Roman" w:hAnsi="Times New Roman"/>
        </w:rPr>
      </w:pPr>
      <w:r w:rsidRPr="00EC6E5E">
        <w:rPr>
          <w:rFonts w:ascii="Times New Roman" w:hAnsi="Times New Roman"/>
          <w:b/>
          <w:bCs/>
        </w:rPr>
        <w:t>Decision:</w:t>
      </w:r>
      <w:r w:rsidRPr="00EC6E5E">
        <w:rPr>
          <w:rFonts w:ascii="Times New Roman" w:hAnsi="Times New Roman"/>
        </w:rPr>
        <w:t xml:space="preserve"> As per email decision posted on </w:t>
      </w:r>
      <w:r>
        <w:rPr>
          <w:rFonts w:ascii="Times New Roman" w:hAnsi="Times New Roman"/>
        </w:rPr>
        <w:t>Nov 30th</w:t>
      </w:r>
      <w:r w:rsidRPr="00EC6E5E">
        <w:rPr>
          <w:rFonts w:ascii="Times New Roman" w:hAnsi="Times New Roman"/>
        </w:rPr>
        <w:t xml:space="preserve"> </w:t>
      </w:r>
      <w:r w:rsidRPr="0009454B">
        <w:rPr>
          <w:rFonts w:ascii="Times New Roman" w:hAnsi="Times New Roman"/>
        </w:rPr>
        <w:t>[Post 115-38.21</w:t>
      </w:r>
      <w:r>
        <w:rPr>
          <w:rFonts w:ascii="Times New Roman" w:hAnsi="Times New Roman"/>
        </w:rPr>
        <w:t>2</w:t>
      </w:r>
      <w:r w:rsidRPr="0009454B">
        <w:rPr>
          <w:rFonts w:ascii="Times New Roman" w:hAnsi="Times New Roman"/>
        </w:rPr>
        <w:t>-NR_MC_enh]</w:t>
      </w:r>
      <w:r w:rsidRPr="00EC6E5E">
        <w:rPr>
          <w:rFonts w:ascii="Times New Roman" w:hAnsi="Times New Roman"/>
        </w:rPr>
        <w:t xml:space="preserve">, </w:t>
      </w:r>
      <w:r>
        <w:rPr>
          <w:rFonts w:ascii="Times New Roman" w:hAnsi="Times New Roman"/>
        </w:rPr>
        <w:t>(Rel-18, 38.212, CR0168, Cat F) is agreed</w:t>
      </w:r>
      <w:r w:rsidRPr="00EC6E5E">
        <w:rPr>
          <w:rFonts w:ascii="Times New Roman" w:hAnsi="Times New Roman"/>
        </w:rPr>
        <w:t>.</w:t>
      </w:r>
    </w:p>
    <w:p w14:paraId="48B081AE" w14:textId="121FC1F3" w:rsidR="0009454B" w:rsidRPr="0009454B" w:rsidRDefault="005A18DC" w:rsidP="0009454B">
      <w:pPr>
        <w:rPr>
          <w:rFonts w:ascii="Times New Roman" w:hAnsi="Times New Roman"/>
          <w:b/>
          <w:bCs/>
        </w:rPr>
      </w:pPr>
      <w:hyperlink r:id="rId3017" w:history="1">
        <w:r w:rsidR="00AF7253">
          <w:rPr>
            <w:rStyle w:val="Hyperlink"/>
            <w:rFonts w:ascii="Times New Roman" w:hAnsi="Times New Roman"/>
            <w:b/>
            <w:bCs/>
          </w:rPr>
          <w:t>R1-2312787</w:t>
        </w:r>
      </w:hyperlink>
      <w:r w:rsidR="0009454B" w:rsidRPr="0009454B">
        <w:rPr>
          <w:rFonts w:ascii="Times New Roman" w:hAnsi="Times New Roman"/>
          <w:b/>
          <w:bCs/>
        </w:rPr>
        <w:tab/>
        <w:t>Summary of email discussions [Post-115-38.213-NR_MC_Enh]</w:t>
      </w:r>
      <w:r w:rsidR="0009454B" w:rsidRPr="0009454B">
        <w:rPr>
          <w:rFonts w:ascii="Times New Roman" w:hAnsi="Times New Roman"/>
          <w:b/>
          <w:bCs/>
        </w:rPr>
        <w:tab/>
        <w:t>Moderator (Samsung)</w:t>
      </w:r>
    </w:p>
    <w:p w14:paraId="7BFE257E" w14:textId="7B0993BC" w:rsidR="0009454B" w:rsidRPr="0009454B" w:rsidRDefault="005A18DC" w:rsidP="0009454B">
      <w:pPr>
        <w:rPr>
          <w:rFonts w:ascii="Times New Roman" w:hAnsi="Times New Roman"/>
          <w:b/>
          <w:bCs/>
        </w:rPr>
      </w:pPr>
      <w:hyperlink r:id="rId3018" w:history="1">
        <w:r w:rsidR="00AF7253">
          <w:rPr>
            <w:rStyle w:val="Hyperlink"/>
            <w:rFonts w:ascii="Times New Roman" w:hAnsi="Times New Roman"/>
            <w:b/>
            <w:bCs/>
            <w:highlight w:val="green"/>
          </w:rPr>
          <w:t>R1-2312726</w:t>
        </w:r>
      </w:hyperlink>
      <w:r w:rsidR="0009454B" w:rsidRPr="0009454B">
        <w:rPr>
          <w:rFonts w:ascii="Times New Roman" w:hAnsi="Times New Roman"/>
          <w:b/>
          <w:bCs/>
        </w:rPr>
        <w:tab/>
        <w:t>Maintenance of multi-carrier enhancements for NR</w:t>
      </w:r>
      <w:r w:rsidR="0009454B" w:rsidRPr="0009454B">
        <w:rPr>
          <w:rFonts w:ascii="Times New Roman" w:hAnsi="Times New Roman"/>
          <w:b/>
          <w:bCs/>
        </w:rPr>
        <w:tab/>
        <w:t>Samsung</w:t>
      </w:r>
    </w:p>
    <w:p w14:paraId="60F69D99" w14:textId="0631FF25" w:rsidR="0009454B" w:rsidRPr="00EC6E5E" w:rsidRDefault="0009454B" w:rsidP="0009454B">
      <w:pPr>
        <w:rPr>
          <w:rFonts w:ascii="Times New Roman" w:hAnsi="Times New Roman"/>
        </w:rPr>
      </w:pPr>
      <w:r w:rsidRPr="00EC6E5E">
        <w:rPr>
          <w:rFonts w:ascii="Times New Roman" w:hAnsi="Times New Roman"/>
          <w:b/>
          <w:bCs/>
        </w:rPr>
        <w:t>Decision:</w:t>
      </w:r>
      <w:r w:rsidRPr="00EC6E5E">
        <w:rPr>
          <w:rFonts w:ascii="Times New Roman" w:hAnsi="Times New Roman"/>
        </w:rPr>
        <w:t xml:space="preserve"> As per email decision posted on </w:t>
      </w:r>
      <w:r>
        <w:rPr>
          <w:rFonts w:ascii="Times New Roman" w:hAnsi="Times New Roman"/>
        </w:rPr>
        <w:t>Nov 30th</w:t>
      </w:r>
      <w:r w:rsidRPr="00EC6E5E">
        <w:rPr>
          <w:rFonts w:ascii="Times New Roman" w:hAnsi="Times New Roman"/>
        </w:rPr>
        <w:t xml:space="preserve"> </w:t>
      </w:r>
      <w:r w:rsidRPr="0009454B">
        <w:rPr>
          <w:rFonts w:ascii="Times New Roman" w:hAnsi="Times New Roman"/>
        </w:rPr>
        <w:t>[Post 115-R18-38.213-NR_MC_enh]</w:t>
      </w:r>
      <w:r w:rsidRPr="00EC6E5E">
        <w:rPr>
          <w:rFonts w:ascii="Times New Roman" w:hAnsi="Times New Roman"/>
        </w:rPr>
        <w:t xml:space="preserve">, </w:t>
      </w:r>
      <w:r>
        <w:rPr>
          <w:rFonts w:ascii="Times New Roman" w:hAnsi="Times New Roman"/>
        </w:rPr>
        <w:t>(Rel-18</w:t>
      </w:r>
      <w:r w:rsidR="007276CB">
        <w:rPr>
          <w:rFonts w:ascii="Times New Roman" w:hAnsi="Times New Roman"/>
        </w:rPr>
        <w:t>, 38.213, CR0575, Cat F) is agreed</w:t>
      </w:r>
      <w:r w:rsidRPr="00EC6E5E">
        <w:rPr>
          <w:rFonts w:ascii="Times New Roman" w:hAnsi="Times New Roman"/>
        </w:rPr>
        <w:t>.</w:t>
      </w:r>
    </w:p>
    <w:p w14:paraId="30F45049" w14:textId="3F801CA7" w:rsidR="0009454B" w:rsidRPr="00532FF1" w:rsidRDefault="005A18DC" w:rsidP="0009454B">
      <w:pPr>
        <w:rPr>
          <w:rFonts w:ascii="Times New Roman" w:hAnsi="Times New Roman"/>
          <w:b/>
          <w:bCs/>
        </w:rPr>
      </w:pPr>
      <w:hyperlink r:id="rId3019" w:history="1">
        <w:r w:rsidR="00AF7253">
          <w:rPr>
            <w:rStyle w:val="Hyperlink"/>
            <w:rFonts w:ascii="Times New Roman" w:hAnsi="Times New Roman"/>
            <w:b/>
            <w:bCs/>
          </w:rPr>
          <w:t>R1-2312800</w:t>
        </w:r>
      </w:hyperlink>
      <w:r w:rsidR="0009454B" w:rsidRPr="00532FF1">
        <w:rPr>
          <w:rFonts w:ascii="Times New Roman" w:hAnsi="Times New Roman"/>
          <w:b/>
          <w:bCs/>
        </w:rPr>
        <w:tab/>
        <w:t>Summary of email discussion on the introduction of UL Tx switching across up to 4 bands in [Post-115-38.214-MC_Enh-ULSwi]</w:t>
      </w:r>
      <w:r w:rsidR="0009454B" w:rsidRPr="00532FF1">
        <w:rPr>
          <w:rFonts w:ascii="Times New Roman" w:hAnsi="Times New Roman"/>
          <w:b/>
          <w:bCs/>
        </w:rPr>
        <w:tab/>
        <w:t>Moderator (Nokia)</w:t>
      </w:r>
    </w:p>
    <w:p w14:paraId="2A3ED568" w14:textId="3E52466B" w:rsidR="005E4C39" w:rsidRPr="00532FF1" w:rsidRDefault="005A18DC" w:rsidP="005E4C39">
      <w:pPr>
        <w:rPr>
          <w:rFonts w:ascii="Times New Roman" w:hAnsi="Times New Roman"/>
          <w:b/>
          <w:bCs/>
        </w:rPr>
      </w:pPr>
      <w:hyperlink r:id="rId3020" w:history="1">
        <w:r w:rsidR="00AF7253">
          <w:rPr>
            <w:rStyle w:val="Hyperlink"/>
            <w:rFonts w:ascii="Times New Roman" w:hAnsi="Times New Roman"/>
            <w:b/>
            <w:bCs/>
            <w:highlight w:val="green"/>
          </w:rPr>
          <w:t>R1-2312761</w:t>
        </w:r>
      </w:hyperlink>
      <w:r w:rsidR="005E4C39" w:rsidRPr="00532FF1">
        <w:rPr>
          <w:rFonts w:ascii="Times New Roman" w:hAnsi="Times New Roman"/>
          <w:b/>
          <w:bCs/>
        </w:rPr>
        <w:tab/>
        <w:t>Introduction of UL Tx switching across up to 4 bands</w:t>
      </w:r>
      <w:r w:rsidR="005E4C39" w:rsidRPr="00532FF1">
        <w:rPr>
          <w:rFonts w:ascii="Times New Roman" w:hAnsi="Times New Roman"/>
          <w:b/>
          <w:bCs/>
        </w:rPr>
        <w:tab/>
        <w:t>Nokia</w:t>
      </w:r>
    </w:p>
    <w:p w14:paraId="13EA1656" w14:textId="1B92F9DD" w:rsidR="00532FF1" w:rsidRPr="00EC6E5E" w:rsidRDefault="00532FF1" w:rsidP="00532FF1">
      <w:pPr>
        <w:rPr>
          <w:rFonts w:ascii="Times New Roman" w:hAnsi="Times New Roman"/>
        </w:rPr>
      </w:pPr>
      <w:r w:rsidRPr="00EC6E5E">
        <w:rPr>
          <w:rFonts w:ascii="Times New Roman" w:hAnsi="Times New Roman"/>
          <w:b/>
          <w:bCs/>
        </w:rPr>
        <w:t>Decision:</w:t>
      </w:r>
      <w:r w:rsidRPr="00EC6E5E">
        <w:rPr>
          <w:rFonts w:ascii="Times New Roman" w:hAnsi="Times New Roman"/>
        </w:rPr>
        <w:t xml:space="preserve"> As per email decision posted on </w:t>
      </w:r>
      <w:r>
        <w:rPr>
          <w:rFonts w:ascii="Times New Roman" w:hAnsi="Times New Roman"/>
        </w:rPr>
        <w:t>Dec 1st</w:t>
      </w:r>
      <w:r w:rsidRPr="00EC6E5E">
        <w:rPr>
          <w:rFonts w:ascii="Times New Roman" w:hAnsi="Times New Roman"/>
        </w:rPr>
        <w:t xml:space="preserve"> </w:t>
      </w:r>
      <w:r w:rsidRPr="00532FF1">
        <w:rPr>
          <w:rFonts w:ascii="Times New Roman" w:hAnsi="Times New Roman"/>
        </w:rPr>
        <w:t>[Post-115-38.214-MC_Enh-ULSwi]</w:t>
      </w:r>
      <w:r w:rsidRPr="00EC6E5E">
        <w:rPr>
          <w:rFonts w:ascii="Times New Roman" w:hAnsi="Times New Roman"/>
        </w:rPr>
        <w:t xml:space="preserve">, </w:t>
      </w:r>
      <w:r>
        <w:rPr>
          <w:rFonts w:ascii="Times New Roman" w:hAnsi="Times New Roman"/>
        </w:rPr>
        <w:t>(Rel-18, 38.214, CR0491, Cat B) is agreed</w:t>
      </w:r>
      <w:r w:rsidRPr="00EC6E5E">
        <w:rPr>
          <w:rFonts w:ascii="Times New Roman" w:hAnsi="Times New Roman"/>
        </w:rPr>
        <w:t>.</w:t>
      </w:r>
    </w:p>
    <w:p w14:paraId="27B8D75D" w14:textId="58271B53" w:rsidR="0009454B" w:rsidRPr="00532FF1" w:rsidRDefault="005A18DC" w:rsidP="0009454B">
      <w:pPr>
        <w:rPr>
          <w:rFonts w:ascii="Times New Roman" w:hAnsi="Times New Roman"/>
          <w:b/>
          <w:bCs/>
        </w:rPr>
      </w:pPr>
      <w:hyperlink r:id="rId3021" w:history="1">
        <w:r w:rsidR="00AF7253">
          <w:rPr>
            <w:rStyle w:val="Hyperlink"/>
            <w:rFonts w:ascii="Times New Roman" w:hAnsi="Times New Roman"/>
            <w:b/>
            <w:bCs/>
          </w:rPr>
          <w:t>R1-2312801</w:t>
        </w:r>
      </w:hyperlink>
      <w:r w:rsidR="0009454B" w:rsidRPr="00532FF1">
        <w:rPr>
          <w:rFonts w:ascii="Times New Roman" w:hAnsi="Times New Roman"/>
          <w:b/>
          <w:bCs/>
        </w:rPr>
        <w:tab/>
        <w:t>Summary of email discussion on DCI in [Post-115-38.214-MC_Enh-Scheduling]</w:t>
      </w:r>
      <w:r w:rsidR="0009454B" w:rsidRPr="00532FF1">
        <w:rPr>
          <w:rFonts w:ascii="Times New Roman" w:hAnsi="Times New Roman"/>
          <w:b/>
          <w:bCs/>
        </w:rPr>
        <w:tab/>
        <w:t>Moderator (Nokia)</w:t>
      </w:r>
    </w:p>
    <w:p w14:paraId="2A17F6C5" w14:textId="550CAC50" w:rsidR="0009454B" w:rsidRPr="00532FF1" w:rsidRDefault="005A18DC" w:rsidP="0009454B">
      <w:pPr>
        <w:rPr>
          <w:rFonts w:ascii="Times New Roman" w:hAnsi="Times New Roman"/>
          <w:b/>
          <w:bCs/>
        </w:rPr>
      </w:pPr>
      <w:hyperlink r:id="rId3022" w:history="1">
        <w:r w:rsidR="00AF7253">
          <w:rPr>
            <w:rStyle w:val="Hyperlink"/>
            <w:rFonts w:ascii="Times New Roman" w:hAnsi="Times New Roman"/>
            <w:b/>
            <w:bCs/>
            <w:highlight w:val="green"/>
          </w:rPr>
          <w:t>R1-2312802</w:t>
        </w:r>
      </w:hyperlink>
      <w:r w:rsidR="0009454B" w:rsidRPr="00532FF1">
        <w:rPr>
          <w:rFonts w:ascii="Times New Roman" w:hAnsi="Times New Roman"/>
          <w:b/>
          <w:bCs/>
        </w:rPr>
        <w:tab/>
        <w:t>Corrections on multi-cell PDSCH / PUSCH scheduling</w:t>
      </w:r>
      <w:r w:rsidR="0009454B" w:rsidRPr="00532FF1">
        <w:rPr>
          <w:rFonts w:ascii="Times New Roman" w:hAnsi="Times New Roman"/>
          <w:b/>
          <w:bCs/>
        </w:rPr>
        <w:tab/>
        <w:t>Nokia</w:t>
      </w:r>
    </w:p>
    <w:p w14:paraId="37B07145" w14:textId="5B34DBB0" w:rsidR="00532FF1" w:rsidRPr="00EC6E5E" w:rsidRDefault="00532FF1" w:rsidP="00532FF1">
      <w:pPr>
        <w:rPr>
          <w:rFonts w:ascii="Times New Roman" w:hAnsi="Times New Roman"/>
        </w:rPr>
      </w:pPr>
      <w:r w:rsidRPr="00EC6E5E">
        <w:rPr>
          <w:rFonts w:ascii="Times New Roman" w:hAnsi="Times New Roman"/>
          <w:b/>
          <w:bCs/>
        </w:rPr>
        <w:t>Decision:</w:t>
      </w:r>
      <w:r w:rsidRPr="00EC6E5E">
        <w:rPr>
          <w:rFonts w:ascii="Times New Roman" w:hAnsi="Times New Roman"/>
        </w:rPr>
        <w:t xml:space="preserve"> As per email decision posted on </w:t>
      </w:r>
      <w:r>
        <w:rPr>
          <w:rFonts w:ascii="Times New Roman" w:hAnsi="Times New Roman"/>
        </w:rPr>
        <w:t>Dec 1st</w:t>
      </w:r>
      <w:r w:rsidRPr="00EC6E5E">
        <w:rPr>
          <w:rFonts w:ascii="Times New Roman" w:hAnsi="Times New Roman"/>
        </w:rPr>
        <w:t xml:space="preserve"> </w:t>
      </w:r>
      <w:r w:rsidRPr="00532FF1">
        <w:rPr>
          <w:rFonts w:ascii="Times New Roman" w:hAnsi="Times New Roman"/>
        </w:rPr>
        <w:t>[Post-115-38.214-MC_Enh-Scheduling]</w:t>
      </w:r>
      <w:r w:rsidRPr="00EC6E5E">
        <w:rPr>
          <w:rFonts w:ascii="Times New Roman" w:hAnsi="Times New Roman"/>
        </w:rPr>
        <w:t xml:space="preserve">, </w:t>
      </w:r>
      <w:r>
        <w:rPr>
          <w:rFonts w:ascii="Times New Roman" w:hAnsi="Times New Roman"/>
        </w:rPr>
        <w:t>(Rel-18, 38.214, CR0493, Cat F) is agreed</w:t>
      </w:r>
      <w:r w:rsidRPr="00EC6E5E">
        <w:rPr>
          <w:rFonts w:ascii="Times New Roman" w:hAnsi="Times New Roman"/>
        </w:rPr>
        <w:t>.</w:t>
      </w:r>
    </w:p>
    <w:p w14:paraId="4D48D75C" w14:textId="77777777" w:rsidR="0009454B" w:rsidRPr="00EC6E5E" w:rsidRDefault="0009454B" w:rsidP="0009454B">
      <w:pPr>
        <w:rPr>
          <w:rFonts w:ascii="Times New Roman" w:hAnsi="Times New Roman"/>
        </w:rPr>
      </w:pPr>
    </w:p>
    <w:p w14:paraId="4E98229A" w14:textId="77777777" w:rsidR="00EC6E5E" w:rsidRPr="00EC6E5E" w:rsidRDefault="00EC6E5E" w:rsidP="00EC6E5E">
      <w:pPr>
        <w:rPr>
          <w:rFonts w:ascii="Times New Roman" w:hAnsi="Times New Roman"/>
        </w:rPr>
      </w:pPr>
      <w:r w:rsidRPr="00EC6E5E">
        <w:rPr>
          <w:rFonts w:ascii="Times New Roman" w:hAnsi="Times New Roman"/>
        </w:rPr>
        <w:t>// NR_NTN_enh</w:t>
      </w:r>
    </w:p>
    <w:p w14:paraId="5C887A54" w14:textId="4C809BFA" w:rsidR="007325F0" w:rsidRPr="007325F0" w:rsidRDefault="005A18DC" w:rsidP="007325F0">
      <w:pPr>
        <w:rPr>
          <w:rFonts w:ascii="Times New Roman" w:hAnsi="Times New Roman"/>
          <w:b/>
          <w:bCs/>
        </w:rPr>
      </w:pPr>
      <w:hyperlink r:id="rId3023" w:history="1">
        <w:r w:rsidR="00AF7253">
          <w:rPr>
            <w:rStyle w:val="Hyperlink"/>
            <w:rFonts w:ascii="Times New Roman" w:hAnsi="Times New Roman"/>
            <w:b/>
            <w:bCs/>
            <w:highlight w:val="green"/>
          </w:rPr>
          <w:t>R1-2312744</w:t>
        </w:r>
      </w:hyperlink>
      <w:r w:rsidR="007325F0" w:rsidRPr="007325F0">
        <w:rPr>
          <w:rFonts w:ascii="Times New Roman" w:hAnsi="Times New Roman"/>
          <w:b/>
          <w:bCs/>
        </w:rPr>
        <w:tab/>
        <w:t>Corrections on Rel-18 NR NTN enhancements in 38.212</w:t>
      </w:r>
      <w:r w:rsidR="007325F0" w:rsidRPr="007325F0">
        <w:rPr>
          <w:rFonts w:ascii="Times New Roman" w:hAnsi="Times New Roman"/>
          <w:b/>
          <w:bCs/>
        </w:rPr>
        <w:tab/>
        <w:t>Huawei</w:t>
      </w:r>
    </w:p>
    <w:p w14:paraId="28C79384" w14:textId="6F383128" w:rsidR="007325F0" w:rsidRPr="00EC6E5E" w:rsidRDefault="007325F0" w:rsidP="007325F0">
      <w:pPr>
        <w:rPr>
          <w:rFonts w:ascii="Times New Roman" w:hAnsi="Times New Roman"/>
        </w:rPr>
      </w:pPr>
      <w:r w:rsidRPr="00EC6E5E">
        <w:rPr>
          <w:rFonts w:ascii="Times New Roman" w:hAnsi="Times New Roman"/>
          <w:b/>
          <w:bCs/>
        </w:rPr>
        <w:t>Decision:</w:t>
      </w:r>
      <w:r w:rsidRPr="00EC6E5E">
        <w:rPr>
          <w:rFonts w:ascii="Times New Roman" w:hAnsi="Times New Roman"/>
        </w:rPr>
        <w:t xml:space="preserve"> </w:t>
      </w:r>
      <w:r>
        <w:rPr>
          <w:rFonts w:ascii="Times New Roman" w:hAnsi="Times New Roman"/>
        </w:rPr>
        <w:t xml:space="preserve">No update in RAN1#115 further to </w:t>
      </w:r>
      <w:r w:rsidRPr="00594FDC">
        <w:rPr>
          <w:rFonts w:ascii="Times New Roman" w:hAnsi="Times New Roman"/>
        </w:rPr>
        <w:t xml:space="preserve">email decision posted on </w:t>
      </w:r>
      <w:r w:rsidRPr="00EC6E5E">
        <w:rPr>
          <w:rFonts w:ascii="Times New Roman" w:hAnsi="Times New Roman"/>
        </w:rPr>
        <w:t xml:space="preserve">Oct 20th [Post-114bis-38.212-NR_NTN_enh-Core], </w:t>
      </w:r>
      <w:r>
        <w:rPr>
          <w:rFonts w:ascii="Times New Roman" w:hAnsi="Times New Roman"/>
        </w:rPr>
        <w:t>(Rel-18, 38.212, CR0170, Cat F) is agreed</w:t>
      </w:r>
      <w:r w:rsidRPr="00EC6E5E">
        <w:rPr>
          <w:rFonts w:ascii="Times New Roman" w:hAnsi="Times New Roman"/>
        </w:rPr>
        <w:t>.</w:t>
      </w:r>
    </w:p>
    <w:p w14:paraId="3FAA7E7B" w14:textId="4C1A7803" w:rsidR="007325F0" w:rsidRPr="007325F0" w:rsidRDefault="005A18DC" w:rsidP="007325F0">
      <w:pPr>
        <w:rPr>
          <w:rFonts w:ascii="Times New Roman" w:hAnsi="Times New Roman"/>
          <w:b/>
          <w:bCs/>
        </w:rPr>
      </w:pPr>
      <w:hyperlink r:id="rId3024" w:history="1">
        <w:r w:rsidR="00AF7253">
          <w:rPr>
            <w:rStyle w:val="Hyperlink"/>
            <w:rFonts w:ascii="Times New Roman" w:hAnsi="Times New Roman"/>
            <w:b/>
            <w:bCs/>
            <w:highlight w:val="green"/>
          </w:rPr>
          <w:t>R1-2312784</w:t>
        </w:r>
      </w:hyperlink>
      <w:r w:rsidR="007325F0" w:rsidRPr="007325F0">
        <w:rPr>
          <w:rFonts w:ascii="Times New Roman" w:hAnsi="Times New Roman"/>
          <w:b/>
          <w:bCs/>
        </w:rPr>
        <w:tab/>
        <w:t>Maintenance of support for NR NTN enhancements</w:t>
      </w:r>
      <w:r w:rsidR="007325F0" w:rsidRPr="007325F0">
        <w:rPr>
          <w:rFonts w:ascii="Times New Roman" w:hAnsi="Times New Roman"/>
          <w:b/>
          <w:bCs/>
        </w:rPr>
        <w:tab/>
        <w:t>Samsung</w:t>
      </w:r>
    </w:p>
    <w:p w14:paraId="76285255" w14:textId="4FD4C904" w:rsidR="007325F0" w:rsidRPr="00EC6E5E" w:rsidRDefault="007325F0" w:rsidP="007325F0">
      <w:pPr>
        <w:rPr>
          <w:rFonts w:ascii="Times New Roman" w:hAnsi="Times New Roman"/>
        </w:rPr>
      </w:pPr>
      <w:r w:rsidRPr="00EC6E5E">
        <w:rPr>
          <w:rFonts w:ascii="Times New Roman" w:hAnsi="Times New Roman"/>
          <w:b/>
          <w:bCs/>
        </w:rPr>
        <w:t>Decision:</w:t>
      </w:r>
      <w:r w:rsidRPr="00EC6E5E">
        <w:rPr>
          <w:rFonts w:ascii="Times New Roman" w:hAnsi="Times New Roman"/>
        </w:rPr>
        <w:t xml:space="preserve"> As per email decision posted on </w:t>
      </w:r>
      <w:r>
        <w:rPr>
          <w:rFonts w:ascii="Times New Roman" w:hAnsi="Times New Roman"/>
        </w:rPr>
        <w:t>Nov 30th</w:t>
      </w:r>
      <w:r w:rsidRPr="00EC6E5E">
        <w:rPr>
          <w:rFonts w:ascii="Times New Roman" w:hAnsi="Times New Roman"/>
        </w:rPr>
        <w:t xml:space="preserve"> </w:t>
      </w:r>
      <w:r w:rsidRPr="007325F0">
        <w:rPr>
          <w:rFonts w:ascii="Times New Roman" w:hAnsi="Times New Roman"/>
        </w:rPr>
        <w:t>[Post-115-38.213-NR_NTN_enh]</w:t>
      </w:r>
      <w:r w:rsidRPr="00EC6E5E">
        <w:rPr>
          <w:rFonts w:ascii="Times New Roman" w:hAnsi="Times New Roman"/>
        </w:rPr>
        <w:t xml:space="preserve">, </w:t>
      </w:r>
      <w:r>
        <w:rPr>
          <w:rFonts w:ascii="Times New Roman" w:hAnsi="Times New Roman"/>
        </w:rPr>
        <w:t>(Rel-18, 38.213, CR0585, Cat F) is agreed</w:t>
      </w:r>
      <w:r w:rsidRPr="00EC6E5E">
        <w:rPr>
          <w:rFonts w:ascii="Times New Roman" w:hAnsi="Times New Roman"/>
        </w:rPr>
        <w:t>.</w:t>
      </w:r>
    </w:p>
    <w:p w14:paraId="529EA22D" w14:textId="05ADFC4E" w:rsidR="007325F0" w:rsidRDefault="005A18DC" w:rsidP="007325F0">
      <w:pPr>
        <w:rPr>
          <w:rFonts w:ascii="Times New Roman" w:hAnsi="Times New Roman"/>
          <w:b/>
          <w:bCs/>
        </w:rPr>
      </w:pPr>
      <w:hyperlink r:id="rId3025" w:history="1">
        <w:r w:rsidR="00AF7253">
          <w:rPr>
            <w:rStyle w:val="Hyperlink"/>
            <w:rFonts w:ascii="Times New Roman" w:hAnsi="Times New Roman"/>
            <w:b/>
            <w:bCs/>
          </w:rPr>
          <w:t>R1-2312812</w:t>
        </w:r>
      </w:hyperlink>
      <w:r w:rsidR="007325F0" w:rsidRPr="007325F0">
        <w:rPr>
          <w:rFonts w:ascii="Times New Roman" w:hAnsi="Times New Roman"/>
          <w:b/>
          <w:bCs/>
        </w:rPr>
        <w:tab/>
        <w:t>Summary on email discussion on NR_NTN_enh-Core</w:t>
      </w:r>
      <w:r w:rsidR="007325F0" w:rsidRPr="007325F0">
        <w:rPr>
          <w:rFonts w:ascii="Times New Roman" w:hAnsi="Times New Roman"/>
          <w:b/>
          <w:bCs/>
        </w:rPr>
        <w:tab/>
        <w:t>Moderator (Nokia)</w:t>
      </w:r>
    </w:p>
    <w:p w14:paraId="2BF2442B" w14:textId="434733ED" w:rsidR="007325F0" w:rsidRPr="007325F0" w:rsidRDefault="005A18DC" w:rsidP="007325F0">
      <w:pPr>
        <w:rPr>
          <w:rFonts w:ascii="Times New Roman" w:hAnsi="Times New Roman"/>
          <w:b/>
          <w:bCs/>
        </w:rPr>
      </w:pPr>
      <w:hyperlink r:id="rId3026" w:history="1">
        <w:r w:rsidR="00AF7253">
          <w:rPr>
            <w:rStyle w:val="Hyperlink"/>
            <w:rFonts w:ascii="Times New Roman" w:hAnsi="Times New Roman"/>
            <w:b/>
            <w:bCs/>
            <w:highlight w:val="green"/>
          </w:rPr>
          <w:t>R1-2312756</w:t>
        </w:r>
      </w:hyperlink>
      <w:r w:rsidR="007325F0" w:rsidRPr="007325F0">
        <w:rPr>
          <w:rFonts w:ascii="Times New Roman" w:hAnsi="Times New Roman"/>
          <w:b/>
          <w:bCs/>
        </w:rPr>
        <w:tab/>
        <w:t>Correction of specification support for NR NTN enhancements</w:t>
      </w:r>
      <w:r w:rsidR="007325F0" w:rsidRPr="007325F0">
        <w:rPr>
          <w:rFonts w:ascii="Times New Roman" w:hAnsi="Times New Roman"/>
          <w:b/>
          <w:bCs/>
        </w:rPr>
        <w:tab/>
        <w:t>Nokia</w:t>
      </w:r>
    </w:p>
    <w:p w14:paraId="376764E4" w14:textId="4DD6D16F" w:rsidR="007325F0" w:rsidRPr="00EC6E5E" w:rsidRDefault="007325F0" w:rsidP="007325F0">
      <w:pPr>
        <w:rPr>
          <w:rFonts w:ascii="Times New Roman" w:hAnsi="Times New Roman"/>
        </w:rPr>
      </w:pPr>
      <w:r w:rsidRPr="00EC6E5E">
        <w:rPr>
          <w:rFonts w:ascii="Times New Roman" w:hAnsi="Times New Roman"/>
          <w:b/>
          <w:bCs/>
        </w:rPr>
        <w:t>Decision:</w:t>
      </w:r>
      <w:r w:rsidRPr="00EC6E5E">
        <w:rPr>
          <w:rFonts w:ascii="Times New Roman" w:hAnsi="Times New Roman"/>
        </w:rPr>
        <w:t xml:space="preserve"> As per email decision posted on </w:t>
      </w:r>
      <w:r>
        <w:rPr>
          <w:rFonts w:ascii="Times New Roman" w:hAnsi="Times New Roman"/>
        </w:rPr>
        <w:t>Dec 1st</w:t>
      </w:r>
      <w:r w:rsidRPr="00EC6E5E">
        <w:rPr>
          <w:rFonts w:ascii="Times New Roman" w:hAnsi="Times New Roman"/>
        </w:rPr>
        <w:t xml:space="preserve"> </w:t>
      </w:r>
      <w:r w:rsidRPr="007325F0">
        <w:rPr>
          <w:rFonts w:ascii="Times New Roman" w:hAnsi="Times New Roman"/>
        </w:rPr>
        <w:t>[Post-115-38.214-NR_NTN_Enh]</w:t>
      </w:r>
      <w:r w:rsidRPr="00EC6E5E">
        <w:rPr>
          <w:rFonts w:ascii="Times New Roman" w:hAnsi="Times New Roman"/>
        </w:rPr>
        <w:t xml:space="preserve">, </w:t>
      </w:r>
      <w:r>
        <w:rPr>
          <w:rFonts w:ascii="Times New Roman" w:hAnsi="Times New Roman"/>
        </w:rPr>
        <w:t>(Rel-18, 38.214, CR0486, Cat F) is agreed</w:t>
      </w:r>
      <w:r w:rsidRPr="00EC6E5E">
        <w:rPr>
          <w:rFonts w:ascii="Times New Roman" w:hAnsi="Times New Roman"/>
        </w:rPr>
        <w:t>.</w:t>
      </w:r>
    </w:p>
    <w:p w14:paraId="071099DB" w14:textId="3BDDC167" w:rsidR="007325F0" w:rsidRPr="007325F0" w:rsidRDefault="005A18DC" w:rsidP="007325F0">
      <w:pPr>
        <w:rPr>
          <w:rFonts w:ascii="Times New Roman" w:hAnsi="Times New Roman"/>
          <w:b/>
          <w:bCs/>
        </w:rPr>
      </w:pPr>
      <w:hyperlink r:id="rId3027" w:history="1">
        <w:r w:rsidR="00AF7253">
          <w:rPr>
            <w:rStyle w:val="Hyperlink"/>
            <w:rFonts w:ascii="Times New Roman" w:hAnsi="Times New Roman"/>
            <w:b/>
            <w:bCs/>
            <w:highlight w:val="green"/>
          </w:rPr>
          <w:t>R1-2312735</w:t>
        </w:r>
      </w:hyperlink>
      <w:r w:rsidR="007325F0" w:rsidRPr="007325F0">
        <w:rPr>
          <w:rFonts w:ascii="Times New Roman" w:hAnsi="Times New Roman"/>
          <w:b/>
          <w:bCs/>
        </w:rPr>
        <w:tab/>
        <w:t>Correction of Rel-18 NR NTN enhancements</w:t>
      </w:r>
      <w:r w:rsidR="007325F0" w:rsidRPr="007325F0">
        <w:rPr>
          <w:rFonts w:ascii="Times New Roman" w:hAnsi="Times New Roman"/>
          <w:b/>
          <w:bCs/>
        </w:rPr>
        <w:tab/>
        <w:t>Intel Corporation</w:t>
      </w:r>
    </w:p>
    <w:p w14:paraId="6C84D8C8" w14:textId="7858EF24" w:rsidR="00A94594" w:rsidRPr="00EC6E5E" w:rsidRDefault="00A94594" w:rsidP="00A94594">
      <w:pPr>
        <w:rPr>
          <w:rFonts w:ascii="Times New Roman" w:hAnsi="Times New Roman"/>
        </w:rPr>
      </w:pPr>
      <w:r w:rsidRPr="00EC6E5E">
        <w:rPr>
          <w:rFonts w:ascii="Times New Roman" w:hAnsi="Times New Roman"/>
          <w:b/>
          <w:bCs/>
        </w:rPr>
        <w:t>Decision:</w:t>
      </w:r>
      <w:r w:rsidRPr="00EC6E5E">
        <w:rPr>
          <w:rFonts w:ascii="Times New Roman" w:hAnsi="Times New Roman"/>
        </w:rPr>
        <w:t xml:space="preserve"> As per email decision posted on </w:t>
      </w:r>
      <w:r>
        <w:rPr>
          <w:rFonts w:ascii="Times New Roman" w:hAnsi="Times New Roman"/>
        </w:rPr>
        <w:t>Nov 30th</w:t>
      </w:r>
      <w:r w:rsidRPr="00EC6E5E">
        <w:rPr>
          <w:rFonts w:ascii="Times New Roman" w:hAnsi="Times New Roman"/>
        </w:rPr>
        <w:t xml:space="preserve"> </w:t>
      </w:r>
      <w:r w:rsidRPr="00A94594">
        <w:rPr>
          <w:rFonts w:ascii="Times New Roman" w:hAnsi="Times New Roman"/>
        </w:rPr>
        <w:t>[Post-115-38.215-NR_NTN_Enh]</w:t>
      </w:r>
      <w:r w:rsidRPr="00EC6E5E">
        <w:rPr>
          <w:rFonts w:ascii="Times New Roman" w:hAnsi="Times New Roman"/>
        </w:rPr>
        <w:t xml:space="preserve">, </w:t>
      </w:r>
      <w:r>
        <w:rPr>
          <w:rFonts w:ascii="Times New Roman" w:hAnsi="Times New Roman"/>
        </w:rPr>
        <w:t>(Rel-18, 38.215, CR0061, Cat F) is agreed</w:t>
      </w:r>
      <w:r w:rsidRPr="00EC6E5E">
        <w:rPr>
          <w:rFonts w:ascii="Times New Roman" w:hAnsi="Times New Roman"/>
        </w:rPr>
        <w:t>.</w:t>
      </w:r>
    </w:p>
    <w:p w14:paraId="474600DB" w14:textId="77777777" w:rsidR="007325F0" w:rsidRDefault="007325F0" w:rsidP="00EC6E5E">
      <w:pPr>
        <w:rPr>
          <w:rFonts w:ascii="Times New Roman" w:hAnsi="Times New Roman"/>
        </w:rPr>
      </w:pPr>
    </w:p>
    <w:p w14:paraId="27D4944A" w14:textId="315F4CBA" w:rsidR="00E269A8" w:rsidRPr="00EC6E5E" w:rsidRDefault="00E269A8" w:rsidP="00E269A8">
      <w:pPr>
        <w:rPr>
          <w:rFonts w:ascii="Times New Roman" w:hAnsi="Times New Roman"/>
        </w:rPr>
      </w:pPr>
      <w:r w:rsidRPr="00EC6E5E">
        <w:rPr>
          <w:rFonts w:ascii="Times New Roman" w:hAnsi="Times New Roman"/>
        </w:rPr>
        <w:t>// NR_</w:t>
      </w:r>
      <w:r>
        <w:rPr>
          <w:rFonts w:ascii="Times New Roman" w:hAnsi="Times New Roman"/>
        </w:rPr>
        <w:t>MBS</w:t>
      </w:r>
      <w:r w:rsidRPr="00EC6E5E">
        <w:rPr>
          <w:rFonts w:ascii="Times New Roman" w:hAnsi="Times New Roman"/>
        </w:rPr>
        <w:t>_enh</w:t>
      </w:r>
    </w:p>
    <w:p w14:paraId="16433B82" w14:textId="0C5A6A10" w:rsidR="00176C01" w:rsidRPr="00176C01" w:rsidRDefault="005A18DC" w:rsidP="00176C01">
      <w:pPr>
        <w:rPr>
          <w:rFonts w:ascii="Times New Roman" w:hAnsi="Times New Roman"/>
          <w:b/>
          <w:bCs/>
        </w:rPr>
      </w:pPr>
      <w:hyperlink r:id="rId3028" w:history="1">
        <w:r w:rsidR="00AF7253">
          <w:rPr>
            <w:rStyle w:val="Hyperlink"/>
            <w:rFonts w:ascii="Times New Roman" w:hAnsi="Times New Roman"/>
            <w:b/>
            <w:bCs/>
            <w:highlight w:val="green"/>
          </w:rPr>
          <w:t>R1-2312797</w:t>
        </w:r>
      </w:hyperlink>
      <w:r w:rsidR="00176C01" w:rsidRPr="00176C01">
        <w:rPr>
          <w:rFonts w:ascii="Times New Roman" w:hAnsi="Times New Roman"/>
          <w:b/>
          <w:bCs/>
        </w:rPr>
        <w:tab/>
        <w:t>Release 18 TS38.202 Editor CR for multicast in RRC_INACTIVE state</w:t>
      </w:r>
      <w:r w:rsidR="00176C01" w:rsidRPr="00176C01">
        <w:rPr>
          <w:rFonts w:ascii="Times New Roman" w:hAnsi="Times New Roman"/>
          <w:b/>
          <w:bCs/>
        </w:rPr>
        <w:tab/>
        <w:t>Qualcomm</w:t>
      </w:r>
    </w:p>
    <w:p w14:paraId="5FDF4A3B" w14:textId="4F22F2C0" w:rsidR="00176C01" w:rsidRPr="00EC6E5E" w:rsidRDefault="00176C01" w:rsidP="00176C01">
      <w:pPr>
        <w:rPr>
          <w:rFonts w:ascii="Times New Roman" w:hAnsi="Times New Roman"/>
        </w:rPr>
      </w:pPr>
      <w:r w:rsidRPr="00EC6E5E">
        <w:rPr>
          <w:rFonts w:ascii="Times New Roman" w:hAnsi="Times New Roman"/>
          <w:b/>
          <w:bCs/>
        </w:rPr>
        <w:t>Decision:</w:t>
      </w:r>
      <w:r w:rsidRPr="00EC6E5E">
        <w:rPr>
          <w:rFonts w:ascii="Times New Roman" w:hAnsi="Times New Roman"/>
        </w:rPr>
        <w:t xml:space="preserve"> As per email decision posted on </w:t>
      </w:r>
      <w:r>
        <w:rPr>
          <w:rFonts w:ascii="Times New Roman" w:hAnsi="Times New Roman"/>
        </w:rPr>
        <w:t>Nov 30th</w:t>
      </w:r>
      <w:r w:rsidRPr="00EC6E5E">
        <w:rPr>
          <w:rFonts w:ascii="Times New Roman" w:hAnsi="Times New Roman"/>
        </w:rPr>
        <w:t xml:space="preserve"> </w:t>
      </w:r>
      <w:r w:rsidRPr="00176C01">
        <w:rPr>
          <w:rFonts w:ascii="Times New Roman" w:hAnsi="Times New Roman"/>
        </w:rPr>
        <w:t>[Post-115-38.202-NR_MBS_enh-Core]</w:t>
      </w:r>
      <w:r w:rsidRPr="00EC6E5E">
        <w:rPr>
          <w:rFonts w:ascii="Times New Roman" w:hAnsi="Times New Roman"/>
        </w:rPr>
        <w:t xml:space="preserve">, </w:t>
      </w:r>
      <w:r>
        <w:rPr>
          <w:rFonts w:ascii="Times New Roman" w:hAnsi="Times New Roman"/>
        </w:rPr>
        <w:t>(Rel-18, 38.202, CR0032, Cat B) is agreed</w:t>
      </w:r>
      <w:r w:rsidRPr="00EC6E5E">
        <w:rPr>
          <w:rFonts w:ascii="Times New Roman" w:hAnsi="Times New Roman"/>
        </w:rPr>
        <w:t>.</w:t>
      </w:r>
    </w:p>
    <w:p w14:paraId="42863FD7" w14:textId="42AA9D43" w:rsidR="00176C01" w:rsidRPr="00176C01" w:rsidRDefault="005A18DC" w:rsidP="00176C01">
      <w:pPr>
        <w:rPr>
          <w:rFonts w:ascii="Times New Roman" w:hAnsi="Times New Roman"/>
          <w:b/>
          <w:bCs/>
        </w:rPr>
      </w:pPr>
      <w:hyperlink r:id="rId3029" w:history="1">
        <w:r w:rsidR="00AF7253">
          <w:rPr>
            <w:rStyle w:val="Hyperlink"/>
            <w:rFonts w:ascii="Times New Roman" w:hAnsi="Times New Roman"/>
            <w:b/>
            <w:bCs/>
            <w:highlight w:val="green"/>
          </w:rPr>
          <w:t>R1-2312766</w:t>
        </w:r>
      </w:hyperlink>
      <w:r w:rsidR="00176C01" w:rsidRPr="00176C01">
        <w:rPr>
          <w:rFonts w:ascii="Times New Roman" w:hAnsi="Times New Roman"/>
          <w:b/>
          <w:bCs/>
        </w:rPr>
        <w:tab/>
        <w:t>Introduction of multicast reception in RRC_INACTIVE</w:t>
      </w:r>
      <w:r w:rsidR="00176C01" w:rsidRPr="00176C01">
        <w:rPr>
          <w:rFonts w:ascii="Times New Roman" w:hAnsi="Times New Roman"/>
          <w:b/>
          <w:bCs/>
        </w:rPr>
        <w:tab/>
        <w:t>Ericsson</w:t>
      </w:r>
    </w:p>
    <w:p w14:paraId="2847B4B6" w14:textId="7A738F8A" w:rsidR="00176C01" w:rsidRPr="00EC6E5E" w:rsidRDefault="00176C01" w:rsidP="00176C01">
      <w:pPr>
        <w:rPr>
          <w:rFonts w:ascii="Times New Roman" w:hAnsi="Times New Roman"/>
        </w:rPr>
      </w:pPr>
      <w:r w:rsidRPr="00EC6E5E">
        <w:rPr>
          <w:rFonts w:ascii="Times New Roman" w:hAnsi="Times New Roman"/>
          <w:b/>
          <w:bCs/>
        </w:rPr>
        <w:t>Decision:</w:t>
      </w:r>
      <w:r w:rsidRPr="00EC6E5E">
        <w:rPr>
          <w:rFonts w:ascii="Times New Roman" w:hAnsi="Times New Roman"/>
        </w:rPr>
        <w:t xml:space="preserve"> As per email decision posted on </w:t>
      </w:r>
      <w:r>
        <w:rPr>
          <w:rFonts w:ascii="Times New Roman" w:hAnsi="Times New Roman"/>
        </w:rPr>
        <w:t>Nov 30th</w:t>
      </w:r>
      <w:r w:rsidRPr="00EC6E5E">
        <w:rPr>
          <w:rFonts w:ascii="Times New Roman" w:hAnsi="Times New Roman"/>
        </w:rPr>
        <w:t xml:space="preserve"> </w:t>
      </w:r>
      <w:r w:rsidRPr="00176C01">
        <w:rPr>
          <w:rFonts w:ascii="Times New Roman" w:hAnsi="Times New Roman"/>
        </w:rPr>
        <w:t>[Post-115-38.211-NR_MBS_enh-Core]</w:t>
      </w:r>
      <w:r w:rsidRPr="00EC6E5E">
        <w:rPr>
          <w:rFonts w:ascii="Times New Roman" w:hAnsi="Times New Roman"/>
        </w:rPr>
        <w:t xml:space="preserve">, </w:t>
      </w:r>
      <w:r>
        <w:rPr>
          <w:rFonts w:ascii="Times New Roman" w:hAnsi="Times New Roman"/>
        </w:rPr>
        <w:t>(Rel-18, 38.211, CR0120, Cat B) is agreed</w:t>
      </w:r>
      <w:r w:rsidRPr="00EC6E5E">
        <w:rPr>
          <w:rFonts w:ascii="Times New Roman" w:hAnsi="Times New Roman"/>
        </w:rPr>
        <w:t>.</w:t>
      </w:r>
    </w:p>
    <w:p w14:paraId="334BE13D" w14:textId="020B276F" w:rsidR="00176C01" w:rsidRPr="00176C01" w:rsidRDefault="005A18DC" w:rsidP="00176C01">
      <w:pPr>
        <w:rPr>
          <w:rFonts w:ascii="Times New Roman" w:hAnsi="Times New Roman"/>
          <w:b/>
          <w:bCs/>
        </w:rPr>
      </w:pPr>
      <w:hyperlink r:id="rId3030" w:history="1">
        <w:r w:rsidR="00AF7253">
          <w:rPr>
            <w:rStyle w:val="Hyperlink"/>
            <w:rFonts w:ascii="Times New Roman" w:hAnsi="Times New Roman"/>
            <w:b/>
            <w:bCs/>
          </w:rPr>
          <w:t>R1-2312769</w:t>
        </w:r>
      </w:hyperlink>
      <w:r w:rsidR="00176C01" w:rsidRPr="00176C01">
        <w:rPr>
          <w:rFonts w:ascii="Times New Roman" w:hAnsi="Times New Roman"/>
          <w:b/>
          <w:bCs/>
        </w:rPr>
        <w:tab/>
        <w:t>Summary of email discussion [Post-115-38.212-NR_MBS_enh-Core]</w:t>
      </w:r>
      <w:r w:rsidR="00176C01" w:rsidRPr="00176C01">
        <w:rPr>
          <w:rFonts w:ascii="Times New Roman" w:hAnsi="Times New Roman"/>
          <w:b/>
          <w:bCs/>
        </w:rPr>
        <w:tab/>
        <w:t>Moderator (Huawei)</w:t>
      </w:r>
    </w:p>
    <w:p w14:paraId="010CBB9A" w14:textId="26300CB7" w:rsidR="00176C01" w:rsidRPr="00176C01" w:rsidRDefault="005A18DC" w:rsidP="00176C01">
      <w:pPr>
        <w:rPr>
          <w:rFonts w:ascii="Times New Roman" w:hAnsi="Times New Roman"/>
          <w:b/>
          <w:bCs/>
        </w:rPr>
      </w:pPr>
      <w:hyperlink r:id="rId3031" w:history="1">
        <w:r w:rsidR="00AF7253">
          <w:rPr>
            <w:rStyle w:val="Hyperlink"/>
            <w:rFonts w:ascii="Times New Roman" w:hAnsi="Times New Roman"/>
            <w:b/>
            <w:bCs/>
            <w:highlight w:val="green"/>
          </w:rPr>
          <w:t>R1-2312776</w:t>
        </w:r>
      </w:hyperlink>
      <w:r w:rsidR="00176C01" w:rsidRPr="00176C01">
        <w:rPr>
          <w:rFonts w:ascii="Times New Roman" w:hAnsi="Times New Roman"/>
          <w:b/>
          <w:bCs/>
        </w:rPr>
        <w:tab/>
        <w:t>Introduction of Rel-18 enhancements of NR Multicast and Broadcast Services</w:t>
      </w:r>
      <w:r w:rsidR="00176C01" w:rsidRPr="00176C01">
        <w:rPr>
          <w:rFonts w:ascii="Times New Roman" w:hAnsi="Times New Roman"/>
          <w:b/>
          <w:bCs/>
        </w:rPr>
        <w:tab/>
        <w:t>Huawei</w:t>
      </w:r>
    </w:p>
    <w:p w14:paraId="1AFFB9F0" w14:textId="440803A8" w:rsidR="00176C01" w:rsidRPr="00EC6E5E" w:rsidRDefault="00176C01" w:rsidP="00176C01">
      <w:pPr>
        <w:rPr>
          <w:rFonts w:ascii="Times New Roman" w:hAnsi="Times New Roman"/>
        </w:rPr>
      </w:pPr>
      <w:r w:rsidRPr="00EC6E5E">
        <w:rPr>
          <w:rFonts w:ascii="Times New Roman" w:hAnsi="Times New Roman"/>
          <w:b/>
          <w:bCs/>
        </w:rPr>
        <w:t>Decision:</w:t>
      </w:r>
      <w:r w:rsidRPr="00EC6E5E">
        <w:rPr>
          <w:rFonts w:ascii="Times New Roman" w:hAnsi="Times New Roman"/>
        </w:rPr>
        <w:t xml:space="preserve"> As per email decision posted on </w:t>
      </w:r>
      <w:r>
        <w:rPr>
          <w:rFonts w:ascii="Times New Roman" w:hAnsi="Times New Roman"/>
        </w:rPr>
        <w:t>Nov 30th</w:t>
      </w:r>
      <w:r w:rsidRPr="00EC6E5E">
        <w:rPr>
          <w:rFonts w:ascii="Times New Roman" w:hAnsi="Times New Roman"/>
        </w:rPr>
        <w:t xml:space="preserve"> </w:t>
      </w:r>
      <w:r w:rsidRPr="00176C01">
        <w:rPr>
          <w:rFonts w:ascii="Times New Roman" w:hAnsi="Times New Roman"/>
        </w:rPr>
        <w:t>[Post-115-38.212-NR_MBS_enh-Core]</w:t>
      </w:r>
      <w:r w:rsidRPr="00EC6E5E">
        <w:rPr>
          <w:rFonts w:ascii="Times New Roman" w:hAnsi="Times New Roman"/>
        </w:rPr>
        <w:t xml:space="preserve">, </w:t>
      </w:r>
      <w:r>
        <w:rPr>
          <w:rFonts w:ascii="Times New Roman" w:hAnsi="Times New Roman"/>
        </w:rPr>
        <w:t>(Rel-18, 38.212, CR0173, Cat B) is agreed</w:t>
      </w:r>
      <w:r w:rsidRPr="00EC6E5E">
        <w:rPr>
          <w:rFonts w:ascii="Times New Roman" w:hAnsi="Times New Roman"/>
        </w:rPr>
        <w:t>.</w:t>
      </w:r>
    </w:p>
    <w:p w14:paraId="6085BFA3" w14:textId="74168DC1" w:rsidR="00176C01" w:rsidRPr="00176C01" w:rsidRDefault="005A18DC" w:rsidP="00176C01">
      <w:pPr>
        <w:rPr>
          <w:rFonts w:ascii="Times New Roman" w:hAnsi="Times New Roman"/>
          <w:b/>
          <w:bCs/>
        </w:rPr>
      </w:pPr>
      <w:hyperlink r:id="rId3032" w:history="1">
        <w:r w:rsidR="00AF7253">
          <w:rPr>
            <w:rStyle w:val="Hyperlink"/>
            <w:rFonts w:ascii="Times New Roman" w:hAnsi="Times New Roman"/>
            <w:b/>
            <w:bCs/>
            <w:highlight w:val="green"/>
          </w:rPr>
          <w:t>R1-2312783</w:t>
        </w:r>
      </w:hyperlink>
      <w:r w:rsidR="00176C01" w:rsidRPr="00176C01">
        <w:rPr>
          <w:rFonts w:ascii="Times New Roman" w:hAnsi="Times New Roman"/>
          <w:b/>
          <w:bCs/>
        </w:rPr>
        <w:tab/>
        <w:t>Introduction of Rel-18 enhancements of NR Multicast and Broadcast Services</w:t>
      </w:r>
      <w:r w:rsidR="00176C01" w:rsidRPr="00176C01">
        <w:rPr>
          <w:rFonts w:ascii="Times New Roman" w:hAnsi="Times New Roman"/>
          <w:b/>
          <w:bCs/>
        </w:rPr>
        <w:tab/>
        <w:t>Samsung</w:t>
      </w:r>
    </w:p>
    <w:p w14:paraId="2DABCDF6" w14:textId="112BFB22" w:rsidR="00176C01" w:rsidRPr="00EC6E5E" w:rsidRDefault="00176C01" w:rsidP="00176C01">
      <w:pPr>
        <w:rPr>
          <w:rFonts w:ascii="Times New Roman" w:hAnsi="Times New Roman"/>
        </w:rPr>
      </w:pPr>
      <w:r w:rsidRPr="00EC6E5E">
        <w:rPr>
          <w:rFonts w:ascii="Times New Roman" w:hAnsi="Times New Roman"/>
          <w:b/>
          <w:bCs/>
        </w:rPr>
        <w:t>Decision:</w:t>
      </w:r>
      <w:r w:rsidRPr="00EC6E5E">
        <w:rPr>
          <w:rFonts w:ascii="Times New Roman" w:hAnsi="Times New Roman"/>
        </w:rPr>
        <w:t xml:space="preserve"> As per email decision posted on </w:t>
      </w:r>
      <w:r>
        <w:rPr>
          <w:rFonts w:ascii="Times New Roman" w:hAnsi="Times New Roman"/>
        </w:rPr>
        <w:t>Nov 30th</w:t>
      </w:r>
      <w:r w:rsidRPr="00EC6E5E">
        <w:rPr>
          <w:rFonts w:ascii="Times New Roman" w:hAnsi="Times New Roman"/>
        </w:rPr>
        <w:t xml:space="preserve"> </w:t>
      </w:r>
      <w:r w:rsidRPr="00176C01">
        <w:rPr>
          <w:rFonts w:ascii="Times New Roman" w:hAnsi="Times New Roman"/>
        </w:rPr>
        <w:t>[Post-115-38.213-NR_MBS_enh-Core]</w:t>
      </w:r>
      <w:r w:rsidRPr="00EC6E5E">
        <w:rPr>
          <w:rFonts w:ascii="Times New Roman" w:hAnsi="Times New Roman"/>
        </w:rPr>
        <w:t xml:space="preserve">, </w:t>
      </w:r>
      <w:r>
        <w:rPr>
          <w:rFonts w:ascii="Times New Roman" w:hAnsi="Times New Roman"/>
        </w:rPr>
        <w:t>(Rel-18, 38.213, CR0584, Cat B) is agreed</w:t>
      </w:r>
      <w:r w:rsidRPr="00EC6E5E">
        <w:rPr>
          <w:rFonts w:ascii="Times New Roman" w:hAnsi="Times New Roman"/>
        </w:rPr>
        <w:t>.</w:t>
      </w:r>
    </w:p>
    <w:p w14:paraId="0D5F0B71" w14:textId="2E39F104" w:rsidR="00176C01" w:rsidRPr="00176C01" w:rsidRDefault="005A18DC" w:rsidP="00176C01">
      <w:pPr>
        <w:rPr>
          <w:rFonts w:ascii="Times New Roman" w:hAnsi="Times New Roman"/>
          <w:b/>
          <w:bCs/>
        </w:rPr>
      </w:pPr>
      <w:hyperlink r:id="rId3033" w:history="1">
        <w:r w:rsidR="00AF7253">
          <w:rPr>
            <w:rStyle w:val="Hyperlink"/>
            <w:rFonts w:ascii="Times New Roman" w:hAnsi="Times New Roman"/>
            <w:b/>
            <w:bCs/>
          </w:rPr>
          <w:t>R1-2312806</w:t>
        </w:r>
      </w:hyperlink>
      <w:r w:rsidR="00176C01" w:rsidRPr="00176C01">
        <w:rPr>
          <w:rFonts w:ascii="Times New Roman" w:hAnsi="Times New Roman"/>
          <w:b/>
          <w:bCs/>
        </w:rPr>
        <w:tab/>
        <w:t>Summary on email discussion on NR_MBS_enh-Core</w:t>
      </w:r>
      <w:r w:rsidR="00176C01" w:rsidRPr="00176C01">
        <w:rPr>
          <w:rFonts w:ascii="Times New Roman" w:hAnsi="Times New Roman"/>
          <w:b/>
          <w:bCs/>
        </w:rPr>
        <w:tab/>
        <w:t>Moderator (Nokia)</w:t>
      </w:r>
    </w:p>
    <w:p w14:paraId="08E76FB1" w14:textId="30510C9C" w:rsidR="00176C01" w:rsidRPr="00176C01" w:rsidRDefault="005A18DC" w:rsidP="00176C01">
      <w:pPr>
        <w:rPr>
          <w:rFonts w:ascii="Times New Roman" w:hAnsi="Times New Roman"/>
          <w:b/>
          <w:bCs/>
        </w:rPr>
      </w:pPr>
      <w:hyperlink r:id="rId3034" w:history="1">
        <w:r w:rsidR="00AF7253">
          <w:rPr>
            <w:rStyle w:val="Hyperlink"/>
            <w:rFonts w:ascii="Times New Roman" w:hAnsi="Times New Roman"/>
            <w:b/>
            <w:bCs/>
            <w:highlight w:val="green"/>
          </w:rPr>
          <w:t>R1-2312805</w:t>
        </w:r>
      </w:hyperlink>
      <w:r w:rsidR="00176C01" w:rsidRPr="00176C01">
        <w:rPr>
          <w:rFonts w:ascii="Times New Roman" w:hAnsi="Times New Roman"/>
          <w:b/>
          <w:bCs/>
        </w:rPr>
        <w:tab/>
        <w:t>Introduction of Rel-18 enhancements of NR Multicast and Broadcast Services</w:t>
      </w:r>
      <w:r w:rsidR="00176C01" w:rsidRPr="00176C01">
        <w:rPr>
          <w:rFonts w:ascii="Times New Roman" w:hAnsi="Times New Roman"/>
          <w:b/>
          <w:bCs/>
        </w:rPr>
        <w:tab/>
        <w:t>Nokia</w:t>
      </w:r>
    </w:p>
    <w:p w14:paraId="3AE35E64" w14:textId="22B2F825" w:rsidR="00176C01" w:rsidRPr="00EC6E5E" w:rsidRDefault="00176C01" w:rsidP="00176C01">
      <w:pPr>
        <w:rPr>
          <w:rFonts w:ascii="Times New Roman" w:hAnsi="Times New Roman"/>
        </w:rPr>
      </w:pPr>
      <w:r w:rsidRPr="00EC6E5E">
        <w:rPr>
          <w:rFonts w:ascii="Times New Roman" w:hAnsi="Times New Roman"/>
          <w:b/>
          <w:bCs/>
        </w:rPr>
        <w:t>Decision:</w:t>
      </w:r>
      <w:r w:rsidRPr="00EC6E5E">
        <w:rPr>
          <w:rFonts w:ascii="Times New Roman" w:hAnsi="Times New Roman"/>
        </w:rPr>
        <w:t xml:space="preserve"> As per email decision posted on </w:t>
      </w:r>
      <w:r>
        <w:rPr>
          <w:rFonts w:ascii="Times New Roman" w:hAnsi="Times New Roman"/>
        </w:rPr>
        <w:t>Nov 30th</w:t>
      </w:r>
      <w:r w:rsidRPr="00EC6E5E">
        <w:rPr>
          <w:rFonts w:ascii="Times New Roman" w:hAnsi="Times New Roman"/>
        </w:rPr>
        <w:t xml:space="preserve"> </w:t>
      </w:r>
      <w:r w:rsidR="00BE7C5E" w:rsidRPr="00BE7C5E">
        <w:rPr>
          <w:rFonts w:ascii="Times New Roman" w:hAnsi="Times New Roman"/>
        </w:rPr>
        <w:t>[Post-115-38.214-NR_MBS_enh]</w:t>
      </w:r>
      <w:r w:rsidRPr="00EC6E5E">
        <w:rPr>
          <w:rFonts w:ascii="Times New Roman" w:hAnsi="Times New Roman"/>
        </w:rPr>
        <w:t xml:space="preserve">, </w:t>
      </w:r>
      <w:r>
        <w:rPr>
          <w:rFonts w:ascii="Times New Roman" w:hAnsi="Times New Roman"/>
        </w:rPr>
        <w:t>(Rel-18, 38.21</w:t>
      </w:r>
      <w:r w:rsidR="00BE7C5E">
        <w:rPr>
          <w:rFonts w:ascii="Times New Roman" w:hAnsi="Times New Roman"/>
        </w:rPr>
        <w:t>4</w:t>
      </w:r>
      <w:r>
        <w:rPr>
          <w:rFonts w:ascii="Times New Roman" w:hAnsi="Times New Roman"/>
        </w:rPr>
        <w:t>, CR0</w:t>
      </w:r>
      <w:r w:rsidR="00BE7C5E">
        <w:rPr>
          <w:rFonts w:ascii="Times New Roman" w:hAnsi="Times New Roman"/>
        </w:rPr>
        <w:t>495</w:t>
      </w:r>
      <w:r>
        <w:rPr>
          <w:rFonts w:ascii="Times New Roman" w:hAnsi="Times New Roman"/>
        </w:rPr>
        <w:t>, Cat B) is agreed</w:t>
      </w:r>
      <w:r w:rsidRPr="00EC6E5E">
        <w:rPr>
          <w:rFonts w:ascii="Times New Roman" w:hAnsi="Times New Roman"/>
        </w:rPr>
        <w:t>.</w:t>
      </w:r>
    </w:p>
    <w:p w14:paraId="4D9C1280" w14:textId="77777777" w:rsidR="00EC6E5E" w:rsidRDefault="00EC6E5E" w:rsidP="00DA4294">
      <w:pPr>
        <w:rPr>
          <w:rFonts w:ascii="Times New Roman" w:hAnsi="Times New Roman"/>
        </w:rPr>
      </w:pPr>
    </w:p>
    <w:p w14:paraId="00368DF2" w14:textId="6ABD5E0A" w:rsidR="00A42B25" w:rsidRDefault="00A42B25" w:rsidP="00DA4294">
      <w:pPr>
        <w:rPr>
          <w:rFonts w:ascii="Times New Roman" w:hAnsi="Times New Roman"/>
        </w:rPr>
      </w:pPr>
      <w:r>
        <w:rPr>
          <w:rFonts w:ascii="Times New Roman" w:hAnsi="Times New Roman"/>
        </w:rPr>
        <w:t xml:space="preserve">// </w:t>
      </w:r>
      <w:r w:rsidRPr="00A42B25">
        <w:rPr>
          <w:rFonts w:ascii="Times New Roman" w:hAnsi="Times New Roman"/>
        </w:rPr>
        <w:t>NR_BWP_wor</w:t>
      </w:r>
    </w:p>
    <w:p w14:paraId="059AF9B7" w14:textId="4846773E" w:rsidR="00A42B25" w:rsidRPr="00A42B25" w:rsidRDefault="00A42B25" w:rsidP="00DA4294">
      <w:pPr>
        <w:rPr>
          <w:rFonts w:ascii="Times New Roman" w:hAnsi="Times New Roman"/>
          <w:b/>
          <w:bCs/>
        </w:rPr>
      </w:pPr>
      <w:r w:rsidRPr="00A42B25">
        <w:rPr>
          <w:rFonts w:ascii="Times New Roman" w:hAnsi="Times New Roman"/>
          <w:b/>
          <w:bCs/>
          <w:highlight w:val="green"/>
        </w:rPr>
        <w:t>R1-2312785</w:t>
      </w:r>
      <w:r w:rsidRPr="00A42B25">
        <w:rPr>
          <w:rFonts w:ascii="Times New Roman" w:hAnsi="Times New Roman"/>
          <w:b/>
          <w:bCs/>
        </w:rPr>
        <w:tab/>
        <w:t>Maintenance of BWP operation without restriction</w:t>
      </w:r>
      <w:r w:rsidRPr="00A42B25">
        <w:rPr>
          <w:rFonts w:ascii="Times New Roman" w:hAnsi="Times New Roman"/>
          <w:b/>
          <w:bCs/>
        </w:rPr>
        <w:tab/>
        <w:t>Samsung</w:t>
      </w:r>
    </w:p>
    <w:p w14:paraId="2F635F3D" w14:textId="2D32D021" w:rsidR="00A42B25" w:rsidRPr="00EC6E5E" w:rsidRDefault="00A42B25" w:rsidP="00A42B25">
      <w:pPr>
        <w:rPr>
          <w:rFonts w:ascii="Times New Roman" w:hAnsi="Times New Roman"/>
        </w:rPr>
      </w:pPr>
      <w:r w:rsidRPr="00EC6E5E">
        <w:rPr>
          <w:rFonts w:ascii="Times New Roman" w:hAnsi="Times New Roman"/>
          <w:b/>
          <w:bCs/>
        </w:rPr>
        <w:t>Decision:</w:t>
      </w:r>
      <w:r w:rsidRPr="00EC6E5E">
        <w:rPr>
          <w:rFonts w:ascii="Times New Roman" w:hAnsi="Times New Roman"/>
        </w:rPr>
        <w:t xml:space="preserve"> As per email decision posted on </w:t>
      </w:r>
      <w:r>
        <w:rPr>
          <w:rFonts w:ascii="Times New Roman" w:hAnsi="Times New Roman"/>
        </w:rPr>
        <w:t>Nov 30th</w:t>
      </w:r>
      <w:r w:rsidRPr="00EC6E5E">
        <w:rPr>
          <w:rFonts w:ascii="Times New Roman" w:hAnsi="Times New Roman"/>
        </w:rPr>
        <w:t xml:space="preserve"> </w:t>
      </w:r>
      <w:r w:rsidRPr="00A42B25">
        <w:rPr>
          <w:rFonts w:ascii="Times New Roman" w:hAnsi="Times New Roman"/>
        </w:rPr>
        <w:t>[Post-115-R18-38.213-NR_TEI - BWP_wor]</w:t>
      </w:r>
      <w:r w:rsidRPr="00EC6E5E">
        <w:rPr>
          <w:rFonts w:ascii="Times New Roman" w:hAnsi="Times New Roman"/>
        </w:rPr>
        <w:t xml:space="preserve">, </w:t>
      </w:r>
      <w:r>
        <w:rPr>
          <w:rFonts w:ascii="Times New Roman" w:hAnsi="Times New Roman"/>
        </w:rPr>
        <w:t>(Rel-18, 38.213, CR0586, Cat F) is agreed</w:t>
      </w:r>
      <w:r w:rsidRPr="00EC6E5E">
        <w:rPr>
          <w:rFonts w:ascii="Times New Roman" w:hAnsi="Times New Roman"/>
        </w:rPr>
        <w:t>.</w:t>
      </w:r>
    </w:p>
    <w:p w14:paraId="4B6130CD" w14:textId="7DDD9D33" w:rsidR="00A42B25" w:rsidRDefault="007460C8" w:rsidP="00DA4294">
      <w:pPr>
        <w:rPr>
          <w:rFonts w:ascii="Times New Roman" w:hAnsi="Times New Roman"/>
        </w:rPr>
      </w:pPr>
      <w:r w:rsidRPr="007460C8">
        <w:rPr>
          <w:rFonts w:ascii="Times New Roman" w:hAnsi="Times New Roman"/>
          <w:highlight w:val="magenta"/>
        </w:rPr>
        <w:t>MCC to correct WI code to NR_BWP_wor-Core before submission to RAN.</w:t>
      </w:r>
    </w:p>
    <w:p w14:paraId="15CFA656" w14:textId="77777777" w:rsidR="007460C8" w:rsidRDefault="007460C8" w:rsidP="00DA4294">
      <w:pPr>
        <w:rPr>
          <w:rFonts w:ascii="Times New Roman" w:hAnsi="Times New Roman"/>
        </w:rPr>
      </w:pPr>
    </w:p>
    <w:p w14:paraId="64524B03" w14:textId="7A75EE3E" w:rsidR="00367F35" w:rsidRDefault="00367F35" w:rsidP="00DA4294">
      <w:pPr>
        <w:rPr>
          <w:rFonts w:ascii="Times New Roman" w:hAnsi="Times New Roman"/>
        </w:rPr>
      </w:pPr>
      <w:r>
        <w:rPr>
          <w:rFonts w:ascii="Times New Roman" w:hAnsi="Times New Roman"/>
        </w:rPr>
        <w:t>// TEI18</w:t>
      </w:r>
    </w:p>
    <w:p w14:paraId="5A1AC355" w14:textId="7E7C0228" w:rsidR="00367F35" w:rsidRPr="00C84D0B" w:rsidRDefault="005A18DC" w:rsidP="00367F35">
      <w:pPr>
        <w:rPr>
          <w:rFonts w:ascii="Times New Roman" w:hAnsi="Times New Roman"/>
          <w:b/>
          <w:bCs/>
        </w:rPr>
      </w:pPr>
      <w:hyperlink r:id="rId3035" w:history="1">
        <w:r w:rsidR="00E53E2A">
          <w:rPr>
            <w:rStyle w:val="Hyperlink"/>
            <w:rFonts w:ascii="Times New Roman" w:hAnsi="Times New Roman"/>
            <w:b/>
            <w:bCs/>
            <w:highlight w:val="green"/>
          </w:rPr>
          <w:t>R1-2312713</w:t>
        </w:r>
      </w:hyperlink>
      <w:r w:rsidR="00367F35" w:rsidRPr="00C84D0B">
        <w:rPr>
          <w:rFonts w:ascii="Times New Roman" w:hAnsi="Times New Roman"/>
          <w:b/>
          <w:bCs/>
        </w:rPr>
        <w:tab/>
        <w:t>Introduction of additional PRS configurations [1symbol_PRS]</w:t>
      </w:r>
      <w:r w:rsidR="00367F35" w:rsidRPr="00C84D0B">
        <w:rPr>
          <w:rFonts w:ascii="Times New Roman" w:hAnsi="Times New Roman"/>
          <w:b/>
          <w:bCs/>
        </w:rPr>
        <w:tab/>
        <w:t>Ericsson</w:t>
      </w:r>
    </w:p>
    <w:p w14:paraId="52CAB430" w14:textId="63015070" w:rsidR="00C84D0B" w:rsidRDefault="00C84D0B" w:rsidP="00367F35">
      <w:pPr>
        <w:rPr>
          <w:rFonts w:ascii="Times New Roman" w:hAnsi="Times New Roman"/>
        </w:rPr>
      </w:pPr>
      <w:r w:rsidRPr="00EC6E5E">
        <w:rPr>
          <w:rFonts w:ascii="Times New Roman" w:hAnsi="Times New Roman"/>
          <w:b/>
          <w:bCs/>
        </w:rPr>
        <w:t>Decision:</w:t>
      </w:r>
      <w:r w:rsidRPr="00EC6E5E">
        <w:rPr>
          <w:rFonts w:ascii="Times New Roman" w:hAnsi="Times New Roman"/>
        </w:rPr>
        <w:t xml:space="preserve"> </w:t>
      </w:r>
      <w:r>
        <w:rPr>
          <w:rFonts w:ascii="Times New Roman" w:hAnsi="Times New Roman"/>
        </w:rPr>
        <w:t>T</w:t>
      </w:r>
      <w:r w:rsidRPr="00C84D0B">
        <w:rPr>
          <w:rFonts w:ascii="Times New Roman" w:hAnsi="Times New Roman"/>
        </w:rPr>
        <w:t xml:space="preserve">he draft CR for TEI18 [1symbol_PRS] in </w:t>
      </w:r>
      <w:hyperlink r:id="rId3036" w:history="1">
        <w:r w:rsidR="00E53E2A">
          <w:rPr>
            <w:rStyle w:val="Hyperlink"/>
            <w:rFonts w:ascii="Times New Roman" w:hAnsi="Times New Roman"/>
          </w:rPr>
          <w:t>R1-2304279</w:t>
        </w:r>
      </w:hyperlink>
      <w:r w:rsidRPr="00C84D0B">
        <w:rPr>
          <w:rFonts w:ascii="Times New Roman" w:hAnsi="Times New Roman"/>
        </w:rPr>
        <w:t xml:space="preserve"> was endorsed after RAN1#112b. The final CR (based on v18.0.0 but otherwise identical to the endorsed draft CR) is</w:t>
      </w:r>
      <w:r>
        <w:rPr>
          <w:rFonts w:ascii="Times New Roman" w:hAnsi="Times New Roman"/>
        </w:rPr>
        <w:t xml:space="preserve"> agreed </w:t>
      </w:r>
      <w:r w:rsidRPr="00C84D0B">
        <w:rPr>
          <w:rFonts w:ascii="Times New Roman" w:hAnsi="Times New Roman"/>
        </w:rPr>
        <w:t xml:space="preserve">in </w:t>
      </w:r>
      <w:hyperlink r:id="rId3037" w:history="1">
        <w:r w:rsidR="00E53E2A">
          <w:rPr>
            <w:rStyle w:val="Hyperlink"/>
            <w:rFonts w:ascii="Times New Roman" w:hAnsi="Times New Roman"/>
          </w:rPr>
          <w:t>R1-2312713</w:t>
        </w:r>
      </w:hyperlink>
      <w:r>
        <w:rPr>
          <w:rFonts w:ascii="Times New Roman" w:hAnsi="Times New Roman"/>
        </w:rPr>
        <w:t xml:space="preserve"> (Rel-18, 38.211, CR0114, Cat B)</w:t>
      </w:r>
      <w:r w:rsidRPr="00C84D0B">
        <w:rPr>
          <w:rFonts w:ascii="Times New Roman" w:hAnsi="Times New Roman"/>
        </w:rPr>
        <w:t>.</w:t>
      </w:r>
    </w:p>
    <w:p w14:paraId="040FAC65" w14:textId="77777777" w:rsidR="00CA3F66" w:rsidRPr="00367F35" w:rsidRDefault="00CA3F66" w:rsidP="00367F35">
      <w:pPr>
        <w:rPr>
          <w:rFonts w:ascii="Times New Roman" w:hAnsi="Times New Roman"/>
        </w:rPr>
      </w:pPr>
    </w:p>
    <w:p w14:paraId="4F03FDF0" w14:textId="0B6940CA" w:rsidR="00367F35" w:rsidRPr="00CA3F66" w:rsidRDefault="005A18DC" w:rsidP="00367F35">
      <w:pPr>
        <w:rPr>
          <w:rFonts w:ascii="Times New Roman" w:hAnsi="Times New Roman"/>
          <w:b/>
          <w:bCs/>
        </w:rPr>
      </w:pPr>
      <w:hyperlink r:id="rId3038" w:history="1">
        <w:r w:rsidR="00E53E2A">
          <w:rPr>
            <w:rStyle w:val="Hyperlink"/>
            <w:rFonts w:ascii="Times New Roman" w:hAnsi="Times New Roman"/>
            <w:b/>
            <w:bCs/>
            <w:highlight w:val="green"/>
          </w:rPr>
          <w:t>R1-2312711</w:t>
        </w:r>
      </w:hyperlink>
      <w:r w:rsidR="00367F35" w:rsidRPr="00CA3F66">
        <w:rPr>
          <w:rFonts w:ascii="Times New Roman" w:hAnsi="Times New Roman"/>
          <w:b/>
          <w:bCs/>
        </w:rPr>
        <w:tab/>
        <w:t>Introduction of RS for pathloss determination of Type 1 CG PUSCH [PL RS Type 1 CG]</w:t>
      </w:r>
      <w:r w:rsidR="00367F35" w:rsidRPr="00CA3F66">
        <w:rPr>
          <w:rFonts w:ascii="Times New Roman" w:hAnsi="Times New Roman"/>
          <w:b/>
          <w:bCs/>
        </w:rPr>
        <w:tab/>
        <w:t>Samsung</w:t>
      </w:r>
    </w:p>
    <w:p w14:paraId="43A05A30" w14:textId="6EFCA874" w:rsidR="00CA3F66" w:rsidRDefault="00CA3F66" w:rsidP="00CA3F66">
      <w:pPr>
        <w:rPr>
          <w:rFonts w:ascii="Times New Roman" w:hAnsi="Times New Roman"/>
        </w:rPr>
      </w:pPr>
      <w:r w:rsidRPr="00EC6E5E">
        <w:rPr>
          <w:rFonts w:ascii="Times New Roman" w:hAnsi="Times New Roman"/>
          <w:b/>
          <w:bCs/>
        </w:rPr>
        <w:t>Decision:</w:t>
      </w:r>
      <w:r w:rsidRPr="00EC6E5E">
        <w:rPr>
          <w:rFonts w:ascii="Times New Roman" w:hAnsi="Times New Roman"/>
        </w:rPr>
        <w:t xml:space="preserve"> </w:t>
      </w:r>
      <w:r>
        <w:rPr>
          <w:rFonts w:ascii="Times New Roman" w:hAnsi="Times New Roman"/>
        </w:rPr>
        <w:t>T</w:t>
      </w:r>
      <w:r w:rsidRPr="00C84D0B">
        <w:rPr>
          <w:rFonts w:ascii="Times New Roman" w:hAnsi="Times New Roman"/>
        </w:rPr>
        <w:t xml:space="preserve">he draft CR for TEI18 </w:t>
      </w:r>
      <w:r w:rsidRPr="00CA3F66">
        <w:rPr>
          <w:rFonts w:ascii="Times New Roman" w:hAnsi="Times New Roman"/>
        </w:rPr>
        <w:t>[PL RS Type 1 CG]</w:t>
      </w:r>
      <w:r w:rsidRPr="00C84D0B">
        <w:rPr>
          <w:rFonts w:ascii="Times New Roman" w:hAnsi="Times New Roman"/>
        </w:rPr>
        <w:t xml:space="preserve"> in</w:t>
      </w:r>
      <w:r w:rsidR="00E53E2A">
        <w:rPr>
          <w:rFonts w:ascii="Times New Roman" w:hAnsi="Times New Roman"/>
        </w:rPr>
        <w:t xml:space="preserve"> </w:t>
      </w:r>
      <w:hyperlink r:id="rId3039" w:history="1">
        <w:r w:rsidR="00E53E2A">
          <w:rPr>
            <w:rStyle w:val="Hyperlink"/>
            <w:rFonts w:ascii="Times New Roman" w:hAnsi="Times New Roman"/>
          </w:rPr>
          <w:t>R1-2308752</w:t>
        </w:r>
      </w:hyperlink>
      <w:r w:rsidRPr="00C84D0B">
        <w:rPr>
          <w:rFonts w:ascii="Times New Roman" w:hAnsi="Times New Roman"/>
        </w:rPr>
        <w:t xml:space="preserve"> was endorsed </w:t>
      </w:r>
      <w:r w:rsidR="00E53E2A">
        <w:rPr>
          <w:rFonts w:ascii="Times New Roman" w:hAnsi="Times New Roman"/>
        </w:rPr>
        <w:t>in</w:t>
      </w:r>
      <w:r w:rsidRPr="00C84D0B">
        <w:rPr>
          <w:rFonts w:ascii="Times New Roman" w:hAnsi="Times New Roman"/>
        </w:rPr>
        <w:t xml:space="preserve"> RAN1#11</w:t>
      </w:r>
      <w:r w:rsidR="00A74B28">
        <w:rPr>
          <w:rFonts w:ascii="Times New Roman" w:hAnsi="Times New Roman"/>
        </w:rPr>
        <w:t>4</w:t>
      </w:r>
      <w:r w:rsidRPr="00C84D0B">
        <w:rPr>
          <w:rFonts w:ascii="Times New Roman" w:hAnsi="Times New Roman"/>
        </w:rPr>
        <w:t>. The final CR (based on v18.0.0 but otherwise identical to the endorsed draft CR) is</w:t>
      </w:r>
      <w:r>
        <w:rPr>
          <w:rFonts w:ascii="Times New Roman" w:hAnsi="Times New Roman"/>
        </w:rPr>
        <w:t xml:space="preserve"> agreed </w:t>
      </w:r>
      <w:r w:rsidRPr="00C84D0B">
        <w:rPr>
          <w:rFonts w:ascii="Times New Roman" w:hAnsi="Times New Roman"/>
        </w:rPr>
        <w:t xml:space="preserve">in </w:t>
      </w:r>
      <w:hyperlink r:id="rId3040" w:history="1">
        <w:r w:rsidR="00E53E2A">
          <w:rPr>
            <w:rStyle w:val="Hyperlink"/>
            <w:rFonts w:ascii="Times New Roman" w:hAnsi="Times New Roman"/>
          </w:rPr>
          <w:t>R1-2312711</w:t>
        </w:r>
      </w:hyperlink>
      <w:r>
        <w:rPr>
          <w:rFonts w:ascii="Times New Roman" w:hAnsi="Times New Roman"/>
        </w:rPr>
        <w:t xml:space="preserve"> (Rel-18, 38.21</w:t>
      </w:r>
      <w:r w:rsidR="00E53E2A">
        <w:rPr>
          <w:rFonts w:ascii="Times New Roman" w:hAnsi="Times New Roman"/>
        </w:rPr>
        <w:t>3</w:t>
      </w:r>
      <w:r>
        <w:rPr>
          <w:rFonts w:ascii="Times New Roman" w:hAnsi="Times New Roman"/>
        </w:rPr>
        <w:t>, CR0</w:t>
      </w:r>
      <w:r w:rsidR="00E53E2A">
        <w:rPr>
          <w:rFonts w:ascii="Times New Roman" w:hAnsi="Times New Roman"/>
        </w:rPr>
        <w:t>567</w:t>
      </w:r>
      <w:r>
        <w:rPr>
          <w:rFonts w:ascii="Times New Roman" w:hAnsi="Times New Roman"/>
        </w:rPr>
        <w:t>, Cat B)</w:t>
      </w:r>
      <w:r w:rsidRPr="00C84D0B">
        <w:rPr>
          <w:rFonts w:ascii="Times New Roman" w:hAnsi="Times New Roman"/>
        </w:rPr>
        <w:t>.</w:t>
      </w:r>
    </w:p>
    <w:p w14:paraId="2E57951C" w14:textId="77777777" w:rsidR="00CA3F66" w:rsidRPr="00367F35" w:rsidRDefault="00CA3F66" w:rsidP="00367F35">
      <w:pPr>
        <w:rPr>
          <w:rFonts w:ascii="Times New Roman" w:hAnsi="Times New Roman"/>
        </w:rPr>
      </w:pPr>
    </w:p>
    <w:p w14:paraId="5728D1DA" w14:textId="11CC91FE" w:rsidR="00367F35" w:rsidRPr="00E53E2A" w:rsidRDefault="005A18DC" w:rsidP="00367F35">
      <w:pPr>
        <w:rPr>
          <w:rFonts w:ascii="Times New Roman" w:hAnsi="Times New Roman"/>
          <w:b/>
          <w:bCs/>
        </w:rPr>
      </w:pPr>
      <w:hyperlink r:id="rId3041" w:history="1">
        <w:r w:rsidR="00E53E2A">
          <w:rPr>
            <w:rStyle w:val="Hyperlink"/>
            <w:rFonts w:ascii="Times New Roman" w:hAnsi="Times New Roman"/>
            <w:b/>
            <w:bCs/>
            <w:highlight w:val="green"/>
          </w:rPr>
          <w:t>R1-2312714</w:t>
        </w:r>
      </w:hyperlink>
      <w:r w:rsidR="00367F35" w:rsidRPr="00E53E2A">
        <w:rPr>
          <w:rFonts w:ascii="Times New Roman" w:hAnsi="Times New Roman"/>
          <w:b/>
          <w:bCs/>
        </w:rPr>
        <w:tab/>
        <w:t>Introduction of QCL-TypeD priorities for overlapping CORESETs in M-DCI/M-TRP operation [QCL-TypeD CORESET priority for M-TRP]</w:t>
      </w:r>
      <w:r w:rsidR="00367F35" w:rsidRPr="00E53E2A">
        <w:rPr>
          <w:rFonts w:ascii="Times New Roman" w:hAnsi="Times New Roman"/>
          <w:b/>
          <w:bCs/>
        </w:rPr>
        <w:tab/>
        <w:t>Samsung</w:t>
      </w:r>
    </w:p>
    <w:p w14:paraId="2888C5E2" w14:textId="7C709FC7" w:rsidR="00E53E2A" w:rsidRDefault="00E53E2A" w:rsidP="00E53E2A">
      <w:pPr>
        <w:rPr>
          <w:rFonts w:ascii="Times New Roman" w:hAnsi="Times New Roman"/>
        </w:rPr>
      </w:pPr>
      <w:r w:rsidRPr="00EC6E5E">
        <w:rPr>
          <w:rFonts w:ascii="Times New Roman" w:hAnsi="Times New Roman"/>
          <w:b/>
          <w:bCs/>
        </w:rPr>
        <w:t>Decision:</w:t>
      </w:r>
      <w:r w:rsidRPr="00EC6E5E">
        <w:rPr>
          <w:rFonts w:ascii="Times New Roman" w:hAnsi="Times New Roman"/>
        </w:rPr>
        <w:t xml:space="preserve"> </w:t>
      </w:r>
      <w:r>
        <w:rPr>
          <w:rFonts w:ascii="Times New Roman" w:hAnsi="Times New Roman"/>
        </w:rPr>
        <w:t>T</w:t>
      </w:r>
      <w:r w:rsidRPr="00C84D0B">
        <w:rPr>
          <w:rFonts w:ascii="Times New Roman" w:hAnsi="Times New Roman"/>
        </w:rPr>
        <w:t xml:space="preserve">he draft CR for TEI18 </w:t>
      </w:r>
      <w:r w:rsidRPr="00E53E2A">
        <w:rPr>
          <w:rFonts w:ascii="Times New Roman" w:hAnsi="Times New Roman"/>
        </w:rPr>
        <w:t>[QCL-TypeD CORESET priority for M-TRP]</w:t>
      </w:r>
      <w:r w:rsidRPr="00C84D0B">
        <w:rPr>
          <w:rFonts w:ascii="Times New Roman" w:hAnsi="Times New Roman"/>
        </w:rPr>
        <w:t xml:space="preserve"> in</w:t>
      </w:r>
      <w:r>
        <w:rPr>
          <w:rFonts w:ascii="Times New Roman" w:hAnsi="Times New Roman"/>
        </w:rPr>
        <w:t xml:space="preserve"> </w:t>
      </w:r>
      <w:hyperlink r:id="rId3042" w:history="1">
        <w:r w:rsidR="00A74B28">
          <w:rPr>
            <w:rStyle w:val="Hyperlink"/>
            <w:rFonts w:ascii="Times New Roman" w:hAnsi="Times New Roman"/>
          </w:rPr>
          <w:t>R1-2308754</w:t>
        </w:r>
      </w:hyperlink>
      <w:r w:rsidRPr="00C84D0B">
        <w:rPr>
          <w:rFonts w:ascii="Times New Roman" w:hAnsi="Times New Roman"/>
        </w:rPr>
        <w:t xml:space="preserve"> was endorsed </w:t>
      </w:r>
      <w:r>
        <w:rPr>
          <w:rFonts w:ascii="Times New Roman" w:hAnsi="Times New Roman"/>
        </w:rPr>
        <w:t>in</w:t>
      </w:r>
      <w:r w:rsidRPr="00C84D0B">
        <w:rPr>
          <w:rFonts w:ascii="Times New Roman" w:hAnsi="Times New Roman"/>
        </w:rPr>
        <w:t xml:space="preserve"> RAN1#11</w:t>
      </w:r>
      <w:r w:rsidR="00A74B28">
        <w:rPr>
          <w:rFonts w:ascii="Times New Roman" w:hAnsi="Times New Roman"/>
        </w:rPr>
        <w:t>4</w:t>
      </w:r>
      <w:r w:rsidRPr="00C84D0B">
        <w:rPr>
          <w:rFonts w:ascii="Times New Roman" w:hAnsi="Times New Roman"/>
        </w:rPr>
        <w:t>. The final CR (based on v18.0.0 but otherwise identical to the endorsed draft CR) is</w:t>
      </w:r>
      <w:r>
        <w:rPr>
          <w:rFonts w:ascii="Times New Roman" w:hAnsi="Times New Roman"/>
        </w:rPr>
        <w:t xml:space="preserve"> agreed </w:t>
      </w:r>
      <w:r w:rsidRPr="00C84D0B">
        <w:rPr>
          <w:rFonts w:ascii="Times New Roman" w:hAnsi="Times New Roman"/>
        </w:rPr>
        <w:t xml:space="preserve">in </w:t>
      </w:r>
      <w:hyperlink r:id="rId3043" w:history="1">
        <w:r>
          <w:rPr>
            <w:rStyle w:val="Hyperlink"/>
            <w:rFonts w:ascii="Times New Roman" w:hAnsi="Times New Roman"/>
          </w:rPr>
          <w:t>R1-2312714</w:t>
        </w:r>
      </w:hyperlink>
      <w:r>
        <w:rPr>
          <w:rFonts w:ascii="Times New Roman" w:hAnsi="Times New Roman"/>
        </w:rPr>
        <w:t xml:space="preserve"> (Rel-18, 38.213, CR0568, Cat B)</w:t>
      </w:r>
      <w:r w:rsidRPr="00C84D0B">
        <w:rPr>
          <w:rFonts w:ascii="Times New Roman" w:hAnsi="Times New Roman"/>
        </w:rPr>
        <w:t>.</w:t>
      </w:r>
    </w:p>
    <w:p w14:paraId="2E39045C" w14:textId="77777777" w:rsidR="00CA3F66" w:rsidRPr="00367F35" w:rsidRDefault="00CA3F66" w:rsidP="00367F35">
      <w:pPr>
        <w:rPr>
          <w:rFonts w:ascii="Times New Roman" w:hAnsi="Times New Roman"/>
        </w:rPr>
      </w:pPr>
    </w:p>
    <w:p w14:paraId="09915C7F" w14:textId="0AA0AE65" w:rsidR="00367F35" w:rsidRPr="00E53E2A" w:rsidRDefault="005A18DC" w:rsidP="00367F35">
      <w:pPr>
        <w:rPr>
          <w:rFonts w:ascii="Times New Roman" w:hAnsi="Times New Roman"/>
          <w:b/>
          <w:bCs/>
        </w:rPr>
      </w:pPr>
      <w:hyperlink r:id="rId3044" w:history="1">
        <w:r w:rsidR="00AF7253" w:rsidRPr="00E53E2A">
          <w:rPr>
            <w:rStyle w:val="Hyperlink"/>
            <w:rFonts w:ascii="Times New Roman" w:hAnsi="Times New Roman"/>
            <w:b/>
            <w:bCs/>
          </w:rPr>
          <w:t>R1-2312793</w:t>
        </w:r>
      </w:hyperlink>
      <w:r w:rsidR="00367F35" w:rsidRPr="00E53E2A">
        <w:rPr>
          <w:rFonts w:ascii="Times New Roman" w:hAnsi="Times New Roman"/>
          <w:b/>
          <w:bCs/>
        </w:rPr>
        <w:tab/>
        <w:t>Summary of email discussions [Post-115-38.213-NR_TEI_HARQ-ACK_PUSCH]</w:t>
      </w:r>
      <w:r w:rsidR="00367F35" w:rsidRPr="00E53E2A">
        <w:rPr>
          <w:rFonts w:ascii="Times New Roman" w:hAnsi="Times New Roman"/>
          <w:b/>
          <w:bCs/>
        </w:rPr>
        <w:tab/>
        <w:t>Moderator (Samsung)</w:t>
      </w:r>
    </w:p>
    <w:p w14:paraId="118BFB75" w14:textId="311C0A7D" w:rsidR="00367F35" w:rsidRPr="00E53E2A" w:rsidRDefault="005A18DC" w:rsidP="00367F35">
      <w:pPr>
        <w:rPr>
          <w:rFonts w:ascii="Times New Roman" w:hAnsi="Times New Roman"/>
          <w:b/>
          <w:bCs/>
        </w:rPr>
      </w:pPr>
      <w:hyperlink r:id="rId3045" w:history="1">
        <w:r w:rsidR="00AF7253" w:rsidRPr="00E53E2A">
          <w:rPr>
            <w:rStyle w:val="Hyperlink"/>
            <w:rFonts w:ascii="Times New Roman" w:hAnsi="Times New Roman"/>
            <w:b/>
            <w:bCs/>
            <w:highlight w:val="green"/>
          </w:rPr>
          <w:t>R1-2312712</w:t>
        </w:r>
      </w:hyperlink>
      <w:r w:rsidR="00367F35" w:rsidRPr="00E53E2A">
        <w:rPr>
          <w:rFonts w:ascii="Times New Roman" w:hAnsi="Times New Roman"/>
          <w:b/>
          <w:bCs/>
        </w:rPr>
        <w:tab/>
        <w:t>Introduction of multiplexing in a PUSCH with repetitions HARQ-ACK associated with DL assignments received after an UL grant for the PUSCH [HARQ-ACK MUX on PUSCH]</w:t>
      </w:r>
      <w:r w:rsidR="00367F35" w:rsidRPr="00E53E2A">
        <w:rPr>
          <w:rFonts w:ascii="Times New Roman" w:hAnsi="Times New Roman"/>
          <w:b/>
          <w:bCs/>
        </w:rPr>
        <w:tab/>
        <w:t>Samsung</w:t>
      </w:r>
    </w:p>
    <w:p w14:paraId="4669E722" w14:textId="08A96B91" w:rsidR="00367F35" w:rsidRDefault="00A74B28" w:rsidP="00367F35">
      <w:pPr>
        <w:rPr>
          <w:rFonts w:ascii="Times New Roman" w:hAnsi="Times New Roman"/>
        </w:rPr>
      </w:pPr>
      <w:r w:rsidRPr="00EC6E5E">
        <w:rPr>
          <w:rFonts w:ascii="Times New Roman" w:hAnsi="Times New Roman"/>
          <w:b/>
          <w:bCs/>
        </w:rPr>
        <w:t>Decision:</w:t>
      </w:r>
      <w:r w:rsidRPr="00EC6E5E">
        <w:rPr>
          <w:rFonts w:ascii="Times New Roman" w:hAnsi="Times New Roman"/>
        </w:rPr>
        <w:t xml:space="preserve"> As per email decision posted on </w:t>
      </w:r>
      <w:r>
        <w:rPr>
          <w:rFonts w:ascii="Times New Roman" w:hAnsi="Times New Roman"/>
        </w:rPr>
        <w:t>Dec 1</w:t>
      </w:r>
      <w:r w:rsidRPr="00A74B28">
        <w:rPr>
          <w:rFonts w:ascii="Times New Roman" w:hAnsi="Times New Roman"/>
          <w:vertAlign w:val="superscript"/>
        </w:rPr>
        <w:t>st</w:t>
      </w:r>
      <w:r>
        <w:rPr>
          <w:rFonts w:ascii="Times New Roman" w:hAnsi="Times New Roman"/>
        </w:rPr>
        <w:t xml:space="preserve"> </w:t>
      </w:r>
      <w:r w:rsidRPr="00A74B28">
        <w:rPr>
          <w:rFonts w:ascii="Times New Roman" w:hAnsi="Times New Roman"/>
        </w:rPr>
        <w:t>[Post 115-R18-38.213-NR_TEI - HARQ-ACK MUX in PUSCH]</w:t>
      </w:r>
      <w:r w:rsidRPr="00EC6E5E">
        <w:rPr>
          <w:rFonts w:ascii="Times New Roman" w:hAnsi="Times New Roman"/>
        </w:rPr>
        <w:t xml:space="preserve">, </w:t>
      </w:r>
      <w:r>
        <w:rPr>
          <w:rFonts w:ascii="Times New Roman" w:hAnsi="Times New Roman"/>
        </w:rPr>
        <w:t>(Rel-18, 38.213, CR0568, Cat B) is endorsed</w:t>
      </w:r>
      <w:r w:rsidRPr="00EC6E5E">
        <w:rPr>
          <w:rFonts w:ascii="Times New Roman" w:hAnsi="Times New Roman"/>
        </w:rPr>
        <w:t>.</w:t>
      </w:r>
      <w:r>
        <w:rPr>
          <w:rFonts w:ascii="Times New Roman" w:hAnsi="Times New Roman"/>
        </w:rPr>
        <w:t xml:space="preserve"> The CR won’t be submitted to RAN#102 as </w:t>
      </w:r>
      <w:r w:rsidRPr="00A74B28">
        <w:rPr>
          <w:rFonts w:ascii="Times New Roman" w:hAnsi="Times New Roman"/>
        </w:rPr>
        <w:t>RAN2’s work is not completed yet</w:t>
      </w:r>
      <w:r>
        <w:rPr>
          <w:rFonts w:ascii="Times New Roman" w:hAnsi="Times New Roman"/>
        </w:rPr>
        <w:t>. The RAN1 e</w:t>
      </w:r>
      <w:r w:rsidR="00E53E2A" w:rsidRPr="00E53E2A">
        <w:rPr>
          <w:rFonts w:ascii="Times New Roman" w:hAnsi="Times New Roman"/>
        </w:rPr>
        <w:t xml:space="preserve">ndorsed CR </w:t>
      </w:r>
      <w:r>
        <w:rPr>
          <w:rFonts w:ascii="Times New Roman" w:hAnsi="Times New Roman"/>
        </w:rPr>
        <w:t xml:space="preserve">is </w:t>
      </w:r>
      <w:r w:rsidR="00E53E2A" w:rsidRPr="00E53E2A">
        <w:rPr>
          <w:rFonts w:ascii="Times New Roman" w:hAnsi="Times New Roman"/>
        </w:rPr>
        <w:t>postponed to next quarter in order to comply with of the TEI procedure that all CRs belonging to the same TEI identifier need to be submitted to the same RAN meeting.</w:t>
      </w:r>
    </w:p>
    <w:p w14:paraId="0A639A53" w14:textId="77777777" w:rsidR="00367F35" w:rsidRPr="00EC6E5E" w:rsidRDefault="00367F35" w:rsidP="00367F35">
      <w:pPr>
        <w:rPr>
          <w:rFonts w:ascii="Times New Roman" w:hAnsi="Times New Roman"/>
        </w:rPr>
      </w:pPr>
    </w:p>
    <w:p w14:paraId="6443D517" w14:textId="124393AB" w:rsidR="00DD6A22" w:rsidRPr="009537ED" w:rsidRDefault="00DD6A22" w:rsidP="00DD6A22">
      <w:pPr>
        <w:numPr>
          <w:ilvl w:val="0"/>
          <w:numId w:val="9"/>
        </w:numPr>
        <w:rPr>
          <w:rFonts w:ascii="Times New Roman" w:hAnsi="Times New Roman"/>
          <w:b/>
          <w:szCs w:val="20"/>
        </w:rPr>
      </w:pPr>
      <w:r w:rsidRPr="009537ED">
        <w:rPr>
          <w:rFonts w:ascii="Times New Roman" w:hAnsi="Times New Roman"/>
          <w:b/>
          <w:szCs w:val="20"/>
        </w:rPr>
        <w:t>TR updates</w:t>
      </w:r>
    </w:p>
    <w:p w14:paraId="57FD8E48" w14:textId="77777777" w:rsidR="00B60F82" w:rsidRPr="009537ED" w:rsidRDefault="00B60F82" w:rsidP="00B60F82"/>
    <w:p w14:paraId="1F9A0F42" w14:textId="77777777" w:rsidR="00BB52E4" w:rsidRPr="00BB52E4" w:rsidRDefault="00886EBF" w:rsidP="00886EBF">
      <w:pPr>
        <w:rPr>
          <w:rFonts w:ascii="Times New Roman" w:hAnsi="Times New Roman"/>
          <w:szCs w:val="20"/>
          <w:lang w:val="en-US" w:eastAsia="x-none"/>
        </w:rPr>
      </w:pPr>
      <w:r w:rsidRPr="00BB52E4">
        <w:rPr>
          <w:rFonts w:ascii="Times New Roman" w:hAnsi="Times New Roman"/>
          <w:szCs w:val="20"/>
          <w:lang w:val="en-US" w:eastAsia="x-none"/>
        </w:rPr>
        <w:t xml:space="preserve">[Post-115-TR-LP_WUS] </w:t>
      </w:r>
      <w:r w:rsidR="00BB52E4" w:rsidRPr="00BB52E4">
        <w:rPr>
          <w:rFonts w:ascii="Times New Roman" w:hAnsi="Times New Roman"/>
          <w:szCs w:val="20"/>
          <w:lang w:val="en-US" w:eastAsia="x-none"/>
        </w:rPr>
        <w:t>– Xueming (vivo)</w:t>
      </w:r>
    </w:p>
    <w:p w14:paraId="2EC6719A" w14:textId="7733F710" w:rsidR="00886EBF" w:rsidRPr="00BB52E4" w:rsidRDefault="00886EBF" w:rsidP="00886EBF">
      <w:pPr>
        <w:rPr>
          <w:rFonts w:ascii="Times New Roman" w:hAnsi="Times New Roman"/>
          <w:szCs w:val="20"/>
          <w:lang w:val="en-US"/>
        </w:rPr>
      </w:pPr>
      <w:r w:rsidRPr="00BB52E4">
        <w:rPr>
          <w:rFonts w:ascii="Times New Roman" w:hAnsi="Times New Roman"/>
          <w:szCs w:val="20"/>
          <w:lang w:val="en-US" w:eastAsia="x-none"/>
        </w:rPr>
        <w:t>Email discussion to endorse TR on Rel-18 LP-WUS from Nov 29 until Nov 30</w:t>
      </w:r>
    </w:p>
    <w:p w14:paraId="0E00DF97" w14:textId="77777777" w:rsidR="00886EBF" w:rsidRPr="00BB52E4" w:rsidRDefault="00886EBF" w:rsidP="00A67145">
      <w:pPr>
        <w:numPr>
          <w:ilvl w:val="0"/>
          <w:numId w:val="233"/>
        </w:numPr>
        <w:autoSpaceDN w:val="0"/>
        <w:rPr>
          <w:rFonts w:ascii="Times New Roman" w:hAnsi="Times New Roman"/>
          <w:szCs w:val="20"/>
          <w:lang w:val="en-US"/>
        </w:rPr>
      </w:pPr>
      <w:r w:rsidRPr="00BB52E4">
        <w:rPr>
          <w:rFonts w:ascii="Times New Roman" w:hAnsi="Times New Roman"/>
          <w:szCs w:val="20"/>
          <w:lang w:val="en-US"/>
        </w:rPr>
        <w:t>Final TR should include the TPs from other WGs</w:t>
      </w:r>
    </w:p>
    <w:p w14:paraId="528E51A3" w14:textId="3612FADD" w:rsidR="00886EBF" w:rsidRPr="00DF35F3" w:rsidRDefault="00DF35F3" w:rsidP="00886EBF">
      <w:pPr>
        <w:rPr>
          <w:rFonts w:ascii="Times New Roman" w:hAnsi="Times New Roman"/>
          <w:b/>
          <w:bCs/>
          <w:szCs w:val="20"/>
          <w:lang w:val="en-US"/>
        </w:rPr>
      </w:pPr>
      <w:r w:rsidRPr="00DF35F3">
        <w:rPr>
          <w:rFonts w:ascii="Times New Roman" w:hAnsi="Times New Roman"/>
          <w:b/>
          <w:bCs/>
          <w:szCs w:val="20"/>
          <w:highlight w:val="green"/>
          <w:lang w:val="en-US"/>
        </w:rPr>
        <w:t>R1-2312819</w:t>
      </w:r>
      <w:r w:rsidRPr="00DF35F3">
        <w:rPr>
          <w:rFonts w:ascii="Times New Roman" w:hAnsi="Times New Roman"/>
          <w:b/>
          <w:bCs/>
          <w:szCs w:val="20"/>
          <w:lang w:val="en-US"/>
        </w:rPr>
        <w:tab/>
        <w:t>TR 38.869 v2.0.0 for study on low-power wake up signal and receiver for NR</w:t>
      </w:r>
      <w:r w:rsidRPr="00DF35F3">
        <w:rPr>
          <w:rFonts w:ascii="Times New Roman" w:hAnsi="Times New Roman"/>
          <w:b/>
          <w:bCs/>
          <w:szCs w:val="20"/>
          <w:lang w:val="en-US"/>
        </w:rPr>
        <w:tab/>
        <w:t>vivo</w:t>
      </w:r>
    </w:p>
    <w:p w14:paraId="3CB910D9" w14:textId="5834D39F" w:rsidR="00DF35F3" w:rsidRPr="00EC6E5E" w:rsidRDefault="00DF35F3" w:rsidP="00DF35F3">
      <w:pPr>
        <w:rPr>
          <w:rFonts w:ascii="Times New Roman" w:hAnsi="Times New Roman"/>
        </w:rPr>
      </w:pPr>
      <w:r w:rsidRPr="00EC6E5E">
        <w:rPr>
          <w:rFonts w:ascii="Times New Roman" w:hAnsi="Times New Roman"/>
          <w:b/>
          <w:bCs/>
        </w:rPr>
        <w:t>Decision:</w:t>
      </w:r>
      <w:r w:rsidRPr="00EC6E5E">
        <w:rPr>
          <w:rFonts w:ascii="Times New Roman" w:hAnsi="Times New Roman"/>
        </w:rPr>
        <w:t xml:space="preserve"> As per email decision posted on </w:t>
      </w:r>
      <w:r>
        <w:rPr>
          <w:rFonts w:ascii="Times New Roman" w:hAnsi="Times New Roman"/>
        </w:rPr>
        <w:t>Dec 1st</w:t>
      </w:r>
      <w:r w:rsidRPr="00EC6E5E">
        <w:rPr>
          <w:rFonts w:ascii="Times New Roman" w:hAnsi="Times New Roman"/>
        </w:rPr>
        <w:t xml:space="preserve"> </w:t>
      </w:r>
      <w:r w:rsidR="00C231BA" w:rsidRPr="00C231BA">
        <w:rPr>
          <w:rFonts w:ascii="Times New Roman" w:hAnsi="Times New Roman"/>
        </w:rPr>
        <w:t>[Post-115-TR-LP_WUS]</w:t>
      </w:r>
      <w:r w:rsidRPr="00EC6E5E">
        <w:rPr>
          <w:rFonts w:ascii="Times New Roman" w:hAnsi="Times New Roman"/>
        </w:rPr>
        <w:t xml:space="preserve">, </w:t>
      </w:r>
      <w:r w:rsidRPr="00D46911">
        <w:rPr>
          <w:rFonts w:ascii="Times New Roman" w:hAnsi="Times New Roman"/>
        </w:rPr>
        <w:t>TR 38.8</w:t>
      </w:r>
      <w:r w:rsidR="00C231BA">
        <w:rPr>
          <w:rFonts w:ascii="Times New Roman" w:hAnsi="Times New Roman"/>
        </w:rPr>
        <w:t>69</w:t>
      </w:r>
      <w:r w:rsidRPr="00D46911">
        <w:rPr>
          <w:rFonts w:ascii="Times New Roman" w:hAnsi="Times New Roman"/>
        </w:rPr>
        <w:t xml:space="preserve"> v</w:t>
      </w:r>
      <w:r w:rsidR="00C231BA">
        <w:rPr>
          <w:rFonts w:ascii="Times New Roman" w:hAnsi="Times New Roman"/>
        </w:rPr>
        <w:t>2.0.0</w:t>
      </w:r>
      <w:r>
        <w:rPr>
          <w:rFonts w:ascii="Times New Roman" w:hAnsi="Times New Roman"/>
        </w:rPr>
        <w:t xml:space="preserve"> is endorsed</w:t>
      </w:r>
      <w:r w:rsidRPr="00EC6E5E">
        <w:rPr>
          <w:rFonts w:ascii="Times New Roman" w:hAnsi="Times New Roman"/>
        </w:rPr>
        <w:t>.</w:t>
      </w:r>
      <w:r>
        <w:rPr>
          <w:rFonts w:ascii="Times New Roman" w:hAnsi="Times New Roman"/>
        </w:rPr>
        <w:t xml:space="preserve"> </w:t>
      </w:r>
      <w:r w:rsidR="00C231BA" w:rsidRPr="00D46911">
        <w:rPr>
          <w:rFonts w:ascii="Times New Roman" w:hAnsi="Times New Roman"/>
        </w:rPr>
        <w:t>V</w:t>
      </w:r>
      <w:r w:rsidR="00C231BA">
        <w:rPr>
          <w:rFonts w:ascii="Times New Roman" w:hAnsi="Times New Roman"/>
        </w:rPr>
        <w:t>2.0.0</w:t>
      </w:r>
      <w:r w:rsidRPr="00D46911">
        <w:rPr>
          <w:rFonts w:ascii="Times New Roman" w:hAnsi="Times New Roman"/>
        </w:rPr>
        <w:t xml:space="preserve"> incorporates the agreed TPs with RAN2 and RAN4 part</w:t>
      </w:r>
      <w:r>
        <w:rPr>
          <w:rFonts w:ascii="Times New Roman" w:hAnsi="Times New Roman"/>
        </w:rPr>
        <w:t xml:space="preserve">s, and shall be used as basis for </w:t>
      </w:r>
      <w:r w:rsidRPr="00D46911">
        <w:rPr>
          <w:rFonts w:ascii="Times New Roman" w:hAnsi="Times New Roman"/>
        </w:rPr>
        <w:t xml:space="preserve">approval </w:t>
      </w:r>
      <w:r>
        <w:rPr>
          <w:rFonts w:ascii="Times New Roman" w:hAnsi="Times New Roman"/>
        </w:rPr>
        <w:t xml:space="preserve">by </w:t>
      </w:r>
      <w:r w:rsidRPr="00D46911">
        <w:rPr>
          <w:rFonts w:ascii="Times New Roman" w:hAnsi="Times New Roman"/>
        </w:rPr>
        <w:t>RAN#102.</w:t>
      </w:r>
    </w:p>
    <w:p w14:paraId="0F0A24AC" w14:textId="77777777" w:rsidR="00BB52E4" w:rsidRPr="00DF35F3" w:rsidRDefault="00BB52E4" w:rsidP="00886EBF">
      <w:pPr>
        <w:rPr>
          <w:rFonts w:ascii="Times New Roman" w:hAnsi="Times New Roman"/>
          <w:szCs w:val="20"/>
        </w:rPr>
      </w:pPr>
    </w:p>
    <w:p w14:paraId="69240996" w14:textId="77777777" w:rsidR="00BB52E4" w:rsidRPr="00BB52E4" w:rsidRDefault="00886EBF" w:rsidP="00886EBF">
      <w:pPr>
        <w:rPr>
          <w:rFonts w:ascii="Times New Roman" w:hAnsi="Times New Roman"/>
          <w:szCs w:val="20"/>
          <w:lang w:val="en-US" w:eastAsia="x-none"/>
        </w:rPr>
      </w:pPr>
      <w:r w:rsidRPr="00BB52E4">
        <w:rPr>
          <w:rFonts w:ascii="Times New Roman" w:hAnsi="Times New Roman"/>
          <w:szCs w:val="20"/>
          <w:lang w:val="en-US" w:eastAsia="x-none"/>
        </w:rPr>
        <w:t xml:space="preserve">[Post-115-TR-Duplex] </w:t>
      </w:r>
      <w:r w:rsidR="00BB52E4" w:rsidRPr="00BB52E4">
        <w:rPr>
          <w:rFonts w:ascii="Times New Roman" w:hAnsi="Times New Roman"/>
          <w:szCs w:val="20"/>
          <w:lang w:val="en-US" w:eastAsia="x-none"/>
        </w:rPr>
        <w:t>– Fei (CMCC)</w:t>
      </w:r>
    </w:p>
    <w:p w14:paraId="38DEB361" w14:textId="2DAD3702" w:rsidR="00886EBF" w:rsidRPr="00BB52E4" w:rsidRDefault="00886EBF" w:rsidP="00886EBF">
      <w:pPr>
        <w:rPr>
          <w:rFonts w:ascii="Times New Roman" w:hAnsi="Times New Roman"/>
          <w:szCs w:val="20"/>
          <w:lang w:val="en-US"/>
        </w:rPr>
      </w:pPr>
      <w:r w:rsidRPr="00BB52E4">
        <w:rPr>
          <w:rFonts w:ascii="Times New Roman" w:hAnsi="Times New Roman"/>
          <w:szCs w:val="20"/>
          <w:lang w:val="en-US" w:eastAsia="x-none"/>
        </w:rPr>
        <w:t>Email discussion to endorse TR on Rel-18 Duplex from Nov 29 until Nov 30</w:t>
      </w:r>
    </w:p>
    <w:p w14:paraId="52946FEC" w14:textId="77777777" w:rsidR="00886EBF" w:rsidRPr="00674D7C" w:rsidRDefault="00886EBF" w:rsidP="00B1361E">
      <w:pPr>
        <w:pStyle w:val="ListParagraph"/>
        <w:numPr>
          <w:ilvl w:val="0"/>
          <w:numId w:val="262"/>
        </w:numPr>
        <w:spacing w:after="0"/>
        <w:ind w:left="714" w:hanging="357"/>
        <w:rPr>
          <w:lang w:val="en-US"/>
        </w:rPr>
      </w:pPr>
      <w:r w:rsidRPr="00674D7C">
        <w:rPr>
          <w:lang w:val="en-US"/>
        </w:rPr>
        <w:t>Final TR should include the TPs from other WGs</w:t>
      </w:r>
    </w:p>
    <w:p w14:paraId="0A15ECBA" w14:textId="77777777" w:rsidR="00674D7C" w:rsidRDefault="00674D7C" w:rsidP="00674D7C">
      <w:pPr>
        <w:rPr>
          <w:rFonts w:ascii="Times New Roman" w:hAnsi="Times New Roman"/>
          <w:b/>
          <w:bCs/>
        </w:rPr>
      </w:pPr>
      <w:r w:rsidRPr="00674D7C">
        <w:rPr>
          <w:rFonts w:ascii="Times New Roman" w:hAnsi="Times New Roman"/>
          <w:b/>
          <w:bCs/>
          <w:highlight w:val="green"/>
        </w:rPr>
        <w:t>R1-2312778</w:t>
      </w:r>
      <w:r w:rsidRPr="00674D7C">
        <w:rPr>
          <w:rFonts w:ascii="Times New Roman" w:hAnsi="Times New Roman"/>
          <w:b/>
          <w:bCs/>
        </w:rPr>
        <w:tab/>
        <w:t>TR 38.858 v1.1.0 for study on evolution of NR duplex operation</w:t>
      </w:r>
      <w:r w:rsidRPr="00674D7C">
        <w:rPr>
          <w:rFonts w:ascii="Times New Roman" w:hAnsi="Times New Roman"/>
          <w:b/>
          <w:bCs/>
        </w:rPr>
        <w:tab/>
        <w:t>CMCC</w:t>
      </w:r>
    </w:p>
    <w:p w14:paraId="4A84CEE5" w14:textId="31E57E40" w:rsidR="00674D7C" w:rsidRPr="00EC6E5E" w:rsidRDefault="00674D7C" w:rsidP="00674D7C">
      <w:pPr>
        <w:rPr>
          <w:rFonts w:ascii="Times New Roman" w:hAnsi="Times New Roman"/>
        </w:rPr>
      </w:pPr>
      <w:r w:rsidRPr="00EC6E5E">
        <w:rPr>
          <w:rFonts w:ascii="Times New Roman" w:hAnsi="Times New Roman"/>
          <w:b/>
          <w:bCs/>
        </w:rPr>
        <w:t>Decision:</w:t>
      </w:r>
      <w:r w:rsidRPr="00EC6E5E">
        <w:rPr>
          <w:rFonts w:ascii="Times New Roman" w:hAnsi="Times New Roman"/>
        </w:rPr>
        <w:t xml:space="preserve"> As per email decision posted on </w:t>
      </w:r>
      <w:r>
        <w:rPr>
          <w:rFonts w:ascii="Times New Roman" w:hAnsi="Times New Roman"/>
        </w:rPr>
        <w:t>Nov 30th</w:t>
      </w:r>
      <w:r w:rsidRPr="00EC6E5E">
        <w:rPr>
          <w:rFonts w:ascii="Times New Roman" w:hAnsi="Times New Roman"/>
        </w:rPr>
        <w:t xml:space="preserve"> </w:t>
      </w:r>
      <w:r w:rsidRPr="00674D7C">
        <w:rPr>
          <w:rFonts w:ascii="Times New Roman" w:hAnsi="Times New Roman"/>
        </w:rPr>
        <w:t>[Post-115-TR-Duplex]</w:t>
      </w:r>
      <w:r w:rsidRPr="00EC6E5E">
        <w:rPr>
          <w:rFonts w:ascii="Times New Roman" w:hAnsi="Times New Roman"/>
        </w:rPr>
        <w:t xml:space="preserve">, </w:t>
      </w:r>
      <w:r w:rsidRPr="00674D7C">
        <w:rPr>
          <w:rFonts w:ascii="Times New Roman" w:hAnsi="Times New Roman"/>
        </w:rPr>
        <w:t>TR 38.858 v1.1.0</w:t>
      </w:r>
      <w:r>
        <w:rPr>
          <w:rFonts w:ascii="Times New Roman" w:hAnsi="Times New Roman"/>
        </w:rPr>
        <w:t xml:space="preserve"> is endorsed</w:t>
      </w:r>
      <w:r w:rsidRPr="00EC6E5E">
        <w:rPr>
          <w:rFonts w:ascii="Times New Roman" w:hAnsi="Times New Roman"/>
        </w:rPr>
        <w:t>.</w:t>
      </w:r>
      <w:r>
        <w:rPr>
          <w:rFonts w:ascii="Times New Roman" w:hAnsi="Times New Roman"/>
        </w:rPr>
        <w:t xml:space="preserve"> </w:t>
      </w:r>
      <w:r w:rsidRPr="00D46911">
        <w:rPr>
          <w:rFonts w:ascii="Times New Roman" w:hAnsi="Times New Roman"/>
        </w:rPr>
        <w:t>v1.</w:t>
      </w:r>
      <w:r>
        <w:rPr>
          <w:rFonts w:ascii="Times New Roman" w:hAnsi="Times New Roman"/>
        </w:rPr>
        <w:t>1</w:t>
      </w:r>
      <w:r w:rsidRPr="00D46911">
        <w:rPr>
          <w:rFonts w:ascii="Times New Roman" w:hAnsi="Times New Roman"/>
        </w:rPr>
        <w:t xml:space="preserve">.0 </w:t>
      </w:r>
      <w:r w:rsidRPr="00674D7C">
        <w:rPr>
          <w:rFonts w:ascii="Times New Roman" w:hAnsi="Times New Roman"/>
        </w:rPr>
        <w:t>include</w:t>
      </w:r>
      <w:r>
        <w:rPr>
          <w:rFonts w:ascii="Times New Roman" w:hAnsi="Times New Roman"/>
        </w:rPr>
        <w:t>s</w:t>
      </w:r>
      <w:r w:rsidRPr="00674D7C">
        <w:rPr>
          <w:rFonts w:ascii="Times New Roman" w:hAnsi="Times New Roman"/>
        </w:rPr>
        <w:t xml:space="preserve"> the TP endorsed in RAN1#115</w:t>
      </w:r>
      <w:r>
        <w:rPr>
          <w:rFonts w:ascii="Times New Roman" w:hAnsi="Times New Roman"/>
        </w:rPr>
        <w:t xml:space="preserve"> </w:t>
      </w:r>
      <w:r w:rsidRPr="00674D7C">
        <w:rPr>
          <w:rFonts w:ascii="Times New Roman" w:hAnsi="Times New Roman"/>
        </w:rPr>
        <w:t>(R1-2312429) and the TP endorsed in RAN4#109</w:t>
      </w:r>
      <w:r>
        <w:rPr>
          <w:rFonts w:ascii="Times New Roman" w:hAnsi="Times New Roman"/>
        </w:rPr>
        <w:t xml:space="preserve">, and shall be used as basis for </w:t>
      </w:r>
      <w:r w:rsidRPr="00D46911">
        <w:rPr>
          <w:rFonts w:ascii="Times New Roman" w:hAnsi="Times New Roman"/>
        </w:rPr>
        <w:t xml:space="preserve">approval </w:t>
      </w:r>
      <w:r>
        <w:rPr>
          <w:rFonts w:ascii="Times New Roman" w:hAnsi="Times New Roman"/>
        </w:rPr>
        <w:t xml:space="preserve">by </w:t>
      </w:r>
      <w:r w:rsidRPr="00D46911">
        <w:rPr>
          <w:rFonts w:ascii="Times New Roman" w:hAnsi="Times New Roman"/>
        </w:rPr>
        <w:t>RAN#102 as v2.0.0.</w:t>
      </w:r>
    </w:p>
    <w:p w14:paraId="182597B6" w14:textId="77777777" w:rsidR="00BB52E4" w:rsidRDefault="00BB52E4" w:rsidP="00886EBF">
      <w:pPr>
        <w:rPr>
          <w:rFonts w:ascii="Times New Roman" w:hAnsi="Times New Roman"/>
          <w:szCs w:val="20"/>
        </w:rPr>
      </w:pPr>
    </w:p>
    <w:p w14:paraId="3A11370C" w14:textId="77777777" w:rsidR="00674D7C" w:rsidRPr="00674D7C" w:rsidRDefault="00674D7C" w:rsidP="00886EBF">
      <w:pPr>
        <w:rPr>
          <w:rFonts w:ascii="Times New Roman" w:hAnsi="Times New Roman"/>
          <w:szCs w:val="20"/>
        </w:rPr>
      </w:pPr>
    </w:p>
    <w:p w14:paraId="53AC4996" w14:textId="77777777" w:rsidR="00BB52E4" w:rsidRPr="00BB52E4" w:rsidRDefault="00886EBF" w:rsidP="00886EBF">
      <w:pPr>
        <w:rPr>
          <w:rFonts w:ascii="Times New Roman" w:hAnsi="Times New Roman"/>
          <w:szCs w:val="20"/>
          <w:lang w:val="fr-FR" w:eastAsia="x-none"/>
        </w:rPr>
      </w:pPr>
      <w:r w:rsidRPr="00BB52E4">
        <w:rPr>
          <w:rFonts w:ascii="Times New Roman" w:hAnsi="Times New Roman"/>
          <w:szCs w:val="20"/>
          <w:lang w:val="fr-FR" w:eastAsia="x-none"/>
        </w:rPr>
        <w:t xml:space="preserve">[Post-115-TR-AI/ML] </w:t>
      </w:r>
      <w:r w:rsidR="00BB52E4" w:rsidRPr="00BB52E4">
        <w:rPr>
          <w:rFonts w:ascii="Times New Roman" w:hAnsi="Times New Roman"/>
          <w:szCs w:val="20"/>
          <w:lang w:val="fr-FR" w:eastAsia="x-none"/>
        </w:rPr>
        <w:t>– Juan (Qualcomm)</w:t>
      </w:r>
    </w:p>
    <w:p w14:paraId="610CDE0C" w14:textId="3C70EFCC" w:rsidR="00886EBF" w:rsidRPr="00BB52E4" w:rsidRDefault="00886EBF" w:rsidP="00886EBF">
      <w:pPr>
        <w:rPr>
          <w:rFonts w:ascii="Times New Roman" w:hAnsi="Times New Roman"/>
          <w:szCs w:val="20"/>
          <w:lang w:val="en-US"/>
        </w:rPr>
      </w:pPr>
      <w:r w:rsidRPr="00BB52E4">
        <w:rPr>
          <w:rFonts w:ascii="Times New Roman" w:hAnsi="Times New Roman"/>
          <w:szCs w:val="20"/>
          <w:lang w:val="en-US" w:eastAsia="x-none"/>
        </w:rPr>
        <w:t>Email discussion to endorse TR on Rel-18 AI/ML from Nov 29 until Dec 1</w:t>
      </w:r>
    </w:p>
    <w:p w14:paraId="45AF5DCE" w14:textId="77777777" w:rsidR="00886EBF" w:rsidRPr="00BB52E4" w:rsidRDefault="00886EBF" w:rsidP="00B1361E">
      <w:pPr>
        <w:pStyle w:val="ListParagraph"/>
        <w:numPr>
          <w:ilvl w:val="0"/>
          <w:numId w:val="260"/>
        </w:numPr>
        <w:spacing w:after="0"/>
        <w:ind w:left="714" w:hanging="357"/>
      </w:pPr>
      <w:r w:rsidRPr="00BB52E4">
        <w:rPr>
          <w:lang w:val="en-US"/>
        </w:rPr>
        <w:t>Final TR should include the TPs from other WGs</w:t>
      </w:r>
    </w:p>
    <w:p w14:paraId="637A7F79" w14:textId="6118EF10" w:rsidR="00BB52E4" w:rsidRPr="00BB52E4" w:rsidRDefault="00BB52E4" w:rsidP="00B60F82">
      <w:pPr>
        <w:rPr>
          <w:rFonts w:ascii="Times New Roman" w:hAnsi="Times New Roman"/>
          <w:b/>
          <w:bCs/>
        </w:rPr>
      </w:pPr>
      <w:r w:rsidRPr="00674D7C">
        <w:rPr>
          <w:rFonts w:ascii="Times New Roman" w:hAnsi="Times New Roman"/>
          <w:b/>
          <w:bCs/>
          <w:highlight w:val="green"/>
        </w:rPr>
        <w:t>R1-2312764</w:t>
      </w:r>
      <w:r w:rsidRPr="00BB52E4">
        <w:rPr>
          <w:rFonts w:ascii="Times New Roman" w:hAnsi="Times New Roman"/>
          <w:b/>
          <w:bCs/>
        </w:rPr>
        <w:tab/>
      </w:r>
      <w:bookmarkStart w:id="842" w:name="_Hlk152439239"/>
      <w:r w:rsidRPr="00BB52E4">
        <w:rPr>
          <w:rFonts w:ascii="Times New Roman" w:hAnsi="Times New Roman"/>
          <w:b/>
          <w:bCs/>
        </w:rPr>
        <w:t>TR 38.843 v1.3.0</w:t>
      </w:r>
      <w:bookmarkEnd w:id="842"/>
      <w:r w:rsidRPr="00BB52E4">
        <w:rPr>
          <w:rFonts w:ascii="Times New Roman" w:hAnsi="Times New Roman"/>
          <w:b/>
          <w:bCs/>
        </w:rPr>
        <w:t xml:space="preserve"> on Artificial Intelligence (AI)/Machine Learning (ML) for NR air interface</w:t>
      </w:r>
      <w:r w:rsidRPr="00BB52E4">
        <w:rPr>
          <w:rFonts w:ascii="Times New Roman" w:hAnsi="Times New Roman"/>
          <w:b/>
          <w:bCs/>
        </w:rPr>
        <w:tab/>
        <w:t>Qualcomm</w:t>
      </w:r>
    </w:p>
    <w:p w14:paraId="4EEEC4ED" w14:textId="6FE61B32" w:rsidR="00BB52E4" w:rsidRPr="00EC6E5E" w:rsidRDefault="00BB52E4" w:rsidP="00D46911">
      <w:pPr>
        <w:rPr>
          <w:rFonts w:ascii="Times New Roman" w:hAnsi="Times New Roman"/>
        </w:rPr>
      </w:pPr>
      <w:r w:rsidRPr="00EC6E5E">
        <w:rPr>
          <w:rFonts w:ascii="Times New Roman" w:hAnsi="Times New Roman"/>
          <w:b/>
          <w:bCs/>
        </w:rPr>
        <w:t>Decision:</w:t>
      </w:r>
      <w:r w:rsidRPr="00EC6E5E">
        <w:rPr>
          <w:rFonts w:ascii="Times New Roman" w:hAnsi="Times New Roman"/>
        </w:rPr>
        <w:t xml:space="preserve"> As per email decision posted on </w:t>
      </w:r>
      <w:r>
        <w:rPr>
          <w:rFonts w:ascii="Times New Roman" w:hAnsi="Times New Roman"/>
        </w:rPr>
        <w:t>Dec 2nd</w:t>
      </w:r>
      <w:r w:rsidRPr="00EC6E5E">
        <w:rPr>
          <w:rFonts w:ascii="Times New Roman" w:hAnsi="Times New Roman"/>
        </w:rPr>
        <w:t xml:space="preserve"> </w:t>
      </w:r>
      <w:r w:rsidRPr="00BB52E4">
        <w:rPr>
          <w:rFonts w:ascii="Times New Roman" w:hAnsi="Times New Roman"/>
        </w:rPr>
        <w:t>[Post-115-TR-AI/ML]</w:t>
      </w:r>
      <w:r w:rsidRPr="00EC6E5E">
        <w:rPr>
          <w:rFonts w:ascii="Times New Roman" w:hAnsi="Times New Roman"/>
        </w:rPr>
        <w:t xml:space="preserve">, </w:t>
      </w:r>
      <w:r w:rsidR="00D46911" w:rsidRPr="00D46911">
        <w:rPr>
          <w:rFonts w:ascii="Times New Roman" w:hAnsi="Times New Roman"/>
        </w:rPr>
        <w:t>TR 38.843 v1.3.0</w:t>
      </w:r>
      <w:r>
        <w:rPr>
          <w:rFonts w:ascii="Times New Roman" w:hAnsi="Times New Roman"/>
        </w:rPr>
        <w:t xml:space="preserve"> is </w:t>
      </w:r>
      <w:r w:rsidR="00D46911">
        <w:rPr>
          <w:rFonts w:ascii="Times New Roman" w:hAnsi="Times New Roman"/>
        </w:rPr>
        <w:t>endorsed</w:t>
      </w:r>
      <w:r w:rsidRPr="00EC6E5E">
        <w:rPr>
          <w:rFonts w:ascii="Times New Roman" w:hAnsi="Times New Roman"/>
        </w:rPr>
        <w:t>.</w:t>
      </w:r>
      <w:r w:rsidR="00D46911">
        <w:rPr>
          <w:rFonts w:ascii="Times New Roman" w:hAnsi="Times New Roman"/>
        </w:rPr>
        <w:t xml:space="preserve"> </w:t>
      </w:r>
      <w:r w:rsidR="00D46911" w:rsidRPr="00D46911">
        <w:rPr>
          <w:rFonts w:ascii="Times New Roman" w:hAnsi="Times New Roman"/>
        </w:rPr>
        <w:t>v1.3.0 incorporates the agreements from RAN1#115 but also the agreed TPs with RAN2 and RAN4 part</w:t>
      </w:r>
      <w:r w:rsidR="00D46911">
        <w:rPr>
          <w:rFonts w:ascii="Times New Roman" w:hAnsi="Times New Roman"/>
        </w:rPr>
        <w:t xml:space="preserve">s, and shall be used as basis for </w:t>
      </w:r>
      <w:r w:rsidR="00D46911" w:rsidRPr="00D46911">
        <w:rPr>
          <w:rFonts w:ascii="Times New Roman" w:hAnsi="Times New Roman"/>
        </w:rPr>
        <w:t xml:space="preserve">approval </w:t>
      </w:r>
      <w:r w:rsidR="00D46911">
        <w:rPr>
          <w:rFonts w:ascii="Times New Roman" w:hAnsi="Times New Roman"/>
        </w:rPr>
        <w:t xml:space="preserve">by </w:t>
      </w:r>
      <w:r w:rsidR="00D46911" w:rsidRPr="00D46911">
        <w:rPr>
          <w:rFonts w:ascii="Times New Roman" w:hAnsi="Times New Roman"/>
        </w:rPr>
        <w:t>RAN#102 as v2.0.0.</w:t>
      </w:r>
    </w:p>
    <w:p w14:paraId="2DB38CEE" w14:textId="77777777" w:rsidR="00BB52E4" w:rsidRPr="009537ED" w:rsidRDefault="00BB52E4" w:rsidP="00B60F82">
      <w:pPr>
        <w:rPr>
          <w:rFonts w:ascii="Times New Roman" w:hAnsi="Times New Roman"/>
        </w:rPr>
      </w:pPr>
    </w:p>
    <w:p w14:paraId="762BFF75" w14:textId="3C24EB29" w:rsidR="004F28C6" w:rsidRPr="009537ED" w:rsidRDefault="004F28C6" w:rsidP="004F28C6">
      <w:pPr>
        <w:numPr>
          <w:ilvl w:val="0"/>
          <w:numId w:val="9"/>
        </w:numPr>
        <w:rPr>
          <w:rFonts w:ascii="Times New Roman" w:hAnsi="Times New Roman"/>
          <w:b/>
          <w:szCs w:val="20"/>
        </w:rPr>
      </w:pPr>
      <w:r w:rsidRPr="009537ED">
        <w:rPr>
          <w:rFonts w:ascii="Times New Roman" w:hAnsi="Times New Roman"/>
          <w:b/>
          <w:szCs w:val="20"/>
        </w:rPr>
        <w:t>Miscellaneous</w:t>
      </w:r>
    </w:p>
    <w:p w14:paraId="518A77C3" w14:textId="4335FA00" w:rsidR="009C01A5" w:rsidRPr="00886EBF" w:rsidRDefault="009C01A5" w:rsidP="009C01A5">
      <w:pPr>
        <w:rPr>
          <w:rFonts w:ascii="Times New Roman" w:hAnsi="Times New Roman"/>
          <w:szCs w:val="20"/>
        </w:rPr>
      </w:pPr>
    </w:p>
    <w:p w14:paraId="2EE22E6C" w14:textId="13D093D4" w:rsidR="00F445D6" w:rsidRPr="009537ED" w:rsidRDefault="007A5AC0" w:rsidP="009643F7">
      <w:pPr>
        <w:pStyle w:val="Heading1"/>
        <w:numPr>
          <w:ilvl w:val="0"/>
          <w:numId w:val="0"/>
        </w:numPr>
        <w:spacing w:before="0" w:after="0"/>
        <w:rPr>
          <w:rFonts w:ascii="Times New Roman" w:hAnsi="Times New Roman" w:cs="Times New Roman"/>
          <w:sz w:val="20"/>
          <w:szCs w:val="20"/>
        </w:rPr>
      </w:pPr>
      <w:r w:rsidRPr="009537ED">
        <w:rPr>
          <w:rFonts w:ascii="Times New Roman" w:hAnsi="Times New Roman"/>
          <w:sz w:val="20"/>
          <w:szCs w:val="20"/>
        </w:rPr>
        <w:br w:type="page"/>
      </w:r>
      <w:bookmarkStart w:id="843" w:name="_Toc159251072"/>
      <w:r w:rsidR="00F445D6" w:rsidRPr="009537ED">
        <w:rPr>
          <w:rFonts w:ascii="Times New Roman" w:hAnsi="Times New Roman" w:cs="Times New Roman"/>
          <w:sz w:val="20"/>
          <w:szCs w:val="20"/>
        </w:rPr>
        <w:lastRenderedPageBreak/>
        <w:t>Annex</w:t>
      </w:r>
      <w:r w:rsidR="00233210" w:rsidRPr="009537ED">
        <w:rPr>
          <w:rFonts w:ascii="Times New Roman" w:hAnsi="Times New Roman" w:cs="Times New Roman"/>
          <w:sz w:val="20"/>
          <w:szCs w:val="20"/>
        </w:rPr>
        <w:t xml:space="preserve"> </w:t>
      </w:r>
      <w:r w:rsidR="00F445D6" w:rsidRPr="009537ED">
        <w:rPr>
          <w:rFonts w:ascii="Times New Roman" w:hAnsi="Times New Roman" w:cs="Times New Roman"/>
          <w:sz w:val="20"/>
          <w:szCs w:val="20"/>
        </w:rPr>
        <w:t>G:</w:t>
      </w:r>
      <w:r w:rsidR="00F445D6" w:rsidRPr="009537ED">
        <w:rPr>
          <w:rFonts w:ascii="Times New Roman" w:hAnsi="Times New Roman" w:cs="Times New Roman"/>
          <w:sz w:val="20"/>
          <w:szCs w:val="20"/>
        </w:rPr>
        <w:tab/>
        <w:t>List</w:t>
      </w:r>
      <w:r w:rsidR="00233210" w:rsidRPr="009537ED">
        <w:rPr>
          <w:rFonts w:ascii="Times New Roman" w:hAnsi="Times New Roman" w:cs="Times New Roman"/>
          <w:sz w:val="20"/>
          <w:szCs w:val="20"/>
        </w:rPr>
        <w:t xml:space="preserve"> </w:t>
      </w:r>
      <w:r w:rsidR="00F445D6" w:rsidRPr="009537ED">
        <w:rPr>
          <w:rFonts w:ascii="Times New Roman" w:hAnsi="Times New Roman" w:cs="Times New Roman"/>
          <w:sz w:val="20"/>
          <w:szCs w:val="20"/>
        </w:rPr>
        <w:t>of</w:t>
      </w:r>
      <w:r w:rsidR="00233210" w:rsidRPr="009537ED">
        <w:rPr>
          <w:rFonts w:ascii="Times New Roman" w:hAnsi="Times New Roman" w:cs="Times New Roman"/>
          <w:sz w:val="20"/>
          <w:szCs w:val="20"/>
        </w:rPr>
        <w:t xml:space="preserve"> </w:t>
      </w:r>
      <w:r w:rsidR="00F445D6" w:rsidRPr="009537ED">
        <w:rPr>
          <w:rFonts w:ascii="Times New Roman" w:hAnsi="Times New Roman" w:cs="Times New Roman"/>
          <w:sz w:val="20"/>
          <w:szCs w:val="20"/>
        </w:rPr>
        <w:t>participants</w:t>
      </w:r>
      <w:r w:rsidR="00233210" w:rsidRPr="009537ED">
        <w:rPr>
          <w:rFonts w:ascii="Times New Roman" w:hAnsi="Times New Roman" w:cs="Times New Roman"/>
          <w:sz w:val="20"/>
          <w:szCs w:val="20"/>
        </w:rPr>
        <w:t xml:space="preserve"> </w:t>
      </w:r>
      <w:r w:rsidR="00F445D6" w:rsidRPr="009537ED">
        <w:rPr>
          <w:rFonts w:ascii="Times New Roman" w:hAnsi="Times New Roman" w:cs="Times New Roman"/>
          <w:sz w:val="20"/>
          <w:szCs w:val="20"/>
        </w:rPr>
        <w:t>at</w:t>
      </w:r>
      <w:r w:rsidR="00233210" w:rsidRPr="009537ED">
        <w:rPr>
          <w:rFonts w:ascii="Times New Roman" w:hAnsi="Times New Roman" w:cs="Times New Roman"/>
          <w:sz w:val="20"/>
          <w:szCs w:val="20"/>
        </w:rPr>
        <w:t xml:space="preserve"> </w:t>
      </w:r>
      <w:r w:rsidR="00CC2881" w:rsidRPr="009537ED">
        <w:rPr>
          <w:rFonts w:ascii="Times New Roman" w:hAnsi="Times New Roman" w:cs="Times New Roman"/>
          <w:sz w:val="20"/>
          <w:szCs w:val="20"/>
        </w:rPr>
        <w:t xml:space="preserve">RAN1 </w:t>
      </w:r>
      <w:r w:rsidR="00AE38CD" w:rsidRPr="009537ED">
        <w:rPr>
          <w:rFonts w:ascii="Times New Roman" w:hAnsi="Times New Roman" w:cs="Times New Roman"/>
          <w:sz w:val="20"/>
          <w:szCs w:val="20"/>
        </w:rPr>
        <w:t>#115</w:t>
      </w:r>
      <w:bookmarkEnd w:id="843"/>
    </w:p>
    <w:p w14:paraId="7AC8532D" w14:textId="77777777" w:rsidR="005C5573" w:rsidRPr="009537ED" w:rsidRDefault="005C5573" w:rsidP="005C5573">
      <w:pPr>
        <w:rPr>
          <w:szCs w:val="20"/>
        </w:rPr>
      </w:pPr>
    </w:p>
    <w:p w14:paraId="7D0188F5" w14:textId="1F89CB63" w:rsidR="007A5AC0" w:rsidRPr="009537ED" w:rsidRDefault="007A5AC0" w:rsidP="009643F7">
      <w:pPr>
        <w:rPr>
          <w:szCs w:val="20"/>
        </w:rPr>
      </w:pPr>
      <w:r w:rsidRPr="009537ED">
        <w:rPr>
          <w:szCs w:val="20"/>
        </w:rPr>
        <w:t>Please</w:t>
      </w:r>
      <w:r w:rsidR="00233210" w:rsidRPr="009537ED">
        <w:rPr>
          <w:szCs w:val="20"/>
        </w:rPr>
        <w:t xml:space="preserve"> </w:t>
      </w:r>
      <w:r w:rsidRPr="009537ED">
        <w:rPr>
          <w:szCs w:val="20"/>
        </w:rPr>
        <w:t>see</w:t>
      </w:r>
      <w:r w:rsidR="00233210" w:rsidRPr="009537ED">
        <w:rPr>
          <w:szCs w:val="20"/>
        </w:rPr>
        <w:t xml:space="preserve"> </w:t>
      </w:r>
      <w:r w:rsidRPr="009537ED">
        <w:rPr>
          <w:szCs w:val="20"/>
        </w:rPr>
        <w:t>excel</w:t>
      </w:r>
      <w:r w:rsidR="00233210" w:rsidRPr="009537ED">
        <w:rPr>
          <w:szCs w:val="20"/>
        </w:rPr>
        <w:t xml:space="preserve"> </w:t>
      </w:r>
      <w:r w:rsidRPr="009537ED">
        <w:rPr>
          <w:szCs w:val="20"/>
        </w:rPr>
        <w:t>file</w:t>
      </w:r>
      <w:r w:rsidR="00233210" w:rsidRPr="009537ED">
        <w:rPr>
          <w:szCs w:val="20"/>
        </w:rPr>
        <w:t xml:space="preserve"> </w:t>
      </w:r>
      <w:r w:rsidRPr="009537ED">
        <w:rPr>
          <w:szCs w:val="20"/>
        </w:rPr>
        <w:t>attached</w:t>
      </w:r>
      <w:r w:rsidR="00233210" w:rsidRPr="009537ED">
        <w:rPr>
          <w:szCs w:val="20"/>
        </w:rPr>
        <w:t xml:space="preserve"> </w:t>
      </w:r>
      <w:r w:rsidRPr="009537ED">
        <w:rPr>
          <w:szCs w:val="20"/>
        </w:rPr>
        <w:t>to</w:t>
      </w:r>
      <w:r w:rsidR="00233210" w:rsidRPr="009537ED">
        <w:rPr>
          <w:szCs w:val="20"/>
        </w:rPr>
        <w:t xml:space="preserve"> </w:t>
      </w:r>
      <w:r w:rsidRPr="009537ED">
        <w:rPr>
          <w:szCs w:val="20"/>
        </w:rPr>
        <w:t>this</w:t>
      </w:r>
      <w:r w:rsidR="00233210" w:rsidRPr="009537ED">
        <w:rPr>
          <w:szCs w:val="20"/>
        </w:rPr>
        <w:t xml:space="preserve"> </w:t>
      </w:r>
      <w:r w:rsidRPr="009537ED">
        <w:rPr>
          <w:szCs w:val="20"/>
        </w:rPr>
        <w:t>report</w:t>
      </w:r>
    </w:p>
    <w:p w14:paraId="3EF024D4" w14:textId="77777777" w:rsidR="007A5AC0" w:rsidRPr="009537ED" w:rsidRDefault="007A5AC0" w:rsidP="009643F7">
      <w:pPr>
        <w:rPr>
          <w:rFonts w:ascii="Times New Roman" w:eastAsia="SimSun" w:hAnsi="Times New Roman"/>
          <w:kern w:val="2"/>
          <w:szCs w:val="20"/>
        </w:rPr>
      </w:pPr>
    </w:p>
    <w:p w14:paraId="242BFCB6" w14:textId="23FD43AA" w:rsidR="008755AE" w:rsidRPr="009537ED" w:rsidRDefault="007A5AC0" w:rsidP="008755AE">
      <w:pPr>
        <w:pStyle w:val="Heading1"/>
        <w:numPr>
          <w:ilvl w:val="0"/>
          <w:numId w:val="0"/>
        </w:numPr>
        <w:spacing w:before="0" w:after="0"/>
        <w:rPr>
          <w:rFonts w:ascii="Times New Roman" w:eastAsia="MS Mincho" w:hAnsi="Times New Roman" w:cs="Times New Roman"/>
          <w:sz w:val="20"/>
          <w:szCs w:val="20"/>
          <w:lang w:eastAsia="ja-JP"/>
        </w:rPr>
      </w:pPr>
      <w:r w:rsidRPr="009537ED">
        <w:rPr>
          <w:rFonts w:ascii="Times New Roman" w:hAnsi="Times New Roman" w:cs="Times New Roman"/>
          <w:sz w:val="20"/>
          <w:szCs w:val="20"/>
        </w:rPr>
        <w:br w:type="page"/>
      </w:r>
      <w:bookmarkStart w:id="844" w:name="_Toc436387513"/>
      <w:bookmarkStart w:id="845" w:name="_Toc159251073"/>
      <w:r w:rsidR="008755AE" w:rsidRPr="009537ED">
        <w:rPr>
          <w:rFonts w:ascii="Times New Roman" w:hAnsi="Times New Roman" w:cs="Times New Roman"/>
          <w:sz w:val="20"/>
          <w:szCs w:val="20"/>
        </w:rPr>
        <w:lastRenderedPageBreak/>
        <w:t>Annex</w:t>
      </w:r>
      <w:r w:rsidR="00233210" w:rsidRPr="009537ED">
        <w:rPr>
          <w:rFonts w:ascii="Times New Roman" w:hAnsi="Times New Roman" w:cs="Times New Roman"/>
          <w:sz w:val="20"/>
          <w:szCs w:val="20"/>
        </w:rPr>
        <w:t xml:space="preserve"> </w:t>
      </w:r>
      <w:r w:rsidR="008755AE" w:rsidRPr="009537ED">
        <w:rPr>
          <w:rFonts w:ascii="Times New Roman" w:hAnsi="Times New Roman" w:cs="Times New Roman"/>
          <w:sz w:val="20"/>
          <w:szCs w:val="20"/>
        </w:rPr>
        <w:t>H:</w:t>
      </w:r>
      <w:r w:rsidR="008755AE" w:rsidRPr="009537ED">
        <w:rPr>
          <w:rFonts w:ascii="Times New Roman" w:hAnsi="Times New Roman" w:cs="Times New Roman"/>
          <w:sz w:val="20"/>
          <w:szCs w:val="20"/>
        </w:rPr>
        <w:tab/>
        <w:t>TSG</w:t>
      </w:r>
      <w:r w:rsidR="00233210" w:rsidRPr="009537ED">
        <w:rPr>
          <w:rFonts w:ascii="Times New Roman" w:hAnsi="Times New Roman" w:cs="Times New Roman"/>
          <w:sz w:val="20"/>
          <w:szCs w:val="20"/>
        </w:rPr>
        <w:t xml:space="preserve"> </w:t>
      </w:r>
      <w:r w:rsidR="008755AE" w:rsidRPr="009537ED">
        <w:rPr>
          <w:rFonts w:ascii="Times New Roman" w:hAnsi="Times New Roman" w:cs="Times New Roman"/>
          <w:sz w:val="20"/>
          <w:szCs w:val="20"/>
        </w:rPr>
        <w:t>RAN</w:t>
      </w:r>
      <w:r w:rsidR="00233210" w:rsidRPr="009537ED">
        <w:rPr>
          <w:rFonts w:ascii="Times New Roman" w:hAnsi="Times New Roman" w:cs="Times New Roman"/>
          <w:sz w:val="20"/>
          <w:szCs w:val="20"/>
        </w:rPr>
        <w:t xml:space="preserve"> </w:t>
      </w:r>
      <w:r w:rsidR="008755AE" w:rsidRPr="009537ED">
        <w:rPr>
          <w:rFonts w:ascii="Times New Roman" w:hAnsi="Times New Roman" w:cs="Times New Roman"/>
          <w:sz w:val="20"/>
          <w:szCs w:val="20"/>
        </w:rPr>
        <w:t>WG1</w:t>
      </w:r>
      <w:r w:rsidR="00233210" w:rsidRPr="009537ED">
        <w:rPr>
          <w:rFonts w:ascii="Times New Roman" w:hAnsi="Times New Roman" w:cs="Times New Roman"/>
          <w:sz w:val="20"/>
          <w:szCs w:val="20"/>
        </w:rPr>
        <w:t xml:space="preserve"> </w:t>
      </w:r>
      <w:r w:rsidR="008755AE" w:rsidRPr="009537ED">
        <w:rPr>
          <w:rFonts w:ascii="Times New Roman" w:hAnsi="Times New Roman" w:cs="Times New Roman"/>
          <w:sz w:val="20"/>
          <w:szCs w:val="20"/>
        </w:rPr>
        <w:t>meetings</w:t>
      </w:r>
      <w:r w:rsidR="00233210" w:rsidRPr="009537ED">
        <w:rPr>
          <w:rFonts w:ascii="Times New Roman" w:hAnsi="Times New Roman" w:cs="Times New Roman"/>
          <w:sz w:val="20"/>
          <w:szCs w:val="20"/>
        </w:rPr>
        <w:t xml:space="preserve"> </w:t>
      </w:r>
      <w:r w:rsidR="008755AE" w:rsidRPr="009537ED">
        <w:rPr>
          <w:rFonts w:ascii="Times New Roman" w:hAnsi="Times New Roman" w:cs="Times New Roman"/>
          <w:sz w:val="20"/>
          <w:szCs w:val="20"/>
        </w:rPr>
        <w:t>in</w:t>
      </w:r>
      <w:r w:rsidR="00233210" w:rsidRPr="009537ED">
        <w:rPr>
          <w:rFonts w:ascii="Times New Roman" w:hAnsi="Times New Roman" w:cs="Times New Roman"/>
          <w:sz w:val="20"/>
          <w:szCs w:val="20"/>
        </w:rPr>
        <w:t xml:space="preserve"> </w:t>
      </w:r>
      <w:r w:rsidR="008755AE" w:rsidRPr="009537ED">
        <w:rPr>
          <w:rFonts w:ascii="Times New Roman" w:eastAsia="MS Mincho" w:hAnsi="Times New Roman" w:cs="Times New Roman"/>
          <w:sz w:val="20"/>
          <w:szCs w:val="20"/>
          <w:lang w:eastAsia="ja-JP"/>
        </w:rPr>
        <w:t>20</w:t>
      </w:r>
      <w:r w:rsidR="00104FF5" w:rsidRPr="009537ED">
        <w:rPr>
          <w:rFonts w:ascii="Times New Roman" w:eastAsia="MS Mincho" w:hAnsi="Times New Roman" w:cs="Times New Roman"/>
          <w:sz w:val="20"/>
          <w:szCs w:val="20"/>
          <w:lang w:eastAsia="ja-JP"/>
        </w:rPr>
        <w:t>2</w:t>
      </w:r>
      <w:r w:rsidR="00B2372C" w:rsidRPr="009537ED">
        <w:rPr>
          <w:rFonts w:ascii="Times New Roman" w:eastAsia="MS Mincho" w:hAnsi="Times New Roman" w:cs="Times New Roman"/>
          <w:sz w:val="20"/>
          <w:szCs w:val="20"/>
          <w:lang w:eastAsia="ja-JP"/>
        </w:rPr>
        <w:t>4</w:t>
      </w:r>
      <w:r w:rsidR="00233210" w:rsidRPr="009537ED">
        <w:rPr>
          <w:rFonts w:ascii="Times New Roman" w:eastAsia="MS Mincho" w:hAnsi="Times New Roman" w:cs="Times New Roman"/>
          <w:sz w:val="20"/>
          <w:szCs w:val="20"/>
          <w:lang w:eastAsia="ja-JP"/>
        </w:rPr>
        <w:t xml:space="preserve"> </w:t>
      </w:r>
      <w:r w:rsidR="008755AE" w:rsidRPr="009537ED">
        <w:rPr>
          <w:rFonts w:ascii="Times New Roman" w:eastAsia="MS Mincho" w:hAnsi="Times New Roman" w:cs="Times New Roman"/>
          <w:sz w:val="20"/>
          <w:szCs w:val="20"/>
          <w:lang w:eastAsia="ja-JP"/>
        </w:rPr>
        <w:t>–</w:t>
      </w:r>
      <w:r w:rsidR="00233210" w:rsidRPr="009537ED">
        <w:rPr>
          <w:rFonts w:ascii="Times New Roman" w:eastAsia="MS Mincho" w:hAnsi="Times New Roman" w:cs="Times New Roman"/>
          <w:sz w:val="20"/>
          <w:szCs w:val="20"/>
          <w:lang w:eastAsia="ja-JP"/>
        </w:rPr>
        <w:t xml:space="preserve"> </w:t>
      </w:r>
      <w:r w:rsidR="008755AE" w:rsidRPr="009537ED">
        <w:rPr>
          <w:rFonts w:ascii="Times New Roman" w:eastAsia="MS Mincho" w:hAnsi="Times New Roman" w:cs="Times New Roman"/>
          <w:sz w:val="20"/>
          <w:szCs w:val="20"/>
          <w:lang w:eastAsia="ja-JP"/>
        </w:rPr>
        <w:t>20</w:t>
      </w:r>
      <w:bookmarkEnd w:id="844"/>
      <w:r w:rsidR="00136559" w:rsidRPr="009537ED">
        <w:rPr>
          <w:rFonts w:ascii="Times New Roman" w:eastAsia="MS Mincho" w:hAnsi="Times New Roman" w:cs="Times New Roman"/>
          <w:sz w:val="20"/>
          <w:szCs w:val="20"/>
          <w:lang w:eastAsia="ja-JP"/>
        </w:rPr>
        <w:t>2</w:t>
      </w:r>
      <w:r w:rsidR="00B2372C" w:rsidRPr="009537ED">
        <w:rPr>
          <w:rFonts w:ascii="Times New Roman" w:eastAsia="MS Mincho" w:hAnsi="Times New Roman" w:cs="Times New Roman"/>
          <w:sz w:val="20"/>
          <w:szCs w:val="20"/>
          <w:lang w:eastAsia="ja-JP"/>
        </w:rPr>
        <w:t>5</w:t>
      </w:r>
      <w:bookmarkEnd w:id="845"/>
    </w:p>
    <w:p w14:paraId="468AA5E3" w14:textId="77777777" w:rsidR="008755AE" w:rsidRPr="009537ED" w:rsidRDefault="008755AE" w:rsidP="008755AE">
      <w:pPr>
        <w:rPr>
          <w:szCs w:val="20"/>
          <w:lang w:eastAsia="ja-JP"/>
        </w:rPr>
      </w:pPr>
    </w:p>
    <w:tbl>
      <w:tblPr>
        <w:tblW w:w="106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3348"/>
        <w:gridCol w:w="1119"/>
        <w:gridCol w:w="3151"/>
        <w:gridCol w:w="1975"/>
        <w:gridCol w:w="1008"/>
      </w:tblGrid>
      <w:tr w:rsidR="00F40D66" w:rsidRPr="009537ED" w14:paraId="38078086" w14:textId="77777777" w:rsidTr="00765707">
        <w:trPr>
          <w:cantSplit/>
          <w:trHeight w:val="255"/>
          <w:jc w:val="center"/>
        </w:trPr>
        <w:tc>
          <w:tcPr>
            <w:tcW w:w="3348" w:type="dxa"/>
            <w:shd w:val="clear" w:color="auto" w:fill="FFFFCC"/>
            <w:noWrap/>
            <w:vAlign w:val="center"/>
          </w:tcPr>
          <w:p w14:paraId="1BE737CE" w14:textId="77777777" w:rsidR="00F40D66" w:rsidRPr="009537ED" w:rsidRDefault="00F40D66" w:rsidP="00765707">
            <w:pPr>
              <w:rPr>
                <w:rFonts w:ascii="Times New Roman" w:eastAsia="Arial Unicode MS" w:hAnsi="Times New Roman"/>
                <w:b/>
                <w:bCs/>
                <w:szCs w:val="20"/>
              </w:rPr>
            </w:pPr>
            <w:r w:rsidRPr="009537ED">
              <w:rPr>
                <w:rFonts w:ascii="Times New Roman" w:hAnsi="Times New Roman"/>
                <w:b/>
                <w:bCs/>
                <w:szCs w:val="20"/>
              </w:rPr>
              <w:t>TITLE</w:t>
            </w:r>
          </w:p>
        </w:tc>
        <w:tc>
          <w:tcPr>
            <w:tcW w:w="1119" w:type="dxa"/>
            <w:shd w:val="clear" w:color="auto" w:fill="FFFFCC"/>
            <w:noWrap/>
            <w:vAlign w:val="center"/>
          </w:tcPr>
          <w:p w14:paraId="10549FE6" w14:textId="77777777" w:rsidR="00F40D66" w:rsidRPr="009537ED" w:rsidRDefault="00F40D66" w:rsidP="00765707">
            <w:pPr>
              <w:rPr>
                <w:rFonts w:ascii="Times New Roman" w:eastAsia="Arial Unicode MS" w:hAnsi="Times New Roman"/>
                <w:b/>
                <w:bCs/>
                <w:szCs w:val="20"/>
              </w:rPr>
            </w:pPr>
            <w:r w:rsidRPr="009537ED">
              <w:rPr>
                <w:rFonts w:ascii="Times New Roman" w:hAnsi="Times New Roman"/>
                <w:b/>
                <w:bCs/>
                <w:szCs w:val="20"/>
              </w:rPr>
              <w:t>TYPE</w:t>
            </w:r>
          </w:p>
        </w:tc>
        <w:tc>
          <w:tcPr>
            <w:tcW w:w="3151" w:type="dxa"/>
            <w:shd w:val="clear" w:color="auto" w:fill="FFFFCC"/>
            <w:noWrap/>
            <w:vAlign w:val="center"/>
          </w:tcPr>
          <w:p w14:paraId="1986E7AA" w14:textId="77777777" w:rsidR="00F40D66" w:rsidRPr="009537ED" w:rsidRDefault="00F40D66" w:rsidP="00765707">
            <w:pPr>
              <w:rPr>
                <w:rFonts w:ascii="Times New Roman" w:eastAsia="Arial Unicode MS" w:hAnsi="Times New Roman"/>
                <w:b/>
                <w:bCs/>
                <w:szCs w:val="20"/>
              </w:rPr>
            </w:pPr>
            <w:r w:rsidRPr="009537ED">
              <w:rPr>
                <w:rFonts w:ascii="Times New Roman" w:hAnsi="Times New Roman"/>
                <w:b/>
                <w:bCs/>
                <w:szCs w:val="20"/>
              </w:rPr>
              <w:t>DATES</w:t>
            </w:r>
          </w:p>
        </w:tc>
        <w:tc>
          <w:tcPr>
            <w:tcW w:w="1975" w:type="dxa"/>
            <w:shd w:val="clear" w:color="auto" w:fill="FFFFCC"/>
            <w:noWrap/>
            <w:vAlign w:val="center"/>
          </w:tcPr>
          <w:p w14:paraId="67722592" w14:textId="77777777" w:rsidR="00F40D66" w:rsidRPr="009537ED" w:rsidRDefault="00F40D66" w:rsidP="00765707">
            <w:pPr>
              <w:rPr>
                <w:rFonts w:ascii="Times New Roman" w:eastAsia="Arial Unicode MS" w:hAnsi="Times New Roman"/>
                <w:b/>
                <w:bCs/>
                <w:szCs w:val="20"/>
              </w:rPr>
            </w:pPr>
            <w:r w:rsidRPr="009537ED">
              <w:rPr>
                <w:rFonts w:ascii="Times New Roman" w:hAnsi="Times New Roman"/>
                <w:b/>
                <w:bCs/>
                <w:szCs w:val="20"/>
              </w:rPr>
              <w:t>LOCATION</w:t>
            </w:r>
          </w:p>
        </w:tc>
        <w:tc>
          <w:tcPr>
            <w:tcW w:w="1008" w:type="dxa"/>
            <w:shd w:val="clear" w:color="auto" w:fill="FFFFCC"/>
            <w:noWrap/>
            <w:vAlign w:val="center"/>
          </w:tcPr>
          <w:p w14:paraId="21183073" w14:textId="77777777" w:rsidR="00F40D66" w:rsidRPr="009537ED" w:rsidRDefault="00F40D66" w:rsidP="00765707">
            <w:pPr>
              <w:rPr>
                <w:rFonts w:ascii="Times New Roman" w:eastAsia="Arial Unicode MS" w:hAnsi="Times New Roman"/>
                <w:b/>
                <w:bCs/>
                <w:szCs w:val="20"/>
              </w:rPr>
            </w:pPr>
            <w:r w:rsidRPr="009537ED">
              <w:rPr>
                <w:rFonts w:ascii="Times New Roman" w:hAnsi="Times New Roman"/>
                <w:b/>
                <w:bCs/>
                <w:szCs w:val="20"/>
              </w:rPr>
              <w:t>CTRY</w:t>
            </w:r>
          </w:p>
        </w:tc>
      </w:tr>
      <w:tr w:rsidR="008914DF" w:rsidRPr="009537ED" w14:paraId="6E8A0183" w14:textId="77777777" w:rsidTr="001E6AEA">
        <w:trPr>
          <w:cantSplit/>
          <w:trHeight w:val="20"/>
          <w:jc w:val="center"/>
        </w:trPr>
        <w:tc>
          <w:tcPr>
            <w:tcW w:w="3348" w:type="dxa"/>
            <w:noWrap/>
            <w:tcMar>
              <w:top w:w="57" w:type="dxa"/>
              <w:left w:w="57" w:type="dxa"/>
              <w:bottom w:w="57" w:type="dxa"/>
              <w:right w:w="57" w:type="dxa"/>
            </w:tcMar>
          </w:tcPr>
          <w:p w14:paraId="2EB8FDDF" w14:textId="51E72F5A" w:rsidR="008914DF" w:rsidRPr="009537ED" w:rsidRDefault="008914DF" w:rsidP="008914DF">
            <w:pPr>
              <w:rPr>
                <w:rFonts w:ascii="Times New Roman" w:hAnsi="Times New Roman"/>
                <w:szCs w:val="20"/>
                <w:u w:val="single"/>
              </w:rPr>
            </w:pPr>
            <w:r w:rsidRPr="009537ED">
              <w:rPr>
                <w:rFonts w:ascii="Times New Roman" w:hAnsi="Times New Roman"/>
                <w:szCs w:val="20"/>
                <w:u w:val="single"/>
              </w:rPr>
              <w:t>3GPPRAN1#116</w:t>
            </w:r>
          </w:p>
        </w:tc>
        <w:tc>
          <w:tcPr>
            <w:tcW w:w="1119" w:type="dxa"/>
            <w:noWrap/>
            <w:tcMar>
              <w:top w:w="57" w:type="dxa"/>
              <w:left w:w="57" w:type="dxa"/>
              <w:bottom w:w="57" w:type="dxa"/>
              <w:right w:w="57" w:type="dxa"/>
            </w:tcMar>
          </w:tcPr>
          <w:p w14:paraId="09F02683" w14:textId="7F8097FA" w:rsidR="008914DF" w:rsidRPr="009537ED" w:rsidRDefault="008914DF" w:rsidP="008914DF">
            <w:pPr>
              <w:rPr>
                <w:rFonts w:ascii="Times New Roman" w:hAnsi="Times New Roman"/>
                <w:szCs w:val="20"/>
                <w:u w:val="single"/>
              </w:rPr>
            </w:pPr>
            <w:r w:rsidRPr="009537ED">
              <w:rPr>
                <w:rFonts w:ascii="Times New Roman" w:hAnsi="Times New Roman"/>
                <w:szCs w:val="20"/>
                <w:u w:val="single"/>
              </w:rPr>
              <w:t>WG</w:t>
            </w:r>
          </w:p>
        </w:tc>
        <w:tc>
          <w:tcPr>
            <w:tcW w:w="3151" w:type="dxa"/>
            <w:noWrap/>
            <w:tcMar>
              <w:top w:w="57" w:type="dxa"/>
              <w:left w:w="57" w:type="dxa"/>
              <w:bottom w:w="57" w:type="dxa"/>
              <w:right w:w="57" w:type="dxa"/>
            </w:tcMar>
          </w:tcPr>
          <w:p w14:paraId="5D02228A" w14:textId="64B85CEC" w:rsidR="008914DF" w:rsidRPr="009537ED" w:rsidRDefault="008914DF" w:rsidP="008914DF">
            <w:r w:rsidRPr="009537ED">
              <w:t>26 Feb – 01 Mar 2024</w:t>
            </w:r>
          </w:p>
        </w:tc>
        <w:tc>
          <w:tcPr>
            <w:tcW w:w="1975" w:type="dxa"/>
            <w:noWrap/>
            <w:tcMar>
              <w:top w:w="57" w:type="dxa"/>
              <w:left w:w="57" w:type="dxa"/>
              <w:bottom w:w="57" w:type="dxa"/>
              <w:right w:w="57" w:type="dxa"/>
            </w:tcMar>
          </w:tcPr>
          <w:p w14:paraId="35F3F5C1" w14:textId="60270850" w:rsidR="008914DF" w:rsidRPr="009537ED" w:rsidRDefault="00283A2D" w:rsidP="008914DF">
            <w:pPr>
              <w:rPr>
                <w:rFonts w:ascii="Times New Roman" w:eastAsia="Arial Unicode MS" w:hAnsi="Times New Roman"/>
                <w:szCs w:val="20"/>
              </w:rPr>
            </w:pPr>
            <w:r w:rsidRPr="009537ED">
              <w:rPr>
                <w:rFonts w:ascii="Times New Roman" w:eastAsia="Arial Unicode MS" w:hAnsi="Times New Roman"/>
                <w:szCs w:val="20"/>
              </w:rPr>
              <w:t>Athens</w:t>
            </w:r>
          </w:p>
        </w:tc>
        <w:tc>
          <w:tcPr>
            <w:tcW w:w="1008" w:type="dxa"/>
            <w:noWrap/>
            <w:tcMar>
              <w:top w:w="57" w:type="dxa"/>
              <w:left w:w="57" w:type="dxa"/>
              <w:bottom w:w="57" w:type="dxa"/>
              <w:right w:w="57" w:type="dxa"/>
            </w:tcMar>
          </w:tcPr>
          <w:p w14:paraId="6B27BCFC" w14:textId="67452443" w:rsidR="008914DF" w:rsidRPr="009537ED" w:rsidRDefault="00283A2D" w:rsidP="008914DF">
            <w:r w:rsidRPr="009537ED">
              <w:t>Greece</w:t>
            </w:r>
          </w:p>
        </w:tc>
      </w:tr>
      <w:tr w:rsidR="008914DF" w:rsidRPr="009537ED" w14:paraId="2760093C" w14:textId="77777777" w:rsidTr="001E6AEA">
        <w:trPr>
          <w:cantSplit/>
          <w:trHeight w:val="20"/>
          <w:jc w:val="center"/>
        </w:trPr>
        <w:tc>
          <w:tcPr>
            <w:tcW w:w="3348" w:type="dxa"/>
            <w:noWrap/>
            <w:tcMar>
              <w:top w:w="57" w:type="dxa"/>
              <w:left w:w="57" w:type="dxa"/>
              <w:bottom w:w="57" w:type="dxa"/>
              <w:right w:w="57" w:type="dxa"/>
            </w:tcMar>
          </w:tcPr>
          <w:p w14:paraId="4C1157A0" w14:textId="05EE227A" w:rsidR="008914DF" w:rsidRPr="009537ED" w:rsidRDefault="008914DF" w:rsidP="008914DF">
            <w:pPr>
              <w:rPr>
                <w:rFonts w:ascii="Times New Roman" w:hAnsi="Times New Roman"/>
                <w:szCs w:val="20"/>
                <w:u w:val="single"/>
              </w:rPr>
            </w:pPr>
            <w:r w:rsidRPr="009537ED">
              <w:rPr>
                <w:rFonts w:ascii="Times New Roman" w:hAnsi="Times New Roman"/>
                <w:szCs w:val="20"/>
                <w:u w:val="single"/>
              </w:rPr>
              <w:t>3GPPRAN1#116bis</w:t>
            </w:r>
          </w:p>
        </w:tc>
        <w:tc>
          <w:tcPr>
            <w:tcW w:w="1119" w:type="dxa"/>
            <w:noWrap/>
            <w:tcMar>
              <w:top w:w="57" w:type="dxa"/>
              <w:left w:w="57" w:type="dxa"/>
              <w:bottom w:w="57" w:type="dxa"/>
              <w:right w:w="57" w:type="dxa"/>
            </w:tcMar>
          </w:tcPr>
          <w:p w14:paraId="505B819C" w14:textId="2E7BA222" w:rsidR="008914DF" w:rsidRPr="009537ED" w:rsidRDefault="008914DF" w:rsidP="008914DF">
            <w:pPr>
              <w:rPr>
                <w:rFonts w:ascii="Times New Roman" w:hAnsi="Times New Roman"/>
                <w:szCs w:val="20"/>
                <w:u w:val="single"/>
              </w:rPr>
            </w:pPr>
            <w:r w:rsidRPr="009537ED">
              <w:rPr>
                <w:rFonts w:ascii="Times New Roman" w:hAnsi="Times New Roman"/>
                <w:szCs w:val="20"/>
                <w:u w:val="single"/>
              </w:rPr>
              <w:t>WG</w:t>
            </w:r>
          </w:p>
        </w:tc>
        <w:tc>
          <w:tcPr>
            <w:tcW w:w="3151" w:type="dxa"/>
            <w:noWrap/>
            <w:tcMar>
              <w:top w:w="57" w:type="dxa"/>
              <w:left w:w="57" w:type="dxa"/>
              <w:bottom w:w="57" w:type="dxa"/>
              <w:right w:w="57" w:type="dxa"/>
            </w:tcMar>
          </w:tcPr>
          <w:p w14:paraId="61882F30" w14:textId="026F2C81" w:rsidR="008914DF" w:rsidRPr="009537ED" w:rsidRDefault="008914DF" w:rsidP="008914DF">
            <w:r w:rsidRPr="009537ED">
              <w:t>15 – 19 Apr 2024</w:t>
            </w:r>
          </w:p>
        </w:tc>
        <w:tc>
          <w:tcPr>
            <w:tcW w:w="1975" w:type="dxa"/>
            <w:noWrap/>
            <w:tcMar>
              <w:top w:w="57" w:type="dxa"/>
              <w:left w:w="57" w:type="dxa"/>
              <w:bottom w:w="57" w:type="dxa"/>
              <w:right w:w="57" w:type="dxa"/>
            </w:tcMar>
          </w:tcPr>
          <w:p w14:paraId="40872565" w14:textId="0044FF53" w:rsidR="008914DF" w:rsidRPr="009537ED" w:rsidRDefault="008914DF" w:rsidP="008914DF">
            <w:pPr>
              <w:rPr>
                <w:rFonts w:ascii="Times New Roman" w:eastAsia="Arial Unicode MS" w:hAnsi="Times New Roman"/>
                <w:szCs w:val="20"/>
              </w:rPr>
            </w:pPr>
            <w:r w:rsidRPr="009537ED">
              <w:rPr>
                <w:rFonts w:ascii="Times New Roman" w:eastAsia="Arial Unicode MS" w:hAnsi="Times New Roman"/>
                <w:szCs w:val="20"/>
              </w:rPr>
              <w:t>TBD</w:t>
            </w:r>
          </w:p>
        </w:tc>
        <w:tc>
          <w:tcPr>
            <w:tcW w:w="1008" w:type="dxa"/>
            <w:noWrap/>
            <w:tcMar>
              <w:top w:w="57" w:type="dxa"/>
              <w:left w:w="57" w:type="dxa"/>
              <w:bottom w:w="57" w:type="dxa"/>
              <w:right w:w="57" w:type="dxa"/>
            </w:tcMar>
          </w:tcPr>
          <w:p w14:paraId="1BB26F2E" w14:textId="5F29DBB1" w:rsidR="008914DF" w:rsidRPr="009537ED" w:rsidRDefault="008914DF" w:rsidP="008914DF">
            <w:r w:rsidRPr="009537ED">
              <w:t>China</w:t>
            </w:r>
          </w:p>
        </w:tc>
      </w:tr>
      <w:tr w:rsidR="008914DF" w:rsidRPr="009537ED" w14:paraId="2773D018" w14:textId="77777777" w:rsidTr="001E6AEA">
        <w:trPr>
          <w:cantSplit/>
          <w:trHeight w:val="20"/>
          <w:jc w:val="center"/>
        </w:trPr>
        <w:tc>
          <w:tcPr>
            <w:tcW w:w="3348" w:type="dxa"/>
            <w:noWrap/>
            <w:tcMar>
              <w:top w:w="57" w:type="dxa"/>
              <w:left w:w="57" w:type="dxa"/>
              <w:bottom w:w="57" w:type="dxa"/>
              <w:right w:w="57" w:type="dxa"/>
            </w:tcMar>
          </w:tcPr>
          <w:p w14:paraId="5D4033DE" w14:textId="6528949D" w:rsidR="008914DF" w:rsidRPr="009537ED" w:rsidRDefault="008914DF" w:rsidP="008914DF">
            <w:pPr>
              <w:rPr>
                <w:rFonts w:ascii="Times New Roman" w:hAnsi="Times New Roman"/>
                <w:szCs w:val="20"/>
                <w:u w:val="single"/>
              </w:rPr>
            </w:pPr>
            <w:r w:rsidRPr="009537ED">
              <w:rPr>
                <w:rFonts w:ascii="Times New Roman" w:hAnsi="Times New Roman"/>
                <w:szCs w:val="20"/>
                <w:u w:val="single"/>
              </w:rPr>
              <w:t>3GPPRAN1#117</w:t>
            </w:r>
          </w:p>
        </w:tc>
        <w:tc>
          <w:tcPr>
            <w:tcW w:w="1119" w:type="dxa"/>
            <w:noWrap/>
            <w:tcMar>
              <w:top w:w="57" w:type="dxa"/>
              <w:left w:w="57" w:type="dxa"/>
              <w:bottom w:w="57" w:type="dxa"/>
              <w:right w:w="57" w:type="dxa"/>
            </w:tcMar>
          </w:tcPr>
          <w:p w14:paraId="0312A7F7" w14:textId="3B15204D" w:rsidR="008914DF" w:rsidRPr="009537ED" w:rsidRDefault="008914DF" w:rsidP="008914DF">
            <w:pPr>
              <w:rPr>
                <w:rFonts w:ascii="Times New Roman" w:hAnsi="Times New Roman"/>
                <w:szCs w:val="20"/>
                <w:u w:val="single"/>
              </w:rPr>
            </w:pPr>
            <w:r w:rsidRPr="009537ED">
              <w:rPr>
                <w:rFonts w:ascii="Times New Roman" w:hAnsi="Times New Roman"/>
                <w:szCs w:val="20"/>
                <w:u w:val="single"/>
              </w:rPr>
              <w:t>WG</w:t>
            </w:r>
          </w:p>
        </w:tc>
        <w:tc>
          <w:tcPr>
            <w:tcW w:w="3151" w:type="dxa"/>
            <w:noWrap/>
            <w:tcMar>
              <w:top w:w="57" w:type="dxa"/>
              <w:left w:w="57" w:type="dxa"/>
              <w:bottom w:w="57" w:type="dxa"/>
              <w:right w:w="57" w:type="dxa"/>
            </w:tcMar>
          </w:tcPr>
          <w:p w14:paraId="7DC259D0" w14:textId="0DB32922" w:rsidR="008914DF" w:rsidRPr="009537ED" w:rsidRDefault="008914DF" w:rsidP="008914DF">
            <w:r w:rsidRPr="009537ED">
              <w:t>20 – 24 May 2024</w:t>
            </w:r>
          </w:p>
        </w:tc>
        <w:tc>
          <w:tcPr>
            <w:tcW w:w="1975" w:type="dxa"/>
            <w:noWrap/>
            <w:tcMar>
              <w:top w:w="57" w:type="dxa"/>
              <w:left w:w="57" w:type="dxa"/>
              <w:bottom w:w="57" w:type="dxa"/>
              <w:right w:w="57" w:type="dxa"/>
            </w:tcMar>
          </w:tcPr>
          <w:p w14:paraId="23FC6B6A" w14:textId="1D790C39" w:rsidR="008914DF" w:rsidRPr="009537ED" w:rsidRDefault="008914DF" w:rsidP="008914DF">
            <w:pPr>
              <w:rPr>
                <w:rFonts w:ascii="Times New Roman" w:eastAsia="Arial Unicode MS" w:hAnsi="Times New Roman"/>
                <w:szCs w:val="20"/>
              </w:rPr>
            </w:pPr>
            <w:r w:rsidRPr="009537ED">
              <w:rPr>
                <w:rFonts w:ascii="Times New Roman" w:eastAsia="Arial Unicode MS" w:hAnsi="Times New Roman"/>
                <w:szCs w:val="20"/>
              </w:rPr>
              <w:t>TBD</w:t>
            </w:r>
          </w:p>
        </w:tc>
        <w:tc>
          <w:tcPr>
            <w:tcW w:w="1008" w:type="dxa"/>
            <w:noWrap/>
            <w:tcMar>
              <w:top w:w="57" w:type="dxa"/>
              <w:left w:w="57" w:type="dxa"/>
              <w:bottom w:w="57" w:type="dxa"/>
              <w:right w:w="57" w:type="dxa"/>
            </w:tcMar>
          </w:tcPr>
          <w:p w14:paraId="25B18CD0" w14:textId="77322EDF" w:rsidR="008914DF" w:rsidRPr="009537ED" w:rsidRDefault="008914DF" w:rsidP="008914DF">
            <w:r w:rsidRPr="009537ED">
              <w:t>Japan</w:t>
            </w:r>
          </w:p>
        </w:tc>
      </w:tr>
      <w:tr w:rsidR="008914DF" w:rsidRPr="009537ED" w14:paraId="5A49326E" w14:textId="77777777" w:rsidTr="001E6AEA">
        <w:trPr>
          <w:cantSplit/>
          <w:trHeight w:val="20"/>
          <w:jc w:val="center"/>
        </w:trPr>
        <w:tc>
          <w:tcPr>
            <w:tcW w:w="3348" w:type="dxa"/>
            <w:noWrap/>
            <w:tcMar>
              <w:top w:w="57" w:type="dxa"/>
              <w:left w:w="57" w:type="dxa"/>
              <w:bottom w:w="57" w:type="dxa"/>
              <w:right w:w="57" w:type="dxa"/>
            </w:tcMar>
          </w:tcPr>
          <w:p w14:paraId="7365DD2A" w14:textId="2EFE71EF" w:rsidR="008914DF" w:rsidRPr="009537ED" w:rsidRDefault="008914DF" w:rsidP="008914DF">
            <w:pPr>
              <w:rPr>
                <w:rFonts w:ascii="Times New Roman" w:hAnsi="Times New Roman"/>
                <w:szCs w:val="20"/>
                <w:u w:val="single"/>
              </w:rPr>
            </w:pPr>
            <w:r w:rsidRPr="009537ED">
              <w:rPr>
                <w:rFonts w:ascii="Times New Roman" w:hAnsi="Times New Roman"/>
                <w:szCs w:val="20"/>
                <w:u w:val="single"/>
              </w:rPr>
              <w:t>3GPPRAN1#118</w:t>
            </w:r>
          </w:p>
        </w:tc>
        <w:tc>
          <w:tcPr>
            <w:tcW w:w="1119" w:type="dxa"/>
            <w:noWrap/>
            <w:tcMar>
              <w:top w:w="57" w:type="dxa"/>
              <w:left w:w="57" w:type="dxa"/>
              <w:bottom w:w="57" w:type="dxa"/>
              <w:right w:w="57" w:type="dxa"/>
            </w:tcMar>
          </w:tcPr>
          <w:p w14:paraId="25E290F1" w14:textId="6B1BB4D2" w:rsidR="008914DF" w:rsidRPr="009537ED" w:rsidRDefault="008914DF" w:rsidP="008914DF">
            <w:pPr>
              <w:rPr>
                <w:rFonts w:ascii="Times New Roman" w:hAnsi="Times New Roman"/>
                <w:szCs w:val="20"/>
                <w:u w:val="single"/>
              </w:rPr>
            </w:pPr>
            <w:r w:rsidRPr="009537ED">
              <w:rPr>
                <w:rFonts w:ascii="Times New Roman" w:hAnsi="Times New Roman"/>
                <w:szCs w:val="20"/>
                <w:u w:val="single"/>
              </w:rPr>
              <w:t>WG</w:t>
            </w:r>
          </w:p>
        </w:tc>
        <w:tc>
          <w:tcPr>
            <w:tcW w:w="3151" w:type="dxa"/>
            <w:noWrap/>
            <w:tcMar>
              <w:top w:w="57" w:type="dxa"/>
              <w:left w:w="57" w:type="dxa"/>
              <w:bottom w:w="57" w:type="dxa"/>
              <w:right w:w="57" w:type="dxa"/>
            </w:tcMar>
          </w:tcPr>
          <w:p w14:paraId="7FDF2A9D" w14:textId="49DD34AD" w:rsidR="008914DF" w:rsidRPr="009537ED" w:rsidRDefault="008914DF" w:rsidP="008914DF">
            <w:r w:rsidRPr="009537ED">
              <w:t>19 – 23 Aug 2024</w:t>
            </w:r>
          </w:p>
        </w:tc>
        <w:tc>
          <w:tcPr>
            <w:tcW w:w="1975" w:type="dxa"/>
            <w:noWrap/>
            <w:tcMar>
              <w:top w:w="57" w:type="dxa"/>
              <w:left w:w="57" w:type="dxa"/>
              <w:bottom w:w="57" w:type="dxa"/>
              <w:right w:w="57" w:type="dxa"/>
            </w:tcMar>
          </w:tcPr>
          <w:p w14:paraId="2F72CAAA" w14:textId="2A9CA5FE" w:rsidR="008914DF" w:rsidRPr="009537ED" w:rsidRDefault="008914DF" w:rsidP="008914DF">
            <w:pPr>
              <w:rPr>
                <w:rFonts w:ascii="Times New Roman" w:eastAsia="Arial Unicode MS" w:hAnsi="Times New Roman"/>
                <w:szCs w:val="20"/>
              </w:rPr>
            </w:pPr>
            <w:r w:rsidRPr="009537ED">
              <w:rPr>
                <w:rFonts w:ascii="Times New Roman" w:eastAsia="Arial Unicode MS" w:hAnsi="Times New Roman"/>
                <w:szCs w:val="20"/>
              </w:rPr>
              <w:t>TBD</w:t>
            </w:r>
          </w:p>
        </w:tc>
        <w:tc>
          <w:tcPr>
            <w:tcW w:w="1008" w:type="dxa"/>
            <w:noWrap/>
            <w:tcMar>
              <w:top w:w="57" w:type="dxa"/>
              <w:left w:w="57" w:type="dxa"/>
              <w:bottom w:w="57" w:type="dxa"/>
              <w:right w:w="57" w:type="dxa"/>
            </w:tcMar>
          </w:tcPr>
          <w:p w14:paraId="61D59886" w14:textId="3D586FE1" w:rsidR="008914DF" w:rsidRPr="009537ED" w:rsidRDefault="008914DF" w:rsidP="008914DF">
            <w:r w:rsidRPr="009537ED">
              <w:t>EU</w:t>
            </w:r>
          </w:p>
        </w:tc>
      </w:tr>
      <w:tr w:rsidR="008914DF" w:rsidRPr="009537ED" w14:paraId="58D0629A" w14:textId="77777777" w:rsidTr="001E6AEA">
        <w:trPr>
          <w:cantSplit/>
          <w:trHeight w:val="20"/>
          <w:jc w:val="center"/>
        </w:trPr>
        <w:tc>
          <w:tcPr>
            <w:tcW w:w="3348" w:type="dxa"/>
            <w:noWrap/>
            <w:tcMar>
              <w:top w:w="57" w:type="dxa"/>
              <w:left w:w="57" w:type="dxa"/>
              <w:bottom w:w="57" w:type="dxa"/>
              <w:right w:w="57" w:type="dxa"/>
            </w:tcMar>
          </w:tcPr>
          <w:p w14:paraId="12CD7353" w14:textId="7200787D" w:rsidR="008914DF" w:rsidRPr="009537ED" w:rsidRDefault="008914DF" w:rsidP="008914DF">
            <w:pPr>
              <w:rPr>
                <w:rFonts w:ascii="Times New Roman" w:hAnsi="Times New Roman"/>
                <w:szCs w:val="20"/>
                <w:u w:val="single"/>
              </w:rPr>
            </w:pPr>
            <w:r w:rsidRPr="009537ED">
              <w:rPr>
                <w:rFonts w:ascii="Times New Roman" w:hAnsi="Times New Roman"/>
                <w:szCs w:val="20"/>
                <w:u w:val="single"/>
              </w:rPr>
              <w:t>3GPPRAN1#118bis</w:t>
            </w:r>
          </w:p>
        </w:tc>
        <w:tc>
          <w:tcPr>
            <w:tcW w:w="1119" w:type="dxa"/>
            <w:noWrap/>
            <w:tcMar>
              <w:top w:w="57" w:type="dxa"/>
              <w:left w:w="57" w:type="dxa"/>
              <w:bottom w:w="57" w:type="dxa"/>
              <w:right w:w="57" w:type="dxa"/>
            </w:tcMar>
          </w:tcPr>
          <w:p w14:paraId="6ECDEC93" w14:textId="6D11DBA3" w:rsidR="008914DF" w:rsidRPr="009537ED" w:rsidRDefault="008914DF" w:rsidP="008914DF">
            <w:pPr>
              <w:rPr>
                <w:rFonts w:ascii="Times New Roman" w:hAnsi="Times New Roman"/>
                <w:szCs w:val="20"/>
                <w:u w:val="single"/>
              </w:rPr>
            </w:pPr>
            <w:r w:rsidRPr="009537ED">
              <w:rPr>
                <w:rFonts w:ascii="Times New Roman" w:hAnsi="Times New Roman"/>
                <w:szCs w:val="20"/>
                <w:u w:val="single"/>
              </w:rPr>
              <w:t>WG</w:t>
            </w:r>
          </w:p>
        </w:tc>
        <w:tc>
          <w:tcPr>
            <w:tcW w:w="3151" w:type="dxa"/>
            <w:noWrap/>
            <w:tcMar>
              <w:top w:w="57" w:type="dxa"/>
              <w:left w:w="57" w:type="dxa"/>
              <w:bottom w:w="57" w:type="dxa"/>
              <w:right w:w="57" w:type="dxa"/>
            </w:tcMar>
          </w:tcPr>
          <w:p w14:paraId="6CF9B0CC" w14:textId="5A6BEE44" w:rsidR="008914DF" w:rsidRPr="009537ED" w:rsidRDefault="008914DF" w:rsidP="008914DF">
            <w:r w:rsidRPr="009537ED">
              <w:t>14 – 18 Oct 2024</w:t>
            </w:r>
          </w:p>
        </w:tc>
        <w:tc>
          <w:tcPr>
            <w:tcW w:w="1975" w:type="dxa"/>
            <w:noWrap/>
            <w:tcMar>
              <w:top w:w="57" w:type="dxa"/>
              <w:left w:w="57" w:type="dxa"/>
              <w:bottom w:w="57" w:type="dxa"/>
              <w:right w:w="57" w:type="dxa"/>
            </w:tcMar>
          </w:tcPr>
          <w:p w14:paraId="42006371" w14:textId="7D133E97" w:rsidR="008914DF" w:rsidRPr="009537ED" w:rsidRDefault="008914DF" w:rsidP="008914DF">
            <w:pPr>
              <w:rPr>
                <w:rFonts w:ascii="Times New Roman" w:eastAsia="Arial Unicode MS" w:hAnsi="Times New Roman"/>
                <w:szCs w:val="20"/>
              </w:rPr>
            </w:pPr>
            <w:r w:rsidRPr="009537ED">
              <w:rPr>
                <w:rFonts w:ascii="Times New Roman" w:eastAsia="Arial Unicode MS" w:hAnsi="Times New Roman"/>
                <w:szCs w:val="20"/>
              </w:rPr>
              <w:t>TBD</w:t>
            </w:r>
          </w:p>
        </w:tc>
        <w:tc>
          <w:tcPr>
            <w:tcW w:w="1008" w:type="dxa"/>
            <w:noWrap/>
            <w:tcMar>
              <w:top w:w="57" w:type="dxa"/>
              <w:left w:w="57" w:type="dxa"/>
              <w:bottom w:w="57" w:type="dxa"/>
              <w:right w:w="57" w:type="dxa"/>
            </w:tcMar>
          </w:tcPr>
          <w:p w14:paraId="23F3BE18" w14:textId="1148FC9A" w:rsidR="008914DF" w:rsidRPr="009537ED" w:rsidRDefault="008914DF" w:rsidP="008914DF">
            <w:r w:rsidRPr="009537ED">
              <w:t>China</w:t>
            </w:r>
          </w:p>
        </w:tc>
      </w:tr>
      <w:tr w:rsidR="008914DF" w:rsidRPr="009537ED" w14:paraId="43E71347" w14:textId="77777777" w:rsidTr="001E6AEA">
        <w:trPr>
          <w:cantSplit/>
          <w:trHeight w:val="20"/>
          <w:jc w:val="center"/>
        </w:trPr>
        <w:tc>
          <w:tcPr>
            <w:tcW w:w="3348" w:type="dxa"/>
            <w:noWrap/>
            <w:tcMar>
              <w:top w:w="57" w:type="dxa"/>
              <w:left w:w="57" w:type="dxa"/>
              <w:bottom w:w="57" w:type="dxa"/>
              <w:right w:w="57" w:type="dxa"/>
            </w:tcMar>
          </w:tcPr>
          <w:p w14:paraId="136939E5" w14:textId="0B8C4094" w:rsidR="008914DF" w:rsidRPr="009537ED" w:rsidRDefault="008914DF" w:rsidP="008914DF">
            <w:pPr>
              <w:rPr>
                <w:rFonts w:ascii="Times New Roman" w:hAnsi="Times New Roman"/>
                <w:szCs w:val="20"/>
                <w:u w:val="single"/>
              </w:rPr>
            </w:pPr>
            <w:r w:rsidRPr="009537ED">
              <w:rPr>
                <w:rFonts w:ascii="Times New Roman" w:hAnsi="Times New Roman"/>
                <w:szCs w:val="20"/>
                <w:u w:val="single"/>
              </w:rPr>
              <w:t>3GPPRAN1#119</w:t>
            </w:r>
          </w:p>
        </w:tc>
        <w:tc>
          <w:tcPr>
            <w:tcW w:w="1119" w:type="dxa"/>
            <w:noWrap/>
            <w:tcMar>
              <w:top w:w="57" w:type="dxa"/>
              <w:left w:w="57" w:type="dxa"/>
              <w:bottom w:w="57" w:type="dxa"/>
              <w:right w:w="57" w:type="dxa"/>
            </w:tcMar>
          </w:tcPr>
          <w:p w14:paraId="46DECE33" w14:textId="3C49CA09" w:rsidR="008914DF" w:rsidRPr="009537ED" w:rsidRDefault="008914DF" w:rsidP="008914DF">
            <w:pPr>
              <w:rPr>
                <w:rFonts w:ascii="Times New Roman" w:hAnsi="Times New Roman"/>
                <w:szCs w:val="20"/>
                <w:u w:val="single"/>
              </w:rPr>
            </w:pPr>
            <w:r w:rsidRPr="009537ED">
              <w:rPr>
                <w:rFonts w:ascii="Times New Roman" w:hAnsi="Times New Roman"/>
                <w:szCs w:val="20"/>
                <w:u w:val="single"/>
              </w:rPr>
              <w:t>WG</w:t>
            </w:r>
          </w:p>
        </w:tc>
        <w:tc>
          <w:tcPr>
            <w:tcW w:w="3151" w:type="dxa"/>
            <w:noWrap/>
            <w:tcMar>
              <w:top w:w="57" w:type="dxa"/>
              <w:left w:w="57" w:type="dxa"/>
              <w:bottom w:w="57" w:type="dxa"/>
              <w:right w:w="57" w:type="dxa"/>
            </w:tcMar>
          </w:tcPr>
          <w:p w14:paraId="6C99435B" w14:textId="1CB950F1" w:rsidR="008914DF" w:rsidRPr="009537ED" w:rsidRDefault="008914DF" w:rsidP="008914DF">
            <w:r w:rsidRPr="009537ED">
              <w:t>18 – 22 Nov 2024</w:t>
            </w:r>
          </w:p>
        </w:tc>
        <w:tc>
          <w:tcPr>
            <w:tcW w:w="1975" w:type="dxa"/>
            <w:noWrap/>
            <w:tcMar>
              <w:top w:w="57" w:type="dxa"/>
              <w:left w:w="57" w:type="dxa"/>
              <w:bottom w:w="57" w:type="dxa"/>
              <w:right w:w="57" w:type="dxa"/>
            </w:tcMar>
          </w:tcPr>
          <w:p w14:paraId="4EB9E92D" w14:textId="40D90513" w:rsidR="008914DF" w:rsidRPr="009537ED" w:rsidRDefault="00283A2D" w:rsidP="008914DF">
            <w:pPr>
              <w:rPr>
                <w:rFonts w:ascii="Times New Roman" w:eastAsia="Arial Unicode MS" w:hAnsi="Times New Roman"/>
                <w:szCs w:val="20"/>
              </w:rPr>
            </w:pPr>
            <w:r w:rsidRPr="009537ED">
              <w:rPr>
                <w:rFonts w:ascii="Times New Roman" w:eastAsia="Arial Unicode MS" w:hAnsi="Times New Roman"/>
                <w:szCs w:val="20"/>
              </w:rPr>
              <w:t>Orlando</w:t>
            </w:r>
          </w:p>
        </w:tc>
        <w:tc>
          <w:tcPr>
            <w:tcW w:w="1008" w:type="dxa"/>
            <w:noWrap/>
            <w:tcMar>
              <w:top w:w="57" w:type="dxa"/>
              <w:left w:w="57" w:type="dxa"/>
              <w:bottom w:w="57" w:type="dxa"/>
              <w:right w:w="57" w:type="dxa"/>
            </w:tcMar>
          </w:tcPr>
          <w:p w14:paraId="4D334B93" w14:textId="4897172F" w:rsidR="008914DF" w:rsidRPr="009537ED" w:rsidRDefault="008914DF" w:rsidP="008914DF">
            <w:r w:rsidRPr="009537ED">
              <w:t>US</w:t>
            </w:r>
          </w:p>
        </w:tc>
      </w:tr>
      <w:tr w:rsidR="00F948EF" w:rsidRPr="009537ED" w14:paraId="0D8F1D04" w14:textId="77777777" w:rsidTr="001E6AEA">
        <w:trPr>
          <w:cantSplit/>
          <w:trHeight w:val="20"/>
          <w:jc w:val="center"/>
        </w:trPr>
        <w:tc>
          <w:tcPr>
            <w:tcW w:w="3348" w:type="dxa"/>
            <w:noWrap/>
            <w:tcMar>
              <w:top w:w="57" w:type="dxa"/>
              <w:left w:w="57" w:type="dxa"/>
              <w:bottom w:w="57" w:type="dxa"/>
              <w:right w:w="57" w:type="dxa"/>
            </w:tcMar>
          </w:tcPr>
          <w:p w14:paraId="03D272CF" w14:textId="176FE3B4" w:rsidR="00F948EF" w:rsidRPr="009537ED" w:rsidRDefault="00F948EF" w:rsidP="00F948EF">
            <w:pPr>
              <w:rPr>
                <w:rFonts w:ascii="Times New Roman" w:hAnsi="Times New Roman"/>
                <w:szCs w:val="20"/>
                <w:u w:val="single"/>
              </w:rPr>
            </w:pPr>
            <w:r w:rsidRPr="009537ED">
              <w:rPr>
                <w:rFonts w:ascii="Times New Roman" w:hAnsi="Times New Roman"/>
                <w:szCs w:val="20"/>
                <w:u w:val="single"/>
              </w:rPr>
              <w:t>3GPPRAN1#120</w:t>
            </w:r>
          </w:p>
        </w:tc>
        <w:tc>
          <w:tcPr>
            <w:tcW w:w="1119" w:type="dxa"/>
            <w:noWrap/>
            <w:tcMar>
              <w:top w:w="57" w:type="dxa"/>
              <w:left w:w="57" w:type="dxa"/>
              <w:bottom w:w="57" w:type="dxa"/>
              <w:right w:w="57" w:type="dxa"/>
            </w:tcMar>
          </w:tcPr>
          <w:p w14:paraId="3B8B2CA4" w14:textId="05124206" w:rsidR="00F948EF" w:rsidRPr="009537ED" w:rsidRDefault="00F948EF" w:rsidP="00F948EF">
            <w:pPr>
              <w:rPr>
                <w:rFonts w:ascii="Times New Roman" w:hAnsi="Times New Roman"/>
                <w:szCs w:val="20"/>
                <w:u w:val="single"/>
              </w:rPr>
            </w:pPr>
            <w:r w:rsidRPr="009537ED">
              <w:rPr>
                <w:rFonts w:ascii="Times New Roman" w:hAnsi="Times New Roman"/>
                <w:szCs w:val="20"/>
                <w:u w:val="single"/>
              </w:rPr>
              <w:t>WG</w:t>
            </w:r>
          </w:p>
        </w:tc>
        <w:tc>
          <w:tcPr>
            <w:tcW w:w="3151" w:type="dxa"/>
            <w:noWrap/>
            <w:tcMar>
              <w:top w:w="57" w:type="dxa"/>
              <w:left w:w="57" w:type="dxa"/>
              <w:bottom w:w="57" w:type="dxa"/>
              <w:right w:w="57" w:type="dxa"/>
            </w:tcMar>
          </w:tcPr>
          <w:p w14:paraId="653C6751" w14:textId="5F9061E6" w:rsidR="00F948EF" w:rsidRPr="009537ED" w:rsidRDefault="00F948EF" w:rsidP="00F948EF">
            <w:r w:rsidRPr="009537ED">
              <w:t>17 – 21 Feb 2025</w:t>
            </w:r>
          </w:p>
        </w:tc>
        <w:tc>
          <w:tcPr>
            <w:tcW w:w="1975" w:type="dxa"/>
            <w:noWrap/>
            <w:tcMar>
              <w:top w:w="57" w:type="dxa"/>
              <w:left w:w="57" w:type="dxa"/>
              <w:bottom w:w="57" w:type="dxa"/>
              <w:right w:w="57" w:type="dxa"/>
            </w:tcMar>
          </w:tcPr>
          <w:p w14:paraId="5954832A" w14:textId="4328D949" w:rsidR="00F948EF" w:rsidRPr="009537ED" w:rsidRDefault="00F948EF" w:rsidP="00F948EF">
            <w:pPr>
              <w:rPr>
                <w:rFonts w:ascii="Times New Roman" w:eastAsia="Arial Unicode MS" w:hAnsi="Times New Roman"/>
                <w:szCs w:val="20"/>
              </w:rPr>
            </w:pPr>
            <w:r w:rsidRPr="009537ED">
              <w:rPr>
                <w:rFonts w:ascii="Times New Roman" w:eastAsia="Arial Unicode MS" w:hAnsi="Times New Roman"/>
                <w:szCs w:val="20"/>
              </w:rPr>
              <w:t>TBD</w:t>
            </w:r>
          </w:p>
        </w:tc>
        <w:tc>
          <w:tcPr>
            <w:tcW w:w="1008" w:type="dxa"/>
            <w:noWrap/>
            <w:tcMar>
              <w:top w:w="57" w:type="dxa"/>
              <w:left w:w="57" w:type="dxa"/>
              <w:bottom w:w="57" w:type="dxa"/>
              <w:right w:w="57" w:type="dxa"/>
            </w:tcMar>
          </w:tcPr>
          <w:p w14:paraId="1A38BBF3" w14:textId="48A08BD1" w:rsidR="00F948EF" w:rsidRPr="009537ED" w:rsidRDefault="00F948EF" w:rsidP="00F948EF">
            <w:r w:rsidRPr="009537ED">
              <w:t>EU</w:t>
            </w:r>
          </w:p>
        </w:tc>
      </w:tr>
      <w:tr w:rsidR="00F948EF" w:rsidRPr="009537ED" w14:paraId="105E2D78" w14:textId="77777777" w:rsidTr="001E6AEA">
        <w:trPr>
          <w:cantSplit/>
          <w:trHeight w:val="20"/>
          <w:jc w:val="center"/>
        </w:trPr>
        <w:tc>
          <w:tcPr>
            <w:tcW w:w="3348" w:type="dxa"/>
            <w:noWrap/>
            <w:tcMar>
              <w:top w:w="57" w:type="dxa"/>
              <w:left w:w="57" w:type="dxa"/>
              <w:bottom w:w="57" w:type="dxa"/>
              <w:right w:w="57" w:type="dxa"/>
            </w:tcMar>
          </w:tcPr>
          <w:p w14:paraId="2CC54E26" w14:textId="5B12780F" w:rsidR="00F948EF" w:rsidRPr="009537ED" w:rsidRDefault="00F948EF" w:rsidP="00F948EF">
            <w:pPr>
              <w:rPr>
                <w:rFonts w:ascii="Times New Roman" w:hAnsi="Times New Roman"/>
                <w:szCs w:val="20"/>
                <w:u w:val="single"/>
              </w:rPr>
            </w:pPr>
            <w:r w:rsidRPr="009537ED">
              <w:rPr>
                <w:rFonts w:ascii="Times New Roman" w:hAnsi="Times New Roman"/>
                <w:szCs w:val="20"/>
                <w:u w:val="single"/>
              </w:rPr>
              <w:t>3GPPRAN1#120bis</w:t>
            </w:r>
          </w:p>
        </w:tc>
        <w:tc>
          <w:tcPr>
            <w:tcW w:w="1119" w:type="dxa"/>
            <w:noWrap/>
            <w:tcMar>
              <w:top w:w="57" w:type="dxa"/>
              <w:left w:w="57" w:type="dxa"/>
              <w:bottom w:w="57" w:type="dxa"/>
              <w:right w:w="57" w:type="dxa"/>
            </w:tcMar>
          </w:tcPr>
          <w:p w14:paraId="2853CE2A" w14:textId="4F1B76BF" w:rsidR="00F948EF" w:rsidRPr="009537ED" w:rsidRDefault="00F948EF" w:rsidP="00F948EF">
            <w:pPr>
              <w:rPr>
                <w:rFonts w:ascii="Times New Roman" w:hAnsi="Times New Roman"/>
                <w:szCs w:val="20"/>
                <w:u w:val="single"/>
              </w:rPr>
            </w:pPr>
            <w:r w:rsidRPr="009537ED">
              <w:rPr>
                <w:rFonts w:ascii="Times New Roman" w:hAnsi="Times New Roman"/>
                <w:szCs w:val="20"/>
                <w:u w:val="single"/>
              </w:rPr>
              <w:t>WG</w:t>
            </w:r>
          </w:p>
        </w:tc>
        <w:tc>
          <w:tcPr>
            <w:tcW w:w="3151" w:type="dxa"/>
            <w:noWrap/>
            <w:tcMar>
              <w:top w:w="57" w:type="dxa"/>
              <w:left w:w="57" w:type="dxa"/>
              <w:bottom w:w="57" w:type="dxa"/>
              <w:right w:w="57" w:type="dxa"/>
            </w:tcMar>
          </w:tcPr>
          <w:p w14:paraId="3218EA3D" w14:textId="7FB15834" w:rsidR="00F948EF" w:rsidRPr="009537ED" w:rsidRDefault="00F948EF" w:rsidP="00F948EF">
            <w:r w:rsidRPr="009537ED">
              <w:t>07 – 11 Apr 2025</w:t>
            </w:r>
          </w:p>
        </w:tc>
        <w:tc>
          <w:tcPr>
            <w:tcW w:w="1975" w:type="dxa"/>
            <w:noWrap/>
            <w:tcMar>
              <w:top w:w="57" w:type="dxa"/>
              <w:left w:w="57" w:type="dxa"/>
              <w:bottom w:w="57" w:type="dxa"/>
              <w:right w:w="57" w:type="dxa"/>
            </w:tcMar>
          </w:tcPr>
          <w:p w14:paraId="00DEFCDB" w14:textId="759C2B55" w:rsidR="00F948EF" w:rsidRPr="009537ED" w:rsidRDefault="00F948EF" w:rsidP="00F948EF">
            <w:pPr>
              <w:rPr>
                <w:rFonts w:ascii="Times New Roman" w:eastAsia="Arial Unicode MS" w:hAnsi="Times New Roman"/>
                <w:szCs w:val="20"/>
              </w:rPr>
            </w:pPr>
            <w:r w:rsidRPr="009537ED">
              <w:rPr>
                <w:rFonts w:ascii="Times New Roman" w:eastAsia="Arial Unicode MS" w:hAnsi="Times New Roman"/>
                <w:szCs w:val="20"/>
              </w:rPr>
              <w:t>TBD</w:t>
            </w:r>
          </w:p>
        </w:tc>
        <w:tc>
          <w:tcPr>
            <w:tcW w:w="1008" w:type="dxa"/>
            <w:noWrap/>
            <w:tcMar>
              <w:top w:w="57" w:type="dxa"/>
              <w:left w:w="57" w:type="dxa"/>
              <w:bottom w:w="57" w:type="dxa"/>
              <w:right w:w="57" w:type="dxa"/>
            </w:tcMar>
          </w:tcPr>
          <w:p w14:paraId="0597171B" w14:textId="4A1E948E" w:rsidR="00F948EF" w:rsidRPr="009537ED" w:rsidRDefault="00F948EF" w:rsidP="00F948EF">
            <w:r w:rsidRPr="009537ED">
              <w:t>EU</w:t>
            </w:r>
          </w:p>
        </w:tc>
      </w:tr>
      <w:tr w:rsidR="00F948EF" w:rsidRPr="009537ED" w14:paraId="55E95ACB" w14:textId="77777777" w:rsidTr="001E6AEA">
        <w:trPr>
          <w:cantSplit/>
          <w:trHeight w:val="20"/>
          <w:jc w:val="center"/>
        </w:trPr>
        <w:tc>
          <w:tcPr>
            <w:tcW w:w="3348" w:type="dxa"/>
            <w:noWrap/>
            <w:tcMar>
              <w:top w:w="57" w:type="dxa"/>
              <w:left w:w="57" w:type="dxa"/>
              <w:bottom w:w="57" w:type="dxa"/>
              <w:right w:w="57" w:type="dxa"/>
            </w:tcMar>
          </w:tcPr>
          <w:p w14:paraId="52C7CF67" w14:textId="1133E608" w:rsidR="00F948EF" w:rsidRPr="009537ED" w:rsidRDefault="00F948EF" w:rsidP="00F948EF">
            <w:pPr>
              <w:rPr>
                <w:rFonts w:ascii="Times New Roman" w:hAnsi="Times New Roman"/>
                <w:szCs w:val="20"/>
                <w:u w:val="single"/>
              </w:rPr>
            </w:pPr>
            <w:r w:rsidRPr="009537ED">
              <w:rPr>
                <w:rFonts w:ascii="Times New Roman" w:hAnsi="Times New Roman"/>
                <w:szCs w:val="20"/>
                <w:u w:val="single"/>
              </w:rPr>
              <w:t>3GPPRAN1#121</w:t>
            </w:r>
          </w:p>
        </w:tc>
        <w:tc>
          <w:tcPr>
            <w:tcW w:w="1119" w:type="dxa"/>
            <w:noWrap/>
            <w:tcMar>
              <w:top w:w="57" w:type="dxa"/>
              <w:left w:w="57" w:type="dxa"/>
              <w:bottom w:w="57" w:type="dxa"/>
              <w:right w:w="57" w:type="dxa"/>
            </w:tcMar>
          </w:tcPr>
          <w:p w14:paraId="566C7CB5" w14:textId="53049E6D" w:rsidR="00F948EF" w:rsidRPr="009537ED" w:rsidRDefault="00F948EF" w:rsidP="00F948EF">
            <w:pPr>
              <w:rPr>
                <w:rFonts w:ascii="Times New Roman" w:hAnsi="Times New Roman"/>
                <w:szCs w:val="20"/>
                <w:u w:val="single"/>
              </w:rPr>
            </w:pPr>
            <w:r w:rsidRPr="009537ED">
              <w:rPr>
                <w:rFonts w:ascii="Times New Roman" w:hAnsi="Times New Roman"/>
                <w:szCs w:val="20"/>
                <w:u w:val="single"/>
              </w:rPr>
              <w:t>WG</w:t>
            </w:r>
          </w:p>
        </w:tc>
        <w:tc>
          <w:tcPr>
            <w:tcW w:w="3151" w:type="dxa"/>
            <w:noWrap/>
            <w:tcMar>
              <w:top w:w="57" w:type="dxa"/>
              <w:left w:w="57" w:type="dxa"/>
              <w:bottom w:w="57" w:type="dxa"/>
              <w:right w:w="57" w:type="dxa"/>
            </w:tcMar>
          </w:tcPr>
          <w:p w14:paraId="1AF900E0" w14:textId="57F6D171" w:rsidR="00F948EF" w:rsidRPr="009537ED" w:rsidRDefault="00F948EF" w:rsidP="00F948EF">
            <w:r w:rsidRPr="009537ED">
              <w:t>19 – 23 May 2025</w:t>
            </w:r>
          </w:p>
        </w:tc>
        <w:tc>
          <w:tcPr>
            <w:tcW w:w="1975" w:type="dxa"/>
            <w:noWrap/>
            <w:tcMar>
              <w:top w:w="57" w:type="dxa"/>
              <w:left w:w="57" w:type="dxa"/>
              <w:bottom w:w="57" w:type="dxa"/>
              <w:right w:w="57" w:type="dxa"/>
            </w:tcMar>
          </w:tcPr>
          <w:p w14:paraId="5DA35209" w14:textId="14DCA9EE" w:rsidR="00F948EF" w:rsidRPr="009537ED" w:rsidRDefault="00F948EF" w:rsidP="00F948EF">
            <w:pPr>
              <w:rPr>
                <w:rFonts w:ascii="Times New Roman" w:eastAsia="Arial Unicode MS" w:hAnsi="Times New Roman"/>
                <w:szCs w:val="20"/>
              </w:rPr>
            </w:pPr>
            <w:r w:rsidRPr="009537ED">
              <w:rPr>
                <w:rFonts w:ascii="Times New Roman" w:eastAsia="Arial Unicode MS" w:hAnsi="Times New Roman"/>
                <w:szCs w:val="20"/>
              </w:rPr>
              <w:t>TBD</w:t>
            </w:r>
          </w:p>
        </w:tc>
        <w:tc>
          <w:tcPr>
            <w:tcW w:w="1008" w:type="dxa"/>
            <w:noWrap/>
            <w:tcMar>
              <w:top w:w="57" w:type="dxa"/>
              <w:left w:w="57" w:type="dxa"/>
              <w:bottom w:w="57" w:type="dxa"/>
              <w:right w:w="57" w:type="dxa"/>
            </w:tcMar>
          </w:tcPr>
          <w:p w14:paraId="5D8F1A1B" w14:textId="6CAAC61A" w:rsidR="00F948EF" w:rsidRPr="009537ED" w:rsidRDefault="00F948EF" w:rsidP="00F948EF">
            <w:r w:rsidRPr="009537ED">
              <w:t>China (tbc)</w:t>
            </w:r>
          </w:p>
        </w:tc>
      </w:tr>
      <w:tr w:rsidR="00F948EF" w:rsidRPr="009537ED" w14:paraId="6B1DF1D6" w14:textId="77777777" w:rsidTr="001E6AEA">
        <w:trPr>
          <w:cantSplit/>
          <w:trHeight w:val="20"/>
          <w:jc w:val="center"/>
        </w:trPr>
        <w:tc>
          <w:tcPr>
            <w:tcW w:w="3348" w:type="dxa"/>
            <w:noWrap/>
            <w:tcMar>
              <w:top w:w="57" w:type="dxa"/>
              <w:left w:w="57" w:type="dxa"/>
              <w:bottom w:w="57" w:type="dxa"/>
              <w:right w:w="57" w:type="dxa"/>
            </w:tcMar>
          </w:tcPr>
          <w:p w14:paraId="4792DF61" w14:textId="70FB6AB1" w:rsidR="00F948EF" w:rsidRPr="009537ED" w:rsidRDefault="00F948EF" w:rsidP="00F948EF">
            <w:pPr>
              <w:rPr>
                <w:rFonts w:ascii="Times New Roman" w:hAnsi="Times New Roman"/>
                <w:szCs w:val="20"/>
                <w:u w:val="single"/>
              </w:rPr>
            </w:pPr>
            <w:r w:rsidRPr="009537ED">
              <w:rPr>
                <w:rFonts w:ascii="Times New Roman" w:hAnsi="Times New Roman"/>
                <w:szCs w:val="20"/>
                <w:u w:val="single"/>
              </w:rPr>
              <w:t>3GPPRAN1#122</w:t>
            </w:r>
          </w:p>
        </w:tc>
        <w:tc>
          <w:tcPr>
            <w:tcW w:w="1119" w:type="dxa"/>
            <w:noWrap/>
            <w:tcMar>
              <w:top w:w="57" w:type="dxa"/>
              <w:left w:w="57" w:type="dxa"/>
              <w:bottom w:w="57" w:type="dxa"/>
              <w:right w:w="57" w:type="dxa"/>
            </w:tcMar>
          </w:tcPr>
          <w:p w14:paraId="6890622E" w14:textId="21B1D1BF" w:rsidR="00F948EF" w:rsidRPr="009537ED" w:rsidRDefault="00F948EF" w:rsidP="00F948EF">
            <w:pPr>
              <w:rPr>
                <w:rFonts w:ascii="Times New Roman" w:hAnsi="Times New Roman"/>
                <w:szCs w:val="20"/>
                <w:u w:val="single"/>
              </w:rPr>
            </w:pPr>
            <w:r w:rsidRPr="009537ED">
              <w:rPr>
                <w:rFonts w:ascii="Times New Roman" w:hAnsi="Times New Roman"/>
                <w:szCs w:val="20"/>
                <w:u w:val="single"/>
              </w:rPr>
              <w:t>WG</w:t>
            </w:r>
          </w:p>
        </w:tc>
        <w:tc>
          <w:tcPr>
            <w:tcW w:w="3151" w:type="dxa"/>
            <w:noWrap/>
            <w:tcMar>
              <w:top w:w="57" w:type="dxa"/>
              <w:left w:w="57" w:type="dxa"/>
              <w:bottom w:w="57" w:type="dxa"/>
              <w:right w:w="57" w:type="dxa"/>
            </w:tcMar>
          </w:tcPr>
          <w:p w14:paraId="061365AB" w14:textId="409EAA3F" w:rsidR="00F948EF" w:rsidRPr="009537ED" w:rsidRDefault="00F948EF" w:rsidP="00F948EF">
            <w:r w:rsidRPr="009537ED">
              <w:t>25 – 29 Aug 2025</w:t>
            </w:r>
          </w:p>
        </w:tc>
        <w:tc>
          <w:tcPr>
            <w:tcW w:w="1975" w:type="dxa"/>
            <w:noWrap/>
            <w:tcMar>
              <w:top w:w="57" w:type="dxa"/>
              <w:left w:w="57" w:type="dxa"/>
              <w:bottom w:w="57" w:type="dxa"/>
              <w:right w:w="57" w:type="dxa"/>
            </w:tcMar>
          </w:tcPr>
          <w:p w14:paraId="312FF444" w14:textId="1C35BB08" w:rsidR="00F948EF" w:rsidRPr="009537ED" w:rsidRDefault="00F948EF" w:rsidP="00F948EF">
            <w:pPr>
              <w:rPr>
                <w:rFonts w:ascii="Times New Roman" w:eastAsia="Arial Unicode MS" w:hAnsi="Times New Roman"/>
                <w:szCs w:val="20"/>
              </w:rPr>
            </w:pPr>
            <w:r w:rsidRPr="009537ED">
              <w:rPr>
                <w:rFonts w:ascii="Times New Roman" w:eastAsia="Arial Unicode MS" w:hAnsi="Times New Roman"/>
                <w:szCs w:val="20"/>
              </w:rPr>
              <w:t>TBD</w:t>
            </w:r>
          </w:p>
        </w:tc>
        <w:tc>
          <w:tcPr>
            <w:tcW w:w="1008" w:type="dxa"/>
            <w:noWrap/>
            <w:tcMar>
              <w:top w:w="57" w:type="dxa"/>
              <w:left w:w="57" w:type="dxa"/>
              <w:bottom w:w="57" w:type="dxa"/>
              <w:right w:w="57" w:type="dxa"/>
            </w:tcMar>
          </w:tcPr>
          <w:p w14:paraId="17BA8F73" w14:textId="52F0CC73" w:rsidR="00F948EF" w:rsidRPr="009537ED" w:rsidRDefault="00F948EF" w:rsidP="00F948EF">
            <w:r w:rsidRPr="009537ED">
              <w:t>India (tbc)</w:t>
            </w:r>
          </w:p>
        </w:tc>
      </w:tr>
      <w:tr w:rsidR="00F948EF" w:rsidRPr="009537ED" w14:paraId="577247A5" w14:textId="77777777" w:rsidTr="001E6AEA">
        <w:trPr>
          <w:cantSplit/>
          <w:trHeight w:val="20"/>
          <w:jc w:val="center"/>
        </w:trPr>
        <w:tc>
          <w:tcPr>
            <w:tcW w:w="3348" w:type="dxa"/>
            <w:noWrap/>
            <w:tcMar>
              <w:top w:w="57" w:type="dxa"/>
              <w:left w:w="57" w:type="dxa"/>
              <w:bottom w:w="57" w:type="dxa"/>
              <w:right w:w="57" w:type="dxa"/>
            </w:tcMar>
          </w:tcPr>
          <w:p w14:paraId="18F68CD1" w14:textId="51017164" w:rsidR="00F948EF" w:rsidRPr="009537ED" w:rsidRDefault="00F948EF" w:rsidP="00F948EF">
            <w:pPr>
              <w:rPr>
                <w:rFonts w:ascii="Times New Roman" w:hAnsi="Times New Roman"/>
                <w:szCs w:val="20"/>
                <w:u w:val="single"/>
              </w:rPr>
            </w:pPr>
            <w:r w:rsidRPr="009537ED">
              <w:rPr>
                <w:rFonts w:ascii="Times New Roman" w:hAnsi="Times New Roman"/>
                <w:szCs w:val="20"/>
                <w:u w:val="single"/>
              </w:rPr>
              <w:t>3GPPRAN1#122bis</w:t>
            </w:r>
          </w:p>
        </w:tc>
        <w:tc>
          <w:tcPr>
            <w:tcW w:w="1119" w:type="dxa"/>
            <w:noWrap/>
            <w:tcMar>
              <w:top w:w="57" w:type="dxa"/>
              <w:left w:w="57" w:type="dxa"/>
              <w:bottom w:w="57" w:type="dxa"/>
              <w:right w:w="57" w:type="dxa"/>
            </w:tcMar>
          </w:tcPr>
          <w:p w14:paraId="4584F136" w14:textId="7DED1512" w:rsidR="00F948EF" w:rsidRPr="009537ED" w:rsidRDefault="00F948EF" w:rsidP="00F948EF">
            <w:pPr>
              <w:rPr>
                <w:rFonts w:ascii="Times New Roman" w:hAnsi="Times New Roman"/>
                <w:szCs w:val="20"/>
                <w:u w:val="single"/>
              </w:rPr>
            </w:pPr>
            <w:r w:rsidRPr="009537ED">
              <w:rPr>
                <w:rFonts w:ascii="Times New Roman" w:hAnsi="Times New Roman"/>
                <w:szCs w:val="20"/>
                <w:u w:val="single"/>
              </w:rPr>
              <w:t>WG</w:t>
            </w:r>
          </w:p>
        </w:tc>
        <w:tc>
          <w:tcPr>
            <w:tcW w:w="3151" w:type="dxa"/>
            <w:noWrap/>
            <w:tcMar>
              <w:top w:w="57" w:type="dxa"/>
              <w:left w:w="57" w:type="dxa"/>
              <w:bottom w:w="57" w:type="dxa"/>
              <w:right w:w="57" w:type="dxa"/>
            </w:tcMar>
          </w:tcPr>
          <w:p w14:paraId="182682CE" w14:textId="51B73238" w:rsidR="00F948EF" w:rsidRPr="009537ED" w:rsidRDefault="00F948EF" w:rsidP="00F948EF">
            <w:r w:rsidRPr="009537ED">
              <w:t>13 – 17 Oct 2025</w:t>
            </w:r>
          </w:p>
        </w:tc>
        <w:tc>
          <w:tcPr>
            <w:tcW w:w="1975" w:type="dxa"/>
            <w:noWrap/>
            <w:tcMar>
              <w:top w:w="57" w:type="dxa"/>
              <w:left w:w="57" w:type="dxa"/>
              <w:bottom w:w="57" w:type="dxa"/>
              <w:right w:w="57" w:type="dxa"/>
            </w:tcMar>
          </w:tcPr>
          <w:p w14:paraId="1874D8AD" w14:textId="5986CA5F" w:rsidR="00F948EF" w:rsidRPr="009537ED" w:rsidRDefault="00F948EF" w:rsidP="00F948EF">
            <w:pPr>
              <w:rPr>
                <w:rFonts w:ascii="Times New Roman" w:eastAsia="Arial Unicode MS" w:hAnsi="Times New Roman"/>
                <w:szCs w:val="20"/>
              </w:rPr>
            </w:pPr>
            <w:r w:rsidRPr="009537ED">
              <w:rPr>
                <w:rFonts w:ascii="Times New Roman" w:eastAsia="Arial Unicode MS" w:hAnsi="Times New Roman"/>
                <w:szCs w:val="20"/>
              </w:rPr>
              <w:t>TBD</w:t>
            </w:r>
          </w:p>
        </w:tc>
        <w:tc>
          <w:tcPr>
            <w:tcW w:w="1008" w:type="dxa"/>
            <w:noWrap/>
            <w:tcMar>
              <w:top w:w="57" w:type="dxa"/>
              <w:left w:w="57" w:type="dxa"/>
              <w:bottom w:w="57" w:type="dxa"/>
              <w:right w:w="57" w:type="dxa"/>
            </w:tcMar>
          </w:tcPr>
          <w:p w14:paraId="55A93565" w14:textId="080A2327" w:rsidR="00F948EF" w:rsidRPr="009537ED" w:rsidRDefault="00F948EF" w:rsidP="00F948EF">
            <w:r w:rsidRPr="009537ED">
              <w:t>EU</w:t>
            </w:r>
          </w:p>
        </w:tc>
      </w:tr>
      <w:tr w:rsidR="00F948EF" w:rsidRPr="009537ED" w14:paraId="7A8A068D" w14:textId="77777777" w:rsidTr="001E6AEA">
        <w:trPr>
          <w:cantSplit/>
          <w:trHeight w:val="20"/>
          <w:jc w:val="center"/>
        </w:trPr>
        <w:tc>
          <w:tcPr>
            <w:tcW w:w="3348" w:type="dxa"/>
            <w:noWrap/>
            <w:tcMar>
              <w:top w:w="57" w:type="dxa"/>
              <w:left w:w="57" w:type="dxa"/>
              <w:bottom w:w="57" w:type="dxa"/>
              <w:right w:w="57" w:type="dxa"/>
            </w:tcMar>
          </w:tcPr>
          <w:p w14:paraId="14D71EF1" w14:textId="1B431483" w:rsidR="00F948EF" w:rsidRPr="009537ED" w:rsidRDefault="00F948EF" w:rsidP="00F948EF">
            <w:pPr>
              <w:rPr>
                <w:rFonts w:ascii="Times New Roman" w:hAnsi="Times New Roman"/>
                <w:szCs w:val="20"/>
                <w:u w:val="single"/>
              </w:rPr>
            </w:pPr>
            <w:r w:rsidRPr="009537ED">
              <w:rPr>
                <w:rFonts w:ascii="Times New Roman" w:hAnsi="Times New Roman"/>
                <w:szCs w:val="20"/>
                <w:u w:val="single"/>
              </w:rPr>
              <w:t>3GPPRAN1#123</w:t>
            </w:r>
          </w:p>
        </w:tc>
        <w:tc>
          <w:tcPr>
            <w:tcW w:w="1119" w:type="dxa"/>
            <w:noWrap/>
            <w:tcMar>
              <w:top w:w="57" w:type="dxa"/>
              <w:left w:w="57" w:type="dxa"/>
              <w:bottom w:w="57" w:type="dxa"/>
              <w:right w:w="57" w:type="dxa"/>
            </w:tcMar>
          </w:tcPr>
          <w:p w14:paraId="1BCABB86" w14:textId="2FE7E46E" w:rsidR="00F948EF" w:rsidRPr="009537ED" w:rsidRDefault="00F948EF" w:rsidP="00F948EF">
            <w:pPr>
              <w:rPr>
                <w:rFonts w:ascii="Times New Roman" w:hAnsi="Times New Roman"/>
                <w:szCs w:val="20"/>
                <w:u w:val="single"/>
              </w:rPr>
            </w:pPr>
            <w:r w:rsidRPr="009537ED">
              <w:rPr>
                <w:rFonts w:ascii="Times New Roman" w:hAnsi="Times New Roman"/>
                <w:szCs w:val="20"/>
                <w:u w:val="single"/>
              </w:rPr>
              <w:t>WG</w:t>
            </w:r>
          </w:p>
        </w:tc>
        <w:tc>
          <w:tcPr>
            <w:tcW w:w="3151" w:type="dxa"/>
            <w:noWrap/>
            <w:tcMar>
              <w:top w:w="57" w:type="dxa"/>
              <w:left w:w="57" w:type="dxa"/>
              <w:bottom w:w="57" w:type="dxa"/>
              <w:right w:w="57" w:type="dxa"/>
            </w:tcMar>
          </w:tcPr>
          <w:p w14:paraId="4B88D174" w14:textId="3FE30DE2" w:rsidR="00F948EF" w:rsidRPr="009537ED" w:rsidRDefault="00F948EF" w:rsidP="00F948EF">
            <w:r w:rsidRPr="009537ED">
              <w:t>17 – 21 Nov 2025</w:t>
            </w:r>
          </w:p>
        </w:tc>
        <w:tc>
          <w:tcPr>
            <w:tcW w:w="1975" w:type="dxa"/>
            <w:noWrap/>
            <w:tcMar>
              <w:top w:w="57" w:type="dxa"/>
              <w:left w:w="57" w:type="dxa"/>
              <w:bottom w:w="57" w:type="dxa"/>
              <w:right w:w="57" w:type="dxa"/>
            </w:tcMar>
          </w:tcPr>
          <w:p w14:paraId="5AD83DCF" w14:textId="09E8583D" w:rsidR="00F948EF" w:rsidRPr="009537ED" w:rsidRDefault="00F948EF" w:rsidP="00F948EF">
            <w:pPr>
              <w:rPr>
                <w:rFonts w:ascii="Times New Roman" w:eastAsia="Arial Unicode MS" w:hAnsi="Times New Roman"/>
                <w:szCs w:val="20"/>
              </w:rPr>
            </w:pPr>
            <w:r w:rsidRPr="009537ED">
              <w:rPr>
                <w:rFonts w:ascii="Times New Roman" w:eastAsia="Arial Unicode MS" w:hAnsi="Times New Roman"/>
                <w:szCs w:val="20"/>
              </w:rPr>
              <w:t>TBD</w:t>
            </w:r>
          </w:p>
        </w:tc>
        <w:tc>
          <w:tcPr>
            <w:tcW w:w="1008" w:type="dxa"/>
            <w:noWrap/>
            <w:tcMar>
              <w:top w:w="57" w:type="dxa"/>
              <w:left w:w="57" w:type="dxa"/>
              <w:bottom w:w="57" w:type="dxa"/>
              <w:right w:w="57" w:type="dxa"/>
            </w:tcMar>
          </w:tcPr>
          <w:p w14:paraId="34C812E7" w14:textId="0621AF91" w:rsidR="00F948EF" w:rsidRPr="009537ED" w:rsidRDefault="00F948EF" w:rsidP="00F948EF">
            <w:r w:rsidRPr="009537ED">
              <w:t>NA (tbc)</w:t>
            </w:r>
          </w:p>
        </w:tc>
      </w:tr>
    </w:tbl>
    <w:p w14:paraId="1E25283C" w14:textId="677C3C8E" w:rsidR="007A5AC0" w:rsidRPr="009537ED" w:rsidRDefault="007A5AC0" w:rsidP="008755AE"/>
    <w:tbl>
      <w:tblPr>
        <w:tblStyle w:val="TableGrid"/>
        <w:tblW w:w="0" w:type="auto"/>
        <w:jc w:val="center"/>
        <w:tblBorders>
          <w:insideH w:val="none" w:sz="0" w:space="0" w:color="auto"/>
          <w:insideV w:val="none" w:sz="0" w:space="0" w:color="auto"/>
        </w:tblBorders>
        <w:tblLook w:val="04A0" w:firstRow="1" w:lastRow="0" w:firstColumn="1" w:lastColumn="0" w:noHBand="0" w:noVBand="1"/>
      </w:tblPr>
      <w:tblGrid>
        <w:gridCol w:w="3397"/>
        <w:gridCol w:w="3402"/>
        <w:gridCol w:w="3544"/>
      </w:tblGrid>
      <w:tr w:rsidR="00037679" w:rsidRPr="009537ED" w14:paraId="615E8568" w14:textId="77777777" w:rsidTr="00037679">
        <w:trPr>
          <w:jc w:val="center"/>
        </w:trPr>
        <w:tc>
          <w:tcPr>
            <w:tcW w:w="10343" w:type="dxa"/>
            <w:gridSpan w:val="3"/>
          </w:tcPr>
          <w:p w14:paraId="68FD8830" w14:textId="6F1CA929" w:rsidR="00037679" w:rsidRPr="009537ED" w:rsidRDefault="00037679" w:rsidP="00037679">
            <w:r w:rsidRPr="009537ED">
              <w:rPr>
                <w:rFonts w:ascii="Times New Roman" w:hAnsi="Times New Roman"/>
                <w:szCs w:val="20"/>
                <w:u w:val="single"/>
              </w:rPr>
              <w:t>MEETING</w:t>
            </w:r>
            <w:r w:rsidR="00233210" w:rsidRPr="009537ED">
              <w:rPr>
                <w:rFonts w:ascii="Times New Roman" w:hAnsi="Times New Roman"/>
                <w:szCs w:val="20"/>
                <w:u w:val="single"/>
              </w:rPr>
              <w:t xml:space="preserve"> </w:t>
            </w:r>
            <w:r w:rsidRPr="009537ED">
              <w:rPr>
                <w:rFonts w:ascii="Times New Roman" w:hAnsi="Times New Roman"/>
                <w:szCs w:val="20"/>
                <w:u w:val="single"/>
              </w:rPr>
              <w:t>TYPES</w:t>
            </w:r>
          </w:p>
        </w:tc>
      </w:tr>
      <w:tr w:rsidR="00037679" w:rsidRPr="009537ED" w14:paraId="173DAAF7" w14:textId="77777777" w:rsidTr="00037679">
        <w:trPr>
          <w:jc w:val="center"/>
        </w:trPr>
        <w:tc>
          <w:tcPr>
            <w:tcW w:w="3397" w:type="dxa"/>
            <w:vAlign w:val="bottom"/>
          </w:tcPr>
          <w:p w14:paraId="0230DD2C" w14:textId="3351BA02" w:rsidR="00037679" w:rsidRPr="009537ED" w:rsidRDefault="00037679" w:rsidP="00037679">
            <w:r w:rsidRPr="009537ED">
              <w:rPr>
                <w:rFonts w:ascii="Times New Roman" w:hAnsi="Times New Roman"/>
                <w:szCs w:val="20"/>
              </w:rPr>
              <w:t>AH</w:t>
            </w:r>
            <w:r w:rsidR="00233210" w:rsidRPr="009537ED">
              <w:rPr>
                <w:rFonts w:ascii="Times New Roman" w:hAnsi="Times New Roman"/>
                <w:szCs w:val="20"/>
              </w:rPr>
              <w:t xml:space="preserve"> </w:t>
            </w:r>
            <w:r w:rsidRPr="009537ED">
              <w:rPr>
                <w:rFonts w:ascii="Times New Roman" w:hAnsi="Times New Roman"/>
                <w:szCs w:val="20"/>
              </w:rPr>
              <w:t>=</w:t>
            </w:r>
            <w:r w:rsidR="00233210" w:rsidRPr="009537ED">
              <w:rPr>
                <w:rFonts w:ascii="Times New Roman" w:hAnsi="Times New Roman"/>
                <w:szCs w:val="20"/>
              </w:rPr>
              <w:t xml:space="preserve"> </w:t>
            </w:r>
            <w:r w:rsidRPr="009537ED">
              <w:rPr>
                <w:rFonts w:ascii="Times New Roman" w:hAnsi="Times New Roman"/>
                <w:szCs w:val="20"/>
              </w:rPr>
              <w:t>Ad</w:t>
            </w:r>
            <w:r w:rsidR="00233210" w:rsidRPr="009537ED">
              <w:rPr>
                <w:rFonts w:ascii="Times New Roman" w:hAnsi="Times New Roman"/>
                <w:szCs w:val="20"/>
              </w:rPr>
              <w:t xml:space="preserve"> </w:t>
            </w:r>
            <w:r w:rsidRPr="009537ED">
              <w:rPr>
                <w:rFonts w:ascii="Times New Roman" w:hAnsi="Times New Roman"/>
                <w:szCs w:val="20"/>
              </w:rPr>
              <w:t>Hoc</w:t>
            </w:r>
          </w:p>
        </w:tc>
        <w:tc>
          <w:tcPr>
            <w:tcW w:w="3402" w:type="dxa"/>
            <w:vAlign w:val="bottom"/>
          </w:tcPr>
          <w:p w14:paraId="27A1942A" w14:textId="62F65B1A" w:rsidR="00037679" w:rsidRPr="009537ED" w:rsidRDefault="00037679" w:rsidP="00037679">
            <w:r w:rsidRPr="009537ED">
              <w:rPr>
                <w:rFonts w:ascii="Times New Roman" w:hAnsi="Times New Roman"/>
                <w:szCs w:val="20"/>
              </w:rPr>
              <w:t>ST</w:t>
            </w:r>
            <w:r w:rsidR="00233210" w:rsidRPr="009537ED">
              <w:rPr>
                <w:rFonts w:ascii="Times New Roman" w:hAnsi="Times New Roman"/>
                <w:szCs w:val="20"/>
              </w:rPr>
              <w:t xml:space="preserve"> </w:t>
            </w:r>
            <w:r w:rsidRPr="009537ED">
              <w:rPr>
                <w:rFonts w:ascii="Times New Roman" w:hAnsi="Times New Roman"/>
                <w:szCs w:val="20"/>
              </w:rPr>
              <w:t>=</w:t>
            </w:r>
            <w:r w:rsidR="00233210" w:rsidRPr="009537ED">
              <w:rPr>
                <w:rFonts w:ascii="Times New Roman" w:hAnsi="Times New Roman"/>
                <w:szCs w:val="20"/>
              </w:rPr>
              <w:t xml:space="preserve"> </w:t>
            </w:r>
            <w:r w:rsidRPr="009537ED">
              <w:rPr>
                <w:rFonts w:ascii="Times New Roman" w:hAnsi="Times New Roman"/>
                <w:szCs w:val="20"/>
              </w:rPr>
              <w:t>Startup</w:t>
            </w:r>
            <w:r w:rsidR="00233210" w:rsidRPr="009537ED">
              <w:rPr>
                <w:rFonts w:ascii="Times New Roman" w:hAnsi="Times New Roman"/>
                <w:szCs w:val="20"/>
              </w:rPr>
              <w:t xml:space="preserve"> </w:t>
            </w:r>
            <w:r w:rsidRPr="009537ED">
              <w:rPr>
                <w:rFonts w:ascii="Times New Roman" w:hAnsi="Times New Roman"/>
                <w:szCs w:val="20"/>
              </w:rPr>
              <w:t>Meeting</w:t>
            </w:r>
          </w:p>
        </w:tc>
        <w:tc>
          <w:tcPr>
            <w:tcW w:w="3544" w:type="dxa"/>
            <w:vAlign w:val="bottom"/>
          </w:tcPr>
          <w:p w14:paraId="7CBDC50E" w14:textId="51870A78" w:rsidR="00037679" w:rsidRPr="009537ED" w:rsidRDefault="00037679" w:rsidP="00037679">
            <w:r w:rsidRPr="009537ED">
              <w:rPr>
                <w:rFonts w:ascii="Times New Roman" w:hAnsi="Times New Roman"/>
                <w:szCs w:val="20"/>
              </w:rPr>
              <w:t>RG</w:t>
            </w:r>
            <w:r w:rsidR="00233210" w:rsidRPr="009537ED">
              <w:rPr>
                <w:rFonts w:ascii="Times New Roman" w:hAnsi="Times New Roman"/>
                <w:szCs w:val="20"/>
              </w:rPr>
              <w:t xml:space="preserve"> </w:t>
            </w:r>
            <w:r w:rsidRPr="009537ED">
              <w:rPr>
                <w:rFonts w:ascii="Times New Roman" w:hAnsi="Times New Roman"/>
                <w:szCs w:val="20"/>
              </w:rPr>
              <w:t>=</w:t>
            </w:r>
            <w:r w:rsidR="00233210" w:rsidRPr="009537ED">
              <w:rPr>
                <w:rFonts w:ascii="Times New Roman" w:hAnsi="Times New Roman"/>
                <w:szCs w:val="20"/>
              </w:rPr>
              <w:t xml:space="preserve"> </w:t>
            </w:r>
            <w:r w:rsidRPr="009537ED">
              <w:rPr>
                <w:rFonts w:ascii="Times New Roman" w:hAnsi="Times New Roman"/>
                <w:szCs w:val="20"/>
              </w:rPr>
              <w:t>Rapporteurs</w:t>
            </w:r>
            <w:r w:rsidR="00233210" w:rsidRPr="009537ED">
              <w:rPr>
                <w:rFonts w:ascii="Times New Roman" w:hAnsi="Times New Roman"/>
                <w:szCs w:val="20"/>
              </w:rPr>
              <w:t xml:space="preserve"> </w:t>
            </w:r>
            <w:r w:rsidRPr="009537ED">
              <w:rPr>
                <w:rFonts w:ascii="Times New Roman" w:hAnsi="Times New Roman"/>
                <w:szCs w:val="20"/>
              </w:rPr>
              <w:t>Group</w:t>
            </w:r>
          </w:p>
        </w:tc>
      </w:tr>
      <w:tr w:rsidR="00037679" w:rsidRPr="009537ED" w14:paraId="0317AD83" w14:textId="77777777" w:rsidTr="00037679">
        <w:trPr>
          <w:jc w:val="center"/>
        </w:trPr>
        <w:tc>
          <w:tcPr>
            <w:tcW w:w="3397" w:type="dxa"/>
            <w:vAlign w:val="bottom"/>
          </w:tcPr>
          <w:p w14:paraId="33D48964" w14:textId="67F58B3C" w:rsidR="00037679" w:rsidRPr="009537ED" w:rsidRDefault="00037679" w:rsidP="00037679">
            <w:r w:rsidRPr="009537ED">
              <w:rPr>
                <w:rFonts w:ascii="Times New Roman" w:hAnsi="Times New Roman"/>
                <w:szCs w:val="20"/>
              </w:rPr>
              <w:t>JM</w:t>
            </w:r>
            <w:r w:rsidR="00233210" w:rsidRPr="009537ED">
              <w:rPr>
                <w:rFonts w:ascii="Times New Roman" w:hAnsi="Times New Roman"/>
                <w:szCs w:val="20"/>
              </w:rPr>
              <w:t xml:space="preserve"> </w:t>
            </w:r>
            <w:r w:rsidRPr="009537ED">
              <w:rPr>
                <w:rFonts w:ascii="Times New Roman" w:hAnsi="Times New Roman"/>
                <w:szCs w:val="20"/>
              </w:rPr>
              <w:t>=</w:t>
            </w:r>
            <w:r w:rsidR="00233210" w:rsidRPr="009537ED">
              <w:rPr>
                <w:rFonts w:ascii="Times New Roman" w:hAnsi="Times New Roman"/>
                <w:szCs w:val="20"/>
              </w:rPr>
              <w:t xml:space="preserve"> </w:t>
            </w:r>
            <w:r w:rsidRPr="009537ED">
              <w:rPr>
                <w:rFonts w:ascii="Times New Roman" w:hAnsi="Times New Roman"/>
                <w:szCs w:val="20"/>
              </w:rPr>
              <w:t>Joint</w:t>
            </w:r>
          </w:p>
        </w:tc>
        <w:tc>
          <w:tcPr>
            <w:tcW w:w="3402" w:type="dxa"/>
            <w:vAlign w:val="bottom"/>
          </w:tcPr>
          <w:p w14:paraId="7BA79BFD" w14:textId="0FC256B3" w:rsidR="00037679" w:rsidRPr="009537ED" w:rsidRDefault="00037679" w:rsidP="00037679">
            <w:r w:rsidRPr="009537ED">
              <w:rPr>
                <w:rFonts w:ascii="Times New Roman" w:hAnsi="Times New Roman"/>
                <w:szCs w:val="20"/>
              </w:rPr>
              <w:t>WG</w:t>
            </w:r>
            <w:r w:rsidR="00233210" w:rsidRPr="009537ED">
              <w:rPr>
                <w:rFonts w:ascii="Times New Roman" w:hAnsi="Times New Roman"/>
                <w:szCs w:val="20"/>
              </w:rPr>
              <w:t xml:space="preserve"> </w:t>
            </w:r>
            <w:r w:rsidRPr="009537ED">
              <w:rPr>
                <w:rFonts w:ascii="Times New Roman" w:hAnsi="Times New Roman"/>
                <w:szCs w:val="20"/>
              </w:rPr>
              <w:t>=</w:t>
            </w:r>
            <w:r w:rsidR="00233210" w:rsidRPr="009537ED">
              <w:rPr>
                <w:rFonts w:ascii="Times New Roman" w:hAnsi="Times New Roman"/>
                <w:szCs w:val="20"/>
              </w:rPr>
              <w:t xml:space="preserve"> </w:t>
            </w:r>
            <w:r w:rsidRPr="009537ED">
              <w:rPr>
                <w:rFonts w:ascii="Times New Roman" w:hAnsi="Times New Roman"/>
                <w:szCs w:val="20"/>
              </w:rPr>
              <w:t>Working</w:t>
            </w:r>
            <w:r w:rsidR="00233210" w:rsidRPr="009537ED">
              <w:rPr>
                <w:rFonts w:ascii="Times New Roman" w:hAnsi="Times New Roman"/>
                <w:szCs w:val="20"/>
              </w:rPr>
              <w:t xml:space="preserve"> </w:t>
            </w:r>
            <w:r w:rsidRPr="009537ED">
              <w:rPr>
                <w:rFonts w:ascii="Times New Roman" w:hAnsi="Times New Roman"/>
                <w:szCs w:val="20"/>
              </w:rPr>
              <w:t>Group</w:t>
            </w:r>
          </w:p>
        </w:tc>
        <w:tc>
          <w:tcPr>
            <w:tcW w:w="3544" w:type="dxa"/>
            <w:vAlign w:val="bottom"/>
          </w:tcPr>
          <w:p w14:paraId="681830DE" w14:textId="1718D6CC" w:rsidR="00037679" w:rsidRPr="009537ED" w:rsidRDefault="00037679" w:rsidP="00037679">
            <w:r w:rsidRPr="009537ED">
              <w:rPr>
                <w:rFonts w:ascii="Times New Roman" w:hAnsi="Times New Roman"/>
                <w:szCs w:val="20"/>
              </w:rPr>
              <w:t>SG</w:t>
            </w:r>
            <w:r w:rsidR="00233210" w:rsidRPr="009537ED">
              <w:rPr>
                <w:rFonts w:ascii="Times New Roman" w:hAnsi="Times New Roman"/>
                <w:szCs w:val="20"/>
              </w:rPr>
              <w:t xml:space="preserve"> </w:t>
            </w:r>
            <w:r w:rsidRPr="009537ED">
              <w:rPr>
                <w:rFonts w:ascii="Times New Roman" w:hAnsi="Times New Roman"/>
                <w:szCs w:val="20"/>
              </w:rPr>
              <w:t>=</w:t>
            </w:r>
            <w:r w:rsidR="00233210" w:rsidRPr="009537ED">
              <w:rPr>
                <w:rFonts w:ascii="Times New Roman" w:hAnsi="Times New Roman"/>
                <w:szCs w:val="20"/>
              </w:rPr>
              <w:t xml:space="preserve"> </w:t>
            </w:r>
            <w:r w:rsidRPr="009537ED">
              <w:rPr>
                <w:rFonts w:ascii="Times New Roman" w:hAnsi="Times New Roman"/>
                <w:szCs w:val="20"/>
              </w:rPr>
              <w:t>Steering</w:t>
            </w:r>
            <w:r w:rsidR="00233210" w:rsidRPr="009537ED">
              <w:rPr>
                <w:rFonts w:ascii="Times New Roman" w:hAnsi="Times New Roman"/>
                <w:szCs w:val="20"/>
              </w:rPr>
              <w:t xml:space="preserve"> </w:t>
            </w:r>
            <w:r w:rsidRPr="009537ED">
              <w:rPr>
                <w:rFonts w:ascii="Times New Roman" w:hAnsi="Times New Roman"/>
                <w:szCs w:val="20"/>
              </w:rPr>
              <w:t>Group</w:t>
            </w:r>
          </w:p>
        </w:tc>
      </w:tr>
      <w:tr w:rsidR="00037679" w:rsidRPr="009537ED" w14:paraId="2292B0D0" w14:textId="77777777" w:rsidTr="00037679">
        <w:trPr>
          <w:jc w:val="center"/>
        </w:trPr>
        <w:tc>
          <w:tcPr>
            <w:tcW w:w="3397" w:type="dxa"/>
            <w:vAlign w:val="bottom"/>
          </w:tcPr>
          <w:p w14:paraId="3E682D8B" w14:textId="7ED0236B" w:rsidR="00037679" w:rsidRPr="009537ED" w:rsidRDefault="00037679" w:rsidP="00037679">
            <w:r w:rsidRPr="009537ED">
              <w:rPr>
                <w:rFonts w:ascii="Times New Roman" w:hAnsi="Times New Roman"/>
                <w:szCs w:val="20"/>
              </w:rPr>
              <w:t>PM</w:t>
            </w:r>
            <w:r w:rsidR="00233210" w:rsidRPr="009537ED">
              <w:rPr>
                <w:rFonts w:ascii="Times New Roman" w:hAnsi="Times New Roman"/>
                <w:szCs w:val="20"/>
              </w:rPr>
              <w:t xml:space="preserve"> </w:t>
            </w:r>
            <w:r w:rsidRPr="009537ED">
              <w:rPr>
                <w:rFonts w:ascii="Times New Roman" w:hAnsi="Times New Roman"/>
                <w:szCs w:val="20"/>
              </w:rPr>
              <w:t>=</w:t>
            </w:r>
            <w:r w:rsidR="00233210" w:rsidRPr="009537ED">
              <w:rPr>
                <w:rFonts w:ascii="Times New Roman" w:hAnsi="Times New Roman"/>
                <w:szCs w:val="20"/>
              </w:rPr>
              <w:t xml:space="preserve"> </w:t>
            </w:r>
            <w:r w:rsidRPr="009537ED">
              <w:rPr>
                <w:rFonts w:ascii="Times New Roman" w:hAnsi="Times New Roman"/>
                <w:szCs w:val="20"/>
              </w:rPr>
              <w:t>Preparatory</w:t>
            </w:r>
            <w:r w:rsidR="00233210" w:rsidRPr="009537ED">
              <w:rPr>
                <w:rFonts w:ascii="Times New Roman" w:hAnsi="Times New Roman"/>
                <w:szCs w:val="20"/>
              </w:rPr>
              <w:t xml:space="preserve"> </w:t>
            </w:r>
            <w:r w:rsidRPr="009537ED">
              <w:rPr>
                <w:rFonts w:ascii="Times New Roman" w:hAnsi="Times New Roman"/>
                <w:szCs w:val="20"/>
              </w:rPr>
              <w:t>Meeting</w:t>
            </w:r>
          </w:p>
        </w:tc>
        <w:tc>
          <w:tcPr>
            <w:tcW w:w="3402" w:type="dxa"/>
            <w:vAlign w:val="bottom"/>
          </w:tcPr>
          <w:p w14:paraId="3DA7F4C1" w14:textId="0C491524" w:rsidR="00037679" w:rsidRPr="009537ED" w:rsidRDefault="00037679" w:rsidP="00037679">
            <w:r w:rsidRPr="009537ED">
              <w:rPr>
                <w:rFonts w:ascii="Times New Roman" w:hAnsi="Times New Roman"/>
                <w:szCs w:val="20"/>
              </w:rPr>
              <w:t>CM</w:t>
            </w:r>
            <w:r w:rsidR="00233210" w:rsidRPr="009537ED">
              <w:rPr>
                <w:rFonts w:ascii="Times New Roman" w:hAnsi="Times New Roman"/>
                <w:szCs w:val="20"/>
              </w:rPr>
              <w:t xml:space="preserve"> </w:t>
            </w:r>
            <w:r w:rsidRPr="009537ED">
              <w:rPr>
                <w:rFonts w:ascii="Times New Roman" w:hAnsi="Times New Roman"/>
                <w:szCs w:val="20"/>
              </w:rPr>
              <w:t>=</w:t>
            </w:r>
            <w:r w:rsidR="00233210" w:rsidRPr="009537ED">
              <w:rPr>
                <w:rFonts w:ascii="Times New Roman" w:hAnsi="Times New Roman"/>
                <w:szCs w:val="20"/>
              </w:rPr>
              <w:t xml:space="preserve"> </w:t>
            </w:r>
            <w:r w:rsidRPr="009537ED">
              <w:rPr>
                <w:rFonts w:ascii="Times New Roman" w:hAnsi="Times New Roman"/>
                <w:szCs w:val="20"/>
              </w:rPr>
              <w:t>Chairmen's</w:t>
            </w:r>
            <w:r w:rsidR="00233210" w:rsidRPr="009537ED">
              <w:rPr>
                <w:rFonts w:ascii="Times New Roman" w:hAnsi="Times New Roman"/>
                <w:szCs w:val="20"/>
              </w:rPr>
              <w:t xml:space="preserve"> </w:t>
            </w:r>
            <w:r w:rsidRPr="009537ED">
              <w:rPr>
                <w:rFonts w:ascii="Times New Roman" w:hAnsi="Times New Roman"/>
                <w:szCs w:val="20"/>
              </w:rPr>
              <w:t>meeting</w:t>
            </w:r>
          </w:p>
        </w:tc>
        <w:tc>
          <w:tcPr>
            <w:tcW w:w="3544" w:type="dxa"/>
            <w:vAlign w:val="bottom"/>
          </w:tcPr>
          <w:p w14:paraId="6F6576FD" w14:textId="5E7F771B" w:rsidR="00037679" w:rsidRPr="009537ED" w:rsidRDefault="00037679" w:rsidP="00037679">
            <w:r w:rsidRPr="009537ED">
              <w:rPr>
                <w:rFonts w:ascii="Times New Roman" w:hAnsi="Times New Roman"/>
                <w:szCs w:val="20"/>
              </w:rPr>
              <w:t>TG</w:t>
            </w:r>
            <w:r w:rsidR="00233210" w:rsidRPr="009537ED">
              <w:rPr>
                <w:rFonts w:ascii="Times New Roman" w:hAnsi="Times New Roman"/>
                <w:szCs w:val="20"/>
              </w:rPr>
              <w:t xml:space="preserve"> </w:t>
            </w:r>
            <w:r w:rsidRPr="009537ED">
              <w:rPr>
                <w:rFonts w:ascii="Times New Roman" w:hAnsi="Times New Roman"/>
                <w:szCs w:val="20"/>
              </w:rPr>
              <w:t>=</w:t>
            </w:r>
            <w:r w:rsidR="00233210" w:rsidRPr="009537ED">
              <w:rPr>
                <w:rFonts w:ascii="Times New Roman" w:hAnsi="Times New Roman"/>
                <w:szCs w:val="20"/>
              </w:rPr>
              <w:t xml:space="preserve"> </w:t>
            </w:r>
            <w:r w:rsidRPr="009537ED">
              <w:rPr>
                <w:rFonts w:ascii="Times New Roman" w:hAnsi="Times New Roman"/>
                <w:szCs w:val="20"/>
              </w:rPr>
              <w:t>Task</w:t>
            </w:r>
            <w:r w:rsidR="00233210" w:rsidRPr="009537ED">
              <w:rPr>
                <w:rFonts w:ascii="Times New Roman" w:hAnsi="Times New Roman"/>
                <w:szCs w:val="20"/>
              </w:rPr>
              <w:t xml:space="preserve"> </w:t>
            </w:r>
            <w:r w:rsidRPr="009537ED">
              <w:rPr>
                <w:rFonts w:ascii="Times New Roman" w:hAnsi="Times New Roman"/>
                <w:szCs w:val="20"/>
              </w:rPr>
              <w:t>Group</w:t>
            </w:r>
          </w:p>
        </w:tc>
      </w:tr>
      <w:tr w:rsidR="00037679" w:rsidRPr="009537ED" w14:paraId="31EF974C" w14:textId="77777777" w:rsidTr="00037679">
        <w:trPr>
          <w:jc w:val="center"/>
        </w:trPr>
        <w:tc>
          <w:tcPr>
            <w:tcW w:w="3397" w:type="dxa"/>
            <w:vAlign w:val="bottom"/>
          </w:tcPr>
          <w:p w14:paraId="01A3F6BB" w14:textId="7A370158" w:rsidR="00037679" w:rsidRPr="009537ED" w:rsidRDefault="00037679" w:rsidP="00037679">
            <w:r w:rsidRPr="009537ED">
              <w:rPr>
                <w:rFonts w:ascii="Times New Roman" w:hAnsi="Times New Roman"/>
                <w:szCs w:val="20"/>
              </w:rPr>
              <w:t>RM</w:t>
            </w:r>
            <w:r w:rsidR="00233210" w:rsidRPr="009537ED">
              <w:rPr>
                <w:rFonts w:ascii="Times New Roman" w:hAnsi="Times New Roman"/>
                <w:szCs w:val="20"/>
              </w:rPr>
              <w:t xml:space="preserve"> </w:t>
            </w:r>
            <w:r w:rsidRPr="009537ED">
              <w:rPr>
                <w:rFonts w:ascii="Times New Roman" w:hAnsi="Times New Roman"/>
                <w:szCs w:val="20"/>
              </w:rPr>
              <w:t>=</w:t>
            </w:r>
            <w:r w:rsidR="00233210" w:rsidRPr="009537ED">
              <w:rPr>
                <w:rFonts w:ascii="Times New Roman" w:hAnsi="Times New Roman"/>
                <w:szCs w:val="20"/>
              </w:rPr>
              <w:t xml:space="preserve"> </w:t>
            </w:r>
            <w:r w:rsidRPr="009537ED">
              <w:rPr>
                <w:rFonts w:ascii="Times New Roman" w:hAnsi="Times New Roman"/>
                <w:szCs w:val="20"/>
              </w:rPr>
              <w:t>Resolution</w:t>
            </w:r>
            <w:r w:rsidR="00233210" w:rsidRPr="009537ED">
              <w:rPr>
                <w:rFonts w:ascii="Times New Roman" w:hAnsi="Times New Roman"/>
                <w:szCs w:val="20"/>
              </w:rPr>
              <w:t xml:space="preserve"> </w:t>
            </w:r>
            <w:r w:rsidRPr="009537ED">
              <w:rPr>
                <w:rFonts w:ascii="Times New Roman" w:hAnsi="Times New Roman"/>
                <w:szCs w:val="20"/>
              </w:rPr>
              <w:t>Meeting</w:t>
            </w:r>
          </w:p>
        </w:tc>
        <w:tc>
          <w:tcPr>
            <w:tcW w:w="3402" w:type="dxa"/>
            <w:vAlign w:val="bottom"/>
          </w:tcPr>
          <w:p w14:paraId="0A3D0AC0" w14:textId="4EB1F835" w:rsidR="00037679" w:rsidRPr="009537ED" w:rsidRDefault="00037679" w:rsidP="00037679">
            <w:r w:rsidRPr="009537ED">
              <w:rPr>
                <w:rFonts w:ascii="Times New Roman" w:hAnsi="Times New Roman"/>
                <w:szCs w:val="20"/>
              </w:rPr>
              <w:t>OR</w:t>
            </w:r>
            <w:r w:rsidR="00233210" w:rsidRPr="009537ED">
              <w:rPr>
                <w:rFonts w:ascii="Times New Roman" w:hAnsi="Times New Roman"/>
                <w:szCs w:val="20"/>
              </w:rPr>
              <w:t xml:space="preserve"> </w:t>
            </w:r>
            <w:r w:rsidRPr="009537ED">
              <w:rPr>
                <w:rFonts w:ascii="Times New Roman" w:hAnsi="Times New Roman"/>
                <w:szCs w:val="20"/>
              </w:rPr>
              <w:t>=</w:t>
            </w:r>
            <w:r w:rsidR="00233210" w:rsidRPr="009537ED">
              <w:rPr>
                <w:rFonts w:ascii="Times New Roman" w:hAnsi="Times New Roman"/>
                <w:szCs w:val="20"/>
              </w:rPr>
              <w:t xml:space="preserve"> </w:t>
            </w:r>
            <w:r w:rsidRPr="009537ED">
              <w:rPr>
                <w:rFonts w:ascii="Times New Roman" w:hAnsi="Times New Roman"/>
                <w:szCs w:val="20"/>
              </w:rPr>
              <w:t>Ordinary</w:t>
            </w:r>
          </w:p>
        </w:tc>
        <w:tc>
          <w:tcPr>
            <w:tcW w:w="3544" w:type="dxa"/>
            <w:vAlign w:val="bottom"/>
          </w:tcPr>
          <w:p w14:paraId="62D21EAC" w14:textId="72A222F0" w:rsidR="00037679" w:rsidRPr="009537ED" w:rsidRDefault="00037679" w:rsidP="00037679">
            <w:r w:rsidRPr="009537ED">
              <w:rPr>
                <w:rFonts w:ascii="Times New Roman" w:hAnsi="Times New Roman"/>
                <w:szCs w:val="20"/>
              </w:rPr>
              <w:t>XO</w:t>
            </w:r>
            <w:r w:rsidR="00233210" w:rsidRPr="009537ED">
              <w:rPr>
                <w:rFonts w:ascii="Times New Roman" w:hAnsi="Times New Roman"/>
                <w:szCs w:val="20"/>
              </w:rPr>
              <w:t xml:space="preserve"> </w:t>
            </w:r>
            <w:r w:rsidRPr="009537ED">
              <w:rPr>
                <w:rFonts w:ascii="Times New Roman" w:hAnsi="Times New Roman"/>
                <w:szCs w:val="20"/>
              </w:rPr>
              <w:t>=</w:t>
            </w:r>
            <w:r w:rsidR="00233210" w:rsidRPr="009537ED">
              <w:rPr>
                <w:rFonts w:ascii="Times New Roman" w:hAnsi="Times New Roman"/>
                <w:szCs w:val="20"/>
              </w:rPr>
              <w:t xml:space="preserve"> </w:t>
            </w:r>
            <w:r w:rsidRPr="009537ED">
              <w:rPr>
                <w:rFonts w:ascii="Times New Roman" w:hAnsi="Times New Roman"/>
                <w:szCs w:val="20"/>
              </w:rPr>
              <w:t>Extraordinary</w:t>
            </w:r>
          </w:p>
        </w:tc>
      </w:tr>
    </w:tbl>
    <w:p w14:paraId="4897B3D2" w14:textId="6DA4806A" w:rsidR="00037679" w:rsidRPr="009537ED" w:rsidRDefault="00037679" w:rsidP="00037679"/>
    <w:p w14:paraId="2DD011CD" w14:textId="77777777" w:rsidR="005B2A44" w:rsidRPr="009537ED" w:rsidRDefault="005B2A44" w:rsidP="00F53443"/>
    <w:p w14:paraId="5401C302" w14:textId="1BB94671" w:rsidR="007A5AC0" w:rsidRPr="009537ED" w:rsidRDefault="007A5AC0" w:rsidP="00F53443">
      <w:pPr>
        <w:rPr>
          <w:rFonts w:ascii="Times New Roman" w:hAnsi="Times New Roman"/>
          <w:i/>
          <w:szCs w:val="20"/>
        </w:rPr>
      </w:pPr>
      <w:r w:rsidRPr="009537ED">
        <w:rPr>
          <w:rFonts w:ascii="Times New Roman" w:hAnsi="Times New Roman"/>
          <w:i/>
          <w:szCs w:val="20"/>
        </w:rPr>
        <w:t>End</w:t>
      </w:r>
      <w:r w:rsidR="00233210" w:rsidRPr="009537ED">
        <w:rPr>
          <w:rFonts w:ascii="Times New Roman" w:hAnsi="Times New Roman"/>
          <w:i/>
          <w:szCs w:val="20"/>
        </w:rPr>
        <w:t xml:space="preserve"> </w:t>
      </w:r>
      <w:r w:rsidRPr="009537ED">
        <w:rPr>
          <w:rFonts w:ascii="Times New Roman" w:hAnsi="Times New Roman"/>
          <w:i/>
          <w:szCs w:val="20"/>
        </w:rPr>
        <w:t>of</w:t>
      </w:r>
      <w:r w:rsidR="00233210" w:rsidRPr="009537ED">
        <w:rPr>
          <w:rFonts w:ascii="Times New Roman" w:hAnsi="Times New Roman"/>
          <w:i/>
          <w:szCs w:val="20"/>
        </w:rPr>
        <w:t xml:space="preserve"> </w:t>
      </w:r>
      <w:r w:rsidRPr="009537ED">
        <w:rPr>
          <w:rFonts w:ascii="Times New Roman" w:hAnsi="Times New Roman"/>
          <w:i/>
          <w:szCs w:val="20"/>
        </w:rPr>
        <w:t>document</w:t>
      </w:r>
    </w:p>
    <w:sectPr w:rsidR="007A5AC0" w:rsidRPr="009537ED" w:rsidSect="00B72744">
      <w:headerReference w:type="default" r:id="rId3046"/>
      <w:pgSz w:w="16834" w:h="11909" w:orient="landscape" w:code="9"/>
      <w:pgMar w:top="1440" w:right="1440" w:bottom="1440" w:left="1440" w:header="720" w:footer="720" w:gutter="0"/>
      <w:cols w:space="720"/>
    </w:sectPr>
  </w:body>
</w:document>
</file>

<file path=word/customizations.xml><?xml version="1.0" encoding="utf-8"?>
<wne:tcg xmlns:r="http://schemas.openxmlformats.org/officeDocument/2006/relationships" xmlns:wne="http://schemas.microsoft.com/office/word/2006/wordml">
  <wne:keymaps>
    <wne:keymap wne:mask="1" wne:kcmPrimary="024C" wne:kcmSecondary="0063"/>
    <wne:keymap wne:kcmPrimary="06BA">
      <wne:macro wne:macroName="TEMPLATEPROJECT.MCCSTYLEBAR.ABBREVIATIONSOREXAMPLEWITHOUTTRAILINGSPACE"/>
    </wne:keymap>
  </wne:keymap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7244C0A" w14:textId="77777777" w:rsidR="00FF4138" w:rsidRDefault="00FF4138">
      <w:r>
        <w:separator/>
      </w:r>
    </w:p>
  </w:endnote>
  <w:endnote w:type="continuationSeparator" w:id="0">
    <w:p w14:paraId="102EE634" w14:textId="77777777" w:rsidR="00FF4138" w:rsidRDefault="00FF413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ZapfDingbats">
    <w:altName w:val="Cambria"/>
    <w:charset w:val="02"/>
    <w:family w:val="decorative"/>
    <w:pitch w:val="default"/>
    <w:sig w:usb0="00000000" w:usb1="0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OpenSymbol">
    <w:altName w:val="Arial Unicode MS"/>
    <w:panose1 w:val="00000000000000000000"/>
    <w:charset w:val="80"/>
    <w:family w:val="auto"/>
    <w:notTrueType/>
    <w:pitch w:val="default"/>
    <w:sig w:usb0="00000001" w:usb1="08070000" w:usb2="00000010" w:usb3="00000000" w:csb0="00020000" w:csb1="00000000"/>
  </w:font>
  <w:font w:name="Arial Narrow">
    <w:panose1 w:val="020B0606020202030204"/>
    <w:charset w:val="00"/>
    <w:family w:val="swiss"/>
    <w:pitch w:val="variable"/>
    <w:sig w:usb0="00000287" w:usb1="00000800" w:usb2="00000000" w:usb3="00000000" w:csb0="0000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Times New Roman Bold">
    <w:altName w:val="Times New Roman"/>
    <w:panose1 w:val="02020803070505020304"/>
    <w:charset w:val="00"/>
    <w:family w:val="roman"/>
    <w:pitch w:val="variable"/>
    <w:sig w:usb0="00003A87" w:usb1="00000000" w:usb2="00000000" w:usb3="00000000" w:csb0="000000FF" w:csb1="00000000"/>
  </w:font>
  <w:font w:name="Times">
    <w:altName w:val="Times New Roman"/>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SimHei">
    <w:altName w:val="黑体"/>
    <w:panose1 w:val="02010600030101010101"/>
    <w:charset w:val="86"/>
    <w:family w:val="modern"/>
    <w:pitch w:val="fixed"/>
    <w:sig w:usb0="800002BF" w:usb1="38CF7CFA"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LG스마트체 Light">
    <w:altName w:val="Malgun Gothic"/>
    <w:charset w:val="81"/>
    <w:family w:val="modern"/>
    <w:pitch w:val="default"/>
    <w:sig w:usb0="00000000" w:usb1="00000000" w:usb2="00000010" w:usb3="00000000" w:csb0="00280005"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Consolas">
    <w:panose1 w:val="020B0609020204030204"/>
    <w:charset w:val="00"/>
    <w:family w:val="modern"/>
    <w:pitch w:val="fixed"/>
    <w:sig w:usb0="E00006FF" w:usb1="0000FCFF" w:usb2="00000001" w:usb3="00000000" w:csb0="0000019F" w:csb1="00000000"/>
  </w:font>
  <w:font w:name="MS PGothic">
    <w:panose1 w:val="020B0600070205080204"/>
    <w:charset w:val="80"/>
    <w:family w:val="swiss"/>
    <w:pitch w:val="variable"/>
    <w:sig w:usb0="E00002FF" w:usb1="6AC7FDFB" w:usb2="08000012" w:usb3="00000000" w:csb0="0002009F" w:csb1="00000000"/>
  </w:font>
  <w:font w:name="?? ??">
    <w:altName w:val="Yu Gothic"/>
    <w:panose1 w:val="00000000000000000000"/>
    <w:charset w:val="80"/>
    <w:family w:val="roman"/>
    <w:notTrueType/>
    <w:pitch w:val="fixed"/>
    <w:sig w:usb0="00000000" w:usb1="08070000" w:usb2="00000010" w:usb3="00000000" w:csb0="00020000" w:csb1="00000000"/>
  </w:font>
  <w:font w:name="Calibri Light">
    <w:panose1 w:val="020F0302020204030204"/>
    <w:charset w:val="00"/>
    <w:family w:val="swiss"/>
    <w:pitch w:val="variable"/>
    <w:sig w:usb0="E4002EFF" w:usb1="C000247B" w:usb2="00000009" w:usb3="00000000" w:csb0="000001FF" w:csb1="00000000"/>
  </w:font>
  <w:font w:name="Helvetica">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MS LineDraw">
    <w:charset w:val="02"/>
    <w:family w:val="modern"/>
    <w:pitch w:val="fixed"/>
  </w:font>
  <w:font w:name="????">
    <w:altName w:val="Arial Unicode MS"/>
    <w:panose1 w:val="00000000000000000000"/>
    <w:charset w:val="88"/>
    <w:family w:val="auto"/>
    <w:notTrueType/>
    <w:pitch w:val="variable"/>
    <w:sig w:usb0="00000001" w:usb1="08080000" w:usb2="00000010" w:usb3="00000000" w:csb0="00100000" w:csb1="00000000"/>
  </w:font>
  <w:font w:name="Mincho">
    <w:altName w:val="明朝"/>
    <w:panose1 w:val="02020609040305080305"/>
    <w:charset w:val="80"/>
    <w:family w:val="roman"/>
    <w:notTrueType/>
    <w:pitch w:val="fixed"/>
    <w:sig w:usb0="00000001" w:usb1="08070000" w:usb2="00000010" w:usb3="00000000" w:csb0="00020000" w:csb1="00000000"/>
  </w:font>
  <w:font w:name="Century">
    <w:panose1 w:val="02040604050505020304"/>
    <w:charset w:val="00"/>
    <w:family w:val="roman"/>
    <w:pitch w:val="variable"/>
    <w:sig w:usb0="00000287" w:usb1="00000000" w:usb2="00000000" w:usb3="00000000" w:csb0="0000009F" w:csb1="00000000"/>
  </w:font>
  <w:font w:name="New York">
    <w:panose1 w:val="02040503060506020304"/>
    <w:charset w:val="00"/>
    <w:family w:val="roman"/>
    <w:notTrueType/>
    <w:pitch w:val="variable"/>
    <w:sig w:usb0="00000003" w:usb1="00000000" w:usb2="00000000" w:usb3="00000000" w:csb0="00000001" w:csb1="00000000"/>
  </w:font>
  <w:font w:name="PMingLiU">
    <w:altName w:val="新細明體"/>
    <w:panose1 w:val="02010601000101010101"/>
    <w:charset w:val="88"/>
    <w:family w:val="roman"/>
    <w:pitch w:val="variable"/>
    <w:sig w:usb0="A00002FF" w:usb1="28CFFCFA" w:usb2="00000016" w:usb3="00000000" w:csb0="00100001" w:csb1="00000000"/>
  </w:font>
  <w:font w:name="KaiTi_GB2312">
    <w:altName w:val="微软雅黑"/>
    <w:charset w:val="86"/>
    <w:family w:val="modern"/>
    <w:pitch w:val="fixed"/>
    <w:sig w:usb0="800002BF" w:usb1="38CF7CFA" w:usb2="00000016" w:usb3="00000000" w:csb0="00040001" w:csb1="00000000"/>
  </w:font>
  <w:font w:name="KaiTi">
    <w:charset w:val="86"/>
    <w:family w:val="modern"/>
    <w:pitch w:val="fixed"/>
    <w:sig w:usb0="800002BF" w:usb1="38CF7CFA" w:usb2="00000016" w:usb3="00000000" w:csb0="00040001" w:csb1="00000000"/>
  </w:font>
  <w:font w:name="Verdana">
    <w:panose1 w:val="020B0604030504040204"/>
    <w:charset w:val="00"/>
    <w:family w:val="swiss"/>
    <w:pitch w:val="variable"/>
    <w:sig w:usb0="A00006FF" w:usb1="4000205B" w:usb2="00000010" w:usb3="00000000" w:csb0="0000019F" w:csb1="00000000"/>
  </w:font>
  <w:font w:name="TimesNewRomanPSMT">
    <w:altName w:val="Times New Roman"/>
    <w:charset w:val="00"/>
    <w:family w:val="roman"/>
    <w:pitch w:val="default"/>
  </w:font>
  <w:font w:name="TimesNewRomanPS-ItalicMT">
    <w:altName w:val="Times New Roman"/>
    <w:charset w:val="00"/>
    <w:family w:val="roman"/>
    <w:pitch w:val="default"/>
  </w:font>
  <w:font w:name="Gulim">
    <w:altName w:val="굴림"/>
    <w:panose1 w:val="020B0600000101010101"/>
    <w:charset w:val="81"/>
    <w:family w:val="swiss"/>
    <w:pitch w:val="variable"/>
    <w:sig w:usb0="B00002AF" w:usb1="69D77CFB" w:usb2="00000030" w:usb3="00000000" w:csb0="0008009F" w:csb1="00000000"/>
  </w:font>
  <w:font w:name="Book Antiqua">
    <w:panose1 w:val="02040602050305030304"/>
    <w:charset w:val="00"/>
    <w:family w:val="roman"/>
    <w:pitch w:val="variable"/>
    <w:sig w:usb0="00000287" w:usb1="00000000" w:usb2="00000000" w:usb3="00000000" w:csb0="0000009F" w:csb1="00000000"/>
  </w:font>
  <w:font w:name="Lohit Devanagari">
    <w:altName w:val="Cambria"/>
    <w:charset w:val="00"/>
    <w:family w:val="roman"/>
    <w:pitch w:val="default"/>
  </w:font>
  <w:font w:name="Yu Mincho">
    <w:altName w:val="MS Gothic"/>
    <w:charset w:val="80"/>
    <w:family w:val="roman"/>
    <w:pitch w:val="variable"/>
    <w:sig w:usb0="800002E7" w:usb1="2AC7FCFF" w:usb2="00000012" w:usb3="00000000" w:csb0="0002009F" w:csb1="00000000"/>
  </w:font>
  <w:font w:name="Latha">
    <w:panose1 w:val="02000400000000000000"/>
    <w:charset w:val="00"/>
    <w:family w:val="swiss"/>
    <w:pitch w:val="variable"/>
    <w:sig w:usb0="00100003" w:usb1="00000000" w:usb2="00000000" w:usb3="00000000" w:csb0="00000001" w:csb1="00000000"/>
  </w:font>
  <w:font w:name="Swift">
    <w:altName w:val="Times New Roman"/>
    <w:charset w:val="00"/>
    <w:family w:val="roman"/>
    <w:pitch w:val="default"/>
    <w:sig w:usb0="00000000" w:usb1="00000000" w:usb2="00000000" w:usb3="00000000" w:csb0="00000001" w:csb1="00000000"/>
  </w:font>
  <w:font w:name="Nirmala UI">
    <w:panose1 w:val="020B0502040204020203"/>
    <w:charset w:val="00"/>
    <w:family w:val="swiss"/>
    <w:pitch w:val="variable"/>
    <w:sig w:usb0="80FF8023" w:usb1="0200004A" w:usb2="00000200" w:usb3="00000000" w:csb0="00000001" w:csb1="00000000"/>
  </w:font>
  <w:font w:name="t">
    <w:altName w:val="Times New Roman"/>
    <w:charset w:val="00"/>
    <w:family w:val="auto"/>
    <w:pitch w:val="default"/>
  </w:font>
  <w:font w:name="Microsoft YaHei">
    <w:panose1 w:val="020B0503020204020204"/>
    <w:charset w:val="86"/>
    <w:family w:val="swiss"/>
    <w:pitch w:val="variable"/>
    <w:sig w:usb0="80000287" w:usb1="2ACF3C50" w:usb2="00000016" w:usb3="00000000" w:csb0="0004001F" w:csb1="00000000"/>
  </w:font>
  <w:font w:name="Segoe UI">
    <w:panose1 w:val="020B0502040204020203"/>
    <w:charset w:val="00"/>
    <w:family w:val="swiss"/>
    <w:pitch w:val="variable"/>
    <w:sig w:usb0="E4002EFF" w:usb1="C000E47F"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mn-ea">
    <w:charset w:val="00"/>
    <w:family w:val="roman"/>
    <w:pitch w:val="default"/>
  </w:font>
  <w:font w:name="Microsoft JhengHei">
    <w:panose1 w:val="020B0604030504040204"/>
    <w:charset w:val="88"/>
    <w:family w:val="swiss"/>
    <w:pitch w:val="variable"/>
    <w:sig w:usb0="000002A7" w:usb1="28CF4400" w:usb2="00000016" w:usb3="00000000" w:csb0="00100009" w:csb1="00000000"/>
  </w:font>
  <w:font w:name="Yu Gothic">
    <w:altName w:val="游ゴシック"/>
    <w:panose1 w:val="020B0400000000000000"/>
    <w:charset w:val="80"/>
    <w:family w:val="swiss"/>
    <w:pitch w:val="variable"/>
    <w:sig w:usb0="E00002FF" w:usb1="2AC7FDFF" w:usb2="00000016" w:usb3="00000000" w:csb0="0002009F" w:csb1="00000000"/>
  </w:font>
  <w:font w:name="Arial Unicode MS">
    <w:panose1 w:val="020B0604020202020204"/>
    <w:charset w:val="86"/>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2D1109F" w14:textId="7D914003" w:rsidR="008C11A4" w:rsidRPr="000B6FA8" w:rsidRDefault="008C11A4" w:rsidP="007A5AC0">
    <w:pPr>
      <w:pStyle w:val="Footer"/>
      <w:framePr w:wrap="around" w:vAnchor="text" w:hAnchor="margin" w:xAlign="center" w:y="1"/>
      <w:rPr>
        <w:rStyle w:val="PageNumber"/>
      </w:rPr>
    </w:pPr>
    <w:r w:rsidRPr="000B6FA8">
      <w:rPr>
        <w:rStyle w:val="PageNumber"/>
      </w:rPr>
      <w:fldChar w:fldCharType="begin"/>
    </w:r>
    <w:r w:rsidRPr="000B6FA8">
      <w:rPr>
        <w:rStyle w:val="PageNumber"/>
      </w:rPr>
      <w:instrText xml:space="preserve">PAGE  </w:instrText>
    </w:r>
    <w:r w:rsidRPr="000B6FA8">
      <w:rPr>
        <w:rStyle w:val="PageNumber"/>
      </w:rPr>
      <w:fldChar w:fldCharType="separate"/>
    </w:r>
    <w:r>
      <w:rPr>
        <w:rStyle w:val="PageNumber"/>
        <w:noProof/>
      </w:rPr>
      <w:t>187</w:t>
    </w:r>
    <w:r w:rsidRPr="000B6FA8">
      <w:rPr>
        <w:rStyle w:val="PageNumber"/>
      </w:rPr>
      <w:fldChar w:fldCharType="end"/>
    </w:r>
  </w:p>
  <w:p w14:paraId="497760C1" w14:textId="77777777" w:rsidR="008C11A4" w:rsidRDefault="008C11A4">
    <w:pPr>
      <w:pStyle w:val="Footer"/>
    </w:pPr>
  </w:p>
  <w:p w14:paraId="467B37FA" w14:textId="77777777" w:rsidR="00D6543D" w:rsidRDefault="00D6543D"/>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D108AEB" w14:textId="77777777" w:rsidR="00FF4138" w:rsidRDefault="00FF4138">
      <w:r>
        <w:separator/>
      </w:r>
    </w:p>
  </w:footnote>
  <w:footnote w:type="continuationSeparator" w:id="0">
    <w:p w14:paraId="3B121A3F" w14:textId="77777777" w:rsidR="00FF4138" w:rsidRDefault="00FF413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472388C" w14:textId="2EC83589" w:rsidR="008C11A4" w:rsidRPr="00D3368C" w:rsidRDefault="008C11A4" w:rsidP="00AB7397">
    <w:pPr>
      <w:pStyle w:val="Header"/>
      <w:widowControl w:val="0"/>
      <w:tabs>
        <w:tab w:val="clear" w:pos="9072"/>
        <w:tab w:val="right" w:pos="8280"/>
        <w:tab w:val="right" w:pos="10490"/>
      </w:tabs>
      <w:ind w:right="-58"/>
      <w:rPr>
        <w:rFonts w:ascii="Arial" w:hAnsi="Arial" w:cs="Arial"/>
        <w:b/>
        <w:bCs/>
        <w:sz w:val="28"/>
        <w:lang w:val="en-US"/>
      </w:rPr>
    </w:pPr>
    <w:r>
      <w:rPr>
        <w:rFonts w:ascii="Arial" w:hAnsi="Arial" w:cs="Arial"/>
        <w:b/>
        <w:bCs/>
        <w:sz w:val="28"/>
      </w:rPr>
      <w:t>3GPP TSG RAN WG1 Meeting #1</w:t>
    </w:r>
    <w:r w:rsidR="00A14B59">
      <w:rPr>
        <w:rFonts w:ascii="Arial" w:hAnsi="Arial" w:cs="Arial"/>
        <w:b/>
        <w:bCs/>
        <w:sz w:val="28"/>
      </w:rPr>
      <w:t>1</w:t>
    </w:r>
    <w:r w:rsidR="00B2372C">
      <w:rPr>
        <w:rFonts w:ascii="Arial" w:hAnsi="Arial" w:cs="Arial"/>
        <w:b/>
        <w:bCs/>
        <w:sz w:val="28"/>
      </w:rPr>
      <w:t>6</w:t>
    </w:r>
    <w:r>
      <w:rPr>
        <w:rFonts w:ascii="Arial" w:hAnsi="Arial" w:cs="Arial"/>
        <w:b/>
        <w:bCs/>
        <w:sz w:val="28"/>
      </w:rPr>
      <w:tab/>
    </w:r>
    <w:r>
      <w:rPr>
        <w:rFonts w:ascii="Arial" w:hAnsi="Arial" w:cs="Arial"/>
        <w:b/>
        <w:bCs/>
        <w:sz w:val="28"/>
      </w:rPr>
      <w:tab/>
    </w:r>
    <w:r w:rsidR="00AA30E5" w:rsidRPr="00AA30E5">
      <w:rPr>
        <w:rFonts w:ascii="Arial" w:hAnsi="Arial" w:cs="Arial"/>
        <w:b/>
        <w:bCs/>
        <w:sz w:val="28"/>
      </w:rPr>
      <w:t>R1-2</w:t>
    </w:r>
    <w:r w:rsidR="00B2372C">
      <w:rPr>
        <w:rFonts w:ascii="Arial" w:hAnsi="Arial" w:cs="Arial"/>
        <w:b/>
        <w:bCs/>
        <w:sz w:val="28"/>
      </w:rPr>
      <w:t>4</w:t>
    </w:r>
    <w:r w:rsidR="00AA30E5" w:rsidRPr="00AA30E5">
      <w:rPr>
        <w:rFonts w:ascii="Arial" w:hAnsi="Arial" w:cs="Arial"/>
        <w:b/>
        <w:bCs/>
        <w:sz w:val="28"/>
      </w:rPr>
      <w:t>0</w:t>
    </w:r>
    <w:r w:rsidR="00A6784C">
      <w:rPr>
        <w:rFonts w:ascii="Arial" w:hAnsi="Arial" w:cs="Arial"/>
        <w:b/>
        <w:bCs/>
        <w:sz w:val="28"/>
      </w:rPr>
      <w:t>0002</w:t>
    </w:r>
  </w:p>
  <w:p w14:paraId="1845C2DB" w14:textId="23A3B57E" w:rsidR="008C11A4" w:rsidRPr="009513AC" w:rsidRDefault="00B2372C" w:rsidP="001E4E41">
    <w:pPr>
      <w:tabs>
        <w:tab w:val="center" w:pos="4536"/>
        <w:tab w:val="right" w:pos="9072"/>
      </w:tabs>
      <w:rPr>
        <w:rFonts w:ascii="Arial" w:eastAsia="MS Mincho" w:hAnsi="Arial" w:cs="Arial"/>
        <w:b/>
        <w:bCs/>
        <w:sz w:val="28"/>
        <w:lang w:eastAsia="ja-JP"/>
      </w:rPr>
    </w:pPr>
    <w:bookmarkStart w:id="832" w:name="_Hlk36104658"/>
    <w:r>
      <w:rPr>
        <w:rFonts w:ascii="Arial" w:eastAsia="MS Mincho" w:hAnsi="Arial" w:cs="Arial"/>
        <w:b/>
        <w:bCs/>
        <w:sz w:val="28"/>
        <w:lang w:eastAsia="ja-JP"/>
      </w:rPr>
      <w:t>Athens</w:t>
    </w:r>
    <w:r w:rsidR="00DF73DC">
      <w:rPr>
        <w:rFonts w:ascii="Arial" w:eastAsia="MS Mincho" w:hAnsi="Arial" w:cs="Arial"/>
        <w:b/>
        <w:bCs/>
        <w:sz w:val="28"/>
        <w:lang w:eastAsia="ja-JP"/>
      </w:rPr>
      <w:t xml:space="preserve">, </w:t>
    </w:r>
    <w:r>
      <w:rPr>
        <w:rFonts w:ascii="Arial" w:eastAsia="MS Mincho" w:hAnsi="Arial" w:cs="Arial"/>
        <w:b/>
        <w:bCs/>
        <w:sz w:val="28"/>
        <w:lang w:eastAsia="ja-JP"/>
      </w:rPr>
      <w:t>Greece</w:t>
    </w:r>
    <w:r w:rsidR="00F358A8">
      <w:rPr>
        <w:rFonts w:ascii="Arial" w:eastAsia="MS Mincho" w:hAnsi="Arial" w:cs="Arial"/>
        <w:b/>
        <w:bCs/>
        <w:sz w:val="28"/>
        <w:lang w:eastAsia="ja-JP"/>
      </w:rPr>
      <w:t xml:space="preserve">, </w:t>
    </w:r>
    <w:r>
      <w:rPr>
        <w:rFonts w:ascii="Arial" w:eastAsia="MS Mincho" w:hAnsi="Arial" w:cs="Arial"/>
        <w:b/>
        <w:bCs/>
        <w:sz w:val="28"/>
        <w:lang w:eastAsia="ja-JP"/>
      </w:rPr>
      <w:t>February 26th - March 1st</w:t>
    </w:r>
    <w:r w:rsidR="008C11A4">
      <w:rPr>
        <w:rFonts w:ascii="Arial" w:eastAsia="MS Mincho" w:hAnsi="Arial" w:cs="Arial"/>
        <w:b/>
        <w:bCs/>
        <w:sz w:val="28"/>
        <w:lang w:eastAsia="ja-JP"/>
      </w:rPr>
      <w:t>, 202</w:t>
    </w:r>
    <w:r>
      <w:rPr>
        <w:rFonts w:ascii="Arial" w:eastAsia="MS Mincho" w:hAnsi="Arial" w:cs="Arial"/>
        <w:b/>
        <w:bCs/>
        <w:sz w:val="28"/>
        <w:lang w:eastAsia="ja-JP"/>
      </w:rPr>
      <w:t>4</w:t>
    </w:r>
  </w:p>
  <w:bookmarkEnd w:id="832"/>
  <w:p w14:paraId="7A99501D" w14:textId="156A73B2" w:rsidR="008C11A4" w:rsidRPr="00B2372C" w:rsidRDefault="008C11A4" w:rsidP="00FD1435">
    <w:pPr>
      <w:pStyle w:val="Header"/>
    </w:pPr>
  </w:p>
  <w:p w14:paraId="157D1C7E" w14:textId="77777777" w:rsidR="00D6543D" w:rsidRDefault="00D6543D"/>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C51FFA0" w14:textId="77777777" w:rsidR="00A6784C" w:rsidRPr="00D3368C" w:rsidRDefault="00A6784C" w:rsidP="00A6784C">
    <w:pPr>
      <w:pStyle w:val="Header"/>
      <w:widowControl w:val="0"/>
      <w:tabs>
        <w:tab w:val="clear" w:pos="9072"/>
        <w:tab w:val="right" w:pos="8280"/>
        <w:tab w:val="right" w:pos="10490"/>
      </w:tabs>
      <w:ind w:right="-58"/>
      <w:rPr>
        <w:rFonts w:ascii="Arial" w:hAnsi="Arial" w:cs="Arial"/>
        <w:b/>
        <w:bCs/>
        <w:sz w:val="28"/>
        <w:lang w:val="en-US"/>
      </w:rPr>
    </w:pPr>
    <w:r>
      <w:rPr>
        <w:rFonts w:ascii="Arial" w:hAnsi="Arial" w:cs="Arial"/>
        <w:b/>
        <w:bCs/>
        <w:sz w:val="28"/>
      </w:rPr>
      <w:t>3GPP TSG RAN WG1 Meeting #116</w:t>
    </w:r>
    <w:r>
      <w:rPr>
        <w:rFonts w:ascii="Arial" w:hAnsi="Arial" w:cs="Arial"/>
        <w:b/>
        <w:bCs/>
        <w:sz w:val="28"/>
      </w:rPr>
      <w:tab/>
    </w:r>
    <w:r>
      <w:rPr>
        <w:rFonts w:ascii="Arial" w:hAnsi="Arial" w:cs="Arial"/>
        <w:b/>
        <w:bCs/>
        <w:sz w:val="28"/>
      </w:rPr>
      <w:tab/>
    </w:r>
    <w:r w:rsidRPr="00AA30E5">
      <w:rPr>
        <w:rFonts w:ascii="Arial" w:hAnsi="Arial" w:cs="Arial"/>
        <w:b/>
        <w:bCs/>
        <w:sz w:val="28"/>
      </w:rPr>
      <w:t>R1-2</w:t>
    </w:r>
    <w:r>
      <w:rPr>
        <w:rFonts w:ascii="Arial" w:hAnsi="Arial" w:cs="Arial"/>
        <w:b/>
        <w:bCs/>
        <w:sz w:val="28"/>
      </w:rPr>
      <w:t>4</w:t>
    </w:r>
    <w:r w:rsidRPr="00AA30E5">
      <w:rPr>
        <w:rFonts w:ascii="Arial" w:hAnsi="Arial" w:cs="Arial"/>
        <w:b/>
        <w:bCs/>
        <w:sz w:val="28"/>
      </w:rPr>
      <w:t>0</w:t>
    </w:r>
    <w:r>
      <w:rPr>
        <w:rFonts w:ascii="Arial" w:hAnsi="Arial" w:cs="Arial"/>
        <w:b/>
        <w:bCs/>
        <w:sz w:val="28"/>
      </w:rPr>
      <w:t>0002</w:t>
    </w:r>
  </w:p>
  <w:p w14:paraId="54B6CF6F" w14:textId="77777777" w:rsidR="00B2372C" w:rsidRPr="009513AC" w:rsidRDefault="00B2372C" w:rsidP="00B2372C">
    <w:pPr>
      <w:tabs>
        <w:tab w:val="center" w:pos="4536"/>
        <w:tab w:val="right" w:pos="9072"/>
      </w:tabs>
      <w:rPr>
        <w:rFonts w:ascii="Arial" w:eastAsia="MS Mincho" w:hAnsi="Arial" w:cs="Arial"/>
        <w:b/>
        <w:bCs/>
        <w:sz w:val="28"/>
        <w:lang w:eastAsia="ja-JP"/>
      </w:rPr>
    </w:pPr>
    <w:r>
      <w:rPr>
        <w:rFonts w:ascii="Arial" w:eastAsia="MS Mincho" w:hAnsi="Arial" w:cs="Arial"/>
        <w:b/>
        <w:bCs/>
        <w:sz w:val="28"/>
        <w:lang w:eastAsia="ja-JP"/>
      </w:rPr>
      <w:t>Athens, Greece, February 26th - March 1st, 2024</w:t>
    </w:r>
  </w:p>
  <w:p w14:paraId="26C6EA5D" w14:textId="77777777" w:rsidR="008C11A4" w:rsidRPr="00AB7397" w:rsidRDefault="008C11A4" w:rsidP="00AB739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BD0CA652"/>
    <w:multiLevelType w:val="multilevel"/>
    <w:tmpl w:val="BD0CA652"/>
    <w:lvl w:ilvl="0">
      <w:start w:val="1"/>
      <w:numFmt w:val="decimal"/>
      <w:pStyle w:val="ZTE-Proposal"/>
      <w:lvlText w:val="Proposal %1:"/>
      <w:lvlJc w:val="left"/>
      <w:pPr>
        <w:tabs>
          <w:tab w:val="left" w:pos="0"/>
        </w:tabs>
        <w:ind w:left="0" w:firstLine="0"/>
      </w:pPr>
      <w:rPr>
        <w:rFonts w:ascii="Times New Roman" w:eastAsia="SimSun" w:hAnsi="Times New Roman" w:cs="Times New Roman" w:hint="default"/>
        <w:b/>
        <w:bCs/>
        <w:i/>
        <w:iCs/>
      </w:rPr>
    </w:lvl>
    <w:lvl w:ilvl="1">
      <w:start w:val="1"/>
      <w:numFmt w:val="bullet"/>
      <w:lvlText w:val="•"/>
      <w:lvlJc w:val="left"/>
      <w:pPr>
        <w:tabs>
          <w:tab w:val="left" w:pos="840"/>
        </w:tabs>
        <w:ind w:left="840" w:hanging="420"/>
      </w:pPr>
      <w:rPr>
        <w:rFonts w:ascii="Arial" w:eastAsia="SimSun" w:hAnsi="Arial" w:cs="Arial" w:hint="default"/>
        <w:b/>
        <w:bCs/>
        <w:i/>
        <w:iCs/>
      </w:rPr>
    </w:lvl>
    <w:lvl w:ilvl="2">
      <w:start w:val="1"/>
      <w:numFmt w:val="lowerRoman"/>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Roman"/>
      <w:lvlText w:val="%6."/>
      <w:lvlJc w:val="left"/>
      <w:pPr>
        <w:tabs>
          <w:tab w:val="left" w:pos="2520"/>
        </w:tabs>
        <w:ind w:left="2520" w:hanging="420"/>
      </w:pPr>
      <w:rPr>
        <w:rFonts w:hint="default"/>
      </w:rPr>
    </w:lvl>
    <w:lvl w:ilvl="6">
      <w:start w:val="1"/>
      <w:numFmt w:val="decimal"/>
      <w:lvlText w:val="%7."/>
      <w:lvlJc w:val="left"/>
      <w:pPr>
        <w:tabs>
          <w:tab w:val="left" w:pos="2940"/>
        </w:tabs>
        <w:ind w:left="2940" w:hanging="420"/>
      </w:pPr>
      <w:rPr>
        <w:rFonts w:hint="default"/>
      </w:rPr>
    </w:lvl>
    <w:lvl w:ilvl="7">
      <w:start w:val="1"/>
      <w:numFmt w:val="lowerLetter"/>
      <w:lvlText w:val="%8)"/>
      <w:lvlJc w:val="left"/>
      <w:pPr>
        <w:tabs>
          <w:tab w:val="left" w:pos="3360"/>
        </w:tabs>
        <w:ind w:left="3360" w:hanging="420"/>
      </w:pPr>
      <w:rPr>
        <w:rFonts w:hint="default"/>
      </w:rPr>
    </w:lvl>
    <w:lvl w:ilvl="8">
      <w:start w:val="1"/>
      <w:numFmt w:val="lowerRoman"/>
      <w:lvlText w:val="%9."/>
      <w:lvlJc w:val="left"/>
      <w:pPr>
        <w:tabs>
          <w:tab w:val="left" w:pos="3780"/>
        </w:tabs>
        <w:ind w:left="3780" w:hanging="420"/>
      </w:pPr>
      <w:rPr>
        <w:rFonts w:hint="default"/>
      </w:rPr>
    </w:lvl>
  </w:abstractNum>
  <w:abstractNum w:abstractNumId="1" w15:restartNumberingAfterBreak="0">
    <w:nsid w:val="FFFFFF7C"/>
    <w:multiLevelType w:val="singleLevel"/>
    <w:tmpl w:val="FFFFFF7C"/>
    <w:lvl w:ilvl="0">
      <w:start w:val="1"/>
      <w:numFmt w:val="decimal"/>
      <w:pStyle w:val="ListNumber5"/>
      <w:lvlText w:val="%1."/>
      <w:lvlJc w:val="left"/>
      <w:pPr>
        <w:tabs>
          <w:tab w:val="left" w:pos="1492"/>
        </w:tabs>
        <w:ind w:left="1492" w:hanging="360"/>
      </w:pPr>
    </w:lvl>
  </w:abstractNum>
  <w:abstractNum w:abstractNumId="2" w15:restartNumberingAfterBreak="0">
    <w:nsid w:val="FFFFFF7E"/>
    <w:multiLevelType w:val="singleLevel"/>
    <w:tmpl w:val="5A54DD86"/>
    <w:styleLink w:val="StyleBulletedSymbolsymbolLeft025Hanging02543"/>
    <w:lvl w:ilvl="0">
      <w:start w:val="1"/>
      <w:numFmt w:val="decimal"/>
      <w:pStyle w:val="ListNumber3"/>
      <w:lvlText w:val="%1."/>
      <w:lvlJc w:val="left"/>
      <w:pPr>
        <w:tabs>
          <w:tab w:val="num" w:pos="926"/>
        </w:tabs>
        <w:ind w:left="926" w:hanging="360"/>
      </w:pPr>
    </w:lvl>
  </w:abstractNum>
  <w:abstractNum w:abstractNumId="3" w15:restartNumberingAfterBreak="0">
    <w:nsid w:val="00000001"/>
    <w:multiLevelType w:val="singleLevel"/>
    <w:tmpl w:val="00000001"/>
    <w:name w:val="WW8Num7"/>
    <w:lvl w:ilvl="0">
      <w:start w:val="1"/>
      <w:numFmt w:val="decimal"/>
      <w:lvlText w:val="[%1]"/>
      <w:lvlJc w:val="left"/>
      <w:pPr>
        <w:tabs>
          <w:tab w:val="num" w:pos="567"/>
        </w:tabs>
        <w:ind w:left="567" w:hanging="567"/>
      </w:pPr>
    </w:lvl>
  </w:abstractNum>
  <w:abstractNum w:abstractNumId="4" w15:restartNumberingAfterBreak="0">
    <w:nsid w:val="00000002"/>
    <w:multiLevelType w:val="singleLevel"/>
    <w:tmpl w:val="00000002"/>
    <w:name w:val="WW8Num2"/>
    <w:styleLink w:val="StyleBulletedSymbolsymbolLeft025Hanging02523"/>
    <w:lvl w:ilvl="0">
      <w:start w:val="1"/>
      <w:numFmt w:val="bullet"/>
      <w:pStyle w:val="ZchnZchn"/>
      <w:lvlText w:val=""/>
      <w:lvlJc w:val="left"/>
      <w:pPr>
        <w:tabs>
          <w:tab w:val="num" w:pos="851"/>
        </w:tabs>
        <w:ind w:left="851" w:hanging="851"/>
      </w:pPr>
      <w:rPr>
        <w:rFonts w:ascii="ZapfDingbats" w:hAnsi="ZapfDingbats"/>
      </w:rPr>
    </w:lvl>
  </w:abstractNum>
  <w:abstractNum w:abstractNumId="5" w15:restartNumberingAfterBreak="0">
    <w:nsid w:val="00000006"/>
    <w:multiLevelType w:val="multilevel"/>
    <w:tmpl w:val="00000006"/>
    <w:name w:val="WW8Num6"/>
    <w:lvl w:ilvl="0">
      <w:start w:val="1"/>
      <w:numFmt w:val="bullet"/>
      <w:lvlText w:val=""/>
      <w:lvlJc w:val="left"/>
      <w:pPr>
        <w:tabs>
          <w:tab w:val="num" w:pos="720"/>
        </w:tabs>
        <w:ind w:left="720" w:hanging="360"/>
      </w:pPr>
      <w:rPr>
        <w:rFonts w:ascii="Symbol" w:hAnsi="Symbol"/>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6" w15:restartNumberingAfterBreak="0">
    <w:nsid w:val="005B50D0"/>
    <w:multiLevelType w:val="hybridMultilevel"/>
    <w:tmpl w:val="29E81858"/>
    <w:lvl w:ilvl="0" w:tplc="484C16D4">
      <w:start w:val="5"/>
      <w:numFmt w:val="bullet"/>
      <w:lvlText w:val="-"/>
      <w:lvlJc w:val="left"/>
      <w:pPr>
        <w:ind w:left="720" w:hanging="360"/>
      </w:pPr>
      <w:rPr>
        <w:rFonts w:ascii="Arial Narrow" w:eastAsiaTheme="minorEastAsia" w:hAnsi="Arial Narrow"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01F9680D"/>
    <w:multiLevelType w:val="hybridMultilevel"/>
    <w:tmpl w:val="2B2A39A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028274EB"/>
    <w:multiLevelType w:val="hybridMultilevel"/>
    <w:tmpl w:val="ADDA39F8"/>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F68E2EF0" w:tentative="1">
      <w:start w:val="1"/>
      <w:numFmt w:val="bullet"/>
      <w:lvlText w:val="•"/>
      <w:lvlJc w:val="left"/>
      <w:pPr>
        <w:tabs>
          <w:tab w:val="num" w:pos="4320"/>
        </w:tabs>
        <w:ind w:left="4320" w:hanging="360"/>
      </w:pPr>
      <w:rPr>
        <w:rFonts w:ascii="Arial" w:hAnsi="Arial"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9" w15:restartNumberingAfterBreak="0">
    <w:nsid w:val="02B32EE3"/>
    <w:multiLevelType w:val="hybridMultilevel"/>
    <w:tmpl w:val="A5E2691A"/>
    <w:styleLink w:val="StyleBulleted1"/>
    <w:lvl w:ilvl="0" w:tplc="04090001">
      <w:start w:val="1"/>
      <w:numFmt w:val="bullet"/>
      <w:pStyle w:val="rProposalsub"/>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7B5ACA58">
      <w:start w:val="1"/>
      <w:numFmt w:val="bullet"/>
      <w:pStyle w:val="Bulleted"/>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02BE73B2"/>
    <w:multiLevelType w:val="multilevel"/>
    <w:tmpl w:val="02BE73B2"/>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02DB4C21"/>
    <w:multiLevelType w:val="multilevel"/>
    <w:tmpl w:val="02DB4C21"/>
    <w:lvl w:ilvl="0">
      <w:start w:val="8"/>
      <w:numFmt w:val="bullet"/>
      <w:lvlText w:val="-"/>
      <w:lvlJc w:val="left"/>
      <w:pPr>
        <w:ind w:left="720" w:hanging="360"/>
      </w:pPr>
      <w:rPr>
        <w:rFonts w:ascii="Calibri" w:eastAsia="DengXian" w:hAnsi="Calibri" w:cs="Calibr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045A325F"/>
    <w:multiLevelType w:val="hybridMultilevel"/>
    <w:tmpl w:val="31E80446"/>
    <w:lvl w:ilvl="0" w:tplc="04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04CD6B16"/>
    <w:multiLevelType w:val="multilevel"/>
    <w:tmpl w:val="8BC45C6C"/>
    <w:lvl w:ilvl="0">
      <w:start w:val="1"/>
      <w:numFmt w:val="bullet"/>
      <w:lvlText w:val=""/>
      <w:lvlJc w:val="left"/>
      <w:pPr>
        <w:ind w:left="783" w:hanging="360"/>
      </w:pPr>
      <w:rPr>
        <w:rFonts w:ascii="Symbol" w:hAnsi="Symbol" w:hint="default"/>
      </w:rPr>
    </w:lvl>
    <w:lvl w:ilvl="1">
      <w:start w:val="1"/>
      <w:numFmt w:val="bullet"/>
      <w:lvlText w:val="o"/>
      <w:lvlJc w:val="left"/>
      <w:pPr>
        <w:ind w:left="1503" w:hanging="360"/>
      </w:pPr>
      <w:rPr>
        <w:rFonts w:ascii="Courier New" w:hAnsi="Courier New" w:cs="Courier New" w:hint="default"/>
      </w:rPr>
    </w:lvl>
    <w:lvl w:ilvl="2">
      <w:start w:val="1"/>
      <w:numFmt w:val="bullet"/>
      <w:lvlText w:val=""/>
      <w:lvlJc w:val="left"/>
      <w:pPr>
        <w:ind w:left="2223" w:hanging="360"/>
      </w:pPr>
      <w:rPr>
        <w:rFonts w:ascii="Wingdings" w:hAnsi="Wingdings" w:hint="default"/>
      </w:rPr>
    </w:lvl>
    <w:lvl w:ilvl="3">
      <w:start w:val="1"/>
      <w:numFmt w:val="bullet"/>
      <w:lvlText w:val=""/>
      <w:lvlJc w:val="left"/>
      <w:pPr>
        <w:ind w:left="2943" w:hanging="360"/>
      </w:pPr>
      <w:rPr>
        <w:rFonts w:ascii="Symbol" w:hAnsi="Symbol" w:hint="default"/>
      </w:rPr>
    </w:lvl>
    <w:lvl w:ilvl="4">
      <w:start w:val="1"/>
      <w:numFmt w:val="bullet"/>
      <w:lvlText w:val="o"/>
      <w:lvlJc w:val="left"/>
      <w:pPr>
        <w:ind w:left="3663" w:hanging="360"/>
      </w:pPr>
      <w:rPr>
        <w:rFonts w:ascii="Courier New" w:hAnsi="Courier New" w:cs="Courier New" w:hint="default"/>
      </w:rPr>
    </w:lvl>
    <w:lvl w:ilvl="5">
      <w:start w:val="1"/>
      <w:numFmt w:val="bullet"/>
      <w:lvlText w:val=""/>
      <w:lvlJc w:val="left"/>
      <w:pPr>
        <w:ind w:left="4383" w:hanging="360"/>
      </w:pPr>
      <w:rPr>
        <w:rFonts w:ascii="Wingdings" w:hAnsi="Wingdings" w:hint="default"/>
      </w:rPr>
    </w:lvl>
    <w:lvl w:ilvl="6">
      <w:start w:val="1"/>
      <w:numFmt w:val="bullet"/>
      <w:lvlText w:val=""/>
      <w:lvlJc w:val="left"/>
      <w:pPr>
        <w:ind w:left="5103" w:hanging="360"/>
      </w:pPr>
      <w:rPr>
        <w:rFonts w:ascii="Symbol" w:hAnsi="Symbol" w:hint="default"/>
      </w:rPr>
    </w:lvl>
    <w:lvl w:ilvl="7">
      <w:start w:val="1"/>
      <w:numFmt w:val="bullet"/>
      <w:lvlText w:val="o"/>
      <w:lvlJc w:val="left"/>
      <w:pPr>
        <w:ind w:left="5823" w:hanging="360"/>
      </w:pPr>
      <w:rPr>
        <w:rFonts w:ascii="Courier New" w:hAnsi="Courier New" w:cs="Courier New" w:hint="default"/>
      </w:rPr>
    </w:lvl>
    <w:lvl w:ilvl="8">
      <w:start w:val="1"/>
      <w:numFmt w:val="bullet"/>
      <w:lvlText w:val=""/>
      <w:lvlJc w:val="left"/>
      <w:pPr>
        <w:ind w:left="6543" w:hanging="360"/>
      </w:pPr>
      <w:rPr>
        <w:rFonts w:ascii="Wingdings" w:hAnsi="Wingdings" w:hint="default"/>
      </w:rPr>
    </w:lvl>
  </w:abstractNum>
  <w:abstractNum w:abstractNumId="14" w15:restartNumberingAfterBreak="0">
    <w:nsid w:val="05AE17A9"/>
    <w:multiLevelType w:val="multilevel"/>
    <w:tmpl w:val="B8727EDA"/>
    <w:styleLink w:val="3GPPBullets"/>
    <w:lvl w:ilvl="0">
      <w:start w:val="1"/>
      <w:numFmt w:val="decimal"/>
      <w:lvlText w:val="Observation %1:"/>
      <w:lvlJc w:val="left"/>
      <w:pPr>
        <w:ind w:left="0" w:firstLine="0"/>
      </w:pPr>
      <w:rPr>
        <w:rFonts w:ascii="Times New Roman" w:hAnsi="Times New Roman" w:hint="default"/>
        <w:b/>
        <w:i w:val="0"/>
        <w:caps w:val="0"/>
        <w:smallCaps w:val="0"/>
        <w:strike w:val="0"/>
        <w:dstrike w:val="0"/>
        <w:vanish w:val="0"/>
        <w:color w:val="auto"/>
        <w:sz w:val="22"/>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bullet"/>
      <w:lvlText w:val="●"/>
      <w:lvlJc w:val="left"/>
      <w:pPr>
        <w:ind w:left="284" w:hanging="284"/>
      </w:pPr>
      <w:rPr>
        <w:rFonts w:ascii="Times New Roman" w:hAnsi="Times New Roman" w:cs="Times New Roman" w:hint="default"/>
        <w:b/>
        <w:color w:val="auto"/>
        <w:sz w:val="22"/>
      </w:rPr>
    </w:lvl>
    <w:lvl w:ilvl="2">
      <w:start w:val="1"/>
      <w:numFmt w:val="bullet"/>
      <w:lvlText w:val="○"/>
      <w:lvlJc w:val="left"/>
      <w:pPr>
        <w:ind w:left="567" w:hanging="283"/>
      </w:pPr>
      <w:rPr>
        <w:rFonts w:ascii="Times New Roman" w:hAnsi="Times New Roman" w:cs="Times New Roman" w:hint="default"/>
        <w:b/>
        <w:color w:val="auto"/>
        <w:sz w:val="22"/>
      </w:rPr>
    </w:lvl>
    <w:lvl w:ilvl="3">
      <w:start w:val="1"/>
      <w:numFmt w:val="bullet"/>
      <w:lvlText w:val="▪"/>
      <w:lvlJc w:val="left"/>
      <w:pPr>
        <w:ind w:left="851" w:hanging="284"/>
      </w:pPr>
      <w:rPr>
        <w:rFonts w:ascii="Times New Roman" w:hAnsi="Times New Roman" w:cs="Times New Roman" w:hint="default"/>
        <w:b/>
        <w:color w:val="auto"/>
        <w:sz w:val="22"/>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5" w15:restartNumberingAfterBreak="0">
    <w:nsid w:val="05D97EE1"/>
    <w:multiLevelType w:val="hybridMultilevel"/>
    <w:tmpl w:val="9962AD7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063C620B"/>
    <w:multiLevelType w:val="hybridMultilevel"/>
    <w:tmpl w:val="8AF6836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06C147CA"/>
    <w:multiLevelType w:val="hybridMultilevel"/>
    <w:tmpl w:val="7DA6E9B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06FA6710"/>
    <w:multiLevelType w:val="hybridMultilevel"/>
    <w:tmpl w:val="432E9286"/>
    <w:name w:val="Heading"/>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08391B0E"/>
    <w:multiLevelType w:val="hybridMultilevel"/>
    <w:tmpl w:val="48E61506"/>
    <w:lvl w:ilvl="0" w:tplc="04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08E867EE"/>
    <w:multiLevelType w:val="multilevel"/>
    <w:tmpl w:val="DA08E4A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2" w15:restartNumberingAfterBreak="0">
    <w:nsid w:val="09F665FB"/>
    <w:multiLevelType w:val="hybridMultilevel"/>
    <w:tmpl w:val="BD5ACCA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0A3F3A73"/>
    <w:multiLevelType w:val="hybridMultilevel"/>
    <w:tmpl w:val="2EF4B84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0B045C4C"/>
    <w:multiLevelType w:val="hybridMultilevel"/>
    <w:tmpl w:val="410015F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0B0A3D39"/>
    <w:multiLevelType w:val="hybridMultilevel"/>
    <w:tmpl w:val="82DEDF4C"/>
    <w:name w:val="Heading222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0D67560A"/>
    <w:multiLevelType w:val="multilevel"/>
    <w:tmpl w:val="0D67560A"/>
    <w:lvl w:ilvl="0">
      <w:start w:val="1"/>
      <w:numFmt w:val="decimal"/>
      <w:pStyle w:val="PatAppBody"/>
      <w:lvlText w:val="[0%1]"/>
      <w:lvlJc w:val="left"/>
      <w:pPr>
        <w:tabs>
          <w:tab w:val="left" w:pos="1080"/>
        </w:tabs>
        <w:ind w:left="0" w:firstLine="0"/>
      </w:pPr>
      <w:rPr>
        <w:rFonts w:ascii="Times New Roman Bold" w:hAnsi="Times New Roman Bold" w:hint="default"/>
        <w:b/>
        <w:i w:val="0"/>
        <w:sz w:val="24"/>
        <w:szCs w:val="24"/>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27" w15:restartNumberingAfterBreak="0">
    <w:nsid w:val="0E700CCE"/>
    <w:multiLevelType w:val="hybridMultilevel"/>
    <w:tmpl w:val="BDA615E8"/>
    <w:lvl w:ilvl="0" w:tplc="8554555E">
      <w:start w:val="150"/>
      <w:numFmt w:val="bullet"/>
      <w:lvlText w:val="-"/>
      <w:lvlJc w:val="left"/>
      <w:pPr>
        <w:ind w:left="720" w:hanging="360"/>
      </w:pPr>
      <w:rPr>
        <w:rFonts w:ascii="Times" w:eastAsia="Batang" w:hAnsi="Times" w:cs="Time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0E947C5E"/>
    <w:multiLevelType w:val="hybridMultilevel"/>
    <w:tmpl w:val="F9F828B2"/>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9" w15:restartNumberingAfterBreak="0">
    <w:nsid w:val="0ECB426C"/>
    <w:multiLevelType w:val="multilevel"/>
    <w:tmpl w:val="0ECB426C"/>
    <w:lvl w:ilvl="0">
      <w:numFmt w:val="bullet"/>
      <w:lvlText w:val=""/>
      <w:lvlJc w:val="left"/>
      <w:pPr>
        <w:ind w:left="720" w:hanging="360"/>
      </w:pPr>
      <w:rPr>
        <w:rFonts w:ascii="Symbol" w:eastAsia="Batang" w:hAnsi="Symbol" w:cs="Calibr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 w15:restartNumberingAfterBreak="0">
    <w:nsid w:val="0F7528EE"/>
    <w:multiLevelType w:val="hybridMultilevel"/>
    <w:tmpl w:val="1342441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 w15:restartNumberingAfterBreak="0">
    <w:nsid w:val="11230FCE"/>
    <w:multiLevelType w:val="hybridMultilevel"/>
    <w:tmpl w:val="094E4B0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15:restartNumberingAfterBreak="0">
    <w:nsid w:val="113254DE"/>
    <w:multiLevelType w:val="multilevel"/>
    <w:tmpl w:val="113254DE"/>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3" w15:restartNumberingAfterBreak="0">
    <w:nsid w:val="11384200"/>
    <w:multiLevelType w:val="hybridMultilevel"/>
    <w:tmpl w:val="8FFC36B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 w15:restartNumberingAfterBreak="0">
    <w:nsid w:val="115B0FB8"/>
    <w:multiLevelType w:val="hybridMultilevel"/>
    <w:tmpl w:val="8A08CB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11732641"/>
    <w:multiLevelType w:val="hybridMultilevel"/>
    <w:tmpl w:val="9F4E054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 w15:restartNumberingAfterBreak="0">
    <w:nsid w:val="13BF3ADC"/>
    <w:multiLevelType w:val="hybridMultilevel"/>
    <w:tmpl w:val="7E6EADBA"/>
    <w:lvl w:ilvl="0" w:tplc="08090001">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7" w15:restartNumberingAfterBreak="0">
    <w:nsid w:val="13ED0F03"/>
    <w:multiLevelType w:val="multilevel"/>
    <w:tmpl w:val="F1366458"/>
    <w:styleLink w:val="StyleBulleted25"/>
    <w:lvl w:ilvl="0">
      <w:start w:val="1"/>
      <w:numFmt w:val="decimal"/>
      <w:pStyle w:val="Heading1"/>
      <w:lvlText w:val="%1"/>
      <w:lvlJc w:val="left"/>
      <w:pPr>
        <w:tabs>
          <w:tab w:val="num" w:pos="574"/>
        </w:tabs>
        <w:ind w:left="574" w:hanging="432"/>
      </w:pPr>
      <w:rPr>
        <w:rFonts w:hint="default"/>
      </w:rPr>
    </w:lvl>
    <w:lvl w:ilvl="1">
      <w:start w:val="1"/>
      <w:numFmt w:val="decimal"/>
      <w:pStyle w:val="Heading2"/>
      <w:lvlText w:val="%1.%2"/>
      <w:lvlJc w:val="left"/>
      <w:pPr>
        <w:tabs>
          <w:tab w:val="num" w:pos="576"/>
        </w:tabs>
        <w:ind w:left="576" w:hanging="576"/>
      </w:pPr>
      <w:rPr>
        <w:rFonts w:hint="default"/>
      </w:rPr>
    </w:lvl>
    <w:lvl w:ilvl="2">
      <w:start w:val="1"/>
      <w:numFmt w:val="decimal"/>
      <w:pStyle w:val="Heading3"/>
      <w:lvlText w:val="%1.%2.%3"/>
      <w:lvlJc w:val="left"/>
      <w:pPr>
        <w:tabs>
          <w:tab w:val="num" w:pos="862"/>
        </w:tabs>
        <w:ind w:left="862" w:hanging="720"/>
      </w:pPr>
      <w:rPr>
        <w:rFonts w:hint="default"/>
      </w:rPr>
    </w:lvl>
    <w:lvl w:ilvl="3">
      <w:start w:val="1"/>
      <w:numFmt w:val="decimal"/>
      <w:pStyle w:val="Heading4"/>
      <w:lvlText w:val="%1.%2.%3.%4"/>
      <w:lvlJc w:val="left"/>
      <w:pPr>
        <w:tabs>
          <w:tab w:val="num" w:pos="1574"/>
        </w:tabs>
        <w:ind w:left="1574" w:hanging="864"/>
      </w:pPr>
      <w:rPr>
        <w:rFonts w:hint="default"/>
      </w:rPr>
    </w:lvl>
    <w:lvl w:ilvl="4">
      <w:start w:val="1"/>
      <w:numFmt w:val="decimal"/>
      <w:pStyle w:val="Heading5"/>
      <w:lvlText w:val="%1.%2.%3.%4.%5"/>
      <w:lvlJc w:val="left"/>
      <w:pPr>
        <w:tabs>
          <w:tab w:val="num" w:pos="1575"/>
        </w:tabs>
        <w:ind w:left="1575"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38" w15:restartNumberingAfterBreak="0">
    <w:nsid w:val="143A2A2F"/>
    <w:multiLevelType w:val="hybridMultilevel"/>
    <w:tmpl w:val="36187E8C"/>
    <w:styleLink w:val="StyleBulletedSymbolsymbolLeft025Hanging02514"/>
    <w:lvl w:ilvl="0" w:tplc="CF68586C">
      <w:start w:val="1"/>
      <w:numFmt w:val="bullet"/>
      <w:pStyle w:val="bullet"/>
      <w:lvlText w:val=""/>
      <w:lvlJc w:val="left"/>
      <w:pPr>
        <w:ind w:left="840" w:hanging="420"/>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39" w15:restartNumberingAfterBreak="0">
    <w:nsid w:val="150E5BD4"/>
    <w:multiLevelType w:val="hybridMultilevel"/>
    <w:tmpl w:val="238072D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 w15:restartNumberingAfterBreak="0">
    <w:nsid w:val="15121B3E"/>
    <w:multiLevelType w:val="hybridMultilevel"/>
    <w:tmpl w:val="B5F8A1E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1" w15:restartNumberingAfterBreak="0">
    <w:nsid w:val="152D02D4"/>
    <w:multiLevelType w:val="hybridMultilevel"/>
    <w:tmpl w:val="43884A1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 w15:restartNumberingAfterBreak="0">
    <w:nsid w:val="16457CD4"/>
    <w:multiLevelType w:val="hybridMultilevel"/>
    <w:tmpl w:val="4AD8CB48"/>
    <w:lvl w:ilvl="0" w:tplc="8EE20D20">
      <w:start w:val="1"/>
      <w:numFmt w:val="bullet"/>
      <w:pStyle w:val="agreement"/>
      <w:lvlText w:val="•"/>
      <w:lvlJc w:val="left"/>
      <w:pPr>
        <w:tabs>
          <w:tab w:val="num" w:pos="720"/>
        </w:tabs>
        <w:ind w:left="720" w:hanging="360"/>
      </w:pPr>
      <w:rPr>
        <w:rFonts w:ascii="Arial" w:hAnsi="Arial" w:cs="Times New Roman" w:hint="default"/>
      </w:rPr>
    </w:lvl>
    <w:lvl w:ilvl="1" w:tplc="D7BA7446">
      <w:numFmt w:val="bullet"/>
      <w:lvlText w:val="–"/>
      <w:lvlJc w:val="left"/>
      <w:pPr>
        <w:tabs>
          <w:tab w:val="num" w:pos="1440"/>
        </w:tabs>
        <w:ind w:left="1440" w:hanging="360"/>
      </w:pPr>
      <w:rPr>
        <w:rFonts w:ascii="Arial" w:hAnsi="Arial" w:cs="Times New Roman" w:hint="default"/>
      </w:rPr>
    </w:lvl>
    <w:lvl w:ilvl="2" w:tplc="206C139A">
      <w:numFmt w:val="bullet"/>
      <w:lvlText w:val="•"/>
      <w:lvlJc w:val="left"/>
      <w:pPr>
        <w:tabs>
          <w:tab w:val="num" w:pos="2160"/>
        </w:tabs>
        <w:ind w:left="2160" w:hanging="360"/>
      </w:pPr>
      <w:rPr>
        <w:rFonts w:ascii="Arial" w:hAnsi="Arial" w:cs="Times New Roman" w:hint="default"/>
      </w:rPr>
    </w:lvl>
    <w:lvl w:ilvl="3" w:tplc="57D60532">
      <w:start w:val="1"/>
      <w:numFmt w:val="bullet"/>
      <w:lvlText w:val="•"/>
      <w:lvlJc w:val="left"/>
      <w:pPr>
        <w:tabs>
          <w:tab w:val="num" w:pos="2880"/>
        </w:tabs>
        <w:ind w:left="2880" w:hanging="360"/>
      </w:pPr>
      <w:rPr>
        <w:rFonts w:ascii="Arial" w:hAnsi="Arial" w:cs="Times New Roman" w:hint="default"/>
      </w:rPr>
    </w:lvl>
    <w:lvl w:ilvl="4" w:tplc="C096CCCC">
      <w:start w:val="1"/>
      <w:numFmt w:val="bullet"/>
      <w:lvlText w:val="•"/>
      <w:lvlJc w:val="left"/>
      <w:pPr>
        <w:tabs>
          <w:tab w:val="num" w:pos="3600"/>
        </w:tabs>
        <w:ind w:left="3600" w:hanging="360"/>
      </w:pPr>
      <w:rPr>
        <w:rFonts w:ascii="Arial" w:hAnsi="Arial" w:cs="Times New Roman" w:hint="default"/>
      </w:rPr>
    </w:lvl>
    <w:lvl w:ilvl="5" w:tplc="486A970E">
      <w:start w:val="1"/>
      <w:numFmt w:val="bullet"/>
      <w:lvlText w:val="•"/>
      <w:lvlJc w:val="left"/>
      <w:pPr>
        <w:tabs>
          <w:tab w:val="num" w:pos="4320"/>
        </w:tabs>
        <w:ind w:left="4320" w:hanging="360"/>
      </w:pPr>
      <w:rPr>
        <w:rFonts w:ascii="Arial" w:hAnsi="Arial" w:cs="Times New Roman" w:hint="default"/>
      </w:rPr>
    </w:lvl>
    <w:lvl w:ilvl="6" w:tplc="5E241230">
      <w:start w:val="1"/>
      <w:numFmt w:val="bullet"/>
      <w:lvlText w:val="•"/>
      <w:lvlJc w:val="left"/>
      <w:pPr>
        <w:tabs>
          <w:tab w:val="num" w:pos="5040"/>
        </w:tabs>
        <w:ind w:left="5040" w:hanging="360"/>
      </w:pPr>
      <w:rPr>
        <w:rFonts w:ascii="Arial" w:hAnsi="Arial" w:cs="Times New Roman" w:hint="default"/>
      </w:rPr>
    </w:lvl>
    <w:lvl w:ilvl="7" w:tplc="084CBBA8">
      <w:start w:val="1"/>
      <w:numFmt w:val="bullet"/>
      <w:lvlText w:val="•"/>
      <w:lvlJc w:val="left"/>
      <w:pPr>
        <w:tabs>
          <w:tab w:val="num" w:pos="5760"/>
        </w:tabs>
        <w:ind w:left="5760" w:hanging="360"/>
      </w:pPr>
      <w:rPr>
        <w:rFonts w:ascii="Arial" w:hAnsi="Arial" w:cs="Times New Roman" w:hint="default"/>
      </w:rPr>
    </w:lvl>
    <w:lvl w:ilvl="8" w:tplc="CDA25F9E">
      <w:start w:val="1"/>
      <w:numFmt w:val="bullet"/>
      <w:lvlText w:val="•"/>
      <w:lvlJc w:val="left"/>
      <w:pPr>
        <w:tabs>
          <w:tab w:val="num" w:pos="6480"/>
        </w:tabs>
        <w:ind w:left="6480" w:hanging="360"/>
      </w:pPr>
      <w:rPr>
        <w:rFonts w:ascii="Arial" w:hAnsi="Arial" w:cs="Times New Roman" w:hint="default"/>
      </w:rPr>
    </w:lvl>
  </w:abstractNum>
  <w:abstractNum w:abstractNumId="43" w15:restartNumberingAfterBreak="0">
    <w:nsid w:val="17251332"/>
    <w:multiLevelType w:val="multilevel"/>
    <w:tmpl w:val="EA72ABC4"/>
    <w:styleLink w:val="StyleBulletedSymbolsymbolLeft025Hanging025"/>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4" w15:restartNumberingAfterBreak="0">
    <w:nsid w:val="17530FB3"/>
    <w:multiLevelType w:val="multilevel"/>
    <w:tmpl w:val="9FF2ACC4"/>
    <w:styleLink w:val="3"/>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lang w:val="en-GB"/>
      </w:rPr>
    </w:lvl>
    <w:lvl w:ilvl="2">
      <w:start w:val="1"/>
      <w:numFmt w:val="decimal"/>
      <w:lvlText w:val="%1.%2.%3"/>
      <w:lvlJc w:val="left"/>
      <w:pPr>
        <w:tabs>
          <w:tab w:val="num" w:pos="0"/>
        </w:tabs>
        <w:ind w:left="0" w:firstLine="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80"/>
        </w:tabs>
        <w:ind w:left="1008" w:hanging="1008"/>
      </w:pPr>
      <w:rPr>
        <w:rFonts w:hint="default"/>
      </w:rPr>
    </w:lvl>
    <w:lvl w:ilvl="5">
      <w:start w:val="1"/>
      <w:numFmt w:val="decimal"/>
      <w:lvlText w:val="%1.%2.%3.%4.%5.%6"/>
      <w:lvlJc w:val="left"/>
      <w:pPr>
        <w:tabs>
          <w:tab w:val="num" w:pos="1440"/>
        </w:tabs>
        <w:ind w:left="1152" w:hanging="1152"/>
      </w:pPr>
      <w:rPr>
        <w:rFonts w:hint="default"/>
      </w:rPr>
    </w:lvl>
    <w:lvl w:ilvl="6">
      <w:start w:val="1"/>
      <w:numFmt w:val="decimal"/>
      <w:lvlText w:val="%1.%2.%3.%4.%5.%6.%7"/>
      <w:lvlJc w:val="left"/>
      <w:pPr>
        <w:tabs>
          <w:tab w:val="num" w:pos="1800"/>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45" w15:restartNumberingAfterBreak="0">
    <w:nsid w:val="191606BB"/>
    <w:multiLevelType w:val="hybridMultilevel"/>
    <w:tmpl w:val="CBAAB2E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 w15:restartNumberingAfterBreak="0">
    <w:nsid w:val="194779C8"/>
    <w:multiLevelType w:val="hybridMultilevel"/>
    <w:tmpl w:val="F8E63A56"/>
    <w:lvl w:ilvl="0" w:tplc="115E7FE2">
      <w:start w:val="1"/>
      <w:numFmt w:val="decimal"/>
      <w:pStyle w:val="Steps-9thset"/>
      <w:lvlText w:val="Step %1."/>
      <w:lvlJc w:val="left"/>
      <w:pPr>
        <w:tabs>
          <w:tab w:val="num" w:pos="936"/>
        </w:tabs>
        <w:ind w:left="936" w:hanging="936"/>
      </w:pPr>
      <w:rPr>
        <w:rFonts w:ascii="Times New Roman" w:hAnsi="Times New Roman" w:hint="default"/>
        <w:b/>
        <w:i w:val="0"/>
        <w:caps w:val="0"/>
        <w:strike w:val="0"/>
        <w:dstrike w:val="0"/>
        <w:vanish w:val="0"/>
        <w:color w:val="000000"/>
        <w:sz w:val="24"/>
        <w:effect w:val="none"/>
        <w:vertAlign w:val="baseline"/>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7" w15:restartNumberingAfterBreak="0">
    <w:nsid w:val="19812932"/>
    <w:multiLevelType w:val="multilevel"/>
    <w:tmpl w:val="65AB0AE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8" w15:restartNumberingAfterBreak="0">
    <w:nsid w:val="19980F90"/>
    <w:multiLevelType w:val="hybridMultilevel"/>
    <w:tmpl w:val="95A8CD30"/>
    <w:name w:val="Heading2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9" w15:restartNumberingAfterBreak="0">
    <w:nsid w:val="19AF1734"/>
    <w:multiLevelType w:val="hybridMultilevel"/>
    <w:tmpl w:val="A264710E"/>
    <w:lvl w:ilvl="0" w:tplc="08090001">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0" w15:restartNumberingAfterBreak="0">
    <w:nsid w:val="1AB66554"/>
    <w:multiLevelType w:val="singleLevel"/>
    <w:tmpl w:val="F3E2B79E"/>
    <w:lvl w:ilvl="0">
      <w:start w:val="1"/>
      <w:numFmt w:val="decimal"/>
      <w:pStyle w:val="a"/>
      <w:lvlText w:val="图 %1 "/>
      <w:lvlJc w:val="left"/>
      <w:pPr>
        <w:tabs>
          <w:tab w:val="num" w:pos="720"/>
        </w:tabs>
        <w:ind w:left="0" w:firstLine="0"/>
      </w:pPr>
      <w:rPr>
        <w:rFonts w:ascii="Times New Roman" w:hAnsi="Times New Roman" w:hint="default"/>
      </w:rPr>
    </w:lvl>
  </w:abstractNum>
  <w:abstractNum w:abstractNumId="51" w15:restartNumberingAfterBreak="0">
    <w:nsid w:val="1AF1556A"/>
    <w:multiLevelType w:val="multilevel"/>
    <w:tmpl w:val="1AF1556A"/>
    <w:lvl w:ilvl="0">
      <w:start w:val="1"/>
      <w:numFmt w:val="decimal"/>
      <w:pStyle w:val="Proposalstylenokia2023"/>
      <w:suff w:val="space"/>
      <w:lvlText w:val="Proposal %1:"/>
      <w:lvlJc w:val="left"/>
      <w:pPr>
        <w:ind w:left="0" w:firstLine="0"/>
      </w:pPr>
      <w:rPr>
        <w:rFonts w:hint="default"/>
        <w:b/>
        <w:i w:val="0"/>
        <w:sz w:val="20"/>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52" w15:restartNumberingAfterBreak="0">
    <w:nsid w:val="1B757EF0"/>
    <w:multiLevelType w:val="hybridMultilevel"/>
    <w:tmpl w:val="BB10045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3" w15:restartNumberingAfterBreak="0">
    <w:nsid w:val="1B7E7500"/>
    <w:multiLevelType w:val="hybridMultilevel"/>
    <w:tmpl w:val="67BE3E1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4" w15:restartNumberingAfterBreak="0">
    <w:nsid w:val="1B8B63C8"/>
    <w:multiLevelType w:val="hybridMultilevel"/>
    <w:tmpl w:val="15746D2A"/>
    <w:lvl w:ilvl="0" w:tplc="3CDE6342">
      <w:start w:val="1"/>
      <w:numFmt w:val="decimal"/>
      <w:pStyle w:val="Reference"/>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5" w15:restartNumberingAfterBreak="0">
    <w:nsid w:val="1C38591C"/>
    <w:multiLevelType w:val="hybridMultilevel"/>
    <w:tmpl w:val="ACB4E0C0"/>
    <w:lvl w:ilvl="0" w:tplc="484C16D4">
      <w:start w:val="5"/>
      <w:numFmt w:val="bullet"/>
      <w:lvlText w:val="-"/>
      <w:lvlJc w:val="left"/>
      <w:pPr>
        <w:ind w:left="720" w:hanging="360"/>
      </w:pPr>
      <w:rPr>
        <w:rFonts w:ascii="Arial Narrow" w:eastAsiaTheme="minorEastAsia" w:hAnsi="Arial Narrow"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6" w15:restartNumberingAfterBreak="0">
    <w:nsid w:val="1C756993"/>
    <w:multiLevelType w:val="hybridMultilevel"/>
    <w:tmpl w:val="1A2085E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7" w15:restartNumberingAfterBreak="0">
    <w:nsid w:val="1DE05AF2"/>
    <w:multiLevelType w:val="multilevel"/>
    <w:tmpl w:val="BEFA154A"/>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Courier New" w:hAnsi="Courier New" w:hint="default"/>
      </w:rPr>
    </w:lvl>
    <w:lvl w:ilvl="2">
      <w:start w:val="1"/>
      <w:numFmt w:val="bullet"/>
      <w:lvlText w:val=""/>
      <w:lvlJc w:val="left"/>
      <w:pPr>
        <w:ind w:left="1280" w:hanging="44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8" w15:restartNumberingAfterBreak="0">
    <w:nsid w:val="1E1D086A"/>
    <w:multiLevelType w:val="multilevel"/>
    <w:tmpl w:val="65AB0AE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9" w15:restartNumberingAfterBreak="0">
    <w:nsid w:val="1E6C4B7F"/>
    <w:multiLevelType w:val="hybridMultilevel"/>
    <w:tmpl w:val="2612FA4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0" w15:restartNumberingAfterBreak="0">
    <w:nsid w:val="1F25087A"/>
    <w:multiLevelType w:val="multilevel"/>
    <w:tmpl w:val="1F25087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1" w15:restartNumberingAfterBreak="0">
    <w:nsid w:val="1FE25A94"/>
    <w:multiLevelType w:val="hybridMultilevel"/>
    <w:tmpl w:val="32A2DDA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2" w15:restartNumberingAfterBreak="0">
    <w:nsid w:val="22BC320B"/>
    <w:multiLevelType w:val="hybridMultilevel"/>
    <w:tmpl w:val="0264231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3" w15:restartNumberingAfterBreak="0">
    <w:nsid w:val="22C050E5"/>
    <w:multiLevelType w:val="multilevel"/>
    <w:tmpl w:val="9FF2ACC4"/>
    <w:styleLink w:val="1"/>
    <w:lvl w:ilvl="0">
      <w:start w:val="5"/>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lang w:val="en-GB"/>
      </w:rPr>
    </w:lvl>
    <w:lvl w:ilvl="2">
      <w:start w:val="1"/>
      <w:numFmt w:val="decimal"/>
      <w:lvlText w:val="%1.%2.%3"/>
      <w:lvlJc w:val="left"/>
      <w:pPr>
        <w:tabs>
          <w:tab w:val="num" w:pos="0"/>
        </w:tabs>
        <w:ind w:left="0" w:firstLine="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80"/>
        </w:tabs>
        <w:ind w:left="1008" w:hanging="1008"/>
      </w:pPr>
      <w:rPr>
        <w:rFonts w:hint="default"/>
      </w:rPr>
    </w:lvl>
    <w:lvl w:ilvl="5">
      <w:start w:val="1"/>
      <w:numFmt w:val="decimal"/>
      <w:lvlText w:val="%1.%2.%3.%4.%5.%6"/>
      <w:lvlJc w:val="left"/>
      <w:pPr>
        <w:tabs>
          <w:tab w:val="num" w:pos="1440"/>
        </w:tabs>
        <w:ind w:left="1152" w:hanging="1152"/>
      </w:pPr>
      <w:rPr>
        <w:rFonts w:hint="default"/>
      </w:rPr>
    </w:lvl>
    <w:lvl w:ilvl="6">
      <w:start w:val="1"/>
      <w:numFmt w:val="decimal"/>
      <w:lvlText w:val="%1.%2.%3.%4.%5.%6.%7"/>
      <w:lvlJc w:val="left"/>
      <w:pPr>
        <w:tabs>
          <w:tab w:val="num" w:pos="1800"/>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64" w15:restartNumberingAfterBreak="0">
    <w:nsid w:val="22CD5CC0"/>
    <w:multiLevelType w:val="hybridMultilevel"/>
    <w:tmpl w:val="F594C524"/>
    <w:lvl w:ilvl="0" w:tplc="08090001">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65" w15:restartNumberingAfterBreak="0">
    <w:nsid w:val="22D21819"/>
    <w:multiLevelType w:val="hybridMultilevel"/>
    <w:tmpl w:val="974A91A0"/>
    <w:lvl w:ilvl="0" w:tplc="9BEE8682">
      <w:start w:val="1"/>
      <w:numFmt w:val="bullet"/>
      <w:pStyle w:val="ComeBack"/>
      <w:lvlText w:val=""/>
      <w:lvlJc w:val="left"/>
      <w:pPr>
        <w:tabs>
          <w:tab w:val="num" w:pos="1259"/>
        </w:tabs>
        <w:ind w:left="1622" w:hanging="1055"/>
      </w:pPr>
      <w:rPr>
        <w:rFonts w:ascii="Wingdings" w:hAnsi="Wingdings" w:hint="default"/>
        <w:b/>
        <w:i w:val="0"/>
        <w:sz w:val="22"/>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6" w15:restartNumberingAfterBreak="0">
    <w:nsid w:val="23907849"/>
    <w:multiLevelType w:val="hybridMultilevel"/>
    <w:tmpl w:val="669CF8A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7" w15:restartNumberingAfterBreak="0">
    <w:nsid w:val="23B7565E"/>
    <w:multiLevelType w:val="multilevel"/>
    <w:tmpl w:val="23B7565E"/>
    <w:lvl w:ilvl="0">
      <w:start w:val="1"/>
      <w:numFmt w:val="decimal"/>
      <w:pStyle w:val="IEEEStdsRegularTableCaption"/>
      <w:lvlText w:val="Table %1"/>
      <w:lvlJc w:val="center"/>
      <w:pPr>
        <w:tabs>
          <w:tab w:val="left" w:pos="1080"/>
        </w:tabs>
        <w:ind w:left="0" w:firstLine="0"/>
      </w:pPr>
      <w:rPr>
        <w:rFonts w:ascii="Arial" w:hAnsi="Arial" w:hint="default"/>
        <w:b/>
        <w:i w:val="0"/>
        <w:caps w:val="0"/>
        <w:strike w:val="0"/>
        <w:dstrike w:val="0"/>
        <w:vanish w:val="0"/>
        <w:color w:val="000000"/>
        <w:sz w:val="20"/>
        <w:vertAlign w:val="baseli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8" w15:restartNumberingAfterBreak="0">
    <w:nsid w:val="241328F0"/>
    <w:multiLevelType w:val="hybridMultilevel"/>
    <w:tmpl w:val="63E2574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9" w15:restartNumberingAfterBreak="0">
    <w:nsid w:val="243D69F5"/>
    <w:multiLevelType w:val="hybridMultilevel"/>
    <w:tmpl w:val="4AB4415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0" w15:restartNumberingAfterBreak="0">
    <w:nsid w:val="25030C8D"/>
    <w:multiLevelType w:val="hybridMultilevel"/>
    <w:tmpl w:val="3DEACDB6"/>
    <w:lvl w:ilvl="0" w:tplc="484C16D4">
      <w:start w:val="5"/>
      <w:numFmt w:val="bullet"/>
      <w:lvlText w:val="-"/>
      <w:lvlJc w:val="left"/>
      <w:pPr>
        <w:ind w:left="720" w:hanging="360"/>
      </w:pPr>
      <w:rPr>
        <w:rFonts w:ascii="Arial Narrow" w:eastAsiaTheme="minorEastAsia" w:hAnsi="Arial Narrow"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1" w15:restartNumberingAfterBreak="0">
    <w:nsid w:val="259B7128"/>
    <w:multiLevelType w:val="hybridMultilevel"/>
    <w:tmpl w:val="848A4610"/>
    <w:lvl w:ilvl="0" w:tplc="2EFCE82A">
      <w:start w:val="1"/>
      <w:numFmt w:val="bullet"/>
      <w:pStyle w:val="Proposalsub"/>
      <w:lvlText w:val=""/>
      <w:lvlJc w:val="left"/>
      <w:pPr>
        <w:ind w:left="1160" w:hanging="360"/>
      </w:pPr>
      <w:rPr>
        <w:rFonts w:ascii="Symbol" w:hAnsi="Symbol" w:hint="default"/>
      </w:rPr>
    </w:lvl>
    <w:lvl w:ilvl="1" w:tplc="6B7CCCE8">
      <w:numFmt w:val="bullet"/>
      <w:pStyle w:val="Proposalsubsub"/>
      <w:lvlText w:val="-"/>
      <w:lvlJc w:val="left"/>
      <w:pPr>
        <w:ind w:left="1600" w:hanging="400"/>
      </w:pPr>
      <w:rPr>
        <w:rFonts w:ascii="Times New Roman" w:eastAsia="Batang" w:hAnsi="Times New Roman" w:cs="Times New Roman" w:hint="default"/>
      </w:rPr>
    </w:lvl>
    <w:lvl w:ilvl="2" w:tplc="04090005">
      <w:start w:val="1"/>
      <w:numFmt w:val="bullet"/>
      <w:lvlText w:val=""/>
      <w:lvlJc w:val="left"/>
      <w:pPr>
        <w:ind w:left="2000" w:hanging="400"/>
      </w:pPr>
      <w:rPr>
        <w:rFonts w:ascii="Wingdings" w:hAnsi="Wingdings" w:hint="default"/>
      </w:rPr>
    </w:lvl>
    <w:lvl w:ilvl="3" w:tplc="04090001" w:tentative="1">
      <w:start w:val="1"/>
      <w:numFmt w:val="bullet"/>
      <w:lvlText w:val=""/>
      <w:lvlJc w:val="left"/>
      <w:pPr>
        <w:ind w:left="2400" w:hanging="400"/>
      </w:pPr>
      <w:rPr>
        <w:rFonts w:ascii="Wingdings" w:hAnsi="Wingdings" w:hint="default"/>
      </w:rPr>
    </w:lvl>
    <w:lvl w:ilvl="4" w:tplc="04090003" w:tentative="1">
      <w:start w:val="1"/>
      <w:numFmt w:val="bullet"/>
      <w:lvlText w:val=""/>
      <w:lvlJc w:val="left"/>
      <w:pPr>
        <w:ind w:left="2800" w:hanging="400"/>
      </w:pPr>
      <w:rPr>
        <w:rFonts w:ascii="Wingdings" w:hAnsi="Wingdings" w:hint="default"/>
      </w:rPr>
    </w:lvl>
    <w:lvl w:ilvl="5" w:tplc="04090005" w:tentative="1">
      <w:start w:val="1"/>
      <w:numFmt w:val="bullet"/>
      <w:lvlText w:val=""/>
      <w:lvlJc w:val="left"/>
      <w:pPr>
        <w:ind w:left="3200" w:hanging="400"/>
      </w:pPr>
      <w:rPr>
        <w:rFonts w:ascii="Wingdings" w:hAnsi="Wingdings" w:hint="default"/>
      </w:rPr>
    </w:lvl>
    <w:lvl w:ilvl="6" w:tplc="04090001" w:tentative="1">
      <w:start w:val="1"/>
      <w:numFmt w:val="bullet"/>
      <w:lvlText w:val=""/>
      <w:lvlJc w:val="left"/>
      <w:pPr>
        <w:ind w:left="3600" w:hanging="400"/>
      </w:pPr>
      <w:rPr>
        <w:rFonts w:ascii="Wingdings" w:hAnsi="Wingdings" w:hint="default"/>
      </w:rPr>
    </w:lvl>
    <w:lvl w:ilvl="7" w:tplc="04090003" w:tentative="1">
      <w:start w:val="1"/>
      <w:numFmt w:val="bullet"/>
      <w:lvlText w:val=""/>
      <w:lvlJc w:val="left"/>
      <w:pPr>
        <w:ind w:left="4000" w:hanging="400"/>
      </w:pPr>
      <w:rPr>
        <w:rFonts w:ascii="Wingdings" w:hAnsi="Wingdings" w:hint="default"/>
      </w:rPr>
    </w:lvl>
    <w:lvl w:ilvl="8" w:tplc="04090005" w:tentative="1">
      <w:start w:val="1"/>
      <w:numFmt w:val="bullet"/>
      <w:lvlText w:val=""/>
      <w:lvlJc w:val="left"/>
      <w:pPr>
        <w:ind w:left="4400" w:hanging="400"/>
      </w:pPr>
      <w:rPr>
        <w:rFonts w:ascii="Wingdings" w:hAnsi="Wingdings" w:hint="default"/>
      </w:rPr>
    </w:lvl>
  </w:abstractNum>
  <w:abstractNum w:abstractNumId="72" w15:restartNumberingAfterBreak="0">
    <w:nsid w:val="268900A3"/>
    <w:multiLevelType w:val="multilevel"/>
    <w:tmpl w:val="268900A3"/>
    <w:lvl w:ilvl="0">
      <w:start w:val="4"/>
      <w:numFmt w:val="bullet"/>
      <w:lvlText w:val="-"/>
      <w:lvlJc w:val="left"/>
      <w:pPr>
        <w:ind w:left="1305" w:hanging="420"/>
      </w:pPr>
      <w:rPr>
        <w:rFonts w:ascii="Arial" w:eastAsia="Times New Roman" w:hAnsi="Arial" w:cs="Arial" w:hint="default"/>
      </w:rPr>
    </w:lvl>
    <w:lvl w:ilvl="1">
      <w:numFmt w:val="bullet"/>
      <w:lvlText w:val="-"/>
      <w:lvlJc w:val="left"/>
      <w:pPr>
        <w:ind w:left="1665" w:hanging="360"/>
      </w:pPr>
      <w:rPr>
        <w:rFonts w:ascii="Times New Roman" w:eastAsia="Calibri" w:hAnsi="Times New Roman" w:cs="Times New Roman" w:hint="default"/>
      </w:rPr>
    </w:lvl>
    <w:lvl w:ilvl="2">
      <w:start w:val="1"/>
      <w:numFmt w:val="bullet"/>
      <w:lvlText w:val=""/>
      <w:lvlJc w:val="left"/>
      <w:pPr>
        <w:ind w:left="2145" w:hanging="420"/>
      </w:pPr>
      <w:rPr>
        <w:rFonts w:ascii="Wingdings" w:hAnsi="Wingdings" w:hint="default"/>
      </w:rPr>
    </w:lvl>
    <w:lvl w:ilvl="3">
      <w:start w:val="1"/>
      <w:numFmt w:val="bullet"/>
      <w:lvlText w:val=""/>
      <w:lvlJc w:val="left"/>
      <w:pPr>
        <w:ind w:left="2565" w:hanging="420"/>
      </w:pPr>
      <w:rPr>
        <w:rFonts w:ascii="Wingdings" w:hAnsi="Wingdings" w:hint="default"/>
      </w:rPr>
    </w:lvl>
    <w:lvl w:ilvl="4">
      <w:start w:val="1"/>
      <w:numFmt w:val="bullet"/>
      <w:lvlText w:val=""/>
      <w:lvlJc w:val="left"/>
      <w:pPr>
        <w:ind w:left="2985" w:hanging="420"/>
      </w:pPr>
      <w:rPr>
        <w:rFonts w:ascii="Wingdings" w:hAnsi="Wingdings" w:hint="default"/>
      </w:rPr>
    </w:lvl>
    <w:lvl w:ilvl="5">
      <w:start w:val="1"/>
      <w:numFmt w:val="bullet"/>
      <w:lvlText w:val=""/>
      <w:lvlJc w:val="left"/>
      <w:pPr>
        <w:ind w:left="3405" w:hanging="420"/>
      </w:pPr>
      <w:rPr>
        <w:rFonts w:ascii="Wingdings" w:hAnsi="Wingdings" w:hint="default"/>
      </w:rPr>
    </w:lvl>
    <w:lvl w:ilvl="6">
      <w:start w:val="1"/>
      <w:numFmt w:val="bullet"/>
      <w:lvlText w:val=""/>
      <w:lvlJc w:val="left"/>
      <w:pPr>
        <w:ind w:left="3825" w:hanging="420"/>
      </w:pPr>
      <w:rPr>
        <w:rFonts w:ascii="Wingdings" w:hAnsi="Wingdings" w:hint="default"/>
      </w:rPr>
    </w:lvl>
    <w:lvl w:ilvl="7">
      <w:start w:val="1"/>
      <w:numFmt w:val="bullet"/>
      <w:lvlText w:val=""/>
      <w:lvlJc w:val="left"/>
      <w:pPr>
        <w:ind w:left="4245" w:hanging="420"/>
      </w:pPr>
      <w:rPr>
        <w:rFonts w:ascii="Wingdings" w:hAnsi="Wingdings" w:hint="default"/>
      </w:rPr>
    </w:lvl>
    <w:lvl w:ilvl="8">
      <w:start w:val="1"/>
      <w:numFmt w:val="bullet"/>
      <w:lvlText w:val=""/>
      <w:lvlJc w:val="left"/>
      <w:pPr>
        <w:ind w:left="4665" w:hanging="420"/>
      </w:pPr>
      <w:rPr>
        <w:rFonts w:ascii="Wingdings" w:hAnsi="Wingdings" w:hint="default"/>
      </w:rPr>
    </w:lvl>
  </w:abstractNum>
  <w:abstractNum w:abstractNumId="73" w15:restartNumberingAfterBreak="0">
    <w:nsid w:val="26E37CC6"/>
    <w:multiLevelType w:val="hybridMultilevel"/>
    <w:tmpl w:val="29E811C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4" w15:restartNumberingAfterBreak="0">
    <w:nsid w:val="272A2E9E"/>
    <w:multiLevelType w:val="hybridMultilevel"/>
    <w:tmpl w:val="FA346A54"/>
    <w:lvl w:ilvl="0" w:tplc="E0A8456E">
      <w:start w:val="16"/>
      <w:numFmt w:val="bullet"/>
      <w:lvlText w:val="-"/>
      <w:lvlJc w:val="left"/>
      <w:pPr>
        <w:ind w:left="720" w:hanging="360"/>
      </w:pPr>
      <w:rPr>
        <w:rFonts w:ascii="Times New Roman" w:eastAsia="Times New Roman" w:hAnsi="Times New Roman"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75" w15:restartNumberingAfterBreak="0">
    <w:nsid w:val="27DD7434"/>
    <w:multiLevelType w:val="hybridMultilevel"/>
    <w:tmpl w:val="8FDEABD0"/>
    <w:lvl w:ilvl="0" w:tplc="A6B036A2">
      <w:start w:val="5"/>
      <w:numFmt w:val="bullet"/>
      <w:lvlText w:val="-"/>
      <w:lvlJc w:val="left"/>
      <w:pPr>
        <w:ind w:left="420" w:hanging="420"/>
      </w:pPr>
      <w:rPr>
        <w:rFonts w:ascii="Arial" w:eastAsia="SimSun"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6" w15:restartNumberingAfterBreak="0">
    <w:nsid w:val="282E2A88"/>
    <w:multiLevelType w:val="multilevel"/>
    <w:tmpl w:val="282E2A88"/>
    <w:lvl w:ilvl="0">
      <w:start w:val="1"/>
      <w:numFmt w:val="decimal"/>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77" w15:restartNumberingAfterBreak="0">
    <w:nsid w:val="28404AC7"/>
    <w:multiLevelType w:val="hybridMultilevel"/>
    <w:tmpl w:val="25AC8F72"/>
    <w:lvl w:ilvl="0" w:tplc="20000001">
      <w:start w:val="1"/>
      <w:numFmt w:val="bullet"/>
      <w:lvlText w:val=""/>
      <w:lvlJc w:val="left"/>
      <w:pPr>
        <w:ind w:left="1159" w:hanging="360"/>
      </w:pPr>
      <w:rPr>
        <w:rFonts w:ascii="Symbol" w:hAnsi="Symbol" w:hint="default"/>
      </w:rPr>
    </w:lvl>
    <w:lvl w:ilvl="1" w:tplc="20000003">
      <w:start w:val="1"/>
      <w:numFmt w:val="bullet"/>
      <w:lvlText w:val="o"/>
      <w:lvlJc w:val="left"/>
      <w:pPr>
        <w:ind w:left="1879" w:hanging="360"/>
      </w:pPr>
      <w:rPr>
        <w:rFonts w:ascii="Courier New" w:hAnsi="Courier New" w:cs="Courier New" w:hint="default"/>
      </w:rPr>
    </w:lvl>
    <w:lvl w:ilvl="2" w:tplc="20000005" w:tentative="1">
      <w:start w:val="1"/>
      <w:numFmt w:val="bullet"/>
      <w:lvlText w:val=""/>
      <w:lvlJc w:val="left"/>
      <w:pPr>
        <w:ind w:left="2599" w:hanging="360"/>
      </w:pPr>
      <w:rPr>
        <w:rFonts w:ascii="Wingdings" w:hAnsi="Wingdings" w:hint="default"/>
      </w:rPr>
    </w:lvl>
    <w:lvl w:ilvl="3" w:tplc="20000001" w:tentative="1">
      <w:start w:val="1"/>
      <w:numFmt w:val="bullet"/>
      <w:lvlText w:val=""/>
      <w:lvlJc w:val="left"/>
      <w:pPr>
        <w:ind w:left="3319" w:hanging="360"/>
      </w:pPr>
      <w:rPr>
        <w:rFonts w:ascii="Symbol" w:hAnsi="Symbol" w:hint="default"/>
      </w:rPr>
    </w:lvl>
    <w:lvl w:ilvl="4" w:tplc="20000003" w:tentative="1">
      <w:start w:val="1"/>
      <w:numFmt w:val="bullet"/>
      <w:lvlText w:val="o"/>
      <w:lvlJc w:val="left"/>
      <w:pPr>
        <w:ind w:left="4039" w:hanging="360"/>
      </w:pPr>
      <w:rPr>
        <w:rFonts w:ascii="Courier New" w:hAnsi="Courier New" w:cs="Courier New" w:hint="default"/>
      </w:rPr>
    </w:lvl>
    <w:lvl w:ilvl="5" w:tplc="20000005" w:tentative="1">
      <w:start w:val="1"/>
      <w:numFmt w:val="bullet"/>
      <w:lvlText w:val=""/>
      <w:lvlJc w:val="left"/>
      <w:pPr>
        <w:ind w:left="4759" w:hanging="360"/>
      </w:pPr>
      <w:rPr>
        <w:rFonts w:ascii="Wingdings" w:hAnsi="Wingdings" w:hint="default"/>
      </w:rPr>
    </w:lvl>
    <w:lvl w:ilvl="6" w:tplc="20000001" w:tentative="1">
      <w:start w:val="1"/>
      <w:numFmt w:val="bullet"/>
      <w:lvlText w:val=""/>
      <w:lvlJc w:val="left"/>
      <w:pPr>
        <w:ind w:left="5479" w:hanging="360"/>
      </w:pPr>
      <w:rPr>
        <w:rFonts w:ascii="Symbol" w:hAnsi="Symbol" w:hint="default"/>
      </w:rPr>
    </w:lvl>
    <w:lvl w:ilvl="7" w:tplc="20000003" w:tentative="1">
      <w:start w:val="1"/>
      <w:numFmt w:val="bullet"/>
      <w:lvlText w:val="o"/>
      <w:lvlJc w:val="left"/>
      <w:pPr>
        <w:ind w:left="6199" w:hanging="360"/>
      </w:pPr>
      <w:rPr>
        <w:rFonts w:ascii="Courier New" w:hAnsi="Courier New" w:cs="Courier New" w:hint="default"/>
      </w:rPr>
    </w:lvl>
    <w:lvl w:ilvl="8" w:tplc="20000005" w:tentative="1">
      <w:start w:val="1"/>
      <w:numFmt w:val="bullet"/>
      <w:lvlText w:val=""/>
      <w:lvlJc w:val="left"/>
      <w:pPr>
        <w:ind w:left="6919" w:hanging="360"/>
      </w:pPr>
      <w:rPr>
        <w:rFonts w:ascii="Wingdings" w:hAnsi="Wingdings" w:hint="default"/>
      </w:rPr>
    </w:lvl>
  </w:abstractNum>
  <w:abstractNum w:abstractNumId="78" w15:restartNumberingAfterBreak="0">
    <w:nsid w:val="28D70307"/>
    <w:multiLevelType w:val="hybridMultilevel"/>
    <w:tmpl w:val="8618C40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9" w15:restartNumberingAfterBreak="0">
    <w:nsid w:val="28F86914"/>
    <w:multiLevelType w:val="multilevel"/>
    <w:tmpl w:val="BAB2F10C"/>
    <w:lvl w:ilvl="0">
      <w:start w:val="1"/>
      <w:numFmt w:val="decimal"/>
      <w:pStyle w:val="title1"/>
      <w:lvlText w:val="%1."/>
      <w:lvlJc w:val="left"/>
      <w:pPr>
        <w:ind w:left="4537" w:hanging="425"/>
      </w:pPr>
    </w:lvl>
    <w:lvl w:ilvl="1">
      <w:start w:val="1"/>
      <w:numFmt w:val="decimal"/>
      <w:pStyle w:val="title2"/>
      <w:lvlText w:val="%1.%2."/>
      <w:lvlJc w:val="left"/>
      <w:pPr>
        <w:ind w:left="567" w:hanging="567"/>
      </w:pPr>
    </w:lvl>
    <w:lvl w:ilvl="2">
      <w:start w:val="1"/>
      <w:numFmt w:val="decimal"/>
      <w:pStyle w:val="title3"/>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80" w15:restartNumberingAfterBreak="0">
    <w:nsid w:val="29543C2B"/>
    <w:multiLevelType w:val="multilevel"/>
    <w:tmpl w:val="29543C2B"/>
    <w:lvl w:ilvl="0">
      <w:start w:val="1"/>
      <w:numFmt w:val="bullet"/>
      <w:lvlText w:val=""/>
      <w:lvlJc w:val="left"/>
      <w:pPr>
        <w:ind w:left="927" w:hanging="360"/>
      </w:pPr>
      <w:rPr>
        <w:rFonts w:ascii="Symbol" w:hAnsi="Symbol" w:hint="default"/>
      </w:rPr>
    </w:lvl>
    <w:lvl w:ilvl="1">
      <w:start w:val="1"/>
      <w:numFmt w:val="bullet"/>
      <w:lvlText w:val="o"/>
      <w:lvlJc w:val="left"/>
      <w:pPr>
        <w:ind w:left="1647" w:hanging="360"/>
      </w:pPr>
      <w:rPr>
        <w:rFonts w:ascii="Courier New" w:hAnsi="Courier New" w:cs="Courier New" w:hint="default"/>
      </w:rPr>
    </w:lvl>
    <w:lvl w:ilvl="2">
      <w:start w:val="1"/>
      <w:numFmt w:val="bullet"/>
      <w:lvlText w:val=""/>
      <w:lvlJc w:val="left"/>
      <w:pPr>
        <w:ind w:left="2367" w:hanging="360"/>
      </w:pPr>
      <w:rPr>
        <w:rFonts w:ascii="Wingdings" w:hAnsi="Wingdings" w:hint="default"/>
      </w:rPr>
    </w:lvl>
    <w:lvl w:ilvl="3">
      <w:start w:val="1"/>
      <w:numFmt w:val="bullet"/>
      <w:lvlText w:val=""/>
      <w:lvlJc w:val="left"/>
      <w:pPr>
        <w:ind w:left="3087" w:hanging="360"/>
      </w:pPr>
      <w:rPr>
        <w:rFonts w:ascii="Symbol" w:hAnsi="Symbol" w:hint="default"/>
      </w:rPr>
    </w:lvl>
    <w:lvl w:ilvl="4">
      <w:start w:val="1"/>
      <w:numFmt w:val="bullet"/>
      <w:lvlText w:val="o"/>
      <w:lvlJc w:val="left"/>
      <w:pPr>
        <w:ind w:left="3807" w:hanging="360"/>
      </w:pPr>
      <w:rPr>
        <w:rFonts w:ascii="Courier New" w:hAnsi="Courier New" w:cs="Courier New" w:hint="default"/>
      </w:rPr>
    </w:lvl>
    <w:lvl w:ilvl="5">
      <w:start w:val="1"/>
      <w:numFmt w:val="bullet"/>
      <w:lvlText w:val=""/>
      <w:lvlJc w:val="left"/>
      <w:pPr>
        <w:ind w:left="4527" w:hanging="360"/>
      </w:pPr>
      <w:rPr>
        <w:rFonts w:ascii="Wingdings" w:hAnsi="Wingdings" w:hint="default"/>
      </w:rPr>
    </w:lvl>
    <w:lvl w:ilvl="6">
      <w:start w:val="1"/>
      <w:numFmt w:val="bullet"/>
      <w:lvlText w:val=""/>
      <w:lvlJc w:val="left"/>
      <w:pPr>
        <w:ind w:left="5247" w:hanging="360"/>
      </w:pPr>
      <w:rPr>
        <w:rFonts w:ascii="Symbol" w:hAnsi="Symbol" w:hint="default"/>
      </w:rPr>
    </w:lvl>
    <w:lvl w:ilvl="7">
      <w:start w:val="1"/>
      <w:numFmt w:val="bullet"/>
      <w:lvlText w:val="o"/>
      <w:lvlJc w:val="left"/>
      <w:pPr>
        <w:ind w:left="5967" w:hanging="360"/>
      </w:pPr>
      <w:rPr>
        <w:rFonts w:ascii="Courier New" w:hAnsi="Courier New" w:cs="Courier New" w:hint="default"/>
      </w:rPr>
    </w:lvl>
    <w:lvl w:ilvl="8">
      <w:start w:val="1"/>
      <w:numFmt w:val="bullet"/>
      <w:lvlText w:val=""/>
      <w:lvlJc w:val="left"/>
      <w:pPr>
        <w:ind w:left="6687" w:hanging="360"/>
      </w:pPr>
      <w:rPr>
        <w:rFonts w:ascii="Wingdings" w:hAnsi="Wingdings" w:hint="default"/>
      </w:rPr>
    </w:lvl>
  </w:abstractNum>
  <w:abstractNum w:abstractNumId="81" w15:restartNumberingAfterBreak="0">
    <w:nsid w:val="29F42838"/>
    <w:multiLevelType w:val="multilevel"/>
    <w:tmpl w:val="29F42838"/>
    <w:lvl w:ilvl="0">
      <w:start w:val="1"/>
      <w:numFmt w:val="decimal"/>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82" w15:restartNumberingAfterBreak="0">
    <w:nsid w:val="2A762B8B"/>
    <w:multiLevelType w:val="multilevel"/>
    <w:tmpl w:val="2A762B8B"/>
    <w:lvl w:ilvl="0">
      <w:start w:val="150"/>
      <w:numFmt w:val="bullet"/>
      <w:lvlText w:val="-"/>
      <w:lvlJc w:val="left"/>
      <w:pPr>
        <w:ind w:left="72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3" w15:restartNumberingAfterBreak="0">
    <w:nsid w:val="2AF40E6E"/>
    <w:multiLevelType w:val="multilevel"/>
    <w:tmpl w:val="2AF40E6E"/>
    <w:lvl w:ilvl="0">
      <w:start w:val="1"/>
      <w:numFmt w:val="bullet"/>
      <w:pStyle w:val="LGTdoc"/>
      <w:lvlText w:val=""/>
      <w:lvlJc w:val="left"/>
      <w:pPr>
        <w:tabs>
          <w:tab w:val="left" w:pos="800"/>
        </w:tabs>
        <w:ind w:left="800" w:hanging="400"/>
      </w:pPr>
      <w:rPr>
        <w:rFonts w:ascii="Wingdings" w:hAnsi="Wingdings" w:hint="default"/>
      </w:rPr>
    </w:lvl>
    <w:lvl w:ilvl="1">
      <w:start w:val="1"/>
      <w:numFmt w:val="bullet"/>
      <w:lvlText w:val=""/>
      <w:lvlJc w:val="left"/>
      <w:pPr>
        <w:tabs>
          <w:tab w:val="left" w:pos="1200"/>
        </w:tabs>
        <w:ind w:left="1200" w:hanging="400"/>
      </w:pPr>
      <w:rPr>
        <w:rFonts w:ascii="Wingdings" w:hAnsi="Wingdings" w:hint="default"/>
      </w:rPr>
    </w:lvl>
    <w:lvl w:ilvl="2">
      <w:start w:val="1"/>
      <w:numFmt w:val="bullet"/>
      <w:lvlText w:val=""/>
      <w:lvlJc w:val="left"/>
      <w:pPr>
        <w:tabs>
          <w:tab w:val="left" w:pos="1600"/>
        </w:tabs>
        <w:ind w:left="1600" w:hanging="400"/>
      </w:pPr>
      <w:rPr>
        <w:rFonts w:ascii="Wingdings" w:hAnsi="Wingdings" w:hint="default"/>
      </w:rPr>
    </w:lvl>
    <w:lvl w:ilvl="3">
      <w:start w:val="1"/>
      <w:numFmt w:val="bullet"/>
      <w:lvlText w:val=""/>
      <w:lvlJc w:val="left"/>
      <w:pPr>
        <w:tabs>
          <w:tab w:val="left" w:pos="2000"/>
        </w:tabs>
        <w:ind w:left="2000" w:hanging="400"/>
      </w:pPr>
      <w:rPr>
        <w:rFonts w:ascii="Wingdings" w:hAnsi="Wingdings" w:hint="default"/>
      </w:rPr>
    </w:lvl>
    <w:lvl w:ilvl="4">
      <w:start w:val="1"/>
      <w:numFmt w:val="bullet"/>
      <w:lvlText w:val=""/>
      <w:lvlJc w:val="left"/>
      <w:pPr>
        <w:tabs>
          <w:tab w:val="left" w:pos="2400"/>
        </w:tabs>
        <w:ind w:left="2400" w:hanging="400"/>
      </w:pPr>
      <w:rPr>
        <w:rFonts w:ascii="Wingdings" w:hAnsi="Wingdings" w:hint="default"/>
      </w:rPr>
    </w:lvl>
    <w:lvl w:ilvl="5">
      <w:start w:val="1"/>
      <w:numFmt w:val="bullet"/>
      <w:lvlText w:val=""/>
      <w:lvlJc w:val="left"/>
      <w:pPr>
        <w:tabs>
          <w:tab w:val="left" w:pos="2800"/>
        </w:tabs>
        <w:ind w:left="2800" w:hanging="400"/>
      </w:pPr>
      <w:rPr>
        <w:rFonts w:ascii="Wingdings" w:hAnsi="Wingdings" w:hint="default"/>
      </w:rPr>
    </w:lvl>
    <w:lvl w:ilvl="6">
      <w:start w:val="1"/>
      <w:numFmt w:val="bullet"/>
      <w:lvlText w:val=""/>
      <w:lvlJc w:val="left"/>
      <w:pPr>
        <w:tabs>
          <w:tab w:val="left" w:pos="3200"/>
        </w:tabs>
        <w:ind w:left="3200" w:hanging="400"/>
      </w:pPr>
      <w:rPr>
        <w:rFonts w:ascii="Wingdings" w:hAnsi="Wingdings" w:hint="default"/>
      </w:rPr>
    </w:lvl>
    <w:lvl w:ilvl="7">
      <w:start w:val="1"/>
      <w:numFmt w:val="bullet"/>
      <w:lvlText w:val=""/>
      <w:lvlJc w:val="left"/>
      <w:pPr>
        <w:tabs>
          <w:tab w:val="left" w:pos="3600"/>
        </w:tabs>
        <w:ind w:left="3600" w:hanging="400"/>
      </w:pPr>
      <w:rPr>
        <w:rFonts w:ascii="Wingdings" w:hAnsi="Wingdings" w:hint="default"/>
      </w:rPr>
    </w:lvl>
    <w:lvl w:ilvl="8">
      <w:start w:val="1"/>
      <w:numFmt w:val="bullet"/>
      <w:lvlText w:val=""/>
      <w:lvlJc w:val="left"/>
      <w:pPr>
        <w:tabs>
          <w:tab w:val="left" w:pos="4000"/>
        </w:tabs>
        <w:ind w:left="4000" w:hanging="400"/>
      </w:pPr>
      <w:rPr>
        <w:rFonts w:ascii="Wingdings" w:hAnsi="Wingdings" w:hint="default"/>
      </w:rPr>
    </w:lvl>
  </w:abstractNum>
  <w:abstractNum w:abstractNumId="84" w15:restartNumberingAfterBreak="0">
    <w:nsid w:val="2B162CDB"/>
    <w:multiLevelType w:val="hybridMultilevel"/>
    <w:tmpl w:val="F4EECFFA"/>
    <w:lvl w:ilvl="0" w:tplc="FB1AB9D6">
      <w:numFmt w:val="bullet"/>
      <w:lvlText w:val="-"/>
      <w:lvlJc w:val="left"/>
      <w:pPr>
        <w:ind w:left="720" w:hanging="360"/>
      </w:pPr>
      <w:rPr>
        <w:rFonts w:ascii="Times New Roman" w:eastAsia="Malgun Gothic" w:hAnsi="Times New Roman" w:cs="Times New Roman" w:hint="default"/>
        <w:i/>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5"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86" w15:restartNumberingAfterBreak="0">
    <w:nsid w:val="2D78057A"/>
    <w:multiLevelType w:val="multilevel"/>
    <w:tmpl w:val="65AB0AE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7" w15:restartNumberingAfterBreak="0">
    <w:nsid w:val="2E081C49"/>
    <w:multiLevelType w:val="multilevel"/>
    <w:tmpl w:val="05E6BDAC"/>
    <w:lvl w:ilvl="0">
      <w:start w:val="1"/>
      <w:numFmt w:val="decimal"/>
      <w:pStyle w:val="BNokiaStyle2023"/>
      <w:suff w:val="space"/>
      <w:lvlText w:val="Observation %1:"/>
      <w:lvlJc w:val="left"/>
      <w:pPr>
        <w:ind w:left="0" w:firstLine="0"/>
      </w:pPr>
      <w:rPr>
        <w:rFonts w:hint="default"/>
        <w:b/>
        <w:i w:val="0"/>
        <w:sz w:val="20"/>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88" w15:restartNumberingAfterBreak="0">
    <w:nsid w:val="2E3A1262"/>
    <w:multiLevelType w:val="hybridMultilevel"/>
    <w:tmpl w:val="E8F4976C"/>
    <w:lvl w:ilvl="0" w:tplc="8554555E">
      <w:start w:val="150"/>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9" w15:restartNumberingAfterBreak="0">
    <w:nsid w:val="2E6177E9"/>
    <w:multiLevelType w:val="multilevel"/>
    <w:tmpl w:val="13A04612"/>
    <w:styleLink w:val="StyleBulletedSymbolsymbolLeft025Hanging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0" w15:restartNumberingAfterBreak="0">
    <w:nsid w:val="2ED30B4E"/>
    <w:multiLevelType w:val="multilevel"/>
    <w:tmpl w:val="2ED30B4E"/>
    <w:lvl w:ilvl="0">
      <w:start w:val="1"/>
      <w:numFmt w:val="decimal"/>
      <w:pStyle w:val="TDocObservation"/>
      <w:lvlText w:val="Observation %1:"/>
      <w:lvlJc w:val="left"/>
      <w:pPr>
        <w:ind w:left="2629" w:hanging="360"/>
      </w:pPr>
      <w:rPr>
        <w:b/>
        <w:bCs/>
        <w:i w:val="0"/>
        <w:iCs w:val="0"/>
        <w:caps w:val="0"/>
        <w:smallCaps w:val="0"/>
        <w:strike w:val="0"/>
        <w:dstrike w:val="0"/>
        <w:outline w:val="0"/>
        <w:shadow w:val="0"/>
        <w:emboss w:val="0"/>
        <w:imprint w:val="0"/>
        <w:vanish w:val="0"/>
        <w:spacing w:val="0"/>
        <w:kern w:val="0"/>
        <w:position w:val="0"/>
        <w:sz w:val="24"/>
        <w:szCs w:val="24"/>
        <w:u w:val="none"/>
        <w:vertAlign w:val="baseline"/>
        <w:lang w:val="en-GB"/>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91" w15:restartNumberingAfterBreak="0">
    <w:nsid w:val="2EE6789B"/>
    <w:multiLevelType w:val="hybridMultilevel"/>
    <w:tmpl w:val="6EB2129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2" w15:restartNumberingAfterBreak="0">
    <w:nsid w:val="2FB01FD2"/>
    <w:multiLevelType w:val="multilevel"/>
    <w:tmpl w:val="2FB01FD2"/>
    <w:lvl w:ilvl="0">
      <w:start w:val="1"/>
      <w:numFmt w:val="decimal"/>
      <w:pStyle w:val="ListNumber4"/>
      <w:lvlText w:val="%1."/>
      <w:lvlJc w:val="left"/>
      <w:pPr>
        <w:tabs>
          <w:tab w:val="left" w:pos="720"/>
        </w:tabs>
        <w:ind w:left="720" w:hanging="360"/>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93" w15:restartNumberingAfterBreak="0">
    <w:nsid w:val="2FB02812"/>
    <w:multiLevelType w:val="multilevel"/>
    <w:tmpl w:val="7A906378"/>
    <w:styleLink w:val="3GPPListofBullets"/>
    <w:lvl w:ilvl="0">
      <w:start w:val="1"/>
      <w:numFmt w:val="decimal"/>
      <w:lvlText w:val="Proposal %1:"/>
      <w:lvlJc w:val="left"/>
      <w:pPr>
        <w:ind w:left="0" w:firstLine="0"/>
      </w:pPr>
      <w:rPr>
        <w:rFonts w:ascii="Times New Roman" w:hAnsi="Times New Roman" w:hint="default"/>
        <w:b/>
        <w:color w:val="auto"/>
        <w:sz w:val="22"/>
      </w:rPr>
    </w:lvl>
    <w:lvl w:ilvl="1">
      <w:start w:val="1"/>
      <w:numFmt w:val="bullet"/>
      <w:lvlRestart w:val="0"/>
      <w:lvlText w:val="●"/>
      <w:lvlJc w:val="left"/>
      <w:pPr>
        <w:ind w:left="284" w:hanging="284"/>
      </w:pPr>
      <w:rPr>
        <w:rFonts w:ascii="Times New Roman" w:hAnsi="Times New Roman" w:cs="Times New Roman" w:hint="default"/>
        <w:b w:val="0"/>
        <w:color w:val="auto"/>
        <w:sz w:val="22"/>
      </w:rPr>
    </w:lvl>
    <w:lvl w:ilvl="2">
      <w:start w:val="1"/>
      <w:numFmt w:val="bullet"/>
      <w:lvlRestart w:val="0"/>
      <w:lvlText w:val="□"/>
      <w:lvlJc w:val="left"/>
      <w:pPr>
        <w:ind w:left="567" w:hanging="283"/>
      </w:pPr>
      <w:rPr>
        <w:rFonts w:ascii="Times New Roman" w:hAnsi="Times New Roman" w:cs="Times New Roman" w:hint="default"/>
        <w:b w:val="0"/>
        <w:i w:val="0"/>
        <w:sz w:val="22"/>
      </w:rPr>
    </w:lvl>
    <w:lvl w:ilvl="3">
      <w:start w:val="1"/>
      <w:numFmt w:val="bullet"/>
      <w:lvlRestart w:val="0"/>
      <w:lvlText w:val="▪"/>
      <w:lvlJc w:val="left"/>
      <w:pPr>
        <w:ind w:left="851" w:hanging="284"/>
      </w:pPr>
      <w:rPr>
        <w:rFonts w:ascii="Times New Roman" w:hAnsi="Times New Roman" w:cs="Times New Roman" w:hint="default"/>
        <w:b w:val="0"/>
        <w:color w:val="auto"/>
        <w:sz w:val="22"/>
      </w:rPr>
    </w:lvl>
    <w:lvl w:ilvl="4">
      <w:start w:val="1"/>
      <w:numFmt w:val="lowerLetter"/>
      <w:lvlText w:val="(%5)"/>
      <w:lvlJc w:val="left"/>
      <w:pPr>
        <w:ind w:left="2838" w:hanging="284"/>
      </w:pPr>
      <w:rPr>
        <w:rFonts w:hint="default"/>
      </w:rPr>
    </w:lvl>
    <w:lvl w:ilvl="5">
      <w:start w:val="1"/>
      <w:numFmt w:val="lowerRoman"/>
      <w:lvlText w:val="(%6)"/>
      <w:lvlJc w:val="left"/>
      <w:pPr>
        <w:ind w:left="3122" w:hanging="284"/>
      </w:pPr>
      <w:rPr>
        <w:rFonts w:hint="default"/>
      </w:rPr>
    </w:lvl>
    <w:lvl w:ilvl="6">
      <w:start w:val="1"/>
      <w:numFmt w:val="decimal"/>
      <w:lvlText w:val="%7."/>
      <w:lvlJc w:val="left"/>
      <w:pPr>
        <w:ind w:left="3406" w:hanging="284"/>
      </w:pPr>
      <w:rPr>
        <w:rFonts w:hint="default"/>
      </w:rPr>
    </w:lvl>
    <w:lvl w:ilvl="7">
      <w:start w:val="1"/>
      <w:numFmt w:val="lowerLetter"/>
      <w:lvlText w:val="%8."/>
      <w:lvlJc w:val="left"/>
      <w:pPr>
        <w:ind w:left="3690" w:hanging="284"/>
      </w:pPr>
      <w:rPr>
        <w:rFonts w:hint="default"/>
      </w:rPr>
    </w:lvl>
    <w:lvl w:ilvl="8">
      <w:start w:val="1"/>
      <w:numFmt w:val="lowerRoman"/>
      <w:lvlText w:val="%9."/>
      <w:lvlJc w:val="left"/>
      <w:pPr>
        <w:ind w:left="3974" w:hanging="284"/>
      </w:pPr>
      <w:rPr>
        <w:rFonts w:hint="default"/>
      </w:rPr>
    </w:lvl>
  </w:abstractNum>
  <w:abstractNum w:abstractNumId="94" w15:restartNumberingAfterBreak="0">
    <w:nsid w:val="2FDD6792"/>
    <w:multiLevelType w:val="hybridMultilevel"/>
    <w:tmpl w:val="6338DBF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5" w15:restartNumberingAfterBreak="0">
    <w:nsid w:val="30167EE9"/>
    <w:multiLevelType w:val="multilevel"/>
    <w:tmpl w:val="30167EE9"/>
    <w:lvl w:ilvl="0">
      <w:start w:val="1"/>
      <w:numFmt w:val="bullet"/>
      <w:lvlText w:val="•"/>
      <w:lvlJc w:val="left"/>
      <w:pPr>
        <w:tabs>
          <w:tab w:val="left" w:pos="720"/>
        </w:tabs>
        <w:ind w:left="720" w:hanging="360"/>
      </w:pPr>
      <w:rPr>
        <w:rFonts w:ascii="Arial" w:hAnsi="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96" w15:restartNumberingAfterBreak="0">
    <w:nsid w:val="30501E44"/>
    <w:multiLevelType w:val="hybridMultilevel"/>
    <w:tmpl w:val="E786BF76"/>
    <w:lvl w:ilvl="0" w:tplc="93746BC0">
      <w:start w:val="1"/>
      <w:numFmt w:val="decimal"/>
      <w:pStyle w:val="PropObs"/>
      <w:lvlText w:val="Proposal %1:  "/>
      <w:lvlJc w:val="left"/>
      <w:pPr>
        <w:ind w:left="720" w:hanging="360"/>
      </w:pPr>
      <w:rPr>
        <w:rFonts w:hint="default"/>
        <w:color w:val="auto"/>
      </w:rPr>
    </w:lvl>
    <w:lvl w:ilvl="1" w:tplc="10090019">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97" w15:restartNumberingAfterBreak="0">
    <w:nsid w:val="313748C2"/>
    <w:multiLevelType w:val="hybridMultilevel"/>
    <w:tmpl w:val="21E81B1E"/>
    <w:styleLink w:val="StyleBulletedSymbolsymbolLeft025Hanging017"/>
    <w:lvl w:ilvl="0" w:tplc="B3428C4A">
      <w:start w:val="1"/>
      <w:numFmt w:val="bullet"/>
      <w:pStyle w:val="Bullet0"/>
      <w:lvlText w:val=""/>
      <w:lvlJc w:val="left"/>
      <w:pPr>
        <w:tabs>
          <w:tab w:val="num" w:pos="1440"/>
        </w:tabs>
        <w:ind w:left="144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8" w15:restartNumberingAfterBreak="0">
    <w:nsid w:val="31BE099F"/>
    <w:multiLevelType w:val="hybridMultilevel"/>
    <w:tmpl w:val="9C20E56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9" w15:restartNumberingAfterBreak="0">
    <w:nsid w:val="33D234DF"/>
    <w:multiLevelType w:val="multilevel"/>
    <w:tmpl w:val="33D234D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0" w15:restartNumberingAfterBreak="0">
    <w:nsid w:val="34421537"/>
    <w:multiLevelType w:val="hybridMultilevel"/>
    <w:tmpl w:val="15DE300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1" w15:restartNumberingAfterBreak="0">
    <w:nsid w:val="34916266"/>
    <w:multiLevelType w:val="multilevel"/>
    <w:tmpl w:val="65AB0AE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2" w15:restartNumberingAfterBreak="0">
    <w:nsid w:val="34D5045A"/>
    <w:multiLevelType w:val="singleLevel"/>
    <w:tmpl w:val="B3FC4AEC"/>
    <w:lvl w:ilvl="0">
      <w:start w:val="1"/>
      <w:numFmt w:val="bullet"/>
      <w:pStyle w:val="a0"/>
      <w:lvlText w:val=""/>
      <w:lvlJc w:val="left"/>
      <w:pPr>
        <w:tabs>
          <w:tab w:val="num" w:pos="360"/>
        </w:tabs>
        <w:ind w:left="340" w:hanging="340"/>
      </w:pPr>
      <w:rPr>
        <w:rFonts w:ascii="Symbol" w:eastAsia="Times New Roman" w:hAnsi="Symbol" w:hint="default"/>
        <w:color w:val="auto"/>
      </w:rPr>
    </w:lvl>
  </w:abstractNum>
  <w:abstractNum w:abstractNumId="103" w15:restartNumberingAfterBreak="0">
    <w:nsid w:val="365D3B21"/>
    <w:multiLevelType w:val="hybridMultilevel"/>
    <w:tmpl w:val="3A6CB4E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4" w15:restartNumberingAfterBreak="0">
    <w:nsid w:val="37417E96"/>
    <w:multiLevelType w:val="multilevel"/>
    <w:tmpl w:val="37417E9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5" w15:restartNumberingAfterBreak="0">
    <w:nsid w:val="3785244D"/>
    <w:multiLevelType w:val="hybridMultilevel"/>
    <w:tmpl w:val="3A50786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6" w15:restartNumberingAfterBreak="0">
    <w:nsid w:val="38275E91"/>
    <w:multiLevelType w:val="hybridMultilevel"/>
    <w:tmpl w:val="69BCBC1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7" w15:restartNumberingAfterBreak="0">
    <w:nsid w:val="382946E8"/>
    <w:multiLevelType w:val="hybridMultilevel"/>
    <w:tmpl w:val="2E3C1F5A"/>
    <w:lvl w:ilvl="0" w:tplc="B3428C4A">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8" w15:restartNumberingAfterBreak="0">
    <w:nsid w:val="38C9476E"/>
    <w:multiLevelType w:val="hybridMultilevel"/>
    <w:tmpl w:val="4BA8C31A"/>
    <w:styleLink w:val="StyleBulletedSymbolsymbolLeft025Hanging03"/>
    <w:lvl w:ilvl="0" w:tplc="CF68586C">
      <w:start w:val="3"/>
      <w:numFmt w:val="bullet"/>
      <w:lvlText w:val="-"/>
      <w:lvlJc w:val="left"/>
      <w:pPr>
        <w:tabs>
          <w:tab w:val="num" w:pos="720"/>
        </w:tabs>
        <w:ind w:left="720" w:hanging="360"/>
      </w:pPr>
      <w:rPr>
        <w:rFonts w:ascii="Times New Roman" w:eastAsia="Times New Roman" w:hAnsi="Times New Roman" w:cs="Times New Roman"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09" w15:restartNumberingAfterBreak="0">
    <w:nsid w:val="39687885"/>
    <w:multiLevelType w:val="multilevel"/>
    <w:tmpl w:val="3968788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0" w15:restartNumberingAfterBreak="0">
    <w:nsid w:val="39B62987"/>
    <w:multiLevelType w:val="hybridMultilevel"/>
    <w:tmpl w:val="9FFADA8C"/>
    <w:lvl w:ilvl="0" w:tplc="484C16D4">
      <w:start w:val="5"/>
      <w:numFmt w:val="bullet"/>
      <w:lvlText w:val="-"/>
      <w:lvlJc w:val="left"/>
      <w:pPr>
        <w:ind w:left="720" w:hanging="360"/>
      </w:pPr>
      <w:rPr>
        <w:rFonts w:ascii="Arial Narrow" w:eastAsiaTheme="minorEastAsia" w:hAnsi="Arial Narrow" w:cs="Aria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1"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112" w15:restartNumberingAfterBreak="0">
    <w:nsid w:val="3AA46647"/>
    <w:multiLevelType w:val="hybridMultilevel"/>
    <w:tmpl w:val="B65C662A"/>
    <w:lvl w:ilvl="0" w:tplc="A9301D9E">
      <w:start w:val="1"/>
      <w:numFmt w:val="decimal"/>
      <w:pStyle w:val="Proposal"/>
      <w:lvlText w:val="Observation %1"/>
      <w:lvlJc w:val="left"/>
      <w:pPr>
        <w:tabs>
          <w:tab w:val="num" w:pos="1304"/>
        </w:tabs>
        <w:ind w:left="1304" w:hanging="1304"/>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3" w15:restartNumberingAfterBreak="0">
    <w:nsid w:val="3AF47537"/>
    <w:multiLevelType w:val="hybridMultilevel"/>
    <w:tmpl w:val="34ECB490"/>
    <w:lvl w:ilvl="0" w:tplc="484C16D4">
      <w:start w:val="5"/>
      <w:numFmt w:val="bullet"/>
      <w:lvlText w:val="-"/>
      <w:lvlJc w:val="left"/>
      <w:pPr>
        <w:ind w:left="720" w:hanging="360"/>
      </w:pPr>
      <w:rPr>
        <w:rFonts w:ascii="Arial Narrow" w:eastAsiaTheme="minorEastAsia" w:hAnsi="Arial Narrow" w:cs="Aria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4" w15:restartNumberingAfterBreak="0">
    <w:nsid w:val="3B4E62BD"/>
    <w:multiLevelType w:val="hybridMultilevel"/>
    <w:tmpl w:val="8848A0D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5" w15:restartNumberingAfterBreak="0">
    <w:nsid w:val="3B8F0BD3"/>
    <w:multiLevelType w:val="multilevel"/>
    <w:tmpl w:val="65AB0AE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6" w15:restartNumberingAfterBreak="0">
    <w:nsid w:val="3B946D9C"/>
    <w:multiLevelType w:val="hybridMultilevel"/>
    <w:tmpl w:val="0DA603F6"/>
    <w:lvl w:ilvl="0" w:tplc="041D0001">
      <w:start w:val="1"/>
      <w:numFmt w:val="bullet"/>
      <w:lvlText w:val=""/>
      <w:lvlJc w:val="left"/>
      <w:pPr>
        <w:ind w:left="420" w:hanging="420"/>
      </w:pPr>
      <w:rPr>
        <w:rFonts w:ascii="Symbol" w:hAnsi="Symbol" w:hint="default"/>
      </w:rPr>
    </w:lvl>
    <w:lvl w:ilvl="1" w:tplc="9F3EAEE8">
      <w:start w:val="1"/>
      <w:numFmt w:val="bullet"/>
      <w:lvlText w:val="o"/>
      <w:lvlJc w:val="left"/>
      <w:pPr>
        <w:ind w:left="840" w:hanging="420"/>
      </w:pPr>
      <w:rPr>
        <w:rFonts w:ascii="Courier New" w:hAnsi="Courier New"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7" w15:restartNumberingAfterBreak="0">
    <w:nsid w:val="3BC77F9C"/>
    <w:multiLevelType w:val="multilevel"/>
    <w:tmpl w:val="8BC45C6C"/>
    <w:lvl w:ilvl="0">
      <w:start w:val="1"/>
      <w:numFmt w:val="bullet"/>
      <w:lvlText w:val=""/>
      <w:lvlJc w:val="left"/>
      <w:pPr>
        <w:ind w:left="783" w:hanging="360"/>
      </w:pPr>
      <w:rPr>
        <w:rFonts w:ascii="Symbol" w:hAnsi="Symbol" w:hint="default"/>
      </w:rPr>
    </w:lvl>
    <w:lvl w:ilvl="1">
      <w:start w:val="1"/>
      <w:numFmt w:val="bullet"/>
      <w:lvlText w:val="o"/>
      <w:lvlJc w:val="left"/>
      <w:pPr>
        <w:ind w:left="1503" w:hanging="360"/>
      </w:pPr>
      <w:rPr>
        <w:rFonts w:ascii="Courier New" w:hAnsi="Courier New" w:cs="Courier New" w:hint="default"/>
      </w:rPr>
    </w:lvl>
    <w:lvl w:ilvl="2">
      <w:start w:val="1"/>
      <w:numFmt w:val="bullet"/>
      <w:lvlText w:val=""/>
      <w:lvlJc w:val="left"/>
      <w:pPr>
        <w:ind w:left="2223" w:hanging="360"/>
      </w:pPr>
      <w:rPr>
        <w:rFonts w:ascii="Wingdings" w:hAnsi="Wingdings" w:hint="default"/>
      </w:rPr>
    </w:lvl>
    <w:lvl w:ilvl="3">
      <w:start w:val="1"/>
      <w:numFmt w:val="bullet"/>
      <w:lvlText w:val=""/>
      <w:lvlJc w:val="left"/>
      <w:pPr>
        <w:ind w:left="2943" w:hanging="360"/>
      </w:pPr>
      <w:rPr>
        <w:rFonts w:ascii="Symbol" w:hAnsi="Symbol" w:hint="default"/>
      </w:rPr>
    </w:lvl>
    <w:lvl w:ilvl="4">
      <w:start w:val="1"/>
      <w:numFmt w:val="bullet"/>
      <w:lvlText w:val="o"/>
      <w:lvlJc w:val="left"/>
      <w:pPr>
        <w:ind w:left="3663" w:hanging="360"/>
      </w:pPr>
      <w:rPr>
        <w:rFonts w:ascii="Courier New" w:hAnsi="Courier New" w:cs="Courier New" w:hint="default"/>
      </w:rPr>
    </w:lvl>
    <w:lvl w:ilvl="5">
      <w:start w:val="1"/>
      <w:numFmt w:val="bullet"/>
      <w:lvlText w:val=""/>
      <w:lvlJc w:val="left"/>
      <w:pPr>
        <w:ind w:left="4383" w:hanging="360"/>
      </w:pPr>
      <w:rPr>
        <w:rFonts w:ascii="Wingdings" w:hAnsi="Wingdings" w:hint="default"/>
      </w:rPr>
    </w:lvl>
    <w:lvl w:ilvl="6">
      <w:start w:val="1"/>
      <w:numFmt w:val="bullet"/>
      <w:lvlText w:val=""/>
      <w:lvlJc w:val="left"/>
      <w:pPr>
        <w:ind w:left="5103" w:hanging="360"/>
      </w:pPr>
      <w:rPr>
        <w:rFonts w:ascii="Symbol" w:hAnsi="Symbol" w:hint="default"/>
      </w:rPr>
    </w:lvl>
    <w:lvl w:ilvl="7">
      <w:start w:val="1"/>
      <w:numFmt w:val="bullet"/>
      <w:lvlText w:val="o"/>
      <w:lvlJc w:val="left"/>
      <w:pPr>
        <w:ind w:left="5823" w:hanging="360"/>
      </w:pPr>
      <w:rPr>
        <w:rFonts w:ascii="Courier New" w:hAnsi="Courier New" w:cs="Courier New" w:hint="default"/>
      </w:rPr>
    </w:lvl>
    <w:lvl w:ilvl="8">
      <w:start w:val="1"/>
      <w:numFmt w:val="bullet"/>
      <w:lvlText w:val=""/>
      <w:lvlJc w:val="left"/>
      <w:pPr>
        <w:ind w:left="6543" w:hanging="360"/>
      </w:pPr>
      <w:rPr>
        <w:rFonts w:ascii="Wingdings" w:hAnsi="Wingdings" w:hint="default"/>
      </w:rPr>
    </w:lvl>
  </w:abstractNum>
  <w:abstractNum w:abstractNumId="118" w15:restartNumberingAfterBreak="0">
    <w:nsid w:val="3DB75803"/>
    <w:multiLevelType w:val="multilevel"/>
    <w:tmpl w:val="65AB0AE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9" w15:restartNumberingAfterBreak="0">
    <w:nsid w:val="3EC852DE"/>
    <w:multiLevelType w:val="hybridMultilevel"/>
    <w:tmpl w:val="AAF28AF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0" w15:restartNumberingAfterBreak="0">
    <w:nsid w:val="3F7D6724"/>
    <w:multiLevelType w:val="hybridMultilevel"/>
    <w:tmpl w:val="DDF804E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1" w15:restartNumberingAfterBreak="0">
    <w:nsid w:val="3FE1542B"/>
    <w:multiLevelType w:val="multilevel"/>
    <w:tmpl w:val="65AB0AE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2" w15:restartNumberingAfterBreak="0">
    <w:nsid w:val="3FEF669E"/>
    <w:multiLevelType w:val="hybridMultilevel"/>
    <w:tmpl w:val="3EBABBDA"/>
    <w:lvl w:ilvl="0" w:tplc="090EBBBA">
      <w:start w:val="1"/>
      <w:numFmt w:val="decimal"/>
      <w:lvlText w:val="%1)"/>
      <w:lvlJc w:val="left"/>
      <w:pPr>
        <w:ind w:left="360" w:hanging="360"/>
      </w:pPr>
    </w:lvl>
    <w:lvl w:ilvl="1" w:tplc="20000019">
      <w:start w:val="1"/>
      <w:numFmt w:val="lowerLetter"/>
      <w:lvlText w:val="%2."/>
      <w:lvlJc w:val="left"/>
      <w:pPr>
        <w:ind w:left="1080" w:hanging="360"/>
      </w:pPr>
    </w:lvl>
    <w:lvl w:ilvl="2" w:tplc="2000001B">
      <w:start w:val="1"/>
      <w:numFmt w:val="lowerRoman"/>
      <w:lvlText w:val="%3."/>
      <w:lvlJc w:val="right"/>
      <w:pPr>
        <w:ind w:left="1800" w:hanging="180"/>
      </w:pPr>
    </w:lvl>
    <w:lvl w:ilvl="3" w:tplc="2000000F">
      <w:start w:val="1"/>
      <w:numFmt w:val="decimal"/>
      <w:lvlText w:val="%4."/>
      <w:lvlJc w:val="left"/>
      <w:pPr>
        <w:ind w:left="2520" w:hanging="360"/>
      </w:pPr>
    </w:lvl>
    <w:lvl w:ilvl="4" w:tplc="20000019">
      <w:start w:val="1"/>
      <w:numFmt w:val="lowerLetter"/>
      <w:lvlText w:val="%5."/>
      <w:lvlJc w:val="left"/>
      <w:pPr>
        <w:ind w:left="3240" w:hanging="360"/>
      </w:pPr>
    </w:lvl>
    <w:lvl w:ilvl="5" w:tplc="2000001B">
      <w:start w:val="1"/>
      <w:numFmt w:val="lowerRoman"/>
      <w:lvlText w:val="%6."/>
      <w:lvlJc w:val="right"/>
      <w:pPr>
        <w:ind w:left="3960" w:hanging="180"/>
      </w:pPr>
    </w:lvl>
    <w:lvl w:ilvl="6" w:tplc="2000000F">
      <w:start w:val="1"/>
      <w:numFmt w:val="decimal"/>
      <w:lvlText w:val="%7."/>
      <w:lvlJc w:val="left"/>
      <w:pPr>
        <w:ind w:left="4680" w:hanging="360"/>
      </w:pPr>
    </w:lvl>
    <w:lvl w:ilvl="7" w:tplc="20000019">
      <w:start w:val="1"/>
      <w:numFmt w:val="lowerLetter"/>
      <w:lvlText w:val="%8."/>
      <w:lvlJc w:val="left"/>
      <w:pPr>
        <w:ind w:left="5400" w:hanging="360"/>
      </w:pPr>
    </w:lvl>
    <w:lvl w:ilvl="8" w:tplc="2000001B">
      <w:start w:val="1"/>
      <w:numFmt w:val="lowerRoman"/>
      <w:lvlText w:val="%9."/>
      <w:lvlJc w:val="right"/>
      <w:pPr>
        <w:ind w:left="6120" w:hanging="180"/>
      </w:pPr>
    </w:lvl>
  </w:abstractNum>
  <w:abstractNum w:abstractNumId="123" w15:restartNumberingAfterBreak="0">
    <w:nsid w:val="407A442D"/>
    <w:multiLevelType w:val="hybridMultilevel"/>
    <w:tmpl w:val="3ED0278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4" w15:restartNumberingAfterBreak="0">
    <w:nsid w:val="407A44E5"/>
    <w:multiLevelType w:val="hybridMultilevel"/>
    <w:tmpl w:val="99EA0AD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5" w15:restartNumberingAfterBreak="0">
    <w:nsid w:val="40AE091D"/>
    <w:multiLevelType w:val="hybridMultilevel"/>
    <w:tmpl w:val="A878ACE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6" w15:restartNumberingAfterBreak="0">
    <w:nsid w:val="40B072F8"/>
    <w:multiLevelType w:val="multilevel"/>
    <w:tmpl w:val="04090023"/>
    <w:styleLink w:val="ArticleSection"/>
    <w:lvl w:ilvl="0">
      <w:start w:val="1"/>
      <w:numFmt w:val="decimalFullWidth"/>
      <w:lvlText w:val="%1"/>
      <w:lvlJc w:val="left"/>
      <w:pPr>
        <w:tabs>
          <w:tab w:val="num" w:pos="425"/>
        </w:tabs>
        <w:ind w:left="425" w:hanging="425"/>
      </w:pPr>
    </w:lvl>
    <w:lvl w:ilvl="1">
      <w:start w:val="1"/>
      <w:numFmt w:val="aiueoFullWidth"/>
      <w:lvlText w:val="(%2)"/>
      <w:lvlJc w:val="left"/>
      <w:pPr>
        <w:tabs>
          <w:tab w:val="num" w:pos="851"/>
        </w:tabs>
        <w:ind w:left="851" w:hanging="426"/>
      </w:pPr>
    </w:lvl>
    <w:lvl w:ilvl="2">
      <w:start w:val="1"/>
      <w:numFmt w:val="decimalEnclosedCircle"/>
      <w:lvlText w:val="%3"/>
      <w:lvlJc w:val="left"/>
      <w:pPr>
        <w:tabs>
          <w:tab w:val="num" w:pos="1276"/>
        </w:tabs>
        <w:ind w:left="1276" w:hanging="425"/>
      </w:pPr>
    </w:lvl>
    <w:lvl w:ilvl="3">
      <w:start w:val="1"/>
      <w:numFmt w:val="irohaFullWidth"/>
      <w:lvlText w:val="(%4)"/>
      <w:lvlJc w:val="left"/>
      <w:pPr>
        <w:tabs>
          <w:tab w:val="num" w:pos="1701"/>
        </w:tabs>
        <w:ind w:left="1701" w:hanging="425"/>
      </w:pPr>
    </w:lvl>
    <w:lvl w:ilvl="4">
      <w:start w:val="1"/>
      <w:numFmt w:val="none"/>
      <w:suff w:val="nothing"/>
      <w:lvlText w:val=""/>
      <w:lvlJc w:val="left"/>
      <w:pPr>
        <w:tabs>
          <w:tab w:val="num" w:pos="2126"/>
        </w:tabs>
        <w:ind w:left="2126" w:hanging="425"/>
      </w:pPr>
    </w:lvl>
    <w:lvl w:ilvl="5">
      <w:start w:val="1"/>
      <w:numFmt w:val="none"/>
      <w:suff w:val="nothing"/>
      <w:lvlText w:val=""/>
      <w:lvlJc w:val="left"/>
      <w:pPr>
        <w:tabs>
          <w:tab w:val="num" w:pos="2551"/>
        </w:tabs>
        <w:ind w:left="2551" w:hanging="425"/>
      </w:pPr>
    </w:lvl>
    <w:lvl w:ilvl="6">
      <w:start w:val="1"/>
      <w:numFmt w:val="none"/>
      <w:suff w:val="nothing"/>
      <w:lvlText w:val=""/>
      <w:lvlJc w:val="left"/>
      <w:pPr>
        <w:tabs>
          <w:tab w:val="num" w:pos="2976"/>
        </w:tabs>
        <w:ind w:left="2976" w:hanging="425"/>
      </w:pPr>
    </w:lvl>
    <w:lvl w:ilvl="7">
      <w:start w:val="1"/>
      <w:numFmt w:val="none"/>
      <w:suff w:val="nothing"/>
      <w:lvlText w:val=""/>
      <w:lvlJc w:val="left"/>
      <w:pPr>
        <w:tabs>
          <w:tab w:val="num" w:pos="3402"/>
        </w:tabs>
        <w:ind w:left="3402" w:hanging="426"/>
      </w:pPr>
    </w:lvl>
    <w:lvl w:ilvl="8">
      <w:start w:val="1"/>
      <w:numFmt w:val="none"/>
      <w:suff w:val="nothing"/>
      <w:lvlText w:val=""/>
      <w:lvlJc w:val="right"/>
      <w:pPr>
        <w:tabs>
          <w:tab w:val="num" w:pos="3827"/>
        </w:tabs>
        <w:ind w:left="3827" w:hanging="425"/>
      </w:pPr>
    </w:lvl>
  </w:abstractNum>
  <w:abstractNum w:abstractNumId="127" w15:restartNumberingAfterBreak="0">
    <w:nsid w:val="40DE34BC"/>
    <w:multiLevelType w:val="singleLevel"/>
    <w:tmpl w:val="1BAE590C"/>
    <w:lvl w:ilvl="0">
      <w:start w:val="1"/>
      <w:numFmt w:val="decimal"/>
      <w:pStyle w:val="TdocHeading1"/>
      <w:lvlText w:val="%1."/>
      <w:lvlJc w:val="left"/>
      <w:pPr>
        <w:tabs>
          <w:tab w:val="num" w:pos="360"/>
        </w:tabs>
        <w:ind w:left="360" w:hanging="360"/>
      </w:pPr>
    </w:lvl>
  </w:abstractNum>
  <w:abstractNum w:abstractNumId="128" w15:restartNumberingAfterBreak="0">
    <w:nsid w:val="410F1BBE"/>
    <w:multiLevelType w:val="hybridMultilevel"/>
    <w:tmpl w:val="8C74DB1A"/>
    <w:lvl w:ilvl="0" w:tplc="19260F8A">
      <w:start w:val="1"/>
      <w:numFmt w:val="decimal"/>
      <w:pStyle w:val="Steps-8thset"/>
      <w:lvlText w:val="Step %1."/>
      <w:lvlJc w:val="left"/>
      <w:pPr>
        <w:tabs>
          <w:tab w:val="num" w:pos="936"/>
        </w:tabs>
        <w:ind w:left="936" w:hanging="936"/>
      </w:pPr>
      <w:rPr>
        <w:rFonts w:ascii="Times New Roman" w:hAnsi="Times New Roman" w:hint="default"/>
        <w:b/>
        <w:i w:val="0"/>
        <w:caps w:val="0"/>
        <w:strike w:val="0"/>
        <w:dstrike w:val="0"/>
        <w:vanish w:val="0"/>
        <w:color w:val="000000"/>
        <w:sz w:val="24"/>
        <w:effect w:val="none"/>
        <w:vertAlign w:val="baseline"/>
      </w:rPr>
    </w:lvl>
    <w:lvl w:ilvl="1" w:tplc="99442B08">
      <w:start w:val="1"/>
      <w:numFmt w:val="decimal"/>
      <w:lvlText w:val="%2."/>
      <w:lvlJc w:val="left"/>
      <w:pPr>
        <w:tabs>
          <w:tab w:val="num" w:pos="1440"/>
        </w:tabs>
        <w:ind w:left="1440" w:hanging="360"/>
      </w:pPr>
      <w:rPr>
        <w:rFonts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9" w15:restartNumberingAfterBreak="0">
    <w:nsid w:val="417F6AFB"/>
    <w:multiLevelType w:val="multilevel"/>
    <w:tmpl w:val="E01C1B54"/>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decimal"/>
      <w:lvlText w:val="%3."/>
      <w:lvlJc w:val="left"/>
      <w:pPr>
        <w:ind w:left="851" w:hanging="284"/>
      </w:pPr>
      <w:rPr>
        <w:rFonts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30" w15:restartNumberingAfterBreak="0">
    <w:nsid w:val="42376C0C"/>
    <w:multiLevelType w:val="hybridMultilevel"/>
    <w:tmpl w:val="7C04206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1" w15:restartNumberingAfterBreak="0">
    <w:nsid w:val="42A46124"/>
    <w:multiLevelType w:val="multilevel"/>
    <w:tmpl w:val="417F6AFB"/>
    <w:lvl w:ilvl="0">
      <w:start w:val="1"/>
      <w:numFmt w:val="bullet"/>
      <w:lvlText w:val="●"/>
      <w:lvlJc w:val="left"/>
      <w:pPr>
        <w:ind w:left="284" w:hanging="284"/>
      </w:pPr>
      <w:rPr>
        <w:rFonts w:ascii="Times New Roman" w:hAnsi="Times New Roman" w:cs="Times New Roman" w:hint="default"/>
        <w:b w:val="0"/>
        <w:bCs w:val="0"/>
        <w:i w:val="0"/>
        <w:iCs w:val="0"/>
        <w:caps w:val="0"/>
        <w:smallCaps w:val="0"/>
        <w:strike w:val="0"/>
        <w:dstrike w:val="0"/>
        <w:noProof w:val="0"/>
        <w:vanish w:val="0"/>
        <w:webHidden w:val="0"/>
        <w:color w:val="auto"/>
        <w:spacing w:val="0"/>
        <w:kern w:val="0"/>
        <w:position w:val="0"/>
        <w:sz w:val="22"/>
        <w:u w:val="none"/>
        <w:effect w:val="none"/>
        <w:vertAlign w:val="baseline"/>
        <w:em w:val="none"/>
        <w:specVanish w:val="0"/>
      </w:rPr>
    </w:lvl>
    <w:lvl w:ilvl="1">
      <w:start w:val="1"/>
      <w:numFmt w:val="bullet"/>
      <w:pStyle w:val="3GPPH2"/>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32" w15:restartNumberingAfterBreak="0">
    <w:nsid w:val="42B27B68"/>
    <w:multiLevelType w:val="hybridMultilevel"/>
    <w:tmpl w:val="6E92793E"/>
    <w:name w:val="Heading22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3" w15:restartNumberingAfterBreak="0">
    <w:nsid w:val="42B553E0"/>
    <w:multiLevelType w:val="multilevel"/>
    <w:tmpl w:val="42B553E0"/>
    <w:lvl w:ilvl="0">
      <w:numFmt w:val="bullet"/>
      <w:lvlText w:val=""/>
      <w:lvlJc w:val="left"/>
      <w:pPr>
        <w:ind w:left="720" w:hanging="360"/>
      </w:pPr>
      <w:rPr>
        <w:rFonts w:ascii="Symbol" w:eastAsia="Calibri"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4" w15:restartNumberingAfterBreak="0">
    <w:nsid w:val="42F62139"/>
    <w:multiLevelType w:val="multilevel"/>
    <w:tmpl w:val="42F62139"/>
    <w:lvl w:ilvl="0">
      <w:start w:val="2"/>
      <w:numFmt w:val="bullet"/>
      <w:pStyle w:val="listauto1"/>
      <w:lvlText w:val="-"/>
      <w:lvlJc w:val="left"/>
      <w:pPr>
        <w:ind w:left="1440" w:hanging="864"/>
      </w:pPr>
      <w:rPr>
        <w:rFonts w:ascii="Times New Roman" w:eastAsia="DengXian" w:hAnsi="Times New Roman" w:cs="Times New Roman" w:hint="default"/>
      </w:rPr>
    </w:lvl>
    <w:lvl w:ilvl="1">
      <w:start w:val="1"/>
      <w:numFmt w:val="bullet"/>
      <w:pStyle w:val="listauto2"/>
      <w:lvlText w:val="o"/>
      <w:lvlJc w:val="left"/>
      <w:pPr>
        <w:ind w:left="1440" w:hanging="600"/>
      </w:pPr>
      <w:rPr>
        <w:rFonts w:ascii="Courier New" w:hAnsi="Courier New" w:cs="Times New Roman" w:hint="default"/>
      </w:rPr>
    </w:lvl>
    <w:lvl w:ilvl="2">
      <w:start w:val="1"/>
      <w:numFmt w:val="bullet"/>
      <w:lvlText w:val=""/>
      <w:lvlJc w:val="left"/>
      <w:pPr>
        <w:ind w:left="2880" w:hanging="360"/>
      </w:pPr>
      <w:rPr>
        <w:rFonts w:ascii="Wingdings" w:hAnsi="Wingdings" w:hint="default"/>
      </w:rPr>
    </w:lvl>
    <w:lvl w:ilvl="3">
      <w:start w:val="1"/>
      <w:numFmt w:val="bullet"/>
      <w:lvlText w:val=""/>
      <w:lvlJc w:val="left"/>
      <w:pPr>
        <w:ind w:left="3600" w:hanging="360"/>
      </w:pPr>
      <w:rPr>
        <w:rFonts w:ascii="Symbol" w:hAnsi="Symbol" w:hint="default"/>
      </w:rPr>
    </w:lvl>
    <w:lvl w:ilvl="4">
      <w:start w:val="1"/>
      <w:numFmt w:val="bullet"/>
      <w:lvlText w:val="o"/>
      <w:lvlJc w:val="left"/>
      <w:pPr>
        <w:ind w:left="4320" w:hanging="360"/>
      </w:pPr>
      <w:rPr>
        <w:rFonts w:ascii="Courier New" w:hAnsi="Courier New" w:cs="Courier New" w:hint="default"/>
      </w:rPr>
    </w:lvl>
    <w:lvl w:ilvl="5">
      <w:start w:val="1"/>
      <w:numFmt w:val="bullet"/>
      <w:lvlText w:val=""/>
      <w:lvlJc w:val="left"/>
      <w:pPr>
        <w:ind w:left="5040" w:hanging="360"/>
      </w:pPr>
      <w:rPr>
        <w:rFonts w:ascii="Wingdings" w:hAnsi="Wingdings" w:hint="default"/>
      </w:rPr>
    </w:lvl>
    <w:lvl w:ilvl="6">
      <w:start w:val="1"/>
      <w:numFmt w:val="bullet"/>
      <w:lvlText w:val=""/>
      <w:lvlJc w:val="left"/>
      <w:pPr>
        <w:ind w:left="5760" w:hanging="360"/>
      </w:pPr>
      <w:rPr>
        <w:rFonts w:ascii="Symbol" w:hAnsi="Symbol" w:hint="default"/>
      </w:rPr>
    </w:lvl>
    <w:lvl w:ilvl="7">
      <w:start w:val="1"/>
      <w:numFmt w:val="bullet"/>
      <w:lvlText w:val="o"/>
      <w:lvlJc w:val="left"/>
      <w:pPr>
        <w:ind w:left="6480" w:hanging="360"/>
      </w:pPr>
      <w:rPr>
        <w:rFonts w:ascii="Courier New" w:hAnsi="Courier New" w:cs="Courier New" w:hint="default"/>
      </w:rPr>
    </w:lvl>
    <w:lvl w:ilvl="8">
      <w:start w:val="1"/>
      <w:numFmt w:val="bullet"/>
      <w:lvlText w:val=""/>
      <w:lvlJc w:val="left"/>
      <w:pPr>
        <w:ind w:left="7200" w:hanging="360"/>
      </w:pPr>
      <w:rPr>
        <w:rFonts w:ascii="Wingdings" w:hAnsi="Wingdings" w:hint="default"/>
      </w:rPr>
    </w:lvl>
  </w:abstractNum>
  <w:abstractNum w:abstractNumId="135" w15:restartNumberingAfterBreak="0">
    <w:nsid w:val="42FE570A"/>
    <w:multiLevelType w:val="multilevel"/>
    <w:tmpl w:val="42FE570A"/>
    <w:lvl w:ilvl="0">
      <w:start w:val="1"/>
      <w:numFmt w:val="decimal"/>
      <w:suff w:val="nothing"/>
      <w:lvlText w:val="%1  "/>
      <w:lvlJc w:val="left"/>
      <w:pPr>
        <w:ind w:left="0" w:firstLine="0"/>
      </w:pPr>
      <w:rPr>
        <w:rFonts w:ascii="Arial" w:eastAsia="SimHei" w:hAnsi="Arial" w:hint="default"/>
        <w:b w:val="0"/>
        <w:i w:val="0"/>
        <w:sz w:val="36"/>
        <w:szCs w:val="36"/>
      </w:rPr>
    </w:lvl>
    <w:lvl w:ilvl="1">
      <w:start w:val="1"/>
      <w:numFmt w:val="decimal"/>
      <w:suff w:val="nothing"/>
      <w:lvlText w:val="%1.%2  "/>
      <w:lvlJc w:val="left"/>
      <w:pPr>
        <w:ind w:left="0" w:firstLine="0"/>
      </w:pPr>
      <w:rPr>
        <w:rFonts w:ascii="Arial" w:hAnsi="Arial" w:hint="default"/>
        <w:b w:val="0"/>
        <w:i w:val="0"/>
        <w:sz w:val="30"/>
        <w:szCs w:val="30"/>
      </w:rPr>
    </w:lvl>
    <w:lvl w:ilvl="2">
      <w:start w:val="1"/>
      <w:numFmt w:val="decimal"/>
      <w:suff w:val="nothing"/>
      <w:lvlText w:val="%1.%2.%3  "/>
      <w:lvlJc w:val="left"/>
      <w:pPr>
        <w:ind w:left="0" w:firstLine="0"/>
      </w:pPr>
      <w:rPr>
        <w:rFonts w:ascii="Arial" w:hAnsi="Arial" w:hint="default"/>
        <w:b w:val="0"/>
        <w:i w:val="0"/>
        <w:sz w:val="24"/>
        <w:szCs w:val="24"/>
      </w:rPr>
    </w:lvl>
    <w:lvl w:ilvl="3">
      <w:start w:val="1"/>
      <w:numFmt w:val="decimal"/>
      <w:suff w:val="nothing"/>
      <w:lvlText w:val="%1.%2.%3.%4  "/>
      <w:lvlJc w:val="left"/>
      <w:pPr>
        <w:ind w:left="0" w:firstLine="0"/>
      </w:pPr>
      <w:rPr>
        <w:rFonts w:ascii="Arial" w:hAnsi="Arial" w:hint="default"/>
        <w:b w:val="0"/>
        <w:i w:val="0"/>
        <w:sz w:val="21"/>
        <w:szCs w:val="21"/>
      </w:rPr>
    </w:lvl>
    <w:lvl w:ilvl="4">
      <w:start w:val="1"/>
      <w:numFmt w:val="decimal"/>
      <w:lvlText w:val="%5."/>
      <w:lvlJc w:val="left"/>
      <w:pPr>
        <w:tabs>
          <w:tab w:val="left" w:pos="1134"/>
        </w:tabs>
        <w:ind w:left="1134" w:hanging="312"/>
      </w:pPr>
      <w:rPr>
        <w:rFonts w:ascii="Arial" w:hAnsi="Arial" w:hint="default"/>
        <w:b w:val="0"/>
        <w:i w:val="0"/>
        <w:sz w:val="21"/>
        <w:szCs w:val="21"/>
      </w:rPr>
    </w:lvl>
    <w:lvl w:ilvl="5">
      <w:start w:val="1"/>
      <w:numFmt w:val="decimal"/>
      <w:lvlText w:val="%6)"/>
      <w:lvlJc w:val="left"/>
      <w:pPr>
        <w:tabs>
          <w:tab w:val="left" w:pos="1134"/>
        </w:tabs>
        <w:ind w:left="1134" w:hanging="312"/>
      </w:pPr>
      <w:rPr>
        <w:rFonts w:ascii="Arial" w:hAnsi="Arial" w:hint="default"/>
        <w:b w:val="0"/>
        <w:i w:val="0"/>
        <w:sz w:val="21"/>
        <w:szCs w:val="21"/>
      </w:rPr>
    </w:lvl>
    <w:lvl w:ilvl="6">
      <w:start w:val="1"/>
      <w:numFmt w:val="lowerLetter"/>
      <w:lvlText w:val="%7."/>
      <w:lvlJc w:val="left"/>
      <w:pPr>
        <w:tabs>
          <w:tab w:val="left" w:pos="1134"/>
        </w:tabs>
        <w:ind w:left="1134" w:hanging="312"/>
      </w:pPr>
      <w:rPr>
        <w:rFonts w:ascii="Arial" w:hAnsi="Arial" w:hint="default"/>
        <w:b w:val="0"/>
        <w:i w:val="0"/>
        <w:sz w:val="21"/>
        <w:szCs w:val="21"/>
      </w:rPr>
    </w:lvl>
    <w:lvl w:ilvl="7">
      <w:start w:val="1"/>
      <w:numFmt w:val="decimal"/>
      <w:lvlRestart w:val="0"/>
      <w:pStyle w:val="a1"/>
      <w:suff w:val="space"/>
      <w:lvlText w:val="图%8"/>
      <w:lvlJc w:val="center"/>
      <w:pPr>
        <w:ind w:left="0" w:firstLine="0"/>
      </w:pPr>
      <w:rPr>
        <w:rFonts w:ascii="Arial" w:eastAsia="SimHei" w:hAnsi="Arial" w:hint="default"/>
        <w:b w:val="0"/>
        <w:i w:val="0"/>
        <w:sz w:val="18"/>
        <w:szCs w:val="18"/>
      </w:rPr>
    </w:lvl>
    <w:lvl w:ilvl="8">
      <w:start w:val="1"/>
      <w:numFmt w:val="decimal"/>
      <w:lvlRestart w:val="0"/>
      <w:pStyle w:val="a2"/>
      <w:suff w:val="space"/>
      <w:lvlText w:val="表%9"/>
      <w:lvlJc w:val="center"/>
      <w:pPr>
        <w:ind w:left="0" w:firstLine="0"/>
      </w:pPr>
      <w:rPr>
        <w:rFonts w:ascii="Arial" w:eastAsia="SimHei" w:hAnsi="Arial" w:hint="default"/>
        <w:b w:val="0"/>
        <w:i w:val="0"/>
        <w:sz w:val="18"/>
        <w:szCs w:val="18"/>
      </w:rPr>
    </w:lvl>
  </w:abstractNum>
  <w:abstractNum w:abstractNumId="136" w15:restartNumberingAfterBreak="0">
    <w:nsid w:val="435F4511"/>
    <w:multiLevelType w:val="multilevel"/>
    <w:tmpl w:val="435F451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7" w15:restartNumberingAfterBreak="0">
    <w:nsid w:val="439B52C3"/>
    <w:multiLevelType w:val="multilevel"/>
    <w:tmpl w:val="5DB446E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720" w:hanging="360"/>
      </w:pPr>
      <w:rPr>
        <w:rFonts w:ascii="Times" w:eastAsia="Batang" w:hAnsi="Times" w:cs="Times"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8" w15:restartNumberingAfterBreak="0">
    <w:nsid w:val="43FF5F2B"/>
    <w:multiLevelType w:val="multilevel"/>
    <w:tmpl w:val="6EA4E4CA"/>
    <w:styleLink w:val="StyleBulletedSymbolsymbolLeft025Hanging02511"/>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b/>
      </w:rPr>
    </w:lvl>
    <w:lvl w:ilvl="3">
      <w:start w:val="1"/>
      <w:numFmt w:val="decimal"/>
      <w:lvlText w:val="%1.%2.%3.%4"/>
      <w:lvlJc w:val="left"/>
      <w:pPr>
        <w:tabs>
          <w:tab w:val="num" w:pos="1999"/>
        </w:tabs>
        <w:ind w:left="1999" w:hanging="864"/>
      </w:pPr>
      <w:rPr>
        <w:rFonts w:hint="default"/>
        <w:b/>
      </w:rPr>
    </w:lvl>
    <w:lvl w:ilvl="4">
      <w:start w:val="1"/>
      <w:numFmt w:val="decimal"/>
      <w:lvlText w:val="%1.%2.%3.%4.%5"/>
      <w:lvlJc w:val="left"/>
      <w:pPr>
        <w:tabs>
          <w:tab w:val="num" w:pos="0"/>
        </w:tabs>
        <w:ind w:left="0" w:firstLine="0"/>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39" w15:restartNumberingAfterBreak="0">
    <w:nsid w:val="44E70689"/>
    <w:multiLevelType w:val="singleLevel"/>
    <w:tmpl w:val="44E70689"/>
    <w:lvl w:ilvl="0">
      <w:start w:val="1"/>
      <w:numFmt w:val="upperLetter"/>
      <w:pStyle w:val="Appendix1"/>
      <w:lvlText w:val="Appendix %1"/>
      <w:lvlJc w:val="left"/>
      <w:pPr>
        <w:ind w:left="360" w:hanging="360"/>
      </w:pPr>
      <w:rPr>
        <w:rFonts w:ascii="Arial" w:hAnsi="Arial" w:cs="Times New Roman" w:hint="default"/>
        <w:b w:val="0"/>
        <w:bCs w:val="0"/>
        <w:i w:val="0"/>
        <w:iCs w:val="0"/>
        <w:caps w:val="0"/>
        <w:smallCaps w:val="0"/>
        <w:strike w:val="0"/>
        <w:dstrike w:val="0"/>
        <w:vanish w:val="0"/>
        <w:color w:val="000000"/>
        <w:spacing w:val="0"/>
        <w:kern w:val="0"/>
        <w:position w:val="0"/>
        <w:u w:val="none"/>
        <w:vertAlign w:val="baseline"/>
      </w:rPr>
    </w:lvl>
  </w:abstractNum>
  <w:abstractNum w:abstractNumId="140" w15:restartNumberingAfterBreak="0">
    <w:nsid w:val="45080975"/>
    <w:multiLevelType w:val="hybridMultilevel"/>
    <w:tmpl w:val="E8A8F828"/>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41" w15:restartNumberingAfterBreak="0">
    <w:nsid w:val="45656483"/>
    <w:multiLevelType w:val="multilevel"/>
    <w:tmpl w:val="45656483"/>
    <w:lvl w:ilvl="0">
      <w:start w:val="8"/>
      <w:numFmt w:val="decimal"/>
      <w:pStyle w:val="observation"/>
      <w:lvlText w:val="Observation %1:"/>
      <w:lvlJc w:val="left"/>
      <w:pPr>
        <w:ind w:left="420" w:hanging="420"/>
      </w:pPr>
      <w:rPr>
        <w:rFonts w:hint="eastAsia"/>
      </w:rPr>
    </w:lvl>
    <w:lvl w:ilvl="1">
      <w:start w:val="1"/>
      <w:numFmt w:val="lowerLetter"/>
      <w:lvlText w:val="%2)"/>
      <w:lvlJc w:val="left"/>
      <w:pPr>
        <w:ind w:left="840" w:hanging="420"/>
      </w:pPr>
      <w:rPr>
        <w:rFonts w:hint="eastAsia"/>
      </w:rPr>
    </w:lvl>
    <w:lvl w:ilvl="2">
      <w:start w:val="1"/>
      <w:numFmt w:val="lowerRoman"/>
      <w:lvlText w:val="%3."/>
      <w:lvlJc w:val="right"/>
      <w:pPr>
        <w:ind w:left="1260" w:hanging="420"/>
      </w:pPr>
      <w:rPr>
        <w:rFonts w:hint="eastAsia"/>
      </w:rPr>
    </w:lvl>
    <w:lvl w:ilvl="3">
      <w:start w:val="1"/>
      <w:numFmt w:val="decimal"/>
      <w:lvlText w:val="%4."/>
      <w:lvlJc w:val="left"/>
      <w:pPr>
        <w:ind w:left="1680" w:hanging="420"/>
      </w:pPr>
      <w:rPr>
        <w:rFonts w:hint="eastAsia"/>
      </w:rPr>
    </w:lvl>
    <w:lvl w:ilvl="4">
      <w:start w:val="1"/>
      <w:numFmt w:val="lowerLetter"/>
      <w:lvlText w:val="%5)"/>
      <w:lvlJc w:val="left"/>
      <w:pPr>
        <w:ind w:left="2100" w:hanging="420"/>
      </w:pPr>
      <w:rPr>
        <w:rFonts w:hint="eastAsia"/>
      </w:rPr>
    </w:lvl>
    <w:lvl w:ilvl="5">
      <w:start w:val="1"/>
      <w:numFmt w:val="lowerRoman"/>
      <w:lvlText w:val="%6."/>
      <w:lvlJc w:val="right"/>
      <w:pPr>
        <w:ind w:left="2520" w:hanging="420"/>
      </w:pPr>
      <w:rPr>
        <w:rFonts w:hint="eastAsia"/>
      </w:rPr>
    </w:lvl>
    <w:lvl w:ilvl="6">
      <w:start w:val="1"/>
      <w:numFmt w:val="decimal"/>
      <w:lvlText w:val="%7."/>
      <w:lvlJc w:val="left"/>
      <w:pPr>
        <w:ind w:left="2940" w:hanging="420"/>
      </w:pPr>
      <w:rPr>
        <w:rFonts w:hint="eastAsia"/>
      </w:rPr>
    </w:lvl>
    <w:lvl w:ilvl="7">
      <w:start w:val="1"/>
      <w:numFmt w:val="lowerLetter"/>
      <w:lvlText w:val="%8)"/>
      <w:lvlJc w:val="left"/>
      <w:pPr>
        <w:ind w:left="3360" w:hanging="420"/>
      </w:pPr>
      <w:rPr>
        <w:rFonts w:hint="eastAsia"/>
      </w:rPr>
    </w:lvl>
    <w:lvl w:ilvl="8">
      <w:start w:val="1"/>
      <w:numFmt w:val="lowerRoman"/>
      <w:lvlText w:val="%9."/>
      <w:lvlJc w:val="right"/>
      <w:pPr>
        <w:ind w:left="3780" w:hanging="420"/>
      </w:pPr>
      <w:rPr>
        <w:rFonts w:hint="eastAsia"/>
      </w:rPr>
    </w:lvl>
  </w:abstractNum>
  <w:abstractNum w:abstractNumId="142" w15:restartNumberingAfterBreak="0">
    <w:nsid w:val="45906A46"/>
    <w:multiLevelType w:val="hybridMultilevel"/>
    <w:tmpl w:val="BA90A1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3" w15:restartNumberingAfterBreak="0">
    <w:nsid w:val="45E05BD5"/>
    <w:multiLevelType w:val="hybridMultilevel"/>
    <w:tmpl w:val="41A6D55A"/>
    <w:styleLink w:val="StyleBulletedSymbolsymbolLeft025Hanging025217"/>
    <w:lvl w:ilvl="0" w:tplc="04090001">
      <w:start w:val="1"/>
      <w:numFmt w:val="decimal"/>
      <w:pStyle w:val="NumberedList"/>
      <w:lvlText w:val="[%1]."/>
      <w:lvlJc w:val="left"/>
      <w:pPr>
        <w:tabs>
          <w:tab w:val="num" w:pos="432"/>
        </w:tabs>
        <w:ind w:left="432" w:hanging="432"/>
      </w:pPr>
      <w:rPr>
        <w:rFonts w:hint="default"/>
      </w:rPr>
    </w:lvl>
    <w:lvl w:ilvl="1" w:tplc="04090003">
      <w:start w:val="1"/>
      <w:numFmt w:val="bullet"/>
      <w:lvlText w:val=""/>
      <w:lvlJc w:val="left"/>
      <w:pPr>
        <w:tabs>
          <w:tab w:val="num" w:pos="360"/>
        </w:tabs>
        <w:ind w:left="360" w:hanging="360"/>
      </w:pPr>
      <w:rPr>
        <w:rFonts w:ascii="Symbol" w:hAnsi="Symbol" w:hint="default"/>
        <w:lang w:val="en-US"/>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4" w15:restartNumberingAfterBreak="0">
    <w:nsid w:val="46015491"/>
    <w:multiLevelType w:val="hybridMultilevel"/>
    <w:tmpl w:val="35EE735C"/>
    <w:name w:val="Heading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5"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46" w15:restartNumberingAfterBreak="0">
    <w:nsid w:val="477C1432"/>
    <w:multiLevelType w:val="multilevel"/>
    <w:tmpl w:val="477C143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7" w15:restartNumberingAfterBreak="0">
    <w:nsid w:val="47B07BBE"/>
    <w:multiLevelType w:val="hybridMultilevel"/>
    <w:tmpl w:val="E5A20794"/>
    <w:lvl w:ilvl="0" w:tplc="484C16D4">
      <w:start w:val="5"/>
      <w:numFmt w:val="bullet"/>
      <w:lvlText w:val="-"/>
      <w:lvlJc w:val="left"/>
      <w:pPr>
        <w:ind w:left="720" w:hanging="360"/>
      </w:pPr>
      <w:rPr>
        <w:rFonts w:ascii="Arial Narrow" w:eastAsiaTheme="minorEastAsia" w:hAnsi="Arial Narrow"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8" w15:restartNumberingAfterBreak="0">
    <w:nsid w:val="48B764A8"/>
    <w:multiLevelType w:val="multilevel"/>
    <w:tmpl w:val="48B764A8"/>
    <w:lvl w:ilvl="0">
      <w:start w:val="1"/>
      <w:numFmt w:val="decimal"/>
      <w:pStyle w:val="a3"/>
      <w:lvlText w:val="[%1]"/>
      <w:lvlJc w:val="left"/>
      <w:pPr>
        <w:ind w:left="1440" w:hanging="360"/>
      </w:pPr>
      <w:rPr>
        <w:rFonts w:hint="default"/>
      </w:r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149" w15:restartNumberingAfterBreak="0">
    <w:nsid w:val="48C1630E"/>
    <w:multiLevelType w:val="multilevel"/>
    <w:tmpl w:val="65AB0AE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0" w15:restartNumberingAfterBreak="0">
    <w:nsid w:val="49906174"/>
    <w:multiLevelType w:val="hybridMultilevel"/>
    <w:tmpl w:val="B0EA941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1" w15:restartNumberingAfterBreak="0">
    <w:nsid w:val="49F90C95"/>
    <w:multiLevelType w:val="hybridMultilevel"/>
    <w:tmpl w:val="5964B79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2"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153" w15:restartNumberingAfterBreak="0">
    <w:nsid w:val="4A7540FE"/>
    <w:multiLevelType w:val="hybridMultilevel"/>
    <w:tmpl w:val="290063F4"/>
    <w:lvl w:ilvl="0" w:tplc="04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4" w15:restartNumberingAfterBreak="0">
    <w:nsid w:val="4AC36797"/>
    <w:multiLevelType w:val="hybridMultilevel"/>
    <w:tmpl w:val="A5A2AFA0"/>
    <w:lvl w:ilvl="0" w:tplc="EE7EEB66">
      <w:start w:val="16"/>
      <w:numFmt w:val="bullet"/>
      <w:lvlText w:val="-"/>
      <w:lvlJc w:val="left"/>
      <w:pPr>
        <w:ind w:left="1080" w:hanging="360"/>
      </w:pPr>
      <w:rPr>
        <w:rFonts w:ascii="Times New Roman" w:eastAsia="Times New Roman" w:hAnsi="Times New Roman" w:cs="Times New Roman"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cs="Courier New" w:hint="default"/>
      </w:rPr>
    </w:lvl>
    <w:lvl w:ilvl="5" w:tplc="04090005">
      <w:start w:val="1"/>
      <w:numFmt w:val="bullet"/>
      <w:lvlText w:val=""/>
      <w:lvlJc w:val="left"/>
      <w:pPr>
        <w:ind w:left="4680" w:hanging="360"/>
      </w:pPr>
      <w:rPr>
        <w:rFonts w:ascii="Wingdings" w:hAnsi="Wingdings" w:hint="default"/>
      </w:rPr>
    </w:lvl>
    <w:lvl w:ilvl="6" w:tplc="04090001">
      <w:start w:val="1"/>
      <w:numFmt w:val="bullet"/>
      <w:lvlText w:val=""/>
      <w:lvlJc w:val="left"/>
      <w:pPr>
        <w:ind w:left="5400" w:hanging="360"/>
      </w:pPr>
      <w:rPr>
        <w:rFonts w:ascii="Symbol" w:hAnsi="Symbol" w:hint="default"/>
      </w:rPr>
    </w:lvl>
    <w:lvl w:ilvl="7" w:tplc="04090003">
      <w:start w:val="1"/>
      <w:numFmt w:val="bullet"/>
      <w:lvlText w:val="o"/>
      <w:lvlJc w:val="left"/>
      <w:pPr>
        <w:ind w:left="6120" w:hanging="360"/>
      </w:pPr>
      <w:rPr>
        <w:rFonts w:ascii="Courier New" w:hAnsi="Courier New" w:cs="Courier New" w:hint="default"/>
      </w:rPr>
    </w:lvl>
    <w:lvl w:ilvl="8" w:tplc="04090005">
      <w:start w:val="1"/>
      <w:numFmt w:val="bullet"/>
      <w:lvlText w:val=""/>
      <w:lvlJc w:val="left"/>
      <w:pPr>
        <w:ind w:left="6840" w:hanging="360"/>
      </w:pPr>
      <w:rPr>
        <w:rFonts w:ascii="Wingdings" w:hAnsi="Wingdings" w:hint="default"/>
      </w:rPr>
    </w:lvl>
  </w:abstractNum>
  <w:abstractNum w:abstractNumId="155" w15:restartNumberingAfterBreak="0">
    <w:nsid w:val="4AE33CE0"/>
    <w:multiLevelType w:val="hybridMultilevel"/>
    <w:tmpl w:val="35846C9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6" w15:restartNumberingAfterBreak="0">
    <w:nsid w:val="4AE75370"/>
    <w:multiLevelType w:val="hybridMultilevel"/>
    <w:tmpl w:val="4C30660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7"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158" w15:restartNumberingAfterBreak="0">
    <w:nsid w:val="4B485D6F"/>
    <w:multiLevelType w:val="multilevel"/>
    <w:tmpl w:val="4B485D6F"/>
    <w:lvl w:ilvl="0">
      <w:start w:val="1"/>
      <w:numFmt w:val="bullet"/>
      <w:lvlText w:val=""/>
      <w:lvlJc w:val="left"/>
      <w:pPr>
        <w:ind w:left="644" w:hanging="360"/>
      </w:pPr>
      <w:rPr>
        <w:rFonts w:ascii="Symbol" w:hAnsi="Symbol" w:hint="default"/>
      </w:rPr>
    </w:lvl>
    <w:lvl w:ilvl="1">
      <w:start w:val="1"/>
      <w:numFmt w:val="bullet"/>
      <w:lvlText w:val="o"/>
      <w:lvlJc w:val="left"/>
      <w:pPr>
        <w:ind w:left="1364" w:hanging="360"/>
      </w:pPr>
      <w:rPr>
        <w:rFonts w:ascii="Courier New" w:hAnsi="Courier New" w:cs="Courier New" w:hint="default"/>
      </w:rPr>
    </w:lvl>
    <w:lvl w:ilvl="2">
      <w:start w:val="1"/>
      <w:numFmt w:val="bullet"/>
      <w:lvlText w:val=""/>
      <w:lvlJc w:val="left"/>
      <w:pPr>
        <w:ind w:left="2084" w:hanging="360"/>
      </w:pPr>
      <w:rPr>
        <w:rFonts w:ascii="Wingdings" w:hAnsi="Wingdings" w:hint="default"/>
      </w:rPr>
    </w:lvl>
    <w:lvl w:ilvl="3">
      <w:start w:val="1"/>
      <w:numFmt w:val="bullet"/>
      <w:lvlText w:val=""/>
      <w:lvlJc w:val="left"/>
      <w:pPr>
        <w:ind w:left="2804" w:hanging="360"/>
      </w:pPr>
      <w:rPr>
        <w:rFonts w:ascii="Symbol" w:hAnsi="Symbol" w:hint="default"/>
      </w:rPr>
    </w:lvl>
    <w:lvl w:ilvl="4">
      <w:start w:val="1"/>
      <w:numFmt w:val="bullet"/>
      <w:lvlText w:val="o"/>
      <w:lvlJc w:val="left"/>
      <w:pPr>
        <w:ind w:left="3524" w:hanging="360"/>
      </w:pPr>
      <w:rPr>
        <w:rFonts w:ascii="Courier New" w:hAnsi="Courier New" w:cs="Courier New" w:hint="default"/>
      </w:rPr>
    </w:lvl>
    <w:lvl w:ilvl="5">
      <w:start w:val="1"/>
      <w:numFmt w:val="bullet"/>
      <w:lvlText w:val=""/>
      <w:lvlJc w:val="left"/>
      <w:pPr>
        <w:ind w:left="4244" w:hanging="360"/>
      </w:pPr>
      <w:rPr>
        <w:rFonts w:ascii="Wingdings" w:hAnsi="Wingdings" w:hint="default"/>
      </w:rPr>
    </w:lvl>
    <w:lvl w:ilvl="6">
      <w:start w:val="1"/>
      <w:numFmt w:val="bullet"/>
      <w:lvlText w:val=""/>
      <w:lvlJc w:val="left"/>
      <w:pPr>
        <w:ind w:left="4964" w:hanging="360"/>
      </w:pPr>
      <w:rPr>
        <w:rFonts w:ascii="Symbol" w:hAnsi="Symbol" w:hint="default"/>
      </w:rPr>
    </w:lvl>
    <w:lvl w:ilvl="7">
      <w:start w:val="1"/>
      <w:numFmt w:val="bullet"/>
      <w:lvlText w:val="o"/>
      <w:lvlJc w:val="left"/>
      <w:pPr>
        <w:ind w:left="5684" w:hanging="360"/>
      </w:pPr>
      <w:rPr>
        <w:rFonts w:ascii="Courier New" w:hAnsi="Courier New" w:cs="Courier New" w:hint="default"/>
      </w:rPr>
    </w:lvl>
    <w:lvl w:ilvl="8">
      <w:start w:val="1"/>
      <w:numFmt w:val="bullet"/>
      <w:lvlText w:val=""/>
      <w:lvlJc w:val="left"/>
      <w:pPr>
        <w:ind w:left="6404" w:hanging="360"/>
      </w:pPr>
      <w:rPr>
        <w:rFonts w:ascii="Wingdings" w:hAnsi="Wingdings" w:hint="default"/>
      </w:rPr>
    </w:lvl>
  </w:abstractNum>
  <w:abstractNum w:abstractNumId="159" w15:restartNumberingAfterBreak="0">
    <w:nsid w:val="4BD61D4D"/>
    <w:multiLevelType w:val="hybridMultilevel"/>
    <w:tmpl w:val="8DB023E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0" w15:restartNumberingAfterBreak="0">
    <w:nsid w:val="4C9C48D9"/>
    <w:multiLevelType w:val="multilevel"/>
    <w:tmpl w:val="0409001F"/>
    <w:styleLink w:val="111111"/>
    <w:lvl w:ilvl="0">
      <w:start w:val="5"/>
      <w:numFmt w:val="decimal"/>
      <w:lvlText w:val="%1."/>
      <w:lvlJc w:val="left"/>
      <w:pPr>
        <w:tabs>
          <w:tab w:val="num" w:pos="425"/>
        </w:tabs>
        <w:ind w:left="425" w:hanging="425"/>
      </w:pPr>
      <w:rPr>
        <w:rFonts w:hint="eastAsia"/>
      </w:rPr>
    </w:lvl>
    <w:lvl w:ilvl="1">
      <w:start w:val="1"/>
      <w:numFmt w:val="decimal"/>
      <w:lvlText w:val="%1.%2."/>
      <w:lvlJc w:val="left"/>
      <w:pPr>
        <w:tabs>
          <w:tab w:val="num" w:pos="567"/>
        </w:tabs>
        <w:ind w:left="567" w:hanging="567"/>
      </w:pPr>
    </w:lvl>
    <w:lvl w:ilvl="2">
      <w:start w:val="1"/>
      <w:numFmt w:val="decimal"/>
      <w:lvlText w:val="%1.%2.%3."/>
      <w:lvlJc w:val="left"/>
      <w:pPr>
        <w:tabs>
          <w:tab w:val="num" w:pos="709"/>
        </w:tabs>
        <w:ind w:left="709" w:hanging="709"/>
      </w:pPr>
    </w:lvl>
    <w:lvl w:ilvl="3">
      <w:start w:val="1"/>
      <w:numFmt w:val="decimal"/>
      <w:lvlText w:val="%1.%2.%3.%4."/>
      <w:lvlJc w:val="left"/>
      <w:pPr>
        <w:tabs>
          <w:tab w:val="num" w:pos="851"/>
        </w:tabs>
        <w:ind w:left="851" w:hanging="851"/>
      </w:pPr>
    </w:lvl>
    <w:lvl w:ilvl="4">
      <w:start w:val="1"/>
      <w:numFmt w:val="decimal"/>
      <w:lvlText w:val="%1.%2.%3.%4.%5."/>
      <w:lvlJc w:val="left"/>
      <w:pPr>
        <w:tabs>
          <w:tab w:val="num" w:pos="992"/>
        </w:tabs>
        <w:ind w:left="992" w:hanging="992"/>
      </w:pPr>
    </w:lvl>
    <w:lvl w:ilvl="5">
      <w:start w:val="1"/>
      <w:numFmt w:val="decimal"/>
      <w:lvlText w:val="%1.%2.%3.%4.%5.%6."/>
      <w:lvlJc w:val="left"/>
      <w:pPr>
        <w:tabs>
          <w:tab w:val="num" w:pos="1134"/>
        </w:tabs>
        <w:ind w:left="1134" w:hanging="1134"/>
      </w:pPr>
    </w:lvl>
    <w:lvl w:ilvl="6">
      <w:start w:val="1"/>
      <w:numFmt w:val="decimal"/>
      <w:lvlText w:val="%1.%2.%3.%4.%5.%6.%7."/>
      <w:lvlJc w:val="left"/>
      <w:pPr>
        <w:tabs>
          <w:tab w:val="num" w:pos="1276"/>
        </w:tabs>
        <w:ind w:left="1276" w:hanging="1276"/>
      </w:pPr>
    </w:lvl>
    <w:lvl w:ilvl="7">
      <w:start w:val="1"/>
      <w:numFmt w:val="decimal"/>
      <w:lvlText w:val="%1.%2.%3.%4.%5.%6.%7.%8."/>
      <w:lvlJc w:val="left"/>
      <w:pPr>
        <w:tabs>
          <w:tab w:val="num" w:pos="1418"/>
        </w:tabs>
        <w:ind w:left="1418" w:hanging="1418"/>
      </w:pPr>
    </w:lvl>
    <w:lvl w:ilvl="8">
      <w:start w:val="1"/>
      <w:numFmt w:val="decimal"/>
      <w:lvlText w:val="%1.%2.%3.%4.%5.%6.%7.%8.%9."/>
      <w:lvlJc w:val="left"/>
      <w:pPr>
        <w:tabs>
          <w:tab w:val="num" w:pos="1559"/>
        </w:tabs>
        <w:ind w:left="1559" w:hanging="1559"/>
      </w:pPr>
    </w:lvl>
  </w:abstractNum>
  <w:abstractNum w:abstractNumId="161" w15:restartNumberingAfterBreak="0">
    <w:nsid w:val="4D0B5718"/>
    <w:multiLevelType w:val="hybridMultilevel"/>
    <w:tmpl w:val="93E6500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2" w15:restartNumberingAfterBreak="0">
    <w:nsid w:val="4D5B60E4"/>
    <w:multiLevelType w:val="hybridMultilevel"/>
    <w:tmpl w:val="2892B6B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3" w15:restartNumberingAfterBreak="0">
    <w:nsid w:val="4DC675E2"/>
    <w:multiLevelType w:val="hybridMultilevel"/>
    <w:tmpl w:val="3EA2471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4" w15:restartNumberingAfterBreak="0">
    <w:nsid w:val="507024D8"/>
    <w:multiLevelType w:val="multilevel"/>
    <w:tmpl w:val="507024D8"/>
    <w:lvl w:ilvl="0">
      <w:start w:val="6"/>
      <w:numFmt w:val="bullet"/>
      <w:lvlText w:val="-"/>
      <w:lvlJc w:val="left"/>
      <w:pPr>
        <w:ind w:left="720" w:hanging="360"/>
      </w:pPr>
      <w:rPr>
        <w:rFonts w:ascii="Times New Roman" w:eastAsia="SimSun" w:hAnsi="Times New Roman" w:cs="Times New Roman" w:hint="default"/>
        <w:b w:val="0"/>
        <w:bCs w:val="0"/>
        <w:sz w:val="20"/>
        <w:szCs w:val="20"/>
      </w:rPr>
    </w:lvl>
    <w:lvl w:ilvl="1">
      <w:numFmt w:val="bullet"/>
      <w:lvlText w:val="-"/>
      <w:lvlJc w:val="left"/>
      <w:pPr>
        <w:ind w:left="1440" w:hanging="360"/>
      </w:pPr>
      <w:rPr>
        <w:rFonts w:ascii="Times New Roman" w:eastAsia="MS Mincho" w:hAnsi="Times New Roman" w:cs="Times New Roman" w:hint="default"/>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65" w15:restartNumberingAfterBreak="0">
    <w:nsid w:val="509770B2"/>
    <w:multiLevelType w:val="hybridMultilevel"/>
    <w:tmpl w:val="4B3CAB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6" w15:restartNumberingAfterBreak="0">
    <w:nsid w:val="50F10317"/>
    <w:multiLevelType w:val="multilevel"/>
    <w:tmpl w:val="AFBC4856"/>
    <w:styleLink w:val="StyleBulletedSymbolsymbolLeft025Hanging02522"/>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67" w15:restartNumberingAfterBreak="0">
    <w:nsid w:val="5101505E"/>
    <w:multiLevelType w:val="hybridMultilevel"/>
    <w:tmpl w:val="6C28A41A"/>
    <w:lvl w:ilvl="0" w:tplc="901E4CC4">
      <w:start w:val="1"/>
      <w:numFmt w:val="decimal"/>
      <w:pStyle w:val="Observation0"/>
      <w:lvlText w:val="Observation %1"/>
      <w:lvlJc w:val="left"/>
      <w:pPr>
        <w:ind w:left="36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8" w15:restartNumberingAfterBreak="0">
    <w:nsid w:val="51242907"/>
    <w:multiLevelType w:val="hybridMultilevel"/>
    <w:tmpl w:val="0C929746"/>
    <w:lvl w:ilvl="0" w:tplc="B5A8667A">
      <w:numFmt w:val="bullet"/>
      <w:lvlText w:val="-"/>
      <w:lvlJc w:val="left"/>
      <w:pPr>
        <w:ind w:left="720" w:hanging="360"/>
      </w:pPr>
      <w:rPr>
        <w:rFonts w:ascii="Times" w:eastAsia="Batang" w:hAnsi="Times" w:cs="Time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9" w15:restartNumberingAfterBreak="0">
    <w:nsid w:val="51254B75"/>
    <w:multiLevelType w:val="hybridMultilevel"/>
    <w:tmpl w:val="3610623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0" w15:restartNumberingAfterBreak="0">
    <w:nsid w:val="513B7895"/>
    <w:multiLevelType w:val="hybridMultilevel"/>
    <w:tmpl w:val="66AAF5F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1" w15:restartNumberingAfterBreak="0">
    <w:nsid w:val="521F44A7"/>
    <w:multiLevelType w:val="multilevel"/>
    <w:tmpl w:val="521F44A7"/>
    <w:lvl w:ilvl="0">
      <w:start w:val="1"/>
      <w:numFmt w:val="bullet"/>
      <w:pStyle w:val="EmailDiscussion"/>
      <w:lvlText w:val=""/>
      <w:lvlJc w:val="left"/>
      <w:pPr>
        <w:tabs>
          <w:tab w:val="left" w:pos="1619"/>
        </w:tabs>
        <w:ind w:left="1619" w:hanging="360"/>
      </w:pPr>
      <w:rPr>
        <w:rFonts w:ascii="Wingdings" w:hAnsi="Wingdings"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72" w15:restartNumberingAfterBreak="0">
    <w:nsid w:val="523D39B7"/>
    <w:multiLevelType w:val="hybridMultilevel"/>
    <w:tmpl w:val="9E6C453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3" w15:restartNumberingAfterBreak="0">
    <w:nsid w:val="527922A1"/>
    <w:multiLevelType w:val="hybridMultilevel"/>
    <w:tmpl w:val="54D032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4" w15:restartNumberingAfterBreak="0">
    <w:nsid w:val="52CA544A"/>
    <w:multiLevelType w:val="singleLevel"/>
    <w:tmpl w:val="D83040E2"/>
    <w:styleLink w:val="StyleBulletedSymbolsymbolLeft025Hanging025120"/>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175" w15:restartNumberingAfterBreak="0">
    <w:nsid w:val="52F267B1"/>
    <w:multiLevelType w:val="hybridMultilevel"/>
    <w:tmpl w:val="FAD0C48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6" w15:restartNumberingAfterBreak="0">
    <w:nsid w:val="5326107D"/>
    <w:multiLevelType w:val="hybridMultilevel"/>
    <w:tmpl w:val="772EAB7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7" w15:restartNumberingAfterBreak="0">
    <w:nsid w:val="5360423A"/>
    <w:multiLevelType w:val="hybridMultilevel"/>
    <w:tmpl w:val="F0B6354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8" w15:restartNumberingAfterBreak="0">
    <w:nsid w:val="53EB2637"/>
    <w:multiLevelType w:val="hybridMultilevel"/>
    <w:tmpl w:val="A89628D6"/>
    <w:name w:val="Heading2222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9" w15:restartNumberingAfterBreak="0">
    <w:nsid w:val="542312A9"/>
    <w:multiLevelType w:val="hybridMultilevel"/>
    <w:tmpl w:val="699AC93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0" w15:restartNumberingAfterBreak="0">
    <w:nsid w:val="543239FA"/>
    <w:multiLevelType w:val="multilevel"/>
    <w:tmpl w:val="543239F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1" w15:restartNumberingAfterBreak="0">
    <w:nsid w:val="54812501"/>
    <w:multiLevelType w:val="hybridMultilevel"/>
    <w:tmpl w:val="861072B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2" w15:restartNumberingAfterBreak="0">
    <w:nsid w:val="55461B94"/>
    <w:multiLevelType w:val="hybridMultilevel"/>
    <w:tmpl w:val="5F0A6F1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3" w15:restartNumberingAfterBreak="0">
    <w:nsid w:val="55723FAB"/>
    <w:multiLevelType w:val="hybridMultilevel"/>
    <w:tmpl w:val="91AAC60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4" w15:restartNumberingAfterBreak="0">
    <w:nsid w:val="56013F23"/>
    <w:multiLevelType w:val="hybridMultilevel"/>
    <w:tmpl w:val="E1F8AB4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5" w15:restartNumberingAfterBreak="0">
    <w:nsid w:val="566A656B"/>
    <w:multiLevelType w:val="multilevel"/>
    <w:tmpl w:val="FBDA8D2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Wingdings" w:hAnsi="Wingdings"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86" w15:restartNumberingAfterBreak="0">
    <w:nsid w:val="568C76D9"/>
    <w:multiLevelType w:val="multilevel"/>
    <w:tmpl w:val="7E04BC5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87" w15:restartNumberingAfterBreak="0">
    <w:nsid w:val="56E60FD3"/>
    <w:multiLevelType w:val="hybridMultilevel"/>
    <w:tmpl w:val="A18CE61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8" w15:restartNumberingAfterBreak="0">
    <w:nsid w:val="57603841"/>
    <w:multiLevelType w:val="hybridMultilevel"/>
    <w:tmpl w:val="B74C50F0"/>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89" w15:restartNumberingAfterBreak="0">
    <w:nsid w:val="58DA7857"/>
    <w:multiLevelType w:val="hybridMultilevel"/>
    <w:tmpl w:val="0C463A12"/>
    <w:lvl w:ilvl="0" w:tplc="484C16D4">
      <w:start w:val="5"/>
      <w:numFmt w:val="bullet"/>
      <w:lvlText w:val="-"/>
      <w:lvlJc w:val="left"/>
      <w:pPr>
        <w:ind w:left="720" w:hanging="360"/>
      </w:pPr>
      <w:rPr>
        <w:rFonts w:ascii="Arial Narrow" w:eastAsiaTheme="minorEastAsia" w:hAnsi="Arial Narrow" w:cs="Aria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0" w15:restartNumberingAfterBreak="0">
    <w:nsid w:val="592236C2"/>
    <w:multiLevelType w:val="multilevel"/>
    <w:tmpl w:val="0E10CCAE"/>
    <w:lvl w:ilvl="0">
      <w:numFmt w:val="bullet"/>
      <w:lvlText w:val="-"/>
      <w:lvlJc w:val="left"/>
      <w:pPr>
        <w:ind w:left="783" w:hanging="360"/>
      </w:pPr>
      <w:rPr>
        <w:rFonts w:ascii="Times New Roman" w:eastAsia="MS Mincho" w:hAnsi="Times New Roman" w:cs="Times New Roman" w:hint="default"/>
      </w:rPr>
    </w:lvl>
    <w:lvl w:ilvl="1">
      <w:start w:val="1"/>
      <w:numFmt w:val="bullet"/>
      <w:lvlText w:val="o"/>
      <w:lvlJc w:val="left"/>
      <w:pPr>
        <w:ind w:left="1503" w:hanging="360"/>
      </w:pPr>
      <w:rPr>
        <w:rFonts w:ascii="Courier New" w:hAnsi="Courier New" w:cs="Courier New" w:hint="default"/>
      </w:rPr>
    </w:lvl>
    <w:lvl w:ilvl="2">
      <w:start w:val="1"/>
      <w:numFmt w:val="bullet"/>
      <w:lvlText w:val=""/>
      <w:lvlJc w:val="left"/>
      <w:pPr>
        <w:ind w:left="2223" w:hanging="360"/>
      </w:pPr>
      <w:rPr>
        <w:rFonts w:ascii="Wingdings" w:hAnsi="Wingdings" w:hint="default"/>
      </w:rPr>
    </w:lvl>
    <w:lvl w:ilvl="3">
      <w:start w:val="1"/>
      <w:numFmt w:val="bullet"/>
      <w:lvlText w:val=""/>
      <w:lvlJc w:val="left"/>
      <w:pPr>
        <w:ind w:left="2943" w:hanging="360"/>
      </w:pPr>
      <w:rPr>
        <w:rFonts w:ascii="Symbol" w:hAnsi="Symbol" w:hint="default"/>
      </w:rPr>
    </w:lvl>
    <w:lvl w:ilvl="4">
      <w:start w:val="1"/>
      <w:numFmt w:val="bullet"/>
      <w:lvlText w:val="o"/>
      <w:lvlJc w:val="left"/>
      <w:pPr>
        <w:ind w:left="3663" w:hanging="360"/>
      </w:pPr>
      <w:rPr>
        <w:rFonts w:ascii="Courier New" w:hAnsi="Courier New" w:cs="Courier New" w:hint="default"/>
      </w:rPr>
    </w:lvl>
    <w:lvl w:ilvl="5">
      <w:start w:val="1"/>
      <w:numFmt w:val="bullet"/>
      <w:lvlText w:val=""/>
      <w:lvlJc w:val="left"/>
      <w:pPr>
        <w:ind w:left="4383" w:hanging="360"/>
      </w:pPr>
      <w:rPr>
        <w:rFonts w:ascii="Wingdings" w:hAnsi="Wingdings" w:hint="default"/>
      </w:rPr>
    </w:lvl>
    <w:lvl w:ilvl="6">
      <w:start w:val="1"/>
      <w:numFmt w:val="bullet"/>
      <w:lvlText w:val=""/>
      <w:lvlJc w:val="left"/>
      <w:pPr>
        <w:ind w:left="5103" w:hanging="360"/>
      </w:pPr>
      <w:rPr>
        <w:rFonts w:ascii="Symbol" w:hAnsi="Symbol" w:hint="default"/>
      </w:rPr>
    </w:lvl>
    <w:lvl w:ilvl="7">
      <w:start w:val="1"/>
      <w:numFmt w:val="bullet"/>
      <w:lvlText w:val="o"/>
      <w:lvlJc w:val="left"/>
      <w:pPr>
        <w:ind w:left="5823" w:hanging="360"/>
      </w:pPr>
      <w:rPr>
        <w:rFonts w:ascii="Courier New" w:hAnsi="Courier New" w:cs="Courier New" w:hint="default"/>
      </w:rPr>
    </w:lvl>
    <w:lvl w:ilvl="8">
      <w:start w:val="1"/>
      <w:numFmt w:val="bullet"/>
      <w:lvlText w:val=""/>
      <w:lvlJc w:val="left"/>
      <w:pPr>
        <w:ind w:left="6543" w:hanging="360"/>
      </w:pPr>
      <w:rPr>
        <w:rFonts w:ascii="Wingdings" w:hAnsi="Wingdings" w:hint="default"/>
      </w:rPr>
    </w:lvl>
  </w:abstractNum>
  <w:abstractNum w:abstractNumId="191" w15:restartNumberingAfterBreak="0">
    <w:nsid w:val="5AAB093F"/>
    <w:multiLevelType w:val="multilevel"/>
    <w:tmpl w:val="5AAB093F"/>
    <w:lvl w:ilvl="0">
      <w:numFmt w:val="bullet"/>
      <w:lvlText w:val="-"/>
      <w:lvlJc w:val="left"/>
      <w:pPr>
        <w:ind w:left="724" w:hanging="440"/>
      </w:pPr>
      <w:rPr>
        <w:rFonts w:ascii="Times New Roman" w:eastAsia="Times New Roman" w:hAnsi="Times New Roman" w:cs="Times New Roman" w:hint="default"/>
      </w:rPr>
    </w:lvl>
    <w:lvl w:ilvl="1">
      <w:start w:val="1"/>
      <w:numFmt w:val="bullet"/>
      <w:lvlText w:val=""/>
      <w:lvlJc w:val="left"/>
      <w:pPr>
        <w:ind w:left="1164" w:hanging="440"/>
      </w:pPr>
      <w:rPr>
        <w:rFonts w:ascii="Wingdings" w:hAnsi="Wingdings" w:hint="default"/>
      </w:rPr>
    </w:lvl>
    <w:lvl w:ilvl="2">
      <w:start w:val="1"/>
      <w:numFmt w:val="bullet"/>
      <w:lvlText w:val=""/>
      <w:lvlJc w:val="left"/>
      <w:pPr>
        <w:ind w:left="1604" w:hanging="440"/>
      </w:pPr>
      <w:rPr>
        <w:rFonts w:ascii="Wingdings" w:hAnsi="Wingdings" w:hint="default"/>
      </w:rPr>
    </w:lvl>
    <w:lvl w:ilvl="3">
      <w:start w:val="1"/>
      <w:numFmt w:val="bullet"/>
      <w:lvlText w:val=""/>
      <w:lvlJc w:val="left"/>
      <w:pPr>
        <w:ind w:left="2044" w:hanging="440"/>
      </w:pPr>
      <w:rPr>
        <w:rFonts w:ascii="Wingdings" w:hAnsi="Wingdings" w:hint="default"/>
      </w:rPr>
    </w:lvl>
    <w:lvl w:ilvl="4">
      <w:start w:val="1"/>
      <w:numFmt w:val="bullet"/>
      <w:lvlText w:val=""/>
      <w:lvlJc w:val="left"/>
      <w:pPr>
        <w:ind w:left="2484" w:hanging="440"/>
      </w:pPr>
      <w:rPr>
        <w:rFonts w:ascii="Wingdings" w:hAnsi="Wingdings" w:hint="default"/>
      </w:rPr>
    </w:lvl>
    <w:lvl w:ilvl="5">
      <w:start w:val="1"/>
      <w:numFmt w:val="bullet"/>
      <w:lvlText w:val=""/>
      <w:lvlJc w:val="left"/>
      <w:pPr>
        <w:ind w:left="2924" w:hanging="440"/>
      </w:pPr>
      <w:rPr>
        <w:rFonts w:ascii="Wingdings" w:hAnsi="Wingdings" w:hint="default"/>
      </w:rPr>
    </w:lvl>
    <w:lvl w:ilvl="6">
      <w:start w:val="1"/>
      <w:numFmt w:val="bullet"/>
      <w:lvlText w:val=""/>
      <w:lvlJc w:val="left"/>
      <w:pPr>
        <w:ind w:left="3364" w:hanging="440"/>
      </w:pPr>
      <w:rPr>
        <w:rFonts w:ascii="Wingdings" w:hAnsi="Wingdings" w:hint="default"/>
      </w:rPr>
    </w:lvl>
    <w:lvl w:ilvl="7">
      <w:start w:val="1"/>
      <w:numFmt w:val="bullet"/>
      <w:lvlText w:val=""/>
      <w:lvlJc w:val="left"/>
      <w:pPr>
        <w:ind w:left="3804" w:hanging="440"/>
      </w:pPr>
      <w:rPr>
        <w:rFonts w:ascii="Wingdings" w:hAnsi="Wingdings" w:hint="default"/>
      </w:rPr>
    </w:lvl>
    <w:lvl w:ilvl="8">
      <w:start w:val="1"/>
      <w:numFmt w:val="bullet"/>
      <w:lvlText w:val=""/>
      <w:lvlJc w:val="left"/>
      <w:pPr>
        <w:ind w:left="4244" w:hanging="440"/>
      </w:pPr>
      <w:rPr>
        <w:rFonts w:ascii="Wingdings" w:hAnsi="Wingdings" w:hint="default"/>
      </w:rPr>
    </w:lvl>
  </w:abstractNum>
  <w:abstractNum w:abstractNumId="192" w15:restartNumberingAfterBreak="0">
    <w:nsid w:val="5B2E336A"/>
    <w:multiLevelType w:val="hybridMultilevel"/>
    <w:tmpl w:val="600E73B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3" w15:restartNumberingAfterBreak="0">
    <w:nsid w:val="5BCF5FBA"/>
    <w:multiLevelType w:val="hybridMultilevel"/>
    <w:tmpl w:val="0906B05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4" w15:restartNumberingAfterBreak="0">
    <w:nsid w:val="5C15685A"/>
    <w:multiLevelType w:val="multilevel"/>
    <w:tmpl w:val="2262690E"/>
    <w:lvl w:ilvl="0">
      <w:start w:val="4"/>
      <w:numFmt w:val="decimal"/>
      <w:lvlText w:val="Proposal %1:"/>
      <w:lvlJc w:val="left"/>
      <w:pPr>
        <w:ind w:left="0" w:firstLine="0"/>
      </w:pPr>
      <w:rPr>
        <w:rFonts w:ascii="Times New Roman" w:hAnsi="Times New Roman" w:hint="default"/>
        <w:b w:val="0"/>
        <w:bCs w:val="0"/>
        <w:i w:val="0"/>
        <w:iCs/>
        <w:color w:val="auto"/>
        <w:sz w:val="20"/>
        <w:szCs w:val="16"/>
      </w:rPr>
    </w:lvl>
    <w:lvl w:ilvl="1">
      <w:start w:val="1"/>
      <w:numFmt w:val="bullet"/>
      <w:lvlText w:val=""/>
      <w:lvlJc w:val="left"/>
      <w:pPr>
        <w:ind w:left="720" w:hanging="360"/>
      </w:pPr>
      <w:rPr>
        <w:rFonts w:ascii="Symbol" w:hAnsi="Symbol" w:hint="default"/>
      </w:rPr>
    </w:lvl>
    <w:lvl w:ilvl="2">
      <w:start w:val="1"/>
      <w:numFmt w:val="bullet"/>
      <w:lvlRestart w:val="0"/>
      <w:lvlText w:val="□"/>
      <w:lvlJc w:val="left"/>
      <w:pPr>
        <w:ind w:left="567" w:hanging="283"/>
      </w:pPr>
      <w:rPr>
        <w:rFonts w:ascii="Times New Roman" w:hAnsi="Times New Roman" w:cs="Times New Roman" w:hint="default"/>
        <w:b w:val="0"/>
        <w:i w:val="0"/>
        <w:sz w:val="22"/>
      </w:rPr>
    </w:lvl>
    <w:lvl w:ilvl="3">
      <w:start w:val="1"/>
      <w:numFmt w:val="bullet"/>
      <w:lvlRestart w:val="0"/>
      <w:lvlText w:val="▪"/>
      <w:lvlJc w:val="left"/>
      <w:pPr>
        <w:ind w:left="851" w:hanging="284"/>
      </w:pPr>
      <w:rPr>
        <w:rFonts w:ascii="Times New Roman" w:hAnsi="Times New Roman" w:cs="Times New Roman" w:hint="default"/>
        <w:b w:val="0"/>
        <w:color w:val="auto"/>
        <w:sz w:val="22"/>
      </w:rPr>
    </w:lvl>
    <w:lvl w:ilvl="4">
      <w:start w:val="1"/>
      <w:numFmt w:val="lowerLetter"/>
      <w:lvlText w:val="(%5)"/>
      <w:lvlJc w:val="left"/>
      <w:pPr>
        <w:ind w:left="2838" w:hanging="284"/>
      </w:pPr>
      <w:rPr>
        <w:rFonts w:hint="default"/>
      </w:rPr>
    </w:lvl>
    <w:lvl w:ilvl="5">
      <w:start w:val="1"/>
      <w:numFmt w:val="lowerRoman"/>
      <w:lvlText w:val="(%6)"/>
      <w:lvlJc w:val="left"/>
      <w:pPr>
        <w:ind w:left="3122" w:hanging="284"/>
      </w:pPr>
      <w:rPr>
        <w:rFonts w:hint="default"/>
      </w:rPr>
    </w:lvl>
    <w:lvl w:ilvl="6">
      <w:start w:val="1"/>
      <w:numFmt w:val="decimal"/>
      <w:lvlText w:val="%7."/>
      <w:lvlJc w:val="left"/>
      <w:pPr>
        <w:ind w:left="3406" w:hanging="284"/>
      </w:pPr>
      <w:rPr>
        <w:rFonts w:hint="default"/>
      </w:rPr>
    </w:lvl>
    <w:lvl w:ilvl="7">
      <w:start w:val="1"/>
      <w:numFmt w:val="lowerLetter"/>
      <w:lvlText w:val="%8."/>
      <w:lvlJc w:val="left"/>
      <w:pPr>
        <w:ind w:left="3690" w:hanging="284"/>
      </w:pPr>
      <w:rPr>
        <w:rFonts w:hint="default"/>
      </w:rPr>
    </w:lvl>
    <w:lvl w:ilvl="8">
      <w:start w:val="1"/>
      <w:numFmt w:val="lowerRoman"/>
      <w:lvlText w:val="%9."/>
      <w:lvlJc w:val="left"/>
      <w:pPr>
        <w:ind w:left="3974" w:hanging="284"/>
      </w:pPr>
      <w:rPr>
        <w:rFonts w:hint="default"/>
      </w:rPr>
    </w:lvl>
  </w:abstractNum>
  <w:abstractNum w:abstractNumId="195" w15:restartNumberingAfterBreak="0">
    <w:nsid w:val="5E9B1FD7"/>
    <w:multiLevelType w:val="hybridMultilevel"/>
    <w:tmpl w:val="75F2223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6" w15:restartNumberingAfterBreak="0">
    <w:nsid w:val="5F1912B1"/>
    <w:multiLevelType w:val="hybridMultilevel"/>
    <w:tmpl w:val="728CD534"/>
    <w:lvl w:ilvl="0" w:tplc="04090001">
      <w:start w:val="1"/>
      <w:numFmt w:val="bullet"/>
      <w:lvlText w:val=""/>
      <w:lvlJc w:val="left"/>
      <w:pPr>
        <w:ind w:left="528" w:hanging="360"/>
      </w:pPr>
      <w:rPr>
        <w:rFonts w:ascii="Symbol" w:hAnsi="Symbol" w:hint="default"/>
      </w:rPr>
    </w:lvl>
    <w:lvl w:ilvl="1" w:tplc="04090003">
      <w:start w:val="1"/>
      <w:numFmt w:val="bullet"/>
      <w:pStyle w:val="bullet2"/>
      <w:lvlText w:val="o"/>
      <w:lvlJc w:val="left"/>
      <w:pPr>
        <w:ind w:left="1248" w:hanging="360"/>
      </w:pPr>
      <w:rPr>
        <w:rFonts w:ascii="Courier New" w:hAnsi="Courier New" w:cs="Courier New" w:hint="default"/>
      </w:rPr>
    </w:lvl>
    <w:lvl w:ilvl="2" w:tplc="04090005">
      <w:start w:val="1"/>
      <w:numFmt w:val="bullet"/>
      <w:pStyle w:val="bullet3"/>
      <w:lvlText w:val=""/>
      <w:lvlJc w:val="left"/>
      <w:pPr>
        <w:ind w:left="1968" w:hanging="360"/>
      </w:pPr>
      <w:rPr>
        <w:rFonts w:ascii="Wingdings" w:hAnsi="Wingdings" w:hint="default"/>
      </w:rPr>
    </w:lvl>
    <w:lvl w:ilvl="3" w:tplc="04090001">
      <w:start w:val="1"/>
      <w:numFmt w:val="bullet"/>
      <w:pStyle w:val="bullet4"/>
      <w:lvlText w:val=""/>
      <w:lvlJc w:val="left"/>
      <w:pPr>
        <w:ind w:left="2688" w:hanging="360"/>
      </w:pPr>
      <w:rPr>
        <w:rFonts w:ascii="Symbol" w:hAnsi="Symbol" w:hint="default"/>
      </w:rPr>
    </w:lvl>
    <w:lvl w:ilvl="4" w:tplc="04090003" w:tentative="1">
      <w:start w:val="1"/>
      <w:numFmt w:val="bullet"/>
      <w:lvlText w:val="o"/>
      <w:lvlJc w:val="left"/>
      <w:pPr>
        <w:ind w:left="3408" w:hanging="360"/>
      </w:pPr>
      <w:rPr>
        <w:rFonts w:ascii="Courier New" w:hAnsi="Courier New" w:cs="Courier New" w:hint="default"/>
      </w:rPr>
    </w:lvl>
    <w:lvl w:ilvl="5" w:tplc="04090005" w:tentative="1">
      <w:start w:val="1"/>
      <w:numFmt w:val="bullet"/>
      <w:lvlText w:val=""/>
      <w:lvlJc w:val="left"/>
      <w:pPr>
        <w:ind w:left="4128" w:hanging="360"/>
      </w:pPr>
      <w:rPr>
        <w:rFonts w:ascii="Wingdings" w:hAnsi="Wingdings" w:hint="default"/>
      </w:rPr>
    </w:lvl>
    <w:lvl w:ilvl="6" w:tplc="04090001" w:tentative="1">
      <w:start w:val="1"/>
      <w:numFmt w:val="bullet"/>
      <w:lvlText w:val=""/>
      <w:lvlJc w:val="left"/>
      <w:pPr>
        <w:ind w:left="4848" w:hanging="360"/>
      </w:pPr>
      <w:rPr>
        <w:rFonts w:ascii="Symbol" w:hAnsi="Symbol" w:hint="default"/>
      </w:rPr>
    </w:lvl>
    <w:lvl w:ilvl="7" w:tplc="04090003" w:tentative="1">
      <w:start w:val="1"/>
      <w:numFmt w:val="bullet"/>
      <w:lvlText w:val="o"/>
      <w:lvlJc w:val="left"/>
      <w:pPr>
        <w:ind w:left="5568" w:hanging="360"/>
      </w:pPr>
      <w:rPr>
        <w:rFonts w:ascii="Courier New" w:hAnsi="Courier New" w:cs="Courier New" w:hint="default"/>
      </w:rPr>
    </w:lvl>
    <w:lvl w:ilvl="8" w:tplc="04090005" w:tentative="1">
      <w:start w:val="1"/>
      <w:numFmt w:val="bullet"/>
      <w:lvlText w:val=""/>
      <w:lvlJc w:val="left"/>
      <w:pPr>
        <w:ind w:left="6288" w:hanging="360"/>
      </w:pPr>
      <w:rPr>
        <w:rFonts w:ascii="Wingdings" w:hAnsi="Wingdings" w:hint="default"/>
      </w:rPr>
    </w:lvl>
  </w:abstractNum>
  <w:abstractNum w:abstractNumId="197" w15:restartNumberingAfterBreak="0">
    <w:nsid w:val="5F200F75"/>
    <w:multiLevelType w:val="hybridMultilevel"/>
    <w:tmpl w:val="80104F5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8" w15:restartNumberingAfterBreak="0">
    <w:nsid w:val="5F4F1346"/>
    <w:multiLevelType w:val="multilevel"/>
    <w:tmpl w:val="C2769C2A"/>
    <w:lvl w:ilvl="0">
      <w:start w:val="1"/>
      <w:numFmt w:val="bullet"/>
      <w:pStyle w:val="Normal1CharChar"/>
      <w:lvlText w:val=""/>
      <w:lvlJc w:val="left"/>
      <w:pPr>
        <w:tabs>
          <w:tab w:val="num" w:pos="851"/>
        </w:tabs>
        <w:ind w:left="851" w:hanging="851"/>
      </w:pPr>
      <w:rPr>
        <w:rFonts w:ascii="ZapfDingbats" w:hAnsi="ZapfDingbats" w:hint="default"/>
        <w:b/>
        <w:i w:val="0"/>
        <w:color w:val="auto"/>
        <w:sz w:val="20"/>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eastAsia="Times New Roman"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eastAsia="Times New Roman"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99" w15:restartNumberingAfterBreak="0">
    <w:nsid w:val="5FE35622"/>
    <w:multiLevelType w:val="multilevel"/>
    <w:tmpl w:val="65AB0AE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0" w15:restartNumberingAfterBreak="0">
    <w:nsid w:val="60001FC7"/>
    <w:multiLevelType w:val="hybridMultilevel"/>
    <w:tmpl w:val="A6823794"/>
    <w:lvl w:ilvl="0" w:tplc="9D703F70">
      <w:start w:val="1"/>
      <w:numFmt w:val="bullet"/>
      <w:pStyle w:val="a4"/>
      <w:lvlText w:val=""/>
      <w:lvlJc w:val="left"/>
      <w:pPr>
        <w:ind w:left="400" w:hanging="400"/>
      </w:pPr>
      <w:rPr>
        <w:rFonts w:ascii="Wingdings" w:hAnsi="Wingdings" w:hint="default"/>
      </w:rPr>
    </w:lvl>
    <w:lvl w:ilvl="1" w:tplc="87F2F22E">
      <w:start w:val="1"/>
      <w:numFmt w:val="decimal"/>
      <w:pStyle w:val="summary"/>
      <w:lvlText w:val="%2)"/>
      <w:lvlJc w:val="left"/>
      <w:pPr>
        <w:ind w:left="800" w:hanging="400"/>
      </w:pPr>
      <w:rPr>
        <w:rFonts w:ascii="Times New Roman" w:eastAsia="LG스마트체 Light" w:hAnsi="Times New Roman" w:cs="Times New Roman"/>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22"/>
        <w:szCs w:val="22"/>
        <w:u w:val="none" w:color="000000"/>
        <w:effect w:val="none"/>
        <w:bdr w:val="none" w:sz="0" w:space="0" w:color="000000"/>
        <w:shd w:val="clear" w:color="000000" w:fill="000000"/>
        <w:vertAlign w:val="baseline"/>
        <w:em w:val="none"/>
        <w:lang w:val="en-US" w:eastAsia="x-none" w:bidi="x-none"/>
        <w:specVanish w:val="0"/>
      </w:rPr>
    </w:lvl>
    <w:lvl w:ilvl="2" w:tplc="44A035F6">
      <w:numFmt w:val="bullet"/>
      <w:lvlText w:val=""/>
      <w:lvlJc w:val="left"/>
      <w:pPr>
        <w:ind w:left="1200" w:hanging="400"/>
      </w:pPr>
      <w:rPr>
        <w:rFonts w:ascii="Symbol" w:eastAsia="MS Mincho" w:hAnsi="Symbol" w:cs="Times New Roman" w:hint="default"/>
      </w:rPr>
    </w:lvl>
    <w:lvl w:ilvl="3" w:tplc="94B4423C">
      <w:start w:val="1"/>
      <w:numFmt w:val="bullet"/>
      <w:lvlText w:val="o"/>
      <w:lvlJc w:val="left"/>
      <w:pPr>
        <w:ind w:left="1600" w:hanging="400"/>
      </w:pPr>
      <w:rPr>
        <w:rFonts w:ascii="Courier New" w:hAnsi="Courier New" w:cs="Courier New" w:hint="default"/>
      </w:rPr>
    </w:lvl>
    <w:lvl w:ilvl="4" w:tplc="0409000F">
      <w:start w:val="1"/>
      <w:numFmt w:val="decimal"/>
      <w:lvlText w:val="%5."/>
      <w:lvlJc w:val="left"/>
      <w:pPr>
        <w:ind w:left="2000" w:hanging="400"/>
      </w:pPr>
      <w:rPr>
        <w:rFonts w:hint="default"/>
      </w:rPr>
    </w:lvl>
    <w:lvl w:ilvl="5" w:tplc="272E5D06">
      <w:start w:val="1"/>
      <w:numFmt w:val="bullet"/>
      <w:lvlText w:val="-"/>
      <w:lvlJc w:val="left"/>
      <w:pPr>
        <w:ind w:left="2400" w:hanging="400"/>
      </w:pPr>
      <w:rPr>
        <w:rFonts w:ascii="Times New Roman" w:eastAsia="Malgun Gothic" w:hAnsi="Times New Roman" w:cs="Times New Roman" w:hint="default"/>
      </w:rPr>
    </w:lvl>
    <w:lvl w:ilvl="6" w:tplc="272E5D06">
      <w:start w:val="1"/>
      <w:numFmt w:val="bullet"/>
      <w:lvlText w:val="-"/>
      <w:lvlJc w:val="left"/>
      <w:pPr>
        <w:ind w:left="2800" w:hanging="400"/>
      </w:pPr>
      <w:rPr>
        <w:rFonts w:ascii="Times New Roman" w:eastAsia="Malgun Gothic" w:hAnsi="Times New Roman" w:cs="Times New Roman" w:hint="default"/>
      </w:rPr>
    </w:lvl>
    <w:lvl w:ilvl="7" w:tplc="04090019">
      <w:start w:val="1"/>
      <w:numFmt w:val="upperLetter"/>
      <w:lvlText w:val="%8."/>
      <w:lvlJc w:val="left"/>
      <w:pPr>
        <w:ind w:left="3200" w:hanging="400"/>
      </w:pPr>
    </w:lvl>
    <w:lvl w:ilvl="8" w:tplc="0409001B">
      <w:start w:val="1"/>
      <w:numFmt w:val="lowerRoman"/>
      <w:lvlText w:val="%9."/>
      <w:lvlJc w:val="right"/>
      <w:pPr>
        <w:ind w:left="3600" w:hanging="400"/>
      </w:pPr>
    </w:lvl>
  </w:abstractNum>
  <w:abstractNum w:abstractNumId="201" w15:restartNumberingAfterBreak="0">
    <w:nsid w:val="603A57C6"/>
    <w:multiLevelType w:val="hybridMultilevel"/>
    <w:tmpl w:val="15222268"/>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02" w15:restartNumberingAfterBreak="0">
    <w:nsid w:val="60974180"/>
    <w:multiLevelType w:val="hybridMultilevel"/>
    <w:tmpl w:val="315E43A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3" w15:restartNumberingAfterBreak="0">
    <w:nsid w:val="60B9577C"/>
    <w:multiLevelType w:val="hybridMultilevel"/>
    <w:tmpl w:val="F39409B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4" w15:restartNumberingAfterBreak="0">
    <w:nsid w:val="626B5DA5"/>
    <w:multiLevelType w:val="hybridMultilevel"/>
    <w:tmpl w:val="B61ABA8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5" w15:restartNumberingAfterBreak="0">
    <w:nsid w:val="62A46D50"/>
    <w:multiLevelType w:val="multilevel"/>
    <w:tmpl w:val="62A46D50"/>
    <w:lvl w:ilvl="0">
      <w:numFmt w:val="bullet"/>
      <w:lvlText w:val="-"/>
      <w:lvlJc w:val="left"/>
      <w:pPr>
        <w:ind w:left="720" w:hanging="360"/>
      </w:pPr>
      <w:rPr>
        <w:rFonts w:ascii="Arial" w:eastAsia="MS Mincho" w:hAnsi="Arial" w:cs="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6" w15:restartNumberingAfterBreak="0">
    <w:nsid w:val="64306048"/>
    <w:multiLevelType w:val="multilevel"/>
    <w:tmpl w:val="64306048"/>
    <w:lvl w:ilvl="0">
      <w:start w:val="1"/>
      <w:numFmt w:val="decimalZero"/>
      <w:pStyle w:val="ParagraphNumbering"/>
      <w:lvlText w:val="[00%1]"/>
      <w:lvlJc w:val="left"/>
      <w:pPr>
        <w:tabs>
          <w:tab w:val="num" w:pos="851"/>
        </w:tabs>
        <w:ind w:left="0" w:firstLine="0"/>
      </w:pPr>
      <w:rPr>
        <w:rFonts w:ascii="Times New Roman" w:hAnsi="Times New Roman" w:hint="default"/>
        <w:b w:val="0"/>
        <w:i w:val="0"/>
        <w:sz w:val="24"/>
      </w:rPr>
    </w:lvl>
    <w:lvl w:ilvl="1">
      <w:start w:val="1"/>
      <w:numFmt w:val="lowerLetter"/>
      <w:lvlText w:val="%2."/>
      <w:lvlJc w:val="left"/>
      <w:pPr>
        <w:tabs>
          <w:tab w:val="num" w:pos="2160"/>
        </w:tabs>
        <w:ind w:left="2160" w:hanging="360"/>
      </w:pPr>
    </w:lvl>
    <w:lvl w:ilvl="2">
      <w:start w:val="1"/>
      <w:numFmt w:val="lowerLetter"/>
      <w:lvlText w:val="%3)"/>
      <w:lvlJc w:val="left"/>
      <w:pPr>
        <w:tabs>
          <w:tab w:val="num" w:pos="3060"/>
        </w:tabs>
        <w:ind w:left="3060" w:hanging="360"/>
      </w:pPr>
      <w:rPr>
        <w:rFonts w:hint="default"/>
      </w:rPr>
    </w:lvl>
    <w:lvl w:ilvl="3">
      <w:start w:val="1"/>
      <w:numFmt w:val="decimal"/>
      <w:lvlText w:val="%4."/>
      <w:lvlJc w:val="left"/>
      <w:pPr>
        <w:tabs>
          <w:tab w:val="num" w:pos="3600"/>
        </w:tabs>
        <w:ind w:left="3600" w:hanging="360"/>
      </w:pPr>
    </w:lvl>
    <w:lvl w:ilvl="4">
      <w:start w:val="1"/>
      <w:numFmt w:val="lowerLetter"/>
      <w:lvlText w:val="%5."/>
      <w:lvlJc w:val="left"/>
      <w:pPr>
        <w:tabs>
          <w:tab w:val="num" w:pos="4320"/>
        </w:tabs>
        <w:ind w:left="4320" w:hanging="360"/>
      </w:pPr>
    </w:lvl>
    <w:lvl w:ilvl="5">
      <w:start w:val="1"/>
      <w:numFmt w:val="lowerRoman"/>
      <w:lvlText w:val="%6."/>
      <w:lvlJc w:val="right"/>
      <w:pPr>
        <w:tabs>
          <w:tab w:val="num" w:pos="5040"/>
        </w:tabs>
        <w:ind w:left="5040" w:hanging="180"/>
      </w:pPr>
    </w:lvl>
    <w:lvl w:ilvl="6">
      <w:start w:val="1"/>
      <w:numFmt w:val="decimal"/>
      <w:lvlText w:val="%7."/>
      <w:lvlJc w:val="left"/>
      <w:pPr>
        <w:tabs>
          <w:tab w:val="num" w:pos="5760"/>
        </w:tabs>
        <w:ind w:left="5760" w:hanging="360"/>
      </w:pPr>
    </w:lvl>
    <w:lvl w:ilvl="7">
      <w:start w:val="1"/>
      <w:numFmt w:val="lowerLetter"/>
      <w:lvlText w:val="%8."/>
      <w:lvlJc w:val="left"/>
      <w:pPr>
        <w:tabs>
          <w:tab w:val="num" w:pos="6480"/>
        </w:tabs>
        <w:ind w:left="6480" w:hanging="360"/>
      </w:pPr>
    </w:lvl>
    <w:lvl w:ilvl="8">
      <w:start w:val="1"/>
      <w:numFmt w:val="lowerRoman"/>
      <w:lvlText w:val="%9."/>
      <w:lvlJc w:val="right"/>
      <w:pPr>
        <w:tabs>
          <w:tab w:val="num" w:pos="7200"/>
        </w:tabs>
        <w:ind w:left="7200" w:hanging="180"/>
      </w:pPr>
    </w:lvl>
  </w:abstractNum>
  <w:abstractNum w:abstractNumId="207" w15:restartNumberingAfterBreak="0">
    <w:nsid w:val="64CE7255"/>
    <w:multiLevelType w:val="hybridMultilevel"/>
    <w:tmpl w:val="FFD2C4A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8" w15:restartNumberingAfterBreak="0">
    <w:nsid w:val="65AB0AEC"/>
    <w:multiLevelType w:val="multilevel"/>
    <w:tmpl w:val="65AB0AE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9" w15:restartNumberingAfterBreak="0">
    <w:nsid w:val="66830BBF"/>
    <w:multiLevelType w:val="hybridMultilevel"/>
    <w:tmpl w:val="A8D804E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0" w15:restartNumberingAfterBreak="0">
    <w:nsid w:val="66CE36ED"/>
    <w:multiLevelType w:val="hybridMultilevel"/>
    <w:tmpl w:val="B0EE3FA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1" w15:restartNumberingAfterBreak="0">
    <w:nsid w:val="67224075"/>
    <w:multiLevelType w:val="hybridMultilevel"/>
    <w:tmpl w:val="23B09DD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2" w15:restartNumberingAfterBreak="0">
    <w:nsid w:val="68E14447"/>
    <w:multiLevelType w:val="hybridMultilevel"/>
    <w:tmpl w:val="45424504"/>
    <w:lvl w:ilvl="0" w:tplc="08090001">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13" w15:restartNumberingAfterBreak="0">
    <w:nsid w:val="694F5511"/>
    <w:multiLevelType w:val="multilevel"/>
    <w:tmpl w:val="694F551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4" w15:restartNumberingAfterBreak="0">
    <w:nsid w:val="69BA603A"/>
    <w:multiLevelType w:val="hybridMultilevel"/>
    <w:tmpl w:val="ED36D82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5" w15:restartNumberingAfterBreak="0">
    <w:nsid w:val="6A1B502E"/>
    <w:multiLevelType w:val="multilevel"/>
    <w:tmpl w:val="B2362F72"/>
    <w:lvl w:ilvl="0">
      <w:start w:val="4"/>
      <w:numFmt w:val="decimal"/>
      <w:lvlText w:val="Proposal %1:"/>
      <w:lvlJc w:val="left"/>
      <w:pPr>
        <w:ind w:left="0" w:firstLine="0"/>
      </w:pPr>
      <w:rPr>
        <w:rFonts w:ascii="Times New Roman" w:hAnsi="Times New Roman" w:hint="default"/>
        <w:b w:val="0"/>
        <w:bCs w:val="0"/>
        <w:i w:val="0"/>
        <w:iCs/>
        <w:color w:val="auto"/>
        <w:sz w:val="20"/>
        <w:szCs w:val="16"/>
      </w:rPr>
    </w:lvl>
    <w:lvl w:ilvl="1">
      <w:start w:val="1"/>
      <w:numFmt w:val="bullet"/>
      <w:lvlText w:val=""/>
      <w:lvlJc w:val="left"/>
      <w:pPr>
        <w:ind w:left="720" w:hanging="360"/>
      </w:pPr>
      <w:rPr>
        <w:rFonts w:ascii="Symbol" w:hAnsi="Symbol" w:hint="default"/>
      </w:rPr>
    </w:lvl>
    <w:lvl w:ilvl="2">
      <w:start w:val="1"/>
      <w:numFmt w:val="bullet"/>
      <w:lvlRestart w:val="0"/>
      <w:lvlText w:val="□"/>
      <w:lvlJc w:val="left"/>
      <w:pPr>
        <w:ind w:left="567" w:hanging="283"/>
      </w:pPr>
      <w:rPr>
        <w:rFonts w:ascii="Times New Roman" w:hAnsi="Times New Roman" w:cs="Times New Roman" w:hint="default"/>
        <w:b w:val="0"/>
        <w:i w:val="0"/>
        <w:sz w:val="22"/>
      </w:rPr>
    </w:lvl>
    <w:lvl w:ilvl="3">
      <w:start w:val="1"/>
      <w:numFmt w:val="bullet"/>
      <w:lvlRestart w:val="0"/>
      <w:lvlText w:val="▪"/>
      <w:lvlJc w:val="left"/>
      <w:pPr>
        <w:ind w:left="851" w:hanging="284"/>
      </w:pPr>
      <w:rPr>
        <w:rFonts w:ascii="Times New Roman" w:hAnsi="Times New Roman" w:cs="Times New Roman" w:hint="default"/>
        <w:b w:val="0"/>
        <w:color w:val="auto"/>
        <w:sz w:val="22"/>
      </w:rPr>
    </w:lvl>
    <w:lvl w:ilvl="4">
      <w:start w:val="1"/>
      <w:numFmt w:val="lowerLetter"/>
      <w:lvlText w:val="(%5)"/>
      <w:lvlJc w:val="left"/>
      <w:pPr>
        <w:ind w:left="2838" w:hanging="284"/>
      </w:pPr>
      <w:rPr>
        <w:rFonts w:hint="default"/>
      </w:rPr>
    </w:lvl>
    <w:lvl w:ilvl="5">
      <w:start w:val="1"/>
      <w:numFmt w:val="lowerRoman"/>
      <w:lvlText w:val="(%6)"/>
      <w:lvlJc w:val="left"/>
      <w:pPr>
        <w:ind w:left="3122" w:hanging="284"/>
      </w:pPr>
      <w:rPr>
        <w:rFonts w:hint="default"/>
      </w:rPr>
    </w:lvl>
    <w:lvl w:ilvl="6">
      <w:start w:val="1"/>
      <w:numFmt w:val="decimal"/>
      <w:lvlText w:val="%7."/>
      <w:lvlJc w:val="left"/>
      <w:pPr>
        <w:ind w:left="3406" w:hanging="284"/>
      </w:pPr>
      <w:rPr>
        <w:rFonts w:hint="default"/>
      </w:rPr>
    </w:lvl>
    <w:lvl w:ilvl="7">
      <w:start w:val="1"/>
      <w:numFmt w:val="lowerLetter"/>
      <w:lvlText w:val="%8."/>
      <w:lvlJc w:val="left"/>
      <w:pPr>
        <w:ind w:left="3690" w:hanging="284"/>
      </w:pPr>
      <w:rPr>
        <w:rFonts w:hint="default"/>
      </w:rPr>
    </w:lvl>
    <w:lvl w:ilvl="8">
      <w:start w:val="1"/>
      <w:numFmt w:val="lowerRoman"/>
      <w:lvlText w:val="%9."/>
      <w:lvlJc w:val="left"/>
      <w:pPr>
        <w:ind w:left="3974" w:hanging="284"/>
      </w:pPr>
      <w:rPr>
        <w:rFonts w:hint="default"/>
      </w:rPr>
    </w:lvl>
  </w:abstractNum>
  <w:abstractNum w:abstractNumId="216" w15:restartNumberingAfterBreak="0">
    <w:nsid w:val="6A6A402A"/>
    <w:multiLevelType w:val="multilevel"/>
    <w:tmpl w:val="6A6A402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7" w15:restartNumberingAfterBreak="0">
    <w:nsid w:val="6CAB1D7B"/>
    <w:multiLevelType w:val="multilevel"/>
    <w:tmpl w:val="9FF2ACC4"/>
    <w:styleLink w:val="2"/>
    <w:lvl w:ilvl="0">
      <w:start w:val="5"/>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lang w:val="en-GB"/>
      </w:rPr>
    </w:lvl>
    <w:lvl w:ilvl="2">
      <w:start w:val="1"/>
      <w:numFmt w:val="decimal"/>
      <w:lvlText w:val="%1.%2.%3"/>
      <w:lvlJc w:val="left"/>
      <w:pPr>
        <w:tabs>
          <w:tab w:val="num" w:pos="0"/>
        </w:tabs>
        <w:ind w:left="0" w:firstLine="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80"/>
        </w:tabs>
        <w:ind w:left="1008" w:hanging="1008"/>
      </w:pPr>
      <w:rPr>
        <w:rFonts w:hint="default"/>
      </w:rPr>
    </w:lvl>
    <w:lvl w:ilvl="5">
      <w:start w:val="1"/>
      <w:numFmt w:val="decimal"/>
      <w:lvlText w:val="%1.%2.%3.%4.%5.%6"/>
      <w:lvlJc w:val="left"/>
      <w:pPr>
        <w:tabs>
          <w:tab w:val="num" w:pos="1440"/>
        </w:tabs>
        <w:ind w:left="1152" w:hanging="1152"/>
      </w:pPr>
      <w:rPr>
        <w:rFonts w:hint="default"/>
      </w:rPr>
    </w:lvl>
    <w:lvl w:ilvl="6">
      <w:start w:val="1"/>
      <w:numFmt w:val="decimal"/>
      <w:lvlText w:val="%1.%2.%3.%4.%5.%6.%7"/>
      <w:lvlJc w:val="left"/>
      <w:pPr>
        <w:tabs>
          <w:tab w:val="num" w:pos="1800"/>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18" w15:restartNumberingAfterBreak="0">
    <w:nsid w:val="6CC91700"/>
    <w:multiLevelType w:val="hybridMultilevel"/>
    <w:tmpl w:val="C26C1C4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9" w15:restartNumberingAfterBreak="0">
    <w:nsid w:val="6D1879E4"/>
    <w:multiLevelType w:val="hybridMultilevel"/>
    <w:tmpl w:val="FC9A47C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0" w15:restartNumberingAfterBreak="0">
    <w:nsid w:val="6D7F64ED"/>
    <w:multiLevelType w:val="hybridMultilevel"/>
    <w:tmpl w:val="65863C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1" w15:restartNumberingAfterBreak="0">
    <w:nsid w:val="6D897EF1"/>
    <w:multiLevelType w:val="hybridMultilevel"/>
    <w:tmpl w:val="D35E4D2A"/>
    <w:lvl w:ilvl="0" w:tplc="20000011">
      <w:start w:val="1"/>
      <w:numFmt w:val="decimal"/>
      <w:lvlText w:val="%1)"/>
      <w:lvlJc w:val="left"/>
      <w:pPr>
        <w:ind w:left="360" w:hanging="360"/>
      </w:pPr>
    </w:lvl>
    <w:lvl w:ilvl="1" w:tplc="20000019">
      <w:start w:val="1"/>
      <w:numFmt w:val="lowerLetter"/>
      <w:lvlText w:val="%2."/>
      <w:lvlJc w:val="left"/>
      <w:pPr>
        <w:ind w:left="1080" w:hanging="360"/>
      </w:pPr>
    </w:lvl>
    <w:lvl w:ilvl="2" w:tplc="2000001B">
      <w:start w:val="1"/>
      <w:numFmt w:val="lowerRoman"/>
      <w:lvlText w:val="%3."/>
      <w:lvlJc w:val="right"/>
      <w:pPr>
        <w:ind w:left="1800" w:hanging="180"/>
      </w:pPr>
    </w:lvl>
    <w:lvl w:ilvl="3" w:tplc="2000000F">
      <w:start w:val="1"/>
      <w:numFmt w:val="decimal"/>
      <w:lvlText w:val="%4."/>
      <w:lvlJc w:val="left"/>
      <w:pPr>
        <w:ind w:left="2520" w:hanging="360"/>
      </w:pPr>
    </w:lvl>
    <w:lvl w:ilvl="4" w:tplc="20000019">
      <w:start w:val="1"/>
      <w:numFmt w:val="lowerLetter"/>
      <w:lvlText w:val="%5."/>
      <w:lvlJc w:val="left"/>
      <w:pPr>
        <w:ind w:left="3240" w:hanging="360"/>
      </w:pPr>
    </w:lvl>
    <w:lvl w:ilvl="5" w:tplc="2000001B">
      <w:start w:val="1"/>
      <w:numFmt w:val="lowerRoman"/>
      <w:lvlText w:val="%6."/>
      <w:lvlJc w:val="right"/>
      <w:pPr>
        <w:ind w:left="3960" w:hanging="180"/>
      </w:pPr>
    </w:lvl>
    <w:lvl w:ilvl="6" w:tplc="2000000F">
      <w:start w:val="1"/>
      <w:numFmt w:val="decimal"/>
      <w:lvlText w:val="%7."/>
      <w:lvlJc w:val="left"/>
      <w:pPr>
        <w:ind w:left="4680" w:hanging="360"/>
      </w:pPr>
    </w:lvl>
    <w:lvl w:ilvl="7" w:tplc="20000019">
      <w:start w:val="1"/>
      <w:numFmt w:val="lowerLetter"/>
      <w:lvlText w:val="%8."/>
      <w:lvlJc w:val="left"/>
      <w:pPr>
        <w:ind w:left="5400" w:hanging="360"/>
      </w:pPr>
    </w:lvl>
    <w:lvl w:ilvl="8" w:tplc="2000001B">
      <w:start w:val="1"/>
      <w:numFmt w:val="lowerRoman"/>
      <w:lvlText w:val="%9."/>
      <w:lvlJc w:val="right"/>
      <w:pPr>
        <w:ind w:left="6120" w:hanging="180"/>
      </w:pPr>
    </w:lvl>
  </w:abstractNum>
  <w:abstractNum w:abstractNumId="222" w15:restartNumberingAfterBreak="0">
    <w:nsid w:val="6DA649A9"/>
    <w:multiLevelType w:val="hybridMultilevel"/>
    <w:tmpl w:val="8B6C1BA6"/>
    <w:lvl w:ilvl="0" w:tplc="05B4075C">
      <w:start w:val="1"/>
      <w:numFmt w:val="decimal"/>
      <w:pStyle w:val="Obserevation"/>
      <w:lvlText w:val="Observation %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3" w15:restartNumberingAfterBreak="0">
    <w:nsid w:val="6E760327"/>
    <w:multiLevelType w:val="multilevel"/>
    <w:tmpl w:val="62BAE1EC"/>
    <w:styleLink w:val="StyleBulleted12"/>
    <w:lvl w:ilvl="0">
      <w:start w:val="1"/>
      <w:numFmt w:val="decimal"/>
      <w:pStyle w:val="StyleHeading1NMPHeading1H1h11h12h13h14h15h16appheadin"/>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lang w:val="en-GB"/>
      </w:rPr>
    </w:lvl>
    <w:lvl w:ilvl="2">
      <w:start w:val="1"/>
      <w:numFmt w:val="decimal"/>
      <w:lvlText w:val="%1.%2.%3"/>
      <w:lvlJc w:val="left"/>
      <w:pPr>
        <w:tabs>
          <w:tab w:val="num" w:pos="2564"/>
        </w:tabs>
        <w:ind w:left="2564" w:hanging="2564"/>
      </w:pPr>
      <w:rPr>
        <w:rFonts w:hint="default"/>
      </w:rPr>
    </w:lvl>
    <w:lvl w:ilvl="3">
      <w:start w:val="1"/>
      <w:numFmt w:val="decimal"/>
      <w:lvlText w:val="%1.%2.%3.%4"/>
      <w:lvlJc w:val="left"/>
      <w:pPr>
        <w:tabs>
          <w:tab w:val="num" w:pos="1290"/>
        </w:tabs>
        <w:ind w:left="1290" w:hanging="1290"/>
      </w:pPr>
      <w:rPr>
        <w:rFonts w:hint="default"/>
      </w:rPr>
    </w:lvl>
    <w:lvl w:ilvl="4">
      <w:start w:val="1"/>
      <w:numFmt w:val="decimal"/>
      <w:lvlText w:val="%1.%2.%3.%4.%5"/>
      <w:lvlJc w:val="left"/>
      <w:pPr>
        <w:tabs>
          <w:tab w:val="num" w:pos="1080"/>
        </w:tabs>
        <w:ind w:left="1008" w:hanging="1008"/>
      </w:pPr>
      <w:rPr>
        <w:rFonts w:hint="default"/>
      </w:rPr>
    </w:lvl>
    <w:lvl w:ilvl="5">
      <w:start w:val="1"/>
      <w:numFmt w:val="decimal"/>
      <w:lvlText w:val="%1.%2.%3.%4.%5.%6"/>
      <w:lvlJc w:val="left"/>
      <w:pPr>
        <w:tabs>
          <w:tab w:val="num" w:pos="1440"/>
        </w:tabs>
        <w:ind w:left="1152" w:hanging="1152"/>
      </w:pPr>
      <w:rPr>
        <w:rFonts w:hint="default"/>
      </w:rPr>
    </w:lvl>
    <w:lvl w:ilvl="6">
      <w:start w:val="1"/>
      <w:numFmt w:val="decimal"/>
      <w:lvlText w:val="%1.%2.%3.%4.%5.%6.%7"/>
      <w:lvlJc w:val="left"/>
      <w:pPr>
        <w:tabs>
          <w:tab w:val="num" w:pos="1800"/>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24" w15:restartNumberingAfterBreak="0">
    <w:nsid w:val="6F0B410B"/>
    <w:multiLevelType w:val="hybridMultilevel"/>
    <w:tmpl w:val="D1926A2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5" w15:restartNumberingAfterBreak="0">
    <w:nsid w:val="6FBE1A63"/>
    <w:multiLevelType w:val="hybridMultilevel"/>
    <w:tmpl w:val="109807BA"/>
    <w:name w:val="Heading22222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6" w15:restartNumberingAfterBreak="0">
    <w:nsid w:val="6FD46917"/>
    <w:multiLevelType w:val="hybridMultilevel"/>
    <w:tmpl w:val="E6A62C6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7" w15:restartNumberingAfterBreak="0">
    <w:nsid w:val="70146DC0"/>
    <w:multiLevelType w:val="hybridMultilevel"/>
    <w:tmpl w:val="9BC21240"/>
    <w:lvl w:ilvl="0" w:tplc="409A9E3A">
      <w:start w:val="1"/>
      <w:numFmt w:val="bullet"/>
      <w:pStyle w:val="Agreement0"/>
      <w:lvlText w:val=""/>
      <w:lvlJc w:val="left"/>
      <w:pPr>
        <w:tabs>
          <w:tab w:val="num" w:pos="2070"/>
        </w:tabs>
        <w:ind w:left="2070" w:hanging="360"/>
      </w:pPr>
      <w:rPr>
        <w:rFonts w:ascii="Symbol" w:hAnsi="Symbol" w:hint="default"/>
        <w:b/>
        <w:i w:val="0"/>
        <w:color w:val="auto"/>
        <w:sz w:val="22"/>
      </w:rPr>
    </w:lvl>
    <w:lvl w:ilvl="1" w:tplc="04090003">
      <w:start w:val="1"/>
      <w:numFmt w:val="bullet"/>
      <w:lvlText w:val="o"/>
      <w:lvlJc w:val="left"/>
      <w:pPr>
        <w:tabs>
          <w:tab w:val="num" w:pos="-3690"/>
        </w:tabs>
        <w:ind w:left="-3690" w:hanging="360"/>
      </w:pPr>
      <w:rPr>
        <w:rFonts w:ascii="Courier New" w:hAnsi="Courier New" w:cs="Courier New" w:hint="default"/>
      </w:rPr>
    </w:lvl>
    <w:lvl w:ilvl="2" w:tplc="04090005">
      <w:start w:val="1"/>
      <w:numFmt w:val="bullet"/>
      <w:lvlText w:val=""/>
      <w:lvlJc w:val="left"/>
      <w:pPr>
        <w:tabs>
          <w:tab w:val="num" w:pos="-2970"/>
        </w:tabs>
        <w:ind w:left="-2970" w:hanging="360"/>
      </w:pPr>
      <w:rPr>
        <w:rFonts w:ascii="Wingdings" w:hAnsi="Wingdings" w:hint="default"/>
      </w:rPr>
    </w:lvl>
    <w:lvl w:ilvl="3" w:tplc="04090001">
      <w:start w:val="1"/>
      <w:numFmt w:val="bullet"/>
      <w:lvlText w:val=""/>
      <w:lvlJc w:val="left"/>
      <w:pPr>
        <w:tabs>
          <w:tab w:val="num" w:pos="-2250"/>
        </w:tabs>
        <w:ind w:left="-2250" w:hanging="360"/>
      </w:pPr>
      <w:rPr>
        <w:rFonts w:ascii="Symbol" w:hAnsi="Symbol" w:hint="default"/>
      </w:rPr>
    </w:lvl>
    <w:lvl w:ilvl="4" w:tplc="04090003" w:tentative="1">
      <w:start w:val="1"/>
      <w:numFmt w:val="bullet"/>
      <w:lvlText w:val="o"/>
      <w:lvlJc w:val="left"/>
      <w:pPr>
        <w:tabs>
          <w:tab w:val="num" w:pos="-1530"/>
        </w:tabs>
        <w:ind w:left="-1530" w:hanging="360"/>
      </w:pPr>
      <w:rPr>
        <w:rFonts w:ascii="Courier New" w:hAnsi="Courier New" w:cs="Courier New" w:hint="default"/>
      </w:rPr>
    </w:lvl>
    <w:lvl w:ilvl="5" w:tplc="04090005" w:tentative="1">
      <w:start w:val="1"/>
      <w:numFmt w:val="bullet"/>
      <w:lvlText w:val=""/>
      <w:lvlJc w:val="left"/>
      <w:pPr>
        <w:tabs>
          <w:tab w:val="num" w:pos="-810"/>
        </w:tabs>
        <w:ind w:left="-810" w:hanging="360"/>
      </w:pPr>
      <w:rPr>
        <w:rFonts w:ascii="Wingdings" w:hAnsi="Wingdings" w:hint="default"/>
      </w:rPr>
    </w:lvl>
    <w:lvl w:ilvl="6" w:tplc="04090001" w:tentative="1">
      <w:start w:val="1"/>
      <w:numFmt w:val="bullet"/>
      <w:lvlText w:val=""/>
      <w:lvlJc w:val="left"/>
      <w:pPr>
        <w:tabs>
          <w:tab w:val="num" w:pos="-90"/>
        </w:tabs>
        <w:ind w:left="-90" w:hanging="360"/>
      </w:pPr>
      <w:rPr>
        <w:rFonts w:ascii="Symbol" w:hAnsi="Symbol" w:hint="default"/>
      </w:rPr>
    </w:lvl>
    <w:lvl w:ilvl="7" w:tplc="04090003" w:tentative="1">
      <w:start w:val="1"/>
      <w:numFmt w:val="bullet"/>
      <w:lvlText w:val="o"/>
      <w:lvlJc w:val="left"/>
      <w:pPr>
        <w:tabs>
          <w:tab w:val="num" w:pos="630"/>
        </w:tabs>
        <w:ind w:left="630" w:hanging="360"/>
      </w:pPr>
      <w:rPr>
        <w:rFonts w:ascii="Courier New" w:hAnsi="Courier New" w:cs="Courier New" w:hint="default"/>
      </w:rPr>
    </w:lvl>
    <w:lvl w:ilvl="8" w:tplc="04090005" w:tentative="1">
      <w:start w:val="1"/>
      <w:numFmt w:val="bullet"/>
      <w:lvlText w:val=""/>
      <w:lvlJc w:val="left"/>
      <w:pPr>
        <w:tabs>
          <w:tab w:val="num" w:pos="1350"/>
        </w:tabs>
        <w:ind w:left="1350" w:hanging="360"/>
      </w:pPr>
      <w:rPr>
        <w:rFonts w:ascii="Wingdings" w:hAnsi="Wingdings" w:hint="default"/>
      </w:rPr>
    </w:lvl>
  </w:abstractNum>
  <w:abstractNum w:abstractNumId="228" w15:restartNumberingAfterBreak="0">
    <w:nsid w:val="707F7AC9"/>
    <w:multiLevelType w:val="hybridMultilevel"/>
    <w:tmpl w:val="92AE9B9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9" w15:restartNumberingAfterBreak="0">
    <w:nsid w:val="71121341"/>
    <w:multiLevelType w:val="multilevel"/>
    <w:tmpl w:val="65AB0AE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0" w15:restartNumberingAfterBreak="0">
    <w:nsid w:val="718D7D2E"/>
    <w:multiLevelType w:val="hybridMultilevel"/>
    <w:tmpl w:val="3F7873BA"/>
    <w:lvl w:ilvl="0" w:tplc="F29E5E44">
      <w:start w:val="1"/>
      <w:numFmt w:val="decimal"/>
      <w:pStyle w:val="StyleHeading1H1h1appheading1l1MemoHeading1h11h12h13h"/>
      <w:lvlText w:val="%1"/>
      <w:lvlJc w:val="left"/>
      <w:pPr>
        <w:ind w:left="720" w:hanging="360"/>
      </w:pPr>
      <w:rPr>
        <w:b w:val="0"/>
        <w:i w:val="0"/>
        <w:color w:val="auto"/>
        <w:sz w:val="20"/>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31" w15:restartNumberingAfterBreak="0">
    <w:nsid w:val="72543F6C"/>
    <w:multiLevelType w:val="hybridMultilevel"/>
    <w:tmpl w:val="61B283A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2" w15:restartNumberingAfterBreak="0">
    <w:nsid w:val="731C49A5"/>
    <w:multiLevelType w:val="hybridMultilevel"/>
    <w:tmpl w:val="02969B2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3" w15:restartNumberingAfterBreak="0">
    <w:nsid w:val="73D465D6"/>
    <w:multiLevelType w:val="multilevel"/>
    <w:tmpl w:val="F8244648"/>
    <w:styleLink w:val="StyleBulletedSymbolsymbolLeft025Hanging0252"/>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4" w15:restartNumberingAfterBreak="0">
    <w:nsid w:val="74466A48"/>
    <w:multiLevelType w:val="multilevel"/>
    <w:tmpl w:val="65AB0AE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5" w15:restartNumberingAfterBreak="0">
    <w:nsid w:val="746C20D8"/>
    <w:multiLevelType w:val="hybridMultilevel"/>
    <w:tmpl w:val="56F6ADB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6" w15:restartNumberingAfterBreak="0">
    <w:nsid w:val="74A47C96"/>
    <w:multiLevelType w:val="multilevel"/>
    <w:tmpl w:val="74A47C9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7" w15:restartNumberingAfterBreak="0">
    <w:nsid w:val="74CC7506"/>
    <w:multiLevelType w:val="multilevel"/>
    <w:tmpl w:val="74CC7506"/>
    <w:lvl w:ilvl="0">
      <w:start w:val="1"/>
      <w:numFmt w:val="decimal"/>
      <w:pStyle w:val="reference0"/>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238" w15:restartNumberingAfterBreak="0">
    <w:nsid w:val="74F35991"/>
    <w:multiLevelType w:val="hybridMultilevel"/>
    <w:tmpl w:val="A392B11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9" w15:restartNumberingAfterBreak="0">
    <w:nsid w:val="759F34E5"/>
    <w:multiLevelType w:val="hybridMultilevel"/>
    <w:tmpl w:val="969ECB06"/>
    <w:lvl w:ilvl="0" w:tplc="08090001">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40" w15:restartNumberingAfterBreak="0">
    <w:nsid w:val="762C4E91"/>
    <w:multiLevelType w:val="multilevel"/>
    <w:tmpl w:val="762C4E9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1" w15:restartNumberingAfterBreak="0">
    <w:nsid w:val="76491AA7"/>
    <w:multiLevelType w:val="hybridMultilevel"/>
    <w:tmpl w:val="6FD01C8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2" w15:restartNumberingAfterBreak="0">
    <w:nsid w:val="764A3D9D"/>
    <w:multiLevelType w:val="hybridMultilevel"/>
    <w:tmpl w:val="E41CC5D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3" w15:restartNumberingAfterBreak="0">
    <w:nsid w:val="76683C3D"/>
    <w:multiLevelType w:val="hybridMultilevel"/>
    <w:tmpl w:val="81E6D58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4" w15:restartNumberingAfterBreak="0">
    <w:nsid w:val="768464E6"/>
    <w:multiLevelType w:val="hybridMultilevel"/>
    <w:tmpl w:val="776C0D06"/>
    <w:styleLink w:val="StyleBulleted20"/>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5" w15:restartNumberingAfterBreak="0">
    <w:nsid w:val="76B12C35"/>
    <w:multiLevelType w:val="multilevel"/>
    <w:tmpl w:val="76B12C3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strike w:val="0"/>
        <w:color w:val="auto"/>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6" w15:restartNumberingAfterBreak="0">
    <w:nsid w:val="76E73E45"/>
    <w:multiLevelType w:val="hybridMultilevel"/>
    <w:tmpl w:val="BE624FA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47" w15:restartNumberingAfterBreak="0">
    <w:nsid w:val="779C7420"/>
    <w:multiLevelType w:val="multilevel"/>
    <w:tmpl w:val="9FF2ACC4"/>
    <w:styleLink w:val="10"/>
    <w:lvl w:ilvl="0">
      <w:start w:val="5"/>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lang w:val="en-GB"/>
      </w:rPr>
    </w:lvl>
    <w:lvl w:ilvl="2">
      <w:start w:val="1"/>
      <w:numFmt w:val="decimal"/>
      <w:lvlText w:val="%1.%2.%3"/>
      <w:lvlJc w:val="left"/>
      <w:pPr>
        <w:tabs>
          <w:tab w:val="num" w:pos="0"/>
        </w:tabs>
        <w:ind w:left="0" w:firstLine="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80"/>
        </w:tabs>
        <w:ind w:left="1008" w:hanging="1008"/>
      </w:pPr>
      <w:rPr>
        <w:rFonts w:hint="default"/>
      </w:rPr>
    </w:lvl>
    <w:lvl w:ilvl="5">
      <w:start w:val="1"/>
      <w:numFmt w:val="decimal"/>
      <w:lvlText w:val="%1.%2.%3.%4.%5.%6"/>
      <w:lvlJc w:val="left"/>
      <w:pPr>
        <w:tabs>
          <w:tab w:val="num" w:pos="1440"/>
        </w:tabs>
        <w:ind w:left="1152" w:hanging="1152"/>
      </w:pPr>
      <w:rPr>
        <w:rFonts w:hint="default"/>
      </w:rPr>
    </w:lvl>
    <w:lvl w:ilvl="6">
      <w:start w:val="1"/>
      <w:numFmt w:val="decimal"/>
      <w:lvlText w:val="%1.%2.%3.%4.%5.%6.%7"/>
      <w:lvlJc w:val="left"/>
      <w:pPr>
        <w:tabs>
          <w:tab w:val="num" w:pos="1800"/>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48" w15:restartNumberingAfterBreak="0">
    <w:nsid w:val="78150162"/>
    <w:multiLevelType w:val="multilevel"/>
    <w:tmpl w:val="78150162"/>
    <w:lvl w:ilvl="0">
      <w:start w:val="1"/>
      <w:numFmt w:val="bullet"/>
      <w:lvlText w:val=""/>
      <w:lvlJc w:val="left"/>
      <w:pPr>
        <w:ind w:left="927" w:hanging="360"/>
      </w:pPr>
      <w:rPr>
        <w:rFonts w:ascii="Symbol" w:hAnsi="Symbol" w:hint="default"/>
      </w:rPr>
    </w:lvl>
    <w:lvl w:ilvl="1">
      <w:start w:val="1"/>
      <w:numFmt w:val="bullet"/>
      <w:lvlText w:val="o"/>
      <w:lvlJc w:val="left"/>
      <w:pPr>
        <w:ind w:left="1647" w:hanging="360"/>
      </w:pPr>
      <w:rPr>
        <w:rFonts w:ascii="Courier New" w:hAnsi="Courier New" w:cs="Courier New" w:hint="default"/>
      </w:rPr>
    </w:lvl>
    <w:lvl w:ilvl="2">
      <w:start w:val="1"/>
      <w:numFmt w:val="bullet"/>
      <w:lvlText w:val=""/>
      <w:lvlJc w:val="left"/>
      <w:pPr>
        <w:ind w:left="2367" w:hanging="360"/>
      </w:pPr>
      <w:rPr>
        <w:rFonts w:ascii="Wingdings" w:hAnsi="Wingdings" w:hint="default"/>
      </w:rPr>
    </w:lvl>
    <w:lvl w:ilvl="3">
      <w:start w:val="1"/>
      <w:numFmt w:val="bullet"/>
      <w:lvlText w:val=""/>
      <w:lvlJc w:val="left"/>
      <w:pPr>
        <w:ind w:left="3087" w:hanging="360"/>
      </w:pPr>
      <w:rPr>
        <w:rFonts w:ascii="Symbol" w:hAnsi="Symbol" w:hint="default"/>
      </w:rPr>
    </w:lvl>
    <w:lvl w:ilvl="4">
      <w:start w:val="1"/>
      <w:numFmt w:val="bullet"/>
      <w:lvlText w:val="o"/>
      <w:lvlJc w:val="left"/>
      <w:pPr>
        <w:ind w:left="3807" w:hanging="360"/>
      </w:pPr>
      <w:rPr>
        <w:rFonts w:ascii="Courier New" w:hAnsi="Courier New" w:cs="Courier New" w:hint="default"/>
      </w:rPr>
    </w:lvl>
    <w:lvl w:ilvl="5">
      <w:start w:val="1"/>
      <w:numFmt w:val="bullet"/>
      <w:lvlText w:val=""/>
      <w:lvlJc w:val="left"/>
      <w:pPr>
        <w:ind w:left="4527" w:hanging="360"/>
      </w:pPr>
      <w:rPr>
        <w:rFonts w:ascii="Wingdings" w:hAnsi="Wingdings" w:hint="default"/>
      </w:rPr>
    </w:lvl>
    <w:lvl w:ilvl="6">
      <w:start w:val="1"/>
      <w:numFmt w:val="bullet"/>
      <w:lvlText w:val=""/>
      <w:lvlJc w:val="left"/>
      <w:pPr>
        <w:ind w:left="5247" w:hanging="360"/>
      </w:pPr>
      <w:rPr>
        <w:rFonts w:ascii="Symbol" w:hAnsi="Symbol" w:hint="default"/>
      </w:rPr>
    </w:lvl>
    <w:lvl w:ilvl="7">
      <w:start w:val="1"/>
      <w:numFmt w:val="bullet"/>
      <w:lvlText w:val="o"/>
      <w:lvlJc w:val="left"/>
      <w:pPr>
        <w:ind w:left="5967" w:hanging="360"/>
      </w:pPr>
      <w:rPr>
        <w:rFonts w:ascii="Courier New" w:hAnsi="Courier New" w:cs="Courier New" w:hint="default"/>
      </w:rPr>
    </w:lvl>
    <w:lvl w:ilvl="8">
      <w:start w:val="1"/>
      <w:numFmt w:val="bullet"/>
      <w:lvlText w:val=""/>
      <w:lvlJc w:val="left"/>
      <w:pPr>
        <w:ind w:left="6687" w:hanging="360"/>
      </w:pPr>
      <w:rPr>
        <w:rFonts w:ascii="Wingdings" w:hAnsi="Wingdings" w:hint="default"/>
      </w:rPr>
    </w:lvl>
  </w:abstractNum>
  <w:abstractNum w:abstractNumId="249"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250" w15:restartNumberingAfterBreak="0">
    <w:nsid w:val="78FC3650"/>
    <w:multiLevelType w:val="hybridMultilevel"/>
    <w:tmpl w:val="8DF67DE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1" w15:restartNumberingAfterBreak="0">
    <w:nsid w:val="794D5393"/>
    <w:multiLevelType w:val="hybridMultilevel"/>
    <w:tmpl w:val="D2A0CDE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2" w15:restartNumberingAfterBreak="0">
    <w:nsid w:val="7A43250C"/>
    <w:multiLevelType w:val="hybridMultilevel"/>
    <w:tmpl w:val="E1F076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3" w15:restartNumberingAfterBreak="0">
    <w:nsid w:val="7AA90680"/>
    <w:multiLevelType w:val="hybridMultilevel"/>
    <w:tmpl w:val="075A7036"/>
    <w:lvl w:ilvl="0" w:tplc="484C16D4">
      <w:start w:val="5"/>
      <w:numFmt w:val="bullet"/>
      <w:lvlText w:val="-"/>
      <w:lvlJc w:val="left"/>
      <w:pPr>
        <w:ind w:left="720" w:hanging="360"/>
      </w:pPr>
      <w:rPr>
        <w:rFonts w:ascii="Arial Narrow" w:eastAsiaTheme="minorEastAsia" w:hAnsi="Arial Narrow" w:cs="Aria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4" w15:restartNumberingAfterBreak="0">
    <w:nsid w:val="7ADB7C73"/>
    <w:multiLevelType w:val="multilevel"/>
    <w:tmpl w:val="F10E4D24"/>
    <w:lvl w:ilvl="0">
      <w:numFmt w:val="bullet"/>
      <w:lvlText w:val="-"/>
      <w:lvlJc w:val="left"/>
      <w:pPr>
        <w:tabs>
          <w:tab w:val="left" w:pos="720"/>
        </w:tabs>
        <w:ind w:left="720" w:hanging="360"/>
      </w:pPr>
      <w:rPr>
        <w:rFonts w:ascii="Times" w:eastAsia="Batang" w:hAnsi="Times" w:cs="Times" w:hint="default"/>
        <w:sz w:val="20"/>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Arial" w:hAnsi="Arial" w:hint="default"/>
      </w:rPr>
    </w:lvl>
    <w:lvl w:ilvl="3">
      <w:numFmt w:val="bullet"/>
      <w:lvlText w:val=""/>
      <w:lvlJc w:val="left"/>
      <w:pPr>
        <w:tabs>
          <w:tab w:val="left" w:pos="2880"/>
        </w:tabs>
        <w:ind w:left="2880" w:hanging="360"/>
      </w:pPr>
      <w:rPr>
        <w:rFonts w:ascii="Symbol" w:hAnsi="Symbol" w:hint="default"/>
        <w:sz w:val="20"/>
      </w:rPr>
    </w:lvl>
    <w:lvl w:ilvl="4">
      <w:numFmt w:val="bullet"/>
      <w:lvlText w:val=""/>
      <w:lvlJc w:val="left"/>
      <w:pPr>
        <w:tabs>
          <w:tab w:val="left" w:pos="3600"/>
        </w:tabs>
        <w:ind w:left="3600" w:hanging="360"/>
      </w:pPr>
      <w:rPr>
        <w:rFonts w:ascii="Symbol" w:hAnsi="Symbol" w:hint="default"/>
        <w:sz w:val="20"/>
      </w:rPr>
    </w:lvl>
    <w:lvl w:ilvl="5">
      <w:numFmt w:val="bullet"/>
      <w:lvlText w:val=""/>
      <w:lvlJc w:val="left"/>
      <w:pPr>
        <w:tabs>
          <w:tab w:val="left" w:pos="4320"/>
        </w:tabs>
        <w:ind w:left="4320" w:hanging="360"/>
      </w:pPr>
      <w:rPr>
        <w:rFonts w:ascii="Symbol" w:hAnsi="Symbol" w:hint="default"/>
        <w:sz w:val="20"/>
      </w:rPr>
    </w:lvl>
    <w:lvl w:ilvl="6">
      <w:numFmt w:val="bullet"/>
      <w:lvlText w:val=""/>
      <w:lvlJc w:val="left"/>
      <w:pPr>
        <w:tabs>
          <w:tab w:val="left" w:pos="5040"/>
        </w:tabs>
        <w:ind w:left="5040" w:hanging="360"/>
      </w:pPr>
      <w:rPr>
        <w:rFonts w:ascii="Symbol" w:hAnsi="Symbol" w:hint="default"/>
        <w:sz w:val="20"/>
      </w:rPr>
    </w:lvl>
    <w:lvl w:ilvl="7">
      <w:numFmt w:val="bullet"/>
      <w:lvlText w:val=""/>
      <w:lvlJc w:val="left"/>
      <w:pPr>
        <w:tabs>
          <w:tab w:val="left" w:pos="5760"/>
        </w:tabs>
        <w:ind w:left="5760" w:hanging="360"/>
      </w:pPr>
      <w:rPr>
        <w:rFonts w:ascii="Symbol" w:hAnsi="Symbol" w:hint="default"/>
        <w:sz w:val="20"/>
      </w:rPr>
    </w:lvl>
    <w:lvl w:ilvl="8">
      <w:numFmt w:val="bullet"/>
      <w:lvlText w:val=""/>
      <w:lvlJc w:val="left"/>
      <w:pPr>
        <w:tabs>
          <w:tab w:val="left" w:pos="6480"/>
        </w:tabs>
        <w:ind w:left="6480" w:hanging="360"/>
      </w:pPr>
      <w:rPr>
        <w:rFonts w:ascii="Symbol" w:hAnsi="Symbol" w:hint="default"/>
        <w:sz w:val="20"/>
      </w:rPr>
    </w:lvl>
  </w:abstractNum>
  <w:abstractNum w:abstractNumId="255" w15:restartNumberingAfterBreak="0">
    <w:nsid w:val="7B38543A"/>
    <w:multiLevelType w:val="hybridMultilevel"/>
    <w:tmpl w:val="BCACA91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6" w15:restartNumberingAfterBreak="0">
    <w:nsid w:val="7BC330F5"/>
    <w:multiLevelType w:val="hybridMultilevel"/>
    <w:tmpl w:val="C2769C2A"/>
    <w:styleLink w:val="StyleBulletedSymbolsymbolLeft025Hanging02552"/>
    <w:lvl w:ilvl="0" w:tplc="70725600">
      <w:start w:val="1"/>
      <w:numFmt w:val="bullet"/>
      <w:pStyle w:val="Char"/>
      <w:lvlText w:val=""/>
      <w:lvlJc w:val="left"/>
      <w:pPr>
        <w:tabs>
          <w:tab w:val="num" w:pos="851"/>
        </w:tabs>
        <w:ind w:left="851" w:hanging="851"/>
      </w:pPr>
      <w:rPr>
        <w:rFonts w:ascii="ZapfDingbats" w:hAnsi="ZapfDingbats" w:hint="default"/>
        <w:b/>
        <w:i w:val="0"/>
        <w:color w:val="70CEF5"/>
        <w:sz w:val="20"/>
        <w:szCs w:val="20"/>
      </w:rPr>
    </w:lvl>
    <w:lvl w:ilvl="1" w:tplc="C8841810">
      <w:start w:val="1"/>
      <w:numFmt w:val="bullet"/>
      <w:pStyle w:val="berschrift3h3H3Underrubrik2"/>
      <w:lvlText w:val="o"/>
      <w:lvlJc w:val="left"/>
      <w:pPr>
        <w:tabs>
          <w:tab w:val="num" w:pos="1440"/>
        </w:tabs>
        <w:ind w:left="1440" w:hanging="360"/>
      </w:pPr>
      <w:rPr>
        <w:rFonts w:ascii="Courier New" w:hAnsi="Courier New" w:cs="Courier New" w:hint="default"/>
      </w:rPr>
    </w:lvl>
    <w:lvl w:ilvl="2" w:tplc="7DA0F730" w:tentative="1">
      <w:start w:val="1"/>
      <w:numFmt w:val="bullet"/>
      <w:pStyle w:val="3GPPH3"/>
      <w:lvlText w:val=""/>
      <w:lvlJc w:val="left"/>
      <w:pPr>
        <w:tabs>
          <w:tab w:val="num" w:pos="2160"/>
        </w:tabs>
        <w:ind w:left="2160" w:hanging="360"/>
      </w:pPr>
      <w:rPr>
        <w:rFonts w:ascii="Wingdings" w:hAnsi="Wingdings" w:hint="default"/>
      </w:rPr>
    </w:lvl>
    <w:lvl w:ilvl="3" w:tplc="71F2D618" w:tentative="1">
      <w:start w:val="1"/>
      <w:numFmt w:val="bullet"/>
      <w:lvlText w:val=""/>
      <w:lvlJc w:val="left"/>
      <w:pPr>
        <w:tabs>
          <w:tab w:val="num" w:pos="2880"/>
        </w:tabs>
        <w:ind w:left="2880" w:hanging="360"/>
      </w:pPr>
      <w:rPr>
        <w:rFonts w:ascii="Symbol" w:hAnsi="Symbol" w:hint="default"/>
      </w:rPr>
    </w:lvl>
    <w:lvl w:ilvl="4" w:tplc="E84C571E" w:tentative="1">
      <w:start w:val="1"/>
      <w:numFmt w:val="bullet"/>
      <w:lvlText w:val="o"/>
      <w:lvlJc w:val="left"/>
      <w:pPr>
        <w:tabs>
          <w:tab w:val="num" w:pos="3600"/>
        </w:tabs>
        <w:ind w:left="3600" w:hanging="360"/>
      </w:pPr>
      <w:rPr>
        <w:rFonts w:ascii="Courier New" w:hAnsi="Courier New" w:cs="Courier New" w:hint="default"/>
      </w:rPr>
    </w:lvl>
    <w:lvl w:ilvl="5" w:tplc="701415FE" w:tentative="1">
      <w:start w:val="1"/>
      <w:numFmt w:val="bullet"/>
      <w:lvlText w:val=""/>
      <w:lvlJc w:val="left"/>
      <w:pPr>
        <w:tabs>
          <w:tab w:val="num" w:pos="4320"/>
        </w:tabs>
        <w:ind w:left="4320" w:hanging="360"/>
      </w:pPr>
      <w:rPr>
        <w:rFonts w:ascii="Wingdings" w:hAnsi="Wingdings" w:hint="default"/>
      </w:rPr>
    </w:lvl>
    <w:lvl w:ilvl="6" w:tplc="3A66A646" w:tentative="1">
      <w:start w:val="1"/>
      <w:numFmt w:val="bullet"/>
      <w:lvlText w:val=""/>
      <w:lvlJc w:val="left"/>
      <w:pPr>
        <w:tabs>
          <w:tab w:val="num" w:pos="5040"/>
        </w:tabs>
        <w:ind w:left="5040" w:hanging="360"/>
      </w:pPr>
      <w:rPr>
        <w:rFonts w:ascii="Symbol" w:hAnsi="Symbol" w:hint="default"/>
      </w:rPr>
    </w:lvl>
    <w:lvl w:ilvl="7" w:tplc="60505F22" w:tentative="1">
      <w:start w:val="1"/>
      <w:numFmt w:val="bullet"/>
      <w:lvlText w:val="o"/>
      <w:lvlJc w:val="left"/>
      <w:pPr>
        <w:tabs>
          <w:tab w:val="num" w:pos="5760"/>
        </w:tabs>
        <w:ind w:left="5760" w:hanging="360"/>
      </w:pPr>
      <w:rPr>
        <w:rFonts w:ascii="Courier New" w:hAnsi="Courier New" w:cs="Courier New" w:hint="default"/>
      </w:rPr>
    </w:lvl>
    <w:lvl w:ilvl="8" w:tplc="280A7452" w:tentative="1">
      <w:start w:val="1"/>
      <w:numFmt w:val="bullet"/>
      <w:lvlText w:val=""/>
      <w:lvlJc w:val="left"/>
      <w:pPr>
        <w:tabs>
          <w:tab w:val="num" w:pos="6480"/>
        </w:tabs>
        <w:ind w:left="6480" w:hanging="360"/>
      </w:pPr>
      <w:rPr>
        <w:rFonts w:ascii="Wingdings" w:hAnsi="Wingdings" w:hint="default"/>
      </w:rPr>
    </w:lvl>
  </w:abstractNum>
  <w:abstractNum w:abstractNumId="257" w15:restartNumberingAfterBreak="0">
    <w:nsid w:val="7BD20815"/>
    <w:multiLevelType w:val="hybridMultilevel"/>
    <w:tmpl w:val="6E08A5C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8" w15:restartNumberingAfterBreak="0">
    <w:nsid w:val="7C267F9C"/>
    <w:multiLevelType w:val="hybridMultilevel"/>
    <w:tmpl w:val="9D8C8332"/>
    <w:styleLink w:val="3GPPListofBullets1"/>
    <w:lvl w:ilvl="0" w:tplc="CF68586C">
      <w:numFmt w:val="bullet"/>
      <w:pStyle w:val="StatementBody"/>
      <w:lvlText w:val=""/>
      <w:lvlJc w:val="left"/>
      <w:pPr>
        <w:ind w:left="720" w:hanging="360"/>
      </w:pPr>
      <w:rPr>
        <w:rFonts w:ascii="Symbol" w:eastAsia="Times New Roman" w:hAnsi="Symbol"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numFmt w:val="bullet"/>
      <w:lvlText w:val="-"/>
      <w:lvlJc w:val="left"/>
      <w:pPr>
        <w:ind w:left="2880" w:hanging="360"/>
      </w:pPr>
      <w:rPr>
        <w:rFonts w:ascii="Times New Roman" w:eastAsia="MS Mincho" w:hAnsi="Times New Roman" w:cs="Times New Roman" w:hint="default"/>
      </w:rPr>
    </w:lvl>
    <w:lvl w:ilvl="4" w:tplc="08090003">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9" w15:restartNumberingAfterBreak="0">
    <w:nsid w:val="7C90677B"/>
    <w:multiLevelType w:val="hybridMultilevel"/>
    <w:tmpl w:val="834C79DC"/>
    <w:lvl w:ilvl="0" w:tplc="762AA064">
      <w:numFmt w:val="bullet"/>
      <w:lvlText w:val="-"/>
      <w:lvlJc w:val="left"/>
      <w:pPr>
        <w:ind w:left="720" w:hanging="360"/>
      </w:pPr>
      <w:rPr>
        <w:rFonts w:ascii="Times New Roman" w:eastAsia="SimSun" w:hAnsi="Times New Roman" w:cs="Times New Roman" w:hint="default"/>
        <w:color w:val="FF0000"/>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60" w15:restartNumberingAfterBreak="0">
    <w:nsid w:val="7D155BF0"/>
    <w:multiLevelType w:val="multilevel"/>
    <w:tmpl w:val="438E1A54"/>
    <w:lvl w:ilvl="0">
      <w:start w:val="4"/>
      <w:numFmt w:val="decimal"/>
      <w:lvlText w:val="Proposal %1:"/>
      <w:lvlJc w:val="left"/>
      <w:pPr>
        <w:ind w:left="0" w:firstLine="0"/>
      </w:pPr>
      <w:rPr>
        <w:rFonts w:ascii="Times New Roman" w:hAnsi="Times New Roman" w:hint="default"/>
        <w:b w:val="0"/>
        <w:bCs w:val="0"/>
        <w:i w:val="0"/>
        <w:iCs/>
        <w:color w:val="auto"/>
        <w:sz w:val="20"/>
        <w:szCs w:val="16"/>
      </w:rPr>
    </w:lvl>
    <w:lvl w:ilvl="1">
      <w:start w:val="1"/>
      <w:numFmt w:val="bullet"/>
      <w:lvlText w:val=""/>
      <w:lvlJc w:val="left"/>
      <w:pPr>
        <w:ind w:left="720" w:hanging="360"/>
      </w:pPr>
      <w:rPr>
        <w:rFonts w:ascii="Symbol" w:hAnsi="Symbol" w:hint="default"/>
      </w:rPr>
    </w:lvl>
    <w:lvl w:ilvl="2">
      <w:start w:val="1"/>
      <w:numFmt w:val="bullet"/>
      <w:lvlRestart w:val="0"/>
      <w:lvlText w:val="□"/>
      <w:lvlJc w:val="left"/>
      <w:pPr>
        <w:ind w:left="567" w:hanging="283"/>
      </w:pPr>
      <w:rPr>
        <w:rFonts w:ascii="Times New Roman" w:hAnsi="Times New Roman" w:cs="Times New Roman" w:hint="default"/>
        <w:b w:val="0"/>
        <w:i w:val="0"/>
        <w:sz w:val="22"/>
      </w:rPr>
    </w:lvl>
    <w:lvl w:ilvl="3">
      <w:start w:val="1"/>
      <w:numFmt w:val="bullet"/>
      <w:lvlRestart w:val="0"/>
      <w:lvlText w:val="▪"/>
      <w:lvlJc w:val="left"/>
      <w:pPr>
        <w:ind w:left="851" w:hanging="284"/>
      </w:pPr>
      <w:rPr>
        <w:rFonts w:ascii="Times New Roman" w:hAnsi="Times New Roman" w:cs="Times New Roman" w:hint="default"/>
        <w:b w:val="0"/>
        <w:color w:val="auto"/>
        <w:sz w:val="22"/>
      </w:rPr>
    </w:lvl>
    <w:lvl w:ilvl="4">
      <w:start w:val="1"/>
      <w:numFmt w:val="lowerLetter"/>
      <w:lvlText w:val="(%5)"/>
      <w:lvlJc w:val="left"/>
      <w:pPr>
        <w:ind w:left="2838" w:hanging="284"/>
      </w:pPr>
      <w:rPr>
        <w:rFonts w:hint="default"/>
      </w:rPr>
    </w:lvl>
    <w:lvl w:ilvl="5">
      <w:start w:val="1"/>
      <w:numFmt w:val="lowerRoman"/>
      <w:lvlText w:val="(%6)"/>
      <w:lvlJc w:val="left"/>
      <w:pPr>
        <w:ind w:left="3122" w:hanging="284"/>
      </w:pPr>
      <w:rPr>
        <w:rFonts w:hint="default"/>
      </w:rPr>
    </w:lvl>
    <w:lvl w:ilvl="6">
      <w:start w:val="1"/>
      <w:numFmt w:val="decimal"/>
      <w:lvlText w:val="%7."/>
      <w:lvlJc w:val="left"/>
      <w:pPr>
        <w:ind w:left="3406" w:hanging="284"/>
      </w:pPr>
      <w:rPr>
        <w:rFonts w:hint="default"/>
      </w:rPr>
    </w:lvl>
    <w:lvl w:ilvl="7">
      <w:start w:val="1"/>
      <w:numFmt w:val="lowerLetter"/>
      <w:lvlText w:val="%8."/>
      <w:lvlJc w:val="left"/>
      <w:pPr>
        <w:ind w:left="3690" w:hanging="284"/>
      </w:pPr>
      <w:rPr>
        <w:rFonts w:hint="default"/>
      </w:rPr>
    </w:lvl>
    <w:lvl w:ilvl="8">
      <w:start w:val="1"/>
      <w:numFmt w:val="lowerRoman"/>
      <w:lvlText w:val="%9."/>
      <w:lvlJc w:val="left"/>
      <w:pPr>
        <w:ind w:left="3974" w:hanging="284"/>
      </w:pPr>
      <w:rPr>
        <w:rFonts w:hint="default"/>
      </w:rPr>
    </w:lvl>
  </w:abstractNum>
  <w:abstractNum w:abstractNumId="261" w15:restartNumberingAfterBreak="0">
    <w:nsid w:val="7D1E4E0A"/>
    <w:multiLevelType w:val="hybridMultilevel"/>
    <w:tmpl w:val="B6205F02"/>
    <w:lvl w:ilvl="0" w:tplc="08090001">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62" w15:restartNumberingAfterBreak="0">
    <w:nsid w:val="7D421B68"/>
    <w:multiLevelType w:val="hybridMultilevel"/>
    <w:tmpl w:val="163C68B2"/>
    <w:lvl w:ilvl="0" w:tplc="BA2E1BF2">
      <w:start w:val="1"/>
      <w:numFmt w:val="bullet"/>
      <w:lvlText w:val=""/>
      <w:lvlJc w:val="left"/>
      <w:pPr>
        <w:tabs>
          <w:tab w:val="num" w:pos="0"/>
        </w:tabs>
        <w:ind w:hanging="360"/>
      </w:pPr>
      <w:rPr>
        <w:rFonts w:ascii="Symbol" w:hAnsi="Symbol" w:hint="default"/>
        <w:color w:val="auto"/>
      </w:rPr>
    </w:lvl>
    <w:lvl w:ilvl="1" w:tplc="801C457C">
      <w:start w:val="1"/>
      <w:numFmt w:val="bullet"/>
      <w:lvlText w:val=""/>
      <w:lvlJc w:val="left"/>
      <w:pPr>
        <w:tabs>
          <w:tab w:val="num" w:pos="480"/>
        </w:tabs>
        <w:ind w:left="480" w:hanging="420"/>
      </w:pPr>
      <w:rPr>
        <w:rFonts w:ascii="Wingdings" w:hAnsi="Wingdings" w:hint="default"/>
      </w:rPr>
    </w:lvl>
    <w:lvl w:ilvl="2" w:tplc="2C786D6E">
      <w:start w:val="1"/>
      <w:numFmt w:val="bullet"/>
      <w:lvlText w:val=""/>
      <w:lvlJc w:val="left"/>
      <w:pPr>
        <w:tabs>
          <w:tab w:val="num" w:pos="900"/>
        </w:tabs>
        <w:ind w:left="900" w:hanging="420"/>
      </w:pPr>
      <w:rPr>
        <w:rFonts w:ascii="Wingdings" w:hAnsi="Wingdings" w:hint="default"/>
      </w:rPr>
    </w:lvl>
    <w:lvl w:ilvl="3" w:tplc="A8BE272E">
      <w:start w:val="1"/>
      <w:numFmt w:val="bullet"/>
      <w:lvlText w:val=""/>
      <w:lvlJc w:val="left"/>
      <w:pPr>
        <w:tabs>
          <w:tab w:val="num" w:pos="1320"/>
        </w:tabs>
        <w:ind w:left="1320" w:hanging="420"/>
      </w:pPr>
      <w:rPr>
        <w:rFonts w:ascii="Wingdings" w:hAnsi="Wingdings" w:hint="default"/>
      </w:rPr>
    </w:lvl>
    <w:lvl w:ilvl="4" w:tplc="66F8D13C" w:tentative="1">
      <w:start w:val="1"/>
      <w:numFmt w:val="bullet"/>
      <w:lvlText w:val=""/>
      <w:lvlJc w:val="left"/>
      <w:pPr>
        <w:tabs>
          <w:tab w:val="num" w:pos="1740"/>
        </w:tabs>
        <w:ind w:left="1740" w:hanging="420"/>
      </w:pPr>
      <w:rPr>
        <w:rFonts w:ascii="Wingdings" w:hAnsi="Wingdings" w:hint="default"/>
      </w:rPr>
    </w:lvl>
    <w:lvl w:ilvl="5" w:tplc="A7F86B9A" w:tentative="1">
      <w:start w:val="1"/>
      <w:numFmt w:val="bullet"/>
      <w:lvlText w:val=""/>
      <w:lvlJc w:val="left"/>
      <w:pPr>
        <w:tabs>
          <w:tab w:val="num" w:pos="2160"/>
        </w:tabs>
        <w:ind w:left="2160" w:hanging="420"/>
      </w:pPr>
      <w:rPr>
        <w:rFonts w:ascii="Wingdings" w:hAnsi="Wingdings" w:hint="default"/>
      </w:rPr>
    </w:lvl>
    <w:lvl w:ilvl="6" w:tplc="72C69C5A" w:tentative="1">
      <w:start w:val="1"/>
      <w:numFmt w:val="bullet"/>
      <w:lvlText w:val=""/>
      <w:lvlJc w:val="left"/>
      <w:pPr>
        <w:tabs>
          <w:tab w:val="num" w:pos="2580"/>
        </w:tabs>
        <w:ind w:left="2580" w:hanging="420"/>
      </w:pPr>
      <w:rPr>
        <w:rFonts w:ascii="Wingdings" w:hAnsi="Wingdings" w:hint="default"/>
      </w:rPr>
    </w:lvl>
    <w:lvl w:ilvl="7" w:tplc="D8A01E52" w:tentative="1">
      <w:start w:val="1"/>
      <w:numFmt w:val="bullet"/>
      <w:lvlText w:val=""/>
      <w:lvlJc w:val="left"/>
      <w:pPr>
        <w:tabs>
          <w:tab w:val="num" w:pos="3000"/>
        </w:tabs>
        <w:ind w:left="3000" w:hanging="420"/>
      </w:pPr>
      <w:rPr>
        <w:rFonts w:ascii="Wingdings" w:hAnsi="Wingdings" w:hint="default"/>
      </w:rPr>
    </w:lvl>
    <w:lvl w:ilvl="8" w:tplc="8EF4A33C" w:tentative="1">
      <w:start w:val="1"/>
      <w:numFmt w:val="bullet"/>
      <w:lvlText w:val=""/>
      <w:lvlJc w:val="left"/>
      <w:pPr>
        <w:tabs>
          <w:tab w:val="num" w:pos="3420"/>
        </w:tabs>
        <w:ind w:left="3420" w:hanging="420"/>
      </w:pPr>
      <w:rPr>
        <w:rFonts w:ascii="Wingdings" w:hAnsi="Wingdings" w:hint="default"/>
      </w:rPr>
    </w:lvl>
  </w:abstractNum>
  <w:abstractNum w:abstractNumId="263"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abstractNum w:abstractNumId="264" w15:restartNumberingAfterBreak="0">
    <w:nsid w:val="7FAF33FE"/>
    <w:multiLevelType w:val="hybridMultilevel"/>
    <w:tmpl w:val="6402400E"/>
    <w:lvl w:ilvl="0" w:tplc="08090001">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65" w15:restartNumberingAfterBreak="0">
    <w:nsid w:val="7FB34CD6"/>
    <w:multiLevelType w:val="multilevel"/>
    <w:tmpl w:val="F7B6AE18"/>
    <w:styleLink w:val="StyleBulletedSymbolsymbolLeft025Hanging0251"/>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6" w15:restartNumberingAfterBreak="0">
    <w:nsid w:val="7FB77428"/>
    <w:multiLevelType w:val="hybridMultilevel"/>
    <w:tmpl w:val="FC5AD05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7" w15:restartNumberingAfterBreak="0">
    <w:nsid w:val="7FCE49A7"/>
    <w:multiLevelType w:val="multilevel"/>
    <w:tmpl w:val="9FEEF1EE"/>
    <w:lvl w:ilvl="0">
      <w:start w:val="1"/>
      <w:numFmt w:val="decimal"/>
      <w:pStyle w:val="ANOKIA2023style"/>
      <w:suff w:val="space"/>
      <w:lvlText w:val="Proposal %1:"/>
      <w:lvlJc w:val="left"/>
      <w:pPr>
        <w:ind w:left="0" w:firstLine="0"/>
      </w:pPr>
      <w:rPr>
        <w:rFonts w:ascii="Times New Roman" w:hAnsi="Times New Roman" w:hint="default"/>
        <w:b/>
        <w:sz w:val="20"/>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68" w15:restartNumberingAfterBreak="0">
    <w:nsid w:val="7FFD65EB"/>
    <w:multiLevelType w:val="multilevel"/>
    <w:tmpl w:val="7FFD65E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16cid:durableId="358746650">
    <w:abstractNumId w:val="127"/>
  </w:num>
  <w:num w:numId="2" w16cid:durableId="496001218">
    <w:abstractNumId w:val="223"/>
  </w:num>
  <w:num w:numId="3" w16cid:durableId="88233009">
    <w:abstractNumId w:val="37"/>
  </w:num>
  <w:num w:numId="4" w16cid:durableId="2120446628">
    <w:abstractNumId w:val="9"/>
  </w:num>
  <w:num w:numId="5" w16cid:durableId="1802728078">
    <w:abstractNumId w:val="258"/>
  </w:num>
  <w:num w:numId="6" w16cid:durableId="22756934">
    <w:abstractNumId w:val="111"/>
  </w:num>
  <w:num w:numId="7" w16cid:durableId="850488194">
    <w:abstractNumId w:val="256"/>
  </w:num>
  <w:num w:numId="8" w16cid:durableId="1226456198">
    <w:abstractNumId w:val="38"/>
  </w:num>
  <w:num w:numId="9" w16cid:durableId="869029945">
    <w:abstractNumId w:val="108"/>
  </w:num>
  <w:num w:numId="10" w16cid:durableId="1988437429">
    <w:abstractNumId w:val="4"/>
  </w:num>
  <w:num w:numId="11" w16cid:durableId="6910852">
    <w:abstractNumId w:val="166"/>
  </w:num>
  <w:num w:numId="12" w16cid:durableId="1828130773">
    <w:abstractNumId w:val="63"/>
  </w:num>
  <w:num w:numId="13" w16cid:durableId="1942060386">
    <w:abstractNumId w:val="217"/>
  </w:num>
  <w:num w:numId="14" w16cid:durableId="880166605">
    <w:abstractNumId w:val="126"/>
  </w:num>
  <w:num w:numId="15" w16cid:durableId="1844124929">
    <w:abstractNumId w:val="44"/>
  </w:num>
  <w:num w:numId="16" w16cid:durableId="1454014188">
    <w:abstractNumId w:val="247"/>
  </w:num>
  <w:num w:numId="17" w16cid:durableId="774596718">
    <w:abstractNumId w:val="160"/>
  </w:num>
  <w:num w:numId="18" w16cid:durableId="26833030">
    <w:abstractNumId w:val="112"/>
  </w:num>
  <w:num w:numId="19" w16cid:durableId="502401534">
    <w:abstractNumId w:val="54"/>
  </w:num>
  <w:num w:numId="20" w16cid:durableId="1001079530">
    <w:abstractNumId w:val="167"/>
  </w:num>
  <w:num w:numId="21" w16cid:durableId="1436711188">
    <w:abstractNumId w:val="227"/>
  </w:num>
  <w:num w:numId="22" w16cid:durableId="1747340217">
    <w:abstractNumId w:val="2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1264534416">
    <w:abstractNumId w:val="145"/>
  </w:num>
  <w:num w:numId="24" w16cid:durableId="1426532114">
    <w:abstractNumId w:val="43"/>
  </w:num>
  <w:num w:numId="25" w16cid:durableId="811869633">
    <w:abstractNumId w:val="265"/>
  </w:num>
  <w:num w:numId="26" w16cid:durableId="609165681">
    <w:abstractNumId w:val="89"/>
  </w:num>
  <w:num w:numId="27" w16cid:durableId="1949315726">
    <w:abstractNumId w:val="233"/>
  </w:num>
  <w:num w:numId="28" w16cid:durableId="328145039">
    <w:abstractNumId w:val="198"/>
  </w:num>
  <w:num w:numId="29" w16cid:durableId="400520831">
    <w:abstractNumId w:val="65"/>
  </w:num>
  <w:num w:numId="30" w16cid:durableId="1018265488">
    <w:abstractNumId w:val="16"/>
  </w:num>
  <w:num w:numId="31" w16cid:durableId="1347248046">
    <w:abstractNumId w:val="244"/>
  </w:num>
  <w:num w:numId="32" w16cid:durableId="1492598753">
    <w:abstractNumId w:val="8"/>
  </w:num>
  <w:num w:numId="33" w16cid:durableId="1693797211">
    <w:abstractNumId w:val="102"/>
  </w:num>
  <w:num w:numId="34" w16cid:durableId="70083415">
    <w:abstractNumId w:val="196"/>
  </w:num>
  <w:num w:numId="35" w16cid:durableId="812219174">
    <w:abstractNumId w:val="2"/>
  </w:num>
  <w:num w:numId="36" w16cid:durableId="434787454">
    <w:abstractNumId w:val="174"/>
  </w:num>
  <w:num w:numId="37" w16cid:durableId="1022051866">
    <w:abstractNumId w:val="97"/>
  </w:num>
  <w:num w:numId="38" w16cid:durableId="1315915565">
    <w:abstractNumId w:val="143"/>
  </w:num>
  <w:num w:numId="39" w16cid:durableId="2117017486">
    <w:abstractNumId w:val="107"/>
  </w:num>
  <w:num w:numId="40" w16cid:durableId="115753984">
    <w:abstractNumId w:val="152"/>
  </w:num>
  <w:num w:numId="41" w16cid:durableId="1741172426">
    <w:abstractNumId w:val="263"/>
  </w:num>
  <w:num w:numId="42" w16cid:durableId="1834562694">
    <w:abstractNumId w:val="157"/>
  </w:num>
  <w:num w:numId="43" w16cid:durableId="1982613268">
    <w:abstractNumId w:val="249"/>
  </w:num>
  <w:num w:numId="44" w16cid:durableId="922836169">
    <w:abstractNumId w:val="85"/>
  </w:num>
  <w:num w:numId="45" w16cid:durableId="1840147538">
    <w:abstractNumId w:val="71"/>
  </w:num>
  <w:num w:numId="46" w16cid:durableId="1046562863">
    <w:abstractNumId w:val="206"/>
  </w:num>
  <w:num w:numId="47" w16cid:durableId="191767967">
    <w:abstractNumId w:val="50"/>
  </w:num>
  <w:num w:numId="48" w16cid:durableId="412943263">
    <w:abstractNumId w:val="237"/>
  </w:num>
  <w:num w:numId="49" w16cid:durableId="1526289933">
    <w:abstractNumId w:val="93"/>
  </w:num>
  <w:num w:numId="50" w16cid:durableId="1186677179">
    <w:abstractNumId w:val="129"/>
  </w:num>
  <w:num w:numId="51" w16cid:durableId="1223442318">
    <w:abstractNumId w:val="42"/>
  </w:num>
  <w:num w:numId="52" w16cid:durableId="554511357">
    <w:abstractNumId w:val="96"/>
  </w:num>
  <w:num w:numId="53" w16cid:durableId="319626412">
    <w:abstractNumId w:val="200"/>
  </w:num>
  <w:num w:numId="54" w16cid:durableId="1521119809">
    <w:abstractNumId w:val="14"/>
  </w:num>
  <w:num w:numId="55" w16cid:durableId="1414207845">
    <w:abstractNumId w:val="222"/>
  </w:num>
  <w:num w:numId="56" w16cid:durableId="908616907">
    <w:abstractNumId w:val="138"/>
  </w:num>
  <w:num w:numId="57" w16cid:durableId="1419794322">
    <w:abstractNumId w:val="131"/>
    <w:lvlOverride w:ilvl="0"/>
    <w:lvlOverride w:ilvl="1"/>
    <w:lvlOverride w:ilvl="2"/>
    <w:lvlOverride w:ilvl="3"/>
    <w:lvlOverride w:ilvl="4"/>
    <w:lvlOverride w:ilvl="5">
      <w:startOverride w:val="1"/>
    </w:lvlOverride>
    <w:lvlOverride w:ilvl="6">
      <w:startOverride w:val="1"/>
    </w:lvlOverride>
    <w:lvlOverride w:ilvl="7">
      <w:startOverride w:val="1"/>
    </w:lvlOverride>
    <w:lvlOverride w:ilvl="8">
      <w:startOverride w:val="1"/>
    </w:lvlOverride>
  </w:num>
  <w:num w:numId="58" w16cid:durableId="1337273001">
    <w:abstractNumId w:val="148"/>
  </w:num>
  <w:num w:numId="59" w16cid:durableId="384136310">
    <w:abstractNumId w:val="67"/>
  </w:num>
  <w:num w:numId="60" w16cid:durableId="640960157">
    <w:abstractNumId w:val="0"/>
  </w:num>
  <w:num w:numId="61" w16cid:durableId="1622493963">
    <w:abstractNumId w:val="134"/>
  </w:num>
  <w:num w:numId="62" w16cid:durableId="7603625">
    <w:abstractNumId w:val="128"/>
  </w:num>
  <w:num w:numId="63" w16cid:durableId="1518738850">
    <w:abstractNumId w:val="46"/>
  </w:num>
  <w:num w:numId="64" w16cid:durableId="1258057565">
    <w:abstractNumId w:val="92"/>
  </w:num>
  <w:num w:numId="65" w16cid:durableId="688677518">
    <w:abstractNumId w:val="1"/>
  </w:num>
  <w:num w:numId="66" w16cid:durableId="829098379">
    <w:abstractNumId w:val="1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16cid:durableId="126822124">
    <w:abstractNumId w:val="141"/>
  </w:num>
  <w:num w:numId="68" w16cid:durableId="1894347280">
    <w:abstractNumId w:val="27"/>
  </w:num>
  <w:num w:numId="69" w16cid:durableId="233589076">
    <w:abstractNumId w:val="88"/>
  </w:num>
  <w:num w:numId="70" w16cid:durableId="249126769">
    <w:abstractNumId w:val="171"/>
  </w:num>
  <w:num w:numId="71" w16cid:durableId="2053923480">
    <w:abstractNumId w:val="267"/>
  </w:num>
  <w:num w:numId="72" w16cid:durableId="725377157">
    <w:abstractNumId w:val="87"/>
  </w:num>
  <w:num w:numId="73" w16cid:durableId="1966695536">
    <w:abstractNumId w:val="90"/>
  </w:num>
  <w:num w:numId="74" w16cid:durableId="1669558938">
    <w:abstractNumId w:val="51"/>
  </w:num>
  <w:num w:numId="75" w16cid:durableId="1561087281">
    <w:abstractNumId w:val="83"/>
  </w:num>
  <w:num w:numId="76" w16cid:durableId="968053299">
    <w:abstractNumId w:val="139"/>
  </w:num>
  <w:num w:numId="77" w16cid:durableId="6520804">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8" w16cid:durableId="1846897439">
    <w:abstractNumId w:val="79"/>
  </w:num>
  <w:num w:numId="79" w16cid:durableId="931087811">
    <w:abstractNumId w:val="165"/>
  </w:num>
  <w:num w:numId="80" w16cid:durableId="1384255469">
    <w:abstractNumId w:val="94"/>
  </w:num>
  <w:num w:numId="81" w16cid:durableId="1964726163">
    <w:abstractNumId w:val="73"/>
  </w:num>
  <w:num w:numId="82" w16cid:durableId="1745949248">
    <w:abstractNumId w:val="34"/>
  </w:num>
  <w:num w:numId="83" w16cid:durableId="24214186">
    <w:abstractNumId w:val="75"/>
  </w:num>
  <w:num w:numId="84" w16cid:durableId="968167381">
    <w:abstractNumId w:val="31"/>
  </w:num>
  <w:num w:numId="85" w16cid:durableId="939993451">
    <w:abstractNumId w:val="158"/>
  </w:num>
  <w:num w:numId="86" w16cid:durableId="800684756">
    <w:abstractNumId w:val="60"/>
  </w:num>
  <w:num w:numId="87" w16cid:durableId="1754280651">
    <w:abstractNumId w:val="252"/>
  </w:num>
  <w:num w:numId="88" w16cid:durableId="1946377345">
    <w:abstractNumId w:val="173"/>
  </w:num>
  <w:num w:numId="89" w16cid:durableId="408306597">
    <w:abstractNumId w:val="177"/>
  </w:num>
  <w:num w:numId="90" w16cid:durableId="945845318">
    <w:abstractNumId w:val="29"/>
  </w:num>
  <w:num w:numId="91" w16cid:durableId="1732846543">
    <w:abstractNumId w:val="95"/>
  </w:num>
  <w:num w:numId="92" w16cid:durableId="1216435005">
    <w:abstractNumId w:val="224"/>
  </w:num>
  <w:num w:numId="93" w16cid:durableId="231936009">
    <w:abstractNumId w:val="193"/>
  </w:num>
  <w:num w:numId="94" w16cid:durableId="737556226">
    <w:abstractNumId w:val="164"/>
  </w:num>
  <w:num w:numId="95" w16cid:durableId="138233777">
    <w:abstractNumId w:val="12"/>
  </w:num>
  <w:num w:numId="96" w16cid:durableId="760445766">
    <w:abstractNumId w:val="20"/>
  </w:num>
  <w:num w:numId="97" w16cid:durableId="1588266095">
    <w:abstractNumId w:val="153"/>
  </w:num>
  <w:num w:numId="98" w16cid:durableId="948585388">
    <w:abstractNumId w:val="228"/>
  </w:num>
  <w:num w:numId="99" w16cid:durableId="2067947021">
    <w:abstractNumId w:val="235"/>
  </w:num>
  <w:num w:numId="100" w16cid:durableId="1560441197">
    <w:abstractNumId w:val="100"/>
  </w:num>
  <w:num w:numId="101" w16cid:durableId="1575123406">
    <w:abstractNumId w:val="191"/>
  </w:num>
  <w:num w:numId="102" w16cid:durableId="773329064">
    <w:abstractNumId w:val="82"/>
  </w:num>
  <w:num w:numId="103" w16cid:durableId="1777169194">
    <w:abstractNumId w:val="232"/>
  </w:num>
  <w:num w:numId="104" w16cid:durableId="1398867024">
    <w:abstractNumId w:val="59"/>
  </w:num>
  <w:num w:numId="105" w16cid:durableId="672995816">
    <w:abstractNumId w:val="23"/>
  </w:num>
  <w:num w:numId="106" w16cid:durableId="828987112">
    <w:abstractNumId w:val="208"/>
  </w:num>
  <w:num w:numId="107" w16cid:durableId="1391657915">
    <w:abstractNumId w:val="163"/>
  </w:num>
  <w:num w:numId="108" w16cid:durableId="940144214">
    <w:abstractNumId w:val="58"/>
  </w:num>
  <w:num w:numId="109" w16cid:durableId="1733387712">
    <w:abstractNumId w:val="118"/>
  </w:num>
  <w:num w:numId="110" w16cid:durableId="1789739903">
    <w:abstractNumId w:val="101"/>
  </w:num>
  <w:num w:numId="111" w16cid:durableId="1038817629">
    <w:abstractNumId w:val="121"/>
  </w:num>
  <w:num w:numId="112" w16cid:durableId="699087920">
    <w:abstractNumId w:val="149"/>
  </w:num>
  <w:num w:numId="113" w16cid:durableId="1279529394">
    <w:abstractNumId w:val="47"/>
  </w:num>
  <w:num w:numId="114" w16cid:durableId="1850101075">
    <w:abstractNumId w:val="86"/>
  </w:num>
  <w:num w:numId="115" w16cid:durableId="1870138861">
    <w:abstractNumId w:val="199"/>
  </w:num>
  <w:num w:numId="116" w16cid:durableId="1146162644">
    <w:abstractNumId w:val="115"/>
  </w:num>
  <w:num w:numId="117" w16cid:durableId="907692643">
    <w:abstractNumId w:val="229"/>
  </w:num>
  <w:num w:numId="118" w16cid:durableId="1417286252">
    <w:abstractNumId w:val="234"/>
  </w:num>
  <w:num w:numId="119" w16cid:durableId="1702899369">
    <w:abstractNumId w:val="113"/>
  </w:num>
  <w:num w:numId="120" w16cid:durableId="1465267745">
    <w:abstractNumId w:val="147"/>
  </w:num>
  <w:num w:numId="121" w16cid:durableId="108201790">
    <w:abstractNumId w:val="6"/>
  </w:num>
  <w:num w:numId="122" w16cid:durableId="954991021">
    <w:abstractNumId w:val="253"/>
  </w:num>
  <w:num w:numId="123" w16cid:durableId="293798915">
    <w:abstractNumId w:val="70"/>
  </w:num>
  <w:num w:numId="124" w16cid:durableId="1181049276">
    <w:abstractNumId w:val="110"/>
  </w:num>
  <w:num w:numId="125" w16cid:durableId="1688100011">
    <w:abstractNumId w:val="189"/>
  </w:num>
  <w:num w:numId="126" w16cid:durableId="166334124">
    <w:abstractNumId w:val="55"/>
  </w:num>
  <w:num w:numId="127" w16cid:durableId="1002514461">
    <w:abstractNumId w:val="40"/>
  </w:num>
  <w:num w:numId="128" w16cid:durableId="1813516335">
    <w:abstractNumId w:val="76"/>
  </w:num>
  <w:num w:numId="129" w16cid:durableId="290206615">
    <w:abstractNumId w:val="81"/>
  </w:num>
  <w:num w:numId="130" w16cid:durableId="580256297">
    <w:abstractNumId w:val="39"/>
  </w:num>
  <w:num w:numId="131" w16cid:durableId="1811171154">
    <w:abstractNumId w:val="156"/>
  </w:num>
  <w:num w:numId="132" w16cid:durableId="503980772">
    <w:abstractNumId w:val="123"/>
  </w:num>
  <w:num w:numId="133" w16cid:durableId="1793328323">
    <w:abstractNumId w:val="169"/>
  </w:num>
  <w:num w:numId="134" w16cid:durableId="1011298368">
    <w:abstractNumId w:val="124"/>
  </w:num>
  <w:num w:numId="135" w16cid:durableId="316685898">
    <w:abstractNumId w:val="202"/>
  </w:num>
  <w:num w:numId="136" w16cid:durableId="1787315383">
    <w:abstractNumId w:val="179"/>
  </w:num>
  <w:num w:numId="137" w16cid:durableId="1325164968">
    <w:abstractNumId w:val="66"/>
  </w:num>
  <w:num w:numId="138" w16cid:durableId="510609464">
    <w:abstractNumId w:val="120"/>
  </w:num>
  <w:num w:numId="139" w16cid:durableId="1966766866">
    <w:abstractNumId w:val="11"/>
  </w:num>
  <w:num w:numId="140" w16cid:durableId="1019740665">
    <w:abstractNumId w:val="188"/>
  </w:num>
  <w:num w:numId="141" w16cid:durableId="1878544740">
    <w:abstractNumId w:val="69"/>
  </w:num>
  <w:num w:numId="142" w16cid:durableId="1226794550">
    <w:abstractNumId w:val="226"/>
  </w:num>
  <w:num w:numId="143" w16cid:durableId="2079402856">
    <w:abstractNumId w:val="218"/>
  </w:num>
  <w:num w:numId="144" w16cid:durableId="1016152318">
    <w:abstractNumId w:val="10"/>
  </w:num>
  <w:num w:numId="145" w16cid:durableId="932401908">
    <w:abstractNumId w:val="245"/>
  </w:num>
  <w:num w:numId="146" w16cid:durableId="1976637641">
    <w:abstractNumId w:val="103"/>
  </w:num>
  <w:num w:numId="147" w16cid:durableId="80877660">
    <w:abstractNumId w:val="240"/>
  </w:num>
  <w:num w:numId="148" w16cid:durableId="871504763">
    <w:abstractNumId w:val="268"/>
  </w:num>
  <w:num w:numId="149" w16cid:durableId="1368796529">
    <w:abstractNumId w:val="205"/>
  </w:num>
  <w:num w:numId="150" w16cid:durableId="1603297315">
    <w:abstractNumId w:val="109"/>
  </w:num>
  <w:num w:numId="151" w16cid:durableId="1949770792">
    <w:abstractNumId w:val="32"/>
  </w:num>
  <w:num w:numId="152" w16cid:durableId="1189218789">
    <w:abstractNumId w:val="248"/>
  </w:num>
  <w:num w:numId="153" w16cid:durableId="1005092478">
    <w:abstractNumId w:val="80"/>
  </w:num>
  <w:num w:numId="154" w16cid:durableId="86197741">
    <w:abstractNumId w:val="254"/>
  </w:num>
  <w:num w:numId="155" w16cid:durableId="656110428">
    <w:abstractNumId w:val="192"/>
  </w:num>
  <w:num w:numId="156" w16cid:durableId="1368945837">
    <w:abstractNumId w:val="181"/>
  </w:num>
  <w:num w:numId="157" w16cid:durableId="1357348487">
    <w:abstractNumId w:val="204"/>
  </w:num>
  <w:num w:numId="158" w16cid:durableId="1708018491">
    <w:abstractNumId w:val="216"/>
  </w:num>
  <w:num w:numId="159" w16cid:durableId="2081706262">
    <w:abstractNumId w:val="33"/>
  </w:num>
  <w:num w:numId="160" w16cid:durableId="694815581">
    <w:abstractNumId w:val="52"/>
  </w:num>
  <w:num w:numId="161" w16cid:durableId="585652616">
    <w:abstractNumId w:val="146"/>
  </w:num>
  <w:num w:numId="162" w16cid:durableId="981231665">
    <w:abstractNumId w:val="250"/>
  </w:num>
  <w:num w:numId="163" w16cid:durableId="586891903">
    <w:abstractNumId w:val="180"/>
  </w:num>
  <w:num w:numId="164" w16cid:durableId="1157724595">
    <w:abstractNumId w:val="236"/>
  </w:num>
  <w:num w:numId="165" w16cid:durableId="657076612">
    <w:abstractNumId w:val="136"/>
  </w:num>
  <w:num w:numId="166" w16cid:durableId="369770703">
    <w:abstractNumId w:val="238"/>
  </w:num>
  <w:num w:numId="167" w16cid:durableId="844589118">
    <w:abstractNumId w:val="74"/>
  </w:num>
  <w:num w:numId="168" w16cid:durableId="1379816217">
    <w:abstractNumId w:val="21"/>
  </w:num>
  <w:num w:numId="169" w16cid:durableId="1430350257">
    <w:abstractNumId w:val="266"/>
  </w:num>
  <w:num w:numId="170" w16cid:durableId="584848935">
    <w:abstractNumId w:val="257"/>
  </w:num>
  <w:num w:numId="171" w16cid:durableId="1817607316">
    <w:abstractNumId w:val="22"/>
  </w:num>
  <w:num w:numId="172" w16cid:durableId="1375614794">
    <w:abstractNumId w:val="49"/>
  </w:num>
  <w:num w:numId="173" w16cid:durableId="1058162201">
    <w:abstractNumId w:val="211"/>
  </w:num>
  <w:num w:numId="174" w16cid:durableId="716978713">
    <w:abstractNumId w:val="41"/>
  </w:num>
  <w:num w:numId="175" w16cid:durableId="1201626203">
    <w:abstractNumId w:val="184"/>
  </w:num>
  <w:num w:numId="176" w16cid:durableId="1513380018">
    <w:abstractNumId w:val="255"/>
  </w:num>
  <w:num w:numId="177" w16cid:durableId="208537431">
    <w:abstractNumId w:val="140"/>
  </w:num>
  <w:num w:numId="178" w16cid:durableId="980424652">
    <w:abstractNumId w:val="28"/>
  </w:num>
  <w:num w:numId="179" w16cid:durableId="763695028">
    <w:abstractNumId w:val="213"/>
  </w:num>
  <w:num w:numId="180" w16cid:durableId="1322663741">
    <w:abstractNumId w:val="182"/>
  </w:num>
  <w:num w:numId="181" w16cid:durableId="1817337787">
    <w:abstractNumId w:val="195"/>
  </w:num>
  <w:num w:numId="182" w16cid:durableId="1926037538">
    <w:abstractNumId w:val="104"/>
  </w:num>
  <w:num w:numId="183" w16cid:durableId="1265311367">
    <w:abstractNumId w:val="224"/>
  </w:num>
  <w:num w:numId="184" w16cid:durableId="562067109">
    <w:abstractNumId w:val="176"/>
  </w:num>
  <w:num w:numId="185" w16cid:durableId="1537697906">
    <w:abstractNumId w:val="106"/>
  </w:num>
  <w:num w:numId="186" w16cid:durableId="1464347869">
    <w:abstractNumId w:val="170"/>
  </w:num>
  <w:num w:numId="187" w16cid:durableId="496114558">
    <w:abstractNumId w:val="214"/>
  </w:num>
  <w:num w:numId="188" w16cid:durableId="795104054">
    <w:abstractNumId w:val="24"/>
  </w:num>
  <w:num w:numId="189" w16cid:durableId="896016434">
    <w:abstractNumId w:val="161"/>
  </w:num>
  <w:num w:numId="190" w16cid:durableId="1422414501">
    <w:abstractNumId w:val="119"/>
  </w:num>
  <w:num w:numId="191" w16cid:durableId="655694703">
    <w:abstractNumId w:val="78"/>
  </w:num>
  <w:num w:numId="192" w16cid:durableId="954294694">
    <w:abstractNumId w:val="203"/>
  </w:num>
  <w:num w:numId="193" w16cid:durableId="535587529">
    <w:abstractNumId w:val="197"/>
  </w:num>
  <w:num w:numId="194" w16cid:durableId="653265626">
    <w:abstractNumId w:val="7"/>
  </w:num>
  <w:num w:numId="195" w16cid:durableId="1967347861">
    <w:abstractNumId w:val="35"/>
  </w:num>
  <w:num w:numId="196" w16cid:durableId="1395659270">
    <w:abstractNumId w:val="259"/>
  </w:num>
  <w:num w:numId="197" w16cid:durableId="992566216">
    <w:abstractNumId w:val="99"/>
  </w:num>
  <w:num w:numId="198" w16cid:durableId="761412071">
    <w:abstractNumId w:val="45"/>
  </w:num>
  <w:num w:numId="199" w16cid:durableId="766006210">
    <w:abstractNumId w:val="231"/>
  </w:num>
  <w:num w:numId="200" w16cid:durableId="898981632">
    <w:abstractNumId w:val="151"/>
  </w:num>
  <w:num w:numId="201" w16cid:durableId="1068303958">
    <w:abstractNumId w:val="172"/>
  </w:num>
  <w:num w:numId="202" w16cid:durableId="1445030998">
    <w:abstractNumId w:val="241"/>
  </w:num>
  <w:num w:numId="203" w16cid:durableId="908348855">
    <w:abstractNumId w:val="137"/>
  </w:num>
  <w:num w:numId="204" w16cid:durableId="2088502550">
    <w:abstractNumId w:val="168"/>
  </w:num>
  <w:num w:numId="205" w16cid:durableId="316034105">
    <w:abstractNumId w:val="142"/>
  </w:num>
  <w:num w:numId="206" w16cid:durableId="1041899780">
    <w:abstractNumId w:val="187"/>
  </w:num>
  <w:num w:numId="207" w16cid:durableId="2068450778">
    <w:abstractNumId w:val="262"/>
  </w:num>
  <w:num w:numId="208" w16cid:durableId="2088380004">
    <w:abstractNumId w:val="64"/>
  </w:num>
  <w:num w:numId="209" w16cid:durableId="2097238333">
    <w:abstractNumId w:val="209"/>
  </w:num>
  <w:num w:numId="210" w16cid:durableId="878971940">
    <w:abstractNumId w:val="15"/>
  </w:num>
  <w:num w:numId="211" w16cid:durableId="1580091844">
    <w:abstractNumId w:val="105"/>
  </w:num>
  <w:num w:numId="212" w16cid:durableId="1360397601">
    <w:abstractNumId w:val="154"/>
  </w:num>
  <w:num w:numId="213" w16cid:durableId="1341396395">
    <w:abstractNumId w:val="210"/>
  </w:num>
  <w:num w:numId="214" w16cid:durableId="440688863">
    <w:abstractNumId w:val="62"/>
  </w:num>
  <w:num w:numId="215" w16cid:durableId="1539204134">
    <w:abstractNumId w:val="125"/>
  </w:num>
  <w:num w:numId="216" w16cid:durableId="742332185">
    <w:abstractNumId w:val="219"/>
  </w:num>
  <w:num w:numId="217" w16cid:durableId="769814710">
    <w:abstractNumId w:val="183"/>
  </w:num>
  <w:num w:numId="218" w16cid:durableId="768310597">
    <w:abstractNumId w:val="68"/>
  </w:num>
  <w:num w:numId="219" w16cid:durableId="1609847249">
    <w:abstractNumId w:val="243"/>
  </w:num>
  <w:num w:numId="220" w16cid:durableId="278755380">
    <w:abstractNumId w:val="91"/>
  </w:num>
  <w:num w:numId="221" w16cid:durableId="1051611236">
    <w:abstractNumId w:val="175"/>
  </w:num>
  <w:num w:numId="222" w16cid:durableId="250041473">
    <w:abstractNumId w:val="56"/>
  </w:num>
  <w:num w:numId="223" w16cid:durableId="1217815858">
    <w:abstractNumId w:val="17"/>
  </w:num>
  <w:num w:numId="224" w16cid:durableId="1137533008">
    <w:abstractNumId w:val="260"/>
  </w:num>
  <w:num w:numId="225" w16cid:durableId="38283513">
    <w:abstractNumId w:val="194"/>
  </w:num>
  <w:num w:numId="226" w16cid:durableId="677654062">
    <w:abstractNumId w:val="215"/>
  </w:num>
  <w:num w:numId="227" w16cid:durableId="911624216">
    <w:abstractNumId w:val="72"/>
  </w:num>
  <w:num w:numId="228" w16cid:durableId="1281763538">
    <w:abstractNumId w:val="36"/>
  </w:num>
  <w:num w:numId="229" w16cid:durableId="1176044341">
    <w:abstractNumId w:val="220"/>
  </w:num>
  <w:num w:numId="230" w16cid:durableId="1884291841">
    <w:abstractNumId w:val="207"/>
  </w:num>
  <w:num w:numId="231" w16cid:durableId="701857117">
    <w:abstractNumId w:val="212"/>
  </w:num>
  <w:num w:numId="232" w16cid:durableId="242492766">
    <w:abstractNumId w:val="114"/>
  </w:num>
  <w:num w:numId="233" w16cid:durableId="2106993100">
    <w:abstractNumId w:val="246"/>
  </w:num>
  <w:num w:numId="234" w16cid:durableId="618488614">
    <w:abstractNumId w:val="251"/>
  </w:num>
  <w:num w:numId="235" w16cid:durableId="611666474">
    <w:abstractNumId w:val="2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6" w16cid:durableId="1687906888">
    <w:abstractNumId w:val="1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7" w16cid:durableId="51582393">
    <w:abstractNumId w:val="53"/>
  </w:num>
  <w:num w:numId="238" w16cid:durableId="1986202975">
    <w:abstractNumId w:val="98"/>
  </w:num>
  <w:num w:numId="239" w16cid:durableId="1861157846">
    <w:abstractNumId w:val="150"/>
  </w:num>
  <w:num w:numId="240" w16cid:durableId="527720352">
    <w:abstractNumId w:val="190"/>
  </w:num>
  <w:num w:numId="241" w16cid:durableId="1300305869">
    <w:abstractNumId w:val="117"/>
  </w:num>
  <w:num w:numId="242" w16cid:durableId="1136022583">
    <w:abstractNumId w:val="13"/>
  </w:num>
  <w:num w:numId="243" w16cid:durableId="35468042">
    <w:abstractNumId w:val="239"/>
  </w:num>
  <w:num w:numId="244" w16cid:durableId="1705059128">
    <w:abstractNumId w:val="159"/>
  </w:num>
  <w:num w:numId="245" w16cid:durableId="1323116831">
    <w:abstractNumId w:val="264"/>
  </w:num>
  <w:num w:numId="246" w16cid:durableId="1796630645">
    <w:abstractNumId w:val="30"/>
  </w:num>
  <w:num w:numId="247" w16cid:durableId="522524695">
    <w:abstractNumId w:val="261"/>
  </w:num>
  <w:num w:numId="248" w16cid:durableId="69742109">
    <w:abstractNumId w:val="57"/>
  </w:num>
  <w:num w:numId="249" w16cid:durableId="1604649217">
    <w:abstractNumId w:val="130"/>
  </w:num>
  <w:num w:numId="250" w16cid:durableId="1312904444">
    <w:abstractNumId w:val="162"/>
  </w:num>
  <w:num w:numId="251" w16cid:durableId="292291934">
    <w:abstractNumId w:val="186"/>
  </w:num>
  <w:num w:numId="252" w16cid:durableId="341586032">
    <w:abstractNumId w:val="185"/>
  </w:num>
  <w:num w:numId="253" w16cid:durableId="1953317674">
    <w:abstractNumId w:val="242"/>
  </w:num>
  <w:num w:numId="254" w16cid:durableId="1431848581">
    <w:abstractNumId w:val="84"/>
  </w:num>
  <w:num w:numId="255" w16cid:durableId="951398552">
    <w:abstractNumId w:val="77"/>
  </w:num>
  <w:num w:numId="256" w16cid:durableId="364871194">
    <w:abstractNumId w:val="116"/>
  </w:num>
  <w:num w:numId="257" w16cid:durableId="1528909565">
    <w:abstractNumId w:val="18"/>
  </w:num>
  <w:num w:numId="258" w16cid:durableId="304631081">
    <w:abstractNumId w:val="230"/>
  </w:num>
  <w:num w:numId="259" w16cid:durableId="1933246854">
    <w:abstractNumId w:val="133"/>
  </w:num>
  <w:num w:numId="260" w16cid:durableId="970523712">
    <w:abstractNumId w:val="155"/>
  </w:num>
  <w:num w:numId="261" w16cid:durableId="1793742562">
    <w:abstractNumId w:val="201"/>
  </w:num>
  <w:num w:numId="262" w16cid:durableId="234822454">
    <w:abstractNumId w:val="61"/>
  </w:num>
  <w:numIdMacAtCleanup w:val="253"/>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CMCC">
    <w15:presenceInfo w15:providerId="None" w15:userId="CMCC"/>
  </w15:person>
  <w15:person w15:author="Yushu Zhang">
    <w15:presenceInfo w15:providerId="None" w15:userId="Yushu Zhang"/>
  </w15:person>
  <w15:person w15:author="Zhangjiayin">
    <w15:presenceInfo w15:providerId="AD" w15:userId="S-1-5-21-147214757-305610072-1517763936-250592"/>
  </w15:person>
  <w15:person w15:author="Author">
    <w15:presenceInfo w15:providerId="None" w15:userId="Author"/>
  </w15:person>
  <w15:person w15:author="Moderator(Huawei)">
    <w15:presenceInfo w15:providerId="None" w15:userId="Moderator(Huawei)"/>
  </w15:person>
  <w15:person w15:author="David mazzarese">
    <w15:presenceInfo w15:providerId="None" w15:userId="David mazzarese"/>
  </w15:person>
  <w15:person w15:author="vivo">
    <w15:presenceInfo w15:providerId="Windows Live" w15:userId="6385397d0b85fedf"/>
  </w15:person>
  <w15:person w15:author="Kevin Lin">
    <w15:presenceInfo w15:providerId="None" w15:userId="Kevin Lin"/>
  </w15:person>
  <w15:person w15:author="ZTE-Mengzhen">
    <w15:presenceInfo w15:providerId="None" w15:userId="ZTE-Mengzhen"/>
  </w15:person>
  <w15:person w15:author="Lee, Daewon">
    <w15:presenceInfo w15:providerId="None" w15:userId="Lee, Daewon"/>
  </w15:person>
  <w15:person w15:author="CATT">
    <w15:presenceInfo w15:providerId="None" w15:userId="CATT"/>
  </w15:person>
  <w15:person w15:author="Patrick Merias">
    <w15:presenceInfo w15:providerId="AD" w15:userId="S-1-5-21-296418820-4275901660-1935932037-1002"/>
  </w15:person>
  <w15:person w15:author="Mihai Enescu">
    <w15:presenceInfo w15:providerId="None" w15:userId="Mihai Enescu"/>
  </w15:person>
  <w15:person w15:author="CATT - Ren Da">
    <w15:presenceInfo w15:providerId="None" w15:userId="CATT - Ren Da"/>
  </w15:person>
  <w15:person w15:author="Xiajinhuan">
    <w15:presenceInfo w15:providerId="AD" w15:userId="S-1-5-21-147214757-305610072-1517763936-969110"/>
  </w15:person>
  <w15:person w15:author="Florent Munier">
    <w15:presenceInfo w15:providerId="None" w15:userId="Florent Munier"/>
  </w15:person>
  <w15:person w15:author="Seonwook Kim">
    <w15:presenceInfo w15:providerId="None" w15:userId="Seonwook Kim"/>
  </w15:person>
  <w15:person w15:author="Stephen Grant">
    <w15:presenceInfo w15:providerId="AD" w15:userId="S::stephen.grant@ericsson.com::d918c8d1-e30c-4135-b596-ec8489a32f16"/>
  </w15:person>
  <w15:person w15:author="ZTE">
    <w15:presenceInfo w15:providerId="None" w15:userId="ZTE"/>
  </w15:person>
  <w15:person w15:author="1">
    <w15:presenceInfo w15:providerId="None" w15:userId="1"/>
  </w15:person>
  <w15:person w15:author="CTC">
    <w15:presenceInfo w15:providerId="None" w15:userId="CTC"/>
  </w15:person>
  <w15:person w15:author="作成者">
    <w15:presenceInfo w15:providerId="None" w15:userId="作成者"/>
  </w15:person>
  <w15:person w15:author="Huawei">
    <w15:presenceInfo w15:providerId="None" w15:userId="Huawei"/>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isplayBackgroundShape/>
  <w:activeWritingStyle w:appName="MSWord" w:lang="en-GB" w:vendorID="64" w:dllVersion="6" w:nlCheck="1" w:checkStyle="1"/>
  <w:activeWritingStyle w:appName="MSWord" w:lang="en-AU" w:vendorID="64" w:dllVersion="6" w:nlCheck="1" w:checkStyle="1"/>
  <w:activeWritingStyle w:appName="MSWord" w:lang="fr-CA" w:vendorID="64" w:dllVersion="6" w:nlCheck="1" w:checkStyle="1"/>
  <w:activeWritingStyle w:appName="MSWord" w:lang="en-US" w:vendorID="64" w:dllVersion="6" w:nlCheck="1" w:checkStyle="1"/>
  <w:activeWritingStyle w:appName="MSWord" w:lang="es-ES" w:vendorID="64" w:dllVersion="6" w:nlCheck="1" w:checkStyle="1"/>
  <w:activeWritingStyle w:appName="MSWord" w:lang="fr-FR" w:vendorID="64" w:dllVersion="6" w:nlCheck="1" w:checkStyle="1"/>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ctiveWritingStyle w:appName="MSWord" w:lang="de-DE"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720"/>
  <w:characterSpacingControl w:val="doNotCompress"/>
  <w:hdrShapeDefaults>
    <o:shapedefaults v:ext="edit" spidmax="2473"/>
  </w:hdrShapeDefaults>
  <w:footnotePr>
    <w:footnote w:id="-1"/>
    <w:footnote w:id="0"/>
  </w:footnotePr>
  <w:endnotePr>
    <w:endnote w:id="-1"/>
    <w:endnote w:id="0"/>
  </w:endnotePr>
  <w:compat>
    <w:useFELayout/>
    <w:compatSetting w:name="compatibilityMode" w:uri="http://schemas.microsoft.com/office/word" w:val="12"/>
    <w:compatSetting w:name="useWord2013TrackBottomHyphenation" w:uri="http://schemas.microsoft.com/office/word" w:val="1"/>
  </w:compat>
  <w:rsids>
    <w:rsidRoot w:val="00DB758A"/>
    <w:rsid w:val="0000011E"/>
    <w:rsid w:val="0000013F"/>
    <w:rsid w:val="00000238"/>
    <w:rsid w:val="00000339"/>
    <w:rsid w:val="0000046A"/>
    <w:rsid w:val="00000491"/>
    <w:rsid w:val="000004A3"/>
    <w:rsid w:val="00000609"/>
    <w:rsid w:val="000008A4"/>
    <w:rsid w:val="00000913"/>
    <w:rsid w:val="0000099A"/>
    <w:rsid w:val="00000CD3"/>
    <w:rsid w:val="00000DDC"/>
    <w:rsid w:val="000011FF"/>
    <w:rsid w:val="00001387"/>
    <w:rsid w:val="00001808"/>
    <w:rsid w:val="00001983"/>
    <w:rsid w:val="00001BCD"/>
    <w:rsid w:val="00001C57"/>
    <w:rsid w:val="00001D44"/>
    <w:rsid w:val="00001F3B"/>
    <w:rsid w:val="00001F4E"/>
    <w:rsid w:val="00001F7B"/>
    <w:rsid w:val="00002390"/>
    <w:rsid w:val="00002523"/>
    <w:rsid w:val="00002561"/>
    <w:rsid w:val="0000260F"/>
    <w:rsid w:val="00002618"/>
    <w:rsid w:val="0000264D"/>
    <w:rsid w:val="000026FC"/>
    <w:rsid w:val="00002762"/>
    <w:rsid w:val="00002767"/>
    <w:rsid w:val="000028AB"/>
    <w:rsid w:val="0000299C"/>
    <w:rsid w:val="00002B32"/>
    <w:rsid w:val="00002BB0"/>
    <w:rsid w:val="00002C6E"/>
    <w:rsid w:val="00002D28"/>
    <w:rsid w:val="00002F18"/>
    <w:rsid w:val="00002F83"/>
    <w:rsid w:val="000031A3"/>
    <w:rsid w:val="0000356D"/>
    <w:rsid w:val="00003945"/>
    <w:rsid w:val="000039F5"/>
    <w:rsid w:val="00003BE6"/>
    <w:rsid w:val="00003DC8"/>
    <w:rsid w:val="00003DE5"/>
    <w:rsid w:val="00003F1D"/>
    <w:rsid w:val="00004006"/>
    <w:rsid w:val="000040E7"/>
    <w:rsid w:val="00004111"/>
    <w:rsid w:val="000041DF"/>
    <w:rsid w:val="00004223"/>
    <w:rsid w:val="00004430"/>
    <w:rsid w:val="000044A0"/>
    <w:rsid w:val="000044DF"/>
    <w:rsid w:val="00004720"/>
    <w:rsid w:val="00004723"/>
    <w:rsid w:val="000047F2"/>
    <w:rsid w:val="000049C7"/>
    <w:rsid w:val="00004A38"/>
    <w:rsid w:val="00004E35"/>
    <w:rsid w:val="00004E6C"/>
    <w:rsid w:val="00005177"/>
    <w:rsid w:val="0000518F"/>
    <w:rsid w:val="000053C5"/>
    <w:rsid w:val="00005919"/>
    <w:rsid w:val="00005AA6"/>
    <w:rsid w:val="00005C1F"/>
    <w:rsid w:val="00005E1D"/>
    <w:rsid w:val="0000633D"/>
    <w:rsid w:val="00006341"/>
    <w:rsid w:val="000063DE"/>
    <w:rsid w:val="00006779"/>
    <w:rsid w:val="000067D7"/>
    <w:rsid w:val="000068B9"/>
    <w:rsid w:val="00006E6F"/>
    <w:rsid w:val="00006E91"/>
    <w:rsid w:val="0000704A"/>
    <w:rsid w:val="0000704F"/>
    <w:rsid w:val="00007156"/>
    <w:rsid w:val="0000718E"/>
    <w:rsid w:val="00007236"/>
    <w:rsid w:val="0000724F"/>
    <w:rsid w:val="00007449"/>
    <w:rsid w:val="000078AF"/>
    <w:rsid w:val="00007A57"/>
    <w:rsid w:val="00007B1B"/>
    <w:rsid w:val="00007B55"/>
    <w:rsid w:val="00007C8B"/>
    <w:rsid w:val="00007CD7"/>
    <w:rsid w:val="00007DCB"/>
    <w:rsid w:val="00007DD1"/>
    <w:rsid w:val="00007E17"/>
    <w:rsid w:val="00007EDD"/>
    <w:rsid w:val="00007EFB"/>
    <w:rsid w:val="00007FAA"/>
    <w:rsid w:val="0001040C"/>
    <w:rsid w:val="00010432"/>
    <w:rsid w:val="0001043D"/>
    <w:rsid w:val="0001083D"/>
    <w:rsid w:val="000108E2"/>
    <w:rsid w:val="00010A17"/>
    <w:rsid w:val="00010D11"/>
    <w:rsid w:val="00010E5E"/>
    <w:rsid w:val="00010EA4"/>
    <w:rsid w:val="00010EB9"/>
    <w:rsid w:val="00010F11"/>
    <w:rsid w:val="000110D0"/>
    <w:rsid w:val="00011137"/>
    <w:rsid w:val="00011365"/>
    <w:rsid w:val="00011381"/>
    <w:rsid w:val="000114A0"/>
    <w:rsid w:val="000115EB"/>
    <w:rsid w:val="00011614"/>
    <w:rsid w:val="00011697"/>
    <w:rsid w:val="000117A7"/>
    <w:rsid w:val="00011833"/>
    <w:rsid w:val="000119D3"/>
    <w:rsid w:val="00011DBA"/>
    <w:rsid w:val="00011E0A"/>
    <w:rsid w:val="00011E10"/>
    <w:rsid w:val="00011E5B"/>
    <w:rsid w:val="0001205D"/>
    <w:rsid w:val="00012099"/>
    <w:rsid w:val="000120A3"/>
    <w:rsid w:val="000121E6"/>
    <w:rsid w:val="0001222C"/>
    <w:rsid w:val="000122B2"/>
    <w:rsid w:val="000123AB"/>
    <w:rsid w:val="000123C0"/>
    <w:rsid w:val="00012595"/>
    <w:rsid w:val="0001285D"/>
    <w:rsid w:val="00012D15"/>
    <w:rsid w:val="00012F0D"/>
    <w:rsid w:val="00012F9C"/>
    <w:rsid w:val="00012FC5"/>
    <w:rsid w:val="000136EA"/>
    <w:rsid w:val="00013744"/>
    <w:rsid w:val="00013758"/>
    <w:rsid w:val="00013A5B"/>
    <w:rsid w:val="00013A9A"/>
    <w:rsid w:val="00013B03"/>
    <w:rsid w:val="00013BE4"/>
    <w:rsid w:val="00013C6D"/>
    <w:rsid w:val="00013F19"/>
    <w:rsid w:val="00013F78"/>
    <w:rsid w:val="00014021"/>
    <w:rsid w:val="00014186"/>
    <w:rsid w:val="0001418A"/>
    <w:rsid w:val="00014253"/>
    <w:rsid w:val="000144D9"/>
    <w:rsid w:val="000144E8"/>
    <w:rsid w:val="0001452A"/>
    <w:rsid w:val="000146A5"/>
    <w:rsid w:val="00014724"/>
    <w:rsid w:val="000149B3"/>
    <w:rsid w:val="00014D5A"/>
    <w:rsid w:val="00014E55"/>
    <w:rsid w:val="00014F90"/>
    <w:rsid w:val="00015031"/>
    <w:rsid w:val="000150B2"/>
    <w:rsid w:val="0001512C"/>
    <w:rsid w:val="00015149"/>
    <w:rsid w:val="00015297"/>
    <w:rsid w:val="0001565D"/>
    <w:rsid w:val="00015795"/>
    <w:rsid w:val="000159DA"/>
    <w:rsid w:val="00015AF0"/>
    <w:rsid w:val="00015B19"/>
    <w:rsid w:val="00015CB8"/>
    <w:rsid w:val="00015DEA"/>
    <w:rsid w:val="00015E45"/>
    <w:rsid w:val="00015F1B"/>
    <w:rsid w:val="00015F37"/>
    <w:rsid w:val="00015FB9"/>
    <w:rsid w:val="00015FFD"/>
    <w:rsid w:val="0001631F"/>
    <w:rsid w:val="00016330"/>
    <w:rsid w:val="00016391"/>
    <w:rsid w:val="00016466"/>
    <w:rsid w:val="00016716"/>
    <w:rsid w:val="0001673B"/>
    <w:rsid w:val="00016752"/>
    <w:rsid w:val="0001698A"/>
    <w:rsid w:val="00016A20"/>
    <w:rsid w:val="00016ACC"/>
    <w:rsid w:val="00016AFA"/>
    <w:rsid w:val="00016C00"/>
    <w:rsid w:val="00016CD2"/>
    <w:rsid w:val="00016DAF"/>
    <w:rsid w:val="00016FE7"/>
    <w:rsid w:val="00017000"/>
    <w:rsid w:val="000172E3"/>
    <w:rsid w:val="00017304"/>
    <w:rsid w:val="00017317"/>
    <w:rsid w:val="0001784F"/>
    <w:rsid w:val="00017CC7"/>
    <w:rsid w:val="00017E12"/>
    <w:rsid w:val="0002018B"/>
    <w:rsid w:val="00020268"/>
    <w:rsid w:val="000203FF"/>
    <w:rsid w:val="00020654"/>
    <w:rsid w:val="000207B2"/>
    <w:rsid w:val="000209B3"/>
    <w:rsid w:val="00020A26"/>
    <w:rsid w:val="00020A60"/>
    <w:rsid w:val="00020AC6"/>
    <w:rsid w:val="00020CD1"/>
    <w:rsid w:val="00020CF1"/>
    <w:rsid w:val="00020DC6"/>
    <w:rsid w:val="00020DFB"/>
    <w:rsid w:val="00020E44"/>
    <w:rsid w:val="00020E67"/>
    <w:rsid w:val="000210CE"/>
    <w:rsid w:val="00021374"/>
    <w:rsid w:val="00021426"/>
    <w:rsid w:val="000214FC"/>
    <w:rsid w:val="0002154C"/>
    <w:rsid w:val="00021561"/>
    <w:rsid w:val="000216DF"/>
    <w:rsid w:val="000217B1"/>
    <w:rsid w:val="000217EF"/>
    <w:rsid w:val="00021820"/>
    <w:rsid w:val="00021869"/>
    <w:rsid w:val="000218A9"/>
    <w:rsid w:val="000218E4"/>
    <w:rsid w:val="00021A29"/>
    <w:rsid w:val="00021C49"/>
    <w:rsid w:val="00021CE4"/>
    <w:rsid w:val="00021D2B"/>
    <w:rsid w:val="00021E0C"/>
    <w:rsid w:val="0002224E"/>
    <w:rsid w:val="00022329"/>
    <w:rsid w:val="00022370"/>
    <w:rsid w:val="00022531"/>
    <w:rsid w:val="00022616"/>
    <w:rsid w:val="0002270B"/>
    <w:rsid w:val="00022869"/>
    <w:rsid w:val="000228F8"/>
    <w:rsid w:val="000229FB"/>
    <w:rsid w:val="00022A86"/>
    <w:rsid w:val="00022CEB"/>
    <w:rsid w:val="00022D5C"/>
    <w:rsid w:val="00022DFC"/>
    <w:rsid w:val="00022F1D"/>
    <w:rsid w:val="00022F69"/>
    <w:rsid w:val="00023308"/>
    <w:rsid w:val="000233A9"/>
    <w:rsid w:val="00023467"/>
    <w:rsid w:val="00023468"/>
    <w:rsid w:val="000237CF"/>
    <w:rsid w:val="00023B08"/>
    <w:rsid w:val="00023B25"/>
    <w:rsid w:val="00023B76"/>
    <w:rsid w:val="00023E81"/>
    <w:rsid w:val="00024121"/>
    <w:rsid w:val="00024216"/>
    <w:rsid w:val="000242C4"/>
    <w:rsid w:val="0002454E"/>
    <w:rsid w:val="000245BD"/>
    <w:rsid w:val="0002461B"/>
    <w:rsid w:val="000247E6"/>
    <w:rsid w:val="000248F8"/>
    <w:rsid w:val="00024A93"/>
    <w:rsid w:val="00024ABE"/>
    <w:rsid w:val="00024B1C"/>
    <w:rsid w:val="00024B8A"/>
    <w:rsid w:val="00024DBA"/>
    <w:rsid w:val="00024F96"/>
    <w:rsid w:val="00024FFC"/>
    <w:rsid w:val="00025028"/>
    <w:rsid w:val="00025078"/>
    <w:rsid w:val="00025150"/>
    <w:rsid w:val="000251A7"/>
    <w:rsid w:val="000252A8"/>
    <w:rsid w:val="000252C3"/>
    <w:rsid w:val="0002552A"/>
    <w:rsid w:val="00025930"/>
    <w:rsid w:val="0002595F"/>
    <w:rsid w:val="00025AEF"/>
    <w:rsid w:val="00025B9D"/>
    <w:rsid w:val="00025FE6"/>
    <w:rsid w:val="000261F5"/>
    <w:rsid w:val="000262BB"/>
    <w:rsid w:val="00026421"/>
    <w:rsid w:val="00026440"/>
    <w:rsid w:val="0002694C"/>
    <w:rsid w:val="00026B4C"/>
    <w:rsid w:val="00026C21"/>
    <w:rsid w:val="00026C93"/>
    <w:rsid w:val="00026EA0"/>
    <w:rsid w:val="00026F49"/>
    <w:rsid w:val="00026F68"/>
    <w:rsid w:val="00026FB8"/>
    <w:rsid w:val="00026FC9"/>
    <w:rsid w:val="0002706D"/>
    <w:rsid w:val="000270FA"/>
    <w:rsid w:val="00027176"/>
    <w:rsid w:val="00027184"/>
    <w:rsid w:val="00027236"/>
    <w:rsid w:val="000272D7"/>
    <w:rsid w:val="0002731D"/>
    <w:rsid w:val="00027560"/>
    <w:rsid w:val="00027848"/>
    <w:rsid w:val="00027A38"/>
    <w:rsid w:val="00027C05"/>
    <w:rsid w:val="00027C52"/>
    <w:rsid w:val="00027EA6"/>
    <w:rsid w:val="0003013B"/>
    <w:rsid w:val="0003027C"/>
    <w:rsid w:val="000302E5"/>
    <w:rsid w:val="000302FB"/>
    <w:rsid w:val="00030491"/>
    <w:rsid w:val="00030579"/>
    <w:rsid w:val="000305AD"/>
    <w:rsid w:val="00030600"/>
    <w:rsid w:val="00030656"/>
    <w:rsid w:val="00030673"/>
    <w:rsid w:val="00030808"/>
    <w:rsid w:val="00030857"/>
    <w:rsid w:val="00030A34"/>
    <w:rsid w:val="00030B05"/>
    <w:rsid w:val="00030BD6"/>
    <w:rsid w:val="00030C5B"/>
    <w:rsid w:val="00030D25"/>
    <w:rsid w:val="00030D98"/>
    <w:rsid w:val="00030DAD"/>
    <w:rsid w:val="00030E10"/>
    <w:rsid w:val="00030E1B"/>
    <w:rsid w:val="00030E8C"/>
    <w:rsid w:val="00030F4C"/>
    <w:rsid w:val="0003103E"/>
    <w:rsid w:val="00031054"/>
    <w:rsid w:val="00031057"/>
    <w:rsid w:val="0003111F"/>
    <w:rsid w:val="0003129F"/>
    <w:rsid w:val="000313F3"/>
    <w:rsid w:val="000314C8"/>
    <w:rsid w:val="00031733"/>
    <w:rsid w:val="00031755"/>
    <w:rsid w:val="000317FD"/>
    <w:rsid w:val="000319B9"/>
    <w:rsid w:val="00031A2E"/>
    <w:rsid w:val="00031A99"/>
    <w:rsid w:val="00031CDD"/>
    <w:rsid w:val="00032046"/>
    <w:rsid w:val="000320F5"/>
    <w:rsid w:val="00032241"/>
    <w:rsid w:val="000322D0"/>
    <w:rsid w:val="0003230C"/>
    <w:rsid w:val="0003242A"/>
    <w:rsid w:val="00032716"/>
    <w:rsid w:val="0003273A"/>
    <w:rsid w:val="0003277F"/>
    <w:rsid w:val="00032A11"/>
    <w:rsid w:val="00032B5F"/>
    <w:rsid w:val="00032B72"/>
    <w:rsid w:val="00032D06"/>
    <w:rsid w:val="00032D4E"/>
    <w:rsid w:val="00032E77"/>
    <w:rsid w:val="00032E94"/>
    <w:rsid w:val="00033039"/>
    <w:rsid w:val="00033197"/>
    <w:rsid w:val="0003324A"/>
    <w:rsid w:val="000334DE"/>
    <w:rsid w:val="000336E9"/>
    <w:rsid w:val="000338CE"/>
    <w:rsid w:val="0003394D"/>
    <w:rsid w:val="00033A59"/>
    <w:rsid w:val="00033C77"/>
    <w:rsid w:val="000341B7"/>
    <w:rsid w:val="000343AF"/>
    <w:rsid w:val="000345AE"/>
    <w:rsid w:val="00034845"/>
    <w:rsid w:val="000348A1"/>
    <w:rsid w:val="00034A22"/>
    <w:rsid w:val="00034A58"/>
    <w:rsid w:val="00034A5C"/>
    <w:rsid w:val="00034B93"/>
    <w:rsid w:val="00034C5E"/>
    <w:rsid w:val="00034CC1"/>
    <w:rsid w:val="00034DDA"/>
    <w:rsid w:val="00035052"/>
    <w:rsid w:val="00035214"/>
    <w:rsid w:val="0003523E"/>
    <w:rsid w:val="000352B5"/>
    <w:rsid w:val="000352C1"/>
    <w:rsid w:val="0003551D"/>
    <w:rsid w:val="000356AE"/>
    <w:rsid w:val="0003574E"/>
    <w:rsid w:val="000358ED"/>
    <w:rsid w:val="00035B2F"/>
    <w:rsid w:val="00035C5E"/>
    <w:rsid w:val="00035DD0"/>
    <w:rsid w:val="00035DE3"/>
    <w:rsid w:val="00035EC6"/>
    <w:rsid w:val="00036244"/>
    <w:rsid w:val="00036451"/>
    <w:rsid w:val="0003652E"/>
    <w:rsid w:val="00036580"/>
    <w:rsid w:val="000366BE"/>
    <w:rsid w:val="00036715"/>
    <w:rsid w:val="00036761"/>
    <w:rsid w:val="000368CC"/>
    <w:rsid w:val="000369F3"/>
    <w:rsid w:val="00036B18"/>
    <w:rsid w:val="00036CB7"/>
    <w:rsid w:val="00036CE4"/>
    <w:rsid w:val="00036DBD"/>
    <w:rsid w:val="000370C2"/>
    <w:rsid w:val="000370F9"/>
    <w:rsid w:val="00037246"/>
    <w:rsid w:val="000372C7"/>
    <w:rsid w:val="000372EF"/>
    <w:rsid w:val="000374F5"/>
    <w:rsid w:val="000375D7"/>
    <w:rsid w:val="000375FD"/>
    <w:rsid w:val="00037679"/>
    <w:rsid w:val="00037829"/>
    <w:rsid w:val="00037970"/>
    <w:rsid w:val="00037996"/>
    <w:rsid w:val="00037A5A"/>
    <w:rsid w:val="00037C00"/>
    <w:rsid w:val="00037E76"/>
    <w:rsid w:val="0004004A"/>
    <w:rsid w:val="000400A1"/>
    <w:rsid w:val="00040120"/>
    <w:rsid w:val="0004034C"/>
    <w:rsid w:val="00040666"/>
    <w:rsid w:val="0004066F"/>
    <w:rsid w:val="000406E5"/>
    <w:rsid w:val="00040893"/>
    <w:rsid w:val="00040931"/>
    <w:rsid w:val="00040C86"/>
    <w:rsid w:val="000410F4"/>
    <w:rsid w:val="0004118B"/>
    <w:rsid w:val="000411DE"/>
    <w:rsid w:val="00041322"/>
    <w:rsid w:val="00041362"/>
    <w:rsid w:val="000413A7"/>
    <w:rsid w:val="00041452"/>
    <w:rsid w:val="000414CA"/>
    <w:rsid w:val="000416A3"/>
    <w:rsid w:val="000416F6"/>
    <w:rsid w:val="0004177A"/>
    <w:rsid w:val="00041882"/>
    <w:rsid w:val="000418D0"/>
    <w:rsid w:val="00041A80"/>
    <w:rsid w:val="00041AF5"/>
    <w:rsid w:val="00041C31"/>
    <w:rsid w:val="00041D0A"/>
    <w:rsid w:val="00041D5B"/>
    <w:rsid w:val="00041E0A"/>
    <w:rsid w:val="00041F03"/>
    <w:rsid w:val="00041FCE"/>
    <w:rsid w:val="00041FF8"/>
    <w:rsid w:val="0004205D"/>
    <w:rsid w:val="000423DC"/>
    <w:rsid w:val="00042438"/>
    <w:rsid w:val="00042447"/>
    <w:rsid w:val="00042496"/>
    <w:rsid w:val="00042771"/>
    <w:rsid w:val="000428DC"/>
    <w:rsid w:val="00042C08"/>
    <w:rsid w:val="00042C35"/>
    <w:rsid w:val="00042DE2"/>
    <w:rsid w:val="00042E8F"/>
    <w:rsid w:val="00042FD7"/>
    <w:rsid w:val="0004307B"/>
    <w:rsid w:val="00043149"/>
    <w:rsid w:val="000433BD"/>
    <w:rsid w:val="000433E2"/>
    <w:rsid w:val="00043425"/>
    <w:rsid w:val="000435F2"/>
    <w:rsid w:val="00043615"/>
    <w:rsid w:val="000438EF"/>
    <w:rsid w:val="000439FD"/>
    <w:rsid w:val="00043CAB"/>
    <w:rsid w:val="00043D37"/>
    <w:rsid w:val="0004406F"/>
    <w:rsid w:val="000440AF"/>
    <w:rsid w:val="000441BC"/>
    <w:rsid w:val="0004431B"/>
    <w:rsid w:val="0004431F"/>
    <w:rsid w:val="00044469"/>
    <w:rsid w:val="000444A6"/>
    <w:rsid w:val="0004453A"/>
    <w:rsid w:val="000445D5"/>
    <w:rsid w:val="0004466E"/>
    <w:rsid w:val="00044671"/>
    <w:rsid w:val="00044675"/>
    <w:rsid w:val="00044676"/>
    <w:rsid w:val="00044739"/>
    <w:rsid w:val="000447A7"/>
    <w:rsid w:val="00044839"/>
    <w:rsid w:val="00044ABA"/>
    <w:rsid w:val="00044BC5"/>
    <w:rsid w:val="00044C27"/>
    <w:rsid w:val="00044CB1"/>
    <w:rsid w:val="00044D18"/>
    <w:rsid w:val="00044DD3"/>
    <w:rsid w:val="00044E04"/>
    <w:rsid w:val="00044E41"/>
    <w:rsid w:val="00044F78"/>
    <w:rsid w:val="0004513F"/>
    <w:rsid w:val="0004582A"/>
    <w:rsid w:val="00045AA3"/>
    <w:rsid w:val="00045B07"/>
    <w:rsid w:val="00045BB7"/>
    <w:rsid w:val="00046194"/>
    <w:rsid w:val="000461DB"/>
    <w:rsid w:val="00046208"/>
    <w:rsid w:val="0004641B"/>
    <w:rsid w:val="00046463"/>
    <w:rsid w:val="00046502"/>
    <w:rsid w:val="000468FF"/>
    <w:rsid w:val="00046AC0"/>
    <w:rsid w:val="00046C95"/>
    <w:rsid w:val="00046CFC"/>
    <w:rsid w:val="0004707A"/>
    <w:rsid w:val="00047083"/>
    <w:rsid w:val="000472EE"/>
    <w:rsid w:val="00047315"/>
    <w:rsid w:val="0004734B"/>
    <w:rsid w:val="0004737C"/>
    <w:rsid w:val="0004764D"/>
    <w:rsid w:val="000477BA"/>
    <w:rsid w:val="00047813"/>
    <w:rsid w:val="00047889"/>
    <w:rsid w:val="00047950"/>
    <w:rsid w:val="00047A0F"/>
    <w:rsid w:val="00047BC1"/>
    <w:rsid w:val="00047CEE"/>
    <w:rsid w:val="00047CFD"/>
    <w:rsid w:val="00047E19"/>
    <w:rsid w:val="000501AA"/>
    <w:rsid w:val="0005028F"/>
    <w:rsid w:val="00050538"/>
    <w:rsid w:val="00050682"/>
    <w:rsid w:val="00050991"/>
    <w:rsid w:val="00050A2C"/>
    <w:rsid w:val="00050A54"/>
    <w:rsid w:val="00050AC9"/>
    <w:rsid w:val="00050CF1"/>
    <w:rsid w:val="00050D36"/>
    <w:rsid w:val="0005108D"/>
    <w:rsid w:val="000510CE"/>
    <w:rsid w:val="000511DF"/>
    <w:rsid w:val="000512A1"/>
    <w:rsid w:val="000514D1"/>
    <w:rsid w:val="00051552"/>
    <w:rsid w:val="000515A4"/>
    <w:rsid w:val="000516F4"/>
    <w:rsid w:val="0005182A"/>
    <w:rsid w:val="00051A2F"/>
    <w:rsid w:val="00051D25"/>
    <w:rsid w:val="0005245A"/>
    <w:rsid w:val="0005254D"/>
    <w:rsid w:val="000525CD"/>
    <w:rsid w:val="00052658"/>
    <w:rsid w:val="000526BA"/>
    <w:rsid w:val="00052758"/>
    <w:rsid w:val="000527B1"/>
    <w:rsid w:val="000528FB"/>
    <w:rsid w:val="000529D2"/>
    <w:rsid w:val="00052AEF"/>
    <w:rsid w:val="00052BBF"/>
    <w:rsid w:val="00052D60"/>
    <w:rsid w:val="00052E98"/>
    <w:rsid w:val="00052E9E"/>
    <w:rsid w:val="000531C9"/>
    <w:rsid w:val="0005321A"/>
    <w:rsid w:val="00053300"/>
    <w:rsid w:val="000534D6"/>
    <w:rsid w:val="000536E7"/>
    <w:rsid w:val="00053CB7"/>
    <w:rsid w:val="00053D96"/>
    <w:rsid w:val="00053E7C"/>
    <w:rsid w:val="0005407C"/>
    <w:rsid w:val="000542D6"/>
    <w:rsid w:val="00054352"/>
    <w:rsid w:val="00054379"/>
    <w:rsid w:val="000543C3"/>
    <w:rsid w:val="0005449F"/>
    <w:rsid w:val="00054982"/>
    <w:rsid w:val="00054A7D"/>
    <w:rsid w:val="00054AB3"/>
    <w:rsid w:val="00054D11"/>
    <w:rsid w:val="00054F40"/>
    <w:rsid w:val="000550DD"/>
    <w:rsid w:val="000552C2"/>
    <w:rsid w:val="00055363"/>
    <w:rsid w:val="0005536A"/>
    <w:rsid w:val="00055390"/>
    <w:rsid w:val="00055601"/>
    <w:rsid w:val="00055922"/>
    <w:rsid w:val="00055B3C"/>
    <w:rsid w:val="00055BC9"/>
    <w:rsid w:val="00055D3D"/>
    <w:rsid w:val="00055E3B"/>
    <w:rsid w:val="00055E79"/>
    <w:rsid w:val="00055E83"/>
    <w:rsid w:val="00055ED0"/>
    <w:rsid w:val="0005615D"/>
    <w:rsid w:val="0005618B"/>
    <w:rsid w:val="00056242"/>
    <w:rsid w:val="000562B4"/>
    <w:rsid w:val="000565CE"/>
    <w:rsid w:val="000566FF"/>
    <w:rsid w:val="00056C55"/>
    <w:rsid w:val="00056E85"/>
    <w:rsid w:val="000570B9"/>
    <w:rsid w:val="00057569"/>
    <w:rsid w:val="00057683"/>
    <w:rsid w:val="0005769F"/>
    <w:rsid w:val="00057764"/>
    <w:rsid w:val="0005791A"/>
    <w:rsid w:val="000579FF"/>
    <w:rsid w:val="00057CC4"/>
    <w:rsid w:val="00057D1F"/>
    <w:rsid w:val="00057D6B"/>
    <w:rsid w:val="00057DFA"/>
    <w:rsid w:val="00057EED"/>
    <w:rsid w:val="00057F10"/>
    <w:rsid w:val="00060154"/>
    <w:rsid w:val="0006026C"/>
    <w:rsid w:val="000602C2"/>
    <w:rsid w:val="000602D4"/>
    <w:rsid w:val="00060301"/>
    <w:rsid w:val="0006044E"/>
    <w:rsid w:val="000605EE"/>
    <w:rsid w:val="000605F0"/>
    <w:rsid w:val="00060847"/>
    <w:rsid w:val="0006090B"/>
    <w:rsid w:val="00060B9E"/>
    <w:rsid w:val="00060C5B"/>
    <w:rsid w:val="00060CE5"/>
    <w:rsid w:val="0006113A"/>
    <w:rsid w:val="0006124E"/>
    <w:rsid w:val="000613E8"/>
    <w:rsid w:val="0006144C"/>
    <w:rsid w:val="000614A5"/>
    <w:rsid w:val="00061525"/>
    <w:rsid w:val="000616F5"/>
    <w:rsid w:val="00061813"/>
    <w:rsid w:val="000619F4"/>
    <w:rsid w:val="00061A8D"/>
    <w:rsid w:val="00061B2E"/>
    <w:rsid w:val="00061B32"/>
    <w:rsid w:val="00061C3A"/>
    <w:rsid w:val="00061C3D"/>
    <w:rsid w:val="00061CE3"/>
    <w:rsid w:val="00061D9C"/>
    <w:rsid w:val="00061EB3"/>
    <w:rsid w:val="0006221C"/>
    <w:rsid w:val="00062380"/>
    <w:rsid w:val="00062537"/>
    <w:rsid w:val="000625CA"/>
    <w:rsid w:val="0006260B"/>
    <w:rsid w:val="0006260E"/>
    <w:rsid w:val="00062684"/>
    <w:rsid w:val="00062B82"/>
    <w:rsid w:val="00062B9E"/>
    <w:rsid w:val="00062CA4"/>
    <w:rsid w:val="00062CE1"/>
    <w:rsid w:val="0006301B"/>
    <w:rsid w:val="000630C1"/>
    <w:rsid w:val="00063153"/>
    <w:rsid w:val="000631A2"/>
    <w:rsid w:val="00063417"/>
    <w:rsid w:val="00063613"/>
    <w:rsid w:val="0006379A"/>
    <w:rsid w:val="0006380E"/>
    <w:rsid w:val="00063A25"/>
    <w:rsid w:val="00063ACB"/>
    <w:rsid w:val="00063ADF"/>
    <w:rsid w:val="00063BD2"/>
    <w:rsid w:val="00063C2C"/>
    <w:rsid w:val="00063C35"/>
    <w:rsid w:val="00063CD3"/>
    <w:rsid w:val="00063E3C"/>
    <w:rsid w:val="000645DC"/>
    <w:rsid w:val="0006465B"/>
    <w:rsid w:val="0006467D"/>
    <w:rsid w:val="00064722"/>
    <w:rsid w:val="00064757"/>
    <w:rsid w:val="000647DF"/>
    <w:rsid w:val="00064AA8"/>
    <w:rsid w:val="00064BAC"/>
    <w:rsid w:val="00064CC9"/>
    <w:rsid w:val="00064CD0"/>
    <w:rsid w:val="00064D3E"/>
    <w:rsid w:val="00064E78"/>
    <w:rsid w:val="00064F50"/>
    <w:rsid w:val="000650B8"/>
    <w:rsid w:val="00065105"/>
    <w:rsid w:val="00065194"/>
    <w:rsid w:val="0006524A"/>
    <w:rsid w:val="00065273"/>
    <w:rsid w:val="000658D9"/>
    <w:rsid w:val="00065A7C"/>
    <w:rsid w:val="00065A8D"/>
    <w:rsid w:val="00065A93"/>
    <w:rsid w:val="00065AA8"/>
    <w:rsid w:val="00065D36"/>
    <w:rsid w:val="00065DCB"/>
    <w:rsid w:val="00065FD0"/>
    <w:rsid w:val="00066082"/>
    <w:rsid w:val="000661E0"/>
    <w:rsid w:val="00066292"/>
    <w:rsid w:val="00066528"/>
    <w:rsid w:val="00066B44"/>
    <w:rsid w:val="00066B4B"/>
    <w:rsid w:val="00066DBB"/>
    <w:rsid w:val="00067007"/>
    <w:rsid w:val="00067092"/>
    <w:rsid w:val="000672E5"/>
    <w:rsid w:val="000674F9"/>
    <w:rsid w:val="000675C1"/>
    <w:rsid w:val="00067626"/>
    <w:rsid w:val="00067670"/>
    <w:rsid w:val="00067722"/>
    <w:rsid w:val="0006778B"/>
    <w:rsid w:val="000678E3"/>
    <w:rsid w:val="00067992"/>
    <w:rsid w:val="00067A26"/>
    <w:rsid w:val="00067DF8"/>
    <w:rsid w:val="00067E92"/>
    <w:rsid w:val="00067FC0"/>
    <w:rsid w:val="00070140"/>
    <w:rsid w:val="000701AC"/>
    <w:rsid w:val="00070256"/>
    <w:rsid w:val="000702BF"/>
    <w:rsid w:val="000706EC"/>
    <w:rsid w:val="00070780"/>
    <w:rsid w:val="000708EB"/>
    <w:rsid w:val="00070A0E"/>
    <w:rsid w:val="00070A34"/>
    <w:rsid w:val="00070A66"/>
    <w:rsid w:val="00070B17"/>
    <w:rsid w:val="00070C57"/>
    <w:rsid w:val="00070E5B"/>
    <w:rsid w:val="00070F5B"/>
    <w:rsid w:val="00071126"/>
    <w:rsid w:val="00071138"/>
    <w:rsid w:val="00071766"/>
    <w:rsid w:val="000717D1"/>
    <w:rsid w:val="00071858"/>
    <w:rsid w:val="000719A6"/>
    <w:rsid w:val="00071A54"/>
    <w:rsid w:val="00071AFA"/>
    <w:rsid w:val="00071B84"/>
    <w:rsid w:val="00071BD7"/>
    <w:rsid w:val="00071E1E"/>
    <w:rsid w:val="00071E21"/>
    <w:rsid w:val="0007216A"/>
    <w:rsid w:val="0007222F"/>
    <w:rsid w:val="000722A7"/>
    <w:rsid w:val="000723C0"/>
    <w:rsid w:val="0007258B"/>
    <w:rsid w:val="000726EA"/>
    <w:rsid w:val="00072CE5"/>
    <w:rsid w:val="00072D56"/>
    <w:rsid w:val="00072DBB"/>
    <w:rsid w:val="00072E5B"/>
    <w:rsid w:val="0007311E"/>
    <w:rsid w:val="00073618"/>
    <w:rsid w:val="00073657"/>
    <w:rsid w:val="0007368E"/>
    <w:rsid w:val="0007382D"/>
    <w:rsid w:val="000738CF"/>
    <w:rsid w:val="000738E9"/>
    <w:rsid w:val="00073A69"/>
    <w:rsid w:val="00073AC0"/>
    <w:rsid w:val="00073C22"/>
    <w:rsid w:val="00073C7A"/>
    <w:rsid w:val="00073D2F"/>
    <w:rsid w:val="00073D66"/>
    <w:rsid w:val="0007419A"/>
    <w:rsid w:val="0007428E"/>
    <w:rsid w:val="00074313"/>
    <w:rsid w:val="00074435"/>
    <w:rsid w:val="0007460F"/>
    <w:rsid w:val="00074674"/>
    <w:rsid w:val="000746BF"/>
    <w:rsid w:val="0007472C"/>
    <w:rsid w:val="00074798"/>
    <w:rsid w:val="00074832"/>
    <w:rsid w:val="00074988"/>
    <w:rsid w:val="00074A21"/>
    <w:rsid w:val="00074ABE"/>
    <w:rsid w:val="00074C06"/>
    <w:rsid w:val="00074C45"/>
    <w:rsid w:val="00074DDA"/>
    <w:rsid w:val="00074EB6"/>
    <w:rsid w:val="00074F28"/>
    <w:rsid w:val="0007507E"/>
    <w:rsid w:val="000751B3"/>
    <w:rsid w:val="000751BE"/>
    <w:rsid w:val="000751D3"/>
    <w:rsid w:val="000751E2"/>
    <w:rsid w:val="00075229"/>
    <w:rsid w:val="0007525E"/>
    <w:rsid w:val="0007534E"/>
    <w:rsid w:val="0007538D"/>
    <w:rsid w:val="0007540A"/>
    <w:rsid w:val="00075414"/>
    <w:rsid w:val="0007577F"/>
    <w:rsid w:val="00075915"/>
    <w:rsid w:val="00075CF5"/>
    <w:rsid w:val="00075D7B"/>
    <w:rsid w:val="00075EBD"/>
    <w:rsid w:val="0007612F"/>
    <w:rsid w:val="0007654A"/>
    <w:rsid w:val="00076584"/>
    <w:rsid w:val="0007664A"/>
    <w:rsid w:val="00076A1B"/>
    <w:rsid w:val="00076A3E"/>
    <w:rsid w:val="00076A6D"/>
    <w:rsid w:val="00076A7F"/>
    <w:rsid w:val="00076C9C"/>
    <w:rsid w:val="00076DF8"/>
    <w:rsid w:val="00076EA3"/>
    <w:rsid w:val="00076FA3"/>
    <w:rsid w:val="00077008"/>
    <w:rsid w:val="0007705A"/>
    <w:rsid w:val="00077086"/>
    <w:rsid w:val="000770B3"/>
    <w:rsid w:val="00077147"/>
    <w:rsid w:val="0007717C"/>
    <w:rsid w:val="000772BF"/>
    <w:rsid w:val="000772C9"/>
    <w:rsid w:val="00077359"/>
    <w:rsid w:val="0007752C"/>
    <w:rsid w:val="00077628"/>
    <w:rsid w:val="000778C3"/>
    <w:rsid w:val="00077A44"/>
    <w:rsid w:val="00077B1F"/>
    <w:rsid w:val="00077D8A"/>
    <w:rsid w:val="00077EEC"/>
    <w:rsid w:val="00077F2B"/>
    <w:rsid w:val="00080064"/>
    <w:rsid w:val="0008042F"/>
    <w:rsid w:val="00080575"/>
    <w:rsid w:val="000805FC"/>
    <w:rsid w:val="000807CA"/>
    <w:rsid w:val="0008092E"/>
    <w:rsid w:val="000809C1"/>
    <w:rsid w:val="00080A3A"/>
    <w:rsid w:val="00080B57"/>
    <w:rsid w:val="00080C85"/>
    <w:rsid w:val="00081198"/>
    <w:rsid w:val="00081200"/>
    <w:rsid w:val="00081225"/>
    <w:rsid w:val="00081243"/>
    <w:rsid w:val="00081250"/>
    <w:rsid w:val="000812C7"/>
    <w:rsid w:val="000814AA"/>
    <w:rsid w:val="000815DD"/>
    <w:rsid w:val="000816B0"/>
    <w:rsid w:val="000817D4"/>
    <w:rsid w:val="000818C7"/>
    <w:rsid w:val="00081BA1"/>
    <w:rsid w:val="00081BC0"/>
    <w:rsid w:val="00081BDB"/>
    <w:rsid w:val="00081D2A"/>
    <w:rsid w:val="00081D61"/>
    <w:rsid w:val="00081F5C"/>
    <w:rsid w:val="000820A3"/>
    <w:rsid w:val="000820DE"/>
    <w:rsid w:val="00082171"/>
    <w:rsid w:val="00082277"/>
    <w:rsid w:val="000822FC"/>
    <w:rsid w:val="00082336"/>
    <w:rsid w:val="000823C9"/>
    <w:rsid w:val="000825A1"/>
    <w:rsid w:val="000826C9"/>
    <w:rsid w:val="00082B16"/>
    <w:rsid w:val="00082C2A"/>
    <w:rsid w:val="00082E9E"/>
    <w:rsid w:val="00082FA2"/>
    <w:rsid w:val="0008309C"/>
    <w:rsid w:val="0008317D"/>
    <w:rsid w:val="0008345D"/>
    <w:rsid w:val="0008349C"/>
    <w:rsid w:val="0008352E"/>
    <w:rsid w:val="0008378B"/>
    <w:rsid w:val="000838A6"/>
    <w:rsid w:val="0008397C"/>
    <w:rsid w:val="00083A4E"/>
    <w:rsid w:val="00083BDB"/>
    <w:rsid w:val="00083CA9"/>
    <w:rsid w:val="00083CE9"/>
    <w:rsid w:val="00083D4E"/>
    <w:rsid w:val="00084060"/>
    <w:rsid w:val="000844F1"/>
    <w:rsid w:val="000844F6"/>
    <w:rsid w:val="00084587"/>
    <w:rsid w:val="0008472D"/>
    <w:rsid w:val="0008477A"/>
    <w:rsid w:val="000847B0"/>
    <w:rsid w:val="00084811"/>
    <w:rsid w:val="000848C7"/>
    <w:rsid w:val="00084B0A"/>
    <w:rsid w:val="00084C04"/>
    <w:rsid w:val="00084D54"/>
    <w:rsid w:val="0008504B"/>
    <w:rsid w:val="00085162"/>
    <w:rsid w:val="00085236"/>
    <w:rsid w:val="000854C3"/>
    <w:rsid w:val="00085515"/>
    <w:rsid w:val="000855C9"/>
    <w:rsid w:val="000855EF"/>
    <w:rsid w:val="00085602"/>
    <w:rsid w:val="000858EC"/>
    <w:rsid w:val="00085956"/>
    <w:rsid w:val="00085997"/>
    <w:rsid w:val="000859AA"/>
    <w:rsid w:val="00085A6C"/>
    <w:rsid w:val="00085B14"/>
    <w:rsid w:val="00085C85"/>
    <w:rsid w:val="00085ECD"/>
    <w:rsid w:val="00085F5E"/>
    <w:rsid w:val="00086360"/>
    <w:rsid w:val="00086435"/>
    <w:rsid w:val="0008654C"/>
    <w:rsid w:val="0008688E"/>
    <w:rsid w:val="000868E4"/>
    <w:rsid w:val="0008698A"/>
    <w:rsid w:val="00086B90"/>
    <w:rsid w:val="00086C6D"/>
    <w:rsid w:val="00086E76"/>
    <w:rsid w:val="00086F25"/>
    <w:rsid w:val="00086F66"/>
    <w:rsid w:val="00086F7F"/>
    <w:rsid w:val="00086F96"/>
    <w:rsid w:val="00087109"/>
    <w:rsid w:val="000871D5"/>
    <w:rsid w:val="000873E1"/>
    <w:rsid w:val="00087582"/>
    <w:rsid w:val="0008789C"/>
    <w:rsid w:val="00087916"/>
    <w:rsid w:val="00087946"/>
    <w:rsid w:val="00087AEA"/>
    <w:rsid w:val="00087CA2"/>
    <w:rsid w:val="00087DD0"/>
    <w:rsid w:val="00087DE1"/>
    <w:rsid w:val="000900DA"/>
    <w:rsid w:val="000904A3"/>
    <w:rsid w:val="00090588"/>
    <w:rsid w:val="00090722"/>
    <w:rsid w:val="000907DE"/>
    <w:rsid w:val="000907DF"/>
    <w:rsid w:val="00090968"/>
    <w:rsid w:val="000909FF"/>
    <w:rsid w:val="00090A71"/>
    <w:rsid w:val="00090A82"/>
    <w:rsid w:val="00090C54"/>
    <w:rsid w:val="00090C90"/>
    <w:rsid w:val="00090F7C"/>
    <w:rsid w:val="000910C2"/>
    <w:rsid w:val="000910FA"/>
    <w:rsid w:val="00091200"/>
    <w:rsid w:val="000914AD"/>
    <w:rsid w:val="000914D2"/>
    <w:rsid w:val="00091505"/>
    <w:rsid w:val="00091514"/>
    <w:rsid w:val="000916EE"/>
    <w:rsid w:val="00091722"/>
    <w:rsid w:val="0009184C"/>
    <w:rsid w:val="00091925"/>
    <w:rsid w:val="00091937"/>
    <w:rsid w:val="000919BC"/>
    <w:rsid w:val="00091A13"/>
    <w:rsid w:val="00091B09"/>
    <w:rsid w:val="00091C02"/>
    <w:rsid w:val="00091CE4"/>
    <w:rsid w:val="00091D50"/>
    <w:rsid w:val="00091E87"/>
    <w:rsid w:val="00091EC9"/>
    <w:rsid w:val="0009214C"/>
    <w:rsid w:val="00092210"/>
    <w:rsid w:val="00092260"/>
    <w:rsid w:val="00092326"/>
    <w:rsid w:val="00092386"/>
    <w:rsid w:val="000926E4"/>
    <w:rsid w:val="000928D4"/>
    <w:rsid w:val="00092BC3"/>
    <w:rsid w:val="00092C87"/>
    <w:rsid w:val="00092DAB"/>
    <w:rsid w:val="00092F2E"/>
    <w:rsid w:val="00093052"/>
    <w:rsid w:val="00093074"/>
    <w:rsid w:val="000931D9"/>
    <w:rsid w:val="0009331D"/>
    <w:rsid w:val="000934BA"/>
    <w:rsid w:val="000935CD"/>
    <w:rsid w:val="000936FD"/>
    <w:rsid w:val="000937AC"/>
    <w:rsid w:val="00093BA2"/>
    <w:rsid w:val="00093BF9"/>
    <w:rsid w:val="00093D09"/>
    <w:rsid w:val="00093DC9"/>
    <w:rsid w:val="00093DCF"/>
    <w:rsid w:val="00093DD5"/>
    <w:rsid w:val="00093DEA"/>
    <w:rsid w:val="00093E02"/>
    <w:rsid w:val="00093E52"/>
    <w:rsid w:val="00093E5C"/>
    <w:rsid w:val="00094012"/>
    <w:rsid w:val="000941AA"/>
    <w:rsid w:val="000943D2"/>
    <w:rsid w:val="00094422"/>
    <w:rsid w:val="0009454B"/>
    <w:rsid w:val="00094728"/>
    <w:rsid w:val="00094813"/>
    <w:rsid w:val="00094827"/>
    <w:rsid w:val="00094A0D"/>
    <w:rsid w:val="00094B53"/>
    <w:rsid w:val="00094CD3"/>
    <w:rsid w:val="00094D6C"/>
    <w:rsid w:val="00094EB3"/>
    <w:rsid w:val="00094EDB"/>
    <w:rsid w:val="00094EF7"/>
    <w:rsid w:val="00095058"/>
    <w:rsid w:val="00095107"/>
    <w:rsid w:val="00095268"/>
    <w:rsid w:val="000952F7"/>
    <w:rsid w:val="00095399"/>
    <w:rsid w:val="000953D9"/>
    <w:rsid w:val="000955AD"/>
    <w:rsid w:val="00095665"/>
    <w:rsid w:val="00095730"/>
    <w:rsid w:val="00095861"/>
    <w:rsid w:val="00095B2C"/>
    <w:rsid w:val="00095B93"/>
    <w:rsid w:val="00095CB8"/>
    <w:rsid w:val="00096144"/>
    <w:rsid w:val="00096266"/>
    <w:rsid w:val="00096277"/>
    <w:rsid w:val="00096733"/>
    <w:rsid w:val="000967BE"/>
    <w:rsid w:val="000968E5"/>
    <w:rsid w:val="000968E6"/>
    <w:rsid w:val="00096A7D"/>
    <w:rsid w:val="00096C64"/>
    <w:rsid w:val="00096ED2"/>
    <w:rsid w:val="00096F97"/>
    <w:rsid w:val="00096FC2"/>
    <w:rsid w:val="00097095"/>
    <w:rsid w:val="00097392"/>
    <w:rsid w:val="000973B2"/>
    <w:rsid w:val="00097433"/>
    <w:rsid w:val="0009773C"/>
    <w:rsid w:val="000977B1"/>
    <w:rsid w:val="000977CE"/>
    <w:rsid w:val="000978B8"/>
    <w:rsid w:val="0009792D"/>
    <w:rsid w:val="00097A45"/>
    <w:rsid w:val="00097A68"/>
    <w:rsid w:val="00097AA8"/>
    <w:rsid w:val="00097AB9"/>
    <w:rsid w:val="00097C69"/>
    <w:rsid w:val="00097F19"/>
    <w:rsid w:val="000A0100"/>
    <w:rsid w:val="000A0145"/>
    <w:rsid w:val="000A0232"/>
    <w:rsid w:val="000A0293"/>
    <w:rsid w:val="000A0297"/>
    <w:rsid w:val="000A0337"/>
    <w:rsid w:val="000A043D"/>
    <w:rsid w:val="000A044C"/>
    <w:rsid w:val="000A0569"/>
    <w:rsid w:val="000A073B"/>
    <w:rsid w:val="000A076D"/>
    <w:rsid w:val="000A0795"/>
    <w:rsid w:val="000A08AC"/>
    <w:rsid w:val="000A08FC"/>
    <w:rsid w:val="000A0933"/>
    <w:rsid w:val="000A09A0"/>
    <w:rsid w:val="000A09C6"/>
    <w:rsid w:val="000A0A47"/>
    <w:rsid w:val="000A0B0B"/>
    <w:rsid w:val="000A0CD0"/>
    <w:rsid w:val="000A0D24"/>
    <w:rsid w:val="000A0F9E"/>
    <w:rsid w:val="000A10A3"/>
    <w:rsid w:val="000A1134"/>
    <w:rsid w:val="000A1249"/>
    <w:rsid w:val="000A146D"/>
    <w:rsid w:val="000A1494"/>
    <w:rsid w:val="000A17A8"/>
    <w:rsid w:val="000A18F0"/>
    <w:rsid w:val="000A1970"/>
    <w:rsid w:val="000A19A9"/>
    <w:rsid w:val="000A19E6"/>
    <w:rsid w:val="000A1A6C"/>
    <w:rsid w:val="000A1C87"/>
    <w:rsid w:val="000A1DA0"/>
    <w:rsid w:val="000A1F96"/>
    <w:rsid w:val="000A209D"/>
    <w:rsid w:val="000A20B2"/>
    <w:rsid w:val="000A20C6"/>
    <w:rsid w:val="000A2110"/>
    <w:rsid w:val="000A2396"/>
    <w:rsid w:val="000A2412"/>
    <w:rsid w:val="000A2452"/>
    <w:rsid w:val="000A2510"/>
    <w:rsid w:val="000A254B"/>
    <w:rsid w:val="000A25C6"/>
    <w:rsid w:val="000A27E3"/>
    <w:rsid w:val="000A2857"/>
    <w:rsid w:val="000A287B"/>
    <w:rsid w:val="000A2958"/>
    <w:rsid w:val="000A29B6"/>
    <w:rsid w:val="000A29DA"/>
    <w:rsid w:val="000A2A7D"/>
    <w:rsid w:val="000A2AF5"/>
    <w:rsid w:val="000A2B8D"/>
    <w:rsid w:val="000A2B8E"/>
    <w:rsid w:val="000A2C21"/>
    <w:rsid w:val="000A2E6C"/>
    <w:rsid w:val="000A2EFD"/>
    <w:rsid w:val="000A3185"/>
    <w:rsid w:val="000A31E3"/>
    <w:rsid w:val="000A31FD"/>
    <w:rsid w:val="000A338A"/>
    <w:rsid w:val="000A343F"/>
    <w:rsid w:val="000A3443"/>
    <w:rsid w:val="000A3475"/>
    <w:rsid w:val="000A358B"/>
    <w:rsid w:val="000A35AC"/>
    <w:rsid w:val="000A35BE"/>
    <w:rsid w:val="000A3624"/>
    <w:rsid w:val="000A3819"/>
    <w:rsid w:val="000A382E"/>
    <w:rsid w:val="000A3835"/>
    <w:rsid w:val="000A3A7D"/>
    <w:rsid w:val="000A3FF6"/>
    <w:rsid w:val="000A416C"/>
    <w:rsid w:val="000A43A3"/>
    <w:rsid w:val="000A43A5"/>
    <w:rsid w:val="000A46BE"/>
    <w:rsid w:val="000A46E0"/>
    <w:rsid w:val="000A4720"/>
    <w:rsid w:val="000A4756"/>
    <w:rsid w:val="000A4761"/>
    <w:rsid w:val="000A4960"/>
    <w:rsid w:val="000A4967"/>
    <w:rsid w:val="000A49AA"/>
    <w:rsid w:val="000A4AC3"/>
    <w:rsid w:val="000A4C1C"/>
    <w:rsid w:val="000A4DB8"/>
    <w:rsid w:val="000A4E43"/>
    <w:rsid w:val="000A5052"/>
    <w:rsid w:val="000A5115"/>
    <w:rsid w:val="000A51A3"/>
    <w:rsid w:val="000A522C"/>
    <w:rsid w:val="000A5303"/>
    <w:rsid w:val="000A550E"/>
    <w:rsid w:val="000A563C"/>
    <w:rsid w:val="000A578C"/>
    <w:rsid w:val="000A57E1"/>
    <w:rsid w:val="000A591F"/>
    <w:rsid w:val="000A5927"/>
    <w:rsid w:val="000A5990"/>
    <w:rsid w:val="000A5BC6"/>
    <w:rsid w:val="000A5CC5"/>
    <w:rsid w:val="000A5CC8"/>
    <w:rsid w:val="000A5D78"/>
    <w:rsid w:val="000A6040"/>
    <w:rsid w:val="000A613A"/>
    <w:rsid w:val="000A6562"/>
    <w:rsid w:val="000A658C"/>
    <w:rsid w:val="000A695E"/>
    <w:rsid w:val="000A69E4"/>
    <w:rsid w:val="000A69EC"/>
    <w:rsid w:val="000A6C14"/>
    <w:rsid w:val="000A6C22"/>
    <w:rsid w:val="000A6C51"/>
    <w:rsid w:val="000A6D9B"/>
    <w:rsid w:val="000A6EDD"/>
    <w:rsid w:val="000A7163"/>
    <w:rsid w:val="000A7231"/>
    <w:rsid w:val="000A7261"/>
    <w:rsid w:val="000A72C7"/>
    <w:rsid w:val="000A7355"/>
    <w:rsid w:val="000A77D7"/>
    <w:rsid w:val="000A793D"/>
    <w:rsid w:val="000A79DD"/>
    <w:rsid w:val="000A7B2F"/>
    <w:rsid w:val="000A7BDF"/>
    <w:rsid w:val="000A7CFF"/>
    <w:rsid w:val="000A7D61"/>
    <w:rsid w:val="000A7D98"/>
    <w:rsid w:val="000A7E5C"/>
    <w:rsid w:val="000A7EE3"/>
    <w:rsid w:val="000B003E"/>
    <w:rsid w:val="000B0093"/>
    <w:rsid w:val="000B00A3"/>
    <w:rsid w:val="000B026F"/>
    <w:rsid w:val="000B02E4"/>
    <w:rsid w:val="000B072F"/>
    <w:rsid w:val="000B09DB"/>
    <w:rsid w:val="000B0AC0"/>
    <w:rsid w:val="000B0C1C"/>
    <w:rsid w:val="000B0C39"/>
    <w:rsid w:val="000B0C94"/>
    <w:rsid w:val="000B0D43"/>
    <w:rsid w:val="000B0E72"/>
    <w:rsid w:val="000B1042"/>
    <w:rsid w:val="000B133C"/>
    <w:rsid w:val="000B13CD"/>
    <w:rsid w:val="000B13EF"/>
    <w:rsid w:val="000B14C3"/>
    <w:rsid w:val="000B1513"/>
    <w:rsid w:val="000B151A"/>
    <w:rsid w:val="000B15F2"/>
    <w:rsid w:val="000B1661"/>
    <w:rsid w:val="000B17D3"/>
    <w:rsid w:val="000B193A"/>
    <w:rsid w:val="000B1A05"/>
    <w:rsid w:val="000B1AE7"/>
    <w:rsid w:val="000B1C1C"/>
    <w:rsid w:val="000B1D28"/>
    <w:rsid w:val="000B1F1C"/>
    <w:rsid w:val="000B21F9"/>
    <w:rsid w:val="000B23B3"/>
    <w:rsid w:val="000B24C9"/>
    <w:rsid w:val="000B2863"/>
    <w:rsid w:val="000B2A06"/>
    <w:rsid w:val="000B2A40"/>
    <w:rsid w:val="000B2EBA"/>
    <w:rsid w:val="000B30F6"/>
    <w:rsid w:val="000B3323"/>
    <w:rsid w:val="000B3394"/>
    <w:rsid w:val="000B3568"/>
    <w:rsid w:val="000B35D6"/>
    <w:rsid w:val="000B3615"/>
    <w:rsid w:val="000B362B"/>
    <w:rsid w:val="000B3660"/>
    <w:rsid w:val="000B3670"/>
    <w:rsid w:val="000B36BA"/>
    <w:rsid w:val="000B3705"/>
    <w:rsid w:val="000B37B4"/>
    <w:rsid w:val="000B39D9"/>
    <w:rsid w:val="000B3A55"/>
    <w:rsid w:val="000B3B7B"/>
    <w:rsid w:val="000B3D36"/>
    <w:rsid w:val="000B3FD4"/>
    <w:rsid w:val="000B42CC"/>
    <w:rsid w:val="000B4317"/>
    <w:rsid w:val="000B4364"/>
    <w:rsid w:val="000B4499"/>
    <w:rsid w:val="000B44D7"/>
    <w:rsid w:val="000B45AF"/>
    <w:rsid w:val="000B4960"/>
    <w:rsid w:val="000B4A04"/>
    <w:rsid w:val="000B4B9E"/>
    <w:rsid w:val="000B4BE0"/>
    <w:rsid w:val="000B4C5F"/>
    <w:rsid w:val="000B4CD3"/>
    <w:rsid w:val="000B501D"/>
    <w:rsid w:val="000B51D6"/>
    <w:rsid w:val="000B536A"/>
    <w:rsid w:val="000B5620"/>
    <w:rsid w:val="000B5963"/>
    <w:rsid w:val="000B5B18"/>
    <w:rsid w:val="000B5C49"/>
    <w:rsid w:val="000B5E4D"/>
    <w:rsid w:val="000B5F66"/>
    <w:rsid w:val="000B60AD"/>
    <w:rsid w:val="000B6188"/>
    <w:rsid w:val="000B6367"/>
    <w:rsid w:val="000B6519"/>
    <w:rsid w:val="000B65A8"/>
    <w:rsid w:val="000B663C"/>
    <w:rsid w:val="000B6673"/>
    <w:rsid w:val="000B66EC"/>
    <w:rsid w:val="000B68A9"/>
    <w:rsid w:val="000B69B5"/>
    <w:rsid w:val="000B6B01"/>
    <w:rsid w:val="000B6D3A"/>
    <w:rsid w:val="000B6E18"/>
    <w:rsid w:val="000B6E9B"/>
    <w:rsid w:val="000B7182"/>
    <w:rsid w:val="000B7342"/>
    <w:rsid w:val="000B74FB"/>
    <w:rsid w:val="000B76B3"/>
    <w:rsid w:val="000B77D9"/>
    <w:rsid w:val="000B78DF"/>
    <w:rsid w:val="000B7BF3"/>
    <w:rsid w:val="000B7E76"/>
    <w:rsid w:val="000C01BF"/>
    <w:rsid w:val="000C048A"/>
    <w:rsid w:val="000C050B"/>
    <w:rsid w:val="000C0510"/>
    <w:rsid w:val="000C05BD"/>
    <w:rsid w:val="000C06D8"/>
    <w:rsid w:val="000C06EB"/>
    <w:rsid w:val="000C09A9"/>
    <w:rsid w:val="000C0AE8"/>
    <w:rsid w:val="000C0BDE"/>
    <w:rsid w:val="000C0CC6"/>
    <w:rsid w:val="000C0DCA"/>
    <w:rsid w:val="000C0DCB"/>
    <w:rsid w:val="000C1076"/>
    <w:rsid w:val="000C10CF"/>
    <w:rsid w:val="000C10F0"/>
    <w:rsid w:val="000C13B5"/>
    <w:rsid w:val="000C16BC"/>
    <w:rsid w:val="000C1A20"/>
    <w:rsid w:val="000C1AF1"/>
    <w:rsid w:val="000C1CB6"/>
    <w:rsid w:val="000C1D83"/>
    <w:rsid w:val="000C201E"/>
    <w:rsid w:val="000C2186"/>
    <w:rsid w:val="000C218C"/>
    <w:rsid w:val="000C26CB"/>
    <w:rsid w:val="000C2758"/>
    <w:rsid w:val="000C2BA2"/>
    <w:rsid w:val="000C2C05"/>
    <w:rsid w:val="000C2C10"/>
    <w:rsid w:val="000C2C2D"/>
    <w:rsid w:val="000C2C9D"/>
    <w:rsid w:val="000C2D1F"/>
    <w:rsid w:val="000C2DA2"/>
    <w:rsid w:val="000C2DBB"/>
    <w:rsid w:val="000C2F9E"/>
    <w:rsid w:val="000C305F"/>
    <w:rsid w:val="000C307E"/>
    <w:rsid w:val="000C30A7"/>
    <w:rsid w:val="000C3164"/>
    <w:rsid w:val="000C3400"/>
    <w:rsid w:val="000C345A"/>
    <w:rsid w:val="000C367F"/>
    <w:rsid w:val="000C37BF"/>
    <w:rsid w:val="000C3941"/>
    <w:rsid w:val="000C399E"/>
    <w:rsid w:val="000C3A1A"/>
    <w:rsid w:val="000C3AF6"/>
    <w:rsid w:val="000C3B64"/>
    <w:rsid w:val="000C3D59"/>
    <w:rsid w:val="000C3D87"/>
    <w:rsid w:val="000C3DE5"/>
    <w:rsid w:val="000C3EC3"/>
    <w:rsid w:val="000C402F"/>
    <w:rsid w:val="000C40F7"/>
    <w:rsid w:val="000C41BC"/>
    <w:rsid w:val="000C41F6"/>
    <w:rsid w:val="000C4202"/>
    <w:rsid w:val="000C4324"/>
    <w:rsid w:val="000C432A"/>
    <w:rsid w:val="000C432E"/>
    <w:rsid w:val="000C4425"/>
    <w:rsid w:val="000C4568"/>
    <w:rsid w:val="000C45DC"/>
    <w:rsid w:val="000C45F1"/>
    <w:rsid w:val="000C486E"/>
    <w:rsid w:val="000C490B"/>
    <w:rsid w:val="000C4996"/>
    <w:rsid w:val="000C4B68"/>
    <w:rsid w:val="000C4C57"/>
    <w:rsid w:val="000C4D5E"/>
    <w:rsid w:val="000C4D82"/>
    <w:rsid w:val="000C4D9F"/>
    <w:rsid w:val="000C504A"/>
    <w:rsid w:val="000C5129"/>
    <w:rsid w:val="000C5309"/>
    <w:rsid w:val="000C5370"/>
    <w:rsid w:val="000C539F"/>
    <w:rsid w:val="000C53E1"/>
    <w:rsid w:val="000C53E7"/>
    <w:rsid w:val="000C543A"/>
    <w:rsid w:val="000C543F"/>
    <w:rsid w:val="000C5494"/>
    <w:rsid w:val="000C5495"/>
    <w:rsid w:val="000C54FB"/>
    <w:rsid w:val="000C5580"/>
    <w:rsid w:val="000C56C5"/>
    <w:rsid w:val="000C56C9"/>
    <w:rsid w:val="000C57B7"/>
    <w:rsid w:val="000C590E"/>
    <w:rsid w:val="000C5988"/>
    <w:rsid w:val="000C5B4A"/>
    <w:rsid w:val="000C5BFD"/>
    <w:rsid w:val="000C5CB8"/>
    <w:rsid w:val="000C5D65"/>
    <w:rsid w:val="000C6043"/>
    <w:rsid w:val="000C607F"/>
    <w:rsid w:val="000C63FA"/>
    <w:rsid w:val="000C6441"/>
    <w:rsid w:val="000C66C7"/>
    <w:rsid w:val="000C67BA"/>
    <w:rsid w:val="000C67EE"/>
    <w:rsid w:val="000C684E"/>
    <w:rsid w:val="000C6A34"/>
    <w:rsid w:val="000C6ABC"/>
    <w:rsid w:val="000C6AFB"/>
    <w:rsid w:val="000C6B81"/>
    <w:rsid w:val="000C6D70"/>
    <w:rsid w:val="000C6FD0"/>
    <w:rsid w:val="000C6FE9"/>
    <w:rsid w:val="000C7230"/>
    <w:rsid w:val="000C724C"/>
    <w:rsid w:val="000C75BA"/>
    <w:rsid w:val="000C789D"/>
    <w:rsid w:val="000C79A0"/>
    <w:rsid w:val="000C7B70"/>
    <w:rsid w:val="000C7FCD"/>
    <w:rsid w:val="000D0029"/>
    <w:rsid w:val="000D0068"/>
    <w:rsid w:val="000D0249"/>
    <w:rsid w:val="000D03B8"/>
    <w:rsid w:val="000D0693"/>
    <w:rsid w:val="000D0931"/>
    <w:rsid w:val="000D0A20"/>
    <w:rsid w:val="000D0A3E"/>
    <w:rsid w:val="000D0B20"/>
    <w:rsid w:val="000D0BBE"/>
    <w:rsid w:val="000D0BCC"/>
    <w:rsid w:val="000D0BFC"/>
    <w:rsid w:val="000D0C6C"/>
    <w:rsid w:val="000D0DC0"/>
    <w:rsid w:val="000D0EA8"/>
    <w:rsid w:val="000D0F9B"/>
    <w:rsid w:val="000D1003"/>
    <w:rsid w:val="000D1123"/>
    <w:rsid w:val="000D121C"/>
    <w:rsid w:val="000D13E2"/>
    <w:rsid w:val="000D14A9"/>
    <w:rsid w:val="000D16D5"/>
    <w:rsid w:val="000D18E6"/>
    <w:rsid w:val="000D19EC"/>
    <w:rsid w:val="000D1B9F"/>
    <w:rsid w:val="000D1DA0"/>
    <w:rsid w:val="000D1E6C"/>
    <w:rsid w:val="000D1FC3"/>
    <w:rsid w:val="000D1FD0"/>
    <w:rsid w:val="000D208C"/>
    <w:rsid w:val="000D20C3"/>
    <w:rsid w:val="000D20C9"/>
    <w:rsid w:val="000D21A9"/>
    <w:rsid w:val="000D2452"/>
    <w:rsid w:val="000D2500"/>
    <w:rsid w:val="000D2508"/>
    <w:rsid w:val="000D254B"/>
    <w:rsid w:val="000D2752"/>
    <w:rsid w:val="000D285F"/>
    <w:rsid w:val="000D2951"/>
    <w:rsid w:val="000D29DD"/>
    <w:rsid w:val="000D2DB8"/>
    <w:rsid w:val="000D2EA7"/>
    <w:rsid w:val="000D30F5"/>
    <w:rsid w:val="000D3223"/>
    <w:rsid w:val="000D33B3"/>
    <w:rsid w:val="000D33E8"/>
    <w:rsid w:val="000D35D4"/>
    <w:rsid w:val="000D3708"/>
    <w:rsid w:val="000D3710"/>
    <w:rsid w:val="000D383F"/>
    <w:rsid w:val="000D38B2"/>
    <w:rsid w:val="000D396F"/>
    <w:rsid w:val="000D3995"/>
    <w:rsid w:val="000D3AC1"/>
    <w:rsid w:val="000D3AE3"/>
    <w:rsid w:val="000D3B4C"/>
    <w:rsid w:val="000D3B86"/>
    <w:rsid w:val="000D3E68"/>
    <w:rsid w:val="000D3FEE"/>
    <w:rsid w:val="000D41AB"/>
    <w:rsid w:val="000D440D"/>
    <w:rsid w:val="000D4748"/>
    <w:rsid w:val="000D479D"/>
    <w:rsid w:val="000D49C4"/>
    <w:rsid w:val="000D4AE1"/>
    <w:rsid w:val="000D4B9A"/>
    <w:rsid w:val="000D4BFB"/>
    <w:rsid w:val="000D4DE6"/>
    <w:rsid w:val="000D5051"/>
    <w:rsid w:val="000D52B4"/>
    <w:rsid w:val="000D52D4"/>
    <w:rsid w:val="000D5696"/>
    <w:rsid w:val="000D5AD2"/>
    <w:rsid w:val="000D5D45"/>
    <w:rsid w:val="000D5DF7"/>
    <w:rsid w:val="000D5E84"/>
    <w:rsid w:val="000D5EE7"/>
    <w:rsid w:val="000D5F46"/>
    <w:rsid w:val="000D6035"/>
    <w:rsid w:val="000D6093"/>
    <w:rsid w:val="000D60C3"/>
    <w:rsid w:val="000D60EE"/>
    <w:rsid w:val="000D6395"/>
    <w:rsid w:val="000D63C2"/>
    <w:rsid w:val="000D66A4"/>
    <w:rsid w:val="000D66FE"/>
    <w:rsid w:val="000D6717"/>
    <w:rsid w:val="000D6A9C"/>
    <w:rsid w:val="000D6D49"/>
    <w:rsid w:val="000D6E86"/>
    <w:rsid w:val="000D6EFF"/>
    <w:rsid w:val="000D7152"/>
    <w:rsid w:val="000D7163"/>
    <w:rsid w:val="000D7390"/>
    <w:rsid w:val="000D74BA"/>
    <w:rsid w:val="000D76DB"/>
    <w:rsid w:val="000D798A"/>
    <w:rsid w:val="000D7A4E"/>
    <w:rsid w:val="000D7ADB"/>
    <w:rsid w:val="000D7D1B"/>
    <w:rsid w:val="000E02BE"/>
    <w:rsid w:val="000E052C"/>
    <w:rsid w:val="000E06E8"/>
    <w:rsid w:val="000E07C0"/>
    <w:rsid w:val="000E0826"/>
    <w:rsid w:val="000E0919"/>
    <w:rsid w:val="000E0A31"/>
    <w:rsid w:val="000E0BBC"/>
    <w:rsid w:val="000E0D3F"/>
    <w:rsid w:val="000E0D92"/>
    <w:rsid w:val="000E0FDC"/>
    <w:rsid w:val="000E10F8"/>
    <w:rsid w:val="000E11A1"/>
    <w:rsid w:val="000E11E7"/>
    <w:rsid w:val="000E1809"/>
    <w:rsid w:val="000E1848"/>
    <w:rsid w:val="000E1968"/>
    <w:rsid w:val="000E1991"/>
    <w:rsid w:val="000E1C47"/>
    <w:rsid w:val="000E1DB9"/>
    <w:rsid w:val="000E1EA4"/>
    <w:rsid w:val="000E1ED6"/>
    <w:rsid w:val="000E1FB4"/>
    <w:rsid w:val="000E2039"/>
    <w:rsid w:val="000E2119"/>
    <w:rsid w:val="000E2234"/>
    <w:rsid w:val="000E22E2"/>
    <w:rsid w:val="000E22F2"/>
    <w:rsid w:val="000E240E"/>
    <w:rsid w:val="000E2433"/>
    <w:rsid w:val="000E2435"/>
    <w:rsid w:val="000E254E"/>
    <w:rsid w:val="000E25E7"/>
    <w:rsid w:val="000E26EE"/>
    <w:rsid w:val="000E2704"/>
    <w:rsid w:val="000E271B"/>
    <w:rsid w:val="000E2788"/>
    <w:rsid w:val="000E295D"/>
    <w:rsid w:val="000E2AA6"/>
    <w:rsid w:val="000E2BD8"/>
    <w:rsid w:val="000E2CB4"/>
    <w:rsid w:val="000E2D31"/>
    <w:rsid w:val="000E3051"/>
    <w:rsid w:val="000E30F8"/>
    <w:rsid w:val="000E32F1"/>
    <w:rsid w:val="000E3388"/>
    <w:rsid w:val="000E34F2"/>
    <w:rsid w:val="000E355B"/>
    <w:rsid w:val="000E36D5"/>
    <w:rsid w:val="000E374F"/>
    <w:rsid w:val="000E375B"/>
    <w:rsid w:val="000E3868"/>
    <w:rsid w:val="000E3B78"/>
    <w:rsid w:val="000E3CDE"/>
    <w:rsid w:val="000E3DB8"/>
    <w:rsid w:val="000E3DF0"/>
    <w:rsid w:val="000E403E"/>
    <w:rsid w:val="000E40E6"/>
    <w:rsid w:val="000E40EF"/>
    <w:rsid w:val="000E416D"/>
    <w:rsid w:val="000E4806"/>
    <w:rsid w:val="000E49C3"/>
    <w:rsid w:val="000E49C5"/>
    <w:rsid w:val="000E4A13"/>
    <w:rsid w:val="000E4D41"/>
    <w:rsid w:val="000E52CB"/>
    <w:rsid w:val="000E59AF"/>
    <w:rsid w:val="000E5ABB"/>
    <w:rsid w:val="000E5C27"/>
    <w:rsid w:val="000E5E4F"/>
    <w:rsid w:val="000E5EDC"/>
    <w:rsid w:val="000E5EFD"/>
    <w:rsid w:val="000E60A7"/>
    <w:rsid w:val="000E618D"/>
    <w:rsid w:val="000E62FE"/>
    <w:rsid w:val="000E630E"/>
    <w:rsid w:val="000E6476"/>
    <w:rsid w:val="000E6491"/>
    <w:rsid w:val="000E68BA"/>
    <w:rsid w:val="000E68CE"/>
    <w:rsid w:val="000E6940"/>
    <w:rsid w:val="000E6B73"/>
    <w:rsid w:val="000E6C90"/>
    <w:rsid w:val="000E6CE5"/>
    <w:rsid w:val="000E6D1C"/>
    <w:rsid w:val="000E6DAF"/>
    <w:rsid w:val="000E6DD4"/>
    <w:rsid w:val="000E709D"/>
    <w:rsid w:val="000E70C3"/>
    <w:rsid w:val="000E70F6"/>
    <w:rsid w:val="000E718D"/>
    <w:rsid w:val="000E71B0"/>
    <w:rsid w:val="000E7228"/>
    <w:rsid w:val="000E7265"/>
    <w:rsid w:val="000E72F1"/>
    <w:rsid w:val="000E7328"/>
    <w:rsid w:val="000E7520"/>
    <w:rsid w:val="000E77A2"/>
    <w:rsid w:val="000E77EE"/>
    <w:rsid w:val="000E7C13"/>
    <w:rsid w:val="000E7C7A"/>
    <w:rsid w:val="000E7D24"/>
    <w:rsid w:val="000E7F96"/>
    <w:rsid w:val="000F0194"/>
    <w:rsid w:val="000F0197"/>
    <w:rsid w:val="000F021E"/>
    <w:rsid w:val="000F0B3F"/>
    <w:rsid w:val="000F0CE9"/>
    <w:rsid w:val="000F0E29"/>
    <w:rsid w:val="000F0EB2"/>
    <w:rsid w:val="000F0FBE"/>
    <w:rsid w:val="000F0FC6"/>
    <w:rsid w:val="000F1044"/>
    <w:rsid w:val="000F1194"/>
    <w:rsid w:val="000F11D2"/>
    <w:rsid w:val="000F1281"/>
    <w:rsid w:val="000F186E"/>
    <w:rsid w:val="000F1930"/>
    <w:rsid w:val="000F1E12"/>
    <w:rsid w:val="000F1F8C"/>
    <w:rsid w:val="000F1F9F"/>
    <w:rsid w:val="000F20D1"/>
    <w:rsid w:val="000F21EF"/>
    <w:rsid w:val="000F22BC"/>
    <w:rsid w:val="000F237C"/>
    <w:rsid w:val="000F239F"/>
    <w:rsid w:val="000F265D"/>
    <w:rsid w:val="000F27C3"/>
    <w:rsid w:val="000F2830"/>
    <w:rsid w:val="000F28B3"/>
    <w:rsid w:val="000F2AEC"/>
    <w:rsid w:val="000F2B08"/>
    <w:rsid w:val="000F2DDE"/>
    <w:rsid w:val="000F2DE2"/>
    <w:rsid w:val="000F32E2"/>
    <w:rsid w:val="000F332E"/>
    <w:rsid w:val="000F333B"/>
    <w:rsid w:val="000F33EF"/>
    <w:rsid w:val="000F344A"/>
    <w:rsid w:val="000F3571"/>
    <w:rsid w:val="000F357F"/>
    <w:rsid w:val="000F3630"/>
    <w:rsid w:val="000F3684"/>
    <w:rsid w:val="000F37D0"/>
    <w:rsid w:val="000F37E6"/>
    <w:rsid w:val="000F3871"/>
    <w:rsid w:val="000F3914"/>
    <w:rsid w:val="000F3B00"/>
    <w:rsid w:val="000F3DE0"/>
    <w:rsid w:val="000F3EF4"/>
    <w:rsid w:val="000F427D"/>
    <w:rsid w:val="000F4373"/>
    <w:rsid w:val="000F4612"/>
    <w:rsid w:val="000F484B"/>
    <w:rsid w:val="000F4B1D"/>
    <w:rsid w:val="000F4D0F"/>
    <w:rsid w:val="000F4DC7"/>
    <w:rsid w:val="000F4FBB"/>
    <w:rsid w:val="000F511F"/>
    <w:rsid w:val="000F5259"/>
    <w:rsid w:val="000F550D"/>
    <w:rsid w:val="000F55F2"/>
    <w:rsid w:val="000F5740"/>
    <w:rsid w:val="000F59F3"/>
    <w:rsid w:val="000F5CA5"/>
    <w:rsid w:val="000F5D34"/>
    <w:rsid w:val="000F5D4C"/>
    <w:rsid w:val="000F5DF9"/>
    <w:rsid w:val="000F5F41"/>
    <w:rsid w:val="000F5F46"/>
    <w:rsid w:val="000F605A"/>
    <w:rsid w:val="000F60A3"/>
    <w:rsid w:val="000F61C6"/>
    <w:rsid w:val="000F6396"/>
    <w:rsid w:val="000F644F"/>
    <w:rsid w:val="000F6600"/>
    <w:rsid w:val="000F67E6"/>
    <w:rsid w:val="000F68F5"/>
    <w:rsid w:val="000F6903"/>
    <w:rsid w:val="000F6961"/>
    <w:rsid w:val="000F6B95"/>
    <w:rsid w:val="000F6D13"/>
    <w:rsid w:val="000F6E54"/>
    <w:rsid w:val="000F6ED5"/>
    <w:rsid w:val="000F6F3E"/>
    <w:rsid w:val="000F713F"/>
    <w:rsid w:val="000F7143"/>
    <w:rsid w:val="000F74BE"/>
    <w:rsid w:val="000F74D7"/>
    <w:rsid w:val="000F7635"/>
    <w:rsid w:val="000F7717"/>
    <w:rsid w:val="000F7784"/>
    <w:rsid w:val="000F791E"/>
    <w:rsid w:val="000F7968"/>
    <w:rsid w:val="000F7D11"/>
    <w:rsid w:val="000F7F45"/>
    <w:rsid w:val="0010002B"/>
    <w:rsid w:val="001001FD"/>
    <w:rsid w:val="0010037B"/>
    <w:rsid w:val="001004FD"/>
    <w:rsid w:val="001005D7"/>
    <w:rsid w:val="001005F9"/>
    <w:rsid w:val="0010072A"/>
    <w:rsid w:val="00100819"/>
    <w:rsid w:val="0010082E"/>
    <w:rsid w:val="001008CE"/>
    <w:rsid w:val="00100CDE"/>
    <w:rsid w:val="00100CEA"/>
    <w:rsid w:val="00100D0E"/>
    <w:rsid w:val="00100E0F"/>
    <w:rsid w:val="0010101B"/>
    <w:rsid w:val="001010E2"/>
    <w:rsid w:val="001010F9"/>
    <w:rsid w:val="001010FD"/>
    <w:rsid w:val="0010117E"/>
    <w:rsid w:val="001012DD"/>
    <w:rsid w:val="0010138C"/>
    <w:rsid w:val="001014DE"/>
    <w:rsid w:val="001015B6"/>
    <w:rsid w:val="001016F7"/>
    <w:rsid w:val="001018E2"/>
    <w:rsid w:val="001018F8"/>
    <w:rsid w:val="00101E20"/>
    <w:rsid w:val="001020CA"/>
    <w:rsid w:val="00102181"/>
    <w:rsid w:val="0010234C"/>
    <w:rsid w:val="00102358"/>
    <w:rsid w:val="00102429"/>
    <w:rsid w:val="001024E3"/>
    <w:rsid w:val="00102532"/>
    <w:rsid w:val="001026B7"/>
    <w:rsid w:val="001026E1"/>
    <w:rsid w:val="0010284B"/>
    <w:rsid w:val="001028F2"/>
    <w:rsid w:val="0010299F"/>
    <w:rsid w:val="00102AF8"/>
    <w:rsid w:val="00102BCD"/>
    <w:rsid w:val="00102BDA"/>
    <w:rsid w:val="00102C65"/>
    <w:rsid w:val="00102C91"/>
    <w:rsid w:val="00102D93"/>
    <w:rsid w:val="00102DAE"/>
    <w:rsid w:val="00102F1D"/>
    <w:rsid w:val="00102F96"/>
    <w:rsid w:val="001033AB"/>
    <w:rsid w:val="001035F1"/>
    <w:rsid w:val="00103B26"/>
    <w:rsid w:val="00103B36"/>
    <w:rsid w:val="00103C6C"/>
    <w:rsid w:val="00103DB3"/>
    <w:rsid w:val="00103E3A"/>
    <w:rsid w:val="00103EE2"/>
    <w:rsid w:val="00104012"/>
    <w:rsid w:val="001041AE"/>
    <w:rsid w:val="001043D6"/>
    <w:rsid w:val="00104435"/>
    <w:rsid w:val="00104489"/>
    <w:rsid w:val="001047EF"/>
    <w:rsid w:val="00104804"/>
    <w:rsid w:val="00104B8A"/>
    <w:rsid w:val="00104CC8"/>
    <w:rsid w:val="00104D1B"/>
    <w:rsid w:val="00104D2F"/>
    <w:rsid w:val="00104D3A"/>
    <w:rsid w:val="00104D92"/>
    <w:rsid w:val="00104F20"/>
    <w:rsid w:val="00104FF5"/>
    <w:rsid w:val="00105087"/>
    <w:rsid w:val="00105282"/>
    <w:rsid w:val="001052D3"/>
    <w:rsid w:val="00105402"/>
    <w:rsid w:val="001056EF"/>
    <w:rsid w:val="0010579C"/>
    <w:rsid w:val="001057AF"/>
    <w:rsid w:val="001058C5"/>
    <w:rsid w:val="00105A01"/>
    <w:rsid w:val="00105CC3"/>
    <w:rsid w:val="00105DBD"/>
    <w:rsid w:val="00105EB4"/>
    <w:rsid w:val="00105EC0"/>
    <w:rsid w:val="0010605A"/>
    <w:rsid w:val="00106190"/>
    <w:rsid w:val="001064E4"/>
    <w:rsid w:val="001068F0"/>
    <w:rsid w:val="001069F3"/>
    <w:rsid w:val="00106B09"/>
    <w:rsid w:val="00106DB6"/>
    <w:rsid w:val="00106E48"/>
    <w:rsid w:val="00106FA7"/>
    <w:rsid w:val="00107079"/>
    <w:rsid w:val="001072F8"/>
    <w:rsid w:val="00107808"/>
    <w:rsid w:val="001078C6"/>
    <w:rsid w:val="0010798C"/>
    <w:rsid w:val="001079B2"/>
    <w:rsid w:val="00107B0D"/>
    <w:rsid w:val="00107EA4"/>
    <w:rsid w:val="00107F15"/>
    <w:rsid w:val="001102E6"/>
    <w:rsid w:val="00110332"/>
    <w:rsid w:val="00110404"/>
    <w:rsid w:val="00110973"/>
    <w:rsid w:val="00110A87"/>
    <w:rsid w:val="00110B9A"/>
    <w:rsid w:val="00110C0B"/>
    <w:rsid w:val="00110EBE"/>
    <w:rsid w:val="001111B5"/>
    <w:rsid w:val="00111217"/>
    <w:rsid w:val="0011124D"/>
    <w:rsid w:val="0011125D"/>
    <w:rsid w:val="0011128C"/>
    <w:rsid w:val="0011134F"/>
    <w:rsid w:val="0011144A"/>
    <w:rsid w:val="00111681"/>
    <w:rsid w:val="00111832"/>
    <w:rsid w:val="001118C4"/>
    <w:rsid w:val="00111D17"/>
    <w:rsid w:val="0011200E"/>
    <w:rsid w:val="00112371"/>
    <w:rsid w:val="00112405"/>
    <w:rsid w:val="00112678"/>
    <w:rsid w:val="001126FA"/>
    <w:rsid w:val="0011275B"/>
    <w:rsid w:val="001127CB"/>
    <w:rsid w:val="001127F2"/>
    <w:rsid w:val="00112825"/>
    <w:rsid w:val="0011285B"/>
    <w:rsid w:val="0011291F"/>
    <w:rsid w:val="001129BA"/>
    <w:rsid w:val="00112EF4"/>
    <w:rsid w:val="00112F8A"/>
    <w:rsid w:val="00112FBB"/>
    <w:rsid w:val="0011304E"/>
    <w:rsid w:val="00113116"/>
    <w:rsid w:val="00113124"/>
    <w:rsid w:val="00113241"/>
    <w:rsid w:val="00113266"/>
    <w:rsid w:val="001133A9"/>
    <w:rsid w:val="001133C8"/>
    <w:rsid w:val="00113479"/>
    <w:rsid w:val="001135A5"/>
    <w:rsid w:val="001136A3"/>
    <w:rsid w:val="001136F7"/>
    <w:rsid w:val="0011379A"/>
    <w:rsid w:val="001138C2"/>
    <w:rsid w:val="001139AE"/>
    <w:rsid w:val="00113A2A"/>
    <w:rsid w:val="00113A49"/>
    <w:rsid w:val="00113C3B"/>
    <w:rsid w:val="00113C74"/>
    <w:rsid w:val="00113CE0"/>
    <w:rsid w:val="00113EB7"/>
    <w:rsid w:val="00113F30"/>
    <w:rsid w:val="00113F6A"/>
    <w:rsid w:val="001142AA"/>
    <w:rsid w:val="001142DB"/>
    <w:rsid w:val="001142F3"/>
    <w:rsid w:val="0011446A"/>
    <w:rsid w:val="00114726"/>
    <w:rsid w:val="00114749"/>
    <w:rsid w:val="00114846"/>
    <w:rsid w:val="001149D2"/>
    <w:rsid w:val="00114ADD"/>
    <w:rsid w:val="00114BCB"/>
    <w:rsid w:val="00115279"/>
    <w:rsid w:val="001152E4"/>
    <w:rsid w:val="0011532B"/>
    <w:rsid w:val="001153A6"/>
    <w:rsid w:val="001155ED"/>
    <w:rsid w:val="00115632"/>
    <w:rsid w:val="0011565E"/>
    <w:rsid w:val="001156D9"/>
    <w:rsid w:val="001157B6"/>
    <w:rsid w:val="001157D2"/>
    <w:rsid w:val="001158AA"/>
    <w:rsid w:val="001158C0"/>
    <w:rsid w:val="00115909"/>
    <w:rsid w:val="00115A5F"/>
    <w:rsid w:val="00115A93"/>
    <w:rsid w:val="00115B90"/>
    <w:rsid w:val="00115DFE"/>
    <w:rsid w:val="00115E07"/>
    <w:rsid w:val="00115E4E"/>
    <w:rsid w:val="00115F39"/>
    <w:rsid w:val="00115F83"/>
    <w:rsid w:val="00115FD7"/>
    <w:rsid w:val="00116018"/>
    <w:rsid w:val="0011605A"/>
    <w:rsid w:val="001160E5"/>
    <w:rsid w:val="001161A0"/>
    <w:rsid w:val="0011622C"/>
    <w:rsid w:val="001162D1"/>
    <w:rsid w:val="001163F5"/>
    <w:rsid w:val="0011640B"/>
    <w:rsid w:val="0011676C"/>
    <w:rsid w:val="0011679D"/>
    <w:rsid w:val="001168E3"/>
    <w:rsid w:val="001169E9"/>
    <w:rsid w:val="00116A19"/>
    <w:rsid w:val="00116C8D"/>
    <w:rsid w:val="00116DF0"/>
    <w:rsid w:val="00117216"/>
    <w:rsid w:val="0011744E"/>
    <w:rsid w:val="001174B4"/>
    <w:rsid w:val="001175C1"/>
    <w:rsid w:val="001176D2"/>
    <w:rsid w:val="00117849"/>
    <w:rsid w:val="0011795C"/>
    <w:rsid w:val="00117C0A"/>
    <w:rsid w:val="00117C7A"/>
    <w:rsid w:val="00117ECB"/>
    <w:rsid w:val="00120258"/>
    <w:rsid w:val="00120564"/>
    <w:rsid w:val="001205C7"/>
    <w:rsid w:val="001206FF"/>
    <w:rsid w:val="0012074C"/>
    <w:rsid w:val="00120A6C"/>
    <w:rsid w:val="00120C22"/>
    <w:rsid w:val="00120C49"/>
    <w:rsid w:val="00120D4B"/>
    <w:rsid w:val="00120EB8"/>
    <w:rsid w:val="0012110E"/>
    <w:rsid w:val="00121181"/>
    <w:rsid w:val="001212D8"/>
    <w:rsid w:val="0012137D"/>
    <w:rsid w:val="0012142A"/>
    <w:rsid w:val="001214CF"/>
    <w:rsid w:val="001214E2"/>
    <w:rsid w:val="001215F1"/>
    <w:rsid w:val="001216BF"/>
    <w:rsid w:val="001217EA"/>
    <w:rsid w:val="00121968"/>
    <w:rsid w:val="001219D1"/>
    <w:rsid w:val="00121D83"/>
    <w:rsid w:val="00121DC4"/>
    <w:rsid w:val="00121EA6"/>
    <w:rsid w:val="0012200F"/>
    <w:rsid w:val="0012211F"/>
    <w:rsid w:val="00122149"/>
    <w:rsid w:val="001222AE"/>
    <w:rsid w:val="001222B4"/>
    <w:rsid w:val="001222CE"/>
    <w:rsid w:val="001223A1"/>
    <w:rsid w:val="00122554"/>
    <w:rsid w:val="00122653"/>
    <w:rsid w:val="00122688"/>
    <w:rsid w:val="00122AF5"/>
    <w:rsid w:val="00122D35"/>
    <w:rsid w:val="00122F40"/>
    <w:rsid w:val="00123047"/>
    <w:rsid w:val="00123260"/>
    <w:rsid w:val="0012337D"/>
    <w:rsid w:val="001233E5"/>
    <w:rsid w:val="0012340E"/>
    <w:rsid w:val="00123803"/>
    <w:rsid w:val="0012382D"/>
    <w:rsid w:val="00123833"/>
    <w:rsid w:val="00123960"/>
    <w:rsid w:val="0012396F"/>
    <w:rsid w:val="00123D23"/>
    <w:rsid w:val="00123DDD"/>
    <w:rsid w:val="00123EE6"/>
    <w:rsid w:val="00123FF4"/>
    <w:rsid w:val="001241EC"/>
    <w:rsid w:val="0012425A"/>
    <w:rsid w:val="00124358"/>
    <w:rsid w:val="001244B4"/>
    <w:rsid w:val="001245DE"/>
    <w:rsid w:val="001245FF"/>
    <w:rsid w:val="001246D0"/>
    <w:rsid w:val="00124701"/>
    <w:rsid w:val="001247DC"/>
    <w:rsid w:val="001249BF"/>
    <w:rsid w:val="00124BAA"/>
    <w:rsid w:val="00124C30"/>
    <w:rsid w:val="00124CED"/>
    <w:rsid w:val="00124D6A"/>
    <w:rsid w:val="00124E94"/>
    <w:rsid w:val="00124F5C"/>
    <w:rsid w:val="00125020"/>
    <w:rsid w:val="0012513D"/>
    <w:rsid w:val="001252AA"/>
    <w:rsid w:val="00125332"/>
    <w:rsid w:val="0012545D"/>
    <w:rsid w:val="001255D5"/>
    <w:rsid w:val="001258A3"/>
    <w:rsid w:val="0012593B"/>
    <w:rsid w:val="0012595B"/>
    <w:rsid w:val="00125A4C"/>
    <w:rsid w:val="00125A52"/>
    <w:rsid w:val="00125AD8"/>
    <w:rsid w:val="00125C63"/>
    <w:rsid w:val="00125E73"/>
    <w:rsid w:val="00125F34"/>
    <w:rsid w:val="00125F84"/>
    <w:rsid w:val="0012601B"/>
    <w:rsid w:val="0012609A"/>
    <w:rsid w:val="00126104"/>
    <w:rsid w:val="00126446"/>
    <w:rsid w:val="001265F6"/>
    <w:rsid w:val="00126727"/>
    <w:rsid w:val="001267E6"/>
    <w:rsid w:val="00126845"/>
    <w:rsid w:val="001268D6"/>
    <w:rsid w:val="00126A9F"/>
    <w:rsid w:val="00126B12"/>
    <w:rsid w:val="00126E57"/>
    <w:rsid w:val="001271B9"/>
    <w:rsid w:val="00127201"/>
    <w:rsid w:val="001272CD"/>
    <w:rsid w:val="00127394"/>
    <w:rsid w:val="001274B4"/>
    <w:rsid w:val="00127680"/>
    <w:rsid w:val="001278D3"/>
    <w:rsid w:val="00127955"/>
    <w:rsid w:val="001279F0"/>
    <w:rsid w:val="00127A1D"/>
    <w:rsid w:val="00127AD3"/>
    <w:rsid w:val="00127C69"/>
    <w:rsid w:val="00127E2C"/>
    <w:rsid w:val="00127F9E"/>
    <w:rsid w:val="001301CC"/>
    <w:rsid w:val="001303EE"/>
    <w:rsid w:val="00130421"/>
    <w:rsid w:val="001304ED"/>
    <w:rsid w:val="0013050C"/>
    <w:rsid w:val="0013051D"/>
    <w:rsid w:val="00130834"/>
    <w:rsid w:val="00130897"/>
    <w:rsid w:val="001308E1"/>
    <w:rsid w:val="00130C3D"/>
    <w:rsid w:val="00130DE3"/>
    <w:rsid w:val="00130E31"/>
    <w:rsid w:val="001312A5"/>
    <w:rsid w:val="0013134F"/>
    <w:rsid w:val="00131413"/>
    <w:rsid w:val="001314E7"/>
    <w:rsid w:val="001315FD"/>
    <w:rsid w:val="00131A9A"/>
    <w:rsid w:val="00131B32"/>
    <w:rsid w:val="00131DF9"/>
    <w:rsid w:val="00131F70"/>
    <w:rsid w:val="0013231B"/>
    <w:rsid w:val="001323DF"/>
    <w:rsid w:val="00132423"/>
    <w:rsid w:val="00132573"/>
    <w:rsid w:val="001325EE"/>
    <w:rsid w:val="00132668"/>
    <w:rsid w:val="001327D6"/>
    <w:rsid w:val="00132BA3"/>
    <w:rsid w:val="00132C0C"/>
    <w:rsid w:val="00132F45"/>
    <w:rsid w:val="0013303F"/>
    <w:rsid w:val="00133275"/>
    <w:rsid w:val="00133379"/>
    <w:rsid w:val="0013347A"/>
    <w:rsid w:val="00133607"/>
    <w:rsid w:val="001337B7"/>
    <w:rsid w:val="001339E6"/>
    <w:rsid w:val="00133CF6"/>
    <w:rsid w:val="00133D2A"/>
    <w:rsid w:val="00133E74"/>
    <w:rsid w:val="00133FA4"/>
    <w:rsid w:val="0013407F"/>
    <w:rsid w:val="001341B5"/>
    <w:rsid w:val="001342B8"/>
    <w:rsid w:val="0013437D"/>
    <w:rsid w:val="00134410"/>
    <w:rsid w:val="00134655"/>
    <w:rsid w:val="001347B6"/>
    <w:rsid w:val="001348E0"/>
    <w:rsid w:val="00134B1B"/>
    <w:rsid w:val="00134F43"/>
    <w:rsid w:val="00134FE1"/>
    <w:rsid w:val="001351FA"/>
    <w:rsid w:val="00135499"/>
    <w:rsid w:val="00135767"/>
    <w:rsid w:val="001357C6"/>
    <w:rsid w:val="0013583C"/>
    <w:rsid w:val="001359FB"/>
    <w:rsid w:val="00135A28"/>
    <w:rsid w:val="00135D20"/>
    <w:rsid w:val="00135D42"/>
    <w:rsid w:val="00135E14"/>
    <w:rsid w:val="00135F7A"/>
    <w:rsid w:val="00135FCA"/>
    <w:rsid w:val="00135FD6"/>
    <w:rsid w:val="001360DF"/>
    <w:rsid w:val="0013619F"/>
    <w:rsid w:val="001363A9"/>
    <w:rsid w:val="00136559"/>
    <w:rsid w:val="00136BC7"/>
    <w:rsid w:val="00137183"/>
    <w:rsid w:val="00137468"/>
    <w:rsid w:val="001375F1"/>
    <w:rsid w:val="00137655"/>
    <w:rsid w:val="001376D7"/>
    <w:rsid w:val="00137730"/>
    <w:rsid w:val="00137815"/>
    <w:rsid w:val="00137CA3"/>
    <w:rsid w:val="00137D07"/>
    <w:rsid w:val="00137D20"/>
    <w:rsid w:val="00137DBB"/>
    <w:rsid w:val="00137F9C"/>
    <w:rsid w:val="00140681"/>
    <w:rsid w:val="001408E8"/>
    <w:rsid w:val="00140A39"/>
    <w:rsid w:val="00140AD8"/>
    <w:rsid w:val="00140B0E"/>
    <w:rsid w:val="00141279"/>
    <w:rsid w:val="001412EB"/>
    <w:rsid w:val="00141555"/>
    <w:rsid w:val="0014165B"/>
    <w:rsid w:val="001417D7"/>
    <w:rsid w:val="00141860"/>
    <w:rsid w:val="001418A1"/>
    <w:rsid w:val="001419FB"/>
    <w:rsid w:val="00141AAB"/>
    <w:rsid w:val="00141B0B"/>
    <w:rsid w:val="00141B77"/>
    <w:rsid w:val="00141B8A"/>
    <w:rsid w:val="00141C16"/>
    <w:rsid w:val="00141CB2"/>
    <w:rsid w:val="00141CF5"/>
    <w:rsid w:val="00141D93"/>
    <w:rsid w:val="00141E2D"/>
    <w:rsid w:val="00141F37"/>
    <w:rsid w:val="00141FC5"/>
    <w:rsid w:val="001421F9"/>
    <w:rsid w:val="001422BB"/>
    <w:rsid w:val="00142412"/>
    <w:rsid w:val="00142509"/>
    <w:rsid w:val="0014250C"/>
    <w:rsid w:val="0014259F"/>
    <w:rsid w:val="00142992"/>
    <w:rsid w:val="00142B2E"/>
    <w:rsid w:val="00142D6A"/>
    <w:rsid w:val="00142D8F"/>
    <w:rsid w:val="00142DBD"/>
    <w:rsid w:val="00143313"/>
    <w:rsid w:val="0014342E"/>
    <w:rsid w:val="001437BC"/>
    <w:rsid w:val="00143891"/>
    <w:rsid w:val="00143B77"/>
    <w:rsid w:val="00143C28"/>
    <w:rsid w:val="00143E6F"/>
    <w:rsid w:val="00143F1B"/>
    <w:rsid w:val="00144180"/>
    <w:rsid w:val="001441A6"/>
    <w:rsid w:val="001441DD"/>
    <w:rsid w:val="0014421B"/>
    <w:rsid w:val="001443C3"/>
    <w:rsid w:val="00144483"/>
    <w:rsid w:val="0014448E"/>
    <w:rsid w:val="001445A6"/>
    <w:rsid w:val="001447F9"/>
    <w:rsid w:val="00144962"/>
    <w:rsid w:val="00144A9D"/>
    <w:rsid w:val="00144AA6"/>
    <w:rsid w:val="00144ADF"/>
    <w:rsid w:val="00144B66"/>
    <w:rsid w:val="00144E1D"/>
    <w:rsid w:val="00144EA6"/>
    <w:rsid w:val="00144EBF"/>
    <w:rsid w:val="00144EC2"/>
    <w:rsid w:val="00144FAB"/>
    <w:rsid w:val="0014502C"/>
    <w:rsid w:val="0014521C"/>
    <w:rsid w:val="0014557F"/>
    <w:rsid w:val="001455C6"/>
    <w:rsid w:val="0014568B"/>
    <w:rsid w:val="0014577A"/>
    <w:rsid w:val="00145792"/>
    <w:rsid w:val="0014591A"/>
    <w:rsid w:val="00145941"/>
    <w:rsid w:val="0014595C"/>
    <w:rsid w:val="00145A4B"/>
    <w:rsid w:val="00145B30"/>
    <w:rsid w:val="00145C84"/>
    <w:rsid w:val="00145C8E"/>
    <w:rsid w:val="00145CC8"/>
    <w:rsid w:val="001462FB"/>
    <w:rsid w:val="0014632E"/>
    <w:rsid w:val="00146355"/>
    <w:rsid w:val="0014656D"/>
    <w:rsid w:val="0014659E"/>
    <w:rsid w:val="001466F9"/>
    <w:rsid w:val="0014681B"/>
    <w:rsid w:val="001468A5"/>
    <w:rsid w:val="00146B26"/>
    <w:rsid w:val="00146D05"/>
    <w:rsid w:val="00146D43"/>
    <w:rsid w:val="00146D83"/>
    <w:rsid w:val="00146DE5"/>
    <w:rsid w:val="00146E58"/>
    <w:rsid w:val="00146E6D"/>
    <w:rsid w:val="0014746F"/>
    <w:rsid w:val="0014755D"/>
    <w:rsid w:val="001475B2"/>
    <w:rsid w:val="001475FF"/>
    <w:rsid w:val="001476C4"/>
    <w:rsid w:val="0014775A"/>
    <w:rsid w:val="001477B4"/>
    <w:rsid w:val="00147998"/>
    <w:rsid w:val="00147A36"/>
    <w:rsid w:val="00147A8D"/>
    <w:rsid w:val="00147BD3"/>
    <w:rsid w:val="00147D67"/>
    <w:rsid w:val="00147D69"/>
    <w:rsid w:val="00147DB0"/>
    <w:rsid w:val="00147F10"/>
    <w:rsid w:val="00147FAA"/>
    <w:rsid w:val="0015002D"/>
    <w:rsid w:val="00150215"/>
    <w:rsid w:val="00150468"/>
    <w:rsid w:val="00150659"/>
    <w:rsid w:val="00150754"/>
    <w:rsid w:val="00150807"/>
    <w:rsid w:val="0015096E"/>
    <w:rsid w:val="00150A3D"/>
    <w:rsid w:val="00150CEF"/>
    <w:rsid w:val="00150DF2"/>
    <w:rsid w:val="00150E2C"/>
    <w:rsid w:val="00150E8B"/>
    <w:rsid w:val="00150EF9"/>
    <w:rsid w:val="0015107E"/>
    <w:rsid w:val="00151282"/>
    <w:rsid w:val="0015139E"/>
    <w:rsid w:val="001514F3"/>
    <w:rsid w:val="00151B37"/>
    <w:rsid w:val="00151B6E"/>
    <w:rsid w:val="00151BC7"/>
    <w:rsid w:val="00151BC9"/>
    <w:rsid w:val="00151E88"/>
    <w:rsid w:val="001522A1"/>
    <w:rsid w:val="001522BF"/>
    <w:rsid w:val="001522DE"/>
    <w:rsid w:val="0015256B"/>
    <w:rsid w:val="0015258F"/>
    <w:rsid w:val="0015261D"/>
    <w:rsid w:val="001526B9"/>
    <w:rsid w:val="001526CE"/>
    <w:rsid w:val="001526E0"/>
    <w:rsid w:val="001526FF"/>
    <w:rsid w:val="00152767"/>
    <w:rsid w:val="0015279C"/>
    <w:rsid w:val="00152831"/>
    <w:rsid w:val="00152AE0"/>
    <w:rsid w:val="00152B05"/>
    <w:rsid w:val="00152B18"/>
    <w:rsid w:val="00152C22"/>
    <w:rsid w:val="00152C59"/>
    <w:rsid w:val="00152CF8"/>
    <w:rsid w:val="00152D97"/>
    <w:rsid w:val="00152EAA"/>
    <w:rsid w:val="001530BA"/>
    <w:rsid w:val="0015352F"/>
    <w:rsid w:val="001535F4"/>
    <w:rsid w:val="001535FE"/>
    <w:rsid w:val="00153702"/>
    <w:rsid w:val="001537AA"/>
    <w:rsid w:val="00153C24"/>
    <w:rsid w:val="00153CED"/>
    <w:rsid w:val="00153EE1"/>
    <w:rsid w:val="0015417D"/>
    <w:rsid w:val="00154237"/>
    <w:rsid w:val="001543E6"/>
    <w:rsid w:val="00154499"/>
    <w:rsid w:val="00154636"/>
    <w:rsid w:val="00154725"/>
    <w:rsid w:val="0015478F"/>
    <w:rsid w:val="00154832"/>
    <w:rsid w:val="0015484A"/>
    <w:rsid w:val="00154951"/>
    <w:rsid w:val="001549BD"/>
    <w:rsid w:val="00154B18"/>
    <w:rsid w:val="00154BB1"/>
    <w:rsid w:val="00154BBC"/>
    <w:rsid w:val="00154C23"/>
    <w:rsid w:val="00154EDA"/>
    <w:rsid w:val="00155049"/>
    <w:rsid w:val="0015508A"/>
    <w:rsid w:val="001550A8"/>
    <w:rsid w:val="00155262"/>
    <w:rsid w:val="0015542A"/>
    <w:rsid w:val="00155B07"/>
    <w:rsid w:val="00155B57"/>
    <w:rsid w:val="00155B5E"/>
    <w:rsid w:val="00155B8E"/>
    <w:rsid w:val="00155C8D"/>
    <w:rsid w:val="00155CF7"/>
    <w:rsid w:val="00155E0F"/>
    <w:rsid w:val="00155F25"/>
    <w:rsid w:val="00156172"/>
    <w:rsid w:val="00156224"/>
    <w:rsid w:val="001564D5"/>
    <w:rsid w:val="00156584"/>
    <w:rsid w:val="001565E6"/>
    <w:rsid w:val="001565F3"/>
    <w:rsid w:val="001566B8"/>
    <w:rsid w:val="001569EC"/>
    <w:rsid w:val="001569FA"/>
    <w:rsid w:val="00156B77"/>
    <w:rsid w:val="00156B8F"/>
    <w:rsid w:val="00156BB9"/>
    <w:rsid w:val="00156D01"/>
    <w:rsid w:val="00156D2B"/>
    <w:rsid w:val="001571B8"/>
    <w:rsid w:val="0015729A"/>
    <w:rsid w:val="001572A3"/>
    <w:rsid w:val="001572D9"/>
    <w:rsid w:val="001573B8"/>
    <w:rsid w:val="0015752A"/>
    <w:rsid w:val="001577FF"/>
    <w:rsid w:val="00157831"/>
    <w:rsid w:val="0015788B"/>
    <w:rsid w:val="00157B2A"/>
    <w:rsid w:val="00157CF3"/>
    <w:rsid w:val="00157D5D"/>
    <w:rsid w:val="00157EA6"/>
    <w:rsid w:val="0016011D"/>
    <w:rsid w:val="00160149"/>
    <w:rsid w:val="0016039A"/>
    <w:rsid w:val="001603DE"/>
    <w:rsid w:val="0016049C"/>
    <w:rsid w:val="00160531"/>
    <w:rsid w:val="00160610"/>
    <w:rsid w:val="00160858"/>
    <w:rsid w:val="00160882"/>
    <w:rsid w:val="0016090A"/>
    <w:rsid w:val="00160A0F"/>
    <w:rsid w:val="00160D8E"/>
    <w:rsid w:val="00160E04"/>
    <w:rsid w:val="00160E9D"/>
    <w:rsid w:val="00160FB0"/>
    <w:rsid w:val="001610E1"/>
    <w:rsid w:val="00161187"/>
    <w:rsid w:val="001611A8"/>
    <w:rsid w:val="001613B9"/>
    <w:rsid w:val="00161663"/>
    <w:rsid w:val="001616DC"/>
    <w:rsid w:val="001616F7"/>
    <w:rsid w:val="00161782"/>
    <w:rsid w:val="001617B0"/>
    <w:rsid w:val="001618A5"/>
    <w:rsid w:val="00161B44"/>
    <w:rsid w:val="00161C16"/>
    <w:rsid w:val="00161CB3"/>
    <w:rsid w:val="00161EC7"/>
    <w:rsid w:val="00161EF8"/>
    <w:rsid w:val="0016205A"/>
    <w:rsid w:val="0016231D"/>
    <w:rsid w:val="00162454"/>
    <w:rsid w:val="00162565"/>
    <w:rsid w:val="00162580"/>
    <w:rsid w:val="001626BB"/>
    <w:rsid w:val="001627B3"/>
    <w:rsid w:val="00162837"/>
    <w:rsid w:val="00162A19"/>
    <w:rsid w:val="00162A63"/>
    <w:rsid w:val="00162CAD"/>
    <w:rsid w:val="00162F1C"/>
    <w:rsid w:val="00162F51"/>
    <w:rsid w:val="00162F9B"/>
    <w:rsid w:val="00162F9E"/>
    <w:rsid w:val="0016300F"/>
    <w:rsid w:val="0016303A"/>
    <w:rsid w:val="0016319A"/>
    <w:rsid w:val="0016320A"/>
    <w:rsid w:val="00163246"/>
    <w:rsid w:val="001632E9"/>
    <w:rsid w:val="001632EA"/>
    <w:rsid w:val="00163517"/>
    <w:rsid w:val="0016356A"/>
    <w:rsid w:val="00163824"/>
    <w:rsid w:val="00163A24"/>
    <w:rsid w:val="00163AA3"/>
    <w:rsid w:val="00163B60"/>
    <w:rsid w:val="00163CD3"/>
    <w:rsid w:val="00163DB9"/>
    <w:rsid w:val="00163E83"/>
    <w:rsid w:val="00164297"/>
    <w:rsid w:val="00164512"/>
    <w:rsid w:val="00164788"/>
    <w:rsid w:val="001647C3"/>
    <w:rsid w:val="001647EC"/>
    <w:rsid w:val="0016481E"/>
    <w:rsid w:val="00164827"/>
    <w:rsid w:val="001649B5"/>
    <w:rsid w:val="001649FD"/>
    <w:rsid w:val="00164AA3"/>
    <w:rsid w:val="00164C24"/>
    <w:rsid w:val="00164CBB"/>
    <w:rsid w:val="0016503F"/>
    <w:rsid w:val="001650A5"/>
    <w:rsid w:val="0016531E"/>
    <w:rsid w:val="001654EF"/>
    <w:rsid w:val="00165542"/>
    <w:rsid w:val="00165594"/>
    <w:rsid w:val="001656AF"/>
    <w:rsid w:val="00165787"/>
    <w:rsid w:val="001657C3"/>
    <w:rsid w:val="0016589B"/>
    <w:rsid w:val="001658CC"/>
    <w:rsid w:val="001659E4"/>
    <w:rsid w:val="001659F7"/>
    <w:rsid w:val="00165A12"/>
    <w:rsid w:val="00165CEC"/>
    <w:rsid w:val="00165E3E"/>
    <w:rsid w:val="00165EDE"/>
    <w:rsid w:val="00165F23"/>
    <w:rsid w:val="00165F6D"/>
    <w:rsid w:val="00166033"/>
    <w:rsid w:val="0016605A"/>
    <w:rsid w:val="00166070"/>
    <w:rsid w:val="001660FE"/>
    <w:rsid w:val="0016622D"/>
    <w:rsid w:val="00166266"/>
    <w:rsid w:val="001662E8"/>
    <w:rsid w:val="00166469"/>
    <w:rsid w:val="001664A7"/>
    <w:rsid w:val="001664E0"/>
    <w:rsid w:val="0016657B"/>
    <w:rsid w:val="001665C0"/>
    <w:rsid w:val="001666D2"/>
    <w:rsid w:val="00166A3C"/>
    <w:rsid w:val="00166B6E"/>
    <w:rsid w:val="00166B73"/>
    <w:rsid w:val="00166E0B"/>
    <w:rsid w:val="00166F97"/>
    <w:rsid w:val="00167010"/>
    <w:rsid w:val="00167169"/>
    <w:rsid w:val="001672D0"/>
    <w:rsid w:val="0016746D"/>
    <w:rsid w:val="001674AD"/>
    <w:rsid w:val="00167700"/>
    <w:rsid w:val="0016773B"/>
    <w:rsid w:val="00167740"/>
    <w:rsid w:val="001677CA"/>
    <w:rsid w:val="00167838"/>
    <w:rsid w:val="001678A9"/>
    <w:rsid w:val="00167ACC"/>
    <w:rsid w:val="00167B51"/>
    <w:rsid w:val="00167C1C"/>
    <w:rsid w:val="00167C82"/>
    <w:rsid w:val="00167D56"/>
    <w:rsid w:val="00167ED0"/>
    <w:rsid w:val="0017009A"/>
    <w:rsid w:val="00170114"/>
    <w:rsid w:val="001701FE"/>
    <w:rsid w:val="0017028F"/>
    <w:rsid w:val="001703AE"/>
    <w:rsid w:val="00170A52"/>
    <w:rsid w:val="00171003"/>
    <w:rsid w:val="001710FF"/>
    <w:rsid w:val="001712C0"/>
    <w:rsid w:val="001712CD"/>
    <w:rsid w:val="00171540"/>
    <w:rsid w:val="001715A1"/>
    <w:rsid w:val="001716CA"/>
    <w:rsid w:val="001717F1"/>
    <w:rsid w:val="00171948"/>
    <w:rsid w:val="00171A1F"/>
    <w:rsid w:val="00171AF0"/>
    <w:rsid w:val="00171C3A"/>
    <w:rsid w:val="00171C6F"/>
    <w:rsid w:val="00171EB6"/>
    <w:rsid w:val="00172072"/>
    <w:rsid w:val="0017219B"/>
    <w:rsid w:val="001721E2"/>
    <w:rsid w:val="00172288"/>
    <w:rsid w:val="0017231E"/>
    <w:rsid w:val="0017247C"/>
    <w:rsid w:val="001726AD"/>
    <w:rsid w:val="00172A2D"/>
    <w:rsid w:val="00172A5A"/>
    <w:rsid w:val="00172ABF"/>
    <w:rsid w:val="00172B24"/>
    <w:rsid w:val="00172B9D"/>
    <w:rsid w:val="00172BC1"/>
    <w:rsid w:val="00172CFC"/>
    <w:rsid w:val="00172E0B"/>
    <w:rsid w:val="00172ECA"/>
    <w:rsid w:val="00172EDF"/>
    <w:rsid w:val="00172FCF"/>
    <w:rsid w:val="00172FF5"/>
    <w:rsid w:val="00173008"/>
    <w:rsid w:val="001730D8"/>
    <w:rsid w:val="00173198"/>
    <w:rsid w:val="001731DD"/>
    <w:rsid w:val="001731F2"/>
    <w:rsid w:val="001732B6"/>
    <w:rsid w:val="001734B0"/>
    <w:rsid w:val="00173548"/>
    <w:rsid w:val="001736DD"/>
    <w:rsid w:val="00173C6B"/>
    <w:rsid w:val="00173CB8"/>
    <w:rsid w:val="00173D18"/>
    <w:rsid w:val="00173E43"/>
    <w:rsid w:val="00173F1D"/>
    <w:rsid w:val="00173F96"/>
    <w:rsid w:val="001741CE"/>
    <w:rsid w:val="00174201"/>
    <w:rsid w:val="0017431A"/>
    <w:rsid w:val="001743CF"/>
    <w:rsid w:val="00174609"/>
    <w:rsid w:val="00174630"/>
    <w:rsid w:val="0017469B"/>
    <w:rsid w:val="001746B7"/>
    <w:rsid w:val="001746CB"/>
    <w:rsid w:val="00174847"/>
    <w:rsid w:val="00174AA2"/>
    <w:rsid w:val="00174B5A"/>
    <w:rsid w:val="00174BAB"/>
    <w:rsid w:val="00174BE5"/>
    <w:rsid w:val="00174CD3"/>
    <w:rsid w:val="00174D61"/>
    <w:rsid w:val="00174E51"/>
    <w:rsid w:val="00174F99"/>
    <w:rsid w:val="001752D6"/>
    <w:rsid w:val="00175422"/>
    <w:rsid w:val="00175441"/>
    <w:rsid w:val="00175632"/>
    <w:rsid w:val="001756AE"/>
    <w:rsid w:val="00175721"/>
    <w:rsid w:val="0017582A"/>
    <w:rsid w:val="00175856"/>
    <w:rsid w:val="001758DA"/>
    <w:rsid w:val="0017597A"/>
    <w:rsid w:val="00175A74"/>
    <w:rsid w:val="00175A88"/>
    <w:rsid w:val="00175E6C"/>
    <w:rsid w:val="00175E9D"/>
    <w:rsid w:val="00176005"/>
    <w:rsid w:val="00176069"/>
    <w:rsid w:val="001760D7"/>
    <w:rsid w:val="00176390"/>
    <w:rsid w:val="001763B6"/>
    <w:rsid w:val="001765CC"/>
    <w:rsid w:val="0017660E"/>
    <w:rsid w:val="00176707"/>
    <w:rsid w:val="001769DD"/>
    <w:rsid w:val="00176BED"/>
    <w:rsid w:val="00176C01"/>
    <w:rsid w:val="00176E09"/>
    <w:rsid w:val="00176EC5"/>
    <w:rsid w:val="00176F6F"/>
    <w:rsid w:val="001770D7"/>
    <w:rsid w:val="0017727C"/>
    <w:rsid w:val="00177373"/>
    <w:rsid w:val="001773F1"/>
    <w:rsid w:val="001775CD"/>
    <w:rsid w:val="00177633"/>
    <w:rsid w:val="00177642"/>
    <w:rsid w:val="00177668"/>
    <w:rsid w:val="00177767"/>
    <w:rsid w:val="00177779"/>
    <w:rsid w:val="001777ED"/>
    <w:rsid w:val="00177AFB"/>
    <w:rsid w:val="00177D9C"/>
    <w:rsid w:val="00177F23"/>
    <w:rsid w:val="00180089"/>
    <w:rsid w:val="001801A1"/>
    <w:rsid w:val="0018031B"/>
    <w:rsid w:val="00180374"/>
    <w:rsid w:val="00180406"/>
    <w:rsid w:val="00180658"/>
    <w:rsid w:val="0018082E"/>
    <w:rsid w:val="001808D8"/>
    <w:rsid w:val="00180946"/>
    <w:rsid w:val="00180A68"/>
    <w:rsid w:val="00180BAF"/>
    <w:rsid w:val="00180BC8"/>
    <w:rsid w:val="00180CFD"/>
    <w:rsid w:val="00180E6B"/>
    <w:rsid w:val="00180F2B"/>
    <w:rsid w:val="00180F41"/>
    <w:rsid w:val="001810CB"/>
    <w:rsid w:val="001810F0"/>
    <w:rsid w:val="001810F4"/>
    <w:rsid w:val="00181117"/>
    <w:rsid w:val="0018121E"/>
    <w:rsid w:val="001812C1"/>
    <w:rsid w:val="0018149A"/>
    <w:rsid w:val="00181529"/>
    <w:rsid w:val="00181668"/>
    <w:rsid w:val="0018169F"/>
    <w:rsid w:val="001816A9"/>
    <w:rsid w:val="00181703"/>
    <w:rsid w:val="001817F5"/>
    <w:rsid w:val="00181AAF"/>
    <w:rsid w:val="00181B2B"/>
    <w:rsid w:val="00181B3E"/>
    <w:rsid w:val="00181D37"/>
    <w:rsid w:val="00181E38"/>
    <w:rsid w:val="00181E6E"/>
    <w:rsid w:val="00181FAE"/>
    <w:rsid w:val="00181FBD"/>
    <w:rsid w:val="00181FE2"/>
    <w:rsid w:val="0018201A"/>
    <w:rsid w:val="00182181"/>
    <w:rsid w:val="00182185"/>
    <w:rsid w:val="001821E7"/>
    <w:rsid w:val="001823A6"/>
    <w:rsid w:val="001824DE"/>
    <w:rsid w:val="00182544"/>
    <w:rsid w:val="00182834"/>
    <w:rsid w:val="00182939"/>
    <w:rsid w:val="001829A8"/>
    <w:rsid w:val="00182CA8"/>
    <w:rsid w:val="00182EC7"/>
    <w:rsid w:val="00182ECE"/>
    <w:rsid w:val="00183009"/>
    <w:rsid w:val="0018303F"/>
    <w:rsid w:val="00183282"/>
    <w:rsid w:val="0018354C"/>
    <w:rsid w:val="0018359A"/>
    <w:rsid w:val="001835F0"/>
    <w:rsid w:val="0018361B"/>
    <w:rsid w:val="0018388E"/>
    <w:rsid w:val="001838BE"/>
    <w:rsid w:val="00183A6E"/>
    <w:rsid w:val="00183AD3"/>
    <w:rsid w:val="00183DF4"/>
    <w:rsid w:val="00183E48"/>
    <w:rsid w:val="00183F8E"/>
    <w:rsid w:val="001842C6"/>
    <w:rsid w:val="0018432A"/>
    <w:rsid w:val="00184486"/>
    <w:rsid w:val="0018453C"/>
    <w:rsid w:val="0018468D"/>
    <w:rsid w:val="0018469B"/>
    <w:rsid w:val="001847D5"/>
    <w:rsid w:val="001848B7"/>
    <w:rsid w:val="001848C4"/>
    <w:rsid w:val="001849D5"/>
    <w:rsid w:val="00184B6D"/>
    <w:rsid w:val="00184B7E"/>
    <w:rsid w:val="00185071"/>
    <w:rsid w:val="00185156"/>
    <w:rsid w:val="00185246"/>
    <w:rsid w:val="0018530E"/>
    <w:rsid w:val="001855DA"/>
    <w:rsid w:val="00185657"/>
    <w:rsid w:val="00185713"/>
    <w:rsid w:val="00185839"/>
    <w:rsid w:val="00185BAB"/>
    <w:rsid w:val="00185BB4"/>
    <w:rsid w:val="00185D3C"/>
    <w:rsid w:val="00186083"/>
    <w:rsid w:val="001860F9"/>
    <w:rsid w:val="001861EA"/>
    <w:rsid w:val="001863D3"/>
    <w:rsid w:val="00186498"/>
    <w:rsid w:val="00186892"/>
    <w:rsid w:val="0018691B"/>
    <w:rsid w:val="00186AB7"/>
    <w:rsid w:val="00186AE3"/>
    <w:rsid w:val="00186C15"/>
    <w:rsid w:val="00186C6F"/>
    <w:rsid w:val="00186D3D"/>
    <w:rsid w:val="00186E80"/>
    <w:rsid w:val="00186F4C"/>
    <w:rsid w:val="0018706A"/>
    <w:rsid w:val="0018726E"/>
    <w:rsid w:val="00187467"/>
    <w:rsid w:val="0018768E"/>
    <w:rsid w:val="001876A4"/>
    <w:rsid w:val="0018794F"/>
    <w:rsid w:val="00187A39"/>
    <w:rsid w:val="00187B2F"/>
    <w:rsid w:val="00187BC5"/>
    <w:rsid w:val="00187CB6"/>
    <w:rsid w:val="00187D96"/>
    <w:rsid w:val="00187E30"/>
    <w:rsid w:val="00187F6D"/>
    <w:rsid w:val="0019022C"/>
    <w:rsid w:val="00190341"/>
    <w:rsid w:val="0019045D"/>
    <w:rsid w:val="00190606"/>
    <w:rsid w:val="00190869"/>
    <w:rsid w:val="001908B0"/>
    <w:rsid w:val="001908B8"/>
    <w:rsid w:val="00190A44"/>
    <w:rsid w:val="00190BB0"/>
    <w:rsid w:val="00190C27"/>
    <w:rsid w:val="00190DE6"/>
    <w:rsid w:val="00190E74"/>
    <w:rsid w:val="00190F4D"/>
    <w:rsid w:val="00191159"/>
    <w:rsid w:val="0019161E"/>
    <w:rsid w:val="00191682"/>
    <w:rsid w:val="00191732"/>
    <w:rsid w:val="001917C0"/>
    <w:rsid w:val="0019192D"/>
    <w:rsid w:val="00191AD8"/>
    <w:rsid w:val="00191BFA"/>
    <w:rsid w:val="00191C4B"/>
    <w:rsid w:val="00191C67"/>
    <w:rsid w:val="00191DD1"/>
    <w:rsid w:val="00191E05"/>
    <w:rsid w:val="00191E96"/>
    <w:rsid w:val="00191F40"/>
    <w:rsid w:val="0019211B"/>
    <w:rsid w:val="001921F0"/>
    <w:rsid w:val="00192309"/>
    <w:rsid w:val="0019234D"/>
    <w:rsid w:val="00192390"/>
    <w:rsid w:val="001923F7"/>
    <w:rsid w:val="001924FF"/>
    <w:rsid w:val="0019254A"/>
    <w:rsid w:val="00192585"/>
    <w:rsid w:val="0019266F"/>
    <w:rsid w:val="0019273D"/>
    <w:rsid w:val="001928D5"/>
    <w:rsid w:val="001928D8"/>
    <w:rsid w:val="00192BEE"/>
    <w:rsid w:val="00192CA4"/>
    <w:rsid w:val="00192E97"/>
    <w:rsid w:val="00192F7C"/>
    <w:rsid w:val="0019326D"/>
    <w:rsid w:val="00193382"/>
    <w:rsid w:val="001933DE"/>
    <w:rsid w:val="001933EA"/>
    <w:rsid w:val="00193488"/>
    <w:rsid w:val="00193AF8"/>
    <w:rsid w:val="00193BFB"/>
    <w:rsid w:val="00193C44"/>
    <w:rsid w:val="00193E5D"/>
    <w:rsid w:val="0019409C"/>
    <w:rsid w:val="001940BE"/>
    <w:rsid w:val="00194137"/>
    <w:rsid w:val="001941E2"/>
    <w:rsid w:val="00194202"/>
    <w:rsid w:val="00194268"/>
    <w:rsid w:val="0019442C"/>
    <w:rsid w:val="001944AE"/>
    <w:rsid w:val="00194511"/>
    <w:rsid w:val="0019457C"/>
    <w:rsid w:val="001947D2"/>
    <w:rsid w:val="0019489A"/>
    <w:rsid w:val="00194956"/>
    <w:rsid w:val="00194A51"/>
    <w:rsid w:val="00194A75"/>
    <w:rsid w:val="00194A87"/>
    <w:rsid w:val="00194B8B"/>
    <w:rsid w:val="00194CF1"/>
    <w:rsid w:val="00194F2E"/>
    <w:rsid w:val="00194FAF"/>
    <w:rsid w:val="00195088"/>
    <w:rsid w:val="001950D6"/>
    <w:rsid w:val="00195130"/>
    <w:rsid w:val="00195175"/>
    <w:rsid w:val="00195290"/>
    <w:rsid w:val="0019529D"/>
    <w:rsid w:val="0019533E"/>
    <w:rsid w:val="001953B0"/>
    <w:rsid w:val="00195541"/>
    <w:rsid w:val="001955C9"/>
    <w:rsid w:val="00195656"/>
    <w:rsid w:val="00195782"/>
    <w:rsid w:val="001957CF"/>
    <w:rsid w:val="001957E1"/>
    <w:rsid w:val="00195854"/>
    <w:rsid w:val="001958C8"/>
    <w:rsid w:val="001958CC"/>
    <w:rsid w:val="001958DB"/>
    <w:rsid w:val="00195973"/>
    <w:rsid w:val="00195B40"/>
    <w:rsid w:val="00195C1F"/>
    <w:rsid w:val="00195C86"/>
    <w:rsid w:val="00195D28"/>
    <w:rsid w:val="00195DC5"/>
    <w:rsid w:val="0019600E"/>
    <w:rsid w:val="001963D6"/>
    <w:rsid w:val="001963F5"/>
    <w:rsid w:val="00196720"/>
    <w:rsid w:val="00196756"/>
    <w:rsid w:val="0019675E"/>
    <w:rsid w:val="001967AE"/>
    <w:rsid w:val="001967B1"/>
    <w:rsid w:val="00196B93"/>
    <w:rsid w:val="00196D23"/>
    <w:rsid w:val="001970C5"/>
    <w:rsid w:val="0019713C"/>
    <w:rsid w:val="00197165"/>
    <w:rsid w:val="0019758D"/>
    <w:rsid w:val="00197622"/>
    <w:rsid w:val="00197747"/>
    <w:rsid w:val="00197816"/>
    <w:rsid w:val="001978F6"/>
    <w:rsid w:val="001978F8"/>
    <w:rsid w:val="00197A1B"/>
    <w:rsid w:val="00197A44"/>
    <w:rsid w:val="00197B20"/>
    <w:rsid w:val="00197B3D"/>
    <w:rsid w:val="00197C1C"/>
    <w:rsid w:val="00197C75"/>
    <w:rsid w:val="00197D0F"/>
    <w:rsid w:val="00197FA1"/>
    <w:rsid w:val="001A0134"/>
    <w:rsid w:val="001A038D"/>
    <w:rsid w:val="001A0432"/>
    <w:rsid w:val="001A04D7"/>
    <w:rsid w:val="001A052F"/>
    <w:rsid w:val="001A053A"/>
    <w:rsid w:val="001A056C"/>
    <w:rsid w:val="001A0641"/>
    <w:rsid w:val="001A065B"/>
    <w:rsid w:val="001A0711"/>
    <w:rsid w:val="001A0927"/>
    <w:rsid w:val="001A0B82"/>
    <w:rsid w:val="001A0BEE"/>
    <w:rsid w:val="001A0DC3"/>
    <w:rsid w:val="001A0F2B"/>
    <w:rsid w:val="001A108C"/>
    <w:rsid w:val="001A1224"/>
    <w:rsid w:val="001A12F1"/>
    <w:rsid w:val="001A1474"/>
    <w:rsid w:val="001A14ED"/>
    <w:rsid w:val="001A1527"/>
    <w:rsid w:val="001A1539"/>
    <w:rsid w:val="001A162B"/>
    <w:rsid w:val="001A1743"/>
    <w:rsid w:val="001A17BA"/>
    <w:rsid w:val="001A18F9"/>
    <w:rsid w:val="001A1D16"/>
    <w:rsid w:val="001A1E4A"/>
    <w:rsid w:val="001A1E56"/>
    <w:rsid w:val="001A1E76"/>
    <w:rsid w:val="001A1F25"/>
    <w:rsid w:val="001A202B"/>
    <w:rsid w:val="001A209A"/>
    <w:rsid w:val="001A21F2"/>
    <w:rsid w:val="001A2409"/>
    <w:rsid w:val="001A253A"/>
    <w:rsid w:val="001A266B"/>
    <w:rsid w:val="001A267A"/>
    <w:rsid w:val="001A287B"/>
    <w:rsid w:val="001A2A57"/>
    <w:rsid w:val="001A2AC2"/>
    <w:rsid w:val="001A2B0F"/>
    <w:rsid w:val="001A2BB7"/>
    <w:rsid w:val="001A2D7A"/>
    <w:rsid w:val="001A2D94"/>
    <w:rsid w:val="001A2F16"/>
    <w:rsid w:val="001A2FD1"/>
    <w:rsid w:val="001A2FF7"/>
    <w:rsid w:val="001A306C"/>
    <w:rsid w:val="001A3198"/>
    <w:rsid w:val="001A3566"/>
    <w:rsid w:val="001A3619"/>
    <w:rsid w:val="001A3700"/>
    <w:rsid w:val="001A39D2"/>
    <w:rsid w:val="001A3BF5"/>
    <w:rsid w:val="001A3C4E"/>
    <w:rsid w:val="001A3CC1"/>
    <w:rsid w:val="001A3E8A"/>
    <w:rsid w:val="001A3F51"/>
    <w:rsid w:val="001A4015"/>
    <w:rsid w:val="001A401E"/>
    <w:rsid w:val="001A4048"/>
    <w:rsid w:val="001A4226"/>
    <w:rsid w:val="001A4431"/>
    <w:rsid w:val="001A445C"/>
    <w:rsid w:val="001A448B"/>
    <w:rsid w:val="001A4B9D"/>
    <w:rsid w:val="001A4BBF"/>
    <w:rsid w:val="001A4D26"/>
    <w:rsid w:val="001A4D59"/>
    <w:rsid w:val="001A4F5E"/>
    <w:rsid w:val="001A4F6C"/>
    <w:rsid w:val="001A50F4"/>
    <w:rsid w:val="001A51DA"/>
    <w:rsid w:val="001A55F1"/>
    <w:rsid w:val="001A56EC"/>
    <w:rsid w:val="001A5720"/>
    <w:rsid w:val="001A581E"/>
    <w:rsid w:val="001A5841"/>
    <w:rsid w:val="001A592E"/>
    <w:rsid w:val="001A5951"/>
    <w:rsid w:val="001A59F8"/>
    <w:rsid w:val="001A5D0B"/>
    <w:rsid w:val="001A5DAD"/>
    <w:rsid w:val="001A5E2A"/>
    <w:rsid w:val="001A5F9D"/>
    <w:rsid w:val="001A6082"/>
    <w:rsid w:val="001A608C"/>
    <w:rsid w:val="001A61A4"/>
    <w:rsid w:val="001A61BB"/>
    <w:rsid w:val="001A62F6"/>
    <w:rsid w:val="001A6370"/>
    <w:rsid w:val="001A64F2"/>
    <w:rsid w:val="001A6721"/>
    <w:rsid w:val="001A67DF"/>
    <w:rsid w:val="001A681E"/>
    <w:rsid w:val="001A68CE"/>
    <w:rsid w:val="001A6C8D"/>
    <w:rsid w:val="001A6CA2"/>
    <w:rsid w:val="001A6D6B"/>
    <w:rsid w:val="001A6DC3"/>
    <w:rsid w:val="001A7122"/>
    <w:rsid w:val="001A713D"/>
    <w:rsid w:val="001A72A8"/>
    <w:rsid w:val="001A735C"/>
    <w:rsid w:val="001A7999"/>
    <w:rsid w:val="001A79D4"/>
    <w:rsid w:val="001A7A41"/>
    <w:rsid w:val="001A7A94"/>
    <w:rsid w:val="001A7AA1"/>
    <w:rsid w:val="001A7B74"/>
    <w:rsid w:val="001A7BEE"/>
    <w:rsid w:val="001A7CB6"/>
    <w:rsid w:val="001A7CBE"/>
    <w:rsid w:val="001A7D0D"/>
    <w:rsid w:val="001A7D6F"/>
    <w:rsid w:val="001A7DD2"/>
    <w:rsid w:val="001A7EF4"/>
    <w:rsid w:val="001B0146"/>
    <w:rsid w:val="001B01D3"/>
    <w:rsid w:val="001B0288"/>
    <w:rsid w:val="001B0302"/>
    <w:rsid w:val="001B03BF"/>
    <w:rsid w:val="001B0442"/>
    <w:rsid w:val="001B044B"/>
    <w:rsid w:val="001B04D7"/>
    <w:rsid w:val="001B0583"/>
    <w:rsid w:val="001B0632"/>
    <w:rsid w:val="001B07B2"/>
    <w:rsid w:val="001B08EC"/>
    <w:rsid w:val="001B0ABA"/>
    <w:rsid w:val="001B0D98"/>
    <w:rsid w:val="001B0F01"/>
    <w:rsid w:val="001B0FEB"/>
    <w:rsid w:val="001B10F6"/>
    <w:rsid w:val="001B1116"/>
    <w:rsid w:val="001B121C"/>
    <w:rsid w:val="001B1276"/>
    <w:rsid w:val="001B1345"/>
    <w:rsid w:val="001B1398"/>
    <w:rsid w:val="001B1504"/>
    <w:rsid w:val="001B167A"/>
    <w:rsid w:val="001B1767"/>
    <w:rsid w:val="001B17D0"/>
    <w:rsid w:val="001B1865"/>
    <w:rsid w:val="001B19F9"/>
    <w:rsid w:val="001B1AF7"/>
    <w:rsid w:val="001B1B3D"/>
    <w:rsid w:val="001B1B61"/>
    <w:rsid w:val="001B1BB1"/>
    <w:rsid w:val="001B1C31"/>
    <w:rsid w:val="001B1C89"/>
    <w:rsid w:val="001B1CCA"/>
    <w:rsid w:val="001B1E2D"/>
    <w:rsid w:val="001B202C"/>
    <w:rsid w:val="001B2093"/>
    <w:rsid w:val="001B2192"/>
    <w:rsid w:val="001B21D3"/>
    <w:rsid w:val="001B2310"/>
    <w:rsid w:val="001B2406"/>
    <w:rsid w:val="001B290E"/>
    <w:rsid w:val="001B29C1"/>
    <w:rsid w:val="001B2A72"/>
    <w:rsid w:val="001B2A82"/>
    <w:rsid w:val="001B2A9F"/>
    <w:rsid w:val="001B2ABA"/>
    <w:rsid w:val="001B2E55"/>
    <w:rsid w:val="001B2EA3"/>
    <w:rsid w:val="001B2FDE"/>
    <w:rsid w:val="001B3008"/>
    <w:rsid w:val="001B307A"/>
    <w:rsid w:val="001B321C"/>
    <w:rsid w:val="001B326C"/>
    <w:rsid w:val="001B327F"/>
    <w:rsid w:val="001B3373"/>
    <w:rsid w:val="001B34BF"/>
    <w:rsid w:val="001B34D2"/>
    <w:rsid w:val="001B3574"/>
    <w:rsid w:val="001B35DA"/>
    <w:rsid w:val="001B367C"/>
    <w:rsid w:val="001B37B6"/>
    <w:rsid w:val="001B38BA"/>
    <w:rsid w:val="001B38E7"/>
    <w:rsid w:val="001B3987"/>
    <w:rsid w:val="001B3B65"/>
    <w:rsid w:val="001B3E8D"/>
    <w:rsid w:val="001B3EB5"/>
    <w:rsid w:val="001B3F2D"/>
    <w:rsid w:val="001B42F1"/>
    <w:rsid w:val="001B43BF"/>
    <w:rsid w:val="001B4514"/>
    <w:rsid w:val="001B47E4"/>
    <w:rsid w:val="001B48E7"/>
    <w:rsid w:val="001B4925"/>
    <w:rsid w:val="001B4A6B"/>
    <w:rsid w:val="001B4ABD"/>
    <w:rsid w:val="001B4C72"/>
    <w:rsid w:val="001B4FAC"/>
    <w:rsid w:val="001B50C0"/>
    <w:rsid w:val="001B5332"/>
    <w:rsid w:val="001B53AD"/>
    <w:rsid w:val="001B53AF"/>
    <w:rsid w:val="001B53D2"/>
    <w:rsid w:val="001B5532"/>
    <w:rsid w:val="001B5688"/>
    <w:rsid w:val="001B5724"/>
    <w:rsid w:val="001B576B"/>
    <w:rsid w:val="001B580F"/>
    <w:rsid w:val="001B58AB"/>
    <w:rsid w:val="001B5A31"/>
    <w:rsid w:val="001B5C20"/>
    <w:rsid w:val="001B5E9A"/>
    <w:rsid w:val="001B5ED1"/>
    <w:rsid w:val="001B64D6"/>
    <w:rsid w:val="001B66B2"/>
    <w:rsid w:val="001B686E"/>
    <w:rsid w:val="001B6C2B"/>
    <w:rsid w:val="001B6D78"/>
    <w:rsid w:val="001B6E49"/>
    <w:rsid w:val="001B6ED3"/>
    <w:rsid w:val="001B7179"/>
    <w:rsid w:val="001B727B"/>
    <w:rsid w:val="001B78CF"/>
    <w:rsid w:val="001B7BF2"/>
    <w:rsid w:val="001B7DE2"/>
    <w:rsid w:val="001B7DFE"/>
    <w:rsid w:val="001B7E72"/>
    <w:rsid w:val="001B7FA6"/>
    <w:rsid w:val="001C004C"/>
    <w:rsid w:val="001C0131"/>
    <w:rsid w:val="001C04F7"/>
    <w:rsid w:val="001C053D"/>
    <w:rsid w:val="001C0791"/>
    <w:rsid w:val="001C086D"/>
    <w:rsid w:val="001C0885"/>
    <w:rsid w:val="001C0914"/>
    <w:rsid w:val="001C0B12"/>
    <w:rsid w:val="001C0E18"/>
    <w:rsid w:val="001C0FE6"/>
    <w:rsid w:val="001C1138"/>
    <w:rsid w:val="001C118A"/>
    <w:rsid w:val="001C11A7"/>
    <w:rsid w:val="001C133A"/>
    <w:rsid w:val="001C1405"/>
    <w:rsid w:val="001C144E"/>
    <w:rsid w:val="001C15B4"/>
    <w:rsid w:val="001C181E"/>
    <w:rsid w:val="001C1885"/>
    <w:rsid w:val="001C188F"/>
    <w:rsid w:val="001C1A67"/>
    <w:rsid w:val="001C1A9B"/>
    <w:rsid w:val="001C1D51"/>
    <w:rsid w:val="001C208A"/>
    <w:rsid w:val="001C21A8"/>
    <w:rsid w:val="001C21C8"/>
    <w:rsid w:val="001C2378"/>
    <w:rsid w:val="001C24D4"/>
    <w:rsid w:val="001C2551"/>
    <w:rsid w:val="001C2556"/>
    <w:rsid w:val="001C256A"/>
    <w:rsid w:val="001C262A"/>
    <w:rsid w:val="001C2A1D"/>
    <w:rsid w:val="001C2CCA"/>
    <w:rsid w:val="001C2D9C"/>
    <w:rsid w:val="001C2E7B"/>
    <w:rsid w:val="001C3059"/>
    <w:rsid w:val="001C314D"/>
    <w:rsid w:val="001C32BA"/>
    <w:rsid w:val="001C33A2"/>
    <w:rsid w:val="001C340D"/>
    <w:rsid w:val="001C3432"/>
    <w:rsid w:val="001C3542"/>
    <w:rsid w:val="001C3555"/>
    <w:rsid w:val="001C3575"/>
    <w:rsid w:val="001C36D2"/>
    <w:rsid w:val="001C378D"/>
    <w:rsid w:val="001C390E"/>
    <w:rsid w:val="001C3A06"/>
    <w:rsid w:val="001C3B1F"/>
    <w:rsid w:val="001C3C9A"/>
    <w:rsid w:val="001C3E36"/>
    <w:rsid w:val="001C400F"/>
    <w:rsid w:val="001C4240"/>
    <w:rsid w:val="001C43AF"/>
    <w:rsid w:val="001C442A"/>
    <w:rsid w:val="001C443B"/>
    <w:rsid w:val="001C4660"/>
    <w:rsid w:val="001C46F9"/>
    <w:rsid w:val="001C4762"/>
    <w:rsid w:val="001C4791"/>
    <w:rsid w:val="001C47D1"/>
    <w:rsid w:val="001C4A65"/>
    <w:rsid w:val="001C4BAF"/>
    <w:rsid w:val="001C4C48"/>
    <w:rsid w:val="001C4F29"/>
    <w:rsid w:val="001C513C"/>
    <w:rsid w:val="001C51A8"/>
    <w:rsid w:val="001C52FB"/>
    <w:rsid w:val="001C5491"/>
    <w:rsid w:val="001C54B1"/>
    <w:rsid w:val="001C54E3"/>
    <w:rsid w:val="001C54E8"/>
    <w:rsid w:val="001C555A"/>
    <w:rsid w:val="001C56E0"/>
    <w:rsid w:val="001C5869"/>
    <w:rsid w:val="001C59F9"/>
    <w:rsid w:val="001C5A4B"/>
    <w:rsid w:val="001C5B45"/>
    <w:rsid w:val="001C5BAA"/>
    <w:rsid w:val="001C5BFB"/>
    <w:rsid w:val="001C5C35"/>
    <w:rsid w:val="001C5D41"/>
    <w:rsid w:val="001C5D9C"/>
    <w:rsid w:val="001C5ED3"/>
    <w:rsid w:val="001C5F6C"/>
    <w:rsid w:val="001C5FFA"/>
    <w:rsid w:val="001C6071"/>
    <w:rsid w:val="001C633E"/>
    <w:rsid w:val="001C63E2"/>
    <w:rsid w:val="001C6507"/>
    <w:rsid w:val="001C6569"/>
    <w:rsid w:val="001C65EE"/>
    <w:rsid w:val="001C673B"/>
    <w:rsid w:val="001C6795"/>
    <w:rsid w:val="001C67AE"/>
    <w:rsid w:val="001C67C6"/>
    <w:rsid w:val="001C69C9"/>
    <w:rsid w:val="001C6A43"/>
    <w:rsid w:val="001C6BF2"/>
    <w:rsid w:val="001C6C03"/>
    <w:rsid w:val="001C6CF4"/>
    <w:rsid w:val="001C6D0A"/>
    <w:rsid w:val="001C6DEB"/>
    <w:rsid w:val="001C6E68"/>
    <w:rsid w:val="001C6E93"/>
    <w:rsid w:val="001C705F"/>
    <w:rsid w:val="001C7537"/>
    <w:rsid w:val="001C75DC"/>
    <w:rsid w:val="001C784E"/>
    <w:rsid w:val="001C7C24"/>
    <w:rsid w:val="001C7E48"/>
    <w:rsid w:val="001C7F68"/>
    <w:rsid w:val="001C7F76"/>
    <w:rsid w:val="001D00CE"/>
    <w:rsid w:val="001D0316"/>
    <w:rsid w:val="001D039D"/>
    <w:rsid w:val="001D047D"/>
    <w:rsid w:val="001D05F9"/>
    <w:rsid w:val="001D095D"/>
    <w:rsid w:val="001D0AD2"/>
    <w:rsid w:val="001D0BEC"/>
    <w:rsid w:val="001D0C57"/>
    <w:rsid w:val="001D0D45"/>
    <w:rsid w:val="001D0D5B"/>
    <w:rsid w:val="001D0E65"/>
    <w:rsid w:val="001D0F32"/>
    <w:rsid w:val="001D13D3"/>
    <w:rsid w:val="001D1510"/>
    <w:rsid w:val="001D153A"/>
    <w:rsid w:val="001D15B9"/>
    <w:rsid w:val="001D15E8"/>
    <w:rsid w:val="001D1693"/>
    <w:rsid w:val="001D16F3"/>
    <w:rsid w:val="001D1B37"/>
    <w:rsid w:val="001D1BE9"/>
    <w:rsid w:val="001D1C93"/>
    <w:rsid w:val="001D1D9D"/>
    <w:rsid w:val="001D1E86"/>
    <w:rsid w:val="001D1FDD"/>
    <w:rsid w:val="001D21CE"/>
    <w:rsid w:val="001D232E"/>
    <w:rsid w:val="001D250F"/>
    <w:rsid w:val="001D2672"/>
    <w:rsid w:val="001D280B"/>
    <w:rsid w:val="001D2AC8"/>
    <w:rsid w:val="001D2B69"/>
    <w:rsid w:val="001D2BCE"/>
    <w:rsid w:val="001D2BDF"/>
    <w:rsid w:val="001D2C05"/>
    <w:rsid w:val="001D2C8E"/>
    <w:rsid w:val="001D2D34"/>
    <w:rsid w:val="001D2E17"/>
    <w:rsid w:val="001D3018"/>
    <w:rsid w:val="001D3033"/>
    <w:rsid w:val="001D3127"/>
    <w:rsid w:val="001D3134"/>
    <w:rsid w:val="001D324D"/>
    <w:rsid w:val="001D34CA"/>
    <w:rsid w:val="001D3751"/>
    <w:rsid w:val="001D378E"/>
    <w:rsid w:val="001D38CD"/>
    <w:rsid w:val="001D39EF"/>
    <w:rsid w:val="001D3AA8"/>
    <w:rsid w:val="001D3BEC"/>
    <w:rsid w:val="001D3CDB"/>
    <w:rsid w:val="001D3F2C"/>
    <w:rsid w:val="001D416A"/>
    <w:rsid w:val="001D4324"/>
    <w:rsid w:val="001D4524"/>
    <w:rsid w:val="001D470D"/>
    <w:rsid w:val="001D4718"/>
    <w:rsid w:val="001D47EE"/>
    <w:rsid w:val="001D4848"/>
    <w:rsid w:val="001D4887"/>
    <w:rsid w:val="001D492A"/>
    <w:rsid w:val="001D49E9"/>
    <w:rsid w:val="001D4B43"/>
    <w:rsid w:val="001D4BFE"/>
    <w:rsid w:val="001D4CEE"/>
    <w:rsid w:val="001D4D17"/>
    <w:rsid w:val="001D4F48"/>
    <w:rsid w:val="001D5436"/>
    <w:rsid w:val="001D55B2"/>
    <w:rsid w:val="001D56C9"/>
    <w:rsid w:val="001D5720"/>
    <w:rsid w:val="001D5761"/>
    <w:rsid w:val="001D5782"/>
    <w:rsid w:val="001D581D"/>
    <w:rsid w:val="001D5836"/>
    <w:rsid w:val="001D5891"/>
    <w:rsid w:val="001D5A75"/>
    <w:rsid w:val="001D5A7C"/>
    <w:rsid w:val="001D5AF0"/>
    <w:rsid w:val="001D5C9D"/>
    <w:rsid w:val="001D5D7D"/>
    <w:rsid w:val="001D5E5C"/>
    <w:rsid w:val="001D5EA6"/>
    <w:rsid w:val="001D6031"/>
    <w:rsid w:val="001D6164"/>
    <w:rsid w:val="001D62A4"/>
    <w:rsid w:val="001D6463"/>
    <w:rsid w:val="001D649B"/>
    <w:rsid w:val="001D651C"/>
    <w:rsid w:val="001D65BD"/>
    <w:rsid w:val="001D662A"/>
    <w:rsid w:val="001D6688"/>
    <w:rsid w:val="001D66F7"/>
    <w:rsid w:val="001D6720"/>
    <w:rsid w:val="001D6915"/>
    <w:rsid w:val="001D6D98"/>
    <w:rsid w:val="001D6E2C"/>
    <w:rsid w:val="001D6EA3"/>
    <w:rsid w:val="001D6F55"/>
    <w:rsid w:val="001D6FE9"/>
    <w:rsid w:val="001D745B"/>
    <w:rsid w:val="001D74C9"/>
    <w:rsid w:val="001D7667"/>
    <w:rsid w:val="001D76C7"/>
    <w:rsid w:val="001D770D"/>
    <w:rsid w:val="001D78DB"/>
    <w:rsid w:val="001D78DC"/>
    <w:rsid w:val="001D790C"/>
    <w:rsid w:val="001D7974"/>
    <w:rsid w:val="001D7983"/>
    <w:rsid w:val="001D7BB8"/>
    <w:rsid w:val="001D7F1B"/>
    <w:rsid w:val="001E0067"/>
    <w:rsid w:val="001E007E"/>
    <w:rsid w:val="001E0647"/>
    <w:rsid w:val="001E078B"/>
    <w:rsid w:val="001E0828"/>
    <w:rsid w:val="001E0B22"/>
    <w:rsid w:val="001E0B33"/>
    <w:rsid w:val="001E0B82"/>
    <w:rsid w:val="001E0C0D"/>
    <w:rsid w:val="001E0F6B"/>
    <w:rsid w:val="001E11F7"/>
    <w:rsid w:val="001E1538"/>
    <w:rsid w:val="001E153E"/>
    <w:rsid w:val="001E1562"/>
    <w:rsid w:val="001E15BD"/>
    <w:rsid w:val="001E16CF"/>
    <w:rsid w:val="001E1709"/>
    <w:rsid w:val="001E170F"/>
    <w:rsid w:val="001E173F"/>
    <w:rsid w:val="001E17A8"/>
    <w:rsid w:val="001E1803"/>
    <w:rsid w:val="001E1835"/>
    <w:rsid w:val="001E1AE2"/>
    <w:rsid w:val="001E1B2C"/>
    <w:rsid w:val="001E1C47"/>
    <w:rsid w:val="001E1C6A"/>
    <w:rsid w:val="001E1F4E"/>
    <w:rsid w:val="001E1F87"/>
    <w:rsid w:val="001E20D3"/>
    <w:rsid w:val="001E233F"/>
    <w:rsid w:val="001E254E"/>
    <w:rsid w:val="001E2666"/>
    <w:rsid w:val="001E26BE"/>
    <w:rsid w:val="001E2811"/>
    <w:rsid w:val="001E2A5B"/>
    <w:rsid w:val="001E2A9E"/>
    <w:rsid w:val="001E2B72"/>
    <w:rsid w:val="001E2BF9"/>
    <w:rsid w:val="001E2C4F"/>
    <w:rsid w:val="001E2CB2"/>
    <w:rsid w:val="001E2E8F"/>
    <w:rsid w:val="001E2F01"/>
    <w:rsid w:val="001E2F46"/>
    <w:rsid w:val="001E307B"/>
    <w:rsid w:val="001E3330"/>
    <w:rsid w:val="001E333E"/>
    <w:rsid w:val="001E3399"/>
    <w:rsid w:val="001E34D1"/>
    <w:rsid w:val="001E34E1"/>
    <w:rsid w:val="001E35B7"/>
    <w:rsid w:val="001E35C0"/>
    <w:rsid w:val="001E378A"/>
    <w:rsid w:val="001E37F0"/>
    <w:rsid w:val="001E3971"/>
    <w:rsid w:val="001E3972"/>
    <w:rsid w:val="001E3B7B"/>
    <w:rsid w:val="001E3CB3"/>
    <w:rsid w:val="001E3CCC"/>
    <w:rsid w:val="001E3F1A"/>
    <w:rsid w:val="001E3F44"/>
    <w:rsid w:val="001E3F7F"/>
    <w:rsid w:val="001E400E"/>
    <w:rsid w:val="001E405D"/>
    <w:rsid w:val="001E419E"/>
    <w:rsid w:val="001E4524"/>
    <w:rsid w:val="001E4561"/>
    <w:rsid w:val="001E4852"/>
    <w:rsid w:val="001E48B3"/>
    <w:rsid w:val="001E4BDF"/>
    <w:rsid w:val="001E4E41"/>
    <w:rsid w:val="001E4E81"/>
    <w:rsid w:val="001E5136"/>
    <w:rsid w:val="001E522A"/>
    <w:rsid w:val="001E5582"/>
    <w:rsid w:val="001E56F1"/>
    <w:rsid w:val="001E58B8"/>
    <w:rsid w:val="001E5A54"/>
    <w:rsid w:val="001E5DB3"/>
    <w:rsid w:val="001E5EDE"/>
    <w:rsid w:val="001E5F26"/>
    <w:rsid w:val="001E5FE7"/>
    <w:rsid w:val="001E6134"/>
    <w:rsid w:val="001E6157"/>
    <w:rsid w:val="001E6347"/>
    <w:rsid w:val="001E661E"/>
    <w:rsid w:val="001E6636"/>
    <w:rsid w:val="001E6666"/>
    <w:rsid w:val="001E6833"/>
    <w:rsid w:val="001E6853"/>
    <w:rsid w:val="001E68EB"/>
    <w:rsid w:val="001E6AE5"/>
    <w:rsid w:val="001E6AEA"/>
    <w:rsid w:val="001E6AF9"/>
    <w:rsid w:val="001E6B81"/>
    <w:rsid w:val="001E6D13"/>
    <w:rsid w:val="001E6D16"/>
    <w:rsid w:val="001E6E62"/>
    <w:rsid w:val="001E70C0"/>
    <w:rsid w:val="001E70CE"/>
    <w:rsid w:val="001E714A"/>
    <w:rsid w:val="001E72AF"/>
    <w:rsid w:val="001E7316"/>
    <w:rsid w:val="001E74B6"/>
    <w:rsid w:val="001E7793"/>
    <w:rsid w:val="001E7AE6"/>
    <w:rsid w:val="001E7C26"/>
    <w:rsid w:val="001E7C9C"/>
    <w:rsid w:val="001F0261"/>
    <w:rsid w:val="001F0537"/>
    <w:rsid w:val="001F07F0"/>
    <w:rsid w:val="001F090C"/>
    <w:rsid w:val="001F0BF6"/>
    <w:rsid w:val="001F0C50"/>
    <w:rsid w:val="001F0C70"/>
    <w:rsid w:val="001F0D2C"/>
    <w:rsid w:val="001F0E5C"/>
    <w:rsid w:val="001F0F2F"/>
    <w:rsid w:val="001F0FB8"/>
    <w:rsid w:val="001F1023"/>
    <w:rsid w:val="001F1101"/>
    <w:rsid w:val="001F1293"/>
    <w:rsid w:val="001F155B"/>
    <w:rsid w:val="001F163D"/>
    <w:rsid w:val="001F1762"/>
    <w:rsid w:val="001F17AC"/>
    <w:rsid w:val="001F17F4"/>
    <w:rsid w:val="001F1848"/>
    <w:rsid w:val="001F18DA"/>
    <w:rsid w:val="001F195C"/>
    <w:rsid w:val="001F1A6E"/>
    <w:rsid w:val="001F1ACE"/>
    <w:rsid w:val="001F1B8E"/>
    <w:rsid w:val="001F1B93"/>
    <w:rsid w:val="001F1BB0"/>
    <w:rsid w:val="001F2006"/>
    <w:rsid w:val="001F2242"/>
    <w:rsid w:val="001F22D3"/>
    <w:rsid w:val="001F26AC"/>
    <w:rsid w:val="001F2762"/>
    <w:rsid w:val="001F2832"/>
    <w:rsid w:val="001F2A82"/>
    <w:rsid w:val="001F2BC8"/>
    <w:rsid w:val="001F2C51"/>
    <w:rsid w:val="001F2DB8"/>
    <w:rsid w:val="001F2F1E"/>
    <w:rsid w:val="001F2FC2"/>
    <w:rsid w:val="001F2FDA"/>
    <w:rsid w:val="001F3070"/>
    <w:rsid w:val="001F3124"/>
    <w:rsid w:val="001F31E0"/>
    <w:rsid w:val="001F3329"/>
    <w:rsid w:val="001F33E6"/>
    <w:rsid w:val="001F348D"/>
    <w:rsid w:val="001F349C"/>
    <w:rsid w:val="001F34E9"/>
    <w:rsid w:val="001F3515"/>
    <w:rsid w:val="001F355F"/>
    <w:rsid w:val="001F362C"/>
    <w:rsid w:val="001F3796"/>
    <w:rsid w:val="001F37CA"/>
    <w:rsid w:val="001F3820"/>
    <w:rsid w:val="001F382F"/>
    <w:rsid w:val="001F384D"/>
    <w:rsid w:val="001F39D4"/>
    <w:rsid w:val="001F3AFE"/>
    <w:rsid w:val="001F3BD5"/>
    <w:rsid w:val="001F3C3E"/>
    <w:rsid w:val="001F3DA9"/>
    <w:rsid w:val="001F4379"/>
    <w:rsid w:val="001F43BC"/>
    <w:rsid w:val="001F4739"/>
    <w:rsid w:val="001F4943"/>
    <w:rsid w:val="001F4947"/>
    <w:rsid w:val="001F496C"/>
    <w:rsid w:val="001F49FB"/>
    <w:rsid w:val="001F4C44"/>
    <w:rsid w:val="001F4CF0"/>
    <w:rsid w:val="001F4E70"/>
    <w:rsid w:val="001F5153"/>
    <w:rsid w:val="001F51F8"/>
    <w:rsid w:val="001F5256"/>
    <w:rsid w:val="001F5449"/>
    <w:rsid w:val="001F54DE"/>
    <w:rsid w:val="001F5608"/>
    <w:rsid w:val="001F56C0"/>
    <w:rsid w:val="001F5783"/>
    <w:rsid w:val="001F58A3"/>
    <w:rsid w:val="001F59A0"/>
    <w:rsid w:val="001F5A64"/>
    <w:rsid w:val="001F5B6F"/>
    <w:rsid w:val="001F5C79"/>
    <w:rsid w:val="001F5D88"/>
    <w:rsid w:val="001F5E51"/>
    <w:rsid w:val="001F60F4"/>
    <w:rsid w:val="001F6123"/>
    <w:rsid w:val="001F61A0"/>
    <w:rsid w:val="001F6729"/>
    <w:rsid w:val="001F6748"/>
    <w:rsid w:val="001F6785"/>
    <w:rsid w:val="001F682B"/>
    <w:rsid w:val="001F684C"/>
    <w:rsid w:val="001F6921"/>
    <w:rsid w:val="001F69FA"/>
    <w:rsid w:val="001F6B38"/>
    <w:rsid w:val="001F6C8A"/>
    <w:rsid w:val="001F6CA1"/>
    <w:rsid w:val="001F6D60"/>
    <w:rsid w:val="001F6EC1"/>
    <w:rsid w:val="001F6F81"/>
    <w:rsid w:val="001F7053"/>
    <w:rsid w:val="001F71C1"/>
    <w:rsid w:val="001F7299"/>
    <w:rsid w:val="001F75B9"/>
    <w:rsid w:val="001F764F"/>
    <w:rsid w:val="001F77FF"/>
    <w:rsid w:val="001F79F9"/>
    <w:rsid w:val="001F7E9F"/>
    <w:rsid w:val="00200370"/>
    <w:rsid w:val="002004D2"/>
    <w:rsid w:val="00200610"/>
    <w:rsid w:val="0020062C"/>
    <w:rsid w:val="0020079B"/>
    <w:rsid w:val="002007E8"/>
    <w:rsid w:val="0020094B"/>
    <w:rsid w:val="00200AAD"/>
    <w:rsid w:val="00200CDB"/>
    <w:rsid w:val="00200FC4"/>
    <w:rsid w:val="002011B9"/>
    <w:rsid w:val="002011F1"/>
    <w:rsid w:val="00201230"/>
    <w:rsid w:val="00201385"/>
    <w:rsid w:val="0020140D"/>
    <w:rsid w:val="0020141E"/>
    <w:rsid w:val="0020159A"/>
    <w:rsid w:val="00201632"/>
    <w:rsid w:val="002018A5"/>
    <w:rsid w:val="00201A7E"/>
    <w:rsid w:val="00201AE1"/>
    <w:rsid w:val="00201BD9"/>
    <w:rsid w:val="00201CC5"/>
    <w:rsid w:val="00201D30"/>
    <w:rsid w:val="00201FE3"/>
    <w:rsid w:val="002021F3"/>
    <w:rsid w:val="00202846"/>
    <w:rsid w:val="002029BA"/>
    <w:rsid w:val="00202BCE"/>
    <w:rsid w:val="00202C94"/>
    <w:rsid w:val="00202F2F"/>
    <w:rsid w:val="00202F76"/>
    <w:rsid w:val="002030B2"/>
    <w:rsid w:val="002031DD"/>
    <w:rsid w:val="00203271"/>
    <w:rsid w:val="002032B6"/>
    <w:rsid w:val="002034CB"/>
    <w:rsid w:val="002036E9"/>
    <w:rsid w:val="0020388B"/>
    <w:rsid w:val="00203C1C"/>
    <w:rsid w:val="00203C3E"/>
    <w:rsid w:val="00203CF7"/>
    <w:rsid w:val="00203E12"/>
    <w:rsid w:val="00203E6B"/>
    <w:rsid w:val="00203EC4"/>
    <w:rsid w:val="002040B8"/>
    <w:rsid w:val="002040CD"/>
    <w:rsid w:val="0020418C"/>
    <w:rsid w:val="00204236"/>
    <w:rsid w:val="002042E1"/>
    <w:rsid w:val="00204365"/>
    <w:rsid w:val="00204579"/>
    <w:rsid w:val="002045AF"/>
    <w:rsid w:val="00204632"/>
    <w:rsid w:val="002046EF"/>
    <w:rsid w:val="00204A59"/>
    <w:rsid w:val="00204BF9"/>
    <w:rsid w:val="00204D08"/>
    <w:rsid w:val="00205034"/>
    <w:rsid w:val="0020521E"/>
    <w:rsid w:val="00205409"/>
    <w:rsid w:val="00205558"/>
    <w:rsid w:val="00205787"/>
    <w:rsid w:val="002057E5"/>
    <w:rsid w:val="002059E2"/>
    <w:rsid w:val="002059E4"/>
    <w:rsid w:val="00205A14"/>
    <w:rsid w:val="00205BC1"/>
    <w:rsid w:val="00205BCB"/>
    <w:rsid w:val="00205D7C"/>
    <w:rsid w:val="00205E02"/>
    <w:rsid w:val="00205F1F"/>
    <w:rsid w:val="0020623F"/>
    <w:rsid w:val="0020650E"/>
    <w:rsid w:val="002067E6"/>
    <w:rsid w:val="0020687C"/>
    <w:rsid w:val="00206940"/>
    <w:rsid w:val="0020698C"/>
    <w:rsid w:val="00206A0E"/>
    <w:rsid w:val="00206AA8"/>
    <w:rsid w:val="00206FD7"/>
    <w:rsid w:val="002071A1"/>
    <w:rsid w:val="00207438"/>
    <w:rsid w:val="00207997"/>
    <w:rsid w:val="00207CDC"/>
    <w:rsid w:val="00207F9F"/>
    <w:rsid w:val="002100AC"/>
    <w:rsid w:val="002101B7"/>
    <w:rsid w:val="00210246"/>
    <w:rsid w:val="00210510"/>
    <w:rsid w:val="00210533"/>
    <w:rsid w:val="00210552"/>
    <w:rsid w:val="00210A29"/>
    <w:rsid w:val="00210B92"/>
    <w:rsid w:val="00210C1B"/>
    <w:rsid w:val="00210C79"/>
    <w:rsid w:val="00210F2F"/>
    <w:rsid w:val="00210FCF"/>
    <w:rsid w:val="00211049"/>
    <w:rsid w:val="002110A5"/>
    <w:rsid w:val="00211115"/>
    <w:rsid w:val="0021119D"/>
    <w:rsid w:val="00211236"/>
    <w:rsid w:val="002112E5"/>
    <w:rsid w:val="00211513"/>
    <w:rsid w:val="002115B1"/>
    <w:rsid w:val="002116D5"/>
    <w:rsid w:val="002116F9"/>
    <w:rsid w:val="002117F7"/>
    <w:rsid w:val="00211AFC"/>
    <w:rsid w:val="00211DAF"/>
    <w:rsid w:val="00211DDC"/>
    <w:rsid w:val="00211FE6"/>
    <w:rsid w:val="0021212A"/>
    <w:rsid w:val="0021232A"/>
    <w:rsid w:val="00212425"/>
    <w:rsid w:val="002126E3"/>
    <w:rsid w:val="002126FC"/>
    <w:rsid w:val="0021273A"/>
    <w:rsid w:val="0021281C"/>
    <w:rsid w:val="002130AD"/>
    <w:rsid w:val="0021310B"/>
    <w:rsid w:val="0021313A"/>
    <w:rsid w:val="0021323F"/>
    <w:rsid w:val="00213287"/>
    <w:rsid w:val="0021342E"/>
    <w:rsid w:val="00213548"/>
    <w:rsid w:val="00213784"/>
    <w:rsid w:val="00213837"/>
    <w:rsid w:val="002138B7"/>
    <w:rsid w:val="00213B39"/>
    <w:rsid w:val="00213E0C"/>
    <w:rsid w:val="00213FC6"/>
    <w:rsid w:val="00214623"/>
    <w:rsid w:val="00214739"/>
    <w:rsid w:val="002147BA"/>
    <w:rsid w:val="002148ED"/>
    <w:rsid w:val="0021495B"/>
    <w:rsid w:val="00214A4A"/>
    <w:rsid w:val="00214AE0"/>
    <w:rsid w:val="00214BA6"/>
    <w:rsid w:val="00214CCB"/>
    <w:rsid w:val="00214D6F"/>
    <w:rsid w:val="00214E1D"/>
    <w:rsid w:val="00214F00"/>
    <w:rsid w:val="0021503E"/>
    <w:rsid w:val="002150FF"/>
    <w:rsid w:val="0021516F"/>
    <w:rsid w:val="002151A6"/>
    <w:rsid w:val="002152CC"/>
    <w:rsid w:val="0021536B"/>
    <w:rsid w:val="0021584D"/>
    <w:rsid w:val="002159EF"/>
    <w:rsid w:val="00215E5A"/>
    <w:rsid w:val="00215FAD"/>
    <w:rsid w:val="00216052"/>
    <w:rsid w:val="00216107"/>
    <w:rsid w:val="002161CB"/>
    <w:rsid w:val="002161F8"/>
    <w:rsid w:val="0021654C"/>
    <w:rsid w:val="002167CA"/>
    <w:rsid w:val="00216871"/>
    <w:rsid w:val="00216873"/>
    <w:rsid w:val="00216AB1"/>
    <w:rsid w:val="00216B11"/>
    <w:rsid w:val="00216B89"/>
    <w:rsid w:val="00216CA1"/>
    <w:rsid w:val="00216D44"/>
    <w:rsid w:val="00216DE7"/>
    <w:rsid w:val="00216EAB"/>
    <w:rsid w:val="00216EEE"/>
    <w:rsid w:val="0021713C"/>
    <w:rsid w:val="002171CC"/>
    <w:rsid w:val="00217228"/>
    <w:rsid w:val="00217263"/>
    <w:rsid w:val="002178A7"/>
    <w:rsid w:val="00217B80"/>
    <w:rsid w:val="00217E2D"/>
    <w:rsid w:val="00217EF4"/>
    <w:rsid w:val="00217F2B"/>
    <w:rsid w:val="00220308"/>
    <w:rsid w:val="002205AC"/>
    <w:rsid w:val="00220732"/>
    <w:rsid w:val="00220A1F"/>
    <w:rsid w:val="00220B35"/>
    <w:rsid w:val="00220B90"/>
    <w:rsid w:val="00220BFA"/>
    <w:rsid w:val="00220C2B"/>
    <w:rsid w:val="00220DA2"/>
    <w:rsid w:val="00220E21"/>
    <w:rsid w:val="00220E66"/>
    <w:rsid w:val="002210A8"/>
    <w:rsid w:val="002210EA"/>
    <w:rsid w:val="00221337"/>
    <w:rsid w:val="002213E4"/>
    <w:rsid w:val="002213EA"/>
    <w:rsid w:val="0022162D"/>
    <w:rsid w:val="00221910"/>
    <w:rsid w:val="00221913"/>
    <w:rsid w:val="002219FD"/>
    <w:rsid w:val="00221AFA"/>
    <w:rsid w:val="00221E30"/>
    <w:rsid w:val="002222BF"/>
    <w:rsid w:val="002222F2"/>
    <w:rsid w:val="0022238A"/>
    <w:rsid w:val="002223A6"/>
    <w:rsid w:val="0022245C"/>
    <w:rsid w:val="00222493"/>
    <w:rsid w:val="00222517"/>
    <w:rsid w:val="0022256C"/>
    <w:rsid w:val="00222817"/>
    <w:rsid w:val="00222959"/>
    <w:rsid w:val="002229E3"/>
    <w:rsid w:val="00222AFA"/>
    <w:rsid w:val="00222B4B"/>
    <w:rsid w:val="00222BDE"/>
    <w:rsid w:val="00222CBD"/>
    <w:rsid w:val="00222D99"/>
    <w:rsid w:val="0022311A"/>
    <w:rsid w:val="00223183"/>
    <w:rsid w:val="0022318A"/>
    <w:rsid w:val="002232A5"/>
    <w:rsid w:val="0022331D"/>
    <w:rsid w:val="0022348E"/>
    <w:rsid w:val="00223507"/>
    <w:rsid w:val="002235BD"/>
    <w:rsid w:val="00223794"/>
    <w:rsid w:val="002238D4"/>
    <w:rsid w:val="00223961"/>
    <w:rsid w:val="002239CD"/>
    <w:rsid w:val="002239DC"/>
    <w:rsid w:val="00223C94"/>
    <w:rsid w:val="00223D89"/>
    <w:rsid w:val="00223E8C"/>
    <w:rsid w:val="00224042"/>
    <w:rsid w:val="00224046"/>
    <w:rsid w:val="002240C0"/>
    <w:rsid w:val="002240EA"/>
    <w:rsid w:val="00224133"/>
    <w:rsid w:val="002241B4"/>
    <w:rsid w:val="002242B9"/>
    <w:rsid w:val="0022432C"/>
    <w:rsid w:val="00224354"/>
    <w:rsid w:val="00224367"/>
    <w:rsid w:val="00224472"/>
    <w:rsid w:val="00224473"/>
    <w:rsid w:val="00224474"/>
    <w:rsid w:val="00224562"/>
    <w:rsid w:val="00224894"/>
    <w:rsid w:val="00224923"/>
    <w:rsid w:val="00224C9E"/>
    <w:rsid w:val="00224CE5"/>
    <w:rsid w:val="00224E28"/>
    <w:rsid w:val="00224F8A"/>
    <w:rsid w:val="00224FE1"/>
    <w:rsid w:val="002252D7"/>
    <w:rsid w:val="0022549B"/>
    <w:rsid w:val="002256A9"/>
    <w:rsid w:val="002256D2"/>
    <w:rsid w:val="00225A0A"/>
    <w:rsid w:val="00225B3F"/>
    <w:rsid w:val="00225B81"/>
    <w:rsid w:val="00225FBD"/>
    <w:rsid w:val="00226616"/>
    <w:rsid w:val="002269CE"/>
    <w:rsid w:val="00226AFC"/>
    <w:rsid w:val="00226B55"/>
    <w:rsid w:val="00226D48"/>
    <w:rsid w:val="00226DB4"/>
    <w:rsid w:val="00226DB7"/>
    <w:rsid w:val="00226DF5"/>
    <w:rsid w:val="00226E07"/>
    <w:rsid w:val="00226F01"/>
    <w:rsid w:val="00227022"/>
    <w:rsid w:val="002273F4"/>
    <w:rsid w:val="00227446"/>
    <w:rsid w:val="002274A8"/>
    <w:rsid w:val="00227626"/>
    <w:rsid w:val="00227800"/>
    <w:rsid w:val="002278E0"/>
    <w:rsid w:val="00227D91"/>
    <w:rsid w:val="002300A1"/>
    <w:rsid w:val="00230149"/>
    <w:rsid w:val="00230155"/>
    <w:rsid w:val="00230220"/>
    <w:rsid w:val="002302C7"/>
    <w:rsid w:val="002302FA"/>
    <w:rsid w:val="00230438"/>
    <w:rsid w:val="0023048C"/>
    <w:rsid w:val="002305EA"/>
    <w:rsid w:val="0023094B"/>
    <w:rsid w:val="00230954"/>
    <w:rsid w:val="0023098E"/>
    <w:rsid w:val="00230ABC"/>
    <w:rsid w:val="00231335"/>
    <w:rsid w:val="002313F1"/>
    <w:rsid w:val="00231419"/>
    <w:rsid w:val="00231492"/>
    <w:rsid w:val="0023165F"/>
    <w:rsid w:val="002317CC"/>
    <w:rsid w:val="00231905"/>
    <w:rsid w:val="00231985"/>
    <w:rsid w:val="00231A9E"/>
    <w:rsid w:val="00231AD4"/>
    <w:rsid w:val="00231C3F"/>
    <w:rsid w:val="00231D42"/>
    <w:rsid w:val="00231DDC"/>
    <w:rsid w:val="00231E2A"/>
    <w:rsid w:val="00231E51"/>
    <w:rsid w:val="00231E7B"/>
    <w:rsid w:val="00231F56"/>
    <w:rsid w:val="00231FFF"/>
    <w:rsid w:val="002320D8"/>
    <w:rsid w:val="00232137"/>
    <w:rsid w:val="002321E5"/>
    <w:rsid w:val="002322FE"/>
    <w:rsid w:val="00232639"/>
    <w:rsid w:val="002326AF"/>
    <w:rsid w:val="00232734"/>
    <w:rsid w:val="00232B0A"/>
    <w:rsid w:val="00232BAC"/>
    <w:rsid w:val="00232ECE"/>
    <w:rsid w:val="00232F12"/>
    <w:rsid w:val="00232F81"/>
    <w:rsid w:val="00233115"/>
    <w:rsid w:val="00233138"/>
    <w:rsid w:val="00233210"/>
    <w:rsid w:val="0023326D"/>
    <w:rsid w:val="002332A7"/>
    <w:rsid w:val="00233455"/>
    <w:rsid w:val="00233467"/>
    <w:rsid w:val="002334DB"/>
    <w:rsid w:val="002335C8"/>
    <w:rsid w:val="002335ED"/>
    <w:rsid w:val="002337F5"/>
    <w:rsid w:val="002339A7"/>
    <w:rsid w:val="00233AC1"/>
    <w:rsid w:val="00233CF3"/>
    <w:rsid w:val="00233D43"/>
    <w:rsid w:val="00233D9D"/>
    <w:rsid w:val="00233DE1"/>
    <w:rsid w:val="00234215"/>
    <w:rsid w:val="00234611"/>
    <w:rsid w:val="00234627"/>
    <w:rsid w:val="00234693"/>
    <w:rsid w:val="002347C2"/>
    <w:rsid w:val="00234810"/>
    <w:rsid w:val="00234940"/>
    <w:rsid w:val="00234988"/>
    <w:rsid w:val="00234ABE"/>
    <w:rsid w:val="00234AD1"/>
    <w:rsid w:val="00234BC4"/>
    <w:rsid w:val="00234D55"/>
    <w:rsid w:val="00234D57"/>
    <w:rsid w:val="00234E2F"/>
    <w:rsid w:val="00234F40"/>
    <w:rsid w:val="0023503E"/>
    <w:rsid w:val="00235459"/>
    <w:rsid w:val="00235532"/>
    <w:rsid w:val="002356D6"/>
    <w:rsid w:val="00235A1D"/>
    <w:rsid w:val="00235A7C"/>
    <w:rsid w:val="00235B41"/>
    <w:rsid w:val="00235CEC"/>
    <w:rsid w:val="00235D5C"/>
    <w:rsid w:val="00235D76"/>
    <w:rsid w:val="00236027"/>
    <w:rsid w:val="0023623D"/>
    <w:rsid w:val="00236359"/>
    <w:rsid w:val="0023645F"/>
    <w:rsid w:val="0023652F"/>
    <w:rsid w:val="00236568"/>
    <w:rsid w:val="002365E8"/>
    <w:rsid w:val="0023664D"/>
    <w:rsid w:val="0023691D"/>
    <w:rsid w:val="00236983"/>
    <w:rsid w:val="00236AEE"/>
    <w:rsid w:val="00236CBD"/>
    <w:rsid w:val="00236DEB"/>
    <w:rsid w:val="00236DFC"/>
    <w:rsid w:val="00236F4A"/>
    <w:rsid w:val="00236F95"/>
    <w:rsid w:val="00237217"/>
    <w:rsid w:val="0023753D"/>
    <w:rsid w:val="00237553"/>
    <w:rsid w:val="002376D6"/>
    <w:rsid w:val="00237787"/>
    <w:rsid w:val="00237794"/>
    <w:rsid w:val="002377AC"/>
    <w:rsid w:val="002378DE"/>
    <w:rsid w:val="00237B50"/>
    <w:rsid w:val="00237C47"/>
    <w:rsid w:val="00237C58"/>
    <w:rsid w:val="00237E7A"/>
    <w:rsid w:val="00240024"/>
    <w:rsid w:val="00240092"/>
    <w:rsid w:val="002402E6"/>
    <w:rsid w:val="00240360"/>
    <w:rsid w:val="00240498"/>
    <w:rsid w:val="00240689"/>
    <w:rsid w:val="002407A9"/>
    <w:rsid w:val="002409CA"/>
    <w:rsid w:val="00240BFE"/>
    <w:rsid w:val="00240C1E"/>
    <w:rsid w:val="00240C71"/>
    <w:rsid w:val="00240F2E"/>
    <w:rsid w:val="00240F77"/>
    <w:rsid w:val="00241128"/>
    <w:rsid w:val="002411CA"/>
    <w:rsid w:val="00241489"/>
    <w:rsid w:val="0024148A"/>
    <w:rsid w:val="0024152D"/>
    <w:rsid w:val="00241537"/>
    <w:rsid w:val="0024154C"/>
    <w:rsid w:val="00241621"/>
    <w:rsid w:val="002419E5"/>
    <w:rsid w:val="00241ABC"/>
    <w:rsid w:val="00241ACA"/>
    <w:rsid w:val="00241C0B"/>
    <w:rsid w:val="00241E0B"/>
    <w:rsid w:val="00241EFC"/>
    <w:rsid w:val="00241F99"/>
    <w:rsid w:val="002420FC"/>
    <w:rsid w:val="00242530"/>
    <w:rsid w:val="0024258C"/>
    <w:rsid w:val="00242769"/>
    <w:rsid w:val="0024279F"/>
    <w:rsid w:val="00242915"/>
    <w:rsid w:val="0024293D"/>
    <w:rsid w:val="002429B1"/>
    <w:rsid w:val="00242B0F"/>
    <w:rsid w:val="00242B7D"/>
    <w:rsid w:val="00242CCD"/>
    <w:rsid w:val="00242D16"/>
    <w:rsid w:val="00242E05"/>
    <w:rsid w:val="00243060"/>
    <w:rsid w:val="00243277"/>
    <w:rsid w:val="0024340A"/>
    <w:rsid w:val="00243624"/>
    <w:rsid w:val="0024378F"/>
    <w:rsid w:val="002438FA"/>
    <w:rsid w:val="00243967"/>
    <w:rsid w:val="00243DAA"/>
    <w:rsid w:val="00243DAB"/>
    <w:rsid w:val="00243F08"/>
    <w:rsid w:val="00243FF4"/>
    <w:rsid w:val="002440AF"/>
    <w:rsid w:val="0024413A"/>
    <w:rsid w:val="00244290"/>
    <w:rsid w:val="002442F4"/>
    <w:rsid w:val="00244441"/>
    <w:rsid w:val="00244546"/>
    <w:rsid w:val="0024482A"/>
    <w:rsid w:val="00244834"/>
    <w:rsid w:val="0024484D"/>
    <w:rsid w:val="00244851"/>
    <w:rsid w:val="002448DE"/>
    <w:rsid w:val="00244B57"/>
    <w:rsid w:val="00244CEB"/>
    <w:rsid w:val="00244D07"/>
    <w:rsid w:val="00244D7E"/>
    <w:rsid w:val="00244DA1"/>
    <w:rsid w:val="00244F21"/>
    <w:rsid w:val="00245189"/>
    <w:rsid w:val="00245281"/>
    <w:rsid w:val="00245406"/>
    <w:rsid w:val="0024544E"/>
    <w:rsid w:val="002454DD"/>
    <w:rsid w:val="00245594"/>
    <w:rsid w:val="0024573B"/>
    <w:rsid w:val="00245979"/>
    <w:rsid w:val="0024598F"/>
    <w:rsid w:val="00245C99"/>
    <w:rsid w:val="00245D33"/>
    <w:rsid w:val="002460B1"/>
    <w:rsid w:val="00246100"/>
    <w:rsid w:val="0024621E"/>
    <w:rsid w:val="0024630C"/>
    <w:rsid w:val="002463C6"/>
    <w:rsid w:val="002466E6"/>
    <w:rsid w:val="0024676C"/>
    <w:rsid w:val="0024678A"/>
    <w:rsid w:val="00246885"/>
    <w:rsid w:val="0024696F"/>
    <w:rsid w:val="00246CB8"/>
    <w:rsid w:val="00246D8E"/>
    <w:rsid w:val="00246DAB"/>
    <w:rsid w:val="00246E77"/>
    <w:rsid w:val="00246EBF"/>
    <w:rsid w:val="00246F18"/>
    <w:rsid w:val="00246F66"/>
    <w:rsid w:val="00246FE5"/>
    <w:rsid w:val="0024715E"/>
    <w:rsid w:val="002473A7"/>
    <w:rsid w:val="002475FF"/>
    <w:rsid w:val="002476B2"/>
    <w:rsid w:val="00247753"/>
    <w:rsid w:val="002478C3"/>
    <w:rsid w:val="0024790A"/>
    <w:rsid w:val="00247954"/>
    <w:rsid w:val="00247D2A"/>
    <w:rsid w:val="00247D72"/>
    <w:rsid w:val="00247DAA"/>
    <w:rsid w:val="00247E7F"/>
    <w:rsid w:val="00247F71"/>
    <w:rsid w:val="00247FB3"/>
    <w:rsid w:val="00247FDA"/>
    <w:rsid w:val="0025000C"/>
    <w:rsid w:val="002501B8"/>
    <w:rsid w:val="0025029C"/>
    <w:rsid w:val="00250303"/>
    <w:rsid w:val="0025033F"/>
    <w:rsid w:val="002503CD"/>
    <w:rsid w:val="0025040A"/>
    <w:rsid w:val="00250508"/>
    <w:rsid w:val="00250519"/>
    <w:rsid w:val="00250745"/>
    <w:rsid w:val="002507D3"/>
    <w:rsid w:val="00250910"/>
    <w:rsid w:val="0025098E"/>
    <w:rsid w:val="00250AD9"/>
    <w:rsid w:val="00250C44"/>
    <w:rsid w:val="00250CF3"/>
    <w:rsid w:val="00250DB0"/>
    <w:rsid w:val="00250DB6"/>
    <w:rsid w:val="00250EA7"/>
    <w:rsid w:val="00250FC1"/>
    <w:rsid w:val="00250FE2"/>
    <w:rsid w:val="00251057"/>
    <w:rsid w:val="00251070"/>
    <w:rsid w:val="0025112E"/>
    <w:rsid w:val="002512A8"/>
    <w:rsid w:val="002514E7"/>
    <w:rsid w:val="002515A7"/>
    <w:rsid w:val="002518F4"/>
    <w:rsid w:val="002519DB"/>
    <w:rsid w:val="00251AE1"/>
    <w:rsid w:val="00251C01"/>
    <w:rsid w:val="00251CF5"/>
    <w:rsid w:val="00251EFD"/>
    <w:rsid w:val="0025212D"/>
    <w:rsid w:val="0025234B"/>
    <w:rsid w:val="002524E5"/>
    <w:rsid w:val="002525C5"/>
    <w:rsid w:val="002525D6"/>
    <w:rsid w:val="00252A0F"/>
    <w:rsid w:val="00252A65"/>
    <w:rsid w:val="00252ADC"/>
    <w:rsid w:val="00252BD3"/>
    <w:rsid w:val="00252C12"/>
    <w:rsid w:val="00252C28"/>
    <w:rsid w:val="00252C52"/>
    <w:rsid w:val="00252C7F"/>
    <w:rsid w:val="00252D24"/>
    <w:rsid w:val="00252D68"/>
    <w:rsid w:val="00252F6B"/>
    <w:rsid w:val="002530EE"/>
    <w:rsid w:val="00253462"/>
    <w:rsid w:val="002535AE"/>
    <w:rsid w:val="0025375E"/>
    <w:rsid w:val="002537D3"/>
    <w:rsid w:val="002537DE"/>
    <w:rsid w:val="00253970"/>
    <w:rsid w:val="00253D09"/>
    <w:rsid w:val="00253EC5"/>
    <w:rsid w:val="00254009"/>
    <w:rsid w:val="0025405C"/>
    <w:rsid w:val="00254238"/>
    <w:rsid w:val="00254336"/>
    <w:rsid w:val="00254370"/>
    <w:rsid w:val="002543E2"/>
    <w:rsid w:val="00254417"/>
    <w:rsid w:val="00254467"/>
    <w:rsid w:val="002544DA"/>
    <w:rsid w:val="00254752"/>
    <w:rsid w:val="00254896"/>
    <w:rsid w:val="00254B35"/>
    <w:rsid w:val="00254B5B"/>
    <w:rsid w:val="00255691"/>
    <w:rsid w:val="002556EB"/>
    <w:rsid w:val="0025589B"/>
    <w:rsid w:val="00255B9A"/>
    <w:rsid w:val="00255C46"/>
    <w:rsid w:val="00255EA0"/>
    <w:rsid w:val="002562DB"/>
    <w:rsid w:val="00256450"/>
    <w:rsid w:val="002565BB"/>
    <w:rsid w:val="00256644"/>
    <w:rsid w:val="00256677"/>
    <w:rsid w:val="002567C5"/>
    <w:rsid w:val="002567CD"/>
    <w:rsid w:val="002567CF"/>
    <w:rsid w:val="00256AA2"/>
    <w:rsid w:val="00256B2D"/>
    <w:rsid w:val="00256B39"/>
    <w:rsid w:val="0025717F"/>
    <w:rsid w:val="002572AC"/>
    <w:rsid w:val="00257333"/>
    <w:rsid w:val="002573E5"/>
    <w:rsid w:val="0025741D"/>
    <w:rsid w:val="00257488"/>
    <w:rsid w:val="002579D8"/>
    <w:rsid w:val="00257AF2"/>
    <w:rsid w:val="00257B67"/>
    <w:rsid w:val="00257CA0"/>
    <w:rsid w:val="00260012"/>
    <w:rsid w:val="002601BA"/>
    <w:rsid w:val="002602E0"/>
    <w:rsid w:val="002603BA"/>
    <w:rsid w:val="002604F0"/>
    <w:rsid w:val="0026096B"/>
    <w:rsid w:val="002609E0"/>
    <w:rsid w:val="00260AF9"/>
    <w:rsid w:val="00260B4F"/>
    <w:rsid w:val="00260D2A"/>
    <w:rsid w:val="00260F41"/>
    <w:rsid w:val="0026109F"/>
    <w:rsid w:val="0026122A"/>
    <w:rsid w:val="00261322"/>
    <w:rsid w:val="002615D9"/>
    <w:rsid w:val="00261657"/>
    <w:rsid w:val="00261754"/>
    <w:rsid w:val="00261800"/>
    <w:rsid w:val="00261904"/>
    <w:rsid w:val="00261B63"/>
    <w:rsid w:val="00261BA6"/>
    <w:rsid w:val="00261BB1"/>
    <w:rsid w:val="00261C58"/>
    <w:rsid w:val="00261D58"/>
    <w:rsid w:val="00261D61"/>
    <w:rsid w:val="00261D87"/>
    <w:rsid w:val="00261F8E"/>
    <w:rsid w:val="00261FDC"/>
    <w:rsid w:val="00262104"/>
    <w:rsid w:val="00262111"/>
    <w:rsid w:val="00262154"/>
    <w:rsid w:val="00262178"/>
    <w:rsid w:val="00262296"/>
    <w:rsid w:val="002624CD"/>
    <w:rsid w:val="0026253D"/>
    <w:rsid w:val="0026259F"/>
    <w:rsid w:val="00262714"/>
    <w:rsid w:val="0026285C"/>
    <w:rsid w:val="00262A4C"/>
    <w:rsid w:val="00262A5A"/>
    <w:rsid w:val="00262AE1"/>
    <w:rsid w:val="00262D19"/>
    <w:rsid w:val="00262D9E"/>
    <w:rsid w:val="00262EA0"/>
    <w:rsid w:val="00262EE6"/>
    <w:rsid w:val="00262F33"/>
    <w:rsid w:val="0026307D"/>
    <w:rsid w:val="00263132"/>
    <w:rsid w:val="002631C9"/>
    <w:rsid w:val="00263216"/>
    <w:rsid w:val="0026327B"/>
    <w:rsid w:val="00263679"/>
    <w:rsid w:val="002637AB"/>
    <w:rsid w:val="0026390B"/>
    <w:rsid w:val="00263934"/>
    <w:rsid w:val="0026394B"/>
    <w:rsid w:val="00263A52"/>
    <w:rsid w:val="00263B64"/>
    <w:rsid w:val="00263E29"/>
    <w:rsid w:val="00264118"/>
    <w:rsid w:val="0026423D"/>
    <w:rsid w:val="00264321"/>
    <w:rsid w:val="00264413"/>
    <w:rsid w:val="00264480"/>
    <w:rsid w:val="002644AB"/>
    <w:rsid w:val="0026468C"/>
    <w:rsid w:val="00264732"/>
    <w:rsid w:val="00264A16"/>
    <w:rsid w:val="00264AAC"/>
    <w:rsid w:val="00264B05"/>
    <w:rsid w:val="00264BA8"/>
    <w:rsid w:val="00264EC2"/>
    <w:rsid w:val="00264FF1"/>
    <w:rsid w:val="00265121"/>
    <w:rsid w:val="00265195"/>
    <w:rsid w:val="00265289"/>
    <w:rsid w:val="00265347"/>
    <w:rsid w:val="00265379"/>
    <w:rsid w:val="0026545B"/>
    <w:rsid w:val="0026552D"/>
    <w:rsid w:val="00265610"/>
    <w:rsid w:val="002656C8"/>
    <w:rsid w:val="002657AB"/>
    <w:rsid w:val="002657DC"/>
    <w:rsid w:val="00265B85"/>
    <w:rsid w:val="00265B94"/>
    <w:rsid w:val="00265CAE"/>
    <w:rsid w:val="00265DC7"/>
    <w:rsid w:val="00265FAB"/>
    <w:rsid w:val="0026609F"/>
    <w:rsid w:val="002662F4"/>
    <w:rsid w:val="002662F7"/>
    <w:rsid w:val="00266384"/>
    <w:rsid w:val="002663A6"/>
    <w:rsid w:val="002663CA"/>
    <w:rsid w:val="002663FB"/>
    <w:rsid w:val="00266451"/>
    <w:rsid w:val="00266456"/>
    <w:rsid w:val="002665D4"/>
    <w:rsid w:val="002666D0"/>
    <w:rsid w:val="00266701"/>
    <w:rsid w:val="002667F0"/>
    <w:rsid w:val="00266845"/>
    <w:rsid w:val="002668ED"/>
    <w:rsid w:val="002669AF"/>
    <w:rsid w:val="00266AD6"/>
    <w:rsid w:val="00266BD7"/>
    <w:rsid w:val="00266C9B"/>
    <w:rsid w:val="00266D32"/>
    <w:rsid w:val="00266D5E"/>
    <w:rsid w:val="00266EE0"/>
    <w:rsid w:val="00266FC3"/>
    <w:rsid w:val="00266FDE"/>
    <w:rsid w:val="0026711E"/>
    <w:rsid w:val="0026734F"/>
    <w:rsid w:val="0026739E"/>
    <w:rsid w:val="0026766C"/>
    <w:rsid w:val="002676FC"/>
    <w:rsid w:val="00267801"/>
    <w:rsid w:val="002678C1"/>
    <w:rsid w:val="0026796D"/>
    <w:rsid w:val="00267A36"/>
    <w:rsid w:val="00267A93"/>
    <w:rsid w:val="00267BF3"/>
    <w:rsid w:val="00267C54"/>
    <w:rsid w:val="00267D1D"/>
    <w:rsid w:val="00267D30"/>
    <w:rsid w:val="00267D82"/>
    <w:rsid w:val="00267E73"/>
    <w:rsid w:val="00270302"/>
    <w:rsid w:val="00270328"/>
    <w:rsid w:val="00270387"/>
    <w:rsid w:val="002703FA"/>
    <w:rsid w:val="002704CD"/>
    <w:rsid w:val="00270583"/>
    <w:rsid w:val="002709BB"/>
    <w:rsid w:val="002709C3"/>
    <w:rsid w:val="002709F6"/>
    <w:rsid w:val="00270B7B"/>
    <w:rsid w:val="00270C39"/>
    <w:rsid w:val="00270C3E"/>
    <w:rsid w:val="00270E1D"/>
    <w:rsid w:val="00270EC8"/>
    <w:rsid w:val="00270F9F"/>
    <w:rsid w:val="0027108F"/>
    <w:rsid w:val="002711F2"/>
    <w:rsid w:val="0027159A"/>
    <w:rsid w:val="00271797"/>
    <w:rsid w:val="002717E8"/>
    <w:rsid w:val="002717FC"/>
    <w:rsid w:val="002718B0"/>
    <w:rsid w:val="00271C40"/>
    <w:rsid w:val="00271C51"/>
    <w:rsid w:val="00271D21"/>
    <w:rsid w:val="00271D38"/>
    <w:rsid w:val="00271D5C"/>
    <w:rsid w:val="00271E6F"/>
    <w:rsid w:val="00271E92"/>
    <w:rsid w:val="002720B7"/>
    <w:rsid w:val="00272192"/>
    <w:rsid w:val="002721EB"/>
    <w:rsid w:val="0027233E"/>
    <w:rsid w:val="002723C7"/>
    <w:rsid w:val="00272451"/>
    <w:rsid w:val="00272535"/>
    <w:rsid w:val="002725D5"/>
    <w:rsid w:val="002727D6"/>
    <w:rsid w:val="002728DB"/>
    <w:rsid w:val="002729AA"/>
    <w:rsid w:val="002729ED"/>
    <w:rsid w:val="00272C53"/>
    <w:rsid w:val="00272C7A"/>
    <w:rsid w:val="00272E8F"/>
    <w:rsid w:val="00273113"/>
    <w:rsid w:val="00273134"/>
    <w:rsid w:val="002731EA"/>
    <w:rsid w:val="00273619"/>
    <w:rsid w:val="0027389A"/>
    <w:rsid w:val="002738D6"/>
    <w:rsid w:val="00273A43"/>
    <w:rsid w:val="00273B5A"/>
    <w:rsid w:val="00273C56"/>
    <w:rsid w:val="00273DDC"/>
    <w:rsid w:val="00273F3C"/>
    <w:rsid w:val="00273F83"/>
    <w:rsid w:val="002740BD"/>
    <w:rsid w:val="00274108"/>
    <w:rsid w:val="0027410A"/>
    <w:rsid w:val="0027411A"/>
    <w:rsid w:val="00274171"/>
    <w:rsid w:val="002741C4"/>
    <w:rsid w:val="002742E7"/>
    <w:rsid w:val="00274461"/>
    <w:rsid w:val="00274467"/>
    <w:rsid w:val="00274505"/>
    <w:rsid w:val="00274607"/>
    <w:rsid w:val="002746C7"/>
    <w:rsid w:val="002747A3"/>
    <w:rsid w:val="002747DA"/>
    <w:rsid w:val="00274A37"/>
    <w:rsid w:val="00274A8A"/>
    <w:rsid w:val="00274AF0"/>
    <w:rsid w:val="00274B33"/>
    <w:rsid w:val="00274CA2"/>
    <w:rsid w:val="00274CF7"/>
    <w:rsid w:val="00274F0D"/>
    <w:rsid w:val="002750F9"/>
    <w:rsid w:val="002752F2"/>
    <w:rsid w:val="0027540C"/>
    <w:rsid w:val="00275503"/>
    <w:rsid w:val="00275606"/>
    <w:rsid w:val="00275751"/>
    <w:rsid w:val="00275801"/>
    <w:rsid w:val="00275824"/>
    <w:rsid w:val="002758AE"/>
    <w:rsid w:val="002759AD"/>
    <w:rsid w:val="00275A33"/>
    <w:rsid w:val="00275A58"/>
    <w:rsid w:val="00275C67"/>
    <w:rsid w:val="00275CE3"/>
    <w:rsid w:val="00275EBE"/>
    <w:rsid w:val="0027616D"/>
    <w:rsid w:val="002764CC"/>
    <w:rsid w:val="002764E5"/>
    <w:rsid w:val="00276687"/>
    <w:rsid w:val="0027674B"/>
    <w:rsid w:val="002769A3"/>
    <w:rsid w:val="002769AC"/>
    <w:rsid w:val="00276AA8"/>
    <w:rsid w:val="00276C37"/>
    <w:rsid w:val="00276F72"/>
    <w:rsid w:val="00276F91"/>
    <w:rsid w:val="00276F9C"/>
    <w:rsid w:val="00277081"/>
    <w:rsid w:val="002770BF"/>
    <w:rsid w:val="00277160"/>
    <w:rsid w:val="00277778"/>
    <w:rsid w:val="002777FE"/>
    <w:rsid w:val="002778DF"/>
    <w:rsid w:val="00277978"/>
    <w:rsid w:val="00277A86"/>
    <w:rsid w:val="00277AFC"/>
    <w:rsid w:val="00277C0D"/>
    <w:rsid w:val="00277CE4"/>
    <w:rsid w:val="00277ED4"/>
    <w:rsid w:val="00277F1A"/>
    <w:rsid w:val="0028006D"/>
    <w:rsid w:val="0028014B"/>
    <w:rsid w:val="00280156"/>
    <w:rsid w:val="0028031A"/>
    <w:rsid w:val="002803EC"/>
    <w:rsid w:val="002805D8"/>
    <w:rsid w:val="0028084A"/>
    <w:rsid w:val="0028095C"/>
    <w:rsid w:val="00280A8F"/>
    <w:rsid w:val="00280B71"/>
    <w:rsid w:val="00280BC5"/>
    <w:rsid w:val="00280F34"/>
    <w:rsid w:val="0028102C"/>
    <w:rsid w:val="002810A4"/>
    <w:rsid w:val="002810E5"/>
    <w:rsid w:val="0028119E"/>
    <w:rsid w:val="00281232"/>
    <w:rsid w:val="0028149D"/>
    <w:rsid w:val="002815C1"/>
    <w:rsid w:val="00281654"/>
    <w:rsid w:val="00281669"/>
    <w:rsid w:val="002816E2"/>
    <w:rsid w:val="002818C8"/>
    <w:rsid w:val="0028198A"/>
    <w:rsid w:val="00281A0C"/>
    <w:rsid w:val="00281B29"/>
    <w:rsid w:val="00281CDA"/>
    <w:rsid w:val="00281EE9"/>
    <w:rsid w:val="00282377"/>
    <w:rsid w:val="0028245E"/>
    <w:rsid w:val="00282488"/>
    <w:rsid w:val="00282569"/>
    <w:rsid w:val="002826A7"/>
    <w:rsid w:val="00282732"/>
    <w:rsid w:val="00282AC0"/>
    <w:rsid w:val="00282B9A"/>
    <w:rsid w:val="00282C6A"/>
    <w:rsid w:val="00282C75"/>
    <w:rsid w:val="00282EE5"/>
    <w:rsid w:val="00282FC8"/>
    <w:rsid w:val="0028304D"/>
    <w:rsid w:val="00283352"/>
    <w:rsid w:val="00283393"/>
    <w:rsid w:val="002834A6"/>
    <w:rsid w:val="002837E2"/>
    <w:rsid w:val="00283A01"/>
    <w:rsid w:val="00283A2D"/>
    <w:rsid w:val="00283A53"/>
    <w:rsid w:val="00283B24"/>
    <w:rsid w:val="00283C3B"/>
    <w:rsid w:val="00283C44"/>
    <w:rsid w:val="00283DB5"/>
    <w:rsid w:val="00283E46"/>
    <w:rsid w:val="00283F31"/>
    <w:rsid w:val="00284085"/>
    <w:rsid w:val="00284405"/>
    <w:rsid w:val="0028459F"/>
    <w:rsid w:val="002845BF"/>
    <w:rsid w:val="0028466D"/>
    <w:rsid w:val="00284676"/>
    <w:rsid w:val="00284735"/>
    <w:rsid w:val="00284763"/>
    <w:rsid w:val="00284A94"/>
    <w:rsid w:val="00284BAC"/>
    <w:rsid w:val="00284C00"/>
    <w:rsid w:val="00284FEE"/>
    <w:rsid w:val="002850AD"/>
    <w:rsid w:val="00285150"/>
    <w:rsid w:val="00285277"/>
    <w:rsid w:val="002852A0"/>
    <w:rsid w:val="00285330"/>
    <w:rsid w:val="002855F2"/>
    <w:rsid w:val="00285718"/>
    <w:rsid w:val="00285963"/>
    <w:rsid w:val="00285B05"/>
    <w:rsid w:val="00285D33"/>
    <w:rsid w:val="0028612D"/>
    <w:rsid w:val="002861AA"/>
    <w:rsid w:val="0028632D"/>
    <w:rsid w:val="002863B9"/>
    <w:rsid w:val="00286431"/>
    <w:rsid w:val="002864EF"/>
    <w:rsid w:val="002866D5"/>
    <w:rsid w:val="002867BB"/>
    <w:rsid w:val="00286911"/>
    <w:rsid w:val="00286B51"/>
    <w:rsid w:val="00286B70"/>
    <w:rsid w:val="00286BDC"/>
    <w:rsid w:val="00286E71"/>
    <w:rsid w:val="00286F38"/>
    <w:rsid w:val="00286F75"/>
    <w:rsid w:val="0028702C"/>
    <w:rsid w:val="00287151"/>
    <w:rsid w:val="0028718F"/>
    <w:rsid w:val="0028728C"/>
    <w:rsid w:val="00287379"/>
    <w:rsid w:val="0028743A"/>
    <w:rsid w:val="002874E9"/>
    <w:rsid w:val="00287651"/>
    <w:rsid w:val="002877A5"/>
    <w:rsid w:val="002878B9"/>
    <w:rsid w:val="002879DD"/>
    <w:rsid w:val="00290107"/>
    <w:rsid w:val="002901C5"/>
    <w:rsid w:val="00290299"/>
    <w:rsid w:val="002902DD"/>
    <w:rsid w:val="0029034D"/>
    <w:rsid w:val="0029050B"/>
    <w:rsid w:val="002905A6"/>
    <w:rsid w:val="0029090E"/>
    <w:rsid w:val="00290911"/>
    <w:rsid w:val="002909B9"/>
    <w:rsid w:val="00290A5A"/>
    <w:rsid w:val="00290C8C"/>
    <w:rsid w:val="00290ED1"/>
    <w:rsid w:val="00290F63"/>
    <w:rsid w:val="0029110B"/>
    <w:rsid w:val="002912BF"/>
    <w:rsid w:val="002912ED"/>
    <w:rsid w:val="0029139F"/>
    <w:rsid w:val="0029143E"/>
    <w:rsid w:val="002914C6"/>
    <w:rsid w:val="002916E8"/>
    <w:rsid w:val="00291800"/>
    <w:rsid w:val="002918C2"/>
    <w:rsid w:val="002918E3"/>
    <w:rsid w:val="00291967"/>
    <w:rsid w:val="002919E0"/>
    <w:rsid w:val="00291C5D"/>
    <w:rsid w:val="00291D1A"/>
    <w:rsid w:val="00291E8D"/>
    <w:rsid w:val="00291F20"/>
    <w:rsid w:val="00291F93"/>
    <w:rsid w:val="002921FA"/>
    <w:rsid w:val="002922AC"/>
    <w:rsid w:val="0029254B"/>
    <w:rsid w:val="002926E7"/>
    <w:rsid w:val="00292824"/>
    <w:rsid w:val="00292850"/>
    <w:rsid w:val="00292992"/>
    <w:rsid w:val="002929C6"/>
    <w:rsid w:val="002929EF"/>
    <w:rsid w:val="002929F7"/>
    <w:rsid w:val="00292A1B"/>
    <w:rsid w:val="00292BFF"/>
    <w:rsid w:val="00292E1F"/>
    <w:rsid w:val="00292E6C"/>
    <w:rsid w:val="00292EAF"/>
    <w:rsid w:val="00292FBD"/>
    <w:rsid w:val="00292FD2"/>
    <w:rsid w:val="002930C9"/>
    <w:rsid w:val="0029318B"/>
    <w:rsid w:val="0029320B"/>
    <w:rsid w:val="002932D6"/>
    <w:rsid w:val="00293492"/>
    <w:rsid w:val="00293529"/>
    <w:rsid w:val="00293934"/>
    <w:rsid w:val="002939F8"/>
    <w:rsid w:val="00293C81"/>
    <w:rsid w:val="00293D1C"/>
    <w:rsid w:val="00293E01"/>
    <w:rsid w:val="00293E12"/>
    <w:rsid w:val="00293F5B"/>
    <w:rsid w:val="0029407D"/>
    <w:rsid w:val="002942DF"/>
    <w:rsid w:val="002942F7"/>
    <w:rsid w:val="0029457D"/>
    <w:rsid w:val="002947A6"/>
    <w:rsid w:val="0029490A"/>
    <w:rsid w:val="00294DCB"/>
    <w:rsid w:val="00294F1A"/>
    <w:rsid w:val="00294F26"/>
    <w:rsid w:val="00295170"/>
    <w:rsid w:val="0029517C"/>
    <w:rsid w:val="00295580"/>
    <w:rsid w:val="00295756"/>
    <w:rsid w:val="00295787"/>
    <w:rsid w:val="002958E4"/>
    <w:rsid w:val="0029597F"/>
    <w:rsid w:val="002959B5"/>
    <w:rsid w:val="00295A24"/>
    <w:rsid w:val="00295AA7"/>
    <w:rsid w:val="00295F82"/>
    <w:rsid w:val="00295F87"/>
    <w:rsid w:val="002960A4"/>
    <w:rsid w:val="00296448"/>
    <w:rsid w:val="0029650E"/>
    <w:rsid w:val="002966DF"/>
    <w:rsid w:val="002966F8"/>
    <w:rsid w:val="002967D0"/>
    <w:rsid w:val="00296ACB"/>
    <w:rsid w:val="00296B46"/>
    <w:rsid w:val="00296B92"/>
    <w:rsid w:val="00296C2F"/>
    <w:rsid w:val="00296D5D"/>
    <w:rsid w:val="00297137"/>
    <w:rsid w:val="00297203"/>
    <w:rsid w:val="00297479"/>
    <w:rsid w:val="0029751C"/>
    <w:rsid w:val="002976BB"/>
    <w:rsid w:val="00297706"/>
    <w:rsid w:val="0029773F"/>
    <w:rsid w:val="00297D0B"/>
    <w:rsid w:val="00297D5D"/>
    <w:rsid w:val="00297E7B"/>
    <w:rsid w:val="00297F2A"/>
    <w:rsid w:val="00297F76"/>
    <w:rsid w:val="002A038C"/>
    <w:rsid w:val="002A03F1"/>
    <w:rsid w:val="002A0498"/>
    <w:rsid w:val="002A0A99"/>
    <w:rsid w:val="002A0B38"/>
    <w:rsid w:val="002A0BC5"/>
    <w:rsid w:val="002A0DC6"/>
    <w:rsid w:val="002A0E1B"/>
    <w:rsid w:val="002A0E5B"/>
    <w:rsid w:val="002A0F48"/>
    <w:rsid w:val="002A1222"/>
    <w:rsid w:val="002A12AA"/>
    <w:rsid w:val="002A12DF"/>
    <w:rsid w:val="002A12E4"/>
    <w:rsid w:val="002A1400"/>
    <w:rsid w:val="002A1407"/>
    <w:rsid w:val="002A143E"/>
    <w:rsid w:val="002A144D"/>
    <w:rsid w:val="002A1469"/>
    <w:rsid w:val="002A14B7"/>
    <w:rsid w:val="002A14D9"/>
    <w:rsid w:val="002A150C"/>
    <w:rsid w:val="002A15A0"/>
    <w:rsid w:val="002A1953"/>
    <w:rsid w:val="002A19AA"/>
    <w:rsid w:val="002A1A2E"/>
    <w:rsid w:val="002A1AA1"/>
    <w:rsid w:val="002A1ABE"/>
    <w:rsid w:val="002A1AE4"/>
    <w:rsid w:val="002A1C16"/>
    <w:rsid w:val="002A1D99"/>
    <w:rsid w:val="002A1FFA"/>
    <w:rsid w:val="002A2234"/>
    <w:rsid w:val="002A22A2"/>
    <w:rsid w:val="002A23B1"/>
    <w:rsid w:val="002A2850"/>
    <w:rsid w:val="002A290C"/>
    <w:rsid w:val="002A290F"/>
    <w:rsid w:val="002A29A7"/>
    <w:rsid w:val="002A2B58"/>
    <w:rsid w:val="002A2C36"/>
    <w:rsid w:val="002A2C99"/>
    <w:rsid w:val="002A2D3A"/>
    <w:rsid w:val="002A2D42"/>
    <w:rsid w:val="002A2F75"/>
    <w:rsid w:val="002A2FC5"/>
    <w:rsid w:val="002A301E"/>
    <w:rsid w:val="002A3024"/>
    <w:rsid w:val="002A304E"/>
    <w:rsid w:val="002A308F"/>
    <w:rsid w:val="002A31E3"/>
    <w:rsid w:val="002A35E8"/>
    <w:rsid w:val="002A3666"/>
    <w:rsid w:val="002A38B4"/>
    <w:rsid w:val="002A3976"/>
    <w:rsid w:val="002A39E2"/>
    <w:rsid w:val="002A3AA9"/>
    <w:rsid w:val="002A3D3C"/>
    <w:rsid w:val="002A3E1D"/>
    <w:rsid w:val="002A3EB4"/>
    <w:rsid w:val="002A3F39"/>
    <w:rsid w:val="002A403D"/>
    <w:rsid w:val="002A4112"/>
    <w:rsid w:val="002A493D"/>
    <w:rsid w:val="002A4B3F"/>
    <w:rsid w:val="002A4B76"/>
    <w:rsid w:val="002A4D30"/>
    <w:rsid w:val="002A4D57"/>
    <w:rsid w:val="002A4D88"/>
    <w:rsid w:val="002A4F23"/>
    <w:rsid w:val="002A507E"/>
    <w:rsid w:val="002A509E"/>
    <w:rsid w:val="002A50AB"/>
    <w:rsid w:val="002A50C8"/>
    <w:rsid w:val="002A52ED"/>
    <w:rsid w:val="002A5342"/>
    <w:rsid w:val="002A539D"/>
    <w:rsid w:val="002A53F5"/>
    <w:rsid w:val="002A547C"/>
    <w:rsid w:val="002A54AF"/>
    <w:rsid w:val="002A54B8"/>
    <w:rsid w:val="002A57C7"/>
    <w:rsid w:val="002A5BE9"/>
    <w:rsid w:val="002A5CC4"/>
    <w:rsid w:val="002A5CF3"/>
    <w:rsid w:val="002A5DF9"/>
    <w:rsid w:val="002A5FE0"/>
    <w:rsid w:val="002A5FE5"/>
    <w:rsid w:val="002A5FEA"/>
    <w:rsid w:val="002A6210"/>
    <w:rsid w:val="002A6214"/>
    <w:rsid w:val="002A638C"/>
    <w:rsid w:val="002A6478"/>
    <w:rsid w:val="002A677D"/>
    <w:rsid w:val="002A6787"/>
    <w:rsid w:val="002A67DB"/>
    <w:rsid w:val="002A6805"/>
    <w:rsid w:val="002A6A5E"/>
    <w:rsid w:val="002A6C62"/>
    <w:rsid w:val="002A6D62"/>
    <w:rsid w:val="002A6E14"/>
    <w:rsid w:val="002A6E9B"/>
    <w:rsid w:val="002A6F6E"/>
    <w:rsid w:val="002A72FC"/>
    <w:rsid w:val="002A751B"/>
    <w:rsid w:val="002A75D3"/>
    <w:rsid w:val="002A7668"/>
    <w:rsid w:val="002A7675"/>
    <w:rsid w:val="002A769E"/>
    <w:rsid w:val="002A796E"/>
    <w:rsid w:val="002A79BB"/>
    <w:rsid w:val="002A7AFE"/>
    <w:rsid w:val="002A7B2B"/>
    <w:rsid w:val="002A7C5E"/>
    <w:rsid w:val="002A7FBA"/>
    <w:rsid w:val="002B009B"/>
    <w:rsid w:val="002B00B8"/>
    <w:rsid w:val="002B00DE"/>
    <w:rsid w:val="002B015B"/>
    <w:rsid w:val="002B01D6"/>
    <w:rsid w:val="002B029C"/>
    <w:rsid w:val="002B02BA"/>
    <w:rsid w:val="002B06AF"/>
    <w:rsid w:val="002B06C4"/>
    <w:rsid w:val="002B091F"/>
    <w:rsid w:val="002B0A71"/>
    <w:rsid w:val="002B0AE4"/>
    <w:rsid w:val="002B0C2B"/>
    <w:rsid w:val="002B0CD0"/>
    <w:rsid w:val="002B0E12"/>
    <w:rsid w:val="002B0E16"/>
    <w:rsid w:val="002B0ED1"/>
    <w:rsid w:val="002B1108"/>
    <w:rsid w:val="002B1686"/>
    <w:rsid w:val="002B175D"/>
    <w:rsid w:val="002B19BA"/>
    <w:rsid w:val="002B1C37"/>
    <w:rsid w:val="002B1D80"/>
    <w:rsid w:val="002B1DD7"/>
    <w:rsid w:val="002B1EE8"/>
    <w:rsid w:val="002B1EFB"/>
    <w:rsid w:val="002B1F9B"/>
    <w:rsid w:val="002B2250"/>
    <w:rsid w:val="002B24DF"/>
    <w:rsid w:val="002B252C"/>
    <w:rsid w:val="002B2857"/>
    <w:rsid w:val="002B28C6"/>
    <w:rsid w:val="002B2AB9"/>
    <w:rsid w:val="002B2D64"/>
    <w:rsid w:val="002B2E78"/>
    <w:rsid w:val="002B2E84"/>
    <w:rsid w:val="002B2F71"/>
    <w:rsid w:val="002B317F"/>
    <w:rsid w:val="002B324A"/>
    <w:rsid w:val="002B33DD"/>
    <w:rsid w:val="002B3414"/>
    <w:rsid w:val="002B3426"/>
    <w:rsid w:val="002B354B"/>
    <w:rsid w:val="002B3601"/>
    <w:rsid w:val="002B365A"/>
    <w:rsid w:val="002B3775"/>
    <w:rsid w:val="002B37C5"/>
    <w:rsid w:val="002B3962"/>
    <w:rsid w:val="002B3998"/>
    <w:rsid w:val="002B3A86"/>
    <w:rsid w:val="002B3B14"/>
    <w:rsid w:val="002B3B85"/>
    <w:rsid w:val="002B3CA4"/>
    <w:rsid w:val="002B3D45"/>
    <w:rsid w:val="002B3DB5"/>
    <w:rsid w:val="002B3E7D"/>
    <w:rsid w:val="002B3F39"/>
    <w:rsid w:val="002B4130"/>
    <w:rsid w:val="002B4281"/>
    <w:rsid w:val="002B4382"/>
    <w:rsid w:val="002B43CE"/>
    <w:rsid w:val="002B4540"/>
    <w:rsid w:val="002B4B44"/>
    <w:rsid w:val="002B4BF3"/>
    <w:rsid w:val="002B4CCF"/>
    <w:rsid w:val="002B4D8A"/>
    <w:rsid w:val="002B508F"/>
    <w:rsid w:val="002B510A"/>
    <w:rsid w:val="002B5146"/>
    <w:rsid w:val="002B528D"/>
    <w:rsid w:val="002B53F5"/>
    <w:rsid w:val="002B543E"/>
    <w:rsid w:val="002B57A9"/>
    <w:rsid w:val="002B57D3"/>
    <w:rsid w:val="002B586E"/>
    <w:rsid w:val="002B599D"/>
    <w:rsid w:val="002B5A1E"/>
    <w:rsid w:val="002B5BE7"/>
    <w:rsid w:val="002B5C3F"/>
    <w:rsid w:val="002B5DCE"/>
    <w:rsid w:val="002B5E45"/>
    <w:rsid w:val="002B5F38"/>
    <w:rsid w:val="002B605B"/>
    <w:rsid w:val="002B6168"/>
    <w:rsid w:val="002B6249"/>
    <w:rsid w:val="002B63DD"/>
    <w:rsid w:val="002B66B5"/>
    <w:rsid w:val="002B67F0"/>
    <w:rsid w:val="002B69DD"/>
    <w:rsid w:val="002B6AB8"/>
    <w:rsid w:val="002B6C11"/>
    <w:rsid w:val="002B6C69"/>
    <w:rsid w:val="002B708C"/>
    <w:rsid w:val="002B72AB"/>
    <w:rsid w:val="002B7372"/>
    <w:rsid w:val="002B7375"/>
    <w:rsid w:val="002B73A6"/>
    <w:rsid w:val="002B7488"/>
    <w:rsid w:val="002B7575"/>
    <w:rsid w:val="002B7A4E"/>
    <w:rsid w:val="002B7A57"/>
    <w:rsid w:val="002B7AC5"/>
    <w:rsid w:val="002B7CB2"/>
    <w:rsid w:val="002B7E4A"/>
    <w:rsid w:val="002B7E93"/>
    <w:rsid w:val="002C004D"/>
    <w:rsid w:val="002C00EE"/>
    <w:rsid w:val="002C0135"/>
    <w:rsid w:val="002C0218"/>
    <w:rsid w:val="002C03D8"/>
    <w:rsid w:val="002C059B"/>
    <w:rsid w:val="002C0607"/>
    <w:rsid w:val="002C0859"/>
    <w:rsid w:val="002C0A0D"/>
    <w:rsid w:val="002C0A74"/>
    <w:rsid w:val="002C0D3D"/>
    <w:rsid w:val="002C0DBD"/>
    <w:rsid w:val="002C0FCC"/>
    <w:rsid w:val="002C10A5"/>
    <w:rsid w:val="002C10D7"/>
    <w:rsid w:val="002C11DC"/>
    <w:rsid w:val="002C1307"/>
    <w:rsid w:val="002C144A"/>
    <w:rsid w:val="002C1631"/>
    <w:rsid w:val="002C169E"/>
    <w:rsid w:val="002C1736"/>
    <w:rsid w:val="002C175D"/>
    <w:rsid w:val="002C1831"/>
    <w:rsid w:val="002C18A7"/>
    <w:rsid w:val="002C18C0"/>
    <w:rsid w:val="002C1A0B"/>
    <w:rsid w:val="002C1CA1"/>
    <w:rsid w:val="002C1D46"/>
    <w:rsid w:val="002C1D49"/>
    <w:rsid w:val="002C1E52"/>
    <w:rsid w:val="002C2133"/>
    <w:rsid w:val="002C2220"/>
    <w:rsid w:val="002C2265"/>
    <w:rsid w:val="002C2391"/>
    <w:rsid w:val="002C2447"/>
    <w:rsid w:val="002C25A8"/>
    <w:rsid w:val="002C2A08"/>
    <w:rsid w:val="002C2A9B"/>
    <w:rsid w:val="002C2CF2"/>
    <w:rsid w:val="002C2FC4"/>
    <w:rsid w:val="002C2FEB"/>
    <w:rsid w:val="002C3192"/>
    <w:rsid w:val="002C3315"/>
    <w:rsid w:val="002C3323"/>
    <w:rsid w:val="002C3671"/>
    <w:rsid w:val="002C36A7"/>
    <w:rsid w:val="002C36EB"/>
    <w:rsid w:val="002C39E4"/>
    <w:rsid w:val="002C3A0C"/>
    <w:rsid w:val="002C3B17"/>
    <w:rsid w:val="002C3B68"/>
    <w:rsid w:val="002C3B7E"/>
    <w:rsid w:val="002C3DB6"/>
    <w:rsid w:val="002C40AC"/>
    <w:rsid w:val="002C425F"/>
    <w:rsid w:val="002C4313"/>
    <w:rsid w:val="002C43D9"/>
    <w:rsid w:val="002C449B"/>
    <w:rsid w:val="002C44B2"/>
    <w:rsid w:val="002C4602"/>
    <w:rsid w:val="002C46AD"/>
    <w:rsid w:val="002C481D"/>
    <w:rsid w:val="002C4830"/>
    <w:rsid w:val="002C4B6C"/>
    <w:rsid w:val="002C4D3D"/>
    <w:rsid w:val="002C4E5B"/>
    <w:rsid w:val="002C505E"/>
    <w:rsid w:val="002C50F7"/>
    <w:rsid w:val="002C514B"/>
    <w:rsid w:val="002C520F"/>
    <w:rsid w:val="002C5282"/>
    <w:rsid w:val="002C538E"/>
    <w:rsid w:val="002C5736"/>
    <w:rsid w:val="002C5918"/>
    <w:rsid w:val="002C5956"/>
    <w:rsid w:val="002C5C2D"/>
    <w:rsid w:val="002C5FA4"/>
    <w:rsid w:val="002C5FDC"/>
    <w:rsid w:val="002C602E"/>
    <w:rsid w:val="002C61CD"/>
    <w:rsid w:val="002C631C"/>
    <w:rsid w:val="002C631F"/>
    <w:rsid w:val="002C65C1"/>
    <w:rsid w:val="002C67CE"/>
    <w:rsid w:val="002C6808"/>
    <w:rsid w:val="002C689A"/>
    <w:rsid w:val="002C68CE"/>
    <w:rsid w:val="002C6A75"/>
    <w:rsid w:val="002C6D45"/>
    <w:rsid w:val="002C6DC2"/>
    <w:rsid w:val="002C6EB9"/>
    <w:rsid w:val="002C71ED"/>
    <w:rsid w:val="002C7205"/>
    <w:rsid w:val="002C72B9"/>
    <w:rsid w:val="002C72E7"/>
    <w:rsid w:val="002C7384"/>
    <w:rsid w:val="002C7652"/>
    <w:rsid w:val="002C7D70"/>
    <w:rsid w:val="002C7EBE"/>
    <w:rsid w:val="002C7F44"/>
    <w:rsid w:val="002D019F"/>
    <w:rsid w:val="002D01E1"/>
    <w:rsid w:val="002D038B"/>
    <w:rsid w:val="002D09CF"/>
    <w:rsid w:val="002D0AF7"/>
    <w:rsid w:val="002D0B3C"/>
    <w:rsid w:val="002D0BC1"/>
    <w:rsid w:val="002D0C25"/>
    <w:rsid w:val="002D0D01"/>
    <w:rsid w:val="002D0E89"/>
    <w:rsid w:val="002D0FE3"/>
    <w:rsid w:val="002D11C3"/>
    <w:rsid w:val="002D1781"/>
    <w:rsid w:val="002D17A0"/>
    <w:rsid w:val="002D181C"/>
    <w:rsid w:val="002D182D"/>
    <w:rsid w:val="002D1964"/>
    <w:rsid w:val="002D1A66"/>
    <w:rsid w:val="002D1A72"/>
    <w:rsid w:val="002D1B3E"/>
    <w:rsid w:val="002D1B7F"/>
    <w:rsid w:val="002D1BEB"/>
    <w:rsid w:val="002D1CC3"/>
    <w:rsid w:val="002D1E21"/>
    <w:rsid w:val="002D1E82"/>
    <w:rsid w:val="002D1FD2"/>
    <w:rsid w:val="002D206E"/>
    <w:rsid w:val="002D208B"/>
    <w:rsid w:val="002D21B8"/>
    <w:rsid w:val="002D23AB"/>
    <w:rsid w:val="002D23D5"/>
    <w:rsid w:val="002D2432"/>
    <w:rsid w:val="002D2440"/>
    <w:rsid w:val="002D266F"/>
    <w:rsid w:val="002D2671"/>
    <w:rsid w:val="002D27BC"/>
    <w:rsid w:val="002D28E1"/>
    <w:rsid w:val="002D2AFE"/>
    <w:rsid w:val="002D2BB8"/>
    <w:rsid w:val="002D2DD4"/>
    <w:rsid w:val="002D3085"/>
    <w:rsid w:val="002D3357"/>
    <w:rsid w:val="002D347E"/>
    <w:rsid w:val="002D35FE"/>
    <w:rsid w:val="002D365C"/>
    <w:rsid w:val="002D382C"/>
    <w:rsid w:val="002D389C"/>
    <w:rsid w:val="002D3971"/>
    <w:rsid w:val="002D3973"/>
    <w:rsid w:val="002D39BE"/>
    <w:rsid w:val="002D3A4C"/>
    <w:rsid w:val="002D3CAB"/>
    <w:rsid w:val="002D3D91"/>
    <w:rsid w:val="002D3FF2"/>
    <w:rsid w:val="002D4081"/>
    <w:rsid w:val="002D414C"/>
    <w:rsid w:val="002D43E6"/>
    <w:rsid w:val="002D4465"/>
    <w:rsid w:val="002D48C2"/>
    <w:rsid w:val="002D4956"/>
    <w:rsid w:val="002D4C24"/>
    <w:rsid w:val="002D4EBF"/>
    <w:rsid w:val="002D5266"/>
    <w:rsid w:val="002D530B"/>
    <w:rsid w:val="002D5589"/>
    <w:rsid w:val="002D55B2"/>
    <w:rsid w:val="002D5754"/>
    <w:rsid w:val="002D5862"/>
    <w:rsid w:val="002D58E9"/>
    <w:rsid w:val="002D5987"/>
    <w:rsid w:val="002D5C02"/>
    <w:rsid w:val="002D5C9E"/>
    <w:rsid w:val="002D5CA5"/>
    <w:rsid w:val="002D5D44"/>
    <w:rsid w:val="002D5D50"/>
    <w:rsid w:val="002D5DD4"/>
    <w:rsid w:val="002D61B2"/>
    <w:rsid w:val="002D63FF"/>
    <w:rsid w:val="002D6671"/>
    <w:rsid w:val="002D673C"/>
    <w:rsid w:val="002D68DB"/>
    <w:rsid w:val="002D6A26"/>
    <w:rsid w:val="002D6ABC"/>
    <w:rsid w:val="002D6B10"/>
    <w:rsid w:val="002D6BA3"/>
    <w:rsid w:val="002D6F37"/>
    <w:rsid w:val="002D6F68"/>
    <w:rsid w:val="002D7043"/>
    <w:rsid w:val="002D711F"/>
    <w:rsid w:val="002D71C1"/>
    <w:rsid w:val="002D7239"/>
    <w:rsid w:val="002D7306"/>
    <w:rsid w:val="002D74A0"/>
    <w:rsid w:val="002D755A"/>
    <w:rsid w:val="002D7572"/>
    <w:rsid w:val="002D7775"/>
    <w:rsid w:val="002D780F"/>
    <w:rsid w:val="002D787C"/>
    <w:rsid w:val="002D793C"/>
    <w:rsid w:val="002D79B6"/>
    <w:rsid w:val="002D7A6B"/>
    <w:rsid w:val="002D7D77"/>
    <w:rsid w:val="002D7F09"/>
    <w:rsid w:val="002E003D"/>
    <w:rsid w:val="002E04E8"/>
    <w:rsid w:val="002E05B6"/>
    <w:rsid w:val="002E0A2F"/>
    <w:rsid w:val="002E0C49"/>
    <w:rsid w:val="002E0C76"/>
    <w:rsid w:val="002E0CFC"/>
    <w:rsid w:val="002E0DBD"/>
    <w:rsid w:val="002E0F41"/>
    <w:rsid w:val="002E127D"/>
    <w:rsid w:val="002E136C"/>
    <w:rsid w:val="002E13F8"/>
    <w:rsid w:val="002E1508"/>
    <w:rsid w:val="002E1560"/>
    <w:rsid w:val="002E1713"/>
    <w:rsid w:val="002E1750"/>
    <w:rsid w:val="002E1A37"/>
    <w:rsid w:val="002E1A8A"/>
    <w:rsid w:val="002E1AC3"/>
    <w:rsid w:val="002E1AFF"/>
    <w:rsid w:val="002E1CED"/>
    <w:rsid w:val="002E1D36"/>
    <w:rsid w:val="002E1D70"/>
    <w:rsid w:val="002E1D8F"/>
    <w:rsid w:val="002E2028"/>
    <w:rsid w:val="002E22B3"/>
    <w:rsid w:val="002E22F6"/>
    <w:rsid w:val="002E24BD"/>
    <w:rsid w:val="002E2573"/>
    <w:rsid w:val="002E25EE"/>
    <w:rsid w:val="002E26ED"/>
    <w:rsid w:val="002E284D"/>
    <w:rsid w:val="002E28F1"/>
    <w:rsid w:val="002E293F"/>
    <w:rsid w:val="002E2CB3"/>
    <w:rsid w:val="002E2D4F"/>
    <w:rsid w:val="002E2EEF"/>
    <w:rsid w:val="002E31CF"/>
    <w:rsid w:val="002E33C7"/>
    <w:rsid w:val="002E33D6"/>
    <w:rsid w:val="002E347B"/>
    <w:rsid w:val="002E3565"/>
    <w:rsid w:val="002E3706"/>
    <w:rsid w:val="002E37F6"/>
    <w:rsid w:val="002E380C"/>
    <w:rsid w:val="002E382C"/>
    <w:rsid w:val="002E3A0A"/>
    <w:rsid w:val="002E3C0B"/>
    <w:rsid w:val="002E3C2A"/>
    <w:rsid w:val="002E3E0F"/>
    <w:rsid w:val="002E3E44"/>
    <w:rsid w:val="002E3E7E"/>
    <w:rsid w:val="002E3E83"/>
    <w:rsid w:val="002E3EA0"/>
    <w:rsid w:val="002E4024"/>
    <w:rsid w:val="002E42C4"/>
    <w:rsid w:val="002E437E"/>
    <w:rsid w:val="002E44ED"/>
    <w:rsid w:val="002E4520"/>
    <w:rsid w:val="002E47F2"/>
    <w:rsid w:val="002E4835"/>
    <w:rsid w:val="002E4887"/>
    <w:rsid w:val="002E48BE"/>
    <w:rsid w:val="002E4933"/>
    <w:rsid w:val="002E4A94"/>
    <w:rsid w:val="002E4AB1"/>
    <w:rsid w:val="002E4AE0"/>
    <w:rsid w:val="002E4B8A"/>
    <w:rsid w:val="002E4B90"/>
    <w:rsid w:val="002E5041"/>
    <w:rsid w:val="002E5420"/>
    <w:rsid w:val="002E5488"/>
    <w:rsid w:val="002E55CB"/>
    <w:rsid w:val="002E55D8"/>
    <w:rsid w:val="002E5675"/>
    <w:rsid w:val="002E582B"/>
    <w:rsid w:val="002E5922"/>
    <w:rsid w:val="002E5A9E"/>
    <w:rsid w:val="002E5B92"/>
    <w:rsid w:val="002E5CE0"/>
    <w:rsid w:val="002E5EDE"/>
    <w:rsid w:val="002E60C0"/>
    <w:rsid w:val="002E615A"/>
    <w:rsid w:val="002E6332"/>
    <w:rsid w:val="002E6630"/>
    <w:rsid w:val="002E671D"/>
    <w:rsid w:val="002E67A5"/>
    <w:rsid w:val="002E6864"/>
    <w:rsid w:val="002E6B97"/>
    <w:rsid w:val="002E6D1D"/>
    <w:rsid w:val="002E6E3C"/>
    <w:rsid w:val="002E6E9C"/>
    <w:rsid w:val="002E6EDC"/>
    <w:rsid w:val="002E6FC6"/>
    <w:rsid w:val="002E71A3"/>
    <w:rsid w:val="002E71E9"/>
    <w:rsid w:val="002E751B"/>
    <w:rsid w:val="002E7574"/>
    <w:rsid w:val="002E796E"/>
    <w:rsid w:val="002E7980"/>
    <w:rsid w:val="002E7A1B"/>
    <w:rsid w:val="002E7B12"/>
    <w:rsid w:val="002E7C94"/>
    <w:rsid w:val="002E7D58"/>
    <w:rsid w:val="002E7DBE"/>
    <w:rsid w:val="002E7E46"/>
    <w:rsid w:val="002E7F0E"/>
    <w:rsid w:val="002E7F97"/>
    <w:rsid w:val="002F02DC"/>
    <w:rsid w:val="002F03E0"/>
    <w:rsid w:val="002F03F0"/>
    <w:rsid w:val="002F05E6"/>
    <w:rsid w:val="002F0617"/>
    <w:rsid w:val="002F0777"/>
    <w:rsid w:val="002F087B"/>
    <w:rsid w:val="002F0B07"/>
    <w:rsid w:val="002F0B2A"/>
    <w:rsid w:val="002F0D03"/>
    <w:rsid w:val="002F0D52"/>
    <w:rsid w:val="002F0FE2"/>
    <w:rsid w:val="002F1148"/>
    <w:rsid w:val="002F1172"/>
    <w:rsid w:val="002F1334"/>
    <w:rsid w:val="002F13BA"/>
    <w:rsid w:val="002F159F"/>
    <w:rsid w:val="002F15AF"/>
    <w:rsid w:val="002F1642"/>
    <w:rsid w:val="002F1777"/>
    <w:rsid w:val="002F187A"/>
    <w:rsid w:val="002F1AFF"/>
    <w:rsid w:val="002F1B14"/>
    <w:rsid w:val="002F1B1A"/>
    <w:rsid w:val="002F1C71"/>
    <w:rsid w:val="002F1EDC"/>
    <w:rsid w:val="002F1F74"/>
    <w:rsid w:val="002F219F"/>
    <w:rsid w:val="002F2345"/>
    <w:rsid w:val="002F2431"/>
    <w:rsid w:val="002F2458"/>
    <w:rsid w:val="002F24B2"/>
    <w:rsid w:val="002F250D"/>
    <w:rsid w:val="002F28FB"/>
    <w:rsid w:val="002F2917"/>
    <w:rsid w:val="002F2C3B"/>
    <w:rsid w:val="002F2C48"/>
    <w:rsid w:val="002F2EC5"/>
    <w:rsid w:val="002F3288"/>
    <w:rsid w:val="002F3420"/>
    <w:rsid w:val="002F3531"/>
    <w:rsid w:val="002F3745"/>
    <w:rsid w:val="002F386E"/>
    <w:rsid w:val="002F390B"/>
    <w:rsid w:val="002F39E9"/>
    <w:rsid w:val="002F3AE3"/>
    <w:rsid w:val="002F3B30"/>
    <w:rsid w:val="002F3C2D"/>
    <w:rsid w:val="002F3C6E"/>
    <w:rsid w:val="002F3DD7"/>
    <w:rsid w:val="002F3ECD"/>
    <w:rsid w:val="002F3FFE"/>
    <w:rsid w:val="002F418A"/>
    <w:rsid w:val="002F4263"/>
    <w:rsid w:val="002F42C1"/>
    <w:rsid w:val="002F4311"/>
    <w:rsid w:val="002F4485"/>
    <w:rsid w:val="002F4536"/>
    <w:rsid w:val="002F45C4"/>
    <w:rsid w:val="002F46DE"/>
    <w:rsid w:val="002F493D"/>
    <w:rsid w:val="002F4A25"/>
    <w:rsid w:val="002F4AAA"/>
    <w:rsid w:val="002F4AF6"/>
    <w:rsid w:val="002F4B44"/>
    <w:rsid w:val="002F4CFF"/>
    <w:rsid w:val="002F4F84"/>
    <w:rsid w:val="002F5003"/>
    <w:rsid w:val="002F50A1"/>
    <w:rsid w:val="002F51F0"/>
    <w:rsid w:val="002F52C4"/>
    <w:rsid w:val="002F5451"/>
    <w:rsid w:val="002F583C"/>
    <w:rsid w:val="002F5919"/>
    <w:rsid w:val="002F59C6"/>
    <w:rsid w:val="002F5DC2"/>
    <w:rsid w:val="002F5E02"/>
    <w:rsid w:val="002F5F14"/>
    <w:rsid w:val="002F5FF2"/>
    <w:rsid w:val="002F6256"/>
    <w:rsid w:val="002F63CF"/>
    <w:rsid w:val="002F6411"/>
    <w:rsid w:val="002F64B4"/>
    <w:rsid w:val="002F64D9"/>
    <w:rsid w:val="002F6563"/>
    <w:rsid w:val="002F67F7"/>
    <w:rsid w:val="002F67FD"/>
    <w:rsid w:val="002F6959"/>
    <w:rsid w:val="002F695E"/>
    <w:rsid w:val="002F6BD7"/>
    <w:rsid w:val="002F6E2B"/>
    <w:rsid w:val="002F6E58"/>
    <w:rsid w:val="002F6E90"/>
    <w:rsid w:val="002F70B8"/>
    <w:rsid w:val="002F70F8"/>
    <w:rsid w:val="002F7288"/>
    <w:rsid w:val="002F7829"/>
    <w:rsid w:val="002F7944"/>
    <w:rsid w:val="002F79F1"/>
    <w:rsid w:val="002F7A37"/>
    <w:rsid w:val="002F7AC2"/>
    <w:rsid w:val="002F7D2F"/>
    <w:rsid w:val="0030007C"/>
    <w:rsid w:val="003000D4"/>
    <w:rsid w:val="00300311"/>
    <w:rsid w:val="003005CC"/>
    <w:rsid w:val="003007F4"/>
    <w:rsid w:val="00300973"/>
    <w:rsid w:val="00300B65"/>
    <w:rsid w:val="00300BAD"/>
    <w:rsid w:val="00300D61"/>
    <w:rsid w:val="00300DCE"/>
    <w:rsid w:val="00300F2E"/>
    <w:rsid w:val="00300FB7"/>
    <w:rsid w:val="00301105"/>
    <w:rsid w:val="00301538"/>
    <w:rsid w:val="0030154A"/>
    <w:rsid w:val="0030155A"/>
    <w:rsid w:val="003016B3"/>
    <w:rsid w:val="00301724"/>
    <w:rsid w:val="00301930"/>
    <w:rsid w:val="00301993"/>
    <w:rsid w:val="00301BA5"/>
    <w:rsid w:val="00301D9A"/>
    <w:rsid w:val="00301DE8"/>
    <w:rsid w:val="00301F0F"/>
    <w:rsid w:val="0030203D"/>
    <w:rsid w:val="00302048"/>
    <w:rsid w:val="00302093"/>
    <w:rsid w:val="003020BC"/>
    <w:rsid w:val="00302304"/>
    <w:rsid w:val="00302440"/>
    <w:rsid w:val="003024C7"/>
    <w:rsid w:val="0030258A"/>
    <w:rsid w:val="003025C1"/>
    <w:rsid w:val="00302652"/>
    <w:rsid w:val="003026AF"/>
    <w:rsid w:val="003027C9"/>
    <w:rsid w:val="00302850"/>
    <w:rsid w:val="003028C3"/>
    <w:rsid w:val="00302906"/>
    <w:rsid w:val="00302960"/>
    <w:rsid w:val="00302A7D"/>
    <w:rsid w:val="00302A83"/>
    <w:rsid w:val="00302B44"/>
    <w:rsid w:val="00302B7A"/>
    <w:rsid w:val="00302BDC"/>
    <w:rsid w:val="00302DA6"/>
    <w:rsid w:val="00302DF2"/>
    <w:rsid w:val="00302E06"/>
    <w:rsid w:val="0030302C"/>
    <w:rsid w:val="003031CE"/>
    <w:rsid w:val="003033C6"/>
    <w:rsid w:val="0030357B"/>
    <w:rsid w:val="003036B8"/>
    <w:rsid w:val="0030383A"/>
    <w:rsid w:val="003038A0"/>
    <w:rsid w:val="00303AA5"/>
    <w:rsid w:val="00303AF2"/>
    <w:rsid w:val="00303D99"/>
    <w:rsid w:val="00303E94"/>
    <w:rsid w:val="00303E9D"/>
    <w:rsid w:val="00303EC7"/>
    <w:rsid w:val="00303F16"/>
    <w:rsid w:val="00303FD6"/>
    <w:rsid w:val="00303FF6"/>
    <w:rsid w:val="003040C6"/>
    <w:rsid w:val="003041F9"/>
    <w:rsid w:val="0030428A"/>
    <w:rsid w:val="00304321"/>
    <w:rsid w:val="00304333"/>
    <w:rsid w:val="00304492"/>
    <w:rsid w:val="003044E3"/>
    <w:rsid w:val="00304537"/>
    <w:rsid w:val="0030460F"/>
    <w:rsid w:val="003047A5"/>
    <w:rsid w:val="0030480C"/>
    <w:rsid w:val="003048F3"/>
    <w:rsid w:val="00304987"/>
    <w:rsid w:val="00304A15"/>
    <w:rsid w:val="00304A6F"/>
    <w:rsid w:val="00304B00"/>
    <w:rsid w:val="00304B4F"/>
    <w:rsid w:val="00304BCA"/>
    <w:rsid w:val="00304C36"/>
    <w:rsid w:val="00304C8E"/>
    <w:rsid w:val="00304ED0"/>
    <w:rsid w:val="00305046"/>
    <w:rsid w:val="003050EA"/>
    <w:rsid w:val="0030514E"/>
    <w:rsid w:val="0030531D"/>
    <w:rsid w:val="00305374"/>
    <w:rsid w:val="00305415"/>
    <w:rsid w:val="00305478"/>
    <w:rsid w:val="003055B1"/>
    <w:rsid w:val="00305648"/>
    <w:rsid w:val="00305682"/>
    <w:rsid w:val="003056A7"/>
    <w:rsid w:val="00305C87"/>
    <w:rsid w:val="00305CB0"/>
    <w:rsid w:val="00305D4F"/>
    <w:rsid w:val="00305EC2"/>
    <w:rsid w:val="00306052"/>
    <w:rsid w:val="0030612D"/>
    <w:rsid w:val="00306289"/>
    <w:rsid w:val="003065A3"/>
    <w:rsid w:val="0030668A"/>
    <w:rsid w:val="00306BF6"/>
    <w:rsid w:val="00306D03"/>
    <w:rsid w:val="00306E21"/>
    <w:rsid w:val="00306F39"/>
    <w:rsid w:val="00306F5D"/>
    <w:rsid w:val="0030720F"/>
    <w:rsid w:val="0030737B"/>
    <w:rsid w:val="00307435"/>
    <w:rsid w:val="00307832"/>
    <w:rsid w:val="00307AA2"/>
    <w:rsid w:val="00307C3A"/>
    <w:rsid w:val="00307C43"/>
    <w:rsid w:val="00307D16"/>
    <w:rsid w:val="00310076"/>
    <w:rsid w:val="00310218"/>
    <w:rsid w:val="00310796"/>
    <w:rsid w:val="00310A13"/>
    <w:rsid w:val="00310B7B"/>
    <w:rsid w:val="00310BF1"/>
    <w:rsid w:val="00310F56"/>
    <w:rsid w:val="00311027"/>
    <w:rsid w:val="0031112F"/>
    <w:rsid w:val="003111E6"/>
    <w:rsid w:val="003116DF"/>
    <w:rsid w:val="00311712"/>
    <w:rsid w:val="00311748"/>
    <w:rsid w:val="00311776"/>
    <w:rsid w:val="00311AD4"/>
    <w:rsid w:val="00311C7D"/>
    <w:rsid w:val="00311E9F"/>
    <w:rsid w:val="003120C6"/>
    <w:rsid w:val="00312105"/>
    <w:rsid w:val="00312272"/>
    <w:rsid w:val="003122EC"/>
    <w:rsid w:val="0031233A"/>
    <w:rsid w:val="003123DC"/>
    <w:rsid w:val="003124F9"/>
    <w:rsid w:val="003125B9"/>
    <w:rsid w:val="003126B8"/>
    <w:rsid w:val="00312761"/>
    <w:rsid w:val="00312909"/>
    <w:rsid w:val="00312944"/>
    <w:rsid w:val="00312BC5"/>
    <w:rsid w:val="00312BF5"/>
    <w:rsid w:val="00312D3D"/>
    <w:rsid w:val="00312E92"/>
    <w:rsid w:val="00312F2C"/>
    <w:rsid w:val="00312F83"/>
    <w:rsid w:val="00313216"/>
    <w:rsid w:val="003132A5"/>
    <w:rsid w:val="0031352E"/>
    <w:rsid w:val="003135F3"/>
    <w:rsid w:val="00313634"/>
    <w:rsid w:val="0031369B"/>
    <w:rsid w:val="003136A7"/>
    <w:rsid w:val="003136DA"/>
    <w:rsid w:val="00313797"/>
    <w:rsid w:val="00313A83"/>
    <w:rsid w:val="00313B40"/>
    <w:rsid w:val="00313F08"/>
    <w:rsid w:val="00313F8A"/>
    <w:rsid w:val="00313F92"/>
    <w:rsid w:val="00313FE8"/>
    <w:rsid w:val="0031401B"/>
    <w:rsid w:val="003141FC"/>
    <w:rsid w:val="0031435E"/>
    <w:rsid w:val="003143AC"/>
    <w:rsid w:val="003144BC"/>
    <w:rsid w:val="003145D1"/>
    <w:rsid w:val="003145E9"/>
    <w:rsid w:val="003146B6"/>
    <w:rsid w:val="00314879"/>
    <w:rsid w:val="003148C2"/>
    <w:rsid w:val="0031490D"/>
    <w:rsid w:val="00314B0B"/>
    <w:rsid w:val="00314BBE"/>
    <w:rsid w:val="00314CFC"/>
    <w:rsid w:val="00314D6C"/>
    <w:rsid w:val="00314F70"/>
    <w:rsid w:val="00314F78"/>
    <w:rsid w:val="00315035"/>
    <w:rsid w:val="003151E3"/>
    <w:rsid w:val="00315744"/>
    <w:rsid w:val="0031585D"/>
    <w:rsid w:val="0031589F"/>
    <w:rsid w:val="00315911"/>
    <w:rsid w:val="0031597A"/>
    <w:rsid w:val="00315AE2"/>
    <w:rsid w:val="00315B39"/>
    <w:rsid w:val="00315C50"/>
    <w:rsid w:val="00315C8F"/>
    <w:rsid w:val="00315CEA"/>
    <w:rsid w:val="00315E4B"/>
    <w:rsid w:val="0031604B"/>
    <w:rsid w:val="003160B5"/>
    <w:rsid w:val="003162FA"/>
    <w:rsid w:val="00316326"/>
    <w:rsid w:val="00316349"/>
    <w:rsid w:val="00316384"/>
    <w:rsid w:val="00316B27"/>
    <w:rsid w:val="00316C22"/>
    <w:rsid w:val="00316C3E"/>
    <w:rsid w:val="00316C9D"/>
    <w:rsid w:val="00316D75"/>
    <w:rsid w:val="00317054"/>
    <w:rsid w:val="0031723F"/>
    <w:rsid w:val="00317260"/>
    <w:rsid w:val="0031742E"/>
    <w:rsid w:val="0031757C"/>
    <w:rsid w:val="00317603"/>
    <w:rsid w:val="0031772B"/>
    <w:rsid w:val="003177F6"/>
    <w:rsid w:val="0031784A"/>
    <w:rsid w:val="0031799A"/>
    <w:rsid w:val="00317A38"/>
    <w:rsid w:val="00317C65"/>
    <w:rsid w:val="00317E1B"/>
    <w:rsid w:val="00317F3B"/>
    <w:rsid w:val="00317F69"/>
    <w:rsid w:val="00320087"/>
    <w:rsid w:val="003201D0"/>
    <w:rsid w:val="00320220"/>
    <w:rsid w:val="0032049B"/>
    <w:rsid w:val="0032079F"/>
    <w:rsid w:val="003207F4"/>
    <w:rsid w:val="003208B7"/>
    <w:rsid w:val="003208CB"/>
    <w:rsid w:val="00320ADA"/>
    <w:rsid w:val="00320AE8"/>
    <w:rsid w:val="00320B2F"/>
    <w:rsid w:val="00320C5E"/>
    <w:rsid w:val="00320C95"/>
    <w:rsid w:val="00320E7D"/>
    <w:rsid w:val="00320ED0"/>
    <w:rsid w:val="00320FFE"/>
    <w:rsid w:val="0032105B"/>
    <w:rsid w:val="0032107C"/>
    <w:rsid w:val="00321148"/>
    <w:rsid w:val="0032134E"/>
    <w:rsid w:val="00321414"/>
    <w:rsid w:val="0032153C"/>
    <w:rsid w:val="003215B5"/>
    <w:rsid w:val="00321640"/>
    <w:rsid w:val="00321731"/>
    <w:rsid w:val="003217D0"/>
    <w:rsid w:val="003218B5"/>
    <w:rsid w:val="003218F0"/>
    <w:rsid w:val="003218FB"/>
    <w:rsid w:val="00321BC0"/>
    <w:rsid w:val="00321C61"/>
    <w:rsid w:val="00321CAC"/>
    <w:rsid w:val="00321CB2"/>
    <w:rsid w:val="00321CBB"/>
    <w:rsid w:val="00321DDE"/>
    <w:rsid w:val="00321DF3"/>
    <w:rsid w:val="00321F99"/>
    <w:rsid w:val="00322010"/>
    <w:rsid w:val="003220E3"/>
    <w:rsid w:val="0032215F"/>
    <w:rsid w:val="00322176"/>
    <w:rsid w:val="003221A8"/>
    <w:rsid w:val="00322298"/>
    <w:rsid w:val="00322374"/>
    <w:rsid w:val="00322451"/>
    <w:rsid w:val="003224D2"/>
    <w:rsid w:val="003228A2"/>
    <w:rsid w:val="003228C9"/>
    <w:rsid w:val="00322A57"/>
    <w:rsid w:val="00322E50"/>
    <w:rsid w:val="00322F0B"/>
    <w:rsid w:val="00322FCA"/>
    <w:rsid w:val="00323072"/>
    <w:rsid w:val="003231F9"/>
    <w:rsid w:val="0032327D"/>
    <w:rsid w:val="0032333B"/>
    <w:rsid w:val="00323684"/>
    <w:rsid w:val="003236B4"/>
    <w:rsid w:val="003237AB"/>
    <w:rsid w:val="0032386C"/>
    <w:rsid w:val="00323878"/>
    <w:rsid w:val="00323A83"/>
    <w:rsid w:val="00323C38"/>
    <w:rsid w:val="00323D0D"/>
    <w:rsid w:val="00323D7B"/>
    <w:rsid w:val="00323D95"/>
    <w:rsid w:val="00323DAC"/>
    <w:rsid w:val="00323F27"/>
    <w:rsid w:val="00323FE7"/>
    <w:rsid w:val="0032429A"/>
    <w:rsid w:val="00324377"/>
    <w:rsid w:val="00324502"/>
    <w:rsid w:val="003245BC"/>
    <w:rsid w:val="003245D1"/>
    <w:rsid w:val="003247C0"/>
    <w:rsid w:val="003247DA"/>
    <w:rsid w:val="00324847"/>
    <w:rsid w:val="00324874"/>
    <w:rsid w:val="00324983"/>
    <w:rsid w:val="00324A71"/>
    <w:rsid w:val="00324B6B"/>
    <w:rsid w:val="00324CBA"/>
    <w:rsid w:val="00324FF3"/>
    <w:rsid w:val="003251FF"/>
    <w:rsid w:val="003252F4"/>
    <w:rsid w:val="00325839"/>
    <w:rsid w:val="00325848"/>
    <w:rsid w:val="00325896"/>
    <w:rsid w:val="003258B7"/>
    <w:rsid w:val="00325D7F"/>
    <w:rsid w:val="00325E53"/>
    <w:rsid w:val="00325EA5"/>
    <w:rsid w:val="00325F02"/>
    <w:rsid w:val="00326087"/>
    <w:rsid w:val="003260DA"/>
    <w:rsid w:val="00326145"/>
    <w:rsid w:val="00326282"/>
    <w:rsid w:val="003262E7"/>
    <w:rsid w:val="00326309"/>
    <w:rsid w:val="0032639E"/>
    <w:rsid w:val="00326560"/>
    <w:rsid w:val="0032688B"/>
    <w:rsid w:val="00326AF2"/>
    <w:rsid w:val="00326B2D"/>
    <w:rsid w:val="00326CEB"/>
    <w:rsid w:val="00326DE8"/>
    <w:rsid w:val="00327231"/>
    <w:rsid w:val="00327409"/>
    <w:rsid w:val="0032782A"/>
    <w:rsid w:val="00327863"/>
    <w:rsid w:val="003279C9"/>
    <w:rsid w:val="00327A4D"/>
    <w:rsid w:val="00327B4F"/>
    <w:rsid w:val="00327CC6"/>
    <w:rsid w:val="00327D9F"/>
    <w:rsid w:val="00327E3F"/>
    <w:rsid w:val="00327F22"/>
    <w:rsid w:val="003300DA"/>
    <w:rsid w:val="0033011E"/>
    <w:rsid w:val="00330275"/>
    <w:rsid w:val="00330405"/>
    <w:rsid w:val="00330621"/>
    <w:rsid w:val="00330825"/>
    <w:rsid w:val="0033085B"/>
    <w:rsid w:val="0033095B"/>
    <w:rsid w:val="00330C78"/>
    <w:rsid w:val="00330CE1"/>
    <w:rsid w:val="00330E4D"/>
    <w:rsid w:val="00331294"/>
    <w:rsid w:val="0033151A"/>
    <w:rsid w:val="00331824"/>
    <w:rsid w:val="00331EE9"/>
    <w:rsid w:val="00331F9E"/>
    <w:rsid w:val="003320F4"/>
    <w:rsid w:val="00332183"/>
    <w:rsid w:val="0033245A"/>
    <w:rsid w:val="00332528"/>
    <w:rsid w:val="00332537"/>
    <w:rsid w:val="003325A4"/>
    <w:rsid w:val="0033261D"/>
    <w:rsid w:val="00332629"/>
    <w:rsid w:val="0033271C"/>
    <w:rsid w:val="00332A97"/>
    <w:rsid w:val="00332B82"/>
    <w:rsid w:val="00332D02"/>
    <w:rsid w:val="00332D50"/>
    <w:rsid w:val="00332E0C"/>
    <w:rsid w:val="00332E96"/>
    <w:rsid w:val="00332F34"/>
    <w:rsid w:val="00333070"/>
    <w:rsid w:val="003332A3"/>
    <w:rsid w:val="003332B5"/>
    <w:rsid w:val="0033338E"/>
    <w:rsid w:val="00333595"/>
    <w:rsid w:val="00333657"/>
    <w:rsid w:val="00333756"/>
    <w:rsid w:val="003338B1"/>
    <w:rsid w:val="00333AAD"/>
    <w:rsid w:val="00333C9E"/>
    <w:rsid w:val="00333EF9"/>
    <w:rsid w:val="00334011"/>
    <w:rsid w:val="0033431D"/>
    <w:rsid w:val="003343CF"/>
    <w:rsid w:val="003344F9"/>
    <w:rsid w:val="003346CE"/>
    <w:rsid w:val="0033475B"/>
    <w:rsid w:val="003347A8"/>
    <w:rsid w:val="003348C8"/>
    <w:rsid w:val="00334BF3"/>
    <w:rsid w:val="00334C98"/>
    <w:rsid w:val="00334CB3"/>
    <w:rsid w:val="00334D79"/>
    <w:rsid w:val="00334DA1"/>
    <w:rsid w:val="00334E94"/>
    <w:rsid w:val="00334F14"/>
    <w:rsid w:val="00334F35"/>
    <w:rsid w:val="003351A1"/>
    <w:rsid w:val="003351B9"/>
    <w:rsid w:val="00335202"/>
    <w:rsid w:val="00335238"/>
    <w:rsid w:val="00335250"/>
    <w:rsid w:val="003352DA"/>
    <w:rsid w:val="003353A9"/>
    <w:rsid w:val="003353EE"/>
    <w:rsid w:val="00335417"/>
    <w:rsid w:val="003354B9"/>
    <w:rsid w:val="00335667"/>
    <w:rsid w:val="00335685"/>
    <w:rsid w:val="003356C4"/>
    <w:rsid w:val="003358A6"/>
    <w:rsid w:val="00335954"/>
    <w:rsid w:val="00335A66"/>
    <w:rsid w:val="00335D19"/>
    <w:rsid w:val="0033614B"/>
    <w:rsid w:val="00336174"/>
    <w:rsid w:val="003361AC"/>
    <w:rsid w:val="00336251"/>
    <w:rsid w:val="0033637F"/>
    <w:rsid w:val="003364FA"/>
    <w:rsid w:val="003365CF"/>
    <w:rsid w:val="0033661E"/>
    <w:rsid w:val="0033672D"/>
    <w:rsid w:val="00336887"/>
    <w:rsid w:val="00336A9E"/>
    <w:rsid w:val="00336B86"/>
    <w:rsid w:val="00336C3E"/>
    <w:rsid w:val="00336CEF"/>
    <w:rsid w:val="00336D57"/>
    <w:rsid w:val="00336D5F"/>
    <w:rsid w:val="00336F28"/>
    <w:rsid w:val="00337178"/>
    <w:rsid w:val="0033718D"/>
    <w:rsid w:val="0033773D"/>
    <w:rsid w:val="00337930"/>
    <w:rsid w:val="00337964"/>
    <w:rsid w:val="003379DC"/>
    <w:rsid w:val="00337F84"/>
    <w:rsid w:val="00337FA7"/>
    <w:rsid w:val="0034001B"/>
    <w:rsid w:val="0034008A"/>
    <w:rsid w:val="003401CC"/>
    <w:rsid w:val="0034022F"/>
    <w:rsid w:val="003403DF"/>
    <w:rsid w:val="003404C1"/>
    <w:rsid w:val="00340579"/>
    <w:rsid w:val="00340CA8"/>
    <w:rsid w:val="00340D33"/>
    <w:rsid w:val="00340DB1"/>
    <w:rsid w:val="00340F5B"/>
    <w:rsid w:val="00341345"/>
    <w:rsid w:val="003415B3"/>
    <w:rsid w:val="00341850"/>
    <w:rsid w:val="00341B91"/>
    <w:rsid w:val="00341BD3"/>
    <w:rsid w:val="003420AF"/>
    <w:rsid w:val="0034217C"/>
    <w:rsid w:val="003421D5"/>
    <w:rsid w:val="00342424"/>
    <w:rsid w:val="0034247C"/>
    <w:rsid w:val="00342491"/>
    <w:rsid w:val="003425A7"/>
    <w:rsid w:val="00342607"/>
    <w:rsid w:val="00342671"/>
    <w:rsid w:val="00342760"/>
    <w:rsid w:val="00342951"/>
    <w:rsid w:val="003429BF"/>
    <w:rsid w:val="00342ACB"/>
    <w:rsid w:val="00342AD6"/>
    <w:rsid w:val="00342C2B"/>
    <w:rsid w:val="00342C99"/>
    <w:rsid w:val="00342DB4"/>
    <w:rsid w:val="00342E1D"/>
    <w:rsid w:val="0034324A"/>
    <w:rsid w:val="0034354E"/>
    <w:rsid w:val="00343625"/>
    <w:rsid w:val="00343DC4"/>
    <w:rsid w:val="00343FD7"/>
    <w:rsid w:val="003441DC"/>
    <w:rsid w:val="0034428F"/>
    <w:rsid w:val="00344299"/>
    <w:rsid w:val="00344375"/>
    <w:rsid w:val="003443EC"/>
    <w:rsid w:val="00344420"/>
    <w:rsid w:val="00344790"/>
    <w:rsid w:val="00344BF5"/>
    <w:rsid w:val="00344C75"/>
    <w:rsid w:val="00344DBE"/>
    <w:rsid w:val="003450E0"/>
    <w:rsid w:val="00345194"/>
    <w:rsid w:val="0034519C"/>
    <w:rsid w:val="003453C6"/>
    <w:rsid w:val="003453CA"/>
    <w:rsid w:val="00345578"/>
    <w:rsid w:val="003455C1"/>
    <w:rsid w:val="0034574C"/>
    <w:rsid w:val="00345896"/>
    <w:rsid w:val="0034594E"/>
    <w:rsid w:val="00345AE9"/>
    <w:rsid w:val="00345BDF"/>
    <w:rsid w:val="00345CF0"/>
    <w:rsid w:val="00345D40"/>
    <w:rsid w:val="00345DB4"/>
    <w:rsid w:val="00345DD2"/>
    <w:rsid w:val="00345E05"/>
    <w:rsid w:val="00345F7F"/>
    <w:rsid w:val="00345FCE"/>
    <w:rsid w:val="003461BC"/>
    <w:rsid w:val="00346246"/>
    <w:rsid w:val="003462FD"/>
    <w:rsid w:val="0034630B"/>
    <w:rsid w:val="003464A3"/>
    <w:rsid w:val="0034662E"/>
    <w:rsid w:val="00346708"/>
    <w:rsid w:val="00346738"/>
    <w:rsid w:val="00346851"/>
    <w:rsid w:val="00346913"/>
    <w:rsid w:val="0034698C"/>
    <w:rsid w:val="0034703B"/>
    <w:rsid w:val="003471A5"/>
    <w:rsid w:val="003473F2"/>
    <w:rsid w:val="003477D5"/>
    <w:rsid w:val="00347818"/>
    <w:rsid w:val="00347AAD"/>
    <w:rsid w:val="00347B37"/>
    <w:rsid w:val="00347CA4"/>
    <w:rsid w:val="00347CBA"/>
    <w:rsid w:val="00347CC8"/>
    <w:rsid w:val="00347D5B"/>
    <w:rsid w:val="00347DF4"/>
    <w:rsid w:val="00347E2E"/>
    <w:rsid w:val="00347EE9"/>
    <w:rsid w:val="00347F3C"/>
    <w:rsid w:val="00347F87"/>
    <w:rsid w:val="003500E3"/>
    <w:rsid w:val="003500FE"/>
    <w:rsid w:val="0035026D"/>
    <w:rsid w:val="003503B6"/>
    <w:rsid w:val="003503BB"/>
    <w:rsid w:val="003503E7"/>
    <w:rsid w:val="00350556"/>
    <w:rsid w:val="003505FF"/>
    <w:rsid w:val="00350639"/>
    <w:rsid w:val="00350678"/>
    <w:rsid w:val="00350938"/>
    <w:rsid w:val="00350A93"/>
    <w:rsid w:val="00350BD5"/>
    <w:rsid w:val="00350C5A"/>
    <w:rsid w:val="00350C6E"/>
    <w:rsid w:val="00350D30"/>
    <w:rsid w:val="00350D33"/>
    <w:rsid w:val="00350ED1"/>
    <w:rsid w:val="00350EE0"/>
    <w:rsid w:val="00350F47"/>
    <w:rsid w:val="003512F4"/>
    <w:rsid w:val="0035145A"/>
    <w:rsid w:val="003516FB"/>
    <w:rsid w:val="003519E9"/>
    <w:rsid w:val="00351B3A"/>
    <w:rsid w:val="00351C0D"/>
    <w:rsid w:val="00351D39"/>
    <w:rsid w:val="00351F71"/>
    <w:rsid w:val="00351F92"/>
    <w:rsid w:val="00351FC9"/>
    <w:rsid w:val="00352008"/>
    <w:rsid w:val="00352130"/>
    <w:rsid w:val="003525F6"/>
    <w:rsid w:val="00352876"/>
    <w:rsid w:val="0035288E"/>
    <w:rsid w:val="003528BA"/>
    <w:rsid w:val="00352A75"/>
    <w:rsid w:val="00352B43"/>
    <w:rsid w:val="00352B6F"/>
    <w:rsid w:val="00352DA1"/>
    <w:rsid w:val="00352DFB"/>
    <w:rsid w:val="00353048"/>
    <w:rsid w:val="00353168"/>
    <w:rsid w:val="003532F5"/>
    <w:rsid w:val="00353656"/>
    <w:rsid w:val="0035392D"/>
    <w:rsid w:val="003539CB"/>
    <w:rsid w:val="00353B17"/>
    <w:rsid w:val="00353B4D"/>
    <w:rsid w:val="00353B5A"/>
    <w:rsid w:val="00353BB4"/>
    <w:rsid w:val="00353C6D"/>
    <w:rsid w:val="00353C7E"/>
    <w:rsid w:val="00353C90"/>
    <w:rsid w:val="00353D01"/>
    <w:rsid w:val="00353DB5"/>
    <w:rsid w:val="00353DD1"/>
    <w:rsid w:val="00354017"/>
    <w:rsid w:val="00354192"/>
    <w:rsid w:val="00354363"/>
    <w:rsid w:val="003543B2"/>
    <w:rsid w:val="0035465B"/>
    <w:rsid w:val="003548AE"/>
    <w:rsid w:val="0035491C"/>
    <w:rsid w:val="00354B87"/>
    <w:rsid w:val="00354B99"/>
    <w:rsid w:val="00354C36"/>
    <w:rsid w:val="00354CA6"/>
    <w:rsid w:val="00354E76"/>
    <w:rsid w:val="00354ECD"/>
    <w:rsid w:val="00354FB5"/>
    <w:rsid w:val="00354FC8"/>
    <w:rsid w:val="003552C4"/>
    <w:rsid w:val="003552DB"/>
    <w:rsid w:val="0035530C"/>
    <w:rsid w:val="003554F0"/>
    <w:rsid w:val="0035574D"/>
    <w:rsid w:val="0035576A"/>
    <w:rsid w:val="00355829"/>
    <w:rsid w:val="00355863"/>
    <w:rsid w:val="00355D7A"/>
    <w:rsid w:val="00355E1F"/>
    <w:rsid w:val="00355E6D"/>
    <w:rsid w:val="00356168"/>
    <w:rsid w:val="003565BC"/>
    <w:rsid w:val="0035665E"/>
    <w:rsid w:val="003566A4"/>
    <w:rsid w:val="00356741"/>
    <w:rsid w:val="00356754"/>
    <w:rsid w:val="00356774"/>
    <w:rsid w:val="0035692E"/>
    <w:rsid w:val="00356945"/>
    <w:rsid w:val="003569E9"/>
    <w:rsid w:val="00356A55"/>
    <w:rsid w:val="00356A75"/>
    <w:rsid w:val="00356EB7"/>
    <w:rsid w:val="003570D0"/>
    <w:rsid w:val="003570FA"/>
    <w:rsid w:val="00357315"/>
    <w:rsid w:val="00357349"/>
    <w:rsid w:val="0035736F"/>
    <w:rsid w:val="003573B8"/>
    <w:rsid w:val="003573CB"/>
    <w:rsid w:val="0035753F"/>
    <w:rsid w:val="0035757D"/>
    <w:rsid w:val="0035779E"/>
    <w:rsid w:val="0035793C"/>
    <w:rsid w:val="00357BFD"/>
    <w:rsid w:val="00357DFC"/>
    <w:rsid w:val="00357F2B"/>
    <w:rsid w:val="00357F37"/>
    <w:rsid w:val="00357F4D"/>
    <w:rsid w:val="003600CC"/>
    <w:rsid w:val="00360255"/>
    <w:rsid w:val="00360362"/>
    <w:rsid w:val="00360679"/>
    <w:rsid w:val="003609F6"/>
    <w:rsid w:val="00360F69"/>
    <w:rsid w:val="00361053"/>
    <w:rsid w:val="00361108"/>
    <w:rsid w:val="003611DD"/>
    <w:rsid w:val="00361245"/>
    <w:rsid w:val="003613BF"/>
    <w:rsid w:val="003614F4"/>
    <w:rsid w:val="003615CE"/>
    <w:rsid w:val="003615E8"/>
    <w:rsid w:val="00361659"/>
    <w:rsid w:val="003616ED"/>
    <w:rsid w:val="00361CD1"/>
    <w:rsid w:val="00361EBE"/>
    <w:rsid w:val="00361F87"/>
    <w:rsid w:val="00361FDC"/>
    <w:rsid w:val="0036206F"/>
    <w:rsid w:val="00362083"/>
    <w:rsid w:val="003621DD"/>
    <w:rsid w:val="00362283"/>
    <w:rsid w:val="0036229C"/>
    <w:rsid w:val="003622AE"/>
    <w:rsid w:val="003623AA"/>
    <w:rsid w:val="0036240D"/>
    <w:rsid w:val="00362489"/>
    <w:rsid w:val="003624BF"/>
    <w:rsid w:val="003624EE"/>
    <w:rsid w:val="003627D4"/>
    <w:rsid w:val="003627ED"/>
    <w:rsid w:val="00362A52"/>
    <w:rsid w:val="00362AA6"/>
    <w:rsid w:val="00362C2D"/>
    <w:rsid w:val="00362D11"/>
    <w:rsid w:val="00362EF5"/>
    <w:rsid w:val="00362EFE"/>
    <w:rsid w:val="00362FA9"/>
    <w:rsid w:val="003631C7"/>
    <w:rsid w:val="00363235"/>
    <w:rsid w:val="0036328F"/>
    <w:rsid w:val="00363646"/>
    <w:rsid w:val="003637AC"/>
    <w:rsid w:val="003638AC"/>
    <w:rsid w:val="00363922"/>
    <w:rsid w:val="00363990"/>
    <w:rsid w:val="00363B2A"/>
    <w:rsid w:val="00363DC1"/>
    <w:rsid w:val="00363FEE"/>
    <w:rsid w:val="003640B3"/>
    <w:rsid w:val="003640E5"/>
    <w:rsid w:val="0036420A"/>
    <w:rsid w:val="00364265"/>
    <w:rsid w:val="00364619"/>
    <w:rsid w:val="00364643"/>
    <w:rsid w:val="003646D1"/>
    <w:rsid w:val="003648B4"/>
    <w:rsid w:val="003648CD"/>
    <w:rsid w:val="00364914"/>
    <w:rsid w:val="00364A3B"/>
    <w:rsid w:val="00364BE7"/>
    <w:rsid w:val="00364C96"/>
    <w:rsid w:val="00364CC9"/>
    <w:rsid w:val="00364CDF"/>
    <w:rsid w:val="00364D0A"/>
    <w:rsid w:val="00364D56"/>
    <w:rsid w:val="00364F74"/>
    <w:rsid w:val="00364F94"/>
    <w:rsid w:val="003650EB"/>
    <w:rsid w:val="003650FB"/>
    <w:rsid w:val="003652EB"/>
    <w:rsid w:val="00365360"/>
    <w:rsid w:val="00365377"/>
    <w:rsid w:val="00365553"/>
    <w:rsid w:val="00365580"/>
    <w:rsid w:val="003657AD"/>
    <w:rsid w:val="003658E8"/>
    <w:rsid w:val="00365A86"/>
    <w:rsid w:val="00365AE8"/>
    <w:rsid w:val="00365E1F"/>
    <w:rsid w:val="00365E25"/>
    <w:rsid w:val="00365EF4"/>
    <w:rsid w:val="00365FA7"/>
    <w:rsid w:val="0036621A"/>
    <w:rsid w:val="00366309"/>
    <w:rsid w:val="00366343"/>
    <w:rsid w:val="0036643D"/>
    <w:rsid w:val="00366564"/>
    <w:rsid w:val="003665D0"/>
    <w:rsid w:val="00366635"/>
    <w:rsid w:val="003666B3"/>
    <w:rsid w:val="0036673D"/>
    <w:rsid w:val="00366A4F"/>
    <w:rsid w:val="00366AAC"/>
    <w:rsid w:val="00366D1D"/>
    <w:rsid w:val="00366DFB"/>
    <w:rsid w:val="0036710B"/>
    <w:rsid w:val="00367128"/>
    <w:rsid w:val="003671F0"/>
    <w:rsid w:val="0036747E"/>
    <w:rsid w:val="003675CF"/>
    <w:rsid w:val="00367605"/>
    <w:rsid w:val="00367684"/>
    <w:rsid w:val="0036768E"/>
    <w:rsid w:val="00367751"/>
    <w:rsid w:val="0036775F"/>
    <w:rsid w:val="003677E1"/>
    <w:rsid w:val="003678C2"/>
    <w:rsid w:val="003679CF"/>
    <w:rsid w:val="00367A5B"/>
    <w:rsid w:val="00367C4B"/>
    <w:rsid w:val="00367C83"/>
    <w:rsid w:val="00367D23"/>
    <w:rsid w:val="00367F35"/>
    <w:rsid w:val="00367FEA"/>
    <w:rsid w:val="0037008B"/>
    <w:rsid w:val="003700E2"/>
    <w:rsid w:val="00370146"/>
    <w:rsid w:val="003702EB"/>
    <w:rsid w:val="003704AF"/>
    <w:rsid w:val="00370549"/>
    <w:rsid w:val="003706A3"/>
    <w:rsid w:val="0037070C"/>
    <w:rsid w:val="0037072B"/>
    <w:rsid w:val="003707F1"/>
    <w:rsid w:val="00370A62"/>
    <w:rsid w:val="00370A91"/>
    <w:rsid w:val="00370F8A"/>
    <w:rsid w:val="00371000"/>
    <w:rsid w:val="00371028"/>
    <w:rsid w:val="0037105B"/>
    <w:rsid w:val="003711F7"/>
    <w:rsid w:val="003713AE"/>
    <w:rsid w:val="003714B0"/>
    <w:rsid w:val="003714CA"/>
    <w:rsid w:val="00371567"/>
    <w:rsid w:val="003715AD"/>
    <w:rsid w:val="00371736"/>
    <w:rsid w:val="003717B5"/>
    <w:rsid w:val="00371ADC"/>
    <w:rsid w:val="00371D89"/>
    <w:rsid w:val="00371DE5"/>
    <w:rsid w:val="00371E8B"/>
    <w:rsid w:val="00371EA1"/>
    <w:rsid w:val="00371F0C"/>
    <w:rsid w:val="00371F41"/>
    <w:rsid w:val="00372126"/>
    <w:rsid w:val="00372223"/>
    <w:rsid w:val="00372232"/>
    <w:rsid w:val="00372332"/>
    <w:rsid w:val="00372392"/>
    <w:rsid w:val="003723D2"/>
    <w:rsid w:val="0037244A"/>
    <w:rsid w:val="0037246C"/>
    <w:rsid w:val="00372550"/>
    <w:rsid w:val="00372AB3"/>
    <w:rsid w:val="00372BC8"/>
    <w:rsid w:val="00372BFE"/>
    <w:rsid w:val="00372C8C"/>
    <w:rsid w:val="00373153"/>
    <w:rsid w:val="0037319D"/>
    <w:rsid w:val="003733D3"/>
    <w:rsid w:val="00373447"/>
    <w:rsid w:val="003736D3"/>
    <w:rsid w:val="00373792"/>
    <w:rsid w:val="0037382D"/>
    <w:rsid w:val="003738B7"/>
    <w:rsid w:val="003738DA"/>
    <w:rsid w:val="0037397B"/>
    <w:rsid w:val="00373CA1"/>
    <w:rsid w:val="00373D05"/>
    <w:rsid w:val="00373E56"/>
    <w:rsid w:val="00374068"/>
    <w:rsid w:val="003740C3"/>
    <w:rsid w:val="003740E1"/>
    <w:rsid w:val="00374375"/>
    <w:rsid w:val="003743B1"/>
    <w:rsid w:val="003743B5"/>
    <w:rsid w:val="003744AC"/>
    <w:rsid w:val="0037457C"/>
    <w:rsid w:val="0037479A"/>
    <w:rsid w:val="00374A40"/>
    <w:rsid w:val="00374AC6"/>
    <w:rsid w:val="00374CFA"/>
    <w:rsid w:val="00374DAE"/>
    <w:rsid w:val="00375204"/>
    <w:rsid w:val="0037532F"/>
    <w:rsid w:val="00375375"/>
    <w:rsid w:val="003754C2"/>
    <w:rsid w:val="003754ED"/>
    <w:rsid w:val="00375564"/>
    <w:rsid w:val="00375726"/>
    <w:rsid w:val="00375885"/>
    <w:rsid w:val="00375A46"/>
    <w:rsid w:val="00375B5F"/>
    <w:rsid w:val="00375C4A"/>
    <w:rsid w:val="00375C80"/>
    <w:rsid w:val="00376021"/>
    <w:rsid w:val="003760D4"/>
    <w:rsid w:val="003761D5"/>
    <w:rsid w:val="00376221"/>
    <w:rsid w:val="00376663"/>
    <w:rsid w:val="003767E8"/>
    <w:rsid w:val="00376820"/>
    <w:rsid w:val="00376887"/>
    <w:rsid w:val="00376A74"/>
    <w:rsid w:val="00376BEA"/>
    <w:rsid w:val="00376EAB"/>
    <w:rsid w:val="00377062"/>
    <w:rsid w:val="003770D5"/>
    <w:rsid w:val="00377178"/>
    <w:rsid w:val="003771A9"/>
    <w:rsid w:val="003771D2"/>
    <w:rsid w:val="0037723A"/>
    <w:rsid w:val="003775F1"/>
    <w:rsid w:val="00377749"/>
    <w:rsid w:val="00377782"/>
    <w:rsid w:val="003777BC"/>
    <w:rsid w:val="003777F0"/>
    <w:rsid w:val="0037784C"/>
    <w:rsid w:val="00377A6A"/>
    <w:rsid w:val="00377A81"/>
    <w:rsid w:val="00377E3A"/>
    <w:rsid w:val="00380253"/>
    <w:rsid w:val="0038050B"/>
    <w:rsid w:val="0038065F"/>
    <w:rsid w:val="0038079D"/>
    <w:rsid w:val="0038097A"/>
    <w:rsid w:val="00380A0F"/>
    <w:rsid w:val="00380A53"/>
    <w:rsid w:val="00380A6E"/>
    <w:rsid w:val="00380AB6"/>
    <w:rsid w:val="00380B07"/>
    <w:rsid w:val="00380DA4"/>
    <w:rsid w:val="00380F6D"/>
    <w:rsid w:val="003811C8"/>
    <w:rsid w:val="003811C9"/>
    <w:rsid w:val="0038125B"/>
    <w:rsid w:val="003812AA"/>
    <w:rsid w:val="00381542"/>
    <w:rsid w:val="003818DE"/>
    <w:rsid w:val="00381A3E"/>
    <w:rsid w:val="00381B55"/>
    <w:rsid w:val="00381C39"/>
    <w:rsid w:val="00381CA6"/>
    <w:rsid w:val="0038212C"/>
    <w:rsid w:val="0038235A"/>
    <w:rsid w:val="003823EA"/>
    <w:rsid w:val="0038246B"/>
    <w:rsid w:val="003824FC"/>
    <w:rsid w:val="0038254B"/>
    <w:rsid w:val="003829A1"/>
    <w:rsid w:val="00382BA4"/>
    <w:rsid w:val="00382C90"/>
    <w:rsid w:val="00382DAE"/>
    <w:rsid w:val="00382DFB"/>
    <w:rsid w:val="00382EBA"/>
    <w:rsid w:val="00382FE3"/>
    <w:rsid w:val="003832A7"/>
    <w:rsid w:val="003832BD"/>
    <w:rsid w:val="0038332E"/>
    <w:rsid w:val="00383393"/>
    <w:rsid w:val="003833E8"/>
    <w:rsid w:val="0038340D"/>
    <w:rsid w:val="0038379E"/>
    <w:rsid w:val="0038394A"/>
    <w:rsid w:val="00383A7B"/>
    <w:rsid w:val="00383BBC"/>
    <w:rsid w:val="00383DB3"/>
    <w:rsid w:val="00383EEC"/>
    <w:rsid w:val="003840C3"/>
    <w:rsid w:val="003840F9"/>
    <w:rsid w:val="003845FF"/>
    <w:rsid w:val="00384AC0"/>
    <w:rsid w:val="00384D8D"/>
    <w:rsid w:val="00384F43"/>
    <w:rsid w:val="00385333"/>
    <w:rsid w:val="003855EE"/>
    <w:rsid w:val="003858AD"/>
    <w:rsid w:val="003858D7"/>
    <w:rsid w:val="00385906"/>
    <w:rsid w:val="003859AF"/>
    <w:rsid w:val="00385EB0"/>
    <w:rsid w:val="00385F84"/>
    <w:rsid w:val="003860BD"/>
    <w:rsid w:val="003860E3"/>
    <w:rsid w:val="00386184"/>
    <w:rsid w:val="00386366"/>
    <w:rsid w:val="00386492"/>
    <w:rsid w:val="003868D5"/>
    <w:rsid w:val="00386B84"/>
    <w:rsid w:val="00386C1A"/>
    <w:rsid w:val="00386DB2"/>
    <w:rsid w:val="003871DC"/>
    <w:rsid w:val="00387533"/>
    <w:rsid w:val="003878F8"/>
    <w:rsid w:val="00387A75"/>
    <w:rsid w:val="00387ADA"/>
    <w:rsid w:val="00387AF2"/>
    <w:rsid w:val="00387B24"/>
    <w:rsid w:val="00387B46"/>
    <w:rsid w:val="00387C39"/>
    <w:rsid w:val="00387CB0"/>
    <w:rsid w:val="00387DAF"/>
    <w:rsid w:val="00387EF1"/>
    <w:rsid w:val="00387FE5"/>
    <w:rsid w:val="0039017E"/>
    <w:rsid w:val="00390456"/>
    <w:rsid w:val="0039057B"/>
    <w:rsid w:val="003905E7"/>
    <w:rsid w:val="00390719"/>
    <w:rsid w:val="00390A4D"/>
    <w:rsid w:val="00390D84"/>
    <w:rsid w:val="00390DE6"/>
    <w:rsid w:val="003910BB"/>
    <w:rsid w:val="0039111D"/>
    <w:rsid w:val="00391120"/>
    <w:rsid w:val="00391203"/>
    <w:rsid w:val="00391275"/>
    <w:rsid w:val="00391405"/>
    <w:rsid w:val="0039147B"/>
    <w:rsid w:val="003917AF"/>
    <w:rsid w:val="00391840"/>
    <w:rsid w:val="00391C81"/>
    <w:rsid w:val="00391DD9"/>
    <w:rsid w:val="00391FC9"/>
    <w:rsid w:val="00392140"/>
    <w:rsid w:val="00392172"/>
    <w:rsid w:val="00392221"/>
    <w:rsid w:val="00392276"/>
    <w:rsid w:val="0039247B"/>
    <w:rsid w:val="00392A33"/>
    <w:rsid w:val="00392BFA"/>
    <w:rsid w:val="00392F3B"/>
    <w:rsid w:val="00392FB3"/>
    <w:rsid w:val="003931C0"/>
    <w:rsid w:val="0039330E"/>
    <w:rsid w:val="00393396"/>
    <w:rsid w:val="003933E4"/>
    <w:rsid w:val="00393405"/>
    <w:rsid w:val="003935AB"/>
    <w:rsid w:val="00393713"/>
    <w:rsid w:val="00393835"/>
    <w:rsid w:val="00393880"/>
    <w:rsid w:val="00393942"/>
    <w:rsid w:val="0039394D"/>
    <w:rsid w:val="00393C8A"/>
    <w:rsid w:val="00393E1D"/>
    <w:rsid w:val="00393F38"/>
    <w:rsid w:val="00394126"/>
    <w:rsid w:val="003941DE"/>
    <w:rsid w:val="00394266"/>
    <w:rsid w:val="003943D9"/>
    <w:rsid w:val="00394534"/>
    <w:rsid w:val="0039465F"/>
    <w:rsid w:val="003946C7"/>
    <w:rsid w:val="00394919"/>
    <w:rsid w:val="00394961"/>
    <w:rsid w:val="003949BD"/>
    <w:rsid w:val="00394A1B"/>
    <w:rsid w:val="00394A59"/>
    <w:rsid w:val="00394D55"/>
    <w:rsid w:val="00394D9C"/>
    <w:rsid w:val="0039515F"/>
    <w:rsid w:val="003952A4"/>
    <w:rsid w:val="003952EF"/>
    <w:rsid w:val="00395318"/>
    <w:rsid w:val="00395416"/>
    <w:rsid w:val="00395584"/>
    <w:rsid w:val="003956F0"/>
    <w:rsid w:val="003957A8"/>
    <w:rsid w:val="00395A77"/>
    <w:rsid w:val="00395B51"/>
    <w:rsid w:val="00395B74"/>
    <w:rsid w:val="00395B84"/>
    <w:rsid w:val="00395C32"/>
    <w:rsid w:val="00395C48"/>
    <w:rsid w:val="00395CE1"/>
    <w:rsid w:val="00395D80"/>
    <w:rsid w:val="00395F91"/>
    <w:rsid w:val="00395FA6"/>
    <w:rsid w:val="00396052"/>
    <w:rsid w:val="0039609A"/>
    <w:rsid w:val="00396131"/>
    <w:rsid w:val="00396246"/>
    <w:rsid w:val="00396298"/>
    <w:rsid w:val="0039637C"/>
    <w:rsid w:val="003963AF"/>
    <w:rsid w:val="003965B0"/>
    <w:rsid w:val="003965C8"/>
    <w:rsid w:val="00396629"/>
    <w:rsid w:val="00396649"/>
    <w:rsid w:val="00396695"/>
    <w:rsid w:val="00396717"/>
    <w:rsid w:val="00396786"/>
    <w:rsid w:val="003969FD"/>
    <w:rsid w:val="00396C88"/>
    <w:rsid w:val="00396D22"/>
    <w:rsid w:val="00396E06"/>
    <w:rsid w:val="00396E45"/>
    <w:rsid w:val="00396E64"/>
    <w:rsid w:val="00396EF7"/>
    <w:rsid w:val="00396FB2"/>
    <w:rsid w:val="00396FD0"/>
    <w:rsid w:val="0039744A"/>
    <w:rsid w:val="00397463"/>
    <w:rsid w:val="00397598"/>
    <w:rsid w:val="003975F1"/>
    <w:rsid w:val="00397688"/>
    <w:rsid w:val="003977D4"/>
    <w:rsid w:val="003977DC"/>
    <w:rsid w:val="00397860"/>
    <w:rsid w:val="00397906"/>
    <w:rsid w:val="00397A27"/>
    <w:rsid w:val="00397B22"/>
    <w:rsid w:val="00397C98"/>
    <w:rsid w:val="00397E33"/>
    <w:rsid w:val="00397FBD"/>
    <w:rsid w:val="003A013D"/>
    <w:rsid w:val="003A0168"/>
    <w:rsid w:val="003A0219"/>
    <w:rsid w:val="003A0306"/>
    <w:rsid w:val="003A031F"/>
    <w:rsid w:val="003A03DB"/>
    <w:rsid w:val="003A04D7"/>
    <w:rsid w:val="003A063F"/>
    <w:rsid w:val="003A068D"/>
    <w:rsid w:val="003A0718"/>
    <w:rsid w:val="003A0776"/>
    <w:rsid w:val="003A07EA"/>
    <w:rsid w:val="003A07F9"/>
    <w:rsid w:val="003A0874"/>
    <w:rsid w:val="003A08BF"/>
    <w:rsid w:val="003A091E"/>
    <w:rsid w:val="003A0A4B"/>
    <w:rsid w:val="003A0B6F"/>
    <w:rsid w:val="003A0D38"/>
    <w:rsid w:val="003A0EB6"/>
    <w:rsid w:val="003A0FA5"/>
    <w:rsid w:val="003A14D5"/>
    <w:rsid w:val="003A1500"/>
    <w:rsid w:val="003A15B0"/>
    <w:rsid w:val="003A15CF"/>
    <w:rsid w:val="003A1607"/>
    <w:rsid w:val="003A1628"/>
    <w:rsid w:val="003A17B9"/>
    <w:rsid w:val="003A1834"/>
    <w:rsid w:val="003A1A4B"/>
    <w:rsid w:val="003A1BC5"/>
    <w:rsid w:val="003A1D1B"/>
    <w:rsid w:val="003A1ED5"/>
    <w:rsid w:val="003A1FCD"/>
    <w:rsid w:val="003A1FDA"/>
    <w:rsid w:val="003A20B7"/>
    <w:rsid w:val="003A20D3"/>
    <w:rsid w:val="003A21D7"/>
    <w:rsid w:val="003A2250"/>
    <w:rsid w:val="003A234B"/>
    <w:rsid w:val="003A23C4"/>
    <w:rsid w:val="003A24A0"/>
    <w:rsid w:val="003A24F0"/>
    <w:rsid w:val="003A24FF"/>
    <w:rsid w:val="003A257E"/>
    <w:rsid w:val="003A258B"/>
    <w:rsid w:val="003A25B4"/>
    <w:rsid w:val="003A268A"/>
    <w:rsid w:val="003A2797"/>
    <w:rsid w:val="003A27D9"/>
    <w:rsid w:val="003A2812"/>
    <w:rsid w:val="003A2868"/>
    <w:rsid w:val="003A29A3"/>
    <w:rsid w:val="003A2A38"/>
    <w:rsid w:val="003A2B95"/>
    <w:rsid w:val="003A2C5A"/>
    <w:rsid w:val="003A2C68"/>
    <w:rsid w:val="003A2DD0"/>
    <w:rsid w:val="003A2EFF"/>
    <w:rsid w:val="003A2FBF"/>
    <w:rsid w:val="003A306B"/>
    <w:rsid w:val="003A3427"/>
    <w:rsid w:val="003A3682"/>
    <w:rsid w:val="003A395D"/>
    <w:rsid w:val="003A3961"/>
    <w:rsid w:val="003A3AFF"/>
    <w:rsid w:val="003A3BBE"/>
    <w:rsid w:val="003A3C09"/>
    <w:rsid w:val="003A3C95"/>
    <w:rsid w:val="003A3D35"/>
    <w:rsid w:val="003A3FF4"/>
    <w:rsid w:val="003A4053"/>
    <w:rsid w:val="003A411E"/>
    <w:rsid w:val="003A44B2"/>
    <w:rsid w:val="003A44D5"/>
    <w:rsid w:val="003A453B"/>
    <w:rsid w:val="003A45D0"/>
    <w:rsid w:val="003A4756"/>
    <w:rsid w:val="003A49E7"/>
    <w:rsid w:val="003A4F62"/>
    <w:rsid w:val="003A55E8"/>
    <w:rsid w:val="003A5611"/>
    <w:rsid w:val="003A584D"/>
    <w:rsid w:val="003A5918"/>
    <w:rsid w:val="003A5E69"/>
    <w:rsid w:val="003A6003"/>
    <w:rsid w:val="003A61C3"/>
    <w:rsid w:val="003A6669"/>
    <w:rsid w:val="003A6A09"/>
    <w:rsid w:val="003A6AF8"/>
    <w:rsid w:val="003A6D97"/>
    <w:rsid w:val="003A6EF3"/>
    <w:rsid w:val="003A718A"/>
    <w:rsid w:val="003A71F5"/>
    <w:rsid w:val="003A720B"/>
    <w:rsid w:val="003A7343"/>
    <w:rsid w:val="003A75E7"/>
    <w:rsid w:val="003A7BAA"/>
    <w:rsid w:val="003A7BF6"/>
    <w:rsid w:val="003A7C4F"/>
    <w:rsid w:val="003B00B6"/>
    <w:rsid w:val="003B016F"/>
    <w:rsid w:val="003B01A7"/>
    <w:rsid w:val="003B01FE"/>
    <w:rsid w:val="003B0218"/>
    <w:rsid w:val="003B037B"/>
    <w:rsid w:val="003B046F"/>
    <w:rsid w:val="003B05FD"/>
    <w:rsid w:val="003B063B"/>
    <w:rsid w:val="003B06EA"/>
    <w:rsid w:val="003B0762"/>
    <w:rsid w:val="003B0B20"/>
    <w:rsid w:val="003B0B8D"/>
    <w:rsid w:val="003B0C24"/>
    <w:rsid w:val="003B0C46"/>
    <w:rsid w:val="003B0D3B"/>
    <w:rsid w:val="003B0E03"/>
    <w:rsid w:val="003B0E34"/>
    <w:rsid w:val="003B0E39"/>
    <w:rsid w:val="003B0ED8"/>
    <w:rsid w:val="003B0FB4"/>
    <w:rsid w:val="003B1015"/>
    <w:rsid w:val="003B1093"/>
    <w:rsid w:val="003B1140"/>
    <w:rsid w:val="003B1364"/>
    <w:rsid w:val="003B13C5"/>
    <w:rsid w:val="003B148E"/>
    <w:rsid w:val="003B154D"/>
    <w:rsid w:val="003B15D7"/>
    <w:rsid w:val="003B1632"/>
    <w:rsid w:val="003B16C9"/>
    <w:rsid w:val="003B16F8"/>
    <w:rsid w:val="003B1709"/>
    <w:rsid w:val="003B184F"/>
    <w:rsid w:val="003B1877"/>
    <w:rsid w:val="003B192B"/>
    <w:rsid w:val="003B19DF"/>
    <w:rsid w:val="003B1A97"/>
    <w:rsid w:val="003B1EC4"/>
    <w:rsid w:val="003B1FFC"/>
    <w:rsid w:val="003B21C7"/>
    <w:rsid w:val="003B2282"/>
    <w:rsid w:val="003B257D"/>
    <w:rsid w:val="003B26F4"/>
    <w:rsid w:val="003B28AE"/>
    <w:rsid w:val="003B2A24"/>
    <w:rsid w:val="003B2A7B"/>
    <w:rsid w:val="003B2AEF"/>
    <w:rsid w:val="003B2AFA"/>
    <w:rsid w:val="003B2B9E"/>
    <w:rsid w:val="003B2BC6"/>
    <w:rsid w:val="003B30D3"/>
    <w:rsid w:val="003B3128"/>
    <w:rsid w:val="003B31DA"/>
    <w:rsid w:val="003B3421"/>
    <w:rsid w:val="003B3479"/>
    <w:rsid w:val="003B349D"/>
    <w:rsid w:val="003B3756"/>
    <w:rsid w:val="003B37F5"/>
    <w:rsid w:val="003B384A"/>
    <w:rsid w:val="003B3852"/>
    <w:rsid w:val="003B3873"/>
    <w:rsid w:val="003B3A66"/>
    <w:rsid w:val="003B3A88"/>
    <w:rsid w:val="003B3C95"/>
    <w:rsid w:val="003B3CF5"/>
    <w:rsid w:val="003B3DD2"/>
    <w:rsid w:val="003B4038"/>
    <w:rsid w:val="003B42B2"/>
    <w:rsid w:val="003B49B7"/>
    <w:rsid w:val="003B49C3"/>
    <w:rsid w:val="003B4B00"/>
    <w:rsid w:val="003B4B4D"/>
    <w:rsid w:val="003B4BD1"/>
    <w:rsid w:val="003B4FBA"/>
    <w:rsid w:val="003B51DA"/>
    <w:rsid w:val="003B52B0"/>
    <w:rsid w:val="003B5426"/>
    <w:rsid w:val="003B5500"/>
    <w:rsid w:val="003B572C"/>
    <w:rsid w:val="003B591C"/>
    <w:rsid w:val="003B5ABD"/>
    <w:rsid w:val="003B5CB1"/>
    <w:rsid w:val="003B5CDD"/>
    <w:rsid w:val="003B5E0F"/>
    <w:rsid w:val="003B5E66"/>
    <w:rsid w:val="003B5F04"/>
    <w:rsid w:val="003B5FA9"/>
    <w:rsid w:val="003B60A1"/>
    <w:rsid w:val="003B61F2"/>
    <w:rsid w:val="003B62A1"/>
    <w:rsid w:val="003B639D"/>
    <w:rsid w:val="003B63B7"/>
    <w:rsid w:val="003B63D4"/>
    <w:rsid w:val="003B63E9"/>
    <w:rsid w:val="003B64A5"/>
    <w:rsid w:val="003B64AC"/>
    <w:rsid w:val="003B6540"/>
    <w:rsid w:val="003B6672"/>
    <w:rsid w:val="003B68FE"/>
    <w:rsid w:val="003B69FB"/>
    <w:rsid w:val="003B6A97"/>
    <w:rsid w:val="003B6B7A"/>
    <w:rsid w:val="003B6C07"/>
    <w:rsid w:val="003B6D75"/>
    <w:rsid w:val="003B6EDB"/>
    <w:rsid w:val="003B709F"/>
    <w:rsid w:val="003B735A"/>
    <w:rsid w:val="003B778A"/>
    <w:rsid w:val="003B7900"/>
    <w:rsid w:val="003B79CC"/>
    <w:rsid w:val="003B7B06"/>
    <w:rsid w:val="003B7C08"/>
    <w:rsid w:val="003B7DD2"/>
    <w:rsid w:val="003B7E4C"/>
    <w:rsid w:val="003C029D"/>
    <w:rsid w:val="003C04F2"/>
    <w:rsid w:val="003C060D"/>
    <w:rsid w:val="003C0856"/>
    <w:rsid w:val="003C086A"/>
    <w:rsid w:val="003C08D2"/>
    <w:rsid w:val="003C091B"/>
    <w:rsid w:val="003C0ADF"/>
    <w:rsid w:val="003C0B95"/>
    <w:rsid w:val="003C0C63"/>
    <w:rsid w:val="003C0CD6"/>
    <w:rsid w:val="003C0FAD"/>
    <w:rsid w:val="003C10E6"/>
    <w:rsid w:val="003C123A"/>
    <w:rsid w:val="003C123B"/>
    <w:rsid w:val="003C1309"/>
    <w:rsid w:val="003C1321"/>
    <w:rsid w:val="003C1358"/>
    <w:rsid w:val="003C13D7"/>
    <w:rsid w:val="003C13F7"/>
    <w:rsid w:val="003C145A"/>
    <w:rsid w:val="003C15BA"/>
    <w:rsid w:val="003C160C"/>
    <w:rsid w:val="003C18E5"/>
    <w:rsid w:val="003C19A4"/>
    <w:rsid w:val="003C1A0D"/>
    <w:rsid w:val="003C1ABC"/>
    <w:rsid w:val="003C1C4F"/>
    <w:rsid w:val="003C1C9D"/>
    <w:rsid w:val="003C1E9B"/>
    <w:rsid w:val="003C1EE3"/>
    <w:rsid w:val="003C233A"/>
    <w:rsid w:val="003C24A9"/>
    <w:rsid w:val="003C24CC"/>
    <w:rsid w:val="003C27A9"/>
    <w:rsid w:val="003C2B34"/>
    <w:rsid w:val="003C2B7F"/>
    <w:rsid w:val="003C2B8E"/>
    <w:rsid w:val="003C2CE9"/>
    <w:rsid w:val="003C2CF4"/>
    <w:rsid w:val="003C2D59"/>
    <w:rsid w:val="003C2D5E"/>
    <w:rsid w:val="003C2DAD"/>
    <w:rsid w:val="003C30A1"/>
    <w:rsid w:val="003C3171"/>
    <w:rsid w:val="003C31FE"/>
    <w:rsid w:val="003C3237"/>
    <w:rsid w:val="003C3290"/>
    <w:rsid w:val="003C3385"/>
    <w:rsid w:val="003C358A"/>
    <w:rsid w:val="003C3607"/>
    <w:rsid w:val="003C36D7"/>
    <w:rsid w:val="003C3777"/>
    <w:rsid w:val="003C37F8"/>
    <w:rsid w:val="003C38E4"/>
    <w:rsid w:val="003C396E"/>
    <w:rsid w:val="003C3ADE"/>
    <w:rsid w:val="003C3D4D"/>
    <w:rsid w:val="003C3E0F"/>
    <w:rsid w:val="003C3FCD"/>
    <w:rsid w:val="003C40D8"/>
    <w:rsid w:val="003C413D"/>
    <w:rsid w:val="003C4154"/>
    <w:rsid w:val="003C4213"/>
    <w:rsid w:val="003C4267"/>
    <w:rsid w:val="003C4277"/>
    <w:rsid w:val="003C4324"/>
    <w:rsid w:val="003C438B"/>
    <w:rsid w:val="003C4412"/>
    <w:rsid w:val="003C453E"/>
    <w:rsid w:val="003C46CC"/>
    <w:rsid w:val="003C47AE"/>
    <w:rsid w:val="003C4827"/>
    <w:rsid w:val="003C4AFF"/>
    <w:rsid w:val="003C4B63"/>
    <w:rsid w:val="003C4B89"/>
    <w:rsid w:val="003C4C9A"/>
    <w:rsid w:val="003C4DCE"/>
    <w:rsid w:val="003C4ED7"/>
    <w:rsid w:val="003C4FCE"/>
    <w:rsid w:val="003C509A"/>
    <w:rsid w:val="003C50C6"/>
    <w:rsid w:val="003C52B3"/>
    <w:rsid w:val="003C5304"/>
    <w:rsid w:val="003C530E"/>
    <w:rsid w:val="003C53F4"/>
    <w:rsid w:val="003C5424"/>
    <w:rsid w:val="003C5818"/>
    <w:rsid w:val="003C5C95"/>
    <w:rsid w:val="003C5CEC"/>
    <w:rsid w:val="003C605C"/>
    <w:rsid w:val="003C6085"/>
    <w:rsid w:val="003C6135"/>
    <w:rsid w:val="003C620A"/>
    <w:rsid w:val="003C63E5"/>
    <w:rsid w:val="003C6A26"/>
    <w:rsid w:val="003C6D39"/>
    <w:rsid w:val="003C711F"/>
    <w:rsid w:val="003C734A"/>
    <w:rsid w:val="003C76E8"/>
    <w:rsid w:val="003C7733"/>
    <w:rsid w:val="003C77B1"/>
    <w:rsid w:val="003C77C3"/>
    <w:rsid w:val="003C7848"/>
    <w:rsid w:val="003C7861"/>
    <w:rsid w:val="003C7A5F"/>
    <w:rsid w:val="003C7AF5"/>
    <w:rsid w:val="003C7B85"/>
    <w:rsid w:val="003C7D60"/>
    <w:rsid w:val="003C7F08"/>
    <w:rsid w:val="003D0013"/>
    <w:rsid w:val="003D0015"/>
    <w:rsid w:val="003D0087"/>
    <w:rsid w:val="003D00EE"/>
    <w:rsid w:val="003D02EE"/>
    <w:rsid w:val="003D03A1"/>
    <w:rsid w:val="003D03C9"/>
    <w:rsid w:val="003D0434"/>
    <w:rsid w:val="003D046C"/>
    <w:rsid w:val="003D0733"/>
    <w:rsid w:val="003D0861"/>
    <w:rsid w:val="003D092D"/>
    <w:rsid w:val="003D0945"/>
    <w:rsid w:val="003D094E"/>
    <w:rsid w:val="003D0971"/>
    <w:rsid w:val="003D0BFA"/>
    <w:rsid w:val="003D0C48"/>
    <w:rsid w:val="003D1069"/>
    <w:rsid w:val="003D10AB"/>
    <w:rsid w:val="003D10C1"/>
    <w:rsid w:val="003D120B"/>
    <w:rsid w:val="003D1534"/>
    <w:rsid w:val="003D1657"/>
    <w:rsid w:val="003D16B7"/>
    <w:rsid w:val="003D17FC"/>
    <w:rsid w:val="003D1ACC"/>
    <w:rsid w:val="003D1BC0"/>
    <w:rsid w:val="003D1BF7"/>
    <w:rsid w:val="003D1F27"/>
    <w:rsid w:val="003D2043"/>
    <w:rsid w:val="003D2155"/>
    <w:rsid w:val="003D216D"/>
    <w:rsid w:val="003D218D"/>
    <w:rsid w:val="003D240D"/>
    <w:rsid w:val="003D2733"/>
    <w:rsid w:val="003D27D5"/>
    <w:rsid w:val="003D2904"/>
    <w:rsid w:val="003D2B21"/>
    <w:rsid w:val="003D2C6B"/>
    <w:rsid w:val="003D2E7A"/>
    <w:rsid w:val="003D2F2F"/>
    <w:rsid w:val="003D2F44"/>
    <w:rsid w:val="003D2F6A"/>
    <w:rsid w:val="003D30B5"/>
    <w:rsid w:val="003D3122"/>
    <w:rsid w:val="003D31C5"/>
    <w:rsid w:val="003D3BB2"/>
    <w:rsid w:val="003D3BBB"/>
    <w:rsid w:val="003D3D3C"/>
    <w:rsid w:val="003D40D9"/>
    <w:rsid w:val="003D41D1"/>
    <w:rsid w:val="003D43C1"/>
    <w:rsid w:val="003D4507"/>
    <w:rsid w:val="003D4799"/>
    <w:rsid w:val="003D47B5"/>
    <w:rsid w:val="003D4957"/>
    <w:rsid w:val="003D4971"/>
    <w:rsid w:val="003D4AED"/>
    <w:rsid w:val="003D4CCA"/>
    <w:rsid w:val="003D4D4B"/>
    <w:rsid w:val="003D5001"/>
    <w:rsid w:val="003D50BD"/>
    <w:rsid w:val="003D52B4"/>
    <w:rsid w:val="003D5319"/>
    <w:rsid w:val="003D54CF"/>
    <w:rsid w:val="003D55FA"/>
    <w:rsid w:val="003D56F5"/>
    <w:rsid w:val="003D57B5"/>
    <w:rsid w:val="003D57B8"/>
    <w:rsid w:val="003D586D"/>
    <w:rsid w:val="003D58C8"/>
    <w:rsid w:val="003D5980"/>
    <w:rsid w:val="003D5A36"/>
    <w:rsid w:val="003D5A5D"/>
    <w:rsid w:val="003D5AE4"/>
    <w:rsid w:val="003D5CBB"/>
    <w:rsid w:val="003D5EF4"/>
    <w:rsid w:val="003D5F4D"/>
    <w:rsid w:val="003D5FBA"/>
    <w:rsid w:val="003D6131"/>
    <w:rsid w:val="003D6187"/>
    <w:rsid w:val="003D61AC"/>
    <w:rsid w:val="003D625A"/>
    <w:rsid w:val="003D631B"/>
    <w:rsid w:val="003D63E0"/>
    <w:rsid w:val="003D64A9"/>
    <w:rsid w:val="003D65A3"/>
    <w:rsid w:val="003D67BB"/>
    <w:rsid w:val="003D6A10"/>
    <w:rsid w:val="003D6B1F"/>
    <w:rsid w:val="003D6B7F"/>
    <w:rsid w:val="003D6CA1"/>
    <w:rsid w:val="003D6D08"/>
    <w:rsid w:val="003D6DBC"/>
    <w:rsid w:val="003D6E20"/>
    <w:rsid w:val="003D7087"/>
    <w:rsid w:val="003D72DF"/>
    <w:rsid w:val="003D73A6"/>
    <w:rsid w:val="003D747D"/>
    <w:rsid w:val="003D74B5"/>
    <w:rsid w:val="003D74CF"/>
    <w:rsid w:val="003D7696"/>
    <w:rsid w:val="003D76B6"/>
    <w:rsid w:val="003D76E5"/>
    <w:rsid w:val="003D783B"/>
    <w:rsid w:val="003D7862"/>
    <w:rsid w:val="003D78FF"/>
    <w:rsid w:val="003D790C"/>
    <w:rsid w:val="003D7AAC"/>
    <w:rsid w:val="003D7D38"/>
    <w:rsid w:val="003D7D4B"/>
    <w:rsid w:val="003D7D8B"/>
    <w:rsid w:val="003D7E80"/>
    <w:rsid w:val="003E00A9"/>
    <w:rsid w:val="003E033A"/>
    <w:rsid w:val="003E03D6"/>
    <w:rsid w:val="003E059F"/>
    <w:rsid w:val="003E08E8"/>
    <w:rsid w:val="003E08FF"/>
    <w:rsid w:val="003E0A47"/>
    <w:rsid w:val="003E0A48"/>
    <w:rsid w:val="003E0CCD"/>
    <w:rsid w:val="003E0D4B"/>
    <w:rsid w:val="003E0E4E"/>
    <w:rsid w:val="003E0EAE"/>
    <w:rsid w:val="003E0EBD"/>
    <w:rsid w:val="003E0EC1"/>
    <w:rsid w:val="003E100B"/>
    <w:rsid w:val="003E112D"/>
    <w:rsid w:val="003E1134"/>
    <w:rsid w:val="003E11F8"/>
    <w:rsid w:val="003E1248"/>
    <w:rsid w:val="003E16A4"/>
    <w:rsid w:val="003E1803"/>
    <w:rsid w:val="003E18ED"/>
    <w:rsid w:val="003E1918"/>
    <w:rsid w:val="003E1940"/>
    <w:rsid w:val="003E1947"/>
    <w:rsid w:val="003E1A09"/>
    <w:rsid w:val="003E1C81"/>
    <w:rsid w:val="003E1ED8"/>
    <w:rsid w:val="003E1FC5"/>
    <w:rsid w:val="003E1FCD"/>
    <w:rsid w:val="003E1FEF"/>
    <w:rsid w:val="003E212D"/>
    <w:rsid w:val="003E237D"/>
    <w:rsid w:val="003E25A3"/>
    <w:rsid w:val="003E25CA"/>
    <w:rsid w:val="003E277D"/>
    <w:rsid w:val="003E2856"/>
    <w:rsid w:val="003E2960"/>
    <w:rsid w:val="003E2964"/>
    <w:rsid w:val="003E297A"/>
    <w:rsid w:val="003E2B1B"/>
    <w:rsid w:val="003E2D79"/>
    <w:rsid w:val="003E2EB0"/>
    <w:rsid w:val="003E2F39"/>
    <w:rsid w:val="003E3314"/>
    <w:rsid w:val="003E3398"/>
    <w:rsid w:val="003E33D8"/>
    <w:rsid w:val="003E34FC"/>
    <w:rsid w:val="003E3644"/>
    <w:rsid w:val="003E398B"/>
    <w:rsid w:val="003E3B20"/>
    <w:rsid w:val="003E3CD0"/>
    <w:rsid w:val="003E3FC4"/>
    <w:rsid w:val="003E4101"/>
    <w:rsid w:val="003E414F"/>
    <w:rsid w:val="003E41DF"/>
    <w:rsid w:val="003E4460"/>
    <w:rsid w:val="003E45C5"/>
    <w:rsid w:val="003E463D"/>
    <w:rsid w:val="003E48D1"/>
    <w:rsid w:val="003E4F61"/>
    <w:rsid w:val="003E51AB"/>
    <w:rsid w:val="003E5216"/>
    <w:rsid w:val="003E5241"/>
    <w:rsid w:val="003E524F"/>
    <w:rsid w:val="003E52C6"/>
    <w:rsid w:val="003E53E1"/>
    <w:rsid w:val="003E57F5"/>
    <w:rsid w:val="003E5824"/>
    <w:rsid w:val="003E5912"/>
    <w:rsid w:val="003E5995"/>
    <w:rsid w:val="003E5A41"/>
    <w:rsid w:val="003E5C0D"/>
    <w:rsid w:val="003E5E99"/>
    <w:rsid w:val="003E60AA"/>
    <w:rsid w:val="003E6108"/>
    <w:rsid w:val="003E63A0"/>
    <w:rsid w:val="003E6415"/>
    <w:rsid w:val="003E67C5"/>
    <w:rsid w:val="003E6A8B"/>
    <w:rsid w:val="003E6AD9"/>
    <w:rsid w:val="003E6AFE"/>
    <w:rsid w:val="003E6C75"/>
    <w:rsid w:val="003E6D5B"/>
    <w:rsid w:val="003E6DD8"/>
    <w:rsid w:val="003E6F0C"/>
    <w:rsid w:val="003E6FCC"/>
    <w:rsid w:val="003E702A"/>
    <w:rsid w:val="003E703A"/>
    <w:rsid w:val="003E732C"/>
    <w:rsid w:val="003E7415"/>
    <w:rsid w:val="003E7451"/>
    <w:rsid w:val="003E74F1"/>
    <w:rsid w:val="003E7613"/>
    <w:rsid w:val="003E7A44"/>
    <w:rsid w:val="003E7B7C"/>
    <w:rsid w:val="003E7B95"/>
    <w:rsid w:val="003E7C0F"/>
    <w:rsid w:val="003E7C15"/>
    <w:rsid w:val="003E7E92"/>
    <w:rsid w:val="003F00AD"/>
    <w:rsid w:val="003F0227"/>
    <w:rsid w:val="003F02B8"/>
    <w:rsid w:val="003F046D"/>
    <w:rsid w:val="003F048A"/>
    <w:rsid w:val="003F0600"/>
    <w:rsid w:val="003F0B71"/>
    <w:rsid w:val="003F0C80"/>
    <w:rsid w:val="003F106B"/>
    <w:rsid w:val="003F1151"/>
    <w:rsid w:val="003F117E"/>
    <w:rsid w:val="003F1505"/>
    <w:rsid w:val="003F1533"/>
    <w:rsid w:val="003F18FA"/>
    <w:rsid w:val="003F19F2"/>
    <w:rsid w:val="003F1AA4"/>
    <w:rsid w:val="003F1AB1"/>
    <w:rsid w:val="003F1B2E"/>
    <w:rsid w:val="003F1C57"/>
    <w:rsid w:val="003F1C9C"/>
    <w:rsid w:val="003F1EB3"/>
    <w:rsid w:val="003F1F45"/>
    <w:rsid w:val="003F1F85"/>
    <w:rsid w:val="003F205C"/>
    <w:rsid w:val="003F20F3"/>
    <w:rsid w:val="003F2128"/>
    <w:rsid w:val="003F2247"/>
    <w:rsid w:val="003F24B0"/>
    <w:rsid w:val="003F24CF"/>
    <w:rsid w:val="003F27B5"/>
    <w:rsid w:val="003F2878"/>
    <w:rsid w:val="003F298A"/>
    <w:rsid w:val="003F2B0F"/>
    <w:rsid w:val="003F3032"/>
    <w:rsid w:val="003F3260"/>
    <w:rsid w:val="003F326D"/>
    <w:rsid w:val="003F3366"/>
    <w:rsid w:val="003F3696"/>
    <w:rsid w:val="003F3714"/>
    <w:rsid w:val="003F3811"/>
    <w:rsid w:val="003F3962"/>
    <w:rsid w:val="003F3978"/>
    <w:rsid w:val="003F3986"/>
    <w:rsid w:val="003F39AD"/>
    <w:rsid w:val="003F3A9D"/>
    <w:rsid w:val="003F3AA2"/>
    <w:rsid w:val="003F3C0D"/>
    <w:rsid w:val="003F3EF2"/>
    <w:rsid w:val="003F3F47"/>
    <w:rsid w:val="003F3F67"/>
    <w:rsid w:val="003F3FE2"/>
    <w:rsid w:val="003F40C7"/>
    <w:rsid w:val="003F41CD"/>
    <w:rsid w:val="003F434D"/>
    <w:rsid w:val="003F448D"/>
    <w:rsid w:val="003F49CA"/>
    <w:rsid w:val="003F4A52"/>
    <w:rsid w:val="003F4BDF"/>
    <w:rsid w:val="003F4C41"/>
    <w:rsid w:val="003F4C91"/>
    <w:rsid w:val="003F4F49"/>
    <w:rsid w:val="003F5184"/>
    <w:rsid w:val="003F51AC"/>
    <w:rsid w:val="003F545B"/>
    <w:rsid w:val="003F57AD"/>
    <w:rsid w:val="003F5AF2"/>
    <w:rsid w:val="003F5B23"/>
    <w:rsid w:val="003F5B4B"/>
    <w:rsid w:val="003F5B6D"/>
    <w:rsid w:val="003F5DED"/>
    <w:rsid w:val="003F5F5E"/>
    <w:rsid w:val="003F5F8D"/>
    <w:rsid w:val="003F61A5"/>
    <w:rsid w:val="003F61A8"/>
    <w:rsid w:val="003F622F"/>
    <w:rsid w:val="003F62FA"/>
    <w:rsid w:val="003F636C"/>
    <w:rsid w:val="003F63B3"/>
    <w:rsid w:val="003F645C"/>
    <w:rsid w:val="003F646C"/>
    <w:rsid w:val="003F675A"/>
    <w:rsid w:val="003F67EB"/>
    <w:rsid w:val="003F6857"/>
    <w:rsid w:val="003F68B6"/>
    <w:rsid w:val="003F695B"/>
    <w:rsid w:val="003F69AB"/>
    <w:rsid w:val="003F6ABE"/>
    <w:rsid w:val="003F6BC8"/>
    <w:rsid w:val="003F6BD2"/>
    <w:rsid w:val="003F6EF6"/>
    <w:rsid w:val="003F6F38"/>
    <w:rsid w:val="003F6F6E"/>
    <w:rsid w:val="003F6FBD"/>
    <w:rsid w:val="003F70DE"/>
    <w:rsid w:val="003F7277"/>
    <w:rsid w:val="003F730C"/>
    <w:rsid w:val="003F731C"/>
    <w:rsid w:val="003F73AE"/>
    <w:rsid w:val="003F73BA"/>
    <w:rsid w:val="003F75F8"/>
    <w:rsid w:val="003F7645"/>
    <w:rsid w:val="003F76BC"/>
    <w:rsid w:val="003F7757"/>
    <w:rsid w:val="003F77F3"/>
    <w:rsid w:val="003F7985"/>
    <w:rsid w:val="003F7A69"/>
    <w:rsid w:val="003F7AE4"/>
    <w:rsid w:val="003F7B43"/>
    <w:rsid w:val="003F7CC8"/>
    <w:rsid w:val="003F7D35"/>
    <w:rsid w:val="003F7D5A"/>
    <w:rsid w:val="003F7E68"/>
    <w:rsid w:val="003F7EB5"/>
    <w:rsid w:val="003F7EC0"/>
    <w:rsid w:val="003F7F54"/>
    <w:rsid w:val="003F7F7C"/>
    <w:rsid w:val="00400152"/>
    <w:rsid w:val="004001CD"/>
    <w:rsid w:val="004003CD"/>
    <w:rsid w:val="004004DA"/>
    <w:rsid w:val="004005F0"/>
    <w:rsid w:val="00400799"/>
    <w:rsid w:val="0040079B"/>
    <w:rsid w:val="004007DC"/>
    <w:rsid w:val="00400802"/>
    <w:rsid w:val="00400839"/>
    <w:rsid w:val="0040085F"/>
    <w:rsid w:val="0040091F"/>
    <w:rsid w:val="00400AC4"/>
    <w:rsid w:val="00400BB7"/>
    <w:rsid w:val="00400BF0"/>
    <w:rsid w:val="00400C92"/>
    <w:rsid w:val="00400D4F"/>
    <w:rsid w:val="00400F23"/>
    <w:rsid w:val="00400FBB"/>
    <w:rsid w:val="0040112C"/>
    <w:rsid w:val="0040118F"/>
    <w:rsid w:val="004011E4"/>
    <w:rsid w:val="004014A2"/>
    <w:rsid w:val="004015D5"/>
    <w:rsid w:val="004017B9"/>
    <w:rsid w:val="0040180B"/>
    <w:rsid w:val="0040187D"/>
    <w:rsid w:val="004019A0"/>
    <w:rsid w:val="00401ABE"/>
    <w:rsid w:val="00401BE4"/>
    <w:rsid w:val="00401D6A"/>
    <w:rsid w:val="00401EC6"/>
    <w:rsid w:val="00401EE8"/>
    <w:rsid w:val="00401F12"/>
    <w:rsid w:val="00402029"/>
    <w:rsid w:val="0040209B"/>
    <w:rsid w:val="004020E3"/>
    <w:rsid w:val="0040228A"/>
    <w:rsid w:val="00402291"/>
    <w:rsid w:val="004022E3"/>
    <w:rsid w:val="00402301"/>
    <w:rsid w:val="00402660"/>
    <w:rsid w:val="00402A47"/>
    <w:rsid w:val="00402A9B"/>
    <w:rsid w:val="00402AA7"/>
    <w:rsid w:val="00402B64"/>
    <w:rsid w:val="00402D80"/>
    <w:rsid w:val="00402F99"/>
    <w:rsid w:val="0040329A"/>
    <w:rsid w:val="0040340F"/>
    <w:rsid w:val="00403419"/>
    <w:rsid w:val="00403439"/>
    <w:rsid w:val="0040349D"/>
    <w:rsid w:val="00403597"/>
    <w:rsid w:val="004037F0"/>
    <w:rsid w:val="00403925"/>
    <w:rsid w:val="00403930"/>
    <w:rsid w:val="00403B37"/>
    <w:rsid w:val="00403D92"/>
    <w:rsid w:val="00403DCF"/>
    <w:rsid w:val="00403EDA"/>
    <w:rsid w:val="00403EF0"/>
    <w:rsid w:val="00404113"/>
    <w:rsid w:val="00404202"/>
    <w:rsid w:val="0040450A"/>
    <w:rsid w:val="004046DE"/>
    <w:rsid w:val="00404839"/>
    <w:rsid w:val="00404967"/>
    <w:rsid w:val="00404E23"/>
    <w:rsid w:val="00404E30"/>
    <w:rsid w:val="00404E80"/>
    <w:rsid w:val="004051FA"/>
    <w:rsid w:val="004053C6"/>
    <w:rsid w:val="004056ED"/>
    <w:rsid w:val="00405710"/>
    <w:rsid w:val="00405729"/>
    <w:rsid w:val="00405ADF"/>
    <w:rsid w:val="00405AF3"/>
    <w:rsid w:val="00405B50"/>
    <w:rsid w:val="00405D42"/>
    <w:rsid w:val="00405F5F"/>
    <w:rsid w:val="00406019"/>
    <w:rsid w:val="00406145"/>
    <w:rsid w:val="00406256"/>
    <w:rsid w:val="0040637E"/>
    <w:rsid w:val="004063C3"/>
    <w:rsid w:val="00406741"/>
    <w:rsid w:val="00406771"/>
    <w:rsid w:val="0040678B"/>
    <w:rsid w:val="00406A38"/>
    <w:rsid w:val="00406B5E"/>
    <w:rsid w:val="00406C66"/>
    <w:rsid w:val="00406C71"/>
    <w:rsid w:val="00406D0A"/>
    <w:rsid w:val="00406DAA"/>
    <w:rsid w:val="00407161"/>
    <w:rsid w:val="004071BA"/>
    <w:rsid w:val="00407516"/>
    <w:rsid w:val="00407581"/>
    <w:rsid w:val="00407616"/>
    <w:rsid w:val="004077A0"/>
    <w:rsid w:val="00407996"/>
    <w:rsid w:val="004079CB"/>
    <w:rsid w:val="004079F9"/>
    <w:rsid w:val="00407A3B"/>
    <w:rsid w:val="00407B54"/>
    <w:rsid w:val="00407B89"/>
    <w:rsid w:val="00407B9A"/>
    <w:rsid w:val="00407BD2"/>
    <w:rsid w:val="00407C8D"/>
    <w:rsid w:val="00407E49"/>
    <w:rsid w:val="00407EA3"/>
    <w:rsid w:val="0041017C"/>
    <w:rsid w:val="00410189"/>
    <w:rsid w:val="004102CF"/>
    <w:rsid w:val="0041076E"/>
    <w:rsid w:val="00410901"/>
    <w:rsid w:val="00410BBE"/>
    <w:rsid w:val="00410F4B"/>
    <w:rsid w:val="0041107B"/>
    <w:rsid w:val="00411330"/>
    <w:rsid w:val="004114E6"/>
    <w:rsid w:val="004117B0"/>
    <w:rsid w:val="004118A7"/>
    <w:rsid w:val="00411933"/>
    <w:rsid w:val="004119A3"/>
    <w:rsid w:val="004119B8"/>
    <w:rsid w:val="004119F7"/>
    <w:rsid w:val="00411ABA"/>
    <w:rsid w:val="0041220E"/>
    <w:rsid w:val="00412275"/>
    <w:rsid w:val="004122A5"/>
    <w:rsid w:val="004122EC"/>
    <w:rsid w:val="004123A0"/>
    <w:rsid w:val="00412632"/>
    <w:rsid w:val="00412696"/>
    <w:rsid w:val="004129FF"/>
    <w:rsid w:val="00412A18"/>
    <w:rsid w:val="00412A9C"/>
    <w:rsid w:val="00412C3C"/>
    <w:rsid w:val="00412D5B"/>
    <w:rsid w:val="00412F98"/>
    <w:rsid w:val="00412FB3"/>
    <w:rsid w:val="004131BC"/>
    <w:rsid w:val="00413231"/>
    <w:rsid w:val="004132DC"/>
    <w:rsid w:val="004133DD"/>
    <w:rsid w:val="004134C2"/>
    <w:rsid w:val="004134C3"/>
    <w:rsid w:val="004135D7"/>
    <w:rsid w:val="004135DC"/>
    <w:rsid w:val="00413755"/>
    <w:rsid w:val="00413780"/>
    <w:rsid w:val="00413870"/>
    <w:rsid w:val="00413938"/>
    <w:rsid w:val="0041395B"/>
    <w:rsid w:val="00413A37"/>
    <w:rsid w:val="00413F41"/>
    <w:rsid w:val="00413FD3"/>
    <w:rsid w:val="00414084"/>
    <w:rsid w:val="0041419E"/>
    <w:rsid w:val="004141EF"/>
    <w:rsid w:val="00414234"/>
    <w:rsid w:val="004142FA"/>
    <w:rsid w:val="0041454A"/>
    <w:rsid w:val="00414559"/>
    <w:rsid w:val="0041472B"/>
    <w:rsid w:val="004147D5"/>
    <w:rsid w:val="0041490C"/>
    <w:rsid w:val="00414A86"/>
    <w:rsid w:val="00414AB9"/>
    <w:rsid w:val="00414EA5"/>
    <w:rsid w:val="00414FAC"/>
    <w:rsid w:val="00415009"/>
    <w:rsid w:val="00415020"/>
    <w:rsid w:val="00415093"/>
    <w:rsid w:val="0041518E"/>
    <w:rsid w:val="0041527C"/>
    <w:rsid w:val="00415307"/>
    <w:rsid w:val="0041538D"/>
    <w:rsid w:val="00415450"/>
    <w:rsid w:val="00415480"/>
    <w:rsid w:val="004158C6"/>
    <w:rsid w:val="00415997"/>
    <w:rsid w:val="00416290"/>
    <w:rsid w:val="0041631F"/>
    <w:rsid w:val="004164A9"/>
    <w:rsid w:val="00416770"/>
    <w:rsid w:val="00416A13"/>
    <w:rsid w:val="00416B15"/>
    <w:rsid w:val="00416B86"/>
    <w:rsid w:val="00416CC2"/>
    <w:rsid w:val="00416D9B"/>
    <w:rsid w:val="00416FC2"/>
    <w:rsid w:val="00417225"/>
    <w:rsid w:val="00417451"/>
    <w:rsid w:val="00417468"/>
    <w:rsid w:val="00417469"/>
    <w:rsid w:val="00417559"/>
    <w:rsid w:val="00417562"/>
    <w:rsid w:val="00417582"/>
    <w:rsid w:val="004176FF"/>
    <w:rsid w:val="00417E6F"/>
    <w:rsid w:val="00417FE0"/>
    <w:rsid w:val="00420043"/>
    <w:rsid w:val="004200C4"/>
    <w:rsid w:val="004201A4"/>
    <w:rsid w:val="00420234"/>
    <w:rsid w:val="00420241"/>
    <w:rsid w:val="00420328"/>
    <w:rsid w:val="00420454"/>
    <w:rsid w:val="0042065A"/>
    <w:rsid w:val="004208A8"/>
    <w:rsid w:val="00420992"/>
    <w:rsid w:val="00420B81"/>
    <w:rsid w:val="00420BFA"/>
    <w:rsid w:val="00420C9A"/>
    <w:rsid w:val="00420CC0"/>
    <w:rsid w:val="00420DB1"/>
    <w:rsid w:val="00420ED4"/>
    <w:rsid w:val="00420F84"/>
    <w:rsid w:val="00421249"/>
    <w:rsid w:val="004213B1"/>
    <w:rsid w:val="0042148D"/>
    <w:rsid w:val="004215A0"/>
    <w:rsid w:val="004215C2"/>
    <w:rsid w:val="004217BA"/>
    <w:rsid w:val="00421A4B"/>
    <w:rsid w:val="00421BBD"/>
    <w:rsid w:val="00421BF9"/>
    <w:rsid w:val="00421D71"/>
    <w:rsid w:val="0042212D"/>
    <w:rsid w:val="004222E2"/>
    <w:rsid w:val="004226F9"/>
    <w:rsid w:val="00422798"/>
    <w:rsid w:val="004227F6"/>
    <w:rsid w:val="004228C0"/>
    <w:rsid w:val="00422AFA"/>
    <w:rsid w:val="00422B92"/>
    <w:rsid w:val="00422C77"/>
    <w:rsid w:val="00422CEF"/>
    <w:rsid w:val="00422D48"/>
    <w:rsid w:val="00422F32"/>
    <w:rsid w:val="00423188"/>
    <w:rsid w:val="00423212"/>
    <w:rsid w:val="00423251"/>
    <w:rsid w:val="00423332"/>
    <w:rsid w:val="0042340D"/>
    <w:rsid w:val="00423621"/>
    <w:rsid w:val="0042366C"/>
    <w:rsid w:val="0042370F"/>
    <w:rsid w:val="00423781"/>
    <w:rsid w:val="00423A25"/>
    <w:rsid w:val="00423A34"/>
    <w:rsid w:val="00423C24"/>
    <w:rsid w:val="00423FA8"/>
    <w:rsid w:val="0042405F"/>
    <w:rsid w:val="0042429B"/>
    <w:rsid w:val="0042433F"/>
    <w:rsid w:val="00424399"/>
    <w:rsid w:val="004246D4"/>
    <w:rsid w:val="004248C8"/>
    <w:rsid w:val="0042491E"/>
    <w:rsid w:val="00424A14"/>
    <w:rsid w:val="00424A73"/>
    <w:rsid w:val="00424ABB"/>
    <w:rsid w:val="00424B47"/>
    <w:rsid w:val="00424C5F"/>
    <w:rsid w:val="00424CBE"/>
    <w:rsid w:val="00424D54"/>
    <w:rsid w:val="00424E78"/>
    <w:rsid w:val="004250D0"/>
    <w:rsid w:val="004250D6"/>
    <w:rsid w:val="00425273"/>
    <w:rsid w:val="004253CC"/>
    <w:rsid w:val="00425598"/>
    <w:rsid w:val="0042563F"/>
    <w:rsid w:val="00425696"/>
    <w:rsid w:val="00425731"/>
    <w:rsid w:val="004259CD"/>
    <w:rsid w:val="004259CE"/>
    <w:rsid w:val="00425D04"/>
    <w:rsid w:val="00425D1C"/>
    <w:rsid w:val="00425F09"/>
    <w:rsid w:val="00425F2E"/>
    <w:rsid w:val="00426062"/>
    <w:rsid w:val="0042608C"/>
    <w:rsid w:val="00426157"/>
    <w:rsid w:val="004261AA"/>
    <w:rsid w:val="00426716"/>
    <w:rsid w:val="004267D7"/>
    <w:rsid w:val="00426B5E"/>
    <w:rsid w:val="00426C3E"/>
    <w:rsid w:val="00426E1F"/>
    <w:rsid w:val="00426EEC"/>
    <w:rsid w:val="00426F2C"/>
    <w:rsid w:val="004270EA"/>
    <w:rsid w:val="00427184"/>
    <w:rsid w:val="00427223"/>
    <w:rsid w:val="004272FD"/>
    <w:rsid w:val="0042742B"/>
    <w:rsid w:val="00427699"/>
    <w:rsid w:val="004276CE"/>
    <w:rsid w:val="0042772E"/>
    <w:rsid w:val="004277DB"/>
    <w:rsid w:val="00427AEA"/>
    <w:rsid w:val="00427CFE"/>
    <w:rsid w:val="00427DA5"/>
    <w:rsid w:val="00427E5C"/>
    <w:rsid w:val="00427F2B"/>
    <w:rsid w:val="00430010"/>
    <w:rsid w:val="004301AD"/>
    <w:rsid w:val="00430243"/>
    <w:rsid w:val="00430308"/>
    <w:rsid w:val="004307BC"/>
    <w:rsid w:val="004308B6"/>
    <w:rsid w:val="00430AD3"/>
    <w:rsid w:val="00430CE0"/>
    <w:rsid w:val="00430EB8"/>
    <w:rsid w:val="00430EDD"/>
    <w:rsid w:val="004310A1"/>
    <w:rsid w:val="00431107"/>
    <w:rsid w:val="00431112"/>
    <w:rsid w:val="00431257"/>
    <w:rsid w:val="004314D7"/>
    <w:rsid w:val="0043181C"/>
    <w:rsid w:val="0043189E"/>
    <w:rsid w:val="004319CA"/>
    <w:rsid w:val="00431A43"/>
    <w:rsid w:val="00431AAC"/>
    <w:rsid w:val="00431C3D"/>
    <w:rsid w:val="00431DDF"/>
    <w:rsid w:val="00431F38"/>
    <w:rsid w:val="00431F52"/>
    <w:rsid w:val="004321DE"/>
    <w:rsid w:val="0043229D"/>
    <w:rsid w:val="0043236B"/>
    <w:rsid w:val="0043238A"/>
    <w:rsid w:val="0043250D"/>
    <w:rsid w:val="0043264F"/>
    <w:rsid w:val="00432657"/>
    <w:rsid w:val="0043291A"/>
    <w:rsid w:val="00432979"/>
    <w:rsid w:val="00432BD9"/>
    <w:rsid w:val="00432C90"/>
    <w:rsid w:val="0043303F"/>
    <w:rsid w:val="0043308A"/>
    <w:rsid w:val="004331A8"/>
    <w:rsid w:val="0043332D"/>
    <w:rsid w:val="00433499"/>
    <w:rsid w:val="004336C6"/>
    <w:rsid w:val="00433892"/>
    <w:rsid w:val="0043397D"/>
    <w:rsid w:val="00433D0F"/>
    <w:rsid w:val="00433D13"/>
    <w:rsid w:val="00433F56"/>
    <w:rsid w:val="0043413C"/>
    <w:rsid w:val="00434344"/>
    <w:rsid w:val="004344CF"/>
    <w:rsid w:val="004345A9"/>
    <w:rsid w:val="004346BF"/>
    <w:rsid w:val="00434733"/>
    <w:rsid w:val="004347AE"/>
    <w:rsid w:val="004347FB"/>
    <w:rsid w:val="00434897"/>
    <w:rsid w:val="00434939"/>
    <w:rsid w:val="004349D1"/>
    <w:rsid w:val="00434B97"/>
    <w:rsid w:val="00434BC0"/>
    <w:rsid w:val="00434D0E"/>
    <w:rsid w:val="00434DAE"/>
    <w:rsid w:val="00434F88"/>
    <w:rsid w:val="00434FA3"/>
    <w:rsid w:val="00434FDE"/>
    <w:rsid w:val="004354C4"/>
    <w:rsid w:val="004355DA"/>
    <w:rsid w:val="004358AF"/>
    <w:rsid w:val="004358EA"/>
    <w:rsid w:val="00435909"/>
    <w:rsid w:val="00435A1E"/>
    <w:rsid w:val="00435BD9"/>
    <w:rsid w:val="00435C5C"/>
    <w:rsid w:val="00435D93"/>
    <w:rsid w:val="00435E8C"/>
    <w:rsid w:val="00435F5F"/>
    <w:rsid w:val="00435F6E"/>
    <w:rsid w:val="00435FA9"/>
    <w:rsid w:val="00435FE8"/>
    <w:rsid w:val="00436166"/>
    <w:rsid w:val="004361BD"/>
    <w:rsid w:val="004365B0"/>
    <w:rsid w:val="00436757"/>
    <w:rsid w:val="00436914"/>
    <w:rsid w:val="00436A3E"/>
    <w:rsid w:val="00436CA6"/>
    <w:rsid w:val="00436D42"/>
    <w:rsid w:val="00436DC4"/>
    <w:rsid w:val="00436E4A"/>
    <w:rsid w:val="00436EB4"/>
    <w:rsid w:val="00436FB2"/>
    <w:rsid w:val="004370A1"/>
    <w:rsid w:val="004371F4"/>
    <w:rsid w:val="00437317"/>
    <w:rsid w:val="00437341"/>
    <w:rsid w:val="004374FC"/>
    <w:rsid w:val="00437594"/>
    <w:rsid w:val="00437611"/>
    <w:rsid w:val="0043763D"/>
    <w:rsid w:val="00437794"/>
    <w:rsid w:val="004377EB"/>
    <w:rsid w:val="0043783D"/>
    <w:rsid w:val="004378EA"/>
    <w:rsid w:val="00437A66"/>
    <w:rsid w:val="00437A6D"/>
    <w:rsid w:val="00437E28"/>
    <w:rsid w:val="00437ED7"/>
    <w:rsid w:val="00437FA1"/>
    <w:rsid w:val="004401A0"/>
    <w:rsid w:val="00440210"/>
    <w:rsid w:val="0044038B"/>
    <w:rsid w:val="00440443"/>
    <w:rsid w:val="004404AF"/>
    <w:rsid w:val="004405FD"/>
    <w:rsid w:val="0044062C"/>
    <w:rsid w:val="0044069E"/>
    <w:rsid w:val="004406C9"/>
    <w:rsid w:val="004406FF"/>
    <w:rsid w:val="0044099A"/>
    <w:rsid w:val="004409B8"/>
    <w:rsid w:val="00440E3F"/>
    <w:rsid w:val="00440EF0"/>
    <w:rsid w:val="00440F27"/>
    <w:rsid w:val="00440F54"/>
    <w:rsid w:val="00440F92"/>
    <w:rsid w:val="004411E0"/>
    <w:rsid w:val="0044142E"/>
    <w:rsid w:val="004414B0"/>
    <w:rsid w:val="0044151B"/>
    <w:rsid w:val="004415CB"/>
    <w:rsid w:val="004415EC"/>
    <w:rsid w:val="00441676"/>
    <w:rsid w:val="00441887"/>
    <w:rsid w:val="0044189E"/>
    <w:rsid w:val="0044197B"/>
    <w:rsid w:val="00441FA6"/>
    <w:rsid w:val="00441FD0"/>
    <w:rsid w:val="00441FDE"/>
    <w:rsid w:val="00441FF0"/>
    <w:rsid w:val="004420C7"/>
    <w:rsid w:val="004420CC"/>
    <w:rsid w:val="004420D7"/>
    <w:rsid w:val="004421BE"/>
    <w:rsid w:val="00442422"/>
    <w:rsid w:val="00442477"/>
    <w:rsid w:val="0044249E"/>
    <w:rsid w:val="004424EF"/>
    <w:rsid w:val="004425D9"/>
    <w:rsid w:val="004426A2"/>
    <w:rsid w:val="004426B7"/>
    <w:rsid w:val="00442885"/>
    <w:rsid w:val="00442AE7"/>
    <w:rsid w:val="00442BB2"/>
    <w:rsid w:val="00442C99"/>
    <w:rsid w:val="00442CC2"/>
    <w:rsid w:val="00443027"/>
    <w:rsid w:val="004432BE"/>
    <w:rsid w:val="00443515"/>
    <w:rsid w:val="00443760"/>
    <w:rsid w:val="0044388C"/>
    <w:rsid w:val="00443BBA"/>
    <w:rsid w:val="00443CFF"/>
    <w:rsid w:val="00443DE9"/>
    <w:rsid w:val="00443F74"/>
    <w:rsid w:val="00443FDB"/>
    <w:rsid w:val="00444019"/>
    <w:rsid w:val="0044401E"/>
    <w:rsid w:val="00444217"/>
    <w:rsid w:val="00444300"/>
    <w:rsid w:val="00444732"/>
    <w:rsid w:val="0044479D"/>
    <w:rsid w:val="004447E8"/>
    <w:rsid w:val="00444C01"/>
    <w:rsid w:val="00444D92"/>
    <w:rsid w:val="00444E8B"/>
    <w:rsid w:val="00444FD4"/>
    <w:rsid w:val="00445028"/>
    <w:rsid w:val="004450C6"/>
    <w:rsid w:val="0044524D"/>
    <w:rsid w:val="00445264"/>
    <w:rsid w:val="004453CA"/>
    <w:rsid w:val="00445696"/>
    <w:rsid w:val="0044575C"/>
    <w:rsid w:val="0044577D"/>
    <w:rsid w:val="004459F4"/>
    <w:rsid w:val="00445BD1"/>
    <w:rsid w:val="00445C8B"/>
    <w:rsid w:val="00445DED"/>
    <w:rsid w:val="00445E43"/>
    <w:rsid w:val="00445F0F"/>
    <w:rsid w:val="004460DA"/>
    <w:rsid w:val="0044610F"/>
    <w:rsid w:val="0044623B"/>
    <w:rsid w:val="00446279"/>
    <w:rsid w:val="004462A5"/>
    <w:rsid w:val="00446424"/>
    <w:rsid w:val="0044643F"/>
    <w:rsid w:val="00446559"/>
    <w:rsid w:val="00446592"/>
    <w:rsid w:val="004466C1"/>
    <w:rsid w:val="00446818"/>
    <w:rsid w:val="004469C4"/>
    <w:rsid w:val="00446B71"/>
    <w:rsid w:val="00446F58"/>
    <w:rsid w:val="00446FF2"/>
    <w:rsid w:val="004470D0"/>
    <w:rsid w:val="004471C3"/>
    <w:rsid w:val="00447381"/>
    <w:rsid w:val="004473D8"/>
    <w:rsid w:val="004474CE"/>
    <w:rsid w:val="00447628"/>
    <w:rsid w:val="004477BB"/>
    <w:rsid w:val="00447A30"/>
    <w:rsid w:val="00447B29"/>
    <w:rsid w:val="00447D37"/>
    <w:rsid w:val="00447E93"/>
    <w:rsid w:val="00447F12"/>
    <w:rsid w:val="00447F2E"/>
    <w:rsid w:val="00447FE0"/>
    <w:rsid w:val="00450004"/>
    <w:rsid w:val="0045024A"/>
    <w:rsid w:val="0045028C"/>
    <w:rsid w:val="004503DD"/>
    <w:rsid w:val="00450427"/>
    <w:rsid w:val="00450643"/>
    <w:rsid w:val="00450658"/>
    <w:rsid w:val="00450687"/>
    <w:rsid w:val="004507CD"/>
    <w:rsid w:val="00450840"/>
    <w:rsid w:val="00450AB7"/>
    <w:rsid w:val="00450D40"/>
    <w:rsid w:val="004511A0"/>
    <w:rsid w:val="00451233"/>
    <w:rsid w:val="00451287"/>
    <w:rsid w:val="004512D6"/>
    <w:rsid w:val="0045165B"/>
    <w:rsid w:val="0045179B"/>
    <w:rsid w:val="00451A5F"/>
    <w:rsid w:val="00451AE9"/>
    <w:rsid w:val="00451C0A"/>
    <w:rsid w:val="00451D47"/>
    <w:rsid w:val="00451D6D"/>
    <w:rsid w:val="00451DEE"/>
    <w:rsid w:val="00451DF4"/>
    <w:rsid w:val="00451E50"/>
    <w:rsid w:val="00452134"/>
    <w:rsid w:val="00452221"/>
    <w:rsid w:val="00452242"/>
    <w:rsid w:val="00452246"/>
    <w:rsid w:val="0045247B"/>
    <w:rsid w:val="00452484"/>
    <w:rsid w:val="00452590"/>
    <w:rsid w:val="004527EA"/>
    <w:rsid w:val="0045291D"/>
    <w:rsid w:val="00452936"/>
    <w:rsid w:val="00452BAD"/>
    <w:rsid w:val="00452BBE"/>
    <w:rsid w:val="00452BCB"/>
    <w:rsid w:val="00452E04"/>
    <w:rsid w:val="00453207"/>
    <w:rsid w:val="0045323D"/>
    <w:rsid w:val="004533CC"/>
    <w:rsid w:val="004536A1"/>
    <w:rsid w:val="004537AA"/>
    <w:rsid w:val="0045389E"/>
    <w:rsid w:val="004538DA"/>
    <w:rsid w:val="00453AD0"/>
    <w:rsid w:val="00453B70"/>
    <w:rsid w:val="00453CFB"/>
    <w:rsid w:val="00453D78"/>
    <w:rsid w:val="00453F21"/>
    <w:rsid w:val="00453F3C"/>
    <w:rsid w:val="0045401C"/>
    <w:rsid w:val="00454340"/>
    <w:rsid w:val="004547AF"/>
    <w:rsid w:val="004547BE"/>
    <w:rsid w:val="0045480C"/>
    <w:rsid w:val="0045488F"/>
    <w:rsid w:val="004548DF"/>
    <w:rsid w:val="00454AE0"/>
    <w:rsid w:val="00454CAA"/>
    <w:rsid w:val="00454CBF"/>
    <w:rsid w:val="00454EEA"/>
    <w:rsid w:val="00454F78"/>
    <w:rsid w:val="00455036"/>
    <w:rsid w:val="004550A4"/>
    <w:rsid w:val="004551C9"/>
    <w:rsid w:val="0045527D"/>
    <w:rsid w:val="004553EC"/>
    <w:rsid w:val="00455679"/>
    <w:rsid w:val="0045570F"/>
    <w:rsid w:val="004558FF"/>
    <w:rsid w:val="00455970"/>
    <w:rsid w:val="00456015"/>
    <w:rsid w:val="00456030"/>
    <w:rsid w:val="00456142"/>
    <w:rsid w:val="004561C0"/>
    <w:rsid w:val="0045629E"/>
    <w:rsid w:val="004562A0"/>
    <w:rsid w:val="00456356"/>
    <w:rsid w:val="004566C0"/>
    <w:rsid w:val="004566D2"/>
    <w:rsid w:val="00456730"/>
    <w:rsid w:val="0045675E"/>
    <w:rsid w:val="004567FF"/>
    <w:rsid w:val="0045680C"/>
    <w:rsid w:val="00456920"/>
    <w:rsid w:val="004569D7"/>
    <w:rsid w:val="004569EF"/>
    <w:rsid w:val="00456A21"/>
    <w:rsid w:val="00456BC6"/>
    <w:rsid w:val="00456D2E"/>
    <w:rsid w:val="00456DDD"/>
    <w:rsid w:val="00456E30"/>
    <w:rsid w:val="00456EAF"/>
    <w:rsid w:val="00456F1B"/>
    <w:rsid w:val="00457274"/>
    <w:rsid w:val="0045734C"/>
    <w:rsid w:val="00457356"/>
    <w:rsid w:val="0045751D"/>
    <w:rsid w:val="00457574"/>
    <w:rsid w:val="00457596"/>
    <w:rsid w:val="0045761F"/>
    <w:rsid w:val="00457671"/>
    <w:rsid w:val="004576C9"/>
    <w:rsid w:val="00457872"/>
    <w:rsid w:val="004578D3"/>
    <w:rsid w:val="00457BA6"/>
    <w:rsid w:val="00457BE0"/>
    <w:rsid w:val="00457E72"/>
    <w:rsid w:val="00457F40"/>
    <w:rsid w:val="00460199"/>
    <w:rsid w:val="0046029B"/>
    <w:rsid w:val="00460454"/>
    <w:rsid w:val="004604F0"/>
    <w:rsid w:val="0046053A"/>
    <w:rsid w:val="004605CD"/>
    <w:rsid w:val="00460802"/>
    <w:rsid w:val="00460A0A"/>
    <w:rsid w:val="00460BC2"/>
    <w:rsid w:val="00460BCF"/>
    <w:rsid w:val="00460C6B"/>
    <w:rsid w:val="00460D22"/>
    <w:rsid w:val="00460F8D"/>
    <w:rsid w:val="00461101"/>
    <w:rsid w:val="00461295"/>
    <w:rsid w:val="004612C4"/>
    <w:rsid w:val="0046154C"/>
    <w:rsid w:val="0046195D"/>
    <w:rsid w:val="00461A1C"/>
    <w:rsid w:val="00461DAA"/>
    <w:rsid w:val="00461E61"/>
    <w:rsid w:val="00461F07"/>
    <w:rsid w:val="00461F16"/>
    <w:rsid w:val="00461FA5"/>
    <w:rsid w:val="0046214D"/>
    <w:rsid w:val="0046219D"/>
    <w:rsid w:val="00462536"/>
    <w:rsid w:val="0046278D"/>
    <w:rsid w:val="004627EC"/>
    <w:rsid w:val="00462A96"/>
    <w:rsid w:val="00462B2C"/>
    <w:rsid w:val="00462B98"/>
    <w:rsid w:val="00462C6F"/>
    <w:rsid w:val="00462FFE"/>
    <w:rsid w:val="00463175"/>
    <w:rsid w:val="004631FE"/>
    <w:rsid w:val="004633C4"/>
    <w:rsid w:val="004639AA"/>
    <w:rsid w:val="00463ABD"/>
    <w:rsid w:val="00463B31"/>
    <w:rsid w:val="00463DC9"/>
    <w:rsid w:val="00463EE4"/>
    <w:rsid w:val="0046408D"/>
    <w:rsid w:val="004641D4"/>
    <w:rsid w:val="004645D6"/>
    <w:rsid w:val="0046477F"/>
    <w:rsid w:val="00464911"/>
    <w:rsid w:val="00464913"/>
    <w:rsid w:val="00464C75"/>
    <w:rsid w:val="00464C81"/>
    <w:rsid w:val="00464D54"/>
    <w:rsid w:val="00464D96"/>
    <w:rsid w:val="00464E8A"/>
    <w:rsid w:val="00464F78"/>
    <w:rsid w:val="00464FDC"/>
    <w:rsid w:val="00465146"/>
    <w:rsid w:val="0046522E"/>
    <w:rsid w:val="00465298"/>
    <w:rsid w:val="004652B6"/>
    <w:rsid w:val="00465303"/>
    <w:rsid w:val="00465490"/>
    <w:rsid w:val="004655F3"/>
    <w:rsid w:val="004657F1"/>
    <w:rsid w:val="0046582E"/>
    <w:rsid w:val="00465B37"/>
    <w:rsid w:val="00465B87"/>
    <w:rsid w:val="00465D37"/>
    <w:rsid w:val="00465D83"/>
    <w:rsid w:val="00465EC8"/>
    <w:rsid w:val="00465F8C"/>
    <w:rsid w:val="004660B0"/>
    <w:rsid w:val="004660E5"/>
    <w:rsid w:val="0046621C"/>
    <w:rsid w:val="0046648D"/>
    <w:rsid w:val="004664A6"/>
    <w:rsid w:val="00466813"/>
    <w:rsid w:val="00466861"/>
    <w:rsid w:val="004669D9"/>
    <w:rsid w:val="00466A77"/>
    <w:rsid w:val="00466AD1"/>
    <w:rsid w:val="00466C3F"/>
    <w:rsid w:val="00466C98"/>
    <w:rsid w:val="00466C9C"/>
    <w:rsid w:val="00466D25"/>
    <w:rsid w:val="00466EAF"/>
    <w:rsid w:val="00466ED9"/>
    <w:rsid w:val="00466FCA"/>
    <w:rsid w:val="0046711F"/>
    <w:rsid w:val="0046720E"/>
    <w:rsid w:val="00467411"/>
    <w:rsid w:val="00467438"/>
    <w:rsid w:val="0046745D"/>
    <w:rsid w:val="0046762A"/>
    <w:rsid w:val="004678DE"/>
    <w:rsid w:val="004678E0"/>
    <w:rsid w:val="004678F4"/>
    <w:rsid w:val="0046791A"/>
    <w:rsid w:val="00467926"/>
    <w:rsid w:val="00467964"/>
    <w:rsid w:val="00467A73"/>
    <w:rsid w:val="00467AF2"/>
    <w:rsid w:val="00467B10"/>
    <w:rsid w:val="00467BB3"/>
    <w:rsid w:val="00467BC7"/>
    <w:rsid w:val="00467D27"/>
    <w:rsid w:val="00467E10"/>
    <w:rsid w:val="00467E33"/>
    <w:rsid w:val="004700E3"/>
    <w:rsid w:val="00470241"/>
    <w:rsid w:val="004702B1"/>
    <w:rsid w:val="0047037A"/>
    <w:rsid w:val="0047038E"/>
    <w:rsid w:val="004705EE"/>
    <w:rsid w:val="004706C1"/>
    <w:rsid w:val="00470753"/>
    <w:rsid w:val="00470789"/>
    <w:rsid w:val="00470854"/>
    <w:rsid w:val="00470A41"/>
    <w:rsid w:val="00470B8B"/>
    <w:rsid w:val="00470DF0"/>
    <w:rsid w:val="00470EAA"/>
    <w:rsid w:val="0047106A"/>
    <w:rsid w:val="004710D7"/>
    <w:rsid w:val="004712FA"/>
    <w:rsid w:val="00471426"/>
    <w:rsid w:val="00471516"/>
    <w:rsid w:val="00471597"/>
    <w:rsid w:val="004716B3"/>
    <w:rsid w:val="004718D0"/>
    <w:rsid w:val="0047197B"/>
    <w:rsid w:val="004719AA"/>
    <w:rsid w:val="00471A20"/>
    <w:rsid w:val="00472021"/>
    <w:rsid w:val="004721E0"/>
    <w:rsid w:val="00472334"/>
    <w:rsid w:val="00472426"/>
    <w:rsid w:val="004724AF"/>
    <w:rsid w:val="00472576"/>
    <w:rsid w:val="0047261C"/>
    <w:rsid w:val="00472785"/>
    <w:rsid w:val="0047282C"/>
    <w:rsid w:val="00472A67"/>
    <w:rsid w:val="00472B1E"/>
    <w:rsid w:val="00472B3C"/>
    <w:rsid w:val="00472C8E"/>
    <w:rsid w:val="00472D74"/>
    <w:rsid w:val="00472E6D"/>
    <w:rsid w:val="00472E8F"/>
    <w:rsid w:val="00472F8F"/>
    <w:rsid w:val="004731DC"/>
    <w:rsid w:val="00473269"/>
    <w:rsid w:val="00473403"/>
    <w:rsid w:val="0047352E"/>
    <w:rsid w:val="00473A4B"/>
    <w:rsid w:val="00473D86"/>
    <w:rsid w:val="00473DE5"/>
    <w:rsid w:val="00473E82"/>
    <w:rsid w:val="00473EFE"/>
    <w:rsid w:val="00473F62"/>
    <w:rsid w:val="00474184"/>
    <w:rsid w:val="004741AC"/>
    <w:rsid w:val="00474422"/>
    <w:rsid w:val="004744EA"/>
    <w:rsid w:val="0047459F"/>
    <w:rsid w:val="0047470D"/>
    <w:rsid w:val="004747C3"/>
    <w:rsid w:val="004749B4"/>
    <w:rsid w:val="00474B36"/>
    <w:rsid w:val="00474B5E"/>
    <w:rsid w:val="00474FBC"/>
    <w:rsid w:val="0047511A"/>
    <w:rsid w:val="00475132"/>
    <w:rsid w:val="004751BD"/>
    <w:rsid w:val="004751DD"/>
    <w:rsid w:val="004752DC"/>
    <w:rsid w:val="004756D3"/>
    <w:rsid w:val="00475916"/>
    <w:rsid w:val="00475945"/>
    <w:rsid w:val="00475A43"/>
    <w:rsid w:val="00475B11"/>
    <w:rsid w:val="00475C36"/>
    <w:rsid w:val="004760F6"/>
    <w:rsid w:val="00476242"/>
    <w:rsid w:val="00476264"/>
    <w:rsid w:val="004762F2"/>
    <w:rsid w:val="0047645D"/>
    <w:rsid w:val="004764AA"/>
    <w:rsid w:val="00476563"/>
    <w:rsid w:val="0047658E"/>
    <w:rsid w:val="00476792"/>
    <w:rsid w:val="004768C6"/>
    <w:rsid w:val="004768CF"/>
    <w:rsid w:val="00476941"/>
    <w:rsid w:val="0047698E"/>
    <w:rsid w:val="00476AD6"/>
    <w:rsid w:val="00476CB9"/>
    <w:rsid w:val="00476D09"/>
    <w:rsid w:val="00476EF6"/>
    <w:rsid w:val="00476FEB"/>
    <w:rsid w:val="004772BF"/>
    <w:rsid w:val="004774BC"/>
    <w:rsid w:val="00477607"/>
    <w:rsid w:val="00477730"/>
    <w:rsid w:val="00477806"/>
    <w:rsid w:val="0047798D"/>
    <w:rsid w:val="00477AAC"/>
    <w:rsid w:val="00477B82"/>
    <w:rsid w:val="00477CC4"/>
    <w:rsid w:val="0048002B"/>
    <w:rsid w:val="00480067"/>
    <w:rsid w:val="004801F0"/>
    <w:rsid w:val="004804B9"/>
    <w:rsid w:val="0048050A"/>
    <w:rsid w:val="00480616"/>
    <w:rsid w:val="004806C2"/>
    <w:rsid w:val="004806CB"/>
    <w:rsid w:val="00480704"/>
    <w:rsid w:val="00480852"/>
    <w:rsid w:val="004808CF"/>
    <w:rsid w:val="00480CD8"/>
    <w:rsid w:val="00480F5B"/>
    <w:rsid w:val="00481044"/>
    <w:rsid w:val="004811C9"/>
    <w:rsid w:val="00481295"/>
    <w:rsid w:val="0048141F"/>
    <w:rsid w:val="004815CA"/>
    <w:rsid w:val="0048182E"/>
    <w:rsid w:val="00481BAB"/>
    <w:rsid w:val="00481D05"/>
    <w:rsid w:val="00481D38"/>
    <w:rsid w:val="00481DAE"/>
    <w:rsid w:val="00481DD8"/>
    <w:rsid w:val="00481EF1"/>
    <w:rsid w:val="00481F9C"/>
    <w:rsid w:val="0048203D"/>
    <w:rsid w:val="00482108"/>
    <w:rsid w:val="00482186"/>
    <w:rsid w:val="00482221"/>
    <w:rsid w:val="00482253"/>
    <w:rsid w:val="00482268"/>
    <w:rsid w:val="00482495"/>
    <w:rsid w:val="00482571"/>
    <w:rsid w:val="004825B2"/>
    <w:rsid w:val="004826B1"/>
    <w:rsid w:val="004826D3"/>
    <w:rsid w:val="004828D8"/>
    <w:rsid w:val="0048290A"/>
    <w:rsid w:val="00482993"/>
    <w:rsid w:val="004829AB"/>
    <w:rsid w:val="00482A38"/>
    <w:rsid w:val="00482CCA"/>
    <w:rsid w:val="00482DD1"/>
    <w:rsid w:val="00482DEF"/>
    <w:rsid w:val="00482E1B"/>
    <w:rsid w:val="00482E81"/>
    <w:rsid w:val="0048316E"/>
    <w:rsid w:val="0048324D"/>
    <w:rsid w:val="00483291"/>
    <w:rsid w:val="0048342F"/>
    <w:rsid w:val="0048349D"/>
    <w:rsid w:val="004834E9"/>
    <w:rsid w:val="004835B8"/>
    <w:rsid w:val="004837AB"/>
    <w:rsid w:val="004838BA"/>
    <w:rsid w:val="00483B0D"/>
    <w:rsid w:val="00483C4B"/>
    <w:rsid w:val="00483DB5"/>
    <w:rsid w:val="00483E5E"/>
    <w:rsid w:val="00483E6A"/>
    <w:rsid w:val="00483F3E"/>
    <w:rsid w:val="00484456"/>
    <w:rsid w:val="004845F7"/>
    <w:rsid w:val="00484641"/>
    <w:rsid w:val="004846FE"/>
    <w:rsid w:val="0048472B"/>
    <w:rsid w:val="00484786"/>
    <w:rsid w:val="004847D2"/>
    <w:rsid w:val="0048484D"/>
    <w:rsid w:val="004849AA"/>
    <w:rsid w:val="00484D42"/>
    <w:rsid w:val="00484D99"/>
    <w:rsid w:val="00484EB6"/>
    <w:rsid w:val="00484F5C"/>
    <w:rsid w:val="00484F79"/>
    <w:rsid w:val="0048500B"/>
    <w:rsid w:val="0048504B"/>
    <w:rsid w:val="004851D9"/>
    <w:rsid w:val="00485371"/>
    <w:rsid w:val="00485405"/>
    <w:rsid w:val="004854F1"/>
    <w:rsid w:val="004857A0"/>
    <w:rsid w:val="00485863"/>
    <w:rsid w:val="00485A27"/>
    <w:rsid w:val="00485A44"/>
    <w:rsid w:val="00485A5B"/>
    <w:rsid w:val="00485B78"/>
    <w:rsid w:val="00485BAD"/>
    <w:rsid w:val="00485BC3"/>
    <w:rsid w:val="00485C21"/>
    <w:rsid w:val="00485C30"/>
    <w:rsid w:val="00485C48"/>
    <w:rsid w:val="00485C70"/>
    <w:rsid w:val="00485D5A"/>
    <w:rsid w:val="00485D64"/>
    <w:rsid w:val="00485D73"/>
    <w:rsid w:val="00485E3E"/>
    <w:rsid w:val="00485EF6"/>
    <w:rsid w:val="00486013"/>
    <w:rsid w:val="00486043"/>
    <w:rsid w:val="00486333"/>
    <w:rsid w:val="00486433"/>
    <w:rsid w:val="00486769"/>
    <w:rsid w:val="004867E7"/>
    <w:rsid w:val="0048682A"/>
    <w:rsid w:val="004868EB"/>
    <w:rsid w:val="00486944"/>
    <w:rsid w:val="004869B2"/>
    <w:rsid w:val="00486B28"/>
    <w:rsid w:val="00486C09"/>
    <w:rsid w:val="00486D19"/>
    <w:rsid w:val="00486D36"/>
    <w:rsid w:val="0048707C"/>
    <w:rsid w:val="00487197"/>
    <w:rsid w:val="004872E6"/>
    <w:rsid w:val="0048736C"/>
    <w:rsid w:val="00487480"/>
    <w:rsid w:val="004874F9"/>
    <w:rsid w:val="00487522"/>
    <w:rsid w:val="004875E4"/>
    <w:rsid w:val="0048766D"/>
    <w:rsid w:val="00487690"/>
    <w:rsid w:val="004877E5"/>
    <w:rsid w:val="0048781A"/>
    <w:rsid w:val="00487A9C"/>
    <w:rsid w:val="00487B5C"/>
    <w:rsid w:val="00487C57"/>
    <w:rsid w:val="00487CD4"/>
    <w:rsid w:val="00487F55"/>
    <w:rsid w:val="004900A0"/>
    <w:rsid w:val="00490125"/>
    <w:rsid w:val="0049022A"/>
    <w:rsid w:val="004903BD"/>
    <w:rsid w:val="004904D7"/>
    <w:rsid w:val="004905B7"/>
    <w:rsid w:val="004905FA"/>
    <w:rsid w:val="0049068A"/>
    <w:rsid w:val="0049077B"/>
    <w:rsid w:val="004907EE"/>
    <w:rsid w:val="0049095C"/>
    <w:rsid w:val="00490A5B"/>
    <w:rsid w:val="00490A6C"/>
    <w:rsid w:val="00490ADA"/>
    <w:rsid w:val="00490CEE"/>
    <w:rsid w:val="00490D00"/>
    <w:rsid w:val="00490E2D"/>
    <w:rsid w:val="00490F41"/>
    <w:rsid w:val="00490FF1"/>
    <w:rsid w:val="004910CF"/>
    <w:rsid w:val="00491131"/>
    <w:rsid w:val="0049141B"/>
    <w:rsid w:val="00491528"/>
    <w:rsid w:val="0049155E"/>
    <w:rsid w:val="0049157F"/>
    <w:rsid w:val="00491883"/>
    <w:rsid w:val="004918F2"/>
    <w:rsid w:val="00491D1F"/>
    <w:rsid w:val="00491D73"/>
    <w:rsid w:val="00491EF0"/>
    <w:rsid w:val="00492005"/>
    <w:rsid w:val="004920DE"/>
    <w:rsid w:val="00492102"/>
    <w:rsid w:val="00492260"/>
    <w:rsid w:val="004922B2"/>
    <w:rsid w:val="00492300"/>
    <w:rsid w:val="00492334"/>
    <w:rsid w:val="0049236C"/>
    <w:rsid w:val="004924A7"/>
    <w:rsid w:val="004924B2"/>
    <w:rsid w:val="004926C6"/>
    <w:rsid w:val="004927AC"/>
    <w:rsid w:val="0049283E"/>
    <w:rsid w:val="00492956"/>
    <w:rsid w:val="00492971"/>
    <w:rsid w:val="004929B5"/>
    <w:rsid w:val="004929BE"/>
    <w:rsid w:val="00492B78"/>
    <w:rsid w:val="00492D1F"/>
    <w:rsid w:val="00492D58"/>
    <w:rsid w:val="00492D63"/>
    <w:rsid w:val="00492DA6"/>
    <w:rsid w:val="00492EA1"/>
    <w:rsid w:val="00493175"/>
    <w:rsid w:val="00493325"/>
    <w:rsid w:val="0049348D"/>
    <w:rsid w:val="004934A2"/>
    <w:rsid w:val="0049365E"/>
    <w:rsid w:val="00493A84"/>
    <w:rsid w:val="00493B90"/>
    <w:rsid w:val="00493C10"/>
    <w:rsid w:val="00493DC6"/>
    <w:rsid w:val="00493F5A"/>
    <w:rsid w:val="004942D7"/>
    <w:rsid w:val="004942DF"/>
    <w:rsid w:val="004942ED"/>
    <w:rsid w:val="00494651"/>
    <w:rsid w:val="004947F4"/>
    <w:rsid w:val="004948CD"/>
    <w:rsid w:val="004948CF"/>
    <w:rsid w:val="00494962"/>
    <w:rsid w:val="0049497E"/>
    <w:rsid w:val="00494A86"/>
    <w:rsid w:val="00494B78"/>
    <w:rsid w:val="00494BB9"/>
    <w:rsid w:val="00494CD8"/>
    <w:rsid w:val="00494F5A"/>
    <w:rsid w:val="0049500F"/>
    <w:rsid w:val="004950E5"/>
    <w:rsid w:val="00495188"/>
    <w:rsid w:val="004951EF"/>
    <w:rsid w:val="004955CB"/>
    <w:rsid w:val="00495670"/>
    <w:rsid w:val="00495797"/>
    <w:rsid w:val="00495D1D"/>
    <w:rsid w:val="00495D7A"/>
    <w:rsid w:val="00495D7D"/>
    <w:rsid w:val="00495DD4"/>
    <w:rsid w:val="00495ED7"/>
    <w:rsid w:val="00495EE2"/>
    <w:rsid w:val="00495FCA"/>
    <w:rsid w:val="0049613A"/>
    <w:rsid w:val="00496219"/>
    <w:rsid w:val="004962FE"/>
    <w:rsid w:val="004965D8"/>
    <w:rsid w:val="004967B9"/>
    <w:rsid w:val="0049681A"/>
    <w:rsid w:val="00496997"/>
    <w:rsid w:val="00496A3D"/>
    <w:rsid w:val="00496B1D"/>
    <w:rsid w:val="00496BCB"/>
    <w:rsid w:val="00496E33"/>
    <w:rsid w:val="00496ED6"/>
    <w:rsid w:val="00496F07"/>
    <w:rsid w:val="00496F2F"/>
    <w:rsid w:val="00496F95"/>
    <w:rsid w:val="00497113"/>
    <w:rsid w:val="0049713F"/>
    <w:rsid w:val="004972CC"/>
    <w:rsid w:val="004972D7"/>
    <w:rsid w:val="00497308"/>
    <w:rsid w:val="004973DD"/>
    <w:rsid w:val="004973FD"/>
    <w:rsid w:val="00497506"/>
    <w:rsid w:val="00497535"/>
    <w:rsid w:val="00497600"/>
    <w:rsid w:val="004976A4"/>
    <w:rsid w:val="004976AA"/>
    <w:rsid w:val="004976C9"/>
    <w:rsid w:val="0049772C"/>
    <w:rsid w:val="0049774C"/>
    <w:rsid w:val="004977B6"/>
    <w:rsid w:val="004978E7"/>
    <w:rsid w:val="00497916"/>
    <w:rsid w:val="00497A1D"/>
    <w:rsid w:val="00497BA5"/>
    <w:rsid w:val="00497C0F"/>
    <w:rsid w:val="00497D1D"/>
    <w:rsid w:val="00497D92"/>
    <w:rsid w:val="00497E07"/>
    <w:rsid w:val="00497E3A"/>
    <w:rsid w:val="00497E66"/>
    <w:rsid w:val="00497EFE"/>
    <w:rsid w:val="004A01C7"/>
    <w:rsid w:val="004A01D9"/>
    <w:rsid w:val="004A02F2"/>
    <w:rsid w:val="004A03B9"/>
    <w:rsid w:val="004A041D"/>
    <w:rsid w:val="004A05DE"/>
    <w:rsid w:val="004A060C"/>
    <w:rsid w:val="004A0733"/>
    <w:rsid w:val="004A0780"/>
    <w:rsid w:val="004A079B"/>
    <w:rsid w:val="004A088D"/>
    <w:rsid w:val="004A0916"/>
    <w:rsid w:val="004A0AC8"/>
    <w:rsid w:val="004A0AED"/>
    <w:rsid w:val="004A0D53"/>
    <w:rsid w:val="004A0D80"/>
    <w:rsid w:val="004A0E03"/>
    <w:rsid w:val="004A0EDF"/>
    <w:rsid w:val="004A0FA4"/>
    <w:rsid w:val="004A115C"/>
    <w:rsid w:val="004A12A5"/>
    <w:rsid w:val="004A12CD"/>
    <w:rsid w:val="004A1309"/>
    <w:rsid w:val="004A132B"/>
    <w:rsid w:val="004A1423"/>
    <w:rsid w:val="004A153A"/>
    <w:rsid w:val="004A1671"/>
    <w:rsid w:val="004A170A"/>
    <w:rsid w:val="004A1953"/>
    <w:rsid w:val="004A195E"/>
    <w:rsid w:val="004A1C06"/>
    <w:rsid w:val="004A1DBA"/>
    <w:rsid w:val="004A1DF5"/>
    <w:rsid w:val="004A218D"/>
    <w:rsid w:val="004A21AD"/>
    <w:rsid w:val="004A2373"/>
    <w:rsid w:val="004A24CB"/>
    <w:rsid w:val="004A27AD"/>
    <w:rsid w:val="004A2889"/>
    <w:rsid w:val="004A2A13"/>
    <w:rsid w:val="004A2A2B"/>
    <w:rsid w:val="004A2DB2"/>
    <w:rsid w:val="004A2F80"/>
    <w:rsid w:val="004A2FBF"/>
    <w:rsid w:val="004A312E"/>
    <w:rsid w:val="004A32B8"/>
    <w:rsid w:val="004A339F"/>
    <w:rsid w:val="004A33CB"/>
    <w:rsid w:val="004A36EC"/>
    <w:rsid w:val="004A3873"/>
    <w:rsid w:val="004A399C"/>
    <w:rsid w:val="004A39BE"/>
    <w:rsid w:val="004A3B88"/>
    <w:rsid w:val="004A3D0C"/>
    <w:rsid w:val="004A3DD2"/>
    <w:rsid w:val="004A3E59"/>
    <w:rsid w:val="004A40C0"/>
    <w:rsid w:val="004A42DC"/>
    <w:rsid w:val="004A4470"/>
    <w:rsid w:val="004A4613"/>
    <w:rsid w:val="004A46C7"/>
    <w:rsid w:val="004A46CD"/>
    <w:rsid w:val="004A476F"/>
    <w:rsid w:val="004A48C2"/>
    <w:rsid w:val="004A4901"/>
    <w:rsid w:val="004A4B1B"/>
    <w:rsid w:val="004A4B66"/>
    <w:rsid w:val="004A4B7E"/>
    <w:rsid w:val="004A4BAD"/>
    <w:rsid w:val="004A4C35"/>
    <w:rsid w:val="004A4CA6"/>
    <w:rsid w:val="004A4D3D"/>
    <w:rsid w:val="004A4DEE"/>
    <w:rsid w:val="004A4E8B"/>
    <w:rsid w:val="004A4EF3"/>
    <w:rsid w:val="004A510B"/>
    <w:rsid w:val="004A516B"/>
    <w:rsid w:val="004A58C2"/>
    <w:rsid w:val="004A58CA"/>
    <w:rsid w:val="004A58F1"/>
    <w:rsid w:val="004A5BAB"/>
    <w:rsid w:val="004A5D39"/>
    <w:rsid w:val="004A620E"/>
    <w:rsid w:val="004A63D7"/>
    <w:rsid w:val="004A646B"/>
    <w:rsid w:val="004A66A4"/>
    <w:rsid w:val="004A66C5"/>
    <w:rsid w:val="004A6718"/>
    <w:rsid w:val="004A679E"/>
    <w:rsid w:val="004A67D5"/>
    <w:rsid w:val="004A6A77"/>
    <w:rsid w:val="004A6BBA"/>
    <w:rsid w:val="004A700E"/>
    <w:rsid w:val="004A7292"/>
    <w:rsid w:val="004A7408"/>
    <w:rsid w:val="004A7585"/>
    <w:rsid w:val="004A75B3"/>
    <w:rsid w:val="004A76E2"/>
    <w:rsid w:val="004A773B"/>
    <w:rsid w:val="004A7826"/>
    <w:rsid w:val="004A789A"/>
    <w:rsid w:val="004A7902"/>
    <w:rsid w:val="004A791B"/>
    <w:rsid w:val="004A7A0C"/>
    <w:rsid w:val="004A7BA7"/>
    <w:rsid w:val="004A7F7F"/>
    <w:rsid w:val="004B0018"/>
    <w:rsid w:val="004B01A5"/>
    <w:rsid w:val="004B022A"/>
    <w:rsid w:val="004B0362"/>
    <w:rsid w:val="004B0363"/>
    <w:rsid w:val="004B045B"/>
    <w:rsid w:val="004B047E"/>
    <w:rsid w:val="004B057C"/>
    <w:rsid w:val="004B05FE"/>
    <w:rsid w:val="004B0C63"/>
    <w:rsid w:val="004B0C8F"/>
    <w:rsid w:val="004B0D5B"/>
    <w:rsid w:val="004B0DEB"/>
    <w:rsid w:val="004B0E7A"/>
    <w:rsid w:val="004B0F3E"/>
    <w:rsid w:val="004B0FBA"/>
    <w:rsid w:val="004B1063"/>
    <w:rsid w:val="004B126F"/>
    <w:rsid w:val="004B1369"/>
    <w:rsid w:val="004B1399"/>
    <w:rsid w:val="004B154A"/>
    <w:rsid w:val="004B161D"/>
    <w:rsid w:val="004B16F9"/>
    <w:rsid w:val="004B178D"/>
    <w:rsid w:val="004B187B"/>
    <w:rsid w:val="004B1962"/>
    <w:rsid w:val="004B1B15"/>
    <w:rsid w:val="004B1E06"/>
    <w:rsid w:val="004B2000"/>
    <w:rsid w:val="004B201F"/>
    <w:rsid w:val="004B204D"/>
    <w:rsid w:val="004B276A"/>
    <w:rsid w:val="004B28C5"/>
    <w:rsid w:val="004B29D7"/>
    <w:rsid w:val="004B2AB2"/>
    <w:rsid w:val="004B2AD8"/>
    <w:rsid w:val="004B2CF7"/>
    <w:rsid w:val="004B2E45"/>
    <w:rsid w:val="004B2F3D"/>
    <w:rsid w:val="004B2F86"/>
    <w:rsid w:val="004B3056"/>
    <w:rsid w:val="004B3090"/>
    <w:rsid w:val="004B3158"/>
    <w:rsid w:val="004B3396"/>
    <w:rsid w:val="004B3489"/>
    <w:rsid w:val="004B348A"/>
    <w:rsid w:val="004B39F2"/>
    <w:rsid w:val="004B3BE7"/>
    <w:rsid w:val="004B3CD2"/>
    <w:rsid w:val="004B3DDB"/>
    <w:rsid w:val="004B3E4A"/>
    <w:rsid w:val="004B3EEF"/>
    <w:rsid w:val="004B3F64"/>
    <w:rsid w:val="004B41E9"/>
    <w:rsid w:val="004B451C"/>
    <w:rsid w:val="004B453A"/>
    <w:rsid w:val="004B456B"/>
    <w:rsid w:val="004B46D5"/>
    <w:rsid w:val="004B4BA3"/>
    <w:rsid w:val="004B4BD3"/>
    <w:rsid w:val="004B4BDD"/>
    <w:rsid w:val="004B4BFF"/>
    <w:rsid w:val="004B4CB6"/>
    <w:rsid w:val="004B4EF5"/>
    <w:rsid w:val="004B4F35"/>
    <w:rsid w:val="004B4F93"/>
    <w:rsid w:val="004B5056"/>
    <w:rsid w:val="004B50EF"/>
    <w:rsid w:val="004B5125"/>
    <w:rsid w:val="004B51DA"/>
    <w:rsid w:val="004B526A"/>
    <w:rsid w:val="004B52E0"/>
    <w:rsid w:val="004B5335"/>
    <w:rsid w:val="004B53CD"/>
    <w:rsid w:val="004B5488"/>
    <w:rsid w:val="004B59B3"/>
    <w:rsid w:val="004B5C05"/>
    <w:rsid w:val="004B5C78"/>
    <w:rsid w:val="004B5DED"/>
    <w:rsid w:val="004B5F38"/>
    <w:rsid w:val="004B5FFA"/>
    <w:rsid w:val="004B61FD"/>
    <w:rsid w:val="004B623E"/>
    <w:rsid w:val="004B62DB"/>
    <w:rsid w:val="004B6317"/>
    <w:rsid w:val="004B63BD"/>
    <w:rsid w:val="004B63F7"/>
    <w:rsid w:val="004B644A"/>
    <w:rsid w:val="004B6524"/>
    <w:rsid w:val="004B6775"/>
    <w:rsid w:val="004B6781"/>
    <w:rsid w:val="004B6CB2"/>
    <w:rsid w:val="004B6DA6"/>
    <w:rsid w:val="004B6E0E"/>
    <w:rsid w:val="004B6E9E"/>
    <w:rsid w:val="004B6F1D"/>
    <w:rsid w:val="004B6FBC"/>
    <w:rsid w:val="004B70B9"/>
    <w:rsid w:val="004B7118"/>
    <w:rsid w:val="004B711C"/>
    <w:rsid w:val="004B73E7"/>
    <w:rsid w:val="004B7739"/>
    <w:rsid w:val="004B779F"/>
    <w:rsid w:val="004B795C"/>
    <w:rsid w:val="004B7B21"/>
    <w:rsid w:val="004B7B27"/>
    <w:rsid w:val="004B7DA3"/>
    <w:rsid w:val="004C003D"/>
    <w:rsid w:val="004C0052"/>
    <w:rsid w:val="004C0100"/>
    <w:rsid w:val="004C0203"/>
    <w:rsid w:val="004C0301"/>
    <w:rsid w:val="004C0306"/>
    <w:rsid w:val="004C0431"/>
    <w:rsid w:val="004C0478"/>
    <w:rsid w:val="004C05B1"/>
    <w:rsid w:val="004C05F8"/>
    <w:rsid w:val="004C06D8"/>
    <w:rsid w:val="004C070C"/>
    <w:rsid w:val="004C07AE"/>
    <w:rsid w:val="004C0961"/>
    <w:rsid w:val="004C0A8F"/>
    <w:rsid w:val="004C0A9E"/>
    <w:rsid w:val="004C0AC2"/>
    <w:rsid w:val="004C0EDC"/>
    <w:rsid w:val="004C10E5"/>
    <w:rsid w:val="004C124A"/>
    <w:rsid w:val="004C1296"/>
    <w:rsid w:val="004C1458"/>
    <w:rsid w:val="004C162C"/>
    <w:rsid w:val="004C16B7"/>
    <w:rsid w:val="004C187E"/>
    <w:rsid w:val="004C1901"/>
    <w:rsid w:val="004C1949"/>
    <w:rsid w:val="004C1B16"/>
    <w:rsid w:val="004C1C86"/>
    <w:rsid w:val="004C1D4E"/>
    <w:rsid w:val="004C1EB7"/>
    <w:rsid w:val="004C1FA2"/>
    <w:rsid w:val="004C203B"/>
    <w:rsid w:val="004C2270"/>
    <w:rsid w:val="004C22EC"/>
    <w:rsid w:val="004C23B4"/>
    <w:rsid w:val="004C2437"/>
    <w:rsid w:val="004C2620"/>
    <w:rsid w:val="004C2742"/>
    <w:rsid w:val="004C29F7"/>
    <w:rsid w:val="004C2AA4"/>
    <w:rsid w:val="004C2B98"/>
    <w:rsid w:val="004C2DD6"/>
    <w:rsid w:val="004C2DF1"/>
    <w:rsid w:val="004C2ECD"/>
    <w:rsid w:val="004C2EE1"/>
    <w:rsid w:val="004C2F44"/>
    <w:rsid w:val="004C328E"/>
    <w:rsid w:val="004C336F"/>
    <w:rsid w:val="004C342E"/>
    <w:rsid w:val="004C34F8"/>
    <w:rsid w:val="004C357A"/>
    <w:rsid w:val="004C3778"/>
    <w:rsid w:val="004C3A85"/>
    <w:rsid w:val="004C3B36"/>
    <w:rsid w:val="004C3B82"/>
    <w:rsid w:val="004C3BC5"/>
    <w:rsid w:val="004C3C24"/>
    <w:rsid w:val="004C3C8F"/>
    <w:rsid w:val="004C3D51"/>
    <w:rsid w:val="004C3DF6"/>
    <w:rsid w:val="004C401B"/>
    <w:rsid w:val="004C419A"/>
    <w:rsid w:val="004C41CE"/>
    <w:rsid w:val="004C423B"/>
    <w:rsid w:val="004C4287"/>
    <w:rsid w:val="004C458D"/>
    <w:rsid w:val="004C4676"/>
    <w:rsid w:val="004C49A6"/>
    <w:rsid w:val="004C49B2"/>
    <w:rsid w:val="004C49CD"/>
    <w:rsid w:val="004C4BAE"/>
    <w:rsid w:val="004C4FB2"/>
    <w:rsid w:val="004C50F8"/>
    <w:rsid w:val="004C511A"/>
    <w:rsid w:val="004C5382"/>
    <w:rsid w:val="004C542F"/>
    <w:rsid w:val="004C565C"/>
    <w:rsid w:val="004C56BA"/>
    <w:rsid w:val="004C5833"/>
    <w:rsid w:val="004C59B7"/>
    <w:rsid w:val="004C5B5A"/>
    <w:rsid w:val="004C5C13"/>
    <w:rsid w:val="004C5C17"/>
    <w:rsid w:val="004C5CA8"/>
    <w:rsid w:val="004C5E69"/>
    <w:rsid w:val="004C5EC9"/>
    <w:rsid w:val="004C5FD4"/>
    <w:rsid w:val="004C6004"/>
    <w:rsid w:val="004C6230"/>
    <w:rsid w:val="004C62CD"/>
    <w:rsid w:val="004C6777"/>
    <w:rsid w:val="004C6A79"/>
    <w:rsid w:val="004C6B3B"/>
    <w:rsid w:val="004C6B58"/>
    <w:rsid w:val="004C6BA0"/>
    <w:rsid w:val="004C6C60"/>
    <w:rsid w:val="004C6D7E"/>
    <w:rsid w:val="004C6ECA"/>
    <w:rsid w:val="004C6F37"/>
    <w:rsid w:val="004C70A4"/>
    <w:rsid w:val="004C7313"/>
    <w:rsid w:val="004C73E7"/>
    <w:rsid w:val="004C7475"/>
    <w:rsid w:val="004C7ADD"/>
    <w:rsid w:val="004C7B31"/>
    <w:rsid w:val="004C7B5E"/>
    <w:rsid w:val="004C7B6F"/>
    <w:rsid w:val="004C7D3D"/>
    <w:rsid w:val="004C7F54"/>
    <w:rsid w:val="004C7FE8"/>
    <w:rsid w:val="004D0051"/>
    <w:rsid w:val="004D00A9"/>
    <w:rsid w:val="004D0145"/>
    <w:rsid w:val="004D017E"/>
    <w:rsid w:val="004D030A"/>
    <w:rsid w:val="004D032E"/>
    <w:rsid w:val="004D049C"/>
    <w:rsid w:val="004D04F1"/>
    <w:rsid w:val="004D074D"/>
    <w:rsid w:val="004D0913"/>
    <w:rsid w:val="004D0928"/>
    <w:rsid w:val="004D0B38"/>
    <w:rsid w:val="004D0C58"/>
    <w:rsid w:val="004D107B"/>
    <w:rsid w:val="004D12B9"/>
    <w:rsid w:val="004D1336"/>
    <w:rsid w:val="004D1347"/>
    <w:rsid w:val="004D13D6"/>
    <w:rsid w:val="004D149C"/>
    <w:rsid w:val="004D153B"/>
    <w:rsid w:val="004D1893"/>
    <w:rsid w:val="004D1A85"/>
    <w:rsid w:val="004D1ABB"/>
    <w:rsid w:val="004D1EE0"/>
    <w:rsid w:val="004D1F2F"/>
    <w:rsid w:val="004D1FFD"/>
    <w:rsid w:val="004D20CC"/>
    <w:rsid w:val="004D224F"/>
    <w:rsid w:val="004D22DA"/>
    <w:rsid w:val="004D2382"/>
    <w:rsid w:val="004D2413"/>
    <w:rsid w:val="004D250C"/>
    <w:rsid w:val="004D2536"/>
    <w:rsid w:val="004D2561"/>
    <w:rsid w:val="004D267F"/>
    <w:rsid w:val="004D2705"/>
    <w:rsid w:val="004D27F5"/>
    <w:rsid w:val="004D2975"/>
    <w:rsid w:val="004D29F2"/>
    <w:rsid w:val="004D2A2B"/>
    <w:rsid w:val="004D2BD0"/>
    <w:rsid w:val="004D2C93"/>
    <w:rsid w:val="004D2DBA"/>
    <w:rsid w:val="004D2E24"/>
    <w:rsid w:val="004D2EFA"/>
    <w:rsid w:val="004D2F58"/>
    <w:rsid w:val="004D2FB5"/>
    <w:rsid w:val="004D3208"/>
    <w:rsid w:val="004D32B7"/>
    <w:rsid w:val="004D358C"/>
    <w:rsid w:val="004D383C"/>
    <w:rsid w:val="004D3877"/>
    <w:rsid w:val="004D3948"/>
    <w:rsid w:val="004D39D1"/>
    <w:rsid w:val="004D3AA5"/>
    <w:rsid w:val="004D3C3C"/>
    <w:rsid w:val="004D3EA1"/>
    <w:rsid w:val="004D4077"/>
    <w:rsid w:val="004D4098"/>
    <w:rsid w:val="004D4331"/>
    <w:rsid w:val="004D4558"/>
    <w:rsid w:val="004D4565"/>
    <w:rsid w:val="004D4817"/>
    <w:rsid w:val="004D4921"/>
    <w:rsid w:val="004D4924"/>
    <w:rsid w:val="004D49FB"/>
    <w:rsid w:val="004D4AD7"/>
    <w:rsid w:val="004D4AF5"/>
    <w:rsid w:val="004D4B11"/>
    <w:rsid w:val="004D4B33"/>
    <w:rsid w:val="004D4D08"/>
    <w:rsid w:val="004D51DC"/>
    <w:rsid w:val="004D537D"/>
    <w:rsid w:val="004D54CD"/>
    <w:rsid w:val="004D55A6"/>
    <w:rsid w:val="004D56A2"/>
    <w:rsid w:val="004D5719"/>
    <w:rsid w:val="004D58CF"/>
    <w:rsid w:val="004D5947"/>
    <w:rsid w:val="004D5962"/>
    <w:rsid w:val="004D5A8B"/>
    <w:rsid w:val="004D5C54"/>
    <w:rsid w:val="004D5E00"/>
    <w:rsid w:val="004D5FA7"/>
    <w:rsid w:val="004D614B"/>
    <w:rsid w:val="004D6171"/>
    <w:rsid w:val="004D64D5"/>
    <w:rsid w:val="004D657E"/>
    <w:rsid w:val="004D6614"/>
    <w:rsid w:val="004D665A"/>
    <w:rsid w:val="004D679D"/>
    <w:rsid w:val="004D6991"/>
    <w:rsid w:val="004D6A37"/>
    <w:rsid w:val="004D6BDE"/>
    <w:rsid w:val="004D6C98"/>
    <w:rsid w:val="004D6DF0"/>
    <w:rsid w:val="004D6E50"/>
    <w:rsid w:val="004D6F22"/>
    <w:rsid w:val="004D6F24"/>
    <w:rsid w:val="004D6FB9"/>
    <w:rsid w:val="004D706D"/>
    <w:rsid w:val="004D7119"/>
    <w:rsid w:val="004D73B7"/>
    <w:rsid w:val="004D743B"/>
    <w:rsid w:val="004D744E"/>
    <w:rsid w:val="004D74D3"/>
    <w:rsid w:val="004D74E0"/>
    <w:rsid w:val="004D76E4"/>
    <w:rsid w:val="004D7A59"/>
    <w:rsid w:val="004D7DF0"/>
    <w:rsid w:val="004E0037"/>
    <w:rsid w:val="004E007D"/>
    <w:rsid w:val="004E0162"/>
    <w:rsid w:val="004E01A4"/>
    <w:rsid w:val="004E01CC"/>
    <w:rsid w:val="004E01F5"/>
    <w:rsid w:val="004E024B"/>
    <w:rsid w:val="004E050B"/>
    <w:rsid w:val="004E0672"/>
    <w:rsid w:val="004E0790"/>
    <w:rsid w:val="004E0964"/>
    <w:rsid w:val="004E0A1D"/>
    <w:rsid w:val="004E0A1E"/>
    <w:rsid w:val="004E0A99"/>
    <w:rsid w:val="004E0AE6"/>
    <w:rsid w:val="004E0C8C"/>
    <w:rsid w:val="004E0E8F"/>
    <w:rsid w:val="004E0F92"/>
    <w:rsid w:val="004E1086"/>
    <w:rsid w:val="004E1182"/>
    <w:rsid w:val="004E1194"/>
    <w:rsid w:val="004E1288"/>
    <w:rsid w:val="004E14AA"/>
    <w:rsid w:val="004E1522"/>
    <w:rsid w:val="004E18A7"/>
    <w:rsid w:val="004E18DE"/>
    <w:rsid w:val="004E1913"/>
    <w:rsid w:val="004E1B85"/>
    <w:rsid w:val="004E1BFA"/>
    <w:rsid w:val="004E1E92"/>
    <w:rsid w:val="004E1F56"/>
    <w:rsid w:val="004E21C2"/>
    <w:rsid w:val="004E23C6"/>
    <w:rsid w:val="004E2427"/>
    <w:rsid w:val="004E2697"/>
    <w:rsid w:val="004E26E5"/>
    <w:rsid w:val="004E2876"/>
    <w:rsid w:val="004E296B"/>
    <w:rsid w:val="004E2AE9"/>
    <w:rsid w:val="004E2B3F"/>
    <w:rsid w:val="004E2EA6"/>
    <w:rsid w:val="004E2F41"/>
    <w:rsid w:val="004E2FC2"/>
    <w:rsid w:val="004E30C3"/>
    <w:rsid w:val="004E32C1"/>
    <w:rsid w:val="004E32D5"/>
    <w:rsid w:val="004E32E8"/>
    <w:rsid w:val="004E34E0"/>
    <w:rsid w:val="004E3791"/>
    <w:rsid w:val="004E38C1"/>
    <w:rsid w:val="004E39FB"/>
    <w:rsid w:val="004E3ADA"/>
    <w:rsid w:val="004E3B0C"/>
    <w:rsid w:val="004E3C8B"/>
    <w:rsid w:val="004E3D6C"/>
    <w:rsid w:val="004E3EB8"/>
    <w:rsid w:val="004E3EC6"/>
    <w:rsid w:val="004E3EDB"/>
    <w:rsid w:val="004E3FB0"/>
    <w:rsid w:val="004E424D"/>
    <w:rsid w:val="004E4287"/>
    <w:rsid w:val="004E43B4"/>
    <w:rsid w:val="004E4410"/>
    <w:rsid w:val="004E44BB"/>
    <w:rsid w:val="004E44C6"/>
    <w:rsid w:val="004E44DE"/>
    <w:rsid w:val="004E48D8"/>
    <w:rsid w:val="004E4947"/>
    <w:rsid w:val="004E4B09"/>
    <w:rsid w:val="004E4B4B"/>
    <w:rsid w:val="004E4CED"/>
    <w:rsid w:val="004E4D35"/>
    <w:rsid w:val="004E4F00"/>
    <w:rsid w:val="004E50F0"/>
    <w:rsid w:val="004E513C"/>
    <w:rsid w:val="004E526D"/>
    <w:rsid w:val="004E537C"/>
    <w:rsid w:val="004E5383"/>
    <w:rsid w:val="004E53BC"/>
    <w:rsid w:val="004E53DB"/>
    <w:rsid w:val="004E54FA"/>
    <w:rsid w:val="004E5600"/>
    <w:rsid w:val="004E5960"/>
    <w:rsid w:val="004E5969"/>
    <w:rsid w:val="004E5B89"/>
    <w:rsid w:val="004E5BC6"/>
    <w:rsid w:val="004E5C06"/>
    <w:rsid w:val="004E5F88"/>
    <w:rsid w:val="004E5F96"/>
    <w:rsid w:val="004E60AD"/>
    <w:rsid w:val="004E6152"/>
    <w:rsid w:val="004E6367"/>
    <w:rsid w:val="004E65B8"/>
    <w:rsid w:val="004E65D3"/>
    <w:rsid w:val="004E66C2"/>
    <w:rsid w:val="004E6718"/>
    <w:rsid w:val="004E67AD"/>
    <w:rsid w:val="004E6AB9"/>
    <w:rsid w:val="004E6C87"/>
    <w:rsid w:val="004E6D49"/>
    <w:rsid w:val="004E6F74"/>
    <w:rsid w:val="004E6FC3"/>
    <w:rsid w:val="004E73F6"/>
    <w:rsid w:val="004E7406"/>
    <w:rsid w:val="004E7AB7"/>
    <w:rsid w:val="004E7AE2"/>
    <w:rsid w:val="004E7CEC"/>
    <w:rsid w:val="004E7D89"/>
    <w:rsid w:val="004F00AA"/>
    <w:rsid w:val="004F0276"/>
    <w:rsid w:val="004F053A"/>
    <w:rsid w:val="004F0BA2"/>
    <w:rsid w:val="004F0C3E"/>
    <w:rsid w:val="004F1020"/>
    <w:rsid w:val="004F1401"/>
    <w:rsid w:val="004F1499"/>
    <w:rsid w:val="004F1582"/>
    <w:rsid w:val="004F15AE"/>
    <w:rsid w:val="004F160C"/>
    <w:rsid w:val="004F186E"/>
    <w:rsid w:val="004F1A76"/>
    <w:rsid w:val="004F1BFE"/>
    <w:rsid w:val="004F1C68"/>
    <w:rsid w:val="004F1F3B"/>
    <w:rsid w:val="004F1FB2"/>
    <w:rsid w:val="004F1FFC"/>
    <w:rsid w:val="004F208D"/>
    <w:rsid w:val="004F214C"/>
    <w:rsid w:val="004F2185"/>
    <w:rsid w:val="004F22D0"/>
    <w:rsid w:val="004F248B"/>
    <w:rsid w:val="004F2663"/>
    <w:rsid w:val="004F2722"/>
    <w:rsid w:val="004F272B"/>
    <w:rsid w:val="004F2734"/>
    <w:rsid w:val="004F27A0"/>
    <w:rsid w:val="004F28C6"/>
    <w:rsid w:val="004F28E1"/>
    <w:rsid w:val="004F2A02"/>
    <w:rsid w:val="004F2A4A"/>
    <w:rsid w:val="004F2A81"/>
    <w:rsid w:val="004F2BDD"/>
    <w:rsid w:val="004F2C86"/>
    <w:rsid w:val="004F2CB5"/>
    <w:rsid w:val="004F2E0F"/>
    <w:rsid w:val="004F2F14"/>
    <w:rsid w:val="004F3148"/>
    <w:rsid w:val="004F3185"/>
    <w:rsid w:val="004F3255"/>
    <w:rsid w:val="004F3493"/>
    <w:rsid w:val="004F3520"/>
    <w:rsid w:val="004F3662"/>
    <w:rsid w:val="004F368D"/>
    <w:rsid w:val="004F369C"/>
    <w:rsid w:val="004F3829"/>
    <w:rsid w:val="004F3AE3"/>
    <w:rsid w:val="004F3B63"/>
    <w:rsid w:val="004F3CC7"/>
    <w:rsid w:val="004F422B"/>
    <w:rsid w:val="004F4545"/>
    <w:rsid w:val="004F47AF"/>
    <w:rsid w:val="004F47CE"/>
    <w:rsid w:val="004F481E"/>
    <w:rsid w:val="004F4875"/>
    <w:rsid w:val="004F4C6D"/>
    <w:rsid w:val="004F4D39"/>
    <w:rsid w:val="004F4FA8"/>
    <w:rsid w:val="004F50B5"/>
    <w:rsid w:val="004F5336"/>
    <w:rsid w:val="004F5377"/>
    <w:rsid w:val="004F5531"/>
    <w:rsid w:val="004F56AF"/>
    <w:rsid w:val="004F575D"/>
    <w:rsid w:val="004F5897"/>
    <w:rsid w:val="004F5965"/>
    <w:rsid w:val="004F5BB0"/>
    <w:rsid w:val="004F5CDB"/>
    <w:rsid w:val="004F5EC3"/>
    <w:rsid w:val="004F60FB"/>
    <w:rsid w:val="004F610F"/>
    <w:rsid w:val="004F62B5"/>
    <w:rsid w:val="004F65FA"/>
    <w:rsid w:val="004F669C"/>
    <w:rsid w:val="004F6AF0"/>
    <w:rsid w:val="004F6B6A"/>
    <w:rsid w:val="004F6BA5"/>
    <w:rsid w:val="004F6BC9"/>
    <w:rsid w:val="004F6DD5"/>
    <w:rsid w:val="004F6E76"/>
    <w:rsid w:val="004F70B1"/>
    <w:rsid w:val="004F712D"/>
    <w:rsid w:val="004F73E5"/>
    <w:rsid w:val="004F7727"/>
    <w:rsid w:val="004F7860"/>
    <w:rsid w:val="004F79C2"/>
    <w:rsid w:val="004F7B17"/>
    <w:rsid w:val="004F7D63"/>
    <w:rsid w:val="004F7F58"/>
    <w:rsid w:val="00500057"/>
    <w:rsid w:val="005000D1"/>
    <w:rsid w:val="005001B3"/>
    <w:rsid w:val="005002D9"/>
    <w:rsid w:val="005002FA"/>
    <w:rsid w:val="00500374"/>
    <w:rsid w:val="005003C9"/>
    <w:rsid w:val="005003D7"/>
    <w:rsid w:val="00500412"/>
    <w:rsid w:val="005007AC"/>
    <w:rsid w:val="005007B2"/>
    <w:rsid w:val="00500A76"/>
    <w:rsid w:val="00500BB5"/>
    <w:rsid w:val="0050117D"/>
    <w:rsid w:val="00501335"/>
    <w:rsid w:val="0050137A"/>
    <w:rsid w:val="005013BF"/>
    <w:rsid w:val="005013D2"/>
    <w:rsid w:val="00501449"/>
    <w:rsid w:val="00501731"/>
    <w:rsid w:val="0050190B"/>
    <w:rsid w:val="00501965"/>
    <w:rsid w:val="00501B03"/>
    <w:rsid w:val="00501E54"/>
    <w:rsid w:val="00501EFC"/>
    <w:rsid w:val="00501EFD"/>
    <w:rsid w:val="0050221C"/>
    <w:rsid w:val="0050237D"/>
    <w:rsid w:val="0050241E"/>
    <w:rsid w:val="005025A5"/>
    <w:rsid w:val="00502630"/>
    <w:rsid w:val="0050290D"/>
    <w:rsid w:val="00502941"/>
    <w:rsid w:val="0050294D"/>
    <w:rsid w:val="0050296E"/>
    <w:rsid w:val="00502BFB"/>
    <w:rsid w:val="00502C02"/>
    <w:rsid w:val="00502CF2"/>
    <w:rsid w:val="00502D48"/>
    <w:rsid w:val="00502DEA"/>
    <w:rsid w:val="00502E3F"/>
    <w:rsid w:val="00502E60"/>
    <w:rsid w:val="00502E6B"/>
    <w:rsid w:val="00503508"/>
    <w:rsid w:val="005035B2"/>
    <w:rsid w:val="00503625"/>
    <w:rsid w:val="005036BB"/>
    <w:rsid w:val="005036E3"/>
    <w:rsid w:val="005036F6"/>
    <w:rsid w:val="0050375C"/>
    <w:rsid w:val="0050377F"/>
    <w:rsid w:val="00503B7B"/>
    <w:rsid w:val="00503BAF"/>
    <w:rsid w:val="00503C2A"/>
    <w:rsid w:val="00503D9B"/>
    <w:rsid w:val="00503E2D"/>
    <w:rsid w:val="00503F01"/>
    <w:rsid w:val="00503F42"/>
    <w:rsid w:val="00503FA6"/>
    <w:rsid w:val="0050418B"/>
    <w:rsid w:val="00504198"/>
    <w:rsid w:val="00504340"/>
    <w:rsid w:val="00504864"/>
    <w:rsid w:val="005048A9"/>
    <w:rsid w:val="00504A04"/>
    <w:rsid w:val="00504A06"/>
    <w:rsid w:val="00504A3A"/>
    <w:rsid w:val="00504F66"/>
    <w:rsid w:val="005050FD"/>
    <w:rsid w:val="005051BE"/>
    <w:rsid w:val="005056F0"/>
    <w:rsid w:val="00505837"/>
    <w:rsid w:val="0050583F"/>
    <w:rsid w:val="00505980"/>
    <w:rsid w:val="00505AB0"/>
    <w:rsid w:val="0050602C"/>
    <w:rsid w:val="005060CF"/>
    <w:rsid w:val="00506445"/>
    <w:rsid w:val="00506756"/>
    <w:rsid w:val="00506796"/>
    <w:rsid w:val="00506AEE"/>
    <w:rsid w:val="00506B07"/>
    <w:rsid w:val="00506C3C"/>
    <w:rsid w:val="00506F7C"/>
    <w:rsid w:val="00506FCC"/>
    <w:rsid w:val="005070B6"/>
    <w:rsid w:val="0050717F"/>
    <w:rsid w:val="005073FF"/>
    <w:rsid w:val="00507785"/>
    <w:rsid w:val="005077FC"/>
    <w:rsid w:val="00507B7C"/>
    <w:rsid w:val="00507C85"/>
    <w:rsid w:val="00507ED9"/>
    <w:rsid w:val="00507EF1"/>
    <w:rsid w:val="00510085"/>
    <w:rsid w:val="005100C3"/>
    <w:rsid w:val="005101C1"/>
    <w:rsid w:val="00510215"/>
    <w:rsid w:val="005102D5"/>
    <w:rsid w:val="005102F9"/>
    <w:rsid w:val="00510582"/>
    <w:rsid w:val="005105CC"/>
    <w:rsid w:val="00510697"/>
    <w:rsid w:val="00510776"/>
    <w:rsid w:val="005108C3"/>
    <w:rsid w:val="00510976"/>
    <w:rsid w:val="00510C32"/>
    <w:rsid w:val="00510CD8"/>
    <w:rsid w:val="00510D32"/>
    <w:rsid w:val="00510EB0"/>
    <w:rsid w:val="00510EDF"/>
    <w:rsid w:val="00510F0C"/>
    <w:rsid w:val="00511038"/>
    <w:rsid w:val="0051152E"/>
    <w:rsid w:val="0051153D"/>
    <w:rsid w:val="005115FA"/>
    <w:rsid w:val="0051175C"/>
    <w:rsid w:val="005117FF"/>
    <w:rsid w:val="00511B2B"/>
    <w:rsid w:val="00511BB2"/>
    <w:rsid w:val="00511CE8"/>
    <w:rsid w:val="00512040"/>
    <w:rsid w:val="005120BF"/>
    <w:rsid w:val="0051210D"/>
    <w:rsid w:val="0051227A"/>
    <w:rsid w:val="00512312"/>
    <w:rsid w:val="005123EB"/>
    <w:rsid w:val="00512401"/>
    <w:rsid w:val="00512408"/>
    <w:rsid w:val="0051264D"/>
    <w:rsid w:val="005127F8"/>
    <w:rsid w:val="00512899"/>
    <w:rsid w:val="00512AC1"/>
    <w:rsid w:val="00512ED8"/>
    <w:rsid w:val="00512F4E"/>
    <w:rsid w:val="00513225"/>
    <w:rsid w:val="005132EA"/>
    <w:rsid w:val="005132F1"/>
    <w:rsid w:val="0051348A"/>
    <w:rsid w:val="005134A4"/>
    <w:rsid w:val="00513689"/>
    <w:rsid w:val="005136B2"/>
    <w:rsid w:val="005136E3"/>
    <w:rsid w:val="0051375F"/>
    <w:rsid w:val="005137ED"/>
    <w:rsid w:val="00513838"/>
    <w:rsid w:val="0051386B"/>
    <w:rsid w:val="0051388C"/>
    <w:rsid w:val="0051392F"/>
    <w:rsid w:val="00513DC2"/>
    <w:rsid w:val="00513EA0"/>
    <w:rsid w:val="00513F37"/>
    <w:rsid w:val="00514076"/>
    <w:rsid w:val="005140D9"/>
    <w:rsid w:val="0051423D"/>
    <w:rsid w:val="00514327"/>
    <w:rsid w:val="005143E4"/>
    <w:rsid w:val="005144F8"/>
    <w:rsid w:val="0051456D"/>
    <w:rsid w:val="00514630"/>
    <w:rsid w:val="0051469C"/>
    <w:rsid w:val="005147DE"/>
    <w:rsid w:val="005148A1"/>
    <w:rsid w:val="00514928"/>
    <w:rsid w:val="0051494F"/>
    <w:rsid w:val="00514976"/>
    <w:rsid w:val="00514A76"/>
    <w:rsid w:val="00514C9B"/>
    <w:rsid w:val="00514CD3"/>
    <w:rsid w:val="00514D35"/>
    <w:rsid w:val="00514D4D"/>
    <w:rsid w:val="00514E0C"/>
    <w:rsid w:val="00515177"/>
    <w:rsid w:val="005152A7"/>
    <w:rsid w:val="0051533E"/>
    <w:rsid w:val="00515477"/>
    <w:rsid w:val="005155C5"/>
    <w:rsid w:val="0051566E"/>
    <w:rsid w:val="005157E3"/>
    <w:rsid w:val="005159EB"/>
    <w:rsid w:val="00515A7D"/>
    <w:rsid w:val="00515B26"/>
    <w:rsid w:val="00515B4F"/>
    <w:rsid w:val="00515DEF"/>
    <w:rsid w:val="00515F1F"/>
    <w:rsid w:val="00516132"/>
    <w:rsid w:val="005161CD"/>
    <w:rsid w:val="0051625F"/>
    <w:rsid w:val="0051638A"/>
    <w:rsid w:val="005163D4"/>
    <w:rsid w:val="005164AB"/>
    <w:rsid w:val="005164E3"/>
    <w:rsid w:val="005167CB"/>
    <w:rsid w:val="005167E5"/>
    <w:rsid w:val="0051688D"/>
    <w:rsid w:val="00516A1C"/>
    <w:rsid w:val="00516AA0"/>
    <w:rsid w:val="00516B0E"/>
    <w:rsid w:val="00516BEF"/>
    <w:rsid w:val="00516BF8"/>
    <w:rsid w:val="00516CE0"/>
    <w:rsid w:val="00516FC9"/>
    <w:rsid w:val="005171F7"/>
    <w:rsid w:val="0051756C"/>
    <w:rsid w:val="0051773F"/>
    <w:rsid w:val="00517A74"/>
    <w:rsid w:val="00517C97"/>
    <w:rsid w:val="00517D23"/>
    <w:rsid w:val="00517DE7"/>
    <w:rsid w:val="00517FB8"/>
    <w:rsid w:val="00520131"/>
    <w:rsid w:val="005202C5"/>
    <w:rsid w:val="005206B5"/>
    <w:rsid w:val="00520739"/>
    <w:rsid w:val="00520A97"/>
    <w:rsid w:val="00520AA6"/>
    <w:rsid w:val="00520D70"/>
    <w:rsid w:val="00520F1E"/>
    <w:rsid w:val="0052112F"/>
    <w:rsid w:val="0052113D"/>
    <w:rsid w:val="0052121F"/>
    <w:rsid w:val="005212CE"/>
    <w:rsid w:val="005212E2"/>
    <w:rsid w:val="00521359"/>
    <w:rsid w:val="0052139A"/>
    <w:rsid w:val="00521520"/>
    <w:rsid w:val="0052170D"/>
    <w:rsid w:val="00521792"/>
    <w:rsid w:val="005217B2"/>
    <w:rsid w:val="00521ACE"/>
    <w:rsid w:val="00521AE3"/>
    <w:rsid w:val="00521B71"/>
    <w:rsid w:val="00521B92"/>
    <w:rsid w:val="00521C04"/>
    <w:rsid w:val="00521C1C"/>
    <w:rsid w:val="00521C61"/>
    <w:rsid w:val="00521D2C"/>
    <w:rsid w:val="00521DFD"/>
    <w:rsid w:val="00521E5A"/>
    <w:rsid w:val="00521E96"/>
    <w:rsid w:val="00521F4C"/>
    <w:rsid w:val="00522092"/>
    <w:rsid w:val="0052213C"/>
    <w:rsid w:val="00522164"/>
    <w:rsid w:val="005221A0"/>
    <w:rsid w:val="00522291"/>
    <w:rsid w:val="00522312"/>
    <w:rsid w:val="0052265B"/>
    <w:rsid w:val="0052270C"/>
    <w:rsid w:val="00522789"/>
    <w:rsid w:val="0052279E"/>
    <w:rsid w:val="00522841"/>
    <w:rsid w:val="00522AF6"/>
    <w:rsid w:val="00522B12"/>
    <w:rsid w:val="00522C3E"/>
    <w:rsid w:val="00522E4B"/>
    <w:rsid w:val="00522F18"/>
    <w:rsid w:val="005230AB"/>
    <w:rsid w:val="005230D6"/>
    <w:rsid w:val="005232B2"/>
    <w:rsid w:val="00523570"/>
    <w:rsid w:val="005236C0"/>
    <w:rsid w:val="00523792"/>
    <w:rsid w:val="0052386A"/>
    <w:rsid w:val="005239EA"/>
    <w:rsid w:val="00523B88"/>
    <w:rsid w:val="00523BAE"/>
    <w:rsid w:val="00523BDE"/>
    <w:rsid w:val="00523BEA"/>
    <w:rsid w:val="00523E46"/>
    <w:rsid w:val="00523EE3"/>
    <w:rsid w:val="005241AE"/>
    <w:rsid w:val="00524319"/>
    <w:rsid w:val="0052452E"/>
    <w:rsid w:val="00524545"/>
    <w:rsid w:val="005246B3"/>
    <w:rsid w:val="0052481B"/>
    <w:rsid w:val="0052483C"/>
    <w:rsid w:val="005248E1"/>
    <w:rsid w:val="005249EE"/>
    <w:rsid w:val="00524AA0"/>
    <w:rsid w:val="00524D31"/>
    <w:rsid w:val="00524E93"/>
    <w:rsid w:val="00524EE1"/>
    <w:rsid w:val="005254F7"/>
    <w:rsid w:val="0052555D"/>
    <w:rsid w:val="0052559F"/>
    <w:rsid w:val="00525711"/>
    <w:rsid w:val="0052584F"/>
    <w:rsid w:val="00525910"/>
    <w:rsid w:val="00525958"/>
    <w:rsid w:val="00525C1C"/>
    <w:rsid w:val="00525E72"/>
    <w:rsid w:val="0052605E"/>
    <w:rsid w:val="0052631A"/>
    <w:rsid w:val="005263A3"/>
    <w:rsid w:val="005263C9"/>
    <w:rsid w:val="005264B0"/>
    <w:rsid w:val="005265DA"/>
    <w:rsid w:val="005268B7"/>
    <w:rsid w:val="005268C8"/>
    <w:rsid w:val="0052692D"/>
    <w:rsid w:val="00526A81"/>
    <w:rsid w:val="00526B57"/>
    <w:rsid w:val="00526B92"/>
    <w:rsid w:val="00526BE9"/>
    <w:rsid w:val="00526CD8"/>
    <w:rsid w:val="00526DC5"/>
    <w:rsid w:val="00526F0A"/>
    <w:rsid w:val="00526F26"/>
    <w:rsid w:val="005270EA"/>
    <w:rsid w:val="00527146"/>
    <w:rsid w:val="0052718D"/>
    <w:rsid w:val="00527307"/>
    <w:rsid w:val="0052730E"/>
    <w:rsid w:val="00527355"/>
    <w:rsid w:val="00527366"/>
    <w:rsid w:val="005273CF"/>
    <w:rsid w:val="0052741C"/>
    <w:rsid w:val="005274A5"/>
    <w:rsid w:val="00527573"/>
    <w:rsid w:val="00527575"/>
    <w:rsid w:val="0052757F"/>
    <w:rsid w:val="005275E0"/>
    <w:rsid w:val="00527719"/>
    <w:rsid w:val="005277D3"/>
    <w:rsid w:val="00527A85"/>
    <w:rsid w:val="00527B82"/>
    <w:rsid w:val="00527E0C"/>
    <w:rsid w:val="00527E6D"/>
    <w:rsid w:val="00527F0B"/>
    <w:rsid w:val="00527F4B"/>
    <w:rsid w:val="0053000D"/>
    <w:rsid w:val="005300FD"/>
    <w:rsid w:val="00530103"/>
    <w:rsid w:val="0053012D"/>
    <w:rsid w:val="005301AF"/>
    <w:rsid w:val="00530744"/>
    <w:rsid w:val="005307FE"/>
    <w:rsid w:val="00530836"/>
    <w:rsid w:val="00530867"/>
    <w:rsid w:val="00530888"/>
    <w:rsid w:val="00530CAB"/>
    <w:rsid w:val="00530D0D"/>
    <w:rsid w:val="00530FD2"/>
    <w:rsid w:val="0053113B"/>
    <w:rsid w:val="005311EB"/>
    <w:rsid w:val="0053131B"/>
    <w:rsid w:val="005317A3"/>
    <w:rsid w:val="0053189E"/>
    <w:rsid w:val="00531E43"/>
    <w:rsid w:val="00531EDD"/>
    <w:rsid w:val="00531FF7"/>
    <w:rsid w:val="00532194"/>
    <w:rsid w:val="005322AA"/>
    <w:rsid w:val="005325A1"/>
    <w:rsid w:val="00532633"/>
    <w:rsid w:val="005326A2"/>
    <w:rsid w:val="005328A0"/>
    <w:rsid w:val="00532978"/>
    <w:rsid w:val="00532AC3"/>
    <w:rsid w:val="00532D5B"/>
    <w:rsid w:val="00532EEA"/>
    <w:rsid w:val="00532FF1"/>
    <w:rsid w:val="005331EB"/>
    <w:rsid w:val="00533419"/>
    <w:rsid w:val="00533426"/>
    <w:rsid w:val="00533664"/>
    <w:rsid w:val="00533726"/>
    <w:rsid w:val="005339B2"/>
    <w:rsid w:val="00533CC1"/>
    <w:rsid w:val="00533DC1"/>
    <w:rsid w:val="00533E8B"/>
    <w:rsid w:val="00533EB1"/>
    <w:rsid w:val="005341A8"/>
    <w:rsid w:val="005345C5"/>
    <w:rsid w:val="0053467F"/>
    <w:rsid w:val="0053484B"/>
    <w:rsid w:val="00534903"/>
    <w:rsid w:val="00534909"/>
    <w:rsid w:val="0053491E"/>
    <w:rsid w:val="00534920"/>
    <w:rsid w:val="00534ABD"/>
    <w:rsid w:val="00534AEB"/>
    <w:rsid w:val="00534BCA"/>
    <w:rsid w:val="00534BE3"/>
    <w:rsid w:val="00534C29"/>
    <w:rsid w:val="00534CAB"/>
    <w:rsid w:val="00534D8B"/>
    <w:rsid w:val="005350A0"/>
    <w:rsid w:val="0053517E"/>
    <w:rsid w:val="005351AD"/>
    <w:rsid w:val="005354C7"/>
    <w:rsid w:val="00535666"/>
    <w:rsid w:val="005356C2"/>
    <w:rsid w:val="00535727"/>
    <w:rsid w:val="00535881"/>
    <w:rsid w:val="005359DC"/>
    <w:rsid w:val="00535A24"/>
    <w:rsid w:val="00535BDF"/>
    <w:rsid w:val="00535C6F"/>
    <w:rsid w:val="00535DCF"/>
    <w:rsid w:val="00535E5A"/>
    <w:rsid w:val="00535F18"/>
    <w:rsid w:val="00535F84"/>
    <w:rsid w:val="00536130"/>
    <w:rsid w:val="00536133"/>
    <w:rsid w:val="005361F5"/>
    <w:rsid w:val="005361F6"/>
    <w:rsid w:val="0053620C"/>
    <w:rsid w:val="00536323"/>
    <w:rsid w:val="005365B3"/>
    <w:rsid w:val="0053663B"/>
    <w:rsid w:val="0053694B"/>
    <w:rsid w:val="00536A47"/>
    <w:rsid w:val="00536D59"/>
    <w:rsid w:val="00536ED9"/>
    <w:rsid w:val="00536F1F"/>
    <w:rsid w:val="00536FE4"/>
    <w:rsid w:val="00536FEF"/>
    <w:rsid w:val="00537034"/>
    <w:rsid w:val="00537205"/>
    <w:rsid w:val="005372C8"/>
    <w:rsid w:val="00537474"/>
    <w:rsid w:val="005374F1"/>
    <w:rsid w:val="00537607"/>
    <w:rsid w:val="0053771D"/>
    <w:rsid w:val="005378C7"/>
    <w:rsid w:val="00537B43"/>
    <w:rsid w:val="00537C49"/>
    <w:rsid w:val="00537CF9"/>
    <w:rsid w:val="00537D5E"/>
    <w:rsid w:val="00537F47"/>
    <w:rsid w:val="005402EA"/>
    <w:rsid w:val="00540338"/>
    <w:rsid w:val="00540359"/>
    <w:rsid w:val="005404C8"/>
    <w:rsid w:val="0054086C"/>
    <w:rsid w:val="0054094E"/>
    <w:rsid w:val="005409A1"/>
    <w:rsid w:val="005409B6"/>
    <w:rsid w:val="00540BC3"/>
    <w:rsid w:val="00540CFF"/>
    <w:rsid w:val="00540E30"/>
    <w:rsid w:val="00541143"/>
    <w:rsid w:val="0054141B"/>
    <w:rsid w:val="00541685"/>
    <w:rsid w:val="005416E6"/>
    <w:rsid w:val="00541782"/>
    <w:rsid w:val="005419AD"/>
    <w:rsid w:val="00541B5C"/>
    <w:rsid w:val="00542110"/>
    <w:rsid w:val="0054229D"/>
    <w:rsid w:val="00542411"/>
    <w:rsid w:val="005425B8"/>
    <w:rsid w:val="0054263E"/>
    <w:rsid w:val="00542790"/>
    <w:rsid w:val="00542892"/>
    <w:rsid w:val="005429DF"/>
    <w:rsid w:val="00542A6F"/>
    <w:rsid w:val="00542B01"/>
    <w:rsid w:val="00542BAA"/>
    <w:rsid w:val="005432F7"/>
    <w:rsid w:val="00543494"/>
    <w:rsid w:val="005434C1"/>
    <w:rsid w:val="005434E7"/>
    <w:rsid w:val="00543623"/>
    <w:rsid w:val="005436B9"/>
    <w:rsid w:val="0054390D"/>
    <w:rsid w:val="00543917"/>
    <w:rsid w:val="0054397F"/>
    <w:rsid w:val="00543A1E"/>
    <w:rsid w:val="00543A56"/>
    <w:rsid w:val="00543B8D"/>
    <w:rsid w:val="00543D9E"/>
    <w:rsid w:val="00543E85"/>
    <w:rsid w:val="00543F12"/>
    <w:rsid w:val="005440E7"/>
    <w:rsid w:val="005441F6"/>
    <w:rsid w:val="0054425B"/>
    <w:rsid w:val="00544455"/>
    <w:rsid w:val="00544577"/>
    <w:rsid w:val="005445BF"/>
    <w:rsid w:val="005445F3"/>
    <w:rsid w:val="00544817"/>
    <w:rsid w:val="00544891"/>
    <w:rsid w:val="0054499D"/>
    <w:rsid w:val="00544B7E"/>
    <w:rsid w:val="00544C91"/>
    <w:rsid w:val="00544CA7"/>
    <w:rsid w:val="00544DF2"/>
    <w:rsid w:val="00544FB4"/>
    <w:rsid w:val="0054505B"/>
    <w:rsid w:val="00545307"/>
    <w:rsid w:val="005453F1"/>
    <w:rsid w:val="00545591"/>
    <w:rsid w:val="00545780"/>
    <w:rsid w:val="00545A5E"/>
    <w:rsid w:val="00545A71"/>
    <w:rsid w:val="00545AA7"/>
    <w:rsid w:val="00545B9A"/>
    <w:rsid w:val="00545C9E"/>
    <w:rsid w:val="00545D4A"/>
    <w:rsid w:val="00545DDF"/>
    <w:rsid w:val="00545EC2"/>
    <w:rsid w:val="00545EFD"/>
    <w:rsid w:val="00545F68"/>
    <w:rsid w:val="005460E0"/>
    <w:rsid w:val="0054615F"/>
    <w:rsid w:val="005461F3"/>
    <w:rsid w:val="00546203"/>
    <w:rsid w:val="00546212"/>
    <w:rsid w:val="0054654A"/>
    <w:rsid w:val="00546C0D"/>
    <w:rsid w:val="00546EDA"/>
    <w:rsid w:val="0054704A"/>
    <w:rsid w:val="005471A0"/>
    <w:rsid w:val="005471F3"/>
    <w:rsid w:val="005472C6"/>
    <w:rsid w:val="00547583"/>
    <w:rsid w:val="00547587"/>
    <w:rsid w:val="005475A5"/>
    <w:rsid w:val="00547775"/>
    <w:rsid w:val="005478C8"/>
    <w:rsid w:val="00547AE0"/>
    <w:rsid w:val="00547CAF"/>
    <w:rsid w:val="00547CCF"/>
    <w:rsid w:val="00547F20"/>
    <w:rsid w:val="00547FF0"/>
    <w:rsid w:val="0055001E"/>
    <w:rsid w:val="0055007C"/>
    <w:rsid w:val="005500C3"/>
    <w:rsid w:val="005500D3"/>
    <w:rsid w:val="005501D2"/>
    <w:rsid w:val="005501E9"/>
    <w:rsid w:val="005502B7"/>
    <w:rsid w:val="005502F0"/>
    <w:rsid w:val="00550398"/>
    <w:rsid w:val="00550661"/>
    <w:rsid w:val="005508A1"/>
    <w:rsid w:val="00550A7C"/>
    <w:rsid w:val="00550CF5"/>
    <w:rsid w:val="00550D5B"/>
    <w:rsid w:val="00550FDA"/>
    <w:rsid w:val="00551246"/>
    <w:rsid w:val="0055124C"/>
    <w:rsid w:val="005512F8"/>
    <w:rsid w:val="00551478"/>
    <w:rsid w:val="00551510"/>
    <w:rsid w:val="0055164B"/>
    <w:rsid w:val="00551B25"/>
    <w:rsid w:val="00551C1B"/>
    <w:rsid w:val="00551D13"/>
    <w:rsid w:val="005520B4"/>
    <w:rsid w:val="00552118"/>
    <w:rsid w:val="0055229C"/>
    <w:rsid w:val="00552306"/>
    <w:rsid w:val="00552331"/>
    <w:rsid w:val="00552565"/>
    <w:rsid w:val="005526A4"/>
    <w:rsid w:val="00552860"/>
    <w:rsid w:val="00552950"/>
    <w:rsid w:val="00552A9B"/>
    <w:rsid w:val="00552B62"/>
    <w:rsid w:val="00552CFE"/>
    <w:rsid w:val="00552D2C"/>
    <w:rsid w:val="0055300D"/>
    <w:rsid w:val="00553226"/>
    <w:rsid w:val="00553235"/>
    <w:rsid w:val="00553764"/>
    <w:rsid w:val="005537FD"/>
    <w:rsid w:val="00553833"/>
    <w:rsid w:val="00553B79"/>
    <w:rsid w:val="00553B96"/>
    <w:rsid w:val="00553C1F"/>
    <w:rsid w:val="00553DBE"/>
    <w:rsid w:val="00553DE0"/>
    <w:rsid w:val="00554145"/>
    <w:rsid w:val="005544C4"/>
    <w:rsid w:val="005544D1"/>
    <w:rsid w:val="00554656"/>
    <w:rsid w:val="005546EA"/>
    <w:rsid w:val="00554724"/>
    <w:rsid w:val="0055477E"/>
    <w:rsid w:val="00554788"/>
    <w:rsid w:val="00554859"/>
    <w:rsid w:val="00554BD4"/>
    <w:rsid w:val="00554DA3"/>
    <w:rsid w:val="00554DDC"/>
    <w:rsid w:val="00554EA9"/>
    <w:rsid w:val="0055517C"/>
    <w:rsid w:val="0055537F"/>
    <w:rsid w:val="00555495"/>
    <w:rsid w:val="005554ED"/>
    <w:rsid w:val="00555513"/>
    <w:rsid w:val="005555D4"/>
    <w:rsid w:val="005555E3"/>
    <w:rsid w:val="005556D0"/>
    <w:rsid w:val="00555778"/>
    <w:rsid w:val="00555881"/>
    <w:rsid w:val="00555891"/>
    <w:rsid w:val="00555951"/>
    <w:rsid w:val="00555D42"/>
    <w:rsid w:val="00555EEE"/>
    <w:rsid w:val="00556145"/>
    <w:rsid w:val="00556579"/>
    <w:rsid w:val="00556601"/>
    <w:rsid w:val="0055662F"/>
    <w:rsid w:val="005568EF"/>
    <w:rsid w:val="00556B07"/>
    <w:rsid w:val="00556CF7"/>
    <w:rsid w:val="00556DE2"/>
    <w:rsid w:val="00556FAC"/>
    <w:rsid w:val="0055711E"/>
    <w:rsid w:val="0055713F"/>
    <w:rsid w:val="00557176"/>
    <w:rsid w:val="00557309"/>
    <w:rsid w:val="005574D0"/>
    <w:rsid w:val="0055751B"/>
    <w:rsid w:val="00557533"/>
    <w:rsid w:val="00557612"/>
    <w:rsid w:val="00557634"/>
    <w:rsid w:val="00557644"/>
    <w:rsid w:val="00557726"/>
    <w:rsid w:val="00557732"/>
    <w:rsid w:val="005578A1"/>
    <w:rsid w:val="005579A7"/>
    <w:rsid w:val="00557A57"/>
    <w:rsid w:val="00557B17"/>
    <w:rsid w:val="00557C11"/>
    <w:rsid w:val="00557CB6"/>
    <w:rsid w:val="00557D0F"/>
    <w:rsid w:val="00557D3C"/>
    <w:rsid w:val="00557D98"/>
    <w:rsid w:val="00557DCB"/>
    <w:rsid w:val="00557ECE"/>
    <w:rsid w:val="00557F37"/>
    <w:rsid w:val="00560041"/>
    <w:rsid w:val="005602BF"/>
    <w:rsid w:val="0056031B"/>
    <w:rsid w:val="00560647"/>
    <w:rsid w:val="005606F9"/>
    <w:rsid w:val="00560777"/>
    <w:rsid w:val="0056077E"/>
    <w:rsid w:val="00560B17"/>
    <w:rsid w:val="00560BFE"/>
    <w:rsid w:val="00560E6B"/>
    <w:rsid w:val="00560F4E"/>
    <w:rsid w:val="00560FE0"/>
    <w:rsid w:val="00561587"/>
    <w:rsid w:val="00561589"/>
    <w:rsid w:val="005615E2"/>
    <w:rsid w:val="00561716"/>
    <w:rsid w:val="00561904"/>
    <w:rsid w:val="00561C22"/>
    <w:rsid w:val="00561C74"/>
    <w:rsid w:val="00561E70"/>
    <w:rsid w:val="00561F60"/>
    <w:rsid w:val="00561F94"/>
    <w:rsid w:val="0056206A"/>
    <w:rsid w:val="005620B9"/>
    <w:rsid w:val="0056210F"/>
    <w:rsid w:val="00562120"/>
    <w:rsid w:val="005623A2"/>
    <w:rsid w:val="00562471"/>
    <w:rsid w:val="005624FA"/>
    <w:rsid w:val="0056253B"/>
    <w:rsid w:val="0056259A"/>
    <w:rsid w:val="00562867"/>
    <w:rsid w:val="005628A3"/>
    <w:rsid w:val="00562ADC"/>
    <w:rsid w:val="00562C4A"/>
    <w:rsid w:val="00562C64"/>
    <w:rsid w:val="00562D0D"/>
    <w:rsid w:val="00562F01"/>
    <w:rsid w:val="005630D5"/>
    <w:rsid w:val="0056315C"/>
    <w:rsid w:val="005634FD"/>
    <w:rsid w:val="00563517"/>
    <w:rsid w:val="005635F8"/>
    <w:rsid w:val="00563683"/>
    <w:rsid w:val="0056391C"/>
    <w:rsid w:val="00563A9C"/>
    <w:rsid w:val="00563AAF"/>
    <w:rsid w:val="00563C2F"/>
    <w:rsid w:val="00563FE4"/>
    <w:rsid w:val="00564115"/>
    <w:rsid w:val="005641ED"/>
    <w:rsid w:val="0056427F"/>
    <w:rsid w:val="005643F2"/>
    <w:rsid w:val="0056443E"/>
    <w:rsid w:val="005645E4"/>
    <w:rsid w:val="005647DF"/>
    <w:rsid w:val="005648EF"/>
    <w:rsid w:val="00564A34"/>
    <w:rsid w:val="00564A69"/>
    <w:rsid w:val="00564AED"/>
    <w:rsid w:val="00564B09"/>
    <w:rsid w:val="00564CA2"/>
    <w:rsid w:val="00564CEB"/>
    <w:rsid w:val="00564D42"/>
    <w:rsid w:val="00564D6F"/>
    <w:rsid w:val="00564E0F"/>
    <w:rsid w:val="00564E67"/>
    <w:rsid w:val="00565357"/>
    <w:rsid w:val="00565369"/>
    <w:rsid w:val="00565453"/>
    <w:rsid w:val="005655F7"/>
    <w:rsid w:val="0056580C"/>
    <w:rsid w:val="00565987"/>
    <w:rsid w:val="0056598C"/>
    <w:rsid w:val="00565A5B"/>
    <w:rsid w:val="00565A94"/>
    <w:rsid w:val="00565A9B"/>
    <w:rsid w:val="00565BB0"/>
    <w:rsid w:val="00565BDC"/>
    <w:rsid w:val="00565C3E"/>
    <w:rsid w:val="00565CDB"/>
    <w:rsid w:val="00565DA6"/>
    <w:rsid w:val="00565E80"/>
    <w:rsid w:val="0056606A"/>
    <w:rsid w:val="005661B1"/>
    <w:rsid w:val="00566261"/>
    <w:rsid w:val="00566280"/>
    <w:rsid w:val="005662CC"/>
    <w:rsid w:val="00566724"/>
    <w:rsid w:val="00566849"/>
    <w:rsid w:val="005669C7"/>
    <w:rsid w:val="00566A32"/>
    <w:rsid w:val="00566C76"/>
    <w:rsid w:val="00566F52"/>
    <w:rsid w:val="00567005"/>
    <w:rsid w:val="0056709E"/>
    <w:rsid w:val="00567197"/>
    <w:rsid w:val="005671DD"/>
    <w:rsid w:val="005676A8"/>
    <w:rsid w:val="005678A3"/>
    <w:rsid w:val="00567B61"/>
    <w:rsid w:val="00567C73"/>
    <w:rsid w:val="00567E88"/>
    <w:rsid w:val="00567E92"/>
    <w:rsid w:val="00567EE6"/>
    <w:rsid w:val="00570018"/>
    <w:rsid w:val="00570117"/>
    <w:rsid w:val="00570149"/>
    <w:rsid w:val="00570380"/>
    <w:rsid w:val="005704A7"/>
    <w:rsid w:val="005704AE"/>
    <w:rsid w:val="005704BD"/>
    <w:rsid w:val="005704D5"/>
    <w:rsid w:val="005705FF"/>
    <w:rsid w:val="005706A9"/>
    <w:rsid w:val="005707EE"/>
    <w:rsid w:val="00570811"/>
    <w:rsid w:val="0057081A"/>
    <w:rsid w:val="005708CD"/>
    <w:rsid w:val="00570903"/>
    <w:rsid w:val="00570928"/>
    <w:rsid w:val="00570A73"/>
    <w:rsid w:val="00570EA9"/>
    <w:rsid w:val="0057104A"/>
    <w:rsid w:val="0057122D"/>
    <w:rsid w:val="0057125D"/>
    <w:rsid w:val="005713EE"/>
    <w:rsid w:val="00571497"/>
    <w:rsid w:val="00571504"/>
    <w:rsid w:val="00571692"/>
    <w:rsid w:val="00571A0F"/>
    <w:rsid w:val="00571C55"/>
    <w:rsid w:val="00571CDD"/>
    <w:rsid w:val="00572086"/>
    <w:rsid w:val="0057229F"/>
    <w:rsid w:val="00572585"/>
    <w:rsid w:val="005726C3"/>
    <w:rsid w:val="00572B54"/>
    <w:rsid w:val="00572B8A"/>
    <w:rsid w:val="00572C84"/>
    <w:rsid w:val="00572D13"/>
    <w:rsid w:val="00572D58"/>
    <w:rsid w:val="00572DCE"/>
    <w:rsid w:val="00572EB2"/>
    <w:rsid w:val="00572EE7"/>
    <w:rsid w:val="0057309B"/>
    <w:rsid w:val="00573253"/>
    <w:rsid w:val="00573284"/>
    <w:rsid w:val="0057367B"/>
    <w:rsid w:val="0057372F"/>
    <w:rsid w:val="0057378D"/>
    <w:rsid w:val="005739A9"/>
    <w:rsid w:val="00573A66"/>
    <w:rsid w:val="00573B40"/>
    <w:rsid w:val="00573B6C"/>
    <w:rsid w:val="00573CFB"/>
    <w:rsid w:val="00573D44"/>
    <w:rsid w:val="00573D94"/>
    <w:rsid w:val="00573EA4"/>
    <w:rsid w:val="00573FA1"/>
    <w:rsid w:val="00573FF4"/>
    <w:rsid w:val="00573FFE"/>
    <w:rsid w:val="0057416C"/>
    <w:rsid w:val="005742B2"/>
    <w:rsid w:val="00574377"/>
    <w:rsid w:val="0057443E"/>
    <w:rsid w:val="00574486"/>
    <w:rsid w:val="005744E1"/>
    <w:rsid w:val="0057456F"/>
    <w:rsid w:val="00574675"/>
    <w:rsid w:val="00574697"/>
    <w:rsid w:val="005747A5"/>
    <w:rsid w:val="00574832"/>
    <w:rsid w:val="005749BD"/>
    <w:rsid w:val="00574BD8"/>
    <w:rsid w:val="00574EA0"/>
    <w:rsid w:val="00574F86"/>
    <w:rsid w:val="00575322"/>
    <w:rsid w:val="0057542F"/>
    <w:rsid w:val="00575615"/>
    <w:rsid w:val="00575669"/>
    <w:rsid w:val="00575793"/>
    <w:rsid w:val="005758C4"/>
    <w:rsid w:val="00575975"/>
    <w:rsid w:val="00575981"/>
    <w:rsid w:val="00575986"/>
    <w:rsid w:val="005759EF"/>
    <w:rsid w:val="00575A83"/>
    <w:rsid w:val="00575AA3"/>
    <w:rsid w:val="00575C5B"/>
    <w:rsid w:val="00575C74"/>
    <w:rsid w:val="00575CAF"/>
    <w:rsid w:val="00575E39"/>
    <w:rsid w:val="00575E78"/>
    <w:rsid w:val="005761E5"/>
    <w:rsid w:val="00576286"/>
    <w:rsid w:val="005762B5"/>
    <w:rsid w:val="005763C6"/>
    <w:rsid w:val="005763F7"/>
    <w:rsid w:val="0057646F"/>
    <w:rsid w:val="00576625"/>
    <w:rsid w:val="00576723"/>
    <w:rsid w:val="00576761"/>
    <w:rsid w:val="005768DB"/>
    <w:rsid w:val="005769C5"/>
    <w:rsid w:val="005769F0"/>
    <w:rsid w:val="00576C75"/>
    <w:rsid w:val="00577040"/>
    <w:rsid w:val="005770EF"/>
    <w:rsid w:val="005771F3"/>
    <w:rsid w:val="0057720E"/>
    <w:rsid w:val="0057722F"/>
    <w:rsid w:val="00577252"/>
    <w:rsid w:val="00577304"/>
    <w:rsid w:val="0057740A"/>
    <w:rsid w:val="005774CB"/>
    <w:rsid w:val="005775C9"/>
    <w:rsid w:val="005778C5"/>
    <w:rsid w:val="00577ABB"/>
    <w:rsid w:val="00577ADB"/>
    <w:rsid w:val="00577BBF"/>
    <w:rsid w:val="00577E9B"/>
    <w:rsid w:val="0058003E"/>
    <w:rsid w:val="00580040"/>
    <w:rsid w:val="005800A2"/>
    <w:rsid w:val="0058029F"/>
    <w:rsid w:val="00580387"/>
    <w:rsid w:val="005803A1"/>
    <w:rsid w:val="005803C8"/>
    <w:rsid w:val="005803D5"/>
    <w:rsid w:val="0058063D"/>
    <w:rsid w:val="0058067C"/>
    <w:rsid w:val="005807C4"/>
    <w:rsid w:val="00580895"/>
    <w:rsid w:val="00580C4E"/>
    <w:rsid w:val="00580D49"/>
    <w:rsid w:val="00580E2F"/>
    <w:rsid w:val="00580FA1"/>
    <w:rsid w:val="00581021"/>
    <w:rsid w:val="00581037"/>
    <w:rsid w:val="005810AF"/>
    <w:rsid w:val="005810E1"/>
    <w:rsid w:val="00581225"/>
    <w:rsid w:val="00581511"/>
    <w:rsid w:val="00581784"/>
    <w:rsid w:val="005817C8"/>
    <w:rsid w:val="005818C5"/>
    <w:rsid w:val="00581C2D"/>
    <w:rsid w:val="00581D8D"/>
    <w:rsid w:val="0058211C"/>
    <w:rsid w:val="00582128"/>
    <w:rsid w:val="0058217E"/>
    <w:rsid w:val="005826E1"/>
    <w:rsid w:val="0058285D"/>
    <w:rsid w:val="00582A2D"/>
    <w:rsid w:val="00582A6D"/>
    <w:rsid w:val="00582B8E"/>
    <w:rsid w:val="00582CE8"/>
    <w:rsid w:val="00582EB8"/>
    <w:rsid w:val="005830A1"/>
    <w:rsid w:val="005830A2"/>
    <w:rsid w:val="00583281"/>
    <w:rsid w:val="005833D7"/>
    <w:rsid w:val="005833F6"/>
    <w:rsid w:val="0058388E"/>
    <w:rsid w:val="00583A16"/>
    <w:rsid w:val="00583AF9"/>
    <w:rsid w:val="00583C5D"/>
    <w:rsid w:val="00583CCA"/>
    <w:rsid w:val="00583FA0"/>
    <w:rsid w:val="00584214"/>
    <w:rsid w:val="0058422B"/>
    <w:rsid w:val="005843EA"/>
    <w:rsid w:val="0058452E"/>
    <w:rsid w:val="00584615"/>
    <w:rsid w:val="0058465C"/>
    <w:rsid w:val="0058475E"/>
    <w:rsid w:val="00584A18"/>
    <w:rsid w:val="00584CBD"/>
    <w:rsid w:val="00584E45"/>
    <w:rsid w:val="00584F23"/>
    <w:rsid w:val="00584F26"/>
    <w:rsid w:val="00585297"/>
    <w:rsid w:val="00585387"/>
    <w:rsid w:val="005854E1"/>
    <w:rsid w:val="0058551E"/>
    <w:rsid w:val="005855C5"/>
    <w:rsid w:val="00585A00"/>
    <w:rsid w:val="00585A07"/>
    <w:rsid w:val="00585DF9"/>
    <w:rsid w:val="00585E49"/>
    <w:rsid w:val="00585E56"/>
    <w:rsid w:val="00585E6B"/>
    <w:rsid w:val="00585F54"/>
    <w:rsid w:val="00585F8A"/>
    <w:rsid w:val="00586016"/>
    <w:rsid w:val="00586058"/>
    <w:rsid w:val="00586089"/>
    <w:rsid w:val="005860F0"/>
    <w:rsid w:val="005863DB"/>
    <w:rsid w:val="00586470"/>
    <w:rsid w:val="00586560"/>
    <w:rsid w:val="0058681C"/>
    <w:rsid w:val="00586900"/>
    <w:rsid w:val="00586913"/>
    <w:rsid w:val="00586A6F"/>
    <w:rsid w:val="00586A90"/>
    <w:rsid w:val="00586ADD"/>
    <w:rsid w:val="00586D3B"/>
    <w:rsid w:val="00586DA6"/>
    <w:rsid w:val="00586F78"/>
    <w:rsid w:val="0058702E"/>
    <w:rsid w:val="00587036"/>
    <w:rsid w:val="005871EB"/>
    <w:rsid w:val="00587275"/>
    <w:rsid w:val="0058731A"/>
    <w:rsid w:val="00587408"/>
    <w:rsid w:val="00587600"/>
    <w:rsid w:val="005877C7"/>
    <w:rsid w:val="00587930"/>
    <w:rsid w:val="00587AF9"/>
    <w:rsid w:val="00587C43"/>
    <w:rsid w:val="00587C5B"/>
    <w:rsid w:val="00587D8D"/>
    <w:rsid w:val="00587EDC"/>
    <w:rsid w:val="00587F33"/>
    <w:rsid w:val="00587F3D"/>
    <w:rsid w:val="00590069"/>
    <w:rsid w:val="00590297"/>
    <w:rsid w:val="00590307"/>
    <w:rsid w:val="00590312"/>
    <w:rsid w:val="0059033A"/>
    <w:rsid w:val="00590369"/>
    <w:rsid w:val="005903B5"/>
    <w:rsid w:val="005903D6"/>
    <w:rsid w:val="00590465"/>
    <w:rsid w:val="005904E5"/>
    <w:rsid w:val="0059054C"/>
    <w:rsid w:val="00590648"/>
    <w:rsid w:val="00590699"/>
    <w:rsid w:val="005906B0"/>
    <w:rsid w:val="00590981"/>
    <w:rsid w:val="005909A8"/>
    <w:rsid w:val="00590A0F"/>
    <w:rsid w:val="00590BF4"/>
    <w:rsid w:val="00590C4C"/>
    <w:rsid w:val="00590D58"/>
    <w:rsid w:val="00590DA4"/>
    <w:rsid w:val="00590EB7"/>
    <w:rsid w:val="0059102D"/>
    <w:rsid w:val="005911C0"/>
    <w:rsid w:val="005914ED"/>
    <w:rsid w:val="00591671"/>
    <w:rsid w:val="005917B7"/>
    <w:rsid w:val="00591B14"/>
    <w:rsid w:val="00591C49"/>
    <w:rsid w:val="00591C75"/>
    <w:rsid w:val="00591DCF"/>
    <w:rsid w:val="00591DDE"/>
    <w:rsid w:val="00591EC7"/>
    <w:rsid w:val="00591F97"/>
    <w:rsid w:val="00592006"/>
    <w:rsid w:val="00592020"/>
    <w:rsid w:val="0059210F"/>
    <w:rsid w:val="0059258F"/>
    <w:rsid w:val="005926FC"/>
    <w:rsid w:val="005928A1"/>
    <w:rsid w:val="00592999"/>
    <w:rsid w:val="005929C3"/>
    <w:rsid w:val="00592A33"/>
    <w:rsid w:val="00592AC8"/>
    <w:rsid w:val="00592B33"/>
    <w:rsid w:val="00592D42"/>
    <w:rsid w:val="00592E27"/>
    <w:rsid w:val="00592E61"/>
    <w:rsid w:val="00592FD1"/>
    <w:rsid w:val="00593134"/>
    <w:rsid w:val="00593296"/>
    <w:rsid w:val="00593415"/>
    <w:rsid w:val="00593428"/>
    <w:rsid w:val="00593433"/>
    <w:rsid w:val="005934B8"/>
    <w:rsid w:val="005935DB"/>
    <w:rsid w:val="00593663"/>
    <w:rsid w:val="005936E9"/>
    <w:rsid w:val="0059373B"/>
    <w:rsid w:val="00593AD2"/>
    <w:rsid w:val="00593AF0"/>
    <w:rsid w:val="00593AFE"/>
    <w:rsid w:val="00593B0E"/>
    <w:rsid w:val="00593B29"/>
    <w:rsid w:val="00593BA4"/>
    <w:rsid w:val="00593CCF"/>
    <w:rsid w:val="00593D19"/>
    <w:rsid w:val="00593D68"/>
    <w:rsid w:val="00593E9E"/>
    <w:rsid w:val="005940A3"/>
    <w:rsid w:val="005941DA"/>
    <w:rsid w:val="005942ED"/>
    <w:rsid w:val="00594534"/>
    <w:rsid w:val="005946D5"/>
    <w:rsid w:val="00594720"/>
    <w:rsid w:val="00594766"/>
    <w:rsid w:val="00594811"/>
    <w:rsid w:val="00594A20"/>
    <w:rsid w:val="00594A23"/>
    <w:rsid w:val="00594ABC"/>
    <w:rsid w:val="00594C07"/>
    <w:rsid w:val="00594DB9"/>
    <w:rsid w:val="00594FDC"/>
    <w:rsid w:val="0059511F"/>
    <w:rsid w:val="0059516D"/>
    <w:rsid w:val="005951EF"/>
    <w:rsid w:val="0059538B"/>
    <w:rsid w:val="005955CC"/>
    <w:rsid w:val="0059565A"/>
    <w:rsid w:val="00595715"/>
    <w:rsid w:val="00595758"/>
    <w:rsid w:val="00595772"/>
    <w:rsid w:val="005957E9"/>
    <w:rsid w:val="005957EF"/>
    <w:rsid w:val="005959AC"/>
    <w:rsid w:val="005959E4"/>
    <w:rsid w:val="00595ABD"/>
    <w:rsid w:val="00595AE7"/>
    <w:rsid w:val="00595D32"/>
    <w:rsid w:val="00595D3D"/>
    <w:rsid w:val="00595FAA"/>
    <w:rsid w:val="00596218"/>
    <w:rsid w:val="0059629B"/>
    <w:rsid w:val="00596377"/>
    <w:rsid w:val="00596395"/>
    <w:rsid w:val="005963F0"/>
    <w:rsid w:val="00596458"/>
    <w:rsid w:val="005965D7"/>
    <w:rsid w:val="005966C8"/>
    <w:rsid w:val="0059679F"/>
    <w:rsid w:val="005967BF"/>
    <w:rsid w:val="005968BE"/>
    <w:rsid w:val="0059693C"/>
    <w:rsid w:val="00596AB9"/>
    <w:rsid w:val="00596C21"/>
    <w:rsid w:val="00596C6A"/>
    <w:rsid w:val="00596E05"/>
    <w:rsid w:val="00596E58"/>
    <w:rsid w:val="00596EA2"/>
    <w:rsid w:val="00596F5B"/>
    <w:rsid w:val="0059723F"/>
    <w:rsid w:val="0059733A"/>
    <w:rsid w:val="0059733B"/>
    <w:rsid w:val="005973BC"/>
    <w:rsid w:val="0059746D"/>
    <w:rsid w:val="005975FA"/>
    <w:rsid w:val="00597754"/>
    <w:rsid w:val="00597861"/>
    <w:rsid w:val="005978E3"/>
    <w:rsid w:val="005979EB"/>
    <w:rsid w:val="00597B30"/>
    <w:rsid w:val="00597D78"/>
    <w:rsid w:val="00597DDF"/>
    <w:rsid w:val="005A0104"/>
    <w:rsid w:val="005A0187"/>
    <w:rsid w:val="005A018B"/>
    <w:rsid w:val="005A028A"/>
    <w:rsid w:val="005A05D6"/>
    <w:rsid w:val="005A0662"/>
    <w:rsid w:val="005A0700"/>
    <w:rsid w:val="005A0712"/>
    <w:rsid w:val="005A0889"/>
    <w:rsid w:val="005A0B69"/>
    <w:rsid w:val="005A0C34"/>
    <w:rsid w:val="005A0D35"/>
    <w:rsid w:val="005A0D65"/>
    <w:rsid w:val="005A0D79"/>
    <w:rsid w:val="005A0DDD"/>
    <w:rsid w:val="005A0E20"/>
    <w:rsid w:val="005A0EAA"/>
    <w:rsid w:val="005A0F59"/>
    <w:rsid w:val="005A0F8D"/>
    <w:rsid w:val="005A1031"/>
    <w:rsid w:val="005A1066"/>
    <w:rsid w:val="005A10C3"/>
    <w:rsid w:val="005A10F0"/>
    <w:rsid w:val="005A115E"/>
    <w:rsid w:val="005A1185"/>
    <w:rsid w:val="005A12FC"/>
    <w:rsid w:val="005A134A"/>
    <w:rsid w:val="005A145F"/>
    <w:rsid w:val="005A1746"/>
    <w:rsid w:val="005A188B"/>
    <w:rsid w:val="005A18C9"/>
    <w:rsid w:val="005A18DC"/>
    <w:rsid w:val="005A1960"/>
    <w:rsid w:val="005A1A0D"/>
    <w:rsid w:val="005A1A16"/>
    <w:rsid w:val="005A1A9A"/>
    <w:rsid w:val="005A1E9C"/>
    <w:rsid w:val="005A1F04"/>
    <w:rsid w:val="005A2192"/>
    <w:rsid w:val="005A2199"/>
    <w:rsid w:val="005A22CA"/>
    <w:rsid w:val="005A2344"/>
    <w:rsid w:val="005A2514"/>
    <w:rsid w:val="005A2735"/>
    <w:rsid w:val="005A28B0"/>
    <w:rsid w:val="005A2A28"/>
    <w:rsid w:val="005A2AE0"/>
    <w:rsid w:val="005A2B97"/>
    <w:rsid w:val="005A2C15"/>
    <w:rsid w:val="005A2D9A"/>
    <w:rsid w:val="005A2DCE"/>
    <w:rsid w:val="005A3117"/>
    <w:rsid w:val="005A32D4"/>
    <w:rsid w:val="005A33C8"/>
    <w:rsid w:val="005A340D"/>
    <w:rsid w:val="005A34E5"/>
    <w:rsid w:val="005A364E"/>
    <w:rsid w:val="005A370B"/>
    <w:rsid w:val="005A389A"/>
    <w:rsid w:val="005A3916"/>
    <w:rsid w:val="005A394D"/>
    <w:rsid w:val="005A3B54"/>
    <w:rsid w:val="005A3CD5"/>
    <w:rsid w:val="005A3CE7"/>
    <w:rsid w:val="005A3D0C"/>
    <w:rsid w:val="005A3DB8"/>
    <w:rsid w:val="005A3DD8"/>
    <w:rsid w:val="005A3EBD"/>
    <w:rsid w:val="005A4075"/>
    <w:rsid w:val="005A4196"/>
    <w:rsid w:val="005A446E"/>
    <w:rsid w:val="005A4482"/>
    <w:rsid w:val="005A44F1"/>
    <w:rsid w:val="005A45F6"/>
    <w:rsid w:val="005A467D"/>
    <w:rsid w:val="005A468D"/>
    <w:rsid w:val="005A4922"/>
    <w:rsid w:val="005A4975"/>
    <w:rsid w:val="005A4AE3"/>
    <w:rsid w:val="005A4C74"/>
    <w:rsid w:val="005A4EB3"/>
    <w:rsid w:val="005A4F22"/>
    <w:rsid w:val="005A5041"/>
    <w:rsid w:val="005A517E"/>
    <w:rsid w:val="005A5356"/>
    <w:rsid w:val="005A54F2"/>
    <w:rsid w:val="005A5827"/>
    <w:rsid w:val="005A59F7"/>
    <w:rsid w:val="005A5C25"/>
    <w:rsid w:val="005A5C2D"/>
    <w:rsid w:val="005A5DAD"/>
    <w:rsid w:val="005A5E10"/>
    <w:rsid w:val="005A611F"/>
    <w:rsid w:val="005A616A"/>
    <w:rsid w:val="005A6247"/>
    <w:rsid w:val="005A63E7"/>
    <w:rsid w:val="005A64EE"/>
    <w:rsid w:val="005A653C"/>
    <w:rsid w:val="005A65B7"/>
    <w:rsid w:val="005A65C2"/>
    <w:rsid w:val="005A6655"/>
    <w:rsid w:val="005A6724"/>
    <w:rsid w:val="005A6744"/>
    <w:rsid w:val="005A683F"/>
    <w:rsid w:val="005A688B"/>
    <w:rsid w:val="005A6A7B"/>
    <w:rsid w:val="005A6C56"/>
    <w:rsid w:val="005A6C6A"/>
    <w:rsid w:val="005A6CA3"/>
    <w:rsid w:val="005A6E0A"/>
    <w:rsid w:val="005A6E42"/>
    <w:rsid w:val="005A6E94"/>
    <w:rsid w:val="005A6EBF"/>
    <w:rsid w:val="005A705D"/>
    <w:rsid w:val="005A708C"/>
    <w:rsid w:val="005A7298"/>
    <w:rsid w:val="005A7416"/>
    <w:rsid w:val="005A7451"/>
    <w:rsid w:val="005A75D3"/>
    <w:rsid w:val="005A7606"/>
    <w:rsid w:val="005A7704"/>
    <w:rsid w:val="005A77D2"/>
    <w:rsid w:val="005A7A3E"/>
    <w:rsid w:val="005A7A86"/>
    <w:rsid w:val="005A7D71"/>
    <w:rsid w:val="005A7D74"/>
    <w:rsid w:val="005A7DB9"/>
    <w:rsid w:val="005A7EC2"/>
    <w:rsid w:val="005B00AB"/>
    <w:rsid w:val="005B0199"/>
    <w:rsid w:val="005B021C"/>
    <w:rsid w:val="005B025E"/>
    <w:rsid w:val="005B02BD"/>
    <w:rsid w:val="005B02CF"/>
    <w:rsid w:val="005B035F"/>
    <w:rsid w:val="005B0435"/>
    <w:rsid w:val="005B0497"/>
    <w:rsid w:val="005B050B"/>
    <w:rsid w:val="005B05AD"/>
    <w:rsid w:val="005B05DB"/>
    <w:rsid w:val="005B0685"/>
    <w:rsid w:val="005B08E6"/>
    <w:rsid w:val="005B0A3D"/>
    <w:rsid w:val="005B1043"/>
    <w:rsid w:val="005B1113"/>
    <w:rsid w:val="005B11BA"/>
    <w:rsid w:val="005B12AC"/>
    <w:rsid w:val="005B12B1"/>
    <w:rsid w:val="005B13E0"/>
    <w:rsid w:val="005B1541"/>
    <w:rsid w:val="005B154C"/>
    <w:rsid w:val="005B1575"/>
    <w:rsid w:val="005B157A"/>
    <w:rsid w:val="005B15CA"/>
    <w:rsid w:val="005B1859"/>
    <w:rsid w:val="005B1A66"/>
    <w:rsid w:val="005B1A89"/>
    <w:rsid w:val="005B1AE0"/>
    <w:rsid w:val="005B1F92"/>
    <w:rsid w:val="005B1FE3"/>
    <w:rsid w:val="005B204B"/>
    <w:rsid w:val="005B2105"/>
    <w:rsid w:val="005B210F"/>
    <w:rsid w:val="005B2357"/>
    <w:rsid w:val="005B23B6"/>
    <w:rsid w:val="005B23F2"/>
    <w:rsid w:val="005B243C"/>
    <w:rsid w:val="005B25E0"/>
    <w:rsid w:val="005B26BC"/>
    <w:rsid w:val="005B28D3"/>
    <w:rsid w:val="005B2988"/>
    <w:rsid w:val="005B2A21"/>
    <w:rsid w:val="005B2A44"/>
    <w:rsid w:val="005B2A5D"/>
    <w:rsid w:val="005B2A86"/>
    <w:rsid w:val="005B2AFE"/>
    <w:rsid w:val="005B3093"/>
    <w:rsid w:val="005B30A7"/>
    <w:rsid w:val="005B354A"/>
    <w:rsid w:val="005B35C9"/>
    <w:rsid w:val="005B3703"/>
    <w:rsid w:val="005B3A2C"/>
    <w:rsid w:val="005B3A75"/>
    <w:rsid w:val="005B3B16"/>
    <w:rsid w:val="005B3B5A"/>
    <w:rsid w:val="005B3C2C"/>
    <w:rsid w:val="005B3D61"/>
    <w:rsid w:val="005B3DB8"/>
    <w:rsid w:val="005B3E0C"/>
    <w:rsid w:val="005B3E12"/>
    <w:rsid w:val="005B3F7E"/>
    <w:rsid w:val="005B3FE3"/>
    <w:rsid w:val="005B4032"/>
    <w:rsid w:val="005B4263"/>
    <w:rsid w:val="005B445E"/>
    <w:rsid w:val="005B44D2"/>
    <w:rsid w:val="005B44EA"/>
    <w:rsid w:val="005B44F1"/>
    <w:rsid w:val="005B46C1"/>
    <w:rsid w:val="005B479B"/>
    <w:rsid w:val="005B48B9"/>
    <w:rsid w:val="005B4A38"/>
    <w:rsid w:val="005B4C58"/>
    <w:rsid w:val="005B4D56"/>
    <w:rsid w:val="005B4DB6"/>
    <w:rsid w:val="005B4EDD"/>
    <w:rsid w:val="005B4F35"/>
    <w:rsid w:val="005B5077"/>
    <w:rsid w:val="005B5425"/>
    <w:rsid w:val="005B54C5"/>
    <w:rsid w:val="005B556A"/>
    <w:rsid w:val="005B565F"/>
    <w:rsid w:val="005B56DC"/>
    <w:rsid w:val="005B57F7"/>
    <w:rsid w:val="005B5841"/>
    <w:rsid w:val="005B5893"/>
    <w:rsid w:val="005B5973"/>
    <w:rsid w:val="005B5994"/>
    <w:rsid w:val="005B5B3E"/>
    <w:rsid w:val="005B5B40"/>
    <w:rsid w:val="005B611D"/>
    <w:rsid w:val="005B626A"/>
    <w:rsid w:val="005B62D9"/>
    <w:rsid w:val="005B64E8"/>
    <w:rsid w:val="005B65B1"/>
    <w:rsid w:val="005B6743"/>
    <w:rsid w:val="005B678E"/>
    <w:rsid w:val="005B67C3"/>
    <w:rsid w:val="005B689B"/>
    <w:rsid w:val="005B694A"/>
    <w:rsid w:val="005B69D2"/>
    <w:rsid w:val="005B69D3"/>
    <w:rsid w:val="005B6A10"/>
    <w:rsid w:val="005B6CDA"/>
    <w:rsid w:val="005B6E67"/>
    <w:rsid w:val="005B6FAD"/>
    <w:rsid w:val="005B71CC"/>
    <w:rsid w:val="005B721F"/>
    <w:rsid w:val="005B7304"/>
    <w:rsid w:val="005B7334"/>
    <w:rsid w:val="005B734C"/>
    <w:rsid w:val="005B73D3"/>
    <w:rsid w:val="005B74A4"/>
    <w:rsid w:val="005B7502"/>
    <w:rsid w:val="005B7805"/>
    <w:rsid w:val="005B797A"/>
    <w:rsid w:val="005B79F9"/>
    <w:rsid w:val="005B7B38"/>
    <w:rsid w:val="005B7B9A"/>
    <w:rsid w:val="005B7E22"/>
    <w:rsid w:val="005C0121"/>
    <w:rsid w:val="005C01D4"/>
    <w:rsid w:val="005C022B"/>
    <w:rsid w:val="005C04AD"/>
    <w:rsid w:val="005C05EB"/>
    <w:rsid w:val="005C0722"/>
    <w:rsid w:val="005C07AA"/>
    <w:rsid w:val="005C08A3"/>
    <w:rsid w:val="005C0A44"/>
    <w:rsid w:val="005C0B1D"/>
    <w:rsid w:val="005C0B52"/>
    <w:rsid w:val="005C0D5B"/>
    <w:rsid w:val="005C0D7C"/>
    <w:rsid w:val="005C0E66"/>
    <w:rsid w:val="005C0E96"/>
    <w:rsid w:val="005C0F28"/>
    <w:rsid w:val="005C1161"/>
    <w:rsid w:val="005C123B"/>
    <w:rsid w:val="005C12AB"/>
    <w:rsid w:val="005C1352"/>
    <w:rsid w:val="005C135E"/>
    <w:rsid w:val="005C13F0"/>
    <w:rsid w:val="005C1412"/>
    <w:rsid w:val="005C1436"/>
    <w:rsid w:val="005C1769"/>
    <w:rsid w:val="005C1802"/>
    <w:rsid w:val="005C188D"/>
    <w:rsid w:val="005C18F3"/>
    <w:rsid w:val="005C1956"/>
    <w:rsid w:val="005C1972"/>
    <w:rsid w:val="005C1A48"/>
    <w:rsid w:val="005C1DBF"/>
    <w:rsid w:val="005C1E40"/>
    <w:rsid w:val="005C1F71"/>
    <w:rsid w:val="005C2745"/>
    <w:rsid w:val="005C28E5"/>
    <w:rsid w:val="005C29FF"/>
    <w:rsid w:val="005C2A9E"/>
    <w:rsid w:val="005C2E5E"/>
    <w:rsid w:val="005C3058"/>
    <w:rsid w:val="005C3112"/>
    <w:rsid w:val="005C3190"/>
    <w:rsid w:val="005C31A7"/>
    <w:rsid w:val="005C31AA"/>
    <w:rsid w:val="005C31BA"/>
    <w:rsid w:val="005C322C"/>
    <w:rsid w:val="005C3357"/>
    <w:rsid w:val="005C372B"/>
    <w:rsid w:val="005C3C5F"/>
    <w:rsid w:val="005C3D2B"/>
    <w:rsid w:val="005C3D3D"/>
    <w:rsid w:val="005C3D50"/>
    <w:rsid w:val="005C3D9C"/>
    <w:rsid w:val="005C3EE9"/>
    <w:rsid w:val="005C4066"/>
    <w:rsid w:val="005C4202"/>
    <w:rsid w:val="005C42F6"/>
    <w:rsid w:val="005C4493"/>
    <w:rsid w:val="005C44AD"/>
    <w:rsid w:val="005C47AF"/>
    <w:rsid w:val="005C4833"/>
    <w:rsid w:val="005C4916"/>
    <w:rsid w:val="005C49DB"/>
    <w:rsid w:val="005C4A29"/>
    <w:rsid w:val="005C4ACF"/>
    <w:rsid w:val="005C4B00"/>
    <w:rsid w:val="005C4DFF"/>
    <w:rsid w:val="005C501B"/>
    <w:rsid w:val="005C50D2"/>
    <w:rsid w:val="005C5147"/>
    <w:rsid w:val="005C5190"/>
    <w:rsid w:val="005C520E"/>
    <w:rsid w:val="005C528B"/>
    <w:rsid w:val="005C5449"/>
    <w:rsid w:val="005C553A"/>
    <w:rsid w:val="005C5573"/>
    <w:rsid w:val="005C5733"/>
    <w:rsid w:val="005C57A8"/>
    <w:rsid w:val="005C5962"/>
    <w:rsid w:val="005C5AA5"/>
    <w:rsid w:val="005C5DC2"/>
    <w:rsid w:val="005C5DEF"/>
    <w:rsid w:val="005C60E3"/>
    <w:rsid w:val="005C61EA"/>
    <w:rsid w:val="005C6242"/>
    <w:rsid w:val="005C63D8"/>
    <w:rsid w:val="005C677F"/>
    <w:rsid w:val="005C68A1"/>
    <w:rsid w:val="005C69E9"/>
    <w:rsid w:val="005C6AC1"/>
    <w:rsid w:val="005C6B83"/>
    <w:rsid w:val="005C6C0C"/>
    <w:rsid w:val="005C6C3B"/>
    <w:rsid w:val="005C6C5B"/>
    <w:rsid w:val="005C6DFD"/>
    <w:rsid w:val="005C6FE3"/>
    <w:rsid w:val="005C714A"/>
    <w:rsid w:val="005C7254"/>
    <w:rsid w:val="005C7306"/>
    <w:rsid w:val="005C7736"/>
    <w:rsid w:val="005C77D5"/>
    <w:rsid w:val="005C7A40"/>
    <w:rsid w:val="005C7BA9"/>
    <w:rsid w:val="005C7BF9"/>
    <w:rsid w:val="005C7C89"/>
    <w:rsid w:val="005C7E1A"/>
    <w:rsid w:val="005C7ED0"/>
    <w:rsid w:val="005C7F57"/>
    <w:rsid w:val="005D0065"/>
    <w:rsid w:val="005D00C7"/>
    <w:rsid w:val="005D025E"/>
    <w:rsid w:val="005D051A"/>
    <w:rsid w:val="005D053C"/>
    <w:rsid w:val="005D06C6"/>
    <w:rsid w:val="005D06CC"/>
    <w:rsid w:val="005D087A"/>
    <w:rsid w:val="005D0974"/>
    <w:rsid w:val="005D0B35"/>
    <w:rsid w:val="005D0B5E"/>
    <w:rsid w:val="005D0C87"/>
    <w:rsid w:val="005D0D41"/>
    <w:rsid w:val="005D0DFA"/>
    <w:rsid w:val="005D0FFE"/>
    <w:rsid w:val="005D10A8"/>
    <w:rsid w:val="005D118E"/>
    <w:rsid w:val="005D123C"/>
    <w:rsid w:val="005D1428"/>
    <w:rsid w:val="005D1564"/>
    <w:rsid w:val="005D1708"/>
    <w:rsid w:val="005D1779"/>
    <w:rsid w:val="005D18C6"/>
    <w:rsid w:val="005D18F3"/>
    <w:rsid w:val="005D195C"/>
    <w:rsid w:val="005D197F"/>
    <w:rsid w:val="005D1CAF"/>
    <w:rsid w:val="005D1E83"/>
    <w:rsid w:val="005D1ED6"/>
    <w:rsid w:val="005D1F82"/>
    <w:rsid w:val="005D2096"/>
    <w:rsid w:val="005D20D9"/>
    <w:rsid w:val="005D2135"/>
    <w:rsid w:val="005D253B"/>
    <w:rsid w:val="005D26DE"/>
    <w:rsid w:val="005D27B6"/>
    <w:rsid w:val="005D27B9"/>
    <w:rsid w:val="005D27C3"/>
    <w:rsid w:val="005D2959"/>
    <w:rsid w:val="005D29E0"/>
    <w:rsid w:val="005D2B80"/>
    <w:rsid w:val="005D2B86"/>
    <w:rsid w:val="005D2F1B"/>
    <w:rsid w:val="005D2FA1"/>
    <w:rsid w:val="005D2FBD"/>
    <w:rsid w:val="005D313F"/>
    <w:rsid w:val="005D31EE"/>
    <w:rsid w:val="005D338F"/>
    <w:rsid w:val="005D33DE"/>
    <w:rsid w:val="005D342A"/>
    <w:rsid w:val="005D3659"/>
    <w:rsid w:val="005D366D"/>
    <w:rsid w:val="005D37E1"/>
    <w:rsid w:val="005D3AEC"/>
    <w:rsid w:val="005D3CB7"/>
    <w:rsid w:val="005D3F1B"/>
    <w:rsid w:val="005D3FBB"/>
    <w:rsid w:val="005D4139"/>
    <w:rsid w:val="005D43AB"/>
    <w:rsid w:val="005D450C"/>
    <w:rsid w:val="005D4540"/>
    <w:rsid w:val="005D46FC"/>
    <w:rsid w:val="005D4BE9"/>
    <w:rsid w:val="005D4DE5"/>
    <w:rsid w:val="005D4EBE"/>
    <w:rsid w:val="005D562B"/>
    <w:rsid w:val="005D5672"/>
    <w:rsid w:val="005D57B2"/>
    <w:rsid w:val="005D5853"/>
    <w:rsid w:val="005D586D"/>
    <w:rsid w:val="005D58CF"/>
    <w:rsid w:val="005D593C"/>
    <w:rsid w:val="005D5968"/>
    <w:rsid w:val="005D5ADA"/>
    <w:rsid w:val="005D5BE7"/>
    <w:rsid w:val="005D5C4D"/>
    <w:rsid w:val="005D5DBA"/>
    <w:rsid w:val="005D5ED6"/>
    <w:rsid w:val="005D5FA8"/>
    <w:rsid w:val="005D609F"/>
    <w:rsid w:val="005D60A2"/>
    <w:rsid w:val="005D6102"/>
    <w:rsid w:val="005D621B"/>
    <w:rsid w:val="005D636C"/>
    <w:rsid w:val="005D673E"/>
    <w:rsid w:val="005D6895"/>
    <w:rsid w:val="005D6ACC"/>
    <w:rsid w:val="005D6C1D"/>
    <w:rsid w:val="005D6C50"/>
    <w:rsid w:val="005D6D82"/>
    <w:rsid w:val="005D6DA2"/>
    <w:rsid w:val="005D6DDD"/>
    <w:rsid w:val="005D6DF1"/>
    <w:rsid w:val="005D7083"/>
    <w:rsid w:val="005D7126"/>
    <w:rsid w:val="005D74F7"/>
    <w:rsid w:val="005D76BA"/>
    <w:rsid w:val="005D7786"/>
    <w:rsid w:val="005D7DF3"/>
    <w:rsid w:val="005D7DF8"/>
    <w:rsid w:val="005E009C"/>
    <w:rsid w:val="005E00B5"/>
    <w:rsid w:val="005E0254"/>
    <w:rsid w:val="005E036B"/>
    <w:rsid w:val="005E03E7"/>
    <w:rsid w:val="005E04DF"/>
    <w:rsid w:val="005E04E5"/>
    <w:rsid w:val="005E0556"/>
    <w:rsid w:val="005E07AF"/>
    <w:rsid w:val="005E0897"/>
    <w:rsid w:val="005E0A05"/>
    <w:rsid w:val="005E0A67"/>
    <w:rsid w:val="005E0BBA"/>
    <w:rsid w:val="005E0E48"/>
    <w:rsid w:val="005E0ED7"/>
    <w:rsid w:val="005E1207"/>
    <w:rsid w:val="005E12AB"/>
    <w:rsid w:val="005E133C"/>
    <w:rsid w:val="005E1349"/>
    <w:rsid w:val="005E1456"/>
    <w:rsid w:val="005E1692"/>
    <w:rsid w:val="005E17CA"/>
    <w:rsid w:val="005E1870"/>
    <w:rsid w:val="005E188C"/>
    <w:rsid w:val="005E18BF"/>
    <w:rsid w:val="005E18D1"/>
    <w:rsid w:val="005E19E4"/>
    <w:rsid w:val="005E1D01"/>
    <w:rsid w:val="005E1F4D"/>
    <w:rsid w:val="005E2044"/>
    <w:rsid w:val="005E2082"/>
    <w:rsid w:val="005E286D"/>
    <w:rsid w:val="005E297A"/>
    <w:rsid w:val="005E2994"/>
    <w:rsid w:val="005E2A35"/>
    <w:rsid w:val="005E2AFA"/>
    <w:rsid w:val="005E2B56"/>
    <w:rsid w:val="005E2B8E"/>
    <w:rsid w:val="005E2BF7"/>
    <w:rsid w:val="005E2C24"/>
    <w:rsid w:val="005E2DD8"/>
    <w:rsid w:val="005E2F06"/>
    <w:rsid w:val="005E2F0F"/>
    <w:rsid w:val="005E2FC9"/>
    <w:rsid w:val="005E306E"/>
    <w:rsid w:val="005E350C"/>
    <w:rsid w:val="005E359F"/>
    <w:rsid w:val="005E3811"/>
    <w:rsid w:val="005E38B7"/>
    <w:rsid w:val="005E3F7D"/>
    <w:rsid w:val="005E40CD"/>
    <w:rsid w:val="005E41E1"/>
    <w:rsid w:val="005E4275"/>
    <w:rsid w:val="005E450B"/>
    <w:rsid w:val="005E4649"/>
    <w:rsid w:val="005E49E8"/>
    <w:rsid w:val="005E4A3E"/>
    <w:rsid w:val="005E4A47"/>
    <w:rsid w:val="005E4B10"/>
    <w:rsid w:val="005E4B37"/>
    <w:rsid w:val="005E4C39"/>
    <w:rsid w:val="005E4E86"/>
    <w:rsid w:val="005E5012"/>
    <w:rsid w:val="005E52E3"/>
    <w:rsid w:val="005E55C4"/>
    <w:rsid w:val="005E5600"/>
    <w:rsid w:val="005E5649"/>
    <w:rsid w:val="005E5923"/>
    <w:rsid w:val="005E59AD"/>
    <w:rsid w:val="005E5B4B"/>
    <w:rsid w:val="005E5BE4"/>
    <w:rsid w:val="005E5C7E"/>
    <w:rsid w:val="005E5E3C"/>
    <w:rsid w:val="005E6045"/>
    <w:rsid w:val="005E61EC"/>
    <w:rsid w:val="005E6428"/>
    <w:rsid w:val="005E6590"/>
    <w:rsid w:val="005E6605"/>
    <w:rsid w:val="005E6B3F"/>
    <w:rsid w:val="005E6B5F"/>
    <w:rsid w:val="005E6BA0"/>
    <w:rsid w:val="005E6D0D"/>
    <w:rsid w:val="005E6E18"/>
    <w:rsid w:val="005E6F74"/>
    <w:rsid w:val="005E7022"/>
    <w:rsid w:val="005E7163"/>
    <w:rsid w:val="005E7446"/>
    <w:rsid w:val="005E7558"/>
    <w:rsid w:val="005E7606"/>
    <w:rsid w:val="005E77A8"/>
    <w:rsid w:val="005E77B0"/>
    <w:rsid w:val="005E7868"/>
    <w:rsid w:val="005E7891"/>
    <w:rsid w:val="005E7962"/>
    <w:rsid w:val="005E7A2B"/>
    <w:rsid w:val="005E7A89"/>
    <w:rsid w:val="005E7A8B"/>
    <w:rsid w:val="005E7C8B"/>
    <w:rsid w:val="005E7D00"/>
    <w:rsid w:val="005E7D31"/>
    <w:rsid w:val="005F0357"/>
    <w:rsid w:val="005F05F3"/>
    <w:rsid w:val="005F0663"/>
    <w:rsid w:val="005F066F"/>
    <w:rsid w:val="005F0675"/>
    <w:rsid w:val="005F07AC"/>
    <w:rsid w:val="005F0C14"/>
    <w:rsid w:val="005F0EC2"/>
    <w:rsid w:val="005F0EF0"/>
    <w:rsid w:val="005F0FB1"/>
    <w:rsid w:val="005F127D"/>
    <w:rsid w:val="005F12E1"/>
    <w:rsid w:val="005F14AC"/>
    <w:rsid w:val="005F14D7"/>
    <w:rsid w:val="005F154C"/>
    <w:rsid w:val="005F156E"/>
    <w:rsid w:val="005F1593"/>
    <w:rsid w:val="005F15C9"/>
    <w:rsid w:val="005F17C8"/>
    <w:rsid w:val="005F1824"/>
    <w:rsid w:val="005F1B7C"/>
    <w:rsid w:val="005F1B89"/>
    <w:rsid w:val="005F1C9F"/>
    <w:rsid w:val="005F1EDC"/>
    <w:rsid w:val="005F20BB"/>
    <w:rsid w:val="005F2263"/>
    <w:rsid w:val="005F2530"/>
    <w:rsid w:val="005F2733"/>
    <w:rsid w:val="005F27CC"/>
    <w:rsid w:val="005F2AA1"/>
    <w:rsid w:val="005F2AB8"/>
    <w:rsid w:val="005F2B9B"/>
    <w:rsid w:val="005F2E16"/>
    <w:rsid w:val="005F2E5F"/>
    <w:rsid w:val="005F3350"/>
    <w:rsid w:val="005F3569"/>
    <w:rsid w:val="005F399C"/>
    <w:rsid w:val="005F39D2"/>
    <w:rsid w:val="005F3A6C"/>
    <w:rsid w:val="005F3BEA"/>
    <w:rsid w:val="005F3C1A"/>
    <w:rsid w:val="005F3DA1"/>
    <w:rsid w:val="005F3E84"/>
    <w:rsid w:val="005F3F43"/>
    <w:rsid w:val="005F3F4D"/>
    <w:rsid w:val="005F405E"/>
    <w:rsid w:val="005F4078"/>
    <w:rsid w:val="005F4130"/>
    <w:rsid w:val="005F4149"/>
    <w:rsid w:val="005F41E1"/>
    <w:rsid w:val="005F420A"/>
    <w:rsid w:val="005F4484"/>
    <w:rsid w:val="005F44A1"/>
    <w:rsid w:val="005F4791"/>
    <w:rsid w:val="005F479F"/>
    <w:rsid w:val="005F497C"/>
    <w:rsid w:val="005F4BAF"/>
    <w:rsid w:val="005F4CF7"/>
    <w:rsid w:val="005F4E06"/>
    <w:rsid w:val="005F4FF3"/>
    <w:rsid w:val="005F5010"/>
    <w:rsid w:val="005F524C"/>
    <w:rsid w:val="005F5326"/>
    <w:rsid w:val="005F53A7"/>
    <w:rsid w:val="005F53D8"/>
    <w:rsid w:val="005F5468"/>
    <w:rsid w:val="005F5521"/>
    <w:rsid w:val="005F560E"/>
    <w:rsid w:val="005F5856"/>
    <w:rsid w:val="005F58BE"/>
    <w:rsid w:val="005F594E"/>
    <w:rsid w:val="005F5BD6"/>
    <w:rsid w:val="005F5DBF"/>
    <w:rsid w:val="005F5E8E"/>
    <w:rsid w:val="005F5EC3"/>
    <w:rsid w:val="005F5EFC"/>
    <w:rsid w:val="005F5F99"/>
    <w:rsid w:val="005F5FEF"/>
    <w:rsid w:val="005F614F"/>
    <w:rsid w:val="005F61EC"/>
    <w:rsid w:val="005F6261"/>
    <w:rsid w:val="005F63AF"/>
    <w:rsid w:val="005F6422"/>
    <w:rsid w:val="005F65AA"/>
    <w:rsid w:val="005F66F4"/>
    <w:rsid w:val="005F670B"/>
    <w:rsid w:val="005F6841"/>
    <w:rsid w:val="005F6B48"/>
    <w:rsid w:val="005F6BB6"/>
    <w:rsid w:val="005F6C73"/>
    <w:rsid w:val="005F6CB9"/>
    <w:rsid w:val="005F6CF6"/>
    <w:rsid w:val="005F6F4C"/>
    <w:rsid w:val="005F6FA7"/>
    <w:rsid w:val="005F700E"/>
    <w:rsid w:val="005F718B"/>
    <w:rsid w:val="005F71C8"/>
    <w:rsid w:val="005F7373"/>
    <w:rsid w:val="005F741E"/>
    <w:rsid w:val="005F74E8"/>
    <w:rsid w:val="005F753B"/>
    <w:rsid w:val="005F76C5"/>
    <w:rsid w:val="005F778D"/>
    <w:rsid w:val="005F7995"/>
    <w:rsid w:val="005F79D3"/>
    <w:rsid w:val="005F7A39"/>
    <w:rsid w:val="005F7A76"/>
    <w:rsid w:val="005F7CA5"/>
    <w:rsid w:val="005F7EB0"/>
    <w:rsid w:val="005F7F1E"/>
    <w:rsid w:val="0060008E"/>
    <w:rsid w:val="00600125"/>
    <w:rsid w:val="00600334"/>
    <w:rsid w:val="00600475"/>
    <w:rsid w:val="0060050B"/>
    <w:rsid w:val="00600663"/>
    <w:rsid w:val="00600711"/>
    <w:rsid w:val="0060072A"/>
    <w:rsid w:val="006009AF"/>
    <w:rsid w:val="00600A22"/>
    <w:rsid w:val="00600A88"/>
    <w:rsid w:val="00600BB1"/>
    <w:rsid w:val="00600C67"/>
    <w:rsid w:val="00600CBD"/>
    <w:rsid w:val="00600E20"/>
    <w:rsid w:val="00600F2D"/>
    <w:rsid w:val="00600F8F"/>
    <w:rsid w:val="00600FBE"/>
    <w:rsid w:val="00601141"/>
    <w:rsid w:val="006011D2"/>
    <w:rsid w:val="006011EF"/>
    <w:rsid w:val="006011F1"/>
    <w:rsid w:val="00601208"/>
    <w:rsid w:val="006014F9"/>
    <w:rsid w:val="006014FA"/>
    <w:rsid w:val="00601529"/>
    <w:rsid w:val="00601833"/>
    <w:rsid w:val="0060190E"/>
    <w:rsid w:val="006019B8"/>
    <w:rsid w:val="006019DE"/>
    <w:rsid w:val="00601CDC"/>
    <w:rsid w:val="00601EE2"/>
    <w:rsid w:val="00602108"/>
    <w:rsid w:val="0060210F"/>
    <w:rsid w:val="006022B9"/>
    <w:rsid w:val="006022F8"/>
    <w:rsid w:val="00602475"/>
    <w:rsid w:val="0060254A"/>
    <w:rsid w:val="0060273E"/>
    <w:rsid w:val="00602784"/>
    <w:rsid w:val="00602849"/>
    <w:rsid w:val="0060285B"/>
    <w:rsid w:val="00602868"/>
    <w:rsid w:val="0060297A"/>
    <w:rsid w:val="006029ED"/>
    <w:rsid w:val="00602F0B"/>
    <w:rsid w:val="00603152"/>
    <w:rsid w:val="0060316B"/>
    <w:rsid w:val="006031FC"/>
    <w:rsid w:val="006032B6"/>
    <w:rsid w:val="006032D2"/>
    <w:rsid w:val="006032E9"/>
    <w:rsid w:val="0060334D"/>
    <w:rsid w:val="00603496"/>
    <w:rsid w:val="006034B1"/>
    <w:rsid w:val="0060393C"/>
    <w:rsid w:val="006039BB"/>
    <w:rsid w:val="00603AA5"/>
    <w:rsid w:val="00603C5C"/>
    <w:rsid w:val="00603D33"/>
    <w:rsid w:val="00603E09"/>
    <w:rsid w:val="00603F00"/>
    <w:rsid w:val="00603F06"/>
    <w:rsid w:val="006040D4"/>
    <w:rsid w:val="006040F2"/>
    <w:rsid w:val="006041BE"/>
    <w:rsid w:val="006041C4"/>
    <w:rsid w:val="006041EE"/>
    <w:rsid w:val="00604484"/>
    <w:rsid w:val="006045F5"/>
    <w:rsid w:val="006047AE"/>
    <w:rsid w:val="00604877"/>
    <w:rsid w:val="00604A47"/>
    <w:rsid w:val="00604B50"/>
    <w:rsid w:val="00604C6A"/>
    <w:rsid w:val="00604DA7"/>
    <w:rsid w:val="00604DBF"/>
    <w:rsid w:val="00604DF9"/>
    <w:rsid w:val="00604E99"/>
    <w:rsid w:val="00604EC8"/>
    <w:rsid w:val="00604ECE"/>
    <w:rsid w:val="00604F0A"/>
    <w:rsid w:val="00604F83"/>
    <w:rsid w:val="00604FA4"/>
    <w:rsid w:val="00605150"/>
    <w:rsid w:val="006051A6"/>
    <w:rsid w:val="0060527B"/>
    <w:rsid w:val="006052E4"/>
    <w:rsid w:val="0060545F"/>
    <w:rsid w:val="006056CA"/>
    <w:rsid w:val="00605B0B"/>
    <w:rsid w:val="00605C0A"/>
    <w:rsid w:val="00605C42"/>
    <w:rsid w:val="00605C44"/>
    <w:rsid w:val="00605C86"/>
    <w:rsid w:val="00605CBF"/>
    <w:rsid w:val="00605D78"/>
    <w:rsid w:val="00605EB9"/>
    <w:rsid w:val="00605F47"/>
    <w:rsid w:val="00605F81"/>
    <w:rsid w:val="00605FD1"/>
    <w:rsid w:val="006062B7"/>
    <w:rsid w:val="006063BE"/>
    <w:rsid w:val="0060640B"/>
    <w:rsid w:val="0060642A"/>
    <w:rsid w:val="00606529"/>
    <w:rsid w:val="00606640"/>
    <w:rsid w:val="006068E1"/>
    <w:rsid w:val="006069B7"/>
    <w:rsid w:val="00606A30"/>
    <w:rsid w:val="00606C87"/>
    <w:rsid w:val="00606E3D"/>
    <w:rsid w:val="00606F69"/>
    <w:rsid w:val="00606F6D"/>
    <w:rsid w:val="00607026"/>
    <w:rsid w:val="006070CF"/>
    <w:rsid w:val="006072CC"/>
    <w:rsid w:val="006072ED"/>
    <w:rsid w:val="00607338"/>
    <w:rsid w:val="00607772"/>
    <w:rsid w:val="006077B8"/>
    <w:rsid w:val="00607868"/>
    <w:rsid w:val="006078C3"/>
    <w:rsid w:val="006078E9"/>
    <w:rsid w:val="00607901"/>
    <w:rsid w:val="006079FC"/>
    <w:rsid w:val="00607C91"/>
    <w:rsid w:val="006100F1"/>
    <w:rsid w:val="00610107"/>
    <w:rsid w:val="0061012C"/>
    <w:rsid w:val="006101AF"/>
    <w:rsid w:val="006101FF"/>
    <w:rsid w:val="006102AE"/>
    <w:rsid w:val="0061030B"/>
    <w:rsid w:val="006104D7"/>
    <w:rsid w:val="006105CF"/>
    <w:rsid w:val="00610642"/>
    <w:rsid w:val="00610714"/>
    <w:rsid w:val="0061099A"/>
    <w:rsid w:val="00610A3A"/>
    <w:rsid w:val="00610E77"/>
    <w:rsid w:val="00610FF8"/>
    <w:rsid w:val="0061104C"/>
    <w:rsid w:val="0061111C"/>
    <w:rsid w:val="0061140A"/>
    <w:rsid w:val="00611443"/>
    <w:rsid w:val="006116C8"/>
    <w:rsid w:val="00611BFA"/>
    <w:rsid w:val="00611CFA"/>
    <w:rsid w:val="00611E33"/>
    <w:rsid w:val="00611E9D"/>
    <w:rsid w:val="00612239"/>
    <w:rsid w:val="00612622"/>
    <w:rsid w:val="00612711"/>
    <w:rsid w:val="00612774"/>
    <w:rsid w:val="006128C0"/>
    <w:rsid w:val="0061298C"/>
    <w:rsid w:val="00612A9F"/>
    <w:rsid w:val="00612AB3"/>
    <w:rsid w:val="00612ADB"/>
    <w:rsid w:val="00612B55"/>
    <w:rsid w:val="00612D15"/>
    <w:rsid w:val="00612DDB"/>
    <w:rsid w:val="00612E95"/>
    <w:rsid w:val="00612EE7"/>
    <w:rsid w:val="00612F4C"/>
    <w:rsid w:val="006130A2"/>
    <w:rsid w:val="00613151"/>
    <w:rsid w:val="006131C9"/>
    <w:rsid w:val="00613221"/>
    <w:rsid w:val="006132C8"/>
    <w:rsid w:val="00613396"/>
    <w:rsid w:val="00613418"/>
    <w:rsid w:val="0061348C"/>
    <w:rsid w:val="00613549"/>
    <w:rsid w:val="00613756"/>
    <w:rsid w:val="006137D9"/>
    <w:rsid w:val="00613919"/>
    <w:rsid w:val="00613992"/>
    <w:rsid w:val="00613BCD"/>
    <w:rsid w:val="00613C78"/>
    <w:rsid w:val="00613D3C"/>
    <w:rsid w:val="00613D4E"/>
    <w:rsid w:val="00613E67"/>
    <w:rsid w:val="00613E9D"/>
    <w:rsid w:val="00614066"/>
    <w:rsid w:val="00614274"/>
    <w:rsid w:val="0061430A"/>
    <w:rsid w:val="0061434E"/>
    <w:rsid w:val="00614441"/>
    <w:rsid w:val="00614502"/>
    <w:rsid w:val="00614711"/>
    <w:rsid w:val="00614894"/>
    <w:rsid w:val="006148A0"/>
    <w:rsid w:val="006148B3"/>
    <w:rsid w:val="00614B70"/>
    <w:rsid w:val="00614BB8"/>
    <w:rsid w:val="00614C9A"/>
    <w:rsid w:val="00614CA9"/>
    <w:rsid w:val="00614CCF"/>
    <w:rsid w:val="00614CE2"/>
    <w:rsid w:val="00614EA0"/>
    <w:rsid w:val="00614F04"/>
    <w:rsid w:val="00614F27"/>
    <w:rsid w:val="00614F2C"/>
    <w:rsid w:val="00615074"/>
    <w:rsid w:val="00615258"/>
    <w:rsid w:val="0061534A"/>
    <w:rsid w:val="0061564A"/>
    <w:rsid w:val="00615693"/>
    <w:rsid w:val="0061570E"/>
    <w:rsid w:val="0061589E"/>
    <w:rsid w:val="00615A05"/>
    <w:rsid w:val="00615B58"/>
    <w:rsid w:val="00615C32"/>
    <w:rsid w:val="00615D0A"/>
    <w:rsid w:val="00615F5F"/>
    <w:rsid w:val="00615FFD"/>
    <w:rsid w:val="0061602F"/>
    <w:rsid w:val="006161C0"/>
    <w:rsid w:val="006162A3"/>
    <w:rsid w:val="00616393"/>
    <w:rsid w:val="00616502"/>
    <w:rsid w:val="00616586"/>
    <w:rsid w:val="00616707"/>
    <w:rsid w:val="00616712"/>
    <w:rsid w:val="0061671D"/>
    <w:rsid w:val="006167A2"/>
    <w:rsid w:val="006167E0"/>
    <w:rsid w:val="0061680F"/>
    <w:rsid w:val="0061682B"/>
    <w:rsid w:val="00616848"/>
    <w:rsid w:val="00616B88"/>
    <w:rsid w:val="00616C0F"/>
    <w:rsid w:val="00616C27"/>
    <w:rsid w:val="00616C62"/>
    <w:rsid w:val="00616CC2"/>
    <w:rsid w:val="00616DDE"/>
    <w:rsid w:val="00616E95"/>
    <w:rsid w:val="00616FCD"/>
    <w:rsid w:val="0061712E"/>
    <w:rsid w:val="0061714F"/>
    <w:rsid w:val="00617182"/>
    <w:rsid w:val="0061719D"/>
    <w:rsid w:val="00617245"/>
    <w:rsid w:val="0061730B"/>
    <w:rsid w:val="0061735F"/>
    <w:rsid w:val="006173ED"/>
    <w:rsid w:val="0061749E"/>
    <w:rsid w:val="006174FF"/>
    <w:rsid w:val="00617645"/>
    <w:rsid w:val="00617853"/>
    <w:rsid w:val="006178F7"/>
    <w:rsid w:val="0061797F"/>
    <w:rsid w:val="00617BC0"/>
    <w:rsid w:val="00617C55"/>
    <w:rsid w:val="00617EDD"/>
    <w:rsid w:val="00620079"/>
    <w:rsid w:val="006203AA"/>
    <w:rsid w:val="0062052D"/>
    <w:rsid w:val="00620805"/>
    <w:rsid w:val="00620881"/>
    <w:rsid w:val="00620AE0"/>
    <w:rsid w:val="00620B32"/>
    <w:rsid w:val="00620BEF"/>
    <w:rsid w:val="00620D3D"/>
    <w:rsid w:val="006210D4"/>
    <w:rsid w:val="00621218"/>
    <w:rsid w:val="0062123B"/>
    <w:rsid w:val="0062124C"/>
    <w:rsid w:val="006212E3"/>
    <w:rsid w:val="00621391"/>
    <w:rsid w:val="0062161F"/>
    <w:rsid w:val="00621661"/>
    <w:rsid w:val="00621AD5"/>
    <w:rsid w:val="00621BD1"/>
    <w:rsid w:val="00621DD3"/>
    <w:rsid w:val="00621DEA"/>
    <w:rsid w:val="006220DA"/>
    <w:rsid w:val="00622213"/>
    <w:rsid w:val="00622302"/>
    <w:rsid w:val="00622541"/>
    <w:rsid w:val="00622664"/>
    <w:rsid w:val="00622731"/>
    <w:rsid w:val="006227CA"/>
    <w:rsid w:val="006229C1"/>
    <w:rsid w:val="006229DB"/>
    <w:rsid w:val="00622BE0"/>
    <w:rsid w:val="00622DEB"/>
    <w:rsid w:val="00622EF4"/>
    <w:rsid w:val="006231F1"/>
    <w:rsid w:val="006232CA"/>
    <w:rsid w:val="006232E1"/>
    <w:rsid w:val="006232F3"/>
    <w:rsid w:val="0062331D"/>
    <w:rsid w:val="006234AD"/>
    <w:rsid w:val="00623541"/>
    <w:rsid w:val="006235E1"/>
    <w:rsid w:val="006238B3"/>
    <w:rsid w:val="00623A5B"/>
    <w:rsid w:val="00623AF4"/>
    <w:rsid w:val="00623B3C"/>
    <w:rsid w:val="00623BA7"/>
    <w:rsid w:val="00623CFC"/>
    <w:rsid w:val="00623D2C"/>
    <w:rsid w:val="00623D6C"/>
    <w:rsid w:val="00623E16"/>
    <w:rsid w:val="00623E19"/>
    <w:rsid w:val="00623F24"/>
    <w:rsid w:val="00623FEC"/>
    <w:rsid w:val="00624194"/>
    <w:rsid w:val="00624224"/>
    <w:rsid w:val="006242E6"/>
    <w:rsid w:val="006243B1"/>
    <w:rsid w:val="006244BB"/>
    <w:rsid w:val="006245F6"/>
    <w:rsid w:val="006247A2"/>
    <w:rsid w:val="006249E2"/>
    <w:rsid w:val="00624AD5"/>
    <w:rsid w:val="00624BEA"/>
    <w:rsid w:val="00624CF2"/>
    <w:rsid w:val="00624E62"/>
    <w:rsid w:val="00624FB3"/>
    <w:rsid w:val="00625015"/>
    <w:rsid w:val="00625215"/>
    <w:rsid w:val="0062553A"/>
    <w:rsid w:val="006255C6"/>
    <w:rsid w:val="00625689"/>
    <w:rsid w:val="006256A1"/>
    <w:rsid w:val="006256E6"/>
    <w:rsid w:val="006257CD"/>
    <w:rsid w:val="00625873"/>
    <w:rsid w:val="00625875"/>
    <w:rsid w:val="006258B3"/>
    <w:rsid w:val="00625934"/>
    <w:rsid w:val="0062593B"/>
    <w:rsid w:val="00625958"/>
    <w:rsid w:val="00625962"/>
    <w:rsid w:val="00625A27"/>
    <w:rsid w:val="00625B06"/>
    <w:rsid w:val="00625B2F"/>
    <w:rsid w:val="00625C0A"/>
    <w:rsid w:val="00625C62"/>
    <w:rsid w:val="00625CDF"/>
    <w:rsid w:val="00625CFF"/>
    <w:rsid w:val="00625D96"/>
    <w:rsid w:val="00625E37"/>
    <w:rsid w:val="00625EC2"/>
    <w:rsid w:val="00626012"/>
    <w:rsid w:val="0062605B"/>
    <w:rsid w:val="006260CE"/>
    <w:rsid w:val="00626104"/>
    <w:rsid w:val="00626125"/>
    <w:rsid w:val="00626197"/>
    <w:rsid w:val="006261AB"/>
    <w:rsid w:val="0062662F"/>
    <w:rsid w:val="0062679E"/>
    <w:rsid w:val="0062685D"/>
    <w:rsid w:val="006268B0"/>
    <w:rsid w:val="006269A2"/>
    <w:rsid w:val="00626A9B"/>
    <w:rsid w:val="00626BF9"/>
    <w:rsid w:val="00626C13"/>
    <w:rsid w:val="00626D70"/>
    <w:rsid w:val="00626E33"/>
    <w:rsid w:val="00626ED7"/>
    <w:rsid w:val="00626F0B"/>
    <w:rsid w:val="00626FFA"/>
    <w:rsid w:val="0062704B"/>
    <w:rsid w:val="00627071"/>
    <w:rsid w:val="006271AD"/>
    <w:rsid w:val="0062738D"/>
    <w:rsid w:val="006273F3"/>
    <w:rsid w:val="006274E3"/>
    <w:rsid w:val="00627623"/>
    <w:rsid w:val="00627862"/>
    <w:rsid w:val="006278AB"/>
    <w:rsid w:val="00627A48"/>
    <w:rsid w:val="00627AF6"/>
    <w:rsid w:val="00627BAD"/>
    <w:rsid w:val="00627F45"/>
    <w:rsid w:val="00630494"/>
    <w:rsid w:val="00630515"/>
    <w:rsid w:val="0063053C"/>
    <w:rsid w:val="00630855"/>
    <w:rsid w:val="006308F7"/>
    <w:rsid w:val="00630ACA"/>
    <w:rsid w:val="00630E24"/>
    <w:rsid w:val="00630EE1"/>
    <w:rsid w:val="006310F9"/>
    <w:rsid w:val="00631136"/>
    <w:rsid w:val="006315EE"/>
    <w:rsid w:val="006317AE"/>
    <w:rsid w:val="00631B48"/>
    <w:rsid w:val="00631B7C"/>
    <w:rsid w:val="00631D98"/>
    <w:rsid w:val="00631E2B"/>
    <w:rsid w:val="00631EBD"/>
    <w:rsid w:val="00631EEA"/>
    <w:rsid w:val="00631FA8"/>
    <w:rsid w:val="00632141"/>
    <w:rsid w:val="00632306"/>
    <w:rsid w:val="00632437"/>
    <w:rsid w:val="006325B1"/>
    <w:rsid w:val="00632709"/>
    <w:rsid w:val="006327A1"/>
    <w:rsid w:val="00632802"/>
    <w:rsid w:val="0063287F"/>
    <w:rsid w:val="006328F0"/>
    <w:rsid w:val="00632A6D"/>
    <w:rsid w:val="00632B2D"/>
    <w:rsid w:val="006330B1"/>
    <w:rsid w:val="006333C1"/>
    <w:rsid w:val="00633700"/>
    <w:rsid w:val="00633708"/>
    <w:rsid w:val="00633907"/>
    <w:rsid w:val="00633C41"/>
    <w:rsid w:val="00633C7C"/>
    <w:rsid w:val="00633C9B"/>
    <w:rsid w:val="00633E0A"/>
    <w:rsid w:val="00633E2A"/>
    <w:rsid w:val="00633ED1"/>
    <w:rsid w:val="00633EF0"/>
    <w:rsid w:val="00633FAE"/>
    <w:rsid w:val="0063400E"/>
    <w:rsid w:val="006340EC"/>
    <w:rsid w:val="0063410C"/>
    <w:rsid w:val="00634121"/>
    <w:rsid w:val="00634552"/>
    <w:rsid w:val="0063461C"/>
    <w:rsid w:val="006347B9"/>
    <w:rsid w:val="00634856"/>
    <w:rsid w:val="00634956"/>
    <w:rsid w:val="00634BB5"/>
    <w:rsid w:val="00634DD2"/>
    <w:rsid w:val="00635079"/>
    <w:rsid w:val="006350A1"/>
    <w:rsid w:val="00635100"/>
    <w:rsid w:val="0063530B"/>
    <w:rsid w:val="006354E0"/>
    <w:rsid w:val="0063557C"/>
    <w:rsid w:val="006357DC"/>
    <w:rsid w:val="006357F4"/>
    <w:rsid w:val="00635886"/>
    <w:rsid w:val="00635996"/>
    <w:rsid w:val="00635A58"/>
    <w:rsid w:val="00635B24"/>
    <w:rsid w:val="00635D3B"/>
    <w:rsid w:val="00635FCE"/>
    <w:rsid w:val="00636059"/>
    <w:rsid w:val="0063618E"/>
    <w:rsid w:val="00636292"/>
    <w:rsid w:val="00636432"/>
    <w:rsid w:val="00636672"/>
    <w:rsid w:val="006368D5"/>
    <w:rsid w:val="00636999"/>
    <w:rsid w:val="006369AB"/>
    <w:rsid w:val="00636A3D"/>
    <w:rsid w:val="00636B0F"/>
    <w:rsid w:val="00636BA1"/>
    <w:rsid w:val="00636D33"/>
    <w:rsid w:val="00636EBE"/>
    <w:rsid w:val="00636F80"/>
    <w:rsid w:val="00636FFF"/>
    <w:rsid w:val="00637005"/>
    <w:rsid w:val="0063702A"/>
    <w:rsid w:val="006370A7"/>
    <w:rsid w:val="006371E7"/>
    <w:rsid w:val="00637205"/>
    <w:rsid w:val="00637222"/>
    <w:rsid w:val="00637259"/>
    <w:rsid w:val="006372DA"/>
    <w:rsid w:val="006375DC"/>
    <w:rsid w:val="006375FA"/>
    <w:rsid w:val="00637647"/>
    <w:rsid w:val="00637919"/>
    <w:rsid w:val="00637A00"/>
    <w:rsid w:val="00637A32"/>
    <w:rsid w:val="00637B42"/>
    <w:rsid w:val="00637C0F"/>
    <w:rsid w:val="00637E06"/>
    <w:rsid w:val="006400F9"/>
    <w:rsid w:val="0064010F"/>
    <w:rsid w:val="006402EF"/>
    <w:rsid w:val="006403BC"/>
    <w:rsid w:val="006403E6"/>
    <w:rsid w:val="0064056E"/>
    <w:rsid w:val="006405CE"/>
    <w:rsid w:val="0064063C"/>
    <w:rsid w:val="00640855"/>
    <w:rsid w:val="006409A7"/>
    <w:rsid w:val="00640A58"/>
    <w:rsid w:val="00640C0A"/>
    <w:rsid w:val="00640C2B"/>
    <w:rsid w:val="00640C6F"/>
    <w:rsid w:val="00640E2E"/>
    <w:rsid w:val="00640F58"/>
    <w:rsid w:val="00640FA9"/>
    <w:rsid w:val="00641030"/>
    <w:rsid w:val="0064110A"/>
    <w:rsid w:val="0064131A"/>
    <w:rsid w:val="00641369"/>
    <w:rsid w:val="006413AD"/>
    <w:rsid w:val="0064143C"/>
    <w:rsid w:val="00641887"/>
    <w:rsid w:val="0064191A"/>
    <w:rsid w:val="00641AC1"/>
    <w:rsid w:val="00641B06"/>
    <w:rsid w:val="00641B36"/>
    <w:rsid w:val="00641BBA"/>
    <w:rsid w:val="00641D2A"/>
    <w:rsid w:val="00641D73"/>
    <w:rsid w:val="00641DF4"/>
    <w:rsid w:val="00641F16"/>
    <w:rsid w:val="006421C9"/>
    <w:rsid w:val="00642383"/>
    <w:rsid w:val="006423BB"/>
    <w:rsid w:val="006423E1"/>
    <w:rsid w:val="00642466"/>
    <w:rsid w:val="00642920"/>
    <w:rsid w:val="00642936"/>
    <w:rsid w:val="00642B25"/>
    <w:rsid w:val="00642CBD"/>
    <w:rsid w:val="00642D18"/>
    <w:rsid w:val="00642D81"/>
    <w:rsid w:val="00642EC1"/>
    <w:rsid w:val="00642FE3"/>
    <w:rsid w:val="00643199"/>
    <w:rsid w:val="006431E8"/>
    <w:rsid w:val="00643301"/>
    <w:rsid w:val="006433D8"/>
    <w:rsid w:val="006434F2"/>
    <w:rsid w:val="00643568"/>
    <w:rsid w:val="0064377E"/>
    <w:rsid w:val="00643969"/>
    <w:rsid w:val="00643A84"/>
    <w:rsid w:val="00643BCB"/>
    <w:rsid w:val="00643C57"/>
    <w:rsid w:val="00643E7E"/>
    <w:rsid w:val="00643F2B"/>
    <w:rsid w:val="00643F5C"/>
    <w:rsid w:val="0064405F"/>
    <w:rsid w:val="00644078"/>
    <w:rsid w:val="006440D4"/>
    <w:rsid w:val="0064428C"/>
    <w:rsid w:val="006443D2"/>
    <w:rsid w:val="00644436"/>
    <w:rsid w:val="006444A9"/>
    <w:rsid w:val="00644625"/>
    <w:rsid w:val="006447A0"/>
    <w:rsid w:val="006448B6"/>
    <w:rsid w:val="00644DF3"/>
    <w:rsid w:val="00644E8E"/>
    <w:rsid w:val="0064505B"/>
    <w:rsid w:val="00645078"/>
    <w:rsid w:val="006450C0"/>
    <w:rsid w:val="0064556D"/>
    <w:rsid w:val="0064562B"/>
    <w:rsid w:val="0064568C"/>
    <w:rsid w:val="006458D8"/>
    <w:rsid w:val="00645BCF"/>
    <w:rsid w:val="00645BD1"/>
    <w:rsid w:val="00645D7A"/>
    <w:rsid w:val="00645E2A"/>
    <w:rsid w:val="006462C1"/>
    <w:rsid w:val="00646337"/>
    <w:rsid w:val="00646442"/>
    <w:rsid w:val="00646462"/>
    <w:rsid w:val="006464A8"/>
    <w:rsid w:val="006464F5"/>
    <w:rsid w:val="00646709"/>
    <w:rsid w:val="006468E2"/>
    <w:rsid w:val="006469AC"/>
    <w:rsid w:val="00646B06"/>
    <w:rsid w:val="00646B1F"/>
    <w:rsid w:val="00646B4B"/>
    <w:rsid w:val="00646CB7"/>
    <w:rsid w:val="00646D8F"/>
    <w:rsid w:val="00646D92"/>
    <w:rsid w:val="00646DB8"/>
    <w:rsid w:val="00646E2D"/>
    <w:rsid w:val="00646F0D"/>
    <w:rsid w:val="006470FA"/>
    <w:rsid w:val="006471CD"/>
    <w:rsid w:val="0064720B"/>
    <w:rsid w:val="00647324"/>
    <w:rsid w:val="00647364"/>
    <w:rsid w:val="00647444"/>
    <w:rsid w:val="00647480"/>
    <w:rsid w:val="006474EF"/>
    <w:rsid w:val="006479CE"/>
    <w:rsid w:val="00647A8A"/>
    <w:rsid w:val="00647B9E"/>
    <w:rsid w:val="006500CF"/>
    <w:rsid w:val="0065015F"/>
    <w:rsid w:val="0065033F"/>
    <w:rsid w:val="00650342"/>
    <w:rsid w:val="006505A4"/>
    <w:rsid w:val="0065068B"/>
    <w:rsid w:val="0065084B"/>
    <w:rsid w:val="0065097F"/>
    <w:rsid w:val="00650987"/>
    <w:rsid w:val="00650A21"/>
    <w:rsid w:val="00650C02"/>
    <w:rsid w:val="00650F72"/>
    <w:rsid w:val="00650FB7"/>
    <w:rsid w:val="00651047"/>
    <w:rsid w:val="0065110F"/>
    <w:rsid w:val="00651361"/>
    <w:rsid w:val="00651508"/>
    <w:rsid w:val="006516CE"/>
    <w:rsid w:val="00651718"/>
    <w:rsid w:val="00651723"/>
    <w:rsid w:val="0065186F"/>
    <w:rsid w:val="00651884"/>
    <w:rsid w:val="006519AD"/>
    <w:rsid w:val="00651AF6"/>
    <w:rsid w:val="00651CA3"/>
    <w:rsid w:val="00651E57"/>
    <w:rsid w:val="00651F09"/>
    <w:rsid w:val="00651F59"/>
    <w:rsid w:val="00651FDE"/>
    <w:rsid w:val="00651FE1"/>
    <w:rsid w:val="006520C5"/>
    <w:rsid w:val="006524A3"/>
    <w:rsid w:val="006524A5"/>
    <w:rsid w:val="00652511"/>
    <w:rsid w:val="006528C5"/>
    <w:rsid w:val="00652923"/>
    <w:rsid w:val="00652A01"/>
    <w:rsid w:val="00652A7E"/>
    <w:rsid w:val="00652A80"/>
    <w:rsid w:val="00652A81"/>
    <w:rsid w:val="00652A8D"/>
    <w:rsid w:val="00652BA5"/>
    <w:rsid w:val="00652C1D"/>
    <w:rsid w:val="00652D87"/>
    <w:rsid w:val="00652F94"/>
    <w:rsid w:val="00652FED"/>
    <w:rsid w:val="0065315F"/>
    <w:rsid w:val="00653248"/>
    <w:rsid w:val="00653256"/>
    <w:rsid w:val="00653381"/>
    <w:rsid w:val="00653472"/>
    <w:rsid w:val="0065352E"/>
    <w:rsid w:val="006536C2"/>
    <w:rsid w:val="0065389E"/>
    <w:rsid w:val="006538C5"/>
    <w:rsid w:val="006539D4"/>
    <w:rsid w:val="006539F4"/>
    <w:rsid w:val="00653A95"/>
    <w:rsid w:val="00653D7D"/>
    <w:rsid w:val="00653D8E"/>
    <w:rsid w:val="00653F8A"/>
    <w:rsid w:val="00653F97"/>
    <w:rsid w:val="00654656"/>
    <w:rsid w:val="0065479C"/>
    <w:rsid w:val="006547D3"/>
    <w:rsid w:val="00654852"/>
    <w:rsid w:val="006548C9"/>
    <w:rsid w:val="0065496A"/>
    <w:rsid w:val="00654BD9"/>
    <w:rsid w:val="00654C7F"/>
    <w:rsid w:val="00654CDF"/>
    <w:rsid w:val="0065505D"/>
    <w:rsid w:val="006551C3"/>
    <w:rsid w:val="0065560C"/>
    <w:rsid w:val="0065573E"/>
    <w:rsid w:val="0065578E"/>
    <w:rsid w:val="0065581C"/>
    <w:rsid w:val="00655822"/>
    <w:rsid w:val="00655934"/>
    <w:rsid w:val="00655939"/>
    <w:rsid w:val="0065599E"/>
    <w:rsid w:val="00655B64"/>
    <w:rsid w:val="00655C1E"/>
    <w:rsid w:val="00655C7E"/>
    <w:rsid w:val="00655CDE"/>
    <w:rsid w:val="00655CF6"/>
    <w:rsid w:val="00655DCB"/>
    <w:rsid w:val="00655E62"/>
    <w:rsid w:val="00655F13"/>
    <w:rsid w:val="00656003"/>
    <w:rsid w:val="00656171"/>
    <w:rsid w:val="006563AC"/>
    <w:rsid w:val="0065641E"/>
    <w:rsid w:val="0065662C"/>
    <w:rsid w:val="0065669C"/>
    <w:rsid w:val="006566EE"/>
    <w:rsid w:val="006567A9"/>
    <w:rsid w:val="006568B2"/>
    <w:rsid w:val="00656950"/>
    <w:rsid w:val="0065695B"/>
    <w:rsid w:val="006569F7"/>
    <w:rsid w:val="00656A6B"/>
    <w:rsid w:val="00656DCC"/>
    <w:rsid w:val="00656F81"/>
    <w:rsid w:val="006571A5"/>
    <w:rsid w:val="00657227"/>
    <w:rsid w:val="0065738E"/>
    <w:rsid w:val="006574E0"/>
    <w:rsid w:val="006575A3"/>
    <w:rsid w:val="0065768C"/>
    <w:rsid w:val="00657772"/>
    <w:rsid w:val="006578EA"/>
    <w:rsid w:val="00657ADD"/>
    <w:rsid w:val="00657CB2"/>
    <w:rsid w:val="00657CE9"/>
    <w:rsid w:val="00660081"/>
    <w:rsid w:val="00660123"/>
    <w:rsid w:val="0066027F"/>
    <w:rsid w:val="00660294"/>
    <w:rsid w:val="006603D6"/>
    <w:rsid w:val="006605CA"/>
    <w:rsid w:val="00660681"/>
    <w:rsid w:val="00660702"/>
    <w:rsid w:val="00660A3F"/>
    <w:rsid w:val="00660A87"/>
    <w:rsid w:val="00660B97"/>
    <w:rsid w:val="00660F13"/>
    <w:rsid w:val="0066123D"/>
    <w:rsid w:val="006612D6"/>
    <w:rsid w:val="0066142A"/>
    <w:rsid w:val="00661497"/>
    <w:rsid w:val="0066154B"/>
    <w:rsid w:val="00661773"/>
    <w:rsid w:val="00661810"/>
    <w:rsid w:val="00661880"/>
    <w:rsid w:val="00661C22"/>
    <w:rsid w:val="00661D98"/>
    <w:rsid w:val="00661EA3"/>
    <w:rsid w:val="00662383"/>
    <w:rsid w:val="00662394"/>
    <w:rsid w:val="006623A8"/>
    <w:rsid w:val="006625D9"/>
    <w:rsid w:val="0066268E"/>
    <w:rsid w:val="00662939"/>
    <w:rsid w:val="00662976"/>
    <w:rsid w:val="00662A1D"/>
    <w:rsid w:val="00662A7C"/>
    <w:rsid w:val="00662AF3"/>
    <w:rsid w:val="00662B37"/>
    <w:rsid w:val="00662B50"/>
    <w:rsid w:val="00662CEC"/>
    <w:rsid w:val="00662D0D"/>
    <w:rsid w:val="00662E79"/>
    <w:rsid w:val="00662F60"/>
    <w:rsid w:val="0066310D"/>
    <w:rsid w:val="006633FC"/>
    <w:rsid w:val="00663443"/>
    <w:rsid w:val="00663557"/>
    <w:rsid w:val="00663666"/>
    <w:rsid w:val="00663974"/>
    <w:rsid w:val="00663ACE"/>
    <w:rsid w:val="00663B90"/>
    <w:rsid w:val="00663BC6"/>
    <w:rsid w:val="00663E1A"/>
    <w:rsid w:val="00663E5A"/>
    <w:rsid w:val="00663EBD"/>
    <w:rsid w:val="006640C7"/>
    <w:rsid w:val="006640D6"/>
    <w:rsid w:val="00664375"/>
    <w:rsid w:val="00664391"/>
    <w:rsid w:val="006645A7"/>
    <w:rsid w:val="006645C3"/>
    <w:rsid w:val="00664602"/>
    <w:rsid w:val="0066469A"/>
    <w:rsid w:val="006647B1"/>
    <w:rsid w:val="00664941"/>
    <w:rsid w:val="00664A4E"/>
    <w:rsid w:val="00664A80"/>
    <w:rsid w:val="00664D7A"/>
    <w:rsid w:val="00664F48"/>
    <w:rsid w:val="0066518F"/>
    <w:rsid w:val="00665211"/>
    <w:rsid w:val="0066543D"/>
    <w:rsid w:val="00665476"/>
    <w:rsid w:val="00665522"/>
    <w:rsid w:val="00665584"/>
    <w:rsid w:val="006657D5"/>
    <w:rsid w:val="0066584A"/>
    <w:rsid w:val="00665A71"/>
    <w:rsid w:val="00665A9C"/>
    <w:rsid w:val="00665AD9"/>
    <w:rsid w:val="00665D4D"/>
    <w:rsid w:val="00665D7B"/>
    <w:rsid w:val="00665E04"/>
    <w:rsid w:val="00665EC0"/>
    <w:rsid w:val="006661E1"/>
    <w:rsid w:val="00666235"/>
    <w:rsid w:val="00666296"/>
    <w:rsid w:val="00666408"/>
    <w:rsid w:val="0066651C"/>
    <w:rsid w:val="006666AF"/>
    <w:rsid w:val="006667B5"/>
    <w:rsid w:val="0066695F"/>
    <w:rsid w:val="006669A0"/>
    <w:rsid w:val="00666A5F"/>
    <w:rsid w:val="00666C15"/>
    <w:rsid w:val="00666CDE"/>
    <w:rsid w:val="0066713D"/>
    <w:rsid w:val="00667298"/>
    <w:rsid w:val="0066740C"/>
    <w:rsid w:val="00667481"/>
    <w:rsid w:val="006675FF"/>
    <w:rsid w:val="006677B5"/>
    <w:rsid w:val="00667BCF"/>
    <w:rsid w:val="00667C77"/>
    <w:rsid w:val="00667CB6"/>
    <w:rsid w:val="00667D71"/>
    <w:rsid w:val="00667D85"/>
    <w:rsid w:val="00670382"/>
    <w:rsid w:val="00670587"/>
    <w:rsid w:val="00670613"/>
    <w:rsid w:val="0067069E"/>
    <w:rsid w:val="006707FC"/>
    <w:rsid w:val="006709E8"/>
    <w:rsid w:val="00670A7A"/>
    <w:rsid w:val="00670C8F"/>
    <w:rsid w:val="00670CE0"/>
    <w:rsid w:val="00670E3D"/>
    <w:rsid w:val="00670EA1"/>
    <w:rsid w:val="00670EC7"/>
    <w:rsid w:val="006711EC"/>
    <w:rsid w:val="00671305"/>
    <w:rsid w:val="00671580"/>
    <w:rsid w:val="00671632"/>
    <w:rsid w:val="00671B81"/>
    <w:rsid w:val="00671B91"/>
    <w:rsid w:val="00671BCB"/>
    <w:rsid w:val="00671E30"/>
    <w:rsid w:val="00672062"/>
    <w:rsid w:val="00672173"/>
    <w:rsid w:val="00672440"/>
    <w:rsid w:val="00672C0B"/>
    <w:rsid w:val="00672C86"/>
    <w:rsid w:val="00672CB1"/>
    <w:rsid w:val="00672CF9"/>
    <w:rsid w:val="00672DE5"/>
    <w:rsid w:val="00672E07"/>
    <w:rsid w:val="00672E8A"/>
    <w:rsid w:val="006730F0"/>
    <w:rsid w:val="00673196"/>
    <w:rsid w:val="006731BB"/>
    <w:rsid w:val="00673728"/>
    <w:rsid w:val="00673733"/>
    <w:rsid w:val="00673768"/>
    <w:rsid w:val="00673856"/>
    <w:rsid w:val="006738B8"/>
    <w:rsid w:val="0067399A"/>
    <w:rsid w:val="00673AAB"/>
    <w:rsid w:val="00673D9D"/>
    <w:rsid w:val="00673F66"/>
    <w:rsid w:val="00673F99"/>
    <w:rsid w:val="00673FA4"/>
    <w:rsid w:val="00674090"/>
    <w:rsid w:val="00674110"/>
    <w:rsid w:val="0067434D"/>
    <w:rsid w:val="00674729"/>
    <w:rsid w:val="0067476A"/>
    <w:rsid w:val="006748FA"/>
    <w:rsid w:val="00674906"/>
    <w:rsid w:val="00674A43"/>
    <w:rsid w:val="00674A62"/>
    <w:rsid w:val="00674B1E"/>
    <w:rsid w:val="00674C52"/>
    <w:rsid w:val="00674C75"/>
    <w:rsid w:val="00674D7C"/>
    <w:rsid w:val="00674DA0"/>
    <w:rsid w:val="0067516F"/>
    <w:rsid w:val="0067529E"/>
    <w:rsid w:val="00675477"/>
    <w:rsid w:val="006755CB"/>
    <w:rsid w:val="00675622"/>
    <w:rsid w:val="0067570A"/>
    <w:rsid w:val="0067576B"/>
    <w:rsid w:val="0067584A"/>
    <w:rsid w:val="00675924"/>
    <w:rsid w:val="00675C6B"/>
    <w:rsid w:val="00675F8B"/>
    <w:rsid w:val="00676062"/>
    <w:rsid w:val="0067617A"/>
    <w:rsid w:val="006761EA"/>
    <w:rsid w:val="00676280"/>
    <w:rsid w:val="006762CB"/>
    <w:rsid w:val="006762F9"/>
    <w:rsid w:val="00676376"/>
    <w:rsid w:val="0067640A"/>
    <w:rsid w:val="0067661D"/>
    <w:rsid w:val="00676845"/>
    <w:rsid w:val="00676933"/>
    <w:rsid w:val="00676B4B"/>
    <w:rsid w:val="00676B5C"/>
    <w:rsid w:val="00676F99"/>
    <w:rsid w:val="00677129"/>
    <w:rsid w:val="00677198"/>
    <w:rsid w:val="00677357"/>
    <w:rsid w:val="00677539"/>
    <w:rsid w:val="00677802"/>
    <w:rsid w:val="006778D8"/>
    <w:rsid w:val="00677A03"/>
    <w:rsid w:val="00677A3C"/>
    <w:rsid w:val="00677B1C"/>
    <w:rsid w:val="00677B44"/>
    <w:rsid w:val="00677E77"/>
    <w:rsid w:val="00677F82"/>
    <w:rsid w:val="00677FBD"/>
    <w:rsid w:val="0068008A"/>
    <w:rsid w:val="006800A6"/>
    <w:rsid w:val="006800BA"/>
    <w:rsid w:val="006800E4"/>
    <w:rsid w:val="00680127"/>
    <w:rsid w:val="006801C4"/>
    <w:rsid w:val="00680209"/>
    <w:rsid w:val="00680424"/>
    <w:rsid w:val="00680443"/>
    <w:rsid w:val="0068069B"/>
    <w:rsid w:val="006806B6"/>
    <w:rsid w:val="0068075F"/>
    <w:rsid w:val="006807F4"/>
    <w:rsid w:val="0068090E"/>
    <w:rsid w:val="006809EB"/>
    <w:rsid w:val="00680AA6"/>
    <w:rsid w:val="00680ACD"/>
    <w:rsid w:val="00680DD3"/>
    <w:rsid w:val="00680E33"/>
    <w:rsid w:val="00680E74"/>
    <w:rsid w:val="00680EB2"/>
    <w:rsid w:val="0068110A"/>
    <w:rsid w:val="006814C0"/>
    <w:rsid w:val="00681588"/>
    <w:rsid w:val="006817BA"/>
    <w:rsid w:val="00681AC8"/>
    <w:rsid w:val="00681B3A"/>
    <w:rsid w:val="00681B9C"/>
    <w:rsid w:val="00681BDB"/>
    <w:rsid w:val="00681D90"/>
    <w:rsid w:val="00681EC9"/>
    <w:rsid w:val="00681F31"/>
    <w:rsid w:val="00681F59"/>
    <w:rsid w:val="0068227E"/>
    <w:rsid w:val="00682508"/>
    <w:rsid w:val="00682645"/>
    <w:rsid w:val="00682790"/>
    <w:rsid w:val="006827A0"/>
    <w:rsid w:val="00682802"/>
    <w:rsid w:val="00682A9D"/>
    <w:rsid w:val="00682AE6"/>
    <w:rsid w:val="00682C15"/>
    <w:rsid w:val="0068313D"/>
    <w:rsid w:val="00683257"/>
    <w:rsid w:val="006833BC"/>
    <w:rsid w:val="006833F0"/>
    <w:rsid w:val="0068365E"/>
    <w:rsid w:val="00683746"/>
    <w:rsid w:val="006839F1"/>
    <w:rsid w:val="00683AC2"/>
    <w:rsid w:val="00683C4A"/>
    <w:rsid w:val="0068404D"/>
    <w:rsid w:val="00684203"/>
    <w:rsid w:val="00684371"/>
    <w:rsid w:val="00684373"/>
    <w:rsid w:val="006844C5"/>
    <w:rsid w:val="00684BF4"/>
    <w:rsid w:val="00684FB8"/>
    <w:rsid w:val="0068522E"/>
    <w:rsid w:val="006852FD"/>
    <w:rsid w:val="006853CD"/>
    <w:rsid w:val="0068551F"/>
    <w:rsid w:val="006856FA"/>
    <w:rsid w:val="006857E5"/>
    <w:rsid w:val="0068598D"/>
    <w:rsid w:val="00685A2E"/>
    <w:rsid w:val="00685A45"/>
    <w:rsid w:val="00685C24"/>
    <w:rsid w:val="00685FAD"/>
    <w:rsid w:val="00686057"/>
    <w:rsid w:val="00686133"/>
    <w:rsid w:val="00686297"/>
    <w:rsid w:val="00686477"/>
    <w:rsid w:val="006864B9"/>
    <w:rsid w:val="006866D4"/>
    <w:rsid w:val="006866D9"/>
    <w:rsid w:val="0068687D"/>
    <w:rsid w:val="00686EB0"/>
    <w:rsid w:val="00686F84"/>
    <w:rsid w:val="00687038"/>
    <w:rsid w:val="006870F5"/>
    <w:rsid w:val="006872E0"/>
    <w:rsid w:val="00687424"/>
    <w:rsid w:val="00687589"/>
    <w:rsid w:val="006876BA"/>
    <w:rsid w:val="00687773"/>
    <w:rsid w:val="00687797"/>
    <w:rsid w:val="00687ADE"/>
    <w:rsid w:val="00687D51"/>
    <w:rsid w:val="00687D98"/>
    <w:rsid w:val="00687FA1"/>
    <w:rsid w:val="00687FAB"/>
    <w:rsid w:val="00690147"/>
    <w:rsid w:val="006901C3"/>
    <w:rsid w:val="00690212"/>
    <w:rsid w:val="00690265"/>
    <w:rsid w:val="0069040B"/>
    <w:rsid w:val="00690480"/>
    <w:rsid w:val="006905FD"/>
    <w:rsid w:val="00690656"/>
    <w:rsid w:val="0069067F"/>
    <w:rsid w:val="006906DE"/>
    <w:rsid w:val="00690745"/>
    <w:rsid w:val="006907E1"/>
    <w:rsid w:val="00690BEC"/>
    <w:rsid w:val="00690C9F"/>
    <w:rsid w:val="00690DEF"/>
    <w:rsid w:val="00690EAA"/>
    <w:rsid w:val="006910CE"/>
    <w:rsid w:val="0069117E"/>
    <w:rsid w:val="0069118B"/>
    <w:rsid w:val="006912B0"/>
    <w:rsid w:val="0069131E"/>
    <w:rsid w:val="0069138D"/>
    <w:rsid w:val="006913AE"/>
    <w:rsid w:val="006914B5"/>
    <w:rsid w:val="00691997"/>
    <w:rsid w:val="006919C0"/>
    <w:rsid w:val="00691AD8"/>
    <w:rsid w:val="00691B1A"/>
    <w:rsid w:val="00691CC2"/>
    <w:rsid w:val="00691EC8"/>
    <w:rsid w:val="00691F57"/>
    <w:rsid w:val="006920A9"/>
    <w:rsid w:val="006920F8"/>
    <w:rsid w:val="006921EE"/>
    <w:rsid w:val="0069243C"/>
    <w:rsid w:val="00692476"/>
    <w:rsid w:val="006928EE"/>
    <w:rsid w:val="0069294B"/>
    <w:rsid w:val="00692A39"/>
    <w:rsid w:val="00692AD4"/>
    <w:rsid w:val="00692BA8"/>
    <w:rsid w:val="00692D97"/>
    <w:rsid w:val="00692DB5"/>
    <w:rsid w:val="00692F1D"/>
    <w:rsid w:val="006930B5"/>
    <w:rsid w:val="0069311E"/>
    <w:rsid w:val="00693133"/>
    <w:rsid w:val="00693183"/>
    <w:rsid w:val="00693218"/>
    <w:rsid w:val="00693395"/>
    <w:rsid w:val="006934A4"/>
    <w:rsid w:val="006934AE"/>
    <w:rsid w:val="006934F0"/>
    <w:rsid w:val="006936F8"/>
    <w:rsid w:val="00693720"/>
    <w:rsid w:val="006937A9"/>
    <w:rsid w:val="00693843"/>
    <w:rsid w:val="0069389A"/>
    <w:rsid w:val="00693A15"/>
    <w:rsid w:val="00693A87"/>
    <w:rsid w:val="00693F96"/>
    <w:rsid w:val="006940D0"/>
    <w:rsid w:val="00694246"/>
    <w:rsid w:val="0069472A"/>
    <w:rsid w:val="006947EF"/>
    <w:rsid w:val="006949DC"/>
    <w:rsid w:val="00694A0E"/>
    <w:rsid w:val="00694ADD"/>
    <w:rsid w:val="00694B43"/>
    <w:rsid w:val="00694C35"/>
    <w:rsid w:val="00694CD8"/>
    <w:rsid w:val="00694CDB"/>
    <w:rsid w:val="00694D53"/>
    <w:rsid w:val="00694DD8"/>
    <w:rsid w:val="00694F34"/>
    <w:rsid w:val="00694F7E"/>
    <w:rsid w:val="00695068"/>
    <w:rsid w:val="006950A4"/>
    <w:rsid w:val="00695110"/>
    <w:rsid w:val="006951FB"/>
    <w:rsid w:val="0069526B"/>
    <w:rsid w:val="0069526C"/>
    <w:rsid w:val="00695347"/>
    <w:rsid w:val="0069534D"/>
    <w:rsid w:val="00695465"/>
    <w:rsid w:val="006955E7"/>
    <w:rsid w:val="00695738"/>
    <w:rsid w:val="006957A7"/>
    <w:rsid w:val="006957C0"/>
    <w:rsid w:val="00695C6E"/>
    <w:rsid w:val="00695FB3"/>
    <w:rsid w:val="00696013"/>
    <w:rsid w:val="0069609E"/>
    <w:rsid w:val="006960DD"/>
    <w:rsid w:val="00696223"/>
    <w:rsid w:val="006962BB"/>
    <w:rsid w:val="00696303"/>
    <w:rsid w:val="00696378"/>
    <w:rsid w:val="00696619"/>
    <w:rsid w:val="0069673D"/>
    <w:rsid w:val="006967CD"/>
    <w:rsid w:val="0069696B"/>
    <w:rsid w:val="00696994"/>
    <w:rsid w:val="00696B91"/>
    <w:rsid w:val="00696BF0"/>
    <w:rsid w:val="00696D10"/>
    <w:rsid w:val="00696E70"/>
    <w:rsid w:val="00696F6C"/>
    <w:rsid w:val="00697154"/>
    <w:rsid w:val="006973A8"/>
    <w:rsid w:val="00697630"/>
    <w:rsid w:val="0069782F"/>
    <w:rsid w:val="006978EA"/>
    <w:rsid w:val="0069790A"/>
    <w:rsid w:val="00697BE1"/>
    <w:rsid w:val="00697CF0"/>
    <w:rsid w:val="00697CFC"/>
    <w:rsid w:val="00697D26"/>
    <w:rsid w:val="00697D5A"/>
    <w:rsid w:val="00697E19"/>
    <w:rsid w:val="00697E62"/>
    <w:rsid w:val="00697F7E"/>
    <w:rsid w:val="006A01CC"/>
    <w:rsid w:val="006A032A"/>
    <w:rsid w:val="006A0386"/>
    <w:rsid w:val="006A05C5"/>
    <w:rsid w:val="006A0633"/>
    <w:rsid w:val="006A06C3"/>
    <w:rsid w:val="006A08B3"/>
    <w:rsid w:val="006A0A66"/>
    <w:rsid w:val="006A0B29"/>
    <w:rsid w:val="006A0B3E"/>
    <w:rsid w:val="006A0B40"/>
    <w:rsid w:val="006A0C97"/>
    <w:rsid w:val="006A0FF7"/>
    <w:rsid w:val="006A13F0"/>
    <w:rsid w:val="006A1509"/>
    <w:rsid w:val="006A1621"/>
    <w:rsid w:val="006A1690"/>
    <w:rsid w:val="006A1697"/>
    <w:rsid w:val="006A17D6"/>
    <w:rsid w:val="006A184A"/>
    <w:rsid w:val="006A1905"/>
    <w:rsid w:val="006A1A4C"/>
    <w:rsid w:val="006A1B86"/>
    <w:rsid w:val="006A1CAC"/>
    <w:rsid w:val="006A1CB1"/>
    <w:rsid w:val="006A20AC"/>
    <w:rsid w:val="006A221D"/>
    <w:rsid w:val="006A2270"/>
    <w:rsid w:val="006A227C"/>
    <w:rsid w:val="006A2314"/>
    <w:rsid w:val="006A238A"/>
    <w:rsid w:val="006A24E6"/>
    <w:rsid w:val="006A2530"/>
    <w:rsid w:val="006A26B7"/>
    <w:rsid w:val="006A294A"/>
    <w:rsid w:val="006A2AE3"/>
    <w:rsid w:val="006A2B9A"/>
    <w:rsid w:val="006A2E5A"/>
    <w:rsid w:val="006A2E85"/>
    <w:rsid w:val="006A2EE1"/>
    <w:rsid w:val="006A3008"/>
    <w:rsid w:val="006A30D1"/>
    <w:rsid w:val="006A31D4"/>
    <w:rsid w:val="006A3286"/>
    <w:rsid w:val="006A32EE"/>
    <w:rsid w:val="006A33E4"/>
    <w:rsid w:val="006A35B0"/>
    <w:rsid w:val="006A3635"/>
    <w:rsid w:val="006A3778"/>
    <w:rsid w:val="006A3793"/>
    <w:rsid w:val="006A37FA"/>
    <w:rsid w:val="006A384F"/>
    <w:rsid w:val="006A38E7"/>
    <w:rsid w:val="006A3AB2"/>
    <w:rsid w:val="006A3C44"/>
    <w:rsid w:val="006A3C58"/>
    <w:rsid w:val="006A3C5E"/>
    <w:rsid w:val="006A3EB9"/>
    <w:rsid w:val="006A3EF7"/>
    <w:rsid w:val="006A3F32"/>
    <w:rsid w:val="006A4016"/>
    <w:rsid w:val="006A4215"/>
    <w:rsid w:val="006A426E"/>
    <w:rsid w:val="006A4297"/>
    <w:rsid w:val="006A43C0"/>
    <w:rsid w:val="006A4478"/>
    <w:rsid w:val="006A45B4"/>
    <w:rsid w:val="006A45D9"/>
    <w:rsid w:val="006A474C"/>
    <w:rsid w:val="006A495C"/>
    <w:rsid w:val="006A4A93"/>
    <w:rsid w:val="006A4B02"/>
    <w:rsid w:val="006A4BB6"/>
    <w:rsid w:val="006A4C12"/>
    <w:rsid w:val="006A510A"/>
    <w:rsid w:val="006A52BD"/>
    <w:rsid w:val="006A530B"/>
    <w:rsid w:val="006A536B"/>
    <w:rsid w:val="006A5374"/>
    <w:rsid w:val="006A542F"/>
    <w:rsid w:val="006A5698"/>
    <w:rsid w:val="006A56C7"/>
    <w:rsid w:val="006A5A3B"/>
    <w:rsid w:val="006A5B22"/>
    <w:rsid w:val="006A5BE7"/>
    <w:rsid w:val="006A5C7F"/>
    <w:rsid w:val="006A5CDC"/>
    <w:rsid w:val="006A5E3C"/>
    <w:rsid w:val="006A5E3F"/>
    <w:rsid w:val="006A643B"/>
    <w:rsid w:val="006A6499"/>
    <w:rsid w:val="006A65C4"/>
    <w:rsid w:val="006A67C7"/>
    <w:rsid w:val="006A67E8"/>
    <w:rsid w:val="006A683B"/>
    <w:rsid w:val="006A6891"/>
    <w:rsid w:val="006A6F66"/>
    <w:rsid w:val="006A7013"/>
    <w:rsid w:val="006A70F5"/>
    <w:rsid w:val="006A721D"/>
    <w:rsid w:val="006A73B1"/>
    <w:rsid w:val="006A745D"/>
    <w:rsid w:val="006A7580"/>
    <w:rsid w:val="006A75C7"/>
    <w:rsid w:val="006A7712"/>
    <w:rsid w:val="006A7873"/>
    <w:rsid w:val="006A78C4"/>
    <w:rsid w:val="006A7B6C"/>
    <w:rsid w:val="006A7D4B"/>
    <w:rsid w:val="006A7E4A"/>
    <w:rsid w:val="006B009E"/>
    <w:rsid w:val="006B0127"/>
    <w:rsid w:val="006B0248"/>
    <w:rsid w:val="006B029B"/>
    <w:rsid w:val="006B040C"/>
    <w:rsid w:val="006B057D"/>
    <w:rsid w:val="006B0591"/>
    <w:rsid w:val="006B072C"/>
    <w:rsid w:val="006B07E9"/>
    <w:rsid w:val="006B0808"/>
    <w:rsid w:val="006B08E3"/>
    <w:rsid w:val="006B0A81"/>
    <w:rsid w:val="006B0AAC"/>
    <w:rsid w:val="006B0BB7"/>
    <w:rsid w:val="006B0E16"/>
    <w:rsid w:val="006B0F71"/>
    <w:rsid w:val="006B1064"/>
    <w:rsid w:val="006B11F9"/>
    <w:rsid w:val="006B120C"/>
    <w:rsid w:val="006B1362"/>
    <w:rsid w:val="006B149A"/>
    <w:rsid w:val="006B160F"/>
    <w:rsid w:val="006B166C"/>
    <w:rsid w:val="006B18D6"/>
    <w:rsid w:val="006B1987"/>
    <w:rsid w:val="006B19E1"/>
    <w:rsid w:val="006B19F1"/>
    <w:rsid w:val="006B1B4B"/>
    <w:rsid w:val="006B1B80"/>
    <w:rsid w:val="006B1C3E"/>
    <w:rsid w:val="006B1EF5"/>
    <w:rsid w:val="006B20C7"/>
    <w:rsid w:val="006B2193"/>
    <w:rsid w:val="006B25F1"/>
    <w:rsid w:val="006B2707"/>
    <w:rsid w:val="006B2977"/>
    <w:rsid w:val="006B2C8B"/>
    <w:rsid w:val="006B2D63"/>
    <w:rsid w:val="006B2F51"/>
    <w:rsid w:val="006B3398"/>
    <w:rsid w:val="006B349B"/>
    <w:rsid w:val="006B34DC"/>
    <w:rsid w:val="006B353D"/>
    <w:rsid w:val="006B355A"/>
    <w:rsid w:val="006B36C2"/>
    <w:rsid w:val="006B3821"/>
    <w:rsid w:val="006B38C8"/>
    <w:rsid w:val="006B38CD"/>
    <w:rsid w:val="006B3A56"/>
    <w:rsid w:val="006B3E6B"/>
    <w:rsid w:val="006B3EDE"/>
    <w:rsid w:val="006B3FDA"/>
    <w:rsid w:val="006B4114"/>
    <w:rsid w:val="006B4394"/>
    <w:rsid w:val="006B445B"/>
    <w:rsid w:val="006B4528"/>
    <w:rsid w:val="006B4575"/>
    <w:rsid w:val="006B468A"/>
    <w:rsid w:val="006B480F"/>
    <w:rsid w:val="006B4841"/>
    <w:rsid w:val="006B48FC"/>
    <w:rsid w:val="006B4BA2"/>
    <w:rsid w:val="006B4C93"/>
    <w:rsid w:val="006B4D00"/>
    <w:rsid w:val="006B519D"/>
    <w:rsid w:val="006B53DA"/>
    <w:rsid w:val="006B5409"/>
    <w:rsid w:val="006B559B"/>
    <w:rsid w:val="006B5690"/>
    <w:rsid w:val="006B5761"/>
    <w:rsid w:val="006B58FA"/>
    <w:rsid w:val="006B5919"/>
    <w:rsid w:val="006B5A33"/>
    <w:rsid w:val="006B5D9B"/>
    <w:rsid w:val="006B5DDD"/>
    <w:rsid w:val="006B5F1A"/>
    <w:rsid w:val="006B5FBF"/>
    <w:rsid w:val="006B60E6"/>
    <w:rsid w:val="006B6121"/>
    <w:rsid w:val="006B649F"/>
    <w:rsid w:val="006B66E3"/>
    <w:rsid w:val="006B6842"/>
    <w:rsid w:val="006B68B2"/>
    <w:rsid w:val="006B6AFB"/>
    <w:rsid w:val="006B6B63"/>
    <w:rsid w:val="006B6ED4"/>
    <w:rsid w:val="006B7015"/>
    <w:rsid w:val="006B7069"/>
    <w:rsid w:val="006B70AF"/>
    <w:rsid w:val="006B7198"/>
    <w:rsid w:val="006B71C5"/>
    <w:rsid w:val="006B7289"/>
    <w:rsid w:val="006B734C"/>
    <w:rsid w:val="006B759F"/>
    <w:rsid w:val="006B75E0"/>
    <w:rsid w:val="006B7641"/>
    <w:rsid w:val="006B784A"/>
    <w:rsid w:val="006B78E9"/>
    <w:rsid w:val="006B7A1C"/>
    <w:rsid w:val="006B7AD9"/>
    <w:rsid w:val="006B7C19"/>
    <w:rsid w:val="006C0017"/>
    <w:rsid w:val="006C0022"/>
    <w:rsid w:val="006C00D9"/>
    <w:rsid w:val="006C0354"/>
    <w:rsid w:val="006C03C8"/>
    <w:rsid w:val="006C057F"/>
    <w:rsid w:val="006C084E"/>
    <w:rsid w:val="006C0897"/>
    <w:rsid w:val="006C08A6"/>
    <w:rsid w:val="006C0948"/>
    <w:rsid w:val="006C09FF"/>
    <w:rsid w:val="006C0B04"/>
    <w:rsid w:val="006C0C73"/>
    <w:rsid w:val="006C0CF4"/>
    <w:rsid w:val="006C0DD5"/>
    <w:rsid w:val="006C0F4D"/>
    <w:rsid w:val="006C1091"/>
    <w:rsid w:val="006C1141"/>
    <w:rsid w:val="006C1163"/>
    <w:rsid w:val="006C12AF"/>
    <w:rsid w:val="006C13DF"/>
    <w:rsid w:val="006C16B9"/>
    <w:rsid w:val="006C188E"/>
    <w:rsid w:val="006C1932"/>
    <w:rsid w:val="006C1A4E"/>
    <w:rsid w:val="006C1B38"/>
    <w:rsid w:val="006C1BCB"/>
    <w:rsid w:val="006C1C7F"/>
    <w:rsid w:val="006C1CE6"/>
    <w:rsid w:val="006C1D91"/>
    <w:rsid w:val="006C1E10"/>
    <w:rsid w:val="006C1ECB"/>
    <w:rsid w:val="006C1EE0"/>
    <w:rsid w:val="006C20FD"/>
    <w:rsid w:val="006C2122"/>
    <w:rsid w:val="006C251F"/>
    <w:rsid w:val="006C25C1"/>
    <w:rsid w:val="006C2602"/>
    <w:rsid w:val="006C270C"/>
    <w:rsid w:val="006C2A08"/>
    <w:rsid w:val="006C2A4A"/>
    <w:rsid w:val="006C2A7B"/>
    <w:rsid w:val="006C2C42"/>
    <w:rsid w:val="006C2D0D"/>
    <w:rsid w:val="006C2EFF"/>
    <w:rsid w:val="006C2F46"/>
    <w:rsid w:val="006C315F"/>
    <w:rsid w:val="006C3289"/>
    <w:rsid w:val="006C37F3"/>
    <w:rsid w:val="006C38BA"/>
    <w:rsid w:val="006C3B2B"/>
    <w:rsid w:val="006C3C03"/>
    <w:rsid w:val="006C3C2C"/>
    <w:rsid w:val="006C3C3D"/>
    <w:rsid w:val="006C3CD9"/>
    <w:rsid w:val="006C3D1B"/>
    <w:rsid w:val="006C3D23"/>
    <w:rsid w:val="006C3D4B"/>
    <w:rsid w:val="006C3D83"/>
    <w:rsid w:val="006C3FB8"/>
    <w:rsid w:val="006C41FC"/>
    <w:rsid w:val="006C4223"/>
    <w:rsid w:val="006C4224"/>
    <w:rsid w:val="006C4259"/>
    <w:rsid w:val="006C4405"/>
    <w:rsid w:val="006C4406"/>
    <w:rsid w:val="006C44E3"/>
    <w:rsid w:val="006C4574"/>
    <w:rsid w:val="006C4687"/>
    <w:rsid w:val="006C46B4"/>
    <w:rsid w:val="006C476A"/>
    <w:rsid w:val="006C47E8"/>
    <w:rsid w:val="006C4A85"/>
    <w:rsid w:val="006C4D03"/>
    <w:rsid w:val="006C4D17"/>
    <w:rsid w:val="006C4EBD"/>
    <w:rsid w:val="006C4FC1"/>
    <w:rsid w:val="006C513D"/>
    <w:rsid w:val="006C51F1"/>
    <w:rsid w:val="006C5339"/>
    <w:rsid w:val="006C55A9"/>
    <w:rsid w:val="006C5607"/>
    <w:rsid w:val="006C576F"/>
    <w:rsid w:val="006C5911"/>
    <w:rsid w:val="006C59B4"/>
    <w:rsid w:val="006C5C55"/>
    <w:rsid w:val="006C5C6B"/>
    <w:rsid w:val="006C6033"/>
    <w:rsid w:val="006C60EF"/>
    <w:rsid w:val="006C623B"/>
    <w:rsid w:val="006C62FD"/>
    <w:rsid w:val="006C63E1"/>
    <w:rsid w:val="006C63F7"/>
    <w:rsid w:val="006C6494"/>
    <w:rsid w:val="006C6500"/>
    <w:rsid w:val="006C651D"/>
    <w:rsid w:val="006C658B"/>
    <w:rsid w:val="006C658F"/>
    <w:rsid w:val="006C661D"/>
    <w:rsid w:val="006C667E"/>
    <w:rsid w:val="006C6821"/>
    <w:rsid w:val="006C6902"/>
    <w:rsid w:val="006C6957"/>
    <w:rsid w:val="006C6AF2"/>
    <w:rsid w:val="006C6B89"/>
    <w:rsid w:val="006C7006"/>
    <w:rsid w:val="006C73B9"/>
    <w:rsid w:val="006C75DC"/>
    <w:rsid w:val="006C798D"/>
    <w:rsid w:val="006C7A57"/>
    <w:rsid w:val="006C7B8A"/>
    <w:rsid w:val="006C7C6F"/>
    <w:rsid w:val="006C7D85"/>
    <w:rsid w:val="006C7DBB"/>
    <w:rsid w:val="006C7DF5"/>
    <w:rsid w:val="006C7E6E"/>
    <w:rsid w:val="006C7ED4"/>
    <w:rsid w:val="006C7FD2"/>
    <w:rsid w:val="006D00F3"/>
    <w:rsid w:val="006D03AA"/>
    <w:rsid w:val="006D0468"/>
    <w:rsid w:val="006D04F1"/>
    <w:rsid w:val="006D0588"/>
    <w:rsid w:val="006D066D"/>
    <w:rsid w:val="006D07CE"/>
    <w:rsid w:val="006D07E6"/>
    <w:rsid w:val="006D0912"/>
    <w:rsid w:val="006D0959"/>
    <w:rsid w:val="006D0BA8"/>
    <w:rsid w:val="006D0C31"/>
    <w:rsid w:val="006D0C49"/>
    <w:rsid w:val="006D0D77"/>
    <w:rsid w:val="006D0EE0"/>
    <w:rsid w:val="006D0EF5"/>
    <w:rsid w:val="006D0F2E"/>
    <w:rsid w:val="006D106F"/>
    <w:rsid w:val="006D10BC"/>
    <w:rsid w:val="006D10DF"/>
    <w:rsid w:val="006D1441"/>
    <w:rsid w:val="006D14B5"/>
    <w:rsid w:val="006D14FB"/>
    <w:rsid w:val="006D153B"/>
    <w:rsid w:val="006D160A"/>
    <w:rsid w:val="006D169F"/>
    <w:rsid w:val="006D16B8"/>
    <w:rsid w:val="006D1886"/>
    <w:rsid w:val="006D18DF"/>
    <w:rsid w:val="006D1CB4"/>
    <w:rsid w:val="006D1DB6"/>
    <w:rsid w:val="006D1E1F"/>
    <w:rsid w:val="006D207A"/>
    <w:rsid w:val="006D20F8"/>
    <w:rsid w:val="006D25F2"/>
    <w:rsid w:val="006D2691"/>
    <w:rsid w:val="006D2748"/>
    <w:rsid w:val="006D2792"/>
    <w:rsid w:val="006D284A"/>
    <w:rsid w:val="006D298E"/>
    <w:rsid w:val="006D2F4E"/>
    <w:rsid w:val="006D2FE8"/>
    <w:rsid w:val="006D30B1"/>
    <w:rsid w:val="006D3143"/>
    <w:rsid w:val="006D32AD"/>
    <w:rsid w:val="006D3341"/>
    <w:rsid w:val="006D336C"/>
    <w:rsid w:val="006D35BE"/>
    <w:rsid w:val="006D3625"/>
    <w:rsid w:val="006D3A7F"/>
    <w:rsid w:val="006D3A9D"/>
    <w:rsid w:val="006D3CF1"/>
    <w:rsid w:val="006D3D0B"/>
    <w:rsid w:val="006D3DB7"/>
    <w:rsid w:val="006D3F12"/>
    <w:rsid w:val="006D4081"/>
    <w:rsid w:val="006D40C7"/>
    <w:rsid w:val="006D4441"/>
    <w:rsid w:val="006D44DF"/>
    <w:rsid w:val="006D48F4"/>
    <w:rsid w:val="006D4934"/>
    <w:rsid w:val="006D4952"/>
    <w:rsid w:val="006D496B"/>
    <w:rsid w:val="006D4B81"/>
    <w:rsid w:val="006D4BE6"/>
    <w:rsid w:val="006D4CF6"/>
    <w:rsid w:val="006D4D41"/>
    <w:rsid w:val="006D4E66"/>
    <w:rsid w:val="006D4F3E"/>
    <w:rsid w:val="006D4FA6"/>
    <w:rsid w:val="006D4FC6"/>
    <w:rsid w:val="006D4FE8"/>
    <w:rsid w:val="006D5100"/>
    <w:rsid w:val="006D51E6"/>
    <w:rsid w:val="006D5516"/>
    <w:rsid w:val="006D56F9"/>
    <w:rsid w:val="006D574E"/>
    <w:rsid w:val="006D57C8"/>
    <w:rsid w:val="006D59E9"/>
    <w:rsid w:val="006D5D1C"/>
    <w:rsid w:val="006D5DD2"/>
    <w:rsid w:val="006D5E41"/>
    <w:rsid w:val="006D5FA0"/>
    <w:rsid w:val="006D5FC8"/>
    <w:rsid w:val="006D6081"/>
    <w:rsid w:val="006D6181"/>
    <w:rsid w:val="006D61D9"/>
    <w:rsid w:val="006D6293"/>
    <w:rsid w:val="006D62B1"/>
    <w:rsid w:val="006D62FB"/>
    <w:rsid w:val="006D6317"/>
    <w:rsid w:val="006D64C3"/>
    <w:rsid w:val="006D6668"/>
    <w:rsid w:val="006D6671"/>
    <w:rsid w:val="006D695D"/>
    <w:rsid w:val="006D697B"/>
    <w:rsid w:val="006D6A47"/>
    <w:rsid w:val="006D6AA0"/>
    <w:rsid w:val="006D6DA5"/>
    <w:rsid w:val="006D6EDB"/>
    <w:rsid w:val="006D6F3B"/>
    <w:rsid w:val="006D712F"/>
    <w:rsid w:val="006D724A"/>
    <w:rsid w:val="006D7424"/>
    <w:rsid w:val="006D7648"/>
    <w:rsid w:val="006D778C"/>
    <w:rsid w:val="006D7881"/>
    <w:rsid w:val="006D7946"/>
    <w:rsid w:val="006D7BE7"/>
    <w:rsid w:val="006D7D75"/>
    <w:rsid w:val="006E0058"/>
    <w:rsid w:val="006E00BA"/>
    <w:rsid w:val="006E00BD"/>
    <w:rsid w:val="006E02EA"/>
    <w:rsid w:val="006E03A1"/>
    <w:rsid w:val="006E03AA"/>
    <w:rsid w:val="006E04CA"/>
    <w:rsid w:val="006E0752"/>
    <w:rsid w:val="006E0889"/>
    <w:rsid w:val="006E08E7"/>
    <w:rsid w:val="006E092B"/>
    <w:rsid w:val="006E098C"/>
    <w:rsid w:val="006E09F4"/>
    <w:rsid w:val="006E0B51"/>
    <w:rsid w:val="006E0CE2"/>
    <w:rsid w:val="006E0F25"/>
    <w:rsid w:val="006E0F4A"/>
    <w:rsid w:val="006E0FA0"/>
    <w:rsid w:val="006E0FB7"/>
    <w:rsid w:val="006E101E"/>
    <w:rsid w:val="006E1032"/>
    <w:rsid w:val="006E1221"/>
    <w:rsid w:val="006E12A3"/>
    <w:rsid w:val="006E1332"/>
    <w:rsid w:val="006E136B"/>
    <w:rsid w:val="006E145F"/>
    <w:rsid w:val="006E1592"/>
    <w:rsid w:val="006E1686"/>
    <w:rsid w:val="006E16EE"/>
    <w:rsid w:val="006E17F6"/>
    <w:rsid w:val="006E193F"/>
    <w:rsid w:val="006E1AA4"/>
    <w:rsid w:val="006E1AC0"/>
    <w:rsid w:val="006E1B65"/>
    <w:rsid w:val="006E1B94"/>
    <w:rsid w:val="006E1C4A"/>
    <w:rsid w:val="006E1D57"/>
    <w:rsid w:val="006E1D77"/>
    <w:rsid w:val="006E1DC1"/>
    <w:rsid w:val="006E1DF7"/>
    <w:rsid w:val="006E2156"/>
    <w:rsid w:val="006E22C4"/>
    <w:rsid w:val="006E23A5"/>
    <w:rsid w:val="006E2426"/>
    <w:rsid w:val="006E24D0"/>
    <w:rsid w:val="006E24D1"/>
    <w:rsid w:val="006E27A0"/>
    <w:rsid w:val="006E27D9"/>
    <w:rsid w:val="006E2B0E"/>
    <w:rsid w:val="006E2B6C"/>
    <w:rsid w:val="006E2CFB"/>
    <w:rsid w:val="006E2E7B"/>
    <w:rsid w:val="006E2EFD"/>
    <w:rsid w:val="006E30CC"/>
    <w:rsid w:val="006E316E"/>
    <w:rsid w:val="006E3174"/>
    <w:rsid w:val="006E31C7"/>
    <w:rsid w:val="006E3276"/>
    <w:rsid w:val="006E3374"/>
    <w:rsid w:val="006E33A0"/>
    <w:rsid w:val="006E33BD"/>
    <w:rsid w:val="006E34B3"/>
    <w:rsid w:val="006E353F"/>
    <w:rsid w:val="006E35B5"/>
    <w:rsid w:val="006E35EE"/>
    <w:rsid w:val="006E3602"/>
    <w:rsid w:val="006E36E3"/>
    <w:rsid w:val="006E36E4"/>
    <w:rsid w:val="006E3700"/>
    <w:rsid w:val="006E386E"/>
    <w:rsid w:val="006E3A22"/>
    <w:rsid w:val="006E3A40"/>
    <w:rsid w:val="006E3AEE"/>
    <w:rsid w:val="006E3BB1"/>
    <w:rsid w:val="006E3BBD"/>
    <w:rsid w:val="006E3ECB"/>
    <w:rsid w:val="006E3FCD"/>
    <w:rsid w:val="006E401F"/>
    <w:rsid w:val="006E42DE"/>
    <w:rsid w:val="006E4378"/>
    <w:rsid w:val="006E449E"/>
    <w:rsid w:val="006E45F7"/>
    <w:rsid w:val="006E4712"/>
    <w:rsid w:val="006E4812"/>
    <w:rsid w:val="006E4852"/>
    <w:rsid w:val="006E4884"/>
    <w:rsid w:val="006E4907"/>
    <w:rsid w:val="006E49BA"/>
    <w:rsid w:val="006E4AD5"/>
    <w:rsid w:val="006E4CD1"/>
    <w:rsid w:val="006E4CF0"/>
    <w:rsid w:val="006E4F5B"/>
    <w:rsid w:val="006E4F72"/>
    <w:rsid w:val="006E4FC0"/>
    <w:rsid w:val="006E5080"/>
    <w:rsid w:val="006E5141"/>
    <w:rsid w:val="006E52C6"/>
    <w:rsid w:val="006E5340"/>
    <w:rsid w:val="006E5432"/>
    <w:rsid w:val="006E54D0"/>
    <w:rsid w:val="006E55D1"/>
    <w:rsid w:val="006E56DA"/>
    <w:rsid w:val="006E5707"/>
    <w:rsid w:val="006E5709"/>
    <w:rsid w:val="006E5868"/>
    <w:rsid w:val="006E5A0D"/>
    <w:rsid w:val="006E5DEE"/>
    <w:rsid w:val="006E5E29"/>
    <w:rsid w:val="006E611A"/>
    <w:rsid w:val="006E6491"/>
    <w:rsid w:val="006E6540"/>
    <w:rsid w:val="006E6630"/>
    <w:rsid w:val="006E6659"/>
    <w:rsid w:val="006E66FE"/>
    <w:rsid w:val="006E67CA"/>
    <w:rsid w:val="006E6845"/>
    <w:rsid w:val="006E68A2"/>
    <w:rsid w:val="006E6A1E"/>
    <w:rsid w:val="006E6A32"/>
    <w:rsid w:val="006E6AA4"/>
    <w:rsid w:val="006E6B4F"/>
    <w:rsid w:val="006E6CF9"/>
    <w:rsid w:val="006E6E13"/>
    <w:rsid w:val="006E6E51"/>
    <w:rsid w:val="006E7078"/>
    <w:rsid w:val="006E70E9"/>
    <w:rsid w:val="006E71B4"/>
    <w:rsid w:val="006E7669"/>
    <w:rsid w:val="006E76E9"/>
    <w:rsid w:val="006E79F0"/>
    <w:rsid w:val="006E7A05"/>
    <w:rsid w:val="006E7B03"/>
    <w:rsid w:val="006E7BEF"/>
    <w:rsid w:val="006E7CD8"/>
    <w:rsid w:val="006E7DDA"/>
    <w:rsid w:val="006E7E27"/>
    <w:rsid w:val="006F0022"/>
    <w:rsid w:val="006F0574"/>
    <w:rsid w:val="006F0884"/>
    <w:rsid w:val="006F08BC"/>
    <w:rsid w:val="006F08C1"/>
    <w:rsid w:val="006F08CF"/>
    <w:rsid w:val="006F0923"/>
    <w:rsid w:val="006F09C1"/>
    <w:rsid w:val="006F0BA1"/>
    <w:rsid w:val="006F0BAB"/>
    <w:rsid w:val="006F0ED6"/>
    <w:rsid w:val="006F0EEE"/>
    <w:rsid w:val="006F0EF2"/>
    <w:rsid w:val="006F0F65"/>
    <w:rsid w:val="006F10C4"/>
    <w:rsid w:val="006F1265"/>
    <w:rsid w:val="006F1360"/>
    <w:rsid w:val="006F1461"/>
    <w:rsid w:val="006F1568"/>
    <w:rsid w:val="006F1604"/>
    <w:rsid w:val="006F188B"/>
    <w:rsid w:val="006F1911"/>
    <w:rsid w:val="006F1A75"/>
    <w:rsid w:val="006F1BA8"/>
    <w:rsid w:val="006F1C75"/>
    <w:rsid w:val="006F1CE1"/>
    <w:rsid w:val="006F1D34"/>
    <w:rsid w:val="006F1EA7"/>
    <w:rsid w:val="006F1FBB"/>
    <w:rsid w:val="006F1FE7"/>
    <w:rsid w:val="006F1FEE"/>
    <w:rsid w:val="006F2091"/>
    <w:rsid w:val="006F2247"/>
    <w:rsid w:val="006F23E0"/>
    <w:rsid w:val="006F248F"/>
    <w:rsid w:val="006F24A5"/>
    <w:rsid w:val="006F24EC"/>
    <w:rsid w:val="006F24F2"/>
    <w:rsid w:val="006F252D"/>
    <w:rsid w:val="006F25AE"/>
    <w:rsid w:val="006F25C5"/>
    <w:rsid w:val="006F275D"/>
    <w:rsid w:val="006F2835"/>
    <w:rsid w:val="006F2849"/>
    <w:rsid w:val="006F29F4"/>
    <w:rsid w:val="006F2A57"/>
    <w:rsid w:val="006F2C0D"/>
    <w:rsid w:val="006F2C52"/>
    <w:rsid w:val="006F2D57"/>
    <w:rsid w:val="006F2E8A"/>
    <w:rsid w:val="006F3080"/>
    <w:rsid w:val="006F30BF"/>
    <w:rsid w:val="006F3100"/>
    <w:rsid w:val="006F310D"/>
    <w:rsid w:val="006F314E"/>
    <w:rsid w:val="006F32C4"/>
    <w:rsid w:val="006F3425"/>
    <w:rsid w:val="006F3511"/>
    <w:rsid w:val="006F36D6"/>
    <w:rsid w:val="006F3863"/>
    <w:rsid w:val="006F3A83"/>
    <w:rsid w:val="006F3DEE"/>
    <w:rsid w:val="006F3FB0"/>
    <w:rsid w:val="006F4043"/>
    <w:rsid w:val="006F40D1"/>
    <w:rsid w:val="006F40E3"/>
    <w:rsid w:val="006F419A"/>
    <w:rsid w:val="006F425F"/>
    <w:rsid w:val="006F42E6"/>
    <w:rsid w:val="006F43C5"/>
    <w:rsid w:val="006F4473"/>
    <w:rsid w:val="006F4589"/>
    <w:rsid w:val="006F45E8"/>
    <w:rsid w:val="006F462C"/>
    <w:rsid w:val="006F465A"/>
    <w:rsid w:val="006F469A"/>
    <w:rsid w:val="006F4915"/>
    <w:rsid w:val="006F4A4B"/>
    <w:rsid w:val="006F4AE6"/>
    <w:rsid w:val="006F4C93"/>
    <w:rsid w:val="006F4DD5"/>
    <w:rsid w:val="006F4F12"/>
    <w:rsid w:val="006F4FA2"/>
    <w:rsid w:val="006F521D"/>
    <w:rsid w:val="006F522A"/>
    <w:rsid w:val="006F546E"/>
    <w:rsid w:val="006F56B1"/>
    <w:rsid w:val="006F57DB"/>
    <w:rsid w:val="006F5955"/>
    <w:rsid w:val="006F59B9"/>
    <w:rsid w:val="006F5B08"/>
    <w:rsid w:val="006F5BCC"/>
    <w:rsid w:val="006F5C81"/>
    <w:rsid w:val="006F5D8B"/>
    <w:rsid w:val="006F5E66"/>
    <w:rsid w:val="006F5FD0"/>
    <w:rsid w:val="006F6036"/>
    <w:rsid w:val="006F60DD"/>
    <w:rsid w:val="006F611E"/>
    <w:rsid w:val="006F6130"/>
    <w:rsid w:val="006F6198"/>
    <w:rsid w:val="006F691C"/>
    <w:rsid w:val="006F69F8"/>
    <w:rsid w:val="006F6A7B"/>
    <w:rsid w:val="006F6AD1"/>
    <w:rsid w:val="006F6AE8"/>
    <w:rsid w:val="006F6BD1"/>
    <w:rsid w:val="006F6E3A"/>
    <w:rsid w:val="006F6F35"/>
    <w:rsid w:val="006F71F1"/>
    <w:rsid w:val="006F7220"/>
    <w:rsid w:val="006F744B"/>
    <w:rsid w:val="006F74E2"/>
    <w:rsid w:val="006F761A"/>
    <w:rsid w:val="006F762B"/>
    <w:rsid w:val="006F773A"/>
    <w:rsid w:val="006F7756"/>
    <w:rsid w:val="006F7893"/>
    <w:rsid w:val="006F78F7"/>
    <w:rsid w:val="006F790B"/>
    <w:rsid w:val="006F7A81"/>
    <w:rsid w:val="006F7B37"/>
    <w:rsid w:val="006F7C8C"/>
    <w:rsid w:val="006F7CE0"/>
    <w:rsid w:val="00700121"/>
    <w:rsid w:val="007001E8"/>
    <w:rsid w:val="0070020C"/>
    <w:rsid w:val="007002B7"/>
    <w:rsid w:val="00700361"/>
    <w:rsid w:val="007004A0"/>
    <w:rsid w:val="00700853"/>
    <w:rsid w:val="00700955"/>
    <w:rsid w:val="0070097B"/>
    <w:rsid w:val="00700980"/>
    <w:rsid w:val="00700A16"/>
    <w:rsid w:val="00700AC5"/>
    <w:rsid w:val="00700D5D"/>
    <w:rsid w:val="00700F4E"/>
    <w:rsid w:val="00701098"/>
    <w:rsid w:val="0070111F"/>
    <w:rsid w:val="0070122D"/>
    <w:rsid w:val="007012E3"/>
    <w:rsid w:val="00701369"/>
    <w:rsid w:val="00701459"/>
    <w:rsid w:val="007017BC"/>
    <w:rsid w:val="0070191C"/>
    <w:rsid w:val="00701AA6"/>
    <w:rsid w:val="00701AF5"/>
    <w:rsid w:val="00701BCA"/>
    <w:rsid w:val="00701D4B"/>
    <w:rsid w:val="00701F9B"/>
    <w:rsid w:val="00702078"/>
    <w:rsid w:val="00702156"/>
    <w:rsid w:val="007023B7"/>
    <w:rsid w:val="00702400"/>
    <w:rsid w:val="00702604"/>
    <w:rsid w:val="0070279B"/>
    <w:rsid w:val="007027CF"/>
    <w:rsid w:val="00702956"/>
    <w:rsid w:val="007029CF"/>
    <w:rsid w:val="00702AA2"/>
    <w:rsid w:val="00702B83"/>
    <w:rsid w:val="00702C59"/>
    <w:rsid w:val="00702C60"/>
    <w:rsid w:val="00702CBF"/>
    <w:rsid w:val="00702CF0"/>
    <w:rsid w:val="00702D43"/>
    <w:rsid w:val="00702DC9"/>
    <w:rsid w:val="00702E8A"/>
    <w:rsid w:val="00702E8E"/>
    <w:rsid w:val="00702FA0"/>
    <w:rsid w:val="00703198"/>
    <w:rsid w:val="0070322B"/>
    <w:rsid w:val="007032C9"/>
    <w:rsid w:val="00703376"/>
    <w:rsid w:val="00703668"/>
    <w:rsid w:val="00703680"/>
    <w:rsid w:val="0070377E"/>
    <w:rsid w:val="00703932"/>
    <w:rsid w:val="00703986"/>
    <w:rsid w:val="00703994"/>
    <w:rsid w:val="00703B4B"/>
    <w:rsid w:val="00703C32"/>
    <w:rsid w:val="00703FFE"/>
    <w:rsid w:val="007040B9"/>
    <w:rsid w:val="0070422A"/>
    <w:rsid w:val="007043EC"/>
    <w:rsid w:val="00704420"/>
    <w:rsid w:val="00704727"/>
    <w:rsid w:val="0070480D"/>
    <w:rsid w:val="007049E0"/>
    <w:rsid w:val="00704AD8"/>
    <w:rsid w:val="00704B5E"/>
    <w:rsid w:val="00704CBF"/>
    <w:rsid w:val="00704E29"/>
    <w:rsid w:val="00704FA1"/>
    <w:rsid w:val="007050FB"/>
    <w:rsid w:val="00705176"/>
    <w:rsid w:val="007051B5"/>
    <w:rsid w:val="00705406"/>
    <w:rsid w:val="007054D2"/>
    <w:rsid w:val="00705544"/>
    <w:rsid w:val="007058A8"/>
    <w:rsid w:val="00705942"/>
    <w:rsid w:val="0070598D"/>
    <w:rsid w:val="007059B2"/>
    <w:rsid w:val="00705A51"/>
    <w:rsid w:val="00705BBE"/>
    <w:rsid w:val="00705C18"/>
    <w:rsid w:val="00705C3C"/>
    <w:rsid w:val="00705D37"/>
    <w:rsid w:val="00705E60"/>
    <w:rsid w:val="00705F4D"/>
    <w:rsid w:val="00705FA1"/>
    <w:rsid w:val="0070605C"/>
    <w:rsid w:val="0070607F"/>
    <w:rsid w:val="00706277"/>
    <w:rsid w:val="00706427"/>
    <w:rsid w:val="00706615"/>
    <w:rsid w:val="007068DE"/>
    <w:rsid w:val="0070694F"/>
    <w:rsid w:val="007069BE"/>
    <w:rsid w:val="00706AC7"/>
    <w:rsid w:val="00706CA1"/>
    <w:rsid w:val="00706DE4"/>
    <w:rsid w:val="00706EF9"/>
    <w:rsid w:val="00707009"/>
    <w:rsid w:val="00707080"/>
    <w:rsid w:val="007070B2"/>
    <w:rsid w:val="00707265"/>
    <w:rsid w:val="0070729A"/>
    <w:rsid w:val="00707308"/>
    <w:rsid w:val="007073E7"/>
    <w:rsid w:val="00707847"/>
    <w:rsid w:val="007078C8"/>
    <w:rsid w:val="00707918"/>
    <w:rsid w:val="007079BE"/>
    <w:rsid w:val="00707C51"/>
    <w:rsid w:val="00707DAC"/>
    <w:rsid w:val="00707F6F"/>
    <w:rsid w:val="00707F92"/>
    <w:rsid w:val="007100DD"/>
    <w:rsid w:val="007100DF"/>
    <w:rsid w:val="00710181"/>
    <w:rsid w:val="007106EC"/>
    <w:rsid w:val="00710798"/>
    <w:rsid w:val="007107AE"/>
    <w:rsid w:val="00710A49"/>
    <w:rsid w:val="00710AE3"/>
    <w:rsid w:val="00710C69"/>
    <w:rsid w:val="00710D59"/>
    <w:rsid w:val="00710DE1"/>
    <w:rsid w:val="00710E1D"/>
    <w:rsid w:val="00710EA5"/>
    <w:rsid w:val="00710EA9"/>
    <w:rsid w:val="00710F6C"/>
    <w:rsid w:val="007111E3"/>
    <w:rsid w:val="0071156A"/>
    <w:rsid w:val="00711588"/>
    <w:rsid w:val="007117EA"/>
    <w:rsid w:val="0071185B"/>
    <w:rsid w:val="007118E2"/>
    <w:rsid w:val="00711C8D"/>
    <w:rsid w:val="00711C94"/>
    <w:rsid w:val="00711C96"/>
    <w:rsid w:val="00711FC9"/>
    <w:rsid w:val="00712046"/>
    <w:rsid w:val="007122C4"/>
    <w:rsid w:val="0071245D"/>
    <w:rsid w:val="007125A7"/>
    <w:rsid w:val="00712612"/>
    <w:rsid w:val="0071275D"/>
    <w:rsid w:val="007128BB"/>
    <w:rsid w:val="00712B46"/>
    <w:rsid w:val="00712BD2"/>
    <w:rsid w:val="00712D6B"/>
    <w:rsid w:val="00712EF5"/>
    <w:rsid w:val="0071300A"/>
    <w:rsid w:val="007131DB"/>
    <w:rsid w:val="00713287"/>
    <w:rsid w:val="00713323"/>
    <w:rsid w:val="00713378"/>
    <w:rsid w:val="00713484"/>
    <w:rsid w:val="00713693"/>
    <w:rsid w:val="007136D0"/>
    <w:rsid w:val="007137D4"/>
    <w:rsid w:val="007138AB"/>
    <w:rsid w:val="00713B91"/>
    <w:rsid w:val="00713D1B"/>
    <w:rsid w:val="00713DA0"/>
    <w:rsid w:val="00713F43"/>
    <w:rsid w:val="007141DA"/>
    <w:rsid w:val="007141E1"/>
    <w:rsid w:val="007143D6"/>
    <w:rsid w:val="007143E7"/>
    <w:rsid w:val="007148C8"/>
    <w:rsid w:val="007148F6"/>
    <w:rsid w:val="00714A89"/>
    <w:rsid w:val="00714B4D"/>
    <w:rsid w:val="00714D0B"/>
    <w:rsid w:val="00714D98"/>
    <w:rsid w:val="00714E17"/>
    <w:rsid w:val="00714E1C"/>
    <w:rsid w:val="007150F8"/>
    <w:rsid w:val="00715130"/>
    <w:rsid w:val="00715202"/>
    <w:rsid w:val="00715273"/>
    <w:rsid w:val="007152E1"/>
    <w:rsid w:val="007155CB"/>
    <w:rsid w:val="00715621"/>
    <w:rsid w:val="00715965"/>
    <w:rsid w:val="007159E0"/>
    <w:rsid w:val="00715C08"/>
    <w:rsid w:val="00715DC1"/>
    <w:rsid w:val="007160F5"/>
    <w:rsid w:val="007162A3"/>
    <w:rsid w:val="0071633C"/>
    <w:rsid w:val="0071650E"/>
    <w:rsid w:val="00716511"/>
    <w:rsid w:val="007166A0"/>
    <w:rsid w:val="0071672A"/>
    <w:rsid w:val="0071673B"/>
    <w:rsid w:val="00716844"/>
    <w:rsid w:val="0071687E"/>
    <w:rsid w:val="007168D0"/>
    <w:rsid w:val="00716A41"/>
    <w:rsid w:val="00716A56"/>
    <w:rsid w:val="00716AAB"/>
    <w:rsid w:val="00716B1D"/>
    <w:rsid w:val="00716BED"/>
    <w:rsid w:val="00716C69"/>
    <w:rsid w:val="00716CB9"/>
    <w:rsid w:val="00716D2C"/>
    <w:rsid w:val="007173AC"/>
    <w:rsid w:val="0071741E"/>
    <w:rsid w:val="0071743E"/>
    <w:rsid w:val="0071753D"/>
    <w:rsid w:val="00717540"/>
    <w:rsid w:val="007175E7"/>
    <w:rsid w:val="00717727"/>
    <w:rsid w:val="007177A3"/>
    <w:rsid w:val="0071782D"/>
    <w:rsid w:val="00717A26"/>
    <w:rsid w:val="00717C88"/>
    <w:rsid w:val="00717D37"/>
    <w:rsid w:val="00717DD3"/>
    <w:rsid w:val="00717F72"/>
    <w:rsid w:val="007200CC"/>
    <w:rsid w:val="007201C4"/>
    <w:rsid w:val="00720461"/>
    <w:rsid w:val="007208FA"/>
    <w:rsid w:val="00720B15"/>
    <w:rsid w:val="00720BB4"/>
    <w:rsid w:val="00720BC6"/>
    <w:rsid w:val="00720D32"/>
    <w:rsid w:val="00720F5E"/>
    <w:rsid w:val="007210D1"/>
    <w:rsid w:val="00721101"/>
    <w:rsid w:val="007211E1"/>
    <w:rsid w:val="007216A0"/>
    <w:rsid w:val="007217C4"/>
    <w:rsid w:val="007218B7"/>
    <w:rsid w:val="0072194D"/>
    <w:rsid w:val="00721976"/>
    <w:rsid w:val="00721B06"/>
    <w:rsid w:val="00721BCA"/>
    <w:rsid w:val="00721D65"/>
    <w:rsid w:val="00721E59"/>
    <w:rsid w:val="00721EAF"/>
    <w:rsid w:val="00721EEE"/>
    <w:rsid w:val="00722037"/>
    <w:rsid w:val="00722181"/>
    <w:rsid w:val="00722197"/>
    <w:rsid w:val="007222F1"/>
    <w:rsid w:val="00722319"/>
    <w:rsid w:val="007224D8"/>
    <w:rsid w:val="00722542"/>
    <w:rsid w:val="007226F9"/>
    <w:rsid w:val="007228C5"/>
    <w:rsid w:val="00722A73"/>
    <w:rsid w:val="00722A80"/>
    <w:rsid w:val="00722CC0"/>
    <w:rsid w:val="00722DF9"/>
    <w:rsid w:val="00722E01"/>
    <w:rsid w:val="00722E62"/>
    <w:rsid w:val="00722F90"/>
    <w:rsid w:val="00723022"/>
    <w:rsid w:val="00723130"/>
    <w:rsid w:val="0072314B"/>
    <w:rsid w:val="00723204"/>
    <w:rsid w:val="007232FC"/>
    <w:rsid w:val="0072358F"/>
    <w:rsid w:val="007236A6"/>
    <w:rsid w:val="007238E9"/>
    <w:rsid w:val="007238F0"/>
    <w:rsid w:val="00723CA7"/>
    <w:rsid w:val="00723EB9"/>
    <w:rsid w:val="00724312"/>
    <w:rsid w:val="0072436E"/>
    <w:rsid w:val="007243BE"/>
    <w:rsid w:val="0072446F"/>
    <w:rsid w:val="00724838"/>
    <w:rsid w:val="00724B4D"/>
    <w:rsid w:val="00724B51"/>
    <w:rsid w:val="00724B5C"/>
    <w:rsid w:val="00724C09"/>
    <w:rsid w:val="00724CA8"/>
    <w:rsid w:val="00724CFD"/>
    <w:rsid w:val="00724E4C"/>
    <w:rsid w:val="00725528"/>
    <w:rsid w:val="00725603"/>
    <w:rsid w:val="007256A9"/>
    <w:rsid w:val="00725986"/>
    <w:rsid w:val="00725A49"/>
    <w:rsid w:val="00725B08"/>
    <w:rsid w:val="00725D15"/>
    <w:rsid w:val="00725E95"/>
    <w:rsid w:val="00726021"/>
    <w:rsid w:val="007261E7"/>
    <w:rsid w:val="00726277"/>
    <w:rsid w:val="00726576"/>
    <w:rsid w:val="00726601"/>
    <w:rsid w:val="00726642"/>
    <w:rsid w:val="0072664C"/>
    <w:rsid w:val="007266BD"/>
    <w:rsid w:val="0072679D"/>
    <w:rsid w:val="00726973"/>
    <w:rsid w:val="007269AD"/>
    <w:rsid w:val="00726D99"/>
    <w:rsid w:val="00726DDD"/>
    <w:rsid w:val="00726E00"/>
    <w:rsid w:val="007271AD"/>
    <w:rsid w:val="00727340"/>
    <w:rsid w:val="007275EB"/>
    <w:rsid w:val="007276CB"/>
    <w:rsid w:val="00727888"/>
    <w:rsid w:val="00727CB3"/>
    <w:rsid w:val="00727E41"/>
    <w:rsid w:val="007300D0"/>
    <w:rsid w:val="0073018F"/>
    <w:rsid w:val="0073034E"/>
    <w:rsid w:val="007303F4"/>
    <w:rsid w:val="0073040C"/>
    <w:rsid w:val="0073047A"/>
    <w:rsid w:val="00730649"/>
    <w:rsid w:val="00730748"/>
    <w:rsid w:val="00730841"/>
    <w:rsid w:val="007309AF"/>
    <w:rsid w:val="007309EF"/>
    <w:rsid w:val="00730A7C"/>
    <w:rsid w:val="00730B51"/>
    <w:rsid w:val="00730D6D"/>
    <w:rsid w:val="00730F34"/>
    <w:rsid w:val="0073120B"/>
    <w:rsid w:val="00731214"/>
    <w:rsid w:val="007312AC"/>
    <w:rsid w:val="00731709"/>
    <w:rsid w:val="00731785"/>
    <w:rsid w:val="007317CD"/>
    <w:rsid w:val="007318F1"/>
    <w:rsid w:val="0073191B"/>
    <w:rsid w:val="00731BB3"/>
    <w:rsid w:val="00731BC1"/>
    <w:rsid w:val="00731C8A"/>
    <w:rsid w:val="00731C96"/>
    <w:rsid w:val="00731C9F"/>
    <w:rsid w:val="00731D64"/>
    <w:rsid w:val="00731E5C"/>
    <w:rsid w:val="00731E9E"/>
    <w:rsid w:val="00731FD0"/>
    <w:rsid w:val="0073200C"/>
    <w:rsid w:val="007320A2"/>
    <w:rsid w:val="00732178"/>
    <w:rsid w:val="0073223B"/>
    <w:rsid w:val="007325F0"/>
    <w:rsid w:val="00732796"/>
    <w:rsid w:val="00732863"/>
    <w:rsid w:val="00732A0F"/>
    <w:rsid w:val="00732C03"/>
    <w:rsid w:val="00732D5B"/>
    <w:rsid w:val="00733065"/>
    <w:rsid w:val="0073311E"/>
    <w:rsid w:val="0073374B"/>
    <w:rsid w:val="007337EC"/>
    <w:rsid w:val="00733902"/>
    <w:rsid w:val="0073397E"/>
    <w:rsid w:val="00733DA9"/>
    <w:rsid w:val="00733E65"/>
    <w:rsid w:val="00733F31"/>
    <w:rsid w:val="00733F7D"/>
    <w:rsid w:val="00733FE2"/>
    <w:rsid w:val="0073420C"/>
    <w:rsid w:val="007343FF"/>
    <w:rsid w:val="007345AC"/>
    <w:rsid w:val="00734797"/>
    <w:rsid w:val="0073485F"/>
    <w:rsid w:val="007348C5"/>
    <w:rsid w:val="0073499F"/>
    <w:rsid w:val="00734B4A"/>
    <w:rsid w:val="00734DF3"/>
    <w:rsid w:val="00734E41"/>
    <w:rsid w:val="00734EF4"/>
    <w:rsid w:val="0073501F"/>
    <w:rsid w:val="00735054"/>
    <w:rsid w:val="00735203"/>
    <w:rsid w:val="0073568F"/>
    <w:rsid w:val="0073569B"/>
    <w:rsid w:val="007356A4"/>
    <w:rsid w:val="00735A03"/>
    <w:rsid w:val="00735A84"/>
    <w:rsid w:val="00735CE6"/>
    <w:rsid w:val="00735E6F"/>
    <w:rsid w:val="00735F33"/>
    <w:rsid w:val="00735FD2"/>
    <w:rsid w:val="0073608A"/>
    <w:rsid w:val="007361A7"/>
    <w:rsid w:val="007362B5"/>
    <w:rsid w:val="00736348"/>
    <w:rsid w:val="007363BF"/>
    <w:rsid w:val="0073642E"/>
    <w:rsid w:val="007364BB"/>
    <w:rsid w:val="0073653D"/>
    <w:rsid w:val="00736665"/>
    <w:rsid w:val="00736668"/>
    <w:rsid w:val="0073667D"/>
    <w:rsid w:val="007367A6"/>
    <w:rsid w:val="00736A02"/>
    <w:rsid w:val="00736A5A"/>
    <w:rsid w:val="00736A65"/>
    <w:rsid w:val="007370A8"/>
    <w:rsid w:val="00737106"/>
    <w:rsid w:val="0073713D"/>
    <w:rsid w:val="0073737E"/>
    <w:rsid w:val="007373EA"/>
    <w:rsid w:val="00737602"/>
    <w:rsid w:val="0073762E"/>
    <w:rsid w:val="007379E3"/>
    <w:rsid w:val="00737A07"/>
    <w:rsid w:val="00737B83"/>
    <w:rsid w:val="00737BE1"/>
    <w:rsid w:val="00737BF5"/>
    <w:rsid w:val="00737E62"/>
    <w:rsid w:val="00737F73"/>
    <w:rsid w:val="00740002"/>
    <w:rsid w:val="00740031"/>
    <w:rsid w:val="00740209"/>
    <w:rsid w:val="007402BB"/>
    <w:rsid w:val="007402D7"/>
    <w:rsid w:val="007402DA"/>
    <w:rsid w:val="007402E0"/>
    <w:rsid w:val="007404C4"/>
    <w:rsid w:val="007404E1"/>
    <w:rsid w:val="007404E2"/>
    <w:rsid w:val="007404EB"/>
    <w:rsid w:val="00740581"/>
    <w:rsid w:val="00740693"/>
    <w:rsid w:val="00740826"/>
    <w:rsid w:val="00740A5A"/>
    <w:rsid w:val="00740AF8"/>
    <w:rsid w:val="00740B32"/>
    <w:rsid w:val="00740E92"/>
    <w:rsid w:val="00740ECF"/>
    <w:rsid w:val="00740F1E"/>
    <w:rsid w:val="00740F6D"/>
    <w:rsid w:val="007411CA"/>
    <w:rsid w:val="0074120E"/>
    <w:rsid w:val="007412C6"/>
    <w:rsid w:val="007412CD"/>
    <w:rsid w:val="00741332"/>
    <w:rsid w:val="007413E9"/>
    <w:rsid w:val="007414B2"/>
    <w:rsid w:val="007415F3"/>
    <w:rsid w:val="00741669"/>
    <w:rsid w:val="007416CE"/>
    <w:rsid w:val="00741825"/>
    <w:rsid w:val="00741868"/>
    <w:rsid w:val="00741B8F"/>
    <w:rsid w:val="00741D2A"/>
    <w:rsid w:val="00741D65"/>
    <w:rsid w:val="00741F1C"/>
    <w:rsid w:val="00742052"/>
    <w:rsid w:val="007420B3"/>
    <w:rsid w:val="007422AC"/>
    <w:rsid w:val="007422C8"/>
    <w:rsid w:val="00742521"/>
    <w:rsid w:val="00742CA9"/>
    <w:rsid w:val="00743229"/>
    <w:rsid w:val="00743285"/>
    <w:rsid w:val="00743424"/>
    <w:rsid w:val="0074359F"/>
    <w:rsid w:val="007435FF"/>
    <w:rsid w:val="00743730"/>
    <w:rsid w:val="007438A5"/>
    <w:rsid w:val="007438F0"/>
    <w:rsid w:val="00743912"/>
    <w:rsid w:val="00743ABF"/>
    <w:rsid w:val="00743BB2"/>
    <w:rsid w:val="00743E4C"/>
    <w:rsid w:val="00743F67"/>
    <w:rsid w:val="00744001"/>
    <w:rsid w:val="007440AF"/>
    <w:rsid w:val="007440D4"/>
    <w:rsid w:val="007440DD"/>
    <w:rsid w:val="007441E2"/>
    <w:rsid w:val="0074420B"/>
    <w:rsid w:val="00744246"/>
    <w:rsid w:val="00744313"/>
    <w:rsid w:val="00744444"/>
    <w:rsid w:val="007444F4"/>
    <w:rsid w:val="00744521"/>
    <w:rsid w:val="0074458B"/>
    <w:rsid w:val="00744646"/>
    <w:rsid w:val="0074477C"/>
    <w:rsid w:val="00744C0D"/>
    <w:rsid w:val="00744C2E"/>
    <w:rsid w:val="00744C6B"/>
    <w:rsid w:val="00744CAC"/>
    <w:rsid w:val="00744D0C"/>
    <w:rsid w:val="00744FBA"/>
    <w:rsid w:val="00745023"/>
    <w:rsid w:val="0074502E"/>
    <w:rsid w:val="00745162"/>
    <w:rsid w:val="007452CE"/>
    <w:rsid w:val="0074564F"/>
    <w:rsid w:val="007456AC"/>
    <w:rsid w:val="00745B59"/>
    <w:rsid w:val="00745F79"/>
    <w:rsid w:val="00746016"/>
    <w:rsid w:val="007460C8"/>
    <w:rsid w:val="00746357"/>
    <w:rsid w:val="0074640F"/>
    <w:rsid w:val="007465EA"/>
    <w:rsid w:val="00746930"/>
    <w:rsid w:val="0074693E"/>
    <w:rsid w:val="00746A0E"/>
    <w:rsid w:val="00746E25"/>
    <w:rsid w:val="00746E2C"/>
    <w:rsid w:val="00746E92"/>
    <w:rsid w:val="00746F73"/>
    <w:rsid w:val="00746F8F"/>
    <w:rsid w:val="00746FFB"/>
    <w:rsid w:val="00747073"/>
    <w:rsid w:val="00747188"/>
    <w:rsid w:val="007471BA"/>
    <w:rsid w:val="0074747D"/>
    <w:rsid w:val="00747A2B"/>
    <w:rsid w:val="00747AD9"/>
    <w:rsid w:val="00747B1D"/>
    <w:rsid w:val="00747C5F"/>
    <w:rsid w:val="00747CB4"/>
    <w:rsid w:val="00747EC7"/>
    <w:rsid w:val="00747EE8"/>
    <w:rsid w:val="00747F0E"/>
    <w:rsid w:val="00747F4F"/>
    <w:rsid w:val="00747F85"/>
    <w:rsid w:val="00747FA0"/>
    <w:rsid w:val="0075018F"/>
    <w:rsid w:val="0075019C"/>
    <w:rsid w:val="00750230"/>
    <w:rsid w:val="0075023A"/>
    <w:rsid w:val="007506B5"/>
    <w:rsid w:val="0075072C"/>
    <w:rsid w:val="00750739"/>
    <w:rsid w:val="00750881"/>
    <w:rsid w:val="00750E6F"/>
    <w:rsid w:val="00750EE9"/>
    <w:rsid w:val="00751055"/>
    <w:rsid w:val="0075112F"/>
    <w:rsid w:val="007511D0"/>
    <w:rsid w:val="007512A6"/>
    <w:rsid w:val="00751389"/>
    <w:rsid w:val="00751398"/>
    <w:rsid w:val="007513A5"/>
    <w:rsid w:val="00751421"/>
    <w:rsid w:val="0075148F"/>
    <w:rsid w:val="007514EE"/>
    <w:rsid w:val="00751732"/>
    <w:rsid w:val="0075174D"/>
    <w:rsid w:val="00751811"/>
    <w:rsid w:val="00751817"/>
    <w:rsid w:val="007518A3"/>
    <w:rsid w:val="007518B6"/>
    <w:rsid w:val="00751AB1"/>
    <w:rsid w:val="00751C27"/>
    <w:rsid w:val="00751CF5"/>
    <w:rsid w:val="00751E5C"/>
    <w:rsid w:val="00751F58"/>
    <w:rsid w:val="00751FF5"/>
    <w:rsid w:val="00752031"/>
    <w:rsid w:val="0075218B"/>
    <w:rsid w:val="007521F9"/>
    <w:rsid w:val="00752267"/>
    <w:rsid w:val="007523D9"/>
    <w:rsid w:val="00752422"/>
    <w:rsid w:val="007525A3"/>
    <w:rsid w:val="007525D9"/>
    <w:rsid w:val="00752897"/>
    <w:rsid w:val="00752CE9"/>
    <w:rsid w:val="00752E82"/>
    <w:rsid w:val="00752F65"/>
    <w:rsid w:val="00752FF0"/>
    <w:rsid w:val="007530BF"/>
    <w:rsid w:val="0075310A"/>
    <w:rsid w:val="00753677"/>
    <w:rsid w:val="00753881"/>
    <w:rsid w:val="007538A1"/>
    <w:rsid w:val="00753A95"/>
    <w:rsid w:val="00753B0E"/>
    <w:rsid w:val="00753B8A"/>
    <w:rsid w:val="00753BA3"/>
    <w:rsid w:val="00753BFA"/>
    <w:rsid w:val="00753D19"/>
    <w:rsid w:val="00753D8A"/>
    <w:rsid w:val="00753F40"/>
    <w:rsid w:val="00753F4B"/>
    <w:rsid w:val="0075400E"/>
    <w:rsid w:val="00754225"/>
    <w:rsid w:val="00754383"/>
    <w:rsid w:val="007543EC"/>
    <w:rsid w:val="00754437"/>
    <w:rsid w:val="007545AE"/>
    <w:rsid w:val="007546A5"/>
    <w:rsid w:val="0075473D"/>
    <w:rsid w:val="0075476D"/>
    <w:rsid w:val="007547F4"/>
    <w:rsid w:val="007548C4"/>
    <w:rsid w:val="00754BD4"/>
    <w:rsid w:val="00754BEC"/>
    <w:rsid w:val="00754D20"/>
    <w:rsid w:val="00754EDC"/>
    <w:rsid w:val="007552F7"/>
    <w:rsid w:val="0075551E"/>
    <w:rsid w:val="00755742"/>
    <w:rsid w:val="007559F4"/>
    <w:rsid w:val="007559F8"/>
    <w:rsid w:val="00755CD3"/>
    <w:rsid w:val="00755D73"/>
    <w:rsid w:val="00755DA0"/>
    <w:rsid w:val="00755F6C"/>
    <w:rsid w:val="00755F7F"/>
    <w:rsid w:val="0075600B"/>
    <w:rsid w:val="0075618B"/>
    <w:rsid w:val="00756385"/>
    <w:rsid w:val="00756397"/>
    <w:rsid w:val="00756505"/>
    <w:rsid w:val="0075664A"/>
    <w:rsid w:val="007566D1"/>
    <w:rsid w:val="007568E8"/>
    <w:rsid w:val="007568F0"/>
    <w:rsid w:val="00756C9C"/>
    <w:rsid w:val="00756E11"/>
    <w:rsid w:val="00756E57"/>
    <w:rsid w:val="00756F06"/>
    <w:rsid w:val="007570DA"/>
    <w:rsid w:val="00757151"/>
    <w:rsid w:val="007571A6"/>
    <w:rsid w:val="007573B2"/>
    <w:rsid w:val="007574AE"/>
    <w:rsid w:val="00757511"/>
    <w:rsid w:val="00757683"/>
    <w:rsid w:val="007576E2"/>
    <w:rsid w:val="0075775E"/>
    <w:rsid w:val="007577B8"/>
    <w:rsid w:val="007577CC"/>
    <w:rsid w:val="007577D7"/>
    <w:rsid w:val="00757872"/>
    <w:rsid w:val="00757AB6"/>
    <w:rsid w:val="00757C48"/>
    <w:rsid w:val="00757CA1"/>
    <w:rsid w:val="00757D88"/>
    <w:rsid w:val="00757E1B"/>
    <w:rsid w:val="007600A4"/>
    <w:rsid w:val="007600C0"/>
    <w:rsid w:val="0076010F"/>
    <w:rsid w:val="0076018A"/>
    <w:rsid w:val="007602DD"/>
    <w:rsid w:val="007603AE"/>
    <w:rsid w:val="007604FA"/>
    <w:rsid w:val="0076057F"/>
    <w:rsid w:val="007605A8"/>
    <w:rsid w:val="007605AE"/>
    <w:rsid w:val="007607C9"/>
    <w:rsid w:val="0076085D"/>
    <w:rsid w:val="0076094E"/>
    <w:rsid w:val="0076095F"/>
    <w:rsid w:val="00760A3C"/>
    <w:rsid w:val="00760B8B"/>
    <w:rsid w:val="00760CC8"/>
    <w:rsid w:val="00760E34"/>
    <w:rsid w:val="0076106D"/>
    <w:rsid w:val="0076125F"/>
    <w:rsid w:val="00761536"/>
    <w:rsid w:val="00761581"/>
    <w:rsid w:val="0076171E"/>
    <w:rsid w:val="00761844"/>
    <w:rsid w:val="00761882"/>
    <w:rsid w:val="007619EF"/>
    <w:rsid w:val="00761A4B"/>
    <w:rsid w:val="00761A5F"/>
    <w:rsid w:val="00761C1D"/>
    <w:rsid w:val="00761CD9"/>
    <w:rsid w:val="00761CE3"/>
    <w:rsid w:val="00761D31"/>
    <w:rsid w:val="00761E79"/>
    <w:rsid w:val="00761EAD"/>
    <w:rsid w:val="00761F81"/>
    <w:rsid w:val="007620E4"/>
    <w:rsid w:val="0076210B"/>
    <w:rsid w:val="007627D3"/>
    <w:rsid w:val="00762807"/>
    <w:rsid w:val="0076280F"/>
    <w:rsid w:val="007629FE"/>
    <w:rsid w:val="00762B0F"/>
    <w:rsid w:val="00762C35"/>
    <w:rsid w:val="00762C38"/>
    <w:rsid w:val="00762D9C"/>
    <w:rsid w:val="007630E6"/>
    <w:rsid w:val="00763245"/>
    <w:rsid w:val="00763709"/>
    <w:rsid w:val="007639A2"/>
    <w:rsid w:val="00763AFA"/>
    <w:rsid w:val="00763B1E"/>
    <w:rsid w:val="00763B28"/>
    <w:rsid w:val="00763BCA"/>
    <w:rsid w:val="00763EBA"/>
    <w:rsid w:val="00763F38"/>
    <w:rsid w:val="00763F7D"/>
    <w:rsid w:val="00764063"/>
    <w:rsid w:val="0076420A"/>
    <w:rsid w:val="007642A0"/>
    <w:rsid w:val="00764620"/>
    <w:rsid w:val="0076474D"/>
    <w:rsid w:val="00764970"/>
    <w:rsid w:val="007649FA"/>
    <w:rsid w:val="00764B05"/>
    <w:rsid w:val="00764C00"/>
    <w:rsid w:val="00764CC7"/>
    <w:rsid w:val="00764CDF"/>
    <w:rsid w:val="00764CF2"/>
    <w:rsid w:val="00764E11"/>
    <w:rsid w:val="00764E73"/>
    <w:rsid w:val="00764F16"/>
    <w:rsid w:val="00764F26"/>
    <w:rsid w:val="00764FB6"/>
    <w:rsid w:val="007651F4"/>
    <w:rsid w:val="00765479"/>
    <w:rsid w:val="007654D5"/>
    <w:rsid w:val="00765551"/>
    <w:rsid w:val="00765707"/>
    <w:rsid w:val="007658A0"/>
    <w:rsid w:val="00765966"/>
    <w:rsid w:val="00765A45"/>
    <w:rsid w:val="00765AAB"/>
    <w:rsid w:val="00765ABF"/>
    <w:rsid w:val="00765C13"/>
    <w:rsid w:val="00765D00"/>
    <w:rsid w:val="00766268"/>
    <w:rsid w:val="0076626E"/>
    <w:rsid w:val="0076629A"/>
    <w:rsid w:val="0076634D"/>
    <w:rsid w:val="00766439"/>
    <w:rsid w:val="0076651D"/>
    <w:rsid w:val="00766637"/>
    <w:rsid w:val="00766761"/>
    <w:rsid w:val="007668C8"/>
    <w:rsid w:val="007669AF"/>
    <w:rsid w:val="00766A24"/>
    <w:rsid w:val="00766B4B"/>
    <w:rsid w:val="00766BFB"/>
    <w:rsid w:val="00766DA6"/>
    <w:rsid w:val="00766F03"/>
    <w:rsid w:val="00766F65"/>
    <w:rsid w:val="00767215"/>
    <w:rsid w:val="007673C2"/>
    <w:rsid w:val="00767460"/>
    <w:rsid w:val="007674B8"/>
    <w:rsid w:val="0076758E"/>
    <w:rsid w:val="007675CF"/>
    <w:rsid w:val="0076787B"/>
    <w:rsid w:val="00767944"/>
    <w:rsid w:val="00767A0A"/>
    <w:rsid w:val="00767A8D"/>
    <w:rsid w:val="00767A99"/>
    <w:rsid w:val="00767B3C"/>
    <w:rsid w:val="00767B50"/>
    <w:rsid w:val="00767BE5"/>
    <w:rsid w:val="00767C0E"/>
    <w:rsid w:val="00767DBC"/>
    <w:rsid w:val="00767DDA"/>
    <w:rsid w:val="00767ECA"/>
    <w:rsid w:val="00767F3C"/>
    <w:rsid w:val="00767F86"/>
    <w:rsid w:val="00770156"/>
    <w:rsid w:val="00770181"/>
    <w:rsid w:val="007704C1"/>
    <w:rsid w:val="007704F8"/>
    <w:rsid w:val="007705CA"/>
    <w:rsid w:val="007705FC"/>
    <w:rsid w:val="00770608"/>
    <w:rsid w:val="00770B6D"/>
    <w:rsid w:val="00770BC5"/>
    <w:rsid w:val="00770BCC"/>
    <w:rsid w:val="00770D3F"/>
    <w:rsid w:val="00771041"/>
    <w:rsid w:val="007710FD"/>
    <w:rsid w:val="007711C1"/>
    <w:rsid w:val="0077133F"/>
    <w:rsid w:val="007715F4"/>
    <w:rsid w:val="0077170A"/>
    <w:rsid w:val="00771723"/>
    <w:rsid w:val="00771824"/>
    <w:rsid w:val="00771856"/>
    <w:rsid w:val="007719AA"/>
    <w:rsid w:val="007719AC"/>
    <w:rsid w:val="007719FC"/>
    <w:rsid w:val="00771B76"/>
    <w:rsid w:val="00771C54"/>
    <w:rsid w:val="00771DF5"/>
    <w:rsid w:val="0077212C"/>
    <w:rsid w:val="00772408"/>
    <w:rsid w:val="00772658"/>
    <w:rsid w:val="0077283F"/>
    <w:rsid w:val="0077299A"/>
    <w:rsid w:val="00772AB9"/>
    <w:rsid w:val="00772E53"/>
    <w:rsid w:val="00773272"/>
    <w:rsid w:val="00773468"/>
    <w:rsid w:val="007734EF"/>
    <w:rsid w:val="0077357C"/>
    <w:rsid w:val="007735F9"/>
    <w:rsid w:val="0077374F"/>
    <w:rsid w:val="0077383C"/>
    <w:rsid w:val="00773886"/>
    <w:rsid w:val="007738D8"/>
    <w:rsid w:val="007738E2"/>
    <w:rsid w:val="00773AA4"/>
    <w:rsid w:val="00773D28"/>
    <w:rsid w:val="00773E42"/>
    <w:rsid w:val="00773ED1"/>
    <w:rsid w:val="00773F2C"/>
    <w:rsid w:val="0077407D"/>
    <w:rsid w:val="007741B3"/>
    <w:rsid w:val="0077430A"/>
    <w:rsid w:val="00774566"/>
    <w:rsid w:val="007746FE"/>
    <w:rsid w:val="00774707"/>
    <w:rsid w:val="00774727"/>
    <w:rsid w:val="00774823"/>
    <w:rsid w:val="0077488D"/>
    <w:rsid w:val="007749CF"/>
    <w:rsid w:val="00774B67"/>
    <w:rsid w:val="00774B6D"/>
    <w:rsid w:val="00774BD9"/>
    <w:rsid w:val="00774D00"/>
    <w:rsid w:val="00774DCC"/>
    <w:rsid w:val="00774F09"/>
    <w:rsid w:val="00774FB6"/>
    <w:rsid w:val="00774FC7"/>
    <w:rsid w:val="00774FD7"/>
    <w:rsid w:val="00775036"/>
    <w:rsid w:val="00775068"/>
    <w:rsid w:val="00775095"/>
    <w:rsid w:val="0077512D"/>
    <w:rsid w:val="0077517B"/>
    <w:rsid w:val="007751A3"/>
    <w:rsid w:val="007751D5"/>
    <w:rsid w:val="0077522B"/>
    <w:rsid w:val="0077542C"/>
    <w:rsid w:val="00775434"/>
    <w:rsid w:val="00775533"/>
    <w:rsid w:val="007755B8"/>
    <w:rsid w:val="00775742"/>
    <w:rsid w:val="00775859"/>
    <w:rsid w:val="00775BF6"/>
    <w:rsid w:val="00775CA3"/>
    <w:rsid w:val="00775E12"/>
    <w:rsid w:val="00776062"/>
    <w:rsid w:val="007762AA"/>
    <w:rsid w:val="00776664"/>
    <w:rsid w:val="0077689B"/>
    <w:rsid w:val="00776945"/>
    <w:rsid w:val="007769D5"/>
    <w:rsid w:val="00776B9A"/>
    <w:rsid w:val="00776BDF"/>
    <w:rsid w:val="00776C87"/>
    <w:rsid w:val="00776E2E"/>
    <w:rsid w:val="00776ED2"/>
    <w:rsid w:val="00776F06"/>
    <w:rsid w:val="00776F79"/>
    <w:rsid w:val="00776F99"/>
    <w:rsid w:val="00777035"/>
    <w:rsid w:val="007770E7"/>
    <w:rsid w:val="0077723D"/>
    <w:rsid w:val="007772E6"/>
    <w:rsid w:val="007772F6"/>
    <w:rsid w:val="0077744B"/>
    <w:rsid w:val="00777486"/>
    <w:rsid w:val="00777750"/>
    <w:rsid w:val="0077780D"/>
    <w:rsid w:val="0077781D"/>
    <w:rsid w:val="00777850"/>
    <w:rsid w:val="00777864"/>
    <w:rsid w:val="00777918"/>
    <w:rsid w:val="00777AB5"/>
    <w:rsid w:val="00777B9F"/>
    <w:rsid w:val="00777DA4"/>
    <w:rsid w:val="00777E9C"/>
    <w:rsid w:val="00777EBC"/>
    <w:rsid w:val="00777FA2"/>
    <w:rsid w:val="00780000"/>
    <w:rsid w:val="00780028"/>
    <w:rsid w:val="0078027D"/>
    <w:rsid w:val="00780582"/>
    <w:rsid w:val="0078061D"/>
    <w:rsid w:val="0078064F"/>
    <w:rsid w:val="007807DD"/>
    <w:rsid w:val="00780B42"/>
    <w:rsid w:val="00780B4E"/>
    <w:rsid w:val="00780BC5"/>
    <w:rsid w:val="00780EE0"/>
    <w:rsid w:val="00781168"/>
    <w:rsid w:val="00781478"/>
    <w:rsid w:val="007815C8"/>
    <w:rsid w:val="0078161C"/>
    <w:rsid w:val="0078167B"/>
    <w:rsid w:val="00781ADB"/>
    <w:rsid w:val="00781B4E"/>
    <w:rsid w:val="00781C32"/>
    <w:rsid w:val="00781D77"/>
    <w:rsid w:val="00781D8A"/>
    <w:rsid w:val="00782224"/>
    <w:rsid w:val="007822F0"/>
    <w:rsid w:val="0078232B"/>
    <w:rsid w:val="00782433"/>
    <w:rsid w:val="00782484"/>
    <w:rsid w:val="007824A7"/>
    <w:rsid w:val="00782629"/>
    <w:rsid w:val="0078267A"/>
    <w:rsid w:val="00782968"/>
    <w:rsid w:val="00782B38"/>
    <w:rsid w:val="00783136"/>
    <w:rsid w:val="007831D3"/>
    <w:rsid w:val="00783336"/>
    <w:rsid w:val="00783371"/>
    <w:rsid w:val="007834F2"/>
    <w:rsid w:val="0078353B"/>
    <w:rsid w:val="00783592"/>
    <w:rsid w:val="00783773"/>
    <w:rsid w:val="007838C4"/>
    <w:rsid w:val="007838F8"/>
    <w:rsid w:val="00783947"/>
    <w:rsid w:val="00783A2D"/>
    <w:rsid w:val="00783A9A"/>
    <w:rsid w:val="00783AF9"/>
    <w:rsid w:val="00783B4F"/>
    <w:rsid w:val="00783C23"/>
    <w:rsid w:val="00783C96"/>
    <w:rsid w:val="00783CFB"/>
    <w:rsid w:val="00783D3E"/>
    <w:rsid w:val="00783E5D"/>
    <w:rsid w:val="00783EC1"/>
    <w:rsid w:val="00783F20"/>
    <w:rsid w:val="00783FB7"/>
    <w:rsid w:val="007842E3"/>
    <w:rsid w:val="007844A0"/>
    <w:rsid w:val="007845C0"/>
    <w:rsid w:val="0078493F"/>
    <w:rsid w:val="00784A29"/>
    <w:rsid w:val="00784CDB"/>
    <w:rsid w:val="00784CEA"/>
    <w:rsid w:val="00784F6C"/>
    <w:rsid w:val="00785296"/>
    <w:rsid w:val="007854C1"/>
    <w:rsid w:val="0078553F"/>
    <w:rsid w:val="00785596"/>
    <w:rsid w:val="00785945"/>
    <w:rsid w:val="00785AAA"/>
    <w:rsid w:val="00785AB1"/>
    <w:rsid w:val="00785CD0"/>
    <w:rsid w:val="00785D37"/>
    <w:rsid w:val="00785DD6"/>
    <w:rsid w:val="00785DFD"/>
    <w:rsid w:val="007860D0"/>
    <w:rsid w:val="007860EA"/>
    <w:rsid w:val="007861C7"/>
    <w:rsid w:val="0078662D"/>
    <w:rsid w:val="007866C6"/>
    <w:rsid w:val="007866EA"/>
    <w:rsid w:val="007867E2"/>
    <w:rsid w:val="00786999"/>
    <w:rsid w:val="00786AB3"/>
    <w:rsid w:val="00786C8B"/>
    <w:rsid w:val="00786C97"/>
    <w:rsid w:val="00786CCA"/>
    <w:rsid w:val="00786D8C"/>
    <w:rsid w:val="00786EEF"/>
    <w:rsid w:val="00786F7F"/>
    <w:rsid w:val="0078716E"/>
    <w:rsid w:val="0078723F"/>
    <w:rsid w:val="00787342"/>
    <w:rsid w:val="007873D1"/>
    <w:rsid w:val="00787407"/>
    <w:rsid w:val="0078744C"/>
    <w:rsid w:val="00787493"/>
    <w:rsid w:val="007876A7"/>
    <w:rsid w:val="00787723"/>
    <w:rsid w:val="00787CA1"/>
    <w:rsid w:val="00787E13"/>
    <w:rsid w:val="0079001F"/>
    <w:rsid w:val="0079004B"/>
    <w:rsid w:val="00790051"/>
    <w:rsid w:val="0079010D"/>
    <w:rsid w:val="00790152"/>
    <w:rsid w:val="007901E6"/>
    <w:rsid w:val="0079036C"/>
    <w:rsid w:val="00790460"/>
    <w:rsid w:val="007906C3"/>
    <w:rsid w:val="00790812"/>
    <w:rsid w:val="00790837"/>
    <w:rsid w:val="00790C04"/>
    <w:rsid w:val="00790C15"/>
    <w:rsid w:val="00790C4E"/>
    <w:rsid w:val="00790D59"/>
    <w:rsid w:val="00790D87"/>
    <w:rsid w:val="00790EE0"/>
    <w:rsid w:val="007913AE"/>
    <w:rsid w:val="00791446"/>
    <w:rsid w:val="00791475"/>
    <w:rsid w:val="007914B0"/>
    <w:rsid w:val="00791718"/>
    <w:rsid w:val="007917C1"/>
    <w:rsid w:val="00791C48"/>
    <w:rsid w:val="00791CCB"/>
    <w:rsid w:val="00791E34"/>
    <w:rsid w:val="00791FAA"/>
    <w:rsid w:val="0079223A"/>
    <w:rsid w:val="0079232D"/>
    <w:rsid w:val="007925C7"/>
    <w:rsid w:val="00792650"/>
    <w:rsid w:val="00792721"/>
    <w:rsid w:val="00792918"/>
    <w:rsid w:val="00792BAE"/>
    <w:rsid w:val="00792DED"/>
    <w:rsid w:val="00792DF5"/>
    <w:rsid w:val="00793222"/>
    <w:rsid w:val="00793346"/>
    <w:rsid w:val="007933FA"/>
    <w:rsid w:val="00793477"/>
    <w:rsid w:val="007934D6"/>
    <w:rsid w:val="00793504"/>
    <w:rsid w:val="00793605"/>
    <w:rsid w:val="0079361C"/>
    <w:rsid w:val="0079365D"/>
    <w:rsid w:val="00793692"/>
    <w:rsid w:val="0079369A"/>
    <w:rsid w:val="007936C9"/>
    <w:rsid w:val="007936FF"/>
    <w:rsid w:val="0079376A"/>
    <w:rsid w:val="00793805"/>
    <w:rsid w:val="007939FC"/>
    <w:rsid w:val="00793C24"/>
    <w:rsid w:val="00793D85"/>
    <w:rsid w:val="00793EE7"/>
    <w:rsid w:val="00793F98"/>
    <w:rsid w:val="00793FBE"/>
    <w:rsid w:val="00794063"/>
    <w:rsid w:val="00794110"/>
    <w:rsid w:val="00794226"/>
    <w:rsid w:val="00794262"/>
    <w:rsid w:val="007942EB"/>
    <w:rsid w:val="00794367"/>
    <w:rsid w:val="00794864"/>
    <w:rsid w:val="00794E54"/>
    <w:rsid w:val="00795158"/>
    <w:rsid w:val="00795349"/>
    <w:rsid w:val="00795407"/>
    <w:rsid w:val="00795632"/>
    <w:rsid w:val="007957BA"/>
    <w:rsid w:val="00795AEF"/>
    <w:rsid w:val="00795C5F"/>
    <w:rsid w:val="00795D07"/>
    <w:rsid w:val="00795F06"/>
    <w:rsid w:val="00795FCF"/>
    <w:rsid w:val="007961FE"/>
    <w:rsid w:val="0079620D"/>
    <w:rsid w:val="007963B2"/>
    <w:rsid w:val="007964A1"/>
    <w:rsid w:val="007964BC"/>
    <w:rsid w:val="00796556"/>
    <w:rsid w:val="00796585"/>
    <w:rsid w:val="007965A7"/>
    <w:rsid w:val="007965DC"/>
    <w:rsid w:val="0079669E"/>
    <w:rsid w:val="00796753"/>
    <w:rsid w:val="007967EF"/>
    <w:rsid w:val="007969FF"/>
    <w:rsid w:val="00796A00"/>
    <w:rsid w:val="00796C82"/>
    <w:rsid w:val="00796D5D"/>
    <w:rsid w:val="00796FE5"/>
    <w:rsid w:val="0079760B"/>
    <w:rsid w:val="00797696"/>
    <w:rsid w:val="007976EF"/>
    <w:rsid w:val="007979A2"/>
    <w:rsid w:val="00797CA4"/>
    <w:rsid w:val="00797D25"/>
    <w:rsid w:val="00797E0F"/>
    <w:rsid w:val="00797EAB"/>
    <w:rsid w:val="00797FE5"/>
    <w:rsid w:val="007A002D"/>
    <w:rsid w:val="007A005B"/>
    <w:rsid w:val="007A0276"/>
    <w:rsid w:val="007A032B"/>
    <w:rsid w:val="007A0682"/>
    <w:rsid w:val="007A071E"/>
    <w:rsid w:val="007A0845"/>
    <w:rsid w:val="007A0C1F"/>
    <w:rsid w:val="007A0C3A"/>
    <w:rsid w:val="007A0C66"/>
    <w:rsid w:val="007A0FF0"/>
    <w:rsid w:val="007A0FFC"/>
    <w:rsid w:val="007A101A"/>
    <w:rsid w:val="007A104A"/>
    <w:rsid w:val="007A1056"/>
    <w:rsid w:val="007A1081"/>
    <w:rsid w:val="007A10E3"/>
    <w:rsid w:val="007A1112"/>
    <w:rsid w:val="007A1279"/>
    <w:rsid w:val="007A1315"/>
    <w:rsid w:val="007A133D"/>
    <w:rsid w:val="007A13AB"/>
    <w:rsid w:val="007A1539"/>
    <w:rsid w:val="007A1637"/>
    <w:rsid w:val="007A1728"/>
    <w:rsid w:val="007A180D"/>
    <w:rsid w:val="007A1890"/>
    <w:rsid w:val="007A1897"/>
    <w:rsid w:val="007A18E3"/>
    <w:rsid w:val="007A1A84"/>
    <w:rsid w:val="007A1CBA"/>
    <w:rsid w:val="007A1ED6"/>
    <w:rsid w:val="007A1F3B"/>
    <w:rsid w:val="007A2099"/>
    <w:rsid w:val="007A2140"/>
    <w:rsid w:val="007A22A8"/>
    <w:rsid w:val="007A22D2"/>
    <w:rsid w:val="007A2388"/>
    <w:rsid w:val="007A23FA"/>
    <w:rsid w:val="007A25C0"/>
    <w:rsid w:val="007A25C2"/>
    <w:rsid w:val="007A2681"/>
    <w:rsid w:val="007A26BE"/>
    <w:rsid w:val="007A27F7"/>
    <w:rsid w:val="007A282C"/>
    <w:rsid w:val="007A2952"/>
    <w:rsid w:val="007A297D"/>
    <w:rsid w:val="007A297E"/>
    <w:rsid w:val="007A2A08"/>
    <w:rsid w:val="007A2A5E"/>
    <w:rsid w:val="007A2BBC"/>
    <w:rsid w:val="007A2C15"/>
    <w:rsid w:val="007A2EC2"/>
    <w:rsid w:val="007A2EC8"/>
    <w:rsid w:val="007A2FF1"/>
    <w:rsid w:val="007A322F"/>
    <w:rsid w:val="007A3291"/>
    <w:rsid w:val="007A33DE"/>
    <w:rsid w:val="007A3868"/>
    <w:rsid w:val="007A3C88"/>
    <w:rsid w:val="007A3CCB"/>
    <w:rsid w:val="007A3D92"/>
    <w:rsid w:val="007A3DF3"/>
    <w:rsid w:val="007A3FF9"/>
    <w:rsid w:val="007A4114"/>
    <w:rsid w:val="007A42F2"/>
    <w:rsid w:val="007A43A2"/>
    <w:rsid w:val="007A43D1"/>
    <w:rsid w:val="007A4599"/>
    <w:rsid w:val="007A4657"/>
    <w:rsid w:val="007A474A"/>
    <w:rsid w:val="007A4C33"/>
    <w:rsid w:val="007A4C5C"/>
    <w:rsid w:val="007A4C64"/>
    <w:rsid w:val="007A4D85"/>
    <w:rsid w:val="007A4E8D"/>
    <w:rsid w:val="007A5032"/>
    <w:rsid w:val="007A5089"/>
    <w:rsid w:val="007A5094"/>
    <w:rsid w:val="007A515A"/>
    <w:rsid w:val="007A51B4"/>
    <w:rsid w:val="007A5267"/>
    <w:rsid w:val="007A5282"/>
    <w:rsid w:val="007A52D8"/>
    <w:rsid w:val="007A5682"/>
    <w:rsid w:val="007A572F"/>
    <w:rsid w:val="007A5927"/>
    <w:rsid w:val="007A5A0D"/>
    <w:rsid w:val="007A5AB1"/>
    <w:rsid w:val="007A5AC0"/>
    <w:rsid w:val="007A5B22"/>
    <w:rsid w:val="007A5BC8"/>
    <w:rsid w:val="007A5C41"/>
    <w:rsid w:val="007A5C96"/>
    <w:rsid w:val="007A5C9A"/>
    <w:rsid w:val="007A5D7D"/>
    <w:rsid w:val="007A5E48"/>
    <w:rsid w:val="007A5F63"/>
    <w:rsid w:val="007A605D"/>
    <w:rsid w:val="007A6176"/>
    <w:rsid w:val="007A624A"/>
    <w:rsid w:val="007A6428"/>
    <w:rsid w:val="007A648E"/>
    <w:rsid w:val="007A66B1"/>
    <w:rsid w:val="007A66E5"/>
    <w:rsid w:val="007A670D"/>
    <w:rsid w:val="007A670F"/>
    <w:rsid w:val="007A67EB"/>
    <w:rsid w:val="007A67EF"/>
    <w:rsid w:val="007A699D"/>
    <w:rsid w:val="007A6BA8"/>
    <w:rsid w:val="007A6BD2"/>
    <w:rsid w:val="007A6C02"/>
    <w:rsid w:val="007A6FBF"/>
    <w:rsid w:val="007A70A5"/>
    <w:rsid w:val="007A71A1"/>
    <w:rsid w:val="007A71E7"/>
    <w:rsid w:val="007A7205"/>
    <w:rsid w:val="007A7244"/>
    <w:rsid w:val="007A7440"/>
    <w:rsid w:val="007A759E"/>
    <w:rsid w:val="007A7678"/>
    <w:rsid w:val="007A77C2"/>
    <w:rsid w:val="007A77ED"/>
    <w:rsid w:val="007A7814"/>
    <w:rsid w:val="007A7A81"/>
    <w:rsid w:val="007A7B7C"/>
    <w:rsid w:val="007A7C51"/>
    <w:rsid w:val="007A7C92"/>
    <w:rsid w:val="007A7E76"/>
    <w:rsid w:val="007A7E96"/>
    <w:rsid w:val="007A7F63"/>
    <w:rsid w:val="007A7F80"/>
    <w:rsid w:val="007B03A9"/>
    <w:rsid w:val="007B07C5"/>
    <w:rsid w:val="007B0A1B"/>
    <w:rsid w:val="007B0A94"/>
    <w:rsid w:val="007B0ADA"/>
    <w:rsid w:val="007B0C4B"/>
    <w:rsid w:val="007B0DA8"/>
    <w:rsid w:val="007B11EC"/>
    <w:rsid w:val="007B135F"/>
    <w:rsid w:val="007B142B"/>
    <w:rsid w:val="007B173A"/>
    <w:rsid w:val="007B17BA"/>
    <w:rsid w:val="007B184B"/>
    <w:rsid w:val="007B1A6D"/>
    <w:rsid w:val="007B1B3E"/>
    <w:rsid w:val="007B1C22"/>
    <w:rsid w:val="007B1C83"/>
    <w:rsid w:val="007B1CD8"/>
    <w:rsid w:val="007B1D0F"/>
    <w:rsid w:val="007B1FE5"/>
    <w:rsid w:val="007B202E"/>
    <w:rsid w:val="007B21F1"/>
    <w:rsid w:val="007B24DE"/>
    <w:rsid w:val="007B2624"/>
    <w:rsid w:val="007B270D"/>
    <w:rsid w:val="007B28B5"/>
    <w:rsid w:val="007B299C"/>
    <w:rsid w:val="007B2A7A"/>
    <w:rsid w:val="007B2CC8"/>
    <w:rsid w:val="007B2E65"/>
    <w:rsid w:val="007B2E8F"/>
    <w:rsid w:val="007B2FFF"/>
    <w:rsid w:val="007B3041"/>
    <w:rsid w:val="007B3147"/>
    <w:rsid w:val="007B315A"/>
    <w:rsid w:val="007B325B"/>
    <w:rsid w:val="007B326C"/>
    <w:rsid w:val="007B343C"/>
    <w:rsid w:val="007B34F8"/>
    <w:rsid w:val="007B356D"/>
    <w:rsid w:val="007B3936"/>
    <w:rsid w:val="007B39DB"/>
    <w:rsid w:val="007B3ADC"/>
    <w:rsid w:val="007B3D00"/>
    <w:rsid w:val="007B3D70"/>
    <w:rsid w:val="007B3D91"/>
    <w:rsid w:val="007B3E04"/>
    <w:rsid w:val="007B3EAD"/>
    <w:rsid w:val="007B3F2D"/>
    <w:rsid w:val="007B4127"/>
    <w:rsid w:val="007B4186"/>
    <w:rsid w:val="007B422F"/>
    <w:rsid w:val="007B42B9"/>
    <w:rsid w:val="007B4506"/>
    <w:rsid w:val="007B47C9"/>
    <w:rsid w:val="007B4956"/>
    <w:rsid w:val="007B4BB7"/>
    <w:rsid w:val="007B4BFC"/>
    <w:rsid w:val="007B4EA4"/>
    <w:rsid w:val="007B4EE1"/>
    <w:rsid w:val="007B4FDB"/>
    <w:rsid w:val="007B513C"/>
    <w:rsid w:val="007B51C2"/>
    <w:rsid w:val="007B57D1"/>
    <w:rsid w:val="007B5ADD"/>
    <w:rsid w:val="007B5B7A"/>
    <w:rsid w:val="007B5BC6"/>
    <w:rsid w:val="007B5C06"/>
    <w:rsid w:val="007B5DB8"/>
    <w:rsid w:val="007B5DF7"/>
    <w:rsid w:val="007B5EDD"/>
    <w:rsid w:val="007B60F4"/>
    <w:rsid w:val="007B6146"/>
    <w:rsid w:val="007B61F3"/>
    <w:rsid w:val="007B6216"/>
    <w:rsid w:val="007B621A"/>
    <w:rsid w:val="007B6329"/>
    <w:rsid w:val="007B6502"/>
    <w:rsid w:val="007B654A"/>
    <w:rsid w:val="007B6599"/>
    <w:rsid w:val="007B6694"/>
    <w:rsid w:val="007B66A1"/>
    <w:rsid w:val="007B6736"/>
    <w:rsid w:val="007B6D2D"/>
    <w:rsid w:val="007B6D6E"/>
    <w:rsid w:val="007B6DBE"/>
    <w:rsid w:val="007B6DDC"/>
    <w:rsid w:val="007B738E"/>
    <w:rsid w:val="007B73AA"/>
    <w:rsid w:val="007B746F"/>
    <w:rsid w:val="007B7470"/>
    <w:rsid w:val="007B74CC"/>
    <w:rsid w:val="007B7546"/>
    <w:rsid w:val="007B754A"/>
    <w:rsid w:val="007B7704"/>
    <w:rsid w:val="007B77B6"/>
    <w:rsid w:val="007B7ACF"/>
    <w:rsid w:val="007B7D85"/>
    <w:rsid w:val="007B7E04"/>
    <w:rsid w:val="007B7F29"/>
    <w:rsid w:val="007C0180"/>
    <w:rsid w:val="007C023B"/>
    <w:rsid w:val="007C02BF"/>
    <w:rsid w:val="007C0358"/>
    <w:rsid w:val="007C0410"/>
    <w:rsid w:val="007C0432"/>
    <w:rsid w:val="007C05D6"/>
    <w:rsid w:val="007C061C"/>
    <w:rsid w:val="007C0BA4"/>
    <w:rsid w:val="007C0C7A"/>
    <w:rsid w:val="007C0D03"/>
    <w:rsid w:val="007C104D"/>
    <w:rsid w:val="007C11F6"/>
    <w:rsid w:val="007C1238"/>
    <w:rsid w:val="007C1251"/>
    <w:rsid w:val="007C129F"/>
    <w:rsid w:val="007C12C5"/>
    <w:rsid w:val="007C1319"/>
    <w:rsid w:val="007C1323"/>
    <w:rsid w:val="007C134C"/>
    <w:rsid w:val="007C1532"/>
    <w:rsid w:val="007C15CE"/>
    <w:rsid w:val="007C160C"/>
    <w:rsid w:val="007C1624"/>
    <w:rsid w:val="007C1671"/>
    <w:rsid w:val="007C182B"/>
    <w:rsid w:val="007C182E"/>
    <w:rsid w:val="007C18AF"/>
    <w:rsid w:val="007C18C1"/>
    <w:rsid w:val="007C19A7"/>
    <w:rsid w:val="007C19B6"/>
    <w:rsid w:val="007C19EB"/>
    <w:rsid w:val="007C1A63"/>
    <w:rsid w:val="007C1E89"/>
    <w:rsid w:val="007C20BC"/>
    <w:rsid w:val="007C2145"/>
    <w:rsid w:val="007C2268"/>
    <w:rsid w:val="007C23A4"/>
    <w:rsid w:val="007C2481"/>
    <w:rsid w:val="007C252F"/>
    <w:rsid w:val="007C2676"/>
    <w:rsid w:val="007C27F4"/>
    <w:rsid w:val="007C2833"/>
    <w:rsid w:val="007C2B63"/>
    <w:rsid w:val="007C2F7F"/>
    <w:rsid w:val="007C2FE3"/>
    <w:rsid w:val="007C3197"/>
    <w:rsid w:val="007C321A"/>
    <w:rsid w:val="007C3258"/>
    <w:rsid w:val="007C337F"/>
    <w:rsid w:val="007C3415"/>
    <w:rsid w:val="007C356B"/>
    <w:rsid w:val="007C35DB"/>
    <w:rsid w:val="007C36A6"/>
    <w:rsid w:val="007C3792"/>
    <w:rsid w:val="007C3AAF"/>
    <w:rsid w:val="007C3B7C"/>
    <w:rsid w:val="007C3BED"/>
    <w:rsid w:val="007C3D15"/>
    <w:rsid w:val="007C3DEC"/>
    <w:rsid w:val="007C3F90"/>
    <w:rsid w:val="007C41F0"/>
    <w:rsid w:val="007C438E"/>
    <w:rsid w:val="007C4410"/>
    <w:rsid w:val="007C466D"/>
    <w:rsid w:val="007C46F5"/>
    <w:rsid w:val="007C4760"/>
    <w:rsid w:val="007C4794"/>
    <w:rsid w:val="007C48AA"/>
    <w:rsid w:val="007C4B8C"/>
    <w:rsid w:val="007C4D38"/>
    <w:rsid w:val="007C4DA0"/>
    <w:rsid w:val="007C4DB8"/>
    <w:rsid w:val="007C4EC1"/>
    <w:rsid w:val="007C4FCA"/>
    <w:rsid w:val="007C502E"/>
    <w:rsid w:val="007C50AB"/>
    <w:rsid w:val="007C5112"/>
    <w:rsid w:val="007C5255"/>
    <w:rsid w:val="007C5307"/>
    <w:rsid w:val="007C53B4"/>
    <w:rsid w:val="007C5573"/>
    <w:rsid w:val="007C5671"/>
    <w:rsid w:val="007C567B"/>
    <w:rsid w:val="007C5A19"/>
    <w:rsid w:val="007C5E71"/>
    <w:rsid w:val="007C5FDD"/>
    <w:rsid w:val="007C644B"/>
    <w:rsid w:val="007C655E"/>
    <w:rsid w:val="007C65FB"/>
    <w:rsid w:val="007C660B"/>
    <w:rsid w:val="007C66CF"/>
    <w:rsid w:val="007C6987"/>
    <w:rsid w:val="007C6D11"/>
    <w:rsid w:val="007C6FD8"/>
    <w:rsid w:val="007C71CD"/>
    <w:rsid w:val="007C7292"/>
    <w:rsid w:val="007C74A1"/>
    <w:rsid w:val="007C76D4"/>
    <w:rsid w:val="007C77A5"/>
    <w:rsid w:val="007C7831"/>
    <w:rsid w:val="007C786F"/>
    <w:rsid w:val="007C7A36"/>
    <w:rsid w:val="007C7A6F"/>
    <w:rsid w:val="007C7A86"/>
    <w:rsid w:val="007C7B11"/>
    <w:rsid w:val="007C7C1F"/>
    <w:rsid w:val="007C7C79"/>
    <w:rsid w:val="007C7E8E"/>
    <w:rsid w:val="007C7FFD"/>
    <w:rsid w:val="007D00AE"/>
    <w:rsid w:val="007D032F"/>
    <w:rsid w:val="007D0377"/>
    <w:rsid w:val="007D0421"/>
    <w:rsid w:val="007D048B"/>
    <w:rsid w:val="007D0556"/>
    <w:rsid w:val="007D05FC"/>
    <w:rsid w:val="007D0704"/>
    <w:rsid w:val="007D0992"/>
    <w:rsid w:val="007D0A23"/>
    <w:rsid w:val="007D0B4E"/>
    <w:rsid w:val="007D0BD3"/>
    <w:rsid w:val="007D0E6D"/>
    <w:rsid w:val="007D0E71"/>
    <w:rsid w:val="007D0F15"/>
    <w:rsid w:val="007D0F8C"/>
    <w:rsid w:val="007D106C"/>
    <w:rsid w:val="007D1196"/>
    <w:rsid w:val="007D1284"/>
    <w:rsid w:val="007D1385"/>
    <w:rsid w:val="007D1510"/>
    <w:rsid w:val="007D152B"/>
    <w:rsid w:val="007D15B5"/>
    <w:rsid w:val="007D16F7"/>
    <w:rsid w:val="007D1719"/>
    <w:rsid w:val="007D17D7"/>
    <w:rsid w:val="007D1916"/>
    <w:rsid w:val="007D1A5B"/>
    <w:rsid w:val="007D1E84"/>
    <w:rsid w:val="007D1EA1"/>
    <w:rsid w:val="007D1EB7"/>
    <w:rsid w:val="007D1F5A"/>
    <w:rsid w:val="007D205B"/>
    <w:rsid w:val="007D2538"/>
    <w:rsid w:val="007D256F"/>
    <w:rsid w:val="007D2675"/>
    <w:rsid w:val="007D26AB"/>
    <w:rsid w:val="007D27D8"/>
    <w:rsid w:val="007D2803"/>
    <w:rsid w:val="007D2856"/>
    <w:rsid w:val="007D29ED"/>
    <w:rsid w:val="007D2B4B"/>
    <w:rsid w:val="007D2D17"/>
    <w:rsid w:val="007D2D61"/>
    <w:rsid w:val="007D2EDC"/>
    <w:rsid w:val="007D3119"/>
    <w:rsid w:val="007D31E0"/>
    <w:rsid w:val="007D328A"/>
    <w:rsid w:val="007D336D"/>
    <w:rsid w:val="007D3537"/>
    <w:rsid w:val="007D35EB"/>
    <w:rsid w:val="007D363D"/>
    <w:rsid w:val="007D3748"/>
    <w:rsid w:val="007D3ACA"/>
    <w:rsid w:val="007D3BBC"/>
    <w:rsid w:val="007D3E62"/>
    <w:rsid w:val="007D4079"/>
    <w:rsid w:val="007D41D7"/>
    <w:rsid w:val="007D423D"/>
    <w:rsid w:val="007D4358"/>
    <w:rsid w:val="007D43DD"/>
    <w:rsid w:val="007D456F"/>
    <w:rsid w:val="007D4598"/>
    <w:rsid w:val="007D4A8D"/>
    <w:rsid w:val="007D4A98"/>
    <w:rsid w:val="007D4CFF"/>
    <w:rsid w:val="007D4EB0"/>
    <w:rsid w:val="007D4F6B"/>
    <w:rsid w:val="007D5027"/>
    <w:rsid w:val="007D516A"/>
    <w:rsid w:val="007D5480"/>
    <w:rsid w:val="007D553D"/>
    <w:rsid w:val="007D5598"/>
    <w:rsid w:val="007D5618"/>
    <w:rsid w:val="007D56F6"/>
    <w:rsid w:val="007D58EE"/>
    <w:rsid w:val="007D59E0"/>
    <w:rsid w:val="007D5B55"/>
    <w:rsid w:val="007D5FA1"/>
    <w:rsid w:val="007D6166"/>
    <w:rsid w:val="007D6246"/>
    <w:rsid w:val="007D624A"/>
    <w:rsid w:val="007D6255"/>
    <w:rsid w:val="007D625D"/>
    <w:rsid w:val="007D65E6"/>
    <w:rsid w:val="007D6681"/>
    <w:rsid w:val="007D6692"/>
    <w:rsid w:val="007D670A"/>
    <w:rsid w:val="007D697E"/>
    <w:rsid w:val="007D699E"/>
    <w:rsid w:val="007D6A1F"/>
    <w:rsid w:val="007D6A8D"/>
    <w:rsid w:val="007D6AAB"/>
    <w:rsid w:val="007D6C40"/>
    <w:rsid w:val="007D6E67"/>
    <w:rsid w:val="007D6E7C"/>
    <w:rsid w:val="007D71DF"/>
    <w:rsid w:val="007D7263"/>
    <w:rsid w:val="007D74AA"/>
    <w:rsid w:val="007D75D8"/>
    <w:rsid w:val="007D7667"/>
    <w:rsid w:val="007D76BC"/>
    <w:rsid w:val="007D7A1C"/>
    <w:rsid w:val="007D7A8A"/>
    <w:rsid w:val="007D7BAF"/>
    <w:rsid w:val="007D7E30"/>
    <w:rsid w:val="007D7F59"/>
    <w:rsid w:val="007D7F65"/>
    <w:rsid w:val="007E029C"/>
    <w:rsid w:val="007E038C"/>
    <w:rsid w:val="007E04B7"/>
    <w:rsid w:val="007E0593"/>
    <w:rsid w:val="007E0635"/>
    <w:rsid w:val="007E0668"/>
    <w:rsid w:val="007E070F"/>
    <w:rsid w:val="007E0937"/>
    <w:rsid w:val="007E0AB9"/>
    <w:rsid w:val="007E0B58"/>
    <w:rsid w:val="007E0E64"/>
    <w:rsid w:val="007E0F3D"/>
    <w:rsid w:val="007E0F94"/>
    <w:rsid w:val="007E106D"/>
    <w:rsid w:val="007E1247"/>
    <w:rsid w:val="007E12ED"/>
    <w:rsid w:val="007E147C"/>
    <w:rsid w:val="007E1765"/>
    <w:rsid w:val="007E1773"/>
    <w:rsid w:val="007E184F"/>
    <w:rsid w:val="007E194C"/>
    <w:rsid w:val="007E198A"/>
    <w:rsid w:val="007E1BBF"/>
    <w:rsid w:val="007E1E34"/>
    <w:rsid w:val="007E1F11"/>
    <w:rsid w:val="007E1F85"/>
    <w:rsid w:val="007E1FF5"/>
    <w:rsid w:val="007E20B6"/>
    <w:rsid w:val="007E2194"/>
    <w:rsid w:val="007E236B"/>
    <w:rsid w:val="007E2399"/>
    <w:rsid w:val="007E23AA"/>
    <w:rsid w:val="007E2409"/>
    <w:rsid w:val="007E2599"/>
    <w:rsid w:val="007E26E1"/>
    <w:rsid w:val="007E2942"/>
    <w:rsid w:val="007E2A76"/>
    <w:rsid w:val="007E2ACB"/>
    <w:rsid w:val="007E2B38"/>
    <w:rsid w:val="007E2CA1"/>
    <w:rsid w:val="007E2CA6"/>
    <w:rsid w:val="007E2CAF"/>
    <w:rsid w:val="007E2D19"/>
    <w:rsid w:val="007E2D1E"/>
    <w:rsid w:val="007E2E09"/>
    <w:rsid w:val="007E2E62"/>
    <w:rsid w:val="007E3069"/>
    <w:rsid w:val="007E33D9"/>
    <w:rsid w:val="007E3430"/>
    <w:rsid w:val="007E371F"/>
    <w:rsid w:val="007E3799"/>
    <w:rsid w:val="007E392B"/>
    <w:rsid w:val="007E3A3C"/>
    <w:rsid w:val="007E3BFB"/>
    <w:rsid w:val="007E3CB6"/>
    <w:rsid w:val="007E3DB1"/>
    <w:rsid w:val="007E3DC0"/>
    <w:rsid w:val="007E3E56"/>
    <w:rsid w:val="007E415C"/>
    <w:rsid w:val="007E420C"/>
    <w:rsid w:val="007E4213"/>
    <w:rsid w:val="007E43E7"/>
    <w:rsid w:val="007E45AE"/>
    <w:rsid w:val="007E45B0"/>
    <w:rsid w:val="007E45CE"/>
    <w:rsid w:val="007E4610"/>
    <w:rsid w:val="007E4740"/>
    <w:rsid w:val="007E481D"/>
    <w:rsid w:val="007E4893"/>
    <w:rsid w:val="007E4A3E"/>
    <w:rsid w:val="007E4ADD"/>
    <w:rsid w:val="007E4AFB"/>
    <w:rsid w:val="007E4C9D"/>
    <w:rsid w:val="007E4DA0"/>
    <w:rsid w:val="007E5109"/>
    <w:rsid w:val="007E5120"/>
    <w:rsid w:val="007E513B"/>
    <w:rsid w:val="007E52E5"/>
    <w:rsid w:val="007E54DC"/>
    <w:rsid w:val="007E56D2"/>
    <w:rsid w:val="007E56D4"/>
    <w:rsid w:val="007E5727"/>
    <w:rsid w:val="007E5742"/>
    <w:rsid w:val="007E57A4"/>
    <w:rsid w:val="007E592E"/>
    <w:rsid w:val="007E59FF"/>
    <w:rsid w:val="007E5A9E"/>
    <w:rsid w:val="007E5C05"/>
    <w:rsid w:val="007E5CE0"/>
    <w:rsid w:val="007E5DDA"/>
    <w:rsid w:val="007E6051"/>
    <w:rsid w:val="007E61E0"/>
    <w:rsid w:val="007E62CB"/>
    <w:rsid w:val="007E6361"/>
    <w:rsid w:val="007E6375"/>
    <w:rsid w:val="007E6575"/>
    <w:rsid w:val="007E66CF"/>
    <w:rsid w:val="007E6702"/>
    <w:rsid w:val="007E6982"/>
    <w:rsid w:val="007E699D"/>
    <w:rsid w:val="007E6A13"/>
    <w:rsid w:val="007E6AE4"/>
    <w:rsid w:val="007E6BF4"/>
    <w:rsid w:val="007E6C6E"/>
    <w:rsid w:val="007E6D25"/>
    <w:rsid w:val="007E6DB1"/>
    <w:rsid w:val="007E6E3F"/>
    <w:rsid w:val="007E6F95"/>
    <w:rsid w:val="007E6FB7"/>
    <w:rsid w:val="007E6FBD"/>
    <w:rsid w:val="007E702C"/>
    <w:rsid w:val="007E71C7"/>
    <w:rsid w:val="007E72AD"/>
    <w:rsid w:val="007E7358"/>
    <w:rsid w:val="007E7638"/>
    <w:rsid w:val="007E788D"/>
    <w:rsid w:val="007E78A3"/>
    <w:rsid w:val="007E791A"/>
    <w:rsid w:val="007E7954"/>
    <w:rsid w:val="007E7DAA"/>
    <w:rsid w:val="007E7DE0"/>
    <w:rsid w:val="007F0015"/>
    <w:rsid w:val="007F0059"/>
    <w:rsid w:val="007F0080"/>
    <w:rsid w:val="007F02AE"/>
    <w:rsid w:val="007F0552"/>
    <w:rsid w:val="007F06C5"/>
    <w:rsid w:val="007F08A4"/>
    <w:rsid w:val="007F092E"/>
    <w:rsid w:val="007F0A24"/>
    <w:rsid w:val="007F0A3E"/>
    <w:rsid w:val="007F0A52"/>
    <w:rsid w:val="007F0CC3"/>
    <w:rsid w:val="007F0EE7"/>
    <w:rsid w:val="007F0FB3"/>
    <w:rsid w:val="007F10E3"/>
    <w:rsid w:val="007F1292"/>
    <w:rsid w:val="007F1530"/>
    <w:rsid w:val="007F169F"/>
    <w:rsid w:val="007F17B6"/>
    <w:rsid w:val="007F17DB"/>
    <w:rsid w:val="007F18B9"/>
    <w:rsid w:val="007F1960"/>
    <w:rsid w:val="007F19E5"/>
    <w:rsid w:val="007F1A1D"/>
    <w:rsid w:val="007F1AEB"/>
    <w:rsid w:val="007F1CC0"/>
    <w:rsid w:val="007F1D1D"/>
    <w:rsid w:val="007F1F86"/>
    <w:rsid w:val="007F1FB2"/>
    <w:rsid w:val="007F227A"/>
    <w:rsid w:val="007F22D8"/>
    <w:rsid w:val="007F24A3"/>
    <w:rsid w:val="007F24C0"/>
    <w:rsid w:val="007F268C"/>
    <w:rsid w:val="007F2920"/>
    <w:rsid w:val="007F2937"/>
    <w:rsid w:val="007F29E0"/>
    <w:rsid w:val="007F2C1D"/>
    <w:rsid w:val="007F2CAF"/>
    <w:rsid w:val="007F2E3E"/>
    <w:rsid w:val="007F2E52"/>
    <w:rsid w:val="007F316C"/>
    <w:rsid w:val="007F349C"/>
    <w:rsid w:val="007F3558"/>
    <w:rsid w:val="007F35DB"/>
    <w:rsid w:val="007F36AF"/>
    <w:rsid w:val="007F37D7"/>
    <w:rsid w:val="007F380B"/>
    <w:rsid w:val="007F389C"/>
    <w:rsid w:val="007F38FD"/>
    <w:rsid w:val="007F3911"/>
    <w:rsid w:val="007F3954"/>
    <w:rsid w:val="007F3C42"/>
    <w:rsid w:val="007F3E70"/>
    <w:rsid w:val="007F4549"/>
    <w:rsid w:val="007F456F"/>
    <w:rsid w:val="007F45E5"/>
    <w:rsid w:val="007F46CB"/>
    <w:rsid w:val="007F46EF"/>
    <w:rsid w:val="007F46F7"/>
    <w:rsid w:val="007F47D7"/>
    <w:rsid w:val="007F47F5"/>
    <w:rsid w:val="007F4860"/>
    <w:rsid w:val="007F4A06"/>
    <w:rsid w:val="007F4B09"/>
    <w:rsid w:val="007F4BC3"/>
    <w:rsid w:val="007F4C99"/>
    <w:rsid w:val="007F4DE1"/>
    <w:rsid w:val="007F4F44"/>
    <w:rsid w:val="007F4FE6"/>
    <w:rsid w:val="007F51CD"/>
    <w:rsid w:val="007F533D"/>
    <w:rsid w:val="007F55FB"/>
    <w:rsid w:val="007F56CA"/>
    <w:rsid w:val="007F5AE1"/>
    <w:rsid w:val="007F5D68"/>
    <w:rsid w:val="007F6022"/>
    <w:rsid w:val="007F603D"/>
    <w:rsid w:val="007F61C9"/>
    <w:rsid w:val="007F624B"/>
    <w:rsid w:val="007F6477"/>
    <w:rsid w:val="007F6544"/>
    <w:rsid w:val="007F6610"/>
    <w:rsid w:val="007F6812"/>
    <w:rsid w:val="007F6842"/>
    <w:rsid w:val="007F6967"/>
    <w:rsid w:val="007F6A2D"/>
    <w:rsid w:val="007F6CF0"/>
    <w:rsid w:val="007F6F00"/>
    <w:rsid w:val="007F7040"/>
    <w:rsid w:val="007F70F3"/>
    <w:rsid w:val="007F7167"/>
    <w:rsid w:val="007F7436"/>
    <w:rsid w:val="007F7646"/>
    <w:rsid w:val="007F77DF"/>
    <w:rsid w:val="007F78F2"/>
    <w:rsid w:val="007F7D4F"/>
    <w:rsid w:val="00800015"/>
    <w:rsid w:val="0080058D"/>
    <w:rsid w:val="008005A3"/>
    <w:rsid w:val="008007C5"/>
    <w:rsid w:val="008008B2"/>
    <w:rsid w:val="00800D99"/>
    <w:rsid w:val="008011C5"/>
    <w:rsid w:val="00801298"/>
    <w:rsid w:val="008012CD"/>
    <w:rsid w:val="008012D4"/>
    <w:rsid w:val="0080146E"/>
    <w:rsid w:val="00801491"/>
    <w:rsid w:val="0080153C"/>
    <w:rsid w:val="0080171D"/>
    <w:rsid w:val="008017E9"/>
    <w:rsid w:val="00801998"/>
    <w:rsid w:val="008019A2"/>
    <w:rsid w:val="008019D1"/>
    <w:rsid w:val="00801ABF"/>
    <w:rsid w:val="00801BFF"/>
    <w:rsid w:val="00801E79"/>
    <w:rsid w:val="00801E98"/>
    <w:rsid w:val="0080203B"/>
    <w:rsid w:val="008020A1"/>
    <w:rsid w:val="00802237"/>
    <w:rsid w:val="008023F3"/>
    <w:rsid w:val="00802400"/>
    <w:rsid w:val="00802484"/>
    <w:rsid w:val="00802683"/>
    <w:rsid w:val="008027D1"/>
    <w:rsid w:val="00802C8C"/>
    <w:rsid w:val="00802D53"/>
    <w:rsid w:val="00802E39"/>
    <w:rsid w:val="00803148"/>
    <w:rsid w:val="00803155"/>
    <w:rsid w:val="0080319C"/>
    <w:rsid w:val="008031D5"/>
    <w:rsid w:val="00803365"/>
    <w:rsid w:val="00803480"/>
    <w:rsid w:val="008035C4"/>
    <w:rsid w:val="00803673"/>
    <w:rsid w:val="00803823"/>
    <w:rsid w:val="00803868"/>
    <w:rsid w:val="008039AD"/>
    <w:rsid w:val="00803AC7"/>
    <w:rsid w:val="00803AD2"/>
    <w:rsid w:val="00803B4E"/>
    <w:rsid w:val="00803C25"/>
    <w:rsid w:val="00803CBA"/>
    <w:rsid w:val="00803D5F"/>
    <w:rsid w:val="00803EA8"/>
    <w:rsid w:val="00803F51"/>
    <w:rsid w:val="00804329"/>
    <w:rsid w:val="00804371"/>
    <w:rsid w:val="008043DB"/>
    <w:rsid w:val="00804494"/>
    <w:rsid w:val="00804700"/>
    <w:rsid w:val="00804768"/>
    <w:rsid w:val="00804789"/>
    <w:rsid w:val="00804860"/>
    <w:rsid w:val="00804884"/>
    <w:rsid w:val="00804C79"/>
    <w:rsid w:val="00804D5C"/>
    <w:rsid w:val="00804E17"/>
    <w:rsid w:val="00804E3F"/>
    <w:rsid w:val="00804EE7"/>
    <w:rsid w:val="00804F53"/>
    <w:rsid w:val="00804FBE"/>
    <w:rsid w:val="0080516B"/>
    <w:rsid w:val="00805283"/>
    <w:rsid w:val="00805286"/>
    <w:rsid w:val="0080529F"/>
    <w:rsid w:val="008054BA"/>
    <w:rsid w:val="008056D6"/>
    <w:rsid w:val="00805734"/>
    <w:rsid w:val="0080591B"/>
    <w:rsid w:val="00805A42"/>
    <w:rsid w:val="00805AD9"/>
    <w:rsid w:val="00806069"/>
    <w:rsid w:val="008064E4"/>
    <w:rsid w:val="00806704"/>
    <w:rsid w:val="00806BB8"/>
    <w:rsid w:val="00806C13"/>
    <w:rsid w:val="00806E4E"/>
    <w:rsid w:val="00806E82"/>
    <w:rsid w:val="00806E86"/>
    <w:rsid w:val="00806FD4"/>
    <w:rsid w:val="008071AA"/>
    <w:rsid w:val="008073D4"/>
    <w:rsid w:val="008075A9"/>
    <w:rsid w:val="008075AF"/>
    <w:rsid w:val="008075FB"/>
    <w:rsid w:val="008077F4"/>
    <w:rsid w:val="00807928"/>
    <w:rsid w:val="00807930"/>
    <w:rsid w:val="0080797E"/>
    <w:rsid w:val="008079B9"/>
    <w:rsid w:val="00807AC0"/>
    <w:rsid w:val="00807B48"/>
    <w:rsid w:val="00807EB8"/>
    <w:rsid w:val="00807FC0"/>
    <w:rsid w:val="00810043"/>
    <w:rsid w:val="008101C4"/>
    <w:rsid w:val="008102E1"/>
    <w:rsid w:val="008102FC"/>
    <w:rsid w:val="0081035F"/>
    <w:rsid w:val="00810673"/>
    <w:rsid w:val="00810C7A"/>
    <w:rsid w:val="00810EAD"/>
    <w:rsid w:val="00810FCE"/>
    <w:rsid w:val="00811103"/>
    <w:rsid w:val="00811236"/>
    <w:rsid w:val="008112E2"/>
    <w:rsid w:val="00811491"/>
    <w:rsid w:val="008116AA"/>
    <w:rsid w:val="0081179C"/>
    <w:rsid w:val="0081188E"/>
    <w:rsid w:val="00811B48"/>
    <w:rsid w:val="00811B5B"/>
    <w:rsid w:val="00811D49"/>
    <w:rsid w:val="00811EDC"/>
    <w:rsid w:val="00811F94"/>
    <w:rsid w:val="0081205E"/>
    <w:rsid w:val="00812261"/>
    <w:rsid w:val="0081227C"/>
    <w:rsid w:val="00812668"/>
    <w:rsid w:val="008126F9"/>
    <w:rsid w:val="0081291F"/>
    <w:rsid w:val="008129C0"/>
    <w:rsid w:val="00812B92"/>
    <w:rsid w:val="00812C99"/>
    <w:rsid w:val="00812CDD"/>
    <w:rsid w:val="00812D8B"/>
    <w:rsid w:val="00812E0D"/>
    <w:rsid w:val="00812EB2"/>
    <w:rsid w:val="00812EC2"/>
    <w:rsid w:val="00812F27"/>
    <w:rsid w:val="00813041"/>
    <w:rsid w:val="00813139"/>
    <w:rsid w:val="008134B5"/>
    <w:rsid w:val="008137EE"/>
    <w:rsid w:val="008138EA"/>
    <w:rsid w:val="008139B8"/>
    <w:rsid w:val="00813A7C"/>
    <w:rsid w:val="00813CFA"/>
    <w:rsid w:val="00813DEF"/>
    <w:rsid w:val="00813F5F"/>
    <w:rsid w:val="00814021"/>
    <w:rsid w:val="00814190"/>
    <w:rsid w:val="008143DD"/>
    <w:rsid w:val="0081447A"/>
    <w:rsid w:val="0081455B"/>
    <w:rsid w:val="0081488E"/>
    <w:rsid w:val="008148AD"/>
    <w:rsid w:val="008148B0"/>
    <w:rsid w:val="00814961"/>
    <w:rsid w:val="00814B15"/>
    <w:rsid w:val="00814D5D"/>
    <w:rsid w:val="00814DAA"/>
    <w:rsid w:val="00814E15"/>
    <w:rsid w:val="008150CD"/>
    <w:rsid w:val="00815128"/>
    <w:rsid w:val="0081515E"/>
    <w:rsid w:val="00815566"/>
    <w:rsid w:val="00815571"/>
    <w:rsid w:val="008157A3"/>
    <w:rsid w:val="0081593A"/>
    <w:rsid w:val="0081598D"/>
    <w:rsid w:val="008159B2"/>
    <w:rsid w:val="00815C32"/>
    <w:rsid w:val="00815CDF"/>
    <w:rsid w:val="00815E71"/>
    <w:rsid w:val="00815F52"/>
    <w:rsid w:val="008161A5"/>
    <w:rsid w:val="0081624A"/>
    <w:rsid w:val="00816298"/>
    <w:rsid w:val="008165AF"/>
    <w:rsid w:val="008165E6"/>
    <w:rsid w:val="0081672A"/>
    <w:rsid w:val="00816B36"/>
    <w:rsid w:val="00816C64"/>
    <w:rsid w:val="00816D1F"/>
    <w:rsid w:val="00816E0A"/>
    <w:rsid w:val="0081710A"/>
    <w:rsid w:val="00817151"/>
    <w:rsid w:val="00817260"/>
    <w:rsid w:val="0081733D"/>
    <w:rsid w:val="0081748D"/>
    <w:rsid w:val="008174B8"/>
    <w:rsid w:val="0081757E"/>
    <w:rsid w:val="0081765A"/>
    <w:rsid w:val="0081766A"/>
    <w:rsid w:val="0081781C"/>
    <w:rsid w:val="00817917"/>
    <w:rsid w:val="00817A92"/>
    <w:rsid w:val="00817CD1"/>
    <w:rsid w:val="00817E6D"/>
    <w:rsid w:val="00817EB4"/>
    <w:rsid w:val="00817F6E"/>
    <w:rsid w:val="00817FB4"/>
    <w:rsid w:val="00820078"/>
    <w:rsid w:val="00820089"/>
    <w:rsid w:val="0082047D"/>
    <w:rsid w:val="00820556"/>
    <w:rsid w:val="00820578"/>
    <w:rsid w:val="00820604"/>
    <w:rsid w:val="0082065B"/>
    <w:rsid w:val="008206A3"/>
    <w:rsid w:val="008207A2"/>
    <w:rsid w:val="008207BC"/>
    <w:rsid w:val="00820A5B"/>
    <w:rsid w:val="00820AC3"/>
    <w:rsid w:val="00820E05"/>
    <w:rsid w:val="00820F5D"/>
    <w:rsid w:val="00820FFF"/>
    <w:rsid w:val="00821089"/>
    <w:rsid w:val="008210F6"/>
    <w:rsid w:val="00821193"/>
    <w:rsid w:val="008211CF"/>
    <w:rsid w:val="0082129E"/>
    <w:rsid w:val="008212A6"/>
    <w:rsid w:val="008213FD"/>
    <w:rsid w:val="0082146E"/>
    <w:rsid w:val="008215E5"/>
    <w:rsid w:val="008216D1"/>
    <w:rsid w:val="00821853"/>
    <w:rsid w:val="00821A30"/>
    <w:rsid w:val="00821A7E"/>
    <w:rsid w:val="00821B85"/>
    <w:rsid w:val="00821CE0"/>
    <w:rsid w:val="00821E87"/>
    <w:rsid w:val="00822179"/>
    <w:rsid w:val="008222FD"/>
    <w:rsid w:val="008223DC"/>
    <w:rsid w:val="0082255A"/>
    <w:rsid w:val="0082259C"/>
    <w:rsid w:val="00822610"/>
    <w:rsid w:val="00822615"/>
    <w:rsid w:val="008226CE"/>
    <w:rsid w:val="008226D7"/>
    <w:rsid w:val="0082272B"/>
    <w:rsid w:val="0082290F"/>
    <w:rsid w:val="00822939"/>
    <w:rsid w:val="00822B87"/>
    <w:rsid w:val="00822C6C"/>
    <w:rsid w:val="00822CC1"/>
    <w:rsid w:val="00822CCA"/>
    <w:rsid w:val="00822CDB"/>
    <w:rsid w:val="00822D01"/>
    <w:rsid w:val="00822E89"/>
    <w:rsid w:val="00822F6A"/>
    <w:rsid w:val="00822FC9"/>
    <w:rsid w:val="00822FE0"/>
    <w:rsid w:val="0082300C"/>
    <w:rsid w:val="008230E4"/>
    <w:rsid w:val="00823127"/>
    <w:rsid w:val="00823264"/>
    <w:rsid w:val="0082347D"/>
    <w:rsid w:val="008234AB"/>
    <w:rsid w:val="008234D3"/>
    <w:rsid w:val="008234F1"/>
    <w:rsid w:val="00823510"/>
    <w:rsid w:val="00823577"/>
    <w:rsid w:val="00823813"/>
    <w:rsid w:val="00823A83"/>
    <w:rsid w:val="00824010"/>
    <w:rsid w:val="008240B0"/>
    <w:rsid w:val="00824150"/>
    <w:rsid w:val="008243FF"/>
    <w:rsid w:val="008244AB"/>
    <w:rsid w:val="00824560"/>
    <w:rsid w:val="00824595"/>
    <w:rsid w:val="008248C2"/>
    <w:rsid w:val="008248E6"/>
    <w:rsid w:val="0082490C"/>
    <w:rsid w:val="00824913"/>
    <w:rsid w:val="00824B45"/>
    <w:rsid w:val="00824C22"/>
    <w:rsid w:val="00824C47"/>
    <w:rsid w:val="00824E27"/>
    <w:rsid w:val="00824EE3"/>
    <w:rsid w:val="00824EE6"/>
    <w:rsid w:val="00824FFB"/>
    <w:rsid w:val="008252CF"/>
    <w:rsid w:val="008255EF"/>
    <w:rsid w:val="00825852"/>
    <w:rsid w:val="008258C7"/>
    <w:rsid w:val="00825AFE"/>
    <w:rsid w:val="00825B29"/>
    <w:rsid w:val="00825DE3"/>
    <w:rsid w:val="00825EDC"/>
    <w:rsid w:val="008261CF"/>
    <w:rsid w:val="00826242"/>
    <w:rsid w:val="00826297"/>
    <w:rsid w:val="00826392"/>
    <w:rsid w:val="00826A03"/>
    <w:rsid w:val="00826AAE"/>
    <w:rsid w:val="00826DB4"/>
    <w:rsid w:val="00826E35"/>
    <w:rsid w:val="00826EA3"/>
    <w:rsid w:val="00826ED0"/>
    <w:rsid w:val="0082717E"/>
    <w:rsid w:val="008271A1"/>
    <w:rsid w:val="008271A3"/>
    <w:rsid w:val="008271B6"/>
    <w:rsid w:val="008277F9"/>
    <w:rsid w:val="0082783B"/>
    <w:rsid w:val="00827C64"/>
    <w:rsid w:val="00827D22"/>
    <w:rsid w:val="00827D3C"/>
    <w:rsid w:val="00827DE5"/>
    <w:rsid w:val="008300A5"/>
    <w:rsid w:val="008301A3"/>
    <w:rsid w:val="0083023A"/>
    <w:rsid w:val="00830313"/>
    <w:rsid w:val="008303A9"/>
    <w:rsid w:val="008307F5"/>
    <w:rsid w:val="00830A61"/>
    <w:rsid w:val="00830A99"/>
    <w:rsid w:val="00830E2B"/>
    <w:rsid w:val="00830EF3"/>
    <w:rsid w:val="00830F86"/>
    <w:rsid w:val="0083128D"/>
    <w:rsid w:val="0083169A"/>
    <w:rsid w:val="00831A5F"/>
    <w:rsid w:val="00831CFB"/>
    <w:rsid w:val="00831E25"/>
    <w:rsid w:val="00831E70"/>
    <w:rsid w:val="00831E7A"/>
    <w:rsid w:val="00831ECC"/>
    <w:rsid w:val="00832117"/>
    <w:rsid w:val="0083211C"/>
    <w:rsid w:val="0083230B"/>
    <w:rsid w:val="008325ED"/>
    <w:rsid w:val="00832D5B"/>
    <w:rsid w:val="00832DD4"/>
    <w:rsid w:val="00832F29"/>
    <w:rsid w:val="00832F44"/>
    <w:rsid w:val="00833091"/>
    <w:rsid w:val="00833158"/>
    <w:rsid w:val="0083315C"/>
    <w:rsid w:val="0083315D"/>
    <w:rsid w:val="0083338D"/>
    <w:rsid w:val="00833647"/>
    <w:rsid w:val="0083371D"/>
    <w:rsid w:val="00833723"/>
    <w:rsid w:val="008338B2"/>
    <w:rsid w:val="008338B4"/>
    <w:rsid w:val="008339C1"/>
    <w:rsid w:val="008339E5"/>
    <w:rsid w:val="00833A2A"/>
    <w:rsid w:val="008343C6"/>
    <w:rsid w:val="00834878"/>
    <w:rsid w:val="00834A40"/>
    <w:rsid w:val="00834AD4"/>
    <w:rsid w:val="00834AFB"/>
    <w:rsid w:val="00834B01"/>
    <w:rsid w:val="00834B5A"/>
    <w:rsid w:val="00834B65"/>
    <w:rsid w:val="00834BEC"/>
    <w:rsid w:val="00834D3A"/>
    <w:rsid w:val="00834F12"/>
    <w:rsid w:val="0083503A"/>
    <w:rsid w:val="008350EE"/>
    <w:rsid w:val="00835212"/>
    <w:rsid w:val="008353CF"/>
    <w:rsid w:val="00835485"/>
    <w:rsid w:val="008354D2"/>
    <w:rsid w:val="008355F6"/>
    <w:rsid w:val="008356C8"/>
    <w:rsid w:val="0083571C"/>
    <w:rsid w:val="00835824"/>
    <w:rsid w:val="0083591B"/>
    <w:rsid w:val="00835AAF"/>
    <w:rsid w:val="00835B45"/>
    <w:rsid w:val="00835CB1"/>
    <w:rsid w:val="00835FCD"/>
    <w:rsid w:val="00836033"/>
    <w:rsid w:val="008361D4"/>
    <w:rsid w:val="00836264"/>
    <w:rsid w:val="008364A3"/>
    <w:rsid w:val="008365F2"/>
    <w:rsid w:val="008366E1"/>
    <w:rsid w:val="00836900"/>
    <w:rsid w:val="00836918"/>
    <w:rsid w:val="00836933"/>
    <w:rsid w:val="00836A67"/>
    <w:rsid w:val="00836B4A"/>
    <w:rsid w:val="00837215"/>
    <w:rsid w:val="0083733E"/>
    <w:rsid w:val="00837452"/>
    <w:rsid w:val="00837573"/>
    <w:rsid w:val="00837654"/>
    <w:rsid w:val="008376C4"/>
    <w:rsid w:val="008377B5"/>
    <w:rsid w:val="00837802"/>
    <w:rsid w:val="00837852"/>
    <w:rsid w:val="00837953"/>
    <w:rsid w:val="00837B26"/>
    <w:rsid w:val="00837C58"/>
    <w:rsid w:val="00837CA7"/>
    <w:rsid w:val="00837D23"/>
    <w:rsid w:val="00837D26"/>
    <w:rsid w:val="00837DC5"/>
    <w:rsid w:val="00837E3A"/>
    <w:rsid w:val="008400A9"/>
    <w:rsid w:val="008401A2"/>
    <w:rsid w:val="008401D8"/>
    <w:rsid w:val="0084036B"/>
    <w:rsid w:val="00840490"/>
    <w:rsid w:val="008404A4"/>
    <w:rsid w:val="008404D3"/>
    <w:rsid w:val="00840632"/>
    <w:rsid w:val="00840707"/>
    <w:rsid w:val="00840A1E"/>
    <w:rsid w:val="00840A6D"/>
    <w:rsid w:val="00840AA2"/>
    <w:rsid w:val="00840E53"/>
    <w:rsid w:val="008410B2"/>
    <w:rsid w:val="00841291"/>
    <w:rsid w:val="008412FF"/>
    <w:rsid w:val="008413BB"/>
    <w:rsid w:val="008416A1"/>
    <w:rsid w:val="0084176D"/>
    <w:rsid w:val="008419C9"/>
    <w:rsid w:val="008419D9"/>
    <w:rsid w:val="00841A11"/>
    <w:rsid w:val="00841A3B"/>
    <w:rsid w:val="00841B06"/>
    <w:rsid w:val="00841B3F"/>
    <w:rsid w:val="00841BD8"/>
    <w:rsid w:val="00841C79"/>
    <w:rsid w:val="00841C7B"/>
    <w:rsid w:val="00841D42"/>
    <w:rsid w:val="00841EE5"/>
    <w:rsid w:val="00842313"/>
    <w:rsid w:val="00842389"/>
    <w:rsid w:val="00842731"/>
    <w:rsid w:val="00842772"/>
    <w:rsid w:val="00842834"/>
    <w:rsid w:val="00842B0F"/>
    <w:rsid w:val="00842B69"/>
    <w:rsid w:val="00842B9C"/>
    <w:rsid w:val="00842CF4"/>
    <w:rsid w:val="00842D38"/>
    <w:rsid w:val="00842FD4"/>
    <w:rsid w:val="00842FD9"/>
    <w:rsid w:val="00843038"/>
    <w:rsid w:val="008431ED"/>
    <w:rsid w:val="00843412"/>
    <w:rsid w:val="008435F7"/>
    <w:rsid w:val="008435FA"/>
    <w:rsid w:val="008436A3"/>
    <w:rsid w:val="008436D1"/>
    <w:rsid w:val="00843840"/>
    <w:rsid w:val="008439BC"/>
    <w:rsid w:val="00843B00"/>
    <w:rsid w:val="00843B1A"/>
    <w:rsid w:val="00843B4F"/>
    <w:rsid w:val="00843D3A"/>
    <w:rsid w:val="00843EC6"/>
    <w:rsid w:val="00843FBF"/>
    <w:rsid w:val="00844171"/>
    <w:rsid w:val="008442EC"/>
    <w:rsid w:val="00844362"/>
    <w:rsid w:val="0084447C"/>
    <w:rsid w:val="00844664"/>
    <w:rsid w:val="008446C8"/>
    <w:rsid w:val="00844732"/>
    <w:rsid w:val="00844759"/>
    <w:rsid w:val="00844909"/>
    <w:rsid w:val="00844AA8"/>
    <w:rsid w:val="00844BDC"/>
    <w:rsid w:val="00844C30"/>
    <w:rsid w:val="00844CEA"/>
    <w:rsid w:val="00844D45"/>
    <w:rsid w:val="00844E15"/>
    <w:rsid w:val="00844EF7"/>
    <w:rsid w:val="00844FF6"/>
    <w:rsid w:val="0084507B"/>
    <w:rsid w:val="008451F0"/>
    <w:rsid w:val="008452B6"/>
    <w:rsid w:val="008452CE"/>
    <w:rsid w:val="008453A7"/>
    <w:rsid w:val="008454D8"/>
    <w:rsid w:val="008455DC"/>
    <w:rsid w:val="00845679"/>
    <w:rsid w:val="008456E7"/>
    <w:rsid w:val="00845823"/>
    <w:rsid w:val="00845853"/>
    <w:rsid w:val="008458C1"/>
    <w:rsid w:val="00845E35"/>
    <w:rsid w:val="00845FEC"/>
    <w:rsid w:val="008461E1"/>
    <w:rsid w:val="008461FA"/>
    <w:rsid w:val="008462A0"/>
    <w:rsid w:val="008462C4"/>
    <w:rsid w:val="008463F6"/>
    <w:rsid w:val="00846496"/>
    <w:rsid w:val="008464EC"/>
    <w:rsid w:val="0084653F"/>
    <w:rsid w:val="0084660C"/>
    <w:rsid w:val="00846821"/>
    <w:rsid w:val="0084686A"/>
    <w:rsid w:val="00846888"/>
    <w:rsid w:val="00846AD5"/>
    <w:rsid w:val="00846B1C"/>
    <w:rsid w:val="00846B36"/>
    <w:rsid w:val="00846C4A"/>
    <w:rsid w:val="00846CEB"/>
    <w:rsid w:val="00846CFA"/>
    <w:rsid w:val="00846D89"/>
    <w:rsid w:val="00846D8F"/>
    <w:rsid w:val="00846DDD"/>
    <w:rsid w:val="00846F2D"/>
    <w:rsid w:val="00847260"/>
    <w:rsid w:val="00847274"/>
    <w:rsid w:val="008472BF"/>
    <w:rsid w:val="008474B9"/>
    <w:rsid w:val="0084769B"/>
    <w:rsid w:val="0084774F"/>
    <w:rsid w:val="008478DA"/>
    <w:rsid w:val="00847929"/>
    <w:rsid w:val="00847A12"/>
    <w:rsid w:val="00847AEC"/>
    <w:rsid w:val="00847C06"/>
    <w:rsid w:val="00847C25"/>
    <w:rsid w:val="00847C49"/>
    <w:rsid w:val="00847C5D"/>
    <w:rsid w:val="00847D58"/>
    <w:rsid w:val="008501F0"/>
    <w:rsid w:val="00850461"/>
    <w:rsid w:val="0085047E"/>
    <w:rsid w:val="00850550"/>
    <w:rsid w:val="008508FF"/>
    <w:rsid w:val="008509EA"/>
    <w:rsid w:val="00850ABB"/>
    <w:rsid w:val="00850B5F"/>
    <w:rsid w:val="00850B8A"/>
    <w:rsid w:val="00850D36"/>
    <w:rsid w:val="00850DFB"/>
    <w:rsid w:val="00850F40"/>
    <w:rsid w:val="00850F5C"/>
    <w:rsid w:val="0085120A"/>
    <w:rsid w:val="0085123B"/>
    <w:rsid w:val="00851448"/>
    <w:rsid w:val="00851722"/>
    <w:rsid w:val="00851913"/>
    <w:rsid w:val="00851919"/>
    <w:rsid w:val="0085198D"/>
    <w:rsid w:val="00851A1C"/>
    <w:rsid w:val="00851DD9"/>
    <w:rsid w:val="00851E0E"/>
    <w:rsid w:val="00851F79"/>
    <w:rsid w:val="00851FC7"/>
    <w:rsid w:val="00851FE9"/>
    <w:rsid w:val="0085202C"/>
    <w:rsid w:val="00852144"/>
    <w:rsid w:val="008522D1"/>
    <w:rsid w:val="0085234A"/>
    <w:rsid w:val="00852356"/>
    <w:rsid w:val="008524CD"/>
    <w:rsid w:val="008527BF"/>
    <w:rsid w:val="00852956"/>
    <w:rsid w:val="00852972"/>
    <w:rsid w:val="00852B1F"/>
    <w:rsid w:val="00852B4D"/>
    <w:rsid w:val="00852C1A"/>
    <w:rsid w:val="00852F48"/>
    <w:rsid w:val="00852F75"/>
    <w:rsid w:val="00852FA2"/>
    <w:rsid w:val="0085309A"/>
    <w:rsid w:val="008531BB"/>
    <w:rsid w:val="00853328"/>
    <w:rsid w:val="00853483"/>
    <w:rsid w:val="008534EC"/>
    <w:rsid w:val="008536FC"/>
    <w:rsid w:val="008537A1"/>
    <w:rsid w:val="00853904"/>
    <w:rsid w:val="0085395D"/>
    <w:rsid w:val="00853AD1"/>
    <w:rsid w:val="00853B87"/>
    <w:rsid w:val="00853BB6"/>
    <w:rsid w:val="00853C25"/>
    <w:rsid w:val="00853DA2"/>
    <w:rsid w:val="00854015"/>
    <w:rsid w:val="00854084"/>
    <w:rsid w:val="00854299"/>
    <w:rsid w:val="0085449A"/>
    <w:rsid w:val="008544F3"/>
    <w:rsid w:val="0085478B"/>
    <w:rsid w:val="00854B66"/>
    <w:rsid w:val="00854BFB"/>
    <w:rsid w:val="00854CFD"/>
    <w:rsid w:val="00854DE0"/>
    <w:rsid w:val="00854FA8"/>
    <w:rsid w:val="00854FBA"/>
    <w:rsid w:val="0085501B"/>
    <w:rsid w:val="00855076"/>
    <w:rsid w:val="0085528C"/>
    <w:rsid w:val="00855342"/>
    <w:rsid w:val="008553CB"/>
    <w:rsid w:val="0085584D"/>
    <w:rsid w:val="00855852"/>
    <w:rsid w:val="00855B13"/>
    <w:rsid w:val="00855CF9"/>
    <w:rsid w:val="00855DB4"/>
    <w:rsid w:val="00855F34"/>
    <w:rsid w:val="00855F5F"/>
    <w:rsid w:val="00856018"/>
    <w:rsid w:val="00856038"/>
    <w:rsid w:val="00856084"/>
    <w:rsid w:val="008560CD"/>
    <w:rsid w:val="008560EB"/>
    <w:rsid w:val="0085668C"/>
    <w:rsid w:val="00856697"/>
    <w:rsid w:val="008566CE"/>
    <w:rsid w:val="00856830"/>
    <w:rsid w:val="00856ADF"/>
    <w:rsid w:val="00856DB7"/>
    <w:rsid w:val="00856F74"/>
    <w:rsid w:val="00856F84"/>
    <w:rsid w:val="00856FAE"/>
    <w:rsid w:val="008570AD"/>
    <w:rsid w:val="008570C0"/>
    <w:rsid w:val="00857106"/>
    <w:rsid w:val="00857221"/>
    <w:rsid w:val="0085734D"/>
    <w:rsid w:val="0085755B"/>
    <w:rsid w:val="00857652"/>
    <w:rsid w:val="00857699"/>
    <w:rsid w:val="0085769B"/>
    <w:rsid w:val="008577B9"/>
    <w:rsid w:val="008577F9"/>
    <w:rsid w:val="00857867"/>
    <w:rsid w:val="00857BB2"/>
    <w:rsid w:val="00857D33"/>
    <w:rsid w:val="00857D45"/>
    <w:rsid w:val="00857DC7"/>
    <w:rsid w:val="00857DFF"/>
    <w:rsid w:val="00857E21"/>
    <w:rsid w:val="00857EBE"/>
    <w:rsid w:val="0086004F"/>
    <w:rsid w:val="0086013E"/>
    <w:rsid w:val="008604CE"/>
    <w:rsid w:val="00860640"/>
    <w:rsid w:val="00860692"/>
    <w:rsid w:val="008609A0"/>
    <w:rsid w:val="00860AED"/>
    <w:rsid w:val="00860BD1"/>
    <w:rsid w:val="00860D29"/>
    <w:rsid w:val="00860E91"/>
    <w:rsid w:val="00860FD8"/>
    <w:rsid w:val="00861324"/>
    <w:rsid w:val="0086132C"/>
    <w:rsid w:val="008615EA"/>
    <w:rsid w:val="00861797"/>
    <w:rsid w:val="00861874"/>
    <w:rsid w:val="0086196C"/>
    <w:rsid w:val="008619ED"/>
    <w:rsid w:val="00861A1A"/>
    <w:rsid w:val="00861A6A"/>
    <w:rsid w:val="00861B43"/>
    <w:rsid w:val="00861CC5"/>
    <w:rsid w:val="00861DCE"/>
    <w:rsid w:val="00861DDB"/>
    <w:rsid w:val="00861E23"/>
    <w:rsid w:val="00861FD9"/>
    <w:rsid w:val="00862132"/>
    <w:rsid w:val="0086228D"/>
    <w:rsid w:val="008623B4"/>
    <w:rsid w:val="008623CB"/>
    <w:rsid w:val="008624F0"/>
    <w:rsid w:val="008625A2"/>
    <w:rsid w:val="0086263F"/>
    <w:rsid w:val="0086270F"/>
    <w:rsid w:val="0086277A"/>
    <w:rsid w:val="00862896"/>
    <w:rsid w:val="008628E9"/>
    <w:rsid w:val="00862A02"/>
    <w:rsid w:val="00862A49"/>
    <w:rsid w:val="00862CFA"/>
    <w:rsid w:val="00863003"/>
    <w:rsid w:val="0086317C"/>
    <w:rsid w:val="00863186"/>
    <w:rsid w:val="008633F3"/>
    <w:rsid w:val="0086365A"/>
    <w:rsid w:val="00863882"/>
    <w:rsid w:val="008639A8"/>
    <w:rsid w:val="00863A63"/>
    <w:rsid w:val="00863B77"/>
    <w:rsid w:val="00863C45"/>
    <w:rsid w:val="00863C5A"/>
    <w:rsid w:val="00863D28"/>
    <w:rsid w:val="00863DA7"/>
    <w:rsid w:val="00863E02"/>
    <w:rsid w:val="00864272"/>
    <w:rsid w:val="0086434E"/>
    <w:rsid w:val="00864381"/>
    <w:rsid w:val="0086454A"/>
    <w:rsid w:val="00864570"/>
    <w:rsid w:val="0086466C"/>
    <w:rsid w:val="008648CF"/>
    <w:rsid w:val="00864B2A"/>
    <w:rsid w:val="00864D48"/>
    <w:rsid w:val="00864E75"/>
    <w:rsid w:val="00864E76"/>
    <w:rsid w:val="00864EDA"/>
    <w:rsid w:val="00864FB1"/>
    <w:rsid w:val="00864FEC"/>
    <w:rsid w:val="008650AE"/>
    <w:rsid w:val="008652D4"/>
    <w:rsid w:val="0086547C"/>
    <w:rsid w:val="00865591"/>
    <w:rsid w:val="008655EA"/>
    <w:rsid w:val="008658E1"/>
    <w:rsid w:val="0086590C"/>
    <w:rsid w:val="00865969"/>
    <w:rsid w:val="00865A8D"/>
    <w:rsid w:val="00865CB5"/>
    <w:rsid w:val="00865D9B"/>
    <w:rsid w:val="00865DB8"/>
    <w:rsid w:val="00865DC5"/>
    <w:rsid w:val="00865E3F"/>
    <w:rsid w:val="00865FAC"/>
    <w:rsid w:val="00866017"/>
    <w:rsid w:val="0086603C"/>
    <w:rsid w:val="0086614A"/>
    <w:rsid w:val="00866160"/>
    <w:rsid w:val="00866303"/>
    <w:rsid w:val="00866441"/>
    <w:rsid w:val="00866484"/>
    <w:rsid w:val="008664A8"/>
    <w:rsid w:val="00866580"/>
    <w:rsid w:val="008667AC"/>
    <w:rsid w:val="008667C4"/>
    <w:rsid w:val="008669E1"/>
    <w:rsid w:val="00866BB5"/>
    <w:rsid w:val="00866C9A"/>
    <w:rsid w:val="00866D9A"/>
    <w:rsid w:val="00866FB9"/>
    <w:rsid w:val="008671EA"/>
    <w:rsid w:val="00867237"/>
    <w:rsid w:val="0086724D"/>
    <w:rsid w:val="008673D4"/>
    <w:rsid w:val="00867685"/>
    <w:rsid w:val="00867782"/>
    <w:rsid w:val="008677CB"/>
    <w:rsid w:val="0086780C"/>
    <w:rsid w:val="0086785D"/>
    <w:rsid w:val="00867B8C"/>
    <w:rsid w:val="00867B94"/>
    <w:rsid w:val="00867BE0"/>
    <w:rsid w:val="00867E52"/>
    <w:rsid w:val="00867FB6"/>
    <w:rsid w:val="00867FC3"/>
    <w:rsid w:val="0087006B"/>
    <w:rsid w:val="008700B0"/>
    <w:rsid w:val="00870313"/>
    <w:rsid w:val="008703CB"/>
    <w:rsid w:val="008703D3"/>
    <w:rsid w:val="0087055C"/>
    <w:rsid w:val="0087071D"/>
    <w:rsid w:val="0087079A"/>
    <w:rsid w:val="00870BD0"/>
    <w:rsid w:val="00870CF2"/>
    <w:rsid w:val="00870F58"/>
    <w:rsid w:val="00871106"/>
    <w:rsid w:val="00871122"/>
    <w:rsid w:val="008711FC"/>
    <w:rsid w:val="0087125A"/>
    <w:rsid w:val="0087130F"/>
    <w:rsid w:val="0087131C"/>
    <w:rsid w:val="0087143A"/>
    <w:rsid w:val="0087149C"/>
    <w:rsid w:val="0087151A"/>
    <w:rsid w:val="00871798"/>
    <w:rsid w:val="008717BE"/>
    <w:rsid w:val="00871B20"/>
    <w:rsid w:val="00871CAF"/>
    <w:rsid w:val="00871D16"/>
    <w:rsid w:val="00871F28"/>
    <w:rsid w:val="00871F86"/>
    <w:rsid w:val="00871FCA"/>
    <w:rsid w:val="0087203C"/>
    <w:rsid w:val="008720B5"/>
    <w:rsid w:val="00872107"/>
    <w:rsid w:val="0087239D"/>
    <w:rsid w:val="008723A8"/>
    <w:rsid w:val="00872513"/>
    <w:rsid w:val="0087259C"/>
    <w:rsid w:val="008728A6"/>
    <w:rsid w:val="008729AD"/>
    <w:rsid w:val="00872C5C"/>
    <w:rsid w:val="00872CC3"/>
    <w:rsid w:val="00872F98"/>
    <w:rsid w:val="008731DB"/>
    <w:rsid w:val="008731FB"/>
    <w:rsid w:val="00873440"/>
    <w:rsid w:val="008734FF"/>
    <w:rsid w:val="008735E9"/>
    <w:rsid w:val="008738E5"/>
    <w:rsid w:val="00873ACA"/>
    <w:rsid w:val="00873B74"/>
    <w:rsid w:val="00873BD1"/>
    <w:rsid w:val="00873C30"/>
    <w:rsid w:val="00873E2C"/>
    <w:rsid w:val="00873E95"/>
    <w:rsid w:val="00874020"/>
    <w:rsid w:val="00874022"/>
    <w:rsid w:val="0087403E"/>
    <w:rsid w:val="00874088"/>
    <w:rsid w:val="00874136"/>
    <w:rsid w:val="0087414E"/>
    <w:rsid w:val="0087443A"/>
    <w:rsid w:val="00874495"/>
    <w:rsid w:val="008744B9"/>
    <w:rsid w:val="008746BC"/>
    <w:rsid w:val="008746BE"/>
    <w:rsid w:val="00874D71"/>
    <w:rsid w:val="00874E40"/>
    <w:rsid w:val="00874E44"/>
    <w:rsid w:val="00874E7A"/>
    <w:rsid w:val="008750A0"/>
    <w:rsid w:val="0087513F"/>
    <w:rsid w:val="00875198"/>
    <w:rsid w:val="008754BB"/>
    <w:rsid w:val="00875521"/>
    <w:rsid w:val="0087554E"/>
    <w:rsid w:val="008755AE"/>
    <w:rsid w:val="00875661"/>
    <w:rsid w:val="008758D4"/>
    <w:rsid w:val="00875954"/>
    <w:rsid w:val="00875A22"/>
    <w:rsid w:val="00875CFC"/>
    <w:rsid w:val="008764C5"/>
    <w:rsid w:val="008765CB"/>
    <w:rsid w:val="0087667F"/>
    <w:rsid w:val="0087678D"/>
    <w:rsid w:val="00876814"/>
    <w:rsid w:val="00876987"/>
    <w:rsid w:val="0087698C"/>
    <w:rsid w:val="00876A88"/>
    <w:rsid w:val="00876AF0"/>
    <w:rsid w:val="00876B7F"/>
    <w:rsid w:val="00876D2B"/>
    <w:rsid w:val="00876D53"/>
    <w:rsid w:val="00876F77"/>
    <w:rsid w:val="00876FC6"/>
    <w:rsid w:val="00876FF1"/>
    <w:rsid w:val="0087711A"/>
    <w:rsid w:val="008771F8"/>
    <w:rsid w:val="008772F6"/>
    <w:rsid w:val="00877302"/>
    <w:rsid w:val="008773CC"/>
    <w:rsid w:val="008775BA"/>
    <w:rsid w:val="008775EF"/>
    <w:rsid w:val="00877601"/>
    <w:rsid w:val="0087761B"/>
    <w:rsid w:val="00877684"/>
    <w:rsid w:val="008778D8"/>
    <w:rsid w:val="008778EC"/>
    <w:rsid w:val="00877908"/>
    <w:rsid w:val="00877D26"/>
    <w:rsid w:val="00877D92"/>
    <w:rsid w:val="00877E10"/>
    <w:rsid w:val="0088007A"/>
    <w:rsid w:val="00880441"/>
    <w:rsid w:val="00880590"/>
    <w:rsid w:val="008807FE"/>
    <w:rsid w:val="0088082B"/>
    <w:rsid w:val="00880993"/>
    <w:rsid w:val="008809E5"/>
    <w:rsid w:val="00880B34"/>
    <w:rsid w:val="00880B99"/>
    <w:rsid w:val="00880BC5"/>
    <w:rsid w:val="0088119F"/>
    <w:rsid w:val="00881229"/>
    <w:rsid w:val="008812ED"/>
    <w:rsid w:val="008813D1"/>
    <w:rsid w:val="00881600"/>
    <w:rsid w:val="0088176A"/>
    <w:rsid w:val="008817AD"/>
    <w:rsid w:val="00881984"/>
    <w:rsid w:val="00881A3F"/>
    <w:rsid w:val="00881A4C"/>
    <w:rsid w:val="00881BE0"/>
    <w:rsid w:val="00881D35"/>
    <w:rsid w:val="00881E23"/>
    <w:rsid w:val="00881F55"/>
    <w:rsid w:val="0088222E"/>
    <w:rsid w:val="00882356"/>
    <w:rsid w:val="008823DC"/>
    <w:rsid w:val="00882497"/>
    <w:rsid w:val="00882516"/>
    <w:rsid w:val="00882675"/>
    <w:rsid w:val="00882932"/>
    <w:rsid w:val="008829C9"/>
    <w:rsid w:val="00882A7D"/>
    <w:rsid w:val="00882B15"/>
    <w:rsid w:val="00882B23"/>
    <w:rsid w:val="00882C18"/>
    <w:rsid w:val="00882C7E"/>
    <w:rsid w:val="00882C96"/>
    <w:rsid w:val="00882E4D"/>
    <w:rsid w:val="008830DE"/>
    <w:rsid w:val="00883253"/>
    <w:rsid w:val="0088338C"/>
    <w:rsid w:val="008834FE"/>
    <w:rsid w:val="0088357B"/>
    <w:rsid w:val="008837EB"/>
    <w:rsid w:val="00883850"/>
    <w:rsid w:val="00883917"/>
    <w:rsid w:val="00883981"/>
    <w:rsid w:val="00883F5C"/>
    <w:rsid w:val="00883FC2"/>
    <w:rsid w:val="00883FD0"/>
    <w:rsid w:val="0088417D"/>
    <w:rsid w:val="0088420A"/>
    <w:rsid w:val="008844CF"/>
    <w:rsid w:val="008844E7"/>
    <w:rsid w:val="008844F5"/>
    <w:rsid w:val="00884507"/>
    <w:rsid w:val="00884545"/>
    <w:rsid w:val="00884921"/>
    <w:rsid w:val="0088496D"/>
    <w:rsid w:val="00884A1B"/>
    <w:rsid w:val="00884A7B"/>
    <w:rsid w:val="00884B4B"/>
    <w:rsid w:val="00884B4C"/>
    <w:rsid w:val="00884C6F"/>
    <w:rsid w:val="00884F04"/>
    <w:rsid w:val="00884F33"/>
    <w:rsid w:val="00884FC4"/>
    <w:rsid w:val="00885335"/>
    <w:rsid w:val="0088554F"/>
    <w:rsid w:val="00885573"/>
    <w:rsid w:val="0088557B"/>
    <w:rsid w:val="008855CF"/>
    <w:rsid w:val="00885742"/>
    <w:rsid w:val="00885C79"/>
    <w:rsid w:val="00885CAB"/>
    <w:rsid w:val="0088610B"/>
    <w:rsid w:val="008861EC"/>
    <w:rsid w:val="00886204"/>
    <w:rsid w:val="00886229"/>
    <w:rsid w:val="008863D3"/>
    <w:rsid w:val="00886459"/>
    <w:rsid w:val="00886580"/>
    <w:rsid w:val="0088662A"/>
    <w:rsid w:val="0088671E"/>
    <w:rsid w:val="00886722"/>
    <w:rsid w:val="00886738"/>
    <w:rsid w:val="00886840"/>
    <w:rsid w:val="008869F3"/>
    <w:rsid w:val="00886AFF"/>
    <w:rsid w:val="00886B30"/>
    <w:rsid w:val="00886C3E"/>
    <w:rsid w:val="00886D4A"/>
    <w:rsid w:val="00886DBB"/>
    <w:rsid w:val="00886EBF"/>
    <w:rsid w:val="0088703D"/>
    <w:rsid w:val="00887075"/>
    <w:rsid w:val="00887345"/>
    <w:rsid w:val="00887418"/>
    <w:rsid w:val="00887617"/>
    <w:rsid w:val="0088790D"/>
    <w:rsid w:val="00887D23"/>
    <w:rsid w:val="00887D52"/>
    <w:rsid w:val="00887F8F"/>
    <w:rsid w:val="00887F9D"/>
    <w:rsid w:val="00887FE0"/>
    <w:rsid w:val="00887FF5"/>
    <w:rsid w:val="0089015E"/>
    <w:rsid w:val="008901D4"/>
    <w:rsid w:val="00890422"/>
    <w:rsid w:val="00890549"/>
    <w:rsid w:val="00890602"/>
    <w:rsid w:val="00890653"/>
    <w:rsid w:val="0089091B"/>
    <w:rsid w:val="00890C4F"/>
    <w:rsid w:val="00890C8E"/>
    <w:rsid w:val="00890D58"/>
    <w:rsid w:val="00890F9E"/>
    <w:rsid w:val="00891149"/>
    <w:rsid w:val="008911F2"/>
    <w:rsid w:val="00891247"/>
    <w:rsid w:val="00891264"/>
    <w:rsid w:val="008914DF"/>
    <w:rsid w:val="0089152E"/>
    <w:rsid w:val="00891537"/>
    <w:rsid w:val="0089156D"/>
    <w:rsid w:val="00891615"/>
    <w:rsid w:val="00891620"/>
    <w:rsid w:val="00891BFB"/>
    <w:rsid w:val="00891C4F"/>
    <w:rsid w:val="00891CBA"/>
    <w:rsid w:val="00891E64"/>
    <w:rsid w:val="00891F15"/>
    <w:rsid w:val="00891F5E"/>
    <w:rsid w:val="008921B8"/>
    <w:rsid w:val="0089225B"/>
    <w:rsid w:val="008922D6"/>
    <w:rsid w:val="008922FD"/>
    <w:rsid w:val="008924E1"/>
    <w:rsid w:val="0089259E"/>
    <w:rsid w:val="008925B8"/>
    <w:rsid w:val="00892719"/>
    <w:rsid w:val="008927FD"/>
    <w:rsid w:val="00892856"/>
    <w:rsid w:val="008928E5"/>
    <w:rsid w:val="00892998"/>
    <w:rsid w:val="00893012"/>
    <w:rsid w:val="00893121"/>
    <w:rsid w:val="00893299"/>
    <w:rsid w:val="00893300"/>
    <w:rsid w:val="008933AC"/>
    <w:rsid w:val="008933DF"/>
    <w:rsid w:val="0089348F"/>
    <w:rsid w:val="00893648"/>
    <w:rsid w:val="00893758"/>
    <w:rsid w:val="0089390C"/>
    <w:rsid w:val="00893919"/>
    <w:rsid w:val="00893AB7"/>
    <w:rsid w:val="00893AC4"/>
    <w:rsid w:val="00893AF1"/>
    <w:rsid w:val="00893B88"/>
    <w:rsid w:val="00893CCB"/>
    <w:rsid w:val="00893E13"/>
    <w:rsid w:val="00893E8E"/>
    <w:rsid w:val="0089421F"/>
    <w:rsid w:val="00894287"/>
    <w:rsid w:val="00894823"/>
    <w:rsid w:val="00894A08"/>
    <w:rsid w:val="00894C6D"/>
    <w:rsid w:val="00894D64"/>
    <w:rsid w:val="00895147"/>
    <w:rsid w:val="0089518A"/>
    <w:rsid w:val="0089543D"/>
    <w:rsid w:val="008954B6"/>
    <w:rsid w:val="0089550B"/>
    <w:rsid w:val="00895AC2"/>
    <w:rsid w:val="00895BEE"/>
    <w:rsid w:val="00896264"/>
    <w:rsid w:val="00896458"/>
    <w:rsid w:val="008964FA"/>
    <w:rsid w:val="008965D9"/>
    <w:rsid w:val="0089677C"/>
    <w:rsid w:val="008967E8"/>
    <w:rsid w:val="008968C0"/>
    <w:rsid w:val="00896BD2"/>
    <w:rsid w:val="00896CE7"/>
    <w:rsid w:val="00896CF4"/>
    <w:rsid w:val="00896E0B"/>
    <w:rsid w:val="00896E0E"/>
    <w:rsid w:val="00896EB6"/>
    <w:rsid w:val="00896FDE"/>
    <w:rsid w:val="00897007"/>
    <w:rsid w:val="00897173"/>
    <w:rsid w:val="008971E6"/>
    <w:rsid w:val="00897471"/>
    <w:rsid w:val="00897788"/>
    <w:rsid w:val="008978FB"/>
    <w:rsid w:val="00897C32"/>
    <w:rsid w:val="00897CF5"/>
    <w:rsid w:val="008A0048"/>
    <w:rsid w:val="008A006F"/>
    <w:rsid w:val="008A00C8"/>
    <w:rsid w:val="008A00CD"/>
    <w:rsid w:val="008A0174"/>
    <w:rsid w:val="008A01C5"/>
    <w:rsid w:val="008A023A"/>
    <w:rsid w:val="008A0399"/>
    <w:rsid w:val="008A047A"/>
    <w:rsid w:val="008A04B5"/>
    <w:rsid w:val="008A059F"/>
    <w:rsid w:val="008A05F8"/>
    <w:rsid w:val="008A0701"/>
    <w:rsid w:val="008A0787"/>
    <w:rsid w:val="008A0860"/>
    <w:rsid w:val="008A086F"/>
    <w:rsid w:val="008A0871"/>
    <w:rsid w:val="008A09C6"/>
    <w:rsid w:val="008A0A0F"/>
    <w:rsid w:val="008A0BED"/>
    <w:rsid w:val="008A0D83"/>
    <w:rsid w:val="008A108B"/>
    <w:rsid w:val="008A10C1"/>
    <w:rsid w:val="008A1115"/>
    <w:rsid w:val="008A1128"/>
    <w:rsid w:val="008A1268"/>
    <w:rsid w:val="008A1291"/>
    <w:rsid w:val="008A1373"/>
    <w:rsid w:val="008A151E"/>
    <w:rsid w:val="008A176E"/>
    <w:rsid w:val="008A1780"/>
    <w:rsid w:val="008A1838"/>
    <w:rsid w:val="008A1A1E"/>
    <w:rsid w:val="008A1AAD"/>
    <w:rsid w:val="008A1B45"/>
    <w:rsid w:val="008A1B8C"/>
    <w:rsid w:val="008A1C97"/>
    <w:rsid w:val="008A1D3F"/>
    <w:rsid w:val="008A1DAF"/>
    <w:rsid w:val="008A1DD8"/>
    <w:rsid w:val="008A20F3"/>
    <w:rsid w:val="008A2164"/>
    <w:rsid w:val="008A23DB"/>
    <w:rsid w:val="008A23DC"/>
    <w:rsid w:val="008A25E6"/>
    <w:rsid w:val="008A27A5"/>
    <w:rsid w:val="008A28C3"/>
    <w:rsid w:val="008A29DC"/>
    <w:rsid w:val="008A2A7A"/>
    <w:rsid w:val="008A2BAE"/>
    <w:rsid w:val="008A2BC9"/>
    <w:rsid w:val="008A2C04"/>
    <w:rsid w:val="008A2D21"/>
    <w:rsid w:val="008A2D65"/>
    <w:rsid w:val="008A2F6A"/>
    <w:rsid w:val="008A2F7A"/>
    <w:rsid w:val="008A300D"/>
    <w:rsid w:val="008A3062"/>
    <w:rsid w:val="008A3174"/>
    <w:rsid w:val="008A3253"/>
    <w:rsid w:val="008A32B6"/>
    <w:rsid w:val="008A335B"/>
    <w:rsid w:val="008A34AA"/>
    <w:rsid w:val="008A3526"/>
    <w:rsid w:val="008A354D"/>
    <w:rsid w:val="008A356C"/>
    <w:rsid w:val="008A37A1"/>
    <w:rsid w:val="008A3867"/>
    <w:rsid w:val="008A38B0"/>
    <w:rsid w:val="008A3988"/>
    <w:rsid w:val="008A3A92"/>
    <w:rsid w:val="008A3C19"/>
    <w:rsid w:val="008A3D09"/>
    <w:rsid w:val="008A3D1B"/>
    <w:rsid w:val="008A3E12"/>
    <w:rsid w:val="008A4100"/>
    <w:rsid w:val="008A4139"/>
    <w:rsid w:val="008A41B6"/>
    <w:rsid w:val="008A41FC"/>
    <w:rsid w:val="008A420E"/>
    <w:rsid w:val="008A4228"/>
    <w:rsid w:val="008A429D"/>
    <w:rsid w:val="008A42DA"/>
    <w:rsid w:val="008A42F6"/>
    <w:rsid w:val="008A464A"/>
    <w:rsid w:val="008A4657"/>
    <w:rsid w:val="008A4788"/>
    <w:rsid w:val="008A47FB"/>
    <w:rsid w:val="008A48AF"/>
    <w:rsid w:val="008A48D2"/>
    <w:rsid w:val="008A4A79"/>
    <w:rsid w:val="008A4A7B"/>
    <w:rsid w:val="008A4B57"/>
    <w:rsid w:val="008A4D06"/>
    <w:rsid w:val="008A4D83"/>
    <w:rsid w:val="008A4F2C"/>
    <w:rsid w:val="008A5022"/>
    <w:rsid w:val="008A5074"/>
    <w:rsid w:val="008A50CC"/>
    <w:rsid w:val="008A50F9"/>
    <w:rsid w:val="008A5188"/>
    <w:rsid w:val="008A5321"/>
    <w:rsid w:val="008A5458"/>
    <w:rsid w:val="008A55D6"/>
    <w:rsid w:val="008A5746"/>
    <w:rsid w:val="008A574B"/>
    <w:rsid w:val="008A57C1"/>
    <w:rsid w:val="008A5A1D"/>
    <w:rsid w:val="008A5A3D"/>
    <w:rsid w:val="008A5A89"/>
    <w:rsid w:val="008A5BE6"/>
    <w:rsid w:val="008A5BE9"/>
    <w:rsid w:val="008A5E08"/>
    <w:rsid w:val="008A5E6C"/>
    <w:rsid w:val="008A5EEF"/>
    <w:rsid w:val="008A5FF2"/>
    <w:rsid w:val="008A608B"/>
    <w:rsid w:val="008A63BF"/>
    <w:rsid w:val="008A64E6"/>
    <w:rsid w:val="008A6519"/>
    <w:rsid w:val="008A65AF"/>
    <w:rsid w:val="008A6784"/>
    <w:rsid w:val="008A6934"/>
    <w:rsid w:val="008A69AA"/>
    <w:rsid w:val="008A69D1"/>
    <w:rsid w:val="008A69EB"/>
    <w:rsid w:val="008A6A19"/>
    <w:rsid w:val="008A6A26"/>
    <w:rsid w:val="008A6AB1"/>
    <w:rsid w:val="008A6ADF"/>
    <w:rsid w:val="008A6B6A"/>
    <w:rsid w:val="008A6D32"/>
    <w:rsid w:val="008A6D89"/>
    <w:rsid w:val="008A6E42"/>
    <w:rsid w:val="008A6F13"/>
    <w:rsid w:val="008A6F76"/>
    <w:rsid w:val="008A7310"/>
    <w:rsid w:val="008A7323"/>
    <w:rsid w:val="008A748B"/>
    <w:rsid w:val="008A74BD"/>
    <w:rsid w:val="008A756D"/>
    <w:rsid w:val="008A7698"/>
    <w:rsid w:val="008A771A"/>
    <w:rsid w:val="008A77D5"/>
    <w:rsid w:val="008A7808"/>
    <w:rsid w:val="008A7AE2"/>
    <w:rsid w:val="008A7DC8"/>
    <w:rsid w:val="008A7ED2"/>
    <w:rsid w:val="008B0073"/>
    <w:rsid w:val="008B0251"/>
    <w:rsid w:val="008B0281"/>
    <w:rsid w:val="008B0330"/>
    <w:rsid w:val="008B0407"/>
    <w:rsid w:val="008B05D1"/>
    <w:rsid w:val="008B0652"/>
    <w:rsid w:val="008B06FF"/>
    <w:rsid w:val="008B0727"/>
    <w:rsid w:val="008B0754"/>
    <w:rsid w:val="008B0816"/>
    <w:rsid w:val="008B08C8"/>
    <w:rsid w:val="008B0997"/>
    <w:rsid w:val="008B0A7C"/>
    <w:rsid w:val="008B0AEB"/>
    <w:rsid w:val="008B0B6E"/>
    <w:rsid w:val="008B0B8D"/>
    <w:rsid w:val="008B0CE3"/>
    <w:rsid w:val="008B0E29"/>
    <w:rsid w:val="008B0E74"/>
    <w:rsid w:val="008B0F1E"/>
    <w:rsid w:val="008B115C"/>
    <w:rsid w:val="008B1208"/>
    <w:rsid w:val="008B1582"/>
    <w:rsid w:val="008B1662"/>
    <w:rsid w:val="008B1908"/>
    <w:rsid w:val="008B1915"/>
    <w:rsid w:val="008B1AB6"/>
    <w:rsid w:val="008B1AD9"/>
    <w:rsid w:val="008B1B7C"/>
    <w:rsid w:val="008B1CB6"/>
    <w:rsid w:val="008B1D50"/>
    <w:rsid w:val="008B1D6C"/>
    <w:rsid w:val="008B1DD2"/>
    <w:rsid w:val="008B2006"/>
    <w:rsid w:val="008B2027"/>
    <w:rsid w:val="008B21B6"/>
    <w:rsid w:val="008B22A0"/>
    <w:rsid w:val="008B239E"/>
    <w:rsid w:val="008B2549"/>
    <w:rsid w:val="008B2550"/>
    <w:rsid w:val="008B26D9"/>
    <w:rsid w:val="008B2864"/>
    <w:rsid w:val="008B2ACF"/>
    <w:rsid w:val="008B2B3E"/>
    <w:rsid w:val="008B2D9D"/>
    <w:rsid w:val="008B2EB5"/>
    <w:rsid w:val="008B3068"/>
    <w:rsid w:val="008B307D"/>
    <w:rsid w:val="008B310E"/>
    <w:rsid w:val="008B32CF"/>
    <w:rsid w:val="008B34BE"/>
    <w:rsid w:val="008B37E5"/>
    <w:rsid w:val="008B38F4"/>
    <w:rsid w:val="008B3967"/>
    <w:rsid w:val="008B3A17"/>
    <w:rsid w:val="008B3A56"/>
    <w:rsid w:val="008B3C29"/>
    <w:rsid w:val="008B3ED3"/>
    <w:rsid w:val="008B3F1A"/>
    <w:rsid w:val="008B4218"/>
    <w:rsid w:val="008B434F"/>
    <w:rsid w:val="008B44FF"/>
    <w:rsid w:val="008B4525"/>
    <w:rsid w:val="008B462C"/>
    <w:rsid w:val="008B48FC"/>
    <w:rsid w:val="008B4983"/>
    <w:rsid w:val="008B4ADE"/>
    <w:rsid w:val="008B4CE4"/>
    <w:rsid w:val="008B4D04"/>
    <w:rsid w:val="008B4FA7"/>
    <w:rsid w:val="008B5191"/>
    <w:rsid w:val="008B51B5"/>
    <w:rsid w:val="008B51FC"/>
    <w:rsid w:val="008B524F"/>
    <w:rsid w:val="008B552D"/>
    <w:rsid w:val="008B5549"/>
    <w:rsid w:val="008B5615"/>
    <w:rsid w:val="008B5E38"/>
    <w:rsid w:val="008B6067"/>
    <w:rsid w:val="008B6095"/>
    <w:rsid w:val="008B6128"/>
    <w:rsid w:val="008B6360"/>
    <w:rsid w:val="008B639A"/>
    <w:rsid w:val="008B6650"/>
    <w:rsid w:val="008B6683"/>
    <w:rsid w:val="008B670E"/>
    <w:rsid w:val="008B676E"/>
    <w:rsid w:val="008B6849"/>
    <w:rsid w:val="008B6B54"/>
    <w:rsid w:val="008B6B76"/>
    <w:rsid w:val="008B6EAC"/>
    <w:rsid w:val="008B700B"/>
    <w:rsid w:val="008B71C5"/>
    <w:rsid w:val="008B71C8"/>
    <w:rsid w:val="008B7227"/>
    <w:rsid w:val="008B734F"/>
    <w:rsid w:val="008B7404"/>
    <w:rsid w:val="008B747C"/>
    <w:rsid w:val="008B74AA"/>
    <w:rsid w:val="008B7578"/>
    <w:rsid w:val="008B7591"/>
    <w:rsid w:val="008B75F8"/>
    <w:rsid w:val="008B7ADB"/>
    <w:rsid w:val="008B7CB9"/>
    <w:rsid w:val="008B7D53"/>
    <w:rsid w:val="008B7DCD"/>
    <w:rsid w:val="008B7DE8"/>
    <w:rsid w:val="008B7ED6"/>
    <w:rsid w:val="008B7F5E"/>
    <w:rsid w:val="008C0045"/>
    <w:rsid w:val="008C0146"/>
    <w:rsid w:val="008C0211"/>
    <w:rsid w:val="008C04B8"/>
    <w:rsid w:val="008C04E8"/>
    <w:rsid w:val="008C0545"/>
    <w:rsid w:val="008C0575"/>
    <w:rsid w:val="008C0711"/>
    <w:rsid w:val="008C0742"/>
    <w:rsid w:val="008C0844"/>
    <w:rsid w:val="008C086B"/>
    <w:rsid w:val="008C0910"/>
    <w:rsid w:val="008C09B7"/>
    <w:rsid w:val="008C0ABD"/>
    <w:rsid w:val="008C0AFD"/>
    <w:rsid w:val="008C0C03"/>
    <w:rsid w:val="008C103E"/>
    <w:rsid w:val="008C104F"/>
    <w:rsid w:val="008C1089"/>
    <w:rsid w:val="008C1145"/>
    <w:rsid w:val="008C11A4"/>
    <w:rsid w:val="008C12FC"/>
    <w:rsid w:val="008C1400"/>
    <w:rsid w:val="008C14D8"/>
    <w:rsid w:val="008C1550"/>
    <w:rsid w:val="008C16C1"/>
    <w:rsid w:val="008C187B"/>
    <w:rsid w:val="008C192C"/>
    <w:rsid w:val="008C199A"/>
    <w:rsid w:val="008C1B34"/>
    <w:rsid w:val="008C1B4B"/>
    <w:rsid w:val="008C1C14"/>
    <w:rsid w:val="008C1C6F"/>
    <w:rsid w:val="008C1D2C"/>
    <w:rsid w:val="008C1EBB"/>
    <w:rsid w:val="008C20CF"/>
    <w:rsid w:val="008C23AD"/>
    <w:rsid w:val="008C24FC"/>
    <w:rsid w:val="008C26B8"/>
    <w:rsid w:val="008C27C0"/>
    <w:rsid w:val="008C28DC"/>
    <w:rsid w:val="008C2AA9"/>
    <w:rsid w:val="008C2DBD"/>
    <w:rsid w:val="008C2DD3"/>
    <w:rsid w:val="008C2E09"/>
    <w:rsid w:val="008C2F09"/>
    <w:rsid w:val="008C2F39"/>
    <w:rsid w:val="008C2FD1"/>
    <w:rsid w:val="008C2FFD"/>
    <w:rsid w:val="008C3048"/>
    <w:rsid w:val="008C3207"/>
    <w:rsid w:val="008C324E"/>
    <w:rsid w:val="008C3697"/>
    <w:rsid w:val="008C3806"/>
    <w:rsid w:val="008C38EB"/>
    <w:rsid w:val="008C392E"/>
    <w:rsid w:val="008C3D55"/>
    <w:rsid w:val="008C3E52"/>
    <w:rsid w:val="008C403D"/>
    <w:rsid w:val="008C4164"/>
    <w:rsid w:val="008C41F3"/>
    <w:rsid w:val="008C4285"/>
    <w:rsid w:val="008C429E"/>
    <w:rsid w:val="008C42FA"/>
    <w:rsid w:val="008C443D"/>
    <w:rsid w:val="008C44B0"/>
    <w:rsid w:val="008C44BF"/>
    <w:rsid w:val="008C4633"/>
    <w:rsid w:val="008C4808"/>
    <w:rsid w:val="008C4845"/>
    <w:rsid w:val="008C48ED"/>
    <w:rsid w:val="008C4A12"/>
    <w:rsid w:val="008C4A19"/>
    <w:rsid w:val="008C4BDA"/>
    <w:rsid w:val="008C4C58"/>
    <w:rsid w:val="008C4D43"/>
    <w:rsid w:val="008C4DA4"/>
    <w:rsid w:val="008C506C"/>
    <w:rsid w:val="008C522A"/>
    <w:rsid w:val="008C536D"/>
    <w:rsid w:val="008C5503"/>
    <w:rsid w:val="008C557E"/>
    <w:rsid w:val="008C559E"/>
    <w:rsid w:val="008C55E1"/>
    <w:rsid w:val="008C572D"/>
    <w:rsid w:val="008C5879"/>
    <w:rsid w:val="008C588E"/>
    <w:rsid w:val="008C58A2"/>
    <w:rsid w:val="008C59F7"/>
    <w:rsid w:val="008C5B8B"/>
    <w:rsid w:val="008C5B9E"/>
    <w:rsid w:val="008C5CD0"/>
    <w:rsid w:val="008C5CD4"/>
    <w:rsid w:val="008C5CE6"/>
    <w:rsid w:val="008C5E97"/>
    <w:rsid w:val="008C5FF3"/>
    <w:rsid w:val="008C60D1"/>
    <w:rsid w:val="008C6201"/>
    <w:rsid w:val="008C6345"/>
    <w:rsid w:val="008C6556"/>
    <w:rsid w:val="008C6601"/>
    <w:rsid w:val="008C67D7"/>
    <w:rsid w:val="008C67FE"/>
    <w:rsid w:val="008C6A05"/>
    <w:rsid w:val="008C6B11"/>
    <w:rsid w:val="008C6B52"/>
    <w:rsid w:val="008C6B91"/>
    <w:rsid w:val="008C6C96"/>
    <w:rsid w:val="008C6CEB"/>
    <w:rsid w:val="008C6FEE"/>
    <w:rsid w:val="008C7042"/>
    <w:rsid w:val="008C707F"/>
    <w:rsid w:val="008C7172"/>
    <w:rsid w:val="008C730A"/>
    <w:rsid w:val="008C7434"/>
    <w:rsid w:val="008C7536"/>
    <w:rsid w:val="008C7588"/>
    <w:rsid w:val="008C779D"/>
    <w:rsid w:val="008C7A0F"/>
    <w:rsid w:val="008C7B1E"/>
    <w:rsid w:val="008C7EC7"/>
    <w:rsid w:val="008D0133"/>
    <w:rsid w:val="008D01E6"/>
    <w:rsid w:val="008D032F"/>
    <w:rsid w:val="008D038F"/>
    <w:rsid w:val="008D03A8"/>
    <w:rsid w:val="008D048B"/>
    <w:rsid w:val="008D058A"/>
    <w:rsid w:val="008D0606"/>
    <w:rsid w:val="008D06C8"/>
    <w:rsid w:val="008D0732"/>
    <w:rsid w:val="008D0882"/>
    <w:rsid w:val="008D09B1"/>
    <w:rsid w:val="008D0AD8"/>
    <w:rsid w:val="008D0B33"/>
    <w:rsid w:val="008D0B77"/>
    <w:rsid w:val="008D0B79"/>
    <w:rsid w:val="008D0D56"/>
    <w:rsid w:val="008D0DD4"/>
    <w:rsid w:val="008D0DF7"/>
    <w:rsid w:val="008D0E86"/>
    <w:rsid w:val="008D0E99"/>
    <w:rsid w:val="008D11EF"/>
    <w:rsid w:val="008D14DF"/>
    <w:rsid w:val="008D16C6"/>
    <w:rsid w:val="008D1757"/>
    <w:rsid w:val="008D17F6"/>
    <w:rsid w:val="008D1957"/>
    <w:rsid w:val="008D199A"/>
    <w:rsid w:val="008D1D31"/>
    <w:rsid w:val="008D1EC7"/>
    <w:rsid w:val="008D1F72"/>
    <w:rsid w:val="008D1FD1"/>
    <w:rsid w:val="008D2389"/>
    <w:rsid w:val="008D2674"/>
    <w:rsid w:val="008D28A5"/>
    <w:rsid w:val="008D28D5"/>
    <w:rsid w:val="008D2B0D"/>
    <w:rsid w:val="008D2B7D"/>
    <w:rsid w:val="008D2C08"/>
    <w:rsid w:val="008D2D02"/>
    <w:rsid w:val="008D2E9B"/>
    <w:rsid w:val="008D31D8"/>
    <w:rsid w:val="008D31F2"/>
    <w:rsid w:val="008D3223"/>
    <w:rsid w:val="008D3264"/>
    <w:rsid w:val="008D33BE"/>
    <w:rsid w:val="008D3566"/>
    <w:rsid w:val="008D361D"/>
    <w:rsid w:val="008D3677"/>
    <w:rsid w:val="008D368D"/>
    <w:rsid w:val="008D3793"/>
    <w:rsid w:val="008D3AB3"/>
    <w:rsid w:val="008D3C7D"/>
    <w:rsid w:val="008D3D03"/>
    <w:rsid w:val="008D3E96"/>
    <w:rsid w:val="008D3EE1"/>
    <w:rsid w:val="008D4011"/>
    <w:rsid w:val="008D4044"/>
    <w:rsid w:val="008D4054"/>
    <w:rsid w:val="008D4079"/>
    <w:rsid w:val="008D424E"/>
    <w:rsid w:val="008D4427"/>
    <w:rsid w:val="008D452B"/>
    <w:rsid w:val="008D481F"/>
    <w:rsid w:val="008D4939"/>
    <w:rsid w:val="008D49EF"/>
    <w:rsid w:val="008D4A40"/>
    <w:rsid w:val="008D4E12"/>
    <w:rsid w:val="008D4FBA"/>
    <w:rsid w:val="008D4FE1"/>
    <w:rsid w:val="008D508D"/>
    <w:rsid w:val="008D51A7"/>
    <w:rsid w:val="008D5759"/>
    <w:rsid w:val="008D5862"/>
    <w:rsid w:val="008D5901"/>
    <w:rsid w:val="008D59D4"/>
    <w:rsid w:val="008D5B09"/>
    <w:rsid w:val="008D5BC0"/>
    <w:rsid w:val="008D5D7D"/>
    <w:rsid w:val="008D5E30"/>
    <w:rsid w:val="008D5E91"/>
    <w:rsid w:val="008D5F5F"/>
    <w:rsid w:val="008D6041"/>
    <w:rsid w:val="008D6591"/>
    <w:rsid w:val="008D667C"/>
    <w:rsid w:val="008D6810"/>
    <w:rsid w:val="008D6CCF"/>
    <w:rsid w:val="008D6CE4"/>
    <w:rsid w:val="008D73F9"/>
    <w:rsid w:val="008D7410"/>
    <w:rsid w:val="008D743A"/>
    <w:rsid w:val="008D7452"/>
    <w:rsid w:val="008D75B4"/>
    <w:rsid w:val="008D76D1"/>
    <w:rsid w:val="008D7788"/>
    <w:rsid w:val="008D781C"/>
    <w:rsid w:val="008D7BC9"/>
    <w:rsid w:val="008D7DAE"/>
    <w:rsid w:val="008D7E29"/>
    <w:rsid w:val="008E00FA"/>
    <w:rsid w:val="008E01F8"/>
    <w:rsid w:val="008E02C8"/>
    <w:rsid w:val="008E05D1"/>
    <w:rsid w:val="008E05FD"/>
    <w:rsid w:val="008E064F"/>
    <w:rsid w:val="008E0861"/>
    <w:rsid w:val="008E0948"/>
    <w:rsid w:val="008E09F5"/>
    <w:rsid w:val="008E0A8B"/>
    <w:rsid w:val="008E0B07"/>
    <w:rsid w:val="008E0B5B"/>
    <w:rsid w:val="008E0D2B"/>
    <w:rsid w:val="008E0EFB"/>
    <w:rsid w:val="008E0F66"/>
    <w:rsid w:val="008E1027"/>
    <w:rsid w:val="008E12A1"/>
    <w:rsid w:val="008E1318"/>
    <w:rsid w:val="008E1604"/>
    <w:rsid w:val="008E16A4"/>
    <w:rsid w:val="008E16F8"/>
    <w:rsid w:val="008E18F8"/>
    <w:rsid w:val="008E194D"/>
    <w:rsid w:val="008E19EC"/>
    <w:rsid w:val="008E1C93"/>
    <w:rsid w:val="008E1CBF"/>
    <w:rsid w:val="008E207E"/>
    <w:rsid w:val="008E209D"/>
    <w:rsid w:val="008E237B"/>
    <w:rsid w:val="008E247A"/>
    <w:rsid w:val="008E24A9"/>
    <w:rsid w:val="008E2609"/>
    <w:rsid w:val="008E2848"/>
    <w:rsid w:val="008E28F1"/>
    <w:rsid w:val="008E2A1C"/>
    <w:rsid w:val="008E2A22"/>
    <w:rsid w:val="008E2D89"/>
    <w:rsid w:val="008E2E3F"/>
    <w:rsid w:val="008E2FB9"/>
    <w:rsid w:val="008E3012"/>
    <w:rsid w:val="008E314A"/>
    <w:rsid w:val="008E31AB"/>
    <w:rsid w:val="008E3275"/>
    <w:rsid w:val="008E3354"/>
    <w:rsid w:val="008E3412"/>
    <w:rsid w:val="008E3525"/>
    <w:rsid w:val="008E3694"/>
    <w:rsid w:val="008E374C"/>
    <w:rsid w:val="008E3773"/>
    <w:rsid w:val="008E3A0A"/>
    <w:rsid w:val="008E3AA7"/>
    <w:rsid w:val="008E3CA1"/>
    <w:rsid w:val="008E3D0F"/>
    <w:rsid w:val="008E3E74"/>
    <w:rsid w:val="008E3ECF"/>
    <w:rsid w:val="008E3FA0"/>
    <w:rsid w:val="008E4168"/>
    <w:rsid w:val="008E421E"/>
    <w:rsid w:val="008E424B"/>
    <w:rsid w:val="008E4256"/>
    <w:rsid w:val="008E431F"/>
    <w:rsid w:val="008E43D4"/>
    <w:rsid w:val="008E43FC"/>
    <w:rsid w:val="008E442F"/>
    <w:rsid w:val="008E453D"/>
    <w:rsid w:val="008E46AB"/>
    <w:rsid w:val="008E4809"/>
    <w:rsid w:val="008E4832"/>
    <w:rsid w:val="008E4A68"/>
    <w:rsid w:val="008E4B2D"/>
    <w:rsid w:val="008E4D77"/>
    <w:rsid w:val="008E4DF2"/>
    <w:rsid w:val="008E4E40"/>
    <w:rsid w:val="008E4F58"/>
    <w:rsid w:val="008E4F96"/>
    <w:rsid w:val="008E5117"/>
    <w:rsid w:val="008E534B"/>
    <w:rsid w:val="008E5555"/>
    <w:rsid w:val="008E55A3"/>
    <w:rsid w:val="008E55A4"/>
    <w:rsid w:val="008E56E4"/>
    <w:rsid w:val="008E5723"/>
    <w:rsid w:val="008E5738"/>
    <w:rsid w:val="008E5754"/>
    <w:rsid w:val="008E57C3"/>
    <w:rsid w:val="008E589F"/>
    <w:rsid w:val="008E5938"/>
    <w:rsid w:val="008E5D20"/>
    <w:rsid w:val="008E5D74"/>
    <w:rsid w:val="008E5D75"/>
    <w:rsid w:val="008E5D88"/>
    <w:rsid w:val="008E5E80"/>
    <w:rsid w:val="008E5E96"/>
    <w:rsid w:val="008E5F27"/>
    <w:rsid w:val="008E5F51"/>
    <w:rsid w:val="008E6021"/>
    <w:rsid w:val="008E60C9"/>
    <w:rsid w:val="008E6104"/>
    <w:rsid w:val="008E6219"/>
    <w:rsid w:val="008E624A"/>
    <w:rsid w:val="008E6262"/>
    <w:rsid w:val="008E660E"/>
    <w:rsid w:val="008E686B"/>
    <w:rsid w:val="008E6B22"/>
    <w:rsid w:val="008E6DBF"/>
    <w:rsid w:val="008E6EA9"/>
    <w:rsid w:val="008E6F47"/>
    <w:rsid w:val="008E6FDF"/>
    <w:rsid w:val="008E7088"/>
    <w:rsid w:val="008E7328"/>
    <w:rsid w:val="008E7382"/>
    <w:rsid w:val="008E741D"/>
    <w:rsid w:val="008E742A"/>
    <w:rsid w:val="008E758E"/>
    <w:rsid w:val="008E76F0"/>
    <w:rsid w:val="008E772F"/>
    <w:rsid w:val="008E787C"/>
    <w:rsid w:val="008E78E9"/>
    <w:rsid w:val="008E7975"/>
    <w:rsid w:val="008E79A5"/>
    <w:rsid w:val="008E7EA8"/>
    <w:rsid w:val="008F0027"/>
    <w:rsid w:val="008F011A"/>
    <w:rsid w:val="008F0145"/>
    <w:rsid w:val="008F01EB"/>
    <w:rsid w:val="008F0227"/>
    <w:rsid w:val="008F02FF"/>
    <w:rsid w:val="008F03FC"/>
    <w:rsid w:val="008F071B"/>
    <w:rsid w:val="008F0A32"/>
    <w:rsid w:val="008F0AC4"/>
    <w:rsid w:val="008F0EB0"/>
    <w:rsid w:val="008F10BB"/>
    <w:rsid w:val="008F1270"/>
    <w:rsid w:val="008F12BC"/>
    <w:rsid w:val="008F12CD"/>
    <w:rsid w:val="008F149B"/>
    <w:rsid w:val="008F1513"/>
    <w:rsid w:val="008F1676"/>
    <w:rsid w:val="008F1929"/>
    <w:rsid w:val="008F1BF8"/>
    <w:rsid w:val="008F1D07"/>
    <w:rsid w:val="008F1D61"/>
    <w:rsid w:val="008F1E8B"/>
    <w:rsid w:val="008F1FAE"/>
    <w:rsid w:val="008F1FE7"/>
    <w:rsid w:val="008F204B"/>
    <w:rsid w:val="008F21C8"/>
    <w:rsid w:val="008F2263"/>
    <w:rsid w:val="008F235B"/>
    <w:rsid w:val="008F2375"/>
    <w:rsid w:val="008F24DF"/>
    <w:rsid w:val="008F2547"/>
    <w:rsid w:val="008F2664"/>
    <w:rsid w:val="008F299A"/>
    <w:rsid w:val="008F2A34"/>
    <w:rsid w:val="008F2A4B"/>
    <w:rsid w:val="008F2B8F"/>
    <w:rsid w:val="008F2C09"/>
    <w:rsid w:val="008F2C54"/>
    <w:rsid w:val="008F2DB5"/>
    <w:rsid w:val="008F309C"/>
    <w:rsid w:val="008F3159"/>
    <w:rsid w:val="008F31E9"/>
    <w:rsid w:val="008F3284"/>
    <w:rsid w:val="008F3384"/>
    <w:rsid w:val="008F356B"/>
    <w:rsid w:val="008F35C4"/>
    <w:rsid w:val="008F35F7"/>
    <w:rsid w:val="008F3666"/>
    <w:rsid w:val="008F3869"/>
    <w:rsid w:val="008F395B"/>
    <w:rsid w:val="008F3A81"/>
    <w:rsid w:val="008F3BE4"/>
    <w:rsid w:val="008F3C22"/>
    <w:rsid w:val="008F3C48"/>
    <w:rsid w:val="008F3FA6"/>
    <w:rsid w:val="008F4058"/>
    <w:rsid w:val="008F41D1"/>
    <w:rsid w:val="008F4325"/>
    <w:rsid w:val="008F435B"/>
    <w:rsid w:val="008F43EE"/>
    <w:rsid w:val="008F4459"/>
    <w:rsid w:val="008F44C1"/>
    <w:rsid w:val="008F4563"/>
    <w:rsid w:val="008F46BC"/>
    <w:rsid w:val="008F48E6"/>
    <w:rsid w:val="008F495B"/>
    <w:rsid w:val="008F4A21"/>
    <w:rsid w:val="008F4A70"/>
    <w:rsid w:val="008F4B26"/>
    <w:rsid w:val="008F4B8C"/>
    <w:rsid w:val="008F4C2A"/>
    <w:rsid w:val="008F4C93"/>
    <w:rsid w:val="008F4FD3"/>
    <w:rsid w:val="008F51A8"/>
    <w:rsid w:val="008F5202"/>
    <w:rsid w:val="008F5278"/>
    <w:rsid w:val="008F5297"/>
    <w:rsid w:val="008F541A"/>
    <w:rsid w:val="008F55CF"/>
    <w:rsid w:val="008F5665"/>
    <w:rsid w:val="008F5916"/>
    <w:rsid w:val="008F5A9A"/>
    <w:rsid w:val="008F5AFB"/>
    <w:rsid w:val="008F5BB7"/>
    <w:rsid w:val="008F6497"/>
    <w:rsid w:val="008F6501"/>
    <w:rsid w:val="008F68DE"/>
    <w:rsid w:val="008F6978"/>
    <w:rsid w:val="008F69AD"/>
    <w:rsid w:val="008F69EA"/>
    <w:rsid w:val="008F69F5"/>
    <w:rsid w:val="008F6B5D"/>
    <w:rsid w:val="008F6C25"/>
    <w:rsid w:val="008F6D67"/>
    <w:rsid w:val="008F700F"/>
    <w:rsid w:val="008F7073"/>
    <w:rsid w:val="008F71C9"/>
    <w:rsid w:val="008F7211"/>
    <w:rsid w:val="008F72A9"/>
    <w:rsid w:val="008F7462"/>
    <w:rsid w:val="008F7478"/>
    <w:rsid w:val="008F7650"/>
    <w:rsid w:val="008F7809"/>
    <w:rsid w:val="008F7874"/>
    <w:rsid w:val="008F78A1"/>
    <w:rsid w:val="008F7989"/>
    <w:rsid w:val="008F7B34"/>
    <w:rsid w:val="008F7B6C"/>
    <w:rsid w:val="008F7E6F"/>
    <w:rsid w:val="008F7E88"/>
    <w:rsid w:val="008F7EEF"/>
    <w:rsid w:val="008F7F82"/>
    <w:rsid w:val="00900249"/>
    <w:rsid w:val="0090037A"/>
    <w:rsid w:val="009003C9"/>
    <w:rsid w:val="009003E6"/>
    <w:rsid w:val="00900403"/>
    <w:rsid w:val="009004A3"/>
    <w:rsid w:val="0090059F"/>
    <w:rsid w:val="009006E4"/>
    <w:rsid w:val="009007B1"/>
    <w:rsid w:val="009007E4"/>
    <w:rsid w:val="009008A5"/>
    <w:rsid w:val="00900B7D"/>
    <w:rsid w:val="00900C03"/>
    <w:rsid w:val="00900E67"/>
    <w:rsid w:val="0090109F"/>
    <w:rsid w:val="0090111F"/>
    <w:rsid w:val="009011A5"/>
    <w:rsid w:val="009011CC"/>
    <w:rsid w:val="0090126A"/>
    <w:rsid w:val="009013C8"/>
    <w:rsid w:val="0090167D"/>
    <w:rsid w:val="00901770"/>
    <w:rsid w:val="009018D4"/>
    <w:rsid w:val="009018F7"/>
    <w:rsid w:val="00901962"/>
    <w:rsid w:val="009019BC"/>
    <w:rsid w:val="00901B41"/>
    <w:rsid w:val="00901B80"/>
    <w:rsid w:val="00901DB9"/>
    <w:rsid w:val="00901E19"/>
    <w:rsid w:val="00901F42"/>
    <w:rsid w:val="0090227D"/>
    <w:rsid w:val="009023CF"/>
    <w:rsid w:val="009023DD"/>
    <w:rsid w:val="00902474"/>
    <w:rsid w:val="0090266B"/>
    <w:rsid w:val="009026D6"/>
    <w:rsid w:val="0090275E"/>
    <w:rsid w:val="00902949"/>
    <w:rsid w:val="00902983"/>
    <w:rsid w:val="00902B1A"/>
    <w:rsid w:val="00902BFA"/>
    <w:rsid w:val="00902C50"/>
    <w:rsid w:val="00902D0A"/>
    <w:rsid w:val="00902D16"/>
    <w:rsid w:val="00902D80"/>
    <w:rsid w:val="00902E26"/>
    <w:rsid w:val="00902E78"/>
    <w:rsid w:val="00902E7C"/>
    <w:rsid w:val="00902E90"/>
    <w:rsid w:val="00902F55"/>
    <w:rsid w:val="00902FE0"/>
    <w:rsid w:val="0090313E"/>
    <w:rsid w:val="0090317B"/>
    <w:rsid w:val="00903327"/>
    <w:rsid w:val="009033A1"/>
    <w:rsid w:val="0090359A"/>
    <w:rsid w:val="009035BA"/>
    <w:rsid w:val="00903788"/>
    <w:rsid w:val="009037BC"/>
    <w:rsid w:val="009037D0"/>
    <w:rsid w:val="009037DF"/>
    <w:rsid w:val="009038D6"/>
    <w:rsid w:val="0090395E"/>
    <w:rsid w:val="00903995"/>
    <w:rsid w:val="00903A18"/>
    <w:rsid w:val="00903A31"/>
    <w:rsid w:val="00903B10"/>
    <w:rsid w:val="00903B21"/>
    <w:rsid w:val="00903BB7"/>
    <w:rsid w:val="00903CF1"/>
    <w:rsid w:val="00903DA3"/>
    <w:rsid w:val="00903E06"/>
    <w:rsid w:val="00903EF2"/>
    <w:rsid w:val="00903FC0"/>
    <w:rsid w:val="0090408A"/>
    <w:rsid w:val="009040AF"/>
    <w:rsid w:val="009040DD"/>
    <w:rsid w:val="009041A7"/>
    <w:rsid w:val="00904298"/>
    <w:rsid w:val="009042D4"/>
    <w:rsid w:val="00904358"/>
    <w:rsid w:val="00904556"/>
    <w:rsid w:val="00904568"/>
    <w:rsid w:val="00904A48"/>
    <w:rsid w:val="00904CF6"/>
    <w:rsid w:val="00904E33"/>
    <w:rsid w:val="00904E90"/>
    <w:rsid w:val="00904F41"/>
    <w:rsid w:val="00904FB3"/>
    <w:rsid w:val="009050FD"/>
    <w:rsid w:val="009053AB"/>
    <w:rsid w:val="009056DF"/>
    <w:rsid w:val="0090596D"/>
    <w:rsid w:val="00905978"/>
    <w:rsid w:val="009059C8"/>
    <w:rsid w:val="009059E7"/>
    <w:rsid w:val="00905CC9"/>
    <w:rsid w:val="00905D9A"/>
    <w:rsid w:val="00905DA5"/>
    <w:rsid w:val="00905EB1"/>
    <w:rsid w:val="00905F91"/>
    <w:rsid w:val="009063F1"/>
    <w:rsid w:val="009063F2"/>
    <w:rsid w:val="009064F1"/>
    <w:rsid w:val="00906514"/>
    <w:rsid w:val="009065EB"/>
    <w:rsid w:val="0090662E"/>
    <w:rsid w:val="00906687"/>
    <w:rsid w:val="0090686C"/>
    <w:rsid w:val="00906929"/>
    <w:rsid w:val="00906B2A"/>
    <w:rsid w:val="00906BBB"/>
    <w:rsid w:val="00906D6F"/>
    <w:rsid w:val="0090705C"/>
    <w:rsid w:val="0090706C"/>
    <w:rsid w:val="009070CB"/>
    <w:rsid w:val="00907222"/>
    <w:rsid w:val="00907361"/>
    <w:rsid w:val="0090740A"/>
    <w:rsid w:val="00907563"/>
    <w:rsid w:val="009075BD"/>
    <w:rsid w:val="00907774"/>
    <w:rsid w:val="009077DF"/>
    <w:rsid w:val="009078E7"/>
    <w:rsid w:val="00907982"/>
    <w:rsid w:val="009079F4"/>
    <w:rsid w:val="00907AA7"/>
    <w:rsid w:val="00907B0F"/>
    <w:rsid w:val="00907CC1"/>
    <w:rsid w:val="00907ED7"/>
    <w:rsid w:val="0091003A"/>
    <w:rsid w:val="009103ED"/>
    <w:rsid w:val="00910565"/>
    <w:rsid w:val="009107DE"/>
    <w:rsid w:val="00910964"/>
    <w:rsid w:val="00911264"/>
    <w:rsid w:val="009112EF"/>
    <w:rsid w:val="00911419"/>
    <w:rsid w:val="00911625"/>
    <w:rsid w:val="009116ED"/>
    <w:rsid w:val="00911806"/>
    <w:rsid w:val="00911859"/>
    <w:rsid w:val="00911905"/>
    <w:rsid w:val="00911946"/>
    <w:rsid w:val="009119B2"/>
    <w:rsid w:val="00911B87"/>
    <w:rsid w:val="00911BC9"/>
    <w:rsid w:val="00911D29"/>
    <w:rsid w:val="00911D4F"/>
    <w:rsid w:val="00911E4C"/>
    <w:rsid w:val="00911EF5"/>
    <w:rsid w:val="00912129"/>
    <w:rsid w:val="0091219F"/>
    <w:rsid w:val="0091223D"/>
    <w:rsid w:val="0091225D"/>
    <w:rsid w:val="009122CC"/>
    <w:rsid w:val="009125E3"/>
    <w:rsid w:val="0091271C"/>
    <w:rsid w:val="009127B3"/>
    <w:rsid w:val="00912AF2"/>
    <w:rsid w:val="00912B67"/>
    <w:rsid w:val="00912BA0"/>
    <w:rsid w:val="00912BEF"/>
    <w:rsid w:val="00912CC1"/>
    <w:rsid w:val="00912D2F"/>
    <w:rsid w:val="00912DEB"/>
    <w:rsid w:val="00912FBD"/>
    <w:rsid w:val="00912FF0"/>
    <w:rsid w:val="00913450"/>
    <w:rsid w:val="009135CE"/>
    <w:rsid w:val="0091360D"/>
    <w:rsid w:val="009137BE"/>
    <w:rsid w:val="009138CD"/>
    <w:rsid w:val="00913A09"/>
    <w:rsid w:val="00913B7D"/>
    <w:rsid w:val="00913D23"/>
    <w:rsid w:val="00913FA4"/>
    <w:rsid w:val="009143A5"/>
    <w:rsid w:val="0091460B"/>
    <w:rsid w:val="0091481C"/>
    <w:rsid w:val="00914BB9"/>
    <w:rsid w:val="00914C57"/>
    <w:rsid w:val="00914CC0"/>
    <w:rsid w:val="00914E9A"/>
    <w:rsid w:val="00915174"/>
    <w:rsid w:val="009154ED"/>
    <w:rsid w:val="0091556D"/>
    <w:rsid w:val="009155D4"/>
    <w:rsid w:val="009156A7"/>
    <w:rsid w:val="009157FE"/>
    <w:rsid w:val="0091581C"/>
    <w:rsid w:val="00915862"/>
    <w:rsid w:val="00915A49"/>
    <w:rsid w:val="00915A90"/>
    <w:rsid w:val="00915D1D"/>
    <w:rsid w:val="00915DF9"/>
    <w:rsid w:val="00915F3E"/>
    <w:rsid w:val="00915F3F"/>
    <w:rsid w:val="00915F4D"/>
    <w:rsid w:val="00916197"/>
    <w:rsid w:val="009161BF"/>
    <w:rsid w:val="009164CF"/>
    <w:rsid w:val="009165A2"/>
    <w:rsid w:val="009168CA"/>
    <w:rsid w:val="00916A00"/>
    <w:rsid w:val="00916A1E"/>
    <w:rsid w:val="00916A9B"/>
    <w:rsid w:val="00916AA0"/>
    <w:rsid w:val="00916AEB"/>
    <w:rsid w:val="00916B92"/>
    <w:rsid w:val="00916BB1"/>
    <w:rsid w:val="00916BED"/>
    <w:rsid w:val="00916C58"/>
    <w:rsid w:val="00916E9E"/>
    <w:rsid w:val="00916F7D"/>
    <w:rsid w:val="00917084"/>
    <w:rsid w:val="009170B2"/>
    <w:rsid w:val="009170E2"/>
    <w:rsid w:val="009172B3"/>
    <w:rsid w:val="00917377"/>
    <w:rsid w:val="00917440"/>
    <w:rsid w:val="009179EB"/>
    <w:rsid w:val="00917C67"/>
    <w:rsid w:val="00917EBE"/>
    <w:rsid w:val="00917EF5"/>
    <w:rsid w:val="00917F2F"/>
    <w:rsid w:val="00920048"/>
    <w:rsid w:val="00920140"/>
    <w:rsid w:val="0092028B"/>
    <w:rsid w:val="009202B0"/>
    <w:rsid w:val="009202BB"/>
    <w:rsid w:val="009202D9"/>
    <w:rsid w:val="00920401"/>
    <w:rsid w:val="009204A8"/>
    <w:rsid w:val="0092058C"/>
    <w:rsid w:val="00920667"/>
    <w:rsid w:val="00920A82"/>
    <w:rsid w:val="00920A95"/>
    <w:rsid w:val="00920B76"/>
    <w:rsid w:val="00920C5A"/>
    <w:rsid w:val="00920D0A"/>
    <w:rsid w:val="00920E93"/>
    <w:rsid w:val="0092109C"/>
    <w:rsid w:val="0092123A"/>
    <w:rsid w:val="009212D2"/>
    <w:rsid w:val="00921383"/>
    <w:rsid w:val="00921478"/>
    <w:rsid w:val="00921522"/>
    <w:rsid w:val="00921526"/>
    <w:rsid w:val="00921574"/>
    <w:rsid w:val="009216AC"/>
    <w:rsid w:val="009218CE"/>
    <w:rsid w:val="00921C67"/>
    <w:rsid w:val="00921C69"/>
    <w:rsid w:val="00921C6C"/>
    <w:rsid w:val="00921D24"/>
    <w:rsid w:val="00921D40"/>
    <w:rsid w:val="00921D50"/>
    <w:rsid w:val="00921D7C"/>
    <w:rsid w:val="00921D88"/>
    <w:rsid w:val="00921E9A"/>
    <w:rsid w:val="009222FF"/>
    <w:rsid w:val="009224CB"/>
    <w:rsid w:val="00922796"/>
    <w:rsid w:val="009227F9"/>
    <w:rsid w:val="00922973"/>
    <w:rsid w:val="00922C43"/>
    <w:rsid w:val="00922E43"/>
    <w:rsid w:val="00922F2A"/>
    <w:rsid w:val="00923138"/>
    <w:rsid w:val="009231FA"/>
    <w:rsid w:val="0092355D"/>
    <w:rsid w:val="00923775"/>
    <w:rsid w:val="00923793"/>
    <w:rsid w:val="009238B8"/>
    <w:rsid w:val="0092390E"/>
    <w:rsid w:val="00923C9E"/>
    <w:rsid w:val="00923CDE"/>
    <w:rsid w:val="00923E63"/>
    <w:rsid w:val="00923F7B"/>
    <w:rsid w:val="009240F9"/>
    <w:rsid w:val="00924123"/>
    <w:rsid w:val="009242BF"/>
    <w:rsid w:val="0092439D"/>
    <w:rsid w:val="00924653"/>
    <w:rsid w:val="00924715"/>
    <w:rsid w:val="00924AA5"/>
    <w:rsid w:val="00924B71"/>
    <w:rsid w:val="00924B78"/>
    <w:rsid w:val="00924FB5"/>
    <w:rsid w:val="00925019"/>
    <w:rsid w:val="00925053"/>
    <w:rsid w:val="009250F1"/>
    <w:rsid w:val="009254DF"/>
    <w:rsid w:val="00925890"/>
    <w:rsid w:val="009258BA"/>
    <w:rsid w:val="009259AD"/>
    <w:rsid w:val="00925BA5"/>
    <w:rsid w:val="00925C14"/>
    <w:rsid w:val="00925CA7"/>
    <w:rsid w:val="00925E05"/>
    <w:rsid w:val="00925EDD"/>
    <w:rsid w:val="00925FF3"/>
    <w:rsid w:val="0092617D"/>
    <w:rsid w:val="009264EF"/>
    <w:rsid w:val="009264FD"/>
    <w:rsid w:val="009265B8"/>
    <w:rsid w:val="00926764"/>
    <w:rsid w:val="009267E9"/>
    <w:rsid w:val="00926A67"/>
    <w:rsid w:val="00926C38"/>
    <w:rsid w:val="00926FB1"/>
    <w:rsid w:val="00926FE7"/>
    <w:rsid w:val="00927013"/>
    <w:rsid w:val="009272D7"/>
    <w:rsid w:val="0092736B"/>
    <w:rsid w:val="009273A7"/>
    <w:rsid w:val="00927473"/>
    <w:rsid w:val="0092747F"/>
    <w:rsid w:val="009274A6"/>
    <w:rsid w:val="009274C8"/>
    <w:rsid w:val="00927624"/>
    <w:rsid w:val="00927869"/>
    <w:rsid w:val="0092786B"/>
    <w:rsid w:val="009278B5"/>
    <w:rsid w:val="00927992"/>
    <w:rsid w:val="00927A9D"/>
    <w:rsid w:val="00927AD3"/>
    <w:rsid w:val="00927BDB"/>
    <w:rsid w:val="00927D1D"/>
    <w:rsid w:val="00927E30"/>
    <w:rsid w:val="00927F12"/>
    <w:rsid w:val="009302A3"/>
    <w:rsid w:val="00930385"/>
    <w:rsid w:val="009303DD"/>
    <w:rsid w:val="009304DF"/>
    <w:rsid w:val="00930589"/>
    <w:rsid w:val="009307E1"/>
    <w:rsid w:val="0093082E"/>
    <w:rsid w:val="009308B7"/>
    <w:rsid w:val="00930948"/>
    <w:rsid w:val="009309A2"/>
    <w:rsid w:val="00930B4F"/>
    <w:rsid w:val="00930B85"/>
    <w:rsid w:val="00930BEB"/>
    <w:rsid w:val="00930CE1"/>
    <w:rsid w:val="00930DD6"/>
    <w:rsid w:val="00930DF7"/>
    <w:rsid w:val="00930E05"/>
    <w:rsid w:val="00930E14"/>
    <w:rsid w:val="00930F8C"/>
    <w:rsid w:val="009310DC"/>
    <w:rsid w:val="009310EE"/>
    <w:rsid w:val="00931248"/>
    <w:rsid w:val="0093125A"/>
    <w:rsid w:val="0093140C"/>
    <w:rsid w:val="00931489"/>
    <w:rsid w:val="00931581"/>
    <w:rsid w:val="0093159F"/>
    <w:rsid w:val="009316A4"/>
    <w:rsid w:val="00931B26"/>
    <w:rsid w:val="00931DD2"/>
    <w:rsid w:val="00932048"/>
    <w:rsid w:val="009320D3"/>
    <w:rsid w:val="00932343"/>
    <w:rsid w:val="0093249C"/>
    <w:rsid w:val="009326FB"/>
    <w:rsid w:val="009329E2"/>
    <w:rsid w:val="00932A9F"/>
    <w:rsid w:val="00932B61"/>
    <w:rsid w:val="00932B6A"/>
    <w:rsid w:val="00932EBA"/>
    <w:rsid w:val="00932EE5"/>
    <w:rsid w:val="00932FD3"/>
    <w:rsid w:val="009333BA"/>
    <w:rsid w:val="00933498"/>
    <w:rsid w:val="00933582"/>
    <w:rsid w:val="00933657"/>
    <w:rsid w:val="00933777"/>
    <w:rsid w:val="0093395D"/>
    <w:rsid w:val="00933A79"/>
    <w:rsid w:val="00933C33"/>
    <w:rsid w:val="00933D07"/>
    <w:rsid w:val="00933DE3"/>
    <w:rsid w:val="00933E9D"/>
    <w:rsid w:val="009340CE"/>
    <w:rsid w:val="00934137"/>
    <w:rsid w:val="0093414A"/>
    <w:rsid w:val="0093423E"/>
    <w:rsid w:val="009342D4"/>
    <w:rsid w:val="009345DD"/>
    <w:rsid w:val="00934773"/>
    <w:rsid w:val="009349F9"/>
    <w:rsid w:val="00934A9A"/>
    <w:rsid w:val="00934E38"/>
    <w:rsid w:val="00934EA4"/>
    <w:rsid w:val="00935062"/>
    <w:rsid w:val="009350D4"/>
    <w:rsid w:val="009352F4"/>
    <w:rsid w:val="00935460"/>
    <w:rsid w:val="00935466"/>
    <w:rsid w:val="00935536"/>
    <w:rsid w:val="00935546"/>
    <w:rsid w:val="0093562C"/>
    <w:rsid w:val="0093574C"/>
    <w:rsid w:val="00935852"/>
    <w:rsid w:val="00935B02"/>
    <w:rsid w:val="00935BCA"/>
    <w:rsid w:val="00935D55"/>
    <w:rsid w:val="00935ED6"/>
    <w:rsid w:val="009360C7"/>
    <w:rsid w:val="00936273"/>
    <w:rsid w:val="009363DD"/>
    <w:rsid w:val="009364DF"/>
    <w:rsid w:val="00936535"/>
    <w:rsid w:val="00936552"/>
    <w:rsid w:val="009365A2"/>
    <w:rsid w:val="0093661B"/>
    <w:rsid w:val="00936771"/>
    <w:rsid w:val="009367F7"/>
    <w:rsid w:val="00936919"/>
    <w:rsid w:val="009369B8"/>
    <w:rsid w:val="00936CD2"/>
    <w:rsid w:val="00936D4F"/>
    <w:rsid w:val="00936EFD"/>
    <w:rsid w:val="00936F6E"/>
    <w:rsid w:val="00936F9F"/>
    <w:rsid w:val="0093706F"/>
    <w:rsid w:val="009375BF"/>
    <w:rsid w:val="00937908"/>
    <w:rsid w:val="00937ABC"/>
    <w:rsid w:val="00937C39"/>
    <w:rsid w:val="00937D73"/>
    <w:rsid w:val="00937EA9"/>
    <w:rsid w:val="00940049"/>
    <w:rsid w:val="0094016B"/>
    <w:rsid w:val="0094020C"/>
    <w:rsid w:val="0094046C"/>
    <w:rsid w:val="00940515"/>
    <w:rsid w:val="0094068F"/>
    <w:rsid w:val="009407A8"/>
    <w:rsid w:val="009408C8"/>
    <w:rsid w:val="00940AE0"/>
    <w:rsid w:val="00940B9D"/>
    <w:rsid w:val="00940BE0"/>
    <w:rsid w:val="00940DB4"/>
    <w:rsid w:val="00940E18"/>
    <w:rsid w:val="00940EF0"/>
    <w:rsid w:val="009414B7"/>
    <w:rsid w:val="00941598"/>
    <w:rsid w:val="00941720"/>
    <w:rsid w:val="0094192B"/>
    <w:rsid w:val="009419DD"/>
    <w:rsid w:val="009419EA"/>
    <w:rsid w:val="00941D44"/>
    <w:rsid w:val="00941D8C"/>
    <w:rsid w:val="00941ECD"/>
    <w:rsid w:val="009420A0"/>
    <w:rsid w:val="009420D3"/>
    <w:rsid w:val="00942329"/>
    <w:rsid w:val="00942453"/>
    <w:rsid w:val="00942504"/>
    <w:rsid w:val="0094279B"/>
    <w:rsid w:val="009427BA"/>
    <w:rsid w:val="0094285A"/>
    <w:rsid w:val="009428D4"/>
    <w:rsid w:val="009428F5"/>
    <w:rsid w:val="0094292E"/>
    <w:rsid w:val="0094295A"/>
    <w:rsid w:val="00942BF1"/>
    <w:rsid w:val="00942CDB"/>
    <w:rsid w:val="00942D26"/>
    <w:rsid w:val="00942E86"/>
    <w:rsid w:val="00942F4A"/>
    <w:rsid w:val="0094301D"/>
    <w:rsid w:val="00943111"/>
    <w:rsid w:val="0094330D"/>
    <w:rsid w:val="009433D5"/>
    <w:rsid w:val="0094343C"/>
    <w:rsid w:val="00943663"/>
    <w:rsid w:val="009437BE"/>
    <w:rsid w:val="00943A0A"/>
    <w:rsid w:val="00943A5C"/>
    <w:rsid w:val="00943A7E"/>
    <w:rsid w:val="00943C10"/>
    <w:rsid w:val="00943C1A"/>
    <w:rsid w:val="00943D1C"/>
    <w:rsid w:val="00943E29"/>
    <w:rsid w:val="00943EDA"/>
    <w:rsid w:val="00943F84"/>
    <w:rsid w:val="009441F1"/>
    <w:rsid w:val="0094426F"/>
    <w:rsid w:val="009442A6"/>
    <w:rsid w:val="00944451"/>
    <w:rsid w:val="00944945"/>
    <w:rsid w:val="0094499F"/>
    <w:rsid w:val="00944B98"/>
    <w:rsid w:val="00944BD7"/>
    <w:rsid w:val="00944C9C"/>
    <w:rsid w:val="00944CB4"/>
    <w:rsid w:val="00944CC1"/>
    <w:rsid w:val="00944EDA"/>
    <w:rsid w:val="009453F0"/>
    <w:rsid w:val="00945443"/>
    <w:rsid w:val="009454F1"/>
    <w:rsid w:val="009456F8"/>
    <w:rsid w:val="00945762"/>
    <w:rsid w:val="00945791"/>
    <w:rsid w:val="00945A01"/>
    <w:rsid w:val="00945BC9"/>
    <w:rsid w:val="00945C18"/>
    <w:rsid w:val="00945ED3"/>
    <w:rsid w:val="00945F8B"/>
    <w:rsid w:val="009460A6"/>
    <w:rsid w:val="0094612E"/>
    <w:rsid w:val="009461C7"/>
    <w:rsid w:val="009463D9"/>
    <w:rsid w:val="0094645B"/>
    <w:rsid w:val="00946488"/>
    <w:rsid w:val="00946834"/>
    <w:rsid w:val="009468C6"/>
    <w:rsid w:val="009468D0"/>
    <w:rsid w:val="009468F4"/>
    <w:rsid w:val="009469C7"/>
    <w:rsid w:val="00946A97"/>
    <w:rsid w:val="00946AC5"/>
    <w:rsid w:val="00946AD0"/>
    <w:rsid w:val="00946BBE"/>
    <w:rsid w:val="00946BDD"/>
    <w:rsid w:val="00946C27"/>
    <w:rsid w:val="00946D1F"/>
    <w:rsid w:val="00946E1B"/>
    <w:rsid w:val="00946EAB"/>
    <w:rsid w:val="00946FC2"/>
    <w:rsid w:val="00947033"/>
    <w:rsid w:val="009470D0"/>
    <w:rsid w:val="009472DC"/>
    <w:rsid w:val="00947308"/>
    <w:rsid w:val="00947391"/>
    <w:rsid w:val="009473C2"/>
    <w:rsid w:val="00947565"/>
    <w:rsid w:val="009475BE"/>
    <w:rsid w:val="009475D4"/>
    <w:rsid w:val="009476C8"/>
    <w:rsid w:val="009477C3"/>
    <w:rsid w:val="00947802"/>
    <w:rsid w:val="0094781F"/>
    <w:rsid w:val="00947872"/>
    <w:rsid w:val="00947934"/>
    <w:rsid w:val="00947939"/>
    <w:rsid w:val="009479FB"/>
    <w:rsid w:val="00947A3C"/>
    <w:rsid w:val="00947AA3"/>
    <w:rsid w:val="00947C03"/>
    <w:rsid w:val="00947D97"/>
    <w:rsid w:val="00950014"/>
    <w:rsid w:val="00950059"/>
    <w:rsid w:val="009501B0"/>
    <w:rsid w:val="0095033D"/>
    <w:rsid w:val="00950446"/>
    <w:rsid w:val="0095044F"/>
    <w:rsid w:val="0095083C"/>
    <w:rsid w:val="00950859"/>
    <w:rsid w:val="00950918"/>
    <w:rsid w:val="00950929"/>
    <w:rsid w:val="009509B0"/>
    <w:rsid w:val="00950EB7"/>
    <w:rsid w:val="009514CC"/>
    <w:rsid w:val="009514E5"/>
    <w:rsid w:val="00951B16"/>
    <w:rsid w:val="00951BAE"/>
    <w:rsid w:val="00951BE9"/>
    <w:rsid w:val="00951BEC"/>
    <w:rsid w:val="00951DA4"/>
    <w:rsid w:val="00951F49"/>
    <w:rsid w:val="00951F87"/>
    <w:rsid w:val="00951F94"/>
    <w:rsid w:val="00952033"/>
    <w:rsid w:val="00952047"/>
    <w:rsid w:val="009520CC"/>
    <w:rsid w:val="00952285"/>
    <w:rsid w:val="00952315"/>
    <w:rsid w:val="009524A9"/>
    <w:rsid w:val="009526A2"/>
    <w:rsid w:val="00952963"/>
    <w:rsid w:val="00952B88"/>
    <w:rsid w:val="00952B91"/>
    <w:rsid w:val="00952BA2"/>
    <w:rsid w:val="00952BF8"/>
    <w:rsid w:val="00952D29"/>
    <w:rsid w:val="00952F8E"/>
    <w:rsid w:val="009532BE"/>
    <w:rsid w:val="00953398"/>
    <w:rsid w:val="0095340B"/>
    <w:rsid w:val="0095340E"/>
    <w:rsid w:val="0095356C"/>
    <w:rsid w:val="009537ED"/>
    <w:rsid w:val="00953B0A"/>
    <w:rsid w:val="00953C0B"/>
    <w:rsid w:val="00953C12"/>
    <w:rsid w:val="00953C54"/>
    <w:rsid w:val="00953D4C"/>
    <w:rsid w:val="00953F32"/>
    <w:rsid w:val="00953F96"/>
    <w:rsid w:val="009540D4"/>
    <w:rsid w:val="009540E7"/>
    <w:rsid w:val="0095415A"/>
    <w:rsid w:val="00954395"/>
    <w:rsid w:val="009543E4"/>
    <w:rsid w:val="00954415"/>
    <w:rsid w:val="0095452A"/>
    <w:rsid w:val="009549F0"/>
    <w:rsid w:val="00954B2E"/>
    <w:rsid w:val="00954BB4"/>
    <w:rsid w:val="0095503B"/>
    <w:rsid w:val="0095514A"/>
    <w:rsid w:val="00955200"/>
    <w:rsid w:val="00955339"/>
    <w:rsid w:val="00955676"/>
    <w:rsid w:val="00955702"/>
    <w:rsid w:val="009558D8"/>
    <w:rsid w:val="00955F1A"/>
    <w:rsid w:val="00955F5C"/>
    <w:rsid w:val="00955FD0"/>
    <w:rsid w:val="00956037"/>
    <w:rsid w:val="009560AC"/>
    <w:rsid w:val="0095611E"/>
    <w:rsid w:val="0095615C"/>
    <w:rsid w:val="0095619C"/>
    <w:rsid w:val="009561E9"/>
    <w:rsid w:val="00956756"/>
    <w:rsid w:val="0095675B"/>
    <w:rsid w:val="00956A3E"/>
    <w:rsid w:val="00956A93"/>
    <w:rsid w:val="00956AD2"/>
    <w:rsid w:val="00956C6E"/>
    <w:rsid w:val="00956E56"/>
    <w:rsid w:val="00956F28"/>
    <w:rsid w:val="00956F2A"/>
    <w:rsid w:val="00956F73"/>
    <w:rsid w:val="00957238"/>
    <w:rsid w:val="0095745A"/>
    <w:rsid w:val="00957574"/>
    <w:rsid w:val="009575BF"/>
    <w:rsid w:val="0095767A"/>
    <w:rsid w:val="009578C3"/>
    <w:rsid w:val="009578DA"/>
    <w:rsid w:val="00957A83"/>
    <w:rsid w:val="00957B8D"/>
    <w:rsid w:val="00957C6E"/>
    <w:rsid w:val="00957D63"/>
    <w:rsid w:val="00957D89"/>
    <w:rsid w:val="00957F53"/>
    <w:rsid w:val="00957FE3"/>
    <w:rsid w:val="00960113"/>
    <w:rsid w:val="009601F3"/>
    <w:rsid w:val="0096067A"/>
    <w:rsid w:val="00960736"/>
    <w:rsid w:val="009608D5"/>
    <w:rsid w:val="009609D0"/>
    <w:rsid w:val="00960AFE"/>
    <w:rsid w:val="00960B50"/>
    <w:rsid w:val="00960B86"/>
    <w:rsid w:val="00960F10"/>
    <w:rsid w:val="00960FA4"/>
    <w:rsid w:val="009614E0"/>
    <w:rsid w:val="00961636"/>
    <w:rsid w:val="0096181E"/>
    <w:rsid w:val="00961A09"/>
    <w:rsid w:val="00961C40"/>
    <w:rsid w:val="00961D30"/>
    <w:rsid w:val="0096225A"/>
    <w:rsid w:val="0096227E"/>
    <w:rsid w:val="009623F1"/>
    <w:rsid w:val="009624FD"/>
    <w:rsid w:val="009625AF"/>
    <w:rsid w:val="00962622"/>
    <w:rsid w:val="009628EE"/>
    <w:rsid w:val="009628F7"/>
    <w:rsid w:val="0096295A"/>
    <w:rsid w:val="00962ABD"/>
    <w:rsid w:val="00962AFC"/>
    <w:rsid w:val="00962B2C"/>
    <w:rsid w:val="00962CE0"/>
    <w:rsid w:val="00962D2C"/>
    <w:rsid w:val="00962E94"/>
    <w:rsid w:val="00962F8A"/>
    <w:rsid w:val="00962F99"/>
    <w:rsid w:val="00963017"/>
    <w:rsid w:val="009630EF"/>
    <w:rsid w:val="009630FB"/>
    <w:rsid w:val="00963389"/>
    <w:rsid w:val="00963395"/>
    <w:rsid w:val="009634C3"/>
    <w:rsid w:val="00963951"/>
    <w:rsid w:val="0096398D"/>
    <w:rsid w:val="00963A51"/>
    <w:rsid w:val="00963C2A"/>
    <w:rsid w:val="00963D6C"/>
    <w:rsid w:val="00963D90"/>
    <w:rsid w:val="00963DD2"/>
    <w:rsid w:val="00963E05"/>
    <w:rsid w:val="00963F21"/>
    <w:rsid w:val="00964072"/>
    <w:rsid w:val="009643F7"/>
    <w:rsid w:val="00964474"/>
    <w:rsid w:val="00964649"/>
    <w:rsid w:val="009647BA"/>
    <w:rsid w:val="00964895"/>
    <w:rsid w:val="00964A9D"/>
    <w:rsid w:val="00964BCE"/>
    <w:rsid w:val="00964E37"/>
    <w:rsid w:val="00964F90"/>
    <w:rsid w:val="0096501D"/>
    <w:rsid w:val="00965095"/>
    <w:rsid w:val="00965112"/>
    <w:rsid w:val="009652B8"/>
    <w:rsid w:val="009653E7"/>
    <w:rsid w:val="00965405"/>
    <w:rsid w:val="00965554"/>
    <w:rsid w:val="009656F0"/>
    <w:rsid w:val="00965912"/>
    <w:rsid w:val="00965AED"/>
    <w:rsid w:val="00965D01"/>
    <w:rsid w:val="00965D66"/>
    <w:rsid w:val="00965E3F"/>
    <w:rsid w:val="0096600C"/>
    <w:rsid w:val="00966035"/>
    <w:rsid w:val="009660DD"/>
    <w:rsid w:val="009660EE"/>
    <w:rsid w:val="009662BD"/>
    <w:rsid w:val="009663C3"/>
    <w:rsid w:val="00966518"/>
    <w:rsid w:val="00966665"/>
    <w:rsid w:val="0096696C"/>
    <w:rsid w:val="00966A85"/>
    <w:rsid w:val="00966B23"/>
    <w:rsid w:val="00966B24"/>
    <w:rsid w:val="00966D15"/>
    <w:rsid w:val="00966D26"/>
    <w:rsid w:val="00966E95"/>
    <w:rsid w:val="009670E3"/>
    <w:rsid w:val="00967290"/>
    <w:rsid w:val="009672AC"/>
    <w:rsid w:val="0096745C"/>
    <w:rsid w:val="00967477"/>
    <w:rsid w:val="0096790E"/>
    <w:rsid w:val="00967A58"/>
    <w:rsid w:val="00967ABF"/>
    <w:rsid w:val="00967AEA"/>
    <w:rsid w:val="00967D9A"/>
    <w:rsid w:val="00967EB6"/>
    <w:rsid w:val="00967EE1"/>
    <w:rsid w:val="00967F89"/>
    <w:rsid w:val="0097001B"/>
    <w:rsid w:val="009700A3"/>
    <w:rsid w:val="00970172"/>
    <w:rsid w:val="0097017A"/>
    <w:rsid w:val="0097026D"/>
    <w:rsid w:val="00970290"/>
    <w:rsid w:val="00970297"/>
    <w:rsid w:val="009703DD"/>
    <w:rsid w:val="0097047B"/>
    <w:rsid w:val="00970619"/>
    <w:rsid w:val="00970832"/>
    <w:rsid w:val="00970859"/>
    <w:rsid w:val="00970954"/>
    <w:rsid w:val="00970BE5"/>
    <w:rsid w:val="00970C96"/>
    <w:rsid w:val="00970CD1"/>
    <w:rsid w:val="00970F07"/>
    <w:rsid w:val="0097109F"/>
    <w:rsid w:val="009710A0"/>
    <w:rsid w:val="00971319"/>
    <w:rsid w:val="00971326"/>
    <w:rsid w:val="009713A6"/>
    <w:rsid w:val="009715BE"/>
    <w:rsid w:val="009716AD"/>
    <w:rsid w:val="009717FA"/>
    <w:rsid w:val="009718AC"/>
    <w:rsid w:val="009718C5"/>
    <w:rsid w:val="00971A1C"/>
    <w:rsid w:val="00971B2B"/>
    <w:rsid w:val="00971C40"/>
    <w:rsid w:val="00971C86"/>
    <w:rsid w:val="00971D00"/>
    <w:rsid w:val="00971D36"/>
    <w:rsid w:val="00971F12"/>
    <w:rsid w:val="0097208A"/>
    <w:rsid w:val="009720FE"/>
    <w:rsid w:val="009721F5"/>
    <w:rsid w:val="00972255"/>
    <w:rsid w:val="009722F3"/>
    <w:rsid w:val="0097230E"/>
    <w:rsid w:val="0097236F"/>
    <w:rsid w:val="009724FD"/>
    <w:rsid w:val="0097273D"/>
    <w:rsid w:val="00972774"/>
    <w:rsid w:val="00972965"/>
    <w:rsid w:val="00972973"/>
    <w:rsid w:val="00972B8B"/>
    <w:rsid w:val="00972BC5"/>
    <w:rsid w:val="00972CE8"/>
    <w:rsid w:val="00972F00"/>
    <w:rsid w:val="00973494"/>
    <w:rsid w:val="009734BA"/>
    <w:rsid w:val="009734EE"/>
    <w:rsid w:val="00973585"/>
    <w:rsid w:val="00973699"/>
    <w:rsid w:val="00973D5F"/>
    <w:rsid w:val="00973D6E"/>
    <w:rsid w:val="00973D79"/>
    <w:rsid w:val="00973E25"/>
    <w:rsid w:val="00973F10"/>
    <w:rsid w:val="0097415C"/>
    <w:rsid w:val="009742E8"/>
    <w:rsid w:val="009744D9"/>
    <w:rsid w:val="00974505"/>
    <w:rsid w:val="0097467F"/>
    <w:rsid w:val="00974762"/>
    <w:rsid w:val="00974871"/>
    <w:rsid w:val="00974944"/>
    <w:rsid w:val="00974B2D"/>
    <w:rsid w:val="00974BD9"/>
    <w:rsid w:val="00974BDD"/>
    <w:rsid w:val="00974D74"/>
    <w:rsid w:val="00974F6F"/>
    <w:rsid w:val="00975195"/>
    <w:rsid w:val="009752D7"/>
    <w:rsid w:val="00975491"/>
    <w:rsid w:val="00975526"/>
    <w:rsid w:val="00975620"/>
    <w:rsid w:val="009759A6"/>
    <w:rsid w:val="009759B9"/>
    <w:rsid w:val="00975AD2"/>
    <w:rsid w:val="00975B27"/>
    <w:rsid w:val="00975CB8"/>
    <w:rsid w:val="00975CED"/>
    <w:rsid w:val="00975D95"/>
    <w:rsid w:val="00975E68"/>
    <w:rsid w:val="00975EEB"/>
    <w:rsid w:val="00975F84"/>
    <w:rsid w:val="009761A5"/>
    <w:rsid w:val="0097621E"/>
    <w:rsid w:val="00976253"/>
    <w:rsid w:val="00976366"/>
    <w:rsid w:val="009763BC"/>
    <w:rsid w:val="009763EE"/>
    <w:rsid w:val="0097673C"/>
    <w:rsid w:val="00976826"/>
    <w:rsid w:val="00976832"/>
    <w:rsid w:val="0097692A"/>
    <w:rsid w:val="00976A6B"/>
    <w:rsid w:val="00976C1B"/>
    <w:rsid w:val="00976C9E"/>
    <w:rsid w:val="00976DA1"/>
    <w:rsid w:val="00976F0A"/>
    <w:rsid w:val="009771E6"/>
    <w:rsid w:val="009772D2"/>
    <w:rsid w:val="0097757B"/>
    <w:rsid w:val="00977692"/>
    <w:rsid w:val="009776DB"/>
    <w:rsid w:val="00977B6D"/>
    <w:rsid w:val="00977BA7"/>
    <w:rsid w:val="00977BD6"/>
    <w:rsid w:val="00977D98"/>
    <w:rsid w:val="00977DE4"/>
    <w:rsid w:val="00977E1E"/>
    <w:rsid w:val="0098013A"/>
    <w:rsid w:val="0098013D"/>
    <w:rsid w:val="009802AA"/>
    <w:rsid w:val="00980351"/>
    <w:rsid w:val="00980353"/>
    <w:rsid w:val="0098071F"/>
    <w:rsid w:val="00980819"/>
    <w:rsid w:val="009809B1"/>
    <w:rsid w:val="009809FF"/>
    <w:rsid w:val="00980A05"/>
    <w:rsid w:val="00980B6C"/>
    <w:rsid w:val="00980CA0"/>
    <w:rsid w:val="00980CAC"/>
    <w:rsid w:val="00980CAF"/>
    <w:rsid w:val="00980CD1"/>
    <w:rsid w:val="00980CDD"/>
    <w:rsid w:val="00980D96"/>
    <w:rsid w:val="00980EC5"/>
    <w:rsid w:val="00980FBE"/>
    <w:rsid w:val="00981077"/>
    <w:rsid w:val="009812B6"/>
    <w:rsid w:val="009815C0"/>
    <w:rsid w:val="009815F4"/>
    <w:rsid w:val="00981600"/>
    <w:rsid w:val="00981990"/>
    <w:rsid w:val="009819E3"/>
    <w:rsid w:val="00981A05"/>
    <w:rsid w:val="00981AC6"/>
    <w:rsid w:val="00981DDA"/>
    <w:rsid w:val="00981EC1"/>
    <w:rsid w:val="00981F88"/>
    <w:rsid w:val="00981F8A"/>
    <w:rsid w:val="00982342"/>
    <w:rsid w:val="00982469"/>
    <w:rsid w:val="009824D2"/>
    <w:rsid w:val="00982519"/>
    <w:rsid w:val="00982920"/>
    <w:rsid w:val="00982B9E"/>
    <w:rsid w:val="00982D60"/>
    <w:rsid w:val="00982DEB"/>
    <w:rsid w:val="00982E31"/>
    <w:rsid w:val="00982E91"/>
    <w:rsid w:val="00982F40"/>
    <w:rsid w:val="00983142"/>
    <w:rsid w:val="009834E8"/>
    <w:rsid w:val="009837D2"/>
    <w:rsid w:val="00983BBA"/>
    <w:rsid w:val="00983EC7"/>
    <w:rsid w:val="00983F3E"/>
    <w:rsid w:val="009841F4"/>
    <w:rsid w:val="009843B2"/>
    <w:rsid w:val="009844DF"/>
    <w:rsid w:val="00984539"/>
    <w:rsid w:val="0098455E"/>
    <w:rsid w:val="00984609"/>
    <w:rsid w:val="00984662"/>
    <w:rsid w:val="009847EF"/>
    <w:rsid w:val="0098482A"/>
    <w:rsid w:val="00984953"/>
    <w:rsid w:val="00984A84"/>
    <w:rsid w:val="00984AFA"/>
    <w:rsid w:val="00984B9D"/>
    <w:rsid w:val="00984C37"/>
    <w:rsid w:val="00984C96"/>
    <w:rsid w:val="00984CA0"/>
    <w:rsid w:val="00984CC4"/>
    <w:rsid w:val="00984E87"/>
    <w:rsid w:val="00984EBC"/>
    <w:rsid w:val="00984F52"/>
    <w:rsid w:val="00985009"/>
    <w:rsid w:val="0098500F"/>
    <w:rsid w:val="00985075"/>
    <w:rsid w:val="009850F7"/>
    <w:rsid w:val="00985297"/>
    <w:rsid w:val="00985593"/>
    <w:rsid w:val="009855DC"/>
    <w:rsid w:val="009857D0"/>
    <w:rsid w:val="00985841"/>
    <w:rsid w:val="0098595A"/>
    <w:rsid w:val="00985BD8"/>
    <w:rsid w:val="00985C93"/>
    <w:rsid w:val="00985CEC"/>
    <w:rsid w:val="00985CF3"/>
    <w:rsid w:val="00985D03"/>
    <w:rsid w:val="00985DF0"/>
    <w:rsid w:val="00985E7D"/>
    <w:rsid w:val="00985E88"/>
    <w:rsid w:val="00985EDC"/>
    <w:rsid w:val="0098614E"/>
    <w:rsid w:val="009862CB"/>
    <w:rsid w:val="00986332"/>
    <w:rsid w:val="009863C2"/>
    <w:rsid w:val="00986483"/>
    <w:rsid w:val="00986664"/>
    <w:rsid w:val="0098675D"/>
    <w:rsid w:val="00986834"/>
    <w:rsid w:val="00986856"/>
    <w:rsid w:val="00986B0D"/>
    <w:rsid w:val="00986B18"/>
    <w:rsid w:val="00986B1E"/>
    <w:rsid w:val="009870AE"/>
    <w:rsid w:val="009870D8"/>
    <w:rsid w:val="009870E1"/>
    <w:rsid w:val="009874E2"/>
    <w:rsid w:val="0098767B"/>
    <w:rsid w:val="0098790B"/>
    <w:rsid w:val="00987932"/>
    <w:rsid w:val="0098799D"/>
    <w:rsid w:val="00987DC5"/>
    <w:rsid w:val="00987DCD"/>
    <w:rsid w:val="00987DD2"/>
    <w:rsid w:val="00987DF1"/>
    <w:rsid w:val="00987DFB"/>
    <w:rsid w:val="009902F6"/>
    <w:rsid w:val="00990398"/>
    <w:rsid w:val="0099047C"/>
    <w:rsid w:val="0099068A"/>
    <w:rsid w:val="00990AEF"/>
    <w:rsid w:val="00990AF5"/>
    <w:rsid w:val="00990AFD"/>
    <w:rsid w:val="00990D41"/>
    <w:rsid w:val="00990D7B"/>
    <w:rsid w:val="00990DD0"/>
    <w:rsid w:val="00990DF7"/>
    <w:rsid w:val="00990E04"/>
    <w:rsid w:val="00990F75"/>
    <w:rsid w:val="00991371"/>
    <w:rsid w:val="00991460"/>
    <w:rsid w:val="0099151F"/>
    <w:rsid w:val="00991600"/>
    <w:rsid w:val="00991816"/>
    <w:rsid w:val="00991873"/>
    <w:rsid w:val="0099197D"/>
    <w:rsid w:val="00991AE0"/>
    <w:rsid w:val="00991BED"/>
    <w:rsid w:val="00991C54"/>
    <w:rsid w:val="00991DFD"/>
    <w:rsid w:val="00991E60"/>
    <w:rsid w:val="00991E80"/>
    <w:rsid w:val="00991EF6"/>
    <w:rsid w:val="00991F28"/>
    <w:rsid w:val="00991FD2"/>
    <w:rsid w:val="00992055"/>
    <w:rsid w:val="00992163"/>
    <w:rsid w:val="009921F9"/>
    <w:rsid w:val="009924F5"/>
    <w:rsid w:val="00992812"/>
    <w:rsid w:val="00992867"/>
    <w:rsid w:val="0099297D"/>
    <w:rsid w:val="0099298B"/>
    <w:rsid w:val="009929FD"/>
    <w:rsid w:val="00992CC3"/>
    <w:rsid w:val="00992DA1"/>
    <w:rsid w:val="00993033"/>
    <w:rsid w:val="00993176"/>
    <w:rsid w:val="00993273"/>
    <w:rsid w:val="00993415"/>
    <w:rsid w:val="009935F0"/>
    <w:rsid w:val="00993682"/>
    <w:rsid w:val="00993725"/>
    <w:rsid w:val="009937DC"/>
    <w:rsid w:val="00993A11"/>
    <w:rsid w:val="00993A5E"/>
    <w:rsid w:val="00993F1F"/>
    <w:rsid w:val="00993F52"/>
    <w:rsid w:val="00993F8C"/>
    <w:rsid w:val="009942B7"/>
    <w:rsid w:val="00994366"/>
    <w:rsid w:val="00994418"/>
    <w:rsid w:val="00994843"/>
    <w:rsid w:val="00994C06"/>
    <w:rsid w:val="00994EDA"/>
    <w:rsid w:val="00994FCD"/>
    <w:rsid w:val="009951FC"/>
    <w:rsid w:val="0099523D"/>
    <w:rsid w:val="00995343"/>
    <w:rsid w:val="00995463"/>
    <w:rsid w:val="009954F5"/>
    <w:rsid w:val="00995533"/>
    <w:rsid w:val="009955CF"/>
    <w:rsid w:val="0099570C"/>
    <w:rsid w:val="00995757"/>
    <w:rsid w:val="00995956"/>
    <w:rsid w:val="0099597B"/>
    <w:rsid w:val="00995997"/>
    <w:rsid w:val="00995EB2"/>
    <w:rsid w:val="00995FB2"/>
    <w:rsid w:val="0099634E"/>
    <w:rsid w:val="0099636F"/>
    <w:rsid w:val="009963EE"/>
    <w:rsid w:val="00996531"/>
    <w:rsid w:val="00996574"/>
    <w:rsid w:val="0099660D"/>
    <w:rsid w:val="00996714"/>
    <w:rsid w:val="0099685B"/>
    <w:rsid w:val="0099688B"/>
    <w:rsid w:val="009968D9"/>
    <w:rsid w:val="00996A5A"/>
    <w:rsid w:val="00996B98"/>
    <w:rsid w:val="00996D7B"/>
    <w:rsid w:val="00996E31"/>
    <w:rsid w:val="00996FB7"/>
    <w:rsid w:val="0099746C"/>
    <w:rsid w:val="009978AC"/>
    <w:rsid w:val="009979F4"/>
    <w:rsid w:val="00997AF1"/>
    <w:rsid w:val="00997BEC"/>
    <w:rsid w:val="00997C94"/>
    <w:rsid w:val="00997E6E"/>
    <w:rsid w:val="00997ECE"/>
    <w:rsid w:val="00997FAE"/>
    <w:rsid w:val="009A007F"/>
    <w:rsid w:val="009A00E5"/>
    <w:rsid w:val="009A00F2"/>
    <w:rsid w:val="009A0365"/>
    <w:rsid w:val="009A051A"/>
    <w:rsid w:val="009A0526"/>
    <w:rsid w:val="009A0563"/>
    <w:rsid w:val="009A05E5"/>
    <w:rsid w:val="009A09FD"/>
    <w:rsid w:val="009A0AEE"/>
    <w:rsid w:val="009A0CBA"/>
    <w:rsid w:val="009A0CE7"/>
    <w:rsid w:val="009A0D7A"/>
    <w:rsid w:val="009A0E28"/>
    <w:rsid w:val="009A0F63"/>
    <w:rsid w:val="009A1215"/>
    <w:rsid w:val="009A1238"/>
    <w:rsid w:val="009A1347"/>
    <w:rsid w:val="009A14E0"/>
    <w:rsid w:val="009A1A3D"/>
    <w:rsid w:val="009A1B19"/>
    <w:rsid w:val="009A1CD3"/>
    <w:rsid w:val="009A1E33"/>
    <w:rsid w:val="009A1FA3"/>
    <w:rsid w:val="009A2067"/>
    <w:rsid w:val="009A211D"/>
    <w:rsid w:val="009A2196"/>
    <w:rsid w:val="009A2726"/>
    <w:rsid w:val="009A27BF"/>
    <w:rsid w:val="009A27D9"/>
    <w:rsid w:val="009A2F66"/>
    <w:rsid w:val="009A30E5"/>
    <w:rsid w:val="009A322E"/>
    <w:rsid w:val="009A3251"/>
    <w:rsid w:val="009A329C"/>
    <w:rsid w:val="009A3341"/>
    <w:rsid w:val="009A334B"/>
    <w:rsid w:val="009A33F7"/>
    <w:rsid w:val="009A34E7"/>
    <w:rsid w:val="009A3541"/>
    <w:rsid w:val="009A3546"/>
    <w:rsid w:val="009A35EC"/>
    <w:rsid w:val="009A3629"/>
    <w:rsid w:val="009A3648"/>
    <w:rsid w:val="009A36AE"/>
    <w:rsid w:val="009A36B1"/>
    <w:rsid w:val="009A396D"/>
    <w:rsid w:val="009A3B38"/>
    <w:rsid w:val="009A3C66"/>
    <w:rsid w:val="009A3CD2"/>
    <w:rsid w:val="009A405A"/>
    <w:rsid w:val="009A40BB"/>
    <w:rsid w:val="009A4167"/>
    <w:rsid w:val="009A42DF"/>
    <w:rsid w:val="009A43C7"/>
    <w:rsid w:val="009A43C9"/>
    <w:rsid w:val="009A47F0"/>
    <w:rsid w:val="009A4948"/>
    <w:rsid w:val="009A4E10"/>
    <w:rsid w:val="009A4E4C"/>
    <w:rsid w:val="009A4E8F"/>
    <w:rsid w:val="009A538A"/>
    <w:rsid w:val="009A56B3"/>
    <w:rsid w:val="009A5867"/>
    <w:rsid w:val="009A5877"/>
    <w:rsid w:val="009A59D7"/>
    <w:rsid w:val="009A59F2"/>
    <w:rsid w:val="009A5BA0"/>
    <w:rsid w:val="009A5C21"/>
    <w:rsid w:val="009A5CE7"/>
    <w:rsid w:val="009A5E96"/>
    <w:rsid w:val="009A5ECF"/>
    <w:rsid w:val="009A5FAE"/>
    <w:rsid w:val="009A5FF4"/>
    <w:rsid w:val="009A6008"/>
    <w:rsid w:val="009A62C4"/>
    <w:rsid w:val="009A63CA"/>
    <w:rsid w:val="009A63E1"/>
    <w:rsid w:val="009A66B4"/>
    <w:rsid w:val="009A6722"/>
    <w:rsid w:val="009A6AFF"/>
    <w:rsid w:val="009A6DD3"/>
    <w:rsid w:val="009A6ED6"/>
    <w:rsid w:val="009A71DF"/>
    <w:rsid w:val="009A72C9"/>
    <w:rsid w:val="009A732F"/>
    <w:rsid w:val="009A7538"/>
    <w:rsid w:val="009A765F"/>
    <w:rsid w:val="009A766D"/>
    <w:rsid w:val="009A7705"/>
    <w:rsid w:val="009A7941"/>
    <w:rsid w:val="009A7987"/>
    <w:rsid w:val="009A79C3"/>
    <w:rsid w:val="009A7B23"/>
    <w:rsid w:val="009A7F26"/>
    <w:rsid w:val="009A7FBB"/>
    <w:rsid w:val="009B0010"/>
    <w:rsid w:val="009B0451"/>
    <w:rsid w:val="009B047E"/>
    <w:rsid w:val="009B058D"/>
    <w:rsid w:val="009B05F7"/>
    <w:rsid w:val="009B0716"/>
    <w:rsid w:val="009B07BD"/>
    <w:rsid w:val="009B0B1C"/>
    <w:rsid w:val="009B0B47"/>
    <w:rsid w:val="009B0B8D"/>
    <w:rsid w:val="009B0CD1"/>
    <w:rsid w:val="009B10CE"/>
    <w:rsid w:val="009B1166"/>
    <w:rsid w:val="009B11F3"/>
    <w:rsid w:val="009B1214"/>
    <w:rsid w:val="009B1447"/>
    <w:rsid w:val="009B14EA"/>
    <w:rsid w:val="009B1AB1"/>
    <w:rsid w:val="009B1B02"/>
    <w:rsid w:val="009B1B8A"/>
    <w:rsid w:val="009B1BA2"/>
    <w:rsid w:val="009B1BD0"/>
    <w:rsid w:val="009B1BDD"/>
    <w:rsid w:val="009B1D4A"/>
    <w:rsid w:val="009B1DB4"/>
    <w:rsid w:val="009B1EA0"/>
    <w:rsid w:val="009B2096"/>
    <w:rsid w:val="009B2135"/>
    <w:rsid w:val="009B225E"/>
    <w:rsid w:val="009B232A"/>
    <w:rsid w:val="009B25B6"/>
    <w:rsid w:val="009B2643"/>
    <w:rsid w:val="009B28D9"/>
    <w:rsid w:val="009B29AC"/>
    <w:rsid w:val="009B2B90"/>
    <w:rsid w:val="009B2D7D"/>
    <w:rsid w:val="009B2DE4"/>
    <w:rsid w:val="009B2F5F"/>
    <w:rsid w:val="009B2FC4"/>
    <w:rsid w:val="009B300D"/>
    <w:rsid w:val="009B3050"/>
    <w:rsid w:val="009B3112"/>
    <w:rsid w:val="009B31EC"/>
    <w:rsid w:val="009B31FF"/>
    <w:rsid w:val="009B33FD"/>
    <w:rsid w:val="009B3425"/>
    <w:rsid w:val="009B354E"/>
    <w:rsid w:val="009B3720"/>
    <w:rsid w:val="009B38BE"/>
    <w:rsid w:val="009B38D8"/>
    <w:rsid w:val="009B39B3"/>
    <w:rsid w:val="009B3A19"/>
    <w:rsid w:val="009B3A73"/>
    <w:rsid w:val="009B3A89"/>
    <w:rsid w:val="009B3C07"/>
    <w:rsid w:val="009B3C11"/>
    <w:rsid w:val="009B3C9C"/>
    <w:rsid w:val="009B3D8A"/>
    <w:rsid w:val="009B3DAC"/>
    <w:rsid w:val="009B3DCD"/>
    <w:rsid w:val="009B3FD2"/>
    <w:rsid w:val="009B407A"/>
    <w:rsid w:val="009B41D8"/>
    <w:rsid w:val="009B4220"/>
    <w:rsid w:val="009B42B7"/>
    <w:rsid w:val="009B431A"/>
    <w:rsid w:val="009B43E7"/>
    <w:rsid w:val="009B44F5"/>
    <w:rsid w:val="009B488C"/>
    <w:rsid w:val="009B493A"/>
    <w:rsid w:val="009B49F0"/>
    <w:rsid w:val="009B4AEB"/>
    <w:rsid w:val="009B4DE1"/>
    <w:rsid w:val="009B4E3A"/>
    <w:rsid w:val="009B4E7A"/>
    <w:rsid w:val="009B4E91"/>
    <w:rsid w:val="009B4F39"/>
    <w:rsid w:val="009B4FAE"/>
    <w:rsid w:val="009B5181"/>
    <w:rsid w:val="009B52A8"/>
    <w:rsid w:val="009B5361"/>
    <w:rsid w:val="009B5389"/>
    <w:rsid w:val="009B554A"/>
    <w:rsid w:val="009B5666"/>
    <w:rsid w:val="009B57C7"/>
    <w:rsid w:val="009B5B77"/>
    <w:rsid w:val="009B5DD3"/>
    <w:rsid w:val="009B5E77"/>
    <w:rsid w:val="009B5F35"/>
    <w:rsid w:val="009B6069"/>
    <w:rsid w:val="009B61FC"/>
    <w:rsid w:val="009B6216"/>
    <w:rsid w:val="009B62DD"/>
    <w:rsid w:val="009B62F6"/>
    <w:rsid w:val="009B64F8"/>
    <w:rsid w:val="009B64FC"/>
    <w:rsid w:val="009B6587"/>
    <w:rsid w:val="009B65BB"/>
    <w:rsid w:val="009B6824"/>
    <w:rsid w:val="009B6899"/>
    <w:rsid w:val="009B6B48"/>
    <w:rsid w:val="009B6BAE"/>
    <w:rsid w:val="009B6CC7"/>
    <w:rsid w:val="009B6CEE"/>
    <w:rsid w:val="009B6CF8"/>
    <w:rsid w:val="009B706A"/>
    <w:rsid w:val="009B7098"/>
    <w:rsid w:val="009B70D1"/>
    <w:rsid w:val="009B711F"/>
    <w:rsid w:val="009B7201"/>
    <w:rsid w:val="009B7212"/>
    <w:rsid w:val="009B724D"/>
    <w:rsid w:val="009B7357"/>
    <w:rsid w:val="009B7427"/>
    <w:rsid w:val="009B75A6"/>
    <w:rsid w:val="009B76D0"/>
    <w:rsid w:val="009B77A5"/>
    <w:rsid w:val="009B77AA"/>
    <w:rsid w:val="009B795C"/>
    <w:rsid w:val="009B7D90"/>
    <w:rsid w:val="009B7DA9"/>
    <w:rsid w:val="009B7EC1"/>
    <w:rsid w:val="009B7EFB"/>
    <w:rsid w:val="009B7F8C"/>
    <w:rsid w:val="009C0074"/>
    <w:rsid w:val="009C0094"/>
    <w:rsid w:val="009C009A"/>
    <w:rsid w:val="009C01A5"/>
    <w:rsid w:val="009C026F"/>
    <w:rsid w:val="009C02F9"/>
    <w:rsid w:val="009C034E"/>
    <w:rsid w:val="009C04FE"/>
    <w:rsid w:val="009C0653"/>
    <w:rsid w:val="009C0836"/>
    <w:rsid w:val="009C099A"/>
    <w:rsid w:val="009C0A90"/>
    <w:rsid w:val="009C0AB6"/>
    <w:rsid w:val="009C0B1B"/>
    <w:rsid w:val="009C1285"/>
    <w:rsid w:val="009C13C1"/>
    <w:rsid w:val="009C16A2"/>
    <w:rsid w:val="009C19BA"/>
    <w:rsid w:val="009C1A45"/>
    <w:rsid w:val="009C1ABE"/>
    <w:rsid w:val="009C1B7A"/>
    <w:rsid w:val="009C1BC0"/>
    <w:rsid w:val="009C1D59"/>
    <w:rsid w:val="009C1D63"/>
    <w:rsid w:val="009C1FCB"/>
    <w:rsid w:val="009C201B"/>
    <w:rsid w:val="009C230C"/>
    <w:rsid w:val="009C232B"/>
    <w:rsid w:val="009C2362"/>
    <w:rsid w:val="009C2512"/>
    <w:rsid w:val="009C2695"/>
    <w:rsid w:val="009C26BA"/>
    <w:rsid w:val="009C26E1"/>
    <w:rsid w:val="009C279B"/>
    <w:rsid w:val="009C27C2"/>
    <w:rsid w:val="009C2999"/>
    <w:rsid w:val="009C2A52"/>
    <w:rsid w:val="009C2BB2"/>
    <w:rsid w:val="009C2C1A"/>
    <w:rsid w:val="009C2DD2"/>
    <w:rsid w:val="009C3046"/>
    <w:rsid w:val="009C30FC"/>
    <w:rsid w:val="009C3160"/>
    <w:rsid w:val="009C3181"/>
    <w:rsid w:val="009C33F8"/>
    <w:rsid w:val="009C34E1"/>
    <w:rsid w:val="009C35D0"/>
    <w:rsid w:val="009C3677"/>
    <w:rsid w:val="009C37F0"/>
    <w:rsid w:val="009C3ABD"/>
    <w:rsid w:val="009C3EE5"/>
    <w:rsid w:val="009C431A"/>
    <w:rsid w:val="009C43D8"/>
    <w:rsid w:val="009C4457"/>
    <w:rsid w:val="009C447F"/>
    <w:rsid w:val="009C44FA"/>
    <w:rsid w:val="009C4552"/>
    <w:rsid w:val="009C45B0"/>
    <w:rsid w:val="009C4756"/>
    <w:rsid w:val="009C47EE"/>
    <w:rsid w:val="009C4881"/>
    <w:rsid w:val="009C4907"/>
    <w:rsid w:val="009C490C"/>
    <w:rsid w:val="009C4919"/>
    <w:rsid w:val="009C496E"/>
    <w:rsid w:val="009C4C1C"/>
    <w:rsid w:val="009C4CD8"/>
    <w:rsid w:val="009C4F48"/>
    <w:rsid w:val="009C51B5"/>
    <w:rsid w:val="009C51D7"/>
    <w:rsid w:val="009C52D1"/>
    <w:rsid w:val="009C52F6"/>
    <w:rsid w:val="009C53B7"/>
    <w:rsid w:val="009C53EE"/>
    <w:rsid w:val="009C54F5"/>
    <w:rsid w:val="009C5866"/>
    <w:rsid w:val="009C58AD"/>
    <w:rsid w:val="009C5D1E"/>
    <w:rsid w:val="009C5DCE"/>
    <w:rsid w:val="009C5E22"/>
    <w:rsid w:val="009C5FED"/>
    <w:rsid w:val="009C6121"/>
    <w:rsid w:val="009C6173"/>
    <w:rsid w:val="009C6179"/>
    <w:rsid w:val="009C62A8"/>
    <w:rsid w:val="009C6531"/>
    <w:rsid w:val="009C668C"/>
    <w:rsid w:val="009C673D"/>
    <w:rsid w:val="009C690C"/>
    <w:rsid w:val="009C698D"/>
    <w:rsid w:val="009C69DF"/>
    <w:rsid w:val="009C6A83"/>
    <w:rsid w:val="009C6AE6"/>
    <w:rsid w:val="009C6C51"/>
    <w:rsid w:val="009C6CE5"/>
    <w:rsid w:val="009C6D83"/>
    <w:rsid w:val="009C6DE9"/>
    <w:rsid w:val="009C6EAC"/>
    <w:rsid w:val="009C70E6"/>
    <w:rsid w:val="009C7174"/>
    <w:rsid w:val="009C72C1"/>
    <w:rsid w:val="009C74EB"/>
    <w:rsid w:val="009C7662"/>
    <w:rsid w:val="009C78B0"/>
    <w:rsid w:val="009C7A15"/>
    <w:rsid w:val="009C7ABC"/>
    <w:rsid w:val="009C7C0F"/>
    <w:rsid w:val="009C7CCA"/>
    <w:rsid w:val="009C7F47"/>
    <w:rsid w:val="009C7F49"/>
    <w:rsid w:val="009C7F72"/>
    <w:rsid w:val="009D04CE"/>
    <w:rsid w:val="009D0964"/>
    <w:rsid w:val="009D0A21"/>
    <w:rsid w:val="009D0A43"/>
    <w:rsid w:val="009D0FAA"/>
    <w:rsid w:val="009D126F"/>
    <w:rsid w:val="009D139A"/>
    <w:rsid w:val="009D13A1"/>
    <w:rsid w:val="009D173F"/>
    <w:rsid w:val="009D1A92"/>
    <w:rsid w:val="009D1CF0"/>
    <w:rsid w:val="009D1DC6"/>
    <w:rsid w:val="009D1DE4"/>
    <w:rsid w:val="009D1F58"/>
    <w:rsid w:val="009D21A4"/>
    <w:rsid w:val="009D2275"/>
    <w:rsid w:val="009D24A2"/>
    <w:rsid w:val="009D2507"/>
    <w:rsid w:val="009D2531"/>
    <w:rsid w:val="009D2569"/>
    <w:rsid w:val="009D2BA6"/>
    <w:rsid w:val="009D2C0E"/>
    <w:rsid w:val="009D2CB9"/>
    <w:rsid w:val="009D2D68"/>
    <w:rsid w:val="009D2DC9"/>
    <w:rsid w:val="009D2E7A"/>
    <w:rsid w:val="009D2EB8"/>
    <w:rsid w:val="009D3028"/>
    <w:rsid w:val="009D3034"/>
    <w:rsid w:val="009D3057"/>
    <w:rsid w:val="009D3541"/>
    <w:rsid w:val="009D36CC"/>
    <w:rsid w:val="009D38A2"/>
    <w:rsid w:val="009D3B6B"/>
    <w:rsid w:val="009D3BC6"/>
    <w:rsid w:val="009D3D75"/>
    <w:rsid w:val="009D3FE7"/>
    <w:rsid w:val="009D4145"/>
    <w:rsid w:val="009D46EF"/>
    <w:rsid w:val="009D4AC0"/>
    <w:rsid w:val="009D4EAD"/>
    <w:rsid w:val="009D51FF"/>
    <w:rsid w:val="009D5201"/>
    <w:rsid w:val="009D5219"/>
    <w:rsid w:val="009D548C"/>
    <w:rsid w:val="009D556F"/>
    <w:rsid w:val="009D5570"/>
    <w:rsid w:val="009D55A7"/>
    <w:rsid w:val="009D5781"/>
    <w:rsid w:val="009D5807"/>
    <w:rsid w:val="009D5B49"/>
    <w:rsid w:val="009D5C10"/>
    <w:rsid w:val="009D5E36"/>
    <w:rsid w:val="009D5F09"/>
    <w:rsid w:val="009D611E"/>
    <w:rsid w:val="009D627C"/>
    <w:rsid w:val="009D6385"/>
    <w:rsid w:val="009D648F"/>
    <w:rsid w:val="009D662C"/>
    <w:rsid w:val="009D6990"/>
    <w:rsid w:val="009D6A63"/>
    <w:rsid w:val="009D6DB9"/>
    <w:rsid w:val="009D6E7C"/>
    <w:rsid w:val="009D6EC7"/>
    <w:rsid w:val="009D6EFD"/>
    <w:rsid w:val="009D70A9"/>
    <w:rsid w:val="009D718F"/>
    <w:rsid w:val="009D784E"/>
    <w:rsid w:val="009D7919"/>
    <w:rsid w:val="009D7989"/>
    <w:rsid w:val="009D79A6"/>
    <w:rsid w:val="009D7A82"/>
    <w:rsid w:val="009D7C8F"/>
    <w:rsid w:val="009D7F67"/>
    <w:rsid w:val="009E0128"/>
    <w:rsid w:val="009E03B4"/>
    <w:rsid w:val="009E04B6"/>
    <w:rsid w:val="009E07E2"/>
    <w:rsid w:val="009E0851"/>
    <w:rsid w:val="009E08B4"/>
    <w:rsid w:val="009E0BA9"/>
    <w:rsid w:val="009E0C4A"/>
    <w:rsid w:val="009E0D06"/>
    <w:rsid w:val="009E0E4F"/>
    <w:rsid w:val="009E0EE4"/>
    <w:rsid w:val="009E0FD3"/>
    <w:rsid w:val="009E0FEE"/>
    <w:rsid w:val="009E10EA"/>
    <w:rsid w:val="009E11FD"/>
    <w:rsid w:val="009E12B2"/>
    <w:rsid w:val="009E13EA"/>
    <w:rsid w:val="009E14BC"/>
    <w:rsid w:val="009E16A5"/>
    <w:rsid w:val="009E17A0"/>
    <w:rsid w:val="009E1855"/>
    <w:rsid w:val="009E18A0"/>
    <w:rsid w:val="009E1AE3"/>
    <w:rsid w:val="009E1BF1"/>
    <w:rsid w:val="009E1C10"/>
    <w:rsid w:val="009E1C3E"/>
    <w:rsid w:val="009E1EBE"/>
    <w:rsid w:val="009E1F68"/>
    <w:rsid w:val="009E1F92"/>
    <w:rsid w:val="009E21BA"/>
    <w:rsid w:val="009E23A9"/>
    <w:rsid w:val="009E247D"/>
    <w:rsid w:val="009E2550"/>
    <w:rsid w:val="009E2718"/>
    <w:rsid w:val="009E2ABA"/>
    <w:rsid w:val="009E2B2D"/>
    <w:rsid w:val="009E2D5C"/>
    <w:rsid w:val="009E2DFC"/>
    <w:rsid w:val="009E2EC5"/>
    <w:rsid w:val="009E34CC"/>
    <w:rsid w:val="009E34E7"/>
    <w:rsid w:val="009E35E8"/>
    <w:rsid w:val="009E3763"/>
    <w:rsid w:val="009E37E1"/>
    <w:rsid w:val="009E3AD3"/>
    <w:rsid w:val="009E3D32"/>
    <w:rsid w:val="009E3E4F"/>
    <w:rsid w:val="009E3F7A"/>
    <w:rsid w:val="009E3FC0"/>
    <w:rsid w:val="009E40D1"/>
    <w:rsid w:val="009E41E6"/>
    <w:rsid w:val="009E4205"/>
    <w:rsid w:val="009E4224"/>
    <w:rsid w:val="009E42C2"/>
    <w:rsid w:val="009E42CB"/>
    <w:rsid w:val="009E4328"/>
    <w:rsid w:val="009E4330"/>
    <w:rsid w:val="009E43CD"/>
    <w:rsid w:val="009E4540"/>
    <w:rsid w:val="009E4555"/>
    <w:rsid w:val="009E465B"/>
    <w:rsid w:val="009E496F"/>
    <w:rsid w:val="009E49A4"/>
    <w:rsid w:val="009E4BF3"/>
    <w:rsid w:val="009E4CAC"/>
    <w:rsid w:val="009E4E62"/>
    <w:rsid w:val="009E4F2C"/>
    <w:rsid w:val="009E4F5C"/>
    <w:rsid w:val="009E4F82"/>
    <w:rsid w:val="009E4F9B"/>
    <w:rsid w:val="009E4FD9"/>
    <w:rsid w:val="009E51F6"/>
    <w:rsid w:val="009E533E"/>
    <w:rsid w:val="009E5405"/>
    <w:rsid w:val="009E5587"/>
    <w:rsid w:val="009E563D"/>
    <w:rsid w:val="009E5943"/>
    <w:rsid w:val="009E597C"/>
    <w:rsid w:val="009E59E5"/>
    <w:rsid w:val="009E5A9B"/>
    <w:rsid w:val="009E5A9C"/>
    <w:rsid w:val="009E5AC1"/>
    <w:rsid w:val="009E5AF1"/>
    <w:rsid w:val="009E5C4A"/>
    <w:rsid w:val="009E6196"/>
    <w:rsid w:val="009E61A0"/>
    <w:rsid w:val="009E63A4"/>
    <w:rsid w:val="009E6499"/>
    <w:rsid w:val="009E6697"/>
    <w:rsid w:val="009E675D"/>
    <w:rsid w:val="009E6797"/>
    <w:rsid w:val="009E67E2"/>
    <w:rsid w:val="009E68A4"/>
    <w:rsid w:val="009E6A0F"/>
    <w:rsid w:val="009E6B14"/>
    <w:rsid w:val="009E6C10"/>
    <w:rsid w:val="009E6D37"/>
    <w:rsid w:val="009E6EA1"/>
    <w:rsid w:val="009E6EB1"/>
    <w:rsid w:val="009E6F2D"/>
    <w:rsid w:val="009E7008"/>
    <w:rsid w:val="009E7188"/>
    <w:rsid w:val="009E7460"/>
    <w:rsid w:val="009E7734"/>
    <w:rsid w:val="009E7830"/>
    <w:rsid w:val="009E7982"/>
    <w:rsid w:val="009E7ABE"/>
    <w:rsid w:val="009E7B1A"/>
    <w:rsid w:val="009E7CA0"/>
    <w:rsid w:val="009E7CEA"/>
    <w:rsid w:val="009E7E79"/>
    <w:rsid w:val="009E7EBE"/>
    <w:rsid w:val="009F03EB"/>
    <w:rsid w:val="009F04BF"/>
    <w:rsid w:val="009F0527"/>
    <w:rsid w:val="009F0645"/>
    <w:rsid w:val="009F06BA"/>
    <w:rsid w:val="009F082F"/>
    <w:rsid w:val="009F087C"/>
    <w:rsid w:val="009F088A"/>
    <w:rsid w:val="009F0C3B"/>
    <w:rsid w:val="009F0DFE"/>
    <w:rsid w:val="009F1001"/>
    <w:rsid w:val="009F10A8"/>
    <w:rsid w:val="009F11BD"/>
    <w:rsid w:val="009F11E9"/>
    <w:rsid w:val="009F150B"/>
    <w:rsid w:val="009F150D"/>
    <w:rsid w:val="009F15EB"/>
    <w:rsid w:val="009F1784"/>
    <w:rsid w:val="009F181F"/>
    <w:rsid w:val="009F194D"/>
    <w:rsid w:val="009F1DD3"/>
    <w:rsid w:val="009F1F42"/>
    <w:rsid w:val="009F1F4D"/>
    <w:rsid w:val="009F2092"/>
    <w:rsid w:val="009F2105"/>
    <w:rsid w:val="009F22BD"/>
    <w:rsid w:val="009F25B5"/>
    <w:rsid w:val="009F276E"/>
    <w:rsid w:val="009F277F"/>
    <w:rsid w:val="009F2D5C"/>
    <w:rsid w:val="009F31EF"/>
    <w:rsid w:val="009F3353"/>
    <w:rsid w:val="009F366D"/>
    <w:rsid w:val="009F36CC"/>
    <w:rsid w:val="009F3806"/>
    <w:rsid w:val="009F3833"/>
    <w:rsid w:val="009F3C8D"/>
    <w:rsid w:val="009F3D43"/>
    <w:rsid w:val="009F411B"/>
    <w:rsid w:val="009F434D"/>
    <w:rsid w:val="009F43B9"/>
    <w:rsid w:val="009F44B1"/>
    <w:rsid w:val="009F44F1"/>
    <w:rsid w:val="009F45F2"/>
    <w:rsid w:val="009F4635"/>
    <w:rsid w:val="009F471A"/>
    <w:rsid w:val="009F47E1"/>
    <w:rsid w:val="009F4A02"/>
    <w:rsid w:val="009F4A49"/>
    <w:rsid w:val="009F4B68"/>
    <w:rsid w:val="009F4C53"/>
    <w:rsid w:val="009F4C6C"/>
    <w:rsid w:val="009F501C"/>
    <w:rsid w:val="009F511C"/>
    <w:rsid w:val="009F51C4"/>
    <w:rsid w:val="009F528B"/>
    <w:rsid w:val="009F52F1"/>
    <w:rsid w:val="009F55B6"/>
    <w:rsid w:val="009F55E9"/>
    <w:rsid w:val="009F56DC"/>
    <w:rsid w:val="009F575F"/>
    <w:rsid w:val="009F5A57"/>
    <w:rsid w:val="009F5BDA"/>
    <w:rsid w:val="009F5DCB"/>
    <w:rsid w:val="009F5DDC"/>
    <w:rsid w:val="009F5FA2"/>
    <w:rsid w:val="009F615D"/>
    <w:rsid w:val="009F618D"/>
    <w:rsid w:val="009F630B"/>
    <w:rsid w:val="009F6380"/>
    <w:rsid w:val="009F6394"/>
    <w:rsid w:val="009F654A"/>
    <w:rsid w:val="009F67DC"/>
    <w:rsid w:val="009F692C"/>
    <w:rsid w:val="009F69F2"/>
    <w:rsid w:val="009F6D00"/>
    <w:rsid w:val="009F6E69"/>
    <w:rsid w:val="009F7035"/>
    <w:rsid w:val="009F71DF"/>
    <w:rsid w:val="009F72AA"/>
    <w:rsid w:val="009F750D"/>
    <w:rsid w:val="009F7679"/>
    <w:rsid w:val="009F76AE"/>
    <w:rsid w:val="009F76F8"/>
    <w:rsid w:val="009F7873"/>
    <w:rsid w:val="009F78DA"/>
    <w:rsid w:val="009F7936"/>
    <w:rsid w:val="009F7AFA"/>
    <w:rsid w:val="009F7BD5"/>
    <w:rsid w:val="009F7EC3"/>
    <w:rsid w:val="009F7F28"/>
    <w:rsid w:val="009F7FC3"/>
    <w:rsid w:val="00A004EC"/>
    <w:rsid w:val="00A0050E"/>
    <w:rsid w:val="00A00653"/>
    <w:rsid w:val="00A00729"/>
    <w:rsid w:val="00A009BD"/>
    <w:rsid w:val="00A00AC3"/>
    <w:rsid w:val="00A00B5B"/>
    <w:rsid w:val="00A00B77"/>
    <w:rsid w:val="00A00D2D"/>
    <w:rsid w:val="00A00E26"/>
    <w:rsid w:val="00A00E45"/>
    <w:rsid w:val="00A0121C"/>
    <w:rsid w:val="00A0124E"/>
    <w:rsid w:val="00A012F1"/>
    <w:rsid w:val="00A0131A"/>
    <w:rsid w:val="00A013EB"/>
    <w:rsid w:val="00A013F4"/>
    <w:rsid w:val="00A01629"/>
    <w:rsid w:val="00A01746"/>
    <w:rsid w:val="00A017DA"/>
    <w:rsid w:val="00A0190F"/>
    <w:rsid w:val="00A01BAA"/>
    <w:rsid w:val="00A01C9D"/>
    <w:rsid w:val="00A01E36"/>
    <w:rsid w:val="00A01E50"/>
    <w:rsid w:val="00A0210C"/>
    <w:rsid w:val="00A021A2"/>
    <w:rsid w:val="00A0290D"/>
    <w:rsid w:val="00A02919"/>
    <w:rsid w:val="00A029EA"/>
    <w:rsid w:val="00A02AE1"/>
    <w:rsid w:val="00A02BAD"/>
    <w:rsid w:val="00A02D9A"/>
    <w:rsid w:val="00A03048"/>
    <w:rsid w:val="00A03061"/>
    <w:rsid w:val="00A0309F"/>
    <w:rsid w:val="00A03161"/>
    <w:rsid w:val="00A031AC"/>
    <w:rsid w:val="00A0325E"/>
    <w:rsid w:val="00A033C1"/>
    <w:rsid w:val="00A033EC"/>
    <w:rsid w:val="00A0364F"/>
    <w:rsid w:val="00A03755"/>
    <w:rsid w:val="00A03760"/>
    <w:rsid w:val="00A03854"/>
    <w:rsid w:val="00A03A30"/>
    <w:rsid w:val="00A03BE1"/>
    <w:rsid w:val="00A03C5E"/>
    <w:rsid w:val="00A03DB2"/>
    <w:rsid w:val="00A041F2"/>
    <w:rsid w:val="00A045C6"/>
    <w:rsid w:val="00A046DF"/>
    <w:rsid w:val="00A04741"/>
    <w:rsid w:val="00A048E9"/>
    <w:rsid w:val="00A04D14"/>
    <w:rsid w:val="00A04D47"/>
    <w:rsid w:val="00A04D69"/>
    <w:rsid w:val="00A04DE2"/>
    <w:rsid w:val="00A050FC"/>
    <w:rsid w:val="00A05150"/>
    <w:rsid w:val="00A0515C"/>
    <w:rsid w:val="00A0522E"/>
    <w:rsid w:val="00A0541E"/>
    <w:rsid w:val="00A0544E"/>
    <w:rsid w:val="00A05476"/>
    <w:rsid w:val="00A0559F"/>
    <w:rsid w:val="00A05659"/>
    <w:rsid w:val="00A056D5"/>
    <w:rsid w:val="00A05701"/>
    <w:rsid w:val="00A05875"/>
    <w:rsid w:val="00A0597D"/>
    <w:rsid w:val="00A0597E"/>
    <w:rsid w:val="00A05AF1"/>
    <w:rsid w:val="00A05AF2"/>
    <w:rsid w:val="00A05D72"/>
    <w:rsid w:val="00A05DD2"/>
    <w:rsid w:val="00A06285"/>
    <w:rsid w:val="00A065CE"/>
    <w:rsid w:val="00A068A8"/>
    <w:rsid w:val="00A0699E"/>
    <w:rsid w:val="00A06B5C"/>
    <w:rsid w:val="00A06C4A"/>
    <w:rsid w:val="00A06C9D"/>
    <w:rsid w:val="00A06DCC"/>
    <w:rsid w:val="00A06E2A"/>
    <w:rsid w:val="00A06EDD"/>
    <w:rsid w:val="00A0707D"/>
    <w:rsid w:val="00A0711F"/>
    <w:rsid w:val="00A0714A"/>
    <w:rsid w:val="00A073A1"/>
    <w:rsid w:val="00A076F4"/>
    <w:rsid w:val="00A07919"/>
    <w:rsid w:val="00A07A31"/>
    <w:rsid w:val="00A07AF4"/>
    <w:rsid w:val="00A07B59"/>
    <w:rsid w:val="00A07C84"/>
    <w:rsid w:val="00A07D3B"/>
    <w:rsid w:val="00A07DC1"/>
    <w:rsid w:val="00A10176"/>
    <w:rsid w:val="00A102DF"/>
    <w:rsid w:val="00A10311"/>
    <w:rsid w:val="00A1040B"/>
    <w:rsid w:val="00A1055F"/>
    <w:rsid w:val="00A105C2"/>
    <w:rsid w:val="00A105CD"/>
    <w:rsid w:val="00A10A39"/>
    <w:rsid w:val="00A10A78"/>
    <w:rsid w:val="00A10B01"/>
    <w:rsid w:val="00A10B1A"/>
    <w:rsid w:val="00A10CF9"/>
    <w:rsid w:val="00A10F11"/>
    <w:rsid w:val="00A110FC"/>
    <w:rsid w:val="00A111B5"/>
    <w:rsid w:val="00A11431"/>
    <w:rsid w:val="00A115A0"/>
    <w:rsid w:val="00A115F3"/>
    <w:rsid w:val="00A115F7"/>
    <w:rsid w:val="00A11611"/>
    <w:rsid w:val="00A116E2"/>
    <w:rsid w:val="00A1196F"/>
    <w:rsid w:val="00A11A48"/>
    <w:rsid w:val="00A11B0E"/>
    <w:rsid w:val="00A11BB4"/>
    <w:rsid w:val="00A11D4E"/>
    <w:rsid w:val="00A120E2"/>
    <w:rsid w:val="00A122AC"/>
    <w:rsid w:val="00A12342"/>
    <w:rsid w:val="00A123DF"/>
    <w:rsid w:val="00A12486"/>
    <w:rsid w:val="00A124E1"/>
    <w:rsid w:val="00A126BD"/>
    <w:rsid w:val="00A126DA"/>
    <w:rsid w:val="00A1291A"/>
    <w:rsid w:val="00A129B1"/>
    <w:rsid w:val="00A12E21"/>
    <w:rsid w:val="00A12E42"/>
    <w:rsid w:val="00A1321C"/>
    <w:rsid w:val="00A13243"/>
    <w:rsid w:val="00A13268"/>
    <w:rsid w:val="00A13411"/>
    <w:rsid w:val="00A134C7"/>
    <w:rsid w:val="00A134E4"/>
    <w:rsid w:val="00A13702"/>
    <w:rsid w:val="00A138D4"/>
    <w:rsid w:val="00A13949"/>
    <w:rsid w:val="00A13C03"/>
    <w:rsid w:val="00A13CD5"/>
    <w:rsid w:val="00A13D9B"/>
    <w:rsid w:val="00A13EA1"/>
    <w:rsid w:val="00A14062"/>
    <w:rsid w:val="00A1411C"/>
    <w:rsid w:val="00A141FF"/>
    <w:rsid w:val="00A14218"/>
    <w:rsid w:val="00A142B9"/>
    <w:rsid w:val="00A14313"/>
    <w:rsid w:val="00A146E8"/>
    <w:rsid w:val="00A14982"/>
    <w:rsid w:val="00A149F0"/>
    <w:rsid w:val="00A14A24"/>
    <w:rsid w:val="00A14AF0"/>
    <w:rsid w:val="00A14B59"/>
    <w:rsid w:val="00A15149"/>
    <w:rsid w:val="00A1517A"/>
    <w:rsid w:val="00A153C0"/>
    <w:rsid w:val="00A15467"/>
    <w:rsid w:val="00A157BD"/>
    <w:rsid w:val="00A15B60"/>
    <w:rsid w:val="00A15B71"/>
    <w:rsid w:val="00A15D08"/>
    <w:rsid w:val="00A15EEC"/>
    <w:rsid w:val="00A15F0D"/>
    <w:rsid w:val="00A15F15"/>
    <w:rsid w:val="00A15FE1"/>
    <w:rsid w:val="00A16009"/>
    <w:rsid w:val="00A161AF"/>
    <w:rsid w:val="00A16251"/>
    <w:rsid w:val="00A162B6"/>
    <w:rsid w:val="00A165B8"/>
    <w:rsid w:val="00A16672"/>
    <w:rsid w:val="00A166AF"/>
    <w:rsid w:val="00A166ED"/>
    <w:rsid w:val="00A16824"/>
    <w:rsid w:val="00A16827"/>
    <w:rsid w:val="00A16906"/>
    <w:rsid w:val="00A16912"/>
    <w:rsid w:val="00A16D98"/>
    <w:rsid w:val="00A16DC0"/>
    <w:rsid w:val="00A16FBE"/>
    <w:rsid w:val="00A17014"/>
    <w:rsid w:val="00A1707E"/>
    <w:rsid w:val="00A170CC"/>
    <w:rsid w:val="00A171D2"/>
    <w:rsid w:val="00A17324"/>
    <w:rsid w:val="00A17463"/>
    <w:rsid w:val="00A17500"/>
    <w:rsid w:val="00A17558"/>
    <w:rsid w:val="00A1795F"/>
    <w:rsid w:val="00A17979"/>
    <w:rsid w:val="00A17C90"/>
    <w:rsid w:val="00A17CFC"/>
    <w:rsid w:val="00A17EF5"/>
    <w:rsid w:val="00A17EFB"/>
    <w:rsid w:val="00A17F99"/>
    <w:rsid w:val="00A200C1"/>
    <w:rsid w:val="00A2033B"/>
    <w:rsid w:val="00A205DE"/>
    <w:rsid w:val="00A2099C"/>
    <w:rsid w:val="00A20AAE"/>
    <w:rsid w:val="00A20D09"/>
    <w:rsid w:val="00A20E39"/>
    <w:rsid w:val="00A20E94"/>
    <w:rsid w:val="00A20EC9"/>
    <w:rsid w:val="00A20FE3"/>
    <w:rsid w:val="00A21098"/>
    <w:rsid w:val="00A21409"/>
    <w:rsid w:val="00A2145B"/>
    <w:rsid w:val="00A214A8"/>
    <w:rsid w:val="00A2172D"/>
    <w:rsid w:val="00A21741"/>
    <w:rsid w:val="00A21925"/>
    <w:rsid w:val="00A21BF6"/>
    <w:rsid w:val="00A21C00"/>
    <w:rsid w:val="00A21CC2"/>
    <w:rsid w:val="00A21F14"/>
    <w:rsid w:val="00A21FAA"/>
    <w:rsid w:val="00A221EC"/>
    <w:rsid w:val="00A22265"/>
    <w:rsid w:val="00A226F1"/>
    <w:rsid w:val="00A22758"/>
    <w:rsid w:val="00A2281B"/>
    <w:rsid w:val="00A228EF"/>
    <w:rsid w:val="00A2291D"/>
    <w:rsid w:val="00A22AED"/>
    <w:rsid w:val="00A23031"/>
    <w:rsid w:val="00A230E9"/>
    <w:rsid w:val="00A23153"/>
    <w:rsid w:val="00A23203"/>
    <w:rsid w:val="00A23226"/>
    <w:rsid w:val="00A2350B"/>
    <w:rsid w:val="00A23561"/>
    <w:rsid w:val="00A236A5"/>
    <w:rsid w:val="00A236B4"/>
    <w:rsid w:val="00A238F3"/>
    <w:rsid w:val="00A23A0B"/>
    <w:rsid w:val="00A23A8F"/>
    <w:rsid w:val="00A23AC9"/>
    <w:rsid w:val="00A23B94"/>
    <w:rsid w:val="00A23C6A"/>
    <w:rsid w:val="00A23D7E"/>
    <w:rsid w:val="00A23DC4"/>
    <w:rsid w:val="00A23F6D"/>
    <w:rsid w:val="00A240BD"/>
    <w:rsid w:val="00A24191"/>
    <w:rsid w:val="00A241A0"/>
    <w:rsid w:val="00A2433E"/>
    <w:rsid w:val="00A24491"/>
    <w:rsid w:val="00A2453A"/>
    <w:rsid w:val="00A24726"/>
    <w:rsid w:val="00A24733"/>
    <w:rsid w:val="00A247AE"/>
    <w:rsid w:val="00A249B7"/>
    <w:rsid w:val="00A24BBD"/>
    <w:rsid w:val="00A24C78"/>
    <w:rsid w:val="00A24CDA"/>
    <w:rsid w:val="00A24D30"/>
    <w:rsid w:val="00A24D6F"/>
    <w:rsid w:val="00A24DCB"/>
    <w:rsid w:val="00A24FB0"/>
    <w:rsid w:val="00A2510C"/>
    <w:rsid w:val="00A25276"/>
    <w:rsid w:val="00A2554B"/>
    <w:rsid w:val="00A2578C"/>
    <w:rsid w:val="00A257AB"/>
    <w:rsid w:val="00A258D8"/>
    <w:rsid w:val="00A258E4"/>
    <w:rsid w:val="00A2590C"/>
    <w:rsid w:val="00A2596D"/>
    <w:rsid w:val="00A25A13"/>
    <w:rsid w:val="00A25A3A"/>
    <w:rsid w:val="00A25A47"/>
    <w:rsid w:val="00A25AA1"/>
    <w:rsid w:val="00A25B62"/>
    <w:rsid w:val="00A25C3F"/>
    <w:rsid w:val="00A25EA8"/>
    <w:rsid w:val="00A25EBA"/>
    <w:rsid w:val="00A25ED4"/>
    <w:rsid w:val="00A25FA9"/>
    <w:rsid w:val="00A26194"/>
    <w:rsid w:val="00A264BF"/>
    <w:rsid w:val="00A264C4"/>
    <w:rsid w:val="00A26622"/>
    <w:rsid w:val="00A26656"/>
    <w:rsid w:val="00A266C9"/>
    <w:rsid w:val="00A2688E"/>
    <w:rsid w:val="00A26968"/>
    <w:rsid w:val="00A2696D"/>
    <w:rsid w:val="00A269B7"/>
    <w:rsid w:val="00A26D3E"/>
    <w:rsid w:val="00A26E25"/>
    <w:rsid w:val="00A26E8D"/>
    <w:rsid w:val="00A26EC6"/>
    <w:rsid w:val="00A26ED3"/>
    <w:rsid w:val="00A26F22"/>
    <w:rsid w:val="00A27250"/>
    <w:rsid w:val="00A273C0"/>
    <w:rsid w:val="00A273D4"/>
    <w:rsid w:val="00A276F7"/>
    <w:rsid w:val="00A27891"/>
    <w:rsid w:val="00A27929"/>
    <w:rsid w:val="00A27A6D"/>
    <w:rsid w:val="00A27B42"/>
    <w:rsid w:val="00A27B48"/>
    <w:rsid w:val="00A27B95"/>
    <w:rsid w:val="00A27BA0"/>
    <w:rsid w:val="00A27E76"/>
    <w:rsid w:val="00A3011E"/>
    <w:rsid w:val="00A30444"/>
    <w:rsid w:val="00A30700"/>
    <w:rsid w:val="00A30707"/>
    <w:rsid w:val="00A308AA"/>
    <w:rsid w:val="00A3097D"/>
    <w:rsid w:val="00A30C7B"/>
    <w:rsid w:val="00A30D91"/>
    <w:rsid w:val="00A3108D"/>
    <w:rsid w:val="00A31187"/>
    <w:rsid w:val="00A312C0"/>
    <w:rsid w:val="00A3156C"/>
    <w:rsid w:val="00A3157A"/>
    <w:rsid w:val="00A31613"/>
    <w:rsid w:val="00A3162F"/>
    <w:rsid w:val="00A3178D"/>
    <w:rsid w:val="00A3184E"/>
    <w:rsid w:val="00A319B6"/>
    <w:rsid w:val="00A319F7"/>
    <w:rsid w:val="00A31A17"/>
    <w:rsid w:val="00A31B61"/>
    <w:rsid w:val="00A31B99"/>
    <w:rsid w:val="00A31C5A"/>
    <w:rsid w:val="00A31CD3"/>
    <w:rsid w:val="00A31D21"/>
    <w:rsid w:val="00A31DE3"/>
    <w:rsid w:val="00A31EFA"/>
    <w:rsid w:val="00A31EFE"/>
    <w:rsid w:val="00A32070"/>
    <w:rsid w:val="00A320A8"/>
    <w:rsid w:val="00A32218"/>
    <w:rsid w:val="00A3263B"/>
    <w:rsid w:val="00A327FE"/>
    <w:rsid w:val="00A3299B"/>
    <w:rsid w:val="00A32AF3"/>
    <w:rsid w:val="00A32D7E"/>
    <w:rsid w:val="00A32E85"/>
    <w:rsid w:val="00A32EF0"/>
    <w:rsid w:val="00A33295"/>
    <w:rsid w:val="00A33368"/>
    <w:rsid w:val="00A334FA"/>
    <w:rsid w:val="00A33861"/>
    <w:rsid w:val="00A33A4B"/>
    <w:rsid w:val="00A33A6D"/>
    <w:rsid w:val="00A33AA5"/>
    <w:rsid w:val="00A33C64"/>
    <w:rsid w:val="00A33D68"/>
    <w:rsid w:val="00A33D7C"/>
    <w:rsid w:val="00A33FE4"/>
    <w:rsid w:val="00A34021"/>
    <w:rsid w:val="00A340AF"/>
    <w:rsid w:val="00A341C1"/>
    <w:rsid w:val="00A341EF"/>
    <w:rsid w:val="00A34292"/>
    <w:rsid w:val="00A342AF"/>
    <w:rsid w:val="00A345A3"/>
    <w:rsid w:val="00A34845"/>
    <w:rsid w:val="00A34A4C"/>
    <w:rsid w:val="00A34B0A"/>
    <w:rsid w:val="00A34C72"/>
    <w:rsid w:val="00A34DE7"/>
    <w:rsid w:val="00A34DFF"/>
    <w:rsid w:val="00A34E2B"/>
    <w:rsid w:val="00A34E52"/>
    <w:rsid w:val="00A34EF8"/>
    <w:rsid w:val="00A34F4F"/>
    <w:rsid w:val="00A34F72"/>
    <w:rsid w:val="00A34FAC"/>
    <w:rsid w:val="00A34FB8"/>
    <w:rsid w:val="00A351FA"/>
    <w:rsid w:val="00A352AF"/>
    <w:rsid w:val="00A35307"/>
    <w:rsid w:val="00A3535C"/>
    <w:rsid w:val="00A35364"/>
    <w:rsid w:val="00A35474"/>
    <w:rsid w:val="00A355BA"/>
    <w:rsid w:val="00A35634"/>
    <w:rsid w:val="00A357C7"/>
    <w:rsid w:val="00A3583A"/>
    <w:rsid w:val="00A35B45"/>
    <w:rsid w:val="00A35CBF"/>
    <w:rsid w:val="00A35DF5"/>
    <w:rsid w:val="00A35E50"/>
    <w:rsid w:val="00A36110"/>
    <w:rsid w:val="00A36203"/>
    <w:rsid w:val="00A3642B"/>
    <w:rsid w:val="00A364EA"/>
    <w:rsid w:val="00A365A6"/>
    <w:rsid w:val="00A365C8"/>
    <w:rsid w:val="00A365F8"/>
    <w:rsid w:val="00A36874"/>
    <w:rsid w:val="00A36899"/>
    <w:rsid w:val="00A369EA"/>
    <w:rsid w:val="00A36A82"/>
    <w:rsid w:val="00A36DF7"/>
    <w:rsid w:val="00A370CE"/>
    <w:rsid w:val="00A371CA"/>
    <w:rsid w:val="00A3729D"/>
    <w:rsid w:val="00A374F8"/>
    <w:rsid w:val="00A37511"/>
    <w:rsid w:val="00A37548"/>
    <w:rsid w:val="00A37688"/>
    <w:rsid w:val="00A376AB"/>
    <w:rsid w:val="00A376EE"/>
    <w:rsid w:val="00A37810"/>
    <w:rsid w:val="00A37859"/>
    <w:rsid w:val="00A3791B"/>
    <w:rsid w:val="00A37E55"/>
    <w:rsid w:val="00A37F3B"/>
    <w:rsid w:val="00A400E1"/>
    <w:rsid w:val="00A400F8"/>
    <w:rsid w:val="00A40471"/>
    <w:rsid w:val="00A40591"/>
    <w:rsid w:val="00A40636"/>
    <w:rsid w:val="00A407F1"/>
    <w:rsid w:val="00A40869"/>
    <w:rsid w:val="00A40994"/>
    <w:rsid w:val="00A40997"/>
    <w:rsid w:val="00A40A59"/>
    <w:rsid w:val="00A40B51"/>
    <w:rsid w:val="00A40C2E"/>
    <w:rsid w:val="00A41184"/>
    <w:rsid w:val="00A4152E"/>
    <w:rsid w:val="00A41539"/>
    <w:rsid w:val="00A41608"/>
    <w:rsid w:val="00A4162C"/>
    <w:rsid w:val="00A417C2"/>
    <w:rsid w:val="00A418AB"/>
    <w:rsid w:val="00A41953"/>
    <w:rsid w:val="00A419AB"/>
    <w:rsid w:val="00A41C1A"/>
    <w:rsid w:val="00A41D3D"/>
    <w:rsid w:val="00A41F7E"/>
    <w:rsid w:val="00A421DB"/>
    <w:rsid w:val="00A422B4"/>
    <w:rsid w:val="00A422CF"/>
    <w:rsid w:val="00A423A8"/>
    <w:rsid w:val="00A423F7"/>
    <w:rsid w:val="00A4241A"/>
    <w:rsid w:val="00A42433"/>
    <w:rsid w:val="00A42680"/>
    <w:rsid w:val="00A42686"/>
    <w:rsid w:val="00A42788"/>
    <w:rsid w:val="00A427ED"/>
    <w:rsid w:val="00A42896"/>
    <w:rsid w:val="00A428CE"/>
    <w:rsid w:val="00A4293C"/>
    <w:rsid w:val="00A4295B"/>
    <w:rsid w:val="00A42995"/>
    <w:rsid w:val="00A42B25"/>
    <w:rsid w:val="00A42C0B"/>
    <w:rsid w:val="00A42C7A"/>
    <w:rsid w:val="00A42DB8"/>
    <w:rsid w:val="00A42DC6"/>
    <w:rsid w:val="00A42E37"/>
    <w:rsid w:val="00A42EBE"/>
    <w:rsid w:val="00A42ECF"/>
    <w:rsid w:val="00A42F6E"/>
    <w:rsid w:val="00A430CE"/>
    <w:rsid w:val="00A43476"/>
    <w:rsid w:val="00A4363A"/>
    <w:rsid w:val="00A4367F"/>
    <w:rsid w:val="00A439A0"/>
    <w:rsid w:val="00A439BC"/>
    <w:rsid w:val="00A439C4"/>
    <w:rsid w:val="00A43D8E"/>
    <w:rsid w:val="00A43F2B"/>
    <w:rsid w:val="00A43FD7"/>
    <w:rsid w:val="00A44053"/>
    <w:rsid w:val="00A440DA"/>
    <w:rsid w:val="00A441F3"/>
    <w:rsid w:val="00A4423F"/>
    <w:rsid w:val="00A443DC"/>
    <w:rsid w:val="00A44448"/>
    <w:rsid w:val="00A44837"/>
    <w:rsid w:val="00A449A1"/>
    <w:rsid w:val="00A44A3E"/>
    <w:rsid w:val="00A44AD9"/>
    <w:rsid w:val="00A44BF2"/>
    <w:rsid w:val="00A44C66"/>
    <w:rsid w:val="00A44D96"/>
    <w:rsid w:val="00A450AF"/>
    <w:rsid w:val="00A45130"/>
    <w:rsid w:val="00A451BC"/>
    <w:rsid w:val="00A45241"/>
    <w:rsid w:val="00A452AF"/>
    <w:rsid w:val="00A4571A"/>
    <w:rsid w:val="00A45769"/>
    <w:rsid w:val="00A457CA"/>
    <w:rsid w:val="00A457EF"/>
    <w:rsid w:val="00A45A58"/>
    <w:rsid w:val="00A45D56"/>
    <w:rsid w:val="00A45F7A"/>
    <w:rsid w:val="00A46038"/>
    <w:rsid w:val="00A460DF"/>
    <w:rsid w:val="00A462C2"/>
    <w:rsid w:val="00A46496"/>
    <w:rsid w:val="00A464DF"/>
    <w:rsid w:val="00A4659E"/>
    <w:rsid w:val="00A467E7"/>
    <w:rsid w:val="00A4685A"/>
    <w:rsid w:val="00A46B97"/>
    <w:rsid w:val="00A46F4A"/>
    <w:rsid w:val="00A47084"/>
    <w:rsid w:val="00A470C1"/>
    <w:rsid w:val="00A474AE"/>
    <w:rsid w:val="00A4752C"/>
    <w:rsid w:val="00A47734"/>
    <w:rsid w:val="00A47940"/>
    <w:rsid w:val="00A4795A"/>
    <w:rsid w:val="00A4795F"/>
    <w:rsid w:val="00A47989"/>
    <w:rsid w:val="00A47ACB"/>
    <w:rsid w:val="00A47B73"/>
    <w:rsid w:val="00A47CA8"/>
    <w:rsid w:val="00A47D66"/>
    <w:rsid w:val="00A47EBD"/>
    <w:rsid w:val="00A47EC5"/>
    <w:rsid w:val="00A47EC8"/>
    <w:rsid w:val="00A47FE0"/>
    <w:rsid w:val="00A500C1"/>
    <w:rsid w:val="00A500E7"/>
    <w:rsid w:val="00A500F0"/>
    <w:rsid w:val="00A50175"/>
    <w:rsid w:val="00A504F7"/>
    <w:rsid w:val="00A50AA9"/>
    <w:rsid w:val="00A50CAD"/>
    <w:rsid w:val="00A50CB3"/>
    <w:rsid w:val="00A50DCF"/>
    <w:rsid w:val="00A50E62"/>
    <w:rsid w:val="00A50EAF"/>
    <w:rsid w:val="00A50F0C"/>
    <w:rsid w:val="00A51114"/>
    <w:rsid w:val="00A5125F"/>
    <w:rsid w:val="00A512FC"/>
    <w:rsid w:val="00A51453"/>
    <w:rsid w:val="00A514CB"/>
    <w:rsid w:val="00A5158B"/>
    <w:rsid w:val="00A5168A"/>
    <w:rsid w:val="00A5173A"/>
    <w:rsid w:val="00A5179F"/>
    <w:rsid w:val="00A517E8"/>
    <w:rsid w:val="00A51835"/>
    <w:rsid w:val="00A51870"/>
    <w:rsid w:val="00A51E91"/>
    <w:rsid w:val="00A521E9"/>
    <w:rsid w:val="00A52331"/>
    <w:rsid w:val="00A5251F"/>
    <w:rsid w:val="00A525CD"/>
    <w:rsid w:val="00A527C8"/>
    <w:rsid w:val="00A5284F"/>
    <w:rsid w:val="00A52E03"/>
    <w:rsid w:val="00A53395"/>
    <w:rsid w:val="00A53489"/>
    <w:rsid w:val="00A534FE"/>
    <w:rsid w:val="00A5351C"/>
    <w:rsid w:val="00A536AC"/>
    <w:rsid w:val="00A53859"/>
    <w:rsid w:val="00A53883"/>
    <w:rsid w:val="00A5394D"/>
    <w:rsid w:val="00A53B79"/>
    <w:rsid w:val="00A53BDF"/>
    <w:rsid w:val="00A53BEE"/>
    <w:rsid w:val="00A53E4C"/>
    <w:rsid w:val="00A53E54"/>
    <w:rsid w:val="00A53EAF"/>
    <w:rsid w:val="00A53F36"/>
    <w:rsid w:val="00A53FB9"/>
    <w:rsid w:val="00A54058"/>
    <w:rsid w:val="00A5419B"/>
    <w:rsid w:val="00A544D6"/>
    <w:rsid w:val="00A5455E"/>
    <w:rsid w:val="00A5470E"/>
    <w:rsid w:val="00A54B98"/>
    <w:rsid w:val="00A54C35"/>
    <w:rsid w:val="00A54F42"/>
    <w:rsid w:val="00A54F87"/>
    <w:rsid w:val="00A551AF"/>
    <w:rsid w:val="00A553D7"/>
    <w:rsid w:val="00A5544E"/>
    <w:rsid w:val="00A557E5"/>
    <w:rsid w:val="00A5584D"/>
    <w:rsid w:val="00A5597F"/>
    <w:rsid w:val="00A55C3B"/>
    <w:rsid w:val="00A55C83"/>
    <w:rsid w:val="00A55C9E"/>
    <w:rsid w:val="00A55D9A"/>
    <w:rsid w:val="00A55E6A"/>
    <w:rsid w:val="00A55EE7"/>
    <w:rsid w:val="00A55F10"/>
    <w:rsid w:val="00A55F5C"/>
    <w:rsid w:val="00A5619B"/>
    <w:rsid w:val="00A562FB"/>
    <w:rsid w:val="00A56772"/>
    <w:rsid w:val="00A56782"/>
    <w:rsid w:val="00A569BE"/>
    <w:rsid w:val="00A56A25"/>
    <w:rsid w:val="00A56B2D"/>
    <w:rsid w:val="00A56B95"/>
    <w:rsid w:val="00A56EA9"/>
    <w:rsid w:val="00A5701B"/>
    <w:rsid w:val="00A572A6"/>
    <w:rsid w:val="00A573A4"/>
    <w:rsid w:val="00A573A6"/>
    <w:rsid w:val="00A57498"/>
    <w:rsid w:val="00A5755B"/>
    <w:rsid w:val="00A57572"/>
    <w:rsid w:val="00A57AA5"/>
    <w:rsid w:val="00A57ABE"/>
    <w:rsid w:val="00A57B7A"/>
    <w:rsid w:val="00A57B97"/>
    <w:rsid w:val="00A57C2E"/>
    <w:rsid w:val="00A57CB4"/>
    <w:rsid w:val="00A57D14"/>
    <w:rsid w:val="00A57D54"/>
    <w:rsid w:val="00A57D81"/>
    <w:rsid w:val="00A57DE3"/>
    <w:rsid w:val="00A57E55"/>
    <w:rsid w:val="00A57EB8"/>
    <w:rsid w:val="00A57ECE"/>
    <w:rsid w:val="00A57FA8"/>
    <w:rsid w:val="00A57FAB"/>
    <w:rsid w:val="00A602F7"/>
    <w:rsid w:val="00A6038B"/>
    <w:rsid w:val="00A607A3"/>
    <w:rsid w:val="00A60B5C"/>
    <w:rsid w:val="00A60C9A"/>
    <w:rsid w:val="00A60D77"/>
    <w:rsid w:val="00A60DB6"/>
    <w:rsid w:val="00A60E20"/>
    <w:rsid w:val="00A61132"/>
    <w:rsid w:val="00A611F3"/>
    <w:rsid w:val="00A61246"/>
    <w:rsid w:val="00A6127A"/>
    <w:rsid w:val="00A61326"/>
    <w:rsid w:val="00A613D2"/>
    <w:rsid w:val="00A61512"/>
    <w:rsid w:val="00A618BB"/>
    <w:rsid w:val="00A6195A"/>
    <w:rsid w:val="00A61A37"/>
    <w:rsid w:val="00A61C3B"/>
    <w:rsid w:val="00A61D2D"/>
    <w:rsid w:val="00A61DE6"/>
    <w:rsid w:val="00A61DFD"/>
    <w:rsid w:val="00A61FE4"/>
    <w:rsid w:val="00A6207A"/>
    <w:rsid w:val="00A620A5"/>
    <w:rsid w:val="00A620B2"/>
    <w:rsid w:val="00A6257E"/>
    <w:rsid w:val="00A627EA"/>
    <w:rsid w:val="00A6290A"/>
    <w:rsid w:val="00A62A6C"/>
    <w:rsid w:val="00A62B01"/>
    <w:rsid w:val="00A62F1F"/>
    <w:rsid w:val="00A62FDE"/>
    <w:rsid w:val="00A630D0"/>
    <w:rsid w:val="00A6329A"/>
    <w:rsid w:val="00A633B4"/>
    <w:rsid w:val="00A63510"/>
    <w:rsid w:val="00A635C2"/>
    <w:rsid w:val="00A636D7"/>
    <w:rsid w:val="00A637EF"/>
    <w:rsid w:val="00A638FE"/>
    <w:rsid w:val="00A639FB"/>
    <w:rsid w:val="00A63EC3"/>
    <w:rsid w:val="00A63FAE"/>
    <w:rsid w:val="00A63FE2"/>
    <w:rsid w:val="00A641B8"/>
    <w:rsid w:val="00A6453D"/>
    <w:rsid w:val="00A64714"/>
    <w:rsid w:val="00A64762"/>
    <w:rsid w:val="00A64771"/>
    <w:rsid w:val="00A647AD"/>
    <w:rsid w:val="00A64A30"/>
    <w:rsid w:val="00A64DC2"/>
    <w:rsid w:val="00A64DDC"/>
    <w:rsid w:val="00A64E31"/>
    <w:rsid w:val="00A64F74"/>
    <w:rsid w:val="00A65124"/>
    <w:rsid w:val="00A654E2"/>
    <w:rsid w:val="00A657CB"/>
    <w:rsid w:val="00A65938"/>
    <w:rsid w:val="00A65987"/>
    <w:rsid w:val="00A65B0D"/>
    <w:rsid w:val="00A65B1B"/>
    <w:rsid w:val="00A65CAA"/>
    <w:rsid w:val="00A65CC5"/>
    <w:rsid w:val="00A65F31"/>
    <w:rsid w:val="00A65FCD"/>
    <w:rsid w:val="00A661E9"/>
    <w:rsid w:val="00A662DD"/>
    <w:rsid w:val="00A66397"/>
    <w:rsid w:val="00A663CB"/>
    <w:rsid w:val="00A6656F"/>
    <w:rsid w:val="00A665E6"/>
    <w:rsid w:val="00A66623"/>
    <w:rsid w:val="00A6662E"/>
    <w:rsid w:val="00A667F2"/>
    <w:rsid w:val="00A66AE1"/>
    <w:rsid w:val="00A66B39"/>
    <w:rsid w:val="00A66DDD"/>
    <w:rsid w:val="00A67145"/>
    <w:rsid w:val="00A67318"/>
    <w:rsid w:val="00A6733B"/>
    <w:rsid w:val="00A67394"/>
    <w:rsid w:val="00A677D0"/>
    <w:rsid w:val="00A67843"/>
    <w:rsid w:val="00A6784C"/>
    <w:rsid w:val="00A678F1"/>
    <w:rsid w:val="00A67C72"/>
    <w:rsid w:val="00A67C7D"/>
    <w:rsid w:val="00A67DA0"/>
    <w:rsid w:val="00A67DB9"/>
    <w:rsid w:val="00A67DF9"/>
    <w:rsid w:val="00A67E7F"/>
    <w:rsid w:val="00A70047"/>
    <w:rsid w:val="00A70147"/>
    <w:rsid w:val="00A70248"/>
    <w:rsid w:val="00A70544"/>
    <w:rsid w:val="00A705FF"/>
    <w:rsid w:val="00A70601"/>
    <w:rsid w:val="00A7063D"/>
    <w:rsid w:val="00A706A7"/>
    <w:rsid w:val="00A7079D"/>
    <w:rsid w:val="00A707E7"/>
    <w:rsid w:val="00A708DD"/>
    <w:rsid w:val="00A7095B"/>
    <w:rsid w:val="00A709E4"/>
    <w:rsid w:val="00A70B13"/>
    <w:rsid w:val="00A70BAF"/>
    <w:rsid w:val="00A70ECD"/>
    <w:rsid w:val="00A713E9"/>
    <w:rsid w:val="00A71486"/>
    <w:rsid w:val="00A716F5"/>
    <w:rsid w:val="00A71760"/>
    <w:rsid w:val="00A717FF"/>
    <w:rsid w:val="00A7183C"/>
    <w:rsid w:val="00A718BC"/>
    <w:rsid w:val="00A71937"/>
    <w:rsid w:val="00A71A94"/>
    <w:rsid w:val="00A71A9B"/>
    <w:rsid w:val="00A71AA2"/>
    <w:rsid w:val="00A71CF9"/>
    <w:rsid w:val="00A71D68"/>
    <w:rsid w:val="00A71EA8"/>
    <w:rsid w:val="00A72171"/>
    <w:rsid w:val="00A72184"/>
    <w:rsid w:val="00A721CD"/>
    <w:rsid w:val="00A7233F"/>
    <w:rsid w:val="00A724DC"/>
    <w:rsid w:val="00A725FE"/>
    <w:rsid w:val="00A7269D"/>
    <w:rsid w:val="00A7277C"/>
    <w:rsid w:val="00A727CE"/>
    <w:rsid w:val="00A7293D"/>
    <w:rsid w:val="00A72A5F"/>
    <w:rsid w:val="00A72BFA"/>
    <w:rsid w:val="00A72CD5"/>
    <w:rsid w:val="00A72EC6"/>
    <w:rsid w:val="00A731CD"/>
    <w:rsid w:val="00A731EA"/>
    <w:rsid w:val="00A73323"/>
    <w:rsid w:val="00A733F3"/>
    <w:rsid w:val="00A7342C"/>
    <w:rsid w:val="00A73564"/>
    <w:rsid w:val="00A735C3"/>
    <w:rsid w:val="00A739CE"/>
    <w:rsid w:val="00A739FB"/>
    <w:rsid w:val="00A73A4A"/>
    <w:rsid w:val="00A73B18"/>
    <w:rsid w:val="00A73C88"/>
    <w:rsid w:val="00A73D16"/>
    <w:rsid w:val="00A73E95"/>
    <w:rsid w:val="00A73F16"/>
    <w:rsid w:val="00A740C3"/>
    <w:rsid w:val="00A7421C"/>
    <w:rsid w:val="00A742F4"/>
    <w:rsid w:val="00A743B9"/>
    <w:rsid w:val="00A74479"/>
    <w:rsid w:val="00A745D5"/>
    <w:rsid w:val="00A74652"/>
    <w:rsid w:val="00A747A7"/>
    <w:rsid w:val="00A748E3"/>
    <w:rsid w:val="00A748EC"/>
    <w:rsid w:val="00A74938"/>
    <w:rsid w:val="00A74B28"/>
    <w:rsid w:val="00A74C24"/>
    <w:rsid w:val="00A74CFC"/>
    <w:rsid w:val="00A74D44"/>
    <w:rsid w:val="00A74E70"/>
    <w:rsid w:val="00A74E78"/>
    <w:rsid w:val="00A74F14"/>
    <w:rsid w:val="00A75157"/>
    <w:rsid w:val="00A7540D"/>
    <w:rsid w:val="00A75422"/>
    <w:rsid w:val="00A75483"/>
    <w:rsid w:val="00A7563B"/>
    <w:rsid w:val="00A75687"/>
    <w:rsid w:val="00A75696"/>
    <w:rsid w:val="00A757D8"/>
    <w:rsid w:val="00A75969"/>
    <w:rsid w:val="00A7599C"/>
    <w:rsid w:val="00A75A05"/>
    <w:rsid w:val="00A75A35"/>
    <w:rsid w:val="00A75B41"/>
    <w:rsid w:val="00A75C69"/>
    <w:rsid w:val="00A75CBD"/>
    <w:rsid w:val="00A75D2C"/>
    <w:rsid w:val="00A75EA7"/>
    <w:rsid w:val="00A75F5B"/>
    <w:rsid w:val="00A760F0"/>
    <w:rsid w:val="00A76305"/>
    <w:rsid w:val="00A764E5"/>
    <w:rsid w:val="00A7654F"/>
    <w:rsid w:val="00A7679D"/>
    <w:rsid w:val="00A767C7"/>
    <w:rsid w:val="00A76810"/>
    <w:rsid w:val="00A7691B"/>
    <w:rsid w:val="00A7692E"/>
    <w:rsid w:val="00A76B05"/>
    <w:rsid w:val="00A76E0D"/>
    <w:rsid w:val="00A76EF7"/>
    <w:rsid w:val="00A76F0E"/>
    <w:rsid w:val="00A77118"/>
    <w:rsid w:val="00A7736B"/>
    <w:rsid w:val="00A77584"/>
    <w:rsid w:val="00A7772B"/>
    <w:rsid w:val="00A77962"/>
    <w:rsid w:val="00A779D7"/>
    <w:rsid w:val="00A77B01"/>
    <w:rsid w:val="00A77C2F"/>
    <w:rsid w:val="00A77D05"/>
    <w:rsid w:val="00A77EF1"/>
    <w:rsid w:val="00A80346"/>
    <w:rsid w:val="00A803B6"/>
    <w:rsid w:val="00A8060C"/>
    <w:rsid w:val="00A8083C"/>
    <w:rsid w:val="00A808D8"/>
    <w:rsid w:val="00A80934"/>
    <w:rsid w:val="00A80999"/>
    <w:rsid w:val="00A80B62"/>
    <w:rsid w:val="00A80B67"/>
    <w:rsid w:val="00A80BFA"/>
    <w:rsid w:val="00A80C48"/>
    <w:rsid w:val="00A80C82"/>
    <w:rsid w:val="00A80CCE"/>
    <w:rsid w:val="00A80EEB"/>
    <w:rsid w:val="00A81002"/>
    <w:rsid w:val="00A811D4"/>
    <w:rsid w:val="00A81377"/>
    <w:rsid w:val="00A81472"/>
    <w:rsid w:val="00A814B9"/>
    <w:rsid w:val="00A81517"/>
    <w:rsid w:val="00A81544"/>
    <w:rsid w:val="00A815C7"/>
    <w:rsid w:val="00A81870"/>
    <w:rsid w:val="00A81A2D"/>
    <w:rsid w:val="00A81AB9"/>
    <w:rsid w:val="00A81B60"/>
    <w:rsid w:val="00A81B7D"/>
    <w:rsid w:val="00A81D62"/>
    <w:rsid w:val="00A81E6A"/>
    <w:rsid w:val="00A81EAE"/>
    <w:rsid w:val="00A821D2"/>
    <w:rsid w:val="00A8226F"/>
    <w:rsid w:val="00A82370"/>
    <w:rsid w:val="00A8270D"/>
    <w:rsid w:val="00A827AB"/>
    <w:rsid w:val="00A827F7"/>
    <w:rsid w:val="00A8285D"/>
    <w:rsid w:val="00A8292C"/>
    <w:rsid w:val="00A829A3"/>
    <w:rsid w:val="00A82DAB"/>
    <w:rsid w:val="00A82DFE"/>
    <w:rsid w:val="00A82E59"/>
    <w:rsid w:val="00A82E7F"/>
    <w:rsid w:val="00A82FD2"/>
    <w:rsid w:val="00A8303D"/>
    <w:rsid w:val="00A830A6"/>
    <w:rsid w:val="00A83160"/>
    <w:rsid w:val="00A8318B"/>
    <w:rsid w:val="00A8365F"/>
    <w:rsid w:val="00A83693"/>
    <w:rsid w:val="00A83BF1"/>
    <w:rsid w:val="00A83C92"/>
    <w:rsid w:val="00A83E09"/>
    <w:rsid w:val="00A83F14"/>
    <w:rsid w:val="00A83F95"/>
    <w:rsid w:val="00A84068"/>
    <w:rsid w:val="00A84115"/>
    <w:rsid w:val="00A84257"/>
    <w:rsid w:val="00A84339"/>
    <w:rsid w:val="00A844C6"/>
    <w:rsid w:val="00A845FE"/>
    <w:rsid w:val="00A8486B"/>
    <w:rsid w:val="00A84877"/>
    <w:rsid w:val="00A848CF"/>
    <w:rsid w:val="00A8498D"/>
    <w:rsid w:val="00A84A54"/>
    <w:rsid w:val="00A84BC1"/>
    <w:rsid w:val="00A84DC5"/>
    <w:rsid w:val="00A85006"/>
    <w:rsid w:val="00A850E9"/>
    <w:rsid w:val="00A8512A"/>
    <w:rsid w:val="00A85277"/>
    <w:rsid w:val="00A85306"/>
    <w:rsid w:val="00A854C2"/>
    <w:rsid w:val="00A857A8"/>
    <w:rsid w:val="00A858B2"/>
    <w:rsid w:val="00A85969"/>
    <w:rsid w:val="00A85A4C"/>
    <w:rsid w:val="00A85A7B"/>
    <w:rsid w:val="00A85BE1"/>
    <w:rsid w:val="00A85C62"/>
    <w:rsid w:val="00A85EBF"/>
    <w:rsid w:val="00A85ECC"/>
    <w:rsid w:val="00A860AC"/>
    <w:rsid w:val="00A8622F"/>
    <w:rsid w:val="00A8643D"/>
    <w:rsid w:val="00A866F4"/>
    <w:rsid w:val="00A867C6"/>
    <w:rsid w:val="00A86806"/>
    <w:rsid w:val="00A86893"/>
    <w:rsid w:val="00A869D3"/>
    <w:rsid w:val="00A86A63"/>
    <w:rsid w:val="00A86D42"/>
    <w:rsid w:val="00A86E36"/>
    <w:rsid w:val="00A87030"/>
    <w:rsid w:val="00A8708E"/>
    <w:rsid w:val="00A872C1"/>
    <w:rsid w:val="00A8749C"/>
    <w:rsid w:val="00A87534"/>
    <w:rsid w:val="00A87660"/>
    <w:rsid w:val="00A876B8"/>
    <w:rsid w:val="00A87A06"/>
    <w:rsid w:val="00A87AFE"/>
    <w:rsid w:val="00A87B1F"/>
    <w:rsid w:val="00A87B40"/>
    <w:rsid w:val="00A87C22"/>
    <w:rsid w:val="00A87D04"/>
    <w:rsid w:val="00A87D6B"/>
    <w:rsid w:val="00A87EA4"/>
    <w:rsid w:val="00A87EF6"/>
    <w:rsid w:val="00A90091"/>
    <w:rsid w:val="00A900BE"/>
    <w:rsid w:val="00A90160"/>
    <w:rsid w:val="00A901BC"/>
    <w:rsid w:val="00A9085E"/>
    <w:rsid w:val="00A9095E"/>
    <w:rsid w:val="00A90A4B"/>
    <w:rsid w:val="00A90A55"/>
    <w:rsid w:val="00A90AA1"/>
    <w:rsid w:val="00A90C29"/>
    <w:rsid w:val="00A90D06"/>
    <w:rsid w:val="00A90D73"/>
    <w:rsid w:val="00A90F54"/>
    <w:rsid w:val="00A9108A"/>
    <w:rsid w:val="00A91279"/>
    <w:rsid w:val="00A9133F"/>
    <w:rsid w:val="00A91488"/>
    <w:rsid w:val="00A91648"/>
    <w:rsid w:val="00A9165A"/>
    <w:rsid w:val="00A918E3"/>
    <w:rsid w:val="00A919B2"/>
    <w:rsid w:val="00A919E8"/>
    <w:rsid w:val="00A91A98"/>
    <w:rsid w:val="00A91AC5"/>
    <w:rsid w:val="00A91B56"/>
    <w:rsid w:val="00A91BD5"/>
    <w:rsid w:val="00A91BF8"/>
    <w:rsid w:val="00A91CBF"/>
    <w:rsid w:val="00A91E45"/>
    <w:rsid w:val="00A91F44"/>
    <w:rsid w:val="00A91F8D"/>
    <w:rsid w:val="00A91FDE"/>
    <w:rsid w:val="00A92365"/>
    <w:rsid w:val="00A923E0"/>
    <w:rsid w:val="00A923F4"/>
    <w:rsid w:val="00A9249D"/>
    <w:rsid w:val="00A924AD"/>
    <w:rsid w:val="00A924BB"/>
    <w:rsid w:val="00A92652"/>
    <w:rsid w:val="00A92720"/>
    <w:rsid w:val="00A92837"/>
    <w:rsid w:val="00A92A0A"/>
    <w:rsid w:val="00A92BAA"/>
    <w:rsid w:val="00A92E8F"/>
    <w:rsid w:val="00A92EA3"/>
    <w:rsid w:val="00A92EA6"/>
    <w:rsid w:val="00A930DC"/>
    <w:rsid w:val="00A93112"/>
    <w:rsid w:val="00A932C4"/>
    <w:rsid w:val="00A93361"/>
    <w:rsid w:val="00A9342D"/>
    <w:rsid w:val="00A93630"/>
    <w:rsid w:val="00A938A2"/>
    <w:rsid w:val="00A9399B"/>
    <w:rsid w:val="00A93A66"/>
    <w:rsid w:val="00A93A77"/>
    <w:rsid w:val="00A93B88"/>
    <w:rsid w:val="00A93BBD"/>
    <w:rsid w:val="00A93CEB"/>
    <w:rsid w:val="00A93F6E"/>
    <w:rsid w:val="00A93FFA"/>
    <w:rsid w:val="00A94066"/>
    <w:rsid w:val="00A940F5"/>
    <w:rsid w:val="00A94119"/>
    <w:rsid w:val="00A94143"/>
    <w:rsid w:val="00A94168"/>
    <w:rsid w:val="00A94315"/>
    <w:rsid w:val="00A943DC"/>
    <w:rsid w:val="00A944A5"/>
    <w:rsid w:val="00A94594"/>
    <w:rsid w:val="00A9492D"/>
    <w:rsid w:val="00A949D5"/>
    <w:rsid w:val="00A94B25"/>
    <w:rsid w:val="00A94B79"/>
    <w:rsid w:val="00A94D16"/>
    <w:rsid w:val="00A94DFE"/>
    <w:rsid w:val="00A94E66"/>
    <w:rsid w:val="00A950B8"/>
    <w:rsid w:val="00A950ED"/>
    <w:rsid w:val="00A95381"/>
    <w:rsid w:val="00A95470"/>
    <w:rsid w:val="00A9549F"/>
    <w:rsid w:val="00A95556"/>
    <w:rsid w:val="00A9574A"/>
    <w:rsid w:val="00A95900"/>
    <w:rsid w:val="00A95948"/>
    <w:rsid w:val="00A95B76"/>
    <w:rsid w:val="00A95C10"/>
    <w:rsid w:val="00A960C6"/>
    <w:rsid w:val="00A960E1"/>
    <w:rsid w:val="00A96103"/>
    <w:rsid w:val="00A9620E"/>
    <w:rsid w:val="00A963B9"/>
    <w:rsid w:val="00A965F2"/>
    <w:rsid w:val="00A96626"/>
    <w:rsid w:val="00A96884"/>
    <w:rsid w:val="00A96892"/>
    <w:rsid w:val="00A968F8"/>
    <w:rsid w:val="00A96A06"/>
    <w:rsid w:val="00A96BFE"/>
    <w:rsid w:val="00A96CBE"/>
    <w:rsid w:val="00A96E9B"/>
    <w:rsid w:val="00A96FD8"/>
    <w:rsid w:val="00A970CB"/>
    <w:rsid w:val="00A971F9"/>
    <w:rsid w:val="00A97263"/>
    <w:rsid w:val="00A97283"/>
    <w:rsid w:val="00A9763A"/>
    <w:rsid w:val="00A978C0"/>
    <w:rsid w:val="00A9795D"/>
    <w:rsid w:val="00A97C50"/>
    <w:rsid w:val="00A97CA1"/>
    <w:rsid w:val="00A97E08"/>
    <w:rsid w:val="00A97EB7"/>
    <w:rsid w:val="00A97EF6"/>
    <w:rsid w:val="00A97FB4"/>
    <w:rsid w:val="00AA0033"/>
    <w:rsid w:val="00AA00C6"/>
    <w:rsid w:val="00AA0120"/>
    <w:rsid w:val="00AA017D"/>
    <w:rsid w:val="00AA01ED"/>
    <w:rsid w:val="00AA024F"/>
    <w:rsid w:val="00AA02DE"/>
    <w:rsid w:val="00AA0565"/>
    <w:rsid w:val="00AA05DD"/>
    <w:rsid w:val="00AA076A"/>
    <w:rsid w:val="00AA07B5"/>
    <w:rsid w:val="00AA0987"/>
    <w:rsid w:val="00AA0A55"/>
    <w:rsid w:val="00AA0B4F"/>
    <w:rsid w:val="00AA0BDB"/>
    <w:rsid w:val="00AA0D1B"/>
    <w:rsid w:val="00AA0E2B"/>
    <w:rsid w:val="00AA12FE"/>
    <w:rsid w:val="00AA1316"/>
    <w:rsid w:val="00AA1505"/>
    <w:rsid w:val="00AA162C"/>
    <w:rsid w:val="00AA1713"/>
    <w:rsid w:val="00AA19A4"/>
    <w:rsid w:val="00AA1A1A"/>
    <w:rsid w:val="00AA1A98"/>
    <w:rsid w:val="00AA1B9C"/>
    <w:rsid w:val="00AA1CB6"/>
    <w:rsid w:val="00AA1D48"/>
    <w:rsid w:val="00AA1E86"/>
    <w:rsid w:val="00AA1EC1"/>
    <w:rsid w:val="00AA1FD5"/>
    <w:rsid w:val="00AA2239"/>
    <w:rsid w:val="00AA2BC8"/>
    <w:rsid w:val="00AA2BD9"/>
    <w:rsid w:val="00AA2C6B"/>
    <w:rsid w:val="00AA2CF5"/>
    <w:rsid w:val="00AA2CFB"/>
    <w:rsid w:val="00AA2F3C"/>
    <w:rsid w:val="00AA2F9A"/>
    <w:rsid w:val="00AA30E5"/>
    <w:rsid w:val="00AA313E"/>
    <w:rsid w:val="00AA31E8"/>
    <w:rsid w:val="00AA32D4"/>
    <w:rsid w:val="00AA3303"/>
    <w:rsid w:val="00AA334E"/>
    <w:rsid w:val="00AA3379"/>
    <w:rsid w:val="00AA342A"/>
    <w:rsid w:val="00AA34B8"/>
    <w:rsid w:val="00AA34C0"/>
    <w:rsid w:val="00AA359B"/>
    <w:rsid w:val="00AA38D0"/>
    <w:rsid w:val="00AA3DAA"/>
    <w:rsid w:val="00AA4029"/>
    <w:rsid w:val="00AA4043"/>
    <w:rsid w:val="00AA40B6"/>
    <w:rsid w:val="00AA40D7"/>
    <w:rsid w:val="00AA4471"/>
    <w:rsid w:val="00AA4527"/>
    <w:rsid w:val="00AA4577"/>
    <w:rsid w:val="00AA470A"/>
    <w:rsid w:val="00AA492E"/>
    <w:rsid w:val="00AA49EC"/>
    <w:rsid w:val="00AA4B07"/>
    <w:rsid w:val="00AA4F37"/>
    <w:rsid w:val="00AA5285"/>
    <w:rsid w:val="00AA5292"/>
    <w:rsid w:val="00AA5417"/>
    <w:rsid w:val="00AA5465"/>
    <w:rsid w:val="00AA5493"/>
    <w:rsid w:val="00AA554A"/>
    <w:rsid w:val="00AA559A"/>
    <w:rsid w:val="00AA5615"/>
    <w:rsid w:val="00AA5B8B"/>
    <w:rsid w:val="00AA5C5B"/>
    <w:rsid w:val="00AA5D9E"/>
    <w:rsid w:val="00AA5DF6"/>
    <w:rsid w:val="00AA5E13"/>
    <w:rsid w:val="00AA5EF2"/>
    <w:rsid w:val="00AA5F34"/>
    <w:rsid w:val="00AA60FF"/>
    <w:rsid w:val="00AA6494"/>
    <w:rsid w:val="00AA668F"/>
    <w:rsid w:val="00AA6728"/>
    <w:rsid w:val="00AA676D"/>
    <w:rsid w:val="00AA67B6"/>
    <w:rsid w:val="00AA6B09"/>
    <w:rsid w:val="00AA703E"/>
    <w:rsid w:val="00AA7044"/>
    <w:rsid w:val="00AA7058"/>
    <w:rsid w:val="00AA7169"/>
    <w:rsid w:val="00AA739E"/>
    <w:rsid w:val="00AA73AB"/>
    <w:rsid w:val="00AA756C"/>
    <w:rsid w:val="00AA768B"/>
    <w:rsid w:val="00AA76CD"/>
    <w:rsid w:val="00AA7762"/>
    <w:rsid w:val="00AA78C7"/>
    <w:rsid w:val="00AA79C1"/>
    <w:rsid w:val="00AA7B47"/>
    <w:rsid w:val="00AB003A"/>
    <w:rsid w:val="00AB00D5"/>
    <w:rsid w:val="00AB0166"/>
    <w:rsid w:val="00AB0243"/>
    <w:rsid w:val="00AB06AE"/>
    <w:rsid w:val="00AB06FE"/>
    <w:rsid w:val="00AB0739"/>
    <w:rsid w:val="00AB088D"/>
    <w:rsid w:val="00AB097D"/>
    <w:rsid w:val="00AB09D9"/>
    <w:rsid w:val="00AB09DB"/>
    <w:rsid w:val="00AB0B3F"/>
    <w:rsid w:val="00AB0B7D"/>
    <w:rsid w:val="00AB0E89"/>
    <w:rsid w:val="00AB0EBF"/>
    <w:rsid w:val="00AB1132"/>
    <w:rsid w:val="00AB1174"/>
    <w:rsid w:val="00AB11A4"/>
    <w:rsid w:val="00AB124F"/>
    <w:rsid w:val="00AB16CF"/>
    <w:rsid w:val="00AB18C2"/>
    <w:rsid w:val="00AB1CA2"/>
    <w:rsid w:val="00AB1E96"/>
    <w:rsid w:val="00AB2034"/>
    <w:rsid w:val="00AB23F5"/>
    <w:rsid w:val="00AB2421"/>
    <w:rsid w:val="00AB2615"/>
    <w:rsid w:val="00AB2632"/>
    <w:rsid w:val="00AB2658"/>
    <w:rsid w:val="00AB2677"/>
    <w:rsid w:val="00AB28AF"/>
    <w:rsid w:val="00AB293A"/>
    <w:rsid w:val="00AB2950"/>
    <w:rsid w:val="00AB29B8"/>
    <w:rsid w:val="00AB2A9E"/>
    <w:rsid w:val="00AB2C69"/>
    <w:rsid w:val="00AB2CA4"/>
    <w:rsid w:val="00AB2D0F"/>
    <w:rsid w:val="00AB2F17"/>
    <w:rsid w:val="00AB2FF1"/>
    <w:rsid w:val="00AB3062"/>
    <w:rsid w:val="00AB3083"/>
    <w:rsid w:val="00AB310B"/>
    <w:rsid w:val="00AB32D1"/>
    <w:rsid w:val="00AB35ED"/>
    <w:rsid w:val="00AB3723"/>
    <w:rsid w:val="00AB383C"/>
    <w:rsid w:val="00AB3BD4"/>
    <w:rsid w:val="00AB3E11"/>
    <w:rsid w:val="00AB3F57"/>
    <w:rsid w:val="00AB4022"/>
    <w:rsid w:val="00AB4201"/>
    <w:rsid w:val="00AB4407"/>
    <w:rsid w:val="00AB44D4"/>
    <w:rsid w:val="00AB457A"/>
    <w:rsid w:val="00AB46E1"/>
    <w:rsid w:val="00AB4774"/>
    <w:rsid w:val="00AB47E7"/>
    <w:rsid w:val="00AB4817"/>
    <w:rsid w:val="00AB4961"/>
    <w:rsid w:val="00AB4BC8"/>
    <w:rsid w:val="00AB4D7F"/>
    <w:rsid w:val="00AB4DA9"/>
    <w:rsid w:val="00AB4EC4"/>
    <w:rsid w:val="00AB4EE2"/>
    <w:rsid w:val="00AB4F2A"/>
    <w:rsid w:val="00AB4F61"/>
    <w:rsid w:val="00AB4FE4"/>
    <w:rsid w:val="00AB5031"/>
    <w:rsid w:val="00AB51AA"/>
    <w:rsid w:val="00AB53F5"/>
    <w:rsid w:val="00AB542E"/>
    <w:rsid w:val="00AB543F"/>
    <w:rsid w:val="00AB5476"/>
    <w:rsid w:val="00AB5478"/>
    <w:rsid w:val="00AB55C6"/>
    <w:rsid w:val="00AB563E"/>
    <w:rsid w:val="00AB56F5"/>
    <w:rsid w:val="00AB575E"/>
    <w:rsid w:val="00AB578A"/>
    <w:rsid w:val="00AB58B3"/>
    <w:rsid w:val="00AB58BA"/>
    <w:rsid w:val="00AB5988"/>
    <w:rsid w:val="00AB598A"/>
    <w:rsid w:val="00AB5995"/>
    <w:rsid w:val="00AB5A6E"/>
    <w:rsid w:val="00AB5B90"/>
    <w:rsid w:val="00AB5C1B"/>
    <w:rsid w:val="00AB5E50"/>
    <w:rsid w:val="00AB6164"/>
    <w:rsid w:val="00AB6216"/>
    <w:rsid w:val="00AB6343"/>
    <w:rsid w:val="00AB6421"/>
    <w:rsid w:val="00AB642F"/>
    <w:rsid w:val="00AB6462"/>
    <w:rsid w:val="00AB6683"/>
    <w:rsid w:val="00AB6702"/>
    <w:rsid w:val="00AB6805"/>
    <w:rsid w:val="00AB68A5"/>
    <w:rsid w:val="00AB697F"/>
    <w:rsid w:val="00AB6A94"/>
    <w:rsid w:val="00AB6B4C"/>
    <w:rsid w:val="00AB6E2B"/>
    <w:rsid w:val="00AB6E4E"/>
    <w:rsid w:val="00AB6EDE"/>
    <w:rsid w:val="00AB6FE3"/>
    <w:rsid w:val="00AB71A1"/>
    <w:rsid w:val="00AB71D9"/>
    <w:rsid w:val="00AB7397"/>
    <w:rsid w:val="00AB742A"/>
    <w:rsid w:val="00AB747B"/>
    <w:rsid w:val="00AB7695"/>
    <w:rsid w:val="00AB76C0"/>
    <w:rsid w:val="00AB76EA"/>
    <w:rsid w:val="00AB773C"/>
    <w:rsid w:val="00AB77A9"/>
    <w:rsid w:val="00AB78BF"/>
    <w:rsid w:val="00AB7A99"/>
    <w:rsid w:val="00AB7A9C"/>
    <w:rsid w:val="00AB7B62"/>
    <w:rsid w:val="00AB7B9C"/>
    <w:rsid w:val="00AB7BE8"/>
    <w:rsid w:val="00AB7EDA"/>
    <w:rsid w:val="00AB7EF7"/>
    <w:rsid w:val="00AB7F90"/>
    <w:rsid w:val="00AC0012"/>
    <w:rsid w:val="00AC0190"/>
    <w:rsid w:val="00AC0343"/>
    <w:rsid w:val="00AC0502"/>
    <w:rsid w:val="00AC07BC"/>
    <w:rsid w:val="00AC0D98"/>
    <w:rsid w:val="00AC0E5D"/>
    <w:rsid w:val="00AC0F77"/>
    <w:rsid w:val="00AC101D"/>
    <w:rsid w:val="00AC1097"/>
    <w:rsid w:val="00AC14A4"/>
    <w:rsid w:val="00AC14C2"/>
    <w:rsid w:val="00AC14DB"/>
    <w:rsid w:val="00AC14E2"/>
    <w:rsid w:val="00AC1527"/>
    <w:rsid w:val="00AC16D7"/>
    <w:rsid w:val="00AC1788"/>
    <w:rsid w:val="00AC17F2"/>
    <w:rsid w:val="00AC1831"/>
    <w:rsid w:val="00AC18E6"/>
    <w:rsid w:val="00AC196A"/>
    <w:rsid w:val="00AC1C87"/>
    <w:rsid w:val="00AC1DB9"/>
    <w:rsid w:val="00AC21B6"/>
    <w:rsid w:val="00AC22A8"/>
    <w:rsid w:val="00AC2434"/>
    <w:rsid w:val="00AC256A"/>
    <w:rsid w:val="00AC259B"/>
    <w:rsid w:val="00AC2787"/>
    <w:rsid w:val="00AC28AE"/>
    <w:rsid w:val="00AC297C"/>
    <w:rsid w:val="00AC29BA"/>
    <w:rsid w:val="00AC2AA8"/>
    <w:rsid w:val="00AC2B7A"/>
    <w:rsid w:val="00AC2BE1"/>
    <w:rsid w:val="00AC2C60"/>
    <w:rsid w:val="00AC306B"/>
    <w:rsid w:val="00AC31E7"/>
    <w:rsid w:val="00AC3267"/>
    <w:rsid w:val="00AC337B"/>
    <w:rsid w:val="00AC3663"/>
    <w:rsid w:val="00AC3792"/>
    <w:rsid w:val="00AC37DC"/>
    <w:rsid w:val="00AC3812"/>
    <w:rsid w:val="00AC39A2"/>
    <w:rsid w:val="00AC39F6"/>
    <w:rsid w:val="00AC3D9E"/>
    <w:rsid w:val="00AC3DA3"/>
    <w:rsid w:val="00AC3E0B"/>
    <w:rsid w:val="00AC4189"/>
    <w:rsid w:val="00AC41EE"/>
    <w:rsid w:val="00AC422B"/>
    <w:rsid w:val="00AC42D4"/>
    <w:rsid w:val="00AC481B"/>
    <w:rsid w:val="00AC4A08"/>
    <w:rsid w:val="00AC4AB1"/>
    <w:rsid w:val="00AC4AF3"/>
    <w:rsid w:val="00AC4B90"/>
    <w:rsid w:val="00AC4C23"/>
    <w:rsid w:val="00AC4DEC"/>
    <w:rsid w:val="00AC4EA0"/>
    <w:rsid w:val="00AC507D"/>
    <w:rsid w:val="00AC5094"/>
    <w:rsid w:val="00AC52DD"/>
    <w:rsid w:val="00AC558F"/>
    <w:rsid w:val="00AC5603"/>
    <w:rsid w:val="00AC5692"/>
    <w:rsid w:val="00AC5A44"/>
    <w:rsid w:val="00AC5A7A"/>
    <w:rsid w:val="00AC5AD1"/>
    <w:rsid w:val="00AC5ADA"/>
    <w:rsid w:val="00AC5B3B"/>
    <w:rsid w:val="00AC5C0D"/>
    <w:rsid w:val="00AC5C85"/>
    <w:rsid w:val="00AC5E35"/>
    <w:rsid w:val="00AC5F30"/>
    <w:rsid w:val="00AC60C3"/>
    <w:rsid w:val="00AC6294"/>
    <w:rsid w:val="00AC6479"/>
    <w:rsid w:val="00AC64CB"/>
    <w:rsid w:val="00AC6571"/>
    <w:rsid w:val="00AC65F9"/>
    <w:rsid w:val="00AC688D"/>
    <w:rsid w:val="00AC69F3"/>
    <w:rsid w:val="00AC6C19"/>
    <w:rsid w:val="00AC6D76"/>
    <w:rsid w:val="00AC6F5A"/>
    <w:rsid w:val="00AC7021"/>
    <w:rsid w:val="00AC70CA"/>
    <w:rsid w:val="00AC7202"/>
    <w:rsid w:val="00AC7261"/>
    <w:rsid w:val="00AC72CE"/>
    <w:rsid w:val="00AC7332"/>
    <w:rsid w:val="00AC7720"/>
    <w:rsid w:val="00AC796E"/>
    <w:rsid w:val="00AC7BA8"/>
    <w:rsid w:val="00AC7F4B"/>
    <w:rsid w:val="00AC7FA2"/>
    <w:rsid w:val="00AC7FEE"/>
    <w:rsid w:val="00AD0104"/>
    <w:rsid w:val="00AD0223"/>
    <w:rsid w:val="00AD02F7"/>
    <w:rsid w:val="00AD039F"/>
    <w:rsid w:val="00AD03F3"/>
    <w:rsid w:val="00AD04A1"/>
    <w:rsid w:val="00AD077A"/>
    <w:rsid w:val="00AD09B7"/>
    <w:rsid w:val="00AD0D71"/>
    <w:rsid w:val="00AD1020"/>
    <w:rsid w:val="00AD103E"/>
    <w:rsid w:val="00AD10E9"/>
    <w:rsid w:val="00AD125A"/>
    <w:rsid w:val="00AD1467"/>
    <w:rsid w:val="00AD163E"/>
    <w:rsid w:val="00AD1666"/>
    <w:rsid w:val="00AD167F"/>
    <w:rsid w:val="00AD16EA"/>
    <w:rsid w:val="00AD1799"/>
    <w:rsid w:val="00AD18B5"/>
    <w:rsid w:val="00AD19D3"/>
    <w:rsid w:val="00AD19E7"/>
    <w:rsid w:val="00AD1C91"/>
    <w:rsid w:val="00AD1CE4"/>
    <w:rsid w:val="00AD1D96"/>
    <w:rsid w:val="00AD1E54"/>
    <w:rsid w:val="00AD1E75"/>
    <w:rsid w:val="00AD1F5B"/>
    <w:rsid w:val="00AD20A7"/>
    <w:rsid w:val="00AD2117"/>
    <w:rsid w:val="00AD2360"/>
    <w:rsid w:val="00AD24D1"/>
    <w:rsid w:val="00AD259F"/>
    <w:rsid w:val="00AD25B8"/>
    <w:rsid w:val="00AD26B0"/>
    <w:rsid w:val="00AD2809"/>
    <w:rsid w:val="00AD296B"/>
    <w:rsid w:val="00AD2A25"/>
    <w:rsid w:val="00AD2BBB"/>
    <w:rsid w:val="00AD2DBB"/>
    <w:rsid w:val="00AD2DBC"/>
    <w:rsid w:val="00AD2FB4"/>
    <w:rsid w:val="00AD317A"/>
    <w:rsid w:val="00AD3221"/>
    <w:rsid w:val="00AD3342"/>
    <w:rsid w:val="00AD33A0"/>
    <w:rsid w:val="00AD34EA"/>
    <w:rsid w:val="00AD35A5"/>
    <w:rsid w:val="00AD35D7"/>
    <w:rsid w:val="00AD35DC"/>
    <w:rsid w:val="00AD36A0"/>
    <w:rsid w:val="00AD3879"/>
    <w:rsid w:val="00AD39C7"/>
    <w:rsid w:val="00AD39CA"/>
    <w:rsid w:val="00AD39FE"/>
    <w:rsid w:val="00AD3BDF"/>
    <w:rsid w:val="00AD3C58"/>
    <w:rsid w:val="00AD3CA7"/>
    <w:rsid w:val="00AD3CCA"/>
    <w:rsid w:val="00AD407F"/>
    <w:rsid w:val="00AD42D2"/>
    <w:rsid w:val="00AD43E7"/>
    <w:rsid w:val="00AD45BE"/>
    <w:rsid w:val="00AD46D5"/>
    <w:rsid w:val="00AD486F"/>
    <w:rsid w:val="00AD4A0F"/>
    <w:rsid w:val="00AD4C84"/>
    <w:rsid w:val="00AD4F26"/>
    <w:rsid w:val="00AD4F72"/>
    <w:rsid w:val="00AD5019"/>
    <w:rsid w:val="00AD533D"/>
    <w:rsid w:val="00AD5394"/>
    <w:rsid w:val="00AD5585"/>
    <w:rsid w:val="00AD56CE"/>
    <w:rsid w:val="00AD56F1"/>
    <w:rsid w:val="00AD58E8"/>
    <w:rsid w:val="00AD60C2"/>
    <w:rsid w:val="00AD6143"/>
    <w:rsid w:val="00AD6284"/>
    <w:rsid w:val="00AD6294"/>
    <w:rsid w:val="00AD646A"/>
    <w:rsid w:val="00AD64B6"/>
    <w:rsid w:val="00AD65BB"/>
    <w:rsid w:val="00AD660A"/>
    <w:rsid w:val="00AD679D"/>
    <w:rsid w:val="00AD67C2"/>
    <w:rsid w:val="00AD6828"/>
    <w:rsid w:val="00AD6A32"/>
    <w:rsid w:val="00AD6AA4"/>
    <w:rsid w:val="00AD6B1E"/>
    <w:rsid w:val="00AD6CB6"/>
    <w:rsid w:val="00AD6D67"/>
    <w:rsid w:val="00AD6D68"/>
    <w:rsid w:val="00AD6E5A"/>
    <w:rsid w:val="00AD6EA3"/>
    <w:rsid w:val="00AD6FC5"/>
    <w:rsid w:val="00AD7131"/>
    <w:rsid w:val="00AD72B1"/>
    <w:rsid w:val="00AD7332"/>
    <w:rsid w:val="00AD73EA"/>
    <w:rsid w:val="00AD7416"/>
    <w:rsid w:val="00AD74E4"/>
    <w:rsid w:val="00AD755B"/>
    <w:rsid w:val="00AD761E"/>
    <w:rsid w:val="00AD76AE"/>
    <w:rsid w:val="00AD770B"/>
    <w:rsid w:val="00AD79D2"/>
    <w:rsid w:val="00AD7D21"/>
    <w:rsid w:val="00AD7D3F"/>
    <w:rsid w:val="00AD7D99"/>
    <w:rsid w:val="00AD7DC5"/>
    <w:rsid w:val="00AD7DC7"/>
    <w:rsid w:val="00AD7FA0"/>
    <w:rsid w:val="00AE0045"/>
    <w:rsid w:val="00AE0050"/>
    <w:rsid w:val="00AE0063"/>
    <w:rsid w:val="00AE0144"/>
    <w:rsid w:val="00AE0212"/>
    <w:rsid w:val="00AE025E"/>
    <w:rsid w:val="00AE0288"/>
    <w:rsid w:val="00AE0289"/>
    <w:rsid w:val="00AE03FB"/>
    <w:rsid w:val="00AE05F5"/>
    <w:rsid w:val="00AE0702"/>
    <w:rsid w:val="00AE074B"/>
    <w:rsid w:val="00AE07C5"/>
    <w:rsid w:val="00AE0A2A"/>
    <w:rsid w:val="00AE0A3F"/>
    <w:rsid w:val="00AE0D24"/>
    <w:rsid w:val="00AE0F1E"/>
    <w:rsid w:val="00AE107B"/>
    <w:rsid w:val="00AE10EA"/>
    <w:rsid w:val="00AE1159"/>
    <w:rsid w:val="00AE11CC"/>
    <w:rsid w:val="00AE15B1"/>
    <w:rsid w:val="00AE1727"/>
    <w:rsid w:val="00AE1878"/>
    <w:rsid w:val="00AE1CA2"/>
    <w:rsid w:val="00AE1E0F"/>
    <w:rsid w:val="00AE1FED"/>
    <w:rsid w:val="00AE20AD"/>
    <w:rsid w:val="00AE20E8"/>
    <w:rsid w:val="00AE2148"/>
    <w:rsid w:val="00AE2B4D"/>
    <w:rsid w:val="00AE2C0C"/>
    <w:rsid w:val="00AE2D47"/>
    <w:rsid w:val="00AE2F0A"/>
    <w:rsid w:val="00AE2FBA"/>
    <w:rsid w:val="00AE311F"/>
    <w:rsid w:val="00AE31BB"/>
    <w:rsid w:val="00AE3281"/>
    <w:rsid w:val="00AE3375"/>
    <w:rsid w:val="00AE342B"/>
    <w:rsid w:val="00AE34F0"/>
    <w:rsid w:val="00AE3624"/>
    <w:rsid w:val="00AE362F"/>
    <w:rsid w:val="00AE3701"/>
    <w:rsid w:val="00AE380E"/>
    <w:rsid w:val="00AE38BD"/>
    <w:rsid w:val="00AE38CD"/>
    <w:rsid w:val="00AE3A24"/>
    <w:rsid w:val="00AE3A3E"/>
    <w:rsid w:val="00AE3B40"/>
    <w:rsid w:val="00AE3CD5"/>
    <w:rsid w:val="00AE3E04"/>
    <w:rsid w:val="00AE3F5C"/>
    <w:rsid w:val="00AE3FA7"/>
    <w:rsid w:val="00AE401F"/>
    <w:rsid w:val="00AE40E3"/>
    <w:rsid w:val="00AE4197"/>
    <w:rsid w:val="00AE4283"/>
    <w:rsid w:val="00AE42AF"/>
    <w:rsid w:val="00AE44B9"/>
    <w:rsid w:val="00AE4524"/>
    <w:rsid w:val="00AE4563"/>
    <w:rsid w:val="00AE4596"/>
    <w:rsid w:val="00AE45F2"/>
    <w:rsid w:val="00AE463F"/>
    <w:rsid w:val="00AE4A24"/>
    <w:rsid w:val="00AE4A81"/>
    <w:rsid w:val="00AE4B99"/>
    <w:rsid w:val="00AE4BA9"/>
    <w:rsid w:val="00AE4C29"/>
    <w:rsid w:val="00AE530D"/>
    <w:rsid w:val="00AE5521"/>
    <w:rsid w:val="00AE5579"/>
    <w:rsid w:val="00AE55BF"/>
    <w:rsid w:val="00AE55C9"/>
    <w:rsid w:val="00AE5661"/>
    <w:rsid w:val="00AE57B4"/>
    <w:rsid w:val="00AE5920"/>
    <w:rsid w:val="00AE5944"/>
    <w:rsid w:val="00AE5AAF"/>
    <w:rsid w:val="00AE5DD3"/>
    <w:rsid w:val="00AE6051"/>
    <w:rsid w:val="00AE61A3"/>
    <w:rsid w:val="00AE6234"/>
    <w:rsid w:val="00AE62BE"/>
    <w:rsid w:val="00AE62E0"/>
    <w:rsid w:val="00AE646F"/>
    <w:rsid w:val="00AE652F"/>
    <w:rsid w:val="00AE689D"/>
    <w:rsid w:val="00AE6A6C"/>
    <w:rsid w:val="00AE6F8E"/>
    <w:rsid w:val="00AE7009"/>
    <w:rsid w:val="00AE706C"/>
    <w:rsid w:val="00AE7268"/>
    <w:rsid w:val="00AE74FF"/>
    <w:rsid w:val="00AE757E"/>
    <w:rsid w:val="00AE75E0"/>
    <w:rsid w:val="00AE7789"/>
    <w:rsid w:val="00AE77B2"/>
    <w:rsid w:val="00AE7800"/>
    <w:rsid w:val="00AE7819"/>
    <w:rsid w:val="00AE7A07"/>
    <w:rsid w:val="00AE7A09"/>
    <w:rsid w:val="00AE7A5B"/>
    <w:rsid w:val="00AE7B34"/>
    <w:rsid w:val="00AE7C3A"/>
    <w:rsid w:val="00AE7C52"/>
    <w:rsid w:val="00AE7D62"/>
    <w:rsid w:val="00AF0243"/>
    <w:rsid w:val="00AF03B7"/>
    <w:rsid w:val="00AF0419"/>
    <w:rsid w:val="00AF041C"/>
    <w:rsid w:val="00AF0572"/>
    <w:rsid w:val="00AF0620"/>
    <w:rsid w:val="00AF06FD"/>
    <w:rsid w:val="00AF0791"/>
    <w:rsid w:val="00AF08B5"/>
    <w:rsid w:val="00AF09D4"/>
    <w:rsid w:val="00AF0C2F"/>
    <w:rsid w:val="00AF0CA3"/>
    <w:rsid w:val="00AF1059"/>
    <w:rsid w:val="00AF1210"/>
    <w:rsid w:val="00AF1269"/>
    <w:rsid w:val="00AF135E"/>
    <w:rsid w:val="00AF1443"/>
    <w:rsid w:val="00AF1739"/>
    <w:rsid w:val="00AF1852"/>
    <w:rsid w:val="00AF18F5"/>
    <w:rsid w:val="00AF1905"/>
    <w:rsid w:val="00AF1972"/>
    <w:rsid w:val="00AF1DF1"/>
    <w:rsid w:val="00AF1E60"/>
    <w:rsid w:val="00AF1EE7"/>
    <w:rsid w:val="00AF1F20"/>
    <w:rsid w:val="00AF1F84"/>
    <w:rsid w:val="00AF20AA"/>
    <w:rsid w:val="00AF238E"/>
    <w:rsid w:val="00AF2465"/>
    <w:rsid w:val="00AF2547"/>
    <w:rsid w:val="00AF26B7"/>
    <w:rsid w:val="00AF279A"/>
    <w:rsid w:val="00AF2913"/>
    <w:rsid w:val="00AF2B33"/>
    <w:rsid w:val="00AF2BB4"/>
    <w:rsid w:val="00AF2E37"/>
    <w:rsid w:val="00AF315F"/>
    <w:rsid w:val="00AF317B"/>
    <w:rsid w:val="00AF3251"/>
    <w:rsid w:val="00AF3448"/>
    <w:rsid w:val="00AF3714"/>
    <w:rsid w:val="00AF3736"/>
    <w:rsid w:val="00AF37D9"/>
    <w:rsid w:val="00AF3841"/>
    <w:rsid w:val="00AF38A6"/>
    <w:rsid w:val="00AF38CA"/>
    <w:rsid w:val="00AF38FF"/>
    <w:rsid w:val="00AF3DDD"/>
    <w:rsid w:val="00AF4183"/>
    <w:rsid w:val="00AF42C1"/>
    <w:rsid w:val="00AF43D3"/>
    <w:rsid w:val="00AF4566"/>
    <w:rsid w:val="00AF4618"/>
    <w:rsid w:val="00AF466C"/>
    <w:rsid w:val="00AF4787"/>
    <w:rsid w:val="00AF47B1"/>
    <w:rsid w:val="00AF4AA6"/>
    <w:rsid w:val="00AF4C2E"/>
    <w:rsid w:val="00AF4CA0"/>
    <w:rsid w:val="00AF4D4F"/>
    <w:rsid w:val="00AF4D7E"/>
    <w:rsid w:val="00AF4F7F"/>
    <w:rsid w:val="00AF4FD7"/>
    <w:rsid w:val="00AF50F3"/>
    <w:rsid w:val="00AF5274"/>
    <w:rsid w:val="00AF558C"/>
    <w:rsid w:val="00AF5695"/>
    <w:rsid w:val="00AF5705"/>
    <w:rsid w:val="00AF57E9"/>
    <w:rsid w:val="00AF5955"/>
    <w:rsid w:val="00AF59A8"/>
    <w:rsid w:val="00AF5ABD"/>
    <w:rsid w:val="00AF5B6F"/>
    <w:rsid w:val="00AF5CB2"/>
    <w:rsid w:val="00AF5CE1"/>
    <w:rsid w:val="00AF5D3E"/>
    <w:rsid w:val="00AF5E9B"/>
    <w:rsid w:val="00AF5FA9"/>
    <w:rsid w:val="00AF6065"/>
    <w:rsid w:val="00AF6168"/>
    <w:rsid w:val="00AF62B3"/>
    <w:rsid w:val="00AF632E"/>
    <w:rsid w:val="00AF6414"/>
    <w:rsid w:val="00AF65BB"/>
    <w:rsid w:val="00AF6964"/>
    <w:rsid w:val="00AF6A76"/>
    <w:rsid w:val="00AF6A77"/>
    <w:rsid w:val="00AF6B19"/>
    <w:rsid w:val="00AF709A"/>
    <w:rsid w:val="00AF713A"/>
    <w:rsid w:val="00AF71DC"/>
    <w:rsid w:val="00AF7253"/>
    <w:rsid w:val="00AF7298"/>
    <w:rsid w:val="00AF7372"/>
    <w:rsid w:val="00AF7474"/>
    <w:rsid w:val="00AF7504"/>
    <w:rsid w:val="00AF7595"/>
    <w:rsid w:val="00AF764E"/>
    <w:rsid w:val="00AF766D"/>
    <w:rsid w:val="00AF7843"/>
    <w:rsid w:val="00AF7912"/>
    <w:rsid w:val="00AF79CD"/>
    <w:rsid w:val="00AF7B48"/>
    <w:rsid w:val="00AF7BCE"/>
    <w:rsid w:val="00AF7BDD"/>
    <w:rsid w:val="00AF7CD5"/>
    <w:rsid w:val="00AF7E6D"/>
    <w:rsid w:val="00AF7EFD"/>
    <w:rsid w:val="00B00192"/>
    <w:rsid w:val="00B0062B"/>
    <w:rsid w:val="00B007CB"/>
    <w:rsid w:val="00B00A15"/>
    <w:rsid w:val="00B010B5"/>
    <w:rsid w:val="00B0113C"/>
    <w:rsid w:val="00B011F5"/>
    <w:rsid w:val="00B01383"/>
    <w:rsid w:val="00B0160D"/>
    <w:rsid w:val="00B0164B"/>
    <w:rsid w:val="00B018ED"/>
    <w:rsid w:val="00B01956"/>
    <w:rsid w:val="00B01BA2"/>
    <w:rsid w:val="00B01CA6"/>
    <w:rsid w:val="00B01D26"/>
    <w:rsid w:val="00B01D74"/>
    <w:rsid w:val="00B01F0E"/>
    <w:rsid w:val="00B01F65"/>
    <w:rsid w:val="00B02228"/>
    <w:rsid w:val="00B02267"/>
    <w:rsid w:val="00B0226F"/>
    <w:rsid w:val="00B0230E"/>
    <w:rsid w:val="00B025FC"/>
    <w:rsid w:val="00B027F9"/>
    <w:rsid w:val="00B02B28"/>
    <w:rsid w:val="00B02B3B"/>
    <w:rsid w:val="00B02C4C"/>
    <w:rsid w:val="00B02CA2"/>
    <w:rsid w:val="00B02F7E"/>
    <w:rsid w:val="00B0301C"/>
    <w:rsid w:val="00B03317"/>
    <w:rsid w:val="00B03351"/>
    <w:rsid w:val="00B03381"/>
    <w:rsid w:val="00B035FC"/>
    <w:rsid w:val="00B03714"/>
    <w:rsid w:val="00B03779"/>
    <w:rsid w:val="00B037B3"/>
    <w:rsid w:val="00B03837"/>
    <w:rsid w:val="00B038AF"/>
    <w:rsid w:val="00B039F2"/>
    <w:rsid w:val="00B03AA4"/>
    <w:rsid w:val="00B03ACF"/>
    <w:rsid w:val="00B04010"/>
    <w:rsid w:val="00B0410C"/>
    <w:rsid w:val="00B043B8"/>
    <w:rsid w:val="00B043DB"/>
    <w:rsid w:val="00B04493"/>
    <w:rsid w:val="00B04570"/>
    <w:rsid w:val="00B045D7"/>
    <w:rsid w:val="00B047FC"/>
    <w:rsid w:val="00B04B06"/>
    <w:rsid w:val="00B04BD4"/>
    <w:rsid w:val="00B04C47"/>
    <w:rsid w:val="00B04D25"/>
    <w:rsid w:val="00B04DE1"/>
    <w:rsid w:val="00B04E1C"/>
    <w:rsid w:val="00B04F5B"/>
    <w:rsid w:val="00B04FBE"/>
    <w:rsid w:val="00B05060"/>
    <w:rsid w:val="00B05097"/>
    <w:rsid w:val="00B050A4"/>
    <w:rsid w:val="00B0516D"/>
    <w:rsid w:val="00B0518A"/>
    <w:rsid w:val="00B052D0"/>
    <w:rsid w:val="00B052FE"/>
    <w:rsid w:val="00B05493"/>
    <w:rsid w:val="00B05617"/>
    <w:rsid w:val="00B056FA"/>
    <w:rsid w:val="00B0591A"/>
    <w:rsid w:val="00B05947"/>
    <w:rsid w:val="00B0596C"/>
    <w:rsid w:val="00B05A86"/>
    <w:rsid w:val="00B05BC4"/>
    <w:rsid w:val="00B05DBB"/>
    <w:rsid w:val="00B05F31"/>
    <w:rsid w:val="00B05F55"/>
    <w:rsid w:val="00B0628B"/>
    <w:rsid w:val="00B06382"/>
    <w:rsid w:val="00B063D0"/>
    <w:rsid w:val="00B06436"/>
    <w:rsid w:val="00B064FC"/>
    <w:rsid w:val="00B0685F"/>
    <w:rsid w:val="00B069CA"/>
    <w:rsid w:val="00B06A61"/>
    <w:rsid w:val="00B06B22"/>
    <w:rsid w:val="00B06D50"/>
    <w:rsid w:val="00B06D90"/>
    <w:rsid w:val="00B06E33"/>
    <w:rsid w:val="00B07044"/>
    <w:rsid w:val="00B070CB"/>
    <w:rsid w:val="00B0720D"/>
    <w:rsid w:val="00B07372"/>
    <w:rsid w:val="00B07410"/>
    <w:rsid w:val="00B07417"/>
    <w:rsid w:val="00B076D0"/>
    <w:rsid w:val="00B07BB4"/>
    <w:rsid w:val="00B07DFB"/>
    <w:rsid w:val="00B07F13"/>
    <w:rsid w:val="00B10467"/>
    <w:rsid w:val="00B10496"/>
    <w:rsid w:val="00B107A2"/>
    <w:rsid w:val="00B107EE"/>
    <w:rsid w:val="00B10845"/>
    <w:rsid w:val="00B109B5"/>
    <w:rsid w:val="00B10A2A"/>
    <w:rsid w:val="00B10BE3"/>
    <w:rsid w:val="00B10F35"/>
    <w:rsid w:val="00B11208"/>
    <w:rsid w:val="00B11405"/>
    <w:rsid w:val="00B11412"/>
    <w:rsid w:val="00B11452"/>
    <w:rsid w:val="00B1146E"/>
    <w:rsid w:val="00B11571"/>
    <w:rsid w:val="00B11612"/>
    <w:rsid w:val="00B11740"/>
    <w:rsid w:val="00B1174E"/>
    <w:rsid w:val="00B119E0"/>
    <w:rsid w:val="00B11BBD"/>
    <w:rsid w:val="00B11C5A"/>
    <w:rsid w:val="00B11E87"/>
    <w:rsid w:val="00B11EAE"/>
    <w:rsid w:val="00B11EEA"/>
    <w:rsid w:val="00B11EF6"/>
    <w:rsid w:val="00B12033"/>
    <w:rsid w:val="00B121E0"/>
    <w:rsid w:val="00B1246F"/>
    <w:rsid w:val="00B124A8"/>
    <w:rsid w:val="00B12664"/>
    <w:rsid w:val="00B128D1"/>
    <w:rsid w:val="00B1293D"/>
    <w:rsid w:val="00B12940"/>
    <w:rsid w:val="00B12AE5"/>
    <w:rsid w:val="00B12BE4"/>
    <w:rsid w:val="00B12C59"/>
    <w:rsid w:val="00B12D7E"/>
    <w:rsid w:val="00B12DE2"/>
    <w:rsid w:val="00B12ED6"/>
    <w:rsid w:val="00B12FA5"/>
    <w:rsid w:val="00B13097"/>
    <w:rsid w:val="00B133E1"/>
    <w:rsid w:val="00B134C2"/>
    <w:rsid w:val="00B13585"/>
    <w:rsid w:val="00B1361E"/>
    <w:rsid w:val="00B136AE"/>
    <w:rsid w:val="00B138A5"/>
    <w:rsid w:val="00B1396C"/>
    <w:rsid w:val="00B13A09"/>
    <w:rsid w:val="00B13C40"/>
    <w:rsid w:val="00B13DA1"/>
    <w:rsid w:val="00B13F87"/>
    <w:rsid w:val="00B141E8"/>
    <w:rsid w:val="00B1436B"/>
    <w:rsid w:val="00B14412"/>
    <w:rsid w:val="00B145DA"/>
    <w:rsid w:val="00B147E8"/>
    <w:rsid w:val="00B1498C"/>
    <w:rsid w:val="00B149BB"/>
    <w:rsid w:val="00B14A20"/>
    <w:rsid w:val="00B14ACC"/>
    <w:rsid w:val="00B14B91"/>
    <w:rsid w:val="00B14C73"/>
    <w:rsid w:val="00B14F82"/>
    <w:rsid w:val="00B14F91"/>
    <w:rsid w:val="00B14FE8"/>
    <w:rsid w:val="00B1505A"/>
    <w:rsid w:val="00B150FD"/>
    <w:rsid w:val="00B15110"/>
    <w:rsid w:val="00B15137"/>
    <w:rsid w:val="00B15577"/>
    <w:rsid w:val="00B15602"/>
    <w:rsid w:val="00B1590D"/>
    <w:rsid w:val="00B15A1A"/>
    <w:rsid w:val="00B15AE5"/>
    <w:rsid w:val="00B15B62"/>
    <w:rsid w:val="00B15BC9"/>
    <w:rsid w:val="00B15BFE"/>
    <w:rsid w:val="00B15D5A"/>
    <w:rsid w:val="00B15D73"/>
    <w:rsid w:val="00B15E64"/>
    <w:rsid w:val="00B15F0A"/>
    <w:rsid w:val="00B160FC"/>
    <w:rsid w:val="00B1628C"/>
    <w:rsid w:val="00B163AF"/>
    <w:rsid w:val="00B1646A"/>
    <w:rsid w:val="00B1695D"/>
    <w:rsid w:val="00B16A9C"/>
    <w:rsid w:val="00B16AD4"/>
    <w:rsid w:val="00B16B56"/>
    <w:rsid w:val="00B16B63"/>
    <w:rsid w:val="00B16B6B"/>
    <w:rsid w:val="00B16C26"/>
    <w:rsid w:val="00B16CE1"/>
    <w:rsid w:val="00B16DA3"/>
    <w:rsid w:val="00B16DED"/>
    <w:rsid w:val="00B16E8E"/>
    <w:rsid w:val="00B16FC6"/>
    <w:rsid w:val="00B17070"/>
    <w:rsid w:val="00B17126"/>
    <w:rsid w:val="00B17130"/>
    <w:rsid w:val="00B171AE"/>
    <w:rsid w:val="00B172FF"/>
    <w:rsid w:val="00B17433"/>
    <w:rsid w:val="00B1745F"/>
    <w:rsid w:val="00B17529"/>
    <w:rsid w:val="00B17573"/>
    <w:rsid w:val="00B17726"/>
    <w:rsid w:val="00B1773C"/>
    <w:rsid w:val="00B17842"/>
    <w:rsid w:val="00B179B5"/>
    <w:rsid w:val="00B17A33"/>
    <w:rsid w:val="00B17B2E"/>
    <w:rsid w:val="00B17B4E"/>
    <w:rsid w:val="00B17BF0"/>
    <w:rsid w:val="00B17E2A"/>
    <w:rsid w:val="00B202DD"/>
    <w:rsid w:val="00B203A0"/>
    <w:rsid w:val="00B203F9"/>
    <w:rsid w:val="00B204FE"/>
    <w:rsid w:val="00B205EF"/>
    <w:rsid w:val="00B206EC"/>
    <w:rsid w:val="00B20863"/>
    <w:rsid w:val="00B2089D"/>
    <w:rsid w:val="00B20A6B"/>
    <w:rsid w:val="00B20AD0"/>
    <w:rsid w:val="00B20B78"/>
    <w:rsid w:val="00B20B9A"/>
    <w:rsid w:val="00B20E6B"/>
    <w:rsid w:val="00B211FF"/>
    <w:rsid w:val="00B21285"/>
    <w:rsid w:val="00B212E9"/>
    <w:rsid w:val="00B21493"/>
    <w:rsid w:val="00B21505"/>
    <w:rsid w:val="00B2157B"/>
    <w:rsid w:val="00B21664"/>
    <w:rsid w:val="00B21775"/>
    <w:rsid w:val="00B21C09"/>
    <w:rsid w:val="00B21C4B"/>
    <w:rsid w:val="00B21C66"/>
    <w:rsid w:val="00B21DA9"/>
    <w:rsid w:val="00B22069"/>
    <w:rsid w:val="00B2225C"/>
    <w:rsid w:val="00B2244E"/>
    <w:rsid w:val="00B226CF"/>
    <w:rsid w:val="00B22700"/>
    <w:rsid w:val="00B22823"/>
    <w:rsid w:val="00B228CD"/>
    <w:rsid w:val="00B2293E"/>
    <w:rsid w:val="00B22A4C"/>
    <w:rsid w:val="00B22AF0"/>
    <w:rsid w:val="00B22B27"/>
    <w:rsid w:val="00B22B2F"/>
    <w:rsid w:val="00B22BC3"/>
    <w:rsid w:val="00B22CCA"/>
    <w:rsid w:val="00B22E04"/>
    <w:rsid w:val="00B22E81"/>
    <w:rsid w:val="00B22EA5"/>
    <w:rsid w:val="00B23073"/>
    <w:rsid w:val="00B23164"/>
    <w:rsid w:val="00B23587"/>
    <w:rsid w:val="00B2372C"/>
    <w:rsid w:val="00B238A9"/>
    <w:rsid w:val="00B23C0E"/>
    <w:rsid w:val="00B23C37"/>
    <w:rsid w:val="00B23C3B"/>
    <w:rsid w:val="00B23C4B"/>
    <w:rsid w:val="00B23CB3"/>
    <w:rsid w:val="00B2426E"/>
    <w:rsid w:val="00B24315"/>
    <w:rsid w:val="00B243A9"/>
    <w:rsid w:val="00B243DC"/>
    <w:rsid w:val="00B244E1"/>
    <w:rsid w:val="00B24565"/>
    <w:rsid w:val="00B24751"/>
    <w:rsid w:val="00B24925"/>
    <w:rsid w:val="00B24B92"/>
    <w:rsid w:val="00B24EB2"/>
    <w:rsid w:val="00B24F1C"/>
    <w:rsid w:val="00B25296"/>
    <w:rsid w:val="00B25644"/>
    <w:rsid w:val="00B257F6"/>
    <w:rsid w:val="00B25863"/>
    <w:rsid w:val="00B2589E"/>
    <w:rsid w:val="00B25911"/>
    <w:rsid w:val="00B25A67"/>
    <w:rsid w:val="00B25A81"/>
    <w:rsid w:val="00B25A86"/>
    <w:rsid w:val="00B25D05"/>
    <w:rsid w:val="00B25D09"/>
    <w:rsid w:val="00B2653C"/>
    <w:rsid w:val="00B26578"/>
    <w:rsid w:val="00B265A2"/>
    <w:rsid w:val="00B266CB"/>
    <w:rsid w:val="00B267D1"/>
    <w:rsid w:val="00B267D8"/>
    <w:rsid w:val="00B268E1"/>
    <w:rsid w:val="00B26B05"/>
    <w:rsid w:val="00B26DA2"/>
    <w:rsid w:val="00B2714B"/>
    <w:rsid w:val="00B272A7"/>
    <w:rsid w:val="00B2762A"/>
    <w:rsid w:val="00B276FA"/>
    <w:rsid w:val="00B27815"/>
    <w:rsid w:val="00B27860"/>
    <w:rsid w:val="00B27BDB"/>
    <w:rsid w:val="00B27C9F"/>
    <w:rsid w:val="00B27E85"/>
    <w:rsid w:val="00B27E8B"/>
    <w:rsid w:val="00B27F20"/>
    <w:rsid w:val="00B27F28"/>
    <w:rsid w:val="00B3007D"/>
    <w:rsid w:val="00B3041A"/>
    <w:rsid w:val="00B30458"/>
    <w:rsid w:val="00B30521"/>
    <w:rsid w:val="00B30784"/>
    <w:rsid w:val="00B307F5"/>
    <w:rsid w:val="00B30A05"/>
    <w:rsid w:val="00B30AAE"/>
    <w:rsid w:val="00B30BEC"/>
    <w:rsid w:val="00B30D05"/>
    <w:rsid w:val="00B30D75"/>
    <w:rsid w:val="00B30E31"/>
    <w:rsid w:val="00B30E4F"/>
    <w:rsid w:val="00B30F72"/>
    <w:rsid w:val="00B30FD5"/>
    <w:rsid w:val="00B31073"/>
    <w:rsid w:val="00B3122E"/>
    <w:rsid w:val="00B312DB"/>
    <w:rsid w:val="00B313FB"/>
    <w:rsid w:val="00B3175D"/>
    <w:rsid w:val="00B3181C"/>
    <w:rsid w:val="00B3199D"/>
    <w:rsid w:val="00B31E9E"/>
    <w:rsid w:val="00B3218B"/>
    <w:rsid w:val="00B322D1"/>
    <w:rsid w:val="00B3236C"/>
    <w:rsid w:val="00B32439"/>
    <w:rsid w:val="00B32590"/>
    <w:rsid w:val="00B32672"/>
    <w:rsid w:val="00B3269B"/>
    <w:rsid w:val="00B326CA"/>
    <w:rsid w:val="00B32741"/>
    <w:rsid w:val="00B3275F"/>
    <w:rsid w:val="00B32791"/>
    <w:rsid w:val="00B328EF"/>
    <w:rsid w:val="00B32C08"/>
    <w:rsid w:val="00B32D10"/>
    <w:rsid w:val="00B32D2F"/>
    <w:rsid w:val="00B32D39"/>
    <w:rsid w:val="00B3300F"/>
    <w:rsid w:val="00B33055"/>
    <w:rsid w:val="00B33112"/>
    <w:rsid w:val="00B331D1"/>
    <w:rsid w:val="00B33335"/>
    <w:rsid w:val="00B33363"/>
    <w:rsid w:val="00B33479"/>
    <w:rsid w:val="00B334D7"/>
    <w:rsid w:val="00B335B7"/>
    <w:rsid w:val="00B336A7"/>
    <w:rsid w:val="00B3377C"/>
    <w:rsid w:val="00B33793"/>
    <w:rsid w:val="00B337D6"/>
    <w:rsid w:val="00B33932"/>
    <w:rsid w:val="00B339B8"/>
    <w:rsid w:val="00B33BBB"/>
    <w:rsid w:val="00B33D79"/>
    <w:rsid w:val="00B340C8"/>
    <w:rsid w:val="00B342EC"/>
    <w:rsid w:val="00B3438E"/>
    <w:rsid w:val="00B34540"/>
    <w:rsid w:val="00B347BB"/>
    <w:rsid w:val="00B3482B"/>
    <w:rsid w:val="00B349AB"/>
    <w:rsid w:val="00B34BBB"/>
    <w:rsid w:val="00B34CDD"/>
    <w:rsid w:val="00B35106"/>
    <w:rsid w:val="00B35155"/>
    <w:rsid w:val="00B352DC"/>
    <w:rsid w:val="00B3558C"/>
    <w:rsid w:val="00B356A8"/>
    <w:rsid w:val="00B3575D"/>
    <w:rsid w:val="00B3580A"/>
    <w:rsid w:val="00B359E2"/>
    <w:rsid w:val="00B35A1E"/>
    <w:rsid w:val="00B35B22"/>
    <w:rsid w:val="00B35B24"/>
    <w:rsid w:val="00B35C38"/>
    <w:rsid w:val="00B35C6A"/>
    <w:rsid w:val="00B35CB8"/>
    <w:rsid w:val="00B3615A"/>
    <w:rsid w:val="00B3633A"/>
    <w:rsid w:val="00B363E0"/>
    <w:rsid w:val="00B36453"/>
    <w:rsid w:val="00B36506"/>
    <w:rsid w:val="00B365CD"/>
    <w:rsid w:val="00B36750"/>
    <w:rsid w:val="00B3682B"/>
    <w:rsid w:val="00B36883"/>
    <w:rsid w:val="00B36908"/>
    <w:rsid w:val="00B36BC0"/>
    <w:rsid w:val="00B36DD1"/>
    <w:rsid w:val="00B36E22"/>
    <w:rsid w:val="00B36EE5"/>
    <w:rsid w:val="00B37230"/>
    <w:rsid w:val="00B372D6"/>
    <w:rsid w:val="00B372E1"/>
    <w:rsid w:val="00B37313"/>
    <w:rsid w:val="00B374FB"/>
    <w:rsid w:val="00B37556"/>
    <w:rsid w:val="00B37753"/>
    <w:rsid w:val="00B377EC"/>
    <w:rsid w:val="00B37877"/>
    <w:rsid w:val="00B379A4"/>
    <w:rsid w:val="00B37B36"/>
    <w:rsid w:val="00B37B5E"/>
    <w:rsid w:val="00B37B84"/>
    <w:rsid w:val="00B37D38"/>
    <w:rsid w:val="00B37F17"/>
    <w:rsid w:val="00B37FB3"/>
    <w:rsid w:val="00B40125"/>
    <w:rsid w:val="00B403B1"/>
    <w:rsid w:val="00B40404"/>
    <w:rsid w:val="00B406F4"/>
    <w:rsid w:val="00B40B64"/>
    <w:rsid w:val="00B40BDE"/>
    <w:rsid w:val="00B40DD9"/>
    <w:rsid w:val="00B40DFF"/>
    <w:rsid w:val="00B40E2F"/>
    <w:rsid w:val="00B40E58"/>
    <w:rsid w:val="00B40E5E"/>
    <w:rsid w:val="00B41147"/>
    <w:rsid w:val="00B41148"/>
    <w:rsid w:val="00B411A0"/>
    <w:rsid w:val="00B411CD"/>
    <w:rsid w:val="00B411EC"/>
    <w:rsid w:val="00B414EC"/>
    <w:rsid w:val="00B41678"/>
    <w:rsid w:val="00B4175C"/>
    <w:rsid w:val="00B418FA"/>
    <w:rsid w:val="00B41999"/>
    <w:rsid w:val="00B4199C"/>
    <w:rsid w:val="00B419E5"/>
    <w:rsid w:val="00B41A8D"/>
    <w:rsid w:val="00B41AD5"/>
    <w:rsid w:val="00B41B8A"/>
    <w:rsid w:val="00B41DDA"/>
    <w:rsid w:val="00B41DE5"/>
    <w:rsid w:val="00B41FBE"/>
    <w:rsid w:val="00B42429"/>
    <w:rsid w:val="00B425F4"/>
    <w:rsid w:val="00B427ED"/>
    <w:rsid w:val="00B42881"/>
    <w:rsid w:val="00B428E1"/>
    <w:rsid w:val="00B42AEB"/>
    <w:rsid w:val="00B42B6B"/>
    <w:rsid w:val="00B42B88"/>
    <w:rsid w:val="00B42C41"/>
    <w:rsid w:val="00B42C46"/>
    <w:rsid w:val="00B42E9D"/>
    <w:rsid w:val="00B43020"/>
    <w:rsid w:val="00B4316F"/>
    <w:rsid w:val="00B43204"/>
    <w:rsid w:val="00B4337A"/>
    <w:rsid w:val="00B4339A"/>
    <w:rsid w:val="00B4386E"/>
    <w:rsid w:val="00B43901"/>
    <w:rsid w:val="00B43959"/>
    <w:rsid w:val="00B43A41"/>
    <w:rsid w:val="00B43BDC"/>
    <w:rsid w:val="00B43C5E"/>
    <w:rsid w:val="00B43C76"/>
    <w:rsid w:val="00B43D5B"/>
    <w:rsid w:val="00B43E05"/>
    <w:rsid w:val="00B43E52"/>
    <w:rsid w:val="00B44184"/>
    <w:rsid w:val="00B44235"/>
    <w:rsid w:val="00B44290"/>
    <w:rsid w:val="00B444E1"/>
    <w:rsid w:val="00B44679"/>
    <w:rsid w:val="00B44760"/>
    <w:rsid w:val="00B4478D"/>
    <w:rsid w:val="00B447D7"/>
    <w:rsid w:val="00B448DF"/>
    <w:rsid w:val="00B448FC"/>
    <w:rsid w:val="00B4494B"/>
    <w:rsid w:val="00B449BC"/>
    <w:rsid w:val="00B44A00"/>
    <w:rsid w:val="00B44C3E"/>
    <w:rsid w:val="00B44C71"/>
    <w:rsid w:val="00B451A5"/>
    <w:rsid w:val="00B45237"/>
    <w:rsid w:val="00B45649"/>
    <w:rsid w:val="00B4565A"/>
    <w:rsid w:val="00B45759"/>
    <w:rsid w:val="00B45869"/>
    <w:rsid w:val="00B45887"/>
    <w:rsid w:val="00B459A2"/>
    <w:rsid w:val="00B45C8F"/>
    <w:rsid w:val="00B45D02"/>
    <w:rsid w:val="00B45D34"/>
    <w:rsid w:val="00B45D6B"/>
    <w:rsid w:val="00B4602F"/>
    <w:rsid w:val="00B4619F"/>
    <w:rsid w:val="00B46402"/>
    <w:rsid w:val="00B46413"/>
    <w:rsid w:val="00B466E1"/>
    <w:rsid w:val="00B46A29"/>
    <w:rsid w:val="00B46BC9"/>
    <w:rsid w:val="00B46BF5"/>
    <w:rsid w:val="00B46CA4"/>
    <w:rsid w:val="00B46E4C"/>
    <w:rsid w:val="00B46E60"/>
    <w:rsid w:val="00B46EB4"/>
    <w:rsid w:val="00B46FF5"/>
    <w:rsid w:val="00B47080"/>
    <w:rsid w:val="00B472B7"/>
    <w:rsid w:val="00B4747F"/>
    <w:rsid w:val="00B47515"/>
    <w:rsid w:val="00B4759A"/>
    <w:rsid w:val="00B476B5"/>
    <w:rsid w:val="00B476C1"/>
    <w:rsid w:val="00B4771F"/>
    <w:rsid w:val="00B47830"/>
    <w:rsid w:val="00B4790F"/>
    <w:rsid w:val="00B47A9D"/>
    <w:rsid w:val="00B47AD2"/>
    <w:rsid w:val="00B47B4B"/>
    <w:rsid w:val="00B47BE1"/>
    <w:rsid w:val="00B47C50"/>
    <w:rsid w:val="00B47C7D"/>
    <w:rsid w:val="00B47DFD"/>
    <w:rsid w:val="00B50010"/>
    <w:rsid w:val="00B5001E"/>
    <w:rsid w:val="00B500D1"/>
    <w:rsid w:val="00B5034E"/>
    <w:rsid w:val="00B5036B"/>
    <w:rsid w:val="00B50472"/>
    <w:rsid w:val="00B504D5"/>
    <w:rsid w:val="00B5079D"/>
    <w:rsid w:val="00B507A3"/>
    <w:rsid w:val="00B50937"/>
    <w:rsid w:val="00B50945"/>
    <w:rsid w:val="00B50959"/>
    <w:rsid w:val="00B50A05"/>
    <w:rsid w:val="00B50A77"/>
    <w:rsid w:val="00B50AEC"/>
    <w:rsid w:val="00B50C30"/>
    <w:rsid w:val="00B50D5A"/>
    <w:rsid w:val="00B50E0D"/>
    <w:rsid w:val="00B50E4C"/>
    <w:rsid w:val="00B51007"/>
    <w:rsid w:val="00B51421"/>
    <w:rsid w:val="00B515AF"/>
    <w:rsid w:val="00B51702"/>
    <w:rsid w:val="00B5174F"/>
    <w:rsid w:val="00B517EA"/>
    <w:rsid w:val="00B51B67"/>
    <w:rsid w:val="00B51C75"/>
    <w:rsid w:val="00B51CD5"/>
    <w:rsid w:val="00B51F01"/>
    <w:rsid w:val="00B5214C"/>
    <w:rsid w:val="00B52171"/>
    <w:rsid w:val="00B52190"/>
    <w:rsid w:val="00B521A1"/>
    <w:rsid w:val="00B522B1"/>
    <w:rsid w:val="00B52371"/>
    <w:rsid w:val="00B52401"/>
    <w:rsid w:val="00B52755"/>
    <w:rsid w:val="00B52776"/>
    <w:rsid w:val="00B527A3"/>
    <w:rsid w:val="00B52912"/>
    <w:rsid w:val="00B52A81"/>
    <w:rsid w:val="00B52B01"/>
    <w:rsid w:val="00B52B5C"/>
    <w:rsid w:val="00B52DEF"/>
    <w:rsid w:val="00B532F7"/>
    <w:rsid w:val="00B5384C"/>
    <w:rsid w:val="00B53852"/>
    <w:rsid w:val="00B53985"/>
    <w:rsid w:val="00B539B8"/>
    <w:rsid w:val="00B53B29"/>
    <w:rsid w:val="00B53B97"/>
    <w:rsid w:val="00B53CE9"/>
    <w:rsid w:val="00B53E1D"/>
    <w:rsid w:val="00B53E40"/>
    <w:rsid w:val="00B540D3"/>
    <w:rsid w:val="00B54130"/>
    <w:rsid w:val="00B54382"/>
    <w:rsid w:val="00B54BF9"/>
    <w:rsid w:val="00B54DD8"/>
    <w:rsid w:val="00B54E50"/>
    <w:rsid w:val="00B55289"/>
    <w:rsid w:val="00B55355"/>
    <w:rsid w:val="00B55401"/>
    <w:rsid w:val="00B554A9"/>
    <w:rsid w:val="00B554FA"/>
    <w:rsid w:val="00B5550F"/>
    <w:rsid w:val="00B559EC"/>
    <w:rsid w:val="00B55B2A"/>
    <w:rsid w:val="00B55BC2"/>
    <w:rsid w:val="00B55D81"/>
    <w:rsid w:val="00B55E69"/>
    <w:rsid w:val="00B5609D"/>
    <w:rsid w:val="00B560FC"/>
    <w:rsid w:val="00B5619D"/>
    <w:rsid w:val="00B56218"/>
    <w:rsid w:val="00B56286"/>
    <w:rsid w:val="00B56317"/>
    <w:rsid w:val="00B56696"/>
    <w:rsid w:val="00B5698C"/>
    <w:rsid w:val="00B569D0"/>
    <w:rsid w:val="00B56A4B"/>
    <w:rsid w:val="00B56ACE"/>
    <w:rsid w:val="00B56D6F"/>
    <w:rsid w:val="00B56DEC"/>
    <w:rsid w:val="00B56F44"/>
    <w:rsid w:val="00B57385"/>
    <w:rsid w:val="00B573A4"/>
    <w:rsid w:val="00B57413"/>
    <w:rsid w:val="00B57593"/>
    <w:rsid w:val="00B5766A"/>
    <w:rsid w:val="00B577A5"/>
    <w:rsid w:val="00B578D3"/>
    <w:rsid w:val="00B57926"/>
    <w:rsid w:val="00B579D7"/>
    <w:rsid w:val="00B57A64"/>
    <w:rsid w:val="00B57AA7"/>
    <w:rsid w:val="00B57B28"/>
    <w:rsid w:val="00B57FF3"/>
    <w:rsid w:val="00B604AC"/>
    <w:rsid w:val="00B6054A"/>
    <w:rsid w:val="00B607C7"/>
    <w:rsid w:val="00B60BEA"/>
    <w:rsid w:val="00B60C7C"/>
    <w:rsid w:val="00B60CE2"/>
    <w:rsid w:val="00B60DC5"/>
    <w:rsid w:val="00B60E46"/>
    <w:rsid w:val="00B60E55"/>
    <w:rsid w:val="00B60E5D"/>
    <w:rsid w:val="00B60E91"/>
    <w:rsid w:val="00B60F82"/>
    <w:rsid w:val="00B610CB"/>
    <w:rsid w:val="00B611C0"/>
    <w:rsid w:val="00B611DD"/>
    <w:rsid w:val="00B61491"/>
    <w:rsid w:val="00B6149F"/>
    <w:rsid w:val="00B61599"/>
    <w:rsid w:val="00B61644"/>
    <w:rsid w:val="00B61837"/>
    <w:rsid w:val="00B61AB9"/>
    <w:rsid w:val="00B61B19"/>
    <w:rsid w:val="00B61D53"/>
    <w:rsid w:val="00B61DBF"/>
    <w:rsid w:val="00B61E0C"/>
    <w:rsid w:val="00B621C0"/>
    <w:rsid w:val="00B6227F"/>
    <w:rsid w:val="00B6230A"/>
    <w:rsid w:val="00B624CC"/>
    <w:rsid w:val="00B6275E"/>
    <w:rsid w:val="00B627FF"/>
    <w:rsid w:val="00B62965"/>
    <w:rsid w:val="00B62995"/>
    <w:rsid w:val="00B62E20"/>
    <w:rsid w:val="00B62E3D"/>
    <w:rsid w:val="00B62E61"/>
    <w:rsid w:val="00B631E8"/>
    <w:rsid w:val="00B63448"/>
    <w:rsid w:val="00B634D2"/>
    <w:rsid w:val="00B6357F"/>
    <w:rsid w:val="00B636F9"/>
    <w:rsid w:val="00B639BC"/>
    <w:rsid w:val="00B639E8"/>
    <w:rsid w:val="00B63A13"/>
    <w:rsid w:val="00B63B3E"/>
    <w:rsid w:val="00B63D3F"/>
    <w:rsid w:val="00B63DAF"/>
    <w:rsid w:val="00B63FA8"/>
    <w:rsid w:val="00B640FD"/>
    <w:rsid w:val="00B6416D"/>
    <w:rsid w:val="00B6435A"/>
    <w:rsid w:val="00B6436B"/>
    <w:rsid w:val="00B6454A"/>
    <w:rsid w:val="00B645E5"/>
    <w:rsid w:val="00B64781"/>
    <w:rsid w:val="00B648E5"/>
    <w:rsid w:val="00B64933"/>
    <w:rsid w:val="00B64A7E"/>
    <w:rsid w:val="00B64B18"/>
    <w:rsid w:val="00B64B39"/>
    <w:rsid w:val="00B64C51"/>
    <w:rsid w:val="00B64CA0"/>
    <w:rsid w:val="00B64CB3"/>
    <w:rsid w:val="00B64CF2"/>
    <w:rsid w:val="00B64CF8"/>
    <w:rsid w:val="00B64E2D"/>
    <w:rsid w:val="00B64F07"/>
    <w:rsid w:val="00B6518E"/>
    <w:rsid w:val="00B65442"/>
    <w:rsid w:val="00B654AF"/>
    <w:rsid w:val="00B654F9"/>
    <w:rsid w:val="00B65603"/>
    <w:rsid w:val="00B65609"/>
    <w:rsid w:val="00B6589B"/>
    <w:rsid w:val="00B65A2C"/>
    <w:rsid w:val="00B65B39"/>
    <w:rsid w:val="00B65BC5"/>
    <w:rsid w:val="00B65C41"/>
    <w:rsid w:val="00B65CA3"/>
    <w:rsid w:val="00B65F43"/>
    <w:rsid w:val="00B6600F"/>
    <w:rsid w:val="00B66238"/>
    <w:rsid w:val="00B662E9"/>
    <w:rsid w:val="00B66330"/>
    <w:rsid w:val="00B663C0"/>
    <w:rsid w:val="00B66438"/>
    <w:rsid w:val="00B664BE"/>
    <w:rsid w:val="00B666CD"/>
    <w:rsid w:val="00B667A9"/>
    <w:rsid w:val="00B667E4"/>
    <w:rsid w:val="00B668D4"/>
    <w:rsid w:val="00B66B15"/>
    <w:rsid w:val="00B66B19"/>
    <w:rsid w:val="00B66C51"/>
    <w:rsid w:val="00B66E1B"/>
    <w:rsid w:val="00B66E58"/>
    <w:rsid w:val="00B67105"/>
    <w:rsid w:val="00B67157"/>
    <w:rsid w:val="00B6733E"/>
    <w:rsid w:val="00B6735B"/>
    <w:rsid w:val="00B67361"/>
    <w:rsid w:val="00B67397"/>
    <w:rsid w:val="00B674CB"/>
    <w:rsid w:val="00B6751D"/>
    <w:rsid w:val="00B675C4"/>
    <w:rsid w:val="00B67899"/>
    <w:rsid w:val="00B678C1"/>
    <w:rsid w:val="00B678E0"/>
    <w:rsid w:val="00B679A5"/>
    <w:rsid w:val="00B67A19"/>
    <w:rsid w:val="00B67B40"/>
    <w:rsid w:val="00B67C1A"/>
    <w:rsid w:val="00B67C3E"/>
    <w:rsid w:val="00B67D18"/>
    <w:rsid w:val="00B700B9"/>
    <w:rsid w:val="00B701E5"/>
    <w:rsid w:val="00B7036A"/>
    <w:rsid w:val="00B70399"/>
    <w:rsid w:val="00B703A2"/>
    <w:rsid w:val="00B70441"/>
    <w:rsid w:val="00B704AF"/>
    <w:rsid w:val="00B70629"/>
    <w:rsid w:val="00B706FE"/>
    <w:rsid w:val="00B7095A"/>
    <w:rsid w:val="00B709B2"/>
    <w:rsid w:val="00B709C4"/>
    <w:rsid w:val="00B70BC5"/>
    <w:rsid w:val="00B70CB6"/>
    <w:rsid w:val="00B70EAF"/>
    <w:rsid w:val="00B70F72"/>
    <w:rsid w:val="00B70FE3"/>
    <w:rsid w:val="00B7126F"/>
    <w:rsid w:val="00B713AB"/>
    <w:rsid w:val="00B71512"/>
    <w:rsid w:val="00B71608"/>
    <w:rsid w:val="00B7165D"/>
    <w:rsid w:val="00B7186D"/>
    <w:rsid w:val="00B718A3"/>
    <w:rsid w:val="00B718E3"/>
    <w:rsid w:val="00B71903"/>
    <w:rsid w:val="00B71AC7"/>
    <w:rsid w:val="00B72044"/>
    <w:rsid w:val="00B72222"/>
    <w:rsid w:val="00B7235F"/>
    <w:rsid w:val="00B72682"/>
    <w:rsid w:val="00B72744"/>
    <w:rsid w:val="00B72A95"/>
    <w:rsid w:val="00B72B20"/>
    <w:rsid w:val="00B72C22"/>
    <w:rsid w:val="00B72DE1"/>
    <w:rsid w:val="00B72EC1"/>
    <w:rsid w:val="00B731DB"/>
    <w:rsid w:val="00B73346"/>
    <w:rsid w:val="00B7337D"/>
    <w:rsid w:val="00B734A7"/>
    <w:rsid w:val="00B73541"/>
    <w:rsid w:val="00B737A3"/>
    <w:rsid w:val="00B73A3B"/>
    <w:rsid w:val="00B73AB2"/>
    <w:rsid w:val="00B73BA9"/>
    <w:rsid w:val="00B73BD9"/>
    <w:rsid w:val="00B73C90"/>
    <w:rsid w:val="00B73E09"/>
    <w:rsid w:val="00B73E25"/>
    <w:rsid w:val="00B740DF"/>
    <w:rsid w:val="00B74638"/>
    <w:rsid w:val="00B74667"/>
    <w:rsid w:val="00B746C4"/>
    <w:rsid w:val="00B74943"/>
    <w:rsid w:val="00B74950"/>
    <w:rsid w:val="00B749B8"/>
    <w:rsid w:val="00B74B37"/>
    <w:rsid w:val="00B74B4B"/>
    <w:rsid w:val="00B74B4C"/>
    <w:rsid w:val="00B74DFC"/>
    <w:rsid w:val="00B7505F"/>
    <w:rsid w:val="00B75133"/>
    <w:rsid w:val="00B7535D"/>
    <w:rsid w:val="00B756BF"/>
    <w:rsid w:val="00B75872"/>
    <w:rsid w:val="00B75883"/>
    <w:rsid w:val="00B75971"/>
    <w:rsid w:val="00B75D1C"/>
    <w:rsid w:val="00B75F78"/>
    <w:rsid w:val="00B75F9A"/>
    <w:rsid w:val="00B761E1"/>
    <w:rsid w:val="00B76206"/>
    <w:rsid w:val="00B762B8"/>
    <w:rsid w:val="00B762EF"/>
    <w:rsid w:val="00B766AE"/>
    <w:rsid w:val="00B766D6"/>
    <w:rsid w:val="00B7679A"/>
    <w:rsid w:val="00B7682B"/>
    <w:rsid w:val="00B76C21"/>
    <w:rsid w:val="00B76DFF"/>
    <w:rsid w:val="00B76FE5"/>
    <w:rsid w:val="00B77031"/>
    <w:rsid w:val="00B77211"/>
    <w:rsid w:val="00B77282"/>
    <w:rsid w:val="00B77441"/>
    <w:rsid w:val="00B774BB"/>
    <w:rsid w:val="00B7752C"/>
    <w:rsid w:val="00B77668"/>
    <w:rsid w:val="00B7784B"/>
    <w:rsid w:val="00B77AEC"/>
    <w:rsid w:val="00B77AF5"/>
    <w:rsid w:val="00B77B1C"/>
    <w:rsid w:val="00B800F8"/>
    <w:rsid w:val="00B80185"/>
    <w:rsid w:val="00B8032F"/>
    <w:rsid w:val="00B8070E"/>
    <w:rsid w:val="00B80723"/>
    <w:rsid w:val="00B809DD"/>
    <w:rsid w:val="00B80B33"/>
    <w:rsid w:val="00B80CCF"/>
    <w:rsid w:val="00B80E73"/>
    <w:rsid w:val="00B80F14"/>
    <w:rsid w:val="00B80F15"/>
    <w:rsid w:val="00B80FD1"/>
    <w:rsid w:val="00B80FE5"/>
    <w:rsid w:val="00B8111B"/>
    <w:rsid w:val="00B81273"/>
    <w:rsid w:val="00B817DB"/>
    <w:rsid w:val="00B8181E"/>
    <w:rsid w:val="00B81931"/>
    <w:rsid w:val="00B81A28"/>
    <w:rsid w:val="00B81C0C"/>
    <w:rsid w:val="00B81C52"/>
    <w:rsid w:val="00B81D49"/>
    <w:rsid w:val="00B81E53"/>
    <w:rsid w:val="00B821D9"/>
    <w:rsid w:val="00B82264"/>
    <w:rsid w:val="00B823AA"/>
    <w:rsid w:val="00B823AC"/>
    <w:rsid w:val="00B82429"/>
    <w:rsid w:val="00B8243B"/>
    <w:rsid w:val="00B8247E"/>
    <w:rsid w:val="00B824D0"/>
    <w:rsid w:val="00B82609"/>
    <w:rsid w:val="00B82707"/>
    <w:rsid w:val="00B82786"/>
    <w:rsid w:val="00B828BE"/>
    <w:rsid w:val="00B82902"/>
    <w:rsid w:val="00B82A3A"/>
    <w:rsid w:val="00B82A49"/>
    <w:rsid w:val="00B82A67"/>
    <w:rsid w:val="00B830FE"/>
    <w:rsid w:val="00B83332"/>
    <w:rsid w:val="00B834A4"/>
    <w:rsid w:val="00B834AB"/>
    <w:rsid w:val="00B83558"/>
    <w:rsid w:val="00B83A26"/>
    <w:rsid w:val="00B83A7D"/>
    <w:rsid w:val="00B84010"/>
    <w:rsid w:val="00B84110"/>
    <w:rsid w:val="00B8422D"/>
    <w:rsid w:val="00B8429E"/>
    <w:rsid w:val="00B843AA"/>
    <w:rsid w:val="00B843F9"/>
    <w:rsid w:val="00B8441B"/>
    <w:rsid w:val="00B846FB"/>
    <w:rsid w:val="00B8478E"/>
    <w:rsid w:val="00B84AAA"/>
    <w:rsid w:val="00B84B93"/>
    <w:rsid w:val="00B84CCB"/>
    <w:rsid w:val="00B84D18"/>
    <w:rsid w:val="00B84DB4"/>
    <w:rsid w:val="00B84DC5"/>
    <w:rsid w:val="00B84EB0"/>
    <w:rsid w:val="00B84EE1"/>
    <w:rsid w:val="00B84FBA"/>
    <w:rsid w:val="00B85026"/>
    <w:rsid w:val="00B85031"/>
    <w:rsid w:val="00B852C1"/>
    <w:rsid w:val="00B852D6"/>
    <w:rsid w:val="00B85667"/>
    <w:rsid w:val="00B85C59"/>
    <w:rsid w:val="00B8606B"/>
    <w:rsid w:val="00B86110"/>
    <w:rsid w:val="00B8617A"/>
    <w:rsid w:val="00B861E1"/>
    <w:rsid w:val="00B8642D"/>
    <w:rsid w:val="00B86796"/>
    <w:rsid w:val="00B86941"/>
    <w:rsid w:val="00B86A90"/>
    <w:rsid w:val="00B86CFA"/>
    <w:rsid w:val="00B86D59"/>
    <w:rsid w:val="00B86D5A"/>
    <w:rsid w:val="00B86E76"/>
    <w:rsid w:val="00B86F60"/>
    <w:rsid w:val="00B86F98"/>
    <w:rsid w:val="00B8701B"/>
    <w:rsid w:val="00B87025"/>
    <w:rsid w:val="00B87069"/>
    <w:rsid w:val="00B87090"/>
    <w:rsid w:val="00B871A4"/>
    <w:rsid w:val="00B87262"/>
    <w:rsid w:val="00B87311"/>
    <w:rsid w:val="00B873E7"/>
    <w:rsid w:val="00B8761C"/>
    <w:rsid w:val="00B87828"/>
    <w:rsid w:val="00B87A00"/>
    <w:rsid w:val="00B87A2D"/>
    <w:rsid w:val="00B87B1A"/>
    <w:rsid w:val="00B87BF8"/>
    <w:rsid w:val="00B87CC5"/>
    <w:rsid w:val="00B87CDA"/>
    <w:rsid w:val="00B87E9D"/>
    <w:rsid w:val="00B87EAA"/>
    <w:rsid w:val="00B87F6C"/>
    <w:rsid w:val="00B87FC3"/>
    <w:rsid w:val="00B900DF"/>
    <w:rsid w:val="00B900EC"/>
    <w:rsid w:val="00B900FA"/>
    <w:rsid w:val="00B90279"/>
    <w:rsid w:val="00B9035E"/>
    <w:rsid w:val="00B903BD"/>
    <w:rsid w:val="00B90667"/>
    <w:rsid w:val="00B906D2"/>
    <w:rsid w:val="00B906F7"/>
    <w:rsid w:val="00B9079E"/>
    <w:rsid w:val="00B90814"/>
    <w:rsid w:val="00B90851"/>
    <w:rsid w:val="00B90B0C"/>
    <w:rsid w:val="00B90BD2"/>
    <w:rsid w:val="00B90C93"/>
    <w:rsid w:val="00B90D1C"/>
    <w:rsid w:val="00B90E06"/>
    <w:rsid w:val="00B90E72"/>
    <w:rsid w:val="00B90FCB"/>
    <w:rsid w:val="00B9105F"/>
    <w:rsid w:val="00B91163"/>
    <w:rsid w:val="00B911F7"/>
    <w:rsid w:val="00B911F9"/>
    <w:rsid w:val="00B912D1"/>
    <w:rsid w:val="00B912F9"/>
    <w:rsid w:val="00B9155A"/>
    <w:rsid w:val="00B916EC"/>
    <w:rsid w:val="00B918DE"/>
    <w:rsid w:val="00B91B56"/>
    <w:rsid w:val="00B91BEE"/>
    <w:rsid w:val="00B91C9A"/>
    <w:rsid w:val="00B91E24"/>
    <w:rsid w:val="00B9248B"/>
    <w:rsid w:val="00B92668"/>
    <w:rsid w:val="00B926CA"/>
    <w:rsid w:val="00B92753"/>
    <w:rsid w:val="00B928A7"/>
    <w:rsid w:val="00B92A3E"/>
    <w:rsid w:val="00B92D3B"/>
    <w:rsid w:val="00B92DCF"/>
    <w:rsid w:val="00B9327F"/>
    <w:rsid w:val="00B93384"/>
    <w:rsid w:val="00B934DA"/>
    <w:rsid w:val="00B9355B"/>
    <w:rsid w:val="00B9357B"/>
    <w:rsid w:val="00B938EF"/>
    <w:rsid w:val="00B939A4"/>
    <w:rsid w:val="00B93A67"/>
    <w:rsid w:val="00B93AFF"/>
    <w:rsid w:val="00B940D0"/>
    <w:rsid w:val="00B941A4"/>
    <w:rsid w:val="00B941F1"/>
    <w:rsid w:val="00B94219"/>
    <w:rsid w:val="00B9424B"/>
    <w:rsid w:val="00B943E7"/>
    <w:rsid w:val="00B94540"/>
    <w:rsid w:val="00B9456A"/>
    <w:rsid w:val="00B945ED"/>
    <w:rsid w:val="00B94679"/>
    <w:rsid w:val="00B94851"/>
    <w:rsid w:val="00B94A75"/>
    <w:rsid w:val="00B94B29"/>
    <w:rsid w:val="00B94BDF"/>
    <w:rsid w:val="00B94BF5"/>
    <w:rsid w:val="00B94E2C"/>
    <w:rsid w:val="00B94F0F"/>
    <w:rsid w:val="00B95021"/>
    <w:rsid w:val="00B9539A"/>
    <w:rsid w:val="00B95648"/>
    <w:rsid w:val="00B956F7"/>
    <w:rsid w:val="00B957AA"/>
    <w:rsid w:val="00B957D4"/>
    <w:rsid w:val="00B95947"/>
    <w:rsid w:val="00B959B3"/>
    <w:rsid w:val="00B95AB6"/>
    <w:rsid w:val="00B95C66"/>
    <w:rsid w:val="00B95D0C"/>
    <w:rsid w:val="00B95EDA"/>
    <w:rsid w:val="00B9610B"/>
    <w:rsid w:val="00B961B1"/>
    <w:rsid w:val="00B961C7"/>
    <w:rsid w:val="00B9621D"/>
    <w:rsid w:val="00B96231"/>
    <w:rsid w:val="00B96390"/>
    <w:rsid w:val="00B96495"/>
    <w:rsid w:val="00B96693"/>
    <w:rsid w:val="00B966CC"/>
    <w:rsid w:val="00B966ED"/>
    <w:rsid w:val="00B9678C"/>
    <w:rsid w:val="00B967EF"/>
    <w:rsid w:val="00B96A31"/>
    <w:rsid w:val="00B96EA2"/>
    <w:rsid w:val="00B970C7"/>
    <w:rsid w:val="00B971D8"/>
    <w:rsid w:val="00B9726B"/>
    <w:rsid w:val="00B97540"/>
    <w:rsid w:val="00B9769F"/>
    <w:rsid w:val="00B97759"/>
    <w:rsid w:val="00B977BD"/>
    <w:rsid w:val="00B97B25"/>
    <w:rsid w:val="00B97B53"/>
    <w:rsid w:val="00B97BA6"/>
    <w:rsid w:val="00B97C18"/>
    <w:rsid w:val="00B97C89"/>
    <w:rsid w:val="00B97D74"/>
    <w:rsid w:val="00B97F34"/>
    <w:rsid w:val="00B97F83"/>
    <w:rsid w:val="00B97F95"/>
    <w:rsid w:val="00BA00E7"/>
    <w:rsid w:val="00BA02E7"/>
    <w:rsid w:val="00BA03E9"/>
    <w:rsid w:val="00BA043B"/>
    <w:rsid w:val="00BA069C"/>
    <w:rsid w:val="00BA07DC"/>
    <w:rsid w:val="00BA083F"/>
    <w:rsid w:val="00BA08D2"/>
    <w:rsid w:val="00BA090B"/>
    <w:rsid w:val="00BA0AE8"/>
    <w:rsid w:val="00BA0B7C"/>
    <w:rsid w:val="00BA0C56"/>
    <w:rsid w:val="00BA0CB5"/>
    <w:rsid w:val="00BA0D9B"/>
    <w:rsid w:val="00BA0E57"/>
    <w:rsid w:val="00BA1001"/>
    <w:rsid w:val="00BA112D"/>
    <w:rsid w:val="00BA113C"/>
    <w:rsid w:val="00BA11FF"/>
    <w:rsid w:val="00BA12AA"/>
    <w:rsid w:val="00BA1431"/>
    <w:rsid w:val="00BA145F"/>
    <w:rsid w:val="00BA16AC"/>
    <w:rsid w:val="00BA1875"/>
    <w:rsid w:val="00BA1884"/>
    <w:rsid w:val="00BA193C"/>
    <w:rsid w:val="00BA197D"/>
    <w:rsid w:val="00BA19AC"/>
    <w:rsid w:val="00BA1A6C"/>
    <w:rsid w:val="00BA1A89"/>
    <w:rsid w:val="00BA1A99"/>
    <w:rsid w:val="00BA1B89"/>
    <w:rsid w:val="00BA1D54"/>
    <w:rsid w:val="00BA1D92"/>
    <w:rsid w:val="00BA1DD3"/>
    <w:rsid w:val="00BA1E69"/>
    <w:rsid w:val="00BA1EC0"/>
    <w:rsid w:val="00BA2315"/>
    <w:rsid w:val="00BA240F"/>
    <w:rsid w:val="00BA2450"/>
    <w:rsid w:val="00BA2528"/>
    <w:rsid w:val="00BA2698"/>
    <w:rsid w:val="00BA295E"/>
    <w:rsid w:val="00BA2B66"/>
    <w:rsid w:val="00BA2D76"/>
    <w:rsid w:val="00BA2E22"/>
    <w:rsid w:val="00BA2F77"/>
    <w:rsid w:val="00BA2FA9"/>
    <w:rsid w:val="00BA3119"/>
    <w:rsid w:val="00BA31E1"/>
    <w:rsid w:val="00BA32B3"/>
    <w:rsid w:val="00BA331C"/>
    <w:rsid w:val="00BA3321"/>
    <w:rsid w:val="00BA3685"/>
    <w:rsid w:val="00BA375E"/>
    <w:rsid w:val="00BA3877"/>
    <w:rsid w:val="00BA39CF"/>
    <w:rsid w:val="00BA39F0"/>
    <w:rsid w:val="00BA3A42"/>
    <w:rsid w:val="00BA3AB1"/>
    <w:rsid w:val="00BA3AE2"/>
    <w:rsid w:val="00BA3C3E"/>
    <w:rsid w:val="00BA3CF2"/>
    <w:rsid w:val="00BA3DBB"/>
    <w:rsid w:val="00BA40E5"/>
    <w:rsid w:val="00BA422B"/>
    <w:rsid w:val="00BA43CF"/>
    <w:rsid w:val="00BA44BD"/>
    <w:rsid w:val="00BA4591"/>
    <w:rsid w:val="00BA4600"/>
    <w:rsid w:val="00BA4615"/>
    <w:rsid w:val="00BA463B"/>
    <w:rsid w:val="00BA4713"/>
    <w:rsid w:val="00BA475E"/>
    <w:rsid w:val="00BA48F8"/>
    <w:rsid w:val="00BA4EAC"/>
    <w:rsid w:val="00BA51FE"/>
    <w:rsid w:val="00BA52B0"/>
    <w:rsid w:val="00BA5423"/>
    <w:rsid w:val="00BA5599"/>
    <w:rsid w:val="00BA5771"/>
    <w:rsid w:val="00BA57F6"/>
    <w:rsid w:val="00BA5913"/>
    <w:rsid w:val="00BA5DC0"/>
    <w:rsid w:val="00BA5DD4"/>
    <w:rsid w:val="00BA6032"/>
    <w:rsid w:val="00BA6055"/>
    <w:rsid w:val="00BA614C"/>
    <w:rsid w:val="00BA61EF"/>
    <w:rsid w:val="00BA62F8"/>
    <w:rsid w:val="00BA6494"/>
    <w:rsid w:val="00BA67D8"/>
    <w:rsid w:val="00BA683D"/>
    <w:rsid w:val="00BA6875"/>
    <w:rsid w:val="00BA6893"/>
    <w:rsid w:val="00BA6A19"/>
    <w:rsid w:val="00BA6A88"/>
    <w:rsid w:val="00BA6B33"/>
    <w:rsid w:val="00BA6E5D"/>
    <w:rsid w:val="00BA6F94"/>
    <w:rsid w:val="00BA70CF"/>
    <w:rsid w:val="00BA7167"/>
    <w:rsid w:val="00BA71E5"/>
    <w:rsid w:val="00BA7296"/>
    <w:rsid w:val="00BA7310"/>
    <w:rsid w:val="00BA754E"/>
    <w:rsid w:val="00BA7604"/>
    <w:rsid w:val="00BA763E"/>
    <w:rsid w:val="00BA76A2"/>
    <w:rsid w:val="00BA7844"/>
    <w:rsid w:val="00BA798D"/>
    <w:rsid w:val="00BA7F1C"/>
    <w:rsid w:val="00BA7FA7"/>
    <w:rsid w:val="00BA7FFC"/>
    <w:rsid w:val="00BB007C"/>
    <w:rsid w:val="00BB012D"/>
    <w:rsid w:val="00BB0542"/>
    <w:rsid w:val="00BB05D8"/>
    <w:rsid w:val="00BB0872"/>
    <w:rsid w:val="00BB0964"/>
    <w:rsid w:val="00BB0BEB"/>
    <w:rsid w:val="00BB0C65"/>
    <w:rsid w:val="00BB0D85"/>
    <w:rsid w:val="00BB1103"/>
    <w:rsid w:val="00BB1136"/>
    <w:rsid w:val="00BB11CB"/>
    <w:rsid w:val="00BB1201"/>
    <w:rsid w:val="00BB1263"/>
    <w:rsid w:val="00BB12A5"/>
    <w:rsid w:val="00BB12EF"/>
    <w:rsid w:val="00BB1369"/>
    <w:rsid w:val="00BB137B"/>
    <w:rsid w:val="00BB1454"/>
    <w:rsid w:val="00BB14AB"/>
    <w:rsid w:val="00BB1A4B"/>
    <w:rsid w:val="00BB1CE0"/>
    <w:rsid w:val="00BB1D86"/>
    <w:rsid w:val="00BB1EB4"/>
    <w:rsid w:val="00BB1F3B"/>
    <w:rsid w:val="00BB22DE"/>
    <w:rsid w:val="00BB232C"/>
    <w:rsid w:val="00BB24E1"/>
    <w:rsid w:val="00BB25CC"/>
    <w:rsid w:val="00BB27B3"/>
    <w:rsid w:val="00BB27B5"/>
    <w:rsid w:val="00BB28C8"/>
    <w:rsid w:val="00BB2CA4"/>
    <w:rsid w:val="00BB2D71"/>
    <w:rsid w:val="00BB2D7D"/>
    <w:rsid w:val="00BB2E8D"/>
    <w:rsid w:val="00BB3156"/>
    <w:rsid w:val="00BB3379"/>
    <w:rsid w:val="00BB3405"/>
    <w:rsid w:val="00BB3589"/>
    <w:rsid w:val="00BB3726"/>
    <w:rsid w:val="00BB3826"/>
    <w:rsid w:val="00BB384A"/>
    <w:rsid w:val="00BB38C6"/>
    <w:rsid w:val="00BB3AA8"/>
    <w:rsid w:val="00BB3BDF"/>
    <w:rsid w:val="00BB3BF9"/>
    <w:rsid w:val="00BB3C42"/>
    <w:rsid w:val="00BB3C8B"/>
    <w:rsid w:val="00BB3DCD"/>
    <w:rsid w:val="00BB3E08"/>
    <w:rsid w:val="00BB3E5B"/>
    <w:rsid w:val="00BB3E9A"/>
    <w:rsid w:val="00BB3F45"/>
    <w:rsid w:val="00BB4741"/>
    <w:rsid w:val="00BB4825"/>
    <w:rsid w:val="00BB4899"/>
    <w:rsid w:val="00BB48D9"/>
    <w:rsid w:val="00BB48FD"/>
    <w:rsid w:val="00BB497E"/>
    <w:rsid w:val="00BB4BB1"/>
    <w:rsid w:val="00BB4DF9"/>
    <w:rsid w:val="00BB4EFD"/>
    <w:rsid w:val="00BB5097"/>
    <w:rsid w:val="00BB52DE"/>
    <w:rsid w:val="00BB52E4"/>
    <w:rsid w:val="00BB53E0"/>
    <w:rsid w:val="00BB5C88"/>
    <w:rsid w:val="00BB5D3D"/>
    <w:rsid w:val="00BB5D3F"/>
    <w:rsid w:val="00BB5FC8"/>
    <w:rsid w:val="00BB6091"/>
    <w:rsid w:val="00BB60E4"/>
    <w:rsid w:val="00BB615D"/>
    <w:rsid w:val="00BB6173"/>
    <w:rsid w:val="00BB62CB"/>
    <w:rsid w:val="00BB62D3"/>
    <w:rsid w:val="00BB62E2"/>
    <w:rsid w:val="00BB62FB"/>
    <w:rsid w:val="00BB64B1"/>
    <w:rsid w:val="00BB6500"/>
    <w:rsid w:val="00BB6637"/>
    <w:rsid w:val="00BB666C"/>
    <w:rsid w:val="00BB67EF"/>
    <w:rsid w:val="00BB6AAA"/>
    <w:rsid w:val="00BB6C2A"/>
    <w:rsid w:val="00BB6DA1"/>
    <w:rsid w:val="00BB6E1A"/>
    <w:rsid w:val="00BB6FC8"/>
    <w:rsid w:val="00BB738F"/>
    <w:rsid w:val="00BB7411"/>
    <w:rsid w:val="00BB7428"/>
    <w:rsid w:val="00BB74F8"/>
    <w:rsid w:val="00BB77E7"/>
    <w:rsid w:val="00BB7BDD"/>
    <w:rsid w:val="00BB7C4E"/>
    <w:rsid w:val="00BB7DDF"/>
    <w:rsid w:val="00BB7EB4"/>
    <w:rsid w:val="00BB7FF2"/>
    <w:rsid w:val="00BC03EC"/>
    <w:rsid w:val="00BC0407"/>
    <w:rsid w:val="00BC0487"/>
    <w:rsid w:val="00BC0551"/>
    <w:rsid w:val="00BC0735"/>
    <w:rsid w:val="00BC090C"/>
    <w:rsid w:val="00BC09C1"/>
    <w:rsid w:val="00BC0D03"/>
    <w:rsid w:val="00BC0FAB"/>
    <w:rsid w:val="00BC1527"/>
    <w:rsid w:val="00BC154A"/>
    <w:rsid w:val="00BC172A"/>
    <w:rsid w:val="00BC1A25"/>
    <w:rsid w:val="00BC1BA5"/>
    <w:rsid w:val="00BC1BD3"/>
    <w:rsid w:val="00BC1BE8"/>
    <w:rsid w:val="00BC1E45"/>
    <w:rsid w:val="00BC1E5B"/>
    <w:rsid w:val="00BC1F42"/>
    <w:rsid w:val="00BC2264"/>
    <w:rsid w:val="00BC22E1"/>
    <w:rsid w:val="00BC2338"/>
    <w:rsid w:val="00BC236B"/>
    <w:rsid w:val="00BC23CF"/>
    <w:rsid w:val="00BC257C"/>
    <w:rsid w:val="00BC259D"/>
    <w:rsid w:val="00BC25C1"/>
    <w:rsid w:val="00BC26A4"/>
    <w:rsid w:val="00BC270C"/>
    <w:rsid w:val="00BC2748"/>
    <w:rsid w:val="00BC27FF"/>
    <w:rsid w:val="00BC2801"/>
    <w:rsid w:val="00BC28FF"/>
    <w:rsid w:val="00BC2B08"/>
    <w:rsid w:val="00BC2B6E"/>
    <w:rsid w:val="00BC2C80"/>
    <w:rsid w:val="00BC2CBD"/>
    <w:rsid w:val="00BC2F78"/>
    <w:rsid w:val="00BC2F7B"/>
    <w:rsid w:val="00BC30CF"/>
    <w:rsid w:val="00BC30EA"/>
    <w:rsid w:val="00BC330F"/>
    <w:rsid w:val="00BC33DE"/>
    <w:rsid w:val="00BC3402"/>
    <w:rsid w:val="00BC342F"/>
    <w:rsid w:val="00BC350B"/>
    <w:rsid w:val="00BC35E2"/>
    <w:rsid w:val="00BC36AE"/>
    <w:rsid w:val="00BC36E4"/>
    <w:rsid w:val="00BC386A"/>
    <w:rsid w:val="00BC38F0"/>
    <w:rsid w:val="00BC391E"/>
    <w:rsid w:val="00BC3968"/>
    <w:rsid w:val="00BC3AD6"/>
    <w:rsid w:val="00BC3CBF"/>
    <w:rsid w:val="00BC3E81"/>
    <w:rsid w:val="00BC3FE5"/>
    <w:rsid w:val="00BC40F5"/>
    <w:rsid w:val="00BC43C8"/>
    <w:rsid w:val="00BC4400"/>
    <w:rsid w:val="00BC44D2"/>
    <w:rsid w:val="00BC4515"/>
    <w:rsid w:val="00BC45AD"/>
    <w:rsid w:val="00BC46BD"/>
    <w:rsid w:val="00BC4718"/>
    <w:rsid w:val="00BC49DE"/>
    <w:rsid w:val="00BC4AF4"/>
    <w:rsid w:val="00BC4B64"/>
    <w:rsid w:val="00BC4CCD"/>
    <w:rsid w:val="00BC4E35"/>
    <w:rsid w:val="00BC4EF6"/>
    <w:rsid w:val="00BC509D"/>
    <w:rsid w:val="00BC51EF"/>
    <w:rsid w:val="00BC527D"/>
    <w:rsid w:val="00BC530F"/>
    <w:rsid w:val="00BC543E"/>
    <w:rsid w:val="00BC55E7"/>
    <w:rsid w:val="00BC58DB"/>
    <w:rsid w:val="00BC59ED"/>
    <w:rsid w:val="00BC5BE9"/>
    <w:rsid w:val="00BC5DD1"/>
    <w:rsid w:val="00BC6054"/>
    <w:rsid w:val="00BC62F6"/>
    <w:rsid w:val="00BC6553"/>
    <w:rsid w:val="00BC659C"/>
    <w:rsid w:val="00BC6851"/>
    <w:rsid w:val="00BC690A"/>
    <w:rsid w:val="00BC6ACF"/>
    <w:rsid w:val="00BC6C9E"/>
    <w:rsid w:val="00BC7030"/>
    <w:rsid w:val="00BC7222"/>
    <w:rsid w:val="00BC72CC"/>
    <w:rsid w:val="00BC739F"/>
    <w:rsid w:val="00BC7459"/>
    <w:rsid w:val="00BC7662"/>
    <w:rsid w:val="00BC7706"/>
    <w:rsid w:val="00BC7B81"/>
    <w:rsid w:val="00BC7EC9"/>
    <w:rsid w:val="00BC7F28"/>
    <w:rsid w:val="00BC7F88"/>
    <w:rsid w:val="00BD0157"/>
    <w:rsid w:val="00BD0234"/>
    <w:rsid w:val="00BD03F2"/>
    <w:rsid w:val="00BD052C"/>
    <w:rsid w:val="00BD0548"/>
    <w:rsid w:val="00BD05E2"/>
    <w:rsid w:val="00BD0673"/>
    <w:rsid w:val="00BD073D"/>
    <w:rsid w:val="00BD0C1D"/>
    <w:rsid w:val="00BD0F21"/>
    <w:rsid w:val="00BD117D"/>
    <w:rsid w:val="00BD125A"/>
    <w:rsid w:val="00BD133F"/>
    <w:rsid w:val="00BD13EB"/>
    <w:rsid w:val="00BD141E"/>
    <w:rsid w:val="00BD1456"/>
    <w:rsid w:val="00BD14E8"/>
    <w:rsid w:val="00BD1516"/>
    <w:rsid w:val="00BD1519"/>
    <w:rsid w:val="00BD1563"/>
    <w:rsid w:val="00BD1717"/>
    <w:rsid w:val="00BD1793"/>
    <w:rsid w:val="00BD1914"/>
    <w:rsid w:val="00BD1952"/>
    <w:rsid w:val="00BD1A67"/>
    <w:rsid w:val="00BD1B1E"/>
    <w:rsid w:val="00BD1D70"/>
    <w:rsid w:val="00BD1EB6"/>
    <w:rsid w:val="00BD1F5F"/>
    <w:rsid w:val="00BD1F8E"/>
    <w:rsid w:val="00BD267D"/>
    <w:rsid w:val="00BD2879"/>
    <w:rsid w:val="00BD2BA7"/>
    <w:rsid w:val="00BD2CBE"/>
    <w:rsid w:val="00BD2E70"/>
    <w:rsid w:val="00BD2E92"/>
    <w:rsid w:val="00BD2EB5"/>
    <w:rsid w:val="00BD2EB6"/>
    <w:rsid w:val="00BD2F82"/>
    <w:rsid w:val="00BD301D"/>
    <w:rsid w:val="00BD3147"/>
    <w:rsid w:val="00BD324F"/>
    <w:rsid w:val="00BD34E2"/>
    <w:rsid w:val="00BD35A7"/>
    <w:rsid w:val="00BD35F5"/>
    <w:rsid w:val="00BD36F0"/>
    <w:rsid w:val="00BD3722"/>
    <w:rsid w:val="00BD3773"/>
    <w:rsid w:val="00BD377B"/>
    <w:rsid w:val="00BD3783"/>
    <w:rsid w:val="00BD379B"/>
    <w:rsid w:val="00BD3931"/>
    <w:rsid w:val="00BD39C1"/>
    <w:rsid w:val="00BD3BA5"/>
    <w:rsid w:val="00BD3D07"/>
    <w:rsid w:val="00BD40C4"/>
    <w:rsid w:val="00BD40DD"/>
    <w:rsid w:val="00BD43EC"/>
    <w:rsid w:val="00BD4426"/>
    <w:rsid w:val="00BD45A0"/>
    <w:rsid w:val="00BD45CA"/>
    <w:rsid w:val="00BD4661"/>
    <w:rsid w:val="00BD46B2"/>
    <w:rsid w:val="00BD4768"/>
    <w:rsid w:val="00BD4919"/>
    <w:rsid w:val="00BD49D2"/>
    <w:rsid w:val="00BD4C00"/>
    <w:rsid w:val="00BD4CF7"/>
    <w:rsid w:val="00BD4F6E"/>
    <w:rsid w:val="00BD502C"/>
    <w:rsid w:val="00BD5368"/>
    <w:rsid w:val="00BD5423"/>
    <w:rsid w:val="00BD5427"/>
    <w:rsid w:val="00BD542D"/>
    <w:rsid w:val="00BD5459"/>
    <w:rsid w:val="00BD54D3"/>
    <w:rsid w:val="00BD56D0"/>
    <w:rsid w:val="00BD56F1"/>
    <w:rsid w:val="00BD5726"/>
    <w:rsid w:val="00BD5B2A"/>
    <w:rsid w:val="00BD5C35"/>
    <w:rsid w:val="00BD5DD2"/>
    <w:rsid w:val="00BD5F05"/>
    <w:rsid w:val="00BD5FA2"/>
    <w:rsid w:val="00BD6072"/>
    <w:rsid w:val="00BD614C"/>
    <w:rsid w:val="00BD6253"/>
    <w:rsid w:val="00BD6259"/>
    <w:rsid w:val="00BD62C7"/>
    <w:rsid w:val="00BD6359"/>
    <w:rsid w:val="00BD63C9"/>
    <w:rsid w:val="00BD646C"/>
    <w:rsid w:val="00BD64BF"/>
    <w:rsid w:val="00BD64F3"/>
    <w:rsid w:val="00BD65D6"/>
    <w:rsid w:val="00BD6667"/>
    <w:rsid w:val="00BD6786"/>
    <w:rsid w:val="00BD67E1"/>
    <w:rsid w:val="00BD681B"/>
    <w:rsid w:val="00BD6970"/>
    <w:rsid w:val="00BD6A52"/>
    <w:rsid w:val="00BD6BD6"/>
    <w:rsid w:val="00BD6F39"/>
    <w:rsid w:val="00BD6F5E"/>
    <w:rsid w:val="00BD724E"/>
    <w:rsid w:val="00BD72CF"/>
    <w:rsid w:val="00BD749C"/>
    <w:rsid w:val="00BD75E1"/>
    <w:rsid w:val="00BD773F"/>
    <w:rsid w:val="00BD7967"/>
    <w:rsid w:val="00BD798B"/>
    <w:rsid w:val="00BD798D"/>
    <w:rsid w:val="00BD79C5"/>
    <w:rsid w:val="00BD7B0D"/>
    <w:rsid w:val="00BD7BB5"/>
    <w:rsid w:val="00BD7D40"/>
    <w:rsid w:val="00BD7F4C"/>
    <w:rsid w:val="00BE0218"/>
    <w:rsid w:val="00BE04FE"/>
    <w:rsid w:val="00BE066F"/>
    <w:rsid w:val="00BE0911"/>
    <w:rsid w:val="00BE0941"/>
    <w:rsid w:val="00BE0AED"/>
    <w:rsid w:val="00BE0E18"/>
    <w:rsid w:val="00BE0FD9"/>
    <w:rsid w:val="00BE1064"/>
    <w:rsid w:val="00BE10FD"/>
    <w:rsid w:val="00BE11BC"/>
    <w:rsid w:val="00BE11EE"/>
    <w:rsid w:val="00BE13E0"/>
    <w:rsid w:val="00BE15B1"/>
    <w:rsid w:val="00BE174D"/>
    <w:rsid w:val="00BE180F"/>
    <w:rsid w:val="00BE19B3"/>
    <w:rsid w:val="00BE1A96"/>
    <w:rsid w:val="00BE1AA8"/>
    <w:rsid w:val="00BE1BC5"/>
    <w:rsid w:val="00BE1BF6"/>
    <w:rsid w:val="00BE22B9"/>
    <w:rsid w:val="00BE234F"/>
    <w:rsid w:val="00BE2393"/>
    <w:rsid w:val="00BE23E3"/>
    <w:rsid w:val="00BE259B"/>
    <w:rsid w:val="00BE268D"/>
    <w:rsid w:val="00BE27F2"/>
    <w:rsid w:val="00BE291C"/>
    <w:rsid w:val="00BE292A"/>
    <w:rsid w:val="00BE2A7B"/>
    <w:rsid w:val="00BE2C7E"/>
    <w:rsid w:val="00BE2FBA"/>
    <w:rsid w:val="00BE316F"/>
    <w:rsid w:val="00BE321B"/>
    <w:rsid w:val="00BE329C"/>
    <w:rsid w:val="00BE33CD"/>
    <w:rsid w:val="00BE33F5"/>
    <w:rsid w:val="00BE33FE"/>
    <w:rsid w:val="00BE3504"/>
    <w:rsid w:val="00BE3546"/>
    <w:rsid w:val="00BE35DE"/>
    <w:rsid w:val="00BE35EE"/>
    <w:rsid w:val="00BE3711"/>
    <w:rsid w:val="00BE39CC"/>
    <w:rsid w:val="00BE3A45"/>
    <w:rsid w:val="00BE3BFA"/>
    <w:rsid w:val="00BE3C1C"/>
    <w:rsid w:val="00BE3D18"/>
    <w:rsid w:val="00BE3E99"/>
    <w:rsid w:val="00BE3EE8"/>
    <w:rsid w:val="00BE4069"/>
    <w:rsid w:val="00BE4120"/>
    <w:rsid w:val="00BE4149"/>
    <w:rsid w:val="00BE4288"/>
    <w:rsid w:val="00BE4559"/>
    <w:rsid w:val="00BE4684"/>
    <w:rsid w:val="00BE471E"/>
    <w:rsid w:val="00BE4915"/>
    <w:rsid w:val="00BE4940"/>
    <w:rsid w:val="00BE498A"/>
    <w:rsid w:val="00BE514F"/>
    <w:rsid w:val="00BE5259"/>
    <w:rsid w:val="00BE565A"/>
    <w:rsid w:val="00BE5803"/>
    <w:rsid w:val="00BE592A"/>
    <w:rsid w:val="00BE5B0B"/>
    <w:rsid w:val="00BE5E12"/>
    <w:rsid w:val="00BE5EC6"/>
    <w:rsid w:val="00BE5F8E"/>
    <w:rsid w:val="00BE5FB9"/>
    <w:rsid w:val="00BE61F8"/>
    <w:rsid w:val="00BE6228"/>
    <w:rsid w:val="00BE6387"/>
    <w:rsid w:val="00BE63B5"/>
    <w:rsid w:val="00BE64E4"/>
    <w:rsid w:val="00BE6523"/>
    <w:rsid w:val="00BE6916"/>
    <w:rsid w:val="00BE698D"/>
    <w:rsid w:val="00BE6A5B"/>
    <w:rsid w:val="00BE6B36"/>
    <w:rsid w:val="00BE6CAB"/>
    <w:rsid w:val="00BE6FC6"/>
    <w:rsid w:val="00BE716C"/>
    <w:rsid w:val="00BE71DF"/>
    <w:rsid w:val="00BE74ED"/>
    <w:rsid w:val="00BE74F2"/>
    <w:rsid w:val="00BE750A"/>
    <w:rsid w:val="00BE7AD9"/>
    <w:rsid w:val="00BE7B82"/>
    <w:rsid w:val="00BE7C29"/>
    <w:rsid w:val="00BE7C5E"/>
    <w:rsid w:val="00BE7CC9"/>
    <w:rsid w:val="00BE7D12"/>
    <w:rsid w:val="00BE7DDC"/>
    <w:rsid w:val="00BE7EEE"/>
    <w:rsid w:val="00BF019A"/>
    <w:rsid w:val="00BF01F8"/>
    <w:rsid w:val="00BF0358"/>
    <w:rsid w:val="00BF0391"/>
    <w:rsid w:val="00BF03A9"/>
    <w:rsid w:val="00BF0652"/>
    <w:rsid w:val="00BF06B7"/>
    <w:rsid w:val="00BF06E4"/>
    <w:rsid w:val="00BF0912"/>
    <w:rsid w:val="00BF09FD"/>
    <w:rsid w:val="00BF0A5E"/>
    <w:rsid w:val="00BF0CC9"/>
    <w:rsid w:val="00BF0D15"/>
    <w:rsid w:val="00BF0D31"/>
    <w:rsid w:val="00BF0E9E"/>
    <w:rsid w:val="00BF0EE4"/>
    <w:rsid w:val="00BF1032"/>
    <w:rsid w:val="00BF1222"/>
    <w:rsid w:val="00BF12B1"/>
    <w:rsid w:val="00BF15DD"/>
    <w:rsid w:val="00BF161A"/>
    <w:rsid w:val="00BF16C6"/>
    <w:rsid w:val="00BF17EF"/>
    <w:rsid w:val="00BF1A40"/>
    <w:rsid w:val="00BF1AF1"/>
    <w:rsid w:val="00BF1B77"/>
    <w:rsid w:val="00BF1BC8"/>
    <w:rsid w:val="00BF1CE5"/>
    <w:rsid w:val="00BF1E39"/>
    <w:rsid w:val="00BF1F7A"/>
    <w:rsid w:val="00BF1FBA"/>
    <w:rsid w:val="00BF203B"/>
    <w:rsid w:val="00BF210C"/>
    <w:rsid w:val="00BF21F2"/>
    <w:rsid w:val="00BF22EB"/>
    <w:rsid w:val="00BF2456"/>
    <w:rsid w:val="00BF2485"/>
    <w:rsid w:val="00BF24D6"/>
    <w:rsid w:val="00BF25A4"/>
    <w:rsid w:val="00BF270A"/>
    <w:rsid w:val="00BF2759"/>
    <w:rsid w:val="00BF27A1"/>
    <w:rsid w:val="00BF2ACD"/>
    <w:rsid w:val="00BF2C14"/>
    <w:rsid w:val="00BF2E17"/>
    <w:rsid w:val="00BF2F71"/>
    <w:rsid w:val="00BF30A1"/>
    <w:rsid w:val="00BF319E"/>
    <w:rsid w:val="00BF3256"/>
    <w:rsid w:val="00BF3375"/>
    <w:rsid w:val="00BF3536"/>
    <w:rsid w:val="00BF3581"/>
    <w:rsid w:val="00BF35CF"/>
    <w:rsid w:val="00BF3601"/>
    <w:rsid w:val="00BF3658"/>
    <w:rsid w:val="00BF37C7"/>
    <w:rsid w:val="00BF3802"/>
    <w:rsid w:val="00BF399B"/>
    <w:rsid w:val="00BF3C78"/>
    <w:rsid w:val="00BF3CFD"/>
    <w:rsid w:val="00BF3E7B"/>
    <w:rsid w:val="00BF3EB5"/>
    <w:rsid w:val="00BF3EE8"/>
    <w:rsid w:val="00BF40FC"/>
    <w:rsid w:val="00BF4171"/>
    <w:rsid w:val="00BF417B"/>
    <w:rsid w:val="00BF457E"/>
    <w:rsid w:val="00BF465E"/>
    <w:rsid w:val="00BF4702"/>
    <w:rsid w:val="00BF4803"/>
    <w:rsid w:val="00BF48AB"/>
    <w:rsid w:val="00BF4C44"/>
    <w:rsid w:val="00BF4F15"/>
    <w:rsid w:val="00BF4F6D"/>
    <w:rsid w:val="00BF514B"/>
    <w:rsid w:val="00BF5194"/>
    <w:rsid w:val="00BF51E0"/>
    <w:rsid w:val="00BF52B4"/>
    <w:rsid w:val="00BF53D6"/>
    <w:rsid w:val="00BF574E"/>
    <w:rsid w:val="00BF5945"/>
    <w:rsid w:val="00BF599A"/>
    <w:rsid w:val="00BF5A06"/>
    <w:rsid w:val="00BF5C69"/>
    <w:rsid w:val="00BF5CA6"/>
    <w:rsid w:val="00BF5CB3"/>
    <w:rsid w:val="00BF5D01"/>
    <w:rsid w:val="00BF5DA1"/>
    <w:rsid w:val="00BF6004"/>
    <w:rsid w:val="00BF605D"/>
    <w:rsid w:val="00BF6153"/>
    <w:rsid w:val="00BF629D"/>
    <w:rsid w:val="00BF63B6"/>
    <w:rsid w:val="00BF6501"/>
    <w:rsid w:val="00BF68B8"/>
    <w:rsid w:val="00BF69BF"/>
    <w:rsid w:val="00BF6C5B"/>
    <w:rsid w:val="00BF6C8E"/>
    <w:rsid w:val="00BF6CE4"/>
    <w:rsid w:val="00BF6DBE"/>
    <w:rsid w:val="00BF6DCE"/>
    <w:rsid w:val="00BF71CC"/>
    <w:rsid w:val="00BF75F9"/>
    <w:rsid w:val="00BF7650"/>
    <w:rsid w:val="00BF7651"/>
    <w:rsid w:val="00BF765A"/>
    <w:rsid w:val="00BF774B"/>
    <w:rsid w:val="00BF7775"/>
    <w:rsid w:val="00BF7793"/>
    <w:rsid w:val="00BF7838"/>
    <w:rsid w:val="00BF7C67"/>
    <w:rsid w:val="00BF7E3D"/>
    <w:rsid w:val="00BF7E94"/>
    <w:rsid w:val="00BF7EC0"/>
    <w:rsid w:val="00BF7EDE"/>
    <w:rsid w:val="00C002C9"/>
    <w:rsid w:val="00C003CA"/>
    <w:rsid w:val="00C004B3"/>
    <w:rsid w:val="00C00777"/>
    <w:rsid w:val="00C00910"/>
    <w:rsid w:val="00C00959"/>
    <w:rsid w:val="00C00A3B"/>
    <w:rsid w:val="00C00CF7"/>
    <w:rsid w:val="00C00DC7"/>
    <w:rsid w:val="00C00DFA"/>
    <w:rsid w:val="00C00EAF"/>
    <w:rsid w:val="00C00FAC"/>
    <w:rsid w:val="00C010B7"/>
    <w:rsid w:val="00C0112A"/>
    <w:rsid w:val="00C01140"/>
    <w:rsid w:val="00C01169"/>
    <w:rsid w:val="00C011C8"/>
    <w:rsid w:val="00C012B8"/>
    <w:rsid w:val="00C01319"/>
    <w:rsid w:val="00C013D0"/>
    <w:rsid w:val="00C014BA"/>
    <w:rsid w:val="00C0151E"/>
    <w:rsid w:val="00C0159C"/>
    <w:rsid w:val="00C017EE"/>
    <w:rsid w:val="00C01900"/>
    <w:rsid w:val="00C01ADE"/>
    <w:rsid w:val="00C01B50"/>
    <w:rsid w:val="00C01C34"/>
    <w:rsid w:val="00C01CEE"/>
    <w:rsid w:val="00C01E21"/>
    <w:rsid w:val="00C02024"/>
    <w:rsid w:val="00C0218B"/>
    <w:rsid w:val="00C0222E"/>
    <w:rsid w:val="00C02269"/>
    <w:rsid w:val="00C022D9"/>
    <w:rsid w:val="00C02524"/>
    <w:rsid w:val="00C026F2"/>
    <w:rsid w:val="00C028CC"/>
    <w:rsid w:val="00C02AB1"/>
    <w:rsid w:val="00C02BB1"/>
    <w:rsid w:val="00C02C6E"/>
    <w:rsid w:val="00C02D2F"/>
    <w:rsid w:val="00C02E59"/>
    <w:rsid w:val="00C02FBC"/>
    <w:rsid w:val="00C030AA"/>
    <w:rsid w:val="00C03219"/>
    <w:rsid w:val="00C0339A"/>
    <w:rsid w:val="00C0345A"/>
    <w:rsid w:val="00C03487"/>
    <w:rsid w:val="00C034E8"/>
    <w:rsid w:val="00C03715"/>
    <w:rsid w:val="00C0392E"/>
    <w:rsid w:val="00C03970"/>
    <w:rsid w:val="00C03980"/>
    <w:rsid w:val="00C03CE5"/>
    <w:rsid w:val="00C03CED"/>
    <w:rsid w:val="00C03DDC"/>
    <w:rsid w:val="00C03F64"/>
    <w:rsid w:val="00C043E7"/>
    <w:rsid w:val="00C04625"/>
    <w:rsid w:val="00C04641"/>
    <w:rsid w:val="00C04675"/>
    <w:rsid w:val="00C0486B"/>
    <w:rsid w:val="00C04974"/>
    <w:rsid w:val="00C04A0B"/>
    <w:rsid w:val="00C04A30"/>
    <w:rsid w:val="00C04B97"/>
    <w:rsid w:val="00C04BF3"/>
    <w:rsid w:val="00C04C31"/>
    <w:rsid w:val="00C04C39"/>
    <w:rsid w:val="00C04EDE"/>
    <w:rsid w:val="00C04FE0"/>
    <w:rsid w:val="00C053AA"/>
    <w:rsid w:val="00C0560C"/>
    <w:rsid w:val="00C057DC"/>
    <w:rsid w:val="00C05872"/>
    <w:rsid w:val="00C058F1"/>
    <w:rsid w:val="00C059D6"/>
    <w:rsid w:val="00C05A3A"/>
    <w:rsid w:val="00C05C6C"/>
    <w:rsid w:val="00C05D83"/>
    <w:rsid w:val="00C05EF0"/>
    <w:rsid w:val="00C05F39"/>
    <w:rsid w:val="00C05F40"/>
    <w:rsid w:val="00C06168"/>
    <w:rsid w:val="00C062DE"/>
    <w:rsid w:val="00C06315"/>
    <w:rsid w:val="00C06427"/>
    <w:rsid w:val="00C06709"/>
    <w:rsid w:val="00C06AEB"/>
    <w:rsid w:val="00C06C40"/>
    <w:rsid w:val="00C06CC9"/>
    <w:rsid w:val="00C06D7A"/>
    <w:rsid w:val="00C06DE3"/>
    <w:rsid w:val="00C06E41"/>
    <w:rsid w:val="00C0700A"/>
    <w:rsid w:val="00C0733E"/>
    <w:rsid w:val="00C07487"/>
    <w:rsid w:val="00C074D4"/>
    <w:rsid w:val="00C07926"/>
    <w:rsid w:val="00C07AF6"/>
    <w:rsid w:val="00C07DC1"/>
    <w:rsid w:val="00C10132"/>
    <w:rsid w:val="00C101DC"/>
    <w:rsid w:val="00C1050D"/>
    <w:rsid w:val="00C10547"/>
    <w:rsid w:val="00C10697"/>
    <w:rsid w:val="00C10824"/>
    <w:rsid w:val="00C10BDE"/>
    <w:rsid w:val="00C10C77"/>
    <w:rsid w:val="00C10D8E"/>
    <w:rsid w:val="00C11139"/>
    <w:rsid w:val="00C113C1"/>
    <w:rsid w:val="00C11493"/>
    <w:rsid w:val="00C114F6"/>
    <w:rsid w:val="00C11554"/>
    <w:rsid w:val="00C115FA"/>
    <w:rsid w:val="00C11609"/>
    <w:rsid w:val="00C116BF"/>
    <w:rsid w:val="00C1181E"/>
    <w:rsid w:val="00C11A39"/>
    <w:rsid w:val="00C11A96"/>
    <w:rsid w:val="00C11BFC"/>
    <w:rsid w:val="00C11C94"/>
    <w:rsid w:val="00C11C9A"/>
    <w:rsid w:val="00C12012"/>
    <w:rsid w:val="00C120ED"/>
    <w:rsid w:val="00C120FD"/>
    <w:rsid w:val="00C12253"/>
    <w:rsid w:val="00C12354"/>
    <w:rsid w:val="00C123F9"/>
    <w:rsid w:val="00C124C0"/>
    <w:rsid w:val="00C12509"/>
    <w:rsid w:val="00C12532"/>
    <w:rsid w:val="00C12545"/>
    <w:rsid w:val="00C12580"/>
    <w:rsid w:val="00C12634"/>
    <w:rsid w:val="00C1269B"/>
    <w:rsid w:val="00C129D7"/>
    <w:rsid w:val="00C12B4C"/>
    <w:rsid w:val="00C12D5C"/>
    <w:rsid w:val="00C12ED4"/>
    <w:rsid w:val="00C12EF4"/>
    <w:rsid w:val="00C12F63"/>
    <w:rsid w:val="00C13096"/>
    <w:rsid w:val="00C130A1"/>
    <w:rsid w:val="00C1393E"/>
    <w:rsid w:val="00C13A8F"/>
    <w:rsid w:val="00C13A92"/>
    <w:rsid w:val="00C13D73"/>
    <w:rsid w:val="00C13D86"/>
    <w:rsid w:val="00C13E21"/>
    <w:rsid w:val="00C140A9"/>
    <w:rsid w:val="00C140E8"/>
    <w:rsid w:val="00C14436"/>
    <w:rsid w:val="00C14440"/>
    <w:rsid w:val="00C14491"/>
    <w:rsid w:val="00C1453E"/>
    <w:rsid w:val="00C14563"/>
    <w:rsid w:val="00C1469C"/>
    <w:rsid w:val="00C14823"/>
    <w:rsid w:val="00C1495C"/>
    <w:rsid w:val="00C14967"/>
    <w:rsid w:val="00C1496B"/>
    <w:rsid w:val="00C14A5B"/>
    <w:rsid w:val="00C14BBB"/>
    <w:rsid w:val="00C14E3A"/>
    <w:rsid w:val="00C14E80"/>
    <w:rsid w:val="00C14FAF"/>
    <w:rsid w:val="00C14FC5"/>
    <w:rsid w:val="00C14FDE"/>
    <w:rsid w:val="00C150D9"/>
    <w:rsid w:val="00C151E6"/>
    <w:rsid w:val="00C1521A"/>
    <w:rsid w:val="00C15223"/>
    <w:rsid w:val="00C15236"/>
    <w:rsid w:val="00C152F4"/>
    <w:rsid w:val="00C15328"/>
    <w:rsid w:val="00C155F7"/>
    <w:rsid w:val="00C1562B"/>
    <w:rsid w:val="00C159E2"/>
    <w:rsid w:val="00C15A8D"/>
    <w:rsid w:val="00C15EA1"/>
    <w:rsid w:val="00C15EA8"/>
    <w:rsid w:val="00C15F80"/>
    <w:rsid w:val="00C160CC"/>
    <w:rsid w:val="00C1617F"/>
    <w:rsid w:val="00C1658D"/>
    <w:rsid w:val="00C16892"/>
    <w:rsid w:val="00C16B08"/>
    <w:rsid w:val="00C16B09"/>
    <w:rsid w:val="00C16BDE"/>
    <w:rsid w:val="00C16C29"/>
    <w:rsid w:val="00C16D68"/>
    <w:rsid w:val="00C16DC9"/>
    <w:rsid w:val="00C16ED6"/>
    <w:rsid w:val="00C1713C"/>
    <w:rsid w:val="00C17253"/>
    <w:rsid w:val="00C1735D"/>
    <w:rsid w:val="00C173A0"/>
    <w:rsid w:val="00C17440"/>
    <w:rsid w:val="00C17521"/>
    <w:rsid w:val="00C17582"/>
    <w:rsid w:val="00C177F3"/>
    <w:rsid w:val="00C17828"/>
    <w:rsid w:val="00C17A62"/>
    <w:rsid w:val="00C17C10"/>
    <w:rsid w:val="00C17CF0"/>
    <w:rsid w:val="00C17D68"/>
    <w:rsid w:val="00C2011D"/>
    <w:rsid w:val="00C2062F"/>
    <w:rsid w:val="00C206A8"/>
    <w:rsid w:val="00C20759"/>
    <w:rsid w:val="00C20ADA"/>
    <w:rsid w:val="00C20B6A"/>
    <w:rsid w:val="00C20C73"/>
    <w:rsid w:val="00C20E06"/>
    <w:rsid w:val="00C20E5C"/>
    <w:rsid w:val="00C2104E"/>
    <w:rsid w:val="00C21335"/>
    <w:rsid w:val="00C2134D"/>
    <w:rsid w:val="00C21466"/>
    <w:rsid w:val="00C2163B"/>
    <w:rsid w:val="00C217FA"/>
    <w:rsid w:val="00C2181E"/>
    <w:rsid w:val="00C218FA"/>
    <w:rsid w:val="00C218FB"/>
    <w:rsid w:val="00C21A33"/>
    <w:rsid w:val="00C21ADA"/>
    <w:rsid w:val="00C21AF1"/>
    <w:rsid w:val="00C21BEF"/>
    <w:rsid w:val="00C21C7B"/>
    <w:rsid w:val="00C21DE4"/>
    <w:rsid w:val="00C21E49"/>
    <w:rsid w:val="00C22085"/>
    <w:rsid w:val="00C221E4"/>
    <w:rsid w:val="00C2241A"/>
    <w:rsid w:val="00C22529"/>
    <w:rsid w:val="00C22998"/>
    <w:rsid w:val="00C22CCC"/>
    <w:rsid w:val="00C22D9B"/>
    <w:rsid w:val="00C22EE5"/>
    <w:rsid w:val="00C230A9"/>
    <w:rsid w:val="00C231BA"/>
    <w:rsid w:val="00C2321D"/>
    <w:rsid w:val="00C232A8"/>
    <w:rsid w:val="00C233AE"/>
    <w:rsid w:val="00C23456"/>
    <w:rsid w:val="00C23470"/>
    <w:rsid w:val="00C23598"/>
    <w:rsid w:val="00C236D8"/>
    <w:rsid w:val="00C239F7"/>
    <w:rsid w:val="00C23AA8"/>
    <w:rsid w:val="00C23AD6"/>
    <w:rsid w:val="00C23BAF"/>
    <w:rsid w:val="00C23BD2"/>
    <w:rsid w:val="00C23BDA"/>
    <w:rsid w:val="00C23CD3"/>
    <w:rsid w:val="00C23DF3"/>
    <w:rsid w:val="00C23E76"/>
    <w:rsid w:val="00C23F50"/>
    <w:rsid w:val="00C23F8E"/>
    <w:rsid w:val="00C23FAB"/>
    <w:rsid w:val="00C23FE3"/>
    <w:rsid w:val="00C240B4"/>
    <w:rsid w:val="00C24232"/>
    <w:rsid w:val="00C2425F"/>
    <w:rsid w:val="00C24344"/>
    <w:rsid w:val="00C24423"/>
    <w:rsid w:val="00C247BA"/>
    <w:rsid w:val="00C24829"/>
    <w:rsid w:val="00C24A7B"/>
    <w:rsid w:val="00C24C5D"/>
    <w:rsid w:val="00C24CAA"/>
    <w:rsid w:val="00C24F65"/>
    <w:rsid w:val="00C25106"/>
    <w:rsid w:val="00C2526D"/>
    <w:rsid w:val="00C25303"/>
    <w:rsid w:val="00C2541D"/>
    <w:rsid w:val="00C25459"/>
    <w:rsid w:val="00C254F4"/>
    <w:rsid w:val="00C255D1"/>
    <w:rsid w:val="00C25672"/>
    <w:rsid w:val="00C2580B"/>
    <w:rsid w:val="00C258D8"/>
    <w:rsid w:val="00C25CC2"/>
    <w:rsid w:val="00C25D53"/>
    <w:rsid w:val="00C25D5B"/>
    <w:rsid w:val="00C25DFD"/>
    <w:rsid w:val="00C25F9B"/>
    <w:rsid w:val="00C2646C"/>
    <w:rsid w:val="00C26795"/>
    <w:rsid w:val="00C26949"/>
    <w:rsid w:val="00C26A39"/>
    <w:rsid w:val="00C26AE8"/>
    <w:rsid w:val="00C26B72"/>
    <w:rsid w:val="00C26CD3"/>
    <w:rsid w:val="00C26D18"/>
    <w:rsid w:val="00C26F6A"/>
    <w:rsid w:val="00C26FC2"/>
    <w:rsid w:val="00C2702D"/>
    <w:rsid w:val="00C27218"/>
    <w:rsid w:val="00C2738D"/>
    <w:rsid w:val="00C274A3"/>
    <w:rsid w:val="00C275A2"/>
    <w:rsid w:val="00C275FE"/>
    <w:rsid w:val="00C27679"/>
    <w:rsid w:val="00C27723"/>
    <w:rsid w:val="00C27725"/>
    <w:rsid w:val="00C2773F"/>
    <w:rsid w:val="00C27819"/>
    <w:rsid w:val="00C278AE"/>
    <w:rsid w:val="00C278ED"/>
    <w:rsid w:val="00C27C46"/>
    <w:rsid w:val="00C27DA7"/>
    <w:rsid w:val="00C27DFF"/>
    <w:rsid w:val="00C27E13"/>
    <w:rsid w:val="00C27E3A"/>
    <w:rsid w:val="00C30058"/>
    <w:rsid w:val="00C30115"/>
    <w:rsid w:val="00C3023C"/>
    <w:rsid w:val="00C30645"/>
    <w:rsid w:val="00C3078F"/>
    <w:rsid w:val="00C30811"/>
    <w:rsid w:val="00C308BA"/>
    <w:rsid w:val="00C3090E"/>
    <w:rsid w:val="00C3095C"/>
    <w:rsid w:val="00C3096F"/>
    <w:rsid w:val="00C30990"/>
    <w:rsid w:val="00C30AC2"/>
    <w:rsid w:val="00C30ADE"/>
    <w:rsid w:val="00C30CBF"/>
    <w:rsid w:val="00C30D1A"/>
    <w:rsid w:val="00C30FB6"/>
    <w:rsid w:val="00C30FB7"/>
    <w:rsid w:val="00C30FE4"/>
    <w:rsid w:val="00C310ED"/>
    <w:rsid w:val="00C314F9"/>
    <w:rsid w:val="00C315D9"/>
    <w:rsid w:val="00C31684"/>
    <w:rsid w:val="00C3168C"/>
    <w:rsid w:val="00C3175E"/>
    <w:rsid w:val="00C318E9"/>
    <w:rsid w:val="00C318F9"/>
    <w:rsid w:val="00C319BA"/>
    <w:rsid w:val="00C31AA2"/>
    <w:rsid w:val="00C31EEA"/>
    <w:rsid w:val="00C31F22"/>
    <w:rsid w:val="00C31F46"/>
    <w:rsid w:val="00C31FB3"/>
    <w:rsid w:val="00C32120"/>
    <w:rsid w:val="00C32284"/>
    <w:rsid w:val="00C3258E"/>
    <w:rsid w:val="00C32762"/>
    <w:rsid w:val="00C32768"/>
    <w:rsid w:val="00C327C5"/>
    <w:rsid w:val="00C328D8"/>
    <w:rsid w:val="00C3296B"/>
    <w:rsid w:val="00C32BC1"/>
    <w:rsid w:val="00C32C0C"/>
    <w:rsid w:val="00C32C2F"/>
    <w:rsid w:val="00C32D2C"/>
    <w:rsid w:val="00C3309E"/>
    <w:rsid w:val="00C332D9"/>
    <w:rsid w:val="00C334E0"/>
    <w:rsid w:val="00C3350F"/>
    <w:rsid w:val="00C33750"/>
    <w:rsid w:val="00C33787"/>
    <w:rsid w:val="00C337FF"/>
    <w:rsid w:val="00C33956"/>
    <w:rsid w:val="00C339A0"/>
    <w:rsid w:val="00C33E1E"/>
    <w:rsid w:val="00C33E37"/>
    <w:rsid w:val="00C341BD"/>
    <w:rsid w:val="00C341BE"/>
    <w:rsid w:val="00C34259"/>
    <w:rsid w:val="00C3435F"/>
    <w:rsid w:val="00C3473B"/>
    <w:rsid w:val="00C3481E"/>
    <w:rsid w:val="00C3487A"/>
    <w:rsid w:val="00C34891"/>
    <w:rsid w:val="00C3498B"/>
    <w:rsid w:val="00C349DC"/>
    <w:rsid w:val="00C34B3A"/>
    <w:rsid w:val="00C34C17"/>
    <w:rsid w:val="00C34D55"/>
    <w:rsid w:val="00C34E61"/>
    <w:rsid w:val="00C34EBA"/>
    <w:rsid w:val="00C350B5"/>
    <w:rsid w:val="00C352BF"/>
    <w:rsid w:val="00C352F5"/>
    <w:rsid w:val="00C35492"/>
    <w:rsid w:val="00C3559D"/>
    <w:rsid w:val="00C357DB"/>
    <w:rsid w:val="00C35BBE"/>
    <w:rsid w:val="00C35D44"/>
    <w:rsid w:val="00C35EAA"/>
    <w:rsid w:val="00C360F0"/>
    <w:rsid w:val="00C36160"/>
    <w:rsid w:val="00C361E1"/>
    <w:rsid w:val="00C36239"/>
    <w:rsid w:val="00C362CF"/>
    <w:rsid w:val="00C36358"/>
    <w:rsid w:val="00C364B2"/>
    <w:rsid w:val="00C36773"/>
    <w:rsid w:val="00C369A3"/>
    <w:rsid w:val="00C36B1A"/>
    <w:rsid w:val="00C36B87"/>
    <w:rsid w:val="00C36BF2"/>
    <w:rsid w:val="00C36C15"/>
    <w:rsid w:val="00C36F26"/>
    <w:rsid w:val="00C37237"/>
    <w:rsid w:val="00C374FB"/>
    <w:rsid w:val="00C37536"/>
    <w:rsid w:val="00C376C3"/>
    <w:rsid w:val="00C37800"/>
    <w:rsid w:val="00C3785B"/>
    <w:rsid w:val="00C37963"/>
    <w:rsid w:val="00C37A97"/>
    <w:rsid w:val="00C37ABA"/>
    <w:rsid w:val="00C37B07"/>
    <w:rsid w:val="00C37B4C"/>
    <w:rsid w:val="00C37DE4"/>
    <w:rsid w:val="00C40227"/>
    <w:rsid w:val="00C40250"/>
    <w:rsid w:val="00C4085C"/>
    <w:rsid w:val="00C40B54"/>
    <w:rsid w:val="00C40BE5"/>
    <w:rsid w:val="00C40DAF"/>
    <w:rsid w:val="00C40FAB"/>
    <w:rsid w:val="00C410AC"/>
    <w:rsid w:val="00C410B7"/>
    <w:rsid w:val="00C41182"/>
    <w:rsid w:val="00C41367"/>
    <w:rsid w:val="00C4143E"/>
    <w:rsid w:val="00C41628"/>
    <w:rsid w:val="00C418A1"/>
    <w:rsid w:val="00C418A7"/>
    <w:rsid w:val="00C4194B"/>
    <w:rsid w:val="00C41C69"/>
    <w:rsid w:val="00C41CF7"/>
    <w:rsid w:val="00C41E31"/>
    <w:rsid w:val="00C42079"/>
    <w:rsid w:val="00C42119"/>
    <w:rsid w:val="00C42131"/>
    <w:rsid w:val="00C422CA"/>
    <w:rsid w:val="00C4232D"/>
    <w:rsid w:val="00C42347"/>
    <w:rsid w:val="00C423EE"/>
    <w:rsid w:val="00C42407"/>
    <w:rsid w:val="00C42663"/>
    <w:rsid w:val="00C4267B"/>
    <w:rsid w:val="00C426EF"/>
    <w:rsid w:val="00C4273A"/>
    <w:rsid w:val="00C42838"/>
    <w:rsid w:val="00C42880"/>
    <w:rsid w:val="00C42B54"/>
    <w:rsid w:val="00C42BCE"/>
    <w:rsid w:val="00C42BFA"/>
    <w:rsid w:val="00C42C1D"/>
    <w:rsid w:val="00C42C60"/>
    <w:rsid w:val="00C42FEA"/>
    <w:rsid w:val="00C43085"/>
    <w:rsid w:val="00C432E9"/>
    <w:rsid w:val="00C43526"/>
    <w:rsid w:val="00C4379C"/>
    <w:rsid w:val="00C43815"/>
    <w:rsid w:val="00C43AC2"/>
    <w:rsid w:val="00C43BF7"/>
    <w:rsid w:val="00C43CAB"/>
    <w:rsid w:val="00C43EC2"/>
    <w:rsid w:val="00C43FF5"/>
    <w:rsid w:val="00C44038"/>
    <w:rsid w:val="00C441E2"/>
    <w:rsid w:val="00C44201"/>
    <w:rsid w:val="00C443BB"/>
    <w:rsid w:val="00C4447C"/>
    <w:rsid w:val="00C4458C"/>
    <w:rsid w:val="00C447EC"/>
    <w:rsid w:val="00C44862"/>
    <w:rsid w:val="00C448A2"/>
    <w:rsid w:val="00C44A89"/>
    <w:rsid w:val="00C44ACD"/>
    <w:rsid w:val="00C44C04"/>
    <w:rsid w:val="00C44C5E"/>
    <w:rsid w:val="00C44D1B"/>
    <w:rsid w:val="00C45051"/>
    <w:rsid w:val="00C451CB"/>
    <w:rsid w:val="00C452A7"/>
    <w:rsid w:val="00C4537B"/>
    <w:rsid w:val="00C45381"/>
    <w:rsid w:val="00C4538A"/>
    <w:rsid w:val="00C45441"/>
    <w:rsid w:val="00C45583"/>
    <w:rsid w:val="00C455B4"/>
    <w:rsid w:val="00C456F4"/>
    <w:rsid w:val="00C4571B"/>
    <w:rsid w:val="00C457B4"/>
    <w:rsid w:val="00C457B8"/>
    <w:rsid w:val="00C45941"/>
    <w:rsid w:val="00C45950"/>
    <w:rsid w:val="00C45B6C"/>
    <w:rsid w:val="00C45C42"/>
    <w:rsid w:val="00C45EA1"/>
    <w:rsid w:val="00C45FF0"/>
    <w:rsid w:val="00C46029"/>
    <w:rsid w:val="00C46068"/>
    <w:rsid w:val="00C4607D"/>
    <w:rsid w:val="00C460FD"/>
    <w:rsid w:val="00C463D1"/>
    <w:rsid w:val="00C464C6"/>
    <w:rsid w:val="00C466D1"/>
    <w:rsid w:val="00C46759"/>
    <w:rsid w:val="00C4680A"/>
    <w:rsid w:val="00C46A2D"/>
    <w:rsid w:val="00C46C0C"/>
    <w:rsid w:val="00C46C3D"/>
    <w:rsid w:val="00C46D2F"/>
    <w:rsid w:val="00C46E0A"/>
    <w:rsid w:val="00C46FCB"/>
    <w:rsid w:val="00C4724C"/>
    <w:rsid w:val="00C476AD"/>
    <w:rsid w:val="00C47802"/>
    <w:rsid w:val="00C478CB"/>
    <w:rsid w:val="00C47958"/>
    <w:rsid w:val="00C47DF3"/>
    <w:rsid w:val="00C47E75"/>
    <w:rsid w:val="00C47F09"/>
    <w:rsid w:val="00C47FC6"/>
    <w:rsid w:val="00C5027F"/>
    <w:rsid w:val="00C503DB"/>
    <w:rsid w:val="00C503F7"/>
    <w:rsid w:val="00C5055C"/>
    <w:rsid w:val="00C5077D"/>
    <w:rsid w:val="00C50793"/>
    <w:rsid w:val="00C50873"/>
    <w:rsid w:val="00C509F0"/>
    <w:rsid w:val="00C50BC0"/>
    <w:rsid w:val="00C50C52"/>
    <w:rsid w:val="00C50D00"/>
    <w:rsid w:val="00C50F78"/>
    <w:rsid w:val="00C5120F"/>
    <w:rsid w:val="00C51291"/>
    <w:rsid w:val="00C5135C"/>
    <w:rsid w:val="00C514D4"/>
    <w:rsid w:val="00C5156B"/>
    <w:rsid w:val="00C5156D"/>
    <w:rsid w:val="00C5168C"/>
    <w:rsid w:val="00C518BE"/>
    <w:rsid w:val="00C51975"/>
    <w:rsid w:val="00C51A9E"/>
    <w:rsid w:val="00C51CBA"/>
    <w:rsid w:val="00C5201F"/>
    <w:rsid w:val="00C5206E"/>
    <w:rsid w:val="00C52CE4"/>
    <w:rsid w:val="00C52E01"/>
    <w:rsid w:val="00C52F5E"/>
    <w:rsid w:val="00C5302A"/>
    <w:rsid w:val="00C53158"/>
    <w:rsid w:val="00C5328A"/>
    <w:rsid w:val="00C532D8"/>
    <w:rsid w:val="00C53870"/>
    <w:rsid w:val="00C53938"/>
    <w:rsid w:val="00C53A2B"/>
    <w:rsid w:val="00C53A8E"/>
    <w:rsid w:val="00C53AEB"/>
    <w:rsid w:val="00C53AFC"/>
    <w:rsid w:val="00C53C7B"/>
    <w:rsid w:val="00C53CA8"/>
    <w:rsid w:val="00C53DAE"/>
    <w:rsid w:val="00C53F27"/>
    <w:rsid w:val="00C540AB"/>
    <w:rsid w:val="00C54293"/>
    <w:rsid w:val="00C54472"/>
    <w:rsid w:val="00C5447B"/>
    <w:rsid w:val="00C54505"/>
    <w:rsid w:val="00C5467B"/>
    <w:rsid w:val="00C546B1"/>
    <w:rsid w:val="00C546E8"/>
    <w:rsid w:val="00C547C3"/>
    <w:rsid w:val="00C54973"/>
    <w:rsid w:val="00C54AD6"/>
    <w:rsid w:val="00C54C44"/>
    <w:rsid w:val="00C54E46"/>
    <w:rsid w:val="00C55038"/>
    <w:rsid w:val="00C55219"/>
    <w:rsid w:val="00C552B8"/>
    <w:rsid w:val="00C55381"/>
    <w:rsid w:val="00C5556C"/>
    <w:rsid w:val="00C55643"/>
    <w:rsid w:val="00C559A8"/>
    <w:rsid w:val="00C55A16"/>
    <w:rsid w:val="00C55ACF"/>
    <w:rsid w:val="00C55B0E"/>
    <w:rsid w:val="00C55D5A"/>
    <w:rsid w:val="00C55F8A"/>
    <w:rsid w:val="00C560FA"/>
    <w:rsid w:val="00C564B2"/>
    <w:rsid w:val="00C56775"/>
    <w:rsid w:val="00C567D6"/>
    <w:rsid w:val="00C56809"/>
    <w:rsid w:val="00C568CB"/>
    <w:rsid w:val="00C568E9"/>
    <w:rsid w:val="00C56981"/>
    <w:rsid w:val="00C5698C"/>
    <w:rsid w:val="00C56AD4"/>
    <w:rsid w:val="00C56AF8"/>
    <w:rsid w:val="00C56C51"/>
    <w:rsid w:val="00C56E1B"/>
    <w:rsid w:val="00C56EC9"/>
    <w:rsid w:val="00C56FB1"/>
    <w:rsid w:val="00C57097"/>
    <w:rsid w:val="00C5711F"/>
    <w:rsid w:val="00C5715C"/>
    <w:rsid w:val="00C571AA"/>
    <w:rsid w:val="00C57353"/>
    <w:rsid w:val="00C5737F"/>
    <w:rsid w:val="00C57479"/>
    <w:rsid w:val="00C575ED"/>
    <w:rsid w:val="00C5768B"/>
    <w:rsid w:val="00C57834"/>
    <w:rsid w:val="00C578C6"/>
    <w:rsid w:val="00C57B07"/>
    <w:rsid w:val="00C57D54"/>
    <w:rsid w:val="00C57DB8"/>
    <w:rsid w:val="00C57EF6"/>
    <w:rsid w:val="00C57FA2"/>
    <w:rsid w:val="00C6036F"/>
    <w:rsid w:val="00C604DD"/>
    <w:rsid w:val="00C6057C"/>
    <w:rsid w:val="00C608E7"/>
    <w:rsid w:val="00C60929"/>
    <w:rsid w:val="00C60A13"/>
    <w:rsid w:val="00C60AB5"/>
    <w:rsid w:val="00C60C93"/>
    <w:rsid w:val="00C60CEA"/>
    <w:rsid w:val="00C60D63"/>
    <w:rsid w:val="00C61001"/>
    <w:rsid w:val="00C6124A"/>
    <w:rsid w:val="00C6125A"/>
    <w:rsid w:val="00C61475"/>
    <w:rsid w:val="00C61640"/>
    <w:rsid w:val="00C6184C"/>
    <w:rsid w:val="00C61897"/>
    <w:rsid w:val="00C61946"/>
    <w:rsid w:val="00C61B8B"/>
    <w:rsid w:val="00C61C57"/>
    <w:rsid w:val="00C61E92"/>
    <w:rsid w:val="00C61F5A"/>
    <w:rsid w:val="00C62058"/>
    <w:rsid w:val="00C623CC"/>
    <w:rsid w:val="00C624A4"/>
    <w:rsid w:val="00C62516"/>
    <w:rsid w:val="00C62533"/>
    <w:rsid w:val="00C6271F"/>
    <w:rsid w:val="00C62753"/>
    <w:rsid w:val="00C62B2A"/>
    <w:rsid w:val="00C62C15"/>
    <w:rsid w:val="00C62CD8"/>
    <w:rsid w:val="00C62D57"/>
    <w:rsid w:val="00C6317B"/>
    <w:rsid w:val="00C6390E"/>
    <w:rsid w:val="00C63ECA"/>
    <w:rsid w:val="00C6408E"/>
    <w:rsid w:val="00C64239"/>
    <w:rsid w:val="00C64348"/>
    <w:rsid w:val="00C6441D"/>
    <w:rsid w:val="00C644E2"/>
    <w:rsid w:val="00C6466C"/>
    <w:rsid w:val="00C646A5"/>
    <w:rsid w:val="00C649B5"/>
    <w:rsid w:val="00C649B7"/>
    <w:rsid w:val="00C64B49"/>
    <w:rsid w:val="00C64BB0"/>
    <w:rsid w:val="00C64DAE"/>
    <w:rsid w:val="00C64FB9"/>
    <w:rsid w:val="00C64FE5"/>
    <w:rsid w:val="00C6513C"/>
    <w:rsid w:val="00C65184"/>
    <w:rsid w:val="00C65277"/>
    <w:rsid w:val="00C65638"/>
    <w:rsid w:val="00C6563C"/>
    <w:rsid w:val="00C656A2"/>
    <w:rsid w:val="00C65972"/>
    <w:rsid w:val="00C65E22"/>
    <w:rsid w:val="00C65E26"/>
    <w:rsid w:val="00C65EBD"/>
    <w:rsid w:val="00C66231"/>
    <w:rsid w:val="00C6626C"/>
    <w:rsid w:val="00C663CF"/>
    <w:rsid w:val="00C664F4"/>
    <w:rsid w:val="00C666CD"/>
    <w:rsid w:val="00C667A8"/>
    <w:rsid w:val="00C667C2"/>
    <w:rsid w:val="00C667E6"/>
    <w:rsid w:val="00C66BAC"/>
    <w:rsid w:val="00C66E2F"/>
    <w:rsid w:val="00C66E77"/>
    <w:rsid w:val="00C66F20"/>
    <w:rsid w:val="00C66FDE"/>
    <w:rsid w:val="00C671A0"/>
    <w:rsid w:val="00C676E9"/>
    <w:rsid w:val="00C679BE"/>
    <w:rsid w:val="00C67A59"/>
    <w:rsid w:val="00C67A60"/>
    <w:rsid w:val="00C67C56"/>
    <w:rsid w:val="00C67D37"/>
    <w:rsid w:val="00C67F53"/>
    <w:rsid w:val="00C67F72"/>
    <w:rsid w:val="00C70016"/>
    <w:rsid w:val="00C70075"/>
    <w:rsid w:val="00C700FF"/>
    <w:rsid w:val="00C701B2"/>
    <w:rsid w:val="00C70416"/>
    <w:rsid w:val="00C70642"/>
    <w:rsid w:val="00C70886"/>
    <w:rsid w:val="00C7088D"/>
    <w:rsid w:val="00C708D2"/>
    <w:rsid w:val="00C70AFB"/>
    <w:rsid w:val="00C70B4E"/>
    <w:rsid w:val="00C70D51"/>
    <w:rsid w:val="00C70E3A"/>
    <w:rsid w:val="00C71059"/>
    <w:rsid w:val="00C71316"/>
    <w:rsid w:val="00C71370"/>
    <w:rsid w:val="00C71413"/>
    <w:rsid w:val="00C71429"/>
    <w:rsid w:val="00C715D2"/>
    <w:rsid w:val="00C71665"/>
    <w:rsid w:val="00C7178C"/>
    <w:rsid w:val="00C71A29"/>
    <w:rsid w:val="00C71AF4"/>
    <w:rsid w:val="00C71BDB"/>
    <w:rsid w:val="00C71DF7"/>
    <w:rsid w:val="00C71E12"/>
    <w:rsid w:val="00C7219B"/>
    <w:rsid w:val="00C722C3"/>
    <w:rsid w:val="00C7256D"/>
    <w:rsid w:val="00C72662"/>
    <w:rsid w:val="00C7271C"/>
    <w:rsid w:val="00C727C1"/>
    <w:rsid w:val="00C72AFA"/>
    <w:rsid w:val="00C72BB7"/>
    <w:rsid w:val="00C72BEF"/>
    <w:rsid w:val="00C72C99"/>
    <w:rsid w:val="00C72D9E"/>
    <w:rsid w:val="00C72DE1"/>
    <w:rsid w:val="00C72EBE"/>
    <w:rsid w:val="00C72EC6"/>
    <w:rsid w:val="00C731B0"/>
    <w:rsid w:val="00C7321C"/>
    <w:rsid w:val="00C73415"/>
    <w:rsid w:val="00C7345D"/>
    <w:rsid w:val="00C7364E"/>
    <w:rsid w:val="00C73678"/>
    <w:rsid w:val="00C739B6"/>
    <w:rsid w:val="00C73ACC"/>
    <w:rsid w:val="00C73BEE"/>
    <w:rsid w:val="00C73D51"/>
    <w:rsid w:val="00C73E10"/>
    <w:rsid w:val="00C7411D"/>
    <w:rsid w:val="00C74181"/>
    <w:rsid w:val="00C741C9"/>
    <w:rsid w:val="00C741F5"/>
    <w:rsid w:val="00C7423F"/>
    <w:rsid w:val="00C74415"/>
    <w:rsid w:val="00C74441"/>
    <w:rsid w:val="00C74698"/>
    <w:rsid w:val="00C746CC"/>
    <w:rsid w:val="00C7474E"/>
    <w:rsid w:val="00C74AD8"/>
    <w:rsid w:val="00C74CC9"/>
    <w:rsid w:val="00C74EA9"/>
    <w:rsid w:val="00C74FB6"/>
    <w:rsid w:val="00C75155"/>
    <w:rsid w:val="00C75493"/>
    <w:rsid w:val="00C75677"/>
    <w:rsid w:val="00C75BAC"/>
    <w:rsid w:val="00C75D05"/>
    <w:rsid w:val="00C75ED1"/>
    <w:rsid w:val="00C75F58"/>
    <w:rsid w:val="00C760B6"/>
    <w:rsid w:val="00C761C7"/>
    <w:rsid w:val="00C764BF"/>
    <w:rsid w:val="00C765BA"/>
    <w:rsid w:val="00C765C4"/>
    <w:rsid w:val="00C76725"/>
    <w:rsid w:val="00C769AB"/>
    <w:rsid w:val="00C76B32"/>
    <w:rsid w:val="00C76CD4"/>
    <w:rsid w:val="00C771A2"/>
    <w:rsid w:val="00C77223"/>
    <w:rsid w:val="00C7735D"/>
    <w:rsid w:val="00C774EC"/>
    <w:rsid w:val="00C77651"/>
    <w:rsid w:val="00C7777B"/>
    <w:rsid w:val="00C777E0"/>
    <w:rsid w:val="00C77834"/>
    <w:rsid w:val="00C77890"/>
    <w:rsid w:val="00C778B0"/>
    <w:rsid w:val="00C778E6"/>
    <w:rsid w:val="00C77911"/>
    <w:rsid w:val="00C77A37"/>
    <w:rsid w:val="00C77B24"/>
    <w:rsid w:val="00C77B50"/>
    <w:rsid w:val="00C77B7D"/>
    <w:rsid w:val="00C77B91"/>
    <w:rsid w:val="00C77C08"/>
    <w:rsid w:val="00C77C26"/>
    <w:rsid w:val="00C77CCE"/>
    <w:rsid w:val="00C77D79"/>
    <w:rsid w:val="00C77FCC"/>
    <w:rsid w:val="00C77FF7"/>
    <w:rsid w:val="00C8028D"/>
    <w:rsid w:val="00C80393"/>
    <w:rsid w:val="00C8051D"/>
    <w:rsid w:val="00C80572"/>
    <w:rsid w:val="00C8059D"/>
    <w:rsid w:val="00C80741"/>
    <w:rsid w:val="00C809EF"/>
    <w:rsid w:val="00C80A65"/>
    <w:rsid w:val="00C80E8C"/>
    <w:rsid w:val="00C81022"/>
    <w:rsid w:val="00C81098"/>
    <w:rsid w:val="00C81213"/>
    <w:rsid w:val="00C812CE"/>
    <w:rsid w:val="00C8133C"/>
    <w:rsid w:val="00C815B2"/>
    <w:rsid w:val="00C817CF"/>
    <w:rsid w:val="00C81934"/>
    <w:rsid w:val="00C81A54"/>
    <w:rsid w:val="00C81CDB"/>
    <w:rsid w:val="00C81ED3"/>
    <w:rsid w:val="00C81F1C"/>
    <w:rsid w:val="00C81F72"/>
    <w:rsid w:val="00C81FF3"/>
    <w:rsid w:val="00C8202B"/>
    <w:rsid w:val="00C8213B"/>
    <w:rsid w:val="00C821A7"/>
    <w:rsid w:val="00C822B7"/>
    <w:rsid w:val="00C8236B"/>
    <w:rsid w:val="00C8240C"/>
    <w:rsid w:val="00C828D8"/>
    <w:rsid w:val="00C828DB"/>
    <w:rsid w:val="00C82909"/>
    <w:rsid w:val="00C82952"/>
    <w:rsid w:val="00C829C9"/>
    <w:rsid w:val="00C82B2A"/>
    <w:rsid w:val="00C82B46"/>
    <w:rsid w:val="00C82D4C"/>
    <w:rsid w:val="00C82E93"/>
    <w:rsid w:val="00C82F13"/>
    <w:rsid w:val="00C82F49"/>
    <w:rsid w:val="00C833D4"/>
    <w:rsid w:val="00C83434"/>
    <w:rsid w:val="00C834E2"/>
    <w:rsid w:val="00C8352D"/>
    <w:rsid w:val="00C83551"/>
    <w:rsid w:val="00C8355F"/>
    <w:rsid w:val="00C8357F"/>
    <w:rsid w:val="00C8367B"/>
    <w:rsid w:val="00C83808"/>
    <w:rsid w:val="00C838AD"/>
    <w:rsid w:val="00C83978"/>
    <w:rsid w:val="00C83C5C"/>
    <w:rsid w:val="00C83E1C"/>
    <w:rsid w:val="00C83E32"/>
    <w:rsid w:val="00C83E8F"/>
    <w:rsid w:val="00C840E2"/>
    <w:rsid w:val="00C8418C"/>
    <w:rsid w:val="00C84389"/>
    <w:rsid w:val="00C843D8"/>
    <w:rsid w:val="00C843ED"/>
    <w:rsid w:val="00C846E3"/>
    <w:rsid w:val="00C8476D"/>
    <w:rsid w:val="00C847C0"/>
    <w:rsid w:val="00C84891"/>
    <w:rsid w:val="00C84922"/>
    <w:rsid w:val="00C84959"/>
    <w:rsid w:val="00C84BB9"/>
    <w:rsid w:val="00C84CB5"/>
    <w:rsid w:val="00C84D0B"/>
    <w:rsid w:val="00C84D56"/>
    <w:rsid w:val="00C85354"/>
    <w:rsid w:val="00C8564E"/>
    <w:rsid w:val="00C856D6"/>
    <w:rsid w:val="00C85DFA"/>
    <w:rsid w:val="00C85EC7"/>
    <w:rsid w:val="00C85F01"/>
    <w:rsid w:val="00C85F47"/>
    <w:rsid w:val="00C86017"/>
    <w:rsid w:val="00C86030"/>
    <w:rsid w:val="00C86294"/>
    <w:rsid w:val="00C8632C"/>
    <w:rsid w:val="00C864CA"/>
    <w:rsid w:val="00C864FA"/>
    <w:rsid w:val="00C8655D"/>
    <w:rsid w:val="00C86571"/>
    <w:rsid w:val="00C86750"/>
    <w:rsid w:val="00C867A4"/>
    <w:rsid w:val="00C86A19"/>
    <w:rsid w:val="00C86A8C"/>
    <w:rsid w:val="00C86AC2"/>
    <w:rsid w:val="00C86C04"/>
    <w:rsid w:val="00C86C26"/>
    <w:rsid w:val="00C86DE0"/>
    <w:rsid w:val="00C86E52"/>
    <w:rsid w:val="00C86F45"/>
    <w:rsid w:val="00C86F4B"/>
    <w:rsid w:val="00C8701B"/>
    <w:rsid w:val="00C87235"/>
    <w:rsid w:val="00C87245"/>
    <w:rsid w:val="00C87292"/>
    <w:rsid w:val="00C873AE"/>
    <w:rsid w:val="00C87668"/>
    <w:rsid w:val="00C876C4"/>
    <w:rsid w:val="00C877C1"/>
    <w:rsid w:val="00C87B3C"/>
    <w:rsid w:val="00C87B68"/>
    <w:rsid w:val="00C87C9A"/>
    <w:rsid w:val="00C87F5A"/>
    <w:rsid w:val="00C87FDB"/>
    <w:rsid w:val="00C87FFE"/>
    <w:rsid w:val="00C90011"/>
    <w:rsid w:val="00C901AA"/>
    <w:rsid w:val="00C901FD"/>
    <w:rsid w:val="00C9050C"/>
    <w:rsid w:val="00C90551"/>
    <w:rsid w:val="00C905E0"/>
    <w:rsid w:val="00C9081A"/>
    <w:rsid w:val="00C90BB3"/>
    <w:rsid w:val="00C90BC8"/>
    <w:rsid w:val="00C90C0A"/>
    <w:rsid w:val="00C90C33"/>
    <w:rsid w:val="00C910E6"/>
    <w:rsid w:val="00C91197"/>
    <w:rsid w:val="00C9119E"/>
    <w:rsid w:val="00C9128E"/>
    <w:rsid w:val="00C913AD"/>
    <w:rsid w:val="00C91434"/>
    <w:rsid w:val="00C9155A"/>
    <w:rsid w:val="00C915A2"/>
    <w:rsid w:val="00C9193E"/>
    <w:rsid w:val="00C9196F"/>
    <w:rsid w:val="00C91B2C"/>
    <w:rsid w:val="00C91C78"/>
    <w:rsid w:val="00C91E0B"/>
    <w:rsid w:val="00C91E69"/>
    <w:rsid w:val="00C92022"/>
    <w:rsid w:val="00C921C1"/>
    <w:rsid w:val="00C922BF"/>
    <w:rsid w:val="00C92318"/>
    <w:rsid w:val="00C9243F"/>
    <w:rsid w:val="00C9248B"/>
    <w:rsid w:val="00C9255D"/>
    <w:rsid w:val="00C92770"/>
    <w:rsid w:val="00C928A1"/>
    <w:rsid w:val="00C92A50"/>
    <w:rsid w:val="00C92BF4"/>
    <w:rsid w:val="00C92C1B"/>
    <w:rsid w:val="00C92C59"/>
    <w:rsid w:val="00C92E45"/>
    <w:rsid w:val="00C92E95"/>
    <w:rsid w:val="00C932E7"/>
    <w:rsid w:val="00C93844"/>
    <w:rsid w:val="00C93935"/>
    <w:rsid w:val="00C939AC"/>
    <w:rsid w:val="00C93AB0"/>
    <w:rsid w:val="00C93B48"/>
    <w:rsid w:val="00C93B83"/>
    <w:rsid w:val="00C93C05"/>
    <w:rsid w:val="00C93C1E"/>
    <w:rsid w:val="00C93C68"/>
    <w:rsid w:val="00C93FDA"/>
    <w:rsid w:val="00C940C6"/>
    <w:rsid w:val="00C94133"/>
    <w:rsid w:val="00C94175"/>
    <w:rsid w:val="00C94180"/>
    <w:rsid w:val="00C94488"/>
    <w:rsid w:val="00C9465E"/>
    <w:rsid w:val="00C94674"/>
    <w:rsid w:val="00C9479B"/>
    <w:rsid w:val="00C947C9"/>
    <w:rsid w:val="00C948EA"/>
    <w:rsid w:val="00C949B6"/>
    <w:rsid w:val="00C94A07"/>
    <w:rsid w:val="00C94EBB"/>
    <w:rsid w:val="00C94F0E"/>
    <w:rsid w:val="00C94FED"/>
    <w:rsid w:val="00C951CE"/>
    <w:rsid w:val="00C951F1"/>
    <w:rsid w:val="00C95227"/>
    <w:rsid w:val="00C95242"/>
    <w:rsid w:val="00C9529C"/>
    <w:rsid w:val="00C95396"/>
    <w:rsid w:val="00C953C2"/>
    <w:rsid w:val="00C95730"/>
    <w:rsid w:val="00C95926"/>
    <w:rsid w:val="00C959BA"/>
    <w:rsid w:val="00C959D9"/>
    <w:rsid w:val="00C95BAD"/>
    <w:rsid w:val="00C95BFC"/>
    <w:rsid w:val="00C95C0E"/>
    <w:rsid w:val="00C95D0D"/>
    <w:rsid w:val="00C960F4"/>
    <w:rsid w:val="00C961CA"/>
    <w:rsid w:val="00C961F8"/>
    <w:rsid w:val="00C9627A"/>
    <w:rsid w:val="00C96332"/>
    <w:rsid w:val="00C9635F"/>
    <w:rsid w:val="00C964D0"/>
    <w:rsid w:val="00C9653C"/>
    <w:rsid w:val="00C96743"/>
    <w:rsid w:val="00C9699E"/>
    <w:rsid w:val="00C96C34"/>
    <w:rsid w:val="00C96C4C"/>
    <w:rsid w:val="00C96C8B"/>
    <w:rsid w:val="00C96CDD"/>
    <w:rsid w:val="00C96CEB"/>
    <w:rsid w:val="00C96E98"/>
    <w:rsid w:val="00C96F62"/>
    <w:rsid w:val="00C96F7A"/>
    <w:rsid w:val="00C96FF0"/>
    <w:rsid w:val="00C97065"/>
    <w:rsid w:val="00C971BC"/>
    <w:rsid w:val="00C97260"/>
    <w:rsid w:val="00C97340"/>
    <w:rsid w:val="00C97653"/>
    <w:rsid w:val="00C977D6"/>
    <w:rsid w:val="00C97832"/>
    <w:rsid w:val="00C97BC3"/>
    <w:rsid w:val="00CA00B2"/>
    <w:rsid w:val="00CA00E2"/>
    <w:rsid w:val="00CA01BE"/>
    <w:rsid w:val="00CA02BB"/>
    <w:rsid w:val="00CA056A"/>
    <w:rsid w:val="00CA05EF"/>
    <w:rsid w:val="00CA070E"/>
    <w:rsid w:val="00CA071D"/>
    <w:rsid w:val="00CA0940"/>
    <w:rsid w:val="00CA09CA"/>
    <w:rsid w:val="00CA0A56"/>
    <w:rsid w:val="00CA0AE2"/>
    <w:rsid w:val="00CA0B11"/>
    <w:rsid w:val="00CA0CF3"/>
    <w:rsid w:val="00CA0FDD"/>
    <w:rsid w:val="00CA1086"/>
    <w:rsid w:val="00CA1137"/>
    <w:rsid w:val="00CA1252"/>
    <w:rsid w:val="00CA1275"/>
    <w:rsid w:val="00CA1277"/>
    <w:rsid w:val="00CA12FE"/>
    <w:rsid w:val="00CA145F"/>
    <w:rsid w:val="00CA1712"/>
    <w:rsid w:val="00CA18DB"/>
    <w:rsid w:val="00CA1999"/>
    <w:rsid w:val="00CA19CB"/>
    <w:rsid w:val="00CA19FA"/>
    <w:rsid w:val="00CA1A50"/>
    <w:rsid w:val="00CA1B3D"/>
    <w:rsid w:val="00CA1E7A"/>
    <w:rsid w:val="00CA1EAF"/>
    <w:rsid w:val="00CA1FB0"/>
    <w:rsid w:val="00CA2008"/>
    <w:rsid w:val="00CA230C"/>
    <w:rsid w:val="00CA2493"/>
    <w:rsid w:val="00CA25A6"/>
    <w:rsid w:val="00CA25E7"/>
    <w:rsid w:val="00CA25EB"/>
    <w:rsid w:val="00CA2663"/>
    <w:rsid w:val="00CA2764"/>
    <w:rsid w:val="00CA2827"/>
    <w:rsid w:val="00CA28D5"/>
    <w:rsid w:val="00CA2B1B"/>
    <w:rsid w:val="00CA2BAF"/>
    <w:rsid w:val="00CA2D6C"/>
    <w:rsid w:val="00CA3159"/>
    <w:rsid w:val="00CA3327"/>
    <w:rsid w:val="00CA3421"/>
    <w:rsid w:val="00CA3538"/>
    <w:rsid w:val="00CA358A"/>
    <w:rsid w:val="00CA35E6"/>
    <w:rsid w:val="00CA3782"/>
    <w:rsid w:val="00CA3992"/>
    <w:rsid w:val="00CA3A79"/>
    <w:rsid w:val="00CA3ADB"/>
    <w:rsid w:val="00CA3D63"/>
    <w:rsid w:val="00CA3F66"/>
    <w:rsid w:val="00CA408D"/>
    <w:rsid w:val="00CA427E"/>
    <w:rsid w:val="00CA42D6"/>
    <w:rsid w:val="00CA446A"/>
    <w:rsid w:val="00CA4493"/>
    <w:rsid w:val="00CA451E"/>
    <w:rsid w:val="00CA4636"/>
    <w:rsid w:val="00CA48A3"/>
    <w:rsid w:val="00CA48F5"/>
    <w:rsid w:val="00CA492B"/>
    <w:rsid w:val="00CA4B92"/>
    <w:rsid w:val="00CA4C32"/>
    <w:rsid w:val="00CA4CC8"/>
    <w:rsid w:val="00CA4D1C"/>
    <w:rsid w:val="00CA4E5A"/>
    <w:rsid w:val="00CA50BF"/>
    <w:rsid w:val="00CA51EF"/>
    <w:rsid w:val="00CA5301"/>
    <w:rsid w:val="00CA55EC"/>
    <w:rsid w:val="00CA56DE"/>
    <w:rsid w:val="00CA576D"/>
    <w:rsid w:val="00CA5868"/>
    <w:rsid w:val="00CA592A"/>
    <w:rsid w:val="00CA5966"/>
    <w:rsid w:val="00CA5B0F"/>
    <w:rsid w:val="00CA5B5A"/>
    <w:rsid w:val="00CA5DB8"/>
    <w:rsid w:val="00CA5E95"/>
    <w:rsid w:val="00CA5F81"/>
    <w:rsid w:val="00CA60F1"/>
    <w:rsid w:val="00CA6190"/>
    <w:rsid w:val="00CA61D2"/>
    <w:rsid w:val="00CA6223"/>
    <w:rsid w:val="00CA641B"/>
    <w:rsid w:val="00CA6665"/>
    <w:rsid w:val="00CA667A"/>
    <w:rsid w:val="00CA66AA"/>
    <w:rsid w:val="00CA66C4"/>
    <w:rsid w:val="00CA678D"/>
    <w:rsid w:val="00CA67AE"/>
    <w:rsid w:val="00CA6986"/>
    <w:rsid w:val="00CA6B8D"/>
    <w:rsid w:val="00CA6BF9"/>
    <w:rsid w:val="00CA6C73"/>
    <w:rsid w:val="00CA6F0D"/>
    <w:rsid w:val="00CA703D"/>
    <w:rsid w:val="00CA726B"/>
    <w:rsid w:val="00CA72DF"/>
    <w:rsid w:val="00CA75A2"/>
    <w:rsid w:val="00CA786E"/>
    <w:rsid w:val="00CA7A68"/>
    <w:rsid w:val="00CA7C10"/>
    <w:rsid w:val="00CA7DD7"/>
    <w:rsid w:val="00CA7F9F"/>
    <w:rsid w:val="00CB003D"/>
    <w:rsid w:val="00CB003F"/>
    <w:rsid w:val="00CB0145"/>
    <w:rsid w:val="00CB0316"/>
    <w:rsid w:val="00CB0527"/>
    <w:rsid w:val="00CB067B"/>
    <w:rsid w:val="00CB0763"/>
    <w:rsid w:val="00CB07DD"/>
    <w:rsid w:val="00CB0944"/>
    <w:rsid w:val="00CB0ACD"/>
    <w:rsid w:val="00CB0B0B"/>
    <w:rsid w:val="00CB0C8D"/>
    <w:rsid w:val="00CB0ED1"/>
    <w:rsid w:val="00CB11FF"/>
    <w:rsid w:val="00CB13C5"/>
    <w:rsid w:val="00CB140A"/>
    <w:rsid w:val="00CB1512"/>
    <w:rsid w:val="00CB1567"/>
    <w:rsid w:val="00CB15F1"/>
    <w:rsid w:val="00CB1876"/>
    <w:rsid w:val="00CB1968"/>
    <w:rsid w:val="00CB1A74"/>
    <w:rsid w:val="00CB2206"/>
    <w:rsid w:val="00CB2611"/>
    <w:rsid w:val="00CB26FA"/>
    <w:rsid w:val="00CB2725"/>
    <w:rsid w:val="00CB27CF"/>
    <w:rsid w:val="00CB2851"/>
    <w:rsid w:val="00CB2921"/>
    <w:rsid w:val="00CB2D6A"/>
    <w:rsid w:val="00CB2EBC"/>
    <w:rsid w:val="00CB2EF9"/>
    <w:rsid w:val="00CB2F61"/>
    <w:rsid w:val="00CB31A0"/>
    <w:rsid w:val="00CB3212"/>
    <w:rsid w:val="00CB327B"/>
    <w:rsid w:val="00CB33CE"/>
    <w:rsid w:val="00CB343F"/>
    <w:rsid w:val="00CB347F"/>
    <w:rsid w:val="00CB3538"/>
    <w:rsid w:val="00CB3575"/>
    <w:rsid w:val="00CB3592"/>
    <w:rsid w:val="00CB36C7"/>
    <w:rsid w:val="00CB36E4"/>
    <w:rsid w:val="00CB36E6"/>
    <w:rsid w:val="00CB3702"/>
    <w:rsid w:val="00CB3762"/>
    <w:rsid w:val="00CB3834"/>
    <w:rsid w:val="00CB394F"/>
    <w:rsid w:val="00CB3BF6"/>
    <w:rsid w:val="00CB3DD2"/>
    <w:rsid w:val="00CB3EE2"/>
    <w:rsid w:val="00CB40DC"/>
    <w:rsid w:val="00CB412A"/>
    <w:rsid w:val="00CB42C1"/>
    <w:rsid w:val="00CB44A3"/>
    <w:rsid w:val="00CB45B2"/>
    <w:rsid w:val="00CB4890"/>
    <w:rsid w:val="00CB492E"/>
    <w:rsid w:val="00CB4C53"/>
    <w:rsid w:val="00CB4D60"/>
    <w:rsid w:val="00CB5105"/>
    <w:rsid w:val="00CB51B4"/>
    <w:rsid w:val="00CB5387"/>
    <w:rsid w:val="00CB54AA"/>
    <w:rsid w:val="00CB57AA"/>
    <w:rsid w:val="00CB57C0"/>
    <w:rsid w:val="00CB582B"/>
    <w:rsid w:val="00CB5833"/>
    <w:rsid w:val="00CB5858"/>
    <w:rsid w:val="00CB5A36"/>
    <w:rsid w:val="00CB5D9B"/>
    <w:rsid w:val="00CB5DC2"/>
    <w:rsid w:val="00CB5DCB"/>
    <w:rsid w:val="00CB5E25"/>
    <w:rsid w:val="00CB5EDB"/>
    <w:rsid w:val="00CB6262"/>
    <w:rsid w:val="00CB62D1"/>
    <w:rsid w:val="00CB639D"/>
    <w:rsid w:val="00CB648D"/>
    <w:rsid w:val="00CB663F"/>
    <w:rsid w:val="00CB6A5C"/>
    <w:rsid w:val="00CB703C"/>
    <w:rsid w:val="00CB704D"/>
    <w:rsid w:val="00CB70F4"/>
    <w:rsid w:val="00CB7108"/>
    <w:rsid w:val="00CB712B"/>
    <w:rsid w:val="00CB7161"/>
    <w:rsid w:val="00CB7324"/>
    <w:rsid w:val="00CB7505"/>
    <w:rsid w:val="00CB7541"/>
    <w:rsid w:val="00CB7552"/>
    <w:rsid w:val="00CB756B"/>
    <w:rsid w:val="00CB75BD"/>
    <w:rsid w:val="00CB794E"/>
    <w:rsid w:val="00CB7A39"/>
    <w:rsid w:val="00CB7A69"/>
    <w:rsid w:val="00CB7B03"/>
    <w:rsid w:val="00CB7F5A"/>
    <w:rsid w:val="00CB7FB8"/>
    <w:rsid w:val="00CC0107"/>
    <w:rsid w:val="00CC0112"/>
    <w:rsid w:val="00CC0144"/>
    <w:rsid w:val="00CC01F0"/>
    <w:rsid w:val="00CC034E"/>
    <w:rsid w:val="00CC042D"/>
    <w:rsid w:val="00CC04DB"/>
    <w:rsid w:val="00CC07BB"/>
    <w:rsid w:val="00CC0B92"/>
    <w:rsid w:val="00CC0BBD"/>
    <w:rsid w:val="00CC0C0E"/>
    <w:rsid w:val="00CC0C21"/>
    <w:rsid w:val="00CC0CF5"/>
    <w:rsid w:val="00CC0E7D"/>
    <w:rsid w:val="00CC0E82"/>
    <w:rsid w:val="00CC10FC"/>
    <w:rsid w:val="00CC11BF"/>
    <w:rsid w:val="00CC13CC"/>
    <w:rsid w:val="00CC1458"/>
    <w:rsid w:val="00CC156B"/>
    <w:rsid w:val="00CC1642"/>
    <w:rsid w:val="00CC16AC"/>
    <w:rsid w:val="00CC16C7"/>
    <w:rsid w:val="00CC1821"/>
    <w:rsid w:val="00CC1A04"/>
    <w:rsid w:val="00CC1D9F"/>
    <w:rsid w:val="00CC1E25"/>
    <w:rsid w:val="00CC2204"/>
    <w:rsid w:val="00CC2220"/>
    <w:rsid w:val="00CC22A0"/>
    <w:rsid w:val="00CC249A"/>
    <w:rsid w:val="00CC24D2"/>
    <w:rsid w:val="00CC26D0"/>
    <w:rsid w:val="00CC26E4"/>
    <w:rsid w:val="00CC2722"/>
    <w:rsid w:val="00CC276B"/>
    <w:rsid w:val="00CC2881"/>
    <w:rsid w:val="00CC2883"/>
    <w:rsid w:val="00CC297A"/>
    <w:rsid w:val="00CC2A4F"/>
    <w:rsid w:val="00CC2BF2"/>
    <w:rsid w:val="00CC2CAE"/>
    <w:rsid w:val="00CC2D90"/>
    <w:rsid w:val="00CC2EAF"/>
    <w:rsid w:val="00CC2FBE"/>
    <w:rsid w:val="00CC30E9"/>
    <w:rsid w:val="00CC31B8"/>
    <w:rsid w:val="00CC32CD"/>
    <w:rsid w:val="00CC3368"/>
    <w:rsid w:val="00CC39A8"/>
    <w:rsid w:val="00CC3AA2"/>
    <w:rsid w:val="00CC3BD2"/>
    <w:rsid w:val="00CC3DC7"/>
    <w:rsid w:val="00CC3E2E"/>
    <w:rsid w:val="00CC3E8D"/>
    <w:rsid w:val="00CC3F48"/>
    <w:rsid w:val="00CC410E"/>
    <w:rsid w:val="00CC4192"/>
    <w:rsid w:val="00CC4426"/>
    <w:rsid w:val="00CC444F"/>
    <w:rsid w:val="00CC49F3"/>
    <w:rsid w:val="00CC4B96"/>
    <w:rsid w:val="00CC4BFF"/>
    <w:rsid w:val="00CC4EE7"/>
    <w:rsid w:val="00CC5107"/>
    <w:rsid w:val="00CC51E8"/>
    <w:rsid w:val="00CC522C"/>
    <w:rsid w:val="00CC550C"/>
    <w:rsid w:val="00CC5585"/>
    <w:rsid w:val="00CC5597"/>
    <w:rsid w:val="00CC58F7"/>
    <w:rsid w:val="00CC594D"/>
    <w:rsid w:val="00CC5BC9"/>
    <w:rsid w:val="00CC5D48"/>
    <w:rsid w:val="00CC5E3E"/>
    <w:rsid w:val="00CC5EFB"/>
    <w:rsid w:val="00CC5F24"/>
    <w:rsid w:val="00CC5FED"/>
    <w:rsid w:val="00CC62EB"/>
    <w:rsid w:val="00CC6312"/>
    <w:rsid w:val="00CC63AC"/>
    <w:rsid w:val="00CC6492"/>
    <w:rsid w:val="00CC6634"/>
    <w:rsid w:val="00CC66AD"/>
    <w:rsid w:val="00CC6782"/>
    <w:rsid w:val="00CC68FA"/>
    <w:rsid w:val="00CC6976"/>
    <w:rsid w:val="00CC6A11"/>
    <w:rsid w:val="00CC6D4F"/>
    <w:rsid w:val="00CC6DFA"/>
    <w:rsid w:val="00CC6DFC"/>
    <w:rsid w:val="00CC6EC8"/>
    <w:rsid w:val="00CC7052"/>
    <w:rsid w:val="00CC70B4"/>
    <w:rsid w:val="00CC70C3"/>
    <w:rsid w:val="00CC71B6"/>
    <w:rsid w:val="00CC73AD"/>
    <w:rsid w:val="00CC74CD"/>
    <w:rsid w:val="00CC75B2"/>
    <w:rsid w:val="00CC761B"/>
    <w:rsid w:val="00CC767B"/>
    <w:rsid w:val="00CC772D"/>
    <w:rsid w:val="00CC7866"/>
    <w:rsid w:val="00CC79CC"/>
    <w:rsid w:val="00CC7A0F"/>
    <w:rsid w:val="00CC7AD6"/>
    <w:rsid w:val="00CC7B81"/>
    <w:rsid w:val="00CC7C72"/>
    <w:rsid w:val="00CD004D"/>
    <w:rsid w:val="00CD0070"/>
    <w:rsid w:val="00CD017E"/>
    <w:rsid w:val="00CD01D0"/>
    <w:rsid w:val="00CD0203"/>
    <w:rsid w:val="00CD0365"/>
    <w:rsid w:val="00CD0646"/>
    <w:rsid w:val="00CD068B"/>
    <w:rsid w:val="00CD0784"/>
    <w:rsid w:val="00CD09F5"/>
    <w:rsid w:val="00CD0BE9"/>
    <w:rsid w:val="00CD0C84"/>
    <w:rsid w:val="00CD0CE2"/>
    <w:rsid w:val="00CD0D85"/>
    <w:rsid w:val="00CD0DF8"/>
    <w:rsid w:val="00CD1105"/>
    <w:rsid w:val="00CD1157"/>
    <w:rsid w:val="00CD11AB"/>
    <w:rsid w:val="00CD1448"/>
    <w:rsid w:val="00CD14C1"/>
    <w:rsid w:val="00CD1502"/>
    <w:rsid w:val="00CD15A3"/>
    <w:rsid w:val="00CD15E2"/>
    <w:rsid w:val="00CD16F9"/>
    <w:rsid w:val="00CD1726"/>
    <w:rsid w:val="00CD1841"/>
    <w:rsid w:val="00CD1868"/>
    <w:rsid w:val="00CD19F1"/>
    <w:rsid w:val="00CD1C80"/>
    <w:rsid w:val="00CD1FCC"/>
    <w:rsid w:val="00CD21AD"/>
    <w:rsid w:val="00CD23A7"/>
    <w:rsid w:val="00CD2426"/>
    <w:rsid w:val="00CD2800"/>
    <w:rsid w:val="00CD2A1C"/>
    <w:rsid w:val="00CD2A61"/>
    <w:rsid w:val="00CD2A76"/>
    <w:rsid w:val="00CD2AFB"/>
    <w:rsid w:val="00CD2D98"/>
    <w:rsid w:val="00CD2E55"/>
    <w:rsid w:val="00CD2ECD"/>
    <w:rsid w:val="00CD31C0"/>
    <w:rsid w:val="00CD32A1"/>
    <w:rsid w:val="00CD34A3"/>
    <w:rsid w:val="00CD3510"/>
    <w:rsid w:val="00CD36DF"/>
    <w:rsid w:val="00CD3742"/>
    <w:rsid w:val="00CD38AA"/>
    <w:rsid w:val="00CD3CFA"/>
    <w:rsid w:val="00CD3D73"/>
    <w:rsid w:val="00CD3DB9"/>
    <w:rsid w:val="00CD3DEC"/>
    <w:rsid w:val="00CD3FA2"/>
    <w:rsid w:val="00CD43E1"/>
    <w:rsid w:val="00CD44E0"/>
    <w:rsid w:val="00CD458A"/>
    <w:rsid w:val="00CD499C"/>
    <w:rsid w:val="00CD4BD2"/>
    <w:rsid w:val="00CD4C38"/>
    <w:rsid w:val="00CD4CC6"/>
    <w:rsid w:val="00CD4DF3"/>
    <w:rsid w:val="00CD4E83"/>
    <w:rsid w:val="00CD4F6A"/>
    <w:rsid w:val="00CD5083"/>
    <w:rsid w:val="00CD5106"/>
    <w:rsid w:val="00CD51C3"/>
    <w:rsid w:val="00CD5284"/>
    <w:rsid w:val="00CD5297"/>
    <w:rsid w:val="00CD54E3"/>
    <w:rsid w:val="00CD5609"/>
    <w:rsid w:val="00CD562E"/>
    <w:rsid w:val="00CD578A"/>
    <w:rsid w:val="00CD58DD"/>
    <w:rsid w:val="00CD5AC7"/>
    <w:rsid w:val="00CD5AD6"/>
    <w:rsid w:val="00CD5B7D"/>
    <w:rsid w:val="00CD5B99"/>
    <w:rsid w:val="00CD5BB5"/>
    <w:rsid w:val="00CD5E24"/>
    <w:rsid w:val="00CD5F56"/>
    <w:rsid w:val="00CD60BA"/>
    <w:rsid w:val="00CD60BF"/>
    <w:rsid w:val="00CD61B7"/>
    <w:rsid w:val="00CD621E"/>
    <w:rsid w:val="00CD6221"/>
    <w:rsid w:val="00CD625E"/>
    <w:rsid w:val="00CD6276"/>
    <w:rsid w:val="00CD635C"/>
    <w:rsid w:val="00CD63B9"/>
    <w:rsid w:val="00CD652C"/>
    <w:rsid w:val="00CD6778"/>
    <w:rsid w:val="00CD683F"/>
    <w:rsid w:val="00CD6886"/>
    <w:rsid w:val="00CD68C7"/>
    <w:rsid w:val="00CD6A77"/>
    <w:rsid w:val="00CD6C17"/>
    <w:rsid w:val="00CD6C7F"/>
    <w:rsid w:val="00CD7138"/>
    <w:rsid w:val="00CD7354"/>
    <w:rsid w:val="00CD73E3"/>
    <w:rsid w:val="00CD7568"/>
    <w:rsid w:val="00CD75F8"/>
    <w:rsid w:val="00CD7781"/>
    <w:rsid w:val="00CD77CF"/>
    <w:rsid w:val="00CD78D0"/>
    <w:rsid w:val="00CD7A92"/>
    <w:rsid w:val="00CD7D63"/>
    <w:rsid w:val="00CD7D71"/>
    <w:rsid w:val="00CD7F38"/>
    <w:rsid w:val="00CD7F93"/>
    <w:rsid w:val="00CE0006"/>
    <w:rsid w:val="00CE0221"/>
    <w:rsid w:val="00CE0240"/>
    <w:rsid w:val="00CE03FD"/>
    <w:rsid w:val="00CE0413"/>
    <w:rsid w:val="00CE04CA"/>
    <w:rsid w:val="00CE07BB"/>
    <w:rsid w:val="00CE0A41"/>
    <w:rsid w:val="00CE0B37"/>
    <w:rsid w:val="00CE0C34"/>
    <w:rsid w:val="00CE0C76"/>
    <w:rsid w:val="00CE0DC7"/>
    <w:rsid w:val="00CE0E5D"/>
    <w:rsid w:val="00CE0FF7"/>
    <w:rsid w:val="00CE12DB"/>
    <w:rsid w:val="00CE1945"/>
    <w:rsid w:val="00CE1C0B"/>
    <w:rsid w:val="00CE1EB5"/>
    <w:rsid w:val="00CE1EDD"/>
    <w:rsid w:val="00CE1F53"/>
    <w:rsid w:val="00CE21EB"/>
    <w:rsid w:val="00CE237B"/>
    <w:rsid w:val="00CE23AC"/>
    <w:rsid w:val="00CE2448"/>
    <w:rsid w:val="00CE24E9"/>
    <w:rsid w:val="00CE294E"/>
    <w:rsid w:val="00CE2BEE"/>
    <w:rsid w:val="00CE2D44"/>
    <w:rsid w:val="00CE2DF2"/>
    <w:rsid w:val="00CE2EC4"/>
    <w:rsid w:val="00CE2F10"/>
    <w:rsid w:val="00CE30BC"/>
    <w:rsid w:val="00CE30C5"/>
    <w:rsid w:val="00CE3541"/>
    <w:rsid w:val="00CE354E"/>
    <w:rsid w:val="00CE384E"/>
    <w:rsid w:val="00CE38D2"/>
    <w:rsid w:val="00CE398C"/>
    <w:rsid w:val="00CE39F0"/>
    <w:rsid w:val="00CE3D36"/>
    <w:rsid w:val="00CE3F0F"/>
    <w:rsid w:val="00CE3FA9"/>
    <w:rsid w:val="00CE3FC7"/>
    <w:rsid w:val="00CE3FD3"/>
    <w:rsid w:val="00CE3FFD"/>
    <w:rsid w:val="00CE3FFE"/>
    <w:rsid w:val="00CE401C"/>
    <w:rsid w:val="00CE4185"/>
    <w:rsid w:val="00CE4238"/>
    <w:rsid w:val="00CE448B"/>
    <w:rsid w:val="00CE4639"/>
    <w:rsid w:val="00CE4727"/>
    <w:rsid w:val="00CE47BA"/>
    <w:rsid w:val="00CE47E6"/>
    <w:rsid w:val="00CE4810"/>
    <w:rsid w:val="00CE491F"/>
    <w:rsid w:val="00CE4A39"/>
    <w:rsid w:val="00CE4C26"/>
    <w:rsid w:val="00CE4CE8"/>
    <w:rsid w:val="00CE4D5E"/>
    <w:rsid w:val="00CE4D6A"/>
    <w:rsid w:val="00CE5004"/>
    <w:rsid w:val="00CE526D"/>
    <w:rsid w:val="00CE5428"/>
    <w:rsid w:val="00CE55B7"/>
    <w:rsid w:val="00CE57D9"/>
    <w:rsid w:val="00CE5918"/>
    <w:rsid w:val="00CE5B57"/>
    <w:rsid w:val="00CE5BC6"/>
    <w:rsid w:val="00CE5C54"/>
    <w:rsid w:val="00CE5C9C"/>
    <w:rsid w:val="00CE5DA7"/>
    <w:rsid w:val="00CE5DC6"/>
    <w:rsid w:val="00CE5F39"/>
    <w:rsid w:val="00CE5FDA"/>
    <w:rsid w:val="00CE609A"/>
    <w:rsid w:val="00CE635E"/>
    <w:rsid w:val="00CE6400"/>
    <w:rsid w:val="00CE641C"/>
    <w:rsid w:val="00CE66A2"/>
    <w:rsid w:val="00CE68AD"/>
    <w:rsid w:val="00CE6926"/>
    <w:rsid w:val="00CE6AD1"/>
    <w:rsid w:val="00CE6B64"/>
    <w:rsid w:val="00CE6C33"/>
    <w:rsid w:val="00CE6EC9"/>
    <w:rsid w:val="00CE6F25"/>
    <w:rsid w:val="00CE6F9D"/>
    <w:rsid w:val="00CE6FDB"/>
    <w:rsid w:val="00CE700B"/>
    <w:rsid w:val="00CE7011"/>
    <w:rsid w:val="00CE7014"/>
    <w:rsid w:val="00CE7112"/>
    <w:rsid w:val="00CE7162"/>
    <w:rsid w:val="00CE7242"/>
    <w:rsid w:val="00CE72EA"/>
    <w:rsid w:val="00CE7311"/>
    <w:rsid w:val="00CE732B"/>
    <w:rsid w:val="00CE7494"/>
    <w:rsid w:val="00CE75F4"/>
    <w:rsid w:val="00CE766D"/>
    <w:rsid w:val="00CE771F"/>
    <w:rsid w:val="00CE79ED"/>
    <w:rsid w:val="00CE7A5A"/>
    <w:rsid w:val="00CE7ABE"/>
    <w:rsid w:val="00CE7C24"/>
    <w:rsid w:val="00CE7EF6"/>
    <w:rsid w:val="00CF00FB"/>
    <w:rsid w:val="00CF012E"/>
    <w:rsid w:val="00CF02A9"/>
    <w:rsid w:val="00CF02E6"/>
    <w:rsid w:val="00CF0459"/>
    <w:rsid w:val="00CF0615"/>
    <w:rsid w:val="00CF0686"/>
    <w:rsid w:val="00CF0A54"/>
    <w:rsid w:val="00CF0B2C"/>
    <w:rsid w:val="00CF0C5E"/>
    <w:rsid w:val="00CF0D86"/>
    <w:rsid w:val="00CF0E0D"/>
    <w:rsid w:val="00CF0E53"/>
    <w:rsid w:val="00CF0EA1"/>
    <w:rsid w:val="00CF1058"/>
    <w:rsid w:val="00CF11D0"/>
    <w:rsid w:val="00CF1242"/>
    <w:rsid w:val="00CF12C2"/>
    <w:rsid w:val="00CF155C"/>
    <w:rsid w:val="00CF1857"/>
    <w:rsid w:val="00CF1894"/>
    <w:rsid w:val="00CF18E1"/>
    <w:rsid w:val="00CF1A69"/>
    <w:rsid w:val="00CF1D11"/>
    <w:rsid w:val="00CF1F2B"/>
    <w:rsid w:val="00CF1F62"/>
    <w:rsid w:val="00CF1FF7"/>
    <w:rsid w:val="00CF20F4"/>
    <w:rsid w:val="00CF217E"/>
    <w:rsid w:val="00CF2186"/>
    <w:rsid w:val="00CF2255"/>
    <w:rsid w:val="00CF229F"/>
    <w:rsid w:val="00CF22C8"/>
    <w:rsid w:val="00CF22E3"/>
    <w:rsid w:val="00CF236E"/>
    <w:rsid w:val="00CF23CB"/>
    <w:rsid w:val="00CF2521"/>
    <w:rsid w:val="00CF2624"/>
    <w:rsid w:val="00CF2658"/>
    <w:rsid w:val="00CF2748"/>
    <w:rsid w:val="00CF27AA"/>
    <w:rsid w:val="00CF282D"/>
    <w:rsid w:val="00CF28A6"/>
    <w:rsid w:val="00CF29F5"/>
    <w:rsid w:val="00CF2ABD"/>
    <w:rsid w:val="00CF2BC3"/>
    <w:rsid w:val="00CF2C91"/>
    <w:rsid w:val="00CF2CAB"/>
    <w:rsid w:val="00CF2E12"/>
    <w:rsid w:val="00CF305E"/>
    <w:rsid w:val="00CF30DB"/>
    <w:rsid w:val="00CF30EE"/>
    <w:rsid w:val="00CF312D"/>
    <w:rsid w:val="00CF34C1"/>
    <w:rsid w:val="00CF357B"/>
    <w:rsid w:val="00CF3603"/>
    <w:rsid w:val="00CF36E4"/>
    <w:rsid w:val="00CF384D"/>
    <w:rsid w:val="00CF3935"/>
    <w:rsid w:val="00CF394B"/>
    <w:rsid w:val="00CF3A09"/>
    <w:rsid w:val="00CF3A63"/>
    <w:rsid w:val="00CF3CA7"/>
    <w:rsid w:val="00CF40EE"/>
    <w:rsid w:val="00CF43D3"/>
    <w:rsid w:val="00CF4404"/>
    <w:rsid w:val="00CF445A"/>
    <w:rsid w:val="00CF44F3"/>
    <w:rsid w:val="00CF453E"/>
    <w:rsid w:val="00CF465B"/>
    <w:rsid w:val="00CF465D"/>
    <w:rsid w:val="00CF4714"/>
    <w:rsid w:val="00CF4751"/>
    <w:rsid w:val="00CF4823"/>
    <w:rsid w:val="00CF4855"/>
    <w:rsid w:val="00CF49C2"/>
    <w:rsid w:val="00CF4AF1"/>
    <w:rsid w:val="00CF4B53"/>
    <w:rsid w:val="00CF4BBA"/>
    <w:rsid w:val="00CF4D3B"/>
    <w:rsid w:val="00CF4DBF"/>
    <w:rsid w:val="00CF4DEE"/>
    <w:rsid w:val="00CF4EC0"/>
    <w:rsid w:val="00CF51EF"/>
    <w:rsid w:val="00CF5322"/>
    <w:rsid w:val="00CF53A6"/>
    <w:rsid w:val="00CF55ED"/>
    <w:rsid w:val="00CF5891"/>
    <w:rsid w:val="00CF5AAD"/>
    <w:rsid w:val="00CF5B2B"/>
    <w:rsid w:val="00CF5D49"/>
    <w:rsid w:val="00CF5F70"/>
    <w:rsid w:val="00CF6102"/>
    <w:rsid w:val="00CF6311"/>
    <w:rsid w:val="00CF6456"/>
    <w:rsid w:val="00CF665C"/>
    <w:rsid w:val="00CF67C8"/>
    <w:rsid w:val="00CF6841"/>
    <w:rsid w:val="00CF688E"/>
    <w:rsid w:val="00CF6A6D"/>
    <w:rsid w:val="00CF6B14"/>
    <w:rsid w:val="00CF6BF1"/>
    <w:rsid w:val="00CF6D45"/>
    <w:rsid w:val="00CF6DE7"/>
    <w:rsid w:val="00CF6E51"/>
    <w:rsid w:val="00CF6E6D"/>
    <w:rsid w:val="00CF6F6E"/>
    <w:rsid w:val="00CF70B8"/>
    <w:rsid w:val="00CF71C7"/>
    <w:rsid w:val="00CF735F"/>
    <w:rsid w:val="00CF7411"/>
    <w:rsid w:val="00CF750E"/>
    <w:rsid w:val="00CF7532"/>
    <w:rsid w:val="00CF7722"/>
    <w:rsid w:val="00CF77A7"/>
    <w:rsid w:val="00CF7811"/>
    <w:rsid w:val="00CF792E"/>
    <w:rsid w:val="00CF7BB7"/>
    <w:rsid w:val="00CF7C7A"/>
    <w:rsid w:val="00CF7E3F"/>
    <w:rsid w:val="00CF7FDA"/>
    <w:rsid w:val="00D000DA"/>
    <w:rsid w:val="00D00347"/>
    <w:rsid w:val="00D00382"/>
    <w:rsid w:val="00D005AB"/>
    <w:rsid w:val="00D005DF"/>
    <w:rsid w:val="00D0067F"/>
    <w:rsid w:val="00D007D4"/>
    <w:rsid w:val="00D00ABE"/>
    <w:rsid w:val="00D00B4C"/>
    <w:rsid w:val="00D00EB7"/>
    <w:rsid w:val="00D01005"/>
    <w:rsid w:val="00D013D6"/>
    <w:rsid w:val="00D013DA"/>
    <w:rsid w:val="00D0143E"/>
    <w:rsid w:val="00D016B6"/>
    <w:rsid w:val="00D016F0"/>
    <w:rsid w:val="00D01741"/>
    <w:rsid w:val="00D01E15"/>
    <w:rsid w:val="00D0205E"/>
    <w:rsid w:val="00D0209A"/>
    <w:rsid w:val="00D02122"/>
    <w:rsid w:val="00D02243"/>
    <w:rsid w:val="00D02360"/>
    <w:rsid w:val="00D023F8"/>
    <w:rsid w:val="00D0246E"/>
    <w:rsid w:val="00D025BF"/>
    <w:rsid w:val="00D02712"/>
    <w:rsid w:val="00D0271F"/>
    <w:rsid w:val="00D02729"/>
    <w:rsid w:val="00D029D4"/>
    <w:rsid w:val="00D02A18"/>
    <w:rsid w:val="00D02A92"/>
    <w:rsid w:val="00D02AC8"/>
    <w:rsid w:val="00D02BB1"/>
    <w:rsid w:val="00D02C5D"/>
    <w:rsid w:val="00D02D40"/>
    <w:rsid w:val="00D02EB7"/>
    <w:rsid w:val="00D02F7F"/>
    <w:rsid w:val="00D032B2"/>
    <w:rsid w:val="00D03515"/>
    <w:rsid w:val="00D035CB"/>
    <w:rsid w:val="00D035CE"/>
    <w:rsid w:val="00D0367D"/>
    <w:rsid w:val="00D038A7"/>
    <w:rsid w:val="00D03936"/>
    <w:rsid w:val="00D03A33"/>
    <w:rsid w:val="00D03AAF"/>
    <w:rsid w:val="00D03CDC"/>
    <w:rsid w:val="00D040A5"/>
    <w:rsid w:val="00D04239"/>
    <w:rsid w:val="00D043A0"/>
    <w:rsid w:val="00D046C5"/>
    <w:rsid w:val="00D047A8"/>
    <w:rsid w:val="00D047D1"/>
    <w:rsid w:val="00D0481E"/>
    <w:rsid w:val="00D04934"/>
    <w:rsid w:val="00D04948"/>
    <w:rsid w:val="00D04A80"/>
    <w:rsid w:val="00D04B3E"/>
    <w:rsid w:val="00D04E31"/>
    <w:rsid w:val="00D04EF2"/>
    <w:rsid w:val="00D05059"/>
    <w:rsid w:val="00D051B8"/>
    <w:rsid w:val="00D052AF"/>
    <w:rsid w:val="00D052BA"/>
    <w:rsid w:val="00D05309"/>
    <w:rsid w:val="00D055A0"/>
    <w:rsid w:val="00D055DA"/>
    <w:rsid w:val="00D05606"/>
    <w:rsid w:val="00D05698"/>
    <w:rsid w:val="00D056C3"/>
    <w:rsid w:val="00D05733"/>
    <w:rsid w:val="00D0580E"/>
    <w:rsid w:val="00D05BDB"/>
    <w:rsid w:val="00D05C10"/>
    <w:rsid w:val="00D0611B"/>
    <w:rsid w:val="00D06145"/>
    <w:rsid w:val="00D065E4"/>
    <w:rsid w:val="00D065F4"/>
    <w:rsid w:val="00D0663E"/>
    <w:rsid w:val="00D067BF"/>
    <w:rsid w:val="00D06BA7"/>
    <w:rsid w:val="00D06C1B"/>
    <w:rsid w:val="00D06C60"/>
    <w:rsid w:val="00D06C8C"/>
    <w:rsid w:val="00D06D26"/>
    <w:rsid w:val="00D06D50"/>
    <w:rsid w:val="00D06DCE"/>
    <w:rsid w:val="00D06E02"/>
    <w:rsid w:val="00D06E0A"/>
    <w:rsid w:val="00D070AC"/>
    <w:rsid w:val="00D071F7"/>
    <w:rsid w:val="00D07447"/>
    <w:rsid w:val="00D07534"/>
    <w:rsid w:val="00D075E6"/>
    <w:rsid w:val="00D076A7"/>
    <w:rsid w:val="00D076F7"/>
    <w:rsid w:val="00D077B0"/>
    <w:rsid w:val="00D07B15"/>
    <w:rsid w:val="00D07B8F"/>
    <w:rsid w:val="00D07CE1"/>
    <w:rsid w:val="00D07DA4"/>
    <w:rsid w:val="00D07EF9"/>
    <w:rsid w:val="00D100C4"/>
    <w:rsid w:val="00D10227"/>
    <w:rsid w:val="00D10254"/>
    <w:rsid w:val="00D10377"/>
    <w:rsid w:val="00D10480"/>
    <w:rsid w:val="00D1056F"/>
    <w:rsid w:val="00D10617"/>
    <w:rsid w:val="00D1074C"/>
    <w:rsid w:val="00D10912"/>
    <w:rsid w:val="00D10968"/>
    <w:rsid w:val="00D10A05"/>
    <w:rsid w:val="00D10AD3"/>
    <w:rsid w:val="00D10AE2"/>
    <w:rsid w:val="00D10C29"/>
    <w:rsid w:val="00D10F4B"/>
    <w:rsid w:val="00D11131"/>
    <w:rsid w:val="00D11199"/>
    <w:rsid w:val="00D112F1"/>
    <w:rsid w:val="00D115CD"/>
    <w:rsid w:val="00D115F2"/>
    <w:rsid w:val="00D1168B"/>
    <w:rsid w:val="00D117BF"/>
    <w:rsid w:val="00D117D5"/>
    <w:rsid w:val="00D1186D"/>
    <w:rsid w:val="00D11A2C"/>
    <w:rsid w:val="00D11D18"/>
    <w:rsid w:val="00D11D2F"/>
    <w:rsid w:val="00D121CC"/>
    <w:rsid w:val="00D12282"/>
    <w:rsid w:val="00D123DB"/>
    <w:rsid w:val="00D1293F"/>
    <w:rsid w:val="00D12A4D"/>
    <w:rsid w:val="00D12A5E"/>
    <w:rsid w:val="00D12E20"/>
    <w:rsid w:val="00D12E9D"/>
    <w:rsid w:val="00D12FFA"/>
    <w:rsid w:val="00D13038"/>
    <w:rsid w:val="00D134F6"/>
    <w:rsid w:val="00D13891"/>
    <w:rsid w:val="00D139AC"/>
    <w:rsid w:val="00D13EC2"/>
    <w:rsid w:val="00D13F7A"/>
    <w:rsid w:val="00D13FBD"/>
    <w:rsid w:val="00D140DA"/>
    <w:rsid w:val="00D14283"/>
    <w:rsid w:val="00D14480"/>
    <w:rsid w:val="00D14564"/>
    <w:rsid w:val="00D145D6"/>
    <w:rsid w:val="00D14882"/>
    <w:rsid w:val="00D1495E"/>
    <w:rsid w:val="00D14997"/>
    <w:rsid w:val="00D14A97"/>
    <w:rsid w:val="00D14B25"/>
    <w:rsid w:val="00D14E95"/>
    <w:rsid w:val="00D14EAC"/>
    <w:rsid w:val="00D15048"/>
    <w:rsid w:val="00D152BA"/>
    <w:rsid w:val="00D152FF"/>
    <w:rsid w:val="00D1534B"/>
    <w:rsid w:val="00D153AE"/>
    <w:rsid w:val="00D153D0"/>
    <w:rsid w:val="00D15407"/>
    <w:rsid w:val="00D15538"/>
    <w:rsid w:val="00D156C7"/>
    <w:rsid w:val="00D15A01"/>
    <w:rsid w:val="00D15A2A"/>
    <w:rsid w:val="00D15C18"/>
    <w:rsid w:val="00D15DFE"/>
    <w:rsid w:val="00D15E61"/>
    <w:rsid w:val="00D15F3A"/>
    <w:rsid w:val="00D16412"/>
    <w:rsid w:val="00D165E2"/>
    <w:rsid w:val="00D1677D"/>
    <w:rsid w:val="00D167D5"/>
    <w:rsid w:val="00D16808"/>
    <w:rsid w:val="00D16878"/>
    <w:rsid w:val="00D168FC"/>
    <w:rsid w:val="00D16A72"/>
    <w:rsid w:val="00D16B12"/>
    <w:rsid w:val="00D16B66"/>
    <w:rsid w:val="00D16F9A"/>
    <w:rsid w:val="00D17219"/>
    <w:rsid w:val="00D1733D"/>
    <w:rsid w:val="00D1752F"/>
    <w:rsid w:val="00D175D4"/>
    <w:rsid w:val="00D17621"/>
    <w:rsid w:val="00D17626"/>
    <w:rsid w:val="00D177B8"/>
    <w:rsid w:val="00D17807"/>
    <w:rsid w:val="00D178AC"/>
    <w:rsid w:val="00D17904"/>
    <w:rsid w:val="00D17A05"/>
    <w:rsid w:val="00D17A38"/>
    <w:rsid w:val="00D17BB6"/>
    <w:rsid w:val="00D17C4A"/>
    <w:rsid w:val="00D17CFC"/>
    <w:rsid w:val="00D20057"/>
    <w:rsid w:val="00D20172"/>
    <w:rsid w:val="00D205C6"/>
    <w:rsid w:val="00D206E3"/>
    <w:rsid w:val="00D20740"/>
    <w:rsid w:val="00D20765"/>
    <w:rsid w:val="00D20796"/>
    <w:rsid w:val="00D20805"/>
    <w:rsid w:val="00D2087F"/>
    <w:rsid w:val="00D20925"/>
    <w:rsid w:val="00D20AC5"/>
    <w:rsid w:val="00D20AFD"/>
    <w:rsid w:val="00D20C64"/>
    <w:rsid w:val="00D20E30"/>
    <w:rsid w:val="00D20E3B"/>
    <w:rsid w:val="00D20E3E"/>
    <w:rsid w:val="00D20E64"/>
    <w:rsid w:val="00D21055"/>
    <w:rsid w:val="00D21236"/>
    <w:rsid w:val="00D213E3"/>
    <w:rsid w:val="00D2146F"/>
    <w:rsid w:val="00D214C6"/>
    <w:rsid w:val="00D21639"/>
    <w:rsid w:val="00D216BF"/>
    <w:rsid w:val="00D216CA"/>
    <w:rsid w:val="00D21835"/>
    <w:rsid w:val="00D21909"/>
    <w:rsid w:val="00D21C6B"/>
    <w:rsid w:val="00D21D77"/>
    <w:rsid w:val="00D21E26"/>
    <w:rsid w:val="00D21E29"/>
    <w:rsid w:val="00D21E8F"/>
    <w:rsid w:val="00D22347"/>
    <w:rsid w:val="00D224BF"/>
    <w:rsid w:val="00D224CB"/>
    <w:rsid w:val="00D22608"/>
    <w:rsid w:val="00D226F6"/>
    <w:rsid w:val="00D22860"/>
    <w:rsid w:val="00D228CA"/>
    <w:rsid w:val="00D228E8"/>
    <w:rsid w:val="00D22A18"/>
    <w:rsid w:val="00D22B3A"/>
    <w:rsid w:val="00D22CB9"/>
    <w:rsid w:val="00D22F66"/>
    <w:rsid w:val="00D22F8D"/>
    <w:rsid w:val="00D22FEB"/>
    <w:rsid w:val="00D2310C"/>
    <w:rsid w:val="00D232D9"/>
    <w:rsid w:val="00D233DD"/>
    <w:rsid w:val="00D23583"/>
    <w:rsid w:val="00D237F5"/>
    <w:rsid w:val="00D238EF"/>
    <w:rsid w:val="00D23A79"/>
    <w:rsid w:val="00D23A7D"/>
    <w:rsid w:val="00D23A8E"/>
    <w:rsid w:val="00D23AD4"/>
    <w:rsid w:val="00D23B89"/>
    <w:rsid w:val="00D23CD6"/>
    <w:rsid w:val="00D23CE3"/>
    <w:rsid w:val="00D23F3D"/>
    <w:rsid w:val="00D2402A"/>
    <w:rsid w:val="00D24079"/>
    <w:rsid w:val="00D241FC"/>
    <w:rsid w:val="00D24239"/>
    <w:rsid w:val="00D244DD"/>
    <w:rsid w:val="00D24561"/>
    <w:rsid w:val="00D245F3"/>
    <w:rsid w:val="00D24733"/>
    <w:rsid w:val="00D24944"/>
    <w:rsid w:val="00D24985"/>
    <w:rsid w:val="00D24A5D"/>
    <w:rsid w:val="00D24B87"/>
    <w:rsid w:val="00D24C3D"/>
    <w:rsid w:val="00D24E3C"/>
    <w:rsid w:val="00D24EC1"/>
    <w:rsid w:val="00D251BE"/>
    <w:rsid w:val="00D25332"/>
    <w:rsid w:val="00D25507"/>
    <w:rsid w:val="00D25638"/>
    <w:rsid w:val="00D25658"/>
    <w:rsid w:val="00D257EF"/>
    <w:rsid w:val="00D258E7"/>
    <w:rsid w:val="00D259AB"/>
    <w:rsid w:val="00D259F0"/>
    <w:rsid w:val="00D25A83"/>
    <w:rsid w:val="00D25AAA"/>
    <w:rsid w:val="00D25BE0"/>
    <w:rsid w:val="00D25CC1"/>
    <w:rsid w:val="00D25D6B"/>
    <w:rsid w:val="00D26144"/>
    <w:rsid w:val="00D261EA"/>
    <w:rsid w:val="00D2625B"/>
    <w:rsid w:val="00D26284"/>
    <w:rsid w:val="00D26623"/>
    <w:rsid w:val="00D267D4"/>
    <w:rsid w:val="00D268E9"/>
    <w:rsid w:val="00D26946"/>
    <w:rsid w:val="00D2699B"/>
    <w:rsid w:val="00D26AA1"/>
    <w:rsid w:val="00D26C8F"/>
    <w:rsid w:val="00D26D99"/>
    <w:rsid w:val="00D26E60"/>
    <w:rsid w:val="00D26F5F"/>
    <w:rsid w:val="00D26FC2"/>
    <w:rsid w:val="00D27054"/>
    <w:rsid w:val="00D27084"/>
    <w:rsid w:val="00D270C3"/>
    <w:rsid w:val="00D27316"/>
    <w:rsid w:val="00D27390"/>
    <w:rsid w:val="00D2740D"/>
    <w:rsid w:val="00D275B3"/>
    <w:rsid w:val="00D2770A"/>
    <w:rsid w:val="00D27916"/>
    <w:rsid w:val="00D27996"/>
    <w:rsid w:val="00D27A9C"/>
    <w:rsid w:val="00D27AF0"/>
    <w:rsid w:val="00D27B6F"/>
    <w:rsid w:val="00D27D27"/>
    <w:rsid w:val="00D27D2F"/>
    <w:rsid w:val="00D27D67"/>
    <w:rsid w:val="00D27DA1"/>
    <w:rsid w:val="00D27DEA"/>
    <w:rsid w:val="00D27E96"/>
    <w:rsid w:val="00D27EFE"/>
    <w:rsid w:val="00D27F5F"/>
    <w:rsid w:val="00D300C6"/>
    <w:rsid w:val="00D30101"/>
    <w:rsid w:val="00D30109"/>
    <w:rsid w:val="00D301E7"/>
    <w:rsid w:val="00D30205"/>
    <w:rsid w:val="00D302A6"/>
    <w:rsid w:val="00D302DE"/>
    <w:rsid w:val="00D30348"/>
    <w:rsid w:val="00D3042E"/>
    <w:rsid w:val="00D30495"/>
    <w:rsid w:val="00D30598"/>
    <w:rsid w:val="00D3068B"/>
    <w:rsid w:val="00D3068F"/>
    <w:rsid w:val="00D30796"/>
    <w:rsid w:val="00D30842"/>
    <w:rsid w:val="00D30A75"/>
    <w:rsid w:val="00D30B8A"/>
    <w:rsid w:val="00D30BF9"/>
    <w:rsid w:val="00D312FE"/>
    <w:rsid w:val="00D31306"/>
    <w:rsid w:val="00D313F2"/>
    <w:rsid w:val="00D3145B"/>
    <w:rsid w:val="00D31A0A"/>
    <w:rsid w:val="00D31DEA"/>
    <w:rsid w:val="00D321C3"/>
    <w:rsid w:val="00D3237F"/>
    <w:rsid w:val="00D323A4"/>
    <w:rsid w:val="00D323AD"/>
    <w:rsid w:val="00D323BF"/>
    <w:rsid w:val="00D3259F"/>
    <w:rsid w:val="00D32865"/>
    <w:rsid w:val="00D328AB"/>
    <w:rsid w:val="00D328BC"/>
    <w:rsid w:val="00D3290C"/>
    <w:rsid w:val="00D32AF1"/>
    <w:rsid w:val="00D32D5A"/>
    <w:rsid w:val="00D32EE3"/>
    <w:rsid w:val="00D32EF9"/>
    <w:rsid w:val="00D32FD6"/>
    <w:rsid w:val="00D3305D"/>
    <w:rsid w:val="00D33264"/>
    <w:rsid w:val="00D3368C"/>
    <w:rsid w:val="00D33779"/>
    <w:rsid w:val="00D33824"/>
    <w:rsid w:val="00D33873"/>
    <w:rsid w:val="00D3392B"/>
    <w:rsid w:val="00D3392E"/>
    <w:rsid w:val="00D33DBF"/>
    <w:rsid w:val="00D33DDD"/>
    <w:rsid w:val="00D33F4F"/>
    <w:rsid w:val="00D33F98"/>
    <w:rsid w:val="00D34160"/>
    <w:rsid w:val="00D341DA"/>
    <w:rsid w:val="00D34304"/>
    <w:rsid w:val="00D343B5"/>
    <w:rsid w:val="00D34A4D"/>
    <w:rsid w:val="00D34BF9"/>
    <w:rsid w:val="00D34C68"/>
    <w:rsid w:val="00D34D0D"/>
    <w:rsid w:val="00D34EBC"/>
    <w:rsid w:val="00D34F92"/>
    <w:rsid w:val="00D34FBF"/>
    <w:rsid w:val="00D35056"/>
    <w:rsid w:val="00D35176"/>
    <w:rsid w:val="00D3518A"/>
    <w:rsid w:val="00D35317"/>
    <w:rsid w:val="00D354CE"/>
    <w:rsid w:val="00D3576A"/>
    <w:rsid w:val="00D357AD"/>
    <w:rsid w:val="00D359AD"/>
    <w:rsid w:val="00D35AD9"/>
    <w:rsid w:val="00D35BC3"/>
    <w:rsid w:val="00D35C31"/>
    <w:rsid w:val="00D35C59"/>
    <w:rsid w:val="00D35CB2"/>
    <w:rsid w:val="00D35E84"/>
    <w:rsid w:val="00D35F0F"/>
    <w:rsid w:val="00D361A4"/>
    <w:rsid w:val="00D361E8"/>
    <w:rsid w:val="00D3637C"/>
    <w:rsid w:val="00D366B6"/>
    <w:rsid w:val="00D36783"/>
    <w:rsid w:val="00D369A0"/>
    <w:rsid w:val="00D369D6"/>
    <w:rsid w:val="00D36B21"/>
    <w:rsid w:val="00D36D2D"/>
    <w:rsid w:val="00D36D57"/>
    <w:rsid w:val="00D36E89"/>
    <w:rsid w:val="00D37224"/>
    <w:rsid w:val="00D3748D"/>
    <w:rsid w:val="00D374FA"/>
    <w:rsid w:val="00D37744"/>
    <w:rsid w:val="00D37771"/>
    <w:rsid w:val="00D3779A"/>
    <w:rsid w:val="00D37820"/>
    <w:rsid w:val="00D378CC"/>
    <w:rsid w:val="00D37B00"/>
    <w:rsid w:val="00D37B8A"/>
    <w:rsid w:val="00D37CD3"/>
    <w:rsid w:val="00D37F65"/>
    <w:rsid w:val="00D40088"/>
    <w:rsid w:val="00D402BA"/>
    <w:rsid w:val="00D4047A"/>
    <w:rsid w:val="00D40730"/>
    <w:rsid w:val="00D40900"/>
    <w:rsid w:val="00D4090B"/>
    <w:rsid w:val="00D40E28"/>
    <w:rsid w:val="00D40EC1"/>
    <w:rsid w:val="00D40F65"/>
    <w:rsid w:val="00D41088"/>
    <w:rsid w:val="00D410FF"/>
    <w:rsid w:val="00D41158"/>
    <w:rsid w:val="00D4141E"/>
    <w:rsid w:val="00D41604"/>
    <w:rsid w:val="00D416A0"/>
    <w:rsid w:val="00D416CD"/>
    <w:rsid w:val="00D416DF"/>
    <w:rsid w:val="00D417D4"/>
    <w:rsid w:val="00D41A65"/>
    <w:rsid w:val="00D41C4B"/>
    <w:rsid w:val="00D41CCE"/>
    <w:rsid w:val="00D41DEE"/>
    <w:rsid w:val="00D41E41"/>
    <w:rsid w:val="00D41F25"/>
    <w:rsid w:val="00D42174"/>
    <w:rsid w:val="00D42198"/>
    <w:rsid w:val="00D42680"/>
    <w:rsid w:val="00D42779"/>
    <w:rsid w:val="00D42898"/>
    <w:rsid w:val="00D428CA"/>
    <w:rsid w:val="00D42912"/>
    <w:rsid w:val="00D42C2B"/>
    <w:rsid w:val="00D42C8D"/>
    <w:rsid w:val="00D42E4B"/>
    <w:rsid w:val="00D431A8"/>
    <w:rsid w:val="00D43538"/>
    <w:rsid w:val="00D43703"/>
    <w:rsid w:val="00D4375C"/>
    <w:rsid w:val="00D4386F"/>
    <w:rsid w:val="00D4387B"/>
    <w:rsid w:val="00D43973"/>
    <w:rsid w:val="00D43C5C"/>
    <w:rsid w:val="00D43E03"/>
    <w:rsid w:val="00D43E4E"/>
    <w:rsid w:val="00D44103"/>
    <w:rsid w:val="00D443FC"/>
    <w:rsid w:val="00D4440E"/>
    <w:rsid w:val="00D446DB"/>
    <w:rsid w:val="00D449CB"/>
    <w:rsid w:val="00D44AF2"/>
    <w:rsid w:val="00D44D88"/>
    <w:rsid w:val="00D454F6"/>
    <w:rsid w:val="00D456E3"/>
    <w:rsid w:val="00D45731"/>
    <w:rsid w:val="00D4577F"/>
    <w:rsid w:val="00D457A1"/>
    <w:rsid w:val="00D45958"/>
    <w:rsid w:val="00D4598F"/>
    <w:rsid w:val="00D45C4D"/>
    <w:rsid w:val="00D45C73"/>
    <w:rsid w:val="00D45CA1"/>
    <w:rsid w:val="00D45DA9"/>
    <w:rsid w:val="00D45E86"/>
    <w:rsid w:val="00D46148"/>
    <w:rsid w:val="00D467E0"/>
    <w:rsid w:val="00D46823"/>
    <w:rsid w:val="00D4688F"/>
    <w:rsid w:val="00D46911"/>
    <w:rsid w:val="00D46A1A"/>
    <w:rsid w:val="00D46A99"/>
    <w:rsid w:val="00D46AB7"/>
    <w:rsid w:val="00D46BEA"/>
    <w:rsid w:val="00D46D1B"/>
    <w:rsid w:val="00D46D27"/>
    <w:rsid w:val="00D46D80"/>
    <w:rsid w:val="00D46DA6"/>
    <w:rsid w:val="00D46E37"/>
    <w:rsid w:val="00D46E63"/>
    <w:rsid w:val="00D46EAA"/>
    <w:rsid w:val="00D472EC"/>
    <w:rsid w:val="00D477FF"/>
    <w:rsid w:val="00D47994"/>
    <w:rsid w:val="00D479BB"/>
    <w:rsid w:val="00D47A12"/>
    <w:rsid w:val="00D47B0D"/>
    <w:rsid w:val="00D47B6B"/>
    <w:rsid w:val="00D47B93"/>
    <w:rsid w:val="00D47BFB"/>
    <w:rsid w:val="00D47C0C"/>
    <w:rsid w:val="00D47C49"/>
    <w:rsid w:val="00D47F9B"/>
    <w:rsid w:val="00D47FC0"/>
    <w:rsid w:val="00D50000"/>
    <w:rsid w:val="00D5025F"/>
    <w:rsid w:val="00D5049B"/>
    <w:rsid w:val="00D504AF"/>
    <w:rsid w:val="00D507A0"/>
    <w:rsid w:val="00D507A7"/>
    <w:rsid w:val="00D50863"/>
    <w:rsid w:val="00D50934"/>
    <w:rsid w:val="00D50AFF"/>
    <w:rsid w:val="00D50B82"/>
    <w:rsid w:val="00D50D4E"/>
    <w:rsid w:val="00D50D65"/>
    <w:rsid w:val="00D50E8E"/>
    <w:rsid w:val="00D511A2"/>
    <w:rsid w:val="00D511B2"/>
    <w:rsid w:val="00D5124C"/>
    <w:rsid w:val="00D5124F"/>
    <w:rsid w:val="00D5126C"/>
    <w:rsid w:val="00D512C3"/>
    <w:rsid w:val="00D51338"/>
    <w:rsid w:val="00D5137E"/>
    <w:rsid w:val="00D51487"/>
    <w:rsid w:val="00D514D2"/>
    <w:rsid w:val="00D514E9"/>
    <w:rsid w:val="00D515F8"/>
    <w:rsid w:val="00D51674"/>
    <w:rsid w:val="00D51796"/>
    <w:rsid w:val="00D517FD"/>
    <w:rsid w:val="00D51815"/>
    <w:rsid w:val="00D519B1"/>
    <w:rsid w:val="00D51C78"/>
    <w:rsid w:val="00D51C82"/>
    <w:rsid w:val="00D51EE8"/>
    <w:rsid w:val="00D51F18"/>
    <w:rsid w:val="00D51F35"/>
    <w:rsid w:val="00D5218D"/>
    <w:rsid w:val="00D521A9"/>
    <w:rsid w:val="00D52324"/>
    <w:rsid w:val="00D5236E"/>
    <w:rsid w:val="00D523D8"/>
    <w:rsid w:val="00D523F2"/>
    <w:rsid w:val="00D524C7"/>
    <w:rsid w:val="00D52508"/>
    <w:rsid w:val="00D5262C"/>
    <w:rsid w:val="00D52652"/>
    <w:rsid w:val="00D52686"/>
    <w:rsid w:val="00D526C2"/>
    <w:rsid w:val="00D52847"/>
    <w:rsid w:val="00D5284C"/>
    <w:rsid w:val="00D52973"/>
    <w:rsid w:val="00D52975"/>
    <w:rsid w:val="00D52A0E"/>
    <w:rsid w:val="00D52C02"/>
    <w:rsid w:val="00D52D97"/>
    <w:rsid w:val="00D52EAC"/>
    <w:rsid w:val="00D52F3D"/>
    <w:rsid w:val="00D52F44"/>
    <w:rsid w:val="00D53199"/>
    <w:rsid w:val="00D53364"/>
    <w:rsid w:val="00D534DF"/>
    <w:rsid w:val="00D5352A"/>
    <w:rsid w:val="00D53564"/>
    <w:rsid w:val="00D5358E"/>
    <w:rsid w:val="00D536CD"/>
    <w:rsid w:val="00D537FB"/>
    <w:rsid w:val="00D539FA"/>
    <w:rsid w:val="00D53BBB"/>
    <w:rsid w:val="00D53C4F"/>
    <w:rsid w:val="00D53F1D"/>
    <w:rsid w:val="00D54015"/>
    <w:rsid w:val="00D5411B"/>
    <w:rsid w:val="00D54264"/>
    <w:rsid w:val="00D542C9"/>
    <w:rsid w:val="00D54392"/>
    <w:rsid w:val="00D54426"/>
    <w:rsid w:val="00D54478"/>
    <w:rsid w:val="00D546D3"/>
    <w:rsid w:val="00D5483C"/>
    <w:rsid w:val="00D548B9"/>
    <w:rsid w:val="00D54944"/>
    <w:rsid w:val="00D55058"/>
    <w:rsid w:val="00D550D2"/>
    <w:rsid w:val="00D55270"/>
    <w:rsid w:val="00D5529D"/>
    <w:rsid w:val="00D55358"/>
    <w:rsid w:val="00D55568"/>
    <w:rsid w:val="00D555B0"/>
    <w:rsid w:val="00D555D7"/>
    <w:rsid w:val="00D55669"/>
    <w:rsid w:val="00D55671"/>
    <w:rsid w:val="00D55837"/>
    <w:rsid w:val="00D55A7D"/>
    <w:rsid w:val="00D55AAA"/>
    <w:rsid w:val="00D55C44"/>
    <w:rsid w:val="00D55E03"/>
    <w:rsid w:val="00D55F75"/>
    <w:rsid w:val="00D562D3"/>
    <w:rsid w:val="00D56356"/>
    <w:rsid w:val="00D56706"/>
    <w:rsid w:val="00D56731"/>
    <w:rsid w:val="00D56927"/>
    <w:rsid w:val="00D5692C"/>
    <w:rsid w:val="00D56B59"/>
    <w:rsid w:val="00D56CEE"/>
    <w:rsid w:val="00D56FB6"/>
    <w:rsid w:val="00D56FDC"/>
    <w:rsid w:val="00D570D7"/>
    <w:rsid w:val="00D570DA"/>
    <w:rsid w:val="00D5723D"/>
    <w:rsid w:val="00D57269"/>
    <w:rsid w:val="00D57272"/>
    <w:rsid w:val="00D572A2"/>
    <w:rsid w:val="00D57517"/>
    <w:rsid w:val="00D5753F"/>
    <w:rsid w:val="00D57576"/>
    <w:rsid w:val="00D575BB"/>
    <w:rsid w:val="00D575FF"/>
    <w:rsid w:val="00D57625"/>
    <w:rsid w:val="00D57897"/>
    <w:rsid w:val="00D578EF"/>
    <w:rsid w:val="00D5798B"/>
    <w:rsid w:val="00D57C1F"/>
    <w:rsid w:val="00D57C4C"/>
    <w:rsid w:val="00D57C70"/>
    <w:rsid w:val="00D57CFB"/>
    <w:rsid w:val="00D57E27"/>
    <w:rsid w:val="00D6041F"/>
    <w:rsid w:val="00D604DC"/>
    <w:rsid w:val="00D60502"/>
    <w:rsid w:val="00D60660"/>
    <w:rsid w:val="00D60687"/>
    <w:rsid w:val="00D6091B"/>
    <w:rsid w:val="00D60A1C"/>
    <w:rsid w:val="00D60B48"/>
    <w:rsid w:val="00D60CFE"/>
    <w:rsid w:val="00D60F74"/>
    <w:rsid w:val="00D6100D"/>
    <w:rsid w:val="00D610A3"/>
    <w:rsid w:val="00D6122F"/>
    <w:rsid w:val="00D6131D"/>
    <w:rsid w:val="00D614A1"/>
    <w:rsid w:val="00D6155F"/>
    <w:rsid w:val="00D6162E"/>
    <w:rsid w:val="00D61705"/>
    <w:rsid w:val="00D61948"/>
    <w:rsid w:val="00D619AE"/>
    <w:rsid w:val="00D61B66"/>
    <w:rsid w:val="00D61BA3"/>
    <w:rsid w:val="00D61BE9"/>
    <w:rsid w:val="00D61D8A"/>
    <w:rsid w:val="00D61E2B"/>
    <w:rsid w:val="00D61F58"/>
    <w:rsid w:val="00D61FD3"/>
    <w:rsid w:val="00D62102"/>
    <w:rsid w:val="00D6224A"/>
    <w:rsid w:val="00D627F6"/>
    <w:rsid w:val="00D62855"/>
    <w:rsid w:val="00D62B9F"/>
    <w:rsid w:val="00D62CD9"/>
    <w:rsid w:val="00D62E57"/>
    <w:rsid w:val="00D62E95"/>
    <w:rsid w:val="00D630AB"/>
    <w:rsid w:val="00D63118"/>
    <w:rsid w:val="00D63237"/>
    <w:rsid w:val="00D63339"/>
    <w:rsid w:val="00D63452"/>
    <w:rsid w:val="00D63729"/>
    <w:rsid w:val="00D63750"/>
    <w:rsid w:val="00D6397D"/>
    <w:rsid w:val="00D639C9"/>
    <w:rsid w:val="00D63A76"/>
    <w:rsid w:val="00D63A96"/>
    <w:rsid w:val="00D63D50"/>
    <w:rsid w:val="00D63E1D"/>
    <w:rsid w:val="00D63FF6"/>
    <w:rsid w:val="00D6406B"/>
    <w:rsid w:val="00D6407D"/>
    <w:rsid w:val="00D64186"/>
    <w:rsid w:val="00D6425F"/>
    <w:rsid w:val="00D643CF"/>
    <w:rsid w:val="00D6449B"/>
    <w:rsid w:val="00D6456D"/>
    <w:rsid w:val="00D64818"/>
    <w:rsid w:val="00D6493C"/>
    <w:rsid w:val="00D64A39"/>
    <w:rsid w:val="00D64D17"/>
    <w:rsid w:val="00D650E4"/>
    <w:rsid w:val="00D65106"/>
    <w:rsid w:val="00D65114"/>
    <w:rsid w:val="00D65121"/>
    <w:rsid w:val="00D6512F"/>
    <w:rsid w:val="00D65277"/>
    <w:rsid w:val="00D652E9"/>
    <w:rsid w:val="00D65408"/>
    <w:rsid w:val="00D6543D"/>
    <w:rsid w:val="00D65511"/>
    <w:rsid w:val="00D65548"/>
    <w:rsid w:val="00D657F9"/>
    <w:rsid w:val="00D65C18"/>
    <w:rsid w:val="00D65F82"/>
    <w:rsid w:val="00D66041"/>
    <w:rsid w:val="00D66141"/>
    <w:rsid w:val="00D66546"/>
    <w:rsid w:val="00D6657C"/>
    <w:rsid w:val="00D66613"/>
    <w:rsid w:val="00D667C4"/>
    <w:rsid w:val="00D66ABD"/>
    <w:rsid w:val="00D66DB2"/>
    <w:rsid w:val="00D67058"/>
    <w:rsid w:val="00D671EA"/>
    <w:rsid w:val="00D6728C"/>
    <w:rsid w:val="00D67296"/>
    <w:rsid w:val="00D672B5"/>
    <w:rsid w:val="00D67373"/>
    <w:rsid w:val="00D67441"/>
    <w:rsid w:val="00D676F2"/>
    <w:rsid w:val="00D6771B"/>
    <w:rsid w:val="00D6781B"/>
    <w:rsid w:val="00D67A8B"/>
    <w:rsid w:val="00D67C6F"/>
    <w:rsid w:val="00D67D7F"/>
    <w:rsid w:val="00D67EAB"/>
    <w:rsid w:val="00D70070"/>
    <w:rsid w:val="00D70080"/>
    <w:rsid w:val="00D702BE"/>
    <w:rsid w:val="00D7050C"/>
    <w:rsid w:val="00D706CB"/>
    <w:rsid w:val="00D706DC"/>
    <w:rsid w:val="00D70723"/>
    <w:rsid w:val="00D70A3B"/>
    <w:rsid w:val="00D70ECF"/>
    <w:rsid w:val="00D710C6"/>
    <w:rsid w:val="00D7115D"/>
    <w:rsid w:val="00D711FE"/>
    <w:rsid w:val="00D71231"/>
    <w:rsid w:val="00D713AC"/>
    <w:rsid w:val="00D713C6"/>
    <w:rsid w:val="00D71470"/>
    <w:rsid w:val="00D7150D"/>
    <w:rsid w:val="00D716E2"/>
    <w:rsid w:val="00D71798"/>
    <w:rsid w:val="00D71802"/>
    <w:rsid w:val="00D71870"/>
    <w:rsid w:val="00D718C9"/>
    <w:rsid w:val="00D71928"/>
    <w:rsid w:val="00D71A3E"/>
    <w:rsid w:val="00D71AAA"/>
    <w:rsid w:val="00D71ADB"/>
    <w:rsid w:val="00D71C11"/>
    <w:rsid w:val="00D71C3B"/>
    <w:rsid w:val="00D71EAC"/>
    <w:rsid w:val="00D71FB7"/>
    <w:rsid w:val="00D71FFF"/>
    <w:rsid w:val="00D7204D"/>
    <w:rsid w:val="00D720A8"/>
    <w:rsid w:val="00D721C8"/>
    <w:rsid w:val="00D721E4"/>
    <w:rsid w:val="00D72209"/>
    <w:rsid w:val="00D72349"/>
    <w:rsid w:val="00D72386"/>
    <w:rsid w:val="00D7241D"/>
    <w:rsid w:val="00D72430"/>
    <w:rsid w:val="00D72474"/>
    <w:rsid w:val="00D7247C"/>
    <w:rsid w:val="00D724D7"/>
    <w:rsid w:val="00D725E6"/>
    <w:rsid w:val="00D727F2"/>
    <w:rsid w:val="00D7296B"/>
    <w:rsid w:val="00D729D3"/>
    <w:rsid w:val="00D72A21"/>
    <w:rsid w:val="00D72A51"/>
    <w:rsid w:val="00D72A66"/>
    <w:rsid w:val="00D72A6D"/>
    <w:rsid w:val="00D72BC2"/>
    <w:rsid w:val="00D72E47"/>
    <w:rsid w:val="00D72F7F"/>
    <w:rsid w:val="00D73143"/>
    <w:rsid w:val="00D731D6"/>
    <w:rsid w:val="00D733BA"/>
    <w:rsid w:val="00D73529"/>
    <w:rsid w:val="00D73704"/>
    <w:rsid w:val="00D737EC"/>
    <w:rsid w:val="00D73A69"/>
    <w:rsid w:val="00D73AD5"/>
    <w:rsid w:val="00D73CC5"/>
    <w:rsid w:val="00D73D4B"/>
    <w:rsid w:val="00D73F1D"/>
    <w:rsid w:val="00D7401C"/>
    <w:rsid w:val="00D7406A"/>
    <w:rsid w:val="00D743F9"/>
    <w:rsid w:val="00D74437"/>
    <w:rsid w:val="00D7459E"/>
    <w:rsid w:val="00D745DF"/>
    <w:rsid w:val="00D74619"/>
    <w:rsid w:val="00D74688"/>
    <w:rsid w:val="00D746A6"/>
    <w:rsid w:val="00D74817"/>
    <w:rsid w:val="00D74A94"/>
    <w:rsid w:val="00D74AE2"/>
    <w:rsid w:val="00D74BAD"/>
    <w:rsid w:val="00D74BF6"/>
    <w:rsid w:val="00D74DC2"/>
    <w:rsid w:val="00D7506D"/>
    <w:rsid w:val="00D751B4"/>
    <w:rsid w:val="00D752DF"/>
    <w:rsid w:val="00D753B3"/>
    <w:rsid w:val="00D75481"/>
    <w:rsid w:val="00D754A3"/>
    <w:rsid w:val="00D755C4"/>
    <w:rsid w:val="00D75791"/>
    <w:rsid w:val="00D759FF"/>
    <w:rsid w:val="00D75AB1"/>
    <w:rsid w:val="00D75B25"/>
    <w:rsid w:val="00D75C94"/>
    <w:rsid w:val="00D75DD0"/>
    <w:rsid w:val="00D75E73"/>
    <w:rsid w:val="00D75FC1"/>
    <w:rsid w:val="00D75FDB"/>
    <w:rsid w:val="00D76143"/>
    <w:rsid w:val="00D761BE"/>
    <w:rsid w:val="00D765DC"/>
    <w:rsid w:val="00D7664D"/>
    <w:rsid w:val="00D767D0"/>
    <w:rsid w:val="00D76A2C"/>
    <w:rsid w:val="00D76A57"/>
    <w:rsid w:val="00D76A66"/>
    <w:rsid w:val="00D76A86"/>
    <w:rsid w:val="00D76CBB"/>
    <w:rsid w:val="00D76CCA"/>
    <w:rsid w:val="00D76CE8"/>
    <w:rsid w:val="00D76E35"/>
    <w:rsid w:val="00D76EDB"/>
    <w:rsid w:val="00D77073"/>
    <w:rsid w:val="00D77519"/>
    <w:rsid w:val="00D77613"/>
    <w:rsid w:val="00D776CB"/>
    <w:rsid w:val="00D77BE0"/>
    <w:rsid w:val="00D77CDE"/>
    <w:rsid w:val="00D77D02"/>
    <w:rsid w:val="00D77D48"/>
    <w:rsid w:val="00D77D6C"/>
    <w:rsid w:val="00D77F95"/>
    <w:rsid w:val="00D77F9D"/>
    <w:rsid w:val="00D801A1"/>
    <w:rsid w:val="00D8022A"/>
    <w:rsid w:val="00D804EA"/>
    <w:rsid w:val="00D807DD"/>
    <w:rsid w:val="00D808BB"/>
    <w:rsid w:val="00D8092D"/>
    <w:rsid w:val="00D80A1A"/>
    <w:rsid w:val="00D80B53"/>
    <w:rsid w:val="00D80C1E"/>
    <w:rsid w:val="00D80C57"/>
    <w:rsid w:val="00D80E84"/>
    <w:rsid w:val="00D80F64"/>
    <w:rsid w:val="00D81201"/>
    <w:rsid w:val="00D813A6"/>
    <w:rsid w:val="00D81600"/>
    <w:rsid w:val="00D817F4"/>
    <w:rsid w:val="00D8186E"/>
    <w:rsid w:val="00D819D1"/>
    <w:rsid w:val="00D81A5C"/>
    <w:rsid w:val="00D81BD3"/>
    <w:rsid w:val="00D81EF5"/>
    <w:rsid w:val="00D81F05"/>
    <w:rsid w:val="00D82202"/>
    <w:rsid w:val="00D82232"/>
    <w:rsid w:val="00D82456"/>
    <w:rsid w:val="00D824E9"/>
    <w:rsid w:val="00D825AF"/>
    <w:rsid w:val="00D82652"/>
    <w:rsid w:val="00D826BF"/>
    <w:rsid w:val="00D827FF"/>
    <w:rsid w:val="00D82ABD"/>
    <w:rsid w:val="00D82F5F"/>
    <w:rsid w:val="00D82F8E"/>
    <w:rsid w:val="00D82FB9"/>
    <w:rsid w:val="00D82FE3"/>
    <w:rsid w:val="00D82FE7"/>
    <w:rsid w:val="00D835BE"/>
    <w:rsid w:val="00D83698"/>
    <w:rsid w:val="00D83700"/>
    <w:rsid w:val="00D837A8"/>
    <w:rsid w:val="00D83815"/>
    <w:rsid w:val="00D83906"/>
    <w:rsid w:val="00D83A4B"/>
    <w:rsid w:val="00D83AA2"/>
    <w:rsid w:val="00D83BAB"/>
    <w:rsid w:val="00D83CD2"/>
    <w:rsid w:val="00D83CFB"/>
    <w:rsid w:val="00D83ECD"/>
    <w:rsid w:val="00D83F16"/>
    <w:rsid w:val="00D83F1F"/>
    <w:rsid w:val="00D83F7C"/>
    <w:rsid w:val="00D84036"/>
    <w:rsid w:val="00D841C1"/>
    <w:rsid w:val="00D841FF"/>
    <w:rsid w:val="00D842E0"/>
    <w:rsid w:val="00D84383"/>
    <w:rsid w:val="00D8451C"/>
    <w:rsid w:val="00D84939"/>
    <w:rsid w:val="00D84A8D"/>
    <w:rsid w:val="00D84B73"/>
    <w:rsid w:val="00D84EC0"/>
    <w:rsid w:val="00D84ED6"/>
    <w:rsid w:val="00D85108"/>
    <w:rsid w:val="00D85199"/>
    <w:rsid w:val="00D851D9"/>
    <w:rsid w:val="00D85234"/>
    <w:rsid w:val="00D852F8"/>
    <w:rsid w:val="00D855FB"/>
    <w:rsid w:val="00D8574C"/>
    <w:rsid w:val="00D857A7"/>
    <w:rsid w:val="00D857DA"/>
    <w:rsid w:val="00D85DC0"/>
    <w:rsid w:val="00D85E32"/>
    <w:rsid w:val="00D860E7"/>
    <w:rsid w:val="00D86123"/>
    <w:rsid w:val="00D862E5"/>
    <w:rsid w:val="00D8660B"/>
    <w:rsid w:val="00D866FA"/>
    <w:rsid w:val="00D86705"/>
    <w:rsid w:val="00D86828"/>
    <w:rsid w:val="00D8693D"/>
    <w:rsid w:val="00D869A0"/>
    <w:rsid w:val="00D86BA3"/>
    <w:rsid w:val="00D86CC6"/>
    <w:rsid w:val="00D86CD0"/>
    <w:rsid w:val="00D86EA3"/>
    <w:rsid w:val="00D87035"/>
    <w:rsid w:val="00D871C7"/>
    <w:rsid w:val="00D8736A"/>
    <w:rsid w:val="00D87748"/>
    <w:rsid w:val="00D87792"/>
    <w:rsid w:val="00D8786F"/>
    <w:rsid w:val="00D878DE"/>
    <w:rsid w:val="00D87A3E"/>
    <w:rsid w:val="00D87A67"/>
    <w:rsid w:val="00D87BDC"/>
    <w:rsid w:val="00D87C46"/>
    <w:rsid w:val="00D87FCD"/>
    <w:rsid w:val="00D900E7"/>
    <w:rsid w:val="00D901D8"/>
    <w:rsid w:val="00D9039F"/>
    <w:rsid w:val="00D90539"/>
    <w:rsid w:val="00D9053D"/>
    <w:rsid w:val="00D9082E"/>
    <w:rsid w:val="00D908E6"/>
    <w:rsid w:val="00D909A4"/>
    <w:rsid w:val="00D909D3"/>
    <w:rsid w:val="00D90A65"/>
    <w:rsid w:val="00D90A9B"/>
    <w:rsid w:val="00D90AA7"/>
    <w:rsid w:val="00D90B71"/>
    <w:rsid w:val="00D90C47"/>
    <w:rsid w:val="00D90CF9"/>
    <w:rsid w:val="00D90F85"/>
    <w:rsid w:val="00D91045"/>
    <w:rsid w:val="00D91097"/>
    <w:rsid w:val="00D91183"/>
    <w:rsid w:val="00D911CA"/>
    <w:rsid w:val="00D912A4"/>
    <w:rsid w:val="00D916BC"/>
    <w:rsid w:val="00D9175E"/>
    <w:rsid w:val="00D917C1"/>
    <w:rsid w:val="00D91A84"/>
    <w:rsid w:val="00D91AB0"/>
    <w:rsid w:val="00D91B60"/>
    <w:rsid w:val="00D91CAC"/>
    <w:rsid w:val="00D91E25"/>
    <w:rsid w:val="00D92006"/>
    <w:rsid w:val="00D920BE"/>
    <w:rsid w:val="00D92286"/>
    <w:rsid w:val="00D922E4"/>
    <w:rsid w:val="00D92479"/>
    <w:rsid w:val="00D925B0"/>
    <w:rsid w:val="00D92613"/>
    <w:rsid w:val="00D92661"/>
    <w:rsid w:val="00D926A6"/>
    <w:rsid w:val="00D92835"/>
    <w:rsid w:val="00D92851"/>
    <w:rsid w:val="00D9285A"/>
    <w:rsid w:val="00D928B3"/>
    <w:rsid w:val="00D92990"/>
    <w:rsid w:val="00D92A22"/>
    <w:rsid w:val="00D92A3F"/>
    <w:rsid w:val="00D92A63"/>
    <w:rsid w:val="00D92AE4"/>
    <w:rsid w:val="00D92CCA"/>
    <w:rsid w:val="00D92D2A"/>
    <w:rsid w:val="00D92DF7"/>
    <w:rsid w:val="00D92E40"/>
    <w:rsid w:val="00D92E4B"/>
    <w:rsid w:val="00D92E55"/>
    <w:rsid w:val="00D93040"/>
    <w:rsid w:val="00D930CE"/>
    <w:rsid w:val="00D93134"/>
    <w:rsid w:val="00D93232"/>
    <w:rsid w:val="00D93464"/>
    <w:rsid w:val="00D93AE1"/>
    <w:rsid w:val="00D93BD2"/>
    <w:rsid w:val="00D93C2B"/>
    <w:rsid w:val="00D93C2E"/>
    <w:rsid w:val="00D93D1B"/>
    <w:rsid w:val="00D93D37"/>
    <w:rsid w:val="00D93D4E"/>
    <w:rsid w:val="00D93ECB"/>
    <w:rsid w:val="00D94062"/>
    <w:rsid w:val="00D941DF"/>
    <w:rsid w:val="00D9434D"/>
    <w:rsid w:val="00D943BD"/>
    <w:rsid w:val="00D94494"/>
    <w:rsid w:val="00D945F9"/>
    <w:rsid w:val="00D94658"/>
    <w:rsid w:val="00D94869"/>
    <w:rsid w:val="00D94A76"/>
    <w:rsid w:val="00D94C31"/>
    <w:rsid w:val="00D94E18"/>
    <w:rsid w:val="00D94E45"/>
    <w:rsid w:val="00D94E87"/>
    <w:rsid w:val="00D94EA0"/>
    <w:rsid w:val="00D94EA5"/>
    <w:rsid w:val="00D94FC8"/>
    <w:rsid w:val="00D950A0"/>
    <w:rsid w:val="00D950CC"/>
    <w:rsid w:val="00D9515F"/>
    <w:rsid w:val="00D952DD"/>
    <w:rsid w:val="00D953C1"/>
    <w:rsid w:val="00D95445"/>
    <w:rsid w:val="00D9582C"/>
    <w:rsid w:val="00D95856"/>
    <w:rsid w:val="00D959BA"/>
    <w:rsid w:val="00D95B64"/>
    <w:rsid w:val="00D95D8F"/>
    <w:rsid w:val="00D960B3"/>
    <w:rsid w:val="00D963C8"/>
    <w:rsid w:val="00D96588"/>
    <w:rsid w:val="00D9661A"/>
    <w:rsid w:val="00D96693"/>
    <w:rsid w:val="00D966F9"/>
    <w:rsid w:val="00D9697D"/>
    <w:rsid w:val="00D969C8"/>
    <w:rsid w:val="00D96BA8"/>
    <w:rsid w:val="00D96BA9"/>
    <w:rsid w:val="00D96E41"/>
    <w:rsid w:val="00D96FDF"/>
    <w:rsid w:val="00D97003"/>
    <w:rsid w:val="00D971B6"/>
    <w:rsid w:val="00D97225"/>
    <w:rsid w:val="00D97457"/>
    <w:rsid w:val="00D974C9"/>
    <w:rsid w:val="00D9776C"/>
    <w:rsid w:val="00D977B6"/>
    <w:rsid w:val="00D9783A"/>
    <w:rsid w:val="00D97876"/>
    <w:rsid w:val="00D97877"/>
    <w:rsid w:val="00D97A3F"/>
    <w:rsid w:val="00D97C1C"/>
    <w:rsid w:val="00D97CE5"/>
    <w:rsid w:val="00D97D29"/>
    <w:rsid w:val="00D97DF9"/>
    <w:rsid w:val="00D97ED2"/>
    <w:rsid w:val="00D97FDC"/>
    <w:rsid w:val="00DA001A"/>
    <w:rsid w:val="00DA0045"/>
    <w:rsid w:val="00DA0068"/>
    <w:rsid w:val="00DA00F7"/>
    <w:rsid w:val="00DA01B4"/>
    <w:rsid w:val="00DA02F4"/>
    <w:rsid w:val="00DA0359"/>
    <w:rsid w:val="00DA0475"/>
    <w:rsid w:val="00DA0502"/>
    <w:rsid w:val="00DA0569"/>
    <w:rsid w:val="00DA0585"/>
    <w:rsid w:val="00DA0776"/>
    <w:rsid w:val="00DA084A"/>
    <w:rsid w:val="00DA088B"/>
    <w:rsid w:val="00DA0B0D"/>
    <w:rsid w:val="00DA0B54"/>
    <w:rsid w:val="00DA0B6A"/>
    <w:rsid w:val="00DA0CE4"/>
    <w:rsid w:val="00DA0CE7"/>
    <w:rsid w:val="00DA0DD8"/>
    <w:rsid w:val="00DA1082"/>
    <w:rsid w:val="00DA1136"/>
    <w:rsid w:val="00DA119E"/>
    <w:rsid w:val="00DA12F6"/>
    <w:rsid w:val="00DA1467"/>
    <w:rsid w:val="00DA14CF"/>
    <w:rsid w:val="00DA1516"/>
    <w:rsid w:val="00DA1554"/>
    <w:rsid w:val="00DA1584"/>
    <w:rsid w:val="00DA18B6"/>
    <w:rsid w:val="00DA19AF"/>
    <w:rsid w:val="00DA1AC6"/>
    <w:rsid w:val="00DA1BAA"/>
    <w:rsid w:val="00DA1BAD"/>
    <w:rsid w:val="00DA1BBE"/>
    <w:rsid w:val="00DA1D86"/>
    <w:rsid w:val="00DA1E72"/>
    <w:rsid w:val="00DA222D"/>
    <w:rsid w:val="00DA2231"/>
    <w:rsid w:val="00DA229F"/>
    <w:rsid w:val="00DA23CF"/>
    <w:rsid w:val="00DA23FD"/>
    <w:rsid w:val="00DA24BA"/>
    <w:rsid w:val="00DA2936"/>
    <w:rsid w:val="00DA2AB2"/>
    <w:rsid w:val="00DA2ABF"/>
    <w:rsid w:val="00DA2C90"/>
    <w:rsid w:val="00DA2D82"/>
    <w:rsid w:val="00DA2DAB"/>
    <w:rsid w:val="00DA2ED2"/>
    <w:rsid w:val="00DA3141"/>
    <w:rsid w:val="00DA32E0"/>
    <w:rsid w:val="00DA331A"/>
    <w:rsid w:val="00DA3375"/>
    <w:rsid w:val="00DA342C"/>
    <w:rsid w:val="00DA368F"/>
    <w:rsid w:val="00DA3696"/>
    <w:rsid w:val="00DA36FB"/>
    <w:rsid w:val="00DA38D6"/>
    <w:rsid w:val="00DA38D9"/>
    <w:rsid w:val="00DA39F3"/>
    <w:rsid w:val="00DA3A99"/>
    <w:rsid w:val="00DA3B23"/>
    <w:rsid w:val="00DA3E87"/>
    <w:rsid w:val="00DA3ECB"/>
    <w:rsid w:val="00DA408B"/>
    <w:rsid w:val="00DA40FF"/>
    <w:rsid w:val="00DA413B"/>
    <w:rsid w:val="00DA4192"/>
    <w:rsid w:val="00DA4294"/>
    <w:rsid w:val="00DA43B1"/>
    <w:rsid w:val="00DA46E2"/>
    <w:rsid w:val="00DA481C"/>
    <w:rsid w:val="00DA48E8"/>
    <w:rsid w:val="00DA4A4E"/>
    <w:rsid w:val="00DA4B27"/>
    <w:rsid w:val="00DA4B82"/>
    <w:rsid w:val="00DA4C60"/>
    <w:rsid w:val="00DA4CFA"/>
    <w:rsid w:val="00DA4DC9"/>
    <w:rsid w:val="00DA4EB8"/>
    <w:rsid w:val="00DA4EBF"/>
    <w:rsid w:val="00DA500B"/>
    <w:rsid w:val="00DA50E4"/>
    <w:rsid w:val="00DA5189"/>
    <w:rsid w:val="00DA51C0"/>
    <w:rsid w:val="00DA51D2"/>
    <w:rsid w:val="00DA53EC"/>
    <w:rsid w:val="00DA5412"/>
    <w:rsid w:val="00DA54CD"/>
    <w:rsid w:val="00DA55AF"/>
    <w:rsid w:val="00DA568E"/>
    <w:rsid w:val="00DA56F5"/>
    <w:rsid w:val="00DA57EB"/>
    <w:rsid w:val="00DA587F"/>
    <w:rsid w:val="00DA5A68"/>
    <w:rsid w:val="00DA5ABB"/>
    <w:rsid w:val="00DA5AD9"/>
    <w:rsid w:val="00DA5B54"/>
    <w:rsid w:val="00DA5B62"/>
    <w:rsid w:val="00DA5B99"/>
    <w:rsid w:val="00DA5D0C"/>
    <w:rsid w:val="00DA5D5B"/>
    <w:rsid w:val="00DA5E1E"/>
    <w:rsid w:val="00DA607B"/>
    <w:rsid w:val="00DA63EE"/>
    <w:rsid w:val="00DA6406"/>
    <w:rsid w:val="00DA6565"/>
    <w:rsid w:val="00DA65B3"/>
    <w:rsid w:val="00DA6681"/>
    <w:rsid w:val="00DA67CE"/>
    <w:rsid w:val="00DA687B"/>
    <w:rsid w:val="00DA689F"/>
    <w:rsid w:val="00DA6986"/>
    <w:rsid w:val="00DA6BC9"/>
    <w:rsid w:val="00DA6C45"/>
    <w:rsid w:val="00DA6C72"/>
    <w:rsid w:val="00DA6CFD"/>
    <w:rsid w:val="00DA6D62"/>
    <w:rsid w:val="00DA6E50"/>
    <w:rsid w:val="00DA6EE9"/>
    <w:rsid w:val="00DA7100"/>
    <w:rsid w:val="00DA717B"/>
    <w:rsid w:val="00DA726D"/>
    <w:rsid w:val="00DA7298"/>
    <w:rsid w:val="00DA72B9"/>
    <w:rsid w:val="00DA7407"/>
    <w:rsid w:val="00DA7711"/>
    <w:rsid w:val="00DA788B"/>
    <w:rsid w:val="00DA79D8"/>
    <w:rsid w:val="00DA7BD1"/>
    <w:rsid w:val="00DA7E79"/>
    <w:rsid w:val="00DA7F61"/>
    <w:rsid w:val="00DB017F"/>
    <w:rsid w:val="00DB020D"/>
    <w:rsid w:val="00DB0341"/>
    <w:rsid w:val="00DB0363"/>
    <w:rsid w:val="00DB047B"/>
    <w:rsid w:val="00DB0521"/>
    <w:rsid w:val="00DB06C9"/>
    <w:rsid w:val="00DB06FD"/>
    <w:rsid w:val="00DB077B"/>
    <w:rsid w:val="00DB0BAB"/>
    <w:rsid w:val="00DB0DEF"/>
    <w:rsid w:val="00DB0E16"/>
    <w:rsid w:val="00DB12B8"/>
    <w:rsid w:val="00DB17E3"/>
    <w:rsid w:val="00DB1AAF"/>
    <w:rsid w:val="00DB1B55"/>
    <w:rsid w:val="00DB1FA5"/>
    <w:rsid w:val="00DB209C"/>
    <w:rsid w:val="00DB20E8"/>
    <w:rsid w:val="00DB221B"/>
    <w:rsid w:val="00DB2454"/>
    <w:rsid w:val="00DB26EE"/>
    <w:rsid w:val="00DB27A1"/>
    <w:rsid w:val="00DB2841"/>
    <w:rsid w:val="00DB290C"/>
    <w:rsid w:val="00DB29FD"/>
    <w:rsid w:val="00DB2BA3"/>
    <w:rsid w:val="00DB2DAF"/>
    <w:rsid w:val="00DB2E98"/>
    <w:rsid w:val="00DB2EBF"/>
    <w:rsid w:val="00DB2F32"/>
    <w:rsid w:val="00DB3199"/>
    <w:rsid w:val="00DB32B6"/>
    <w:rsid w:val="00DB32D9"/>
    <w:rsid w:val="00DB3308"/>
    <w:rsid w:val="00DB3706"/>
    <w:rsid w:val="00DB374B"/>
    <w:rsid w:val="00DB375B"/>
    <w:rsid w:val="00DB386D"/>
    <w:rsid w:val="00DB38CE"/>
    <w:rsid w:val="00DB398C"/>
    <w:rsid w:val="00DB3B88"/>
    <w:rsid w:val="00DB3D5A"/>
    <w:rsid w:val="00DB3E3C"/>
    <w:rsid w:val="00DB3F8A"/>
    <w:rsid w:val="00DB410C"/>
    <w:rsid w:val="00DB4118"/>
    <w:rsid w:val="00DB423F"/>
    <w:rsid w:val="00DB42B2"/>
    <w:rsid w:val="00DB42F6"/>
    <w:rsid w:val="00DB438A"/>
    <w:rsid w:val="00DB45EA"/>
    <w:rsid w:val="00DB482D"/>
    <w:rsid w:val="00DB48F9"/>
    <w:rsid w:val="00DB4933"/>
    <w:rsid w:val="00DB4975"/>
    <w:rsid w:val="00DB49EE"/>
    <w:rsid w:val="00DB4ADD"/>
    <w:rsid w:val="00DB4B06"/>
    <w:rsid w:val="00DB4BC3"/>
    <w:rsid w:val="00DB4F09"/>
    <w:rsid w:val="00DB4F41"/>
    <w:rsid w:val="00DB5196"/>
    <w:rsid w:val="00DB51F6"/>
    <w:rsid w:val="00DB55BB"/>
    <w:rsid w:val="00DB5638"/>
    <w:rsid w:val="00DB58CB"/>
    <w:rsid w:val="00DB597D"/>
    <w:rsid w:val="00DB5D99"/>
    <w:rsid w:val="00DB5ECB"/>
    <w:rsid w:val="00DB5EF2"/>
    <w:rsid w:val="00DB5F4D"/>
    <w:rsid w:val="00DB61BB"/>
    <w:rsid w:val="00DB61DE"/>
    <w:rsid w:val="00DB6308"/>
    <w:rsid w:val="00DB6516"/>
    <w:rsid w:val="00DB653E"/>
    <w:rsid w:val="00DB68E3"/>
    <w:rsid w:val="00DB690C"/>
    <w:rsid w:val="00DB6953"/>
    <w:rsid w:val="00DB6A44"/>
    <w:rsid w:val="00DB6CE7"/>
    <w:rsid w:val="00DB6DC9"/>
    <w:rsid w:val="00DB6DDE"/>
    <w:rsid w:val="00DB6E0E"/>
    <w:rsid w:val="00DB6F2F"/>
    <w:rsid w:val="00DB6FEF"/>
    <w:rsid w:val="00DB7192"/>
    <w:rsid w:val="00DB72AC"/>
    <w:rsid w:val="00DB7407"/>
    <w:rsid w:val="00DB758A"/>
    <w:rsid w:val="00DB78C6"/>
    <w:rsid w:val="00DB78EB"/>
    <w:rsid w:val="00DB79CF"/>
    <w:rsid w:val="00DB79DF"/>
    <w:rsid w:val="00DB7D05"/>
    <w:rsid w:val="00DB7E72"/>
    <w:rsid w:val="00DC004B"/>
    <w:rsid w:val="00DC00E4"/>
    <w:rsid w:val="00DC0151"/>
    <w:rsid w:val="00DC01E2"/>
    <w:rsid w:val="00DC032F"/>
    <w:rsid w:val="00DC03A0"/>
    <w:rsid w:val="00DC05FA"/>
    <w:rsid w:val="00DC072A"/>
    <w:rsid w:val="00DC09E3"/>
    <w:rsid w:val="00DC0C88"/>
    <w:rsid w:val="00DC0FA7"/>
    <w:rsid w:val="00DC1188"/>
    <w:rsid w:val="00DC1231"/>
    <w:rsid w:val="00DC1273"/>
    <w:rsid w:val="00DC1481"/>
    <w:rsid w:val="00DC17D8"/>
    <w:rsid w:val="00DC1B69"/>
    <w:rsid w:val="00DC1BC0"/>
    <w:rsid w:val="00DC1C93"/>
    <w:rsid w:val="00DC1EC1"/>
    <w:rsid w:val="00DC1F0F"/>
    <w:rsid w:val="00DC239E"/>
    <w:rsid w:val="00DC23DE"/>
    <w:rsid w:val="00DC2413"/>
    <w:rsid w:val="00DC2483"/>
    <w:rsid w:val="00DC2599"/>
    <w:rsid w:val="00DC295A"/>
    <w:rsid w:val="00DC29FA"/>
    <w:rsid w:val="00DC2A60"/>
    <w:rsid w:val="00DC2B21"/>
    <w:rsid w:val="00DC2ECC"/>
    <w:rsid w:val="00DC2FD9"/>
    <w:rsid w:val="00DC330F"/>
    <w:rsid w:val="00DC358E"/>
    <w:rsid w:val="00DC361D"/>
    <w:rsid w:val="00DC3714"/>
    <w:rsid w:val="00DC38AF"/>
    <w:rsid w:val="00DC39CE"/>
    <w:rsid w:val="00DC3A62"/>
    <w:rsid w:val="00DC3EAA"/>
    <w:rsid w:val="00DC3F70"/>
    <w:rsid w:val="00DC40D0"/>
    <w:rsid w:val="00DC4227"/>
    <w:rsid w:val="00DC423F"/>
    <w:rsid w:val="00DC439A"/>
    <w:rsid w:val="00DC4433"/>
    <w:rsid w:val="00DC4540"/>
    <w:rsid w:val="00DC45E8"/>
    <w:rsid w:val="00DC4627"/>
    <w:rsid w:val="00DC469F"/>
    <w:rsid w:val="00DC4731"/>
    <w:rsid w:val="00DC47EC"/>
    <w:rsid w:val="00DC49A8"/>
    <w:rsid w:val="00DC4F68"/>
    <w:rsid w:val="00DC4F8B"/>
    <w:rsid w:val="00DC50D8"/>
    <w:rsid w:val="00DC5116"/>
    <w:rsid w:val="00DC51C9"/>
    <w:rsid w:val="00DC525E"/>
    <w:rsid w:val="00DC54BA"/>
    <w:rsid w:val="00DC54D4"/>
    <w:rsid w:val="00DC572D"/>
    <w:rsid w:val="00DC57A6"/>
    <w:rsid w:val="00DC5B5D"/>
    <w:rsid w:val="00DC612A"/>
    <w:rsid w:val="00DC6325"/>
    <w:rsid w:val="00DC6348"/>
    <w:rsid w:val="00DC6480"/>
    <w:rsid w:val="00DC667E"/>
    <w:rsid w:val="00DC6766"/>
    <w:rsid w:val="00DC6867"/>
    <w:rsid w:val="00DC69DD"/>
    <w:rsid w:val="00DC6C47"/>
    <w:rsid w:val="00DC6CFB"/>
    <w:rsid w:val="00DC6D24"/>
    <w:rsid w:val="00DC6D26"/>
    <w:rsid w:val="00DC6D78"/>
    <w:rsid w:val="00DC6E0C"/>
    <w:rsid w:val="00DC6E65"/>
    <w:rsid w:val="00DC705E"/>
    <w:rsid w:val="00DC7087"/>
    <w:rsid w:val="00DC70C8"/>
    <w:rsid w:val="00DC723B"/>
    <w:rsid w:val="00DC7347"/>
    <w:rsid w:val="00DC7382"/>
    <w:rsid w:val="00DC74D1"/>
    <w:rsid w:val="00DC7514"/>
    <w:rsid w:val="00DC7778"/>
    <w:rsid w:val="00DC7B27"/>
    <w:rsid w:val="00DC7B9A"/>
    <w:rsid w:val="00DC7BBB"/>
    <w:rsid w:val="00DC7D02"/>
    <w:rsid w:val="00DC7D63"/>
    <w:rsid w:val="00DC7DEB"/>
    <w:rsid w:val="00DC7F0B"/>
    <w:rsid w:val="00DC7F25"/>
    <w:rsid w:val="00DD0188"/>
    <w:rsid w:val="00DD050A"/>
    <w:rsid w:val="00DD053C"/>
    <w:rsid w:val="00DD05F9"/>
    <w:rsid w:val="00DD072D"/>
    <w:rsid w:val="00DD0914"/>
    <w:rsid w:val="00DD0B7F"/>
    <w:rsid w:val="00DD0BB3"/>
    <w:rsid w:val="00DD0BED"/>
    <w:rsid w:val="00DD1060"/>
    <w:rsid w:val="00DD12A1"/>
    <w:rsid w:val="00DD13D2"/>
    <w:rsid w:val="00DD148A"/>
    <w:rsid w:val="00DD14FA"/>
    <w:rsid w:val="00DD1539"/>
    <w:rsid w:val="00DD1622"/>
    <w:rsid w:val="00DD179A"/>
    <w:rsid w:val="00DD187F"/>
    <w:rsid w:val="00DD1898"/>
    <w:rsid w:val="00DD18B5"/>
    <w:rsid w:val="00DD1B20"/>
    <w:rsid w:val="00DD1B8D"/>
    <w:rsid w:val="00DD1BCC"/>
    <w:rsid w:val="00DD1C10"/>
    <w:rsid w:val="00DD1C59"/>
    <w:rsid w:val="00DD1D58"/>
    <w:rsid w:val="00DD1DDD"/>
    <w:rsid w:val="00DD1EB6"/>
    <w:rsid w:val="00DD1F59"/>
    <w:rsid w:val="00DD1F7D"/>
    <w:rsid w:val="00DD22E2"/>
    <w:rsid w:val="00DD2465"/>
    <w:rsid w:val="00DD27AE"/>
    <w:rsid w:val="00DD2CDA"/>
    <w:rsid w:val="00DD2E76"/>
    <w:rsid w:val="00DD2EDB"/>
    <w:rsid w:val="00DD342A"/>
    <w:rsid w:val="00DD3735"/>
    <w:rsid w:val="00DD3736"/>
    <w:rsid w:val="00DD3914"/>
    <w:rsid w:val="00DD44C3"/>
    <w:rsid w:val="00DD4558"/>
    <w:rsid w:val="00DD45EE"/>
    <w:rsid w:val="00DD4641"/>
    <w:rsid w:val="00DD476E"/>
    <w:rsid w:val="00DD4B85"/>
    <w:rsid w:val="00DD4C22"/>
    <w:rsid w:val="00DD4F8C"/>
    <w:rsid w:val="00DD5092"/>
    <w:rsid w:val="00DD5226"/>
    <w:rsid w:val="00DD5418"/>
    <w:rsid w:val="00DD5421"/>
    <w:rsid w:val="00DD544B"/>
    <w:rsid w:val="00DD571C"/>
    <w:rsid w:val="00DD577C"/>
    <w:rsid w:val="00DD5859"/>
    <w:rsid w:val="00DD594F"/>
    <w:rsid w:val="00DD595A"/>
    <w:rsid w:val="00DD5A01"/>
    <w:rsid w:val="00DD5AAA"/>
    <w:rsid w:val="00DD5F50"/>
    <w:rsid w:val="00DD5FEB"/>
    <w:rsid w:val="00DD6558"/>
    <w:rsid w:val="00DD66CD"/>
    <w:rsid w:val="00DD676C"/>
    <w:rsid w:val="00DD68B5"/>
    <w:rsid w:val="00DD6A22"/>
    <w:rsid w:val="00DD6AF3"/>
    <w:rsid w:val="00DD6B64"/>
    <w:rsid w:val="00DD6C34"/>
    <w:rsid w:val="00DD708D"/>
    <w:rsid w:val="00DD712F"/>
    <w:rsid w:val="00DD71C5"/>
    <w:rsid w:val="00DD72E2"/>
    <w:rsid w:val="00DD74FB"/>
    <w:rsid w:val="00DD7626"/>
    <w:rsid w:val="00DD76D3"/>
    <w:rsid w:val="00DD781F"/>
    <w:rsid w:val="00DD7BA9"/>
    <w:rsid w:val="00DD7C21"/>
    <w:rsid w:val="00DD7D2A"/>
    <w:rsid w:val="00DD7D87"/>
    <w:rsid w:val="00DD7DCC"/>
    <w:rsid w:val="00DD7EA0"/>
    <w:rsid w:val="00DD7EA3"/>
    <w:rsid w:val="00DE041D"/>
    <w:rsid w:val="00DE04FB"/>
    <w:rsid w:val="00DE05CF"/>
    <w:rsid w:val="00DE05F5"/>
    <w:rsid w:val="00DE0637"/>
    <w:rsid w:val="00DE0650"/>
    <w:rsid w:val="00DE09E6"/>
    <w:rsid w:val="00DE0B22"/>
    <w:rsid w:val="00DE0BCF"/>
    <w:rsid w:val="00DE0BDA"/>
    <w:rsid w:val="00DE0C11"/>
    <w:rsid w:val="00DE0C75"/>
    <w:rsid w:val="00DE0E1A"/>
    <w:rsid w:val="00DE1016"/>
    <w:rsid w:val="00DE11A7"/>
    <w:rsid w:val="00DE1475"/>
    <w:rsid w:val="00DE1869"/>
    <w:rsid w:val="00DE186B"/>
    <w:rsid w:val="00DE194B"/>
    <w:rsid w:val="00DE1AB4"/>
    <w:rsid w:val="00DE1B29"/>
    <w:rsid w:val="00DE1CB1"/>
    <w:rsid w:val="00DE1D1A"/>
    <w:rsid w:val="00DE208A"/>
    <w:rsid w:val="00DE220F"/>
    <w:rsid w:val="00DE2573"/>
    <w:rsid w:val="00DE259F"/>
    <w:rsid w:val="00DE264E"/>
    <w:rsid w:val="00DE2772"/>
    <w:rsid w:val="00DE2808"/>
    <w:rsid w:val="00DE2AF4"/>
    <w:rsid w:val="00DE2F67"/>
    <w:rsid w:val="00DE2FC7"/>
    <w:rsid w:val="00DE2FDD"/>
    <w:rsid w:val="00DE3036"/>
    <w:rsid w:val="00DE31CF"/>
    <w:rsid w:val="00DE342D"/>
    <w:rsid w:val="00DE36C2"/>
    <w:rsid w:val="00DE379D"/>
    <w:rsid w:val="00DE382B"/>
    <w:rsid w:val="00DE38C0"/>
    <w:rsid w:val="00DE39BE"/>
    <w:rsid w:val="00DE3B6A"/>
    <w:rsid w:val="00DE3BD6"/>
    <w:rsid w:val="00DE3BE5"/>
    <w:rsid w:val="00DE3CAB"/>
    <w:rsid w:val="00DE3D2E"/>
    <w:rsid w:val="00DE42AA"/>
    <w:rsid w:val="00DE4317"/>
    <w:rsid w:val="00DE4351"/>
    <w:rsid w:val="00DE45D5"/>
    <w:rsid w:val="00DE4653"/>
    <w:rsid w:val="00DE495E"/>
    <w:rsid w:val="00DE49EE"/>
    <w:rsid w:val="00DE4F83"/>
    <w:rsid w:val="00DE51C5"/>
    <w:rsid w:val="00DE5226"/>
    <w:rsid w:val="00DE5723"/>
    <w:rsid w:val="00DE58E0"/>
    <w:rsid w:val="00DE594C"/>
    <w:rsid w:val="00DE5A02"/>
    <w:rsid w:val="00DE5B8A"/>
    <w:rsid w:val="00DE5C39"/>
    <w:rsid w:val="00DE5CC3"/>
    <w:rsid w:val="00DE5D9D"/>
    <w:rsid w:val="00DE6030"/>
    <w:rsid w:val="00DE6106"/>
    <w:rsid w:val="00DE6135"/>
    <w:rsid w:val="00DE615F"/>
    <w:rsid w:val="00DE6186"/>
    <w:rsid w:val="00DE622C"/>
    <w:rsid w:val="00DE64E5"/>
    <w:rsid w:val="00DE6645"/>
    <w:rsid w:val="00DE6674"/>
    <w:rsid w:val="00DE68A8"/>
    <w:rsid w:val="00DE68E9"/>
    <w:rsid w:val="00DE68EE"/>
    <w:rsid w:val="00DE6ABF"/>
    <w:rsid w:val="00DE6B5A"/>
    <w:rsid w:val="00DE6C63"/>
    <w:rsid w:val="00DE6CAF"/>
    <w:rsid w:val="00DE6D70"/>
    <w:rsid w:val="00DE6ECA"/>
    <w:rsid w:val="00DE6ED9"/>
    <w:rsid w:val="00DE6EE8"/>
    <w:rsid w:val="00DE7076"/>
    <w:rsid w:val="00DE7304"/>
    <w:rsid w:val="00DE7408"/>
    <w:rsid w:val="00DE779D"/>
    <w:rsid w:val="00DE77EE"/>
    <w:rsid w:val="00DE7997"/>
    <w:rsid w:val="00DE79CF"/>
    <w:rsid w:val="00DE79F5"/>
    <w:rsid w:val="00DE7B8D"/>
    <w:rsid w:val="00DE7B95"/>
    <w:rsid w:val="00DE7BAF"/>
    <w:rsid w:val="00DE7C7D"/>
    <w:rsid w:val="00DE7D87"/>
    <w:rsid w:val="00DE7E07"/>
    <w:rsid w:val="00DE7E1C"/>
    <w:rsid w:val="00DE7E51"/>
    <w:rsid w:val="00DE7F46"/>
    <w:rsid w:val="00DE7FD5"/>
    <w:rsid w:val="00DF01AA"/>
    <w:rsid w:val="00DF0217"/>
    <w:rsid w:val="00DF046F"/>
    <w:rsid w:val="00DF04A6"/>
    <w:rsid w:val="00DF0586"/>
    <w:rsid w:val="00DF05CA"/>
    <w:rsid w:val="00DF062F"/>
    <w:rsid w:val="00DF0656"/>
    <w:rsid w:val="00DF0664"/>
    <w:rsid w:val="00DF06A7"/>
    <w:rsid w:val="00DF0806"/>
    <w:rsid w:val="00DF0B48"/>
    <w:rsid w:val="00DF0BDA"/>
    <w:rsid w:val="00DF0C0C"/>
    <w:rsid w:val="00DF0C1B"/>
    <w:rsid w:val="00DF0CA4"/>
    <w:rsid w:val="00DF0CBC"/>
    <w:rsid w:val="00DF0DF5"/>
    <w:rsid w:val="00DF0E84"/>
    <w:rsid w:val="00DF0FCB"/>
    <w:rsid w:val="00DF114A"/>
    <w:rsid w:val="00DF122F"/>
    <w:rsid w:val="00DF1497"/>
    <w:rsid w:val="00DF14B4"/>
    <w:rsid w:val="00DF157C"/>
    <w:rsid w:val="00DF1613"/>
    <w:rsid w:val="00DF1950"/>
    <w:rsid w:val="00DF1A31"/>
    <w:rsid w:val="00DF1AC2"/>
    <w:rsid w:val="00DF1ADD"/>
    <w:rsid w:val="00DF1B05"/>
    <w:rsid w:val="00DF1D2E"/>
    <w:rsid w:val="00DF1E52"/>
    <w:rsid w:val="00DF20D8"/>
    <w:rsid w:val="00DF212A"/>
    <w:rsid w:val="00DF219D"/>
    <w:rsid w:val="00DF21CB"/>
    <w:rsid w:val="00DF239C"/>
    <w:rsid w:val="00DF2501"/>
    <w:rsid w:val="00DF257A"/>
    <w:rsid w:val="00DF2585"/>
    <w:rsid w:val="00DF25E0"/>
    <w:rsid w:val="00DF26E9"/>
    <w:rsid w:val="00DF2A16"/>
    <w:rsid w:val="00DF2B83"/>
    <w:rsid w:val="00DF2CAF"/>
    <w:rsid w:val="00DF2D28"/>
    <w:rsid w:val="00DF2DC7"/>
    <w:rsid w:val="00DF2FAA"/>
    <w:rsid w:val="00DF30A2"/>
    <w:rsid w:val="00DF30DF"/>
    <w:rsid w:val="00DF329D"/>
    <w:rsid w:val="00DF33C4"/>
    <w:rsid w:val="00DF34D7"/>
    <w:rsid w:val="00DF35F3"/>
    <w:rsid w:val="00DF3AA6"/>
    <w:rsid w:val="00DF3D06"/>
    <w:rsid w:val="00DF3E00"/>
    <w:rsid w:val="00DF40A7"/>
    <w:rsid w:val="00DF41BC"/>
    <w:rsid w:val="00DF42CF"/>
    <w:rsid w:val="00DF43ED"/>
    <w:rsid w:val="00DF4534"/>
    <w:rsid w:val="00DF465E"/>
    <w:rsid w:val="00DF4794"/>
    <w:rsid w:val="00DF48F2"/>
    <w:rsid w:val="00DF4A89"/>
    <w:rsid w:val="00DF4B6C"/>
    <w:rsid w:val="00DF4BB2"/>
    <w:rsid w:val="00DF4C71"/>
    <w:rsid w:val="00DF4ED9"/>
    <w:rsid w:val="00DF5011"/>
    <w:rsid w:val="00DF507A"/>
    <w:rsid w:val="00DF5A98"/>
    <w:rsid w:val="00DF5ABD"/>
    <w:rsid w:val="00DF5B12"/>
    <w:rsid w:val="00DF5B36"/>
    <w:rsid w:val="00DF5C19"/>
    <w:rsid w:val="00DF5CA6"/>
    <w:rsid w:val="00DF5CE6"/>
    <w:rsid w:val="00DF5D04"/>
    <w:rsid w:val="00DF5E25"/>
    <w:rsid w:val="00DF5E6A"/>
    <w:rsid w:val="00DF5EB6"/>
    <w:rsid w:val="00DF5ECA"/>
    <w:rsid w:val="00DF5F60"/>
    <w:rsid w:val="00DF5F7C"/>
    <w:rsid w:val="00DF5FDE"/>
    <w:rsid w:val="00DF648A"/>
    <w:rsid w:val="00DF657D"/>
    <w:rsid w:val="00DF65B6"/>
    <w:rsid w:val="00DF65F9"/>
    <w:rsid w:val="00DF6A87"/>
    <w:rsid w:val="00DF6AAF"/>
    <w:rsid w:val="00DF6D77"/>
    <w:rsid w:val="00DF6E82"/>
    <w:rsid w:val="00DF6F25"/>
    <w:rsid w:val="00DF7229"/>
    <w:rsid w:val="00DF73C6"/>
    <w:rsid w:val="00DF73DC"/>
    <w:rsid w:val="00DF75EC"/>
    <w:rsid w:val="00DF77A2"/>
    <w:rsid w:val="00DF799F"/>
    <w:rsid w:val="00DF7A40"/>
    <w:rsid w:val="00DF7A76"/>
    <w:rsid w:val="00DF7BE2"/>
    <w:rsid w:val="00DF7C35"/>
    <w:rsid w:val="00DF7D72"/>
    <w:rsid w:val="00DF7E54"/>
    <w:rsid w:val="00DF7FE4"/>
    <w:rsid w:val="00E0010D"/>
    <w:rsid w:val="00E00175"/>
    <w:rsid w:val="00E00772"/>
    <w:rsid w:val="00E0090B"/>
    <w:rsid w:val="00E00B7B"/>
    <w:rsid w:val="00E00D0B"/>
    <w:rsid w:val="00E00D93"/>
    <w:rsid w:val="00E00DDE"/>
    <w:rsid w:val="00E00DF9"/>
    <w:rsid w:val="00E00E41"/>
    <w:rsid w:val="00E00E48"/>
    <w:rsid w:val="00E00E6F"/>
    <w:rsid w:val="00E00ED9"/>
    <w:rsid w:val="00E00F2E"/>
    <w:rsid w:val="00E010FC"/>
    <w:rsid w:val="00E011A4"/>
    <w:rsid w:val="00E011A6"/>
    <w:rsid w:val="00E01311"/>
    <w:rsid w:val="00E013E9"/>
    <w:rsid w:val="00E01403"/>
    <w:rsid w:val="00E0143C"/>
    <w:rsid w:val="00E016AE"/>
    <w:rsid w:val="00E01A20"/>
    <w:rsid w:val="00E01DD6"/>
    <w:rsid w:val="00E020E7"/>
    <w:rsid w:val="00E0221A"/>
    <w:rsid w:val="00E02393"/>
    <w:rsid w:val="00E023D4"/>
    <w:rsid w:val="00E02573"/>
    <w:rsid w:val="00E0262D"/>
    <w:rsid w:val="00E02634"/>
    <w:rsid w:val="00E02856"/>
    <w:rsid w:val="00E02871"/>
    <w:rsid w:val="00E028AD"/>
    <w:rsid w:val="00E02907"/>
    <w:rsid w:val="00E02A29"/>
    <w:rsid w:val="00E02C5D"/>
    <w:rsid w:val="00E02CC9"/>
    <w:rsid w:val="00E02FCD"/>
    <w:rsid w:val="00E02FEC"/>
    <w:rsid w:val="00E03007"/>
    <w:rsid w:val="00E0304A"/>
    <w:rsid w:val="00E0330F"/>
    <w:rsid w:val="00E033B5"/>
    <w:rsid w:val="00E034B0"/>
    <w:rsid w:val="00E034C4"/>
    <w:rsid w:val="00E036FD"/>
    <w:rsid w:val="00E0376A"/>
    <w:rsid w:val="00E038E1"/>
    <w:rsid w:val="00E038FA"/>
    <w:rsid w:val="00E03A15"/>
    <w:rsid w:val="00E03A74"/>
    <w:rsid w:val="00E03A80"/>
    <w:rsid w:val="00E03AA4"/>
    <w:rsid w:val="00E03B72"/>
    <w:rsid w:val="00E03CD3"/>
    <w:rsid w:val="00E03ED1"/>
    <w:rsid w:val="00E04059"/>
    <w:rsid w:val="00E040E7"/>
    <w:rsid w:val="00E040F7"/>
    <w:rsid w:val="00E04121"/>
    <w:rsid w:val="00E04144"/>
    <w:rsid w:val="00E041F2"/>
    <w:rsid w:val="00E042E4"/>
    <w:rsid w:val="00E0432C"/>
    <w:rsid w:val="00E04391"/>
    <w:rsid w:val="00E043D3"/>
    <w:rsid w:val="00E04613"/>
    <w:rsid w:val="00E04674"/>
    <w:rsid w:val="00E046B7"/>
    <w:rsid w:val="00E046C5"/>
    <w:rsid w:val="00E0470C"/>
    <w:rsid w:val="00E04A53"/>
    <w:rsid w:val="00E04B6E"/>
    <w:rsid w:val="00E04BF5"/>
    <w:rsid w:val="00E04DE2"/>
    <w:rsid w:val="00E04E42"/>
    <w:rsid w:val="00E05180"/>
    <w:rsid w:val="00E0523F"/>
    <w:rsid w:val="00E05512"/>
    <w:rsid w:val="00E055AE"/>
    <w:rsid w:val="00E0574A"/>
    <w:rsid w:val="00E058F4"/>
    <w:rsid w:val="00E05CE3"/>
    <w:rsid w:val="00E05CF6"/>
    <w:rsid w:val="00E05D9E"/>
    <w:rsid w:val="00E05F50"/>
    <w:rsid w:val="00E062C9"/>
    <w:rsid w:val="00E06415"/>
    <w:rsid w:val="00E06449"/>
    <w:rsid w:val="00E064E4"/>
    <w:rsid w:val="00E065EA"/>
    <w:rsid w:val="00E066D3"/>
    <w:rsid w:val="00E06AE0"/>
    <w:rsid w:val="00E06E53"/>
    <w:rsid w:val="00E06E8D"/>
    <w:rsid w:val="00E06ED4"/>
    <w:rsid w:val="00E07131"/>
    <w:rsid w:val="00E07180"/>
    <w:rsid w:val="00E07316"/>
    <w:rsid w:val="00E07320"/>
    <w:rsid w:val="00E07333"/>
    <w:rsid w:val="00E073D0"/>
    <w:rsid w:val="00E074F5"/>
    <w:rsid w:val="00E0755C"/>
    <w:rsid w:val="00E075C0"/>
    <w:rsid w:val="00E075D0"/>
    <w:rsid w:val="00E077E8"/>
    <w:rsid w:val="00E079DD"/>
    <w:rsid w:val="00E07B21"/>
    <w:rsid w:val="00E07CE4"/>
    <w:rsid w:val="00E07D20"/>
    <w:rsid w:val="00E07E52"/>
    <w:rsid w:val="00E07E70"/>
    <w:rsid w:val="00E07EB4"/>
    <w:rsid w:val="00E10018"/>
    <w:rsid w:val="00E10149"/>
    <w:rsid w:val="00E1015B"/>
    <w:rsid w:val="00E10188"/>
    <w:rsid w:val="00E10223"/>
    <w:rsid w:val="00E10509"/>
    <w:rsid w:val="00E10770"/>
    <w:rsid w:val="00E1078B"/>
    <w:rsid w:val="00E10941"/>
    <w:rsid w:val="00E10A73"/>
    <w:rsid w:val="00E10B5D"/>
    <w:rsid w:val="00E11072"/>
    <w:rsid w:val="00E110B6"/>
    <w:rsid w:val="00E11146"/>
    <w:rsid w:val="00E112BB"/>
    <w:rsid w:val="00E11348"/>
    <w:rsid w:val="00E113FB"/>
    <w:rsid w:val="00E11400"/>
    <w:rsid w:val="00E1145F"/>
    <w:rsid w:val="00E1146D"/>
    <w:rsid w:val="00E114B5"/>
    <w:rsid w:val="00E114E9"/>
    <w:rsid w:val="00E1154C"/>
    <w:rsid w:val="00E117D5"/>
    <w:rsid w:val="00E11A6C"/>
    <w:rsid w:val="00E11C08"/>
    <w:rsid w:val="00E11C18"/>
    <w:rsid w:val="00E11D02"/>
    <w:rsid w:val="00E11DD2"/>
    <w:rsid w:val="00E12096"/>
    <w:rsid w:val="00E120D8"/>
    <w:rsid w:val="00E121DC"/>
    <w:rsid w:val="00E12483"/>
    <w:rsid w:val="00E1289D"/>
    <w:rsid w:val="00E12A13"/>
    <w:rsid w:val="00E12AC6"/>
    <w:rsid w:val="00E12B52"/>
    <w:rsid w:val="00E12BE2"/>
    <w:rsid w:val="00E12C6E"/>
    <w:rsid w:val="00E12F09"/>
    <w:rsid w:val="00E1310D"/>
    <w:rsid w:val="00E131DA"/>
    <w:rsid w:val="00E134E0"/>
    <w:rsid w:val="00E134FA"/>
    <w:rsid w:val="00E13698"/>
    <w:rsid w:val="00E1377B"/>
    <w:rsid w:val="00E137E9"/>
    <w:rsid w:val="00E138F0"/>
    <w:rsid w:val="00E139E1"/>
    <w:rsid w:val="00E139F4"/>
    <w:rsid w:val="00E13A6F"/>
    <w:rsid w:val="00E13C92"/>
    <w:rsid w:val="00E13D31"/>
    <w:rsid w:val="00E13DC4"/>
    <w:rsid w:val="00E13EB7"/>
    <w:rsid w:val="00E14298"/>
    <w:rsid w:val="00E1430E"/>
    <w:rsid w:val="00E14380"/>
    <w:rsid w:val="00E145BB"/>
    <w:rsid w:val="00E145EF"/>
    <w:rsid w:val="00E148FC"/>
    <w:rsid w:val="00E14910"/>
    <w:rsid w:val="00E149C2"/>
    <w:rsid w:val="00E14AA2"/>
    <w:rsid w:val="00E14B99"/>
    <w:rsid w:val="00E14C13"/>
    <w:rsid w:val="00E14CAC"/>
    <w:rsid w:val="00E14E7F"/>
    <w:rsid w:val="00E14ECA"/>
    <w:rsid w:val="00E14F5F"/>
    <w:rsid w:val="00E15025"/>
    <w:rsid w:val="00E151C4"/>
    <w:rsid w:val="00E15455"/>
    <w:rsid w:val="00E15482"/>
    <w:rsid w:val="00E156A7"/>
    <w:rsid w:val="00E15745"/>
    <w:rsid w:val="00E15931"/>
    <w:rsid w:val="00E159E2"/>
    <w:rsid w:val="00E15C5F"/>
    <w:rsid w:val="00E15D45"/>
    <w:rsid w:val="00E15EAD"/>
    <w:rsid w:val="00E15EBD"/>
    <w:rsid w:val="00E15F2C"/>
    <w:rsid w:val="00E15FA5"/>
    <w:rsid w:val="00E16049"/>
    <w:rsid w:val="00E16157"/>
    <w:rsid w:val="00E16237"/>
    <w:rsid w:val="00E1635B"/>
    <w:rsid w:val="00E16366"/>
    <w:rsid w:val="00E1661C"/>
    <w:rsid w:val="00E16671"/>
    <w:rsid w:val="00E16719"/>
    <w:rsid w:val="00E16733"/>
    <w:rsid w:val="00E169B0"/>
    <w:rsid w:val="00E16C34"/>
    <w:rsid w:val="00E16C4B"/>
    <w:rsid w:val="00E16C5C"/>
    <w:rsid w:val="00E16CFB"/>
    <w:rsid w:val="00E16E5A"/>
    <w:rsid w:val="00E16EA1"/>
    <w:rsid w:val="00E16F28"/>
    <w:rsid w:val="00E16F7B"/>
    <w:rsid w:val="00E17131"/>
    <w:rsid w:val="00E1733D"/>
    <w:rsid w:val="00E174DD"/>
    <w:rsid w:val="00E175B6"/>
    <w:rsid w:val="00E17695"/>
    <w:rsid w:val="00E176E4"/>
    <w:rsid w:val="00E1794D"/>
    <w:rsid w:val="00E17952"/>
    <w:rsid w:val="00E17AF2"/>
    <w:rsid w:val="00E17AF6"/>
    <w:rsid w:val="00E17B31"/>
    <w:rsid w:val="00E17B7F"/>
    <w:rsid w:val="00E17C35"/>
    <w:rsid w:val="00E17CFB"/>
    <w:rsid w:val="00E17DE5"/>
    <w:rsid w:val="00E17F61"/>
    <w:rsid w:val="00E17FD4"/>
    <w:rsid w:val="00E20032"/>
    <w:rsid w:val="00E200EC"/>
    <w:rsid w:val="00E20260"/>
    <w:rsid w:val="00E20349"/>
    <w:rsid w:val="00E2049B"/>
    <w:rsid w:val="00E205B6"/>
    <w:rsid w:val="00E206D7"/>
    <w:rsid w:val="00E20A11"/>
    <w:rsid w:val="00E20A28"/>
    <w:rsid w:val="00E20A73"/>
    <w:rsid w:val="00E20ADA"/>
    <w:rsid w:val="00E20EAC"/>
    <w:rsid w:val="00E20F27"/>
    <w:rsid w:val="00E20FD1"/>
    <w:rsid w:val="00E21016"/>
    <w:rsid w:val="00E2118C"/>
    <w:rsid w:val="00E21295"/>
    <w:rsid w:val="00E214BC"/>
    <w:rsid w:val="00E2167E"/>
    <w:rsid w:val="00E2168D"/>
    <w:rsid w:val="00E2193A"/>
    <w:rsid w:val="00E21A7E"/>
    <w:rsid w:val="00E21BDF"/>
    <w:rsid w:val="00E21E98"/>
    <w:rsid w:val="00E21F22"/>
    <w:rsid w:val="00E220A9"/>
    <w:rsid w:val="00E223B5"/>
    <w:rsid w:val="00E226B5"/>
    <w:rsid w:val="00E226F1"/>
    <w:rsid w:val="00E2274A"/>
    <w:rsid w:val="00E2281F"/>
    <w:rsid w:val="00E22A35"/>
    <w:rsid w:val="00E22B08"/>
    <w:rsid w:val="00E22D8A"/>
    <w:rsid w:val="00E22D92"/>
    <w:rsid w:val="00E22F04"/>
    <w:rsid w:val="00E22F81"/>
    <w:rsid w:val="00E2305F"/>
    <w:rsid w:val="00E23265"/>
    <w:rsid w:val="00E23682"/>
    <w:rsid w:val="00E2377D"/>
    <w:rsid w:val="00E238B6"/>
    <w:rsid w:val="00E238D1"/>
    <w:rsid w:val="00E2393D"/>
    <w:rsid w:val="00E23A4E"/>
    <w:rsid w:val="00E23A89"/>
    <w:rsid w:val="00E23B6A"/>
    <w:rsid w:val="00E23C99"/>
    <w:rsid w:val="00E23D33"/>
    <w:rsid w:val="00E23E22"/>
    <w:rsid w:val="00E23EFF"/>
    <w:rsid w:val="00E2421C"/>
    <w:rsid w:val="00E24413"/>
    <w:rsid w:val="00E244DB"/>
    <w:rsid w:val="00E245FF"/>
    <w:rsid w:val="00E247CD"/>
    <w:rsid w:val="00E24B45"/>
    <w:rsid w:val="00E24C99"/>
    <w:rsid w:val="00E24D67"/>
    <w:rsid w:val="00E24E73"/>
    <w:rsid w:val="00E252DF"/>
    <w:rsid w:val="00E253B9"/>
    <w:rsid w:val="00E25430"/>
    <w:rsid w:val="00E25561"/>
    <w:rsid w:val="00E255C8"/>
    <w:rsid w:val="00E25727"/>
    <w:rsid w:val="00E258FA"/>
    <w:rsid w:val="00E25986"/>
    <w:rsid w:val="00E25B51"/>
    <w:rsid w:val="00E25C0A"/>
    <w:rsid w:val="00E25DBF"/>
    <w:rsid w:val="00E25E8F"/>
    <w:rsid w:val="00E260D9"/>
    <w:rsid w:val="00E26537"/>
    <w:rsid w:val="00E26821"/>
    <w:rsid w:val="00E268B3"/>
    <w:rsid w:val="00E269A8"/>
    <w:rsid w:val="00E26A90"/>
    <w:rsid w:val="00E26AAB"/>
    <w:rsid w:val="00E26AAC"/>
    <w:rsid w:val="00E26CEA"/>
    <w:rsid w:val="00E26DA7"/>
    <w:rsid w:val="00E26FA8"/>
    <w:rsid w:val="00E27226"/>
    <w:rsid w:val="00E27230"/>
    <w:rsid w:val="00E272C3"/>
    <w:rsid w:val="00E272DE"/>
    <w:rsid w:val="00E2731B"/>
    <w:rsid w:val="00E273D4"/>
    <w:rsid w:val="00E2773D"/>
    <w:rsid w:val="00E277F1"/>
    <w:rsid w:val="00E278E7"/>
    <w:rsid w:val="00E279A0"/>
    <w:rsid w:val="00E279F6"/>
    <w:rsid w:val="00E27A30"/>
    <w:rsid w:val="00E27B45"/>
    <w:rsid w:val="00E27BF8"/>
    <w:rsid w:val="00E27CFF"/>
    <w:rsid w:val="00E27FE9"/>
    <w:rsid w:val="00E3005C"/>
    <w:rsid w:val="00E3006C"/>
    <w:rsid w:val="00E30070"/>
    <w:rsid w:val="00E301E4"/>
    <w:rsid w:val="00E302C6"/>
    <w:rsid w:val="00E3038A"/>
    <w:rsid w:val="00E303AE"/>
    <w:rsid w:val="00E304CF"/>
    <w:rsid w:val="00E30898"/>
    <w:rsid w:val="00E30934"/>
    <w:rsid w:val="00E30A47"/>
    <w:rsid w:val="00E30A87"/>
    <w:rsid w:val="00E30B58"/>
    <w:rsid w:val="00E30D11"/>
    <w:rsid w:val="00E30DB5"/>
    <w:rsid w:val="00E3104F"/>
    <w:rsid w:val="00E31105"/>
    <w:rsid w:val="00E31229"/>
    <w:rsid w:val="00E312AC"/>
    <w:rsid w:val="00E312B4"/>
    <w:rsid w:val="00E3155C"/>
    <w:rsid w:val="00E316E3"/>
    <w:rsid w:val="00E316FB"/>
    <w:rsid w:val="00E3178D"/>
    <w:rsid w:val="00E31790"/>
    <w:rsid w:val="00E317F7"/>
    <w:rsid w:val="00E31857"/>
    <w:rsid w:val="00E318FF"/>
    <w:rsid w:val="00E319D3"/>
    <w:rsid w:val="00E31A9C"/>
    <w:rsid w:val="00E320C5"/>
    <w:rsid w:val="00E322D2"/>
    <w:rsid w:val="00E32376"/>
    <w:rsid w:val="00E323CF"/>
    <w:rsid w:val="00E3247A"/>
    <w:rsid w:val="00E32499"/>
    <w:rsid w:val="00E324BD"/>
    <w:rsid w:val="00E32620"/>
    <w:rsid w:val="00E32787"/>
    <w:rsid w:val="00E32846"/>
    <w:rsid w:val="00E32982"/>
    <w:rsid w:val="00E32AED"/>
    <w:rsid w:val="00E32BA2"/>
    <w:rsid w:val="00E32D62"/>
    <w:rsid w:val="00E32E4C"/>
    <w:rsid w:val="00E32F3C"/>
    <w:rsid w:val="00E32FBC"/>
    <w:rsid w:val="00E3305E"/>
    <w:rsid w:val="00E3309F"/>
    <w:rsid w:val="00E331EC"/>
    <w:rsid w:val="00E3320D"/>
    <w:rsid w:val="00E3328C"/>
    <w:rsid w:val="00E332DB"/>
    <w:rsid w:val="00E33373"/>
    <w:rsid w:val="00E33563"/>
    <w:rsid w:val="00E3356C"/>
    <w:rsid w:val="00E3368D"/>
    <w:rsid w:val="00E336AA"/>
    <w:rsid w:val="00E33893"/>
    <w:rsid w:val="00E338E5"/>
    <w:rsid w:val="00E33A75"/>
    <w:rsid w:val="00E33C47"/>
    <w:rsid w:val="00E33DD7"/>
    <w:rsid w:val="00E340BD"/>
    <w:rsid w:val="00E3418E"/>
    <w:rsid w:val="00E341B9"/>
    <w:rsid w:val="00E3441A"/>
    <w:rsid w:val="00E34631"/>
    <w:rsid w:val="00E34A05"/>
    <w:rsid w:val="00E34AD0"/>
    <w:rsid w:val="00E34B32"/>
    <w:rsid w:val="00E34C5C"/>
    <w:rsid w:val="00E34CD8"/>
    <w:rsid w:val="00E34D08"/>
    <w:rsid w:val="00E3508A"/>
    <w:rsid w:val="00E350E5"/>
    <w:rsid w:val="00E351C3"/>
    <w:rsid w:val="00E352A0"/>
    <w:rsid w:val="00E355E0"/>
    <w:rsid w:val="00E35885"/>
    <w:rsid w:val="00E35AD1"/>
    <w:rsid w:val="00E35C28"/>
    <w:rsid w:val="00E35FA3"/>
    <w:rsid w:val="00E360E0"/>
    <w:rsid w:val="00E36144"/>
    <w:rsid w:val="00E3632E"/>
    <w:rsid w:val="00E36529"/>
    <w:rsid w:val="00E365D6"/>
    <w:rsid w:val="00E3676E"/>
    <w:rsid w:val="00E368C2"/>
    <w:rsid w:val="00E36A63"/>
    <w:rsid w:val="00E36BF5"/>
    <w:rsid w:val="00E36C3E"/>
    <w:rsid w:val="00E36F08"/>
    <w:rsid w:val="00E36F9E"/>
    <w:rsid w:val="00E3703B"/>
    <w:rsid w:val="00E371A0"/>
    <w:rsid w:val="00E37225"/>
    <w:rsid w:val="00E37633"/>
    <w:rsid w:val="00E37784"/>
    <w:rsid w:val="00E377CC"/>
    <w:rsid w:val="00E37A20"/>
    <w:rsid w:val="00E37A6B"/>
    <w:rsid w:val="00E37BFB"/>
    <w:rsid w:val="00E37E0A"/>
    <w:rsid w:val="00E37E4C"/>
    <w:rsid w:val="00E37FD1"/>
    <w:rsid w:val="00E4011D"/>
    <w:rsid w:val="00E40148"/>
    <w:rsid w:val="00E401E4"/>
    <w:rsid w:val="00E40292"/>
    <w:rsid w:val="00E4029F"/>
    <w:rsid w:val="00E4034A"/>
    <w:rsid w:val="00E4051C"/>
    <w:rsid w:val="00E40764"/>
    <w:rsid w:val="00E407B7"/>
    <w:rsid w:val="00E40889"/>
    <w:rsid w:val="00E408FD"/>
    <w:rsid w:val="00E40A3D"/>
    <w:rsid w:val="00E40AD8"/>
    <w:rsid w:val="00E40B08"/>
    <w:rsid w:val="00E40B0B"/>
    <w:rsid w:val="00E40B40"/>
    <w:rsid w:val="00E40BF9"/>
    <w:rsid w:val="00E40E67"/>
    <w:rsid w:val="00E4139C"/>
    <w:rsid w:val="00E41675"/>
    <w:rsid w:val="00E41741"/>
    <w:rsid w:val="00E41810"/>
    <w:rsid w:val="00E41843"/>
    <w:rsid w:val="00E41937"/>
    <w:rsid w:val="00E41BB1"/>
    <w:rsid w:val="00E41C45"/>
    <w:rsid w:val="00E41E98"/>
    <w:rsid w:val="00E41EC0"/>
    <w:rsid w:val="00E4214F"/>
    <w:rsid w:val="00E42223"/>
    <w:rsid w:val="00E4239B"/>
    <w:rsid w:val="00E4244F"/>
    <w:rsid w:val="00E42580"/>
    <w:rsid w:val="00E42AAA"/>
    <w:rsid w:val="00E42AB0"/>
    <w:rsid w:val="00E42B32"/>
    <w:rsid w:val="00E42CB3"/>
    <w:rsid w:val="00E42FBA"/>
    <w:rsid w:val="00E430ED"/>
    <w:rsid w:val="00E43193"/>
    <w:rsid w:val="00E432E6"/>
    <w:rsid w:val="00E43418"/>
    <w:rsid w:val="00E435BA"/>
    <w:rsid w:val="00E436F2"/>
    <w:rsid w:val="00E43700"/>
    <w:rsid w:val="00E43724"/>
    <w:rsid w:val="00E43874"/>
    <w:rsid w:val="00E43ABD"/>
    <w:rsid w:val="00E43B07"/>
    <w:rsid w:val="00E43B6D"/>
    <w:rsid w:val="00E43E60"/>
    <w:rsid w:val="00E43EAB"/>
    <w:rsid w:val="00E441BE"/>
    <w:rsid w:val="00E444B6"/>
    <w:rsid w:val="00E445C8"/>
    <w:rsid w:val="00E44989"/>
    <w:rsid w:val="00E449A3"/>
    <w:rsid w:val="00E44B44"/>
    <w:rsid w:val="00E44EF6"/>
    <w:rsid w:val="00E44FA4"/>
    <w:rsid w:val="00E45021"/>
    <w:rsid w:val="00E450E1"/>
    <w:rsid w:val="00E452A8"/>
    <w:rsid w:val="00E45512"/>
    <w:rsid w:val="00E45521"/>
    <w:rsid w:val="00E4560A"/>
    <w:rsid w:val="00E4583F"/>
    <w:rsid w:val="00E45851"/>
    <w:rsid w:val="00E45957"/>
    <w:rsid w:val="00E459A1"/>
    <w:rsid w:val="00E45A34"/>
    <w:rsid w:val="00E45C1D"/>
    <w:rsid w:val="00E45CC7"/>
    <w:rsid w:val="00E45CEF"/>
    <w:rsid w:val="00E45E58"/>
    <w:rsid w:val="00E45E8C"/>
    <w:rsid w:val="00E45FBB"/>
    <w:rsid w:val="00E45FFF"/>
    <w:rsid w:val="00E46041"/>
    <w:rsid w:val="00E46042"/>
    <w:rsid w:val="00E462CC"/>
    <w:rsid w:val="00E462D8"/>
    <w:rsid w:val="00E4632A"/>
    <w:rsid w:val="00E46387"/>
    <w:rsid w:val="00E46399"/>
    <w:rsid w:val="00E463BF"/>
    <w:rsid w:val="00E463ED"/>
    <w:rsid w:val="00E46506"/>
    <w:rsid w:val="00E46534"/>
    <w:rsid w:val="00E46766"/>
    <w:rsid w:val="00E467E7"/>
    <w:rsid w:val="00E46890"/>
    <w:rsid w:val="00E46B9A"/>
    <w:rsid w:val="00E46BB9"/>
    <w:rsid w:val="00E46C05"/>
    <w:rsid w:val="00E46D3D"/>
    <w:rsid w:val="00E46DF3"/>
    <w:rsid w:val="00E46EF4"/>
    <w:rsid w:val="00E46FC5"/>
    <w:rsid w:val="00E46FE8"/>
    <w:rsid w:val="00E47208"/>
    <w:rsid w:val="00E473AD"/>
    <w:rsid w:val="00E47502"/>
    <w:rsid w:val="00E4771B"/>
    <w:rsid w:val="00E477D6"/>
    <w:rsid w:val="00E47827"/>
    <w:rsid w:val="00E47854"/>
    <w:rsid w:val="00E47A2B"/>
    <w:rsid w:val="00E47A7E"/>
    <w:rsid w:val="00E47A95"/>
    <w:rsid w:val="00E47BF5"/>
    <w:rsid w:val="00E47D8D"/>
    <w:rsid w:val="00E47DA0"/>
    <w:rsid w:val="00E47DF2"/>
    <w:rsid w:val="00E47EDD"/>
    <w:rsid w:val="00E47F1B"/>
    <w:rsid w:val="00E47F33"/>
    <w:rsid w:val="00E47F35"/>
    <w:rsid w:val="00E47FB5"/>
    <w:rsid w:val="00E47FF5"/>
    <w:rsid w:val="00E5012B"/>
    <w:rsid w:val="00E5012D"/>
    <w:rsid w:val="00E50225"/>
    <w:rsid w:val="00E50463"/>
    <w:rsid w:val="00E506C6"/>
    <w:rsid w:val="00E508B3"/>
    <w:rsid w:val="00E508E9"/>
    <w:rsid w:val="00E509F0"/>
    <w:rsid w:val="00E50B2C"/>
    <w:rsid w:val="00E50B73"/>
    <w:rsid w:val="00E50DF7"/>
    <w:rsid w:val="00E50E8D"/>
    <w:rsid w:val="00E50E9F"/>
    <w:rsid w:val="00E50F1A"/>
    <w:rsid w:val="00E50FC5"/>
    <w:rsid w:val="00E50FC7"/>
    <w:rsid w:val="00E51102"/>
    <w:rsid w:val="00E512CF"/>
    <w:rsid w:val="00E516F4"/>
    <w:rsid w:val="00E51A11"/>
    <w:rsid w:val="00E51A7E"/>
    <w:rsid w:val="00E51BDD"/>
    <w:rsid w:val="00E51DC0"/>
    <w:rsid w:val="00E52219"/>
    <w:rsid w:val="00E52267"/>
    <w:rsid w:val="00E525DC"/>
    <w:rsid w:val="00E525ED"/>
    <w:rsid w:val="00E527DE"/>
    <w:rsid w:val="00E527E0"/>
    <w:rsid w:val="00E52B02"/>
    <w:rsid w:val="00E52D04"/>
    <w:rsid w:val="00E52DBD"/>
    <w:rsid w:val="00E52EA8"/>
    <w:rsid w:val="00E52F9B"/>
    <w:rsid w:val="00E53317"/>
    <w:rsid w:val="00E535E7"/>
    <w:rsid w:val="00E53602"/>
    <w:rsid w:val="00E536CB"/>
    <w:rsid w:val="00E5377D"/>
    <w:rsid w:val="00E537CA"/>
    <w:rsid w:val="00E537FC"/>
    <w:rsid w:val="00E538F1"/>
    <w:rsid w:val="00E53940"/>
    <w:rsid w:val="00E53A76"/>
    <w:rsid w:val="00E53ABC"/>
    <w:rsid w:val="00E53BB1"/>
    <w:rsid w:val="00E53C0A"/>
    <w:rsid w:val="00E53DDE"/>
    <w:rsid w:val="00E53E2A"/>
    <w:rsid w:val="00E541DA"/>
    <w:rsid w:val="00E5444B"/>
    <w:rsid w:val="00E5452E"/>
    <w:rsid w:val="00E5461E"/>
    <w:rsid w:val="00E546D6"/>
    <w:rsid w:val="00E549A2"/>
    <w:rsid w:val="00E549B1"/>
    <w:rsid w:val="00E54A98"/>
    <w:rsid w:val="00E54AC3"/>
    <w:rsid w:val="00E54B24"/>
    <w:rsid w:val="00E54BD9"/>
    <w:rsid w:val="00E54CC9"/>
    <w:rsid w:val="00E54D14"/>
    <w:rsid w:val="00E54D75"/>
    <w:rsid w:val="00E54F12"/>
    <w:rsid w:val="00E5510D"/>
    <w:rsid w:val="00E552F7"/>
    <w:rsid w:val="00E5531D"/>
    <w:rsid w:val="00E553B4"/>
    <w:rsid w:val="00E5546B"/>
    <w:rsid w:val="00E55525"/>
    <w:rsid w:val="00E5553F"/>
    <w:rsid w:val="00E555B0"/>
    <w:rsid w:val="00E556CC"/>
    <w:rsid w:val="00E5571D"/>
    <w:rsid w:val="00E55A0A"/>
    <w:rsid w:val="00E55A82"/>
    <w:rsid w:val="00E55B9D"/>
    <w:rsid w:val="00E55C7B"/>
    <w:rsid w:val="00E55E04"/>
    <w:rsid w:val="00E55EB7"/>
    <w:rsid w:val="00E55F14"/>
    <w:rsid w:val="00E55F3D"/>
    <w:rsid w:val="00E56011"/>
    <w:rsid w:val="00E5601E"/>
    <w:rsid w:val="00E5643C"/>
    <w:rsid w:val="00E568EA"/>
    <w:rsid w:val="00E569D0"/>
    <w:rsid w:val="00E56ACC"/>
    <w:rsid w:val="00E56B16"/>
    <w:rsid w:val="00E56F9C"/>
    <w:rsid w:val="00E5704C"/>
    <w:rsid w:val="00E573D1"/>
    <w:rsid w:val="00E57497"/>
    <w:rsid w:val="00E57767"/>
    <w:rsid w:val="00E57AC5"/>
    <w:rsid w:val="00E57BCB"/>
    <w:rsid w:val="00E57BE6"/>
    <w:rsid w:val="00E57C19"/>
    <w:rsid w:val="00E57CF4"/>
    <w:rsid w:val="00E57D8F"/>
    <w:rsid w:val="00E600FC"/>
    <w:rsid w:val="00E6036E"/>
    <w:rsid w:val="00E6067A"/>
    <w:rsid w:val="00E607CA"/>
    <w:rsid w:val="00E60E6C"/>
    <w:rsid w:val="00E60FDE"/>
    <w:rsid w:val="00E612E8"/>
    <w:rsid w:val="00E6135A"/>
    <w:rsid w:val="00E613BE"/>
    <w:rsid w:val="00E613D2"/>
    <w:rsid w:val="00E614DE"/>
    <w:rsid w:val="00E614E3"/>
    <w:rsid w:val="00E6153F"/>
    <w:rsid w:val="00E616D7"/>
    <w:rsid w:val="00E61A5C"/>
    <w:rsid w:val="00E61B95"/>
    <w:rsid w:val="00E61CD0"/>
    <w:rsid w:val="00E61D15"/>
    <w:rsid w:val="00E61D34"/>
    <w:rsid w:val="00E61D70"/>
    <w:rsid w:val="00E61DEC"/>
    <w:rsid w:val="00E61F7E"/>
    <w:rsid w:val="00E62036"/>
    <w:rsid w:val="00E620C1"/>
    <w:rsid w:val="00E6215E"/>
    <w:rsid w:val="00E621C1"/>
    <w:rsid w:val="00E62225"/>
    <w:rsid w:val="00E62253"/>
    <w:rsid w:val="00E62399"/>
    <w:rsid w:val="00E624BB"/>
    <w:rsid w:val="00E625E8"/>
    <w:rsid w:val="00E6263B"/>
    <w:rsid w:val="00E62717"/>
    <w:rsid w:val="00E62737"/>
    <w:rsid w:val="00E62B2F"/>
    <w:rsid w:val="00E62C8B"/>
    <w:rsid w:val="00E62CEA"/>
    <w:rsid w:val="00E62F39"/>
    <w:rsid w:val="00E62FB1"/>
    <w:rsid w:val="00E6301B"/>
    <w:rsid w:val="00E63024"/>
    <w:rsid w:val="00E630C2"/>
    <w:rsid w:val="00E63273"/>
    <w:rsid w:val="00E632C7"/>
    <w:rsid w:val="00E632E5"/>
    <w:rsid w:val="00E63360"/>
    <w:rsid w:val="00E63381"/>
    <w:rsid w:val="00E63393"/>
    <w:rsid w:val="00E634AB"/>
    <w:rsid w:val="00E6366D"/>
    <w:rsid w:val="00E63786"/>
    <w:rsid w:val="00E637B5"/>
    <w:rsid w:val="00E6380A"/>
    <w:rsid w:val="00E63A13"/>
    <w:rsid w:val="00E63B58"/>
    <w:rsid w:val="00E63EF3"/>
    <w:rsid w:val="00E63F68"/>
    <w:rsid w:val="00E6418B"/>
    <w:rsid w:val="00E64317"/>
    <w:rsid w:val="00E64454"/>
    <w:rsid w:val="00E64466"/>
    <w:rsid w:val="00E647BA"/>
    <w:rsid w:val="00E64B7D"/>
    <w:rsid w:val="00E64C8C"/>
    <w:rsid w:val="00E64FC5"/>
    <w:rsid w:val="00E65203"/>
    <w:rsid w:val="00E6521B"/>
    <w:rsid w:val="00E654C5"/>
    <w:rsid w:val="00E65592"/>
    <w:rsid w:val="00E65595"/>
    <w:rsid w:val="00E655C6"/>
    <w:rsid w:val="00E655FD"/>
    <w:rsid w:val="00E65632"/>
    <w:rsid w:val="00E656DD"/>
    <w:rsid w:val="00E657A3"/>
    <w:rsid w:val="00E65814"/>
    <w:rsid w:val="00E65849"/>
    <w:rsid w:val="00E65B13"/>
    <w:rsid w:val="00E65B6A"/>
    <w:rsid w:val="00E65C36"/>
    <w:rsid w:val="00E65C84"/>
    <w:rsid w:val="00E65CCD"/>
    <w:rsid w:val="00E65EC7"/>
    <w:rsid w:val="00E65F5D"/>
    <w:rsid w:val="00E65F62"/>
    <w:rsid w:val="00E65F92"/>
    <w:rsid w:val="00E65FA3"/>
    <w:rsid w:val="00E65FFE"/>
    <w:rsid w:val="00E660D9"/>
    <w:rsid w:val="00E661DB"/>
    <w:rsid w:val="00E66282"/>
    <w:rsid w:val="00E665DC"/>
    <w:rsid w:val="00E666AD"/>
    <w:rsid w:val="00E667AF"/>
    <w:rsid w:val="00E66825"/>
    <w:rsid w:val="00E6690C"/>
    <w:rsid w:val="00E66A0D"/>
    <w:rsid w:val="00E66CAF"/>
    <w:rsid w:val="00E66D52"/>
    <w:rsid w:val="00E66D5F"/>
    <w:rsid w:val="00E66E02"/>
    <w:rsid w:val="00E66E74"/>
    <w:rsid w:val="00E66EE2"/>
    <w:rsid w:val="00E67152"/>
    <w:rsid w:val="00E67207"/>
    <w:rsid w:val="00E67250"/>
    <w:rsid w:val="00E6735E"/>
    <w:rsid w:val="00E67375"/>
    <w:rsid w:val="00E67376"/>
    <w:rsid w:val="00E67391"/>
    <w:rsid w:val="00E673E2"/>
    <w:rsid w:val="00E678CD"/>
    <w:rsid w:val="00E67AAA"/>
    <w:rsid w:val="00E67E3F"/>
    <w:rsid w:val="00E67E43"/>
    <w:rsid w:val="00E70126"/>
    <w:rsid w:val="00E70223"/>
    <w:rsid w:val="00E70289"/>
    <w:rsid w:val="00E70489"/>
    <w:rsid w:val="00E704EC"/>
    <w:rsid w:val="00E7070F"/>
    <w:rsid w:val="00E707AB"/>
    <w:rsid w:val="00E7087B"/>
    <w:rsid w:val="00E70899"/>
    <w:rsid w:val="00E709CF"/>
    <w:rsid w:val="00E70A20"/>
    <w:rsid w:val="00E70B33"/>
    <w:rsid w:val="00E70B51"/>
    <w:rsid w:val="00E70BD2"/>
    <w:rsid w:val="00E70C27"/>
    <w:rsid w:val="00E70D72"/>
    <w:rsid w:val="00E70D87"/>
    <w:rsid w:val="00E70D9F"/>
    <w:rsid w:val="00E71031"/>
    <w:rsid w:val="00E7109E"/>
    <w:rsid w:val="00E710E3"/>
    <w:rsid w:val="00E71131"/>
    <w:rsid w:val="00E711DD"/>
    <w:rsid w:val="00E71206"/>
    <w:rsid w:val="00E71350"/>
    <w:rsid w:val="00E71371"/>
    <w:rsid w:val="00E7143C"/>
    <w:rsid w:val="00E714FB"/>
    <w:rsid w:val="00E715A0"/>
    <w:rsid w:val="00E715A3"/>
    <w:rsid w:val="00E716EE"/>
    <w:rsid w:val="00E718B5"/>
    <w:rsid w:val="00E718DC"/>
    <w:rsid w:val="00E71AAD"/>
    <w:rsid w:val="00E71BB4"/>
    <w:rsid w:val="00E71C80"/>
    <w:rsid w:val="00E71C9F"/>
    <w:rsid w:val="00E71CED"/>
    <w:rsid w:val="00E71DF0"/>
    <w:rsid w:val="00E71F12"/>
    <w:rsid w:val="00E72001"/>
    <w:rsid w:val="00E7203F"/>
    <w:rsid w:val="00E723EC"/>
    <w:rsid w:val="00E72428"/>
    <w:rsid w:val="00E726EC"/>
    <w:rsid w:val="00E72A1D"/>
    <w:rsid w:val="00E72B5D"/>
    <w:rsid w:val="00E72C6B"/>
    <w:rsid w:val="00E72D37"/>
    <w:rsid w:val="00E72D76"/>
    <w:rsid w:val="00E72E4C"/>
    <w:rsid w:val="00E72E57"/>
    <w:rsid w:val="00E72E70"/>
    <w:rsid w:val="00E73043"/>
    <w:rsid w:val="00E73142"/>
    <w:rsid w:val="00E732C3"/>
    <w:rsid w:val="00E734F7"/>
    <w:rsid w:val="00E73577"/>
    <w:rsid w:val="00E73643"/>
    <w:rsid w:val="00E736D2"/>
    <w:rsid w:val="00E7370E"/>
    <w:rsid w:val="00E73855"/>
    <w:rsid w:val="00E73C2D"/>
    <w:rsid w:val="00E73CD4"/>
    <w:rsid w:val="00E73E5C"/>
    <w:rsid w:val="00E73F2E"/>
    <w:rsid w:val="00E74059"/>
    <w:rsid w:val="00E740A4"/>
    <w:rsid w:val="00E740F9"/>
    <w:rsid w:val="00E741AF"/>
    <w:rsid w:val="00E741FA"/>
    <w:rsid w:val="00E742A5"/>
    <w:rsid w:val="00E74485"/>
    <w:rsid w:val="00E7448A"/>
    <w:rsid w:val="00E7451E"/>
    <w:rsid w:val="00E7459D"/>
    <w:rsid w:val="00E74638"/>
    <w:rsid w:val="00E74749"/>
    <w:rsid w:val="00E748B8"/>
    <w:rsid w:val="00E749BF"/>
    <w:rsid w:val="00E74A61"/>
    <w:rsid w:val="00E74C86"/>
    <w:rsid w:val="00E74C99"/>
    <w:rsid w:val="00E75406"/>
    <w:rsid w:val="00E75569"/>
    <w:rsid w:val="00E75611"/>
    <w:rsid w:val="00E757C7"/>
    <w:rsid w:val="00E7590C"/>
    <w:rsid w:val="00E759E5"/>
    <w:rsid w:val="00E75C63"/>
    <w:rsid w:val="00E75CC4"/>
    <w:rsid w:val="00E75D0B"/>
    <w:rsid w:val="00E75D77"/>
    <w:rsid w:val="00E75DA8"/>
    <w:rsid w:val="00E75E2A"/>
    <w:rsid w:val="00E75E2C"/>
    <w:rsid w:val="00E75E4C"/>
    <w:rsid w:val="00E75E7E"/>
    <w:rsid w:val="00E75EF7"/>
    <w:rsid w:val="00E75FC6"/>
    <w:rsid w:val="00E76239"/>
    <w:rsid w:val="00E762D1"/>
    <w:rsid w:val="00E7640E"/>
    <w:rsid w:val="00E76489"/>
    <w:rsid w:val="00E76595"/>
    <w:rsid w:val="00E76639"/>
    <w:rsid w:val="00E76732"/>
    <w:rsid w:val="00E7679F"/>
    <w:rsid w:val="00E7697F"/>
    <w:rsid w:val="00E76B0A"/>
    <w:rsid w:val="00E76B40"/>
    <w:rsid w:val="00E76C61"/>
    <w:rsid w:val="00E76C72"/>
    <w:rsid w:val="00E76D2F"/>
    <w:rsid w:val="00E771C5"/>
    <w:rsid w:val="00E77338"/>
    <w:rsid w:val="00E77626"/>
    <w:rsid w:val="00E777BC"/>
    <w:rsid w:val="00E7793C"/>
    <w:rsid w:val="00E779AE"/>
    <w:rsid w:val="00E77B10"/>
    <w:rsid w:val="00E77B9D"/>
    <w:rsid w:val="00E77ECF"/>
    <w:rsid w:val="00E80150"/>
    <w:rsid w:val="00E80181"/>
    <w:rsid w:val="00E80196"/>
    <w:rsid w:val="00E801FE"/>
    <w:rsid w:val="00E8021D"/>
    <w:rsid w:val="00E802D5"/>
    <w:rsid w:val="00E80785"/>
    <w:rsid w:val="00E80802"/>
    <w:rsid w:val="00E80B15"/>
    <w:rsid w:val="00E80C7E"/>
    <w:rsid w:val="00E80D07"/>
    <w:rsid w:val="00E80DF6"/>
    <w:rsid w:val="00E80F84"/>
    <w:rsid w:val="00E80FDB"/>
    <w:rsid w:val="00E81378"/>
    <w:rsid w:val="00E814D1"/>
    <w:rsid w:val="00E8172B"/>
    <w:rsid w:val="00E817D0"/>
    <w:rsid w:val="00E81831"/>
    <w:rsid w:val="00E819A4"/>
    <w:rsid w:val="00E81A06"/>
    <w:rsid w:val="00E81A2A"/>
    <w:rsid w:val="00E81A86"/>
    <w:rsid w:val="00E81AF7"/>
    <w:rsid w:val="00E81C3B"/>
    <w:rsid w:val="00E81CC0"/>
    <w:rsid w:val="00E81D59"/>
    <w:rsid w:val="00E81F0C"/>
    <w:rsid w:val="00E824EA"/>
    <w:rsid w:val="00E826B1"/>
    <w:rsid w:val="00E82963"/>
    <w:rsid w:val="00E82C37"/>
    <w:rsid w:val="00E82CE9"/>
    <w:rsid w:val="00E82DFB"/>
    <w:rsid w:val="00E82E5F"/>
    <w:rsid w:val="00E82F5E"/>
    <w:rsid w:val="00E830C9"/>
    <w:rsid w:val="00E83301"/>
    <w:rsid w:val="00E83562"/>
    <w:rsid w:val="00E836BC"/>
    <w:rsid w:val="00E83868"/>
    <w:rsid w:val="00E838CF"/>
    <w:rsid w:val="00E8394E"/>
    <w:rsid w:val="00E839D9"/>
    <w:rsid w:val="00E83A7C"/>
    <w:rsid w:val="00E83A99"/>
    <w:rsid w:val="00E83AFD"/>
    <w:rsid w:val="00E83EEE"/>
    <w:rsid w:val="00E83FA9"/>
    <w:rsid w:val="00E83FE9"/>
    <w:rsid w:val="00E8405E"/>
    <w:rsid w:val="00E840FD"/>
    <w:rsid w:val="00E84202"/>
    <w:rsid w:val="00E84243"/>
    <w:rsid w:val="00E8443D"/>
    <w:rsid w:val="00E844CB"/>
    <w:rsid w:val="00E8454A"/>
    <w:rsid w:val="00E84591"/>
    <w:rsid w:val="00E8465B"/>
    <w:rsid w:val="00E84677"/>
    <w:rsid w:val="00E846B4"/>
    <w:rsid w:val="00E847EF"/>
    <w:rsid w:val="00E84A02"/>
    <w:rsid w:val="00E84C44"/>
    <w:rsid w:val="00E84D27"/>
    <w:rsid w:val="00E84DE2"/>
    <w:rsid w:val="00E84ED2"/>
    <w:rsid w:val="00E84F0F"/>
    <w:rsid w:val="00E8543B"/>
    <w:rsid w:val="00E8553A"/>
    <w:rsid w:val="00E85653"/>
    <w:rsid w:val="00E857AC"/>
    <w:rsid w:val="00E85950"/>
    <w:rsid w:val="00E85986"/>
    <w:rsid w:val="00E85A5A"/>
    <w:rsid w:val="00E85B24"/>
    <w:rsid w:val="00E85E34"/>
    <w:rsid w:val="00E85EE5"/>
    <w:rsid w:val="00E85F19"/>
    <w:rsid w:val="00E86164"/>
    <w:rsid w:val="00E861D4"/>
    <w:rsid w:val="00E8657A"/>
    <w:rsid w:val="00E86654"/>
    <w:rsid w:val="00E8670B"/>
    <w:rsid w:val="00E8673E"/>
    <w:rsid w:val="00E8676F"/>
    <w:rsid w:val="00E8685A"/>
    <w:rsid w:val="00E86985"/>
    <w:rsid w:val="00E8698D"/>
    <w:rsid w:val="00E869A0"/>
    <w:rsid w:val="00E86A5D"/>
    <w:rsid w:val="00E86A86"/>
    <w:rsid w:val="00E86B36"/>
    <w:rsid w:val="00E86B48"/>
    <w:rsid w:val="00E86CB4"/>
    <w:rsid w:val="00E86CE0"/>
    <w:rsid w:val="00E86D57"/>
    <w:rsid w:val="00E86F74"/>
    <w:rsid w:val="00E86F90"/>
    <w:rsid w:val="00E871C8"/>
    <w:rsid w:val="00E872CC"/>
    <w:rsid w:val="00E873B3"/>
    <w:rsid w:val="00E8748B"/>
    <w:rsid w:val="00E874D5"/>
    <w:rsid w:val="00E87562"/>
    <w:rsid w:val="00E87659"/>
    <w:rsid w:val="00E8768E"/>
    <w:rsid w:val="00E876CF"/>
    <w:rsid w:val="00E8770D"/>
    <w:rsid w:val="00E87855"/>
    <w:rsid w:val="00E87A30"/>
    <w:rsid w:val="00E87C0C"/>
    <w:rsid w:val="00E87C12"/>
    <w:rsid w:val="00E87FDE"/>
    <w:rsid w:val="00E9015F"/>
    <w:rsid w:val="00E90320"/>
    <w:rsid w:val="00E90405"/>
    <w:rsid w:val="00E9048C"/>
    <w:rsid w:val="00E9073E"/>
    <w:rsid w:val="00E908C6"/>
    <w:rsid w:val="00E9096D"/>
    <w:rsid w:val="00E90B2B"/>
    <w:rsid w:val="00E90E07"/>
    <w:rsid w:val="00E90EAA"/>
    <w:rsid w:val="00E90F46"/>
    <w:rsid w:val="00E90FEC"/>
    <w:rsid w:val="00E91041"/>
    <w:rsid w:val="00E91157"/>
    <w:rsid w:val="00E9162C"/>
    <w:rsid w:val="00E9167B"/>
    <w:rsid w:val="00E9171F"/>
    <w:rsid w:val="00E9190A"/>
    <w:rsid w:val="00E919BF"/>
    <w:rsid w:val="00E919E6"/>
    <w:rsid w:val="00E91A5A"/>
    <w:rsid w:val="00E91F2F"/>
    <w:rsid w:val="00E92071"/>
    <w:rsid w:val="00E92184"/>
    <w:rsid w:val="00E9221D"/>
    <w:rsid w:val="00E92430"/>
    <w:rsid w:val="00E9248F"/>
    <w:rsid w:val="00E9256C"/>
    <w:rsid w:val="00E925C4"/>
    <w:rsid w:val="00E92623"/>
    <w:rsid w:val="00E9262B"/>
    <w:rsid w:val="00E9264D"/>
    <w:rsid w:val="00E92872"/>
    <w:rsid w:val="00E92903"/>
    <w:rsid w:val="00E929DD"/>
    <w:rsid w:val="00E92AC3"/>
    <w:rsid w:val="00E92B01"/>
    <w:rsid w:val="00E92BDB"/>
    <w:rsid w:val="00E92D5D"/>
    <w:rsid w:val="00E92D95"/>
    <w:rsid w:val="00E9336B"/>
    <w:rsid w:val="00E93514"/>
    <w:rsid w:val="00E9368B"/>
    <w:rsid w:val="00E936F7"/>
    <w:rsid w:val="00E93778"/>
    <w:rsid w:val="00E939FB"/>
    <w:rsid w:val="00E93A54"/>
    <w:rsid w:val="00E93AA4"/>
    <w:rsid w:val="00E93AC0"/>
    <w:rsid w:val="00E93DFA"/>
    <w:rsid w:val="00E93DFC"/>
    <w:rsid w:val="00E93F4B"/>
    <w:rsid w:val="00E93F92"/>
    <w:rsid w:val="00E940CC"/>
    <w:rsid w:val="00E941C1"/>
    <w:rsid w:val="00E9428C"/>
    <w:rsid w:val="00E942D7"/>
    <w:rsid w:val="00E94399"/>
    <w:rsid w:val="00E943E9"/>
    <w:rsid w:val="00E9447B"/>
    <w:rsid w:val="00E944AF"/>
    <w:rsid w:val="00E944E1"/>
    <w:rsid w:val="00E94559"/>
    <w:rsid w:val="00E94637"/>
    <w:rsid w:val="00E94714"/>
    <w:rsid w:val="00E94779"/>
    <w:rsid w:val="00E948D6"/>
    <w:rsid w:val="00E94905"/>
    <w:rsid w:val="00E94963"/>
    <w:rsid w:val="00E94C94"/>
    <w:rsid w:val="00E94EEB"/>
    <w:rsid w:val="00E95269"/>
    <w:rsid w:val="00E953E4"/>
    <w:rsid w:val="00E95458"/>
    <w:rsid w:val="00E955C3"/>
    <w:rsid w:val="00E9564F"/>
    <w:rsid w:val="00E95696"/>
    <w:rsid w:val="00E95824"/>
    <w:rsid w:val="00E95A1A"/>
    <w:rsid w:val="00E95B55"/>
    <w:rsid w:val="00E95E08"/>
    <w:rsid w:val="00E95FF2"/>
    <w:rsid w:val="00E96335"/>
    <w:rsid w:val="00E96466"/>
    <w:rsid w:val="00E964D5"/>
    <w:rsid w:val="00E96601"/>
    <w:rsid w:val="00E9666D"/>
    <w:rsid w:val="00E96697"/>
    <w:rsid w:val="00E966DB"/>
    <w:rsid w:val="00E9682D"/>
    <w:rsid w:val="00E96838"/>
    <w:rsid w:val="00E968C3"/>
    <w:rsid w:val="00E96B29"/>
    <w:rsid w:val="00E96C7E"/>
    <w:rsid w:val="00E96CEA"/>
    <w:rsid w:val="00E96F0D"/>
    <w:rsid w:val="00E972C0"/>
    <w:rsid w:val="00E97313"/>
    <w:rsid w:val="00E97466"/>
    <w:rsid w:val="00E9748C"/>
    <w:rsid w:val="00E97738"/>
    <w:rsid w:val="00E97789"/>
    <w:rsid w:val="00E97792"/>
    <w:rsid w:val="00E97829"/>
    <w:rsid w:val="00E97833"/>
    <w:rsid w:val="00E978A5"/>
    <w:rsid w:val="00E97AAF"/>
    <w:rsid w:val="00E97CE1"/>
    <w:rsid w:val="00E97E9F"/>
    <w:rsid w:val="00EA00B9"/>
    <w:rsid w:val="00EA0134"/>
    <w:rsid w:val="00EA016E"/>
    <w:rsid w:val="00EA01E9"/>
    <w:rsid w:val="00EA0210"/>
    <w:rsid w:val="00EA0272"/>
    <w:rsid w:val="00EA02EC"/>
    <w:rsid w:val="00EA043E"/>
    <w:rsid w:val="00EA0576"/>
    <w:rsid w:val="00EA0702"/>
    <w:rsid w:val="00EA0708"/>
    <w:rsid w:val="00EA0837"/>
    <w:rsid w:val="00EA0840"/>
    <w:rsid w:val="00EA09DF"/>
    <w:rsid w:val="00EA0EA1"/>
    <w:rsid w:val="00EA0F5A"/>
    <w:rsid w:val="00EA0F62"/>
    <w:rsid w:val="00EA0FFF"/>
    <w:rsid w:val="00EA12DE"/>
    <w:rsid w:val="00EA139B"/>
    <w:rsid w:val="00EA1434"/>
    <w:rsid w:val="00EA16D5"/>
    <w:rsid w:val="00EA175A"/>
    <w:rsid w:val="00EA192E"/>
    <w:rsid w:val="00EA19E1"/>
    <w:rsid w:val="00EA1A14"/>
    <w:rsid w:val="00EA1C32"/>
    <w:rsid w:val="00EA1EBA"/>
    <w:rsid w:val="00EA20CE"/>
    <w:rsid w:val="00EA21CB"/>
    <w:rsid w:val="00EA248A"/>
    <w:rsid w:val="00EA2526"/>
    <w:rsid w:val="00EA2547"/>
    <w:rsid w:val="00EA2570"/>
    <w:rsid w:val="00EA269E"/>
    <w:rsid w:val="00EA2969"/>
    <w:rsid w:val="00EA2A6E"/>
    <w:rsid w:val="00EA2B5A"/>
    <w:rsid w:val="00EA2BCD"/>
    <w:rsid w:val="00EA2C27"/>
    <w:rsid w:val="00EA2C44"/>
    <w:rsid w:val="00EA2CBF"/>
    <w:rsid w:val="00EA2CE7"/>
    <w:rsid w:val="00EA302F"/>
    <w:rsid w:val="00EA307A"/>
    <w:rsid w:val="00EA3500"/>
    <w:rsid w:val="00EA3574"/>
    <w:rsid w:val="00EA3575"/>
    <w:rsid w:val="00EA3713"/>
    <w:rsid w:val="00EA3783"/>
    <w:rsid w:val="00EA378C"/>
    <w:rsid w:val="00EA382D"/>
    <w:rsid w:val="00EA3A36"/>
    <w:rsid w:val="00EA3B0F"/>
    <w:rsid w:val="00EA3C67"/>
    <w:rsid w:val="00EA3E5F"/>
    <w:rsid w:val="00EA3F21"/>
    <w:rsid w:val="00EA3FAB"/>
    <w:rsid w:val="00EA4066"/>
    <w:rsid w:val="00EA4087"/>
    <w:rsid w:val="00EA4112"/>
    <w:rsid w:val="00EA4161"/>
    <w:rsid w:val="00EA41DF"/>
    <w:rsid w:val="00EA462F"/>
    <w:rsid w:val="00EA4890"/>
    <w:rsid w:val="00EA495D"/>
    <w:rsid w:val="00EA4C37"/>
    <w:rsid w:val="00EA4C77"/>
    <w:rsid w:val="00EA4CC9"/>
    <w:rsid w:val="00EA4D76"/>
    <w:rsid w:val="00EA53A8"/>
    <w:rsid w:val="00EA540F"/>
    <w:rsid w:val="00EA54A3"/>
    <w:rsid w:val="00EA5613"/>
    <w:rsid w:val="00EA5673"/>
    <w:rsid w:val="00EA56E0"/>
    <w:rsid w:val="00EA585F"/>
    <w:rsid w:val="00EA58BB"/>
    <w:rsid w:val="00EA5A4B"/>
    <w:rsid w:val="00EA5B2C"/>
    <w:rsid w:val="00EA5CE2"/>
    <w:rsid w:val="00EA5CEA"/>
    <w:rsid w:val="00EA5D3A"/>
    <w:rsid w:val="00EA5D6B"/>
    <w:rsid w:val="00EA5F20"/>
    <w:rsid w:val="00EA609F"/>
    <w:rsid w:val="00EA60EF"/>
    <w:rsid w:val="00EA622F"/>
    <w:rsid w:val="00EA6283"/>
    <w:rsid w:val="00EA6287"/>
    <w:rsid w:val="00EA62FC"/>
    <w:rsid w:val="00EA6327"/>
    <w:rsid w:val="00EA63CA"/>
    <w:rsid w:val="00EA6488"/>
    <w:rsid w:val="00EA660D"/>
    <w:rsid w:val="00EA6711"/>
    <w:rsid w:val="00EA6730"/>
    <w:rsid w:val="00EA680C"/>
    <w:rsid w:val="00EA68F2"/>
    <w:rsid w:val="00EA6A98"/>
    <w:rsid w:val="00EA6F0D"/>
    <w:rsid w:val="00EA6FEE"/>
    <w:rsid w:val="00EA72D7"/>
    <w:rsid w:val="00EA73E8"/>
    <w:rsid w:val="00EA74B5"/>
    <w:rsid w:val="00EA7664"/>
    <w:rsid w:val="00EA7728"/>
    <w:rsid w:val="00EA78B5"/>
    <w:rsid w:val="00EA7945"/>
    <w:rsid w:val="00EA7AB6"/>
    <w:rsid w:val="00EA7CA5"/>
    <w:rsid w:val="00EA7D6A"/>
    <w:rsid w:val="00EA7DED"/>
    <w:rsid w:val="00EA7EA4"/>
    <w:rsid w:val="00EB0449"/>
    <w:rsid w:val="00EB0549"/>
    <w:rsid w:val="00EB05C8"/>
    <w:rsid w:val="00EB062C"/>
    <w:rsid w:val="00EB09D2"/>
    <w:rsid w:val="00EB0B88"/>
    <w:rsid w:val="00EB0BE6"/>
    <w:rsid w:val="00EB0D14"/>
    <w:rsid w:val="00EB0FD1"/>
    <w:rsid w:val="00EB1494"/>
    <w:rsid w:val="00EB151D"/>
    <w:rsid w:val="00EB1835"/>
    <w:rsid w:val="00EB1858"/>
    <w:rsid w:val="00EB18F9"/>
    <w:rsid w:val="00EB1B3D"/>
    <w:rsid w:val="00EB1BB4"/>
    <w:rsid w:val="00EB1CA3"/>
    <w:rsid w:val="00EB1E0D"/>
    <w:rsid w:val="00EB1E5F"/>
    <w:rsid w:val="00EB1EFF"/>
    <w:rsid w:val="00EB203B"/>
    <w:rsid w:val="00EB2151"/>
    <w:rsid w:val="00EB21FE"/>
    <w:rsid w:val="00EB2273"/>
    <w:rsid w:val="00EB23AD"/>
    <w:rsid w:val="00EB2544"/>
    <w:rsid w:val="00EB260D"/>
    <w:rsid w:val="00EB2652"/>
    <w:rsid w:val="00EB28F5"/>
    <w:rsid w:val="00EB2930"/>
    <w:rsid w:val="00EB2A54"/>
    <w:rsid w:val="00EB2B03"/>
    <w:rsid w:val="00EB2DD5"/>
    <w:rsid w:val="00EB2F97"/>
    <w:rsid w:val="00EB3007"/>
    <w:rsid w:val="00EB34E0"/>
    <w:rsid w:val="00EB3512"/>
    <w:rsid w:val="00EB3556"/>
    <w:rsid w:val="00EB37EC"/>
    <w:rsid w:val="00EB3867"/>
    <w:rsid w:val="00EB38EA"/>
    <w:rsid w:val="00EB3E65"/>
    <w:rsid w:val="00EB3FFB"/>
    <w:rsid w:val="00EB4159"/>
    <w:rsid w:val="00EB42D1"/>
    <w:rsid w:val="00EB44BF"/>
    <w:rsid w:val="00EB4827"/>
    <w:rsid w:val="00EB482E"/>
    <w:rsid w:val="00EB4964"/>
    <w:rsid w:val="00EB4B34"/>
    <w:rsid w:val="00EB4C6D"/>
    <w:rsid w:val="00EB4DAE"/>
    <w:rsid w:val="00EB4DAF"/>
    <w:rsid w:val="00EB4DD1"/>
    <w:rsid w:val="00EB4E52"/>
    <w:rsid w:val="00EB4E94"/>
    <w:rsid w:val="00EB4E96"/>
    <w:rsid w:val="00EB4ECC"/>
    <w:rsid w:val="00EB527C"/>
    <w:rsid w:val="00EB5562"/>
    <w:rsid w:val="00EB585F"/>
    <w:rsid w:val="00EB5A21"/>
    <w:rsid w:val="00EB5A2C"/>
    <w:rsid w:val="00EB5AF3"/>
    <w:rsid w:val="00EB5D1C"/>
    <w:rsid w:val="00EB5D37"/>
    <w:rsid w:val="00EB5DCB"/>
    <w:rsid w:val="00EB5F4B"/>
    <w:rsid w:val="00EB6055"/>
    <w:rsid w:val="00EB60D9"/>
    <w:rsid w:val="00EB619B"/>
    <w:rsid w:val="00EB647F"/>
    <w:rsid w:val="00EB64D1"/>
    <w:rsid w:val="00EB64FD"/>
    <w:rsid w:val="00EB6531"/>
    <w:rsid w:val="00EB65A7"/>
    <w:rsid w:val="00EB65F1"/>
    <w:rsid w:val="00EB667E"/>
    <w:rsid w:val="00EB6A33"/>
    <w:rsid w:val="00EB6F8D"/>
    <w:rsid w:val="00EB6FC1"/>
    <w:rsid w:val="00EB70A0"/>
    <w:rsid w:val="00EB7195"/>
    <w:rsid w:val="00EB71AD"/>
    <w:rsid w:val="00EB7283"/>
    <w:rsid w:val="00EB733D"/>
    <w:rsid w:val="00EB7832"/>
    <w:rsid w:val="00EB78B3"/>
    <w:rsid w:val="00EB7A68"/>
    <w:rsid w:val="00EB7C27"/>
    <w:rsid w:val="00EB7D31"/>
    <w:rsid w:val="00EC008D"/>
    <w:rsid w:val="00EC0317"/>
    <w:rsid w:val="00EC042C"/>
    <w:rsid w:val="00EC06F4"/>
    <w:rsid w:val="00EC0775"/>
    <w:rsid w:val="00EC0884"/>
    <w:rsid w:val="00EC0978"/>
    <w:rsid w:val="00EC09D8"/>
    <w:rsid w:val="00EC0A78"/>
    <w:rsid w:val="00EC0B69"/>
    <w:rsid w:val="00EC0D38"/>
    <w:rsid w:val="00EC0DBE"/>
    <w:rsid w:val="00EC0EB3"/>
    <w:rsid w:val="00EC0F38"/>
    <w:rsid w:val="00EC109C"/>
    <w:rsid w:val="00EC10A3"/>
    <w:rsid w:val="00EC117B"/>
    <w:rsid w:val="00EC1314"/>
    <w:rsid w:val="00EC1342"/>
    <w:rsid w:val="00EC1480"/>
    <w:rsid w:val="00EC157D"/>
    <w:rsid w:val="00EC1932"/>
    <w:rsid w:val="00EC1D56"/>
    <w:rsid w:val="00EC1D6E"/>
    <w:rsid w:val="00EC1ECF"/>
    <w:rsid w:val="00EC1F86"/>
    <w:rsid w:val="00EC1FC3"/>
    <w:rsid w:val="00EC202F"/>
    <w:rsid w:val="00EC20CA"/>
    <w:rsid w:val="00EC20D0"/>
    <w:rsid w:val="00EC2470"/>
    <w:rsid w:val="00EC2491"/>
    <w:rsid w:val="00EC2697"/>
    <w:rsid w:val="00EC2835"/>
    <w:rsid w:val="00EC2B1C"/>
    <w:rsid w:val="00EC2D94"/>
    <w:rsid w:val="00EC2E38"/>
    <w:rsid w:val="00EC2F4A"/>
    <w:rsid w:val="00EC315F"/>
    <w:rsid w:val="00EC3161"/>
    <w:rsid w:val="00EC31B9"/>
    <w:rsid w:val="00EC3281"/>
    <w:rsid w:val="00EC3313"/>
    <w:rsid w:val="00EC34CB"/>
    <w:rsid w:val="00EC35CF"/>
    <w:rsid w:val="00EC369F"/>
    <w:rsid w:val="00EC3930"/>
    <w:rsid w:val="00EC3953"/>
    <w:rsid w:val="00EC396E"/>
    <w:rsid w:val="00EC39D3"/>
    <w:rsid w:val="00EC3A24"/>
    <w:rsid w:val="00EC3A7F"/>
    <w:rsid w:val="00EC3B13"/>
    <w:rsid w:val="00EC3B74"/>
    <w:rsid w:val="00EC3B8B"/>
    <w:rsid w:val="00EC40C7"/>
    <w:rsid w:val="00EC41F4"/>
    <w:rsid w:val="00EC421C"/>
    <w:rsid w:val="00EC4689"/>
    <w:rsid w:val="00EC473A"/>
    <w:rsid w:val="00EC47CA"/>
    <w:rsid w:val="00EC487E"/>
    <w:rsid w:val="00EC4984"/>
    <w:rsid w:val="00EC4B06"/>
    <w:rsid w:val="00EC4BC1"/>
    <w:rsid w:val="00EC4E0A"/>
    <w:rsid w:val="00EC519B"/>
    <w:rsid w:val="00EC51C5"/>
    <w:rsid w:val="00EC52E7"/>
    <w:rsid w:val="00EC540D"/>
    <w:rsid w:val="00EC5746"/>
    <w:rsid w:val="00EC5806"/>
    <w:rsid w:val="00EC5906"/>
    <w:rsid w:val="00EC5AC1"/>
    <w:rsid w:val="00EC5B16"/>
    <w:rsid w:val="00EC5BD8"/>
    <w:rsid w:val="00EC61CA"/>
    <w:rsid w:val="00EC62FE"/>
    <w:rsid w:val="00EC66A7"/>
    <w:rsid w:val="00EC6924"/>
    <w:rsid w:val="00EC6936"/>
    <w:rsid w:val="00EC6A53"/>
    <w:rsid w:val="00EC6AFD"/>
    <w:rsid w:val="00EC6BB1"/>
    <w:rsid w:val="00EC6C16"/>
    <w:rsid w:val="00EC6D40"/>
    <w:rsid w:val="00EC6E33"/>
    <w:rsid w:val="00EC6E5E"/>
    <w:rsid w:val="00EC6E67"/>
    <w:rsid w:val="00EC6FDB"/>
    <w:rsid w:val="00EC701E"/>
    <w:rsid w:val="00EC7034"/>
    <w:rsid w:val="00EC7122"/>
    <w:rsid w:val="00EC7249"/>
    <w:rsid w:val="00EC728E"/>
    <w:rsid w:val="00EC72B0"/>
    <w:rsid w:val="00EC75A3"/>
    <w:rsid w:val="00EC75FA"/>
    <w:rsid w:val="00EC75FD"/>
    <w:rsid w:val="00EC7782"/>
    <w:rsid w:val="00EC77E2"/>
    <w:rsid w:val="00EC7B05"/>
    <w:rsid w:val="00EC7CF6"/>
    <w:rsid w:val="00EC7E3B"/>
    <w:rsid w:val="00EC7E9E"/>
    <w:rsid w:val="00EC7ED4"/>
    <w:rsid w:val="00EC7F95"/>
    <w:rsid w:val="00ED0048"/>
    <w:rsid w:val="00ED00F0"/>
    <w:rsid w:val="00ED02AD"/>
    <w:rsid w:val="00ED02F0"/>
    <w:rsid w:val="00ED0503"/>
    <w:rsid w:val="00ED0679"/>
    <w:rsid w:val="00ED06A2"/>
    <w:rsid w:val="00ED07B4"/>
    <w:rsid w:val="00ED09A6"/>
    <w:rsid w:val="00ED09E6"/>
    <w:rsid w:val="00ED0A94"/>
    <w:rsid w:val="00ED0B5D"/>
    <w:rsid w:val="00ED0B8F"/>
    <w:rsid w:val="00ED0BE9"/>
    <w:rsid w:val="00ED105C"/>
    <w:rsid w:val="00ED1145"/>
    <w:rsid w:val="00ED11BB"/>
    <w:rsid w:val="00ED1482"/>
    <w:rsid w:val="00ED183A"/>
    <w:rsid w:val="00ED1840"/>
    <w:rsid w:val="00ED1BBF"/>
    <w:rsid w:val="00ED1BEE"/>
    <w:rsid w:val="00ED210A"/>
    <w:rsid w:val="00ED2473"/>
    <w:rsid w:val="00ED24BF"/>
    <w:rsid w:val="00ED25BC"/>
    <w:rsid w:val="00ED26A0"/>
    <w:rsid w:val="00ED26AA"/>
    <w:rsid w:val="00ED27E5"/>
    <w:rsid w:val="00ED2D05"/>
    <w:rsid w:val="00ED2D56"/>
    <w:rsid w:val="00ED304B"/>
    <w:rsid w:val="00ED3273"/>
    <w:rsid w:val="00ED34E0"/>
    <w:rsid w:val="00ED35D5"/>
    <w:rsid w:val="00ED3A6E"/>
    <w:rsid w:val="00ED3ACD"/>
    <w:rsid w:val="00ED3C23"/>
    <w:rsid w:val="00ED3DD3"/>
    <w:rsid w:val="00ED4057"/>
    <w:rsid w:val="00ED40AA"/>
    <w:rsid w:val="00ED4148"/>
    <w:rsid w:val="00ED416A"/>
    <w:rsid w:val="00ED4285"/>
    <w:rsid w:val="00ED4315"/>
    <w:rsid w:val="00ED4407"/>
    <w:rsid w:val="00ED44DD"/>
    <w:rsid w:val="00ED45F8"/>
    <w:rsid w:val="00ED49B4"/>
    <w:rsid w:val="00ED4A57"/>
    <w:rsid w:val="00ED4ACC"/>
    <w:rsid w:val="00ED4B23"/>
    <w:rsid w:val="00ED4BEB"/>
    <w:rsid w:val="00ED4C6D"/>
    <w:rsid w:val="00ED4D9F"/>
    <w:rsid w:val="00ED4E88"/>
    <w:rsid w:val="00ED4F9F"/>
    <w:rsid w:val="00ED5038"/>
    <w:rsid w:val="00ED534A"/>
    <w:rsid w:val="00ED5373"/>
    <w:rsid w:val="00ED53A1"/>
    <w:rsid w:val="00ED55C1"/>
    <w:rsid w:val="00ED5996"/>
    <w:rsid w:val="00ED59F6"/>
    <w:rsid w:val="00ED5AC1"/>
    <w:rsid w:val="00ED5B6F"/>
    <w:rsid w:val="00ED5BE4"/>
    <w:rsid w:val="00ED5C58"/>
    <w:rsid w:val="00ED5C6D"/>
    <w:rsid w:val="00ED5F51"/>
    <w:rsid w:val="00ED6079"/>
    <w:rsid w:val="00ED6114"/>
    <w:rsid w:val="00ED64E9"/>
    <w:rsid w:val="00ED6550"/>
    <w:rsid w:val="00ED657A"/>
    <w:rsid w:val="00ED6895"/>
    <w:rsid w:val="00ED6900"/>
    <w:rsid w:val="00ED6A12"/>
    <w:rsid w:val="00ED6CD4"/>
    <w:rsid w:val="00ED6D49"/>
    <w:rsid w:val="00ED6D9B"/>
    <w:rsid w:val="00ED6DEF"/>
    <w:rsid w:val="00ED6FEE"/>
    <w:rsid w:val="00ED70EE"/>
    <w:rsid w:val="00ED7399"/>
    <w:rsid w:val="00ED74EF"/>
    <w:rsid w:val="00ED75A2"/>
    <w:rsid w:val="00ED75FF"/>
    <w:rsid w:val="00ED776A"/>
    <w:rsid w:val="00ED783F"/>
    <w:rsid w:val="00ED7B14"/>
    <w:rsid w:val="00ED7B28"/>
    <w:rsid w:val="00ED7C72"/>
    <w:rsid w:val="00ED7C9E"/>
    <w:rsid w:val="00ED7EB7"/>
    <w:rsid w:val="00ED7ED3"/>
    <w:rsid w:val="00ED7FE9"/>
    <w:rsid w:val="00EE0075"/>
    <w:rsid w:val="00EE0109"/>
    <w:rsid w:val="00EE0111"/>
    <w:rsid w:val="00EE01BD"/>
    <w:rsid w:val="00EE0314"/>
    <w:rsid w:val="00EE0616"/>
    <w:rsid w:val="00EE0655"/>
    <w:rsid w:val="00EE0695"/>
    <w:rsid w:val="00EE06FE"/>
    <w:rsid w:val="00EE098B"/>
    <w:rsid w:val="00EE09FF"/>
    <w:rsid w:val="00EE0A4F"/>
    <w:rsid w:val="00EE1011"/>
    <w:rsid w:val="00EE1189"/>
    <w:rsid w:val="00EE1448"/>
    <w:rsid w:val="00EE1589"/>
    <w:rsid w:val="00EE192E"/>
    <w:rsid w:val="00EE1B6B"/>
    <w:rsid w:val="00EE1BB8"/>
    <w:rsid w:val="00EE1C2F"/>
    <w:rsid w:val="00EE1CAB"/>
    <w:rsid w:val="00EE1E10"/>
    <w:rsid w:val="00EE1EBB"/>
    <w:rsid w:val="00EE1F05"/>
    <w:rsid w:val="00EE1FCF"/>
    <w:rsid w:val="00EE21D1"/>
    <w:rsid w:val="00EE23EF"/>
    <w:rsid w:val="00EE250B"/>
    <w:rsid w:val="00EE25B3"/>
    <w:rsid w:val="00EE260D"/>
    <w:rsid w:val="00EE29E8"/>
    <w:rsid w:val="00EE2A0C"/>
    <w:rsid w:val="00EE2A39"/>
    <w:rsid w:val="00EE2E3C"/>
    <w:rsid w:val="00EE301C"/>
    <w:rsid w:val="00EE31CE"/>
    <w:rsid w:val="00EE32D3"/>
    <w:rsid w:val="00EE34D7"/>
    <w:rsid w:val="00EE389C"/>
    <w:rsid w:val="00EE3A0A"/>
    <w:rsid w:val="00EE3B4B"/>
    <w:rsid w:val="00EE3CE2"/>
    <w:rsid w:val="00EE3CEC"/>
    <w:rsid w:val="00EE3D35"/>
    <w:rsid w:val="00EE3E0C"/>
    <w:rsid w:val="00EE3FC8"/>
    <w:rsid w:val="00EE3FFE"/>
    <w:rsid w:val="00EE41CD"/>
    <w:rsid w:val="00EE44FC"/>
    <w:rsid w:val="00EE4613"/>
    <w:rsid w:val="00EE469C"/>
    <w:rsid w:val="00EE4AD5"/>
    <w:rsid w:val="00EE4C2F"/>
    <w:rsid w:val="00EE4CEE"/>
    <w:rsid w:val="00EE5041"/>
    <w:rsid w:val="00EE504B"/>
    <w:rsid w:val="00EE523D"/>
    <w:rsid w:val="00EE525D"/>
    <w:rsid w:val="00EE54BA"/>
    <w:rsid w:val="00EE5775"/>
    <w:rsid w:val="00EE57E0"/>
    <w:rsid w:val="00EE5851"/>
    <w:rsid w:val="00EE5972"/>
    <w:rsid w:val="00EE5A73"/>
    <w:rsid w:val="00EE5ABC"/>
    <w:rsid w:val="00EE5B87"/>
    <w:rsid w:val="00EE5C29"/>
    <w:rsid w:val="00EE5C54"/>
    <w:rsid w:val="00EE5C5B"/>
    <w:rsid w:val="00EE5D1D"/>
    <w:rsid w:val="00EE5D7B"/>
    <w:rsid w:val="00EE5DCE"/>
    <w:rsid w:val="00EE5DDE"/>
    <w:rsid w:val="00EE5F98"/>
    <w:rsid w:val="00EE605D"/>
    <w:rsid w:val="00EE6080"/>
    <w:rsid w:val="00EE609C"/>
    <w:rsid w:val="00EE6100"/>
    <w:rsid w:val="00EE61B8"/>
    <w:rsid w:val="00EE61E2"/>
    <w:rsid w:val="00EE61EE"/>
    <w:rsid w:val="00EE635E"/>
    <w:rsid w:val="00EE6784"/>
    <w:rsid w:val="00EE67D2"/>
    <w:rsid w:val="00EE67D8"/>
    <w:rsid w:val="00EE6812"/>
    <w:rsid w:val="00EE6AB6"/>
    <w:rsid w:val="00EE6D41"/>
    <w:rsid w:val="00EE6E9F"/>
    <w:rsid w:val="00EE6EDB"/>
    <w:rsid w:val="00EE74ED"/>
    <w:rsid w:val="00EE772B"/>
    <w:rsid w:val="00EE7915"/>
    <w:rsid w:val="00EE79F9"/>
    <w:rsid w:val="00EE7D95"/>
    <w:rsid w:val="00EE7E17"/>
    <w:rsid w:val="00EE7E99"/>
    <w:rsid w:val="00EE7FF1"/>
    <w:rsid w:val="00EF017E"/>
    <w:rsid w:val="00EF0299"/>
    <w:rsid w:val="00EF0680"/>
    <w:rsid w:val="00EF06D4"/>
    <w:rsid w:val="00EF0729"/>
    <w:rsid w:val="00EF07B9"/>
    <w:rsid w:val="00EF08D3"/>
    <w:rsid w:val="00EF0B96"/>
    <w:rsid w:val="00EF0C33"/>
    <w:rsid w:val="00EF0D36"/>
    <w:rsid w:val="00EF0DAA"/>
    <w:rsid w:val="00EF0DFA"/>
    <w:rsid w:val="00EF0EBD"/>
    <w:rsid w:val="00EF120C"/>
    <w:rsid w:val="00EF13F5"/>
    <w:rsid w:val="00EF1859"/>
    <w:rsid w:val="00EF1B4B"/>
    <w:rsid w:val="00EF1C05"/>
    <w:rsid w:val="00EF1E30"/>
    <w:rsid w:val="00EF1F6B"/>
    <w:rsid w:val="00EF2110"/>
    <w:rsid w:val="00EF21D0"/>
    <w:rsid w:val="00EF23AE"/>
    <w:rsid w:val="00EF23E3"/>
    <w:rsid w:val="00EF25C0"/>
    <w:rsid w:val="00EF26DB"/>
    <w:rsid w:val="00EF2720"/>
    <w:rsid w:val="00EF2864"/>
    <w:rsid w:val="00EF28FB"/>
    <w:rsid w:val="00EF2929"/>
    <w:rsid w:val="00EF2A08"/>
    <w:rsid w:val="00EF2E7D"/>
    <w:rsid w:val="00EF2ED0"/>
    <w:rsid w:val="00EF32EF"/>
    <w:rsid w:val="00EF3438"/>
    <w:rsid w:val="00EF3735"/>
    <w:rsid w:val="00EF3AE2"/>
    <w:rsid w:val="00EF3C09"/>
    <w:rsid w:val="00EF3CE4"/>
    <w:rsid w:val="00EF3F98"/>
    <w:rsid w:val="00EF4020"/>
    <w:rsid w:val="00EF4125"/>
    <w:rsid w:val="00EF436B"/>
    <w:rsid w:val="00EF4407"/>
    <w:rsid w:val="00EF4621"/>
    <w:rsid w:val="00EF486E"/>
    <w:rsid w:val="00EF491D"/>
    <w:rsid w:val="00EF495D"/>
    <w:rsid w:val="00EF4B17"/>
    <w:rsid w:val="00EF4C3E"/>
    <w:rsid w:val="00EF4D42"/>
    <w:rsid w:val="00EF4FD5"/>
    <w:rsid w:val="00EF50AF"/>
    <w:rsid w:val="00EF50FD"/>
    <w:rsid w:val="00EF521B"/>
    <w:rsid w:val="00EF5340"/>
    <w:rsid w:val="00EF541F"/>
    <w:rsid w:val="00EF54BB"/>
    <w:rsid w:val="00EF5661"/>
    <w:rsid w:val="00EF5686"/>
    <w:rsid w:val="00EF57CA"/>
    <w:rsid w:val="00EF5A7D"/>
    <w:rsid w:val="00EF5DB8"/>
    <w:rsid w:val="00EF5FC6"/>
    <w:rsid w:val="00EF605C"/>
    <w:rsid w:val="00EF61D3"/>
    <w:rsid w:val="00EF61E1"/>
    <w:rsid w:val="00EF6298"/>
    <w:rsid w:val="00EF62E5"/>
    <w:rsid w:val="00EF6392"/>
    <w:rsid w:val="00EF64F2"/>
    <w:rsid w:val="00EF6669"/>
    <w:rsid w:val="00EF672F"/>
    <w:rsid w:val="00EF6868"/>
    <w:rsid w:val="00EF6C8A"/>
    <w:rsid w:val="00EF6DC9"/>
    <w:rsid w:val="00EF6E4F"/>
    <w:rsid w:val="00EF70A9"/>
    <w:rsid w:val="00EF70FC"/>
    <w:rsid w:val="00EF712E"/>
    <w:rsid w:val="00EF767A"/>
    <w:rsid w:val="00EF76F0"/>
    <w:rsid w:val="00EF7724"/>
    <w:rsid w:val="00EF7856"/>
    <w:rsid w:val="00EF794E"/>
    <w:rsid w:val="00EF7C50"/>
    <w:rsid w:val="00EF7CDB"/>
    <w:rsid w:val="00EF7EB9"/>
    <w:rsid w:val="00EF7FE9"/>
    <w:rsid w:val="00F0002F"/>
    <w:rsid w:val="00F0003F"/>
    <w:rsid w:val="00F000FA"/>
    <w:rsid w:val="00F0014E"/>
    <w:rsid w:val="00F003A2"/>
    <w:rsid w:val="00F00601"/>
    <w:rsid w:val="00F00686"/>
    <w:rsid w:val="00F006F9"/>
    <w:rsid w:val="00F00A91"/>
    <w:rsid w:val="00F00BAA"/>
    <w:rsid w:val="00F00C1F"/>
    <w:rsid w:val="00F00CCD"/>
    <w:rsid w:val="00F00D99"/>
    <w:rsid w:val="00F00DE6"/>
    <w:rsid w:val="00F01093"/>
    <w:rsid w:val="00F01394"/>
    <w:rsid w:val="00F014C9"/>
    <w:rsid w:val="00F014E3"/>
    <w:rsid w:val="00F016D4"/>
    <w:rsid w:val="00F016DF"/>
    <w:rsid w:val="00F0186D"/>
    <w:rsid w:val="00F0195E"/>
    <w:rsid w:val="00F01A11"/>
    <w:rsid w:val="00F01A2E"/>
    <w:rsid w:val="00F01C31"/>
    <w:rsid w:val="00F01D7E"/>
    <w:rsid w:val="00F01EB0"/>
    <w:rsid w:val="00F02054"/>
    <w:rsid w:val="00F0240A"/>
    <w:rsid w:val="00F02436"/>
    <w:rsid w:val="00F02647"/>
    <w:rsid w:val="00F0276C"/>
    <w:rsid w:val="00F0297E"/>
    <w:rsid w:val="00F029A2"/>
    <w:rsid w:val="00F029D6"/>
    <w:rsid w:val="00F02A6C"/>
    <w:rsid w:val="00F02E47"/>
    <w:rsid w:val="00F02EAF"/>
    <w:rsid w:val="00F031C4"/>
    <w:rsid w:val="00F03282"/>
    <w:rsid w:val="00F034BB"/>
    <w:rsid w:val="00F035A4"/>
    <w:rsid w:val="00F036EE"/>
    <w:rsid w:val="00F037B6"/>
    <w:rsid w:val="00F039F7"/>
    <w:rsid w:val="00F03C68"/>
    <w:rsid w:val="00F03D39"/>
    <w:rsid w:val="00F03FD0"/>
    <w:rsid w:val="00F03FDF"/>
    <w:rsid w:val="00F04056"/>
    <w:rsid w:val="00F040DD"/>
    <w:rsid w:val="00F0414F"/>
    <w:rsid w:val="00F0417D"/>
    <w:rsid w:val="00F0423F"/>
    <w:rsid w:val="00F04456"/>
    <w:rsid w:val="00F04531"/>
    <w:rsid w:val="00F045A6"/>
    <w:rsid w:val="00F04693"/>
    <w:rsid w:val="00F0476C"/>
    <w:rsid w:val="00F0478A"/>
    <w:rsid w:val="00F047EF"/>
    <w:rsid w:val="00F048AF"/>
    <w:rsid w:val="00F04941"/>
    <w:rsid w:val="00F0495B"/>
    <w:rsid w:val="00F04B7A"/>
    <w:rsid w:val="00F04B7C"/>
    <w:rsid w:val="00F04B9E"/>
    <w:rsid w:val="00F04C3E"/>
    <w:rsid w:val="00F05035"/>
    <w:rsid w:val="00F05265"/>
    <w:rsid w:val="00F0529B"/>
    <w:rsid w:val="00F05345"/>
    <w:rsid w:val="00F05399"/>
    <w:rsid w:val="00F054C5"/>
    <w:rsid w:val="00F05991"/>
    <w:rsid w:val="00F05C1E"/>
    <w:rsid w:val="00F05C23"/>
    <w:rsid w:val="00F05C2C"/>
    <w:rsid w:val="00F05D86"/>
    <w:rsid w:val="00F05E19"/>
    <w:rsid w:val="00F05E25"/>
    <w:rsid w:val="00F05EFE"/>
    <w:rsid w:val="00F05F53"/>
    <w:rsid w:val="00F05F83"/>
    <w:rsid w:val="00F060AD"/>
    <w:rsid w:val="00F06103"/>
    <w:rsid w:val="00F06128"/>
    <w:rsid w:val="00F06212"/>
    <w:rsid w:val="00F06244"/>
    <w:rsid w:val="00F066DA"/>
    <w:rsid w:val="00F06806"/>
    <w:rsid w:val="00F069C8"/>
    <w:rsid w:val="00F06A3C"/>
    <w:rsid w:val="00F06AF2"/>
    <w:rsid w:val="00F06AFB"/>
    <w:rsid w:val="00F06B1E"/>
    <w:rsid w:val="00F070C0"/>
    <w:rsid w:val="00F0710D"/>
    <w:rsid w:val="00F07514"/>
    <w:rsid w:val="00F07581"/>
    <w:rsid w:val="00F0760F"/>
    <w:rsid w:val="00F07682"/>
    <w:rsid w:val="00F07703"/>
    <w:rsid w:val="00F079E2"/>
    <w:rsid w:val="00F079FC"/>
    <w:rsid w:val="00F07B91"/>
    <w:rsid w:val="00F07D98"/>
    <w:rsid w:val="00F07E62"/>
    <w:rsid w:val="00F07EBB"/>
    <w:rsid w:val="00F07F14"/>
    <w:rsid w:val="00F07F2C"/>
    <w:rsid w:val="00F07F3F"/>
    <w:rsid w:val="00F100C1"/>
    <w:rsid w:val="00F10267"/>
    <w:rsid w:val="00F103A8"/>
    <w:rsid w:val="00F103D6"/>
    <w:rsid w:val="00F103EA"/>
    <w:rsid w:val="00F104BB"/>
    <w:rsid w:val="00F109EB"/>
    <w:rsid w:val="00F10C3B"/>
    <w:rsid w:val="00F10D54"/>
    <w:rsid w:val="00F10D69"/>
    <w:rsid w:val="00F10E51"/>
    <w:rsid w:val="00F10EEF"/>
    <w:rsid w:val="00F1106F"/>
    <w:rsid w:val="00F110DA"/>
    <w:rsid w:val="00F11112"/>
    <w:rsid w:val="00F112F5"/>
    <w:rsid w:val="00F11964"/>
    <w:rsid w:val="00F11B04"/>
    <w:rsid w:val="00F11BF2"/>
    <w:rsid w:val="00F11C2B"/>
    <w:rsid w:val="00F11CED"/>
    <w:rsid w:val="00F11E51"/>
    <w:rsid w:val="00F11E57"/>
    <w:rsid w:val="00F12231"/>
    <w:rsid w:val="00F12253"/>
    <w:rsid w:val="00F122AA"/>
    <w:rsid w:val="00F12392"/>
    <w:rsid w:val="00F1243F"/>
    <w:rsid w:val="00F124EB"/>
    <w:rsid w:val="00F125DD"/>
    <w:rsid w:val="00F1268F"/>
    <w:rsid w:val="00F12774"/>
    <w:rsid w:val="00F12AAE"/>
    <w:rsid w:val="00F12AF4"/>
    <w:rsid w:val="00F12B5B"/>
    <w:rsid w:val="00F12B8A"/>
    <w:rsid w:val="00F12C85"/>
    <w:rsid w:val="00F12D13"/>
    <w:rsid w:val="00F12D53"/>
    <w:rsid w:val="00F12E11"/>
    <w:rsid w:val="00F12EAC"/>
    <w:rsid w:val="00F13171"/>
    <w:rsid w:val="00F13187"/>
    <w:rsid w:val="00F131B4"/>
    <w:rsid w:val="00F13215"/>
    <w:rsid w:val="00F13250"/>
    <w:rsid w:val="00F13430"/>
    <w:rsid w:val="00F134A1"/>
    <w:rsid w:val="00F13881"/>
    <w:rsid w:val="00F13967"/>
    <w:rsid w:val="00F13B3A"/>
    <w:rsid w:val="00F13CE0"/>
    <w:rsid w:val="00F13D39"/>
    <w:rsid w:val="00F13D72"/>
    <w:rsid w:val="00F13DBC"/>
    <w:rsid w:val="00F13EEA"/>
    <w:rsid w:val="00F142E4"/>
    <w:rsid w:val="00F1434D"/>
    <w:rsid w:val="00F1460D"/>
    <w:rsid w:val="00F147F8"/>
    <w:rsid w:val="00F14802"/>
    <w:rsid w:val="00F148B4"/>
    <w:rsid w:val="00F14BC5"/>
    <w:rsid w:val="00F14DF9"/>
    <w:rsid w:val="00F14FD4"/>
    <w:rsid w:val="00F1501E"/>
    <w:rsid w:val="00F1567A"/>
    <w:rsid w:val="00F156B9"/>
    <w:rsid w:val="00F15705"/>
    <w:rsid w:val="00F1588A"/>
    <w:rsid w:val="00F1599B"/>
    <w:rsid w:val="00F15BAE"/>
    <w:rsid w:val="00F15D38"/>
    <w:rsid w:val="00F15E20"/>
    <w:rsid w:val="00F15FAE"/>
    <w:rsid w:val="00F16201"/>
    <w:rsid w:val="00F16270"/>
    <w:rsid w:val="00F16493"/>
    <w:rsid w:val="00F164DD"/>
    <w:rsid w:val="00F16628"/>
    <w:rsid w:val="00F16686"/>
    <w:rsid w:val="00F1686D"/>
    <w:rsid w:val="00F16A99"/>
    <w:rsid w:val="00F16BDF"/>
    <w:rsid w:val="00F16E5E"/>
    <w:rsid w:val="00F16FA1"/>
    <w:rsid w:val="00F1707D"/>
    <w:rsid w:val="00F17707"/>
    <w:rsid w:val="00F17754"/>
    <w:rsid w:val="00F17880"/>
    <w:rsid w:val="00F17A9B"/>
    <w:rsid w:val="00F17B33"/>
    <w:rsid w:val="00F17BF0"/>
    <w:rsid w:val="00F20031"/>
    <w:rsid w:val="00F2026D"/>
    <w:rsid w:val="00F20642"/>
    <w:rsid w:val="00F20699"/>
    <w:rsid w:val="00F20AF2"/>
    <w:rsid w:val="00F20D45"/>
    <w:rsid w:val="00F20D5C"/>
    <w:rsid w:val="00F20E64"/>
    <w:rsid w:val="00F20F52"/>
    <w:rsid w:val="00F20FC0"/>
    <w:rsid w:val="00F212FB"/>
    <w:rsid w:val="00F2130F"/>
    <w:rsid w:val="00F2136B"/>
    <w:rsid w:val="00F213B7"/>
    <w:rsid w:val="00F21412"/>
    <w:rsid w:val="00F21816"/>
    <w:rsid w:val="00F21B39"/>
    <w:rsid w:val="00F21B89"/>
    <w:rsid w:val="00F21C98"/>
    <w:rsid w:val="00F21CAC"/>
    <w:rsid w:val="00F21D23"/>
    <w:rsid w:val="00F21FB3"/>
    <w:rsid w:val="00F21FDA"/>
    <w:rsid w:val="00F22344"/>
    <w:rsid w:val="00F224B0"/>
    <w:rsid w:val="00F224D5"/>
    <w:rsid w:val="00F22612"/>
    <w:rsid w:val="00F2270F"/>
    <w:rsid w:val="00F2273B"/>
    <w:rsid w:val="00F22B00"/>
    <w:rsid w:val="00F22B3C"/>
    <w:rsid w:val="00F22C11"/>
    <w:rsid w:val="00F22EA0"/>
    <w:rsid w:val="00F22EA6"/>
    <w:rsid w:val="00F22F57"/>
    <w:rsid w:val="00F2325C"/>
    <w:rsid w:val="00F2328C"/>
    <w:rsid w:val="00F234E3"/>
    <w:rsid w:val="00F23589"/>
    <w:rsid w:val="00F23638"/>
    <w:rsid w:val="00F2363A"/>
    <w:rsid w:val="00F23684"/>
    <w:rsid w:val="00F23768"/>
    <w:rsid w:val="00F238EE"/>
    <w:rsid w:val="00F23995"/>
    <w:rsid w:val="00F23D80"/>
    <w:rsid w:val="00F23DAE"/>
    <w:rsid w:val="00F23ECA"/>
    <w:rsid w:val="00F242D9"/>
    <w:rsid w:val="00F24376"/>
    <w:rsid w:val="00F243DB"/>
    <w:rsid w:val="00F243DD"/>
    <w:rsid w:val="00F24403"/>
    <w:rsid w:val="00F24522"/>
    <w:rsid w:val="00F24625"/>
    <w:rsid w:val="00F24811"/>
    <w:rsid w:val="00F2483B"/>
    <w:rsid w:val="00F24A2F"/>
    <w:rsid w:val="00F24AEA"/>
    <w:rsid w:val="00F24C56"/>
    <w:rsid w:val="00F24D5A"/>
    <w:rsid w:val="00F24F58"/>
    <w:rsid w:val="00F24F92"/>
    <w:rsid w:val="00F24FC0"/>
    <w:rsid w:val="00F24FCB"/>
    <w:rsid w:val="00F250A4"/>
    <w:rsid w:val="00F250FC"/>
    <w:rsid w:val="00F25173"/>
    <w:rsid w:val="00F251F1"/>
    <w:rsid w:val="00F2566F"/>
    <w:rsid w:val="00F25676"/>
    <w:rsid w:val="00F257A7"/>
    <w:rsid w:val="00F257B8"/>
    <w:rsid w:val="00F2582E"/>
    <w:rsid w:val="00F258C3"/>
    <w:rsid w:val="00F25B88"/>
    <w:rsid w:val="00F25BE3"/>
    <w:rsid w:val="00F25C86"/>
    <w:rsid w:val="00F25CC7"/>
    <w:rsid w:val="00F25DF6"/>
    <w:rsid w:val="00F25FC8"/>
    <w:rsid w:val="00F26111"/>
    <w:rsid w:val="00F26249"/>
    <w:rsid w:val="00F2625F"/>
    <w:rsid w:val="00F262E8"/>
    <w:rsid w:val="00F2641A"/>
    <w:rsid w:val="00F26461"/>
    <w:rsid w:val="00F2647F"/>
    <w:rsid w:val="00F2658F"/>
    <w:rsid w:val="00F265D6"/>
    <w:rsid w:val="00F26739"/>
    <w:rsid w:val="00F2677F"/>
    <w:rsid w:val="00F26783"/>
    <w:rsid w:val="00F26B9C"/>
    <w:rsid w:val="00F26BF8"/>
    <w:rsid w:val="00F26E4A"/>
    <w:rsid w:val="00F26EE4"/>
    <w:rsid w:val="00F27018"/>
    <w:rsid w:val="00F272E9"/>
    <w:rsid w:val="00F273D3"/>
    <w:rsid w:val="00F2750B"/>
    <w:rsid w:val="00F27644"/>
    <w:rsid w:val="00F27809"/>
    <w:rsid w:val="00F27992"/>
    <w:rsid w:val="00F27C35"/>
    <w:rsid w:val="00F27C37"/>
    <w:rsid w:val="00F27C48"/>
    <w:rsid w:val="00F27E8C"/>
    <w:rsid w:val="00F27EC3"/>
    <w:rsid w:val="00F3013C"/>
    <w:rsid w:val="00F3027E"/>
    <w:rsid w:val="00F303F9"/>
    <w:rsid w:val="00F30499"/>
    <w:rsid w:val="00F30540"/>
    <w:rsid w:val="00F305BB"/>
    <w:rsid w:val="00F306E3"/>
    <w:rsid w:val="00F3072D"/>
    <w:rsid w:val="00F30B0E"/>
    <w:rsid w:val="00F30D17"/>
    <w:rsid w:val="00F3105B"/>
    <w:rsid w:val="00F3107A"/>
    <w:rsid w:val="00F31ED0"/>
    <w:rsid w:val="00F31F0C"/>
    <w:rsid w:val="00F31FE2"/>
    <w:rsid w:val="00F323D8"/>
    <w:rsid w:val="00F325C3"/>
    <w:rsid w:val="00F326C3"/>
    <w:rsid w:val="00F326E0"/>
    <w:rsid w:val="00F32731"/>
    <w:rsid w:val="00F327D1"/>
    <w:rsid w:val="00F32C0B"/>
    <w:rsid w:val="00F32CA6"/>
    <w:rsid w:val="00F32CB0"/>
    <w:rsid w:val="00F32EE2"/>
    <w:rsid w:val="00F32F77"/>
    <w:rsid w:val="00F32FE7"/>
    <w:rsid w:val="00F33117"/>
    <w:rsid w:val="00F33323"/>
    <w:rsid w:val="00F33351"/>
    <w:rsid w:val="00F33386"/>
    <w:rsid w:val="00F33514"/>
    <w:rsid w:val="00F33659"/>
    <w:rsid w:val="00F33847"/>
    <w:rsid w:val="00F3397C"/>
    <w:rsid w:val="00F33E02"/>
    <w:rsid w:val="00F33F59"/>
    <w:rsid w:val="00F34084"/>
    <w:rsid w:val="00F3411B"/>
    <w:rsid w:val="00F34305"/>
    <w:rsid w:val="00F34318"/>
    <w:rsid w:val="00F343CC"/>
    <w:rsid w:val="00F3448B"/>
    <w:rsid w:val="00F345D7"/>
    <w:rsid w:val="00F34649"/>
    <w:rsid w:val="00F3465E"/>
    <w:rsid w:val="00F34869"/>
    <w:rsid w:val="00F34893"/>
    <w:rsid w:val="00F349BF"/>
    <w:rsid w:val="00F34AC9"/>
    <w:rsid w:val="00F34BE9"/>
    <w:rsid w:val="00F34BF2"/>
    <w:rsid w:val="00F34BFB"/>
    <w:rsid w:val="00F34C59"/>
    <w:rsid w:val="00F34C7B"/>
    <w:rsid w:val="00F34E72"/>
    <w:rsid w:val="00F34EA2"/>
    <w:rsid w:val="00F3511A"/>
    <w:rsid w:val="00F352EE"/>
    <w:rsid w:val="00F3541E"/>
    <w:rsid w:val="00F35445"/>
    <w:rsid w:val="00F354DC"/>
    <w:rsid w:val="00F354FA"/>
    <w:rsid w:val="00F35599"/>
    <w:rsid w:val="00F35690"/>
    <w:rsid w:val="00F3569F"/>
    <w:rsid w:val="00F358A8"/>
    <w:rsid w:val="00F358AD"/>
    <w:rsid w:val="00F35992"/>
    <w:rsid w:val="00F35A28"/>
    <w:rsid w:val="00F35B67"/>
    <w:rsid w:val="00F35E71"/>
    <w:rsid w:val="00F35F45"/>
    <w:rsid w:val="00F36211"/>
    <w:rsid w:val="00F36235"/>
    <w:rsid w:val="00F36272"/>
    <w:rsid w:val="00F36333"/>
    <w:rsid w:val="00F36353"/>
    <w:rsid w:val="00F363DB"/>
    <w:rsid w:val="00F364FB"/>
    <w:rsid w:val="00F36545"/>
    <w:rsid w:val="00F36592"/>
    <w:rsid w:val="00F36621"/>
    <w:rsid w:val="00F36653"/>
    <w:rsid w:val="00F36656"/>
    <w:rsid w:val="00F3681C"/>
    <w:rsid w:val="00F36A7E"/>
    <w:rsid w:val="00F36A80"/>
    <w:rsid w:val="00F36E5F"/>
    <w:rsid w:val="00F36FEA"/>
    <w:rsid w:val="00F372BB"/>
    <w:rsid w:val="00F374E9"/>
    <w:rsid w:val="00F37550"/>
    <w:rsid w:val="00F37609"/>
    <w:rsid w:val="00F37709"/>
    <w:rsid w:val="00F3790F"/>
    <w:rsid w:val="00F37948"/>
    <w:rsid w:val="00F37A94"/>
    <w:rsid w:val="00F37D1E"/>
    <w:rsid w:val="00F37D5C"/>
    <w:rsid w:val="00F4006B"/>
    <w:rsid w:val="00F40138"/>
    <w:rsid w:val="00F40420"/>
    <w:rsid w:val="00F40441"/>
    <w:rsid w:val="00F4057D"/>
    <w:rsid w:val="00F4063A"/>
    <w:rsid w:val="00F40683"/>
    <w:rsid w:val="00F406A0"/>
    <w:rsid w:val="00F407BA"/>
    <w:rsid w:val="00F40D66"/>
    <w:rsid w:val="00F4100E"/>
    <w:rsid w:val="00F41042"/>
    <w:rsid w:val="00F411AE"/>
    <w:rsid w:val="00F412BB"/>
    <w:rsid w:val="00F413B1"/>
    <w:rsid w:val="00F419C7"/>
    <w:rsid w:val="00F41E5E"/>
    <w:rsid w:val="00F42059"/>
    <w:rsid w:val="00F420A0"/>
    <w:rsid w:val="00F421A8"/>
    <w:rsid w:val="00F423BB"/>
    <w:rsid w:val="00F4244B"/>
    <w:rsid w:val="00F42475"/>
    <w:rsid w:val="00F42491"/>
    <w:rsid w:val="00F4252C"/>
    <w:rsid w:val="00F427CE"/>
    <w:rsid w:val="00F429FC"/>
    <w:rsid w:val="00F42CA9"/>
    <w:rsid w:val="00F42E3E"/>
    <w:rsid w:val="00F43092"/>
    <w:rsid w:val="00F430F1"/>
    <w:rsid w:val="00F43760"/>
    <w:rsid w:val="00F43886"/>
    <w:rsid w:val="00F43915"/>
    <w:rsid w:val="00F4394F"/>
    <w:rsid w:val="00F43A6E"/>
    <w:rsid w:val="00F43B60"/>
    <w:rsid w:val="00F43C2F"/>
    <w:rsid w:val="00F43D8C"/>
    <w:rsid w:val="00F44044"/>
    <w:rsid w:val="00F44186"/>
    <w:rsid w:val="00F443AF"/>
    <w:rsid w:val="00F445D6"/>
    <w:rsid w:val="00F448CE"/>
    <w:rsid w:val="00F44B4E"/>
    <w:rsid w:val="00F44C77"/>
    <w:rsid w:val="00F44D0E"/>
    <w:rsid w:val="00F44DD6"/>
    <w:rsid w:val="00F44E09"/>
    <w:rsid w:val="00F44E5E"/>
    <w:rsid w:val="00F44F39"/>
    <w:rsid w:val="00F44F41"/>
    <w:rsid w:val="00F44FD9"/>
    <w:rsid w:val="00F4502A"/>
    <w:rsid w:val="00F4516C"/>
    <w:rsid w:val="00F45224"/>
    <w:rsid w:val="00F45255"/>
    <w:rsid w:val="00F453EE"/>
    <w:rsid w:val="00F4549D"/>
    <w:rsid w:val="00F456C9"/>
    <w:rsid w:val="00F45790"/>
    <w:rsid w:val="00F457A0"/>
    <w:rsid w:val="00F457FD"/>
    <w:rsid w:val="00F45A52"/>
    <w:rsid w:val="00F45AE2"/>
    <w:rsid w:val="00F45E62"/>
    <w:rsid w:val="00F46111"/>
    <w:rsid w:val="00F46198"/>
    <w:rsid w:val="00F461E2"/>
    <w:rsid w:val="00F4629E"/>
    <w:rsid w:val="00F4644E"/>
    <w:rsid w:val="00F46649"/>
    <w:rsid w:val="00F46774"/>
    <w:rsid w:val="00F469F7"/>
    <w:rsid w:val="00F46A15"/>
    <w:rsid w:val="00F46A6F"/>
    <w:rsid w:val="00F46E96"/>
    <w:rsid w:val="00F46F30"/>
    <w:rsid w:val="00F46F52"/>
    <w:rsid w:val="00F470BF"/>
    <w:rsid w:val="00F472F0"/>
    <w:rsid w:val="00F47400"/>
    <w:rsid w:val="00F4747E"/>
    <w:rsid w:val="00F47575"/>
    <w:rsid w:val="00F475B3"/>
    <w:rsid w:val="00F479D9"/>
    <w:rsid w:val="00F479E2"/>
    <w:rsid w:val="00F47CCA"/>
    <w:rsid w:val="00F47E94"/>
    <w:rsid w:val="00F5046F"/>
    <w:rsid w:val="00F504A7"/>
    <w:rsid w:val="00F50557"/>
    <w:rsid w:val="00F50736"/>
    <w:rsid w:val="00F507E1"/>
    <w:rsid w:val="00F50AC7"/>
    <w:rsid w:val="00F50CD7"/>
    <w:rsid w:val="00F50EB9"/>
    <w:rsid w:val="00F50EDF"/>
    <w:rsid w:val="00F5144D"/>
    <w:rsid w:val="00F516E9"/>
    <w:rsid w:val="00F51C20"/>
    <w:rsid w:val="00F51E4E"/>
    <w:rsid w:val="00F5209E"/>
    <w:rsid w:val="00F52281"/>
    <w:rsid w:val="00F5229E"/>
    <w:rsid w:val="00F522AC"/>
    <w:rsid w:val="00F52621"/>
    <w:rsid w:val="00F52781"/>
    <w:rsid w:val="00F52805"/>
    <w:rsid w:val="00F52967"/>
    <w:rsid w:val="00F5296E"/>
    <w:rsid w:val="00F52985"/>
    <w:rsid w:val="00F52C04"/>
    <w:rsid w:val="00F52C51"/>
    <w:rsid w:val="00F52CB1"/>
    <w:rsid w:val="00F52D47"/>
    <w:rsid w:val="00F52EC5"/>
    <w:rsid w:val="00F52FC7"/>
    <w:rsid w:val="00F53021"/>
    <w:rsid w:val="00F53049"/>
    <w:rsid w:val="00F53070"/>
    <w:rsid w:val="00F53141"/>
    <w:rsid w:val="00F53443"/>
    <w:rsid w:val="00F53546"/>
    <w:rsid w:val="00F53609"/>
    <w:rsid w:val="00F5360E"/>
    <w:rsid w:val="00F5369B"/>
    <w:rsid w:val="00F53716"/>
    <w:rsid w:val="00F53810"/>
    <w:rsid w:val="00F53881"/>
    <w:rsid w:val="00F538D4"/>
    <w:rsid w:val="00F53A44"/>
    <w:rsid w:val="00F53CD8"/>
    <w:rsid w:val="00F53F69"/>
    <w:rsid w:val="00F53FCE"/>
    <w:rsid w:val="00F54001"/>
    <w:rsid w:val="00F54287"/>
    <w:rsid w:val="00F54351"/>
    <w:rsid w:val="00F54731"/>
    <w:rsid w:val="00F5473B"/>
    <w:rsid w:val="00F54871"/>
    <w:rsid w:val="00F54A2C"/>
    <w:rsid w:val="00F54C1F"/>
    <w:rsid w:val="00F54DE2"/>
    <w:rsid w:val="00F54EE5"/>
    <w:rsid w:val="00F54F64"/>
    <w:rsid w:val="00F54FD3"/>
    <w:rsid w:val="00F551A1"/>
    <w:rsid w:val="00F5528F"/>
    <w:rsid w:val="00F55364"/>
    <w:rsid w:val="00F5550D"/>
    <w:rsid w:val="00F55898"/>
    <w:rsid w:val="00F558B4"/>
    <w:rsid w:val="00F5599B"/>
    <w:rsid w:val="00F55BAB"/>
    <w:rsid w:val="00F56050"/>
    <w:rsid w:val="00F56079"/>
    <w:rsid w:val="00F56140"/>
    <w:rsid w:val="00F56185"/>
    <w:rsid w:val="00F5631F"/>
    <w:rsid w:val="00F564C7"/>
    <w:rsid w:val="00F5653B"/>
    <w:rsid w:val="00F565D0"/>
    <w:rsid w:val="00F565E5"/>
    <w:rsid w:val="00F5669A"/>
    <w:rsid w:val="00F566F7"/>
    <w:rsid w:val="00F56759"/>
    <w:rsid w:val="00F56909"/>
    <w:rsid w:val="00F56953"/>
    <w:rsid w:val="00F569C1"/>
    <w:rsid w:val="00F56A47"/>
    <w:rsid w:val="00F56B09"/>
    <w:rsid w:val="00F56C4D"/>
    <w:rsid w:val="00F56DCD"/>
    <w:rsid w:val="00F56ED9"/>
    <w:rsid w:val="00F5701C"/>
    <w:rsid w:val="00F57187"/>
    <w:rsid w:val="00F571F6"/>
    <w:rsid w:val="00F57202"/>
    <w:rsid w:val="00F57383"/>
    <w:rsid w:val="00F57388"/>
    <w:rsid w:val="00F573EA"/>
    <w:rsid w:val="00F57420"/>
    <w:rsid w:val="00F574B9"/>
    <w:rsid w:val="00F575CD"/>
    <w:rsid w:val="00F576AE"/>
    <w:rsid w:val="00F57771"/>
    <w:rsid w:val="00F577E8"/>
    <w:rsid w:val="00F578D5"/>
    <w:rsid w:val="00F57A70"/>
    <w:rsid w:val="00F57D30"/>
    <w:rsid w:val="00F57F75"/>
    <w:rsid w:val="00F57FE3"/>
    <w:rsid w:val="00F6006A"/>
    <w:rsid w:val="00F60246"/>
    <w:rsid w:val="00F60279"/>
    <w:rsid w:val="00F6029A"/>
    <w:rsid w:val="00F60386"/>
    <w:rsid w:val="00F604A6"/>
    <w:rsid w:val="00F605B6"/>
    <w:rsid w:val="00F605D4"/>
    <w:rsid w:val="00F6090A"/>
    <w:rsid w:val="00F60AF0"/>
    <w:rsid w:val="00F60B3D"/>
    <w:rsid w:val="00F60BBD"/>
    <w:rsid w:val="00F60BC8"/>
    <w:rsid w:val="00F60C0C"/>
    <w:rsid w:val="00F60C22"/>
    <w:rsid w:val="00F60E2D"/>
    <w:rsid w:val="00F60E3D"/>
    <w:rsid w:val="00F60E68"/>
    <w:rsid w:val="00F60F10"/>
    <w:rsid w:val="00F60F1B"/>
    <w:rsid w:val="00F60F3A"/>
    <w:rsid w:val="00F60F8C"/>
    <w:rsid w:val="00F6103A"/>
    <w:rsid w:val="00F61083"/>
    <w:rsid w:val="00F61125"/>
    <w:rsid w:val="00F61149"/>
    <w:rsid w:val="00F6120E"/>
    <w:rsid w:val="00F6122E"/>
    <w:rsid w:val="00F61332"/>
    <w:rsid w:val="00F61389"/>
    <w:rsid w:val="00F6138A"/>
    <w:rsid w:val="00F6151A"/>
    <w:rsid w:val="00F61558"/>
    <w:rsid w:val="00F61763"/>
    <w:rsid w:val="00F61AA3"/>
    <w:rsid w:val="00F61B21"/>
    <w:rsid w:val="00F61C21"/>
    <w:rsid w:val="00F61DE9"/>
    <w:rsid w:val="00F61E63"/>
    <w:rsid w:val="00F62009"/>
    <w:rsid w:val="00F62260"/>
    <w:rsid w:val="00F62331"/>
    <w:rsid w:val="00F623D5"/>
    <w:rsid w:val="00F625D4"/>
    <w:rsid w:val="00F6264D"/>
    <w:rsid w:val="00F62662"/>
    <w:rsid w:val="00F62816"/>
    <w:rsid w:val="00F62836"/>
    <w:rsid w:val="00F62A00"/>
    <w:rsid w:val="00F62B7A"/>
    <w:rsid w:val="00F62C61"/>
    <w:rsid w:val="00F62DA4"/>
    <w:rsid w:val="00F62E47"/>
    <w:rsid w:val="00F62ED4"/>
    <w:rsid w:val="00F62F3B"/>
    <w:rsid w:val="00F62FC8"/>
    <w:rsid w:val="00F6307C"/>
    <w:rsid w:val="00F63175"/>
    <w:rsid w:val="00F6326F"/>
    <w:rsid w:val="00F63271"/>
    <w:rsid w:val="00F63411"/>
    <w:rsid w:val="00F63460"/>
    <w:rsid w:val="00F6349E"/>
    <w:rsid w:val="00F634FD"/>
    <w:rsid w:val="00F635B5"/>
    <w:rsid w:val="00F6385C"/>
    <w:rsid w:val="00F638E6"/>
    <w:rsid w:val="00F639F4"/>
    <w:rsid w:val="00F63A98"/>
    <w:rsid w:val="00F63BB8"/>
    <w:rsid w:val="00F63CDE"/>
    <w:rsid w:val="00F63D15"/>
    <w:rsid w:val="00F63DFA"/>
    <w:rsid w:val="00F64184"/>
    <w:rsid w:val="00F64379"/>
    <w:rsid w:val="00F6441B"/>
    <w:rsid w:val="00F6459A"/>
    <w:rsid w:val="00F646AD"/>
    <w:rsid w:val="00F646D7"/>
    <w:rsid w:val="00F64721"/>
    <w:rsid w:val="00F6496F"/>
    <w:rsid w:val="00F64A08"/>
    <w:rsid w:val="00F64AEA"/>
    <w:rsid w:val="00F64B47"/>
    <w:rsid w:val="00F64BFE"/>
    <w:rsid w:val="00F64C83"/>
    <w:rsid w:val="00F64E29"/>
    <w:rsid w:val="00F64FCA"/>
    <w:rsid w:val="00F64FE3"/>
    <w:rsid w:val="00F65004"/>
    <w:rsid w:val="00F65132"/>
    <w:rsid w:val="00F653AF"/>
    <w:rsid w:val="00F653F8"/>
    <w:rsid w:val="00F654C8"/>
    <w:rsid w:val="00F65582"/>
    <w:rsid w:val="00F65675"/>
    <w:rsid w:val="00F658FD"/>
    <w:rsid w:val="00F6594E"/>
    <w:rsid w:val="00F65A13"/>
    <w:rsid w:val="00F65C22"/>
    <w:rsid w:val="00F66207"/>
    <w:rsid w:val="00F662BF"/>
    <w:rsid w:val="00F663E6"/>
    <w:rsid w:val="00F6641C"/>
    <w:rsid w:val="00F666A1"/>
    <w:rsid w:val="00F6671B"/>
    <w:rsid w:val="00F6673C"/>
    <w:rsid w:val="00F6675D"/>
    <w:rsid w:val="00F66895"/>
    <w:rsid w:val="00F668B5"/>
    <w:rsid w:val="00F66980"/>
    <w:rsid w:val="00F669D4"/>
    <w:rsid w:val="00F66D32"/>
    <w:rsid w:val="00F66DE0"/>
    <w:rsid w:val="00F66ED7"/>
    <w:rsid w:val="00F67045"/>
    <w:rsid w:val="00F6705B"/>
    <w:rsid w:val="00F67094"/>
    <w:rsid w:val="00F670B1"/>
    <w:rsid w:val="00F671AF"/>
    <w:rsid w:val="00F6733D"/>
    <w:rsid w:val="00F673D8"/>
    <w:rsid w:val="00F67454"/>
    <w:rsid w:val="00F674B3"/>
    <w:rsid w:val="00F6756B"/>
    <w:rsid w:val="00F67623"/>
    <w:rsid w:val="00F6792D"/>
    <w:rsid w:val="00F67987"/>
    <w:rsid w:val="00F679CC"/>
    <w:rsid w:val="00F67B9C"/>
    <w:rsid w:val="00F67C26"/>
    <w:rsid w:val="00F67CE6"/>
    <w:rsid w:val="00F67D5E"/>
    <w:rsid w:val="00F67E39"/>
    <w:rsid w:val="00F67E9D"/>
    <w:rsid w:val="00F67F17"/>
    <w:rsid w:val="00F67F96"/>
    <w:rsid w:val="00F7017D"/>
    <w:rsid w:val="00F701E1"/>
    <w:rsid w:val="00F707C5"/>
    <w:rsid w:val="00F7083F"/>
    <w:rsid w:val="00F708CB"/>
    <w:rsid w:val="00F709B8"/>
    <w:rsid w:val="00F70AF6"/>
    <w:rsid w:val="00F70CDB"/>
    <w:rsid w:val="00F70F70"/>
    <w:rsid w:val="00F71159"/>
    <w:rsid w:val="00F71170"/>
    <w:rsid w:val="00F71195"/>
    <w:rsid w:val="00F71200"/>
    <w:rsid w:val="00F7124E"/>
    <w:rsid w:val="00F71273"/>
    <w:rsid w:val="00F712D3"/>
    <w:rsid w:val="00F712DB"/>
    <w:rsid w:val="00F71342"/>
    <w:rsid w:val="00F71377"/>
    <w:rsid w:val="00F71560"/>
    <w:rsid w:val="00F715D0"/>
    <w:rsid w:val="00F715D4"/>
    <w:rsid w:val="00F71663"/>
    <w:rsid w:val="00F716DF"/>
    <w:rsid w:val="00F718B4"/>
    <w:rsid w:val="00F7193C"/>
    <w:rsid w:val="00F719F2"/>
    <w:rsid w:val="00F71B36"/>
    <w:rsid w:val="00F71B49"/>
    <w:rsid w:val="00F71B66"/>
    <w:rsid w:val="00F71BAC"/>
    <w:rsid w:val="00F71C34"/>
    <w:rsid w:val="00F71D4B"/>
    <w:rsid w:val="00F71F70"/>
    <w:rsid w:val="00F71F86"/>
    <w:rsid w:val="00F721B5"/>
    <w:rsid w:val="00F7232A"/>
    <w:rsid w:val="00F72504"/>
    <w:rsid w:val="00F7284A"/>
    <w:rsid w:val="00F728D8"/>
    <w:rsid w:val="00F72927"/>
    <w:rsid w:val="00F7292E"/>
    <w:rsid w:val="00F729E7"/>
    <w:rsid w:val="00F72F23"/>
    <w:rsid w:val="00F730C3"/>
    <w:rsid w:val="00F7317C"/>
    <w:rsid w:val="00F733AC"/>
    <w:rsid w:val="00F733E0"/>
    <w:rsid w:val="00F733E8"/>
    <w:rsid w:val="00F73438"/>
    <w:rsid w:val="00F73587"/>
    <w:rsid w:val="00F73757"/>
    <w:rsid w:val="00F737A8"/>
    <w:rsid w:val="00F738AC"/>
    <w:rsid w:val="00F738CD"/>
    <w:rsid w:val="00F73C8F"/>
    <w:rsid w:val="00F73CC2"/>
    <w:rsid w:val="00F73D22"/>
    <w:rsid w:val="00F73D37"/>
    <w:rsid w:val="00F73E94"/>
    <w:rsid w:val="00F73FB1"/>
    <w:rsid w:val="00F7401D"/>
    <w:rsid w:val="00F741D7"/>
    <w:rsid w:val="00F74209"/>
    <w:rsid w:val="00F742CE"/>
    <w:rsid w:val="00F742F5"/>
    <w:rsid w:val="00F744B3"/>
    <w:rsid w:val="00F74674"/>
    <w:rsid w:val="00F74677"/>
    <w:rsid w:val="00F746FA"/>
    <w:rsid w:val="00F74A6F"/>
    <w:rsid w:val="00F74AA5"/>
    <w:rsid w:val="00F74AEA"/>
    <w:rsid w:val="00F74BC2"/>
    <w:rsid w:val="00F74CA1"/>
    <w:rsid w:val="00F74D06"/>
    <w:rsid w:val="00F74F22"/>
    <w:rsid w:val="00F7518E"/>
    <w:rsid w:val="00F752FD"/>
    <w:rsid w:val="00F7559E"/>
    <w:rsid w:val="00F7560D"/>
    <w:rsid w:val="00F75656"/>
    <w:rsid w:val="00F75694"/>
    <w:rsid w:val="00F7579E"/>
    <w:rsid w:val="00F757AB"/>
    <w:rsid w:val="00F7592D"/>
    <w:rsid w:val="00F75B1E"/>
    <w:rsid w:val="00F75C26"/>
    <w:rsid w:val="00F75C97"/>
    <w:rsid w:val="00F75CD0"/>
    <w:rsid w:val="00F75E6D"/>
    <w:rsid w:val="00F75E7E"/>
    <w:rsid w:val="00F75EDF"/>
    <w:rsid w:val="00F75F5C"/>
    <w:rsid w:val="00F76154"/>
    <w:rsid w:val="00F7621D"/>
    <w:rsid w:val="00F763E9"/>
    <w:rsid w:val="00F7646D"/>
    <w:rsid w:val="00F76575"/>
    <w:rsid w:val="00F767E4"/>
    <w:rsid w:val="00F76A1C"/>
    <w:rsid w:val="00F76A67"/>
    <w:rsid w:val="00F76C56"/>
    <w:rsid w:val="00F76D4D"/>
    <w:rsid w:val="00F76D83"/>
    <w:rsid w:val="00F76D9D"/>
    <w:rsid w:val="00F76DBC"/>
    <w:rsid w:val="00F76E03"/>
    <w:rsid w:val="00F76E42"/>
    <w:rsid w:val="00F7720B"/>
    <w:rsid w:val="00F77254"/>
    <w:rsid w:val="00F7732C"/>
    <w:rsid w:val="00F77362"/>
    <w:rsid w:val="00F77419"/>
    <w:rsid w:val="00F774A2"/>
    <w:rsid w:val="00F774B0"/>
    <w:rsid w:val="00F776D0"/>
    <w:rsid w:val="00F77F51"/>
    <w:rsid w:val="00F77F59"/>
    <w:rsid w:val="00F80019"/>
    <w:rsid w:val="00F80066"/>
    <w:rsid w:val="00F801DB"/>
    <w:rsid w:val="00F8062E"/>
    <w:rsid w:val="00F80815"/>
    <w:rsid w:val="00F808D8"/>
    <w:rsid w:val="00F808EE"/>
    <w:rsid w:val="00F80930"/>
    <w:rsid w:val="00F80B10"/>
    <w:rsid w:val="00F80BBC"/>
    <w:rsid w:val="00F80F10"/>
    <w:rsid w:val="00F810D7"/>
    <w:rsid w:val="00F810F7"/>
    <w:rsid w:val="00F81107"/>
    <w:rsid w:val="00F81117"/>
    <w:rsid w:val="00F81183"/>
    <w:rsid w:val="00F8160E"/>
    <w:rsid w:val="00F816C5"/>
    <w:rsid w:val="00F81826"/>
    <w:rsid w:val="00F81B19"/>
    <w:rsid w:val="00F81B23"/>
    <w:rsid w:val="00F81D01"/>
    <w:rsid w:val="00F81D0F"/>
    <w:rsid w:val="00F81D24"/>
    <w:rsid w:val="00F82266"/>
    <w:rsid w:val="00F8233E"/>
    <w:rsid w:val="00F8236B"/>
    <w:rsid w:val="00F8277D"/>
    <w:rsid w:val="00F82A68"/>
    <w:rsid w:val="00F82B43"/>
    <w:rsid w:val="00F82C54"/>
    <w:rsid w:val="00F82C59"/>
    <w:rsid w:val="00F82DFD"/>
    <w:rsid w:val="00F82F34"/>
    <w:rsid w:val="00F82F8A"/>
    <w:rsid w:val="00F830A4"/>
    <w:rsid w:val="00F831D1"/>
    <w:rsid w:val="00F831F6"/>
    <w:rsid w:val="00F83382"/>
    <w:rsid w:val="00F833ED"/>
    <w:rsid w:val="00F835CB"/>
    <w:rsid w:val="00F83699"/>
    <w:rsid w:val="00F836DB"/>
    <w:rsid w:val="00F8375C"/>
    <w:rsid w:val="00F83820"/>
    <w:rsid w:val="00F838AA"/>
    <w:rsid w:val="00F83B2D"/>
    <w:rsid w:val="00F8405C"/>
    <w:rsid w:val="00F84084"/>
    <w:rsid w:val="00F840BA"/>
    <w:rsid w:val="00F84242"/>
    <w:rsid w:val="00F842BC"/>
    <w:rsid w:val="00F84515"/>
    <w:rsid w:val="00F8455F"/>
    <w:rsid w:val="00F846A2"/>
    <w:rsid w:val="00F846E6"/>
    <w:rsid w:val="00F8482D"/>
    <w:rsid w:val="00F8484D"/>
    <w:rsid w:val="00F848B3"/>
    <w:rsid w:val="00F84968"/>
    <w:rsid w:val="00F84979"/>
    <w:rsid w:val="00F84A51"/>
    <w:rsid w:val="00F84AED"/>
    <w:rsid w:val="00F84B8D"/>
    <w:rsid w:val="00F84C41"/>
    <w:rsid w:val="00F84D66"/>
    <w:rsid w:val="00F84D8C"/>
    <w:rsid w:val="00F8557F"/>
    <w:rsid w:val="00F857BD"/>
    <w:rsid w:val="00F857CA"/>
    <w:rsid w:val="00F85965"/>
    <w:rsid w:val="00F85988"/>
    <w:rsid w:val="00F85D07"/>
    <w:rsid w:val="00F85DB8"/>
    <w:rsid w:val="00F863F6"/>
    <w:rsid w:val="00F86417"/>
    <w:rsid w:val="00F8656F"/>
    <w:rsid w:val="00F86660"/>
    <w:rsid w:val="00F866A2"/>
    <w:rsid w:val="00F868F2"/>
    <w:rsid w:val="00F86902"/>
    <w:rsid w:val="00F8691E"/>
    <w:rsid w:val="00F86BBA"/>
    <w:rsid w:val="00F86C5D"/>
    <w:rsid w:val="00F86DDD"/>
    <w:rsid w:val="00F86F72"/>
    <w:rsid w:val="00F86F94"/>
    <w:rsid w:val="00F870D2"/>
    <w:rsid w:val="00F871C9"/>
    <w:rsid w:val="00F874ED"/>
    <w:rsid w:val="00F875CC"/>
    <w:rsid w:val="00F87797"/>
    <w:rsid w:val="00F8785E"/>
    <w:rsid w:val="00F878CA"/>
    <w:rsid w:val="00F87981"/>
    <w:rsid w:val="00F87F1F"/>
    <w:rsid w:val="00F87F32"/>
    <w:rsid w:val="00F87F83"/>
    <w:rsid w:val="00F90711"/>
    <w:rsid w:val="00F907CF"/>
    <w:rsid w:val="00F908D8"/>
    <w:rsid w:val="00F90BB9"/>
    <w:rsid w:val="00F90E51"/>
    <w:rsid w:val="00F91048"/>
    <w:rsid w:val="00F91255"/>
    <w:rsid w:val="00F9143A"/>
    <w:rsid w:val="00F9155A"/>
    <w:rsid w:val="00F916F1"/>
    <w:rsid w:val="00F9175E"/>
    <w:rsid w:val="00F91961"/>
    <w:rsid w:val="00F919A2"/>
    <w:rsid w:val="00F91A47"/>
    <w:rsid w:val="00F91BD2"/>
    <w:rsid w:val="00F91D5F"/>
    <w:rsid w:val="00F91E5B"/>
    <w:rsid w:val="00F92069"/>
    <w:rsid w:val="00F92100"/>
    <w:rsid w:val="00F92264"/>
    <w:rsid w:val="00F925CB"/>
    <w:rsid w:val="00F9288F"/>
    <w:rsid w:val="00F929C2"/>
    <w:rsid w:val="00F92C66"/>
    <w:rsid w:val="00F92DD2"/>
    <w:rsid w:val="00F92DE6"/>
    <w:rsid w:val="00F92F03"/>
    <w:rsid w:val="00F931BD"/>
    <w:rsid w:val="00F93263"/>
    <w:rsid w:val="00F932C9"/>
    <w:rsid w:val="00F932CF"/>
    <w:rsid w:val="00F934BB"/>
    <w:rsid w:val="00F934EA"/>
    <w:rsid w:val="00F935D4"/>
    <w:rsid w:val="00F93703"/>
    <w:rsid w:val="00F93772"/>
    <w:rsid w:val="00F937FC"/>
    <w:rsid w:val="00F93842"/>
    <w:rsid w:val="00F93948"/>
    <w:rsid w:val="00F93A41"/>
    <w:rsid w:val="00F93B05"/>
    <w:rsid w:val="00F93C79"/>
    <w:rsid w:val="00F93CFA"/>
    <w:rsid w:val="00F93D9A"/>
    <w:rsid w:val="00F93F32"/>
    <w:rsid w:val="00F93FC2"/>
    <w:rsid w:val="00F94253"/>
    <w:rsid w:val="00F9425A"/>
    <w:rsid w:val="00F94793"/>
    <w:rsid w:val="00F947F2"/>
    <w:rsid w:val="00F948EF"/>
    <w:rsid w:val="00F94931"/>
    <w:rsid w:val="00F94A71"/>
    <w:rsid w:val="00F94D09"/>
    <w:rsid w:val="00F94F0F"/>
    <w:rsid w:val="00F952D1"/>
    <w:rsid w:val="00F956E7"/>
    <w:rsid w:val="00F957F7"/>
    <w:rsid w:val="00F95922"/>
    <w:rsid w:val="00F9599B"/>
    <w:rsid w:val="00F95A64"/>
    <w:rsid w:val="00F95AC0"/>
    <w:rsid w:val="00F95C81"/>
    <w:rsid w:val="00F95D25"/>
    <w:rsid w:val="00F95FEF"/>
    <w:rsid w:val="00F96175"/>
    <w:rsid w:val="00F961CB"/>
    <w:rsid w:val="00F9628B"/>
    <w:rsid w:val="00F96361"/>
    <w:rsid w:val="00F964E7"/>
    <w:rsid w:val="00F965C8"/>
    <w:rsid w:val="00F96863"/>
    <w:rsid w:val="00F9693C"/>
    <w:rsid w:val="00F969EA"/>
    <w:rsid w:val="00F96D5B"/>
    <w:rsid w:val="00F96D9F"/>
    <w:rsid w:val="00F96DAA"/>
    <w:rsid w:val="00F96F7E"/>
    <w:rsid w:val="00F970D1"/>
    <w:rsid w:val="00F97171"/>
    <w:rsid w:val="00F97176"/>
    <w:rsid w:val="00F971E5"/>
    <w:rsid w:val="00F97AFB"/>
    <w:rsid w:val="00F97AFE"/>
    <w:rsid w:val="00F97B70"/>
    <w:rsid w:val="00F97C21"/>
    <w:rsid w:val="00F97CAE"/>
    <w:rsid w:val="00F97D63"/>
    <w:rsid w:val="00F97D65"/>
    <w:rsid w:val="00FA00B4"/>
    <w:rsid w:val="00FA03A1"/>
    <w:rsid w:val="00FA0524"/>
    <w:rsid w:val="00FA0632"/>
    <w:rsid w:val="00FA068F"/>
    <w:rsid w:val="00FA0753"/>
    <w:rsid w:val="00FA07E0"/>
    <w:rsid w:val="00FA08F9"/>
    <w:rsid w:val="00FA0A37"/>
    <w:rsid w:val="00FA0ADD"/>
    <w:rsid w:val="00FA0CD1"/>
    <w:rsid w:val="00FA0E02"/>
    <w:rsid w:val="00FA0EC8"/>
    <w:rsid w:val="00FA0F0E"/>
    <w:rsid w:val="00FA0FC7"/>
    <w:rsid w:val="00FA1288"/>
    <w:rsid w:val="00FA1299"/>
    <w:rsid w:val="00FA1395"/>
    <w:rsid w:val="00FA16C7"/>
    <w:rsid w:val="00FA171F"/>
    <w:rsid w:val="00FA1799"/>
    <w:rsid w:val="00FA18EB"/>
    <w:rsid w:val="00FA1A60"/>
    <w:rsid w:val="00FA1E58"/>
    <w:rsid w:val="00FA1EAE"/>
    <w:rsid w:val="00FA20B0"/>
    <w:rsid w:val="00FA2447"/>
    <w:rsid w:val="00FA25EE"/>
    <w:rsid w:val="00FA2759"/>
    <w:rsid w:val="00FA277E"/>
    <w:rsid w:val="00FA2A07"/>
    <w:rsid w:val="00FA2B56"/>
    <w:rsid w:val="00FA2BE9"/>
    <w:rsid w:val="00FA2DB4"/>
    <w:rsid w:val="00FA2DC5"/>
    <w:rsid w:val="00FA2E63"/>
    <w:rsid w:val="00FA2FD4"/>
    <w:rsid w:val="00FA30CA"/>
    <w:rsid w:val="00FA3136"/>
    <w:rsid w:val="00FA32F1"/>
    <w:rsid w:val="00FA334E"/>
    <w:rsid w:val="00FA3382"/>
    <w:rsid w:val="00FA345F"/>
    <w:rsid w:val="00FA3702"/>
    <w:rsid w:val="00FA3725"/>
    <w:rsid w:val="00FA3887"/>
    <w:rsid w:val="00FA3895"/>
    <w:rsid w:val="00FA3907"/>
    <w:rsid w:val="00FA39A3"/>
    <w:rsid w:val="00FA3A58"/>
    <w:rsid w:val="00FA3A66"/>
    <w:rsid w:val="00FA3A8F"/>
    <w:rsid w:val="00FA3E1D"/>
    <w:rsid w:val="00FA3EAA"/>
    <w:rsid w:val="00FA3EC1"/>
    <w:rsid w:val="00FA40A4"/>
    <w:rsid w:val="00FA4216"/>
    <w:rsid w:val="00FA429F"/>
    <w:rsid w:val="00FA4357"/>
    <w:rsid w:val="00FA442A"/>
    <w:rsid w:val="00FA4516"/>
    <w:rsid w:val="00FA47B0"/>
    <w:rsid w:val="00FA4845"/>
    <w:rsid w:val="00FA4964"/>
    <w:rsid w:val="00FA4A3F"/>
    <w:rsid w:val="00FA4B02"/>
    <w:rsid w:val="00FA4BFE"/>
    <w:rsid w:val="00FA4C2B"/>
    <w:rsid w:val="00FA50B6"/>
    <w:rsid w:val="00FA51C8"/>
    <w:rsid w:val="00FA5249"/>
    <w:rsid w:val="00FA5343"/>
    <w:rsid w:val="00FA54D6"/>
    <w:rsid w:val="00FA5510"/>
    <w:rsid w:val="00FA556A"/>
    <w:rsid w:val="00FA5614"/>
    <w:rsid w:val="00FA56B6"/>
    <w:rsid w:val="00FA56C3"/>
    <w:rsid w:val="00FA5778"/>
    <w:rsid w:val="00FA5ADF"/>
    <w:rsid w:val="00FA5BC5"/>
    <w:rsid w:val="00FA6235"/>
    <w:rsid w:val="00FA62B3"/>
    <w:rsid w:val="00FA62F2"/>
    <w:rsid w:val="00FA6322"/>
    <w:rsid w:val="00FA6333"/>
    <w:rsid w:val="00FA647D"/>
    <w:rsid w:val="00FA656D"/>
    <w:rsid w:val="00FA6738"/>
    <w:rsid w:val="00FA675C"/>
    <w:rsid w:val="00FA67AA"/>
    <w:rsid w:val="00FA6808"/>
    <w:rsid w:val="00FA696C"/>
    <w:rsid w:val="00FA6A52"/>
    <w:rsid w:val="00FA6B90"/>
    <w:rsid w:val="00FA6C7C"/>
    <w:rsid w:val="00FA6ED6"/>
    <w:rsid w:val="00FA71A9"/>
    <w:rsid w:val="00FA730A"/>
    <w:rsid w:val="00FA77F9"/>
    <w:rsid w:val="00FA79C1"/>
    <w:rsid w:val="00FA7AD3"/>
    <w:rsid w:val="00FA7C85"/>
    <w:rsid w:val="00FA7D9A"/>
    <w:rsid w:val="00FA7E0F"/>
    <w:rsid w:val="00FB0258"/>
    <w:rsid w:val="00FB02E2"/>
    <w:rsid w:val="00FB0407"/>
    <w:rsid w:val="00FB0ACE"/>
    <w:rsid w:val="00FB0E19"/>
    <w:rsid w:val="00FB0E68"/>
    <w:rsid w:val="00FB138E"/>
    <w:rsid w:val="00FB13BE"/>
    <w:rsid w:val="00FB13D0"/>
    <w:rsid w:val="00FB14D8"/>
    <w:rsid w:val="00FB1608"/>
    <w:rsid w:val="00FB17C1"/>
    <w:rsid w:val="00FB1BA8"/>
    <w:rsid w:val="00FB1CF1"/>
    <w:rsid w:val="00FB1D36"/>
    <w:rsid w:val="00FB1D7A"/>
    <w:rsid w:val="00FB2003"/>
    <w:rsid w:val="00FB21F7"/>
    <w:rsid w:val="00FB23AC"/>
    <w:rsid w:val="00FB246C"/>
    <w:rsid w:val="00FB2613"/>
    <w:rsid w:val="00FB2647"/>
    <w:rsid w:val="00FB2709"/>
    <w:rsid w:val="00FB27E4"/>
    <w:rsid w:val="00FB28D0"/>
    <w:rsid w:val="00FB29B9"/>
    <w:rsid w:val="00FB2C33"/>
    <w:rsid w:val="00FB2D0F"/>
    <w:rsid w:val="00FB2DE9"/>
    <w:rsid w:val="00FB3065"/>
    <w:rsid w:val="00FB30BA"/>
    <w:rsid w:val="00FB3335"/>
    <w:rsid w:val="00FB398C"/>
    <w:rsid w:val="00FB3BFE"/>
    <w:rsid w:val="00FB3F20"/>
    <w:rsid w:val="00FB40BE"/>
    <w:rsid w:val="00FB41AB"/>
    <w:rsid w:val="00FB4241"/>
    <w:rsid w:val="00FB444A"/>
    <w:rsid w:val="00FB4508"/>
    <w:rsid w:val="00FB45BF"/>
    <w:rsid w:val="00FB4646"/>
    <w:rsid w:val="00FB4876"/>
    <w:rsid w:val="00FB488A"/>
    <w:rsid w:val="00FB4ABB"/>
    <w:rsid w:val="00FB4BA1"/>
    <w:rsid w:val="00FB4BA2"/>
    <w:rsid w:val="00FB4BB0"/>
    <w:rsid w:val="00FB4D15"/>
    <w:rsid w:val="00FB4D41"/>
    <w:rsid w:val="00FB4E3D"/>
    <w:rsid w:val="00FB4E42"/>
    <w:rsid w:val="00FB4E85"/>
    <w:rsid w:val="00FB4EAD"/>
    <w:rsid w:val="00FB4FB0"/>
    <w:rsid w:val="00FB50DF"/>
    <w:rsid w:val="00FB5224"/>
    <w:rsid w:val="00FB5320"/>
    <w:rsid w:val="00FB5416"/>
    <w:rsid w:val="00FB5638"/>
    <w:rsid w:val="00FB573B"/>
    <w:rsid w:val="00FB574F"/>
    <w:rsid w:val="00FB58A6"/>
    <w:rsid w:val="00FB5C62"/>
    <w:rsid w:val="00FB5EC7"/>
    <w:rsid w:val="00FB5ED4"/>
    <w:rsid w:val="00FB60F6"/>
    <w:rsid w:val="00FB63BC"/>
    <w:rsid w:val="00FB64BD"/>
    <w:rsid w:val="00FB65A1"/>
    <w:rsid w:val="00FB6631"/>
    <w:rsid w:val="00FB66DE"/>
    <w:rsid w:val="00FB6BA9"/>
    <w:rsid w:val="00FB6BBB"/>
    <w:rsid w:val="00FB6D89"/>
    <w:rsid w:val="00FB6D8B"/>
    <w:rsid w:val="00FB6E1F"/>
    <w:rsid w:val="00FB713C"/>
    <w:rsid w:val="00FB71A6"/>
    <w:rsid w:val="00FB721B"/>
    <w:rsid w:val="00FB7337"/>
    <w:rsid w:val="00FB7350"/>
    <w:rsid w:val="00FB7424"/>
    <w:rsid w:val="00FB750C"/>
    <w:rsid w:val="00FB755B"/>
    <w:rsid w:val="00FB75DA"/>
    <w:rsid w:val="00FB77D4"/>
    <w:rsid w:val="00FB7956"/>
    <w:rsid w:val="00FB7A7E"/>
    <w:rsid w:val="00FB7B15"/>
    <w:rsid w:val="00FB7D79"/>
    <w:rsid w:val="00FB7DB3"/>
    <w:rsid w:val="00FB7DD8"/>
    <w:rsid w:val="00FB7E9B"/>
    <w:rsid w:val="00FB7EA3"/>
    <w:rsid w:val="00FB7ED4"/>
    <w:rsid w:val="00FB7EF6"/>
    <w:rsid w:val="00FB7F21"/>
    <w:rsid w:val="00FC0115"/>
    <w:rsid w:val="00FC01FE"/>
    <w:rsid w:val="00FC0244"/>
    <w:rsid w:val="00FC0388"/>
    <w:rsid w:val="00FC04BD"/>
    <w:rsid w:val="00FC0650"/>
    <w:rsid w:val="00FC074E"/>
    <w:rsid w:val="00FC0929"/>
    <w:rsid w:val="00FC0B10"/>
    <w:rsid w:val="00FC0B1C"/>
    <w:rsid w:val="00FC0B8E"/>
    <w:rsid w:val="00FC0C30"/>
    <w:rsid w:val="00FC0CAA"/>
    <w:rsid w:val="00FC0D0B"/>
    <w:rsid w:val="00FC0D86"/>
    <w:rsid w:val="00FC0D91"/>
    <w:rsid w:val="00FC0DE0"/>
    <w:rsid w:val="00FC14B4"/>
    <w:rsid w:val="00FC154E"/>
    <w:rsid w:val="00FC15A7"/>
    <w:rsid w:val="00FC15C4"/>
    <w:rsid w:val="00FC1748"/>
    <w:rsid w:val="00FC18F7"/>
    <w:rsid w:val="00FC1AB9"/>
    <w:rsid w:val="00FC1ABA"/>
    <w:rsid w:val="00FC1B40"/>
    <w:rsid w:val="00FC1C26"/>
    <w:rsid w:val="00FC1C67"/>
    <w:rsid w:val="00FC1D00"/>
    <w:rsid w:val="00FC1FCE"/>
    <w:rsid w:val="00FC203C"/>
    <w:rsid w:val="00FC21B2"/>
    <w:rsid w:val="00FC21B8"/>
    <w:rsid w:val="00FC21BA"/>
    <w:rsid w:val="00FC21E3"/>
    <w:rsid w:val="00FC2201"/>
    <w:rsid w:val="00FC22C1"/>
    <w:rsid w:val="00FC23B5"/>
    <w:rsid w:val="00FC23C5"/>
    <w:rsid w:val="00FC251F"/>
    <w:rsid w:val="00FC258E"/>
    <w:rsid w:val="00FC27ED"/>
    <w:rsid w:val="00FC27EF"/>
    <w:rsid w:val="00FC2883"/>
    <w:rsid w:val="00FC2944"/>
    <w:rsid w:val="00FC2BB6"/>
    <w:rsid w:val="00FC2BE4"/>
    <w:rsid w:val="00FC2C83"/>
    <w:rsid w:val="00FC2DE6"/>
    <w:rsid w:val="00FC2E97"/>
    <w:rsid w:val="00FC2ECA"/>
    <w:rsid w:val="00FC308D"/>
    <w:rsid w:val="00FC31D6"/>
    <w:rsid w:val="00FC31FA"/>
    <w:rsid w:val="00FC3213"/>
    <w:rsid w:val="00FC3292"/>
    <w:rsid w:val="00FC33B7"/>
    <w:rsid w:val="00FC3468"/>
    <w:rsid w:val="00FC34E6"/>
    <w:rsid w:val="00FC3512"/>
    <w:rsid w:val="00FC353D"/>
    <w:rsid w:val="00FC3637"/>
    <w:rsid w:val="00FC385D"/>
    <w:rsid w:val="00FC386F"/>
    <w:rsid w:val="00FC389B"/>
    <w:rsid w:val="00FC3938"/>
    <w:rsid w:val="00FC3A8C"/>
    <w:rsid w:val="00FC3B3D"/>
    <w:rsid w:val="00FC3CDD"/>
    <w:rsid w:val="00FC3ED0"/>
    <w:rsid w:val="00FC4336"/>
    <w:rsid w:val="00FC4414"/>
    <w:rsid w:val="00FC4428"/>
    <w:rsid w:val="00FC44D3"/>
    <w:rsid w:val="00FC45C6"/>
    <w:rsid w:val="00FC46AA"/>
    <w:rsid w:val="00FC46F6"/>
    <w:rsid w:val="00FC47B7"/>
    <w:rsid w:val="00FC480B"/>
    <w:rsid w:val="00FC48AF"/>
    <w:rsid w:val="00FC4901"/>
    <w:rsid w:val="00FC497E"/>
    <w:rsid w:val="00FC4CBB"/>
    <w:rsid w:val="00FC4D55"/>
    <w:rsid w:val="00FC4D83"/>
    <w:rsid w:val="00FC4D8D"/>
    <w:rsid w:val="00FC4D9B"/>
    <w:rsid w:val="00FC4E3C"/>
    <w:rsid w:val="00FC5018"/>
    <w:rsid w:val="00FC5261"/>
    <w:rsid w:val="00FC5367"/>
    <w:rsid w:val="00FC5371"/>
    <w:rsid w:val="00FC5500"/>
    <w:rsid w:val="00FC551E"/>
    <w:rsid w:val="00FC55CE"/>
    <w:rsid w:val="00FC5831"/>
    <w:rsid w:val="00FC5834"/>
    <w:rsid w:val="00FC5997"/>
    <w:rsid w:val="00FC5AA1"/>
    <w:rsid w:val="00FC5B3F"/>
    <w:rsid w:val="00FC5C9A"/>
    <w:rsid w:val="00FC5DE5"/>
    <w:rsid w:val="00FC5ECD"/>
    <w:rsid w:val="00FC5F45"/>
    <w:rsid w:val="00FC60CA"/>
    <w:rsid w:val="00FC60E3"/>
    <w:rsid w:val="00FC61D5"/>
    <w:rsid w:val="00FC63B1"/>
    <w:rsid w:val="00FC63E3"/>
    <w:rsid w:val="00FC646D"/>
    <w:rsid w:val="00FC64AE"/>
    <w:rsid w:val="00FC6617"/>
    <w:rsid w:val="00FC6712"/>
    <w:rsid w:val="00FC67EB"/>
    <w:rsid w:val="00FC6911"/>
    <w:rsid w:val="00FC6914"/>
    <w:rsid w:val="00FC6A9D"/>
    <w:rsid w:val="00FC6AE9"/>
    <w:rsid w:val="00FC6D3A"/>
    <w:rsid w:val="00FC6D3E"/>
    <w:rsid w:val="00FC6DF7"/>
    <w:rsid w:val="00FC6F04"/>
    <w:rsid w:val="00FC6FB9"/>
    <w:rsid w:val="00FC6FBA"/>
    <w:rsid w:val="00FC70BE"/>
    <w:rsid w:val="00FC7167"/>
    <w:rsid w:val="00FC71B3"/>
    <w:rsid w:val="00FC7485"/>
    <w:rsid w:val="00FC74E1"/>
    <w:rsid w:val="00FC75C8"/>
    <w:rsid w:val="00FC7603"/>
    <w:rsid w:val="00FC78BE"/>
    <w:rsid w:val="00FC79B7"/>
    <w:rsid w:val="00FC79BB"/>
    <w:rsid w:val="00FC79DC"/>
    <w:rsid w:val="00FC79E0"/>
    <w:rsid w:val="00FC7C3B"/>
    <w:rsid w:val="00FC7FA8"/>
    <w:rsid w:val="00FD0034"/>
    <w:rsid w:val="00FD005A"/>
    <w:rsid w:val="00FD0179"/>
    <w:rsid w:val="00FD02BC"/>
    <w:rsid w:val="00FD0399"/>
    <w:rsid w:val="00FD046A"/>
    <w:rsid w:val="00FD04C0"/>
    <w:rsid w:val="00FD050E"/>
    <w:rsid w:val="00FD056A"/>
    <w:rsid w:val="00FD08DC"/>
    <w:rsid w:val="00FD0948"/>
    <w:rsid w:val="00FD09DB"/>
    <w:rsid w:val="00FD0C6E"/>
    <w:rsid w:val="00FD0CB5"/>
    <w:rsid w:val="00FD0EB4"/>
    <w:rsid w:val="00FD0F05"/>
    <w:rsid w:val="00FD0F65"/>
    <w:rsid w:val="00FD124B"/>
    <w:rsid w:val="00FD124C"/>
    <w:rsid w:val="00FD12CB"/>
    <w:rsid w:val="00FD1352"/>
    <w:rsid w:val="00FD136B"/>
    <w:rsid w:val="00FD142F"/>
    <w:rsid w:val="00FD1435"/>
    <w:rsid w:val="00FD14F2"/>
    <w:rsid w:val="00FD1849"/>
    <w:rsid w:val="00FD1950"/>
    <w:rsid w:val="00FD19D4"/>
    <w:rsid w:val="00FD1C0A"/>
    <w:rsid w:val="00FD1CAC"/>
    <w:rsid w:val="00FD1D5B"/>
    <w:rsid w:val="00FD1E85"/>
    <w:rsid w:val="00FD1E8A"/>
    <w:rsid w:val="00FD2343"/>
    <w:rsid w:val="00FD243A"/>
    <w:rsid w:val="00FD2688"/>
    <w:rsid w:val="00FD26CD"/>
    <w:rsid w:val="00FD2737"/>
    <w:rsid w:val="00FD2787"/>
    <w:rsid w:val="00FD2795"/>
    <w:rsid w:val="00FD2A48"/>
    <w:rsid w:val="00FD2ADE"/>
    <w:rsid w:val="00FD2AF1"/>
    <w:rsid w:val="00FD2C03"/>
    <w:rsid w:val="00FD2C34"/>
    <w:rsid w:val="00FD2C8C"/>
    <w:rsid w:val="00FD2CBD"/>
    <w:rsid w:val="00FD2DA8"/>
    <w:rsid w:val="00FD2DC6"/>
    <w:rsid w:val="00FD2FAA"/>
    <w:rsid w:val="00FD3047"/>
    <w:rsid w:val="00FD311E"/>
    <w:rsid w:val="00FD3264"/>
    <w:rsid w:val="00FD3292"/>
    <w:rsid w:val="00FD3327"/>
    <w:rsid w:val="00FD347E"/>
    <w:rsid w:val="00FD3543"/>
    <w:rsid w:val="00FD367A"/>
    <w:rsid w:val="00FD3728"/>
    <w:rsid w:val="00FD3802"/>
    <w:rsid w:val="00FD3807"/>
    <w:rsid w:val="00FD3B3A"/>
    <w:rsid w:val="00FD3B6C"/>
    <w:rsid w:val="00FD3C58"/>
    <w:rsid w:val="00FD3CBA"/>
    <w:rsid w:val="00FD3DF9"/>
    <w:rsid w:val="00FD3E8A"/>
    <w:rsid w:val="00FD3FD6"/>
    <w:rsid w:val="00FD4001"/>
    <w:rsid w:val="00FD406C"/>
    <w:rsid w:val="00FD407A"/>
    <w:rsid w:val="00FD427B"/>
    <w:rsid w:val="00FD431B"/>
    <w:rsid w:val="00FD43B4"/>
    <w:rsid w:val="00FD43D1"/>
    <w:rsid w:val="00FD485A"/>
    <w:rsid w:val="00FD4932"/>
    <w:rsid w:val="00FD49B8"/>
    <w:rsid w:val="00FD4B48"/>
    <w:rsid w:val="00FD4BB1"/>
    <w:rsid w:val="00FD4BB9"/>
    <w:rsid w:val="00FD4DE1"/>
    <w:rsid w:val="00FD4F69"/>
    <w:rsid w:val="00FD4F77"/>
    <w:rsid w:val="00FD5134"/>
    <w:rsid w:val="00FD53DA"/>
    <w:rsid w:val="00FD546B"/>
    <w:rsid w:val="00FD5551"/>
    <w:rsid w:val="00FD55E8"/>
    <w:rsid w:val="00FD57CB"/>
    <w:rsid w:val="00FD58F7"/>
    <w:rsid w:val="00FD5B1A"/>
    <w:rsid w:val="00FD5B44"/>
    <w:rsid w:val="00FD5C41"/>
    <w:rsid w:val="00FD5C4D"/>
    <w:rsid w:val="00FD60CA"/>
    <w:rsid w:val="00FD6220"/>
    <w:rsid w:val="00FD6322"/>
    <w:rsid w:val="00FD63D4"/>
    <w:rsid w:val="00FD641F"/>
    <w:rsid w:val="00FD6521"/>
    <w:rsid w:val="00FD6758"/>
    <w:rsid w:val="00FD67F5"/>
    <w:rsid w:val="00FD6872"/>
    <w:rsid w:val="00FD6978"/>
    <w:rsid w:val="00FD69FC"/>
    <w:rsid w:val="00FD6C91"/>
    <w:rsid w:val="00FD6E39"/>
    <w:rsid w:val="00FD6EA8"/>
    <w:rsid w:val="00FD6F83"/>
    <w:rsid w:val="00FD6FF9"/>
    <w:rsid w:val="00FD7215"/>
    <w:rsid w:val="00FD721F"/>
    <w:rsid w:val="00FD7291"/>
    <w:rsid w:val="00FD7427"/>
    <w:rsid w:val="00FD7434"/>
    <w:rsid w:val="00FD7517"/>
    <w:rsid w:val="00FD7688"/>
    <w:rsid w:val="00FD7773"/>
    <w:rsid w:val="00FD7934"/>
    <w:rsid w:val="00FD7963"/>
    <w:rsid w:val="00FD79E5"/>
    <w:rsid w:val="00FD7B49"/>
    <w:rsid w:val="00FD7B54"/>
    <w:rsid w:val="00FD7C45"/>
    <w:rsid w:val="00FD7CDB"/>
    <w:rsid w:val="00FD7DB8"/>
    <w:rsid w:val="00FD7F11"/>
    <w:rsid w:val="00FD7F50"/>
    <w:rsid w:val="00FE0152"/>
    <w:rsid w:val="00FE0213"/>
    <w:rsid w:val="00FE0286"/>
    <w:rsid w:val="00FE02D8"/>
    <w:rsid w:val="00FE0477"/>
    <w:rsid w:val="00FE054D"/>
    <w:rsid w:val="00FE0768"/>
    <w:rsid w:val="00FE0972"/>
    <w:rsid w:val="00FE0993"/>
    <w:rsid w:val="00FE0B2A"/>
    <w:rsid w:val="00FE0C1D"/>
    <w:rsid w:val="00FE0DD8"/>
    <w:rsid w:val="00FE117E"/>
    <w:rsid w:val="00FE1212"/>
    <w:rsid w:val="00FE124F"/>
    <w:rsid w:val="00FE156E"/>
    <w:rsid w:val="00FE15DD"/>
    <w:rsid w:val="00FE19B1"/>
    <w:rsid w:val="00FE19BA"/>
    <w:rsid w:val="00FE1A82"/>
    <w:rsid w:val="00FE1C87"/>
    <w:rsid w:val="00FE1D30"/>
    <w:rsid w:val="00FE2000"/>
    <w:rsid w:val="00FE23A7"/>
    <w:rsid w:val="00FE2413"/>
    <w:rsid w:val="00FE24EA"/>
    <w:rsid w:val="00FE2519"/>
    <w:rsid w:val="00FE252C"/>
    <w:rsid w:val="00FE259B"/>
    <w:rsid w:val="00FE25F7"/>
    <w:rsid w:val="00FE2747"/>
    <w:rsid w:val="00FE2862"/>
    <w:rsid w:val="00FE2A95"/>
    <w:rsid w:val="00FE2DAE"/>
    <w:rsid w:val="00FE2E39"/>
    <w:rsid w:val="00FE2E40"/>
    <w:rsid w:val="00FE2E46"/>
    <w:rsid w:val="00FE2F26"/>
    <w:rsid w:val="00FE311F"/>
    <w:rsid w:val="00FE3125"/>
    <w:rsid w:val="00FE32F3"/>
    <w:rsid w:val="00FE3474"/>
    <w:rsid w:val="00FE350A"/>
    <w:rsid w:val="00FE353A"/>
    <w:rsid w:val="00FE363B"/>
    <w:rsid w:val="00FE366D"/>
    <w:rsid w:val="00FE3937"/>
    <w:rsid w:val="00FE3AFB"/>
    <w:rsid w:val="00FE3D34"/>
    <w:rsid w:val="00FE3D6E"/>
    <w:rsid w:val="00FE417A"/>
    <w:rsid w:val="00FE41DE"/>
    <w:rsid w:val="00FE42A7"/>
    <w:rsid w:val="00FE451F"/>
    <w:rsid w:val="00FE47B0"/>
    <w:rsid w:val="00FE48DA"/>
    <w:rsid w:val="00FE4961"/>
    <w:rsid w:val="00FE4AAF"/>
    <w:rsid w:val="00FE4C7E"/>
    <w:rsid w:val="00FE4CA8"/>
    <w:rsid w:val="00FE4D6C"/>
    <w:rsid w:val="00FE4D9D"/>
    <w:rsid w:val="00FE4F88"/>
    <w:rsid w:val="00FE5060"/>
    <w:rsid w:val="00FE508B"/>
    <w:rsid w:val="00FE50A3"/>
    <w:rsid w:val="00FE5105"/>
    <w:rsid w:val="00FE5145"/>
    <w:rsid w:val="00FE5232"/>
    <w:rsid w:val="00FE527B"/>
    <w:rsid w:val="00FE52C9"/>
    <w:rsid w:val="00FE5301"/>
    <w:rsid w:val="00FE5420"/>
    <w:rsid w:val="00FE5543"/>
    <w:rsid w:val="00FE5683"/>
    <w:rsid w:val="00FE577E"/>
    <w:rsid w:val="00FE583D"/>
    <w:rsid w:val="00FE58F0"/>
    <w:rsid w:val="00FE5AE5"/>
    <w:rsid w:val="00FE5B2C"/>
    <w:rsid w:val="00FE5B8F"/>
    <w:rsid w:val="00FE5B9E"/>
    <w:rsid w:val="00FE5E4A"/>
    <w:rsid w:val="00FE6144"/>
    <w:rsid w:val="00FE63FC"/>
    <w:rsid w:val="00FE6457"/>
    <w:rsid w:val="00FE69E6"/>
    <w:rsid w:val="00FE6A4D"/>
    <w:rsid w:val="00FE6B8A"/>
    <w:rsid w:val="00FE6CBE"/>
    <w:rsid w:val="00FE6CDA"/>
    <w:rsid w:val="00FE6FF3"/>
    <w:rsid w:val="00FE726C"/>
    <w:rsid w:val="00FE72C1"/>
    <w:rsid w:val="00FE743C"/>
    <w:rsid w:val="00FE748E"/>
    <w:rsid w:val="00FE74BD"/>
    <w:rsid w:val="00FE77C1"/>
    <w:rsid w:val="00FE782D"/>
    <w:rsid w:val="00FE7868"/>
    <w:rsid w:val="00FE7BF5"/>
    <w:rsid w:val="00FE7C74"/>
    <w:rsid w:val="00FE7D10"/>
    <w:rsid w:val="00FE7E4D"/>
    <w:rsid w:val="00FE7EE4"/>
    <w:rsid w:val="00FF0163"/>
    <w:rsid w:val="00FF026A"/>
    <w:rsid w:val="00FF02B0"/>
    <w:rsid w:val="00FF0455"/>
    <w:rsid w:val="00FF064C"/>
    <w:rsid w:val="00FF0882"/>
    <w:rsid w:val="00FF08F1"/>
    <w:rsid w:val="00FF092A"/>
    <w:rsid w:val="00FF0943"/>
    <w:rsid w:val="00FF0B92"/>
    <w:rsid w:val="00FF0BE6"/>
    <w:rsid w:val="00FF0D5F"/>
    <w:rsid w:val="00FF0DD7"/>
    <w:rsid w:val="00FF0DFD"/>
    <w:rsid w:val="00FF0E0A"/>
    <w:rsid w:val="00FF0E1F"/>
    <w:rsid w:val="00FF0E7C"/>
    <w:rsid w:val="00FF0F04"/>
    <w:rsid w:val="00FF0FFA"/>
    <w:rsid w:val="00FF111D"/>
    <w:rsid w:val="00FF1166"/>
    <w:rsid w:val="00FF1180"/>
    <w:rsid w:val="00FF12F9"/>
    <w:rsid w:val="00FF14A1"/>
    <w:rsid w:val="00FF1649"/>
    <w:rsid w:val="00FF166D"/>
    <w:rsid w:val="00FF16FE"/>
    <w:rsid w:val="00FF17FE"/>
    <w:rsid w:val="00FF18B8"/>
    <w:rsid w:val="00FF18C2"/>
    <w:rsid w:val="00FF1946"/>
    <w:rsid w:val="00FF197F"/>
    <w:rsid w:val="00FF1A5C"/>
    <w:rsid w:val="00FF1D4A"/>
    <w:rsid w:val="00FF1F67"/>
    <w:rsid w:val="00FF201C"/>
    <w:rsid w:val="00FF21A5"/>
    <w:rsid w:val="00FF2210"/>
    <w:rsid w:val="00FF2242"/>
    <w:rsid w:val="00FF224D"/>
    <w:rsid w:val="00FF23B7"/>
    <w:rsid w:val="00FF25B0"/>
    <w:rsid w:val="00FF2749"/>
    <w:rsid w:val="00FF293A"/>
    <w:rsid w:val="00FF296E"/>
    <w:rsid w:val="00FF2F00"/>
    <w:rsid w:val="00FF30E0"/>
    <w:rsid w:val="00FF3111"/>
    <w:rsid w:val="00FF3163"/>
    <w:rsid w:val="00FF326A"/>
    <w:rsid w:val="00FF32D8"/>
    <w:rsid w:val="00FF3598"/>
    <w:rsid w:val="00FF3895"/>
    <w:rsid w:val="00FF39B9"/>
    <w:rsid w:val="00FF3A3C"/>
    <w:rsid w:val="00FF3A87"/>
    <w:rsid w:val="00FF3AAF"/>
    <w:rsid w:val="00FF3DC9"/>
    <w:rsid w:val="00FF3DF8"/>
    <w:rsid w:val="00FF3E3E"/>
    <w:rsid w:val="00FF3E4F"/>
    <w:rsid w:val="00FF40AE"/>
    <w:rsid w:val="00FF4138"/>
    <w:rsid w:val="00FF42E3"/>
    <w:rsid w:val="00FF42FF"/>
    <w:rsid w:val="00FF4405"/>
    <w:rsid w:val="00FF440A"/>
    <w:rsid w:val="00FF446E"/>
    <w:rsid w:val="00FF47B0"/>
    <w:rsid w:val="00FF4823"/>
    <w:rsid w:val="00FF489E"/>
    <w:rsid w:val="00FF492F"/>
    <w:rsid w:val="00FF49B7"/>
    <w:rsid w:val="00FF49F7"/>
    <w:rsid w:val="00FF4ECD"/>
    <w:rsid w:val="00FF4FC5"/>
    <w:rsid w:val="00FF508C"/>
    <w:rsid w:val="00FF50EA"/>
    <w:rsid w:val="00FF5132"/>
    <w:rsid w:val="00FF5135"/>
    <w:rsid w:val="00FF52E9"/>
    <w:rsid w:val="00FF5343"/>
    <w:rsid w:val="00FF5481"/>
    <w:rsid w:val="00FF553A"/>
    <w:rsid w:val="00FF57BA"/>
    <w:rsid w:val="00FF5805"/>
    <w:rsid w:val="00FF5858"/>
    <w:rsid w:val="00FF5BB9"/>
    <w:rsid w:val="00FF5C4B"/>
    <w:rsid w:val="00FF5E9C"/>
    <w:rsid w:val="00FF5F19"/>
    <w:rsid w:val="00FF60A6"/>
    <w:rsid w:val="00FF60B2"/>
    <w:rsid w:val="00FF63E5"/>
    <w:rsid w:val="00FF65E8"/>
    <w:rsid w:val="00FF6646"/>
    <w:rsid w:val="00FF66E2"/>
    <w:rsid w:val="00FF6787"/>
    <w:rsid w:val="00FF6960"/>
    <w:rsid w:val="00FF6ACA"/>
    <w:rsid w:val="00FF6C23"/>
    <w:rsid w:val="00FF6C7E"/>
    <w:rsid w:val="00FF6D32"/>
    <w:rsid w:val="00FF6E8C"/>
    <w:rsid w:val="00FF6F52"/>
    <w:rsid w:val="00FF71F7"/>
    <w:rsid w:val="00FF7498"/>
    <w:rsid w:val="00FF7601"/>
    <w:rsid w:val="00FF760B"/>
    <w:rsid w:val="00FF79AD"/>
    <w:rsid w:val="00FF79D4"/>
    <w:rsid w:val="00FF7C19"/>
    <w:rsid w:val="00FF7E00"/>
    <w:rsid w:val="00FF7F9A"/>
    <w:rsid w:val="00FF7FAA"/>
    <w:rsid w:val="00FF7FE3"/>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473"/>
    <o:shapelayout v:ext="edit">
      <o:idmap v:ext="edit" data="2"/>
    </o:shapelayout>
  </w:shapeDefaults>
  <w:decimalSymbol w:val=","/>
  <w:listSeparator w:val=","/>
  <w14:docId w14:val="759995D6"/>
  <w15:docId w15:val="{4E63D157-926E-481D-8290-D4D44AD1004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Batang"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qFormat="1"/>
    <w:lsdException w:name="index 4" w:qFormat="1"/>
    <w:lsdException w:name="index 5" w:qFormat="1"/>
    <w:lsdException w:name="index 6" w:qFormat="1"/>
    <w:lsdException w:name="index 7" w:qFormat="1"/>
    <w:lsdException w:name="index 8" w:qFormat="1"/>
    <w:lsdException w:name="index 9"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uiPriority="99" w:qFormat="1"/>
    <w:lsdException w:name="footnote text" w:qFormat="1"/>
    <w:lsdException w:name="annotation text" w:qFormat="1"/>
    <w:lsdException w:name="header" w:uiPriority="99" w:qFormat="1"/>
    <w:lsdException w:name="footer" w:qFormat="1"/>
    <w:lsdException w:name="index heading" w:qFormat="1"/>
    <w:lsdException w:name="caption" w:uiPriority="99" w:qFormat="1"/>
    <w:lsdException w:name="table of figures" w:uiPriority="99" w:qFormat="1"/>
    <w:lsdException w:name="envelope address" w:qFormat="1"/>
    <w:lsdException w:name="envelope return" w:qFormat="1"/>
    <w:lsdException w:name="footnote reference" w:qFormat="1"/>
    <w:lsdException w:name="annotation reference" w:qFormat="1"/>
    <w:lsdException w:name="page number" w:qFormat="1"/>
    <w:lsdException w:name="endnote text" w:qFormat="1"/>
    <w:lsdException w:name="table of authorities" w:qFormat="1"/>
    <w:lsdException w:name="macro" w:qFormat="1"/>
    <w:lsdException w:name="toa heading" w:qFormat="1"/>
    <w:lsdException w:name="List" w:qFormat="1"/>
    <w:lsdException w:name="List Bullet" w:uiPriority="99" w:qFormat="1"/>
    <w:lsdException w:name="List Number" w:qFormat="1"/>
    <w:lsdException w:name="List 2" w:qFormat="1"/>
    <w:lsdException w:name="List 3" w:uiPriority="99"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Closing" w:qFormat="1"/>
    <w:lsdException w:name="Signature" w:qFormat="1"/>
    <w:lsdException w:name="Body Text" w:qFormat="1"/>
    <w:lsdException w:name="Body Text Indent" w:qFormat="1"/>
    <w:lsdException w:name="List Continue" w:qFormat="1"/>
    <w:lsdException w:name="List Continue 2" w:qFormat="1"/>
    <w:lsdException w:name="List Continue 3" w:qFormat="1"/>
    <w:lsdException w:name="List Continue 4" w:qFormat="1"/>
    <w:lsdException w:name="List Continue 5" w:qFormat="1"/>
    <w:lsdException w:name="Message Header" w:qFormat="1"/>
    <w:lsdException w:name="Subtitle" w:qFormat="1"/>
    <w:lsdException w:name="Salutation" w:qFormat="1"/>
    <w:lsdException w:name="Date" w:qFormat="1"/>
    <w:lsdException w:name="Body Text First Indent 2"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uiPriority="99" w:qFormat="1"/>
    <w:lsdException w:name="FollowedHyperlink" w:qFormat="1"/>
    <w:lsdException w:name="Strong" w:uiPriority="22" w:qFormat="1"/>
    <w:lsdException w:name="Emphasis" w:uiPriority="20" w:qFormat="1"/>
    <w:lsdException w:name="Document Map" w:qFormat="1"/>
    <w:lsdException w:name="Plain Text" w:uiPriority="99" w:qFormat="1"/>
    <w:lsdException w:name="E-mail Signature" w:qFormat="1"/>
    <w:lsdException w:name="HTML Top of Form" w:uiPriority="99"/>
    <w:lsdException w:name="HTML Bottom of Form" w:uiPriority="99"/>
    <w:lsdException w:name="Normal (Web)" w:uiPriority="99" w:qFormat="1"/>
    <w:lsdException w:name="HTML Address" w:qFormat="1"/>
    <w:lsdException w:name="HTML Code" w:uiPriority="99" w:qFormat="1"/>
    <w:lsdException w:name="HTML Preformatted" w:semiHidden="1" w:uiPriority="99" w:unhideWhenUsed="1" w:qFormat="1"/>
    <w:lsdException w:name="HTML Typewriter" w:semiHidden="1" w:unhideWhenUsed="1"/>
    <w:lsdException w:name="Normal Table" w:semiHidden="1" w:unhideWhenUsed="1"/>
    <w:lsdException w:name="annotation subject" w:qFormat="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qFormat="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59"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34" w:qFormat="1"/>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qFormat="1"/>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71305"/>
    <w:rPr>
      <w:rFonts w:ascii="Times" w:hAnsi="Times"/>
      <w:szCs w:val="24"/>
      <w:lang w:eastAsia="en-US"/>
    </w:rPr>
  </w:style>
  <w:style w:type="paragraph" w:styleId="Heading1">
    <w:name w:val="heading 1"/>
    <w:aliases w:val="NMP Heading 1,H1,h11,h12,h13,h14,h15,h16,app heading 1,l1,Memo Heading 1,Heading 1_a,heading 1,h17,h111,h121,h131,h141,h151,h161,h18,h112,h122,h132,h142,h152,h162,h19,h113,h123,h133,h143,h153,h163,Heading 1 Char,Alt+1,Alt+11,Alt+12,Alt+13,标题 1"/>
    <w:basedOn w:val="Normal"/>
    <w:next w:val="Normal"/>
    <w:link w:val="Heading1Char1"/>
    <w:qFormat/>
    <w:rsid w:val="0089225B"/>
    <w:pPr>
      <w:keepNext/>
      <w:numPr>
        <w:numId w:val="3"/>
      </w:numPr>
      <w:spacing w:before="240" w:after="60"/>
      <w:outlineLvl w:val="0"/>
    </w:pPr>
    <w:rPr>
      <w:rFonts w:ascii="Arial" w:hAnsi="Arial" w:cs="Arial"/>
      <w:b/>
      <w:bCs/>
      <w:kern w:val="32"/>
      <w:sz w:val="32"/>
      <w:szCs w:val="32"/>
    </w:rPr>
  </w:style>
  <w:style w:type="paragraph" w:styleId="Heading2">
    <w:name w:val="heading 2"/>
    <w:aliases w:val="H2,h2,Head2A,2,UNDERRUBRIK 1-2,DO NOT USE_h2,h21,Heading 2 Char,H2 Char,h2 Char,标题 2,Header 2,Header2,22,heading2,2nd level,H21,H22,H23,H24,H25,R2,E2,†berschrift 2,õberschrift 2,插图,Heading 2 3GPP,제목 2,heading 2,Sub-section,Heading Two,l2,Head"/>
    <w:basedOn w:val="Normal"/>
    <w:next w:val="Normal"/>
    <w:link w:val="Heading2Char1"/>
    <w:qFormat/>
    <w:rsid w:val="0089225B"/>
    <w:pPr>
      <w:keepNext/>
      <w:numPr>
        <w:ilvl w:val="1"/>
        <w:numId w:val="3"/>
      </w:numPr>
      <w:spacing w:before="240" w:after="60"/>
      <w:outlineLvl w:val="1"/>
    </w:pPr>
    <w:rPr>
      <w:rFonts w:ascii="Arial" w:hAnsi="Arial" w:cs="Arial"/>
      <w:b/>
      <w:bCs/>
      <w:i/>
      <w:iCs/>
      <w:sz w:val="24"/>
      <w:szCs w:val="28"/>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标题"/>
    <w:basedOn w:val="Normal"/>
    <w:next w:val="Normal"/>
    <w:link w:val="Heading3Char"/>
    <w:qFormat/>
    <w:rsid w:val="00A03C5E"/>
    <w:pPr>
      <w:keepNext/>
      <w:numPr>
        <w:ilvl w:val="2"/>
        <w:numId w:val="3"/>
      </w:numPr>
      <w:spacing w:before="240" w:after="60"/>
      <w:outlineLvl w:val="2"/>
    </w:pPr>
    <w:rPr>
      <w:rFonts w:ascii="Arial" w:hAnsi="Arial" w:cs="Arial"/>
      <w:b/>
      <w:bCs/>
      <w:szCs w:val="26"/>
    </w:rPr>
  </w:style>
  <w:style w:type="paragraph" w:styleId="Heading4">
    <w:name w:val="heading 4"/>
    <w:aliases w:val="h4,H4,H41,h41,H42,h42,H43,h43,H411,h411,H421,h421,H44,h44,H412,h412,H422,h422,H431,h431,H45,h45,H413,h413,H423,h423,H432,h432,H46,h46,H47,h47,Memo Heading 4,Memo Heading 5,heading 4,标题 4,heading 4 + Indent: Left 0.5 in,标题3a,4th level,Heading,4"/>
    <w:basedOn w:val="Heading3"/>
    <w:next w:val="Normal"/>
    <w:link w:val="Heading4Char"/>
    <w:qFormat/>
    <w:rsid w:val="0089225B"/>
    <w:pPr>
      <w:numPr>
        <w:ilvl w:val="3"/>
      </w:numPr>
      <w:outlineLvl w:val="3"/>
    </w:pPr>
    <w:rPr>
      <w:i/>
    </w:rPr>
  </w:style>
  <w:style w:type="paragraph" w:styleId="Heading5">
    <w:name w:val="heading 5"/>
    <w:aliases w:val="H5,h5,Heading5,标题 5"/>
    <w:basedOn w:val="Heading4"/>
    <w:next w:val="Normal"/>
    <w:link w:val="Heading5Char"/>
    <w:qFormat/>
    <w:rsid w:val="0089225B"/>
    <w:pPr>
      <w:numPr>
        <w:ilvl w:val="4"/>
      </w:numPr>
      <w:outlineLvl w:val="4"/>
    </w:pPr>
    <w:rPr>
      <w:bCs w:val="0"/>
      <w:i w:val="0"/>
      <w:iCs/>
      <w:sz w:val="18"/>
    </w:rPr>
  </w:style>
  <w:style w:type="paragraph" w:styleId="Heading6">
    <w:name w:val="heading 6"/>
    <w:basedOn w:val="Normal"/>
    <w:next w:val="Normal"/>
    <w:link w:val="Heading6Char"/>
    <w:qFormat/>
    <w:rsid w:val="0089225B"/>
    <w:pPr>
      <w:numPr>
        <w:ilvl w:val="5"/>
        <w:numId w:val="3"/>
      </w:numPr>
      <w:spacing w:before="240" w:after="60"/>
      <w:outlineLvl w:val="5"/>
    </w:pPr>
    <w:rPr>
      <w:rFonts w:ascii="Times New Roman" w:hAnsi="Times New Roman"/>
      <w:b/>
      <w:bCs/>
      <w:sz w:val="22"/>
      <w:szCs w:val="22"/>
    </w:rPr>
  </w:style>
  <w:style w:type="paragraph" w:styleId="Heading7">
    <w:name w:val="heading 7"/>
    <w:aliases w:val="st,h7"/>
    <w:basedOn w:val="Normal"/>
    <w:next w:val="Normal"/>
    <w:link w:val="Heading7Char"/>
    <w:qFormat/>
    <w:rsid w:val="0089225B"/>
    <w:pPr>
      <w:numPr>
        <w:ilvl w:val="6"/>
        <w:numId w:val="3"/>
      </w:numPr>
      <w:spacing w:before="240" w:after="60"/>
      <w:outlineLvl w:val="6"/>
    </w:pPr>
    <w:rPr>
      <w:rFonts w:ascii="Times New Roman" w:hAnsi="Times New Roman"/>
      <w:sz w:val="24"/>
    </w:rPr>
  </w:style>
  <w:style w:type="paragraph" w:styleId="Heading8">
    <w:name w:val="heading 8"/>
    <w:aliases w:val="Table Heading,标题 8,acronym"/>
    <w:basedOn w:val="Normal"/>
    <w:next w:val="Normal"/>
    <w:link w:val="Heading8Char"/>
    <w:qFormat/>
    <w:rsid w:val="0089225B"/>
    <w:pPr>
      <w:numPr>
        <w:ilvl w:val="7"/>
        <w:numId w:val="3"/>
      </w:numPr>
      <w:spacing w:before="240" w:after="60"/>
      <w:outlineLvl w:val="7"/>
    </w:pPr>
    <w:rPr>
      <w:rFonts w:ascii="Times New Roman" w:hAnsi="Times New Roman"/>
      <w:i/>
      <w:iCs/>
      <w:sz w:val="24"/>
    </w:rPr>
  </w:style>
  <w:style w:type="paragraph" w:styleId="Heading9">
    <w:name w:val="heading 9"/>
    <w:aliases w:val="Figure Heading,FH,标题 9,appendix"/>
    <w:basedOn w:val="Normal"/>
    <w:next w:val="Normal"/>
    <w:link w:val="Heading9Char"/>
    <w:qFormat/>
    <w:rsid w:val="0089225B"/>
    <w:pPr>
      <w:numPr>
        <w:ilvl w:val="8"/>
        <w:numId w:val="3"/>
      </w:numPr>
      <w:spacing w:before="240" w:after="60"/>
      <w:outlineLvl w:val="8"/>
    </w:pPr>
    <w:rPr>
      <w:rFonts w:ascii="Arial" w:hAnsi="Arial" w:cs="Arial"/>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3Char">
    <w:name w:val="Heading 3 Char"/>
    <w:aliases w:val="no break Char,H3 Char,Underrubrik2 Char,h3 Char,Memo Heading 3 Char,hello Char,Titre 3 Car Char,no break Car Char,H3 Car Char,Underrubrik2 Car Char,h3 Car Char,Memo Heading 3 Car Char,hello Car Char,Heading 3 Char Car Char,标题 Char"/>
    <w:link w:val="Heading3"/>
    <w:qFormat/>
    <w:rsid w:val="00A03C5E"/>
    <w:rPr>
      <w:rFonts w:ascii="Arial" w:hAnsi="Arial" w:cs="Arial"/>
      <w:b/>
      <w:bCs/>
      <w:szCs w:val="26"/>
      <w:lang w:eastAsia="en-US"/>
    </w:rPr>
  </w:style>
  <w:style w:type="paragraph" w:customStyle="1" w:styleId="TdocHeader2">
    <w:name w:val="Tdoc_Header_2"/>
    <w:basedOn w:val="Normal"/>
    <w:qFormat/>
    <w:pPr>
      <w:widowControl w:val="0"/>
      <w:tabs>
        <w:tab w:val="left" w:pos="1701"/>
        <w:tab w:val="right" w:pos="9072"/>
        <w:tab w:val="right" w:pos="10206"/>
      </w:tabs>
      <w:jc w:val="both"/>
    </w:pPr>
    <w:rPr>
      <w:rFonts w:ascii="Arial" w:hAnsi="Arial"/>
      <w:b/>
      <w:sz w:val="18"/>
      <w:szCs w:val="20"/>
    </w:rPr>
  </w:style>
  <w:style w:type="paragraph" w:customStyle="1" w:styleId="TdocHeading1">
    <w:name w:val="Tdoc_Heading_1"/>
    <w:basedOn w:val="Heading1"/>
    <w:next w:val="BodyText"/>
    <w:autoRedefine/>
    <w:qFormat/>
    <w:pPr>
      <w:numPr>
        <w:numId w:val="1"/>
      </w:numPr>
      <w:spacing w:after="120"/>
      <w:ind w:left="357" w:hanging="357"/>
      <w:jc w:val="both"/>
    </w:pPr>
    <w:rPr>
      <w:rFonts w:cs="Times New Roman"/>
      <w:bCs w:val="0"/>
      <w:noProof/>
      <w:kern w:val="28"/>
      <w:sz w:val="24"/>
      <w:szCs w:val="20"/>
      <w:lang w:val="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qFormat/>
    <w:pPr>
      <w:spacing w:after="120"/>
      <w:jc w:val="both"/>
    </w:pPr>
  </w:style>
  <w:style w:type="paragraph" w:customStyle="1" w:styleId="TdocHeader1">
    <w:name w:val="Tdoc_Header_1"/>
    <w:basedOn w:val="Header"/>
    <w:qFormat/>
    <w:pPr>
      <w:widowControl w:val="0"/>
      <w:tabs>
        <w:tab w:val="clear" w:pos="4536"/>
        <w:tab w:val="right" w:pos="10206"/>
      </w:tabs>
      <w:jc w:val="both"/>
    </w:pPr>
    <w:rPr>
      <w:rFonts w:ascii="Arial" w:hAnsi="Arial"/>
      <w:b/>
      <w:szCs w:val="20"/>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basedOn w:val="Normal"/>
    <w:link w:val="HeaderChar"/>
    <w:uiPriority w:val="99"/>
    <w:qFormat/>
    <w:pPr>
      <w:tabs>
        <w:tab w:val="center" w:pos="4536"/>
        <w:tab w:val="right" w:pos="9072"/>
      </w:tabs>
    </w:p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uiPriority w:val="99"/>
    <w:qFormat/>
    <w:rsid w:val="00B43E52"/>
    <w:rPr>
      <w:rFonts w:ascii="Times" w:eastAsia="Batang" w:hAnsi="Times"/>
      <w:szCs w:val="24"/>
      <w:lang w:val="en-GB" w:eastAsia="en-US" w:bidi="ar-SA"/>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qFormat/>
    <w:pPr>
      <w:jc w:val="both"/>
    </w:pPr>
    <w:rPr>
      <w:szCs w:val="20"/>
      <w:lang w:val="en-US"/>
    </w:rPr>
  </w:style>
  <w:style w:type="paragraph" w:styleId="DocumentMap">
    <w:name w:val="Document Map"/>
    <w:basedOn w:val="Normal"/>
    <w:link w:val="DocumentMapChar"/>
    <w:qFormat/>
    <w:pPr>
      <w:shd w:val="clear" w:color="auto" w:fill="000080"/>
    </w:pPr>
    <w:rPr>
      <w:rFonts w:ascii="Tahoma" w:hAnsi="Tahoma" w:cs="Tahoma"/>
    </w:rPr>
  </w:style>
  <w:style w:type="paragraph" w:customStyle="1" w:styleId="TdocHeading2">
    <w:name w:val="Tdoc_Heading_2"/>
    <w:basedOn w:val="Normal"/>
    <w:qFormat/>
  </w:style>
  <w:style w:type="character" w:styleId="Hyperlink">
    <w:name w:val="Hyperlink"/>
    <w:uiPriority w:val="99"/>
    <w:qFormat/>
    <w:rPr>
      <w:color w:val="0000FF"/>
      <w:u w:val="single"/>
    </w:rPr>
  </w:style>
  <w:style w:type="character" w:styleId="FollowedHyperlink">
    <w:name w:val="FollowedHyperlink"/>
    <w:qFormat/>
    <w:rsid w:val="00E10770"/>
    <w:rPr>
      <w:color w:val="0000FF"/>
      <w:u w:val="single"/>
    </w:rPr>
  </w:style>
  <w:style w:type="paragraph" w:styleId="BalloonText">
    <w:name w:val="Balloon Text"/>
    <w:basedOn w:val="Normal"/>
    <w:link w:val="BalloonTextChar"/>
    <w:qFormat/>
    <w:rPr>
      <w:rFonts w:ascii="Tahoma" w:hAnsi="Tahoma" w:cs="Tahoma"/>
      <w:sz w:val="16"/>
      <w:szCs w:val="16"/>
    </w:rPr>
  </w:style>
  <w:style w:type="paragraph" w:customStyle="1" w:styleId="NO">
    <w:name w:val="NO"/>
    <w:basedOn w:val="Normal"/>
    <w:link w:val="NOChar"/>
    <w:qFormat/>
    <w:rsid w:val="00663BC6"/>
    <w:pPr>
      <w:keepLines/>
      <w:ind w:left="1135" w:hanging="851"/>
    </w:pPr>
    <w:rPr>
      <w:rFonts w:ascii="Times New Roman" w:hAnsi="Times New Roman"/>
      <w:sz w:val="24"/>
      <w:szCs w:val="20"/>
    </w:rPr>
  </w:style>
  <w:style w:type="paragraph" w:customStyle="1" w:styleId="h1">
    <w:name w:val="h1"/>
    <w:basedOn w:val="Normal"/>
    <w:qFormat/>
  </w:style>
  <w:style w:type="paragraph" w:styleId="NormalWeb">
    <w:name w:val="Normal (Web)"/>
    <w:basedOn w:val="Normal"/>
    <w:uiPriority w:val="99"/>
    <w:qFormat/>
    <w:rsid w:val="00DF3AA6"/>
    <w:pPr>
      <w:spacing w:before="100" w:beforeAutospacing="1" w:after="100" w:afterAutospacing="1"/>
    </w:pPr>
    <w:rPr>
      <w:rFonts w:ascii="Arial" w:eastAsia="SimSun" w:hAnsi="Arial" w:cs="Arial"/>
      <w:color w:val="493118"/>
      <w:sz w:val="18"/>
      <w:szCs w:val="18"/>
      <w:lang w:val="en-US" w:eastAsia="zh-CN"/>
    </w:rPr>
  </w:style>
  <w:style w:type="character" w:styleId="Emphasis">
    <w:name w:val="Emphasis"/>
    <w:uiPriority w:val="20"/>
    <w:qFormat/>
    <w:rsid w:val="000E4D41"/>
    <w:rPr>
      <w:i/>
      <w:iCs/>
    </w:rPr>
  </w:style>
  <w:style w:type="character" w:styleId="CommentReference">
    <w:name w:val="annotation reference"/>
    <w:qFormat/>
    <w:rsid w:val="00F45790"/>
    <w:rPr>
      <w:sz w:val="16"/>
      <w:szCs w:val="16"/>
    </w:rPr>
  </w:style>
  <w:style w:type="paragraph" w:styleId="CommentText">
    <w:name w:val="annotation text"/>
    <w:basedOn w:val="Normal"/>
    <w:link w:val="CommentTextChar"/>
    <w:qFormat/>
    <w:rsid w:val="00F45790"/>
    <w:rPr>
      <w:szCs w:val="20"/>
    </w:rPr>
  </w:style>
  <w:style w:type="paragraph" w:styleId="CommentSubject">
    <w:name w:val="annotation subject"/>
    <w:basedOn w:val="CommentText"/>
    <w:next w:val="CommentText"/>
    <w:link w:val="CommentSubjectChar"/>
    <w:qFormat/>
    <w:rsid w:val="00F45790"/>
    <w:rPr>
      <w:b/>
      <w:bCs/>
    </w:rPr>
  </w:style>
  <w:style w:type="paragraph" w:customStyle="1" w:styleId="CharChar1CharCharCharCharCharCharCharCharCharCharCharCharCharCharChar">
    <w:name w:val="Char Char1 Char Char Char Char Char Char Char Char Char Char Char Char Char Char Char"/>
    <w:uiPriority w:val="99"/>
    <w:semiHidden/>
    <w:qFormat/>
    <w:rsid w:val="007D0B4E"/>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styleId="Index1">
    <w:name w:val="index 1"/>
    <w:basedOn w:val="Normal"/>
    <w:qFormat/>
    <w:rsid w:val="000A5D78"/>
    <w:pPr>
      <w:keepLines/>
      <w:overflowPunct w:val="0"/>
      <w:autoSpaceDE w:val="0"/>
      <w:autoSpaceDN w:val="0"/>
      <w:adjustRightInd w:val="0"/>
      <w:textAlignment w:val="baseline"/>
    </w:pPr>
    <w:rPr>
      <w:rFonts w:ascii="Times New Roman" w:eastAsia="Times New Roman" w:hAnsi="Times New Roman"/>
      <w:szCs w:val="20"/>
      <w:lang w:eastAsia="en-GB"/>
    </w:rPr>
  </w:style>
  <w:style w:type="paragraph" w:customStyle="1" w:styleId="StyleHeading1NMPHeading1H1h11h12h13h14h15h16appheadin">
    <w:name w:val="Style Heading 1NMP Heading 1H1h11h12h13h14h15h16app headin..."/>
    <w:basedOn w:val="Heading1"/>
    <w:qFormat/>
    <w:rsid w:val="004905B7"/>
    <w:pPr>
      <w:numPr>
        <w:numId w:val="2"/>
      </w:numPr>
    </w:pPr>
    <w:rPr>
      <w:sz w:val="28"/>
    </w:rPr>
  </w:style>
  <w:style w:type="paragraph" w:customStyle="1" w:styleId="Comments">
    <w:name w:val="Comments"/>
    <w:basedOn w:val="Normal"/>
    <w:link w:val="CommentsChar"/>
    <w:qFormat/>
    <w:rsid w:val="008F5AFB"/>
    <w:pPr>
      <w:spacing w:before="40"/>
    </w:pPr>
    <w:rPr>
      <w:rFonts w:ascii="Arial" w:eastAsia="MS Mincho" w:hAnsi="Arial"/>
      <w:i/>
      <w:sz w:val="18"/>
      <w:lang w:eastAsia="en-GB"/>
    </w:rPr>
  </w:style>
  <w:style w:type="character" w:customStyle="1" w:styleId="CommentsChar">
    <w:name w:val="Comments Char"/>
    <w:link w:val="Comments"/>
    <w:qFormat/>
    <w:rsid w:val="008F5AFB"/>
    <w:rPr>
      <w:rFonts w:ascii="Arial" w:eastAsia="MS Mincho" w:hAnsi="Arial"/>
      <w:i/>
      <w:sz w:val="18"/>
      <w:szCs w:val="24"/>
      <w:lang w:val="en-GB" w:eastAsia="en-GB" w:bidi="ar-SA"/>
    </w:rPr>
  </w:style>
  <w:style w:type="paragraph" w:styleId="Footer">
    <w:name w:val="footer"/>
    <w:basedOn w:val="Normal"/>
    <w:link w:val="FooterChar"/>
    <w:qFormat/>
    <w:rsid w:val="00666408"/>
    <w:pPr>
      <w:tabs>
        <w:tab w:val="center" w:pos="4153"/>
        <w:tab w:val="right" w:pos="8306"/>
      </w:tabs>
    </w:pPr>
  </w:style>
  <w:style w:type="paragraph" w:styleId="TOC1">
    <w:name w:val="toc 1"/>
    <w:aliases w:val="Observation TOC2"/>
    <w:basedOn w:val="Normal"/>
    <w:next w:val="Normal"/>
    <w:autoRedefine/>
    <w:uiPriority w:val="39"/>
    <w:qFormat/>
    <w:rsid w:val="00D50E8E"/>
    <w:pPr>
      <w:spacing w:before="120" w:after="120"/>
    </w:pPr>
    <w:rPr>
      <w:rFonts w:asciiTheme="minorHAnsi" w:hAnsiTheme="minorHAnsi" w:cstheme="minorHAnsi"/>
      <w:b/>
      <w:bCs/>
      <w:caps/>
      <w:szCs w:val="20"/>
    </w:rPr>
  </w:style>
  <w:style w:type="paragraph" w:styleId="TOC2">
    <w:name w:val="toc 2"/>
    <w:basedOn w:val="Normal"/>
    <w:next w:val="Normal"/>
    <w:autoRedefine/>
    <w:uiPriority w:val="39"/>
    <w:qFormat/>
    <w:rsid w:val="00666408"/>
    <w:pPr>
      <w:ind w:left="200"/>
    </w:pPr>
    <w:rPr>
      <w:rFonts w:asciiTheme="minorHAnsi" w:hAnsiTheme="minorHAnsi" w:cstheme="minorHAnsi"/>
      <w:smallCaps/>
      <w:szCs w:val="20"/>
    </w:rPr>
  </w:style>
  <w:style w:type="paragraph" w:styleId="TOC3">
    <w:name w:val="toc 3"/>
    <w:basedOn w:val="Normal"/>
    <w:next w:val="Normal"/>
    <w:autoRedefine/>
    <w:uiPriority w:val="39"/>
    <w:qFormat/>
    <w:rsid w:val="00666408"/>
    <w:pPr>
      <w:ind w:left="400"/>
    </w:pPr>
    <w:rPr>
      <w:rFonts w:asciiTheme="minorHAnsi" w:hAnsiTheme="minorHAnsi" w:cstheme="minorHAnsi"/>
      <w:i/>
      <w:iCs/>
      <w:szCs w:val="20"/>
    </w:rPr>
  </w:style>
  <w:style w:type="paragraph" w:styleId="TOC4">
    <w:name w:val="toc 4"/>
    <w:basedOn w:val="Normal"/>
    <w:next w:val="Normal"/>
    <w:autoRedefine/>
    <w:uiPriority w:val="39"/>
    <w:qFormat/>
    <w:rsid w:val="00666408"/>
    <w:pPr>
      <w:ind w:left="600"/>
    </w:pPr>
    <w:rPr>
      <w:rFonts w:asciiTheme="minorHAnsi" w:hAnsiTheme="minorHAnsi" w:cstheme="minorHAnsi"/>
      <w:sz w:val="18"/>
      <w:szCs w:val="18"/>
    </w:rPr>
  </w:style>
  <w:style w:type="paragraph" w:styleId="TOC5">
    <w:name w:val="toc 5"/>
    <w:basedOn w:val="Normal"/>
    <w:next w:val="Normal"/>
    <w:autoRedefine/>
    <w:uiPriority w:val="39"/>
    <w:qFormat/>
    <w:rsid w:val="00666408"/>
    <w:pPr>
      <w:ind w:left="800"/>
    </w:pPr>
    <w:rPr>
      <w:rFonts w:asciiTheme="minorHAnsi" w:hAnsiTheme="minorHAnsi" w:cstheme="minorHAnsi"/>
      <w:sz w:val="18"/>
      <w:szCs w:val="18"/>
    </w:rPr>
  </w:style>
  <w:style w:type="paragraph" w:customStyle="1" w:styleId="DocHead">
    <w:name w:val="DocHead"/>
    <w:basedOn w:val="Normal"/>
    <w:next w:val="Normal"/>
    <w:rsid w:val="007A5AC0"/>
    <w:pPr>
      <w:ind w:left="1418" w:hanging="1418"/>
    </w:pPr>
    <w:rPr>
      <w:rFonts w:ascii="Times New Roman" w:eastAsia="Times New Roman" w:hAnsi="Times New Roman"/>
      <w:b/>
      <w:bCs/>
      <w:sz w:val="24"/>
      <w:szCs w:val="20"/>
      <w:lang w:val="en-AU"/>
    </w:rPr>
  </w:style>
  <w:style w:type="character" w:styleId="PageNumber">
    <w:name w:val="page number"/>
    <w:qFormat/>
    <w:rsid w:val="007A5AC0"/>
    <w:rPr>
      <w:rFonts w:ascii="Arial" w:eastAsia="SimSun" w:hAnsi="Arial" w:cs="Arial"/>
      <w:color w:val="0000FF"/>
      <w:kern w:val="2"/>
      <w:lang w:val="en-US" w:eastAsia="zh-CN" w:bidi="ar-SA"/>
    </w:rPr>
  </w:style>
  <w:style w:type="paragraph" w:customStyle="1" w:styleId="Bulleted">
    <w:name w:val="Bulleted"/>
    <w:aliases w:val="Symbol (symbol),Left:  0,25&quot;,Hanging:  0"/>
    <w:basedOn w:val="Normal"/>
    <w:rsid w:val="007A5AC0"/>
    <w:pPr>
      <w:numPr>
        <w:ilvl w:val="2"/>
        <w:numId w:val="4"/>
      </w:numPr>
      <w:spacing w:after="180"/>
    </w:pPr>
    <w:rPr>
      <w:rFonts w:ascii="Arial" w:hAnsi="Arial"/>
    </w:rPr>
  </w:style>
  <w:style w:type="paragraph" w:styleId="Caption">
    <w:name w:val="caption"/>
    <w:aliases w:val="cap,cap Char,Caption Char,Caption Char1 Char,cap Char Char1,Caption Char Char1 Char,cap Char2,条目,3GPP Caption Table,cap1,cap2,cap11,Légende-figure,Légende-figure Char,Beschrifubg,Beschriftung Char,label,cap11 Char,cap11 Char Char Char,captions,题"/>
    <w:basedOn w:val="Normal"/>
    <w:next w:val="Normal"/>
    <w:link w:val="CaptionChar1"/>
    <w:uiPriority w:val="99"/>
    <w:qFormat/>
    <w:rsid w:val="00A073A1"/>
    <w:pPr>
      <w:overflowPunct w:val="0"/>
      <w:autoSpaceDE w:val="0"/>
      <w:autoSpaceDN w:val="0"/>
      <w:adjustRightInd w:val="0"/>
      <w:spacing w:before="120" w:after="120"/>
      <w:textAlignment w:val="baseline"/>
    </w:pPr>
    <w:rPr>
      <w:rFonts w:ascii="Times New Roman" w:eastAsia="Times New Roman" w:hAnsi="Times New Roman"/>
      <w:b/>
      <w:szCs w:val="20"/>
      <w:lang w:eastAsia="en-GB"/>
    </w:rPr>
  </w:style>
  <w:style w:type="paragraph" w:customStyle="1" w:styleId="CRCoverPage">
    <w:name w:val="CR Cover Page"/>
    <w:link w:val="CRCoverPageChar"/>
    <w:qFormat/>
    <w:rsid w:val="006667B5"/>
    <w:pPr>
      <w:spacing w:after="120"/>
    </w:pPr>
    <w:rPr>
      <w:rFonts w:ascii="Arial" w:eastAsia="Malgun Gothic" w:hAnsi="Arial"/>
      <w:lang w:eastAsia="en-US"/>
    </w:rPr>
  </w:style>
  <w:style w:type="character" w:customStyle="1" w:styleId="CRCoverPageChar">
    <w:name w:val="CR Cover Page Char"/>
    <w:link w:val="CRCoverPage"/>
    <w:qFormat/>
    <w:rsid w:val="00A6329A"/>
    <w:rPr>
      <w:rFonts w:ascii="Arial" w:eastAsia="Malgun Gothic" w:hAnsi="Arial"/>
      <w:lang w:val="en-GB" w:eastAsia="en-US" w:bidi="ar-SA"/>
    </w:rPr>
  </w:style>
  <w:style w:type="character" w:customStyle="1" w:styleId="a5">
    <w:name w:val="スタイル 標準 +"/>
    <w:rsid w:val="004A339F"/>
    <w:rPr>
      <w:rFonts w:ascii="Times New Roman" w:eastAsia="MS Gothic" w:hAnsi="Times New Roman"/>
      <w:color w:val="auto"/>
      <w:kern w:val="0"/>
      <w:sz w:val="20"/>
      <w:u w:val="none"/>
    </w:rPr>
  </w:style>
  <w:style w:type="paragraph" w:customStyle="1" w:styleId="B1">
    <w:name w:val="B1"/>
    <w:basedOn w:val="List"/>
    <w:link w:val="B1Zchn"/>
    <w:qFormat/>
    <w:rsid w:val="00032716"/>
    <w:pPr>
      <w:overflowPunct w:val="0"/>
      <w:autoSpaceDE w:val="0"/>
      <w:autoSpaceDN w:val="0"/>
      <w:adjustRightInd w:val="0"/>
      <w:spacing w:after="180"/>
      <w:ind w:left="568" w:hanging="284"/>
      <w:textAlignment w:val="baseline"/>
    </w:pPr>
    <w:rPr>
      <w:rFonts w:ascii="CG Times (WN)" w:eastAsia="SimSun" w:hAnsi="CG Times (WN)"/>
      <w:szCs w:val="20"/>
      <w:lang w:val="en-US"/>
    </w:rPr>
  </w:style>
  <w:style w:type="paragraph" w:styleId="List">
    <w:name w:val="List"/>
    <w:basedOn w:val="Normal"/>
    <w:link w:val="ListChar"/>
    <w:qFormat/>
    <w:rsid w:val="00032716"/>
    <w:pPr>
      <w:ind w:left="283" w:hanging="283"/>
    </w:pPr>
  </w:style>
  <w:style w:type="character" w:customStyle="1" w:styleId="B1Zchn">
    <w:name w:val="B1 Zchn"/>
    <w:link w:val="B1"/>
    <w:qFormat/>
    <w:rsid w:val="00032716"/>
    <w:rPr>
      <w:rFonts w:ascii="CG Times (WN)" w:eastAsia="SimSun" w:hAnsi="CG Times (WN)"/>
      <w:lang w:val="en-US" w:eastAsia="en-US" w:bidi="ar-SA"/>
    </w:rPr>
  </w:style>
  <w:style w:type="character" w:customStyle="1" w:styleId="B10">
    <w:name w:val="B1 (文字)"/>
    <w:qFormat/>
    <w:rsid w:val="00032716"/>
    <w:rPr>
      <w:rFonts w:eastAsia="MS Mincho"/>
      <w:lang w:val="en-GB" w:eastAsia="en-US" w:bidi="ar-SA"/>
    </w:rPr>
  </w:style>
  <w:style w:type="paragraph" w:styleId="ListParagraph">
    <w:name w:val="List Paragraph"/>
    <w:aliases w:val="- Bullets,?? ??,?????,????,Lista1,列出段落,中等深浅网格 1 - 着色 21,列表段落,¥¡¡¡¡ì¬º¥¹¥È¶ÎÂä,ÁÐ³ö¶ÎÂä,¥ê¥¹¥È¶ÎÂä,列表段落1,—ño’i—Ž,1st level - Bullet List Paragraph,Lettre d'introduction,Paragrafo elenco,Normal bullet 2,Bullet list,列表段落11,목록단락,列,P,列表段,列出"/>
    <w:basedOn w:val="Normal"/>
    <w:link w:val="ListParagraphChar"/>
    <w:uiPriority w:val="34"/>
    <w:qFormat/>
    <w:rsid w:val="00224562"/>
    <w:pPr>
      <w:overflowPunct w:val="0"/>
      <w:autoSpaceDE w:val="0"/>
      <w:autoSpaceDN w:val="0"/>
      <w:adjustRightInd w:val="0"/>
      <w:spacing w:after="180"/>
      <w:ind w:left="720"/>
      <w:contextualSpacing/>
      <w:textAlignment w:val="baseline"/>
    </w:pPr>
    <w:rPr>
      <w:rFonts w:ascii="Times New Roman" w:eastAsia="SimSun" w:hAnsi="Times New Roman"/>
      <w:szCs w:val="20"/>
      <w:lang w:eastAsia="ja-JP"/>
    </w:rPr>
  </w:style>
  <w:style w:type="paragraph" w:customStyle="1" w:styleId="StatementBody">
    <w:name w:val="Statement Body"/>
    <w:basedOn w:val="Normal"/>
    <w:link w:val="StatementBodyChar"/>
    <w:qFormat/>
    <w:rsid w:val="00224562"/>
    <w:pPr>
      <w:numPr>
        <w:numId w:val="5"/>
      </w:numPr>
      <w:tabs>
        <w:tab w:val="num" w:pos="0"/>
      </w:tabs>
      <w:spacing w:after="100" w:afterAutospacing="1"/>
      <w:ind w:left="0"/>
      <w:contextualSpacing/>
    </w:pPr>
    <w:rPr>
      <w:rFonts w:ascii="Times New Roman" w:eastAsia="Times New Roman" w:hAnsi="Times New Roman"/>
      <w:sz w:val="22"/>
      <w:lang w:val="en-US" w:eastAsia="ko-KR"/>
    </w:rPr>
  </w:style>
  <w:style w:type="character" w:customStyle="1" w:styleId="StatementBodyChar">
    <w:name w:val="Statement Body Char"/>
    <w:link w:val="StatementBody"/>
    <w:qFormat/>
    <w:rsid w:val="00224562"/>
    <w:rPr>
      <w:rFonts w:eastAsia="Times New Roman"/>
      <w:sz w:val="22"/>
      <w:szCs w:val="24"/>
      <w:lang w:val="en-US" w:eastAsia="ko-KR"/>
    </w:rPr>
  </w:style>
  <w:style w:type="paragraph" w:customStyle="1" w:styleId="bullet">
    <w:name w:val="bullet"/>
    <w:basedOn w:val="Normal"/>
    <w:link w:val="bullet1"/>
    <w:qFormat/>
    <w:rsid w:val="004007DC"/>
    <w:pPr>
      <w:numPr>
        <w:numId w:val="8"/>
      </w:numPr>
      <w:snapToGrid w:val="0"/>
      <w:spacing w:after="100" w:afterAutospacing="1"/>
      <w:jc w:val="both"/>
    </w:pPr>
    <w:rPr>
      <w:rFonts w:ascii="Times New Roman" w:eastAsia="MS Gothic" w:hAnsi="Times New Roman"/>
      <w:sz w:val="24"/>
      <w:szCs w:val="20"/>
      <w:lang w:val="x-none" w:eastAsia="x-none"/>
    </w:rPr>
  </w:style>
  <w:style w:type="character" w:customStyle="1" w:styleId="bullet1">
    <w:name w:val="bullet (文字)"/>
    <w:link w:val="bullet"/>
    <w:rsid w:val="004007DC"/>
    <w:rPr>
      <w:rFonts w:eastAsia="MS Gothic"/>
      <w:sz w:val="24"/>
      <w:lang w:val="x-none" w:eastAsia="x-none"/>
    </w:rPr>
  </w:style>
  <w:style w:type="paragraph" w:customStyle="1" w:styleId="References">
    <w:name w:val="References"/>
    <w:basedOn w:val="Normal"/>
    <w:qFormat/>
    <w:rsid w:val="00CA4C32"/>
    <w:pPr>
      <w:numPr>
        <w:numId w:val="6"/>
      </w:numPr>
      <w:autoSpaceDE w:val="0"/>
      <w:autoSpaceDN w:val="0"/>
      <w:snapToGrid w:val="0"/>
      <w:spacing w:after="60"/>
    </w:pPr>
    <w:rPr>
      <w:rFonts w:ascii="Times New Roman" w:eastAsia="SimSun" w:hAnsi="Times New Roman"/>
      <w:szCs w:val="16"/>
      <w:lang w:val="en-US"/>
    </w:rPr>
  </w:style>
  <w:style w:type="paragraph" w:customStyle="1" w:styleId="Char">
    <w:name w:val="Char"/>
    <w:rsid w:val="00CA4C32"/>
    <w:pPr>
      <w:keepNext/>
      <w:numPr>
        <w:numId w:val="7"/>
      </w:numPr>
      <w:tabs>
        <w:tab w:val="clear" w:pos="851"/>
      </w:tabs>
      <w:autoSpaceDE w:val="0"/>
      <w:autoSpaceDN w:val="0"/>
      <w:adjustRightInd w:val="0"/>
      <w:spacing w:before="60" w:after="60"/>
      <w:ind w:left="720" w:hanging="360"/>
      <w:jc w:val="both"/>
    </w:pPr>
    <w:rPr>
      <w:rFonts w:ascii="Arial" w:eastAsia="SimSun" w:hAnsi="Arial" w:cs="Arial"/>
      <w:color w:val="0000FF"/>
      <w:kern w:val="2"/>
      <w:lang w:val="en-US" w:eastAsia="zh-CN"/>
    </w:rPr>
  </w:style>
  <w:style w:type="paragraph" w:customStyle="1" w:styleId="a6">
    <w:name w:val="목록 단락"/>
    <w:aliases w:val="numbered,목록"/>
    <w:basedOn w:val="Normal"/>
    <w:uiPriority w:val="34"/>
    <w:qFormat/>
    <w:rsid w:val="00093DD5"/>
    <w:pPr>
      <w:overflowPunct w:val="0"/>
      <w:autoSpaceDE w:val="0"/>
      <w:autoSpaceDN w:val="0"/>
      <w:adjustRightInd w:val="0"/>
      <w:spacing w:after="180"/>
      <w:ind w:leftChars="400" w:left="800"/>
      <w:textAlignment w:val="baseline"/>
    </w:pPr>
    <w:rPr>
      <w:rFonts w:ascii="Times New Roman" w:eastAsia="Times New Roman" w:hAnsi="Times New Roman"/>
      <w:szCs w:val="20"/>
      <w:lang w:eastAsia="en-GB"/>
    </w:rPr>
  </w:style>
  <w:style w:type="paragraph" w:customStyle="1" w:styleId="StatementHeading">
    <w:name w:val="Statement Heading"/>
    <w:basedOn w:val="Normal"/>
    <w:next w:val="StatementBody"/>
    <w:qFormat/>
    <w:rsid w:val="00335250"/>
    <w:pPr>
      <w:keepNext/>
      <w:spacing w:before="100" w:beforeAutospacing="1"/>
      <w:ind w:left="601" w:hanging="601"/>
    </w:pPr>
    <w:rPr>
      <w:rFonts w:ascii="Times New Roman" w:hAnsi="Times New Roman"/>
      <w:b/>
      <w:i/>
      <w:sz w:val="22"/>
      <w:lang w:val="en-US" w:eastAsia="ko-KR"/>
    </w:rPr>
  </w:style>
  <w:style w:type="paragraph" w:customStyle="1" w:styleId="Default">
    <w:name w:val="Default"/>
    <w:qFormat/>
    <w:rsid w:val="00E13DC4"/>
    <w:pPr>
      <w:widowControl w:val="0"/>
      <w:autoSpaceDE w:val="0"/>
      <w:autoSpaceDN w:val="0"/>
      <w:adjustRightInd w:val="0"/>
    </w:pPr>
    <w:rPr>
      <w:rFonts w:eastAsia="Times New Roman"/>
      <w:noProof/>
      <w:sz w:val="24"/>
      <w:szCs w:val="24"/>
      <w:lang w:val="en-US" w:eastAsia="zh-CN"/>
    </w:rPr>
  </w:style>
  <w:style w:type="paragraph" w:customStyle="1" w:styleId="2222">
    <w:name w:val="스타일 스타일 스타일 스타일 양쪽 첫 줄:  2 글자 + 첫 줄:  2 글자 + 첫 줄:  2 글자 + 첫 줄:  2..."/>
    <w:basedOn w:val="Normal"/>
    <w:link w:val="2222Char"/>
    <w:rsid w:val="00B06D90"/>
    <w:pPr>
      <w:spacing w:after="180" w:line="336" w:lineRule="auto"/>
      <w:ind w:firstLineChars="200" w:firstLine="200"/>
      <w:jc w:val="both"/>
    </w:pPr>
    <w:rPr>
      <w:rFonts w:ascii="Times New Roman" w:eastAsia="Malgun Gothic" w:hAnsi="Times New Roman" w:cs="Batang"/>
      <w:szCs w:val="20"/>
    </w:rPr>
  </w:style>
  <w:style w:type="paragraph" w:styleId="ListBullet">
    <w:name w:val="List Bullet"/>
    <w:basedOn w:val="List"/>
    <w:uiPriority w:val="99"/>
    <w:qFormat/>
    <w:rsid w:val="009E34E7"/>
    <w:pPr>
      <w:overflowPunct w:val="0"/>
      <w:autoSpaceDE w:val="0"/>
      <w:autoSpaceDN w:val="0"/>
      <w:adjustRightInd w:val="0"/>
      <w:spacing w:after="180"/>
      <w:ind w:left="568" w:hanging="284"/>
      <w:textAlignment w:val="baseline"/>
    </w:pPr>
    <w:rPr>
      <w:rFonts w:ascii="Times New Roman" w:eastAsia="Times New Roman" w:hAnsi="Times New Roman"/>
      <w:szCs w:val="20"/>
      <w:lang w:eastAsia="en-GB"/>
    </w:rPr>
  </w:style>
  <w:style w:type="paragraph" w:customStyle="1" w:styleId="StyleLGTdocAsianSimSunComplex11ptBefore6ptL">
    <w:name w:val="Style LGTdoc_본문 + (Asian) SimSun (Complex) 11 pt Before:  6 pt L..."/>
    <w:basedOn w:val="Normal"/>
    <w:rsid w:val="00F07F2C"/>
    <w:pPr>
      <w:widowControl w:val="0"/>
      <w:autoSpaceDE w:val="0"/>
      <w:autoSpaceDN w:val="0"/>
      <w:adjustRightInd w:val="0"/>
      <w:snapToGrid w:val="0"/>
      <w:spacing w:before="120" w:afterLines="50" w:after="50"/>
      <w:jc w:val="both"/>
    </w:pPr>
    <w:rPr>
      <w:rFonts w:ascii="Times New Roman" w:eastAsia="SimSun" w:hAnsi="Times New Roman"/>
      <w:kern w:val="2"/>
      <w:sz w:val="22"/>
      <w:szCs w:val="22"/>
      <w:lang w:eastAsia="ko-KR"/>
    </w:rPr>
  </w:style>
  <w:style w:type="paragraph" w:customStyle="1" w:styleId="ListParagraph1">
    <w:name w:val="List Paragraph1"/>
    <w:basedOn w:val="Normal"/>
    <w:qFormat/>
    <w:rsid w:val="00261FDC"/>
    <w:pPr>
      <w:spacing w:after="200" w:line="276" w:lineRule="auto"/>
      <w:ind w:firstLineChars="200" w:firstLine="420"/>
    </w:pPr>
    <w:rPr>
      <w:rFonts w:ascii="Calibri" w:eastAsia="SimSun" w:hAnsi="Calibri"/>
      <w:sz w:val="22"/>
      <w:szCs w:val="22"/>
      <w:lang w:val="en-US"/>
    </w:rPr>
  </w:style>
  <w:style w:type="paragraph" w:customStyle="1" w:styleId="section1">
    <w:name w:val="section1"/>
    <w:basedOn w:val="Normal"/>
    <w:rsid w:val="00C27725"/>
    <w:pPr>
      <w:spacing w:before="100" w:beforeAutospacing="1" w:after="100" w:afterAutospacing="1"/>
    </w:pPr>
    <w:rPr>
      <w:rFonts w:ascii="Times New Roman" w:hAnsi="Times New Roman"/>
      <w:sz w:val="24"/>
      <w:lang w:eastAsia="ja-JP"/>
    </w:rPr>
  </w:style>
  <w:style w:type="paragraph" w:customStyle="1" w:styleId="enumlev1">
    <w:name w:val="enumlev1"/>
    <w:basedOn w:val="Normal"/>
    <w:link w:val="enumlev1Char"/>
    <w:rsid w:val="003D2733"/>
    <w:pPr>
      <w:tabs>
        <w:tab w:val="left" w:pos="794"/>
        <w:tab w:val="left" w:pos="1191"/>
        <w:tab w:val="left" w:pos="1588"/>
        <w:tab w:val="left" w:pos="1985"/>
      </w:tabs>
      <w:overflowPunct w:val="0"/>
      <w:autoSpaceDE w:val="0"/>
      <w:autoSpaceDN w:val="0"/>
      <w:adjustRightInd w:val="0"/>
      <w:spacing w:before="80"/>
      <w:ind w:left="794" w:hanging="794"/>
      <w:textAlignment w:val="baseline"/>
    </w:pPr>
    <w:rPr>
      <w:rFonts w:ascii="Times New Roman" w:eastAsia="Times New Roman" w:hAnsi="Times New Roman"/>
      <w:sz w:val="24"/>
      <w:szCs w:val="20"/>
    </w:rPr>
  </w:style>
  <w:style w:type="paragraph" w:customStyle="1" w:styleId="LGTdoc0">
    <w:name w:val="LGTdoc_본문"/>
    <w:basedOn w:val="Normal"/>
    <w:link w:val="LGTdocChar"/>
    <w:qFormat/>
    <w:rsid w:val="00A61DE6"/>
    <w:pPr>
      <w:widowControl w:val="0"/>
      <w:autoSpaceDE w:val="0"/>
      <w:autoSpaceDN w:val="0"/>
      <w:adjustRightInd w:val="0"/>
      <w:snapToGrid w:val="0"/>
      <w:spacing w:afterLines="50" w:after="120" w:line="264" w:lineRule="auto"/>
      <w:jc w:val="both"/>
    </w:pPr>
    <w:rPr>
      <w:rFonts w:ascii="Times New Roman" w:hAnsi="Times New Roman"/>
      <w:kern w:val="2"/>
      <w:sz w:val="22"/>
      <w:lang w:eastAsia="ko-KR"/>
    </w:rPr>
  </w:style>
  <w:style w:type="paragraph" w:customStyle="1" w:styleId="LGTdoc1">
    <w:name w:val="LGTdoc_제목1"/>
    <w:basedOn w:val="Normal"/>
    <w:link w:val="LGTdoc1Char"/>
    <w:qFormat/>
    <w:rsid w:val="00646D92"/>
    <w:pPr>
      <w:adjustRightInd w:val="0"/>
      <w:snapToGrid w:val="0"/>
      <w:spacing w:beforeLines="50" w:before="120" w:after="100" w:afterAutospacing="1"/>
      <w:jc w:val="both"/>
    </w:pPr>
    <w:rPr>
      <w:rFonts w:ascii="Times New Roman" w:hAnsi="Times New Roman"/>
      <w:b/>
      <w:snapToGrid w:val="0"/>
      <w:sz w:val="28"/>
      <w:szCs w:val="20"/>
      <w:lang w:eastAsia="ko-KR"/>
    </w:rPr>
  </w:style>
  <w:style w:type="paragraph" w:customStyle="1" w:styleId="a7">
    <w:name w:val="본문글"/>
    <w:basedOn w:val="Normal"/>
    <w:qFormat/>
    <w:rsid w:val="00DD7C21"/>
    <w:pPr>
      <w:widowControl w:val="0"/>
      <w:spacing w:after="180" w:line="240" w:lineRule="exact"/>
      <w:jc w:val="both"/>
    </w:pPr>
    <w:rPr>
      <w:rFonts w:ascii="Arial" w:eastAsia="Malgun Gothic" w:hAnsi="Arial" w:cs="Batang"/>
      <w:color w:val="000000"/>
      <w:szCs w:val="20"/>
      <w:lang w:val="en-US" w:eastAsia="ko-KR"/>
    </w:rPr>
  </w:style>
  <w:style w:type="paragraph" w:customStyle="1" w:styleId="00BodyText">
    <w:name w:val="00 BodyText"/>
    <w:basedOn w:val="Normal"/>
    <w:qFormat/>
    <w:rsid w:val="00DB6DDE"/>
    <w:pPr>
      <w:spacing w:after="220"/>
    </w:pPr>
    <w:rPr>
      <w:rFonts w:ascii="Arial" w:eastAsia="Times New Roman" w:hAnsi="Arial"/>
      <w:sz w:val="22"/>
      <w:szCs w:val="20"/>
      <w:lang w:val="en-US"/>
    </w:rPr>
  </w:style>
  <w:style w:type="character" w:customStyle="1" w:styleId="apple-style-span">
    <w:name w:val="apple-style-span"/>
    <w:basedOn w:val="DefaultParagraphFont"/>
    <w:qFormat/>
    <w:rsid w:val="00802484"/>
  </w:style>
  <w:style w:type="paragraph" w:customStyle="1" w:styleId="3GPPHeading1">
    <w:name w:val="3GPP Heading 1"/>
    <w:basedOn w:val="Heading1"/>
    <w:link w:val="3GPPHeading1Char"/>
    <w:qFormat/>
    <w:rsid w:val="00BB2E8D"/>
    <w:pPr>
      <w:tabs>
        <w:tab w:val="num" w:pos="426"/>
      </w:tabs>
      <w:spacing w:before="360" w:after="120"/>
      <w:ind w:left="426" w:hanging="425"/>
    </w:pPr>
    <w:rPr>
      <w:rFonts w:eastAsia="MS Mincho" w:cs="Times New Roman"/>
      <w:b w:val="0"/>
      <w:bCs w:val="0"/>
      <w:lang w:val="x-none" w:eastAsia="x-none"/>
    </w:rPr>
  </w:style>
  <w:style w:type="character" w:customStyle="1" w:styleId="3GPPHeading1Char">
    <w:name w:val="3GPP Heading 1 Char"/>
    <w:link w:val="3GPPHeading1"/>
    <w:rsid w:val="00BB2E8D"/>
    <w:rPr>
      <w:rFonts w:ascii="Arial" w:eastAsia="MS Mincho" w:hAnsi="Arial"/>
      <w:kern w:val="32"/>
      <w:sz w:val="32"/>
      <w:szCs w:val="32"/>
      <w:lang w:val="x-none" w:eastAsia="x-none"/>
    </w:rPr>
  </w:style>
  <w:style w:type="paragraph" w:customStyle="1" w:styleId="Doc-text2">
    <w:name w:val="Doc-text2"/>
    <w:basedOn w:val="Normal"/>
    <w:link w:val="Doc-text2Char"/>
    <w:qFormat/>
    <w:rsid w:val="003116DF"/>
    <w:pPr>
      <w:tabs>
        <w:tab w:val="left" w:pos="1622"/>
      </w:tabs>
      <w:ind w:left="1622" w:hanging="363"/>
    </w:pPr>
    <w:rPr>
      <w:rFonts w:ascii="Arial" w:eastAsia="MS Mincho" w:hAnsi="Arial"/>
      <w:lang w:val="x-none" w:eastAsia="en-GB"/>
    </w:rPr>
  </w:style>
  <w:style w:type="character" w:customStyle="1" w:styleId="Doc-text2Char">
    <w:name w:val="Doc-text2 Char"/>
    <w:link w:val="Doc-text2"/>
    <w:qFormat/>
    <w:rsid w:val="003116DF"/>
    <w:rPr>
      <w:rFonts w:ascii="Arial" w:eastAsia="MS Mincho" w:hAnsi="Arial"/>
      <w:szCs w:val="24"/>
      <w:lang w:val="x-none" w:eastAsia="en-GB" w:bidi="ar-SA"/>
    </w:rPr>
  </w:style>
  <w:style w:type="character" w:customStyle="1" w:styleId="B1Char">
    <w:name w:val="B1 Char"/>
    <w:qFormat/>
    <w:locked/>
    <w:rsid w:val="007F0059"/>
    <w:rPr>
      <w:lang w:val="en-GB" w:eastAsia="en-US"/>
    </w:rPr>
  </w:style>
  <w:style w:type="paragraph" w:customStyle="1" w:styleId="CharCharCharCharCharChar">
    <w:name w:val="Char Char Char Char Char Char"/>
    <w:semiHidden/>
    <w:rsid w:val="004F1F3B"/>
    <w:pPr>
      <w:keepNext/>
      <w:tabs>
        <w:tab w:val="num" w:pos="510"/>
      </w:tabs>
      <w:autoSpaceDE w:val="0"/>
      <w:autoSpaceDN w:val="0"/>
      <w:adjustRightInd w:val="0"/>
      <w:spacing w:before="60" w:after="60"/>
      <w:ind w:left="510" w:hanging="510"/>
      <w:jc w:val="both"/>
    </w:pPr>
    <w:rPr>
      <w:rFonts w:ascii="Arial" w:eastAsia="SimSun" w:hAnsi="Arial" w:cs="Arial"/>
      <w:color w:val="0000FF"/>
      <w:kern w:val="2"/>
      <w:lang w:val="en-US" w:eastAsia="zh-CN"/>
    </w:rPr>
  </w:style>
  <w:style w:type="paragraph" w:customStyle="1" w:styleId="TAH">
    <w:name w:val="TAH"/>
    <w:basedOn w:val="TAC"/>
    <w:link w:val="TAHCar"/>
    <w:qFormat/>
    <w:rsid w:val="004F1F3B"/>
    <w:rPr>
      <w:b/>
    </w:rPr>
  </w:style>
  <w:style w:type="paragraph" w:customStyle="1" w:styleId="TAC">
    <w:name w:val="TAC"/>
    <w:basedOn w:val="Normal"/>
    <w:link w:val="TACChar"/>
    <w:qFormat/>
    <w:rsid w:val="004F1F3B"/>
    <w:pPr>
      <w:keepNext/>
      <w:keepLines/>
      <w:overflowPunct w:val="0"/>
      <w:autoSpaceDE w:val="0"/>
      <w:autoSpaceDN w:val="0"/>
      <w:adjustRightInd w:val="0"/>
      <w:jc w:val="center"/>
      <w:textAlignment w:val="baseline"/>
    </w:pPr>
    <w:rPr>
      <w:rFonts w:ascii="Arial" w:eastAsia="Times New Roman" w:hAnsi="Arial"/>
      <w:sz w:val="18"/>
      <w:szCs w:val="20"/>
      <w:lang w:eastAsia="ja-JP"/>
    </w:rPr>
  </w:style>
  <w:style w:type="character" w:customStyle="1" w:styleId="TACChar">
    <w:name w:val="TAC Char"/>
    <w:link w:val="TAC"/>
    <w:qFormat/>
    <w:rsid w:val="004F1F3B"/>
    <w:rPr>
      <w:rFonts w:ascii="Arial" w:hAnsi="Arial"/>
      <w:sz w:val="18"/>
      <w:lang w:val="en-GB" w:eastAsia="ja-JP" w:bidi="ar-SA"/>
    </w:rPr>
  </w:style>
  <w:style w:type="paragraph" w:customStyle="1" w:styleId="TAL">
    <w:name w:val="TAL"/>
    <w:basedOn w:val="Normal"/>
    <w:link w:val="TALChar"/>
    <w:qFormat/>
    <w:rsid w:val="004F1F3B"/>
    <w:pPr>
      <w:keepNext/>
      <w:keepLines/>
    </w:pPr>
    <w:rPr>
      <w:rFonts w:ascii="Arial" w:eastAsia="SimSun" w:hAnsi="Arial"/>
      <w:sz w:val="18"/>
      <w:szCs w:val="20"/>
    </w:rPr>
  </w:style>
  <w:style w:type="paragraph" w:customStyle="1" w:styleId="msolistparagraph0">
    <w:name w:val="msolistparagraph"/>
    <w:basedOn w:val="Normal"/>
    <w:rsid w:val="00822B87"/>
    <w:pPr>
      <w:ind w:left="720"/>
      <w:jc w:val="both"/>
    </w:pPr>
    <w:rPr>
      <w:rFonts w:ascii="Calibri" w:hAnsi="Calibri"/>
      <w:sz w:val="21"/>
      <w:szCs w:val="21"/>
      <w:lang w:eastAsia="ja-JP"/>
    </w:rPr>
  </w:style>
  <w:style w:type="character" w:customStyle="1" w:styleId="CRCoverPageZchn">
    <w:name w:val="CR Cover Page Zchn"/>
    <w:qFormat/>
    <w:locked/>
    <w:rsid w:val="005B611D"/>
    <w:rPr>
      <w:rFonts w:ascii="Arial" w:eastAsia="SimSun" w:hAnsi="Arial"/>
      <w:lang w:val="en-GB" w:eastAsia="en-US" w:bidi="ar-SA"/>
    </w:rPr>
  </w:style>
  <w:style w:type="paragraph" w:styleId="PlainText">
    <w:name w:val="Plain Text"/>
    <w:basedOn w:val="Normal"/>
    <w:link w:val="PlainTextChar"/>
    <w:uiPriority w:val="99"/>
    <w:unhideWhenUsed/>
    <w:qFormat/>
    <w:rsid w:val="00172EDF"/>
    <w:rPr>
      <w:rFonts w:ascii="Consolas" w:eastAsia="Calibri" w:hAnsi="Consolas" w:cs="Consolas"/>
      <w:sz w:val="21"/>
      <w:szCs w:val="21"/>
      <w:lang w:val="en-US" w:eastAsia="zh-CN"/>
    </w:rPr>
  </w:style>
  <w:style w:type="character" w:customStyle="1" w:styleId="PlainTextChar">
    <w:name w:val="Plain Text Char"/>
    <w:link w:val="PlainText"/>
    <w:uiPriority w:val="99"/>
    <w:qFormat/>
    <w:rsid w:val="00172EDF"/>
    <w:rPr>
      <w:rFonts w:ascii="Consolas" w:eastAsia="Calibri" w:hAnsi="Consolas" w:cs="Consolas"/>
      <w:sz w:val="21"/>
      <w:szCs w:val="21"/>
      <w:lang w:val="en-US" w:eastAsia="zh-CN" w:bidi="ar-SA"/>
    </w:rPr>
  </w:style>
  <w:style w:type="paragraph" w:customStyle="1" w:styleId="IEEEParagraph">
    <w:name w:val="IEEE Paragraph"/>
    <w:basedOn w:val="Normal"/>
    <w:link w:val="IEEEParagraphChar"/>
    <w:rsid w:val="00AA5285"/>
    <w:pPr>
      <w:adjustRightInd w:val="0"/>
      <w:snapToGrid w:val="0"/>
      <w:ind w:firstLine="216"/>
      <w:jc w:val="both"/>
    </w:pPr>
    <w:rPr>
      <w:rFonts w:ascii="Arial" w:eastAsia="SimSun" w:hAnsi="Arial" w:cs="Arial"/>
      <w:color w:val="0000FF"/>
      <w:kern w:val="2"/>
      <w:lang w:val="en-AU" w:eastAsia="zh-CN"/>
    </w:rPr>
  </w:style>
  <w:style w:type="character" w:customStyle="1" w:styleId="IEEEParagraphChar">
    <w:name w:val="IEEE Paragraph Char"/>
    <w:link w:val="IEEEParagraph"/>
    <w:rsid w:val="00AA5285"/>
    <w:rPr>
      <w:rFonts w:ascii="Arial" w:eastAsia="SimSun" w:hAnsi="Arial" w:cs="Arial"/>
      <w:color w:val="0000FF"/>
      <w:kern w:val="2"/>
      <w:szCs w:val="24"/>
      <w:lang w:val="en-AU" w:eastAsia="zh-CN" w:bidi="ar-SA"/>
    </w:rPr>
  </w:style>
  <w:style w:type="paragraph" w:styleId="TOC6">
    <w:name w:val="toc 6"/>
    <w:basedOn w:val="Normal"/>
    <w:next w:val="Normal"/>
    <w:autoRedefine/>
    <w:uiPriority w:val="39"/>
    <w:qFormat/>
    <w:rsid w:val="00CE4CE8"/>
    <w:pPr>
      <w:ind w:left="1000"/>
    </w:pPr>
    <w:rPr>
      <w:rFonts w:asciiTheme="minorHAnsi" w:hAnsiTheme="minorHAnsi" w:cstheme="minorHAnsi"/>
      <w:sz w:val="18"/>
      <w:szCs w:val="18"/>
    </w:rPr>
  </w:style>
  <w:style w:type="paragraph" w:styleId="TOC7">
    <w:name w:val="toc 7"/>
    <w:basedOn w:val="Normal"/>
    <w:next w:val="Normal"/>
    <w:autoRedefine/>
    <w:uiPriority w:val="39"/>
    <w:qFormat/>
    <w:rsid w:val="00CE4CE8"/>
    <w:pPr>
      <w:ind w:left="1200"/>
    </w:pPr>
    <w:rPr>
      <w:rFonts w:asciiTheme="minorHAnsi" w:hAnsiTheme="minorHAnsi" w:cstheme="minorHAnsi"/>
      <w:sz w:val="18"/>
      <w:szCs w:val="18"/>
    </w:rPr>
  </w:style>
  <w:style w:type="paragraph" w:styleId="TOC8">
    <w:name w:val="toc 8"/>
    <w:basedOn w:val="Normal"/>
    <w:next w:val="Normal"/>
    <w:autoRedefine/>
    <w:uiPriority w:val="39"/>
    <w:qFormat/>
    <w:rsid w:val="00CE4CE8"/>
    <w:pPr>
      <w:ind w:left="1400"/>
    </w:pPr>
    <w:rPr>
      <w:rFonts w:asciiTheme="minorHAnsi" w:hAnsiTheme="minorHAnsi" w:cstheme="minorHAnsi"/>
      <w:sz w:val="18"/>
      <w:szCs w:val="18"/>
    </w:rPr>
  </w:style>
  <w:style w:type="paragraph" w:styleId="TOC9">
    <w:name w:val="toc 9"/>
    <w:basedOn w:val="Normal"/>
    <w:next w:val="Normal"/>
    <w:autoRedefine/>
    <w:uiPriority w:val="39"/>
    <w:qFormat/>
    <w:rsid w:val="00CE4CE8"/>
    <w:pPr>
      <w:ind w:left="1600"/>
    </w:pPr>
    <w:rPr>
      <w:rFonts w:asciiTheme="minorHAnsi" w:hAnsiTheme="minorHAnsi" w:cstheme="minorHAnsi"/>
      <w:sz w:val="18"/>
      <w:szCs w:val="18"/>
    </w:rPr>
  </w:style>
  <w:style w:type="table" w:styleId="TableGrid">
    <w:name w:val="Table Grid"/>
    <w:aliases w:val="TableGrid,网格型"/>
    <w:basedOn w:val="TableNormal"/>
    <w:uiPriority w:val="59"/>
    <w:qFormat/>
    <w:rsid w:val="00EC712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Date">
    <w:name w:val="Date"/>
    <w:basedOn w:val="Normal"/>
    <w:next w:val="Normal"/>
    <w:link w:val="DateChar"/>
    <w:qFormat/>
    <w:rsid w:val="00EC7122"/>
    <w:pPr>
      <w:ind w:left="1440" w:hanging="1440"/>
    </w:pPr>
  </w:style>
  <w:style w:type="paragraph" w:customStyle="1" w:styleId="3GPPNormalText">
    <w:name w:val="3GPP Normal Text"/>
    <w:basedOn w:val="BodyText"/>
    <w:link w:val="3GPPNormalTextChar"/>
    <w:qFormat/>
    <w:rsid w:val="00EC7122"/>
    <w:pPr>
      <w:ind w:left="1440" w:hanging="1440"/>
    </w:pPr>
    <w:rPr>
      <w:rFonts w:ascii="Times New Roman" w:eastAsia="MS Mincho" w:hAnsi="Times New Roman"/>
      <w:sz w:val="22"/>
      <w:lang w:val="x-none" w:eastAsia="x-none"/>
    </w:rPr>
  </w:style>
  <w:style w:type="character" w:customStyle="1" w:styleId="3GPPNormalTextChar">
    <w:name w:val="3GPP Normal Text Char"/>
    <w:link w:val="3GPPNormalText"/>
    <w:qFormat/>
    <w:rsid w:val="00EC7122"/>
    <w:rPr>
      <w:rFonts w:eastAsia="MS Mincho"/>
      <w:sz w:val="22"/>
      <w:szCs w:val="24"/>
      <w:lang w:val="x-none" w:eastAsia="x-none" w:bidi="ar-SA"/>
    </w:rPr>
  </w:style>
  <w:style w:type="paragraph" w:customStyle="1" w:styleId="Statement">
    <w:name w:val="Statement"/>
    <w:basedOn w:val="Normal"/>
    <w:qFormat/>
    <w:rsid w:val="00EC7122"/>
    <w:pPr>
      <w:keepNext/>
      <w:ind w:left="601" w:hanging="601"/>
    </w:pPr>
    <w:rPr>
      <w:rFonts w:ascii="Times New Roman" w:hAnsi="Times New Roman"/>
      <w:b/>
      <w:i/>
      <w:lang w:val="en-US" w:eastAsia="ko-KR"/>
    </w:rPr>
  </w:style>
  <w:style w:type="paragraph" w:customStyle="1" w:styleId="B2">
    <w:name w:val="B2"/>
    <w:basedOn w:val="List2"/>
    <w:link w:val="B2Char"/>
    <w:qFormat/>
    <w:rsid w:val="00EC7122"/>
    <w:pPr>
      <w:spacing w:after="180"/>
      <w:ind w:left="851" w:hanging="284"/>
    </w:pPr>
    <w:rPr>
      <w:rFonts w:ascii="Times New Roman" w:eastAsia="MS Mincho" w:hAnsi="Times New Roman"/>
      <w:szCs w:val="20"/>
    </w:rPr>
  </w:style>
  <w:style w:type="character" w:customStyle="1" w:styleId="B2Char">
    <w:name w:val="B2 Char"/>
    <w:link w:val="B2"/>
    <w:qFormat/>
    <w:rsid w:val="00EC7122"/>
    <w:rPr>
      <w:rFonts w:eastAsia="MS Mincho"/>
      <w:lang w:val="en-GB" w:eastAsia="en-US" w:bidi="ar-SA"/>
    </w:rPr>
  </w:style>
  <w:style w:type="paragraph" w:styleId="List2">
    <w:name w:val="List 2"/>
    <w:basedOn w:val="Normal"/>
    <w:link w:val="List2Char"/>
    <w:qFormat/>
    <w:rsid w:val="00EC7122"/>
    <w:pPr>
      <w:ind w:left="566" w:hanging="283"/>
    </w:pPr>
  </w:style>
  <w:style w:type="character" w:customStyle="1" w:styleId="Alcatel-Lucent-4">
    <w:name w:val="Alcatel-Lucent-4"/>
    <w:semiHidden/>
    <w:rsid w:val="00EC7122"/>
    <w:rPr>
      <w:rFonts w:ascii="Arial" w:hAnsi="Arial" w:cs="Arial"/>
      <w:color w:val="auto"/>
      <w:sz w:val="20"/>
      <w:szCs w:val="20"/>
    </w:rPr>
  </w:style>
  <w:style w:type="paragraph" w:customStyle="1" w:styleId="ZchnZchn">
    <w:name w:val="Zchn Zchn"/>
    <w:qFormat/>
    <w:rsid w:val="00EC7122"/>
    <w:pPr>
      <w:keepNext/>
      <w:numPr>
        <w:numId w:val="10"/>
      </w:numPr>
      <w:suppressAutoHyphens/>
      <w:autoSpaceDE w:val="0"/>
      <w:spacing w:before="60" w:after="60"/>
      <w:jc w:val="both"/>
    </w:pPr>
    <w:rPr>
      <w:rFonts w:ascii="Arial" w:eastAsia="SimSun" w:hAnsi="Arial" w:cs="Arial"/>
      <w:color w:val="0000FF"/>
      <w:kern w:val="1"/>
      <w:lang w:val="en-US" w:eastAsia="ar-SA"/>
    </w:rPr>
  </w:style>
  <w:style w:type="paragraph" w:customStyle="1" w:styleId="EQ">
    <w:name w:val="EQ"/>
    <w:basedOn w:val="Normal"/>
    <w:next w:val="Normal"/>
    <w:qFormat/>
    <w:rsid w:val="00EC7122"/>
    <w:pPr>
      <w:keepLines/>
      <w:tabs>
        <w:tab w:val="center" w:pos="4536"/>
        <w:tab w:val="right" w:pos="9072"/>
      </w:tabs>
      <w:spacing w:after="180"/>
    </w:pPr>
    <w:rPr>
      <w:rFonts w:ascii="Times New Roman" w:eastAsia="Times New Roman" w:hAnsi="Times New Roman"/>
      <w:noProof/>
      <w:szCs w:val="20"/>
    </w:rPr>
  </w:style>
  <w:style w:type="character" w:customStyle="1" w:styleId="Alcatel-Lucent2">
    <w:name w:val="Alcatel-Lucent2"/>
    <w:semiHidden/>
    <w:rsid w:val="00EC7122"/>
    <w:rPr>
      <w:rFonts w:ascii="Arial" w:hAnsi="Arial" w:cs="Arial"/>
      <w:color w:val="auto"/>
      <w:sz w:val="20"/>
      <w:szCs w:val="20"/>
    </w:rPr>
  </w:style>
  <w:style w:type="character" w:customStyle="1" w:styleId="CaptionChar1">
    <w:name w:val="Caption Char1"/>
    <w:aliases w:val="cap Char1,cap Char Char,Caption Char Char,Caption Char1 Char Char,cap Char Char1 Char,Caption Char Char1 Char Char,cap Char2 Char,条目 Char,3GPP Caption Table Char1,cap1 Char,cap2 Char,cap11 Char1,Légende-figure Char1,Beschrifubg Char,题 Char"/>
    <w:link w:val="Caption"/>
    <w:uiPriority w:val="99"/>
    <w:qFormat/>
    <w:rsid w:val="00EC7122"/>
    <w:rPr>
      <w:b/>
      <w:lang w:val="en-GB" w:eastAsia="en-GB" w:bidi="ar-SA"/>
    </w:rPr>
  </w:style>
  <w:style w:type="numbering" w:customStyle="1" w:styleId="1">
    <w:name w:val="現在のリスト1"/>
    <w:rsid w:val="0032429A"/>
    <w:pPr>
      <w:numPr>
        <w:numId w:val="12"/>
      </w:numPr>
    </w:pPr>
  </w:style>
  <w:style w:type="numbering" w:customStyle="1" w:styleId="2">
    <w:name w:val="現在のリスト2"/>
    <w:rsid w:val="0032429A"/>
    <w:pPr>
      <w:numPr>
        <w:numId w:val="13"/>
      </w:numPr>
    </w:pPr>
  </w:style>
  <w:style w:type="numbering" w:styleId="ArticleSection">
    <w:name w:val="Outline List 3"/>
    <w:basedOn w:val="NoList"/>
    <w:rsid w:val="0032429A"/>
    <w:pPr>
      <w:numPr>
        <w:numId w:val="14"/>
      </w:numPr>
    </w:pPr>
  </w:style>
  <w:style w:type="numbering" w:customStyle="1" w:styleId="3">
    <w:name w:val="現在のリスト3"/>
    <w:rsid w:val="0032429A"/>
    <w:pPr>
      <w:numPr>
        <w:numId w:val="15"/>
      </w:numPr>
    </w:pPr>
  </w:style>
  <w:style w:type="numbering" w:customStyle="1" w:styleId="10">
    <w:name w:val="スタイル1"/>
    <w:rsid w:val="0032429A"/>
    <w:pPr>
      <w:numPr>
        <w:numId w:val="16"/>
      </w:numPr>
    </w:pPr>
  </w:style>
  <w:style w:type="numbering" w:styleId="111111">
    <w:name w:val="Outline List 2"/>
    <w:basedOn w:val="NoList"/>
    <w:rsid w:val="0032429A"/>
    <w:pPr>
      <w:numPr>
        <w:numId w:val="17"/>
      </w:numPr>
    </w:pPr>
  </w:style>
  <w:style w:type="paragraph" w:customStyle="1" w:styleId="a8">
    <w:name w:val="リスト段落"/>
    <w:basedOn w:val="Normal"/>
    <w:uiPriority w:val="34"/>
    <w:qFormat/>
    <w:rsid w:val="00074EB6"/>
    <w:pPr>
      <w:ind w:firstLineChars="200" w:firstLine="420"/>
    </w:pPr>
    <w:rPr>
      <w:rFonts w:ascii="Times New Roman" w:eastAsia="Times New Roman" w:hAnsi="Times New Roman"/>
      <w:lang w:val="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qFormat/>
    <w:rsid w:val="00FD1435"/>
    <w:rPr>
      <w:rFonts w:ascii="Arial" w:hAnsi="Arial" w:cs="Arial"/>
      <w:b/>
      <w:bCs/>
      <w:i/>
      <w:szCs w:val="26"/>
      <w:lang w:eastAsia="en-US"/>
    </w:rPr>
  </w:style>
  <w:style w:type="character" w:customStyle="1" w:styleId="Heading5Char">
    <w:name w:val="Heading 5 Char"/>
    <w:aliases w:val="H5 Char,h5 Char,Heading5 Char,标题 5 Char"/>
    <w:basedOn w:val="DefaultParagraphFont"/>
    <w:link w:val="Heading5"/>
    <w:qFormat/>
    <w:rsid w:val="00FD1435"/>
    <w:rPr>
      <w:rFonts w:ascii="Arial" w:hAnsi="Arial" w:cs="Arial"/>
      <w:b/>
      <w:iCs/>
      <w:sz w:val="18"/>
      <w:szCs w:val="26"/>
      <w:lang w:eastAsia="en-US"/>
    </w:rPr>
  </w:style>
  <w:style w:type="character" w:customStyle="1" w:styleId="NOChar">
    <w:name w:val="NO Char"/>
    <w:link w:val="NO"/>
    <w:qFormat/>
    <w:locked/>
    <w:rsid w:val="00D51C82"/>
    <w:rPr>
      <w:sz w:val="24"/>
      <w:lang w:eastAsia="en-US"/>
    </w:rPr>
  </w:style>
  <w:style w:type="paragraph" w:customStyle="1" w:styleId="CharChar1CharCharCharCharCharCharCharCharCharCharCharCharCharCharChar1">
    <w:name w:val="Char Char1 Char Char Char Char Char Char Char Char Char Char Char Char Char Char Char1"/>
    <w:semiHidden/>
    <w:rsid w:val="00EC6924"/>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CommentTextChar">
    <w:name w:val="Comment Text Char"/>
    <w:link w:val="CommentText"/>
    <w:qFormat/>
    <w:rsid w:val="00EC6924"/>
    <w:rPr>
      <w:rFonts w:ascii="Times" w:hAnsi="Times"/>
      <w:lang w:eastAsia="en-US"/>
    </w:rPr>
  </w:style>
  <w:style w:type="character" w:customStyle="1" w:styleId="NOZchn">
    <w:name w:val="NO Zchn"/>
    <w:rsid w:val="00176707"/>
    <w:rPr>
      <w:color w:val="000000"/>
      <w:lang w:eastAsia="ja-JP"/>
    </w:rPr>
  </w:style>
  <w:style w:type="character" w:customStyle="1" w:styleId="ListParagraphChar">
    <w:name w:val="List Paragraph Char"/>
    <w:aliases w:val="- Bullets Char2,?? ?? Char2,????? Char2,???? Char2,Lista1 Char2,列出段落 Char1,中等深浅网格 1 - 着色 21 Char1,列表段落 Char,¥¡¡¡¡ì¬º¥¹¥È¶ÎÂä Char1,ÁÐ³ö¶ÎÂä Char1,¥ê¥¹¥È¶ÎÂä Char1,列表段落1 Char1,—ño’i—Ž Char,1st level - Bullet List Paragraph Char"/>
    <w:link w:val="ListParagraph"/>
    <w:uiPriority w:val="34"/>
    <w:qFormat/>
    <w:locked/>
    <w:rsid w:val="00FF0E7C"/>
    <w:rPr>
      <w:rFonts w:eastAsia="SimSun"/>
      <w:lang w:eastAsia="ja-JP"/>
    </w:rPr>
  </w:style>
  <w:style w:type="paragraph" w:customStyle="1" w:styleId="07cm12pt12">
    <w:name w:val="스타일 첫 줄:  0.7 cm 앞: 12 pt 줄 간격: 배수 1.2 줄"/>
    <w:basedOn w:val="Normal"/>
    <w:rsid w:val="007200CC"/>
    <w:pPr>
      <w:spacing w:before="240" w:after="120" w:line="288" w:lineRule="auto"/>
      <w:ind w:firstLine="397"/>
      <w:jc w:val="both"/>
    </w:pPr>
    <w:rPr>
      <w:rFonts w:cs="Batang"/>
      <w:szCs w:val="20"/>
    </w:rPr>
  </w:style>
  <w:style w:type="character" w:customStyle="1" w:styleId="TAHCar">
    <w:name w:val="TAH Car"/>
    <w:link w:val="TAH"/>
    <w:qFormat/>
    <w:rsid w:val="00A919E8"/>
    <w:rPr>
      <w:rFonts w:ascii="Arial" w:eastAsia="Times New Roman" w:hAnsi="Arial"/>
      <w:b/>
      <w:sz w:val="18"/>
      <w:lang w:eastAsia="ja-JP"/>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basedOn w:val="DefaultParagraphFont"/>
    <w:link w:val="BodyText"/>
    <w:qFormat/>
    <w:locked/>
    <w:rsid w:val="007E4893"/>
    <w:rPr>
      <w:rFonts w:ascii="Times" w:hAnsi="Times"/>
      <w:szCs w:val="24"/>
      <w:lang w:eastAsia="en-US"/>
    </w:rPr>
  </w:style>
  <w:style w:type="character" w:customStyle="1" w:styleId="TALChar">
    <w:name w:val="TAL Char"/>
    <w:link w:val="TAL"/>
    <w:qFormat/>
    <w:locked/>
    <w:rsid w:val="00074313"/>
    <w:rPr>
      <w:rFonts w:ascii="Arial" w:eastAsia="SimSun" w:hAnsi="Arial"/>
      <w:sz w:val="18"/>
      <w:lang w:eastAsia="en-US"/>
    </w:rPr>
  </w:style>
  <w:style w:type="character" w:customStyle="1" w:styleId="Heading2Char1">
    <w:name w:val="Heading 2 Char1"/>
    <w:aliases w:val="H2 Char1,h2 Char1,Head2A Char,2 Char,UNDERRUBRIK 1-2 Char,DO NOT USE_h2 Char,h21 Char,Heading 2 Char Char,H2 Char Char,h2 Char Char,标题 2 Char,Header 2 Char,Header2 Char,22 Char,heading2 Char,2nd level Char,H21 Char,H22 Char,H23 Char"/>
    <w:basedOn w:val="DefaultParagraphFont"/>
    <w:link w:val="Heading2"/>
    <w:qFormat/>
    <w:rsid w:val="00C010B7"/>
    <w:rPr>
      <w:rFonts w:ascii="Arial" w:hAnsi="Arial" w:cs="Arial"/>
      <w:b/>
      <w:bCs/>
      <w:i/>
      <w:iCs/>
      <w:sz w:val="24"/>
      <w:szCs w:val="28"/>
      <w:lang w:eastAsia="en-US"/>
    </w:rPr>
  </w:style>
  <w:style w:type="character" w:styleId="Strong">
    <w:name w:val="Strong"/>
    <w:basedOn w:val="DefaultParagraphFont"/>
    <w:uiPriority w:val="22"/>
    <w:qFormat/>
    <w:rsid w:val="00C010B7"/>
    <w:rPr>
      <w:b/>
      <w:bCs/>
    </w:rPr>
  </w:style>
  <w:style w:type="paragraph" w:customStyle="1" w:styleId="CharCharCharCharCharChar2">
    <w:name w:val="Char Char Char Char Char Char2"/>
    <w:semiHidden/>
    <w:rsid w:val="0016300F"/>
    <w:pPr>
      <w:keepNext/>
      <w:tabs>
        <w:tab w:val="num" w:pos="510"/>
      </w:tabs>
      <w:autoSpaceDE w:val="0"/>
      <w:autoSpaceDN w:val="0"/>
      <w:adjustRightInd w:val="0"/>
      <w:spacing w:before="60" w:after="60"/>
      <w:ind w:left="510" w:hanging="510"/>
      <w:jc w:val="both"/>
    </w:pPr>
    <w:rPr>
      <w:rFonts w:ascii="Arial" w:eastAsia="SimSun" w:hAnsi="Arial" w:cs="Arial"/>
      <w:color w:val="0000FF"/>
      <w:kern w:val="2"/>
      <w:lang w:val="en-US" w:eastAsia="zh-CN"/>
    </w:rPr>
  </w:style>
  <w:style w:type="character" w:customStyle="1" w:styleId="Heading1Char1">
    <w:name w:val="Heading 1 Char1"/>
    <w:aliases w:val="NMP Heading 1 Char,H1 Char,h11 Char,h12 Char,h13 Char,h14 Char,h15 Char,h16 Char,app heading 1 Char,l1 Char,Memo Heading 1 Char,Heading 1_a Char,heading 1 Char,h17 Char,h111 Char,h121 Char,h131 Char,h141 Char,h151 Char,h161 Char,h18 Char"/>
    <w:basedOn w:val="DefaultParagraphFont"/>
    <w:link w:val="Heading1"/>
    <w:qFormat/>
    <w:locked/>
    <w:rsid w:val="0016300F"/>
    <w:rPr>
      <w:rFonts w:ascii="Arial" w:hAnsi="Arial" w:cs="Arial"/>
      <w:b/>
      <w:bCs/>
      <w:kern w:val="32"/>
      <w:sz w:val="32"/>
      <w:szCs w:val="32"/>
      <w:lang w:eastAsia="en-US"/>
    </w:rPr>
  </w:style>
  <w:style w:type="paragraph" w:customStyle="1" w:styleId="H6">
    <w:name w:val="H6"/>
    <w:basedOn w:val="Heading5"/>
    <w:next w:val="Normal"/>
    <w:qFormat/>
    <w:rsid w:val="0016300F"/>
    <w:pPr>
      <w:keepLines/>
      <w:numPr>
        <w:ilvl w:val="0"/>
        <w:numId w:val="0"/>
      </w:numPr>
      <w:tabs>
        <w:tab w:val="num" w:pos="360"/>
        <w:tab w:val="num" w:pos="1008"/>
      </w:tabs>
      <w:spacing w:before="120" w:after="180"/>
      <w:ind w:left="1985" w:hanging="1985"/>
      <w:outlineLvl w:val="9"/>
    </w:pPr>
    <w:rPr>
      <w:rFonts w:eastAsia="MS Mincho" w:cs="Times New Roman"/>
      <w:b w:val="0"/>
      <w:iCs w:val="0"/>
      <w:sz w:val="20"/>
      <w:szCs w:val="20"/>
    </w:rPr>
  </w:style>
  <w:style w:type="character" w:customStyle="1" w:styleId="PlainTextChar1">
    <w:name w:val="Plain Text Char1"/>
    <w:uiPriority w:val="99"/>
    <w:semiHidden/>
    <w:locked/>
    <w:rsid w:val="00CC74CD"/>
    <w:rPr>
      <w:rFonts w:ascii="Consolas" w:hAnsi="Consolas"/>
      <w:sz w:val="21"/>
      <w:szCs w:val="21"/>
      <w:lang w:bidi="ar-SA"/>
    </w:rPr>
  </w:style>
  <w:style w:type="paragraph" w:customStyle="1" w:styleId="CharChar1CharCharCharCharCharCharCharCharCharCharCharCharCharCharChar34">
    <w:name w:val="Char Char1 Char Char Char Char Char Char Char Char Char Char Char Char Char Char Char34"/>
    <w:semiHidden/>
    <w:rsid w:val="00F6151A"/>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TableCell">
    <w:name w:val="TableCell"/>
    <w:basedOn w:val="Normal"/>
    <w:qFormat/>
    <w:rsid w:val="00F6151A"/>
    <w:pPr>
      <w:autoSpaceDE w:val="0"/>
      <w:autoSpaceDN w:val="0"/>
      <w:adjustRightInd w:val="0"/>
      <w:snapToGrid w:val="0"/>
      <w:spacing w:before="20" w:after="20"/>
    </w:pPr>
    <w:rPr>
      <w:rFonts w:ascii="Times New Roman" w:eastAsia="Times New Roman" w:hAnsi="Times New Roman"/>
      <w:szCs w:val="21"/>
      <w:lang w:val="en-US" w:eastAsia="zh-CN"/>
    </w:rPr>
  </w:style>
  <w:style w:type="character" w:customStyle="1" w:styleId="FooterChar">
    <w:name w:val="Footer Char"/>
    <w:basedOn w:val="DefaultParagraphFont"/>
    <w:link w:val="Footer"/>
    <w:qFormat/>
    <w:rsid w:val="00F6151A"/>
    <w:rPr>
      <w:rFonts w:ascii="Times" w:hAnsi="Times"/>
      <w:szCs w:val="24"/>
      <w:lang w:eastAsia="en-US"/>
    </w:rPr>
  </w:style>
  <w:style w:type="paragraph" w:customStyle="1" w:styleId="TH">
    <w:name w:val="TH"/>
    <w:basedOn w:val="Normal"/>
    <w:link w:val="THChar"/>
    <w:qFormat/>
    <w:rsid w:val="008A05F8"/>
    <w:pPr>
      <w:keepNext/>
      <w:keepLines/>
      <w:overflowPunct w:val="0"/>
      <w:autoSpaceDE w:val="0"/>
      <w:autoSpaceDN w:val="0"/>
      <w:adjustRightInd w:val="0"/>
      <w:spacing w:before="60" w:after="180"/>
      <w:jc w:val="center"/>
      <w:textAlignment w:val="baseline"/>
    </w:pPr>
    <w:rPr>
      <w:rFonts w:ascii="Arial" w:eastAsia="Times New Roman" w:hAnsi="Arial"/>
      <w:b/>
      <w:szCs w:val="20"/>
      <w:lang w:eastAsia="en-GB"/>
    </w:rPr>
  </w:style>
  <w:style w:type="character" w:customStyle="1" w:styleId="THChar">
    <w:name w:val="TH Char"/>
    <w:link w:val="TH"/>
    <w:qFormat/>
    <w:rsid w:val="008A05F8"/>
    <w:rPr>
      <w:rFonts w:ascii="Arial" w:eastAsia="Times New Roman" w:hAnsi="Arial"/>
      <w:b/>
    </w:rPr>
  </w:style>
  <w:style w:type="character" w:customStyle="1" w:styleId="H2Char2">
    <w:name w:val="H2 Char2"/>
    <w:aliases w:val="h2 Char2,Head2A Char1,2 Char1,UNDERRUBRIK 1-2 Char1,DO NOT USE_h2 Char1,h21 Char1,H2 Char Char1,h2 Char Char1,标题 2 Char1,Header 2 Char1,Header2 Char1,22 Char1,heading2 Char1,2nd level Char1,H21 Char1,H22 Char1,H23 Char1,H24 Char1,H25 Char,R2 Ch"/>
    <w:basedOn w:val="DefaultParagraphFont"/>
    <w:qFormat/>
    <w:rsid w:val="000E6C90"/>
    <w:rPr>
      <w:rFonts w:ascii="Arial" w:eastAsia="Times New Roman" w:hAnsi="Arial" w:cs="Arial"/>
      <w:i/>
      <w:iCs/>
      <w:sz w:val="24"/>
      <w:szCs w:val="28"/>
      <w:lang w:eastAsia="en-US"/>
    </w:rPr>
  </w:style>
  <w:style w:type="character" w:customStyle="1" w:styleId="H1Char1">
    <w:name w:val="H1 Char1"/>
    <w:aliases w:val="h1 Char1,app heading 1 Char1,l1 Char1,Memo Heading 1 Char1,h11 Char1,h12 Char1,h13 Char1,h14 Char1,h15 Char1,h16 Char1,NMP Heading 1 Char1,Heading 1_a Char1,heading 1 Char1,h17 Char1,h111 Char1,h121 Char1,h131 Char1,h141 Char1,h151 Char1"/>
    <w:basedOn w:val="DefaultParagraphFont"/>
    <w:uiPriority w:val="9"/>
    <w:rsid w:val="009A1CD3"/>
    <w:rPr>
      <w:rFonts w:ascii="Arial" w:eastAsia="MS Gothic" w:hAnsi="Arial"/>
      <w:kern w:val="28"/>
      <w:sz w:val="28"/>
      <w:lang w:eastAsia="ja-JP"/>
    </w:rPr>
  </w:style>
  <w:style w:type="character" w:customStyle="1" w:styleId="3GPPCaptionTableChar">
    <w:name w:val="3GPP Caption Table Char"/>
    <w:aliases w:val="cap Char2 Char1,cap Char2 Char Char,Ca Char"/>
    <w:rsid w:val="00FB29B9"/>
    <w:rPr>
      <w:rFonts w:ascii="Times New Roman" w:eastAsia="Times New Roman" w:hAnsi="Times New Roman"/>
      <w:b/>
      <w:bCs/>
    </w:rPr>
  </w:style>
  <w:style w:type="paragraph" w:customStyle="1" w:styleId="Text">
    <w:name w:val="Text"/>
    <w:basedOn w:val="Normal"/>
    <w:link w:val="TextChar"/>
    <w:qFormat/>
    <w:rsid w:val="00FB29B9"/>
    <w:rPr>
      <w:lang w:eastAsia="en-GB"/>
    </w:rPr>
  </w:style>
  <w:style w:type="character" w:customStyle="1" w:styleId="TextChar">
    <w:name w:val="Text Char"/>
    <w:link w:val="Text"/>
    <w:rsid w:val="00FB29B9"/>
    <w:rPr>
      <w:rFonts w:ascii="Times" w:hAnsi="Times"/>
      <w:szCs w:val="24"/>
    </w:rPr>
  </w:style>
  <w:style w:type="character" w:customStyle="1" w:styleId="B1Char1">
    <w:name w:val="B1 Char1"/>
    <w:qFormat/>
    <w:locked/>
    <w:rsid w:val="001278D3"/>
    <w:rPr>
      <w:lang w:eastAsia="en-GB"/>
    </w:rPr>
  </w:style>
  <w:style w:type="paragraph" w:customStyle="1" w:styleId="20">
    <w:name w:val="我的正文首行2缩进"/>
    <w:basedOn w:val="Normal"/>
    <w:rsid w:val="00535DCF"/>
    <w:pPr>
      <w:widowControl w:val="0"/>
      <w:snapToGrid w:val="0"/>
      <w:ind w:firstLine="420"/>
      <w:jc w:val="both"/>
    </w:pPr>
    <w:rPr>
      <w:rFonts w:ascii="Times New Roman" w:eastAsia="SimSun" w:hAnsi="Times New Roman" w:cs="SimSun"/>
      <w:sz w:val="21"/>
      <w:szCs w:val="20"/>
      <w:lang w:val="en-US" w:eastAsia="zh-CN"/>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qFormat/>
    <w:rsid w:val="007B6D2D"/>
    <w:rPr>
      <w:rFonts w:ascii="Times" w:hAnsi="Times"/>
      <w:lang w:val="en-US" w:eastAsia="en-US"/>
    </w:rPr>
  </w:style>
  <w:style w:type="paragraph" w:customStyle="1" w:styleId="Paragraph">
    <w:name w:val="Paragraph"/>
    <w:basedOn w:val="Normal"/>
    <w:link w:val="ParagraphChar"/>
    <w:qFormat/>
    <w:rsid w:val="000F2DDE"/>
    <w:pPr>
      <w:spacing w:before="220"/>
    </w:pPr>
    <w:rPr>
      <w:rFonts w:ascii="Times New Roman" w:eastAsia="MS Mincho" w:hAnsi="Times New Roman"/>
      <w:sz w:val="22"/>
      <w:szCs w:val="20"/>
    </w:rPr>
  </w:style>
  <w:style w:type="character" w:customStyle="1" w:styleId="im-content1">
    <w:name w:val="im-content1"/>
    <w:basedOn w:val="DefaultParagraphFont"/>
    <w:rsid w:val="00840707"/>
    <w:rPr>
      <w:color w:val="333333"/>
    </w:rPr>
  </w:style>
  <w:style w:type="paragraph" w:customStyle="1" w:styleId="Standard">
    <w:name w:val="Standard"/>
    <w:rsid w:val="006C44E3"/>
    <w:pPr>
      <w:widowControl w:val="0"/>
      <w:suppressAutoHyphens/>
      <w:spacing w:after="120"/>
      <w:textAlignment w:val="baseline"/>
    </w:pPr>
    <w:rPr>
      <w:rFonts w:eastAsia="Times" w:cs="Times"/>
      <w:kern w:val="1"/>
      <w:sz w:val="22"/>
      <w:lang w:val="en-US" w:eastAsia="zh-CN"/>
    </w:rPr>
  </w:style>
  <w:style w:type="paragraph" w:customStyle="1" w:styleId="enumlev2">
    <w:name w:val="enumlev2"/>
    <w:basedOn w:val="enumlev1"/>
    <w:rsid w:val="00B87025"/>
    <w:pPr>
      <w:tabs>
        <w:tab w:val="clear" w:pos="794"/>
        <w:tab w:val="clear" w:pos="1191"/>
        <w:tab w:val="clear" w:pos="1588"/>
        <w:tab w:val="clear" w:pos="1985"/>
        <w:tab w:val="left" w:pos="1134"/>
        <w:tab w:val="left" w:pos="1871"/>
        <w:tab w:val="left" w:pos="2608"/>
        <w:tab w:val="left" w:pos="3345"/>
      </w:tabs>
      <w:ind w:left="1871" w:hanging="737"/>
    </w:pPr>
  </w:style>
  <w:style w:type="character" w:customStyle="1" w:styleId="enumlev1Char">
    <w:name w:val="enumlev1 Char"/>
    <w:link w:val="enumlev1"/>
    <w:uiPriority w:val="99"/>
    <w:locked/>
    <w:rsid w:val="00B87025"/>
    <w:rPr>
      <w:rFonts w:eastAsia="Times New Roman"/>
      <w:sz w:val="24"/>
      <w:lang w:eastAsia="en-US"/>
    </w:rPr>
  </w:style>
  <w:style w:type="paragraph" w:customStyle="1" w:styleId="a9">
    <w:name w:val="样式 (中文) 宋体 两端对齐"/>
    <w:basedOn w:val="Normal"/>
    <w:rsid w:val="00722319"/>
    <w:pPr>
      <w:overflowPunct w:val="0"/>
      <w:autoSpaceDE w:val="0"/>
      <w:autoSpaceDN w:val="0"/>
      <w:adjustRightInd w:val="0"/>
      <w:spacing w:after="180"/>
      <w:jc w:val="both"/>
      <w:textAlignment w:val="baseline"/>
    </w:pPr>
    <w:rPr>
      <w:rFonts w:ascii="Times New Roman" w:eastAsia="SimSun" w:hAnsi="Times New Roman" w:cs="SimSun"/>
      <w:szCs w:val="20"/>
      <w:lang w:eastAsia="en-GB"/>
    </w:rPr>
  </w:style>
  <w:style w:type="paragraph" w:customStyle="1" w:styleId="Normal1">
    <w:name w:val="Normal1"/>
    <w:qFormat/>
    <w:rsid w:val="00CA0FDD"/>
    <w:pPr>
      <w:spacing w:after="200" w:line="276" w:lineRule="auto"/>
    </w:pPr>
    <w:rPr>
      <w:rFonts w:eastAsia="Times New Roman"/>
      <w:color w:val="000000"/>
      <w:lang w:val="en-US" w:eastAsia="en-US"/>
    </w:rPr>
  </w:style>
  <w:style w:type="paragraph" w:customStyle="1" w:styleId="maintext">
    <w:name w:val="main text"/>
    <w:basedOn w:val="Normal"/>
    <w:link w:val="maintextChar"/>
    <w:qFormat/>
    <w:rsid w:val="00224354"/>
    <w:pPr>
      <w:spacing w:before="60" w:after="60" w:line="288" w:lineRule="auto"/>
      <w:ind w:firstLineChars="200" w:firstLine="200"/>
      <w:jc w:val="both"/>
    </w:pPr>
    <w:rPr>
      <w:rFonts w:ascii="Times New Roman" w:eastAsia="Malgun Gothic" w:hAnsi="Times New Roman" w:cs="Batang"/>
      <w:szCs w:val="20"/>
      <w:lang w:eastAsia="ko-KR"/>
    </w:rPr>
  </w:style>
  <w:style w:type="character" w:customStyle="1" w:styleId="maintextChar">
    <w:name w:val="main text Char"/>
    <w:basedOn w:val="DefaultParagraphFont"/>
    <w:link w:val="maintext"/>
    <w:qFormat/>
    <w:rsid w:val="00224354"/>
    <w:rPr>
      <w:rFonts w:eastAsia="Malgun Gothic" w:cs="Batang"/>
      <w:lang w:eastAsia="ko-KR"/>
    </w:rPr>
  </w:style>
  <w:style w:type="paragraph" w:customStyle="1" w:styleId="Proposal">
    <w:name w:val="Proposal"/>
    <w:basedOn w:val="Normal"/>
    <w:link w:val="ProposalChar"/>
    <w:qFormat/>
    <w:rsid w:val="004A4B66"/>
    <w:pPr>
      <w:numPr>
        <w:numId w:val="18"/>
      </w:numPr>
      <w:tabs>
        <w:tab w:val="left" w:pos="1701"/>
      </w:tabs>
      <w:overflowPunct w:val="0"/>
      <w:autoSpaceDE w:val="0"/>
      <w:autoSpaceDN w:val="0"/>
      <w:adjustRightInd w:val="0"/>
      <w:spacing w:after="120"/>
      <w:jc w:val="both"/>
      <w:textAlignment w:val="baseline"/>
    </w:pPr>
    <w:rPr>
      <w:rFonts w:ascii="Arial" w:eastAsia="Times New Roman" w:hAnsi="Arial"/>
      <w:b/>
      <w:bCs/>
      <w:szCs w:val="20"/>
      <w:lang w:eastAsia="zh-CN"/>
    </w:rPr>
  </w:style>
  <w:style w:type="paragraph" w:customStyle="1" w:styleId="CharChar1CharCharCharCharCharCharCharCharCharCharCharCharCharCharChar33">
    <w:name w:val="Char Char1 Char Char Char Char Char Char Char Char Char Char Char Char Char Char Char33"/>
    <w:semiHidden/>
    <w:rsid w:val="009E7CEA"/>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
    <w:name w:val="(文字) (文字)5"/>
    <w:semiHidden/>
    <w:rsid w:val="009E7CEA"/>
    <w:rPr>
      <w:rFonts w:ascii="Times New Roman" w:hAnsi="Times New Roman"/>
      <w:lang w:eastAsia="en-US"/>
    </w:rPr>
  </w:style>
  <w:style w:type="character" w:customStyle="1" w:styleId="TALCar">
    <w:name w:val="TAL Car"/>
    <w:qFormat/>
    <w:rsid w:val="009E7CEA"/>
    <w:rPr>
      <w:rFonts w:ascii="Arial" w:eastAsia="Times New Roman" w:hAnsi="Arial" w:cs="Times New Roman"/>
      <w:sz w:val="18"/>
      <w:szCs w:val="20"/>
      <w:lang w:val="en-GB" w:eastAsia="en-GB"/>
    </w:rPr>
  </w:style>
  <w:style w:type="paragraph" w:customStyle="1" w:styleId="ListParagraph3">
    <w:name w:val="List Paragraph3"/>
    <w:basedOn w:val="Normal"/>
    <w:qFormat/>
    <w:rsid w:val="009E7CEA"/>
    <w:pPr>
      <w:ind w:left="720"/>
      <w:contextualSpacing/>
    </w:pPr>
    <w:rPr>
      <w:rFonts w:ascii="Times New Roman" w:eastAsia="Times New Roman" w:hAnsi="Times New Roman"/>
      <w:sz w:val="24"/>
      <w:lang w:val="en-US" w:eastAsia="zh-CN"/>
    </w:rPr>
  </w:style>
  <w:style w:type="character" w:customStyle="1" w:styleId="Heading6Char">
    <w:name w:val="Heading 6 Char"/>
    <w:link w:val="Heading6"/>
    <w:qFormat/>
    <w:rsid w:val="009E7CEA"/>
    <w:rPr>
      <w:b/>
      <w:bCs/>
      <w:sz w:val="22"/>
      <w:szCs w:val="22"/>
      <w:lang w:eastAsia="en-US"/>
    </w:rPr>
  </w:style>
  <w:style w:type="character" w:customStyle="1" w:styleId="Heading7Char">
    <w:name w:val="Heading 7 Char"/>
    <w:aliases w:val="st Char,h7 Char"/>
    <w:link w:val="Heading7"/>
    <w:qFormat/>
    <w:rsid w:val="009E7CEA"/>
    <w:rPr>
      <w:sz w:val="24"/>
      <w:szCs w:val="24"/>
      <w:lang w:eastAsia="en-US"/>
    </w:rPr>
  </w:style>
  <w:style w:type="character" w:customStyle="1" w:styleId="Heading8Char">
    <w:name w:val="Heading 8 Char"/>
    <w:aliases w:val="Table Heading Char,标题 8 Char,acronym Char"/>
    <w:link w:val="Heading8"/>
    <w:qFormat/>
    <w:rsid w:val="009E7CEA"/>
    <w:rPr>
      <w:i/>
      <w:iCs/>
      <w:sz w:val="24"/>
      <w:szCs w:val="24"/>
      <w:lang w:eastAsia="en-US"/>
    </w:rPr>
  </w:style>
  <w:style w:type="character" w:customStyle="1" w:styleId="Heading9Char">
    <w:name w:val="Heading 9 Char"/>
    <w:aliases w:val="Figure Heading Char,FH Char,标题 9 Char,appendix Char"/>
    <w:link w:val="Heading9"/>
    <w:qFormat/>
    <w:rsid w:val="009E7CEA"/>
    <w:rPr>
      <w:rFonts w:ascii="Arial" w:hAnsi="Arial" w:cs="Arial"/>
      <w:sz w:val="22"/>
      <w:szCs w:val="22"/>
      <w:lang w:eastAsia="en-US"/>
    </w:rPr>
  </w:style>
  <w:style w:type="character" w:customStyle="1" w:styleId="DocumentMapChar">
    <w:name w:val="Document Map Char"/>
    <w:link w:val="DocumentMap"/>
    <w:qFormat/>
    <w:rsid w:val="009E7CEA"/>
    <w:rPr>
      <w:rFonts w:ascii="Tahoma" w:hAnsi="Tahoma" w:cs="Tahoma"/>
      <w:szCs w:val="24"/>
      <w:shd w:val="clear" w:color="auto" w:fill="000080"/>
      <w:lang w:eastAsia="en-US"/>
    </w:rPr>
  </w:style>
  <w:style w:type="character" w:customStyle="1" w:styleId="BalloonTextChar">
    <w:name w:val="Balloon Text Char"/>
    <w:link w:val="BalloonText"/>
    <w:qFormat/>
    <w:rsid w:val="009E7CEA"/>
    <w:rPr>
      <w:rFonts w:ascii="Tahoma" w:hAnsi="Tahoma" w:cs="Tahoma"/>
      <w:sz w:val="16"/>
      <w:szCs w:val="16"/>
      <w:lang w:eastAsia="en-US"/>
    </w:rPr>
  </w:style>
  <w:style w:type="character" w:customStyle="1" w:styleId="DateChar">
    <w:name w:val="Date Char"/>
    <w:link w:val="Date"/>
    <w:qFormat/>
    <w:rsid w:val="009E7CEA"/>
    <w:rPr>
      <w:rFonts w:ascii="Times" w:hAnsi="Times"/>
      <w:szCs w:val="24"/>
      <w:lang w:eastAsia="en-US"/>
    </w:rPr>
  </w:style>
  <w:style w:type="character" w:customStyle="1" w:styleId="CommentSubjectChar">
    <w:name w:val="Comment Subject Char"/>
    <w:link w:val="CommentSubject"/>
    <w:qFormat/>
    <w:rsid w:val="009E7CEA"/>
    <w:rPr>
      <w:rFonts w:ascii="Times" w:hAnsi="Times"/>
      <w:b/>
      <w:bCs/>
      <w:lang w:eastAsia="en-US"/>
    </w:rPr>
  </w:style>
  <w:style w:type="paragraph" w:customStyle="1" w:styleId="ListParagraph2">
    <w:name w:val="List Paragraph2"/>
    <w:basedOn w:val="Normal"/>
    <w:qFormat/>
    <w:rsid w:val="009E7CEA"/>
    <w:pPr>
      <w:ind w:left="720"/>
      <w:contextualSpacing/>
    </w:pPr>
    <w:rPr>
      <w:rFonts w:ascii="Times New Roman" w:eastAsia="Times New Roman" w:hAnsi="Times New Roman"/>
      <w:sz w:val="24"/>
      <w:lang w:val="en-US" w:eastAsia="zh-CN"/>
    </w:rPr>
  </w:style>
  <w:style w:type="paragraph" w:customStyle="1" w:styleId="ListParagraph5">
    <w:name w:val="List Paragraph5"/>
    <w:basedOn w:val="Normal"/>
    <w:qFormat/>
    <w:rsid w:val="009E7CEA"/>
    <w:pPr>
      <w:ind w:left="720"/>
      <w:contextualSpacing/>
    </w:pPr>
    <w:rPr>
      <w:rFonts w:ascii="Times New Roman" w:eastAsia="Times New Roman" w:hAnsi="Times New Roman"/>
      <w:sz w:val="24"/>
      <w:lang w:val="en-US" w:eastAsia="zh-CN"/>
    </w:rPr>
  </w:style>
  <w:style w:type="paragraph" w:customStyle="1" w:styleId="ListParagraph4">
    <w:name w:val="List Paragraph4"/>
    <w:basedOn w:val="Normal"/>
    <w:qFormat/>
    <w:rsid w:val="009E7CEA"/>
    <w:pPr>
      <w:ind w:left="720"/>
      <w:contextualSpacing/>
    </w:pPr>
    <w:rPr>
      <w:rFonts w:ascii="Times New Roman" w:eastAsia="Times New Roman" w:hAnsi="Times New Roman"/>
      <w:sz w:val="24"/>
      <w:lang w:val="en-US" w:eastAsia="zh-CN"/>
    </w:rPr>
  </w:style>
  <w:style w:type="paragraph" w:customStyle="1" w:styleId="6">
    <w:name w:val="标题 6"/>
    <w:basedOn w:val="Normal"/>
    <w:qFormat/>
    <w:rsid w:val="009E7CEA"/>
    <w:pPr>
      <w:tabs>
        <w:tab w:val="num" w:pos="1152"/>
      </w:tabs>
    </w:pPr>
    <w:rPr>
      <w:rFonts w:eastAsia="MS PGothic" w:cs="Times"/>
      <w:szCs w:val="20"/>
      <w:lang w:val="en-US" w:eastAsia="ja-JP"/>
    </w:rPr>
  </w:style>
  <w:style w:type="paragraph" w:customStyle="1" w:styleId="7">
    <w:name w:val="标题 7"/>
    <w:basedOn w:val="Normal"/>
    <w:qFormat/>
    <w:rsid w:val="009E7CEA"/>
    <w:pPr>
      <w:tabs>
        <w:tab w:val="num" w:pos="1296"/>
      </w:tabs>
    </w:pPr>
    <w:rPr>
      <w:rFonts w:eastAsia="MS PGothic" w:cs="Times"/>
      <w:szCs w:val="20"/>
      <w:lang w:val="en-US" w:eastAsia="ja-JP"/>
    </w:rPr>
  </w:style>
  <w:style w:type="paragraph" w:customStyle="1" w:styleId="heading30">
    <w:name w:val="heading3"/>
    <w:basedOn w:val="Normal"/>
    <w:qFormat/>
    <w:rsid w:val="009E7CEA"/>
    <w:pPr>
      <w:keepNext/>
      <w:spacing w:before="240" w:after="60"/>
      <w:ind w:left="720" w:hanging="720"/>
    </w:pPr>
    <w:rPr>
      <w:rFonts w:ascii="Arial" w:eastAsia="MS PGothic" w:hAnsi="Arial" w:cs="Arial"/>
      <w:color w:val="000000"/>
      <w:szCs w:val="20"/>
      <w:lang w:val="en-US" w:eastAsia="ja-JP"/>
    </w:rPr>
  </w:style>
  <w:style w:type="paragraph" w:customStyle="1" w:styleId="heading40">
    <w:name w:val="heading4"/>
    <w:basedOn w:val="Normal"/>
    <w:qFormat/>
    <w:rsid w:val="009E7CEA"/>
    <w:pPr>
      <w:keepNext/>
      <w:spacing w:before="240" w:after="60"/>
      <w:ind w:left="864" w:hanging="864"/>
    </w:pPr>
    <w:rPr>
      <w:rFonts w:ascii="Arial" w:eastAsia="MS PGothic" w:hAnsi="Arial" w:cs="Arial"/>
      <w:i/>
      <w:iCs/>
      <w:color w:val="000000"/>
      <w:szCs w:val="20"/>
      <w:lang w:val="en-US" w:eastAsia="ja-JP"/>
    </w:rPr>
  </w:style>
  <w:style w:type="paragraph" w:customStyle="1" w:styleId="ListParagraph7">
    <w:name w:val="List Paragraph7"/>
    <w:basedOn w:val="Normal"/>
    <w:qFormat/>
    <w:rsid w:val="009E7CEA"/>
    <w:pPr>
      <w:ind w:left="720"/>
      <w:contextualSpacing/>
    </w:pPr>
    <w:rPr>
      <w:rFonts w:ascii="Times New Roman" w:eastAsia="Times New Roman" w:hAnsi="Times New Roman"/>
      <w:sz w:val="24"/>
      <w:lang w:val="en-US" w:eastAsia="zh-CN"/>
    </w:rPr>
  </w:style>
  <w:style w:type="paragraph" w:customStyle="1" w:styleId="ListParagraph6">
    <w:name w:val="List Paragraph6"/>
    <w:basedOn w:val="Normal"/>
    <w:qFormat/>
    <w:rsid w:val="009E7CEA"/>
    <w:pPr>
      <w:ind w:left="720"/>
      <w:contextualSpacing/>
    </w:pPr>
    <w:rPr>
      <w:rFonts w:ascii="Times New Roman" w:eastAsia="Times New Roman" w:hAnsi="Times New Roman"/>
      <w:sz w:val="24"/>
      <w:lang w:val="en-US" w:eastAsia="zh-CN"/>
    </w:rPr>
  </w:style>
  <w:style w:type="paragraph" w:customStyle="1" w:styleId="61">
    <w:name w:val="标题 61"/>
    <w:basedOn w:val="Normal"/>
    <w:qFormat/>
    <w:rsid w:val="009E7CEA"/>
    <w:pPr>
      <w:tabs>
        <w:tab w:val="num" w:pos="1152"/>
      </w:tabs>
    </w:pPr>
    <w:rPr>
      <w:rFonts w:eastAsia="MS PGothic" w:cs="Times"/>
      <w:szCs w:val="20"/>
      <w:lang w:val="en-US" w:eastAsia="ja-JP"/>
    </w:rPr>
  </w:style>
  <w:style w:type="paragraph" w:customStyle="1" w:styleId="71">
    <w:name w:val="标题 71"/>
    <w:basedOn w:val="Normal"/>
    <w:qFormat/>
    <w:rsid w:val="009E7CEA"/>
    <w:pPr>
      <w:tabs>
        <w:tab w:val="num" w:pos="1296"/>
      </w:tabs>
    </w:pPr>
    <w:rPr>
      <w:rFonts w:eastAsia="MS PGothic" w:cs="Times"/>
      <w:szCs w:val="20"/>
      <w:lang w:val="en-US" w:eastAsia="ja-JP"/>
    </w:rPr>
  </w:style>
  <w:style w:type="paragraph" w:customStyle="1" w:styleId="3GPPHeader">
    <w:name w:val="3GPP_Header"/>
    <w:basedOn w:val="Normal"/>
    <w:qFormat/>
    <w:rsid w:val="009E7CEA"/>
    <w:pPr>
      <w:tabs>
        <w:tab w:val="left" w:pos="1701"/>
        <w:tab w:val="right" w:pos="9639"/>
      </w:tabs>
      <w:overflowPunct w:val="0"/>
      <w:autoSpaceDE w:val="0"/>
      <w:autoSpaceDN w:val="0"/>
      <w:adjustRightInd w:val="0"/>
      <w:spacing w:after="240"/>
      <w:jc w:val="both"/>
      <w:textAlignment w:val="baseline"/>
    </w:pPr>
    <w:rPr>
      <w:rFonts w:ascii="Arial" w:eastAsia="Times New Roman" w:hAnsi="Arial"/>
      <w:b/>
      <w:sz w:val="24"/>
      <w:szCs w:val="20"/>
      <w:lang w:eastAsia="zh-CN"/>
    </w:rPr>
  </w:style>
  <w:style w:type="paragraph" w:customStyle="1" w:styleId="CharChar1CharCharCharCharCharCharCharCharCharCharCharCharCharCharChar32">
    <w:name w:val="Char Char1 Char Char Char Char Char Char Char Char Char Char Char Char Char Char Char32"/>
    <w:semiHidden/>
    <w:rsid w:val="003356C4"/>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29">
    <w:name w:val="(文字) (文字)529"/>
    <w:semiHidden/>
    <w:rsid w:val="003356C4"/>
    <w:rPr>
      <w:rFonts w:ascii="Times New Roman" w:hAnsi="Times New Roman"/>
      <w:lang w:eastAsia="en-US"/>
    </w:rPr>
  </w:style>
  <w:style w:type="paragraph" w:customStyle="1" w:styleId="Normalwithindent">
    <w:name w:val="Normal with indent"/>
    <w:basedOn w:val="Normal"/>
    <w:link w:val="NormalwithindentChar"/>
    <w:qFormat/>
    <w:rsid w:val="003356C4"/>
    <w:pPr>
      <w:spacing w:before="120" w:after="120" w:line="336" w:lineRule="auto"/>
      <w:ind w:firstLine="397"/>
      <w:jc w:val="both"/>
    </w:pPr>
    <w:rPr>
      <w:rFonts w:ascii="Times New Roman" w:eastAsia="Malgun Gothic" w:hAnsi="Times New Roman"/>
      <w:szCs w:val="20"/>
      <w:lang w:eastAsia="x-none"/>
    </w:rPr>
  </w:style>
  <w:style w:type="character" w:customStyle="1" w:styleId="NormalwithindentChar">
    <w:name w:val="Normal with indent Char"/>
    <w:link w:val="Normalwithindent"/>
    <w:qFormat/>
    <w:rsid w:val="003356C4"/>
    <w:rPr>
      <w:rFonts w:eastAsia="Malgun Gothic"/>
      <w:lang w:eastAsia="x-none"/>
    </w:rPr>
  </w:style>
  <w:style w:type="character" w:customStyle="1" w:styleId="2222Char">
    <w:name w:val="스타일 스타일 스타일 스타일 양쪽 첫 줄:  2 글자 + 첫 줄:  2 글자 + 첫 줄:  2 글자 + 첫 줄:  2... Char"/>
    <w:link w:val="2222"/>
    <w:rsid w:val="003356C4"/>
    <w:rPr>
      <w:rFonts w:eastAsia="Malgun Gothic" w:cs="Batang"/>
      <w:lang w:eastAsia="en-US"/>
    </w:rPr>
  </w:style>
  <w:style w:type="paragraph" w:customStyle="1" w:styleId="aa">
    <w:name w:val="스타일 양쪽"/>
    <w:basedOn w:val="Normal"/>
    <w:rsid w:val="00667298"/>
    <w:pPr>
      <w:spacing w:after="120" w:line="300" w:lineRule="auto"/>
      <w:ind w:firstLine="284"/>
      <w:jc w:val="both"/>
    </w:pPr>
    <w:rPr>
      <w:rFonts w:ascii="Times New Roman" w:eastAsia="Malgun Gothic" w:hAnsi="Times New Roman" w:cs="Batang"/>
      <w:szCs w:val="20"/>
      <w:lang w:val="en-US" w:eastAsia="ko-KR"/>
    </w:rPr>
  </w:style>
  <w:style w:type="character" w:styleId="PlaceholderText">
    <w:name w:val="Placeholder Text"/>
    <w:basedOn w:val="DefaultParagraphFont"/>
    <w:uiPriority w:val="99"/>
    <w:qFormat/>
    <w:rsid w:val="00FE6144"/>
    <w:rPr>
      <w:color w:val="808080"/>
    </w:rPr>
  </w:style>
  <w:style w:type="paragraph" w:customStyle="1" w:styleId="CharCharCharCharCharChar1">
    <w:name w:val="Char Char Char Char Char Char1"/>
    <w:semiHidden/>
    <w:rsid w:val="007A5E48"/>
    <w:pPr>
      <w:keepNext/>
      <w:tabs>
        <w:tab w:val="num" w:pos="510"/>
      </w:tabs>
      <w:autoSpaceDE w:val="0"/>
      <w:autoSpaceDN w:val="0"/>
      <w:adjustRightInd w:val="0"/>
      <w:spacing w:before="60" w:after="60"/>
      <w:ind w:left="510" w:hanging="510"/>
      <w:jc w:val="both"/>
    </w:pPr>
    <w:rPr>
      <w:rFonts w:ascii="Arial" w:eastAsia="SimSun" w:hAnsi="Arial" w:cs="Arial"/>
      <w:color w:val="0000FF"/>
      <w:kern w:val="2"/>
      <w:lang w:val="en-US" w:eastAsia="zh-CN"/>
    </w:rPr>
  </w:style>
  <w:style w:type="paragraph" w:customStyle="1" w:styleId="CharChar1CharCharCharCharCharCharCharCharCharCharCharCharCharCharChar3">
    <w:name w:val="Char Char1 Char Char Char Char Char Char Char Char Char Char Char Char Char Char Char3"/>
    <w:semiHidden/>
    <w:rsid w:val="007A5E48"/>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ab">
    <w:name w:val="本文 (文字)"/>
    <w:aliases w:val="bt (文字),Corps de texte Car (文字),Corps de texte Car1 Car (文字),Corps de texte Car Car Car (文字),Corps de texte Car1 Car Car Car (文字),Corps de texte Car Car Car Car Car (文字),Corps de texte Car1 Car Car Car Car Car (文字),bt Car (文字)"/>
    <w:basedOn w:val="DefaultParagraphFont"/>
    <w:locked/>
    <w:rsid w:val="007A5E48"/>
    <w:rPr>
      <w:rFonts w:ascii="?? ??" w:hAnsi="?? ??"/>
      <w:lang w:eastAsia="en-US"/>
    </w:rPr>
  </w:style>
  <w:style w:type="paragraph" w:customStyle="1" w:styleId="Doc-text2JK">
    <w:name w:val="Doc-text2_JK"/>
    <w:basedOn w:val="Normal"/>
    <w:link w:val="Doc-text2JKChar"/>
    <w:rsid w:val="007A5E48"/>
    <w:pPr>
      <w:tabs>
        <w:tab w:val="left" w:pos="1622"/>
      </w:tabs>
      <w:ind w:left="1622" w:hanging="363"/>
    </w:pPr>
    <w:rPr>
      <w:rFonts w:ascii="Times New Roman" w:eastAsia="MS Mincho" w:hAnsi="Times New Roman"/>
      <w:lang w:eastAsia="en-GB"/>
    </w:rPr>
  </w:style>
  <w:style w:type="character" w:customStyle="1" w:styleId="Doc-text2JKChar">
    <w:name w:val="Doc-text2_JK Char"/>
    <w:basedOn w:val="DefaultParagraphFont"/>
    <w:link w:val="Doc-text2JK"/>
    <w:rsid w:val="007A5E48"/>
    <w:rPr>
      <w:rFonts w:eastAsia="MS Mincho"/>
      <w:szCs w:val="24"/>
    </w:rPr>
  </w:style>
  <w:style w:type="paragraph" w:customStyle="1" w:styleId="Reference">
    <w:name w:val="Reference"/>
    <w:basedOn w:val="BodyText"/>
    <w:link w:val="ReferenceChar"/>
    <w:qFormat/>
    <w:rsid w:val="007A5E48"/>
    <w:pPr>
      <w:numPr>
        <w:numId w:val="19"/>
      </w:numPr>
      <w:ind w:left="567" w:hanging="567"/>
    </w:pPr>
    <w:rPr>
      <w:rFonts w:ascii="Times New Roman" w:eastAsia="MS Mincho" w:hAnsi="Times New Roman"/>
      <w:sz w:val="22"/>
      <w:lang w:val="en-US"/>
    </w:rPr>
  </w:style>
  <w:style w:type="character" w:customStyle="1" w:styleId="ReferenceChar">
    <w:name w:val="Reference Char"/>
    <w:link w:val="Reference"/>
    <w:rsid w:val="007A5E48"/>
    <w:rPr>
      <w:rFonts w:eastAsia="MS Mincho"/>
      <w:sz w:val="22"/>
      <w:szCs w:val="24"/>
      <w:lang w:val="en-US" w:eastAsia="en-US"/>
    </w:rPr>
  </w:style>
  <w:style w:type="paragraph" w:customStyle="1" w:styleId="CharChar1CharCharCharCharCharCharCharCharCharCharCharCharCharCharChar2">
    <w:name w:val="Char Char1 Char Char Char Char Char Char Char Char Char Char Char Char Char Char Char2"/>
    <w:semiHidden/>
    <w:rsid w:val="007A5E48"/>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LGTdocChar">
    <w:name w:val="LGTdoc_본문 Char"/>
    <w:link w:val="LGTdoc0"/>
    <w:qFormat/>
    <w:rsid w:val="007A5E48"/>
    <w:rPr>
      <w:kern w:val="2"/>
      <w:sz w:val="22"/>
      <w:szCs w:val="24"/>
      <w:lang w:eastAsia="ko-KR"/>
    </w:rPr>
  </w:style>
  <w:style w:type="paragraph" w:styleId="NoSpacing">
    <w:name w:val="No Spacing"/>
    <w:link w:val="NoSpacingChar"/>
    <w:uiPriority w:val="1"/>
    <w:qFormat/>
    <w:rsid w:val="007A5E48"/>
    <w:rPr>
      <w:rFonts w:ascii="Calibri" w:eastAsia="SimSun" w:hAnsi="Calibri"/>
      <w:sz w:val="22"/>
      <w:szCs w:val="22"/>
      <w:lang w:val="en-US" w:eastAsia="zh-CN"/>
    </w:rPr>
  </w:style>
  <w:style w:type="paragraph" w:customStyle="1" w:styleId="Equ">
    <w:name w:val="Equ"/>
    <w:basedOn w:val="BodyText"/>
    <w:rsid w:val="007A5E48"/>
    <w:pPr>
      <w:tabs>
        <w:tab w:val="center" w:pos="4395"/>
        <w:tab w:val="right" w:pos="9072"/>
      </w:tabs>
    </w:pPr>
    <w:rPr>
      <w:rFonts w:eastAsia="Times New Roman"/>
      <w:szCs w:val="20"/>
      <w:lang w:val="en-US"/>
    </w:rPr>
  </w:style>
  <w:style w:type="paragraph" w:customStyle="1" w:styleId="Observation0">
    <w:name w:val="Observation"/>
    <w:basedOn w:val="Normal"/>
    <w:link w:val="ObservationChar"/>
    <w:qFormat/>
    <w:rsid w:val="007A5E48"/>
    <w:pPr>
      <w:numPr>
        <w:numId w:val="20"/>
      </w:numPr>
      <w:tabs>
        <w:tab w:val="left" w:pos="1701"/>
      </w:tabs>
      <w:overflowPunct w:val="0"/>
      <w:autoSpaceDE w:val="0"/>
      <w:autoSpaceDN w:val="0"/>
      <w:adjustRightInd w:val="0"/>
      <w:spacing w:after="120"/>
      <w:ind w:left="1701" w:hanging="1701"/>
      <w:jc w:val="both"/>
      <w:textAlignment w:val="baseline"/>
    </w:pPr>
    <w:rPr>
      <w:rFonts w:ascii="Arial" w:eastAsia="Times New Roman" w:hAnsi="Arial"/>
      <w:b/>
      <w:bCs/>
      <w:szCs w:val="20"/>
      <w:lang w:eastAsia="zh-CN"/>
    </w:rPr>
  </w:style>
  <w:style w:type="paragraph" w:customStyle="1" w:styleId="Agreement0">
    <w:name w:val="Agreement"/>
    <w:basedOn w:val="Normal"/>
    <w:next w:val="Normal"/>
    <w:uiPriority w:val="99"/>
    <w:qFormat/>
    <w:rsid w:val="00084587"/>
    <w:pPr>
      <w:numPr>
        <w:numId w:val="21"/>
      </w:numPr>
      <w:tabs>
        <w:tab w:val="clear" w:pos="2070"/>
        <w:tab w:val="num" w:pos="1800"/>
      </w:tabs>
      <w:spacing w:before="60"/>
      <w:ind w:left="1800"/>
    </w:pPr>
    <w:rPr>
      <w:rFonts w:ascii="Arial" w:eastAsia="MS Mincho" w:hAnsi="Arial"/>
      <w:b/>
      <w:lang w:eastAsia="en-GB"/>
    </w:rPr>
  </w:style>
  <w:style w:type="paragraph" w:customStyle="1" w:styleId="CharChar1CharCharCharCharCharCharCharCharCharCharCharCharCharCharChar31">
    <w:name w:val="Char Char1 Char Char Char Char Char Char Char Char Char Char Char Char Char Char Char31"/>
    <w:semiHidden/>
    <w:rsid w:val="00144AA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28">
    <w:name w:val="(文字) (文字)528"/>
    <w:semiHidden/>
    <w:rsid w:val="00144AA6"/>
    <w:rPr>
      <w:rFonts w:ascii="Times New Roman" w:hAnsi="Times New Roman"/>
      <w:lang w:eastAsia="en-US"/>
    </w:rPr>
  </w:style>
  <w:style w:type="paragraph" w:customStyle="1" w:styleId="CharChar1CharCharCharCharCharCharCharCharCharCharCharCharCharCharChar30">
    <w:name w:val="Char Char1 Char Char Char Char Char Char Char Char Char Char Char Char Char Char Char30"/>
    <w:uiPriority w:val="99"/>
    <w:semiHidden/>
    <w:rsid w:val="003260DA"/>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27">
    <w:name w:val="(文字) (文字)527"/>
    <w:semiHidden/>
    <w:rsid w:val="003260DA"/>
    <w:rPr>
      <w:rFonts w:ascii="Times New Roman" w:hAnsi="Times New Roman"/>
      <w:lang w:eastAsia="en-US"/>
    </w:rPr>
  </w:style>
  <w:style w:type="paragraph" w:customStyle="1" w:styleId="Headingb">
    <w:name w:val="Heading_b"/>
    <w:basedOn w:val="Normal"/>
    <w:next w:val="Normal"/>
    <w:qFormat/>
    <w:rsid w:val="009264FD"/>
    <w:pPr>
      <w:tabs>
        <w:tab w:val="left" w:pos="1134"/>
        <w:tab w:val="left" w:pos="1871"/>
        <w:tab w:val="left" w:pos="2268"/>
      </w:tabs>
      <w:overflowPunct w:val="0"/>
      <w:autoSpaceDE w:val="0"/>
      <w:autoSpaceDN w:val="0"/>
      <w:adjustRightInd w:val="0"/>
      <w:spacing w:before="160"/>
      <w:textAlignment w:val="baseline"/>
    </w:pPr>
    <w:rPr>
      <w:rFonts w:ascii="Times New Roman Bold" w:hAnsi="Times New Roman Bold" w:cs="Times New Roman Bold"/>
      <w:b/>
      <w:sz w:val="24"/>
      <w:szCs w:val="20"/>
      <w:lang w:val="fr-CH"/>
    </w:rPr>
  </w:style>
  <w:style w:type="character" w:customStyle="1" w:styleId="Heading3Char1">
    <w:name w:val="Heading 3 Char1"/>
    <w:aliases w:val="no break Char1,H3 Char1,Underrubrik2 Char1,h3 Char1,Memo Heading 3 Char1,hello Char1,Titre 3 Car Char1,no break Car Char1,H3 Car Char1,Underrubrik2 Car Char1,h3 Car Char1,Memo Heading 3 Car Char1,hello Car Char1,Heading 3 Char Car Char1"/>
    <w:basedOn w:val="DefaultParagraphFont"/>
    <w:rsid w:val="004C0301"/>
    <w:rPr>
      <w:rFonts w:asciiTheme="majorHAnsi" w:eastAsiaTheme="majorEastAsia" w:hAnsiTheme="majorHAnsi" w:cstheme="majorBidi"/>
      <w:color w:val="1F4D78" w:themeColor="accent1" w:themeShade="7F"/>
      <w:sz w:val="24"/>
      <w:szCs w:val="24"/>
      <w:lang w:eastAsia="en-US"/>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basedOn w:val="DefaultParagraphFont"/>
    <w:uiPriority w:val="9"/>
    <w:rsid w:val="004C0301"/>
    <w:rPr>
      <w:rFonts w:asciiTheme="majorHAnsi" w:eastAsiaTheme="majorEastAsia" w:hAnsiTheme="majorHAnsi" w:cstheme="majorBidi"/>
      <w:i/>
      <w:iCs/>
      <w:color w:val="2E74B5" w:themeColor="accent1" w:themeShade="BF"/>
      <w:szCs w:val="24"/>
      <w:lang w:eastAsia="en-US"/>
    </w:rPr>
  </w:style>
  <w:style w:type="character" w:customStyle="1" w:styleId="HeaderChar1">
    <w:name w:val="Header Char1"/>
    <w:aliases w:val="header odd Char1,header Char1,header odd1 Char1,header odd2 Char1,header odd3 Char1,header odd4 Char1,header odd5 Char1,header odd6 Char1,header1 Char1,header2 Char1,header3 Char1,header odd11 Char1,header odd21 Char1,header odd7 Char1"/>
    <w:basedOn w:val="DefaultParagraphFont"/>
    <w:uiPriority w:val="99"/>
    <w:semiHidden/>
    <w:rsid w:val="004C0301"/>
    <w:rPr>
      <w:rFonts w:ascii="Times" w:hAnsi="Times"/>
      <w:szCs w:val="24"/>
      <w:lang w:eastAsia="en-US"/>
    </w:rPr>
  </w:style>
  <w:style w:type="character" w:customStyle="1" w:styleId="BodyTextChar1">
    <w:name w:val="Body Text Char1"/>
    <w:aliases w:val="bt Char1"/>
    <w:basedOn w:val="DefaultParagraphFont"/>
    <w:uiPriority w:val="99"/>
    <w:rsid w:val="004C0301"/>
    <w:rPr>
      <w:rFonts w:ascii="Times" w:hAnsi="Times"/>
      <w:szCs w:val="24"/>
      <w:lang w:eastAsia="en-US"/>
    </w:rPr>
  </w:style>
  <w:style w:type="paragraph" w:customStyle="1" w:styleId="StyleHeading1H1h1appheading1l1MemoHeading1h11h12h13h">
    <w:name w:val="Style Heading 1H1h1app heading 1l1Memo Heading 1h11h12h13h..."/>
    <w:basedOn w:val="Heading1"/>
    <w:qFormat/>
    <w:rsid w:val="000511DF"/>
    <w:pPr>
      <w:numPr>
        <w:numId w:val="22"/>
      </w:numPr>
    </w:pPr>
    <w:rPr>
      <w:rFonts w:ascii="Helvetica" w:eastAsia="Times New Roman" w:hAnsi="Helvetica" w:cs="Times New Roman"/>
      <w:sz w:val="28"/>
      <w:szCs w:val="20"/>
      <w:lang w:val="en-US"/>
    </w:rPr>
  </w:style>
  <w:style w:type="paragraph" w:customStyle="1" w:styleId="CharChar1CharCharCharCharCharCharCharCharCharCharCharCharCharCharChar29">
    <w:name w:val="Char Char1 Char Char Char Char Char Char Char Char Char Char Char Char Char Char Char29"/>
    <w:semiHidden/>
    <w:rsid w:val="0089543D"/>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ListParagraph8">
    <w:name w:val="List Paragraph8"/>
    <w:basedOn w:val="Normal"/>
    <w:qFormat/>
    <w:rsid w:val="0089543D"/>
    <w:pPr>
      <w:ind w:left="720"/>
      <w:contextualSpacing/>
    </w:pPr>
    <w:rPr>
      <w:rFonts w:ascii="Times New Roman" w:eastAsia="Times New Roman" w:hAnsi="Times New Roman"/>
      <w:sz w:val="24"/>
      <w:lang w:val="en-US" w:eastAsia="zh-CN"/>
    </w:rPr>
  </w:style>
  <w:style w:type="character" w:customStyle="1" w:styleId="526">
    <w:name w:val="(文字) (文字)526"/>
    <w:semiHidden/>
    <w:rsid w:val="0089543D"/>
    <w:rPr>
      <w:rFonts w:ascii="Times New Roman" w:hAnsi="Times New Roman"/>
      <w:lang w:eastAsia="en-US"/>
    </w:rPr>
  </w:style>
  <w:style w:type="paragraph" w:customStyle="1" w:styleId="xl63">
    <w:name w:val="xl63"/>
    <w:basedOn w:val="Normal"/>
    <w:rsid w:val="00E3676E"/>
    <w:pPr>
      <w:pBdr>
        <w:top w:val="single" w:sz="4" w:space="0" w:color="auto"/>
        <w:left w:val="single" w:sz="4" w:space="0" w:color="auto"/>
        <w:bottom w:val="single" w:sz="4" w:space="0" w:color="auto"/>
        <w:right w:val="single" w:sz="4" w:space="0" w:color="auto"/>
      </w:pBdr>
      <w:shd w:val="clear" w:color="000000" w:fill="F3F3F3"/>
      <w:spacing w:before="100" w:beforeAutospacing="1" w:after="100" w:afterAutospacing="1"/>
      <w:jc w:val="center"/>
      <w:textAlignment w:val="center"/>
    </w:pPr>
    <w:rPr>
      <w:rFonts w:ascii="Arial" w:eastAsia="Times New Roman" w:hAnsi="Arial" w:cs="Arial"/>
      <w:b/>
      <w:bCs/>
      <w:sz w:val="16"/>
      <w:szCs w:val="16"/>
      <w:lang w:eastAsia="en-GB"/>
    </w:rPr>
  </w:style>
  <w:style w:type="paragraph" w:customStyle="1" w:styleId="xl64">
    <w:name w:val="xl64"/>
    <w:basedOn w:val="Normal"/>
    <w:rsid w:val="00E3676E"/>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sz w:val="16"/>
      <w:szCs w:val="16"/>
      <w:lang w:eastAsia="en-GB"/>
    </w:rPr>
  </w:style>
  <w:style w:type="paragraph" w:customStyle="1" w:styleId="CharChar1CharCharCharCharCharCharCharCharCharCharCharCharCharCharChar28">
    <w:name w:val="Char Char1 Char Char Char Char Char Char Char Char Char Char Char Char Char Char Char28"/>
    <w:semiHidden/>
    <w:rsid w:val="001928D8"/>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25">
    <w:name w:val="(文字) (文字)525"/>
    <w:semiHidden/>
    <w:rsid w:val="001928D8"/>
    <w:rPr>
      <w:rFonts w:ascii="Times New Roman" w:hAnsi="Times New Roman"/>
      <w:lang w:eastAsia="en-US"/>
    </w:rPr>
  </w:style>
  <w:style w:type="paragraph" w:customStyle="1" w:styleId="paratdoc">
    <w:name w:val="para tdoc"/>
    <w:basedOn w:val="Normal"/>
    <w:link w:val="paratdocChar"/>
    <w:qFormat/>
    <w:rsid w:val="00C947C9"/>
    <w:pPr>
      <w:spacing w:after="120"/>
      <w:jc w:val="both"/>
    </w:pPr>
    <w:rPr>
      <w:rFonts w:ascii="Times New Roman" w:eastAsia="SimSun" w:hAnsi="Times New Roman"/>
      <w:bCs/>
      <w:sz w:val="22"/>
      <w:szCs w:val="22"/>
      <w:lang w:val="en-AU" w:eastAsia="en-AU"/>
    </w:rPr>
  </w:style>
  <w:style w:type="character" w:customStyle="1" w:styleId="paratdocChar">
    <w:name w:val="para tdoc Char"/>
    <w:basedOn w:val="DefaultParagraphFont"/>
    <w:link w:val="paratdoc"/>
    <w:rsid w:val="00C947C9"/>
    <w:rPr>
      <w:rFonts w:eastAsia="SimSun"/>
      <w:bCs/>
      <w:sz w:val="22"/>
      <w:szCs w:val="22"/>
      <w:lang w:val="en-AU" w:eastAsia="en-AU"/>
    </w:rPr>
  </w:style>
  <w:style w:type="paragraph" w:customStyle="1" w:styleId="berschrift1H1">
    <w:name w:val="Überschrift 1.H1"/>
    <w:basedOn w:val="Normal"/>
    <w:next w:val="Normal"/>
    <w:qFormat/>
    <w:rsid w:val="008F2B8F"/>
    <w:pPr>
      <w:keepNext/>
      <w:keepLines/>
      <w:numPr>
        <w:numId w:val="23"/>
      </w:numPr>
      <w:pBdr>
        <w:top w:val="single" w:sz="12" w:space="3" w:color="auto"/>
      </w:pBdr>
      <w:overflowPunct w:val="0"/>
      <w:autoSpaceDE w:val="0"/>
      <w:autoSpaceDN w:val="0"/>
      <w:adjustRightInd w:val="0"/>
      <w:spacing w:before="240" w:after="180"/>
      <w:textAlignment w:val="baseline"/>
      <w:outlineLvl w:val="0"/>
    </w:pPr>
    <w:rPr>
      <w:rFonts w:ascii="Arial" w:eastAsia="Times New Roman" w:hAnsi="Arial"/>
      <w:sz w:val="36"/>
      <w:szCs w:val="20"/>
      <w:lang w:eastAsia="de-DE"/>
    </w:rPr>
  </w:style>
  <w:style w:type="paragraph" w:customStyle="1" w:styleId="IvDbodytext">
    <w:name w:val="IvD bodytext"/>
    <w:basedOn w:val="BodyText"/>
    <w:link w:val="IvDbodytextChar"/>
    <w:qFormat/>
    <w:rsid w:val="00036DBD"/>
    <w:pPr>
      <w:keepLines/>
      <w:tabs>
        <w:tab w:val="left" w:pos="2552"/>
        <w:tab w:val="left" w:pos="3856"/>
        <w:tab w:val="left" w:pos="5216"/>
        <w:tab w:val="left" w:pos="6464"/>
        <w:tab w:val="left" w:pos="7768"/>
        <w:tab w:val="left" w:pos="9072"/>
        <w:tab w:val="left" w:pos="9639"/>
      </w:tabs>
      <w:spacing w:before="240" w:after="0"/>
      <w:jc w:val="left"/>
    </w:pPr>
    <w:rPr>
      <w:rFonts w:ascii="Arial" w:eastAsia="Times New Roman" w:hAnsi="Arial"/>
      <w:spacing w:val="2"/>
      <w:szCs w:val="20"/>
      <w:lang w:val="en-US"/>
    </w:rPr>
  </w:style>
  <w:style w:type="character" w:customStyle="1" w:styleId="IvDbodytextChar">
    <w:name w:val="IvD bodytext Char"/>
    <w:link w:val="IvDbodytext"/>
    <w:rsid w:val="00036DBD"/>
    <w:rPr>
      <w:rFonts w:ascii="Arial" w:eastAsia="Times New Roman" w:hAnsi="Arial"/>
      <w:spacing w:val="2"/>
      <w:lang w:val="en-US" w:eastAsia="en-US"/>
    </w:rPr>
  </w:style>
  <w:style w:type="paragraph" w:styleId="Revision">
    <w:name w:val="Revision"/>
    <w:hidden/>
    <w:uiPriority w:val="99"/>
    <w:semiHidden/>
    <w:qFormat/>
    <w:rsid w:val="008138EA"/>
    <w:rPr>
      <w:rFonts w:ascii="Times" w:hAnsi="Times"/>
      <w:szCs w:val="24"/>
      <w:lang w:eastAsia="en-US"/>
    </w:rPr>
  </w:style>
  <w:style w:type="paragraph" w:customStyle="1" w:styleId="CharChar1CharCharCharCharCharCharCharCharCharCharCharCharCharCharChar27">
    <w:name w:val="Char Char1 Char Char Char Char Char Char Char Char Char Char Char Char Char Char Char27"/>
    <w:semiHidden/>
    <w:rsid w:val="00D7241D"/>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24">
    <w:name w:val="(文字) (文字)524"/>
    <w:semiHidden/>
    <w:rsid w:val="00D7241D"/>
    <w:rPr>
      <w:rFonts w:ascii="Times New Roman" w:hAnsi="Times New Roman"/>
      <w:lang w:eastAsia="en-US"/>
    </w:rPr>
  </w:style>
  <w:style w:type="paragraph" w:customStyle="1" w:styleId="CharChar1CharCharCharCharCharCharCharCharCharCharCharCharCharCharChar26">
    <w:name w:val="Char Char1 Char Char Char Char Char Char Char Char Char Char Char Char Char Char Char26"/>
    <w:semiHidden/>
    <w:rsid w:val="00F53049"/>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23">
    <w:name w:val="(文字) (文字)523"/>
    <w:semiHidden/>
    <w:rsid w:val="00F53049"/>
    <w:rPr>
      <w:rFonts w:ascii="Times New Roman" w:hAnsi="Times New Roman"/>
      <w:lang w:eastAsia="en-US"/>
    </w:rPr>
  </w:style>
  <w:style w:type="paragraph" w:customStyle="1" w:styleId="tac0">
    <w:name w:val="tac"/>
    <w:basedOn w:val="Normal"/>
    <w:qFormat/>
    <w:rsid w:val="007A67EB"/>
    <w:pPr>
      <w:keepNext/>
      <w:autoSpaceDE w:val="0"/>
      <w:autoSpaceDN w:val="0"/>
      <w:jc w:val="center"/>
    </w:pPr>
    <w:rPr>
      <w:rFonts w:ascii="Arial" w:eastAsia="SimSun" w:hAnsi="Arial" w:cs="Arial"/>
      <w:sz w:val="18"/>
      <w:szCs w:val="18"/>
      <w:lang w:val="en-US" w:eastAsia="zh-CN"/>
    </w:rPr>
  </w:style>
  <w:style w:type="paragraph" w:customStyle="1" w:styleId="th0">
    <w:name w:val="th"/>
    <w:basedOn w:val="Normal"/>
    <w:qFormat/>
    <w:rsid w:val="007A67EB"/>
    <w:pPr>
      <w:keepNext/>
      <w:autoSpaceDE w:val="0"/>
      <w:autoSpaceDN w:val="0"/>
      <w:spacing w:before="60" w:after="180"/>
      <w:jc w:val="center"/>
    </w:pPr>
    <w:rPr>
      <w:rFonts w:ascii="Arial" w:eastAsia="SimSun" w:hAnsi="Arial" w:cs="Arial"/>
      <w:b/>
      <w:bCs/>
      <w:szCs w:val="20"/>
      <w:lang w:val="en-US" w:eastAsia="zh-CN"/>
    </w:rPr>
  </w:style>
  <w:style w:type="paragraph" w:customStyle="1" w:styleId="tah0">
    <w:name w:val="tah"/>
    <w:basedOn w:val="Normal"/>
    <w:qFormat/>
    <w:rsid w:val="007A67EB"/>
    <w:pPr>
      <w:keepNext/>
      <w:autoSpaceDE w:val="0"/>
      <w:autoSpaceDN w:val="0"/>
      <w:jc w:val="center"/>
    </w:pPr>
    <w:rPr>
      <w:rFonts w:ascii="Arial" w:eastAsia="SimSun" w:hAnsi="Arial" w:cs="Arial"/>
      <w:b/>
      <w:bCs/>
      <w:sz w:val="18"/>
      <w:szCs w:val="18"/>
      <w:lang w:val="en-US" w:eastAsia="zh-CN"/>
    </w:rPr>
  </w:style>
  <w:style w:type="paragraph" w:customStyle="1" w:styleId="CharChar1CharCharCharCharCharCharCharCharCharCharCharCharCharCharChar25">
    <w:name w:val="Char Char1 Char Char Char Char Char Char Char Char Char Char Char Char Char Char Char25"/>
    <w:semiHidden/>
    <w:rsid w:val="006928EE"/>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22">
    <w:name w:val="(文字) (文字)522"/>
    <w:semiHidden/>
    <w:rsid w:val="006928EE"/>
    <w:rPr>
      <w:rFonts w:ascii="Times New Roman" w:hAnsi="Times New Roman"/>
      <w:lang w:eastAsia="en-US"/>
    </w:rPr>
  </w:style>
  <w:style w:type="paragraph" w:customStyle="1" w:styleId="CharChar1CharCharCharCharCharCharCharCharCharCharCharCharCharCharChar24">
    <w:name w:val="Char Char1 Char Char Char Char Char Char Char Char Char Char Char Char Char Char Char24"/>
    <w:semiHidden/>
    <w:rsid w:val="0089677C"/>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21">
    <w:name w:val="(文字) (文字)521"/>
    <w:semiHidden/>
    <w:rsid w:val="0089677C"/>
    <w:rPr>
      <w:rFonts w:ascii="Times New Roman" w:hAnsi="Times New Roman"/>
      <w:lang w:eastAsia="en-US"/>
    </w:rPr>
  </w:style>
  <w:style w:type="paragraph" w:customStyle="1" w:styleId="CharChar1CharCharCharCharCharCharCharCharCharCharCharCharCharCharChar23">
    <w:name w:val="Char Char1 Char Char Char Char Char Char Char Char Char Char Char Char Char Char Char23"/>
    <w:semiHidden/>
    <w:rsid w:val="00E84591"/>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20">
    <w:name w:val="(文字) (文字)520"/>
    <w:semiHidden/>
    <w:rsid w:val="00E84591"/>
    <w:rPr>
      <w:rFonts w:ascii="Times New Roman" w:hAnsi="Times New Roman"/>
      <w:lang w:eastAsia="en-US"/>
    </w:rPr>
  </w:style>
  <w:style w:type="paragraph" w:customStyle="1" w:styleId="CharChar1CharCharCharCharCharCharCharCharCharCharCharCharCharCharChar22">
    <w:name w:val="Char Char1 Char Char Char Char Char Char Char Char Char Char Char Char Char Char Char22"/>
    <w:semiHidden/>
    <w:rsid w:val="004E1F5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19">
    <w:name w:val="(文字) (文字)519"/>
    <w:semiHidden/>
    <w:rsid w:val="004E1F56"/>
    <w:rPr>
      <w:rFonts w:ascii="Times New Roman" w:hAnsi="Times New Roman"/>
      <w:lang w:eastAsia="en-US"/>
    </w:rPr>
  </w:style>
  <w:style w:type="paragraph" w:customStyle="1" w:styleId="CharChar1CharCharCharCharCharCharCharCharCharCharCharCharCharCharChar21">
    <w:name w:val="Char Char1 Char Char Char Char Char Char Char Char Char Char Char Char Char Char Char21"/>
    <w:semiHidden/>
    <w:rsid w:val="00767ECA"/>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18">
    <w:name w:val="(文字) (文字)518"/>
    <w:semiHidden/>
    <w:rsid w:val="00767ECA"/>
    <w:rPr>
      <w:rFonts w:ascii="Times New Roman" w:hAnsi="Times New Roman"/>
      <w:lang w:eastAsia="en-US"/>
    </w:rPr>
  </w:style>
  <w:style w:type="character" w:customStyle="1" w:styleId="gmail-apple-tab-span">
    <w:name w:val="gmail-apple-tab-span"/>
    <w:basedOn w:val="DefaultParagraphFont"/>
    <w:rsid w:val="009E4224"/>
  </w:style>
  <w:style w:type="paragraph" w:customStyle="1" w:styleId="para">
    <w:name w:val="para"/>
    <w:basedOn w:val="Normal"/>
    <w:next w:val="para-ind"/>
    <w:autoRedefine/>
    <w:rsid w:val="00DB42B2"/>
    <w:pPr>
      <w:keepNext/>
    </w:pPr>
    <w:rPr>
      <w:rFonts w:ascii="Times New Roman" w:eastAsia="Times New Roman" w:hAnsi="Times New Roman"/>
      <w:sz w:val="24"/>
      <w:lang w:val="en-US"/>
    </w:rPr>
  </w:style>
  <w:style w:type="paragraph" w:customStyle="1" w:styleId="para-ind">
    <w:name w:val="para-ind"/>
    <w:basedOn w:val="Normal"/>
    <w:autoRedefine/>
    <w:rsid w:val="00DB42B2"/>
    <w:pPr>
      <w:ind w:firstLine="357"/>
    </w:pPr>
    <w:rPr>
      <w:rFonts w:ascii="Times New Roman" w:eastAsia="Times New Roman" w:hAnsi="Times New Roman"/>
      <w:sz w:val="24"/>
      <w:lang w:val="en-US"/>
    </w:rPr>
  </w:style>
  <w:style w:type="paragraph" w:customStyle="1" w:styleId="Style1">
    <w:name w:val="Style1"/>
    <w:basedOn w:val="Heading3"/>
    <w:link w:val="Style1Char"/>
    <w:qFormat/>
    <w:rsid w:val="00363B2A"/>
    <w:pPr>
      <w:keepNext w:val="0"/>
      <w:widowControl w:val="0"/>
      <w:numPr>
        <w:ilvl w:val="0"/>
        <w:numId w:val="0"/>
      </w:numPr>
      <w:tabs>
        <w:tab w:val="num" w:pos="576"/>
      </w:tabs>
      <w:autoSpaceDE w:val="0"/>
      <w:autoSpaceDN w:val="0"/>
      <w:adjustRightInd w:val="0"/>
      <w:spacing w:before="0" w:after="120"/>
      <w:ind w:left="576" w:hanging="576"/>
      <w:jc w:val="both"/>
    </w:pPr>
    <w:rPr>
      <w:rFonts w:ascii="Times New Roman" w:eastAsia="SimSun" w:hAnsi="Times New Roman" w:cs="Times New Roman"/>
      <w:bCs w:val="0"/>
      <w:sz w:val="24"/>
      <w:szCs w:val="22"/>
    </w:rPr>
  </w:style>
  <w:style w:type="character" w:customStyle="1" w:styleId="Style1Char">
    <w:name w:val="Style1 Char"/>
    <w:basedOn w:val="DefaultParagraphFont"/>
    <w:link w:val="Style1"/>
    <w:qFormat/>
    <w:rsid w:val="00363B2A"/>
    <w:rPr>
      <w:rFonts w:eastAsia="SimSun"/>
      <w:b/>
      <w:sz w:val="24"/>
      <w:szCs w:val="22"/>
      <w:lang w:eastAsia="en-US"/>
    </w:rPr>
  </w:style>
  <w:style w:type="paragraph" w:customStyle="1" w:styleId="CharChar1CharCharCharCharCharCharCharCharCharCharCharCharCharCharChar20">
    <w:name w:val="Char Char1 Char Char Char Char Char Char Char Char Char Char Char Char Char Char Char20"/>
    <w:semiHidden/>
    <w:rsid w:val="0033085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17">
    <w:name w:val="(文字) (文字)517"/>
    <w:semiHidden/>
    <w:rsid w:val="0033085B"/>
    <w:rPr>
      <w:rFonts w:ascii="Times New Roman" w:hAnsi="Times New Roman"/>
      <w:lang w:eastAsia="en-US"/>
    </w:rPr>
  </w:style>
  <w:style w:type="character" w:customStyle="1" w:styleId="13">
    <w:name w:val="表 (青) 13 (文字)"/>
    <w:link w:val="ColorfulList-Accent1"/>
    <w:uiPriority w:val="34"/>
    <w:locked/>
    <w:rsid w:val="0033085B"/>
    <w:rPr>
      <w:rFonts w:eastAsia="MS Gothic"/>
      <w:sz w:val="24"/>
      <w:szCs w:val="24"/>
      <w:lang w:val="en-GB" w:eastAsia="en-US"/>
    </w:rPr>
  </w:style>
  <w:style w:type="table" w:styleId="ColorfulList-Accent1">
    <w:name w:val="Colorful List Accent 1"/>
    <w:basedOn w:val="TableNormal"/>
    <w:link w:val="13"/>
    <w:uiPriority w:val="34"/>
    <w:rsid w:val="0033085B"/>
    <w:rPr>
      <w:rFonts w:eastAsia="MS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customStyle="1" w:styleId="B3">
    <w:name w:val="B3"/>
    <w:basedOn w:val="List3"/>
    <w:link w:val="B3Char"/>
    <w:qFormat/>
    <w:rsid w:val="0032107C"/>
    <w:pPr>
      <w:overflowPunct w:val="0"/>
      <w:autoSpaceDE w:val="0"/>
      <w:autoSpaceDN w:val="0"/>
      <w:adjustRightInd w:val="0"/>
      <w:spacing w:after="180"/>
      <w:ind w:left="1135" w:hanging="284"/>
      <w:contextualSpacing w:val="0"/>
      <w:textAlignment w:val="baseline"/>
    </w:pPr>
    <w:rPr>
      <w:rFonts w:ascii="Times New Roman" w:eastAsia="Times New Roman" w:hAnsi="Times New Roman"/>
      <w:szCs w:val="20"/>
      <w:lang w:eastAsia="en-GB"/>
    </w:rPr>
  </w:style>
  <w:style w:type="character" w:customStyle="1" w:styleId="B3Char">
    <w:name w:val="B3 Char"/>
    <w:link w:val="B3"/>
    <w:qFormat/>
    <w:rsid w:val="0032107C"/>
    <w:rPr>
      <w:rFonts w:eastAsia="Times New Roman"/>
    </w:rPr>
  </w:style>
  <w:style w:type="paragraph" w:styleId="List3">
    <w:name w:val="List 3"/>
    <w:basedOn w:val="Normal"/>
    <w:link w:val="List3Char"/>
    <w:uiPriority w:val="99"/>
    <w:qFormat/>
    <w:rsid w:val="0032107C"/>
    <w:pPr>
      <w:ind w:left="849" w:hanging="283"/>
      <w:contextualSpacing/>
    </w:pPr>
  </w:style>
  <w:style w:type="paragraph" w:customStyle="1" w:styleId="CharChar1CharCharCharCharCharCharCharCharCharCharCharCharCharCharChar19">
    <w:name w:val="Char Char1 Char Char Char Char Char Char Char Char Char Char Char Char Char Char Char19"/>
    <w:semiHidden/>
    <w:rsid w:val="00A42C0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16">
    <w:name w:val="(文字) (文字)516"/>
    <w:semiHidden/>
    <w:rsid w:val="00A42C0B"/>
    <w:rPr>
      <w:rFonts w:ascii="Times New Roman" w:hAnsi="Times New Roman"/>
      <w:lang w:eastAsia="en-US"/>
    </w:rPr>
  </w:style>
  <w:style w:type="character" w:customStyle="1" w:styleId="131">
    <w:name w:val="表 (青) 13 (文字)1"/>
    <w:uiPriority w:val="34"/>
    <w:rsid w:val="00A42C0B"/>
    <w:rPr>
      <w:rFonts w:ascii="Times" w:hAnsi="Times"/>
      <w:szCs w:val="24"/>
      <w:lang w:val="en-GB"/>
    </w:rPr>
  </w:style>
  <w:style w:type="paragraph" w:customStyle="1" w:styleId="CharChar1CharCharCharCharCharCharCharCharCharCharCharCharCharCharChar18">
    <w:name w:val="Char Char1 Char Char Char Char Char Char Char Char Char Char Char Char Char Char Char18"/>
    <w:semiHidden/>
    <w:rsid w:val="00402B64"/>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15">
    <w:name w:val="(文字) (文字)515"/>
    <w:semiHidden/>
    <w:rsid w:val="00402B64"/>
    <w:rPr>
      <w:rFonts w:ascii="Times New Roman" w:hAnsi="Times New Roman"/>
      <w:lang w:eastAsia="en-US"/>
    </w:rPr>
  </w:style>
  <w:style w:type="paragraph" w:customStyle="1" w:styleId="3nobreakH3Underrubrik2h3MemoHeading3helloTitre">
    <w:name w:val="スタイル 見出し 3no breakH3Underrubrik2h3Memo Heading 3helloTitre ..."/>
    <w:basedOn w:val="Heading3"/>
    <w:qFormat/>
    <w:rsid w:val="00402B64"/>
    <w:pPr>
      <w:tabs>
        <w:tab w:val="clear" w:pos="862"/>
        <w:tab w:val="num" w:pos="720"/>
      </w:tabs>
      <w:ind w:left="720"/>
    </w:pPr>
    <w:rPr>
      <w:rFonts w:cs="Times New Roman"/>
      <w:bCs w:val="0"/>
      <w:lang w:eastAsia="x-none"/>
    </w:rPr>
  </w:style>
  <w:style w:type="paragraph" w:customStyle="1" w:styleId="4h4H4H41h41H42h42H43h43H411h411H421h421H44h">
    <w:name w:val="スタイル 見出し 4h4H4H41h41H42h42H43h43H411h411H421h421H44h..."/>
    <w:basedOn w:val="Heading4"/>
    <w:qFormat/>
    <w:rsid w:val="00402B64"/>
    <w:pPr>
      <w:tabs>
        <w:tab w:val="clear" w:pos="1574"/>
        <w:tab w:val="num" w:pos="864"/>
      </w:tabs>
      <w:ind w:left="864"/>
    </w:pPr>
    <w:rPr>
      <w:rFonts w:cs="Times New Roman"/>
      <w:bCs w:val="0"/>
      <w:iCs/>
      <w:lang w:eastAsia="x-none"/>
    </w:rPr>
  </w:style>
  <w:style w:type="paragraph" w:customStyle="1" w:styleId="3nobreakH3Underrubrik2h3MemoHeading3helloTitre1">
    <w:name w:val="スタイル 見出し 3no breakH3Underrubrik2h3Memo Heading 3helloTitre ...1"/>
    <w:basedOn w:val="Heading3"/>
    <w:rsid w:val="00402B64"/>
    <w:pPr>
      <w:tabs>
        <w:tab w:val="clear" w:pos="862"/>
        <w:tab w:val="num" w:pos="720"/>
      </w:tabs>
      <w:ind w:left="720"/>
    </w:pPr>
    <w:rPr>
      <w:rFonts w:eastAsia="MS Mincho" w:cs="Times New Roman"/>
      <w:bCs w:val="0"/>
      <w:lang w:eastAsia="x-none"/>
    </w:rPr>
  </w:style>
  <w:style w:type="paragraph" w:customStyle="1" w:styleId="4h4H4H41h41H42h42H43h43H411h411H421h421H44h1">
    <w:name w:val="スタイル 見出し 4h4H4H41h41H42h42H43h43H411h411H421h421H44h...1"/>
    <w:basedOn w:val="Heading4"/>
    <w:rsid w:val="00402B64"/>
    <w:pPr>
      <w:tabs>
        <w:tab w:val="clear" w:pos="1574"/>
        <w:tab w:val="num" w:pos="864"/>
      </w:tabs>
      <w:ind w:left="864"/>
    </w:pPr>
    <w:rPr>
      <w:rFonts w:eastAsia="Malgun Gothic" w:cs="Times New Roman"/>
      <w:bCs w:val="0"/>
      <w:iCs/>
      <w:lang w:eastAsia="x-none"/>
    </w:rPr>
  </w:style>
  <w:style w:type="paragraph" w:customStyle="1" w:styleId="4h4H4H41h41H42h42H43h43H411h411H421h421H44h2">
    <w:name w:val="スタイル 見出し 4h4H4H41h41H42h42H43h43H411h411H421h421H44h...2"/>
    <w:basedOn w:val="Heading4"/>
    <w:qFormat/>
    <w:rsid w:val="00402B64"/>
    <w:pPr>
      <w:tabs>
        <w:tab w:val="clear" w:pos="1574"/>
        <w:tab w:val="num" w:pos="864"/>
      </w:tabs>
      <w:ind w:left="864"/>
    </w:pPr>
    <w:rPr>
      <w:rFonts w:eastAsia="MS Mincho" w:cs="Times New Roman"/>
      <w:bCs w:val="0"/>
      <w:iCs/>
      <w:color w:val="000000"/>
      <w:lang w:eastAsia="x-none"/>
    </w:rPr>
  </w:style>
  <w:style w:type="paragraph" w:customStyle="1" w:styleId="4h4H4H41h41H42h42H43h43H411h411H421h421H44h3">
    <w:name w:val="スタイル 見出し 4h4H4H41h41H42h42H43h43H411h411H421h421H44h...3"/>
    <w:basedOn w:val="Heading4"/>
    <w:qFormat/>
    <w:rsid w:val="00402B64"/>
    <w:pPr>
      <w:tabs>
        <w:tab w:val="clear" w:pos="1574"/>
        <w:tab w:val="num" w:pos="864"/>
      </w:tabs>
      <w:ind w:left="864"/>
    </w:pPr>
    <w:rPr>
      <w:rFonts w:eastAsia="SimSun" w:cs="Times New Roman"/>
      <w:bCs w:val="0"/>
      <w:iCs/>
      <w:lang w:eastAsia="x-none"/>
    </w:rPr>
  </w:style>
  <w:style w:type="paragraph" w:customStyle="1" w:styleId="CharChar1CharCharCharCharCharCharCharCharCharCharCharCharCharCharChar17">
    <w:name w:val="Char Char1 Char Char Char Char Char Char Char Char Char Char Char Char Char Char Char17"/>
    <w:semiHidden/>
    <w:rsid w:val="00444217"/>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14">
    <w:name w:val="(文字) (文字)514"/>
    <w:semiHidden/>
    <w:rsid w:val="00444217"/>
    <w:rPr>
      <w:rFonts w:ascii="Times New Roman" w:hAnsi="Times New Roman"/>
      <w:lang w:eastAsia="en-US"/>
    </w:rPr>
  </w:style>
  <w:style w:type="character" w:customStyle="1" w:styleId="Mention1">
    <w:name w:val="Mention1"/>
    <w:uiPriority w:val="99"/>
    <w:unhideWhenUsed/>
    <w:qFormat/>
    <w:rsid w:val="00444217"/>
    <w:rPr>
      <w:color w:val="2B579A"/>
      <w:shd w:val="clear" w:color="auto" w:fill="E6E6E6"/>
    </w:rPr>
  </w:style>
  <w:style w:type="paragraph" w:customStyle="1" w:styleId="CharChar1CharCharCharCharCharCharCharCharCharCharCharCharCharCharChar16">
    <w:name w:val="Char Char1 Char Char Char Char Char Char Char Char Char Char Char Char Char Char Char16"/>
    <w:semiHidden/>
    <w:rsid w:val="007D191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13">
    <w:name w:val="(文字) (文字)513"/>
    <w:semiHidden/>
    <w:rsid w:val="007D1916"/>
    <w:rPr>
      <w:rFonts w:ascii="Times New Roman" w:hAnsi="Times New Roman"/>
      <w:lang w:eastAsia="en-US"/>
    </w:rPr>
  </w:style>
  <w:style w:type="paragraph" w:customStyle="1" w:styleId="CharChar1CharCharCharCharCharCharCharCharCharCharCharCharCharCharChar15">
    <w:name w:val="Char Char1 Char Char Char Char Char Char Char Char Char Char Char Char Char Char Char15"/>
    <w:semiHidden/>
    <w:rsid w:val="0078553F"/>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12">
    <w:name w:val="(文字) (文字)512"/>
    <w:semiHidden/>
    <w:rsid w:val="0078553F"/>
    <w:rPr>
      <w:rFonts w:ascii="Times New Roman" w:hAnsi="Times New Roman"/>
      <w:lang w:eastAsia="en-US"/>
    </w:rPr>
  </w:style>
  <w:style w:type="paragraph" w:customStyle="1" w:styleId="CharChar1CharCharCharCharCharCharCharCharCharCharCharCharCharCharChar14">
    <w:name w:val="Char Char1 Char Char Char Char Char Char Char Char Char Char Char Char Char Char Char14"/>
    <w:semiHidden/>
    <w:rsid w:val="008451F0"/>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11">
    <w:name w:val="(文字) (文字)511"/>
    <w:semiHidden/>
    <w:rsid w:val="008451F0"/>
    <w:rPr>
      <w:rFonts w:ascii="Times New Roman" w:hAnsi="Times New Roman"/>
      <w:lang w:eastAsia="en-US"/>
    </w:rPr>
  </w:style>
  <w:style w:type="paragraph" w:customStyle="1" w:styleId="CharChar1CharCharCharCharCharCharCharCharCharCharCharCharCharCharChar13">
    <w:name w:val="Char Char1 Char Char Char Char Char Char Char Char Char Char Char Char Char Char Char13"/>
    <w:semiHidden/>
    <w:rsid w:val="006F773A"/>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10">
    <w:name w:val="(文字) (文字)510"/>
    <w:semiHidden/>
    <w:rsid w:val="006F773A"/>
    <w:rPr>
      <w:rFonts w:ascii="Times New Roman" w:hAnsi="Times New Roman"/>
      <w:lang w:eastAsia="en-US"/>
    </w:rPr>
  </w:style>
  <w:style w:type="character" w:customStyle="1" w:styleId="UnresolvedMention1">
    <w:name w:val="Unresolved Mention1"/>
    <w:uiPriority w:val="99"/>
    <w:unhideWhenUsed/>
    <w:qFormat/>
    <w:rsid w:val="006F773A"/>
    <w:rPr>
      <w:color w:val="808080"/>
      <w:shd w:val="clear" w:color="auto" w:fill="E6E6E6"/>
    </w:rPr>
  </w:style>
  <w:style w:type="paragraph" w:customStyle="1" w:styleId="CharChar1CharCharCharCharCharCharCharCharCharCharCharCharCharCharChar12">
    <w:name w:val="Char Char1 Char Char Char Char Char Char Char Char Char Char Char Char Char Char Char12"/>
    <w:semiHidden/>
    <w:rsid w:val="0020094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9">
    <w:name w:val="(文字) (文字)59"/>
    <w:semiHidden/>
    <w:rsid w:val="0020094B"/>
    <w:rPr>
      <w:rFonts w:ascii="Times New Roman" w:hAnsi="Times New Roman"/>
      <w:lang w:eastAsia="en-US"/>
    </w:rPr>
  </w:style>
  <w:style w:type="paragraph" w:customStyle="1" w:styleId="CharChar1CharCharCharCharCharCharCharCharCharCharCharCharCharCharChar11">
    <w:name w:val="Char Char1 Char Char Char Char Char Char Char Char Char Char Char Char Char Char Char11"/>
    <w:semiHidden/>
    <w:rsid w:val="0053620C"/>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8">
    <w:name w:val="(文字) (文字)58"/>
    <w:semiHidden/>
    <w:rsid w:val="0053620C"/>
    <w:rPr>
      <w:rFonts w:ascii="Times New Roman" w:hAnsi="Times New Roman"/>
      <w:lang w:eastAsia="en-US"/>
    </w:rPr>
  </w:style>
  <w:style w:type="paragraph" w:customStyle="1" w:styleId="CharChar1CharCharCharCharCharCharCharCharCharCharCharCharCharCharChar10">
    <w:name w:val="Char Char1 Char Char Char Char Char Char Char Char Char Char Char Char Char Char Char10"/>
    <w:semiHidden/>
    <w:rsid w:val="00214739"/>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7">
    <w:name w:val="(文字) (文字)57"/>
    <w:semiHidden/>
    <w:rsid w:val="00214739"/>
    <w:rPr>
      <w:rFonts w:ascii="Times New Roman" w:hAnsi="Times New Roman"/>
      <w:lang w:eastAsia="en-US"/>
    </w:rPr>
  </w:style>
  <w:style w:type="paragraph" w:styleId="BodyText2">
    <w:name w:val="Body Text 2"/>
    <w:basedOn w:val="Normal"/>
    <w:link w:val="BodyText2Char"/>
    <w:qFormat/>
    <w:rsid w:val="00214739"/>
    <w:pPr>
      <w:spacing w:after="120" w:line="480" w:lineRule="auto"/>
      <w:ind w:left="1440" w:hanging="1440"/>
    </w:pPr>
  </w:style>
  <w:style w:type="character" w:customStyle="1" w:styleId="BodyText2Char">
    <w:name w:val="Body Text 2 Char"/>
    <w:basedOn w:val="DefaultParagraphFont"/>
    <w:link w:val="BodyText2"/>
    <w:qFormat/>
    <w:rsid w:val="00214739"/>
    <w:rPr>
      <w:rFonts w:ascii="Times" w:hAnsi="Times"/>
      <w:szCs w:val="24"/>
      <w:lang w:eastAsia="en-US"/>
    </w:rPr>
  </w:style>
  <w:style w:type="character" w:customStyle="1" w:styleId="ParagraphChar">
    <w:name w:val="Paragraph Char"/>
    <w:link w:val="Paragraph"/>
    <w:locked/>
    <w:rsid w:val="00105EB4"/>
    <w:rPr>
      <w:rFonts w:eastAsia="MS Mincho"/>
      <w:sz w:val="22"/>
      <w:lang w:eastAsia="en-US"/>
    </w:rPr>
  </w:style>
  <w:style w:type="paragraph" w:customStyle="1" w:styleId="CharChar1CharCharCharCharCharCharCharCharCharCharCharCharCharCharChar9">
    <w:name w:val="Char Char1 Char Char Char Char Char Char Char Char Char Char Char Char Char Char Char9"/>
    <w:semiHidden/>
    <w:rsid w:val="00C778B0"/>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6">
    <w:name w:val="(文字) (文字)56"/>
    <w:semiHidden/>
    <w:rsid w:val="00C778B0"/>
    <w:rPr>
      <w:rFonts w:ascii="Times New Roman" w:hAnsi="Times New Roman"/>
      <w:lang w:eastAsia="en-US"/>
    </w:rPr>
  </w:style>
  <w:style w:type="character" w:customStyle="1" w:styleId="ColorfulList-Accent1Char">
    <w:name w:val="Colorful List - Accent 1 Char"/>
    <w:uiPriority w:val="34"/>
    <w:locked/>
    <w:rsid w:val="00C778B0"/>
    <w:rPr>
      <w:rFonts w:eastAsia="MS Gothic"/>
      <w:sz w:val="24"/>
      <w:szCs w:val="24"/>
      <w:lang w:eastAsia="en-US"/>
    </w:rPr>
  </w:style>
  <w:style w:type="paragraph" w:customStyle="1" w:styleId="CharChar1CharCharCharCharCharCharCharCharCharCharCharCharCharCharChar8">
    <w:name w:val="Char Char1 Char Char Char Char Char Char Char Char Char Char Char Char Char Char Char8"/>
    <w:semiHidden/>
    <w:rsid w:val="00354C3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5">
    <w:name w:val="(文字) (文字)55"/>
    <w:semiHidden/>
    <w:rsid w:val="00354C36"/>
    <w:rPr>
      <w:rFonts w:ascii="Times New Roman" w:hAnsi="Times New Roman"/>
      <w:lang w:eastAsia="en-US"/>
    </w:rPr>
  </w:style>
  <w:style w:type="numbering" w:customStyle="1" w:styleId="StyleBulletedSymbolsymbolLeft025Hanging0">
    <w:name w:val="Style Bulleted Symbol (symbol) Left:  0.25&quot; Hanging:  0."/>
    <w:basedOn w:val="NoList"/>
    <w:rsid w:val="00354C36"/>
    <w:pPr>
      <w:numPr>
        <w:numId w:val="26"/>
      </w:numPr>
    </w:pPr>
  </w:style>
  <w:style w:type="table" w:styleId="GridTable4-Accent5">
    <w:name w:val="Grid Table 4 Accent 5"/>
    <w:basedOn w:val="TableNormal"/>
    <w:uiPriority w:val="49"/>
    <w:rsid w:val="00354C36"/>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mailstyle15">
    <w:name w:val="emailstyle15"/>
    <w:semiHidden/>
    <w:rsid w:val="00354C36"/>
    <w:rPr>
      <w:color w:val="000000"/>
    </w:rPr>
  </w:style>
  <w:style w:type="numbering" w:customStyle="1" w:styleId="StyleBulletedSymbolsymbolLeft025Hanging025">
    <w:name w:val="Style Bulleted Symbol (symbol) Left:  0.25&quot; Hanging:  0.25&quot;"/>
    <w:basedOn w:val="NoList"/>
    <w:rsid w:val="00354C36"/>
    <w:pPr>
      <w:numPr>
        <w:numId w:val="24"/>
      </w:numPr>
    </w:pPr>
  </w:style>
  <w:style w:type="numbering" w:customStyle="1" w:styleId="StyleBulletedSymbolsymbolLeft025Hanging0251">
    <w:name w:val="Style Bulleted Symbol (symbol) Left:  0.25&quot; Hanging:  0.25&quot;1"/>
    <w:basedOn w:val="NoList"/>
    <w:rsid w:val="00354C36"/>
    <w:pPr>
      <w:numPr>
        <w:numId w:val="25"/>
      </w:numPr>
    </w:pPr>
  </w:style>
  <w:style w:type="numbering" w:customStyle="1" w:styleId="StyleBulletedSymbolsymbolLeft025Hanging0252">
    <w:name w:val="Style Bulleted Symbol (symbol) Left:  0.25&quot; Hanging:  0.25&quot;2"/>
    <w:basedOn w:val="NoList"/>
    <w:rsid w:val="00354C36"/>
    <w:pPr>
      <w:numPr>
        <w:numId w:val="27"/>
      </w:numPr>
    </w:pPr>
  </w:style>
  <w:style w:type="paragraph" w:customStyle="1" w:styleId="21">
    <w:name w:val="列出段落2"/>
    <w:basedOn w:val="Normal"/>
    <w:link w:val="Char0"/>
    <w:uiPriority w:val="34"/>
    <w:qFormat/>
    <w:rsid w:val="00A7679D"/>
    <w:pPr>
      <w:ind w:leftChars="400" w:left="840"/>
    </w:pPr>
    <w:rPr>
      <w:rFonts w:ascii="Times New Roman" w:eastAsia="MS Gothic" w:hAnsi="Times New Roman"/>
      <w:sz w:val="24"/>
      <w:szCs w:val="20"/>
      <w:lang w:eastAsia="ja-JP"/>
    </w:rPr>
  </w:style>
  <w:style w:type="character" w:customStyle="1" w:styleId="Char0">
    <w:name w:val="列出段落 Char"/>
    <w:aliases w:val="목록 단락 Char,リスト段落 Char,列出段落1 Char,Paragrafo elenco Char,Lettre d'introduction Char,列 Char,목록단락 Char,- Bullets Char,?? ?? Char,????? Char,???? Char,Lista1 Char,中等深浅网格 1 - 着色 21 Char,¥¡¡¡¡ì¬º¥¹¥È¶ÎÂä Char,ÁÐ³ö¶ÎÂä Char,¥ê¥¹¥È¶ÎÂä Char,列表段落1 Char"/>
    <w:link w:val="21"/>
    <w:uiPriority w:val="34"/>
    <w:qFormat/>
    <w:rsid w:val="00A7679D"/>
    <w:rPr>
      <w:rFonts w:eastAsia="MS Gothic"/>
      <w:sz w:val="24"/>
      <w:lang w:eastAsia="ja-JP"/>
    </w:rPr>
  </w:style>
  <w:style w:type="paragraph" w:customStyle="1" w:styleId="Normal1CharChar">
    <w:name w:val="Normal1 Char Char"/>
    <w:basedOn w:val="Normal"/>
    <w:rsid w:val="00566F52"/>
    <w:pPr>
      <w:numPr>
        <w:numId w:val="28"/>
      </w:numPr>
      <w:overflowPunct w:val="0"/>
      <w:autoSpaceDE w:val="0"/>
      <w:autoSpaceDN w:val="0"/>
      <w:adjustRightInd w:val="0"/>
      <w:spacing w:after="180"/>
      <w:textAlignment w:val="baseline"/>
    </w:pPr>
    <w:rPr>
      <w:rFonts w:ascii="Times New Roman" w:eastAsia="Times New Roman" w:hAnsi="Times New Roman"/>
      <w:szCs w:val="20"/>
      <w:lang w:eastAsia="en-GB"/>
    </w:rPr>
  </w:style>
  <w:style w:type="character" w:customStyle="1" w:styleId="bulletChar">
    <w:name w:val="bullet Char"/>
    <w:rsid w:val="00E03007"/>
    <w:rPr>
      <w:rFonts w:eastAsia="Times New Roman"/>
      <w:szCs w:val="24"/>
    </w:rPr>
  </w:style>
  <w:style w:type="paragraph" w:customStyle="1" w:styleId="CharChar1CharCharCharCharCharCharCharCharCharCharCharCharCharCharChar7">
    <w:name w:val="Char Char1 Char Char Char Char Char Char Char Char Char Char Char Char Char Char Char7"/>
    <w:semiHidden/>
    <w:rsid w:val="003A1500"/>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4">
    <w:name w:val="(文字) (文字)54"/>
    <w:semiHidden/>
    <w:rsid w:val="003A1500"/>
    <w:rPr>
      <w:rFonts w:ascii="Times New Roman" w:hAnsi="Times New Roman"/>
      <w:lang w:eastAsia="en-US"/>
    </w:rPr>
  </w:style>
  <w:style w:type="paragraph" w:customStyle="1" w:styleId="B-Body">
    <w:name w:val="B-Body"/>
    <w:link w:val="B-BodyChar"/>
    <w:qFormat/>
    <w:rsid w:val="003A1500"/>
    <w:pPr>
      <w:tabs>
        <w:tab w:val="left" w:pos="2160"/>
      </w:tabs>
      <w:spacing w:before="120" w:after="40"/>
      <w:ind w:left="720"/>
    </w:pPr>
    <w:rPr>
      <w:rFonts w:eastAsia="Times New Roman"/>
      <w:sz w:val="22"/>
      <w:lang w:val="en-US" w:eastAsia="en-US"/>
    </w:rPr>
  </w:style>
  <w:style w:type="character" w:customStyle="1" w:styleId="B-BodyChar">
    <w:name w:val="B-Body Char"/>
    <w:basedOn w:val="DefaultParagraphFont"/>
    <w:link w:val="B-Body"/>
    <w:rsid w:val="003A1500"/>
    <w:rPr>
      <w:rFonts w:eastAsia="Times New Roman"/>
      <w:sz w:val="22"/>
      <w:lang w:val="en-US" w:eastAsia="en-US"/>
    </w:rPr>
  </w:style>
  <w:style w:type="paragraph" w:customStyle="1" w:styleId="ComeBack">
    <w:name w:val="ComeBack"/>
    <w:basedOn w:val="Doc-text2"/>
    <w:next w:val="Doc-text2"/>
    <w:link w:val="ComeBackCharChar"/>
    <w:rsid w:val="003A1500"/>
    <w:pPr>
      <w:numPr>
        <w:numId w:val="29"/>
      </w:numPr>
      <w:tabs>
        <w:tab w:val="clear" w:pos="1622"/>
      </w:tabs>
    </w:pPr>
    <w:rPr>
      <w:lang w:val="en-GB"/>
    </w:rPr>
  </w:style>
  <w:style w:type="character" w:customStyle="1" w:styleId="ComeBackCharChar">
    <w:name w:val="ComeBack Char Char"/>
    <w:link w:val="ComeBack"/>
    <w:rsid w:val="003A1500"/>
    <w:rPr>
      <w:rFonts w:ascii="Arial" w:eastAsia="MS Mincho" w:hAnsi="Arial"/>
      <w:szCs w:val="24"/>
    </w:rPr>
  </w:style>
  <w:style w:type="paragraph" w:customStyle="1" w:styleId="RAN1text">
    <w:name w:val="RAN1 text"/>
    <w:basedOn w:val="BodyText"/>
    <w:link w:val="RAN1textChar"/>
    <w:qFormat/>
    <w:rsid w:val="00774BD9"/>
    <w:pPr>
      <w:spacing w:after="0"/>
    </w:pPr>
    <w:rPr>
      <w:rFonts w:ascii="Times New Roman" w:eastAsia="MS Mincho" w:hAnsi="Times New Roman"/>
      <w:lang w:val="x-none" w:eastAsia="x-none"/>
    </w:rPr>
  </w:style>
  <w:style w:type="character" w:customStyle="1" w:styleId="RAN1textChar">
    <w:name w:val="RAN1 text Char"/>
    <w:link w:val="RAN1text"/>
    <w:qFormat/>
    <w:rsid w:val="00774BD9"/>
    <w:rPr>
      <w:rFonts w:eastAsia="MS Mincho"/>
      <w:szCs w:val="24"/>
      <w:lang w:val="x-none" w:eastAsia="x-none"/>
    </w:rPr>
  </w:style>
  <w:style w:type="paragraph" w:customStyle="1" w:styleId="RAN1tdoc">
    <w:name w:val="RAN1 tdoc"/>
    <w:basedOn w:val="Normal"/>
    <w:link w:val="RAN1tdocChar"/>
    <w:qFormat/>
    <w:rsid w:val="00774BD9"/>
    <w:pPr>
      <w:ind w:left="720" w:hanging="720"/>
    </w:pPr>
    <w:rPr>
      <w:b/>
      <w:color w:val="0000FF"/>
      <w:u w:val="single" w:color="0000FF"/>
      <w:lang w:eastAsia="x-none"/>
    </w:rPr>
  </w:style>
  <w:style w:type="paragraph" w:customStyle="1" w:styleId="RAN1bullet1">
    <w:name w:val="RAN1 bullet1"/>
    <w:basedOn w:val="Normal"/>
    <w:link w:val="RAN1bullet1Char"/>
    <w:qFormat/>
    <w:rsid w:val="00774BD9"/>
    <w:pPr>
      <w:numPr>
        <w:numId w:val="30"/>
      </w:numPr>
    </w:pPr>
    <w:rPr>
      <w:lang w:eastAsia="x-none"/>
    </w:rPr>
  </w:style>
  <w:style w:type="character" w:customStyle="1" w:styleId="RAN1tdocChar">
    <w:name w:val="RAN1 tdoc Char"/>
    <w:link w:val="RAN1tdoc"/>
    <w:rsid w:val="00774BD9"/>
    <w:rPr>
      <w:rFonts w:ascii="Times" w:hAnsi="Times"/>
      <w:b/>
      <w:color w:val="0000FF"/>
      <w:szCs w:val="24"/>
      <w:u w:val="single" w:color="0000FF"/>
      <w:lang w:eastAsia="x-none"/>
    </w:rPr>
  </w:style>
  <w:style w:type="paragraph" w:customStyle="1" w:styleId="RAN1bullet2">
    <w:name w:val="RAN1 bullet2"/>
    <w:basedOn w:val="Normal"/>
    <w:link w:val="RAN1bullet2Char"/>
    <w:uiPriority w:val="99"/>
    <w:qFormat/>
    <w:rsid w:val="00774BD9"/>
    <w:pPr>
      <w:numPr>
        <w:ilvl w:val="1"/>
        <w:numId w:val="32"/>
      </w:numPr>
      <w:tabs>
        <w:tab w:val="left" w:pos="1440"/>
      </w:tabs>
    </w:pPr>
    <w:rPr>
      <w:szCs w:val="20"/>
      <w:lang w:val="en-US"/>
    </w:rPr>
  </w:style>
  <w:style w:type="character" w:customStyle="1" w:styleId="RAN1bullet1Char">
    <w:name w:val="RAN1 bullet1 Char"/>
    <w:link w:val="RAN1bullet1"/>
    <w:qFormat/>
    <w:rsid w:val="00774BD9"/>
    <w:rPr>
      <w:rFonts w:ascii="Times" w:hAnsi="Times"/>
      <w:szCs w:val="24"/>
      <w:lang w:eastAsia="x-none"/>
    </w:rPr>
  </w:style>
  <w:style w:type="paragraph" w:customStyle="1" w:styleId="RAN1bullet3">
    <w:name w:val="RAN1 bullet3"/>
    <w:basedOn w:val="RAN1bullet2"/>
    <w:link w:val="RAN1bullet3Char"/>
    <w:uiPriority w:val="99"/>
    <w:qFormat/>
    <w:rsid w:val="00774BD9"/>
    <w:pPr>
      <w:numPr>
        <w:ilvl w:val="2"/>
        <w:numId w:val="31"/>
      </w:numPr>
    </w:pPr>
  </w:style>
  <w:style w:type="character" w:customStyle="1" w:styleId="RAN1bullet2Char">
    <w:name w:val="RAN1 bullet2 Char"/>
    <w:link w:val="RAN1bullet2"/>
    <w:uiPriority w:val="99"/>
    <w:qFormat/>
    <w:rsid w:val="00774BD9"/>
    <w:rPr>
      <w:rFonts w:ascii="Times" w:hAnsi="Times"/>
      <w:lang w:val="en-US" w:eastAsia="en-US"/>
    </w:rPr>
  </w:style>
  <w:style w:type="paragraph" w:customStyle="1" w:styleId="RAN1normal">
    <w:name w:val="RAN1 normal"/>
    <w:basedOn w:val="Normal"/>
    <w:link w:val="RAN1normalChar"/>
    <w:qFormat/>
    <w:rsid w:val="00774BD9"/>
    <w:pPr>
      <w:ind w:left="720" w:hanging="720"/>
    </w:pPr>
    <w:rPr>
      <w:lang w:eastAsia="x-none"/>
    </w:rPr>
  </w:style>
  <w:style w:type="character" w:customStyle="1" w:styleId="RAN1bullet3Char">
    <w:name w:val="RAN1 bullet3 Char"/>
    <w:basedOn w:val="RAN1bullet2Char"/>
    <w:link w:val="RAN1bullet3"/>
    <w:uiPriority w:val="99"/>
    <w:qFormat/>
    <w:rsid w:val="00774BD9"/>
    <w:rPr>
      <w:rFonts w:ascii="Times" w:hAnsi="Times"/>
      <w:lang w:val="en-US" w:eastAsia="en-US"/>
    </w:rPr>
  </w:style>
  <w:style w:type="character" w:customStyle="1" w:styleId="ProposalChar">
    <w:name w:val="Proposal Char"/>
    <w:link w:val="Proposal"/>
    <w:qFormat/>
    <w:rsid w:val="00774BD9"/>
    <w:rPr>
      <w:rFonts w:ascii="Arial" w:eastAsia="Times New Roman" w:hAnsi="Arial"/>
      <w:b/>
      <w:bCs/>
      <w:lang w:eastAsia="zh-CN"/>
    </w:rPr>
  </w:style>
  <w:style w:type="character" w:customStyle="1" w:styleId="RAN1normalChar">
    <w:name w:val="RAN1 normal Char"/>
    <w:link w:val="RAN1normal"/>
    <w:rsid w:val="00774BD9"/>
    <w:rPr>
      <w:rFonts w:ascii="Times" w:hAnsi="Times"/>
      <w:szCs w:val="24"/>
      <w:lang w:eastAsia="x-none"/>
    </w:rPr>
  </w:style>
  <w:style w:type="character" w:styleId="BookTitle">
    <w:name w:val="Book Title"/>
    <w:uiPriority w:val="33"/>
    <w:qFormat/>
    <w:rsid w:val="00774BD9"/>
    <w:rPr>
      <w:b/>
      <w:bCs/>
      <w:i/>
      <w:iCs/>
      <w:spacing w:val="5"/>
    </w:rPr>
  </w:style>
  <w:style w:type="table" w:customStyle="1" w:styleId="TableGrid1">
    <w:name w:val="TableGrid1"/>
    <w:basedOn w:val="TableNormal"/>
    <w:next w:val="TableGrid"/>
    <w:uiPriority w:val="39"/>
    <w:qFormat/>
    <w:rsid w:val="004C70A4"/>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6">
    <w:name w:val="Char Char1 Char Char Char Char Char Char Char Char Char Char Char Char Char Char Char6"/>
    <w:semiHidden/>
    <w:rsid w:val="00254752"/>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1CharCharCharCharCharCharCharCharCharCharCharCharCharCharChar103">
    <w:name w:val="Char Char1 Char Char Char Char Char Char Char Char Char Char Char Char Char Char Char103"/>
    <w:semiHidden/>
    <w:rsid w:val="004C70A4"/>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3">
    <w:name w:val="(文字) (文字)53"/>
    <w:semiHidden/>
    <w:rsid w:val="00254752"/>
    <w:rPr>
      <w:rFonts w:ascii="Times New Roman" w:hAnsi="Times New Roman"/>
      <w:lang w:eastAsia="en-US"/>
    </w:rPr>
  </w:style>
  <w:style w:type="character" w:styleId="SubtleEmphasis">
    <w:name w:val="Subtle Emphasis"/>
    <w:uiPriority w:val="19"/>
    <w:qFormat/>
    <w:rsid w:val="00254752"/>
    <w:rPr>
      <w:i/>
      <w:iCs/>
      <w:color w:val="404040"/>
    </w:rPr>
  </w:style>
  <w:style w:type="table" w:customStyle="1" w:styleId="ColorfulList-Accent11">
    <w:name w:val="Colorful List - Accent 11"/>
    <w:basedOn w:val="TableNormal"/>
    <w:next w:val="ColorfulList-Accent1"/>
    <w:uiPriority w:val="34"/>
    <w:rsid w:val="00254752"/>
    <w:rPr>
      <w:rFonts w:eastAsia="MS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
    <w:name w:val="Grid Table 4 - Accent 51"/>
    <w:basedOn w:val="TableNormal"/>
    <w:next w:val="GridTable4-Accent5"/>
    <w:uiPriority w:val="49"/>
    <w:qFormat/>
    <w:rsid w:val="00254752"/>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598">
    <w:name w:val="(文字) (文字)598"/>
    <w:semiHidden/>
    <w:rsid w:val="004C70A4"/>
    <w:rPr>
      <w:rFonts w:ascii="Times New Roman" w:hAnsi="Times New Roman"/>
      <w:lang w:eastAsia="en-US"/>
    </w:rPr>
  </w:style>
  <w:style w:type="numbering" w:customStyle="1" w:styleId="StyleBulletedSymbolsymbolLeft025Hanging02511">
    <w:name w:val="Style Bulleted Symbol (symbol) Left:  0.25&quot; Hanging:  0.25&quot;11"/>
    <w:basedOn w:val="NoList"/>
    <w:rsid w:val="00254752"/>
    <w:pPr>
      <w:numPr>
        <w:numId w:val="56"/>
      </w:numPr>
    </w:pPr>
  </w:style>
  <w:style w:type="paragraph" w:customStyle="1" w:styleId="CharChar1CharCharCharCharCharCharCharCharCharCharCharCharCharCharChar5">
    <w:name w:val="Char Char1 Char Char Char Char Char Char Char Char Char Char Char Char Char Char Char5"/>
    <w:semiHidden/>
    <w:rsid w:val="00F715D0"/>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2">
    <w:name w:val="(文字) (文字)52"/>
    <w:semiHidden/>
    <w:rsid w:val="00F715D0"/>
    <w:rPr>
      <w:rFonts w:ascii="Times New Roman" w:hAnsi="Times New Roman"/>
      <w:lang w:eastAsia="en-US"/>
    </w:rPr>
  </w:style>
  <w:style w:type="paragraph" w:customStyle="1" w:styleId="a0">
    <w:name w:val="佐藤２"/>
    <w:basedOn w:val="Normal"/>
    <w:qFormat/>
    <w:rsid w:val="00F715D0"/>
    <w:pPr>
      <w:numPr>
        <w:numId w:val="33"/>
      </w:numPr>
      <w:spacing w:after="180"/>
    </w:pPr>
    <w:rPr>
      <w:rFonts w:ascii="Times New Roman" w:eastAsia="MS Gothic" w:hAnsi="Times New Roman"/>
      <w:sz w:val="24"/>
      <w:szCs w:val="20"/>
      <w:lang w:eastAsia="ja-JP"/>
    </w:rPr>
  </w:style>
  <w:style w:type="table" w:customStyle="1" w:styleId="11">
    <w:name w:val="网格型1"/>
    <w:basedOn w:val="TableNormal"/>
    <w:next w:val="TableGrid"/>
    <w:uiPriority w:val="39"/>
    <w:qFormat/>
    <w:rsid w:val="00F715D0"/>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2">
    <w:name w:val="bullet2"/>
    <w:basedOn w:val="Normal"/>
    <w:link w:val="bullet2Char"/>
    <w:qFormat/>
    <w:rsid w:val="00F715D0"/>
    <w:pPr>
      <w:numPr>
        <w:ilvl w:val="1"/>
        <w:numId w:val="34"/>
      </w:numPr>
    </w:pPr>
  </w:style>
  <w:style w:type="paragraph" w:customStyle="1" w:styleId="bullet3">
    <w:name w:val="bullet3"/>
    <w:basedOn w:val="Normal"/>
    <w:link w:val="bullet3Char"/>
    <w:qFormat/>
    <w:rsid w:val="00F715D0"/>
    <w:pPr>
      <w:numPr>
        <w:ilvl w:val="2"/>
        <w:numId w:val="34"/>
      </w:numPr>
      <w:ind w:hanging="180"/>
    </w:pPr>
  </w:style>
  <w:style w:type="character" w:customStyle="1" w:styleId="bullet2Char">
    <w:name w:val="bullet2 Char"/>
    <w:link w:val="bullet2"/>
    <w:qFormat/>
    <w:rsid w:val="00F715D0"/>
    <w:rPr>
      <w:rFonts w:ascii="Times" w:hAnsi="Times"/>
      <w:szCs w:val="24"/>
      <w:lang w:eastAsia="en-US"/>
    </w:rPr>
  </w:style>
  <w:style w:type="paragraph" w:customStyle="1" w:styleId="bullet4">
    <w:name w:val="bullet4"/>
    <w:basedOn w:val="Normal"/>
    <w:qFormat/>
    <w:rsid w:val="00F715D0"/>
    <w:pPr>
      <w:numPr>
        <w:ilvl w:val="3"/>
        <w:numId w:val="34"/>
      </w:numPr>
    </w:pPr>
  </w:style>
  <w:style w:type="paragraph" w:customStyle="1" w:styleId="CharChar1CharCharCharChar">
    <w:name w:val="Char Char1 Char Char Char Char"/>
    <w:uiPriority w:val="99"/>
    <w:semiHidden/>
    <w:qFormat/>
    <w:rsid w:val="00F715D0"/>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styleId="NormalIndent">
    <w:name w:val="Normal Indent"/>
    <w:aliases w:val="表正文,正文非缩进,正文不缩进,首行缩进,正文（首行缩进两字）＋行距：1.5倍行距,正文缩进 Char,特点,段1,正文缩进 Char Char Char Char Char,正文缩进 Char Char Char,Alt+X,mr正文缩进,正文对齐,正文缩进William,四号,缩进,正文（首行缩进两字） Char Char Char Char,正文（首行缩进两字） Char Char,特点 Char,ALT+Z,水上软件,正文缩进1,正文-段前3磅,正文缩进11"/>
    <w:basedOn w:val="Normal"/>
    <w:uiPriority w:val="99"/>
    <w:qFormat/>
    <w:rsid w:val="00F715D0"/>
    <w:pPr>
      <w:widowControl w:val="0"/>
      <w:ind w:firstLine="420"/>
      <w:jc w:val="both"/>
    </w:pPr>
    <w:rPr>
      <w:rFonts w:ascii="Times New Roman" w:eastAsia="SimSun" w:hAnsi="Times New Roman"/>
      <w:kern w:val="2"/>
      <w:sz w:val="21"/>
      <w:szCs w:val="20"/>
      <w:lang w:val="en-US" w:eastAsia="zh-CN"/>
    </w:rPr>
  </w:style>
  <w:style w:type="paragraph" w:customStyle="1" w:styleId="ac">
    <w:name w:val="表格文字居左"/>
    <w:basedOn w:val="Normal"/>
    <w:next w:val="Normal"/>
    <w:uiPriority w:val="99"/>
    <w:qFormat/>
    <w:rsid w:val="00F715D0"/>
    <w:pPr>
      <w:widowControl w:val="0"/>
      <w:jc w:val="both"/>
    </w:pPr>
    <w:rPr>
      <w:rFonts w:ascii="Arial" w:eastAsia="SimSun" w:hAnsi="Arial" w:cs="SimSun"/>
      <w:kern w:val="2"/>
      <w:sz w:val="21"/>
      <w:szCs w:val="20"/>
      <w:lang w:val="en-US" w:eastAsia="zh-CN"/>
    </w:rPr>
  </w:style>
  <w:style w:type="paragraph" w:customStyle="1" w:styleId="ZA">
    <w:name w:val="ZA"/>
    <w:qFormat/>
    <w:rsid w:val="00F715D0"/>
    <w:pPr>
      <w:framePr w:w="10206" w:h="794" w:hRule="exact" w:wrap="notBeside" w:vAnchor="page" w:hAnchor="margin" w:y="1135"/>
      <w:widowControl w:val="0"/>
      <w:pBdr>
        <w:bottom w:val="single" w:sz="12" w:space="1" w:color="auto"/>
      </w:pBdr>
      <w:jc w:val="right"/>
    </w:pPr>
    <w:rPr>
      <w:rFonts w:ascii="Arial" w:eastAsia="SimSun" w:hAnsi="Arial"/>
      <w:noProof/>
      <w:sz w:val="40"/>
      <w:lang w:eastAsia="en-US"/>
    </w:rPr>
  </w:style>
  <w:style w:type="paragraph" w:styleId="z-TopofForm">
    <w:name w:val="HTML Top of Form"/>
    <w:basedOn w:val="Normal"/>
    <w:next w:val="Normal"/>
    <w:link w:val="z-TopofFormChar"/>
    <w:hidden/>
    <w:uiPriority w:val="99"/>
    <w:unhideWhenUsed/>
    <w:rsid w:val="00F715D0"/>
    <w:pPr>
      <w:pBdr>
        <w:bottom w:val="single" w:sz="6" w:space="1" w:color="auto"/>
      </w:pBdr>
      <w:jc w:val="center"/>
    </w:pPr>
    <w:rPr>
      <w:rFonts w:ascii="Arial" w:eastAsia="SimSun" w:hAnsi="Arial"/>
      <w:vanish/>
      <w:sz w:val="16"/>
      <w:szCs w:val="16"/>
      <w:lang w:val="en-US" w:eastAsia="zh-CN"/>
    </w:rPr>
  </w:style>
  <w:style w:type="character" w:customStyle="1" w:styleId="z-TopofFormChar">
    <w:name w:val="z-Top of Form Char"/>
    <w:basedOn w:val="DefaultParagraphFont"/>
    <w:link w:val="z-TopofForm"/>
    <w:uiPriority w:val="99"/>
    <w:rsid w:val="00F715D0"/>
    <w:rPr>
      <w:rFonts w:ascii="Arial" w:eastAsia="SimSun" w:hAnsi="Arial"/>
      <w:vanish/>
      <w:sz w:val="16"/>
      <w:szCs w:val="16"/>
      <w:lang w:val="en-US" w:eastAsia="zh-CN"/>
    </w:rPr>
  </w:style>
  <w:style w:type="character" w:customStyle="1" w:styleId="hps">
    <w:name w:val="hps"/>
    <w:rsid w:val="00F715D0"/>
  </w:style>
  <w:style w:type="paragraph" w:styleId="z-BottomofForm">
    <w:name w:val="HTML Bottom of Form"/>
    <w:basedOn w:val="Normal"/>
    <w:next w:val="Normal"/>
    <w:link w:val="z-BottomofFormChar"/>
    <w:hidden/>
    <w:uiPriority w:val="99"/>
    <w:unhideWhenUsed/>
    <w:rsid w:val="00F715D0"/>
    <w:pPr>
      <w:pBdr>
        <w:top w:val="single" w:sz="6" w:space="1" w:color="auto"/>
      </w:pBdr>
      <w:jc w:val="center"/>
    </w:pPr>
    <w:rPr>
      <w:rFonts w:ascii="Arial" w:eastAsia="SimSun" w:hAnsi="Arial"/>
      <w:vanish/>
      <w:sz w:val="16"/>
      <w:szCs w:val="16"/>
      <w:lang w:val="en-US" w:eastAsia="zh-CN"/>
    </w:rPr>
  </w:style>
  <w:style w:type="character" w:customStyle="1" w:styleId="z-BottomofFormChar">
    <w:name w:val="z-Bottom of Form Char"/>
    <w:basedOn w:val="DefaultParagraphFont"/>
    <w:link w:val="z-BottomofForm"/>
    <w:uiPriority w:val="99"/>
    <w:rsid w:val="00F715D0"/>
    <w:rPr>
      <w:rFonts w:ascii="Arial" w:eastAsia="SimSun" w:hAnsi="Arial"/>
      <w:vanish/>
      <w:sz w:val="16"/>
      <w:szCs w:val="16"/>
      <w:lang w:val="en-US" w:eastAsia="zh-CN"/>
    </w:rPr>
  </w:style>
  <w:style w:type="paragraph" w:customStyle="1" w:styleId="tablecell0">
    <w:name w:val="tablecell"/>
    <w:basedOn w:val="Normal"/>
    <w:qFormat/>
    <w:rsid w:val="00F715D0"/>
    <w:pPr>
      <w:autoSpaceDE w:val="0"/>
      <w:autoSpaceDN w:val="0"/>
      <w:adjustRightInd w:val="0"/>
      <w:snapToGrid w:val="0"/>
      <w:spacing w:before="40" w:after="40"/>
    </w:pPr>
    <w:rPr>
      <w:rFonts w:ascii="Times New Roman" w:eastAsia="SimSun" w:hAnsi="Times New Roman"/>
      <w:szCs w:val="20"/>
      <w:lang w:val="en-US"/>
    </w:rPr>
  </w:style>
  <w:style w:type="character" w:customStyle="1" w:styleId="shorttext">
    <w:name w:val="short_text"/>
    <w:rsid w:val="00F715D0"/>
  </w:style>
  <w:style w:type="paragraph" w:customStyle="1" w:styleId="tableheader">
    <w:name w:val="tableheader"/>
    <w:basedOn w:val="Normal"/>
    <w:qFormat/>
    <w:rsid w:val="00F715D0"/>
    <w:pPr>
      <w:snapToGrid w:val="0"/>
      <w:spacing w:before="40" w:after="40"/>
      <w:jc w:val="center"/>
    </w:pPr>
    <w:rPr>
      <w:rFonts w:ascii="Times New Roman" w:eastAsia="SimSun" w:hAnsi="Times New Roman" w:cs="Calibri"/>
      <w:b/>
      <w:bCs/>
      <w:color w:val="000000"/>
      <w:szCs w:val="20"/>
      <w:lang w:val="en-US"/>
    </w:rPr>
  </w:style>
  <w:style w:type="paragraph" w:customStyle="1" w:styleId="TAN">
    <w:name w:val="TAN"/>
    <w:basedOn w:val="Normal"/>
    <w:link w:val="TANChar"/>
    <w:qFormat/>
    <w:rsid w:val="00F715D0"/>
    <w:pPr>
      <w:keepNext/>
      <w:keepLines/>
      <w:ind w:left="851" w:hanging="851"/>
    </w:pPr>
    <w:rPr>
      <w:rFonts w:ascii="Arial" w:eastAsia="SimSun" w:hAnsi="Arial"/>
      <w:sz w:val="18"/>
      <w:szCs w:val="20"/>
    </w:rPr>
  </w:style>
  <w:style w:type="character" w:customStyle="1" w:styleId="apple-converted-space">
    <w:name w:val="apple-converted-space"/>
    <w:qFormat/>
    <w:rsid w:val="00F715D0"/>
  </w:style>
  <w:style w:type="character" w:customStyle="1" w:styleId="keyword">
    <w:name w:val="keyword"/>
    <w:rsid w:val="00F715D0"/>
  </w:style>
  <w:style w:type="paragraph" w:customStyle="1" w:styleId="Test">
    <w:name w:val="Test"/>
    <w:basedOn w:val="Normal"/>
    <w:rsid w:val="00F715D0"/>
    <w:pPr>
      <w:spacing w:before="60" w:after="60" w:line="280" w:lineRule="atLeast"/>
      <w:ind w:left="2160"/>
      <w:jc w:val="both"/>
    </w:pPr>
    <w:rPr>
      <w:rFonts w:ascii="Times New Roman" w:eastAsia="MS Mincho" w:hAnsi="Times New Roman"/>
      <w:szCs w:val="20"/>
    </w:rPr>
  </w:style>
  <w:style w:type="paragraph" w:styleId="BodyTextIndent">
    <w:name w:val="Body Text Indent"/>
    <w:basedOn w:val="Normal"/>
    <w:link w:val="BodyTextIndentChar"/>
    <w:unhideWhenUsed/>
    <w:qFormat/>
    <w:rsid w:val="00F715D0"/>
    <w:pPr>
      <w:spacing w:after="120" w:line="276" w:lineRule="auto"/>
      <w:ind w:left="360"/>
    </w:pPr>
    <w:rPr>
      <w:rFonts w:ascii="Times New Roman" w:eastAsia="SimSun" w:hAnsi="Times New Roman"/>
      <w:szCs w:val="20"/>
      <w:lang w:val="en-US" w:eastAsia="zh-CN"/>
    </w:rPr>
  </w:style>
  <w:style w:type="character" w:customStyle="1" w:styleId="BodyTextIndentChar">
    <w:name w:val="Body Text Indent Char"/>
    <w:basedOn w:val="DefaultParagraphFont"/>
    <w:link w:val="BodyTextIndent"/>
    <w:qFormat/>
    <w:rsid w:val="00F715D0"/>
    <w:rPr>
      <w:rFonts w:eastAsia="SimSun"/>
      <w:lang w:val="en-US" w:eastAsia="zh-CN"/>
    </w:rPr>
  </w:style>
  <w:style w:type="paragraph" w:customStyle="1" w:styleId="ordinary-output">
    <w:name w:val="ordinary-output"/>
    <w:basedOn w:val="Normal"/>
    <w:rsid w:val="00F715D0"/>
    <w:pPr>
      <w:spacing w:before="100" w:beforeAutospacing="1" w:after="100" w:afterAutospacing="1" w:line="322" w:lineRule="atLeast"/>
    </w:pPr>
    <w:rPr>
      <w:rFonts w:ascii="SimSun" w:eastAsia="SimSun" w:hAnsi="SimSun" w:cs="SimSun"/>
      <w:color w:val="333333"/>
      <w:sz w:val="26"/>
      <w:szCs w:val="26"/>
      <w:lang w:val="en-US" w:eastAsia="zh-CN"/>
    </w:rPr>
  </w:style>
  <w:style w:type="character" w:customStyle="1" w:styleId="ordinary-span-edit2">
    <w:name w:val="ordinary-span-edit2"/>
    <w:rsid w:val="00F715D0"/>
  </w:style>
  <w:style w:type="paragraph" w:customStyle="1" w:styleId="PL">
    <w:name w:val="PL"/>
    <w:link w:val="PLChar"/>
    <w:uiPriority w:val="99"/>
    <w:qFormat/>
    <w:rsid w:val="00F715D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sv-SE" w:eastAsia="sv-SE"/>
    </w:rPr>
  </w:style>
  <w:style w:type="character" w:customStyle="1" w:styleId="PLChar">
    <w:name w:val="PL Char"/>
    <w:link w:val="PL"/>
    <w:uiPriority w:val="99"/>
    <w:qFormat/>
    <w:rsid w:val="00F715D0"/>
    <w:rPr>
      <w:rFonts w:ascii="Courier New" w:eastAsia="Times New Roman" w:hAnsi="Courier New"/>
      <w:noProof/>
      <w:sz w:val="16"/>
      <w:lang w:val="sv-SE" w:eastAsia="sv-SE"/>
    </w:rPr>
  </w:style>
  <w:style w:type="paragraph" w:styleId="ListNumber3">
    <w:name w:val="List Number 3"/>
    <w:basedOn w:val="Normal"/>
    <w:qFormat/>
    <w:rsid w:val="00F715D0"/>
    <w:pPr>
      <w:numPr>
        <w:numId w:val="35"/>
      </w:numPr>
      <w:overflowPunct w:val="0"/>
      <w:autoSpaceDE w:val="0"/>
      <w:autoSpaceDN w:val="0"/>
      <w:adjustRightInd w:val="0"/>
      <w:spacing w:after="180"/>
      <w:textAlignment w:val="baseline"/>
    </w:pPr>
    <w:rPr>
      <w:rFonts w:ascii="Times New Roman" w:eastAsia="Times New Roman" w:hAnsi="Times New Roman"/>
      <w:szCs w:val="20"/>
    </w:rPr>
  </w:style>
  <w:style w:type="paragraph" w:styleId="Subtitle">
    <w:name w:val="Subtitle"/>
    <w:basedOn w:val="Normal"/>
    <w:next w:val="Normal"/>
    <w:link w:val="SubtitleChar"/>
    <w:qFormat/>
    <w:rsid w:val="00F715D0"/>
    <w:pPr>
      <w:numPr>
        <w:ilvl w:val="1"/>
      </w:numPr>
      <w:snapToGrid w:val="0"/>
    </w:pPr>
    <w:rPr>
      <w:rFonts w:ascii="Cambria" w:eastAsia="SimSun" w:hAnsi="Cambria"/>
      <w:b/>
      <w:i/>
      <w:iCs/>
      <w:color w:val="4F81BD"/>
      <w:spacing w:val="15"/>
      <w:lang w:val="en-US" w:eastAsia="zh-CN"/>
    </w:rPr>
  </w:style>
  <w:style w:type="character" w:customStyle="1" w:styleId="SubtitleChar">
    <w:name w:val="Subtitle Char"/>
    <w:basedOn w:val="DefaultParagraphFont"/>
    <w:link w:val="Subtitle"/>
    <w:qFormat/>
    <w:rsid w:val="00F715D0"/>
    <w:rPr>
      <w:rFonts w:ascii="Cambria" w:eastAsia="SimSun" w:hAnsi="Cambria"/>
      <w:b/>
      <w:i/>
      <w:iCs/>
      <w:color w:val="4F81BD"/>
      <w:spacing w:val="15"/>
      <w:szCs w:val="24"/>
      <w:lang w:val="en-US" w:eastAsia="zh-CN"/>
    </w:rPr>
  </w:style>
  <w:style w:type="table" w:customStyle="1" w:styleId="TableGridLight1">
    <w:name w:val="Table Grid Light1"/>
    <w:basedOn w:val="TableNormal"/>
    <w:uiPriority w:val="40"/>
    <w:rsid w:val="00F715D0"/>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
    <w:name w:val="Plain Table 11"/>
    <w:basedOn w:val="TableNormal"/>
    <w:uiPriority w:val="41"/>
    <w:rsid w:val="00F715D0"/>
    <w:rPr>
      <w:rFonts w:ascii="Calibri" w:eastAsia="SimSun" w:hAnsi="Calibri"/>
      <w:lang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character" w:customStyle="1" w:styleId="size">
    <w:name w:val="size"/>
    <w:rsid w:val="00F715D0"/>
  </w:style>
  <w:style w:type="paragraph" w:styleId="Title">
    <w:name w:val="Title"/>
    <w:aliases w:val="Heading 31"/>
    <w:basedOn w:val="Normal"/>
    <w:link w:val="TitleChar1"/>
    <w:qFormat/>
    <w:rsid w:val="00F715D0"/>
    <w:pPr>
      <w:overflowPunct w:val="0"/>
      <w:autoSpaceDE w:val="0"/>
      <w:autoSpaceDN w:val="0"/>
      <w:adjustRightInd w:val="0"/>
      <w:spacing w:after="120"/>
      <w:jc w:val="center"/>
      <w:textAlignment w:val="baseline"/>
    </w:pPr>
    <w:rPr>
      <w:rFonts w:ascii="Arial" w:eastAsia="MS Mincho" w:hAnsi="Arial"/>
      <w:b/>
      <w:sz w:val="24"/>
      <w:szCs w:val="20"/>
      <w:lang w:val="de-DE" w:eastAsia="ja-JP"/>
    </w:rPr>
  </w:style>
  <w:style w:type="character" w:customStyle="1" w:styleId="TitleChar">
    <w:name w:val="Title Char"/>
    <w:aliases w:val="no break Char Car Char,H3 Char Car Char,h3 Char Car Char"/>
    <w:basedOn w:val="DefaultParagraphFont"/>
    <w:qFormat/>
    <w:rsid w:val="00F715D0"/>
    <w:rPr>
      <w:rFonts w:asciiTheme="majorHAnsi" w:eastAsiaTheme="majorEastAsia" w:hAnsiTheme="majorHAnsi" w:cstheme="majorBidi"/>
      <w:spacing w:val="-10"/>
      <w:kern w:val="28"/>
      <w:sz w:val="56"/>
      <w:szCs w:val="56"/>
      <w:lang w:eastAsia="en-US"/>
    </w:rPr>
  </w:style>
  <w:style w:type="character" w:customStyle="1" w:styleId="TitleChar1">
    <w:name w:val="Title Char1"/>
    <w:aliases w:val="Heading 31 Char"/>
    <w:link w:val="Title"/>
    <w:rsid w:val="00F715D0"/>
    <w:rPr>
      <w:rFonts w:ascii="Arial" w:eastAsia="MS Mincho" w:hAnsi="Arial"/>
      <w:b/>
      <w:sz w:val="24"/>
      <w:lang w:val="de-DE" w:eastAsia="ja-JP"/>
    </w:rPr>
  </w:style>
  <w:style w:type="paragraph" w:customStyle="1" w:styleId="TAR">
    <w:name w:val="TAR"/>
    <w:basedOn w:val="TAL"/>
    <w:qFormat/>
    <w:rsid w:val="00F715D0"/>
    <w:pPr>
      <w:jc w:val="right"/>
    </w:pPr>
    <w:rPr>
      <w:rFonts w:eastAsia="Times New Roman"/>
    </w:rPr>
  </w:style>
  <w:style w:type="paragraph" w:customStyle="1" w:styleId="TableText">
    <w:name w:val="TableText"/>
    <w:basedOn w:val="BodyTextIndent"/>
    <w:rsid w:val="00F715D0"/>
    <w:pPr>
      <w:keepNext/>
      <w:keepLines/>
      <w:overflowPunct w:val="0"/>
      <w:autoSpaceDE w:val="0"/>
      <w:autoSpaceDN w:val="0"/>
      <w:adjustRightInd w:val="0"/>
      <w:snapToGrid w:val="0"/>
      <w:spacing w:after="180" w:line="240" w:lineRule="auto"/>
      <w:ind w:left="0"/>
      <w:jc w:val="center"/>
    </w:pPr>
    <w:rPr>
      <w:rFonts w:eastAsia="Times New Roman"/>
      <w:kern w:val="2"/>
      <w:lang w:val="en-GB" w:eastAsia="en-US"/>
    </w:rPr>
  </w:style>
  <w:style w:type="paragraph" w:customStyle="1" w:styleId="ZT">
    <w:name w:val="ZT"/>
    <w:uiPriority w:val="99"/>
    <w:qFormat/>
    <w:rsid w:val="00F715D0"/>
    <w:pPr>
      <w:framePr w:wrap="notBeside" w:hAnchor="margin" w:yAlign="center"/>
      <w:widowControl w:val="0"/>
      <w:spacing w:line="240" w:lineRule="atLeast"/>
      <w:jc w:val="right"/>
    </w:pPr>
    <w:rPr>
      <w:rFonts w:ascii="Arial" w:eastAsia="MS Mincho" w:hAnsi="Arial"/>
      <w:b/>
      <w:sz w:val="34"/>
      <w:lang w:eastAsia="en-US"/>
    </w:rPr>
  </w:style>
  <w:style w:type="paragraph" w:styleId="Index2">
    <w:name w:val="index 2"/>
    <w:basedOn w:val="Index1"/>
    <w:qFormat/>
    <w:rsid w:val="00F715D0"/>
    <w:pPr>
      <w:overflowPunct/>
      <w:autoSpaceDE/>
      <w:autoSpaceDN/>
      <w:adjustRightInd/>
      <w:ind w:left="284"/>
      <w:textAlignment w:val="auto"/>
    </w:pPr>
    <w:rPr>
      <w:rFonts w:eastAsia="MS Mincho"/>
      <w:lang w:eastAsia="ja-JP"/>
    </w:rPr>
  </w:style>
  <w:style w:type="paragraph" w:customStyle="1" w:styleId="ZH">
    <w:name w:val="ZH"/>
    <w:qFormat/>
    <w:rsid w:val="00F715D0"/>
    <w:pPr>
      <w:framePr w:wrap="notBeside" w:vAnchor="page" w:hAnchor="margin" w:xAlign="center" w:y="6805"/>
      <w:widowControl w:val="0"/>
    </w:pPr>
    <w:rPr>
      <w:rFonts w:ascii="Arial" w:eastAsia="MS Mincho" w:hAnsi="Arial"/>
      <w:noProof/>
      <w:lang w:eastAsia="en-US"/>
    </w:rPr>
  </w:style>
  <w:style w:type="paragraph" w:customStyle="1" w:styleId="TT">
    <w:name w:val="TT"/>
    <w:basedOn w:val="Heading1"/>
    <w:next w:val="Normal"/>
    <w:qFormat/>
    <w:rsid w:val="00F715D0"/>
    <w:pPr>
      <w:keepLines/>
      <w:numPr>
        <w:numId w:val="0"/>
      </w:numPr>
      <w:tabs>
        <w:tab w:val="num" w:pos="851"/>
      </w:tabs>
      <w:spacing w:after="180"/>
      <w:ind w:left="851" w:hanging="851"/>
      <w:outlineLvl w:val="9"/>
    </w:pPr>
    <w:rPr>
      <w:rFonts w:eastAsia="MS Mincho" w:cs="Times New Roman"/>
      <w:b w:val="0"/>
      <w:bCs w:val="0"/>
      <w:kern w:val="0"/>
      <w:sz w:val="36"/>
      <w:szCs w:val="20"/>
    </w:rPr>
  </w:style>
  <w:style w:type="paragraph" w:styleId="ListNumber2">
    <w:name w:val="List Number 2"/>
    <w:basedOn w:val="ListNumber"/>
    <w:qFormat/>
    <w:rsid w:val="00F715D0"/>
    <w:pPr>
      <w:ind w:left="851"/>
    </w:pPr>
  </w:style>
  <w:style w:type="paragraph" w:styleId="ListNumber">
    <w:name w:val="List Number"/>
    <w:basedOn w:val="List"/>
    <w:qFormat/>
    <w:rsid w:val="00F715D0"/>
    <w:pPr>
      <w:spacing w:after="180"/>
      <w:ind w:left="568" w:hanging="284"/>
    </w:pPr>
    <w:rPr>
      <w:rFonts w:ascii="Times New Roman" w:eastAsia="MS Mincho" w:hAnsi="Times New Roman"/>
      <w:szCs w:val="20"/>
      <w:lang w:eastAsia="ja-JP"/>
    </w:rPr>
  </w:style>
  <w:style w:type="character" w:styleId="FootnoteReference">
    <w:name w:val="footnote reference"/>
    <w:qFormat/>
    <w:rsid w:val="00F715D0"/>
    <w:rPr>
      <w:b/>
      <w:position w:val="6"/>
      <w:sz w:val="16"/>
    </w:rPr>
  </w:style>
  <w:style w:type="paragraph" w:customStyle="1" w:styleId="TF">
    <w:name w:val="TF"/>
    <w:aliases w:val="left"/>
    <w:basedOn w:val="TH"/>
    <w:link w:val="TFZchn"/>
    <w:uiPriority w:val="99"/>
    <w:qFormat/>
    <w:rsid w:val="00F715D0"/>
    <w:pPr>
      <w:keepNext w:val="0"/>
      <w:overflowPunct/>
      <w:autoSpaceDE/>
      <w:autoSpaceDN/>
      <w:adjustRightInd/>
      <w:spacing w:before="0" w:after="240"/>
      <w:textAlignment w:val="auto"/>
    </w:pPr>
    <w:rPr>
      <w:rFonts w:eastAsia="MS Mincho"/>
      <w:lang w:eastAsia="ja-JP"/>
    </w:rPr>
  </w:style>
  <w:style w:type="paragraph" w:customStyle="1" w:styleId="EX">
    <w:name w:val="EX"/>
    <w:basedOn w:val="Normal"/>
    <w:qFormat/>
    <w:rsid w:val="00F715D0"/>
    <w:pPr>
      <w:keepLines/>
      <w:spacing w:after="180"/>
      <w:ind w:left="1702" w:hanging="1418"/>
    </w:pPr>
    <w:rPr>
      <w:rFonts w:ascii="Times New Roman" w:eastAsia="MS Mincho" w:hAnsi="Times New Roman"/>
      <w:szCs w:val="20"/>
      <w:lang w:eastAsia="ja-JP"/>
    </w:rPr>
  </w:style>
  <w:style w:type="paragraph" w:customStyle="1" w:styleId="FP">
    <w:name w:val="FP"/>
    <w:basedOn w:val="Normal"/>
    <w:qFormat/>
    <w:rsid w:val="00F715D0"/>
    <w:rPr>
      <w:rFonts w:ascii="Times New Roman" w:eastAsia="MS Mincho" w:hAnsi="Times New Roman"/>
      <w:szCs w:val="20"/>
      <w:lang w:eastAsia="ja-JP"/>
    </w:rPr>
  </w:style>
  <w:style w:type="paragraph" w:customStyle="1" w:styleId="LD">
    <w:name w:val="LD"/>
    <w:qFormat/>
    <w:rsid w:val="00F715D0"/>
    <w:pPr>
      <w:keepNext/>
      <w:keepLines/>
      <w:spacing w:line="180" w:lineRule="exact"/>
    </w:pPr>
    <w:rPr>
      <w:rFonts w:ascii="MS LineDraw" w:eastAsia="MS Mincho" w:hAnsi="MS LineDraw"/>
      <w:noProof/>
      <w:lang w:eastAsia="en-US"/>
    </w:rPr>
  </w:style>
  <w:style w:type="paragraph" w:customStyle="1" w:styleId="NW">
    <w:name w:val="NW"/>
    <w:basedOn w:val="NO"/>
    <w:qFormat/>
    <w:rsid w:val="00F715D0"/>
    <w:rPr>
      <w:rFonts w:eastAsia="MS Mincho"/>
      <w:sz w:val="20"/>
      <w:lang w:eastAsia="ja-JP"/>
    </w:rPr>
  </w:style>
  <w:style w:type="paragraph" w:customStyle="1" w:styleId="EW">
    <w:name w:val="EW"/>
    <w:basedOn w:val="EX"/>
    <w:qFormat/>
    <w:rsid w:val="00F715D0"/>
    <w:pPr>
      <w:spacing w:after="0"/>
    </w:pPr>
  </w:style>
  <w:style w:type="paragraph" w:styleId="ListBullet2">
    <w:name w:val="List Bullet 2"/>
    <w:aliases w:val="lb2"/>
    <w:basedOn w:val="ListBullet"/>
    <w:qFormat/>
    <w:rsid w:val="00F715D0"/>
    <w:pPr>
      <w:overflowPunct/>
      <w:autoSpaceDE/>
      <w:autoSpaceDN/>
      <w:adjustRightInd/>
      <w:ind w:left="851"/>
      <w:textAlignment w:val="auto"/>
    </w:pPr>
    <w:rPr>
      <w:rFonts w:eastAsia="MS Mincho"/>
      <w:lang w:eastAsia="ja-JP"/>
    </w:rPr>
  </w:style>
  <w:style w:type="paragraph" w:styleId="ListBullet3">
    <w:name w:val="List Bullet 3"/>
    <w:basedOn w:val="ListBullet2"/>
    <w:qFormat/>
    <w:rsid w:val="00F715D0"/>
    <w:pPr>
      <w:ind w:left="1135"/>
    </w:pPr>
  </w:style>
  <w:style w:type="paragraph" w:customStyle="1" w:styleId="NF">
    <w:name w:val="NF"/>
    <w:basedOn w:val="NO"/>
    <w:qFormat/>
    <w:rsid w:val="00F715D0"/>
    <w:pPr>
      <w:keepNext/>
    </w:pPr>
    <w:rPr>
      <w:rFonts w:ascii="Arial" w:eastAsia="MS Mincho" w:hAnsi="Arial"/>
      <w:sz w:val="18"/>
      <w:lang w:eastAsia="ja-JP"/>
    </w:rPr>
  </w:style>
  <w:style w:type="paragraph" w:customStyle="1" w:styleId="ZB">
    <w:name w:val="ZB"/>
    <w:qFormat/>
    <w:rsid w:val="00F715D0"/>
    <w:pPr>
      <w:framePr w:w="10206" w:h="284" w:hRule="exact" w:wrap="notBeside" w:vAnchor="page" w:hAnchor="margin" w:y="1986"/>
      <w:widowControl w:val="0"/>
      <w:ind w:right="28"/>
      <w:jc w:val="right"/>
    </w:pPr>
    <w:rPr>
      <w:rFonts w:ascii="Arial" w:eastAsia="MS Mincho" w:hAnsi="Arial"/>
      <w:i/>
      <w:noProof/>
      <w:lang w:eastAsia="en-US"/>
    </w:rPr>
  </w:style>
  <w:style w:type="paragraph" w:customStyle="1" w:styleId="ZD">
    <w:name w:val="ZD"/>
    <w:qFormat/>
    <w:rsid w:val="00F715D0"/>
    <w:pPr>
      <w:framePr w:wrap="notBeside" w:vAnchor="page" w:hAnchor="margin" w:y="15764"/>
      <w:widowControl w:val="0"/>
    </w:pPr>
    <w:rPr>
      <w:rFonts w:ascii="Arial" w:eastAsia="MS Mincho" w:hAnsi="Arial"/>
      <w:noProof/>
      <w:sz w:val="32"/>
      <w:lang w:eastAsia="en-US"/>
    </w:rPr>
  </w:style>
  <w:style w:type="paragraph" w:customStyle="1" w:styleId="ZU">
    <w:name w:val="ZU"/>
    <w:qFormat/>
    <w:rsid w:val="00F715D0"/>
    <w:pPr>
      <w:framePr w:w="10206" w:wrap="notBeside" w:vAnchor="page" w:hAnchor="margin" w:y="6238"/>
      <w:widowControl w:val="0"/>
      <w:pBdr>
        <w:top w:val="single" w:sz="12" w:space="1" w:color="auto"/>
      </w:pBdr>
      <w:jc w:val="right"/>
    </w:pPr>
    <w:rPr>
      <w:rFonts w:ascii="Arial" w:eastAsia="MS Mincho" w:hAnsi="Arial"/>
      <w:noProof/>
      <w:lang w:eastAsia="en-US"/>
    </w:rPr>
  </w:style>
  <w:style w:type="paragraph" w:customStyle="1" w:styleId="ZV">
    <w:name w:val="ZV"/>
    <w:basedOn w:val="ZU"/>
    <w:qFormat/>
    <w:rsid w:val="00F715D0"/>
    <w:pPr>
      <w:framePr w:wrap="notBeside" w:y="16161"/>
    </w:pPr>
  </w:style>
  <w:style w:type="character" w:customStyle="1" w:styleId="ZGSM">
    <w:name w:val="ZGSM"/>
    <w:qFormat/>
    <w:rsid w:val="00F715D0"/>
  </w:style>
  <w:style w:type="paragraph" w:customStyle="1" w:styleId="ZG">
    <w:name w:val="ZG"/>
    <w:qFormat/>
    <w:rsid w:val="00F715D0"/>
    <w:pPr>
      <w:framePr w:wrap="notBeside" w:vAnchor="page" w:hAnchor="margin" w:xAlign="right" w:y="6805"/>
      <w:widowControl w:val="0"/>
      <w:jc w:val="right"/>
    </w:pPr>
    <w:rPr>
      <w:rFonts w:ascii="Arial" w:eastAsia="MS Mincho" w:hAnsi="Arial"/>
      <w:noProof/>
      <w:lang w:eastAsia="en-US"/>
    </w:rPr>
  </w:style>
  <w:style w:type="paragraph" w:styleId="List4">
    <w:name w:val="List 4"/>
    <w:basedOn w:val="List3"/>
    <w:qFormat/>
    <w:rsid w:val="00F715D0"/>
    <w:pPr>
      <w:spacing w:after="180"/>
      <w:ind w:left="1418" w:hanging="284"/>
      <w:contextualSpacing w:val="0"/>
    </w:pPr>
    <w:rPr>
      <w:rFonts w:ascii="Times New Roman" w:eastAsia="SimSun" w:hAnsi="Times New Roman"/>
      <w:szCs w:val="20"/>
      <w:lang w:val="en-US" w:eastAsia="ja-JP"/>
    </w:rPr>
  </w:style>
  <w:style w:type="paragraph" w:styleId="List5">
    <w:name w:val="List 5"/>
    <w:basedOn w:val="List4"/>
    <w:qFormat/>
    <w:rsid w:val="00F715D0"/>
    <w:pPr>
      <w:ind w:left="1702"/>
    </w:pPr>
  </w:style>
  <w:style w:type="paragraph" w:customStyle="1" w:styleId="EditorsNote">
    <w:name w:val="Editor's Note"/>
    <w:basedOn w:val="NO"/>
    <w:link w:val="EditorsNoteChar"/>
    <w:qFormat/>
    <w:rsid w:val="00F715D0"/>
    <w:pPr>
      <w:spacing w:after="180"/>
    </w:pPr>
    <w:rPr>
      <w:rFonts w:eastAsia="MS Mincho"/>
      <w:color w:val="FF0000"/>
      <w:sz w:val="20"/>
      <w:lang w:eastAsia="ja-JP"/>
    </w:rPr>
  </w:style>
  <w:style w:type="paragraph" w:styleId="ListBullet4">
    <w:name w:val="List Bullet 4"/>
    <w:basedOn w:val="ListBullet3"/>
    <w:qFormat/>
    <w:rsid w:val="00F715D0"/>
    <w:pPr>
      <w:ind w:left="1418"/>
    </w:pPr>
  </w:style>
  <w:style w:type="paragraph" w:styleId="ListBullet5">
    <w:name w:val="List Bullet 5"/>
    <w:basedOn w:val="ListBullet4"/>
    <w:qFormat/>
    <w:rsid w:val="00F715D0"/>
    <w:pPr>
      <w:ind w:left="1702"/>
    </w:pPr>
  </w:style>
  <w:style w:type="paragraph" w:customStyle="1" w:styleId="B4">
    <w:name w:val="B4"/>
    <w:basedOn w:val="List4"/>
    <w:link w:val="B4Char"/>
    <w:qFormat/>
    <w:rsid w:val="00F715D0"/>
  </w:style>
  <w:style w:type="paragraph" w:customStyle="1" w:styleId="B5">
    <w:name w:val="B5"/>
    <w:basedOn w:val="List5"/>
    <w:link w:val="B5Char"/>
    <w:qFormat/>
    <w:rsid w:val="00F715D0"/>
  </w:style>
  <w:style w:type="paragraph" w:customStyle="1" w:styleId="ZTD">
    <w:name w:val="ZTD"/>
    <w:basedOn w:val="ZB"/>
    <w:qFormat/>
    <w:rsid w:val="00F715D0"/>
    <w:pPr>
      <w:framePr w:hRule="auto" w:wrap="notBeside" w:y="852"/>
    </w:pPr>
    <w:rPr>
      <w:i w:val="0"/>
      <w:sz w:val="40"/>
    </w:rPr>
  </w:style>
  <w:style w:type="paragraph" w:customStyle="1" w:styleId="tdoc-header">
    <w:name w:val="tdoc-header"/>
    <w:rsid w:val="00F715D0"/>
    <w:rPr>
      <w:rFonts w:ascii="Arial" w:eastAsia="MS Mincho" w:hAnsi="Arial"/>
      <w:noProof/>
      <w:sz w:val="24"/>
      <w:lang w:eastAsia="en-US"/>
    </w:rPr>
  </w:style>
  <w:style w:type="paragraph" w:customStyle="1" w:styleId="HDStyleLS">
    <w:name w:val="HDStyle_LS"/>
    <w:basedOn w:val="Header"/>
    <w:rsid w:val="00F715D0"/>
    <w:pPr>
      <w:tabs>
        <w:tab w:val="clear" w:pos="4536"/>
        <w:tab w:val="clear" w:pos="9072"/>
        <w:tab w:val="center" w:pos="4680"/>
        <w:tab w:val="right" w:pos="9360"/>
        <w:tab w:val="right" w:pos="9639"/>
        <w:tab w:val="right" w:pos="10206"/>
      </w:tabs>
      <w:jc w:val="both"/>
    </w:pPr>
    <w:rPr>
      <w:rFonts w:ascii="Arial" w:eastAsia="MS Mincho" w:hAnsi="Arial" w:cs="Arial"/>
      <w:b/>
      <w:sz w:val="28"/>
      <w:szCs w:val="20"/>
    </w:rPr>
  </w:style>
  <w:style w:type="paragraph" w:customStyle="1" w:styleId="INDENT1">
    <w:name w:val="INDENT1"/>
    <w:basedOn w:val="Normal"/>
    <w:rsid w:val="00F715D0"/>
    <w:pPr>
      <w:overflowPunct w:val="0"/>
      <w:autoSpaceDE w:val="0"/>
      <w:autoSpaceDN w:val="0"/>
      <w:adjustRightInd w:val="0"/>
      <w:spacing w:after="180"/>
      <w:ind w:left="851"/>
      <w:textAlignment w:val="baseline"/>
    </w:pPr>
    <w:rPr>
      <w:rFonts w:ascii="Times New Roman" w:eastAsia="MS Mincho" w:hAnsi="Times New Roman"/>
      <w:szCs w:val="20"/>
      <w:lang w:eastAsia="ja-JP"/>
    </w:rPr>
  </w:style>
  <w:style w:type="paragraph" w:customStyle="1" w:styleId="INDENT2">
    <w:name w:val="INDENT2"/>
    <w:basedOn w:val="Normal"/>
    <w:rsid w:val="00F715D0"/>
    <w:pPr>
      <w:overflowPunct w:val="0"/>
      <w:autoSpaceDE w:val="0"/>
      <w:autoSpaceDN w:val="0"/>
      <w:adjustRightInd w:val="0"/>
      <w:spacing w:after="180"/>
      <w:ind w:left="1135" w:hanging="284"/>
      <w:textAlignment w:val="baseline"/>
    </w:pPr>
    <w:rPr>
      <w:rFonts w:ascii="Times New Roman" w:eastAsia="MS Mincho" w:hAnsi="Times New Roman"/>
      <w:szCs w:val="20"/>
      <w:lang w:eastAsia="ja-JP"/>
    </w:rPr>
  </w:style>
  <w:style w:type="paragraph" w:customStyle="1" w:styleId="INDENT3">
    <w:name w:val="INDENT3"/>
    <w:basedOn w:val="Normal"/>
    <w:rsid w:val="00F715D0"/>
    <w:pPr>
      <w:overflowPunct w:val="0"/>
      <w:autoSpaceDE w:val="0"/>
      <w:autoSpaceDN w:val="0"/>
      <w:adjustRightInd w:val="0"/>
      <w:spacing w:after="180"/>
      <w:ind w:left="1701" w:hanging="567"/>
      <w:textAlignment w:val="baseline"/>
    </w:pPr>
    <w:rPr>
      <w:rFonts w:ascii="Times New Roman" w:eastAsia="MS Mincho" w:hAnsi="Times New Roman"/>
      <w:szCs w:val="20"/>
      <w:lang w:eastAsia="ja-JP"/>
    </w:rPr>
  </w:style>
  <w:style w:type="paragraph" w:customStyle="1" w:styleId="FigureTitle">
    <w:name w:val="Figure_Title"/>
    <w:basedOn w:val="Normal"/>
    <w:next w:val="Normal"/>
    <w:qFormat/>
    <w:rsid w:val="00F715D0"/>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ascii="Times New Roman" w:eastAsia="MS Mincho" w:hAnsi="Times New Roman"/>
      <w:b/>
      <w:sz w:val="24"/>
      <w:szCs w:val="20"/>
      <w:lang w:eastAsia="ja-JP"/>
    </w:rPr>
  </w:style>
  <w:style w:type="paragraph" w:customStyle="1" w:styleId="RecCCITT">
    <w:name w:val="Rec_CCITT_#"/>
    <w:basedOn w:val="Normal"/>
    <w:rsid w:val="00F715D0"/>
    <w:pPr>
      <w:keepNext/>
      <w:keepLines/>
      <w:overflowPunct w:val="0"/>
      <w:autoSpaceDE w:val="0"/>
      <w:autoSpaceDN w:val="0"/>
      <w:adjustRightInd w:val="0"/>
      <w:spacing w:after="180"/>
      <w:textAlignment w:val="baseline"/>
    </w:pPr>
    <w:rPr>
      <w:rFonts w:ascii="Times New Roman" w:eastAsia="MS Mincho" w:hAnsi="Times New Roman"/>
      <w:b/>
      <w:szCs w:val="20"/>
      <w:lang w:eastAsia="ja-JP"/>
    </w:rPr>
  </w:style>
  <w:style w:type="paragraph" w:customStyle="1" w:styleId="CouvRecTitle">
    <w:name w:val="Couv Rec Title"/>
    <w:basedOn w:val="Normal"/>
    <w:rsid w:val="00F715D0"/>
    <w:pPr>
      <w:keepNext/>
      <w:keepLines/>
      <w:overflowPunct w:val="0"/>
      <w:autoSpaceDE w:val="0"/>
      <w:autoSpaceDN w:val="0"/>
      <w:adjustRightInd w:val="0"/>
      <w:spacing w:before="240" w:after="180"/>
      <w:ind w:left="1418"/>
      <w:textAlignment w:val="baseline"/>
    </w:pPr>
    <w:rPr>
      <w:rFonts w:ascii="Arial" w:eastAsia="MS Mincho" w:hAnsi="Arial"/>
      <w:b/>
      <w:sz w:val="36"/>
      <w:szCs w:val="20"/>
      <w:lang w:val="en-US" w:eastAsia="ja-JP"/>
    </w:rPr>
  </w:style>
  <w:style w:type="paragraph" w:customStyle="1" w:styleId="TAJ">
    <w:name w:val="TAJ"/>
    <w:basedOn w:val="TH"/>
    <w:qFormat/>
    <w:rsid w:val="00F715D0"/>
    <w:rPr>
      <w:rFonts w:eastAsia="MS Mincho"/>
      <w:lang w:eastAsia="ja-JP"/>
    </w:rPr>
  </w:style>
  <w:style w:type="paragraph" w:customStyle="1" w:styleId="Guidance">
    <w:name w:val="Guidance"/>
    <w:basedOn w:val="Normal"/>
    <w:qFormat/>
    <w:rsid w:val="00F715D0"/>
    <w:pPr>
      <w:overflowPunct w:val="0"/>
      <w:autoSpaceDE w:val="0"/>
      <w:autoSpaceDN w:val="0"/>
      <w:adjustRightInd w:val="0"/>
      <w:spacing w:after="180"/>
      <w:textAlignment w:val="baseline"/>
    </w:pPr>
    <w:rPr>
      <w:rFonts w:ascii="Times New Roman" w:eastAsia="MS Mincho" w:hAnsi="Times New Roman"/>
      <w:i/>
      <w:color w:val="0000FF"/>
      <w:szCs w:val="20"/>
      <w:lang w:eastAsia="ja-JP"/>
    </w:rPr>
  </w:style>
  <w:style w:type="paragraph" w:customStyle="1" w:styleId="TitleText">
    <w:name w:val="Title Text"/>
    <w:basedOn w:val="Normal"/>
    <w:next w:val="Normal"/>
    <w:rsid w:val="00F715D0"/>
    <w:pPr>
      <w:overflowPunct w:val="0"/>
      <w:autoSpaceDE w:val="0"/>
      <w:autoSpaceDN w:val="0"/>
      <w:adjustRightInd w:val="0"/>
      <w:spacing w:after="220"/>
      <w:textAlignment w:val="baseline"/>
    </w:pPr>
    <w:rPr>
      <w:rFonts w:ascii="Times New Roman" w:eastAsia="MS Mincho" w:hAnsi="Times New Roman"/>
      <w:b/>
      <w:szCs w:val="20"/>
      <w:lang w:val="en-US" w:eastAsia="ja-JP"/>
    </w:rPr>
  </w:style>
  <w:style w:type="paragraph" w:customStyle="1" w:styleId="91">
    <w:name w:val="目录 91"/>
    <w:basedOn w:val="TOC8"/>
    <w:uiPriority w:val="39"/>
    <w:rsid w:val="00F715D0"/>
    <w:pPr>
      <w:keepLines/>
      <w:tabs>
        <w:tab w:val="right" w:leader="dot" w:pos="9639"/>
      </w:tabs>
      <w:overflowPunct w:val="0"/>
      <w:autoSpaceDE w:val="0"/>
      <w:autoSpaceDN w:val="0"/>
      <w:adjustRightInd w:val="0"/>
      <w:spacing w:before="180"/>
      <w:ind w:left="1418" w:right="425" w:hanging="1418"/>
      <w:textAlignment w:val="baseline"/>
    </w:pPr>
    <w:rPr>
      <w:rFonts w:ascii="Times New Roman" w:eastAsia="MS Mincho" w:hAnsi="Times New Roman" w:cs="Times New Roman"/>
      <w:b/>
      <w:noProof/>
      <w:sz w:val="22"/>
      <w:szCs w:val="20"/>
    </w:rPr>
  </w:style>
  <w:style w:type="paragraph" w:customStyle="1" w:styleId="CRfront">
    <w:name w:val="CR_front"/>
    <w:next w:val="Normal"/>
    <w:rsid w:val="00F715D0"/>
    <w:rPr>
      <w:rFonts w:ascii="Arial" w:eastAsia="MS Mincho" w:hAnsi="Arial"/>
      <w:lang w:eastAsia="en-US"/>
    </w:rPr>
  </w:style>
  <w:style w:type="paragraph" w:customStyle="1" w:styleId="berschrift2Head2A2">
    <w:name w:val="Überschrift 2.Head2A.2"/>
    <w:basedOn w:val="Heading1"/>
    <w:next w:val="Normal"/>
    <w:rsid w:val="00F715D0"/>
    <w:pPr>
      <w:keepLines/>
      <w:numPr>
        <w:numId w:val="0"/>
      </w:numPr>
      <w:tabs>
        <w:tab w:val="num" w:pos="851"/>
      </w:tabs>
      <w:spacing w:before="180" w:after="180"/>
      <w:ind w:left="851" w:hanging="851"/>
      <w:outlineLvl w:val="1"/>
    </w:pPr>
    <w:rPr>
      <w:rFonts w:eastAsia="MS Mincho" w:cs="Times New Roman"/>
      <w:b w:val="0"/>
      <w:bCs w:val="0"/>
      <w:kern w:val="0"/>
      <w:szCs w:val="20"/>
      <w:lang w:eastAsia="de-DE"/>
    </w:rPr>
  </w:style>
  <w:style w:type="paragraph" w:customStyle="1" w:styleId="berschrift3h3H3Underrubrik2">
    <w:name w:val="Überschrift 3.h3.H3.Underrubrik2"/>
    <w:basedOn w:val="Heading2"/>
    <w:next w:val="Normal"/>
    <w:rsid w:val="00F715D0"/>
    <w:pPr>
      <w:keepLines/>
      <w:numPr>
        <w:numId w:val="7"/>
      </w:numPr>
      <w:spacing w:before="120" w:after="180"/>
      <w:outlineLvl w:val="2"/>
    </w:pPr>
    <w:rPr>
      <w:rFonts w:eastAsia="MS Mincho" w:cs="Times New Roman"/>
      <w:b w:val="0"/>
      <w:bCs w:val="0"/>
      <w:i w:val="0"/>
      <w:iCs w:val="0"/>
      <w:sz w:val="28"/>
      <w:szCs w:val="20"/>
      <w:lang w:eastAsia="de-DE"/>
    </w:rPr>
  </w:style>
  <w:style w:type="paragraph" w:customStyle="1" w:styleId="Bullets">
    <w:name w:val="Bullets"/>
    <w:basedOn w:val="BodyText"/>
    <w:uiPriority w:val="99"/>
    <w:qFormat/>
    <w:rsid w:val="00F715D0"/>
    <w:pPr>
      <w:widowControl w:val="0"/>
      <w:spacing w:after="0"/>
    </w:pPr>
    <w:rPr>
      <w:rFonts w:ascii="Times New Roman" w:eastAsia="SimSun" w:hAnsi="Times New Roman"/>
      <w:color w:val="0000FF"/>
      <w:kern w:val="2"/>
      <w:sz w:val="21"/>
      <w:szCs w:val="20"/>
      <w:lang w:val="en-US" w:eastAsia="zh-CN"/>
    </w:rPr>
  </w:style>
  <w:style w:type="paragraph" w:customStyle="1" w:styleId="BalloonText1">
    <w:name w:val="Balloon Text1"/>
    <w:basedOn w:val="Normal"/>
    <w:semiHidden/>
    <w:rsid w:val="00F715D0"/>
    <w:pPr>
      <w:overflowPunct w:val="0"/>
      <w:autoSpaceDE w:val="0"/>
      <w:autoSpaceDN w:val="0"/>
      <w:adjustRightInd w:val="0"/>
      <w:spacing w:after="180"/>
      <w:textAlignment w:val="baseline"/>
    </w:pPr>
    <w:rPr>
      <w:rFonts w:ascii="Tahoma" w:eastAsia="MS Mincho" w:hAnsi="Tahoma" w:cs="Tahoma"/>
      <w:sz w:val="16"/>
      <w:szCs w:val="16"/>
      <w:lang w:eastAsia="ja-JP"/>
    </w:rPr>
  </w:style>
  <w:style w:type="paragraph" w:customStyle="1" w:styleId="Normal-Figure">
    <w:name w:val="Normal-Figure"/>
    <w:basedOn w:val="Normal"/>
    <w:rsid w:val="00F715D0"/>
    <w:pPr>
      <w:spacing w:before="360" w:line="240" w:lineRule="atLeast"/>
      <w:jc w:val="center"/>
    </w:pPr>
    <w:rPr>
      <w:rFonts w:ascii="Times New Roman" w:eastAsia="MS Mincho" w:hAnsi="Times New Roman"/>
      <w:szCs w:val="20"/>
      <w:lang w:val="en-US" w:eastAsia="ja-JP"/>
    </w:rPr>
  </w:style>
  <w:style w:type="paragraph" w:styleId="BodyTextIndent2">
    <w:name w:val="Body Text Indent 2"/>
    <w:basedOn w:val="Normal"/>
    <w:link w:val="BodyTextIndent2Char"/>
    <w:qFormat/>
    <w:rsid w:val="00F715D0"/>
    <w:pPr>
      <w:spacing w:after="180"/>
      <w:ind w:leftChars="100" w:left="200"/>
    </w:pPr>
    <w:rPr>
      <w:rFonts w:ascii="Times New Roman" w:eastAsia="MS Mincho" w:hAnsi="Times New Roman"/>
      <w:szCs w:val="20"/>
      <w:lang w:eastAsia="ja-JP"/>
    </w:rPr>
  </w:style>
  <w:style w:type="character" w:customStyle="1" w:styleId="BodyTextIndent2Char">
    <w:name w:val="Body Text Indent 2 Char"/>
    <w:basedOn w:val="DefaultParagraphFont"/>
    <w:link w:val="BodyTextIndent2"/>
    <w:qFormat/>
    <w:rsid w:val="00F715D0"/>
    <w:rPr>
      <w:rFonts w:eastAsia="MS Mincho"/>
      <w:lang w:eastAsia="ja-JP"/>
    </w:rPr>
  </w:style>
  <w:style w:type="character" w:customStyle="1" w:styleId="ListChar">
    <w:name w:val="List Char"/>
    <w:link w:val="List"/>
    <w:rsid w:val="00F715D0"/>
    <w:rPr>
      <w:rFonts w:ascii="Times" w:hAnsi="Times"/>
      <w:szCs w:val="24"/>
      <w:lang w:eastAsia="en-US"/>
    </w:rPr>
  </w:style>
  <w:style w:type="character" w:customStyle="1" w:styleId="List2Char">
    <w:name w:val="List 2 Char"/>
    <w:link w:val="List2"/>
    <w:rsid w:val="00F715D0"/>
    <w:rPr>
      <w:rFonts w:ascii="Times" w:hAnsi="Times"/>
      <w:szCs w:val="24"/>
      <w:lang w:eastAsia="en-US"/>
    </w:rPr>
  </w:style>
  <w:style w:type="character" w:customStyle="1" w:styleId="List3Char">
    <w:name w:val="List 3 Char"/>
    <w:link w:val="List3"/>
    <w:rsid w:val="00F715D0"/>
    <w:rPr>
      <w:rFonts w:ascii="Times" w:hAnsi="Times"/>
      <w:szCs w:val="24"/>
      <w:lang w:eastAsia="en-US"/>
    </w:rPr>
  </w:style>
  <w:style w:type="paragraph" w:styleId="ListContinue2">
    <w:name w:val="List Continue 2"/>
    <w:basedOn w:val="Normal"/>
    <w:qFormat/>
    <w:rsid w:val="00F715D0"/>
    <w:pPr>
      <w:spacing w:after="180"/>
      <w:ind w:leftChars="400" w:left="850"/>
    </w:pPr>
    <w:rPr>
      <w:rFonts w:ascii="Times New Roman" w:eastAsia="MS Mincho" w:hAnsi="Times New Roman"/>
      <w:szCs w:val="20"/>
      <w:lang w:eastAsia="ja-JP"/>
    </w:rPr>
  </w:style>
  <w:style w:type="paragraph" w:styleId="BodyTextFirstIndent2">
    <w:name w:val="Body Text First Indent 2"/>
    <w:basedOn w:val="BodyTextIndent"/>
    <w:link w:val="BodyTextFirstIndent2Char"/>
    <w:qFormat/>
    <w:rsid w:val="00F715D0"/>
    <w:pPr>
      <w:spacing w:after="180" w:line="240" w:lineRule="auto"/>
      <w:ind w:leftChars="400" w:left="851" w:firstLineChars="100" w:firstLine="210"/>
    </w:pPr>
    <w:rPr>
      <w:rFonts w:eastAsia="MS Mincho"/>
      <w:lang w:val="en-GB" w:eastAsia="en-US"/>
    </w:rPr>
  </w:style>
  <w:style w:type="character" w:customStyle="1" w:styleId="BodyTextFirstIndent2Char">
    <w:name w:val="Body Text First Indent 2 Char"/>
    <w:basedOn w:val="BodyTextIndentChar"/>
    <w:link w:val="BodyTextFirstIndent2"/>
    <w:qFormat/>
    <w:rsid w:val="00F715D0"/>
    <w:rPr>
      <w:rFonts w:eastAsia="MS Mincho"/>
      <w:lang w:val="en-US" w:eastAsia="en-US"/>
    </w:rPr>
  </w:style>
  <w:style w:type="paragraph" w:customStyle="1" w:styleId="List1">
    <w:name w:val="List 1"/>
    <w:basedOn w:val="Normal"/>
    <w:rsid w:val="00F715D0"/>
    <w:pPr>
      <w:spacing w:after="120"/>
      <w:ind w:left="568" w:hanging="284"/>
    </w:pPr>
    <w:rPr>
      <w:rFonts w:ascii="Arial" w:eastAsia="MS Mincho" w:hAnsi="Arial"/>
      <w:szCs w:val="22"/>
      <w:lang w:eastAsia="ja-JP"/>
    </w:rPr>
  </w:style>
  <w:style w:type="paragraph" w:customStyle="1" w:styleId="assocaitedwith">
    <w:name w:val="assocaited with"/>
    <w:basedOn w:val="Normal"/>
    <w:rsid w:val="00F715D0"/>
    <w:pPr>
      <w:spacing w:after="180"/>
      <w:jc w:val="center"/>
    </w:pPr>
    <w:rPr>
      <w:rFonts w:ascii="Times New Roman" w:eastAsia="MS Mincho" w:hAnsi="Times New Roman"/>
      <w:szCs w:val="20"/>
      <w:lang w:eastAsia="ja-JP"/>
    </w:rPr>
  </w:style>
  <w:style w:type="paragraph" w:customStyle="1" w:styleId="Nor">
    <w:name w:val="Nor'"/>
    <w:basedOn w:val="assocaitedwith"/>
    <w:rsid w:val="00F715D0"/>
    <w:rPr>
      <w:b/>
    </w:rPr>
  </w:style>
  <w:style w:type="table" w:styleId="TableClassic2">
    <w:name w:val="Table Classic 2"/>
    <w:basedOn w:val="TableNormal"/>
    <w:rsid w:val="00F715D0"/>
    <w:pPr>
      <w:spacing w:after="180"/>
    </w:pPr>
    <w:rPr>
      <w:rFonts w:ascii="CG Times (WN)" w:eastAsia="MS Mincho" w:hAnsi="CG Times (WN)"/>
      <w:lang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1">
    <w:name w:val="Table Classic 1"/>
    <w:basedOn w:val="TableNormal"/>
    <w:rsid w:val="00F715D0"/>
    <w:pPr>
      <w:spacing w:after="180"/>
    </w:pPr>
    <w:rPr>
      <w:rFonts w:ascii="CG Times (WN)" w:eastAsia="MS Mincho" w:hAnsi="CG Times (WN)"/>
      <w:lang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rsid w:val="00F715D0"/>
    <w:pPr>
      <w:spacing w:after="180"/>
    </w:pPr>
    <w:rPr>
      <w:rFonts w:ascii="CG Times (WN)" w:eastAsia="MS Mincho" w:hAnsi="CG Times (WN)"/>
      <w:lang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rsid w:val="00F715D0"/>
    <w:pPr>
      <w:spacing w:after="180"/>
    </w:pPr>
    <w:rPr>
      <w:rFonts w:ascii="CG Times (WN)" w:eastAsia="MS Mincho"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Simple2">
    <w:name w:val="Table Simple 2"/>
    <w:basedOn w:val="TableNormal"/>
    <w:rsid w:val="00F715D0"/>
    <w:pPr>
      <w:spacing w:after="180"/>
    </w:pPr>
    <w:rPr>
      <w:rFonts w:ascii="CG Times (WN)" w:eastAsia="MS Mincho" w:hAnsi="CG Times (WN)"/>
      <w:lang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
    <w:name w:val="浅色列表1"/>
    <w:basedOn w:val="TableNormal"/>
    <w:uiPriority w:val="61"/>
    <w:rsid w:val="00F715D0"/>
    <w:rPr>
      <w:rFonts w:ascii="CG Times (WN)" w:eastAsia="MS Mincho" w:hAnsi="CG Times (WN)"/>
      <w:lang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Shading-Accent6">
    <w:name w:val="Light Shading Accent 6"/>
    <w:basedOn w:val="TableNormal"/>
    <w:uiPriority w:val="60"/>
    <w:rsid w:val="00F715D0"/>
    <w:rPr>
      <w:rFonts w:ascii="CG Times (WN)" w:eastAsia="MS Mincho" w:hAnsi="CG Times (WN)"/>
      <w:color w:val="E36C0A"/>
      <w:lang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MediumShading2-Accent3">
    <w:name w:val="Medium Shading 2 Accent 3"/>
    <w:basedOn w:val="TableNormal"/>
    <w:uiPriority w:val="64"/>
    <w:rsid w:val="00F715D0"/>
    <w:rPr>
      <w:rFonts w:ascii="CG Times (WN)" w:eastAsia="MS Mincho" w:hAnsi="CG Times (WN)"/>
      <w:lang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TableGrid4">
    <w:name w:val="Table Grid 4"/>
    <w:basedOn w:val="TableNormal"/>
    <w:rsid w:val="00F715D0"/>
    <w:pPr>
      <w:spacing w:after="180"/>
    </w:pPr>
    <w:rPr>
      <w:rFonts w:ascii="CG Times (WN)" w:eastAsia="MS Mincho" w:hAnsi="CG Times (WN)"/>
      <w:lang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3">
    <w:name w:val="Table Grid 3"/>
    <w:basedOn w:val="TableNormal"/>
    <w:rsid w:val="00F715D0"/>
    <w:pPr>
      <w:spacing w:after="180"/>
    </w:pPr>
    <w:rPr>
      <w:rFonts w:ascii="CG Times (WN)" w:eastAsia="MS Mincho" w:hAnsi="CG Times (WN)"/>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2">
    <w:name w:val="Table Grid 2"/>
    <w:basedOn w:val="TableNormal"/>
    <w:rsid w:val="00F715D0"/>
    <w:pPr>
      <w:spacing w:after="180"/>
    </w:pPr>
    <w:rPr>
      <w:rFonts w:ascii="CG Times (WN)" w:eastAsia="MS Mincho" w:hAnsi="CG Times (WN)"/>
      <w:lang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Elegant">
    <w:name w:val="Table Elegant"/>
    <w:basedOn w:val="TableNormal"/>
    <w:rsid w:val="00F715D0"/>
    <w:pPr>
      <w:spacing w:after="180"/>
    </w:pPr>
    <w:rPr>
      <w:rFonts w:ascii="CG Times (WN)" w:eastAsia="MS Mincho" w:hAnsi="CG Times (WN)"/>
      <w:lang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MTDisplayEquation">
    <w:name w:val="MTDisplayEquation"/>
    <w:basedOn w:val="Normal"/>
    <w:next w:val="Normal"/>
    <w:link w:val="MTDisplayEquationChar"/>
    <w:qFormat/>
    <w:rsid w:val="00F715D0"/>
    <w:pPr>
      <w:widowControl w:val="0"/>
      <w:tabs>
        <w:tab w:val="center" w:pos="4160"/>
        <w:tab w:val="right" w:pos="8300"/>
      </w:tabs>
      <w:jc w:val="both"/>
    </w:pPr>
    <w:rPr>
      <w:rFonts w:ascii="Calibri" w:eastAsia="SimSun" w:hAnsi="Calibri"/>
      <w:kern w:val="2"/>
      <w:sz w:val="21"/>
      <w:szCs w:val="22"/>
      <w:lang w:val="en-US" w:eastAsia="zh-CN"/>
    </w:rPr>
  </w:style>
  <w:style w:type="character" w:customStyle="1" w:styleId="MTDisplayEquationChar">
    <w:name w:val="MTDisplayEquation Char"/>
    <w:link w:val="MTDisplayEquation"/>
    <w:rsid w:val="00F715D0"/>
    <w:rPr>
      <w:rFonts w:ascii="Calibri" w:eastAsia="SimSun" w:hAnsi="Calibri"/>
      <w:kern w:val="2"/>
      <w:sz w:val="21"/>
      <w:szCs w:val="22"/>
      <w:lang w:val="en-US" w:eastAsia="zh-CN"/>
    </w:rPr>
  </w:style>
  <w:style w:type="paragraph" w:customStyle="1" w:styleId="ad">
    <w:name w:val="样式 正文"/>
    <w:basedOn w:val="Normal"/>
    <w:link w:val="Char1"/>
    <w:rsid w:val="00F715D0"/>
    <w:pPr>
      <w:widowControl w:val="0"/>
      <w:ind w:firstLineChars="200" w:firstLine="420"/>
      <w:jc w:val="both"/>
    </w:pPr>
    <w:rPr>
      <w:rFonts w:ascii="Times New Roman" w:eastAsia="SimSun" w:hAnsi="Times New Roman" w:cs="SimSun"/>
      <w:kern w:val="2"/>
      <w:sz w:val="21"/>
      <w:szCs w:val="20"/>
      <w:lang w:val="en-US" w:eastAsia="zh-CN"/>
    </w:rPr>
  </w:style>
  <w:style w:type="character" w:customStyle="1" w:styleId="Char1">
    <w:name w:val="样式 正文 Char"/>
    <w:link w:val="ad"/>
    <w:rsid w:val="00F715D0"/>
    <w:rPr>
      <w:rFonts w:eastAsia="SimSun" w:cs="SimSun"/>
      <w:kern w:val="2"/>
      <w:sz w:val="21"/>
      <w:lang w:val="en-US" w:eastAsia="zh-CN"/>
    </w:rPr>
  </w:style>
  <w:style w:type="paragraph" w:customStyle="1" w:styleId="ae">
    <w:name w:val="公式"/>
    <w:basedOn w:val="Normal"/>
    <w:rsid w:val="00F715D0"/>
    <w:pPr>
      <w:widowControl w:val="0"/>
      <w:ind w:firstLine="420"/>
      <w:jc w:val="right"/>
    </w:pPr>
    <w:rPr>
      <w:rFonts w:ascii="Times New Roman" w:eastAsia="SimSun" w:hAnsi="Times New Roman" w:cs="SimSun"/>
      <w:kern w:val="2"/>
      <w:sz w:val="21"/>
      <w:szCs w:val="20"/>
      <w:lang w:val="en-US" w:eastAsia="zh-CN"/>
    </w:rPr>
  </w:style>
  <w:style w:type="paragraph" w:customStyle="1" w:styleId="Normal9pointspacing">
    <w:name w:val="Normal 9 point spacing"/>
    <w:basedOn w:val="BodyText"/>
    <w:link w:val="Normal9pointspacingChar"/>
    <w:qFormat/>
    <w:rsid w:val="00F715D0"/>
    <w:pPr>
      <w:spacing w:before="180" w:after="60"/>
    </w:pPr>
    <w:rPr>
      <w:rFonts w:ascii="Times New Roman" w:eastAsia="MS Mincho" w:hAnsi="Times New Roman"/>
    </w:rPr>
  </w:style>
  <w:style w:type="character" w:customStyle="1" w:styleId="Normal9pointspacingChar">
    <w:name w:val="Normal 9 point spacing Char"/>
    <w:link w:val="Normal9pointspacing"/>
    <w:qFormat/>
    <w:rsid w:val="00F715D0"/>
    <w:rPr>
      <w:rFonts w:eastAsia="MS Mincho"/>
      <w:szCs w:val="24"/>
      <w:lang w:eastAsia="en-US"/>
    </w:rPr>
  </w:style>
  <w:style w:type="paragraph" w:customStyle="1" w:styleId="Doc-title">
    <w:name w:val="Doc-title"/>
    <w:basedOn w:val="Normal"/>
    <w:link w:val="Doc-titleChar"/>
    <w:qFormat/>
    <w:rsid w:val="00F715D0"/>
    <w:pPr>
      <w:spacing w:before="60"/>
      <w:ind w:left="1259" w:hanging="1259"/>
    </w:pPr>
    <w:rPr>
      <w:rFonts w:ascii="Arial" w:eastAsia="SimSun" w:hAnsi="Arial" w:cs="Arial"/>
      <w:szCs w:val="20"/>
      <w:lang w:val="en-US" w:eastAsia="zh-CN"/>
    </w:rPr>
  </w:style>
  <w:style w:type="paragraph" w:customStyle="1" w:styleId="onecomwebmail-msonormal">
    <w:name w:val="onecomwebmail-msonormal"/>
    <w:basedOn w:val="Normal"/>
    <w:rsid w:val="00F715D0"/>
    <w:pPr>
      <w:spacing w:before="100" w:beforeAutospacing="1" w:after="100" w:afterAutospacing="1"/>
    </w:pPr>
    <w:rPr>
      <w:rFonts w:ascii="Times New Roman" w:eastAsia="Times New Roman" w:hAnsi="Times New Roman"/>
      <w:sz w:val="24"/>
      <w:lang w:val="en-US"/>
    </w:rPr>
  </w:style>
  <w:style w:type="paragraph" w:customStyle="1" w:styleId="Figure">
    <w:name w:val="Figure"/>
    <w:basedOn w:val="Normal"/>
    <w:next w:val="Caption"/>
    <w:qFormat/>
    <w:rsid w:val="00F715D0"/>
    <w:pPr>
      <w:keepNext/>
      <w:keepLines/>
      <w:spacing w:before="180" w:after="160" w:line="259" w:lineRule="auto"/>
      <w:jc w:val="center"/>
    </w:pPr>
    <w:rPr>
      <w:rFonts w:ascii="Calibri" w:eastAsia="Calibri" w:hAnsi="Calibri"/>
      <w:sz w:val="22"/>
      <w:szCs w:val="22"/>
      <w:lang w:val="en-US"/>
    </w:rPr>
  </w:style>
  <w:style w:type="paragraph" w:styleId="TableofFigures">
    <w:name w:val="table of figures"/>
    <w:basedOn w:val="Normal"/>
    <w:next w:val="Normal"/>
    <w:uiPriority w:val="99"/>
    <w:qFormat/>
    <w:rsid w:val="00F715D0"/>
    <w:pPr>
      <w:spacing w:after="160" w:line="259" w:lineRule="auto"/>
      <w:ind w:left="1418" w:hanging="1418"/>
    </w:pPr>
    <w:rPr>
      <w:rFonts w:ascii="Calibri" w:eastAsia="Calibri" w:hAnsi="Calibri"/>
      <w:b/>
      <w:sz w:val="22"/>
      <w:szCs w:val="22"/>
      <w:lang w:val="en-US"/>
    </w:rPr>
  </w:style>
  <w:style w:type="paragraph" w:customStyle="1" w:styleId="references0">
    <w:name w:val="references"/>
    <w:rsid w:val="00F715D0"/>
    <w:pPr>
      <w:numPr>
        <w:numId w:val="36"/>
      </w:numPr>
      <w:spacing w:after="50" w:line="180" w:lineRule="exact"/>
      <w:jc w:val="both"/>
    </w:pPr>
    <w:rPr>
      <w:rFonts w:eastAsia="MS Mincho"/>
      <w:noProof/>
      <w:sz w:val="16"/>
      <w:szCs w:val="16"/>
      <w:lang w:val="en-US" w:eastAsia="en-US"/>
    </w:rPr>
  </w:style>
  <w:style w:type="paragraph" w:styleId="IndexHeading">
    <w:name w:val="index heading"/>
    <w:basedOn w:val="Normal"/>
    <w:next w:val="Normal"/>
    <w:qFormat/>
    <w:rsid w:val="00F715D0"/>
    <w:pPr>
      <w:pBdr>
        <w:top w:val="single" w:sz="12" w:space="0" w:color="auto"/>
      </w:pBdr>
      <w:spacing w:before="360" w:after="240"/>
    </w:pPr>
    <w:rPr>
      <w:rFonts w:ascii="Times New Roman" w:eastAsia="SimSun" w:hAnsi="Times New Roman"/>
      <w:b/>
      <w:i/>
      <w:sz w:val="26"/>
      <w:szCs w:val="20"/>
    </w:rPr>
  </w:style>
  <w:style w:type="paragraph" w:customStyle="1" w:styleId="NumberedList">
    <w:name w:val="Numbered List"/>
    <w:basedOn w:val="Normal"/>
    <w:rsid w:val="00F715D0"/>
    <w:pPr>
      <w:numPr>
        <w:numId w:val="38"/>
      </w:numPr>
      <w:jc w:val="both"/>
    </w:pPr>
    <w:rPr>
      <w:rFonts w:ascii="Times New Roman" w:eastAsia="MS Mincho" w:hAnsi="Times New Roman"/>
      <w:szCs w:val="20"/>
    </w:rPr>
  </w:style>
  <w:style w:type="paragraph" w:customStyle="1" w:styleId="FigureCaption">
    <w:name w:val="Figure Caption"/>
    <w:aliases w:val="fc Char,Figure Caption Char"/>
    <w:basedOn w:val="Normal"/>
    <w:rsid w:val="00F715D0"/>
    <w:pPr>
      <w:keepLines/>
      <w:spacing w:before="60" w:after="120" w:line="300" w:lineRule="atLeast"/>
      <w:ind w:left="1008" w:hanging="1008"/>
      <w:jc w:val="both"/>
    </w:pPr>
    <w:rPr>
      <w:rFonts w:ascii="Times New Roman" w:eastAsia="????" w:hAnsi="Times New Roman"/>
      <w:szCs w:val="20"/>
      <w:lang w:val="en-US"/>
    </w:rPr>
  </w:style>
  <w:style w:type="paragraph" w:customStyle="1" w:styleId="Equation-Numbered">
    <w:name w:val="Equation-Numbered"/>
    <w:basedOn w:val="Normal"/>
    <w:next w:val="Normal"/>
    <w:autoRedefine/>
    <w:rsid w:val="00F715D0"/>
    <w:pPr>
      <w:spacing w:before="120" w:after="120" w:line="240" w:lineRule="atLeast"/>
      <w:jc w:val="right"/>
    </w:pPr>
    <w:rPr>
      <w:rFonts w:ascii="Times New Roman" w:eastAsia="SimSun" w:hAnsi="Times New Roman"/>
      <w:sz w:val="22"/>
      <w:szCs w:val="20"/>
      <w:lang w:val="en-US"/>
    </w:rPr>
  </w:style>
  <w:style w:type="paragraph" w:customStyle="1" w:styleId="multifig">
    <w:name w:val="multifig"/>
    <w:basedOn w:val="Normal"/>
    <w:rsid w:val="00F715D0"/>
    <w:pPr>
      <w:keepNext/>
      <w:tabs>
        <w:tab w:val="center" w:pos="2160"/>
        <w:tab w:val="center" w:pos="6480"/>
      </w:tabs>
      <w:spacing w:line="240" w:lineRule="atLeast"/>
    </w:pPr>
    <w:rPr>
      <w:rFonts w:ascii="Times New Roman" w:eastAsia="SimSun" w:hAnsi="Times New Roman"/>
      <w:sz w:val="24"/>
      <w:szCs w:val="20"/>
      <w:lang w:val="en-US"/>
    </w:rPr>
  </w:style>
  <w:style w:type="paragraph" w:customStyle="1" w:styleId="TableCaption">
    <w:name w:val="TableCaption"/>
    <w:basedOn w:val="Normal"/>
    <w:rsid w:val="00F715D0"/>
    <w:pPr>
      <w:keepNext/>
      <w:tabs>
        <w:tab w:val="left" w:pos="936"/>
      </w:tabs>
      <w:spacing w:before="120" w:after="60"/>
      <w:ind w:left="936" w:hanging="936"/>
      <w:jc w:val="both"/>
    </w:pPr>
    <w:rPr>
      <w:rFonts w:ascii="Times New Roman" w:eastAsia="SimSun" w:hAnsi="Times New Roman"/>
      <w:sz w:val="22"/>
      <w:szCs w:val="20"/>
      <w:lang w:val="en-US"/>
    </w:rPr>
  </w:style>
  <w:style w:type="paragraph" w:customStyle="1" w:styleId="EquationNumbered">
    <w:name w:val="Equation Numbered"/>
    <w:basedOn w:val="Normal"/>
    <w:rsid w:val="00F715D0"/>
    <w:pPr>
      <w:tabs>
        <w:tab w:val="center" w:pos="4320"/>
        <w:tab w:val="right" w:pos="8640"/>
      </w:tabs>
      <w:spacing w:before="60" w:after="60" w:line="300" w:lineRule="atLeast"/>
    </w:pPr>
    <w:rPr>
      <w:rFonts w:ascii="Times New Roman" w:eastAsia="SimSun" w:hAnsi="Times New Roman"/>
      <w:sz w:val="22"/>
      <w:szCs w:val="20"/>
      <w:lang w:val="en-US"/>
    </w:rPr>
  </w:style>
  <w:style w:type="paragraph" w:customStyle="1" w:styleId="Style10ptChar">
    <w:name w:val="Style 10 pt Char"/>
    <w:basedOn w:val="Normal"/>
    <w:rsid w:val="00F715D0"/>
    <w:pPr>
      <w:spacing w:before="120" w:line="240" w:lineRule="exact"/>
      <w:jc w:val="both"/>
    </w:pPr>
    <w:rPr>
      <w:rFonts w:ascii="Times New Roman" w:eastAsia="MS Mincho" w:hAnsi="Times New Roman"/>
      <w:szCs w:val="20"/>
      <w:lang w:val="en-US"/>
    </w:rPr>
  </w:style>
  <w:style w:type="character" w:customStyle="1" w:styleId="Style10ptCharChar">
    <w:name w:val="Style 10 pt Char Char"/>
    <w:rsid w:val="00F715D0"/>
    <w:rPr>
      <w:rFonts w:ascii="Arial" w:eastAsia="MS Mincho" w:hAnsi="Arial" w:cs="Arial"/>
      <w:color w:val="0000FF"/>
      <w:kern w:val="2"/>
      <w:lang w:val="en-US" w:eastAsia="en-US" w:bidi="ar-SA"/>
    </w:rPr>
  </w:style>
  <w:style w:type="paragraph" w:customStyle="1" w:styleId="Style10ptBoldChar">
    <w:name w:val="Style 10 pt Bold Char"/>
    <w:basedOn w:val="Normal"/>
    <w:autoRedefine/>
    <w:rsid w:val="00F715D0"/>
    <w:pPr>
      <w:spacing w:before="60" w:after="60" w:line="240" w:lineRule="exact"/>
      <w:jc w:val="both"/>
    </w:pPr>
    <w:rPr>
      <w:rFonts w:ascii="Times New Roman" w:eastAsia="MS Mincho" w:hAnsi="Times New Roman"/>
      <w:b/>
      <w:szCs w:val="20"/>
      <w:lang w:val="en-US"/>
    </w:rPr>
  </w:style>
  <w:style w:type="character" w:customStyle="1" w:styleId="Style10ptBoldCharChar">
    <w:name w:val="Style 10 pt Bold Char Char"/>
    <w:rsid w:val="00F715D0"/>
    <w:rPr>
      <w:rFonts w:ascii="Arial" w:eastAsia="MS Mincho" w:hAnsi="Arial" w:cs="Arial"/>
      <w:b/>
      <w:color w:val="0000FF"/>
      <w:kern w:val="2"/>
      <w:lang w:val="en-US" w:eastAsia="en-US" w:bidi="ar-SA"/>
    </w:rPr>
  </w:style>
  <w:style w:type="paragraph" w:styleId="HTMLPreformatted">
    <w:name w:val="HTML Preformatted"/>
    <w:basedOn w:val="Normal"/>
    <w:link w:val="HTMLPreformattedChar"/>
    <w:uiPriority w:val="99"/>
    <w:qFormat/>
    <w:rsid w:val="00F715D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Cs w:val="20"/>
      <w:lang w:val="en-US" w:eastAsia="ko-KR"/>
    </w:rPr>
  </w:style>
  <w:style w:type="character" w:customStyle="1" w:styleId="HTMLPreformattedChar">
    <w:name w:val="HTML Preformatted Char"/>
    <w:basedOn w:val="DefaultParagraphFont"/>
    <w:link w:val="HTMLPreformatted"/>
    <w:uiPriority w:val="99"/>
    <w:qFormat/>
    <w:rsid w:val="00F715D0"/>
    <w:rPr>
      <w:rFonts w:ascii="Courier New" w:hAnsi="Courier New" w:cs="Courier New"/>
      <w:lang w:val="en-US" w:eastAsia="ko-KR"/>
    </w:rPr>
  </w:style>
  <w:style w:type="paragraph" w:customStyle="1" w:styleId="Bullet0">
    <w:name w:val="Bullet"/>
    <w:basedOn w:val="Normal"/>
    <w:rsid w:val="00F715D0"/>
    <w:pPr>
      <w:numPr>
        <w:numId w:val="37"/>
      </w:numPr>
      <w:tabs>
        <w:tab w:val="clear" w:pos="1440"/>
        <w:tab w:val="num" w:pos="432"/>
      </w:tabs>
      <w:ind w:left="432" w:hanging="432"/>
    </w:pPr>
    <w:rPr>
      <w:rFonts w:ascii="Times New Roman" w:eastAsia="SimSun" w:hAnsi="Times New Roman"/>
      <w:sz w:val="24"/>
      <w:lang w:val="en-US"/>
    </w:rPr>
  </w:style>
  <w:style w:type="character" w:customStyle="1" w:styleId="FigureCaption1">
    <w:name w:val="Figure Caption1"/>
    <w:aliases w:val="fc Char1,Figure Caption Char Char"/>
    <w:rsid w:val="00F715D0"/>
    <w:rPr>
      <w:rFonts w:ascii="Arial" w:eastAsia="????" w:hAnsi="Arial" w:cs="Arial"/>
      <w:color w:val="0000FF"/>
      <w:kern w:val="2"/>
      <w:lang w:val="en-US" w:eastAsia="en-US" w:bidi="ar-SA"/>
    </w:rPr>
  </w:style>
  <w:style w:type="paragraph" w:customStyle="1" w:styleId="FigureCentered">
    <w:name w:val="FigureCentered"/>
    <w:basedOn w:val="Normal"/>
    <w:next w:val="Normal"/>
    <w:rsid w:val="00F715D0"/>
    <w:pPr>
      <w:keepNext/>
      <w:spacing w:before="60" w:after="60" w:line="240" w:lineRule="atLeast"/>
      <w:jc w:val="center"/>
    </w:pPr>
    <w:rPr>
      <w:rFonts w:ascii="Times New Roman" w:eastAsia="SimSun" w:hAnsi="Times New Roman"/>
      <w:sz w:val="24"/>
      <w:szCs w:val="20"/>
      <w:lang w:val="en-US"/>
    </w:rPr>
  </w:style>
  <w:style w:type="character" w:customStyle="1" w:styleId="Equation-NumberedChar">
    <w:name w:val="Equation-Numbered Char"/>
    <w:rsid w:val="00F715D0"/>
    <w:rPr>
      <w:rFonts w:ascii="Arial" w:eastAsia="SimSun" w:hAnsi="Arial" w:cs="Arial"/>
      <w:color w:val="0000FF"/>
      <w:kern w:val="2"/>
      <w:sz w:val="22"/>
      <w:lang w:val="en-US" w:eastAsia="en-US" w:bidi="ar-SA"/>
    </w:rPr>
  </w:style>
  <w:style w:type="paragraph" w:customStyle="1" w:styleId="item">
    <w:name w:val="item"/>
    <w:basedOn w:val="Normal"/>
    <w:rsid w:val="00F715D0"/>
    <w:pPr>
      <w:numPr>
        <w:numId w:val="39"/>
      </w:numPr>
      <w:jc w:val="both"/>
    </w:pPr>
    <w:rPr>
      <w:rFonts w:ascii="Times New Roman" w:eastAsia="MS Mincho" w:hAnsi="Times New Roman"/>
      <w:szCs w:val="20"/>
    </w:rPr>
  </w:style>
  <w:style w:type="paragraph" w:customStyle="1" w:styleId="PaperTableCell">
    <w:name w:val="PaperTableCell"/>
    <w:basedOn w:val="Normal"/>
    <w:uiPriority w:val="99"/>
    <w:qFormat/>
    <w:rsid w:val="00F715D0"/>
    <w:pPr>
      <w:jc w:val="both"/>
    </w:pPr>
    <w:rPr>
      <w:rFonts w:ascii="Times New Roman" w:eastAsia="SimSun" w:hAnsi="Times New Roman"/>
      <w:sz w:val="16"/>
      <w:lang w:val="en-US"/>
    </w:rPr>
  </w:style>
  <w:style w:type="character" w:styleId="LineNumber">
    <w:name w:val="line number"/>
    <w:rsid w:val="00F715D0"/>
    <w:rPr>
      <w:rFonts w:ascii="Arial" w:eastAsia="SimSun" w:hAnsi="Arial" w:cs="Arial"/>
      <w:color w:val="0000FF"/>
      <w:kern w:val="2"/>
      <w:sz w:val="18"/>
      <w:lang w:val="en-US" w:eastAsia="zh-CN" w:bidi="ar-SA"/>
    </w:rPr>
  </w:style>
  <w:style w:type="paragraph" w:customStyle="1" w:styleId="figure0">
    <w:name w:val="figure"/>
    <w:basedOn w:val="Normal"/>
    <w:link w:val="figure1"/>
    <w:qFormat/>
    <w:rsid w:val="00F715D0"/>
    <w:pPr>
      <w:keepNext/>
      <w:keepLines/>
      <w:spacing w:before="60" w:after="60" w:line="240" w:lineRule="atLeast"/>
      <w:jc w:val="center"/>
    </w:pPr>
    <w:rPr>
      <w:rFonts w:ascii="Times New Roman" w:eastAsia="SimSun" w:hAnsi="Times New Roman"/>
      <w:szCs w:val="20"/>
      <w:lang w:val="en-US"/>
    </w:rPr>
  </w:style>
  <w:style w:type="character" w:customStyle="1" w:styleId="moz-txt-tag">
    <w:name w:val="moz-txt-tag"/>
    <w:rsid w:val="00F715D0"/>
    <w:rPr>
      <w:rFonts w:ascii="Arial" w:eastAsia="SimSun" w:hAnsi="Arial" w:cs="Arial"/>
      <w:color w:val="0000FF"/>
      <w:kern w:val="2"/>
      <w:lang w:val="en-US" w:eastAsia="zh-CN" w:bidi="ar-SA"/>
    </w:rPr>
  </w:style>
  <w:style w:type="character" w:customStyle="1" w:styleId="GuidanceChar">
    <w:name w:val="Guidance Char"/>
    <w:rsid w:val="00F715D0"/>
    <w:rPr>
      <w:i/>
      <w:color w:val="0000FF"/>
      <w:lang w:val="en-GB" w:eastAsia="en-US" w:bidi="ar-SA"/>
    </w:rPr>
  </w:style>
  <w:style w:type="paragraph" w:styleId="BodyTextIndent3">
    <w:name w:val="Body Text Indent 3"/>
    <w:basedOn w:val="Normal"/>
    <w:link w:val="BodyTextIndent3Char"/>
    <w:qFormat/>
    <w:rsid w:val="00F715D0"/>
    <w:pPr>
      <w:overflowPunct w:val="0"/>
      <w:autoSpaceDE w:val="0"/>
      <w:autoSpaceDN w:val="0"/>
      <w:adjustRightInd w:val="0"/>
      <w:ind w:left="1080"/>
      <w:textAlignment w:val="baseline"/>
    </w:pPr>
    <w:rPr>
      <w:rFonts w:ascii="Times New Roman" w:eastAsia="SimSun" w:hAnsi="Times New Roman"/>
      <w:szCs w:val="20"/>
      <w:lang w:val="en-US" w:eastAsia="ja-JP"/>
    </w:rPr>
  </w:style>
  <w:style w:type="character" w:customStyle="1" w:styleId="BodyTextIndent3Char">
    <w:name w:val="Body Text Indent 3 Char"/>
    <w:basedOn w:val="DefaultParagraphFont"/>
    <w:link w:val="BodyTextIndent3"/>
    <w:qFormat/>
    <w:rsid w:val="00F715D0"/>
    <w:rPr>
      <w:rFonts w:eastAsia="SimSun"/>
      <w:lang w:val="en-US" w:eastAsia="ja-JP"/>
    </w:rPr>
  </w:style>
  <w:style w:type="paragraph" w:customStyle="1" w:styleId="CharCharCharCharCharChar1CharChar">
    <w:name w:val="Char Char Char Char Char Char1 Char Char"/>
    <w:next w:val="Normal"/>
    <w:semiHidden/>
    <w:qFormat/>
    <w:rsid w:val="00F715D0"/>
    <w:pPr>
      <w:keepNext/>
      <w:tabs>
        <w:tab w:val="num" w:pos="720"/>
      </w:tabs>
      <w:autoSpaceDE w:val="0"/>
      <w:autoSpaceDN w:val="0"/>
      <w:adjustRightInd w:val="0"/>
      <w:ind w:left="720" w:hanging="360"/>
      <w:jc w:val="both"/>
    </w:pPr>
    <w:rPr>
      <w:rFonts w:eastAsia="SimSun"/>
      <w:kern w:val="2"/>
      <w:lang w:eastAsia="zh-CN"/>
    </w:rPr>
  </w:style>
  <w:style w:type="paragraph" w:customStyle="1" w:styleId="numberedlist0">
    <w:name w:val="numbered list"/>
    <w:basedOn w:val="ListBullet"/>
    <w:rsid w:val="00F715D0"/>
    <w:pPr>
      <w:widowControl w:val="0"/>
      <w:tabs>
        <w:tab w:val="num" w:pos="574"/>
      </w:tabs>
      <w:overflowPunct/>
      <w:autoSpaceDE/>
      <w:autoSpaceDN/>
      <w:adjustRightInd/>
      <w:spacing w:after="0"/>
      <w:ind w:left="0" w:hangingChars="200" w:hanging="200"/>
      <w:jc w:val="both"/>
      <w:textAlignment w:val="auto"/>
    </w:pPr>
    <w:rPr>
      <w:rFonts w:eastAsia="MS Gothic"/>
      <w:kern w:val="2"/>
      <w:lang w:val="en-US" w:eastAsia="ja-JP"/>
    </w:rPr>
  </w:style>
  <w:style w:type="paragraph" w:customStyle="1" w:styleId="TabList">
    <w:name w:val="TabList"/>
    <w:basedOn w:val="Normal"/>
    <w:rsid w:val="00F715D0"/>
    <w:pPr>
      <w:tabs>
        <w:tab w:val="left" w:pos="1134"/>
      </w:tabs>
      <w:overflowPunct w:val="0"/>
      <w:autoSpaceDE w:val="0"/>
      <w:autoSpaceDN w:val="0"/>
      <w:adjustRightInd w:val="0"/>
      <w:textAlignment w:val="baseline"/>
    </w:pPr>
    <w:rPr>
      <w:rFonts w:ascii="Times New Roman" w:eastAsia="MS Mincho" w:hAnsi="Times New Roman"/>
      <w:szCs w:val="20"/>
      <w:lang w:eastAsia="en-GB"/>
    </w:rPr>
  </w:style>
  <w:style w:type="paragraph" w:customStyle="1" w:styleId="tabletext0">
    <w:name w:val="table text"/>
    <w:basedOn w:val="Normal"/>
    <w:next w:val="table"/>
    <w:rsid w:val="00F715D0"/>
    <w:pPr>
      <w:overflowPunct w:val="0"/>
      <w:autoSpaceDE w:val="0"/>
      <w:autoSpaceDN w:val="0"/>
      <w:adjustRightInd w:val="0"/>
      <w:textAlignment w:val="baseline"/>
    </w:pPr>
    <w:rPr>
      <w:rFonts w:ascii="Times New Roman" w:eastAsia="MS Mincho" w:hAnsi="Times New Roman"/>
      <w:i/>
      <w:szCs w:val="20"/>
      <w:lang w:eastAsia="en-GB"/>
    </w:rPr>
  </w:style>
  <w:style w:type="paragraph" w:customStyle="1" w:styleId="table">
    <w:name w:val="table"/>
    <w:basedOn w:val="Normal"/>
    <w:next w:val="Normal"/>
    <w:link w:val="table0"/>
    <w:qFormat/>
    <w:rsid w:val="00F715D0"/>
    <w:pPr>
      <w:overflowPunct w:val="0"/>
      <w:autoSpaceDE w:val="0"/>
      <w:autoSpaceDN w:val="0"/>
      <w:adjustRightInd w:val="0"/>
      <w:jc w:val="center"/>
      <w:textAlignment w:val="baseline"/>
    </w:pPr>
    <w:rPr>
      <w:rFonts w:ascii="Times New Roman" w:eastAsia="MS Mincho" w:hAnsi="Times New Roman"/>
      <w:szCs w:val="20"/>
      <w:lang w:val="en-US" w:eastAsia="en-GB"/>
    </w:rPr>
  </w:style>
  <w:style w:type="paragraph" w:customStyle="1" w:styleId="HE">
    <w:name w:val="HE"/>
    <w:basedOn w:val="Normal"/>
    <w:rsid w:val="00F715D0"/>
    <w:pPr>
      <w:overflowPunct w:val="0"/>
      <w:autoSpaceDE w:val="0"/>
      <w:autoSpaceDN w:val="0"/>
      <w:adjustRightInd w:val="0"/>
      <w:textAlignment w:val="baseline"/>
    </w:pPr>
    <w:rPr>
      <w:rFonts w:ascii="Times New Roman" w:eastAsia="MS Mincho" w:hAnsi="Times New Roman"/>
      <w:b/>
      <w:szCs w:val="20"/>
      <w:lang w:eastAsia="en-GB"/>
    </w:rPr>
  </w:style>
  <w:style w:type="paragraph" w:customStyle="1" w:styleId="text0">
    <w:name w:val="text"/>
    <w:basedOn w:val="Normal"/>
    <w:link w:val="textChar0"/>
    <w:qFormat/>
    <w:rsid w:val="00F715D0"/>
    <w:pPr>
      <w:widowControl w:val="0"/>
      <w:overflowPunct w:val="0"/>
      <w:autoSpaceDE w:val="0"/>
      <w:autoSpaceDN w:val="0"/>
      <w:adjustRightInd w:val="0"/>
      <w:spacing w:after="240"/>
      <w:jc w:val="both"/>
      <w:textAlignment w:val="baseline"/>
    </w:pPr>
    <w:rPr>
      <w:rFonts w:ascii="Times New Roman" w:eastAsia="Times New Roman" w:hAnsi="Times New Roman"/>
      <w:sz w:val="24"/>
      <w:szCs w:val="20"/>
      <w:lang w:val="en-AU" w:eastAsia="en-GB"/>
    </w:rPr>
  </w:style>
  <w:style w:type="paragraph" w:customStyle="1" w:styleId="textintend1">
    <w:name w:val="text intend 1"/>
    <w:basedOn w:val="text0"/>
    <w:uiPriority w:val="99"/>
    <w:qFormat/>
    <w:rsid w:val="00F715D0"/>
    <w:pPr>
      <w:widowControl/>
      <w:numPr>
        <w:numId w:val="40"/>
      </w:numPr>
      <w:tabs>
        <w:tab w:val="clear" w:pos="992"/>
      </w:tabs>
      <w:spacing w:after="120"/>
      <w:ind w:left="720" w:hanging="360"/>
    </w:pPr>
    <w:rPr>
      <w:rFonts w:eastAsia="MS Mincho"/>
      <w:lang w:val="en-US"/>
    </w:rPr>
  </w:style>
  <w:style w:type="paragraph" w:customStyle="1" w:styleId="textintend2">
    <w:name w:val="text intend 2"/>
    <w:basedOn w:val="text0"/>
    <w:qFormat/>
    <w:rsid w:val="00F715D0"/>
    <w:pPr>
      <w:widowControl/>
      <w:numPr>
        <w:numId w:val="41"/>
      </w:numPr>
      <w:tabs>
        <w:tab w:val="clear" w:pos="1418"/>
      </w:tabs>
      <w:spacing w:after="120"/>
      <w:ind w:left="360" w:firstLine="0"/>
    </w:pPr>
    <w:rPr>
      <w:rFonts w:eastAsia="MS Mincho"/>
      <w:lang w:val="en-US"/>
    </w:rPr>
  </w:style>
  <w:style w:type="paragraph" w:customStyle="1" w:styleId="textintend3">
    <w:name w:val="text intend 3"/>
    <w:basedOn w:val="text0"/>
    <w:rsid w:val="00F715D0"/>
    <w:pPr>
      <w:widowControl/>
      <w:numPr>
        <w:numId w:val="42"/>
      </w:numPr>
      <w:tabs>
        <w:tab w:val="clear" w:pos="1843"/>
        <w:tab w:val="num" w:pos="432"/>
      </w:tabs>
      <w:spacing w:after="120"/>
      <w:ind w:left="432" w:hanging="432"/>
    </w:pPr>
    <w:rPr>
      <w:rFonts w:eastAsia="MS Mincho"/>
      <w:lang w:val="en-US"/>
    </w:rPr>
  </w:style>
  <w:style w:type="paragraph" w:customStyle="1" w:styleId="normalpuce">
    <w:name w:val="normal puce"/>
    <w:basedOn w:val="Normal"/>
    <w:qFormat/>
    <w:rsid w:val="00F715D0"/>
    <w:pPr>
      <w:widowControl w:val="0"/>
      <w:numPr>
        <w:numId w:val="43"/>
      </w:numPr>
      <w:overflowPunct w:val="0"/>
      <w:autoSpaceDE w:val="0"/>
      <w:autoSpaceDN w:val="0"/>
      <w:adjustRightInd w:val="0"/>
      <w:spacing w:before="60" w:after="60"/>
      <w:jc w:val="both"/>
      <w:textAlignment w:val="baseline"/>
    </w:pPr>
    <w:rPr>
      <w:rFonts w:ascii="Times New Roman" w:eastAsia="MS Mincho" w:hAnsi="Times New Roman"/>
      <w:szCs w:val="20"/>
      <w:lang w:eastAsia="en-GB"/>
    </w:rPr>
  </w:style>
  <w:style w:type="paragraph" w:customStyle="1" w:styleId="Meetingcaption">
    <w:name w:val="Meeting caption"/>
    <w:basedOn w:val="Normal"/>
    <w:rsid w:val="00F715D0"/>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rFonts w:ascii="Times New Roman" w:eastAsia="Times New Roman" w:hAnsi="Times New Roman"/>
      <w:snapToGrid w:val="0"/>
      <w:sz w:val="22"/>
      <w:szCs w:val="20"/>
      <w:lang w:val="fr-FR" w:eastAsia="en-GB"/>
    </w:rPr>
  </w:style>
  <w:style w:type="paragraph" w:customStyle="1" w:styleId="Cell">
    <w:name w:val="Cell"/>
    <w:basedOn w:val="Normal"/>
    <w:rsid w:val="00F715D0"/>
    <w:pPr>
      <w:overflowPunct w:val="0"/>
      <w:autoSpaceDE w:val="0"/>
      <w:autoSpaceDN w:val="0"/>
      <w:adjustRightInd w:val="0"/>
      <w:spacing w:line="240" w:lineRule="exact"/>
      <w:jc w:val="center"/>
      <w:textAlignment w:val="baseline"/>
    </w:pPr>
    <w:rPr>
      <w:rFonts w:ascii="Times New Roman" w:eastAsia="Times New Roman" w:hAnsi="Times New Roman"/>
      <w:sz w:val="16"/>
      <w:szCs w:val="20"/>
      <w:lang w:val="en-US" w:eastAsia="ja-JP"/>
    </w:rPr>
  </w:style>
  <w:style w:type="paragraph" w:customStyle="1" w:styleId="h60">
    <w:name w:val="h6"/>
    <w:basedOn w:val="Normal"/>
    <w:rsid w:val="00F715D0"/>
    <w:pPr>
      <w:overflowPunct w:val="0"/>
      <w:autoSpaceDE w:val="0"/>
      <w:autoSpaceDN w:val="0"/>
      <w:adjustRightInd w:val="0"/>
      <w:spacing w:before="100" w:beforeAutospacing="1" w:after="100" w:afterAutospacing="1"/>
      <w:textAlignment w:val="baseline"/>
    </w:pPr>
    <w:rPr>
      <w:rFonts w:ascii="Times New Roman" w:eastAsia="Times New Roman" w:hAnsi="Times New Roman"/>
      <w:sz w:val="24"/>
      <w:lang w:val="en-US" w:eastAsia="ja-JP"/>
    </w:rPr>
  </w:style>
  <w:style w:type="paragraph" w:customStyle="1" w:styleId="b11">
    <w:name w:val="b1"/>
    <w:basedOn w:val="Normal"/>
    <w:uiPriority w:val="99"/>
    <w:qFormat/>
    <w:rsid w:val="00F715D0"/>
    <w:pPr>
      <w:overflowPunct w:val="0"/>
      <w:autoSpaceDE w:val="0"/>
      <w:autoSpaceDN w:val="0"/>
      <w:adjustRightInd w:val="0"/>
      <w:spacing w:before="100" w:beforeAutospacing="1" w:after="100" w:afterAutospacing="1"/>
      <w:textAlignment w:val="baseline"/>
    </w:pPr>
    <w:rPr>
      <w:rFonts w:ascii="Times New Roman" w:eastAsia="Times New Roman" w:hAnsi="Times New Roman"/>
      <w:sz w:val="24"/>
      <w:lang w:val="en-US" w:eastAsia="ja-JP"/>
    </w:rPr>
  </w:style>
  <w:style w:type="paragraph" w:customStyle="1" w:styleId="CharCharCharChar">
    <w:name w:val="Char Char Char Char"/>
    <w:rsid w:val="00F715D0"/>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
    <w:name w:val="Char Char Char Char Char Char Char Char Char Char Char Char"/>
    <w:semiHidden/>
    <w:rsid w:val="00F715D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4CharChar">
    <w:name w:val="h4 Char Char"/>
    <w:qFormat/>
    <w:rsid w:val="00F715D0"/>
    <w:rPr>
      <w:rFonts w:ascii="Arial" w:hAnsi="Arial"/>
      <w:sz w:val="24"/>
      <w:lang w:val="en-GB" w:eastAsia="ja-JP" w:bidi="ar-SA"/>
    </w:rPr>
  </w:style>
  <w:style w:type="paragraph" w:customStyle="1" w:styleId="NormalAfter3pt">
    <w:name w:val="Normal + After:  3 pt"/>
    <w:basedOn w:val="Normal"/>
    <w:qFormat/>
    <w:rsid w:val="00F715D0"/>
    <w:pPr>
      <w:tabs>
        <w:tab w:val="num" w:pos="2560"/>
      </w:tabs>
      <w:spacing w:after="180"/>
      <w:ind w:left="2560" w:hanging="357"/>
    </w:pPr>
    <w:rPr>
      <w:rFonts w:ascii="Times New Roman" w:eastAsia="Times New Roman" w:hAnsi="Times New Roman"/>
      <w:szCs w:val="20"/>
      <w:lang w:val="en-AU" w:eastAsia="ko-KR"/>
    </w:rPr>
  </w:style>
  <w:style w:type="character" w:customStyle="1" w:styleId="CharChar5">
    <w:name w:val="Char Char5"/>
    <w:semiHidden/>
    <w:rsid w:val="00F715D0"/>
    <w:rPr>
      <w:rFonts w:ascii="Times New Roman" w:hAnsi="Times New Roman"/>
      <w:lang w:eastAsia="en-US"/>
    </w:rPr>
  </w:style>
  <w:style w:type="paragraph" w:customStyle="1" w:styleId="CharChar3CharCharCharCharCharChar">
    <w:name w:val="Char Char3 Char Char Char Char Char Char"/>
    <w:semiHidden/>
    <w:rsid w:val="00F715D0"/>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1CharChar">
    <w:name w:val="Char Char1 Char Char"/>
    <w:rsid w:val="00F715D0"/>
    <w:pPr>
      <w:keepNext/>
      <w:tabs>
        <w:tab w:val="left" w:pos="-1134"/>
      </w:tabs>
      <w:autoSpaceDE w:val="0"/>
      <w:autoSpaceDN w:val="0"/>
      <w:adjustRightInd w:val="0"/>
      <w:spacing w:before="60" w:after="60"/>
      <w:jc w:val="both"/>
    </w:pPr>
    <w:rPr>
      <w:rFonts w:eastAsia="SimSun"/>
    </w:rPr>
  </w:style>
  <w:style w:type="paragraph" w:customStyle="1" w:styleId="TableCell1">
    <w:name w:val="Table Cell"/>
    <w:basedOn w:val="TAC"/>
    <w:link w:val="TableCellChar"/>
    <w:qFormat/>
    <w:rsid w:val="00F715D0"/>
    <w:pPr>
      <w:textAlignment w:val="auto"/>
    </w:pPr>
    <w:rPr>
      <w:rFonts w:eastAsia="SimSun"/>
      <w:lang w:val="en-US" w:eastAsia="zh-CN"/>
    </w:rPr>
  </w:style>
  <w:style w:type="character" w:customStyle="1" w:styleId="TableCellChar">
    <w:name w:val="Table Cell Char"/>
    <w:link w:val="TableCell1"/>
    <w:rsid w:val="00F715D0"/>
    <w:rPr>
      <w:rFonts w:ascii="Arial" w:eastAsia="SimSun" w:hAnsi="Arial"/>
      <w:sz w:val="18"/>
      <w:lang w:val="en-US" w:eastAsia="zh-CN"/>
    </w:rPr>
  </w:style>
  <w:style w:type="paragraph" w:customStyle="1" w:styleId="CharCharCharCharCharChar1CharChar1">
    <w:name w:val="Char Char Char Char Char Char1 Char Char1"/>
    <w:next w:val="Normal"/>
    <w:semiHidden/>
    <w:rsid w:val="00F715D0"/>
    <w:pPr>
      <w:keepNext/>
      <w:tabs>
        <w:tab w:val="num" w:pos="720"/>
      </w:tabs>
      <w:autoSpaceDE w:val="0"/>
      <w:autoSpaceDN w:val="0"/>
      <w:adjustRightInd w:val="0"/>
      <w:ind w:left="720" w:hanging="360"/>
      <w:jc w:val="both"/>
    </w:pPr>
    <w:rPr>
      <w:rFonts w:eastAsia="SimSun"/>
      <w:kern w:val="2"/>
      <w:lang w:eastAsia="zh-CN"/>
    </w:rPr>
  </w:style>
  <w:style w:type="table" w:customStyle="1" w:styleId="ColorfulList-Accent111">
    <w:name w:val="Colorful List - Accent 111"/>
    <w:basedOn w:val="TableNormal"/>
    <w:next w:val="ColorfulList-Accent1"/>
    <w:uiPriority w:val="34"/>
    <w:rsid w:val="004C70A4"/>
    <w:rPr>
      <w:rFonts w:ascii="Malgun Gothic" w:eastAsia="MS Gothic" w:hAnsi="Malgun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customStyle="1" w:styleId="opdicttext22">
    <w:name w:val="op_dict_text22"/>
    <w:rsid w:val="00F715D0"/>
  </w:style>
  <w:style w:type="character" w:customStyle="1" w:styleId="def">
    <w:name w:val="def"/>
    <w:qFormat/>
    <w:rsid w:val="00F715D0"/>
  </w:style>
  <w:style w:type="character" w:customStyle="1" w:styleId="high-light-bg4">
    <w:name w:val="high-light-bg4"/>
    <w:rsid w:val="00F715D0"/>
  </w:style>
  <w:style w:type="character" w:customStyle="1" w:styleId="TitleChar2">
    <w:name w:val="Title Char2"/>
    <w:uiPriority w:val="10"/>
    <w:locked/>
    <w:rsid w:val="00F715D0"/>
    <w:rPr>
      <w:rFonts w:ascii="Cambria" w:eastAsia="SimSun" w:hAnsi="Cambria" w:cs="Times New Roman"/>
      <w:spacing w:val="-10"/>
      <w:kern w:val="28"/>
      <w:sz w:val="56"/>
      <w:szCs w:val="56"/>
      <w:lang w:val="en-GB" w:eastAsia="ja-JP"/>
    </w:rPr>
  </w:style>
  <w:style w:type="paragraph" w:customStyle="1" w:styleId="Heading1unnumbered">
    <w:name w:val="Heading 1 unnumbered"/>
    <w:basedOn w:val="Heading1"/>
    <w:next w:val="BodyText"/>
    <w:rsid w:val="00F715D0"/>
    <w:pPr>
      <w:numPr>
        <w:numId w:val="0"/>
      </w:numPr>
      <w:tabs>
        <w:tab w:val="left" w:pos="0"/>
        <w:tab w:val="num" w:pos="360"/>
      </w:tabs>
      <w:spacing w:before="360" w:after="240"/>
      <w:ind w:left="360" w:hanging="360"/>
      <w:outlineLvl w:val="9"/>
    </w:pPr>
    <w:rPr>
      <w:rFonts w:ascii="Times New Roman" w:eastAsia="MS Gothic" w:hAnsi="Times New Roman" w:cs="Times New Roman"/>
      <w:b w:val="0"/>
      <w:bCs w:val="0"/>
      <w:kern w:val="28"/>
      <w:szCs w:val="20"/>
      <w:lang w:eastAsia="ja-JP"/>
    </w:rPr>
  </w:style>
  <w:style w:type="paragraph" w:customStyle="1" w:styleId="lptext">
    <w:name w:val="lˆptext"/>
    <w:basedOn w:val="Normal"/>
    <w:rsid w:val="00F715D0"/>
    <w:pPr>
      <w:spacing w:before="100" w:after="100"/>
      <w:ind w:left="860"/>
    </w:pPr>
    <w:rPr>
      <w:rFonts w:eastAsia="MS Gothic"/>
      <w:sz w:val="24"/>
      <w:szCs w:val="20"/>
      <w:lang w:eastAsia="ja-JP"/>
    </w:rPr>
  </w:style>
  <w:style w:type="paragraph" w:customStyle="1" w:styleId="ListBulletLast">
    <w:name w:val="List Bullet Last"/>
    <w:aliases w:val="lbl"/>
    <w:basedOn w:val="ListBullet"/>
    <w:next w:val="BodyText"/>
    <w:rsid w:val="00F715D0"/>
    <w:pPr>
      <w:widowControl w:val="0"/>
      <w:tabs>
        <w:tab w:val="num" w:pos="574"/>
      </w:tabs>
      <w:overflowPunct/>
      <w:autoSpaceDE/>
      <w:autoSpaceDN/>
      <w:adjustRightInd/>
      <w:spacing w:after="0"/>
      <w:ind w:left="0" w:hangingChars="200" w:hanging="200"/>
      <w:jc w:val="both"/>
      <w:textAlignment w:val="auto"/>
    </w:pPr>
    <w:rPr>
      <w:rFonts w:eastAsia="MS Gothic"/>
      <w:kern w:val="2"/>
      <w:lang w:val="en-US" w:eastAsia="ja-JP"/>
    </w:rPr>
  </w:style>
  <w:style w:type="paragraph" w:styleId="BodyText3">
    <w:name w:val="Body Text 3"/>
    <w:basedOn w:val="Normal"/>
    <w:link w:val="BodyText3Char"/>
    <w:qFormat/>
    <w:rsid w:val="00F715D0"/>
    <w:pPr>
      <w:jc w:val="both"/>
    </w:pPr>
    <w:rPr>
      <w:rFonts w:ascii="Times New Roman" w:eastAsia="MS Gothic" w:hAnsi="Times New Roman"/>
      <w:sz w:val="24"/>
      <w:szCs w:val="20"/>
      <w:lang w:eastAsia="ja-JP"/>
    </w:rPr>
  </w:style>
  <w:style w:type="character" w:customStyle="1" w:styleId="BodyText3Char">
    <w:name w:val="Body Text 3 Char"/>
    <w:basedOn w:val="DefaultParagraphFont"/>
    <w:link w:val="BodyText3"/>
    <w:qFormat/>
    <w:rsid w:val="00F715D0"/>
    <w:rPr>
      <w:rFonts w:eastAsia="MS Gothic"/>
      <w:sz w:val="24"/>
      <w:lang w:eastAsia="ja-JP"/>
    </w:rPr>
  </w:style>
  <w:style w:type="paragraph" w:customStyle="1" w:styleId="TableText1">
    <w:name w:val="Table_Text"/>
    <w:basedOn w:val="Normal"/>
    <w:uiPriority w:val="99"/>
    <w:qFormat/>
    <w:rsid w:val="00F715D0"/>
    <w:pPr>
      <w:keepNext/>
      <w:tabs>
        <w:tab w:val="left" w:pos="794"/>
        <w:tab w:val="left" w:pos="1191"/>
        <w:tab w:val="left" w:pos="1588"/>
        <w:tab w:val="left" w:pos="1985"/>
      </w:tabs>
      <w:spacing w:before="100" w:after="100" w:line="190" w:lineRule="exact"/>
      <w:jc w:val="both"/>
    </w:pPr>
    <w:rPr>
      <w:rFonts w:ascii="Times New Roman" w:eastAsia="MS Gothic" w:hAnsi="Times New Roman"/>
      <w:sz w:val="18"/>
      <w:szCs w:val="20"/>
      <w:lang w:eastAsia="ja-JP"/>
    </w:rPr>
  </w:style>
  <w:style w:type="paragraph" w:customStyle="1" w:styleId="shortcode">
    <w:name w:val="shortcode"/>
    <w:basedOn w:val="BodyText"/>
    <w:rsid w:val="00F715D0"/>
    <w:pPr>
      <w:keepNext/>
      <w:tabs>
        <w:tab w:val="left" w:pos="1247"/>
        <w:tab w:val="left" w:pos="2552"/>
        <w:tab w:val="left" w:pos="3856"/>
        <w:tab w:val="left" w:pos="5216"/>
        <w:tab w:val="left" w:pos="6464"/>
        <w:tab w:val="left" w:pos="7768"/>
        <w:tab w:val="left" w:pos="9072"/>
        <w:tab w:val="left" w:pos="10206"/>
      </w:tabs>
      <w:overflowPunct w:val="0"/>
      <w:autoSpaceDE w:val="0"/>
      <w:autoSpaceDN w:val="0"/>
      <w:adjustRightInd w:val="0"/>
      <w:spacing w:after="0" w:line="480" w:lineRule="auto"/>
      <w:jc w:val="left"/>
      <w:textAlignment w:val="baseline"/>
    </w:pPr>
    <w:rPr>
      <w:rFonts w:eastAsia="Mincho"/>
      <w:sz w:val="24"/>
      <w:szCs w:val="20"/>
      <w:lang w:eastAsia="ja-JP"/>
    </w:rPr>
  </w:style>
  <w:style w:type="paragraph" w:customStyle="1" w:styleId="HTMLBody">
    <w:name w:val="HTML Body"/>
    <w:rsid w:val="00F715D0"/>
    <w:pPr>
      <w:widowControl w:val="0"/>
      <w:autoSpaceDE w:val="0"/>
      <w:autoSpaceDN w:val="0"/>
      <w:adjustRightInd w:val="0"/>
    </w:pPr>
    <w:rPr>
      <w:rFonts w:ascii="MS PGothic" w:eastAsia="MS PGothic" w:hAnsi="Century"/>
      <w:lang w:val="en-US" w:eastAsia="ja-JP"/>
    </w:rPr>
  </w:style>
  <w:style w:type="character" w:customStyle="1" w:styleId="af">
    <w:name w:val="図表番号 (文字)"/>
    <w:aliases w:val="cap (文字),cap Char (文字) (文字)1"/>
    <w:rsid w:val="00F715D0"/>
    <w:rPr>
      <w:rFonts w:eastAsia="MS Gothic"/>
      <w:b/>
      <w:noProof w:val="0"/>
      <w:kern w:val="2"/>
      <w:sz w:val="24"/>
      <w:lang w:val="en-GB"/>
    </w:rPr>
  </w:style>
  <w:style w:type="paragraph" w:customStyle="1" w:styleId="CharCharCharCarCarCharCharCarCar">
    <w:name w:val="Char Char Char Car Car Char Char Car Car"/>
    <w:rsid w:val="00F715D0"/>
    <w:pPr>
      <w:keepNext/>
      <w:tabs>
        <w:tab w:val="num" w:pos="851"/>
      </w:tabs>
      <w:autoSpaceDE w:val="0"/>
      <w:autoSpaceDN w:val="0"/>
      <w:adjustRightInd w:val="0"/>
      <w:spacing w:before="60" w:after="60"/>
      <w:ind w:left="851" w:hanging="851"/>
      <w:jc w:val="both"/>
    </w:pPr>
    <w:rPr>
      <w:rFonts w:ascii="Arial" w:eastAsia="SimSun" w:hAnsi="Arial"/>
      <w:color w:val="0000FF"/>
      <w:kern w:val="2"/>
      <w:lang w:val="en-US"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Normal"/>
    <w:semiHidden/>
    <w:rsid w:val="00F715D0"/>
    <w:pPr>
      <w:keepNext/>
      <w:tabs>
        <w:tab w:val="num" w:pos="720"/>
      </w:tabs>
      <w:autoSpaceDE w:val="0"/>
      <w:autoSpaceDN w:val="0"/>
      <w:adjustRightInd w:val="0"/>
      <w:ind w:left="720" w:hanging="360"/>
      <w:jc w:val="both"/>
    </w:pPr>
    <w:rPr>
      <w:rFonts w:eastAsia="Times New Roman"/>
      <w:kern w:val="2"/>
      <w:lang w:eastAsia="zh-CN"/>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Normal"/>
    <w:semiHidden/>
    <w:rsid w:val="00F715D0"/>
    <w:pPr>
      <w:keepNext/>
      <w:tabs>
        <w:tab w:val="num" w:pos="720"/>
      </w:tabs>
      <w:autoSpaceDE w:val="0"/>
      <w:autoSpaceDN w:val="0"/>
      <w:adjustRightInd w:val="0"/>
      <w:ind w:left="720" w:hanging="360"/>
      <w:jc w:val="both"/>
    </w:pPr>
    <w:rPr>
      <w:rFonts w:eastAsia="Times New Roman"/>
      <w:kern w:val="2"/>
      <w:lang w:eastAsia="zh-CN"/>
    </w:rPr>
  </w:style>
  <w:style w:type="paragraph" w:customStyle="1" w:styleId="81">
    <w:name w:val="表 (赤)  81"/>
    <w:basedOn w:val="Normal"/>
    <w:uiPriority w:val="34"/>
    <w:qFormat/>
    <w:rsid w:val="00F715D0"/>
    <w:pPr>
      <w:ind w:leftChars="400" w:left="840"/>
    </w:pPr>
    <w:rPr>
      <w:rFonts w:ascii="MS PGothic" w:eastAsia="MS PGothic" w:hAnsi="MS PGothic" w:cs="MS PGothic"/>
      <w:sz w:val="24"/>
      <w:lang w:val="en-US" w:eastAsia="ja-JP"/>
    </w:rPr>
  </w:style>
  <w:style w:type="paragraph" w:customStyle="1" w:styleId="710">
    <w:name w:val="表 (赤)  71"/>
    <w:hidden/>
    <w:uiPriority w:val="99"/>
    <w:semiHidden/>
    <w:rsid w:val="00F715D0"/>
    <w:rPr>
      <w:rFonts w:eastAsia="MS Gothic"/>
      <w:sz w:val="24"/>
      <w:lang w:eastAsia="ja-JP"/>
    </w:rPr>
  </w:style>
  <w:style w:type="character" w:customStyle="1" w:styleId="Doc-titleChar">
    <w:name w:val="Doc-title Char"/>
    <w:link w:val="Doc-title"/>
    <w:rsid w:val="00F715D0"/>
    <w:rPr>
      <w:rFonts w:ascii="Arial" w:eastAsia="SimSun" w:hAnsi="Arial" w:cs="Arial"/>
      <w:lang w:val="en-US" w:eastAsia="zh-CN"/>
    </w:rPr>
  </w:style>
  <w:style w:type="paragraph" w:customStyle="1" w:styleId="msonormal0">
    <w:name w:val="msonormal"/>
    <w:basedOn w:val="Normal"/>
    <w:uiPriority w:val="99"/>
    <w:qFormat/>
    <w:rsid w:val="00F715D0"/>
    <w:pPr>
      <w:spacing w:before="100" w:beforeAutospacing="1" w:after="100" w:afterAutospacing="1"/>
    </w:pPr>
    <w:rPr>
      <w:rFonts w:ascii="SimSun" w:eastAsia="SimSun" w:hAnsi="SimSun" w:cs="SimSun"/>
      <w:sz w:val="24"/>
      <w:lang w:val="en-US" w:eastAsia="zh-CN"/>
    </w:rPr>
  </w:style>
  <w:style w:type="paragraph" w:customStyle="1" w:styleId="font5">
    <w:name w:val="font5"/>
    <w:basedOn w:val="Normal"/>
    <w:qFormat/>
    <w:rsid w:val="00F715D0"/>
    <w:pPr>
      <w:spacing w:before="100" w:beforeAutospacing="1" w:after="100" w:afterAutospacing="1"/>
    </w:pPr>
    <w:rPr>
      <w:rFonts w:ascii="DengXian" w:eastAsia="DengXian" w:hAnsi="DengXian" w:cs="SimSun"/>
      <w:sz w:val="18"/>
      <w:szCs w:val="18"/>
      <w:lang w:val="en-US" w:eastAsia="zh-CN"/>
    </w:rPr>
  </w:style>
  <w:style w:type="paragraph" w:customStyle="1" w:styleId="xl65">
    <w:name w:val="xl65"/>
    <w:basedOn w:val="Normal"/>
    <w:rsid w:val="00F715D0"/>
    <w:pPr>
      <w:spacing w:before="100" w:beforeAutospacing="1" w:after="100" w:afterAutospacing="1"/>
      <w:jc w:val="center"/>
    </w:pPr>
    <w:rPr>
      <w:rFonts w:ascii="SimSun" w:eastAsia="SimSun" w:hAnsi="SimSun" w:cs="SimSun"/>
      <w:sz w:val="16"/>
      <w:szCs w:val="16"/>
      <w:lang w:val="en-US" w:eastAsia="zh-CN"/>
    </w:rPr>
  </w:style>
  <w:style w:type="paragraph" w:customStyle="1" w:styleId="xl66">
    <w:name w:val="xl66"/>
    <w:basedOn w:val="Normal"/>
    <w:qFormat/>
    <w:rsid w:val="00F715D0"/>
    <w:pPr>
      <w:pBdr>
        <w:top w:val="single" w:sz="8" w:space="0" w:color="auto"/>
        <w:left w:val="single" w:sz="8" w:space="0" w:color="auto"/>
        <w:right w:val="single" w:sz="8"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67">
    <w:name w:val="xl67"/>
    <w:basedOn w:val="Normal"/>
    <w:qFormat/>
    <w:rsid w:val="00F715D0"/>
    <w:pPr>
      <w:pBdr>
        <w:top w:val="single" w:sz="8" w:space="0" w:color="auto"/>
        <w:right w:val="single" w:sz="8"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68">
    <w:name w:val="xl68"/>
    <w:basedOn w:val="Normal"/>
    <w:qFormat/>
    <w:rsid w:val="00F715D0"/>
    <w:pPr>
      <w:spacing w:before="100" w:beforeAutospacing="1" w:after="100" w:afterAutospacing="1"/>
      <w:jc w:val="center"/>
    </w:pPr>
    <w:rPr>
      <w:rFonts w:ascii="SimSun" w:eastAsia="SimSun" w:hAnsi="SimSun" w:cs="SimSun"/>
      <w:sz w:val="15"/>
      <w:szCs w:val="15"/>
      <w:lang w:val="en-US" w:eastAsia="zh-CN"/>
    </w:rPr>
  </w:style>
  <w:style w:type="paragraph" w:customStyle="1" w:styleId="xl69">
    <w:name w:val="xl69"/>
    <w:basedOn w:val="Normal"/>
    <w:qFormat/>
    <w:rsid w:val="00F715D0"/>
    <w:pPr>
      <w:pBdr>
        <w:top w:val="single" w:sz="8"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70">
    <w:name w:val="xl70"/>
    <w:basedOn w:val="Normal"/>
    <w:qFormat/>
    <w:rsid w:val="00F715D0"/>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71">
    <w:name w:val="xl71"/>
    <w:basedOn w:val="Normal"/>
    <w:qFormat/>
    <w:rsid w:val="00F715D0"/>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72">
    <w:name w:val="xl72"/>
    <w:basedOn w:val="Normal"/>
    <w:qFormat/>
    <w:rsid w:val="00F715D0"/>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73">
    <w:name w:val="xl73"/>
    <w:basedOn w:val="Normal"/>
    <w:qFormat/>
    <w:rsid w:val="00F715D0"/>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4">
    <w:name w:val="xl74"/>
    <w:basedOn w:val="Normal"/>
    <w:qFormat/>
    <w:rsid w:val="00F715D0"/>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5">
    <w:name w:val="xl75"/>
    <w:basedOn w:val="Normal"/>
    <w:qFormat/>
    <w:rsid w:val="00F715D0"/>
    <w:pPr>
      <w:pBdr>
        <w:top w:val="single" w:sz="4"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6">
    <w:name w:val="xl76"/>
    <w:basedOn w:val="Normal"/>
    <w:qFormat/>
    <w:rsid w:val="00F715D0"/>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77">
    <w:name w:val="xl77"/>
    <w:basedOn w:val="Normal"/>
    <w:qFormat/>
    <w:rsid w:val="00F715D0"/>
    <w:pPr>
      <w:pBdr>
        <w:top w:val="single" w:sz="8"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8">
    <w:name w:val="xl78"/>
    <w:basedOn w:val="Normal"/>
    <w:qFormat/>
    <w:rsid w:val="00F715D0"/>
    <w:pPr>
      <w:pBdr>
        <w:top w:val="single" w:sz="8" w:space="0" w:color="auto"/>
        <w:bottom w:val="single" w:sz="8" w:space="0" w:color="auto"/>
        <w:right w:val="single" w:sz="8"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79">
    <w:name w:val="xl79"/>
    <w:basedOn w:val="Normal"/>
    <w:qFormat/>
    <w:rsid w:val="00F715D0"/>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80">
    <w:name w:val="xl80"/>
    <w:basedOn w:val="Normal"/>
    <w:qFormat/>
    <w:rsid w:val="00F715D0"/>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81">
    <w:name w:val="xl81"/>
    <w:basedOn w:val="Normal"/>
    <w:qFormat/>
    <w:rsid w:val="00F715D0"/>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2">
    <w:name w:val="xl82"/>
    <w:basedOn w:val="Normal"/>
    <w:qFormat/>
    <w:rsid w:val="00F715D0"/>
    <w:pPr>
      <w:pBdr>
        <w:top w:val="single" w:sz="4" w:space="0" w:color="auto"/>
        <w:left w:val="single" w:sz="4" w:space="0" w:color="auto"/>
        <w:bottom w:val="single" w:sz="8" w:space="0" w:color="auto"/>
        <w:right w:val="single" w:sz="8"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3">
    <w:name w:val="xl83"/>
    <w:basedOn w:val="Normal"/>
    <w:qFormat/>
    <w:rsid w:val="00F715D0"/>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84">
    <w:name w:val="xl84"/>
    <w:basedOn w:val="Normal"/>
    <w:qFormat/>
    <w:rsid w:val="00F715D0"/>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85">
    <w:name w:val="xl85"/>
    <w:basedOn w:val="Normal"/>
    <w:qFormat/>
    <w:rsid w:val="00F715D0"/>
    <w:pPr>
      <w:pBdr>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86">
    <w:name w:val="xl86"/>
    <w:basedOn w:val="Normal"/>
    <w:qFormat/>
    <w:rsid w:val="00F715D0"/>
    <w:pPr>
      <w:pBdr>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87">
    <w:name w:val="xl87"/>
    <w:basedOn w:val="Normal"/>
    <w:qFormat/>
    <w:rsid w:val="00F715D0"/>
    <w:pPr>
      <w:pBdr>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8">
    <w:name w:val="xl88"/>
    <w:basedOn w:val="Normal"/>
    <w:qFormat/>
    <w:rsid w:val="00F715D0"/>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9">
    <w:name w:val="xl89"/>
    <w:basedOn w:val="Normal"/>
    <w:qFormat/>
    <w:rsid w:val="00F715D0"/>
    <w:pPr>
      <w:pBdr>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90">
    <w:name w:val="xl90"/>
    <w:basedOn w:val="Normal"/>
    <w:qFormat/>
    <w:rsid w:val="00F715D0"/>
    <w:pPr>
      <w:pBdr>
        <w:left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91">
    <w:name w:val="xl91"/>
    <w:basedOn w:val="Normal"/>
    <w:qFormat/>
    <w:rsid w:val="00F715D0"/>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92">
    <w:name w:val="xl92"/>
    <w:basedOn w:val="Normal"/>
    <w:qFormat/>
    <w:rsid w:val="00F715D0"/>
    <w:pPr>
      <w:pBdr>
        <w:top w:val="single" w:sz="8" w:space="0" w:color="auto"/>
        <w:left w:val="single" w:sz="4" w:space="0" w:color="auto"/>
        <w:right w:val="single" w:sz="4" w:space="0" w:color="auto"/>
      </w:pBdr>
      <w:shd w:val="clear" w:color="000000" w:fill="8EA9DB"/>
      <w:spacing w:before="100" w:beforeAutospacing="1" w:after="100" w:afterAutospacing="1"/>
    </w:pPr>
    <w:rPr>
      <w:rFonts w:ascii="SimSun" w:eastAsia="SimSun" w:hAnsi="SimSun" w:cs="SimSun"/>
      <w:sz w:val="16"/>
      <w:szCs w:val="16"/>
      <w:lang w:val="en-US" w:eastAsia="zh-CN"/>
    </w:rPr>
  </w:style>
  <w:style w:type="paragraph" w:customStyle="1" w:styleId="xl93">
    <w:name w:val="xl93"/>
    <w:basedOn w:val="Normal"/>
    <w:qFormat/>
    <w:rsid w:val="00F715D0"/>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94">
    <w:name w:val="xl94"/>
    <w:basedOn w:val="Normal"/>
    <w:qFormat/>
    <w:rsid w:val="00F715D0"/>
    <w:pPr>
      <w:pBdr>
        <w:top w:val="single" w:sz="8" w:space="0" w:color="auto"/>
        <w:left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95">
    <w:name w:val="xl95"/>
    <w:basedOn w:val="Normal"/>
    <w:qFormat/>
    <w:rsid w:val="00F715D0"/>
    <w:pPr>
      <w:pBdr>
        <w:top w:val="single" w:sz="4" w:space="0" w:color="auto"/>
        <w:left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96">
    <w:name w:val="xl96"/>
    <w:basedOn w:val="Normal"/>
    <w:qFormat/>
    <w:rsid w:val="00F715D0"/>
    <w:pPr>
      <w:pBdr>
        <w:top w:val="single" w:sz="4" w:space="0" w:color="auto"/>
        <w:left w:val="single" w:sz="8" w:space="0" w:color="auto"/>
        <w:bottom w:val="single" w:sz="8"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97">
    <w:name w:val="xl97"/>
    <w:basedOn w:val="Normal"/>
    <w:qFormat/>
    <w:rsid w:val="00F715D0"/>
    <w:pPr>
      <w:pBdr>
        <w:top w:val="single" w:sz="8"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98">
    <w:name w:val="xl98"/>
    <w:basedOn w:val="Normal"/>
    <w:qFormat/>
    <w:rsid w:val="00F715D0"/>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99">
    <w:name w:val="xl99"/>
    <w:basedOn w:val="Normal"/>
    <w:qFormat/>
    <w:rsid w:val="00F715D0"/>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00">
    <w:name w:val="xl100"/>
    <w:basedOn w:val="Normal"/>
    <w:qFormat/>
    <w:rsid w:val="00F715D0"/>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01">
    <w:name w:val="xl101"/>
    <w:basedOn w:val="Normal"/>
    <w:qFormat/>
    <w:rsid w:val="00F715D0"/>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pPr>
    <w:rPr>
      <w:rFonts w:ascii="SimSun" w:eastAsia="SimSun" w:hAnsi="SimSun" w:cs="SimSun"/>
      <w:sz w:val="16"/>
      <w:szCs w:val="16"/>
      <w:lang w:val="en-US" w:eastAsia="zh-CN"/>
    </w:rPr>
  </w:style>
  <w:style w:type="paragraph" w:customStyle="1" w:styleId="xl102">
    <w:name w:val="xl102"/>
    <w:basedOn w:val="Normal"/>
    <w:qFormat/>
    <w:rsid w:val="00F715D0"/>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pPr>
    <w:rPr>
      <w:rFonts w:ascii="SimSun" w:eastAsia="SimSun" w:hAnsi="SimSun" w:cs="SimSun"/>
      <w:sz w:val="16"/>
      <w:szCs w:val="16"/>
      <w:lang w:val="en-US" w:eastAsia="zh-CN"/>
    </w:rPr>
  </w:style>
  <w:style w:type="paragraph" w:customStyle="1" w:styleId="xl103">
    <w:name w:val="xl103"/>
    <w:basedOn w:val="Normal"/>
    <w:qFormat/>
    <w:rsid w:val="00F715D0"/>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04">
    <w:name w:val="xl104"/>
    <w:basedOn w:val="Normal"/>
    <w:qFormat/>
    <w:rsid w:val="00F715D0"/>
    <w:pPr>
      <w:pBdr>
        <w:top w:val="single" w:sz="8" w:space="0" w:color="auto"/>
        <w:left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05">
    <w:name w:val="xl105"/>
    <w:basedOn w:val="Normal"/>
    <w:qFormat/>
    <w:rsid w:val="00F715D0"/>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06">
    <w:name w:val="xl106"/>
    <w:basedOn w:val="Normal"/>
    <w:qFormat/>
    <w:rsid w:val="00F715D0"/>
    <w:pPr>
      <w:pBdr>
        <w:top w:val="single" w:sz="8" w:space="0" w:color="auto"/>
        <w:left w:val="single" w:sz="4" w:space="0" w:color="auto"/>
        <w:right w:val="single" w:sz="4" w:space="0" w:color="auto"/>
      </w:pBdr>
      <w:shd w:val="clear" w:color="000000" w:fill="D9E1F2"/>
      <w:spacing w:before="100" w:beforeAutospacing="1" w:after="100" w:afterAutospacing="1"/>
    </w:pPr>
    <w:rPr>
      <w:rFonts w:ascii="SimSun" w:eastAsia="SimSun" w:hAnsi="SimSun" w:cs="SimSun"/>
      <w:sz w:val="16"/>
      <w:szCs w:val="16"/>
      <w:lang w:val="en-US" w:eastAsia="zh-CN"/>
    </w:rPr>
  </w:style>
  <w:style w:type="paragraph" w:customStyle="1" w:styleId="xl107">
    <w:name w:val="xl107"/>
    <w:basedOn w:val="Normal"/>
    <w:qFormat/>
    <w:rsid w:val="00F715D0"/>
    <w:pPr>
      <w:pBdr>
        <w:left w:val="single" w:sz="4" w:space="0" w:color="auto"/>
        <w:right w:val="single" w:sz="4" w:space="0" w:color="auto"/>
      </w:pBdr>
      <w:shd w:val="clear" w:color="000000" w:fill="D9E1F2"/>
      <w:spacing w:before="100" w:beforeAutospacing="1" w:after="100" w:afterAutospacing="1"/>
    </w:pPr>
    <w:rPr>
      <w:rFonts w:ascii="SimSun" w:eastAsia="SimSun" w:hAnsi="SimSun" w:cs="SimSun"/>
      <w:sz w:val="16"/>
      <w:szCs w:val="16"/>
      <w:lang w:val="en-US" w:eastAsia="zh-CN"/>
    </w:rPr>
  </w:style>
  <w:style w:type="paragraph" w:customStyle="1" w:styleId="xl108">
    <w:name w:val="xl108"/>
    <w:basedOn w:val="Normal"/>
    <w:qFormat/>
    <w:rsid w:val="00F715D0"/>
    <w:pPr>
      <w:pBdr>
        <w:top w:val="single" w:sz="8" w:space="0" w:color="auto"/>
        <w:left w:val="single" w:sz="8" w:space="0" w:color="auto"/>
        <w:bottom w:val="single" w:sz="8" w:space="0" w:color="auto"/>
        <w:right w:val="double" w:sz="6"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109">
    <w:name w:val="xl109"/>
    <w:basedOn w:val="Normal"/>
    <w:rsid w:val="00F715D0"/>
    <w:pPr>
      <w:pBdr>
        <w:top w:val="single" w:sz="4"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110">
    <w:name w:val="xl110"/>
    <w:basedOn w:val="Normal"/>
    <w:rsid w:val="00F715D0"/>
    <w:pPr>
      <w:pBdr>
        <w:top w:val="single" w:sz="4" w:space="0" w:color="auto"/>
        <w:bottom w:val="single" w:sz="8"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111">
    <w:name w:val="xl111"/>
    <w:basedOn w:val="Normal"/>
    <w:rsid w:val="00F715D0"/>
    <w:pPr>
      <w:pBdr>
        <w:top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112">
    <w:name w:val="xl112"/>
    <w:basedOn w:val="Normal"/>
    <w:rsid w:val="00F715D0"/>
    <w:pPr>
      <w:pBdr>
        <w:top w:val="single" w:sz="8"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13">
    <w:name w:val="xl113"/>
    <w:basedOn w:val="Normal"/>
    <w:rsid w:val="00F715D0"/>
    <w:pPr>
      <w:pBdr>
        <w:top w:val="single" w:sz="4"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14">
    <w:name w:val="xl114"/>
    <w:basedOn w:val="Normal"/>
    <w:rsid w:val="00F715D0"/>
    <w:pPr>
      <w:pBdr>
        <w:top w:val="single" w:sz="4" w:space="0" w:color="auto"/>
        <w:left w:val="single" w:sz="4" w:space="0" w:color="auto"/>
        <w:bottom w:val="single" w:sz="8" w:space="0" w:color="auto"/>
        <w:right w:val="double" w:sz="6"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15">
    <w:name w:val="xl115"/>
    <w:basedOn w:val="Normal"/>
    <w:rsid w:val="00F715D0"/>
    <w:pPr>
      <w:pBdr>
        <w:top w:val="single" w:sz="8"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16">
    <w:name w:val="xl116"/>
    <w:basedOn w:val="Normal"/>
    <w:rsid w:val="00F715D0"/>
    <w:pPr>
      <w:pBdr>
        <w:top w:val="single" w:sz="4"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17">
    <w:name w:val="xl117"/>
    <w:basedOn w:val="Normal"/>
    <w:rsid w:val="00F715D0"/>
    <w:pPr>
      <w:pBdr>
        <w:top w:val="single" w:sz="4" w:space="0" w:color="auto"/>
        <w:left w:val="single" w:sz="4" w:space="0" w:color="auto"/>
        <w:bottom w:val="single" w:sz="8" w:space="0" w:color="auto"/>
        <w:right w:val="double" w:sz="6"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character" w:customStyle="1" w:styleId="MTEquationSection">
    <w:name w:val="MTEquationSection"/>
    <w:qFormat/>
    <w:rsid w:val="00F715D0"/>
    <w:rPr>
      <w:rFonts w:ascii="Arial" w:hAnsi="Arial"/>
      <w:vanish w:val="0"/>
      <w:color w:val="FF0000"/>
      <w:sz w:val="24"/>
    </w:rPr>
  </w:style>
  <w:style w:type="paragraph" w:customStyle="1" w:styleId="Bulletedo1">
    <w:name w:val="Bulleted o 1"/>
    <w:basedOn w:val="Normal"/>
    <w:qFormat/>
    <w:rsid w:val="00F715D0"/>
    <w:pPr>
      <w:numPr>
        <w:numId w:val="44"/>
      </w:numPr>
      <w:overflowPunct w:val="0"/>
      <w:autoSpaceDE w:val="0"/>
      <w:autoSpaceDN w:val="0"/>
      <w:adjustRightInd w:val="0"/>
      <w:spacing w:after="180"/>
      <w:textAlignment w:val="baseline"/>
    </w:pPr>
    <w:rPr>
      <w:rFonts w:ascii="Times New Roman" w:eastAsia="SimSun" w:hAnsi="Times New Roman"/>
      <w:szCs w:val="20"/>
      <w:lang w:val="en-US"/>
    </w:rPr>
  </w:style>
  <w:style w:type="paragraph" w:customStyle="1" w:styleId="Equation">
    <w:name w:val="Equation"/>
    <w:basedOn w:val="Normal"/>
    <w:next w:val="Normal"/>
    <w:qFormat/>
    <w:rsid w:val="00F715D0"/>
    <w:pPr>
      <w:tabs>
        <w:tab w:val="right" w:pos="10206"/>
      </w:tabs>
      <w:overflowPunct w:val="0"/>
      <w:autoSpaceDE w:val="0"/>
      <w:autoSpaceDN w:val="0"/>
      <w:adjustRightInd w:val="0"/>
      <w:spacing w:after="220"/>
      <w:ind w:left="1298"/>
      <w:textAlignment w:val="baseline"/>
    </w:pPr>
    <w:rPr>
      <w:rFonts w:ascii="Arial" w:eastAsia="SimSun" w:hAnsi="Arial"/>
      <w:sz w:val="22"/>
      <w:szCs w:val="20"/>
      <w:lang w:val="en-US" w:eastAsia="zh-CN"/>
    </w:rPr>
  </w:style>
  <w:style w:type="paragraph" w:customStyle="1" w:styleId="11BodyText">
    <w:name w:val="11 BodyText"/>
    <w:basedOn w:val="Normal"/>
    <w:qFormat/>
    <w:rsid w:val="00F715D0"/>
    <w:pPr>
      <w:overflowPunct w:val="0"/>
      <w:autoSpaceDE w:val="0"/>
      <w:autoSpaceDN w:val="0"/>
      <w:adjustRightInd w:val="0"/>
      <w:spacing w:after="220"/>
      <w:ind w:left="1298"/>
      <w:textAlignment w:val="baseline"/>
    </w:pPr>
    <w:rPr>
      <w:rFonts w:ascii="Arial" w:eastAsia="SimSun" w:hAnsi="Arial"/>
      <w:sz w:val="22"/>
      <w:szCs w:val="20"/>
      <w:lang w:val="en-US"/>
    </w:rPr>
  </w:style>
  <w:style w:type="paragraph" w:customStyle="1" w:styleId="bodyCharCharChar">
    <w:name w:val="body Char Char Char"/>
    <w:basedOn w:val="Normal"/>
    <w:qFormat/>
    <w:rsid w:val="00F715D0"/>
    <w:pPr>
      <w:tabs>
        <w:tab w:val="left" w:pos="2160"/>
      </w:tabs>
      <w:overflowPunct w:val="0"/>
      <w:autoSpaceDE w:val="0"/>
      <w:autoSpaceDN w:val="0"/>
      <w:adjustRightInd w:val="0"/>
      <w:spacing w:before="120" w:after="120" w:line="280" w:lineRule="atLeast"/>
      <w:jc w:val="both"/>
      <w:textAlignment w:val="baseline"/>
    </w:pPr>
    <w:rPr>
      <w:rFonts w:ascii="New York" w:eastAsia="SimSun" w:hAnsi="New York"/>
      <w:sz w:val="24"/>
      <w:szCs w:val="20"/>
      <w:lang w:val="en-US"/>
    </w:rPr>
  </w:style>
  <w:style w:type="paragraph" w:customStyle="1" w:styleId="body">
    <w:name w:val="body"/>
    <w:basedOn w:val="Normal"/>
    <w:link w:val="bodyChar"/>
    <w:qFormat/>
    <w:rsid w:val="00F715D0"/>
    <w:pPr>
      <w:tabs>
        <w:tab w:val="left" w:pos="2160"/>
      </w:tabs>
      <w:overflowPunct w:val="0"/>
      <w:autoSpaceDE w:val="0"/>
      <w:autoSpaceDN w:val="0"/>
      <w:adjustRightInd w:val="0"/>
      <w:spacing w:before="120" w:after="120" w:line="280" w:lineRule="atLeast"/>
      <w:jc w:val="both"/>
      <w:textAlignment w:val="baseline"/>
    </w:pPr>
    <w:rPr>
      <w:rFonts w:ascii="New York" w:eastAsia="SimSun" w:hAnsi="New York"/>
      <w:sz w:val="24"/>
      <w:szCs w:val="20"/>
      <w:lang w:val="en-US"/>
    </w:rPr>
  </w:style>
  <w:style w:type="character" w:customStyle="1" w:styleId="CharChar3">
    <w:name w:val="Char Char3"/>
    <w:qFormat/>
    <w:rsid w:val="00F715D0"/>
    <w:rPr>
      <w:rFonts w:ascii="Arial" w:hAnsi="Arial"/>
      <w:sz w:val="36"/>
      <w:lang w:val="en-GB" w:eastAsia="en-US" w:bidi="ar-SA"/>
    </w:rPr>
  </w:style>
  <w:style w:type="character" w:customStyle="1" w:styleId="CharChar2">
    <w:name w:val="Char Char2"/>
    <w:qFormat/>
    <w:rsid w:val="00F715D0"/>
    <w:rPr>
      <w:rFonts w:ascii="Arial" w:hAnsi="Arial"/>
      <w:sz w:val="32"/>
      <w:lang w:val="en-GB" w:eastAsia="en-US" w:bidi="ar-SA"/>
    </w:rPr>
  </w:style>
  <w:style w:type="character" w:customStyle="1" w:styleId="CharChar1">
    <w:name w:val="Char Char1"/>
    <w:qFormat/>
    <w:rsid w:val="00F715D0"/>
    <w:rPr>
      <w:rFonts w:ascii="Arial" w:hAnsi="Arial"/>
      <w:sz w:val="28"/>
      <w:lang w:val="en-GB" w:eastAsia="en-US" w:bidi="ar-SA"/>
    </w:rPr>
  </w:style>
  <w:style w:type="character" w:customStyle="1" w:styleId="CharChar">
    <w:name w:val="Char Char"/>
    <w:qFormat/>
    <w:rsid w:val="00F715D0"/>
    <w:rPr>
      <w:rFonts w:ascii="Arial" w:hAnsi="Arial"/>
      <w:sz w:val="22"/>
      <w:lang w:val="en-GB" w:eastAsia="en-US" w:bidi="ar-SA"/>
    </w:rPr>
  </w:style>
  <w:style w:type="table" w:styleId="DarkList-Accent6">
    <w:name w:val="Dark List Accent 6"/>
    <w:basedOn w:val="TableNormal"/>
    <w:uiPriority w:val="70"/>
    <w:qFormat/>
    <w:rsid w:val="00F715D0"/>
    <w:rPr>
      <w:rFonts w:ascii="CG Times (WN)" w:eastAsia="SimSu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paragraph" w:customStyle="1" w:styleId="af0">
    <w:name w:val="テキスト"/>
    <w:basedOn w:val="Normal"/>
    <w:link w:val="af1"/>
    <w:qFormat/>
    <w:rsid w:val="00F715D0"/>
    <w:pPr>
      <w:widowControl w:val="0"/>
      <w:spacing w:afterLines="50" w:after="200" w:line="320" w:lineRule="exact"/>
      <w:ind w:firstLineChars="100" w:firstLine="210"/>
      <w:jc w:val="both"/>
    </w:pPr>
    <w:rPr>
      <w:rFonts w:ascii="Century" w:eastAsia="MS Mincho" w:hAnsi="Century"/>
      <w:kern w:val="2"/>
      <w:sz w:val="21"/>
      <w:szCs w:val="22"/>
      <w:lang w:eastAsia="ja-JP"/>
    </w:rPr>
  </w:style>
  <w:style w:type="character" w:customStyle="1" w:styleId="af1">
    <w:name w:val="テキスト (文字)"/>
    <w:link w:val="af0"/>
    <w:rsid w:val="00F715D0"/>
    <w:rPr>
      <w:rFonts w:ascii="Century" w:eastAsia="MS Mincho" w:hAnsi="Century"/>
      <w:kern w:val="2"/>
      <w:sz w:val="21"/>
      <w:szCs w:val="22"/>
      <w:lang w:eastAsia="ja-JP"/>
    </w:rPr>
  </w:style>
  <w:style w:type="character" w:customStyle="1" w:styleId="TFZchn">
    <w:name w:val="TF Zchn"/>
    <w:link w:val="TF"/>
    <w:locked/>
    <w:rsid w:val="00F715D0"/>
    <w:rPr>
      <w:rFonts w:ascii="Arial" w:eastAsia="MS Mincho" w:hAnsi="Arial"/>
      <w:b/>
      <w:lang w:eastAsia="ja-JP"/>
    </w:rPr>
  </w:style>
  <w:style w:type="paragraph" w:styleId="TOCHeading">
    <w:name w:val="TOC Heading"/>
    <w:basedOn w:val="Heading1"/>
    <w:next w:val="Normal"/>
    <w:uiPriority w:val="39"/>
    <w:unhideWhenUsed/>
    <w:qFormat/>
    <w:rsid w:val="00F715D0"/>
    <w:pPr>
      <w:keepLines/>
      <w:numPr>
        <w:numId w:val="0"/>
      </w:numPr>
      <w:spacing w:after="0" w:line="259" w:lineRule="auto"/>
      <w:outlineLvl w:val="9"/>
    </w:pPr>
    <w:rPr>
      <w:rFonts w:ascii="Calibri Light" w:eastAsia="Times New Roman" w:hAnsi="Calibri Light" w:cs="Times New Roman"/>
      <w:b w:val="0"/>
      <w:bCs w:val="0"/>
      <w:color w:val="2F5496"/>
      <w:kern w:val="0"/>
      <w:lang w:val="en-US"/>
    </w:rPr>
  </w:style>
  <w:style w:type="paragraph" w:customStyle="1" w:styleId="bullet10">
    <w:name w:val="bullet1"/>
    <w:basedOn w:val="text0"/>
    <w:link w:val="bullet1Char"/>
    <w:qFormat/>
    <w:rsid w:val="00F715D0"/>
    <w:pPr>
      <w:widowControl/>
      <w:overflowPunct/>
      <w:autoSpaceDE/>
      <w:autoSpaceDN/>
      <w:adjustRightInd/>
      <w:spacing w:after="0"/>
      <w:ind w:left="720" w:hanging="360"/>
      <w:jc w:val="left"/>
      <w:textAlignment w:val="auto"/>
    </w:pPr>
    <w:rPr>
      <w:rFonts w:ascii="Calibri" w:eastAsia="SimSun" w:hAnsi="Calibri"/>
      <w:kern w:val="2"/>
      <w:szCs w:val="24"/>
      <w:lang w:val="en-GB" w:eastAsia="zh-CN"/>
    </w:rPr>
  </w:style>
  <w:style w:type="character" w:customStyle="1" w:styleId="textChar0">
    <w:name w:val="text Char"/>
    <w:link w:val="text0"/>
    <w:qFormat/>
    <w:rsid w:val="00F715D0"/>
    <w:rPr>
      <w:rFonts w:eastAsia="Times New Roman"/>
      <w:sz w:val="24"/>
      <w:lang w:val="en-AU"/>
    </w:rPr>
  </w:style>
  <w:style w:type="character" w:customStyle="1" w:styleId="bullet1Char">
    <w:name w:val="bullet1 Char"/>
    <w:link w:val="bullet10"/>
    <w:qFormat/>
    <w:rsid w:val="00F715D0"/>
    <w:rPr>
      <w:rFonts w:ascii="Calibri" w:eastAsia="SimSun" w:hAnsi="Calibri"/>
      <w:kern w:val="2"/>
      <w:sz w:val="24"/>
      <w:szCs w:val="24"/>
      <w:lang w:eastAsia="zh-CN"/>
    </w:rPr>
  </w:style>
  <w:style w:type="paragraph" w:customStyle="1" w:styleId="tdoc">
    <w:name w:val="tdoc"/>
    <w:basedOn w:val="Normal"/>
    <w:link w:val="tdocChar"/>
    <w:qFormat/>
    <w:rsid w:val="00F715D0"/>
    <w:pPr>
      <w:ind w:left="1440" w:hanging="1440"/>
    </w:pPr>
  </w:style>
  <w:style w:type="character" w:customStyle="1" w:styleId="tdocChar">
    <w:name w:val="tdoc Char"/>
    <w:link w:val="tdoc"/>
    <w:qFormat/>
    <w:rsid w:val="00F715D0"/>
    <w:rPr>
      <w:rFonts w:ascii="Times" w:hAnsi="Times"/>
      <w:szCs w:val="24"/>
      <w:lang w:eastAsia="en-US"/>
    </w:rPr>
  </w:style>
  <w:style w:type="character" w:customStyle="1" w:styleId="bullet3Char">
    <w:name w:val="bullet3 Char"/>
    <w:link w:val="bullet3"/>
    <w:rsid w:val="00F715D0"/>
    <w:rPr>
      <w:rFonts w:ascii="Times" w:hAnsi="Times"/>
      <w:szCs w:val="24"/>
      <w:lang w:eastAsia="en-US"/>
    </w:rPr>
  </w:style>
  <w:style w:type="paragraph" w:customStyle="1" w:styleId="gmail-msolistparagraph">
    <w:name w:val="gmail-msolistparagraph"/>
    <w:basedOn w:val="Normal"/>
    <w:uiPriority w:val="99"/>
    <w:rsid w:val="00F715D0"/>
    <w:pPr>
      <w:spacing w:before="75" w:after="75"/>
    </w:pPr>
    <w:rPr>
      <w:rFonts w:ascii="Malgun Gothic" w:eastAsia="Malgun Gothic" w:hAnsi="Malgun Gothic" w:cs="Calibri"/>
      <w:szCs w:val="20"/>
      <w:lang w:val="sv-SE" w:eastAsia="sv-SE"/>
    </w:rPr>
  </w:style>
  <w:style w:type="paragraph" w:customStyle="1" w:styleId="gmail-b2">
    <w:name w:val="gmail-b2"/>
    <w:basedOn w:val="Normal"/>
    <w:uiPriority w:val="99"/>
    <w:semiHidden/>
    <w:rsid w:val="00F715D0"/>
    <w:pPr>
      <w:spacing w:before="75" w:after="75"/>
    </w:pPr>
    <w:rPr>
      <w:rFonts w:ascii="Malgun Gothic" w:eastAsia="Malgun Gothic" w:hAnsi="Malgun Gothic" w:cs="Calibri"/>
      <w:szCs w:val="20"/>
      <w:lang w:val="sv-SE" w:eastAsia="sv-SE"/>
    </w:rPr>
  </w:style>
  <w:style w:type="character" w:customStyle="1" w:styleId="onecomwebmail-spelle">
    <w:name w:val="onecomwebmail-spelle"/>
    <w:rsid w:val="00F715D0"/>
  </w:style>
  <w:style w:type="paragraph" w:customStyle="1" w:styleId="onecomwebmail-msolistparagraph">
    <w:name w:val="onecomwebmail-msolistparagraph"/>
    <w:basedOn w:val="Normal"/>
    <w:rsid w:val="00F715D0"/>
    <w:pPr>
      <w:spacing w:before="100" w:beforeAutospacing="1" w:after="100" w:afterAutospacing="1"/>
    </w:pPr>
    <w:rPr>
      <w:rFonts w:ascii="Times New Roman" w:eastAsia="Times New Roman" w:hAnsi="Times New Roman"/>
      <w:sz w:val="24"/>
      <w:lang w:val="sv-SE" w:eastAsia="sv-SE"/>
    </w:rPr>
  </w:style>
  <w:style w:type="paragraph" w:customStyle="1" w:styleId="onecomwebmail-tah">
    <w:name w:val="onecomwebmail-tah"/>
    <w:basedOn w:val="Normal"/>
    <w:rsid w:val="00F715D0"/>
    <w:pPr>
      <w:spacing w:before="100" w:beforeAutospacing="1" w:after="100" w:afterAutospacing="1"/>
    </w:pPr>
    <w:rPr>
      <w:rFonts w:ascii="Times New Roman" w:eastAsia="Times New Roman" w:hAnsi="Times New Roman"/>
      <w:sz w:val="24"/>
      <w:lang w:val="sv-SE" w:eastAsia="sv-SE"/>
    </w:rPr>
  </w:style>
  <w:style w:type="paragraph" w:customStyle="1" w:styleId="onecomwebmail-tac">
    <w:name w:val="onecomwebmail-tac"/>
    <w:basedOn w:val="Normal"/>
    <w:rsid w:val="00F715D0"/>
    <w:pPr>
      <w:spacing w:before="100" w:beforeAutospacing="1" w:after="100" w:afterAutospacing="1"/>
    </w:pPr>
    <w:rPr>
      <w:rFonts w:ascii="Times New Roman" w:eastAsia="Times New Roman" w:hAnsi="Times New Roman"/>
      <w:sz w:val="24"/>
      <w:lang w:val="sv-SE" w:eastAsia="sv-SE"/>
    </w:rPr>
  </w:style>
  <w:style w:type="character" w:customStyle="1" w:styleId="onecomwebmail-font">
    <w:name w:val="onecomwebmail-font"/>
    <w:rsid w:val="00F715D0"/>
  </w:style>
  <w:style w:type="character" w:customStyle="1" w:styleId="onecomwebmail-size">
    <w:name w:val="onecomwebmail-size"/>
    <w:rsid w:val="00F715D0"/>
  </w:style>
  <w:style w:type="table" w:customStyle="1" w:styleId="GridTable4-Accent511">
    <w:name w:val="Grid Table 4 - Accent 511"/>
    <w:basedOn w:val="TableNormal"/>
    <w:next w:val="GridTable4-Accent5"/>
    <w:uiPriority w:val="49"/>
    <w:qFormat/>
    <w:rsid w:val="004C70A4"/>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customStyle="1" w:styleId="CharChar1CharCharCharCharCharCharCharCharCharCharCharCharCharCharChar4">
    <w:name w:val="Char Char1 Char Char Char Char Char Char Char Char Char Char Char Char Char Char Char4"/>
    <w:semiHidden/>
    <w:rsid w:val="006B4D00"/>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af2">
    <w:name w:val="未解決のメンション"/>
    <w:uiPriority w:val="99"/>
    <w:semiHidden/>
    <w:unhideWhenUsed/>
    <w:rsid w:val="006B4D00"/>
    <w:rPr>
      <w:color w:val="808080"/>
      <w:shd w:val="clear" w:color="auto" w:fill="E6E6E6"/>
    </w:rPr>
  </w:style>
  <w:style w:type="character" w:customStyle="1" w:styleId="51">
    <w:name w:val="(文字) (文字)51"/>
    <w:semiHidden/>
    <w:rsid w:val="006B4D00"/>
    <w:rPr>
      <w:rFonts w:ascii="Times New Roman" w:hAnsi="Times New Roman"/>
      <w:lang w:eastAsia="en-US"/>
    </w:rPr>
  </w:style>
  <w:style w:type="table" w:customStyle="1" w:styleId="TableGrid10">
    <w:name w:val="Table Grid1"/>
    <w:basedOn w:val="TableNormal"/>
    <w:next w:val="TableGrid"/>
    <w:uiPriority w:val="39"/>
    <w:qFormat/>
    <w:rsid w:val="006B4D00"/>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olorfulList-Accent12">
    <w:name w:val="Colorful List - Accent 12"/>
    <w:basedOn w:val="TableNormal"/>
    <w:next w:val="ColorfulList-Accent1"/>
    <w:uiPriority w:val="34"/>
    <w:rsid w:val="006B4D00"/>
    <w:rPr>
      <w:rFonts w:eastAsia="MS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customStyle="1" w:styleId="rProposal">
    <w:name w:val="rProposal"/>
    <w:basedOn w:val="Normal"/>
    <w:next w:val="Normal"/>
    <w:link w:val="rProposalChar"/>
    <w:qFormat/>
    <w:rsid w:val="006B4D00"/>
    <w:pPr>
      <w:spacing w:before="120" w:after="120"/>
      <w:ind w:leftChars="213" w:left="1275" w:hanging="849"/>
      <w:jc w:val="both"/>
    </w:pPr>
    <w:rPr>
      <w:rFonts w:ascii="Times New Roman" w:eastAsia="Malgun Gothic" w:hAnsi="Times New Roman"/>
      <w:i/>
      <w:kern w:val="2"/>
      <w:sz w:val="22"/>
      <w:szCs w:val="22"/>
      <w:lang w:val="en-US" w:eastAsia="ko-KR"/>
    </w:rPr>
  </w:style>
  <w:style w:type="character" w:customStyle="1" w:styleId="rProposalChar">
    <w:name w:val="rProposal Char"/>
    <w:link w:val="rProposal"/>
    <w:rsid w:val="006B4D00"/>
    <w:rPr>
      <w:rFonts w:eastAsia="Malgun Gothic"/>
      <w:i/>
      <w:kern w:val="2"/>
      <w:sz w:val="22"/>
      <w:szCs w:val="22"/>
      <w:lang w:val="en-US" w:eastAsia="ko-KR"/>
    </w:rPr>
  </w:style>
  <w:style w:type="character" w:customStyle="1" w:styleId="af3">
    <w:name w:val="メンション"/>
    <w:uiPriority w:val="99"/>
    <w:semiHidden/>
    <w:unhideWhenUsed/>
    <w:rsid w:val="006B4D00"/>
    <w:rPr>
      <w:color w:val="2B579A"/>
      <w:shd w:val="clear" w:color="auto" w:fill="E6E6E6"/>
    </w:rPr>
  </w:style>
  <w:style w:type="paragraph" w:customStyle="1" w:styleId="Proposalsub">
    <w:name w:val="Proposal_sub"/>
    <w:basedOn w:val="Normal"/>
    <w:link w:val="ProposalsubChar"/>
    <w:qFormat/>
    <w:rsid w:val="006B4D00"/>
    <w:pPr>
      <w:numPr>
        <w:numId w:val="45"/>
      </w:numPr>
      <w:spacing w:before="120" w:after="120"/>
      <w:ind w:left="1167" w:hanging="283"/>
      <w:jc w:val="both"/>
    </w:pPr>
    <w:rPr>
      <w:rFonts w:ascii="Times New Roman" w:eastAsia="Malgun Gothic" w:hAnsi="Times New Roman"/>
      <w:kern w:val="2"/>
      <w:szCs w:val="22"/>
      <w:lang w:val="en-US" w:eastAsia="ko-KR"/>
    </w:rPr>
  </w:style>
  <w:style w:type="paragraph" w:customStyle="1" w:styleId="Proposalsubsub">
    <w:name w:val="Proposal_sub_sub"/>
    <w:basedOn w:val="Normal"/>
    <w:link w:val="ProposalsubsubChar"/>
    <w:qFormat/>
    <w:rsid w:val="006B4D00"/>
    <w:pPr>
      <w:numPr>
        <w:ilvl w:val="1"/>
        <w:numId w:val="45"/>
      </w:numPr>
      <w:spacing w:before="120" w:after="120"/>
      <w:ind w:left="1593"/>
      <w:jc w:val="both"/>
    </w:pPr>
    <w:rPr>
      <w:rFonts w:ascii="Times New Roman" w:eastAsia="Malgun Gothic" w:hAnsi="Times New Roman"/>
      <w:kern w:val="2"/>
      <w:szCs w:val="22"/>
      <w:lang w:val="en-US" w:eastAsia="ko-KR"/>
    </w:rPr>
  </w:style>
  <w:style w:type="paragraph" w:customStyle="1" w:styleId="rProposalsub">
    <w:name w:val="rProposal_sub"/>
    <w:basedOn w:val="Normal"/>
    <w:next w:val="Normal"/>
    <w:link w:val="rProposalsubChar"/>
    <w:qFormat/>
    <w:rsid w:val="006B4D00"/>
    <w:pPr>
      <w:numPr>
        <w:numId w:val="4"/>
      </w:numPr>
      <w:spacing w:before="120" w:after="120"/>
      <w:jc w:val="both"/>
    </w:pPr>
    <w:rPr>
      <w:rFonts w:ascii="Times New Roman" w:eastAsia="Malgun Gothic" w:hAnsi="Times New Roman"/>
      <w:i/>
      <w:kern w:val="2"/>
      <w:sz w:val="22"/>
      <w:szCs w:val="22"/>
      <w:lang w:val="en-US" w:eastAsia="ko-KR"/>
    </w:rPr>
  </w:style>
  <w:style w:type="table" w:customStyle="1" w:styleId="GridTable4-Accent52">
    <w:name w:val="Grid Table 4 - Accent 52"/>
    <w:basedOn w:val="TableNormal"/>
    <w:next w:val="GridTable4-Accent5"/>
    <w:uiPriority w:val="49"/>
    <w:rsid w:val="006B4D00"/>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431">
    <w:name w:val="Table Grid431"/>
    <w:basedOn w:val="TableNormal"/>
    <w:next w:val="TableGrid"/>
    <w:qFormat/>
    <w:rsid w:val="004C70A4"/>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rProposalsubChar">
    <w:name w:val="rProposal_sub Char"/>
    <w:link w:val="rProposalsub"/>
    <w:rsid w:val="006B4D00"/>
    <w:rPr>
      <w:rFonts w:eastAsia="Malgun Gothic"/>
      <w:i/>
      <w:kern w:val="2"/>
      <w:sz w:val="22"/>
      <w:szCs w:val="22"/>
      <w:lang w:val="en-US" w:eastAsia="ko-KR"/>
    </w:rPr>
  </w:style>
  <w:style w:type="paragraph" w:customStyle="1" w:styleId="14">
    <w:name w:val="列出段落1"/>
    <w:basedOn w:val="Normal"/>
    <w:uiPriority w:val="34"/>
    <w:qFormat/>
    <w:rsid w:val="00C95926"/>
    <w:pPr>
      <w:spacing w:line="259" w:lineRule="auto"/>
      <w:ind w:firstLineChars="200" w:firstLine="420"/>
    </w:pPr>
    <w:rPr>
      <w:rFonts w:ascii="SimSun" w:eastAsia="SimSun" w:hAnsi="SimSun"/>
      <w:sz w:val="24"/>
      <w:lang w:val="en-US"/>
    </w:rPr>
  </w:style>
  <w:style w:type="paragraph" w:customStyle="1" w:styleId="ParagraphNumbering">
    <w:name w:val="Paragraph Numbering"/>
    <w:basedOn w:val="Normal"/>
    <w:rsid w:val="00C95926"/>
    <w:pPr>
      <w:numPr>
        <w:numId w:val="46"/>
      </w:numPr>
      <w:tabs>
        <w:tab w:val="left" w:pos="851"/>
      </w:tabs>
      <w:spacing w:line="360" w:lineRule="auto"/>
    </w:pPr>
    <w:rPr>
      <w:rFonts w:ascii="Arial" w:eastAsia="MS Mincho" w:hAnsi="Arial" w:cs="MS PGothic"/>
      <w:sz w:val="22"/>
      <w:szCs w:val="22"/>
      <w:lang w:val="en-US" w:eastAsia="ja-JP"/>
    </w:rPr>
  </w:style>
  <w:style w:type="paragraph" w:customStyle="1" w:styleId="CharChar1CharCharCharCharCharCharCharCharCharCharCharCharCharCharChar40">
    <w:name w:val="Char Char1 Char Char Char Char Char Char Char Char Char Char Char Char Char Char Char40"/>
    <w:semiHidden/>
    <w:rsid w:val="000F713F"/>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35">
    <w:name w:val="(文字) (文字)535"/>
    <w:semiHidden/>
    <w:rsid w:val="000F713F"/>
    <w:rPr>
      <w:rFonts w:ascii="Times New Roman" w:hAnsi="Times New Roman"/>
      <w:lang w:eastAsia="en-US"/>
    </w:rPr>
  </w:style>
  <w:style w:type="character" w:customStyle="1" w:styleId="CaptionEquationChar">
    <w:name w:val="Caption Equation Char"/>
    <w:aliases w:val="Caption Char1 Char2,Caption Char Char Char2,Caption Char1 Char Char1,Caption Char2 Char1,Caption Char Char Char Char1,Caption Char Char1 Char1,fig and tbl Char1,fighead2 Char1,Table Caption Char1,topic Char,cap Char3,cap Char Char2"/>
    <w:uiPriority w:val="35"/>
    <w:qFormat/>
    <w:rsid w:val="000F713F"/>
    <w:rPr>
      <w:rFonts w:ascii="Times New Roman" w:eastAsia="PMingLiU" w:hAnsi="Times New Roman" w:cs="Times New Roman"/>
      <w:b/>
      <w:bCs/>
      <w:kern w:val="2"/>
      <w:sz w:val="20"/>
      <w:szCs w:val="20"/>
      <w:lang w:eastAsia="zh-CN"/>
    </w:rPr>
  </w:style>
  <w:style w:type="table" w:customStyle="1" w:styleId="ColorfulList-Accent13">
    <w:name w:val="Colorful List - Accent 13"/>
    <w:basedOn w:val="TableNormal"/>
    <w:next w:val="ColorfulList-Accent1"/>
    <w:uiPriority w:val="34"/>
    <w:rsid w:val="000F713F"/>
    <w:rPr>
      <w:rFonts w:eastAsia="MS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
    <w:name w:val="Grid Table 4 - Accent 53"/>
    <w:basedOn w:val="TableNormal"/>
    <w:next w:val="GridTable4-Accent5"/>
    <w:uiPriority w:val="49"/>
    <w:rsid w:val="000F713F"/>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NOChar1">
    <w:name w:val="NO Char1"/>
    <w:qFormat/>
    <w:rsid w:val="000F713F"/>
    <w:rPr>
      <w:sz w:val="24"/>
      <w:lang w:eastAsia="en-US"/>
    </w:rPr>
  </w:style>
  <w:style w:type="character" w:customStyle="1" w:styleId="CommentaireCar">
    <w:name w:val="Commentaire Car"/>
    <w:rsid w:val="000F713F"/>
    <w:rPr>
      <w:sz w:val="20"/>
      <w:szCs w:val="20"/>
    </w:rPr>
  </w:style>
  <w:style w:type="character" w:customStyle="1" w:styleId="citationref">
    <w:name w:val="citationref"/>
    <w:rsid w:val="000F713F"/>
  </w:style>
  <w:style w:type="character" w:customStyle="1" w:styleId="mw-mmv-title">
    <w:name w:val="mw-mmv-title"/>
    <w:rsid w:val="000F713F"/>
  </w:style>
  <w:style w:type="character" w:customStyle="1" w:styleId="legend-color">
    <w:name w:val="legend-color"/>
    <w:rsid w:val="000F713F"/>
  </w:style>
  <w:style w:type="paragraph" w:customStyle="1" w:styleId="Equationlegend">
    <w:name w:val="Equation_legend"/>
    <w:basedOn w:val="NormalIndent"/>
    <w:link w:val="EquationlegendChar"/>
    <w:rsid w:val="000F713F"/>
    <w:pPr>
      <w:widowControl/>
      <w:tabs>
        <w:tab w:val="right" w:pos="1701"/>
        <w:tab w:val="left" w:pos="1985"/>
      </w:tabs>
      <w:overflowPunct w:val="0"/>
      <w:autoSpaceDE w:val="0"/>
      <w:autoSpaceDN w:val="0"/>
      <w:adjustRightInd w:val="0"/>
      <w:spacing w:before="80"/>
      <w:ind w:left="1985" w:hanging="1985"/>
      <w:textAlignment w:val="baseline"/>
    </w:pPr>
    <w:rPr>
      <w:rFonts w:eastAsia="Times New Roman"/>
      <w:kern w:val="0"/>
      <w:sz w:val="24"/>
      <w:lang w:eastAsia="en-US"/>
    </w:rPr>
  </w:style>
  <w:style w:type="character" w:customStyle="1" w:styleId="EquationlegendChar">
    <w:name w:val="Equation_legend Char"/>
    <w:link w:val="Equationlegend"/>
    <w:locked/>
    <w:rsid w:val="000F713F"/>
    <w:rPr>
      <w:rFonts w:eastAsia="Times New Roman"/>
      <w:sz w:val="24"/>
      <w:lang w:val="en-US" w:eastAsia="en-US"/>
    </w:rPr>
  </w:style>
  <w:style w:type="paragraph" w:customStyle="1" w:styleId="CharChar1CharCharCharCharCharCharCharCharCharCharCharCharCharCharChar39">
    <w:name w:val="Char Char1 Char Char Char Char Char Char Char Char Char Char Char Char Char Char Char39"/>
    <w:semiHidden/>
    <w:rsid w:val="00966D15"/>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34">
    <w:name w:val="(文字) (文字)534"/>
    <w:semiHidden/>
    <w:rsid w:val="00966D15"/>
    <w:rPr>
      <w:rFonts w:ascii="Times New Roman" w:hAnsi="Times New Roman"/>
      <w:lang w:eastAsia="en-US"/>
    </w:rPr>
  </w:style>
  <w:style w:type="table" w:customStyle="1" w:styleId="ColorfulList-Accent14">
    <w:name w:val="Colorful List - Accent 14"/>
    <w:basedOn w:val="TableNormal"/>
    <w:next w:val="ColorfulList-Accent1"/>
    <w:uiPriority w:val="34"/>
    <w:rsid w:val="00966D15"/>
    <w:rPr>
      <w:rFonts w:eastAsia="MS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4">
    <w:name w:val="Grid Table 4 - Accent 54"/>
    <w:basedOn w:val="TableNormal"/>
    <w:next w:val="GridTable4-Accent5"/>
    <w:uiPriority w:val="49"/>
    <w:rsid w:val="00966D15"/>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customStyle="1" w:styleId="CharChar1CharCharCharCharCharCharCharCharCharCharCharCharCharCharChar38">
    <w:name w:val="Char Char1 Char Char Char Char Char Char Char Char Char Char Char Char Char Char Char38"/>
    <w:semiHidden/>
    <w:rsid w:val="006D7D75"/>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33">
    <w:name w:val="(文字) (文字)533"/>
    <w:semiHidden/>
    <w:rsid w:val="006D7D75"/>
    <w:rPr>
      <w:rFonts w:ascii="Times New Roman" w:hAnsi="Times New Roman"/>
      <w:lang w:eastAsia="en-US"/>
    </w:rPr>
  </w:style>
  <w:style w:type="table" w:customStyle="1" w:styleId="ColorfulList-Accent15">
    <w:name w:val="Colorful List - Accent 15"/>
    <w:basedOn w:val="TableNormal"/>
    <w:next w:val="ColorfulList-Accent1"/>
    <w:uiPriority w:val="34"/>
    <w:rsid w:val="006D7D75"/>
    <w:rPr>
      <w:rFonts w:eastAsia="MS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customStyle="1" w:styleId="15">
    <w:name w:val="访问过的超链接1"/>
    <w:rsid w:val="006D7D75"/>
    <w:rPr>
      <w:color w:val="800080"/>
      <w:kern w:val="2"/>
      <w:u w:val="single"/>
      <w:lang w:val="en-GB" w:eastAsia="zh-CN" w:bidi="ar-SA"/>
    </w:rPr>
  </w:style>
  <w:style w:type="paragraph" w:customStyle="1" w:styleId="16">
    <w:name w:val="1"/>
    <w:next w:val="Normal"/>
    <w:rsid w:val="006D7D75"/>
    <w:pPr>
      <w:keepNext/>
      <w:tabs>
        <w:tab w:val="num" w:pos="720"/>
      </w:tabs>
      <w:autoSpaceDE w:val="0"/>
      <w:autoSpaceDN w:val="0"/>
      <w:adjustRightInd w:val="0"/>
      <w:ind w:left="720" w:hanging="360"/>
      <w:jc w:val="both"/>
    </w:pPr>
    <w:rPr>
      <w:rFonts w:eastAsia="Times New Roman"/>
      <w:kern w:val="2"/>
      <w:lang w:eastAsia="zh-CN"/>
    </w:rPr>
  </w:style>
  <w:style w:type="table" w:customStyle="1" w:styleId="GridTable4-Accent55">
    <w:name w:val="Grid Table 4 - Accent 55"/>
    <w:basedOn w:val="TableNormal"/>
    <w:next w:val="GridTable4-Accent5"/>
    <w:uiPriority w:val="49"/>
    <w:rsid w:val="006D7D75"/>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customStyle="1" w:styleId="Eqn">
    <w:name w:val="Eqn"/>
    <w:basedOn w:val="Normal"/>
    <w:qFormat/>
    <w:rsid w:val="006D7D75"/>
    <w:pPr>
      <w:tabs>
        <w:tab w:val="center" w:pos="4608"/>
        <w:tab w:val="right" w:pos="9216"/>
      </w:tabs>
      <w:autoSpaceDE w:val="0"/>
      <w:autoSpaceDN w:val="0"/>
      <w:adjustRightInd w:val="0"/>
      <w:snapToGrid w:val="0"/>
      <w:spacing w:after="120"/>
      <w:jc w:val="both"/>
    </w:pPr>
    <w:rPr>
      <w:rFonts w:ascii="Times New Roman" w:eastAsia="SimSun" w:hAnsi="Times New Roman"/>
      <w:sz w:val="22"/>
      <w:szCs w:val="22"/>
      <w:lang w:val="en-US" w:eastAsia="ja-JP"/>
    </w:rPr>
  </w:style>
  <w:style w:type="paragraph" w:customStyle="1" w:styleId="tablecol">
    <w:name w:val="tablecol"/>
    <w:basedOn w:val="tablecell0"/>
    <w:qFormat/>
    <w:rsid w:val="006D7D75"/>
    <w:pPr>
      <w:spacing w:before="20" w:after="20"/>
      <w:jc w:val="center"/>
    </w:pPr>
    <w:rPr>
      <w:b/>
      <w:sz w:val="22"/>
      <w:szCs w:val="22"/>
    </w:rPr>
  </w:style>
  <w:style w:type="paragraph" w:customStyle="1" w:styleId="ydp76149c4fyiv9573453272msolistparagraph">
    <w:name w:val="ydp76149c4fyiv9573453272msolistparagraph"/>
    <w:basedOn w:val="Normal"/>
    <w:uiPriority w:val="99"/>
    <w:rsid w:val="006D7D75"/>
    <w:pPr>
      <w:spacing w:before="100" w:beforeAutospacing="1" w:after="100" w:afterAutospacing="1"/>
    </w:pPr>
    <w:rPr>
      <w:rFonts w:ascii="Times New Roman" w:eastAsia="Calibri" w:hAnsi="Times New Roman"/>
      <w:sz w:val="24"/>
      <w:lang w:val="en-US"/>
    </w:rPr>
  </w:style>
  <w:style w:type="character" w:customStyle="1" w:styleId="MTConvertedEquation">
    <w:name w:val="MTConvertedEquation"/>
    <w:rsid w:val="006D7D75"/>
    <w:rPr>
      <w:lang w:eastAsia="zh-CN"/>
    </w:rPr>
  </w:style>
  <w:style w:type="character" w:customStyle="1" w:styleId="gmail-il">
    <w:name w:val="gmail-il"/>
    <w:rsid w:val="006D7D75"/>
  </w:style>
  <w:style w:type="paragraph" w:customStyle="1" w:styleId="gmail-m-6486197391449858303msolistparagraph">
    <w:name w:val="gmail-m-6486197391449858303msolistparagraph"/>
    <w:basedOn w:val="Normal"/>
    <w:rsid w:val="006D7D75"/>
    <w:pPr>
      <w:spacing w:before="100" w:beforeAutospacing="1" w:after="100" w:afterAutospacing="1"/>
    </w:pPr>
    <w:rPr>
      <w:rFonts w:ascii="Times New Roman" w:eastAsia="Times New Roman" w:hAnsi="Times New Roman"/>
      <w:sz w:val="24"/>
      <w:lang w:val="en-US" w:eastAsia="zh-CN"/>
    </w:rPr>
  </w:style>
  <w:style w:type="character" w:customStyle="1" w:styleId="af4">
    <w:name w:val="上角标"/>
    <w:rsid w:val="006D7D75"/>
    <w:rPr>
      <w:vertAlign w:val="superscript"/>
    </w:rPr>
  </w:style>
  <w:style w:type="character" w:customStyle="1" w:styleId="af5">
    <w:name w:val="下角标"/>
    <w:rsid w:val="006D7D75"/>
    <w:rPr>
      <w:vertAlign w:val="subscript"/>
    </w:rPr>
  </w:style>
  <w:style w:type="character" w:customStyle="1" w:styleId="af6">
    <w:name w:val="正文字符"/>
    <w:rsid w:val="006D7D75"/>
    <w:rPr>
      <w:rFonts w:ascii="Times New Roman" w:eastAsia="SimSun" w:hAnsi="Times New Roman"/>
      <w:spacing w:val="6"/>
      <w:position w:val="0"/>
      <w:sz w:val="26"/>
    </w:rPr>
  </w:style>
  <w:style w:type="paragraph" w:customStyle="1" w:styleId="22">
    <w:name w:val="标题2"/>
    <w:basedOn w:val="Normal"/>
    <w:rsid w:val="006D7D75"/>
    <w:pPr>
      <w:widowControl w:val="0"/>
      <w:autoSpaceDE w:val="0"/>
      <w:autoSpaceDN w:val="0"/>
      <w:adjustRightInd w:val="0"/>
      <w:spacing w:line="360" w:lineRule="auto"/>
    </w:pPr>
    <w:rPr>
      <w:rFonts w:ascii="SimSun" w:eastAsia="SimSun" w:hAnsi="Times New Roman"/>
      <w:sz w:val="24"/>
      <w:szCs w:val="20"/>
      <w:lang w:val="en-US" w:eastAsia="zh-CN"/>
    </w:rPr>
  </w:style>
  <w:style w:type="paragraph" w:customStyle="1" w:styleId="af7">
    <w:name w:val="缺省文本"/>
    <w:basedOn w:val="Normal"/>
    <w:link w:val="Char2"/>
    <w:rsid w:val="006D7D75"/>
    <w:pPr>
      <w:widowControl w:val="0"/>
      <w:autoSpaceDE w:val="0"/>
      <w:autoSpaceDN w:val="0"/>
      <w:adjustRightInd w:val="0"/>
      <w:spacing w:line="360" w:lineRule="auto"/>
    </w:pPr>
    <w:rPr>
      <w:rFonts w:ascii="Times New Roman" w:eastAsia="SimSun" w:hAnsi="Times New Roman"/>
      <w:sz w:val="21"/>
      <w:szCs w:val="20"/>
      <w:lang w:val="en-US" w:eastAsia="zh-CN"/>
    </w:rPr>
  </w:style>
  <w:style w:type="character" w:customStyle="1" w:styleId="Char2">
    <w:name w:val="缺省文本 Char"/>
    <w:link w:val="af7"/>
    <w:rsid w:val="006D7D75"/>
    <w:rPr>
      <w:rFonts w:eastAsia="SimSun"/>
      <w:sz w:val="21"/>
      <w:lang w:val="en-US" w:eastAsia="zh-CN"/>
    </w:rPr>
  </w:style>
  <w:style w:type="paragraph" w:customStyle="1" w:styleId="af8">
    <w:name w:val="编写建议"/>
    <w:basedOn w:val="Normal"/>
    <w:rsid w:val="006D7D75"/>
    <w:pPr>
      <w:widowControl w:val="0"/>
      <w:autoSpaceDE w:val="0"/>
      <w:autoSpaceDN w:val="0"/>
      <w:adjustRightInd w:val="0"/>
      <w:spacing w:line="360" w:lineRule="auto"/>
      <w:ind w:left="1134"/>
      <w:jc w:val="both"/>
    </w:pPr>
    <w:rPr>
      <w:rFonts w:ascii="Times New Roman" w:eastAsia="SimSun" w:hAnsi="Times New Roman"/>
      <w:i/>
      <w:color w:val="0000FF"/>
      <w:sz w:val="21"/>
      <w:szCs w:val="20"/>
      <w:lang w:val="en-US" w:eastAsia="zh-CN"/>
    </w:rPr>
  </w:style>
  <w:style w:type="paragraph" w:customStyle="1" w:styleId="af9">
    <w:name w:val="样式 编写建议"/>
    <w:basedOn w:val="Normal"/>
    <w:next w:val="BodyTextFirstIndent"/>
    <w:autoRedefine/>
    <w:rsid w:val="006D7D75"/>
    <w:pPr>
      <w:widowControl w:val="0"/>
      <w:autoSpaceDE w:val="0"/>
      <w:autoSpaceDN w:val="0"/>
      <w:adjustRightInd w:val="0"/>
      <w:spacing w:line="360" w:lineRule="auto"/>
      <w:jc w:val="both"/>
    </w:pPr>
    <w:rPr>
      <w:rFonts w:ascii="Times New Roman" w:eastAsia="KaiTi_GB2312" w:hAnsi="Times New Roman"/>
      <w:iCs/>
      <w:color w:val="000000"/>
      <w:sz w:val="21"/>
      <w:szCs w:val="20"/>
      <w:lang w:val="en-US" w:eastAsia="zh-CN"/>
    </w:rPr>
  </w:style>
  <w:style w:type="paragraph" w:styleId="BodyTextFirstIndent">
    <w:name w:val="Body Text First Indent"/>
    <w:basedOn w:val="BodyText"/>
    <w:link w:val="BodyTextFirstIndentChar"/>
    <w:rsid w:val="006D7D75"/>
    <w:pPr>
      <w:widowControl w:val="0"/>
      <w:adjustRightInd w:val="0"/>
      <w:spacing w:line="460" w:lineRule="exact"/>
      <w:ind w:firstLineChars="100" w:firstLine="420"/>
      <w:jc w:val="left"/>
      <w:textAlignment w:val="baseline"/>
    </w:pPr>
    <w:rPr>
      <w:rFonts w:ascii="Times New Roman" w:eastAsia="KaiTi" w:hAnsi="Times New Roman"/>
      <w:kern w:val="28"/>
      <w:sz w:val="28"/>
      <w:szCs w:val="20"/>
      <w:lang w:val="en-US" w:eastAsia="zh-CN"/>
    </w:rPr>
  </w:style>
  <w:style w:type="character" w:customStyle="1" w:styleId="BodyTextFirstIndentChar">
    <w:name w:val="Body Text First Indent Char"/>
    <w:basedOn w:val="BodyTextChar"/>
    <w:link w:val="BodyTextFirstIndent"/>
    <w:rsid w:val="006D7D75"/>
    <w:rPr>
      <w:rFonts w:ascii="Times" w:eastAsia="KaiTi" w:hAnsi="Times"/>
      <w:kern w:val="28"/>
      <w:sz w:val="28"/>
      <w:szCs w:val="24"/>
      <w:lang w:val="en-US" w:eastAsia="zh-CN"/>
    </w:rPr>
  </w:style>
  <w:style w:type="paragraph" w:customStyle="1" w:styleId="ParaCharCharCharCharCharCharCharCharCharChar">
    <w:name w:val="默认段落字体 Para Char Char Char Char Char Char Char Char Char Char"/>
    <w:basedOn w:val="DocumentMap"/>
    <w:autoRedefine/>
    <w:rsid w:val="006D7D75"/>
    <w:pPr>
      <w:widowControl w:val="0"/>
      <w:adjustRightInd w:val="0"/>
      <w:spacing w:line="436" w:lineRule="exact"/>
      <w:ind w:left="357"/>
      <w:outlineLvl w:val="3"/>
    </w:pPr>
    <w:rPr>
      <w:rFonts w:ascii="Arial" w:eastAsia="SimHei" w:hAnsi="Arial" w:cs="Arial"/>
      <w:snapToGrid w:val="0"/>
      <w:sz w:val="21"/>
      <w:szCs w:val="21"/>
      <w:lang w:val="en-US" w:eastAsia="zh-CN"/>
    </w:rPr>
  </w:style>
  <w:style w:type="paragraph" w:customStyle="1" w:styleId="afa">
    <w:name w:val="È±Ê¡ÎÄ±¾"/>
    <w:basedOn w:val="Normal"/>
    <w:rsid w:val="006D7D75"/>
    <w:pPr>
      <w:overflowPunct w:val="0"/>
      <w:autoSpaceDE w:val="0"/>
      <w:autoSpaceDN w:val="0"/>
      <w:adjustRightInd w:val="0"/>
      <w:textAlignment w:val="baseline"/>
    </w:pPr>
    <w:rPr>
      <w:rFonts w:ascii="Times New Roman" w:eastAsia="SimSun" w:hAnsi="Times New Roman"/>
      <w:sz w:val="24"/>
      <w:szCs w:val="20"/>
      <w:lang w:val="en-US" w:eastAsia="zh-CN"/>
    </w:rPr>
  </w:style>
  <w:style w:type="paragraph" w:customStyle="1" w:styleId="ParaChar">
    <w:name w:val="默认段落字体 Para Char"/>
    <w:basedOn w:val="Normal"/>
    <w:rsid w:val="006D7D75"/>
    <w:pPr>
      <w:keepNext/>
      <w:widowControl w:val="0"/>
      <w:autoSpaceDE w:val="0"/>
      <w:autoSpaceDN w:val="0"/>
      <w:adjustRightInd w:val="0"/>
    </w:pPr>
    <w:rPr>
      <w:rFonts w:ascii="Times New Roman" w:eastAsia="SimSun" w:hAnsi="Times New Roman"/>
      <w:szCs w:val="20"/>
      <w:lang w:val="en-US" w:eastAsia="zh-CN"/>
    </w:rPr>
  </w:style>
  <w:style w:type="paragraph" w:customStyle="1" w:styleId="Char10">
    <w:name w:val="Char1"/>
    <w:basedOn w:val="Normal"/>
    <w:rsid w:val="006D7D75"/>
    <w:pPr>
      <w:spacing w:after="160" w:line="240" w:lineRule="exact"/>
    </w:pPr>
    <w:rPr>
      <w:rFonts w:ascii="Verdana" w:eastAsia="SimSun" w:hAnsi="Verdana"/>
      <w:szCs w:val="20"/>
      <w:lang w:val="en-US"/>
    </w:rPr>
  </w:style>
  <w:style w:type="paragraph" w:customStyle="1" w:styleId="a">
    <w:name w:val="图号"/>
    <w:basedOn w:val="Normal"/>
    <w:rsid w:val="006D7D75"/>
    <w:pPr>
      <w:widowControl w:val="0"/>
      <w:numPr>
        <w:numId w:val="47"/>
      </w:numPr>
      <w:tabs>
        <w:tab w:val="clear" w:pos="720"/>
      </w:tabs>
      <w:autoSpaceDE w:val="0"/>
      <w:autoSpaceDN w:val="0"/>
      <w:adjustRightInd w:val="0"/>
      <w:spacing w:before="105" w:line="360" w:lineRule="auto"/>
      <w:ind w:left="420" w:hanging="420"/>
      <w:jc w:val="center"/>
    </w:pPr>
    <w:rPr>
      <w:rFonts w:ascii="Times New Roman" w:eastAsia="SimSun" w:hAnsi="Times New Roman"/>
      <w:sz w:val="21"/>
      <w:szCs w:val="21"/>
      <w:lang w:val="en-US" w:eastAsia="zh-CN"/>
    </w:rPr>
  </w:style>
  <w:style w:type="paragraph" w:customStyle="1" w:styleId="30">
    <w:name w:val="标题3"/>
    <w:basedOn w:val="Normal"/>
    <w:rsid w:val="006D7D75"/>
    <w:pPr>
      <w:widowControl w:val="0"/>
      <w:autoSpaceDE w:val="0"/>
      <w:autoSpaceDN w:val="0"/>
      <w:adjustRightInd w:val="0"/>
      <w:spacing w:line="360" w:lineRule="auto"/>
      <w:ind w:left="1134"/>
      <w:jc w:val="both"/>
    </w:pPr>
    <w:rPr>
      <w:rFonts w:ascii="Times New Roman" w:eastAsia="SimSun" w:hAnsi="Times New Roman"/>
      <w:i/>
      <w:color w:val="0000FF"/>
      <w:sz w:val="21"/>
      <w:szCs w:val="20"/>
      <w:u w:color="EEECE1"/>
      <w:lang w:val="en-US" w:eastAsia="zh-CN"/>
    </w:rPr>
  </w:style>
  <w:style w:type="table" w:customStyle="1" w:styleId="110">
    <w:name w:val="网格型11"/>
    <w:basedOn w:val="TableNormal"/>
    <w:next w:val="TableGrid"/>
    <w:rsid w:val="006D7D75"/>
    <w:pPr>
      <w:widowControl w:val="0"/>
      <w:jc w:val="both"/>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b">
    <w:name w:val="表头文本"/>
    <w:rsid w:val="006D7D75"/>
    <w:pPr>
      <w:jc w:val="center"/>
    </w:pPr>
    <w:rPr>
      <w:rFonts w:ascii="Arial" w:eastAsia="SimSun" w:hAnsi="Arial"/>
      <w:b/>
      <w:color w:val="1F497D"/>
      <w:sz w:val="21"/>
      <w:szCs w:val="21"/>
      <w:u w:color="EEECE1"/>
      <w:lang w:val="en-US" w:eastAsia="zh-CN"/>
    </w:rPr>
  </w:style>
  <w:style w:type="paragraph" w:customStyle="1" w:styleId="GB2312242">
    <w:name w:val="楷体_GB2312 （正文）四号 行距: 固定值 24 磅 首行缩进:  2 字符"/>
    <w:basedOn w:val="Normal"/>
    <w:qFormat/>
    <w:rsid w:val="006D7D75"/>
    <w:pPr>
      <w:widowControl w:val="0"/>
      <w:spacing w:line="480" w:lineRule="exact"/>
      <w:ind w:firstLineChars="200" w:firstLine="560"/>
      <w:jc w:val="both"/>
    </w:pPr>
    <w:rPr>
      <w:rFonts w:ascii="KaiTi_GB2312" w:eastAsia="KaiTi_GB2312" w:hAnsi="KaiTi_GB2312" w:cs="SimSun"/>
      <w:color w:val="000000"/>
      <w:kern w:val="2"/>
      <w:sz w:val="28"/>
      <w:szCs w:val="20"/>
      <w:u w:color="EEECE1"/>
      <w:lang w:val="en-US" w:eastAsia="zh-CN"/>
    </w:rPr>
  </w:style>
  <w:style w:type="paragraph" w:customStyle="1" w:styleId="afc">
    <w:name w:val="表头样式"/>
    <w:basedOn w:val="Normal"/>
    <w:rsid w:val="006D7D75"/>
    <w:pPr>
      <w:keepNext/>
      <w:autoSpaceDE w:val="0"/>
      <w:autoSpaceDN w:val="0"/>
      <w:adjustRightInd w:val="0"/>
      <w:spacing w:line="360" w:lineRule="auto"/>
      <w:jc w:val="center"/>
    </w:pPr>
    <w:rPr>
      <w:rFonts w:ascii="Arial" w:eastAsia="SimSun" w:hAnsi="Arial"/>
      <w:b/>
      <w:sz w:val="21"/>
      <w:szCs w:val="21"/>
      <w:u w:color="EEECE1"/>
      <w:lang w:val="en-US" w:eastAsia="zh-CN"/>
    </w:rPr>
  </w:style>
  <w:style w:type="table" w:customStyle="1" w:styleId="17">
    <w:name w:val="网格型浅色1"/>
    <w:basedOn w:val="TableNormal"/>
    <w:next w:val="TableGridLight1"/>
    <w:uiPriority w:val="40"/>
    <w:rsid w:val="006D7D75"/>
    <w:rPr>
      <w:rFonts w:eastAsia="SimSu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TableGridLight11">
    <w:name w:val="Table Grid Light11"/>
    <w:basedOn w:val="TableNormal"/>
    <w:uiPriority w:val="40"/>
    <w:rsid w:val="006D7D75"/>
    <w:rPr>
      <w:rFonts w:eastAsia="SimSu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paragraph" w:customStyle="1" w:styleId="810">
    <w:name w:val="目录 81"/>
    <w:basedOn w:val="TOC1"/>
    <w:next w:val="TOC8"/>
    <w:uiPriority w:val="39"/>
    <w:rsid w:val="006D7D75"/>
    <w:pPr>
      <w:keepNext/>
      <w:keepLines/>
      <w:widowControl w:val="0"/>
      <w:tabs>
        <w:tab w:val="right" w:leader="dot" w:pos="9639"/>
      </w:tabs>
      <w:spacing w:before="180" w:after="0"/>
      <w:ind w:left="2693" w:right="425" w:hanging="2693"/>
    </w:pPr>
    <w:rPr>
      <w:rFonts w:ascii="Times New Roman" w:eastAsia="SimSun" w:hAnsi="Times New Roman" w:cs="Times New Roman"/>
      <w:bCs w:val="0"/>
      <w:caps w:val="0"/>
      <w:noProof/>
      <w:sz w:val="22"/>
      <w:u w:color="EEECE1"/>
    </w:rPr>
  </w:style>
  <w:style w:type="paragraph" w:customStyle="1" w:styleId="51a">
    <w:name w:val="目录 51"/>
    <w:basedOn w:val="TOC4"/>
    <w:next w:val="TOC5"/>
    <w:uiPriority w:val="39"/>
    <w:rsid w:val="006D7D75"/>
    <w:pPr>
      <w:keepLines/>
      <w:widowControl w:val="0"/>
      <w:tabs>
        <w:tab w:val="right" w:leader="dot" w:pos="9639"/>
      </w:tabs>
      <w:ind w:left="1701" w:right="425" w:hanging="1701"/>
    </w:pPr>
    <w:rPr>
      <w:rFonts w:ascii="Times New Roman" w:eastAsia="SimSun" w:hAnsi="Times New Roman" w:cs="Times New Roman"/>
      <w:noProof/>
      <w:sz w:val="20"/>
      <w:szCs w:val="20"/>
    </w:rPr>
  </w:style>
  <w:style w:type="paragraph" w:customStyle="1" w:styleId="41">
    <w:name w:val="目录 41"/>
    <w:basedOn w:val="TOC3"/>
    <w:next w:val="TOC4"/>
    <w:uiPriority w:val="39"/>
    <w:rsid w:val="006D7D75"/>
    <w:pPr>
      <w:keepLines/>
      <w:widowControl w:val="0"/>
      <w:tabs>
        <w:tab w:val="right" w:leader="dot" w:pos="9639"/>
      </w:tabs>
      <w:ind w:left="1418" w:right="425" w:hanging="1418"/>
    </w:pPr>
    <w:rPr>
      <w:rFonts w:ascii="Times New Roman" w:eastAsia="SimSun" w:hAnsi="Times New Roman" w:cs="Times New Roman"/>
      <w:i w:val="0"/>
      <w:iCs w:val="0"/>
      <w:noProof/>
      <w:u w:color="EEECE1"/>
    </w:rPr>
  </w:style>
  <w:style w:type="paragraph" w:customStyle="1" w:styleId="610">
    <w:name w:val="目录 61"/>
    <w:basedOn w:val="TOC5"/>
    <w:next w:val="Normal"/>
    <w:uiPriority w:val="39"/>
    <w:rsid w:val="006D7D75"/>
    <w:pPr>
      <w:keepLines/>
      <w:widowControl w:val="0"/>
      <w:tabs>
        <w:tab w:val="right" w:leader="dot" w:pos="9639"/>
      </w:tabs>
      <w:ind w:left="1985" w:right="425" w:hanging="1985"/>
    </w:pPr>
    <w:rPr>
      <w:rFonts w:ascii="Times New Roman" w:eastAsia="SimSun" w:hAnsi="Times New Roman" w:cs="Times New Roman"/>
      <w:noProof/>
      <w:sz w:val="20"/>
      <w:szCs w:val="20"/>
    </w:rPr>
  </w:style>
  <w:style w:type="paragraph" w:customStyle="1" w:styleId="711">
    <w:name w:val="目录 71"/>
    <w:basedOn w:val="TOC6"/>
    <w:next w:val="Normal"/>
    <w:uiPriority w:val="39"/>
    <w:rsid w:val="006D7D75"/>
    <w:pPr>
      <w:keepLines/>
      <w:widowControl w:val="0"/>
      <w:tabs>
        <w:tab w:val="right" w:leader="dot" w:pos="9639"/>
      </w:tabs>
      <w:ind w:left="2268" w:right="425" w:hanging="2268"/>
    </w:pPr>
    <w:rPr>
      <w:rFonts w:ascii="Times New Roman" w:eastAsia="SimSun" w:hAnsi="Times New Roman" w:cs="Times New Roman"/>
      <w:noProof/>
      <w:sz w:val="20"/>
      <w:szCs w:val="20"/>
    </w:rPr>
  </w:style>
  <w:style w:type="table" w:customStyle="1" w:styleId="23">
    <w:name w:val="网格型2"/>
    <w:basedOn w:val="TableNormal"/>
    <w:next w:val="TableGrid"/>
    <w:uiPriority w:val="39"/>
    <w:qFormat/>
    <w:rsid w:val="006D7D75"/>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
    <w:name w:val="网格型3"/>
    <w:basedOn w:val="TableNormal"/>
    <w:next w:val="TableGrid"/>
    <w:uiPriority w:val="39"/>
    <w:rsid w:val="006D7D75"/>
    <w:pPr>
      <w:widowControl w:val="0"/>
      <w:autoSpaceDE w:val="0"/>
      <w:autoSpaceDN w:val="0"/>
      <w:adjustRightInd w:val="0"/>
      <w:spacing w:after="120"/>
      <w:jc w:val="both"/>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
    <w:name w:val="网格型浅色11"/>
    <w:basedOn w:val="TableNormal"/>
    <w:next w:val="TableGridLight1"/>
    <w:uiPriority w:val="40"/>
    <w:rsid w:val="006D7D75"/>
    <w:rPr>
      <w:rFonts w:eastAsia="SimSu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24">
    <w:name w:val="网格型浅色2"/>
    <w:basedOn w:val="TableNormal"/>
    <w:next w:val="TableGridLight1"/>
    <w:uiPriority w:val="40"/>
    <w:rsid w:val="006D7D75"/>
    <w:rPr>
      <w:rFonts w:eastAsia="SimSu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210">
    <w:name w:val="网格型21"/>
    <w:basedOn w:val="TableNormal"/>
    <w:next w:val="TableGrid"/>
    <w:uiPriority w:val="39"/>
    <w:qFormat/>
    <w:rsid w:val="006D7D75"/>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
    <w:name w:val="网格型浅色3"/>
    <w:basedOn w:val="TableNormal"/>
    <w:next w:val="TableGridLight1"/>
    <w:uiPriority w:val="40"/>
    <w:rsid w:val="006D7D75"/>
    <w:rPr>
      <w:rFonts w:ascii="Calibri" w:eastAsia="SimSun" w:hAnsi="Calibri"/>
      <w:kern w:val="2"/>
      <w:sz w:val="21"/>
      <w:szCs w:val="22"/>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paragraph" w:customStyle="1" w:styleId="CharChar1CharCharCharCharCharCharCharCharCharCharCharCharCharCharChar37">
    <w:name w:val="Char Char1 Char Char Char Char Char Char Char Char Char Char Char Char Char Char Char37"/>
    <w:semiHidden/>
    <w:rsid w:val="00046502"/>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32">
    <w:name w:val="(文字) (文字)532"/>
    <w:semiHidden/>
    <w:rsid w:val="00046502"/>
    <w:rPr>
      <w:rFonts w:ascii="Times New Roman" w:hAnsi="Times New Roman"/>
      <w:lang w:eastAsia="en-US"/>
    </w:rPr>
  </w:style>
  <w:style w:type="table" w:customStyle="1" w:styleId="TableGrid20">
    <w:name w:val="Table Grid2"/>
    <w:basedOn w:val="TableNormal"/>
    <w:next w:val="TableGrid"/>
    <w:uiPriority w:val="59"/>
    <w:qFormat/>
    <w:rsid w:val="00C96FF0"/>
    <w:pPr>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10">
    <w:name w:val="_Style 1"/>
    <w:basedOn w:val="Normal"/>
    <w:uiPriority w:val="99"/>
    <w:qFormat/>
    <w:rsid w:val="00DB17E3"/>
    <w:pPr>
      <w:widowControl w:val="0"/>
      <w:overflowPunct w:val="0"/>
      <w:autoSpaceDE w:val="0"/>
      <w:autoSpaceDN w:val="0"/>
      <w:adjustRightInd w:val="0"/>
      <w:ind w:firstLineChars="200" w:firstLine="420"/>
      <w:jc w:val="both"/>
    </w:pPr>
    <w:rPr>
      <w:rFonts w:ascii="Times New Roman" w:eastAsia="SimSun" w:hAnsi="Times New Roman"/>
      <w:kern w:val="2"/>
      <w:sz w:val="21"/>
      <w:lang w:val="en-US"/>
    </w:rPr>
  </w:style>
  <w:style w:type="paragraph" w:customStyle="1" w:styleId="rProposalsubsub">
    <w:name w:val="rProposal_sub_sub"/>
    <w:basedOn w:val="Proposalsubsub"/>
    <w:link w:val="rProposalsubsubChar"/>
    <w:qFormat/>
    <w:rsid w:val="00DB17E3"/>
    <w:pPr>
      <w:tabs>
        <w:tab w:val="left" w:pos="1701"/>
      </w:tabs>
      <w:ind w:left="1985" w:hanging="425"/>
    </w:pPr>
    <w:rPr>
      <w:i/>
      <w:sz w:val="22"/>
    </w:rPr>
  </w:style>
  <w:style w:type="character" w:customStyle="1" w:styleId="rProposalsubsubChar">
    <w:name w:val="rProposal_sub_sub Char"/>
    <w:link w:val="rProposalsubsub"/>
    <w:rsid w:val="00DB17E3"/>
    <w:rPr>
      <w:rFonts w:eastAsia="Malgun Gothic"/>
      <w:i/>
      <w:kern w:val="2"/>
      <w:sz w:val="22"/>
      <w:szCs w:val="22"/>
      <w:lang w:val="en-US" w:eastAsia="ko-KR"/>
    </w:rPr>
  </w:style>
  <w:style w:type="paragraph" w:customStyle="1" w:styleId="CharChar1CharCharCharCharCharCharCharCharCharCharCharCharCharCharChar36">
    <w:name w:val="Char Char1 Char Char Char Char Char Char Char Char Char Char Char Char Char Char Char36"/>
    <w:semiHidden/>
    <w:rsid w:val="00F728D8"/>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31">
    <w:name w:val="(文字) (文字)531"/>
    <w:semiHidden/>
    <w:rsid w:val="00F728D8"/>
    <w:rPr>
      <w:rFonts w:ascii="Times New Roman" w:hAnsi="Times New Roman"/>
      <w:lang w:eastAsia="en-US"/>
    </w:rPr>
  </w:style>
  <w:style w:type="paragraph" w:customStyle="1" w:styleId="33">
    <w:name w:val="목록 단락3"/>
    <w:basedOn w:val="Normal"/>
    <w:uiPriority w:val="34"/>
    <w:qFormat/>
    <w:rsid w:val="00F728D8"/>
    <w:pPr>
      <w:ind w:left="720"/>
      <w:contextualSpacing/>
      <w:jc w:val="both"/>
    </w:pPr>
    <w:rPr>
      <w:rFonts w:ascii="Calibri" w:eastAsia="Malgun Gothic" w:hAnsi="Calibri"/>
      <w:sz w:val="22"/>
      <w:szCs w:val="22"/>
      <w:lang w:val="en-US"/>
    </w:rPr>
  </w:style>
  <w:style w:type="paragraph" w:customStyle="1" w:styleId="reference0">
    <w:name w:val="reference"/>
    <w:basedOn w:val="Normal"/>
    <w:uiPriority w:val="99"/>
    <w:qFormat/>
    <w:rsid w:val="00F728D8"/>
    <w:pPr>
      <w:widowControl w:val="0"/>
      <w:numPr>
        <w:numId w:val="48"/>
      </w:numPr>
      <w:autoSpaceDE w:val="0"/>
      <w:autoSpaceDN w:val="0"/>
      <w:adjustRightInd w:val="0"/>
      <w:spacing w:after="60"/>
      <w:jc w:val="both"/>
    </w:pPr>
    <w:rPr>
      <w:rFonts w:ascii="Calibri" w:eastAsia="Times New Roman" w:hAnsi="Calibri"/>
      <w:sz w:val="22"/>
      <w:szCs w:val="22"/>
      <w:lang w:val="en-US"/>
    </w:rPr>
  </w:style>
  <w:style w:type="paragraph" w:customStyle="1" w:styleId="CharChar1CharCharCharCharCharCharCharCharCharCharCharCharCharCharChar35">
    <w:name w:val="Char Char1 Char Char Char Char Char Char Char Char Char Char Char Char Char Char Char35"/>
    <w:semiHidden/>
    <w:rsid w:val="00E303AE"/>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30">
    <w:name w:val="(文字) (文字)530"/>
    <w:semiHidden/>
    <w:rsid w:val="00E303AE"/>
    <w:rPr>
      <w:rFonts w:ascii="Times New Roman" w:hAnsi="Times New Roman"/>
      <w:lang w:eastAsia="en-US"/>
    </w:rPr>
  </w:style>
  <w:style w:type="table" w:customStyle="1" w:styleId="ColorfulList-Accent16">
    <w:name w:val="Colorful List - Accent 16"/>
    <w:basedOn w:val="TableNormal"/>
    <w:next w:val="ColorfulList-Accent1"/>
    <w:uiPriority w:val="34"/>
    <w:rsid w:val="00E303AE"/>
    <w:rPr>
      <w:rFonts w:eastAsia="MS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6">
    <w:name w:val="Grid Table 4 - Accent 56"/>
    <w:basedOn w:val="TableNormal"/>
    <w:next w:val="GridTable4-Accent5"/>
    <w:uiPriority w:val="49"/>
    <w:rsid w:val="00E303AE"/>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3GPPListofBullets">
    <w:name w:val="3GPP List of Bullets"/>
    <w:rsid w:val="00707265"/>
    <w:pPr>
      <w:numPr>
        <w:numId w:val="49"/>
      </w:numPr>
    </w:pPr>
  </w:style>
  <w:style w:type="paragraph" w:customStyle="1" w:styleId="3GPPText">
    <w:name w:val="3GPP Text"/>
    <w:basedOn w:val="Normal"/>
    <w:link w:val="3GPPTextChar"/>
    <w:qFormat/>
    <w:rsid w:val="00707265"/>
    <w:pPr>
      <w:overflowPunct w:val="0"/>
      <w:autoSpaceDE w:val="0"/>
      <w:autoSpaceDN w:val="0"/>
      <w:adjustRightInd w:val="0"/>
      <w:spacing w:before="120" w:after="180"/>
      <w:jc w:val="both"/>
      <w:textAlignment w:val="baseline"/>
    </w:pPr>
    <w:rPr>
      <w:rFonts w:ascii="Times New Roman" w:eastAsia="Times New Roman" w:hAnsi="Times New Roman"/>
      <w:sz w:val="22"/>
      <w:szCs w:val="20"/>
      <w:lang w:val="en-US" w:eastAsia="en-GB"/>
    </w:rPr>
  </w:style>
  <w:style w:type="character" w:customStyle="1" w:styleId="3GPPTextChar">
    <w:name w:val="3GPP Text Char"/>
    <w:link w:val="3GPPText"/>
    <w:qFormat/>
    <w:rsid w:val="00707265"/>
    <w:rPr>
      <w:rFonts w:eastAsia="Times New Roman"/>
      <w:sz w:val="22"/>
      <w:lang w:val="en-US"/>
    </w:rPr>
  </w:style>
  <w:style w:type="paragraph" w:customStyle="1" w:styleId="3GPPAgreements">
    <w:name w:val="3GPP Agreements"/>
    <w:basedOn w:val="Normal"/>
    <w:link w:val="3GPPAgreementsChar"/>
    <w:qFormat/>
    <w:rsid w:val="00707265"/>
    <w:pPr>
      <w:numPr>
        <w:numId w:val="50"/>
      </w:numPr>
      <w:overflowPunct w:val="0"/>
      <w:autoSpaceDE w:val="0"/>
      <w:autoSpaceDN w:val="0"/>
      <w:adjustRightInd w:val="0"/>
      <w:spacing w:before="60" w:after="60"/>
      <w:jc w:val="both"/>
      <w:textAlignment w:val="baseline"/>
    </w:pPr>
    <w:rPr>
      <w:rFonts w:ascii="Times New Roman" w:eastAsia="Times New Roman" w:hAnsi="Times New Roman"/>
      <w:sz w:val="22"/>
      <w:szCs w:val="20"/>
      <w:lang w:val="en-US" w:eastAsia="zh-CN"/>
    </w:rPr>
  </w:style>
  <w:style w:type="character" w:customStyle="1" w:styleId="3GPPAgreementsChar">
    <w:name w:val="3GPP Agreements Char"/>
    <w:link w:val="3GPPAgreements"/>
    <w:qFormat/>
    <w:rsid w:val="00707265"/>
    <w:rPr>
      <w:rFonts w:eastAsia="Times New Roman"/>
      <w:sz w:val="22"/>
      <w:lang w:val="en-US" w:eastAsia="zh-CN"/>
    </w:rPr>
  </w:style>
  <w:style w:type="paragraph" w:customStyle="1" w:styleId="18">
    <w:name w:val="목록 단락1"/>
    <w:basedOn w:val="Normal"/>
    <w:uiPriority w:val="34"/>
    <w:qFormat/>
    <w:rsid w:val="00345194"/>
    <w:pPr>
      <w:snapToGrid w:val="0"/>
      <w:spacing w:after="100" w:afterAutospacing="1"/>
      <w:ind w:leftChars="400" w:left="400"/>
      <w:jc w:val="both"/>
    </w:pPr>
    <w:rPr>
      <w:rFonts w:ascii="Times New Roman" w:eastAsia="MS Gothic" w:hAnsi="Times New Roman"/>
      <w:sz w:val="24"/>
      <w:szCs w:val="20"/>
      <w:lang w:eastAsia="ja-JP"/>
    </w:rPr>
  </w:style>
  <w:style w:type="paragraph" w:customStyle="1" w:styleId="CharChar1CharCharCharCharCharCharCharCharCharCharCharCharCharCharChar41">
    <w:name w:val="Char Char1 Char Char Char Char Char Char Char Char Char Char Char Char Char Char Char41"/>
    <w:semiHidden/>
    <w:rsid w:val="00982E91"/>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36">
    <w:name w:val="(文字) (文字)536"/>
    <w:semiHidden/>
    <w:rsid w:val="00982E91"/>
    <w:rPr>
      <w:rFonts w:ascii="Times New Roman" w:hAnsi="Times New Roman"/>
      <w:lang w:eastAsia="en-US"/>
    </w:rPr>
  </w:style>
  <w:style w:type="table" w:customStyle="1" w:styleId="ColorfulList-Accent17">
    <w:name w:val="Colorful List - Accent 17"/>
    <w:basedOn w:val="TableNormal"/>
    <w:next w:val="ColorfulList-Accent1"/>
    <w:uiPriority w:val="34"/>
    <w:rsid w:val="00982E91"/>
    <w:rPr>
      <w:rFonts w:eastAsia="MS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TableGrid5">
    <w:name w:val="Table Grid5"/>
    <w:basedOn w:val="TableNormal"/>
    <w:uiPriority w:val="39"/>
    <w:qFormat/>
    <w:rsid w:val="00982E91"/>
    <w:pPr>
      <w:spacing w:after="160" w:line="259" w:lineRule="auto"/>
    </w:pPr>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GridTable4-Accent57">
    <w:name w:val="Grid Table 4 - Accent 57"/>
    <w:basedOn w:val="TableNormal"/>
    <w:next w:val="GridTable4-Accent5"/>
    <w:uiPriority w:val="49"/>
    <w:rsid w:val="00982E91"/>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B3Char2">
    <w:name w:val="B3 Char2"/>
    <w:qFormat/>
    <w:rsid w:val="00982E91"/>
    <w:rPr>
      <w:rFonts w:eastAsia="SimSun"/>
      <w:lang w:val="en-GB" w:eastAsia="en-US"/>
    </w:rPr>
  </w:style>
  <w:style w:type="character" w:customStyle="1" w:styleId="BoldCommentsChar">
    <w:name w:val="Bold Comments Char"/>
    <w:link w:val="BoldComments"/>
    <w:rsid w:val="00982E91"/>
    <w:rPr>
      <w:rFonts w:ascii="Arial" w:eastAsia="MS Mincho" w:hAnsi="Arial"/>
      <w:b/>
      <w:szCs w:val="24"/>
    </w:rPr>
  </w:style>
  <w:style w:type="paragraph" w:customStyle="1" w:styleId="BoldComments">
    <w:name w:val="Bold Comments"/>
    <w:basedOn w:val="Normal"/>
    <w:link w:val="BoldCommentsChar"/>
    <w:qFormat/>
    <w:rsid w:val="00982E91"/>
    <w:pPr>
      <w:spacing w:before="240" w:after="60"/>
      <w:outlineLvl w:val="8"/>
    </w:pPr>
    <w:rPr>
      <w:rFonts w:ascii="Arial" w:eastAsia="MS Mincho" w:hAnsi="Arial"/>
      <w:b/>
      <w:lang w:eastAsia="en-GB"/>
    </w:rPr>
  </w:style>
  <w:style w:type="paragraph" w:customStyle="1" w:styleId="CharChar1CharCharCharCharCharCharCharCharCharCharCharCharCharCharChar44">
    <w:name w:val="Char Char1 Char Char Char Char Char Char Char Char Char Char Char Char Char Char Char44"/>
    <w:semiHidden/>
    <w:rsid w:val="00D41604"/>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39">
    <w:name w:val="(文字) (文字)539"/>
    <w:semiHidden/>
    <w:rsid w:val="00D41604"/>
    <w:rPr>
      <w:rFonts w:ascii="Times New Roman" w:hAnsi="Times New Roman"/>
      <w:lang w:eastAsia="en-US"/>
    </w:rPr>
  </w:style>
  <w:style w:type="table" w:customStyle="1" w:styleId="ColorfulList-Accent18">
    <w:name w:val="Colorful List - Accent 18"/>
    <w:basedOn w:val="TableNormal"/>
    <w:next w:val="ColorfulList-Accent1"/>
    <w:uiPriority w:val="34"/>
    <w:rsid w:val="00D41604"/>
    <w:rPr>
      <w:rFonts w:eastAsia="MS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8">
    <w:name w:val="Grid Table 4 - Accent 58"/>
    <w:basedOn w:val="TableNormal"/>
    <w:next w:val="GridTable4-Accent5"/>
    <w:uiPriority w:val="49"/>
    <w:rsid w:val="00D41604"/>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3GPPListofBullets1">
    <w:name w:val="3GPP List of Bullets1"/>
    <w:rsid w:val="00441FA6"/>
    <w:pPr>
      <w:numPr>
        <w:numId w:val="5"/>
      </w:numPr>
    </w:pPr>
  </w:style>
  <w:style w:type="paragraph" w:customStyle="1" w:styleId="agreement">
    <w:name w:val="agreement"/>
    <w:basedOn w:val="Normal"/>
    <w:rsid w:val="00347CA4"/>
    <w:pPr>
      <w:numPr>
        <w:numId w:val="51"/>
      </w:numPr>
      <w:spacing w:line="240" w:lineRule="exact"/>
    </w:pPr>
    <w:rPr>
      <w:rFonts w:ascii="Times New Roman" w:hAnsi="Times New Roman"/>
      <w:szCs w:val="20"/>
      <w:lang w:val="en-US" w:eastAsia="zh-CN"/>
    </w:rPr>
  </w:style>
  <w:style w:type="numbering" w:customStyle="1" w:styleId="StyleBulletedSymbolsymbolLeft025Hanging02531">
    <w:name w:val="Style Bulleted Symbol (symbol) Left:  0.25&quot; Hanging:  0.25&quot;31"/>
    <w:basedOn w:val="NoList"/>
    <w:rsid w:val="000F59F3"/>
  </w:style>
  <w:style w:type="paragraph" w:customStyle="1" w:styleId="CharChar1CharCharCharCharCharCharCharCharCharCharCharCharCharCharChar43">
    <w:name w:val="Char Char1 Char Char Char Char Char Char Char Char Char Char Char Char Char Char Char43"/>
    <w:semiHidden/>
    <w:rsid w:val="000F59F3"/>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38">
    <w:name w:val="(文字) (文字)538"/>
    <w:semiHidden/>
    <w:rsid w:val="000F59F3"/>
    <w:rPr>
      <w:rFonts w:ascii="Times New Roman" w:hAnsi="Times New Roman"/>
      <w:lang w:eastAsia="en-US"/>
    </w:rPr>
  </w:style>
  <w:style w:type="table" w:customStyle="1" w:styleId="ColorfulList-Accent19">
    <w:name w:val="Colorful List - Accent 19"/>
    <w:basedOn w:val="TableNormal"/>
    <w:next w:val="ColorfulList-Accent1"/>
    <w:uiPriority w:val="34"/>
    <w:rsid w:val="00735CE6"/>
    <w:rPr>
      <w:rFonts w:eastAsia="MS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9">
    <w:name w:val="Grid Table 4 - Accent 59"/>
    <w:basedOn w:val="TableNormal"/>
    <w:next w:val="GridTable4-Accent5"/>
    <w:uiPriority w:val="49"/>
    <w:rsid w:val="00735CE6"/>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12">
    <w:name w:val="Style Bulleted12"/>
    <w:rsid w:val="002476B2"/>
    <w:pPr>
      <w:numPr>
        <w:numId w:val="2"/>
      </w:numPr>
    </w:pPr>
  </w:style>
  <w:style w:type="table" w:customStyle="1" w:styleId="TableGrid30">
    <w:name w:val="Table Grid3"/>
    <w:basedOn w:val="TableNormal"/>
    <w:next w:val="TableGrid"/>
    <w:uiPriority w:val="39"/>
    <w:rsid w:val="00CA6C73"/>
    <w:pPr>
      <w:jc w:val="both"/>
    </w:pPr>
    <w:rPr>
      <w:rFonts w:ascii="Malgun Gothic" w:eastAsia="Malgun Gothic" w:hAnsi="Malgun Gothic"/>
      <w:kern w:val="2"/>
      <w:szCs w:val="22"/>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olorfulList-Accent110">
    <w:name w:val="Colorful List - Accent 110"/>
    <w:basedOn w:val="TableNormal"/>
    <w:next w:val="ColorfulList-Accent1"/>
    <w:uiPriority w:val="34"/>
    <w:rsid w:val="002476B2"/>
    <w:rPr>
      <w:rFonts w:eastAsia="MS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styleId="IntenseEmphasis">
    <w:name w:val="Intense Emphasis"/>
    <w:uiPriority w:val="21"/>
    <w:qFormat/>
    <w:rsid w:val="002476B2"/>
    <w:rPr>
      <w:i/>
      <w:iCs/>
      <w:color w:val="4F81BD"/>
    </w:rPr>
  </w:style>
  <w:style w:type="table" w:customStyle="1" w:styleId="GridTable4-Accent510">
    <w:name w:val="Grid Table 4 - Accent 510"/>
    <w:basedOn w:val="TableNormal"/>
    <w:next w:val="GridTable4-Accent5"/>
    <w:uiPriority w:val="49"/>
    <w:rsid w:val="002476B2"/>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styleId="UnresolvedMention">
    <w:name w:val="Unresolved Mention"/>
    <w:basedOn w:val="DefaultParagraphFont"/>
    <w:uiPriority w:val="99"/>
    <w:unhideWhenUsed/>
    <w:rsid w:val="00A443DC"/>
    <w:rPr>
      <w:color w:val="808080"/>
      <w:shd w:val="clear" w:color="auto" w:fill="E6E6E6"/>
    </w:rPr>
  </w:style>
  <w:style w:type="paragraph" w:customStyle="1" w:styleId="paragraph0">
    <w:name w:val="paragraph"/>
    <w:basedOn w:val="Normal"/>
    <w:uiPriority w:val="99"/>
    <w:qFormat/>
    <w:rsid w:val="002A50C8"/>
    <w:pPr>
      <w:spacing w:line="259" w:lineRule="auto"/>
    </w:pPr>
    <w:rPr>
      <w:rFonts w:asciiTheme="minorHAnsi" w:eastAsia="Times New Roman" w:hAnsiTheme="minorHAnsi" w:cstheme="minorBidi"/>
      <w:sz w:val="24"/>
      <w:lang w:val="en-US"/>
    </w:rPr>
  </w:style>
  <w:style w:type="character" w:customStyle="1" w:styleId="spellingerror">
    <w:name w:val="spellingerror"/>
    <w:basedOn w:val="DefaultParagraphFont"/>
    <w:qFormat/>
    <w:rsid w:val="002A50C8"/>
  </w:style>
  <w:style w:type="character" w:customStyle="1" w:styleId="normaltextrun1">
    <w:name w:val="normaltextrun1"/>
    <w:basedOn w:val="DefaultParagraphFont"/>
    <w:rsid w:val="002A50C8"/>
  </w:style>
  <w:style w:type="character" w:customStyle="1" w:styleId="eop">
    <w:name w:val="eop"/>
    <w:basedOn w:val="DefaultParagraphFont"/>
    <w:qFormat/>
    <w:rsid w:val="002A50C8"/>
  </w:style>
  <w:style w:type="paragraph" w:customStyle="1" w:styleId="CharChar1CharCharCharCharCharCharCharCharCharCharCharCharCharCharChar42">
    <w:name w:val="Char Char1 Char Char Char Char Char Char Char Char Char Char Char Char Char Char Char42"/>
    <w:semiHidden/>
    <w:rsid w:val="00D17621"/>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37">
    <w:name w:val="(文字) (文字)537"/>
    <w:semiHidden/>
    <w:rsid w:val="00D17621"/>
    <w:rPr>
      <w:rFonts w:ascii="Times New Roman" w:hAnsi="Times New Roman"/>
      <w:lang w:eastAsia="en-US"/>
    </w:rPr>
  </w:style>
  <w:style w:type="paragraph" w:customStyle="1" w:styleId="PropObs">
    <w:name w:val="PropObs"/>
    <w:basedOn w:val="Normal"/>
    <w:link w:val="PropObsChar"/>
    <w:qFormat/>
    <w:rsid w:val="00D17621"/>
    <w:pPr>
      <w:numPr>
        <w:numId w:val="52"/>
      </w:numPr>
      <w:ind w:left="1134" w:hanging="1134"/>
      <w:jc w:val="both"/>
    </w:pPr>
    <w:rPr>
      <w:rFonts w:ascii="Calibri" w:eastAsia="MS Mincho" w:hAnsi="Calibri"/>
      <w:b/>
      <w:szCs w:val="20"/>
      <w:lang w:eastAsia="sv-SE"/>
    </w:rPr>
  </w:style>
  <w:style w:type="character" w:customStyle="1" w:styleId="PropObsChar">
    <w:name w:val="PropObs Char"/>
    <w:link w:val="PropObs"/>
    <w:rsid w:val="00D17621"/>
    <w:rPr>
      <w:rFonts w:ascii="Calibri" w:eastAsia="MS Mincho" w:hAnsi="Calibri"/>
      <w:b/>
      <w:lang w:eastAsia="sv-SE"/>
    </w:rPr>
  </w:style>
  <w:style w:type="character" w:styleId="Mention">
    <w:name w:val="Mention"/>
    <w:uiPriority w:val="99"/>
    <w:unhideWhenUsed/>
    <w:rsid w:val="00D17621"/>
    <w:rPr>
      <w:color w:val="2B579A"/>
      <w:shd w:val="clear" w:color="auto" w:fill="E6E6E6"/>
    </w:rPr>
  </w:style>
  <w:style w:type="character" w:customStyle="1" w:styleId="ProposalsubChar">
    <w:name w:val="Proposal_sub Char"/>
    <w:link w:val="Proposalsub"/>
    <w:rsid w:val="00D17621"/>
    <w:rPr>
      <w:rFonts w:eastAsia="Malgun Gothic"/>
      <w:kern w:val="2"/>
      <w:szCs w:val="22"/>
      <w:lang w:val="en-US" w:eastAsia="ko-KR"/>
    </w:rPr>
  </w:style>
  <w:style w:type="character" w:customStyle="1" w:styleId="ProposalsubsubChar">
    <w:name w:val="Proposal_sub_sub Char"/>
    <w:link w:val="Proposalsubsub"/>
    <w:rsid w:val="00D17621"/>
    <w:rPr>
      <w:rFonts w:eastAsia="Malgun Gothic"/>
      <w:kern w:val="2"/>
      <w:szCs w:val="22"/>
      <w:lang w:val="en-US" w:eastAsia="ko-KR"/>
    </w:rPr>
  </w:style>
  <w:style w:type="table" w:styleId="GridTable6Colorful-Accent1">
    <w:name w:val="Grid Table 6 Colorful Accent 1"/>
    <w:basedOn w:val="TableNormal"/>
    <w:uiPriority w:val="51"/>
    <w:rsid w:val="004E34E0"/>
    <w:rPr>
      <w:color w:val="2F5496"/>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bottom w:val="single" w:sz="12" w:space="0" w:color="8EAADB"/>
        </w:tcBorders>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customStyle="1" w:styleId="b100">
    <w:name w:val="b10"/>
    <w:basedOn w:val="Normal"/>
    <w:rsid w:val="00BF2ACD"/>
    <w:pPr>
      <w:spacing w:before="100" w:beforeAutospacing="1" w:after="100" w:afterAutospacing="1"/>
    </w:pPr>
    <w:rPr>
      <w:rFonts w:ascii="Calibri" w:eastAsiaTheme="minorHAnsi" w:hAnsi="Calibri" w:cs="Calibri"/>
      <w:sz w:val="22"/>
      <w:szCs w:val="22"/>
      <w:lang w:eastAsia="en-GB"/>
    </w:rPr>
  </w:style>
  <w:style w:type="paragraph" w:customStyle="1" w:styleId="fp0">
    <w:name w:val="fp"/>
    <w:basedOn w:val="Normal"/>
    <w:rsid w:val="00BF2ACD"/>
    <w:pPr>
      <w:spacing w:before="100" w:beforeAutospacing="1" w:after="100" w:afterAutospacing="1"/>
    </w:pPr>
    <w:rPr>
      <w:rFonts w:ascii="Calibri" w:eastAsiaTheme="minorHAnsi" w:hAnsi="Calibri" w:cs="Calibri"/>
      <w:sz w:val="22"/>
      <w:szCs w:val="22"/>
      <w:lang w:eastAsia="en-GB"/>
    </w:rPr>
  </w:style>
  <w:style w:type="paragraph" w:customStyle="1" w:styleId="25">
    <w:name w:val="正文2"/>
    <w:uiPriority w:val="99"/>
    <w:qFormat/>
    <w:rsid w:val="00092386"/>
    <w:pPr>
      <w:spacing w:before="100" w:beforeAutospacing="1" w:after="100" w:afterAutospacing="1"/>
      <w:ind w:left="720" w:hanging="720"/>
    </w:pPr>
    <w:rPr>
      <w:rFonts w:ascii="Times" w:eastAsia="SimSun" w:hAnsi="Times" w:cs="SimSun"/>
      <w:sz w:val="24"/>
      <w:szCs w:val="24"/>
      <w:lang w:val="en-US" w:eastAsia="zh-CN"/>
    </w:rPr>
  </w:style>
  <w:style w:type="paragraph" w:customStyle="1" w:styleId="CharChar1CharCharCharCharCharCharCharCharCharCharCharCharCharCharChar63">
    <w:name w:val="Char Char1 Char Char Char Char Char Char Char Char Char Char Char Char Char Char Char63"/>
    <w:semiHidden/>
    <w:rsid w:val="001B2ABA"/>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58">
    <w:name w:val="(文字) (文字)558"/>
    <w:semiHidden/>
    <w:rsid w:val="001B2ABA"/>
    <w:rPr>
      <w:rFonts w:ascii="Times New Roman" w:hAnsi="Times New Roman"/>
      <w:lang w:eastAsia="en-US"/>
    </w:rPr>
  </w:style>
  <w:style w:type="character" w:customStyle="1" w:styleId="fontstyle01">
    <w:name w:val="fontstyle01"/>
    <w:basedOn w:val="DefaultParagraphFont"/>
    <w:rsid w:val="001F60F4"/>
    <w:rPr>
      <w:rFonts w:ascii="TimesNewRomanPSMT" w:hAnsi="TimesNewRomanPSMT" w:hint="default"/>
      <w:b w:val="0"/>
      <w:bCs w:val="0"/>
      <w:i w:val="0"/>
      <w:iCs w:val="0"/>
      <w:color w:val="000000"/>
      <w:sz w:val="20"/>
      <w:szCs w:val="20"/>
    </w:rPr>
  </w:style>
  <w:style w:type="character" w:customStyle="1" w:styleId="fontstyle21">
    <w:name w:val="fontstyle21"/>
    <w:basedOn w:val="DefaultParagraphFont"/>
    <w:rsid w:val="001F60F4"/>
    <w:rPr>
      <w:rFonts w:ascii="TimesNewRomanPS-ItalicMT" w:hAnsi="TimesNewRomanPS-ItalicMT" w:hint="default"/>
      <w:b w:val="0"/>
      <w:bCs w:val="0"/>
      <w:i/>
      <w:iCs/>
      <w:color w:val="000000"/>
      <w:sz w:val="20"/>
      <w:szCs w:val="20"/>
    </w:rPr>
  </w:style>
  <w:style w:type="paragraph" w:customStyle="1" w:styleId="CharChar1CharCharCharCharCharCharCharCharCharCharCharCharCharCharChar62">
    <w:name w:val="Char Char1 Char Char Char Char Char Char Char Char Char Char Char Char Char Char Char62"/>
    <w:semiHidden/>
    <w:rsid w:val="002F087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57">
    <w:name w:val="(文字) (文字)557"/>
    <w:semiHidden/>
    <w:rsid w:val="002F087B"/>
    <w:rPr>
      <w:rFonts w:ascii="Times New Roman" w:hAnsi="Times New Roman"/>
      <w:lang w:eastAsia="en-US"/>
    </w:rPr>
  </w:style>
  <w:style w:type="paragraph" w:customStyle="1" w:styleId="CharChar1CharCharCharCharCharCharCharCharCharCharCharCharCharCharChar61">
    <w:name w:val="Char Char1 Char Char Char Char Char Char Char Char Char Char Char Char Char Char Char61"/>
    <w:semiHidden/>
    <w:rsid w:val="00EF6E4F"/>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56">
    <w:name w:val="(文字) (文字)556"/>
    <w:semiHidden/>
    <w:rsid w:val="00EF6E4F"/>
    <w:rPr>
      <w:rFonts w:ascii="Times New Roman" w:hAnsi="Times New Roman"/>
      <w:lang w:eastAsia="en-US"/>
    </w:rPr>
  </w:style>
  <w:style w:type="paragraph" w:customStyle="1" w:styleId="CharChar1CharCharCharCharCharCharCharCharCharCharCharCharCharCharChar60">
    <w:name w:val="Char Char1 Char Char Char Char Char Char Char Char Char Char Char Char Char Char Char60"/>
    <w:semiHidden/>
    <w:rsid w:val="00D16B6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55">
    <w:name w:val="(文字) (文字)555"/>
    <w:semiHidden/>
    <w:rsid w:val="00D16B66"/>
    <w:rPr>
      <w:rFonts w:ascii="Times New Roman" w:hAnsi="Times New Roman"/>
      <w:lang w:eastAsia="en-US"/>
    </w:rPr>
  </w:style>
  <w:style w:type="paragraph" w:customStyle="1" w:styleId="CharChar1CharCharCharCharCharCharCharCharCharCharCharCharCharCharChar59">
    <w:name w:val="Char Char1 Char Char Char Char Char Char Char Char Char Char Char Char Char Char Char59"/>
    <w:semiHidden/>
    <w:rsid w:val="005D1E83"/>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54">
    <w:name w:val="(文字) (文字)554"/>
    <w:semiHidden/>
    <w:rsid w:val="005D1E83"/>
    <w:rPr>
      <w:rFonts w:ascii="Times New Roman" w:hAnsi="Times New Roman"/>
      <w:lang w:eastAsia="en-US"/>
    </w:rPr>
  </w:style>
  <w:style w:type="paragraph" w:customStyle="1" w:styleId="50">
    <w:name w:val="列出段落5"/>
    <w:basedOn w:val="Normal"/>
    <w:uiPriority w:val="99"/>
    <w:qFormat/>
    <w:rsid w:val="005D1E83"/>
    <w:pPr>
      <w:spacing w:beforeLines="50" w:before="50" w:after="120" w:line="276" w:lineRule="auto"/>
      <w:ind w:firstLineChars="200" w:firstLine="420"/>
      <w:jc w:val="both"/>
    </w:pPr>
    <w:rPr>
      <w:rFonts w:ascii="Times New Roman" w:eastAsia="SimSun" w:hAnsi="Times New Roman"/>
      <w:szCs w:val="20"/>
    </w:rPr>
  </w:style>
  <w:style w:type="paragraph" w:customStyle="1" w:styleId="CharChar1CharCharCharCharCharCharCharCharCharCharCharCharCharCharChar58">
    <w:name w:val="Char Char1 Char Char Char Char Char Char Char Char Char Char Char Char Char Char Char58"/>
    <w:semiHidden/>
    <w:rsid w:val="00E079DD"/>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53">
    <w:name w:val="(文字) (文字)553"/>
    <w:semiHidden/>
    <w:rsid w:val="00E079DD"/>
    <w:rPr>
      <w:rFonts w:ascii="Times New Roman" w:hAnsi="Times New Roman"/>
      <w:lang w:eastAsia="en-US"/>
    </w:rPr>
  </w:style>
  <w:style w:type="paragraph" w:customStyle="1" w:styleId="CharChar1CharCharCharCharCharCharCharCharCharCharCharCharCharCharChar57">
    <w:name w:val="Char Char1 Char Char Char Char Char Char Char Char Char Char Char Char Char Char Char57"/>
    <w:semiHidden/>
    <w:rsid w:val="008D1D31"/>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52">
    <w:name w:val="(文字) (文字)552"/>
    <w:semiHidden/>
    <w:rsid w:val="008D1D31"/>
    <w:rPr>
      <w:rFonts w:ascii="Times New Roman" w:hAnsi="Times New Roman"/>
      <w:lang w:eastAsia="en-US"/>
    </w:rPr>
  </w:style>
  <w:style w:type="character" w:customStyle="1" w:styleId="normaltextrun">
    <w:name w:val="normaltextrun"/>
    <w:basedOn w:val="DefaultParagraphFont"/>
    <w:qFormat/>
    <w:rsid w:val="009D173F"/>
  </w:style>
  <w:style w:type="paragraph" w:customStyle="1" w:styleId="CharChar1CharCharCharCharCharCharCharCharCharCharCharCharCharCharChar56">
    <w:name w:val="Char Char1 Char Char Char Char Char Char Char Char Char Char Char Char Char Char Char56"/>
    <w:semiHidden/>
    <w:rsid w:val="00F17B33"/>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51">
    <w:name w:val="(文字) (文字)551"/>
    <w:semiHidden/>
    <w:rsid w:val="00F17B33"/>
    <w:rPr>
      <w:rFonts w:ascii="Times New Roman" w:hAnsi="Times New Roman"/>
      <w:lang w:eastAsia="en-US"/>
    </w:rPr>
  </w:style>
  <w:style w:type="paragraph" w:customStyle="1" w:styleId="a4">
    <w:name w:val="들여쓰기"/>
    <w:basedOn w:val="Normal"/>
    <w:qFormat/>
    <w:rsid w:val="00F17B33"/>
    <w:pPr>
      <w:widowControl w:val="0"/>
      <w:numPr>
        <w:numId w:val="53"/>
      </w:numPr>
      <w:autoSpaceDE w:val="0"/>
      <w:autoSpaceDN w:val="0"/>
      <w:spacing w:afterLines="50" w:after="120"/>
      <w:jc w:val="both"/>
    </w:pPr>
    <w:rPr>
      <w:rFonts w:ascii="LG스마트체 Light" w:eastAsia="LG스마트체 Light" w:hAnsi="LG스마트체 Light"/>
      <w:kern w:val="2"/>
      <w:szCs w:val="22"/>
      <w:lang w:eastAsia="ko-KR"/>
    </w:rPr>
  </w:style>
  <w:style w:type="paragraph" w:customStyle="1" w:styleId="summary">
    <w:name w:val="summary"/>
    <w:basedOn w:val="a4"/>
    <w:link w:val="summaryChar"/>
    <w:qFormat/>
    <w:rsid w:val="00F17B33"/>
    <w:pPr>
      <w:numPr>
        <w:ilvl w:val="1"/>
      </w:numPr>
      <w:spacing w:after="180"/>
    </w:pPr>
  </w:style>
  <w:style w:type="character" w:customStyle="1" w:styleId="summaryChar">
    <w:name w:val="summary Char"/>
    <w:link w:val="summary"/>
    <w:rsid w:val="00F17B33"/>
    <w:rPr>
      <w:rFonts w:ascii="LG스마트체 Light" w:eastAsia="LG스마트체 Light" w:hAnsi="LG스마트체 Light"/>
      <w:kern w:val="2"/>
      <w:szCs w:val="22"/>
      <w:lang w:eastAsia="ko-KR"/>
    </w:rPr>
  </w:style>
  <w:style w:type="paragraph" w:customStyle="1" w:styleId="CharChar1CharCharCharCharCharCharCharCharCharCharCharCharCharCharChar55">
    <w:name w:val="Char Char1 Char Char Char Char Char Char Char Char Char Char Char Char Char Char Char55"/>
    <w:semiHidden/>
    <w:rsid w:val="00A872C1"/>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50">
    <w:name w:val="(文字) (文字)550"/>
    <w:semiHidden/>
    <w:rsid w:val="00A872C1"/>
    <w:rPr>
      <w:rFonts w:ascii="Times New Roman" w:hAnsi="Times New Roman"/>
      <w:lang w:eastAsia="en-US"/>
    </w:rPr>
  </w:style>
  <w:style w:type="paragraph" w:customStyle="1" w:styleId="TDOCProposal">
    <w:name w:val="TDOC Proposal"/>
    <w:basedOn w:val="Normal"/>
    <w:link w:val="TDOCProposalChar"/>
    <w:qFormat/>
    <w:rsid w:val="004B0E7A"/>
    <w:pPr>
      <w:spacing w:before="120" w:after="120"/>
      <w:jc w:val="both"/>
    </w:pPr>
    <w:rPr>
      <w:rFonts w:ascii="Times New Roman" w:eastAsia="Malgun Gothic" w:hAnsi="Times New Roman"/>
      <w:b/>
      <w:sz w:val="22"/>
      <w:szCs w:val="20"/>
      <w:lang w:val="en-US" w:eastAsia="ko-KR"/>
    </w:rPr>
  </w:style>
  <w:style w:type="character" w:customStyle="1" w:styleId="TDOCProposalChar">
    <w:name w:val="TDOC Proposal Char"/>
    <w:link w:val="TDOCProposal"/>
    <w:rsid w:val="004B0E7A"/>
    <w:rPr>
      <w:rFonts w:eastAsia="Malgun Gothic"/>
      <w:b/>
      <w:sz w:val="22"/>
      <w:lang w:val="en-US" w:eastAsia="ko-KR"/>
    </w:rPr>
  </w:style>
  <w:style w:type="paragraph" w:customStyle="1" w:styleId="N1">
    <w:name w:val="N1"/>
    <w:basedOn w:val="Normal"/>
    <w:link w:val="N1Char"/>
    <w:qFormat/>
    <w:rsid w:val="003E1918"/>
    <w:pPr>
      <w:ind w:left="634"/>
      <w:jc w:val="both"/>
    </w:pPr>
    <w:rPr>
      <w:rFonts w:ascii="Calibri" w:eastAsia="MS Mincho" w:hAnsi="Calibri" w:cs="Calibri"/>
      <w:sz w:val="22"/>
      <w:szCs w:val="22"/>
      <w:lang w:val="en-US" w:eastAsia="ko-KR" w:bidi="hi-IN"/>
    </w:rPr>
  </w:style>
  <w:style w:type="character" w:customStyle="1" w:styleId="N1Char">
    <w:name w:val="N1 Char"/>
    <w:link w:val="N1"/>
    <w:rsid w:val="003E1918"/>
    <w:rPr>
      <w:rFonts w:ascii="Calibri" w:eastAsia="MS Mincho" w:hAnsi="Calibri" w:cs="Calibri"/>
      <w:sz w:val="22"/>
      <w:szCs w:val="22"/>
      <w:lang w:val="en-US" w:eastAsia="ko-KR" w:bidi="hi-IN"/>
    </w:rPr>
  </w:style>
  <w:style w:type="paragraph" w:customStyle="1" w:styleId="CharChar1CharCharCharCharCharCharCharCharCharCharCharCharCharCharChar54">
    <w:name w:val="Char Char1 Char Char Char Char Char Char Char Char Char Char Char Char Char Char Char54"/>
    <w:semiHidden/>
    <w:rsid w:val="007964BC"/>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49">
    <w:name w:val="(文字) (文字)549"/>
    <w:semiHidden/>
    <w:rsid w:val="007964BC"/>
    <w:rPr>
      <w:rFonts w:ascii="Times New Roman" w:hAnsi="Times New Roman"/>
      <w:lang w:eastAsia="en-US"/>
    </w:rPr>
  </w:style>
  <w:style w:type="character" w:customStyle="1" w:styleId="LGTdoc1Char">
    <w:name w:val="LGTdoc_제목1 Char"/>
    <w:link w:val="LGTdoc1"/>
    <w:rsid w:val="007964BC"/>
    <w:rPr>
      <w:b/>
      <w:snapToGrid w:val="0"/>
      <w:sz w:val="28"/>
      <w:lang w:eastAsia="ko-KR"/>
    </w:rPr>
  </w:style>
  <w:style w:type="paragraph" w:customStyle="1" w:styleId="CharChar1CharCharCharCharCharCharCharCharCharCharCharCharCharCharChar53">
    <w:name w:val="Char Char1 Char Char Char Char Char Char Char Char Char Char Char Char Char Char Char53"/>
    <w:semiHidden/>
    <w:rsid w:val="00553DE0"/>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48">
    <w:name w:val="(文字) (文字)548"/>
    <w:semiHidden/>
    <w:rsid w:val="00553DE0"/>
    <w:rPr>
      <w:rFonts w:ascii="Times New Roman" w:hAnsi="Times New Roman"/>
      <w:lang w:eastAsia="en-US"/>
    </w:rPr>
  </w:style>
  <w:style w:type="numbering" w:customStyle="1" w:styleId="3GPPBullets">
    <w:name w:val="3GPP Bullets"/>
    <w:basedOn w:val="NoList"/>
    <w:uiPriority w:val="99"/>
    <w:rsid w:val="0059373B"/>
    <w:pPr>
      <w:numPr>
        <w:numId w:val="54"/>
      </w:numPr>
    </w:pPr>
  </w:style>
  <w:style w:type="paragraph" w:customStyle="1" w:styleId="6pt6pt120">
    <w:name w:val="스타일 목록 단락 + 양쪽 앞: 6 pt 단락 뒤: 6 pt 줄 간격: 배수 1.2 줄 왼쪽 0 글자"/>
    <w:basedOn w:val="ListParagraph"/>
    <w:rsid w:val="00684FB8"/>
    <w:pPr>
      <w:overflowPunct/>
      <w:autoSpaceDE/>
      <w:autoSpaceDN/>
      <w:adjustRightInd/>
      <w:spacing w:before="120" w:after="120" w:line="336" w:lineRule="auto"/>
      <w:ind w:left="0"/>
      <w:contextualSpacing w:val="0"/>
      <w:jc w:val="both"/>
      <w:textAlignment w:val="auto"/>
    </w:pPr>
    <w:rPr>
      <w:rFonts w:eastAsia="Malgun Gothic" w:cs="Batang"/>
      <w:lang w:eastAsia="en-US"/>
    </w:rPr>
  </w:style>
  <w:style w:type="paragraph" w:customStyle="1" w:styleId="xmsonormal">
    <w:name w:val="x_msonormal"/>
    <w:basedOn w:val="Normal"/>
    <w:qFormat/>
    <w:rsid w:val="0004707A"/>
    <w:pPr>
      <w:spacing w:before="100" w:beforeAutospacing="1" w:after="100" w:afterAutospacing="1"/>
    </w:pPr>
    <w:rPr>
      <w:rFonts w:ascii="Calibri" w:eastAsiaTheme="minorHAnsi" w:hAnsi="Calibri" w:cs="Calibri"/>
      <w:sz w:val="22"/>
      <w:szCs w:val="22"/>
      <w:lang w:eastAsia="en-GB"/>
    </w:rPr>
  </w:style>
  <w:style w:type="paragraph" w:customStyle="1" w:styleId="CharChar1CharCharCharCharCharCharCharCharCharCharCharCharCharCharChar52">
    <w:name w:val="Char Char1 Char Char Char Char Char Char Char Char Char Char Char Char Char Char Char52"/>
    <w:semiHidden/>
    <w:rsid w:val="0031401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47">
    <w:name w:val="(文字) (文字)547"/>
    <w:semiHidden/>
    <w:rsid w:val="0031401B"/>
    <w:rPr>
      <w:rFonts w:ascii="Times New Roman" w:hAnsi="Times New Roman"/>
      <w:lang w:eastAsia="en-US"/>
    </w:rPr>
  </w:style>
  <w:style w:type="paragraph" w:customStyle="1" w:styleId="0Maintext">
    <w:name w:val="0 Main text"/>
    <w:basedOn w:val="Normal"/>
    <w:link w:val="0MaintextChar"/>
    <w:qFormat/>
    <w:rsid w:val="00160D8E"/>
    <w:pPr>
      <w:spacing w:after="100" w:afterAutospacing="1" w:line="288" w:lineRule="auto"/>
      <w:ind w:firstLine="360"/>
      <w:jc w:val="both"/>
    </w:pPr>
    <w:rPr>
      <w:rFonts w:ascii="Times New Roman" w:eastAsia="Malgun Gothic" w:hAnsi="Times New Roman" w:cs="Batang"/>
      <w:szCs w:val="20"/>
    </w:rPr>
  </w:style>
  <w:style w:type="character" w:customStyle="1" w:styleId="0MaintextChar">
    <w:name w:val="0 Main text Char"/>
    <w:link w:val="0Maintext"/>
    <w:qFormat/>
    <w:rsid w:val="00160D8E"/>
    <w:rPr>
      <w:rFonts w:eastAsia="Malgun Gothic" w:cs="Batang"/>
      <w:lang w:eastAsia="en-US"/>
    </w:rPr>
  </w:style>
  <w:style w:type="paragraph" w:customStyle="1" w:styleId="CharChar1CharCharCharCharCharCharCharCharCharCharCharCharCharCharChar51">
    <w:name w:val="Char Char1 Char Char Char Char Char Char Char Char Char Char Char Char Char Char Char51"/>
    <w:semiHidden/>
    <w:rsid w:val="007F0FB3"/>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46">
    <w:name w:val="(文字) (文字)546"/>
    <w:semiHidden/>
    <w:rsid w:val="007F0FB3"/>
    <w:rPr>
      <w:rFonts w:ascii="Times New Roman" w:hAnsi="Times New Roman"/>
      <w:lang w:eastAsia="en-US"/>
    </w:rPr>
  </w:style>
  <w:style w:type="paragraph" w:customStyle="1" w:styleId="CharChar1CharCharCharCharCharCharCharCharCharCharCharCharCharCharChar50">
    <w:name w:val="Char Char1 Char Char Char Char Char Char Char Char Char Char Char Char Char Char Char50"/>
    <w:semiHidden/>
    <w:rsid w:val="00650C02"/>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45">
    <w:name w:val="(文字) (文字)545"/>
    <w:semiHidden/>
    <w:rsid w:val="00650C02"/>
    <w:rPr>
      <w:rFonts w:ascii="Times New Roman" w:hAnsi="Times New Roman"/>
      <w:lang w:eastAsia="en-US"/>
    </w:rPr>
  </w:style>
  <w:style w:type="paragraph" w:customStyle="1" w:styleId="CharChar1CharCharCharCharCharCharCharCharCharCharCharCharCharCharChar49">
    <w:name w:val="Char Char1 Char Char Char Char Char Char Char Char Char Char Char Char Char Char Char49"/>
    <w:semiHidden/>
    <w:rsid w:val="00B4316F"/>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44">
    <w:name w:val="(文字) (文字)544"/>
    <w:semiHidden/>
    <w:rsid w:val="00B4316F"/>
    <w:rPr>
      <w:rFonts w:ascii="Times New Roman" w:hAnsi="Times New Roman"/>
      <w:lang w:eastAsia="en-US"/>
    </w:rPr>
  </w:style>
  <w:style w:type="paragraph" w:customStyle="1" w:styleId="CharChar1CharCharCharCharCharCharCharCharCharCharCharCharCharCharChar48">
    <w:name w:val="Char Char1 Char Char Char Char Char Char Char Char Char Char Char Char Char Char Char48"/>
    <w:semiHidden/>
    <w:rsid w:val="000723C0"/>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43">
    <w:name w:val="(文字) (文字)543"/>
    <w:semiHidden/>
    <w:rsid w:val="000723C0"/>
    <w:rPr>
      <w:rFonts w:ascii="Times New Roman" w:hAnsi="Times New Roman"/>
      <w:lang w:eastAsia="en-US"/>
    </w:rPr>
  </w:style>
  <w:style w:type="paragraph" w:customStyle="1" w:styleId="CharChar1CharCharCharCharCharCharCharCharCharCharCharCharCharCharChar47">
    <w:name w:val="Char Char1 Char Char Char Char Char Char Char Char Char Char Char Char Char Char Char47"/>
    <w:semiHidden/>
    <w:rsid w:val="00476EF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42">
    <w:name w:val="(文字) (文字)542"/>
    <w:semiHidden/>
    <w:rsid w:val="00476EF6"/>
    <w:rPr>
      <w:rFonts w:ascii="Times New Roman" w:hAnsi="Times New Roman"/>
      <w:lang w:eastAsia="en-US"/>
    </w:rPr>
  </w:style>
  <w:style w:type="paragraph" w:customStyle="1" w:styleId="CharChar1CharCharCharCharCharCharCharCharCharCharCharCharCharCharChar46">
    <w:name w:val="Char Char1 Char Char Char Char Char Char Char Char Char Char Char Char Char Char Char46"/>
    <w:semiHidden/>
    <w:rsid w:val="00804768"/>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41">
    <w:name w:val="(文字) (文字)541"/>
    <w:semiHidden/>
    <w:rsid w:val="00804768"/>
    <w:rPr>
      <w:rFonts w:ascii="Times New Roman" w:hAnsi="Times New Roman"/>
      <w:lang w:eastAsia="en-US"/>
    </w:rPr>
  </w:style>
  <w:style w:type="paragraph" w:customStyle="1" w:styleId="CharChar1CharCharCharCharCharCharCharCharCharCharCharCharCharCharChar45">
    <w:name w:val="Char Char1 Char Char Char Char Char Char Char Char Char Char Char Char Char Char Char45"/>
    <w:semiHidden/>
    <w:rsid w:val="0031321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40">
    <w:name w:val="(文字) (文字)540"/>
    <w:semiHidden/>
    <w:rsid w:val="00313216"/>
    <w:rPr>
      <w:rFonts w:ascii="Times New Roman" w:hAnsi="Times New Roman"/>
      <w:lang w:eastAsia="en-US"/>
    </w:rPr>
  </w:style>
  <w:style w:type="paragraph" w:customStyle="1" w:styleId="Proposal1">
    <w:name w:val="Proposal1"/>
    <w:basedOn w:val="Normal"/>
    <w:link w:val="Proposal1Char"/>
    <w:qFormat/>
    <w:rsid w:val="00FC70BE"/>
    <w:pPr>
      <w:tabs>
        <w:tab w:val="left" w:pos="1620"/>
      </w:tabs>
      <w:spacing w:before="120"/>
      <w:ind w:left="1620" w:hanging="1620"/>
      <w:jc w:val="both"/>
    </w:pPr>
    <w:rPr>
      <w:rFonts w:ascii="Calibri" w:eastAsia="MS Mincho" w:hAnsi="Calibri"/>
      <w:b/>
      <w:szCs w:val="20"/>
      <w:lang w:val="en-US"/>
    </w:rPr>
  </w:style>
  <w:style w:type="character" w:customStyle="1" w:styleId="Proposal1Char">
    <w:name w:val="Proposal1 Char"/>
    <w:link w:val="Proposal1"/>
    <w:rsid w:val="00FC70BE"/>
    <w:rPr>
      <w:rFonts w:ascii="Calibri" w:eastAsia="MS Mincho" w:hAnsi="Calibri"/>
      <w:b/>
      <w:lang w:val="en-US" w:eastAsia="en-US"/>
    </w:rPr>
  </w:style>
  <w:style w:type="table" w:styleId="GridTable2-Accent5">
    <w:name w:val="Grid Table 2 Accent 5"/>
    <w:basedOn w:val="TableNormal"/>
    <w:uiPriority w:val="47"/>
    <w:rsid w:val="00A71D68"/>
    <w:rPr>
      <w:rFonts w:ascii="CG Times (WN)" w:eastAsia="SimSun" w:hAnsi="CG Times (WN)"/>
    </w:rPr>
    <w:tblPr>
      <w:tblStyleRowBandSize w:val="1"/>
      <w:tblStyleColBandSize w:val="1"/>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customStyle="1" w:styleId="3GPPH3">
    <w:name w:val="3GPP H3"/>
    <w:basedOn w:val="Heading3"/>
    <w:next w:val="3GPPText"/>
    <w:link w:val="3GPPH3Char"/>
    <w:qFormat/>
    <w:rsid w:val="00AB5B90"/>
    <w:pPr>
      <w:keepLines/>
      <w:numPr>
        <w:numId w:val="7"/>
      </w:numPr>
      <w:tabs>
        <w:tab w:val="num" w:pos="0"/>
      </w:tabs>
      <w:overflowPunct w:val="0"/>
      <w:autoSpaceDE w:val="0"/>
      <w:autoSpaceDN w:val="0"/>
      <w:adjustRightInd w:val="0"/>
      <w:spacing w:before="120" w:after="120"/>
      <w:ind w:left="709" w:hanging="709"/>
      <w:textAlignment w:val="baseline"/>
    </w:pPr>
    <w:rPr>
      <w:rFonts w:eastAsia="SimSun" w:cs="Times New Roman"/>
      <w:b w:val="0"/>
      <w:bCs w:val="0"/>
      <w:sz w:val="28"/>
      <w:szCs w:val="20"/>
    </w:rPr>
  </w:style>
  <w:style w:type="character" w:customStyle="1" w:styleId="3GPPH3Char">
    <w:name w:val="3GPP H3 Char"/>
    <w:link w:val="3GPPH3"/>
    <w:rsid w:val="00AB5B90"/>
    <w:rPr>
      <w:rFonts w:ascii="Arial" w:eastAsia="SimSun" w:hAnsi="Arial"/>
      <w:sz w:val="28"/>
      <w:lang w:eastAsia="en-US"/>
    </w:rPr>
  </w:style>
  <w:style w:type="paragraph" w:customStyle="1" w:styleId="00Text">
    <w:name w:val="00_Text"/>
    <w:basedOn w:val="Normal"/>
    <w:link w:val="00TextChar"/>
    <w:qFormat/>
    <w:rsid w:val="00AB5B90"/>
    <w:pPr>
      <w:spacing w:after="120"/>
      <w:jc w:val="both"/>
    </w:pPr>
    <w:rPr>
      <w:rFonts w:ascii="Times New Roman" w:eastAsia="SimSun" w:hAnsi="Times New Roman"/>
      <w:lang w:val="en-US" w:eastAsia="zh-CN"/>
    </w:rPr>
  </w:style>
  <w:style w:type="character" w:customStyle="1" w:styleId="00TextChar">
    <w:name w:val="00_Text Char"/>
    <w:link w:val="00Text"/>
    <w:qFormat/>
    <w:rsid w:val="00AB5B90"/>
    <w:rPr>
      <w:rFonts w:eastAsia="SimSun"/>
      <w:szCs w:val="24"/>
      <w:lang w:val="en-US" w:eastAsia="zh-CN"/>
    </w:rPr>
  </w:style>
  <w:style w:type="paragraph" w:customStyle="1" w:styleId="afd">
    <w:name w:val="문단"/>
    <w:basedOn w:val="Normal"/>
    <w:uiPriority w:val="99"/>
    <w:rsid w:val="00545EFD"/>
    <w:pPr>
      <w:autoSpaceDE w:val="0"/>
      <w:autoSpaceDN w:val="0"/>
      <w:ind w:firstLine="800"/>
      <w:jc w:val="both"/>
    </w:pPr>
    <w:rPr>
      <w:rFonts w:ascii="Gulim" w:eastAsia="Gulim" w:hAnsi="Calibri" w:cs="Calibri"/>
      <w:color w:val="000000"/>
      <w:szCs w:val="20"/>
      <w:lang w:eastAsia="en-GB"/>
    </w:rPr>
  </w:style>
  <w:style w:type="paragraph" w:customStyle="1" w:styleId="CharChar1CharCharCharCharCharCharCharCharCharCharCharCharCharCharChar64">
    <w:name w:val="Char Char1 Char Char Char Char Char Char Char Char Char Char Char Char Char Char Char64"/>
    <w:semiHidden/>
    <w:rsid w:val="002E37F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59">
    <w:name w:val="(文字) (文字)559"/>
    <w:semiHidden/>
    <w:rsid w:val="002E37F6"/>
    <w:rPr>
      <w:rFonts w:ascii="Times New Roman" w:hAnsi="Times New Roman"/>
      <w:lang w:eastAsia="en-US"/>
    </w:rPr>
  </w:style>
  <w:style w:type="paragraph" w:customStyle="1" w:styleId="0maintext0">
    <w:name w:val="0maintext"/>
    <w:basedOn w:val="Normal"/>
    <w:uiPriority w:val="99"/>
    <w:qFormat/>
    <w:rsid w:val="004F214C"/>
    <w:pPr>
      <w:spacing w:before="100" w:beforeAutospacing="1" w:after="100" w:afterAutospacing="1"/>
    </w:pPr>
    <w:rPr>
      <w:rFonts w:ascii="Calibri" w:eastAsia="SimSun" w:hAnsi="Calibri" w:cs="Calibri"/>
      <w:sz w:val="22"/>
      <w:szCs w:val="22"/>
      <w:lang w:val="en-US" w:eastAsia="zh-CN"/>
    </w:rPr>
  </w:style>
  <w:style w:type="paragraph" w:customStyle="1" w:styleId="xxmsonormal">
    <w:name w:val="x_xmsonormal"/>
    <w:basedOn w:val="Normal"/>
    <w:qFormat/>
    <w:rsid w:val="00A77584"/>
    <w:rPr>
      <w:rFonts w:ascii="Calibri" w:eastAsia="Gulim" w:hAnsi="Calibri" w:cs="Calibri"/>
      <w:sz w:val="22"/>
      <w:szCs w:val="22"/>
      <w:lang w:val="en-US" w:eastAsia="ko-KR"/>
    </w:rPr>
  </w:style>
  <w:style w:type="paragraph" w:customStyle="1" w:styleId="listparagraph0">
    <w:name w:val="listparagraph"/>
    <w:basedOn w:val="Normal"/>
    <w:uiPriority w:val="99"/>
    <w:rsid w:val="00F07703"/>
    <w:pPr>
      <w:spacing w:before="100" w:beforeAutospacing="1" w:after="100" w:afterAutospacing="1"/>
    </w:pPr>
    <w:rPr>
      <w:rFonts w:ascii="Calibri" w:eastAsia="SimSun" w:hAnsi="Calibri" w:cs="Calibri"/>
      <w:sz w:val="22"/>
      <w:szCs w:val="22"/>
      <w:lang w:val="en-US" w:eastAsia="zh-CN"/>
    </w:rPr>
  </w:style>
  <w:style w:type="paragraph" w:customStyle="1" w:styleId="xmsonormal0">
    <w:name w:val="xmsonormal"/>
    <w:basedOn w:val="Normal"/>
    <w:qFormat/>
    <w:rsid w:val="00F6307C"/>
    <w:pPr>
      <w:spacing w:before="100" w:beforeAutospacing="1" w:after="100" w:afterAutospacing="1"/>
    </w:pPr>
    <w:rPr>
      <w:rFonts w:ascii="Times New Roman" w:eastAsia="SimSun" w:hAnsi="Times New Roman"/>
      <w:sz w:val="24"/>
      <w:lang w:val="en-US" w:eastAsia="zh-CN"/>
    </w:rPr>
  </w:style>
  <w:style w:type="paragraph" w:customStyle="1" w:styleId="xb1">
    <w:name w:val="xb1"/>
    <w:basedOn w:val="Normal"/>
    <w:uiPriority w:val="99"/>
    <w:rsid w:val="00F6307C"/>
    <w:pPr>
      <w:spacing w:before="100" w:beforeAutospacing="1" w:after="100" w:afterAutospacing="1"/>
    </w:pPr>
    <w:rPr>
      <w:rFonts w:ascii="Times New Roman" w:eastAsia="SimSun" w:hAnsi="Times New Roman"/>
      <w:sz w:val="24"/>
      <w:lang w:val="en-US" w:eastAsia="zh-CN"/>
    </w:rPr>
  </w:style>
  <w:style w:type="paragraph" w:customStyle="1" w:styleId="xmsolistparagraph">
    <w:name w:val="xmsolistparagraph"/>
    <w:basedOn w:val="Normal"/>
    <w:rsid w:val="00F6307C"/>
    <w:pPr>
      <w:spacing w:before="100" w:beforeAutospacing="1" w:after="100" w:afterAutospacing="1"/>
    </w:pPr>
    <w:rPr>
      <w:rFonts w:ascii="Times New Roman" w:eastAsia="SimSun" w:hAnsi="Times New Roman"/>
      <w:sz w:val="24"/>
      <w:lang w:val="en-US" w:eastAsia="zh-CN"/>
    </w:rPr>
  </w:style>
  <w:style w:type="character" w:customStyle="1" w:styleId="apple-tab-span">
    <w:name w:val="apple-tab-span"/>
    <w:rsid w:val="00201A7E"/>
  </w:style>
  <w:style w:type="paragraph" w:customStyle="1" w:styleId="CharChar1CharCharCharCharCharCharCharCharCharCharCharCharCharCharChar96">
    <w:name w:val="Char Char1 Char Char Char Char Char Char Char Char Char Char Char Char Char Char Char96"/>
    <w:semiHidden/>
    <w:rsid w:val="00B04B0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91">
    <w:name w:val="(文字) (文字)591"/>
    <w:semiHidden/>
    <w:rsid w:val="00B04B06"/>
    <w:rPr>
      <w:rFonts w:ascii="Times New Roman" w:hAnsi="Times New Roman"/>
      <w:lang w:eastAsia="en-US"/>
    </w:rPr>
  </w:style>
  <w:style w:type="paragraph" w:customStyle="1" w:styleId="xxmsolistparagraph">
    <w:name w:val="x_xmsolistparagraph"/>
    <w:basedOn w:val="Normal"/>
    <w:qFormat/>
    <w:rsid w:val="00B04B06"/>
    <w:pPr>
      <w:ind w:left="720"/>
    </w:pPr>
    <w:rPr>
      <w:rFonts w:ascii="Calibri" w:eastAsia="SimSun" w:hAnsi="Calibri" w:cs="Calibri"/>
      <w:sz w:val="22"/>
      <w:szCs w:val="22"/>
      <w:lang w:val="en-US" w:eastAsia="zh-CN"/>
    </w:rPr>
  </w:style>
  <w:style w:type="paragraph" w:customStyle="1" w:styleId="maintext0">
    <w:name w:val="maintext"/>
    <w:basedOn w:val="Normal"/>
    <w:uiPriority w:val="99"/>
    <w:rsid w:val="007A1728"/>
    <w:pPr>
      <w:spacing w:before="100" w:beforeAutospacing="1" w:after="100" w:afterAutospacing="1"/>
    </w:pPr>
    <w:rPr>
      <w:rFonts w:ascii="Calibri" w:eastAsiaTheme="minorHAnsi" w:hAnsi="Calibri" w:cs="Calibri"/>
      <w:sz w:val="22"/>
      <w:szCs w:val="22"/>
      <w:lang w:eastAsia="en-GB"/>
    </w:rPr>
  </w:style>
  <w:style w:type="paragraph" w:customStyle="1" w:styleId="tal0">
    <w:name w:val="tal"/>
    <w:basedOn w:val="Normal"/>
    <w:rsid w:val="007A1728"/>
    <w:pPr>
      <w:spacing w:before="100" w:beforeAutospacing="1" w:after="100" w:afterAutospacing="1"/>
    </w:pPr>
    <w:rPr>
      <w:rFonts w:ascii="Calibri" w:eastAsiaTheme="minorHAnsi" w:hAnsi="Calibri" w:cs="Calibri"/>
      <w:sz w:val="22"/>
      <w:szCs w:val="22"/>
      <w:lang w:eastAsia="en-GB"/>
    </w:rPr>
  </w:style>
  <w:style w:type="paragraph" w:customStyle="1" w:styleId="x03proposal">
    <w:name w:val="x_03proposal"/>
    <w:basedOn w:val="Normal"/>
    <w:uiPriority w:val="99"/>
    <w:rsid w:val="00B40DD9"/>
    <w:rPr>
      <w:rFonts w:ascii="Times New Roman" w:eastAsia="Gulim" w:hAnsi="Times New Roman"/>
      <w:sz w:val="24"/>
      <w:lang w:val="en-US" w:eastAsia="ko-KR"/>
    </w:rPr>
  </w:style>
  <w:style w:type="paragraph" w:customStyle="1" w:styleId="x00text">
    <w:name w:val="x_00text"/>
    <w:basedOn w:val="Normal"/>
    <w:uiPriority w:val="99"/>
    <w:rsid w:val="00B40DD9"/>
    <w:rPr>
      <w:rFonts w:ascii="Times New Roman" w:eastAsia="Gulim" w:hAnsi="Times New Roman"/>
      <w:sz w:val="24"/>
      <w:lang w:val="en-US" w:eastAsia="ko-KR"/>
    </w:rPr>
  </w:style>
  <w:style w:type="paragraph" w:customStyle="1" w:styleId="xb10">
    <w:name w:val="x_b1"/>
    <w:basedOn w:val="Normal"/>
    <w:uiPriority w:val="99"/>
    <w:rsid w:val="00B40DD9"/>
    <w:rPr>
      <w:rFonts w:ascii="Times New Roman" w:eastAsia="Gulim" w:hAnsi="Times New Roman"/>
      <w:sz w:val="24"/>
      <w:lang w:val="en-US" w:eastAsia="ko-KR"/>
    </w:rPr>
  </w:style>
  <w:style w:type="character" w:customStyle="1" w:styleId="colour">
    <w:name w:val="colour"/>
    <w:rsid w:val="00482CCA"/>
  </w:style>
  <w:style w:type="paragraph" w:customStyle="1" w:styleId="CharChar1CharCharCharCharCharCharCharCharCharCharCharCharCharCharChar95">
    <w:name w:val="Char Char1 Char Char Char Char Char Char Char Char Char Char Char Char Char Char Char95"/>
    <w:semiHidden/>
    <w:rsid w:val="00085B14"/>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90">
    <w:name w:val="(文字) (文字)590"/>
    <w:semiHidden/>
    <w:rsid w:val="00085B14"/>
    <w:rPr>
      <w:rFonts w:ascii="Times New Roman" w:hAnsi="Times New Roman"/>
      <w:lang w:eastAsia="en-US"/>
    </w:rPr>
  </w:style>
  <w:style w:type="character" w:customStyle="1" w:styleId="afe">
    <w:name w:val="列表段落 字符"/>
    <w:aliases w:val="- Bullets 字符,목록 단락 字符,リスト段落 字符,Lista1 字符,?? ?? 字符,????? 字符,???? 字符,列出段落1 字符,中等深浅网格 1 - 着色 21 字符,¥¡¡¡¡ì¬º¥¹¥È¶ÎÂä 字符,ÁÐ³ö¶ÎÂä 字符,列表段落1 字符,—ño’i—Ž 字符,¥ê¥¹¥È¶ÎÂä 字符,1st level - Bullet List Paragraph 字符,Lettre d'introduction 字符,Paragrafo elenco 字符"/>
    <w:uiPriority w:val="34"/>
    <w:qFormat/>
    <w:locked/>
    <w:rsid w:val="00085B14"/>
    <w:rPr>
      <w:rFonts w:ascii="Calibri" w:hAnsi="Calibri" w:cs="Calibri"/>
    </w:rPr>
  </w:style>
  <w:style w:type="paragraph" w:customStyle="1" w:styleId="xa0">
    <w:name w:val="x_a0"/>
    <w:basedOn w:val="Normal"/>
    <w:uiPriority w:val="99"/>
    <w:rsid w:val="00085B14"/>
    <w:rPr>
      <w:rFonts w:ascii="SimSun" w:eastAsia="SimSun" w:hAnsi="SimSun" w:cs="Calibri"/>
      <w:sz w:val="24"/>
      <w:lang w:val="en-US" w:eastAsia="zh-CN"/>
    </w:rPr>
  </w:style>
  <w:style w:type="character" w:customStyle="1" w:styleId="xapple-converted-space">
    <w:name w:val="x_apple-converted-space"/>
    <w:qFormat/>
    <w:rsid w:val="00085B14"/>
  </w:style>
  <w:style w:type="character" w:customStyle="1" w:styleId="msoins0">
    <w:name w:val="msoins"/>
    <w:qFormat/>
    <w:rsid w:val="00085B14"/>
  </w:style>
  <w:style w:type="paragraph" w:customStyle="1" w:styleId="3gppagreements0">
    <w:name w:val="3gppagreements0"/>
    <w:basedOn w:val="Normal"/>
    <w:uiPriority w:val="99"/>
    <w:rsid w:val="00085B14"/>
    <w:rPr>
      <w:rFonts w:ascii="Times New Roman" w:eastAsia="SimSun" w:hAnsi="Times New Roman"/>
      <w:sz w:val="24"/>
      <w:lang w:val="en-US" w:eastAsia="zh-CN"/>
    </w:rPr>
  </w:style>
  <w:style w:type="paragraph" w:customStyle="1" w:styleId="b22">
    <w:name w:val="b22"/>
    <w:basedOn w:val="Normal"/>
    <w:uiPriority w:val="99"/>
    <w:rsid w:val="00085B14"/>
    <w:rPr>
      <w:rFonts w:ascii="Times New Roman" w:eastAsia="SimSun" w:hAnsi="Times New Roman"/>
      <w:sz w:val="24"/>
      <w:lang w:val="en-US" w:eastAsia="zh-CN"/>
    </w:rPr>
  </w:style>
  <w:style w:type="character" w:customStyle="1" w:styleId="Char20">
    <w:name w:val="正文文本 Char2"/>
    <w:aliases w:val="bt Char2"/>
    <w:locked/>
    <w:rsid w:val="00085B14"/>
    <w:rPr>
      <w:rFonts w:ascii="MS Mincho" w:eastAsia="MS Mincho" w:hAnsi="MS Mincho"/>
      <w:lang w:eastAsia="en-US"/>
    </w:rPr>
  </w:style>
  <w:style w:type="paragraph" w:customStyle="1" w:styleId="tan0">
    <w:name w:val="tan"/>
    <w:basedOn w:val="Normal"/>
    <w:rsid w:val="00085B14"/>
    <w:pPr>
      <w:keepNext/>
      <w:ind w:left="851" w:hanging="851"/>
    </w:pPr>
    <w:rPr>
      <w:rFonts w:ascii="Arial" w:eastAsia="SimSun" w:hAnsi="Arial" w:cs="Arial"/>
      <w:sz w:val="18"/>
      <w:szCs w:val="18"/>
      <w:lang w:val="en-US" w:eastAsia="zh-CN"/>
    </w:rPr>
  </w:style>
  <w:style w:type="paragraph" w:customStyle="1" w:styleId="x2">
    <w:name w:val="x2"/>
    <w:basedOn w:val="Normal"/>
    <w:uiPriority w:val="99"/>
    <w:rsid w:val="00085B14"/>
    <w:rPr>
      <w:rFonts w:ascii="Gulim" w:eastAsia="Gulim" w:hAnsi="Gulim" w:cs="Calibri"/>
      <w:sz w:val="24"/>
      <w:lang w:val="en-US" w:eastAsia="zh-CN"/>
    </w:rPr>
  </w:style>
  <w:style w:type="paragraph" w:customStyle="1" w:styleId="listparagraph11">
    <w:name w:val="listparagraph11"/>
    <w:basedOn w:val="Normal"/>
    <w:uiPriority w:val="99"/>
    <w:rsid w:val="00085B14"/>
    <w:rPr>
      <w:rFonts w:ascii="Calibri" w:eastAsia="Calibri" w:hAnsi="Calibri" w:cs="Calibri"/>
      <w:sz w:val="22"/>
      <w:szCs w:val="22"/>
      <w:lang w:val="en-US"/>
    </w:rPr>
  </w:style>
  <w:style w:type="paragraph" w:customStyle="1" w:styleId="CharChar1CharCharCharCharCharCharCharCharCharCharCharCharCharCharChar94">
    <w:name w:val="Char Char1 Char Char Char Char Char Char Char Char Char Char Char Char Char Char Char94"/>
    <w:semiHidden/>
    <w:rsid w:val="00A65B0D"/>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89">
    <w:name w:val="(文字) (文字)589"/>
    <w:semiHidden/>
    <w:rsid w:val="00A65B0D"/>
    <w:rPr>
      <w:rFonts w:ascii="Times New Roman" w:hAnsi="Times New Roman"/>
      <w:lang w:eastAsia="en-US"/>
    </w:rPr>
  </w:style>
  <w:style w:type="character" w:customStyle="1" w:styleId="proposalChar0">
    <w:name w:val="proposal Char"/>
    <w:basedOn w:val="DefaultParagraphFont"/>
    <w:link w:val="proposal0"/>
    <w:qFormat/>
    <w:locked/>
    <w:rsid w:val="00A31187"/>
    <w:rPr>
      <w:b/>
      <w:bCs/>
      <w:i/>
      <w:iCs/>
    </w:rPr>
  </w:style>
  <w:style w:type="paragraph" w:customStyle="1" w:styleId="proposal0">
    <w:name w:val="proposal"/>
    <w:basedOn w:val="Normal"/>
    <w:link w:val="proposalChar0"/>
    <w:qFormat/>
    <w:rsid w:val="00A31187"/>
    <w:pPr>
      <w:spacing w:before="60" w:after="180" w:line="360" w:lineRule="atLeast"/>
      <w:jc w:val="both"/>
    </w:pPr>
    <w:rPr>
      <w:rFonts w:ascii="Times New Roman" w:hAnsi="Times New Roman"/>
      <w:b/>
      <w:bCs/>
      <w:i/>
      <w:iCs/>
      <w:szCs w:val="20"/>
      <w:lang w:eastAsia="en-GB"/>
    </w:rPr>
  </w:style>
  <w:style w:type="character" w:customStyle="1" w:styleId="B4Char">
    <w:name w:val="B4 Char"/>
    <w:basedOn w:val="DefaultParagraphFont"/>
    <w:link w:val="B4"/>
    <w:qFormat/>
    <w:locked/>
    <w:rsid w:val="00A31187"/>
    <w:rPr>
      <w:rFonts w:eastAsia="SimSun"/>
      <w:lang w:val="en-US" w:eastAsia="ja-JP"/>
    </w:rPr>
  </w:style>
  <w:style w:type="paragraph" w:customStyle="1" w:styleId="CharChar1CharCharCharCharCharCharCharCharCharCharCharCharCharCharChar93">
    <w:name w:val="Char Char1 Char Char Char Char Char Char Char Char Char Char Char Char Char Char Char93"/>
    <w:semiHidden/>
    <w:rsid w:val="00304B4F"/>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88">
    <w:name w:val="(文字) (文字)588"/>
    <w:semiHidden/>
    <w:rsid w:val="00304B4F"/>
    <w:rPr>
      <w:rFonts w:ascii="Times New Roman" w:hAnsi="Times New Roman"/>
      <w:lang w:eastAsia="en-US"/>
    </w:rPr>
  </w:style>
  <w:style w:type="paragraph" w:customStyle="1" w:styleId="b110">
    <w:name w:val="b11"/>
    <w:basedOn w:val="Normal"/>
    <w:uiPriority w:val="99"/>
    <w:rsid w:val="00304B4F"/>
    <w:pPr>
      <w:spacing w:before="100" w:beforeAutospacing="1" w:after="100" w:afterAutospacing="1"/>
    </w:pPr>
    <w:rPr>
      <w:rFonts w:ascii="SimSun" w:eastAsia="SimSun" w:hAnsi="SimSun" w:cs="Calibri"/>
      <w:sz w:val="24"/>
      <w:lang w:val="en-US" w:eastAsia="zh-CN"/>
    </w:rPr>
  </w:style>
  <w:style w:type="paragraph" w:customStyle="1" w:styleId="CharChar1CharCharCharCharCharCharCharCharCharCharCharCharCharCharChar92">
    <w:name w:val="Char Char1 Char Char Char Char Char Char Char Char Char Char Char Char Char Char Char92"/>
    <w:semiHidden/>
    <w:rsid w:val="0038235A"/>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87">
    <w:name w:val="(文字) (文字)587"/>
    <w:semiHidden/>
    <w:rsid w:val="0038235A"/>
    <w:rPr>
      <w:rFonts w:ascii="Times New Roman" w:hAnsi="Times New Roman"/>
      <w:lang w:eastAsia="en-US"/>
    </w:rPr>
  </w:style>
  <w:style w:type="paragraph" w:customStyle="1" w:styleId="gmail-m-2909877017254924335a">
    <w:name w:val="gmail-m_-2909877017254924335a"/>
    <w:basedOn w:val="Normal"/>
    <w:uiPriority w:val="99"/>
    <w:semiHidden/>
    <w:rsid w:val="0038235A"/>
    <w:pPr>
      <w:spacing w:before="100" w:beforeAutospacing="1" w:after="100" w:afterAutospacing="1"/>
    </w:pPr>
    <w:rPr>
      <w:rFonts w:ascii="Gulim" w:eastAsia="Gulim" w:hAnsi="Gulim" w:cs="Calibri"/>
      <w:sz w:val="24"/>
      <w:szCs w:val="20"/>
      <w:lang w:val="en-US" w:eastAsia="zh-CN"/>
    </w:rPr>
  </w:style>
  <w:style w:type="paragraph" w:customStyle="1" w:styleId="gmail-m4206033979048168252msolistparagraph">
    <w:name w:val="gmail-m_4206033979048168252msolistparagraph"/>
    <w:basedOn w:val="Normal"/>
    <w:uiPriority w:val="99"/>
    <w:rsid w:val="0038235A"/>
    <w:pPr>
      <w:spacing w:before="100" w:beforeAutospacing="1" w:after="100" w:afterAutospacing="1"/>
    </w:pPr>
    <w:rPr>
      <w:rFonts w:ascii="Gulim" w:eastAsia="Gulim" w:hAnsi="Gulim" w:cs="Calibri"/>
      <w:sz w:val="24"/>
      <w:szCs w:val="20"/>
      <w:lang w:val="en-US" w:eastAsia="zh-CN"/>
    </w:rPr>
  </w:style>
  <w:style w:type="character" w:customStyle="1" w:styleId="4">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4 字符"/>
    <w:basedOn w:val="DefaultParagraphFont"/>
    <w:locked/>
    <w:rsid w:val="00BA3685"/>
    <w:rPr>
      <w:rFonts w:ascii="Arial" w:hAnsi="Arial" w:cs="Arial"/>
      <w:lang w:eastAsia="en-US"/>
    </w:rPr>
  </w:style>
  <w:style w:type="paragraph" w:customStyle="1" w:styleId="CharChar1CharCharCharCharCharCharCharCharCharCharCharCharCharCharChar91">
    <w:name w:val="Char Char1 Char Char Char Char Char Char Char Char Char Char Char Char Char Char Char91"/>
    <w:semiHidden/>
    <w:rsid w:val="005A4EB3"/>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86">
    <w:name w:val="(文字) (文字)586"/>
    <w:semiHidden/>
    <w:rsid w:val="005A4EB3"/>
    <w:rPr>
      <w:rFonts w:ascii="Times New Roman" w:hAnsi="Times New Roman"/>
      <w:lang w:eastAsia="en-US"/>
    </w:rPr>
  </w:style>
  <w:style w:type="paragraph" w:customStyle="1" w:styleId="xmsolistparagraph0">
    <w:name w:val="x_msolistparagraph"/>
    <w:basedOn w:val="Normal"/>
    <w:uiPriority w:val="99"/>
    <w:qFormat/>
    <w:rsid w:val="005A4EB3"/>
    <w:pPr>
      <w:ind w:left="720"/>
    </w:pPr>
    <w:rPr>
      <w:rFonts w:ascii="Calibri" w:eastAsia="SimSun" w:hAnsi="Calibri" w:cs="Calibri"/>
      <w:sz w:val="22"/>
      <w:szCs w:val="22"/>
      <w:lang w:val="en-US" w:eastAsia="zh-CN"/>
    </w:rPr>
  </w:style>
  <w:style w:type="character" w:customStyle="1" w:styleId="TANChar">
    <w:name w:val="TAN Char"/>
    <w:link w:val="TAN"/>
    <w:qFormat/>
    <w:locked/>
    <w:rsid w:val="005A4EB3"/>
    <w:rPr>
      <w:rFonts w:ascii="Arial" w:eastAsia="SimSun" w:hAnsi="Arial"/>
      <w:sz w:val="18"/>
      <w:lang w:eastAsia="en-US"/>
    </w:rPr>
  </w:style>
  <w:style w:type="paragraph" w:customStyle="1" w:styleId="CharChar1CharCharCharCharCharCharCharCharCharCharCharCharCharCharChar90">
    <w:name w:val="Char Char1 Char Char Char Char Char Char Char Char Char Char Char Char Char Char Char90"/>
    <w:uiPriority w:val="99"/>
    <w:semiHidden/>
    <w:rsid w:val="00781B4E"/>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85">
    <w:name w:val="(文字) (文字)585"/>
    <w:semiHidden/>
    <w:rsid w:val="00781B4E"/>
    <w:rPr>
      <w:rFonts w:ascii="Times New Roman" w:hAnsi="Times New Roman"/>
      <w:lang w:eastAsia="en-US"/>
    </w:rPr>
  </w:style>
  <w:style w:type="paragraph" w:customStyle="1" w:styleId="CharChar1CharCharCharCharCharCharCharCharCharCharCharCharCharCharChar89">
    <w:name w:val="Char Char1 Char Char Char Char Char Char Char Char Char Char Char Char Char Char Char89"/>
    <w:uiPriority w:val="99"/>
    <w:semiHidden/>
    <w:rsid w:val="00C15223"/>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84">
    <w:name w:val="(文字) (文字)584"/>
    <w:semiHidden/>
    <w:rsid w:val="00C15223"/>
    <w:rPr>
      <w:rFonts w:ascii="Times New Roman" w:hAnsi="Times New Roman"/>
      <w:lang w:eastAsia="en-US"/>
    </w:rPr>
  </w:style>
  <w:style w:type="paragraph" w:customStyle="1" w:styleId="b20">
    <w:name w:val="b2"/>
    <w:basedOn w:val="Normal"/>
    <w:qFormat/>
    <w:rsid w:val="00C15223"/>
    <w:pPr>
      <w:spacing w:before="100" w:beforeAutospacing="1" w:after="100" w:afterAutospacing="1"/>
    </w:pPr>
    <w:rPr>
      <w:rFonts w:ascii="Times New Roman" w:eastAsia="Gulim" w:hAnsi="Times New Roman"/>
      <w:sz w:val="24"/>
      <w:lang w:val="en-US" w:eastAsia="zh-CN"/>
    </w:rPr>
  </w:style>
  <w:style w:type="paragraph" w:customStyle="1" w:styleId="b30">
    <w:name w:val="b3"/>
    <w:basedOn w:val="Normal"/>
    <w:uiPriority w:val="99"/>
    <w:rsid w:val="00C15223"/>
    <w:pPr>
      <w:spacing w:before="100" w:beforeAutospacing="1" w:after="100" w:afterAutospacing="1"/>
    </w:pPr>
    <w:rPr>
      <w:rFonts w:ascii="SimSun" w:eastAsia="SimSun" w:hAnsi="SimSun" w:cs="Gulim"/>
      <w:sz w:val="24"/>
      <w:lang w:val="en-US" w:eastAsia="ko-KR"/>
    </w:rPr>
  </w:style>
  <w:style w:type="paragraph" w:customStyle="1" w:styleId="b40">
    <w:name w:val="b4"/>
    <w:basedOn w:val="Normal"/>
    <w:uiPriority w:val="99"/>
    <w:rsid w:val="00C15223"/>
    <w:pPr>
      <w:spacing w:before="100" w:beforeAutospacing="1" w:after="100" w:afterAutospacing="1"/>
    </w:pPr>
    <w:rPr>
      <w:rFonts w:ascii="SimSun" w:eastAsia="SimSun" w:hAnsi="SimSun" w:cs="Gulim"/>
      <w:sz w:val="24"/>
      <w:lang w:val="en-US" w:eastAsia="ko-KR"/>
    </w:rPr>
  </w:style>
  <w:style w:type="paragraph" w:customStyle="1" w:styleId="b50">
    <w:name w:val="b5"/>
    <w:basedOn w:val="Normal"/>
    <w:uiPriority w:val="99"/>
    <w:rsid w:val="00C15223"/>
    <w:pPr>
      <w:spacing w:before="100" w:beforeAutospacing="1" w:after="100" w:afterAutospacing="1"/>
    </w:pPr>
    <w:rPr>
      <w:rFonts w:ascii="SimSun" w:eastAsia="SimSun" w:hAnsi="SimSun" w:cs="Gulim"/>
      <w:sz w:val="24"/>
      <w:lang w:val="en-US" w:eastAsia="ko-KR"/>
    </w:rPr>
  </w:style>
  <w:style w:type="character" w:customStyle="1" w:styleId="msodel0">
    <w:name w:val="msodel"/>
    <w:rsid w:val="00C15223"/>
  </w:style>
  <w:style w:type="table" w:customStyle="1" w:styleId="aff">
    <w:name w:val="普通表格"/>
    <w:uiPriority w:val="99"/>
    <w:semiHidden/>
    <w:rsid w:val="00C15223"/>
    <w:rPr>
      <w:rFonts w:ascii="Calibri" w:eastAsia="Times New Roman" w:hAnsi="Calibri"/>
      <w:lang w:val="en-US" w:eastAsia="ko-KR"/>
    </w:rPr>
    <w:tblPr>
      <w:tblCellMar>
        <w:top w:w="0" w:type="dxa"/>
        <w:left w:w="108" w:type="dxa"/>
        <w:bottom w:w="0" w:type="dxa"/>
        <w:right w:w="108" w:type="dxa"/>
      </w:tblCellMar>
    </w:tblPr>
  </w:style>
  <w:style w:type="paragraph" w:customStyle="1" w:styleId="CharChar1CharCharCharCharCharCharCharCharCharCharCharCharCharCharChar88">
    <w:name w:val="Char Char1 Char Char Char Char Char Char Char Char Char Char Char Char Char Char Char88"/>
    <w:semiHidden/>
    <w:rsid w:val="00654BD9"/>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83">
    <w:name w:val="(文字) (文字)583"/>
    <w:semiHidden/>
    <w:rsid w:val="00654BD9"/>
    <w:rPr>
      <w:rFonts w:ascii="Times New Roman" w:hAnsi="Times New Roman"/>
      <w:lang w:eastAsia="en-US"/>
    </w:rPr>
  </w:style>
  <w:style w:type="paragraph" w:customStyle="1" w:styleId="CharChar1CharCharCharCharCharCharCharCharCharCharCharCharCharCharChar87">
    <w:name w:val="Char Char1 Char Char Char Char Char Char Char Char Char Char Char Char Char Char Char87"/>
    <w:semiHidden/>
    <w:rsid w:val="00B65609"/>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82">
    <w:name w:val="(文字) (文字)582"/>
    <w:semiHidden/>
    <w:rsid w:val="00B65609"/>
    <w:rPr>
      <w:rFonts w:ascii="Times New Roman" w:hAnsi="Times New Roman"/>
      <w:lang w:eastAsia="en-US"/>
    </w:rPr>
  </w:style>
  <w:style w:type="character" w:customStyle="1" w:styleId="TAHChar">
    <w:name w:val="TAH Char"/>
    <w:rsid w:val="00077147"/>
    <w:rPr>
      <w:rFonts w:ascii="Arial" w:eastAsia="Times New Roman" w:hAnsi="Arial"/>
      <w:b/>
      <w:sz w:val="18"/>
      <w:lang w:val="en-GB"/>
    </w:rPr>
  </w:style>
  <w:style w:type="character" w:customStyle="1" w:styleId="emailstyle19">
    <w:name w:val="emailstyle19"/>
    <w:basedOn w:val="DefaultParagraphFont"/>
    <w:semiHidden/>
    <w:rsid w:val="00F60279"/>
    <w:rPr>
      <w:rFonts w:ascii="Calibri" w:hAnsi="Calibri" w:cs="Calibri" w:hint="default"/>
      <w:color w:val="auto"/>
    </w:rPr>
  </w:style>
  <w:style w:type="character" w:customStyle="1" w:styleId="None">
    <w:name w:val="None"/>
    <w:basedOn w:val="DefaultParagraphFont"/>
    <w:rsid w:val="00F60279"/>
  </w:style>
  <w:style w:type="paragraph" w:customStyle="1" w:styleId="CharChar1CharCharCharCharCharCharCharCharCharCharCharCharCharCharChar86">
    <w:name w:val="Char Char1 Char Char Char Char Char Char Char Char Char Char Char Char Char Char Char86"/>
    <w:uiPriority w:val="99"/>
    <w:semiHidden/>
    <w:rsid w:val="00785D37"/>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81">
    <w:name w:val="(文字) (文字)581"/>
    <w:semiHidden/>
    <w:rsid w:val="00785D37"/>
    <w:rPr>
      <w:rFonts w:ascii="Times New Roman" w:hAnsi="Times New Roman"/>
      <w:lang w:eastAsia="en-US"/>
    </w:rPr>
  </w:style>
  <w:style w:type="paragraph" w:customStyle="1" w:styleId="xtal">
    <w:name w:val="x_tal"/>
    <w:basedOn w:val="Normal"/>
    <w:uiPriority w:val="99"/>
    <w:rsid w:val="00785D37"/>
    <w:rPr>
      <w:rFonts w:ascii="Times New Roman" w:eastAsia="SimSun" w:hAnsi="Times New Roman" w:cs="Calibri"/>
      <w:sz w:val="24"/>
      <w:szCs w:val="22"/>
      <w:lang w:val="en-US" w:eastAsia="zh-CN"/>
    </w:rPr>
  </w:style>
  <w:style w:type="character" w:customStyle="1" w:styleId="xnone">
    <w:name w:val="x_none"/>
    <w:rsid w:val="00785D37"/>
  </w:style>
  <w:style w:type="character" w:customStyle="1" w:styleId="gmaildefault">
    <w:name w:val="gmail_default"/>
    <w:rsid w:val="00785D37"/>
  </w:style>
  <w:style w:type="paragraph" w:customStyle="1" w:styleId="aff0">
    <w:name w:val="a"/>
    <w:basedOn w:val="Normal"/>
    <w:uiPriority w:val="99"/>
    <w:rsid w:val="00785D37"/>
    <w:pPr>
      <w:spacing w:before="100" w:beforeAutospacing="1" w:after="100" w:afterAutospacing="1"/>
    </w:pPr>
    <w:rPr>
      <w:rFonts w:ascii="Calibri" w:eastAsia="SimSun" w:hAnsi="Calibri" w:cs="Calibri"/>
      <w:sz w:val="22"/>
      <w:szCs w:val="22"/>
      <w:lang w:val="en-US" w:eastAsia="zh-CN"/>
    </w:rPr>
  </w:style>
  <w:style w:type="character" w:customStyle="1" w:styleId="xapple-converted-space0">
    <w:name w:val="xapple-converted-space"/>
    <w:rsid w:val="00785D37"/>
  </w:style>
  <w:style w:type="paragraph" w:customStyle="1" w:styleId="CharChar1CharCharCharCharCharCharCharCharCharCharCharCharCharCharChar85">
    <w:name w:val="Char Char1 Char Char Char Char Char Char Char Char Char Char Char Char Char Char Char85"/>
    <w:uiPriority w:val="99"/>
    <w:semiHidden/>
    <w:rsid w:val="00F64E29"/>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80">
    <w:name w:val="(文字) (文字)580"/>
    <w:semiHidden/>
    <w:rsid w:val="00F64E29"/>
    <w:rPr>
      <w:rFonts w:ascii="Times New Roman" w:hAnsi="Times New Roman"/>
      <w:lang w:eastAsia="en-US"/>
    </w:rPr>
  </w:style>
  <w:style w:type="paragraph" w:customStyle="1" w:styleId="gmail-msonormal">
    <w:name w:val="gmail-msonormal"/>
    <w:basedOn w:val="Normal"/>
    <w:rsid w:val="00F64E29"/>
    <w:pPr>
      <w:spacing w:before="100" w:beforeAutospacing="1" w:after="100" w:afterAutospacing="1"/>
    </w:pPr>
    <w:rPr>
      <w:rFonts w:ascii="Calibri" w:eastAsia="SimSun" w:hAnsi="Calibri" w:cs="Calibri"/>
      <w:sz w:val="22"/>
      <w:szCs w:val="22"/>
      <w:lang w:val="en-US" w:eastAsia="zh-CN"/>
    </w:rPr>
  </w:style>
  <w:style w:type="character" w:customStyle="1" w:styleId="ListParagraphChar1">
    <w:name w:val="List Paragraph Char1"/>
    <w:aliases w:val="- Bullets Char1,?? ?? Char1,????? Char1,???? Char1,Lista1 Char1,リスト段落 Char1,목록 단락 Char2,列出段落1 Char1,—ño’i—Ž Char1"/>
    <w:uiPriority w:val="34"/>
    <w:qFormat/>
    <w:locked/>
    <w:rsid w:val="00F64E29"/>
    <w:rPr>
      <w:rFonts w:ascii="Times New Roman" w:eastAsia="Calibri" w:hAnsi="Times New Roman"/>
      <w:szCs w:val="22"/>
      <w:lang w:eastAsia="en-US"/>
    </w:rPr>
  </w:style>
  <w:style w:type="character" w:customStyle="1" w:styleId="msoins2">
    <w:name w:val="msoins2"/>
    <w:rsid w:val="00F64E29"/>
  </w:style>
  <w:style w:type="paragraph" w:customStyle="1" w:styleId="xxxmsolistparagraph">
    <w:name w:val="x_xxmsolistparagraph"/>
    <w:basedOn w:val="Normal"/>
    <w:uiPriority w:val="99"/>
    <w:rsid w:val="00F64E29"/>
    <w:pPr>
      <w:ind w:left="800"/>
      <w:jc w:val="both"/>
    </w:pPr>
    <w:rPr>
      <w:rFonts w:ascii="Calibri" w:eastAsia="SimSun" w:hAnsi="Calibri" w:cs="Calibri"/>
      <w:sz w:val="21"/>
      <w:szCs w:val="21"/>
      <w:lang w:val="en-US" w:eastAsia="zh-CN"/>
    </w:rPr>
  </w:style>
  <w:style w:type="paragraph" w:customStyle="1" w:styleId="xxmsonormal0">
    <w:name w:val="xxmsonormal"/>
    <w:basedOn w:val="Normal"/>
    <w:rsid w:val="00F64E29"/>
    <w:rPr>
      <w:rFonts w:ascii="SimSun" w:eastAsia="SimSun" w:hAnsi="SimSun" w:cs="Gulim"/>
      <w:sz w:val="24"/>
      <w:lang w:val="en-US" w:eastAsia="zh-CN"/>
    </w:rPr>
  </w:style>
  <w:style w:type="paragraph" w:customStyle="1" w:styleId="CharChar1CharCharCharCharCharCharCharCharCharCharCharCharCharCharChar84">
    <w:name w:val="Char Char1 Char Char Char Char Char Char Char Char Char Char Char Char Char Char Char84"/>
    <w:semiHidden/>
    <w:rsid w:val="00C93B83"/>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79">
    <w:name w:val="(文字) (文字)579"/>
    <w:semiHidden/>
    <w:rsid w:val="00C93B83"/>
    <w:rPr>
      <w:rFonts w:ascii="Times New Roman" w:hAnsi="Times New Roman"/>
      <w:lang w:eastAsia="en-US"/>
    </w:rPr>
  </w:style>
  <w:style w:type="paragraph" w:customStyle="1" w:styleId="Obserevation">
    <w:name w:val="Obserevation"/>
    <w:basedOn w:val="Normal"/>
    <w:link w:val="ObserevationChar"/>
    <w:qFormat/>
    <w:rsid w:val="00E47502"/>
    <w:pPr>
      <w:numPr>
        <w:numId w:val="55"/>
      </w:numPr>
      <w:tabs>
        <w:tab w:val="left" w:pos="1620"/>
      </w:tabs>
      <w:spacing w:before="120"/>
      <w:ind w:left="1627" w:hanging="1627"/>
    </w:pPr>
    <w:rPr>
      <w:rFonts w:ascii="Calibri" w:eastAsia="MS Mincho" w:hAnsi="Calibri"/>
      <w:b/>
      <w:szCs w:val="20"/>
      <w:lang w:val="en-US"/>
    </w:rPr>
  </w:style>
  <w:style w:type="character" w:customStyle="1" w:styleId="ObserevationChar">
    <w:name w:val="Obserevation Char"/>
    <w:basedOn w:val="Proposal1Char"/>
    <w:link w:val="Obserevation"/>
    <w:rsid w:val="00E47502"/>
    <w:rPr>
      <w:rFonts w:ascii="Calibri" w:eastAsia="MS Mincho" w:hAnsi="Calibri"/>
      <w:b/>
      <w:lang w:val="en-US" w:eastAsia="en-US"/>
    </w:rPr>
  </w:style>
  <w:style w:type="paragraph" w:customStyle="1" w:styleId="CharChar1CharCharCharCharCharCharCharCharCharCharCharCharCharCharChar83">
    <w:name w:val="Char Char1 Char Char Char Char Char Char Char Char Char Char Char Char Char Char Char83"/>
    <w:semiHidden/>
    <w:rsid w:val="00BE5F8E"/>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78">
    <w:name w:val="(文字) (文字)578"/>
    <w:semiHidden/>
    <w:rsid w:val="00BE5F8E"/>
    <w:rPr>
      <w:rFonts w:ascii="Times New Roman" w:hAnsi="Times New Roman"/>
      <w:lang w:eastAsia="en-US"/>
    </w:rPr>
  </w:style>
  <w:style w:type="character" w:customStyle="1" w:styleId="aff1">
    <w:name w:val="リスト段落 (文字)"/>
    <w:aliases w:val="- Bullets (文字),?? ?? (文字),????? (文字),???? (文字),Lista1 (文字),列出段落1 (文字),中等深浅网格 1 - 着色 21 (文字),列表段落 (文字),¥¡¡¡¡ì¬º¥¹¥È¶ÎÂä (文字),ÁÐ³ö¶ÎÂä (文字),列表段落1 (文字),—ño’i—Ž (文字),¥ê¥¹¥È¶ÎÂä (文字),1st level - Bullet List Paragraph (文字),Paragrafo elenco (文字)"/>
    <w:uiPriority w:val="34"/>
    <w:qFormat/>
    <w:locked/>
    <w:rsid w:val="00BE5F8E"/>
    <w:rPr>
      <w:rFonts w:ascii="Calibri" w:hAnsi="Calibri" w:cs="Calibri"/>
    </w:rPr>
  </w:style>
  <w:style w:type="paragraph" w:customStyle="1" w:styleId="CharChar1CharCharCharCharCharCharCharCharCharCharCharCharCharCharChar82">
    <w:name w:val="Char Char1 Char Char Char Char Char Char Char Char Char Char Char Char Char Char Char82"/>
    <w:semiHidden/>
    <w:rsid w:val="00A012F1"/>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77">
    <w:name w:val="(文字) (文字)577"/>
    <w:semiHidden/>
    <w:rsid w:val="00A012F1"/>
    <w:rPr>
      <w:rFonts w:ascii="Times New Roman" w:hAnsi="Times New Roman"/>
      <w:lang w:eastAsia="en-US"/>
    </w:rPr>
  </w:style>
  <w:style w:type="paragraph" w:customStyle="1" w:styleId="CharChar1CharCharCharCharCharCharCharCharCharCharCharCharCharCharChar81">
    <w:name w:val="Char Char1 Char Char Char Char Char Char Char Char Char Char Char Char Char Char Char81"/>
    <w:semiHidden/>
    <w:rsid w:val="00E110B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76">
    <w:name w:val="(文字) (文字)576"/>
    <w:semiHidden/>
    <w:rsid w:val="00E110B6"/>
    <w:rPr>
      <w:rFonts w:ascii="Times New Roman" w:hAnsi="Times New Roman"/>
      <w:lang w:eastAsia="en-US"/>
    </w:rPr>
  </w:style>
  <w:style w:type="paragraph" w:customStyle="1" w:styleId="gmail-3gppagreements">
    <w:name w:val="gmail-3gppagreements"/>
    <w:basedOn w:val="Normal"/>
    <w:uiPriority w:val="99"/>
    <w:rsid w:val="00E33DD7"/>
    <w:pPr>
      <w:spacing w:before="100" w:beforeAutospacing="1" w:after="100" w:afterAutospacing="1"/>
    </w:pPr>
    <w:rPr>
      <w:rFonts w:ascii="Calibri" w:eastAsia="Calibri" w:hAnsi="Calibri" w:cs="Calibri"/>
      <w:sz w:val="22"/>
      <w:szCs w:val="22"/>
      <w:lang w:val="en-US"/>
    </w:rPr>
  </w:style>
  <w:style w:type="character" w:customStyle="1" w:styleId="ObservationChar">
    <w:name w:val="Observation Char"/>
    <w:link w:val="Observation0"/>
    <w:qFormat/>
    <w:locked/>
    <w:rsid w:val="00E33DD7"/>
    <w:rPr>
      <w:rFonts w:ascii="Arial" w:eastAsia="Times New Roman" w:hAnsi="Arial"/>
      <w:b/>
      <w:bCs/>
      <w:lang w:eastAsia="zh-CN"/>
    </w:rPr>
  </w:style>
  <w:style w:type="paragraph" w:customStyle="1" w:styleId="a00">
    <w:name w:val="a0"/>
    <w:basedOn w:val="Normal"/>
    <w:qFormat/>
    <w:rsid w:val="008A0871"/>
    <w:pPr>
      <w:spacing w:before="100" w:beforeAutospacing="1" w:after="100" w:afterAutospacing="1"/>
    </w:pPr>
    <w:rPr>
      <w:rFonts w:ascii="Calibri" w:eastAsiaTheme="minorHAnsi" w:hAnsi="Calibri" w:cs="Calibri"/>
      <w:sz w:val="22"/>
      <w:szCs w:val="22"/>
      <w:lang w:eastAsia="en-GB"/>
    </w:rPr>
  </w:style>
  <w:style w:type="paragraph" w:customStyle="1" w:styleId="CharChar1CharCharCharCharCharCharCharCharCharCharCharCharCharCharChar80">
    <w:name w:val="Char Char1 Char Char Char Char Char Char Char Char Char Char Char Char Char Char Char80"/>
    <w:semiHidden/>
    <w:rsid w:val="00F93FC2"/>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75">
    <w:name w:val="(文字) (文字)575"/>
    <w:semiHidden/>
    <w:rsid w:val="00F93FC2"/>
    <w:rPr>
      <w:rFonts w:ascii="Times New Roman" w:hAnsi="Times New Roman"/>
      <w:lang w:eastAsia="en-US"/>
    </w:rPr>
  </w:style>
  <w:style w:type="paragraph" w:customStyle="1" w:styleId="CharChar1CharCharCharCharCharCharCharCharCharCharCharCharCharCharChar79">
    <w:name w:val="Char Char1 Char Char Char Char Char Char Char Char Char Char Char Char Char Char Char79"/>
    <w:uiPriority w:val="99"/>
    <w:semiHidden/>
    <w:rsid w:val="00BE6228"/>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74">
    <w:name w:val="(文字) (文字)574"/>
    <w:semiHidden/>
    <w:rsid w:val="00BE6228"/>
    <w:rPr>
      <w:rFonts w:ascii="Times New Roman" w:hAnsi="Times New Roman"/>
      <w:lang w:eastAsia="en-US"/>
    </w:rPr>
  </w:style>
  <w:style w:type="paragraph" w:customStyle="1" w:styleId="CharChar1CharCharCharCharCharCharCharCharCharCharCharCharCharCharChar78">
    <w:name w:val="Char Char1 Char Char Char Char Char Char Char Char Char Char Char Char Char Char Char78"/>
    <w:uiPriority w:val="99"/>
    <w:semiHidden/>
    <w:rsid w:val="00981A05"/>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73">
    <w:name w:val="(文字) (文字)573"/>
    <w:semiHidden/>
    <w:rsid w:val="00981A05"/>
    <w:rPr>
      <w:rFonts w:ascii="Times New Roman" w:hAnsi="Times New Roman"/>
      <w:lang w:eastAsia="en-US"/>
    </w:rPr>
  </w:style>
  <w:style w:type="paragraph" w:customStyle="1" w:styleId="xxxmsonormal">
    <w:name w:val="x_x_xmsonormal"/>
    <w:basedOn w:val="Normal"/>
    <w:rsid w:val="00981A05"/>
    <w:rPr>
      <w:rFonts w:ascii="Calibri" w:eastAsia="Calibri" w:hAnsi="Calibri" w:cs="Calibri"/>
      <w:sz w:val="22"/>
      <w:szCs w:val="22"/>
      <w:lang w:val="en-US"/>
    </w:rPr>
  </w:style>
  <w:style w:type="character" w:customStyle="1" w:styleId="ListLabel47">
    <w:name w:val="ListLabel 47"/>
    <w:qFormat/>
    <w:rsid w:val="00981A05"/>
    <w:rPr>
      <w:rFonts w:cs="Courier New"/>
    </w:rPr>
  </w:style>
  <w:style w:type="table" w:customStyle="1" w:styleId="112">
    <w:name w:val="网格表 1 浅色1"/>
    <w:basedOn w:val="TableNormal"/>
    <w:uiPriority w:val="46"/>
    <w:rsid w:val="00981A05"/>
    <w:rPr>
      <w:rFonts w:ascii="Calibri" w:eastAsia="SimSun" w:hAnsi="Calibri" w:cs="Arial"/>
      <w:sz w:val="22"/>
      <w:szCs w:val="22"/>
    </w:rPr>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paragraph" w:customStyle="1" w:styleId="xxxmsonormal0">
    <w:name w:val="x_xxmsonormal"/>
    <w:basedOn w:val="Normal"/>
    <w:qFormat/>
    <w:rsid w:val="00981A05"/>
    <w:rPr>
      <w:rFonts w:ascii="Gulim" w:eastAsia="Gulim" w:hAnsi="Gulim" w:cs="Calibri"/>
      <w:sz w:val="24"/>
      <w:lang w:val="en-US"/>
    </w:rPr>
  </w:style>
  <w:style w:type="paragraph" w:customStyle="1" w:styleId="xxmsolistparagraph0">
    <w:name w:val="xxmsolistparagraph"/>
    <w:basedOn w:val="Normal"/>
    <w:rsid w:val="00981A05"/>
    <w:rPr>
      <w:rFonts w:ascii="Calibri" w:eastAsia="Calibri" w:hAnsi="Calibri" w:cs="Calibri"/>
      <w:sz w:val="22"/>
      <w:szCs w:val="22"/>
      <w:lang w:val="en-US"/>
    </w:rPr>
  </w:style>
  <w:style w:type="paragraph" w:customStyle="1" w:styleId="3GPPH2">
    <w:name w:val="3GPP H2"/>
    <w:basedOn w:val="Heading2"/>
    <w:next w:val="3GPPText"/>
    <w:uiPriority w:val="99"/>
    <w:qFormat/>
    <w:rsid w:val="00981A05"/>
    <w:pPr>
      <w:keepLines/>
      <w:numPr>
        <w:numId w:val="57"/>
      </w:numPr>
      <w:overflowPunct w:val="0"/>
      <w:autoSpaceDE w:val="0"/>
      <w:autoSpaceDN w:val="0"/>
      <w:adjustRightInd w:val="0"/>
      <w:spacing w:before="180" w:after="120"/>
    </w:pPr>
    <w:rPr>
      <w:rFonts w:eastAsia="SimSun" w:cs="Times New Roman"/>
      <w:b w:val="0"/>
      <w:bCs w:val="0"/>
      <w:i w:val="0"/>
      <w:iCs w:val="0"/>
      <w:sz w:val="32"/>
      <w:szCs w:val="20"/>
    </w:rPr>
  </w:style>
  <w:style w:type="paragraph" w:customStyle="1" w:styleId="m-8344110204669877727observation">
    <w:name w:val="m_-8344110204669877727observation"/>
    <w:basedOn w:val="Normal"/>
    <w:rsid w:val="00981A05"/>
    <w:pPr>
      <w:spacing w:before="100" w:beforeAutospacing="1" w:after="100" w:afterAutospacing="1"/>
    </w:pPr>
    <w:rPr>
      <w:rFonts w:ascii="Calibri" w:eastAsia="Calibri" w:hAnsi="Calibri" w:cs="Calibri"/>
      <w:sz w:val="22"/>
      <w:szCs w:val="22"/>
      <w:lang w:val="en-US"/>
    </w:rPr>
  </w:style>
  <w:style w:type="paragraph" w:customStyle="1" w:styleId="CharChar1CharCharCharCharCharCharCharCharCharCharCharCharCharCharChar77">
    <w:name w:val="Char Char1 Char Char Char Char Char Char Char Char Char Char Char Char Char Char Char77"/>
    <w:uiPriority w:val="99"/>
    <w:semiHidden/>
    <w:rsid w:val="00102C91"/>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72">
    <w:name w:val="(文字) (文字)572"/>
    <w:semiHidden/>
    <w:rsid w:val="00102C91"/>
    <w:rPr>
      <w:rFonts w:ascii="Times New Roman" w:hAnsi="Times New Roman"/>
      <w:lang w:eastAsia="en-US"/>
    </w:rPr>
  </w:style>
  <w:style w:type="paragraph" w:customStyle="1" w:styleId="CharChar1CharCharCharCharCharCharCharCharCharCharCharCharCharCharChar76">
    <w:name w:val="Char Char1 Char Char Char Char Char Char Char Char Char Char Char Char Char Char Char76"/>
    <w:uiPriority w:val="99"/>
    <w:semiHidden/>
    <w:rsid w:val="001C7C24"/>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71">
    <w:name w:val="(文字) (文字)571"/>
    <w:semiHidden/>
    <w:rsid w:val="001C7C24"/>
    <w:rPr>
      <w:rFonts w:ascii="Times New Roman" w:hAnsi="Times New Roman"/>
      <w:lang w:eastAsia="en-US"/>
    </w:rPr>
  </w:style>
  <w:style w:type="paragraph" w:customStyle="1" w:styleId="CharChar1CharCharCharCharCharCharCharCharCharCharCharCharCharCharChar75">
    <w:name w:val="Char Char1 Char Char Char Char Char Char Char Char Char Char Char Char Char Char Char75"/>
    <w:uiPriority w:val="99"/>
    <w:semiHidden/>
    <w:rsid w:val="009E7460"/>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70">
    <w:name w:val="(文字) (文字)570"/>
    <w:semiHidden/>
    <w:rsid w:val="009E7460"/>
    <w:rPr>
      <w:rFonts w:ascii="Times New Roman" w:hAnsi="Times New Roman"/>
      <w:lang w:eastAsia="en-US"/>
    </w:rPr>
  </w:style>
  <w:style w:type="paragraph" w:customStyle="1" w:styleId="CharChar1CharCharCharCharCharCharCharCharCharCharCharCharCharCharChar74">
    <w:name w:val="Char Char1 Char Char Char Char Char Char Char Char Char Char Char Char Char Char Char74"/>
    <w:semiHidden/>
    <w:rsid w:val="00924715"/>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69">
    <w:name w:val="(文字) (文字)569"/>
    <w:semiHidden/>
    <w:rsid w:val="00924715"/>
    <w:rPr>
      <w:rFonts w:ascii="Times New Roman" w:hAnsi="Times New Roman"/>
      <w:lang w:eastAsia="en-US"/>
    </w:rPr>
  </w:style>
  <w:style w:type="paragraph" w:customStyle="1" w:styleId="CharChar1CharCharCharCharCharCharCharCharCharCharCharCharCharCharChar73">
    <w:name w:val="Char Char1 Char Char Char Char Char Char Char Char Char Char Char Char Char Char Char73"/>
    <w:semiHidden/>
    <w:rsid w:val="005F2E5F"/>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68">
    <w:name w:val="(文字) (文字)568"/>
    <w:semiHidden/>
    <w:rsid w:val="005F2E5F"/>
    <w:rPr>
      <w:rFonts w:ascii="Times New Roman" w:hAnsi="Times New Roman"/>
      <w:lang w:eastAsia="en-US"/>
    </w:rPr>
  </w:style>
  <w:style w:type="character" w:customStyle="1" w:styleId="aff2">
    <w:name w:val="清單段落 字元"/>
    <w:aliases w:val="- Bullets 字元,リスト段落 字元,Lista1 字元,?? ?? 字元,????? 字元,???? 字元,列出段落1 字元,中等深浅网格 1 - 着色 21 字元,¥  ¡  ¡  ¡  ¡  ì¬  º  ¥  ¹  ¥  È  ¶  Î  Â  ä 字元,Á  Ð  ³  ö  ¶  Î  Â  ä 字元,列表段落1 字元,—ñ    o’i—Ž 字元,¥  ê¥  ¹  ¥  È  ¶  Î  Â  ä 字元,Lettre d'introduction 字元"/>
    <w:basedOn w:val="DefaultParagraphFont"/>
    <w:uiPriority w:val="34"/>
    <w:locked/>
    <w:rsid w:val="00B40125"/>
    <w:rPr>
      <w:rFonts w:ascii="Calibri" w:hAnsi="Calibri" w:cs="Calibri"/>
      <w:lang w:eastAsia="zh-CN"/>
    </w:rPr>
  </w:style>
  <w:style w:type="paragraph" w:customStyle="1" w:styleId="xmsobodytext">
    <w:name w:val="xmsobodytext"/>
    <w:basedOn w:val="Normal"/>
    <w:uiPriority w:val="99"/>
    <w:rsid w:val="00142D8F"/>
    <w:pPr>
      <w:spacing w:before="100" w:beforeAutospacing="1" w:after="100" w:afterAutospacing="1"/>
    </w:pPr>
    <w:rPr>
      <w:rFonts w:ascii="Calibri" w:eastAsia="Gulim" w:hAnsi="Calibri" w:cs="Calibri"/>
      <w:sz w:val="22"/>
      <w:szCs w:val="22"/>
      <w:lang w:val="en-US" w:eastAsia="ko-KR"/>
    </w:rPr>
  </w:style>
  <w:style w:type="character" w:customStyle="1" w:styleId="discussionpointChar">
    <w:name w:val="discussion point Char"/>
    <w:link w:val="discussionpoint"/>
    <w:qFormat/>
    <w:locked/>
    <w:rsid w:val="00B02C4C"/>
    <w:rPr>
      <w:rFonts w:ascii="Batang" w:hAnsi="Batang"/>
    </w:rPr>
  </w:style>
  <w:style w:type="paragraph" w:customStyle="1" w:styleId="discussionpoint">
    <w:name w:val="discussion point"/>
    <w:basedOn w:val="Normal"/>
    <w:link w:val="discussionpointChar"/>
    <w:qFormat/>
    <w:rsid w:val="00B02C4C"/>
    <w:pPr>
      <w:overflowPunct w:val="0"/>
      <w:autoSpaceDE w:val="0"/>
      <w:autoSpaceDN w:val="0"/>
      <w:snapToGrid w:val="0"/>
      <w:spacing w:after="60" w:line="252" w:lineRule="auto"/>
      <w:jc w:val="both"/>
    </w:pPr>
    <w:rPr>
      <w:rFonts w:ascii="Batang" w:hAnsi="Batang"/>
      <w:szCs w:val="20"/>
      <w:lang w:eastAsia="en-GB"/>
    </w:rPr>
  </w:style>
  <w:style w:type="paragraph" w:customStyle="1" w:styleId="CharChar1CharCharCharCharCharCharCharCharCharCharCharCharCharCharChar72">
    <w:name w:val="Char Char1 Char Char Char Char Char Char Char Char Char Char Char Char Char Char Char72"/>
    <w:semiHidden/>
    <w:rsid w:val="006242E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67">
    <w:name w:val="(文字) (文字)567"/>
    <w:semiHidden/>
    <w:rsid w:val="006242E6"/>
    <w:rPr>
      <w:rFonts w:ascii="Times New Roman" w:hAnsi="Times New Roman"/>
      <w:lang w:eastAsia="en-US"/>
    </w:rPr>
  </w:style>
  <w:style w:type="character" w:customStyle="1" w:styleId="aff3">
    <w:name w:val="题注 字符"/>
    <w:aliases w:val="cap 字符,cap Char 字符,Caption Char 字符,Caption Char1 Char 字符,cap Char Char1 字符,Caption Char Char1 Char 字符,cap Char2 字符,cap1 字符,cap2 字符,cap11 字符,Légende-figure 字符,Légende-figure Char 字符,Beschrifubg 字符,Beschriftung Char 字符,label 字符,cap11 Char 字符"/>
    <w:locked/>
    <w:rsid w:val="006242E6"/>
    <w:rPr>
      <w:rFonts w:ascii="Malgun Gothic" w:eastAsia="Malgun Gothic" w:hAnsi="Malgun Gothic"/>
      <w:b/>
      <w:bCs/>
    </w:rPr>
  </w:style>
  <w:style w:type="table" w:styleId="TableGrid8">
    <w:name w:val="Table Grid 8"/>
    <w:basedOn w:val="TableNormal"/>
    <w:unhideWhenUsed/>
    <w:qFormat/>
    <w:rsid w:val="006242E6"/>
    <w:pPr>
      <w:snapToGrid w:val="0"/>
      <w:spacing w:after="100" w:afterAutospacing="1" w:line="256" w:lineRule="auto"/>
    </w:pPr>
    <w:rPr>
      <w:rFonts w:eastAsia="SimSun"/>
      <w:lang w:val="fr-FR"/>
    </w:rPr>
    <w:tblPr>
      <w:tblInd w:w="0" w:type="nil"/>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il"/>
          <w:tr2bl w:val="nil"/>
        </w:tcBorders>
        <w:shd w:val="solid" w:color="000080" w:fill="FFFFFF"/>
      </w:tcPr>
    </w:tblStylePr>
    <w:tblStylePr w:type="lastRow">
      <w:rPr>
        <w:b/>
        <w:bCs/>
        <w:color w:val="auto"/>
      </w:rPr>
      <w:tblPr/>
      <w:tcPr>
        <w:tcBorders>
          <w:tl2br w:val="nil"/>
          <w:tr2bl w:val="nil"/>
        </w:tcBorders>
      </w:tcPr>
    </w:tblStylePr>
    <w:tblStylePr w:type="lastCol">
      <w:rPr>
        <w:b/>
        <w:bCs/>
        <w:color w:val="auto"/>
      </w:rPr>
      <w:tblPr/>
      <w:tcPr>
        <w:tcBorders>
          <w:tl2br w:val="nil"/>
          <w:tr2bl w:val="nil"/>
        </w:tcBorders>
      </w:tcPr>
    </w:tblStylePr>
  </w:style>
  <w:style w:type="character" w:customStyle="1" w:styleId="ParagraphedelisteCar">
    <w:name w:val="Paragraphe de liste Car"/>
    <w:aliases w:val="- Bullets Car,Lista1 Car,?? ?? Car,????? Car,???? Car,列出段落1 Car,中等深浅网格 1 - 着色 21 Car,1st level - Bullet List Paragraph Car,List Paragraph1 Car,Lettre d'introduction Car,Paragrafo elenco Car,Normal bullet 2 Car,Bullet list Car"/>
    <w:uiPriority w:val="34"/>
    <w:locked/>
    <w:rsid w:val="006242E6"/>
    <w:rPr>
      <w:rFonts w:ascii="Calibri" w:hAnsi="Calibri" w:cs="Calibri"/>
    </w:rPr>
  </w:style>
  <w:style w:type="paragraph" w:customStyle="1" w:styleId="DraftProposal">
    <w:name w:val="Draft Proposal"/>
    <w:basedOn w:val="Normal"/>
    <w:uiPriority w:val="99"/>
    <w:qFormat/>
    <w:rsid w:val="006242E6"/>
    <w:pPr>
      <w:snapToGrid w:val="0"/>
      <w:spacing w:after="160" w:line="252" w:lineRule="auto"/>
    </w:pPr>
    <w:rPr>
      <w:rFonts w:ascii="Arial" w:eastAsia="Calibri" w:hAnsi="Arial" w:cs="Arial"/>
      <w:b/>
      <w:bCs/>
      <w:sz w:val="22"/>
      <w:szCs w:val="22"/>
      <w:lang w:val="en-US"/>
    </w:rPr>
  </w:style>
  <w:style w:type="paragraph" w:customStyle="1" w:styleId="gmail-m-5668055802669296975msolistparagraph">
    <w:name w:val="gmail-m-5668055802669296975msolistparagraph"/>
    <w:basedOn w:val="Normal"/>
    <w:uiPriority w:val="99"/>
    <w:semiHidden/>
    <w:rsid w:val="006242E6"/>
    <w:pPr>
      <w:spacing w:before="100" w:beforeAutospacing="1" w:after="100" w:afterAutospacing="1"/>
    </w:pPr>
    <w:rPr>
      <w:rFonts w:ascii="Times New Roman" w:eastAsia="Calibri" w:hAnsi="Times New Roman"/>
      <w:sz w:val="24"/>
      <w:lang w:val="en-US"/>
    </w:rPr>
  </w:style>
  <w:style w:type="paragraph" w:customStyle="1" w:styleId="m-2728575548228320336msolistparagraph">
    <w:name w:val="m_-2728575548228320336msolistparagraph"/>
    <w:basedOn w:val="Normal"/>
    <w:rsid w:val="006242E6"/>
    <w:pPr>
      <w:spacing w:before="100" w:beforeAutospacing="1" w:after="100" w:afterAutospacing="1"/>
    </w:pPr>
    <w:rPr>
      <w:rFonts w:ascii="Times New Roman" w:eastAsia="Times New Roman" w:hAnsi="Times New Roman"/>
      <w:sz w:val="24"/>
      <w:lang w:val="en-US" w:eastAsia="ko-KR"/>
    </w:rPr>
  </w:style>
  <w:style w:type="paragraph" w:customStyle="1" w:styleId="000proposal">
    <w:name w:val="000_proposal"/>
    <w:basedOn w:val="00Text"/>
    <w:link w:val="000proposalChar"/>
    <w:qFormat/>
    <w:rsid w:val="00392A33"/>
    <w:pPr>
      <w:spacing w:before="120" w:line="264" w:lineRule="auto"/>
    </w:pPr>
    <w:rPr>
      <w:b/>
      <w:bCs/>
      <w:i/>
      <w:iCs/>
    </w:rPr>
  </w:style>
  <w:style w:type="character" w:customStyle="1" w:styleId="000proposalChar">
    <w:name w:val="000_proposal Char"/>
    <w:basedOn w:val="00TextChar"/>
    <w:link w:val="000proposal"/>
    <w:qFormat/>
    <w:rsid w:val="00392A33"/>
    <w:rPr>
      <w:rFonts w:eastAsia="SimSun"/>
      <w:b/>
      <w:bCs/>
      <w:i/>
      <w:iCs/>
      <w:szCs w:val="24"/>
      <w:lang w:val="en-US" w:eastAsia="zh-CN"/>
    </w:rPr>
  </w:style>
  <w:style w:type="paragraph" w:customStyle="1" w:styleId="CharChar1CharCharCharCharCharCharCharCharCharCharCharCharCharCharChar71">
    <w:name w:val="Char Char1 Char Char Char Char Char Char Char Char Char Char Char Char Char Char Char71"/>
    <w:semiHidden/>
    <w:rsid w:val="00E757C7"/>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66">
    <w:name w:val="(文字) (文字)566"/>
    <w:semiHidden/>
    <w:rsid w:val="00E757C7"/>
    <w:rPr>
      <w:rFonts w:ascii="Times New Roman" w:hAnsi="Times New Roman"/>
      <w:lang w:eastAsia="en-US"/>
    </w:rPr>
  </w:style>
  <w:style w:type="character" w:customStyle="1" w:styleId="aff4">
    <w:name w:val="?  ?  ?  ?   ?  ?"/>
    <w:aliases w:val="?  ?  ?  ?  ?   ?  ?,?  ?  ?  ?  11 ?  ?"/>
    <w:link w:val="aff5"/>
    <w:uiPriority w:val="34"/>
    <w:locked/>
    <w:rsid w:val="006434F2"/>
    <w:rPr>
      <w:rFonts w:ascii="Calibri" w:hAnsi="Calibri" w:cs="Calibri"/>
    </w:rPr>
  </w:style>
  <w:style w:type="paragraph" w:customStyle="1" w:styleId="aff5">
    <w:name w:val="?  ?  ?  ?"/>
    <w:aliases w:val="?  ?  ?  ?  ?,?  ?  ?  ?  11"/>
    <w:basedOn w:val="Normal"/>
    <w:link w:val="aff4"/>
    <w:uiPriority w:val="34"/>
    <w:rsid w:val="006434F2"/>
    <w:pPr>
      <w:wordWrap w:val="0"/>
      <w:autoSpaceDE w:val="0"/>
      <w:autoSpaceDN w:val="0"/>
      <w:spacing w:before="120" w:after="360" w:line="264" w:lineRule="auto"/>
      <w:ind w:leftChars="400" w:left="800" w:firstLine="425"/>
      <w:jc w:val="both"/>
    </w:pPr>
    <w:rPr>
      <w:rFonts w:ascii="Calibri" w:hAnsi="Calibri" w:cs="Calibri"/>
      <w:szCs w:val="20"/>
      <w:lang w:eastAsia="en-GB"/>
    </w:rPr>
  </w:style>
  <w:style w:type="character" w:customStyle="1" w:styleId="bullet11">
    <w:name w:val="bullet1 字符"/>
    <w:qFormat/>
    <w:rsid w:val="00F666A1"/>
    <w:rPr>
      <w:rFonts w:ascii="Calibri" w:eastAsia="Malgun Gothic" w:hAnsi="Calibri"/>
      <w:sz w:val="22"/>
      <w:szCs w:val="22"/>
    </w:rPr>
  </w:style>
  <w:style w:type="paragraph" w:customStyle="1" w:styleId="CharChar1CharCharCharCharCharCharCharCharCharCharCharCharCharCharChar70">
    <w:name w:val="Char Char1 Char Char Char Char Char Char Char Char Char Char Char Char Char Char Char70"/>
    <w:semiHidden/>
    <w:rsid w:val="00773AA4"/>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65">
    <w:name w:val="(文字) (文字)565"/>
    <w:semiHidden/>
    <w:rsid w:val="00773AA4"/>
    <w:rPr>
      <w:rFonts w:ascii="Times New Roman" w:hAnsi="Times New Roman"/>
      <w:lang w:eastAsia="en-US"/>
    </w:rPr>
  </w:style>
  <w:style w:type="paragraph" w:customStyle="1" w:styleId="tal00">
    <w:name w:val="tal0"/>
    <w:basedOn w:val="Normal"/>
    <w:uiPriority w:val="99"/>
    <w:semiHidden/>
    <w:rsid w:val="00D17A38"/>
    <w:pPr>
      <w:spacing w:before="100" w:beforeAutospacing="1" w:after="100" w:afterAutospacing="1"/>
    </w:pPr>
    <w:rPr>
      <w:rFonts w:ascii="Calibri" w:eastAsia="Calibri" w:hAnsi="Calibri" w:cs="Calibri"/>
      <w:sz w:val="22"/>
      <w:szCs w:val="22"/>
      <w:lang w:val="en-US"/>
    </w:rPr>
  </w:style>
  <w:style w:type="paragraph" w:customStyle="1" w:styleId="xa00">
    <w:name w:val="xa0"/>
    <w:basedOn w:val="Normal"/>
    <w:qFormat/>
    <w:rsid w:val="0092617D"/>
    <w:pPr>
      <w:spacing w:before="100" w:beforeAutospacing="1" w:after="100" w:afterAutospacing="1"/>
    </w:pPr>
    <w:rPr>
      <w:rFonts w:ascii="Calibri" w:eastAsia="Calibri" w:hAnsi="Calibri" w:cs="Calibri"/>
      <w:sz w:val="22"/>
      <w:szCs w:val="22"/>
      <w:lang w:val="en-US"/>
    </w:rPr>
  </w:style>
  <w:style w:type="paragraph" w:customStyle="1" w:styleId="CharChar1CharCharCharCharCharCharCharCharCharCharCharCharCharCharChar69">
    <w:name w:val="Char Char1 Char Char Char Char Char Char Char Char Char Char Char Char Char Char Char69"/>
    <w:semiHidden/>
    <w:rsid w:val="00871FCA"/>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64">
    <w:name w:val="(文字) (文字)564"/>
    <w:semiHidden/>
    <w:rsid w:val="00871FCA"/>
    <w:rPr>
      <w:rFonts w:ascii="Times New Roman" w:hAnsi="Times New Roman"/>
      <w:lang w:eastAsia="en-US"/>
    </w:rPr>
  </w:style>
  <w:style w:type="paragraph" w:customStyle="1" w:styleId="affffffffc">
    <w:name w:val="affffffffc"/>
    <w:basedOn w:val="Normal"/>
    <w:rsid w:val="00871FCA"/>
    <w:pPr>
      <w:spacing w:before="100" w:beforeAutospacing="1" w:after="100" w:afterAutospacing="1"/>
    </w:pPr>
    <w:rPr>
      <w:rFonts w:ascii="SimSun" w:eastAsia="SimSun" w:hAnsi="SimSun" w:cs="Calibri"/>
      <w:sz w:val="24"/>
      <w:lang w:val="en-US"/>
    </w:rPr>
  </w:style>
  <w:style w:type="character" w:customStyle="1" w:styleId="HTML">
    <w:name w:val="HTML 预设格式 字符"/>
    <w:link w:val="HTML0"/>
    <w:uiPriority w:val="99"/>
    <w:semiHidden/>
    <w:locked/>
    <w:rsid w:val="00871FCA"/>
    <w:rPr>
      <w:rFonts w:ascii="Courier New" w:hAnsi="Courier New" w:cs="Courier New"/>
      <w:lang w:eastAsia="ko-KR"/>
    </w:rPr>
  </w:style>
  <w:style w:type="paragraph" w:customStyle="1" w:styleId="HTML0">
    <w:name w:val="HTML 预设格式"/>
    <w:basedOn w:val="Normal"/>
    <w:link w:val="HTML"/>
    <w:uiPriority w:val="99"/>
    <w:semiHidden/>
    <w:rsid w:val="00871FCA"/>
    <w:rPr>
      <w:rFonts w:ascii="Courier New" w:hAnsi="Courier New" w:cs="Courier New"/>
      <w:szCs w:val="20"/>
      <w:lang w:eastAsia="ko-KR"/>
    </w:rPr>
  </w:style>
  <w:style w:type="paragraph" w:customStyle="1" w:styleId="xmsocaption">
    <w:name w:val="x_msocaption"/>
    <w:basedOn w:val="Normal"/>
    <w:uiPriority w:val="99"/>
    <w:semiHidden/>
    <w:rsid w:val="00871FCA"/>
    <w:pPr>
      <w:spacing w:before="100" w:beforeAutospacing="1" w:after="100" w:afterAutospacing="1"/>
    </w:pPr>
    <w:rPr>
      <w:rFonts w:ascii="Calibri" w:eastAsia="Calibri" w:hAnsi="Calibri" w:cs="Calibri"/>
      <w:sz w:val="22"/>
      <w:szCs w:val="22"/>
      <w:lang w:val="en-US"/>
    </w:rPr>
  </w:style>
  <w:style w:type="paragraph" w:customStyle="1" w:styleId="xmsonormal00">
    <w:name w:val="x_msonormal0"/>
    <w:basedOn w:val="Normal"/>
    <w:uiPriority w:val="99"/>
    <w:semiHidden/>
    <w:rsid w:val="00871FCA"/>
    <w:pPr>
      <w:spacing w:before="100" w:beforeAutospacing="1" w:after="100" w:afterAutospacing="1"/>
    </w:pPr>
    <w:rPr>
      <w:rFonts w:ascii="Calibri" w:eastAsia="Calibri" w:hAnsi="Calibri" w:cs="Calibri"/>
      <w:sz w:val="22"/>
      <w:szCs w:val="22"/>
      <w:lang w:val="en-US"/>
    </w:rPr>
  </w:style>
  <w:style w:type="paragraph" w:customStyle="1" w:styleId="xhtml0">
    <w:name w:val="x_html0"/>
    <w:basedOn w:val="Normal"/>
    <w:uiPriority w:val="99"/>
    <w:semiHidden/>
    <w:rsid w:val="00871FCA"/>
    <w:rPr>
      <w:rFonts w:ascii="Calibri" w:eastAsia="Calibri" w:hAnsi="Calibri" w:cs="Calibri"/>
      <w:sz w:val="22"/>
      <w:szCs w:val="22"/>
      <w:lang w:val="en-US"/>
    </w:rPr>
  </w:style>
  <w:style w:type="paragraph" w:customStyle="1" w:styleId="xmsochpdefault">
    <w:name w:val="x_msochpdefault"/>
    <w:basedOn w:val="Normal"/>
    <w:uiPriority w:val="99"/>
    <w:semiHidden/>
    <w:rsid w:val="00871FCA"/>
    <w:pPr>
      <w:spacing w:before="100" w:beforeAutospacing="1" w:after="100" w:afterAutospacing="1"/>
    </w:pPr>
    <w:rPr>
      <w:rFonts w:ascii="SimSun" w:eastAsia="SimSun" w:hAnsi="SimSun" w:cs="Calibri"/>
      <w:szCs w:val="20"/>
      <w:lang w:val="en-US"/>
    </w:rPr>
  </w:style>
  <w:style w:type="character" w:customStyle="1" w:styleId="emailstyle36">
    <w:name w:val="emailstyle36"/>
    <w:semiHidden/>
    <w:rsid w:val="00871FCA"/>
    <w:rPr>
      <w:rFonts w:ascii="Calibri" w:hAnsi="Calibri" w:cs="Calibri" w:hint="default"/>
      <w:color w:val="auto"/>
    </w:rPr>
  </w:style>
  <w:style w:type="character" w:customStyle="1" w:styleId="emailstyle37">
    <w:name w:val="emailstyle37"/>
    <w:semiHidden/>
    <w:rsid w:val="00871FCA"/>
    <w:rPr>
      <w:rFonts w:ascii="Calibri" w:hAnsi="Calibri" w:cs="Calibri" w:hint="default"/>
      <w:color w:val="1F497D"/>
    </w:rPr>
  </w:style>
  <w:style w:type="character" w:customStyle="1" w:styleId="emailstyle38">
    <w:name w:val="emailstyle38"/>
    <w:semiHidden/>
    <w:rsid w:val="00871FCA"/>
    <w:rPr>
      <w:rFonts w:ascii="Calibri" w:hAnsi="Calibri" w:cs="Calibri" w:hint="default"/>
      <w:color w:val="1F497D"/>
    </w:rPr>
  </w:style>
  <w:style w:type="character" w:customStyle="1" w:styleId="emailstyle39">
    <w:name w:val="emailstyle39"/>
    <w:semiHidden/>
    <w:rsid w:val="00871FCA"/>
    <w:rPr>
      <w:rFonts w:ascii="Calibri" w:hAnsi="Calibri" w:cs="Calibri" w:hint="default"/>
      <w:color w:val="1F497D"/>
    </w:rPr>
  </w:style>
  <w:style w:type="character" w:customStyle="1" w:styleId="emailstyle41">
    <w:name w:val="emailstyle41"/>
    <w:semiHidden/>
    <w:rsid w:val="00871FCA"/>
    <w:rPr>
      <w:rFonts w:ascii="DengXian" w:eastAsia="DengXian" w:hAnsi="DengXian" w:hint="eastAsia"/>
      <w:color w:val="auto"/>
    </w:rPr>
  </w:style>
  <w:style w:type="character" w:customStyle="1" w:styleId="emailstyle42">
    <w:name w:val="emailstyle42"/>
    <w:semiHidden/>
    <w:rsid w:val="00871FCA"/>
    <w:rPr>
      <w:rFonts w:ascii="DengXian" w:eastAsia="DengXian" w:hAnsi="DengXian" w:hint="eastAsia"/>
      <w:color w:val="auto"/>
    </w:rPr>
  </w:style>
  <w:style w:type="character" w:customStyle="1" w:styleId="emailstyle43">
    <w:name w:val="emailstyle43"/>
    <w:semiHidden/>
    <w:rsid w:val="00871FCA"/>
    <w:rPr>
      <w:rFonts w:ascii="Calibri" w:hAnsi="Calibri" w:cs="Calibri" w:hint="default"/>
      <w:color w:val="1F497D"/>
    </w:rPr>
  </w:style>
  <w:style w:type="character" w:customStyle="1" w:styleId="emailstyle44">
    <w:name w:val="emailstyle44"/>
    <w:semiHidden/>
    <w:rsid w:val="00871FCA"/>
    <w:rPr>
      <w:rFonts w:ascii="Calibri" w:hAnsi="Calibri" w:cs="Calibri" w:hint="default"/>
      <w:color w:val="1F497D"/>
    </w:rPr>
  </w:style>
  <w:style w:type="character" w:customStyle="1" w:styleId="emailstyle45">
    <w:name w:val="emailstyle45"/>
    <w:semiHidden/>
    <w:rsid w:val="00871FCA"/>
    <w:rPr>
      <w:rFonts w:ascii="Calibri" w:hAnsi="Calibri" w:cs="Calibri" w:hint="default"/>
      <w:color w:val="auto"/>
    </w:rPr>
  </w:style>
  <w:style w:type="character" w:customStyle="1" w:styleId="xmsohyperlink">
    <w:name w:val="x_msohyperlink"/>
    <w:rsid w:val="00871FCA"/>
    <w:rPr>
      <w:color w:val="0000FF"/>
      <w:u w:val="single"/>
    </w:rPr>
  </w:style>
  <w:style w:type="character" w:customStyle="1" w:styleId="xmsohyperlinkfollowed">
    <w:name w:val="x_msohyperlinkfollowed"/>
    <w:rsid w:val="00871FCA"/>
    <w:rPr>
      <w:color w:val="800080"/>
      <w:u w:val="single"/>
    </w:rPr>
  </w:style>
  <w:style w:type="character" w:customStyle="1" w:styleId="xhtmlpreformattedchar">
    <w:name w:val="x_htmlpreformattedchar"/>
    <w:rsid w:val="00871FCA"/>
    <w:rPr>
      <w:rFonts w:ascii="Consolas" w:hAnsi="Consolas" w:hint="default"/>
    </w:rPr>
  </w:style>
  <w:style w:type="character" w:customStyle="1" w:styleId="xlistparagraphchar">
    <w:name w:val="x_listparagraphchar"/>
    <w:rsid w:val="00871FCA"/>
    <w:rPr>
      <w:rFonts w:ascii="Calibri" w:hAnsi="Calibri" w:cs="Calibri" w:hint="default"/>
    </w:rPr>
  </w:style>
  <w:style w:type="character" w:customStyle="1" w:styleId="xhtml">
    <w:name w:val="x_html"/>
    <w:rsid w:val="00871FCA"/>
    <w:rPr>
      <w:rFonts w:ascii="Courier New" w:hAnsi="Courier New" w:cs="Courier New" w:hint="default"/>
    </w:rPr>
  </w:style>
  <w:style w:type="character" w:customStyle="1" w:styleId="xemailstyle28">
    <w:name w:val="x_emailstyle28"/>
    <w:rsid w:val="00871FCA"/>
    <w:rPr>
      <w:rFonts w:ascii="Book Antiqua" w:hAnsi="Book Antiqua" w:hint="default"/>
      <w:b w:val="0"/>
      <w:bCs w:val="0"/>
      <w:i w:val="0"/>
      <w:iCs w:val="0"/>
      <w:color w:val="auto"/>
    </w:rPr>
  </w:style>
  <w:style w:type="character" w:customStyle="1" w:styleId="xemailstyle29">
    <w:name w:val="x_emailstyle29"/>
    <w:rsid w:val="00871FCA"/>
    <w:rPr>
      <w:rFonts w:ascii="Calibri" w:hAnsi="Calibri" w:cs="Calibri" w:hint="default"/>
      <w:color w:val="auto"/>
    </w:rPr>
  </w:style>
  <w:style w:type="character" w:customStyle="1" w:styleId="xfontstyle01">
    <w:name w:val="x_fontstyle01"/>
    <w:rsid w:val="00871FCA"/>
    <w:rPr>
      <w:rFonts w:ascii="TimesNewRomanPSMT" w:hAnsi="TimesNewRomanPSMT" w:hint="default"/>
      <w:b w:val="0"/>
      <w:bCs w:val="0"/>
      <w:i w:val="0"/>
      <w:iCs w:val="0"/>
      <w:color w:val="000000"/>
    </w:rPr>
  </w:style>
  <w:style w:type="character" w:customStyle="1" w:styleId="xemailstyle31">
    <w:name w:val="x_emailstyle31"/>
    <w:rsid w:val="00871FCA"/>
    <w:rPr>
      <w:rFonts w:ascii="Calibri" w:hAnsi="Calibri" w:cs="Calibri" w:hint="default"/>
      <w:color w:val="1F497D"/>
    </w:rPr>
  </w:style>
  <w:style w:type="character" w:customStyle="1" w:styleId="xemailstyle32">
    <w:name w:val="x_emailstyle32"/>
    <w:rsid w:val="00871FCA"/>
    <w:rPr>
      <w:rFonts w:ascii="DengXian" w:eastAsia="DengXian" w:hAnsi="DengXian" w:hint="eastAsia"/>
      <w:color w:val="auto"/>
    </w:rPr>
  </w:style>
  <w:style w:type="character" w:customStyle="1" w:styleId="xemailstyle33">
    <w:name w:val="x_emailstyle33"/>
    <w:rsid w:val="00871FCA"/>
    <w:rPr>
      <w:rFonts w:ascii="Calibri" w:hAnsi="Calibri" w:cs="Calibri" w:hint="default"/>
      <w:color w:val="1F497D"/>
    </w:rPr>
  </w:style>
  <w:style w:type="character" w:customStyle="1" w:styleId="xemailstyle34">
    <w:name w:val="x_emailstyle34"/>
    <w:rsid w:val="00871FCA"/>
    <w:rPr>
      <w:rFonts w:ascii="Calibri" w:hAnsi="Calibri" w:cs="Calibri" w:hint="default"/>
      <w:color w:val="auto"/>
    </w:rPr>
  </w:style>
  <w:style w:type="character" w:customStyle="1" w:styleId="xemailstyle35">
    <w:name w:val="x_emailstyle35"/>
    <w:rsid w:val="00871FCA"/>
    <w:rPr>
      <w:rFonts w:ascii="Calibri" w:hAnsi="Calibri" w:cs="Calibri" w:hint="default"/>
      <w:color w:val="1F497D"/>
    </w:rPr>
  </w:style>
  <w:style w:type="character" w:customStyle="1" w:styleId="xemailstyle36">
    <w:name w:val="x_emailstyle36"/>
    <w:rsid w:val="00871FCA"/>
    <w:rPr>
      <w:rFonts w:ascii="Calibri" w:hAnsi="Calibri" w:cs="Calibri" w:hint="default"/>
      <w:color w:val="auto"/>
    </w:rPr>
  </w:style>
  <w:style w:type="character" w:customStyle="1" w:styleId="xemailstyle37">
    <w:name w:val="x_emailstyle37"/>
    <w:rsid w:val="00871FCA"/>
    <w:rPr>
      <w:rFonts w:ascii="Calibri" w:hAnsi="Calibri" w:cs="Calibri" w:hint="default"/>
      <w:color w:val="1F497D"/>
    </w:rPr>
  </w:style>
  <w:style w:type="character" w:customStyle="1" w:styleId="xemailstyle38">
    <w:name w:val="x_emailstyle38"/>
    <w:rsid w:val="00871FCA"/>
    <w:rPr>
      <w:rFonts w:ascii="Calibri" w:hAnsi="Calibri" w:cs="Calibri" w:hint="default"/>
      <w:color w:val="auto"/>
    </w:rPr>
  </w:style>
  <w:style w:type="character" w:customStyle="1" w:styleId="xemailstyle39">
    <w:name w:val="x_emailstyle39"/>
    <w:rsid w:val="00871FCA"/>
    <w:rPr>
      <w:rFonts w:ascii="Calibri" w:hAnsi="Calibri" w:cs="Calibri" w:hint="default"/>
      <w:color w:val="1F497D"/>
    </w:rPr>
  </w:style>
  <w:style w:type="character" w:customStyle="1" w:styleId="xemailstyle40">
    <w:name w:val="x_emailstyle40"/>
    <w:rsid w:val="00871FCA"/>
    <w:rPr>
      <w:rFonts w:ascii="Calibri" w:hAnsi="Calibri" w:cs="Calibri" w:hint="default"/>
      <w:color w:val="auto"/>
    </w:rPr>
  </w:style>
  <w:style w:type="character" w:customStyle="1" w:styleId="xemailstyle41">
    <w:name w:val="x_emailstyle41"/>
    <w:rsid w:val="00871FCA"/>
    <w:rPr>
      <w:rFonts w:ascii="Calibri" w:hAnsi="Calibri" w:cs="Calibri" w:hint="default"/>
      <w:color w:val="1F497D"/>
    </w:rPr>
  </w:style>
  <w:style w:type="character" w:customStyle="1" w:styleId="xemailstyle42">
    <w:name w:val="x_emailstyle42"/>
    <w:rsid w:val="00871FCA"/>
    <w:rPr>
      <w:rFonts w:ascii="Calibri" w:hAnsi="Calibri" w:cs="Calibri" w:hint="default"/>
      <w:color w:val="auto"/>
    </w:rPr>
  </w:style>
  <w:style w:type="character" w:customStyle="1" w:styleId="xemailstyle43">
    <w:name w:val="x_emailstyle43"/>
    <w:rsid w:val="00871FCA"/>
    <w:rPr>
      <w:rFonts w:ascii="DengXian" w:eastAsia="DengXian" w:hAnsi="DengXian" w:hint="eastAsia"/>
      <w:color w:val="auto"/>
    </w:rPr>
  </w:style>
  <w:style w:type="character" w:customStyle="1" w:styleId="xemailstyle44">
    <w:name w:val="x_emailstyle44"/>
    <w:rsid w:val="00871FCA"/>
    <w:rPr>
      <w:rFonts w:ascii="DengXian" w:eastAsia="DengXian" w:hAnsi="DengXian" w:hint="eastAsia"/>
      <w:color w:val="auto"/>
    </w:rPr>
  </w:style>
  <w:style w:type="character" w:customStyle="1" w:styleId="xemailstyle45">
    <w:name w:val="x_emailstyle45"/>
    <w:rsid w:val="00871FCA"/>
    <w:rPr>
      <w:rFonts w:ascii="Calibri" w:hAnsi="Calibri" w:cs="Calibri" w:hint="default"/>
      <w:color w:val="auto"/>
    </w:rPr>
  </w:style>
  <w:style w:type="character" w:customStyle="1" w:styleId="xemailstyle46">
    <w:name w:val="x_emailstyle46"/>
    <w:rsid w:val="00871FCA"/>
    <w:rPr>
      <w:rFonts w:ascii="Calibri" w:hAnsi="Calibri" w:cs="Calibri" w:hint="default"/>
      <w:color w:val="1F497D"/>
    </w:rPr>
  </w:style>
  <w:style w:type="character" w:customStyle="1" w:styleId="xemailstyle49">
    <w:name w:val="x_emailstyle49"/>
    <w:rsid w:val="00871FCA"/>
    <w:rPr>
      <w:rFonts w:ascii="Calibri" w:hAnsi="Calibri" w:cs="Calibri" w:hint="default"/>
      <w:color w:val="auto"/>
    </w:rPr>
  </w:style>
  <w:style w:type="character" w:customStyle="1" w:styleId="xemailstyle50">
    <w:name w:val="x_emailstyle50"/>
    <w:rsid w:val="00871FCA"/>
    <w:rPr>
      <w:rFonts w:ascii="Calibri" w:hAnsi="Calibri" w:cs="Calibri" w:hint="default"/>
      <w:color w:val="auto"/>
    </w:rPr>
  </w:style>
  <w:style w:type="character" w:customStyle="1" w:styleId="emailstyle73">
    <w:name w:val="emailstyle73"/>
    <w:semiHidden/>
    <w:rsid w:val="00871FCA"/>
    <w:rPr>
      <w:rFonts w:ascii="Calibri" w:hAnsi="Calibri" w:cs="Calibri" w:hint="default"/>
      <w:color w:val="1F497D"/>
    </w:rPr>
  </w:style>
  <w:style w:type="character" w:customStyle="1" w:styleId="emailstyle74">
    <w:name w:val="emailstyle74"/>
    <w:semiHidden/>
    <w:rsid w:val="00871FCA"/>
    <w:rPr>
      <w:rFonts w:ascii="DengXian" w:eastAsia="DengXian" w:hAnsi="DengXian" w:hint="eastAsia"/>
      <w:color w:val="auto"/>
    </w:rPr>
  </w:style>
  <w:style w:type="character" w:customStyle="1" w:styleId="emailstyle75">
    <w:name w:val="emailstyle75"/>
    <w:semiHidden/>
    <w:rsid w:val="00871FCA"/>
    <w:rPr>
      <w:rFonts w:ascii="DengXian" w:eastAsia="DengXian" w:hAnsi="DengXian" w:hint="eastAsia"/>
      <w:color w:val="1F497D"/>
    </w:rPr>
  </w:style>
  <w:style w:type="character" w:customStyle="1" w:styleId="emailstyle76">
    <w:name w:val="emailstyle76"/>
    <w:semiHidden/>
    <w:rsid w:val="00871FCA"/>
    <w:rPr>
      <w:rFonts w:ascii="DengXian" w:eastAsia="DengXian" w:hAnsi="DengXian" w:hint="eastAsia"/>
      <w:color w:val="1F497D"/>
    </w:rPr>
  </w:style>
  <w:style w:type="character" w:customStyle="1" w:styleId="emailstyle77">
    <w:name w:val="emailstyle77"/>
    <w:semiHidden/>
    <w:rsid w:val="00871FCA"/>
    <w:rPr>
      <w:rFonts w:ascii="Calibri" w:hAnsi="Calibri" w:cs="Calibri" w:hint="default"/>
      <w:color w:val="1F497D"/>
    </w:rPr>
  </w:style>
  <w:style w:type="character" w:customStyle="1" w:styleId="emailstyle78">
    <w:name w:val="emailstyle78"/>
    <w:semiHidden/>
    <w:rsid w:val="00871FCA"/>
    <w:rPr>
      <w:rFonts w:ascii="Calibri" w:hAnsi="Calibri" w:cs="Calibri" w:hint="default"/>
      <w:color w:val="auto"/>
    </w:rPr>
  </w:style>
  <w:style w:type="character" w:customStyle="1" w:styleId="emailstyle79">
    <w:name w:val="emailstyle79"/>
    <w:semiHidden/>
    <w:rsid w:val="00871FCA"/>
    <w:rPr>
      <w:rFonts w:ascii="Calibri" w:hAnsi="Calibri" w:cs="Calibri" w:hint="default"/>
      <w:color w:val="1F497D"/>
    </w:rPr>
  </w:style>
  <w:style w:type="character" w:customStyle="1" w:styleId="emailstyle80">
    <w:name w:val="emailstyle80"/>
    <w:semiHidden/>
    <w:rsid w:val="00871FCA"/>
    <w:rPr>
      <w:rFonts w:ascii="Calibri" w:hAnsi="Calibri" w:cs="Calibri" w:hint="default"/>
      <w:color w:val="auto"/>
    </w:rPr>
  </w:style>
  <w:style w:type="character" w:customStyle="1" w:styleId="emailstyle81">
    <w:name w:val="emailstyle81"/>
    <w:semiHidden/>
    <w:rsid w:val="00871FCA"/>
    <w:rPr>
      <w:rFonts w:ascii="Calibri" w:hAnsi="Calibri" w:cs="Calibri" w:hint="default"/>
      <w:color w:val="1F497D"/>
    </w:rPr>
  </w:style>
  <w:style w:type="character" w:customStyle="1" w:styleId="emailstyle82">
    <w:name w:val="emailstyle82"/>
    <w:semiHidden/>
    <w:rsid w:val="00871FCA"/>
    <w:rPr>
      <w:rFonts w:ascii="Calibri" w:hAnsi="Calibri" w:cs="Calibri" w:hint="default"/>
      <w:color w:val="1F497D"/>
    </w:rPr>
  </w:style>
  <w:style w:type="character" w:customStyle="1" w:styleId="emailstyle83">
    <w:name w:val="emailstyle83"/>
    <w:semiHidden/>
    <w:rsid w:val="00871FCA"/>
    <w:rPr>
      <w:rFonts w:ascii="Calibri" w:hAnsi="Calibri" w:cs="Calibri" w:hint="default"/>
      <w:color w:val="auto"/>
    </w:rPr>
  </w:style>
  <w:style w:type="character" w:customStyle="1" w:styleId="emailstyle84">
    <w:name w:val="emailstyle84"/>
    <w:semiHidden/>
    <w:rsid w:val="00871FCA"/>
    <w:rPr>
      <w:rFonts w:ascii="Calibri" w:hAnsi="Calibri" w:cs="Calibri" w:hint="default"/>
      <w:color w:val="auto"/>
    </w:rPr>
  </w:style>
  <w:style w:type="character" w:customStyle="1" w:styleId="emailstyle85">
    <w:name w:val="emailstyle85"/>
    <w:semiHidden/>
    <w:rsid w:val="00871FCA"/>
    <w:rPr>
      <w:rFonts w:ascii="Calibri" w:hAnsi="Calibri" w:cs="Calibri" w:hint="default"/>
      <w:color w:val="1F497D"/>
    </w:rPr>
  </w:style>
  <w:style w:type="character" w:customStyle="1" w:styleId="emailstyle86">
    <w:name w:val="emailstyle86"/>
    <w:semiHidden/>
    <w:rsid w:val="00871FCA"/>
    <w:rPr>
      <w:rFonts w:ascii="Calibri" w:hAnsi="Calibri" w:cs="Calibri" w:hint="default"/>
      <w:color w:val="auto"/>
    </w:rPr>
  </w:style>
  <w:style w:type="character" w:customStyle="1" w:styleId="emailstyle87">
    <w:name w:val="emailstyle87"/>
    <w:semiHidden/>
    <w:rsid w:val="00871FCA"/>
    <w:rPr>
      <w:rFonts w:ascii="Calibri" w:hAnsi="Calibri" w:cs="Calibri" w:hint="default"/>
      <w:color w:val="1F497D"/>
    </w:rPr>
  </w:style>
  <w:style w:type="character" w:customStyle="1" w:styleId="emailstyle88">
    <w:name w:val="emailstyle88"/>
    <w:semiHidden/>
    <w:rsid w:val="00871FCA"/>
    <w:rPr>
      <w:rFonts w:ascii="Calibri" w:hAnsi="Calibri" w:cs="Calibri" w:hint="default"/>
      <w:color w:val="auto"/>
    </w:rPr>
  </w:style>
  <w:style w:type="character" w:customStyle="1" w:styleId="emailstyle89">
    <w:name w:val="emailstyle89"/>
    <w:semiHidden/>
    <w:rsid w:val="00871FCA"/>
    <w:rPr>
      <w:rFonts w:ascii="Calibri" w:hAnsi="Calibri" w:cs="Calibri" w:hint="default"/>
      <w:color w:val="1F497D"/>
    </w:rPr>
  </w:style>
  <w:style w:type="character" w:customStyle="1" w:styleId="emailstyle90">
    <w:name w:val="emailstyle90"/>
    <w:semiHidden/>
    <w:rsid w:val="00871FCA"/>
    <w:rPr>
      <w:rFonts w:ascii="Calibri" w:hAnsi="Calibri" w:cs="Calibri" w:hint="default"/>
      <w:color w:val="auto"/>
    </w:rPr>
  </w:style>
  <w:style w:type="character" w:customStyle="1" w:styleId="emailstyle91">
    <w:name w:val="emailstyle91"/>
    <w:semiHidden/>
    <w:rsid w:val="00871FCA"/>
    <w:rPr>
      <w:rFonts w:ascii="Calibri" w:hAnsi="Calibri" w:cs="Calibri" w:hint="default"/>
      <w:color w:val="1F497D"/>
    </w:rPr>
  </w:style>
  <w:style w:type="character" w:customStyle="1" w:styleId="emailstyle92">
    <w:name w:val="emailstyle92"/>
    <w:semiHidden/>
    <w:rsid w:val="00871FCA"/>
    <w:rPr>
      <w:rFonts w:ascii="Calibri" w:hAnsi="Calibri" w:cs="Calibri" w:hint="default"/>
      <w:color w:val="auto"/>
    </w:rPr>
  </w:style>
  <w:style w:type="character" w:customStyle="1" w:styleId="emailstyle93">
    <w:name w:val="emailstyle93"/>
    <w:semiHidden/>
    <w:rsid w:val="00871FCA"/>
    <w:rPr>
      <w:rFonts w:ascii="Calibri" w:hAnsi="Calibri" w:cs="Calibri" w:hint="default"/>
      <w:color w:val="1F497D"/>
    </w:rPr>
  </w:style>
  <w:style w:type="character" w:customStyle="1" w:styleId="emailstyle94">
    <w:name w:val="emailstyle94"/>
    <w:semiHidden/>
    <w:rsid w:val="00871FCA"/>
    <w:rPr>
      <w:rFonts w:ascii="Calibri" w:hAnsi="Calibri" w:cs="Calibri" w:hint="default"/>
      <w:color w:val="auto"/>
    </w:rPr>
  </w:style>
  <w:style w:type="character" w:customStyle="1" w:styleId="emailstyle96">
    <w:name w:val="emailstyle96"/>
    <w:semiHidden/>
    <w:rsid w:val="00871FCA"/>
    <w:rPr>
      <w:rFonts w:ascii="Calibri" w:hAnsi="Calibri" w:cs="Calibri" w:hint="default"/>
      <w:color w:val="1F497D"/>
    </w:rPr>
  </w:style>
  <w:style w:type="character" w:customStyle="1" w:styleId="emailstyle97">
    <w:name w:val="emailstyle97"/>
    <w:semiHidden/>
    <w:rsid w:val="00871FCA"/>
    <w:rPr>
      <w:rFonts w:ascii="Calibri" w:hAnsi="Calibri" w:cs="Calibri" w:hint="default"/>
      <w:color w:val="auto"/>
    </w:rPr>
  </w:style>
  <w:style w:type="character" w:customStyle="1" w:styleId="emailstyle98">
    <w:name w:val="emailstyle98"/>
    <w:semiHidden/>
    <w:rsid w:val="00871FCA"/>
    <w:rPr>
      <w:rFonts w:ascii="Calibri" w:hAnsi="Calibri" w:cs="Calibri" w:hint="default"/>
      <w:color w:val="1F497D"/>
    </w:rPr>
  </w:style>
  <w:style w:type="character" w:customStyle="1" w:styleId="emailstyle99">
    <w:name w:val="emailstyle99"/>
    <w:semiHidden/>
    <w:rsid w:val="00871FCA"/>
    <w:rPr>
      <w:rFonts w:ascii="Calibri" w:hAnsi="Calibri" w:cs="Calibri" w:hint="default"/>
      <w:color w:val="auto"/>
    </w:rPr>
  </w:style>
  <w:style w:type="character" w:customStyle="1" w:styleId="emailstyle100">
    <w:name w:val="emailstyle100"/>
    <w:semiHidden/>
    <w:rsid w:val="00871FCA"/>
    <w:rPr>
      <w:rFonts w:ascii="Calibri" w:hAnsi="Calibri" w:cs="Calibri" w:hint="default"/>
      <w:color w:val="1F497D"/>
    </w:rPr>
  </w:style>
  <w:style w:type="character" w:customStyle="1" w:styleId="emailstyle101">
    <w:name w:val="emailstyle101"/>
    <w:semiHidden/>
    <w:rsid w:val="00871FCA"/>
    <w:rPr>
      <w:rFonts w:ascii="Calibri" w:hAnsi="Calibri" w:cs="Calibri" w:hint="default"/>
      <w:color w:val="auto"/>
    </w:rPr>
  </w:style>
  <w:style w:type="character" w:customStyle="1" w:styleId="emailstyle102">
    <w:name w:val="emailstyle102"/>
    <w:semiHidden/>
    <w:rsid w:val="00871FCA"/>
    <w:rPr>
      <w:rFonts w:ascii="Calibri" w:hAnsi="Calibri" w:cs="Calibri" w:hint="default"/>
      <w:color w:val="1F497D"/>
    </w:rPr>
  </w:style>
  <w:style w:type="character" w:customStyle="1" w:styleId="emailstyle103">
    <w:name w:val="emailstyle103"/>
    <w:semiHidden/>
    <w:rsid w:val="00871FCA"/>
    <w:rPr>
      <w:rFonts w:ascii="Calibri" w:hAnsi="Calibri" w:cs="Calibri" w:hint="default"/>
      <w:color w:val="1F497D"/>
    </w:rPr>
  </w:style>
  <w:style w:type="character" w:customStyle="1" w:styleId="emailstyle104">
    <w:name w:val="emailstyle104"/>
    <w:semiHidden/>
    <w:rsid w:val="00871FCA"/>
    <w:rPr>
      <w:rFonts w:ascii="Calibri" w:hAnsi="Calibri" w:cs="Calibri" w:hint="default"/>
      <w:color w:val="auto"/>
    </w:rPr>
  </w:style>
  <w:style w:type="character" w:customStyle="1" w:styleId="emailstyle105">
    <w:name w:val="emailstyle105"/>
    <w:semiHidden/>
    <w:rsid w:val="00871FCA"/>
    <w:rPr>
      <w:rFonts w:ascii="Calibri" w:hAnsi="Calibri" w:cs="Calibri" w:hint="default"/>
      <w:color w:val="1F497D"/>
    </w:rPr>
  </w:style>
  <w:style w:type="character" w:customStyle="1" w:styleId="emailstyle106">
    <w:name w:val="emailstyle106"/>
    <w:semiHidden/>
    <w:rsid w:val="00871FCA"/>
    <w:rPr>
      <w:rFonts w:ascii="Calibri" w:hAnsi="Calibri" w:cs="Calibri" w:hint="default"/>
      <w:color w:val="1F497D"/>
    </w:rPr>
  </w:style>
  <w:style w:type="character" w:customStyle="1" w:styleId="emailstyle107">
    <w:name w:val="emailstyle107"/>
    <w:semiHidden/>
    <w:rsid w:val="00871FCA"/>
    <w:rPr>
      <w:rFonts w:ascii="DengXian" w:eastAsia="DengXian" w:hAnsi="DengXian" w:hint="eastAsia"/>
      <w:color w:val="1F497D"/>
    </w:rPr>
  </w:style>
  <w:style w:type="character" w:customStyle="1" w:styleId="emailstyle108">
    <w:name w:val="emailstyle108"/>
    <w:semiHidden/>
    <w:rsid w:val="00871FCA"/>
    <w:rPr>
      <w:rFonts w:ascii="Calibri" w:hAnsi="Calibri" w:cs="Calibri" w:hint="default"/>
      <w:color w:val="1F497D"/>
    </w:rPr>
  </w:style>
  <w:style w:type="character" w:customStyle="1" w:styleId="emailstyle109">
    <w:name w:val="emailstyle109"/>
    <w:semiHidden/>
    <w:rsid w:val="00871FCA"/>
    <w:rPr>
      <w:rFonts w:ascii="Calibri" w:hAnsi="Calibri" w:cs="Calibri" w:hint="default"/>
      <w:color w:val="auto"/>
    </w:rPr>
  </w:style>
  <w:style w:type="character" w:customStyle="1" w:styleId="emailstyle110">
    <w:name w:val="emailstyle110"/>
    <w:semiHidden/>
    <w:rsid w:val="00871FCA"/>
    <w:rPr>
      <w:rFonts w:ascii="Calibri" w:hAnsi="Calibri" w:cs="Calibri" w:hint="default"/>
      <w:color w:val="1F497D"/>
    </w:rPr>
  </w:style>
  <w:style w:type="character" w:customStyle="1" w:styleId="emailstyle111">
    <w:name w:val="emailstyle111"/>
    <w:semiHidden/>
    <w:rsid w:val="00871FCA"/>
    <w:rPr>
      <w:rFonts w:ascii="Calibri" w:hAnsi="Calibri" w:cs="Calibri" w:hint="default"/>
      <w:color w:val="auto"/>
    </w:rPr>
  </w:style>
  <w:style w:type="character" w:customStyle="1" w:styleId="emailstyle112">
    <w:name w:val="emailstyle112"/>
    <w:semiHidden/>
    <w:rsid w:val="00871FCA"/>
    <w:rPr>
      <w:rFonts w:ascii="Calibri" w:hAnsi="Calibri" w:cs="Calibri" w:hint="default"/>
      <w:color w:val="1F497D"/>
    </w:rPr>
  </w:style>
  <w:style w:type="character" w:customStyle="1" w:styleId="emailstyle113">
    <w:name w:val="emailstyle113"/>
    <w:semiHidden/>
    <w:rsid w:val="00871FCA"/>
    <w:rPr>
      <w:rFonts w:ascii="Calibri" w:hAnsi="Calibri" w:cs="Calibri" w:hint="default"/>
      <w:color w:val="auto"/>
    </w:rPr>
  </w:style>
  <w:style w:type="character" w:customStyle="1" w:styleId="emailstyle114">
    <w:name w:val="emailstyle114"/>
    <w:semiHidden/>
    <w:rsid w:val="00871FCA"/>
    <w:rPr>
      <w:rFonts w:ascii="Calibri" w:hAnsi="Calibri" w:cs="Calibri" w:hint="default"/>
      <w:color w:val="1F497D"/>
    </w:rPr>
  </w:style>
  <w:style w:type="paragraph" w:customStyle="1" w:styleId="CharChar1CharCharCharCharCharCharCharCharCharCharCharCharCharCharChar68">
    <w:name w:val="Char Char1 Char Char Char Char Char Char Char Char Char Char Char Char Char Char Char68"/>
    <w:uiPriority w:val="99"/>
    <w:semiHidden/>
    <w:rsid w:val="004D383C"/>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63">
    <w:name w:val="(文字) (文字)563"/>
    <w:semiHidden/>
    <w:rsid w:val="004D383C"/>
    <w:rPr>
      <w:rFonts w:ascii="Times New Roman" w:hAnsi="Times New Roman"/>
      <w:lang w:eastAsia="en-US"/>
    </w:rPr>
  </w:style>
  <w:style w:type="character" w:customStyle="1" w:styleId="xxxapple-converted-space">
    <w:name w:val="x_xxapple-converted-space"/>
    <w:basedOn w:val="DefaultParagraphFont"/>
    <w:qFormat/>
    <w:rsid w:val="004A05DE"/>
  </w:style>
  <w:style w:type="character" w:customStyle="1" w:styleId="aff6">
    <w:name w:val="正文文本 字符"/>
    <w:aliases w:val="bt 字符,Corps de texte Car 字符,Corps de texte Car1 Car 字符,Corps de texte Car Car Car 字符,Corps de texte Car1 Car Car Car 字符,Corps de texte Car Car Car Car Car 字符,Corps de texte Car1 Car Car Car Car Car 字符,bt Car 字符"/>
    <w:basedOn w:val="DefaultParagraphFont"/>
    <w:locked/>
    <w:rsid w:val="00697BE1"/>
    <w:rPr>
      <w:lang w:eastAsia="en-US"/>
    </w:rPr>
  </w:style>
  <w:style w:type="paragraph" w:customStyle="1" w:styleId="xxmsonormal1">
    <w:name w:val="x_x_msonormal"/>
    <w:basedOn w:val="Normal"/>
    <w:uiPriority w:val="99"/>
    <w:rsid w:val="00CD1448"/>
    <w:pPr>
      <w:spacing w:before="100" w:beforeAutospacing="1" w:after="100" w:afterAutospacing="1"/>
    </w:pPr>
    <w:rPr>
      <w:rFonts w:ascii="Calibri" w:eastAsia="Calibri" w:hAnsi="Calibri" w:cs="Calibri"/>
      <w:sz w:val="22"/>
      <w:szCs w:val="22"/>
      <w:lang w:val="en-US"/>
    </w:rPr>
  </w:style>
  <w:style w:type="character" w:customStyle="1" w:styleId="xxapple-converted-space">
    <w:name w:val="x_x_apple-converted-space"/>
    <w:basedOn w:val="DefaultParagraphFont"/>
    <w:rsid w:val="00CD1448"/>
  </w:style>
  <w:style w:type="paragraph" w:customStyle="1" w:styleId="CharChar1CharCharCharCharCharCharCharCharCharCharCharCharCharCharChar67">
    <w:name w:val="Char Char1 Char Char Char Char Char Char Char Char Char Char Char Char Char Char Char67"/>
    <w:semiHidden/>
    <w:rsid w:val="00C70AF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62">
    <w:name w:val="(文字) (文字)562"/>
    <w:semiHidden/>
    <w:rsid w:val="00C70AFB"/>
    <w:rPr>
      <w:rFonts w:ascii="Times New Roman" w:hAnsi="Times New Roman"/>
      <w:lang w:eastAsia="en-US"/>
    </w:rPr>
  </w:style>
  <w:style w:type="paragraph" w:customStyle="1" w:styleId="a3">
    <w:name w:val="Ссылки"/>
    <w:basedOn w:val="BodyText"/>
    <w:qFormat/>
    <w:rsid w:val="00C70AFB"/>
    <w:pPr>
      <w:numPr>
        <w:numId w:val="58"/>
      </w:numPr>
      <w:spacing w:line="360" w:lineRule="auto"/>
    </w:pPr>
    <w:rPr>
      <w:rFonts w:ascii="Times New Roman" w:eastAsia="MS Mincho" w:hAnsi="Times New Roman"/>
      <w:sz w:val="24"/>
      <w:lang w:val="ru-RU" w:eastAsia="ja-JP" w:bidi="he-IL"/>
    </w:rPr>
  </w:style>
  <w:style w:type="paragraph" w:customStyle="1" w:styleId="List21">
    <w:name w:val="List 21"/>
    <w:basedOn w:val="ListParagraph"/>
    <w:qFormat/>
    <w:rsid w:val="00C70AFB"/>
    <w:pPr>
      <w:spacing w:after="120"/>
      <w:ind w:left="568" w:hanging="284"/>
      <w:contextualSpacing w:val="0"/>
    </w:pPr>
    <w:rPr>
      <w:rFonts w:eastAsia="Batang"/>
      <w:lang w:eastAsia="en-GB"/>
    </w:rPr>
  </w:style>
  <w:style w:type="paragraph" w:customStyle="1" w:styleId="51b">
    <w:name w:val="标题 51"/>
    <w:basedOn w:val="Normal"/>
    <w:qFormat/>
    <w:rsid w:val="00C70AFB"/>
    <w:pPr>
      <w:keepNext/>
      <w:tabs>
        <w:tab w:val="left" w:pos="1008"/>
      </w:tabs>
      <w:spacing w:before="240" w:after="60"/>
      <w:ind w:left="1008" w:hanging="1008"/>
    </w:pPr>
    <w:rPr>
      <w:rFonts w:ascii="Arial" w:hAnsi="Arial"/>
      <w:szCs w:val="20"/>
      <w:lang w:val="en-US" w:eastAsia="ja-JP"/>
    </w:rPr>
  </w:style>
  <w:style w:type="paragraph" w:customStyle="1" w:styleId="811">
    <w:name w:val="标题 81"/>
    <w:basedOn w:val="Normal"/>
    <w:qFormat/>
    <w:rsid w:val="00C70AFB"/>
    <w:pPr>
      <w:tabs>
        <w:tab w:val="left" w:pos="1440"/>
      </w:tabs>
      <w:spacing w:before="240" w:after="60"/>
    </w:pPr>
    <w:rPr>
      <w:rFonts w:ascii="Times New Roman" w:eastAsia="MS PGothic" w:hAnsi="Times New Roman"/>
      <w:i/>
      <w:iCs/>
      <w:sz w:val="24"/>
      <w:lang w:val="en-US" w:eastAsia="ja-JP"/>
    </w:rPr>
  </w:style>
  <w:style w:type="paragraph" w:customStyle="1" w:styleId="910">
    <w:name w:val="标题 91"/>
    <w:basedOn w:val="Normal"/>
    <w:qFormat/>
    <w:rsid w:val="00C70AFB"/>
    <w:pPr>
      <w:tabs>
        <w:tab w:val="left" w:pos="1584"/>
      </w:tabs>
      <w:spacing w:before="240" w:after="60"/>
      <w:ind w:left="1584" w:hanging="1584"/>
    </w:pPr>
    <w:rPr>
      <w:rFonts w:ascii="Arial" w:eastAsia="MS PGothic" w:hAnsi="Arial" w:cs="Arial"/>
      <w:sz w:val="22"/>
      <w:szCs w:val="22"/>
      <w:lang w:val="en-US" w:eastAsia="ja-JP"/>
    </w:rPr>
  </w:style>
  <w:style w:type="paragraph" w:customStyle="1" w:styleId="62">
    <w:name w:val="标题 62"/>
    <w:basedOn w:val="Normal"/>
    <w:qFormat/>
    <w:rsid w:val="00C70AFB"/>
    <w:pPr>
      <w:tabs>
        <w:tab w:val="left" w:pos="1152"/>
      </w:tabs>
    </w:pPr>
    <w:rPr>
      <w:rFonts w:eastAsia="MS PGothic" w:cs="Times"/>
      <w:szCs w:val="20"/>
      <w:lang w:val="en-US" w:eastAsia="ja-JP"/>
    </w:rPr>
  </w:style>
  <w:style w:type="paragraph" w:customStyle="1" w:styleId="72">
    <w:name w:val="标题 72"/>
    <w:basedOn w:val="Normal"/>
    <w:qFormat/>
    <w:rsid w:val="00C70AFB"/>
    <w:pPr>
      <w:tabs>
        <w:tab w:val="left" w:pos="1296"/>
      </w:tabs>
    </w:pPr>
    <w:rPr>
      <w:rFonts w:eastAsia="MS PGothic" w:cs="Times"/>
      <w:szCs w:val="20"/>
      <w:lang w:val="en-US" w:eastAsia="ja-JP"/>
    </w:rPr>
  </w:style>
  <w:style w:type="character" w:customStyle="1" w:styleId="aff7">
    <w:name w:val="未处理的提及"/>
    <w:uiPriority w:val="99"/>
    <w:semiHidden/>
    <w:unhideWhenUsed/>
    <w:rsid w:val="00C70AFB"/>
    <w:rPr>
      <w:color w:val="605E5C"/>
      <w:shd w:val="clear" w:color="auto" w:fill="E1DFDD"/>
    </w:rPr>
  </w:style>
  <w:style w:type="character" w:customStyle="1" w:styleId="19">
    <w:name w:val="列表段落 字符1"/>
    <w:aliases w:val="- Bullets 字符1,?? ?? 字符1,????? 字符1,???? 字符1,Lista1 字符1,列出段落1 字符1,中等深浅网格 1 - 着色 21 字符1,¥¡¡¡¡ì¬º¥¹¥È¶ÎÂä 字符1,ÁÐ³ö¶ÎÂä 字符1,列表段落1 字符1,—ño’i—Ž 字符1,¥ê¥¹¥È¶ÎÂä 字符1,1st level - Bullet List Paragraph 字符1,Lettre d'introduction 字符1,Paragrafo elenco 字符1"/>
    <w:uiPriority w:val="34"/>
    <w:qFormat/>
    <w:locked/>
    <w:rsid w:val="00C70AFB"/>
    <w:rPr>
      <w:lang w:val="en-GB" w:eastAsia="en-US"/>
    </w:rPr>
  </w:style>
  <w:style w:type="paragraph" w:customStyle="1" w:styleId="CharChar1CharCharCharCharCharCharCharCharCharCharCharCharCharCharChar66">
    <w:name w:val="Char Char1 Char Char Char Char Char Char Char Char Char Char Char Char Char Char Char66"/>
    <w:semiHidden/>
    <w:rsid w:val="00071B84"/>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61">
    <w:name w:val="(文字) (文字)561"/>
    <w:semiHidden/>
    <w:rsid w:val="00071B84"/>
    <w:rPr>
      <w:rFonts w:ascii="Times New Roman" w:hAnsi="Times New Roman"/>
      <w:lang w:eastAsia="en-US"/>
    </w:rPr>
  </w:style>
  <w:style w:type="paragraph" w:customStyle="1" w:styleId="CharChar1CharCharCharCharCharCharCharCharCharCharCharCharCharCharChar65">
    <w:name w:val="Char Char1 Char Char Char Char Char Char Char Char Char Char Char Char Char Char Char65"/>
    <w:semiHidden/>
    <w:rsid w:val="002728D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60">
    <w:name w:val="(文字) (文字)560"/>
    <w:semiHidden/>
    <w:rsid w:val="002728DB"/>
    <w:rPr>
      <w:rFonts w:ascii="Times New Roman" w:hAnsi="Times New Roman"/>
      <w:lang w:eastAsia="en-US"/>
    </w:rPr>
  </w:style>
  <w:style w:type="character" w:customStyle="1" w:styleId="34">
    <w:name w:val="見出し 3 (文字)"/>
    <w:aliases w:val="Underrubrik2 (文字),H3 (文字),no break (文字),Memo Heading 3 (文字),h3 (文字),hello (文字),Titre 3 Car (文字),no break Car (文字),H3 Car (文字),Underrubrik2 Car (文字),h3 Car (文字),Memo Heading 3 Car (文字),hello Car (文字),Heading 3 Char Car (文字),H3 Char Car (文字)"/>
    <w:basedOn w:val="DefaultParagraphFont"/>
    <w:locked/>
    <w:rsid w:val="0089550B"/>
    <w:rPr>
      <w:rFonts w:ascii="Arial" w:hAnsi="Arial" w:cs="Arial"/>
    </w:rPr>
  </w:style>
  <w:style w:type="paragraph" w:customStyle="1" w:styleId="xxxxmsonormal">
    <w:name w:val="xxxxmsonormal"/>
    <w:basedOn w:val="Normal"/>
    <w:uiPriority w:val="99"/>
    <w:qFormat/>
    <w:rsid w:val="00824E27"/>
    <w:pPr>
      <w:spacing w:before="100" w:beforeAutospacing="1" w:after="100" w:afterAutospacing="1"/>
    </w:pPr>
    <w:rPr>
      <w:rFonts w:ascii="Calibri" w:eastAsia="Malgun Gothic" w:hAnsi="Calibri" w:cs="Calibri"/>
      <w:sz w:val="22"/>
      <w:szCs w:val="22"/>
      <w:lang w:val="en-US" w:eastAsia="ko-KR"/>
    </w:rPr>
  </w:style>
  <w:style w:type="paragraph" w:customStyle="1" w:styleId="xxxmsonormal1">
    <w:name w:val="xxxmsonormal"/>
    <w:basedOn w:val="Normal"/>
    <w:uiPriority w:val="99"/>
    <w:rsid w:val="00824E27"/>
    <w:pPr>
      <w:spacing w:before="100" w:beforeAutospacing="1" w:after="100" w:afterAutospacing="1"/>
    </w:pPr>
    <w:rPr>
      <w:rFonts w:ascii="Calibri" w:eastAsia="Malgun Gothic" w:hAnsi="Calibri" w:cs="Calibri"/>
      <w:sz w:val="22"/>
      <w:szCs w:val="22"/>
      <w:lang w:val="en-US" w:eastAsia="ko-KR"/>
    </w:rPr>
  </w:style>
  <w:style w:type="paragraph" w:customStyle="1" w:styleId="xxxxproposal">
    <w:name w:val="xxxxproposal"/>
    <w:basedOn w:val="Normal"/>
    <w:uiPriority w:val="99"/>
    <w:rsid w:val="00824E27"/>
    <w:pPr>
      <w:spacing w:before="100" w:beforeAutospacing="1" w:after="100" w:afterAutospacing="1"/>
    </w:pPr>
    <w:rPr>
      <w:rFonts w:ascii="Calibri" w:eastAsia="Malgun Gothic" w:hAnsi="Calibri" w:cs="Calibri"/>
      <w:sz w:val="22"/>
      <w:szCs w:val="22"/>
      <w:lang w:val="en-US" w:eastAsia="ko-KR"/>
    </w:rPr>
  </w:style>
  <w:style w:type="paragraph" w:customStyle="1" w:styleId="xxxxxa0">
    <w:name w:val="xxxxxa0"/>
    <w:basedOn w:val="Normal"/>
    <w:uiPriority w:val="99"/>
    <w:rsid w:val="00824E27"/>
    <w:pPr>
      <w:spacing w:before="100" w:beforeAutospacing="1" w:after="100" w:afterAutospacing="1"/>
    </w:pPr>
    <w:rPr>
      <w:rFonts w:ascii="Calibri" w:eastAsia="Malgun Gothic" w:hAnsi="Calibri" w:cs="Calibri"/>
      <w:sz w:val="22"/>
      <w:szCs w:val="22"/>
      <w:lang w:val="en-US" w:eastAsia="ko-KR"/>
    </w:rPr>
  </w:style>
  <w:style w:type="character" w:customStyle="1" w:styleId="xxxxapple-converted-space">
    <w:name w:val="xxxxapple-converted-space"/>
    <w:rsid w:val="00824E27"/>
  </w:style>
  <w:style w:type="paragraph" w:customStyle="1" w:styleId="CharChar1CharCharCharCharCharCharCharCharCharCharCharCharCharCharChar100">
    <w:name w:val="Char Char1 Char Char Char Char Char Char Char Char Char Char Char Char Char Char Char100"/>
    <w:semiHidden/>
    <w:rsid w:val="00377A81"/>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95">
    <w:name w:val="(文字) (文字)595"/>
    <w:semiHidden/>
    <w:rsid w:val="00377A81"/>
    <w:rPr>
      <w:rFonts w:ascii="Times New Roman" w:hAnsi="Times New Roman"/>
      <w:lang w:eastAsia="en-US"/>
    </w:rPr>
  </w:style>
  <w:style w:type="character" w:customStyle="1" w:styleId="26">
    <w:name w:val="列表段落 字符2"/>
    <w:uiPriority w:val="34"/>
    <w:qFormat/>
    <w:locked/>
    <w:rsid w:val="00377A81"/>
    <w:rPr>
      <w:rFonts w:ascii="Times New Roman" w:eastAsia="SimSun" w:hAnsi="Times New Roman" w:cs="Times New Roman"/>
      <w:kern w:val="0"/>
      <w:sz w:val="22"/>
      <w:lang w:eastAsia="en-US"/>
    </w:rPr>
  </w:style>
  <w:style w:type="paragraph" w:customStyle="1" w:styleId="CharChar1CharCharCharCharCharCharCharCharCharCharCharCharCharCharChar99">
    <w:name w:val="Char Char1 Char Char Char Char Char Char Char Char Char Char Char Char Char Char Char99"/>
    <w:semiHidden/>
    <w:rsid w:val="0022331D"/>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94">
    <w:name w:val="(文字) (文字)594"/>
    <w:semiHidden/>
    <w:rsid w:val="0022331D"/>
    <w:rPr>
      <w:rFonts w:ascii="Times New Roman" w:hAnsi="Times New Roman"/>
      <w:lang w:eastAsia="en-US"/>
    </w:rPr>
  </w:style>
  <w:style w:type="paragraph" w:customStyle="1" w:styleId="CharChar1CharCharCharCharCharCharCharCharCharCharCharCharCharCharChar98">
    <w:name w:val="Char Char1 Char Char Char Char Char Char Char Char Char Char Char Char Char Char Char98"/>
    <w:semiHidden/>
    <w:rsid w:val="00337964"/>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93">
    <w:name w:val="(文字) (文字)593"/>
    <w:semiHidden/>
    <w:rsid w:val="00337964"/>
    <w:rPr>
      <w:rFonts w:ascii="Times New Roman" w:hAnsi="Times New Roman"/>
      <w:lang w:eastAsia="en-US"/>
    </w:rPr>
  </w:style>
  <w:style w:type="paragraph" w:customStyle="1" w:styleId="xlistparagraph">
    <w:name w:val="x_listparagraph"/>
    <w:basedOn w:val="Normal"/>
    <w:qFormat/>
    <w:rsid w:val="00337964"/>
    <w:rPr>
      <w:rFonts w:ascii="Calibri" w:eastAsia="Calibri" w:hAnsi="Calibri" w:cs="Calibri"/>
      <w:sz w:val="22"/>
      <w:szCs w:val="22"/>
      <w:lang w:val="en-US"/>
    </w:rPr>
  </w:style>
  <w:style w:type="character" w:customStyle="1" w:styleId="150">
    <w:name w:val="15"/>
    <w:rsid w:val="00337964"/>
    <w:rPr>
      <w:rFonts w:ascii="Symbol" w:hAnsi="Symbol" w:hint="default"/>
      <w:b/>
      <w:bCs/>
    </w:rPr>
  </w:style>
  <w:style w:type="character" w:customStyle="1" w:styleId="mark5gnezsh2s">
    <w:name w:val="mark5gnezsh2s"/>
    <w:rsid w:val="00337964"/>
  </w:style>
  <w:style w:type="character" w:customStyle="1" w:styleId="markca674dpc9">
    <w:name w:val="markca674dpc9"/>
    <w:rsid w:val="00337964"/>
  </w:style>
  <w:style w:type="character" w:customStyle="1" w:styleId="xxxxxapple-converted-space">
    <w:name w:val="xxxxxapple-converted-space"/>
    <w:basedOn w:val="DefaultParagraphFont"/>
    <w:rsid w:val="00337964"/>
  </w:style>
  <w:style w:type="character" w:customStyle="1" w:styleId="xxapple-converted-space0">
    <w:name w:val="xxapple-converted-space"/>
    <w:basedOn w:val="DefaultParagraphFont"/>
    <w:qFormat/>
    <w:rsid w:val="00337964"/>
  </w:style>
  <w:style w:type="character" w:customStyle="1" w:styleId="xxxapple-converted-space0">
    <w:name w:val="xxxapple-converted-space"/>
    <w:basedOn w:val="DefaultParagraphFont"/>
    <w:rsid w:val="00337964"/>
  </w:style>
  <w:style w:type="paragraph" w:customStyle="1" w:styleId="xx0maintext">
    <w:name w:val="x_x0maintext"/>
    <w:basedOn w:val="Normal"/>
    <w:uiPriority w:val="99"/>
    <w:qFormat/>
    <w:rsid w:val="00337964"/>
    <w:rPr>
      <w:rFonts w:ascii="SimSun" w:eastAsia="SimSun" w:hAnsi="SimSun" w:cs="SimSun"/>
      <w:sz w:val="24"/>
      <w:lang w:val="en-US" w:eastAsia="zh-CN"/>
    </w:rPr>
  </w:style>
  <w:style w:type="character" w:customStyle="1" w:styleId="xxxxxxxxxxapple-converted-space">
    <w:name w:val="xxxxxxxxxxapple-converted-space"/>
    <w:rsid w:val="00337964"/>
  </w:style>
  <w:style w:type="character" w:customStyle="1" w:styleId="xxxxxxxapple-converted-space">
    <w:name w:val="xxxxxxxapple-converted-space"/>
    <w:rsid w:val="00337964"/>
  </w:style>
  <w:style w:type="character" w:customStyle="1" w:styleId="xxxxmarkuzf5ivend">
    <w:name w:val="x_xxxmarkuzf5ivend"/>
    <w:rsid w:val="00337964"/>
  </w:style>
  <w:style w:type="paragraph" w:customStyle="1" w:styleId="Prop1">
    <w:name w:val="Prop1"/>
    <w:basedOn w:val="ListParagraph"/>
    <w:uiPriority w:val="99"/>
    <w:qFormat/>
    <w:rsid w:val="00337964"/>
    <w:pPr>
      <w:overflowPunct/>
      <w:autoSpaceDE/>
      <w:autoSpaceDN/>
      <w:adjustRightInd/>
      <w:spacing w:after="0"/>
      <w:ind w:left="0"/>
      <w:contextualSpacing w:val="0"/>
      <w:textAlignment w:val="auto"/>
    </w:pPr>
    <w:rPr>
      <w:b/>
      <w:szCs w:val="21"/>
      <w:lang w:val="en-US" w:eastAsia="zh-CN"/>
    </w:rPr>
  </w:style>
  <w:style w:type="paragraph" w:customStyle="1" w:styleId="IEEEStdsRegularTableCaption">
    <w:name w:val="IEEEStds Regular Table Caption"/>
    <w:basedOn w:val="Normal"/>
    <w:next w:val="Normal"/>
    <w:qFormat/>
    <w:rsid w:val="00337964"/>
    <w:pPr>
      <w:keepNext/>
      <w:keepLines/>
      <w:numPr>
        <w:numId w:val="59"/>
      </w:numPr>
      <w:tabs>
        <w:tab w:val="clear" w:pos="1080"/>
        <w:tab w:val="left" w:pos="360"/>
        <w:tab w:val="left" w:pos="432"/>
        <w:tab w:val="left" w:pos="504"/>
      </w:tabs>
      <w:suppressAutoHyphens/>
      <w:spacing w:before="120" w:after="120"/>
      <w:jc w:val="center"/>
    </w:pPr>
    <w:rPr>
      <w:rFonts w:ascii="Arial" w:eastAsia="Times New Roman" w:hAnsi="Arial"/>
      <w:b/>
      <w:szCs w:val="20"/>
      <w:lang w:val="en-US" w:eastAsia="ja-JP"/>
    </w:rPr>
  </w:style>
  <w:style w:type="paragraph" w:customStyle="1" w:styleId="3gppagreements1">
    <w:name w:val="3gppagreements"/>
    <w:basedOn w:val="Normal"/>
    <w:qFormat/>
    <w:rsid w:val="00337964"/>
    <w:pPr>
      <w:spacing w:before="100" w:beforeAutospacing="1" w:after="100" w:afterAutospacing="1"/>
    </w:pPr>
    <w:rPr>
      <w:rFonts w:ascii="SimSun" w:eastAsia="SimSun" w:hAnsi="SimSun" w:cs="SimSun"/>
      <w:sz w:val="24"/>
      <w:lang w:val="en-US" w:eastAsia="zh-CN"/>
    </w:rPr>
  </w:style>
  <w:style w:type="table" w:customStyle="1" w:styleId="TableGrid43">
    <w:name w:val="Table Grid43"/>
    <w:basedOn w:val="TableNormal"/>
    <w:next w:val="TableGrid"/>
    <w:qFormat/>
    <w:rsid w:val="00337964"/>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1CharCharCharCharCharCharCharCharCharCharCharCharCharCharChar97">
    <w:name w:val="Char Char1 Char Char Char Char Char Char Char Char Char Char Char Char Char Char Char97"/>
    <w:semiHidden/>
    <w:rsid w:val="006B480F"/>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92">
    <w:name w:val="(文字) (文字)592"/>
    <w:semiHidden/>
    <w:rsid w:val="006B480F"/>
    <w:rPr>
      <w:rFonts w:ascii="Times New Roman" w:hAnsi="Times New Roman"/>
      <w:lang w:eastAsia="en-US"/>
    </w:rPr>
  </w:style>
  <w:style w:type="character" w:customStyle="1" w:styleId="TFChar">
    <w:name w:val="TF Char"/>
    <w:qFormat/>
    <w:locked/>
    <w:rsid w:val="00713B91"/>
    <w:rPr>
      <w:rFonts w:ascii="Arial" w:eastAsia="PMingLiU" w:hAnsi="Arial"/>
      <w:b/>
      <w:lang w:val="en-GB" w:eastAsia="en-US"/>
    </w:rPr>
  </w:style>
  <w:style w:type="paragraph" w:customStyle="1" w:styleId="CharChar1CharCharCharCharCharCharCharCharCharCharCharCharCharCharChar102">
    <w:name w:val="Char Char1 Char Char Char Char Char Char Char Char Char Char Char Char Char Char Char102"/>
    <w:semiHidden/>
    <w:rsid w:val="008F4B8C"/>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97">
    <w:name w:val="(文字) (文字)597"/>
    <w:semiHidden/>
    <w:rsid w:val="008F4B8C"/>
    <w:rPr>
      <w:rFonts w:ascii="Times New Roman" w:hAnsi="Times New Roman"/>
      <w:lang w:eastAsia="en-US"/>
    </w:rPr>
  </w:style>
  <w:style w:type="paragraph" w:customStyle="1" w:styleId="bodytext0">
    <w:name w:val="bodytext"/>
    <w:basedOn w:val="Normal"/>
    <w:uiPriority w:val="99"/>
    <w:qFormat/>
    <w:rsid w:val="008F4B8C"/>
    <w:pPr>
      <w:spacing w:before="100" w:beforeAutospacing="1" w:after="100" w:afterAutospacing="1"/>
    </w:pPr>
    <w:rPr>
      <w:rFonts w:ascii="Gulim" w:eastAsia="Gulim" w:hAnsi="Gulim"/>
      <w:sz w:val="24"/>
      <w:lang w:val="en-US" w:eastAsia="ko-KR"/>
    </w:rPr>
  </w:style>
  <w:style w:type="paragraph" w:customStyle="1" w:styleId="CharChar1CharCharCharCharCharCharCharCharCharCharCharCharCharCharChar101">
    <w:name w:val="Char Char1 Char Char Char Char Char Char Char Char Char Char Char Char Char Char Char101"/>
    <w:semiHidden/>
    <w:rsid w:val="007D7F59"/>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96">
    <w:name w:val="(文字) (文字)596"/>
    <w:semiHidden/>
    <w:rsid w:val="007D7F59"/>
    <w:rPr>
      <w:rFonts w:ascii="Times New Roman" w:hAnsi="Times New Roman"/>
      <w:lang w:eastAsia="en-US"/>
    </w:rPr>
  </w:style>
  <w:style w:type="paragraph" w:customStyle="1" w:styleId="ZTE-Proposal">
    <w:name w:val="ZTE-Proposal"/>
    <w:basedOn w:val="Normal"/>
    <w:uiPriority w:val="99"/>
    <w:qFormat/>
    <w:rsid w:val="004C336F"/>
    <w:pPr>
      <w:numPr>
        <w:numId w:val="60"/>
      </w:numPr>
      <w:tabs>
        <w:tab w:val="clear" w:pos="0"/>
        <w:tab w:val="num" w:pos="432"/>
      </w:tabs>
      <w:spacing w:beforeLines="50" w:before="50" w:afterLines="50" w:after="50"/>
      <w:ind w:left="432" w:hanging="432"/>
    </w:pPr>
    <w:rPr>
      <w:rFonts w:ascii="Times New Roman" w:eastAsia="DengXian" w:hAnsi="Times New Roman"/>
      <w:b/>
      <w:bCs/>
      <w:i/>
      <w:iCs/>
      <w:kern w:val="2"/>
      <w:szCs w:val="20"/>
    </w:rPr>
  </w:style>
  <w:style w:type="character" w:customStyle="1" w:styleId="bodyChar">
    <w:name w:val="body Char"/>
    <w:basedOn w:val="DefaultParagraphFont"/>
    <w:link w:val="body"/>
    <w:rsid w:val="00301105"/>
    <w:rPr>
      <w:rFonts w:ascii="New York" w:eastAsia="SimSun" w:hAnsi="New York"/>
      <w:sz w:val="24"/>
      <w:lang w:val="en-US" w:eastAsia="en-US"/>
    </w:rPr>
  </w:style>
  <w:style w:type="paragraph" w:customStyle="1" w:styleId="mc-p">
    <w:name w:val="mc-p___"/>
    <w:basedOn w:val="Normal"/>
    <w:uiPriority w:val="99"/>
    <w:qFormat/>
    <w:rsid w:val="0037070C"/>
    <w:pPr>
      <w:spacing w:before="100" w:beforeAutospacing="1" w:after="100" w:afterAutospacing="1"/>
    </w:pPr>
    <w:rPr>
      <w:rFonts w:ascii="Calibri" w:eastAsiaTheme="minorHAnsi" w:hAnsi="Calibri" w:cs="Calibri"/>
      <w:sz w:val="22"/>
      <w:szCs w:val="22"/>
      <w:lang w:eastAsia="en-GB"/>
    </w:rPr>
  </w:style>
  <w:style w:type="paragraph" w:customStyle="1" w:styleId="35">
    <w:name w:val="正文3"/>
    <w:uiPriority w:val="99"/>
    <w:qFormat/>
    <w:rsid w:val="00A45241"/>
    <w:pPr>
      <w:jc w:val="both"/>
    </w:pPr>
    <w:rPr>
      <w:rFonts w:eastAsia="SimSun"/>
      <w:kern w:val="2"/>
      <w:sz w:val="21"/>
      <w:szCs w:val="21"/>
      <w:lang w:val="en-US" w:eastAsia="zh-CN"/>
    </w:rPr>
  </w:style>
  <w:style w:type="character" w:customStyle="1" w:styleId="listauto1Char">
    <w:name w:val="list auto 1 Char"/>
    <w:link w:val="listauto1"/>
    <w:locked/>
    <w:rsid w:val="00D56B59"/>
    <w:rPr>
      <w:rFonts w:ascii="SimSun" w:eastAsia="SimSun" w:hAnsi="SimSun"/>
      <w:b/>
      <w:bCs/>
      <w:lang w:eastAsia="en-US"/>
    </w:rPr>
  </w:style>
  <w:style w:type="paragraph" w:customStyle="1" w:styleId="listauto1">
    <w:name w:val="list auto 1"/>
    <w:basedOn w:val="Normal"/>
    <w:link w:val="listauto1Char"/>
    <w:rsid w:val="00D56B59"/>
    <w:pPr>
      <w:numPr>
        <w:numId w:val="61"/>
      </w:numPr>
      <w:spacing w:line="276" w:lineRule="auto"/>
      <w:contextualSpacing/>
      <w:jc w:val="both"/>
    </w:pPr>
    <w:rPr>
      <w:rFonts w:ascii="SimSun" w:eastAsia="SimSun" w:hAnsi="SimSun"/>
      <w:b/>
      <w:bCs/>
      <w:szCs w:val="20"/>
    </w:rPr>
  </w:style>
  <w:style w:type="paragraph" w:customStyle="1" w:styleId="listauto2">
    <w:name w:val="list auto 2"/>
    <w:basedOn w:val="Normal"/>
    <w:uiPriority w:val="99"/>
    <w:rsid w:val="00D56B59"/>
    <w:pPr>
      <w:numPr>
        <w:ilvl w:val="1"/>
        <w:numId w:val="61"/>
      </w:numPr>
      <w:spacing w:line="276" w:lineRule="auto"/>
      <w:ind w:left="990" w:hanging="540"/>
      <w:contextualSpacing/>
      <w:jc w:val="both"/>
    </w:pPr>
    <w:rPr>
      <w:rFonts w:ascii="SimSun" w:eastAsia="SimSun" w:hAnsi="SimSun"/>
      <w:b/>
      <w:bCs/>
      <w:sz w:val="22"/>
      <w:szCs w:val="22"/>
      <w:lang w:val="en-US"/>
    </w:rPr>
  </w:style>
  <w:style w:type="character" w:customStyle="1" w:styleId="mc-span">
    <w:name w:val="mc-span"/>
    <w:rsid w:val="00D84EC0"/>
  </w:style>
  <w:style w:type="paragraph" w:customStyle="1" w:styleId="a10">
    <w:name w:val="a1"/>
    <w:basedOn w:val="Normal"/>
    <w:qFormat/>
    <w:rsid w:val="00CB7FB8"/>
    <w:pPr>
      <w:spacing w:before="100" w:beforeAutospacing="1" w:after="100" w:afterAutospacing="1"/>
    </w:pPr>
    <w:rPr>
      <w:rFonts w:ascii="SimSun" w:eastAsia="SimSun" w:hAnsi="SimSun" w:cs="SimSun"/>
      <w:sz w:val="24"/>
      <w:lang w:val="en-US" w:eastAsia="zh-CN"/>
    </w:rPr>
  </w:style>
  <w:style w:type="table" w:customStyle="1" w:styleId="TableGrid21">
    <w:name w:val="TableGrid2"/>
    <w:basedOn w:val="TableNormal"/>
    <w:next w:val="TableGrid"/>
    <w:qFormat/>
    <w:rsid w:val="00010EA4"/>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106">
    <w:name w:val="Char Char1 Char Char Char Char Char Char Char Char Char Char Char Char Char Char Char106"/>
    <w:uiPriority w:val="99"/>
    <w:semiHidden/>
    <w:qFormat/>
    <w:rsid w:val="00010EA4"/>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101">
    <w:name w:val="(文字) (文字)5101"/>
    <w:semiHidden/>
    <w:rsid w:val="00010EA4"/>
    <w:rPr>
      <w:rFonts w:ascii="Times New Roman" w:hAnsi="Times New Roman"/>
      <w:lang w:eastAsia="en-US"/>
    </w:rPr>
  </w:style>
  <w:style w:type="table" w:customStyle="1" w:styleId="ColorfulList-Accent112">
    <w:name w:val="Colorful List - Accent 112"/>
    <w:basedOn w:val="TableNormal"/>
    <w:next w:val="ColorfulList-Accent1"/>
    <w:uiPriority w:val="34"/>
    <w:rsid w:val="00010EA4"/>
    <w:rPr>
      <w:rFonts w:ascii="Malgun Gothic" w:eastAsia="MS Gothic" w:hAnsi="Malgun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2">
    <w:name w:val="Grid Table 4 - Accent 512"/>
    <w:basedOn w:val="TableNormal"/>
    <w:next w:val="GridTable4-Accent5"/>
    <w:uiPriority w:val="49"/>
    <w:rsid w:val="00010EA4"/>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432">
    <w:name w:val="Table Grid432"/>
    <w:basedOn w:val="TableNormal"/>
    <w:next w:val="TableGrid"/>
    <w:qFormat/>
    <w:rsid w:val="00010EA4"/>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Proposal2Char">
    <w:name w:val="Proposal2 Char"/>
    <w:link w:val="Proposal2"/>
    <w:qFormat/>
    <w:rsid w:val="00010EA4"/>
    <w:rPr>
      <w:rFonts w:eastAsia="Times New Roman"/>
      <w:b/>
      <w:iCs/>
      <w:sz w:val="32"/>
      <w:szCs w:val="26"/>
      <w:u w:val="single"/>
      <w:lang w:eastAsia="ja-JP"/>
    </w:rPr>
  </w:style>
  <w:style w:type="paragraph" w:customStyle="1" w:styleId="Proposal2">
    <w:name w:val="Proposal2"/>
    <w:basedOn w:val="Heading4"/>
    <w:link w:val="Proposal2Char"/>
    <w:qFormat/>
    <w:rsid w:val="00010EA4"/>
    <w:pPr>
      <w:numPr>
        <w:ilvl w:val="0"/>
        <w:numId w:val="0"/>
      </w:numPr>
      <w:suppressAutoHyphens/>
    </w:pPr>
    <w:rPr>
      <w:rFonts w:ascii="Times New Roman" w:eastAsia="Times New Roman" w:hAnsi="Times New Roman" w:cs="Times New Roman"/>
      <w:bCs w:val="0"/>
      <w:i w:val="0"/>
      <w:iCs/>
      <w:sz w:val="32"/>
      <w:u w:val="single"/>
      <w:lang w:eastAsia="ja-JP"/>
    </w:rPr>
  </w:style>
  <w:style w:type="paragraph" w:customStyle="1" w:styleId="Steps-8thset">
    <w:name w:val="Steps-8th set"/>
    <w:basedOn w:val="List2"/>
    <w:rsid w:val="00010EA4"/>
    <w:pPr>
      <w:widowControl w:val="0"/>
      <w:numPr>
        <w:numId w:val="62"/>
      </w:numPr>
      <w:tabs>
        <w:tab w:val="clear" w:pos="936"/>
        <w:tab w:val="num" w:pos="360"/>
      </w:tabs>
      <w:spacing w:before="120" w:after="120"/>
      <w:ind w:left="720" w:hanging="360"/>
    </w:pPr>
    <w:rPr>
      <w:rFonts w:ascii="Arial" w:eastAsia="Times New Roman" w:hAnsi="Arial"/>
      <w:sz w:val="24"/>
      <w:lang w:val="en-US"/>
    </w:rPr>
  </w:style>
  <w:style w:type="paragraph" w:customStyle="1" w:styleId="Steps-9thset">
    <w:name w:val="Steps-9th set"/>
    <w:basedOn w:val="Normal"/>
    <w:rsid w:val="00010EA4"/>
    <w:pPr>
      <w:widowControl w:val="0"/>
      <w:numPr>
        <w:numId w:val="63"/>
      </w:numPr>
      <w:spacing w:before="120" w:after="120"/>
    </w:pPr>
    <w:rPr>
      <w:rFonts w:ascii="Arial" w:eastAsia="Times New Roman" w:hAnsi="Arial"/>
      <w:sz w:val="24"/>
      <w:lang w:val="en-US"/>
    </w:rPr>
  </w:style>
  <w:style w:type="character" w:customStyle="1" w:styleId="NoSpacingChar">
    <w:name w:val="No Spacing Char"/>
    <w:link w:val="NoSpacing"/>
    <w:uiPriority w:val="1"/>
    <w:rsid w:val="00010EA4"/>
    <w:rPr>
      <w:rFonts w:ascii="Calibri" w:eastAsia="SimSun" w:hAnsi="Calibri"/>
      <w:sz w:val="22"/>
      <w:szCs w:val="22"/>
      <w:lang w:val="en-US" w:eastAsia="zh-CN"/>
    </w:rPr>
  </w:style>
  <w:style w:type="paragraph" w:customStyle="1" w:styleId="1a">
    <w:name w:val="正文1"/>
    <w:uiPriority w:val="99"/>
    <w:qFormat/>
    <w:rsid w:val="00010EA4"/>
    <w:pPr>
      <w:spacing w:before="60" w:after="120"/>
      <w:jc w:val="both"/>
    </w:pPr>
    <w:rPr>
      <w:rFonts w:ascii="Arial" w:eastAsia="Times New Roman" w:hAnsi="Arial" w:cs="Arial"/>
      <w:sz w:val="24"/>
      <w:szCs w:val="24"/>
      <w:lang w:val="en-US" w:eastAsia="zh-CN"/>
    </w:rPr>
  </w:style>
  <w:style w:type="table" w:styleId="GridTable4-Accent1">
    <w:name w:val="Grid Table 4 Accent 1"/>
    <w:basedOn w:val="TableNormal"/>
    <w:uiPriority w:val="49"/>
    <w:rsid w:val="00010EA4"/>
    <w:rPr>
      <w:rFonts w:ascii="Calibri" w:eastAsia="DengXian" w:hAnsi="Calibri"/>
      <w:lang w:eastAsia="en-US"/>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31">
    <w:name w:val="TableGrid3"/>
    <w:basedOn w:val="TableNormal"/>
    <w:next w:val="TableGrid"/>
    <w:uiPriority w:val="39"/>
    <w:qFormat/>
    <w:rsid w:val="00953C54"/>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105">
    <w:name w:val="Char Char1 Char Char Char Char Char Char Char Char Char Char Char Char Char Char Char105"/>
    <w:semiHidden/>
    <w:rsid w:val="00953C54"/>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100">
    <w:name w:val="(文字) (文字)5100"/>
    <w:semiHidden/>
    <w:rsid w:val="00953C54"/>
    <w:rPr>
      <w:rFonts w:ascii="Times New Roman" w:hAnsi="Times New Roman"/>
      <w:lang w:eastAsia="en-US"/>
    </w:rPr>
  </w:style>
  <w:style w:type="numbering" w:customStyle="1" w:styleId="StyleBulletedSymbolsymbolLeft025Hanging02">
    <w:name w:val="Style Bulleted Symbol (symbol) Left:  0.25&quot; Hanging:  0.2"/>
    <w:basedOn w:val="NoList"/>
    <w:rsid w:val="00953C54"/>
  </w:style>
  <w:style w:type="table" w:customStyle="1" w:styleId="ColorfulList-Accent113">
    <w:name w:val="Colorful List - Accent 113"/>
    <w:basedOn w:val="TableNormal"/>
    <w:next w:val="ColorfulList-Accent1"/>
    <w:uiPriority w:val="34"/>
    <w:rsid w:val="00953C54"/>
    <w:rPr>
      <w:rFonts w:ascii="Malgun Gothic" w:eastAsia="MS Gothic" w:hAnsi="Malgun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3">
    <w:name w:val="Grid Table 4 - Accent 513"/>
    <w:basedOn w:val="TableNormal"/>
    <w:next w:val="GridTable4-Accent5"/>
    <w:uiPriority w:val="49"/>
    <w:rsid w:val="00953C54"/>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4">
    <w:name w:val="Style Bulleted Symbol (symbol) Left:  0.25&quot; Hanging:  0.25&quot;4"/>
    <w:basedOn w:val="NoList"/>
    <w:rsid w:val="00953C54"/>
  </w:style>
  <w:style w:type="numbering" w:customStyle="1" w:styleId="StyleBulletedSymbolsymbolLeft025Hanging02513">
    <w:name w:val="Style Bulleted Symbol (symbol) Left:  0.25&quot; Hanging:  0.25&quot;13"/>
    <w:basedOn w:val="NoList"/>
    <w:rsid w:val="00953C54"/>
  </w:style>
  <w:style w:type="numbering" w:customStyle="1" w:styleId="StyleBulletedSymbolsymbolLeft025Hanging02522">
    <w:name w:val="Style Bulleted Symbol (symbol) Left:  0.25&quot; Hanging:  0.25&quot;22"/>
    <w:basedOn w:val="NoList"/>
    <w:rsid w:val="00953C54"/>
    <w:pPr>
      <w:numPr>
        <w:numId w:val="11"/>
      </w:numPr>
    </w:pPr>
  </w:style>
  <w:style w:type="table" w:customStyle="1" w:styleId="TableGrid433">
    <w:name w:val="Table Grid433"/>
    <w:basedOn w:val="TableNormal"/>
    <w:next w:val="TableGrid"/>
    <w:qFormat/>
    <w:rsid w:val="00953C54"/>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4-Accent11">
    <w:name w:val="Grid Table 4 - Accent 11"/>
    <w:basedOn w:val="TableNormal"/>
    <w:next w:val="GridTable4-Accent1"/>
    <w:uiPriority w:val="49"/>
    <w:rsid w:val="00953C54"/>
    <w:rPr>
      <w:rFonts w:ascii="Calibri" w:eastAsia="DengXian" w:hAnsi="Calibri"/>
      <w:lang w:eastAsia="en-US"/>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customStyle="1" w:styleId="CharChar1CharCharCharCharCharCharCharCharCharCharCharCharCharCharChar104">
    <w:name w:val="Char Char1 Char Char Char Char Char Char Char Char Char Char Char Char Char Char Char104"/>
    <w:semiHidden/>
    <w:rsid w:val="005A3CD5"/>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99">
    <w:name w:val="(文字) (文字)599"/>
    <w:semiHidden/>
    <w:rsid w:val="005A3CD5"/>
    <w:rPr>
      <w:rFonts w:ascii="Times New Roman" w:hAnsi="Times New Roman"/>
      <w:lang w:eastAsia="en-US"/>
    </w:rPr>
  </w:style>
  <w:style w:type="table" w:customStyle="1" w:styleId="ColorfulList-Accent114">
    <w:name w:val="Colorful List - Accent 114"/>
    <w:basedOn w:val="TableNormal"/>
    <w:next w:val="ColorfulList-Accent1"/>
    <w:uiPriority w:val="34"/>
    <w:rsid w:val="005A3CD5"/>
    <w:rPr>
      <w:rFonts w:ascii="Malgun Gothic" w:eastAsia="MS Gothic" w:hAnsi="Malgun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4">
    <w:name w:val="Grid Table 4 - Accent 514"/>
    <w:basedOn w:val="TableNormal"/>
    <w:next w:val="GridTable4-Accent5"/>
    <w:uiPriority w:val="49"/>
    <w:rsid w:val="005A3CD5"/>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1">
    <w:name w:val="Style Bulleted1"/>
    <w:rsid w:val="002861AA"/>
    <w:pPr>
      <w:numPr>
        <w:numId w:val="4"/>
      </w:numPr>
    </w:pPr>
  </w:style>
  <w:style w:type="paragraph" w:customStyle="1" w:styleId="elementtoproof">
    <w:name w:val="elementtoproof"/>
    <w:basedOn w:val="Normal"/>
    <w:uiPriority w:val="99"/>
    <w:semiHidden/>
    <w:rsid w:val="000210CE"/>
    <w:rPr>
      <w:rFonts w:ascii="Times New Roman" w:eastAsia="Malgun Gothic" w:hAnsi="Times New Roman"/>
      <w:sz w:val="24"/>
      <w:lang w:val="en-US" w:eastAsia="ko-KR"/>
    </w:rPr>
  </w:style>
  <w:style w:type="character" w:customStyle="1" w:styleId="contentpasted0">
    <w:name w:val="contentpasted0"/>
    <w:rsid w:val="000210CE"/>
  </w:style>
  <w:style w:type="table" w:customStyle="1" w:styleId="TableGrid40">
    <w:name w:val="TableGrid4"/>
    <w:basedOn w:val="TableNormal"/>
    <w:next w:val="TableGrid"/>
    <w:uiPriority w:val="59"/>
    <w:qFormat/>
    <w:rsid w:val="00965554"/>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120">
    <w:name w:val="Char Char1 Char Char Char Char Char Char Char Char Char Char Char Char Char Char Char120"/>
    <w:semiHidden/>
    <w:rsid w:val="00965554"/>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115">
    <w:name w:val="(文字) (文字)5115"/>
    <w:semiHidden/>
    <w:rsid w:val="00965554"/>
    <w:rPr>
      <w:rFonts w:ascii="Times New Roman" w:hAnsi="Times New Roman"/>
      <w:lang w:eastAsia="en-US"/>
    </w:rPr>
  </w:style>
  <w:style w:type="table" w:customStyle="1" w:styleId="ColorfulList-Accent115">
    <w:name w:val="Colorful List - Accent 115"/>
    <w:basedOn w:val="TableNormal"/>
    <w:next w:val="ColorfulList-Accent1"/>
    <w:uiPriority w:val="34"/>
    <w:rsid w:val="00965554"/>
    <w:rPr>
      <w:rFonts w:ascii="Malgun Gothic" w:eastAsia="MS Gothic" w:hAnsi="Malgun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5">
    <w:name w:val="Grid Table 4 - Accent 515"/>
    <w:basedOn w:val="TableNormal"/>
    <w:next w:val="GridTable4-Accent5"/>
    <w:uiPriority w:val="49"/>
    <w:rsid w:val="00965554"/>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50">
    <w:name w:val="TableGrid5"/>
    <w:basedOn w:val="TableNormal"/>
    <w:next w:val="TableGrid"/>
    <w:uiPriority w:val="39"/>
    <w:qFormat/>
    <w:rsid w:val="00993725"/>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119">
    <w:name w:val="Char Char1 Char Char Char Char Char Char Char Char Char Char Char Char Char Char Char119"/>
    <w:semiHidden/>
    <w:rsid w:val="00993725"/>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114">
    <w:name w:val="(文字) (文字)5114"/>
    <w:semiHidden/>
    <w:rsid w:val="00993725"/>
    <w:rPr>
      <w:rFonts w:ascii="Times New Roman" w:hAnsi="Times New Roman"/>
      <w:lang w:eastAsia="en-US"/>
    </w:rPr>
  </w:style>
  <w:style w:type="table" w:customStyle="1" w:styleId="ColorfulList-Accent116">
    <w:name w:val="Colorful List - Accent 116"/>
    <w:basedOn w:val="TableNormal"/>
    <w:next w:val="ColorfulList-Accent1"/>
    <w:uiPriority w:val="34"/>
    <w:rsid w:val="00993725"/>
    <w:rPr>
      <w:rFonts w:ascii="Malgun Gothic" w:eastAsia="MS Gothic" w:hAnsi="Malgun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6">
    <w:name w:val="Grid Table 4 - Accent 516"/>
    <w:basedOn w:val="TableNormal"/>
    <w:next w:val="GridTable4-Accent5"/>
    <w:uiPriority w:val="49"/>
    <w:rsid w:val="00993725"/>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styleId="ListNumber4">
    <w:name w:val="List Number 4"/>
    <w:basedOn w:val="Normal"/>
    <w:qFormat/>
    <w:rsid w:val="00993725"/>
    <w:pPr>
      <w:numPr>
        <w:numId w:val="64"/>
      </w:numPr>
      <w:tabs>
        <w:tab w:val="clear" w:pos="720"/>
        <w:tab w:val="num" w:pos="432"/>
        <w:tab w:val="left" w:pos="1209"/>
      </w:tabs>
      <w:spacing w:after="160" w:line="259" w:lineRule="auto"/>
      <w:ind w:left="1209" w:hanging="432"/>
    </w:pPr>
    <w:rPr>
      <w:rFonts w:ascii="Calibri" w:eastAsia="MS Mincho" w:hAnsi="Calibri" w:cs="Arial"/>
      <w:sz w:val="22"/>
      <w:szCs w:val="22"/>
      <w:lang w:val="en-US" w:eastAsia="en-GB"/>
    </w:rPr>
  </w:style>
  <w:style w:type="character" w:customStyle="1" w:styleId="ListParagraphChar3">
    <w:name w:val="List Paragraph Char3"/>
    <w:aliases w:val="- Bullets Char3,?? ?? Char3,????? Char3,???? Char3,Lista1 Char3,列出段落1 Char3,中等深浅网格 1 - 着色 21 Char3,¥¡¡¡¡ì¬º¥¹¥È¶ÎÂä Char3,ÁÐ³ö¶ÎÂä Char3,列表段落1 Char3,—ño’i—Ž Char3,¥ê¥¹¥È¶ÎÂä Char3,1st level - Bullet List Paragraph Char1,목록단락 Char2"/>
    <w:uiPriority w:val="34"/>
    <w:qFormat/>
    <w:locked/>
    <w:rsid w:val="00993725"/>
  </w:style>
  <w:style w:type="paragraph" w:customStyle="1" w:styleId="1b">
    <w:name w:val="リスト段落1"/>
    <w:basedOn w:val="Normal"/>
    <w:uiPriority w:val="34"/>
    <w:qFormat/>
    <w:rsid w:val="00993725"/>
    <w:pPr>
      <w:spacing w:after="160" w:line="259" w:lineRule="auto"/>
      <w:ind w:firstLineChars="200" w:firstLine="420"/>
    </w:pPr>
    <w:rPr>
      <w:rFonts w:ascii="Calibri" w:eastAsia="SimSun" w:hAnsi="Calibri"/>
      <w:sz w:val="22"/>
      <w:szCs w:val="22"/>
      <w:lang w:val="en-US" w:eastAsia="ko-KR"/>
    </w:rPr>
  </w:style>
  <w:style w:type="table" w:customStyle="1" w:styleId="GridTable5Dark-Accent61">
    <w:name w:val="Grid Table 5 Dark - Accent 61"/>
    <w:basedOn w:val="TableNormal"/>
    <w:uiPriority w:val="50"/>
    <w:qFormat/>
    <w:rsid w:val="00993725"/>
    <w:rPr>
      <w:rFonts w:eastAsia="DengXian"/>
      <w:lang w:eastAsia="zh-CN"/>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paragraph" w:styleId="MacroText">
    <w:name w:val="macro"/>
    <w:link w:val="MacroTextChar"/>
    <w:qFormat/>
    <w:rsid w:val="00993725"/>
    <w:pPr>
      <w:tabs>
        <w:tab w:val="left" w:pos="480"/>
        <w:tab w:val="left" w:pos="960"/>
        <w:tab w:val="left" w:pos="1440"/>
        <w:tab w:val="left" w:pos="1920"/>
        <w:tab w:val="left" w:pos="2400"/>
        <w:tab w:val="left" w:pos="2880"/>
        <w:tab w:val="left" w:pos="3360"/>
        <w:tab w:val="left" w:pos="3840"/>
        <w:tab w:val="left" w:pos="4320"/>
      </w:tabs>
      <w:spacing w:after="180" w:line="259" w:lineRule="auto"/>
    </w:pPr>
    <w:rPr>
      <w:rFonts w:ascii="Courier New" w:eastAsia="DengXian" w:hAnsi="Courier New" w:cs="Courier New"/>
      <w:lang w:eastAsia="en-US"/>
    </w:rPr>
  </w:style>
  <w:style w:type="character" w:customStyle="1" w:styleId="MacroTextChar">
    <w:name w:val="Macro Text Char"/>
    <w:basedOn w:val="DefaultParagraphFont"/>
    <w:link w:val="MacroText"/>
    <w:qFormat/>
    <w:rsid w:val="00993725"/>
    <w:rPr>
      <w:rFonts w:ascii="Courier New" w:eastAsia="DengXian" w:hAnsi="Courier New" w:cs="Courier New"/>
      <w:lang w:eastAsia="en-US"/>
    </w:rPr>
  </w:style>
  <w:style w:type="paragraph" w:styleId="TableofAuthorities">
    <w:name w:val="table of authorities"/>
    <w:basedOn w:val="Normal"/>
    <w:next w:val="Normal"/>
    <w:qFormat/>
    <w:rsid w:val="00993725"/>
    <w:pPr>
      <w:spacing w:after="180" w:line="259" w:lineRule="auto"/>
      <w:ind w:left="200" w:hanging="200"/>
    </w:pPr>
    <w:rPr>
      <w:rFonts w:ascii="Times New Roman" w:eastAsia="DengXian" w:hAnsi="Times New Roman"/>
      <w:szCs w:val="20"/>
    </w:rPr>
  </w:style>
  <w:style w:type="paragraph" w:styleId="NoteHeading">
    <w:name w:val="Note Heading"/>
    <w:basedOn w:val="Normal"/>
    <w:next w:val="Normal"/>
    <w:link w:val="NoteHeadingChar"/>
    <w:qFormat/>
    <w:rsid w:val="00993725"/>
    <w:pPr>
      <w:spacing w:after="180" w:line="259" w:lineRule="auto"/>
    </w:pPr>
    <w:rPr>
      <w:rFonts w:ascii="Times New Roman" w:eastAsia="DengXian" w:hAnsi="Times New Roman"/>
      <w:szCs w:val="20"/>
    </w:rPr>
  </w:style>
  <w:style w:type="character" w:customStyle="1" w:styleId="NoteHeadingChar">
    <w:name w:val="Note Heading Char"/>
    <w:basedOn w:val="DefaultParagraphFont"/>
    <w:link w:val="NoteHeading"/>
    <w:qFormat/>
    <w:rsid w:val="00993725"/>
    <w:rPr>
      <w:rFonts w:eastAsia="DengXian"/>
      <w:lang w:eastAsia="en-US"/>
    </w:rPr>
  </w:style>
  <w:style w:type="paragraph" w:styleId="Index8">
    <w:name w:val="index 8"/>
    <w:basedOn w:val="Normal"/>
    <w:next w:val="Normal"/>
    <w:qFormat/>
    <w:rsid w:val="00993725"/>
    <w:pPr>
      <w:spacing w:after="180" w:line="259" w:lineRule="auto"/>
      <w:ind w:left="1600" w:hanging="200"/>
    </w:pPr>
    <w:rPr>
      <w:rFonts w:ascii="Times New Roman" w:eastAsia="DengXian" w:hAnsi="Times New Roman"/>
      <w:szCs w:val="20"/>
    </w:rPr>
  </w:style>
  <w:style w:type="paragraph" w:styleId="E-mailSignature">
    <w:name w:val="E-mail Signature"/>
    <w:basedOn w:val="Normal"/>
    <w:link w:val="E-mailSignatureChar"/>
    <w:qFormat/>
    <w:rsid w:val="00993725"/>
    <w:pPr>
      <w:spacing w:after="180" w:line="259" w:lineRule="auto"/>
    </w:pPr>
    <w:rPr>
      <w:rFonts w:ascii="Times New Roman" w:eastAsia="DengXian" w:hAnsi="Times New Roman"/>
      <w:szCs w:val="20"/>
    </w:rPr>
  </w:style>
  <w:style w:type="character" w:customStyle="1" w:styleId="E-mailSignatureChar">
    <w:name w:val="E-mail Signature Char"/>
    <w:basedOn w:val="DefaultParagraphFont"/>
    <w:link w:val="E-mailSignature"/>
    <w:qFormat/>
    <w:rsid w:val="00993725"/>
    <w:rPr>
      <w:rFonts w:eastAsia="DengXian"/>
      <w:lang w:eastAsia="en-US"/>
    </w:rPr>
  </w:style>
  <w:style w:type="paragraph" w:styleId="Index5">
    <w:name w:val="index 5"/>
    <w:basedOn w:val="Normal"/>
    <w:next w:val="Normal"/>
    <w:qFormat/>
    <w:rsid w:val="00993725"/>
    <w:pPr>
      <w:spacing w:after="180" w:line="259" w:lineRule="auto"/>
      <w:ind w:left="1000" w:hanging="200"/>
    </w:pPr>
    <w:rPr>
      <w:rFonts w:ascii="Times New Roman" w:eastAsia="DengXian" w:hAnsi="Times New Roman"/>
      <w:szCs w:val="20"/>
    </w:rPr>
  </w:style>
  <w:style w:type="paragraph" w:styleId="EnvelopeAddress">
    <w:name w:val="envelope address"/>
    <w:basedOn w:val="Normal"/>
    <w:qFormat/>
    <w:rsid w:val="00993725"/>
    <w:pPr>
      <w:framePr w:w="7920" w:h="1980" w:hRule="exact" w:hSpace="180" w:wrap="around" w:hAnchor="page" w:xAlign="center" w:yAlign="bottom"/>
      <w:spacing w:after="180" w:line="259" w:lineRule="auto"/>
      <w:ind w:left="2880"/>
    </w:pPr>
    <w:rPr>
      <w:rFonts w:ascii="Calibri Light" w:eastAsia="DengXian" w:hAnsi="Calibri Light"/>
      <w:sz w:val="24"/>
    </w:rPr>
  </w:style>
  <w:style w:type="paragraph" w:styleId="TOAHeading">
    <w:name w:val="toa heading"/>
    <w:basedOn w:val="Normal"/>
    <w:next w:val="Normal"/>
    <w:qFormat/>
    <w:rsid w:val="00993725"/>
    <w:pPr>
      <w:spacing w:before="120" w:after="180" w:line="259" w:lineRule="auto"/>
    </w:pPr>
    <w:rPr>
      <w:rFonts w:ascii="Calibri Light" w:eastAsia="DengXian" w:hAnsi="Calibri Light"/>
      <w:b/>
      <w:bCs/>
      <w:sz w:val="24"/>
    </w:rPr>
  </w:style>
  <w:style w:type="paragraph" w:styleId="Index6">
    <w:name w:val="index 6"/>
    <w:basedOn w:val="Normal"/>
    <w:next w:val="Normal"/>
    <w:qFormat/>
    <w:rsid w:val="00993725"/>
    <w:pPr>
      <w:spacing w:after="180" w:line="259" w:lineRule="auto"/>
      <w:ind w:left="1200" w:hanging="200"/>
    </w:pPr>
    <w:rPr>
      <w:rFonts w:ascii="Times New Roman" w:eastAsia="DengXian" w:hAnsi="Times New Roman"/>
      <w:szCs w:val="20"/>
    </w:rPr>
  </w:style>
  <w:style w:type="paragraph" w:styleId="Salutation">
    <w:name w:val="Salutation"/>
    <w:basedOn w:val="Normal"/>
    <w:next w:val="Normal"/>
    <w:link w:val="SalutationChar"/>
    <w:qFormat/>
    <w:rsid w:val="00993725"/>
    <w:pPr>
      <w:spacing w:after="180" w:line="259" w:lineRule="auto"/>
    </w:pPr>
    <w:rPr>
      <w:rFonts w:ascii="Times New Roman" w:eastAsia="DengXian" w:hAnsi="Times New Roman"/>
      <w:szCs w:val="20"/>
    </w:rPr>
  </w:style>
  <w:style w:type="character" w:customStyle="1" w:styleId="SalutationChar">
    <w:name w:val="Salutation Char"/>
    <w:basedOn w:val="DefaultParagraphFont"/>
    <w:link w:val="Salutation"/>
    <w:qFormat/>
    <w:rsid w:val="00993725"/>
    <w:rPr>
      <w:rFonts w:eastAsia="DengXian"/>
      <w:lang w:eastAsia="en-US"/>
    </w:rPr>
  </w:style>
  <w:style w:type="paragraph" w:styleId="Closing">
    <w:name w:val="Closing"/>
    <w:basedOn w:val="Normal"/>
    <w:link w:val="ClosingChar"/>
    <w:qFormat/>
    <w:rsid w:val="00993725"/>
    <w:pPr>
      <w:spacing w:after="180" w:line="259" w:lineRule="auto"/>
      <w:ind w:left="4252"/>
    </w:pPr>
    <w:rPr>
      <w:rFonts w:ascii="Times New Roman" w:eastAsia="DengXian" w:hAnsi="Times New Roman"/>
      <w:szCs w:val="20"/>
    </w:rPr>
  </w:style>
  <w:style w:type="character" w:customStyle="1" w:styleId="ClosingChar">
    <w:name w:val="Closing Char"/>
    <w:basedOn w:val="DefaultParagraphFont"/>
    <w:link w:val="Closing"/>
    <w:qFormat/>
    <w:rsid w:val="00993725"/>
    <w:rPr>
      <w:rFonts w:eastAsia="DengXian"/>
      <w:lang w:eastAsia="en-US"/>
    </w:rPr>
  </w:style>
  <w:style w:type="paragraph" w:styleId="ListContinue">
    <w:name w:val="List Continue"/>
    <w:basedOn w:val="Normal"/>
    <w:qFormat/>
    <w:rsid w:val="00993725"/>
    <w:pPr>
      <w:spacing w:after="120" w:line="259" w:lineRule="auto"/>
      <w:ind w:left="283"/>
      <w:contextualSpacing/>
    </w:pPr>
    <w:rPr>
      <w:rFonts w:ascii="Times New Roman" w:eastAsia="DengXian" w:hAnsi="Times New Roman"/>
      <w:szCs w:val="20"/>
    </w:rPr>
  </w:style>
  <w:style w:type="paragraph" w:styleId="BlockText">
    <w:name w:val="Block Text"/>
    <w:basedOn w:val="Normal"/>
    <w:qFormat/>
    <w:rsid w:val="00993725"/>
    <w:pPr>
      <w:spacing w:after="120" w:line="259" w:lineRule="auto"/>
      <w:ind w:left="1440" w:right="1440"/>
    </w:pPr>
    <w:rPr>
      <w:rFonts w:ascii="Times New Roman" w:eastAsia="DengXian" w:hAnsi="Times New Roman"/>
      <w:szCs w:val="20"/>
    </w:rPr>
  </w:style>
  <w:style w:type="paragraph" w:styleId="HTMLAddress">
    <w:name w:val="HTML Address"/>
    <w:basedOn w:val="Normal"/>
    <w:link w:val="HTMLAddressChar"/>
    <w:qFormat/>
    <w:rsid w:val="00993725"/>
    <w:pPr>
      <w:spacing w:after="180" w:line="259" w:lineRule="auto"/>
    </w:pPr>
    <w:rPr>
      <w:rFonts w:ascii="Times New Roman" w:eastAsia="DengXian" w:hAnsi="Times New Roman"/>
      <w:i/>
      <w:iCs/>
      <w:szCs w:val="20"/>
    </w:rPr>
  </w:style>
  <w:style w:type="character" w:customStyle="1" w:styleId="HTMLAddressChar">
    <w:name w:val="HTML Address Char"/>
    <w:basedOn w:val="DefaultParagraphFont"/>
    <w:link w:val="HTMLAddress"/>
    <w:qFormat/>
    <w:rsid w:val="00993725"/>
    <w:rPr>
      <w:rFonts w:eastAsia="DengXian"/>
      <w:i/>
      <w:iCs/>
      <w:lang w:eastAsia="en-US"/>
    </w:rPr>
  </w:style>
  <w:style w:type="paragraph" w:styleId="Index4">
    <w:name w:val="index 4"/>
    <w:basedOn w:val="Normal"/>
    <w:next w:val="Normal"/>
    <w:qFormat/>
    <w:rsid w:val="00993725"/>
    <w:pPr>
      <w:spacing w:after="180" w:line="259" w:lineRule="auto"/>
      <w:ind w:left="800" w:hanging="200"/>
    </w:pPr>
    <w:rPr>
      <w:rFonts w:ascii="Times New Roman" w:eastAsia="DengXian" w:hAnsi="Times New Roman"/>
      <w:szCs w:val="20"/>
    </w:rPr>
  </w:style>
  <w:style w:type="paragraph" w:styleId="Index3">
    <w:name w:val="index 3"/>
    <w:basedOn w:val="Normal"/>
    <w:next w:val="Normal"/>
    <w:qFormat/>
    <w:rsid w:val="00993725"/>
    <w:pPr>
      <w:spacing w:after="180" w:line="259" w:lineRule="auto"/>
      <w:ind w:left="600" w:hanging="200"/>
    </w:pPr>
    <w:rPr>
      <w:rFonts w:ascii="Times New Roman" w:eastAsia="DengXian" w:hAnsi="Times New Roman"/>
      <w:szCs w:val="20"/>
    </w:rPr>
  </w:style>
  <w:style w:type="paragraph" w:styleId="EndnoteText">
    <w:name w:val="endnote text"/>
    <w:basedOn w:val="Normal"/>
    <w:link w:val="EndnoteTextChar"/>
    <w:qFormat/>
    <w:rsid w:val="00993725"/>
    <w:pPr>
      <w:spacing w:after="180" w:line="259" w:lineRule="auto"/>
    </w:pPr>
    <w:rPr>
      <w:rFonts w:ascii="Times New Roman" w:eastAsia="DengXian" w:hAnsi="Times New Roman"/>
      <w:szCs w:val="20"/>
    </w:rPr>
  </w:style>
  <w:style w:type="character" w:customStyle="1" w:styleId="EndnoteTextChar">
    <w:name w:val="Endnote Text Char"/>
    <w:basedOn w:val="DefaultParagraphFont"/>
    <w:link w:val="EndnoteText"/>
    <w:qFormat/>
    <w:rsid w:val="00993725"/>
    <w:rPr>
      <w:rFonts w:eastAsia="DengXian"/>
      <w:lang w:eastAsia="en-US"/>
    </w:rPr>
  </w:style>
  <w:style w:type="paragraph" w:styleId="ListContinue5">
    <w:name w:val="List Continue 5"/>
    <w:basedOn w:val="Normal"/>
    <w:qFormat/>
    <w:rsid w:val="00993725"/>
    <w:pPr>
      <w:spacing w:after="120" w:line="259" w:lineRule="auto"/>
      <w:ind w:left="1415"/>
      <w:contextualSpacing/>
    </w:pPr>
    <w:rPr>
      <w:rFonts w:ascii="Times New Roman" w:eastAsia="DengXian" w:hAnsi="Times New Roman"/>
      <w:szCs w:val="20"/>
    </w:rPr>
  </w:style>
  <w:style w:type="paragraph" w:styleId="EnvelopeReturn">
    <w:name w:val="envelope return"/>
    <w:basedOn w:val="Normal"/>
    <w:qFormat/>
    <w:rsid w:val="00993725"/>
    <w:pPr>
      <w:spacing w:after="180" w:line="259" w:lineRule="auto"/>
    </w:pPr>
    <w:rPr>
      <w:rFonts w:ascii="Calibri Light" w:eastAsia="DengXian" w:hAnsi="Calibri Light"/>
      <w:szCs w:val="20"/>
    </w:rPr>
  </w:style>
  <w:style w:type="paragraph" w:styleId="Signature">
    <w:name w:val="Signature"/>
    <w:basedOn w:val="Normal"/>
    <w:link w:val="SignatureChar"/>
    <w:qFormat/>
    <w:rsid w:val="00993725"/>
    <w:pPr>
      <w:spacing w:after="180" w:line="259" w:lineRule="auto"/>
      <w:ind w:left="4252"/>
    </w:pPr>
    <w:rPr>
      <w:rFonts w:ascii="Times New Roman" w:eastAsia="DengXian" w:hAnsi="Times New Roman"/>
      <w:szCs w:val="20"/>
    </w:rPr>
  </w:style>
  <w:style w:type="character" w:customStyle="1" w:styleId="SignatureChar">
    <w:name w:val="Signature Char"/>
    <w:basedOn w:val="DefaultParagraphFont"/>
    <w:link w:val="Signature"/>
    <w:qFormat/>
    <w:rsid w:val="00993725"/>
    <w:rPr>
      <w:rFonts w:eastAsia="DengXian"/>
      <w:lang w:eastAsia="en-US"/>
    </w:rPr>
  </w:style>
  <w:style w:type="paragraph" w:styleId="ListContinue4">
    <w:name w:val="List Continue 4"/>
    <w:basedOn w:val="Normal"/>
    <w:qFormat/>
    <w:rsid w:val="00993725"/>
    <w:pPr>
      <w:spacing w:after="120" w:line="259" w:lineRule="auto"/>
      <w:ind w:left="1132"/>
      <w:contextualSpacing/>
    </w:pPr>
    <w:rPr>
      <w:rFonts w:ascii="Times New Roman" w:eastAsia="DengXian" w:hAnsi="Times New Roman"/>
      <w:szCs w:val="20"/>
    </w:rPr>
  </w:style>
  <w:style w:type="paragraph" w:styleId="ListNumber5">
    <w:name w:val="List Number 5"/>
    <w:basedOn w:val="Normal"/>
    <w:qFormat/>
    <w:rsid w:val="00993725"/>
    <w:pPr>
      <w:numPr>
        <w:numId w:val="65"/>
      </w:numPr>
      <w:tabs>
        <w:tab w:val="clear" w:pos="1492"/>
      </w:tabs>
      <w:spacing w:after="180" w:line="259" w:lineRule="auto"/>
      <w:ind w:left="360" w:firstLine="0"/>
      <w:contextualSpacing/>
    </w:pPr>
    <w:rPr>
      <w:rFonts w:ascii="Times New Roman" w:eastAsia="DengXian" w:hAnsi="Times New Roman"/>
      <w:szCs w:val="20"/>
    </w:rPr>
  </w:style>
  <w:style w:type="paragraph" w:styleId="Index7">
    <w:name w:val="index 7"/>
    <w:basedOn w:val="Normal"/>
    <w:next w:val="Normal"/>
    <w:qFormat/>
    <w:rsid w:val="00993725"/>
    <w:pPr>
      <w:spacing w:after="180" w:line="259" w:lineRule="auto"/>
      <w:ind w:left="1400" w:hanging="200"/>
    </w:pPr>
    <w:rPr>
      <w:rFonts w:ascii="Times New Roman" w:eastAsia="DengXian" w:hAnsi="Times New Roman"/>
      <w:szCs w:val="20"/>
    </w:rPr>
  </w:style>
  <w:style w:type="paragraph" w:styleId="Index9">
    <w:name w:val="index 9"/>
    <w:basedOn w:val="Normal"/>
    <w:next w:val="Normal"/>
    <w:qFormat/>
    <w:rsid w:val="00993725"/>
    <w:pPr>
      <w:spacing w:after="180" w:line="259" w:lineRule="auto"/>
      <w:ind w:left="1800" w:hanging="200"/>
    </w:pPr>
    <w:rPr>
      <w:rFonts w:ascii="Times New Roman" w:eastAsia="DengXian" w:hAnsi="Times New Roman"/>
      <w:szCs w:val="20"/>
    </w:rPr>
  </w:style>
  <w:style w:type="paragraph" w:styleId="MessageHeader">
    <w:name w:val="Message Header"/>
    <w:basedOn w:val="Normal"/>
    <w:link w:val="MessageHeaderChar"/>
    <w:qFormat/>
    <w:rsid w:val="00993725"/>
    <w:pPr>
      <w:pBdr>
        <w:top w:val="single" w:sz="6" w:space="1" w:color="auto"/>
        <w:left w:val="single" w:sz="6" w:space="1" w:color="auto"/>
        <w:bottom w:val="single" w:sz="6" w:space="1" w:color="auto"/>
        <w:right w:val="single" w:sz="6" w:space="1" w:color="auto"/>
      </w:pBdr>
      <w:shd w:val="pct20" w:color="auto" w:fill="auto"/>
      <w:spacing w:after="180" w:line="259" w:lineRule="auto"/>
      <w:ind w:left="1134" w:hanging="1134"/>
    </w:pPr>
    <w:rPr>
      <w:rFonts w:ascii="Calibri Light" w:eastAsia="DengXian" w:hAnsi="Calibri Light"/>
      <w:sz w:val="24"/>
    </w:rPr>
  </w:style>
  <w:style w:type="character" w:customStyle="1" w:styleId="MessageHeaderChar">
    <w:name w:val="Message Header Char"/>
    <w:basedOn w:val="DefaultParagraphFont"/>
    <w:link w:val="MessageHeader"/>
    <w:qFormat/>
    <w:rsid w:val="00993725"/>
    <w:rPr>
      <w:rFonts w:ascii="Calibri Light" w:eastAsia="DengXian" w:hAnsi="Calibri Light"/>
      <w:sz w:val="24"/>
      <w:szCs w:val="24"/>
      <w:shd w:val="pct20" w:color="auto" w:fill="auto"/>
      <w:lang w:eastAsia="en-US"/>
    </w:rPr>
  </w:style>
  <w:style w:type="paragraph" w:styleId="ListContinue3">
    <w:name w:val="List Continue 3"/>
    <w:basedOn w:val="Normal"/>
    <w:qFormat/>
    <w:rsid w:val="00993725"/>
    <w:pPr>
      <w:spacing w:after="120" w:line="259" w:lineRule="auto"/>
      <w:ind w:left="849"/>
      <w:contextualSpacing/>
    </w:pPr>
    <w:rPr>
      <w:rFonts w:ascii="Times New Roman" w:eastAsia="DengXian" w:hAnsi="Times New Roman"/>
      <w:szCs w:val="20"/>
    </w:rPr>
  </w:style>
  <w:style w:type="character" w:customStyle="1" w:styleId="1c">
    <w:name w:val="未处理的提及1"/>
    <w:uiPriority w:val="99"/>
    <w:semiHidden/>
    <w:unhideWhenUsed/>
    <w:qFormat/>
    <w:rsid w:val="00993725"/>
    <w:rPr>
      <w:color w:val="605E5C"/>
      <w:shd w:val="clear" w:color="auto" w:fill="E1DFDD"/>
    </w:rPr>
  </w:style>
  <w:style w:type="paragraph" w:customStyle="1" w:styleId="Bibliography1">
    <w:name w:val="Bibliography1"/>
    <w:basedOn w:val="Normal"/>
    <w:next w:val="Normal"/>
    <w:uiPriority w:val="37"/>
    <w:semiHidden/>
    <w:unhideWhenUsed/>
    <w:qFormat/>
    <w:rsid w:val="00993725"/>
    <w:pPr>
      <w:spacing w:after="180" w:line="259" w:lineRule="auto"/>
    </w:pPr>
    <w:rPr>
      <w:rFonts w:ascii="Times New Roman" w:eastAsia="DengXian" w:hAnsi="Times New Roman"/>
      <w:szCs w:val="20"/>
    </w:rPr>
  </w:style>
  <w:style w:type="paragraph" w:styleId="IntenseQuote">
    <w:name w:val="Intense Quote"/>
    <w:basedOn w:val="Normal"/>
    <w:next w:val="Normal"/>
    <w:link w:val="IntenseQuoteChar"/>
    <w:uiPriority w:val="30"/>
    <w:qFormat/>
    <w:rsid w:val="00993725"/>
    <w:pPr>
      <w:pBdr>
        <w:top w:val="single" w:sz="4" w:space="10" w:color="4472C4"/>
        <w:bottom w:val="single" w:sz="4" w:space="10" w:color="4472C4"/>
      </w:pBdr>
      <w:spacing w:before="360" w:after="360" w:line="259" w:lineRule="auto"/>
      <w:ind w:left="864" w:right="864"/>
      <w:jc w:val="center"/>
    </w:pPr>
    <w:rPr>
      <w:rFonts w:ascii="Times New Roman" w:eastAsia="DengXian" w:hAnsi="Times New Roman"/>
      <w:i/>
      <w:iCs/>
      <w:color w:val="4472C4"/>
      <w:szCs w:val="20"/>
    </w:rPr>
  </w:style>
  <w:style w:type="character" w:customStyle="1" w:styleId="IntenseQuoteChar">
    <w:name w:val="Intense Quote Char"/>
    <w:basedOn w:val="DefaultParagraphFont"/>
    <w:link w:val="IntenseQuote"/>
    <w:uiPriority w:val="30"/>
    <w:qFormat/>
    <w:rsid w:val="00993725"/>
    <w:rPr>
      <w:rFonts w:eastAsia="DengXian"/>
      <w:i/>
      <w:iCs/>
      <w:color w:val="4472C4"/>
      <w:lang w:eastAsia="en-US"/>
    </w:rPr>
  </w:style>
  <w:style w:type="paragraph" w:styleId="Quote">
    <w:name w:val="Quote"/>
    <w:basedOn w:val="Normal"/>
    <w:next w:val="Normal"/>
    <w:link w:val="QuoteChar"/>
    <w:uiPriority w:val="29"/>
    <w:qFormat/>
    <w:rsid w:val="00993725"/>
    <w:pPr>
      <w:spacing w:before="200" w:after="160" w:line="259" w:lineRule="auto"/>
      <w:ind w:left="864" w:right="864"/>
      <w:jc w:val="center"/>
    </w:pPr>
    <w:rPr>
      <w:rFonts w:ascii="Times New Roman" w:eastAsia="DengXian" w:hAnsi="Times New Roman"/>
      <w:i/>
      <w:iCs/>
      <w:color w:val="404040"/>
      <w:szCs w:val="20"/>
    </w:rPr>
  </w:style>
  <w:style w:type="character" w:customStyle="1" w:styleId="QuoteChar">
    <w:name w:val="Quote Char"/>
    <w:basedOn w:val="DefaultParagraphFont"/>
    <w:link w:val="Quote"/>
    <w:uiPriority w:val="29"/>
    <w:qFormat/>
    <w:rsid w:val="00993725"/>
    <w:rPr>
      <w:rFonts w:eastAsia="DengXian"/>
      <w:i/>
      <w:iCs/>
      <w:color w:val="404040"/>
      <w:lang w:eastAsia="en-US"/>
    </w:rPr>
  </w:style>
  <w:style w:type="paragraph" w:customStyle="1" w:styleId="TOCHeading1">
    <w:name w:val="TOC Heading1"/>
    <w:basedOn w:val="Heading1"/>
    <w:next w:val="Normal"/>
    <w:uiPriority w:val="39"/>
    <w:semiHidden/>
    <w:unhideWhenUsed/>
    <w:qFormat/>
    <w:rsid w:val="00993725"/>
    <w:pPr>
      <w:numPr>
        <w:numId w:val="0"/>
      </w:numPr>
      <w:spacing w:line="259" w:lineRule="auto"/>
      <w:outlineLvl w:val="9"/>
    </w:pPr>
    <w:rPr>
      <w:rFonts w:ascii="Calibri Light" w:eastAsia="DengXian" w:hAnsi="Calibri Light" w:cs="Times New Roman"/>
    </w:rPr>
  </w:style>
  <w:style w:type="paragraph" w:customStyle="1" w:styleId="Revision1">
    <w:name w:val="Revision1"/>
    <w:hidden/>
    <w:uiPriority w:val="99"/>
    <w:semiHidden/>
    <w:qFormat/>
    <w:rsid w:val="00993725"/>
    <w:pPr>
      <w:spacing w:after="160" w:line="259" w:lineRule="auto"/>
    </w:pPr>
    <w:rPr>
      <w:rFonts w:eastAsia="DengXian"/>
      <w:lang w:eastAsia="en-US"/>
    </w:rPr>
  </w:style>
  <w:style w:type="table" w:customStyle="1" w:styleId="GridTable4-Accent517">
    <w:name w:val="Grid Table 4 - Accent 517"/>
    <w:basedOn w:val="TableNormal"/>
    <w:uiPriority w:val="49"/>
    <w:qFormat/>
    <w:rsid w:val="00993725"/>
    <w:rPr>
      <w:rFonts w:eastAsia="DengXian"/>
      <w:lang w:eastAsia="zh-CN"/>
    </w:rPr>
    <w:tblPr>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GridTable5Dark-Accent11">
    <w:name w:val="Grid Table 5 Dark - Accent 11"/>
    <w:basedOn w:val="TableNormal"/>
    <w:uiPriority w:val="50"/>
    <w:qFormat/>
    <w:rsid w:val="00993725"/>
    <w:rPr>
      <w:rFonts w:eastAsia="DengXian"/>
      <w:lang w:eastAsia="zh-CN"/>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paragraph" w:customStyle="1" w:styleId="font1">
    <w:name w:val="font1"/>
    <w:basedOn w:val="Normal"/>
    <w:qFormat/>
    <w:rsid w:val="00993725"/>
    <w:pPr>
      <w:spacing w:before="100" w:beforeAutospacing="1" w:after="100" w:afterAutospacing="1" w:line="259" w:lineRule="auto"/>
    </w:pPr>
    <w:rPr>
      <w:rFonts w:ascii="DengXian" w:eastAsia="DengXian" w:hAnsi="DengXian" w:cs="SimSun"/>
      <w:color w:val="000000"/>
      <w:sz w:val="22"/>
      <w:szCs w:val="22"/>
      <w:lang w:val="en-US" w:eastAsia="zh-CN"/>
    </w:rPr>
  </w:style>
  <w:style w:type="paragraph" w:customStyle="1" w:styleId="font6">
    <w:name w:val="font6"/>
    <w:basedOn w:val="Normal"/>
    <w:qFormat/>
    <w:rsid w:val="00993725"/>
    <w:pPr>
      <w:spacing w:before="100" w:beforeAutospacing="1" w:after="100" w:afterAutospacing="1" w:line="259" w:lineRule="auto"/>
    </w:pPr>
    <w:rPr>
      <w:rFonts w:ascii="Times New Roman" w:eastAsia="SimSun" w:hAnsi="Times New Roman"/>
      <w:sz w:val="22"/>
      <w:szCs w:val="22"/>
      <w:lang w:val="en-US" w:eastAsia="zh-CN"/>
    </w:rPr>
  </w:style>
  <w:style w:type="paragraph" w:customStyle="1" w:styleId="font7">
    <w:name w:val="font7"/>
    <w:basedOn w:val="Normal"/>
    <w:qFormat/>
    <w:rsid w:val="00993725"/>
    <w:pPr>
      <w:spacing w:before="100" w:beforeAutospacing="1" w:after="100" w:afterAutospacing="1" w:line="259" w:lineRule="auto"/>
    </w:pPr>
    <w:rPr>
      <w:rFonts w:ascii="DengXian" w:eastAsia="DengXian" w:hAnsi="DengXian" w:cs="SimSun"/>
      <w:sz w:val="18"/>
      <w:szCs w:val="18"/>
      <w:lang w:val="en-US" w:eastAsia="zh-CN"/>
    </w:rPr>
  </w:style>
  <w:style w:type="paragraph" w:customStyle="1" w:styleId="font8">
    <w:name w:val="font8"/>
    <w:basedOn w:val="Normal"/>
    <w:qFormat/>
    <w:rsid w:val="00993725"/>
    <w:pPr>
      <w:spacing w:before="100" w:beforeAutospacing="1" w:after="100" w:afterAutospacing="1" w:line="259" w:lineRule="auto"/>
    </w:pPr>
    <w:rPr>
      <w:rFonts w:ascii="SimSun" w:eastAsia="SimSun" w:hAnsi="SimSun" w:cs="SimSun"/>
      <w:sz w:val="18"/>
      <w:szCs w:val="18"/>
      <w:lang w:val="en-US" w:eastAsia="zh-CN"/>
    </w:rPr>
  </w:style>
  <w:style w:type="paragraph" w:customStyle="1" w:styleId="font9">
    <w:name w:val="font9"/>
    <w:basedOn w:val="Normal"/>
    <w:qFormat/>
    <w:rsid w:val="00993725"/>
    <w:pPr>
      <w:spacing w:before="100" w:beforeAutospacing="1" w:after="100" w:afterAutospacing="1" w:line="259" w:lineRule="auto"/>
    </w:pPr>
    <w:rPr>
      <w:rFonts w:ascii="Times New Roman" w:eastAsia="SimSun" w:hAnsi="Times New Roman"/>
      <w:b/>
      <w:bCs/>
      <w:sz w:val="18"/>
      <w:szCs w:val="18"/>
      <w:lang w:val="en-US" w:eastAsia="zh-CN"/>
    </w:rPr>
  </w:style>
  <w:style w:type="paragraph" w:customStyle="1" w:styleId="font10">
    <w:name w:val="font10"/>
    <w:basedOn w:val="Normal"/>
    <w:qFormat/>
    <w:rsid w:val="00993725"/>
    <w:pPr>
      <w:spacing w:before="100" w:beforeAutospacing="1" w:after="100" w:afterAutospacing="1" w:line="259" w:lineRule="auto"/>
    </w:pPr>
    <w:rPr>
      <w:rFonts w:ascii="Times New Roman" w:eastAsia="SimSun" w:hAnsi="Times New Roman"/>
      <w:sz w:val="18"/>
      <w:szCs w:val="18"/>
      <w:lang w:val="en-US" w:eastAsia="zh-CN"/>
    </w:rPr>
  </w:style>
  <w:style w:type="paragraph" w:customStyle="1" w:styleId="font11">
    <w:name w:val="font11"/>
    <w:basedOn w:val="Normal"/>
    <w:qFormat/>
    <w:rsid w:val="00993725"/>
    <w:pPr>
      <w:spacing w:before="100" w:beforeAutospacing="1" w:after="100" w:afterAutospacing="1" w:line="259" w:lineRule="auto"/>
    </w:pPr>
    <w:rPr>
      <w:rFonts w:ascii="Times New Roman" w:eastAsia="SimSun" w:hAnsi="Times New Roman"/>
      <w:b/>
      <w:bCs/>
      <w:sz w:val="22"/>
      <w:szCs w:val="22"/>
      <w:lang w:val="en-US" w:eastAsia="zh-CN"/>
    </w:rPr>
  </w:style>
  <w:style w:type="paragraph" w:customStyle="1" w:styleId="aff8">
    <w:name w:val="表格"/>
    <w:basedOn w:val="Normal"/>
    <w:link w:val="Char3"/>
    <w:qFormat/>
    <w:rsid w:val="00993725"/>
    <w:pPr>
      <w:spacing w:line="259" w:lineRule="auto"/>
      <w:jc w:val="center"/>
    </w:pPr>
    <w:rPr>
      <w:rFonts w:ascii="Times New Roman" w:eastAsia="Times New Roman" w:hAnsi="Times New Roman"/>
      <w:sz w:val="12"/>
      <w:szCs w:val="12"/>
      <w:lang w:eastAsia="zh-CN"/>
    </w:rPr>
  </w:style>
  <w:style w:type="character" w:customStyle="1" w:styleId="Char3">
    <w:name w:val="表格 Char"/>
    <w:link w:val="aff8"/>
    <w:qFormat/>
    <w:rsid w:val="00993725"/>
    <w:rPr>
      <w:rFonts w:eastAsia="Times New Roman"/>
      <w:sz w:val="12"/>
      <w:szCs w:val="12"/>
      <w:lang w:eastAsia="zh-CN"/>
    </w:rPr>
  </w:style>
  <w:style w:type="table" w:customStyle="1" w:styleId="TableGrid6">
    <w:name w:val="TableGrid6"/>
    <w:basedOn w:val="TableNormal"/>
    <w:next w:val="TableGrid"/>
    <w:uiPriority w:val="39"/>
    <w:qFormat/>
    <w:rsid w:val="000A043D"/>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118">
    <w:name w:val="Char Char1 Char Char Char Char Char Char Char Char Char Char Char Char Char Char Char118"/>
    <w:uiPriority w:val="99"/>
    <w:semiHidden/>
    <w:qFormat/>
    <w:rsid w:val="000A043D"/>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table" w:customStyle="1" w:styleId="TableGrid41">
    <w:name w:val="Table Grid4"/>
    <w:basedOn w:val="TableNormal"/>
    <w:next w:val="TableGrid"/>
    <w:uiPriority w:val="39"/>
    <w:rsid w:val="002826A7"/>
    <w:pPr>
      <w:jc w:val="both"/>
    </w:pPr>
    <w:rPr>
      <w:rFonts w:ascii="Malgun Gothic" w:eastAsia="Malgun Gothic" w:hAnsi="Malgun Gothic"/>
      <w:kern w:val="2"/>
      <w:szCs w:val="22"/>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5113">
    <w:name w:val="(文字) (文字)5113"/>
    <w:semiHidden/>
    <w:rsid w:val="000A043D"/>
    <w:rPr>
      <w:rFonts w:ascii="Times New Roman" w:hAnsi="Times New Roman"/>
      <w:lang w:eastAsia="en-US"/>
    </w:rPr>
  </w:style>
  <w:style w:type="table" w:customStyle="1" w:styleId="ColorfulList-Accent117">
    <w:name w:val="Colorful List - Accent 117"/>
    <w:basedOn w:val="TableNormal"/>
    <w:next w:val="ColorfulList-Accent1"/>
    <w:uiPriority w:val="34"/>
    <w:rsid w:val="000A043D"/>
    <w:rPr>
      <w:rFonts w:ascii="Malgun Gothic" w:eastAsia="MS Gothic" w:hAnsi="Malgun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8">
    <w:name w:val="Grid Table 4 - Accent 518"/>
    <w:basedOn w:val="TableNormal"/>
    <w:next w:val="GridTable4-Accent5"/>
    <w:uiPriority w:val="49"/>
    <w:rsid w:val="000A043D"/>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5Dark-Accent611">
    <w:name w:val="Grid Table 5 Dark - Accent 611"/>
    <w:basedOn w:val="TableNormal"/>
    <w:uiPriority w:val="50"/>
    <w:qFormat/>
    <w:rsid w:val="000A043D"/>
    <w:rPr>
      <w:rFonts w:eastAsia="DengXian"/>
      <w:lang w:eastAsia="zh-CN"/>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GridTable4-Accent519">
    <w:name w:val="Grid Table 4 - Accent 519"/>
    <w:basedOn w:val="TableNormal"/>
    <w:uiPriority w:val="49"/>
    <w:qFormat/>
    <w:rsid w:val="000A043D"/>
    <w:rPr>
      <w:rFonts w:eastAsia="DengXian"/>
      <w:lang w:eastAsia="zh-CN"/>
    </w:rPr>
    <w:tblPr>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GridTable5Dark-Accent111">
    <w:name w:val="Grid Table 5 Dark - Accent 111"/>
    <w:basedOn w:val="TableNormal"/>
    <w:uiPriority w:val="50"/>
    <w:qFormat/>
    <w:rsid w:val="000A043D"/>
    <w:rPr>
      <w:rFonts w:eastAsia="DengXian"/>
      <w:lang w:eastAsia="zh-CN"/>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character" w:customStyle="1" w:styleId="gmaildefault0">
    <w:name w:val="gmaildefault"/>
    <w:basedOn w:val="DefaultParagraphFont"/>
    <w:rsid w:val="000A043D"/>
  </w:style>
  <w:style w:type="paragraph" w:customStyle="1" w:styleId="40">
    <w:name w:val="列表段落4"/>
    <w:basedOn w:val="Normal"/>
    <w:rsid w:val="000A043D"/>
    <w:pPr>
      <w:spacing w:before="100" w:beforeAutospacing="1" w:after="100" w:afterAutospacing="1"/>
      <w:ind w:leftChars="400" w:left="840"/>
    </w:pPr>
    <w:rPr>
      <w:rFonts w:cs="Times"/>
      <w:sz w:val="24"/>
      <w:lang w:val="en-US" w:eastAsia="zh-CN"/>
    </w:rPr>
  </w:style>
  <w:style w:type="paragraph" w:customStyle="1" w:styleId="xtah">
    <w:name w:val="x_tah"/>
    <w:basedOn w:val="Normal"/>
    <w:rsid w:val="000A043D"/>
    <w:pPr>
      <w:keepNext/>
      <w:spacing w:line="252" w:lineRule="auto"/>
      <w:jc w:val="center"/>
    </w:pPr>
    <w:rPr>
      <w:rFonts w:ascii="Arial" w:eastAsia="SimSun" w:hAnsi="Arial" w:cs="Arial"/>
      <w:b/>
      <w:bCs/>
      <w:sz w:val="18"/>
      <w:szCs w:val="18"/>
      <w:lang w:val="en-US" w:eastAsia="zh-CN"/>
    </w:rPr>
  </w:style>
  <w:style w:type="table" w:customStyle="1" w:styleId="120">
    <w:name w:val="网格型12"/>
    <w:basedOn w:val="TableNormal"/>
    <w:qFormat/>
    <w:rsid w:val="000A043D"/>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Grid7"/>
    <w:basedOn w:val="TableNormal"/>
    <w:next w:val="TableGrid"/>
    <w:uiPriority w:val="39"/>
    <w:qFormat/>
    <w:rsid w:val="00476AD6"/>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117">
    <w:name w:val="Char Char1 Char Char Char Char Char Char Char Char Char Char Char Char Char Char Char117"/>
    <w:semiHidden/>
    <w:rsid w:val="00476AD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112">
    <w:name w:val="(文字) (文字)5112"/>
    <w:semiHidden/>
    <w:rsid w:val="00476AD6"/>
    <w:rPr>
      <w:rFonts w:ascii="Times New Roman" w:hAnsi="Times New Roman"/>
      <w:lang w:eastAsia="en-US"/>
    </w:rPr>
  </w:style>
  <w:style w:type="table" w:customStyle="1" w:styleId="ColorfulList-Accent118">
    <w:name w:val="Colorful List - Accent 118"/>
    <w:basedOn w:val="TableNormal"/>
    <w:next w:val="ColorfulList-Accent1"/>
    <w:uiPriority w:val="34"/>
    <w:rsid w:val="00476AD6"/>
    <w:rPr>
      <w:rFonts w:ascii="Malgun Gothic" w:eastAsia="MS Gothic" w:hAnsi="Malgun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0">
    <w:name w:val="Grid Table 4 - Accent 520"/>
    <w:basedOn w:val="TableNormal"/>
    <w:next w:val="GridTable4-Accent5"/>
    <w:uiPriority w:val="49"/>
    <w:rsid w:val="00476AD6"/>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5Dark-Accent612">
    <w:name w:val="Grid Table 5 Dark - Accent 612"/>
    <w:basedOn w:val="TableNormal"/>
    <w:uiPriority w:val="50"/>
    <w:qFormat/>
    <w:rsid w:val="00476AD6"/>
    <w:rPr>
      <w:rFonts w:eastAsia="DengXian"/>
      <w:lang w:eastAsia="zh-CN"/>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GridTable4-Accent5110">
    <w:name w:val="Grid Table 4 - Accent 5110"/>
    <w:basedOn w:val="TableNormal"/>
    <w:uiPriority w:val="49"/>
    <w:qFormat/>
    <w:rsid w:val="00476AD6"/>
    <w:rPr>
      <w:rFonts w:eastAsia="DengXian"/>
      <w:lang w:eastAsia="zh-CN"/>
    </w:rPr>
    <w:tblPr>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GridTable5Dark-Accent112">
    <w:name w:val="Grid Table 5 Dark - Accent 112"/>
    <w:basedOn w:val="TableNormal"/>
    <w:uiPriority w:val="50"/>
    <w:qFormat/>
    <w:rsid w:val="00476AD6"/>
    <w:rPr>
      <w:rFonts w:eastAsia="DengXian"/>
      <w:lang w:eastAsia="zh-CN"/>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customStyle="1" w:styleId="130">
    <w:name w:val="网格型13"/>
    <w:basedOn w:val="TableNormal"/>
    <w:qFormat/>
    <w:rsid w:val="00476AD6"/>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Contents">
    <w:name w:val="Table Contents"/>
    <w:basedOn w:val="Normal"/>
    <w:qFormat/>
    <w:rsid w:val="00476AD6"/>
    <w:pPr>
      <w:suppressLineNumbers/>
      <w:suppressAutoHyphens/>
      <w:spacing w:after="180" w:line="259" w:lineRule="auto"/>
      <w:jc w:val="both"/>
    </w:pPr>
    <w:rPr>
      <w:rFonts w:ascii="Times New Roman" w:eastAsia="DengXian" w:hAnsi="Times New Roman"/>
      <w:szCs w:val="20"/>
    </w:rPr>
  </w:style>
  <w:style w:type="character" w:customStyle="1" w:styleId="1Char">
    <w:name w:val="제목 1 Char"/>
    <w:qFormat/>
    <w:rsid w:val="00476AD6"/>
    <w:rPr>
      <w:rFonts w:ascii="Arial" w:hAnsi="Arial"/>
      <w:sz w:val="36"/>
      <w:lang w:eastAsia="en-US"/>
    </w:rPr>
  </w:style>
  <w:style w:type="character" w:customStyle="1" w:styleId="2Char">
    <w:name w:val="본문 들여쓰기 2 Char"/>
    <w:qFormat/>
    <w:rsid w:val="00476AD6"/>
    <w:rPr>
      <w:lang w:eastAsia="en-US"/>
    </w:rPr>
  </w:style>
  <w:style w:type="character" w:customStyle="1" w:styleId="Char4">
    <w:name w:val="미주 텍스트 Char"/>
    <w:qFormat/>
    <w:rsid w:val="00476AD6"/>
    <w:rPr>
      <w:lang w:eastAsia="en-US"/>
    </w:rPr>
  </w:style>
  <w:style w:type="character" w:customStyle="1" w:styleId="Char5">
    <w:name w:val="각주 텍스트 Char"/>
    <w:qFormat/>
    <w:rsid w:val="00476AD6"/>
    <w:rPr>
      <w:lang w:eastAsia="en-US"/>
    </w:rPr>
  </w:style>
  <w:style w:type="character" w:customStyle="1" w:styleId="HTMLChar">
    <w:name w:val="미리 서식이 지정된 HTML Char"/>
    <w:qFormat/>
    <w:rsid w:val="00476AD6"/>
    <w:rPr>
      <w:rFonts w:ascii="Courier New" w:hAnsi="Courier New" w:cs="Courier New"/>
      <w:lang w:eastAsia="en-US"/>
    </w:rPr>
  </w:style>
  <w:style w:type="character" w:customStyle="1" w:styleId="Char6">
    <w:name w:val="강한 인용 Char"/>
    <w:uiPriority w:val="30"/>
    <w:qFormat/>
    <w:rsid w:val="00476AD6"/>
    <w:rPr>
      <w:i/>
      <w:iCs/>
      <w:color w:val="4472C4"/>
      <w:lang w:eastAsia="en-US"/>
    </w:rPr>
  </w:style>
  <w:style w:type="character" w:customStyle="1" w:styleId="Char7">
    <w:name w:val="매크로 텍스트 Char"/>
    <w:qFormat/>
    <w:rsid w:val="00476AD6"/>
    <w:rPr>
      <w:rFonts w:ascii="Courier New" w:hAnsi="Courier New" w:cs="Courier New"/>
      <w:lang w:eastAsia="en-US"/>
    </w:rPr>
  </w:style>
  <w:style w:type="character" w:customStyle="1" w:styleId="Char8">
    <w:name w:val="메시지 머리글 Char"/>
    <w:qFormat/>
    <w:rsid w:val="00476AD6"/>
    <w:rPr>
      <w:rFonts w:ascii="Calibri Light" w:eastAsia="Times New Roman" w:hAnsi="Calibri Light" w:cs="Times New Roman"/>
      <w:sz w:val="24"/>
      <w:szCs w:val="24"/>
      <w:shd w:val="clear" w:color="auto" w:fill="CCCCCC"/>
      <w:lang w:eastAsia="en-US"/>
    </w:rPr>
  </w:style>
  <w:style w:type="character" w:customStyle="1" w:styleId="Char9">
    <w:name w:val="각주/미주 머리글 Char"/>
    <w:qFormat/>
    <w:rsid w:val="00476AD6"/>
    <w:rPr>
      <w:lang w:eastAsia="en-US"/>
    </w:rPr>
  </w:style>
  <w:style w:type="character" w:customStyle="1" w:styleId="Chara">
    <w:name w:val="글자만 Char"/>
    <w:qFormat/>
    <w:rsid w:val="00476AD6"/>
    <w:rPr>
      <w:rFonts w:ascii="Courier New" w:hAnsi="Courier New" w:cs="Courier New"/>
      <w:lang w:eastAsia="en-US"/>
    </w:rPr>
  </w:style>
  <w:style w:type="character" w:customStyle="1" w:styleId="Charb">
    <w:name w:val="인용 Char"/>
    <w:uiPriority w:val="29"/>
    <w:qFormat/>
    <w:rsid w:val="00476AD6"/>
    <w:rPr>
      <w:i/>
      <w:iCs/>
      <w:color w:val="404040"/>
      <w:lang w:eastAsia="en-US"/>
    </w:rPr>
  </w:style>
  <w:style w:type="character" w:customStyle="1" w:styleId="Charc">
    <w:name w:val="인사말 Char"/>
    <w:qFormat/>
    <w:rsid w:val="00476AD6"/>
    <w:rPr>
      <w:lang w:eastAsia="en-US"/>
    </w:rPr>
  </w:style>
  <w:style w:type="character" w:customStyle="1" w:styleId="Chard">
    <w:name w:val="서명 Char"/>
    <w:qFormat/>
    <w:rsid w:val="00476AD6"/>
    <w:rPr>
      <w:lang w:eastAsia="en-US"/>
    </w:rPr>
  </w:style>
  <w:style w:type="character" w:customStyle="1" w:styleId="Chare">
    <w:name w:val="부제 Char"/>
    <w:qFormat/>
    <w:rsid w:val="00476AD6"/>
    <w:rPr>
      <w:rFonts w:ascii="Calibri Light" w:eastAsia="Times New Roman" w:hAnsi="Calibri Light" w:cs="Times New Roman"/>
      <w:sz w:val="24"/>
      <w:szCs w:val="24"/>
      <w:lang w:eastAsia="en-US"/>
    </w:rPr>
  </w:style>
  <w:style w:type="character" w:customStyle="1" w:styleId="Charf">
    <w:name w:val="제목 Char"/>
    <w:qFormat/>
    <w:rsid w:val="00476AD6"/>
    <w:rPr>
      <w:rFonts w:ascii="Calibri Light" w:eastAsia="Times New Roman" w:hAnsi="Calibri Light" w:cs="Times New Roman"/>
      <w:b/>
      <w:bCs/>
      <w:kern w:val="2"/>
      <w:sz w:val="32"/>
      <w:szCs w:val="32"/>
      <w:lang w:eastAsia="en-US"/>
    </w:rPr>
  </w:style>
  <w:style w:type="character" w:customStyle="1" w:styleId="3Char">
    <w:name w:val="제목 3 Char"/>
    <w:qFormat/>
    <w:rsid w:val="00476AD6"/>
    <w:rPr>
      <w:rFonts w:ascii="Arial" w:hAnsi="Arial"/>
      <w:sz w:val="28"/>
      <w:lang w:eastAsia="en-US"/>
    </w:rPr>
  </w:style>
  <w:style w:type="character" w:customStyle="1" w:styleId="FootnoteCharacters">
    <w:name w:val="Footnote Characters"/>
    <w:qFormat/>
    <w:rsid w:val="00476AD6"/>
  </w:style>
  <w:style w:type="paragraph" w:customStyle="1" w:styleId="Index">
    <w:name w:val="Index"/>
    <w:basedOn w:val="Normal"/>
    <w:qFormat/>
    <w:rsid w:val="00476AD6"/>
    <w:pPr>
      <w:suppressLineNumbers/>
      <w:suppressAutoHyphens/>
      <w:spacing w:after="180" w:line="259" w:lineRule="auto"/>
      <w:jc w:val="both"/>
    </w:pPr>
    <w:rPr>
      <w:rFonts w:ascii="Times New Roman" w:eastAsia="DengXian" w:hAnsi="Times New Roman" w:cs="Lohit Devanagari"/>
      <w:szCs w:val="20"/>
    </w:rPr>
  </w:style>
  <w:style w:type="paragraph" w:customStyle="1" w:styleId="HeaderandFooter">
    <w:name w:val="Header and Footer"/>
    <w:basedOn w:val="Normal"/>
    <w:qFormat/>
    <w:rsid w:val="00476AD6"/>
    <w:pPr>
      <w:suppressAutoHyphens/>
      <w:spacing w:after="180" w:line="259" w:lineRule="auto"/>
      <w:jc w:val="both"/>
    </w:pPr>
    <w:rPr>
      <w:rFonts w:ascii="Times New Roman" w:eastAsia="DengXian" w:hAnsi="Times New Roman"/>
      <w:szCs w:val="20"/>
    </w:rPr>
  </w:style>
  <w:style w:type="table" w:customStyle="1" w:styleId="5-61">
    <w:name w:val="눈금 표 5 어둡게 - 강조색 61"/>
    <w:basedOn w:val="TableNormal"/>
    <w:uiPriority w:val="50"/>
    <w:qFormat/>
    <w:rsid w:val="00476AD6"/>
    <w:pPr>
      <w:suppressAutoHyphens/>
    </w:pPr>
    <w:rPr>
      <w:rFonts w:eastAsia="DengXian"/>
      <w:lang w:eastAsia="zh-CN"/>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styleId="GridTable5Dark-Accent6">
    <w:name w:val="Grid Table 5 Dark Accent 6"/>
    <w:basedOn w:val="TableNormal"/>
    <w:uiPriority w:val="50"/>
    <w:rsid w:val="00476AD6"/>
    <w:pPr>
      <w:suppressAutoHyphens/>
    </w:pPr>
    <w:rPr>
      <w:rFonts w:eastAsia="DengXian"/>
      <w:lang w:eastAsia="zh-CN"/>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character" w:customStyle="1" w:styleId="160">
    <w:name w:val="16"/>
    <w:qFormat/>
    <w:rsid w:val="00476AD6"/>
    <w:rPr>
      <w:rFonts w:ascii="Times New Roman" w:hAnsi="Times New Roman" w:cs="Times New Roman" w:hint="default"/>
      <w:color w:val="0000FF"/>
      <w:u w:val="single"/>
    </w:rPr>
  </w:style>
  <w:style w:type="table" w:customStyle="1" w:styleId="1-31">
    <w:name w:val="グリッド (表) 1 淡色 - アクセント 31"/>
    <w:basedOn w:val="TableNormal"/>
    <w:uiPriority w:val="46"/>
    <w:qFormat/>
    <w:rsid w:val="00476AD6"/>
    <w:rPr>
      <w:rFonts w:ascii="CG Times (WN)" w:eastAsia="SimSun" w:hAnsi="CG Times (WN)"/>
    </w:rPr>
    <w:tblPr>
      <w:tblBorders>
        <w:top w:val="single" w:sz="4" w:space="0" w:color="DBDBDB"/>
        <w:left w:val="single" w:sz="4" w:space="0" w:color="DBDBDB"/>
        <w:bottom w:val="single" w:sz="4" w:space="0" w:color="DBDBDB"/>
        <w:right w:val="single" w:sz="4" w:space="0" w:color="DBDBDB"/>
        <w:insideH w:val="single" w:sz="4" w:space="0" w:color="DBDBDB"/>
        <w:insideV w:val="single" w:sz="4" w:space="0" w:color="DBDBDB"/>
      </w:tblBorders>
    </w:tblPr>
    <w:tblStylePr w:type="firstRow">
      <w:rPr>
        <w:b/>
        <w:bCs/>
      </w:rPr>
      <w:tblPr/>
      <w:tcPr>
        <w:tcBorders>
          <w:bottom w:val="single" w:sz="12" w:space="0" w:color="C9C9C9"/>
        </w:tcBorders>
      </w:tcPr>
    </w:tblStylePr>
    <w:tblStylePr w:type="lastRow">
      <w:rPr>
        <w:b/>
        <w:bCs/>
      </w:rPr>
      <w:tblPr/>
      <w:tcPr>
        <w:tcBorders>
          <w:top w:val="double" w:sz="2" w:space="0" w:color="C9C9C9"/>
        </w:tcBorders>
      </w:tcPr>
    </w:tblStylePr>
    <w:tblStylePr w:type="firstCol">
      <w:rPr>
        <w:b/>
        <w:bCs/>
      </w:rPr>
    </w:tblStylePr>
    <w:tblStylePr w:type="lastCol">
      <w:rPr>
        <w:b/>
        <w:bCs/>
      </w:rPr>
    </w:tblStylePr>
  </w:style>
  <w:style w:type="table" w:customStyle="1" w:styleId="TableGrid80">
    <w:name w:val="TableGrid8"/>
    <w:basedOn w:val="TableNormal"/>
    <w:next w:val="TableGrid"/>
    <w:uiPriority w:val="59"/>
    <w:qFormat/>
    <w:rsid w:val="001627B3"/>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116">
    <w:name w:val="Char Char1 Char Char Char Char Char Char Char Char Char Char Char Char Char Char Char116"/>
    <w:semiHidden/>
    <w:rsid w:val="001627B3"/>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numbering" w:customStyle="1" w:styleId="StyleBulleted">
    <w:name w:val="Style Bulleted"/>
    <w:rsid w:val="001627B3"/>
  </w:style>
  <w:style w:type="character" w:customStyle="1" w:styleId="5111">
    <w:name w:val="(文字) (文字)5111"/>
    <w:semiHidden/>
    <w:rsid w:val="001627B3"/>
    <w:rPr>
      <w:rFonts w:ascii="Times New Roman" w:hAnsi="Times New Roman"/>
      <w:lang w:eastAsia="en-US"/>
    </w:rPr>
  </w:style>
  <w:style w:type="numbering" w:customStyle="1" w:styleId="StyleBulletedSymbolsymbolLeft025Hanging01">
    <w:name w:val="Style Bulleted Symbol (symbol) Left:  0.25&quot; Hanging:  0.1"/>
    <w:basedOn w:val="NoList"/>
    <w:rsid w:val="001627B3"/>
  </w:style>
  <w:style w:type="table" w:customStyle="1" w:styleId="ColorfulList-Accent119">
    <w:name w:val="Colorful List - Accent 119"/>
    <w:basedOn w:val="TableNormal"/>
    <w:next w:val="ColorfulList-Accent1"/>
    <w:uiPriority w:val="34"/>
    <w:rsid w:val="001627B3"/>
    <w:rPr>
      <w:rFonts w:ascii="Malgun Gothic" w:eastAsia="MS Gothic" w:hAnsi="Malgun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1">
    <w:name w:val="Grid Table 4 - Accent 521"/>
    <w:basedOn w:val="TableNormal"/>
    <w:next w:val="GridTable4-Accent5"/>
    <w:uiPriority w:val="49"/>
    <w:rsid w:val="001627B3"/>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3">
    <w:name w:val="Style Bulleted Symbol (symbol) Left:  0.25&quot; Hanging:  0.25&quot;3"/>
    <w:basedOn w:val="NoList"/>
    <w:rsid w:val="001627B3"/>
  </w:style>
  <w:style w:type="numbering" w:customStyle="1" w:styleId="StyleBulletedSymbolsymbolLeft025Hanging02512">
    <w:name w:val="Style Bulleted Symbol (symbol) Left:  0.25&quot; Hanging:  0.25&quot;12"/>
    <w:basedOn w:val="NoList"/>
    <w:rsid w:val="001627B3"/>
  </w:style>
  <w:style w:type="numbering" w:customStyle="1" w:styleId="StyleBulletedSymbolsymbolLeft025Hanging02521">
    <w:name w:val="Style Bulleted Symbol (symbol) Left:  0.25&quot; Hanging:  0.25&quot;21"/>
    <w:basedOn w:val="NoList"/>
    <w:rsid w:val="001627B3"/>
  </w:style>
  <w:style w:type="table" w:customStyle="1" w:styleId="TableGrid60">
    <w:name w:val="Table Grid6"/>
    <w:basedOn w:val="TableNormal"/>
    <w:next w:val="TableGrid"/>
    <w:uiPriority w:val="39"/>
    <w:rsid w:val="00F34E72"/>
    <w:pPr>
      <w:jc w:val="both"/>
    </w:pPr>
    <w:rPr>
      <w:rFonts w:ascii="Malgun Gothic" w:eastAsia="Malgun Gothic" w:hAnsi="Malgun Gothic"/>
      <w:kern w:val="2"/>
      <w:szCs w:val="22"/>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2">
    <w:name w:val="Style Bulleted2"/>
    <w:rsid w:val="007B6146"/>
  </w:style>
  <w:style w:type="table" w:customStyle="1" w:styleId="TableGrid9">
    <w:name w:val="TableGrid9"/>
    <w:basedOn w:val="TableNormal"/>
    <w:next w:val="TableGrid"/>
    <w:qFormat/>
    <w:rsid w:val="003B31DA"/>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115">
    <w:name w:val="Char Char1 Char Char Char Char Char Char Char Char Char Char Char Char Char Char Char115"/>
    <w:semiHidden/>
    <w:rsid w:val="003B31DA"/>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numbering" w:customStyle="1" w:styleId="StyleBulleted3">
    <w:name w:val="Style Bulleted3"/>
    <w:rsid w:val="003B31DA"/>
  </w:style>
  <w:style w:type="character" w:customStyle="1" w:styleId="5110">
    <w:name w:val="(文字) (文字)5110"/>
    <w:semiHidden/>
    <w:rsid w:val="003B31DA"/>
    <w:rPr>
      <w:rFonts w:ascii="Times New Roman" w:hAnsi="Times New Roman"/>
      <w:lang w:eastAsia="en-US"/>
    </w:rPr>
  </w:style>
  <w:style w:type="numbering" w:customStyle="1" w:styleId="StyleBulletedSymbolsymbolLeft025Hanging03">
    <w:name w:val="Style Bulleted Symbol (symbol) Left:  0.25&quot; Hanging:  0.3"/>
    <w:basedOn w:val="NoList"/>
    <w:rsid w:val="003B31DA"/>
    <w:pPr>
      <w:numPr>
        <w:numId w:val="9"/>
      </w:numPr>
    </w:pPr>
  </w:style>
  <w:style w:type="table" w:customStyle="1" w:styleId="ColorfulList-Accent120">
    <w:name w:val="Colorful List - Accent 120"/>
    <w:basedOn w:val="TableNormal"/>
    <w:next w:val="ColorfulList-Accent1"/>
    <w:uiPriority w:val="34"/>
    <w:rsid w:val="003B31DA"/>
    <w:rPr>
      <w:rFonts w:ascii="Malgun Gothic" w:eastAsia="MS Gothic" w:hAnsi="Malgun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2">
    <w:name w:val="Grid Table 4 - Accent 522"/>
    <w:basedOn w:val="TableNormal"/>
    <w:next w:val="GridTable4-Accent5"/>
    <w:uiPriority w:val="49"/>
    <w:rsid w:val="003B31DA"/>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5">
    <w:name w:val="Style Bulleted Symbol (symbol) Left:  0.25&quot; Hanging:  0.25&quot;5"/>
    <w:basedOn w:val="NoList"/>
    <w:rsid w:val="003B31DA"/>
  </w:style>
  <w:style w:type="numbering" w:customStyle="1" w:styleId="StyleBulletedSymbolsymbolLeft025Hanging02514">
    <w:name w:val="Style Bulleted Symbol (symbol) Left:  0.25&quot; Hanging:  0.25&quot;14"/>
    <w:basedOn w:val="NoList"/>
    <w:rsid w:val="003B31DA"/>
    <w:pPr>
      <w:numPr>
        <w:numId w:val="8"/>
      </w:numPr>
    </w:pPr>
  </w:style>
  <w:style w:type="numbering" w:customStyle="1" w:styleId="StyleBulletedSymbolsymbolLeft025Hanging02523">
    <w:name w:val="Style Bulleted Symbol (symbol) Left:  0.25&quot; Hanging:  0.25&quot;23"/>
    <w:basedOn w:val="NoList"/>
    <w:rsid w:val="003B31DA"/>
    <w:pPr>
      <w:numPr>
        <w:numId w:val="10"/>
      </w:numPr>
    </w:pPr>
  </w:style>
  <w:style w:type="paragraph" w:customStyle="1" w:styleId="a2">
    <w:name w:val="表格题注"/>
    <w:next w:val="Normal"/>
    <w:qFormat/>
    <w:rsid w:val="003B31DA"/>
    <w:pPr>
      <w:keepLines/>
      <w:numPr>
        <w:ilvl w:val="8"/>
        <w:numId w:val="66"/>
      </w:numPr>
      <w:tabs>
        <w:tab w:val="left" w:pos="360"/>
        <w:tab w:val="num" w:pos="6480"/>
      </w:tabs>
      <w:spacing w:beforeLines="100" w:after="160" w:line="259" w:lineRule="auto"/>
      <w:ind w:left="1089" w:hanging="369"/>
      <w:jc w:val="center"/>
    </w:pPr>
    <w:rPr>
      <w:rFonts w:ascii="Arial" w:eastAsia="SimSun" w:hAnsi="Arial"/>
      <w:sz w:val="18"/>
      <w:szCs w:val="18"/>
      <w:lang w:val="en-US" w:eastAsia="zh-CN"/>
    </w:rPr>
  </w:style>
  <w:style w:type="paragraph" w:customStyle="1" w:styleId="a1">
    <w:name w:val="插图题注"/>
    <w:next w:val="Normal"/>
    <w:qFormat/>
    <w:rsid w:val="003B31DA"/>
    <w:pPr>
      <w:numPr>
        <w:ilvl w:val="7"/>
        <w:numId w:val="66"/>
      </w:numPr>
      <w:tabs>
        <w:tab w:val="num" w:pos="5760"/>
      </w:tabs>
      <w:spacing w:afterLines="100" w:after="160" w:line="259" w:lineRule="auto"/>
      <w:ind w:left="1089" w:hanging="369"/>
      <w:jc w:val="center"/>
    </w:pPr>
    <w:rPr>
      <w:rFonts w:ascii="Arial" w:eastAsia="SimSun" w:hAnsi="Arial"/>
      <w:sz w:val="18"/>
      <w:szCs w:val="18"/>
      <w:lang w:val="en-US" w:eastAsia="zh-CN"/>
    </w:rPr>
  </w:style>
  <w:style w:type="paragraph" w:customStyle="1" w:styleId="Tabletext2">
    <w:name w:val="Table_text"/>
    <w:basedOn w:val="Normal"/>
    <w:link w:val="TabletextChar"/>
    <w:qFormat/>
    <w:rsid w:val="003B31DA"/>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line="259" w:lineRule="auto"/>
    </w:pPr>
    <w:rPr>
      <w:rFonts w:ascii="Calibri" w:eastAsia="SimSun" w:hAnsi="Calibri" w:cs="Arial"/>
      <w:sz w:val="22"/>
      <w:szCs w:val="22"/>
      <w:lang w:val="fr-FR" w:eastAsia="ko-KR"/>
    </w:rPr>
  </w:style>
  <w:style w:type="character" w:customStyle="1" w:styleId="TabletextChar">
    <w:name w:val="Table_text Char"/>
    <w:link w:val="Tabletext2"/>
    <w:qFormat/>
    <w:locked/>
    <w:rsid w:val="003B31DA"/>
    <w:rPr>
      <w:rFonts w:ascii="Calibri" w:eastAsia="SimSun" w:hAnsi="Calibri" w:cs="Arial"/>
      <w:sz w:val="22"/>
      <w:szCs w:val="22"/>
      <w:lang w:val="fr-FR" w:eastAsia="ko-KR"/>
    </w:rPr>
  </w:style>
  <w:style w:type="paragraph" w:customStyle="1" w:styleId="observation">
    <w:name w:val="observation"/>
    <w:basedOn w:val="Normal"/>
    <w:link w:val="observation1"/>
    <w:qFormat/>
    <w:rsid w:val="003B31DA"/>
    <w:pPr>
      <w:widowControl w:val="0"/>
      <w:numPr>
        <w:numId w:val="67"/>
      </w:numPr>
      <w:spacing w:beforeLines="50" w:before="120" w:afterLines="50" w:after="120"/>
      <w:ind w:left="720" w:hanging="360"/>
      <w:jc w:val="both"/>
    </w:pPr>
    <w:rPr>
      <w:rFonts w:ascii="Yu Mincho" w:eastAsia="Yu Mincho" w:hAnsi="Yu Mincho" w:cs="Latha"/>
      <w:b/>
      <w:kern w:val="2"/>
      <w:sz w:val="21"/>
      <w:szCs w:val="22"/>
      <w:lang w:val="en-US" w:eastAsia="zh-CN"/>
    </w:rPr>
  </w:style>
  <w:style w:type="character" w:customStyle="1" w:styleId="aff9">
    <w:name w:val="列出段落 字符"/>
    <w:uiPriority w:val="34"/>
    <w:qFormat/>
    <w:rsid w:val="003B31DA"/>
    <w:rPr>
      <w:rFonts w:ascii="Cambria" w:eastAsia="SimHei" w:hAnsi="Cambria" w:cs="SimSun"/>
      <w:lang w:eastAsia="en-US"/>
    </w:rPr>
  </w:style>
  <w:style w:type="paragraph" w:customStyle="1" w:styleId="60">
    <w:name w:val="列表段落6"/>
    <w:basedOn w:val="Normal"/>
    <w:rsid w:val="003B31DA"/>
    <w:pPr>
      <w:spacing w:before="100" w:beforeAutospacing="1" w:after="100" w:afterAutospacing="1"/>
      <w:ind w:leftChars="400" w:left="840"/>
    </w:pPr>
    <w:rPr>
      <w:rFonts w:cs="Times"/>
      <w:sz w:val="24"/>
      <w:lang w:val="en-US" w:eastAsia="zh-CN"/>
    </w:rPr>
  </w:style>
  <w:style w:type="character" w:customStyle="1" w:styleId="observation1">
    <w:name w:val="observation 字符"/>
    <w:link w:val="observation"/>
    <w:qFormat/>
    <w:rsid w:val="003B31DA"/>
    <w:rPr>
      <w:rFonts w:ascii="Yu Mincho" w:eastAsia="Yu Mincho" w:hAnsi="Yu Mincho" w:cs="Latha"/>
      <w:b/>
      <w:kern w:val="2"/>
      <w:sz w:val="21"/>
      <w:szCs w:val="22"/>
      <w:lang w:val="en-US" w:eastAsia="zh-CN"/>
    </w:rPr>
  </w:style>
  <w:style w:type="table" w:customStyle="1" w:styleId="42">
    <w:name w:val="网格型4"/>
    <w:basedOn w:val="TableNormal"/>
    <w:uiPriority w:val="39"/>
    <w:qFormat/>
    <w:rsid w:val="003B31DA"/>
    <w:rPr>
      <w:rFonts w:ascii="Calibri" w:eastAsia="SimSun"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0">
    <w:name w:val="TableGrid10"/>
    <w:basedOn w:val="TableNormal"/>
    <w:next w:val="TableGrid"/>
    <w:uiPriority w:val="59"/>
    <w:qFormat/>
    <w:rsid w:val="00B67B40"/>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114">
    <w:name w:val="Char Char1 Char Char Char Char Char Char Char Char Char Char Char Char Char Char Char114"/>
    <w:semiHidden/>
    <w:rsid w:val="00B67B40"/>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numbering" w:customStyle="1" w:styleId="StyleBulleted4">
    <w:name w:val="Style Bulleted4"/>
    <w:rsid w:val="00B67B40"/>
  </w:style>
  <w:style w:type="character" w:customStyle="1" w:styleId="5109">
    <w:name w:val="(文字) (文字)5109"/>
    <w:semiHidden/>
    <w:rsid w:val="00B67B40"/>
    <w:rPr>
      <w:rFonts w:ascii="Times New Roman" w:hAnsi="Times New Roman"/>
      <w:lang w:eastAsia="en-US"/>
    </w:rPr>
  </w:style>
  <w:style w:type="numbering" w:customStyle="1" w:styleId="StyleBulletedSymbolsymbolLeft025Hanging04">
    <w:name w:val="Style Bulleted Symbol (symbol) Left:  0.25&quot; Hanging:  0.4"/>
    <w:basedOn w:val="NoList"/>
    <w:rsid w:val="00B67B40"/>
  </w:style>
  <w:style w:type="table" w:customStyle="1" w:styleId="ColorfulList-Accent121">
    <w:name w:val="Colorful List - Accent 121"/>
    <w:basedOn w:val="TableNormal"/>
    <w:next w:val="ColorfulList-Accent1"/>
    <w:uiPriority w:val="34"/>
    <w:rsid w:val="00B67B40"/>
    <w:rPr>
      <w:rFonts w:ascii="Malgun Gothic" w:eastAsia="MS Gothic" w:hAnsi="Malgun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3">
    <w:name w:val="Grid Table 4 - Accent 523"/>
    <w:basedOn w:val="TableNormal"/>
    <w:next w:val="GridTable4-Accent5"/>
    <w:uiPriority w:val="49"/>
    <w:rsid w:val="00B67B40"/>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6">
    <w:name w:val="Style Bulleted Symbol (symbol) Left:  0.25&quot; Hanging:  0.25&quot;6"/>
    <w:basedOn w:val="NoList"/>
    <w:rsid w:val="00B67B40"/>
  </w:style>
  <w:style w:type="numbering" w:customStyle="1" w:styleId="StyleBulletedSymbolsymbolLeft025Hanging02515">
    <w:name w:val="Style Bulleted Symbol (symbol) Left:  0.25&quot; Hanging:  0.25&quot;15"/>
    <w:basedOn w:val="NoList"/>
    <w:rsid w:val="00B67B40"/>
  </w:style>
  <w:style w:type="numbering" w:customStyle="1" w:styleId="StyleBulletedSymbolsymbolLeft025Hanging02524">
    <w:name w:val="Style Bulleted Symbol (symbol) Left:  0.25&quot; Hanging:  0.25&quot;24"/>
    <w:basedOn w:val="NoList"/>
    <w:rsid w:val="00B67B40"/>
  </w:style>
  <w:style w:type="numbering" w:customStyle="1" w:styleId="StyleBulletedSymbolsymbolLeft025Hanging02516">
    <w:name w:val="Style Bulleted Symbol (symbol) Left:  0.25&quot; Hanging:  0.25&quot;16"/>
    <w:basedOn w:val="NoList"/>
    <w:rsid w:val="00DC705E"/>
  </w:style>
  <w:style w:type="paragraph" w:customStyle="1" w:styleId="CharChar1CharCharCharCharCharCharCharCharCharCharCharCharCharCharChar113">
    <w:name w:val="Char Char1 Char Char Char Char Char Char Char Char Char Char Char Char Char Char Char113"/>
    <w:semiHidden/>
    <w:rsid w:val="009224C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numbering" w:customStyle="1" w:styleId="StyleBulleted5">
    <w:name w:val="Style Bulleted5"/>
    <w:rsid w:val="009224CB"/>
  </w:style>
  <w:style w:type="character" w:customStyle="1" w:styleId="5108">
    <w:name w:val="(文字) (文字)5108"/>
    <w:semiHidden/>
    <w:rsid w:val="009224CB"/>
    <w:rPr>
      <w:rFonts w:ascii="Times New Roman" w:hAnsi="Times New Roman"/>
      <w:lang w:eastAsia="en-US"/>
    </w:rPr>
  </w:style>
  <w:style w:type="numbering" w:customStyle="1" w:styleId="StyleBulletedSymbolsymbolLeft025Hanging05">
    <w:name w:val="Style Bulleted Symbol (symbol) Left:  0.25&quot; Hanging:  0.5"/>
    <w:basedOn w:val="NoList"/>
    <w:rsid w:val="009224CB"/>
  </w:style>
  <w:style w:type="table" w:customStyle="1" w:styleId="ColorfulList-Accent122">
    <w:name w:val="Colorful List - Accent 122"/>
    <w:basedOn w:val="TableNormal"/>
    <w:next w:val="ColorfulList-Accent1"/>
    <w:uiPriority w:val="34"/>
    <w:rsid w:val="009224CB"/>
    <w:rPr>
      <w:rFonts w:eastAsia="MS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4">
    <w:name w:val="Grid Table 4 - Accent 524"/>
    <w:basedOn w:val="TableNormal"/>
    <w:next w:val="GridTable4-Accent5"/>
    <w:uiPriority w:val="49"/>
    <w:rsid w:val="009224CB"/>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7">
    <w:name w:val="Style Bulleted Symbol (symbol) Left:  0.25&quot; Hanging:  0.25&quot;7"/>
    <w:basedOn w:val="NoList"/>
    <w:rsid w:val="009224CB"/>
  </w:style>
  <w:style w:type="numbering" w:customStyle="1" w:styleId="StyleBulletedSymbolsymbolLeft025Hanging02517">
    <w:name w:val="Style Bulleted Symbol (symbol) Left:  0.25&quot; Hanging:  0.25&quot;17"/>
    <w:basedOn w:val="NoList"/>
    <w:rsid w:val="009224CB"/>
  </w:style>
  <w:style w:type="numbering" w:customStyle="1" w:styleId="StyleBulletedSymbolsymbolLeft025Hanging02525">
    <w:name w:val="Style Bulleted Symbol (symbol) Left:  0.25&quot; Hanging:  0.25&quot;25"/>
    <w:basedOn w:val="NoList"/>
    <w:rsid w:val="009224CB"/>
  </w:style>
  <w:style w:type="numbering" w:customStyle="1" w:styleId="StyleBulletedSymbolsymbolLeft025Hanging02518">
    <w:name w:val="Style Bulleted Symbol (symbol) Left:  0.25&quot; Hanging:  0.25&quot;18"/>
    <w:basedOn w:val="NoList"/>
    <w:rsid w:val="00B75883"/>
  </w:style>
  <w:style w:type="table" w:customStyle="1" w:styleId="TableGrid11">
    <w:name w:val="TableGrid11"/>
    <w:basedOn w:val="TableNormal"/>
    <w:next w:val="TableGrid"/>
    <w:uiPriority w:val="39"/>
    <w:qFormat/>
    <w:rsid w:val="009C01A5"/>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112">
    <w:name w:val="Char Char1 Char Char Char Char Char Char Char Char Char Char Char Char Char Char Char112"/>
    <w:semiHidden/>
    <w:rsid w:val="009C01A5"/>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numbering" w:customStyle="1" w:styleId="StyleBulleted6">
    <w:name w:val="Style Bulleted6"/>
    <w:rsid w:val="009C01A5"/>
  </w:style>
  <w:style w:type="character" w:customStyle="1" w:styleId="5107">
    <w:name w:val="(文字) (文字)5107"/>
    <w:semiHidden/>
    <w:rsid w:val="009C01A5"/>
    <w:rPr>
      <w:rFonts w:ascii="Times New Roman" w:hAnsi="Times New Roman"/>
      <w:lang w:eastAsia="en-US"/>
    </w:rPr>
  </w:style>
  <w:style w:type="numbering" w:customStyle="1" w:styleId="StyleBulletedSymbolsymbolLeft025Hanging06">
    <w:name w:val="Style Bulleted Symbol (symbol) Left:  0.25&quot; Hanging:  0.6"/>
    <w:basedOn w:val="NoList"/>
    <w:rsid w:val="009C01A5"/>
  </w:style>
  <w:style w:type="table" w:customStyle="1" w:styleId="ColorfulList-Accent123">
    <w:name w:val="Colorful List - Accent 123"/>
    <w:basedOn w:val="TableNormal"/>
    <w:next w:val="ColorfulList-Accent1"/>
    <w:uiPriority w:val="34"/>
    <w:rsid w:val="009C01A5"/>
    <w:rPr>
      <w:rFonts w:ascii="Malgun Gothic" w:eastAsia="MS Gothic" w:hAnsi="Malgun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5">
    <w:name w:val="Grid Table 4 - Accent 525"/>
    <w:basedOn w:val="TableNormal"/>
    <w:next w:val="GridTable4-Accent5"/>
    <w:uiPriority w:val="49"/>
    <w:rsid w:val="009C01A5"/>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8">
    <w:name w:val="Style Bulleted Symbol (symbol) Left:  0.25&quot; Hanging:  0.25&quot;8"/>
    <w:basedOn w:val="NoList"/>
    <w:rsid w:val="009C01A5"/>
  </w:style>
  <w:style w:type="numbering" w:customStyle="1" w:styleId="StyleBulletedSymbolsymbolLeft025Hanging02519">
    <w:name w:val="Style Bulleted Symbol (symbol) Left:  0.25&quot; Hanging:  0.25&quot;19"/>
    <w:basedOn w:val="NoList"/>
    <w:rsid w:val="009C01A5"/>
  </w:style>
  <w:style w:type="numbering" w:customStyle="1" w:styleId="StyleBulletedSymbolsymbolLeft025Hanging02526">
    <w:name w:val="Style Bulleted Symbol (symbol) Left:  0.25&quot; Hanging:  0.25&quot;26"/>
    <w:basedOn w:val="NoList"/>
    <w:rsid w:val="009C01A5"/>
  </w:style>
  <w:style w:type="paragraph" w:customStyle="1" w:styleId="CharChar1CharCharCharCharCharCharCharCharCharCharCharCharCharCharChar111">
    <w:name w:val="Char Char1 Char Char Char Char Char Char Char Char Char Char Char Char Char Char Char111"/>
    <w:semiHidden/>
    <w:rsid w:val="001C21C8"/>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numbering" w:customStyle="1" w:styleId="StyleBulleted7">
    <w:name w:val="Style Bulleted7"/>
    <w:rsid w:val="001C21C8"/>
  </w:style>
  <w:style w:type="character" w:customStyle="1" w:styleId="UnresolvedMention2">
    <w:name w:val="Unresolved Mention2"/>
    <w:uiPriority w:val="99"/>
    <w:semiHidden/>
    <w:unhideWhenUsed/>
    <w:rsid w:val="001C21C8"/>
    <w:rPr>
      <w:color w:val="808080"/>
      <w:shd w:val="clear" w:color="auto" w:fill="E6E6E6"/>
    </w:rPr>
  </w:style>
  <w:style w:type="character" w:customStyle="1" w:styleId="5106">
    <w:name w:val="(文字) (文字)5106"/>
    <w:semiHidden/>
    <w:rsid w:val="001C21C8"/>
    <w:rPr>
      <w:rFonts w:ascii="Times New Roman" w:hAnsi="Times New Roman"/>
      <w:lang w:eastAsia="en-US"/>
    </w:rPr>
  </w:style>
  <w:style w:type="numbering" w:customStyle="1" w:styleId="StyleBulletedSymbolsymbolLeft025Hanging07">
    <w:name w:val="Style Bulleted Symbol (symbol) Left:  0.25&quot; Hanging:  0.7"/>
    <w:basedOn w:val="NoList"/>
    <w:rsid w:val="001C21C8"/>
  </w:style>
  <w:style w:type="table" w:customStyle="1" w:styleId="ColorfulList-Accent124">
    <w:name w:val="Colorful List - Accent 124"/>
    <w:basedOn w:val="TableNormal"/>
    <w:next w:val="ColorfulList-Accent1"/>
    <w:uiPriority w:val="34"/>
    <w:rsid w:val="001C21C8"/>
    <w:rPr>
      <w:rFonts w:eastAsia="MS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6">
    <w:name w:val="Grid Table 4 - Accent 526"/>
    <w:basedOn w:val="TableNormal"/>
    <w:next w:val="GridTable4-Accent5"/>
    <w:uiPriority w:val="49"/>
    <w:rsid w:val="001C21C8"/>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9">
    <w:name w:val="Style Bulleted Symbol (symbol) Left:  0.25&quot; Hanging:  0.25&quot;9"/>
    <w:basedOn w:val="NoList"/>
    <w:rsid w:val="001C21C8"/>
  </w:style>
  <w:style w:type="numbering" w:customStyle="1" w:styleId="StyleBulletedSymbolsymbolLeft025Hanging025110">
    <w:name w:val="Style Bulleted Symbol (symbol) Left:  0.25&quot; Hanging:  0.25&quot;110"/>
    <w:basedOn w:val="NoList"/>
    <w:rsid w:val="001C21C8"/>
  </w:style>
  <w:style w:type="numbering" w:customStyle="1" w:styleId="StyleBulletedSymbolsymbolLeft025Hanging02527">
    <w:name w:val="Style Bulleted Symbol (symbol) Left:  0.25&quot; Hanging:  0.25&quot;27"/>
    <w:basedOn w:val="NoList"/>
    <w:rsid w:val="001C21C8"/>
  </w:style>
  <w:style w:type="character" w:styleId="HTMLCode">
    <w:name w:val="HTML Code"/>
    <w:uiPriority w:val="99"/>
    <w:unhideWhenUsed/>
    <w:qFormat/>
    <w:rsid w:val="001C21C8"/>
    <w:rPr>
      <w:rFonts w:ascii="Courier New" w:eastAsia="Times New Roman" w:hAnsi="Courier New" w:cs="Courier New"/>
      <w:sz w:val="20"/>
      <w:szCs w:val="20"/>
    </w:rPr>
  </w:style>
  <w:style w:type="character" w:customStyle="1" w:styleId="B5Char">
    <w:name w:val="B5 Char"/>
    <w:link w:val="B5"/>
    <w:qFormat/>
    <w:rsid w:val="001C21C8"/>
    <w:rPr>
      <w:rFonts w:eastAsia="SimSun"/>
      <w:lang w:val="en-US" w:eastAsia="ja-JP"/>
    </w:rPr>
  </w:style>
  <w:style w:type="paragraph" w:customStyle="1" w:styleId="B6">
    <w:name w:val="B6"/>
    <w:basedOn w:val="B5"/>
    <w:link w:val="B6Char"/>
    <w:qFormat/>
    <w:rsid w:val="001C21C8"/>
    <w:pPr>
      <w:widowControl w:val="0"/>
      <w:spacing w:after="0"/>
      <w:ind w:left="1985"/>
      <w:jc w:val="both"/>
    </w:pPr>
    <w:rPr>
      <w:rFonts w:eastAsia="DengXian"/>
      <w:kern w:val="2"/>
      <w:sz w:val="21"/>
      <w:szCs w:val="22"/>
    </w:rPr>
  </w:style>
  <w:style w:type="character" w:customStyle="1" w:styleId="B6Char">
    <w:name w:val="B6 Char"/>
    <w:link w:val="B6"/>
    <w:qFormat/>
    <w:rsid w:val="001C21C8"/>
    <w:rPr>
      <w:rFonts w:eastAsia="DengXian"/>
      <w:kern w:val="2"/>
      <w:sz w:val="21"/>
      <w:szCs w:val="22"/>
      <w:lang w:val="en-US" w:eastAsia="ja-JP"/>
    </w:rPr>
  </w:style>
  <w:style w:type="paragraph" w:customStyle="1" w:styleId="B7">
    <w:name w:val="B7"/>
    <w:basedOn w:val="B6"/>
    <w:link w:val="B7Char"/>
    <w:qFormat/>
    <w:rsid w:val="001C21C8"/>
    <w:pPr>
      <w:ind w:left="2269"/>
    </w:pPr>
  </w:style>
  <w:style w:type="character" w:customStyle="1" w:styleId="B7Char">
    <w:name w:val="B7 Char"/>
    <w:link w:val="B7"/>
    <w:qFormat/>
    <w:rsid w:val="001C21C8"/>
    <w:rPr>
      <w:rFonts w:eastAsia="DengXian"/>
      <w:kern w:val="2"/>
      <w:sz w:val="21"/>
      <w:szCs w:val="22"/>
      <w:lang w:val="en-US" w:eastAsia="ja-JP"/>
    </w:rPr>
  </w:style>
  <w:style w:type="paragraph" w:customStyle="1" w:styleId="B8">
    <w:name w:val="B8"/>
    <w:basedOn w:val="B7"/>
    <w:qFormat/>
    <w:rsid w:val="001C21C8"/>
    <w:pPr>
      <w:ind w:left="2552"/>
    </w:pPr>
  </w:style>
  <w:style w:type="character" w:customStyle="1" w:styleId="EditorsNoteChar">
    <w:name w:val="Editor's Note Char"/>
    <w:link w:val="EditorsNote"/>
    <w:qFormat/>
    <w:rsid w:val="001C21C8"/>
    <w:rPr>
      <w:rFonts w:eastAsia="MS Mincho"/>
      <w:color w:val="FF0000"/>
      <w:lang w:eastAsia="ja-JP"/>
    </w:rPr>
  </w:style>
  <w:style w:type="paragraph" w:customStyle="1" w:styleId="EmailDiscussion">
    <w:name w:val="EmailDiscussion"/>
    <w:basedOn w:val="Normal"/>
    <w:next w:val="Normal"/>
    <w:qFormat/>
    <w:rsid w:val="001C21C8"/>
    <w:pPr>
      <w:widowControl w:val="0"/>
      <w:numPr>
        <w:numId w:val="70"/>
      </w:numPr>
      <w:tabs>
        <w:tab w:val="clear" w:pos="1619"/>
      </w:tabs>
      <w:spacing w:before="40"/>
      <w:ind w:left="720"/>
      <w:jc w:val="both"/>
    </w:pPr>
    <w:rPr>
      <w:rFonts w:ascii="Arial" w:eastAsia="MS Mincho" w:hAnsi="Arial"/>
      <w:b/>
      <w:kern w:val="2"/>
      <w:sz w:val="21"/>
      <w:szCs w:val="22"/>
      <w:lang w:val="en-US" w:eastAsia="en-GB"/>
    </w:rPr>
  </w:style>
  <w:style w:type="paragraph" w:customStyle="1" w:styleId="TALCharChar">
    <w:name w:val="TAL Char Char"/>
    <w:basedOn w:val="Normal"/>
    <w:link w:val="TALCharCharChar"/>
    <w:qFormat/>
    <w:rsid w:val="001C21C8"/>
    <w:pPr>
      <w:keepNext/>
      <w:keepLines/>
      <w:widowControl w:val="0"/>
      <w:jc w:val="both"/>
    </w:pPr>
    <w:rPr>
      <w:rFonts w:ascii="Arial" w:eastAsia="Malgun Gothic" w:hAnsi="Arial"/>
      <w:kern w:val="2"/>
      <w:sz w:val="18"/>
      <w:szCs w:val="22"/>
      <w:lang w:val="zh-CN" w:eastAsia="zh-CN"/>
    </w:rPr>
  </w:style>
  <w:style w:type="character" w:customStyle="1" w:styleId="TALCharCharChar">
    <w:name w:val="TAL Char Char Char"/>
    <w:link w:val="TALCharChar"/>
    <w:qFormat/>
    <w:rsid w:val="001C21C8"/>
    <w:rPr>
      <w:rFonts w:ascii="Arial" w:eastAsia="Malgun Gothic" w:hAnsi="Arial"/>
      <w:kern w:val="2"/>
      <w:sz w:val="18"/>
      <w:szCs w:val="22"/>
      <w:lang w:val="zh-CN" w:eastAsia="zh-CN"/>
    </w:rPr>
  </w:style>
  <w:style w:type="table" w:customStyle="1" w:styleId="TableGrid110">
    <w:name w:val="Table Grid11"/>
    <w:basedOn w:val="TableNormal"/>
    <w:uiPriority w:val="99"/>
    <w:qFormat/>
    <w:rsid w:val="001C21C8"/>
    <w:rPr>
      <w:rFonts w:ascii="Calibri" w:eastAsia="Calibri" w:hAnsi="Calibri"/>
      <w:sz w:val="22"/>
      <w:szCs w:val="22"/>
      <w:lang w:val="sv-S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Grid12"/>
    <w:basedOn w:val="TableNormal"/>
    <w:uiPriority w:val="59"/>
    <w:qFormat/>
    <w:rsid w:val="001C21C8"/>
    <w:rPr>
      <w:rFonts w:eastAsia="SimSu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figure1">
    <w:name w:val="figure 字符"/>
    <w:link w:val="figure0"/>
    <w:qFormat/>
    <w:rsid w:val="001C21C8"/>
    <w:rPr>
      <w:rFonts w:eastAsia="SimSun"/>
      <w:lang w:val="en-US" w:eastAsia="en-US"/>
    </w:rPr>
  </w:style>
  <w:style w:type="table" w:customStyle="1" w:styleId="GridTable41">
    <w:name w:val="Grid Table 41"/>
    <w:basedOn w:val="TableNormal"/>
    <w:uiPriority w:val="49"/>
    <w:qFormat/>
    <w:rsid w:val="001C21C8"/>
    <w:rPr>
      <w:rFonts w:ascii="CG Times (WN)" w:hAnsi="CG Times (WN)"/>
      <w:lang w:eastAsia="ko-KR"/>
    </w:rPr>
    <w:tblPr>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paragraph" w:customStyle="1" w:styleId="affa">
    <w:name w:val="正文内容"/>
    <w:basedOn w:val="Normal"/>
    <w:link w:val="affb"/>
    <w:qFormat/>
    <w:rsid w:val="001C21C8"/>
    <w:pPr>
      <w:widowControl w:val="0"/>
      <w:spacing w:line="400" w:lineRule="exact"/>
      <w:ind w:firstLineChars="200" w:firstLine="200"/>
      <w:jc w:val="both"/>
    </w:pPr>
    <w:rPr>
      <w:rFonts w:ascii="Calibri" w:eastAsia="SimSun" w:hAnsi="Calibri"/>
      <w:kern w:val="2"/>
      <w:sz w:val="21"/>
      <w:szCs w:val="22"/>
      <w:lang w:val="en-US" w:eastAsia="zh-CN"/>
    </w:rPr>
  </w:style>
  <w:style w:type="character" w:customStyle="1" w:styleId="affb">
    <w:name w:val="正文内容 字符"/>
    <w:link w:val="affa"/>
    <w:qFormat/>
    <w:rsid w:val="001C21C8"/>
    <w:rPr>
      <w:rFonts w:ascii="Calibri" w:eastAsia="SimSun" w:hAnsi="Calibri"/>
      <w:kern w:val="2"/>
      <w:sz w:val="21"/>
      <w:szCs w:val="22"/>
      <w:lang w:val="en-US" w:eastAsia="zh-CN"/>
    </w:rPr>
  </w:style>
  <w:style w:type="character" w:customStyle="1" w:styleId="table0">
    <w:name w:val="table 字符"/>
    <w:link w:val="table"/>
    <w:qFormat/>
    <w:rsid w:val="001C21C8"/>
    <w:rPr>
      <w:rFonts w:eastAsia="MS Mincho"/>
      <w:lang w:val="en-US"/>
    </w:rPr>
  </w:style>
  <w:style w:type="table" w:customStyle="1" w:styleId="GridTable6Colorful-Accent51">
    <w:name w:val="Grid Table 6 Colorful - Accent 51"/>
    <w:basedOn w:val="TableNormal"/>
    <w:uiPriority w:val="51"/>
    <w:qFormat/>
    <w:rsid w:val="001C21C8"/>
    <w:rPr>
      <w:rFonts w:ascii="CG Times (WN)" w:eastAsia="Malgun Gothic" w:hAnsi="CG Times (WN)"/>
      <w:color w:val="2E74B5"/>
      <w:lang w:eastAsia="en-US"/>
    </w:rPr>
    <w:tblPr>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rPr>
      <w:tblPr/>
      <w:tcPr>
        <w:tcBorders>
          <w:bottom w:val="single" w:sz="12" w:space="0" w:color="9CC2E5"/>
        </w:tcBorders>
      </w:tcPr>
    </w:tblStylePr>
    <w:tblStylePr w:type="lastRow">
      <w:rPr>
        <w:b/>
        <w:bCs/>
      </w:rPr>
      <w:tblPr/>
      <w:tcPr>
        <w:tcBorders>
          <w:top w:val="doub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TableGrid70">
    <w:name w:val="Table Grid7"/>
    <w:basedOn w:val="TableNormal"/>
    <w:uiPriority w:val="39"/>
    <w:qFormat/>
    <w:rsid w:val="001C21C8"/>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TDisplayEquation0">
    <w:name w:val="MTDisplayEquation 字符"/>
    <w:qFormat/>
    <w:rsid w:val="001C21C8"/>
    <w:rPr>
      <w:rFonts w:ascii="Calibri" w:eastAsia="DengXian" w:hAnsi="Calibri"/>
      <w:kern w:val="2"/>
      <w:szCs w:val="22"/>
    </w:rPr>
  </w:style>
  <w:style w:type="paragraph" w:customStyle="1" w:styleId="ANOKIA2023style">
    <w:name w:val="A_NOKIA2023style"/>
    <w:basedOn w:val="Normal"/>
    <w:qFormat/>
    <w:rsid w:val="001C21C8"/>
    <w:pPr>
      <w:widowControl w:val="0"/>
      <w:numPr>
        <w:numId w:val="71"/>
      </w:numPr>
      <w:overflowPunct w:val="0"/>
      <w:autoSpaceDE w:val="0"/>
      <w:autoSpaceDN w:val="0"/>
      <w:adjustRightInd w:val="0"/>
      <w:spacing w:before="120" w:after="120"/>
      <w:jc w:val="both"/>
      <w:textAlignment w:val="baseline"/>
    </w:pPr>
    <w:rPr>
      <w:rFonts w:ascii="Times New Roman" w:eastAsia="SimSun" w:hAnsi="Times New Roman"/>
      <w:b/>
      <w:kern w:val="2"/>
      <w:szCs w:val="20"/>
      <w:lang w:val="en-US" w:eastAsia="zh-CN"/>
    </w:rPr>
  </w:style>
  <w:style w:type="paragraph" w:customStyle="1" w:styleId="BNokiaStyle2023">
    <w:name w:val="B_NokiaStyle2023"/>
    <w:basedOn w:val="ANOKIA2023style"/>
    <w:qFormat/>
    <w:rsid w:val="001C21C8"/>
    <w:pPr>
      <w:numPr>
        <w:numId w:val="72"/>
      </w:numPr>
    </w:pPr>
  </w:style>
  <w:style w:type="paragraph" w:customStyle="1" w:styleId="ANokiaStyle2023">
    <w:name w:val="A_NokiaStyle_2023"/>
    <w:basedOn w:val="Normal"/>
    <w:qFormat/>
    <w:rsid w:val="001C21C8"/>
    <w:pPr>
      <w:widowControl w:val="0"/>
      <w:tabs>
        <w:tab w:val="right" w:pos="9639"/>
      </w:tabs>
      <w:overflowPunct w:val="0"/>
      <w:autoSpaceDE w:val="0"/>
      <w:autoSpaceDN w:val="0"/>
      <w:adjustRightInd w:val="0"/>
      <w:spacing w:after="180"/>
      <w:jc w:val="both"/>
      <w:textAlignment w:val="baseline"/>
    </w:pPr>
    <w:rPr>
      <w:rFonts w:ascii="Times New Roman" w:eastAsia="SimSun" w:hAnsi="Times New Roman"/>
      <w:b/>
      <w:kern w:val="2"/>
      <w:lang w:eastAsia="zh-CN"/>
    </w:rPr>
  </w:style>
  <w:style w:type="paragraph" w:customStyle="1" w:styleId="BNokiaStyle20230">
    <w:name w:val="B_NokiaStyle_2023"/>
    <w:basedOn w:val="ANokiaStyle2023"/>
    <w:qFormat/>
    <w:rsid w:val="001C21C8"/>
  </w:style>
  <w:style w:type="table" w:customStyle="1" w:styleId="TableGrid13">
    <w:name w:val="TableGrid13"/>
    <w:basedOn w:val="TableNormal"/>
    <w:next w:val="TableGrid"/>
    <w:qFormat/>
    <w:rsid w:val="009703DD"/>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numbering" w:customStyle="1" w:styleId="StyleBulleted8">
    <w:name w:val="Style Bulleted8"/>
    <w:rsid w:val="009703DD"/>
  </w:style>
  <w:style w:type="numbering" w:customStyle="1" w:styleId="StyleBulletedSymbolsymbolLeft025Hanging08">
    <w:name w:val="Style Bulleted Symbol (symbol) Left:  0.25&quot; Hanging:  0.8"/>
    <w:basedOn w:val="NoList"/>
    <w:rsid w:val="009703DD"/>
  </w:style>
  <w:style w:type="table" w:customStyle="1" w:styleId="ColorfulList-Accent125">
    <w:name w:val="Colorful List - Accent 125"/>
    <w:basedOn w:val="TableNormal"/>
    <w:next w:val="ColorfulList-Accent1"/>
    <w:uiPriority w:val="34"/>
    <w:rsid w:val="009703DD"/>
    <w:rPr>
      <w:rFonts w:ascii="Malgun Gothic" w:eastAsia="MS Gothic" w:hAnsi="Malgun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7">
    <w:name w:val="Grid Table 4 - Accent 527"/>
    <w:basedOn w:val="TableNormal"/>
    <w:next w:val="GridTable4-Accent5"/>
    <w:uiPriority w:val="49"/>
    <w:rsid w:val="009703DD"/>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10">
    <w:name w:val="Style Bulleted Symbol (symbol) Left:  0.25&quot; Hanging:  0.25&quot;10"/>
    <w:basedOn w:val="NoList"/>
    <w:rsid w:val="009703DD"/>
  </w:style>
  <w:style w:type="numbering" w:customStyle="1" w:styleId="StyleBulletedSymbolsymbolLeft025Hanging025111">
    <w:name w:val="Style Bulleted Symbol (symbol) Left:  0.25&quot; Hanging:  0.25&quot;111"/>
    <w:basedOn w:val="NoList"/>
    <w:rsid w:val="009703DD"/>
  </w:style>
  <w:style w:type="numbering" w:customStyle="1" w:styleId="StyleBulletedSymbolsymbolLeft025Hanging02528">
    <w:name w:val="Style Bulleted Symbol (symbol) Left:  0.25&quot; Hanging:  0.25&quot;28"/>
    <w:basedOn w:val="NoList"/>
    <w:rsid w:val="009703DD"/>
  </w:style>
  <w:style w:type="paragraph" w:customStyle="1" w:styleId="TDocObservation">
    <w:name w:val="TDoc Observation"/>
    <w:basedOn w:val="Normal"/>
    <w:qFormat/>
    <w:rsid w:val="009703DD"/>
    <w:pPr>
      <w:numPr>
        <w:numId w:val="73"/>
      </w:numPr>
      <w:overflowPunct w:val="0"/>
      <w:autoSpaceDE w:val="0"/>
      <w:autoSpaceDN w:val="0"/>
      <w:adjustRightInd w:val="0"/>
      <w:spacing w:after="180" w:line="259" w:lineRule="auto"/>
      <w:ind w:left="0" w:firstLine="0"/>
      <w:textAlignment w:val="baseline"/>
    </w:pPr>
    <w:rPr>
      <w:rFonts w:ascii="Times New Roman" w:eastAsia="Times New Roman" w:hAnsi="Times New Roman"/>
      <w:b/>
      <w:sz w:val="22"/>
      <w:szCs w:val="20"/>
      <w:lang w:val="de-DE" w:eastAsia="ja-JP"/>
    </w:rPr>
  </w:style>
  <w:style w:type="paragraph" w:customStyle="1" w:styleId="CharChar1CharCharCharCharCharCharCharCharCharCharCharCharCharCharChar110">
    <w:name w:val="Char Char1 Char Char Char Char Char Char Char Char Char Char Char Char Char Char Char110"/>
    <w:semiHidden/>
    <w:rsid w:val="00B340C8"/>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numbering" w:customStyle="1" w:styleId="StyleBulleted9">
    <w:name w:val="Style Bulleted9"/>
    <w:rsid w:val="00B340C8"/>
  </w:style>
  <w:style w:type="character" w:customStyle="1" w:styleId="5105">
    <w:name w:val="(文字) (文字)5105"/>
    <w:semiHidden/>
    <w:rsid w:val="00B340C8"/>
    <w:rPr>
      <w:rFonts w:ascii="Times New Roman" w:hAnsi="Times New Roman"/>
      <w:lang w:eastAsia="en-US"/>
    </w:rPr>
  </w:style>
  <w:style w:type="numbering" w:customStyle="1" w:styleId="StyleBulletedSymbolsymbolLeft025Hanging09">
    <w:name w:val="Style Bulleted Symbol (symbol) Left:  0.25&quot; Hanging:  0.9"/>
    <w:basedOn w:val="NoList"/>
    <w:rsid w:val="00B340C8"/>
  </w:style>
  <w:style w:type="table" w:customStyle="1" w:styleId="ColorfulList-Accent126">
    <w:name w:val="Colorful List - Accent 126"/>
    <w:basedOn w:val="TableNormal"/>
    <w:next w:val="ColorfulList-Accent1"/>
    <w:uiPriority w:val="34"/>
    <w:rsid w:val="00B340C8"/>
    <w:rPr>
      <w:rFonts w:eastAsia="MS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8">
    <w:name w:val="Grid Table 4 - Accent 528"/>
    <w:basedOn w:val="TableNormal"/>
    <w:next w:val="GridTable4-Accent5"/>
    <w:uiPriority w:val="49"/>
    <w:rsid w:val="00B340C8"/>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20">
    <w:name w:val="Style Bulleted Symbol (symbol) Left:  0.25&quot; Hanging:  0.25&quot;20"/>
    <w:basedOn w:val="NoList"/>
    <w:rsid w:val="00B340C8"/>
  </w:style>
  <w:style w:type="numbering" w:customStyle="1" w:styleId="StyleBulletedSymbolsymbolLeft025Hanging025112">
    <w:name w:val="Style Bulleted Symbol (symbol) Left:  0.25&quot; Hanging:  0.25&quot;112"/>
    <w:basedOn w:val="NoList"/>
    <w:rsid w:val="00B340C8"/>
  </w:style>
  <w:style w:type="numbering" w:customStyle="1" w:styleId="StyleBulletedSymbolsymbolLeft025Hanging02529">
    <w:name w:val="Style Bulleted Symbol (symbol) Left:  0.25&quot; Hanging:  0.25&quot;29"/>
    <w:basedOn w:val="NoList"/>
    <w:rsid w:val="00B340C8"/>
  </w:style>
  <w:style w:type="table" w:customStyle="1" w:styleId="TableGrid120">
    <w:name w:val="Table Grid12"/>
    <w:basedOn w:val="TableNormal"/>
    <w:uiPriority w:val="99"/>
    <w:qFormat/>
    <w:rsid w:val="00B340C8"/>
    <w:rPr>
      <w:rFonts w:ascii="Calibri" w:eastAsia="Calibri" w:hAnsi="Calibri"/>
      <w:sz w:val="22"/>
      <w:szCs w:val="22"/>
      <w:lang w:val="sv-S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Grid14"/>
    <w:basedOn w:val="TableNormal"/>
    <w:uiPriority w:val="59"/>
    <w:qFormat/>
    <w:rsid w:val="00B340C8"/>
    <w:rPr>
      <w:rFonts w:eastAsia="SimSu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GridTable411">
    <w:name w:val="Grid Table 411"/>
    <w:basedOn w:val="TableNormal"/>
    <w:uiPriority w:val="49"/>
    <w:qFormat/>
    <w:rsid w:val="00B340C8"/>
    <w:rPr>
      <w:rFonts w:ascii="CG Times (WN)" w:hAnsi="CG Times (WN)"/>
      <w:lang w:eastAsia="ko-KR"/>
    </w:rPr>
    <w:tblPr>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GridTable6Colorful-Accent511">
    <w:name w:val="Grid Table 6 Colorful - Accent 511"/>
    <w:basedOn w:val="TableNormal"/>
    <w:uiPriority w:val="51"/>
    <w:qFormat/>
    <w:rsid w:val="00B340C8"/>
    <w:rPr>
      <w:rFonts w:ascii="CG Times (WN)" w:eastAsia="Malgun Gothic" w:hAnsi="CG Times (WN)"/>
      <w:color w:val="2E74B5"/>
      <w:lang w:eastAsia="en-US"/>
    </w:rPr>
    <w:tblPr>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rPr>
      <w:tblPr/>
      <w:tcPr>
        <w:tcBorders>
          <w:bottom w:val="single" w:sz="12" w:space="0" w:color="9CC2E5"/>
        </w:tcBorders>
      </w:tcPr>
    </w:tblStylePr>
    <w:tblStylePr w:type="lastRow">
      <w:rPr>
        <w:b/>
        <w:bCs/>
      </w:rPr>
      <w:tblPr/>
      <w:tcPr>
        <w:tcBorders>
          <w:top w:val="doub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character" w:customStyle="1" w:styleId="ui-provider">
    <w:name w:val="ui-provider"/>
    <w:qFormat/>
    <w:rsid w:val="00154499"/>
  </w:style>
  <w:style w:type="paragraph" w:customStyle="1" w:styleId="CharChar1CharCharCharCharCharCharCharCharCharCharCharCharCharCharChar109">
    <w:name w:val="Char Char1 Char Char Char Char Char Char Char Char Char Char Char Char Char Char Char109"/>
    <w:semiHidden/>
    <w:rsid w:val="00043615"/>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numbering" w:customStyle="1" w:styleId="StyleBulleted10">
    <w:name w:val="Style Bulleted10"/>
    <w:rsid w:val="00043615"/>
  </w:style>
  <w:style w:type="character" w:customStyle="1" w:styleId="5104">
    <w:name w:val="(文字) (文字)5104"/>
    <w:semiHidden/>
    <w:rsid w:val="00043615"/>
    <w:rPr>
      <w:rFonts w:ascii="Times New Roman" w:hAnsi="Times New Roman"/>
      <w:lang w:eastAsia="en-US"/>
    </w:rPr>
  </w:style>
  <w:style w:type="numbering" w:customStyle="1" w:styleId="StyleBulletedSymbolsymbolLeft025Hanging010">
    <w:name w:val="Style Bulleted Symbol (symbol) Left:  0.25&quot; Hanging:  0.10"/>
    <w:basedOn w:val="NoList"/>
    <w:rsid w:val="00043615"/>
  </w:style>
  <w:style w:type="table" w:customStyle="1" w:styleId="ColorfulList-Accent127">
    <w:name w:val="Colorful List - Accent 127"/>
    <w:basedOn w:val="TableNormal"/>
    <w:next w:val="ColorfulList-Accent1"/>
    <w:uiPriority w:val="34"/>
    <w:rsid w:val="00043615"/>
    <w:rPr>
      <w:rFonts w:eastAsia="MS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9">
    <w:name w:val="Grid Table 4 - Accent 529"/>
    <w:basedOn w:val="TableNormal"/>
    <w:next w:val="GridTable4-Accent5"/>
    <w:uiPriority w:val="49"/>
    <w:rsid w:val="00043615"/>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30">
    <w:name w:val="Style Bulleted Symbol (symbol) Left:  0.25&quot; Hanging:  0.25&quot;30"/>
    <w:basedOn w:val="NoList"/>
    <w:rsid w:val="00043615"/>
  </w:style>
  <w:style w:type="numbering" w:customStyle="1" w:styleId="StyleBulletedSymbolsymbolLeft025Hanging025113">
    <w:name w:val="Style Bulleted Symbol (symbol) Left:  0.25&quot; Hanging:  0.25&quot;113"/>
    <w:basedOn w:val="NoList"/>
    <w:rsid w:val="00043615"/>
  </w:style>
  <w:style w:type="numbering" w:customStyle="1" w:styleId="StyleBulletedSymbolsymbolLeft025Hanging025210">
    <w:name w:val="Style Bulleted Symbol (symbol) Left:  0.25&quot; Hanging:  0.25&quot;210"/>
    <w:basedOn w:val="NoList"/>
    <w:rsid w:val="00043615"/>
  </w:style>
  <w:style w:type="table" w:customStyle="1" w:styleId="TableGrid130">
    <w:name w:val="Table Grid13"/>
    <w:basedOn w:val="TableNormal"/>
    <w:uiPriority w:val="99"/>
    <w:qFormat/>
    <w:rsid w:val="00043615"/>
    <w:rPr>
      <w:rFonts w:ascii="Calibri" w:eastAsia="Calibri" w:hAnsi="Calibri"/>
      <w:sz w:val="22"/>
      <w:szCs w:val="22"/>
      <w:lang w:val="sv-S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Grid15"/>
    <w:basedOn w:val="TableNormal"/>
    <w:uiPriority w:val="59"/>
    <w:qFormat/>
    <w:rsid w:val="00043615"/>
    <w:rPr>
      <w:rFonts w:eastAsia="SimSu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GridTable412">
    <w:name w:val="Grid Table 412"/>
    <w:basedOn w:val="TableNormal"/>
    <w:uiPriority w:val="49"/>
    <w:qFormat/>
    <w:rsid w:val="00043615"/>
    <w:rPr>
      <w:rFonts w:ascii="CG Times (WN)" w:hAnsi="CG Times (WN)"/>
      <w:lang w:eastAsia="ko-KR"/>
    </w:rPr>
    <w:tblPr>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GridTable6Colorful-Accent512">
    <w:name w:val="Grid Table 6 Colorful - Accent 512"/>
    <w:basedOn w:val="TableNormal"/>
    <w:uiPriority w:val="51"/>
    <w:qFormat/>
    <w:rsid w:val="00043615"/>
    <w:rPr>
      <w:rFonts w:ascii="CG Times (WN)" w:eastAsia="Malgun Gothic" w:hAnsi="CG Times (WN)"/>
      <w:color w:val="2E74B5"/>
      <w:lang w:eastAsia="en-US"/>
    </w:rPr>
    <w:tblPr>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rPr>
      <w:tblPr/>
      <w:tcPr>
        <w:tcBorders>
          <w:bottom w:val="single" w:sz="12" w:space="0" w:color="9CC2E5"/>
        </w:tcBorders>
      </w:tcPr>
    </w:tblStylePr>
    <w:tblStylePr w:type="lastRow">
      <w:rPr>
        <w:b/>
        <w:bCs/>
      </w:rPr>
      <w:tblPr/>
      <w:tcPr>
        <w:tcBorders>
          <w:top w:val="doub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character" w:customStyle="1" w:styleId="36">
    <w:name w:val="列表段落 字符3"/>
    <w:uiPriority w:val="34"/>
    <w:qFormat/>
    <w:rsid w:val="00043615"/>
    <w:rPr>
      <w:sz w:val="22"/>
      <w:szCs w:val="22"/>
      <w:lang w:eastAsia="en-US"/>
    </w:rPr>
  </w:style>
  <w:style w:type="table" w:customStyle="1" w:styleId="TableGrid81">
    <w:name w:val="Table Grid8"/>
    <w:basedOn w:val="TableNormal"/>
    <w:next w:val="TableGrid"/>
    <w:uiPriority w:val="39"/>
    <w:rsid w:val="00DD72E2"/>
    <w:pPr>
      <w:jc w:val="both"/>
    </w:pPr>
    <w:rPr>
      <w:rFonts w:ascii="Malgun Gothic" w:eastAsia="Malgun Gothic" w:hAnsi="Malgun Gothic"/>
      <w:kern w:val="2"/>
      <w:szCs w:val="22"/>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Grid16"/>
    <w:basedOn w:val="TableNormal"/>
    <w:next w:val="TableGrid"/>
    <w:uiPriority w:val="39"/>
    <w:qFormat/>
    <w:rsid w:val="009D0FAA"/>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108">
    <w:name w:val="Char Char1 Char Char Char Char Char Char Char Char Char Char Char Char Char Char Char108"/>
    <w:semiHidden/>
    <w:rsid w:val="009D0FAA"/>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numbering" w:customStyle="1" w:styleId="StyleBulleted11">
    <w:name w:val="Style Bulleted11"/>
    <w:rsid w:val="009D0FAA"/>
  </w:style>
  <w:style w:type="character" w:customStyle="1" w:styleId="5103">
    <w:name w:val="(文字) (文字)5103"/>
    <w:semiHidden/>
    <w:rsid w:val="009D0FAA"/>
    <w:rPr>
      <w:rFonts w:ascii="Times New Roman" w:hAnsi="Times New Roman"/>
      <w:lang w:eastAsia="en-US"/>
    </w:rPr>
  </w:style>
  <w:style w:type="numbering" w:customStyle="1" w:styleId="StyleBulletedSymbolsymbolLeft025Hanging011">
    <w:name w:val="Style Bulleted Symbol (symbol) Left:  0.25&quot; Hanging:  0.11"/>
    <w:basedOn w:val="NoList"/>
    <w:rsid w:val="009D0FAA"/>
  </w:style>
  <w:style w:type="table" w:customStyle="1" w:styleId="ColorfulList-Accent128">
    <w:name w:val="Colorful List - Accent 128"/>
    <w:basedOn w:val="TableNormal"/>
    <w:next w:val="ColorfulList-Accent1"/>
    <w:uiPriority w:val="34"/>
    <w:rsid w:val="009D0FAA"/>
    <w:rPr>
      <w:rFonts w:ascii="Malgun Gothic" w:eastAsia="MS Gothic" w:hAnsi="Malgun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0">
    <w:name w:val="Grid Table 4 - Accent 530"/>
    <w:basedOn w:val="TableNormal"/>
    <w:next w:val="GridTable4-Accent5"/>
    <w:uiPriority w:val="49"/>
    <w:rsid w:val="009D0FAA"/>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32">
    <w:name w:val="Style Bulleted Symbol (symbol) Left:  0.25&quot; Hanging:  0.25&quot;32"/>
    <w:basedOn w:val="NoList"/>
    <w:rsid w:val="009D0FAA"/>
  </w:style>
  <w:style w:type="numbering" w:customStyle="1" w:styleId="StyleBulletedSymbolsymbolLeft025Hanging025114">
    <w:name w:val="Style Bulleted Symbol (symbol) Left:  0.25&quot; Hanging:  0.25&quot;114"/>
    <w:basedOn w:val="NoList"/>
    <w:rsid w:val="009D0FAA"/>
  </w:style>
  <w:style w:type="numbering" w:customStyle="1" w:styleId="StyleBulletedSymbolsymbolLeft025Hanging025211">
    <w:name w:val="Style Bulleted Symbol (symbol) Left:  0.25&quot; Hanging:  0.25&quot;211"/>
    <w:basedOn w:val="NoList"/>
    <w:rsid w:val="009D0FAA"/>
  </w:style>
  <w:style w:type="character" w:customStyle="1" w:styleId="xxcontentpasted2">
    <w:name w:val="x_xcontentpasted2"/>
    <w:basedOn w:val="DefaultParagraphFont"/>
    <w:rsid w:val="009D0FAA"/>
  </w:style>
  <w:style w:type="character" w:customStyle="1" w:styleId="xxb1zchn">
    <w:name w:val="x_xb1zchn"/>
    <w:basedOn w:val="DefaultParagraphFont"/>
    <w:rsid w:val="009D0FAA"/>
  </w:style>
  <w:style w:type="character" w:customStyle="1" w:styleId="xxcontentpasted1">
    <w:name w:val="x_xcontentpasted1"/>
    <w:basedOn w:val="DefaultParagraphFont"/>
    <w:rsid w:val="009D0FAA"/>
  </w:style>
  <w:style w:type="table" w:customStyle="1" w:styleId="TableGrid140">
    <w:name w:val="Table Grid14"/>
    <w:basedOn w:val="TableNormal"/>
    <w:uiPriority w:val="99"/>
    <w:qFormat/>
    <w:rsid w:val="009D0FAA"/>
    <w:rPr>
      <w:rFonts w:ascii="Calibri" w:eastAsia="Calibri" w:hAnsi="Calibri"/>
      <w:sz w:val="22"/>
      <w:szCs w:val="22"/>
      <w:lang w:val="sv-S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Grid17"/>
    <w:basedOn w:val="TableNormal"/>
    <w:uiPriority w:val="59"/>
    <w:qFormat/>
    <w:rsid w:val="009D0FAA"/>
    <w:rPr>
      <w:rFonts w:eastAsia="SimSu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GridTable413">
    <w:name w:val="Grid Table 413"/>
    <w:basedOn w:val="TableNormal"/>
    <w:uiPriority w:val="49"/>
    <w:qFormat/>
    <w:rsid w:val="009D0FAA"/>
    <w:rPr>
      <w:rFonts w:ascii="CG Times (WN)" w:hAnsi="CG Times (WN)"/>
    </w:rPr>
    <w:tblPr>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GridTable6Colorful-Accent513">
    <w:name w:val="Grid Table 6 Colorful - Accent 513"/>
    <w:basedOn w:val="TableNormal"/>
    <w:uiPriority w:val="51"/>
    <w:qFormat/>
    <w:rsid w:val="009D0FAA"/>
    <w:rPr>
      <w:rFonts w:ascii="CG Times (WN)" w:eastAsia="Malgun Gothic" w:hAnsi="CG Times (WN)"/>
      <w:color w:val="2E74B5"/>
      <w:lang w:eastAsia="en-US"/>
    </w:rPr>
    <w:tblPr>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rPr>
      <w:tblPr/>
      <w:tcPr>
        <w:tcBorders>
          <w:bottom w:val="single" w:sz="12" w:space="0" w:color="9CC2E5"/>
        </w:tcBorders>
      </w:tcPr>
    </w:tblStylePr>
    <w:tblStylePr w:type="lastRow">
      <w:rPr>
        <w:b/>
        <w:bCs/>
      </w:rPr>
      <w:tblPr/>
      <w:tcPr>
        <w:tcBorders>
          <w:top w:val="doub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paragraph" w:customStyle="1" w:styleId="Proposalstylenokia2023">
    <w:name w:val="Proposal_style_nokia2023"/>
    <w:basedOn w:val="Normal"/>
    <w:link w:val="Proposalstylenokia2023Char"/>
    <w:qFormat/>
    <w:rsid w:val="009D0FAA"/>
    <w:pPr>
      <w:widowControl w:val="0"/>
      <w:numPr>
        <w:numId w:val="74"/>
      </w:numPr>
      <w:overflowPunct w:val="0"/>
      <w:autoSpaceDE w:val="0"/>
      <w:autoSpaceDN w:val="0"/>
      <w:adjustRightInd w:val="0"/>
      <w:spacing w:after="180"/>
      <w:jc w:val="both"/>
      <w:textAlignment w:val="baseline"/>
    </w:pPr>
    <w:rPr>
      <w:rFonts w:ascii="Times New Roman" w:eastAsia="SimSun" w:hAnsi="Times New Roman" w:cs="Arial"/>
      <w:b/>
      <w:kern w:val="2"/>
      <w:szCs w:val="20"/>
      <w:lang w:val="en-US" w:eastAsia="zh-CN"/>
    </w:rPr>
  </w:style>
  <w:style w:type="character" w:customStyle="1" w:styleId="Proposalstylenokia2023Char">
    <w:name w:val="Proposal_style_nokia2023 Char"/>
    <w:link w:val="Proposalstylenokia2023"/>
    <w:qFormat/>
    <w:rsid w:val="009D0FAA"/>
    <w:rPr>
      <w:rFonts w:eastAsia="SimSun" w:cs="Arial"/>
      <w:b/>
      <w:kern w:val="2"/>
      <w:lang w:val="en-US" w:eastAsia="zh-CN"/>
    </w:rPr>
  </w:style>
  <w:style w:type="paragraph" w:customStyle="1" w:styleId="Style84">
    <w:name w:val="_Style 84"/>
    <w:basedOn w:val="Normal"/>
    <w:next w:val="ListParagraph"/>
    <w:qFormat/>
    <w:rsid w:val="009D0FAA"/>
    <w:pPr>
      <w:ind w:leftChars="400" w:left="840"/>
    </w:pPr>
    <w:rPr>
      <w:rFonts w:eastAsia="SimSun"/>
      <w:lang w:eastAsia="ko-KR"/>
    </w:rPr>
  </w:style>
  <w:style w:type="table" w:customStyle="1" w:styleId="TableGrid18">
    <w:name w:val="TableGrid18"/>
    <w:basedOn w:val="TableNormal"/>
    <w:next w:val="TableGrid"/>
    <w:uiPriority w:val="59"/>
    <w:qFormat/>
    <w:rsid w:val="00E536CB"/>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107">
    <w:name w:val="Char Char1 Char Char Char Char Char Char Char Char Char Char Char Char Char Char Char107"/>
    <w:semiHidden/>
    <w:rsid w:val="00E536C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numbering" w:customStyle="1" w:styleId="StyleBulleted13">
    <w:name w:val="Style Bulleted13"/>
    <w:rsid w:val="00E536CB"/>
  </w:style>
  <w:style w:type="character" w:customStyle="1" w:styleId="5102">
    <w:name w:val="(文字) (文字)5102"/>
    <w:semiHidden/>
    <w:rsid w:val="00E536CB"/>
    <w:rPr>
      <w:rFonts w:ascii="Times New Roman" w:hAnsi="Times New Roman"/>
      <w:lang w:eastAsia="en-US"/>
    </w:rPr>
  </w:style>
  <w:style w:type="numbering" w:customStyle="1" w:styleId="StyleBulletedSymbolsymbolLeft025Hanging012">
    <w:name w:val="Style Bulleted Symbol (symbol) Left:  0.25&quot; Hanging:  0.12"/>
    <w:basedOn w:val="NoList"/>
    <w:rsid w:val="00E536CB"/>
  </w:style>
  <w:style w:type="table" w:customStyle="1" w:styleId="ColorfulList-Accent129">
    <w:name w:val="Colorful List - Accent 129"/>
    <w:basedOn w:val="TableNormal"/>
    <w:next w:val="ColorfulList-Accent1"/>
    <w:uiPriority w:val="34"/>
    <w:rsid w:val="00E536CB"/>
    <w:rPr>
      <w:rFonts w:ascii="Malgun Gothic" w:eastAsia="MS Gothic" w:hAnsi="Malgun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1">
    <w:name w:val="Grid Table 4 - Accent 531"/>
    <w:basedOn w:val="TableNormal"/>
    <w:next w:val="GridTable4-Accent5"/>
    <w:uiPriority w:val="49"/>
    <w:rsid w:val="00E536CB"/>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33">
    <w:name w:val="Style Bulleted Symbol (symbol) Left:  0.25&quot; Hanging:  0.25&quot;33"/>
    <w:basedOn w:val="NoList"/>
    <w:rsid w:val="00E536CB"/>
  </w:style>
  <w:style w:type="numbering" w:customStyle="1" w:styleId="StyleBulletedSymbolsymbolLeft025Hanging025115">
    <w:name w:val="Style Bulleted Symbol (symbol) Left:  0.25&quot; Hanging:  0.25&quot;115"/>
    <w:basedOn w:val="NoList"/>
    <w:rsid w:val="00E536CB"/>
  </w:style>
  <w:style w:type="numbering" w:customStyle="1" w:styleId="StyleBulletedSymbolsymbolLeft025Hanging025212">
    <w:name w:val="Style Bulleted Symbol (symbol) Left:  0.25&quot; Hanging:  0.25&quot;212"/>
    <w:basedOn w:val="NoList"/>
    <w:rsid w:val="00E536CB"/>
  </w:style>
  <w:style w:type="numbering" w:customStyle="1" w:styleId="StyleBulletedSymbolsymbolLeft025Hanging02534">
    <w:name w:val="Style Bulleted Symbol (symbol) Left:  0.25&quot; Hanging:  0.25&quot;34"/>
    <w:basedOn w:val="NoList"/>
    <w:rsid w:val="00C12253"/>
  </w:style>
  <w:style w:type="numbering" w:customStyle="1" w:styleId="StyleBulletedSymbolsymbolLeft025Hanging02535">
    <w:name w:val="Style Bulleted Symbol (symbol) Left:  0.25&quot; Hanging:  0.25&quot;35"/>
    <w:basedOn w:val="NoList"/>
    <w:rsid w:val="00F669D4"/>
  </w:style>
  <w:style w:type="table" w:customStyle="1" w:styleId="TableGrid19">
    <w:name w:val="TableGrid19"/>
    <w:basedOn w:val="TableNormal"/>
    <w:next w:val="TableGrid"/>
    <w:uiPriority w:val="39"/>
    <w:qFormat/>
    <w:rsid w:val="00365AE8"/>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0">
    <w:name w:val="Char Char1 Char Char Char Char Char Char Char Char Char Char Char Char Char Char Char"/>
    <w:semiHidden/>
    <w:rsid w:val="00365AE8"/>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numbering" w:customStyle="1" w:styleId="StyleBulleted14">
    <w:name w:val="Style Bulleted14"/>
    <w:rsid w:val="00365AE8"/>
  </w:style>
  <w:style w:type="character" w:customStyle="1" w:styleId="5a">
    <w:name w:val="(文字) (文字)5"/>
    <w:semiHidden/>
    <w:rsid w:val="00365AE8"/>
    <w:rPr>
      <w:rFonts w:ascii="Times New Roman" w:hAnsi="Times New Roman"/>
      <w:lang w:eastAsia="en-US"/>
    </w:rPr>
  </w:style>
  <w:style w:type="numbering" w:customStyle="1" w:styleId="StyleBulletedSymbolsymbolLeft025Hanging013">
    <w:name w:val="Style Bulleted Symbol (symbol) Left:  0.25&quot; Hanging:  0.13"/>
    <w:basedOn w:val="NoList"/>
    <w:rsid w:val="00365AE8"/>
  </w:style>
  <w:style w:type="table" w:customStyle="1" w:styleId="ColorfulList-Accent130">
    <w:name w:val="Colorful List - Accent 130"/>
    <w:basedOn w:val="TableNormal"/>
    <w:next w:val="ColorfulList-Accent1"/>
    <w:uiPriority w:val="34"/>
    <w:rsid w:val="00365AE8"/>
    <w:rPr>
      <w:rFonts w:ascii="Malgun Gothic" w:eastAsia="MS Gothic" w:hAnsi="Malgun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2">
    <w:name w:val="Grid Table 4 - Accent 532"/>
    <w:basedOn w:val="TableNormal"/>
    <w:next w:val="GridTable4-Accent5"/>
    <w:uiPriority w:val="49"/>
    <w:rsid w:val="00365AE8"/>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36">
    <w:name w:val="Style Bulleted Symbol (symbol) Left:  0.25&quot; Hanging:  0.25&quot;36"/>
    <w:basedOn w:val="NoList"/>
    <w:rsid w:val="00365AE8"/>
  </w:style>
  <w:style w:type="numbering" w:customStyle="1" w:styleId="StyleBulletedSymbolsymbolLeft025Hanging025116">
    <w:name w:val="Style Bulleted Symbol (symbol) Left:  0.25&quot; Hanging:  0.25&quot;116"/>
    <w:basedOn w:val="NoList"/>
    <w:rsid w:val="00365AE8"/>
  </w:style>
  <w:style w:type="numbering" w:customStyle="1" w:styleId="StyleBulletedSymbolsymbolLeft025Hanging025213">
    <w:name w:val="Style Bulleted Symbol (symbol) Left:  0.25&quot; Hanging:  0.25&quot;213"/>
    <w:basedOn w:val="NoList"/>
    <w:rsid w:val="00365AE8"/>
  </w:style>
  <w:style w:type="character" w:customStyle="1" w:styleId="ListParagraphChar2">
    <w:name w:val="List Paragraph Char2"/>
    <w:uiPriority w:val="34"/>
    <w:qFormat/>
    <w:rsid w:val="00365AE8"/>
    <w:rPr>
      <w:rFonts w:ascii="Calibri" w:eastAsia="Calibri" w:hAnsi="Calibri" w:cs="Times New Roman"/>
      <w:kern w:val="0"/>
      <w:sz w:val="22"/>
      <w:lang w:eastAsia="en-US"/>
    </w:rPr>
  </w:style>
  <w:style w:type="paragraph" w:customStyle="1" w:styleId="LGTdoc">
    <w:name w:val="LGTdoc_소제목"/>
    <w:basedOn w:val="LGTdoc0"/>
    <w:qFormat/>
    <w:rsid w:val="00365AE8"/>
    <w:pPr>
      <w:numPr>
        <w:numId w:val="75"/>
      </w:numPr>
      <w:tabs>
        <w:tab w:val="clear" w:pos="800"/>
      </w:tabs>
      <w:ind w:left="0" w:firstLine="0"/>
    </w:pPr>
  </w:style>
  <w:style w:type="table" w:customStyle="1" w:styleId="TableGrid310">
    <w:name w:val="TableGrid31"/>
    <w:basedOn w:val="TableNormal"/>
    <w:next w:val="TableGrid"/>
    <w:uiPriority w:val="39"/>
    <w:qFormat/>
    <w:rsid w:val="00365AE8"/>
    <w:rPr>
      <w:rFonts w:ascii="Calibri" w:eastAsia="SimSun" w:hAnsi="Calibri" w:cs="Arial"/>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ppendix1">
    <w:name w:val="Appendix1"/>
    <w:basedOn w:val="Heading1"/>
    <w:qFormat/>
    <w:rsid w:val="00365AE8"/>
    <w:pPr>
      <w:keepLines/>
      <w:numPr>
        <w:numId w:val="76"/>
      </w:numPr>
      <w:pBdr>
        <w:top w:val="single" w:sz="12" w:space="3" w:color="auto"/>
      </w:pBdr>
      <w:tabs>
        <w:tab w:val="left" w:pos="3267"/>
      </w:tabs>
      <w:spacing w:after="180" w:line="259" w:lineRule="auto"/>
      <w:jc w:val="both"/>
    </w:pPr>
    <w:rPr>
      <w:rFonts w:eastAsia="PMingLiU" w:cs="Times New Roman"/>
      <w:b w:val="0"/>
      <w:bCs w:val="0"/>
      <w:kern w:val="0"/>
      <w:sz w:val="36"/>
      <w:szCs w:val="20"/>
    </w:rPr>
  </w:style>
  <w:style w:type="paragraph" w:customStyle="1" w:styleId="affc">
    <w:name w:val="样式 页眉"/>
    <w:basedOn w:val="Header"/>
    <w:link w:val="Charf0"/>
    <w:qFormat/>
    <w:rsid w:val="00365AE8"/>
    <w:pPr>
      <w:widowControl w:val="0"/>
      <w:tabs>
        <w:tab w:val="clear" w:pos="4536"/>
        <w:tab w:val="clear" w:pos="9072"/>
      </w:tabs>
      <w:overflowPunct w:val="0"/>
      <w:autoSpaceDE w:val="0"/>
      <w:autoSpaceDN w:val="0"/>
      <w:adjustRightInd w:val="0"/>
      <w:spacing w:after="160" w:line="259" w:lineRule="auto"/>
      <w:textAlignment w:val="baseline"/>
    </w:pPr>
    <w:rPr>
      <w:rFonts w:ascii="Arial" w:eastAsia="Arial" w:hAnsi="Arial"/>
      <w:b/>
      <w:bCs/>
      <w:sz w:val="22"/>
      <w:szCs w:val="20"/>
    </w:rPr>
  </w:style>
  <w:style w:type="character" w:customStyle="1" w:styleId="Charf0">
    <w:name w:val="样式 页眉 Char"/>
    <w:link w:val="affc"/>
    <w:qFormat/>
    <w:rsid w:val="00365AE8"/>
    <w:rPr>
      <w:rFonts w:ascii="Arial" w:eastAsia="Arial" w:hAnsi="Arial"/>
      <w:b/>
      <w:bCs/>
      <w:sz w:val="22"/>
      <w:lang w:eastAsia="en-US"/>
    </w:rPr>
  </w:style>
  <w:style w:type="paragraph" w:customStyle="1" w:styleId="equation0">
    <w:name w:val="equation"/>
    <w:basedOn w:val="Normal"/>
    <w:uiPriority w:val="99"/>
    <w:qFormat/>
    <w:rsid w:val="00365AE8"/>
    <w:pPr>
      <w:tabs>
        <w:tab w:val="center" w:pos="2520"/>
        <w:tab w:val="right" w:pos="5040"/>
      </w:tabs>
      <w:spacing w:before="240" w:after="240" w:line="216" w:lineRule="auto"/>
      <w:jc w:val="center"/>
    </w:pPr>
    <w:rPr>
      <w:rFonts w:ascii="Symbol" w:eastAsia="Times New Roman" w:hAnsi="Symbol" w:cs="Symbol"/>
      <w:szCs w:val="20"/>
      <w:lang w:val="en-US"/>
    </w:rPr>
  </w:style>
  <w:style w:type="paragraph" w:customStyle="1" w:styleId="tablecolhead">
    <w:name w:val="table col head"/>
    <w:basedOn w:val="Normal"/>
    <w:uiPriority w:val="99"/>
    <w:qFormat/>
    <w:rsid w:val="00365AE8"/>
    <w:pPr>
      <w:spacing w:line="259" w:lineRule="auto"/>
      <w:jc w:val="center"/>
    </w:pPr>
    <w:rPr>
      <w:rFonts w:ascii="Times New Roman" w:eastAsia="Times New Roman" w:hAnsi="Times New Roman"/>
      <w:b/>
      <w:bCs/>
      <w:sz w:val="16"/>
      <w:szCs w:val="16"/>
      <w:lang w:val="en-US"/>
    </w:rPr>
  </w:style>
  <w:style w:type="paragraph" w:customStyle="1" w:styleId="tablecopy">
    <w:name w:val="table copy"/>
    <w:uiPriority w:val="99"/>
    <w:qFormat/>
    <w:rsid w:val="00365AE8"/>
    <w:pPr>
      <w:spacing w:after="160" w:line="259" w:lineRule="auto"/>
      <w:jc w:val="both"/>
    </w:pPr>
    <w:rPr>
      <w:rFonts w:eastAsia="Times New Roman"/>
      <w:sz w:val="16"/>
      <w:szCs w:val="16"/>
      <w:lang w:val="en-US" w:eastAsia="en-US"/>
    </w:rPr>
  </w:style>
  <w:style w:type="paragraph" w:customStyle="1" w:styleId="NormalsmallspacingBold">
    <w:name w:val="Normal + small spacing + Bold"/>
    <w:basedOn w:val="Normal"/>
    <w:qFormat/>
    <w:rsid w:val="00365AE8"/>
    <w:pPr>
      <w:overflowPunct w:val="0"/>
      <w:autoSpaceDE w:val="0"/>
      <w:autoSpaceDN w:val="0"/>
      <w:adjustRightInd w:val="0"/>
      <w:spacing w:before="40" w:after="40" w:line="259" w:lineRule="auto"/>
    </w:pPr>
    <w:rPr>
      <w:rFonts w:ascii="Times New Roman" w:eastAsia="Times New Roman" w:hAnsi="Times New Roman"/>
      <w:b/>
      <w:bCs/>
      <w:szCs w:val="20"/>
    </w:rPr>
  </w:style>
  <w:style w:type="paragraph" w:customStyle="1" w:styleId="Pa4">
    <w:name w:val="Pa4"/>
    <w:basedOn w:val="Normal"/>
    <w:next w:val="Normal"/>
    <w:uiPriority w:val="99"/>
    <w:qFormat/>
    <w:rsid w:val="00365AE8"/>
    <w:pPr>
      <w:autoSpaceDE w:val="0"/>
      <w:autoSpaceDN w:val="0"/>
      <w:adjustRightInd w:val="0"/>
      <w:spacing w:line="173" w:lineRule="atLeast"/>
    </w:pPr>
    <w:rPr>
      <w:rFonts w:ascii="Swift" w:eastAsia="SimSun" w:hAnsi="Swift"/>
      <w:sz w:val="24"/>
      <w:lang w:val="en-US" w:eastAsia="zh-CN"/>
    </w:rPr>
  </w:style>
  <w:style w:type="table" w:customStyle="1" w:styleId="PlainTable31">
    <w:name w:val="Plain Table 31"/>
    <w:basedOn w:val="TableNormal"/>
    <w:uiPriority w:val="43"/>
    <w:qFormat/>
    <w:rsid w:val="00365AE8"/>
    <w:rPr>
      <w:rFonts w:ascii="CG Times (WN)" w:eastAsia="SimSun" w:hAnsi="CG Times (WN)"/>
      <w:lang w:eastAsia="zh-CN"/>
    </w:rPr>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table" w:customStyle="1" w:styleId="ListTable1Light-Accent11">
    <w:name w:val="List Table 1 Light - Accent 11"/>
    <w:basedOn w:val="TableNormal"/>
    <w:uiPriority w:val="46"/>
    <w:qFormat/>
    <w:rsid w:val="00365AE8"/>
    <w:rPr>
      <w:rFonts w:ascii="CG Times (WN)" w:eastAsia="SimSun" w:hAnsi="CG Times (WN)"/>
      <w:lang w:eastAsia="zh-CN"/>
    </w:rPr>
    <w:tblPr/>
    <w:tblStylePr w:type="firstRow">
      <w:rPr>
        <w:b/>
        <w:bCs/>
      </w:rPr>
      <w:tblPr/>
      <w:tcPr>
        <w:tcBorders>
          <w:bottom w:val="single" w:sz="4" w:space="0" w:color="9CC2E5"/>
        </w:tcBorders>
      </w:tcPr>
    </w:tblStylePr>
    <w:tblStylePr w:type="lastRow">
      <w:rPr>
        <w:b/>
        <w:bCs/>
      </w:rPr>
      <w:tblPr/>
      <w:tcPr>
        <w:tcBorders>
          <w:top w:val="sing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GridTable4-Accent5111">
    <w:name w:val="Grid Table 4 - Accent 5111"/>
    <w:basedOn w:val="TableNormal"/>
    <w:uiPriority w:val="49"/>
    <w:qFormat/>
    <w:rsid w:val="00365AE8"/>
    <w:rPr>
      <w:rFonts w:ascii="CG Times (WN)" w:eastAsia="SimSun" w:hAnsi="CG Times (WN)"/>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6Colorful-Accent514">
    <w:name w:val="Grid Table 6 Colorful - Accent 514"/>
    <w:basedOn w:val="TableNormal"/>
    <w:uiPriority w:val="51"/>
    <w:qFormat/>
    <w:rsid w:val="00365AE8"/>
    <w:rPr>
      <w:rFonts w:ascii="CG Times (WN)" w:eastAsia="SimSun" w:hAnsi="CG Times (WN)"/>
      <w:color w:val="2F5496"/>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bottom w:val="single" w:sz="12" w:space="0" w:color="8EAADB"/>
        </w:tcBorders>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ListTable3-Accent51">
    <w:name w:val="List Table 3 - Accent 51"/>
    <w:basedOn w:val="TableNormal"/>
    <w:uiPriority w:val="48"/>
    <w:qFormat/>
    <w:rsid w:val="00365AE8"/>
    <w:rPr>
      <w:rFonts w:ascii="CG Times (WN)" w:eastAsia="SimSun" w:hAnsi="CG Times (WN)"/>
      <w:lang w:eastAsia="zh-CN"/>
    </w:rPr>
    <w:tblPr>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customStyle="1" w:styleId="PlainTable21">
    <w:name w:val="Plain Table 21"/>
    <w:basedOn w:val="TableNormal"/>
    <w:uiPriority w:val="42"/>
    <w:qFormat/>
    <w:rsid w:val="00365AE8"/>
    <w:rPr>
      <w:rFonts w:ascii="CG Times (WN)" w:eastAsia="SimSun" w:hAnsi="CG Times (WN)"/>
      <w:lang w:eastAsia="zh-CN"/>
    </w:rPr>
    <w:tblPr>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TableGrid1100">
    <w:name w:val="TableGrid110"/>
    <w:basedOn w:val="TableNormal"/>
    <w:uiPriority w:val="39"/>
    <w:qFormat/>
    <w:rsid w:val="00365AE8"/>
    <w:rPr>
      <w:rFonts w:ascii="Calibri" w:eastAsia="Calibri" w:hAnsi="Calibri"/>
      <w:sz w:val="22"/>
      <w:szCs w:val="22"/>
      <w:lang w:val="de-DE"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d">
    <w:name w:val="修订1"/>
    <w:hidden/>
    <w:uiPriority w:val="71"/>
    <w:qFormat/>
    <w:rsid w:val="00365AE8"/>
    <w:pPr>
      <w:spacing w:after="160" w:line="259" w:lineRule="auto"/>
    </w:pPr>
    <w:rPr>
      <w:rFonts w:eastAsia="SimSun"/>
      <w:lang w:eastAsia="en-US"/>
    </w:rPr>
  </w:style>
  <w:style w:type="paragraph" w:customStyle="1" w:styleId="boldbullet1">
    <w:name w:val="boldbullet1"/>
    <w:basedOn w:val="Normal"/>
    <w:link w:val="boldbullet10"/>
    <w:qFormat/>
    <w:rsid w:val="00365AE8"/>
    <w:pPr>
      <w:spacing w:after="120"/>
      <w:jc w:val="both"/>
    </w:pPr>
    <w:rPr>
      <w:rFonts w:ascii="Times New Roman" w:eastAsia="SimSun" w:hAnsi="Times New Roman"/>
      <w:b/>
      <w:lang w:val="en-US" w:eastAsia="zh-CN"/>
    </w:rPr>
  </w:style>
  <w:style w:type="character" w:customStyle="1" w:styleId="boldbullet10">
    <w:name w:val="boldbullet1 字符"/>
    <w:link w:val="boldbullet1"/>
    <w:qFormat/>
    <w:rsid w:val="00365AE8"/>
    <w:rPr>
      <w:rFonts w:eastAsia="SimSun"/>
      <w:b/>
      <w:szCs w:val="24"/>
      <w:lang w:val="en-US" w:eastAsia="zh-CN"/>
    </w:rPr>
  </w:style>
  <w:style w:type="paragraph" w:customStyle="1" w:styleId="default0">
    <w:name w:val="default"/>
    <w:basedOn w:val="Normal"/>
    <w:uiPriority w:val="99"/>
    <w:qFormat/>
    <w:rsid w:val="00365AE8"/>
    <w:pPr>
      <w:spacing w:before="100" w:beforeAutospacing="1" w:after="100" w:afterAutospacing="1"/>
    </w:pPr>
    <w:rPr>
      <w:rFonts w:ascii="Calibri" w:eastAsia="Malgun Gothic" w:hAnsi="Calibri" w:cs="Calibri"/>
      <w:sz w:val="22"/>
      <w:szCs w:val="22"/>
      <w:lang w:val="en-US" w:eastAsia="ko-KR"/>
    </w:rPr>
  </w:style>
  <w:style w:type="table" w:customStyle="1" w:styleId="140">
    <w:name w:val="网格型14"/>
    <w:basedOn w:val="TableNormal"/>
    <w:uiPriority w:val="39"/>
    <w:qFormat/>
    <w:rsid w:val="00365AE8"/>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7">
    <w:name w:val="修订2"/>
    <w:hidden/>
    <w:uiPriority w:val="99"/>
    <w:semiHidden/>
    <w:qFormat/>
    <w:rsid w:val="00365AE8"/>
    <w:rPr>
      <w:rFonts w:eastAsia="SimSun"/>
      <w:lang w:eastAsia="en-US"/>
    </w:rPr>
  </w:style>
  <w:style w:type="paragraph" w:customStyle="1" w:styleId="1e">
    <w:name w:val="书目1"/>
    <w:basedOn w:val="Normal"/>
    <w:next w:val="Normal"/>
    <w:uiPriority w:val="37"/>
    <w:semiHidden/>
    <w:unhideWhenUsed/>
    <w:qFormat/>
    <w:rsid w:val="00365AE8"/>
    <w:pPr>
      <w:overflowPunct w:val="0"/>
      <w:autoSpaceDE w:val="0"/>
      <w:autoSpaceDN w:val="0"/>
      <w:adjustRightInd w:val="0"/>
      <w:spacing w:after="180"/>
      <w:textAlignment w:val="baseline"/>
    </w:pPr>
    <w:rPr>
      <w:rFonts w:ascii="Times New Roman" w:eastAsia="SimSun" w:hAnsi="Times New Roman"/>
      <w:szCs w:val="20"/>
    </w:rPr>
  </w:style>
  <w:style w:type="paragraph" w:customStyle="1" w:styleId="mc-p0">
    <w:name w:val="mc-p"/>
    <w:basedOn w:val="Normal"/>
    <w:uiPriority w:val="99"/>
    <w:qFormat/>
    <w:rsid w:val="00365AE8"/>
    <w:pPr>
      <w:spacing w:before="100" w:beforeAutospacing="1" w:after="100" w:afterAutospacing="1"/>
    </w:pPr>
    <w:rPr>
      <w:rFonts w:ascii="Calibri" w:eastAsia="Calibri" w:hAnsi="Calibri" w:cs="Calibri"/>
      <w:sz w:val="22"/>
      <w:szCs w:val="22"/>
      <w:lang w:val="en-US"/>
    </w:rPr>
  </w:style>
  <w:style w:type="paragraph" w:customStyle="1" w:styleId="Caption1">
    <w:name w:val="Caption1"/>
    <w:basedOn w:val="Normal"/>
    <w:qFormat/>
    <w:rsid w:val="00365AE8"/>
    <w:pPr>
      <w:spacing w:before="100" w:beforeAutospacing="1" w:after="100" w:afterAutospacing="1"/>
    </w:pPr>
    <w:rPr>
      <w:rFonts w:ascii="Calibri" w:eastAsia="Calibri" w:hAnsi="Calibri" w:cs="Calibri"/>
      <w:sz w:val="22"/>
      <w:szCs w:val="22"/>
      <w:lang w:val="en-US"/>
    </w:rPr>
  </w:style>
  <w:style w:type="paragraph" w:customStyle="1" w:styleId="Revision2">
    <w:name w:val="Revision2"/>
    <w:hidden/>
    <w:uiPriority w:val="99"/>
    <w:semiHidden/>
    <w:qFormat/>
    <w:rsid w:val="00365AE8"/>
    <w:rPr>
      <w:rFonts w:eastAsia="SimSun"/>
      <w:lang w:eastAsia="en-US"/>
    </w:rPr>
  </w:style>
  <w:style w:type="table" w:customStyle="1" w:styleId="PlainTable311">
    <w:name w:val="Plain Table 311"/>
    <w:basedOn w:val="TableNormal"/>
    <w:uiPriority w:val="43"/>
    <w:qFormat/>
    <w:rsid w:val="00365AE8"/>
    <w:rPr>
      <w:rFonts w:ascii="CG Times (WN)" w:eastAsia="SimSun" w:hAnsi="CG Times (WN)"/>
      <w:lang w:eastAsia="zh-CN"/>
    </w:rPr>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table" w:customStyle="1" w:styleId="ListTable1Light-Accent111">
    <w:name w:val="List Table 1 Light - Accent 111"/>
    <w:basedOn w:val="TableNormal"/>
    <w:uiPriority w:val="46"/>
    <w:qFormat/>
    <w:rsid w:val="00365AE8"/>
    <w:rPr>
      <w:rFonts w:ascii="CG Times (WN)" w:eastAsia="SimSun" w:hAnsi="CG Times (WN)"/>
      <w:lang w:eastAsia="zh-CN"/>
    </w:rPr>
    <w:tblPr/>
    <w:tblStylePr w:type="firstRow">
      <w:rPr>
        <w:b/>
        <w:bCs/>
      </w:rPr>
      <w:tblPr/>
      <w:tcPr>
        <w:tcBorders>
          <w:bottom w:val="single" w:sz="4" w:space="0" w:color="9CC2E5"/>
        </w:tcBorders>
      </w:tcPr>
    </w:tblStylePr>
    <w:tblStylePr w:type="lastRow">
      <w:rPr>
        <w:b/>
        <w:bCs/>
      </w:rPr>
      <w:tblPr/>
      <w:tcPr>
        <w:tcBorders>
          <w:top w:val="sing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GridTable4-Accent5112">
    <w:name w:val="Grid Table 4 - Accent 5112"/>
    <w:basedOn w:val="TableNormal"/>
    <w:uiPriority w:val="49"/>
    <w:qFormat/>
    <w:rsid w:val="00365AE8"/>
    <w:rPr>
      <w:rFonts w:ascii="CG Times (WN)" w:eastAsia="SimSun" w:hAnsi="CG Times (WN)"/>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6Colorful-Accent5111">
    <w:name w:val="Grid Table 6 Colorful - Accent 5111"/>
    <w:basedOn w:val="TableNormal"/>
    <w:uiPriority w:val="51"/>
    <w:qFormat/>
    <w:rsid w:val="00365AE8"/>
    <w:rPr>
      <w:rFonts w:ascii="CG Times (WN)" w:eastAsia="SimSun" w:hAnsi="CG Times (WN)"/>
      <w:color w:val="2F5496"/>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bottom w:val="single" w:sz="12" w:space="0" w:color="8EAADB"/>
        </w:tcBorders>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ListTable3-Accent511">
    <w:name w:val="List Table 3 - Accent 511"/>
    <w:basedOn w:val="TableNormal"/>
    <w:uiPriority w:val="48"/>
    <w:qFormat/>
    <w:rsid w:val="00365AE8"/>
    <w:rPr>
      <w:rFonts w:ascii="CG Times (WN)" w:eastAsia="SimSun" w:hAnsi="CG Times (WN)"/>
      <w:lang w:eastAsia="zh-CN"/>
    </w:rPr>
    <w:tblPr>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customStyle="1" w:styleId="PlainTable211">
    <w:name w:val="Plain Table 211"/>
    <w:basedOn w:val="TableNormal"/>
    <w:uiPriority w:val="42"/>
    <w:qFormat/>
    <w:rsid w:val="00365AE8"/>
    <w:rPr>
      <w:rFonts w:ascii="CG Times (WN)" w:eastAsia="SimSun" w:hAnsi="CG Times (WN)"/>
      <w:lang w:eastAsia="zh-CN"/>
    </w:rPr>
    <w:tblPr>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TableGrid111">
    <w:name w:val="TableGrid111"/>
    <w:basedOn w:val="TableNormal"/>
    <w:uiPriority w:val="39"/>
    <w:qFormat/>
    <w:rsid w:val="00365AE8"/>
    <w:rPr>
      <w:rFonts w:ascii="Calibri" w:eastAsia="Calibri" w:hAnsi="Calibri"/>
      <w:sz w:val="22"/>
      <w:szCs w:val="22"/>
      <w:lang w:val="de-DE"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mailstyle26">
    <w:name w:val="emailstyle26"/>
    <w:semiHidden/>
    <w:qFormat/>
    <w:rsid w:val="00365AE8"/>
    <w:rPr>
      <w:rFonts w:ascii="Nirmala UI" w:hAnsi="Nirmala UI" w:cs="Arial" w:hint="default"/>
      <w:color w:val="auto"/>
      <w:sz w:val="20"/>
      <w:szCs w:val="22"/>
    </w:rPr>
  </w:style>
  <w:style w:type="paragraph" w:customStyle="1" w:styleId="211">
    <w:name w:val="修订21"/>
    <w:hidden/>
    <w:uiPriority w:val="99"/>
    <w:semiHidden/>
    <w:qFormat/>
    <w:rsid w:val="00365AE8"/>
    <w:rPr>
      <w:rFonts w:eastAsia="SimSun"/>
      <w:lang w:eastAsia="en-US"/>
    </w:rPr>
  </w:style>
  <w:style w:type="character" w:customStyle="1" w:styleId="1f">
    <w:name w:val="@他1"/>
    <w:uiPriority w:val="99"/>
    <w:unhideWhenUsed/>
    <w:qFormat/>
    <w:rsid w:val="00365AE8"/>
    <w:rPr>
      <w:color w:val="2B579A"/>
      <w:shd w:val="clear" w:color="auto" w:fill="E1DFDD"/>
    </w:rPr>
  </w:style>
  <w:style w:type="character" w:customStyle="1" w:styleId="28">
    <w:name w:val="@他2"/>
    <w:uiPriority w:val="99"/>
    <w:unhideWhenUsed/>
    <w:qFormat/>
    <w:rsid w:val="00365AE8"/>
    <w:rPr>
      <w:color w:val="2B579A"/>
      <w:shd w:val="clear" w:color="auto" w:fill="E1DFDD"/>
    </w:rPr>
  </w:style>
  <w:style w:type="character" w:customStyle="1" w:styleId="29">
    <w:name w:val="未处理的提及2"/>
    <w:uiPriority w:val="99"/>
    <w:semiHidden/>
    <w:unhideWhenUsed/>
    <w:rsid w:val="00365AE8"/>
    <w:rPr>
      <w:color w:val="605E5C"/>
      <w:shd w:val="clear" w:color="auto" w:fill="E1DFDD"/>
    </w:rPr>
  </w:style>
  <w:style w:type="character" w:customStyle="1" w:styleId="Mention2">
    <w:name w:val="Mention2"/>
    <w:uiPriority w:val="99"/>
    <w:unhideWhenUsed/>
    <w:rsid w:val="00365AE8"/>
    <w:rPr>
      <w:color w:val="2B579A"/>
      <w:shd w:val="clear" w:color="auto" w:fill="E1DFDD"/>
    </w:rPr>
  </w:style>
  <w:style w:type="paragraph" w:styleId="Bibliography">
    <w:name w:val="Bibliography"/>
    <w:basedOn w:val="Normal"/>
    <w:next w:val="Normal"/>
    <w:uiPriority w:val="37"/>
    <w:semiHidden/>
    <w:unhideWhenUsed/>
    <w:rsid w:val="00365AE8"/>
    <w:pPr>
      <w:overflowPunct w:val="0"/>
      <w:autoSpaceDE w:val="0"/>
      <w:autoSpaceDN w:val="0"/>
      <w:adjustRightInd w:val="0"/>
      <w:spacing w:after="180"/>
      <w:textAlignment w:val="baseline"/>
    </w:pPr>
    <w:rPr>
      <w:rFonts w:ascii="Times New Roman" w:eastAsia="SimSun" w:hAnsi="Times New Roman"/>
      <w:szCs w:val="20"/>
    </w:rPr>
  </w:style>
  <w:style w:type="numbering" w:customStyle="1" w:styleId="NoList1">
    <w:name w:val="No List1"/>
    <w:next w:val="NoList"/>
    <w:uiPriority w:val="99"/>
    <w:semiHidden/>
    <w:unhideWhenUsed/>
    <w:rsid w:val="00365AE8"/>
  </w:style>
  <w:style w:type="paragraph" w:customStyle="1" w:styleId="1f0">
    <w:name w:val="无间隔1"/>
    <w:uiPriority w:val="99"/>
    <w:qFormat/>
    <w:rsid w:val="00365AE8"/>
    <w:pPr>
      <w:spacing w:after="160" w:line="252" w:lineRule="auto"/>
    </w:pPr>
    <w:rPr>
      <w:rFonts w:eastAsia="SimSun"/>
      <w:sz w:val="22"/>
      <w:szCs w:val="22"/>
      <w:lang w:val="en-US" w:eastAsia="zh-CN"/>
    </w:rPr>
  </w:style>
  <w:style w:type="paragraph" w:customStyle="1" w:styleId="-11">
    <w:name w:val="彩色列表 - 强调文字颜色 11"/>
    <w:basedOn w:val="Normal"/>
    <w:uiPriority w:val="34"/>
    <w:qFormat/>
    <w:rsid w:val="00365AE8"/>
    <w:pPr>
      <w:widowControl w:val="0"/>
      <w:ind w:firstLineChars="200" w:firstLine="420"/>
      <w:jc w:val="both"/>
    </w:pPr>
    <w:rPr>
      <w:rFonts w:ascii="Times New Roman" w:eastAsia="t" w:hAnsi="Times New Roman"/>
      <w:kern w:val="2"/>
      <w:sz w:val="21"/>
      <w:szCs w:val="22"/>
      <w:lang w:val="en-US" w:eastAsia="zh-CN"/>
    </w:rPr>
  </w:style>
  <w:style w:type="paragraph" w:customStyle="1" w:styleId="NoSpacing1">
    <w:name w:val="No Spacing1"/>
    <w:uiPriority w:val="1"/>
    <w:qFormat/>
    <w:rsid w:val="00365AE8"/>
    <w:pPr>
      <w:spacing w:after="160" w:line="252" w:lineRule="auto"/>
    </w:pPr>
    <w:rPr>
      <w:rFonts w:eastAsia="SimSun"/>
      <w:sz w:val="22"/>
      <w:szCs w:val="22"/>
      <w:lang w:val="en-US" w:eastAsia="zh-CN"/>
    </w:rPr>
  </w:style>
  <w:style w:type="paragraph" w:customStyle="1" w:styleId="-110">
    <w:name w:val="彩色底纹 - 强调文字颜色 11"/>
    <w:uiPriority w:val="71"/>
    <w:qFormat/>
    <w:rsid w:val="00365AE8"/>
    <w:pPr>
      <w:spacing w:after="160" w:line="252" w:lineRule="auto"/>
    </w:pPr>
    <w:rPr>
      <w:rFonts w:eastAsia="SimSun"/>
      <w:sz w:val="22"/>
      <w:szCs w:val="22"/>
      <w:lang w:val="en-US" w:eastAsia="zh-CN"/>
    </w:rPr>
  </w:style>
  <w:style w:type="paragraph" w:customStyle="1" w:styleId="Style2">
    <w:name w:val="_Style 2"/>
    <w:uiPriority w:val="99"/>
    <w:qFormat/>
    <w:rsid w:val="00365AE8"/>
    <w:pPr>
      <w:spacing w:after="160" w:line="252" w:lineRule="auto"/>
    </w:pPr>
    <w:rPr>
      <w:rFonts w:eastAsia="SimSun"/>
      <w:sz w:val="22"/>
      <w:szCs w:val="22"/>
      <w:lang w:val="en-US" w:eastAsia="zh-CN"/>
    </w:rPr>
  </w:style>
  <w:style w:type="paragraph" w:customStyle="1" w:styleId="reader-word-layer">
    <w:name w:val="reader-word-layer"/>
    <w:basedOn w:val="Normal"/>
    <w:uiPriority w:val="99"/>
    <w:qFormat/>
    <w:rsid w:val="00365AE8"/>
    <w:pPr>
      <w:spacing w:before="100" w:beforeAutospacing="1" w:after="100" w:afterAutospacing="1"/>
    </w:pPr>
    <w:rPr>
      <w:rFonts w:ascii="SimSun" w:eastAsia="t" w:hAnsi="SimSun" w:cs="SimSun"/>
      <w:sz w:val="24"/>
      <w:lang w:val="en-US" w:eastAsia="zh-CN"/>
    </w:rPr>
  </w:style>
  <w:style w:type="character" w:customStyle="1" w:styleId="1Char0">
    <w:name w:val="样式1 Char"/>
    <w:link w:val="1f1"/>
    <w:qFormat/>
    <w:locked/>
    <w:rsid w:val="00365AE8"/>
    <w:rPr>
      <w:rFonts w:ascii="Microsoft YaHei" w:eastAsia="Microsoft YaHei" w:hAnsi="Microsoft YaHei"/>
      <w:b/>
      <w:szCs w:val="22"/>
    </w:rPr>
  </w:style>
  <w:style w:type="paragraph" w:customStyle="1" w:styleId="1f1">
    <w:name w:val="样式1"/>
    <w:basedOn w:val="Normal"/>
    <w:link w:val="1Char0"/>
    <w:qFormat/>
    <w:rsid w:val="00365AE8"/>
    <w:pPr>
      <w:snapToGrid w:val="0"/>
      <w:spacing w:before="120" w:afterLines="50"/>
      <w:jc w:val="both"/>
    </w:pPr>
    <w:rPr>
      <w:rFonts w:ascii="Microsoft YaHei" w:eastAsia="Microsoft YaHei" w:hAnsi="Microsoft YaHei"/>
      <w:b/>
      <w:szCs w:val="22"/>
      <w:lang w:eastAsia="en-GB"/>
    </w:rPr>
  </w:style>
  <w:style w:type="paragraph" w:customStyle="1" w:styleId="04Proposal1">
    <w:name w:val="04_Proposal1"/>
    <w:basedOn w:val="Normal"/>
    <w:uiPriority w:val="99"/>
    <w:qFormat/>
    <w:rsid w:val="00365AE8"/>
    <w:pPr>
      <w:spacing w:after="200" w:line="276" w:lineRule="auto"/>
    </w:pPr>
    <w:rPr>
      <w:rFonts w:ascii="Times New Roman" w:eastAsia="t" w:hAnsi="Times New Roman"/>
      <w:bCs/>
      <w:i/>
      <w:iCs/>
      <w:szCs w:val="22"/>
      <w:lang w:val="en-US" w:eastAsia="zh-CN"/>
    </w:rPr>
  </w:style>
  <w:style w:type="paragraph" w:customStyle="1" w:styleId="1f2">
    <w:name w:val="普通(网站)1"/>
    <w:basedOn w:val="Normal"/>
    <w:uiPriority w:val="99"/>
    <w:semiHidden/>
    <w:qFormat/>
    <w:rsid w:val="00365AE8"/>
    <w:pPr>
      <w:spacing w:before="100" w:beforeAutospacing="1" w:after="100" w:afterAutospacing="1"/>
    </w:pPr>
    <w:rPr>
      <w:rFonts w:ascii="Times New Roman" w:eastAsia="Calibri" w:hAnsi="Times New Roman"/>
      <w:sz w:val="24"/>
      <w:lang w:val="en-US" w:eastAsia="zh-CN"/>
    </w:rPr>
  </w:style>
  <w:style w:type="paragraph" w:customStyle="1" w:styleId="43">
    <w:name w:val="正文4"/>
    <w:uiPriority w:val="99"/>
    <w:qFormat/>
    <w:rsid w:val="00365AE8"/>
    <w:pPr>
      <w:spacing w:before="100" w:beforeAutospacing="1" w:after="180" w:line="252" w:lineRule="auto"/>
    </w:pPr>
    <w:rPr>
      <w:rFonts w:eastAsia="SimSun"/>
      <w:sz w:val="24"/>
      <w:szCs w:val="24"/>
      <w:lang w:val="en-US" w:eastAsia="zh-CN"/>
    </w:rPr>
  </w:style>
  <w:style w:type="paragraph" w:customStyle="1" w:styleId="5b">
    <w:name w:val="正文5"/>
    <w:uiPriority w:val="99"/>
    <w:qFormat/>
    <w:rsid w:val="00365AE8"/>
    <w:pPr>
      <w:spacing w:before="100" w:beforeAutospacing="1" w:after="180" w:line="252" w:lineRule="auto"/>
    </w:pPr>
    <w:rPr>
      <w:rFonts w:eastAsia="Times New Roman"/>
      <w:sz w:val="24"/>
      <w:szCs w:val="24"/>
      <w:lang w:val="en-US" w:eastAsia="zh-CN"/>
    </w:rPr>
  </w:style>
  <w:style w:type="paragraph" w:customStyle="1" w:styleId="PatAppBody">
    <w:name w:val="PatApp Body"/>
    <w:basedOn w:val="Normal"/>
    <w:uiPriority w:val="99"/>
    <w:qFormat/>
    <w:rsid w:val="00365AE8"/>
    <w:pPr>
      <w:numPr>
        <w:numId w:val="77"/>
      </w:numPr>
      <w:spacing w:after="200" w:line="276" w:lineRule="auto"/>
    </w:pPr>
    <w:rPr>
      <w:rFonts w:ascii="Times New Roman" w:eastAsia="t" w:hAnsi="Times New Roman"/>
      <w:szCs w:val="22"/>
      <w:lang w:val="en-US" w:eastAsia="zh-CN"/>
    </w:rPr>
  </w:style>
  <w:style w:type="paragraph" w:customStyle="1" w:styleId="03Proposal">
    <w:name w:val="03_Proposal"/>
    <w:basedOn w:val="04Proposal1"/>
    <w:qFormat/>
    <w:rsid w:val="00365AE8"/>
    <w:rPr>
      <w:b/>
      <w:i w:val="0"/>
      <w:iCs w:val="0"/>
    </w:rPr>
  </w:style>
  <w:style w:type="paragraph" w:customStyle="1" w:styleId="PatAppl">
    <w:name w:val="Pat Appl"/>
    <w:basedOn w:val="PatAppBody"/>
    <w:qFormat/>
    <w:rsid w:val="00365AE8"/>
    <w:pPr>
      <w:spacing w:after="0"/>
    </w:pPr>
  </w:style>
  <w:style w:type="character" w:customStyle="1" w:styleId="emailstyle121">
    <w:name w:val="emailstyle121"/>
    <w:semiHidden/>
    <w:rsid w:val="00365AE8"/>
    <w:rPr>
      <w:rFonts w:ascii="Nirmala UI" w:hAnsi="Nirmala UI" w:cs="Arial" w:hint="default"/>
      <w:color w:val="auto"/>
      <w:sz w:val="20"/>
      <w:szCs w:val="22"/>
    </w:rPr>
  </w:style>
  <w:style w:type="character" w:customStyle="1" w:styleId="1-2Char">
    <w:name w:val="中等深浅网格 1 - 强调文字颜色 2 Char"/>
    <w:uiPriority w:val="34"/>
    <w:qFormat/>
    <w:locked/>
    <w:rsid w:val="00365AE8"/>
    <w:rPr>
      <w:rFonts w:ascii="Times New Roman" w:hAnsi="Times New Roman" w:cs="Times New Roman" w:hint="default"/>
      <w:kern w:val="2"/>
      <w:sz w:val="21"/>
      <w:szCs w:val="24"/>
    </w:rPr>
  </w:style>
  <w:style w:type="character" w:customStyle="1" w:styleId="word">
    <w:name w:val="word"/>
    <w:basedOn w:val="DefaultParagraphFont"/>
    <w:qFormat/>
    <w:rsid w:val="00365AE8"/>
  </w:style>
  <w:style w:type="character" w:customStyle="1" w:styleId="high-light">
    <w:name w:val="high-light"/>
    <w:basedOn w:val="DefaultParagraphFont"/>
    <w:qFormat/>
    <w:rsid w:val="00365AE8"/>
  </w:style>
  <w:style w:type="character" w:customStyle="1" w:styleId="pos">
    <w:name w:val="pos"/>
    <w:basedOn w:val="DefaultParagraphFont"/>
    <w:qFormat/>
    <w:rsid w:val="00365AE8"/>
  </w:style>
  <w:style w:type="character" w:customStyle="1" w:styleId="1f3">
    <w:name w:val="占位符文本1"/>
    <w:uiPriority w:val="99"/>
    <w:qFormat/>
    <w:rsid w:val="00365AE8"/>
    <w:rPr>
      <w:color w:val="808080"/>
    </w:rPr>
  </w:style>
  <w:style w:type="character" w:customStyle="1" w:styleId="PlaceholderText1">
    <w:name w:val="Placeholder Text1"/>
    <w:uiPriority w:val="99"/>
    <w:semiHidden/>
    <w:qFormat/>
    <w:rsid w:val="00365AE8"/>
    <w:rPr>
      <w:color w:val="808080"/>
    </w:rPr>
  </w:style>
  <w:style w:type="table" w:styleId="MediumGrid1-Accent2">
    <w:name w:val="Medium Grid 1 Accent 2"/>
    <w:basedOn w:val="TableNormal"/>
    <w:uiPriority w:val="34"/>
    <w:semiHidden/>
    <w:unhideWhenUsed/>
    <w:qFormat/>
    <w:rsid w:val="00365AE8"/>
    <w:rPr>
      <w:rFonts w:eastAsia="SimSun"/>
      <w:kern w:val="2"/>
      <w:sz w:val="21"/>
      <w:szCs w:val="24"/>
      <w:lang w:eastAsia="zh-CN"/>
    </w:rPr>
    <w:tblPr>
      <w:tblInd w:w="0" w:type="nil"/>
      <w:tblBorders>
        <w:top w:val="single" w:sz="8" w:space="0" w:color="CF7B79"/>
        <w:left w:val="single" w:sz="8" w:space="0" w:color="CF7B79"/>
        <w:bottom w:val="single" w:sz="8" w:space="0" w:color="CF7B79"/>
        <w:right w:val="single" w:sz="8" w:space="0" w:color="CF7B79"/>
        <w:insideH w:val="single" w:sz="8" w:space="0" w:color="CF7B79"/>
        <w:insideV w:val="single" w:sz="8" w:space="0" w:color="CF7B79"/>
      </w:tblBorders>
    </w:tblPr>
    <w:tcPr>
      <w:shd w:val="clear" w:color="auto" w:fill="EFD3D2"/>
    </w:tcPr>
    <w:tblStylePr w:type="firstRow">
      <w:rPr>
        <w:b/>
        <w:bCs/>
      </w:rPr>
    </w:tblStylePr>
    <w:tblStylePr w:type="lastRow">
      <w:rPr>
        <w:b/>
        <w:bCs/>
      </w:rPr>
      <w:tblPr/>
      <w:tcPr>
        <w:tcBorders>
          <w:top w:val="single" w:sz="18" w:space="0" w:color="CF7B79"/>
          <w:left w:val="nil"/>
          <w:bottom w:val="nil"/>
          <w:right w:val="nil"/>
          <w:insideH w:val="nil"/>
          <w:insideV w:val="nil"/>
          <w:tl2br w:val="nil"/>
          <w:tr2bl w:val="nil"/>
        </w:tcBorders>
      </w:tcPr>
    </w:tblStylePr>
    <w:tblStylePr w:type="firstCol">
      <w:rPr>
        <w:b/>
        <w:bCs/>
      </w:rPr>
    </w:tblStylePr>
    <w:tblStylePr w:type="lastCol">
      <w:rPr>
        <w:b/>
        <w:bCs/>
      </w:rPr>
    </w:tblStylePr>
    <w:tblStylePr w:type="band1Vert">
      <w:tblPr/>
      <w:tcPr>
        <w:shd w:val="clear" w:color="auto" w:fill="DFA7A6"/>
      </w:tcPr>
    </w:tblStylePr>
    <w:tblStylePr w:type="band1Horz">
      <w:tblPr/>
      <w:tcPr>
        <w:shd w:val="clear" w:color="auto" w:fill="DFA7A6"/>
      </w:tcPr>
    </w:tblStylePr>
  </w:style>
  <w:style w:type="table" w:customStyle="1" w:styleId="1f4">
    <w:name w:val="普通表格1"/>
    <w:semiHidden/>
    <w:qFormat/>
    <w:rsid w:val="00365AE8"/>
    <w:rPr>
      <w:rFonts w:eastAsia="Times New Roman"/>
      <w:lang w:val="en-US" w:eastAsia="zh-CN"/>
    </w:rPr>
    <w:tblPr>
      <w:tblCellMar>
        <w:top w:w="0" w:type="dxa"/>
        <w:left w:w="108" w:type="dxa"/>
        <w:bottom w:w="0" w:type="dxa"/>
        <w:right w:w="108" w:type="dxa"/>
      </w:tblCellMar>
    </w:tblPr>
  </w:style>
  <w:style w:type="table" w:customStyle="1" w:styleId="TableGrid210">
    <w:name w:val="Table Grid21"/>
    <w:basedOn w:val="TableNormal"/>
    <w:uiPriority w:val="59"/>
    <w:qFormat/>
    <w:rsid w:val="00365AE8"/>
    <w:rPr>
      <w:rFonts w:eastAsia="Times New Roman"/>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7">
    <w:name w:val="@他3"/>
    <w:uiPriority w:val="99"/>
    <w:unhideWhenUsed/>
    <w:rsid w:val="00365AE8"/>
    <w:rPr>
      <w:color w:val="2B579A"/>
      <w:shd w:val="clear" w:color="auto" w:fill="E1DFDD"/>
    </w:rPr>
  </w:style>
  <w:style w:type="numbering" w:customStyle="1" w:styleId="1f5">
    <w:name w:val="无列表1"/>
    <w:next w:val="NoList"/>
    <w:uiPriority w:val="99"/>
    <w:semiHidden/>
    <w:unhideWhenUsed/>
    <w:rsid w:val="00365AE8"/>
  </w:style>
  <w:style w:type="table" w:customStyle="1" w:styleId="4-11">
    <w:name w:val="网格表 4 - 着色 11"/>
    <w:basedOn w:val="TableNormal"/>
    <w:uiPriority w:val="49"/>
    <w:rsid w:val="00365AE8"/>
    <w:rPr>
      <w:rFonts w:ascii="Calibri" w:eastAsia="SimSun" w:hAnsi="Calibri" w:cs="Arial"/>
      <w:sz w:val="22"/>
      <w:szCs w:val="22"/>
      <w:lang w:eastAsia="zh-CN"/>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character" w:customStyle="1" w:styleId="Charf1">
    <w:name w:val="正文文本 Char"/>
    <w:basedOn w:val="DefaultParagraphFont"/>
    <w:rsid w:val="00365AE8"/>
  </w:style>
  <w:style w:type="table" w:customStyle="1" w:styleId="220">
    <w:name w:val="网格型22"/>
    <w:basedOn w:val="TableNormal"/>
    <w:next w:val="TableGrid"/>
    <w:uiPriority w:val="39"/>
    <w:qFormat/>
    <w:rsid w:val="00365AE8"/>
    <w:pPr>
      <w:widowControl w:val="0"/>
      <w:autoSpaceDE w:val="0"/>
      <w:autoSpaceDN w:val="0"/>
      <w:adjustRightInd w:val="0"/>
      <w:spacing w:after="120"/>
      <w:jc w:val="both"/>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itle1">
    <w:name w:val="title 1"/>
    <w:basedOn w:val="Heading1"/>
    <w:next w:val="Normal"/>
    <w:qFormat/>
    <w:rsid w:val="00365AE8"/>
    <w:pPr>
      <w:keepLines/>
      <w:numPr>
        <w:numId w:val="78"/>
      </w:numPr>
      <w:pBdr>
        <w:top w:val="single" w:sz="12" w:space="3" w:color="auto"/>
      </w:pBdr>
      <w:overflowPunct w:val="0"/>
      <w:autoSpaceDE w:val="0"/>
      <w:autoSpaceDN w:val="0"/>
      <w:adjustRightInd w:val="0"/>
      <w:spacing w:beforeLines="50" w:before="120" w:afterLines="50" w:after="120"/>
      <w:ind w:left="425"/>
      <w:textAlignment w:val="baseline"/>
    </w:pPr>
    <w:rPr>
      <w:rFonts w:eastAsia="SimSun" w:cs="Times New Roman"/>
      <w:b w:val="0"/>
      <w:bCs w:val="0"/>
      <w:kern w:val="0"/>
      <w:sz w:val="36"/>
      <w:szCs w:val="20"/>
      <w:lang w:val="en-US" w:eastAsia="zh-CN"/>
    </w:rPr>
  </w:style>
  <w:style w:type="paragraph" w:customStyle="1" w:styleId="title2">
    <w:name w:val="title 2"/>
    <w:basedOn w:val="Heading2"/>
    <w:next w:val="Normal"/>
    <w:link w:val="title2Char"/>
    <w:qFormat/>
    <w:rsid w:val="00365AE8"/>
    <w:pPr>
      <w:numPr>
        <w:numId w:val="78"/>
      </w:numPr>
      <w:jc w:val="both"/>
    </w:pPr>
    <w:rPr>
      <w:rFonts w:eastAsia="Arial"/>
      <w:b w:val="0"/>
      <w:i w:val="0"/>
      <w:sz w:val="28"/>
      <w:lang w:val="en-US" w:eastAsia="zh-CN"/>
    </w:rPr>
  </w:style>
  <w:style w:type="paragraph" w:customStyle="1" w:styleId="title3">
    <w:name w:val="title 3"/>
    <w:basedOn w:val="title2"/>
    <w:next w:val="Normal"/>
    <w:qFormat/>
    <w:rsid w:val="00365AE8"/>
    <w:pPr>
      <w:numPr>
        <w:ilvl w:val="2"/>
      </w:numPr>
      <w:tabs>
        <w:tab w:val="num" w:pos="360"/>
      </w:tabs>
      <w:ind w:left="1224" w:hanging="504"/>
    </w:pPr>
    <w:rPr>
      <w:sz w:val="22"/>
    </w:rPr>
  </w:style>
  <w:style w:type="character" w:customStyle="1" w:styleId="title2Char">
    <w:name w:val="title 2 Char"/>
    <w:link w:val="title2"/>
    <w:rsid w:val="00365AE8"/>
    <w:rPr>
      <w:rFonts w:ascii="Arial" w:eastAsia="Arial" w:hAnsi="Arial" w:cs="Arial"/>
      <w:bCs/>
      <w:iCs/>
      <w:sz w:val="28"/>
      <w:szCs w:val="28"/>
      <w:lang w:val="en-US" w:eastAsia="zh-CN"/>
    </w:rPr>
  </w:style>
  <w:style w:type="numbering" w:customStyle="1" w:styleId="StyleBulletedSymbolsymbolLeft025Hanging02537">
    <w:name w:val="Style Bulleted Symbol (symbol) Left:  0.25&quot; Hanging:  0.25&quot;37"/>
    <w:basedOn w:val="NoList"/>
    <w:rsid w:val="0066543D"/>
  </w:style>
  <w:style w:type="numbering" w:customStyle="1" w:styleId="StyleBulleted15">
    <w:name w:val="Style Bulleted15"/>
    <w:rsid w:val="00A24FB0"/>
  </w:style>
  <w:style w:type="numbering" w:customStyle="1" w:styleId="StyleBulleted16">
    <w:name w:val="Style Bulleted16"/>
    <w:rsid w:val="005502F0"/>
  </w:style>
  <w:style w:type="numbering" w:customStyle="1" w:styleId="StyleBulletedSymbolsymbolLeft025Hanging02538">
    <w:name w:val="Style Bulleted Symbol (symbol) Left:  0.25&quot; Hanging:  0.25&quot;38"/>
    <w:basedOn w:val="NoList"/>
    <w:rsid w:val="005502F0"/>
  </w:style>
  <w:style w:type="numbering" w:customStyle="1" w:styleId="StyleBulletedSymbolsymbolLeft025Hanging02539">
    <w:name w:val="Style Bulleted Symbol (symbol) Left:  0.25&quot; Hanging:  0.25&quot;39"/>
    <w:basedOn w:val="NoList"/>
    <w:rsid w:val="00D87BDC"/>
  </w:style>
  <w:style w:type="table" w:customStyle="1" w:styleId="TableGrid200">
    <w:name w:val="TableGrid20"/>
    <w:basedOn w:val="TableNormal"/>
    <w:next w:val="TableGrid"/>
    <w:uiPriority w:val="39"/>
    <w:qFormat/>
    <w:rsid w:val="00BA7FA7"/>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a">
    <w:name w:val="Char Char1 Char Char Char Char Char Char Char Char Char Char Char Char Char Char Char"/>
    <w:semiHidden/>
    <w:rsid w:val="00BA7FA7"/>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numbering" w:customStyle="1" w:styleId="StyleBulleted17">
    <w:name w:val="Style Bulleted17"/>
    <w:rsid w:val="00BA7FA7"/>
  </w:style>
  <w:style w:type="character" w:customStyle="1" w:styleId="5c">
    <w:name w:val="(文字) (文字)5"/>
    <w:semiHidden/>
    <w:rsid w:val="00BA7FA7"/>
    <w:rPr>
      <w:rFonts w:ascii="Times New Roman" w:hAnsi="Times New Roman"/>
      <w:lang w:eastAsia="en-US"/>
    </w:rPr>
  </w:style>
  <w:style w:type="numbering" w:customStyle="1" w:styleId="StyleBulletedSymbolsymbolLeft025Hanging014">
    <w:name w:val="Style Bulleted Symbol (symbol) Left:  0.25&quot; Hanging:  0.14"/>
    <w:basedOn w:val="NoList"/>
    <w:rsid w:val="00BA7FA7"/>
  </w:style>
  <w:style w:type="table" w:customStyle="1" w:styleId="ColorfulList-Accent131">
    <w:name w:val="Colorful List - Accent 131"/>
    <w:basedOn w:val="TableNormal"/>
    <w:next w:val="ColorfulList-Accent1"/>
    <w:uiPriority w:val="34"/>
    <w:rsid w:val="00BA7FA7"/>
    <w:rPr>
      <w:rFonts w:ascii="Malgun Gothic" w:eastAsia="MS Gothic" w:hAnsi="Malgun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3">
    <w:name w:val="Grid Table 4 - Accent 533"/>
    <w:basedOn w:val="TableNormal"/>
    <w:next w:val="GridTable4-Accent5"/>
    <w:uiPriority w:val="49"/>
    <w:rsid w:val="00BA7FA7"/>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40">
    <w:name w:val="Style Bulleted Symbol (symbol) Left:  0.25&quot; Hanging:  0.25&quot;40"/>
    <w:basedOn w:val="NoList"/>
    <w:rsid w:val="00BA7FA7"/>
  </w:style>
  <w:style w:type="numbering" w:customStyle="1" w:styleId="StyleBulletedSymbolsymbolLeft025Hanging025117">
    <w:name w:val="Style Bulleted Symbol (symbol) Left:  0.25&quot; Hanging:  0.25&quot;117"/>
    <w:basedOn w:val="NoList"/>
    <w:rsid w:val="00BA7FA7"/>
  </w:style>
  <w:style w:type="numbering" w:customStyle="1" w:styleId="StyleBulletedSymbolsymbolLeft025Hanging025214">
    <w:name w:val="Style Bulleted Symbol (symbol) Left:  0.25&quot; Hanging:  0.25&quot;214"/>
    <w:basedOn w:val="NoList"/>
    <w:rsid w:val="00BA7FA7"/>
  </w:style>
  <w:style w:type="table" w:customStyle="1" w:styleId="TableGrid32">
    <w:name w:val="TableGrid32"/>
    <w:basedOn w:val="TableNormal"/>
    <w:next w:val="TableGrid"/>
    <w:uiPriority w:val="39"/>
    <w:qFormat/>
    <w:rsid w:val="00BA7FA7"/>
    <w:rPr>
      <w:rFonts w:ascii="Calibri" w:eastAsia="SimSun" w:hAnsi="Calibri" w:cs="Arial"/>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PlainTable312">
    <w:name w:val="Plain Table 312"/>
    <w:basedOn w:val="TableNormal"/>
    <w:uiPriority w:val="43"/>
    <w:qFormat/>
    <w:rsid w:val="00BA7FA7"/>
    <w:rPr>
      <w:rFonts w:ascii="CG Times (WN)" w:eastAsia="SimSun" w:hAnsi="CG Times (WN)"/>
      <w:lang w:eastAsia="zh-CN"/>
    </w:rPr>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table" w:customStyle="1" w:styleId="ListTable1Light-Accent112">
    <w:name w:val="List Table 1 Light - Accent 112"/>
    <w:basedOn w:val="TableNormal"/>
    <w:uiPriority w:val="46"/>
    <w:qFormat/>
    <w:rsid w:val="00BA7FA7"/>
    <w:rPr>
      <w:rFonts w:ascii="CG Times (WN)" w:eastAsia="SimSun" w:hAnsi="CG Times (WN)"/>
      <w:lang w:eastAsia="zh-CN"/>
    </w:rPr>
    <w:tblPr/>
    <w:tblStylePr w:type="firstRow">
      <w:rPr>
        <w:b/>
        <w:bCs/>
      </w:rPr>
      <w:tblPr/>
      <w:tcPr>
        <w:tcBorders>
          <w:bottom w:val="single" w:sz="4" w:space="0" w:color="9CC2E5"/>
        </w:tcBorders>
      </w:tcPr>
    </w:tblStylePr>
    <w:tblStylePr w:type="lastRow">
      <w:rPr>
        <w:b/>
        <w:bCs/>
      </w:rPr>
      <w:tblPr/>
      <w:tcPr>
        <w:tcBorders>
          <w:top w:val="sing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GridTable4-Accent5113">
    <w:name w:val="Grid Table 4 - Accent 5113"/>
    <w:basedOn w:val="TableNormal"/>
    <w:uiPriority w:val="49"/>
    <w:qFormat/>
    <w:rsid w:val="00BA7FA7"/>
    <w:rPr>
      <w:rFonts w:ascii="CG Times (WN)" w:eastAsia="SimSun" w:hAnsi="CG Times (WN)"/>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6Colorful-Accent515">
    <w:name w:val="Grid Table 6 Colorful - Accent 515"/>
    <w:basedOn w:val="TableNormal"/>
    <w:uiPriority w:val="51"/>
    <w:qFormat/>
    <w:rsid w:val="00BA7FA7"/>
    <w:rPr>
      <w:rFonts w:ascii="CG Times (WN)" w:eastAsia="SimSun" w:hAnsi="CG Times (WN)"/>
      <w:color w:val="2F5496"/>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bottom w:val="single" w:sz="12" w:space="0" w:color="8EAADB"/>
        </w:tcBorders>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ListTable3-Accent512">
    <w:name w:val="List Table 3 - Accent 512"/>
    <w:basedOn w:val="TableNormal"/>
    <w:uiPriority w:val="48"/>
    <w:qFormat/>
    <w:rsid w:val="00BA7FA7"/>
    <w:rPr>
      <w:rFonts w:ascii="CG Times (WN)" w:eastAsia="SimSun" w:hAnsi="CG Times (WN)"/>
      <w:lang w:eastAsia="zh-CN"/>
    </w:rPr>
    <w:tblPr>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customStyle="1" w:styleId="PlainTable212">
    <w:name w:val="Plain Table 212"/>
    <w:basedOn w:val="TableNormal"/>
    <w:uiPriority w:val="42"/>
    <w:qFormat/>
    <w:rsid w:val="00BA7FA7"/>
    <w:rPr>
      <w:rFonts w:ascii="CG Times (WN)" w:eastAsia="SimSun" w:hAnsi="CG Times (WN)"/>
      <w:lang w:eastAsia="zh-CN"/>
    </w:rPr>
    <w:tblPr>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TableGrid112">
    <w:name w:val="TableGrid112"/>
    <w:basedOn w:val="TableNormal"/>
    <w:uiPriority w:val="39"/>
    <w:qFormat/>
    <w:rsid w:val="00BA7FA7"/>
    <w:rPr>
      <w:rFonts w:ascii="Calibri" w:eastAsia="Calibri" w:hAnsi="Calibri"/>
      <w:sz w:val="22"/>
      <w:szCs w:val="22"/>
      <w:lang w:val="de-DE"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网格型15"/>
    <w:basedOn w:val="TableNormal"/>
    <w:uiPriority w:val="39"/>
    <w:qFormat/>
    <w:rsid w:val="00BA7FA7"/>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PlainTable3111">
    <w:name w:val="Plain Table 3111"/>
    <w:basedOn w:val="TableNormal"/>
    <w:uiPriority w:val="43"/>
    <w:qFormat/>
    <w:rsid w:val="00BA7FA7"/>
    <w:rPr>
      <w:rFonts w:ascii="CG Times (WN)" w:eastAsia="SimSun" w:hAnsi="CG Times (WN)"/>
      <w:lang w:eastAsia="zh-CN"/>
    </w:rPr>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table" w:customStyle="1" w:styleId="ListTable1Light-Accent1111">
    <w:name w:val="List Table 1 Light - Accent 1111"/>
    <w:basedOn w:val="TableNormal"/>
    <w:uiPriority w:val="46"/>
    <w:qFormat/>
    <w:rsid w:val="00BA7FA7"/>
    <w:rPr>
      <w:rFonts w:ascii="CG Times (WN)" w:eastAsia="SimSun" w:hAnsi="CG Times (WN)"/>
      <w:lang w:eastAsia="zh-CN"/>
    </w:rPr>
    <w:tblPr/>
    <w:tblStylePr w:type="firstRow">
      <w:rPr>
        <w:b/>
        <w:bCs/>
      </w:rPr>
      <w:tblPr/>
      <w:tcPr>
        <w:tcBorders>
          <w:bottom w:val="single" w:sz="4" w:space="0" w:color="9CC2E5"/>
        </w:tcBorders>
      </w:tcPr>
    </w:tblStylePr>
    <w:tblStylePr w:type="lastRow">
      <w:rPr>
        <w:b/>
        <w:bCs/>
      </w:rPr>
      <w:tblPr/>
      <w:tcPr>
        <w:tcBorders>
          <w:top w:val="sing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GridTable4-Accent5114">
    <w:name w:val="Grid Table 4 - Accent 5114"/>
    <w:basedOn w:val="TableNormal"/>
    <w:uiPriority w:val="49"/>
    <w:qFormat/>
    <w:rsid w:val="00BA7FA7"/>
    <w:rPr>
      <w:rFonts w:ascii="CG Times (WN)" w:eastAsia="SimSun" w:hAnsi="CG Times (WN)"/>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6Colorful-Accent5112">
    <w:name w:val="Grid Table 6 Colorful - Accent 5112"/>
    <w:basedOn w:val="TableNormal"/>
    <w:uiPriority w:val="51"/>
    <w:qFormat/>
    <w:rsid w:val="00BA7FA7"/>
    <w:rPr>
      <w:rFonts w:ascii="CG Times (WN)" w:eastAsia="SimSun" w:hAnsi="CG Times (WN)"/>
      <w:color w:val="2F5496"/>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bottom w:val="single" w:sz="12" w:space="0" w:color="8EAADB"/>
        </w:tcBorders>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ListTable3-Accent5111">
    <w:name w:val="List Table 3 - Accent 5111"/>
    <w:basedOn w:val="TableNormal"/>
    <w:uiPriority w:val="48"/>
    <w:qFormat/>
    <w:rsid w:val="00BA7FA7"/>
    <w:rPr>
      <w:rFonts w:ascii="CG Times (WN)" w:eastAsia="SimSun" w:hAnsi="CG Times (WN)"/>
      <w:lang w:eastAsia="zh-CN"/>
    </w:rPr>
    <w:tblPr>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customStyle="1" w:styleId="PlainTable2111">
    <w:name w:val="Plain Table 2111"/>
    <w:basedOn w:val="TableNormal"/>
    <w:uiPriority w:val="42"/>
    <w:qFormat/>
    <w:rsid w:val="00BA7FA7"/>
    <w:rPr>
      <w:rFonts w:ascii="CG Times (WN)" w:eastAsia="SimSun" w:hAnsi="CG Times (WN)"/>
      <w:lang w:eastAsia="zh-CN"/>
    </w:rPr>
    <w:tblPr>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TableGrid113">
    <w:name w:val="TableGrid113"/>
    <w:basedOn w:val="TableNormal"/>
    <w:uiPriority w:val="39"/>
    <w:qFormat/>
    <w:rsid w:val="00BA7FA7"/>
    <w:rPr>
      <w:rFonts w:ascii="Calibri" w:eastAsia="Calibri" w:hAnsi="Calibri"/>
      <w:sz w:val="22"/>
      <w:szCs w:val="22"/>
      <w:lang w:val="de-DE"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uiPriority w:val="59"/>
    <w:qFormat/>
    <w:rsid w:val="00BA7FA7"/>
    <w:rPr>
      <w:rFonts w:eastAsia="Times New Roman"/>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表 4 - 着色 111"/>
    <w:basedOn w:val="TableNormal"/>
    <w:uiPriority w:val="49"/>
    <w:rsid w:val="00BA7FA7"/>
    <w:rPr>
      <w:rFonts w:ascii="Calibri" w:eastAsia="SimSun" w:hAnsi="Calibri" w:cs="Arial"/>
      <w:sz w:val="22"/>
      <w:szCs w:val="22"/>
      <w:lang w:eastAsia="zh-CN"/>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230">
    <w:name w:val="网格型23"/>
    <w:basedOn w:val="TableNormal"/>
    <w:next w:val="TableGrid"/>
    <w:uiPriority w:val="39"/>
    <w:qFormat/>
    <w:rsid w:val="00BA7FA7"/>
    <w:pPr>
      <w:widowControl w:val="0"/>
      <w:autoSpaceDE w:val="0"/>
      <w:autoSpaceDN w:val="0"/>
      <w:adjustRightInd w:val="0"/>
      <w:spacing w:after="120"/>
      <w:jc w:val="both"/>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0">
    <w:name w:val="Table Grid9"/>
    <w:basedOn w:val="TableNormal"/>
    <w:next w:val="TableGrid"/>
    <w:uiPriority w:val="39"/>
    <w:qFormat/>
    <w:rsid w:val="00326CEB"/>
    <w:pPr>
      <w:jc w:val="both"/>
    </w:pPr>
    <w:rPr>
      <w:rFonts w:ascii="Malgun Gothic" w:eastAsia="Malgun Gothic" w:hAnsi="Malgun Gothic"/>
      <w:kern w:val="2"/>
      <w:szCs w:val="22"/>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Grid21"/>
    <w:basedOn w:val="TableNormal"/>
    <w:next w:val="TableGrid"/>
    <w:uiPriority w:val="59"/>
    <w:qFormat/>
    <w:rsid w:val="00A43F2B"/>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b">
    <w:name w:val="Char Char1 Char Char Char Char Char Char Char Char Char Char Char Char Char Char Char"/>
    <w:semiHidden/>
    <w:rsid w:val="00A43F2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numbering" w:customStyle="1" w:styleId="StyleBulleted18">
    <w:name w:val="Style Bulleted18"/>
    <w:rsid w:val="00A43F2B"/>
  </w:style>
  <w:style w:type="character" w:customStyle="1" w:styleId="5d">
    <w:name w:val="(文字) (文字)5"/>
    <w:semiHidden/>
    <w:rsid w:val="00A43F2B"/>
    <w:rPr>
      <w:rFonts w:ascii="Times New Roman" w:hAnsi="Times New Roman"/>
      <w:lang w:eastAsia="en-US"/>
    </w:rPr>
  </w:style>
  <w:style w:type="numbering" w:customStyle="1" w:styleId="StyleBulletedSymbolsymbolLeft025Hanging015">
    <w:name w:val="Style Bulleted Symbol (symbol) Left:  0.25&quot; Hanging:  0.15"/>
    <w:basedOn w:val="NoList"/>
    <w:rsid w:val="00A43F2B"/>
  </w:style>
  <w:style w:type="table" w:customStyle="1" w:styleId="ColorfulList-Accent132">
    <w:name w:val="Colorful List - Accent 132"/>
    <w:basedOn w:val="TableNormal"/>
    <w:next w:val="ColorfulList-Accent1"/>
    <w:uiPriority w:val="34"/>
    <w:rsid w:val="00A43F2B"/>
    <w:rPr>
      <w:rFonts w:ascii="Malgun Gothic" w:eastAsia="MS Gothic" w:hAnsi="Malgun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4">
    <w:name w:val="Grid Table 4 - Accent 534"/>
    <w:basedOn w:val="TableNormal"/>
    <w:next w:val="GridTable4-Accent5"/>
    <w:uiPriority w:val="49"/>
    <w:rsid w:val="00A43F2B"/>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41">
    <w:name w:val="Style Bulleted Symbol (symbol) Left:  0.25&quot; Hanging:  0.25&quot;41"/>
    <w:basedOn w:val="NoList"/>
    <w:rsid w:val="00A43F2B"/>
  </w:style>
  <w:style w:type="numbering" w:customStyle="1" w:styleId="StyleBulletedSymbolsymbolLeft025Hanging025118">
    <w:name w:val="Style Bulleted Symbol (symbol) Left:  0.25&quot; Hanging:  0.25&quot;118"/>
    <w:basedOn w:val="NoList"/>
    <w:rsid w:val="00A43F2B"/>
  </w:style>
  <w:style w:type="numbering" w:customStyle="1" w:styleId="StyleBulletedSymbolsymbolLeft025Hanging025215">
    <w:name w:val="Style Bulleted Symbol (symbol) Left:  0.25&quot; Hanging:  0.25&quot;215"/>
    <w:basedOn w:val="NoList"/>
    <w:rsid w:val="00A43F2B"/>
  </w:style>
  <w:style w:type="table" w:customStyle="1" w:styleId="TableGrid33">
    <w:name w:val="TableGrid33"/>
    <w:basedOn w:val="TableNormal"/>
    <w:next w:val="TableGrid"/>
    <w:uiPriority w:val="39"/>
    <w:qFormat/>
    <w:rsid w:val="00A43F2B"/>
    <w:rPr>
      <w:rFonts w:ascii="Calibri" w:eastAsia="SimSun" w:hAnsi="Calibri" w:cs="Arial"/>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PlainTable313">
    <w:name w:val="Plain Table 313"/>
    <w:basedOn w:val="TableNormal"/>
    <w:uiPriority w:val="43"/>
    <w:qFormat/>
    <w:rsid w:val="00A43F2B"/>
    <w:rPr>
      <w:rFonts w:ascii="CG Times (WN)" w:eastAsia="SimSun" w:hAnsi="CG Times (WN)"/>
      <w:lang w:eastAsia="zh-CN"/>
    </w:rPr>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table" w:customStyle="1" w:styleId="ListTable1Light-Accent113">
    <w:name w:val="List Table 1 Light - Accent 113"/>
    <w:basedOn w:val="TableNormal"/>
    <w:uiPriority w:val="46"/>
    <w:qFormat/>
    <w:rsid w:val="00A43F2B"/>
    <w:rPr>
      <w:rFonts w:ascii="CG Times (WN)" w:eastAsia="SimSun" w:hAnsi="CG Times (WN)"/>
      <w:lang w:eastAsia="zh-CN"/>
    </w:rPr>
    <w:tblPr/>
    <w:tblStylePr w:type="firstRow">
      <w:rPr>
        <w:b/>
        <w:bCs/>
      </w:rPr>
      <w:tblPr/>
      <w:tcPr>
        <w:tcBorders>
          <w:bottom w:val="single" w:sz="4" w:space="0" w:color="9CC2E5"/>
        </w:tcBorders>
      </w:tcPr>
    </w:tblStylePr>
    <w:tblStylePr w:type="lastRow">
      <w:rPr>
        <w:b/>
        <w:bCs/>
      </w:rPr>
      <w:tblPr/>
      <w:tcPr>
        <w:tcBorders>
          <w:top w:val="sing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GridTable4-Accent5115">
    <w:name w:val="Grid Table 4 - Accent 5115"/>
    <w:basedOn w:val="TableNormal"/>
    <w:uiPriority w:val="49"/>
    <w:qFormat/>
    <w:rsid w:val="00A43F2B"/>
    <w:rPr>
      <w:rFonts w:ascii="CG Times (WN)" w:eastAsia="SimSun" w:hAnsi="CG Times (WN)"/>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6Colorful-Accent516">
    <w:name w:val="Grid Table 6 Colorful - Accent 516"/>
    <w:basedOn w:val="TableNormal"/>
    <w:uiPriority w:val="51"/>
    <w:qFormat/>
    <w:rsid w:val="00A43F2B"/>
    <w:rPr>
      <w:rFonts w:ascii="CG Times (WN)" w:eastAsia="SimSun" w:hAnsi="CG Times (WN)"/>
      <w:color w:val="2F5496"/>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bottom w:val="single" w:sz="12" w:space="0" w:color="8EAADB"/>
        </w:tcBorders>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ListTable3-Accent513">
    <w:name w:val="List Table 3 - Accent 513"/>
    <w:basedOn w:val="TableNormal"/>
    <w:uiPriority w:val="48"/>
    <w:qFormat/>
    <w:rsid w:val="00A43F2B"/>
    <w:rPr>
      <w:rFonts w:ascii="CG Times (WN)" w:eastAsia="SimSun" w:hAnsi="CG Times (WN)"/>
      <w:lang w:eastAsia="zh-CN"/>
    </w:rPr>
    <w:tblPr>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customStyle="1" w:styleId="PlainTable213">
    <w:name w:val="Plain Table 213"/>
    <w:basedOn w:val="TableNormal"/>
    <w:uiPriority w:val="42"/>
    <w:qFormat/>
    <w:rsid w:val="00A43F2B"/>
    <w:rPr>
      <w:rFonts w:ascii="CG Times (WN)" w:eastAsia="SimSun" w:hAnsi="CG Times (WN)"/>
      <w:lang w:eastAsia="zh-CN"/>
    </w:rPr>
    <w:tblPr>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TableGrid114">
    <w:name w:val="TableGrid114"/>
    <w:basedOn w:val="TableNormal"/>
    <w:uiPriority w:val="39"/>
    <w:qFormat/>
    <w:rsid w:val="00A43F2B"/>
    <w:rPr>
      <w:rFonts w:ascii="Calibri" w:eastAsia="Calibri" w:hAnsi="Calibri"/>
      <w:sz w:val="22"/>
      <w:szCs w:val="22"/>
      <w:lang w:val="de-DE"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网格型16"/>
    <w:basedOn w:val="TableNormal"/>
    <w:uiPriority w:val="39"/>
    <w:qFormat/>
    <w:rsid w:val="00A43F2B"/>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PlainTable3112">
    <w:name w:val="Plain Table 3112"/>
    <w:basedOn w:val="TableNormal"/>
    <w:uiPriority w:val="43"/>
    <w:qFormat/>
    <w:rsid w:val="00A43F2B"/>
    <w:rPr>
      <w:rFonts w:ascii="CG Times (WN)" w:eastAsia="SimSun" w:hAnsi="CG Times (WN)"/>
      <w:lang w:eastAsia="zh-CN"/>
    </w:rPr>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table" w:customStyle="1" w:styleId="ListTable1Light-Accent1112">
    <w:name w:val="List Table 1 Light - Accent 1112"/>
    <w:basedOn w:val="TableNormal"/>
    <w:uiPriority w:val="46"/>
    <w:qFormat/>
    <w:rsid w:val="00A43F2B"/>
    <w:rPr>
      <w:rFonts w:ascii="CG Times (WN)" w:eastAsia="SimSun" w:hAnsi="CG Times (WN)"/>
      <w:lang w:eastAsia="zh-CN"/>
    </w:rPr>
    <w:tblPr/>
    <w:tblStylePr w:type="firstRow">
      <w:rPr>
        <w:b/>
        <w:bCs/>
      </w:rPr>
      <w:tblPr/>
      <w:tcPr>
        <w:tcBorders>
          <w:bottom w:val="single" w:sz="4" w:space="0" w:color="9CC2E5"/>
        </w:tcBorders>
      </w:tcPr>
    </w:tblStylePr>
    <w:tblStylePr w:type="lastRow">
      <w:rPr>
        <w:b/>
        <w:bCs/>
      </w:rPr>
      <w:tblPr/>
      <w:tcPr>
        <w:tcBorders>
          <w:top w:val="sing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GridTable4-Accent5116">
    <w:name w:val="Grid Table 4 - Accent 5116"/>
    <w:basedOn w:val="TableNormal"/>
    <w:uiPriority w:val="49"/>
    <w:qFormat/>
    <w:rsid w:val="00A43F2B"/>
    <w:rPr>
      <w:rFonts w:ascii="CG Times (WN)" w:eastAsia="SimSun" w:hAnsi="CG Times (WN)"/>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6Colorful-Accent5113">
    <w:name w:val="Grid Table 6 Colorful - Accent 5113"/>
    <w:basedOn w:val="TableNormal"/>
    <w:uiPriority w:val="51"/>
    <w:qFormat/>
    <w:rsid w:val="00A43F2B"/>
    <w:rPr>
      <w:rFonts w:ascii="CG Times (WN)" w:eastAsia="SimSun" w:hAnsi="CG Times (WN)"/>
      <w:color w:val="2F5496"/>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bottom w:val="single" w:sz="12" w:space="0" w:color="8EAADB"/>
        </w:tcBorders>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ListTable3-Accent5112">
    <w:name w:val="List Table 3 - Accent 5112"/>
    <w:basedOn w:val="TableNormal"/>
    <w:uiPriority w:val="48"/>
    <w:qFormat/>
    <w:rsid w:val="00A43F2B"/>
    <w:rPr>
      <w:rFonts w:ascii="CG Times (WN)" w:eastAsia="SimSun" w:hAnsi="CG Times (WN)"/>
      <w:lang w:eastAsia="zh-CN"/>
    </w:rPr>
    <w:tblPr>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customStyle="1" w:styleId="PlainTable2112">
    <w:name w:val="Plain Table 2112"/>
    <w:basedOn w:val="TableNormal"/>
    <w:uiPriority w:val="42"/>
    <w:qFormat/>
    <w:rsid w:val="00A43F2B"/>
    <w:rPr>
      <w:rFonts w:ascii="CG Times (WN)" w:eastAsia="SimSun" w:hAnsi="CG Times (WN)"/>
      <w:lang w:eastAsia="zh-CN"/>
    </w:rPr>
    <w:tblPr>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TableGrid115">
    <w:name w:val="TableGrid115"/>
    <w:basedOn w:val="TableNormal"/>
    <w:uiPriority w:val="39"/>
    <w:qFormat/>
    <w:rsid w:val="00A43F2B"/>
    <w:rPr>
      <w:rFonts w:ascii="Calibri" w:eastAsia="Calibri" w:hAnsi="Calibri"/>
      <w:sz w:val="22"/>
      <w:szCs w:val="22"/>
      <w:lang w:val="de-DE"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uiPriority w:val="59"/>
    <w:qFormat/>
    <w:rsid w:val="00A43F2B"/>
    <w:rPr>
      <w:rFonts w:eastAsia="Times New Roman"/>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表 4 - 着色 112"/>
    <w:basedOn w:val="TableNormal"/>
    <w:uiPriority w:val="49"/>
    <w:rsid w:val="00A43F2B"/>
    <w:rPr>
      <w:rFonts w:ascii="Calibri" w:eastAsia="SimSun" w:hAnsi="Calibri" w:cs="Arial"/>
      <w:sz w:val="22"/>
      <w:szCs w:val="22"/>
      <w:lang w:eastAsia="zh-CN"/>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240">
    <w:name w:val="网格型24"/>
    <w:basedOn w:val="TableNormal"/>
    <w:next w:val="TableGrid"/>
    <w:uiPriority w:val="39"/>
    <w:qFormat/>
    <w:rsid w:val="00A43F2B"/>
    <w:pPr>
      <w:widowControl w:val="0"/>
      <w:autoSpaceDE w:val="0"/>
      <w:autoSpaceDN w:val="0"/>
      <w:adjustRightInd w:val="0"/>
      <w:spacing w:after="120"/>
      <w:jc w:val="both"/>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f01">
    <w:name w:val="cf01"/>
    <w:qFormat/>
    <w:rsid w:val="00A43F2B"/>
    <w:rPr>
      <w:rFonts w:ascii="Segoe UI" w:hAnsi="Segoe UI" w:cs="Segoe UI" w:hint="default"/>
      <w:sz w:val="18"/>
      <w:szCs w:val="18"/>
    </w:rPr>
  </w:style>
  <w:style w:type="character" w:customStyle="1" w:styleId="1f6">
    <w:name w:val="题注 字符1"/>
    <w:qFormat/>
    <w:rsid w:val="00A43F2B"/>
    <w:rPr>
      <w:rFonts w:ascii="Tahoma" w:eastAsia="MS Gothic" w:hAnsi="Tahoma"/>
      <w:sz w:val="24"/>
      <w:shd w:val="clear" w:color="auto" w:fill="000080"/>
      <w:lang w:val="en-GB" w:eastAsia="ja-JP"/>
    </w:rPr>
  </w:style>
  <w:style w:type="table" w:customStyle="1" w:styleId="TableGrid91">
    <w:name w:val="Table Grid91"/>
    <w:basedOn w:val="TableNormal"/>
    <w:uiPriority w:val="39"/>
    <w:qFormat/>
    <w:rsid w:val="00A43F2B"/>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f0">
    <w:name w:val="pf0"/>
    <w:basedOn w:val="Normal"/>
    <w:qFormat/>
    <w:rsid w:val="00A43F2B"/>
    <w:pPr>
      <w:spacing w:before="100" w:beforeAutospacing="1" w:after="100" w:afterAutospacing="1"/>
    </w:pPr>
    <w:rPr>
      <w:rFonts w:ascii="Times New Roman" w:eastAsia="Times New Roman" w:hAnsi="Times New Roman"/>
      <w:kern w:val="2"/>
      <w:sz w:val="24"/>
      <w:lang w:val="en-US" w:eastAsia="ko-KR"/>
    </w:rPr>
  </w:style>
  <w:style w:type="table" w:customStyle="1" w:styleId="TableGrid220">
    <w:name w:val="TableGrid22"/>
    <w:basedOn w:val="TableNormal"/>
    <w:next w:val="TableGrid"/>
    <w:uiPriority w:val="59"/>
    <w:qFormat/>
    <w:rsid w:val="00A43F2B"/>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numbering" w:customStyle="1" w:styleId="StyleBulleted19">
    <w:name w:val="Style Bulleted19"/>
    <w:rsid w:val="00A43F2B"/>
  </w:style>
  <w:style w:type="numbering" w:customStyle="1" w:styleId="StyleBulletedSymbolsymbolLeft025Hanging016">
    <w:name w:val="Style Bulleted Symbol (symbol) Left:  0.25&quot; Hanging:  0.16"/>
    <w:basedOn w:val="NoList"/>
    <w:rsid w:val="00A43F2B"/>
  </w:style>
  <w:style w:type="table" w:customStyle="1" w:styleId="ColorfulList-Accent133">
    <w:name w:val="Colorful List - Accent 133"/>
    <w:basedOn w:val="TableNormal"/>
    <w:next w:val="ColorfulList-Accent1"/>
    <w:uiPriority w:val="34"/>
    <w:rsid w:val="00A43F2B"/>
    <w:rPr>
      <w:rFonts w:ascii="Malgun Gothic" w:eastAsia="MS Gothic" w:hAnsi="Malgun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5">
    <w:name w:val="Grid Table 4 - Accent 535"/>
    <w:basedOn w:val="TableNormal"/>
    <w:next w:val="GridTable4-Accent5"/>
    <w:uiPriority w:val="49"/>
    <w:rsid w:val="00A43F2B"/>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42">
    <w:name w:val="Style Bulleted Symbol (symbol) Left:  0.25&quot; Hanging:  0.25&quot;42"/>
    <w:basedOn w:val="NoList"/>
    <w:rsid w:val="00A43F2B"/>
  </w:style>
  <w:style w:type="numbering" w:customStyle="1" w:styleId="StyleBulletedSymbolsymbolLeft025Hanging025119">
    <w:name w:val="Style Bulleted Symbol (symbol) Left:  0.25&quot; Hanging:  0.25&quot;119"/>
    <w:basedOn w:val="NoList"/>
    <w:rsid w:val="00A43F2B"/>
  </w:style>
  <w:style w:type="numbering" w:customStyle="1" w:styleId="StyleBulletedSymbolsymbolLeft025Hanging025216">
    <w:name w:val="Style Bulleted Symbol (symbol) Left:  0.25&quot; Hanging:  0.25&quot;216"/>
    <w:basedOn w:val="NoList"/>
    <w:rsid w:val="00A43F2B"/>
  </w:style>
  <w:style w:type="table" w:customStyle="1" w:styleId="TableGrid34">
    <w:name w:val="TableGrid34"/>
    <w:basedOn w:val="TableNormal"/>
    <w:next w:val="TableGrid"/>
    <w:uiPriority w:val="39"/>
    <w:qFormat/>
    <w:rsid w:val="00A43F2B"/>
    <w:rPr>
      <w:rFonts w:ascii="Calibri" w:eastAsia="SimSun" w:hAnsi="Calibri" w:cs="Arial"/>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PlainTable314">
    <w:name w:val="Plain Table 314"/>
    <w:basedOn w:val="TableNormal"/>
    <w:uiPriority w:val="43"/>
    <w:qFormat/>
    <w:rsid w:val="00A43F2B"/>
    <w:rPr>
      <w:rFonts w:ascii="CG Times (WN)" w:eastAsia="SimSun" w:hAnsi="CG Times (WN)"/>
      <w:lang w:eastAsia="zh-CN"/>
    </w:rPr>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table" w:customStyle="1" w:styleId="ListTable1Light-Accent114">
    <w:name w:val="List Table 1 Light - Accent 114"/>
    <w:basedOn w:val="TableNormal"/>
    <w:uiPriority w:val="46"/>
    <w:qFormat/>
    <w:rsid w:val="00A43F2B"/>
    <w:rPr>
      <w:rFonts w:ascii="CG Times (WN)" w:eastAsia="SimSun" w:hAnsi="CG Times (WN)"/>
      <w:lang w:eastAsia="zh-CN"/>
    </w:rPr>
    <w:tblPr/>
    <w:tblStylePr w:type="firstRow">
      <w:rPr>
        <w:b/>
        <w:bCs/>
      </w:rPr>
      <w:tblPr/>
      <w:tcPr>
        <w:tcBorders>
          <w:bottom w:val="single" w:sz="4" w:space="0" w:color="9CC2E5"/>
        </w:tcBorders>
      </w:tcPr>
    </w:tblStylePr>
    <w:tblStylePr w:type="lastRow">
      <w:rPr>
        <w:b/>
        <w:bCs/>
      </w:rPr>
      <w:tblPr/>
      <w:tcPr>
        <w:tcBorders>
          <w:top w:val="sing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GridTable4-Accent5117">
    <w:name w:val="Grid Table 4 - Accent 5117"/>
    <w:basedOn w:val="TableNormal"/>
    <w:uiPriority w:val="49"/>
    <w:qFormat/>
    <w:rsid w:val="00A43F2B"/>
    <w:rPr>
      <w:rFonts w:ascii="CG Times (WN)" w:eastAsia="SimSun" w:hAnsi="CG Times (WN)"/>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6Colorful-Accent517">
    <w:name w:val="Grid Table 6 Colorful - Accent 517"/>
    <w:basedOn w:val="TableNormal"/>
    <w:uiPriority w:val="51"/>
    <w:qFormat/>
    <w:rsid w:val="00A43F2B"/>
    <w:rPr>
      <w:rFonts w:ascii="CG Times (WN)" w:eastAsia="SimSun" w:hAnsi="CG Times (WN)"/>
      <w:color w:val="2F5496"/>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bottom w:val="single" w:sz="12" w:space="0" w:color="8EAADB"/>
        </w:tcBorders>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ListTable3-Accent514">
    <w:name w:val="List Table 3 - Accent 514"/>
    <w:basedOn w:val="TableNormal"/>
    <w:uiPriority w:val="48"/>
    <w:qFormat/>
    <w:rsid w:val="00A43F2B"/>
    <w:rPr>
      <w:rFonts w:ascii="CG Times (WN)" w:eastAsia="SimSun" w:hAnsi="CG Times (WN)"/>
      <w:lang w:eastAsia="zh-CN"/>
    </w:rPr>
    <w:tblPr>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customStyle="1" w:styleId="PlainTable214">
    <w:name w:val="Plain Table 214"/>
    <w:basedOn w:val="TableNormal"/>
    <w:uiPriority w:val="42"/>
    <w:qFormat/>
    <w:rsid w:val="00A43F2B"/>
    <w:rPr>
      <w:rFonts w:ascii="CG Times (WN)" w:eastAsia="SimSun" w:hAnsi="CG Times (WN)"/>
      <w:lang w:eastAsia="zh-CN"/>
    </w:rPr>
    <w:tblPr>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TableGrid116">
    <w:name w:val="TableGrid116"/>
    <w:basedOn w:val="TableNormal"/>
    <w:uiPriority w:val="39"/>
    <w:qFormat/>
    <w:rsid w:val="00A43F2B"/>
    <w:rPr>
      <w:rFonts w:ascii="Calibri" w:eastAsia="Calibri" w:hAnsi="Calibri"/>
      <w:sz w:val="22"/>
      <w:szCs w:val="22"/>
      <w:lang w:val="de-DE"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网格型17"/>
    <w:basedOn w:val="TableNormal"/>
    <w:uiPriority w:val="39"/>
    <w:qFormat/>
    <w:rsid w:val="00A43F2B"/>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PlainTable3113">
    <w:name w:val="Plain Table 3113"/>
    <w:basedOn w:val="TableNormal"/>
    <w:uiPriority w:val="43"/>
    <w:qFormat/>
    <w:rsid w:val="00A43F2B"/>
    <w:rPr>
      <w:rFonts w:ascii="CG Times (WN)" w:eastAsia="SimSun" w:hAnsi="CG Times (WN)"/>
      <w:lang w:eastAsia="zh-CN"/>
    </w:rPr>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table" w:customStyle="1" w:styleId="ListTable1Light-Accent1113">
    <w:name w:val="List Table 1 Light - Accent 1113"/>
    <w:basedOn w:val="TableNormal"/>
    <w:uiPriority w:val="46"/>
    <w:qFormat/>
    <w:rsid w:val="00A43F2B"/>
    <w:rPr>
      <w:rFonts w:ascii="CG Times (WN)" w:eastAsia="SimSun" w:hAnsi="CG Times (WN)"/>
      <w:lang w:eastAsia="zh-CN"/>
    </w:rPr>
    <w:tblPr/>
    <w:tblStylePr w:type="firstRow">
      <w:rPr>
        <w:b/>
        <w:bCs/>
      </w:rPr>
      <w:tblPr/>
      <w:tcPr>
        <w:tcBorders>
          <w:bottom w:val="single" w:sz="4" w:space="0" w:color="9CC2E5"/>
        </w:tcBorders>
      </w:tcPr>
    </w:tblStylePr>
    <w:tblStylePr w:type="lastRow">
      <w:rPr>
        <w:b/>
        <w:bCs/>
      </w:rPr>
      <w:tblPr/>
      <w:tcPr>
        <w:tcBorders>
          <w:top w:val="sing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GridTable4-Accent5118">
    <w:name w:val="Grid Table 4 - Accent 5118"/>
    <w:basedOn w:val="TableNormal"/>
    <w:uiPriority w:val="49"/>
    <w:qFormat/>
    <w:rsid w:val="00A43F2B"/>
    <w:rPr>
      <w:rFonts w:ascii="CG Times (WN)" w:eastAsia="SimSun" w:hAnsi="CG Times (WN)"/>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6Colorful-Accent5114">
    <w:name w:val="Grid Table 6 Colorful - Accent 5114"/>
    <w:basedOn w:val="TableNormal"/>
    <w:uiPriority w:val="51"/>
    <w:qFormat/>
    <w:rsid w:val="00A43F2B"/>
    <w:rPr>
      <w:rFonts w:ascii="CG Times (WN)" w:eastAsia="SimSun" w:hAnsi="CG Times (WN)"/>
      <w:color w:val="2F5496"/>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bottom w:val="single" w:sz="12" w:space="0" w:color="8EAADB"/>
        </w:tcBorders>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ListTable3-Accent5113">
    <w:name w:val="List Table 3 - Accent 5113"/>
    <w:basedOn w:val="TableNormal"/>
    <w:uiPriority w:val="48"/>
    <w:qFormat/>
    <w:rsid w:val="00A43F2B"/>
    <w:rPr>
      <w:rFonts w:ascii="CG Times (WN)" w:eastAsia="SimSun" w:hAnsi="CG Times (WN)"/>
      <w:lang w:eastAsia="zh-CN"/>
    </w:rPr>
    <w:tblPr>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customStyle="1" w:styleId="PlainTable2113">
    <w:name w:val="Plain Table 2113"/>
    <w:basedOn w:val="TableNormal"/>
    <w:uiPriority w:val="42"/>
    <w:qFormat/>
    <w:rsid w:val="00A43F2B"/>
    <w:rPr>
      <w:rFonts w:ascii="CG Times (WN)" w:eastAsia="SimSun" w:hAnsi="CG Times (WN)"/>
      <w:lang w:eastAsia="zh-CN"/>
    </w:rPr>
    <w:tblPr>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TableGrid117">
    <w:name w:val="TableGrid117"/>
    <w:basedOn w:val="TableNormal"/>
    <w:uiPriority w:val="39"/>
    <w:qFormat/>
    <w:rsid w:val="00A43F2B"/>
    <w:rPr>
      <w:rFonts w:ascii="Calibri" w:eastAsia="Calibri" w:hAnsi="Calibri"/>
      <w:sz w:val="22"/>
      <w:szCs w:val="22"/>
      <w:lang w:val="de-DE"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uiPriority w:val="59"/>
    <w:qFormat/>
    <w:rsid w:val="00A43F2B"/>
    <w:rPr>
      <w:rFonts w:eastAsia="Times New Roman"/>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表 4 - 着色 113"/>
    <w:basedOn w:val="TableNormal"/>
    <w:uiPriority w:val="49"/>
    <w:rsid w:val="00A43F2B"/>
    <w:rPr>
      <w:rFonts w:ascii="Calibri" w:eastAsia="SimSun" w:hAnsi="Calibri" w:cs="Arial"/>
      <w:sz w:val="22"/>
      <w:szCs w:val="22"/>
      <w:lang w:eastAsia="zh-CN"/>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250">
    <w:name w:val="网格型25"/>
    <w:basedOn w:val="TableNormal"/>
    <w:next w:val="TableGrid"/>
    <w:uiPriority w:val="39"/>
    <w:qFormat/>
    <w:rsid w:val="00A43F2B"/>
    <w:pPr>
      <w:widowControl w:val="0"/>
      <w:autoSpaceDE w:val="0"/>
      <w:autoSpaceDN w:val="0"/>
      <w:adjustRightInd w:val="0"/>
      <w:spacing w:after="120"/>
      <w:jc w:val="both"/>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uiPriority w:val="39"/>
    <w:qFormat/>
    <w:rsid w:val="00A43F2B"/>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0">
    <w:name w:val="TableGrid23"/>
    <w:basedOn w:val="TableNormal"/>
    <w:next w:val="TableGrid"/>
    <w:uiPriority w:val="59"/>
    <w:qFormat/>
    <w:rsid w:val="00F74A6F"/>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c">
    <w:name w:val="Char Char1 Char Char Char Char Char Char Char Char Char Char Char Char Char Char Char"/>
    <w:semiHidden/>
    <w:rsid w:val="00F74A6F"/>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numbering" w:customStyle="1" w:styleId="StyleBulleted20">
    <w:name w:val="Style Bulleted20"/>
    <w:rsid w:val="00F74A6F"/>
    <w:pPr>
      <w:numPr>
        <w:numId w:val="31"/>
      </w:numPr>
    </w:pPr>
  </w:style>
  <w:style w:type="character" w:customStyle="1" w:styleId="5e">
    <w:name w:val="(文字) (文字)5"/>
    <w:semiHidden/>
    <w:rsid w:val="00F74A6F"/>
    <w:rPr>
      <w:rFonts w:ascii="Times New Roman" w:hAnsi="Times New Roman"/>
      <w:lang w:eastAsia="en-US"/>
    </w:rPr>
  </w:style>
  <w:style w:type="numbering" w:customStyle="1" w:styleId="StyleBulletedSymbolsymbolLeft025Hanging017">
    <w:name w:val="Style Bulleted Symbol (symbol) Left:  0.25&quot; Hanging:  0.17"/>
    <w:basedOn w:val="NoList"/>
    <w:rsid w:val="00F74A6F"/>
    <w:pPr>
      <w:numPr>
        <w:numId w:val="37"/>
      </w:numPr>
    </w:pPr>
  </w:style>
  <w:style w:type="table" w:customStyle="1" w:styleId="ColorfulList-Accent134">
    <w:name w:val="Colorful List - Accent 134"/>
    <w:basedOn w:val="TableNormal"/>
    <w:next w:val="ColorfulList-Accent1"/>
    <w:uiPriority w:val="34"/>
    <w:rsid w:val="00F74A6F"/>
    <w:rPr>
      <w:rFonts w:ascii="Malgun Gothic" w:eastAsia="MS Gothic" w:hAnsi="Malgun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6">
    <w:name w:val="Grid Table 4 - Accent 536"/>
    <w:basedOn w:val="TableNormal"/>
    <w:next w:val="GridTable4-Accent5"/>
    <w:uiPriority w:val="49"/>
    <w:rsid w:val="00F74A6F"/>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43">
    <w:name w:val="Style Bulleted Symbol (symbol) Left:  0.25&quot; Hanging:  0.25&quot;43"/>
    <w:basedOn w:val="NoList"/>
    <w:rsid w:val="00F74A6F"/>
    <w:pPr>
      <w:numPr>
        <w:numId w:val="35"/>
      </w:numPr>
    </w:pPr>
  </w:style>
  <w:style w:type="numbering" w:customStyle="1" w:styleId="StyleBulletedSymbolsymbolLeft025Hanging025120">
    <w:name w:val="Style Bulleted Symbol (symbol) Left:  0.25&quot; Hanging:  0.25&quot;120"/>
    <w:basedOn w:val="NoList"/>
    <w:rsid w:val="00F74A6F"/>
    <w:pPr>
      <w:numPr>
        <w:numId w:val="36"/>
      </w:numPr>
    </w:pPr>
  </w:style>
  <w:style w:type="numbering" w:customStyle="1" w:styleId="StyleBulletedSymbolsymbolLeft025Hanging025217">
    <w:name w:val="Style Bulleted Symbol (symbol) Left:  0.25&quot; Hanging:  0.25&quot;217"/>
    <w:basedOn w:val="NoList"/>
    <w:rsid w:val="00F74A6F"/>
    <w:pPr>
      <w:numPr>
        <w:numId w:val="38"/>
      </w:numPr>
    </w:pPr>
  </w:style>
  <w:style w:type="table" w:customStyle="1" w:styleId="TableGrid240">
    <w:name w:val="TableGrid24"/>
    <w:basedOn w:val="TableNormal"/>
    <w:next w:val="TableGrid"/>
    <w:uiPriority w:val="39"/>
    <w:qFormat/>
    <w:rsid w:val="00A41C1A"/>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d">
    <w:name w:val="Char Char1 Char Char Char Char Char Char Char Char Char Char Char Char Char Char Char"/>
    <w:semiHidden/>
    <w:rsid w:val="00A41C1A"/>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numbering" w:customStyle="1" w:styleId="StyleBulleted21">
    <w:name w:val="Style Bulleted21"/>
    <w:rsid w:val="00A41C1A"/>
  </w:style>
  <w:style w:type="character" w:customStyle="1" w:styleId="5f">
    <w:name w:val="(文字) (文字)5"/>
    <w:semiHidden/>
    <w:rsid w:val="00A41C1A"/>
    <w:rPr>
      <w:rFonts w:ascii="Times New Roman" w:hAnsi="Times New Roman"/>
      <w:lang w:eastAsia="en-US"/>
    </w:rPr>
  </w:style>
  <w:style w:type="numbering" w:customStyle="1" w:styleId="StyleBulletedSymbolsymbolLeft025Hanging018">
    <w:name w:val="Style Bulleted Symbol (symbol) Left:  0.25&quot; Hanging:  0.18"/>
    <w:basedOn w:val="NoList"/>
    <w:rsid w:val="00A41C1A"/>
  </w:style>
  <w:style w:type="table" w:customStyle="1" w:styleId="ColorfulList-Accent135">
    <w:name w:val="Colorful List - Accent 135"/>
    <w:basedOn w:val="TableNormal"/>
    <w:next w:val="ColorfulList-Accent1"/>
    <w:uiPriority w:val="34"/>
    <w:rsid w:val="00A41C1A"/>
    <w:rPr>
      <w:rFonts w:ascii="Malgun Gothic" w:eastAsia="MS Gothic" w:hAnsi="Malgun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7">
    <w:name w:val="Grid Table 4 - Accent 537"/>
    <w:basedOn w:val="TableNormal"/>
    <w:next w:val="GridTable4-Accent5"/>
    <w:uiPriority w:val="49"/>
    <w:rsid w:val="00A41C1A"/>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44">
    <w:name w:val="Style Bulleted Symbol (symbol) Left:  0.25&quot; Hanging:  0.25&quot;44"/>
    <w:basedOn w:val="NoList"/>
    <w:rsid w:val="00A41C1A"/>
  </w:style>
  <w:style w:type="numbering" w:customStyle="1" w:styleId="StyleBulletedSymbolsymbolLeft025Hanging025121">
    <w:name w:val="Style Bulleted Symbol (symbol) Left:  0.25&quot; Hanging:  0.25&quot;121"/>
    <w:basedOn w:val="NoList"/>
    <w:rsid w:val="00A41C1A"/>
  </w:style>
  <w:style w:type="numbering" w:customStyle="1" w:styleId="StyleBulletedSymbolsymbolLeft025Hanging025218">
    <w:name w:val="Style Bulleted Symbol (symbol) Left:  0.25&quot; Hanging:  0.25&quot;218"/>
    <w:basedOn w:val="NoList"/>
    <w:rsid w:val="00A41C1A"/>
  </w:style>
  <w:style w:type="numbering" w:customStyle="1" w:styleId="StyleBulleted22">
    <w:name w:val="Style Bulleted22"/>
    <w:rsid w:val="00165594"/>
  </w:style>
  <w:style w:type="numbering" w:customStyle="1" w:styleId="StyleBulletedSymbolsymbolLeft025Hanging02545">
    <w:name w:val="Style Bulleted Symbol (symbol) Left:  0.25&quot; Hanging:  0.25&quot;45"/>
    <w:basedOn w:val="NoList"/>
    <w:rsid w:val="00165594"/>
  </w:style>
  <w:style w:type="numbering" w:customStyle="1" w:styleId="StyleBulleted23">
    <w:name w:val="Style Bulleted23"/>
    <w:rsid w:val="001C256A"/>
  </w:style>
  <w:style w:type="numbering" w:customStyle="1" w:styleId="StyleBulletedSymbolsymbolLeft025Hanging02546">
    <w:name w:val="Style Bulleted Symbol (symbol) Left:  0.25&quot; Hanging:  0.25&quot;46"/>
    <w:basedOn w:val="NoList"/>
    <w:rsid w:val="001C256A"/>
  </w:style>
  <w:style w:type="numbering" w:customStyle="1" w:styleId="StyleBulletedSymbolsymbolLeft025Hanging02547">
    <w:name w:val="Style Bulleted Symbol (symbol) Left:  0.25&quot; Hanging:  0.25&quot;47"/>
    <w:basedOn w:val="NoList"/>
    <w:rsid w:val="00702D43"/>
  </w:style>
  <w:style w:type="numbering" w:customStyle="1" w:styleId="StyleBulleted24">
    <w:name w:val="Style Bulleted24"/>
    <w:rsid w:val="002356D6"/>
  </w:style>
  <w:style w:type="numbering" w:customStyle="1" w:styleId="StyleBulletedSymbolsymbolLeft025Hanging02548">
    <w:name w:val="Style Bulleted Symbol (symbol) Left:  0.25&quot; Hanging:  0.25&quot;48"/>
    <w:basedOn w:val="NoList"/>
    <w:rsid w:val="002356D6"/>
  </w:style>
  <w:style w:type="numbering" w:customStyle="1" w:styleId="StyleBulleted25">
    <w:name w:val="Style Bulleted25"/>
    <w:rsid w:val="004E3EB8"/>
    <w:pPr>
      <w:numPr>
        <w:numId w:val="3"/>
      </w:numPr>
    </w:pPr>
  </w:style>
  <w:style w:type="numbering" w:customStyle="1" w:styleId="StyleBulletedSymbolsymbolLeft025Hanging02549">
    <w:name w:val="Style Bulleted Symbol (symbol) Left:  0.25&quot; Hanging:  0.25&quot;49"/>
    <w:basedOn w:val="NoList"/>
    <w:rsid w:val="004E3EB8"/>
  </w:style>
  <w:style w:type="numbering" w:customStyle="1" w:styleId="StyleBulletedSymbolsymbolLeft025Hanging02550">
    <w:name w:val="Style Bulleted Symbol (symbol) Left:  0.25&quot; Hanging:  0.25&quot;50"/>
    <w:basedOn w:val="NoList"/>
    <w:rsid w:val="00B04D25"/>
  </w:style>
  <w:style w:type="numbering" w:customStyle="1" w:styleId="StyleBulletedSymbolsymbolLeft025Hanging02551">
    <w:name w:val="Style Bulleted Symbol (symbol) Left:  0.25&quot; Hanging:  0.25&quot;51"/>
    <w:basedOn w:val="NoList"/>
    <w:rsid w:val="00BC0551"/>
  </w:style>
  <w:style w:type="numbering" w:customStyle="1" w:styleId="StyleBulletedSymbolsymbolLeft025Hanging02552">
    <w:name w:val="Style Bulleted Symbol (symbol) Left:  0.25&quot; Hanging:  0.25&quot;52"/>
    <w:basedOn w:val="NoList"/>
    <w:rsid w:val="00262F33"/>
    <w:pPr>
      <w:numPr>
        <w:numId w:val="7"/>
      </w:numPr>
    </w:pPr>
  </w:style>
  <w:style w:type="table" w:customStyle="1" w:styleId="TableGrid101">
    <w:name w:val="Table Grid10"/>
    <w:basedOn w:val="TableNormal"/>
    <w:next w:val="TableGrid"/>
    <w:uiPriority w:val="39"/>
    <w:rsid w:val="00E91A5A"/>
    <w:pPr>
      <w:jc w:val="both"/>
    </w:pPr>
    <w:rPr>
      <w:rFonts w:ascii="Malgun Gothic" w:eastAsia="Malgun Gothic" w:hAnsi="Malgun Gothic"/>
      <w:kern w:val="2"/>
      <w:szCs w:val="22"/>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553">
    <w:name w:val="Style Bulleted Symbol (symbol) Left:  0.25&quot; Hanging:  0.25&quot;53"/>
    <w:basedOn w:val="NoList"/>
    <w:rsid w:val="0045179B"/>
  </w:style>
  <w:style w:type="numbering" w:customStyle="1" w:styleId="StyleBulleted26">
    <w:name w:val="Style Bulleted26"/>
    <w:rsid w:val="00BB666C"/>
  </w:style>
  <w:style w:type="numbering" w:customStyle="1" w:styleId="StyleBulletedSymbolsymbolLeft025Hanging02554">
    <w:name w:val="Style Bulleted Symbol (symbol) Left:  0.25&quot; Hanging:  0.25&quot;54"/>
    <w:basedOn w:val="NoList"/>
    <w:rsid w:val="00831CFB"/>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40314">
      <w:bodyDiv w:val="1"/>
      <w:marLeft w:val="0"/>
      <w:marRight w:val="0"/>
      <w:marTop w:val="0"/>
      <w:marBottom w:val="0"/>
      <w:divBdr>
        <w:top w:val="none" w:sz="0" w:space="0" w:color="auto"/>
        <w:left w:val="none" w:sz="0" w:space="0" w:color="auto"/>
        <w:bottom w:val="none" w:sz="0" w:space="0" w:color="auto"/>
        <w:right w:val="none" w:sz="0" w:space="0" w:color="auto"/>
      </w:divBdr>
    </w:div>
    <w:div w:id="1595036">
      <w:bodyDiv w:val="1"/>
      <w:marLeft w:val="0"/>
      <w:marRight w:val="0"/>
      <w:marTop w:val="0"/>
      <w:marBottom w:val="0"/>
      <w:divBdr>
        <w:top w:val="none" w:sz="0" w:space="0" w:color="auto"/>
        <w:left w:val="none" w:sz="0" w:space="0" w:color="auto"/>
        <w:bottom w:val="none" w:sz="0" w:space="0" w:color="auto"/>
        <w:right w:val="none" w:sz="0" w:space="0" w:color="auto"/>
      </w:divBdr>
    </w:div>
    <w:div w:id="1706783">
      <w:bodyDiv w:val="1"/>
      <w:marLeft w:val="0"/>
      <w:marRight w:val="0"/>
      <w:marTop w:val="0"/>
      <w:marBottom w:val="0"/>
      <w:divBdr>
        <w:top w:val="none" w:sz="0" w:space="0" w:color="auto"/>
        <w:left w:val="none" w:sz="0" w:space="0" w:color="auto"/>
        <w:bottom w:val="none" w:sz="0" w:space="0" w:color="auto"/>
        <w:right w:val="none" w:sz="0" w:space="0" w:color="auto"/>
      </w:divBdr>
      <w:divsChild>
        <w:div w:id="451292181">
          <w:marLeft w:val="1166"/>
          <w:marRight w:val="0"/>
          <w:marTop w:val="240"/>
          <w:marBottom w:val="0"/>
          <w:divBdr>
            <w:top w:val="none" w:sz="0" w:space="0" w:color="auto"/>
            <w:left w:val="none" w:sz="0" w:space="0" w:color="auto"/>
            <w:bottom w:val="none" w:sz="0" w:space="0" w:color="auto"/>
            <w:right w:val="none" w:sz="0" w:space="0" w:color="auto"/>
          </w:divBdr>
        </w:div>
        <w:div w:id="1022244565">
          <w:marLeft w:val="1800"/>
          <w:marRight w:val="0"/>
          <w:marTop w:val="240"/>
          <w:marBottom w:val="0"/>
          <w:divBdr>
            <w:top w:val="none" w:sz="0" w:space="0" w:color="auto"/>
            <w:left w:val="none" w:sz="0" w:space="0" w:color="auto"/>
            <w:bottom w:val="none" w:sz="0" w:space="0" w:color="auto"/>
            <w:right w:val="none" w:sz="0" w:space="0" w:color="auto"/>
          </w:divBdr>
        </w:div>
        <w:div w:id="1238326136">
          <w:marLeft w:val="547"/>
          <w:marRight w:val="0"/>
          <w:marTop w:val="134"/>
          <w:marBottom w:val="0"/>
          <w:divBdr>
            <w:top w:val="none" w:sz="0" w:space="0" w:color="auto"/>
            <w:left w:val="none" w:sz="0" w:space="0" w:color="auto"/>
            <w:bottom w:val="none" w:sz="0" w:space="0" w:color="auto"/>
            <w:right w:val="none" w:sz="0" w:space="0" w:color="auto"/>
          </w:divBdr>
        </w:div>
        <w:div w:id="1331718463">
          <w:marLeft w:val="1800"/>
          <w:marRight w:val="0"/>
          <w:marTop w:val="240"/>
          <w:marBottom w:val="0"/>
          <w:divBdr>
            <w:top w:val="none" w:sz="0" w:space="0" w:color="auto"/>
            <w:left w:val="none" w:sz="0" w:space="0" w:color="auto"/>
            <w:bottom w:val="none" w:sz="0" w:space="0" w:color="auto"/>
            <w:right w:val="none" w:sz="0" w:space="0" w:color="auto"/>
          </w:divBdr>
        </w:div>
        <w:div w:id="1723754092">
          <w:marLeft w:val="1800"/>
          <w:marRight w:val="0"/>
          <w:marTop w:val="240"/>
          <w:marBottom w:val="0"/>
          <w:divBdr>
            <w:top w:val="none" w:sz="0" w:space="0" w:color="auto"/>
            <w:left w:val="none" w:sz="0" w:space="0" w:color="auto"/>
            <w:bottom w:val="none" w:sz="0" w:space="0" w:color="auto"/>
            <w:right w:val="none" w:sz="0" w:space="0" w:color="auto"/>
          </w:divBdr>
        </w:div>
        <w:div w:id="1898932128">
          <w:marLeft w:val="1800"/>
          <w:marRight w:val="0"/>
          <w:marTop w:val="240"/>
          <w:marBottom w:val="0"/>
          <w:divBdr>
            <w:top w:val="none" w:sz="0" w:space="0" w:color="auto"/>
            <w:left w:val="none" w:sz="0" w:space="0" w:color="auto"/>
            <w:bottom w:val="none" w:sz="0" w:space="0" w:color="auto"/>
            <w:right w:val="none" w:sz="0" w:space="0" w:color="auto"/>
          </w:divBdr>
        </w:div>
        <w:div w:id="1971281369">
          <w:marLeft w:val="1166"/>
          <w:marRight w:val="0"/>
          <w:marTop w:val="240"/>
          <w:marBottom w:val="0"/>
          <w:divBdr>
            <w:top w:val="none" w:sz="0" w:space="0" w:color="auto"/>
            <w:left w:val="none" w:sz="0" w:space="0" w:color="auto"/>
            <w:bottom w:val="none" w:sz="0" w:space="0" w:color="auto"/>
            <w:right w:val="none" w:sz="0" w:space="0" w:color="auto"/>
          </w:divBdr>
        </w:div>
        <w:div w:id="2128114291">
          <w:marLeft w:val="1166"/>
          <w:marRight w:val="0"/>
          <w:marTop w:val="240"/>
          <w:marBottom w:val="0"/>
          <w:divBdr>
            <w:top w:val="none" w:sz="0" w:space="0" w:color="auto"/>
            <w:left w:val="none" w:sz="0" w:space="0" w:color="auto"/>
            <w:bottom w:val="none" w:sz="0" w:space="0" w:color="auto"/>
            <w:right w:val="none" w:sz="0" w:space="0" w:color="auto"/>
          </w:divBdr>
        </w:div>
      </w:divsChild>
    </w:div>
    <w:div w:id="2099400">
      <w:bodyDiv w:val="1"/>
      <w:marLeft w:val="0"/>
      <w:marRight w:val="0"/>
      <w:marTop w:val="0"/>
      <w:marBottom w:val="0"/>
      <w:divBdr>
        <w:top w:val="none" w:sz="0" w:space="0" w:color="auto"/>
        <w:left w:val="none" w:sz="0" w:space="0" w:color="auto"/>
        <w:bottom w:val="none" w:sz="0" w:space="0" w:color="auto"/>
        <w:right w:val="none" w:sz="0" w:space="0" w:color="auto"/>
      </w:divBdr>
    </w:div>
    <w:div w:id="2251058">
      <w:bodyDiv w:val="1"/>
      <w:marLeft w:val="0"/>
      <w:marRight w:val="0"/>
      <w:marTop w:val="0"/>
      <w:marBottom w:val="0"/>
      <w:divBdr>
        <w:top w:val="none" w:sz="0" w:space="0" w:color="auto"/>
        <w:left w:val="none" w:sz="0" w:space="0" w:color="auto"/>
        <w:bottom w:val="none" w:sz="0" w:space="0" w:color="auto"/>
        <w:right w:val="none" w:sz="0" w:space="0" w:color="auto"/>
      </w:divBdr>
    </w:div>
    <w:div w:id="2784589">
      <w:bodyDiv w:val="1"/>
      <w:marLeft w:val="0"/>
      <w:marRight w:val="0"/>
      <w:marTop w:val="0"/>
      <w:marBottom w:val="0"/>
      <w:divBdr>
        <w:top w:val="none" w:sz="0" w:space="0" w:color="auto"/>
        <w:left w:val="none" w:sz="0" w:space="0" w:color="auto"/>
        <w:bottom w:val="none" w:sz="0" w:space="0" w:color="auto"/>
        <w:right w:val="none" w:sz="0" w:space="0" w:color="auto"/>
      </w:divBdr>
    </w:div>
    <w:div w:id="3358910">
      <w:bodyDiv w:val="1"/>
      <w:marLeft w:val="0"/>
      <w:marRight w:val="0"/>
      <w:marTop w:val="0"/>
      <w:marBottom w:val="0"/>
      <w:divBdr>
        <w:top w:val="none" w:sz="0" w:space="0" w:color="auto"/>
        <w:left w:val="none" w:sz="0" w:space="0" w:color="auto"/>
        <w:bottom w:val="none" w:sz="0" w:space="0" w:color="auto"/>
        <w:right w:val="none" w:sz="0" w:space="0" w:color="auto"/>
      </w:divBdr>
    </w:div>
    <w:div w:id="3559425">
      <w:bodyDiv w:val="1"/>
      <w:marLeft w:val="0"/>
      <w:marRight w:val="0"/>
      <w:marTop w:val="0"/>
      <w:marBottom w:val="0"/>
      <w:divBdr>
        <w:top w:val="none" w:sz="0" w:space="0" w:color="auto"/>
        <w:left w:val="none" w:sz="0" w:space="0" w:color="auto"/>
        <w:bottom w:val="none" w:sz="0" w:space="0" w:color="auto"/>
        <w:right w:val="none" w:sz="0" w:space="0" w:color="auto"/>
      </w:divBdr>
    </w:div>
    <w:div w:id="3629119">
      <w:bodyDiv w:val="1"/>
      <w:marLeft w:val="0"/>
      <w:marRight w:val="0"/>
      <w:marTop w:val="0"/>
      <w:marBottom w:val="0"/>
      <w:divBdr>
        <w:top w:val="none" w:sz="0" w:space="0" w:color="auto"/>
        <w:left w:val="none" w:sz="0" w:space="0" w:color="auto"/>
        <w:bottom w:val="none" w:sz="0" w:space="0" w:color="auto"/>
        <w:right w:val="none" w:sz="0" w:space="0" w:color="auto"/>
      </w:divBdr>
    </w:div>
    <w:div w:id="3829941">
      <w:bodyDiv w:val="1"/>
      <w:marLeft w:val="0"/>
      <w:marRight w:val="0"/>
      <w:marTop w:val="0"/>
      <w:marBottom w:val="0"/>
      <w:divBdr>
        <w:top w:val="none" w:sz="0" w:space="0" w:color="auto"/>
        <w:left w:val="none" w:sz="0" w:space="0" w:color="auto"/>
        <w:bottom w:val="none" w:sz="0" w:space="0" w:color="auto"/>
        <w:right w:val="none" w:sz="0" w:space="0" w:color="auto"/>
      </w:divBdr>
      <w:divsChild>
        <w:div w:id="808130952">
          <w:marLeft w:val="1886"/>
          <w:marRight w:val="0"/>
          <w:marTop w:val="115"/>
          <w:marBottom w:val="0"/>
          <w:divBdr>
            <w:top w:val="none" w:sz="0" w:space="0" w:color="auto"/>
            <w:left w:val="none" w:sz="0" w:space="0" w:color="auto"/>
            <w:bottom w:val="none" w:sz="0" w:space="0" w:color="auto"/>
            <w:right w:val="none" w:sz="0" w:space="0" w:color="auto"/>
          </w:divBdr>
        </w:div>
        <w:div w:id="1045711944">
          <w:marLeft w:val="1526"/>
          <w:marRight w:val="0"/>
          <w:marTop w:val="115"/>
          <w:marBottom w:val="0"/>
          <w:divBdr>
            <w:top w:val="none" w:sz="0" w:space="0" w:color="auto"/>
            <w:left w:val="none" w:sz="0" w:space="0" w:color="auto"/>
            <w:bottom w:val="none" w:sz="0" w:space="0" w:color="auto"/>
            <w:right w:val="none" w:sz="0" w:space="0" w:color="auto"/>
          </w:divBdr>
        </w:div>
        <w:div w:id="1872961057">
          <w:marLeft w:val="1526"/>
          <w:marRight w:val="0"/>
          <w:marTop w:val="115"/>
          <w:marBottom w:val="0"/>
          <w:divBdr>
            <w:top w:val="none" w:sz="0" w:space="0" w:color="auto"/>
            <w:left w:val="none" w:sz="0" w:space="0" w:color="auto"/>
            <w:bottom w:val="none" w:sz="0" w:space="0" w:color="auto"/>
            <w:right w:val="none" w:sz="0" w:space="0" w:color="auto"/>
          </w:divBdr>
        </w:div>
      </w:divsChild>
    </w:div>
    <w:div w:id="4676144">
      <w:bodyDiv w:val="1"/>
      <w:marLeft w:val="0"/>
      <w:marRight w:val="0"/>
      <w:marTop w:val="0"/>
      <w:marBottom w:val="0"/>
      <w:divBdr>
        <w:top w:val="none" w:sz="0" w:space="0" w:color="auto"/>
        <w:left w:val="none" w:sz="0" w:space="0" w:color="auto"/>
        <w:bottom w:val="none" w:sz="0" w:space="0" w:color="auto"/>
        <w:right w:val="none" w:sz="0" w:space="0" w:color="auto"/>
      </w:divBdr>
    </w:div>
    <w:div w:id="4745724">
      <w:bodyDiv w:val="1"/>
      <w:marLeft w:val="0"/>
      <w:marRight w:val="0"/>
      <w:marTop w:val="0"/>
      <w:marBottom w:val="0"/>
      <w:divBdr>
        <w:top w:val="none" w:sz="0" w:space="0" w:color="auto"/>
        <w:left w:val="none" w:sz="0" w:space="0" w:color="auto"/>
        <w:bottom w:val="none" w:sz="0" w:space="0" w:color="auto"/>
        <w:right w:val="none" w:sz="0" w:space="0" w:color="auto"/>
      </w:divBdr>
      <w:divsChild>
        <w:div w:id="263925945">
          <w:marLeft w:val="1166"/>
          <w:marRight w:val="0"/>
          <w:marTop w:val="134"/>
          <w:marBottom w:val="0"/>
          <w:divBdr>
            <w:top w:val="none" w:sz="0" w:space="0" w:color="auto"/>
            <w:left w:val="none" w:sz="0" w:space="0" w:color="auto"/>
            <w:bottom w:val="none" w:sz="0" w:space="0" w:color="auto"/>
            <w:right w:val="none" w:sz="0" w:space="0" w:color="auto"/>
          </w:divBdr>
        </w:div>
        <w:div w:id="439879927">
          <w:marLeft w:val="1166"/>
          <w:marRight w:val="0"/>
          <w:marTop w:val="134"/>
          <w:marBottom w:val="0"/>
          <w:divBdr>
            <w:top w:val="none" w:sz="0" w:space="0" w:color="auto"/>
            <w:left w:val="none" w:sz="0" w:space="0" w:color="auto"/>
            <w:bottom w:val="none" w:sz="0" w:space="0" w:color="auto"/>
            <w:right w:val="none" w:sz="0" w:space="0" w:color="auto"/>
          </w:divBdr>
        </w:div>
        <w:div w:id="921183055">
          <w:marLeft w:val="1166"/>
          <w:marRight w:val="0"/>
          <w:marTop w:val="134"/>
          <w:marBottom w:val="0"/>
          <w:divBdr>
            <w:top w:val="none" w:sz="0" w:space="0" w:color="auto"/>
            <w:left w:val="none" w:sz="0" w:space="0" w:color="auto"/>
            <w:bottom w:val="none" w:sz="0" w:space="0" w:color="auto"/>
            <w:right w:val="none" w:sz="0" w:space="0" w:color="auto"/>
          </w:divBdr>
        </w:div>
        <w:div w:id="2056349127">
          <w:marLeft w:val="547"/>
          <w:marRight w:val="0"/>
          <w:marTop w:val="154"/>
          <w:marBottom w:val="0"/>
          <w:divBdr>
            <w:top w:val="none" w:sz="0" w:space="0" w:color="auto"/>
            <w:left w:val="none" w:sz="0" w:space="0" w:color="auto"/>
            <w:bottom w:val="none" w:sz="0" w:space="0" w:color="auto"/>
            <w:right w:val="none" w:sz="0" w:space="0" w:color="auto"/>
          </w:divBdr>
        </w:div>
        <w:div w:id="2112429114">
          <w:marLeft w:val="1166"/>
          <w:marRight w:val="0"/>
          <w:marTop w:val="134"/>
          <w:marBottom w:val="0"/>
          <w:divBdr>
            <w:top w:val="none" w:sz="0" w:space="0" w:color="auto"/>
            <w:left w:val="none" w:sz="0" w:space="0" w:color="auto"/>
            <w:bottom w:val="none" w:sz="0" w:space="0" w:color="auto"/>
            <w:right w:val="none" w:sz="0" w:space="0" w:color="auto"/>
          </w:divBdr>
        </w:div>
      </w:divsChild>
    </w:div>
    <w:div w:id="4946945">
      <w:bodyDiv w:val="1"/>
      <w:marLeft w:val="0"/>
      <w:marRight w:val="0"/>
      <w:marTop w:val="0"/>
      <w:marBottom w:val="0"/>
      <w:divBdr>
        <w:top w:val="none" w:sz="0" w:space="0" w:color="auto"/>
        <w:left w:val="none" w:sz="0" w:space="0" w:color="auto"/>
        <w:bottom w:val="none" w:sz="0" w:space="0" w:color="auto"/>
        <w:right w:val="none" w:sz="0" w:space="0" w:color="auto"/>
      </w:divBdr>
      <w:divsChild>
        <w:div w:id="141586243">
          <w:marLeft w:val="1800"/>
          <w:marRight w:val="0"/>
          <w:marTop w:val="96"/>
          <w:marBottom w:val="0"/>
          <w:divBdr>
            <w:top w:val="none" w:sz="0" w:space="0" w:color="auto"/>
            <w:left w:val="none" w:sz="0" w:space="0" w:color="auto"/>
            <w:bottom w:val="none" w:sz="0" w:space="0" w:color="auto"/>
            <w:right w:val="none" w:sz="0" w:space="0" w:color="auto"/>
          </w:divBdr>
        </w:div>
        <w:div w:id="156582925">
          <w:marLeft w:val="1166"/>
          <w:marRight w:val="0"/>
          <w:marTop w:val="115"/>
          <w:marBottom w:val="0"/>
          <w:divBdr>
            <w:top w:val="none" w:sz="0" w:space="0" w:color="auto"/>
            <w:left w:val="none" w:sz="0" w:space="0" w:color="auto"/>
            <w:bottom w:val="none" w:sz="0" w:space="0" w:color="auto"/>
            <w:right w:val="none" w:sz="0" w:space="0" w:color="auto"/>
          </w:divBdr>
        </w:div>
        <w:div w:id="219706605">
          <w:marLeft w:val="1800"/>
          <w:marRight w:val="0"/>
          <w:marTop w:val="96"/>
          <w:marBottom w:val="0"/>
          <w:divBdr>
            <w:top w:val="none" w:sz="0" w:space="0" w:color="auto"/>
            <w:left w:val="none" w:sz="0" w:space="0" w:color="auto"/>
            <w:bottom w:val="none" w:sz="0" w:space="0" w:color="auto"/>
            <w:right w:val="none" w:sz="0" w:space="0" w:color="auto"/>
          </w:divBdr>
        </w:div>
        <w:div w:id="922304442">
          <w:marLeft w:val="1166"/>
          <w:marRight w:val="0"/>
          <w:marTop w:val="115"/>
          <w:marBottom w:val="0"/>
          <w:divBdr>
            <w:top w:val="none" w:sz="0" w:space="0" w:color="auto"/>
            <w:left w:val="none" w:sz="0" w:space="0" w:color="auto"/>
            <w:bottom w:val="none" w:sz="0" w:space="0" w:color="auto"/>
            <w:right w:val="none" w:sz="0" w:space="0" w:color="auto"/>
          </w:divBdr>
        </w:div>
        <w:div w:id="937106235">
          <w:marLeft w:val="1166"/>
          <w:marRight w:val="0"/>
          <w:marTop w:val="115"/>
          <w:marBottom w:val="0"/>
          <w:divBdr>
            <w:top w:val="none" w:sz="0" w:space="0" w:color="auto"/>
            <w:left w:val="none" w:sz="0" w:space="0" w:color="auto"/>
            <w:bottom w:val="none" w:sz="0" w:space="0" w:color="auto"/>
            <w:right w:val="none" w:sz="0" w:space="0" w:color="auto"/>
          </w:divBdr>
        </w:div>
        <w:div w:id="1431001091">
          <w:marLeft w:val="547"/>
          <w:marRight w:val="0"/>
          <w:marTop w:val="130"/>
          <w:marBottom w:val="0"/>
          <w:divBdr>
            <w:top w:val="none" w:sz="0" w:space="0" w:color="auto"/>
            <w:left w:val="none" w:sz="0" w:space="0" w:color="auto"/>
            <w:bottom w:val="none" w:sz="0" w:space="0" w:color="auto"/>
            <w:right w:val="none" w:sz="0" w:space="0" w:color="auto"/>
          </w:divBdr>
        </w:div>
      </w:divsChild>
    </w:div>
    <w:div w:id="5140079">
      <w:bodyDiv w:val="1"/>
      <w:marLeft w:val="0"/>
      <w:marRight w:val="0"/>
      <w:marTop w:val="0"/>
      <w:marBottom w:val="0"/>
      <w:divBdr>
        <w:top w:val="none" w:sz="0" w:space="0" w:color="auto"/>
        <w:left w:val="none" w:sz="0" w:space="0" w:color="auto"/>
        <w:bottom w:val="none" w:sz="0" w:space="0" w:color="auto"/>
        <w:right w:val="none" w:sz="0" w:space="0" w:color="auto"/>
      </w:divBdr>
    </w:div>
    <w:div w:id="6179295">
      <w:bodyDiv w:val="1"/>
      <w:marLeft w:val="0"/>
      <w:marRight w:val="0"/>
      <w:marTop w:val="0"/>
      <w:marBottom w:val="0"/>
      <w:divBdr>
        <w:top w:val="none" w:sz="0" w:space="0" w:color="auto"/>
        <w:left w:val="none" w:sz="0" w:space="0" w:color="auto"/>
        <w:bottom w:val="none" w:sz="0" w:space="0" w:color="auto"/>
        <w:right w:val="none" w:sz="0" w:space="0" w:color="auto"/>
      </w:divBdr>
    </w:div>
    <w:div w:id="6182374">
      <w:bodyDiv w:val="1"/>
      <w:marLeft w:val="0"/>
      <w:marRight w:val="0"/>
      <w:marTop w:val="0"/>
      <w:marBottom w:val="0"/>
      <w:divBdr>
        <w:top w:val="none" w:sz="0" w:space="0" w:color="auto"/>
        <w:left w:val="none" w:sz="0" w:space="0" w:color="auto"/>
        <w:bottom w:val="none" w:sz="0" w:space="0" w:color="auto"/>
        <w:right w:val="none" w:sz="0" w:space="0" w:color="auto"/>
      </w:divBdr>
    </w:div>
    <w:div w:id="6753933">
      <w:bodyDiv w:val="1"/>
      <w:marLeft w:val="0"/>
      <w:marRight w:val="0"/>
      <w:marTop w:val="0"/>
      <w:marBottom w:val="0"/>
      <w:divBdr>
        <w:top w:val="none" w:sz="0" w:space="0" w:color="auto"/>
        <w:left w:val="none" w:sz="0" w:space="0" w:color="auto"/>
        <w:bottom w:val="none" w:sz="0" w:space="0" w:color="auto"/>
        <w:right w:val="none" w:sz="0" w:space="0" w:color="auto"/>
      </w:divBdr>
      <w:divsChild>
        <w:div w:id="219094315">
          <w:marLeft w:val="0"/>
          <w:marRight w:val="0"/>
          <w:marTop w:val="0"/>
          <w:marBottom w:val="0"/>
          <w:divBdr>
            <w:top w:val="none" w:sz="0" w:space="0" w:color="auto"/>
            <w:left w:val="none" w:sz="0" w:space="0" w:color="auto"/>
            <w:bottom w:val="none" w:sz="0" w:space="0" w:color="auto"/>
            <w:right w:val="none" w:sz="0" w:space="0" w:color="auto"/>
          </w:divBdr>
          <w:divsChild>
            <w:div w:id="169568520">
              <w:marLeft w:val="0"/>
              <w:marRight w:val="0"/>
              <w:marTop w:val="0"/>
              <w:marBottom w:val="0"/>
              <w:divBdr>
                <w:top w:val="none" w:sz="0" w:space="0" w:color="auto"/>
                <w:left w:val="none" w:sz="0" w:space="0" w:color="auto"/>
                <w:bottom w:val="none" w:sz="0" w:space="0" w:color="auto"/>
                <w:right w:val="none" w:sz="0" w:space="0" w:color="auto"/>
              </w:divBdr>
            </w:div>
            <w:div w:id="176696020">
              <w:marLeft w:val="0"/>
              <w:marRight w:val="0"/>
              <w:marTop w:val="0"/>
              <w:marBottom w:val="0"/>
              <w:divBdr>
                <w:top w:val="none" w:sz="0" w:space="0" w:color="auto"/>
                <w:left w:val="none" w:sz="0" w:space="0" w:color="auto"/>
                <w:bottom w:val="none" w:sz="0" w:space="0" w:color="auto"/>
                <w:right w:val="none" w:sz="0" w:space="0" w:color="auto"/>
              </w:divBdr>
            </w:div>
            <w:div w:id="729231250">
              <w:marLeft w:val="0"/>
              <w:marRight w:val="0"/>
              <w:marTop w:val="0"/>
              <w:marBottom w:val="0"/>
              <w:divBdr>
                <w:top w:val="none" w:sz="0" w:space="0" w:color="auto"/>
                <w:left w:val="none" w:sz="0" w:space="0" w:color="auto"/>
                <w:bottom w:val="none" w:sz="0" w:space="0" w:color="auto"/>
                <w:right w:val="none" w:sz="0" w:space="0" w:color="auto"/>
              </w:divBdr>
            </w:div>
            <w:div w:id="18775462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559641">
      <w:bodyDiv w:val="1"/>
      <w:marLeft w:val="0"/>
      <w:marRight w:val="0"/>
      <w:marTop w:val="0"/>
      <w:marBottom w:val="0"/>
      <w:divBdr>
        <w:top w:val="none" w:sz="0" w:space="0" w:color="auto"/>
        <w:left w:val="none" w:sz="0" w:space="0" w:color="auto"/>
        <w:bottom w:val="none" w:sz="0" w:space="0" w:color="auto"/>
        <w:right w:val="none" w:sz="0" w:space="0" w:color="auto"/>
      </w:divBdr>
      <w:divsChild>
        <w:div w:id="321355124">
          <w:marLeft w:val="1166"/>
          <w:marRight w:val="0"/>
          <w:marTop w:val="96"/>
          <w:marBottom w:val="0"/>
          <w:divBdr>
            <w:top w:val="none" w:sz="0" w:space="0" w:color="auto"/>
            <w:left w:val="none" w:sz="0" w:space="0" w:color="auto"/>
            <w:bottom w:val="none" w:sz="0" w:space="0" w:color="auto"/>
            <w:right w:val="none" w:sz="0" w:space="0" w:color="auto"/>
          </w:divBdr>
        </w:div>
        <w:div w:id="922879527">
          <w:marLeft w:val="547"/>
          <w:marRight w:val="0"/>
          <w:marTop w:val="115"/>
          <w:marBottom w:val="0"/>
          <w:divBdr>
            <w:top w:val="none" w:sz="0" w:space="0" w:color="auto"/>
            <w:left w:val="none" w:sz="0" w:space="0" w:color="auto"/>
            <w:bottom w:val="none" w:sz="0" w:space="0" w:color="auto"/>
            <w:right w:val="none" w:sz="0" w:space="0" w:color="auto"/>
          </w:divBdr>
        </w:div>
      </w:divsChild>
    </w:div>
    <w:div w:id="7873752">
      <w:bodyDiv w:val="1"/>
      <w:marLeft w:val="0"/>
      <w:marRight w:val="0"/>
      <w:marTop w:val="0"/>
      <w:marBottom w:val="0"/>
      <w:divBdr>
        <w:top w:val="none" w:sz="0" w:space="0" w:color="auto"/>
        <w:left w:val="none" w:sz="0" w:space="0" w:color="auto"/>
        <w:bottom w:val="none" w:sz="0" w:space="0" w:color="auto"/>
        <w:right w:val="none" w:sz="0" w:space="0" w:color="auto"/>
      </w:divBdr>
    </w:div>
    <w:div w:id="9181059">
      <w:bodyDiv w:val="1"/>
      <w:marLeft w:val="0"/>
      <w:marRight w:val="0"/>
      <w:marTop w:val="0"/>
      <w:marBottom w:val="0"/>
      <w:divBdr>
        <w:top w:val="none" w:sz="0" w:space="0" w:color="auto"/>
        <w:left w:val="none" w:sz="0" w:space="0" w:color="auto"/>
        <w:bottom w:val="none" w:sz="0" w:space="0" w:color="auto"/>
        <w:right w:val="none" w:sz="0" w:space="0" w:color="auto"/>
      </w:divBdr>
    </w:div>
    <w:div w:id="9334979">
      <w:bodyDiv w:val="1"/>
      <w:marLeft w:val="0"/>
      <w:marRight w:val="0"/>
      <w:marTop w:val="0"/>
      <w:marBottom w:val="0"/>
      <w:divBdr>
        <w:top w:val="none" w:sz="0" w:space="0" w:color="auto"/>
        <w:left w:val="none" w:sz="0" w:space="0" w:color="auto"/>
        <w:bottom w:val="none" w:sz="0" w:space="0" w:color="auto"/>
        <w:right w:val="none" w:sz="0" w:space="0" w:color="auto"/>
      </w:divBdr>
    </w:div>
    <w:div w:id="10038829">
      <w:bodyDiv w:val="1"/>
      <w:marLeft w:val="0"/>
      <w:marRight w:val="0"/>
      <w:marTop w:val="0"/>
      <w:marBottom w:val="0"/>
      <w:divBdr>
        <w:top w:val="none" w:sz="0" w:space="0" w:color="auto"/>
        <w:left w:val="none" w:sz="0" w:space="0" w:color="auto"/>
        <w:bottom w:val="none" w:sz="0" w:space="0" w:color="auto"/>
        <w:right w:val="none" w:sz="0" w:space="0" w:color="auto"/>
      </w:divBdr>
    </w:div>
    <w:div w:id="10571015">
      <w:bodyDiv w:val="1"/>
      <w:marLeft w:val="0"/>
      <w:marRight w:val="0"/>
      <w:marTop w:val="0"/>
      <w:marBottom w:val="0"/>
      <w:divBdr>
        <w:top w:val="none" w:sz="0" w:space="0" w:color="auto"/>
        <w:left w:val="none" w:sz="0" w:space="0" w:color="auto"/>
        <w:bottom w:val="none" w:sz="0" w:space="0" w:color="auto"/>
        <w:right w:val="none" w:sz="0" w:space="0" w:color="auto"/>
      </w:divBdr>
    </w:div>
    <w:div w:id="11036299">
      <w:bodyDiv w:val="1"/>
      <w:marLeft w:val="0"/>
      <w:marRight w:val="0"/>
      <w:marTop w:val="0"/>
      <w:marBottom w:val="0"/>
      <w:divBdr>
        <w:top w:val="none" w:sz="0" w:space="0" w:color="auto"/>
        <w:left w:val="none" w:sz="0" w:space="0" w:color="auto"/>
        <w:bottom w:val="none" w:sz="0" w:space="0" w:color="auto"/>
        <w:right w:val="none" w:sz="0" w:space="0" w:color="auto"/>
      </w:divBdr>
      <w:divsChild>
        <w:div w:id="953562402">
          <w:marLeft w:val="547"/>
          <w:marRight w:val="0"/>
          <w:marTop w:val="134"/>
          <w:marBottom w:val="0"/>
          <w:divBdr>
            <w:top w:val="none" w:sz="0" w:space="0" w:color="auto"/>
            <w:left w:val="none" w:sz="0" w:space="0" w:color="auto"/>
            <w:bottom w:val="none" w:sz="0" w:space="0" w:color="auto"/>
            <w:right w:val="none" w:sz="0" w:space="0" w:color="auto"/>
          </w:divBdr>
        </w:div>
        <w:div w:id="1955821306">
          <w:marLeft w:val="547"/>
          <w:marRight w:val="0"/>
          <w:marTop w:val="134"/>
          <w:marBottom w:val="0"/>
          <w:divBdr>
            <w:top w:val="none" w:sz="0" w:space="0" w:color="auto"/>
            <w:left w:val="none" w:sz="0" w:space="0" w:color="auto"/>
            <w:bottom w:val="none" w:sz="0" w:space="0" w:color="auto"/>
            <w:right w:val="none" w:sz="0" w:space="0" w:color="auto"/>
          </w:divBdr>
        </w:div>
      </w:divsChild>
    </w:div>
    <w:div w:id="11617055">
      <w:bodyDiv w:val="1"/>
      <w:marLeft w:val="0"/>
      <w:marRight w:val="0"/>
      <w:marTop w:val="0"/>
      <w:marBottom w:val="0"/>
      <w:divBdr>
        <w:top w:val="none" w:sz="0" w:space="0" w:color="auto"/>
        <w:left w:val="none" w:sz="0" w:space="0" w:color="auto"/>
        <w:bottom w:val="none" w:sz="0" w:space="0" w:color="auto"/>
        <w:right w:val="none" w:sz="0" w:space="0" w:color="auto"/>
      </w:divBdr>
      <w:divsChild>
        <w:div w:id="217515571">
          <w:marLeft w:val="1166"/>
          <w:marRight w:val="0"/>
          <w:marTop w:val="96"/>
          <w:marBottom w:val="0"/>
          <w:divBdr>
            <w:top w:val="none" w:sz="0" w:space="0" w:color="auto"/>
            <w:left w:val="none" w:sz="0" w:space="0" w:color="auto"/>
            <w:bottom w:val="none" w:sz="0" w:space="0" w:color="auto"/>
            <w:right w:val="none" w:sz="0" w:space="0" w:color="auto"/>
          </w:divBdr>
        </w:div>
        <w:div w:id="479269274">
          <w:marLeft w:val="1800"/>
          <w:marRight w:val="0"/>
          <w:marTop w:val="86"/>
          <w:marBottom w:val="0"/>
          <w:divBdr>
            <w:top w:val="none" w:sz="0" w:space="0" w:color="auto"/>
            <w:left w:val="none" w:sz="0" w:space="0" w:color="auto"/>
            <w:bottom w:val="none" w:sz="0" w:space="0" w:color="auto"/>
            <w:right w:val="none" w:sz="0" w:space="0" w:color="auto"/>
          </w:divBdr>
        </w:div>
        <w:div w:id="608129043">
          <w:marLeft w:val="1800"/>
          <w:marRight w:val="0"/>
          <w:marTop w:val="86"/>
          <w:marBottom w:val="0"/>
          <w:divBdr>
            <w:top w:val="none" w:sz="0" w:space="0" w:color="auto"/>
            <w:left w:val="none" w:sz="0" w:space="0" w:color="auto"/>
            <w:bottom w:val="none" w:sz="0" w:space="0" w:color="auto"/>
            <w:right w:val="none" w:sz="0" w:space="0" w:color="auto"/>
          </w:divBdr>
        </w:div>
        <w:div w:id="776221357">
          <w:marLeft w:val="547"/>
          <w:marRight w:val="0"/>
          <w:marTop w:val="115"/>
          <w:marBottom w:val="0"/>
          <w:divBdr>
            <w:top w:val="none" w:sz="0" w:space="0" w:color="auto"/>
            <w:left w:val="none" w:sz="0" w:space="0" w:color="auto"/>
            <w:bottom w:val="none" w:sz="0" w:space="0" w:color="auto"/>
            <w:right w:val="none" w:sz="0" w:space="0" w:color="auto"/>
          </w:divBdr>
        </w:div>
        <w:div w:id="1049112649">
          <w:marLeft w:val="1166"/>
          <w:marRight w:val="0"/>
          <w:marTop w:val="96"/>
          <w:marBottom w:val="0"/>
          <w:divBdr>
            <w:top w:val="none" w:sz="0" w:space="0" w:color="auto"/>
            <w:left w:val="none" w:sz="0" w:space="0" w:color="auto"/>
            <w:bottom w:val="none" w:sz="0" w:space="0" w:color="auto"/>
            <w:right w:val="none" w:sz="0" w:space="0" w:color="auto"/>
          </w:divBdr>
        </w:div>
        <w:div w:id="1172140705">
          <w:marLeft w:val="1166"/>
          <w:marRight w:val="0"/>
          <w:marTop w:val="96"/>
          <w:marBottom w:val="0"/>
          <w:divBdr>
            <w:top w:val="none" w:sz="0" w:space="0" w:color="auto"/>
            <w:left w:val="none" w:sz="0" w:space="0" w:color="auto"/>
            <w:bottom w:val="none" w:sz="0" w:space="0" w:color="auto"/>
            <w:right w:val="none" w:sz="0" w:space="0" w:color="auto"/>
          </w:divBdr>
        </w:div>
        <w:div w:id="1873182003">
          <w:marLeft w:val="1166"/>
          <w:marRight w:val="0"/>
          <w:marTop w:val="96"/>
          <w:marBottom w:val="0"/>
          <w:divBdr>
            <w:top w:val="none" w:sz="0" w:space="0" w:color="auto"/>
            <w:left w:val="none" w:sz="0" w:space="0" w:color="auto"/>
            <w:bottom w:val="none" w:sz="0" w:space="0" w:color="auto"/>
            <w:right w:val="none" w:sz="0" w:space="0" w:color="auto"/>
          </w:divBdr>
        </w:div>
        <w:div w:id="2014069489">
          <w:marLeft w:val="1166"/>
          <w:marRight w:val="0"/>
          <w:marTop w:val="96"/>
          <w:marBottom w:val="0"/>
          <w:divBdr>
            <w:top w:val="none" w:sz="0" w:space="0" w:color="auto"/>
            <w:left w:val="none" w:sz="0" w:space="0" w:color="auto"/>
            <w:bottom w:val="none" w:sz="0" w:space="0" w:color="auto"/>
            <w:right w:val="none" w:sz="0" w:space="0" w:color="auto"/>
          </w:divBdr>
        </w:div>
      </w:divsChild>
    </w:div>
    <w:div w:id="12192337">
      <w:bodyDiv w:val="1"/>
      <w:marLeft w:val="0"/>
      <w:marRight w:val="0"/>
      <w:marTop w:val="0"/>
      <w:marBottom w:val="0"/>
      <w:divBdr>
        <w:top w:val="none" w:sz="0" w:space="0" w:color="auto"/>
        <w:left w:val="none" w:sz="0" w:space="0" w:color="auto"/>
        <w:bottom w:val="none" w:sz="0" w:space="0" w:color="auto"/>
        <w:right w:val="none" w:sz="0" w:space="0" w:color="auto"/>
      </w:divBdr>
      <w:divsChild>
        <w:div w:id="215237086">
          <w:marLeft w:val="360"/>
          <w:marRight w:val="0"/>
          <w:marTop w:val="200"/>
          <w:marBottom w:val="0"/>
          <w:divBdr>
            <w:top w:val="none" w:sz="0" w:space="0" w:color="auto"/>
            <w:left w:val="none" w:sz="0" w:space="0" w:color="auto"/>
            <w:bottom w:val="none" w:sz="0" w:space="0" w:color="auto"/>
            <w:right w:val="none" w:sz="0" w:space="0" w:color="auto"/>
          </w:divBdr>
        </w:div>
        <w:div w:id="322784441">
          <w:marLeft w:val="1080"/>
          <w:marRight w:val="0"/>
          <w:marTop w:val="100"/>
          <w:marBottom w:val="0"/>
          <w:divBdr>
            <w:top w:val="none" w:sz="0" w:space="0" w:color="auto"/>
            <w:left w:val="none" w:sz="0" w:space="0" w:color="auto"/>
            <w:bottom w:val="none" w:sz="0" w:space="0" w:color="auto"/>
            <w:right w:val="none" w:sz="0" w:space="0" w:color="auto"/>
          </w:divBdr>
        </w:div>
      </w:divsChild>
    </w:div>
    <w:div w:id="12658128">
      <w:bodyDiv w:val="1"/>
      <w:marLeft w:val="0"/>
      <w:marRight w:val="0"/>
      <w:marTop w:val="0"/>
      <w:marBottom w:val="0"/>
      <w:divBdr>
        <w:top w:val="none" w:sz="0" w:space="0" w:color="auto"/>
        <w:left w:val="none" w:sz="0" w:space="0" w:color="auto"/>
        <w:bottom w:val="none" w:sz="0" w:space="0" w:color="auto"/>
        <w:right w:val="none" w:sz="0" w:space="0" w:color="auto"/>
      </w:divBdr>
    </w:div>
    <w:div w:id="15498781">
      <w:bodyDiv w:val="1"/>
      <w:marLeft w:val="0"/>
      <w:marRight w:val="0"/>
      <w:marTop w:val="0"/>
      <w:marBottom w:val="0"/>
      <w:divBdr>
        <w:top w:val="none" w:sz="0" w:space="0" w:color="auto"/>
        <w:left w:val="none" w:sz="0" w:space="0" w:color="auto"/>
        <w:bottom w:val="none" w:sz="0" w:space="0" w:color="auto"/>
        <w:right w:val="none" w:sz="0" w:space="0" w:color="auto"/>
      </w:divBdr>
    </w:div>
    <w:div w:id="16781600">
      <w:bodyDiv w:val="1"/>
      <w:marLeft w:val="0"/>
      <w:marRight w:val="0"/>
      <w:marTop w:val="0"/>
      <w:marBottom w:val="0"/>
      <w:divBdr>
        <w:top w:val="none" w:sz="0" w:space="0" w:color="auto"/>
        <w:left w:val="none" w:sz="0" w:space="0" w:color="auto"/>
        <w:bottom w:val="none" w:sz="0" w:space="0" w:color="auto"/>
        <w:right w:val="none" w:sz="0" w:space="0" w:color="auto"/>
      </w:divBdr>
    </w:div>
    <w:div w:id="17853248">
      <w:bodyDiv w:val="1"/>
      <w:marLeft w:val="0"/>
      <w:marRight w:val="0"/>
      <w:marTop w:val="0"/>
      <w:marBottom w:val="0"/>
      <w:divBdr>
        <w:top w:val="none" w:sz="0" w:space="0" w:color="auto"/>
        <w:left w:val="none" w:sz="0" w:space="0" w:color="auto"/>
        <w:bottom w:val="none" w:sz="0" w:space="0" w:color="auto"/>
        <w:right w:val="none" w:sz="0" w:space="0" w:color="auto"/>
      </w:divBdr>
    </w:div>
    <w:div w:id="19012796">
      <w:bodyDiv w:val="1"/>
      <w:marLeft w:val="0"/>
      <w:marRight w:val="0"/>
      <w:marTop w:val="0"/>
      <w:marBottom w:val="0"/>
      <w:divBdr>
        <w:top w:val="none" w:sz="0" w:space="0" w:color="auto"/>
        <w:left w:val="none" w:sz="0" w:space="0" w:color="auto"/>
        <w:bottom w:val="none" w:sz="0" w:space="0" w:color="auto"/>
        <w:right w:val="none" w:sz="0" w:space="0" w:color="auto"/>
      </w:divBdr>
    </w:div>
    <w:div w:id="19481485">
      <w:bodyDiv w:val="1"/>
      <w:marLeft w:val="0"/>
      <w:marRight w:val="0"/>
      <w:marTop w:val="0"/>
      <w:marBottom w:val="0"/>
      <w:divBdr>
        <w:top w:val="none" w:sz="0" w:space="0" w:color="auto"/>
        <w:left w:val="none" w:sz="0" w:space="0" w:color="auto"/>
        <w:bottom w:val="none" w:sz="0" w:space="0" w:color="auto"/>
        <w:right w:val="none" w:sz="0" w:space="0" w:color="auto"/>
      </w:divBdr>
    </w:div>
    <w:div w:id="19748929">
      <w:bodyDiv w:val="1"/>
      <w:marLeft w:val="0"/>
      <w:marRight w:val="0"/>
      <w:marTop w:val="0"/>
      <w:marBottom w:val="0"/>
      <w:divBdr>
        <w:top w:val="none" w:sz="0" w:space="0" w:color="auto"/>
        <w:left w:val="none" w:sz="0" w:space="0" w:color="auto"/>
        <w:bottom w:val="none" w:sz="0" w:space="0" w:color="auto"/>
        <w:right w:val="none" w:sz="0" w:space="0" w:color="auto"/>
      </w:divBdr>
      <w:divsChild>
        <w:div w:id="576400825">
          <w:marLeft w:val="1166"/>
          <w:marRight w:val="0"/>
          <w:marTop w:val="96"/>
          <w:marBottom w:val="0"/>
          <w:divBdr>
            <w:top w:val="none" w:sz="0" w:space="0" w:color="auto"/>
            <w:left w:val="none" w:sz="0" w:space="0" w:color="auto"/>
            <w:bottom w:val="none" w:sz="0" w:space="0" w:color="auto"/>
            <w:right w:val="none" w:sz="0" w:space="0" w:color="auto"/>
          </w:divBdr>
        </w:div>
        <w:div w:id="1103498520">
          <w:marLeft w:val="547"/>
          <w:marRight w:val="0"/>
          <w:marTop w:val="115"/>
          <w:marBottom w:val="0"/>
          <w:divBdr>
            <w:top w:val="none" w:sz="0" w:space="0" w:color="auto"/>
            <w:left w:val="none" w:sz="0" w:space="0" w:color="auto"/>
            <w:bottom w:val="none" w:sz="0" w:space="0" w:color="auto"/>
            <w:right w:val="none" w:sz="0" w:space="0" w:color="auto"/>
          </w:divBdr>
        </w:div>
        <w:div w:id="1188758021">
          <w:marLeft w:val="1166"/>
          <w:marRight w:val="0"/>
          <w:marTop w:val="96"/>
          <w:marBottom w:val="0"/>
          <w:divBdr>
            <w:top w:val="none" w:sz="0" w:space="0" w:color="auto"/>
            <w:left w:val="none" w:sz="0" w:space="0" w:color="auto"/>
            <w:bottom w:val="none" w:sz="0" w:space="0" w:color="auto"/>
            <w:right w:val="none" w:sz="0" w:space="0" w:color="auto"/>
          </w:divBdr>
        </w:div>
        <w:div w:id="1224834677">
          <w:marLeft w:val="1166"/>
          <w:marRight w:val="0"/>
          <w:marTop w:val="96"/>
          <w:marBottom w:val="0"/>
          <w:divBdr>
            <w:top w:val="none" w:sz="0" w:space="0" w:color="auto"/>
            <w:left w:val="none" w:sz="0" w:space="0" w:color="auto"/>
            <w:bottom w:val="none" w:sz="0" w:space="0" w:color="auto"/>
            <w:right w:val="none" w:sz="0" w:space="0" w:color="auto"/>
          </w:divBdr>
        </w:div>
      </w:divsChild>
    </w:div>
    <w:div w:id="20715494">
      <w:bodyDiv w:val="1"/>
      <w:marLeft w:val="0"/>
      <w:marRight w:val="0"/>
      <w:marTop w:val="0"/>
      <w:marBottom w:val="0"/>
      <w:divBdr>
        <w:top w:val="none" w:sz="0" w:space="0" w:color="auto"/>
        <w:left w:val="none" w:sz="0" w:space="0" w:color="auto"/>
        <w:bottom w:val="none" w:sz="0" w:space="0" w:color="auto"/>
        <w:right w:val="none" w:sz="0" w:space="0" w:color="auto"/>
      </w:divBdr>
      <w:divsChild>
        <w:div w:id="826019467">
          <w:marLeft w:val="0"/>
          <w:marRight w:val="0"/>
          <w:marTop w:val="0"/>
          <w:marBottom w:val="0"/>
          <w:divBdr>
            <w:top w:val="none" w:sz="0" w:space="0" w:color="auto"/>
            <w:left w:val="none" w:sz="0" w:space="0" w:color="auto"/>
            <w:bottom w:val="none" w:sz="0" w:space="0" w:color="auto"/>
            <w:right w:val="none" w:sz="0" w:space="0" w:color="auto"/>
          </w:divBdr>
          <w:divsChild>
            <w:div w:id="198516604">
              <w:marLeft w:val="0"/>
              <w:marRight w:val="0"/>
              <w:marTop w:val="0"/>
              <w:marBottom w:val="0"/>
              <w:divBdr>
                <w:top w:val="none" w:sz="0" w:space="0" w:color="auto"/>
                <w:left w:val="none" w:sz="0" w:space="0" w:color="auto"/>
                <w:bottom w:val="none" w:sz="0" w:space="0" w:color="auto"/>
                <w:right w:val="none" w:sz="0" w:space="0" w:color="auto"/>
              </w:divBdr>
            </w:div>
            <w:div w:id="300572303">
              <w:marLeft w:val="0"/>
              <w:marRight w:val="0"/>
              <w:marTop w:val="0"/>
              <w:marBottom w:val="0"/>
              <w:divBdr>
                <w:top w:val="none" w:sz="0" w:space="0" w:color="auto"/>
                <w:left w:val="none" w:sz="0" w:space="0" w:color="auto"/>
                <w:bottom w:val="none" w:sz="0" w:space="0" w:color="auto"/>
                <w:right w:val="none" w:sz="0" w:space="0" w:color="auto"/>
              </w:divBdr>
            </w:div>
            <w:div w:id="18083577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253469">
      <w:bodyDiv w:val="1"/>
      <w:marLeft w:val="0"/>
      <w:marRight w:val="0"/>
      <w:marTop w:val="0"/>
      <w:marBottom w:val="0"/>
      <w:divBdr>
        <w:top w:val="none" w:sz="0" w:space="0" w:color="auto"/>
        <w:left w:val="none" w:sz="0" w:space="0" w:color="auto"/>
        <w:bottom w:val="none" w:sz="0" w:space="0" w:color="auto"/>
        <w:right w:val="none" w:sz="0" w:space="0" w:color="auto"/>
      </w:divBdr>
    </w:div>
    <w:div w:id="21709168">
      <w:bodyDiv w:val="1"/>
      <w:marLeft w:val="0"/>
      <w:marRight w:val="0"/>
      <w:marTop w:val="0"/>
      <w:marBottom w:val="0"/>
      <w:divBdr>
        <w:top w:val="none" w:sz="0" w:space="0" w:color="auto"/>
        <w:left w:val="none" w:sz="0" w:space="0" w:color="auto"/>
        <w:bottom w:val="none" w:sz="0" w:space="0" w:color="auto"/>
        <w:right w:val="none" w:sz="0" w:space="0" w:color="auto"/>
      </w:divBdr>
    </w:div>
    <w:div w:id="22021029">
      <w:bodyDiv w:val="1"/>
      <w:marLeft w:val="0"/>
      <w:marRight w:val="0"/>
      <w:marTop w:val="0"/>
      <w:marBottom w:val="0"/>
      <w:divBdr>
        <w:top w:val="none" w:sz="0" w:space="0" w:color="auto"/>
        <w:left w:val="none" w:sz="0" w:space="0" w:color="auto"/>
        <w:bottom w:val="none" w:sz="0" w:space="0" w:color="auto"/>
        <w:right w:val="none" w:sz="0" w:space="0" w:color="auto"/>
      </w:divBdr>
    </w:div>
    <w:div w:id="22097327">
      <w:bodyDiv w:val="1"/>
      <w:marLeft w:val="0"/>
      <w:marRight w:val="0"/>
      <w:marTop w:val="0"/>
      <w:marBottom w:val="0"/>
      <w:divBdr>
        <w:top w:val="none" w:sz="0" w:space="0" w:color="auto"/>
        <w:left w:val="none" w:sz="0" w:space="0" w:color="auto"/>
        <w:bottom w:val="none" w:sz="0" w:space="0" w:color="auto"/>
        <w:right w:val="none" w:sz="0" w:space="0" w:color="auto"/>
      </w:divBdr>
    </w:div>
    <w:div w:id="22445740">
      <w:bodyDiv w:val="1"/>
      <w:marLeft w:val="0"/>
      <w:marRight w:val="0"/>
      <w:marTop w:val="0"/>
      <w:marBottom w:val="0"/>
      <w:divBdr>
        <w:top w:val="none" w:sz="0" w:space="0" w:color="auto"/>
        <w:left w:val="none" w:sz="0" w:space="0" w:color="auto"/>
        <w:bottom w:val="none" w:sz="0" w:space="0" w:color="auto"/>
        <w:right w:val="none" w:sz="0" w:space="0" w:color="auto"/>
      </w:divBdr>
    </w:div>
    <w:div w:id="22748265">
      <w:bodyDiv w:val="1"/>
      <w:marLeft w:val="0"/>
      <w:marRight w:val="0"/>
      <w:marTop w:val="0"/>
      <w:marBottom w:val="0"/>
      <w:divBdr>
        <w:top w:val="none" w:sz="0" w:space="0" w:color="auto"/>
        <w:left w:val="none" w:sz="0" w:space="0" w:color="auto"/>
        <w:bottom w:val="none" w:sz="0" w:space="0" w:color="auto"/>
        <w:right w:val="none" w:sz="0" w:space="0" w:color="auto"/>
      </w:divBdr>
      <w:divsChild>
        <w:div w:id="211693015">
          <w:marLeft w:val="360"/>
          <w:marRight w:val="0"/>
          <w:marTop w:val="200"/>
          <w:marBottom w:val="0"/>
          <w:divBdr>
            <w:top w:val="none" w:sz="0" w:space="0" w:color="auto"/>
            <w:left w:val="none" w:sz="0" w:space="0" w:color="auto"/>
            <w:bottom w:val="none" w:sz="0" w:space="0" w:color="auto"/>
            <w:right w:val="none" w:sz="0" w:space="0" w:color="auto"/>
          </w:divBdr>
        </w:div>
        <w:div w:id="260379862">
          <w:marLeft w:val="360"/>
          <w:marRight w:val="0"/>
          <w:marTop w:val="200"/>
          <w:marBottom w:val="0"/>
          <w:divBdr>
            <w:top w:val="none" w:sz="0" w:space="0" w:color="auto"/>
            <w:left w:val="none" w:sz="0" w:space="0" w:color="auto"/>
            <w:bottom w:val="none" w:sz="0" w:space="0" w:color="auto"/>
            <w:right w:val="none" w:sz="0" w:space="0" w:color="auto"/>
          </w:divBdr>
        </w:div>
        <w:div w:id="300967967">
          <w:marLeft w:val="360"/>
          <w:marRight w:val="0"/>
          <w:marTop w:val="200"/>
          <w:marBottom w:val="0"/>
          <w:divBdr>
            <w:top w:val="none" w:sz="0" w:space="0" w:color="auto"/>
            <w:left w:val="none" w:sz="0" w:space="0" w:color="auto"/>
            <w:bottom w:val="none" w:sz="0" w:space="0" w:color="auto"/>
            <w:right w:val="none" w:sz="0" w:space="0" w:color="auto"/>
          </w:divBdr>
        </w:div>
        <w:div w:id="322198095">
          <w:marLeft w:val="1080"/>
          <w:marRight w:val="0"/>
          <w:marTop w:val="100"/>
          <w:marBottom w:val="0"/>
          <w:divBdr>
            <w:top w:val="none" w:sz="0" w:space="0" w:color="auto"/>
            <w:left w:val="none" w:sz="0" w:space="0" w:color="auto"/>
            <w:bottom w:val="none" w:sz="0" w:space="0" w:color="auto"/>
            <w:right w:val="none" w:sz="0" w:space="0" w:color="auto"/>
          </w:divBdr>
        </w:div>
        <w:div w:id="525413267">
          <w:marLeft w:val="360"/>
          <w:marRight w:val="0"/>
          <w:marTop w:val="200"/>
          <w:marBottom w:val="0"/>
          <w:divBdr>
            <w:top w:val="none" w:sz="0" w:space="0" w:color="auto"/>
            <w:left w:val="none" w:sz="0" w:space="0" w:color="auto"/>
            <w:bottom w:val="none" w:sz="0" w:space="0" w:color="auto"/>
            <w:right w:val="none" w:sz="0" w:space="0" w:color="auto"/>
          </w:divBdr>
        </w:div>
        <w:div w:id="527136747">
          <w:marLeft w:val="360"/>
          <w:marRight w:val="0"/>
          <w:marTop w:val="200"/>
          <w:marBottom w:val="0"/>
          <w:divBdr>
            <w:top w:val="none" w:sz="0" w:space="0" w:color="auto"/>
            <w:left w:val="none" w:sz="0" w:space="0" w:color="auto"/>
            <w:bottom w:val="none" w:sz="0" w:space="0" w:color="auto"/>
            <w:right w:val="none" w:sz="0" w:space="0" w:color="auto"/>
          </w:divBdr>
        </w:div>
        <w:div w:id="608585841">
          <w:marLeft w:val="1800"/>
          <w:marRight w:val="0"/>
          <w:marTop w:val="100"/>
          <w:marBottom w:val="0"/>
          <w:divBdr>
            <w:top w:val="none" w:sz="0" w:space="0" w:color="auto"/>
            <w:left w:val="none" w:sz="0" w:space="0" w:color="auto"/>
            <w:bottom w:val="none" w:sz="0" w:space="0" w:color="auto"/>
            <w:right w:val="none" w:sz="0" w:space="0" w:color="auto"/>
          </w:divBdr>
        </w:div>
        <w:div w:id="810440523">
          <w:marLeft w:val="360"/>
          <w:marRight w:val="0"/>
          <w:marTop w:val="200"/>
          <w:marBottom w:val="0"/>
          <w:divBdr>
            <w:top w:val="none" w:sz="0" w:space="0" w:color="auto"/>
            <w:left w:val="none" w:sz="0" w:space="0" w:color="auto"/>
            <w:bottom w:val="none" w:sz="0" w:space="0" w:color="auto"/>
            <w:right w:val="none" w:sz="0" w:space="0" w:color="auto"/>
          </w:divBdr>
        </w:div>
        <w:div w:id="1306854893">
          <w:marLeft w:val="360"/>
          <w:marRight w:val="0"/>
          <w:marTop w:val="200"/>
          <w:marBottom w:val="0"/>
          <w:divBdr>
            <w:top w:val="none" w:sz="0" w:space="0" w:color="auto"/>
            <w:left w:val="none" w:sz="0" w:space="0" w:color="auto"/>
            <w:bottom w:val="none" w:sz="0" w:space="0" w:color="auto"/>
            <w:right w:val="none" w:sz="0" w:space="0" w:color="auto"/>
          </w:divBdr>
        </w:div>
        <w:div w:id="1418134340">
          <w:marLeft w:val="360"/>
          <w:marRight w:val="0"/>
          <w:marTop w:val="200"/>
          <w:marBottom w:val="0"/>
          <w:divBdr>
            <w:top w:val="none" w:sz="0" w:space="0" w:color="auto"/>
            <w:left w:val="none" w:sz="0" w:space="0" w:color="auto"/>
            <w:bottom w:val="none" w:sz="0" w:space="0" w:color="auto"/>
            <w:right w:val="none" w:sz="0" w:space="0" w:color="auto"/>
          </w:divBdr>
        </w:div>
        <w:div w:id="1432511832">
          <w:marLeft w:val="1800"/>
          <w:marRight w:val="0"/>
          <w:marTop w:val="100"/>
          <w:marBottom w:val="0"/>
          <w:divBdr>
            <w:top w:val="none" w:sz="0" w:space="0" w:color="auto"/>
            <w:left w:val="none" w:sz="0" w:space="0" w:color="auto"/>
            <w:bottom w:val="none" w:sz="0" w:space="0" w:color="auto"/>
            <w:right w:val="none" w:sz="0" w:space="0" w:color="auto"/>
          </w:divBdr>
        </w:div>
        <w:div w:id="1538077790">
          <w:marLeft w:val="1080"/>
          <w:marRight w:val="0"/>
          <w:marTop w:val="100"/>
          <w:marBottom w:val="0"/>
          <w:divBdr>
            <w:top w:val="none" w:sz="0" w:space="0" w:color="auto"/>
            <w:left w:val="none" w:sz="0" w:space="0" w:color="auto"/>
            <w:bottom w:val="none" w:sz="0" w:space="0" w:color="auto"/>
            <w:right w:val="none" w:sz="0" w:space="0" w:color="auto"/>
          </w:divBdr>
        </w:div>
        <w:div w:id="1651708969">
          <w:marLeft w:val="360"/>
          <w:marRight w:val="0"/>
          <w:marTop w:val="200"/>
          <w:marBottom w:val="0"/>
          <w:divBdr>
            <w:top w:val="none" w:sz="0" w:space="0" w:color="auto"/>
            <w:left w:val="none" w:sz="0" w:space="0" w:color="auto"/>
            <w:bottom w:val="none" w:sz="0" w:space="0" w:color="auto"/>
            <w:right w:val="none" w:sz="0" w:space="0" w:color="auto"/>
          </w:divBdr>
        </w:div>
        <w:div w:id="1763649128">
          <w:marLeft w:val="2520"/>
          <w:marRight w:val="0"/>
          <w:marTop w:val="100"/>
          <w:marBottom w:val="0"/>
          <w:divBdr>
            <w:top w:val="none" w:sz="0" w:space="0" w:color="auto"/>
            <w:left w:val="none" w:sz="0" w:space="0" w:color="auto"/>
            <w:bottom w:val="none" w:sz="0" w:space="0" w:color="auto"/>
            <w:right w:val="none" w:sz="0" w:space="0" w:color="auto"/>
          </w:divBdr>
        </w:div>
        <w:div w:id="2032997455">
          <w:marLeft w:val="360"/>
          <w:marRight w:val="0"/>
          <w:marTop w:val="200"/>
          <w:marBottom w:val="0"/>
          <w:divBdr>
            <w:top w:val="none" w:sz="0" w:space="0" w:color="auto"/>
            <w:left w:val="none" w:sz="0" w:space="0" w:color="auto"/>
            <w:bottom w:val="none" w:sz="0" w:space="0" w:color="auto"/>
            <w:right w:val="none" w:sz="0" w:space="0" w:color="auto"/>
          </w:divBdr>
        </w:div>
        <w:div w:id="2066680089">
          <w:marLeft w:val="360"/>
          <w:marRight w:val="0"/>
          <w:marTop w:val="200"/>
          <w:marBottom w:val="0"/>
          <w:divBdr>
            <w:top w:val="none" w:sz="0" w:space="0" w:color="auto"/>
            <w:left w:val="none" w:sz="0" w:space="0" w:color="auto"/>
            <w:bottom w:val="none" w:sz="0" w:space="0" w:color="auto"/>
            <w:right w:val="none" w:sz="0" w:space="0" w:color="auto"/>
          </w:divBdr>
        </w:div>
      </w:divsChild>
    </w:div>
    <w:div w:id="22823454">
      <w:bodyDiv w:val="1"/>
      <w:marLeft w:val="0"/>
      <w:marRight w:val="0"/>
      <w:marTop w:val="0"/>
      <w:marBottom w:val="0"/>
      <w:divBdr>
        <w:top w:val="none" w:sz="0" w:space="0" w:color="auto"/>
        <w:left w:val="none" w:sz="0" w:space="0" w:color="auto"/>
        <w:bottom w:val="none" w:sz="0" w:space="0" w:color="auto"/>
        <w:right w:val="none" w:sz="0" w:space="0" w:color="auto"/>
      </w:divBdr>
      <w:divsChild>
        <w:div w:id="1423604041">
          <w:marLeft w:val="547"/>
          <w:marRight w:val="0"/>
          <w:marTop w:val="154"/>
          <w:marBottom w:val="0"/>
          <w:divBdr>
            <w:top w:val="none" w:sz="0" w:space="0" w:color="auto"/>
            <w:left w:val="none" w:sz="0" w:space="0" w:color="auto"/>
            <w:bottom w:val="none" w:sz="0" w:space="0" w:color="auto"/>
            <w:right w:val="none" w:sz="0" w:space="0" w:color="auto"/>
          </w:divBdr>
        </w:div>
      </w:divsChild>
    </w:div>
    <w:div w:id="22946024">
      <w:bodyDiv w:val="1"/>
      <w:marLeft w:val="0"/>
      <w:marRight w:val="0"/>
      <w:marTop w:val="0"/>
      <w:marBottom w:val="0"/>
      <w:divBdr>
        <w:top w:val="none" w:sz="0" w:space="0" w:color="auto"/>
        <w:left w:val="none" w:sz="0" w:space="0" w:color="auto"/>
        <w:bottom w:val="none" w:sz="0" w:space="0" w:color="auto"/>
        <w:right w:val="none" w:sz="0" w:space="0" w:color="auto"/>
      </w:divBdr>
    </w:div>
    <w:div w:id="23137725">
      <w:bodyDiv w:val="1"/>
      <w:marLeft w:val="0"/>
      <w:marRight w:val="0"/>
      <w:marTop w:val="0"/>
      <w:marBottom w:val="0"/>
      <w:divBdr>
        <w:top w:val="none" w:sz="0" w:space="0" w:color="auto"/>
        <w:left w:val="none" w:sz="0" w:space="0" w:color="auto"/>
        <w:bottom w:val="none" w:sz="0" w:space="0" w:color="auto"/>
        <w:right w:val="none" w:sz="0" w:space="0" w:color="auto"/>
      </w:divBdr>
    </w:div>
    <w:div w:id="24137706">
      <w:bodyDiv w:val="1"/>
      <w:marLeft w:val="0"/>
      <w:marRight w:val="0"/>
      <w:marTop w:val="0"/>
      <w:marBottom w:val="0"/>
      <w:divBdr>
        <w:top w:val="none" w:sz="0" w:space="0" w:color="auto"/>
        <w:left w:val="none" w:sz="0" w:space="0" w:color="auto"/>
        <w:bottom w:val="none" w:sz="0" w:space="0" w:color="auto"/>
        <w:right w:val="none" w:sz="0" w:space="0" w:color="auto"/>
      </w:divBdr>
      <w:divsChild>
        <w:div w:id="461193294">
          <w:marLeft w:val="1800"/>
          <w:marRight w:val="0"/>
          <w:marTop w:val="86"/>
          <w:marBottom w:val="0"/>
          <w:divBdr>
            <w:top w:val="none" w:sz="0" w:space="0" w:color="auto"/>
            <w:left w:val="none" w:sz="0" w:space="0" w:color="auto"/>
            <w:bottom w:val="none" w:sz="0" w:space="0" w:color="auto"/>
            <w:right w:val="none" w:sz="0" w:space="0" w:color="auto"/>
          </w:divBdr>
        </w:div>
        <w:div w:id="782067776">
          <w:marLeft w:val="547"/>
          <w:marRight w:val="0"/>
          <w:marTop w:val="115"/>
          <w:marBottom w:val="0"/>
          <w:divBdr>
            <w:top w:val="none" w:sz="0" w:space="0" w:color="auto"/>
            <w:left w:val="none" w:sz="0" w:space="0" w:color="auto"/>
            <w:bottom w:val="none" w:sz="0" w:space="0" w:color="auto"/>
            <w:right w:val="none" w:sz="0" w:space="0" w:color="auto"/>
          </w:divBdr>
        </w:div>
        <w:div w:id="957839683">
          <w:marLeft w:val="1166"/>
          <w:marRight w:val="0"/>
          <w:marTop w:val="96"/>
          <w:marBottom w:val="0"/>
          <w:divBdr>
            <w:top w:val="none" w:sz="0" w:space="0" w:color="auto"/>
            <w:left w:val="none" w:sz="0" w:space="0" w:color="auto"/>
            <w:bottom w:val="none" w:sz="0" w:space="0" w:color="auto"/>
            <w:right w:val="none" w:sz="0" w:space="0" w:color="auto"/>
          </w:divBdr>
        </w:div>
        <w:div w:id="994340101">
          <w:marLeft w:val="1166"/>
          <w:marRight w:val="0"/>
          <w:marTop w:val="96"/>
          <w:marBottom w:val="0"/>
          <w:divBdr>
            <w:top w:val="none" w:sz="0" w:space="0" w:color="auto"/>
            <w:left w:val="none" w:sz="0" w:space="0" w:color="auto"/>
            <w:bottom w:val="none" w:sz="0" w:space="0" w:color="auto"/>
            <w:right w:val="none" w:sz="0" w:space="0" w:color="auto"/>
          </w:divBdr>
        </w:div>
        <w:div w:id="1189640154">
          <w:marLeft w:val="547"/>
          <w:marRight w:val="0"/>
          <w:marTop w:val="115"/>
          <w:marBottom w:val="0"/>
          <w:divBdr>
            <w:top w:val="none" w:sz="0" w:space="0" w:color="auto"/>
            <w:left w:val="none" w:sz="0" w:space="0" w:color="auto"/>
            <w:bottom w:val="none" w:sz="0" w:space="0" w:color="auto"/>
            <w:right w:val="none" w:sz="0" w:space="0" w:color="auto"/>
          </w:divBdr>
        </w:div>
        <w:div w:id="1425226851">
          <w:marLeft w:val="1166"/>
          <w:marRight w:val="0"/>
          <w:marTop w:val="96"/>
          <w:marBottom w:val="0"/>
          <w:divBdr>
            <w:top w:val="none" w:sz="0" w:space="0" w:color="auto"/>
            <w:left w:val="none" w:sz="0" w:space="0" w:color="auto"/>
            <w:bottom w:val="none" w:sz="0" w:space="0" w:color="auto"/>
            <w:right w:val="none" w:sz="0" w:space="0" w:color="auto"/>
          </w:divBdr>
        </w:div>
        <w:div w:id="1619949431">
          <w:marLeft w:val="1166"/>
          <w:marRight w:val="0"/>
          <w:marTop w:val="96"/>
          <w:marBottom w:val="0"/>
          <w:divBdr>
            <w:top w:val="none" w:sz="0" w:space="0" w:color="auto"/>
            <w:left w:val="none" w:sz="0" w:space="0" w:color="auto"/>
            <w:bottom w:val="none" w:sz="0" w:space="0" w:color="auto"/>
            <w:right w:val="none" w:sz="0" w:space="0" w:color="auto"/>
          </w:divBdr>
        </w:div>
        <w:div w:id="1658999818">
          <w:marLeft w:val="1166"/>
          <w:marRight w:val="0"/>
          <w:marTop w:val="96"/>
          <w:marBottom w:val="0"/>
          <w:divBdr>
            <w:top w:val="none" w:sz="0" w:space="0" w:color="auto"/>
            <w:left w:val="none" w:sz="0" w:space="0" w:color="auto"/>
            <w:bottom w:val="none" w:sz="0" w:space="0" w:color="auto"/>
            <w:right w:val="none" w:sz="0" w:space="0" w:color="auto"/>
          </w:divBdr>
        </w:div>
        <w:div w:id="1736932262">
          <w:marLeft w:val="1166"/>
          <w:marRight w:val="0"/>
          <w:marTop w:val="96"/>
          <w:marBottom w:val="0"/>
          <w:divBdr>
            <w:top w:val="none" w:sz="0" w:space="0" w:color="auto"/>
            <w:left w:val="none" w:sz="0" w:space="0" w:color="auto"/>
            <w:bottom w:val="none" w:sz="0" w:space="0" w:color="auto"/>
            <w:right w:val="none" w:sz="0" w:space="0" w:color="auto"/>
          </w:divBdr>
        </w:div>
      </w:divsChild>
    </w:div>
    <w:div w:id="25638132">
      <w:bodyDiv w:val="1"/>
      <w:marLeft w:val="0"/>
      <w:marRight w:val="0"/>
      <w:marTop w:val="0"/>
      <w:marBottom w:val="0"/>
      <w:divBdr>
        <w:top w:val="none" w:sz="0" w:space="0" w:color="auto"/>
        <w:left w:val="none" w:sz="0" w:space="0" w:color="auto"/>
        <w:bottom w:val="none" w:sz="0" w:space="0" w:color="auto"/>
        <w:right w:val="none" w:sz="0" w:space="0" w:color="auto"/>
      </w:divBdr>
    </w:div>
    <w:div w:id="25713295">
      <w:bodyDiv w:val="1"/>
      <w:marLeft w:val="0"/>
      <w:marRight w:val="0"/>
      <w:marTop w:val="0"/>
      <w:marBottom w:val="0"/>
      <w:divBdr>
        <w:top w:val="none" w:sz="0" w:space="0" w:color="auto"/>
        <w:left w:val="none" w:sz="0" w:space="0" w:color="auto"/>
        <w:bottom w:val="none" w:sz="0" w:space="0" w:color="auto"/>
        <w:right w:val="none" w:sz="0" w:space="0" w:color="auto"/>
      </w:divBdr>
      <w:divsChild>
        <w:div w:id="608662850">
          <w:marLeft w:val="360"/>
          <w:marRight w:val="0"/>
          <w:marTop w:val="200"/>
          <w:marBottom w:val="0"/>
          <w:divBdr>
            <w:top w:val="none" w:sz="0" w:space="0" w:color="auto"/>
            <w:left w:val="none" w:sz="0" w:space="0" w:color="auto"/>
            <w:bottom w:val="none" w:sz="0" w:space="0" w:color="auto"/>
            <w:right w:val="none" w:sz="0" w:space="0" w:color="auto"/>
          </w:divBdr>
        </w:div>
        <w:div w:id="1207064298">
          <w:marLeft w:val="360"/>
          <w:marRight w:val="0"/>
          <w:marTop w:val="200"/>
          <w:marBottom w:val="0"/>
          <w:divBdr>
            <w:top w:val="none" w:sz="0" w:space="0" w:color="auto"/>
            <w:left w:val="none" w:sz="0" w:space="0" w:color="auto"/>
            <w:bottom w:val="none" w:sz="0" w:space="0" w:color="auto"/>
            <w:right w:val="none" w:sz="0" w:space="0" w:color="auto"/>
          </w:divBdr>
        </w:div>
      </w:divsChild>
    </w:div>
    <w:div w:id="26149376">
      <w:bodyDiv w:val="1"/>
      <w:marLeft w:val="0"/>
      <w:marRight w:val="0"/>
      <w:marTop w:val="0"/>
      <w:marBottom w:val="0"/>
      <w:divBdr>
        <w:top w:val="none" w:sz="0" w:space="0" w:color="auto"/>
        <w:left w:val="none" w:sz="0" w:space="0" w:color="auto"/>
        <w:bottom w:val="none" w:sz="0" w:space="0" w:color="auto"/>
        <w:right w:val="none" w:sz="0" w:space="0" w:color="auto"/>
      </w:divBdr>
    </w:div>
    <w:div w:id="26416373">
      <w:bodyDiv w:val="1"/>
      <w:marLeft w:val="0"/>
      <w:marRight w:val="0"/>
      <w:marTop w:val="0"/>
      <w:marBottom w:val="0"/>
      <w:divBdr>
        <w:top w:val="none" w:sz="0" w:space="0" w:color="auto"/>
        <w:left w:val="none" w:sz="0" w:space="0" w:color="auto"/>
        <w:bottom w:val="none" w:sz="0" w:space="0" w:color="auto"/>
        <w:right w:val="none" w:sz="0" w:space="0" w:color="auto"/>
      </w:divBdr>
    </w:div>
    <w:div w:id="26639221">
      <w:bodyDiv w:val="1"/>
      <w:marLeft w:val="0"/>
      <w:marRight w:val="0"/>
      <w:marTop w:val="0"/>
      <w:marBottom w:val="0"/>
      <w:divBdr>
        <w:top w:val="none" w:sz="0" w:space="0" w:color="auto"/>
        <w:left w:val="none" w:sz="0" w:space="0" w:color="auto"/>
        <w:bottom w:val="none" w:sz="0" w:space="0" w:color="auto"/>
        <w:right w:val="none" w:sz="0" w:space="0" w:color="auto"/>
      </w:divBdr>
    </w:div>
    <w:div w:id="26832965">
      <w:bodyDiv w:val="1"/>
      <w:marLeft w:val="0"/>
      <w:marRight w:val="0"/>
      <w:marTop w:val="0"/>
      <w:marBottom w:val="0"/>
      <w:divBdr>
        <w:top w:val="none" w:sz="0" w:space="0" w:color="auto"/>
        <w:left w:val="none" w:sz="0" w:space="0" w:color="auto"/>
        <w:bottom w:val="none" w:sz="0" w:space="0" w:color="auto"/>
        <w:right w:val="none" w:sz="0" w:space="0" w:color="auto"/>
      </w:divBdr>
    </w:div>
    <w:div w:id="26954959">
      <w:bodyDiv w:val="1"/>
      <w:marLeft w:val="0"/>
      <w:marRight w:val="0"/>
      <w:marTop w:val="0"/>
      <w:marBottom w:val="0"/>
      <w:divBdr>
        <w:top w:val="none" w:sz="0" w:space="0" w:color="auto"/>
        <w:left w:val="none" w:sz="0" w:space="0" w:color="auto"/>
        <w:bottom w:val="none" w:sz="0" w:space="0" w:color="auto"/>
        <w:right w:val="none" w:sz="0" w:space="0" w:color="auto"/>
      </w:divBdr>
    </w:div>
    <w:div w:id="27219201">
      <w:bodyDiv w:val="1"/>
      <w:marLeft w:val="0"/>
      <w:marRight w:val="0"/>
      <w:marTop w:val="0"/>
      <w:marBottom w:val="0"/>
      <w:divBdr>
        <w:top w:val="none" w:sz="0" w:space="0" w:color="auto"/>
        <w:left w:val="none" w:sz="0" w:space="0" w:color="auto"/>
        <w:bottom w:val="none" w:sz="0" w:space="0" w:color="auto"/>
        <w:right w:val="none" w:sz="0" w:space="0" w:color="auto"/>
      </w:divBdr>
    </w:div>
    <w:div w:id="27339959">
      <w:bodyDiv w:val="1"/>
      <w:marLeft w:val="0"/>
      <w:marRight w:val="0"/>
      <w:marTop w:val="0"/>
      <w:marBottom w:val="0"/>
      <w:divBdr>
        <w:top w:val="none" w:sz="0" w:space="0" w:color="auto"/>
        <w:left w:val="none" w:sz="0" w:space="0" w:color="auto"/>
        <w:bottom w:val="none" w:sz="0" w:space="0" w:color="auto"/>
        <w:right w:val="none" w:sz="0" w:space="0" w:color="auto"/>
      </w:divBdr>
    </w:div>
    <w:div w:id="27488566">
      <w:bodyDiv w:val="1"/>
      <w:marLeft w:val="0"/>
      <w:marRight w:val="0"/>
      <w:marTop w:val="0"/>
      <w:marBottom w:val="0"/>
      <w:divBdr>
        <w:top w:val="none" w:sz="0" w:space="0" w:color="auto"/>
        <w:left w:val="none" w:sz="0" w:space="0" w:color="auto"/>
        <w:bottom w:val="none" w:sz="0" w:space="0" w:color="auto"/>
        <w:right w:val="none" w:sz="0" w:space="0" w:color="auto"/>
      </w:divBdr>
    </w:div>
    <w:div w:id="28337766">
      <w:bodyDiv w:val="1"/>
      <w:marLeft w:val="0"/>
      <w:marRight w:val="0"/>
      <w:marTop w:val="0"/>
      <w:marBottom w:val="0"/>
      <w:divBdr>
        <w:top w:val="none" w:sz="0" w:space="0" w:color="auto"/>
        <w:left w:val="none" w:sz="0" w:space="0" w:color="auto"/>
        <w:bottom w:val="none" w:sz="0" w:space="0" w:color="auto"/>
        <w:right w:val="none" w:sz="0" w:space="0" w:color="auto"/>
      </w:divBdr>
    </w:div>
    <w:div w:id="28531955">
      <w:bodyDiv w:val="1"/>
      <w:marLeft w:val="0"/>
      <w:marRight w:val="0"/>
      <w:marTop w:val="0"/>
      <w:marBottom w:val="0"/>
      <w:divBdr>
        <w:top w:val="none" w:sz="0" w:space="0" w:color="auto"/>
        <w:left w:val="none" w:sz="0" w:space="0" w:color="auto"/>
        <w:bottom w:val="none" w:sz="0" w:space="0" w:color="auto"/>
        <w:right w:val="none" w:sz="0" w:space="0" w:color="auto"/>
      </w:divBdr>
    </w:div>
    <w:div w:id="28847796">
      <w:bodyDiv w:val="1"/>
      <w:marLeft w:val="0"/>
      <w:marRight w:val="0"/>
      <w:marTop w:val="0"/>
      <w:marBottom w:val="0"/>
      <w:divBdr>
        <w:top w:val="none" w:sz="0" w:space="0" w:color="auto"/>
        <w:left w:val="none" w:sz="0" w:space="0" w:color="auto"/>
        <w:bottom w:val="none" w:sz="0" w:space="0" w:color="auto"/>
        <w:right w:val="none" w:sz="0" w:space="0" w:color="auto"/>
      </w:divBdr>
      <w:divsChild>
        <w:div w:id="1167163251">
          <w:marLeft w:val="547"/>
          <w:marRight w:val="0"/>
          <w:marTop w:val="134"/>
          <w:marBottom w:val="0"/>
          <w:divBdr>
            <w:top w:val="none" w:sz="0" w:space="0" w:color="auto"/>
            <w:left w:val="none" w:sz="0" w:space="0" w:color="auto"/>
            <w:bottom w:val="none" w:sz="0" w:space="0" w:color="auto"/>
            <w:right w:val="none" w:sz="0" w:space="0" w:color="auto"/>
          </w:divBdr>
        </w:div>
        <w:div w:id="1309900509">
          <w:marLeft w:val="547"/>
          <w:marRight w:val="0"/>
          <w:marTop w:val="134"/>
          <w:marBottom w:val="0"/>
          <w:divBdr>
            <w:top w:val="none" w:sz="0" w:space="0" w:color="auto"/>
            <w:left w:val="none" w:sz="0" w:space="0" w:color="auto"/>
            <w:bottom w:val="none" w:sz="0" w:space="0" w:color="auto"/>
            <w:right w:val="none" w:sz="0" w:space="0" w:color="auto"/>
          </w:divBdr>
        </w:div>
        <w:div w:id="2002805721">
          <w:marLeft w:val="547"/>
          <w:marRight w:val="0"/>
          <w:marTop w:val="134"/>
          <w:marBottom w:val="0"/>
          <w:divBdr>
            <w:top w:val="none" w:sz="0" w:space="0" w:color="auto"/>
            <w:left w:val="none" w:sz="0" w:space="0" w:color="auto"/>
            <w:bottom w:val="none" w:sz="0" w:space="0" w:color="auto"/>
            <w:right w:val="none" w:sz="0" w:space="0" w:color="auto"/>
          </w:divBdr>
        </w:div>
      </w:divsChild>
    </w:div>
    <w:div w:id="29302895">
      <w:bodyDiv w:val="1"/>
      <w:marLeft w:val="0"/>
      <w:marRight w:val="0"/>
      <w:marTop w:val="0"/>
      <w:marBottom w:val="0"/>
      <w:divBdr>
        <w:top w:val="none" w:sz="0" w:space="0" w:color="auto"/>
        <w:left w:val="none" w:sz="0" w:space="0" w:color="auto"/>
        <w:bottom w:val="none" w:sz="0" w:space="0" w:color="auto"/>
        <w:right w:val="none" w:sz="0" w:space="0" w:color="auto"/>
      </w:divBdr>
    </w:div>
    <w:div w:id="29962377">
      <w:bodyDiv w:val="1"/>
      <w:marLeft w:val="0"/>
      <w:marRight w:val="0"/>
      <w:marTop w:val="0"/>
      <w:marBottom w:val="0"/>
      <w:divBdr>
        <w:top w:val="none" w:sz="0" w:space="0" w:color="auto"/>
        <w:left w:val="none" w:sz="0" w:space="0" w:color="auto"/>
        <w:bottom w:val="none" w:sz="0" w:space="0" w:color="auto"/>
        <w:right w:val="none" w:sz="0" w:space="0" w:color="auto"/>
      </w:divBdr>
      <w:divsChild>
        <w:div w:id="438332888">
          <w:marLeft w:val="547"/>
          <w:marRight w:val="0"/>
          <w:marTop w:val="96"/>
          <w:marBottom w:val="0"/>
          <w:divBdr>
            <w:top w:val="none" w:sz="0" w:space="0" w:color="auto"/>
            <w:left w:val="none" w:sz="0" w:space="0" w:color="auto"/>
            <w:bottom w:val="none" w:sz="0" w:space="0" w:color="auto"/>
            <w:right w:val="none" w:sz="0" w:space="0" w:color="auto"/>
          </w:divBdr>
        </w:div>
        <w:div w:id="517354880">
          <w:marLeft w:val="1166"/>
          <w:marRight w:val="0"/>
          <w:marTop w:val="77"/>
          <w:marBottom w:val="0"/>
          <w:divBdr>
            <w:top w:val="none" w:sz="0" w:space="0" w:color="auto"/>
            <w:left w:val="none" w:sz="0" w:space="0" w:color="auto"/>
            <w:bottom w:val="none" w:sz="0" w:space="0" w:color="auto"/>
            <w:right w:val="none" w:sz="0" w:space="0" w:color="auto"/>
          </w:divBdr>
        </w:div>
        <w:div w:id="1325550856">
          <w:marLeft w:val="1166"/>
          <w:marRight w:val="0"/>
          <w:marTop w:val="77"/>
          <w:marBottom w:val="0"/>
          <w:divBdr>
            <w:top w:val="none" w:sz="0" w:space="0" w:color="auto"/>
            <w:left w:val="none" w:sz="0" w:space="0" w:color="auto"/>
            <w:bottom w:val="none" w:sz="0" w:space="0" w:color="auto"/>
            <w:right w:val="none" w:sz="0" w:space="0" w:color="auto"/>
          </w:divBdr>
        </w:div>
        <w:div w:id="1687057600">
          <w:marLeft w:val="547"/>
          <w:marRight w:val="0"/>
          <w:marTop w:val="96"/>
          <w:marBottom w:val="0"/>
          <w:divBdr>
            <w:top w:val="none" w:sz="0" w:space="0" w:color="auto"/>
            <w:left w:val="none" w:sz="0" w:space="0" w:color="auto"/>
            <w:bottom w:val="none" w:sz="0" w:space="0" w:color="auto"/>
            <w:right w:val="none" w:sz="0" w:space="0" w:color="auto"/>
          </w:divBdr>
        </w:div>
      </w:divsChild>
    </w:div>
    <w:div w:id="30351381">
      <w:bodyDiv w:val="1"/>
      <w:marLeft w:val="0"/>
      <w:marRight w:val="0"/>
      <w:marTop w:val="0"/>
      <w:marBottom w:val="0"/>
      <w:divBdr>
        <w:top w:val="none" w:sz="0" w:space="0" w:color="auto"/>
        <w:left w:val="none" w:sz="0" w:space="0" w:color="auto"/>
        <w:bottom w:val="none" w:sz="0" w:space="0" w:color="auto"/>
        <w:right w:val="none" w:sz="0" w:space="0" w:color="auto"/>
      </w:divBdr>
    </w:div>
    <w:div w:id="30887987">
      <w:bodyDiv w:val="1"/>
      <w:marLeft w:val="0"/>
      <w:marRight w:val="0"/>
      <w:marTop w:val="0"/>
      <w:marBottom w:val="0"/>
      <w:divBdr>
        <w:top w:val="none" w:sz="0" w:space="0" w:color="auto"/>
        <w:left w:val="none" w:sz="0" w:space="0" w:color="auto"/>
        <w:bottom w:val="none" w:sz="0" w:space="0" w:color="auto"/>
        <w:right w:val="none" w:sz="0" w:space="0" w:color="auto"/>
      </w:divBdr>
    </w:div>
    <w:div w:id="31225511">
      <w:bodyDiv w:val="1"/>
      <w:marLeft w:val="0"/>
      <w:marRight w:val="0"/>
      <w:marTop w:val="0"/>
      <w:marBottom w:val="0"/>
      <w:divBdr>
        <w:top w:val="none" w:sz="0" w:space="0" w:color="auto"/>
        <w:left w:val="none" w:sz="0" w:space="0" w:color="auto"/>
        <w:bottom w:val="none" w:sz="0" w:space="0" w:color="auto"/>
        <w:right w:val="none" w:sz="0" w:space="0" w:color="auto"/>
      </w:divBdr>
    </w:div>
    <w:div w:id="31659732">
      <w:bodyDiv w:val="1"/>
      <w:marLeft w:val="0"/>
      <w:marRight w:val="0"/>
      <w:marTop w:val="0"/>
      <w:marBottom w:val="0"/>
      <w:divBdr>
        <w:top w:val="none" w:sz="0" w:space="0" w:color="auto"/>
        <w:left w:val="none" w:sz="0" w:space="0" w:color="auto"/>
        <w:bottom w:val="none" w:sz="0" w:space="0" w:color="auto"/>
        <w:right w:val="none" w:sz="0" w:space="0" w:color="auto"/>
      </w:divBdr>
      <w:divsChild>
        <w:div w:id="162816063">
          <w:marLeft w:val="1800"/>
          <w:marRight w:val="0"/>
          <w:marTop w:val="96"/>
          <w:marBottom w:val="0"/>
          <w:divBdr>
            <w:top w:val="none" w:sz="0" w:space="0" w:color="auto"/>
            <w:left w:val="none" w:sz="0" w:space="0" w:color="auto"/>
            <w:bottom w:val="none" w:sz="0" w:space="0" w:color="auto"/>
            <w:right w:val="none" w:sz="0" w:space="0" w:color="auto"/>
          </w:divBdr>
        </w:div>
        <w:div w:id="289239795">
          <w:marLeft w:val="1166"/>
          <w:marRight w:val="0"/>
          <w:marTop w:val="115"/>
          <w:marBottom w:val="0"/>
          <w:divBdr>
            <w:top w:val="none" w:sz="0" w:space="0" w:color="auto"/>
            <w:left w:val="none" w:sz="0" w:space="0" w:color="auto"/>
            <w:bottom w:val="none" w:sz="0" w:space="0" w:color="auto"/>
            <w:right w:val="none" w:sz="0" w:space="0" w:color="auto"/>
          </w:divBdr>
        </w:div>
        <w:div w:id="342976586">
          <w:marLeft w:val="1800"/>
          <w:marRight w:val="0"/>
          <w:marTop w:val="96"/>
          <w:marBottom w:val="0"/>
          <w:divBdr>
            <w:top w:val="none" w:sz="0" w:space="0" w:color="auto"/>
            <w:left w:val="none" w:sz="0" w:space="0" w:color="auto"/>
            <w:bottom w:val="none" w:sz="0" w:space="0" w:color="auto"/>
            <w:right w:val="none" w:sz="0" w:space="0" w:color="auto"/>
          </w:divBdr>
        </w:div>
        <w:div w:id="515922878">
          <w:marLeft w:val="1166"/>
          <w:marRight w:val="0"/>
          <w:marTop w:val="115"/>
          <w:marBottom w:val="0"/>
          <w:divBdr>
            <w:top w:val="none" w:sz="0" w:space="0" w:color="auto"/>
            <w:left w:val="none" w:sz="0" w:space="0" w:color="auto"/>
            <w:bottom w:val="none" w:sz="0" w:space="0" w:color="auto"/>
            <w:right w:val="none" w:sz="0" w:space="0" w:color="auto"/>
          </w:divBdr>
        </w:div>
        <w:div w:id="1399593433">
          <w:marLeft w:val="1800"/>
          <w:marRight w:val="0"/>
          <w:marTop w:val="96"/>
          <w:marBottom w:val="0"/>
          <w:divBdr>
            <w:top w:val="none" w:sz="0" w:space="0" w:color="auto"/>
            <w:left w:val="none" w:sz="0" w:space="0" w:color="auto"/>
            <w:bottom w:val="none" w:sz="0" w:space="0" w:color="auto"/>
            <w:right w:val="none" w:sz="0" w:space="0" w:color="auto"/>
          </w:divBdr>
        </w:div>
        <w:div w:id="1824736495">
          <w:marLeft w:val="547"/>
          <w:marRight w:val="0"/>
          <w:marTop w:val="134"/>
          <w:marBottom w:val="0"/>
          <w:divBdr>
            <w:top w:val="none" w:sz="0" w:space="0" w:color="auto"/>
            <w:left w:val="none" w:sz="0" w:space="0" w:color="auto"/>
            <w:bottom w:val="none" w:sz="0" w:space="0" w:color="auto"/>
            <w:right w:val="none" w:sz="0" w:space="0" w:color="auto"/>
          </w:divBdr>
        </w:div>
      </w:divsChild>
    </w:div>
    <w:div w:id="31733033">
      <w:bodyDiv w:val="1"/>
      <w:marLeft w:val="0"/>
      <w:marRight w:val="0"/>
      <w:marTop w:val="0"/>
      <w:marBottom w:val="0"/>
      <w:divBdr>
        <w:top w:val="none" w:sz="0" w:space="0" w:color="auto"/>
        <w:left w:val="none" w:sz="0" w:space="0" w:color="auto"/>
        <w:bottom w:val="none" w:sz="0" w:space="0" w:color="auto"/>
        <w:right w:val="none" w:sz="0" w:space="0" w:color="auto"/>
      </w:divBdr>
    </w:div>
    <w:div w:id="32388913">
      <w:bodyDiv w:val="1"/>
      <w:marLeft w:val="0"/>
      <w:marRight w:val="0"/>
      <w:marTop w:val="0"/>
      <w:marBottom w:val="0"/>
      <w:divBdr>
        <w:top w:val="none" w:sz="0" w:space="0" w:color="auto"/>
        <w:left w:val="none" w:sz="0" w:space="0" w:color="auto"/>
        <w:bottom w:val="none" w:sz="0" w:space="0" w:color="auto"/>
        <w:right w:val="none" w:sz="0" w:space="0" w:color="auto"/>
      </w:divBdr>
    </w:div>
    <w:div w:id="33190878">
      <w:bodyDiv w:val="1"/>
      <w:marLeft w:val="0"/>
      <w:marRight w:val="0"/>
      <w:marTop w:val="0"/>
      <w:marBottom w:val="0"/>
      <w:divBdr>
        <w:top w:val="none" w:sz="0" w:space="0" w:color="auto"/>
        <w:left w:val="none" w:sz="0" w:space="0" w:color="auto"/>
        <w:bottom w:val="none" w:sz="0" w:space="0" w:color="auto"/>
        <w:right w:val="none" w:sz="0" w:space="0" w:color="auto"/>
      </w:divBdr>
    </w:div>
    <w:div w:id="33847710">
      <w:bodyDiv w:val="1"/>
      <w:marLeft w:val="0"/>
      <w:marRight w:val="0"/>
      <w:marTop w:val="0"/>
      <w:marBottom w:val="0"/>
      <w:divBdr>
        <w:top w:val="none" w:sz="0" w:space="0" w:color="auto"/>
        <w:left w:val="none" w:sz="0" w:space="0" w:color="auto"/>
        <w:bottom w:val="none" w:sz="0" w:space="0" w:color="auto"/>
        <w:right w:val="none" w:sz="0" w:space="0" w:color="auto"/>
      </w:divBdr>
    </w:div>
    <w:div w:id="34736502">
      <w:bodyDiv w:val="1"/>
      <w:marLeft w:val="0"/>
      <w:marRight w:val="0"/>
      <w:marTop w:val="0"/>
      <w:marBottom w:val="0"/>
      <w:divBdr>
        <w:top w:val="none" w:sz="0" w:space="0" w:color="auto"/>
        <w:left w:val="none" w:sz="0" w:space="0" w:color="auto"/>
        <w:bottom w:val="none" w:sz="0" w:space="0" w:color="auto"/>
        <w:right w:val="none" w:sz="0" w:space="0" w:color="auto"/>
      </w:divBdr>
      <w:divsChild>
        <w:div w:id="55393804">
          <w:marLeft w:val="1166"/>
          <w:marRight w:val="0"/>
          <w:marTop w:val="115"/>
          <w:marBottom w:val="0"/>
          <w:divBdr>
            <w:top w:val="none" w:sz="0" w:space="0" w:color="auto"/>
            <w:left w:val="none" w:sz="0" w:space="0" w:color="auto"/>
            <w:bottom w:val="none" w:sz="0" w:space="0" w:color="auto"/>
            <w:right w:val="none" w:sz="0" w:space="0" w:color="auto"/>
          </w:divBdr>
        </w:div>
        <w:div w:id="127478815">
          <w:marLeft w:val="1166"/>
          <w:marRight w:val="0"/>
          <w:marTop w:val="115"/>
          <w:marBottom w:val="0"/>
          <w:divBdr>
            <w:top w:val="none" w:sz="0" w:space="0" w:color="auto"/>
            <w:left w:val="none" w:sz="0" w:space="0" w:color="auto"/>
            <w:bottom w:val="none" w:sz="0" w:space="0" w:color="auto"/>
            <w:right w:val="none" w:sz="0" w:space="0" w:color="auto"/>
          </w:divBdr>
        </w:div>
        <w:div w:id="361442411">
          <w:marLeft w:val="1166"/>
          <w:marRight w:val="0"/>
          <w:marTop w:val="115"/>
          <w:marBottom w:val="0"/>
          <w:divBdr>
            <w:top w:val="none" w:sz="0" w:space="0" w:color="auto"/>
            <w:left w:val="none" w:sz="0" w:space="0" w:color="auto"/>
            <w:bottom w:val="none" w:sz="0" w:space="0" w:color="auto"/>
            <w:right w:val="none" w:sz="0" w:space="0" w:color="auto"/>
          </w:divBdr>
        </w:div>
        <w:div w:id="569582042">
          <w:marLeft w:val="1166"/>
          <w:marRight w:val="0"/>
          <w:marTop w:val="115"/>
          <w:marBottom w:val="0"/>
          <w:divBdr>
            <w:top w:val="none" w:sz="0" w:space="0" w:color="auto"/>
            <w:left w:val="none" w:sz="0" w:space="0" w:color="auto"/>
            <w:bottom w:val="none" w:sz="0" w:space="0" w:color="auto"/>
            <w:right w:val="none" w:sz="0" w:space="0" w:color="auto"/>
          </w:divBdr>
        </w:div>
        <w:div w:id="988628489">
          <w:marLeft w:val="547"/>
          <w:marRight w:val="0"/>
          <w:marTop w:val="130"/>
          <w:marBottom w:val="0"/>
          <w:divBdr>
            <w:top w:val="none" w:sz="0" w:space="0" w:color="auto"/>
            <w:left w:val="none" w:sz="0" w:space="0" w:color="auto"/>
            <w:bottom w:val="none" w:sz="0" w:space="0" w:color="auto"/>
            <w:right w:val="none" w:sz="0" w:space="0" w:color="auto"/>
          </w:divBdr>
        </w:div>
        <w:div w:id="1509717078">
          <w:marLeft w:val="547"/>
          <w:marRight w:val="0"/>
          <w:marTop w:val="130"/>
          <w:marBottom w:val="0"/>
          <w:divBdr>
            <w:top w:val="none" w:sz="0" w:space="0" w:color="auto"/>
            <w:left w:val="none" w:sz="0" w:space="0" w:color="auto"/>
            <w:bottom w:val="none" w:sz="0" w:space="0" w:color="auto"/>
            <w:right w:val="none" w:sz="0" w:space="0" w:color="auto"/>
          </w:divBdr>
        </w:div>
        <w:div w:id="1539465324">
          <w:marLeft w:val="1166"/>
          <w:marRight w:val="0"/>
          <w:marTop w:val="115"/>
          <w:marBottom w:val="0"/>
          <w:divBdr>
            <w:top w:val="none" w:sz="0" w:space="0" w:color="auto"/>
            <w:left w:val="none" w:sz="0" w:space="0" w:color="auto"/>
            <w:bottom w:val="none" w:sz="0" w:space="0" w:color="auto"/>
            <w:right w:val="none" w:sz="0" w:space="0" w:color="auto"/>
          </w:divBdr>
        </w:div>
        <w:div w:id="1858695462">
          <w:marLeft w:val="1166"/>
          <w:marRight w:val="0"/>
          <w:marTop w:val="115"/>
          <w:marBottom w:val="0"/>
          <w:divBdr>
            <w:top w:val="none" w:sz="0" w:space="0" w:color="auto"/>
            <w:left w:val="none" w:sz="0" w:space="0" w:color="auto"/>
            <w:bottom w:val="none" w:sz="0" w:space="0" w:color="auto"/>
            <w:right w:val="none" w:sz="0" w:space="0" w:color="auto"/>
          </w:divBdr>
        </w:div>
        <w:div w:id="2016303797">
          <w:marLeft w:val="547"/>
          <w:marRight w:val="0"/>
          <w:marTop w:val="130"/>
          <w:marBottom w:val="0"/>
          <w:divBdr>
            <w:top w:val="none" w:sz="0" w:space="0" w:color="auto"/>
            <w:left w:val="none" w:sz="0" w:space="0" w:color="auto"/>
            <w:bottom w:val="none" w:sz="0" w:space="0" w:color="auto"/>
            <w:right w:val="none" w:sz="0" w:space="0" w:color="auto"/>
          </w:divBdr>
        </w:div>
      </w:divsChild>
    </w:div>
    <w:div w:id="35392570">
      <w:bodyDiv w:val="1"/>
      <w:marLeft w:val="0"/>
      <w:marRight w:val="0"/>
      <w:marTop w:val="0"/>
      <w:marBottom w:val="0"/>
      <w:divBdr>
        <w:top w:val="none" w:sz="0" w:space="0" w:color="auto"/>
        <w:left w:val="none" w:sz="0" w:space="0" w:color="auto"/>
        <w:bottom w:val="none" w:sz="0" w:space="0" w:color="auto"/>
        <w:right w:val="none" w:sz="0" w:space="0" w:color="auto"/>
      </w:divBdr>
    </w:div>
    <w:div w:id="35395938">
      <w:bodyDiv w:val="1"/>
      <w:marLeft w:val="0"/>
      <w:marRight w:val="0"/>
      <w:marTop w:val="0"/>
      <w:marBottom w:val="0"/>
      <w:divBdr>
        <w:top w:val="none" w:sz="0" w:space="0" w:color="auto"/>
        <w:left w:val="none" w:sz="0" w:space="0" w:color="auto"/>
        <w:bottom w:val="none" w:sz="0" w:space="0" w:color="auto"/>
        <w:right w:val="none" w:sz="0" w:space="0" w:color="auto"/>
      </w:divBdr>
    </w:div>
    <w:div w:id="36245195">
      <w:bodyDiv w:val="1"/>
      <w:marLeft w:val="0"/>
      <w:marRight w:val="0"/>
      <w:marTop w:val="0"/>
      <w:marBottom w:val="0"/>
      <w:divBdr>
        <w:top w:val="none" w:sz="0" w:space="0" w:color="auto"/>
        <w:left w:val="none" w:sz="0" w:space="0" w:color="auto"/>
        <w:bottom w:val="none" w:sz="0" w:space="0" w:color="auto"/>
        <w:right w:val="none" w:sz="0" w:space="0" w:color="auto"/>
      </w:divBdr>
    </w:div>
    <w:div w:id="36246837">
      <w:bodyDiv w:val="1"/>
      <w:marLeft w:val="0"/>
      <w:marRight w:val="0"/>
      <w:marTop w:val="0"/>
      <w:marBottom w:val="0"/>
      <w:divBdr>
        <w:top w:val="none" w:sz="0" w:space="0" w:color="auto"/>
        <w:left w:val="none" w:sz="0" w:space="0" w:color="auto"/>
        <w:bottom w:val="none" w:sz="0" w:space="0" w:color="auto"/>
        <w:right w:val="none" w:sz="0" w:space="0" w:color="auto"/>
      </w:divBdr>
    </w:div>
    <w:div w:id="36397593">
      <w:bodyDiv w:val="1"/>
      <w:marLeft w:val="0"/>
      <w:marRight w:val="0"/>
      <w:marTop w:val="0"/>
      <w:marBottom w:val="0"/>
      <w:divBdr>
        <w:top w:val="none" w:sz="0" w:space="0" w:color="auto"/>
        <w:left w:val="none" w:sz="0" w:space="0" w:color="auto"/>
        <w:bottom w:val="none" w:sz="0" w:space="0" w:color="auto"/>
        <w:right w:val="none" w:sz="0" w:space="0" w:color="auto"/>
      </w:divBdr>
      <w:divsChild>
        <w:div w:id="187718782">
          <w:marLeft w:val="547"/>
          <w:marRight w:val="0"/>
          <w:marTop w:val="120"/>
          <w:marBottom w:val="0"/>
          <w:divBdr>
            <w:top w:val="none" w:sz="0" w:space="0" w:color="auto"/>
            <w:left w:val="none" w:sz="0" w:space="0" w:color="auto"/>
            <w:bottom w:val="none" w:sz="0" w:space="0" w:color="auto"/>
            <w:right w:val="none" w:sz="0" w:space="0" w:color="auto"/>
          </w:divBdr>
        </w:div>
        <w:div w:id="195048284">
          <w:marLeft w:val="1800"/>
          <w:marRight w:val="0"/>
          <w:marTop w:val="91"/>
          <w:marBottom w:val="0"/>
          <w:divBdr>
            <w:top w:val="none" w:sz="0" w:space="0" w:color="auto"/>
            <w:left w:val="none" w:sz="0" w:space="0" w:color="auto"/>
            <w:bottom w:val="none" w:sz="0" w:space="0" w:color="auto"/>
            <w:right w:val="none" w:sz="0" w:space="0" w:color="auto"/>
          </w:divBdr>
        </w:div>
        <w:div w:id="571890574">
          <w:marLeft w:val="1800"/>
          <w:marRight w:val="0"/>
          <w:marTop w:val="91"/>
          <w:marBottom w:val="0"/>
          <w:divBdr>
            <w:top w:val="none" w:sz="0" w:space="0" w:color="auto"/>
            <w:left w:val="none" w:sz="0" w:space="0" w:color="auto"/>
            <w:bottom w:val="none" w:sz="0" w:space="0" w:color="auto"/>
            <w:right w:val="none" w:sz="0" w:space="0" w:color="auto"/>
          </w:divBdr>
        </w:div>
        <w:div w:id="888956145">
          <w:marLeft w:val="1166"/>
          <w:marRight w:val="0"/>
          <w:marTop w:val="106"/>
          <w:marBottom w:val="0"/>
          <w:divBdr>
            <w:top w:val="none" w:sz="0" w:space="0" w:color="auto"/>
            <w:left w:val="none" w:sz="0" w:space="0" w:color="auto"/>
            <w:bottom w:val="none" w:sz="0" w:space="0" w:color="auto"/>
            <w:right w:val="none" w:sz="0" w:space="0" w:color="auto"/>
          </w:divBdr>
        </w:div>
        <w:div w:id="1461803975">
          <w:marLeft w:val="1166"/>
          <w:marRight w:val="0"/>
          <w:marTop w:val="106"/>
          <w:marBottom w:val="0"/>
          <w:divBdr>
            <w:top w:val="none" w:sz="0" w:space="0" w:color="auto"/>
            <w:left w:val="none" w:sz="0" w:space="0" w:color="auto"/>
            <w:bottom w:val="none" w:sz="0" w:space="0" w:color="auto"/>
            <w:right w:val="none" w:sz="0" w:space="0" w:color="auto"/>
          </w:divBdr>
        </w:div>
        <w:div w:id="1496847340">
          <w:marLeft w:val="547"/>
          <w:marRight w:val="0"/>
          <w:marTop w:val="120"/>
          <w:marBottom w:val="0"/>
          <w:divBdr>
            <w:top w:val="none" w:sz="0" w:space="0" w:color="auto"/>
            <w:left w:val="none" w:sz="0" w:space="0" w:color="auto"/>
            <w:bottom w:val="none" w:sz="0" w:space="0" w:color="auto"/>
            <w:right w:val="none" w:sz="0" w:space="0" w:color="auto"/>
          </w:divBdr>
        </w:div>
        <w:div w:id="1657760906">
          <w:marLeft w:val="1166"/>
          <w:marRight w:val="0"/>
          <w:marTop w:val="106"/>
          <w:marBottom w:val="0"/>
          <w:divBdr>
            <w:top w:val="none" w:sz="0" w:space="0" w:color="auto"/>
            <w:left w:val="none" w:sz="0" w:space="0" w:color="auto"/>
            <w:bottom w:val="none" w:sz="0" w:space="0" w:color="auto"/>
            <w:right w:val="none" w:sz="0" w:space="0" w:color="auto"/>
          </w:divBdr>
        </w:div>
        <w:div w:id="1771387356">
          <w:marLeft w:val="1166"/>
          <w:marRight w:val="0"/>
          <w:marTop w:val="106"/>
          <w:marBottom w:val="0"/>
          <w:divBdr>
            <w:top w:val="none" w:sz="0" w:space="0" w:color="auto"/>
            <w:left w:val="none" w:sz="0" w:space="0" w:color="auto"/>
            <w:bottom w:val="none" w:sz="0" w:space="0" w:color="auto"/>
            <w:right w:val="none" w:sz="0" w:space="0" w:color="auto"/>
          </w:divBdr>
        </w:div>
        <w:div w:id="1773553561">
          <w:marLeft w:val="547"/>
          <w:marRight w:val="0"/>
          <w:marTop w:val="120"/>
          <w:marBottom w:val="0"/>
          <w:divBdr>
            <w:top w:val="none" w:sz="0" w:space="0" w:color="auto"/>
            <w:left w:val="none" w:sz="0" w:space="0" w:color="auto"/>
            <w:bottom w:val="none" w:sz="0" w:space="0" w:color="auto"/>
            <w:right w:val="none" w:sz="0" w:space="0" w:color="auto"/>
          </w:divBdr>
        </w:div>
      </w:divsChild>
    </w:div>
    <w:div w:id="36707566">
      <w:bodyDiv w:val="1"/>
      <w:marLeft w:val="0"/>
      <w:marRight w:val="0"/>
      <w:marTop w:val="0"/>
      <w:marBottom w:val="0"/>
      <w:divBdr>
        <w:top w:val="none" w:sz="0" w:space="0" w:color="auto"/>
        <w:left w:val="none" w:sz="0" w:space="0" w:color="auto"/>
        <w:bottom w:val="none" w:sz="0" w:space="0" w:color="auto"/>
        <w:right w:val="none" w:sz="0" w:space="0" w:color="auto"/>
      </w:divBdr>
    </w:div>
    <w:div w:id="36857677">
      <w:bodyDiv w:val="1"/>
      <w:marLeft w:val="0"/>
      <w:marRight w:val="0"/>
      <w:marTop w:val="0"/>
      <w:marBottom w:val="0"/>
      <w:divBdr>
        <w:top w:val="none" w:sz="0" w:space="0" w:color="auto"/>
        <w:left w:val="none" w:sz="0" w:space="0" w:color="auto"/>
        <w:bottom w:val="none" w:sz="0" w:space="0" w:color="auto"/>
        <w:right w:val="none" w:sz="0" w:space="0" w:color="auto"/>
      </w:divBdr>
    </w:div>
    <w:div w:id="37629911">
      <w:bodyDiv w:val="1"/>
      <w:marLeft w:val="0"/>
      <w:marRight w:val="0"/>
      <w:marTop w:val="0"/>
      <w:marBottom w:val="0"/>
      <w:divBdr>
        <w:top w:val="none" w:sz="0" w:space="0" w:color="auto"/>
        <w:left w:val="none" w:sz="0" w:space="0" w:color="auto"/>
        <w:bottom w:val="none" w:sz="0" w:space="0" w:color="auto"/>
        <w:right w:val="none" w:sz="0" w:space="0" w:color="auto"/>
      </w:divBdr>
    </w:div>
    <w:div w:id="38287705">
      <w:bodyDiv w:val="1"/>
      <w:marLeft w:val="0"/>
      <w:marRight w:val="0"/>
      <w:marTop w:val="0"/>
      <w:marBottom w:val="0"/>
      <w:divBdr>
        <w:top w:val="none" w:sz="0" w:space="0" w:color="auto"/>
        <w:left w:val="none" w:sz="0" w:space="0" w:color="auto"/>
        <w:bottom w:val="none" w:sz="0" w:space="0" w:color="auto"/>
        <w:right w:val="none" w:sz="0" w:space="0" w:color="auto"/>
      </w:divBdr>
    </w:div>
    <w:div w:id="38675407">
      <w:bodyDiv w:val="1"/>
      <w:marLeft w:val="0"/>
      <w:marRight w:val="0"/>
      <w:marTop w:val="0"/>
      <w:marBottom w:val="0"/>
      <w:divBdr>
        <w:top w:val="none" w:sz="0" w:space="0" w:color="auto"/>
        <w:left w:val="none" w:sz="0" w:space="0" w:color="auto"/>
        <w:bottom w:val="none" w:sz="0" w:space="0" w:color="auto"/>
        <w:right w:val="none" w:sz="0" w:space="0" w:color="auto"/>
      </w:divBdr>
      <w:divsChild>
        <w:div w:id="869800276">
          <w:marLeft w:val="1166"/>
          <w:marRight w:val="0"/>
          <w:marTop w:val="86"/>
          <w:marBottom w:val="0"/>
          <w:divBdr>
            <w:top w:val="none" w:sz="0" w:space="0" w:color="auto"/>
            <w:left w:val="none" w:sz="0" w:space="0" w:color="auto"/>
            <w:bottom w:val="none" w:sz="0" w:space="0" w:color="auto"/>
            <w:right w:val="none" w:sz="0" w:space="0" w:color="auto"/>
          </w:divBdr>
        </w:div>
        <w:div w:id="978801167">
          <w:marLeft w:val="547"/>
          <w:marRight w:val="0"/>
          <w:marTop w:val="106"/>
          <w:marBottom w:val="0"/>
          <w:divBdr>
            <w:top w:val="none" w:sz="0" w:space="0" w:color="auto"/>
            <w:left w:val="none" w:sz="0" w:space="0" w:color="auto"/>
            <w:bottom w:val="none" w:sz="0" w:space="0" w:color="auto"/>
            <w:right w:val="none" w:sz="0" w:space="0" w:color="auto"/>
          </w:divBdr>
        </w:div>
        <w:div w:id="1033651899">
          <w:marLeft w:val="547"/>
          <w:marRight w:val="0"/>
          <w:marTop w:val="96"/>
          <w:marBottom w:val="0"/>
          <w:divBdr>
            <w:top w:val="none" w:sz="0" w:space="0" w:color="auto"/>
            <w:left w:val="none" w:sz="0" w:space="0" w:color="auto"/>
            <w:bottom w:val="none" w:sz="0" w:space="0" w:color="auto"/>
            <w:right w:val="none" w:sz="0" w:space="0" w:color="auto"/>
          </w:divBdr>
        </w:div>
        <w:div w:id="1635524147">
          <w:marLeft w:val="1166"/>
          <w:marRight w:val="0"/>
          <w:marTop w:val="86"/>
          <w:marBottom w:val="0"/>
          <w:divBdr>
            <w:top w:val="none" w:sz="0" w:space="0" w:color="auto"/>
            <w:left w:val="none" w:sz="0" w:space="0" w:color="auto"/>
            <w:bottom w:val="none" w:sz="0" w:space="0" w:color="auto"/>
            <w:right w:val="none" w:sz="0" w:space="0" w:color="auto"/>
          </w:divBdr>
        </w:div>
        <w:div w:id="2087219184">
          <w:marLeft w:val="547"/>
          <w:marRight w:val="0"/>
          <w:marTop w:val="106"/>
          <w:marBottom w:val="0"/>
          <w:divBdr>
            <w:top w:val="none" w:sz="0" w:space="0" w:color="auto"/>
            <w:left w:val="none" w:sz="0" w:space="0" w:color="auto"/>
            <w:bottom w:val="none" w:sz="0" w:space="0" w:color="auto"/>
            <w:right w:val="none" w:sz="0" w:space="0" w:color="auto"/>
          </w:divBdr>
        </w:div>
      </w:divsChild>
    </w:div>
    <w:div w:id="38743441">
      <w:bodyDiv w:val="1"/>
      <w:marLeft w:val="0"/>
      <w:marRight w:val="0"/>
      <w:marTop w:val="0"/>
      <w:marBottom w:val="0"/>
      <w:divBdr>
        <w:top w:val="none" w:sz="0" w:space="0" w:color="auto"/>
        <w:left w:val="none" w:sz="0" w:space="0" w:color="auto"/>
        <w:bottom w:val="none" w:sz="0" w:space="0" w:color="auto"/>
        <w:right w:val="none" w:sz="0" w:space="0" w:color="auto"/>
      </w:divBdr>
    </w:div>
    <w:div w:id="38867390">
      <w:bodyDiv w:val="1"/>
      <w:marLeft w:val="0"/>
      <w:marRight w:val="0"/>
      <w:marTop w:val="0"/>
      <w:marBottom w:val="0"/>
      <w:divBdr>
        <w:top w:val="none" w:sz="0" w:space="0" w:color="auto"/>
        <w:left w:val="none" w:sz="0" w:space="0" w:color="auto"/>
        <w:bottom w:val="none" w:sz="0" w:space="0" w:color="auto"/>
        <w:right w:val="none" w:sz="0" w:space="0" w:color="auto"/>
      </w:divBdr>
    </w:div>
    <w:div w:id="38868306">
      <w:bodyDiv w:val="1"/>
      <w:marLeft w:val="0"/>
      <w:marRight w:val="0"/>
      <w:marTop w:val="0"/>
      <w:marBottom w:val="0"/>
      <w:divBdr>
        <w:top w:val="none" w:sz="0" w:space="0" w:color="auto"/>
        <w:left w:val="none" w:sz="0" w:space="0" w:color="auto"/>
        <w:bottom w:val="none" w:sz="0" w:space="0" w:color="auto"/>
        <w:right w:val="none" w:sz="0" w:space="0" w:color="auto"/>
      </w:divBdr>
      <w:divsChild>
        <w:div w:id="744456145">
          <w:marLeft w:val="547"/>
          <w:marRight w:val="0"/>
          <w:marTop w:val="115"/>
          <w:marBottom w:val="0"/>
          <w:divBdr>
            <w:top w:val="none" w:sz="0" w:space="0" w:color="auto"/>
            <w:left w:val="none" w:sz="0" w:space="0" w:color="auto"/>
            <w:bottom w:val="none" w:sz="0" w:space="0" w:color="auto"/>
            <w:right w:val="none" w:sz="0" w:space="0" w:color="auto"/>
          </w:divBdr>
        </w:div>
        <w:div w:id="1186821772">
          <w:marLeft w:val="547"/>
          <w:marRight w:val="0"/>
          <w:marTop w:val="115"/>
          <w:marBottom w:val="0"/>
          <w:divBdr>
            <w:top w:val="none" w:sz="0" w:space="0" w:color="auto"/>
            <w:left w:val="none" w:sz="0" w:space="0" w:color="auto"/>
            <w:bottom w:val="none" w:sz="0" w:space="0" w:color="auto"/>
            <w:right w:val="none" w:sz="0" w:space="0" w:color="auto"/>
          </w:divBdr>
        </w:div>
      </w:divsChild>
    </w:div>
    <w:div w:id="39860730">
      <w:bodyDiv w:val="1"/>
      <w:marLeft w:val="0"/>
      <w:marRight w:val="0"/>
      <w:marTop w:val="0"/>
      <w:marBottom w:val="0"/>
      <w:divBdr>
        <w:top w:val="none" w:sz="0" w:space="0" w:color="auto"/>
        <w:left w:val="none" w:sz="0" w:space="0" w:color="auto"/>
        <w:bottom w:val="none" w:sz="0" w:space="0" w:color="auto"/>
        <w:right w:val="none" w:sz="0" w:space="0" w:color="auto"/>
      </w:divBdr>
    </w:div>
    <w:div w:id="40399041">
      <w:bodyDiv w:val="1"/>
      <w:marLeft w:val="0"/>
      <w:marRight w:val="0"/>
      <w:marTop w:val="0"/>
      <w:marBottom w:val="0"/>
      <w:divBdr>
        <w:top w:val="none" w:sz="0" w:space="0" w:color="auto"/>
        <w:left w:val="none" w:sz="0" w:space="0" w:color="auto"/>
        <w:bottom w:val="none" w:sz="0" w:space="0" w:color="auto"/>
        <w:right w:val="none" w:sz="0" w:space="0" w:color="auto"/>
      </w:divBdr>
      <w:divsChild>
        <w:div w:id="632564792">
          <w:marLeft w:val="1080"/>
          <w:marRight w:val="0"/>
          <w:marTop w:val="100"/>
          <w:marBottom w:val="0"/>
          <w:divBdr>
            <w:top w:val="none" w:sz="0" w:space="0" w:color="auto"/>
            <w:left w:val="none" w:sz="0" w:space="0" w:color="auto"/>
            <w:bottom w:val="none" w:sz="0" w:space="0" w:color="auto"/>
            <w:right w:val="none" w:sz="0" w:space="0" w:color="auto"/>
          </w:divBdr>
        </w:div>
        <w:div w:id="766269032">
          <w:marLeft w:val="1080"/>
          <w:marRight w:val="0"/>
          <w:marTop w:val="100"/>
          <w:marBottom w:val="0"/>
          <w:divBdr>
            <w:top w:val="none" w:sz="0" w:space="0" w:color="auto"/>
            <w:left w:val="none" w:sz="0" w:space="0" w:color="auto"/>
            <w:bottom w:val="none" w:sz="0" w:space="0" w:color="auto"/>
            <w:right w:val="none" w:sz="0" w:space="0" w:color="auto"/>
          </w:divBdr>
        </w:div>
        <w:div w:id="1044326867">
          <w:marLeft w:val="1080"/>
          <w:marRight w:val="0"/>
          <w:marTop w:val="100"/>
          <w:marBottom w:val="0"/>
          <w:divBdr>
            <w:top w:val="none" w:sz="0" w:space="0" w:color="auto"/>
            <w:left w:val="none" w:sz="0" w:space="0" w:color="auto"/>
            <w:bottom w:val="none" w:sz="0" w:space="0" w:color="auto"/>
            <w:right w:val="none" w:sz="0" w:space="0" w:color="auto"/>
          </w:divBdr>
        </w:div>
        <w:div w:id="1535725117">
          <w:marLeft w:val="1080"/>
          <w:marRight w:val="0"/>
          <w:marTop w:val="100"/>
          <w:marBottom w:val="0"/>
          <w:divBdr>
            <w:top w:val="none" w:sz="0" w:space="0" w:color="auto"/>
            <w:left w:val="none" w:sz="0" w:space="0" w:color="auto"/>
            <w:bottom w:val="none" w:sz="0" w:space="0" w:color="auto"/>
            <w:right w:val="none" w:sz="0" w:space="0" w:color="auto"/>
          </w:divBdr>
        </w:div>
        <w:div w:id="1748381646">
          <w:marLeft w:val="1080"/>
          <w:marRight w:val="0"/>
          <w:marTop w:val="100"/>
          <w:marBottom w:val="0"/>
          <w:divBdr>
            <w:top w:val="none" w:sz="0" w:space="0" w:color="auto"/>
            <w:left w:val="none" w:sz="0" w:space="0" w:color="auto"/>
            <w:bottom w:val="none" w:sz="0" w:space="0" w:color="auto"/>
            <w:right w:val="none" w:sz="0" w:space="0" w:color="auto"/>
          </w:divBdr>
        </w:div>
        <w:div w:id="1790976913">
          <w:marLeft w:val="360"/>
          <w:marRight w:val="0"/>
          <w:marTop w:val="200"/>
          <w:marBottom w:val="0"/>
          <w:divBdr>
            <w:top w:val="none" w:sz="0" w:space="0" w:color="auto"/>
            <w:left w:val="none" w:sz="0" w:space="0" w:color="auto"/>
            <w:bottom w:val="none" w:sz="0" w:space="0" w:color="auto"/>
            <w:right w:val="none" w:sz="0" w:space="0" w:color="auto"/>
          </w:divBdr>
        </w:div>
      </w:divsChild>
    </w:div>
    <w:div w:id="40592763">
      <w:bodyDiv w:val="1"/>
      <w:marLeft w:val="0"/>
      <w:marRight w:val="0"/>
      <w:marTop w:val="0"/>
      <w:marBottom w:val="0"/>
      <w:divBdr>
        <w:top w:val="none" w:sz="0" w:space="0" w:color="auto"/>
        <w:left w:val="none" w:sz="0" w:space="0" w:color="auto"/>
        <w:bottom w:val="none" w:sz="0" w:space="0" w:color="auto"/>
        <w:right w:val="none" w:sz="0" w:space="0" w:color="auto"/>
      </w:divBdr>
    </w:div>
    <w:div w:id="41247991">
      <w:bodyDiv w:val="1"/>
      <w:marLeft w:val="0"/>
      <w:marRight w:val="0"/>
      <w:marTop w:val="0"/>
      <w:marBottom w:val="0"/>
      <w:divBdr>
        <w:top w:val="none" w:sz="0" w:space="0" w:color="auto"/>
        <w:left w:val="none" w:sz="0" w:space="0" w:color="auto"/>
        <w:bottom w:val="none" w:sz="0" w:space="0" w:color="auto"/>
        <w:right w:val="none" w:sz="0" w:space="0" w:color="auto"/>
      </w:divBdr>
    </w:div>
    <w:div w:id="41444141">
      <w:bodyDiv w:val="1"/>
      <w:marLeft w:val="0"/>
      <w:marRight w:val="0"/>
      <w:marTop w:val="0"/>
      <w:marBottom w:val="0"/>
      <w:divBdr>
        <w:top w:val="none" w:sz="0" w:space="0" w:color="auto"/>
        <w:left w:val="none" w:sz="0" w:space="0" w:color="auto"/>
        <w:bottom w:val="none" w:sz="0" w:space="0" w:color="auto"/>
        <w:right w:val="none" w:sz="0" w:space="0" w:color="auto"/>
      </w:divBdr>
    </w:div>
    <w:div w:id="41639708">
      <w:bodyDiv w:val="1"/>
      <w:marLeft w:val="0"/>
      <w:marRight w:val="0"/>
      <w:marTop w:val="0"/>
      <w:marBottom w:val="0"/>
      <w:divBdr>
        <w:top w:val="none" w:sz="0" w:space="0" w:color="auto"/>
        <w:left w:val="none" w:sz="0" w:space="0" w:color="auto"/>
        <w:bottom w:val="none" w:sz="0" w:space="0" w:color="auto"/>
        <w:right w:val="none" w:sz="0" w:space="0" w:color="auto"/>
      </w:divBdr>
    </w:div>
    <w:div w:id="41902768">
      <w:bodyDiv w:val="1"/>
      <w:marLeft w:val="0"/>
      <w:marRight w:val="0"/>
      <w:marTop w:val="0"/>
      <w:marBottom w:val="0"/>
      <w:divBdr>
        <w:top w:val="none" w:sz="0" w:space="0" w:color="auto"/>
        <w:left w:val="none" w:sz="0" w:space="0" w:color="auto"/>
        <w:bottom w:val="none" w:sz="0" w:space="0" w:color="auto"/>
        <w:right w:val="none" w:sz="0" w:space="0" w:color="auto"/>
      </w:divBdr>
    </w:div>
    <w:div w:id="42143426">
      <w:bodyDiv w:val="1"/>
      <w:marLeft w:val="0"/>
      <w:marRight w:val="0"/>
      <w:marTop w:val="0"/>
      <w:marBottom w:val="0"/>
      <w:divBdr>
        <w:top w:val="none" w:sz="0" w:space="0" w:color="auto"/>
        <w:left w:val="none" w:sz="0" w:space="0" w:color="auto"/>
        <w:bottom w:val="none" w:sz="0" w:space="0" w:color="auto"/>
        <w:right w:val="none" w:sz="0" w:space="0" w:color="auto"/>
      </w:divBdr>
    </w:div>
    <w:div w:id="42877133">
      <w:bodyDiv w:val="1"/>
      <w:marLeft w:val="0"/>
      <w:marRight w:val="0"/>
      <w:marTop w:val="0"/>
      <w:marBottom w:val="0"/>
      <w:divBdr>
        <w:top w:val="none" w:sz="0" w:space="0" w:color="auto"/>
        <w:left w:val="none" w:sz="0" w:space="0" w:color="auto"/>
        <w:bottom w:val="none" w:sz="0" w:space="0" w:color="auto"/>
        <w:right w:val="none" w:sz="0" w:space="0" w:color="auto"/>
      </w:divBdr>
    </w:div>
    <w:div w:id="44530690">
      <w:bodyDiv w:val="1"/>
      <w:marLeft w:val="0"/>
      <w:marRight w:val="0"/>
      <w:marTop w:val="0"/>
      <w:marBottom w:val="0"/>
      <w:divBdr>
        <w:top w:val="none" w:sz="0" w:space="0" w:color="auto"/>
        <w:left w:val="none" w:sz="0" w:space="0" w:color="auto"/>
        <w:bottom w:val="none" w:sz="0" w:space="0" w:color="auto"/>
        <w:right w:val="none" w:sz="0" w:space="0" w:color="auto"/>
      </w:divBdr>
    </w:div>
    <w:div w:id="45184585">
      <w:bodyDiv w:val="1"/>
      <w:marLeft w:val="0"/>
      <w:marRight w:val="0"/>
      <w:marTop w:val="0"/>
      <w:marBottom w:val="0"/>
      <w:divBdr>
        <w:top w:val="none" w:sz="0" w:space="0" w:color="auto"/>
        <w:left w:val="none" w:sz="0" w:space="0" w:color="auto"/>
        <w:bottom w:val="none" w:sz="0" w:space="0" w:color="auto"/>
        <w:right w:val="none" w:sz="0" w:space="0" w:color="auto"/>
      </w:divBdr>
    </w:div>
    <w:div w:id="45297957">
      <w:bodyDiv w:val="1"/>
      <w:marLeft w:val="0"/>
      <w:marRight w:val="0"/>
      <w:marTop w:val="0"/>
      <w:marBottom w:val="0"/>
      <w:divBdr>
        <w:top w:val="none" w:sz="0" w:space="0" w:color="auto"/>
        <w:left w:val="none" w:sz="0" w:space="0" w:color="auto"/>
        <w:bottom w:val="none" w:sz="0" w:space="0" w:color="auto"/>
        <w:right w:val="none" w:sz="0" w:space="0" w:color="auto"/>
      </w:divBdr>
    </w:div>
    <w:div w:id="46071877">
      <w:bodyDiv w:val="1"/>
      <w:marLeft w:val="0"/>
      <w:marRight w:val="0"/>
      <w:marTop w:val="0"/>
      <w:marBottom w:val="0"/>
      <w:divBdr>
        <w:top w:val="none" w:sz="0" w:space="0" w:color="auto"/>
        <w:left w:val="none" w:sz="0" w:space="0" w:color="auto"/>
        <w:bottom w:val="none" w:sz="0" w:space="0" w:color="auto"/>
        <w:right w:val="none" w:sz="0" w:space="0" w:color="auto"/>
      </w:divBdr>
    </w:div>
    <w:div w:id="47068578">
      <w:bodyDiv w:val="1"/>
      <w:marLeft w:val="0"/>
      <w:marRight w:val="0"/>
      <w:marTop w:val="0"/>
      <w:marBottom w:val="0"/>
      <w:divBdr>
        <w:top w:val="none" w:sz="0" w:space="0" w:color="auto"/>
        <w:left w:val="none" w:sz="0" w:space="0" w:color="auto"/>
        <w:bottom w:val="none" w:sz="0" w:space="0" w:color="auto"/>
        <w:right w:val="none" w:sz="0" w:space="0" w:color="auto"/>
      </w:divBdr>
    </w:div>
    <w:div w:id="47071541">
      <w:bodyDiv w:val="1"/>
      <w:marLeft w:val="0"/>
      <w:marRight w:val="0"/>
      <w:marTop w:val="0"/>
      <w:marBottom w:val="0"/>
      <w:divBdr>
        <w:top w:val="none" w:sz="0" w:space="0" w:color="auto"/>
        <w:left w:val="none" w:sz="0" w:space="0" w:color="auto"/>
        <w:bottom w:val="none" w:sz="0" w:space="0" w:color="auto"/>
        <w:right w:val="none" w:sz="0" w:space="0" w:color="auto"/>
      </w:divBdr>
    </w:div>
    <w:div w:id="47187910">
      <w:bodyDiv w:val="1"/>
      <w:marLeft w:val="0"/>
      <w:marRight w:val="0"/>
      <w:marTop w:val="0"/>
      <w:marBottom w:val="0"/>
      <w:divBdr>
        <w:top w:val="none" w:sz="0" w:space="0" w:color="auto"/>
        <w:left w:val="none" w:sz="0" w:space="0" w:color="auto"/>
        <w:bottom w:val="none" w:sz="0" w:space="0" w:color="auto"/>
        <w:right w:val="none" w:sz="0" w:space="0" w:color="auto"/>
      </w:divBdr>
    </w:div>
    <w:div w:id="47415218">
      <w:bodyDiv w:val="1"/>
      <w:marLeft w:val="0"/>
      <w:marRight w:val="0"/>
      <w:marTop w:val="0"/>
      <w:marBottom w:val="0"/>
      <w:divBdr>
        <w:top w:val="none" w:sz="0" w:space="0" w:color="auto"/>
        <w:left w:val="none" w:sz="0" w:space="0" w:color="auto"/>
        <w:bottom w:val="none" w:sz="0" w:space="0" w:color="auto"/>
        <w:right w:val="none" w:sz="0" w:space="0" w:color="auto"/>
      </w:divBdr>
    </w:div>
    <w:div w:id="48891182">
      <w:bodyDiv w:val="1"/>
      <w:marLeft w:val="0"/>
      <w:marRight w:val="0"/>
      <w:marTop w:val="0"/>
      <w:marBottom w:val="0"/>
      <w:divBdr>
        <w:top w:val="none" w:sz="0" w:space="0" w:color="auto"/>
        <w:left w:val="none" w:sz="0" w:space="0" w:color="auto"/>
        <w:bottom w:val="none" w:sz="0" w:space="0" w:color="auto"/>
        <w:right w:val="none" w:sz="0" w:space="0" w:color="auto"/>
      </w:divBdr>
    </w:div>
    <w:div w:id="49548513">
      <w:bodyDiv w:val="1"/>
      <w:marLeft w:val="0"/>
      <w:marRight w:val="0"/>
      <w:marTop w:val="0"/>
      <w:marBottom w:val="0"/>
      <w:divBdr>
        <w:top w:val="none" w:sz="0" w:space="0" w:color="auto"/>
        <w:left w:val="none" w:sz="0" w:space="0" w:color="auto"/>
        <w:bottom w:val="none" w:sz="0" w:space="0" w:color="auto"/>
        <w:right w:val="none" w:sz="0" w:space="0" w:color="auto"/>
      </w:divBdr>
    </w:div>
    <w:div w:id="49696925">
      <w:bodyDiv w:val="1"/>
      <w:marLeft w:val="0"/>
      <w:marRight w:val="0"/>
      <w:marTop w:val="0"/>
      <w:marBottom w:val="0"/>
      <w:divBdr>
        <w:top w:val="none" w:sz="0" w:space="0" w:color="auto"/>
        <w:left w:val="none" w:sz="0" w:space="0" w:color="auto"/>
        <w:bottom w:val="none" w:sz="0" w:space="0" w:color="auto"/>
        <w:right w:val="none" w:sz="0" w:space="0" w:color="auto"/>
      </w:divBdr>
    </w:div>
    <w:div w:id="50276038">
      <w:bodyDiv w:val="1"/>
      <w:marLeft w:val="0"/>
      <w:marRight w:val="0"/>
      <w:marTop w:val="0"/>
      <w:marBottom w:val="0"/>
      <w:divBdr>
        <w:top w:val="none" w:sz="0" w:space="0" w:color="auto"/>
        <w:left w:val="none" w:sz="0" w:space="0" w:color="auto"/>
        <w:bottom w:val="none" w:sz="0" w:space="0" w:color="auto"/>
        <w:right w:val="none" w:sz="0" w:space="0" w:color="auto"/>
      </w:divBdr>
    </w:div>
    <w:div w:id="51007590">
      <w:bodyDiv w:val="1"/>
      <w:marLeft w:val="0"/>
      <w:marRight w:val="0"/>
      <w:marTop w:val="0"/>
      <w:marBottom w:val="0"/>
      <w:divBdr>
        <w:top w:val="none" w:sz="0" w:space="0" w:color="auto"/>
        <w:left w:val="none" w:sz="0" w:space="0" w:color="auto"/>
        <w:bottom w:val="none" w:sz="0" w:space="0" w:color="auto"/>
        <w:right w:val="none" w:sz="0" w:space="0" w:color="auto"/>
      </w:divBdr>
    </w:div>
    <w:div w:id="51856641">
      <w:bodyDiv w:val="1"/>
      <w:marLeft w:val="0"/>
      <w:marRight w:val="0"/>
      <w:marTop w:val="0"/>
      <w:marBottom w:val="0"/>
      <w:divBdr>
        <w:top w:val="none" w:sz="0" w:space="0" w:color="auto"/>
        <w:left w:val="none" w:sz="0" w:space="0" w:color="auto"/>
        <w:bottom w:val="none" w:sz="0" w:space="0" w:color="auto"/>
        <w:right w:val="none" w:sz="0" w:space="0" w:color="auto"/>
      </w:divBdr>
    </w:div>
    <w:div w:id="52968211">
      <w:bodyDiv w:val="1"/>
      <w:marLeft w:val="0"/>
      <w:marRight w:val="0"/>
      <w:marTop w:val="0"/>
      <w:marBottom w:val="0"/>
      <w:divBdr>
        <w:top w:val="none" w:sz="0" w:space="0" w:color="auto"/>
        <w:left w:val="none" w:sz="0" w:space="0" w:color="auto"/>
        <w:bottom w:val="none" w:sz="0" w:space="0" w:color="auto"/>
        <w:right w:val="none" w:sz="0" w:space="0" w:color="auto"/>
      </w:divBdr>
    </w:div>
    <w:div w:id="54088812">
      <w:bodyDiv w:val="1"/>
      <w:marLeft w:val="0"/>
      <w:marRight w:val="0"/>
      <w:marTop w:val="0"/>
      <w:marBottom w:val="0"/>
      <w:divBdr>
        <w:top w:val="none" w:sz="0" w:space="0" w:color="auto"/>
        <w:left w:val="none" w:sz="0" w:space="0" w:color="auto"/>
        <w:bottom w:val="none" w:sz="0" w:space="0" w:color="auto"/>
        <w:right w:val="none" w:sz="0" w:space="0" w:color="auto"/>
      </w:divBdr>
    </w:div>
    <w:div w:id="54623399">
      <w:bodyDiv w:val="1"/>
      <w:marLeft w:val="0"/>
      <w:marRight w:val="0"/>
      <w:marTop w:val="0"/>
      <w:marBottom w:val="0"/>
      <w:divBdr>
        <w:top w:val="none" w:sz="0" w:space="0" w:color="auto"/>
        <w:left w:val="none" w:sz="0" w:space="0" w:color="auto"/>
        <w:bottom w:val="none" w:sz="0" w:space="0" w:color="auto"/>
        <w:right w:val="none" w:sz="0" w:space="0" w:color="auto"/>
      </w:divBdr>
      <w:divsChild>
        <w:div w:id="328214718">
          <w:marLeft w:val="547"/>
          <w:marRight w:val="0"/>
          <w:marTop w:val="154"/>
          <w:marBottom w:val="0"/>
          <w:divBdr>
            <w:top w:val="none" w:sz="0" w:space="0" w:color="auto"/>
            <w:left w:val="none" w:sz="0" w:space="0" w:color="auto"/>
            <w:bottom w:val="none" w:sz="0" w:space="0" w:color="auto"/>
            <w:right w:val="none" w:sz="0" w:space="0" w:color="auto"/>
          </w:divBdr>
        </w:div>
        <w:div w:id="771898323">
          <w:marLeft w:val="547"/>
          <w:marRight w:val="0"/>
          <w:marTop w:val="154"/>
          <w:marBottom w:val="0"/>
          <w:divBdr>
            <w:top w:val="none" w:sz="0" w:space="0" w:color="auto"/>
            <w:left w:val="none" w:sz="0" w:space="0" w:color="auto"/>
            <w:bottom w:val="none" w:sz="0" w:space="0" w:color="auto"/>
            <w:right w:val="none" w:sz="0" w:space="0" w:color="auto"/>
          </w:divBdr>
        </w:div>
        <w:div w:id="1708094135">
          <w:marLeft w:val="547"/>
          <w:marRight w:val="0"/>
          <w:marTop w:val="154"/>
          <w:marBottom w:val="0"/>
          <w:divBdr>
            <w:top w:val="none" w:sz="0" w:space="0" w:color="auto"/>
            <w:left w:val="none" w:sz="0" w:space="0" w:color="auto"/>
            <w:bottom w:val="none" w:sz="0" w:space="0" w:color="auto"/>
            <w:right w:val="none" w:sz="0" w:space="0" w:color="auto"/>
          </w:divBdr>
        </w:div>
      </w:divsChild>
    </w:div>
    <w:div w:id="55007086">
      <w:bodyDiv w:val="1"/>
      <w:marLeft w:val="0"/>
      <w:marRight w:val="0"/>
      <w:marTop w:val="0"/>
      <w:marBottom w:val="0"/>
      <w:divBdr>
        <w:top w:val="none" w:sz="0" w:space="0" w:color="auto"/>
        <w:left w:val="none" w:sz="0" w:space="0" w:color="auto"/>
        <w:bottom w:val="none" w:sz="0" w:space="0" w:color="auto"/>
        <w:right w:val="none" w:sz="0" w:space="0" w:color="auto"/>
      </w:divBdr>
    </w:div>
    <w:div w:id="55009199">
      <w:bodyDiv w:val="1"/>
      <w:marLeft w:val="0"/>
      <w:marRight w:val="0"/>
      <w:marTop w:val="0"/>
      <w:marBottom w:val="0"/>
      <w:divBdr>
        <w:top w:val="none" w:sz="0" w:space="0" w:color="auto"/>
        <w:left w:val="none" w:sz="0" w:space="0" w:color="auto"/>
        <w:bottom w:val="none" w:sz="0" w:space="0" w:color="auto"/>
        <w:right w:val="none" w:sz="0" w:space="0" w:color="auto"/>
      </w:divBdr>
    </w:div>
    <w:div w:id="55202464">
      <w:bodyDiv w:val="1"/>
      <w:marLeft w:val="0"/>
      <w:marRight w:val="0"/>
      <w:marTop w:val="0"/>
      <w:marBottom w:val="0"/>
      <w:divBdr>
        <w:top w:val="none" w:sz="0" w:space="0" w:color="auto"/>
        <w:left w:val="none" w:sz="0" w:space="0" w:color="auto"/>
        <w:bottom w:val="none" w:sz="0" w:space="0" w:color="auto"/>
        <w:right w:val="none" w:sz="0" w:space="0" w:color="auto"/>
      </w:divBdr>
    </w:div>
    <w:div w:id="55202471">
      <w:bodyDiv w:val="1"/>
      <w:marLeft w:val="0"/>
      <w:marRight w:val="0"/>
      <w:marTop w:val="0"/>
      <w:marBottom w:val="0"/>
      <w:divBdr>
        <w:top w:val="none" w:sz="0" w:space="0" w:color="auto"/>
        <w:left w:val="none" w:sz="0" w:space="0" w:color="auto"/>
        <w:bottom w:val="none" w:sz="0" w:space="0" w:color="auto"/>
        <w:right w:val="none" w:sz="0" w:space="0" w:color="auto"/>
      </w:divBdr>
    </w:div>
    <w:div w:id="55663559">
      <w:bodyDiv w:val="1"/>
      <w:marLeft w:val="0"/>
      <w:marRight w:val="0"/>
      <w:marTop w:val="0"/>
      <w:marBottom w:val="0"/>
      <w:divBdr>
        <w:top w:val="none" w:sz="0" w:space="0" w:color="auto"/>
        <w:left w:val="none" w:sz="0" w:space="0" w:color="auto"/>
        <w:bottom w:val="none" w:sz="0" w:space="0" w:color="auto"/>
        <w:right w:val="none" w:sz="0" w:space="0" w:color="auto"/>
      </w:divBdr>
    </w:div>
    <w:div w:id="55785020">
      <w:bodyDiv w:val="1"/>
      <w:marLeft w:val="0"/>
      <w:marRight w:val="0"/>
      <w:marTop w:val="0"/>
      <w:marBottom w:val="0"/>
      <w:divBdr>
        <w:top w:val="none" w:sz="0" w:space="0" w:color="auto"/>
        <w:left w:val="none" w:sz="0" w:space="0" w:color="auto"/>
        <w:bottom w:val="none" w:sz="0" w:space="0" w:color="auto"/>
        <w:right w:val="none" w:sz="0" w:space="0" w:color="auto"/>
      </w:divBdr>
      <w:divsChild>
        <w:div w:id="780881234">
          <w:marLeft w:val="1166"/>
          <w:marRight w:val="0"/>
          <w:marTop w:val="134"/>
          <w:marBottom w:val="0"/>
          <w:divBdr>
            <w:top w:val="none" w:sz="0" w:space="0" w:color="auto"/>
            <w:left w:val="none" w:sz="0" w:space="0" w:color="auto"/>
            <w:bottom w:val="none" w:sz="0" w:space="0" w:color="auto"/>
            <w:right w:val="none" w:sz="0" w:space="0" w:color="auto"/>
          </w:divBdr>
        </w:div>
        <w:div w:id="1629970664">
          <w:marLeft w:val="547"/>
          <w:marRight w:val="0"/>
          <w:marTop w:val="154"/>
          <w:marBottom w:val="0"/>
          <w:divBdr>
            <w:top w:val="none" w:sz="0" w:space="0" w:color="auto"/>
            <w:left w:val="none" w:sz="0" w:space="0" w:color="auto"/>
            <w:bottom w:val="none" w:sz="0" w:space="0" w:color="auto"/>
            <w:right w:val="none" w:sz="0" w:space="0" w:color="auto"/>
          </w:divBdr>
        </w:div>
        <w:div w:id="1714498847">
          <w:marLeft w:val="1166"/>
          <w:marRight w:val="0"/>
          <w:marTop w:val="134"/>
          <w:marBottom w:val="0"/>
          <w:divBdr>
            <w:top w:val="none" w:sz="0" w:space="0" w:color="auto"/>
            <w:left w:val="none" w:sz="0" w:space="0" w:color="auto"/>
            <w:bottom w:val="none" w:sz="0" w:space="0" w:color="auto"/>
            <w:right w:val="none" w:sz="0" w:space="0" w:color="auto"/>
          </w:divBdr>
        </w:div>
      </w:divsChild>
    </w:div>
    <w:div w:id="56171416">
      <w:bodyDiv w:val="1"/>
      <w:marLeft w:val="0"/>
      <w:marRight w:val="0"/>
      <w:marTop w:val="0"/>
      <w:marBottom w:val="0"/>
      <w:divBdr>
        <w:top w:val="none" w:sz="0" w:space="0" w:color="auto"/>
        <w:left w:val="none" w:sz="0" w:space="0" w:color="auto"/>
        <w:bottom w:val="none" w:sz="0" w:space="0" w:color="auto"/>
        <w:right w:val="none" w:sz="0" w:space="0" w:color="auto"/>
      </w:divBdr>
    </w:div>
    <w:div w:id="56974185">
      <w:bodyDiv w:val="1"/>
      <w:marLeft w:val="0"/>
      <w:marRight w:val="0"/>
      <w:marTop w:val="0"/>
      <w:marBottom w:val="0"/>
      <w:divBdr>
        <w:top w:val="none" w:sz="0" w:space="0" w:color="auto"/>
        <w:left w:val="none" w:sz="0" w:space="0" w:color="auto"/>
        <w:bottom w:val="none" w:sz="0" w:space="0" w:color="auto"/>
        <w:right w:val="none" w:sz="0" w:space="0" w:color="auto"/>
      </w:divBdr>
    </w:div>
    <w:div w:id="58676312">
      <w:bodyDiv w:val="1"/>
      <w:marLeft w:val="0"/>
      <w:marRight w:val="0"/>
      <w:marTop w:val="0"/>
      <w:marBottom w:val="0"/>
      <w:divBdr>
        <w:top w:val="none" w:sz="0" w:space="0" w:color="auto"/>
        <w:left w:val="none" w:sz="0" w:space="0" w:color="auto"/>
        <w:bottom w:val="none" w:sz="0" w:space="0" w:color="auto"/>
        <w:right w:val="none" w:sz="0" w:space="0" w:color="auto"/>
      </w:divBdr>
    </w:div>
    <w:div w:id="58987108">
      <w:bodyDiv w:val="1"/>
      <w:marLeft w:val="0"/>
      <w:marRight w:val="0"/>
      <w:marTop w:val="0"/>
      <w:marBottom w:val="0"/>
      <w:divBdr>
        <w:top w:val="none" w:sz="0" w:space="0" w:color="auto"/>
        <w:left w:val="none" w:sz="0" w:space="0" w:color="auto"/>
        <w:bottom w:val="none" w:sz="0" w:space="0" w:color="auto"/>
        <w:right w:val="none" w:sz="0" w:space="0" w:color="auto"/>
      </w:divBdr>
    </w:div>
    <w:div w:id="59523979">
      <w:bodyDiv w:val="1"/>
      <w:marLeft w:val="0"/>
      <w:marRight w:val="0"/>
      <w:marTop w:val="0"/>
      <w:marBottom w:val="0"/>
      <w:divBdr>
        <w:top w:val="none" w:sz="0" w:space="0" w:color="auto"/>
        <w:left w:val="none" w:sz="0" w:space="0" w:color="auto"/>
        <w:bottom w:val="none" w:sz="0" w:space="0" w:color="auto"/>
        <w:right w:val="none" w:sz="0" w:space="0" w:color="auto"/>
      </w:divBdr>
      <w:divsChild>
        <w:div w:id="123623039">
          <w:marLeft w:val="1166"/>
          <w:marRight w:val="0"/>
          <w:marTop w:val="125"/>
          <w:marBottom w:val="0"/>
          <w:divBdr>
            <w:top w:val="none" w:sz="0" w:space="0" w:color="auto"/>
            <w:left w:val="none" w:sz="0" w:space="0" w:color="auto"/>
            <w:bottom w:val="none" w:sz="0" w:space="0" w:color="auto"/>
            <w:right w:val="none" w:sz="0" w:space="0" w:color="auto"/>
          </w:divBdr>
        </w:div>
        <w:div w:id="159389755">
          <w:marLeft w:val="547"/>
          <w:marRight w:val="0"/>
          <w:marTop w:val="144"/>
          <w:marBottom w:val="0"/>
          <w:divBdr>
            <w:top w:val="none" w:sz="0" w:space="0" w:color="auto"/>
            <w:left w:val="none" w:sz="0" w:space="0" w:color="auto"/>
            <w:bottom w:val="none" w:sz="0" w:space="0" w:color="auto"/>
            <w:right w:val="none" w:sz="0" w:space="0" w:color="auto"/>
          </w:divBdr>
        </w:div>
        <w:div w:id="478348588">
          <w:marLeft w:val="1166"/>
          <w:marRight w:val="0"/>
          <w:marTop w:val="125"/>
          <w:marBottom w:val="0"/>
          <w:divBdr>
            <w:top w:val="none" w:sz="0" w:space="0" w:color="auto"/>
            <w:left w:val="none" w:sz="0" w:space="0" w:color="auto"/>
            <w:bottom w:val="none" w:sz="0" w:space="0" w:color="auto"/>
            <w:right w:val="none" w:sz="0" w:space="0" w:color="auto"/>
          </w:divBdr>
        </w:div>
        <w:div w:id="941643335">
          <w:marLeft w:val="1166"/>
          <w:marRight w:val="0"/>
          <w:marTop w:val="125"/>
          <w:marBottom w:val="0"/>
          <w:divBdr>
            <w:top w:val="none" w:sz="0" w:space="0" w:color="auto"/>
            <w:left w:val="none" w:sz="0" w:space="0" w:color="auto"/>
            <w:bottom w:val="none" w:sz="0" w:space="0" w:color="auto"/>
            <w:right w:val="none" w:sz="0" w:space="0" w:color="auto"/>
          </w:divBdr>
        </w:div>
        <w:div w:id="1117800445">
          <w:marLeft w:val="547"/>
          <w:marRight w:val="0"/>
          <w:marTop w:val="144"/>
          <w:marBottom w:val="0"/>
          <w:divBdr>
            <w:top w:val="none" w:sz="0" w:space="0" w:color="auto"/>
            <w:left w:val="none" w:sz="0" w:space="0" w:color="auto"/>
            <w:bottom w:val="none" w:sz="0" w:space="0" w:color="auto"/>
            <w:right w:val="none" w:sz="0" w:space="0" w:color="auto"/>
          </w:divBdr>
        </w:div>
        <w:div w:id="1174415218">
          <w:marLeft w:val="547"/>
          <w:marRight w:val="0"/>
          <w:marTop w:val="144"/>
          <w:marBottom w:val="0"/>
          <w:divBdr>
            <w:top w:val="none" w:sz="0" w:space="0" w:color="auto"/>
            <w:left w:val="none" w:sz="0" w:space="0" w:color="auto"/>
            <w:bottom w:val="none" w:sz="0" w:space="0" w:color="auto"/>
            <w:right w:val="none" w:sz="0" w:space="0" w:color="auto"/>
          </w:divBdr>
        </w:div>
        <w:div w:id="1216351929">
          <w:marLeft w:val="547"/>
          <w:marRight w:val="0"/>
          <w:marTop w:val="144"/>
          <w:marBottom w:val="0"/>
          <w:divBdr>
            <w:top w:val="none" w:sz="0" w:space="0" w:color="auto"/>
            <w:left w:val="none" w:sz="0" w:space="0" w:color="auto"/>
            <w:bottom w:val="none" w:sz="0" w:space="0" w:color="auto"/>
            <w:right w:val="none" w:sz="0" w:space="0" w:color="auto"/>
          </w:divBdr>
        </w:div>
        <w:div w:id="1513717385">
          <w:marLeft w:val="1800"/>
          <w:marRight w:val="0"/>
          <w:marTop w:val="106"/>
          <w:marBottom w:val="0"/>
          <w:divBdr>
            <w:top w:val="none" w:sz="0" w:space="0" w:color="auto"/>
            <w:left w:val="none" w:sz="0" w:space="0" w:color="auto"/>
            <w:bottom w:val="none" w:sz="0" w:space="0" w:color="auto"/>
            <w:right w:val="none" w:sz="0" w:space="0" w:color="auto"/>
          </w:divBdr>
        </w:div>
      </w:divsChild>
    </w:div>
    <w:div w:id="59794800">
      <w:bodyDiv w:val="1"/>
      <w:marLeft w:val="0"/>
      <w:marRight w:val="0"/>
      <w:marTop w:val="0"/>
      <w:marBottom w:val="0"/>
      <w:divBdr>
        <w:top w:val="none" w:sz="0" w:space="0" w:color="auto"/>
        <w:left w:val="none" w:sz="0" w:space="0" w:color="auto"/>
        <w:bottom w:val="none" w:sz="0" w:space="0" w:color="auto"/>
        <w:right w:val="none" w:sz="0" w:space="0" w:color="auto"/>
      </w:divBdr>
    </w:div>
    <w:div w:id="60450955">
      <w:bodyDiv w:val="1"/>
      <w:marLeft w:val="0"/>
      <w:marRight w:val="0"/>
      <w:marTop w:val="0"/>
      <w:marBottom w:val="0"/>
      <w:divBdr>
        <w:top w:val="none" w:sz="0" w:space="0" w:color="auto"/>
        <w:left w:val="none" w:sz="0" w:space="0" w:color="auto"/>
        <w:bottom w:val="none" w:sz="0" w:space="0" w:color="auto"/>
        <w:right w:val="none" w:sz="0" w:space="0" w:color="auto"/>
      </w:divBdr>
    </w:div>
    <w:div w:id="60713106">
      <w:bodyDiv w:val="1"/>
      <w:marLeft w:val="0"/>
      <w:marRight w:val="0"/>
      <w:marTop w:val="0"/>
      <w:marBottom w:val="0"/>
      <w:divBdr>
        <w:top w:val="none" w:sz="0" w:space="0" w:color="auto"/>
        <w:left w:val="none" w:sz="0" w:space="0" w:color="auto"/>
        <w:bottom w:val="none" w:sz="0" w:space="0" w:color="auto"/>
        <w:right w:val="none" w:sz="0" w:space="0" w:color="auto"/>
      </w:divBdr>
    </w:div>
    <w:div w:id="61560289">
      <w:bodyDiv w:val="1"/>
      <w:marLeft w:val="0"/>
      <w:marRight w:val="0"/>
      <w:marTop w:val="0"/>
      <w:marBottom w:val="0"/>
      <w:divBdr>
        <w:top w:val="none" w:sz="0" w:space="0" w:color="auto"/>
        <w:left w:val="none" w:sz="0" w:space="0" w:color="auto"/>
        <w:bottom w:val="none" w:sz="0" w:space="0" w:color="auto"/>
        <w:right w:val="none" w:sz="0" w:space="0" w:color="auto"/>
      </w:divBdr>
    </w:div>
    <w:div w:id="62720992">
      <w:bodyDiv w:val="1"/>
      <w:marLeft w:val="0"/>
      <w:marRight w:val="0"/>
      <w:marTop w:val="0"/>
      <w:marBottom w:val="0"/>
      <w:divBdr>
        <w:top w:val="none" w:sz="0" w:space="0" w:color="auto"/>
        <w:left w:val="none" w:sz="0" w:space="0" w:color="auto"/>
        <w:bottom w:val="none" w:sz="0" w:space="0" w:color="auto"/>
        <w:right w:val="none" w:sz="0" w:space="0" w:color="auto"/>
      </w:divBdr>
    </w:div>
    <w:div w:id="63453524">
      <w:bodyDiv w:val="1"/>
      <w:marLeft w:val="0"/>
      <w:marRight w:val="0"/>
      <w:marTop w:val="0"/>
      <w:marBottom w:val="0"/>
      <w:divBdr>
        <w:top w:val="none" w:sz="0" w:space="0" w:color="auto"/>
        <w:left w:val="none" w:sz="0" w:space="0" w:color="auto"/>
        <w:bottom w:val="none" w:sz="0" w:space="0" w:color="auto"/>
        <w:right w:val="none" w:sz="0" w:space="0" w:color="auto"/>
      </w:divBdr>
    </w:div>
    <w:div w:id="64888099">
      <w:bodyDiv w:val="1"/>
      <w:marLeft w:val="0"/>
      <w:marRight w:val="0"/>
      <w:marTop w:val="0"/>
      <w:marBottom w:val="0"/>
      <w:divBdr>
        <w:top w:val="none" w:sz="0" w:space="0" w:color="auto"/>
        <w:left w:val="none" w:sz="0" w:space="0" w:color="auto"/>
        <w:bottom w:val="none" w:sz="0" w:space="0" w:color="auto"/>
        <w:right w:val="none" w:sz="0" w:space="0" w:color="auto"/>
      </w:divBdr>
    </w:div>
    <w:div w:id="65229186">
      <w:bodyDiv w:val="1"/>
      <w:marLeft w:val="0"/>
      <w:marRight w:val="0"/>
      <w:marTop w:val="0"/>
      <w:marBottom w:val="0"/>
      <w:divBdr>
        <w:top w:val="none" w:sz="0" w:space="0" w:color="auto"/>
        <w:left w:val="none" w:sz="0" w:space="0" w:color="auto"/>
        <w:bottom w:val="none" w:sz="0" w:space="0" w:color="auto"/>
        <w:right w:val="none" w:sz="0" w:space="0" w:color="auto"/>
      </w:divBdr>
      <w:divsChild>
        <w:div w:id="1375932250">
          <w:marLeft w:val="547"/>
          <w:marRight w:val="0"/>
          <w:marTop w:val="96"/>
          <w:marBottom w:val="0"/>
          <w:divBdr>
            <w:top w:val="none" w:sz="0" w:space="0" w:color="auto"/>
            <w:left w:val="none" w:sz="0" w:space="0" w:color="auto"/>
            <w:bottom w:val="none" w:sz="0" w:space="0" w:color="auto"/>
            <w:right w:val="none" w:sz="0" w:space="0" w:color="auto"/>
          </w:divBdr>
        </w:div>
      </w:divsChild>
    </w:div>
    <w:div w:id="65733346">
      <w:bodyDiv w:val="1"/>
      <w:marLeft w:val="0"/>
      <w:marRight w:val="0"/>
      <w:marTop w:val="0"/>
      <w:marBottom w:val="0"/>
      <w:divBdr>
        <w:top w:val="none" w:sz="0" w:space="0" w:color="auto"/>
        <w:left w:val="none" w:sz="0" w:space="0" w:color="auto"/>
        <w:bottom w:val="none" w:sz="0" w:space="0" w:color="auto"/>
        <w:right w:val="none" w:sz="0" w:space="0" w:color="auto"/>
      </w:divBdr>
      <w:divsChild>
        <w:div w:id="18630779">
          <w:marLeft w:val="2520"/>
          <w:marRight w:val="0"/>
          <w:marTop w:val="67"/>
          <w:marBottom w:val="0"/>
          <w:divBdr>
            <w:top w:val="none" w:sz="0" w:space="0" w:color="auto"/>
            <w:left w:val="none" w:sz="0" w:space="0" w:color="auto"/>
            <w:bottom w:val="none" w:sz="0" w:space="0" w:color="auto"/>
            <w:right w:val="none" w:sz="0" w:space="0" w:color="auto"/>
          </w:divBdr>
        </w:div>
        <w:div w:id="88278746">
          <w:marLeft w:val="547"/>
          <w:marRight w:val="0"/>
          <w:marTop w:val="96"/>
          <w:marBottom w:val="0"/>
          <w:divBdr>
            <w:top w:val="none" w:sz="0" w:space="0" w:color="auto"/>
            <w:left w:val="none" w:sz="0" w:space="0" w:color="auto"/>
            <w:bottom w:val="none" w:sz="0" w:space="0" w:color="auto"/>
            <w:right w:val="none" w:sz="0" w:space="0" w:color="auto"/>
          </w:divBdr>
        </w:div>
        <w:div w:id="304630055">
          <w:marLeft w:val="547"/>
          <w:marRight w:val="0"/>
          <w:marTop w:val="96"/>
          <w:marBottom w:val="0"/>
          <w:divBdr>
            <w:top w:val="none" w:sz="0" w:space="0" w:color="auto"/>
            <w:left w:val="none" w:sz="0" w:space="0" w:color="auto"/>
            <w:bottom w:val="none" w:sz="0" w:space="0" w:color="auto"/>
            <w:right w:val="none" w:sz="0" w:space="0" w:color="auto"/>
          </w:divBdr>
        </w:div>
        <w:div w:id="310525245">
          <w:marLeft w:val="1800"/>
          <w:marRight w:val="0"/>
          <w:marTop w:val="77"/>
          <w:marBottom w:val="0"/>
          <w:divBdr>
            <w:top w:val="none" w:sz="0" w:space="0" w:color="auto"/>
            <w:left w:val="none" w:sz="0" w:space="0" w:color="auto"/>
            <w:bottom w:val="none" w:sz="0" w:space="0" w:color="auto"/>
            <w:right w:val="none" w:sz="0" w:space="0" w:color="auto"/>
          </w:divBdr>
        </w:div>
        <w:div w:id="412826367">
          <w:marLeft w:val="3240"/>
          <w:marRight w:val="0"/>
          <w:marTop w:val="67"/>
          <w:marBottom w:val="0"/>
          <w:divBdr>
            <w:top w:val="none" w:sz="0" w:space="0" w:color="auto"/>
            <w:left w:val="none" w:sz="0" w:space="0" w:color="auto"/>
            <w:bottom w:val="none" w:sz="0" w:space="0" w:color="auto"/>
            <w:right w:val="none" w:sz="0" w:space="0" w:color="auto"/>
          </w:divBdr>
        </w:div>
        <w:div w:id="985476323">
          <w:marLeft w:val="1800"/>
          <w:marRight w:val="0"/>
          <w:marTop w:val="77"/>
          <w:marBottom w:val="0"/>
          <w:divBdr>
            <w:top w:val="none" w:sz="0" w:space="0" w:color="auto"/>
            <w:left w:val="none" w:sz="0" w:space="0" w:color="auto"/>
            <w:bottom w:val="none" w:sz="0" w:space="0" w:color="auto"/>
            <w:right w:val="none" w:sz="0" w:space="0" w:color="auto"/>
          </w:divBdr>
        </w:div>
        <w:div w:id="1067335389">
          <w:marLeft w:val="1166"/>
          <w:marRight w:val="0"/>
          <w:marTop w:val="86"/>
          <w:marBottom w:val="0"/>
          <w:divBdr>
            <w:top w:val="none" w:sz="0" w:space="0" w:color="auto"/>
            <w:left w:val="none" w:sz="0" w:space="0" w:color="auto"/>
            <w:bottom w:val="none" w:sz="0" w:space="0" w:color="auto"/>
            <w:right w:val="none" w:sz="0" w:space="0" w:color="auto"/>
          </w:divBdr>
        </w:div>
        <w:div w:id="1191800596">
          <w:marLeft w:val="2520"/>
          <w:marRight w:val="0"/>
          <w:marTop w:val="67"/>
          <w:marBottom w:val="0"/>
          <w:divBdr>
            <w:top w:val="none" w:sz="0" w:space="0" w:color="auto"/>
            <w:left w:val="none" w:sz="0" w:space="0" w:color="auto"/>
            <w:bottom w:val="none" w:sz="0" w:space="0" w:color="auto"/>
            <w:right w:val="none" w:sz="0" w:space="0" w:color="auto"/>
          </w:divBdr>
        </w:div>
        <w:div w:id="1333945978">
          <w:marLeft w:val="3240"/>
          <w:marRight w:val="0"/>
          <w:marTop w:val="67"/>
          <w:marBottom w:val="0"/>
          <w:divBdr>
            <w:top w:val="none" w:sz="0" w:space="0" w:color="auto"/>
            <w:left w:val="none" w:sz="0" w:space="0" w:color="auto"/>
            <w:bottom w:val="none" w:sz="0" w:space="0" w:color="auto"/>
            <w:right w:val="none" w:sz="0" w:space="0" w:color="auto"/>
          </w:divBdr>
        </w:div>
        <w:div w:id="1526019989">
          <w:marLeft w:val="1800"/>
          <w:marRight w:val="0"/>
          <w:marTop w:val="86"/>
          <w:marBottom w:val="0"/>
          <w:divBdr>
            <w:top w:val="none" w:sz="0" w:space="0" w:color="auto"/>
            <w:left w:val="none" w:sz="0" w:space="0" w:color="auto"/>
            <w:bottom w:val="none" w:sz="0" w:space="0" w:color="auto"/>
            <w:right w:val="none" w:sz="0" w:space="0" w:color="auto"/>
          </w:divBdr>
        </w:div>
        <w:div w:id="1586106240">
          <w:marLeft w:val="1166"/>
          <w:marRight w:val="0"/>
          <w:marTop w:val="86"/>
          <w:marBottom w:val="0"/>
          <w:divBdr>
            <w:top w:val="none" w:sz="0" w:space="0" w:color="auto"/>
            <w:left w:val="none" w:sz="0" w:space="0" w:color="auto"/>
            <w:bottom w:val="none" w:sz="0" w:space="0" w:color="auto"/>
            <w:right w:val="none" w:sz="0" w:space="0" w:color="auto"/>
          </w:divBdr>
        </w:div>
        <w:div w:id="1967539123">
          <w:marLeft w:val="1800"/>
          <w:marRight w:val="0"/>
          <w:marTop w:val="86"/>
          <w:marBottom w:val="0"/>
          <w:divBdr>
            <w:top w:val="none" w:sz="0" w:space="0" w:color="auto"/>
            <w:left w:val="none" w:sz="0" w:space="0" w:color="auto"/>
            <w:bottom w:val="none" w:sz="0" w:space="0" w:color="auto"/>
            <w:right w:val="none" w:sz="0" w:space="0" w:color="auto"/>
          </w:divBdr>
        </w:div>
      </w:divsChild>
    </w:div>
    <w:div w:id="65803997">
      <w:bodyDiv w:val="1"/>
      <w:marLeft w:val="0"/>
      <w:marRight w:val="0"/>
      <w:marTop w:val="0"/>
      <w:marBottom w:val="0"/>
      <w:divBdr>
        <w:top w:val="none" w:sz="0" w:space="0" w:color="auto"/>
        <w:left w:val="none" w:sz="0" w:space="0" w:color="auto"/>
        <w:bottom w:val="none" w:sz="0" w:space="0" w:color="auto"/>
        <w:right w:val="none" w:sz="0" w:space="0" w:color="auto"/>
      </w:divBdr>
    </w:div>
    <w:div w:id="66149284">
      <w:bodyDiv w:val="1"/>
      <w:marLeft w:val="0"/>
      <w:marRight w:val="0"/>
      <w:marTop w:val="0"/>
      <w:marBottom w:val="0"/>
      <w:divBdr>
        <w:top w:val="none" w:sz="0" w:space="0" w:color="auto"/>
        <w:left w:val="none" w:sz="0" w:space="0" w:color="auto"/>
        <w:bottom w:val="none" w:sz="0" w:space="0" w:color="auto"/>
        <w:right w:val="none" w:sz="0" w:space="0" w:color="auto"/>
      </w:divBdr>
    </w:div>
    <w:div w:id="68040506">
      <w:bodyDiv w:val="1"/>
      <w:marLeft w:val="0"/>
      <w:marRight w:val="0"/>
      <w:marTop w:val="0"/>
      <w:marBottom w:val="0"/>
      <w:divBdr>
        <w:top w:val="none" w:sz="0" w:space="0" w:color="auto"/>
        <w:left w:val="none" w:sz="0" w:space="0" w:color="auto"/>
        <w:bottom w:val="none" w:sz="0" w:space="0" w:color="auto"/>
        <w:right w:val="none" w:sz="0" w:space="0" w:color="auto"/>
      </w:divBdr>
      <w:divsChild>
        <w:div w:id="316153138">
          <w:marLeft w:val="1800"/>
          <w:marRight w:val="0"/>
          <w:marTop w:val="67"/>
          <w:marBottom w:val="0"/>
          <w:divBdr>
            <w:top w:val="none" w:sz="0" w:space="0" w:color="auto"/>
            <w:left w:val="none" w:sz="0" w:space="0" w:color="auto"/>
            <w:bottom w:val="none" w:sz="0" w:space="0" w:color="auto"/>
            <w:right w:val="none" w:sz="0" w:space="0" w:color="auto"/>
          </w:divBdr>
        </w:div>
        <w:div w:id="411245117">
          <w:marLeft w:val="1166"/>
          <w:marRight w:val="0"/>
          <w:marTop w:val="67"/>
          <w:marBottom w:val="0"/>
          <w:divBdr>
            <w:top w:val="none" w:sz="0" w:space="0" w:color="auto"/>
            <w:left w:val="none" w:sz="0" w:space="0" w:color="auto"/>
            <w:bottom w:val="none" w:sz="0" w:space="0" w:color="auto"/>
            <w:right w:val="none" w:sz="0" w:space="0" w:color="auto"/>
          </w:divBdr>
        </w:div>
        <w:div w:id="440149465">
          <w:marLeft w:val="2520"/>
          <w:marRight w:val="0"/>
          <w:marTop w:val="67"/>
          <w:marBottom w:val="0"/>
          <w:divBdr>
            <w:top w:val="none" w:sz="0" w:space="0" w:color="auto"/>
            <w:left w:val="none" w:sz="0" w:space="0" w:color="auto"/>
            <w:bottom w:val="none" w:sz="0" w:space="0" w:color="auto"/>
            <w:right w:val="none" w:sz="0" w:space="0" w:color="auto"/>
          </w:divBdr>
        </w:div>
        <w:div w:id="442043347">
          <w:marLeft w:val="1800"/>
          <w:marRight w:val="0"/>
          <w:marTop w:val="67"/>
          <w:marBottom w:val="0"/>
          <w:divBdr>
            <w:top w:val="none" w:sz="0" w:space="0" w:color="auto"/>
            <w:left w:val="none" w:sz="0" w:space="0" w:color="auto"/>
            <w:bottom w:val="none" w:sz="0" w:space="0" w:color="auto"/>
            <w:right w:val="none" w:sz="0" w:space="0" w:color="auto"/>
          </w:divBdr>
        </w:div>
        <w:div w:id="481624929">
          <w:marLeft w:val="1166"/>
          <w:marRight w:val="0"/>
          <w:marTop w:val="67"/>
          <w:marBottom w:val="0"/>
          <w:divBdr>
            <w:top w:val="none" w:sz="0" w:space="0" w:color="auto"/>
            <w:left w:val="none" w:sz="0" w:space="0" w:color="auto"/>
            <w:bottom w:val="none" w:sz="0" w:space="0" w:color="auto"/>
            <w:right w:val="none" w:sz="0" w:space="0" w:color="auto"/>
          </w:divBdr>
        </w:div>
        <w:div w:id="545605507">
          <w:marLeft w:val="1800"/>
          <w:marRight w:val="0"/>
          <w:marTop w:val="67"/>
          <w:marBottom w:val="0"/>
          <w:divBdr>
            <w:top w:val="none" w:sz="0" w:space="0" w:color="auto"/>
            <w:left w:val="none" w:sz="0" w:space="0" w:color="auto"/>
            <w:bottom w:val="none" w:sz="0" w:space="0" w:color="auto"/>
            <w:right w:val="none" w:sz="0" w:space="0" w:color="auto"/>
          </w:divBdr>
        </w:div>
        <w:div w:id="615258148">
          <w:marLeft w:val="1166"/>
          <w:marRight w:val="0"/>
          <w:marTop w:val="67"/>
          <w:marBottom w:val="0"/>
          <w:divBdr>
            <w:top w:val="none" w:sz="0" w:space="0" w:color="auto"/>
            <w:left w:val="none" w:sz="0" w:space="0" w:color="auto"/>
            <w:bottom w:val="none" w:sz="0" w:space="0" w:color="auto"/>
            <w:right w:val="none" w:sz="0" w:space="0" w:color="auto"/>
          </w:divBdr>
        </w:div>
        <w:div w:id="650208832">
          <w:marLeft w:val="1800"/>
          <w:marRight w:val="0"/>
          <w:marTop w:val="67"/>
          <w:marBottom w:val="0"/>
          <w:divBdr>
            <w:top w:val="none" w:sz="0" w:space="0" w:color="auto"/>
            <w:left w:val="none" w:sz="0" w:space="0" w:color="auto"/>
            <w:bottom w:val="none" w:sz="0" w:space="0" w:color="auto"/>
            <w:right w:val="none" w:sz="0" w:space="0" w:color="auto"/>
          </w:divBdr>
        </w:div>
        <w:div w:id="844326239">
          <w:marLeft w:val="1800"/>
          <w:marRight w:val="0"/>
          <w:marTop w:val="67"/>
          <w:marBottom w:val="0"/>
          <w:divBdr>
            <w:top w:val="none" w:sz="0" w:space="0" w:color="auto"/>
            <w:left w:val="none" w:sz="0" w:space="0" w:color="auto"/>
            <w:bottom w:val="none" w:sz="0" w:space="0" w:color="auto"/>
            <w:right w:val="none" w:sz="0" w:space="0" w:color="auto"/>
          </w:divBdr>
        </w:div>
        <w:div w:id="971520415">
          <w:marLeft w:val="1800"/>
          <w:marRight w:val="0"/>
          <w:marTop w:val="67"/>
          <w:marBottom w:val="0"/>
          <w:divBdr>
            <w:top w:val="none" w:sz="0" w:space="0" w:color="auto"/>
            <w:left w:val="none" w:sz="0" w:space="0" w:color="auto"/>
            <w:bottom w:val="none" w:sz="0" w:space="0" w:color="auto"/>
            <w:right w:val="none" w:sz="0" w:space="0" w:color="auto"/>
          </w:divBdr>
        </w:div>
        <w:div w:id="1188635686">
          <w:marLeft w:val="1166"/>
          <w:marRight w:val="0"/>
          <w:marTop w:val="67"/>
          <w:marBottom w:val="0"/>
          <w:divBdr>
            <w:top w:val="none" w:sz="0" w:space="0" w:color="auto"/>
            <w:left w:val="none" w:sz="0" w:space="0" w:color="auto"/>
            <w:bottom w:val="none" w:sz="0" w:space="0" w:color="auto"/>
            <w:right w:val="none" w:sz="0" w:space="0" w:color="auto"/>
          </w:divBdr>
        </w:div>
        <w:div w:id="1564104234">
          <w:marLeft w:val="1166"/>
          <w:marRight w:val="0"/>
          <w:marTop w:val="67"/>
          <w:marBottom w:val="0"/>
          <w:divBdr>
            <w:top w:val="none" w:sz="0" w:space="0" w:color="auto"/>
            <w:left w:val="none" w:sz="0" w:space="0" w:color="auto"/>
            <w:bottom w:val="none" w:sz="0" w:space="0" w:color="auto"/>
            <w:right w:val="none" w:sz="0" w:space="0" w:color="auto"/>
          </w:divBdr>
        </w:div>
        <w:div w:id="1689062929">
          <w:marLeft w:val="547"/>
          <w:marRight w:val="0"/>
          <w:marTop w:val="67"/>
          <w:marBottom w:val="0"/>
          <w:divBdr>
            <w:top w:val="none" w:sz="0" w:space="0" w:color="auto"/>
            <w:left w:val="none" w:sz="0" w:space="0" w:color="auto"/>
            <w:bottom w:val="none" w:sz="0" w:space="0" w:color="auto"/>
            <w:right w:val="none" w:sz="0" w:space="0" w:color="auto"/>
          </w:divBdr>
        </w:div>
        <w:div w:id="1913344441">
          <w:marLeft w:val="1166"/>
          <w:marRight w:val="0"/>
          <w:marTop w:val="67"/>
          <w:marBottom w:val="0"/>
          <w:divBdr>
            <w:top w:val="none" w:sz="0" w:space="0" w:color="auto"/>
            <w:left w:val="none" w:sz="0" w:space="0" w:color="auto"/>
            <w:bottom w:val="none" w:sz="0" w:space="0" w:color="auto"/>
            <w:right w:val="none" w:sz="0" w:space="0" w:color="auto"/>
          </w:divBdr>
        </w:div>
        <w:div w:id="2002150358">
          <w:marLeft w:val="1166"/>
          <w:marRight w:val="0"/>
          <w:marTop w:val="67"/>
          <w:marBottom w:val="0"/>
          <w:divBdr>
            <w:top w:val="none" w:sz="0" w:space="0" w:color="auto"/>
            <w:left w:val="none" w:sz="0" w:space="0" w:color="auto"/>
            <w:bottom w:val="none" w:sz="0" w:space="0" w:color="auto"/>
            <w:right w:val="none" w:sz="0" w:space="0" w:color="auto"/>
          </w:divBdr>
        </w:div>
        <w:div w:id="2002653830">
          <w:marLeft w:val="1800"/>
          <w:marRight w:val="0"/>
          <w:marTop w:val="67"/>
          <w:marBottom w:val="0"/>
          <w:divBdr>
            <w:top w:val="none" w:sz="0" w:space="0" w:color="auto"/>
            <w:left w:val="none" w:sz="0" w:space="0" w:color="auto"/>
            <w:bottom w:val="none" w:sz="0" w:space="0" w:color="auto"/>
            <w:right w:val="none" w:sz="0" w:space="0" w:color="auto"/>
          </w:divBdr>
        </w:div>
      </w:divsChild>
    </w:div>
    <w:div w:id="69423055">
      <w:bodyDiv w:val="1"/>
      <w:marLeft w:val="0"/>
      <w:marRight w:val="0"/>
      <w:marTop w:val="0"/>
      <w:marBottom w:val="0"/>
      <w:divBdr>
        <w:top w:val="none" w:sz="0" w:space="0" w:color="auto"/>
        <w:left w:val="none" w:sz="0" w:space="0" w:color="auto"/>
        <w:bottom w:val="none" w:sz="0" w:space="0" w:color="auto"/>
        <w:right w:val="none" w:sz="0" w:space="0" w:color="auto"/>
      </w:divBdr>
    </w:div>
    <w:div w:id="69665114">
      <w:bodyDiv w:val="1"/>
      <w:marLeft w:val="0"/>
      <w:marRight w:val="0"/>
      <w:marTop w:val="0"/>
      <w:marBottom w:val="0"/>
      <w:divBdr>
        <w:top w:val="none" w:sz="0" w:space="0" w:color="auto"/>
        <w:left w:val="none" w:sz="0" w:space="0" w:color="auto"/>
        <w:bottom w:val="none" w:sz="0" w:space="0" w:color="auto"/>
        <w:right w:val="none" w:sz="0" w:space="0" w:color="auto"/>
      </w:divBdr>
    </w:div>
    <w:div w:id="71902327">
      <w:bodyDiv w:val="1"/>
      <w:marLeft w:val="0"/>
      <w:marRight w:val="0"/>
      <w:marTop w:val="0"/>
      <w:marBottom w:val="0"/>
      <w:divBdr>
        <w:top w:val="none" w:sz="0" w:space="0" w:color="auto"/>
        <w:left w:val="none" w:sz="0" w:space="0" w:color="auto"/>
        <w:bottom w:val="none" w:sz="0" w:space="0" w:color="auto"/>
        <w:right w:val="none" w:sz="0" w:space="0" w:color="auto"/>
      </w:divBdr>
    </w:div>
    <w:div w:id="72243388">
      <w:bodyDiv w:val="1"/>
      <w:marLeft w:val="0"/>
      <w:marRight w:val="0"/>
      <w:marTop w:val="0"/>
      <w:marBottom w:val="0"/>
      <w:divBdr>
        <w:top w:val="none" w:sz="0" w:space="0" w:color="auto"/>
        <w:left w:val="none" w:sz="0" w:space="0" w:color="auto"/>
        <w:bottom w:val="none" w:sz="0" w:space="0" w:color="auto"/>
        <w:right w:val="none" w:sz="0" w:space="0" w:color="auto"/>
      </w:divBdr>
    </w:div>
    <w:div w:id="72704350">
      <w:bodyDiv w:val="1"/>
      <w:marLeft w:val="0"/>
      <w:marRight w:val="0"/>
      <w:marTop w:val="0"/>
      <w:marBottom w:val="0"/>
      <w:divBdr>
        <w:top w:val="none" w:sz="0" w:space="0" w:color="auto"/>
        <w:left w:val="none" w:sz="0" w:space="0" w:color="auto"/>
        <w:bottom w:val="none" w:sz="0" w:space="0" w:color="auto"/>
        <w:right w:val="none" w:sz="0" w:space="0" w:color="auto"/>
      </w:divBdr>
    </w:div>
    <w:div w:id="72896756">
      <w:bodyDiv w:val="1"/>
      <w:marLeft w:val="0"/>
      <w:marRight w:val="0"/>
      <w:marTop w:val="0"/>
      <w:marBottom w:val="0"/>
      <w:divBdr>
        <w:top w:val="none" w:sz="0" w:space="0" w:color="auto"/>
        <w:left w:val="none" w:sz="0" w:space="0" w:color="auto"/>
        <w:bottom w:val="none" w:sz="0" w:space="0" w:color="auto"/>
        <w:right w:val="none" w:sz="0" w:space="0" w:color="auto"/>
      </w:divBdr>
    </w:div>
    <w:div w:id="73557394">
      <w:bodyDiv w:val="1"/>
      <w:marLeft w:val="0"/>
      <w:marRight w:val="0"/>
      <w:marTop w:val="0"/>
      <w:marBottom w:val="0"/>
      <w:divBdr>
        <w:top w:val="none" w:sz="0" w:space="0" w:color="auto"/>
        <w:left w:val="none" w:sz="0" w:space="0" w:color="auto"/>
        <w:bottom w:val="none" w:sz="0" w:space="0" w:color="auto"/>
        <w:right w:val="none" w:sz="0" w:space="0" w:color="auto"/>
      </w:divBdr>
    </w:div>
    <w:div w:id="74325103">
      <w:bodyDiv w:val="1"/>
      <w:marLeft w:val="0"/>
      <w:marRight w:val="0"/>
      <w:marTop w:val="0"/>
      <w:marBottom w:val="0"/>
      <w:divBdr>
        <w:top w:val="none" w:sz="0" w:space="0" w:color="auto"/>
        <w:left w:val="none" w:sz="0" w:space="0" w:color="auto"/>
        <w:bottom w:val="none" w:sz="0" w:space="0" w:color="auto"/>
        <w:right w:val="none" w:sz="0" w:space="0" w:color="auto"/>
      </w:divBdr>
    </w:div>
    <w:div w:id="74933804">
      <w:bodyDiv w:val="1"/>
      <w:marLeft w:val="0"/>
      <w:marRight w:val="0"/>
      <w:marTop w:val="0"/>
      <w:marBottom w:val="0"/>
      <w:divBdr>
        <w:top w:val="none" w:sz="0" w:space="0" w:color="auto"/>
        <w:left w:val="none" w:sz="0" w:space="0" w:color="auto"/>
        <w:bottom w:val="none" w:sz="0" w:space="0" w:color="auto"/>
        <w:right w:val="none" w:sz="0" w:space="0" w:color="auto"/>
      </w:divBdr>
      <w:divsChild>
        <w:div w:id="746536664">
          <w:marLeft w:val="0"/>
          <w:marRight w:val="0"/>
          <w:marTop w:val="0"/>
          <w:marBottom w:val="0"/>
          <w:divBdr>
            <w:top w:val="none" w:sz="0" w:space="0" w:color="auto"/>
            <w:left w:val="none" w:sz="0" w:space="0" w:color="auto"/>
            <w:bottom w:val="none" w:sz="0" w:space="0" w:color="auto"/>
            <w:right w:val="none" w:sz="0" w:space="0" w:color="auto"/>
          </w:divBdr>
        </w:div>
      </w:divsChild>
    </w:div>
    <w:div w:id="74980219">
      <w:bodyDiv w:val="1"/>
      <w:marLeft w:val="0"/>
      <w:marRight w:val="0"/>
      <w:marTop w:val="0"/>
      <w:marBottom w:val="0"/>
      <w:divBdr>
        <w:top w:val="none" w:sz="0" w:space="0" w:color="auto"/>
        <w:left w:val="none" w:sz="0" w:space="0" w:color="auto"/>
        <w:bottom w:val="none" w:sz="0" w:space="0" w:color="auto"/>
        <w:right w:val="none" w:sz="0" w:space="0" w:color="auto"/>
      </w:divBdr>
    </w:div>
    <w:div w:id="75440824">
      <w:bodyDiv w:val="1"/>
      <w:marLeft w:val="0"/>
      <w:marRight w:val="0"/>
      <w:marTop w:val="0"/>
      <w:marBottom w:val="0"/>
      <w:divBdr>
        <w:top w:val="none" w:sz="0" w:space="0" w:color="auto"/>
        <w:left w:val="none" w:sz="0" w:space="0" w:color="auto"/>
        <w:bottom w:val="none" w:sz="0" w:space="0" w:color="auto"/>
        <w:right w:val="none" w:sz="0" w:space="0" w:color="auto"/>
      </w:divBdr>
    </w:div>
    <w:div w:id="75595494">
      <w:bodyDiv w:val="1"/>
      <w:marLeft w:val="0"/>
      <w:marRight w:val="0"/>
      <w:marTop w:val="0"/>
      <w:marBottom w:val="0"/>
      <w:divBdr>
        <w:top w:val="none" w:sz="0" w:space="0" w:color="auto"/>
        <w:left w:val="none" w:sz="0" w:space="0" w:color="auto"/>
        <w:bottom w:val="none" w:sz="0" w:space="0" w:color="auto"/>
        <w:right w:val="none" w:sz="0" w:space="0" w:color="auto"/>
      </w:divBdr>
    </w:div>
    <w:div w:id="76755152">
      <w:bodyDiv w:val="1"/>
      <w:marLeft w:val="0"/>
      <w:marRight w:val="0"/>
      <w:marTop w:val="0"/>
      <w:marBottom w:val="0"/>
      <w:divBdr>
        <w:top w:val="none" w:sz="0" w:space="0" w:color="auto"/>
        <w:left w:val="none" w:sz="0" w:space="0" w:color="auto"/>
        <w:bottom w:val="none" w:sz="0" w:space="0" w:color="auto"/>
        <w:right w:val="none" w:sz="0" w:space="0" w:color="auto"/>
      </w:divBdr>
      <w:divsChild>
        <w:div w:id="816645999">
          <w:marLeft w:val="547"/>
          <w:marRight w:val="0"/>
          <w:marTop w:val="115"/>
          <w:marBottom w:val="0"/>
          <w:divBdr>
            <w:top w:val="none" w:sz="0" w:space="0" w:color="auto"/>
            <w:left w:val="none" w:sz="0" w:space="0" w:color="auto"/>
            <w:bottom w:val="none" w:sz="0" w:space="0" w:color="auto"/>
            <w:right w:val="none" w:sz="0" w:space="0" w:color="auto"/>
          </w:divBdr>
        </w:div>
        <w:div w:id="1065033616">
          <w:marLeft w:val="1166"/>
          <w:marRight w:val="0"/>
          <w:marTop w:val="96"/>
          <w:marBottom w:val="0"/>
          <w:divBdr>
            <w:top w:val="none" w:sz="0" w:space="0" w:color="auto"/>
            <w:left w:val="none" w:sz="0" w:space="0" w:color="auto"/>
            <w:bottom w:val="none" w:sz="0" w:space="0" w:color="auto"/>
            <w:right w:val="none" w:sz="0" w:space="0" w:color="auto"/>
          </w:divBdr>
        </w:div>
        <w:div w:id="1929537657">
          <w:marLeft w:val="547"/>
          <w:marRight w:val="0"/>
          <w:marTop w:val="115"/>
          <w:marBottom w:val="0"/>
          <w:divBdr>
            <w:top w:val="none" w:sz="0" w:space="0" w:color="auto"/>
            <w:left w:val="none" w:sz="0" w:space="0" w:color="auto"/>
            <w:bottom w:val="none" w:sz="0" w:space="0" w:color="auto"/>
            <w:right w:val="none" w:sz="0" w:space="0" w:color="auto"/>
          </w:divBdr>
        </w:div>
        <w:div w:id="2060353471">
          <w:marLeft w:val="1166"/>
          <w:marRight w:val="0"/>
          <w:marTop w:val="96"/>
          <w:marBottom w:val="0"/>
          <w:divBdr>
            <w:top w:val="none" w:sz="0" w:space="0" w:color="auto"/>
            <w:left w:val="none" w:sz="0" w:space="0" w:color="auto"/>
            <w:bottom w:val="none" w:sz="0" w:space="0" w:color="auto"/>
            <w:right w:val="none" w:sz="0" w:space="0" w:color="auto"/>
          </w:divBdr>
        </w:div>
        <w:div w:id="2139371567">
          <w:marLeft w:val="1166"/>
          <w:marRight w:val="0"/>
          <w:marTop w:val="115"/>
          <w:marBottom w:val="0"/>
          <w:divBdr>
            <w:top w:val="none" w:sz="0" w:space="0" w:color="auto"/>
            <w:left w:val="none" w:sz="0" w:space="0" w:color="auto"/>
            <w:bottom w:val="none" w:sz="0" w:space="0" w:color="auto"/>
            <w:right w:val="none" w:sz="0" w:space="0" w:color="auto"/>
          </w:divBdr>
        </w:div>
      </w:divsChild>
    </w:div>
    <w:div w:id="76875101">
      <w:bodyDiv w:val="1"/>
      <w:marLeft w:val="0"/>
      <w:marRight w:val="0"/>
      <w:marTop w:val="0"/>
      <w:marBottom w:val="0"/>
      <w:divBdr>
        <w:top w:val="none" w:sz="0" w:space="0" w:color="auto"/>
        <w:left w:val="none" w:sz="0" w:space="0" w:color="auto"/>
        <w:bottom w:val="none" w:sz="0" w:space="0" w:color="auto"/>
        <w:right w:val="none" w:sz="0" w:space="0" w:color="auto"/>
      </w:divBdr>
    </w:div>
    <w:div w:id="77023418">
      <w:bodyDiv w:val="1"/>
      <w:marLeft w:val="0"/>
      <w:marRight w:val="0"/>
      <w:marTop w:val="0"/>
      <w:marBottom w:val="0"/>
      <w:divBdr>
        <w:top w:val="none" w:sz="0" w:space="0" w:color="auto"/>
        <w:left w:val="none" w:sz="0" w:space="0" w:color="auto"/>
        <w:bottom w:val="none" w:sz="0" w:space="0" w:color="auto"/>
        <w:right w:val="none" w:sz="0" w:space="0" w:color="auto"/>
      </w:divBdr>
    </w:div>
    <w:div w:id="77406408">
      <w:bodyDiv w:val="1"/>
      <w:marLeft w:val="0"/>
      <w:marRight w:val="0"/>
      <w:marTop w:val="0"/>
      <w:marBottom w:val="0"/>
      <w:divBdr>
        <w:top w:val="none" w:sz="0" w:space="0" w:color="auto"/>
        <w:left w:val="none" w:sz="0" w:space="0" w:color="auto"/>
        <w:bottom w:val="none" w:sz="0" w:space="0" w:color="auto"/>
        <w:right w:val="none" w:sz="0" w:space="0" w:color="auto"/>
      </w:divBdr>
      <w:divsChild>
        <w:div w:id="1684818849">
          <w:marLeft w:val="0"/>
          <w:marRight w:val="0"/>
          <w:marTop w:val="0"/>
          <w:marBottom w:val="0"/>
          <w:divBdr>
            <w:top w:val="none" w:sz="0" w:space="0" w:color="auto"/>
            <w:left w:val="none" w:sz="0" w:space="0" w:color="auto"/>
            <w:bottom w:val="none" w:sz="0" w:space="0" w:color="auto"/>
            <w:right w:val="none" w:sz="0" w:space="0" w:color="auto"/>
          </w:divBdr>
        </w:div>
      </w:divsChild>
    </w:div>
    <w:div w:id="78185482">
      <w:bodyDiv w:val="1"/>
      <w:marLeft w:val="0"/>
      <w:marRight w:val="0"/>
      <w:marTop w:val="0"/>
      <w:marBottom w:val="0"/>
      <w:divBdr>
        <w:top w:val="none" w:sz="0" w:space="0" w:color="auto"/>
        <w:left w:val="none" w:sz="0" w:space="0" w:color="auto"/>
        <w:bottom w:val="none" w:sz="0" w:space="0" w:color="auto"/>
        <w:right w:val="none" w:sz="0" w:space="0" w:color="auto"/>
      </w:divBdr>
    </w:div>
    <w:div w:id="78601552">
      <w:bodyDiv w:val="1"/>
      <w:marLeft w:val="0"/>
      <w:marRight w:val="0"/>
      <w:marTop w:val="0"/>
      <w:marBottom w:val="0"/>
      <w:divBdr>
        <w:top w:val="none" w:sz="0" w:space="0" w:color="auto"/>
        <w:left w:val="none" w:sz="0" w:space="0" w:color="auto"/>
        <w:bottom w:val="none" w:sz="0" w:space="0" w:color="auto"/>
        <w:right w:val="none" w:sz="0" w:space="0" w:color="auto"/>
      </w:divBdr>
    </w:div>
    <w:div w:id="78871254">
      <w:bodyDiv w:val="1"/>
      <w:marLeft w:val="0"/>
      <w:marRight w:val="0"/>
      <w:marTop w:val="0"/>
      <w:marBottom w:val="0"/>
      <w:divBdr>
        <w:top w:val="none" w:sz="0" w:space="0" w:color="auto"/>
        <w:left w:val="none" w:sz="0" w:space="0" w:color="auto"/>
        <w:bottom w:val="none" w:sz="0" w:space="0" w:color="auto"/>
        <w:right w:val="none" w:sz="0" w:space="0" w:color="auto"/>
      </w:divBdr>
      <w:divsChild>
        <w:div w:id="1958677918">
          <w:marLeft w:val="547"/>
          <w:marRight w:val="0"/>
          <w:marTop w:val="96"/>
          <w:marBottom w:val="0"/>
          <w:divBdr>
            <w:top w:val="none" w:sz="0" w:space="0" w:color="auto"/>
            <w:left w:val="none" w:sz="0" w:space="0" w:color="auto"/>
            <w:bottom w:val="none" w:sz="0" w:space="0" w:color="auto"/>
            <w:right w:val="none" w:sz="0" w:space="0" w:color="auto"/>
          </w:divBdr>
        </w:div>
      </w:divsChild>
    </w:div>
    <w:div w:id="80680763">
      <w:bodyDiv w:val="1"/>
      <w:marLeft w:val="0"/>
      <w:marRight w:val="0"/>
      <w:marTop w:val="0"/>
      <w:marBottom w:val="0"/>
      <w:divBdr>
        <w:top w:val="none" w:sz="0" w:space="0" w:color="auto"/>
        <w:left w:val="none" w:sz="0" w:space="0" w:color="auto"/>
        <w:bottom w:val="none" w:sz="0" w:space="0" w:color="auto"/>
        <w:right w:val="none" w:sz="0" w:space="0" w:color="auto"/>
      </w:divBdr>
    </w:div>
    <w:div w:id="81294246">
      <w:bodyDiv w:val="1"/>
      <w:marLeft w:val="0"/>
      <w:marRight w:val="0"/>
      <w:marTop w:val="0"/>
      <w:marBottom w:val="0"/>
      <w:divBdr>
        <w:top w:val="none" w:sz="0" w:space="0" w:color="auto"/>
        <w:left w:val="none" w:sz="0" w:space="0" w:color="auto"/>
        <w:bottom w:val="none" w:sz="0" w:space="0" w:color="auto"/>
        <w:right w:val="none" w:sz="0" w:space="0" w:color="auto"/>
      </w:divBdr>
      <w:divsChild>
        <w:div w:id="1171943509">
          <w:marLeft w:val="547"/>
          <w:marRight w:val="0"/>
          <w:marTop w:val="130"/>
          <w:marBottom w:val="0"/>
          <w:divBdr>
            <w:top w:val="none" w:sz="0" w:space="0" w:color="auto"/>
            <w:left w:val="none" w:sz="0" w:space="0" w:color="auto"/>
            <w:bottom w:val="none" w:sz="0" w:space="0" w:color="auto"/>
            <w:right w:val="none" w:sz="0" w:space="0" w:color="auto"/>
          </w:divBdr>
        </w:div>
        <w:div w:id="1523012742">
          <w:marLeft w:val="547"/>
          <w:marRight w:val="0"/>
          <w:marTop w:val="130"/>
          <w:marBottom w:val="0"/>
          <w:divBdr>
            <w:top w:val="none" w:sz="0" w:space="0" w:color="auto"/>
            <w:left w:val="none" w:sz="0" w:space="0" w:color="auto"/>
            <w:bottom w:val="none" w:sz="0" w:space="0" w:color="auto"/>
            <w:right w:val="none" w:sz="0" w:space="0" w:color="auto"/>
          </w:divBdr>
        </w:div>
      </w:divsChild>
    </w:div>
    <w:div w:id="81336720">
      <w:bodyDiv w:val="1"/>
      <w:marLeft w:val="0"/>
      <w:marRight w:val="0"/>
      <w:marTop w:val="0"/>
      <w:marBottom w:val="0"/>
      <w:divBdr>
        <w:top w:val="none" w:sz="0" w:space="0" w:color="auto"/>
        <w:left w:val="none" w:sz="0" w:space="0" w:color="auto"/>
        <w:bottom w:val="none" w:sz="0" w:space="0" w:color="auto"/>
        <w:right w:val="none" w:sz="0" w:space="0" w:color="auto"/>
      </w:divBdr>
    </w:div>
    <w:div w:id="82999739">
      <w:bodyDiv w:val="1"/>
      <w:marLeft w:val="0"/>
      <w:marRight w:val="0"/>
      <w:marTop w:val="0"/>
      <w:marBottom w:val="0"/>
      <w:divBdr>
        <w:top w:val="none" w:sz="0" w:space="0" w:color="auto"/>
        <w:left w:val="none" w:sz="0" w:space="0" w:color="auto"/>
        <w:bottom w:val="none" w:sz="0" w:space="0" w:color="auto"/>
        <w:right w:val="none" w:sz="0" w:space="0" w:color="auto"/>
      </w:divBdr>
    </w:div>
    <w:div w:id="83304106">
      <w:bodyDiv w:val="1"/>
      <w:marLeft w:val="0"/>
      <w:marRight w:val="0"/>
      <w:marTop w:val="0"/>
      <w:marBottom w:val="0"/>
      <w:divBdr>
        <w:top w:val="none" w:sz="0" w:space="0" w:color="auto"/>
        <w:left w:val="none" w:sz="0" w:space="0" w:color="auto"/>
        <w:bottom w:val="none" w:sz="0" w:space="0" w:color="auto"/>
        <w:right w:val="none" w:sz="0" w:space="0" w:color="auto"/>
      </w:divBdr>
    </w:div>
    <w:div w:id="84039940">
      <w:bodyDiv w:val="1"/>
      <w:marLeft w:val="0"/>
      <w:marRight w:val="0"/>
      <w:marTop w:val="0"/>
      <w:marBottom w:val="0"/>
      <w:divBdr>
        <w:top w:val="none" w:sz="0" w:space="0" w:color="auto"/>
        <w:left w:val="none" w:sz="0" w:space="0" w:color="auto"/>
        <w:bottom w:val="none" w:sz="0" w:space="0" w:color="auto"/>
        <w:right w:val="none" w:sz="0" w:space="0" w:color="auto"/>
      </w:divBdr>
    </w:div>
    <w:div w:id="84425270">
      <w:bodyDiv w:val="1"/>
      <w:marLeft w:val="0"/>
      <w:marRight w:val="0"/>
      <w:marTop w:val="0"/>
      <w:marBottom w:val="0"/>
      <w:divBdr>
        <w:top w:val="none" w:sz="0" w:space="0" w:color="auto"/>
        <w:left w:val="none" w:sz="0" w:space="0" w:color="auto"/>
        <w:bottom w:val="none" w:sz="0" w:space="0" w:color="auto"/>
        <w:right w:val="none" w:sz="0" w:space="0" w:color="auto"/>
      </w:divBdr>
      <w:divsChild>
        <w:div w:id="103767671">
          <w:marLeft w:val="547"/>
          <w:marRight w:val="0"/>
          <w:marTop w:val="96"/>
          <w:marBottom w:val="0"/>
          <w:divBdr>
            <w:top w:val="none" w:sz="0" w:space="0" w:color="auto"/>
            <w:left w:val="none" w:sz="0" w:space="0" w:color="auto"/>
            <w:bottom w:val="none" w:sz="0" w:space="0" w:color="auto"/>
            <w:right w:val="none" w:sz="0" w:space="0" w:color="auto"/>
          </w:divBdr>
        </w:div>
        <w:div w:id="368721103">
          <w:marLeft w:val="1166"/>
          <w:marRight w:val="0"/>
          <w:marTop w:val="96"/>
          <w:marBottom w:val="0"/>
          <w:divBdr>
            <w:top w:val="none" w:sz="0" w:space="0" w:color="auto"/>
            <w:left w:val="none" w:sz="0" w:space="0" w:color="auto"/>
            <w:bottom w:val="none" w:sz="0" w:space="0" w:color="auto"/>
            <w:right w:val="none" w:sz="0" w:space="0" w:color="auto"/>
          </w:divBdr>
        </w:div>
        <w:div w:id="689453909">
          <w:marLeft w:val="1166"/>
          <w:marRight w:val="0"/>
          <w:marTop w:val="96"/>
          <w:marBottom w:val="0"/>
          <w:divBdr>
            <w:top w:val="none" w:sz="0" w:space="0" w:color="auto"/>
            <w:left w:val="none" w:sz="0" w:space="0" w:color="auto"/>
            <w:bottom w:val="none" w:sz="0" w:space="0" w:color="auto"/>
            <w:right w:val="none" w:sz="0" w:space="0" w:color="auto"/>
          </w:divBdr>
        </w:div>
        <w:div w:id="800654990">
          <w:marLeft w:val="547"/>
          <w:marRight w:val="0"/>
          <w:marTop w:val="96"/>
          <w:marBottom w:val="0"/>
          <w:divBdr>
            <w:top w:val="none" w:sz="0" w:space="0" w:color="auto"/>
            <w:left w:val="none" w:sz="0" w:space="0" w:color="auto"/>
            <w:bottom w:val="none" w:sz="0" w:space="0" w:color="auto"/>
            <w:right w:val="none" w:sz="0" w:space="0" w:color="auto"/>
          </w:divBdr>
        </w:div>
        <w:div w:id="1789204509">
          <w:marLeft w:val="1166"/>
          <w:marRight w:val="0"/>
          <w:marTop w:val="96"/>
          <w:marBottom w:val="0"/>
          <w:divBdr>
            <w:top w:val="none" w:sz="0" w:space="0" w:color="auto"/>
            <w:left w:val="none" w:sz="0" w:space="0" w:color="auto"/>
            <w:bottom w:val="none" w:sz="0" w:space="0" w:color="auto"/>
            <w:right w:val="none" w:sz="0" w:space="0" w:color="auto"/>
          </w:divBdr>
        </w:div>
      </w:divsChild>
    </w:div>
    <w:div w:id="84543734">
      <w:bodyDiv w:val="1"/>
      <w:marLeft w:val="0"/>
      <w:marRight w:val="0"/>
      <w:marTop w:val="0"/>
      <w:marBottom w:val="0"/>
      <w:divBdr>
        <w:top w:val="none" w:sz="0" w:space="0" w:color="auto"/>
        <w:left w:val="none" w:sz="0" w:space="0" w:color="auto"/>
        <w:bottom w:val="none" w:sz="0" w:space="0" w:color="auto"/>
        <w:right w:val="none" w:sz="0" w:space="0" w:color="auto"/>
      </w:divBdr>
    </w:div>
    <w:div w:id="84767001">
      <w:bodyDiv w:val="1"/>
      <w:marLeft w:val="0"/>
      <w:marRight w:val="0"/>
      <w:marTop w:val="0"/>
      <w:marBottom w:val="0"/>
      <w:divBdr>
        <w:top w:val="none" w:sz="0" w:space="0" w:color="auto"/>
        <w:left w:val="none" w:sz="0" w:space="0" w:color="auto"/>
        <w:bottom w:val="none" w:sz="0" w:space="0" w:color="auto"/>
        <w:right w:val="none" w:sz="0" w:space="0" w:color="auto"/>
      </w:divBdr>
    </w:div>
    <w:div w:id="84809094">
      <w:bodyDiv w:val="1"/>
      <w:marLeft w:val="0"/>
      <w:marRight w:val="0"/>
      <w:marTop w:val="0"/>
      <w:marBottom w:val="0"/>
      <w:divBdr>
        <w:top w:val="none" w:sz="0" w:space="0" w:color="auto"/>
        <w:left w:val="none" w:sz="0" w:space="0" w:color="auto"/>
        <w:bottom w:val="none" w:sz="0" w:space="0" w:color="auto"/>
        <w:right w:val="none" w:sz="0" w:space="0" w:color="auto"/>
      </w:divBdr>
    </w:div>
    <w:div w:id="86075400">
      <w:bodyDiv w:val="1"/>
      <w:marLeft w:val="0"/>
      <w:marRight w:val="0"/>
      <w:marTop w:val="0"/>
      <w:marBottom w:val="0"/>
      <w:divBdr>
        <w:top w:val="none" w:sz="0" w:space="0" w:color="auto"/>
        <w:left w:val="none" w:sz="0" w:space="0" w:color="auto"/>
        <w:bottom w:val="none" w:sz="0" w:space="0" w:color="auto"/>
        <w:right w:val="none" w:sz="0" w:space="0" w:color="auto"/>
      </w:divBdr>
    </w:div>
    <w:div w:id="86270698">
      <w:bodyDiv w:val="1"/>
      <w:marLeft w:val="0"/>
      <w:marRight w:val="0"/>
      <w:marTop w:val="0"/>
      <w:marBottom w:val="0"/>
      <w:divBdr>
        <w:top w:val="none" w:sz="0" w:space="0" w:color="auto"/>
        <w:left w:val="none" w:sz="0" w:space="0" w:color="auto"/>
        <w:bottom w:val="none" w:sz="0" w:space="0" w:color="auto"/>
        <w:right w:val="none" w:sz="0" w:space="0" w:color="auto"/>
      </w:divBdr>
    </w:div>
    <w:div w:id="86391657">
      <w:bodyDiv w:val="1"/>
      <w:marLeft w:val="0"/>
      <w:marRight w:val="0"/>
      <w:marTop w:val="0"/>
      <w:marBottom w:val="0"/>
      <w:divBdr>
        <w:top w:val="none" w:sz="0" w:space="0" w:color="auto"/>
        <w:left w:val="none" w:sz="0" w:space="0" w:color="auto"/>
        <w:bottom w:val="none" w:sz="0" w:space="0" w:color="auto"/>
        <w:right w:val="none" w:sz="0" w:space="0" w:color="auto"/>
      </w:divBdr>
      <w:divsChild>
        <w:div w:id="612522104">
          <w:marLeft w:val="360"/>
          <w:marRight w:val="0"/>
          <w:marTop w:val="200"/>
          <w:marBottom w:val="0"/>
          <w:divBdr>
            <w:top w:val="none" w:sz="0" w:space="0" w:color="auto"/>
            <w:left w:val="none" w:sz="0" w:space="0" w:color="auto"/>
            <w:bottom w:val="none" w:sz="0" w:space="0" w:color="auto"/>
            <w:right w:val="none" w:sz="0" w:space="0" w:color="auto"/>
          </w:divBdr>
        </w:div>
        <w:div w:id="706685877">
          <w:marLeft w:val="1800"/>
          <w:marRight w:val="0"/>
          <w:marTop w:val="100"/>
          <w:marBottom w:val="0"/>
          <w:divBdr>
            <w:top w:val="none" w:sz="0" w:space="0" w:color="auto"/>
            <w:left w:val="none" w:sz="0" w:space="0" w:color="auto"/>
            <w:bottom w:val="none" w:sz="0" w:space="0" w:color="auto"/>
            <w:right w:val="none" w:sz="0" w:space="0" w:color="auto"/>
          </w:divBdr>
        </w:div>
        <w:div w:id="1110128069">
          <w:marLeft w:val="360"/>
          <w:marRight w:val="0"/>
          <w:marTop w:val="200"/>
          <w:marBottom w:val="0"/>
          <w:divBdr>
            <w:top w:val="none" w:sz="0" w:space="0" w:color="auto"/>
            <w:left w:val="none" w:sz="0" w:space="0" w:color="auto"/>
            <w:bottom w:val="none" w:sz="0" w:space="0" w:color="auto"/>
            <w:right w:val="none" w:sz="0" w:space="0" w:color="auto"/>
          </w:divBdr>
        </w:div>
        <w:div w:id="1129394996">
          <w:marLeft w:val="1080"/>
          <w:marRight w:val="0"/>
          <w:marTop w:val="100"/>
          <w:marBottom w:val="0"/>
          <w:divBdr>
            <w:top w:val="none" w:sz="0" w:space="0" w:color="auto"/>
            <w:left w:val="none" w:sz="0" w:space="0" w:color="auto"/>
            <w:bottom w:val="none" w:sz="0" w:space="0" w:color="auto"/>
            <w:right w:val="none" w:sz="0" w:space="0" w:color="auto"/>
          </w:divBdr>
        </w:div>
        <w:div w:id="1595236523">
          <w:marLeft w:val="1080"/>
          <w:marRight w:val="0"/>
          <w:marTop w:val="100"/>
          <w:marBottom w:val="0"/>
          <w:divBdr>
            <w:top w:val="none" w:sz="0" w:space="0" w:color="auto"/>
            <w:left w:val="none" w:sz="0" w:space="0" w:color="auto"/>
            <w:bottom w:val="none" w:sz="0" w:space="0" w:color="auto"/>
            <w:right w:val="none" w:sz="0" w:space="0" w:color="auto"/>
          </w:divBdr>
        </w:div>
        <w:div w:id="1789154440">
          <w:marLeft w:val="1080"/>
          <w:marRight w:val="0"/>
          <w:marTop w:val="100"/>
          <w:marBottom w:val="0"/>
          <w:divBdr>
            <w:top w:val="none" w:sz="0" w:space="0" w:color="auto"/>
            <w:left w:val="none" w:sz="0" w:space="0" w:color="auto"/>
            <w:bottom w:val="none" w:sz="0" w:space="0" w:color="auto"/>
            <w:right w:val="none" w:sz="0" w:space="0" w:color="auto"/>
          </w:divBdr>
        </w:div>
        <w:div w:id="1861310608">
          <w:marLeft w:val="360"/>
          <w:marRight w:val="0"/>
          <w:marTop w:val="200"/>
          <w:marBottom w:val="0"/>
          <w:divBdr>
            <w:top w:val="none" w:sz="0" w:space="0" w:color="auto"/>
            <w:left w:val="none" w:sz="0" w:space="0" w:color="auto"/>
            <w:bottom w:val="none" w:sz="0" w:space="0" w:color="auto"/>
            <w:right w:val="none" w:sz="0" w:space="0" w:color="auto"/>
          </w:divBdr>
        </w:div>
      </w:divsChild>
    </w:div>
    <w:div w:id="86509546">
      <w:bodyDiv w:val="1"/>
      <w:marLeft w:val="0"/>
      <w:marRight w:val="0"/>
      <w:marTop w:val="0"/>
      <w:marBottom w:val="0"/>
      <w:divBdr>
        <w:top w:val="none" w:sz="0" w:space="0" w:color="auto"/>
        <w:left w:val="none" w:sz="0" w:space="0" w:color="auto"/>
        <w:bottom w:val="none" w:sz="0" w:space="0" w:color="auto"/>
        <w:right w:val="none" w:sz="0" w:space="0" w:color="auto"/>
      </w:divBdr>
    </w:div>
    <w:div w:id="86512003">
      <w:bodyDiv w:val="1"/>
      <w:marLeft w:val="0"/>
      <w:marRight w:val="0"/>
      <w:marTop w:val="0"/>
      <w:marBottom w:val="0"/>
      <w:divBdr>
        <w:top w:val="none" w:sz="0" w:space="0" w:color="auto"/>
        <w:left w:val="none" w:sz="0" w:space="0" w:color="auto"/>
        <w:bottom w:val="none" w:sz="0" w:space="0" w:color="auto"/>
        <w:right w:val="none" w:sz="0" w:space="0" w:color="auto"/>
      </w:divBdr>
    </w:div>
    <w:div w:id="86658647">
      <w:bodyDiv w:val="1"/>
      <w:marLeft w:val="0"/>
      <w:marRight w:val="0"/>
      <w:marTop w:val="0"/>
      <w:marBottom w:val="0"/>
      <w:divBdr>
        <w:top w:val="none" w:sz="0" w:space="0" w:color="auto"/>
        <w:left w:val="none" w:sz="0" w:space="0" w:color="auto"/>
        <w:bottom w:val="none" w:sz="0" w:space="0" w:color="auto"/>
        <w:right w:val="none" w:sz="0" w:space="0" w:color="auto"/>
      </w:divBdr>
    </w:div>
    <w:div w:id="86853426">
      <w:bodyDiv w:val="1"/>
      <w:marLeft w:val="0"/>
      <w:marRight w:val="0"/>
      <w:marTop w:val="0"/>
      <w:marBottom w:val="0"/>
      <w:divBdr>
        <w:top w:val="none" w:sz="0" w:space="0" w:color="auto"/>
        <w:left w:val="none" w:sz="0" w:space="0" w:color="auto"/>
        <w:bottom w:val="none" w:sz="0" w:space="0" w:color="auto"/>
        <w:right w:val="none" w:sz="0" w:space="0" w:color="auto"/>
      </w:divBdr>
    </w:div>
    <w:div w:id="89278296">
      <w:bodyDiv w:val="1"/>
      <w:marLeft w:val="0"/>
      <w:marRight w:val="0"/>
      <w:marTop w:val="0"/>
      <w:marBottom w:val="0"/>
      <w:divBdr>
        <w:top w:val="none" w:sz="0" w:space="0" w:color="auto"/>
        <w:left w:val="none" w:sz="0" w:space="0" w:color="auto"/>
        <w:bottom w:val="none" w:sz="0" w:space="0" w:color="auto"/>
        <w:right w:val="none" w:sz="0" w:space="0" w:color="auto"/>
      </w:divBdr>
      <w:divsChild>
        <w:div w:id="325209436">
          <w:marLeft w:val="1166"/>
          <w:marRight w:val="0"/>
          <w:marTop w:val="134"/>
          <w:marBottom w:val="0"/>
          <w:divBdr>
            <w:top w:val="none" w:sz="0" w:space="0" w:color="auto"/>
            <w:left w:val="none" w:sz="0" w:space="0" w:color="auto"/>
            <w:bottom w:val="none" w:sz="0" w:space="0" w:color="auto"/>
            <w:right w:val="none" w:sz="0" w:space="0" w:color="auto"/>
          </w:divBdr>
        </w:div>
        <w:div w:id="1366368502">
          <w:marLeft w:val="1166"/>
          <w:marRight w:val="0"/>
          <w:marTop w:val="134"/>
          <w:marBottom w:val="0"/>
          <w:divBdr>
            <w:top w:val="none" w:sz="0" w:space="0" w:color="auto"/>
            <w:left w:val="none" w:sz="0" w:space="0" w:color="auto"/>
            <w:bottom w:val="none" w:sz="0" w:space="0" w:color="auto"/>
            <w:right w:val="none" w:sz="0" w:space="0" w:color="auto"/>
          </w:divBdr>
        </w:div>
        <w:div w:id="1627158576">
          <w:marLeft w:val="547"/>
          <w:marRight w:val="0"/>
          <w:marTop w:val="154"/>
          <w:marBottom w:val="0"/>
          <w:divBdr>
            <w:top w:val="none" w:sz="0" w:space="0" w:color="auto"/>
            <w:left w:val="none" w:sz="0" w:space="0" w:color="auto"/>
            <w:bottom w:val="none" w:sz="0" w:space="0" w:color="auto"/>
            <w:right w:val="none" w:sz="0" w:space="0" w:color="auto"/>
          </w:divBdr>
        </w:div>
        <w:div w:id="1634361640">
          <w:marLeft w:val="547"/>
          <w:marRight w:val="0"/>
          <w:marTop w:val="154"/>
          <w:marBottom w:val="0"/>
          <w:divBdr>
            <w:top w:val="none" w:sz="0" w:space="0" w:color="auto"/>
            <w:left w:val="none" w:sz="0" w:space="0" w:color="auto"/>
            <w:bottom w:val="none" w:sz="0" w:space="0" w:color="auto"/>
            <w:right w:val="none" w:sz="0" w:space="0" w:color="auto"/>
          </w:divBdr>
        </w:div>
      </w:divsChild>
    </w:div>
    <w:div w:id="89351406">
      <w:bodyDiv w:val="1"/>
      <w:marLeft w:val="0"/>
      <w:marRight w:val="0"/>
      <w:marTop w:val="0"/>
      <w:marBottom w:val="0"/>
      <w:divBdr>
        <w:top w:val="none" w:sz="0" w:space="0" w:color="auto"/>
        <w:left w:val="none" w:sz="0" w:space="0" w:color="auto"/>
        <w:bottom w:val="none" w:sz="0" w:space="0" w:color="auto"/>
        <w:right w:val="none" w:sz="0" w:space="0" w:color="auto"/>
      </w:divBdr>
    </w:div>
    <w:div w:id="89354639">
      <w:bodyDiv w:val="1"/>
      <w:marLeft w:val="0"/>
      <w:marRight w:val="0"/>
      <w:marTop w:val="0"/>
      <w:marBottom w:val="0"/>
      <w:divBdr>
        <w:top w:val="none" w:sz="0" w:space="0" w:color="auto"/>
        <w:left w:val="none" w:sz="0" w:space="0" w:color="auto"/>
        <w:bottom w:val="none" w:sz="0" w:space="0" w:color="auto"/>
        <w:right w:val="none" w:sz="0" w:space="0" w:color="auto"/>
      </w:divBdr>
      <w:divsChild>
        <w:div w:id="261500091">
          <w:marLeft w:val="0"/>
          <w:marRight w:val="0"/>
          <w:marTop w:val="0"/>
          <w:marBottom w:val="0"/>
          <w:divBdr>
            <w:top w:val="none" w:sz="0" w:space="0" w:color="auto"/>
            <w:left w:val="none" w:sz="0" w:space="0" w:color="auto"/>
            <w:bottom w:val="none" w:sz="0" w:space="0" w:color="auto"/>
            <w:right w:val="none" w:sz="0" w:space="0" w:color="auto"/>
          </w:divBdr>
        </w:div>
      </w:divsChild>
    </w:div>
    <w:div w:id="89665330">
      <w:bodyDiv w:val="1"/>
      <w:marLeft w:val="0"/>
      <w:marRight w:val="0"/>
      <w:marTop w:val="0"/>
      <w:marBottom w:val="0"/>
      <w:divBdr>
        <w:top w:val="none" w:sz="0" w:space="0" w:color="auto"/>
        <w:left w:val="none" w:sz="0" w:space="0" w:color="auto"/>
        <w:bottom w:val="none" w:sz="0" w:space="0" w:color="auto"/>
        <w:right w:val="none" w:sz="0" w:space="0" w:color="auto"/>
      </w:divBdr>
    </w:div>
    <w:div w:id="90469015">
      <w:bodyDiv w:val="1"/>
      <w:marLeft w:val="0"/>
      <w:marRight w:val="0"/>
      <w:marTop w:val="0"/>
      <w:marBottom w:val="0"/>
      <w:divBdr>
        <w:top w:val="none" w:sz="0" w:space="0" w:color="auto"/>
        <w:left w:val="none" w:sz="0" w:space="0" w:color="auto"/>
        <w:bottom w:val="none" w:sz="0" w:space="0" w:color="auto"/>
        <w:right w:val="none" w:sz="0" w:space="0" w:color="auto"/>
      </w:divBdr>
      <w:divsChild>
        <w:div w:id="163252739">
          <w:marLeft w:val="1166"/>
          <w:marRight w:val="0"/>
          <w:marTop w:val="106"/>
          <w:marBottom w:val="0"/>
          <w:divBdr>
            <w:top w:val="none" w:sz="0" w:space="0" w:color="auto"/>
            <w:left w:val="none" w:sz="0" w:space="0" w:color="auto"/>
            <w:bottom w:val="none" w:sz="0" w:space="0" w:color="auto"/>
            <w:right w:val="none" w:sz="0" w:space="0" w:color="auto"/>
          </w:divBdr>
        </w:div>
        <w:div w:id="338778079">
          <w:marLeft w:val="547"/>
          <w:marRight w:val="0"/>
          <w:marTop w:val="120"/>
          <w:marBottom w:val="0"/>
          <w:divBdr>
            <w:top w:val="none" w:sz="0" w:space="0" w:color="auto"/>
            <w:left w:val="none" w:sz="0" w:space="0" w:color="auto"/>
            <w:bottom w:val="none" w:sz="0" w:space="0" w:color="auto"/>
            <w:right w:val="none" w:sz="0" w:space="0" w:color="auto"/>
          </w:divBdr>
        </w:div>
        <w:div w:id="635648457">
          <w:marLeft w:val="1166"/>
          <w:marRight w:val="0"/>
          <w:marTop w:val="106"/>
          <w:marBottom w:val="0"/>
          <w:divBdr>
            <w:top w:val="none" w:sz="0" w:space="0" w:color="auto"/>
            <w:left w:val="none" w:sz="0" w:space="0" w:color="auto"/>
            <w:bottom w:val="none" w:sz="0" w:space="0" w:color="auto"/>
            <w:right w:val="none" w:sz="0" w:space="0" w:color="auto"/>
          </w:divBdr>
        </w:div>
        <w:div w:id="703678526">
          <w:marLeft w:val="547"/>
          <w:marRight w:val="0"/>
          <w:marTop w:val="120"/>
          <w:marBottom w:val="0"/>
          <w:divBdr>
            <w:top w:val="none" w:sz="0" w:space="0" w:color="auto"/>
            <w:left w:val="none" w:sz="0" w:space="0" w:color="auto"/>
            <w:bottom w:val="none" w:sz="0" w:space="0" w:color="auto"/>
            <w:right w:val="none" w:sz="0" w:space="0" w:color="auto"/>
          </w:divBdr>
        </w:div>
        <w:div w:id="976642288">
          <w:marLeft w:val="1166"/>
          <w:marRight w:val="0"/>
          <w:marTop w:val="106"/>
          <w:marBottom w:val="0"/>
          <w:divBdr>
            <w:top w:val="none" w:sz="0" w:space="0" w:color="auto"/>
            <w:left w:val="none" w:sz="0" w:space="0" w:color="auto"/>
            <w:bottom w:val="none" w:sz="0" w:space="0" w:color="auto"/>
            <w:right w:val="none" w:sz="0" w:space="0" w:color="auto"/>
          </w:divBdr>
        </w:div>
        <w:div w:id="996420250">
          <w:marLeft w:val="1800"/>
          <w:marRight w:val="0"/>
          <w:marTop w:val="91"/>
          <w:marBottom w:val="0"/>
          <w:divBdr>
            <w:top w:val="none" w:sz="0" w:space="0" w:color="auto"/>
            <w:left w:val="none" w:sz="0" w:space="0" w:color="auto"/>
            <w:bottom w:val="none" w:sz="0" w:space="0" w:color="auto"/>
            <w:right w:val="none" w:sz="0" w:space="0" w:color="auto"/>
          </w:divBdr>
        </w:div>
        <w:div w:id="1098794822">
          <w:marLeft w:val="1166"/>
          <w:marRight w:val="0"/>
          <w:marTop w:val="106"/>
          <w:marBottom w:val="0"/>
          <w:divBdr>
            <w:top w:val="none" w:sz="0" w:space="0" w:color="auto"/>
            <w:left w:val="none" w:sz="0" w:space="0" w:color="auto"/>
            <w:bottom w:val="none" w:sz="0" w:space="0" w:color="auto"/>
            <w:right w:val="none" w:sz="0" w:space="0" w:color="auto"/>
          </w:divBdr>
        </w:div>
        <w:div w:id="1572814199">
          <w:marLeft w:val="547"/>
          <w:marRight w:val="0"/>
          <w:marTop w:val="120"/>
          <w:marBottom w:val="0"/>
          <w:divBdr>
            <w:top w:val="none" w:sz="0" w:space="0" w:color="auto"/>
            <w:left w:val="none" w:sz="0" w:space="0" w:color="auto"/>
            <w:bottom w:val="none" w:sz="0" w:space="0" w:color="auto"/>
            <w:right w:val="none" w:sz="0" w:space="0" w:color="auto"/>
          </w:divBdr>
        </w:div>
        <w:div w:id="1903170275">
          <w:marLeft w:val="547"/>
          <w:marRight w:val="0"/>
          <w:marTop w:val="120"/>
          <w:marBottom w:val="0"/>
          <w:divBdr>
            <w:top w:val="none" w:sz="0" w:space="0" w:color="auto"/>
            <w:left w:val="none" w:sz="0" w:space="0" w:color="auto"/>
            <w:bottom w:val="none" w:sz="0" w:space="0" w:color="auto"/>
            <w:right w:val="none" w:sz="0" w:space="0" w:color="auto"/>
          </w:divBdr>
        </w:div>
        <w:div w:id="2038848249">
          <w:marLeft w:val="1166"/>
          <w:marRight w:val="0"/>
          <w:marTop w:val="106"/>
          <w:marBottom w:val="0"/>
          <w:divBdr>
            <w:top w:val="none" w:sz="0" w:space="0" w:color="auto"/>
            <w:left w:val="none" w:sz="0" w:space="0" w:color="auto"/>
            <w:bottom w:val="none" w:sz="0" w:space="0" w:color="auto"/>
            <w:right w:val="none" w:sz="0" w:space="0" w:color="auto"/>
          </w:divBdr>
        </w:div>
      </w:divsChild>
    </w:div>
    <w:div w:id="90509415">
      <w:bodyDiv w:val="1"/>
      <w:marLeft w:val="0"/>
      <w:marRight w:val="0"/>
      <w:marTop w:val="0"/>
      <w:marBottom w:val="0"/>
      <w:divBdr>
        <w:top w:val="none" w:sz="0" w:space="0" w:color="auto"/>
        <w:left w:val="none" w:sz="0" w:space="0" w:color="auto"/>
        <w:bottom w:val="none" w:sz="0" w:space="0" w:color="auto"/>
        <w:right w:val="none" w:sz="0" w:space="0" w:color="auto"/>
      </w:divBdr>
    </w:div>
    <w:div w:id="90513074">
      <w:bodyDiv w:val="1"/>
      <w:marLeft w:val="0"/>
      <w:marRight w:val="0"/>
      <w:marTop w:val="0"/>
      <w:marBottom w:val="0"/>
      <w:divBdr>
        <w:top w:val="none" w:sz="0" w:space="0" w:color="auto"/>
        <w:left w:val="none" w:sz="0" w:space="0" w:color="auto"/>
        <w:bottom w:val="none" w:sz="0" w:space="0" w:color="auto"/>
        <w:right w:val="none" w:sz="0" w:space="0" w:color="auto"/>
      </w:divBdr>
    </w:div>
    <w:div w:id="90973023">
      <w:bodyDiv w:val="1"/>
      <w:marLeft w:val="0"/>
      <w:marRight w:val="0"/>
      <w:marTop w:val="0"/>
      <w:marBottom w:val="0"/>
      <w:divBdr>
        <w:top w:val="none" w:sz="0" w:space="0" w:color="auto"/>
        <w:left w:val="none" w:sz="0" w:space="0" w:color="auto"/>
        <w:bottom w:val="none" w:sz="0" w:space="0" w:color="auto"/>
        <w:right w:val="none" w:sz="0" w:space="0" w:color="auto"/>
      </w:divBdr>
    </w:div>
    <w:div w:id="91631418">
      <w:bodyDiv w:val="1"/>
      <w:marLeft w:val="0"/>
      <w:marRight w:val="0"/>
      <w:marTop w:val="0"/>
      <w:marBottom w:val="0"/>
      <w:divBdr>
        <w:top w:val="none" w:sz="0" w:space="0" w:color="auto"/>
        <w:left w:val="none" w:sz="0" w:space="0" w:color="auto"/>
        <w:bottom w:val="none" w:sz="0" w:space="0" w:color="auto"/>
        <w:right w:val="none" w:sz="0" w:space="0" w:color="auto"/>
      </w:divBdr>
      <w:divsChild>
        <w:div w:id="400835098">
          <w:marLeft w:val="1166"/>
          <w:marRight w:val="0"/>
          <w:marTop w:val="134"/>
          <w:marBottom w:val="0"/>
          <w:divBdr>
            <w:top w:val="none" w:sz="0" w:space="0" w:color="auto"/>
            <w:left w:val="none" w:sz="0" w:space="0" w:color="auto"/>
            <w:bottom w:val="none" w:sz="0" w:space="0" w:color="auto"/>
            <w:right w:val="none" w:sz="0" w:space="0" w:color="auto"/>
          </w:divBdr>
        </w:div>
        <w:div w:id="486409212">
          <w:marLeft w:val="547"/>
          <w:marRight w:val="0"/>
          <w:marTop w:val="154"/>
          <w:marBottom w:val="0"/>
          <w:divBdr>
            <w:top w:val="none" w:sz="0" w:space="0" w:color="auto"/>
            <w:left w:val="none" w:sz="0" w:space="0" w:color="auto"/>
            <w:bottom w:val="none" w:sz="0" w:space="0" w:color="auto"/>
            <w:right w:val="none" w:sz="0" w:space="0" w:color="auto"/>
          </w:divBdr>
        </w:div>
      </w:divsChild>
    </w:div>
    <w:div w:id="91901499">
      <w:bodyDiv w:val="1"/>
      <w:marLeft w:val="0"/>
      <w:marRight w:val="0"/>
      <w:marTop w:val="0"/>
      <w:marBottom w:val="0"/>
      <w:divBdr>
        <w:top w:val="none" w:sz="0" w:space="0" w:color="auto"/>
        <w:left w:val="none" w:sz="0" w:space="0" w:color="auto"/>
        <w:bottom w:val="none" w:sz="0" w:space="0" w:color="auto"/>
        <w:right w:val="none" w:sz="0" w:space="0" w:color="auto"/>
      </w:divBdr>
    </w:div>
    <w:div w:id="92288609">
      <w:bodyDiv w:val="1"/>
      <w:marLeft w:val="0"/>
      <w:marRight w:val="0"/>
      <w:marTop w:val="0"/>
      <w:marBottom w:val="0"/>
      <w:divBdr>
        <w:top w:val="none" w:sz="0" w:space="0" w:color="auto"/>
        <w:left w:val="none" w:sz="0" w:space="0" w:color="auto"/>
        <w:bottom w:val="none" w:sz="0" w:space="0" w:color="auto"/>
        <w:right w:val="none" w:sz="0" w:space="0" w:color="auto"/>
      </w:divBdr>
    </w:div>
    <w:div w:id="92476064">
      <w:bodyDiv w:val="1"/>
      <w:marLeft w:val="0"/>
      <w:marRight w:val="0"/>
      <w:marTop w:val="0"/>
      <w:marBottom w:val="0"/>
      <w:divBdr>
        <w:top w:val="none" w:sz="0" w:space="0" w:color="auto"/>
        <w:left w:val="none" w:sz="0" w:space="0" w:color="auto"/>
        <w:bottom w:val="none" w:sz="0" w:space="0" w:color="auto"/>
        <w:right w:val="none" w:sz="0" w:space="0" w:color="auto"/>
      </w:divBdr>
    </w:div>
    <w:div w:id="92670107">
      <w:bodyDiv w:val="1"/>
      <w:marLeft w:val="0"/>
      <w:marRight w:val="0"/>
      <w:marTop w:val="0"/>
      <w:marBottom w:val="0"/>
      <w:divBdr>
        <w:top w:val="none" w:sz="0" w:space="0" w:color="auto"/>
        <w:left w:val="none" w:sz="0" w:space="0" w:color="auto"/>
        <w:bottom w:val="none" w:sz="0" w:space="0" w:color="auto"/>
        <w:right w:val="none" w:sz="0" w:space="0" w:color="auto"/>
      </w:divBdr>
    </w:div>
    <w:div w:id="93400280">
      <w:bodyDiv w:val="1"/>
      <w:marLeft w:val="0"/>
      <w:marRight w:val="0"/>
      <w:marTop w:val="0"/>
      <w:marBottom w:val="0"/>
      <w:divBdr>
        <w:top w:val="none" w:sz="0" w:space="0" w:color="auto"/>
        <w:left w:val="none" w:sz="0" w:space="0" w:color="auto"/>
        <w:bottom w:val="none" w:sz="0" w:space="0" w:color="auto"/>
        <w:right w:val="none" w:sz="0" w:space="0" w:color="auto"/>
      </w:divBdr>
    </w:div>
    <w:div w:id="93983114">
      <w:bodyDiv w:val="1"/>
      <w:marLeft w:val="0"/>
      <w:marRight w:val="0"/>
      <w:marTop w:val="0"/>
      <w:marBottom w:val="0"/>
      <w:divBdr>
        <w:top w:val="none" w:sz="0" w:space="0" w:color="auto"/>
        <w:left w:val="none" w:sz="0" w:space="0" w:color="auto"/>
        <w:bottom w:val="none" w:sz="0" w:space="0" w:color="auto"/>
        <w:right w:val="none" w:sz="0" w:space="0" w:color="auto"/>
      </w:divBdr>
    </w:div>
    <w:div w:id="93985197">
      <w:bodyDiv w:val="1"/>
      <w:marLeft w:val="0"/>
      <w:marRight w:val="0"/>
      <w:marTop w:val="0"/>
      <w:marBottom w:val="0"/>
      <w:divBdr>
        <w:top w:val="none" w:sz="0" w:space="0" w:color="auto"/>
        <w:left w:val="none" w:sz="0" w:space="0" w:color="auto"/>
        <w:bottom w:val="none" w:sz="0" w:space="0" w:color="auto"/>
        <w:right w:val="none" w:sz="0" w:space="0" w:color="auto"/>
      </w:divBdr>
    </w:div>
    <w:div w:id="95029842">
      <w:bodyDiv w:val="1"/>
      <w:marLeft w:val="0"/>
      <w:marRight w:val="0"/>
      <w:marTop w:val="0"/>
      <w:marBottom w:val="0"/>
      <w:divBdr>
        <w:top w:val="none" w:sz="0" w:space="0" w:color="auto"/>
        <w:left w:val="none" w:sz="0" w:space="0" w:color="auto"/>
        <w:bottom w:val="none" w:sz="0" w:space="0" w:color="auto"/>
        <w:right w:val="none" w:sz="0" w:space="0" w:color="auto"/>
      </w:divBdr>
    </w:div>
    <w:div w:id="95254151">
      <w:bodyDiv w:val="1"/>
      <w:marLeft w:val="0"/>
      <w:marRight w:val="0"/>
      <w:marTop w:val="0"/>
      <w:marBottom w:val="0"/>
      <w:divBdr>
        <w:top w:val="none" w:sz="0" w:space="0" w:color="auto"/>
        <w:left w:val="none" w:sz="0" w:space="0" w:color="auto"/>
        <w:bottom w:val="none" w:sz="0" w:space="0" w:color="auto"/>
        <w:right w:val="none" w:sz="0" w:space="0" w:color="auto"/>
      </w:divBdr>
    </w:div>
    <w:div w:id="95373182">
      <w:bodyDiv w:val="1"/>
      <w:marLeft w:val="0"/>
      <w:marRight w:val="0"/>
      <w:marTop w:val="0"/>
      <w:marBottom w:val="0"/>
      <w:divBdr>
        <w:top w:val="none" w:sz="0" w:space="0" w:color="auto"/>
        <w:left w:val="none" w:sz="0" w:space="0" w:color="auto"/>
        <w:bottom w:val="none" w:sz="0" w:space="0" w:color="auto"/>
        <w:right w:val="none" w:sz="0" w:space="0" w:color="auto"/>
      </w:divBdr>
      <w:divsChild>
        <w:div w:id="405419215">
          <w:marLeft w:val="1166"/>
          <w:marRight w:val="0"/>
          <w:marTop w:val="77"/>
          <w:marBottom w:val="0"/>
          <w:divBdr>
            <w:top w:val="none" w:sz="0" w:space="0" w:color="auto"/>
            <w:left w:val="none" w:sz="0" w:space="0" w:color="auto"/>
            <w:bottom w:val="none" w:sz="0" w:space="0" w:color="auto"/>
            <w:right w:val="none" w:sz="0" w:space="0" w:color="auto"/>
          </w:divBdr>
        </w:div>
        <w:div w:id="720858650">
          <w:marLeft w:val="547"/>
          <w:marRight w:val="0"/>
          <w:marTop w:val="86"/>
          <w:marBottom w:val="0"/>
          <w:divBdr>
            <w:top w:val="none" w:sz="0" w:space="0" w:color="auto"/>
            <w:left w:val="none" w:sz="0" w:space="0" w:color="auto"/>
            <w:bottom w:val="none" w:sz="0" w:space="0" w:color="auto"/>
            <w:right w:val="none" w:sz="0" w:space="0" w:color="auto"/>
          </w:divBdr>
        </w:div>
        <w:div w:id="876746914">
          <w:marLeft w:val="2520"/>
          <w:marRight w:val="0"/>
          <w:marTop w:val="77"/>
          <w:marBottom w:val="0"/>
          <w:divBdr>
            <w:top w:val="none" w:sz="0" w:space="0" w:color="auto"/>
            <w:left w:val="none" w:sz="0" w:space="0" w:color="auto"/>
            <w:bottom w:val="none" w:sz="0" w:space="0" w:color="auto"/>
            <w:right w:val="none" w:sz="0" w:space="0" w:color="auto"/>
          </w:divBdr>
        </w:div>
        <w:div w:id="1288513654">
          <w:marLeft w:val="1800"/>
          <w:marRight w:val="0"/>
          <w:marTop w:val="77"/>
          <w:marBottom w:val="0"/>
          <w:divBdr>
            <w:top w:val="none" w:sz="0" w:space="0" w:color="auto"/>
            <w:left w:val="none" w:sz="0" w:space="0" w:color="auto"/>
            <w:bottom w:val="none" w:sz="0" w:space="0" w:color="auto"/>
            <w:right w:val="none" w:sz="0" w:space="0" w:color="auto"/>
          </w:divBdr>
        </w:div>
        <w:div w:id="1358965739">
          <w:marLeft w:val="1166"/>
          <w:marRight w:val="0"/>
          <w:marTop w:val="77"/>
          <w:marBottom w:val="0"/>
          <w:divBdr>
            <w:top w:val="none" w:sz="0" w:space="0" w:color="auto"/>
            <w:left w:val="none" w:sz="0" w:space="0" w:color="auto"/>
            <w:bottom w:val="none" w:sz="0" w:space="0" w:color="auto"/>
            <w:right w:val="none" w:sz="0" w:space="0" w:color="auto"/>
          </w:divBdr>
        </w:div>
        <w:div w:id="1698964249">
          <w:marLeft w:val="1800"/>
          <w:marRight w:val="0"/>
          <w:marTop w:val="77"/>
          <w:marBottom w:val="0"/>
          <w:divBdr>
            <w:top w:val="none" w:sz="0" w:space="0" w:color="auto"/>
            <w:left w:val="none" w:sz="0" w:space="0" w:color="auto"/>
            <w:bottom w:val="none" w:sz="0" w:space="0" w:color="auto"/>
            <w:right w:val="none" w:sz="0" w:space="0" w:color="auto"/>
          </w:divBdr>
        </w:div>
        <w:div w:id="2123376108">
          <w:marLeft w:val="2520"/>
          <w:marRight w:val="0"/>
          <w:marTop w:val="77"/>
          <w:marBottom w:val="0"/>
          <w:divBdr>
            <w:top w:val="none" w:sz="0" w:space="0" w:color="auto"/>
            <w:left w:val="none" w:sz="0" w:space="0" w:color="auto"/>
            <w:bottom w:val="none" w:sz="0" w:space="0" w:color="auto"/>
            <w:right w:val="none" w:sz="0" w:space="0" w:color="auto"/>
          </w:divBdr>
        </w:div>
      </w:divsChild>
    </w:div>
    <w:div w:id="95830008">
      <w:bodyDiv w:val="1"/>
      <w:marLeft w:val="0"/>
      <w:marRight w:val="0"/>
      <w:marTop w:val="0"/>
      <w:marBottom w:val="0"/>
      <w:divBdr>
        <w:top w:val="none" w:sz="0" w:space="0" w:color="auto"/>
        <w:left w:val="none" w:sz="0" w:space="0" w:color="auto"/>
        <w:bottom w:val="none" w:sz="0" w:space="0" w:color="auto"/>
        <w:right w:val="none" w:sz="0" w:space="0" w:color="auto"/>
      </w:divBdr>
    </w:div>
    <w:div w:id="96295688">
      <w:bodyDiv w:val="1"/>
      <w:marLeft w:val="0"/>
      <w:marRight w:val="0"/>
      <w:marTop w:val="0"/>
      <w:marBottom w:val="0"/>
      <w:divBdr>
        <w:top w:val="none" w:sz="0" w:space="0" w:color="auto"/>
        <w:left w:val="none" w:sz="0" w:space="0" w:color="auto"/>
        <w:bottom w:val="none" w:sz="0" w:space="0" w:color="auto"/>
        <w:right w:val="none" w:sz="0" w:space="0" w:color="auto"/>
      </w:divBdr>
    </w:div>
    <w:div w:id="96876663">
      <w:bodyDiv w:val="1"/>
      <w:marLeft w:val="0"/>
      <w:marRight w:val="0"/>
      <w:marTop w:val="0"/>
      <w:marBottom w:val="0"/>
      <w:divBdr>
        <w:top w:val="none" w:sz="0" w:space="0" w:color="auto"/>
        <w:left w:val="none" w:sz="0" w:space="0" w:color="auto"/>
        <w:bottom w:val="none" w:sz="0" w:space="0" w:color="auto"/>
        <w:right w:val="none" w:sz="0" w:space="0" w:color="auto"/>
      </w:divBdr>
    </w:div>
    <w:div w:id="97217065">
      <w:bodyDiv w:val="1"/>
      <w:marLeft w:val="0"/>
      <w:marRight w:val="0"/>
      <w:marTop w:val="0"/>
      <w:marBottom w:val="0"/>
      <w:divBdr>
        <w:top w:val="none" w:sz="0" w:space="0" w:color="auto"/>
        <w:left w:val="none" w:sz="0" w:space="0" w:color="auto"/>
        <w:bottom w:val="none" w:sz="0" w:space="0" w:color="auto"/>
        <w:right w:val="none" w:sz="0" w:space="0" w:color="auto"/>
      </w:divBdr>
    </w:div>
    <w:div w:id="97407878">
      <w:bodyDiv w:val="1"/>
      <w:marLeft w:val="0"/>
      <w:marRight w:val="0"/>
      <w:marTop w:val="0"/>
      <w:marBottom w:val="0"/>
      <w:divBdr>
        <w:top w:val="none" w:sz="0" w:space="0" w:color="auto"/>
        <w:left w:val="none" w:sz="0" w:space="0" w:color="auto"/>
        <w:bottom w:val="none" w:sz="0" w:space="0" w:color="auto"/>
        <w:right w:val="none" w:sz="0" w:space="0" w:color="auto"/>
      </w:divBdr>
    </w:div>
    <w:div w:id="97989462">
      <w:bodyDiv w:val="1"/>
      <w:marLeft w:val="0"/>
      <w:marRight w:val="0"/>
      <w:marTop w:val="0"/>
      <w:marBottom w:val="0"/>
      <w:divBdr>
        <w:top w:val="none" w:sz="0" w:space="0" w:color="auto"/>
        <w:left w:val="none" w:sz="0" w:space="0" w:color="auto"/>
        <w:bottom w:val="none" w:sz="0" w:space="0" w:color="auto"/>
        <w:right w:val="none" w:sz="0" w:space="0" w:color="auto"/>
      </w:divBdr>
    </w:div>
    <w:div w:id="99037428">
      <w:bodyDiv w:val="1"/>
      <w:marLeft w:val="0"/>
      <w:marRight w:val="0"/>
      <w:marTop w:val="0"/>
      <w:marBottom w:val="0"/>
      <w:divBdr>
        <w:top w:val="none" w:sz="0" w:space="0" w:color="auto"/>
        <w:left w:val="none" w:sz="0" w:space="0" w:color="auto"/>
        <w:bottom w:val="none" w:sz="0" w:space="0" w:color="auto"/>
        <w:right w:val="none" w:sz="0" w:space="0" w:color="auto"/>
      </w:divBdr>
      <w:divsChild>
        <w:div w:id="50737467">
          <w:marLeft w:val="547"/>
          <w:marRight w:val="0"/>
          <w:marTop w:val="115"/>
          <w:marBottom w:val="0"/>
          <w:divBdr>
            <w:top w:val="none" w:sz="0" w:space="0" w:color="auto"/>
            <w:left w:val="none" w:sz="0" w:space="0" w:color="auto"/>
            <w:bottom w:val="none" w:sz="0" w:space="0" w:color="auto"/>
            <w:right w:val="none" w:sz="0" w:space="0" w:color="auto"/>
          </w:divBdr>
        </w:div>
        <w:div w:id="411245034">
          <w:marLeft w:val="547"/>
          <w:marRight w:val="0"/>
          <w:marTop w:val="115"/>
          <w:marBottom w:val="0"/>
          <w:divBdr>
            <w:top w:val="none" w:sz="0" w:space="0" w:color="auto"/>
            <w:left w:val="none" w:sz="0" w:space="0" w:color="auto"/>
            <w:bottom w:val="none" w:sz="0" w:space="0" w:color="auto"/>
            <w:right w:val="none" w:sz="0" w:space="0" w:color="auto"/>
          </w:divBdr>
        </w:div>
        <w:div w:id="517236333">
          <w:marLeft w:val="1166"/>
          <w:marRight w:val="0"/>
          <w:marTop w:val="86"/>
          <w:marBottom w:val="0"/>
          <w:divBdr>
            <w:top w:val="none" w:sz="0" w:space="0" w:color="auto"/>
            <w:left w:val="none" w:sz="0" w:space="0" w:color="auto"/>
            <w:bottom w:val="none" w:sz="0" w:space="0" w:color="auto"/>
            <w:right w:val="none" w:sz="0" w:space="0" w:color="auto"/>
          </w:divBdr>
        </w:div>
        <w:div w:id="1327707125">
          <w:marLeft w:val="1166"/>
          <w:marRight w:val="0"/>
          <w:marTop w:val="96"/>
          <w:marBottom w:val="0"/>
          <w:divBdr>
            <w:top w:val="none" w:sz="0" w:space="0" w:color="auto"/>
            <w:left w:val="none" w:sz="0" w:space="0" w:color="auto"/>
            <w:bottom w:val="none" w:sz="0" w:space="0" w:color="auto"/>
            <w:right w:val="none" w:sz="0" w:space="0" w:color="auto"/>
          </w:divBdr>
        </w:div>
      </w:divsChild>
    </w:div>
    <w:div w:id="99496947">
      <w:bodyDiv w:val="1"/>
      <w:marLeft w:val="0"/>
      <w:marRight w:val="0"/>
      <w:marTop w:val="0"/>
      <w:marBottom w:val="0"/>
      <w:divBdr>
        <w:top w:val="none" w:sz="0" w:space="0" w:color="auto"/>
        <w:left w:val="none" w:sz="0" w:space="0" w:color="auto"/>
        <w:bottom w:val="none" w:sz="0" w:space="0" w:color="auto"/>
        <w:right w:val="none" w:sz="0" w:space="0" w:color="auto"/>
      </w:divBdr>
    </w:div>
    <w:div w:id="99497290">
      <w:bodyDiv w:val="1"/>
      <w:marLeft w:val="0"/>
      <w:marRight w:val="0"/>
      <w:marTop w:val="0"/>
      <w:marBottom w:val="0"/>
      <w:divBdr>
        <w:top w:val="none" w:sz="0" w:space="0" w:color="auto"/>
        <w:left w:val="none" w:sz="0" w:space="0" w:color="auto"/>
        <w:bottom w:val="none" w:sz="0" w:space="0" w:color="auto"/>
        <w:right w:val="none" w:sz="0" w:space="0" w:color="auto"/>
      </w:divBdr>
    </w:div>
    <w:div w:id="100301773">
      <w:bodyDiv w:val="1"/>
      <w:marLeft w:val="0"/>
      <w:marRight w:val="0"/>
      <w:marTop w:val="0"/>
      <w:marBottom w:val="0"/>
      <w:divBdr>
        <w:top w:val="none" w:sz="0" w:space="0" w:color="auto"/>
        <w:left w:val="none" w:sz="0" w:space="0" w:color="auto"/>
        <w:bottom w:val="none" w:sz="0" w:space="0" w:color="auto"/>
        <w:right w:val="none" w:sz="0" w:space="0" w:color="auto"/>
      </w:divBdr>
      <w:divsChild>
        <w:div w:id="309601349">
          <w:marLeft w:val="0"/>
          <w:marRight w:val="0"/>
          <w:marTop w:val="0"/>
          <w:marBottom w:val="0"/>
          <w:divBdr>
            <w:top w:val="none" w:sz="0" w:space="0" w:color="auto"/>
            <w:left w:val="none" w:sz="0" w:space="0" w:color="auto"/>
            <w:bottom w:val="none" w:sz="0" w:space="0" w:color="auto"/>
            <w:right w:val="none" w:sz="0" w:space="0" w:color="auto"/>
          </w:divBdr>
          <w:divsChild>
            <w:div w:id="463012334">
              <w:marLeft w:val="0"/>
              <w:marRight w:val="0"/>
              <w:marTop w:val="0"/>
              <w:marBottom w:val="0"/>
              <w:divBdr>
                <w:top w:val="none" w:sz="0" w:space="0" w:color="auto"/>
                <w:left w:val="none" w:sz="0" w:space="0" w:color="auto"/>
                <w:bottom w:val="none" w:sz="0" w:space="0" w:color="auto"/>
                <w:right w:val="none" w:sz="0" w:space="0" w:color="auto"/>
              </w:divBdr>
            </w:div>
            <w:div w:id="1656565987">
              <w:marLeft w:val="0"/>
              <w:marRight w:val="0"/>
              <w:marTop w:val="0"/>
              <w:marBottom w:val="0"/>
              <w:divBdr>
                <w:top w:val="none" w:sz="0" w:space="0" w:color="auto"/>
                <w:left w:val="none" w:sz="0" w:space="0" w:color="auto"/>
                <w:bottom w:val="none" w:sz="0" w:space="0" w:color="auto"/>
                <w:right w:val="none" w:sz="0" w:space="0" w:color="auto"/>
              </w:divBdr>
            </w:div>
            <w:div w:id="18657063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1922578">
      <w:bodyDiv w:val="1"/>
      <w:marLeft w:val="0"/>
      <w:marRight w:val="0"/>
      <w:marTop w:val="0"/>
      <w:marBottom w:val="0"/>
      <w:divBdr>
        <w:top w:val="none" w:sz="0" w:space="0" w:color="auto"/>
        <w:left w:val="none" w:sz="0" w:space="0" w:color="auto"/>
        <w:bottom w:val="none" w:sz="0" w:space="0" w:color="auto"/>
        <w:right w:val="none" w:sz="0" w:space="0" w:color="auto"/>
      </w:divBdr>
    </w:div>
    <w:div w:id="102502704">
      <w:bodyDiv w:val="1"/>
      <w:marLeft w:val="0"/>
      <w:marRight w:val="0"/>
      <w:marTop w:val="0"/>
      <w:marBottom w:val="0"/>
      <w:divBdr>
        <w:top w:val="none" w:sz="0" w:space="0" w:color="auto"/>
        <w:left w:val="none" w:sz="0" w:space="0" w:color="auto"/>
        <w:bottom w:val="none" w:sz="0" w:space="0" w:color="auto"/>
        <w:right w:val="none" w:sz="0" w:space="0" w:color="auto"/>
      </w:divBdr>
    </w:div>
    <w:div w:id="103351299">
      <w:bodyDiv w:val="1"/>
      <w:marLeft w:val="0"/>
      <w:marRight w:val="0"/>
      <w:marTop w:val="0"/>
      <w:marBottom w:val="0"/>
      <w:divBdr>
        <w:top w:val="none" w:sz="0" w:space="0" w:color="auto"/>
        <w:left w:val="none" w:sz="0" w:space="0" w:color="auto"/>
        <w:bottom w:val="none" w:sz="0" w:space="0" w:color="auto"/>
        <w:right w:val="none" w:sz="0" w:space="0" w:color="auto"/>
      </w:divBdr>
    </w:div>
    <w:div w:id="103502790">
      <w:bodyDiv w:val="1"/>
      <w:marLeft w:val="0"/>
      <w:marRight w:val="0"/>
      <w:marTop w:val="0"/>
      <w:marBottom w:val="0"/>
      <w:divBdr>
        <w:top w:val="none" w:sz="0" w:space="0" w:color="auto"/>
        <w:left w:val="none" w:sz="0" w:space="0" w:color="auto"/>
        <w:bottom w:val="none" w:sz="0" w:space="0" w:color="auto"/>
        <w:right w:val="none" w:sz="0" w:space="0" w:color="auto"/>
      </w:divBdr>
    </w:div>
    <w:div w:id="104155653">
      <w:bodyDiv w:val="1"/>
      <w:marLeft w:val="0"/>
      <w:marRight w:val="0"/>
      <w:marTop w:val="0"/>
      <w:marBottom w:val="0"/>
      <w:divBdr>
        <w:top w:val="none" w:sz="0" w:space="0" w:color="auto"/>
        <w:left w:val="none" w:sz="0" w:space="0" w:color="auto"/>
        <w:bottom w:val="none" w:sz="0" w:space="0" w:color="auto"/>
        <w:right w:val="none" w:sz="0" w:space="0" w:color="auto"/>
      </w:divBdr>
    </w:div>
    <w:div w:id="105009144">
      <w:bodyDiv w:val="1"/>
      <w:marLeft w:val="0"/>
      <w:marRight w:val="0"/>
      <w:marTop w:val="0"/>
      <w:marBottom w:val="0"/>
      <w:divBdr>
        <w:top w:val="none" w:sz="0" w:space="0" w:color="auto"/>
        <w:left w:val="none" w:sz="0" w:space="0" w:color="auto"/>
        <w:bottom w:val="none" w:sz="0" w:space="0" w:color="auto"/>
        <w:right w:val="none" w:sz="0" w:space="0" w:color="auto"/>
      </w:divBdr>
      <w:divsChild>
        <w:div w:id="215825662">
          <w:marLeft w:val="1166"/>
          <w:marRight w:val="0"/>
          <w:marTop w:val="115"/>
          <w:marBottom w:val="0"/>
          <w:divBdr>
            <w:top w:val="none" w:sz="0" w:space="0" w:color="auto"/>
            <w:left w:val="none" w:sz="0" w:space="0" w:color="auto"/>
            <w:bottom w:val="none" w:sz="0" w:space="0" w:color="auto"/>
            <w:right w:val="none" w:sz="0" w:space="0" w:color="auto"/>
          </w:divBdr>
        </w:div>
        <w:div w:id="565720360">
          <w:marLeft w:val="1800"/>
          <w:marRight w:val="0"/>
          <w:marTop w:val="96"/>
          <w:marBottom w:val="0"/>
          <w:divBdr>
            <w:top w:val="none" w:sz="0" w:space="0" w:color="auto"/>
            <w:left w:val="none" w:sz="0" w:space="0" w:color="auto"/>
            <w:bottom w:val="none" w:sz="0" w:space="0" w:color="auto"/>
            <w:right w:val="none" w:sz="0" w:space="0" w:color="auto"/>
          </w:divBdr>
        </w:div>
        <w:div w:id="702242447">
          <w:marLeft w:val="1800"/>
          <w:marRight w:val="0"/>
          <w:marTop w:val="96"/>
          <w:marBottom w:val="0"/>
          <w:divBdr>
            <w:top w:val="none" w:sz="0" w:space="0" w:color="auto"/>
            <w:left w:val="none" w:sz="0" w:space="0" w:color="auto"/>
            <w:bottom w:val="none" w:sz="0" w:space="0" w:color="auto"/>
            <w:right w:val="none" w:sz="0" w:space="0" w:color="auto"/>
          </w:divBdr>
        </w:div>
        <w:div w:id="997733267">
          <w:marLeft w:val="547"/>
          <w:marRight w:val="0"/>
          <w:marTop w:val="130"/>
          <w:marBottom w:val="0"/>
          <w:divBdr>
            <w:top w:val="none" w:sz="0" w:space="0" w:color="auto"/>
            <w:left w:val="none" w:sz="0" w:space="0" w:color="auto"/>
            <w:bottom w:val="none" w:sz="0" w:space="0" w:color="auto"/>
            <w:right w:val="none" w:sz="0" w:space="0" w:color="auto"/>
          </w:divBdr>
        </w:div>
        <w:div w:id="1520240619">
          <w:marLeft w:val="547"/>
          <w:marRight w:val="0"/>
          <w:marTop w:val="130"/>
          <w:marBottom w:val="0"/>
          <w:divBdr>
            <w:top w:val="none" w:sz="0" w:space="0" w:color="auto"/>
            <w:left w:val="none" w:sz="0" w:space="0" w:color="auto"/>
            <w:bottom w:val="none" w:sz="0" w:space="0" w:color="auto"/>
            <w:right w:val="none" w:sz="0" w:space="0" w:color="auto"/>
          </w:divBdr>
        </w:div>
        <w:div w:id="1528562286">
          <w:marLeft w:val="1166"/>
          <w:marRight w:val="0"/>
          <w:marTop w:val="115"/>
          <w:marBottom w:val="0"/>
          <w:divBdr>
            <w:top w:val="none" w:sz="0" w:space="0" w:color="auto"/>
            <w:left w:val="none" w:sz="0" w:space="0" w:color="auto"/>
            <w:bottom w:val="none" w:sz="0" w:space="0" w:color="auto"/>
            <w:right w:val="none" w:sz="0" w:space="0" w:color="auto"/>
          </w:divBdr>
        </w:div>
        <w:div w:id="1637906914">
          <w:marLeft w:val="547"/>
          <w:marRight w:val="0"/>
          <w:marTop w:val="130"/>
          <w:marBottom w:val="0"/>
          <w:divBdr>
            <w:top w:val="none" w:sz="0" w:space="0" w:color="auto"/>
            <w:left w:val="none" w:sz="0" w:space="0" w:color="auto"/>
            <w:bottom w:val="none" w:sz="0" w:space="0" w:color="auto"/>
            <w:right w:val="none" w:sz="0" w:space="0" w:color="auto"/>
          </w:divBdr>
        </w:div>
        <w:div w:id="1764835235">
          <w:marLeft w:val="547"/>
          <w:marRight w:val="0"/>
          <w:marTop w:val="130"/>
          <w:marBottom w:val="0"/>
          <w:divBdr>
            <w:top w:val="none" w:sz="0" w:space="0" w:color="auto"/>
            <w:left w:val="none" w:sz="0" w:space="0" w:color="auto"/>
            <w:bottom w:val="none" w:sz="0" w:space="0" w:color="auto"/>
            <w:right w:val="none" w:sz="0" w:space="0" w:color="auto"/>
          </w:divBdr>
        </w:div>
        <w:div w:id="1796295708">
          <w:marLeft w:val="1800"/>
          <w:marRight w:val="0"/>
          <w:marTop w:val="96"/>
          <w:marBottom w:val="0"/>
          <w:divBdr>
            <w:top w:val="none" w:sz="0" w:space="0" w:color="auto"/>
            <w:left w:val="none" w:sz="0" w:space="0" w:color="auto"/>
            <w:bottom w:val="none" w:sz="0" w:space="0" w:color="auto"/>
            <w:right w:val="none" w:sz="0" w:space="0" w:color="auto"/>
          </w:divBdr>
        </w:div>
        <w:div w:id="1952318544">
          <w:marLeft w:val="547"/>
          <w:marRight w:val="0"/>
          <w:marTop w:val="130"/>
          <w:marBottom w:val="0"/>
          <w:divBdr>
            <w:top w:val="none" w:sz="0" w:space="0" w:color="auto"/>
            <w:left w:val="none" w:sz="0" w:space="0" w:color="auto"/>
            <w:bottom w:val="none" w:sz="0" w:space="0" w:color="auto"/>
            <w:right w:val="none" w:sz="0" w:space="0" w:color="auto"/>
          </w:divBdr>
        </w:div>
      </w:divsChild>
    </w:div>
    <w:div w:id="105202907">
      <w:bodyDiv w:val="1"/>
      <w:marLeft w:val="0"/>
      <w:marRight w:val="0"/>
      <w:marTop w:val="0"/>
      <w:marBottom w:val="0"/>
      <w:divBdr>
        <w:top w:val="none" w:sz="0" w:space="0" w:color="auto"/>
        <w:left w:val="none" w:sz="0" w:space="0" w:color="auto"/>
        <w:bottom w:val="none" w:sz="0" w:space="0" w:color="auto"/>
        <w:right w:val="none" w:sz="0" w:space="0" w:color="auto"/>
      </w:divBdr>
    </w:div>
    <w:div w:id="105663155">
      <w:bodyDiv w:val="1"/>
      <w:marLeft w:val="0"/>
      <w:marRight w:val="0"/>
      <w:marTop w:val="0"/>
      <w:marBottom w:val="0"/>
      <w:divBdr>
        <w:top w:val="none" w:sz="0" w:space="0" w:color="auto"/>
        <w:left w:val="none" w:sz="0" w:space="0" w:color="auto"/>
        <w:bottom w:val="none" w:sz="0" w:space="0" w:color="auto"/>
        <w:right w:val="none" w:sz="0" w:space="0" w:color="auto"/>
      </w:divBdr>
    </w:div>
    <w:div w:id="105780658">
      <w:bodyDiv w:val="1"/>
      <w:marLeft w:val="0"/>
      <w:marRight w:val="0"/>
      <w:marTop w:val="0"/>
      <w:marBottom w:val="0"/>
      <w:divBdr>
        <w:top w:val="none" w:sz="0" w:space="0" w:color="auto"/>
        <w:left w:val="none" w:sz="0" w:space="0" w:color="auto"/>
        <w:bottom w:val="none" w:sz="0" w:space="0" w:color="auto"/>
        <w:right w:val="none" w:sz="0" w:space="0" w:color="auto"/>
      </w:divBdr>
    </w:div>
    <w:div w:id="106000619">
      <w:bodyDiv w:val="1"/>
      <w:marLeft w:val="0"/>
      <w:marRight w:val="0"/>
      <w:marTop w:val="0"/>
      <w:marBottom w:val="0"/>
      <w:divBdr>
        <w:top w:val="none" w:sz="0" w:space="0" w:color="auto"/>
        <w:left w:val="none" w:sz="0" w:space="0" w:color="auto"/>
        <w:bottom w:val="none" w:sz="0" w:space="0" w:color="auto"/>
        <w:right w:val="none" w:sz="0" w:space="0" w:color="auto"/>
      </w:divBdr>
    </w:div>
    <w:div w:id="106589590">
      <w:bodyDiv w:val="1"/>
      <w:marLeft w:val="0"/>
      <w:marRight w:val="0"/>
      <w:marTop w:val="0"/>
      <w:marBottom w:val="0"/>
      <w:divBdr>
        <w:top w:val="none" w:sz="0" w:space="0" w:color="auto"/>
        <w:left w:val="none" w:sz="0" w:space="0" w:color="auto"/>
        <w:bottom w:val="none" w:sz="0" w:space="0" w:color="auto"/>
        <w:right w:val="none" w:sz="0" w:space="0" w:color="auto"/>
      </w:divBdr>
      <w:divsChild>
        <w:div w:id="76485623">
          <w:marLeft w:val="547"/>
          <w:marRight w:val="0"/>
          <w:marTop w:val="96"/>
          <w:marBottom w:val="0"/>
          <w:divBdr>
            <w:top w:val="none" w:sz="0" w:space="0" w:color="auto"/>
            <w:left w:val="none" w:sz="0" w:space="0" w:color="auto"/>
            <w:bottom w:val="none" w:sz="0" w:space="0" w:color="auto"/>
            <w:right w:val="none" w:sz="0" w:space="0" w:color="auto"/>
          </w:divBdr>
        </w:div>
        <w:div w:id="483592499">
          <w:marLeft w:val="1166"/>
          <w:marRight w:val="0"/>
          <w:marTop w:val="77"/>
          <w:marBottom w:val="0"/>
          <w:divBdr>
            <w:top w:val="none" w:sz="0" w:space="0" w:color="auto"/>
            <w:left w:val="none" w:sz="0" w:space="0" w:color="auto"/>
            <w:bottom w:val="none" w:sz="0" w:space="0" w:color="auto"/>
            <w:right w:val="none" w:sz="0" w:space="0" w:color="auto"/>
          </w:divBdr>
        </w:div>
        <w:div w:id="648050377">
          <w:marLeft w:val="1166"/>
          <w:marRight w:val="0"/>
          <w:marTop w:val="77"/>
          <w:marBottom w:val="0"/>
          <w:divBdr>
            <w:top w:val="none" w:sz="0" w:space="0" w:color="auto"/>
            <w:left w:val="none" w:sz="0" w:space="0" w:color="auto"/>
            <w:bottom w:val="none" w:sz="0" w:space="0" w:color="auto"/>
            <w:right w:val="none" w:sz="0" w:space="0" w:color="auto"/>
          </w:divBdr>
        </w:div>
      </w:divsChild>
    </w:div>
    <w:div w:id="106628598">
      <w:bodyDiv w:val="1"/>
      <w:marLeft w:val="0"/>
      <w:marRight w:val="0"/>
      <w:marTop w:val="0"/>
      <w:marBottom w:val="0"/>
      <w:divBdr>
        <w:top w:val="none" w:sz="0" w:space="0" w:color="auto"/>
        <w:left w:val="none" w:sz="0" w:space="0" w:color="auto"/>
        <w:bottom w:val="none" w:sz="0" w:space="0" w:color="auto"/>
        <w:right w:val="none" w:sz="0" w:space="0" w:color="auto"/>
      </w:divBdr>
    </w:div>
    <w:div w:id="107892553">
      <w:bodyDiv w:val="1"/>
      <w:marLeft w:val="0"/>
      <w:marRight w:val="0"/>
      <w:marTop w:val="0"/>
      <w:marBottom w:val="0"/>
      <w:divBdr>
        <w:top w:val="none" w:sz="0" w:space="0" w:color="auto"/>
        <w:left w:val="none" w:sz="0" w:space="0" w:color="auto"/>
        <w:bottom w:val="none" w:sz="0" w:space="0" w:color="auto"/>
        <w:right w:val="none" w:sz="0" w:space="0" w:color="auto"/>
      </w:divBdr>
    </w:div>
    <w:div w:id="108621365">
      <w:bodyDiv w:val="1"/>
      <w:marLeft w:val="0"/>
      <w:marRight w:val="0"/>
      <w:marTop w:val="0"/>
      <w:marBottom w:val="0"/>
      <w:divBdr>
        <w:top w:val="none" w:sz="0" w:space="0" w:color="auto"/>
        <w:left w:val="none" w:sz="0" w:space="0" w:color="auto"/>
        <w:bottom w:val="none" w:sz="0" w:space="0" w:color="auto"/>
        <w:right w:val="none" w:sz="0" w:space="0" w:color="auto"/>
      </w:divBdr>
    </w:div>
    <w:div w:id="108623039">
      <w:bodyDiv w:val="1"/>
      <w:marLeft w:val="0"/>
      <w:marRight w:val="0"/>
      <w:marTop w:val="0"/>
      <w:marBottom w:val="0"/>
      <w:divBdr>
        <w:top w:val="none" w:sz="0" w:space="0" w:color="auto"/>
        <w:left w:val="none" w:sz="0" w:space="0" w:color="auto"/>
        <w:bottom w:val="none" w:sz="0" w:space="0" w:color="auto"/>
        <w:right w:val="none" w:sz="0" w:space="0" w:color="auto"/>
      </w:divBdr>
      <w:divsChild>
        <w:div w:id="263657667">
          <w:marLeft w:val="547"/>
          <w:marRight w:val="0"/>
          <w:marTop w:val="115"/>
          <w:marBottom w:val="0"/>
          <w:divBdr>
            <w:top w:val="none" w:sz="0" w:space="0" w:color="auto"/>
            <w:left w:val="none" w:sz="0" w:space="0" w:color="auto"/>
            <w:bottom w:val="none" w:sz="0" w:space="0" w:color="auto"/>
            <w:right w:val="none" w:sz="0" w:space="0" w:color="auto"/>
          </w:divBdr>
        </w:div>
      </w:divsChild>
    </w:div>
    <w:div w:id="108939147">
      <w:bodyDiv w:val="1"/>
      <w:marLeft w:val="0"/>
      <w:marRight w:val="0"/>
      <w:marTop w:val="0"/>
      <w:marBottom w:val="0"/>
      <w:divBdr>
        <w:top w:val="none" w:sz="0" w:space="0" w:color="auto"/>
        <w:left w:val="none" w:sz="0" w:space="0" w:color="auto"/>
        <w:bottom w:val="none" w:sz="0" w:space="0" w:color="auto"/>
        <w:right w:val="none" w:sz="0" w:space="0" w:color="auto"/>
      </w:divBdr>
    </w:div>
    <w:div w:id="109401756">
      <w:bodyDiv w:val="1"/>
      <w:marLeft w:val="0"/>
      <w:marRight w:val="0"/>
      <w:marTop w:val="0"/>
      <w:marBottom w:val="0"/>
      <w:divBdr>
        <w:top w:val="none" w:sz="0" w:space="0" w:color="auto"/>
        <w:left w:val="none" w:sz="0" w:space="0" w:color="auto"/>
        <w:bottom w:val="none" w:sz="0" w:space="0" w:color="auto"/>
        <w:right w:val="none" w:sz="0" w:space="0" w:color="auto"/>
      </w:divBdr>
      <w:divsChild>
        <w:div w:id="77485704">
          <w:marLeft w:val="1800"/>
          <w:marRight w:val="0"/>
          <w:marTop w:val="100"/>
          <w:marBottom w:val="0"/>
          <w:divBdr>
            <w:top w:val="none" w:sz="0" w:space="0" w:color="auto"/>
            <w:left w:val="none" w:sz="0" w:space="0" w:color="auto"/>
            <w:bottom w:val="none" w:sz="0" w:space="0" w:color="auto"/>
            <w:right w:val="none" w:sz="0" w:space="0" w:color="auto"/>
          </w:divBdr>
        </w:div>
        <w:div w:id="79329946">
          <w:marLeft w:val="1800"/>
          <w:marRight w:val="0"/>
          <w:marTop w:val="100"/>
          <w:marBottom w:val="0"/>
          <w:divBdr>
            <w:top w:val="none" w:sz="0" w:space="0" w:color="auto"/>
            <w:left w:val="none" w:sz="0" w:space="0" w:color="auto"/>
            <w:bottom w:val="none" w:sz="0" w:space="0" w:color="auto"/>
            <w:right w:val="none" w:sz="0" w:space="0" w:color="auto"/>
          </w:divBdr>
        </w:div>
        <w:div w:id="201523564">
          <w:marLeft w:val="1080"/>
          <w:marRight w:val="0"/>
          <w:marTop w:val="100"/>
          <w:marBottom w:val="0"/>
          <w:divBdr>
            <w:top w:val="none" w:sz="0" w:space="0" w:color="auto"/>
            <w:left w:val="none" w:sz="0" w:space="0" w:color="auto"/>
            <w:bottom w:val="none" w:sz="0" w:space="0" w:color="auto"/>
            <w:right w:val="none" w:sz="0" w:space="0" w:color="auto"/>
          </w:divBdr>
        </w:div>
        <w:div w:id="585696899">
          <w:marLeft w:val="1800"/>
          <w:marRight w:val="0"/>
          <w:marTop w:val="100"/>
          <w:marBottom w:val="0"/>
          <w:divBdr>
            <w:top w:val="none" w:sz="0" w:space="0" w:color="auto"/>
            <w:left w:val="none" w:sz="0" w:space="0" w:color="auto"/>
            <w:bottom w:val="none" w:sz="0" w:space="0" w:color="auto"/>
            <w:right w:val="none" w:sz="0" w:space="0" w:color="auto"/>
          </w:divBdr>
        </w:div>
        <w:div w:id="621309396">
          <w:marLeft w:val="1800"/>
          <w:marRight w:val="0"/>
          <w:marTop w:val="100"/>
          <w:marBottom w:val="0"/>
          <w:divBdr>
            <w:top w:val="none" w:sz="0" w:space="0" w:color="auto"/>
            <w:left w:val="none" w:sz="0" w:space="0" w:color="auto"/>
            <w:bottom w:val="none" w:sz="0" w:space="0" w:color="auto"/>
            <w:right w:val="none" w:sz="0" w:space="0" w:color="auto"/>
          </w:divBdr>
        </w:div>
        <w:div w:id="801458862">
          <w:marLeft w:val="1800"/>
          <w:marRight w:val="0"/>
          <w:marTop w:val="100"/>
          <w:marBottom w:val="0"/>
          <w:divBdr>
            <w:top w:val="none" w:sz="0" w:space="0" w:color="auto"/>
            <w:left w:val="none" w:sz="0" w:space="0" w:color="auto"/>
            <w:bottom w:val="none" w:sz="0" w:space="0" w:color="auto"/>
            <w:right w:val="none" w:sz="0" w:space="0" w:color="auto"/>
          </w:divBdr>
        </w:div>
        <w:div w:id="895361795">
          <w:marLeft w:val="1080"/>
          <w:marRight w:val="0"/>
          <w:marTop w:val="100"/>
          <w:marBottom w:val="0"/>
          <w:divBdr>
            <w:top w:val="none" w:sz="0" w:space="0" w:color="auto"/>
            <w:left w:val="none" w:sz="0" w:space="0" w:color="auto"/>
            <w:bottom w:val="none" w:sz="0" w:space="0" w:color="auto"/>
            <w:right w:val="none" w:sz="0" w:space="0" w:color="auto"/>
          </w:divBdr>
        </w:div>
        <w:div w:id="913322160">
          <w:marLeft w:val="1800"/>
          <w:marRight w:val="0"/>
          <w:marTop w:val="100"/>
          <w:marBottom w:val="0"/>
          <w:divBdr>
            <w:top w:val="none" w:sz="0" w:space="0" w:color="auto"/>
            <w:left w:val="none" w:sz="0" w:space="0" w:color="auto"/>
            <w:bottom w:val="none" w:sz="0" w:space="0" w:color="auto"/>
            <w:right w:val="none" w:sz="0" w:space="0" w:color="auto"/>
          </w:divBdr>
        </w:div>
        <w:div w:id="1021472570">
          <w:marLeft w:val="1800"/>
          <w:marRight w:val="0"/>
          <w:marTop w:val="100"/>
          <w:marBottom w:val="0"/>
          <w:divBdr>
            <w:top w:val="none" w:sz="0" w:space="0" w:color="auto"/>
            <w:left w:val="none" w:sz="0" w:space="0" w:color="auto"/>
            <w:bottom w:val="none" w:sz="0" w:space="0" w:color="auto"/>
            <w:right w:val="none" w:sz="0" w:space="0" w:color="auto"/>
          </w:divBdr>
        </w:div>
        <w:div w:id="1082147181">
          <w:marLeft w:val="1800"/>
          <w:marRight w:val="0"/>
          <w:marTop w:val="100"/>
          <w:marBottom w:val="0"/>
          <w:divBdr>
            <w:top w:val="none" w:sz="0" w:space="0" w:color="auto"/>
            <w:left w:val="none" w:sz="0" w:space="0" w:color="auto"/>
            <w:bottom w:val="none" w:sz="0" w:space="0" w:color="auto"/>
            <w:right w:val="none" w:sz="0" w:space="0" w:color="auto"/>
          </w:divBdr>
        </w:div>
        <w:div w:id="1368405958">
          <w:marLeft w:val="1080"/>
          <w:marRight w:val="0"/>
          <w:marTop w:val="100"/>
          <w:marBottom w:val="0"/>
          <w:divBdr>
            <w:top w:val="none" w:sz="0" w:space="0" w:color="auto"/>
            <w:left w:val="none" w:sz="0" w:space="0" w:color="auto"/>
            <w:bottom w:val="none" w:sz="0" w:space="0" w:color="auto"/>
            <w:right w:val="none" w:sz="0" w:space="0" w:color="auto"/>
          </w:divBdr>
        </w:div>
        <w:div w:id="1952475852">
          <w:marLeft w:val="1800"/>
          <w:marRight w:val="0"/>
          <w:marTop w:val="100"/>
          <w:marBottom w:val="0"/>
          <w:divBdr>
            <w:top w:val="none" w:sz="0" w:space="0" w:color="auto"/>
            <w:left w:val="none" w:sz="0" w:space="0" w:color="auto"/>
            <w:bottom w:val="none" w:sz="0" w:space="0" w:color="auto"/>
            <w:right w:val="none" w:sz="0" w:space="0" w:color="auto"/>
          </w:divBdr>
        </w:div>
        <w:div w:id="2076976023">
          <w:marLeft w:val="360"/>
          <w:marRight w:val="0"/>
          <w:marTop w:val="200"/>
          <w:marBottom w:val="0"/>
          <w:divBdr>
            <w:top w:val="none" w:sz="0" w:space="0" w:color="auto"/>
            <w:left w:val="none" w:sz="0" w:space="0" w:color="auto"/>
            <w:bottom w:val="none" w:sz="0" w:space="0" w:color="auto"/>
            <w:right w:val="none" w:sz="0" w:space="0" w:color="auto"/>
          </w:divBdr>
        </w:div>
        <w:div w:id="2115516924">
          <w:marLeft w:val="1080"/>
          <w:marRight w:val="0"/>
          <w:marTop w:val="100"/>
          <w:marBottom w:val="0"/>
          <w:divBdr>
            <w:top w:val="none" w:sz="0" w:space="0" w:color="auto"/>
            <w:left w:val="none" w:sz="0" w:space="0" w:color="auto"/>
            <w:bottom w:val="none" w:sz="0" w:space="0" w:color="auto"/>
            <w:right w:val="none" w:sz="0" w:space="0" w:color="auto"/>
          </w:divBdr>
        </w:div>
      </w:divsChild>
    </w:div>
    <w:div w:id="109666836">
      <w:bodyDiv w:val="1"/>
      <w:marLeft w:val="0"/>
      <w:marRight w:val="0"/>
      <w:marTop w:val="0"/>
      <w:marBottom w:val="0"/>
      <w:divBdr>
        <w:top w:val="none" w:sz="0" w:space="0" w:color="auto"/>
        <w:left w:val="none" w:sz="0" w:space="0" w:color="auto"/>
        <w:bottom w:val="none" w:sz="0" w:space="0" w:color="auto"/>
        <w:right w:val="none" w:sz="0" w:space="0" w:color="auto"/>
      </w:divBdr>
    </w:div>
    <w:div w:id="109669588">
      <w:bodyDiv w:val="1"/>
      <w:marLeft w:val="0"/>
      <w:marRight w:val="0"/>
      <w:marTop w:val="0"/>
      <w:marBottom w:val="0"/>
      <w:divBdr>
        <w:top w:val="none" w:sz="0" w:space="0" w:color="auto"/>
        <w:left w:val="none" w:sz="0" w:space="0" w:color="auto"/>
        <w:bottom w:val="none" w:sz="0" w:space="0" w:color="auto"/>
        <w:right w:val="none" w:sz="0" w:space="0" w:color="auto"/>
      </w:divBdr>
    </w:div>
    <w:div w:id="110252251">
      <w:bodyDiv w:val="1"/>
      <w:marLeft w:val="0"/>
      <w:marRight w:val="0"/>
      <w:marTop w:val="0"/>
      <w:marBottom w:val="0"/>
      <w:divBdr>
        <w:top w:val="none" w:sz="0" w:space="0" w:color="auto"/>
        <w:left w:val="none" w:sz="0" w:space="0" w:color="auto"/>
        <w:bottom w:val="none" w:sz="0" w:space="0" w:color="auto"/>
        <w:right w:val="none" w:sz="0" w:space="0" w:color="auto"/>
      </w:divBdr>
      <w:divsChild>
        <w:div w:id="617179741">
          <w:marLeft w:val="547"/>
          <w:marRight w:val="0"/>
          <w:marTop w:val="0"/>
          <w:marBottom w:val="0"/>
          <w:divBdr>
            <w:top w:val="none" w:sz="0" w:space="0" w:color="auto"/>
            <w:left w:val="none" w:sz="0" w:space="0" w:color="auto"/>
            <w:bottom w:val="none" w:sz="0" w:space="0" w:color="auto"/>
            <w:right w:val="none" w:sz="0" w:space="0" w:color="auto"/>
          </w:divBdr>
        </w:div>
      </w:divsChild>
    </w:div>
    <w:div w:id="110321561">
      <w:bodyDiv w:val="1"/>
      <w:marLeft w:val="0"/>
      <w:marRight w:val="0"/>
      <w:marTop w:val="0"/>
      <w:marBottom w:val="0"/>
      <w:divBdr>
        <w:top w:val="none" w:sz="0" w:space="0" w:color="auto"/>
        <w:left w:val="none" w:sz="0" w:space="0" w:color="auto"/>
        <w:bottom w:val="none" w:sz="0" w:space="0" w:color="auto"/>
        <w:right w:val="none" w:sz="0" w:space="0" w:color="auto"/>
      </w:divBdr>
      <w:divsChild>
        <w:div w:id="134878093">
          <w:marLeft w:val="547"/>
          <w:marRight w:val="0"/>
          <w:marTop w:val="154"/>
          <w:marBottom w:val="0"/>
          <w:divBdr>
            <w:top w:val="none" w:sz="0" w:space="0" w:color="auto"/>
            <w:left w:val="none" w:sz="0" w:space="0" w:color="auto"/>
            <w:bottom w:val="none" w:sz="0" w:space="0" w:color="auto"/>
            <w:right w:val="none" w:sz="0" w:space="0" w:color="auto"/>
          </w:divBdr>
        </w:div>
        <w:div w:id="320306872">
          <w:marLeft w:val="547"/>
          <w:marRight w:val="0"/>
          <w:marTop w:val="154"/>
          <w:marBottom w:val="0"/>
          <w:divBdr>
            <w:top w:val="none" w:sz="0" w:space="0" w:color="auto"/>
            <w:left w:val="none" w:sz="0" w:space="0" w:color="auto"/>
            <w:bottom w:val="none" w:sz="0" w:space="0" w:color="auto"/>
            <w:right w:val="none" w:sz="0" w:space="0" w:color="auto"/>
          </w:divBdr>
        </w:div>
        <w:div w:id="488715353">
          <w:marLeft w:val="547"/>
          <w:marRight w:val="0"/>
          <w:marTop w:val="154"/>
          <w:marBottom w:val="0"/>
          <w:divBdr>
            <w:top w:val="none" w:sz="0" w:space="0" w:color="auto"/>
            <w:left w:val="none" w:sz="0" w:space="0" w:color="auto"/>
            <w:bottom w:val="none" w:sz="0" w:space="0" w:color="auto"/>
            <w:right w:val="none" w:sz="0" w:space="0" w:color="auto"/>
          </w:divBdr>
        </w:div>
        <w:div w:id="1042244619">
          <w:marLeft w:val="547"/>
          <w:marRight w:val="0"/>
          <w:marTop w:val="154"/>
          <w:marBottom w:val="0"/>
          <w:divBdr>
            <w:top w:val="none" w:sz="0" w:space="0" w:color="auto"/>
            <w:left w:val="none" w:sz="0" w:space="0" w:color="auto"/>
            <w:bottom w:val="none" w:sz="0" w:space="0" w:color="auto"/>
            <w:right w:val="none" w:sz="0" w:space="0" w:color="auto"/>
          </w:divBdr>
        </w:div>
      </w:divsChild>
    </w:div>
    <w:div w:id="110511958">
      <w:bodyDiv w:val="1"/>
      <w:marLeft w:val="0"/>
      <w:marRight w:val="0"/>
      <w:marTop w:val="0"/>
      <w:marBottom w:val="0"/>
      <w:divBdr>
        <w:top w:val="none" w:sz="0" w:space="0" w:color="auto"/>
        <w:left w:val="none" w:sz="0" w:space="0" w:color="auto"/>
        <w:bottom w:val="none" w:sz="0" w:space="0" w:color="auto"/>
        <w:right w:val="none" w:sz="0" w:space="0" w:color="auto"/>
      </w:divBdr>
    </w:div>
    <w:div w:id="110518421">
      <w:bodyDiv w:val="1"/>
      <w:marLeft w:val="0"/>
      <w:marRight w:val="0"/>
      <w:marTop w:val="0"/>
      <w:marBottom w:val="0"/>
      <w:divBdr>
        <w:top w:val="none" w:sz="0" w:space="0" w:color="auto"/>
        <w:left w:val="none" w:sz="0" w:space="0" w:color="auto"/>
        <w:bottom w:val="none" w:sz="0" w:space="0" w:color="auto"/>
        <w:right w:val="none" w:sz="0" w:space="0" w:color="auto"/>
      </w:divBdr>
      <w:divsChild>
        <w:div w:id="197623745">
          <w:marLeft w:val="547"/>
          <w:marRight w:val="0"/>
          <w:marTop w:val="154"/>
          <w:marBottom w:val="0"/>
          <w:divBdr>
            <w:top w:val="none" w:sz="0" w:space="0" w:color="auto"/>
            <w:left w:val="none" w:sz="0" w:space="0" w:color="auto"/>
            <w:bottom w:val="none" w:sz="0" w:space="0" w:color="auto"/>
            <w:right w:val="none" w:sz="0" w:space="0" w:color="auto"/>
          </w:divBdr>
        </w:div>
        <w:div w:id="1612664801">
          <w:marLeft w:val="547"/>
          <w:marRight w:val="0"/>
          <w:marTop w:val="154"/>
          <w:marBottom w:val="0"/>
          <w:divBdr>
            <w:top w:val="none" w:sz="0" w:space="0" w:color="auto"/>
            <w:left w:val="none" w:sz="0" w:space="0" w:color="auto"/>
            <w:bottom w:val="none" w:sz="0" w:space="0" w:color="auto"/>
            <w:right w:val="none" w:sz="0" w:space="0" w:color="auto"/>
          </w:divBdr>
        </w:div>
      </w:divsChild>
    </w:div>
    <w:div w:id="111169273">
      <w:bodyDiv w:val="1"/>
      <w:marLeft w:val="0"/>
      <w:marRight w:val="0"/>
      <w:marTop w:val="0"/>
      <w:marBottom w:val="0"/>
      <w:divBdr>
        <w:top w:val="none" w:sz="0" w:space="0" w:color="auto"/>
        <w:left w:val="none" w:sz="0" w:space="0" w:color="auto"/>
        <w:bottom w:val="none" w:sz="0" w:space="0" w:color="auto"/>
        <w:right w:val="none" w:sz="0" w:space="0" w:color="auto"/>
      </w:divBdr>
    </w:div>
    <w:div w:id="111480175">
      <w:bodyDiv w:val="1"/>
      <w:marLeft w:val="0"/>
      <w:marRight w:val="0"/>
      <w:marTop w:val="0"/>
      <w:marBottom w:val="0"/>
      <w:divBdr>
        <w:top w:val="none" w:sz="0" w:space="0" w:color="auto"/>
        <w:left w:val="none" w:sz="0" w:space="0" w:color="auto"/>
        <w:bottom w:val="none" w:sz="0" w:space="0" w:color="auto"/>
        <w:right w:val="none" w:sz="0" w:space="0" w:color="auto"/>
      </w:divBdr>
    </w:div>
    <w:div w:id="111944163">
      <w:bodyDiv w:val="1"/>
      <w:marLeft w:val="0"/>
      <w:marRight w:val="0"/>
      <w:marTop w:val="0"/>
      <w:marBottom w:val="0"/>
      <w:divBdr>
        <w:top w:val="none" w:sz="0" w:space="0" w:color="auto"/>
        <w:left w:val="none" w:sz="0" w:space="0" w:color="auto"/>
        <w:bottom w:val="none" w:sz="0" w:space="0" w:color="auto"/>
        <w:right w:val="none" w:sz="0" w:space="0" w:color="auto"/>
      </w:divBdr>
    </w:div>
    <w:div w:id="112022891">
      <w:bodyDiv w:val="1"/>
      <w:marLeft w:val="0"/>
      <w:marRight w:val="0"/>
      <w:marTop w:val="0"/>
      <w:marBottom w:val="0"/>
      <w:divBdr>
        <w:top w:val="none" w:sz="0" w:space="0" w:color="auto"/>
        <w:left w:val="none" w:sz="0" w:space="0" w:color="auto"/>
        <w:bottom w:val="none" w:sz="0" w:space="0" w:color="auto"/>
        <w:right w:val="none" w:sz="0" w:space="0" w:color="auto"/>
      </w:divBdr>
    </w:div>
    <w:div w:id="112284796">
      <w:bodyDiv w:val="1"/>
      <w:marLeft w:val="0"/>
      <w:marRight w:val="0"/>
      <w:marTop w:val="0"/>
      <w:marBottom w:val="0"/>
      <w:divBdr>
        <w:top w:val="none" w:sz="0" w:space="0" w:color="auto"/>
        <w:left w:val="none" w:sz="0" w:space="0" w:color="auto"/>
        <w:bottom w:val="none" w:sz="0" w:space="0" w:color="auto"/>
        <w:right w:val="none" w:sz="0" w:space="0" w:color="auto"/>
      </w:divBdr>
    </w:div>
    <w:div w:id="112746698">
      <w:bodyDiv w:val="1"/>
      <w:marLeft w:val="0"/>
      <w:marRight w:val="0"/>
      <w:marTop w:val="0"/>
      <w:marBottom w:val="0"/>
      <w:divBdr>
        <w:top w:val="none" w:sz="0" w:space="0" w:color="auto"/>
        <w:left w:val="none" w:sz="0" w:space="0" w:color="auto"/>
        <w:bottom w:val="none" w:sz="0" w:space="0" w:color="auto"/>
        <w:right w:val="none" w:sz="0" w:space="0" w:color="auto"/>
      </w:divBdr>
    </w:div>
    <w:div w:id="113332233">
      <w:bodyDiv w:val="1"/>
      <w:marLeft w:val="0"/>
      <w:marRight w:val="0"/>
      <w:marTop w:val="0"/>
      <w:marBottom w:val="0"/>
      <w:divBdr>
        <w:top w:val="none" w:sz="0" w:space="0" w:color="auto"/>
        <w:left w:val="none" w:sz="0" w:space="0" w:color="auto"/>
        <w:bottom w:val="none" w:sz="0" w:space="0" w:color="auto"/>
        <w:right w:val="none" w:sz="0" w:space="0" w:color="auto"/>
      </w:divBdr>
      <w:divsChild>
        <w:div w:id="864749899">
          <w:marLeft w:val="0"/>
          <w:marRight w:val="0"/>
          <w:marTop w:val="0"/>
          <w:marBottom w:val="0"/>
          <w:divBdr>
            <w:top w:val="none" w:sz="0" w:space="0" w:color="auto"/>
            <w:left w:val="none" w:sz="0" w:space="0" w:color="auto"/>
            <w:bottom w:val="none" w:sz="0" w:space="0" w:color="auto"/>
            <w:right w:val="none" w:sz="0" w:space="0" w:color="auto"/>
          </w:divBdr>
          <w:divsChild>
            <w:div w:id="814564486">
              <w:marLeft w:val="0"/>
              <w:marRight w:val="0"/>
              <w:marTop w:val="0"/>
              <w:marBottom w:val="0"/>
              <w:divBdr>
                <w:top w:val="none" w:sz="0" w:space="0" w:color="auto"/>
                <w:left w:val="none" w:sz="0" w:space="0" w:color="auto"/>
                <w:bottom w:val="none" w:sz="0" w:space="0" w:color="auto"/>
                <w:right w:val="none" w:sz="0" w:space="0" w:color="auto"/>
              </w:divBdr>
            </w:div>
            <w:div w:id="996499437">
              <w:marLeft w:val="0"/>
              <w:marRight w:val="0"/>
              <w:marTop w:val="0"/>
              <w:marBottom w:val="0"/>
              <w:divBdr>
                <w:top w:val="none" w:sz="0" w:space="0" w:color="auto"/>
                <w:left w:val="none" w:sz="0" w:space="0" w:color="auto"/>
                <w:bottom w:val="none" w:sz="0" w:space="0" w:color="auto"/>
                <w:right w:val="none" w:sz="0" w:space="0" w:color="auto"/>
              </w:divBdr>
            </w:div>
            <w:div w:id="14223356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835387">
      <w:bodyDiv w:val="1"/>
      <w:marLeft w:val="0"/>
      <w:marRight w:val="0"/>
      <w:marTop w:val="0"/>
      <w:marBottom w:val="0"/>
      <w:divBdr>
        <w:top w:val="none" w:sz="0" w:space="0" w:color="auto"/>
        <w:left w:val="none" w:sz="0" w:space="0" w:color="auto"/>
        <w:bottom w:val="none" w:sz="0" w:space="0" w:color="auto"/>
        <w:right w:val="none" w:sz="0" w:space="0" w:color="auto"/>
      </w:divBdr>
    </w:div>
    <w:div w:id="115568762">
      <w:bodyDiv w:val="1"/>
      <w:marLeft w:val="0"/>
      <w:marRight w:val="0"/>
      <w:marTop w:val="0"/>
      <w:marBottom w:val="0"/>
      <w:divBdr>
        <w:top w:val="none" w:sz="0" w:space="0" w:color="auto"/>
        <w:left w:val="none" w:sz="0" w:space="0" w:color="auto"/>
        <w:bottom w:val="none" w:sz="0" w:space="0" w:color="auto"/>
        <w:right w:val="none" w:sz="0" w:space="0" w:color="auto"/>
      </w:divBdr>
    </w:div>
    <w:div w:id="115952416">
      <w:bodyDiv w:val="1"/>
      <w:marLeft w:val="0"/>
      <w:marRight w:val="0"/>
      <w:marTop w:val="0"/>
      <w:marBottom w:val="0"/>
      <w:divBdr>
        <w:top w:val="none" w:sz="0" w:space="0" w:color="auto"/>
        <w:left w:val="none" w:sz="0" w:space="0" w:color="auto"/>
        <w:bottom w:val="none" w:sz="0" w:space="0" w:color="auto"/>
        <w:right w:val="none" w:sz="0" w:space="0" w:color="auto"/>
      </w:divBdr>
    </w:div>
    <w:div w:id="116685028">
      <w:bodyDiv w:val="1"/>
      <w:marLeft w:val="0"/>
      <w:marRight w:val="0"/>
      <w:marTop w:val="0"/>
      <w:marBottom w:val="0"/>
      <w:divBdr>
        <w:top w:val="none" w:sz="0" w:space="0" w:color="auto"/>
        <w:left w:val="none" w:sz="0" w:space="0" w:color="auto"/>
        <w:bottom w:val="none" w:sz="0" w:space="0" w:color="auto"/>
        <w:right w:val="none" w:sz="0" w:space="0" w:color="auto"/>
      </w:divBdr>
      <w:divsChild>
        <w:div w:id="498925818">
          <w:marLeft w:val="1800"/>
          <w:marRight w:val="0"/>
          <w:marTop w:val="77"/>
          <w:marBottom w:val="0"/>
          <w:divBdr>
            <w:top w:val="none" w:sz="0" w:space="0" w:color="auto"/>
            <w:left w:val="none" w:sz="0" w:space="0" w:color="auto"/>
            <w:bottom w:val="none" w:sz="0" w:space="0" w:color="auto"/>
            <w:right w:val="none" w:sz="0" w:space="0" w:color="auto"/>
          </w:divBdr>
        </w:div>
        <w:div w:id="802843732">
          <w:marLeft w:val="1800"/>
          <w:marRight w:val="0"/>
          <w:marTop w:val="77"/>
          <w:marBottom w:val="0"/>
          <w:divBdr>
            <w:top w:val="none" w:sz="0" w:space="0" w:color="auto"/>
            <w:left w:val="none" w:sz="0" w:space="0" w:color="auto"/>
            <w:bottom w:val="none" w:sz="0" w:space="0" w:color="auto"/>
            <w:right w:val="none" w:sz="0" w:space="0" w:color="auto"/>
          </w:divBdr>
        </w:div>
        <w:div w:id="1224369716">
          <w:marLeft w:val="547"/>
          <w:marRight w:val="0"/>
          <w:marTop w:val="115"/>
          <w:marBottom w:val="0"/>
          <w:divBdr>
            <w:top w:val="none" w:sz="0" w:space="0" w:color="auto"/>
            <w:left w:val="none" w:sz="0" w:space="0" w:color="auto"/>
            <w:bottom w:val="none" w:sz="0" w:space="0" w:color="auto"/>
            <w:right w:val="none" w:sz="0" w:space="0" w:color="auto"/>
          </w:divBdr>
        </w:div>
        <w:div w:id="1869950045">
          <w:marLeft w:val="1166"/>
          <w:marRight w:val="0"/>
          <w:marTop w:val="96"/>
          <w:marBottom w:val="0"/>
          <w:divBdr>
            <w:top w:val="none" w:sz="0" w:space="0" w:color="auto"/>
            <w:left w:val="none" w:sz="0" w:space="0" w:color="auto"/>
            <w:bottom w:val="none" w:sz="0" w:space="0" w:color="auto"/>
            <w:right w:val="none" w:sz="0" w:space="0" w:color="auto"/>
          </w:divBdr>
        </w:div>
      </w:divsChild>
    </w:div>
    <w:div w:id="117844871">
      <w:bodyDiv w:val="1"/>
      <w:marLeft w:val="0"/>
      <w:marRight w:val="0"/>
      <w:marTop w:val="0"/>
      <w:marBottom w:val="0"/>
      <w:divBdr>
        <w:top w:val="none" w:sz="0" w:space="0" w:color="auto"/>
        <w:left w:val="none" w:sz="0" w:space="0" w:color="auto"/>
        <w:bottom w:val="none" w:sz="0" w:space="0" w:color="auto"/>
        <w:right w:val="none" w:sz="0" w:space="0" w:color="auto"/>
      </w:divBdr>
    </w:div>
    <w:div w:id="117847141">
      <w:bodyDiv w:val="1"/>
      <w:marLeft w:val="0"/>
      <w:marRight w:val="0"/>
      <w:marTop w:val="0"/>
      <w:marBottom w:val="0"/>
      <w:divBdr>
        <w:top w:val="none" w:sz="0" w:space="0" w:color="auto"/>
        <w:left w:val="none" w:sz="0" w:space="0" w:color="auto"/>
        <w:bottom w:val="none" w:sz="0" w:space="0" w:color="auto"/>
        <w:right w:val="none" w:sz="0" w:space="0" w:color="auto"/>
      </w:divBdr>
    </w:div>
    <w:div w:id="118301114">
      <w:bodyDiv w:val="1"/>
      <w:marLeft w:val="0"/>
      <w:marRight w:val="0"/>
      <w:marTop w:val="0"/>
      <w:marBottom w:val="0"/>
      <w:divBdr>
        <w:top w:val="none" w:sz="0" w:space="0" w:color="auto"/>
        <w:left w:val="none" w:sz="0" w:space="0" w:color="auto"/>
        <w:bottom w:val="none" w:sz="0" w:space="0" w:color="auto"/>
        <w:right w:val="none" w:sz="0" w:space="0" w:color="auto"/>
      </w:divBdr>
      <w:divsChild>
        <w:div w:id="269632380">
          <w:marLeft w:val="547"/>
          <w:marRight w:val="0"/>
          <w:marTop w:val="96"/>
          <w:marBottom w:val="0"/>
          <w:divBdr>
            <w:top w:val="none" w:sz="0" w:space="0" w:color="auto"/>
            <w:left w:val="none" w:sz="0" w:space="0" w:color="auto"/>
            <w:bottom w:val="none" w:sz="0" w:space="0" w:color="auto"/>
            <w:right w:val="none" w:sz="0" w:space="0" w:color="auto"/>
          </w:divBdr>
        </w:div>
        <w:div w:id="937830370">
          <w:marLeft w:val="547"/>
          <w:marRight w:val="0"/>
          <w:marTop w:val="96"/>
          <w:marBottom w:val="0"/>
          <w:divBdr>
            <w:top w:val="none" w:sz="0" w:space="0" w:color="auto"/>
            <w:left w:val="none" w:sz="0" w:space="0" w:color="auto"/>
            <w:bottom w:val="none" w:sz="0" w:space="0" w:color="auto"/>
            <w:right w:val="none" w:sz="0" w:space="0" w:color="auto"/>
          </w:divBdr>
        </w:div>
        <w:div w:id="1541671585">
          <w:marLeft w:val="547"/>
          <w:marRight w:val="0"/>
          <w:marTop w:val="96"/>
          <w:marBottom w:val="0"/>
          <w:divBdr>
            <w:top w:val="none" w:sz="0" w:space="0" w:color="auto"/>
            <w:left w:val="none" w:sz="0" w:space="0" w:color="auto"/>
            <w:bottom w:val="none" w:sz="0" w:space="0" w:color="auto"/>
            <w:right w:val="none" w:sz="0" w:space="0" w:color="auto"/>
          </w:divBdr>
        </w:div>
        <w:div w:id="1700470182">
          <w:marLeft w:val="1166"/>
          <w:marRight w:val="0"/>
          <w:marTop w:val="96"/>
          <w:marBottom w:val="0"/>
          <w:divBdr>
            <w:top w:val="none" w:sz="0" w:space="0" w:color="auto"/>
            <w:left w:val="none" w:sz="0" w:space="0" w:color="auto"/>
            <w:bottom w:val="none" w:sz="0" w:space="0" w:color="auto"/>
            <w:right w:val="none" w:sz="0" w:space="0" w:color="auto"/>
          </w:divBdr>
        </w:div>
        <w:div w:id="1872691916">
          <w:marLeft w:val="1166"/>
          <w:marRight w:val="0"/>
          <w:marTop w:val="96"/>
          <w:marBottom w:val="0"/>
          <w:divBdr>
            <w:top w:val="none" w:sz="0" w:space="0" w:color="auto"/>
            <w:left w:val="none" w:sz="0" w:space="0" w:color="auto"/>
            <w:bottom w:val="none" w:sz="0" w:space="0" w:color="auto"/>
            <w:right w:val="none" w:sz="0" w:space="0" w:color="auto"/>
          </w:divBdr>
        </w:div>
        <w:div w:id="2003659531">
          <w:marLeft w:val="1166"/>
          <w:marRight w:val="0"/>
          <w:marTop w:val="96"/>
          <w:marBottom w:val="0"/>
          <w:divBdr>
            <w:top w:val="none" w:sz="0" w:space="0" w:color="auto"/>
            <w:left w:val="none" w:sz="0" w:space="0" w:color="auto"/>
            <w:bottom w:val="none" w:sz="0" w:space="0" w:color="auto"/>
            <w:right w:val="none" w:sz="0" w:space="0" w:color="auto"/>
          </w:divBdr>
        </w:div>
      </w:divsChild>
    </w:div>
    <w:div w:id="118375267">
      <w:bodyDiv w:val="1"/>
      <w:marLeft w:val="0"/>
      <w:marRight w:val="0"/>
      <w:marTop w:val="0"/>
      <w:marBottom w:val="0"/>
      <w:divBdr>
        <w:top w:val="none" w:sz="0" w:space="0" w:color="auto"/>
        <w:left w:val="none" w:sz="0" w:space="0" w:color="auto"/>
        <w:bottom w:val="none" w:sz="0" w:space="0" w:color="auto"/>
        <w:right w:val="none" w:sz="0" w:space="0" w:color="auto"/>
      </w:divBdr>
    </w:div>
    <w:div w:id="119537682">
      <w:bodyDiv w:val="1"/>
      <w:marLeft w:val="0"/>
      <w:marRight w:val="0"/>
      <w:marTop w:val="0"/>
      <w:marBottom w:val="0"/>
      <w:divBdr>
        <w:top w:val="none" w:sz="0" w:space="0" w:color="auto"/>
        <w:left w:val="none" w:sz="0" w:space="0" w:color="auto"/>
        <w:bottom w:val="none" w:sz="0" w:space="0" w:color="auto"/>
        <w:right w:val="none" w:sz="0" w:space="0" w:color="auto"/>
      </w:divBdr>
    </w:div>
    <w:div w:id="119763527">
      <w:bodyDiv w:val="1"/>
      <w:marLeft w:val="0"/>
      <w:marRight w:val="0"/>
      <w:marTop w:val="0"/>
      <w:marBottom w:val="0"/>
      <w:divBdr>
        <w:top w:val="none" w:sz="0" w:space="0" w:color="auto"/>
        <w:left w:val="none" w:sz="0" w:space="0" w:color="auto"/>
        <w:bottom w:val="none" w:sz="0" w:space="0" w:color="auto"/>
        <w:right w:val="none" w:sz="0" w:space="0" w:color="auto"/>
      </w:divBdr>
    </w:div>
    <w:div w:id="119803550">
      <w:bodyDiv w:val="1"/>
      <w:marLeft w:val="0"/>
      <w:marRight w:val="0"/>
      <w:marTop w:val="0"/>
      <w:marBottom w:val="0"/>
      <w:divBdr>
        <w:top w:val="none" w:sz="0" w:space="0" w:color="auto"/>
        <w:left w:val="none" w:sz="0" w:space="0" w:color="auto"/>
        <w:bottom w:val="none" w:sz="0" w:space="0" w:color="auto"/>
        <w:right w:val="none" w:sz="0" w:space="0" w:color="auto"/>
      </w:divBdr>
    </w:div>
    <w:div w:id="120926285">
      <w:bodyDiv w:val="1"/>
      <w:marLeft w:val="0"/>
      <w:marRight w:val="0"/>
      <w:marTop w:val="0"/>
      <w:marBottom w:val="0"/>
      <w:divBdr>
        <w:top w:val="none" w:sz="0" w:space="0" w:color="auto"/>
        <w:left w:val="none" w:sz="0" w:space="0" w:color="auto"/>
        <w:bottom w:val="none" w:sz="0" w:space="0" w:color="auto"/>
        <w:right w:val="none" w:sz="0" w:space="0" w:color="auto"/>
      </w:divBdr>
      <w:divsChild>
        <w:div w:id="36442486">
          <w:marLeft w:val="1166"/>
          <w:marRight w:val="0"/>
          <w:marTop w:val="96"/>
          <w:marBottom w:val="0"/>
          <w:divBdr>
            <w:top w:val="none" w:sz="0" w:space="0" w:color="auto"/>
            <w:left w:val="none" w:sz="0" w:space="0" w:color="auto"/>
            <w:bottom w:val="none" w:sz="0" w:space="0" w:color="auto"/>
            <w:right w:val="none" w:sz="0" w:space="0" w:color="auto"/>
          </w:divBdr>
        </w:div>
        <w:div w:id="412512541">
          <w:marLeft w:val="547"/>
          <w:marRight w:val="0"/>
          <w:marTop w:val="115"/>
          <w:marBottom w:val="0"/>
          <w:divBdr>
            <w:top w:val="none" w:sz="0" w:space="0" w:color="auto"/>
            <w:left w:val="none" w:sz="0" w:space="0" w:color="auto"/>
            <w:bottom w:val="none" w:sz="0" w:space="0" w:color="auto"/>
            <w:right w:val="none" w:sz="0" w:space="0" w:color="auto"/>
          </w:divBdr>
        </w:div>
        <w:div w:id="986324945">
          <w:marLeft w:val="547"/>
          <w:marRight w:val="0"/>
          <w:marTop w:val="115"/>
          <w:marBottom w:val="0"/>
          <w:divBdr>
            <w:top w:val="none" w:sz="0" w:space="0" w:color="auto"/>
            <w:left w:val="none" w:sz="0" w:space="0" w:color="auto"/>
            <w:bottom w:val="none" w:sz="0" w:space="0" w:color="auto"/>
            <w:right w:val="none" w:sz="0" w:space="0" w:color="auto"/>
          </w:divBdr>
        </w:div>
      </w:divsChild>
    </w:div>
    <w:div w:id="121387252">
      <w:bodyDiv w:val="1"/>
      <w:marLeft w:val="0"/>
      <w:marRight w:val="0"/>
      <w:marTop w:val="0"/>
      <w:marBottom w:val="0"/>
      <w:divBdr>
        <w:top w:val="none" w:sz="0" w:space="0" w:color="auto"/>
        <w:left w:val="none" w:sz="0" w:space="0" w:color="auto"/>
        <w:bottom w:val="none" w:sz="0" w:space="0" w:color="auto"/>
        <w:right w:val="none" w:sz="0" w:space="0" w:color="auto"/>
      </w:divBdr>
    </w:div>
    <w:div w:id="122583627">
      <w:bodyDiv w:val="1"/>
      <w:marLeft w:val="0"/>
      <w:marRight w:val="0"/>
      <w:marTop w:val="0"/>
      <w:marBottom w:val="0"/>
      <w:divBdr>
        <w:top w:val="none" w:sz="0" w:space="0" w:color="auto"/>
        <w:left w:val="none" w:sz="0" w:space="0" w:color="auto"/>
        <w:bottom w:val="none" w:sz="0" w:space="0" w:color="auto"/>
        <w:right w:val="none" w:sz="0" w:space="0" w:color="auto"/>
      </w:divBdr>
      <w:divsChild>
        <w:div w:id="6106348">
          <w:marLeft w:val="1800"/>
          <w:marRight w:val="0"/>
          <w:marTop w:val="77"/>
          <w:marBottom w:val="0"/>
          <w:divBdr>
            <w:top w:val="none" w:sz="0" w:space="0" w:color="auto"/>
            <w:left w:val="none" w:sz="0" w:space="0" w:color="auto"/>
            <w:bottom w:val="none" w:sz="0" w:space="0" w:color="auto"/>
            <w:right w:val="none" w:sz="0" w:space="0" w:color="auto"/>
          </w:divBdr>
        </w:div>
        <w:div w:id="103958874">
          <w:marLeft w:val="1800"/>
          <w:marRight w:val="0"/>
          <w:marTop w:val="77"/>
          <w:marBottom w:val="0"/>
          <w:divBdr>
            <w:top w:val="none" w:sz="0" w:space="0" w:color="auto"/>
            <w:left w:val="none" w:sz="0" w:space="0" w:color="auto"/>
            <w:bottom w:val="none" w:sz="0" w:space="0" w:color="auto"/>
            <w:right w:val="none" w:sz="0" w:space="0" w:color="auto"/>
          </w:divBdr>
        </w:div>
        <w:div w:id="149643650">
          <w:marLeft w:val="1800"/>
          <w:marRight w:val="0"/>
          <w:marTop w:val="77"/>
          <w:marBottom w:val="0"/>
          <w:divBdr>
            <w:top w:val="none" w:sz="0" w:space="0" w:color="auto"/>
            <w:left w:val="none" w:sz="0" w:space="0" w:color="auto"/>
            <w:bottom w:val="none" w:sz="0" w:space="0" w:color="auto"/>
            <w:right w:val="none" w:sz="0" w:space="0" w:color="auto"/>
          </w:divBdr>
        </w:div>
        <w:div w:id="376399377">
          <w:marLeft w:val="1166"/>
          <w:marRight w:val="0"/>
          <w:marTop w:val="86"/>
          <w:marBottom w:val="0"/>
          <w:divBdr>
            <w:top w:val="none" w:sz="0" w:space="0" w:color="auto"/>
            <w:left w:val="none" w:sz="0" w:space="0" w:color="auto"/>
            <w:bottom w:val="none" w:sz="0" w:space="0" w:color="auto"/>
            <w:right w:val="none" w:sz="0" w:space="0" w:color="auto"/>
          </w:divBdr>
        </w:div>
        <w:div w:id="674113777">
          <w:marLeft w:val="1166"/>
          <w:marRight w:val="0"/>
          <w:marTop w:val="86"/>
          <w:marBottom w:val="0"/>
          <w:divBdr>
            <w:top w:val="none" w:sz="0" w:space="0" w:color="auto"/>
            <w:left w:val="none" w:sz="0" w:space="0" w:color="auto"/>
            <w:bottom w:val="none" w:sz="0" w:space="0" w:color="auto"/>
            <w:right w:val="none" w:sz="0" w:space="0" w:color="auto"/>
          </w:divBdr>
        </w:div>
        <w:div w:id="676929801">
          <w:marLeft w:val="1166"/>
          <w:marRight w:val="0"/>
          <w:marTop w:val="86"/>
          <w:marBottom w:val="0"/>
          <w:divBdr>
            <w:top w:val="none" w:sz="0" w:space="0" w:color="auto"/>
            <w:left w:val="none" w:sz="0" w:space="0" w:color="auto"/>
            <w:bottom w:val="none" w:sz="0" w:space="0" w:color="auto"/>
            <w:right w:val="none" w:sz="0" w:space="0" w:color="auto"/>
          </w:divBdr>
        </w:div>
        <w:div w:id="692417323">
          <w:marLeft w:val="547"/>
          <w:marRight w:val="0"/>
          <w:marTop w:val="115"/>
          <w:marBottom w:val="0"/>
          <w:divBdr>
            <w:top w:val="none" w:sz="0" w:space="0" w:color="auto"/>
            <w:left w:val="none" w:sz="0" w:space="0" w:color="auto"/>
            <w:bottom w:val="none" w:sz="0" w:space="0" w:color="auto"/>
            <w:right w:val="none" w:sz="0" w:space="0" w:color="auto"/>
          </w:divBdr>
        </w:div>
        <w:div w:id="722409334">
          <w:marLeft w:val="1800"/>
          <w:marRight w:val="0"/>
          <w:marTop w:val="77"/>
          <w:marBottom w:val="0"/>
          <w:divBdr>
            <w:top w:val="none" w:sz="0" w:space="0" w:color="auto"/>
            <w:left w:val="none" w:sz="0" w:space="0" w:color="auto"/>
            <w:bottom w:val="none" w:sz="0" w:space="0" w:color="auto"/>
            <w:right w:val="none" w:sz="0" w:space="0" w:color="auto"/>
          </w:divBdr>
        </w:div>
        <w:div w:id="1399589644">
          <w:marLeft w:val="2520"/>
          <w:marRight w:val="0"/>
          <w:marTop w:val="53"/>
          <w:marBottom w:val="0"/>
          <w:divBdr>
            <w:top w:val="none" w:sz="0" w:space="0" w:color="auto"/>
            <w:left w:val="none" w:sz="0" w:space="0" w:color="auto"/>
            <w:bottom w:val="none" w:sz="0" w:space="0" w:color="auto"/>
            <w:right w:val="none" w:sz="0" w:space="0" w:color="auto"/>
          </w:divBdr>
        </w:div>
        <w:div w:id="1461066932">
          <w:marLeft w:val="547"/>
          <w:marRight w:val="0"/>
          <w:marTop w:val="115"/>
          <w:marBottom w:val="0"/>
          <w:divBdr>
            <w:top w:val="none" w:sz="0" w:space="0" w:color="auto"/>
            <w:left w:val="none" w:sz="0" w:space="0" w:color="auto"/>
            <w:bottom w:val="none" w:sz="0" w:space="0" w:color="auto"/>
            <w:right w:val="none" w:sz="0" w:space="0" w:color="auto"/>
          </w:divBdr>
        </w:div>
        <w:div w:id="1547832657">
          <w:marLeft w:val="1166"/>
          <w:marRight w:val="0"/>
          <w:marTop w:val="86"/>
          <w:marBottom w:val="0"/>
          <w:divBdr>
            <w:top w:val="none" w:sz="0" w:space="0" w:color="auto"/>
            <w:left w:val="none" w:sz="0" w:space="0" w:color="auto"/>
            <w:bottom w:val="none" w:sz="0" w:space="0" w:color="auto"/>
            <w:right w:val="none" w:sz="0" w:space="0" w:color="auto"/>
          </w:divBdr>
        </w:div>
        <w:div w:id="1654750986">
          <w:marLeft w:val="1800"/>
          <w:marRight w:val="0"/>
          <w:marTop w:val="77"/>
          <w:marBottom w:val="0"/>
          <w:divBdr>
            <w:top w:val="none" w:sz="0" w:space="0" w:color="auto"/>
            <w:left w:val="none" w:sz="0" w:space="0" w:color="auto"/>
            <w:bottom w:val="none" w:sz="0" w:space="0" w:color="auto"/>
            <w:right w:val="none" w:sz="0" w:space="0" w:color="auto"/>
          </w:divBdr>
        </w:div>
        <w:div w:id="1874227649">
          <w:marLeft w:val="1166"/>
          <w:marRight w:val="0"/>
          <w:marTop w:val="86"/>
          <w:marBottom w:val="0"/>
          <w:divBdr>
            <w:top w:val="none" w:sz="0" w:space="0" w:color="auto"/>
            <w:left w:val="none" w:sz="0" w:space="0" w:color="auto"/>
            <w:bottom w:val="none" w:sz="0" w:space="0" w:color="auto"/>
            <w:right w:val="none" w:sz="0" w:space="0" w:color="auto"/>
          </w:divBdr>
        </w:div>
      </w:divsChild>
    </w:div>
    <w:div w:id="123037046">
      <w:bodyDiv w:val="1"/>
      <w:marLeft w:val="0"/>
      <w:marRight w:val="0"/>
      <w:marTop w:val="0"/>
      <w:marBottom w:val="0"/>
      <w:divBdr>
        <w:top w:val="none" w:sz="0" w:space="0" w:color="auto"/>
        <w:left w:val="none" w:sz="0" w:space="0" w:color="auto"/>
        <w:bottom w:val="none" w:sz="0" w:space="0" w:color="auto"/>
        <w:right w:val="none" w:sz="0" w:space="0" w:color="auto"/>
      </w:divBdr>
    </w:div>
    <w:div w:id="124155510">
      <w:bodyDiv w:val="1"/>
      <w:marLeft w:val="0"/>
      <w:marRight w:val="0"/>
      <w:marTop w:val="0"/>
      <w:marBottom w:val="0"/>
      <w:divBdr>
        <w:top w:val="none" w:sz="0" w:space="0" w:color="auto"/>
        <w:left w:val="none" w:sz="0" w:space="0" w:color="auto"/>
        <w:bottom w:val="none" w:sz="0" w:space="0" w:color="auto"/>
        <w:right w:val="none" w:sz="0" w:space="0" w:color="auto"/>
      </w:divBdr>
    </w:div>
    <w:div w:id="124280802">
      <w:bodyDiv w:val="1"/>
      <w:marLeft w:val="0"/>
      <w:marRight w:val="0"/>
      <w:marTop w:val="0"/>
      <w:marBottom w:val="0"/>
      <w:divBdr>
        <w:top w:val="none" w:sz="0" w:space="0" w:color="auto"/>
        <w:left w:val="none" w:sz="0" w:space="0" w:color="auto"/>
        <w:bottom w:val="none" w:sz="0" w:space="0" w:color="auto"/>
        <w:right w:val="none" w:sz="0" w:space="0" w:color="auto"/>
      </w:divBdr>
    </w:div>
    <w:div w:id="124392591">
      <w:bodyDiv w:val="1"/>
      <w:marLeft w:val="0"/>
      <w:marRight w:val="0"/>
      <w:marTop w:val="0"/>
      <w:marBottom w:val="0"/>
      <w:divBdr>
        <w:top w:val="none" w:sz="0" w:space="0" w:color="auto"/>
        <w:left w:val="none" w:sz="0" w:space="0" w:color="auto"/>
        <w:bottom w:val="none" w:sz="0" w:space="0" w:color="auto"/>
        <w:right w:val="none" w:sz="0" w:space="0" w:color="auto"/>
      </w:divBdr>
    </w:div>
    <w:div w:id="125271944">
      <w:bodyDiv w:val="1"/>
      <w:marLeft w:val="0"/>
      <w:marRight w:val="0"/>
      <w:marTop w:val="0"/>
      <w:marBottom w:val="0"/>
      <w:divBdr>
        <w:top w:val="none" w:sz="0" w:space="0" w:color="auto"/>
        <w:left w:val="none" w:sz="0" w:space="0" w:color="auto"/>
        <w:bottom w:val="none" w:sz="0" w:space="0" w:color="auto"/>
        <w:right w:val="none" w:sz="0" w:space="0" w:color="auto"/>
      </w:divBdr>
    </w:div>
    <w:div w:id="125898428">
      <w:bodyDiv w:val="1"/>
      <w:marLeft w:val="0"/>
      <w:marRight w:val="0"/>
      <w:marTop w:val="0"/>
      <w:marBottom w:val="0"/>
      <w:divBdr>
        <w:top w:val="none" w:sz="0" w:space="0" w:color="auto"/>
        <w:left w:val="none" w:sz="0" w:space="0" w:color="auto"/>
        <w:bottom w:val="none" w:sz="0" w:space="0" w:color="auto"/>
        <w:right w:val="none" w:sz="0" w:space="0" w:color="auto"/>
      </w:divBdr>
    </w:div>
    <w:div w:id="127087015">
      <w:bodyDiv w:val="1"/>
      <w:marLeft w:val="0"/>
      <w:marRight w:val="0"/>
      <w:marTop w:val="0"/>
      <w:marBottom w:val="0"/>
      <w:divBdr>
        <w:top w:val="none" w:sz="0" w:space="0" w:color="auto"/>
        <w:left w:val="none" w:sz="0" w:space="0" w:color="auto"/>
        <w:bottom w:val="none" w:sz="0" w:space="0" w:color="auto"/>
        <w:right w:val="none" w:sz="0" w:space="0" w:color="auto"/>
      </w:divBdr>
      <w:divsChild>
        <w:div w:id="214582777">
          <w:marLeft w:val="1166"/>
          <w:marRight w:val="0"/>
          <w:marTop w:val="96"/>
          <w:marBottom w:val="0"/>
          <w:divBdr>
            <w:top w:val="none" w:sz="0" w:space="0" w:color="auto"/>
            <w:left w:val="none" w:sz="0" w:space="0" w:color="auto"/>
            <w:bottom w:val="none" w:sz="0" w:space="0" w:color="auto"/>
            <w:right w:val="none" w:sz="0" w:space="0" w:color="auto"/>
          </w:divBdr>
        </w:div>
        <w:div w:id="1031227911">
          <w:marLeft w:val="547"/>
          <w:marRight w:val="0"/>
          <w:marTop w:val="115"/>
          <w:marBottom w:val="0"/>
          <w:divBdr>
            <w:top w:val="none" w:sz="0" w:space="0" w:color="auto"/>
            <w:left w:val="none" w:sz="0" w:space="0" w:color="auto"/>
            <w:bottom w:val="none" w:sz="0" w:space="0" w:color="auto"/>
            <w:right w:val="none" w:sz="0" w:space="0" w:color="auto"/>
          </w:divBdr>
        </w:div>
        <w:div w:id="1457941826">
          <w:marLeft w:val="1166"/>
          <w:marRight w:val="0"/>
          <w:marTop w:val="96"/>
          <w:marBottom w:val="0"/>
          <w:divBdr>
            <w:top w:val="none" w:sz="0" w:space="0" w:color="auto"/>
            <w:left w:val="none" w:sz="0" w:space="0" w:color="auto"/>
            <w:bottom w:val="none" w:sz="0" w:space="0" w:color="auto"/>
            <w:right w:val="none" w:sz="0" w:space="0" w:color="auto"/>
          </w:divBdr>
        </w:div>
      </w:divsChild>
    </w:div>
    <w:div w:id="127820776">
      <w:bodyDiv w:val="1"/>
      <w:marLeft w:val="0"/>
      <w:marRight w:val="0"/>
      <w:marTop w:val="0"/>
      <w:marBottom w:val="0"/>
      <w:divBdr>
        <w:top w:val="none" w:sz="0" w:space="0" w:color="auto"/>
        <w:left w:val="none" w:sz="0" w:space="0" w:color="auto"/>
        <w:bottom w:val="none" w:sz="0" w:space="0" w:color="auto"/>
        <w:right w:val="none" w:sz="0" w:space="0" w:color="auto"/>
      </w:divBdr>
    </w:div>
    <w:div w:id="128132998">
      <w:bodyDiv w:val="1"/>
      <w:marLeft w:val="0"/>
      <w:marRight w:val="0"/>
      <w:marTop w:val="0"/>
      <w:marBottom w:val="0"/>
      <w:divBdr>
        <w:top w:val="none" w:sz="0" w:space="0" w:color="auto"/>
        <w:left w:val="none" w:sz="0" w:space="0" w:color="auto"/>
        <w:bottom w:val="none" w:sz="0" w:space="0" w:color="auto"/>
        <w:right w:val="none" w:sz="0" w:space="0" w:color="auto"/>
      </w:divBdr>
    </w:div>
    <w:div w:id="128327191">
      <w:bodyDiv w:val="1"/>
      <w:marLeft w:val="0"/>
      <w:marRight w:val="0"/>
      <w:marTop w:val="0"/>
      <w:marBottom w:val="0"/>
      <w:divBdr>
        <w:top w:val="none" w:sz="0" w:space="0" w:color="auto"/>
        <w:left w:val="none" w:sz="0" w:space="0" w:color="auto"/>
        <w:bottom w:val="none" w:sz="0" w:space="0" w:color="auto"/>
        <w:right w:val="none" w:sz="0" w:space="0" w:color="auto"/>
      </w:divBdr>
    </w:div>
    <w:div w:id="128400349">
      <w:bodyDiv w:val="1"/>
      <w:marLeft w:val="0"/>
      <w:marRight w:val="0"/>
      <w:marTop w:val="0"/>
      <w:marBottom w:val="0"/>
      <w:divBdr>
        <w:top w:val="none" w:sz="0" w:space="0" w:color="auto"/>
        <w:left w:val="none" w:sz="0" w:space="0" w:color="auto"/>
        <w:bottom w:val="none" w:sz="0" w:space="0" w:color="auto"/>
        <w:right w:val="none" w:sz="0" w:space="0" w:color="auto"/>
      </w:divBdr>
    </w:div>
    <w:div w:id="128600141">
      <w:bodyDiv w:val="1"/>
      <w:marLeft w:val="0"/>
      <w:marRight w:val="0"/>
      <w:marTop w:val="0"/>
      <w:marBottom w:val="0"/>
      <w:divBdr>
        <w:top w:val="none" w:sz="0" w:space="0" w:color="auto"/>
        <w:left w:val="none" w:sz="0" w:space="0" w:color="auto"/>
        <w:bottom w:val="none" w:sz="0" w:space="0" w:color="auto"/>
        <w:right w:val="none" w:sz="0" w:space="0" w:color="auto"/>
      </w:divBdr>
    </w:div>
    <w:div w:id="129520506">
      <w:bodyDiv w:val="1"/>
      <w:marLeft w:val="0"/>
      <w:marRight w:val="0"/>
      <w:marTop w:val="0"/>
      <w:marBottom w:val="0"/>
      <w:divBdr>
        <w:top w:val="none" w:sz="0" w:space="0" w:color="auto"/>
        <w:left w:val="none" w:sz="0" w:space="0" w:color="auto"/>
        <w:bottom w:val="none" w:sz="0" w:space="0" w:color="auto"/>
        <w:right w:val="none" w:sz="0" w:space="0" w:color="auto"/>
      </w:divBdr>
    </w:div>
    <w:div w:id="129595656">
      <w:bodyDiv w:val="1"/>
      <w:marLeft w:val="0"/>
      <w:marRight w:val="0"/>
      <w:marTop w:val="0"/>
      <w:marBottom w:val="0"/>
      <w:divBdr>
        <w:top w:val="none" w:sz="0" w:space="0" w:color="auto"/>
        <w:left w:val="none" w:sz="0" w:space="0" w:color="auto"/>
        <w:bottom w:val="none" w:sz="0" w:space="0" w:color="auto"/>
        <w:right w:val="none" w:sz="0" w:space="0" w:color="auto"/>
      </w:divBdr>
      <w:divsChild>
        <w:div w:id="618999221">
          <w:marLeft w:val="1166"/>
          <w:marRight w:val="0"/>
          <w:marTop w:val="134"/>
          <w:marBottom w:val="0"/>
          <w:divBdr>
            <w:top w:val="none" w:sz="0" w:space="0" w:color="auto"/>
            <w:left w:val="none" w:sz="0" w:space="0" w:color="auto"/>
            <w:bottom w:val="none" w:sz="0" w:space="0" w:color="auto"/>
            <w:right w:val="none" w:sz="0" w:space="0" w:color="auto"/>
          </w:divBdr>
        </w:div>
        <w:div w:id="699474762">
          <w:marLeft w:val="547"/>
          <w:marRight w:val="0"/>
          <w:marTop w:val="154"/>
          <w:marBottom w:val="0"/>
          <w:divBdr>
            <w:top w:val="none" w:sz="0" w:space="0" w:color="auto"/>
            <w:left w:val="none" w:sz="0" w:space="0" w:color="auto"/>
            <w:bottom w:val="none" w:sz="0" w:space="0" w:color="auto"/>
            <w:right w:val="none" w:sz="0" w:space="0" w:color="auto"/>
          </w:divBdr>
        </w:div>
        <w:div w:id="850099438">
          <w:marLeft w:val="1166"/>
          <w:marRight w:val="0"/>
          <w:marTop w:val="134"/>
          <w:marBottom w:val="0"/>
          <w:divBdr>
            <w:top w:val="none" w:sz="0" w:space="0" w:color="auto"/>
            <w:left w:val="none" w:sz="0" w:space="0" w:color="auto"/>
            <w:bottom w:val="none" w:sz="0" w:space="0" w:color="auto"/>
            <w:right w:val="none" w:sz="0" w:space="0" w:color="auto"/>
          </w:divBdr>
        </w:div>
      </w:divsChild>
    </w:div>
    <w:div w:id="130708692">
      <w:bodyDiv w:val="1"/>
      <w:marLeft w:val="0"/>
      <w:marRight w:val="0"/>
      <w:marTop w:val="0"/>
      <w:marBottom w:val="0"/>
      <w:divBdr>
        <w:top w:val="none" w:sz="0" w:space="0" w:color="auto"/>
        <w:left w:val="none" w:sz="0" w:space="0" w:color="auto"/>
        <w:bottom w:val="none" w:sz="0" w:space="0" w:color="auto"/>
        <w:right w:val="none" w:sz="0" w:space="0" w:color="auto"/>
      </w:divBdr>
    </w:div>
    <w:div w:id="131099609">
      <w:bodyDiv w:val="1"/>
      <w:marLeft w:val="0"/>
      <w:marRight w:val="0"/>
      <w:marTop w:val="0"/>
      <w:marBottom w:val="0"/>
      <w:divBdr>
        <w:top w:val="none" w:sz="0" w:space="0" w:color="auto"/>
        <w:left w:val="none" w:sz="0" w:space="0" w:color="auto"/>
        <w:bottom w:val="none" w:sz="0" w:space="0" w:color="auto"/>
        <w:right w:val="none" w:sz="0" w:space="0" w:color="auto"/>
      </w:divBdr>
    </w:div>
    <w:div w:id="131101712">
      <w:bodyDiv w:val="1"/>
      <w:marLeft w:val="0"/>
      <w:marRight w:val="0"/>
      <w:marTop w:val="0"/>
      <w:marBottom w:val="0"/>
      <w:divBdr>
        <w:top w:val="none" w:sz="0" w:space="0" w:color="auto"/>
        <w:left w:val="none" w:sz="0" w:space="0" w:color="auto"/>
        <w:bottom w:val="none" w:sz="0" w:space="0" w:color="auto"/>
        <w:right w:val="none" w:sz="0" w:space="0" w:color="auto"/>
      </w:divBdr>
      <w:divsChild>
        <w:div w:id="1556813055">
          <w:marLeft w:val="0"/>
          <w:marRight w:val="0"/>
          <w:marTop w:val="0"/>
          <w:marBottom w:val="0"/>
          <w:divBdr>
            <w:top w:val="none" w:sz="0" w:space="0" w:color="auto"/>
            <w:left w:val="none" w:sz="0" w:space="0" w:color="auto"/>
            <w:bottom w:val="none" w:sz="0" w:space="0" w:color="auto"/>
            <w:right w:val="none" w:sz="0" w:space="0" w:color="auto"/>
          </w:divBdr>
          <w:divsChild>
            <w:div w:id="199319234">
              <w:marLeft w:val="0"/>
              <w:marRight w:val="0"/>
              <w:marTop w:val="0"/>
              <w:marBottom w:val="0"/>
              <w:divBdr>
                <w:top w:val="none" w:sz="0" w:space="0" w:color="auto"/>
                <w:left w:val="none" w:sz="0" w:space="0" w:color="auto"/>
                <w:bottom w:val="none" w:sz="0" w:space="0" w:color="auto"/>
                <w:right w:val="none" w:sz="0" w:space="0" w:color="auto"/>
              </w:divBdr>
            </w:div>
            <w:div w:id="699550802">
              <w:marLeft w:val="0"/>
              <w:marRight w:val="0"/>
              <w:marTop w:val="0"/>
              <w:marBottom w:val="0"/>
              <w:divBdr>
                <w:top w:val="none" w:sz="0" w:space="0" w:color="auto"/>
                <w:left w:val="none" w:sz="0" w:space="0" w:color="auto"/>
                <w:bottom w:val="none" w:sz="0" w:space="0" w:color="auto"/>
                <w:right w:val="none" w:sz="0" w:space="0" w:color="auto"/>
              </w:divBdr>
            </w:div>
            <w:div w:id="805701623">
              <w:marLeft w:val="0"/>
              <w:marRight w:val="0"/>
              <w:marTop w:val="0"/>
              <w:marBottom w:val="0"/>
              <w:divBdr>
                <w:top w:val="none" w:sz="0" w:space="0" w:color="auto"/>
                <w:left w:val="none" w:sz="0" w:space="0" w:color="auto"/>
                <w:bottom w:val="none" w:sz="0" w:space="0" w:color="auto"/>
                <w:right w:val="none" w:sz="0" w:space="0" w:color="auto"/>
              </w:divBdr>
            </w:div>
            <w:div w:id="885995790">
              <w:marLeft w:val="0"/>
              <w:marRight w:val="0"/>
              <w:marTop w:val="0"/>
              <w:marBottom w:val="0"/>
              <w:divBdr>
                <w:top w:val="none" w:sz="0" w:space="0" w:color="auto"/>
                <w:left w:val="none" w:sz="0" w:space="0" w:color="auto"/>
                <w:bottom w:val="none" w:sz="0" w:space="0" w:color="auto"/>
                <w:right w:val="none" w:sz="0" w:space="0" w:color="auto"/>
              </w:divBdr>
            </w:div>
            <w:div w:id="20036601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1562451">
      <w:bodyDiv w:val="1"/>
      <w:marLeft w:val="0"/>
      <w:marRight w:val="0"/>
      <w:marTop w:val="0"/>
      <w:marBottom w:val="0"/>
      <w:divBdr>
        <w:top w:val="none" w:sz="0" w:space="0" w:color="auto"/>
        <w:left w:val="none" w:sz="0" w:space="0" w:color="auto"/>
        <w:bottom w:val="none" w:sz="0" w:space="0" w:color="auto"/>
        <w:right w:val="none" w:sz="0" w:space="0" w:color="auto"/>
      </w:divBdr>
    </w:div>
    <w:div w:id="131681540">
      <w:bodyDiv w:val="1"/>
      <w:marLeft w:val="0"/>
      <w:marRight w:val="0"/>
      <w:marTop w:val="0"/>
      <w:marBottom w:val="0"/>
      <w:divBdr>
        <w:top w:val="none" w:sz="0" w:space="0" w:color="auto"/>
        <w:left w:val="none" w:sz="0" w:space="0" w:color="auto"/>
        <w:bottom w:val="none" w:sz="0" w:space="0" w:color="auto"/>
        <w:right w:val="none" w:sz="0" w:space="0" w:color="auto"/>
      </w:divBdr>
      <w:divsChild>
        <w:div w:id="805705576">
          <w:marLeft w:val="0"/>
          <w:marRight w:val="0"/>
          <w:marTop w:val="0"/>
          <w:marBottom w:val="0"/>
          <w:divBdr>
            <w:top w:val="none" w:sz="0" w:space="0" w:color="auto"/>
            <w:left w:val="none" w:sz="0" w:space="0" w:color="auto"/>
            <w:bottom w:val="none" w:sz="0" w:space="0" w:color="auto"/>
            <w:right w:val="none" w:sz="0" w:space="0" w:color="auto"/>
          </w:divBdr>
          <w:divsChild>
            <w:div w:id="218178327">
              <w:marLeft w:val="0"/>
              <w:marRight w:val="0"/>
              <w:marTop w:val="0"/>
              <w:marBottom w:val="0"/>
              <w:divBdr>
                <w:top w:val="none" w:sz="0" w:space="0" w:color="auto"/>
                <w:left w:val="none" w:sz="0" w:space="0" w:color="auto"/>
                <w:bottom w:val="none" w:sz="0" w:space="0" w:color="auto"/>
                <w:right w:val="none" w:sz="0" w:space="0" w:color="auto"/>
              </w:divBdr>
            </w:div>
            <w:div w:id="371156890">
              <w:marLeft w:val="0"/>
              <w:marRight w:val="0"/>
              <w:marTop w:val="0"/>
              <w:marBottom w:val="0"/>
              <w:divBdr>
                <w:top w:val="none" w:sz="0" w:space="0" w:color="auto"/>
                <w:left w:val="none" w:sz="0" w:space="0" w:color="auto"/>
                <w:bottom w:val="none" w:sz="0" w:space="0" w:color="auto"/>
                <w:right w:val="none" w:sz="0" w:space="0" w:color="auto"/>
              </w:divBdr>
            </w:div>
            <w:div w:id="822307361">
              <w:marLeft w:val="0"/>
              <w:marRight w:val="0"/>
              <w:marTop w:val="0"/>
              <w:marBottom w:val="0"/>
              <w:divBdr>
                <w:top w:val="none" w:sz="0" w:space="0" w:color="auto"/>
                <w:left w:val="none" w:sz="0" w:space="0" w:color="auto"/>
                <w:bottom w:val="none" w:sz="0" w:space="0" w:color="auto"/>
                <w:right w:val="none" w:sz="0" w:space="0" w:color="auto"/>
              </w:divBdr>
            </w:div>
            <w:div w:id="923301386">
              <w:marLeft w:val="0"/>
              <w:marRight w:val="0"/>
              <w:marTop w:val="0"/>
              <w:marBottom w:val="0"/>
              <w:divBdr>
                <w:top w:val="none" w:sz="0" w:space="0" w:color="auto"/>
                <w:left w:val="none" w:sz="0" w:space="0" w:color="auto"/>
                <w:bottom w:val="none" w:sz="0" w:space="0" w:color="auto"/>
                <w:right w:val="none" w:sz="0" w:space="0" w:color="auto"/>
              </w:divBdr>
            </w:div>
            <w:div w:id="938172532">
              <w:marLeft w:val="0"/>
              <w:marRight w:val="0"/>
              <w:marTop w:val="0"/>
              <w:marBottom w:val="0"/>
              <w:divBdr>
                <w:top w:val="none" w:sz="0" w:space="0" w:color="auto"/>
                <w:left w:val="none" w:sz="0" w:space="0" w:color="auto"/>
                <w:bottom w:val="none" w:sz="0" w:space="0" w:color="auto"/>
                <w:right w:val="none" w:sz="0" w:space="0" w:color="auto"/>
              </w:divBdr>
            </w:div>
            <w:div w:id="1097169409">
              <w:marLeft w:val="0"/>
              <w:marRight w:val="0"/>
              <w:marTop w:val="0"/>
              <w:marBottom w:val="0"/>
              <w:divBdr>
                <w:top w:val="none" w:sz="0" w:space="0" w:color="auto"/>
                <w:left w:val="none" w:sz="0" w:space="0" w:color="auto"/>
                <w:bottom w:val="none" w:sz="0" w:space="0" w:color="auto"/>
                <w:right w:val="none" w:sz="0" w:space="0" w:color="auto"/>
              </w:divBdr>
            </w:div>
            <w:div w:id="17291805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2017789">
      <w:bodyDiv w:val="1"/>
      <w:marLeft w:val="0"/>
      <w:marRight w:val="0"/>
      <w:marTop w:val="0"/>
      <w:marBottom w:val="0"/>
      <w:divBdr>
        <w:top w:val="none" w:sz="0" w:space="0" w:color="auto"/>
        <w:left w:val="none" w:sz="0" w:space="0" w:color="auto"/>
        <w:bottom w:val="none" w:sz="0" w:space="0" w:color="auto"/>
        <w:right w:val="none" w:sz="0" w:space="0" w:color="auto"/>
      </w:divBdr>
      <w:divsChild>
        <w:div w:id="1613976462">
          <w:marLeft w:val="547"/>
          <w:marRight w:val="0"/>
          <w:marTop w:val="154"/>
          <w:marBottom w:val="0"/>
          <w:divBdr>
            <w:top w:val="none" w:sz="0" w:space="0" w:color="auto"/>
            <w:left w:val="none" w:sz="0" w:space="0" w:color="auto"/>
            <w:bottom w:val="none" w:sz="0" w:space="0" w:color="auto"/>
            <w:right w:val="none" w:sz="0" w:space="0" w:color="auto"/>
          </w:divBdr>
        </w:div>
      </w:divsChild>
    </w:div>
    <w:div w:id="132061462">
      <w:bodyDiv w:val="1"/>
      <w:marLeft w:val="0"/>
      <w:marRight w:val="0"/>
      <w:marTop w:val="0"/>
      <w:marBottom w:val="0"/>
      <w:divBdr>
        <w:top w:val="none" w:sz="0" w:space="0" w:color="auto"/>
        <w:left w:val="none" w:sz="0" w:space="0" w:color="auto"/>
        <w:bottom w:val="none" w:sz="0" w:space="0" w:color="auto"/>
        <w:right w:val="none" w:sz="0" w:space="0" w:color="auto"/>
      </w:divBdr>
    </w:div>
    <w:div w:id="132604884">
      <w:bodyDiv w:val="1"/>
      <w:marLeft w:val="0"/>
      <w:marRight w:val="0"/>
      <w:marTop w:val="0"/>
      <w:marBottom w:val="0"/>
      <w:divBdr>
        <w:top w:val="none" w:sz="0" w:space="0" w:color="auto"/>
        <w:left w:val="none" w:sz="0" w:space="0" w:color="auto"/>
        <w:bottom w:val="none" w:sz="0" w:space="0" w:color="auto"/>
        <w:right w:val="none" w:sz="0" w:space="0" w:color="auto"/>
      </w:divBdr>
      <w:divsChild>
        <w:div w:id="712966678">
          <w:marLeft w:val="0"/>
          <w:marRight w:val="0"/>
          <w:marTop w:val="96"/>
          <w:marBottom w:val="0"/>
          <w:divBdr>
            <w:top w:val="none" w:sz="0" w:space="0" w:color="auto"/>
            <w:left w:val="none" w:sz="0" w:space="0" w:color="auto"/>
            <w:bottom w:val="none" w:sz="0" w:space="0" w:color="auto"/>
            <w:right w:val="none" w:sz="0" w:space="0" w:color="auto"/>
          </w:divBdr>
        </w:div>
        <w:div w:id="1904559489">
          <w:marLeft w:val="0"/>
          <w:marRight w:val="0"/>
          <w:marTop w:val="96"/>
          <w:marBottom w:val="0"/>
          <w:divBdr>
            <w:top w:val="none" w:sz="0" w:space="0" w:color="auto"/>
            <w:left w:val="none" w:sz="0" w:space="0" w:color="auto"/>
            <w:bottom w:val="none" w:sz="0" w:space="0" w:color="auto"/>
            <w:right w:val="none" w:sz="0" w:space="0" w:color="auto"/>
          </w:divBdr>
        </w:div>
      </w:divsChild>
    </w:div>
    <w:div w:id="132794107">
      <w:bodyDiv w:val="1"/>
      <w:marLeft w:val="0"/>
      <w:marRight w:val="0"/>
      <w:marTop w:val="0"/>
      <w:marBottom w:val="0"/>
      <w:divBdr>
        <w:top w:val="none" w:sz="0" w:space="0" w:color="auto"/>
        <w:left w:val="none" w:sz="0" w:space="0" w:color="auto"/>
        <w:bottom w:val="none" w:sz="0" w:space="0" w:color="auto"/>
        <w:right w:val="none" w:sz="0" w:space="0" w:color="auto"/>
      </w:divBdr>
      <w:divsChild>
        <w:div w:id="52430442">
          <w:marLeft w:val="706"/>
          <w:marRight w:val="0"/>
          <w:marTop w:val="115"/>
          <w:marBottom w:val="0"/>
          <w:divBdr>
            <w:top w:val="none" w:sz="0" w:space="0" w:color="auto"/>
            <w:left w:val="none" w:sz="0" w:space="0" w:color="auto"/>
            <w:bottom w:val="none" w:sz="0" w:space="0" w:color="auto"/>
            <w:right w:val="none" w:sz="0" w:space="0" w:color="auto"/>
          </w:divBdr>
        </w:div>
        <w:div w:id="556824941">
          <w:marLeft w:val="418"/>
          <w:marRight w:val="0"/>
          <w:marTop w:val="115"/>
          <w:marBottom w:val="0"/>
          <w:divBdr>
            <w:top w:val="none" w:sz="0" w:space="0" w:color="auto"/>
            <w:left w:val="none" w:sz="0" w:space="0" w:color="auto"/>
            <w:bottom w:val="none" w:sz="0" w:space="0" w:color="auto"/>
            <w:right w:val="none" w:sz="0" w:space="0" w:color="auto"/>
          </w:divBdr>
        </w:div>
        <w:div w:id="1046761431">
          <w:marLeft w:val="706"/>
          <w:marRight w:val="0"/>
          <w:marTop w:val="115"/>
          <w:marBottom w:val="0"/>
          <w:divBdr>
            <w:top w:val="none" w:sz="0" w:space="0" w:color="auto"/>
            <w:left w:val="none" w:sz="0" w:space="0" w:color="auto"/>
            <w:bottom w:val="none" w:sz="0" w:space="0" w:color="auto"/>
            <w:right w:val="none" w:sz="0" w:space="0" w:color="auto"/>
          </w:divBdr>
        </w:div>
      </w:divsChild>
    </w:div>
    <w:div w:id="132917755">
      <w:bodyDiv w:val="1"/>
      <w:marLeft w:val="0"/>
      <w:marRight w:val="0"/>
      <w:marTop w:val="0"/>
      <w:marBottom w:val="0"/>
      <w:divBdr>
        <w:top w:val="none" w:sz="0" w:space="0" w:color="auto"/>
        <w:left w:val="none" w:sz="0" w:space="0" w:color="auto"/>
        <w:bottom w:val="none" w:sz="0" w:space="0" w:color="auto"/>
        <w:right w:val="none" w:sz="0" w:space="0" w:color="auto"/>
      </w:divBdr>
    </w:div>
    <w:div w:id="134370100">
      <w:bodyDiv w:val="1"/>
      <w:marLeft w:val="0"/>
      <w:marRight w:val="0"/>
      <w:marTop w:val="0"/>
      <w:marBottom w:val="0"/>
      <w:divBdr>
        <w:top w:val="none" w:sz="0" w:space="0" w:color="auto"/>
        <w:left w:val="none" w:sz="0" w:space="0" w:color="auto"/>
        <w:bottom w:val="none" w:sz="0" w:space="0" w:color="auto"/>
        <w:right w:val="none" w:sz="0" w:space="0" w:color="auto"/>
      </w:divBdr>
    </w:div>
    <w:div w:id="135729728">
      <w:bodyDiv w:val="1"/>
      <w:marLeft w:val="0"/>
      <w:marRight w:val="0"/>
      <w:marTop w:val="0"/>
      <w:marBottom w:val="0"/>
      <w:divBdr>
        <w:top w:val="none" w:sz="0" w:space="0" w:color="auto"/>
        <w:left w:val="none" w:sz="0" w:space="0" w:color="auto"/>
        <w:bottom w:val="none" w:sz="0" w:space="0" w:color="auto"/>
        <w:right w:val="none" w:sz="0" w:space="0" w:color="auto"/>
      </w:divBdr>
      <w:divsChild>
        <w:div w:id="611983199">
          <w:marLeft w:val="0"/>
          <w:marRight w:val="0"/>
          <w:marTop w:val="0"/>
          <w:marBottom w:val="0"/>
          <w:divBdr>
            <w:top w:val="none" w:sz="0" w:space="0" w:color="auto"/>
            <w:left w:val="none" w:sz="0" w:space="0" w:color="auto"/>
            <w:bottom w:val="none" w:sz="0" w:space="0" w:color="auto"/>
            <w:right w:val="none" w:sz="0" w:space="0" w:color="auto"/>
          </w:divBdr>
          <w:divsChild>
            <w:div w:id="457376963">
              <w:marLeft w:val="0"/>
              <w:marRight w:val="0"/>
              <w:marTop w:val="0"/>
              <w:marBottom w:val="0"/>
              <w:divBdr>
                <w:top w:val="none" w:sz="0" w:space="0" w:color="auto"/>
                <w:left w:val="none" w:sz="0" w:space="0" w:color="auto"/>
                <w:bottom w:val="none" w:sz="0" w:space="0" w:color="auto"/>
                <w:right w:val="none" w:sz="0" w:space="0" w:color="auto"/>
              </w:divBdr>
            </w:div>
            <w:div w:id="478428198">
              <w:marLeft w:val="0"/>
              <w:marRight w:val="0"/>
              <w:marTop w:val="0"/>
              <w:marBottom w:val="0"/>
              <w:divBdr>
                <w:top w:val="none" w:sz="0" w:space="0" w:color="auto"/>
                <w:left w:val="none" w:sz="0" w:space="0" w:color="auto"/>
                <w:bottom w:val="none" w:sz="0" w:space="0" w:color="auto"/>
                <w:right w:val="none" w:sz="0" w:space="0" w:color="auto"/>
              </w:divBdr>
            </w:div>
            <w:div w:id="9089240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6341750">
      <w:bodyDiv w:val="1"/>
      <w:marLeft w:val="0"/>
      <w:marRight w:val="0"/>
      <w:marTop w:val="0"/>
      <w:marBottom w:val="0"/>
      <w:divBdr>
        <w:top w:val="none" w:sz="0" w:space="0" w:color="auto"/>
        <w:left w:val="none" w:sz="0" w:space="0" w:color="auto"/>
        <w:bottom w:val="none" w:sz="0" w:space="0" w:color="auto"/>
        <w:right w:val="none" w:sz="0" w:space="0" w:color="auto"/>
      </w:divBdr>
    </w:div>
    <w:div w:id="136385167">
      <w:bodyDiv w:val="1"/>
      <w:marLeft w:val="0"/>
      <w:marRight w:val="0"/>
      <w:marTop w:val="0"/>
      <w:marBottom w:val="0"/>
      <w:divBdr>
        <w:top w:val="none" w:sz="0" w:space="0" w:color="auto"/>
        <w:left w:val="none" w:sz="0" w:space="0" w:color="auto"/>
        <w:bottom w:val="none" w:sz="0" w:space="0" w:color="auto"/>
        <w:right w:val="none" w:sz="0" w:space="0" w:color="auto"/>
      </w:divBdr>
    </w:div>
    <w:div w:id="136581254">
      <w:bodyDiv w:val="1"/>
      <w:marLeft w:val="0"/>
      <w:marRight w:val="0"/>
      <w:marTop w:val="0"/>
      <w:marBottom w:val="0"/>
      <w:divBdr>
        <w:top w:val="none" w:sz="0" w:space="0" w:color="auto"/>
        <w:left w:val="none" w:sz="0" w:space="0" w:color="auto"/>
        <w:bottom w:val="none" w:sz="0" w:space="0" w:color="auto"/>
        <w:right w:val="none" w:sz="0" w:space="0" w:color="auto"/>
      </w:divBdr>
    </w:div>
    <w:div w:id="137765837">
      <w:bodyDiv w:val="1"/>
      <w:marLeft w:val="0"/>
      <w:marRight w:val="0"/>
      <w:marTop w:val="0"/>
      <w:marBottom w:val="0"/>
      <w:divBdr>
        <w:top w:val="none" w:sz="0" w:space="0" w:color="auto"/>
        <w:left w:val="none" w:sz="0" w:space="0" w:color="auto"/>
        <w:bottom w:val="none" w:sz="0" w:space="0" w:color="auto"/>
        <w:right w:val="none" w:sz="0" w:space="0" w:color="auto"/>
      </w:divBdr>
    </w:div>
    <w:div w:id="138151719">
      <w:bodyDiv w:val="1"/>
      <w:marLeft w:val="0"/>
      <w:marRight w:val="0"/>
      <w:marTop w:val="0"/>
      <w:marBottom w:val="0"/>
      <w:divBdr>
        <w:top w:val="none" w:sz="0" w:space="0" w:color="auto"/>
        <w:left w:val="none" w:sz="0" w:space="0" w:color="auto"/>
        <w:bottom w:val="none" w:sz="0" w:space="0" w:color="auto"/>
        <w:right w:val="none" w:sz="0" w:space="0" w:color="auto"/>
      </w:divBdr>
    </w:div>
    <w:div w:id="138961072">
      <w:bodyDiv w:val="1"/>
      <w:marLeft w:val="0"/>
      <w:marRight w:val="0"/>
      <w:marTop w:val="0"/>
      <w:marBottom w:val="0"/>
      <w:divBdr>
        <w:top w:val="none" w:sz="0" w:space="0" w:color="auto"/>
        <w:left w:val="none" w:sz="0" w:space="0" w:color="auto"/>
        <w:bottom w:val="none" w:sz="0" w:space="0" w:color="auto"/>
        <w:right w:val="none" w:sz="0" w:space="0" w:color="auto"/>
      </w:divBdr>
    </w:div>
    <w:div w:id="139346870">
      <w:bodyDiv w:val="1"/>
      <w:marLeft w:val="0"/>
      <w:marRight w:val="0"/>
      <w:marTop w:val="0"/>
      <w:marBottom w:val="0"/>
      <w:divBdr>
        <w:top w:val="none" w:sz="0" w:space="0" w:color="auto"/>
        <w:left w:val="none" w:sz="0" w:space="0" w:color="auto"/>
        <w:bottom w:val="none" w:sz="0" w:space="0" w:color="auto"/>
        <w:right w:val="none" w:sz="0" w:space="0" w:color="auto"/>
      </w:divBdr>
      <w:divsChild>
        <w:div w:id="635455423">
          <w:marLeft w:val="547"/>
          <w:marRight w:val="0"/>
          <w:marTop w:val="106"/>
          <w:marBottom w:val="0"/>
          <w:divBdr>
            <w:top w:val="none" w:sz="0" w:space="0" w:color="auto"/>
            <w:left w:val="none" w:sz="0" w:space="0" w:color="auto"/>
            <w:bottom w:val="none" w:sz="0" w:space="0" w:color="auto"/>
            <w:right w:val="none" w:sz="0" w:space="0" w:color="auto"/>
          </w:divBdr>
        </w:div>
        <w:div w:id="1101875211">
          <w:marLeft w:val="1166"/>
          <w:marRight w:val="0"/>
          <w:marTop w:val="86"/>
          <w:marBottom w:val="0"/>
          <w:divBdr>
            <w:top w:val="none" w:sz="0" w:space="0" w:color="auto"/>
            <w:left w:val="none" w:sz="0" w:space="0" w:color="auto"/>
            <w:bottom w:val="none" w:sz="0" w:space="0" w:color="auto"/>
            <w:right w:val="none" w:sz="0" w:space="0" w:color="auto"/>
          </w:divBdr>
        </w:div>
        <w:div w:id="1221869804">
          <w:marLeft w:val="806"/>
          <w:marRight w:val="0"/>
          <w:marTop w:val="134"/>
          <w:marBottom w:val="0"/>
          <w:divBdr>
            <w:top w:val="none" w:sz="0" w:space="0" w:color="auto"/>
            <w:left w:val="none" w:sz="0" w:space="0" w:color="auto"/>
            <w:bottom w:val="none" w:sz="0" w:space="0" w:color="auto"/>
            <w:right w:val="none" w:sz="0" w:space="0" w:color="auto"/>
          </w:divBdr>
        </w:div>
        <w:div w:id="1699040832">
          <w:marLeft w:val="806"/>
          <w:marRight w:val="0"/>
          <w:marTop w:val="134"/>
          <w:marBottom w:val="0"/>
          <w:divBdr>
            <w:top w:val="none" w:sz="0" w:space="0" w:color="auto"/>
            <w:left w:val="none" w:sz="0" w:space="0" w:color="auto"/>
            <w:bottom w:val="none" w:sz="0" w:space="0" w:color="auto"/>
            <w:right w:val="none" w:sz="0" w:space="0" w:color="auto"/>
          </w:divBdr>
        </w:div>
        <w:div w:id="2042167562">
          <w:marLeft w:val="1166"/>
          <w:marRight w:val="0"/>
          <w:marTop w:val="86"/>
          <w:marBottom w:val="0"/>
          <w:divBdr>
            <w:top w:val="none" w:sz="0" w:space="0" w:color="auto"/>
            <w:left w:val="none" w:sz="0" w:space="0" w:color="auto"/>
            <w:bottom w:val="none" w:sz="0" w:space="0" w:color="auto"/>
            <w:right w:val="none" w:sz="0" w:space="0" w:color="auto"/>
          </w:divBdr>
        </w:div>
      </w:divsChild>
    </w:div>
    <w:div w:id="139461840">
      <w:bodyDiv w:val="1"/>
      <w:marLeft w:val="0"/>
      <w:marRight w:val="0"/>
      <w:marTop w:val="0"/>
      <w:marBottom w:val="0"/>
      <w:divBdr>
        <w:top w:val="none" w:sz="0" w:space="0" w:color="auto"/>
        <w:left w:val="none" w:sz="0" w:space="0" w:color="auto"/>
        <w:bottom w:val="none" w:sz="0" w:space="0" w:color="auto"/>
        <w:right w:val="none" w:sz="0" w:space="0" w:color="auto"/>
      </w:divBdr>
      <w:divsChild>
        <w:div w:id="154994892">
          <w:marLeft w:val="835"/>
          <w:marRight w:val="0"/>
          <w:marTop w:val="96"/>
          <w:marBottom w:val="0"/>
          <w:divBdr>
            <w:top w:val="none" w:sz="0" w:space="0" w:color="auto"/>
            <w:left w:val="none" w:sz="0" w:space="0" w:color="auto"/>
            <w:bottom w:val="none" w:sz="0" w:space="0" w:color="auto"/>
            <w:right w:val="none" w:sz="0" w:space="0" w:color="auto"/>
          </w:divBdr>
        </w:div>
        <w:div w:id="338390742">
          <w:marLeft w:val="274"/>
          <w:marRight w:val="0"/>
          <w:marTop w:val="115"/>
          <w:marBottom w:val="0"/>
          <w:divBdr>
            <w:top w:val="none" w:sz="0" w:space="0" w:color="auto"/>
            <w:left w:val="none" w:sz="0" w:space="0" w:color="auto"/>
            <w:bottom w:val="none" w:sz="0" w:space="0" w:color="auto"/>
            <w:right w:val="none" w:sz="0" w:space="0" w:color="auto"/>
          </w:divBdr>
        </w:div>
        <w:div w:id="805658342">
          <w:marLeft w:val="274"/>
          <w:marRight w:val="0"/>
          <w:marTop w:val="115"/>
          <w:marBottom w:val="0"/>
          <w:divBdr>
            <w:top w:val="none" w:sz="0" w:space="0" w:color="auto"/>
            <w:left w:val="none" w:sz="0" w:space="0" w:color="auto"/>
            <w:bottom w:val="none" w:sz="0" w:space="0" w:color="auto"/>
            <w:right w:val="none" w:sz="0" w:space="0" w:color="auto"/>
          </w:divBdr>
        </w:div>
        <w:div w:id="1032414843">
          <w:marLeft w:val="274"/>
          <w:marRight w:val="0"/>
          <w:marTop w:val="115"/>
          <w:marBottom w:val="0"/>
          <w:divBdr>
            <w:top w:val="none" w:sz="0" w:space="0" w:color="auto"/>
            <w:left w:val="none" w:sz="0" w:space="0" w:color="auto"/>
            <w:bottom w:val="none" w:sz="0" w:space="0" w:color="auto"/>
            <w:right w:val="none" w:sz="0" w:space="0" w:color="auto"/>
          </w:divBdr>
        </w:div>
        <w:div w:id="1719283666">
          <w:marLeft w:val="835"/>
          <w:marRight w:val="0"/>
          <w:marTop w:val="96"/>
          <w:marBottom w:val="0"/>
          <w:divBdr>
            <w:top w:val="none" w:sz="0" w:space="0" w:color="auto"/>
            <w:left w:val="none" w:sz="0" w:space="0" w:color="auto"/>
            <w:bottom w:val="none" w:sz="0" w:space="0" w:color="auto"/>
            <w:right w:val="none" w:sz="0" w:space="0" w:color="auto"/>
          </w:divBdr>
        </w:div>
      </w:divsChild>
    </w:div>
    <w:div w:id="139463005">
      <w:bodyDiv w:val="1"/>
      <w:marLeft w:val="0"/>
      <w:marRight w:val="0"/>
      <w:marTop w:val="0"/>
      <w:marBottom w:val="0"/>
      <w:divBdr>
        <w:top w:val="none" w:sz="0" w:space="0" w:color="auto"/>
        <w:left w:val="none" w:sz="0" w:space="0" w:color="auto"/>
        <w:bottom w:val="none" w:sz="0" w:space="0" w:color="auto"/>
        <w:right w:val="none" w:sz="0" w:space="0" w:color="auto"/>
      </w:divBdr>
      <w:divsChild>
        <w:div w:id="1022900438">
          <w:marLeft w:val="0"/>
          <w:marRight w:val="0"/>
          <w:marTop w:val="0"/>
          <w:marBottom w:val="0"/>
          <w:divBdr>
            <w:top w:val="none" w:sz="0" w:space="0" w:color="auto"/>
            <w:left w:val="none" w:sz="0" w:space="0" w:color="auto"/>
            <w:bottom w:val="none" w:sz="0" w:space="0" w:color="auto"/>
            <w:right w:val="none" w:sz="0" w:space="0" w:color="auto"/>
          </w:divBdr>
          <w:divsChild>
            <w:div w:id="698354505">
              <w:marLeft w:val="0"/>
              <w:marRight w:val="0"/>
              <w:marTop w:val="0"/>
              <w:marBottom w:val="0"/>
              <w:divBdr>
                <w:top w:val="none" w:sz="0" w:space="0" w:color="auto"/>
                <w:left w:val="none" w:sz="0" w:space="0" w:color="auto"/>
                <w:bottom w:val="none" w:sz="0" w:space="0" w:color="auto"/>
                <w:right w:val="none" w:sz="0" w:space="0" w:color="auto"/>
              </w:divBdr>
            </w:div>
            <w:div w:id="1243221444">
              <w:marLeft w:val="0"/>
              <w:marRight w:val="0"/>
              <w:marTop w:val="0"/>
              <w:marBottom w:val="0"/>
              <w:divBdr>
                <w:top w:val="none" w:sz="0" w:space="0" w:color="auto"/>
                <w:left w:val="none" w:sz="0" w:space="0" w:color="auto"/>
                <w:bottom w:val="none" w:sz="0" w:space="0" w:color="auto"/>
                <w:right w:val="none" w:sz="0" w:space="0" w:color="auto"/>
              </w:divBdr>
            </w:div>
            <w:div w:id="1357192406">
              <w:marLeft w:val="0"/>
              <w:marRight w:val="0"/>
              <w:marTop w:val="0"/>
              <w:marBottom w:val="0"/>
              <w:divBdr>
                <w:top w:val="none" w:sz="0" w:space="0" w:color="auto"/>
                <w:left w:val="none" w:sz="0" w:space="0" w:color="auto"/>
                <w:bottom w:val="none" w:sz="0" w:space="0" w:color="auto"/>
                <w:right w:val="none" w:sz="0" w:space="0" w:color="auto"/>
              </w:divBdr>
            </w:div>
            <w:div w:id="18721048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9613067">
      <w:bodyDiv w:val="1"/>
      <w:marLeft w:val="0"/>
      <w:marRight w:val="0"/>
      <w:marTop w:val="0"/>
      <w:marBottom w:val="0"/>
      <w:divBdr>
        <w:top w:val="none" w:sz="0" w:space="0" w:color="auto"/>
        <w:left w:val="none" w:sz="0" w:space="0" w:color="auto"/>
        <w:bottom w:val="none" w:sz="0" w:space="0" w:color="auto"/>
        <w:right w:val="none" w:sz="0" w:space="0" w:color="auto"/>
      </w:divBdr>
      <w:divsChild>
        <w:div w:id="709066554">
          <w:marLeft w:val="1166"/>
          <w:marRight w:val="0"/>
          <w:marTop w:val="96"/>
          <w:marBottom w:val="0"/>
          <w:divBdr>
            <w:top w:val="none" w:sz="0" w:space="0" w:color="auto"/>
            <w:left w:val="none" w:sz="0" w:space="0" w:color="auto"/>
            <w:bottom w:val="none" w:sz="0" w:space="0" w:color="auto"/>
            <w:right w:val="none" w:sz="0" w:space="0" w:color="auto"/>
          </w:divBdr>
        </w:div>
        <w:div w:id="806321862">
          <w:marLeft w:val="1800"/>
          <w:marRight w:val="0"/>
          <w:marTop w:val="86"/>
          <w:marBottom w:val="0"/>
          <w:divBdr>
            <w:top w:val="none" w:sz="0" w:space="0" w:color="auto"/>
            <w:left w:val="none" w:sz="0" w:space="0" w:color="auto"/>
            <w:bottom w:val="none" w:sz="0" w:space="0" w:color="auto"/>
            <w:right w:val="none" w:sz="0" w:space="0" w:color="auto"/>
          </w:divBdr>
        </w:div>
        <w:div w:id="1601838673">
          <w:marLeft w:val="1166"/>
          <w:marRight w:val="0"/>
          <w:marTop w:val="96"/>
          <w:marBottom w:val="0"/>
          <w:divBdr>
            <w:top w:val="none" w:sz="0" w:space="0" w:color="auto"/>
            <w:left w:val="none" w:sz="0" w:space="0" w:color="auto"/>
            <w:bottom w:val="none" w:sz="0" w:space="0" w:color="auto"/>
            <w:right w:val="none" w:sz="0" w:space="0" w:color="auto"/>
          </w:divBdr>
        </w:div>
        <w:div w:id="1609697722">
          <w:marLeft w:val="547"/>
          <w:marRight w:val="0"/>
          <w:marTop w:val="115"/>
          <w:marBottom w:val="0"/>
          <w:divBdr>
            <w:top w:val="none" w:sz="0" w:space="0" w:color="auto"/>
            <w:left w:val="none" w:sz="0" w:space="0" w:color="auto"/>
            <w:bottom w:val="none" w:sz="0" w:space="0" w:color="auto"/>
            <w:right w:val="none" w:sz="0" w:space="0" w:color="auto"/>
          </w:divBdr>
        </w:div>
        <w:div w:id="1994866299">
          <w:marLeft w:val="547"/>
          <w:marRight w:val="0"/>
          <w:marTop w:val="115"/>
          <w:marBottom w:val="0"/>
          <w:divBdr>
            <w:top w:val="none" w:sz="0" w:space="0" w:color="auto"/>
            <w:left w:val="none" w:sz="0" w:space="0" w:color="auto"/>
            <w:bottom w:val="none" w:sz="0" w:space="0" w:color="auto"/>
            <w:right w:val="none" w:sz="0" w:space="0" w:color="auto"/>
          </w:divBdr>
        </w:div>
        <w:div w:id="2099400986">
          <w:marLeft w:val="1166"/>
          <w:marRight w:val="0"/>
          <w:marTop w:val="96"/>
          <w:marBottom w:val="0"/>
          <w:divBdr>
            <w:top w:val="none" w:sz="0" w:space="0" w:color="auto"/>
            <w:left w:val="none" w:sz="0" w:space="0" w:color="auto"/>
            <w:bottom w:val="none" w:sz="0" w:space="0" w:color="auto"/>
            <w:right w:val="none" w:sz="0" w:space="0" w:color="auto"/>
          </w:divBdr>
        </w:div>
        <w:div w:id="2134906077">
          <w:marLeft w:val="1800"/>
          <w:marRight w:val="0"/>
          <w:marTop w:val="86"/>
          <w:marBottom w:val="0"/>
          <w:divBdr>
            <w:top w:val="none" w:sz="0" w:space="0" w:color="auto"/>
            <w:left w:val="none" w:sz="0" w:space="0" w:color="auto"/>
            <w:bottom w:val="none" w:sz="0" w:space="0" w:color="auto"/>
            <w:right w:val="none" w:sz="0" w:space="0" w:color="auto"/>
          </w:divBdr>
        </w:div>
      </w:divsChild>
    </w:div>
    <w:div w:id="140005262">
      <w:bodyDiv w:val="1"/>
      <w:marLeft w:val="0"/>
      <w:marRight w:val="0"/>
      <w:marTop w:val="0"/>
      <w:marBottom w:val="0"/>
      <w:divBdr>
        <w:top w:val="none" w:sz="0" w:space="0" w:color="auto"/>
        <w:left w:val="none" w:sz="0" w:space="0" w:color="auto"/>
        <w:bottom w:val="none" w:sz="0" w:space="0" w:color="auto"/>
        <w:right w:val="none" w:sz="0" w:space="0" w:color="auto"/>
      </w:divBdr>
    </w:div>
    <w:div w:id="140663398">
      <w:bodyDiv w:val="1"/>
      <w:marLeft w:val="0"/>
      <w:marRight w:val="0"/>
      <w:marTop w:val="0"/>
      <w:marBottom w:val="0"/>
      <w:divBdr>
        <w:top w:val="none" w:sz="0" w:space="0" w:color="auto"/>
        <w:left w:val="none" w:sz="0" w:space="0" w:color="auto"/>
        <w:bottom w:val="none" w:sz="0" w:space="0" w:color="auto"/>
        <w:right w:val="none" w:sz="0" w:space="0" w:color="auto"/>
      </w:divBdr>
      <w:divsChild>
        <w:div w:id="249849009">
          <w:marLeft w:val="0"/>
          <w:marRight w:val="0"/>
          <w:marTop w:val="0"/>
          <w:marBottom w:val="0"/>
          <w:divBdr>
            <w:top w:val="none" w:sz="0" w:space="0" w:color="auto"/>
            <w:left w:val="none" w:sz="0" w:space="0" w:color="auto"/>
            <w:bottom w:val="none" w:sz="0" w:space="0" w:color="auto"/>
            <w:right w:val="none" w:sz="0" w:space="0" w:color="auto"/>
          </w:divBdr>
        </w:div>
      </w:divsChild>
    </w:div>
    <w:div w:id="140779537">
      <w:bodyDiv w:val="1"/>
      <w:marLeft w:val="0"/>
      <w:marRight w:val="0"/>
      <w:marTop w:val="0"/>
      <w:marBottom w:val="0"/>
      <w:divBdr>
        <w:top w:val="none" w:sz="0" w:space="0" w:color="auto"/>
        <w:left w:val="none" w:sz="0" w:space="0" w:color="auto"/>
        <w:bottom w:val="none" w:sz="0" w:space="0" w:color="auto"/>
        <w:right w:val="none" w:sz="0" w:space="0" w:color="auto"/>
      </w:divBdr>
    </w:div>
    <w:div w:id="141000555">
      <w:bodyDiv w:val="1"/>
      <w:marLeft w:val="0"/>
      <w:marRight w:val="0"/>
      <w:marTop w:val="0"/>
      <w:marBottom w:val="0"/>
      <w:divBdr>
        <w:top w:val="none" w:sz="0" w:space="0" w:color="auto"/>
        <w:left w:val="none" w:sz="0" w:space="0" w:color="auto"/>
        <w:bottom w:val="none" w:sz="0" w:space="0" w:color="auto"/>
        <w:right w:val="none" w:sz="0" w:space="0" w:color="auto"/>
      </w:divBdr>
    </w:div>
    <w:div w:id="141848088">
      <w:bodyDiv w:val="1"/>
      <w:marLeft w:val="0"/>
      <w:marRight w:val="0"/>
      <w:marTop w:val="0"/>
      <w:marBottom w:val="0"/>
      <w:divBdr>
        <w:top w:val="none" w:sz="0" w:space="0" w:color="auto"/>
        <w:left w:val="none" w:sz="0" w:space="0" w:color="auto"/>
        <w:bottom w:val="none" w:sz="0" w:space="0" w:color="auto"/>
        <w:right w:val="none" w:sz="0" w:space="0" w:color="auto"/>
      </w:divBdr>
      <w:divsChild>
        <w:div w:id="140927498">
          <w:marLeft w:val="1166"/>
          <w:marRight w:val="0"/>
          <w:marTop w:val="0"/>
          <w:marBottom w:val="60"/>
          <w:divBdr>
            <w:top w:val="none" w:sz="0" w:space="0" w:color="auto"/>
            <w:left w:val="none" w:sz="0" w:space="0" w:color="auto"/>
            <w:bottom w:val="none" w:sz="0" w:space="0" w:color="auto"/>
            <w:right w:val="none" w:sz="0" w:space="0" w:color="auto"/>
          </w:divBdr>
        </w:div>
        <w:div w:id="239828800">
          <w:marLeft w:val="1166"/>
          <w:marRight w:val="0"/>
          <w:marTop w:val="0"/>
          <w:marBottom w:val="0"/>
          <w:divBdr>
            <w:top w:val="none" w:sz="0" w:space="0" w:color="auto"/>
            <w:left w:val="none" w:sz="0" w:space="0" w:color="auto"/>
            <w:bottom w:val="none" w:sz="0" w:space="0" w:color="auto"/>
            <w:right w:val="none" w:sz="0" w:space="0" w:color="auto"/>
          </w:divBdr>
        </w:div>
        <w:div w:id="384304512">
          <w:marLeft w:val="1800"/>
          <w:marRight w:val="0"/>
          <w:marTop w:val="0"/>
          <w:marBottom w:val="0"/>
          <w:divBdr>
            <w:top w:val="none" w:sz="0" w:space="0" w:color="auto"/>
            <w:left w:val="none" w:sz="0" w:space="0" w:color="auto"/>
            <w:bottom w:val="none" w:sz="0" w:space="0" w:color="auto"/>
            <w:right w:val="none" w:sz="0" w:space="0" w:color="auto"/>
          </w:divBdr>
        </w:div>
        <w:div w:id="512763527">
          <w:marLeft w:val="2520"/>
          <w:marRight w:val="0"/>
          <w:marTop w:val="0"/>
          <w:marBottom w:val="0"/>
          <w:divBdr>
            <w:top w:val="none" w:sz="0" w:space="0" w:color="auto"/>
            <w:left w:val="none" w:sz="0" w:space="0" w:color="auto"/>
            <w:bottom w:val="none" w:sz="0" w:space="0" w:color="auto"/>
            <w:right w:val="none" w:sz="0" w:space="0" w:color="auto"/>
          </w:divBdr>
        </w:div>
        <w:div w:id="576717783">
          <w:marLeft w:val="547"/>
          <w:marRight w:val="0"/>
          <w:marTop w:val="115"/>
          <w:marBottom w:val="120"/>
          <w:divBdr>
            <w:top w:val="none" w:sz="0" w:space="0" w:color="auto"/>
            <w:left w:val="none" w:sz="0" w:space="0" w:color="auto"/>
            <w:bottom w:val="none" w:sz="0" w:space="0" w:color="auto"/>
            <w:right w:val="none" w:sz="0" w:space="0" w:color="auto"/>
          </w:divBdr>
        </w:div>
        <w:div w:id="620116896">
          <w:marLeft w:val="2520"/>
          <w:marRight w:val="0"/>
          <w:marTop w:val="0"/>
          <w:marBottom w:val="0"/>
          <w:divBdr>
            <w:top w:val="none" w:sz="0" w:space="0" w:color="auto"/>
            <w:left w:val="none" w:sz="0" w:space="0" w:color="auto"/>
            <w:bottom w:val="none" w:sz="0" w:space="0" w:color="auto"/>
            <w:right w:val="none" w:sz="0" w:space="0" w:color="auto"/>
          </w:divBdr>
        </w:div>
        <w:div w:id="767654847">
          <w:marLeft w:val="1800"/>
          <w:marRight w:val="0"/>
          <w:marTop w:val="0"/>
          <w:marBottom w:val="0"/>
          <w:divBdr>
            <w:top w:val="none" w:sz="0" w:space="0" w:color="auto"/>
            <w:left w:val="none" w:sz="0" w:space="0" w:color="auto"/>
            <w:bottom w:val="none" w:sz="0" w:space="0" w:color="auto"/>
            <w:right w:val="none" w:sz="0" w:space="0" w:color="auto"/>
          </w:divBdr>
        </w:div>
        <w:div w:id="777413166">
          <w:marLeft w:val="1800"/>
          <w:marRight w:val="0"/>
          <w:marTop w:val="0"/>
          <w:marBottom w:val="0"/>
          <w:divBdr>
            <w:top w:val="none" w:sz="0" w:space="0" w:color="auto"/>
            <w:left w:val="none" w:sz="0" w:space="0" w:color="auto"/>
            <w:bottom w:val="none" w:sz="0" w:space="0" w:color="auto"/>
            <w:right w:val="none" w:sz="0" w:space="0" w:color="auto"/>
          </w:divBdr>
        </w:div>
        <w:div w:id="827404453">
          <w:marLeft w:val="1800"/>
          <w:marRight w:val="0"/>
          <w:marTop w:val="0"/>
          <w:marBottom w:val="0"/>
          <w:divBdr>
            <w:top w:val="none" w:sz="0" w:space="0" w:color="auto"/>
            <w:left w:val="none" w:sz="0" w:space="0" w:color="auto"/>
            <w:bottom w:val="none" w:sz="0" w:space="0" w:color="auto"/>
            <w:right w:val="none" w:sz="0" w:space="0" w:color="auto"/>
          </w:divBdr>
        </w:div>
        <w:div w:id="842889462">
          <w:marLeft w:val="2520"/>
          <w:marRight w:val="0"/>
          <w:marTop w:val="0"/>
          <w:marBottom w:val="0"/>
          <w:divBdr>
            <w:top w:val="none" w:sz="0" w:space="0" w:color="auto"/>
            <w:left w:val="none" w:sz="0" w:space="0" w:color="auto"/>
            <w:bottom w:val="none" w:sz="0" w:space="0" w:color="auto"/>
            <w:right w:val="none" w:sz="0" w:space="0" w:color="auto"/>
          </w:divBdr>
        </w:div>
        <w:div w:id="971205034">
          <w:marLeft w:val="1800"/>
          <w:marRight w:val="0"/>
          <w:marTop w:val="0"/>
          <w:marBottom w:val="0"/>
          <w:divBdr>
            <w:top w:val="none" w:sz="0" w:space="0" w:color="auto"/>
            <w:left w:val="none" w:sz="0" w:space="0" w:color="auto"/>
            <w:bottom w:val="none" w:sz="0" w:space="0" w:color="auto"/>
            <w:right w:val="none" w:sz="0" w:space="0" w:color="auto"/>
          </w:divBdr>
        </w:div>
        <w:div w:id="1133523598">
          <w:marLeft w:val="2520"/>
          <w:marRight w:val="0"/>
          <w:marTop w:val="0"/>
          <w:marBottom w:val="0"/>
          <w:divBdr>
            <w:top w:val="none" w:sz="0" w:space="0" w:color="auto"/>
            <w:left w:val="none" w:sz="0" w:space="0" w:color="auto"/>
            <w:bottom w:val="none" w:sz="0" w:space="0" w:color="auto"/>
            <w:right w:val="none" w:sz="0" w:space="0" w:color="auto"/>
          </w:divBdr>
        </w:div>
        <w:div w:id="1141188219">
          <w:marLeft w:val="1800"/>
          <w:marRight w:val="0"/>
          <w:marTop w:val="0"/>
          <w:marBottom w:val="0"/>
          <w:divBdr>
            <w:top w:val="none" w:sz="0" w:space="0" w:color="auto"/>
            <w:left w:val="none" w:sz="0" w:space="0" w:color="auto"/>
            <w:bottom w:val="none" w:sz="0" w:space="0" w:color="auto"/>
            <w:right w:val="none" w:sz="0" w:space="0" w:color="auto"/>
          </w:divBdr>
        </w:div>
        <w:div w:id="1416903855">
          <w:marLeft w:val="2520"/>
          <w:marRight w:val="0"/>
          <w:marTop w:val="0"/>
          <w:marBottom w:val="0"/>
          <w:divBdr>
            <w:top w:val="none" w:sz="0" w:space="0" w:color="auto"/>
            <w:left w:val="none" w:sz="0" w:space="0" w:color="auto"/>
            <w:bottom w:val="none" w:sz="0" w:space="0" w:color="auto"/>
            <w:right w:val="none" w:sz="0" w:space="0" w:color="auto"/>
          </w:divBdr>
        </w:div>
        <w:div w:id="1610503159">
          <w:marLeft w:val="1166"/>
          <w:marRight w:val="0"/>
          <w:marTop w:val="0"/>
          <w:marBottom w:val="0"/>
          <w:divBdr>
            <w:top w:val="none" w:sz="0" w:space="0" w:color="auto"/>
            <w:left w:val="none" w:sz="0" w:space="0" w:color="auto"/>
            <w:bottom w:val="none" w:sz="0" w:space="0" w:color="auto"/>
            <w:right w:val="none" w:sz="0" w:space="0" w:color="auto"/>
          </w:divBdr>
        </w:div>
        <w:div w:id="2012947504">
          <w:marLeft w:val="1800"/>
          <w:marRight w:val="0"/>
          <w:marTop w:val="0"/>
          <w:marBottom w:val="0"/>
          <w:divBdr>
            <w:top w:val="none" w:sz="0" w:space="0" w:color="auto"/>
            <w:left w:val="none" w:sz="0" w:space="0" w:color="auto"/>
            <w:bottom w:val="none" w:sz="0" w:space="0" w:color="auto"/>
            <w:right w:val="none" w:sz="0" w:space="0" w:color="auto"/>
          </w:divBdr>
        </w:div>
        <w:div w:id="2125806687">
          <w:marLeft w:val="2520"/>
          <w:marRight w:val="0"/>
          <w:marTop w:val="0"/>
          <w:marBottom w:val="0"/>
          <w:divBdr>
            <w:top w:val="none" w:sz="0" w:space="0" w:color="auto"/>
            <w:left w:val="none" w:sz="0" w:space="0" w:color="auto"/>
            <w:bottom w:val="none" w:sz="0" w:space="0" w:color="auto"/>
            <w:right w:val="none" w:sz="0" w:space="0" w:color="auto"/>
          </w:divBdr>
        </w:div>
      </w:divsChild>
    </w:div>
    <w:div w:id="142241334">
      <w:bodyDiv w:val="1"/>
      <w:marLeft w:val="0"/>
      <w:marRight w:val="0"/>
      <w:marTop w:val="0"/>
      <w:marBottom w:val="0"/>
      <w:divBdr>
        <w:top w:val="none" w:sz="0" w:space="0" w:color="auto"/>
        <w:left w:val="none" w:sz="0" w:space="0" w:color="auto"/>
        <w:bottom w:val="none" w:sz="0" w:space="0" w:color="auto"/>
        <w:right w:val="none" w:sz="0" w:space="0" w:color="auto"/>
      </w:divBdr>
    </w:div>
    <w:div w:id="142544718">
      <w:bodyDiv w:val="1"/>
      <w:marLeft w:val="0"/>
      <w:marRight w:val="0"/>
      <w:marTop w:val="0"/>
      <w:marBottom w:val="0"/>
      <w:divBdr>
        <w:top w:val="none" w:sz="0" w:space="0" w:color="auto"/>
        <w:left w:val="none" w:sz="0" w:space="0" w:color="auto"/>
        <w:bottom w:val="none" w:sz="0" w:space="0" w:color="auto"/>
        <w:right w:val="none" w:sz="0" w:space="0" w:color="auto"/>
      </w:divBdr>
    </w:div>
    <w:div w:id="143006843">
      <w:bodyDiv w:val="1"/>
      <w:marLeft w:val="0"/>
      <w:marRight w:val="0"/>
      <w:marTop w:val="0"/>
      <w:marBottom w:val="0"/>
      <w:divBdr>
        <w:top w:val="none" w:sz="0" w:space="0" w:color="auto"/>
        <w:left w:val="none" w:sz="0" w:space="0" w:color="auto"/>
        <w:bottom w:val="none" w:sz="0" w:space="0" w:color="auto"/>
        <w:right w:val="none" w:sz="0" w:space="0" w:color="auto"/>
      </w:divBdr>
    </w:div>
    <w:div w:id="143086481">
      <w:bodyDiv w:val="1"/>
      <w:marLeft w:val="0"/>
      <w:marRight w:val="0"/>
      <w:marTop w:val="0"/>
      <w:marBottom w:val="0"/>
      <w:divBdr>
        <w:top w:val="none" w:sz="0" w:space="0" w:color="auto"/>
        <w:left w:val="none" w:sz="0" w:space="0" w:color="auto"/>
        <w:bottom w:val="none" w:sz="0" w:space="0" w:color="auto"/>
        <w:right w:val="none" w:sz="0" w:space="0" w:color="auto"/>
      </w:divBdr>
    </w:div>
    <w:div w:id="143544118">
      <w:bodyDiv w:val="1"/>
      <w:marLeft w:val="0"/>
      <w:marRight w:val="0"/>
      <w:marTop w:val="0"/>
      <w:marBottom w:val="0"/>
      <w:divBdr>
        <w:top w:val="none" w:sz="0" w:space="0" w:color="auto"/>
        <w:left w:val="none" w:sz="0" w:space="0" w:color="auto"/>
        <w:bottom w:val="none" w:sz="0" w:space="0" w:color="auto"/>
        <w:right w:val="none" w:sz="0" w:space="0" w:color="auto"/>
      </w:divBdr>
    </w:div>
    <w:div w:id="143858561">
      <w:bodyDiv w:val="1"/>
      <w:marLeft w:val="0"/>
      <w:marRight w:val="0"/>
      <w:marTop w:val="0"/>
      <w:marBottom w:val="0"/>
      <w:divBdr>
        <w:top w:val="none" w:sz="0" w:space="0" w:color="auto"/>
        <w:left w:val="none" w:sz="0" w:space="0" w:color="auto"/>
        <w:bottom w:val="none" w:sz="0" w:space="0" w:color="auto"/>
        <w:right w:val="none" w:sz="0" w:space="0" w:color="auto"/>
      </w:divBdr>
      <w:divsChild>
        <w:div w:id="1224682779">
          <w:marLeft w:val="0"/>
          <w:marRight w:val="0"/>
          <w:marTop w:val="0"/>
          <w:marBottom w:val="0"/>
          <w:divBdr>
            <w:top w:val="none" w:sz="0" w:space="0" w:color="auto"/>
            <w:left w:val="none" w:sz="0" w:space="0" w:color="auto"/>
            <w:bottom w:val="none" w:sz="0" w:space="0" w:color="auto"/>
            <w:right w:val="none" w:sz="0" w:space="0" w:color="auto"/>
          </w:divBdr>
          <w:divsChild>
            <w:div w:id="210919907">
              <w:marLeft w:val="0"/>
              <w:marRight w:val="0"/>
              <w:marTop w:val="0"/>
              <w:marBottom w:val="0"/>
              <w:divBdr>
                <w:top w:val="none" w:sz="0" w:space="0" w:color="auto"/>
                <w:left w:val="none" w:sz="0" w:space="0" w:color="auto"/>
                <w:bottom w:val="none" w:sz="0" w:space="0" w:color="auto"/>
                <w:right w:val="none" w:sz="0" w:space="0" w:color="auto"/>
              </w:divBdr>
            </w:div>
            <w:div w:id="343871334">
              <w:marLeft w:val="0"/>
              <w:marRight w:val="0"/>
              <w:marTop w:val="0"/>
              <w:marBottom w:val="0"/>
              <w:divBdr>
                <w:top w:val="none" w:sz="0" w:space="0" w:color="auto"/>
                <w:left w:val="none" w:sz="0" w:space="0" w:color="auto"/>
                <w:bottom w:val="none" w:sz="0" w:space="0" w:color="auto"/>
                <w:right w:val="none" w:sz="0" w:space="0" w:color="auto"/>
              </w:divBdr>
            </w:div>
            <w:div w:id="1277642691">
              <w:marLeft w:val="0"/>
              <w:marRight w:val="0"/>
              <w:marTop w:val="0"/>
              <w:marBottom w:val="0"/>
              <w:divBdr>
                <w:top w:val="none" w:sz="0" w:space="0" w:color="auto"/>
                <w:left w:val="none" w:sz="0" w:space="0" w:color="auto"/>
                <w:bottom w:val="none" w:sz="0" w:space="0" w:color="auto"/>
                <w:right w:val="none" w:sz="0" w:space="0" w:color="auto"/>
              </w:divBdr>
            </w:div>
            <w:div w:id="1494956613">
              <w:marLeft w:val="0"/>
              <w:marRight w:val="0"/>
              <w:marTop w:val="0"/>
              <w:marBottom w:val="0"/>
              <w:divBdr>
                <w:top w:val="none" w:sz="0" w:space="0" w:color="auto"/>
                <w:left w:val="none" w:sz="0" w:space="0" w:color="auto"/>
                <w:bottom w:val="none" w:sz="0" w:space="0" w:color="auto"/>
                <w:right w:val="none" w:sz="0" w:space="0" w:color="auto"/>
              </w:divBdr>
            </w:div>
            <w:div w:id="15477894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4472079">
      <w:bodyDiv w:val="1"/>
      <w:marLeft w:val="0"/>
      <w:marRight w:val="0"/>
      <w:marTop w:val="0"/>
      <w:marBottom w:val="0"/>
      <w:divBdr>
        <w:top w:val="none" w:sz="0" w:space="0" w:color="auto"/>
        <w:left w:val="none" w:sz="0" w:space="0" w:color="auto"/>
        <w:bottom w:val="none" w:sz="0" w:space="0" w:color="auto"/>
        <w:right w:val="none" w:sz="0" w:space="0" w:color="auto"/>
      </w:divBdr>
      <w:divsChild>
        <w:div w:id="211307679">
          <w:marLeft w:val="1166"/>
          <w:marRight w:val="0"/>
          <w:marTop w:val="115"/>
          <w:marBottom w:val="0"/>
          <w:divBdr>
            <w:top w:val="none" w:sz="0" w:space="0" w:color="auto"/>
            <w:left w:val="none" w:sz="0" w:space="0" w:color="auto"/>
            <w:bottom w:val="none" w:sz="0" w:space="0" w:color="auto"/>
            <w:right w:val="none" w:sz="0" w:space="0" w:color="auto"/>
          </w:divBdr>
        </w:div>
        <w:div w:id="348801126">
          <w:marLeft w:val="1166"/>
          <w:marRight w:val="0"/>
          <w:marTop w:val="115"/>
          <w:marBottom w:val="0"/>
          <w:divBdr>
            <w:top w:val="none" w:sz="0" w:space="0" w:color="auto"/>
            <w:left w:val="none" w:sz="0" w:space="0" w:color="auto"/>
            <w:bottom w:val="none" w:sz="0" w:space="0" w:color="auto"/>
            <w:right w:val="none" w:sz="0" w:space="0" w:color="auto"/>
          </w:divBdr>
        </w:div>
        <w:div w:id="487282507">
          <w:marLeft w:val="1166"/>
          <w:marRight w:val="0"/>
          <w:marTop w:val="115"/>
          <w:marBottom w:val="0"/>
          <w:divBdr>
            <w:top w:val="none" w:sz="0" w:space="0" w:color="auto"/>
            <w:left w:val="none" w:sz="0" w:space="0" w:color="auto"/>
            <w:bottom w:val="none" w:sz="0" w:space="0" w:color="auto"/>
            <w:right w:val="none" w:sz="0" w:space="0" w:color="auto"/>
          </w:divBdr>
        </w:div>
        <w:div w:id="566695484">
          <w:marLeft w:val="547"/>
          <w:marRight w:val="0"/>
          <w:marTop w:val="115"/>
          <w:marBottom w:val="0"/>
          <w:divBdr>
            <w:top w:val="none" w:sz="0" w:space="0" w:color="auto"/>
            <w:left w:val="none" w:sz="0" w:space="0" w:color="auto"/>
            <w:bottom w:val="none" w:sz="0" w:space="0" w:color="auto"/>
            <w:right w:val="none" w:sz="0" w:space="0" w:color="auto"/>
          </w:divBdr>
        </w:div>
        <w:div w:id="758477828">
          <w:marLeft w:val="1166"/>
          <w:marRight w:val="0"/>
          <w:marTop w:val="115"/>
          <w:marBottom w:val="0"/>
          <w:divBdr>
            <w:top w:val="none" w:sz="0" w:space="0" w:color="auto"/>
            <w:left w:val="none" w:sz="0" w:space="0" w:color="auto"/>
            <w:bottom w:val="none" w:sz="0" w:space="0" w:color="auto"/>
            <w:right w:val="none" w:sz="0" w:space="0" w:color="auto"/>
          </w:divBdr>
        </w:div>
        <w:div w:id="1510679373">
          <w:marLeft w:val="547"/>
          <w:marRight w:val="0"/>
          <w:marTop w:val="115"/>
          <w:marBottom w:val="0"/>
          <w:divBdr>
            <w:top w:val="none" w:sz="0" w:space="0" w:color="auto"/>
            <w:left w:val="none" w:sz="0" w:space="0" w:color="auto"/>
            <w:bottom w:val="none" w:sz="0" w:space="0" w:color="auto"/>
            <w:right w:val="none" w:sz="0" w:space="0" w:color="auto"/>
          </w:divBdr>
        </w:div>
        <w:div w:id="2100179219">
          <w:marLeft w:val="1166"/>
          <w:marRight w:val="0"/>
          <w:marTop w:val="115"/>
          <w:marBottom w:val="0"/>
          <w:divBdr>
            <w:top w:val="none" w:sz="0" w:space="0" w:color="auto"/>
            <w:left w:val="none" w:sz="0" w:space="0" w:color="auto"/>
            <w:bottom w:val="none" w:sz="0" w:space="0" w:color="auto"/>
            <w:right w:val="none" w:sz="0" w:space="0" w:color="auto"/>
          </w:divBdr>
        </w:div>
      </w:divsChild>
    </w:div>
    <w:div w:id="145048186">
      <w:bodyDiv w:val="1"/>
      <w:marLeft w:val="0"/>
      <w:marRight w:val="0"/>
      <w:marTop w:val="0"/>
      <w:marBottom w:val="0"/>
      <w:divBdr>
        <w:top w:val="none" w:sz="0" w:space="0" w:color="auto"/>
        <w:left w:val="none" w:sz="0" w:space="0" w:color="auto"/>
        <w:bottom w:val="none" w:sz="0" w:space="0" w:color="auto"/>
        <w:right w:val="none" w:sz="0" w:space="0" w:color="auto"/>
      </w:divBdr>
    </w:div>
    <w:div w:id="145250144">
      <w:bodyDiv w:val="1"/>
      <w:marLeft w:val="0"/>
      <w:marRight w:val="0"/>
      <w:marTop w:val="0"/>
      <w:marBottom w:val="0"/>
      <w:divBdr>
        <w:top w:val="none" w:sz="0" w:space="0" w:color="auto"/>
        <w:left w:val="none" w:sz="0" w:space="0" w:color="auto"/>
        <w:bottom w:val="none" w:sz="0" w:space="0" w:color="auto"/>
        <w:right w:val="none" w:sz="0" w:space="0" w:color="auto"/>
      </w:divBdr>
      <w:divsChild>
        <w:div w:id="1480612600">
          <w:marLeft w:val="547"/>
          <w:marRight w:val="0"/>
          <w:marTop w:val="134"/>
          <w:marBottom w:val="0"/>
          <w:divBdr>
            <w:top w:val="none" w:sz="0" w:space="0" w:color="auto"/>
            <w:left w:val="none" w:sz="0" w:space="0" w:color="auto"/>
            <w:bottom w:val="none" w:sz="0" w:space="0" w:color="auto"/>
            <w:right w:val="none" w:sz="0" w:space="0" w:color="auto"/>
          </w:divBdr>
        </w:div>
      </w:divsChild>
    </w:div>
    <w:div w:id="145628874">
      <w:bodyDiv w:val="1"/>
      <w:marLeft w:val="0"/>
      <w:marRight w:val="0"/>
      <w:marTop w:val="0"/>
      <w:marBottom w:val="0"/>
      <w:divBdr>
        <w:top w:val="none" w:sz="0" w:space="0" w:color="auto"/>
        <w:left w:val="none" w:sz="0" w:space="0" w:color="auto"/>
        <w:bottom w:val="none" w:sz="0" w:space="0" w:color="auto"/>
        <w:right w:val="none" w:sz="0" w:space="0" w:color="auto"/>
      </w:divBdr>
      <w:divsChild>
        <w:div w:id="227306261">
          <w:marLeft w:val="1800"/>
          <w:marRight w:val="0"/>
          <w:marTop w:val="82"/>
          <w:marBottom w:val="0"/>
          <w:divBdr>
            <w:top w:val="none" w:sz="0" w:space="0" w:color="auto"/>
            <w:left w:val="none" w:sz="0" w:space="0" w:color="auto"/>
            <w:bottom w:val="none" w:sz="0" w:space="0" w:color="auto"/>
            <w:right w:val="none" w:sz="0" w:space="0" w:color="auto"/>
          </w:divBdr>
        </w:div>
        <w:div w:id="320815168">
          <w:marLeft w:val="1800"/>
          <w:marRight w:val="0"/>
          <w:marTop w:val="82"/>
          <w:marBottom w:val="0"/>
          <w:divBdr>
            <w:top w:val="none" w:sz="0" w:space="0" w:color="auto"/>
            <w:left w:val="none" w:sz="0" w:space="0" w:color="auto"/>
            <w:bottom w:val="none" w:sz="0" w:space="0" w:color="auto"/>
            <w:right w:val="none" w:sz="0" w:space="0" w:color="auto"/>
          </w:divBdr>
        </w:div>
        <w:div w:id="388387106">
          <w:marLeft w:val="1166"/>
          <w:marRight w:val="0"/>
          <w:marTop w:val="96"/>
          <w:marBottom w:val="0"/>
          <w:divBdr>
            <w:top w:val="none" w:sz="0" w:space="0" w:color="auto"/>
            <w:left w:val="none" w:sz="0" w:space="0" w:color="auto"/>
            <w:bottom w:val="none" w:sz="0" w:space="0" w:color="auto"/>
            <w:right w:val="none" w:sz="0" w:space="0" w:color="auto"/>
          </w:divBdr>
        </w:div>
        <w:div w:id="605578177">
          <w:marLeft w:val="1800"/>
          <w:marRight w:val="0"/>
          <w:marTop w:val="82"/>
          <w:marBottom w:val="0"/>
          <w:divBdr>
            <w:top w:val="none" w:sz="0" w:space="0" w:color="auto"/>
            <w:left w:val="none" w:sz="0" w:space="0" w:color="auto"/>
            <w:bottom w:val="none" w:sz="0" w:space="0" w:color="auto"/>
            <w:right w:val="none" w:sz="0" w:space="0" w:color="auto"/>
          </w:divBdr>
        </w:div>
        <w:div w:id="644510782">
          <w:marLeft w:val="1800"/>
          <w:marRight w:val="0"/>
          <w:marTop w:val="82"/>
          <w:marBottom w:val="0"/>
          <w:divBdr>
            <w:top w:val="none" w:sz="0" w:space="0" w:color="auto"/>
            <w:left w:val="none" w:sz="0" w:space="0" w:color="auto"/>
            <w:bottom w:val="none" w:sz="0" w:space="0" w:color="auto"/>
            <w:right w:val="none" w:sz="0" w:space="0" w:color="auto"/>
          </w:divBdr>
        </w:div>
        <w:div w:id="986125797">
          <w:marLeft w:val="1166"/>
          <w:marRight w:val="0"/>
          <w:marTop w:val="96"/>
          <w:marBottom w:val="0"/>
          <w:divBdr>
            <w:top w:val="none" w:sz="0" w:space="0" w:color="auto"/>
            <w:left w:val="none" w:sz="0" w:space="0" w:color="auto"/>
            <w:bottom w:val="none" w:sz="0" w:space="0" w:color="auto"/>
            <w:right w:val="none" w:sz="0" w:space="0" w:color="auto"/>
          </w:divBdr>
        </w:div>
        <w:div w:id="1050568093">
          <w:marLeft w:val="1800"/>
          <w:marRight w:val="0"/>
          <w:marTop w:val="82"/>
          <w:marBottom w:val="0"/>
          <w:divBdr>
            <w:top w:val="none" w:sz="0" w:space="0" w:color="auto"/>
            <w:left w:val="none" w:sz="0" w:space="0" w:color="auto"/>
            <w:bottom w:val="none" w:sz="0" w:space="0" w:color="auto"/>
            <w:right w:val="none" w:sz="0" w:space="0" w:color="auto"/>
          </w:divBdr>
        </w:div>
        <w:div w:id="1202204532">
          <w:marLeft w:val="1166"/>
          <w:marRight w:val="0"/>
          <w:marTop w:val="96"/>
          <w:marBottom w:val="0"/>
          <w:divBdr>
            <w:top w:val="none" w:sz="0" w:space="0" w:color="auto"/>
            <w:left w:val="none" w:sz="0" w:space="0" w:color="auto"/>
            <w:bottom w:val="none" w:sz="0" w:space="0" w:color="auto"/>
            <w:right w:val="none" w:sz="0" w:space="0" w:color="auto"/>
          </w:divBdr>
        </w:div>
        <w:div w:id="1357921046">
          <w:marLeft w:val="1166"/>
          <w:marRight w:val="0"/>
          <w:marTop w:val="96"/>
          <w:marBottom w:val="0"/>
          <w:divBdr>
            <w:top w:val="none" w:sz="0" w:space="0" w:color="auto"/>
            <w:left w:val="none" w:sz="0" w:space="0" w:color="auto"/>
            <w:bottom w:val="none" w:sz="0" w:space="0" w:color="auto"/>
            <w:right w:val="none" w:sz="0" w:space="0" w:color="auto"/>
          </w:divBdr>
        </w:div>
        <w:div w:id="1565987073">
          <w:marLeft w:val="547"/>
          <w:marRight w:val="0"/>
          <w:marTop w:val="106"/>
          <w:marBottom w:val="0"/>
          <w:divBdr>
            <w:top w:val="none" w:sz="0" w:space="0" w:color="auto"/>
            <w:left w:val="none" w:sz="0" w:space="0" w:color="auto"/>
            <w:bottom w:val="none" w:sz="0" w:space="0" w:color="auto"/>
            <w:right w:val="none" w:sz="0" w:space="0" w:color="auto"/>
          </w:divBdr>
        </w:div>
        <w:div w:id="1577935592">
          <w:marLeft w:val="1800"/>
          <w:marRight w:val="0"/>
          <w:marTop w:val="82"/>
          <w:marBottom w:val="0"/>
          <w:divBdr>
            <w:top w:val="none" w:sz="0" w:space="0" w:color="auto"/>
            <w:left w:val="none" w:sz="0" w:space="0" w:color="auto"/>
            <w:bottom w:val="none" w:sz="0" w:space="0" w:color="auto"/>
            <w:right w:val="none" w:sz="0" w:space="0" w:color="auto"/>
          </w:divBdr>
        </w:div>
        <w:div w:id="1613320855">
          <w:marLeft w:val="1800"/>
          <w:marRight w:val="0"/>
          <w:marTop w:val="82"/>
          <w:marBottom w:val="0"/>
          <w:divBdr>
            <w:top w:val="none" w:sz="0" w:space="0" w:color="auto"/>
            <w:left w:val="none" w:sz="0" w:space="0" w:color="auto"/>
            <w:bottom w:val="none" w:sz="0" w:space="0" w:color="auto"/>
            <w:right w:val="none" w:sz="0" w:space="0" w:color="auto"/>
          </w:divBdr>
        </w:div>
        <w:div w:id="1849978365">
          <w:marLeft w:val="1800"/>
          <w:marRight w:val="0"/>
          <w:marTop w:val="82"/>
          <w:marBottom w:val="0"/>
          <w:divBdr>
            <w:top w:val="none" w:sz="0" w:space="0" w:color="auto"/>
            <w:left w:val="none" w:sz="0" w:space="0" w:color="auto"/>
            <w:bottom w:val="none" w:sz="0" w:space="0" w:color="auto"/>
            <w:right w:val="none" w:sz="0" w:space="0" w:color="auto"/>
          </w:divBdr>
        </w:div>
        <w:div w:id="2094859788">
          <w:marLeft w:val="1800"/>
          <w:marRight w:val="0"/>
          <w:marTop w:val="82"/>
          <w:marBottom w:val="0"/>
          <w:divBdr>
            <w:top w:val="none" w:sz="0" w:space="0" w:color="auto"/>
            <w:left w:val="none" w:sz="0" w:space="0" w:color="auto"/>
            <w:bottom w:val="none" w:sz="0" w:space="0" w:color="auto"/>
            <w:right w:val="none" w:sz="0" w:space="0" w:color="auto"/>
          </w:divBdr>
        </w:div>
      </w:divsChild>
    </w:div>
    <w:div w:id="147675607">
      <w:bodyDiv w:val="1"/>
      <w:marLeft w:val="0"/>
      <w:marRight w:val="0"/>
      <w:marTop w:val="0"/>
      <w:marBottom w:val="0"/>
      <w:divBdr>
        <w:top w:val="none" w:sz="0" w:space="0" w:color="auto"/>
        <w:left w:val="none" w:sz="0" w:space="0" w:color="auto"/>
        <w:bottom w:val="none" w:sz="0" w:space="0" w:color="auto"/>
        <w:right w:val="none" w:sz="0" w:space="0" w:color="auto"/>
      </w:divBdr>
    </w:div>
    <w:div w:id="147937411">
      <w:bodyDiv w:val="1"/>
      <w:marLeft w:val="0"/>
      <w:marRight w:val="0"/>
      <w:marTop w:val="0"/>
      <w:marBottom w:val="0"/>
      <w:divBdr>
        <w:top w:val="none" w:sz="0" w:space="0" w:color="auto"/>
        <w:left w:val="none" w:sz="0" w:space="0" w:color="auto"/>
        <w:bottom w:val="none" w:sz="0" w:space="0" w:color="auto"/>
        <w:right w:val="none" w:sz="0" w:space="0" w:color="auto"/>
      </w:divBdr>
    </w:div>
    <w:div w:id="148599296">
      <w:bodyDiv w:val="1"/>
      <w:marLeft w:val="0"/>
      <w:marRight w:val="0"/>
      <w:marTop w:val="0"/>
      <w:marBottom w:val="0"/>
      <w:divBdr>
        <w:top w:val="none" w:sz="0" w:space="0" w:color="auto"/>
        <w:left w:val="none" w:sz="0" w:space="0" w:color="auto"/>
        <w:bottom w:val="none" w:sz="0" w:space="0" w:color="auto"/>
        <w:right w:val="none" w:sz="0" w:space="0" w:color="auto"/>
      </w:divBdr>
      <w:divsChild>
        <w:div w:id="1305742400">
          <w:marLeft w:val="547"/>
          <w:marRight w:val="0"/>
          <w:marTop w:val="154"/>
          <w:marBottom w:val="0"/>
          <w:divBdr>
            <w:top w:val="none" w:sz="0" w:space="0" w:color="auto"/>
            <w:left w:val="none" w:sz="0" w:space="0" w:color="auto"/>
            <w:bottom w:val="none" w:sz="0" w:space="0" w:color="auto"/>
            <w:right w:val="none" w:sz="0" w:space="0" w:color="auto"/>
          </w:divBdr>
        </w:div>
      </w:divsChild>
    </w:div>
    <w:div w:id="148795479">
      <w:bodyDiv w:val="1"/>
      <w:marLeft w:val="0"/>
      <w:marRight w:val="0"/>
      <w:marTop w:val="0"/>
      <w:marBottom w:val="0"/>
      <w:divBdr>
        <w:top w:val="none" w:sz="0" w:space="0" w:color="auto"/>
        <w:left w:val="none" w:sz="0" w:space="0" w:color="auto"/>
        <w:bottom w:val="none" w:sz="0" w:space="0" w:color="auto"/>
        <w:right w:val="none" w:sz="0" w:space="0" w:color="auto"/>
      </w:divBdr>
      <w:divsChild>
        <w:div w:id="622805953">
          <w:marLeft w:val="547"/>
          <w:marRight w:val="0"/>
          <w:marTop w:val="134"/>
          <w:marBottom w:val="0"/>
          <w:divBdr>
            <w:top w:val="none" w:sz="0" w:space="0" w:color="auto"/>
            <w:left w:val="none" w:sz="0" w:space="0" w:color="auto"/>
            <w:bottom w:val="none" w:sz="0" w:space="0" w:color="auto"/>
            <w:right w:val="none" w:sz="0" w:space="0" w:color="auto"/>
          </w:divBdr>
        </w:div>
        <w:div w:id="928272527">
          <w:marLeft w:val="547"/>
          <w:marRight w:val="0"/>
          <w:marTop w:val="134"/>
          <w:marBottom w:val="0"/>
          <w:divBdr>
            <w:top w:val="none" w:sz="0" w:space="0" w:color="auto"/>
            <w:left w:val="none" w:sz="0" w:space="0" w:color="auto"/>
            <w:bottom w:val="none" w:sz="0" w:space="0" w:color="auto"/>
            <w:right w:val="none" w:sz="0" w:space="0" w:color="auto"/>
          </w:divBdr>
        </w:div>
        <w:div w:id="1416247580">
          <w:marLeft w:val="547"/>
          <w:marRight w:val="0"/>
          <w:marTop w:val="134"/>
          <w:marBottom w:val="0"/>
          <w:divBdr>
            <w:top w:val="none" w:sz="0" w:space="0" w:color="auto"/>
            <w:left w:val="none" w:sz="0" w:space="0" w:color="auto"/>
            <w:bottom w:val="none" w:sz="0" w:space="0" w:color="auto"/>
            <w:right w:val="none" w:sz="0" w:space="0" w:color="auto"/>
          </w:divBdr>
        </w:div>
      </w:divsChild>
    </w:div>
    <w:div w:id="149254992">
      <w:bodyDiv w:val="1"/>
      <w:marLeft w:val="0"/>
      <w:marRight w:val="0"/>
      <w:marTop w:val="0"/>
      <w:marBottom w:val="0"/>
      <w:divBdr>
        <w:top w:val="none" w:sz="0" w:space="0" w:color="auto"/>
        <w:left w:val="none" w:sz="0" w:space="0" w:color="auto"/>
        <w:bottom w:val="none" w:sz="0" w:space="0" w:color="auto"/>
        <w:right w:val="none" w:sz="0" w:space="0" w:color="auto"/>
      </w:divBdr>
    </w:div>
    <w:div w:id="149714628">
      <w:bodyDiv w:val="1"/>
      <w:marLeft w:val="0"/>
      <w:marRight w:val="0"/>
      <w:marTop w:val="0"/>
      <w:marBottom w:val="0"/>
      <w:divBdr>
        <w:top w:val="none" w:sz="0" w:space="0" w:color="auto"/>
        <w:left w:val="none" w:sz="0" w:space="0" w:color="auto"/>
        <w:bottom w:val="none" w:sz="0" w:space="0" w:color="auto"/>
        <w:right w:val="none" w:sz="0" w:space="0" w:color="auto"/>
      </w:divBdr>
      <w:divsChild>
        <w:div w:id="769619984">
          <w:marLeft w:val="547"/>
          <w:marRight w:val="0"/>
          <w:marTop w:val="115"/>
          <w:marBottom w:val="0"/>
          <w:divBdr>
            <w:top w:val="none" w:sz="0" w:space="0" w:color="auto"/>
            <w:left w:val="none" w:sz="0" w:space="0" w:color="auto"/>
            <w:bottom w:val="none" w:sz="0" w:space="0" w:color="auto"/>
            <w:right w:val="none" w:sz="0" w:space="0" w:color="auto"/>
          </w:divBdr>
        </w:div>
        <w:div w:id="1209681490">
          <w:marLeft w:val="1166"/>
          <w:marRight w:val="0"/>
          <w:marTop w:val="101"/>
          <w:marBottom w:val="0"/>
          <w:divBdr>
            <w:top w:val="none" w:sz="0" w:space="0" w:color="auto"/>
            <w:left w:val="none" w:sz="0" w:space="0" w:color="auto"/>
            <w:bottom w:val="none" w:sz="0" w:space="0" w:color="auto"/>
            <w:right w:val="none" w:sz="0" w:space="0" w:color="auto"/>
          </w:divBdr>
        </w:div>
        <w:div w:id="2086874028">
          <w:marLeft w:val="1800"/>
          <w:marRight w:val="0"/>
          <w:marTop w:val="86"/>
          <w:marBottom w:val="0"/>
          <w:divBdr>
            <w:top w:val="none" w:sz="0" w:space="0" w:color="auto"/>
            <w:left w:val="none" w:sz="0" w:space="0" w:color="auto"/>
            <w:bottom w:val="none" w:sz="0" w:space="0" w:color="auto"/>
            <w:right w:val="none" w:sz="0" w:space="0" w:color="auto"/>
          </w:divBdr>
        </w:div>
        <w:div w:id="2141338521">
          <w:marLeft w:val="1800"/>
          <w:marRight w:val="0"/>
          <w:marTop w:val="86"/>
          <w:marBottom w:val="0"/>
          <w:divBdr>
            <w:top w:val="none" w:sz="0" w:space="0" w:color="auto"/>
            <w:left w:val="none" w:sz="0" w:space="0" w:color="auto"/>
            <w:bottom w:val="none" w:sz="0" w:space="0" w:color="auto"/>
            <w:right w:val="none" w:sz="0" w:space="0" w:color="auto"/>
          </w:divBdr>
        </w:div>
      </w:divsChild>
    </w:div>
    <w:div w:id="149753991">
      <w:bodyDiv w:val="1"/>
      <w:marLeft w:val="0"/>
      <w:marRight w:val="0"/>
      <w:marTop w:val="0"/>
      <w:marBottom w:val="0"/>
      <w:divBdr>
        <w:top w:val="none" w:sz="0" w:space="0" w:color="auto"/>
        <w:left w:val="none" w:sz="0" w:space="0" w:color="auto"/>
        <w:bottom w:val="none" w:sz="0" w:space="0" w:color="auto"/>
        <w:right w:val="none" w:sz="0" w:space="0" w:color="auto"/>
      </w:divBdr>
    </w:div>
    <w:div w:id="149946401">
      <w:bodyDiv w:val="1"/>
      <w:marLeft w:val="0"/>
      <w:marRight w:val="0"/>
      <w:marTop w:val="0"/>
      <w:marBottom w:val="0"/>
      <w:divBdr>
        <w:top w:val="none" w:sz="0" w:space="0" w:color="auto"/>
        <w:left w:val="none" w:sz="0" w:space="0" w:color="auto"/>
        <w:bottom w:val="none" w:sz="0" w:space="0" w:color="auto"/>
        <w:right w:val="none" w:sz="0" w:space="0" w:color="auto"/>
      </w:divBdr>
    </w:div>
    <w:div w:id="150105886">
      <w:bodyDiv w:val="1"/>
      <w:marLeft w:val="0"/>
      <w:marRight w:val="0"/>
      <w:marTop w:val="0"/>
      <w:marBottom w:val="0"/>
      <w:divBdr>
        <w:top w:val="none" w:sz="0" w:space="0" w:color="auto"/>
        <w:left w:val="none" w:sz="0" w:space="0" w:color="auto"/>
        <w:bottom w:val="none" w:sz="0" w:space="0" w:color="auto"/>
        <w:right w:val="none" w:sz="0" w:space="0" w:color="auto"/>
      </w:divBdr>
      <w:divsChild>
        <w:div w:id="318384295">
          <w:marLeft w:val="1166"/>
          <w:marRight w:val="0"/>
          <w:marTop w:val="86"/>
          <w:marBottom w:val="0"/>
          <w:divBdr>
            <w:top w:val="none" w:sz="0" w:space="0" w:color="auto"/>
            <w:left w:val="none" w:sz="0" w:space="0" w:color="auto"/>
            <w:bottom w:val="none" w:sz="0" w:space="0" w:color="auto"/>
            <w:right w:val="none" w:sz="0" w:space="0" w:color="auto"/>
          </w:divBdr>
        </w:div>
        <w:div w:id="332492289">
          <w:marLeft w:val="547"/>
          <w:marRight w:val="0"/>
          <w:marTop w:val="96"/>
          <w:marBottom w:val="0"/>
          <w:divBdr>
            <w:top w:val="none" w:sz="0" w:space="0" w:color="auto"/>
            <w:left w:val="none" w:sz="0" w:space="0" w:color="auto"/>
            <w:bottom w:val="none" w:sz="0" w:space="0" w:color="auto"/>
            <w:right w:val="none" w:sz="0" w:space="0" w:color="auto"/>
          </w:divBdr>
        </w:div>
        <w:div w:id="660037621">
          <w:marLeft w:val="1166"/>
          <w:marRight w:val="0"/>
          <w:marTop w:val="77"/>
          <w:marBottom w:val="0"/>
          <w:divBdr>
            <w:top w:val="none" w:sz="0" w:space="0" w:color="auto"/>
            <w:left w:val="none" w:sz="0" w:space="0" w:color="auto"/>
            <w:bottom w:val="none" w:sz="0" w:space="0" w:color="auto"/>
            <w:right w:val="none" w:sz="0" w:space="0" w:color="auto"/>
          </w:divBdr>
        </w:div>
        <w:div w:id="727260790">
          <w:marLeft w:val="1166"/>
          <w:marRight w:val="0"/>
          <w:marTop w:val="77"/>
          <w:marBottom w:val="0"/>
          <w:divBdr>
            <w:top w:val="none" w:sz="0" w:space="0" w:color="auto"/>
            <w:left w:val="none" w:sz="0" w:space="0" w:color="auto"/>
            <w:bottom w:val="none" w:sz="0" w:space="0" w:color="auto"/>
            <w:right w:val="none" w:sz="0" w:space="0" w:color="auto"/>
          </w:divBdr>
        </w:div>
        <w:div w:id="748773978">
          <w:marLeft w:val="547"/>
          <w:marRight w:val="0"/>
          <w:marTop w:val="96"/>
          <w:marBottom w:val="0"/>
          <w:divBdr>
            <w:top w:val="none" w:sz="0" w:space="0" w:color="auto"/>
            <w:left w:val="none" w:sz="0" w:space="0" w:color="auto"/>
            <w:bottom w:val="none" w:sz="0" w:space="0" w:color="auto"/>
            <w:right w:val="none" w:sz="0" w:space="0" w:color="auto"/>
          </w:divBdr>
        </w:div>
        <w:div w:id="897786704">
          <w:marLeft w:val="547"/>
          <w:marRight w:val="0"/>
          <w:marTop w:val="96"/>
          <w:marBottom w:val="0"/>
          <w:divBdr>
            <w:top w:val="none" w:sz="0" w:space="0" w:color="auto"/>
            <w:left w:val="none" w:sz="0" w:space="0" w:color="auto"/>
            <w:bottom w:val="none" w:sz="0" w:space="0" w:color="auto"/>
            <w:right w:val="none" w:sz="0" w:space="0" w:color="auto"/>
          </w:divBdr>
        </w:div>
        <w:div w:id="1589726605">
          <w:marLeft w:val="1166"/>
          <w:marRight w:val="0"/>
          <w:marTop w:val="86"/>
          <w:marBottom w:val="0"/>
          <w:divBdr>
            <w:top w:val="none" w:sz="0" w:space="0" w:color="auto"/>
            <w:left w:val="none" w:sz="0" w:space="0" w:color="auto"/>
            <w:bottom w:val="none" w:sz="0" w:space="0" w:color="auto"/>
            <w:right w:val="none" w:sz="0" w:space="0" w:color="auto"/>
          </w:divBdr>
        </w:div>
        <w:div w:id="1890720753">
          <w:marLeft w:val="1166"/>
          <w:marRight w:val="0"/>
          <w:marTop w:val="77"/>
          <w:marBottom w:val="0"/>
          <w:divBdr>
            <w:top w:val="none" w:sz="0" w:space="0" w:color="auto"/>
            <w:left w:val="none" w:sz="0" w:space="0" w:color="auto"/>
            <w:bottom w:val="none" w:sz="0" w:space="0" w:color="auto"/>
            <w:right w:val="none" w:sz="0" w:space="0" w:color="auto"/>
          </w:divBdr>
        </w:div>
      </w:divsChild>
    </w:div>
    <w:div w:id="150760741">
      <w:bodyDiv w:val="1"/>
      <w:marLeft w:val="0"/>
      <w:marRight w:val="0"/>
      <w:marTop w:val="0"/>
      <w:marBottom w:val="0"/>
      <w:divBdr>
        <w:top w:val="none" w:sz="0" w:space="0" w:color="auto"/>
        <w:left w:val="none" w:sz="0" w:space="0" w:color="auto"/>
        <w:bottom w:val="none" w:sz="0" w:space="0" w:color="auto"/>
        <w:right w:val="none" w:sz="0" w:space="0" w:color="auto"/>
      </w:divBdr>
    </w:div>
    <w:div w:id="151600347">
      <w:bodyDiv w:val="1"/>
      <w:marLeft w:val="0"/>
      <w:marRight w:val="0"/>
      <w:marTop w:val="0"/>
      <w:marBottom w:val="0"/>
      <w:divBdr>
        <w:top w:val="none" w:sz="0" w:space="0" w:color="auto"/>
        <w:left w:val="none" w:sz="0" w:space="0" w:color="auto"/>
        <w:bottom w:val="none" w:sz="0" w:space="0" w:color="auto"/>
        <w:right w:val="none" w:sz="0" w:space="0" w:color="auto"/>
      </w:divBdr>
    </w:div>
    <w:div w:id="151604392">
      <w:bodyDiv w:val="1"/>
      <w:marLeft w:val="0"/>
      <w:marRight w:val="0"/>
      <w:marTop w:val="0"/>
      <w:marBottom w:val="0"/>
      <w:divBdr>
        <w:top w:val="none" w:sz="0" w:space="0" w:color="auto"/>
        <w:left w:val="none" w:sz="0" w:space="0" w:color="auto"/>
        <w:bottom w:val="none" w:sz="0" w:space="0" w:color="auto"/>
        <w:right w:val="none" w:sz="0" w:space="0" w:color="auto"/>
      </w:divBdr>
    </w:div>
    <w:div w:id="152381210">
      <w:bodyDiv w:val="1"/>
      <w:marLeft w:val="0"/>
      <w:marRight w:val="0"/>
      <w:marTop w:val="0"/>
      <w:marBottom w:val="0"/>
      <w:divBdr>
        <w:top w:val="none" w:sz="0" w:space="0" w:color="auto"/>
        <w:left w:val="none" w:sz="0" w:space="0" w:color="auto"/>
        <w:bottom w:val="none" w:sz="0" w:space="0" w:color="auto"/>
        <w:right w:val="none" w:sz="0" w:space="0" w:color="auto"/>
      </w:divBdr>
      <w:divsChild>
        <w:div w:id="79524598">
          <w:marLeft w:val="547"/>
          <w:marRight w:val="0"/>
          <w:marTop w:val="144"/>
          <w:marBottom w:val="0"/>
          <w:divBdr>
            <w:top w:val="none" w:sz="0" w:space="0" w:color="auto"/>
            <w:left w:val="none" w:sz="0" w:space="0" w:color="auto"/>
            <w:bottom w:val="none" w:sz="0" w:space="0" w:color="auto"/>
            <w:right w:val="none" w:sz="0" w:space="0" w:color="auto"/>
          </w:divBdr>
        </w:div>
        <w:div w:id="366418153">
          <w:marLeft w:val="547"/>
          <w:marRight w:val="0"/>
          <w:marTop w:val="144"/>
          <w:marBottom w:val="0"/>
          <w:divBdr>
            <w:top w:val="none" w:sz="0" w:space="0" w:color="auto"/>
            <w:left w:val="none" w:sz="0" w:space="0" w:color="auto"/>
            <w:bottom w:val="none" w:sz="0" w:space="0" w:color="auto"/>
            <w:right w:val="none" w:sz="0" w:space="0" w:color="auto"/>
          </w:divBdr>
        </w:div>
        <w:div w:id="423108448">
          <w:marLeft w:val="1166"/>
          <w:marRight w:val="0"/>
          <w:marTop w:val="125"/>
          <w:marBottom w:val="0"/>
          <w:divBdr>
            <w:top w:val="none" w:sz="0" w:space="0" w:color="auto"/>
            <w:left w:val="none" w:sz="0" w:space="0" w:color="auto"/>
            <w:bottom w:val="none" w:sz="0" w:space="0" w:color="auto"/>
            <w:right w:val="none" w:sz="0" w:space="0" w:color="auto"/>
          </w:divBdr>
        </w:div>
        <w:div w:id="675112095">
          <w:marLeft w:val="1166"/>
          <w:marRight w:val="0"/>
          <w:marTop w:val="125"/>
          <w:marBottom w:val="0"/>
          <w:divBdr>
            <w:top w:val="none" w:sz="0" w:space="0" w:color="auto"/>
            <w:left w:val="none" w:sz="0" w:space="0" w:color="auto"/>
            <w:bottom w:val="none" w:sz="0" w:space="0" w:color="auto"/>
            <w:right w:val="none" w:sz="0" w:space="0" w:color="auto"/>
          </w:divBdr>
        </w:div>
        <w:div w:id="1407533281">
          <w:marLeft w:val="547"/>
          <w:marRight w:val="0"/>
          <w:marTop w:val="144"/>
          <w:marBottom w:val="0"/>
          <w:divBdr>
            <w:top w:val="none" w:sz="0" w:space="0" w:color="auto"/>
            <w:left w:val="none" w:sz="0" w:space="0" w:color="auto"/>
            <w:bottom w:val="none" w:sz="0" w:space="0" w:color="auto"/>
            <w:right w:val="none" w:sz="0" w:space="0" w:color="auto"/>
          </w:divBdr>
        </w:div>
      </w:divsChild>
    </w:div>
    <w:div w:id="153648230">
      <w:bodyDiv w:val="1"/>
      <w:marLeft w:val="0"/>
      <w:marRight w:val="0"/>
      <w:marTop w:val="0"/>
      <w:marBottom w:val="0"/>
      <w:divBdr>
        <w:top w:val="none" w:sz="0" w:space="0" w:color="auto"/>
        <w:left w:val="none" w:sz="0" w:space="0" w:color="auto"/>
        <w:bottom w:val="none" w:sz="0" w:space="0" w:color="auto"/>
        <w:right w:val="none" w:sz="0" w:space="0" w:color="auto"/>
      </w:divBdr>
      <w:divsChild>
        <w:div w:id="514881638">
          <w:marLeft w:val="547"/>
          <w:marRight w:val="0"/>
          <w:marTop w:val="115"/>
          <w:marBottom w:val="0"/>
          <w:divBdr>
            <w:top w:val="none" w:sz="0" w:space="0" w:color="auto"/>
            <w:left w:val="none" w:sz="0" w:space="0" w:color="auto"/>
            <w:bottom w:val="none" w:sz="0" w:space="0" w:color="auto"/>
            <w:right w:val="none" w:sz="0" w:space="0" w:color="auto"/>
          </w:divBdr>
        </w:div>
        <w:div w:id="521821447">
          <w:marLeft w:val="1166"/>
          <w:marRight w:val="0"/>
          <w:marTop w:val="96"/>
          <w:marBottom w:val="0"/>
          <w:divBdr>
            <w:top w:val="none" w:sz="0" w:space="0" w:color="auto"/>
            <w:left w:val="none" w:sz="0" w:space="0" w:color="auto"/>
            <w:bottom w:val="none" w:sz="0" w:space="0" w:color="auto"/>
            <w:right w:val="none" w:sz="0" w:space="0" w:color="auto"/>
          </w:divBdr>
        </w:div>
      </w:divsChild>
    </w:div>
    <w:div w:id="153953231">
      <w:bodyDiv w:val="1"/>
      <w:marLeft w:val="0"/>
      <w:marRight w:val="0"/>
      <w:marTop w:val="0"/>
      <w:marBottom w:val="0"/>
      <w:divBdr>
        <w:top w:val="none" w:sz="0" w:space="0" w:color="auto"/>
        <w:left w:val="none" w:sz="0" w:space="0" w:color="auto"/>
        <w:bottom w:val="none" w:sz="0" w:space="0" w:color="auto"/>
        <w:right w:val="none" w:sz="0" w:space="0" w:color="auto"/>
      </w:divBdr>
    </w:div>
    <w:div w:id="154224340">
      <w:bodyDiv w:val="1"/>
      <w:marLeft w:val="0"/>
      <w:marRight w:val="0"/>
      <w:marTop w:val="0"/>
      <w:marBottom w:val="0"/>
      <w:divBdr>
        <w:top w:val="none" w:sz="0" w:space="0" w:color="auto"/>
        <w:left w:val="none" w:sz="0" w:space="0" w:color="auto"/>
        <w:bottom w:val="none" w:sz="0" w:space="0" w:color="auto"/>
        <w:right w:val="none" w:sz="0" w:space="0" w:color="auto"/>
      </w:divBdr>
    </w:div>
    <w:div w:id="154535032">
      <w:bodyDiv w:val="1"/>
      <w:marLeft w:val="0"/>
      <w:marRight w:val="0"/>
      <w:marTop w:val="0"/>
      <w:marBottom w:val="0"/>
      <w:divBdr>
        <w:top w:val="none" w:sz="0" w:space="0" w:color="auto"/>
        <w:left w:val="none" w:sz="0" w:space="0" w:color="auto"/>
        <w:bottom w:val="none" w:sz="0" w:space="0" w:color="auto"/>
        <w:right w:val="none" w:sz="0" w:space="0" w:color="auto"/>
      </w:divBdr>
      <w:divsChild>
        <w:div w:id="359624682">
          <w:marLeft w:val="547"/>
          <w:marRight w:val="0"/>
          <w:marTop w:val="134"/>
          <w:marBottom w:val="0"/>
          <w:divBdr>
            <w:top w:val="none" w:sz="0" w:space="0" w:color="auto"/>
            <w:left w:val="none" w:sz="0" w:space="0" w:color="auto"/>
            <w:bottom w:val="none" w:sz="0" w:space="0" w:color="auto"/>
            <w:right w:val="none" w:sz="0" w:space="0" w:color="auto"/>
          </w:divBdr>
        </w:div>
        <w:div w:id="579750247">
          <w:marLeft w:val="1166"/>
          <w:marRight w:val="0"/>
          <w:marTop w:val="115"/>
          <w:marBottom w:val="0"/>
          <w:divBdr>
            <w:top w:val="none" w:sz="0" w:space="0" w:color="auto"/>
            <w:left w:val="none" w:sz="0" w:space="0" w:color="auto"/>
            <w:bottom w:val="none" w:sz="0" w:space="0" w:color="auto"/>
            <w:right w:val="none" w:sz="0" w:space="0" w:color="auto"/>
          </w:divBdr>
        </w:div>
        <w:div w:id="1436973401">
          <w:marLeft w:val="1800"/>
          <w:marRight w:val="0"/>
          <w:marTop w:val="96"/>
          <w:marBottom w:val="0"/>
          <w:divBdr>
            <w:top w:val="none" w:sz="0" w:space="0" w:color="auto"/>
            <w:left w:val="none" w:sz="0" w:space="0" w:color="auto"/>
            <w:bottom w:val="none" w:sz="0" w:space="0" w:color="auto"/>
            <w:right w:val="none" w:sz="0" w:space="0" w:color="auto"/>
          </w:divBdr>
        </w:div>
      </w:divsChild>
    </w:div>
    <w:div w:id="154536209">
      <w:bodyDiv w:val="1"/>
      <w:marLeft w:val="0"/>
      <w:marRight w:val="0"/>
      <w:marTop w:val="0"/>
      <w:marBottom w:val="0"/>
      <w:divBdr>
        <w:top w:val="none" w:sz="0" w:space="0" w:color="auto"/>
        <w:left w:val="none" w:sz="0" w:space="0" w:color="auto"/>
        <w:bottom w:val="none" w:sz="0" w:space="0" w:color="auto"/>
        <w:right w:val="none" w:sz="0" w:space="0" w:color="auto"/>
      </w:divBdr>
    </w:div>
    <w:div w:id="154809045">
      <w:bodyDiv w:val="1"/>
      <w:marLeft w:val="0"/>
      <w:marRight w:val="0"/>
      <w:marTop w:val="0"/>
      <w:marBottom w:val="0"/>
      <w:divBdr>
        <w:top w:val="none" w:sz="0" w:space="0" w:color="auto"/>
        <w:left w:val="none" w:sz="0" w:space="0" w:color="auto"/>
        <w:bottom w:val="none" w:sz="0" w:space="0" w:color="auto"/>
        <w:right w:val="none" w:sz="0" w:space="0" w:color="auto"/>
      </w:divBdr>
    </w:div>
    <w:div w:id="156582256">
      <w:bodyDiv w:val="1"/>
      <w:marLeft w:val="0"/>
      <w:marRight w:val="0"/>
      <w:marTop w:val="0"/>
      <w:marBottom w:val="0"/>
      <w:divBdr>
        <w:top w:val="none" w:sz="0" w:space="0" w:color="auto"/>
        <w:left w:val="none" w:sz="0" w:space="0" w:color="auto"/>
        <w:bottom w:val="none" w:sz="0" w:space="0" w:color="auto"/>
        <w:right w:val="none" w:sz="0" w:space="0" w:color="auto"/>
      </w:divBdr>
      <w:divsChild>
        <w:div w:id="650794547">
          <w:marLeft w:val="1440"/>
          <w:marRight w:val="0"/>
          <w:marTop w:val="120"/>
          <w:marBottom w:val="120"/>
          <w:divBdr>
            <w:top w:val="none" w:sz="0" w:space="0" w:color="auto"/>
            <w:left w:val="none" w:sz="0" w:space="0" w:color="auto"/>
            <w:bottom w:val="none" w:sz="0" w:space="0" w:color="auto"/>
            <w:right w:val="none" w:sz="0" w:space="0" w:color="auto"/>
          </w:divBdr>
        </w:div>
        <w:div w:id="1275210837">
          <w:marLeft w:val="720"/>
          <w:marRight w:val="0"/>
          <w:marTop w:val="120"/>
          <w:marBottom w:val="120"/>
          <w:divBdr>
            <w:top w:val="none" w:sz="0" w:space="0" w:color="auto"/>
            <w:left w:val="none" w:sz="0" w:space="0" w:color="auto"/>
            <w:bottom w:val="none" w:sz="0" w:space="0" w:color="auto"/>
            <w:right w:val="none" w:sz="0" w:space="0" w:color="auto"/>
          </w:divBdr>
        </w:div>
      </w:divsChild>
    </w:div>
    <w:div w:id="159122275">
      <w:bodyDiv w:val="1"/>
      <w:marLeft w:val="0"/>
      <w:marRight w:val="0"/>
      <w:marTop w:val="0"/>
      <w:marBottom w:val="0"/>
      <w:divBdr>
        <w:top w:val="none" w:sz="0" w:space="0" w:color="auto"/>
        <w:left w:val="none" w:sz="0" w:space="0" w:color="auto"/>
        <w:bottom w:val="none" w:sz="0" w:space="0" w:color="auto"/>
        <w:right w:val="none" w:sz="0" w:space="0" w:color="auto"/>
      </w:divBdr>
    </w:div>
    <w:div w:id="159738332">
      <w:bodyDiv w:val="1"/>
      <w:marLeft w:val="0"/>
      <w:marRight w:val="0"/>
      <w:marTop w:val="0"/>
      <w:marBottom w:val="0"/>
      <w:divBdr>
        <w:top w:val="none" w:sz="0" w:space="0" w:color="auto"/>
        <w:left w:val="none" w:sz="0" w:space="0" w:color="auto"/>
        <w:bottom w:val="none" w:sz="0" w:space="0" w:color="auto"/>
        <w:right w:val="none" w:sz="0" w:space="0" w:color="auto"/>
      </w:divBdr>
    </w:div>
    <w:div w:id="160894478">
      <w:bodyDiv w:val="1"/>
      <w:marLeft w:val="0"/>
      <w:marRight w:val="0"/>
      <w:marTop w:val="0"/>
      <w:marBottom w:val="0"/>
      <w:divBdr>
        <w:top w:val="none" w:sz="0" w:space="0" w:color="auto"/>
        <w:left w:val="none" w:sz="0" w:space="0" w:color="auto"/>
        <w:bottom w:val="none" w:sz="0" w:space="0" w:color="auto"/>
        <w:right w:val="none" w:sz="0" w:space="0" w:color="auto"/>
      </w:divBdr>
      <w:divsChild>
        <w:div w:id="439764273">
          <w:marLeft w:val="547"/>
          <w:marRight w:val="0"/>
          <w:marTop w:val="130"/>
          <w:marBottom w:val="0"/>
          <w:divBdr>
            <w:top w:val="none" w:sz="0" w:space="0" w:color="auto"/>
            <w:left w:val="none" w:sz="0" w:space="0" w:color="auto"/>
            <w:bottom w:val="none" w:sz="0" w:space="0" w:color="auto"/>
            <w:right w:val="none" w:sz="0" w:space="0" w:color="auto"/>
          </w:divBdr>
        </w:div>
        <w:div w:id="1198156157">
          <w:marLeft w:val="547"/>
          <w:marRight w:val="0"/>
          <w:marTop w:val="130"/>
          <w:marBottom w:val="0"/>
          <w:divBdr>
            <w:top w:val="none" w:sz="0" w:space="0" w:color="auto"/>
            <w:left w:val="none" w:sz="0" w:space="0" w:color="auto"/>
            <w:bottom w:val="none" w:sz="0" w:space="0" w:color="auto"/>
            <w:right w:val="none" w:sz="0" w:space="0" w:color="auto"/>
          </w:divBdr>
        </w:div>
        <w:div w:id="1534225437">
          <w:marLeft w:val="1800"/>
          <w:marRight w:val="0"/>
          <w:marTop w:val="96"/>
          <w:marBottom w:val="0"/>
          <w:divBdr>
            <w:top w:val="none" w:sz="0" w:space="0" w:color="auto"/>
            <w:left w:val="none" w:sz="0" w:space="0" w:color="auto"/>
            <w:bottom w:val="none" w:sz="0" w:space="0" w:color="auto"/>
            <w:right w:val="none" w:sz="0" w:space="0" w:color="auto"/>
          </w:divBdr>
        </w:div>
        <w:div w:id="1672370684">
          <w:marLeft w:val="1800"/>
          <w:marRight w:val="0"/>
          <w:marTop w:val="96"/>
          <w:marBottom w:val="0"/>
          <w:divBdr>
            <w:top w:val="none" w:sz="0" w:space="0" w:color="auto"/>
            <w:left w:val="none" w:sz="0" w:space="0" w:color="auto"/>
            <w:bottom w:val="none" w:sz="0" w:space="0" w:color="auto"/>
            <w:right w:val="none" w:sz="0" w:space="0" w:color="auto"/>
          </w:divBdr>
        </w:div>
        <w:div w:id="1923442358">
          <w:marLeft w:val="1166"/>
          <w:marRight w:val="0"/>
          <w:marTop w:val="115"/>
          <w:marBottom w:val="0"/>
          <w:divBdr>
            <w:top w:val="none" w:sz="0" w:space="0" w:color="auto"/>
            <w:left w:val="none" w:sz="0" w:space="0" w:color="auto"/>
            <w:bottom w:val="none" w:sz="0" w:space="0" w:color="auto"/>
            <w:right w:val="none" w:sz="0" w:space="0" w:color="auto"/>
          </w:divBdr>
        </w:div>
        <w:div w:id="1935672382">
          <w:marLeft w:val="1166"/>
          <w:marRight w:val="0"/>
          <w:marTop w:val="115"/>
          <w:marBottom w:val="0"/>
          <w:divBdr>
            <w:top w:val="none" w:sz="0" w:space="0" w:color="auto"/>
            <w:left w:val="none" w:sz="0" w:space="0" w:color="auto"/>
            <w:bottom w:val="none" w:sz="0" w:space="0" w:color="auto"/>
            <w:right w:val="none" w:sz="0" w:space="0" w:color="auto"/>
          </w:divBdr>
        </w:div>
      </w:divsChild>
    </w:div>
    <w:div w:id="161163902">
      <w:bodyDiv w:val="1"/>
      <w:marLeft w:val="0"/>
      <w:marRight w:val="0"/>
      <w:marTop w:val="0"/>
      <w:marBottom w:val="0"/>
      <w:divBdr>
        <w:top w:val="none" w:sz="0" w:space="0" w:color="auto"/>
        <w:left w:val="none" w:sz="0" w:space="0" w:color="auto"/>
        <w:bottom w:val="none" w:sz="0" w:space="0" w:color="auto"/>
        <w:right w:val="none" w:sz="0" w:space="0" w:color="auto"/>
      </w:divBdr>
      <w:divsChild>
        <w:div w:id="200480906">
          <w:marLeft w:val="1800"/>
          <w:marRight w:val="0"/>
          <w:marTop w:val="120"/>
          <w:marBottom w:val="60"/>
          <w:divBdr>
            <w:top w:val="none" w:sz="0" w:space="0" w:color="auto"/>
            <w:left w:val="none" w:sz="0" w:space="0" w:color="auto"/>
            <w:bottom w:val="none" w:sz="0" w:space="0" w:color="auto"/>
            <w:right w:val="none" w:sz="0" w:space="0" w:color="auto"/>
          </w:divBdr>
        </w:div>
        <w:div w:id="263921507">
          <w:marLeft w:val="1166"/>
          <w:marRight w:val="0"/>
          <w:marTop w:val="120"/>
          <w:marBottom w:val="60"/>
          <w:divBdr>
            <w:top w:val="none" w:sz="0" w:space="0" w:color="auto"/>
            <w:left w:val="none" w:sz="0" w:space="0" w:color="auto"/>
            <w:bottom w:val="none" w:sz="0" w:space="0" w:color="auto"/>
            <w:right w:val="none" w:sz="0" w:space="0" w:color="auto"/>
          </w:divBdr>
        </w:div>
        <w:div w:id="362676315">
          <w:marLeft w:val="547"/>
          <w:marRight w:val="0"/>
          <w:marTop w:val="120"/>
          <w:marBottom w:val="60"/>
          <w:divBdr>
            <w:top w:val="none" w:sz="0" w:space="0" w:color="auto"/>
            <w:left w:val="none" w:sz="0" w:space="0" w:color="auto"/>
            <w:bottom w:val="none" w:sz="0" w:space="0" w:color="auto"/>
            <w:right w:val="none" w:sz="0" w:space="0" w:color="auto"/>
          </w:divBdr>
        </w:div>
        <w:div w:id="1095785205">
          <w:marLeft w:val="1800"/>
          <w:marRight w:val="0"/>
          <w:marTop w:val="120"/>
          <w:marBottom w:val="60"/>
          <w:divBdr>
            <w:top w:val="none" w:sz="0" w:space="0" w:color="auto"/>
            <w:left w:val="none" w:sz="0" w:space="0" w:color="auto"/>
            <w:bottom w:val="none" w:sz="0" w:space="0" w:color="auto"/>
            <w:right w:val="none" w:sz="0" w:space="0" w:color="auto"/>
          </w:divBdr>
        </w:div>
        <w:div w:id="1172985395">
          <w:marLeft w:val="1800"/>
          <w:marRight w:val="0"/>
          <w:marTop w:val="120"/>
          <w:marBottom w:val="60"/>
          <w:divBdr>
            <w:top w:val="none" w:sz="0" w:space="0" w:color="auto"/>
            <w:left w:val="none" w:sz="0" w:space="0" w:color="auto"/>
            <w:bottom w:val="none" w:sz="0" w:space="0" w:color="auto"/>
            <w:right w:val="none" w:sz="0" w:space="0" w:color="auto"/>
          </w:divBdr>
        </w:div>
      </w:divsChild>
    </w:div>
    <w:div w:id="161506935">
      <w:bodyDiv w:val="1"/>
      <w:marLeft w:val="0"/>
      <w:marRight w:val="0"/>
      <w:marTop w:val="0"/>
      <w:marBottom w:val="0"/>
      <w:divBdr>
        <w:top w:val="none" w:sz="0" w:space="0" w:color="auto"/>
        <w:left w:val="none" w:sz="0" w:space="0" w:color="auto"/>
        <w:bottom w:val="none" w:sz="0" w:space="0" w:color="auto"/>
        <w:right w:val="none" w:sz="0" w:space="0" w:color="auto"/>
      </w:divBdr>
    </w:div>
    <w:div w:id="161623430">
      <w:bodyDiv w:val="1"/>
      <w:marLeft w:val="0"/>
      <w:marRight w:val="0"/>
      <w:marTop w:val="0"/>
      <w:marBottom w:val="0"/>
      <w:divBdr>
        <w:top w:val="none" w:sz="0" w:space="0" w:color="auto"/>
        <w:left w:val="none" w:sz="0" w:space="0" w:color="auto"/>
        <w:bottom w:val="none" w:sz="0" w:space="0" w:color="auto"/>
        <w:right w:val="none" w:sz="0" w:space="0" w:color="auto"/>
      </w:divBdr>
    </w:div>
    <w:div w:id="161824541">
      <w:bodyDiv w:val="1"/>
      <w:marLeft w:val="0"/>
      <w:marRight w:val="0"/>
      <w:marTop w:val="0"/>
      <w:marBottom w:val="0"/>
      <w:divBdr>
        <w:top w:val="none" w:sz="0" w:space="0" w:color="auto"/>
        <w:left w:val="none" w:sz="0" w:space="0" w:color="auto"/>
        <w:bottom w:val="none" w:sz="0" w:space="0" w:color="auto"/>
        <w:right w:val="none" w:sz="0" w:space="0" w:color="auto"/>
      </w:divBdr>
    </w:div>
    <w:div w:id="162399057">
      <w:bodyDiv w:val="1"/>
      <w:marLeft w:val="0"/>
      <w:marRight w:val="0"/>
      <w:marTop w:val="0"/>
      <w:marBottom w:val="0"/>
      <w:divBdr>
        <w:top w:val="none" w:sz="0" w:space="0" w:color="auto"/>
        <w:left w:val="none" w:sz="0" w:space="0" w:color="auto"/>
        <w:bottom w:val="none" w:sz="0" w:space="0" w:color="auto"/>
        <w:right w:val="none" w:sz="0" w:space="0" w:color="auto"/>
      </w:divBdr>
    </w:div>
    <w:div w:id="162666859">
      <w:bodyDiv w:val="1"/>
      <w:marLeft w:val="0"/>
      <w:marRight w:val="0"/>
      <w:marTop w:val="0"/>
      <w:marBottom w:val="0"/>
      <w:divBdr>
        <w:top w:val="none" w:sz="0" w:space="0" w:color="auto"/>
        <w:left w:val="none" w:sz="0" w:space="0" w:color="auto"/>
        <w:bottom w:val="none" w:sz="0" w:space="0" w:color="auto"/>
        <w:right w:val="none" w:sz="0" w:space="0" w:color="auto"/>
      </w:divBdr>
      <w:divsChild>
        <w:div w:id="396782751">
          <w:marLeft w:val="547"/>
          <w:marRight w:val="0"/>
          <w:marTop w:val="154"/>
          <w:marBottom w:val="0"/>
          <w:divBdr>
            <w:top w:val="none" w:sz="0" w:space="0" w:color="auto"/>
            <w:left w:val="none" w:sz="0" w:space="0" w:color="auto"/>
            <w:bottom w:val="none" w:sz="0" w:space="0" w:color="auto"/>
            <w:right w:val="none" w:sz="0" w:space="0" w:color="auto"/>
          </w:divBdr>
        </w:div>
        <w:div w:id="1295255478">
          <w:marLeft w:val="547"/>
          <w:marRight w:val="0"/>
          <w:marTop w:val="154"/>
          <w:marBottom w:val="0"/>
          <w:divBdr>
            <w:top w:val="none" w:sz="0" w:space="0" w:color="auto"/>
            <w:left w:val="none" w:sz="0" w:space="0" w:color="auto"/>
            <w:bottom w:val="none" w:sz="0" w:space="0" w:color="auto"/>
            <w:right w:val="none" w:sz="0" w:space="0" w:color="auto"/>
          </w:divBdr>
        </w:div>
        <w:div w:id="1439980941">
          <w:marLeft w:val="1166"/>
          <w:marRight w:val="0"/>
          <w:marTop w:val="134"/>
          <w:marBottom w:val="0"/>
          <w:divBdr>
            <w:top w:val="none" w:sz="0" w:space="0" w:color="auto"/>
            <w:left w:val="none" w:sz="0" w:space="0" w:color="auto"/>
            <w:bottom w:val="none" w:sz="0" w:space="0" w:color="auto"/>
            <w:right w:val="none" w:sz="0" w:space="0" w:color="auto"/>
          </w:divBdr>
        </w:div>
        <w:div w:id="1513228026">
          <w:marLeft w:val="1166"/>
          <w:marRight w:val="0"/>
          <w:marTop w:val="134"/>
          <w:marBottom w:val="0"/>
          <w:divBdr>
            <w:top w:val="none" w:sz="0" w:space="0" w:color="auto"/>
            <w:left w:val="none" w:sz="0" w:space="0" w:color="auto"/>
            <w:bottom w:val="none" w:sz="0" w:space="0" w:color="auto"/>
            <w:right w:val="none" w:sz="0" w:space="0" w:color="auto"/>
          </w:divBdr>
        </w:div>
      </w:divsChild>
    </w:div>
    <w:div w:id="162669742">
      <w:bodyDiv w:val="1"/>
      <w:marLeft w:val="0"/>
      <w:marRight w:val="0"/>
      <w:marTop w:val="0"/>
      <w:marBottom w:val="0"/>
      <w:divBdr>
        <w:top w:val="none" w:sz="0" w:space="0" w:color="auto"/>
        <w:left w:val="none" w:sz="0" w:space="0" w:color="auto"/>
        <w:bottom w:val="none" w:sz="0" w:space="0" w:color="auto"/>
        <w:right w:val="none" w:sz="0" w:space="0" w:color="auto"/>
      </w:divBdr>
    </w:div>
    <w:div w:id="163788807">
      <w:bodyDiv w:val="1"/>
      <w:marLeft w:val="0"/>
      <w:marRight w:val="0"/>
      <w:marTop w:val="0"/>
      <w:marBottom w:val="0"/>
      <w:divBdr>
        <w:top w:val="none" w:sz="0" w:space="0" w:color="auto"/>
        <w:left w:val="none" w:sz="0" w:space="0" w:color="auto"/>
        <w:bottom w:val="none" w:sz="0" w:space="0" w:color="auto"/>
        <w:right w:val="none" w:sz="0" w:space="0" w:color="auto"/>
      </w:divBdr>
    </w:div>
    <w:div w:id="165437989">
      <w:bodyDiv w:val="1"/>
      <w:marLeft w:val="0"/>
      <w:marRight w:val="0"/>
      <w:marTop w:val="0"/>
      <w:marBottom w:val="0"/>
      <w:divBdr>
        <w:top w:val="none" w:sz="0" w:space="0" w:color="auto"/>
        <w:left w:val="none" w:sz="0" w:space="0" w:color="auto"/>
        <w:bottom w:val="none" w:sz="0" w:space="0" w:color="auto"/>
        <w:right w:val="none" w:sz="0" w:space="0" w:color="auto"/>
      </w:divBdr>
    </w:div>
    <w:div w:id="165636983">
      <w:bodyDiv w:val="1"/>
      <w:marLeft w:val="0"/>
      <w:marRight w:val="0"/>
      <w:marTop w:val="0"/>
      <w:marBottom w:val="0"/>
      <w:divBdr>
        <w:top w:val="none" w:sz="0" w:space="0" w:color="auto"/>
        <w:left w:val="none" w:sz="0" w:space="0" w:color="auto"/>
        <w:bottom w:val="none" w:sz="0" w:space="0" w:color="auto"/>
        <w:right w:val="none" w:sz="0" w:space="0" w:color="auto"/>
      </w:divBdr>
      <w:divsChild>
        <w:div w:id="1409614495">
          <w:marLeft w:val="0"/>
          <w:marRight w:val="0"/>
          <w:marTop w:val="0"/>
          <w:marBottom w:val="0"/>
          <w:divBdr>
            <w:top w:val="none" w:sz="0" w:space="0" w:color="auto"/>
            <w:left w:val="none" w:sz="0" w:space="0" w:color="auto"/>
            <w:bottom w:val="none" w:sz="0" w:space="0" w:color="auto"/>
            <w:right w:val="none" w:sz="0" w:space="0" w:color="auto"/>
          </w:divBdr>
          <w:divsChild>
            <w:div w:id="233129169">
              <w:marLeft w:val="0"/>
              <w:marRight w:val="0"/>
              <w:marTop w:val="0"/>
              <w:marBottom w:val="0"/>
              <w:divBdr>
                <w:top w:val="none" w:sz="0" w:space="0" w:color="auto"/>
                <w:left w:val="none" w:sz="0" w:space="0" w:color="auto"/>
                <w:bottom w:val="none" w:sz="0" w:space="0" w:color="auto"/>
                <w:right w:val="none" w:sz="0" w:space="0" w:color="auto"/>
              </w:divBdr>
            </w:div>
            <w:div w:id="312873057">
              <w:marLeft w:val="0"/>
              <w:marRight w:val="0"/>
              <w:marTop w:val="0"/>
              <w:marBottom w:val="0"/>
              <w:divBdr>
                <w:top w:val="none" w:sz="0" w:space="0" w:color="auto"/>
                <w:left w:val="none" w:sz="0" w:space="0" w:color="auto"/>
                <w:bottom w:val="none" w:sz="0" w:space="0" w:color="auto"/>
                <w:right w:val="none" w:sz="0" w:space="0" w:color="auto"/>
              </w:divBdr>
            </w:div>
            <w:div w:id="1551383460">
              <w:marLeft w:val="0"/>
              <w:marRight w:val="0"/>
              <w:marTop w:val="0"/>
              <w:marBottom w:val="0"/>
              <w:divBdr>
                <w:top w:val="none" w:sz="0" w:space="0" w:color="auto"/>
                <w:left w:val="none" w:sz="0" w:space="0" w:color="auto"/>
                <w:bottom w:val="none" w:sz="0" w:space="0" w:color="auto"/>
                <w:right w:val="none" w:sz="0" w:space="0" w:color="auto"/>
              </w:divBdr>
            </w:div>
            <w:div w:id="19141171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6943105">
      <w:bodyDiv w:val="1"/>
      <w:marLeft w:val="0"/>
      <w:marRight w:val="0"/>
      <w:marTop w:val="0"/>
      <w:marBottom w:val="0"/>
      <w:divBdr>
        <w:top w:val="none" w:sz="0" w:space="0" w:color="auto"/>
        <w:left w:val="none" w:sz="0" w:space="0" w:color="auto"/>
        <w:bottom w:val="none" w:sz="0" w:space="0" w:color="auto"/>
        <w:right w:val="none" w:sz="0" w:space="0" w:color="auto"/>
      </w:divBdr>
    </w:div>
    <w:div w:id="167140755">
      <w:bodyDiv w:val="1"/>
      <w:marLeft w:val="0"/>
      <w:marRight w:val="0"/>
      <w:marTop w:val="0"/>
      <w:marBottom w:val="0"/>
      <w:divBdr>
        <w:top w:val="none" w:sz="0" w:space="0" w:color="auto"/>
        <w:left w:val="none" w:sz="0" w:space="0" w:color="auto"/>
        <w:bottom w:val="none" w:sz="0" w:space="0" w:color="auto"/>
        <w:right w:val="none" w:sz="0" w:space="0" w:color="auto"/>
      </w:divBdr>
    </w:div>
    <w:div w:id="167185618">
      <w:bodyDiv w:val="1"/>
      <w:marLeft w:val="0"/>
      <w:marRight w:val="0"/>
      <w:marTop w:val="0"/>
      <w:marBottom w:val="0"/>
      <w:divBdr>
        <w:top w:val="none" w:sz="0" w:space="0" w:color="auto"/>
        <w:left w:val="none" w:sz="0" w:space="0" w:color="auto"/>
        <w:bottom w:val="none" w:sz="0" w:space="0" w:color="auto"/>
        <w:right w:val="none" w:sz="0" w:space="0" w:color="auto"/>
      </w:divBdr>
    </w:div>
    <w:div w:id="167253854">
      <w:bodyDiv w:val="1"/>
      <w:marLeft w:val="0"/>
      <w:marRight w:val="0"/>
      <w:marTop w:val="0"/>
      <w:marBottom w:val="0"/>
      <w:divBdr>
        <w:top w:val="none" w:sz="0" w:space="0" w:color="auto"/>
        <w:left w:val="none" w:sz="0" w:space="0" w:color="auto"/>
        <w:bottom w:val="none" w:sz="0" w:space="0" w:color="auto"/>
        <w:right w:val="none" w:sz="0" w:space="0" w:color="auto"/>
      </w:divBdr>
    </w:div>
    <w:div w:id="167604405">
      <w:bodyDiv w:val="1"/>
      <w:marLeft w:val="0"/>
      <w:marRight w:val="0"/>
      <w:marTop w:val="0"/>
      <w:marBottom w:val="0"/>
      <w:divBdr>
        <w:top w:val="none" w:sz="0" w:space="0" w:color="auto"/>
        <w:left w:val="none" w:sz="0" w:space="0" w:color="auto"/>
        <w:bottom w:val="none" w:sz="0" w:space="0" w:color="auto"/>
        <w:right w:val="none" w:sz="0" w:space="0" w:color="auto"/>
      </w:divBdr>
    </w:div>
    <w:div w:id="167914830">
      <w:bodyDiv w:val="1"/>
      <w:marLeft w:val="0"/>
      <w:marRight w:val="0"/>
      <w:marTop w:val="0"/>
      <w:marBottom w:val="0"/>
      <w:divBdr>
        <w:top w:val="none" w:sz="0" w:space="0" w:color="auto"/>
        <w:left w:val="none" w:sz="0" w:space="0" w:color="auto"/>
        <w:bottom w:val="none" w:sz="0" w:space="0" w:color="auto"/>
        <w:right w:val="none" w:sz="0" w:space="0" w:color="auto"/>
      </w:divBdr>
      <w:divsChild>
        <w:div w:id="1844474201">
          <w:marLeft w:val="547"/>
          <w:marRight w:val="0"/>
          <w:marTop w:val="115"/>
          <w:marBottom w:val="0"/>
          <w:divBdr>
            <w:top w:val="none" w:sz="0" w:space="0" w:color="auto"/>
            <w:left w:val="none" w:sz="0" w:space="0" w:color="auto"/>
            <w:bottom w:val="none" w:sz="0" w:space="0" w:color="auto"/>
            <w:right w:val="none" w:sz="0" w:space="0" w:color="auto"/>
          </w:divBdr>
        </w:div>
      </w:divsChild>
    </w:div>
    <w:div w:id="170729110">
      <w:bodyDiv w:val="1"/>
      <w:marLeft w:val="0"/>
      <w:marRight w:val="0"/>
      <w:marTop w:val="0"/>
      <w:marBottom w:val="0"/>
      <w:divBdr>
        <w:top w:val="none" w:sz="0" w:space="0" w:color="auto"/>
        <w:left w:val="none" w:sz="0" w:space="0" w:color="auto"/>
        <w:bottom w:val="none" w:sz="0" w:space="0" w:color="auto"/>
        <w:right w:val="none" w:sz="0" w:space="0" w:color="auto"/>
      </w:divBdr>
    </w:div>
    <w:div w:id="171187841">
      <w:bodyDiv w:val="1"/>
      <w:marLeft w:val="0"/>
      <w:marRight w:val="0"/>
      <w:marTop w:val="0"/>
      <w:marBottom w:val="0"/>
      <w:divBdr>
        <w:top w:val="none" w:sz="0" w:space="0" w:color="auto"/>
        <w:left w:val="none" w:sz="0" w:space="0" w:color="auto"/>
        <w:bottom w:val="none" w:sz="0" w:space="0" w:color="auto"/>
        <w:right w:val="none" w:sz="0" w:space="0" w:color="auto"/>
      </w:divBdr>
    </w:div>
    <w:div w:id="171189410">
      <w:bodyDiv w:val="1"/>
      <w:marLeft w:val="0"/>
      <w:marRight w:val="0"/>
      <w:marTop w:val="0"/>
      <w:marBottom w:val="0"/>
      <w:divBdr>
        <w:top w:val="none" w:sz="0" w:space="0" w:color="auto"/>
        <w:left w:val="none" w:sz="0" w:space="0" w:color="auto"/>
        <w:bottom w:val="none" w:sz="0" w:space="0" w:color="auto"/>
        <w:right w:val="none" w:sz="0" w:space="0" w:color="auto"/>
      </w:divBdr>
    </w:div>
    <w:div w:id="171264011">
      <w:bodyDiv w:val="1"/>
      <w:marLeft w:val="0"/>
      <w:marRight w:val="0"/>
      <w:marTop w:val="0"/>
      <w:marBottom w:val="0"/>
      <w:divBdr>
        <w:top w:val="none" w:sz="0" w:space="0" w:color="auto"/>
        <w:left w:val="none" w:sz="0" w:space="0" w:color="auto"/>
        <w:bottom w:val="none" w:sz="0" w:space="0" w:color="auto"/>
        <w:right w:val="none" w:sz="0" w:space="0" w:color="auto"/>
      </w:divBdr>
    </w:div>
    <w:div w:id="171724531">
      <w:bodyDiv w:val="1"/>
      <w:marLeft w:val="0"/>
      <w:marRight w:val="0"/>
      <w:marTop w:val="0"/>
      <w:marBottom w:val="0"/>
      <w:divBdr>
        <w:top w:val="none" w:sz="0" w:space="0" w:color="auto"/>
        <w:left w:val="none" w:sz="0" w:space="0" w:color="auto"/>
        <w:bottom w:val="none" w:sz="0" w:space="0" w:color="auto"/>
        <w:right w:val="none" w:sz="0" w:space="0" w:color="auto"/>
      </w:divBdr>
    </w:div>
    <w:div w:id="171800115">
      <w:bodyDiv w:val="1"/>
      <w:marLeft w:val="0"/>
      <w:marRight w:val="0"/>
      <w:marTop w:val="0"/>
      <w:marBottom w:val="0"/>
      <w:divBdr>
        <w:top w:val="none" w:sz="0" w:space="0" w:color="auto"/>
        <w:left w:val="none" w:sz="0" w:space="0" w:color="auto"/>
        <w:bottom w:val="none" w:sz="0" w:space="0" w:color="auto"/>
        <w:right w:val="none" w:sz="0" w:space="0" w:color="auto"/>
      </w:divBdr>
    </w:div>
    <w:div w:id="172694565">
      <w:bodyDiv w:val="1"/>
      <w:marLeft w:val="0"/>
      <w:marRight w:val="0"/>
      <w:marTop w:val="0"/>
      <w:marBottom w:val="0"/>
      <w:divBdr>
        <w:top w:val="none" w:sz="0" w:space="0" w:color="auto"/>
        <w:left w:val="none" w:sz="0" w:space="0" w:color="auto"/>
        <w:bottom w:val="none" w:sz="0" w:space="0" w:color="auto"/>
        <w:right w:val="none" w:sz="0" w:space="0" w:color="auto"/>
      </w:divBdr>
    </w:div>
    <w:div w:id="173619622">
      <w:bodyDiv w:val="1"/>
      <w:marLeft w:val="0"/>
      <w:marRight w:val="0"/>
      <w:marTop w:val="0"/>
      <w:marBottom w:val="0"/>
      <w:divBdr>
        <w:top w:val="none" w:sz="0" w:space="0" w:color="auto"/>
        <w:left w:val="none" w:sz="0" w:space="0" w:color="auto"/>
        <w:bottom w:val="none" w:sz="0" w:space="0" w:color="auto"/>
        <w:right w:val="none" w:sz="0" w:space="0" w:color="auto"/>
      </w:divBdr>
    </w:div>
    <w:div w:id="173954742">
      <w:bodyDiv w:val="1"/>
      <w:marLeft w:val="0"/>
      <w:marRight w:val="0"/>
      <w:marTop w:val="0"/>
      <w:marBottom w:val="0"/>
      <w:divBdr>
        <w:top w:val="none" w:sz="0" w:space="0" w:color="auto"/>
        <w:left w:val="none" w:sz="0" w:space="0" w:color="auto"/>
        <w:bottom w:val="none" w:sz="0" w:space="0" w:color="auto"/>
        <w:right w:val="none" w:sz="0" w:space="0" w:color="auto"/>
      </w:divBdr>
    </w:div>
    <w:div w:id="174153476">
      <w:bodyDiv w:val="1"/>
      <w:marLeft w:val="0"/>
      <w:marRight w:val="0"/>
      <w:marTop w:val="0"/>
      <w:marBottom w:val="0"/>
      <w:divBdr>
        <w:top w:val="none" w:sz="0" w:space="0" w:color="auto"/>
        <w:left w:val="none" w:sz="0" w:space="0" w:color="auto"/>
        <w:bottom w:val="none" w:sz="0" w:space="0" w:color="auto"/>
        <w:right w:val="none" w:sz="0" w:space="0" w:color="auto"/>
      </w:divBdr>
    </w:div>
    <w:div w:id="174468889">
      <w:bodyDiv w:val="1"/>
      <w:marLeft w:val="0"/>
      <w:marRight w:val="0"/>
      <w:marTop w:val="0"/>
      <w:marBottom w:val="0"/>
      <w:divBdr>
        <w:top w:val="none" w:sz="0" w:space="0" w:color="auto"/>
        <w:left w:val="none" w:sz="0" w:space="0" w:color="auto"/>
        <w:bottom w:val="none" w:sz="0" w:space="0" w:color="auto"/>
        <w:right w:val="none" w:sz="0" w:space="0" w:color="auto"/>
      </w:divBdr>
    </w:div>
    <w:div w:id="175853146">
      <w:bodyDiv w:val="1"/>
      <w:marLeft w:val="0"/>
      <w:marRight w:val="0"/>
      <w:marTop w:val="0"/>
      <w:marBottom w:val="0"/>
      <w:divBdr>
        <w:top w:val="none" w:sz="0" w:space="0" w:color="auto"/>
        <w:left w:val="none" w:sz="0" w:space="0" w:color="auto"/>
        <w:bottom w:val="none" w:sz="0" w:space="0" w:color="auto"/>
        <w:right w:val="none" w:sz="0" w:space="0" w:color="auto"/>
      </w:divBdr>
      <w:divsChild>
        <w:div w:id="568002370">
          <w:marLeft w:val="547"/>
          <w:marRight w:val="0"/>
          <w:marTop w:val="120"/>
          <w:marBottom w:val="0"/>
          <w:divBdr>
            <w:top w:val="none" w:sz="0" w:space="0" w:color="auto"/>
            <w:left w:val="none" w:sz="0" w:space="0" w:color="auto"/>
            <w:bottom w:val="none" w:sz="0" w:space="0" w:color="auto"/>
            <w:right w:val="none" w:sz="0" w:space="0" w:color="auto"/>
          </w:divBdr>
        </w:div>
        <w:div w:id="832767535">
          <w:marLeft w:val="1166"/>
          <w:marRight w:val="0"/>
          <w:marTop w:val="106"/>
          <w:marBottom w:val="0"/>
          <w:divBdr>
            <w:top w:val="none" w:sz="0" w:space="0" w:color="auto"/>
            <w:left w:val="none" w:sz="0" w:space="0" w:color="auto"/>
            <w:bottom w:val="none" w:sz="0" w:space="0" w:color="auto"/>
            <w:right w:val="none" w:sz="0" w:space="0" w:color="auto"/>
          </w:divBdr>
        </w:div>
        <w:div w:id="1054431494">
          <w:marLeft w:val="547"/>
          <w:marRight w:val="0"/>
          <w:marTop w:val="120"/>
          <w:marBottom w:val="0"/>
          <w:divBdr>
            <w:top w:val="none" w:sz="0" w:space="0" w:color="auto"/>
            <w:left w:val="none" w:sz="0" w:space="0" w:color="auto"/>
            <w:bottom w:val="none" w:sz="0" w:space="0" w:color="auto"/>
            <w:right w:val="none" w:sz="0" w:space="0" w:color="auto"/>
          </w:divBdr>
        </w:div>
        <w:div w:id="1561133159">
          <w:marLeft w:val="547"/>
          <w:marRight w:val="0"/>
          <w:marTop w:val="120"/>
          <w:marBottom w:val="0"/>
          <w:divBdr>
            <w:top w:val="none" w:sz="0" w:space="0" w:color="auto"/>
            <w:left w:val="none" w:sz="0" w:space="0" w:color="auto"/>
            <w:bottom w:val="none" w:sz="0" w:space="0" w:color="auto"/>
            <w:right w:val="none" w:sz="0" w:space="0" w:color="auto"/>
          </w:divBdr>
        </w:div>
        <w:div w:id="1649935438">
          <w:marLeft w:val="1800"/>
          <w:marRight w:val="0"/>
          <w:marTop w:val="91"/>
          <w:marBottom w:val="0"/>
          <w:divBdr>
            <w:top w:val="none" w:sz="0" w:space="0" w:color="auto"/>
            <w:left w:val="none" w:sz="0" w:space="0" w:color="auto"/>
            <w:bottom w:val="none" w:sz="0" w:space="0" w:color="auto"/>
            <w:right w:val="none" w:sz="0" w:space="0" w:color="auto"/>
          </w:divBdr>
        </w:div>
        <w:div w:id="1762414848">
          <w:marLeft w:val="1166"/>
          <w:marRight w:val="0"/>
          <w:marTop w:val="106"/>
          <w:marBottom w:val="0"/>
          <w:divBdr>
            <w:top w:val="none" w:sz="0" w:space="0" w:color="auto"/>
            <w:left w:val="none" w:sz="0" w:space="0" w:color="auto"/>
            <w:bottom w:val="none" w:sz="0" w:space="0" w:color="auto"/>
            <w:right w:val="none" w:sz="0" w:space="0" w:color="auto"/>
          </w:divBdr>
        </w:div>
        <w:div w:id="1770809181">
          <w:marLeft w:val="1166"/>
          <w:marRight w:val="0"/>
          <w:marTop w:val="106"/>
          <w:marBottom w:val="0"/>
          <w:divBdr>
            <w:top w:val="none" w:sz="0" w:space="0" w:color="auto"/>
            <w:left w:val="none" w:sz="0" w:space="0" w:color="auto"/>
            <w:bottom w:val="none" w:sz="0" w:space="0" w:color="auto"/>
            <w:right w:val="none" w:sz="0" w:space="0" w:color="auto"/>
          </w:divBdr>
        </w:div>
        <w:div w:id="1997031696">
          <w:marLeft w:val="1166"/>
          <w:marRight w:val="0"/>
          <w:marTop w:val="106"/>
          <w:marBottom w:val="0"/>
          <w:divBdr>
            <w:top w:val="none" w:sz="0" w:space="0" w:color="auto"/>
            <w:left w:val="none" w:sz="0" w:space="0" w:color="auto"/>
            <w:bottom w:val="none" w:sz="0" w:space="0" w:color="auto"/>
            <w:right w:val="none" w:sz="0" w:space="0" w:color="auto"/>
          </w:divBdr>
        </w:div>
        <w:div w:id="2067606238">
          <w:marLeft w:val="1166"/>
          <w:marRight w:val="0"/>
          <w:marTop w:val="106"/>
          <w:marBottom w:val="0"/>
          <w:divBdr>
            <w:top w:val="none" w:sz="0" w:space="0" w:color="auto"/>
            <w:left w:val="none" w:sz="0" w:space="0" w:color="auto"/>
            <w:bottom w:val="none" w:sz="0" w:space="0" w:color="auto"/>
            <w:right w:val="none" w:sz="0" w:space="0" w:color="auto"/>
          </w:divBdr>
        </w:div>
      </w:divsChild>
    </w:div>
    <w:div w:id="178931415">
      <w:bodyDiv w:val="1"/>
      <w:marLeft w:val="0"/>
      <w:marRight w:val="0"/>
      <w:marTop w:val="0"/>
      <w:marBottom w:val="0"/>
      <w:divBdr>
        <w:top w:val="none" w:sz="0" w:space="0" w:color="auto"/>
        <w:left w:val="none" w:sz="0" w:space="0" w:color="auto"/>
        <w:bottom w:val="none" w:sz="0" w:space="0" w:color="auto"/>
        <w:right w:val="none" w:sz="0" w:space="0" w:color="auto"/>
      </w:divBdr>
      <w:divsChild>
        <w:div w:id="935016465">
          <w:marLeft w:val="547"/>
          <w:marRight w:val="0"/>
          <w:marTop w:val="154"/>
          <w:marBottom w:val="0"/>
          <w:divBdr>
            <w:top w:val="none" w:sz="0" w:space="0" w:color="auto"/>
            <w:left w:val="none" w:sz="0" w:space="0" w:color="auto"/>
            <w:bottom w:val="none" w:sz="0" w:space="0" w:color="auto"/>
            <w:right w:val="none" w:sz="0" w:space="0" w:color="auto"/>
          </w:divBdr>
        </w:div>
      </w:divsChild>
    </w:div>
    <w:div w:id="179127804">
      <w:bodyDiv w:val="1"/>
      <w:marLeft w:val="0"/>
      <w:marRight w:val="0"/>
      <w:marTop w:val="0"/>
      <w:marBottom w:val="0"/>
      <w:divBdr>
        <w:top w:val="none" w:sz="0" w:space="0" w:color="auto"/>
        <w:left w:val="none" w:sz="0" w:space="0" w:color="auto"/>
        <w:bottom w:val="none" w:sz="0" w:space="0" w:color="auto"/>
        <w:right w:val="none" w:sz="0" w:space="0" w:color="auto"/>
      </w:divBdr>
    </w:div>
    <w:div w:id="180046386">
      <w:bodyDiv w:val="1"/>
      <w:marLeft w:val="0"/>
      <w:marRight w:val="0"/>
      <w:marTop w:val="0"/>
      <w:marBottom w:val="0"/>
      <w:divBdr>
        <w:top w:val="none" w:sz="0" w:space="0" w:color="auto"/>
        <w:left w:val="none" w:sz="0" w:space="0" w:color="auto"/>
        <w:bottom w:val="none" w:sz="0" w:space="0" w:color="auto"/>
        <w:right w:val="none" w:sz="0" w:space="0" w:color="auto"/>
      </w:divBdr>
    </w:div>
    <w:div w:id="180633196">
      <w:bodyDiv w:val="1"/>
      <w:marLeft w:val="0"/>
      <w:marRight w:val="0"/>
      <w:marTop w:val="0"/>
      <w:marBottom w:val="0"/>
      <w:divBdr>
        <w:top w:val="none" w:sz="0" w:space="0" w:color="auto"/>
        <w:left w:val="none" w:sz="0" w:space="0" w:color="auto"/>
        <w:bottom w:val="none" w:sz="0" w:space="0" w:color="auto"/>
        <w:right w:val="none" w:sz="0" w:space="0" w:color="auto"/>
      </w:divBdr>
      <w:divsChild>
        <w:div w:id="1319114327">
          <w:marLeft w:val="720"/>
          <w:marRight w:val="0"/>
          <w:marTop w:val="96"/>
          <w:marBottom w:val="0"/>
          <w:divBdr>
            <w:top w:val="none" w:sz="0" w:space="0" w:color="auto"/>
            <w:left w:val="none" w:sz="0" w:space="0" w:color="auto"/>
            <w:bottom w:val="none" w:sz="0" w:space="0" w:color="auto"/>
            <w:right w:val="none" w:sz="0" w:space="0" w:color="auto"/>
          </w:divBdr>
        </w:div>
        <w:div w:id="1704136229">
          <w:marLeft w:val="720"/>
          <w:marRight w:val="0"/>
          <w:marTop w:val="96"/>
          <w:marBottom w:val="0"/>
          <w:divBdr>
            <w:top w:val="none" w:sz="0" w:space="0" w:color="auto"/>
            <w:left w:val="none" w:sz="0" w:space="0" w:color="auto"/>
            <w:bottom w:val="none" w:sz="0" w:space="0" w:color="auto"/>
            <w:right w:val="none" w:sz="0" w:space="0" w:color="auto"/>
          </w:divBdr>
        </w:div>
        <w:div w:id="1813056975">
          <w:marLeft w:val="1354"/>
          <w:marRight w:val="0"/>
          <w:marTop w:val="77"/>
          <w:marBottom w:val="0"/>
          <w:divBdr>
            <w:top w:val="none" w:sz="0" w:space="0" w:color="auto"/>
            <w:left w:val="none" w:sz="0" w:space="0" w:color="auto"/>
            <w:bottom w:val="none" w:sz="0" w:space="0" w:color="auto"/>
            <w:right w:val="none" w:sz="0" w:space="0" w:color="auto"/>
          </w:divBdr>
        </w:div>
        <w:div w:id="1950310871">
          <w:marLeft w:val="1354"/>
          <w:marRight w:val="0"/>
          <w:marTop w:val="77"/>
          <w:marBottom w:val="0"/>
          <w:divBdr>
            <w:top w:val="none" w:sz="0" w:space="0" w:color="auto"/>
            <w:left w:val="none" w:sz="0" w:space="0" w:color="auto"/>
            <w:bottom w:val="none" w:sz="0" w:space="0" w:color="auto"/>
            <w:right w:val="none" w:sz="0" w:space="0" w:color="auto"/>
          </w:divBdr>
        </w:div>
      </w:divsChild>
    </w:div>
    <w:div w:id="181281721">
      <w:bodyDiv w:val="1"/>
      <w:marLeft w:val="0"/>
      <w:marRight w:val="0"/>
      <w:marTop w:val="0"/>
      <w:marBottom w:val="0"/>
      <w:divBdr>
        <w:top w:val="none" w:sz="0" w:space="0" w:color="auto"/>
        <w:left w:val="none" w:sz="0" w:space="0" w:color="auto"/>
        <w:bottom w:val="none" w:sz="0" w:space="0" w:color="auto"/>
        <w:right w:val="none" w:sz="0" w:space="0" w:color="auto"/>
      </w:divBdr>
      <w:divsChild>
        <w:div w:id="908420737">
          <w:marLeft w:val="547"/>
          <w:marRight w:val="0"/>
          <w:marTop w:val="96"/>
          <w:marBottom w:val="0"/>
          <w:divBdr>
            <w:top w:val="none" w:sz="0" w:space="0" w:color="auto"/>
            <w:left w:val="none" w:sz="0" w:space="0" w:color="auto"/>
            <w:bottom w:val="none" w:sz="0" w:space="0" w:color="auto"/>
            <w:right w:val="none" w:sz="0" w:space="0" w:color="auto"/>
          </w:divBdr>
        </w:div>
        <w:div w:id="1233085172">
          <w:marLeft w:val="1166"/>
          <w:marRight w:val="0"/>
          <w:marTop w:val="77"/>
          <w:marBottom w:val="0"/>
          <w:divBdr>
            <w:top w:val="none" w:sz="0" w:space="0" w:color="auto"/>
            <w:left w:val="none" w:sz="0" w:space="0" w:color="auto"/>
            <w:bottom w:val="none" w:sz="0" w:space="0" w:color="auto"/>
            <w:right w:val="none" w:sz="0" w:space="0" w:color="auto"/>
          </w:divBdr>
        </w:div>
        <w:div w:id="1625116825">
          <w:marLeft w:val="1166"/>
          <w:marRight w:val="0"/>
          <w:marTop w:val="77"/>
          <w:marBottom w:val="0"/>
          <w:divBdr>
            <w:top w:val="none" w:sz="0" w:space="0" w:color="auto"/>
            <w:left w:val="none" w:sz="0" w:space="0" w:color="auto"/>
            <w:bottom w:val="none" w:sz="0" w:space="0" w:color="auto"/>
            <w:right w:val="none" w:sz="0" w:space="0" w:color="auto"/>
          </w:divBdr>
        </w:div>
      </w:divsChild>
    </w:div>
    <w:div w:id="182090462">
      <w:bodyDiv w:val="1"/>
      <w:marLeft w:val="0"/>
      <w:marRight w:val="0"/>
      <w:marTop w:val="0"/>
      <w:marBottom w:val="0"/>
      <w:divBdr>
        <w:top w:val="none" w:sz="0" w:space="0" w:color="auto"/>
        <w:left w:val="none" w:sz="0" w:space="0" w:color="auto"/>
        <w:bottom w:val="none" w:sz="0" w:space="0" w:color="auto"/>
        <w:right w:val="none" w:sz="0" w:space="0" w:color="auto"/>
      </w:divBdr>
    </w:div>
    <w:div w:id="182518452">
      <w:bodyDiv w:val="1"/>
      <w:marLeft w:val="0"/>
      <w:marRight w:val="0"/>
      <w:marTop w:val="0"/>
      <w:marBottom w:val="0"/>
      <w:divBdr>
        <w:top w:val="none" w:sz="0" w:space="0" w:color="auto"/>
        <w:left w:val="none" w:sz="0" w:space="0" w:color="auto"/>
        <w:bottom w:val="none" w:sz="0" w:space="0" w:color="auto"/>
        <w:right w:val="none" w:sz="0" w:space="0" w:color="auto"/>
      </w:divBdr>
    </w:div>
    <w:div w:id="182598763">
      <w:bodyDiv w:val="1"/>
      <w:marLeft w:val="0"/>
      <w:marRight w:val="0"/>
      <w:marTop w:val="0"/>
      <w:marBottom w:val="0"/>
      <w:divBdr>
        <w:top w:val="none" w:sz="0" w:space="0" w:color="auto"/>
        <w:left w:val="none" w:sz="0" w:space="0" w:color="auto"/>
        <w:bottom w:val="none" w:sz="0" w:space="0" w:color="auto"/>
        <w:right w:val="none" w:sz="0" w:space="0" w:color="auto"/>
      </w:divBdr>
      <w:divsChild>
        <w:div w:id="308752530">
          <w:marLeft w:val="1800"/>
          <w:marRight w:val="0"/>
          <w:marTop w:val="77"/>
          <w:marBottom w:val="0"/>
          <w:divBdr>
            <w:top w:val="none" w:sz="0" w:space="0" w:color="auto"/>
            <w:left w:val="none" w:sz="0" w:space="0" w:color="auto"/>
            <w:bottom w:val="none" w:sz="0" w:space="0" w:color="auto"/>
            <w:right w:val="none" w:sz="0" w:space="0" w:color="auto"/>
          </w:divBdr>
        </w:div>
        <w:div w:id="337074162">
          <w:marLeft w:val="547"/>
          <w:marRight w:val="0"/>
          <w:marTop w:val="115"/>
          <w:marBottom w:val="0"/>
          <w:divBdr>
            <w:top w:val="none" w:sz="0" w:space="0" w:color="auto"/>
            <w:left w:val="none" w:sz="0" w:space="0" w:color="auto"/>
            <w:bottom w:val="none" w:sz="0" w:space="0" w:color="auto"/>
            <w:right w:val="none" w:sz="0" w:space="0" w:color="auto"/>
          </w:divBdr>
        </w:div>
        <w:div w:id="434327899">
          <w:marLeft w:val="1166"/>
          <w:marRight w:val="0"/>
          <w:marTop w:val="96"/>
          <w:marBottom w:val="0"/>
          <w:divBdr>
            <w:top w:val="none" w:sz="0" w:space="0" w:color="auto"/>
            <w:left w:val="none" w:sz="0" w:space="0" w:color="auto"/>
            <w:bottom w:val="none" w:sz="0" w:space="0" w:color="auto"/>
            <w:right w:val="none" w:sz="0" w:space="0" w:color="auto"/>
          </w:divBdr>
        </w:div>
        <w:div w:id="703867809">
          <w:marLeft w:val="1800"/>
          <w:marRight w:val="0"/>
          <w:marTop w:val="77"/>
          <w:marBottom w:val="0"/>
          <w:divBdr>
            <w:top w:val="none" w:sz="0" w:space="0" w:color="auto"/>
            <w:left w:val="none" w:sz="0" w:space="0" w:color="auto"/>
            <w:bottom w:val="none" w:sz="0" w:space="0" w:color="auto"/>
            <w:right w:val="none" w:sz="0" w:space="0" w:color="auto"/>
          </w:divBdr>
        </w:div>
        <w:div w:id="779372970">
          <w:marLeft w:val="1166"/>
          <w:marRight w:val="0"/>
          <w:marTop w:val="96"/>
          <w:marBottom w:val="0"/>
          <w:divBdr>
            <w:top w:val="none" w:sz="0" w:space="0" w:color="auto"/>
            <w:left w:val="none" w:sz="0" w:space="0" w:color="auto"/>
            <w:bottom w:val="none" w:sz="0" w:space="0" w:color="auto"/>
            <w:right w:val="none" w:sz="0" w:space="0" w:color="auto"/>
          </w:divBdr>
        </w:div>
        <w:div w:id="843014907">
          <w:marLeft w:val="1166"/>
          <w:marRight w:val="0"/>
          <w:marTop w:val="96"/>
          <w:marBottom w:val="0"/>
          <w:divBdr>
            <w:top w:val="none" w:sz="0" w:space="0" w:color="auto"/>
            <w:left w:val="none" w:sz="0" w:space="0" w:color="auto"/>
            <w:bottom w:val="none" w:sz="0" w:space="0" w:color="auto"/>
            <w:right w:val="none" w:sz="0" w:space="0" w:color="auto"/>
          </w:divBdr>
        </w:div>
        <w:div w:id="1135029598">
          <w:marLeft w:val="1800"/>
          <w:marRight w:val="0"/>
          <w:marTop w:val="77"/>
          <w:marBottom w:val="0"/>
          <w:divBdr>
            <w:top w:val="none" w:sz="0" w:space="0" w:color="auto"/>
            <w:left w:val="none" w:sz="0" w:space="0" w:color="auto"/>
            <w:bottom w:val="none" w:sz="0" w:space="0" w:color="auto"/>
            <w:right w:val="none" w:sz="0" w:space="0" w:color="auto"/>
          </w:divBdr>
        </w:div>
        <w:div w:id="1431311248">
          <w:marLeft w:val="1800"/>
          <w:marRight w:val="0"/>
          <w:marTop w:val="77"/>
          <w:marBottom w:val="0"/>
          <w:divBdr>
            <w:top w:val="none" w:sz="0" w:space="0" w:color="auto"/>
            <w:left w:val="none" w:sz="0" w:space="0" w:color="auto"/>
            <w:bottom w:val="none" w:sz="0" w:space="0" w:color="auto"/>
            <w:right w:val="none" w:sz="0" w:space="0" w:color="auto"/>
          </w:divBdr>
        </w:div>
        <w:div w:id="1479760294">
          <w:marLeft w:val="1800"/>
          <w:marRight w:val="0"/>
          <w:marTop w:val="77"/>
          <w:marBottom w:val="0"/>
          <w:divBdr>
            <w:top w:val="none" w:sz="0" w:space="0" w:color="auto"/>
            <w:left w:val="none" w:sz="0" w:space="0" w:color="auto"/>
            <w:bottom w:val="none" w:sz="0" w:space="0" w:color="auto"/>
            <w:right w:val="none" w:sz="0" w:space="0" w:color="auto"/>
          </w:divBdr>
        </w:div>
      </w:divsChild>
    </w:div>
    <w:div w:id="182860940">
      <w:bodyDiv w:val="1"/>
      <w:marLeft w:val="0"/>
      <w:marRight w:val="0"/>
      <w:marTop w:val="0"/>
      <w:marBottom w:val="0"/>
      <w:divBdr>
        <w:top w:val="none" w:sz="0" w:space="0" w:color="auto"/>
        <w:left w:val="none" w:sz="0" w:space="0" w:color="auto"/>
        <w:bottom w:val="none" w:sz="0" w:space="0" w:color="auto"/>
        <w:right w:val="none" w:sz="0" w:space="0" w:color="auto"/>
      </w:divBdr>
    </w:div>
    <w:div w:id="184246060">
      <w:bodyDiv w:val="1"/>
      <w:marLeft w:val="0"/>
      <w:marRight w:val="0"/>
      <w:marTop w:val="0"/>
      <w:marBottom w:val="0"/>
      <w:divBdr>
        <w:top w:val="none" w:sz="0" w:space="0" w:color="auto"/>
        <w:left w:val="none" w:sz="0" w:space="0" w:color="auto"/>
        <w:bottom w:val="none" w:sz="0" w:space="0" w:color="auto"/>
        <w:right w:val="none" w:sz="0" w:space="0" w:color="auto"/>
      </w:divBdr>
      <w:divsChild>
        <w:div w:id="81806855">
          <w:marLeft w:val="1166"/>
          <w:marRight w:val="0"/>
          <w:marTop w:val="86"/>
          <w:marBottom w:val="0"/>
          <w:divBdr>
            <w:top w:val="none" w:sz="0" w:space="0" w:color="auto"/>
            <w:left w:val="none" w:sz="0" w:space="0" w:color="auto"/>
            <w:bottom w:val="none" w:sz="0" w:space="0" w:color="auto"/>
            <w:right w:val="none" w:sz="0" w:space="0" w:color="auto"/>
          </w:divBdr>
        </w:div>
        <w:div w:id="146870540">
          <w:marLeft w:val="547"/>
          <w:marRight w:val="0"/>
          <w:marTop w:val="96"/>
          <w:marBottom w:val="0"/>
          <w:divBdr>
            <w:top w:val="none" w:sz="0" w:space="0" w:color="auto"/>
            <w:left w:val="none" w:sz="0" w:space="0" w:color="auto"/>
            <w:bottom w:val="none" w:sz="0" w:space="0" w:color="auto"/>
            <w:right w:val="none" w:sz="0" w:space="0" w:color="auto"/>
          </w:divBdr>
        </w:div>
        <w:div w:id="325597343">
          <w:marLeft w:val="547"/>
          <w:marRight w:val="0"/>
          <w:marTop w:val="96"/>
          <w:marBottom w:val="0"/>
          <w:divBdr>
            <w:top w:val="none" w:sz="0" w:space="0" w:color="auto"/>
            <w:left w:val="none" w:sz="0" w:space="0" w:color="auto"/>
            <w:bottom w:val="none" w:sz="0" w:space="0" w:color="auto"/>
            <w:right w:val="none" w:sz="0" w:space="0" w:color="auto"/>
          </w:divBdr>
        </w:div>
        <w:div w:id="468280392">
          <w:marLeft w:val="547"/>
          <w:marRight w:val="0"/>
          <w:marTop w:val="96"/>
          <w:marBottom w:val="0"/>
          <w:divBdr>
            <w:top w:val="none" w:sz="0" w:space="0" w:color="auto"/>
            <w:left w:val="none" w:sz="0" w:space="0" w:color="auto"/>
            <w:bottom w:val="none" w:sz="0" w:space="0" w:color="auto"/>
            <w:right w:val="none" w:sz="0" w:space="0" w:color="auto"/>
          </w:divBdr>
        </w:div>
        <w:div w:id="1128013190">
          <w:marLeft w:val="1800"/>
          <w:marRight w:val="0"/>
          <w:marTop w:val="67"/>
          <w:marBottom w:val="0"/>
          <w:divBdr>
            <w:top w:val="none" w:sz="0" w:space="0" w:color="auto"/>
            <w:left w:val="none" w:sz="0" w:space="0" w:color="auto"/>
            <w:bottom w:val="none" w:sz="0" w:space="0" w:color="auto"/>
            <w:right w:val="none" w:sz="0" w:space="0" w:color="auto"/>
          </w:divBdr>
        </w:div>
        <w:div w:id="1183737410">
          <w:marLeft w:val="1800"/>
          <w:marRight w:val="0"/>
          <w:marTop w:val="77"/>
          <w:marBottom w:val="0"/>
          <w:divBdr>
            <w:top w:val="none" w:sz="0" w:space="0" w:color="auto"/>
            <w:left w:val="none" w:sz="0" w:space="0" w:color="auto"/>
            <w:bottom w:val="none" w:sz="0" w:space="0" w:color="auto"/>
            <w:right w:val="none" w:sz="0" w:space="0" w:color="auto"/>
          </w:divBdr>
        </w:div>
        <w:div w:id="1423525292">
          <w:marLeft w:val="1800"/>
          <w:marRight w:val="0"/>
          <w:marTop w:val="77"/>
          <w:marBottom w:val="0"/>
          <w:divBdr>
            <w:top w:val="none" w:sz="0" w:space="0" w:color="auto"/>
            <w:left w:val="none" w:sz="0" w:space="0" w:color="auto"/>
            <w:bottom w:val="none" w:sz="0" w:space="0" w:color="auto"/>
            <w:right w:val="none" w:sz="0" w:space="0" w:color="auto"/>
          </w:divBdr>
        </w:div>
        <w:div w:id="1431849912">
          <w:marLeft w:val="547"/>
          <w:marRight w:val="0"/>
          <w:marTop w:val="96"/>
          <w:marBottom w:val="0"/>
          <w:divBdr>
            <w:top w:val="none" w:sz="0" w:space="0" w:color="auto"/>
            <w:left w:val="none" w:sz="0" w:space="0" w:color="auto"/>
            <w:bottom w:val="none" w:sz="0" w:space="0" w:color="auto"/>
            <w:right w:val="none" w:sz="0" w:space="0" w:color="auto"/>
          </w:divBdr>
        </w:div>
        <w:div w:id="1513757019">
          <w:marLeft w:val="1166"/>
          <w:marRight w:val="0"/>
          <w:marTop w:val="86"/>
          <w:marBottom w:val="0"/>
          <w:divBdr>
            <w:top w:val="none" w:sz="0" w:space="0" w:color="auto"/>
            <w:left w:val="none" w:sz="0" w:space="0" w:color="auto"/>
            <w:bottom w:val="none" w:sz="0" w:space="0" w:color="auto"/>
            <w:right w:val="none" w:sz="0" w:space="0" w:color="auto"/>
          </w:divBdr>
        </w:div>
        <w:div w:id="1992248990">
          <w:marLeft w:val="1166"/>
          <w:marRight w:val="0"/>
          <w:marTop w:val="86"/>
          <w:marBottom w:val="0"/>
          <w:divBdr>
            <w:top w:val="none" w:sz="0" w:space="0" w:color="auto"/>
            <w:left w:val="none" w:sz="0" w:space="0" w:color="auto"/>
            <w:bottom w:val="none" w:sz="0" w:space="0" w:color="auto"/>
            <w:right w:val="none" w:sz="0" w:space="0" w:color="auto"/>
          </w:divBdr>
        </w:div>
      </w:divsChild>
    </w:div>
    <w:div w:id="184297186">
      <w:bodyDiv w:val="1"/>
      <w:marLeft w:val="0"/>
      <w:marRight w:val="0"/>
      <w:marTop w:val="0"/>
      <w:marBottom w:val="0"/>
      <w:divBdr>
        <w:top w:val="none" w:sz="0" w:space="0" w:color="auto"/>
        <w:left w:val="none" w:sz="0" w:space="0" w:color="auto"/>
        <w:bottom w:val="none" w:sz="0" w:space="0" w:color="auto"/>
        <w:right w:val="none" w:sz="0" w:space="0" w:color="auto"/>
      </w:divBdr>
    </w:div>
    <w:div w:id="184560636">
      <w:bodyDiv w:val="1"/>
      <w:marLeft w:val="0"/>
      <w:marRight w:val="0"/>
      <w:marTop w:val="0"/>
      <w:marBottom w:val="0"/>
      <w:divBdr>
        <w:top w:val="none" w:sz="0" w:space="0" w:color="auto"/>
        <w:left w:val="none" w:sz="0" w:space="0" w:color="auto"/>
        <w:bottom w:val="none" w:sz="0" w:space="0" w:color="auto"/>
        <w:right w:val="none" w:sz="0" w:space="0" w:color="auto"/>
      </w:divBdr>
    </w:div>
    <w:div w:id="184905477">
      <w:bodyDiv w:val="1"/>
      <w:marLeft w:val="0"/>
      <w:marRight w:val="0"/>
      <w:marTop w:val="0"/>
      <w:marBottom w:val="0"/>
      <w:divBdr>
        <w:top w:val="none" w:sz="0" w:space="0" w:color="auto"/>
        <w:left w:val="none" w:sz="0" w:space="0" w:color="auto"/>
        <w:bottom w:val="none" w:sz="0" w:space="0" w:color="auto"/>
        <w:right w:val="none" w:sz="0" w:space="0" w:color="auto"/>
      </w:divBdr>
    </w:div>
    <w:div w:id="188370645">
      <w:bodyDiv w:val="1"/>
      <w:marLeft w:val="0"/>
      <w:marRight w:val="0"/>
      <w:marTop w:val="0"/>
      <w:marBottom w:val="0"/>
      <w:divBdr>
        <w:top w:val="none" w:sz="0" w:space="0" w:color="auto"/>
        <w:left w:val="none" w:sz="0" w:space="0" w:color="auto"/>
        <w:bottom w:val="none" w:sz="0" w:space="0" w:color="auto"/>
        <w:right w:val="none" w:sz="0" w:space="0" w:color="auto"/>
      </w:divBdr>
    </w:div>
    <w:div w:id="188840699">
      <w:bodyDiv w:val="1"/>
      <w:marLeft w:val="0"/>
      <w:marRight w:val="0"/>
      <w:marTop w:val="0"/>
      <w:marBottom w:val="0"/>
      <w:divBdr>
        <w:top w:val="none" w:sz="0" w:space="0" w:color="auto"/>
        <w:left w:val="none" w:sz="0" w:space="0" w:color="auto"/>
        <w:bottom w:val="none" w:sz="0" w:space="0" w:color="auto"/>
        <w:right w:val="none" w:sz="0" w:space="0" w:color="auto"/>
      </w:divBdr>
    </w:div>
    <w:div w:id="189219365">
      <w:bodyDiv w:val="1"/>
      <w:marLeft w:val="0"/>
      <w:marRight w:val="0"/>
      <w:marTop w:val="0"/>
      <w:marBottom w:val="0"/>
      <w:divBdr>
        <w:top w:val="none" w:sz="0" w:space="0" w:color="auto"/>
        <w:left w:val="none" w:sz="0" w:space="0" w:color="auto"/>
        <w:bottom w:val="none" w:sz="0" w:space="0" w:color="auto"/>
        <w:right w:val="none" w:sz="0" w:space="0" w:color="auto"/>
      </w:divBdr>
    </w:div>
    <w:div w:id="190581631">
      <w:bodyDiv w:val="1"/>
      <w:marLeft w:val="0"/>
      <w:marRight w:val="0"/>
      <w:marTop w:val="0"/>
      <w:marBottom w:val="0"/>
      <w:divBdr>
        <w:top w:val="none" w:sz="0" w:space="0" w:color="auto"/>
        <w:left w:val="none" w:sz="0" w:space="0" w:color="auto"/>
        <w:bottom w:val="none" w:sz="0" w:space="0" w:color="auto"/>
        <w:right w:val="none" w:sz="0" w:space="0" w:color="auto"/>
      </w:divBdr>
    </w:div>
    <w:div w:id="191724921">
      <w:bodyDiv w:val="1"/>
      <w:marLeft w:val="0"/>
      <w:marRight w:val="0"/>
      <w:marTop w:val="0"/>
      <w:marBottom w:val="0"/>
      <w:divBdr>
        <w:top w:val="none" w:sz="0" w:space="0" w:color="auto"/>
        <w:left w:val="none" w:sz="0" w:space="0" w:color="auto"/>
        <w:bottom w:val="none" w:sz="0" w:space="0" w:color="auto"/>
        <w:right w:val="none" w:sz="0" w:space="0" w:color="auto"/>
      </w:divBdr>
    </w:div>
    <w:div w:id="192309245">
      <w:bodyDiv w:val="1"/>
      <w:marLeft w:val="0"/>
      <w:marRight w:val="0"/>
      <w:marTop w:val="0"/>
      <w:marBottom w:val="0"/>
      <w:divBdr>
        <w:top w:val="none" w:sz="0" w:space="0" w:color="auto"/>
        <w:left w:val="none" w:sz="0" w:space="0" w:color="auto"/>
        <w:bottom w:val="none" w:sz="0" w:space="0" w:color="auto"/>
        <w:right w:val="none" w:sz="0" w:space="0" w:color="auto"/>
      </w:divBdr>
    </w:div>
    <w:div w:id="193621485">
      <w:bodyDiv w:val="1"/>
      <w:marLeft w:val="0"/>
      <w:marRight w:val="0"/>
      <w:marTop w:val="0"/>
      <w:marBottom w:val="0"/>
      <w:divBdr>
        <w:top w:val="none" w:sz="0" w:space="0" w:color="auto"/>
        <w:left w:val="none" w:sz="0" w:space="0" w:color="auto"/>
        <w:bottom w:val="none" w:sz="0" w:space="0" w:color="auto"/>
        <w:right w:val="none" w:sz="0" w:space="0" w:color="auto"/>
      </w:divBdr>
    </w:div>
    <w:div w:id="193813843">
      <w:bodyDiv w:val="1"/>
      <w:marLeft w:val="0"/>
      <w:marRight w:val="0"/>
      <w:marTop w:val="0"/>
      <w:marBottom w:val="0"/>
      <w:divBdr>
        <w:top w:val="none" w:sz="0" w:space="0" w:color="auto"/>
        <w:left w:val="none" w:sz="0" w:space="0" w:color="auto"/>
        <w:bottom w:val="none" w:sz="0" w:space="0" w:color="auto"/>
        <w:right w:val="none" w:sz="0" w:space="0" w:color="auto"/>
      </w:divBdr>
      <w:divsChild>
        <w:div w:id="14313171">
          <w:marLeft w:val="1080"/>
          <w:marRight w:val="0"/>
          <w:marTop w:val="0"/>
          <w:marBottom w:val="60"/>
          <w:divBdr>
            <w:top w:val="none" w:sz="0" w:space="0" w:color="auto"/>
            <w:left w:val="none" w:sz="0" w:space="0" w:color="auto"/>
            <w:bottom w:val="none" w:sz="0" w:space="0" w:color="auto"/>
            <w:right w:val="none" w:sz="0" w:space="0" w:color="auto"/>
          </w:divBdr>
        </w:div>
        <w:div w:id="40638623">
          <w:marLeft w:val="1080"/>
          <w:marRight w:val="0"/>
          <w:marTop w:val="0"/>
          <w:marBottom w:val="60"/>
          <w:divBdr>
            <w:top w:val="none" w:sz="0" w:space="0" w:color="auto"/>
            <w:left w:val="none" w:sz="0" w:space="0" w:color="auto"/>
            <w:bottom w:val="none" w:sz="0" w:space="0" w:color="auto"/>
            <w:right w:val="none" w:sz="0" w:space="0" w:color="auto"/>
          </w:divBdr>
        </w:div>
        <w:div w:id="49303554">
          <w:marLeft w:val="720"/>
          <w:marRight w:val="0"/>
          <w:marTop w:val="0"/>
          <w:marBottom w:val="60"/>
          <w:divBdr>
            <w:top w:val="none" w:sz="0" w:space="0" w:color="auto"/>
            <w:left w:val="none" w:sz="0" w:space="0" w:color="auto"/>
            <w:bottom w:val="none" w:sz="0" w:space="0" w:color="auto"/>
            <w:right w:val="none" w:sz="0" w:space="0" w:color="auto"/>
          </w:divBdr>
        </w:div>
        <w:div w:id="168715494">
          <w:marLeft w:val="360"/>
          <w:marRight w:val="0"/>
          <w:marTop w:val="0"/>
          <w:marBottom w:val="60"/>
          <w:divBdr>
            <w:top w:val="none" w:sz="0" w:space="0" w:color="auto"/>
            <w:left w:val="none" w:sz="0" w:space="0" w:color="auto"/>
            <w:bottom w:val="none" w:sz="0" w:space="0" w:color="auto"/>
            <w:right w:val="none" w:sz="0" w:space="0" w:color="auto"/>
          </w:divBdr>
        </w:div>
        <w:div w:id="558515608">
          <w:marLeft w:val="1080"/>
          <w:marRight w:val="0"/>
          <w:marTop w:val="0"/>
          <w:marBottom w:val="60"/>
          <w:divBdr>
            <w:top w:val="none" w:sz="0" w:space="0" w:color="auto"/>
            <w:left w:val="none" w:sz="0" w:space="0" w:color="auto"/>
            <w:bottom w:val="none" w:sz="0" w:space="0" w:color="auto"/>
            <w:right w:val="none" w:sz="0" w:space="0" w:color="auto"/>
          </w:divBdr>
        </w:div>
        <w:div w:id="641890408">
          <w:marLeft w:val="720"/>
          <w:marRight w:val="0"/>
          <w:marTop w:val="0"/>
          <w:marBottom w:val="60"/>
          <w:divBdr>
            <w:top w:val="none" w:sz="0" w:space="0" w:color="auto"/>
            <w:left w:val="none" w:sz="0" w:space="0" w:color="auto"/>
            <w:bottom w:val="none" w:sz="0" w:space="0" w:color="auto"/>
            <w:right w:val="none" w:sz="0" w:space="0" w:color="auto"/>
          </w:divBdr>
        </w:div>
        <w:div w:id="1006789783">
          <w:marLeft w:val="1080"/>
          <w:marRight w:val="0"/>
          <w:marTop w:val="0"/>
          <w:marBottom w:val="60"/>
          <w:divBdr>
            <w:top w:val="none" w:sz="0" w:space="0" w:color="auto"/>
            <w:left w:val="none" w:sz="0" w:space="0" w:color="auto"/>
            <w:bottom w:val="none" w:sz="0" w:space="0" w:color="auto"/>
            <w:right w:val="none" w:sz="0" w:space="0" w:color="auto"/>
          </w:divBdr>
        </w:div>
        <w:div w:id="1089539760">
          <w:marLeft w:val="360"/>
          <w:marRight w:val="0"/>
          <w:marTop w:val="0"/>
          <w:marBottom w:val="60"/>
          <w:divBdr>
            <w:top w:val="none" w:sz="0" w:space="0" w:color="auto"/>
            <w:left w:val="none" w:sz="0" w:space="0" w:color="auto"/>
            <w:bottom w:val="none" w:sz="0" w:space="0" w:color="auto"/>
            <w:right w:val="none" w:sz="0" w:space="0" w:color="auto"/>
          </w:divBdr>
        </w:div>
        <w:div w:id="1728721089">
          <w:marLeft w:val="360"/>
          <w:marRight w:val="0"/>
          <w:marTop w:val="0"/>
          <w:marBottom w:val="60"/>
          <w:divBdr>
            <w:top w:val="none" w:sz="0" w:space="0" w:color="auto"/>
            <w:left w:val="none" w:sz="0" w:space="0" w:color="auto"/>
            <w:bottom w:val="none" w:sz="0" w:space="0" w:color="auto"/>
            <w:right w:val="none" w:sz="0" w:space="0" w:color="auto"/>
          </w:divBdr>
        </w:div>
      </w:divsChild>
    </w:div>
    <w:div w:id="194124924">
      <w:bodyDiv w:val="1"/>
      <w:marLeft w:val="0"/>
      <w:marRight w:val="0"/>
      <w:marTop w:val="0"/>
      <w:marBottom w:val="0"/>
      <w:divBdr>
        <w:top w:val="none" w:sz="0" w:space="0" w:color="auto"/>
        <w:left w:val="none" w:sz="0" w:space="0" w:color="auto"/>
        <w:bottom w:val="none" w:sz="0" w:space="0" w:color="auto"/>
        <w:right w:val="none" w:sz="0" w:space="0" w:color="auto"/>
      </w:divBdr>
    </w:div>
    <w:div w:id="194464565">
      <w:bodyDiv w:val="1"/>
      <w:marLeft w:val="0"/>
      <w:marRight w:val="0"/>
      <w:marTop w:val="0"/>
      <w:marBottom w:val="0"/>
      <w:divBdr>
        <w:top w:val="none" w:sz="0" w:space="0" w:color="auto"/>
        <w:left w:val="none" w:sz="0" w:space="0" w:color="auto"/>
        <w:bottom w:val="none" w:sz="0" w:space="0" w:color="auto"/>
        <w:right w:val="none" w:sz="0" w:space="0" w:color="auto"/>
      </w:divBdr>
    </w:div>
    <w:div w:id="194929055">
      <w:bodyDiv w:val="1"/>
      <w:marLeft w:val="0"/>
      <w:marRight w:val="0"/>
      <w:marTop w:val="0"/>
      <w:marBottom w:val="0"/>
      <w:divBdr>
        <w:top w:val="none" w:sz="0" w:space="0" w:color="auto"/>
        <w:left w:val="none" w:sz="0" w:space="0" w:color="auto"/>
        <w:bottom w:val="none" w:sz="0" w:space="0" w:color="auto"/>
        <w:right w:val="none" w:sz="0" w:space="0" w:color="auto"/>
      </w:divBdr>
      <w:divsChild>
        <w:div w:id="402526039">
          <w:marLeft w:val="1800"/>
          <w:marRight w:val="0"/>
          <w:marTop w:val="96"/>
          <w:marBottom w:val="0"/>
          <w:divBdr>
            <w:top w:val="none" w:sz="0" w:space="0" w:color="auto"/>
            <w:left w:val="none" w:sz="0" w:space="0" w:color="auto"/>
            <w:bottom w:val="none" w:sz="0" w:space="0" w:color="auto"/>
            <w:right w:val="none" w:sz="0" w:space="0" w:color="auto"/>
          </w:divBdr>
        </w:div>
        <w:div w:id="484467068">
          <w:marLeft w:val="1166"/>
          <w:marRight w:val="0"/>
          <w:marTop w:val="115"/>
          <w:marBottom w:val="0"/>
          <w:divBdr>
            <w:top w:val="none" w:sz="0" w:space="0" w:color="auto"/>
            <w:left w:val="none" w:sz="0" w:space="0" w:color="auto"/>
            <w:bottom w:val="none" w:sz="0" w:space="0" w:color="auto"/>
            <w:right w:val="none" w:sz="0" w:space="0" w:color="auto"/>
          </w:divBdr>
        </w:div>
        <w:div w:id="586959289">
          <w:marLeft w:val="1166"/>
          <w:marRight w:val="0"/>
          <w:marTop w:val="115"/>
          <w:marBottom w:val="0"/>
          <w:divBdr>
            <w:top w:val="none" w:sz="0" w:space="0" w:color="auto"/>
            <w:left w:val="none" w:sz="0" w:space="0" w:color="auto"/>
            <w:bottom w:val="none" w:sz="0" w:space="0" w:color="auto"/>
            <w:right w:val="none" w:sz="0" w:space="0" w:color="auto"/>
          </w:divBdr>
        </w:div>
        <w:div w:id="694113219">
          <w:marLeft w:val="1800"/>
          <w:marRight w:val="0"/>
          <w:marTop w:val="96"/>
          <w:marBottom w:val="0"/>
          <w:divBdr>
            <w:top w:val="none" w:sz="0" w:space="0" w:color="auto"/>
            <w:left w:val="none" w:sz="0" w:space="0" w:color="auto"/>
            <w:bottom w:val="none" w:sz="0" w:space="0" w:color="auto"/>
            <w:right w:val="none" w:sz="0" w:space="0" w:color="auto"/>
          </w:divBdr>
        </w:div>
        <w:div w:id="995571734">
          <w:marLeft w:val="547"/>
          <w:marRight w:val="0"/>
          <w:marTop w:val="154"/>
          <w:marBottom w:val="0"/>
          <w:divBdr>
            <w:top w:val="none" w:sz="0" w:space="0" w:color="auto"/>
            <w:left w:val="none" w:sz="0" w:space="0" w:color="auto"/>
            <w:bottom w:val="none" w:sz="0" w:space="0" w:color="auto"/>
            <w:right w:val="none" w:sz="0" w:space="0" w:color="auto"/>
          </w:divBdr>
        </w:div>
        <w:div w:id="1068499923">
          <w:marLeft w:val="1166"/>
          <w:marRight w:val="0"/>
          <w:marTop w:val="115"/>
          <w:marBottom w:val="0"/>
          <w:divBdr>
            <w:top w:val="none" w:sz="0" w:space="0" w:color="auto"/>
            <w:left w:val="none" w:sz="0" w:space="0" w:color="auto"/>
            <w:bottom w:val="none" w:sz="0" w:space="0" w:color="auto"/>
            <w:right w:val="none" w:sz="0" w:space="0" w:color="auto"/>
          </w:divBdr>
        </w:div>
        <w:div w:id="1139542024">
          <w:marLeft w:val="1166"/>
          <w:marRight w:val="0"/>
          <w:marTop w:val="115"/>
          <w:marBottom w:val="0"/>
          <w:divBdr>
            <w:top w:val="none" w:sz="0" w:space="0" w:color="auto"/>
            <w:left w:val="none" w:sz="0" w:space="0" w:color="auto"/>
            <w:bottom w:val="none" w:sz="0" w:space="0" w:color="auto"/>
            <w:right w:val="none" w:sz="0" w:space="0" w:color="auto"/>
          </w:divBdr>
        </w:div>
        <w:div w:id="1382904481">
          <w:marLeft w:val="1166"/>
          <w:marRight w:val="0"/>
          <w:marTop w:val="115"/>
          <w:marBottom w:val="0"/>
          <w:divBdr>
            <w:top w:val="none" w:sz="0" w:space="0" w:color="auto"/>
            <w:left w:val="none" w:sz="0" w:space="0" w:color="auto"/>
            <w:bottom w:val="none" w:sz="0" w:space="0" w:color="auto"/>
            <w:right w:val="none" w:sz="0" w:space="0" w:color="auto"/>
          </w:divBdr>
        </w:div>
      </w:divsChild>
    </w:div>
    <w:div w:id="195046851">
      <w:bodyDiv w:val="1"/>
      <w:marLeft w:val="0"/>
      <w:marRight w:val="0"/>
      <w:marTop w:val="0"/>
      <w:marBottom w:val="0"/>
      <w:divBdr>
        <w:top w:val="none" w:sz="0" w:space="0" w:color="auto"/>
        <w:left w:val="none" w:sz="0" w:space="0" w:color="auto"/>
        <w:bottom w:val="none" w:sz="0" w:space="0" w:color="auto"/>
        <w:right w:val="none" w:sz="0" w:space="0" w:color="auto"/>
      </w:divBdr>
    </w:div>
    <w:div w:id="195312886">
      <w:bodyDiv w:val="1"/>
      <w:marLeft w:val="0"/>
      <w:marRight w:val="0"/>
      <w:marTop w:val="0"/>
      <w:marBottom w:val="0"/>
      <w:divBdr>
        <w:top w:val="none" w:sz="0" w:space="0" w:color="auto"/>
        <w:left w:val="none" w:sz="0" w:space="0" w:color="auto"/>
        <w:bottom w:val="none" w:sz="0" w:space="0" w:color="auto"/>
        <w:right w:val="none" w:sz="0" w:space="0" w:color="auto"/>
      </w:divBdr>
      <w:divsChild>
        <w:div w:id="713846632">
          <w:marLeft w:val="547"/>
          <w:marRight w:val="0"/>
          <w:marTop w:val="154"/>
          <w:marBottom w:val="0"/>
          <w:divBdr>
            <w:top w:val="none" w:sz="0" w:space="0" w:color="auto"/>
            <w:left w:val="none" w:sz="0" w:space="0" w:color="auto"/>
            <w:bottom w:val="none" w:sz="0" w:space="0" w:color="auto"/>
            <w:right w:val="none" w:sz="0" w:space="0" w:color="auto"/>
          </w:divBdr>
        </w:div>
      </w:divsChild>
    </w:div>
    <w:div w:id="195656167">
      <w:bodyDiv w:val="1"/>
      <w:marLeft w:val="0"/>
      <w:marRight w:val="0"/>
      <w:marTop w:val="0"/>
      <w:marBottom w:val="0"/>
      <w:divBdr>
        <w:top w:val="none" w:sz="0" w:space="0" w:color="auto"/>
        <w:left w:val="none" w:sz="0" w:space="0" w:color="auto"/>
        <w:bottom w:val="none" w:sz="0" w:space="0" w:color="auto"/>
        <w:right w:val="none" w:sz="0" w:space="0" w:color="auto"/>
      </w:divBdr>
      <w:divsChild>
        <w:div w:id="306668226">
          <w:marLeft w:val="547"/>
          <w:marRight w:val="0"/>
          <w:marTop w:val="115"/>
          <w:marBottom w:val="0"/>
          <w:divBdr>
            <w:top w:val="none" w:sz="0" w:space="0" w:color="auto"/>
            <w:left w:val="none" w:sz="0" w:space="0" w:color="auto"/>
            <w:bottom w:val="none" w:sz="0" w:space="0" w:color="auto"/>
            <w:right w:val="none" w:sz="0" w:space="0" w:color="auto"/>
          </w:divBdr>
        </w:div>
        <w:div w:id="838931387">
          <w:marLeft w:val="1166"/>
          <w:marRight w:val="0"/>
          <w:marTop w:val="96"/>
          <w:marBottom w:val="0"/>
          <w:divBdr>
            <w:top w:val="none" w:sz="0" w:space="0" w:color="auto"/>
            <w:left w:val="none" w:sz="0" w:space="0" w:color="auto"/>
            <w:bottom w:val="none" w:sz="0" w:space="0" w:color="auto"/>
            <w:right w:val="none" w:sz="0" w:space="0" w:color="auto"/>
          </w:divBdr>
        </w:div>
        <w:div w:id="1208570474">
          <w:marLeft w:val="1166"/>
          <w:marRight w:val="0"/>
          <w:marTop w:val="96"/>
          <w:marBottom w:val="0"/>
          <w:divBdr>
            <w:top w:val="none" w:sz="0" w:space="0" w:color="auto"/>
            <w:left w:val="none" w:sz="0" w:space="0" w:color="auto"/>
            <w:bottom w:val="none" w:sz="0" w:space="0" w:color="auto"/>
            <w:right w:val="none" w:sz="0" w:space="0" w:color="auto"/>
          </w:divBdr>
        </w:div>
      </w:divsChild>
    </w:div>
    <w:div w:id="196814679">
      <w:bodyDiv w:val="1"/>
      <w:marLeft w:val="0"/>
      <w:marRight w:val="0"/>
      <w:marTop w:val="0"/>
      <w:marBottom w:val="0"/>
      <w:divBdr>
        <w:top w:val="none" w:sz="0" w:space="0" w:color="auto"/>
        <w:left w:val="none" w:sz="0" w:space="0" w:color="auto"/>
        <w:bottom w:val="none" w:sz="0" w:space="0" w:color="auto"/>
        <w:right w:val="none" w:sz="0" w:space="0" w:color="auto"/>
      </w:divBdr>
    </w:div>
    <w:div w:id="197469048">
      <w:bodyDiv w:val="1"/>
      <w:marLeft w:val="0"/>
      <w:marRight w:val="0"/>
      <w:marTop w:val="0"/>
      <w:marBottom w:val="0"/>
      <w:divBdr>
        <w:top w:val="none" w:sz="0" w:space="0" w:color="auto"/>
        <w:left w:val="none" w:sz="0" w:space="0" w:color="auto"/>
        <w:bottom w:val="none" w:sz="0" w:space="0" w:color="auto"/>
        <w:right w:val="none" w:sz="0" w:space="0" w:color="auto"/>
      </w:divBdr>
    </w:div>
    <w:div w:id="199048695">
      <w:bodyDiv w:val="1"/>
      <w:marLeft w:val="0"/>
      <w:marRight w:val="0"/>
      <w:marTop w:val="0"/>
      <w:marBottom w:val="0"/>
      <w:divBdr>
        <w:top w:val="none" w:sz="0" w:space="0" w:color="auto"/>
        <w:left w:val="none" w:sz="0" w:space="0" w:color="auto"/>
        <w:bottom w:val="none" w:sz="0" w:space="0" w:color="auto"/>
        <w:right w:val="none" w:sz="0" w:space="0" w:color="auto"/>
      </w:divBdr>
    </w:div>
    <w:div w:id="199243865">
      <w:bodyDiv w:val="1"/>
      <w:marLeft w:val="0"/>
      <w:marRight w:val="0"/>
      <w:marTop w:val="0"/>
      <w:marBottom w:val="0"/>
      <w:divBdr>
        <w:top w:val="none" w:sz="0" w:space="0" w:color="auto"/>
        <w:left w:val="none" w:sz="0" w:space="0" w:color="auto"/>
        <w:bottom w:val="none" w:sz="0" w:space="0" w:color="auto"/>
        <w:right w:val="none" w:sz="0" w:space="0" w:color="auto"/>
      </w:divBdr>
    </w:div>
    <w:div w:id="200098760">
      <w:bodyDiv w:val="1"/>
      <w:marLeft w:val="0"/>
      <w:marRight w:val="0"/>
      <w:marTop w:val="0"/>
      <w:marBottom w:val="0"/>
      <w:divBdr>
        <w:top w:val="none" w:sz="0" w:space="0" w:color="auto"/>
        <w:left w:val="none" w:sz="0" w:space="0" w:color="auto"/>
        <w:bottom w:val="none" w:sz="0" w:space="0" w:color="auto"/>
        <w:right w:val="none" w:sz="0" w:space="0" w:color="auto"/>
      </w:divBdr>
    </w:div>
    <w:div w:id="200286730">
      <w:bodyDiv w:val="1"/>
      <w:marLeft w:val="0"/>
      <w:marRight w:val="0"/>
      <w:marTop w:val="0"/>
      <w:marBottom w:val="0"/>
      <w:divBdr>
        <w:top w:val="none" w:sz="0" w:space="0" w:color="auto"/>
        <w:left w:val="none" w:sz="0" w:space="0" w:color="auto"/>
        <w:bottom w:val="none" w:sz="0" w:space="0" w:color="auto"/>
        <w:right w:val="none" w:sz="0" w:space="0" w:color="auto"/>
      </w:divBdr>
    </w:div>
    <w:div w:id="201285819">
      <w:bodyDiv w:val="1"/>
      <w:marLeft w:val="0"/>
      <w:marRight w:val="0"/>
      <w:marTop w:val="0"/>
      <w:marBottom w:val="0"/>
      <w:divBdr>
        <w:top w:val="none" w:sz="0" w:space="0" w:color="auto"/>
        <w:left w:val="none" w:sz="0" w:space="0" w:color="auto"/>
        <w:bottom w:val="none" w:sz="0" w:space="0" w:color="auto"/>
        <w:right w:val="none" w:sz="0" w:space="0" w:color="auto"/>
      </w:divBdr>
      <w:divsChild>
        <w:div w:id="230627303">
          <w:marLeft w:val="0"/>
          <w:marRight w:val="0"/>
          <w:marTop w:val="0"/>
          <w:marBottom w:val="0"/>
          <w:divBdr>
            <w:top w:val="none" w:sz="0" w:space="0" w:color="auto"/>
            <w:left w:val="none" w:sz="0" w:space="0" w:color="auto"/>
            <w:bottom w:val="none" w:sz="0" w:space="0" w:color="auto"/>
            <w:right w:val="none" w:sz="0" w:space="0" w:color="auto"/>
          </w:divBdr>
        </w:div>
        <w:div w:id="659847803">
          <w:marLeft w:val="0"/>
          <w:marRight w:val="0"/>
          <w:marTop w:val="0"/>
          <w:marBottom w:val="0"/>
          <w:divBdr>
            <w:top w:val="none" w:sz="0" w:space="0" w:color="auto"/>
            <w:left w:val="none" w:sz="0" w:space="0" w:color="auto"/>
            <w:bottom w:val="none" w:sz="0" w:space="0" w:color="auto"/>
            <w:right w:val="none" w:sz="0" w:space="0" w:color="auto"/>
          </w:divBdr>
        </w:div>
        <w:div w:id="900334149">
          <w:marLeft w:val="0"/>
          <w:marRight w:val="0"/>
          <w:marTop w:val="0"/>
          <w:marBottom w:val="0"/>
          <w:divBdr>
            <w:top w:val="none" w:sz="0" w:space="0" w:color="auto"/>
            <w:left w:val="none" w:sz="0" w:space="0" w:color="auto"/>
            <w:bottom w:val="none" w:sz="0" w:space="0" w:color="auto"/>
            <w:right w:val="none" w:sz="0" w:space="0" w:color="auto"/>
          </w:divBdr>
        </w:div>
        <w:div w:id="1656183585">
          <w:marLeft w:val="0"/>
          <w:marRight w:val="0"/>
          <w:marTop w:val="0"/>
          <w:marBottom w:val="0"/>
          <w:divBdr>
            <w:top w:val="none" w:sz="0" w:space="0" w:color="auto"/>
            <w:left w:val="none" w:sz="0" w:space="0" w:color="auto"/>
            <w:bottom w:val="none" w:sz="0" w:space="0" w:color="auto"/>
            <w:right w:val="none" w:sz="0" w:space="0" w:color="auto"/>
          </w:divBdr>
        </w:div>
        <w:div w:id="1936554236">
          <w:marLeft w:val="0"/>
          <w:marRight w:val="0"/>
          <w:marTop w:val="0"/>
          <w:marBottom w:val="0"/>
          <w:divBdr>
            <w:top w:val="none" w:sz="0" w:space="0" w:color="auto"/>
            <w:left w:val="none" w:sz="0" w:space="0" w:color="auto"/>
            <w:bottom w:val="none" w:sz="0" w:space="0" w:color="auto"/>
            <w:right w:val="none" w:sz="0" w:space="0" w:color="auto"/>
          </w:divBdr>
        </w:div>
        <w:div w:id="2114015381">
          <w:marLeft w:val="0"/>
          <w:marRight w:val="0"/>
          <w:marTop w:val="0"/>
          <w:marBottom w:val="0"/>
          <w:divBdr>
            <w:top w:val="none" w:sz="0" w:space="0" w:color="auto"/>
            <w:left w:val="none" w:sz="0" w:space="0" w:color="auto"/>
            <w:bottom w:val="none" w:sz="0" w:space="0" w:color="auto"/>
            <w:right w:val="none" w:sz="0" w:space="0" w:color="auto"/>
          </w:divBdr>
        </w:div>
        <w:div w:id="2135516887">
          <w:marLeft w:val="0"/>
          <w:marRight w:val="0"/>
          <w:marTop w:val="0"/>
          <w:marBottom w:val="0"/>
          <w:divBdr>
            <w:top w:val="none" w:sz="0" w:space="0" w:color="auto"/>
            <w:left w:val="none" w:sz="0" w:space="0" w:color="auto"/>
            <w:bottom w:val="none" w:sz="0" w:space="0" w:color="auto"/>
            <w:right w:val="none" w:sz="0" w:space="0" w:color="auto"/>
          </w:divBdr>
        </w:div>
      </w:divsChild>
    </w:div>
    <w:div w:id="202059131">
      <w:bodyDiv w:val="1"/>
      <w:marLeft w:val="0"/>
      <w:marRight w:val="0"/>
      <w:marTop w:val="0"/>
      <w:marBottom w:val="0"/>
      <w:divBdr>
        <w:top w:val="none" w:sz="0" w:space="0" w:color="auto"/>
        <w:left w:val="none" w:sz="0" w:space="0" w:color="auto"/>
        <w:bottom w:val="none" w:sz="0" w:space="0" w:color="auto"/>
        <w:right w:val="none" w:sz="0" w:space="0" w:color="auto"/>
      </w:divBdr>
    </w:div>
    <w:div w:id="203098958">
      <w:bodyDiv w:val="1"/>
      <w:marLeft w:val="0"/>
      <w:marRight w:val="0"/>
      <w:marTop w:val="0"/>
      <w:marBottom w:val="0"/>
      <w:divBdr>
        <w:top w:val="none" w:sz="0" w:space="0" w:color="auto"/>
        <w:left w:val="none" w:sz="0" w:space="0" w:color="auto"/>
        <w:bottom w:val="none" w:sz="0" w:space="0" w:color="auto"/>
        <w:right w:val="none" w:sz="0" w:space="0" w:color="auto"/>
      </w:divBdr>
    </w:div>
    <w:div w:id="204828562">
      <w:bodyDiv w:val="1"/>
      <w:marLeft w:val="0"/>
      <w:marRight w:val="0"/>
      <w:marTop w:val="0"/>
      <w:marBottom w:val="0"/>
      <w:divBdr>
        <w:top w:val="none" w:sz="0" w:space="0" w:color="auto"/>
        <w:left w:val="none" w:sz="0" w:space="0" w:color="auto"/>
        <w:bottom w:val="none" w:sz="0" w:space="0" w:color="auto"/>
        <w:right w:val="none" w:sz="0" w:space="0" w:color="auto"/>
      </w:divBdr>
      <w:divsChild>
        <w:div w:id="999188811">
          <w:marLeft w:val="547"/>
          <w:marRight w:val="0"/>
          <w:marTop w:val="134"/>
          <w:marBottom w:val="0"/>
          <w:divBdr>
            <w:top w:val="none" w:sz="0" w:space="0" w:color="auto"/>
            <w:left w:val="none" w:sz="0" w:space="0" w:color="auto"/>
            <w:bottom w:val="none" w:sz="0" w:space="0" w:color="auto"/>
            <w:right w:val="none" w:sz="0" w:space="0" w:color="auto"/>
          </w:divBdr>
        </w:div>
        <w:div w:id="1066689401">
          <w:marLeft w:val="547"/>
          <w:marRight w:val="0"/>
          <w:marTop w:val="134"/>
          <w:marBottom w:val="0"/>
          <w:divBdr>
            <w:top w:val="none" w:sz="0" w:space="0" w:color="auto"/>
            <w:left w:val="none" w:sz="0" w:space="0" w:color="auto"/>
            <w:bottom w:val="none" w:sz="0" w:space="0" w:color="auto"/>
            <w:right w:val="none" w:sz="0" w:space="0" w:color="auto"/>
          </w:divBdr>
        </w:div>
        <w:div w:id="1581525162">
          <w:marLeft w:val="547"/>
          <w:marRight w:val="0"/>
          <w:marTop w:val="134"/>
          <w:marBottom w:val="0"/>
          <w:divBdr>
            <w:top w:val="none" w:sz="0" w:space="0" w:color="auto"/>
            <w:left w:val="none" w:sz="0" w:space="0" w:color="auto"/>
            <w:bottom w:val="none" w:sz="0" w:space="0" w:color="auto"/>
            <w:right w:val="none" w:sz="0" w:space="0" w:color="auto"/>
          </w:divBdr>
        </w:div>
        <w:div w:id="2062559104">
          <w:marLeft w:val="547"/>
          <w:marRight w:val="0"/>
          <w:marTop w:val="134"/>
          <w:marBottom w:val="0"/>
          <w:divBdr>
            <w:top w:val="none" w:sz="0" w:space="0" w:color="auto"/>
            <w:left w:val="none" w:sz="0" w:space="0" w:color="auto"/>
            <w:bottom w:val="none" w:sz="0" w:space="0" w:color="auto"/>
            <w:right w:val="none" w:sz="0" w:space="0" w:color="auto"/>
          </w:divBdr>
        </w:div>
        <w:div w:id="2111656054">
          <w:marLeft w:val="1166"/>
          <w:marRight w:val="0"/>
          <w:marTop w:val="115"/>
          <w:marBottom w:val="0"/>
          <w:divBdr>
            <w:top w:val="none" w:sz="0" w:space="0" w:color="auto"/>
            <w:left w:val="none" w:sz="0" w:space="0" w:color="auto"/>
            <w:bottom w:val="none" w:sz="0" w:space="0" w:color="auto"/>
            <w:right w:val="none" w:sz="0" w:space="0" w:color="auto"/>
          </w:divBdr>
        </w:div>
      </w:divsChild>
    </w:div>
    <w:div w:id="204830435">
      <w:bodyDiv w:val="1"/>
      <w:marLeft w:val="0"/>
      <w:marRight w:val="0"/>
      <w:marTop w:val="0"/>
      <w:marBottom w:val="0"/>
      <w:divBdr>
        <w:top w:val="none" w:sz="0" w:space="0" w:color="auto"/>
        <w:left w:val="none" w:sz="0" w:space="0" w:color="auto"/>
        <w:bottom w:val="none" w:sz="0" w:space="0" w:color="auto"/>
        <w:right w:val="none" w:sz="0" w:space="0" w:color="auto"/>
      </w:divBdr>
    </w:div>
    <w:div w:id="204950111">
      <w:bodyDiv w:val="1"/>
      <w:marLeft w:val="0"/>
      <w:marRight w:val="0"/>
      <w:marTop w:val="0"/>
      <w:marBottom w:val="0"/>
      <w:divBdr>
        <w:top w:val="none" w:sz="0" w:space="0" w:color="auto"/>
        <w:left w:val="none" w:sz="0" w:space="0" w:color="auto"/>
        <w:bottom w:val="none" w:sz="0" w:space="0" w:color="auto"/>
        <w:right w:val="none" w:sz="0" w:space="0" w:color="auto"/>
      </w:divBdr>
      <w:divsChild>
        <w:div w:id="1161851235">
          <w:marLeft w:val="0"/>
          <w:marRight w:val="0"/>
          <w:marTop w:val="0"/>
          <w:marBottom w:val="0"/>
          <w:divBdr>
            <w:top w:val="none" w:sz="0" w:space="0" w:color="auto"/>
            <w:left w:val="none" w:sz="0" w:space="0" w:color="auto"/>
            <w:bottom w:val="none" w:sz="0" w:space="0" w:color="auto"/>
            <w:right w:val="none" w:sz="0" w:space="0" w:color="auto"/>
          </w:divBdr>
        </w:div>
      </w:divsChild>
    </w:div>
    <w:div w:id="205602592">
      <w:bodyDiv w:val="1"/>
      <w:marLeft w:val="0"/>
      <w:marRight w:val="0"/>
      <w:marTop w:val="0"/>
      <w:marBottom w:val="0"/>
      <w:divBdr>
        <w:top w:val="none" w:sz="0" w:space="0" w:color="auto"/>
        <w:left w:val="none" w:sz="0" w:space="0" w:color="auto"/>
        <w:bottom w:val="none" w:sz="0" w:space="0" w:color="auto"/>
        <w:right w:val="none" w:sz="0" w:space="0" w:color="auto"/>
      </w:divBdr>
      <w:divsChild>
        <w:div w:id="31656146">
          <w:marLeft w:val="547"/>
          <w:marRight w:val="0"/>
          <w:marTop w:val="115"/>
          <w:marBottom w:val="0"/>
          <w:divBdr>
            <w:top w:val="none" w:sz="0" w:space="0" w:color="auto"/>
            <w:left w:val="none" w:sz="0" w:space="0" w:color="auto"/>
            <w:bottom w:val="none" w:sz="0" w:space="0" w:color="auto"/>
            <w:right w:val="none" w:sz="0" w:space="0" w:color="auto"/>
          </w:divBdr>
        </w:div>
        <w:div w:id="745105536">
          <w:marLeft w:val="1166"/>
          <w:marRight w:val="0"/>
          <w:marTop w:val="96"/>
          <w:marBottom w:val="0"/>
          <w:divBdr>
            <w:top w:val="none" w:sz="0" w:space="0" w:color="auto"/>
            <w:left w:val="none" w:sz="0" w:space="0" w:color="auto"/>
            <w:bottom w:val="none" w:sz="0" w:space="0" w:color="auto"/>
            <w:right w:val="none" w:sz="0" w:space="0" w:color="auto"/>
          </w:divBdr>
        </w:div>
        <w:div w:id="869956676">
          <w:marLeft w:val="1166"/>
          <w:marRight w:val="0"/>
          <w:marTop w:val="96"/>
          <w:marBottom w:val="0"/>
          <w:divBdr>
            <w:top w:val="none" w:sz="0" w:space="0" w:color="auto"/>
            <w:left w:val="none" w:sz="0" w:space="0" w:color="auto"/>
            <w:bottom w:val="none" w:sz="0" w:space="0" w:color="auto"/>
            <w:right w:val="none" w:sz="0" w:space="0" w:color="auto"/>
          </w:divBdr>
        </w:div>
        <w:div w:id="1853950028">
          <w:marLeft w:val="1166"/>
          <w:marRight w:val="0"/>
          <w:marTop w:val="96"/>
          <w:marBottom w:val="0"/>
          <w:divBdr>
            <w:top w:val="none" w:sz="0" w:space="0" w:color="auto"/>
            <w:left w:val="none" w:sz="0" w:space="0" w:color="auto"/>
            <w:bottom w:val="none" w:sz="0" w:space="0" w:color="auto"/>
            <w:right w:val="none" w:sz="0" w:space="0" w:color="auto"/>
          </w:divBdr>
        </w:div>
      </w:divsChild>
    </w:div>
    <w:div w:id="207305803">
      <w:bodyDiv w:val="1"/>
      <w:marLeft w:val="0"/>
      <w:marRight w:val="0"/>
      <w:marTop w:val="0"/>
      <w:marBottom w:val="0"/>
      <w:divBdr>
        <w:top w:val="none" w:sz="0" w:space="0" w:color="auto"/>
        <w:left w:val="none" w:sz="0" w:space="0" w:color="auto"/>
        <w:bottom w:val="none" w:sz="0" w:space="0" w:color="auto"/>
        <w:right w:val="none" w:sz="0" w:space="0" w:color="auto"/>
      </w:divBdr>
    </w:div>
    <w:div w:id="208684071">
      <w:bodyDiv w:val="1"/>
      <w:marLeft w:val="0"/>
      <w:marRight w:val="0"/>
      <w:marTop w:val="0"/>
      <w:marBottom w:val="0"/>
      <w:divBdr>
        <w:top w:val="none" w:sz="0" w:space="0" w:color="auto"/>
        <w:left w:val="none" w:sz="0" w:space="0" w:color="auto"/>
        <w:bottom w:val="none" w:sz="0" w:space="0" w:color="auto"/>
        <w:right w:val="none" w:sz="0" w:space="0" w:color="auto"/>
      </w:divBdr>
    </w:div>
    <w:div w:id="209651091">
      <w:bodyDiv w:val="1"/>
      <w:marLeft w:val="0"/>
      <w:marRight w:val="0"/>
      <w:marTop w:val="0"/>
      <w:marBottom w:val="0"/>
      <w:divBdr>
        <w:top w:val="none" w:sz="0" w:space="0" w:color="auto"/>
        <w:left w:val="none" w:sz="0" w:space="0" w:color="auto"/>
        <w:bottom w:val="none" w:sz="0" w:space="0" w:color="auto"/>
        <w:right w:val="none" w:sz="0" w:space="0" w:color="auto"/>
      </w:divBdr>
    </w:div>
    <w:div w:id="209728957">
      <w:bodyDiv w:val="1"/>
      <w:marLeft w:val="0"/>
      <w:marRight w:val="0"/>
      <w:marTop w:val="0"/>
      <w:marBottom w:val="0"/>
      <w:divBdr>
        <w:top w:val="none" w:sz="0" w:space="0" w:color="auto"/>
        <w:left w:val="none" w:sz="0" w:space="0" w:color="auto"/>
        <w:bottom w:val="none" w:sz="0" w:space="0" w:color="auto"/>
        <w:right w:val="none" w:sz="0" w:space="0" w:color="auto"/>
      </w:divBdr>
    </w:div>
    <w:div w:id="210266593">
      <w:bodyDiv w:val="1"/>
      <w:marLeft w:val="0"/>
      <w:marRight w:val="0"/>
      <w:marTop w:val="0"/>
      <w:marBottom w:val="0"/>
      <w:divBdr>
        <w:top w:val="none" w:sz="0" w:space="0" w:color="auto"/>
        <w:left w:val="none" w:sz="0" w:space="0" w:color="auto"/>
        <w:bottom w:val="none" w:sz="0" w:space="0" w:color="auto"/>
        <w:right w:val="none" w:sz="0" w:space="0" w:color="auto"/>
      </w:divBdr>
    </w:div>
    <w:div w:id="210769634">
      <w:bodyDiv w:val="1"/>
      <w:marLeft w:val="0"/>
      <w:marRight w:val="0"/>
      <w:marTop w:val="0"/>
      <w:marBottom w:val="0"/>
      <w:divBdr>
        <w:top w:val="none" w:sz="0" w:space="0" w:color="auto"/>
        <w:left w:val="none" w:sz="0" w:space="0" w:color="auto"/>
        <w:bottom w:val="none" w:sz="0" w:space="0" w:color="auto"/>
        <w:right w:val="none" w:sz="0" w:space="0" w:color="auto"/>
      </w:divBdr>
    </w:div>
    <w:div w:id="211232097">
      <w:bodyDiv w:val="1"/>
      <w:marLeft w:val="0"/>
      <w:marRight w:val="0"/>
      <w:marTop w:val="0"/>
      <w:marBottom w:val="0"/>
      <w:divBdr>
        <w:top w:val="none" w:sz="0" w:space="0" w:color="auto"/>
        <w:left w:val="none" w:sz="0" w:space="0" w:color="auto"/>
        <w:bottom w:val="none" w:sz="0" w:space="0" w:color="auto"/>
        <w:right w:val="none" w:sz="0" w:space="0" w:color="auto"/>
      </w:divBdr>
    </w:div>
    <w:div w:id="212039063">
      <w:bodyDiv w:val="1"/>
      <w:marLeft w:val="0"/>
      <w:marRight w:val="0"/>
      <w:marTop w:val="0"/>
      <w:marBottom w:val="0"/>
      <w:divBdr>
        <w:top w:val="none" w:sz="0" w:space="0" w:color="auto"/>
        <w:left w:val="none" w:sz="0" w:space="0" w:color="auto"/>
        <w:bottom w:val="none" w:sz="0" w:space="0" w:color="auto"/>
        <w:right w:val="none" w:sz="0" w:space="0" w:color="auto"/>
      </w:divBdr>
      <w:divsChild>
        <w:div w:id="398484597">
          <w:marLeft w:val="547"/>
          <w:marRight w:val="0"/>
          <w:marTop w:val="154"/>
          <w:marBottom w:val="0"/>
          <w:divBdr>
            <w:top w:val="none" w:sz="0" w:space="0" w:color="auto"/>
            <w:left w:val="none" w:sz="0" w:space="0" w:color="auto"/>
            <w:bottom w:val="none" w:sz="0" w:space="0" w:color="auto"/>
            <w:right w:val="none" w:sz="0" w:space="0" w:color="auto"/>
          </w:divBdr>
        </w:div>
        <w:div w:id="535434385">
          <w:marLeft w:val="1166"/>
          <w:marRight w:val="0"/>
          <w:marTop w:val="134"/>
          <w:marBottom w:val="0"/>
          <w:divBdr>
            <w:top w:val="none" w:sz="0" w:space="0" w:color="auto"/>
            <w:left w:val="none" w:sz="0" w:space="0" w:color="auto"/>
            <w:bottom w:val="none" w:sz="0" w:space="0" w:color="auto"/>
            <w:right w:val="none" w:sz="0" w:space="0" w:color="auto"/>
          </w:divBdr>
        </w:div>
        <w:div w:id="574432779">
          <w:marLeft w:val="1166"/>
          <w:marRight w:val="0"/>
          <w:marTop w:val="134"/>
          <w:marBottom w:val="0"/>
          <w:divBdr>
            <w:top w:val="none" w:sz="0" w:space="0" w:color="auto"/>
            <w:left w:val="none" w:sz="0" w:space="0" w:color="auto"/>
            <w:bottom w:val="none" w:sz="0" w:space="0" w:color="auto"/>
            <w:right w:val="none" w:sz="0" w:space="0" w:color="auto"/>
          </w:divBdr>
        </w:div>
      </w:divsChild>
    </w:div>
    <w:div w:id="212229441">
      <w:bodyDiv w:val="1"/>
      <w:marLeft w:val="0"/>
      <w:marRight w:val="0"/>
      <w:marTop w:val="0"/>
      <w:marBottom w:val="0"/>
      <w:divBdr>
        <w:top w:val="none" w:sz="0" w:space="0" w:color="auto"/>
        <w:left w:val="none" w:sz="0" w:space="0" w:color="auto"/>
        <w:bottom w:val="none" w:sz="0" w:space="0" w:color="auto"/>
        <w:right w:val="none" w:sz="0" w:space="0" w:color="auto"/>
      </w:divBdr>
    </w:div>
    <w:div w:id="212231233">
      <w:bodyDiv w:val="1"/>
      <w:marLeft w:val="0"/>
      <w:marRight w:val="0"/>
      <w:marTop w:val="0"/>
      <w:marBottom w:val="0"/>
      <w:divBdr>
        <w:top w:val="none" w:sz="0" w:space="0" w:color="auto"/>
        <w:left w:val="none" w:sz="0" w:space="0" w:color="auto"/>
        <w:bottom w:val="none" w:sz="0" w:space="0" w:color="auto"/>
        <w:right w:val="none" w:sz="0" w:space="0" w:color="auto"/>
      </w:divBdr>
      <w:divsChild>
        <w:div w:id="1148286745">
          <w:marLeft w:val="547"/>
          <w:marRight w:val="0"/>
          <w:marTop w:val="115"/>
          <w:marBottom w:val="0"/>
          <w:divBdr>
            <w:top w:val="none" w:sz="0" w:space="0" w:color="auto"/>
            <w:left w:val="none" w:sz="0" w:space="0" w:color="auto"/>
            <w:bottom w:val="none" w:sz="0" w:space="0" w:color="auto"/>
            <w:right w:val="none" w:sz="0" w:space="0" w:color="auto"/>
          </w:divBdr>
        </w:div>
        <w:div w:id="1316295818">
          <w:marLeft w:val="547"/>
          <w:marRight w:val="0"/>
          <w:marTop w:val="115"/>
          <w:marBottom w:val="0"/>
          <w:divBdr>
            <w:top w:val="none" w:sz="0" w:space="0" w:color="auto"/>
            <w:left w:val="none" w:sz="0" w:space="0" w:color="auto"/>
            <w:bottom w:val="none" w:sz="0" w:space="0" w:color="auto"/>
            <w:right w:val="none" w:sz="0" w:space="0" w:color="auto"/>
          </w:divBdr>
        </w:div>
      </w:divsChild>
    </w:div>
    <w:div w:id="213087276">
      <w:bodyDiv w:val="1"/>
      <w:marLeft w:val="0"/>
      <w:marRight w:val="0"/>
      <w:marTop w:val="0"/>
      <w:marBottom w:val="0"/>
      <w:divBdr>
        <w:top w:val="none" w:sz="0" w:space="0" w:color="auto"/>
        <w:left w:val="none" w:sz="0" w:space="0" w:color="auto"/>
        <w:bottom w:val="none" w:sz="0" w:space="0" w:color="auto"/>
        <w:right w:val="none" w:sz="0" w:space="0" w:color="auto"/>
      </w:divBdr>
    </w:div>
    <w:div w:id="215313281">
      <w:bodyDiv w:val="1"/>
      <w:marLeft w:val="0"/>
      <w:marRight w:val="0"/>
      <w:marTop w:val="0"/>
      <w:marBottom w:val="0"/>
      <w:divBdr>
        <w:top w:val="none" w:sz="0" w:space="0" w:color="auto"/>
        <w:left w:val="none" w:sz="0" w:space="0" w:color="auto"/>
        <w:bottom w:val="none" w:sz="0" w:space="0" w:color="auto"/>
        <w:right w:val="none" w:sz="0" w:space="0" w:color="auto"/>
      </w:divBdr>
      <w:divsChild>
        <w:div w:id="546909">
          <w:marLeft w:val="1166"/>
          <w:marRight w:val="0"/>
          <w:marTop w:val="106"/>
          <w:marBottom w:val="0"/>
          <w:divBdr>
            <w:top w:val="none" w:sz="0" w:space="0" w:color="auto"/>
            <w:left w:val="none" w:sz="0" w:space="0" w:color="auto"/>
            <w:bottom w:val="none" w:sz="0" w:space="0" w:color="auto"/>
            <w:right w:val="none" w:sz="0" w:space="0" w:color="auto"/>
          </w:divBdr>
        </w:div>
        <w:div w:id="657926543">
          <w:marLeft w:val="547"/>
          <w:marRight w:val="0"/>
          <w:marTop w:val="125"/>
          <w:marBottom w:val="0"/>
          <w:divBdr>
            <w:top w:val="none" w:sz="0" w:space="0" w:color="auto"/>
            <w:left w:val="none" w:sz="0" w:space="0" w:color="auto"/>
            <w:bottom w:val="none" w:sz="0" w:space="0" w:color="auto"/>
            <w:right w:val="none" w:sz="0" w:space="0" w:color="auto"/>
          </w:divBdr>
        </w:div>
        <w:div w:id="754320583">
          <w:marLeft w:val="1166"/>
          <w:marRight w:val="0"/>
          <w:marTop w:val="106"/>
          <w:marBottom w:val="0"/>
          <w:divBdr>
            <w:top w:val="none" w:sz="0" w:space="0" w:color="auto"/>
            <w:left w:val="none" w:sz="0" w:space="0" w:color="auto"/>
            <w:bottom w:val="none" w:sz="0" w:space="0" w:color="auto"/>
            <w:right w:val="none" w:sz="0" w:space="0" w:color="auto"/>
          </w:divBdr>
        </w:div>
        <w:div w:id="855272450">
          <w:marLeft w:val="1800"/>
          <w:marRight w:val="0"/>
          <w:marTop w:val="91"/>
          <w:marBottom w:val="0"/>
          <w:divBdr>
            <w:top w:val="none" w:sz="0" w:space="0" w:color="auto"/>
            <w:left w:val="none" w:sz="0" w:space="0" w:color="auto"/>
            <w:bottom w:val="none" w:sz="0" w:space="0" w:color="auto"/>
            <w:right w:val="none" w:sz="0" w:space="0" w:color="auto"/>
          </w:divBdr>
        </w:div>
        <w:div w:id="1142622421">
          <w:marLeft w:val="1166"/>
          <w:marRight w:val="0"/>
          <w:marTop w:val="106"/>
          <w:marBottom w:val="0"/>
          <w:divBdr>
            <w:top w:val="none" w:sz="0" w:space="0" w:color="auto"/>
            <w:left w:val="none" w:sz="0" w:space="0" w:color="auto"/>
            <w:bottom w:val="none" w:sz="0" w:space="0" w:color="auto"/>
            <w:right w:val="none" w:sz="0" w:space="0" w:color="auto"/>
          </w:divBdr>
        </w:div>
        <w:div w:id="1754622576">
          <w:marLeft w:val="547"/>
          <w:marRight w:val="0"/>
          <w:marTop w:val="125"/>
          <w:marBottom w:val="0"/>
          <w:divBdr>
            <w:top w:val="none" w:sz="0" w:space="0" w:color="auto"/>
            <w:left w:val="none" w:sz="0" w:space="0" w:color="auto"/>
            <w:bottom w:val="none" w:sz="0" w:space="0" w:color="auto"/>
            <w:right w:val="none" w:sz="0" w:space="0" w:color="auto"/>
          </w:divBdr>
        </w:div>
        <w:div w:id="1781993837">
          <w:marLeft w:val="1800"/>
          <w:marRight w:val="0"/>
          <w:marTop w:val="91"/>
          <w:marBottom w:val="0"/>
          <w:divBdr>
            <w:top w:val="none" w:sz="0" w:space="0" w:color="auto"/>
            <w:left w:val="none" w:sz="0" w:space="0" w:color="auto"/>
            <w:bottom w:val="none" w:sz="0" w:space="0" w:color="auto"/>
            <w:right w:val="none" w:sz="0" w:space="0" w:color="auto"/>
          </w:divBdr>
        </w:div>
        <w:div w:id="2019458482">
          <w:marLeft w:val="1166"/>
          <w:marRight w:val="0"/>
          <w:marTop w:val="106"/>
          <w:marBottom w:val="0"/>
          <w:divBdr>
            <w:top w:val="none" w:sz="0" w:space="0" w:color="auto"/>
            <w:left w:val="none" w:sz="0" w:space="0" w:color="auto"/>
            <w:bottom w:val="none" w:sz="0" w:space="0" w:color="auto"/>
            <w:right w:val="none" w:sz="0" w:space="0" w:color="auto"/>
          </w:divBdr>
        </w:div>
        <w:div w:id="2119526821">
          <w:marLeft w:val="1800"/>
          <w:marRight w:val="0"/>
          <w:marTop w:val="91"/>
          <w:marBottom w:val="0"/>
          <w:divBdr>
            <w:top w:val="none" w:sz="0" w:space="0" w:color="auto"/>
            <w:left w:val="none" w:sz="0" w:space="0" w:color="auto"/>
            <w:bottom w:val="none" w:sz="0" w:space="0" w:color="auto"/>
            <w:right w:val="none" w:sz="0" w:space="0" w:color="auto"/>
          </w:divBdr>
        </w:div>
      </w:divsChild>
    </w:div>
    <w:div w:id="215436159">
      <w:bodyDiv w:val="1"/>
      <w:marLeft w:val="0"/>
      <w:marRight w:val="0"/>
      <w:marTop w:val="0"/>
      <w:marBottom w:val="0"/>
      <w:divBdr>
        <w:top w:val="none" w:sz="0" w:space="0" w:color="auto"/>
        <w:left w:val="none" w:sz="0" w:space="0" w:color="auto"/>
        <w:bottom w:val="none" w:sz="0" w:space="0" w:color="auto"/>
        <w:right w:val="none" w:sz="0" w:space="0" w:color="auto"/>
      </w:divBdr>
    </w:div>
    <w:div w:id="216087801">
      <w:bodyDiv w:val="1"/>
      <w:marLeft w:val="0"/>
      <w:marRight w:val="0"/>
      <w:marTop w:val="0"/>
      <w:marBottom w:val="0"/>
      <w:divBdr>
        <w:top w:val="none" w:sz="0" w:space="0" w:color="auto"/>
        <w:left w:val="none" w:sz="0" w:space="0" w:color="auto"/>
        <w:bottom w:val="none" w:sz="0" w:space="0" w:color="auto"/>
        <w:right w:val="none" w:sz="0" w:space="0" w:color="auto"/>
      </w:divBdr>
    </w:div>
    <w:div w:id="216551591">
      <w:bodyDiv w:val="1"/>
      <w:marLeft w:val="0"/>
      <w:marRight w:val="0"/>
      <w:marTop w:val="0"/>
      <w:marBottom w:val="0"/>
      <w:divBdr>
        <w:top w:val="none" w:sz="0" w:space="0" w:color="auto"/>
        <w:left w:val="none" w:sz="0" w:space="0" w:color="auto"/>
        <w:bottom w:val="none" w:sz="0" w:space="0" w:color="auto"/>
        <w:right w:val="none" w:sz="0" w:space="0" w:color="auto"/>
      </w:divBdr>
    </w:div>
    <w:div w:id="216821788">
      <w:bodyDiv w:val="1"/>
      <w:marLeft w:val="0"/>
      <w:marRight w:val="0"/>
      <w:marTop w:val="0"/>
      <w:marBottom w:val="0"/>
      <w:divBdr>
        <w:top w:val="none" w:sz="0" w:space="0" w:color="auto"/>
        <w:left w:val="none" w:sz="0" w:space="0" w:color="auto"/>
        <w:bottom w:val="none" w:sz="0" w:space="0" w:color="auto"/>
        <w:right w:val="none" w:sz="0" w:space="0" w:color="auto"/>
      </w:divBdr>
    </w:div>
    <w:div w:id="218051616">
      <w:bodyDiv w:val="1"/>
      <w:marLeft w:val="0"/>
      <w:marRight w:val="0"/>
      <w:marTop w:val="0"/>
      <w:marBottom w:val="0"/>
      <w:divBdr>
        <w:top w:val="none" w:sz="0" w:space="0" w:color="auto"/>
        <w:left w:val="none" w:sz="0" w:space="0" w:color="auto"/>
        <w:bottom w:val="none" w:sz="0" w:space="0" w:color="auto"/>
        <w:right w:val="none" w:sz="0" w:space="0" w:color="auto"/>
      </w:divBdr>
    </w:div>
    <w:div w:id="218244909">
      <w:bodyDiv w:val="1"/>
      <w:marLeft w:val="0"/>
      <w:marRight w:val="0"/>
      <w:marTop w:val="0"/>
      <w:marBottom w:val="0"/>
      <w:divBdr>
        <w:top w:val="none" w:sz="0" w:space="0" w:color="auto"/>
        <w:left w:val="none" w:sz="0" w:space="0" w:color="auto"/>
        <w:bottom w:val="none" w:sz="0" w:space="0" w:color="auto"/>
        <w:right w:val="none" w:sz="0" w:space="0" w:color="auto"/>
      </w:divBdr>
    </w:div>
    <w:div w:id="219094971">
      <w:bodyDiv w:val="1"/>
      <w:marLeft w:val="0"/>
      <w:marRight w:val="0"/>
      <w:marTop w:val="0"/>
      <w:marBottom w:val="0"/>
      <w:divBdr>
        <w:top w:val="none" w:sz="0" w:space="0" w:color="auto"/>
        <w:left w:val="none" w:sz="0" w:space="0" w:color="auto"/>
        <w:bottom w:val="none" w:sz="0" w:space="0" w:color="auto"/>
        <w:right w:val="none" w:sz="0" w:space="0" w:color="auto"/>
      </w:divBdr>
    </w:div>
    <w:div w:id="219833259">
      <w:bodyDiv w:val="1"/>
      <w:marLeft w:val="0"/>
      <w:marRight w:val="0"/>
      <w:marTop w:val="0"/>
      <w:marBottom w:val="0"/>
      <w:divBdr>
        <w:top w:val="none" w:sz="0" w:space="0" w:color="auto"/>
        <w:left w:val="none" w:sz="0" w:space="0" w:color="auto"/>
        <w:bottom w:val="none" w:sz="0" w:space="0" w:color="auto"/>
        <w:right w:val="none" w:sz="0" w:space="0" w:color="auto"/>
      </w:divBdr>
      <w:divsChild>
        <w:div w:id="559904046">
          <w:marLeft w:val="1166"/>
          <w:marRight w:val="0"/>
          <w:marTop w:val="96"/>
          <w:marBottom w:val="0"/>
          <w:divBdr>
            <w:top w:val="none" w:sz="0" w:space="0" w:color="auto"/>
            <w:left w:val="none" w:sz="0" w:space="0" w:color="auto"/>
            <w:bottom w:val="none" w:sz="0" w:space="0" w:color="auto"/>
            <w:right w:val="none" w:sz="0" w:space="0" w:color="auto"/>
          </w:divBdr>
        </w:div>
        <w:div w:id="716048713">
          <w:marLeft w:val="547"/>
          <w:marRight w:val="0"/>
          <w:marTop w:val="115"/>
          <w:marBottom w:val="0"/>
          <w:divBdr>
            <w:top w:val="none" w:sz="0" w:space="0" w:color="auto"/>
            <w:left w:val="none" w:sz="0" w:space="0" w:color="auto"/>
            <w:bottom w:val="none" w:sz="0" w:space="0" w:color="auto"/>
            <w:right w:val="none" w:sz="0" w:space="0" w:color="auto"/>
          </w:divBdr>
        </w:div>
        <w:div w:id="1414010473">
          <w:marLeft w:val="1166"/>
          <w:marRight w:val="0"/>
          <w:marTop w:val="96"/>
          <w:marBottom w:val="0"/>
          <w:divBdr>
            <w:top w:val="none" w:sz="0" w:space="0" w:color="auto"/>
            <w:left w:val="none" w:sz="0" w:space="0" w:color="auto"/>
            <w:bottom w:val="none" w:sz="0" w:space="0" w:color="auto"/>
            <w:right w:val="none" w:sz="0" w:space="0" w:color="auto"/>
          </w:divBdr>
        </w:div>
        <w:div w:id="1724056620">
          <w:marLeft w:val="547"/>
          <w:marRight w:val="0"/>
          <w:marTop w:val="115"/>
          <w:marBottom w:val="0"/>
          <w:divBdr>
            <w:top w:val="none" w:sz="0" w:space="0" w:color="auto"/>
            <w:left w:val="none" w:sz="0" w:space="0" w:color="auto"/>
            <w:bottom w:val="none" w:sz="0" w:space="0" w:color="auto"/>
            <w:right w:val="none" w:sz="0" w:space="0" w:color="auto"/>
          </w:divBdr>
        </w:div>
        <w:div w:id="1883133425">
          <w:marLeft w:val="547"/>
          <w:marRight w:val="0"/>
          <w:marTop w:val="115"/>
          <w:marBottom w:val="0"/>
          <w:divBdr>
            <w:top w:val="none" w:sz="0" w:space="0" w:color="auto"/>
            <w:left w:val="none" w:sz="0" w:space="0" w:color="auto"/>
            <w:bottom w:val="none" w:sz="0" w:space="0" w:color="auto"/>
            <w:right w:val="none" w:sz="0" w:space="0" w:color="auto"/>
          </w:divBdr>
        </w:div>
      </w:divsChild>
    </w:div>
    <w:div w:id="219948106">
      <w:bodyDiv w:val="1"/>
      <w:marLeft w:val="0"/>
      <w:marRight w:val="0"/>
      <w:marTop w:val="0"/>
      <w:marBottom w:val="0"/>
      <w:divBdr>
        <w:top w:val="none" w:sz="0" w:space="0" w:color="auto"/>
        <w:left w:val="none" w:sz="0" w:space="0" w:color="auto"/>
        <w:bottom w:val="none" w:sz="0" w:space="0" w:color="auto"/>
        <w:right w:val="none" w:sz="0" w:space="0" w:color="auto"/>
      </w:divBdr>
    </w:div>
    <w:div w:id="220406487">
      <w:bodyDiv w:val="1"/>
      <w:marLeft w:val="0"/>
      <w:marRight w:val="0"/>
      <w:marTop w:val="0"/>
      <w:marBottom w:val="0"/>
      <w:divBdr>
        <w:top w:val="none" w:sz="0" w:space="0" w:color="auto"/>
        <w:left w:val="none" w:sz="0" w:space="0" w:color="auto"/>
        <w:bottom w:val="none" w:sz="0" w:space="0" w:color="auto"/>
        <w:right w:val="none" w:sz="0" w:space="0" w:color="auto"/>
      </w:divBdr>
    </w:div>
    <w:div w:id="220486051">
      <w:bodyDiv w:val="1"/>
      <w:marLeft w:val="0"/>
      <w:marRight w:val="0"/>
      <w:marTop w:val="0"/>
      <w:marBottom w:val="0"/>
      <w:divBdr>
        <w:top w:val="none" w:sz="0" w:space="0" w:color="auto"/>
        <w:left w:val="none" w:sz="0" w:space="0" w:color="auto"/>
        <w:bottom w:val="none" w:sz="0" w:space="0" w:color="auto"/>
        <w:right w:val="none" w:sz="0" w:space="0" w:color="auto"/>
      </w:divBdr>
    </w:div>
    <w:div w:id="221674103">
      <w:bodyDiv w:val="1"/>
      <w:marLeft w:val="0"/>
      <w:marRight w:val="0"/>
      <w:marTop w:val="0"/>
      <w:marBottom w:val="0"/>
      <w:divBdr>
        <w:top w:val="none" w:sz="0" w:space="0" w:color="auto"/>
        <w:left w:val="none" w:sz="0" w:space="0" w:color="auto"/>
        <w:bottom w:val="none" w:sz="0" w:space="0" w:color="auto"/>
        <w:right w:val="none" w:sz="0" w:space="0" w:color="auto"/>
      </w:divBdr>
    </w:div>
    <w:div w:id="222059550">
      <w:bodyDiv w:val="1"/>
      <w:marLeft w:val="0"/>
      <w:marRight w:val="0"/>
      <w:marTop w:val="0"/>
      <w:marBottom w:val="0"/>
      <w:divBdr>
        <w:top w:val="none" w:sz="0" w:space="0" w:color="auto"/>
        <w:left w:val="none" w:sz="0" w:space="0" w:color="auto"/>
        <w:bottom w:val="none" w:sz="0" w:space="0" w:color="auto"/>
        <w:right w:val="none" w:sz="0" w:space="0" w:color="auto"/>
      </w:divBdr>
      <w:divsChild>
        <w:div w:id="1550527708">
          <w:marLeft w:val="0"/>
          <w:marRight w:val="0"/>
          <w:marTop w:val="0"/>
          <w:marBottom w:val="0"/>
          <w:divBdr>
            <w:top w:val="none" w:sz="0" w:space="0" w:color="auto"/>
            <w:left w:val="none" w:sz="0" w:space="0" w:color="auto"/>
            <w:bottom w:val="none" w:sz="0" w:space="0" w:color="auto"/>
            <w:right w:val="none" w:sz="0" w:space="0" w:color="auto"/>
          </w:divBdr>
        </w:div>
      </w:divsChild>
    </w:div>
    <w:div w:id="222520401">
      <w:bodyDiv w:val="1"/>
      <w:marLeft w:val="0"/>
      <w:marRight w:val="0"/>
      <w:marTop w:val="0"/>
      <w:marBottom w:val="0"/>
      <w:divBdr>
        <w:top w:val="none" w:sz="0" w:space="0" w:color="auto"/>
        <w:left w:val="none" w:sz="0" w:space="0" w:color="auto"/>
        <w:bottom w:val="none" w:sz="0" w:space="0" w:color="auto"/>
        <w:right w:val="none" w:sz="0" w:space="0" w:color="auto"/>
      </w:divBdr>
    </w:div>
    <w:div w:id="224534211">
      <w:bodyDiv w:val="1"/>
      <w:marLeft w:val="0"/>
      <w:marRight w:val="0"/>
      <w:marTop w:val="0"/>
      <w:marBottom w:val="0"/>
      <w:divBdr>
        <w:top w:val="none" w:sz="0" w:space="0" w:color="auto"/>
        <w:left w:val="none" w:sz="0" w:space="0" w:color="auto"/>
        <w:bottom w:val="none" w:sz="0" w:space="0" w:color="auto"/>
        <w:right w:val="none" w:sz="0" w:space="0" w:color="auto"/>
      </w:divBdr>
      <w:divsChild>
        <w:div w:id="107899014">
          <w:marLeft w:val="1800"/>
          <w:marRight w:val="0"/>
          <w:marTop w:val="77"/>
          <w:marBottom w:val="0"/>
          <w:divBdr>
            <w:top w:val="none" w:sz="0" w:space="0" w:color="auto"/>
            <w:left w:val="none" w:sz="0" w:space="0" w:color="auto"/>
            <w:bottom w:val="none" w:sz="0" w:space="0" w:color="auto"/>
            <w:right w:val="none" w:sz="0" w:space="0" w:color="auto"/>
          </w:divBdr>
        </w:div>
        <w:div w:id="269969566">
          <w:marLeft w:val="1800"/>
          <w:marRight w:val="0"/>
          <w:marTop w:val="77"/>
          <w:marBottom w:val="0"/>
          <w:divBdr>
            <w:top w:val="none" w:sz="0" w:space="0" w:color="auto"/>
            <w:left w:val="none" w:sz="0" w:space="0" w:color="auto"/>
            <w:bottom w:val="none" w:sz="0" w:space="0" w:color="auto"/>
            <w:right w:val="none" w:sz="0" w:space="0" w:color="auto"/>
          </w:divBdr>
        </w:div>
        <w:div w:id="282348874">
          <w:marLeft w:val="547"/>
          <w:marRight w:val="0"/>
          <w:marTop w:val="96"/>
          <w:marBottom w:val="0"/>
          <w:divBdr>
            <w:top w:val="none" w:sz="0" w:space="0" w:color="auto"/>
            <w:left w:val="none" w:sz="0" w:space="0" w:color="auto"/>
            <w:bottom w:val="none" w:sz="0" w:space="0" w:color="auto"/>
            <w:right w:val="none" w:sz="0" w:space="0" w:color="auto"/>
          </w:divBdr>
        </w:div>
        <w:div w:id="560096325">
          <w:marLeft w:val="1800"/>
          <w:marRight w:val="0"/>
          <w:marTop w:val="77"/>
          <w:marBottom w:val="0"/>
          <w:divBdr>
            <w:top w:val="none" w:sz="0" w:space="0" w:color="auto"/>
            <w:left w:val="none" w:sz="0" w:space="0" w:color="auto"/>
            <w:bottom w:val="none" w:sz="0" w:space="0" w:color="auto"/>
            <w:right w:val="none" w:sz="0" w:space="0" w:color="auto"/>
          </w:divBdr>
        </w:div>
        <w:div w:id="617177834">
          <w:marLeft w:val="1166"/>
          <w:marRight w:val="0"/>
          <w:marTop w:val="96"/>
          <w:marBottom w:val="0"/>
          <w:divBdr>
            <w:top w:val="none" w:sz="0" w:space="0" w:color="auto"/>
            <w:left w:val="none" w:sz="0" w:space="0" w:color="auto"/>
            <w:bottom w:val="none" w:sz="0" w:space="0" w:color="auto"/>
            <w:right w:val="none" w:sz="0" w:space="0" w:color="auto"/>
          </w:divBdr>
        </w:div>
        <w:div w:id="674187116">
          <w:marLeft w:val="1800"/>
          <w:marRight w:val="0"/>
          <w:marTop w:val="77"/>
          <w:marBottom w:val="0"/>
          <w:divBdr>
            <w:top w:val="none" w:sz="0" w:space="0" w:color="auto"/>
            <w:left w:val="none" w:sz="0" w:space="0" w:color="auto"/>
            <w:bottom w:val="none" w:sz="0" w:space="0" w:color="auto"/>
            <w:right w:val="none" w:sz="0" w:space="0" w:color="auto"/>
          </w:divBdr>
        </w:div>
        <w:div w:id="1095982834">
          <w:marLeft w:val="1166"/>
          <w:marRight w:val="0"/>
          <w:marTop w:val="96"/>
          <w:marBottom w:val="0"/>
          <w:divBdr>
            <w:top w:val="none" w:sz="0" w:space="0" w:color="auto"/>
            <w:left w:val="none" w:sz="0" w:space="0" w:color="auto"/>
            <w:bottom w:val="none" w:sz="0" w:space="0" w:color="auto"/>
            <w:right w:val="none" w:sz="0" w:space="0" w:color="auto"/>
          </w:divBdr>
        </w:div>
        <w:div w:id="1266226144">
          <w:marLeft w:val="1800"/>
          <w:marRight w:val="0"/>
          <w:marTop w:val="77"/>
          <w:marBottom w:val="0"/>
          <w:divBdr>
            <w:top w:val="none" w:sz="0" w:space="0" w:color="auto"/>
            <w:left w:val="none" w:sz="0" w:space="0" w:color="auto"/>
            <w:bottom w:val="none" w:sz="0" w:space="0" w:color="auto"/>
            <w:right w:val="none" w:sz="0" w:space="0" w:color="auto"/>
          </w:divBdr>
        </w:div>
        <w:div w:id="1417021134">
          <w:marLeft w:val="1166"/>
          <w:marRight w:val="0"/>
          <w:marTop w:val="96"/>
          <w:marBottom w:val="0"/>
          <w:divBdr>
            <w:top w:val="none" w:sz="0" w:space="0" w:color="auto"/>
            <w:left w:val="none" w:sz="0" w:space="0" w:color="auto"/>
            <w:bottom w:val="none" w:sz="0" w:space="0" w:color="auto"/>
            <w:right w:val="none" w:sz="0" w:space="0" w:color="auto"/>
          </w:divBdr>
        </w:div>
        <w:div w:id="1662393593">
          <w:marLeft w:val="1800"/>
          <w:marRight w:val="0"/>
          <w:marTop w:val="77"/>
          <w:marBottom w:val="0"/>
          <w:divBdr>
            <w:top w:val="none" w:sz="0" w:space="0" w:color="auto"/>
            <w:left w:val="none" w:sz="0" w:space="0" w:color="auto"/>
            <w:bottom w:val="none" w:sz="0" w:space="0" w:color="auto"/>
            <w:right w:val="none" w:sz="0" w:space="0" w:color="auto"/>
          </w:divBdr>
        </w:div>
        <w:div w:id="1925723997">
          <w:marLeft w:val="1800"/>
          <w:marRight w:val="0"/>
          <w:marTop w:val="77"/>
          <w:marBottom w:val="0"/>
          <w:divBdr>
            <w:top w:val="none" w:sz="0" w:space="0" w:color="auto"/>
            <w:left w:val="none" w:sz="0" w:space="0" w:color="auto"/>
            <w:bottom w:val="none" w:sz="0" w:space="0" w:color="auto"/>
            <w:right w:val="none" w:sz="0" w:space="0" w:color="auto"/>
          </w:divBdr>
        </w:div>
      </w:divsChild>
    </w:div>
    <w:div w:id="227226708">
      <w:bodyDiv w:val="1"/>
      <w:marLeft w:val="0"/>
      <w:marRight w:val="0"/>
      <w:marTop w:val="0"/>
      <w:marBottom w:val="0"/>
      <w:divBdr>
        <w:top w:val="none" w:sz="0" w:space="0" w:color="auto"/>
        <w:left w:val="none" w:sz="0" w:space="0" w:color="auto"/>
        <w:bottom w:val="none" w:sz="0" w:space="0" w:color="auto"/>
        <w:right w:val="none" w:sz="0" w:space="0" w:color="auto"/>
      </w:divBdr>
    </w:div>
    <w:div w:id="228196697">
      <w:bodyDiv w:val="1"/>
      <w:marLeft w:val="0"/>
      <w:marRight w:val="0"/>
      <w:marTop w:val="0"/>
      <w:marBottom w:val="0"/>
      <w:divBdr>
        <w:top w:val="none" w:sz="0" w:space="0" w:color="auto"/>
        <w:left w:val="none" w:sz="0" w:space="0" w:color="auto"/>
        <w:bottom w:val="none" w:sz="0" w:space="0" w:color="auto"/>
        <w:right w:val="none" w:sz="0" w:space="0" w:color="auto"/>
      </w:divBdr>
    </w:div>
    <w:div w:id="230694962">
      <w:bodyDiv w:val="1"/>
      <w:marLeft w:val="0"/>
      <w:marRight w:val="0"/>
      <w:marTop w:val="0"/>
      <w:marBottom w:val="0"/>
      <w:divBdr>
        <w:top w:val="none" w:sz="0" w:space="0" w:color="auto"/>
        <w:left w:val="none" w:sz="0" w:space="0" w:color="auto"/>
        <w:bottom w:val="none" w:sz="0" w:space="0" w:color="auto"/>
        <w:right w:val="none" w:sz="0" w:space="0" w:color="auto"/>
      </w:divBdr>
      <w:divsChild>
        <w:div w:id="326710112">
          <w:marLeft w:val="547"/>
          <w:marRight w:val="0"/>
          <w:marTop w:val="115"/>
          <w:marBottom w:val="0"/>
          <w:divBdr>
            <w:top w:val="none" w:sz="0" w:space="0" w:color="auto"/>
            <w:left w:val="none" w:sz="0" w:space="0" w:color="auto"/>
            <w:bottom w:val="none" w:sz="0" w:space="0" w:color="auto"/>
            <w:right w:val="none" w:sz="0" w:space="0" w:color="auto"/>
          </w:divBdr>
        </w:div>
        <w:div w:id="1281303024">
          <w:marLeft w:val="1166"/>
          <w:marRight w:val="0"/>
          <w:marTop w:val="96"/>
          <w:marBottom w:val="0"/>
          <w:divBdr>
            <w:top w:val="none" w:sz="0" w:space="0" w:color="auto"/>
            <w:left w:val="none" w:sz="0" w:space="0" w:color="auto"/>
            <w:bottom w:val="none" w:sz="0" w:space="0" w:color="auto"/>
            <w:right w:val="none" w:sz="0" w:space="0" w:color="auto"/>
          </w:divBdr>
        </w:div>
        <w:div w:id="1561868422">
          <w:marLeft w:val="547"/>
          <w:marRight w:val="0"/>
          <w:marTop w:val="115"/>
          <w:marBottom w:val="0"/>
          <w:divBdr>
            <w:top w:val="none" w:sz="0" w:space="0" w:color="auto"/>
            <w:left w:val="none" w:sz="0" w:space="0" w:color="auto"/>
            <w:bottom w:val="none" w:sz="0" w:space="0" w:color="auto"/>
            <w:right w:val="none" w:sz="0" w:space="0" w:color="auto"/>
          </w:divBdr>
        </w:div>
      </w:divsChild>
    </w:div>
    <w:div w:id="230777444">
      <w:bodyDiv w:val="1"/>
      <w:marLeft w:val="0"/>
      <w:marRight w:val="0"/>
      <w:marTop w:val="0"/>
      <w:marBottom w:val="0"/>
      <w:divBdr>
        <w:top w:val="none" w:sz="0" w:space="0" w:color="auto"/>
        <w:left w:val="none" w:sz="0" w:space="0" w:color="auto"/>
        <w:bottom w:val="none" w:sz="0" w:space="0" w:color="auto"/>
        <w:right w:val="none" w:sz="0" w:space="0" w:color="auto"/>
      </w:divBdr>
    </w:div>
    <w:div w:id="231239395">
      <w:bodyDiv w:val="1"/>
      <w:marLeft w:val="0"/>
      <w:marRight w:val="0"/>
      <w:marTop w:val="0"/>
      <w:marBottom w:val="0"/>
      <w:divBdr>
        <w:top w:val="none" w:sz="0" w:space="0" w:color="auto"/>
        <w:left w:val="none" w:sz="0" w:space="0" w:color="auto"/>
        <w:bottom w:val="none" w:sz="0" w:space="0" w:color="auto"/>
        <w:right w:val="none" w:sz="0" w:space="0" w:color="auto"/>
      </w:divBdr>
      <w:divsChild>
        <w:div w:id="145124460">
          <w:marLeft w:val="547"/>
          <w:marRight w:val="0"/>
          <w:marTop w:val="72"/>
          <w:marBottom w:val="0"/>
          <w:divBdr>
            <w:top w:val="none" w:sz="0" w:space="0" w:color="auto"/>
            <w:left w:val="none" w:sz="0" w:space="0" w:color="auto"/>
            <w:bottom w:val="none" w:sz="0" w:space="0" w:color="auto"/>
            <w:right w:val="none" w:sz="0" w:space="0" w:color="auto"/>
          </w:divBdr>
        </w:div>
        <w:div w:id="379986676">
          <w:marLeft w:val="1166"/>
          <w:marRight w:val="0"/>
          <w:marTop w:val="62"/>
          <w:marBottom w:val="0"/>
          <w:divBdr>
            <w:top w:val="none" w:sz="0" w:space="0" w:color="auto"/>
            <w:left w:val="none" w:sz="0" w:space="0" w:color="auto"/>
            <w:bottom w:val="none" w:sz="0" w:space="0" w:color="auto"/>
            <w:right w:val="none" w:sz="0" w:space="0" w:color="auto"/>
          </w:divBdr>
        </w:div>
        <w:div w:id="426661626">
          <w:marLeft w:val="2520"/>
          <w:marRight w:val="0"/>
          <w:marTop w:val="48"/>
          <w:marBottom w:val="0"/>
          <w:divBdr>
            <w:top w:val="none" w:sz="0" w:space="0" w:color="auto"/>
            <w:left w:val="none" w:sz="0" w:space="0" w:color="auto"/>
            <w:bottom w:val="none" w:sz="0" w:space="0" w:color="auto"/>
            <w:right w:val="none" w:sz="0" w:space="0" w:color="auto"/>
          </w:divBdr>
        </w:div>
        <w:div w:id="497229590">
          <w:marLeft w:val="2520"/>
          <w:marRight w:val="0"/>
          <w:marTop w:val="48"/>
          <w:marBottom w:val="0"/>
          <w:divBdr>
            <w:top w:val="none" w:sz="0" w:space="0" w:color="auto"/>
            <w:left w:val="none" w:sz="0" w:space="0" w:color="auto"/>
            <w:bottom w:val="none" w:sz="0" w:space="0" w:color="auto"/>
            <w:right w:val="none" w:sz="0" w:space="0" w:color="auto"/>
          </w:divBdr>
        </w:div>
        <w:div w:id="508377466">
          <w:marLeft w:val="1166"/>
          <w:marRight w:val="0"/>
          <w:marTop w:val="62"/>
          <w:marBottom w:val="0"/>
          <w:divBdr>
            <w:top w:val="none" w:sz="0" w:space="0" w:color="auto"/>
            <w:left w:val="none" w:sz="0" w:space="0" w:color="auto"/>
            <w:bottom w:val="none" w:sz="0" w:space="0" w:color="auto"/>
            <w:right w:val="none" w:sz="0" w:space="0" w:color="auto"/>
          </w:divBdr>
        </w:div>
        <w:div w:id="605121512">
          <w:marLeft w:val="2520"/>
          <w:marRight w:val="0"/>
          <w:marTop w:val="48"/>
          <w:marBottom w:val="0"/>
          <w:divBdr>
            <w:top w:val="none" w:sz="0" w:space="0" w:color="auto"/>
            <w:left w:val="none" w:sz="0" w:space="0" w:color="auto"/>
            <w:bottom w:val="none" w:sz="0" w:space="0" w:color="auto"/>
            <w:right w:val="none" w:sz="0" w:space="0" w:color="auto"/>
          </w:divBdr>
        </w:div>
        <w:div w:id="867647925">
          <w:marLeft w:val="1800"/>
          <w:marRight w:val="0"/>
          <w:marTop w:val="53"/>
          <w:marBottom w:val="0"/>
          <w:divBdr>
            <w:top w:val="none" w:sz="0" w:space="0" w:color="auto"/>
            <w:left w:val="none" w:sz="0" w:space="0" w:color="auto"/>
            <w:bottom w:val="none" w:sz="0" w:space="0" w:color="auto"/>
            <w:right w:val="none" w:sz="0" w:space="0" w:color="auto"/>
          </w:divBdr>
        </w:div>
        <w:div w:id="878670145">
          <w:marLeft w:val="1166"/>
          <w:marRight w:val="0"/>
          <w:marTop w:val="62"/>
          <w:marBottom w:val="0"/>
          <w:divBdr>
            <w:top w:val="none" w:sz="0" w:space="0" w:color="auto"/>
            <w:left w:val="none" w:sz="0" w:space="0" w:color="auto"/>
            <w:bottom w:val="none" w:sz="0" w:space="0" w:color="auto"/>
            <w:right w:val="none" w:sz="0" w:space="0" w:color="auto"/>
          </w:divBdr>
        </w:div>
        <w:div w:id="934049939">
          <w:marLeft w:val="1800"/>
          <w:marRight w:val="0"/>
          <w:marTop w:val="53"/>
          <w:marBottom w:val="0"/>
          <w:divBdr>
            <w:top w:val="none" w:sz="0" w:space="0" w:color="auto"/>
            <w:left w:val="none" w:sz="0" w:space="0" w:color="auto"/>
            <w:bottom w:val="none" w:sz="0" w:space="0" w:color="auto"/>
            <w:right w:val="none" w:sz="0" w:space="0" w:color="auto"/>
          </w:divBdr>
        </w:div>
        <w:div w:id="970593080">
          <w:marLeft w:val="1800"/>
          <w:marRight w:val="0"/>
          <w:marTop w:val="53"/>
          <w:marBottom w:val="0"/>
          <w:divBdr>
            <w:top w:val="none" w:sz="0" w:space="0" w:color="auto"/>
            <w:left w:val="none" w:sz="0" w:space="0" w:color="auto"/>
            <w:bottom w:val="none" w:sz="0" w:space="0" w:color="auto"/>
            <w:right w:val="none" w:sz="0" w:space="0" w:color="auto"/>
          </w:divBdr>
        </w:div>
        <w:div w:id="1320303413">
          <w:marLeft w:val="1166"/>
          <w:marRight w:val="0"/>
          <w:marTop w:val="62"/>
          <w:marBottom w:val="0"/>
          <w:divBdr>
            <w:top w:val="none" w:sz="0" w:space="0" w:color="auto"/>
            <w:left w:val="none" w:sz="0" w:space="0" w:color="auto"/>
            <w:bottom w:val="none" w:sz="0" w:space="0" w:color="auto"/>
            <w:right w:val="none" w:sz="0" w:space="0" w:color="auto"/>
          </w:divBdr>
        </w:div>
        <w:div w:id="1362055290">
          <w:marLeft w:val="1800"/>
          <w:marRight w:val="0"/>
          <w:marTop w:val="53"/>
          <w:marBottom w:val="0"/>
          <w:divBdr>
            <w:top w:val="none" w:sz="0" w:space="0" w:color="auto"/>
            <w:left w:val="none" w:sz="0" w:space="0" w:color="auto"/>
            <w:bottom w:val="none" w:sz="0" w:space="0" w:color="auto"/>
            <w:right w:val="none" w:sz="0" w:space="0" w:color="auto"/>
          </w:divBdr>
        </w:div>
        <w:div w:id="1491291890">
          <w:marLeft w:val="1800"/>
          <w:marRight w:val="0"/>
          <w:marTop w:val="53"/>
          <w:marBottom w:val="0"/>
          <w:divBdr>
            <w:top w:val="none" w:sz="0" w:space="0" w:color="auto"/>
            <w:left w:val="none" w:sz="0" w:space="0" w:color="auto"/>
            <w:bottom w:val="none" w:sz="0" w:space="0" w:color="auto"/>
            <w:right w:val="none" w:sz="0" w:space="0" w:color="auto"/>
          </w:divBdr>
        </w:div>
        <w:div w:id="1491604434">
          <w:marLeft w:val="2520"/>
          <w:marRight w:val="0"/>
          <w:marTop w:val="48"/>
          <w:marBottom w:val="0"/>
          <w:divBdr>
            <w:top w:val="none" w:sz="0" w:space="0" w:color="auto"/>
            <w:left w:val="none" w:sz="0" w:space="0" w:color="auto"/>
            <w:bottom w:val="none" w:sz="0" w:space="0" w:color="auto"/>
            <w:right w:val="none" w:sz="0" w:space="0" w:color="auto"/>
          </w:divBdr>
        </w:div>
        <w:div w:id="1570460784">
          <w:marLeft w:val="547"/>
          <w:marRight w:val="0"/>
          <w:marTop w:val="72"/>
          <w:marBottom w:val="0"/>
          <w:divBdr>
            <w:top w:val="none" w:sz="0" w:space="0" w:color="auto"/>
            <w:left w:val="none" w:sz="0" w:space="0" w:color="auto"/>
            <w:bottom w:val="none" w:sz="0" w:space="0" w:color="auto"/>
            <w:right w:val="none" w:sz="0" w:space="0" w:color="auto"/>
          </w:divBdr>
        </w:div>
        <w:div w:id="1621107288">
          <w:marLeft w:val="1800"/>
          <w:marRight w:val="0"/>
          <w:marTop w:val="53"/>
          <w:marBottom w:val="0"/>
          <w:divBdr>
            <w:top w:val="none" w:sz="0" w:space="0" w:color="auto"/>
            <w:left w:val="none" w:sz="0" w:space="0" w:color="auto"/>
            <w:bottom w:val="none" w:sz="0" w:space="0" w:color="auto"/>
            <w:right w:val="none" w:sz="0" w:space="0" w:color="auto"/>
          </w:divBdr>
        </w:div>
        <w:div w:id="1675067360">
          <w:marLeft w:val="1166"/>
          <w:marRight w:val="0"/>
          <w:marTop w:val="62"/>
          <w:marBottom w:val="0"/>
          <w:divBdr>
            <w:top w:val="none" w:sz="0" w:space="0" w:color="auto"/>
            <w:left w:val="none" w:sz="0" w:space="0" w:color="auto"/>
            <w:bottom w:val="none" w:sz="0" w:space="0" w:color="auto"/>
            <w:right w:val="none" w:sz="0" w:space="0" w:color="auto"/>
          </w:divBdr>
        </w:div>
        <w:div w:id="1688099109">
          <w:marLeft w:val="1800"/>
          <w:marRight w:val="0"/>
          <w:marTop w:val="53"/>
          <w:marBottom w:val="0"/>
          <w:divBdr>
            <w:top w:val="none" w:sz="0" w:space="0" w:color="auto"/>
            <w:left w:val="none" w:sz="0" w:space="0" w:color="auto"/>
            <w:bottom w:val="none" w:sz="0" w:space="0" w:color="auto"/>
            <w:right w:val="none" w:sz="0" w:space="0" w:color="auto"/>
          </w:divBdr>
        </w:div>
        <w:div w:id="1845632110">
          <w:marLeft w:val="1166"/>
          <w:marRight w:val="0"/>
          <w:marTop w:val="62"/>
          <w:marBottom w:val="0"/>
          <w:divBdr>
            <w:top w:val="none" w:sz="0" w:space="0" w:color="auto"/>
            <w:left w:val="none" w:sz="0" w:space="0" w:color="auto"/>
            <w:bottom w:val="none" w:sz="0" w:space="0" w:color="auto"/>
            <w:right w:val="none" w:sz="0" w:space="0" w:color="auto"/>
          </w:divBdr>
        </w:div>
        <w:div w:id="2008360209">
          <w:marLeft w:val="1166"/>
          <w:marRight w:val="0"/>
          <w:marTop w:val="62"/>
          <w:marBottom w:val="0"/>
          <w:divBdr>
            <w:top w:val="none" w:sz="0" w:space="0" w:color="auto"/>
            <w:left w:val="none" w:sz="0" w:space="0" w:color="auto"/>
            <w:bottom w:val="none" w:sz="0" w:space="0" w:color="auto"/>
            <w:right w:val="none" w:sz="0" w:space="0" w:color="auto"/>
          </w:divBdr>
        </w:div>
      </w:divsChild>
    </w:div>
    <w:div w:id="231354636">
      <w:bodyDiv w:val="1"/>
      <w:marLeft w:val="0"/>
      <w:marRight w:val="0"/>
      <w:marTop w:val="0"/>
      <w:marBottom w:val="0"/>
      <w:divBdr>
        <w:top w:val="none" w:sz="0" w:space="0" w:color="auto"/>
        <w:left w:val="none" w:sz="0" w:space="0" w:color="auto"/>
        <w:bottom w:val="none" w:sz="0" w:space="0" w:color="auto"/>
        <w:right w:val="none" w:sz="0" w:space="0" w:color="auto"/>
      </w:divBdr>
    </w:div>
    <w:div w:id="232008426">
      <w:bodyDiv w:val="1"/>
      <w:marLeft w:val="0"/>
      <w:marRight w:val="0"/>
      <w:marTop w:val="0"/>
      <w:marBottom w:val="0"/>
      <w:divBdr>
        <w:top w:val="none" w:sz="0" w:space="0" w:color="auto"/>
        <w:left w:val="none" w:sz="0" w:space="0" w:color="auto"/>
        <w:bottom w:val="none" w:sz="0" w:space="0" w:color="auto"/>
        <w:right w:val="none" w:sz="0" w:space="0" w:color="auto"/>
      </w:divBdr>
      <w:divsChild>
        <w:div w:id="999845129">
          <w:marLeft w:val="0"/>
          <w:marRight w:val="0"/>
          <w:marTop w:val="0"/>
          <w:marBottom w:val="0"/>
          <w:divBdr>
            <w:top w:val="none" w:sz="0" w:space="0" w:color="auto"/>
            <w:left w:val="none" w:sz="0" w:space="0" w:color="auto"/>
            <w:bottom w:val="none" w:sz="0" w:space="0" w:color="auto"/>
            <w:right w:val="none" w:sz="0" w:space="0" w:color="auto"/>
          </w:divBdr>
          <w:divsChild>
            <w:div w:id="319577577">
              <w:marLeft w:val="0"/>
              <w:marRight w:val="0"/>
              <w:marTop w:val="0"/>
              <w:marBottom w:val="0"/>
              <w:divBdr>
                <w:top w:val="none" w:sz="0" w:space="0" w:color="auto"/>
                <w:left w:val="none" w:sz="0" w:space="0" w:color="auto"/>
                <w:bottom w:val="none" w:sz="0" w:space="0" w:color="auto"/>
                <w:right w:val="none" w:sz="0" w:space="0" w:color="auto"/>
              </w:divBdr>
            </w:div>
            <w:div w:id="830220835">
              <w:marLeft w:val="0"/>
              <w:marRight w:val="0"/>
              <w:marTop w:val="0"/>
              <w:marBottom w:val="0"/>
              <w:divBdr>
                <w:top w:val="none" w:sz="0" w:space="0" w:color="auto"/>
                <w:left w:val="none" w:sz="0" w:space="0" w:color="auto"/>
                <w:bottom w:val="none" w:sz="0" w:space="0" w:color="auto"/>
                <w:right w:val="none" w:sz="0" w:space="0" w:color="auto"/>
              </w:divBdr>
            </w:div>
            <w:div w:id="16980048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32743610">
      <w:bodyDiv w:val="1"/>
      <w:marLeft w:val="0"/>
      <w:marRight w:val="0"/>
      <w:marTop w:val="0"/>
      <w:marBottom w:val="0"/>
      <w:divBdr>
        <w:top w:val="none" w:sz="0" w:space="0" w:color="auto"/>
        <w:left w:val="none" w:sz="0" w:space="0" w:color="auto"/>
        <w:bottom w:val="none" w:sz="0" w:space="0" w:color="auto"/>
        <w:right w:val="none" w:sz="0" w:space="0" w:color="auto"/>
      </w:divBdr>
    </w:div>
    <w:div w:id="232744496">
      <w:bodyDiv w:val="1"/>
      <w:marLeft w:val="0"/>
      <w:marRight w:val="0"/>
      <w:marTop w:val="0"/>
      <w:marBottom w:val="0"/>
      <w:divBdr>
        <w:top w:val="none" w:sz="0" w:space="0" w:color="auto"/>
        <w:left w:val="none" w:sz="0" w:space="0" w:color="auto"/>
        <w:bottom w:val="none" w:sz="0" w:space="0" w:color="auto"/>
        <w:right w:val="none" w:sz="0" w:space="0" w:color="auto"/>
      </w:divBdr>
      <w:divsChild>
        <w:div w:id="1316951469">
          <w:marLeft w:val="0"/>
          <w:marRight w:val="0"/>
          <w:marTop w:val="0"/>
          <w:marBottom w:val="0"/>
          <w:divBdr>
            <w:top w:val="none" w:sz="0" w:space="0" w:color="auto"/>
            <w:left w:val="none" w:sz="0" w:space="0" w:color="auto"/>
            <w:bottom w:val="none" w:sz="0" w:space="0" w:color="auto"/>
            <w:right w:val="none" w:sz="0" w:space="0" w:color="auto"/>
          </w:divBdr>
          <w:divsChild>
            <w:div w:id="17633572">
              <w:marLeft w:val="0"/>
              <w:marRight w:val="0"/>
              <w:marTop w:val="0"/>
              <w:marBottom w:val="0"/>
              <w:divBdr>
                <w:top w:val="none" w:sz="0" w:space="0" w:color="auto"/>
                <w:left w:val="none" w:sz="0" w:space="0" w:color="auto"/>
                <w:bottom w:val="none" w:sz="0" w:space="0" w:color="auto"/>
                <w:right w:val="none" w:sz="0" w:space="0" w:color="auto"/>
              </w:divBdr>
            </w:div>
            <w:div w:id="357584346">
              <w:marLeft w:val="0"/>
              <w:marRight w:val="0"/>
              <w:marTop w:val="0"/>
              <w:marBottom w:val="0"/>
              <w:divBdr>
                <w:top w:val="none" w:sz="0" w:space="0" w:color="auto"/>
                <w:left w:val="none" w:sz="0" w:space="0" w:color="auto"/>
                <w:bottom w:val="none" w:sz="0" w:space="0" w:color="auto"/>
                <w:right w:val="none" w:sz="0" w:space="0" w:color="auto"/>
              </w:divBdr>
            </w:div>
            <w:div w:id="370804259">
              <w:marLeft w:val="0"/>
              <w:marRight w:val="0"/>
              <w:marTop w:val="0"/>
              <w:marBottom w:val="0"/>
              <w:divBdr>
                <w:top w:val="none" w:sz="0" w:space="0" w:color="auto"/>
                <w:left w:val="none" w:sz="0" w:space="0" w:color="auto"/>
                <w:bottom w:val="none" w:sz="0" w:space="0" w:color="auto"/>
                <w:right w:val="none" w:sz="0" w:space="0" w:color="auto"/>
              </w:divBdr>
            </w:div>
            <w:div w:id="1042750239">
              <w:marLeft w:val="0"/>
              <w:marRight w:val="0"/>
              <w:marTop w:val="0"/>
              <w:marBottom w:val="0"/>
              <w:divBdr>
                <w:top w:val="none" w:sz="0" w:space="0" w:color="auto"/>
                <w:left w:val="none" w:sz="0" w:space="0" w:color="auto"/>
                <w:bottom w:val="none" w:sz="0" w:space="0" w:color="auto"/>
                <w:right w:val="none" w:sz="0" w:space="0" w:color="auto"/>
              </w:divBdr>
            </w:div>
            <w:div w:id="1331711881">
              <w:marLeft w:val="0"/>
              <w:marRight w:val="0"/>
              <w:marTop w:val="0"/>
              <w:marBottom w:val="0"/>
              <w:divBdr>
                <w:top w:val="none" w:sz="0" w:space="0" w:color="auto"/>
                <w:left w:val="none" w:sz="0" w:space="0" w:color="auto"/>
                <w:bottom w:val="none" w:sz="0" w:space="0" w:color="auto"/>
                <w:right w:val="none" w:sz="0" w:space="0" w:color="auto"/>
              </w:divBdr>
            </w:div>
            <w:div w:id="1340818090">
              <w:marLeft w:val="0"/>
              <w:marRight w:val="0"/>
              <w:marTop w:val="0"/>
              <w:marBottom w:val="0"/>
              <w:divBdr>
                <w:top w:val="none" w:sz="0" w:space="0" w:color="auto"/>
                <w:left w:val="none" w:sz="0" w:space="0" w:color="auto"/>
                <w:bottom w:val="none" w:sz="0" w:space="0" w:color="auto"/>
                <w:right w:val="none" w:sz="0" w:space="0" w:color="auto"/>
              </w:divBdr>
            </w:div>
            <w:div w:id="1498032984">
              <w:marLeft w:val="0"/>
              <w:marRight w:val="0"/>
              <w:marTop w:val="0"/>
              <w:marBottom w:val="0"/>
              <w:divBdr>
                <w:top w:val="none" w:sz="0" w:space="0" w:color="auto"/>
                <w:left w:val="none" w:sz="0" w:space="0" w:color="auto"/>
                <w:bottom w:val="none" w:sz="0" w:space="0" w:color="auto"/>
                <w:right w:val="none" w:sz="0" w:space="0" w:color="auto"/>
              </w:divBdr>
            </w:div>
            <w:div w:id="1602059294">
              <w:marLeft w:val="0"/>
              <w:marRight w:val="0"/>
              <w:marTop w:val="0"/>
              <w:marBottom w:val="0"/>
              <w:divBdr>
                <w:top w:val="none" w:sz="0" w:space="0" w:color="auto"/>
                <w:left w:val="none" w:sz="0" w:space="0" w:color="auto"/>
                <w:bottom w:val="none" w:sz="0" w:space="0" w:color="auto"/>
                <w:right w:val="none" w:sz="0" w:space="0" w:color="auto"/>
              </w:divBdr>
            </w:div>
            <w:div w:id="1635477528">
              <w:marLeft w:val="0"/>
              <w:marRight w:val="0"/>
              <w:marTop w:val="0"/>
              <w:marBottom w:val="0"/>
              <w:divBdr>
                <w:top w:val="none" w:sz="0" w:space="0" w:color="auto"/>
                <w:left w:val="none" w:sz="0" w:space="0" w:color="auto"/>
                <w:bottom w:val="none" w:sz="0" w:space="0" w:color="auto"/>
                <w:right w:val="none" w:sz="0" w:space="0" w:color="auto"/>
              </w:divBdr>
            </w:div>
            <w:div w:id="1867863969">
              <w:marLeft w:val="0"/>
              <w:marRight w:val="0"/>
              <w:marTop w:val="0"/>
              <w:marBottom w:val="0"/>
              <w:divBdr>
                <w:top w:val="none" w:sz="0" w:space="0" w:color="auto"/>
                <w:left w:val="none" w:sz="0" w:space="0" w:color="auto"/>
                <w:bottom w:val="none" w:sz="0" w:space="0" w:color="auto"/>
                <w:right w:val="none" w:sz="0" w:space="0" w:color="auto"/>
              </w:divBdr>
            </w:div>
            <w:div w:id="1992562722">
              <w:marLeft w:val="0"/>
              <w:marRight w:val="0"/>
              <w:marTop w:val="0"/>
              <w:marBottom w:val="0"/>
              <w:divBdr>
                <w:top w:val="none" w:sz="0" w:space="0" w:color="auto"/>
                <w:left w:val="none" w:sz="0" w:space="0" w:color="auto"/>
                <w:bottom w:val="none" w:sz="0" w:space="0" w:color="auto"/>
                <w:right w:val="none" w:sz="0" w:space="0" w:color="auto"/>
              </w:divBdr>
            </w:div>
            <w:div w:id="21140828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33243852">
      <w:bodyDiv w:val="1"/>
      <w:marLeft w:val="0"/>
      <w:marRight w:val="0"/>
      <w:marTop w:val="0"/>
      <w:marBottom w:val="0"/>
      <w:divBdr>
        <w:top w:val="none" w:sz="0" w:space="0" w:color="auto"/>
        <w:left w:val="none" w:sz="0" w:space="0" w:color="auto"/>
        <w:bottom w:val="none" w:sz="0" w:space="0" w:color="auto"/>
        <w:right w:val="none" w:sz="0" w:space="0" w:color="auto"/>
      </w:divBdr>
    </w:div>
    <w:div w:id="233976987">
      <w:bodyDiv w:val="1"/>
      <w:marLeft w:val="0"/>
      <w:marRight w:val="0"/>
      <w:marTop w:val="0"/>
      <w:marBottom w:val="0"/>
      <w:divBdr>
        <w:top w:val="none" w:sz="0" w:space="0" w:color="auto"/>
        <w:left w:val="none" w:sz="0" w:space="0" w:color="auto"/>
        <w:bottom w:val="none" w:sz="0" w:space="0" w:color="auto"/>
        <w:right w:val="none" w:sz="0" w:space="0" w:color="auto"/>
      </w:divBdr>
    </w:div>
    <w:div w:id="234441678">
      <w:bodyDiv w:val="1"/>
      <w:marLeft w:val="0"/>
      <w:marRight w:val="0"/>
      <w:marTop w:val="0"/>
      <w:marBottom w:val="0"/>
      <w:divBdr>
        <w:top w:val="none" w:sz="0" w:space="0" w:color="auto"/>
        <w:left w:val="none" w:sz="0" w:space="0" w:color="auto"/>
        <w:bottom w:val="none" w:sz="0" w:space="0" w:color="auto"/>
        <w:right w:val="none" w:sz="0" w:space="0" w:color="auto"/>
      </w:divBdr>
    </w:div>
    <w:div w:id="234509001">
      <w:bodyDiv w:val="1"/>
      <w:marLeft w:val="0"/>
      <w:marRight w:val="0"/>
      <w:marTop w:val="0"/>
      <w:marBottom w:val="0"/>
      <w:divBdr>
        <w:top w:val="none" w:sz="0" w:space="0" w:color="auto"/>
        <w:left w:val="none" w:sz="0" w:space="0" w:color="auto"/>
        <w:bottom w:val="none" w:sz="0" w:space="0" w:color="auto"/>
        <w:right w:val="none" w:sz="0" w:space="0" w:color="auto"/>
      </w:divBdr>
    </w:div>
    <w:div w:id="234559886">
      <w:bodyDiv w:val="1"/>
      <w:marLeft w:val="0"/>
      <w:marRight w:val="0"/>
      <w:marTop w:val="0"/>
      <w:marBottom w:val="0"/>
      <w:divBdr>
        <w:top w:val="none" w:sz="0" w:space="0" w:color="auto"/>
        <w:left w:val="none" w:sz="0" w:space="0" w:color="auto"/>
        <w:bottom w:val="none" w:sz="0" w:space="0" w:color="auto"/>
        <w:right w:val="none" w:sz="0" w:space="0" w:color="auto"/>
      </w:divBdr>
      <w:divsChild>
        <w:div w:id="343288050">
          <w:marLeft w:val="1166"/>
          <w:marRight w:val="0"/>
          <w:marTop w:val="115"/>
          <w:marBottom w:val="0"/>
          <w:divBdr>
            <w:top w:val="none" w:sz="0" w:space="0" w:color="auto"/>
            <w:left w:val="none" w:sz="0" w:space="0" w:color="auto"/>
            <w:bottom w:val="none" w:sz="0" w:space="0" w:color="auto"/>
            <w:right w:val="none" w:sz="0" w:space="0" w:color="auto"/>
          </w:divBdr>
        </w:div>
        <w:div w:id="1132789917">
          <w:marLeft w:val="1166"/>
          <w:marRight w:val="0"/>
          <w:marTop w:val="115"/>
          <w:marBottom w:val="0"/>
          <w:divBdr>
            <w:top w:val="none" w:sz="0" w:space="0" w:color="auto"/>
            <w:left w:val="none" w:sz="0" w:space="0" w:color="auto"/>
            <w:bottom w:val="none" w:sz="0" w:space="0" w:color="auto"/>
            <w:right w:val="none" w:sz="0" w:space="0" w:color="auto"/>
          </w:divBdr>
        </w:div>
        <w:div w:id="1471898601">
          <w:marLeft w:val="547"/>
          <w:marRight w:val="0"/>
          <w:marTop w:val="134"/>
          <w:marBottom w:val="0"/>
          <w:divBdr>
            <w:top w:val="none" w:sz="0" w:space="0" w:color="auto"/>
            <w:left w:val="none" w:sz="0" w:space="0" w:color="auto"/>
            <w:bottom w:val="none" w:sz="0" w:space="0" w:color="auto"/>
            <w:right w:val="none" w:sz="0" w:space="0" w:color="auto"/>
          </w:divBdr>
        </w:div>
        <w:div w:id="1660572175">
          <w:marLeft w:val="547"/>
          <w:marRight w:val="0"/>
          <w:marTop w:val="134"/>
          <w:marBottom w:val="0"/>
          <w:divBdr>
            <w:top w:val="none" w:sz="0" w:space="0" w:color="auto"/>
            <w:left w:val="none" w:sz="0" w:space="0" w:color="auto"/>
            <w:bottom w:val="none" w:sz="0" w:space="0" w:color="auto"/>
            <w:right w:val="none" w:sz="0" w:space="0" w:color="auto"/>
          </w:divBdr>
        </w:div>
        <w:div w:id="1752459708">
          <w:marLeft w:val="1166"/>
          <w:marRight w:val="0"/>
          <w:marTop w:val="115"/>
          <w:marBottom w:val="0"/>
          <w:divBdr>
            <w:top w:val="none" w:sz="0" w:space="0" w:color="auto"/>
            <w:left w:val="none" w:sz="0" w:space="0" w:color="auto"/>
            <w:bottom w:val="none" w:sz="0" w:space="0" w:color="auto"/>
            <w:right w:val="none" w:sz="0" w:space="0" w:color="auto"/>
          </w:divBdr>
        </w:div>
        <w:div w:id="1779332482">
          <w:marLeft w:val="1166"/>
          <w:marRight w:val="0"/>
          <w:marTop w:val="115"/>
          <w:marBottom w:val="0"/>
          <w:divBdr>
            <w:top w:val="none" w:sz="0" w:space="0" w:color="auto"/>
            <w:left w:val="none" w:sz="0" w:space="0" w:color="auto"/>
            <w:bottom w:val="none" w:sz="0" w:space="0" w:color="auto"/>
            <w:right w:val="none" w:sz="0" w:space="0" w:color="auto"/>
          </w:divBdr>
        </w:div>
      </w:divsChild>
    </w:div>
    <w:div w:id="234975107">
      <w:bodyDiv w:val="1"/>
      <w:marLeft w:val="0"/>
      <w:marRight w:val="0"/>
      <w:marTop w:val="0"/>
      <w:marBottom w:val="0"/>
      <w:divBdr>
        <w:top w:val="none" w:sz="0" w:space="0" w:color="auto"/>
        <w:left w:val="none" w:sz="0" w:space="0" w:color="auto"/>
        <w:bottom w:val="none" w:sz="0" w:space="0" w:color="auto"/>
        <w:right w:val="none" w:sz="0" w:space="0" w:color="auto"/>
      </w:divBdr>
      <w:divsChild>
        <w:div w:id="214048931">
          <w:marLeft w:val="547"/>
          <w:marRight w:val="0"/>
          <w:marTop w:val="130"/>
          <w:marBottom w:val="0"/>
          <w:divBdr>
            <w:top w:val="none" w:sz="0" w:space="0" w:color="auto"/>
            <w:left w:val="none" w:sz="0" w:space="0" w:color="auto"/>
            <w:bottom w:val="none" w:sz="0" w:space="0" w:color="auto"/>
            <w:right w:val="none" w:sz="0" w:space="0" w:color="auto"/>
          </w:divBdr>
        </w:div>
        <w:div w:id="741175046">
          <w:marLeft w:val="1166"/>
          <w:marRight w:val="0"/>
          <w:marTop w:val="96"/>
          <w:marBottom w:val="0"/>
          <w:divBdr>
            <w:top w:val="none" w:sz="0" w:space="0" w:color="auto"/>
            <w:left w:val="none" w:sz="0" w:space="0" w:color="auto"/>
            <w:bottom w:val="none" w:sz="0" w:space="0" w:color="auto"/>
            <w:right w:val="none" w:sz="0" w:space="0" w:color="auto"/>
          </w:divBdr>
        </w:div>
        <w:div w:id="840244608">
          <w:marLeft w:val="1166"/>
          <w:marRight w:val="0"/>
          <w:marTop w:val="96"/>
          <w:marBottom w:val="0"/>
          <w:divBdr>
            <w:top w:val="none" w:sz="0" w:space="0" w:color="auto"/>
            <w:left w:val="none" w:sz="0" w:space="0" w:color="auto"/>
            <w:bottom w:val="none" w:sz="0" w:space="0" w:color="auto"/>
            <w:right w:val="none" w:sz="0" w:space="0" w:color="auto"/>
          </w:divBdr>
        </w:div>
        <w:div w:id="934167434">
          <w:marLeft w:val="547"/>
          <w:marRight w:val="0"/>
          <w:marTop w:val="115"/>
          <w:marBottom w:val="0"/>
          <w:divBdr>
            <w:top w:val="none" w:sz="0" w:space="0" w:color="auto"/>
            <w:left w:val="none" w:sz="0" w:space="0" w:color="auto"/>
            <w:bottom w:val="none" w:sz="0" w:space="0" w:color="auto"/>
            <w:right w:val="none" w:sz="0" w:space="0" w:color="auto"/>
          </w:divBdr>
        </w:div>
        <w:div w:id="1342661513">
          <w:marLeft w:val="1166"/>
          <w:marRight w:val="0"/>
          <w:marTop w:val="96"/>
          <w:marBottom w:val="0"/>
          <w:divBdr>
            <w:top w:val="none" w:sz="0" w:space="0" w:color="auto"/>
            <w:left w:val="none" w:sz="0" w:space="0" w:color="auto"/>
            <w:bottom w:val="none" w:sz="0" w:space="0" w:color="auto"/>
            <w:right w:val="none" w:sz="0" w:space="0" w:color="auto"/>
          </w:divBdr>
        </w:div>
        <w:div w:id="1510294202">
          <w:marLeft w:val="547"/>
          <w:marRight w:val="0"/>
          <w:marTop w:val="115"/>
          <w:marBottom w:val="0"/>
          <w:divBdr>
            <w:top w:val="none" w:sz="0" w:space="0" w:color="auto"/>
            <w:left w:val="none" w:sz="0" w:space="0" w:color="auto"/>
            <w:bottom w:val="none" w:sz="0" w:space="0" w:color="auto"/>
            <w:right w:val="none" w:sz="0" w:space="0" w:color="auto"/>
          </w:divBdr>
        </w:div>
        <w:div w:id="1922332418">
          <w:marLeft w:val="1166"/>
          <w:marRight w:val="0"/>
          <w:marTop w:val="96"/>
          <w:marBottom w:val="0"/>
          <w:divBdr>
            <w:top w:val="none" w:sz="0" w:space="0" w:color="auto"/>
            <w:left w:val="none" w:sz="0" w:space="0" w:color="auto"/>
            <w:bottom w:val="none" w:sz="0" w:space="0" w:color="auto"/>
            <w:right w:val="none" w:sz="0" w:space="0" w:color="auto"/>
          </w:divBdr>
        </w:div>
        <w:div w:id="1968194448">
          <w:marLeft w:val="1166"/>
          <w:marRight w:val="0"/>
          <w:marTop w:val="96"/>
          <w:marBottom w:val="0"/>
          <w:divBdr>
            <w:top w:val="none" w:sz="0" w:space="0" w:color="auto"/>
            <w:left w:val="none" w:sz="0" w:space="0" w:color="auto"/>
            <w:bottom w:val="none" w:sz="0" w:space="0" w:color="auto"/>
            <w:right w:val="none" w:sz="0" w:space="0" w:color="auto"/>
          </w:divBdr>
        </w:div>
      </w:divsChild>
    </w:div>
    <w:div w:id="234977995">
      <w:bodyDiv w:val="1"/>
      <w:marLeft w:val="0"/>
      <w:marRight w:val="0"/>
      <w:marTop w:val="0"/>
      <w:marBottom w:val="0"/>
      <w:divBdr>
        <w:top w:val="none" w:sz="0" w:space="0" w:color="auto"/>
        <w:left w:val="none" w:sz="0" w:space="0" w:color="auto"/>
        <w:bottom w:val="none" w:sz="0" w:space="0" w:color="auto"/>
        <w:right w:val="none" w:sz="0" w:space="0" w:color="auto"/>
      </w:divBdr>
    </w:div>
    <w:div w:id="235212851">
      <w:bodyDiv w:val="1"/>
      <w:marLeft w:val="0"/>
      <w:marRight w:val="0"/>
      <w:marTop w:val="0"/>
      <w:marBottom w:val="0"/>
      <w:divBdr>
        <w:top w:val="none" w:sz="0" w:space="0" w:color="auto"/>
        <w:left w:val="none" w:sz="0" w:space="0" w:color="auto"/>
        <w:bottom w:val="none" w:sz="0" w:space="0" w:color="auto"/>
        <w:right w:val="none" w:sz="0" w:space="0" w:color="auto"/>
      </w:divBdr>
      <w:divsChild>
        <w:div w:id="12926821">
          <w:marLeft w:val="1166"/>
          <w:marRight w:val="0"/>
          <w:marTop w:val="96"/>
          <w:marBottom w:val="0"/>
          <w:divBdr>
            <w:top w:val="none" w:sz="0" w:space="0" w:color="auto"/>
            <w:left w:val="none" w:sz="0" w:space="0" w:color="auto"/>
            <w:bottom w:val="none" w:sz="0" w:space="0" w:color="auto"/>
            <w:right w:val="none" w:sz="0" w:space="0" w:color="auto"/>
          </w:divBdr>
        </w:div>
        <w:div w:id="74595742">
          <w:marLeft w:val="1166"/>
          <w:marRight w:val="0"/>
          <w:marTop w:val="96"/>
          <w:marBottom w:val="0"/>
          <w:divBdr>
            <w:top w:val="none" w:sz="0" w:space="0" w:color="auto"/>
            <w:left w:val="none" w:sz="0" w:space="0" w:color="auto"/>
            <w:bottom w:val="none" w:sz="0" w:space="0" w:color="auto"/>
            <w:right w:val="none" w:sz="0" w:space="0" w:color="auto"/>
          </w:divBdr>
        </w:div>
        <w:div w:id="387805372">
          <w:marLeft w:val="547"/>
          <w:marRight w:val="0"/>
          <w:marTop w:val="115"/>
          <w:marBottom w:val="0"/>
          <w:divBdr>
            <w:top w:val="none" w:sz="0" w:space="0" w:color="auto"/>
            <w:left w:val="none" w:sz="0" w:space="0" w:color="auto"/>
            <w:bottom w:val="none" w:sz="0" w:space="0" w:color="auto"/>
            <w:right w:val="none" w:sz="0" w:space="0" w:color="auto"/>
          </w:divBdr>
        </w:div>
        <w:div w:id="435518735">
          <w:marLeft w:val="1800"/>
          <w:marRight w:val="0"/>
          <w:marTop w:val="77"/>
          <w:marBottom w:val="0"/>
          <w:divBdr>
            <w:top w:val="none" w:sz="0" w:space="0" w:color="auto"/>
            <w:left w:val="none" w:sz="0" w:space="0" w:color="auto"/>
            <w:bottom w:val="none" w:sz="0" w:space="0" w:color="auto"/>
            <w:right w:val="none" w:sz="0" w:space="0" w:color="auto"/>
          </w:divBdr>
        </w:div>
        <w:div w:id="526875857">
          <w:marLeft w:val="1166"/>
          <w:marRight w:val="0"/>
          <w:marTop w:val="96"/>
          <w:marBottom w:val="0"/>
          <w:divBdr>
            <w:top w:val="none" w:sz="0" w:space="0" w:color="auto"/>
            <w:left w:val="none" w:sz="0" w:space="0" w:color="auto"/>
            <w:bottom w:val="none" w:sz="0" w:space="0" w:color="auto"/>
            <w:right w:val="none" w:sz="0" w:space="0" w:color="auto"/>
          </w:divBdr>
        </w:div>
        <w:div w:id="715542731">
          <w:marLeft w:val="547"/>
          <w:marRight w:val="0"/>
          <w:marTop w:val="115"/>
          <w:marBottom w:val="0"/>
          <w:divBdr>
            <w:top w:val="none" w:sz="0" w:space="0" w:color="auto"/>
            <w:left w:val="none" w:sz="0" w:space="0" w:color="auto"/>
            <w:bottom w:val="none" w:sz="0" w:space="0" w:color="auto"/>
            <w:right w:val="none" w:sz="0" w:space="0" w:color="auto"/>
          </w:divBdr>
        </w:div>
        <w:div w:id="748304667">
          <w:marLeft w:val="1800"/>
          <w:marRight w:val="0"/>
          <w:marTop w:val="77"/>
          <w:marBottom w:val="0"/>
          <w:divBdr>
            <w:top w:val="none" w:sz="0" w:space="0" w:color="auto"/>
            <w:left w:val="none" w:sz="0" w:space="0" w:color="auto"/>
            <w:bottom w:val="none" w:sz="0" w:space="0" w:color="auto"/>
            <w:right w:val="none" w:sz="0" w:space="0" w:color="auto"/>
          </w:divBdr>
        </w:div>
        <w:div w:id="850412268">
          <w:marLeft w:val="1166"/>
          <w:marRight w:val="0"/>
          <w:marTop w:val="96"/>
          <w:marBottom w:val="0"/>
          <w:divBdr>
            <w:top w:val="none" w:sz="0" w:space="0" w:color="auto"/>
            <w:left w:val="none" w:sz="0" w:space="0" w:color="auto"/>
            <w:bottom w:val="none" w:sz="0" w:space="0" w:color="auto"/>
            <w:right w:val="none" w:sz="0" w:space="0" w:color="auto"/>
          </w:divBdr>
        </w:div>
        <w:div w:id="1145778292">
          <w:marLeft w:val="1800"/>
          <w:marRight w:val="0"/>
          <w:marTop w:val="77"/>
          <w:marBottom w:val="0"/>
          <w:divBdr>
            <w:top w:val="none" w:sz="0" w:space="0" w:color="auto"/>
            <w:left w:val="none" w:sz="0" w:space="0" w:color="auto"/>
            <w:bottom w:val="none" w:sz="0" w:space="0" w:color="auto"/>
            <w:right w:val="none" w:sz="0" w:space="0" w:color="auto"/>
          </w:divBdr>
        </w:div>
        <w:div w:id="1539781761">
          <w:marLeft w:val="1800"/>
          <w:marRight w:val="0"/>
          <w:marTop w:val="77"/>
          <w:marBottom w:val="0"/>
          <w:divBdr>
            <w:top w:val="none" w:sz="0" w:space="0" w:color="auto"/>
            <w:left w:val="none" w:sz="0" w:space="0" w:color="auto"/>
            <w:bottom w:val="none" w:sz="0" w:space="0" w:color="auto"/>
            <w:right w:val="none" w:sz="0" w:space="0" w:color="auto"/>
          </w:divBdr>
        </w:div>
        <w:div w:id="1571888505">
          <w:marLeft w:val="547"/>
          <w:marRight w:val="0"/>
          <w:marTop w:val="115"/>
          <w:marBottom w:val="0"/>
          <w:divBdr>
            <w:top w:val="none" w:sz="0" w:space="0" w:color="auto"/>
            <w:left w:val="none" w:sz="0" w:space="0" w:color="auto"/>
            <w:bottom w:val="none" w:sz="0" w:space="0" w:color="auto"/>
            <w:right w:val="none" w:sz="0" w:space="0" w:color="auto"/>
          </w:divBdr>
        </w:div>
        <w:div w:id="2060545400">
          <w:marLeft w:val="1800"/>
          <w:marRight w:val="0"/>
          <w:marTop w:val="77"/>
          <w:marBottom w:val="0"/>
          <w:divBdr>
            <w:top w:val="none" w:sz="0" w:space="0" w:color="auto"/>
            <w:left w:val="none" w:sz="0" w:space="0" w:color="auto"/>
            <w:bottom w:val="none" w:sz="0" w:space="0" w:color="auto"/>
            <w:right w:val="none" w:sz="0" w:space="0" w:color="auto"/>
          </w:divBdr>
        </w:div>
      </w:divsChild>
    </w:div>
    <w:div w:id="235475825">
      <w:bodyDiv w:val="1"/>
      <w:marLeft w:val="0"/>
      <w:marRight w:val="0"/>
      <w:marTop w:val="0"/>
      <w:marBottom w:val="0"/>
      <w:divBdr>
        <w:top w:val="none" w:sz="0" w:space="0" w:color="auto"/>
        <w:left w:val="none" w:sz="0" w:space="0" w:color="auto"/>
        <w:bottom w:val="none" w:sz="0" w:space="0" w:color="auto"/>
        <w:right w:val="none" w:sz="0" w:space="0" w:color="auto"/>
      </w:divBdr>
    </w:div>
    <w:div w:id="235669556">
      <w:bodyDiv w:val="1"/>
      <w:marLeft w:val="0"/>
      <w:marRight w:val="0"/>
      <w:marTop w:val="0"/>
      <w:marBottom w:val="0"/>
      <w:divBdr>
        <w:top w:val="none" w:sz="0" w:space="0" w:color="auto"/>
        <w:left w:val="none" w:sz="0" w:space="0" w:color="auto"/>
        <w:bottom w:val="none" w:sz="0" w:space="0" w:color="auto"/>
        <w:right w:val="none" w:sz="0" w:space="0" w:color="auto"/>
      </w:divBdr>
    </w:div>
    <w:div w:id="236286914">
      <w:bodyDiv w:val="1"/>
      <w:marLeft w:val="0"/>
      <w:marRight w:val="0"/>
      <w:marTop w:val="0"/>
      <w:marBottom w:val="0"/>
      <w:divBdr>
        <w:top w:val="none" w:sz="0" w:space="0" w:color="auto"/>
        <w:left w:val="none" w:sz="0" w:space="0" w:color="auto"/>
        <w:bottom w:val="none" w:sz="0" w:space="0" w:color="auto"/>
        <w:right w:val="none" w:sz="0" w:space="0" w:color="auto"/>
      </w:divBdr>
      <w:divsChild>
        <w:div w:id="648050547">
          <w:marLeft w:val="1080"/>
          <w:marRight w:val="0"/>
          <w:marTop w:val="100"/>
          <w:marBottom w:val="0"/>
          <w:divBdr>
            <w:top w:val="none" w:sz="0" w:space="0" w:color="auto"/>
            <w:left w:val="none" w:sz="0" w:space="0" w:color="auto"/>
            <w:bottom w:val="none" w:sz="0" w:space="0" w:color="auto"/>
            <w:right w:val="none" w:sz="0" w:space="0" w:color="auto"/>
          </w:divBdr>
        </w:div>
        <w:div w:id="704257448">
          <w:marLeft w:val="360"/>
          <w:marRight w:val="0"/>
          <w:marTop w:val="200"/>
          <w:marBottom w:val="0"/>
          <w:divBdr>
            <w:top w:val="none" w:sz="0" w:space="0" w:color="auto"/>
            <w:left w:val="none" w:sz="0" w:space="0" w:color="auto"/>
            <w:bottom w:val="none" w:sz="0" w:space="0" w:color="auto"/>
            <w:right w:val="none" w:sz="0" w:space="0" w:color="auto"/>
          </w:divBdr>
        </w:div>
        <w:div w:id="1523127057">
          <w:marLeft w:val="360"/>
          <w:marRight w:val="0"/>
          <w:marTop w:val="200"/>
          <w:marBottom w:val="0"/>
          <w:divBdr>
            <w:top w:val="none" w:sz="0" w:space="0" w:color="auto"/>
            <w:left w:val="none" w:sz="0" w:space="0" w:color="auto"/>
            <w:bottom w:val="none" w:sz="0" w:space="0" w:color="auto"/>
            <w:right w:val="none" w:sz="0" w:space="0" w:color="auto"/>
          </w:divBdr>
        </w:div>
        <w:div w:id="1563637099">
          <w:marLeft w:val="1080"/>
          <w:marRight w:val="0"/>
          <w:marTop w:val="100"/>
          <w:marBottom w:val="0"/>
          <w:divBdr>
            <w:top w:val="none" w:sz="0" w:space="0" w:color="auto"/>
            <w:left w:val="none" w:sz="0" w:space="0" w:color="auto"/>
            <w:bottom w:val="none" w:sz="0" w:space="0" w:color="auto"/>
            <w:right w:val="none" w:sz="0" w:space="0" w:color="auto"/>
          </w:divBdr>
        </w:div>
        <w:div w:id="1673025643">
          <w:marLeft w:val="360"/>
          <w:marRight w:val="0"/>
          <w:marTop w:val="200"/>
          <w:marBottom w:val="0"/>
          <w:divBdr>
            <w:top w:val="none" w:sz="0" w:space="0" w:color="auto"/>
            <w:left w:val="none" w:sz="0" w:space="0" w:color="auto"/>
            <w:bottom w:val="none" w:sz="0" w:space="0" w:color="auto"/>
            <w:right w:val="none" w:sz="0" w:space="0" w:color="auto"/>
          </w:divBdr>
        </w:div>
      </w:divsChild>
    </w:div>
    <w:div w:id="236671990">
      <w:bodyDiv w:val="1"/>
      <w:marLeft w:val="0"/>
      <w:marRight w:val="0"/>
      <w:marTop w:val="0"/>
      <w:marBottom w:val="0"/>
      <w:divBdr>
        <w:top w:val="none" w:sz="0" w:space="0" w:color="auto"/>
        <w:left w:val="none" w:sz="0" w:space="0" w:color="auto"/>
        <w:bottom w:val="none" w:sz="0" w:space="0" w:color="auto"/>
        <w:right w:val="none" w:sz="0" w:space="0" w:color="auto"/>
      </w:divBdr>
    </w:div>
    <w:div w:id="239875944">
      <w:bodyDiv w:val="1"/>
      <w:marLeft w:val="0"/>
      <w:marRight w:val="0"/>
      <w:marTop w:val="0"/>
      <w:marBottom w:val="0"/>
      <w:divBdr>
        <w:top w:val="none" w:sz="0" w:space="0" w:color="auto"/>
        <w:left w:val="none" w:sz="0" w:space="0" w:color="auto"/>
        <w:bottom w:val="none" w:sz="0" w:space="0" w:color="auto"/>
        <w:right w:val="none" w:sz="0" w:space="0" w:color="auto"/>
      </w:divBdr>
    </w:div>
    <w:div w:id="240336334">
      <w:bodyDiv w:val="1"/>
      <w:marLeft w:val="0"/>
      <w:marRight w:val="0"/>
      <w:marTop w:val="0"/>
      <w:marBottom w:val="0"/>
      <w:divBdr>
        <w:top w:val="none" w:sz="0" w:space="0" w:color="auto"/>
        <w:left w:val="none" w:sz="0" w:space="0" w:color="auto"/>
        <w:bottom w:val="none" w:sz="0" w:space="0" w:color="auto"/>
        <w:right w:val="none" w:sz="0" w:space="0" w:color="auto"/>
      </w:divBdr>
    </w:div>
    <w:div w:id="240526830">
      <w:bodyDiv w:val="1"/>
      <w:marLeft w:val="0"/>
      <w:marRight w:val="0"/>
      <w:marTop w:val="0"/>
      <w:marBottom w:val="0"/>
      <w:divBdr>
        <w:top w:val="none" w:sz="0" w:space="0" w:color="auto"/>
        <w:left w:val="none" w:sz="0" w:space="0" w:color="auto"/>
        <w:bottom w:val="none" w:sz="0" w:space="0" w:color="auto"/>
        <w:right w:val="none" w:sz="0" w:space="0" w:color="auto"/>
      </w:divBdr>
      <w:divsChild>
        <w:div w:id="948314321">
          <w:marLeft w:val="547"/>
          <w:marRight w:val="0"/>
          <w:marTop w:val="115"/>
          <w:marBottom w:val="0"/>
          <w:divBdr>
            <w:top w:val="none" w:sz="0" w:space="0" w:color="auto"/>
            <w:left w:val="none" w:sz="0" w:space="0" w:color="auto"/>
            <w:bottom w:val="none" w:sz="0" w:space="0" w:color="auto"/>
            <w:right w:val="none" w:sz="0" w:space="0" w:color="auto"/>
          </w:divBdr>
        </w:div>
      </w:divsChild>
    </w:div>
    <w:div w:id="241260560">
      <w:bodyDiv w:val="1"/>
      <w:marLeft w:val="0"/>
      <w:marRight w:val="0"/>
      <w:marTop w:val="0"/>
      <w:marBottom w:val="0"/>
      <w:divBdr>
        <w:top w:val="none" w:sz="0" w:space="0" w:color="auto"/>
        <w:left w:val="none" w:sz="0" w:space="0" w:color="auto"/>
        <w:bottom w:val="none" w:sz="0" w:space="0" w:color="auto"/>
        <w:right w:val="none" w:sz="0" w:space="0" w:color="auto"/>
      </w:divBdr>
      <w:divsChild>
        <w:div w:id="67773892">
          <w:marLeft w:val="1800"/>
          <w:marRight w:val="0"/>
          <w:marTop w:val="115"/>
          <w:marBottom w:val="0"/>
          <w:divBdr>
            <w:top w:val="none" w:sz="0" w:space="0" w:color="auto"/>
            <w:left w:val="none" w:sz="0" w:space="0" w:color="auto"/>
            <w:bottom w:val="none" w:sz="0" w:space="0" w:color="auto"/>
            <w:right w:val="none" w:sz="0" w:space="0" w:color="auto"/>
          </w:divBdr>
        </w:div>
        <w:div w:id="146095399">
          <w:marLeft w:val="1166"/>
          <w:marRight w:val="0"/>
          <w:marTop w:val="134"/>
          <w:marBottom w:val="0"/>
          <w:divBdr>
            <w:top w:val="none" w:sz="0" w:space="0" w:color="auto"/>
            <w:left w:val="none" w:sz="0" w:space="0" w:color="auto"/>
            <w:bottom w:val="none" w:sz="0" w:space="0" w:color="auto"/>
            <w:right w:val="none" w:sz="0" w:space="0" w:color="auto"/>
          </w:divBdr>
        </w:div>
        <w:div w:id="778570318">
          <w:marLeft w:val="547"/>
          <w:marRight w:val="0"/>
          <w:marTop w:val="134"/>
          <w:marBottom w:val="0"/>
          <w:divBdr>
            <w:top w:val="none" w:sz="0" w:space="0" w:color="auto"/>
            <w:left w:val="none" w:sz="0" w:space="0" w:color="auto"/>
            <w:bottom w:val="none" w:sz="0" w:space="0" w:color="auto"/>
            <w:right w:val="none" w:sz="0" w:space="0" w:color="auto"/>
          </w:divBdr>
        </w:div>
        <w:div w:id="1761637474">
          <w:marLeft w:val="1166"/>
          <w:marRight w:val="0"/>
          <w:marTop w:val="134"/>
          <w:marBottom w:val="0"/>
          <w:divBdr>
            <w:top w:val="none" w:sz="0" w:space="0" w:color="auto"/>
            <w:left w:val="none" w:sz="0" w:space="0" w:color="auto"/>
            <w:bottom w:val="none" w:sz="0" w:space="0" w:color="auto"/>
            <w:right w:val="none" w:sz="0" w:space="0" w:color="auto"/>
          </w:divBdr>
        </w:div>
      </w:divsChild>
    </w:div>
    <w:div w:id="242225170">
      <w:bodyDiv w:val="1"/>
      <w:marLeft w:val="0"/>
      <w:marRight w:val="0"/>
      <w:marTop w:val="0"/>
      <w:marBottom w:val="0"/>
      <w:divBdr>
        <w:top w:val="none" w:sz="0" w:space="0" w:color="auto"/>
        <w:left w:val="none" w:sz="0" w:space="0" w:color="auto"/>
        <w:bottom w:val="none" w:sz="0" w:space="0" w:color="auto"/>
        <w:right w:val="none" w:sz="0" w:space="0" w:color="auto"/>
      </w:divBdr>
    </w:div>
    <w:div w:id="242253805">
      <w:bodyDiv w:val="1"/>
      <w:marLeft w:val="0"/>
      <w:marRight w:val="0"/>
      <w:marTop w:val="0"/>
      <w:marBottom w:val="0"/>
      <w:divBdr>
        <w:top w:val="none" w:sz="0" w:space="0" w:color="auto"/>
        <w:left w:val="none" w:sz="0" w:space="0" w:color="auto"/>
        <w:bottom w:val="none" w:sz="0" w:space="0" w:color="auto"/>
        <w:right w:val="none" w:sz="0" w:space="0" w:color="auto"/>
      </w:divBdr>
    </w:div>
    <w:div w:id="244263504">
      <w:bodyDiv w:val="1"/>
      <w:marLeft w:val="0"/>
      <w:marRight w:val="0"/>
      <w:marTop w:val="0"/>
      <w:marBottom w:val="0"/>
      <w:divBdr>
        <w:top w:val="none" w:sz="0" w:space="0" w:color="auto"/>
        <w:left w:val="none" w:sz="0" w:space="0" w:color="auto"/>
        <w:bottom w:val="none" w:sz="0" w:space="0" w:color="auto"/>
        <w:right w:val="none" w:sz="0" w:space="0" w:color="auto"/>
      </w:divBdr>
    </w:div>
    <w:div w:id="244612362">
      <w:bodyDiv w:val="1"/>
      <w:marLeft w:val="0"/>
      <w:marRight w:val="0"/>
      <w:marTop w:val="0"/>
      <w:marBottom w:val="0"/>
      <w:divBdr>
        <w:top w:val="none" w:sz="0" w:space="0" w:color="auto"/>
        <w:left w:val="none" w:sz="0" w:space="0" w:color="auto"/>
        <w:bottom w:val="none" w:sz="0" w:space="0" w:color="auto"/>
        <w:right w:val="none" w:sz="0" w:space="0" w:color="auto"/>
      </w:divBdr>
    </w:div>
    <w:div w:id="247738349">
      <w:bodyDiv w:val="1"/>
      <w:marLeft w:val="0"/>
      <w:marRight w:val="0"/>
      <w:marTop w:val="0"/>
      <w:marBottom w:val="0"/>
      <w:divBdr>
        <w:top w:val="none" w:sz="0" w:space="0" w:color="auto"/>
        <w:left w:val="none" w:sz="0" w:space="0" w:color="auto"/>
        <w:bottom w:val="none" w:sz="0" w:space="0" w:color="auto"/>
        <w:right w:val="none" w:sz="0" w:space="0" w:color="auto"/>
      </w:divBdr>
    </w:div>
    <w:div w:id="248386940">
      <w:bodyDiv w:val="1"/>
      <w:marLeft w:val="0"/>
      <w:marRight w:val="0"/>
      <w:marTop w:val="0"/>
      <w:marBottom w:val="0"/>
      <w:divBdr>
        <w:top w:val="none" w:sz="0" w:space="0" w:color="auto"/>
        <w:left w:val="none" w:sz="0" w:space="0" w:color="auto"/>
        <w:bottom w:val="none" w:sz="0" w:space="0" w:color="auto"/>
        <w:right w:val="none" w:sz="0" w:space="0" w:color="auto"/>
      </w:divBdr>
    </w:div>
    <w:div w:id="248394304">
      <w:bodyDiv w:val="1"/>
      <w:marLeft w:val="0"/>
      <w:marRight w:val="0"/>
      <w:marTop w:val="0"/>
      <w:marBottom w:val="0"/>
      <w:divBdr>
        <w:top w:val="none" w:sz="0" w:space="0" w:color="auto"/>
        <w:left w:val="none" w:sz="0" w:space="0" w:color="auto"/>
        <w:bottom w:val="none" w:sz="0" w:space="0" w:color="auto"/>
        <w:right w:val="none" w:sz="0" w:space="0" w:color="auto"/>
      </w:divBdr>
    </w:div>
    <w:div w:id="249196585">
      <w:bodyDiv w:val="1"/>
      <w:marLeft w:val="0"/>
      <w:marRight w:val="0"/>
      <w:marTop w:val="0"/>
      <w:marBottom w:val="0"/>
      <w:divBdr>
        <w:top w:val="none" w:sz="0" w:space="0" w:color="auto"/>
        <w:left w:val="none" w:sz="0" w:space="0" w:color="auto"/>
        <w:bottom w:val="none" w:sz="0" w:space="0" w:color="auto"/>
        <w:right w:val="none" w:sz="0" w:space="0" w:color="auto"/>
      </w:divBdr>
    </w:div>
    <w:div w:id="249850228">
      <w:bodyDiv w:val="1"/>
      <w:marLeft w:val="0"/>
      <w:marRight w:val="0"/>
      <w:marTop w:val="0"/>
      <w:marBottom w:val="0"/>
      <w:divBdr>
        <w:top w:val="none" w:sz="0" w:space="0" w:color="auto"/>
        <w:left w:val="none" w:sz="0" w:space="0" w:color="auto"/>
        <w:bottom w:val="none" w:sz="0" w:space="0" w:color="auto"/>
        <w:right w:val="none" w:sz="0" w:space="0" w:color="auto"/>
      </w:divBdr>
    </w:div>
    <w:div w:id="250511072">
      <w:bodyDiv w:val="1"/>
      <w:marLeft w:val="0"/>
      <w:marRight w:val="0"/>
      <w:marTop w:val="0"/>
      <w:marBottom w:val="0"/>
      <w:divBdr>
        <w:top w:val="none" w:sz="0" w:space="0" w:color="auto"/>
        <w:left w:val="none" w:sz="0" w:space="0" w:color="auto"/>
        <w:bottom w:val="none" w:sz="0" w:space="0" w:color="auto"/>
        <w:right w:val="none" w:sz="0" w:space="0" w:color="auto"/>
      </w:divBdr>
    </w:div>
    <w:div w:id="250897055">
      <w:bodyDiv w:val="1"/>
      <w:marLeft w:val="0"/>
      <w:marRight w:val="0"/>
      <w:marTop w:val="0"/>
      <w:marBottom w:val="0"/>
      <w:divBdr>
        <w:top w:val="none" w:sz="0" w:space="0" w:color="auto"/>
        <w:left w:val="none" w:sz="0" w:space="0" w:color="auto"/>
        <w:bottom w:val="none" w:sz="0" w:space="0" w:color="auto"/>
        <w:right w:val="none" w:sz="0" w:space="0" w:color="auto"/>
      </w:divBdr>
    </w:div>
    <w:div w:id="251015421">
      <w:bodyDiv w:val="1"/>
      <w:marLeft w:val="0"/>
      <w:marRight w:val="0"/>
      <w:marTop w:val="0"/>
      <w:marBottom w:val="0"/>
      <w:divBdr>
        <w:top w:val="none" w:sz="0" w:space="0" w:color="auto"/>
        <w:left w:val="none" w:sz="0" w:space="0" w:color="auto"/>
        <w:bottom w:val="none" w:sz="0" w:space="0" w:color="auto"/>
        <w:right w:val="none" w:sz="0" w:space="0" w:color="auto"/>
      </w:divBdr>
    </w:div>
    <w:div w:id="251161832">
      <w:bodyDiv w:val="1"/>
      <w:marLeft w:val="0"/>
      <w:marRight w:val="0"/>
      <w:marTop w:val="0"/>
      <w:marBottom w:val="0"/>
      <w:divBdr>
        <w:top w:val="none" w:sz="0" w:space="0" w:color="auto"/>
        <w:left w:val="none" w:sz="0" w:space="0" w:color="auto"/>
        <w:bottom w:val="none" w:sz="0" w:space="0" w:color="auto"/>
        <w:right w:val="none" w:sz="0" w:space="0" w:color="auto"/>
      </w:divBdr>
      <w:divsChild>
        <w:div w:id="543058617">
          <w:marLeft w:val="547"/>
          <w:marRight w:val="0"/>
          <w:marTop w:val="115"/>
          <w:marBottom w:val="0"/>
          <w:divBdr>
            <w:top w:val="none" w:sz="0" w:space="0" w:color="auto"/>
            <w:left w:val="none" w:sz="0" w:space="0" w:color="auto"/>
            <w:bottom w:val="none" w:sz="0" w:space="0" w:color="auto"/>
            <w:right w:val="none" w:sz="0" w:space="0" w:color="auto"/>
          </w:divBdr>
        </w:div>
        <w:div w:id="676466654">
          <w:marLeft w:val="1166"/>
          <w:marRight w:val="0"/>
          <w:marTop w:val="96"/>
          <w:marBottom w:val="0"/>
          <w:divBdr>
            <w:top w:val="none" w:sz="0" w:space="0" w:color="auto"/>
            <w:left w:val="none" w:sz="0" w:space="0" w:color="auto"/>
            <w:bottom w:val="none" w:sz="0" w:space="0" w:color="auto"/>
            <w:right w:val="none" w:sz="0" w:space="0" w:color="auto"/>
          </w:divBdr>
        </w:div>
        <w:div w:id="929125040">
          <w:marLeft w:val="1166"/>
          <w:marRight w:val="0"/>
          <w:marTop w:val="96"/>
          <w:marBottom w:val="0"/>
          <w:divBdr>
            <w:top w:val="none" w:sz="0" w:space="0" w:color="auto"/>
            <w:left w:val="none" w:sz="0" w:space="0" w:color="auto"/>
            <w:bottom w:val="none" w:sz="0" w:space="0" w:color="auto"/>
            <w:right w:val="none" w:sz="0" w:space="0" w:color="auto"/>
          </w:divBdr>
        </w:div>
        <w:div w:id="1810316051">
          <w:marLeft w:val="1166"/>
          <w:marRight w:val="0"/>
          <w:marTop w:val="96"/>
          <w:marBottom w:val="0"/>
          <w:divBdr>
            <w:top w:val="none" w:sz="0" w:space="0" w:color="auto"/>
            <w:left w:val="none" w:sz="0" w:space="0" w:color="auto"/>
            <w:bottom w:val="none" w:sz="0" w:space="0" w:color="auto"/>
            <w:right w:val="none" w:sz="0" w:space="0" w:color="auto"/>
          </w:divBdr>
        </w:div>
        <w:div w:id="1879708310">
          <w:marLeft w:val="547"/>
          <w:marRight w:val="0"/>
          <w:marTop w:val="115"/>
          <w:marBottom w:val="0"/>
          <w:divBdr>
            <w:top w:val="none" w:sz="0" w:space="0" w:color="auto"/>
            <w:left w:val="none" w:sz="0" w:space="0" w:color="auto"/>
            <w:bottom w:val="none" w:sz="0" w:space="0" w:color="auto"/>
            <w:right w:val="none" w:sz="0" w:space="0" w:color="auto"/>
          </w:divBdr>
        </w:div>
        <w:div w:id="1914046367">
          <w:marLeft w:val="547"/>
          <w:marRight w:val="0"/>
          <w:marTop w:val="115"/>
          <w:marBottom w:val="0"/>
          <w:divBdr>
            <w:top w:val="none" w:sz="0" w:space="0" w:color="auto"/>
            <w:left w:val="none" w:sz="0" w:space="0" w:color="auto"/>
            <w:bottom w:val="none" w:sz="0" w:space="0" w:color="auto"/>
            <w:right w:val="none" w:sz="0" w:space="0" w:color="auto"/>
          </w:divBdr>
        </w:div>
      </w:divsChild>
    </w:div>
    <w:div w:id="251667546">
      <w:bodyDiv w:val="1"/>
      <w:marLeft w:val="0"/>
      <w:marRight w:val="0"/>
      <w:marTop w:val="0"/>
      <w:marBottom w:val="0"/>
      <w:divBdr>
        <w:top w:val="none" w:sz="0" w:space="0" w:color="auto"/>
        <w:left w:val="none" w:sz="0" w:space="0" w:color="auto"/>
        <w:bottom w:val="none" w:sz="0" w:space="0" w:color="auto"/>
        <w:right w:val="none" w:sz="0" w:space="0" w:color="auto"/>
      </w:divBdr>
    </w:div>
    <w:div w:id="252780352">
      <w:bodyDiv w:val="1"/>
      <w:marLeft w:val="0"/>
      <w:marRight w:val="0"/>
      <w:marTop w:val="0"/>
      <w:marBottom w:val="0"/>
      <w:divBdr>
        <w:top w:val="none" w:sz="0" w:space="0" w:color="auto"/>
        <w:left w:val="none" w:sz="0" w:space="0" w:color="auto"/>
        <w:bottom w:val="none" w:sz="0" w:space="0" w:color="auto"/>
        <w:right w:val="none" w:sz="0" w:space="0" w:color="auto"/>
      </w:divBdr>
    </w:div>
    <w:div w:id="252788893">
      <w:bodyDiv w:val="1"/>
      <w:marLeft w:val="0"/>
      <w:marRight w:val="0"/>
      <w:marTop w:val="0"/>
      <w:marBottom w:val="0"/>
      <w:divBdr>
        <w:top w:val="none" w:sz="0" w:space="0" w:color="auto"/>
        <w:left w:val="none" w:sz="0" w:space="0" w:color="auto"/>
        <w:bottom w:val="none" w:sz="0" w:space="0" w:color="auto"/>
        <w:right w:val="none" w:sz="0" w:space="0" w:color="auto"/>
      </w:divBdr>
    </w:div>
    <w:div w:id="253437373">
      <w:bodyDiv w:val="1"/>
      <w:marLeft w:val="0"/>
      <w:marRight w:val="0"/>
      <w:marTop w:val="0"/>
      <w:marBottom w:val="0"/>
      <w:divBdr>
        <w:top w:val="none" w:sz="0" w:space="0" w:color="auto"/>
        <w:left w:val="none" w:sz="0" w:space="0" w:color="auto"/>
        <w:bottom w:val="none" w:sz="0" w:space="0" w:color="auto"/>
        <w:right w:val="none" w:sz="0" w:space="0" w:color="auto"/>
      </w:divBdr>
      <w:divsChild>
        <w:div w:id="100300813">
          <w:marLeft w:val="1166"/>
          <w:marRight w:val="0"/>
          <w:marTop w:val="96"/>
          <w:marBottom w:val="0"/>
          <w:divBdr>
            <w:top w:val="none" w:sz="0" w:space="0" w:color="auto"/>
            <w:left w:val="none" w:sz="0" w:space="0" w:color="auto"/>
            <w:bottom w:val="none" w:sz="0" w:space="0" w:color="auto"/>
            <w:right w:val="none" w:sz="0" w:space="0" w:color="auto"/>
          </w:divBdr>
        </w:div>
        <w:div w:id="130679862">
          <w:marLeft w:val="1166"/>
          <w:marRight w:val="0"/>
          <w:marTop w:val="96"/>
          <w:marBottom w:val="0"/>
          <w:divBdr>
            <w:top w:val="none" w:sz="0" w:space="0" w:color="auto"/>
            <w:left w:val="none" w:sz="0" w:space="0" w:color="auto"/>
            <w:bottom w:val="none" w:sz="0" w:space="0" w:color="auto"/>
            <w:right w:val="none" w:sz="0" w:space="0" w:color="auto"/>
          </w:divBdr>
        </w:div>
        <w:div w:id="413549729">
          <w:marLeft w:val="547"/>
          <w:marRight w:val="0"/>
          <w:marTop w:val="115"/>
          <w:marBottom w:val="0"/>
          <w:divBdr>
            <w:top w:val="none" w:sz="0" w:space="0" w:color="auto"/>
            <w:left w:val="none" w:sz="0" w:space="0" w:color="auto"/>
            <w:bottom w:val="none" w:sz="0" w:space="0" w:color="auto"/>
            <w:right w:val="none" w:sz="0" w:space="0" w:color="auto"/>
          </w:divBdr>
        </w:div>
        <w:div w:id="435291270">
          <w:marLeft w:val="1166"/>
          <w:marRight w:val="0"/>
          <w:marTop w:val="96"/>
          <w:marBottom w:val="0"/>
          <w:divBdr>
            <w:top w:val="none" w:sz="0" w:space="0" w:color="auto"/>
            <w:left w:val="none" w:sz="0" w:space="0" w:color="auto"/>
            <w:bottom w:val="none" w:sz="0" w:space="0" w:color="auto"/>
            <w:right w:val="none" w:sz="0" w:space="0" w:color="auto"/>
          </w:divBdr>
        </w:div>
        <w:div w:id="544409276">
          <w:marLeft w:val="547"/>
          <w:marRight w:val="0"/>
          <w:marTop w:val="115"/>
          <w:marBottom w:val="0"/>
          <w:divBdr>
            <w:top w:val="none" w:sz="0" w:space="0" w:color="auto"/>
            <w:left w:val="none" w:sz="0" w:space="0" w:color="auto"/>
            <w:bottom w:val="none" w:sz="0" w:space="0" w:color="auto"/>
            <w:right w:val="none" w:sz="0" w:space="0" w:color="auto"/>
          </w:divBdr>
        </w:div>
        <w:div w:id="766585285">
          <w:marLeft w:val="2520"/>
          <w:marRight w:val="0"/>
          <w:marTop w:val="58"/>
          <w:marBottom w:val="0"/>
          <w:divBdr>
            <w:top w:val="none" w:sz="0" w:space="0" w:color="auto"/>
            <w:left w:val="none" w:sz="0" w:space="0" w:color="auto"/>
            <w:bottom w:val="none" w:sz="0" w:space="0" w:color="auto"/>
            <w:right w:val="none" w:sz="0" w:space="0" w:color="auto"/>
          </w:divBdr>
        </w:div>
        <w:div w:id="1102844137">
          <w:marLeft w:val="1800"/>
          <w:marRight w:val="0"/>
          <w:marTop w:val="77"/>
          <w:marBottom w:val="0"/>
          <w:divBdr>
            <w:top w:val="none" w:sz="0" w:space="0" w:color="auto"/>
            <w:left w:val="none" w:sz="0" w:space="0" w:color="auto"/>
            <w:bottom w:val="none" w:sz="0" w:space="0" w:color="auto"/>
            <w:right w:val="none" w:sz="0" w:space="0" w:color="auto"/>
          </w:divBdr>
        </w:div>
        <w:div w:id="1276598874">
          <w:marLeft w:val="2520"/>
          <w:marRight w:val="0"/>
          <w:marTop w:val="58"/>
          <w:marBottom w:val="0"/>
          <w:divBdr>
            <w:top w:val="none" w:sz="0" w:space="0" w:color="auto"/>
            <w:left w:val="none" w:sz="0" w:space="0" w:color="auto"/>
            <w:bottom w:val="none" w:sz="0" w:space="0" w:color="auto"/>
            <w:right w:val="none" w:sz="0" w:space="0" w:color="auto"/>
          </w:divBdr>
        </w:div>
        <w:div w:id="2037270387">
          <w:marLeft w:val="1800"/>
          <w:marRight w:val="0"/>
          <w:marTop w:val="77"/>
          <w:marBottom w:val="0"/>
          <w:divBdr>
            <w:top w:val="none" w:sz="0" w:space="0" w:color="auto"/>
            <w:left w:val="none" w:sz="0" w:space="0" w:color="auto"/>
            <w:bottom w:val="none" w:sz="0" w:space="0" w:color="auto"/>
            <w:right w:val="none" w:sz="0" w:space="0" w:color="auto"/>
          </w:divBdr>
        </w:div>
      </w:divsChild>
    </w:div>
    <w:div w:id="254442421">
      <w:bodyDiv w:val="1"/>
      <w:marLeft w:val="0"/>
      <w:marRight w:val="0"/>
      <w:marTop w:val="0"/>
      <w:marBottom w:val="0"/>
      <w:divBdr>
        <w:top w:val="none" w:sz="0" w:space="0" w:color="auto"/>
        <w:left w:val="none" w:sz="0" w:space="0" w:color="auto"/>
        <w:bottom w:val="none" w:sz="0" w:space="0" w:color="auto"/>
        <w:right w:val="none" w:sz="0" w:space="0" w:color="auto"/>
      </w:divBdr>
    </w:div>
    <w:div w:id="255945096">
      <w:bodyDiv w:val="1"/>
      <w:marLeft w:val="0"/>
      <w:marRight w:val="0"/>
      <w:marTop w:val="0"/>
      <w:marBottom w:val="0"/>
      <w:divBdr>
        <w:top w:val="none" w:sz="0" w:space="0" w:color="auto"/>
        <w:left w:val="none" w:sz="0" w:space="0" w:color="auto"/>
        <w:bottom w:val="none" w:sz="0" w:space="0" w:color="auto"/>
        <w:right w:val="none" w:sz="0" w:space="0" w:color="auto"/>
      </w:divBdr>
    </w:div>
    <w:div w:id="257755674">
      <w:bodyDiv w:val="1"/>
      <w:marLeft w:val="0"/>
      <w:marRight w:val="0"/>
      <w:marTop w:val="0"/>
      <w:marBottom w:val="0"/>
      <w:divBdr>
        <w:top w:val="none" w:sz="0" w:space="0" w:color="auto"/>
        <w:left w:val="none" w:sz="0" w:space="0" w:color="auto"/>
        <w:bottom w:val="none" w:sz="0" w:space="0" w:color="auto"/>
        <w:right w:val="none" w:sz="0" w:space="0" w:color="auto"/>
      </w:divBdr>
    </w:div>
    <w:div w:id="258221963">
      <w:bodyDiv w:val="1"/>
      <w:marLeft w:val="0"/>
      <w:marRight w:val="0"/>
      <w:marTop w:val="0"/>
      <w:marBottom w:val="0"/>
      <w:divBdr>
        <w:top w:val="none" w:sz="0" w:space="0" w:color="auto"/>
        <w:left w:val="none" w:sz="0" w:space="0" w:color="auto"/>
        <w:bottom w:val="none" w:sz="0" w:space="0" w:color="auto"/>
        <w:right w:val="none" w:sz="0" w:space="0" w:color="auto"/>
      </w:divBdr>
    </w:div>
    <w:div w:id="259065061">
      <w:bodyDiv w:val="1"/>
      <w:marLeft w:val="0"/>
      <w:marRight w:val="0"/>
      <w:marTop w:val="0"/>
      <w:marBottom w:val="0"/>
      <w:divBdr>
        <w:top w:val="none" w:sz="0" w:space="0" w:color="auto"/>
        <w:left w:val="none" w:sz="0" w:space="0" w:color="auto"/>
        <w:bottom w:val="none" w:sz="0" w:space="0" w:color="auto"/>
        <w:right w:val="none" w:sz="0" w:space="0" w:color="auto"/>
      </w:divBdr>
    </w:div>
    <w:div w:id="259264798">
      <w:bodyDiv w:val="1"/>
      <w:marLeft w:val="0"/>
      <w:marRight w:val="0"/>
      <w:marTop w:val="0"/>
      <w:marBottom w:val="0"/>
      <w:divBdr>
        <w:top w:val="none" w:sz="0" w:space="0" w:color="auto"/>
        <w:left w:val="none" w:sz="0" w:space="0" w:color="auto"/>
        <w:bottom w:val="none" w:sz="0" w:space="0" w:color="auto"/>
        <w:right w:val="none" w:sz="0" w:space="0" w:color="auto"/>
      </w:divBdr>
    </w:div>
    <w:div w:id="259530619">
      <w:bodyDiv w:val="1"/>
      <w:marLeft w:val="0"/>
      <w:marRight w:val="0"/>
      <w:marTop w:val="0"/>
      <w:marBottom w:val="0"/>
      <w:divBdr>
        <w:top w:val="none" w:sz="0" w:space="0" w:color="auto"/>
        <w:left w:val="none" w:sz="0" w:space="0" w:color="auto"/>
        <w:bottom w:val="none" w:sz="0" w:space="0" w:color="auto"/>
        <w:right w:val="none" w:sz="0" w:space="0" w:color="auto"/>
      </w:divBdr>
    </w:div>
    <w:div w:id="260450615">
      <w:bodyDiv w:val="1"/>
      <w:marLeft w:val="0"/>
      <w:marRight w:val="0"/>
      <w:marTop w:val="0"/>
      <w:marBottom w:val="0"/>
      <w:divBdr>
        <w:top w:val="none" w:sz="0" w:space="0" w:color="auto"/>
        <w:left w:val="none" w:sz="0" w:space="0" w:color="auto"/>
        <w:bottom w:val="none" w:sz="0" w:space="0" w:color="auto"/>
        <w:right w:val="none" w:sz="0" w:space="0" w:color="auto"/>
      </w:divBdr>
      <w:divsChild>
        <w:div w:id="1312440365">
          <w:marLeft w:val="0"/>
          <w:marRight w:val="0"/>
          <w:marTop w:val="0"/>
          <w:marBottom w:val="0"/>
          <w:divBdr>
            <w:top w:val="none" w:sz="0" w:space="0" w:color="auto"/>
            <w:left w:val="none" w:sz="0" w:space="0" w:color="auto"/>
            <w:bottom w:val="none" w:sz="0" w:space="0" w:color="auto"/>
            <w:right w:val="none" w:sz="0" w:space="0" w:color="auto"/>
          </w:divBdr>
        </w:div>
      </w:divsChild>
    </w:div>
    <w:div w:id="261035525">
      <w:bodyDiv w:val="1"/>
      <w:marLeft w:val="0"/>
      <w:marRight w:val="0"/>
      <w:marTop w:val="0"/>
      <w:marBottom w:val="0"/>
      <w:divBdr>
        <w:top w:val="none" w:sz="0" w:space="0" w:color="auto"/>
        <w:left w:val="none" w:sz="0" w:space="0" w:color="auto"/>
        <w:bottom w:val="none" w:sz="0" w:space="0" w:color="auto"/>
        <w:right w:val="none" w:sz="0" w:space="0" w:color="auto"/>
      </w:divBdr>
      <w:divsChild>
        <w:div w:id="183593343">
          <w:marLeft w:val="1080"/>
          <w:marRight w:val="0"/>
          <w:marTop w:val="100"/>
          <w:marBottom w:val="0"/>
          <w:divBdr>
            <w:top w:val="none" w:sz="0" w:space="0" w:color="auto"/>
            <w:left w:val="none" w:sz="0" w:space="0" w:color="auto"/>
            <w:bottom w:val="none" w:sz="0" w:space="0" w:color="auto"/>
            <w:right w:val="none" w:sz="0" w:space="0" w:color="auto"/>
          </w:divBdr>
        </w:div>
        <w:div w:id="902759645">
          <w:marLeft w:val="1080"/>
          <w:marRight w:val="0"/>
          <w:marTop w:val="100"/>
          <w:marBottom w:val="0"/>
          <w:divBdr>
            <w:top w:val="none" w:sz="0" w:space="0" w:color="auto"/>
            <w:left w:val="none" w:sz="0" w:space="0" w:color="auto"/>
            <w:bottom w:val="none" w:sz="0" w:space="0" w:color="auto"/>
            <w:right w:val="none" w:sz="0" w:space="0" w:color="auto"/>
          </w:divBdr>
        </w:div>
        <w:div w:id="1136873499">
          <w:marLeft w:val="1800"/>
          <w:marRight w:val="0"/>
          <w:marTop w:val="100"/>
          <w:marBottom w:val="0"/>
          <w:divBdr>
            <w:top w:val="none" w:sz="0" w:space="0" w:color="auto"/>
            <w:left w:val="none" w:sz="0" w:space="0" w:color="auto"/>
            <w:bottom w:val="none" w:sz="0" w:space="0" w:color="auto"/>
            <w:right w:val="none" w:sz="0" w:space="0" w:color="auto"/>
          </w:divBdr>
        </w:div>
        <w:div w:id="1820613213">
          <w:marLeft w:val="1800"/>
          <w:marRight w:val="0"/>
          <w:marTop w:val="100"/>
          <w:marBottom w:val="0"/>
          <w:divBdr>
            <w:top w:val="none" w:sz="0" w:space="0" w:color="auto"/>
            <w:left w:val="none" w:sz="0" w:space="0" w:color="auto"/>
            <w:bottom w:val="none" w:sz="0" w:space="0" w:color="auto"/>
            <w:right w:val="none" w:sz="0" w:space="0" w:color="auto"/>
          </w:divBdr>
        </w:div>
        <w:div w:id="2036230648">
          <w:marLeft w:val="360"/>
          <w:marRight w:val="0"/>
          <w:marTop w:val="200"/>
          <w:marBottom w:val="0"/>
          <w:divBdr>
            <w:top w:val="none" w:sz="0" w:space="0" w:color="auto"/>
            <w:left w:val="none" w:sz="0" w:space="0" w:color="auto"/>
            <w:bottom w:val="none" w:sz="0" w:space="0" w:color="auto"/>
            <w:right w:val="none" w:sz="0" w:space="0" w:color="auto"/>
          </w:divBdr>
        </w:div>
      </w:divsChild>
    </w:div>
    <w:div w:id="265040606">
      <w:bodyDiv w:val="1"/>
      <w:marLeft w:val="0"/>
      <w:marRight w:val="0"/>
      <w:marTop w:val="0"/>
      <w:marBottom w:val="0"/>
      <w:divBdr>
        <w:top w:val="none" w:sz="0" w:space="0" w:color="auto"/>
        <w:left w:val="none" w:sz="0" w:space="0" w:color="auto"/>
        <w:bottom w:val="none" w:sz="0" w:space="0" w:color="auto"/>
        <w:right w:val="none" w:sz="0" w:space="0" w:color="auto"/>
      </w:divBdr>
    </w:div>
    <w:div w:id="265503817">
      <w:bodyDiv w:val="1"/>
      <w:marLeft w:val="0"/>
      <w:marRight w:val="0"/>
      <w:marTop w:val="0"/>
      <w:marBottom w:val="0"/>
      <w:divBdr>
        <w:top w:val="none" w:sz="0" w:space="0" w:color="auto"/>
        <w:left w:val="none" w:sz="0" w:space="0" w:color="auto"/>
        <w:bottom w:val="none" w:sz="0" w:space="0" w:color="auto"/>
        <w:right w:val="none" w:sz="0" w:space="0" w:color="auto"/>
      </w:divBdr>
    </w:div>
    <w:div w:id="265576141">
      <w:bodyDiv w:val="1"/>
      <w:marLeft w:val="0"/>
      <w:marRight w:val="0"/>
      <w:marTop w:val="0"/>
      <w:marBottom w:val="0"/>
      <w:divBdr>
        <w:top w:val="none" w:sz="0" w:space="0" w:color="auto"/>
        <w:left w:val="none" w:sz="0" w:space="0" w:color="auto"/>
        <w:bottom w:val="none" w:sz="0" w:space="0" w:color="auto"/>
        <w:right w:val="none" w:sz="0" w:space="0" w:color="auto"/>
      </w:divBdr>
    </w:div>
    <w:div w:id="266042040">
      <w:bodyDiv w:val="1"/>
      <w:marLeft w:val="0"/>
      <w:marRight w:val="0"/>
      <w:marTop w:val="0"/>
      <w:marBottom w:val="0"/>
      <w:divBdr>
        <w:top w:val="none" w:sz="0" w:space="0" w:color="auto"/>
        <w:left w:val="none" w:sz="0" w:space="0" w:color="auto"/>
        <w:bottom w:val="none" w:sz="0" w:space="0" w:color="auto"/>
        <w:right w:val="none" w:sz="0" w:space="0" w:color="auto"/>
      </w:divBdr>
      <w:divsChild>
        <w:div w:id="687754506">
          <w:marLeft w:val="547"/>
          <w:marRight w:val="0"/>
          <w:marTop w:val="115"/>
          <w:marBottom w:val="0"/>
          <w:divBdr>
            <w:top w:val="none" w:sz="0" w:space="0" w:color="auto"/>
            <w:left w:val="none" w:sz="0" w:space="0" w:color="auto"/>
            <w:bottom w:val="none" w:sz="0" w:space="0" w:color="auto"/>
            <w:right w:val="none" w:sz="0" w:space="0" w:color="auto"/>
          </w:divBdr>
        </w:div>
        <w:div w:id="1147893188">
          <w:marLeft w:val="547"/>
          <w:marRight w:val="0"/>
          <w:marTop w:val="115"/>
          <w:marBottom w:val="0"/>
          <w:divBdr>
            <w:top w:val="none" w:sz="0" w:space="0" w:color="auto"/>
            <w:left w:val="none" w:sz="0" w:space="0" w:color="auto"/>
            <w:bottom w:val="none" w:sz="0" w:space="0" w:color="auto"/>
            <w:right w:val="none" w:sz="0" w:space="0" w:color="auto"/>
          </w:divBdr>
        </w:div>
      </w:divsChild>
    </w:div>
    <w:div w:id="266159733">
      <w:bodyDiv w:val="1"/>
      <w:marLeft w:val="0"/>
      <w:marRight w:val="0"/>
      <w:marTop w:val="0"/>
      <w:marBottom w:val="0"/>
      <w:divBdr>
        <w:top w:val="none" w:sz="0" w:space="0" w:color="auto"/>
        <w:left w:val="none" w:sz="0" w:space="0" w:color="auto"/>
        <w:bottom w:val="none" w:sz="0" w:space="0" w:color="auto"/>
        <w:right w:val="none" w:sz="0" w:space="0" w:color="auto"/>
      </w:divBdr>
    </w:div>
    <w:div w:id="266812193">
      <w:bodyDiv w:val="1"/>
      <w:marLeft w:val="0"/>
      <w:marRight w:val="0"/>
      <w:marTop w:val="0"/>
      <w:marBottom w:val="0"/>
      <w:divBdr>
        <w:top w:val="none" w:sz="0" w:space="0" w:color="auto"/>
        <w:left w:val="none" w:sz="0" w:space="0" w:color="auto"/>
        <w:bottom w:val="none" w:sz="0" w:space="0" w:color="auto"/>
        <w:right w:val="none" w:sz="0" w:space="0" w:color="auto"/>
      </w:divBdr>
    </w:div>
    <w:div w:id="266929829">
      <w:bodyDiv w:val="1"/>
      <w:marLeft w:val="0"/>
      <w:marRight w:val="0"/>
      <w:marTop w:val="0"/>
      <w:marBottom w:val="0"/>
      <w:divBdr>
        <w:top w:val="none" w:sz="0" w:space="0" w:color="auto"/>
        <w:left w:val="none" w:sz="0" w:space="0" w:color="auto"/>
        <w:bottom w:val="none" w:sz="0" w:space="0" w:color="auto"/>
        <w:right w:val="none" w:sz="0" w:space="0" w:color="auto"/>
      </w:divBdr>
    </w:div>
    <w:div w:id="267273324">
      <w:bodyDiv w:val="1"/>
      <w:marLeft w:val="0"/>
      <w:marRight w:val="0"/>
      <w:marTop w:val="0"/>
      <w:marBottom w:val="0"/>
      <w:divBdr>
        <w:top w:val="none" w:sz="0" w:space="0" w:color="auto"/>
        <w:left w:val="none" w:sz="0" w:space="0" w:color="auto"/>
        <w:bottom w:val="none" w:sz="0" w:space="0" w:color="auto"/>
        <w:right w:val="none" w:sz="0" w:space="0" w:color="auto"/>
      </w:divBdr>
    </w:div>
    <w:div w:id="268777384">
      <w:bodyDiv w:val="1"/>
      <w:marLeft w:val="0"/>
      <w:marRight w:val="0"/>
      <w:marTop w:val="0"/>
      <w:marBottom w:val="0"/>
      <w:divBdr>
        <w:top w:val="none" w:sz="0" w:space="0" w:color="auto"/>
        <w:left w:val="none" w:sz="0" w:space="0" w:color="auto"/>
        <w:bottom w:val="none" w:sz="0" w:space="0" w:color="auto"/>
        <w:right w:val="none" w:sz="0" w:space="0" w:color="auto"/>
      </w:divBdr>
    </w:div>
    <w:div w:id="269625896">
      <w:bodyDiv w:val="1"/>
      <w:marLeft w:val="0"/>
      <w:marRight w:val="0"/>
      <w:marTop w:val="0"/>
      <w:marBottom w:val="0"/>
      <w:divBdr>
        <w:top w:val="none" w:sz="0" w:space="0" w:color="auto"/>
        <w:left w:val="none" w:sz="0" w:space="0" w:color="auto"/>
        <w:bottom w:val="none" w:sz="0" w:space="0" w:color="auto"/>
        <w:right w:val="none" w:sz="0" w:space="0" w:color="auto"/>
      </w:divBdr>
    </w:div>
    <w:div w:id="269819735">
      <w:bodyDiv w:val="1"/>
      <w:marLeft w:val="0"/>
      <w:marRight w:val="0"/>
      <w:marTop w:val="0"/>
      <w:marBottom w:val="0"/>
      <w:divBdr>
        <w:top w:val="none" w:sz="0" w:space="0" w:color="auto"/>
        <w:left w:val="none" w:sz="0" w:space="0" w:color="auto"/>
        <w:bottom w:val="none" w:sz="0" w:space="0" w:color="auto"/>
        <w:right w:val="none" w:sz="0" w:space="0" w:color="auto"/>
      </w:divBdr>
      <w:divsChild>
        <w:div w:id="226838945">
          <w:marLeft w:val="547"/>
          <w:marRight w:val="0"/>
          <w:marTop w:val="115"/>
          <w:marBottom w:val="0"/>
          <w:divBdr>
            <w:top w:val="none" w:sz="0" w:space="0" w:color="auto"/>
            <w:left w:val="none" w:sz="0" w:space="0" w:color="auto"/>
            <w:bottom w:val="none" w:sz="0" w:space="0" w:color="auto"/>
            <w:right w:val="none" w:sz="0" w:space="0" w:color="auto"/>
          </w:divBdr>
        </w:div>
        <w:div w:id="319045490">
          <w:marLeft w:val="1166"/>
          <w:marRight w:val="0"/>
          <w:marTop w:val="96"/>
          <w:marBottom w:val="0"/>
          <w:divBdr>
            <w:top w:val="none" w:sz="0" w:space="0" w:color="auto"/>
            <w:left w:val="none" w:sz="0" w:space="0" w:color="auto"/>
            <w:bottom w:val="none" w:sz="0" w:space="0" w:color="auto"/>
            <w:right w:val="none" w:sz="0" w:space="0" w:color="auto"/>
          </w:divBdr>
        </w:div>
        <w:div w:id="518127851">
          <w:marLeft w:val="1166"/>
          <w:marRight w:val="0"/>
          <w:marTop w:val="96"/>
          <w:marBottom w:val="0"/>
          <w:divBdr>
            <w:top w:val="none" w:sz="0" w:space="0" w:color="auto"/>
            <w:left w:val="none" w:sz="0" w:space="0" w:color="auto"/>
            <w:bottom w:val="none" w:sz="0" w:space="0" w:color="auto"/>
            <w:right w:val="none" w:sz="0" w:space="0" w:color="auto"/>
          </w:divBdr>
        </w:div>
        <w:div w:id="1320695713">
          <w:marLeft w:val="547"/>
          <w:marRight w:val="0"/>
          <w:marTop w:val="115"/>
          <w:marBottom w:val="0"/>
          <w:divBdr>
            <w:top w:val="none" w:sz="0" w:space="0" w:color="auto"/>
            <w:left w:val="none" w:sz="0" w:space="0" w:color="auto"/>
            <w:bottom w:val="none" w:sz="0" w:space="0" w:color="auto"/>
            <w:right w:val="none" w:sz="0" w:space="0" w:color="auto"/>
          </w:divBdr>
        </w:div>
        <w:div w:id="1386876656">
          <w:marLeft w:val="1166"/>
          <w:marRight w:val="0"/>
          <w:marTop w:val="96"/>
          <w:marBottom w:val="0"/>
          <w:divBdr>
            <w:top w:val="none" w:sz="0" w:space="0" w:color="auto"/>
            <w:left w:val="none" w:sz="0" w:space="0" w:color="auto"/>
            <w:bottom w:val="none" w:sz="0" w:space="0" w:color="auto"/>
            <w:right w:val="none" w:sz="0" w:space="0" w:color="auto"/>
          </w:divBdr>
        </w:div>
        <w:div w:id="1734306951">
          <w:marLeft w:val="1800"/>
          <w:marRight w:val="0"/>
          <w:marTop w:val="86"/>
          <w:marBottom w:val="0"/>
          <w:divBdr>
            <w:top w:val="none" w:sz="0" w:space="0" w:color="auto"/>
            <w:left w:val="none" w:sz="0" w:space="0" w:color="auto"/>
            <w:bottom w:val="none" w:sz="0" w:space="0" w:color="auto"/>
            <w:right w:val="none" w:sz="0" w:space="0" w:color="auto"/>
          </w:divBdr>
        </w:div>
        <w:div w:id="2022126899">
          <w:marLeft w:val="1800"/>
          <w:marRight w:val="0"/>
          <w:marTop w:val="86"/>
          <w:marBottom w:val="0"/>
          <w:divBdr>
            <w:top w:val="none" w:sz="0" w:space="0" w:color="auto"/>
            <w:left w:val="none" w:sz="0" w:space="0" w:color="auto"/>
            <w:bottom w:val="none" w:sz="0" w:space="0" w:color="auto"/>
            <w:right w:val="none" w:sz="0" w:space="0" w:color="auto"/>
          </w:divBdr>
        </w:div>
      </w:divsChild>
    </w:div>
    <w:div w:id="270432053">
      <w:bodyDiv w:val="1"/>
      <w:marLeft w:val="0"/>
      <w:marRight w:val="0"/>
      <w:marTop w:val="0"/>
      <w:marBottom w:val="0"/>
      <w:divBdr>
        <w:top w:val="none" w:sz="0" w:space="0" w:color="auto"/>
        <w:left w:val="none" w:sz="0" w:space="0" w:color="auto"/>
        <w:bottom w:val="none" w:sz="0" w:space="0" w:color="auto"/>
        <w:right w:val="none" w:sz="0" w:space="0" w:color="auto"/>
      </w:divBdr>
    </w:div>
    <w:div w:id="270936649">
      <w:bodyDiv w:val="1"/>
      <w:marLeft w:val="0"/>
      <w:marRight w:val="0"/>
      <w:marTop w:val="0"/>
      <w:marBottom w:val="0"/>
      <w:divBdr>
        <w:top w:val="none" w:sz="0" w:space="0" w:color="auto"/>
        <w:left w:val="none" w:sz="0" w:space="0" w:color="auto"/>
        <w:bottom w:val="none" w:sz="0" w:space="0" w:color="auto"/>
        <w:right w:val="none" w:sz="0" w:space="0" w:color="auto"/>
      </w:divBdr>
    </w:div>
    <w:div w:id="271940849">
      <w:bodyDiv w:val="1"/>
      <w:marLeft w:val="0"/>
      <w:marRight w:val="0"/>
      <w:marTop w:val="0"/>
      <w:marBottom w:val="0"/>
      <w:divBdr>
        <w:top w:val="none" w:sz="0" w:space="0" w:color="auto"/>
        <w:left w:val="none" w:sz="0" w:space="0" w:color="auto"/>
        <w:bottom w:val="none" w:sz="0" w:space="0" w:color="auto"/>
        <w:right w:val="none" w:sz="0" w:space="0" w:color="auto"/>
      </w:divBdr>
    </w:div>
    <w:div w:id="272248951">
      <w:bodyDiv w:val="1"/>
      <w:marLeft w:val="0"/>
      <w:marRight w:val="0"/>
      <w:marTop w:val="0"/>
      <w:marBottom w:val="0"/>
      <w:divBdr>
        <w:top w:val="none" w:sz="0" w:space="0" w:color="auto"/>
        <w:left w:val="none" w:sz="0" w:space="0" w:color="auto"/>
        <w:bottom w:val="none" w:sz="0" w:space="0" w:color="auto"/>
        <w:right w:val="none" w:sz="0" w:space="0" w:color="auto"/>
      </w:divBdr>
    </w:div>
    <w:div w:id="273751508">
      <w:bodyDiv w:val="1"/>
      <w:marLeft w:val="0"/>
      <w:marRight w:val="0"/>
      <w:marTop w:val="0"/>
      <w:marBottom w:val="0"/>
      <w:divBdr>
        <w:top w:val="none" w:sz="0" w:space="0" w:color="auto"/>
        <w:left w:val="none" w:sz="0" w:space="0" w:color="auto"/>
        <w:bottom w:val="none" w:sz="0" w:space="0" w:color="auto"/>
        <w:right w:val="none" w:sz="0" w:space="0" w:color="auto"/>
      </w:divBdr>
      <w:divsChild>
        <w:div w:id="726686757">
          <w:marLeft w:val="0"/>
          <w:marRight w:val="0"/>
          <w:marTop w:val="0"/>
          <w:marBottom w:val="0"/>
          <w:divBdr>
            <w:top w:val="none" w:sz="0" w:space="0" w:color="auto"/>
            <w:left w:val="none" w:sz="0" w:space="0" w:color="auto"/>
            <w:bottom w:val="none" w:sz="0" w:space="0" w:color="auto"/>
            <w:right w:val="none" w:sz="0" w:space="0" w:color="auto"/>
          </w:divBdr>
        </w:div>
      </w:divsChild>
    </w:div>
    <w:div w:id="273944855">
      <w:bodyDiv w:val="1"/>
      <w:marLeft w:val="0"/>
      <w:marRight w:val="0"/>
      <w:marTop w:val="0"/>
      <w:marBottom w:val="0"/>
      <w:divBdr>
        <w:top w:val="none" w:sz="0" w:space="0" w:color="auto"/>
        <w:left w:val="none" w:sz="0" w:space="0" w:color="auto"/>
        <w:bottom w:val="none" w:sz="0" w:space="0" w:color="auto"/>
        <w:right w:val="none" w:sz="0" w:space="0" w:color="auto"/>
      </w:divBdr>
    </w:div>
    <w:div w:id="274021456">
      <w:bodyDiv w:val="1"/>
      <w:marLeft w:val="0"/>
      <w:marRight w:val="0"/>
      <w:marTop w:val="0"/>
      <w:marBottom w:val="0"/>
      <w:divBdr>
        <w:top w:val="none" w:sz="0" w:space="0" w:color="auto"/>
        <w:left w:val="none" w:sz="0" w:space="0" w:color="auto"/>
        <w:bottom w:val="none" w:sz="0" w:space="0" w:color="auto"/>
        <w:right w:val="none" w:sz="0" w:space="0" w:color="auto"/>
      </w:divBdr>
      <w:divsChild>
        <w:div w:id="369116382">
          <w:marLeft w:val="1166"/>
          <w:marRight w:val="0"/>
          <w:marTop w:val="86"/>
          <w:marBottom w:val="0"/>
          <w:divBdr>
            <w:top w:val="none" w:sz="0" w:space="0" w:color="auto"/>
            <w:left w:val="none" w:sz="0" w:space="0" w:color="auto"/>
            <w:bottom w:val="none" w:sz="0" w:space="0" w:color="auto"/>
            <w:right w:val="none" w:sz="0" w:space="0" w:color="auto"/>
          </w:divBdr>
        </w:div>
        <w:div w:id="384762598">
          <w:marLeft w:val="1800"/>
          <w:marRight w:val="0"/>
          <w:marTop w:val="77"/>
          <w:marBottom w:val="0"/>
          <w:divBdr>
            <w:top w:val="none" w:sz="0" w:space="0" w:color="auto"/>
            <w:left w:val="none" w:sz="0" w:space="0" w:color="auto"/>
            <w:bottom w:val="none" w:sz="0" w:space="0" w:color="auto"/>
            <w:right w:val="none" w:sz="0" w:space="0" w:color="auto"/>
          </w:divBdr>
        </w:div>
        <w:div w:id="680930814">
          <w:marLeft w:val="1800"/>
          <w:marRight w:val="0"/>
          <w:marTop w:val="77"/>
          <w:marBottom w:val="0"/>
          <w:divBdr>
            <w:top w:val="none" w:sz="0" w:space="0" w:color="auto"/>
            <w:left w:val="none" w:sz="0" w:space="0" w:color="auto"/>
            <w:bottom w:val="none" w:sz="0" w:space="0" w:color="auto"/>
            <w:right w:val="none" w:sz="0" w:space="0" w:color="auto"/>
          </w:divBdr>
        </w:div>
      </w:divsChild>
    </w:div>
    <w:div w:id="274024678">
      <w:bodyDiv w:val="1"/>
      <w:marLeft w:val="0"/>
      <w:marRight w:val="0"/>
      <w:marTop w:val="0"/>
      <w:marBottom w:val="0"/>
      <w:divBdr>
        <w:top w:val="none" w:sz="0" w:space="0" w:color="auto"/>
        <w:left w:val="none" w:sz="0" w:space="0" w:color="auto"/>
        <w:bottom w:val="none" w:sz="0" w:space="0" w:color="auto"/>
        <w:right w:val="none" w:sz="0" w:space="0" w:color="auto"/>
      </w:divBdr>
    </w:div>
    <w:div w:id="274025810">
      <w:bodyDiv w:val="1"/>
      <w:marLeft w:val="0"/>
      <w:marRight w:val="0"/>
      <w:marTop w:val="0"/>
      <w:marBottom w:val="0"/>
      <w:divBdr>
        <w:top w:val="none" w:sz="0" w:space="0" w:color="auto"/>
        <w:left w:val="none" w:sz="0" w:space="0" w:color="auto"/>
        <w:bottom w:val="none" w:sz="0" w:space="0" w:color="auto"/>
        <w:right w:val="none" w:sz="0" w:space="0" w:color="auto"/>
      </w:divBdr>
    </w:div>
    <w:div w:id="274946695">
      <w:bodyDiv w:val="1"/>
      <w:marLeft w:val="0"/>
      <w:marRight w:val="0"/>
      <w:marTop w:val="0"/>
      <w:marBottom w:val="0"/>
      <w:divBdr>
        <w:top w:val="none" w:sz="0" w:space="0" w:color="auto"/>
        <w:left w:val="none" w:sz="0" w:space="0" w:color="auto"/>
        <w:bottom w:val="none" w:sz="0" w:space="0" w:color="auto"/>
        <w:right w:val="none" w:sz="0" w:space="0" w:color="auto"/>
      </w:divBdr>
    </w:div>
    <w:div w:id="275212736">
      <w:bodyDiv w:val="1"/>
      <w:marLeft w:val="0"/>
      <w:marRight w:val="0"/>
      <w:marTop w:val="0"/>
      <w:marBottom w:val="0"/>
      <w:divBdr>
        <w:top w:val="none" w:sz="0" w:space="0" w:color="auto"/>
        <w:left w:val="none" w:sz="0" w:space="0" w:color="auto"/>
        <w:bottom w:val="none" w:sz="0" w:space="0" w:color="auto"/>
        <w:right w:val="none" w:sz="0" w:space="0" w:color="auto"/>
      </w:divBdr>
    </w:div>
    <w:div w:id="275866165">
      <w:bodyDiv w:val="1"/>
      <w:marLeft w:val="0"/>
      <w:marRight w:val="0"/>
      <w:marTop w:val="0"/>
      <w:marBottom w:val="0"/>
      <w:divBdr>
        <w:top w:val="none" w:sz="0" w:space="0" w:color="auto"/>
        <w:left w:val="none" w:sz="0" w:space="0" w:color="auto"/>
        <w:bottom w:val="none" w:sz="0" w:space="0" w:color="auto"/>
        <w:right w:val="none" w:sz="0" w:space="0" w:color="auto"/>
      </w:divBdr>
    </w:div>
    <w:div w:id="276301799">
      <w:bodyDiv w:val="1"/>
      <w:marLeft w:val="0"/>
      <w:marRight w:val="0"/>
      <w:marTop w:val="0"/>
      <w:marBottom w:val="0"/>
      <w:divBdr>
        <w:top w:val="none" w:sz="0" w:space="0" w:color="auto"/>
        <w:left w:val="none" w:sz="0" w:space="0" w:color="auto"/>
        <w:bottom w:val="none" w:sz="0" w:space="0" w:color="auto"/>
        <w:right w:val="none" w:sz="0" w:space="0" w:color="auto"/>
      </w:divBdr>
    </w:div>
    <w:div w:id="277419306">
      <w:bodyDiv w:val="1"/>
      <w:marLeft w:val="0"/>
      <w:marRight w:val="0"/>
      <w:marTop w:val="0"/>
      <w:marBottom w:val="0"/>
      <w:divBdr>
        <w:top w:val="none" w:sz="0" w:space="0" w:color="auto"/>
        <w:left w:val="none" w:sz="0" w:space="0" w:color="auto"/>
        <w:bottom w:val="none" w:sz="0" w:space="0" w:color="auto"/>
        <w:right w:val="none" w:sz="0" w:space="0" w:color="auto"/>
      </w:divBdr>
    </w:div>
    <w:div w:id="277420220">
      <w:bodyDiv w:val="1"/>
      <w:marLeft w:val="0"/>
      <w:marRight w:val="0"/>
      <w:marTop w:val="0"/>
      <w:marBottom w:val="0"/>
      <w:divBdr>
        <w:top w:val="none" w:sz="0" w:space="0" w:color="auto"/>
        <w:left w:val="none" w:sz="0" w:space="0" w:color="auto"/>
        <w:bottom w:val="none" w:sz="0" w:space="0" w:color="auto"/>
        <w:right w:val="none" w:sz="0" w:space="0" w:color="auto"/>
      </w:divBdr>
      <w:divsChild>
        <w:div w:id="17198306">
          <w:marLeft w:val="547"/>
          <w:marRight w:val="0"/>
          <w:marTop w:val="96"/>
          <w:marBottom w:val="0"/>
          <w:divBdr>
            <w:top w:val="none" w:sz="0" w:space="0" w:color="auto"/>
            <w:left w:val="none" w:sz="0" w:space="0" w:color="auto"/>
            <w:bottom w:val="none" w:sz="0" w:space="0" w:color="auto"/>
            <w:right w:val="none" w:sz="0" w:space="0" w:color="auto"/>
          </w:divBdr>
        </w:div>
        <w:div w:id="34819080">
          <w:marLeft w:val="547"/>
          <w:marRight w:val="0"/>
          <w:marTop w:val="96"/>
          <w:marBottom w:val="0"/>
          <w:divBdr>
            <w:top w:val="none" w:sz="0" w:space="0" w:color="auto"/>
            <w:left w:val="none" w:sz="0" w:space="0" w:color="auto"/>
            <w:bottom w:val="none" w:sz="0" w:space="0" w:color="auto"/>
            <w:right w:val="none" w:sz="0" w:space="0" w:color="auto"/>
          </w:divBdr>
        </w:div>
        <w:div w:id="546989617">
          <w:marLeft w:val="1166"/>
          <w:marRight w:val="0"/>
          <w:marTop w:val="86"/>
          <w:marBottom w:val="0"/>
          <w:divBdr>
            <w:top w:val="none" w:sz="0" w:space="0" w:color="auto"/>
            <w:left w:val="none" w:sz="0" w:space="0" w:color="auto"/>
            <w:bottom w:val="none" w:sz="0" w:space="0" w:color="auto"/>
            <w:right w:val="none" w:sz="0" w:space="0" w:color="auto"/>
          </w:divBdr>
        </w:div>
        <w:div w:id="558251283">
          <w:marLeft w:val="1166"/>
          <w:marRight w:val="0"/>
          <w:marTop w:val="86"/>
          <w:marBottom w:val="0"/>
          <w:divBdr>
            <w:top w:val="none" w:sz="0" w:space="0" w:color="auto"/>
            <w:left w:val="none" w:sz="0" w:space="0" w:color="auto"/>
            <w:bottom w:val="none" w:sz="0" w:space="0" w:color="auto"/>
            <w:right w:val="none" w:sz="0" w:space="0" w:color="auto"/>
          </w:divBdr>
        </w:div>
        <w:div w:id="620653613">
          <w:marLeft w:val="1166"/>
          <w:marRight w:val="0"/>
          <w:marTop w:val="86"/>
          <w:marBottom w:val="0"/>
          <w:divBdr>
            <w:top w:val="none" w:sz="0" w:space="0" w:color="auto"/>
            <w:left w:val="none" w:sz="0" w:space="0" w:color="auto"/>
            <w:bottom w:val="none" w:sz="0" w:space="0" w:color="auto"/>
            <w:right w:val="none" w:sz="0" w:space="0" w:color="auto"/>
          </w:divBdr>
        </w:div>
        <w:div w:id="1277787587">
          <w:marLeft w:val="1166"/>
          <w:marRight w:val="0"/>
          <w:marTop w:val="86"/>
          <w:marBottom w:val="0"/>
          <w:divBdr>
            <w:top w:val="none" w:sz="0" w:space="0" w:color="auto"/>
            <w:left w:val="none" w:sz="0" w:space="0" w:color="auto"/>
            <w:bottom w:val="none" w:sz="0" w:space="0" w:color="auto"/>
            <w:right w:val="none" w:sz="0" w:space="0" w:color="auto"/>
          </w:divBdr>
        </w:div>
        <w:div w:id="1576431205">
          <w:marLeft w:val="1166"/>
          <w:marRight w:val="0"/>
          <w:marTop w:val="86"/>
          <w:marBottom w:val="0"/>
          <w:divBdr>
            <w:top w:val="none" w:sz="0" w:space="0" w:color="auto"/>
            <w:left w:val="none" w:sz="0" w:space="0" w:color="auto"/>
            <w:bottom w:val="none" w:sz="0" w:space="0" w:color="auto"/>
            <w:right w:val="none" w:sz="0" w:space="0" w:color="auto"/>
          </w:divBdr>
        </w:div>
        <w:div w:id="1580944092">
          <w:marLeft w:val="547"/>
          <w:marRight w:val="0"/>
          <w:marTop w:val="96"/>
          <w:marBottom w:val="0"/>
          <w:divBdr>
            <w:top w:val="none" w:sz="0" w:space="0" w:color="auto"/>
            <w:left w:val="none" w:sz="0" w:space="0" w:color="auto"/>
            <w:bottom w:val="none" w:sz="0" w:space="0" w:color="auto"/>
            <w:right w:val="none" w:sz="0" w:space="0" w:color="auto"/>
          </w:divBdr>
        </w:div>
        <w:div w:id="1605259984">
          <w:marLeft w:val="1166"/>
          <w:marRight w:val="0"/>
          <w:marTop w:val="86"/>
          <w:marBottom w:val="0"/>
          <w:divBdr>
            <w:top w:val="none" w:sz="0" w:space="0" w:color="auto"/>
            <w:left w:val="none" w:sz="0" w:space="0" w:color="auto"/>
            <w:bottom w:val="none" w:sz="0" w:space="0" w:color="auto"/>
            <w:right w:val="none" w:sz="0" w:space="0" w:color="auto"/>
          </w:divBdr>
        </w:div>
        <w:div w:id="1625185576">
          <w:marLeft w:val="547"/>
          <w:marRight w:val="0"/>
          <w:marTop w:val="96"/>
          <w:marBottom w:val="0"/>
          <w:divBdr>
            <w:top w:val="none" w:sz="0" w:space="0" w:color="auto"/>
            <w:left w:val="none" w:sz="0" w:space="0" w:color="auto"/>
            <w:bottom w:val="none" w:sz="0" w:space="0" w:color="auto"/>
            <w:right w:val="none" w:sz="0" w:space="0" w:color="auto"/>
          </w:divBdr>
        </w:div>
        <w:div w:id="1932658218">
          <w:marLeft w:val="1166"/>
          <w:marRight w:val="0"/>
          <w:marTop w:val="86"/>
          <w:marBottom w:val="0"/>
          <w:divBdr>
            <w:top w:val="none" w:sz="0" w:space="0" w:color="auto"/>
            <w:left w:val="none" w:sz="0" w:space="0" w:color="auto"/>
            <w:bottom w:val="none" w:sz="0" w:space="0" w:color="auto"/>
            <w:right w:val="none" w:sz="0" w:space="0" w:color="auto"/>
          </w:divBdr>
        </w:div>
      </w:divsChild>
    </w:div>
    <w:div w:id="278604551">
      <w:bodyDiv w:val="1"/>
      <w:marLeft w:val="0"/>
      <w:marRight w:val="0"/>
      <w:marTop w:val="0"/>
      <w:marBottom w:val="0"/>
      <w:divBdr>
        <w:top w:val="none" w:sz="0" w:space="0" w:color="auto"/>
        <w:left w:val="none" w:sz="0" w:space="0" w:color="auto"/>
        <w:bottom w:val="none" w:sz="0" w:space="0" w:color="auto"/>
        <w:right w:val="none" w:sz="0" w:space="0" w:color="auto"/>
      </w:divBdr>
      <w:divsChild>
        <w:div w:id="701903789">
          <w:marLeft w:val="1800"/>
          <w:marRight w:val="0"/>
          <w:marTop w:val="77"/>
          <w:marBottom w:val="0"/>
          <w:divBdr>
            <w:top w:val="none" w:sz="0" w:space="0" w:color="auto"/>
            <w:left w:val="none" w:sz="0" w:space="0" w:color="auto"/>
            <w:bottom w:val="none" w:sz="0" w:space="0" w:color="auto"/>
            <w:right w:val="none" w:sz="0" w:space="0" w:color="auto"/>
          </w:divBdr>
        </w:div>
        <w:div w:id="720787673">
          <w:marLeft w:val="1166"/>
          <w:marRight w:val="0"/>
          <w:marTop w:val="96"/>
          <w:marBottom w:val="0"/>
          <w:divBdr>
            <w:top w:val="none" w:sz="0" w:space="0" w:color="auto"/>
            <w:left w:val="none" w:sz="0" w:space="0" w:color="auto"/>
            <w:bottom w:val="none" w:sz="0" w:space="0" w:color="auto"/>
            <w:right w:val="none" w:sz="0" w:space="0" w:color="auto"/>
          </w:divBdr>
        </w:div>
        <w:div w:id="1004354910">
          <w:marLeft w:val="547"/>
          <w:marRight w:val="0"/>
          <w:marTop w:val="115"/>
          <w:marBottom w:val="0"/>
          <w:divBdr>
            <w:top w:val="none" w:sz="0" w:space="0" w:color="auto"/>
            <w:left w:val="none" w:sz="0" w:space="0" w:color="auto"/>
            <w:bottom w:val="none" w:sz="0" w:space="0" w:color="auto"/>
            <w:right w:val="none" w:sz="0" w:space="0" w:color="auto"/>
          </w:divBdr>
        </w:div>
        <w:div w:id="1310937630">
          <w:marLeft w:val="1800"/>
          <w:marRight w:val="0"/>
          <w:marTop w:val="77"/>
          <w:marBottom w:val="0"/>
          <w:divBdr>
            <w:top w:val="none" w:sz="0" w:space="0" w:color="auto"/>
            <w:left w:val="none" w:sz="0" w:space="0" w:color="auto"/>
            <w:bottom w:val="none" w:sz="0" w:space="0" w:color="auto"/>
            <w:right w:val="none" w:sz="0" w:space="0" w:color="auto"/>
          </w:divBdr>
        </w:div>
        <w:div w:id="1542093276">
          <w:marLeft w:val="1166"/>
          <w:marRight w:val="0"/>
          <w:marTop w:val="96"/>
          <w:marBottom w:val="0"/>
          <w:divBdr>
            <w:top w:val="none" w:sz="0" w:space="0" w:color="auto"/>
            <w:left w:val="none" w:sz="0" w:space="0" w:color="auto"/>
            <w:bottom w:val="none" w:sz="0" w:space="0" w:color="auto"/>
            <w:right w:val="none" w:sz="0" w:space="0" w:color="auto"/>
          </w:divBdr>
        </w:div>
        <w:div w:id="1700818394">
          <w:marLeft w:val="1800"/>
          <w:marRight w:val="0"/>
          <w:marTop w:val="77"/>
          <w:marBottom w:val="0"/>
          <w:divBdr>
            <w:top w:val="none" w:sz="0" w:space="0" w:color="auto"/>
            <w:left w:val="none" w:sz="0" w:space="0" w:color="auto"/>
            <w:bottom w:val="none" w:sz="0" w:space="0" w:color="auto"/>
            <w:right w:val="none" w:sz="0" w:space="0" w:color="auto"/>
          </w:divBdr>
        </w:div>
        <w:div w:id="1742751722">
          <w:marLeft w:val="1800"/>
          <w:marRight w:val="0"/>
          <w:marTop w:val="77"/>
          <w:marBottom w:val="0"/>
          <w:divBdr>
            <w:top w:val="none" w:sz="0" w:space="0" w:color="auto"/>
            <w:left w:val="none" w:sz="0" w:space="0" w:color="auto"/>
            <w:bottom w:val="none" w:sz="0" w:space="0" w:color="auto"/>
            <w:right w:val="none" w:sz="0" w:space="0" w:color="auto"/>
          </w:divBdr>
        </w:div>
        <w:div w:id="1884520390">
          <w:marLeft w:val="1800"/>
          <w:marRight w:val="0"/>
          <w:marTop w:val="77"/>
          <w:marBottom w:val="0"/>
          <w:divBdr>
            <w:top w:val="none" w:sz="0" w:space="0" w:color="auto"/>
            <w:left w:val="none" w:sz="0" w:space="0" w:color="auto"/>
            <w:bottom w:val="none" w:sz="0" w:space="0" w:color="auto"/>
            <w:right w:val="none" w:sz="0" w:space="0" w:color="auto"/>
          </w:divBdr>
        </w:div>
        <w:div w:id="1945067203">
          <w:marLeft w:val="1800"/>
          <w:marRight w:val="0"/>
          <w:marTop w:val="77"/>
          <w:marBottom w:val="0"/>
          <w:divBdr>
            <w:top w:val="none" w:sz="0" w:space="0" w:color="auto"/>
            <w:left w:val="none" w:sz="0" w:space="0" w:color="auto"/>
            <w:bottom w:val="none" w:sz="0" w:space="0" w:color="auto"/>
            <w:right w:val="none" w:sz="0" w:space="0" w:color="auto"/>
          </w:divBdr>
        </w:div>
      </w:divsChild>
    </w:div>
    <w:div w:id="278921307">
      <w:bodyDiv w:val="1"/>
      <w:marLeft w:val="0"/>
      <w:marRight w:val="0"/>
      <w:marTop w:val="0"/>
      <w:marBottom w:val="0"/>
      <w:divBdr>
        <w:top w:val="none" w:sz="0" w:space="0" w:color="auto"/>
        <w:left w:val="none" w:sz="0" w:space="0" w:color="auto"/>
        <w:bottom w:val="none" w:sz="0" w:space="0" w:color="auto"/>
        <w:right w:val="none" w:sz="0" w:space="0" w:color="auto"/>
      </w:divBdr>
    </w:div>
    <w:div w:id="279189282">
      <w:bodyDiv w:val="1"/>
      <w:marLeft w:val="0"/>
      <w:marRight w:val="0"/>
      <w:marTop w:val="0"/>
      <w:marBottom w:val="0"/>
      <w:divBdr>
        <w:top w:val="none" w:sz="0" w:space="0" w:color="auto"/>
        <w:left w:val="none" w:sz="0" w:space="0" w:color="auto"/>
        <w:bottom w:val="none" w:sz="0" w:space="0" w:color="auto"/>
        <w:right w:val="none" w:sz="0" w:space="0" w:color="auto"/>
      </w:divBdr>
    </w:div>
    <w:div w:id="280261352">
      <w:bodyDiv w:val="1"/>
      <w:marLeft w:val="0"/>
      <w:marRight w:val="0"/>
      <w:marTop w:val="0"/>
      <w:marBottom w:val="0"/>
      <w:divBdr>
        <w:top w:val="none" w:sz="0" w:space="0" w:color="auto"/>
        <w:left w:val="none" w:sz="0" w:space="0" w:color="auto"/>
        <w:bottom w:val="none" w:sz="0" w:space="0" w:color="auto"/>
        <w:right w:val="none" w:sz="0" w:space="0" w:color="auto"/>
      </w:divBdr>
    </w:div>
    <w:div w:id="280578058">
      <w:bodyDiv w:val="1"/>
      <w:marLeft w:val="0"/>
      <w:marRight w:val="0"/>
      <w:marTop w:val="0"/>
      <w:marBottom w:val="0"/>
      <w:divBdr>
        <w:top w:val="none" w:sz="0" w:space="0" w:color="auto"/>
        <w:left w:val="none" w:sz="0" w:space="0" w:color="auto"/>
        <w:bottom w:val="none" w:sz="0" w:space="0" w:color="auto"/>
        <w:right w:val="none" w:sz="0" w:space="0" w:color="auto"/>
      </w:divBdr>
      <w:divsChild>
        <w:div w:id="949094094">
          <w:marLeft w:val="1166"/>
          <w:marRight w:val="0"/>
          <w:marTop w:val="134"/>
          <w:marBottom w:val="0"/>
          <w:divBdr>
            <w:top w:val="none" w:sz="0" w:space="0" w:color="auto"/>
            <w:left w:val="none" w:sz="0" w:space="0" w:color="auto"/>
            <w:bottom w:val="none" w:sz="0" w:space="0" w:color="auto"/>
            <w:right w:val="none" w:sz="0" w:space="0" w:color="auto"/>
          </w:divBdr>
        </w:div>
        <w:div w:id="951594721">
          <w:marLeft w:val="547"/>
          <w:marRight w:val="0"/>
          <w:marTop w:val="154"/>
          <w:marBottom w:val="0"/>
          <w:divBdr>
            <w:top w:val="none" w:sz="0" w:space="0" w:color="auto"/>
            <w:left w:val="none" w:sz="0" w:space="0" w:color="auto"/>
            <w:bottom w:val="none" w:sz="0" w:space="0" w:color="auto"/>
            <w:right w:val="none" w:sz="0" w:space="0" w:color="auto"/>
          </w:divBdr>
        </w:div>
      </w:divsChild>
    </w:div>
    <w:div w:id="281300963">
      <w:bodyDiv w:val="1"/>
      <w:marLeft w:val="0"/>
      <w:marRight w:val="0"/>
      <w:marTop w:val="0"/>
      <w:marBottom w:val="0"/>
      <w:divBdr>
        <w:top w:val="none" w:sz="0" w:space="0" w:color="auto"/>
        <w:left w:val="none" w:sz="0" w:space="0" w:color="auto"/>
        <w:bottom w:val="none" w:sz="0" w:space="0" w:color="auto"/>
        <w:right w:val="none" w:sz="0" w:space="0" w:color="auto"/>
      </w:divBdr>
    </w:div>
    <w:div w:id="281617875">
      <w:bodyDiv w:val="1"/>
      <w:marLeft w:val="0"/>
      <w:marRight w:val="0"/>
      <w:marTop w:val="0"/>
      <w:marBottom w:val="0"/>
      <w:divBdr>
        <w:top w:val="none" w:sz="0" w:space="0" w:color="auto"/>
        <w:left w:val="none" w:sz="0" w:space="0" w:color="auto"/>
        <w:bottom w:val="none" w:sz="0" w:space="0" w:color="auto"/>
        <w:right w:val="none" w:sz="0" w:space="0" w:color="auto"/>
      </w:divBdr>
      <w:divsChild>
        <w:div w:id="182863130">
          <w:marLeft w:val="1080"/>
          <w:marRight w:val="0"/>
          <w:marTop w:val="100"/>
          <w:marBottom w:val="0"/>
          <w:divBdr>
            <w:top w:val="none" w:sz="0" w:space="0" w:color="auto"/>
            <w:left w:val="none" w:sz="0" w:space="0" w:color="auto"/>
            <w:bottom w:val="none" w:sz="0" w:space="0" w:color="auto"/>
            <w:right w:val="none" w:sz="0" w:space="0" w:color="auto"/>
          </w:divBdr>
        </w:div>
        <w:div w:id="344674816">
          <w:marLeft w:val="360"/>
          <w:marRight w:val="0"/>
          <w:marTop w:val="200"/>
          <w:marBottom w:val="0"/>
          <w:divBdr>
            <w:top w:val="none" w:sz="0" w:space="0" w:color="auto"/>
            <w:left w:val="none" w:sz="0" w:space="0" w:color="auto"/>
            <w:bottom w:val="none" w:sz="0" w:space="0" w:color="auto"/>
            <w:right w:val="none" w:sz="0" w:space="0" w:color="auto"/>
          </w:divBdr>
        </w:div>
        <w:div w:id="587084194">
          <w:marLeft w:val="1080"/>
          <w:marRight w:val="0"/>
          <w:marTop w:val="100"/>
          <w:marBottom w:val="0"/>
          <w:divBdr>
            <w:top w:val="none" w:sz="0" w:space="0" w:color="auto"/>
            <w:left w:val="none" w:sz="0" w:space="0" w:color="auto"/>
            <w:bottom w:val="none" w:sz="0" w:space="0" w:color="auto"/>
            <w:right w:val="none" w:sz="0" w:space="0" w:color="auto"/>
          </w:divBdr>
        </w:div>
        <w:div w:id="612594334">
          <w:marLeft w:val="1080"/>
          <w:marRight w:val="0"/>
          <w:marTop w:val="100"/>
          <w:marBottom w:val="0"/>
          <w:divBdr>
            <w:top w:val="none" w:sz="0" w:space="0" w:color="auto"/>
            <w:left w:val="none" w:sz="0" w:space="0" w:color="auto"/>
            <w:bottom w:val="none" w:sz="0" w:space="0" w:color="auto"/>
            <w:right w:val="none" w:sz="0" w:space="0" w:color="auto"/>
          </w:divBdr>
        </w:div>
        <w:div w:id="1055003750">
          <w:marLeft w:val="1080"/>
          <w:marRight w:val="0"/>
          <w:marTop w:val="100"/>
          <w:marBottom w:val="0"/>
          <w:divBdr>
            <w:top w:val="none" w:sz="0" w:space="0" w:color="auto"/>
            <w:left w:val="none" w:sz="0" w:space="0" w:color="auto"/>
            <w:bottom w:val="none" w:sz="0" w:space="0" w:color="auto"/>
            <w:right w:val="none" w:sz="0" w:space="0" w:color="auto"/>
          </w:divBdr>
        </w:div>
        <w:div w:id="1061246591">
          <w:marLeft w:val="1080"/>
          <w:marRight w:val="0"/>
          <w:marTop w:val="100"/>
          <w:marBottom w:val="0"/>
          <w:divBdr>
            <w:top w:val="none" w:sz="0" w:space="0" w:color="auto"/>
            <w:left w:val="none" w:sz="0" w:space="0" w:color="auto"/>
            <w:bottom w:val="none" w:sz="0" w:space="0" w:color="auto"/>
            <w:right w:val="none" w:sz="0" w:space="0" w:color="auto"/>
          </w:divBdr>
        </w:div>
      </w:divsChild>
    </w:div>
    <w:div w:id="282268575">
      <w:bodyDiv w:val="1"/>
      <w:marLeft w:val="0"/>
      <w:marRight w:val="0"/>
      <w:marTop w:val="0"/>
      <w:marBottom w:val="0"/>
      <w:divBdr>
        <w:top w:val="none" w:sz="0" w:space="0" w:color="auto"/>
        <w:left w:val="none" w:sz="0" w:space="0" w:color="auto"/>
        <w:bottom w:val="none" w:sz="0" w:space="0" w:color="auto"/>
        <w:right w:val="none" w:sz="0" w:space="0" w:color="auto"/>
      </w:divBdr>
    </w:div>
    <w:div w:id="284240909">
      <w:bodyDiv w:val="1"/>
      <w:marLeft w:val="0"/>
      <w:marRight w:val="0"/>
      <w:marTop w:val="0"/>
      <w:marBottom w:val="0"/>
      <w:divBdr>
        <w:top w:val="none" w:sz="0" w:space="0" w:color="auto"/>
        <w:left w:val="none" w:sz="0" w:space="0" w:color="auto"/>
        <w:bottom w:val="none" w:sz="0" w:space="0" w:color="auto"/>
        <w:right w:val="none" w:sz="0" w:space="0" w:color="auto"/>
      </w:divBdr>
      <w:divsChild>
        <w:div w:id="99381091">
          <w:marLeft w:val="547"/>
          <w:marRight w:val="0"/>
          <w:marTop w:val="115"/>
          <w:marBottom w:val="0"/>
          <w:divBdr>
            <w:top w:val="none" w:sz="0" w:space="0" w:color="auto"/>
            <w:left w:val="none" w:sz="0" w:space="0" w:color="auto"/>
            <w:bottom w:val="none" w:sz="0" w:space="0" w:color="auto"/>
            <w:right w:val="none" w:sz="0" w:space="0" w:color="auto"/>
          </w:divBdr>
        </w:div>
        <w:div w:id="195049682">
          <w:marLeft w:val="1166"/>
          <w:marRight w:val="0"/>
          <w:marTop w:val="96"/>
          <w:marBottom w:val="0"/>
          <w:divBdr>
            <w:top w:val="none" w:sz="0" w:space="0" w:color="auto"/>
            <w:left w:val="none" w:sz="0" w:space="0" w:color="auto"/>
            <w:bottom w:val="none" w:sz="0" w:space="0" w:color="auto"/>
            <w:right w:val="none" w:sz="0" w:space="0" w:color="auto"/>
          </w:divBdr>
        </w:div>
        <w:div w:id="287859125">
          <w:marLeft w:val="1166"/>
          <w:marRight w:val="0"/>
          <w:marTop w:val="96"/>
          <w:marBottom w:val="0"/>
          <w:divBdr>
            <w:top w:val="none" w:sz="0" w:space="0" w:color="auto"/>
            <w:left w:val="none" w:sz="0" w:space="0" w:color="auto"/>
            <w:bottom w:val="none" w:sz="0" w:space="0" w:color="auto"/>
            <w:right w:val="none" w:sz="0" w:space="0" w:color="auto"/>
          </w:divBdr>
        </w:div>
        <w:div w:id="1026252341">
          <w:marLeft w:val="547"/>
          <w:marRight w:val="0"/>
          <w:marTop w:val="115"/>
          <w:marBottom w:val="0"/>
          <w:divBdr>
            <w:top w:val="none" w:sz="0" w:space="0" w:color="auto"/>
            <w:left w:val="none" w:sz="0" w:space="0" w:color="auto"/>
            <w:bottom w:val="none" w:sz="0" w:space="0" w:color="auto"/>
            <w:right w:val="none" w:sz="0" w:space="0" w:color="auto"/>
          </w:divBdr>
        </w:div>
        <w:div w:id="1419013677">
          <w:marLeft w:val="1800"/>
          <w:marRight w:val="0"/>
          <w:marTop w:val="77"/>
          <w:marBottom w:val="0"/>
          <w:divBdr>
            <w:top w:val="none" w:sz="0" w:space="0" w:color="auto"/>
            <w:left w:val="none" w:sz="0" w:space="0" w:color="auto"/>
            <w:bottom w:val="none" w:sz="0" w:space="0" w:color="auto"/>
            <w:right w:val="none" w:sz="0" w:space="0" w:color="auto"/>
          </w:divBdr>
        </w:div>
        <w:div w:id="1646936687">
          <w:marLeft w:val="1166"/>
          <w:marRight w:val="0"/>
          <w:marTop w:val="96"/>
          <w:marBottom w:val="0"/>
          <w:divBdr>
            <w:top w:val="none" w:sz="0" w:space="0" w:color="auto"/>
            <w:left w:val="none" w:sz="0" w:space="0" w:color="auto"/>
            <w:bottom w:val="none" w:sz="0" w:space="0" w:color="auto"/>
            <w:right w:val="none" w:sz="0" w:space="0" w:color="auto"/>
          </w:divBdr>
        </w:div>
        <w:div w:id="1892769916">
          <w:marLeft w:val="1800"/>
          <w:marRight w:val="0"/>
          <w:marTop w:val="77"/>
          <w:marBottom w:val="0"/>
          <w:divBdr>
            <w:top w:val="none" w:sz="0" w:space="0" w:color="auto"/>
            <w:left w:val="none" w:sz="0" w:space="0" w:color="auto"/>
            <w:bottom w:val="none" w:sz="0" w:space="0" w:color="auto"/>
            <w:right w:val="none" w:sz="0" w:space="0" w:color="auto"/>
          </w:divBdr>
        </w:div>
      </w:divsChild>
    </w:div>
    <w:div w:id="284317047">
      <w:bodyDiv w:val="1"/>
      <w:marLeft w:val="0"/>
      <w:marRight w:val="0"/>
      <w:marTop w:val="0"/>
      <w:marBottom w:val="0"/>
      <w:divBdr>
        <w:top w:val="none" w:sz="0" w:space="0" w:color="auto"/>
        <w:left w:val="none" w:sz="0" w:space="0" w:color="auto"/>
        <w:bottom w:val="none" w:sz="0" w:space="0" w:color="auto"/>
        <w:right w:val="none" w:sz="0" w:space="0" w:color="auto"/>
      </w:divBdr>
    </w:div>
    <w:div w:id="284385164">
      <w:bodyDiv w:val="1"/>
      <w:marLeft w:val="0"/>
      <w:marRight w:val="0"/>
      <w:marTop w:val="0"/>
      <w:marBottom w:val="0"/>
      <w:divBdr>
        <w:top w:val="none" w:sz="0" w:space="0" w:color="auto"/>
        <w:left w:val="none" w:sz="0" w:space="0" w:color="auto"/>
        <w:bottom w:val="none" w:sz="0" w:space="0" w:color="auto"/>
        <w:right w:val="none" w:sz="0" w:space="0" w:color="auto"/>
      </w:divBdr>
      <w:divsChild>
        <w:div w:id="1180047419">
          <w:marLeft w:val="547"/>
          <w:marRight w:val="0"/>
          <w:marTop w:val="0"/>
          <w:marBottom w:val="0"/>
          <w:divBdr>
            <w:top w:val="none" w:sz="0" w:space="0" w:color="auto"/>
            <w:left w:val="none" w:sz="0" w:space="0" w:color="auto"/>
            <w:bottom w:val="none" w:sz="0" w:space="0" w:color="auto"/>
            <w:right w:val="none" w:sz="0" w:space="0" w:color="auto"/>
          </w:divBdr>
        </w:div>
      </w:divsChild>
    </w:div>
    <w:div w:id="285816391">
      <w:bodyDiv w:val="1"/>
      <w:marLeft w:val="0"/>
      <w:marRight w:val="0"/>
      <w:marTop w:val="0"/>
      <w:marBottom w:val="0"/>
      <w:divBdr>
        <w:top w:val="none" w:sz="0" w:space="0" w:color="auto"/>
        <w:left w:val="none" w:sz="0" w:space="0" w:color="auto"/>
        <w:bottom w:val="none" w:sz="0" w:space="0" w:color="auto"/>
        <w:right w:val="none" w:sz="0" w:space="0" w:color="auto"/>
      </w:divBdr>
    </w:div>
    <w:div w:id="286014035">
      <w:bodyDiv w:val="1"/>
      <w:marLeft w:val="0"/>
      <w:marRight w:val="0"/>
      <w:marTop w:val="0"/>
      <w:marBottom w:val="0"/>
      <w:divBdr>
        <w:top w:val="none" w:sz="0" w:space="0" w:color="auto"/>
        <w:left w:val="none" w:sz="0" w:space="0" w:color="auto"/>
        <w:bottom w:val="none" w:sz="0" w:space="0" w:color="auto"/>
        <w:right w:val="none" w:sz="0" w:space="0" w:color="auto"/>
      </w:divBdr>
    </w:div>
    <w:div w:id="286161822">
      <w:bodyDiv w:val="1"/>
      <w:marLeft w:val="0"/>
      <w:marRight w:val="0"/>
      <w:marTop w:val="0"/>
      <w:marBottom w:val="0"/>
      <w:divBdr>
        <w:top w:val="none" w:sz="0" w:space="0" w:color="auto"/>
        <w:left w:val="none" w:sz="0" w:space="0" w:color="auto"/>
        <w:bottom w:val="none" w:sz="0" w:space="0" w:color="auto"/>
        <w:right w:val="none" w:sz="0" w:space="0" w:color="auto"/>
      </w:divBdr>
    </w:div>
    <w:div w:id="287005461">
      <w:bodyDiv w:val="1"/>
      <w:marLeft w:val="0"/>
      <w:marRight w:val="0"/>
      <w:marTop w:val="0"/>
      <w:marBottom w:val="0"/>
      <w:divBdr>
        <w:top w:val="none" w:sz="0" w:space="0" w:color="auto"/>
        <w:left w:val="none" w:sz="0" w:space="0" w:color="auto"/>
        <w:bottom w:val="none" w:sz="0" w:space="0" w:color="auto"/>
        <w:right w:val="none" w:sz="0" w:space="0" w:color="auto"/>
      </w:divBdr>
    </w:div>
    <w:div w:id="290744173">
      <w:bodyDiv w:val="1"/>
      <w:marLeft w:val="0"/>
      <w:marRight w:val="0"/>
      <w:marTop w:val="0"/>
      <w:marBottom w:val="0"/>
      <w:divBdr>
        <w:top w:val="none" w:sz="0" w:space="0" w:color="auto"/>
        <w:left w:val="none" w:sz="0" w:space="0" w:color="auto"/>
        <w:bottom w:val="none" w:sz="0" w:space="0" w:color="auto"/>
        <w:right w:val="none" w:sz="0" w:space="0" w:color="auto"/>
      </w:divBdr>
    </w:div>
    <w:div w:id="290744323">
      <w:bodyDiv w:val="1"/>
      <w:marLeft w:val="0"/>
      <w:marRight w:val="0"/>
      <w:marTop w:val="0"/>
      <w:marBottom w:val="0"/>
      <w:divBdr>
        <w:top w:val="none" w:sz="0" w:space="0" w:color="auto"/>
        <w:left w:val="none" w:sz="0" w:space="0" w:color="auto"/>
        <w:bottom w:val="none" w:sz="0" w:space="0" w:color="auto"/>
        <w:right w:val="none" w:sz="0" w:space="0" w:color="auto"/>
      </w:divBdr>
    </w:div>
    <w:div w:id="290937062">
      <w:bodyDiv w:val="1"/>
      <w:marLeft w:val="0"/>
      <w:marRight w:val="0"/>
      <w:marTop w:val="0"/>
      <w:marBottom w:val="0"/>
      <w:divBdr>
        <w:top w:val="none" w:sz="0" w:space="0" w:color="auto"/>
        <w:left w:val="none" w:sz="0" w:space="0" w:color="auto"/>
        <w:bottom w:val="none" w:sz="0" w:space="0" w:color="auto"/>
        <w:right w:val="none" w:sz="0" w:space="0" w:color="auto"/>
      </w:divBdr>
    </w:div>
    <w:div w:id="291637882">
      <w:bodyDiv w:val="1"/>
      <w:marLeft w:val="0"/>
      <w:marRight w:val="0"/>
      <w:marTop w:val="0"/>
      <w:marBottom w:val="0"/>
      <w:divBdr>
        <w:top w:val="none" w:sz="0" w:space="0" w:color="auto"/>
        <w:left w:val="none" w:sz="0" w:space="0" w:color="auto"/>
        <w:bottom w:val="none" w:sz="0" w:space="0" w:color="auto"/>
        <w:right w:val="none" w:sz="0" w:space="0" w:color="auto"/>
      </w:divBdr>
    </w:div>
    <w:div w:id="292097817">
      <w:bodyDiv w:val="1"/>
      <w:marLeft w:val="0"/>
      <w:marRight w:val="0"/>
      <w:marTop w:val="0"/>
      <w:marBottom w:val="0"/>
      <w:divBdr>
        <w:top w:val="none" w:sz="0" w:space="0" w:color="auto"/>
        <w:left w:val="none" w:sz="0" w:space="0" w:color="auto"/>
        <w:bottom w:val="none" w:sz="0" w:space="0" w:color="auto"/>
        <w:right w:val="none" w:sz="0" w:space="0" w:color="auto"/>
      </w:divBdr>
      <w:divsChild>
        <w:div w:id="539248432">
          <w:marLeft w:val="547"/>
          <w:marRight w:val="0"/>
          <w:marTop w:val="134"/>
          <w:marBottom w:val="120"/>
          <w:divBdr>
            <w:top w:val="none" w:sz="0" w:space="0" w:color="auto"/>
            <w:left w:val="none" w:sz="0" w:space="0" w:color="auto"/>
            <w:bottom w:val="none" w:sz="0" w:space="0" w:color="auto"/>
            <w:right w:val="none" w:sz="0" w:space="0" w:color="auto"/>
          </w:divBdr>
        </w:div>
      </w:divsChild>
    </w:div>
    <w:div w:id="292491170">
      <w:bodyDiv w:val="1"/>
      <w:marLeft w:val="0"/>
      <w:marRight w:val="0"/>
      <w:marTop w:val="0"/>
      <w:marBottom w:val="0"/>
      <w:divBdr>
        <w:top w:val="none" w:sz="0" w:space="0" w:color="auto"/>
        <w:left w:val="none" w:sz="0" w:space="0" w:color="auto"/>
        <w:bottom w:val="none" w:sz="0" w:space="0" w:color="auto"/>
        <w:right w:val="none" w:sz="0" w:space="0" w:color="auto"/>
      </w:divBdr>
    </w:div>
    <w:div w:id="292757019">
      <w:bodyDiv w:val="1"/>
      <w:marLeft w:val="0"/>
      <w:marRight w:val="0"/>
      <w:marTop w:val="0"/>
      <w:marBottom w:val="0"/>
      <w:divBdr>
        <w:top w:val="none" w:sz="0" w:space="0" w:color="auto"/>
        <w:left w:val="none" w:sz="0" w:space="0" w:color="auto"/>
        <w:bottom w:val="none" w:sz="0" w:space="0" w:color="auto"/>
        <w:right w:val="none" w:sz="0" w:space="0" w:color="auto"/>
      </w:divBdr>
    </w:div>
    <w:div w:id="293145517">
      <w:bodyDiv w:val="1"/>
      <w:marLeft w:val="0"/>
      <w:marRight w:val="0"/>
      <w:marTop w:val="0"/>
      <w:marBottom w:val="0"/>
      <w:divBdr>
        <w:top w:val="none" w:sz="0" w:space="0" w:color="auto"/>
        <w:left w:val="none" w:sz="0" w:space="0" w:color="auto"/>
        <w:bottom w:val="none" w:sz="0" w:space="0" w:color="auto"/>
        <w:right w:val="none" w:sz="0" w:space="0" w:color="auto"/>
      </w:divBdr>
    </w:div>
    <w:div w:id="293800441">
      <w:bodyDiv w:val="1"/>
      <w:marLeft w:val="0"/>
      <w:marRight w:val="0"/>
      <w:marTop w:val="0"/>
      <w:marBottom w:val="0"/>
      <w:divBdr>
        <w:top w:val="none" w:sz="0" w:space="0" w:color="auto"/>
        <w:left w:val="none" w:sz="0" w:space="0" w:color="auto"/>
        <w:bottom w:val="none" w:sz="0" w:space="0" w:color="auto"/>
        <w:right w:val="none" w:sz="0" w:space="0" w:color="auto"/>
      </w:divBdr>
    </w:div>
    <w:div w:id="293951279">
      <w:bodyDiv w:val="1"/>
      <w:marLeft w:val="0"/>
      <w:marRight w:val="0"/>
      <w:marTop w:val="0"/>
      <w:marBottom w:val="0"/>
      <w:divBdr>
        <w:top w:val="none" w:sz="0" w:space="0" w:color="auto"/>
        <w:left w:val="none" w:sz="0" w:space="0" w:color="auto"/>
        <w:bottom w:val="none" w:sz="0" w:space="0" w:color="auto"/>
        <w:right w:val="none" w:sz="0" w:space="0" w:color="auto"/>
      </w:divBdr>
    </w:div>
    <w:div w:id="293953004">
      <w:bodyDiv w:val="1"/>
      <w:marLeft w:val="0"/>
      <w:marRight w:val="0"/>
      <w:marTop w:val="0"/>
      <w:marBottom w:val="0"/>
      <w:divBdr>
        <w:top w:val="none" w:sz="0" w:space="0" w:color="auto"/>
        <w:left w:val="none" w:sz="0" w:space="0" w:color="auto"/>
        <w:bottom w:val="none" w:sz="0" w:space="0" w:color="auto"/>
        <w:right w:val="none" w:sz="0" w:space="0" w:color="auto"/>
      </w:divBdr>
    </w:div>
    <w:div w:id="294260138">
      <w:bodyDiv w:val="1"/>
      <w:marLeft w:val="0"/>
      <w:marRight w:val="0"/>
      <w:marTop w:val="0"/>
      <w:marBottom w:val="0"/>
      <w:divBdr>
        <w:top w:val="none" w:sz="0" w:space="0" w:color="auto"/>
        <w:left w:val="none" w:sz="0" w:space="0" w:color="auto"/>
        <w:bottom w:val="none" w:sz="0" w:space="0" w:color="auto"/>
        <w:right w:val="none" w:sz="0" w:space="0" w:color="auto"/>
      </w:divBdr>
    </w:div>
    <w:div w:id="294994707">
      <w:bodyDiv w:val="1"/>
      <w:marLeft w:val="0"/>
      <w:marRight w:val="0"/>
      <w:marTop w:val="0"/>
      <w:marBottom w:val="0"/>
      <w:divBdr>
        <w:top w:val="none" w:sz="0" w:space="0" w:color="auto"/>
        <w:left w:val="none" w:sz="0" w:space="0" w:color="auto"/>
        <w:bottom w:val="none" w:sz="0" w:space="0" w:color="auto"/>
        <w:right w:val="none" w:sz="0" w:space="0" w:color="auto"/>
      </w:divBdr>
    </w:div>
    <w:div w:id="295915010">
      <w:bodyDiv w:val="1"/>
      <w:marLeft w:val="0"/>
      <w:marRight w:val="0"/>
      <w:marTop w:val="0"/>
      <w:marBottom w:val="0"/>
      <w:divBdr>
        <w:top w:val="none" w:sz="0" w:space="0" w:color="auto"/>
        <w:left w:val="none" w:sz="0" w:space="0" w:color="auto"/>
        <w:bottom w:val="none" w:sz="0" w:space="0" w:color="auto"/>
        <w:right w:val="none" w:sz="0" w:space="0" w:color="auto"/>
      </w:divBdr>
    </w:div>
    <w:div w:id="296228749">
      <w:bodyDiv w:val="1"/>
      <w:marLeft w:val="0"/>
      <w:marRight w:val="0"/>
      <w:marTop w:val="0"/>
      <w:marBottom w:val="0"/>
      <w:divBdr>
        <w:top w:val="none" w:sz="0" w:space="0" w:color="auto"/>
        <w:left w:val="none" w:sz="0" w:space="0" w:color="auto"/>
        <w:bottom w:val="none" w:sz="0" w:space="0" w:color="auto"/>
        <w:right w:val="none" w:sz="0" w:space="0" w:color="auto"/>
      </w:divBdr>
      <w:divsChild>
        <w:div w:id="672026877">
          <w:marLeft w:val="0"/>
          <w:marRight w:val="0"/>
          <w:marTop w:val="0"/>
          <w:marBottom w:val="0"/>
          <w:divBdr>
            <w:top w:val="none" w:sz="0" w:space="0" w:color="auto"/>
            <w:left w:val="none" w:sz="0" w:space="0" w:color="auto"/>
            <w:bottom w:val="none" w:sz="0" w:space="0" w:color="auto"/>
            <w:right w:val="none" w:sz="0" w:space="0" w:color="auto"/>
          </w:divBdr>
        </w:div>
      </w:divsChild>
    </w:div>
    <w:div w:id="296229192">
      <w:bodyDiv w:val="1"/>
      <w:marLeft w:val="0"/>
      <w:marRight w:val="0"/>
      <w:marTop w:val="0"/>
      <w:marBottom w:val="0"/>
      <w:divBdr>
        <w:top w:val="none" w:sz="0" w:space="0" w:color="auto"/>
        <w:left w:val="none" w:sz="0" w:space="0" w:color="auto"/>
        <w:bottom w:val="none" w:sz="0" w:space="0" w:color="auto"/>
        <w:right w:val="none" w:sz="0" w:space="0" w:color="auto"/>
      </w:divBdr>
      <w:divsChild>
        <w:div w:id="504973859">
          <w:marLeft w:val="1166"/>
          <w:marRight w:val="0"/>
          <w:marTop w:val="5"/>
          <w:marBottom w:val="0"/>
          <w:divBdr>
            <w:top w:val="none" w:sz="0" w:space="0" w:color="auto"/>
            <w:left w:val="none" w:sz="0" w:space="0" w:color="auto"/>
            <w:bottom w:val="none" w:sz="0" w:space="0" w:color="auto"/>
            <w:right w:val="none" w:sz="0" w:space="0" w:color="auto"/>
          </w:divBdr>
        </w:div>
        <w:div w:id="662659012">
          <w:marLeft w:val="1166"/>
          <w:marRight w:val="0"/>
          <w:marTop w:val="5"/>
          <w:marBottom w:val="0"/>
          <w:divBdr>
            <w:top w:val="none" w:sz="0" w:space="0" w:color="auto"/>
            <w:left w:val="none" w:sz="0" w:space="0" w:color="auto"/>
            <w:bottom w:val="none" w:sz="0" w:space="0" w:color="auto"/>
            <w:right w:val="none" w:sz="0" w:space="0" w:color="auto"/>
          </w:divBdr>
        </w:div>
        <w:div w:id="1427455968">
          <w:marLeft w:val="1166"/>
          <w:marRight w:val="0"/>
          <w:marTop w:val="5"/>
          <w:marBottom w:val="0"/>
          <w:divBdr>
            <w:top w:val="none" w:sz="0" w:space="0" w:color="auto"/>
            <w:left w:val="none" w:sz="0" w:space="0" w:color="auto"/>
            <w:bottom w:val="none" w:sz="0" w:space="0" w:color="auto"/>
            <w:right w:val="none" w:sz="0" w:space="0" w:color="auto"/>
          </w:divBdr>
        </w:div>
        <w:div w:id="1981301730">
          <w:marLeft w:val="547"/>
          <w:marRight w:val="0"/>
          <w:marTop w:val="134"/>
          <w:marBottom w:val="0"/>
          <w:divBdr>
            <w:top w:val="none" w:sz="0" w:space="0" w:color="auto"/>
            <w:left w:val="none" w:sz="0" w:space="0" w:color="auto"/>
            <w:bottom w:val="none" w:sz="0" w:space="0" w:color="auto"/>
            <w:right w:val="none" w:sz="0" w:space="0" w:color="auto"/>
          </w:divBdr>
        </w:div>
      </w:divsChild>
    </w:div>
    <w:div w:id="296378057">
      <w:bodyDiv w:val="1"/>
      <w:marLeft w:val="0"/>
      <w:marRight w:val="0"/>
      <w:marTop w:val="0"/>
      <w:marBottom w:val="0"/>
      <w:divBdr>
        <w:top w:val="none" w:sz="0" w:space="0" w:color="auto"/>
        <w:left w:val="none" w:sz="0" w:space="0" w:color="auto"/>
        <w:bottom w:val="none" w:sz="0" w:space="0" w:color="auto"/>
        <w:right w:val="none" w:sz="0" w:space="0" w:color="auto"/>
      </w:divBdr>
    </w:div>
    <w:div w:id="297613373">
      <w:bodyDiv w:val="1"/>
      <w:marLeft w:val="0"/>
      <w:marRight w:val="0"/>
      <w:marTop w:val="0"/>
      <w:marBottom w:val="0"/>
      <w:divBdr>
        <w:top w:val="none" w:sz="0" w:space="0" w:color="auto"/>
        <w:left w:val="none" w:sz="0" w:space="0" w:color="auto"/>
        <w:bottom w:val="none" w:sz="0" w:space="0" w:color="auto"/>
        <w:right w:val="none" w:sz="0" w:space="0" w:color="auto"/>
      </w:divBdr>
      <w:divsChild>
        <w:div w:id="991711238">
          <w:marLeft w:val="1166"/>
          <w:marRight w:val="0"/>
          <w:marTop w:val="134"/>
          <w:marBottom w:val="0"/>
          <w:divBdr>
            <w:top w:val="none" w:sz="0" w:space="0" w:color="auto"/>
            <w:left w:val="none" w:sz="0" w:space="0" w:color="auto"/>
            <w:bottom w:val="none" w:sz="0" w:space="0" w:color="auto"/>
            <w:right w:val="none" w:sz="0" w:space="0" w:color="auto"/>
          </w:divBdr>
        </w:div>
        <w:div w:id="1458912555">
          <w:marLeft w:val="547"/>
          <w:marRight w:val="0"/>
          <w:marTop w:val="134"/>
          <w:marBottom w:val="0"/>
          <w:divBdr>
            <w:top w:val="none" w:sz="0" w:space="0" w:color="auto"/>
            <w:left w:val="none" w:sz="0" w:space="0" w:color="auto"/>
            <w:bottom w:val="none" w:sz="0" w:space="0" w:color="auto"/>
            <w:right w:val="none" w:sz="0" w:space="0" w:color="auto"/>
          </w:divBdr>
        </w:div>
      </w:divsChild>
    </w:div>
    <w:div w:id="297758196">
      <w:bodyDiv w:val="1"/>
      <w:marLeft w:val="0"/>
      <w:marRight w:val="0"/>
      <w:marTop w:val="0"/>
      <w:marBottom w:val="0"/>
      <w:divBdr>
        <w:top w:val="none" w:sz="0" w:space="0" w:color="auto"/>
        <w:left w:val="none" w:sz="0" w:space="0" w:color="auto"/>
        <w:bottom w:val="none" w:sz="0" w:space="0" w:color="auto"/>
        <w:right w:val="none" w:sz="0" w:space="0" w:color="auto"/>
      </w:divBdr>
    </w:div>
    <w:div w:id="297955846">
      <w:bodyDiv w:val="1"/>
      <w:marLeft w:val="0"/>
      <w:marRight w:val="0"/>
      <w:marTop w:val="0"/>
      <w:marBottom w:val="0"/>
      <w:divBdr>
        <w:top w:val="none" w:sz="0" w:space="0" w:color="auto"/>
        <w:left w:val="none" w:sz="0" w:space="0" w:color="auto"/>
        <w:bottom w:val="none" w:sz="0" w:space="0" w:color="auto"/>
        <w:right w:val="none" w:sz="0" w:space="0" w:color="auto"/>
      </w:divBdr>
    </w:div>
    <w:div w:id="298221033">
      <w:bodyDiv w:val="1"/>
      <w:marLeft w:val="0"/>
      <w:marRight w:val="0"/>
      <w:marTop w:val="0"/>
      <w:marBottom w:val="0"/>
      <w:divBdr>
        <w:top w:val="none" w:sz="0" w:space="0" w:color="auto"/>
        <w:left w:val="none" w:sz="0" w:space="0" w:color="auto"/>
        <w:bottom w:val="none" w:sz="0" w:space="0" w:color="auto"/>
        <w:right w:val="none" w:sz="0" w:space="0" w:color="auto"/>
      </w:divBdr>
      <w:divsChild>
        <w:div w:id="356809964">
          <w:marLeft w:val="1166"/>
          <w:marRight w:val="0"/>
          <w:marTop w:val="96"/>
          <w:marBottom w:val="0"/>
          <w:divBdr>
            <w:top w:val="none" w:sz="0" w:space="0" w:color="auto"/>
            <w:left w:val="none" w:sz="0" w:space="0" w:color="auto"/>
            <w:bottom w:val="none" w:sz="0" w:space="0" w:color="auto"/>
            <w:right w:val="none" w:sz="0" w:space="0" w:color="auto"/>
          </w:divBdr>
        </w:div>
        <w:div w:id="1510564652">
          <w:marLeft w:val="547"/>
          <w:marRight w:val="0"/>
          <w:marTop w:val="115"/>
          <w:marBottom w:val="0"/>
          <w:divBdr>
            <w:top w:val="none" w:sz="0" w:space="0" w:color="auto"/>
            <w:left w:val="none" w:sz="0" w:space="0" w:color="auto"/>
            <w:bottom w:val="none" w:sz="0" w:space="0" w:color="auto"/>
            <w:right w:val="none" w:sz="0" w:space="0" w:color="auto"/>
          </w:divBdr>
        </w:div>
      </w:divsChild>
    </w:div>
    <w:div w:id="298265413">
      <w:bodyDiv w:val="1"/>
      <w:marLeft w:val="0"/>
      <w:marRight w:val="0"/>
      <w:marTop w:val="0"/>
      <w:marBottom w:val="0"/>
      <w:divBdr>
        <w:top w:val="none" w:sz="0" w:space="0" w:color="auto"/>
        <w:left w:val="none" w:sz="0" w:space="0" w:color="auto"/>
        <w:bottom w:val="none" w:sz="0" w:space="0" w:color="auto"/>
        <w:right w:val="none" w:sz="0" w:space="0" w:color="auto"/>
      </w:divBdr>
      <w:divsChild>
        <w:div w:id="122844712">
          <w:marLeft w:val="547"/>
          <w:marRight w:val="0"/>
          <w:marTop w:val="96"/>
          <w:marBottom w:val="0"/>
          <w:divBdr>
            <w:top w:val="none" w:sz="0" w:space="0" w:color="auto"/>
            <w:left w:val="none" w:sz="0" w:space="0" w:color="auto"/>
            <w:bottom w:val="none" w:sz="0" w:space="0" w:color="auto"/>
            <w:right w:val="none" w:sz="0" w:space="0" w:color="auto"/>
          </w:divBdr>
        </w:div>
        <w:div w:id="547180708">
          <w:marLeft w:val="547"/>
          <w:marRight w:val="0"/>
          <w:marTop w:val="96"/>
          <w:marBottom w:val="0"/>
          <w:divBdr>
            <w:top w:val="none" w:sz="0" w:space="0" w:color="auto"/>
            <w:left w:val="none" w:sz="0" w:space="0" w:color="auto"/>
            <w:bottom w:val="none" w:sz="0" w:space="0" w:color="auto"/>
            <w:right w:val="none" w:sz="0" w:space="0" w:color="auto"/>
          </w:divBdr>
        </w:div>
        <w:div w:id="1806119686">
          <w:marLeft w:val="1166"/>
          <w:marRight w:val="0"/>
          <w:marTop w:val="96"/>
          <w:marBottom w:val="0"/>
          <w:divBdr>
            <w:top w:val="none" w:sz="0" w:space="0" w:color="auto"/>
            <w:left w:val="none" w:sz="0" w:space="0" w:color="auto"/>
            <w:bottom w:val="none" w:sz="0" w:space="0" w:color="auto"/>
            <w:right w:val="none" w:sz="0" w:space="0" w:color="auto"/>
          </w:divBdr>
        </w:div>
        <w:div w:id="1969780963">
          <w:marLeft w:val="547"/>
          <w:marRight w:val="0"/>
          <w:marTop w:val="96"/>
          <w:marBottom w:val="0"/>
          <w:divBdr>
            <w:top w:val="none" w:sz="0" w:space="0" w:color="auto"/>
            <w:left w:val="none" w:sz="0" w:space="0" w:color="auto"/>
            <w:bottom w:val="none" w:sz="0" w:space="0" w:color="auto"/>
            <w:right w:val="none" w:sz="0" w:space="0" w:color="auto"/>
          </w:divBdr>
        </w:div>
      </w:divsChild>
    </w:div>
    <w:div w:id="298413470">
      <w:bodyDiv w:val="1"/>
      <w:marLeft w:val="0"/>
      <w:marRight w:val="0"/>
      <w:marTop w:val="0"/>
      <w:marBottom w:val="0"/>
      <w:divBdr>
        <w:top w:val="none" w:sz="0" w:space="0" w:color="auto"/>
        <w:left w:val="none" w:sz="0" w:space="0" w:color="auto"/>
        <w:bottom w:val="none" w:sz="0" w:space="0" w:color="auto"/>
        <w:right w:val="none" w:sz="0" w:space="0" w:color="auto"/>
      </w:divBdr>
    </w:div>
    <w:div w:id="298534522">
      <w:bodyDiv w:val="1"/>
      <w:marLeft w:val="0"/>
      <w:marRight w:val="0"/>
      <w:marTop w:val="0"/>
      <w:marBottom w:val="0"/>
      <w:divBdr>
        <w:top w:val="none" w:sz="0" w:space="0" w:color="auto"/>
        <w:left w:val="none" w:sz="0" w:space="0" w:color="auto"/>
        <w:bottom w:val="none" w:sz="0" w:space="0" w:color="auto"/>
        <w:right w:val="none" w:sz="0" w:space="0" w:color="auto"/>
      </w:divBdr>
    </w:div>
    <w:div w:id="299194527">
      <w:bodyDiv w:val="1"/>
      <w:marLeft w:val="0"/>
      <w:marRight w:val="0"/>
      <w:marTop w:val="0"/>
      <w:marBottom w:val="0"/>
      <w:divBdr>
        <w:top w:val="none" w:sz="0" w:space="0" w:color="auto"/>
        <w:left w:val="none" w:sz="0" w:space="0" w:color="auto"/>
        <w:bottom w:val="none" w:sz="0" w:space="0" w:color="auto"/>
        <w:right w:val="none" w:sz="0" w:space="0" w:color="auto"/>
      </w:divBdr>
    </w:div>
    <w:div w:id="299966610">
      <w:bodyDiv w:val="1"/>
      <w:marLeft w:val="0"/>
      <w:marRight w:val="0"/>
      <w:marTop w:val="0"/>
      <w:marBottom w:val="0"/>
      <w:divBdr>
        <w:top w:val="none" w:sz="0" w:space="0" w:color="auto"/>
        <w:left w:val="none" w:sz="0" w:space="0" w:color="auto"/>
        <w:bottom w:val="none" w:sz="0" w:space="0" w:color="auto"/>
        <w:right w:val="none" w:sz="0" w:space="0" w:color="auto"/>
      </w:divBdr>
    </w:div>
    <w:div w:id="300119124">
      <w:bodyDiv w:val="1"/>
      <w:marLeft w:val="0"/>
      <w:marRight w:val="0"/>
      <w:marTop w:val="0"/>
      <w:marBottom w:val="0"/>
      <w:divBdr>
        <w:top w:val="none" w:sz="0" w:space="0" w:color="auto"/>
        <w:left w:val="none" w:sz="0" w:space="0" w:color="auto"/>
        <w:bottom w:val="none" w:sz="0" w:space="0" w:color="auto"/>
        <w:right w:val="none" w:sz="0" w:space="0" w:color="auto"/>
      </w:divBdr>
    </w:div>
    <w:div w:id="300841755">
      <w:bodyDiv w:val="1"/>
      <w:marLeft w:val="0"/>
      <w:marRight w:val="0"/>
      <w:marTop w:val="0"/>
      <w:marBottom w:val="0"/>
      <w:divBdr>
        <w:top w:val="none" w:sz="0" w:space="0" w:color="auto"/>
        <w:left w:val="none" w:sz="0" w:space="0" w:color="auto"/>
        <w:bottom w:val="none" w:sz="0" w:space="0" w:color="auto"/>
        <w:right w:val="none" w:sz="0" w:space="0" w:color="auto"/>
      </w:divBdr>
    </w:div>
    <w:div w:id="302394150">
      <w:bodyDiv w:val="1"/>
      <w:marLeft w:val="0"/>
      <w:marRight w:val="0"/>
      <w:marTop w:val="0"/>
      <w:marBottom w:val="0"/>
      <w:divBdr>
        <w:top w:val="none" w:sz="0" w:space="0" w:color="auto"/>
        <w:left w:val="none" w:sz="0" w:space="0" w:color="auto"/>
        <w:bottom w:val="none" w:sz="0" w:space="0" w:color="auto"/>
        <w:right w:val="none" w:sz="0" w:space="0" w:color="auto"/>
      </w:divBdr>
      <w:divsChild>
        <w:div w:id="1876697311">
          <w:marLeft w:val="0"/>
          <w:marRight w:val="0"/>
          <w:marTop w:val="0"/>
          <w:marBottom w:val="0"/>
          <w:divBdr>
            <w:top w:val="none" w:sz="0" w:space="0" w:color="auto"/>
            <w:left w:val="none" w:sz="0" w:space="0" w:color="auto"/>
            <w:bottom w:val="none" w:sz="0" w:space="0" w:color="auto"/>
            <w:right w:val="none" w:sz="0" w:space="0" w:color="auto"/>
          </w:divBdr>
          <w:divsChild>
            <w:div w:id="185603359">
              <w:marLeft w:val="0"/>
              <w:marRight w:val="0"/>
              <w:marTop w:val="0"/>
              <w:marBottom w:val="0"/>
              <w:divBdr>
                <w:top w:val="none" w:sz="0" w:space="0" w:color="auto"/>
                <w:left w:val="none" w:sz="0" w:space="0" w:color="auto"/>
                <w:bottom w:val="none" w:sz="0" w:space="0" w:color="auto"/>
                <w:right w:val="none" w:sz="0" w:space="0" w:color="auto"/>
              </w:divBdr>
            </w:div>
            <w:div w:id="523515926">
              <w:marLeft w:val="0"/>
              <w:marRight w:val="0"/>
              <w:marTop w:val="0"/>
              <w:marBottom w:val="0"/>
              <w:divBdr>
                <w:top w:val="none" w:sz="0" w:space="0" w:color="auto"/>
                <w:left w:val="none" w:sz="0" w:space="0" w:color="auto"/>
                <w:bottom w:val="none" w:sz="0" w:space="0" w:color="auto"/>
                <w:right w:val="none" w:sz="0" w:space="0" w:color="auto"/>
              </w:divBdr>
            </w:div>
            <w:div w:id="878708332">
              <w:marLeft w:val="0"/>
              <w:marRight w:val="0"/>
              <w:marTop w:val="0"/>
              <w:marBottom w:val="0"/>
              <w:divBdr>
                <w:top w:val="none" w:sz="0" w:space="0" w:color="auto"/>
                <w:left w:val="none" w:sz="0" w:space="0" w:color="auto"/>
                <w:bottom w:val="none" w:sz="0" w:space="0" w:color="auto"/>
                <w:right w:val="none" w:sz="0" w:space="0" w:color="auto"/>
              </w:divBdr>
            </w:div>
            <w:div w:id="1105612212">
              <w:marLeft w:val="0"/>
              <w:marRight w:val="0"/>
              <w:marTop w:val="0"/>
              <w:marBottom w:val="0"/>
              <w:divBdr>
                <w:top w:val="none" w:sz="0" w:space="0" w:color="auto"/>
                <w:left w:val="none" w:sz="0" w:space="0" w:color="auto"/>
                <w:bottom w:val="none" w:sz="0" w:space="0" w:color="auto"/>
                <w:right w:val="none" w:sz="0" w:space="0" w:color="auto"/>
              </w:divBdr>
            </w:div>
            <w:div w:id="1215890068">
              <w:marLeft w:val="0"/>
              <w:marRight w:val="0"/>
              <w:marTop w:val="0"/>
              <w:marBottom w:val="0"/>
              <w:divBdr>
                <w:top w:val="none" w:sz="0" w:space="0" w:color="auto"/>
                <w:left w:val="none" w:sz="0" w:space="0" w:color="auto"/>
                <w:bottom w:val="none" w:sz="0" w:space="0" w:color="auto"/>
                <w:right w:val="none" w:sz="0" w:space="0" w:color="auto"/>
              </w:divBdr>
            </w:div>
            <w:div w:id="1234698665">
              <w:marLeft w:val="0"/>
              <w:marRight w:val="0"/>
              <w:marTop w:val="0"/>
              <w:marBottom w:val="0"/>
              <w:divBdr>
                <w:top w:val="none" w:sz="0" w:space="0" w:color="auto"/>
                <w:left w:val="none" w:sz="0" w:space="0" w:color="auto"/>
                <w:bottom w:val="none" w:sz="0" w:space="0" w:color="auto"/>
                <w:right w:val="none" w:sz="0" w:space="0" w:color="auto"/>
              </w:divBdr>
            </w:div>
            <w:div w:id="1629896031">
              <w:marLeft w:val="0"/>
              <w:marRight w:val="0"/>
              <w:marTop w:val="0"/>
              <w:marBottom w:val="0"/>
              <w:divBdr>
                <w:top w:val="none" w:sz="0" w:space="0" w:color="auto"/>
                <w:left w:val="none" w:sz="0" w:space="0" w:color="auto"/>
                <w:bottom w:val="none" w:sz="0" w:space="0" w:color="auto"/>
                <w:right w:val="none" w:sz="0" w:space="0" w:color="auto"/>
              </w:divBdr>
            </w:div>
            <w:div w:id="16310836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02464414">
      <w:bodyDiv w:val="1"/>
      <w:marLeft w:val="0"/>
      <w:marRight w:val="0"/>
      <w:marTop w:val="0"/>
      <w:marBottom w:val="0"/>
      <w:divBdr>
        <w:top w:val="none" w:sz="0" w:space="0" w:color="auto"/>
        <w:left w:val="none" w:sz="0" w:space="0" w:color="auto"/>
        <w:bottom w:val="none" w:sz="0" w:space="0" w:color="auto"/>
        <w:right w:val="none" w:sz="0" w:space="0" w:color="auto"/>
      </w:divBdr>
    </w:div>
    <w:div w:id="302660103">
      <w:bodyDiv w:val="1"/>
      <w:marLeft w:val="0"/>
      <w:marRight w:val="0"/>
      <w:marTop w:val="0"/>
      <w:marBottom w:val="0"/>
      <w:divBdr>
        <w:top w:val="none" w:sz="0" w:space="0" w:color="auto"/>
        <w:left w:val="none" w:sz="0" w:space="0" w:color="auto"/>
        <w:bottom w:val="none" w:sz="0" w:space="0" w:color="auto"/>
        <w:right w:val="none" w:sz="0" w:space="0" w:color="auto"/>
      </w:divBdr>
      <w:divsChild>
        <w:div w:id="495733312">
          <w:marLeft w:val="1166"/>
          <w:marRight w:val="0"/>
          <w:marTop w:val="96"/>
          <w:marBottom w:val="0"/>
          <w:divBdr>
            <w:top w:val="none" w:sz="0" w:space="0" w:color="auto"/>
            <w:left w:val="none" w:sz="0" w:space="0" w:color="auto"/>
            <w:bottom w:val="none" w:sz="0" w:space="0" w:color="auto"/>
            <w:right w:val="none" w:sz="0" w:space="0" w:color="auto"/>
          </w:divBdr>
        </w:div>
        <w:div w:id="616332476">
          <w:marLeft w:val="1166"/>
          <w:marRight w:val="0"/>
          <w:marTop w:val="96"/>
          <w:marBottom w:val="0"/>
          <w:divBdr>
            <w:top w:val="none" w:sz="0" w:space="0" w:color="auto"/>
            <w:left w:val="none" w:sz="0" w:space="0" w:color="auto"/>
            <w:bottom w:val="none" w:sz="0" w:space="0" w:color="auto"/>
            <w:right w:val="none" w:sz="0" w:space="0" w:color="auto"/>
          </w:divBdr>
        </w:div>
        <w:div w:id="1330595101">
          <w:marLeft w:val="547"/>
          <w:marRight w:val="0"/>
          <w:marTop w:val="115"/>
          <w:marBottom w:val="0"/>
          <w:divBdr>
            <w:top w:val="none" w:sz="0" w:space="0" w:color="auto"/>
            <w:left w:val="none" w:sz="0" w:space="0" w:color="auto"/>
            <w:bottom w:val="none" w:sz="0" w:space="0" w:color="auto"/>
            <w:right w:val="none" w:sz="0" w:space="0" w:color="auto"/>
          </w:divBdr>
        </w:div>
        <w:div w:id="1664040486">
          <w:marLeft w:val="1166"/>
          <w:marRight w:val="0"/>
          <w:marTop w:val="96"/>
          <w:marBottom w:val="0"/>
          <w:divBdr>
            <w:top w:val="none" w:sz="0" w:space="0" w:color="auto"/>
            <w:left w:val="none" w:sz="0" w:space="0" w:color="auto"/>
            <w:bottom w:val="none" w:sz="0" w:space="0" w:color="auto"/>
            <w:right w:val="none" w:sz="0" w:space="0" w:color="auto"/>
          </w:divBdr>
        </w:div>
        <w:div w:id="1765880542">
          <w:marLeft w:val="547"/>
          <w:marRight w:val="0"/>
          <w:marTop w:val="115"/>
          <w:marBottom w:val="0"/>
          <w:divBdr>
            <w:top w:val="none" w:sz="0" w:space="0" w:color="auto"/>
            <w:left w:val="none" w:sz="0" w:space="0" w:color="auto"/>
            <w:bottom w:val="none" w:sz="0" w:space="0" w:color="auto"/>
            <w:right w:val="none" w:sz="0" w:space="0" w:color="auto"/>
          </w:divBdr>
        </w:div>
        <w:div w:id="1885747628">
          <w:marLeft w:val="1166"/>
          <w:marRight w:val="0"/>
          <w:marTop w:val="96"/>
          <w:marBottom w:val="0"/>
          <w:divBdr>
            <w:top w:val="none" w:sz="0" w:space="0" w:color="auto"/>
            <w:left w:val="none" w:sz="0" w:space="0" w:color="auto"/>
            <w:bottom w:val="none" w:sz="0" w:space="0" w:color="auto"/>
            <w:right w:val="none" w:sz="0" w:space="0" w:color="auto"/>
          </w:divBdr>
        </w:div>
        <w:div w:id="1961107037">
          <w:marLeft w:val="547"/>
          <w:marRight w:val="0"/>
          <w:marTop w:val="115"/>
          <w:marBottom w:val="0"/>
          <w:divBdr>
            <w:top w:val="none" w:sz="0" w:space="0" w:color="auto"/>
            <w:left w:val="none" w:sz="0" w:space="0" w:color="auto"/>
            <w:bottom w:val="none" w:sz="0" w:space="0" w:color="auto"/>
            <w:right w:val="none" w:sz="0" w:space="0" w:color="auto"/>
          </w:divBdr>
        </w:div>
        <w:div w:id="2104378634">
          <w:marLeft w:val="1166"/>
          <w:marRight w:val="0"/>
          <w:marTop w:val="96"/>
          <w:marBottom w:val="0"/>
          <w:divBdr>
            <w:top w:val="none" w:sz="0" w:space="0" w:color="auto"/>
            <w:left w:val="none" w:sz="0" w:space="0" w:color="auto"/>
            <w:bottom w:val="none" w:sz="0" w:space="0" w:color="auto"/>
            <w:right w:val="none" w:sz="0" w:space="0" w:color="auto"/>
          </w:divBdr>
        </w:div>
      </w:divsChild>
    </w:div>
    <w:div w:id="303047566">
      <w:bodyDiv w:val="1"/>
      <w:marLeft w:val="0"/>
      <w:marRight w:val="0"/>
      <w:marTop w:val="0"/>
      <w:marBottom w:val="0"/>
      <w:divBdr>
        <w:top w:val="none" w:sz="0" w:space="0" w:color="auto"/>
        <w:left w:val="none" w:sz="0" w:space="0" w:color="auto"/>
        <w:bottom w:val="none" w:sz="0" w:space="0" w:color="auto"/>
        <w:right w:val="none" w:sz="0" w:space="0" w:color="auto"/>
      </w:divBdr>
    </w:div>
    <w:div w:id="303582448">
      <w:bodyDiv w:val="1"/>
      <w:marLeft w:val="0"/>
      <w:marRight w:val="0"/>
      <w:marTop w:val="0"/>
      <w:marBottom w:val="0"/>
      <w:divBdr>
        <w:top w:val="none" w:sz="0" w:space="0" w:color="auto"/>
        <w:left w:val="none" w:sz="0" w:space="0" w:color="auto"/>
        <w:bottom w:val="none" w:sz="0" w:space="0" w:color="auto"/>
        <w:right w:val="none" w:sz="0" w:space="0" w:color="auto"/>
      </w:divBdr>
    </w:div>
    <w:div w:id="303706118">
      <w:bodyDiv w:val="1"/>
      <w:marLeft w:val="0"/>
      <w:marRight w:val="0"/>
      <w:marTop w:val="0"/>
      <w:marBottom w:val="0"/>
      <w:divBdr>
        <w:top w:val="none" w:sz="0" w:space="0" w:color="auto"/>
        <w:left w:val="none" w:sz="0" w:space="0" w:color="auto"/>
        <w:bottom w:val="none" w:sz="0" w:space="0" w:color="auto"/>
        <w:right w:val="none" w:sz="0" w:space="0" w:color="auto"/>
      </w:divBdr>
      <w:divsChild>
        <w:div w:id="218177422">
          <w:marLeft w:val="1166"/>
          <w:marRight w:val="0"/>
          <w:marTop w:val="86"/>
          <w:marBottom w:val="0"/>
          <w:divBdr>
            <w:top w:val="none" w:sz="0" w:space="0" w:color="auto"/>
            <w:left w:val="none" w:sz="0" w:space="0" w:color="auto"/>
            <w:bottom w:val="none" w:sz="0" w:space="0" w:color="auto"/>
            <w:right w:val="none" w:sz="0" w:space="0" w:color="auto"/>
          </w:divBdr>
        </w:div>
        <w:div w:id="1523473651">
          <w:marLeft w:val="547"/>
          <w:marRight w:val="0"/>
          <w:marTop w:val="96"/>
          <w:marBottom w:val="0"/>
          <w:divBdr>
            <w:top w:val="none" w:sz="0" w:space="0" w:color="auto"/>
            <w:left w:val="none" w:sz="0" w:space="0" w:color="auto"/>
            <w:bottom w:val="none" w:sz="0" w:space="0" w:color="auto"/>
            <w:right w:val="none" w:sz="0" w:space="0" w:color="auto"/>
          </w:divBdr>
        </w:div>
      </w:divsChild>
    </w:div>
    <w:div w:id="303856893">
      <w:bodyDiv w:val="1"/>
      <w:marLeft w:val="0"/>
      <w:marRight w:val="0"/>
      <w:marTop w:val="0"/>
      <w:marBottom w:val="0"/>
      <w:divBdr>
        <w:top w:val="none" w:sz="0" w:space="0" w:color="auto"/>
        <w:left w:val="none" w:sz="0" w:space="0" w:color="auto"/>
        <w:bottom w:val="none" w:sz="0" w:space="0" w:color="auto"/>
        <w:right w:val="none" w:sz="0" w:space="0" w:color="auto"/>
      </w:divBdr>
    </w:div>
    <w:div w:id="304622852">
      <w:bodyDiv w:val="1"/>
      <w:marLeft w:val="0"/>
      <w:marRight w:val="0"/>
      <w:marTop w:val="0"/>
      <w:marBottom w:val="0"/>
      <w:divBdr>
        <w:top w:val="none" w:sz="0" w:space="0" w:color="auto"/>
        <w:left w:val="none" w:sz="0" w:space="0" w:color="auto"/>
        <w:bottom w:val="none" w:sz="0" w:space="0" w:color="auto"/>
        <w:right w:val="none" w:sz="0" w:space="0" w:color="auto"/>
      </w:divBdr>
      <w:divsChild>
        <w:div w:id="1039208620">
          <w:marLeft w:val="0"/>
          <w:marRight w:val="0"/>
          <w:marTop w:val="0"/>
          <w:marBottom w:val="0"/>
          <w:divBdr>
            <w:top w:val="none" w:sz="0" w:space="0" w:color="auto"/>
            <w:left w:val="none" w:sz="0" w:space="0" w:color="auto"/>
            <w:bottom w:val="none" w:sz="0" w:space="0" w:color="auto"/>
            <w:right w:val="none" w:sz="0" w:space="0" w:color="auto"/>
          </w:divBdr>
        </w:div>
      </w:divsChild>
    </w:div>
    <w:div w:id="304630991">
      <w:bodyDiv w:val="1"/>
      <w:marLeft w:val="0"/>
      <w:marRight w:val="0"/>
      <w:marTop w:val="0"/>
      <w:marBottom w:val="0"/>
      <w:divBdr>
        <w:top w:val="none" w:sz="0" w:space="0" w:color="auto"/>
        <w:left w:val="none" w:sz="0" w:space="0" w:color="auto"/>
        <w:bottom w:val="none" w:sz="0" w:space="0" w:color="auto"/>
        <w:right w:val="none" w:sz="0" w:space="0" w:color="auto"/>
      </w:divBdr>
    </w:div>
    <w:div w:id="305621261">
      <w:bodyDiv w:val="1"/>
      <w:marLeft w:val="0"/>
      <w:marRight w:val="0"/>
      <w:marTop w:val="0"/>
      <w:marBottom w:val="0"/>
      <w:divBdr>
        <w:top w:val="none" w:sz="0" w:space="0" w:color="auto"/>
        <w:left w:val="none" w:sz="0" w:space="0" w:color="auto"/>
        <w:bottom w:val="none" w:sz="0" w:space="0" w:color="auto"/>
        <w:right w:val="none" w:sz="0" w:space="0" w:color="auto"/>
      </w:divBdr>
    </w:div>
    <w:div w:id="305746155">
      <w:bodyDiv w:val="1"/>
      <w:marLeft w:val="0"/>
      <w:marRight w:val="0"/>
      <w:marTop w:val="0"/>
      <w:marBottom w:val="0"/>
      <w:divBdr>
        <w:top w:val="none" w:sz="0" w:space="0" w:color="auto"/>
        <w:left w:val="none" w:sz="0" w:space="0" w:color="auto"/>
        <w:bottom w:val="none" w:sz="0" w:space="0" w:color="auto"/>
        <w:right w:val="none" w:sz="0" w:space="0" w:color="auto"/>
      </w:divBdr>
      <w:divsChild>
        <w:div w:id="1093355072">
          <w:marLeft w:val="0"/>
          <w:marRight w:val="0"/>
          <w:marTop w:val="0"/>
          <w:marBottom w:val="0"/>
          <w:divBdr>
            <w:top w:val="none" w:sz="0" w:space="0" w:color="auto"/>
            <w:left w:val="none" w:sz="0" w:space="0" w:color="auto"/>
            <w:bottom w:val="none" w:sz="0" w:space="0" w:color="auto"/>
            <w:right w:val="none" w:sz="0" w:space="0" w:color="auto"/>
          </w:divBdr>
        </w:div>
      </w:divsChild>
    </w:div>
    <w:div w:id="307250254">
      <w:bodyDiv w:val="1"/>
      <w:marLeft w:val="0"/>
      <w:marRight w:val="0"/>
      <w:marTop w:val="0"/>
      <w:marBottom w:val="0"/>
      <w:divBdr>
        <w:top w:val="none" w:sz="0" w:space="0" w:color="auto"/>
        <w:left w:val="none" w:sz="0" w:space="0" w:color="auto"/>
        <w:bottom w:val="none" w:sz="0" w:space="0" w:color="auto"/>
        <w:right w:val="none" w:sz="0" w:space="0" w:color="auto"/>
      </w:divBdr>
    </w:div>
    <w:div w:id="307513468">
      <w:bodyDiv w:val="1"/>
      <w:marLeft w:val="0"/>
      <w:marRight w:val="0"/>
      <w:marTop w:val="0"/>
      <w:marBottom w:val="0"/>
      <w:divBdr>
        <w:top w:val="none" w:sz="0" w:space="0" w:color="auto"/>
        <w:left w:val="none" w:sz="0" w:space="0" w:color="auto"/>
        <w:bottom w:val="none" w:sz="0" w:space="0" w:color="auto"/>
        <w:right w:val="none" w:sz="0" w:space="0" w:color="auto"/>
      </w:divBdr>
    </w:div>
    <w:div w:id="307823031">
      <w:bodyDiv w:val="1"/>
      <w:marLeft w:val="0"/>
      <w:marRight w:val="0"/>
      <w:marTop w:val="0"/>
      <w:marBottom w:val="0"/>
      <w:divBdr>
        <w:top w:val="none" w:sz="0" w:space="0" w:color="auto"/>
        <w:left w:val="none" w:sz="0" w:space="0" w:color="auto"/>
        <w:bottom w:val="none" w:sz="0" w:space="0" w:color="auto"/>
        <w:right w:val="none" w:sz="0" w:space="0" w:color="auto"/>
      </w:divBdr>
    </w:div>
    <w:div w:id="309140557">
      <w:bodyDiv w:val="1"/>
      <w:marLeft w:val="0"/>
      <w:marRight w:val="0"/>
      <w:marTop w:val="0"/>
      <w:marBottom w:val="0"/>
      <w:divBdr>
        <w:top w:val="none" w:sz="0" w:space="0" w:color="auto"/>
        <w:left w:val="none" w:sz="0" w:space="0" w:color="auto"/>
        <w:bottom w:val="none" w:sz="0" w:space="0" w:color="auto"/>
        <w:right w:val="none" w:sz="0" w:space="0" w:color="auto"/>
      </w:divBdr>
      <w:divsChild>
        <w:div w:id="31809266">
          <w:marLeft w:val="1166"/>
          <w:marRight w:val="0"/>
          <w:marTop w:val="96"/>
          <w:marBottom w:val="0"/>
          <w:divBdr>
            <w:top w:val="none" w:sz="0" w:space="0" w:color="auto"/>
            <w:left w:val="none" w:sz="0" w:space="0" w:color="auto"/>
            <w:bottom w:val="none" w:sz="0" w:space="0" w:color="auto"/>
            <w:right w:val="none" w:sz="0" w:space="0" w:color="auto"/>
          </w:divBdr>
        </w:div>
        <w:div w:id="1244796779">
          <w:marLeft w:val="1166"/>
          <w:marRight w:val="0"/>
          <w:marTop w:val="96"/>
          <w:marBottom w:val="0"/>
          <w:divBdr>
            <w:top w:val="none" w:sz="0" w:space="0" w:color="auto"/>
            <w:left w:val="none" w:sz="0" w:space="0" w:color="auto"/>
            <w:bottom w:val="none" w:sz="0" w:space="0" w:color="auto"/>
            <w:right w:val="none" w:sz="0" w:space="0" w:color="auto"/>
          </w:divBdr>
        </w:div>
        <w:div w:id="2145586586">
          <w:marLeft w:val="547"/>
          <w:marRight w:val="0"/>
          <w:marTop w:val="115"/>
          <w:marBottom w:val="0"/>
          <w:divBdr>
            <w:top w:val="none" w:sz="0" w:space="0" w:color="auto"/>
            <w:left w:val="none" w:sz="0" w:space="0" w:color="auto"/>
            <w:bottom w:val="none" w:sz="0" w:space="0" w:color="auto"/>
            <w:right w:val="none" w:sz="0" w:space="0" w:color="auto"/>
          </w:divBdr>
        </w:div>
      </w:divsChild>
    </w:div>
    <w:div w:id="309140761">
      <w:bodyDiv w:val="1"/>
      <w:marLeft w:val="0"/>
      <w:marRight w:val="0"/>
      <w:marTop w:val="0"/>
      <w:marBottom w:val="0"/>
      <w:divBdr>
        <w:top w:val="none" w:sz="0" w:space="0" w:color="auto"/>
        <w:left w:val="none" w:sz="0" w:space="0" w:color="auto"/>
        <w:bottom w:val="none" w:sz="0" w:space="0" w:color="auto"/>
        <w:right w:val="none" w:sz="0" w:space="0" w:color="auto"/>
      </w:divBdr>
    </w:div>
    <w:div w:id="309746640">
      <w:bodyDiv w:val="1"/>
      <w:marLeft w:val="0"/>
      <w:marRight w:val="0"/>
      <w:marTop w:val="0"/>
      <w:marBottom w:val="0"/>
      <w:divBdr>
        <w:top w:val="none" w:sz="0" w:space="0" w:color="auto"/>
        <w:left w:val="none" w:sz="0" w:space="0" w:color="auto"/>
        <w:bottom w:val="none" w:sz="0" w:space="0" w:color="auto"/>
        <w:right w:val="none" w:sz="0" w:space="0" w:color="auto"/>
      </w:divBdr>
    </w:div>
    <w:div w:id="309748249">
      <w:bodyDiv w:val="1"/>
      <w:marLeft w:val="0"/>
      <w:marRight w:val="0"/>
      <w:marTop w:val="0"/>
      <w:marBottom w:val="0"/>
      <w:divBdr>
        <w:top w:val="none" w:sz="0" w:space="0" w:color="auto"/>
        <w:left w:val="none" w:sz="0" w:space="0" w:color="auto"/>
        <w:bottom w:val="none" w:sz="0" w:space="0" w:color="auto"/>
        <w:right w:val="none" w:sz="0" w:space="0" w:color="auto"/>
      </w:divBdr>
    </w:div>
    <w:div w:id="309793611">
      <w:bodyDiv w:val="1"/>
      <w:marLeft w:val="0"/>
      <w:marRight w:val="0"/>
      <w:marTop w:val="0"/>
      <w:marBottom w:val="0"/>
      <w:divBdr>
        <w:top w:val="none" w:sz="0" w:space="0" w:color="auto"/>
        <w:left w:val="none" w:sz="0" w:space="0" w:color="auto"/>
        <w:bottom w:val="none" w:sz="0" w:space="0" w:color="auto"/>
        <w:right w:val="none" w:sz="0" w:space="0" w:color="auto"/>
      </w:divBdr>
    </w:div>
    <w:div w:id="312756715">
      <w:bodyDiv w:val="1"/>
      <w:marLeft w:val="0"/>
      <w:marRight w:val="0"/>
      <w:marTop w:val="0"/>
      <w:marBottom w:val="0"/>
      <w:divBdr>
        <w:top w:val="none" w:sz="0" w:space="0" w:color="auto"/>
        <w:left w:val="none" w:sz="0" w:space="0" w:color="auto"/>
        <w:bottom w:val="none" w:sz="0" w:space="0" w:color="auto"/>
        <w:right w:val="none" w:sz="0" w:space="0" w:color="auto"/>
      </w:divBdr>
    </w:div>
    <w:div w:id="313030292">
      <w:bodyDiv w:val="1"/>
      <w:marLeft w:val="0"/>
      <w:marRight w:val="0"/>
      <w:marTop w:val="0"/>
      <w:marBottom w:val="0"/>
      <w:divBdr>
        <w:top w:val="none" w:sz="0" w:space="0" w:color="auto"/>
        <w:left w:val="none" w:sz="0" w:space="0" w:color="auto"/>
        <w:bottom w:val="none" w:sz="0" w:space="0" w:color="auto"/>
        <w:right w:val="none" w:sz="0" w:space="0" w:color="auto"/>
      </w:divBdr>
    </w:div>
    <w:div w:id="313485870">
      <w:bodyDiv w:val="1"/>
      <w:marLeft w:val="0"/>
      <w:marRight w:val="0"/>
      <w:marTop w:val="0"/>
      <w:marBottom w:val="0"/>
      <w:divBdr>
        <w:top w:val="none" w:sz="0" w:space="0" w:color="auto"/>
        <w:left w:val="none" w:sz="0" w:space="0" w:color="auto"/>
        <w:bottom w:val="none" w:sz="0" w:space="0" w:color="auto"/>
        <w:right w:val="none" w:sz="0" w:space="0" w:color="auto"/>
      </w:divBdr>
    </w:div>
    <w:div w:id="313536564">
      <w:bodyDiv w:val="1"/>
      <w:marLeft w:val="0"/>
      <w:marRight w:val="0"/>
      <w:marTop w:val="0"/>
      <w:marBottom w:val="0"/>
      <w:divBdr>
        <w:top w:val="none" w:sz="0" w:space="0" w:color="auto"/>
        <w:left w:val="none" w:sz="0" w:space="0" w:color="auto"/>
        <w:bottom w:val="none" w:sz="0" w:space="0" w:color="auto"/>
        <w:right w:val="none" w:sz="0" w:space="0" w:color="auto"/>
      </w:divBdr>
    </w:div>
    <w:div w:id="314065418">
      <w:bodyDiv w:val="1"/>
      <w:marLeft w:val="0"/>
      <w:marRight w:val="0"/>
      <w:marTop w:val="0"/>
      <w:marBottom w:val="0"/>
      <w:divBdr>
        <w:top w:val="none" w:sz="0" w:space="0" w:color="auto"/>
        <w:left w:val="none" w:sz="0" w:space="0" w:color="auto"/>
        <w:bottom w:val="none" w:sz="0" w:space="0" w:color="auto"/>
        <w:right w:val="none" w:sz="0" w:space="0" w:color="auto"/>
      </w:divBdr>
    </w:div>
    <w:div w:id="314841885">
      <w:bodyDiv w:val="1"/>
      <w:marLeft w:val="0"/>
      <w:marRight w:val="0"/>
      <w:marTop w:val="0"/>
      <w:marBottom w:val="0"/>
      <w:divBdr>
        <w:top w:val="none" w:sz="0" w:space="0" w:color="auto"/>
        <w:left w:val="none" w:sz="0" w:space="0" w:color="auto"/>
        <w:bottom w:val="none" w:sz="0" w:space="0" w:color="auto"/>
        <w:right w:val="none" w:sz="0" w:space="0" w:color="auto"/>
      </w:divBdr>
      <w:divsChild>
        <w:div w:id="97139931">
          <w:marLeft w:val="547"/>
          <w:marRight w:val="0"/>
          <w:marTop w:val="134"/>
          <w:marBottom w:val="0"/>
          <w:divBdr>
            <w:top w:val="none" w:sz="0" w:space="0" w:color="auto"/>
            <w:left w:val="none" w:sz="0" w:space="0" w:color="auto"/>
            <w:bottom w:val="none" w:sz="0" w:space="0" w:color="auto"/>
            <w:right w:val="none" w:sz="0" w:space="0" w:color="auto"/>
          </w:divBdr>
        </w:div>
        <w:div w:id="1418019445">
          <w:marLeft w:val="547"/>
          <w:marRight w:val="0"/>
          <w:marTop w:val="134"/>
          <w:marBottom w:val="0"/>
          <w:divBdr>
            <w:top w:val="none" w:sz="0" w:space="0" w:color="auto"/>
            <w:left w:val="none" w:sz="0" w:space="0" w:color="auto"/>
            <w:bottom w:val="none" w:sz="0" w:space="0" w:color="auto"/>
            <w:right w:val="none" w:sz="0" w:space="0" w:color="auto"/>
          </w:divBdr>
        </w:div>
      </w:divsChild>
    </w:div>
    <w:div w:id="315259189">
      <w:bodyDiv w:val="1"/>
      <w:marLeft w:val="0"/>
      <w:marRight w:val="0"/>
      <w:marTop w:val="0"/>
      <w:marBottom w:val="0"/>
      <w:divBdr>
        <w:top w:val="none" w:sz="0" w:space="0" w:color="auto"/>
        <w:left w:val="none" w:sz="0" w:space="0" w:color="auto"/>
        <w:bottom w:val="none" w:sz="0" w:space="0" w:color="auto"/>
        <w:right w:val="none" w:sz="0" w:space="0" w:color="auto"/>
      </w:divBdr>
    </w:div>
    <w:div w:id="315426364">
      <w:bodyDiv w:val="1"/>
      <w:marLeft w:val="0"/>
      <w:marRight w:val="0"/>
      <w:marTop w:val="0"/>
      <w:marBottom w:val="0"/>
      <w:divBdr>
        <w:top w:val="none" w:sz="0" w:space="0" w:color="auto"/>
        <w:left w:val="none" w:sz="0" w:space="0" w:color="auto"/>
        <w:bottom w:val="none" w:sz="0" w:space="0" w:color="auto"/>
        <w:right w:val="none" w:sz="0" w:space="0" w:color="auto"/>
      </w:divBdr>
      <w:divsChild>
        <w:div w:id="35739861">
          <w:marLeft w:val="1987"/>
          <w:marRight w:val="0"/>
          <w:marTop w:val="86"/>
          <w:marBottom w:val="0"/>
          <w:divBdr>
            <w:top w:val="none" w:sz="0" w:space="0" w:color="auto"/>
            <w:left w:val="none" w:sz="0" w:space="0" w:color="auto"/>
            <w:bottom w:val="none" w:sz="0" w:space="0" w:color="auto"/>
            <w:right w:val="none" w:sz="0" w:space="0" w:color="auto"/>
          </w:divBdr>
        </w:div>
        <w:div w:id="1310284713">
          <w:marLeft w:val="547"/>
          <w:marRight w:val="0"/>
          <w:marTop w:val="115"/>
          <w:marBottom w:val="0"/>
          <w:divBdr>
            <w:top w:val="none" w:sz="0" w:space="0" w:color="auto"/>
            <w:left w:val="none" w:sz="0" w:space="0" w:color="auto"/>
            <w:bottom w:val="none" w:sz="0" w:space="0" w:color="auto"/>
            <w:right w:val="none" w:sz="0" w:space="0" w:color="auto"/>
          </w:divBdr>
        </w:div>
      </w:divsChild>
    </w:div>
    <w:div w:id="315838612">
      <w:bodyDiv w:val="1"/>
      <w:marLeft w:val="0"/>
      <w:marRight w:val="0"/>
      <w:marTop w:val="0"/>
      <w:marBottom w:val="0"/>
      <w:divBdr>
        <w:top w:val="none" w:sz="0" w:space="0" w:color="auto"/>
        <w:left w:val="none" w:sz="0" w:space="0" w:color="auto"/>
        <w:bottom w:val="none" w:sz="0" w:space="0" w:color="auto"/>
        <w:right w:val="none" w:sz="0" w:space="0" w:color="auto"/>
      </w:divBdr>
    </w:div>
    <w:div w:id="317466014">
      <w:bodyDiv w:val="1"/>
      <w:marLeft w:val="0"/>
      <w:marRight w:val="0"/>
      <w:marTop w:val="0"/>
      <w:marBottom w:val="0"/>
      <w:divBdr>
        <w:top w:val="none" w:sz="0" w:space="0" w:color="auto"/>
        <w:left w:val="none" w:sz="0" w:space="0" w:color="auto"/>
        <w:bottom w:val="none" w:sz="0" w:space="0" w:color="auto"/>
        <w:right w:val="none" w:sz="0" w:space="0" w:color="auto"/>
      </w:divBdr>
    </w:div>
    <w:div w:id="317467793">
      <w:bodyDiv w:val="1"/>
      <w:marLeft w:val="0"/>
      <w:marRight w:val="0"/>
      <w:marTop w:val="0"/>
      <w:marBottom w:val="0"/>
      <w:divBdr>
        <w:top w:val="none" w:sz="0" w:space="0" w:color="auto"/>
        <w:left w:val="none" w:sz="0" w:space="0" w:color="auto"/>
        <w:bottom w:val="none" w:sz="0" w:space="0" w:color="auto"/>
        <w:right w:val="none" w:sz="0" w:space="0" w:color="auto"/>
      </w:divBdr>
    </w:div>
    <w:div w:id="317535340">
      <w:bodyDiv w:val="1"/>
      <w:marLeft w:val="0"/>
      <w:marRight w:val="0"/>
      <w:marTop w:val="0"/>
      <w:marBottom w:val="0"/>
      <w:divBdr>
        <w:top w:val="none" w:sz="0" w:space="0" w:color="auto"/>
        <w:left w:val="none" w:sz="0" w:space="0" w:color="auto"/>
        <w:bottom w:val="none" w:sz="0" w:space="0" w:color="auto"/>
        <w:right w:val="none" w:sz="0" w:space="0" w:color="auto"/>
      </w:divBdr>
    </w:div>
    <w:div w:id="317684877">
      <w:bodyDiv w:val="1"/>
      <w:marLeft w:val="0"/>
      <w:marRight w:val="0"/>
      <w:marTop w:val="0"/>
      <w:marBottom w:val="0"/>
      <w:divBdr>
        <w:top w:val="none" w:sz="0" w:space="0" w:color="auto"/>
        <w:left w:val="none" w:sz="0" w:space="0" w:color="auto"/>
        <w:bottom w:val="none" w:sz="0" w:space="0" w:color="auto"/>
        <w:right w:val="none" w:sz="0" w:space="0" w:color="auto"/>
      </w:divBdr>
    </w:div>
    <w:div w:id="317923442">
      <w:bodyDiv w:val="1"/>
      <w:marLeft w:val="0"/>
      <w:marRight w:val="0"/>
      <w:marTop w:val="0"/>
      <w:marBottom w:val="0"/>
      <w:divBdr>
        <w:top w:val="none" w:sz="0" w:space="0" w:color="auto"/>
        <w:left w:val="none" w:sz="0" w:space="0" w:color="auto"/>
        <w:bottom w:val="none" w:sz="0" w:space="0" w:color="auto"/>
        <w:right w:val="none" w:sz="0" w:space="0" w:color="auto"/>
      </w:divBdr>
      <w:divsChild>
        <w:div w:id="605120951">
          <w:marLeft w:val="547"/>
          <w:marRight w:val="0"/>
          <w:marTop w:val="115"/>
          <w:marBottom w:val="0"/>
          <w:divBdr>
            <w:top w:val="none" w:sz="0" w:space="0" w:color="auto"/>
            <w:left w:val="none" w:sz="0" w:space="0" w:color="auto"/>
            <w:bottom w:val="none" w:sz="0" w:space="0" w:color="auto"/>
            <w:right w:val="none" w:sz="0" w:space="0" w:color="auto"/>
          </w:divBdr>
        </w:div>
        <w:div w:id="1006203586">
          <w:marLeft w:val="1800"/>
          <w:marRight w:val="0"/>
          <w:marTop w:val="91"/>
          <w:marBottom w:val="0"/>
          <w:divBdr>
            <w:top w:val="none" w:sz="0" w:space="0" w:color="auto"/>
            <w:left w:val="none" w:sz="0" w:space="0" w:color="auto"/>
            <w:bottom w:val="none" w:sz="0" w:space="0" w:color="auto"/>
            <w:right w:val="none" w:sz="0" w:space="0" w:color="auto"/>
          </w:divBdr>
        </w:div>
        <w:div w:id="1123614987">
          <w:marLeft w:val="2520"/>
          <w:marRight w:val="0"/>
          <w:marTop w:val="77"/>
          <w:marBottom w:val="0"/>
          <w:divBdr>
            <w:top w:val="none" w:sz="0" w:space="0" w:color="auto"/>
            <w:left w:val="none" w:sz="0" w:space="0" w:color="auto"/>
            <w:bottom w:val="none" w:sz="0" w:space="0" w:color="auto"/>
            <w:right w:val="none" w:sz="0" w:space="0" w:color="auto"/>
          </w:divBdr>
        </w:div>
        <w:div w:id="1260870479">
          <w:marLeft w:val="1800"/>
          <w:marRight w:val="0"/>
          <w:marTop w:val="91"/>
          <w:marBottom w:val="0"/>
          <w:divBdr>
            <w:top w:val="none" w:sz="0" w:space="0" w:color="auto"/>
            <w:left w:val="none" w:sz="0" w:space="0" w:color="auto"/>
            <w:bottom w:val="none" w:sz="0" w:space="0" w:color="auto"/>
            <w:right w:val="none" w:sz="0" w:space="0" w:color="auto"/>
          </w:divBdr>
        </w:div>
        <w:div w:id="1293294284">
          <w:marLeft w:val="1166"/>
          <w:marRight w:val="0"/>
          <w:marTop w:val="91"/>
          <w:marBottom w:val="0"/>
          <w:divBdr>
            <w:top w:val="none" w:sz="0" w:space="0" w:color="auto"/>
            <w:left w:val="none" w:sz="0" w:space="0" w:color="auto"/>
            <w:bottom w:val="none" w:sz="0" w:space="0" w:color="auto"/>
            <w:right w:val="none" w:sz="0" w:space="0" w:color="auto"/>
          </w:divBdr>
        </w:div>
        <w:div w:id="1860242002">
          <w:marLeft w:val="1800"/>
          <w:marRight w:val="0"/>
          <w:marTop w:val="91"/>
          <w:marBottom w:val="0"/>
          <w:divBdr>
            <w:top w:val="none" w:sz="0" w:space="0" w:color="auto"/>
            <w:left w:val="none" w:sz="0" w:space="0" w:color="auto"/>
            <w:bottom w:val="none" w:sz="0" w:space="0" w:color="auto"/>
            <w:right w:val="none" w:sz="0" w:space="0" w:color="auto"/>
          </w:divBdr>
        </w:div>
      </w:divsChild>
    </w:div>
    <w:div w:id="318269475">
      <w:bodyDiv w:val="1"/>
      <w:marLeft w:val="0"/>
      <w:marRight w:val="0"/>
      <w:marTop w:val="0"/>
      <w:marBottom w:val="0"/>
      <w:divBdr>
        <w:top w:val="none" w:sz="0" w:space="0" w:color="auto"/>
        <w:left w:val="none" w:sz="0" w:space="0" w:color="auto"/>
        <w:bottom w:val="none" w:sz="0" w:space="0" w:color="auto"/>
        <w:right w:val="none" w:sz="0" w:space="0" w:color="auto"/>
      </w:divBdr>
    </w:div>
    <w:div w:id="319967433">
      <w:bodyDiv w:val="1"/>
      <w:marLeft w:val="0"/>
      <w:marRight w:val="0"/>
      <w:marTop w:val="0"/>
      <w:marBottom w:val="0"/>
      <w:divBdr>
        <w:top w:val="none" w:sz="0" w:space="0" w:color="auto"/>
        <w:left w:val="none" w:sz="0" w:space="0" w:color="auto"/>
        <w:bottom w:val="none" w:sz="0" w:space="0" w:color="auto"/>
        <w:right w:val="none" w:sz="0" w:space="0" w:color="auto"/>
      </w:divBdr>
    </w:div>
    <w:div w:id="320235902">
      <w:bodyDiv w:val="1"/>
      <w:marLeft w:val="0"/>
      <w:marRight w:val="0"/>
      <w:marTop w:val="0"/>
      <w:marBottom w:val="0"/>
      <w:divBdr>
        <w:top w:val="none" w:sz="0" w:space="0" w:color="auto"/>
        <w:left w:val="none" w:sz="0" w:space="0" w:color="auto"/>
        <w:bottom w:val="none" w:sz="0" w:space="0" w:color="auto"/>
        <w:right w:val="none" w:sz="0" w:space="0" w:color="auto"/>
      </w:divBdr>
    </w:div>
    <w:div w:id="320354703">
      <w:bodyDiv w:val="1"/>
      <w:marLeft w:val="0"/>
      <w:marRight w:val="0"/>
      <w:marTop w:val="0"/>
      <w:marBottom w:val="0"/>
      <w:divBdr>
        <w:top w:val="none" w:sz="0" w:space="0" w:color="auto"/>
        <w:left w:val="none" w:sz="0" w:space="0" w:color="auto"/>
        <w:bottom w:val="none" w:sz="0" w:space="0" w:color="auto"/>
        <w:right w:val="none" w:sz="0" w:space="0" w:color="auto"/>
      </w:divBdr>
    </w:div>
    <w:div w:id="320894090">
      <w:bodyDiv w:val="1"/>
      <w:marLeft w:val="0"/>
      <w:marRight w:val="0"/>
      <w:marTop w:val="0"/>
      <w:marBottom w:val="0"/>
      <w:divBdr>
        <w:top w:val="none" w:sz="0" w:space="0" w:color="auto"/>
        <w:left w:val="none" w:sz="0" w:space="0" w:color="auto"/>
        <w:bottom w:val="none" w:sz="0" w:space="0" w:color="auto"/>
        <w:right w:val="none" w:sz="0" w:space="0" w:color="auto"/>
      </w:divBdr>
      <w:divsChild>
        <w:div w:id="189999501">
          <w:marLeft w:val="1166"/>
          <w:marRight w:val="0"/>
          <w:marTop w:val="134"/>
          <w:marBottom w:val="0"/>
          <w:divBdr>
            <w:top w:val="none" w:sz="0" w:space="0" w:color="auto"/>
            <w:left w:val="none" w:sz="0" w:space="0" w:color="auto"/>
            <w:bottom w:val="none" w:sz="0" w:space="0" w:color="auto"/>
            <w:right w:val="none" w:sz="0" w:space="0" w:color="auto"/>
          </w:divBdr>
        </w:div>
        <w:div w:id="1003315988">
          <w:marLeft w:val="547"/>
          <w:marRight w:val="0"/>
          <w:marTop w:val="154"/>
          <w:marBottom w:val="0"/>
          <w:divBdr>
            <w:top w:val="none" w:sz="0" w:space="0" w:color="auto"/>
            <w:left w:val="none" w:sz="0" w:space="0" w:color="auto"/>
            <w:bottom w:val="none" w:sz="0" w:space="0" w:color="auto"/>
            <w:right w:val="none" w:sz="0" w:space="0" w:color="auto"/>
          </w:divBdr>
        </w:div>
        <w:div w:id="1104223941">
          <w:marLeft w:val="2520"/>
          <w:marRight w:val="0"/>
          <w:marTop w:val="96"/>
          <w:marBottom w:val="0"/>
          <w:divBdr>
            <w:top w:val="none" w:sz="0" w:space="0" w:color="auto"/>
            <w:left w:val="none" w:sz="0" w:space="0" w:color="auto"/>
            <w:bottom w:val="none" w:sz="0" w:space="0" w:color="auto"/>
            <w:right w:val="none" w:sz="0" w:space="0" w:color="auto"/>
          </w:divBdr>
        </w:div>
        <w:div w:id="1160004383">
          <w:marLeft w:val="1166"/>
          <w:marRight w:val="0"/>
          <w:marTop w:val="134"/>
          <w:marBottom w:val="0"/>
          <w:divBdr>
            <w:top w:val="none" w:sz="0" w:space="0" w:color="auto"/>
            <w:left w:val="none" w:sz="0" w:space="0" w:color="auto"/>
            <w:bottom w:val="none" w:sz="0" w:space="0" w:color="auto"/>
            <w:right w:val="none" w:sz="0" w:space="0" w:color="auto"/>
          </w:divBdr>
        </w:div>
        <w:div w:id="1640644924">
          <w:marLeft w:val="1800"/>
          <w:marRight w:val="0"/>
          <w:marTop w:val="115"/>
          <w:marBottom w:val="0"/>
          <w:divBdr>
            <w:top w:val="none" w:sz="0" w:space="0" w:color="auto"/>
            <w:left w:val="none" w:sz="0" w:space="0" w:color="auto"/>
            <w:bottom w:val="none" w:sz="0" w:space="0" w:color="auto"/>
            <w:right w:val="none" w:sz="0" w:space="0" w:color="auto"/>
          </w:divBdr>
        </w:div>
        <w:div w:id="1921215597">
          <w:marLeft w:val="1166"/>
          <w:marRight w:val="0"/>
          <w:marTop w:val="134"/>
          <w:marBottom w:val="0"/>
          <w:divBdr>
            <w:top w:val="none" w:sz="0" w:space="0" w:color="auto"/>
            <w:left w:val="none" w:sz="0" w:space="0" w:color="auto"/>
            <w:bottom w:val="none" w:sz="0" w:space="0" w:color="auto"/>
            <w:right w:val="none" w:sz="0" w:space="0" w:color="auto"/>
          </w:divBdr>
        </w:div>
      </w:divsChild>
    </w:div>
    <w:div w:id="322438453">
      <w:bodyDiv w:val="1"/>
      <w:marLeft w:val="0"/>
      <w:marRight w:val="0"/>
      <w:marTop w:val="0"/>
      <w:marBottom w:val="0"/>
      <w:divBdr>
        <w:top w:val="none" w:sz="0" w:space="0" w:color="auto"/>
        <w:left w:val="none" w:sz="0" w:space="0" w:color="auto"/>
        <w:bottom w:val="none" w:sz="0" w:space="0" w:color="auto"/>
        <w:right w:val="none" w:sz="0" w:space="0" w:color="auto"/>
      </w:divBdr>
    </w:div>
    <w:div w:id="323513177">
      <w:bodyDiv w:val="1"/>
      <w:marLeft w:val="0"/>
      <w:marRight w:val="0"/>
      <w:marTop w:val="0"/>
      <w:marBottom w:val="0"/>
      <w:divBdr>
        <w:top w:val="none" w:sz="0" w:space="0" w:color="auto"/>
        <w:left w:val="none" w:sz="0" w:space="0" w:color="auto"/>
        <w:bottom w:val="none" w:sz="0" w:space="0" w:color="auto"/>
        <w:right w:val="none" w:sz="0" w:space="0" w:color="auto"/>
      </w:divBdr>
    </w:div>
    <w:div w:id="323976279">
      <w:bodyDiv w:val="1"/>
      <w:marLeft w:val="0"/>
      <w:marRight w:val="0"/>
      <w:marTop w:val="0"/>
      <w:marBottom w:val="0"/>
      <w:divBdr>
        <w:top w:val="none" w:sz="0" w:space="0" w:color="auto"/>
        <w:left w:val="none" w:sz="0" w:space="0" w:color="auto"/>
        <w:bottom w:val="none" w:sz="0" w:space="0" w:color="auto"/>
        <w:right w:val="none" w:sz="0" w:space="0" w:color="auto"/>
      </w:divBdr>
    </w:div>
    <w:div w:id="324405662">
      <w:bodyDiv w:val="1"/>
      <w:marLeft w:val="0"/>
      <w:marRight w:val="0"/>
      <w:marTop w:val="0"/>
      <w:marBottom w:val="0"/>
      <w:divBdr>
        <w:top w:val="none" w:sz="0" w:space="0" w:color="auto"/>
        <w:left w:val="none" w:sz="0" w:space="0" w:color="auto"/>
        <w:bottom w:val="none" w:sz="0" w:space="0" w:color="auto"/>
        <w:right w:val="none" w:sz="0" w:space="0" w:color="auto"/>
      </w:divBdr>
      <w:divsChild>
        <w:div w:id="234584284">
          <w:marLeft w:val="547"/>
          <w:marRight w:val="0"/>
          <w:marTop w:val="154"/>
          <w:marBottom w:val="0"/>
          <w:divBdr>
            <w:top w:val="none" w:sz="0" w:space="0" w:color="auto"/>
            <w:left w:val="none" w:sz="0" w:space="0" w:color="auto"/>
            <w:bottom w:val="none" w:sz="0" w:space="0" w:color="auto"/>
            <w:right w:val="none" w:sz="0" w:space="0" w:color="auto"/>
          </w:divBdr>
        </w:div>
        <w:div w:id="341275235">
          <w:marLeft w:val="1166"/>
          <w:marRight w:val="0"/>
          <w:marTop w:val="134"/>
          <w:marBottom w:val="0"/>
          <w:divBdr>
            <w:top w:val="none" w:sz="0" w:space="0" w:color="auto"/>
            <w:left w:val="none" w:sz="0" w:space="0" w:color="auto"/>
            <w:bottom w:val="none" w:sz="0" w:space="0" w:color="auto"/>
            <w:right w:val="none" w:sz="0" w:space="0" w:color="auto"/>
          </w:divBdr>
        </w:div>
        <w:div w:id="1151405415">
          <w:marLeft w:val="1166"/>
          <w:marRight w:val="0"/>
          <w:marTop w:val="134"/>
          <w:marBottom w:val="0"/>
          <w:divBdr>
            <w:top w:val="none" w:sz="0" w:space="0" w:color="auto"/>
            <w:left w:val="none" w:sz="0" w:space="0" w:color="auto"/>
            <w:bottom w:val="none" w:sz="0" w:space="0" w:color="auto"/>
            <w:right w:val="none" w:sz="0" w:space="0" w:color="auto"/>
          </w:divBdr>
        </w:div>
        <w:div w:id="1960211875">
          <w:marLeft w:val="1800"/>
          <w:marRight w:val="0"/>
          <w:marTop w:val="115"/>
          <w:marBottom w:val="0"/>
          <w:divBdr>
            <w:top w:val="none" w:sz="0" w:space="0" w:color="auto"/>
            <w:left w:val="none" w:sz="0" w:space="0" w:color="auto"/>
            <w:bottom w:val="none" w:sz="0" w:space="0" w:color="auto"/>
            <w:right w:val="none" w:sz="0" w:space="0" w:color="auto"/>
          </w:divBdr>
        </w:div>
      </w:divsChild>
    </w:div>
    <w:div w:id="324936557">
      <w:bodyDiv w:val="1"/>
      <w:marLeft w:val="0"/>
      <w:marRight w:val="0"/>
      <w:marTop w:val="0"/>
      <w:marBottom w:val="0"/>
      <w:divBdr>
        <w:top w:val="none" w:sz="0" w:space="0" w:color="auto"/>
        <w:left w:val="none" w:sz="0" w:space="0" w:color="auto"/>
        <w:bottom w:val="none" w:sz="0" w:space="0" w:color="auto"/>
        <w:right w:val="none" w:sz="0" w:space="0" w:color="auto"/>
      </w:divBdr>
    </w:div>
    <w:div w:id="324943210">
      <w:bodyDiv w:val="1"/>
      <w:marLeft w:val="0"/>
      <w:marRight w:val="0"/>
      <w:marTop w:val="0"/>
      <w:marBottom w:val="0"/>
      <w:divBdr>
        <w:top w:val="none" w:sz="0" w:space="0" w:color="auto"/>
        <w:left w:val="none" w:sz="0" w:space="0" w:color="auto"/>
        <w:bottom w:val="none" w:sz="0" w:space="0" w:color="auto"/>
        <w:right w:val="none" w:sz="0" w:space="0" w:color="auto"/>
      </w:divBdr>
      <w:divsChild>
        <w:div w:id="1067873150">
          <w:marLeft w:val="1166"/>
          <w:marRight w:val="0"/>
          <w:marTop w:val="106"/>
          <w:marBottom w:val="0"/>
          <w:divBdr>
            <w:top w:val="none" w:sz="0" w:space="0" w:color="auto"/>
            <w:left w:val="none" w:sz="0" w:space="0" w:color="auto"/>
            <w:bottom w:val="none" w:sz="0" w:space="0" w:color="auto"/>
            <w:right w:val="none" w:sz="0" w:space="0" w:color="auto"/>
          </w:divBdr>
        </w:div>
        <w:div w:id="1529567950">
          <w:marLeft w:val="1166"/>
          <w:marRight w:val="0"/>
          <w:marTop w:val="106"/>
          <w:marBottom w:val="0"/>
          <w:divBdr>
            <w:top w:val="none" w:sz="0" w:space="0" w:color="auto"/>
            <w:left w:val="none" w:sz="0" w:space="0" w:color="auto"/>
            <w:bottom w:val="none" w:sz="0" w:space="0" w:color="auto"/>
            <w:right w:val="none" w:sz="0" w:space="0" w:color="auto"/>
          </w:divBdr>
        </w:div>
        <w:div w:id="1789592133">
          <w:marLeft w:val="1166"/>
          <w:marRight w:val="0"/>
          <w:marTop w:val="106"/>
          <w:marBottom w:val="0"/>
          <w:divBdr>
            <w:top w:val="none" w:sz="0" w:space="0" w:color="auto"/>
            <w:left w:val="none" w:sz="0" w:space="0" w:color="auto"/>
            <w:bottom w:val="none" w:sz="0" w:space="0" w:color="auto"/>
            <w:right w:val="none" w:sz="0" w:space="0" w:color="auto"/>
          </w:divBdr>
        </w:div>
      </w:divsChild>
    </w:div>
    <w:div w:id="325744646">
      <w:bodyDiv w:val="1"/>
      <w:marLeft w:val="0"/>
      <w:marRight w:val="0"/>
      <w:marTop w:val="0"/>
      <w:marBottom w:val="0"/>
      <w:divBdr>
        <w:top w:val="none" w:sz="0" w:space="0" w:color="auto"/>
        <w:left w:val="none" w:sz="0" w:space="0" w:color="auto"/>
        <w:bottom w:val="none" w:sz="0" w:space="0" w:color="auto"/>
        <w:right w:val="none" w:sz="0" w:space="0" w:color="auto"/>
      </w:divBdr>
    </w:div>
    <w:div w:id="326328626">
      <w:bodyDiv w:val="1"/>
      <w:marLeft w:val="0"/>
      <w:marRight w:val="0"/>
      <w:marTop w:val="0"/>
      <w:marBottom w:val="0"/>
      <w:divBdr>
        <w:top w:val="none" w:sz="0" w:space="0" w:color="auto"/>
        <w:left w:val="none" w:sz="0" w:space="0" w:color="auto"/>
        <w:bottom w:val="none" w:sz="0" w:space="0" w:color="auto"/>
        <w:right w:val="none" w:sz="0" w:space="0" w:color="auto"/>
      </w:divBdr>
    </w:div>
    <w:div w:id="326590759">
      <w:bodyDiv w:val="1"/>
      <w:marLeft w:val="0"/>
      <w:marRight w:val="0"/>
      <w:marTop w:val="0"/>
      <w:marBottom w:val="0"/>
      <w:divBdr>
        <w:top w:val="none" w:sz="0" w:space="0" w:color="auto"/>
        <w:left w:val="none" w:sz="0" w:space="0" w:color="auto"/>
        <w:bottom w:val="none" w:sz="0" w:space="0" w:color="auto"/>
        <w:right w:val="none" w:sz="0" w:space="0" w:color="auto"/>
      </w:divBdr>
    </w:div>
    <w:div w:id="326906854">
      <w:bodyDiv w:val="1"/>
      <w:marLeft w:val="0"/>
      <w:marRight w:val="0"/>
      <w:marTop w:val="0"/>
      <w:marBottom w:val="0"/>
      <w:divBdr>
        <w:top w:val="none" w:sz="0" w:space="0" w:color="auto"/>
        <w:left w:val="none" w:sz="0" w:space="0" w:color="auto"/>
        <w:bottom w:val="none" w:sz="0" w:space="0" w:color="auto"/>
        <w:right w:val="none" w:sz="0" w:space="0" w:color="auto"/>
      </w:divBdr>
    </w:div>
    <w:div w:id="326985133">
      <w:bodyDiv w:val="1"/>
      <w:marLeft w:val="0"/>
      <w:marRight w:val="0"/>
      <w:marTop w:val="0"/>
      <w:marBottom w:val="0"/>
      <w:divBdr>
        <w:top w:val="none" w:sz="0" w:space="0" w:color="auto"/>
        <w:left w:val="none" w:sz="0" w:space="0" w:color="auto"/>
        <w:bottom w:val="none" w:sz="0" w:space="0" w:color="auto"/>
        <w:right w:val="none" w:sz="0" w:space="0" w:color="auto"/>
      </w:divBdr>
      <w:divsChild>
        <w:div w:id="12389419">
          <w:marLeft w:val="2520"/>
          <w:marRight w:val="0"/>
          <w:marTop w:val="60"/>
          <w:marBottom w:val="0"/>
          <w:divBdr>
            <w:top w:val="none" w:sz="0" w:space="0" w:color="auto"/>
            <w:left w:val="none" w:sz="0" w:space="0" w:color="auto"/>
            <w:bottom w:val="none" w:sz="0" w:space="0" w:color="auto"/>
            <w:right w:val="none" w:sz="0" w:space="0" w:color="auto"/>
          </w:divBdr>
        </w:div>
        <w:div w:id="97330919">
          <w:marLeft w:val="1800"/>
          <w:marRight w:val="0"/>
          <w:marTop w:val="60"/>
          <w:marBottom w:val="0"/>
          <w:divBdr>
            <w:top w:val="none" w:sz="0" w:space="0" w:color="auto"/>
            <w:left w:val="none" w:sz="0" w:space="0" w:color="auto"/>
            <w:bottom w:val="none" w:sz="0" w:space="0" w:color="auto"/>
            <w:right w:val="none" w:sz="0" w:space="0" w:color="auto"/>
          </w:divBdr>
        </w:div>
        <w:div w:id="408967537">
          <w:marLeft w:val="3240"/>
          <w:marRight w:val="0"/>
          <w:marTop w:val="60"/>
          <w:marBottom w:val="0"/>
          <w:divBdr>
            <w:top w:val="none" w:sz="0" w:space="0" w:color="auto"/>
            <w:left w:val="none" w:sz="0" w:space="0" w:color="auto"/>
            <w:bottom w:val="none" w:sz="0" w:space="0" w:color="auto"/>
            <w:right w:val="none" w:sz="0" w:space="0" w:color="auto"/>
          </w:divBdr>
        </w:div>
        <w:div w:id="409279346">
          <w:marLeft w:val="3240"/>
          <w:marRight w:val="0"/>
          <w:marTop w:val="60"/>
          <w:marBottom w:val="0"/>
          <w:divBdr>
            <w:top w:val="none" w:sz="0" w:space="0" w:color="auto"/>
            <w:left w:val="none" w:sz="0" w:space="0" w:color="auto"/>
            <w:bottom w:val="none" w:sz="0" w:space="0" w:color="auto"/>
            <w:right w:val="none" w:sz="0" w:space="0" w:color="auto"/>
          </w:divBdr>
        </w:div>
        <w:div w:id="509804738">
          <w:marLeft w:val="2520"/>
          <w:marRight w:val="0"/>
          <w:marTop w:val="60"/>
          <w:marBottom w:val="0"/>
          <w:divBdr>
            <w:top w:val="none" w:sz="0" w:space="0" w:color="auto"/>
            <w:left w:val="none" w:sz="0" w:space="0" w:color="auto"/>
            <w:bottom w:val="none" w:sz="0" w:space="0" w:color="auto"/>
            <w:right w:val="none" w:sz="0" w:space="0" w:color="auto"/>
          </w:divBdr>
        </w:div>
        <w:div w:id="771976693">
          <w:marLeft w:val="1166"/>
          <w:marRight w:val="0"/>
          <w:marTop w:val="60"/>
          <w:marBottom w:val="0"/>
          <w:divBdr>
            <w:top w:val="none" w:sz="0" w:space="0" w:color="auto"/>
            <w:left w:val="none" w:sz="0" w:space="0" w:color="auto"/>
            <w:bottom w:val="none" w:sz="0" w:space="0" w:color="auto"/>
            <w:right w:val="none" w:sz="0" w:space="0" w:color="auto"/>
          </w:divBdr>
        </w:div>
        <w:div w:id="886142221">
          <w:marLeft w:val="3240"/>
          <w:marRight w:val="0"/>
          <w:marTop w:val="60"/>
          <w:marBottom w:val="0"/>
          <w:divBdr>
            <w:top w:val="none" w:sz="0" w:space="0" w:color="auto"/>
            <w:left w:val="none" w:sz="0" w:space="0" w:color="auto"/>
            <w:bottom w:val="none" w:sz="0" w:space="0" w:color="auto"/>
            <w:right w:val="none" w:sz="0" w:space="0" w:color="auto"/>
          </w:divBdr>
        </w:div>
        <w:div w:id="1118839055">
          <w:marLeft w:val="2520"/>
          <w:marRight w:val="0"/>
          <w:marTop w:val="60"/>
          <w:marBottom w:val="0"/>
          <w:divBdr>
            <w:top w:val="none" w:sz="0" w:space="0" w:color="auto"/>
            <w:left w:val="none" w:sz="0" w:space="0" w:color="auto"/>
            <w:bottom w:val="none" w:sz="0" w:space="0" w:color="auto"/>
            <w:right w:val="none" w:sz="0" w:space="0" w:color="auto"/>
          </w:divBdr>
        </w:div>
        <w:div w:id="1265765532">
          <w:marLeft w:val="2520"/>
          <w:marRight w:val="0"/>
          <w:marTop w:val="60"/>
          <w:marBottom w:val="0"/>
          <w:divBdr>
            <w:top w:val="none" w:sz="0" w:space="0" w:color="auto"/>
            <w:left w:val="none" w:sz="0" w:space="0" w:color="auto"/>
            <w:bottom w:val="none" w:sz="0" w:space="0" w:color="auto"/>
            <w:right w:val="none" w:sz="0" w:space="0" w:color="auto"/>
          </w:divBdr>
        </w:div>
        <w:div w:id="1606620031">
          <w:marLeft w:val="2520"/>
          <w:marRight w:val="0"/>
          <w:marTop w:val="60"/>
          <w:marBottom w:val="0"/>
          <w:divBdr>
            <w:top w:val="none" w:sz="0" w:space="0" w:color="auto"/>
            <w:left w:val="none" w:sz="0" w:space="0" w:color="auto"/>
            <w:bottom w:val="none" w:sz="0" w:space="0" w:color="auto"/>
            <w:right w:val="none" w:sz="0" w:space="0" w:color="auto"/>
          </w:divBdr>
        </w:div>
        <w:div w:id="1644580854">
          <w:marLeft w:val="1800"/>
          <w:marRight w:val="0"/>
          <w:marTop w:val="60"/>
          <w:marBottom w:val="0"/>
          <w:divBdr>
            <w:top w:val="none" w:sz="0" w:space="0" w:color="auto"/>
            <w:left w:val="none" w:sz="0" w:space="0" w:color="auto"/>
            <w:bottom w:val="none" w:sz="0" w:space="0" w:color="auto"/>
            <w:right w:val="none" w:sz="0" w:space="0" w:color="auto"/>
          </w:divBdr>
        </w:div>
        <w:div w:id="1735422334">
          <w:marLeft w:val="2520"/>
          <w:marRight w:val="0"/>
          <w:marTop w:val="60"/>
          <w:marBottom w:val="0"/>
          <w:divBdr>
            <w:top w:val="none" w:sz="0" w:space="0" w:color="auto"/>
            <w:left w:val="none" w:sz="0" w:space="0" w:color="auto"/>
            <w:bottom w:val="none" w:sz="0" w:space="0" w:color="auto"/>
            <w:right w:val="none" w:sz="0" w:space="0" w:color="auto"/>
          </w:divBdr>
        </w:div>
      </w:divsChild>
    </w:div>
    <w:div w:id="327485184">
      <w:bodyDiv w:val="1"/>
      <w:marLeft w:val="0"/>
      <w:marRight w:val="0"/>
      <w:marTop w:val="0"/>
      <w:marBottom w:val="0"/>
      <w:divBdr>
        <w:top w:val="none" w:sz="0" w:space="0" w:color="auto"/>
        <w:left w:val="none" w:sz="0" w:space="0" w:color="auto"/>
        <w:bottom w:val="none" w:sz="0" w:space="0" w:color="auto"/>
        <w:right w:val="none" w:sz="0" w:space="0" w:color="auto"/>
      </w:divBdr>
    </w:div>
    <w:div w:id="328406400">
      <w:bodyDiv w:val="1"/>
      <w:marLeft w:val="0"/>
      <w:marRight w:val="0"/>
      <w:marTop w:val="0"/>
      <w:marBottom w:val="0"/>
      <w:divBdr>
        <w:top w:val="none" w:sz="0" w:space="0" w:color="auto"/>
        <w:left w:val="none" w:sz="0" w:space="0" w:color="auto"/>
        <w:bottom w:val="none" w:sz="0" w:space="0" w:color="auto"/>
        <w:right w:val="none" w:sz="0" w:space="0" w:color="auto"/>
      </w:divBdr>
      <w:divsChild>
        <w:div w:id="100686161">
          <w:marLeft w:val="0"/>
          <w:marRight w:val="0"/>
          <w:marTop w:val="0"/>
          <w:marBottom w:val="0"/>
          <w:divBdr>
            <w:top w:val="none" w:sz="0" w:space="0" w:color="auto"/>
            <w:left w:val="none" w:sz="0" w:space="0" w:color="auto"/>
            <w:bottom w:val="none" w:sz="0" w:space="0" w:color="auto"/>
            <w:right w:val="none" w:sz="0" w:space="0" w:color="auto"/>
          </w:divBdr>
          <w:divsChild>
            <w:div w:id="58021027">
              <w:marLeft w:val="0"/>
              <w:marRight w:val="0"/>
              <w:marTop w:val="0"/>
              <w:marBottom w:val="0"/>
              <w:divBdr>
                <w:top w:val="none" w:sz="0" w:space="0" w:color="auto"/>
                <w:left w:val="none" w:sz="0" w:space="0" w:color="auto"/>
                <w:bottom w:val="none" w:sz="0" w:space="0" w:color="auto"/>
                <w:right w:val="none" w:sz="0" w:space="0" w:color="auto"/>
              </w:divBdr>
            </w:div>
            <w:div w:id="332227612">
              <w:marLeft w:val="0"/>
              <w:marRight w:val="0"/>
              <w:marTop w:val="0"/>
              <w:marBottom w:val="0"/>
              <w:divBdr>
                <w:top w:val="none" w:sz="0" w:space="0" w:color="auto"/>
                <w:left w:val="none" w:sz="0" w:space="0" w:color="auto"/>
                <w:bottom w:val="none" w:sz="0" w:space="0" w:color="auto"/>
                <w:right w:val="none" w:sz="0" w:space="0" w:color="auto"/>
              </w:divBdr>
            </w:div>
            <w:div w:id="373703069">
              <w:marLeft w:val="0"/>
              <w:marRight w:val="0"/>
              <w:marTop w:val="0"/>
              <w:marBottom w:val="0"/>
              <w:divBdr>
                <w:top w:val="none" w:sz="0" w:space="0" w:color="auto"/>
                <w:left w:val="none" w:sz="0" w:space="0" w:color="auto"/>
                <w:bottom w:val="none" w:sz="0" w:space="0" w:color="auto"/>
                <w:right w:val="none" w:sz="0" w:space="0" w:color="auto"/>
              </w:divBdr>
            </w:div>
            <w:div w:id="684213532">
              <w:marLeft w:val="0"/>
              <w:marRight w:val="0"/>
              <w:marTop w:val="0"/>
              <w:marBottom w:val="0"/>
              <w:divBdr>
                <w:top w:val="none" w:sz="0" w:space="0" w:color="auto"/>
                <w:left w:val="none" w:sz="0" w:space="0" w:color="auto"/>
                <w:bottom w:val="none" w:sz="0" w:space="0" w:color="auto"/>
                <w:right w:val="none" w:sz="0" w:space="0" w:color="auto"/>
              </w:divBdr>
            </w:div>
            <w:div w:id="884635422">
              <w:marLeft w:val="0"/>
              <w:marRight w:val="0"/>
              <w:marTop w:val="0"/>
              <w:marBottom w:val="0"/>
              <w:divBdr>
                <w:top w:val="none" w:sz="0" w:space="0" w:color="auto"/>
                <w:left w:val="none" w:sz="0" w:space="0" w:color="auto"/>
                <w:bottom w:val="none" w:sz="0" w:space="0" w:color="auto"/>
                <w:right w:val="none" w:sz="0" w:space="0" w:color="auto"/>
              </w:divBdr>
            </w:div>
            <w:div w:id="989558192">
              <w:marLeft w:val="0"/>
              <w:marRight w:val="0"/>
              <w:marTop w:val="0"/>
              <w:marBottom w:val="0"/>
              <w:divBdr>
                <w:top w:val="none" w:sz="0" w:space="0" w:color="auto"/>
                <w:left w:val="none" w:sz="0" w:space="0" w:color="auto"/>
                <w:bottom w:val="none" w:sz="0" w:space="0" w:color="auto"/>
                <w:right w:val="none" w:sz="0" w:space="0" w:color="auto"/>
              </w:divBdr>
            </w:div>
            <w:div w:id="1457485722">
              <w:marLeft w:val="0"/>
              <w:marRight w:val="0"/>
              <w:marTop w:val="0"/>
              <w:marBottom w:val="0"/>
              <w:divBdr>
                <w:top w:val="none" w:sz="0" w:space="0" w:color="auto"/>
                <w:left w:val="none" w:sz="0" w:space="0" w:color="auto"/>
                <w:bottom w:val="none" w:sz="0" w:space="0" w:color="auto"/>
                <w:right w:val="none" w:sz="0" w:space="0" w:color="auto"/>
              </w:divBdr>
            </w:div>
            <w:div w:id="1731070579">
              <w:marLeft w:val="0"/>
              <w:marRight w:val="0"/>
              <w:marTop w:val="0"/>
              <w:marBottom w:val="0"/>
              <w:divBdr>
                <w:top w:val="none" w:sz="0" w:space="0" w:color="auto"/>
                <w:left w:val="none" w:sz="0" w:space="0" w:color="auto"/>
                <w:bottom w:val="none" w:sz="0" w:space="0" w:color="auto"/>
                <w:right w:val="none" w:sz="0" w:space="0" w:color="auto"/>
              </w:divBdr>
            </w:div>
            <w:div w:id="1736080949">
              <w:marLeft w:val="0"/>
              <w:marRight w:val="0"/>
              <w:marTop w:val="0"/>
              <w:marBottom w:val="0"/>
              <w:divBdr>
                <w:top w:val="none" w:sz="0" w:space="0" w:color="auto"/>
                <w:left w:val="none" w:sz="0" w:space="0" w:color="auto"/>
                <w:bottom w:val="none" w:sz="0" w:space="0" w:color="auto"/>
                <w:right w:val="none" w:sz="0" w:space="0" w:color="auto"/>
              </w:divBdr>
            </w:div>
            <w:div w:id="1752585015">
              <w:marLeft w:val="0"/>
              <w:marRight w:val="0"/>
              <w:marTop w:val="0"/>
              <w:marBottom w:val="0"/>
              <w:divBdr>
                <w:top w:val="none" w:sz="0" w:space="0" w:color="auto"/>
                <w:left w:val="none" w:sz="0" w:space="0" w:color="auto"/>
                <w:bottom w:val="none" w:sz="0" w:space="0" w:color="auto"/>
                <w:right w:val="none" w:sz="0" w:space="0" w:color="auto"/>
              </w:divBdr>
            </w:div>
            <w:div w:id="1778403729">
              <w:marLeft w:val="0"/>
              <w:marRight w:val="0"/>
              <w:marTop w:val="0"/>
              <w:marBottom w:val="0"/>
              <w:divBdr>
                <w:top w:val="none" w:sz="0" w:space="0" w:color="auto"/>
                <w:left w:val="none" w:sz="0" w:space="0" w:color="auto"/>
                <w:bottom w:val="none" w:sz="0" w:space="0" w:color="auto"/>
                <w:right w:val="none" w:sz="0" w:space="0" w:color="auto"/>
              </w:divBdr>
            </w:div>
            <w:div w:id="20848381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28795957">
      <w:bodyDiv w:val="1"/>
      <w:marLeft w:val="0"/>
      <w:marRight w:val="0"/>
      <w:marTop w:val="0"/>
      <w:marBottom w:val="0"/>
      <w:divBdr>
        <w:top w:val="none" w:sz="0" w:space="0" w:color="auto"/>
        <w:left w:val="none" w:sz="0" w:space="0" w:color="auto"/>
        <w:bottom w:val="none" w:sz="0" w:space="0" w:color="auto"/>
        <w:right w:val="none" w:sz="0" w:space="0" w:color="auto"/>
      </w:divBdr>
      <w:divsChild>
        <w:div w:id="516580039">
          <w:marLeft w:val="547"/>
          <w:marRight w:val="0"/>
          <w:marTop w:val="134"/>
          <w:marBottom w:val="0"/>
          <w:divBdr>
            <w:top w:val="none" w:sz="0" w:space="0" w:color="auto"/>
            <w:left w:val="none" w:sz="0" w:space="0" w:color="auto"/>
            <w:bottom w:val="none" w:sz="0" w:space="0" w:color="auto"/>
            <w:right w:val="none" w:sz="0" w:space="0" w:color="auto"/>
          </w:divBdr>
        </w:div>
      </w:divsChild>
    </w:div>
    <w:div w:id="329678679">
      <w:bodyDiv w:val="1"/>
      <w:marLeft w:val="0"/>
      <w:marRight w:val="0"/>
      <w:marTop w:val="0"/>
      <w:marBottom w:val="0"/>
      <w:divBdr>
        <w:top w:val="none" w:sz="0" w:space="0" w:color="auto"/>
        <w:left w:val="none" w:sz="0" w:space="0" w:color="auto"/>
        <w:bottom w:val="none" w:sz="0" w:space="0" w:color="auto"/>
        <w:right w:val="none" w:sz="0" w:space="0" w:color="auto"/>
      </w:divBdr>
    </w:div>
    <w:div w:id="329910386">
      <w:bodyDiv w:val="1"/>
      <w:marLeft w:val="0"/>
      <w:marRight w:val="0"/>
      <w:marTop w:val="0"/>
      <w:marBottom w:val="0"/>
      <w:divBdr>
        <w:top w:val="none" w:sz="0" w:space="0" w:color="auto"/>
        <w:left w:val="none" w:sz="0" w:space="0" w:color="auto"/>
        <w:bottom w:val="none" w:sz="0" w:space="0" w:color="auto"/>
        <w:right w:val="none" w:sz="0" w:space="0" w:color="auto"/>
      </w:divBdr>
    </w:div>
    <w:div w:id="329913621">
      <w:bodyDiv w:val="1"/>
      <w:marLeft w:val="0"/>
      <w:marRight w:val="0"/>
      <w:marTop w:val="0"/>
      <w:marBottom w:val="0"/>
      <w:divBdr>
        <w:top w:val="none" w:sz="0" w:space="0" w:color="auto"/>
        <w:left w:val="none" w:sz="0" w:space="0" w:color="auto"/>
        <w:bottom w:val="none" w:sz="0" w:space="0" w:color="auto"/>
        <w:right w:val="none" w:sz="0" w:space="0" w:color="auto"/>
      </w:divBdr>
    </w:div>
    <w:div w:id="330110220">
      <w:bodyDiv w:val="1"/>
      <w:marLeft w:val="0"/>
      <w:marRight w:val="0"/>
      <w:marTop w:val="0"/>
      <w:marBottom w:val="0"/>
      <w:divBdr>
        <w:top w:val="none" w:sz="0" w:space="0" w:color="auto"/>
        <w:left w:val="none" w:sz="0" w:space="0" w:color="auto"/>
        <w:bottom w:val="none" w:sz="0" w:space="0" w:color="auto"/>
        <w:right w:val="none" w:sz="0" w:space="0" w:color="auto"/>
      </w:divBdr>
      <w:divsChild>
        <w:div w:id="1341083384">
          <w:marLeft w:val="0"/>
          <w:marRight w:val="0"/>
          <w:marTop w:val="0"/>
          <w:marBottom w:val="0"/>
          <w:divBdr>
            <w:top w:val="none" w:sz="0" w:space="0" w:color="auto"/>
            <w:left w:val="none" w:sz="0" w:space="0" w:color="auto"/>
            <w:bottom w:val="none" w:sz="0" w:space="0" w:color="auto"/>
            <w:right w:val="none" w:sz="0" w:space="0" w:color="auto"/>
          </w:divBdr>
          <w:divsChild>
            <w:div w:id="1142691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30374928">
      <w:bodyDiv w:val="1"/>
      <w:marLeft w:val="0"/>
      <w:marRight w:val="0"/>
      <w:marTop w:val="0"/>
      <w:marBottom w:val="0"/>
      <w:divBdr>
        <w:top w:val="none" w:sz="0" w:space="0" w:color="auto"/>
        <w:left w:val="none" w:sz="0" w:space="0" w:color="auto"/>
        <w:bottom w:val="none" w:sz="0" w:space="0" w:color="auto"/>
        <w:right w:val="none" w:sz="0" w:space="0" w:color="auto"/>
      </w:divBdr>
      <w:divsChild>
        <w:div w:id="656493350">
          <w:marLeft w:val="1166"/>
          <w:marRight w:val="0"/>
          <w:marTop w:val="115"/>
          <w:marBottom w:val="0"/>
          <w:divBdr>
            <w:top w:val="none" w:sz="0" w:space="0" w:color="auto"/>
            <w:left w:val="none" w:sz="0" w:space="0" w:color="auto"/>
            <w:bottom w:val="none" w:sz="0" w:space="0" w:color="auto"/>
            <w:right w:val="none" w:sz="0" w:space="0" w:color="auto"/>
          </w:divBdr>
        </w:div>
        <w:div w:id="1108887119">
          <w:marLeft w:val="1800"/>
          <w:marRight w:val="0"/>
          <w:marTop w:val="96"/>
          <w:marBottom w:val="0"/>
          <w:divBdr>
            <w:top w:val="none" w:sz="0" w:space="0" w:color="auto"/>
            <w:left w:val="none" w:sz="0" w:space="0" w:color="auto"/>
            <w:bottom w:val="none" w:sz="0" w:space="0" w:color="auto"/>
            <w:right w:val="none" w:sz="0" w:space="0" w:color="auto"/>
          </w:divBdr>
        </w:div>
        <w:div w:id="1570577485">
          <w:marLeft w:val="2520"/>
          <w:marRight w:val="0"/>
          <w:marTop w:val="77"/>
          <w:marBottom w:val="0"/>
          <w:divBdr>
            <w:top w:val="none" w:sz="0" w:space="0" w:color="auto"/>
            <w:left w:val="none" w:sz="0" w:space="0" w:color="auto"/>
            <w:bottom w:val="none" w:sz="0" w:space="0" w:color="auto"/>
            <w:right w:val="none" w:sz="0" w:space="0" w:color="auto"/>
          </w:divBdr>
        </w:div>
        <w:div w:id="1951546997">
          <w:marLeft w:val="547"/>
          <w:marRight w:val="0"/>
          <w:marTop w:val="134"/>
          <w:marBottom w:val="0"/>
          <w:divBdr>
            <w:top w:val="none" w:sz="0" w:space="0" w:color="auto"/>
            <w:left w:val="none" w:sz="0" w:space="0" w:color="auto"/>
            <w:bottom w:val="none" w:sz="0" w:space="0" w:color="auto"/>
            <w:right w:val="none" w:sz="0" w:space="0" w:color="auto"/>
          </w:divBdr>
        </w:div>
        <w:div w:id="2040231047">
          <w:marLeft w:val="1166"/>
          <w:marRight w:val="0"/>
          <w:marTop w:val="115"/>
          <w:marBottom w:val="0"/>
          <w:divBdr>
            <w:top w:val="none" w:sz="0" w:space="0" w:color="auto"/>
            <w:left w:val="none" w:sz="0" w:space="0" w:color="auto"/>
            <w:bottom w:val="none" w:sz="0" w:space="0" w:color="auto"/>
            <w:right w:val="none" w:sz="0" w:space="0" w:color="auto"/>
          </w:divBdr>
        </w:div>
        <w:div w:id="2092501362">
          <w:marLeft w:val="1800"/>
          <w:marRight w:val="0"/>
          <w:marTop w:val="96"/>
          <w:marBottom w:val="0"/>
          <w:divBdr>
            <w:top w:val="none" w:sz="0" w:space="0" w:color="auto"/>
            <w:left w:val="none" w:sz="0" w:space="0" w:color="auto"/>
            <w:bottom w:val="none" w:sz="0" w:space="0" w:color="auto"/>
            <w:right w:val="none" w:sz="0" w:space="0" w:color="auto"/>
          </w:divBdr>
        </w:div>
      </w:divsChild>
    </w:div>
    <w:div w:id="330452286">
      <w:bodyDiv w:val="1"/>
      <w:marLeft w:val="0"/>
      <w:marRight w:val="0"/>
      <w:marTop w:val="0"/>
      <w:marBottom w:val="0"/>
      <w:divBdr>
        <w:top w:val="none" w:sz="0" w:space="0" w:color="auto"/>
        <w:left w:val="none" w:sz="0" w:space="0" w:color="auto"/>
        <w:bottom w:val="none" w:sz="0" w:space="0" w:color="auto"/>
        <w:right w:val="none" w:sz="0" w:space="0" w:color="auto"/>
      </w:divBdr>
    </w:div>
    <w:div w:id="330523915">
      <w:bodyDiv w:val="1"/>
      <w:marLeft w:val="0"/>
      <w:marRight w:val="0"/>
      <w:marTop w:val="0"/>
      <w:marBottom w:val="0"/>
      <w:divBdr>
        <w:top w:val="none" w:sz="0" w:space="0" w:color="auto"/>
        <w:left w:val="none" w:sz="0" w:space="0" w:color="auto"/>
        <w:bottom w:val="none" w:sz="0" w:space="0" w:color="auto"/>
        <w:right w:val="none" w:sz="0" w:space="0" w:color="auto"/>
      </w:divBdr>
    </w:div>
    <w:div w:id="331955513">
      <w:bodyDiv w:val="1"/>
      <w:marLeft w:val="0"/>
      <w:marRight w:val="0"/>
      <w:marTop w:val="0"/>
      <w:marBottom w:val="0"/>
      <w:divBdr>
        <w:top w:val="none" w:sz="0" w:space="0" w:color="auto"/>
        <w:left w:val="none" w:sz="0" w:space="0" w:color="auto"/>
        <w:bottom w:val="none" w:sz="0" w:space="0" w:color="auto"/>
        <w:right w:val="none" w:sz="0" w:space="0" w:color="auto"/>
      </w:divBdr>
      <w:divsChild>
        <w:div w:id="78597536">
          <w:marLeft w:val="1166"/>
          <w:marRight w:val="0"/>
          <w:marTop w:val="96"/>
          <w:marBottom w:val="0"/>
          <w:divBdr>
            <w:top w:val="none" w:sz="0" w:space="0" w:color="auto"/>
            <w:left w:val="none" w:sz="0" w:space="0" w:color="auto"/>
            <w:bottom w:val="none" w:sz="0" w:space="0" w:color="auto"/>
            <w:right w:val="none" w:sz="0" w:space="0" w:color="auto"/>
          </w:divBdr>
        </w:div>
        <w:div w:id="1025060207">
          <w:marLeft w:val="547"/>
          <w:marRight w:val="0"/>
          <w:marTop w:val="115"/>
          <w:marBottom w:val="0"/>
          <w:divBdr>
            <w:top w:val="none" w:sz="0" w:space="0" w:color="auto"/>
            <w:left w:val="none" w:sz="0" w:space="0" w:color="auto"/>
            <w:bottom w:val="none" w:sz="0" w:space="0" w:color="auto"/>
            <w:right w:val="none" w:sz="0" w:space="0" w:color="auto"/>
          </w:divBdr>
        </w:div>
        <w:div w:id="1698240997">
          <w:marLeft w:val="547"/>
          <w:marRight w:val="0"/>
          <w:marTop w:val="115"/>
          <w:marBottom w:val="0"/>
          <w:divBdr>
            <w:top w:val="none" w:sz="0" w:space="0" w:color="auto"/>
            <w:left w:val="none" w:sz="0" w:space="0" w:color="auto"/>
            <w:bottom w:val="none" w:sz="0" w:space="0" w:color="auto"/>
            <w:right w:val="none" w:sz="0" w:space="0" w:color="auto"/>
          </w:divBdr>
        </w:div>
        <w:div w:id="2035694136">
          <w:marLeft w:val="1166"/>
          <w:marRight w:val="0"/>
          <w:marTop w:val="96"/>
          <w:marBottom w:val="0"/>
          <w:divBdr>
            <w:top w:val="none" w:sz="0" w:space="0" w:color="auto"/>
            <w:left w:val="none" w:sz="0" w:space="0" w:color="auto"/>
            <w:bottom w:val="none" w:sz="0" w:space="0" w:color="auto"/>
            <w:right w:val="none" w:sz="0" w:space="0" w:color="auto"/>
          </w:divBdr>
        </w:div>
      </w:divsChild>
    </w:div>
    <w:div w:id="332146887">
      <w:bodyDiv w:val="1"/>
      <w:marLeft w:val="0"/>
      <w:marRight w:val="0"/>
      <w:marTop w:val="0"/>
      <w:marBottom w:val="0"/>
      <w:divBdr>
        <w:top w:val="none" w:sz="0" w:space="0" w:color="auto"/>
        <w:left w:val="none" w:sz="0" w:space="0" w:color="auto"/>
        <w:bottom w:val="none" w:sz="0" w:space="0" w:color="auto"/>
        <w:right w:val="none" w:sz="0" w:space="0" w:color="auto"/>
      </w:divBdr>
      <w:divsChild>
        <w:div w:id="170141252">
          <w:marLeft w:val="0"/>
          <w:marRight w:val="0"/>
          <w:marTop w:val="0"/>
          <w:marBottom w:val="0"/>
          <w:divBdr>
            <w:top w:val="none" w:sz="0" w:space="0" w:color="auto"/>
            <w:left w:val="none" w:sz="0" w:space="0" w:color="auto"/>
            <w:bottom w:val="none" w:sz="0" w:space="0" w:color="auto"/>
            <w:right w:val="none" w:sz="0" w:space="0" w:color="auto"/>
          </w:divBdr>
        </w:div>
        <w:div w:id="170803305">
          <w:marLeft w:val="0"/>
          <w:marRight w:val="0"/>
          <w:marTop w:val="0"/>
          <w:marBottom w:val="0"/>
          <w:divBdr>
            <w:top w:val="none" w:sz="0" w:space="0" w:color="auto"/>
            <w:left w:val="none" w:sz="0" w:space="0" w:color="auto"/>
            <w:bottom w:val="none" w:sz="0" w:space="0" w:color="auto"/>
            <w:right w:val="none" w:sz="0" w:space="0" w:color="auto"/>
          </w:divBdr>
        </w:div>
        <w:div w:id="217013144">
          <w:marLeft w:val="0"/>
          <w:marRight w:val="0"/>
          <w:marTop w:val="0"/>
          <w:marBottom w:val="0"/>
          <w:divBdr>
            <w:top w:val="none" w:sz="0" w:space="0" w:color="auto"/>
            <w:left w:val="none" w:sz="0" w:space="0" w:color="auto"/>
            <w:bottom w:val="none" w:sz="0" w:space="0" w:color="auto"/>
            <w:right w:val="none" w:sz="0" w:space="0" w:color="auto"/>
          </w:divBdr>
        </w:div>
        <w:div w:id="285697592">
          <w:marLeft w:val="0"/>
          <w:marRight w:val="0"/>
          <w:marTop w:val="0"/>
          <w:marBottom w:val="0"/>
          <w:divBdr>
            <w:top w:val="none" w:sz="0" w:space="0" w:color="auto"/>
            <w:left w:val="none" w:sz="0" w:space="0" w:color="auto"/>
            <w:bottom w:val="none" w:sz="0" w:space="0" w:color="auto"/>
            <w:right w:val="none" w:sz="0" w:space="0" w:color="auto"/>
          </w:divBdr>
        </w:div>
        <w:div w:id="324742985">
          <w:marLeft w:val="0"/>
          <w:marRight w:val="0"/>
          <w:marTop w:val="0"/>
          <w:marBottom w:val="0"/>
          <w:divBdr>
            <w:top w:val="none" w:sz="0" w:space="0" w:color="auto"/>
            <w:left w:val="none" w:sz="0" w:space="0" w:color="auto"/>
            <w:bottom w:val="none" w:sz="0" w:space="0" w:color="auto"/>
            <w:right w:val="none" w:sz="0" w:space="0" w:color="auto"/>
          </w:divBdr>
        </w:div>
        <w:div w:id="340472900">
          <w:marLeft w:val="0"/>
          <w:marRight w:val="0"/>
          <w:marTop w:val="0"/>
          <w:marBottom w:val="0"/>
          <w:divBdr>
            <w:top w:val="none" w:sz="0" w:space="0" w:color="auto"/>
            <w:left w:val="none" w:sz="0" w:space="0" w:color="auto"/>
            <w:bottom w:val="none" w:sz="0" w:space="0" w:color="auto"/>
            <w:right w:val="none" w:sz="0" w:space="0" w:color="auto"/>
          </w:divBdr>
        </w:div>
        <w:div w:id="345132142">
          <w:marLeft w:val="0"/>
          <w:marRight w:val="0"/>
          <w:marTop w:val="0"/>
          <w:marBottom w:val="0"/>
          <w:divBdr>
            <w:top w:val="none" w:sz="0" w:space="0" w:color="auto"/>
            <w:left w:val="none" w:sz="0" w:space="0" w:color="auto"/>
            <w:bottom w:val="none" w:sz="0" w:space="0" w:color="auto"/>
            <w:right w:val="none" w:sz="0" w:space="0" w:color="auto"/>
          </w:divBdr>
        </w:div>
        <w:div w:id="352734307">
          <w:marLeft w:val="0"/>
          <w:marRight w:val="0"/>
          <w:marTop w:val="0"/>
          <w:marBottom w:val="0"/>
          <w:divBdr>
            <w:top w:val="none" w:sz="0" w:space="0" w:color="auto"/>
            <w:left w:val="none" w:sz="0" w:space="0" w:color="auto"/>
            <w:bottom w:val="none" w:sz="0" w:space="0" w:color="auto"/>
            <w:right w:val="none" w:sz="0" w:space="0" w:color="auto"/>
          </w:divBdr>
        </w:div>
        <w:div w:id="370224942">
          <w:marLeft w:val="0"/>
          <w:marRight w:val="0"/>
          <w:marTop w:val="0"/>
          <w:marBottom w:val="0"/>
          <w:divBdr>
            <w:top w:val="none" w:sz="0" w:space="0" w:color="auto"/>
            <w:left w:val="none" w:sz="0" w:space="0" w:color="auto"/>
            <w:bottom w:val="none" w:sz="0" w:space="0" w:color="auto"/>
            <w:right w:val="none" w:sz="0" w:space="0" w:color="auto"/>
          </w:divBdr>
        </w:div>
        <w:div w:id="372929821">
          <w:marLeft w:val="0"/>
          <w:marRight w:val="0"/>
          <w:marTop w:val="0"/>
          <w:marBottom w:val="0"/>
          <w:divBdr>
            <w:top w:val="none" w:sz="0" w:space="0" w:color="auto"/>
            <w:left w:val="none" w:sz="0" w:space="0" w:color="auto"/>
            <w:bottom w:val="none" w:sz="0" w:space="0" w:color="auto"/>
            <w:right w:val="none" w:sz="0" w:space="0" w:color="auto"/>
          </w:divBdr>
        </w:div>
        <w:div w:id="414517304">
          <w:marLeft w:val="0"/>
          <w:marRight w:val="0"/>
          <w:marTop w:val="0"/>
          <w:marBottom w:val="0"/>
          <w:divBdr>
            <w:top w:val="none" w:sz="0" w:space="0" w:color="auto"/>
            <w:left w:val="none" w:sz="0" w:space="0" w:color="auto"/>
            <w:bottom w:val="none" w:sz="0" w:space="0" w:color="auto"/>
            <w:right w:val="none" w:sz="0" w:space="0" w:color="auto"/>
          </w:divBdr>
        </w:div>
        <w:div w:id="417363360">
          <w:marLeft w:val="0"/>
          <w:marRight w:val="0"/>
          <w:marTop w:val="0"/>
          <w:marBottom w:val="0"/>
          <w:divBdr>
            <w:top w:val="none" w:sz="0" w:space="0" w:color="auto"/>
            <w:left w:val="none" w:sz="0" w:space="0" w:color="auto"/>
            <w:bottom w:val="none" w:sz="0" w:space="0" w:color="auto"/>
            <w:right w:val="none" w:sz="0" w:space="0" w:color="auto"/>
          </w:divBdr>
        </w:div>
        <w:div w:id="515076452">
          <w:marLeft w:val="0"/>
          <w:marRight w:val="0"/>
          <w:marTop w:val="0"/>
          <w:marBottom w:val="0"/>
          <w:divBdr>
            <w:top w:val="none" w:sz="0" w:space="0" w:color="auto"/>
            <w:left w:val="none" w:sz="0" w:space="0" w:color="auto"/>
            <w:bottom w:val="none" w:sz="0" w:space="0" w:color="auto"/>
            <w:right w:val="none" w:sz="0" w:space="0" w:color="auto"/>
          </w:divBdr>
        </w:div>
        <w:div w:id="560943906">
          <w:marLeft w:val="0"/>
          <w:marRight w:val="0"/>
          <w:marTop w:val="0"/>
          <w:marBottom w:val="0"/>
          <w:divBdr>
            <w:top w:val="none" w:sz="0" w:space="0" w:color="auto"/>
            <w:left w:val="none" w:sz="0" w:space="0" w:color="auto"/>
            <w:bottom w:val="none" w:sz="0" w:space="0" w:color="auto"/>
            <w:right w:val="none" w:sz="0" w:space="0" w:color="auto"/>
          </w:divBdr>
        </w:div>
        <w:div w:id="588200759">
          <w:marLeft w:val="0"/>
          <w:marRight w:val="0"/>
          <w:marTop w:val="0"/>
          <w:marBottom w:val="0"/>
          <w:divBdr>
            <w:top w:val="none" w:sz="0" w:space="0" w:color="auto"/>
            <w:left w:val="none" w:sz="0" w:space="0" w:color="auto"/>
            <w:bottom w:val="none" w:sz="0" w:space="0" w:color="auto"/>
            <w:right w:val="none" w:sz="0" w:space="0" w:color="auto"/>
          </w:divBdr>
        </w:div>
        <w:div w:id="946087312">
          <w:marLeft w:val="0"/>
          <w:marRight w:val="0"/>
          <w:marTop w:val="0"/>
          <w:marBottom w:val="0"/>
          <w:divBdr>
            <w:top w:val="none" w:sz="0" w:space="0" w:color="auto"/>
            <w:left w:val="none" w:sz="0" w:space="0" w:color="auto"/>
            <w:bottom w:val="none" w:sz="0" w:space="0" w:color="auto"/>
            <w:right w:val="none" w:sz="0" w:space="0" w:color="auto"/>
          </w:divBdr>
        </w:div>
        <w:div w:id="952400030">
          <w:marLeft w:val="0"/>
          <w:marRight w:val="0"/>
          <w:marTop w:val="0"/>
          <w:marBottom w:val="0"/>
          <w:divBdr>
            <w:top w:val="none" w:sz="0" w:space="0" w:color="auto"/>
            <w:left w:val="none" w:sz="0" w:space="0" w:color="auto"/>
            <w:bottom w:val="none" w:sz="0" w:space="0" w:color="auto"/>
            <w:right w:val="none" w:sz="0" w:space="0" w:color="auto"/>
          </w:divBdr>
        </w:div>
        <w:div w:id="1049843063">
          <w:marLeft w:val="0"/>
          <w:marRight w:val="0"/>
          <w:marTop w:val="0"/>
          <w:marBottom w:val="0"/>
          <w:divBdr>
            <w:top w:val="none" w:sz="0" w:space="0" w:color="auto"/>
            <w:left w:val="none" w:sz="0" w:space="0" w:color="auto"/>
            <w:bottom w:val="none" w:sz="0" w:space="0" w:color="auto"/>
            <w:right w:val="none" w:sz="0" w:space="0" w:color="auto"/>
          </w:divBdr>
        </w:div>
        <w:div w:id="1077286385">
          <w:marLeft w:val="0"/>
          <w:marRight w:val="0"/>
          <w:marTop w:val="0"/>
          <w:marBottom w:val="0"/>
          <w:divBdr>
            <w:top w:val="none" w:sz="0" w:space="0" w:color="auto"/>
            <w:left w:val="none" w:sz="0" w:space="0" w:color="auto"/>
            <w:bottom w:val="none" w:sz="0" w:space="0" w:color="auto"/>
            <w:right w:val="none" w:sz="0" w:space="0" w:color="auto"/>
          </w:divBdr>
        </w:div>
        <w:div w:id="1148404104">
          <w:marLeft w:val="0"/>
          <w:marRight w:val="0"/>
          <w:marTop w:val="0"/>
          <w:marBottom w:val="0"/>
          <w:divBdr>
            <w:top w:val="none" w:sz="0" w:space="0" w:color="auto"/>
            <w:left w:val="none" w:sz="0" w:space="0" w:color="auto"/>
            <w:bottom w:val="none" w:sz="0" w:space="0" w:color="auto"/>
            <w:right w:val="none" w:sz="0" w:space="0" w:color="auto"/>
          </w:divBdr>
        </w:div>
        <w:div w:id="1213493609">
          <w:marLeft w:val="0"/>
          <w:marRight w:val="0"/>
          <w:marTop w:val="0"/>
          <w:marBottom w:val="0"/>
          <w:divBdr>
            <w:top w:val="none" w:sz="0" w:space="0" w:color="auto"/>
            <w:left w:val="none" w:sz="0" w:space="0" w:color="auto"/>
            <w:bottom w:val="none" w:sz="0" w:space="0" w:color="auto"/>
            <w:right w:val="none" w:sz="0" w:space="0" w:color="auto"/>
          </w:divBdr>
        </w:div>
        <w:div w:id="1300961826">
          <w:marLeft w:val="0"/>
          <w:marRight w:val="0"/>
          <w:marTop w:val="0"/>
          <w:marBottom w:val="0"/>
          <w:divBdr>
            <w:top w:val="none" w:sz="0" w:space="0" w:color="auto"/>
            <w:left w:val="none" w:sz="0" w:space="0" w:color="auto"/>
            <w:bottom w:val="none" w:sz="0" w:space="0" w:color="auto"/>
            <w:right w:val="none" w:sz="0" w:space="0" w:color="auto"/>
          </w:divBdr>
        </w:div>
        <w:div w:id="1358506528">
          <w:marLeft w:val="0"/>
          <w:marRight w:val="0"/>
          <w:marTop w:val="0"/>
          <w:marBottom w:val="0"/>
          <w:divBdr>
            <w:top w:val="none" w:sz="0" w:space="0" w:color="auto"/>
            <w:left w:val="none" w:sz="0" w:space="0" w:color="auto"/>
            <w:bottom w:val="none" w:sz="0" w:space="0" w:color="auto"/>
            <w:right w:val="none" w:sz="0" w:space="0" w:color="auto"/>
          </w:divBdr>
        </w:div>
        <w:div w:id="1447844837">
          <w:marLeft w:val="0"/>
          <w:marRight w:val="0"/>
          <w:marTop w:val="0"/>
          <w:marBottom w:val="0"/>
          <w:divBdr>
            <w:top w:val="none" w:sz="0" w:space="0" w:color="auto"/>
            <w:left w:val="none" w:sz="0" w:space="0" w:color="auto"/>
            <w:bottom w:val="none" w:sz="0" w:space="0" w:color="auto"/>
            <w:right w:val="none" w:sz="0" w:space="0" w:color="auto"/>
          </w:divBdr>
        </w:div>
        <w:div w:id="1690569786">
          <w:marLeft w:val="0"/>
          <w:marRight w:val="0"/>
          <w:marTop w:val="0"/>
          <w:marBottom w:val="0"/>
          <w:divBdr>
            <w:top w:val="none" w:sz="0" w:space="0" w:color="auto"/>
            <w:left w:val="none" w:sz="0" w:space="0" w:color="auto"/>
            <w:bottom w:val="none" w:sz="0" w:space="0" w:color="auto"/>
            <w:right w:val="none" w:sz="0" w:space="0" w:color="auto"/>
          </w:divBdr>
        </w:div>
        <w:div w:id="1708606031">
          <w:marLeft w:val="0"/>
          <w:marRight w:val="0"/>
          <w:marTop w:val="0"/>
          <w:marBottom w:val="0"/>
          <w:divBdr>
            <w:top w:val="none" w:sz="0" w:space="0" w:color="auto"/>
            <w:left w:val="none" w:sz="0" w:space="0" w:color="auto"/>
            <w:bottom w:val="none" w:sz="0" w:space="0" w:color="auto"/>
            <w:right w:val="none" w:sz="0" w:space="0" w:color="auto"/>
          </w:divBdr>
        </w:div>
        <w:div w:id="1891964437">
          <w:marLeft w:val="0"/>
          <w:marRight w:val="0"/>
          <w:marTop w:val="0"/>
          <w:marBottom w:val="0"/>
          <w:divBdr>
            <w:top w:val="none" w:sz="0" w:space="0" w:color="auto"/>
            <w:left w:val="none" w:sz="0" w:space="0" w:color="auto"/>
            <w:bottom w:val="none" w:sz="0" w:space="0" w:color="auto"/>
            <w:right w:val="none" w:sz="0" w:space="0" w:color="auto"/>
          </w:divBdr>
        </w:div>
        <w:div w:id="1893032563">
          <w:marLeft w:val="0"/>
          <w:marRight w:val="0"/>
          <w:marTop w:val="0"/>
          <w:marBottom w:val="0"/>
          <w:divBdr>
            <w:top w:val="none" w:sz="0" w:space="0" w:color="auto"/>
            <w:left w:val="none" w:sz="0" w:space="0" w:color="auto"/>
            <w:bottom w:val="none" w:sz="0" w:space="0" w:color="auto"/>
            <w:right w:val="none" w:sz="0" w:space="0" w:color="auto"/>
          </w:divBdr>
        </w:div>
        <w:div w:id="1936014464">
          <w:marLeft w:val="0"/>
          <w:marRight w:val="0"/>
          <w:marTop w:val="0"/>
          <w:marBottom w:val="0"/>
          <w:divBdr>
            <w:top w:val="none" w:sz="0" w:space="0" w:color="auto"/>
            <w:left w:val="none" w:sz="0" w:space="0" w:color="auto"/>
            <w:bottom w:val="none" w:sz="0" w:space="0" w:color="auto"/>
            <w:right w:val="none" w:sz="0" w:space="0" w:color="auto"/>
          </w:divBdr>
        </w:div>
      </w:divsChild>
    </w:div>
    <w:div w:id="332924799">
      <w:bodyDiv w:val="1"/>
      <w:marLeft w:val="0"/>
      <w:marRight w:val="0"/>
      <w:marTop w:val="0"/>
      <w:marBottom w:val="0"/>
      <w:divBdr>
        <w:top w:val="none" w:sz="0" w:space="0" w:color="auto"/>
        <w:left w:val="none" w:sz="0" w:space="0" w:color="auto"/>
        <w:bottom w:val="none" w:sz="0" w:space="0" w:color="auto"/>
        <w:right w:val="none" w:sz="0" w:space="0" w:color="auto"/>
      </w:divBdr>
    </w:div>
    <w:div w:id="333534515">
      <w:bodyDiv w:val="1"/>
      <w:marLeft w:val="0"/>
      <w:marRight w:val="0"/>
      <w:marTop w:val="0"/>
      <w:marBottom w:val="0"/>
      <w:divBdr>
        <w:top w:val="none" w:sz="0" w:space="0" w:color="auto"/>
        <w:left w:val="none" w:sz="0" w:space="0" w:color="auto"/>
        <w:bottom w:val="none" w:sz="0" w:space="0" w:color="auto"/>
        <w:right w:val="none" w:sz="0" w:space="0" w:color="auto"/>
      </w:divBdr>
    </w:div>
    <w:div w:id="334114548">
      <w:bodyDiv w:val="1"/>
      <w:marLeft w:val="0"/>
      <w:marRight w:val="0"/>
      <w:marTop w:val="0"/>
      <w:marBottom w:val="0"/>
      <w:divBdr>
        <w:top w:val="none" w:sz="0" w:space="0" w:color="auto"/>
        <w:left w:val="none" w:sz="0" w:space="0" w:color="auto"/>
        <w:bottom w:val="none" w:sz="0" w:space="0" w:color="auto"/>
        <w:right w:val="none" w:sz="0" w:space="0" w:color="auto"/>
      </w:divBdr>
    </w:div>
    <w:div w:id="334190463">
      <w:bodyDiv w:val="1"/>
      <w:marLeft w:val="0"/>
      <w:marRight w:val="0"/>
      <w:marTop w:val="0"/>
      <w:marBottom w:val="0"/>
      <w:divBdr>
        <w:top w:val="none" w:sz="0" w:space="0" w:color="auto"/>
        <w:left w:val="none" w:sz="0" w:space="0" w:color="auto"/>
        <w:bottom w:val="none" w:sz="0" w:space="0" w:color="auto"/>
        <w:right w:val="none" w:sz="0" w:space="0" w:color="auto"/>
      </w:divBdr>
    </w:div>
    <w:div w:id="334503576">
      <w:bodyDiv w:val="1"/>
      <w:marLeft w:val="0"/>
      <w:marRight w:val="0"/>
      <w:marTop w:val="0"/>
      <w:marBottom w:val="0"/>
      <w:divBdr>
        <w:top w:val="none" w:sz="0" w:space="0" w:color="auto"/>
        <w:left w:val="none" w:sz="0" w:space="0" w:color="auto"/>
        <w:bottom w:val="none" w:sz="0" w:space="0" w:color="auto"/>
        <w:right w:val="none" w:sz="0" w:space="0" w:color="auto"/>
      </w:divBdr>
      <w:divsChild>
        <w:div w:id="97603821">
          <w:marLeft w:val="1440"/>
          <w:marRight w:val="0"/>
          <w:marTop w:val="0"/>
          <w:marBottom w:val="0"/>
          <w:divBdr>
            <w:top w:val="none" w:sz="0" w:space="0" w:color="auto"/>
            <w:left w:val="none" w:sz="0" w:space="0" w:color="auto"/>
            <w:bottom w:val="none" w:sz="0" w:space="0" w:color="auto"/>
            <w:right w:val="none" w:sz="0" w:space="0" w:color="auto"/>
          </w:divBdr>
        </w:div>
        <w:div w:id="199560361">
          <w:marLeft w:val="720"/>
          <w:marRight w:val="0"/>
          <w:marTop w:val="0"/>
          <w:marBottom w:val="0"/>
          <w:divBdr>
            <w:top w:val="none" w:sz="0" w:space="0" w:color="auto"/>
            <w:left w:val="none" w:sz="0" w:space="0" w:color="auto"/>
            <w:bottom w:val="none" w:sz="0" w:space="0" w:color="auto"/>
            <w:right w:val="none" w:sz="0" w:space="0" w:color="auto"/>
          </w:divBdr>
        </w:div>
        <w:div w:id="327832526">
          <w:marLeft w:val="1440"/>
          <w:marRight w:val="0"/>
          <w:marTop w:val="0"/>
          <w:marBottom w:val="0"/>
          <w:divBdr>
            <w:top w:val="none" w:sz="0" w:space="0" w:color="auto"/>
            <w:left w:val="none" w:sz="0" w:space="0" w:color="auto"/>
            <w:bottom w:val="none" w:sz="0" w:space="0" w:color="auto"/>
            <w:right w:val="none" w:sz="0" w:space="0" w:color="auto"/>
          </w:divBdr>
        </w:div>
        <w:div w:id="767311847">
          <w:marLeft w:val="720"/>
          <w:marRight w:val="0"/>
          <w:marTop w:val="0"/>
          <w:marBottom w:val="0"/>
          <w:divBdr>
            <w:top w:val="none" w:sz="0" w:space="0" w:color="auto"/>
            <w:left w:val="none" w:sz="0" w:space="0" w:color="auto"/>
            <w:bottom w:val="none" w:sz="0" w:space="0" w:color="auto"/>
            <w:right w:val="none" w:sz="0" w:space="0" w:color="auto"/>
          </w:divBdr>
        </w:div>
        <w:div w:id="1190024893">
          <w:marLeft w:val="1440"/>
          <w:marRight w:val="0"/>
          <w:marTop w:val="0"/>
          <w:marBottom w:val="0"/>
          <w:divBdr>
            <w:top w:val="none" w:sz="0" w:space="0" w:color="auto"/>
            <w:left w:val="none" w:sz="0" w:space="0" w:color="auto"/>
            <w:bottom w:val="none" w:sz="0" w:space="0" w:color="auto"/>
            <w:right w:val="none" w:sz="0" w:space="0" w:color="auto"/>
          </w:divBdr>
        </w:div>
        <w:div w:id="1235121474">
          <w:marLeft w:val="1440"/>
          <w:marRight w:val="0"/>
          <w:marTop w:val="0"/>
          <w:marBottom w:val="0"/>
          <w:divBdr>
            <w:top w:val="none" w:sz="0" w:space="0" w:color="auto"/>
            <w:left w:val="none" w:sz="0" w:space="0" w:color="auto"/>
            <w:bottom w:val="none" w:sz="0" w:space="0" w:color="auto"/>
            <w:right w:val="none" w:sz="0" w:space="0" w:color="auto"/>
          </w:divBdr>
        </w:div>
        <w:div w:id="1848254626">
          <w:marLeft w:val="1440"/>
          <w:marRight w:val="0"/>
          <w:marTop w:val="0"/>
          <w:marBottom w:val="0"/>
          <w:divBdr>
            <w:top w:val="none" w:sz="0" w:space="0" w:color="auto"/>
            <w:left w:val="none" w:sz="0" w:space="0" w:color="auto"/>
            <w:bottom w:val="none" w:sz="0" w:space="0" w:color="auto"/>
            <w:right w:val="none" w:sz="0" w:space="0" w:color="auto"/>
          </w:divBdr>
        </w:div>
      </w:divsChild>
    </w:div>
    <w:div w:id="334846744">
      <w:bodyDiv w:val="1"/>
      <w:marLeft w:val="0"/>
      <w:marRight w:val="0"/>
      <w:marTop w:val="0"/>
      <w:marBottom w:val="0"/>
      <w:divBdr>
        <w:top w:val="none" w:sz="0" w:space="0" w:color="auto"/>
        <w:left w:val="none" w:sz="0" w:space="0" w:color="auto"/>
        <w:bottom w:val="none" w:sz="0" w:space="0" w:color="auto"/>
        <w:right w:val="none" w:sz="0" w:space="0" w:color="auto"/>
      </w:divBdr>
    </w:div>
    <w:div w:id="336078520">
      <w:bodyDiv w:val="1"/>
      <w:marLeft w:val="0"/>
      <w:marRight w:val="0"/>
      <w:marTop w:val="0"/>
      <w:marBottom w:val="0"/>
      <w:divBdr>
        <w:top w:val="none" w:sz="0" w:space="0" w:color="auto"/>
        <w:left w:val="none" w:sz="0" w:space="0" w:color="auto"/>
        <w:bottom w:val="none" w:sz="0" w:space="0" w:color="auto"/>
        <w:right w:val="none" w:sz="0" w:space="0" w:color="auto"/>
      </w:divBdr>
      <w:divsChild>
        <w:div w:id="220869644">
          <w:marLeft w:val="360"/>
          <w:marRight w:val="0"/>
          <w:marTop w:val="200"/>
          <w:marBottom w:val="0"/>
          <w:divBdr>
            <w:top w:val="none" w:sz="0" w:space="0" w:color="auto"/>
            <w:left w:val="none" w:sz="0" w:space="0" w:color="auto"/>
            <w:bottom w:val="none" w:sz="0" w:space="0" w:color="auto"/>
            <w:right w:val="none" w:sz="0" w:space="0" w:color="auto"/>
          </w:divBdr>
        </w:div>
        <w:div w:id="275254588">
          <w:marLeft w:val="1800"/>
          <w:marRight w:val="0"/>
          <w:marTop w:val="100"/>
          <w:marBottom w:val="0"/>
          <w:divBdr>
            <w:top w:val="none" w:sz="0" w:space="0" w:color="auto"/>
            <w:left w:val="none" w:sz="0" w:space="0" w:color="auto"/>
            <w:bottom w:val="none" w:sz="0" w:space="0" w:color="auto"/>
            <w:right w:val="none" w:sz="0" w:space="0" w:color="auto"/>
          </w:divBdr>
        </w:div>
        <w:div w:id="899293494">
          <w:marLeft w:val="1080"/>
          <w:marRight w:val="0"/>
          <w:marTop w:val="100"/>
          <w:marBottom w:val="0"/>
          <w:divBdr>
            <w:top w:val="none" w:sz="0" w:space="0" w:color="auto"/>
            <w:left w:val="none" w:sz="0" w:space="0" w:color="auto"/>
            <w:bottom w:val="none" w:sz="0" w:space="0" w:color="auto"/>
            <w:right w:val="none" w:sz="0" w:space="0" w:color="auto"/>
          </w:divBdr>
        </w:div>
        <w:div w:id="905068903">
          <w:marLeft w:val="360"/>
          <w:marRight w:val="0"/>
          <w:marTop w:val="200"/>
          <w:marBottom w:val="0"/>
          <w:divBdr>
            <w:top w:val="none" w:sz="0" w:space="0" w:color="auto"/>
            <w:left w:val="none" w:sz="0" w:space="0" w:color="auto"/>
            <w:bottom w:val="none" w:sz="0" w:space="0" w:color="auto"/>
            <w:right w:val="none" w:sz="0" w:space="0" w:color="auto"/>
          </w:divBdr>
        </w:div>
        <w:div w:id="961618487">
          <w:marLeft w:val="1080"/>
          <w:marRight w:val="0"/>
          <w:marTop w:val="100"/>
          <w:marBottom w:val="0"/>
          <w:divBdr>
            <w:top w:val="none" w:sz="0" w:space="0" w:color="auto"/>
            <w:left w:val="none" w:sz="0" w:space="0" w:color="auto"/>
            <w:bottom w:val="none" w:sz="0" w:space="0" w:color="auto"/>
            <w:right w:val="none" w:sz="0" w:space="0" w:color="auto"/>
          </w:divBdr>
        </w:div>
        <w:div w:id="1287934484">
          <w:marLeft w:val="2520"/>
          <w:marRight w:val="0"/>
          <w:marTop w:val="100"/>
          <w:marBottom w:val="0"/>
          <w:divBdr>
            <w:top w:val="none" w:sz="0" w:space="0" w:color="auto"/>
            <w:left w:val="none" w:sz="0" w:space="0" w:color="auto"/>
            <w:bottom w:val="none" w:sz="0" w:space="0" w:color="auto"/>
            <w:right w:val="none" w:sz="0" w:space="0" w:color="auto"/>
          </w:divBdr>
        </w:div>
        <w:div w:id="1740711040">
          <w:marLeft w:val="1080"/>
          <w:marRight w:val="0"/>
          <w:marTop w:val="100"/>
          <w:marBottom w:val="0"/>
          <w:divBdr>
            <w:top w:val="none" w:sz="0" w:space="0" w:color="auto"/>
            <w:left w:val="none" w:sz="0" w:space="0" w:color="auto"/>
            <w:bottom w:val="none" w:sz="0" w:space="0" w:color="auto"/>
            <w:right w:val="none" w:sz="0" w:space="0" w:color="auto"/>
          </w:divBdr>
        </w:div>
        <w:div w:id="2015961393">
          <w:marLeft w:val="2520"/>
          <w:marRight w:val="0"/>
          <w:marTop w:val="100"/>
          <w:marBottom w:val="0"/>
          <w:divBdr>
            <w:top w:val="none" w:sz="0" w:space="0" w:color="auto"/>
            <w:left w:val="none" w:sz="0" w:space="0" w:color="auto"/>
            <w:bottom w:val="none" w:sz="0" w:space="0" w:color="auto"/>
            <w:right w:val="none" w:sz="0" w:space="0" w:color="auto"/>
          </w:divBdr>
        </w:div>
      </w:divsChild>
    </w:div>
    <w:div w:id="336276769">
      <w:bodyDiv w:val="1"/>
      <w:marLeft w:val="0"/>
      <w:marRight w:val="0"/>
      <w:marTop w:val="0"/>
      <w:marBottom w:val="0"/>
      <w:divBdr>
        <w:top w:val="none" w:sz="0" w:space="0" w:color="auto"/>
        <w:left w:val="none" w:sz="0" w:space="0" w:color="auto"/>
        <w:bottom w:val="none" w:sz="0" w:space="0" w:color="auto"/>
        <w:right w:val="none" w:sz="0" w:space="0" w:color="auto"/>
      </w:divBdr>
    </w:div>
    <w:div w:id="336809898">
      <w:bodyDiv w:val="1"/>
      <w:marLeft w:val="0"/>
      <w:marRight w:val="0"/>
      <w:marTop w:val="0"/>
      <w:marBottom w:val="0"/>
      <w:divBdr>
        <w:top w:val="none" w:sz="0" w:space="0" w:color="auto"/>
        <w:left w:val="none" w:sz="0" w:space="0" w:color="auto"/>
        <w:bottom w:val="none" w:sz="0" w:space="0" w:color="auto"/>
        <w:right w:val="none" w:sz="0" w:space="0" w:color="auto"/>
      </w:divBdr>
    </w:div>
    <w:div w:id="336884874">
      <w:bodyDiv w:val="1"/>
      <w:marLeft w:val="0"/>
      <w:marRight w:val="0"/>
      <w:marTop w:val="0"/>
      <w:marBottom w:val="0"/>
      <w:divBdr>
        <w:top w:val="none" w:sz="0" w:space="0" w:color="auto"/>
        <w:left w:val="none" w:sz="0" w:space="0" w:color="auto"/>
        <w:bottom w:val="none" w:sz="0" w:space="0" w:color="auto"/>
        <w:right w:val="none" w:sz="0" w:space="0" w:color="auto"/>
      </w:divBdr>
    </w:div>
    <w:div w:id="337318251">
      <w:bodyDiv w:val="1"/>
      <w:marLeft w:val="0"/>
      <w:marRight w:val="0"/>
      <w:marTop w:val="0"/>
      <w:marBottom w:val="0"/>
      <w:divBdr>
        <w:top w:val="none" w:sz="0" w:space="0" w:color="auto"/>
        <w:left w:val="none" w:sz="0" w:space="0" w:color="auto"/>
        <w:bottom w:val="none" w:sz="0" w:space="0" w:color="auto"/>
        <w:right w:val="none" w:sz="0" w:space="0" w:color="auto"/>
      </w:divBdr>
    </w:div>
    <w:div w:id="338509334">
      <w:bodyDiv w:val="1"/>
      <w:marLeft w:val="0"/>
      <w:marRight w:val="0"/>
      <w:marTop w:val="0"/>
      <w:marBottom w:val="0"/>
      <w:divBdr>
        <w:top w:val="none" w:sz="0" w:space="0" w:color="auto"/>
        <w:left w:val="none" w:sz="0" w:space="0" w:color="auto"/>
        <w:bottom w:val="none" w:sz="0" w:space="0" w:color="auto"/>
        <w:right w:val="none" w:sz="0" w:space="0" w:color="auto"/>
      </w:divBdr>
      <w:divsChild>
        <w:div w:id="68239615">
          <w:marLeft w:val="1166"/>
          <w:marRight w:val="0"/>
          <w:marTop w:val="125"/>
          <w:marBottom w:val="0"/>
          <w:divBdr>
            <w:top w:val="none" w:sz="0" w:space="0" w:color="auto"/>
            <w:left w:val="none" w:sz="0" w:space="0" w:color="auto"/>
            <w:bottom w:val="none" w:sz="0" w:space="0" w:color="auto"/>
            <w:right w:val="none" w:sz="0" w:space="0" w:color="auto"/>
          </w:divBdr>
        </w:div>
        <w:div w:id="697900939">
          <w:marLeft w:val="1166"/>
          <w:marRight w:val="0"/>
          <w:marTop w:val="125"/>
          <w:marBottom w:val="0"/>
          <w:divBdr>
            <w:top w:val="none" w:sz="0" w:space="0" w:color="auto"/>
            <w:left w:val="none" w:sz="0" w:space="0" w:color="auto"/>
            <w:bottom w:val="none" w:sz="0" w:space="0" w:color="auto"/>
            <w:right w:val="none" w:sz="0" w:space="0" w:color="auto"/>
          </w:divBdr>
        </w:div>
        <w:div w:id="772240514">
          <w:marLeft w:val="1166"/>
          <w:marRight w:val="0"/>
          <w:marTop w:val="125"/>
          <w:marBottom w:val="0"/>
          <w:divBdr>
            <w:top w:val="none" w:sz="0" w:space="0" w:color="auto"/>
            <w:left w:val="none" w:sz="0" w:space="0" w:color="auto"/>
            <w:bottom w:val="none" w:sz="0" w:space="0" w:color="auto"/>
            <w:right w:val="none" w:sz="0" w:space="0" w:color="auto"/>
          </w:divBdr>
        </w:div>
        <w:div w:id="2085029774">
          <w:marLeft w:val="547"/>
          <w:marRight w:val="0"/>
          <w:marTop w:val="144"/>
          <w:marBottom w:val="0"/>
          <w:divBdr>
            <w:top w:val="none" w:sz="0" w:space="0" w:color="auto"/>
            <w:left w:val="none" w:sz="0" w:space="0" w:color="auto"/>
            <w:bottom w:val="none" w:sz="0" w:space="0" w:color="auto"/>
            <w:right w:val="none" w:sz="0" w:space="0" w:color="auto"/>
          </w:divBdr>
        </w:div>
      </w:divsChild>
    </w:div>
    <w:div w:id="338699804">
      <w:bodyDiv w:val="1"/>
      <w:marLeft w:val="0"/>
      <w:marRight w:val="0"/>
      <w:marTop w:val="0"/>
      <w:marBottom w:val="0"/>
      <w:divBdr>
        <w:top w:val="none" w:sz="0" w:space="0" w:color="auto"/>
        <w:left w:val="none" w:sz="0" w:space="0" w:color="auto"/>
        <w:bottom w:val="none" w:sz="0" w:space="0" w:color="auto"/>
        <w:right w:val="none" w:sz="0" w:space="0" w:color="auto"/>
      </w:divBdr>
      <w:divsChild>
        <w:div w:id="642780388">
          <w:marLeft w:val="1800"/>
          <w:marRight w:val="0"/>
          <w:marTop w:val="96"/>
          <w:marBottom w:val="0"/>
          <w:divBdr>
            <w:top w:val="none" w:sz="0" w:space="0" w:color="auto"/>
            <w:left w:val="none" w:sz="0" w:space="0" w:color="auto"/>
            <w:bottom w:val="none" w:sz="0" w:space="0" w:color="auto"/>
            <w:right w:val="none" w:sz="0" w:space="0" w:color="auto"/>
          </w:divBdr>
        </w:div>
        <w:div w:id="693383947">
          <w:marLeft w:val="1800"/>
          <w:marRight w:val="0"/>
          <w:marTop w:val="96"/>
          <w:marBottom w:val="0"/>
          <w:divBdr>
            <w:top w:val="none" w:sz="0" w:space="0" w:color="auto"/>
            <w:left w:val="none" w:sz="0" w:space="0" w:color="auto"/>
            <w:bottom w:val="none" w:sz="0" w:space="0" w:color="auto"/>
            <w:right w:val="none" w:sz="0" w:space="0" w:color="auto"/>
          </w:divBdr>
        </w:div>
        <w:div w:id="1091244879">
          <w:marLeft w:val="1800"/>
          <w:marRight w:val="0"/>
          <w:marTop w:val="96"/>
          <w:marBottom w:val="0"/>
          <w:divBdr>
            <w:top w:val="none" w:sz="0" w:space="0" w:color="auto"/>
            <w:left w:val="none" w:sz="0" w:space="0" w:color="auto"/>
            <w:bottom w:val="none" w:sz="0" w:space="0" w:color="auto"/>
            <w:right w:val="none" w:sz="0" w:space="0" w:color="auto"/>
          </w:divBdr>
        </w:div>
        <w:div w:id="1289312032">
          <w:marLeft w:val="1166"/>
          <w:marRight w:val="0"/>
          <w:marTop w:val="115"/>
          <w:marBottom w:val="0"/>
          <w:divBdr>
            <w:top w:val="none" w:sz="0" w:space="0" w:color="auto"/>
            <w:left w:val="none" w:sz="0" w:space="0" w:color="auto"/>
            <w:bottom w:val="none" w:sz="0" w:space="0" w:color="auto"/>
            <w:right w:val="none" w:sz="0" w:space="0" w:color="auto"/>
          </w:divBdr>
        </w:div>
        <w:div w:id="1315640003">
          <w:marLeft w:val="547"/>
          <w:marRight w:val="0"/>
          <w:marTop w:val="134"/>
          <w:marBottom w:val="0"/>
          <w:divBdr>
            <w:top w:val="none" w:sz="0" w:space="0" w:color="auto"/>
            <w:left w:val="none" w:sz="0" w:space="0" w:color="auto"/>
            <w:bottom w:val="none" w:sz="0" w:space="0" w:color="auto"/>
            <w:right w:val="none" w:sz="0" w:space="0" w:color="auto"/>
          </w:divBdr>
        </w:div>
        <w:div w:id="2084640060">
          <w:marLeft w:val="1166"/>
          <w:marRight w:val="0"/>
          <w:marTop w:val="115"/>
          <w:marBottom w:val="0"/>
          <w:divBdr>
            <w:top w:val="none" w:sz="0" w:space="0" w:color="auto"/>
            <w:left w:val="none" w:sz="0" w:space="0" w:color="auto"/>
            <w:bottom w:val="none" w:sz="0" w:space="0" w:color="auto"/>
            <w:right w:val="none" w:sz="0" w:space="0" w:color="auto"/>
          </w:divBdr>
        </w:div>
      </w:divsChild>
    </w:div>
    <w:div w:id="338964770">
      <w:bodyDiv w:val="1"/>
      <w:marLeft w:val="0"/>
      <w:marRight w:val="0"/>
      <w:marTop w:val="0"/>
      <w:marBottom w:val="0"/>
      <w:divBdr>
        <w:top w:val="none" w:sz="0" w:space="0" w:color="auto"/>
        <w:left w:val="none" w:sz="0" w:space="0" w:color="auto"/>
        <w:bottom w:val="none" w:sz="0" w:space="0" w:color="auto"/>
        <w:right w:val="none" w:sz="0" w:space="0" w:color="auto"/>
      </w:divBdr>
    </w:div>
    <w:div w:id="340088347">
      <w:bodyDiv w:val="1"/>
      <w:marLeft w:val="0"/>
      <w:marRight w:val="0"/>
      <w:marTop w:val="0"/>
      <w:marBottom w:val="0"/>
      <w:divBdr>
        <w:top w:val="none" w:sz="0" w:space="0" w:color="auto"/>
        <w:left w:val="none" w:sz="0" w:space="0" w:color="auto"/>
        <w:bottom w:val="none" w:sz="0" w:space="0" w:color="auto"/>
        <w:right w:val="none" w:sz="0" w:space="0" w:color="auto"/>
      </w:divBdr>
    </w:div>
    <w:div w:id="340812722">
      <w:bodyDiv w:val="1"/>
      <w:marLeft w:val="0"/>
      <w:marRight w:val="0"/>
      <w:marTop w:val="0"/>
      <w:marBottom w:val="0"/>
      <w:divBdr>
        <w:top w:val="none" w:sz="0" w:space="0" w:color="auto"/>
        <w:left w:val="none" w:sz="0" w:space="0" w:color="auto"/>
        <w:bottom w:val="none" w:sz="0" w:space="0" w:color="auto"/>
        <w:right w:val="none" w:sz="0" w:space="0" w:color="auto"/>
      </w:divBdr>
      <w:divsChild>
        <w:div w:id="1688436428">
          <w:marLeft w:val="0"/>
          <w:marRight w:val="0"/>
          <w:marTop w:val="0"/>
          <w:marBottom w:val="0"/>
          <w:divBdr>
            <w:top w:val="none" w:sz="0" w:space="0" w:color="auto"/>
            <w:left w:val="none" w:sz="0" w:space="0" w:color="auto"/>
            <w:bottom w:val="none" w:sz="0" w:space="0" w:color="auto"/>
            <w:right w:val="none" w:sz="0" w:space="0" w:color="auto"/>
          </w:divBdr>
          <w:divsChild>
            <w:div w:id="198514278">
              <w:marLeft w:val="0"/>
              <w:marRight w:val="0"/>
              <w:marTop w:val="0"/>
              <w:marBottom w:val="0"/>
              <w:divBdr>
                <w:top w:val="none" w:sz="0" w:space="0" w:color="auto"/>
                <w:left w:val="none" w:sz="0" w:space="0" w:color="auto"/>
                <w:bottom w:val="none" w:sz="0" w:space="0" w:color="auto"/>
                <w:right w:val="none" w:sz="0" w:space="0" w:color="auto"/>
              </w:divBdr>
            </w:div>
            <w:div w:id="5432975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40856611">
      <w:bodyDiv w:val="1"/>
      <w:marLeft w:val="0"/>
      <w:marRight w:val="0"/>
      <w:marTop w:val="0"/>
      <w:marBottom w:val="0"/>
      <w:divBdr>
        <w:top w:val="none" w:sz="0" w:space="0" w:color="auto"/>
        <w:left w:val="none" w:sz="0" w:space="0" w:color="auto"/>
        <w:bottom w:val="none" w:sz="0" w:space="0" w:color="auto"/>
        <w:right w:val="none" w:sz="0" w:space="0" w:color="auto"/>
      </w:divBdr>
    </w:div>
    <w:div w:id="342321631">
      <w:bodyDiv w:val="1"/>
      <w:marLeft w:val="0"/>
      <w:marRight w:val="0"/>
      <w:marTop w:val="0"/>
      <w:marBottom w:val="0"/>
      <w:divBdr>
        <w:top w:val="none" w:sz="0" w:space="0" w:color="auto"/>
        <w:left w:val="none" w:sz="0" w:space="0" w:color="auto"/>
        <w:bottom w:val="none" w:sz="0" w:space="0" w:color="auto"/>
        <w:right w:val="none" w:sz="0" w:space="0" w:color="auto"/>
      </w:divBdr>
      <w:divsChild>
        <w:div w:id="255484705">
          <w:marLeft w:val="1166"/>
          <w:marRight w:val="0"/>
          <w:marTop w:val="96"/>
          <w:marBottom w:val="0"/>
          <w:divBdr>
            <w:top w:val="none" w:sz="0" w:space="0" w:color="auto"/>
            <w:left w:val="none" w:sz="0" w:space="0" w:color="auto"/>
            <w:bottom w:val="none" w:sz="0" w:space="0" w:color="auto"/>
            <w:right w:val="none" w:sz="0" w:space="0" w:color="auto"/>
          </w:divBdr>
        </w:div>
        <w:div w:id="414740193">
          <w:marLeft w:val="1800"/>
          <w:marRight w:val="0"/>
          <w:marTop w:val="86"/>
          <w:marBottom w:val="0"/>
          <w:divBdr>
            <w:top w:val="none" w:sz="0" w:space="0" w:color="auto"/>
            <w:left w:val="none" w:sz="0" w:space="0" w:color="auto"/>
            <w:bottom w:val="none" w:sz="0" w:space="0" w:color="auto"/>
            <w:right w:val="none" w:sz="0" w:space="0" w:color="auto"/>
          </w:divBdr>
        </w:div>
        <w:div w:id="765033147">
          <w:marLeft w:val="547"/>
          <w:marRight w:val="0"/>
          <w:marTop w:val="115"/>
          <w:marBottom w:val="0"/>
          <w:divBdr>
            <w:top w:val="none" w:sz="0" w:space="0" w:color="auto"/>
            <w:left w:val="none" w:sz="0" w:space="0" w:color="auto"/>
            <w:bottom w:val="none" w:sz="0" w:space="0" w:color="auto"/>
            <w:right w:val="none" w:sz="0" w:space="0" w:color="auto"/>
          </w:divBdr>
        </w:div>
        <w:div w:id="960842424">
          <w:marLeft w:val="1166"/>
          <w:marRight w:val="0"/>
          <w:marTop w:val="96"/>
          <w:marBottom w:val="0"/>
          <w:divBdr>
            <w:top w:val="none" w:sz="0" w:space="0" w:color="auto"/>
            <w:left w:val="none" w:sz="0" w:space="0" w:color="auto"/>
            <w:bottom w:val="none" w:sz="0" w:space="0" w:color="auto"/>
            <w:right w:val="none" w:sz="0" w:space="0" w:color="auto"/>
          </w:divBdr>
        </w:div>
        <w:div w:id="1464226891">
          <w:marLeft w:val="1800"/>
          <w:marRight w:val="0"/>
          <w:marTop w:val="86"/>
          <w:marBottom w:val="0"/>
          <w:divBdr>
            <w:top w:val="none" w:sz="0" w:space="0" w:color="auto"/>
            <w:left w:val="none" w:sz="0" w:space="0" w:color="auto"/>
            <w:bottom w:val="none" w:sz="0" w:space="0" w:color="auto"/>
            <w:right w:val="none" w:sz="0" w:space="0" w:color="auto"/>
          </w:divBdr>
        </w:div>
        <w:div w:id="1968850707">
          <w:marLeft w:val="547"/>
          <w:marRight w:val="0"/>
          <w:marTop w:val="115"/>
          <w:marBottom w:val="0"/>
          <w:divBdr>
            <w:top w:val="none" w:sz="0" w:space="0" w:color="auto"/>
            <w:left w:val="none" w:sz="0" w:space="0" w:color="auto"/>
            <w:bottom w:val="none" w:sz="0" w:space="0" w:color="auto"/>
            <w:right w:val="none" w:sz="0" w:space="0" w:color="auto"/>
          </w:divBdr>
        </w:div>
      </w:divsChild>
    </w:div>
    <w:div w:id="342635662">
      <w:bodyDiv w:val="1"/>
      <w:marLeft w:val="0"/>
      <w:marRight w:val="0"/>
      <w:marTop w:val="0"/>
      <w:marBottom w:val="0"/>
      <w:divBdr>
        <w:top w:val="none" w:sz="0" w:space="0" w:color="auto"/>
        <w:left w:val="none" w:sz="0" w:space="0" w:color="auto"/>
        <w:bottom w:val="none" w:sz="0" w:space="0" w:color="auto"/>
        <w:right w:val="none" w:sz="0" w:space="0" w:color="auto"/>
      </w:divBdr>
      <w:divsChild>
        <w:div w:id="11105625">
          <w:marLeft w:val="806"/>
          <w:marRight w:val="0"/>
          <w:marTop w:val="120"/>
          <w:marBottom w:val="0"/>
          <w:divBdr>
            <w:top w:val="none" w:sz="0" w:space="0" w:color="auto"/>
            <w:left w:val="none" w:sz="0" w:space="0" w:color="auto"/>
            <w:bottom w:val="none" w:sz="0" w:space="0" w:color="auto"/>
            <w:right w:val="none" w:sz="0" w:space="0" w:color="auto"/>
          </w:divBdr>
        </w:div>
        <w:div w:id="238370341">
          <w:marLeft w:val="1354"/>
          <w:marRight w:val="0"/>
          <w:marTop w:val="120"/>
          <w:marBottom w:val="0"/>
          <w:divBdr>
            <w:top w:val="none" w:sz="0" w:space="0" w:color="auto"/>
            <w:left w:val="none" w:sz="0" w:space="0" w:color="auto"/>
            <w:bottom w:val="none" w:sz="0" w:space="0" w:color="auto"/>
            <w:right w:val="none" w:sz="0" w:space="0" w:color="auto"/>
          </w:divBdr>
        </w:div>
        <w:div w:id="1119102546">
          <w:marLeft w:val="1354"/>
          <w:marRight w:val="0"/>
          <w:marTop w:val="120"/>
          <w:marBottom w:val="0"/>
          <w:divBdr>
            <w:top w:val="none" w:sz="0" w:space="0" w:color="auto"/>
            <w:left w:val="none" w:sz="0" w:space="0" w:color="auto"/>
            <w:bottom w:val="none" w:sz="0" w:space="0" w:color="auto"/>
            <w:right w:val="none" w:sz="0" w:space="0" w:color="auto"/>
          </w:divBdr>
        </w:div>
        <w:div w:id="1247496409">
          <w:marLeft w:val="806"/>
          <w:marRight w:val="0"/>
          <w:marTop w:val="120"/>
          <w:marBottom w:val="0"/>
          <w:divBdr>
            <w:top w:val="none" w:sz="0" w:space="0" w:color="auto"/>
            <w:left w:val="none" w:sz="0" w:space="0" w:color="auto"/>
            <w:bottom w:val="none" w:sz="0" w:space="0" w:color="auto"/>
            <w:right w:val="none" w:sz="0" w:space="0" w:color="auto"/>
          </w:divBdr>
        </w:div>
        <w:div w:id="1470594111">
          <w:marLeft w:val="274"/>
          <w:marRight w:val="0"/>
          <w:marTop w:val="120"/>
          <w:marBottom w:val="0"/>
          <w:divBdr>
            <w:top w:val="none" w:sz="0" w:space="0" w:color="auto"/>
            <w:left w:val="none" w:sz="0" w:space="0" w:color="auto"/>
            <w:bottom w:val="none" w:sz="0" w:space="0" w:color="auto"/>
            <w:right w:val="none" w:sz="0" w:space="0" w:color="auto"/>
          </w:divBdr>
        </w:div>
      </w:divsChild>
    </w:div>
    <w:div w:id="342978859">
      <w:bodyDiv w:val="1"/>
      <w:marLeft w:val="0"/>
      <w:marRight w:val="0"/>
      <w:marTop w:val="0"/>
      <w:marBottom w:val="0"/>
      <w:divBdr>
        <w:top w:val="none" w:sz="0" w:space="0" w:color="auto"/>
        <w:left w:val="none" w:sz="0" w:space="0" w:color="auto"/>
        <w:bottom w:val="none" w:sz="0" w:space="0" w:color="auto"/>
        <w:right w:val="none" w:sz="0" w:space="0" w:color="auto"/>
      </w:divBdr>
    </w:div>
    <w:div w:id="344212047">
      <w:bodyDiv w:val="1"/>
      <w:marLeft w:val="0"/>
      <w:marRight w:val="0"/>
      <w:marTop w:val="0"/>
      <w:marBottom w:val="0"/>
      <w:divBdr>
        <w:top w:val="none" w:sz="0" w:space="0" w:color="auto"/>
        <w:left w:val="none" w:sz="0" w:space="0" w:color="auto"/>
        <w:bottom w:val="none" w:sz="0" w:space="0" w:color="auto"/>
        <w:right w:val="none" w:sz="0" w:space="0" w:color="auto"/>
      </w:divBdr>
    </w:div>
    <w:div w:id="344214242">
      <w:bodyDiv w:val="1"/>
      <w:marLeft w:val="0"/>
      <w:marRight w:val="0"/>
      <w:marTop w:val="0"/>
      <w:marBottom w:val="0"/>
      <w:divBdr>
        <w:top w:val="none" w:sz="0" w:space="0" w:color="auto"/>
        <w:left w:val="none" w:sz="0" w:space="0" w:color="auto"/>
        <w:bottom w:val="none" w:sz="0" w:space="0" w:color="auto"/>
        <w:right w:val="none" w:sz="0" w:space="0" w:color="auto"/>
      </w:divBdr>
      <w:divsChild>
        <w:div w:id="119762463">
          <w:marLeft w:val="0"/>
          <w:marRight w:val="0"/>
          <w:marTop w:val="0"/>
          <w:marBottom w:val="0"/>
          <w:divBdr>
            <w:top w:val="none" w:sz="0" w:space="0" w:color="auto"/>
            <w:left w:val="none" w:sz="0" w:space="0" w:color="auto"/>
            <w:bottom w:val="none" w:sz="0" w:space="0" w:color="auto"/>
            <w:right w:val="none" w:sz="0" w:space="0" w:color="auto"/>
          </w:divBdr>
        </w:div>
        <w:div w:id="518472611">
          <w:marLeft w:val="0"/>
          <w:marRight w:val="0"/>
          <w:marTop w:val="0"/>
          <w:marBottom w:val="0"/>
          <w:divBdr>
            <w:top w:val="none" w:sz="0" w:space="0" w:color="auto"/>
            <w:left w:val="none" w:sz="0" w:space="0" w:color="auto"/>
            <w:bottom w:val="none" w:sz="0" w:space="0" w:color="auto"/>
            <w:right w:val="none" w:sz="0" w:space="0" w:color="auto"/>
          </w:divBdr>
        </w:div>
        <w:div w:id="1152797959">
          <w:marLeft w:val="0"/>
          <w:marRight w:val="0"/>
          <w:marTop w:val="0"/>
          <w:marBottom w:val="0"/>
          <w:divBdr>
            <w:top w:val="none" w:sz="0" w:space="0" w:color="auto"/>
            <w:left w:val="none" w:sz="0" w:space="0" w:color="auto"/>
            <w:bottom w:val="none" w:sz="0" w:space="0" w:color="auto"/>
            <w:right w:val="none" w:sz="0" w:space="0" w:color="auto"/>
          </w:divBdr>
        </w:div>
        <w:div w:id="1196699691">
          <w:marLeft w:val="0"/>
          <w:marRight w:val="0"/>
          <w:marTop w:val="0"/>
          <w:marBottom w:val="0"/>
          <w:divBdr>
            <w:top w:val="none" w:sz="0" w:space="0" w:color="auto"/>
            <w:left w:val="none" w:sz="0" w:space="0" w:color="auto"/>
            <w:bottom w:val="none" w:sz="0" w:space="0" w:color="auto"/>
            <w:right w:val="none" w:sz="0" w:space="0" w:color="auto"/>
          </w:divBdr>
        </w:div>
        <w:div w:id="1562254868">
          <w:marLeft w:val="0"/>
          <w:marRight w:val="0"/>
          <w:marTop w:val="0"/>
          <w:marBottom w:val="0"/>
          <w:divBdr>
            <w:top w:val="none" w:sz="0" w:space="0" w:color="auto"/>
            <w:left w:val="none" w:sz="0" w:space="0" w:color="auto"/>
            <w:bottom w:val="none" w:sz="0" w:space="0" w:color="auto"/>
            <w:right w:val="none" w:sz="0" w:space="0" w:color="auto"/>
          </w:divBdr>
        </w:div>
        <w:div w:id="1911424775">
          <w:marLeft w:val="0"/>
          <w:marRight w:val="0"/>
          <w:marTop w:val="0"/>
          <w:marBottom w:val="0"/>
          <w:divBdr>
            <w:top w:val="none" w:sz="0" w:space="0" w:color="auto"/>
            <w:left w:val="none" w:sz="0" w:space="0" w:color="auto"/>
            <w:bottom w:val="none" w:sz="0" w:space="0" w:color="auto"/>
            <w:right w:val="none" w:sz="0" w:space="0" w:color="auto"/>
          </w:divBdr>
        </w:div>
      </w:divsChild>
    </w:div>
    <w:div w:id="344751822">
      <w:bodyDiv w:val="1"/>
      <w:marLeft w:val="0"/>
      <w:marRight w:val="0"/>
      <w:marTop w:val="0"/>
      <w:marBottom w:val="0"/>
      <w:divBdr>
        <w:top w:val="none" w:sz="0" w:space="0" w:color="auto"/>
        <w:left w:val="none" w:sz="0" w:space="0" w:color="auto"/>
        <w:bottom w:val="none" w:sz="0" w:space="0" w:color="auto"/>
        <w:right w:val="none" w:sz="0" w:space="0" w:color="auto"/>
      </w:divBdr>
    </w:div>
    <w:div w:id="345057860">
      <w:bodyDiv w:val="1"/>
      <w:marLeft w:val="0"/>
      <w:marRight w:val="0"/>
      <w:marTop w:val="0"/>
      <w:marBottom w:val="0"/>
      <w:divBdr>
        <w:top w:val="none" w:sz="0" w:space="0" w:color="auto"/>
        <w:left w:val="none" w:sz="0" w:space="0" w:color="auto"/>
        <w:bottom w:val="none" w:sz="0" w:space="0" w:color="auto"/>
        <w:right w:val="none" w:sz="0" w:space="0" w:color="auto"/>
      </w:divBdr>
    </w:div>
    <w:div w:id="345209870">
      <w:bodyDiv w:val="1"/>
      <w:marLeft w:val="0"/>
      <w:marRight w:val="0"/>
      <w:marTop w:val="0"/>
      <w:marBottom w:val="0"/>
      <w:divBdr>
        <w:top w:val="none" w:sz="0" w:space="0" w:color="auto"/>
        <w:left w:val="none" w:sz="0" w:space="0" w:color="auto"/>
        <w:bottom w:val="none" w:sz="0" w:space="0" w:color="auto"/>
        <w:right w:val="none" w:sz="0" w:space="0" w:color="auto"/>
      </w:divBdr>
    </w:div>
    <w:div w:id="345401919">
      <w:bodyDiv w:val="1"/>
      <w:marLeft w:val="0"/>
      <w:marRight w:val="0"/>
      <w:marTop w:val="0"/>
      <w:marBottom w:val="0"/>
      <w:divBdr>
        <w:top w:val="none" w:sz="0" w:space="0" w:color="auto"/>
        <w:left w:val="none" w:sz="0" w:space="0" w:color="auto"/>
        <w:bottom w:val="none" w:sz="0" w:space="0" w:color="auto"/>
        <w:right w:val="none" w:sz="0" w:space="0" w:color="auto"/>
      </w:divBdr>
    </w:div>
    <w:div w:id="345642595">
      <w:bodyDiv w:val="1"/>
      <w:marLeft w:val="0"/>
      <w:marRight w:val="0"/>
      <w:marTop w:val="0"/>
      <w:marBottom w:val="0"/>
      <w:divBdr>
        <w:top w:val="none" w:sz="0" w:space="0" w:color="auto"/>
        <w:left w:val="none" w:sz="0" w:space="0" w:color="auto"/>
        <w:bottom w:val="none" w:sz="0" w:space="0" w:color="auto"/>
        <w:right w:val="none" w:sz="0" w:space="0" w:color="auto"/>
      </w:divBdr>
    </w:div>
    <w:div w:id="345791768">
      <w:bodyDiv w:val="1"/>
      <w:marLeft w:val="0"/>
      <w:marRight w:val="0"/>
      <w:marTop w:val="0"/>
      <w:marBottom w:val="0"/>
      <w:divBdr>
        <w:top w:val="none" w:sz="0" w:space="0" w:color="auto"/>
        <w:left w:val="none" w:sz="0" w:space="0" w:color="auto"/>
        <w:bottom w:val="none" w:sz="0" w:space="0" w:color="auto"/>
        <w:right w:val="none" w:sz="0" w:space="0" w:color="auto"/>
      </w:divBdr>
    </w:div>
    <w:div w:id="346061277">
      <w:bodyDiv w:val="1"/>
      <w:marLeft w:val="0"/>
      <w:marRight w:val="0"/>
      <w:marTop w:val="0"/>
      <w:marBottom w:val="0"/>
      <w:divBdr>
        <w:top w:val="none" w:sz="0" w:space="0" w:color="auto"/>
        <w:left w:val="none" w:sz="0" w:space="0" w:color="auto"/>
        <w:bottom w:val="none" w:sz="0" w:space="0" w:color="auto"/>
        <w:right w:val="none" w:sz="0" w:space="0" w:color="auto"/>
      </w:divBdr>
    </w:div>
    <w:div w:id="346175932">
      <w:bodyDiv w:val="1"/>
      <w:marLeft w:val="0"/>
      <w:marRight w:val="0"/>
      <w:marTop w:val="0"/>
      <w:marBottom w:val="0"/>
      <w:divBdr>
        <w:top w:val="none" w:sz="0" w:space="0" w:color="auto"/>
        <w:left w:val="none" w:sz="0" w:space="0" w:color="auto"/>
        <w:bottom w:val="none" w:sz="0" w:space="0" w:color="auto"/>
        <w:right w:val="none" w:sz="0" w:space="0" w:color="auto"/>
      </w:divBdr>
    </w:div>
    <w:div w:id="346299814">
      <w:bodyDiv w:val="1"/>
      <w:marLeft w:val="0"/>
      <w:marRight w:val="0"/>
      <w:marTop w:val="0"/>
      <w:marBottom w:val="0"/>
      <w:divBdr>
        <w:top w:val="none" w:sz="0" w:space="0" w:color="auto"/>
        <w:left w:val="none" w:sz="0" w:space="0" w:color="auto"/>
        <w:bottom w:val="none" w:sz="0" w:space="0" w:color="auto"/>
        <w:right w:val="none" w:sz="0" w:space="0" w:color="auto"/>
      </w:divBdr>
    </w:div>
    <w:div w:id="346643993">
      <w:bodyDiv w:val="1"/>
      <w:marLeft w:val="0"/>
      <w:marRight w:val="0"/>
      <w:marTop w:val="0"/>
      <w:marBottom w:val="0"/>
      <w:divBdr>
        <w:top w:val="none" w:sz="0" w:space="0" w:color="auto"/>
        <w:left w:val="none" w:sz="0" w:space="0" w:color="auto"/>
        <w:bottom w:val="none" w:sz="0" w:space="0" w:color="auto"/>
        <w:right w:val="none" w:sz="0" w:space="0" w:color="auto"/>
      </w:divBdr>
    </w:div>
    <w:div w:id="347878043">
      <w:bodyDiv w:val="1"/>
      <w:marLeft w:val="0"/>
      <w:marRight w:val="0"/>
      <w:marTop w:val="0"/>
      <w:marBottom w:val="0"/>
      <w:divBdr>
        <w:top w:val="none" w:sz="0" w:space="0" w:color="auto"/>
        <w:left w:val="none" w:sz="0" w:space="0" w:color="auto"/>
        <w:bottom w:val="none" w:sz="0" w:space="0" w:color="auto"/>
        <w:right w:val="none" w:sz="0" w:space="0" w:color="auto"/>
      </w:divBdr>
    </w:div>
    <w:div w:id="348996111">
      <w:bodyDiv w:val="1"/>
      <w:marLeft w:val="0"/>
      <w:marRight w:val="0"/>
      <w:marTop w:val="0"/>
      <w:marBottom w:val="0"/>
      <w:divBdr>
        <w:top w:val="none" w:sz="0" w:space="0" w:color="auto"/>
        <w:left w:val="none" w:sz="0" w:space="0" w:color="auto"/>
        <w:bottom w:val="none" w:sz="0" w:space="0" w:color="auto"/>
        <w:right w:val="none" w:sz="0" w:space="0" w:color="auto"/>
      </w:divBdr>
    </w:div>
    <w:div w:id="349068446">
      <w:bodyDiv w:val="1"/>
      <w:marLeft w:val="0"/>
      <w:marRight w:val="0"/>
      <w:marTop w:val="0"/>
      <w:marBottom w:val="0"/>
      <w:divBdr>
        <w:top w:val="none" w:sz="0" w:space="0" w:color="auto"/>
        <w:left w:val="none" w:sz="0" w:space="0" w:color="auto"/>
        <w:bottom w:val="none" w:sz="0" w:space="0" w:color="auto"/>
        <w:right w:val="none" w:sz="0" w:space="0" w:color="auto"/>
      </w:divBdr>
      <w:divsChild>
        <w:div w:id="161433596">
          <w:marLeft w:val="1166"/>
          <w:marRight w:val="0"/>
          <w:marTop w:val="72"/>
          <w:marBottom w:val="0"/>
          <w:divBdr>
            <w:top w:val="none" w:sz="0" w:space="0" w:color="auto"/>
            <w:left w:val="none" w:sz="0" w:space="0" w:color="auto"/>
            <w:bottom w:val="none" w:sz="0" w:space="0" w:color="auto"/>
            <w:right w:val="none" w:sz="0" w:space="0" w:color="auto"/>
          </w:divBdr>
        </w:div>
        <w:div w:id="279149712">
          <w:marLeft w:val="1166"/>
          <w:marRight w:val="0"/>
          <w:marTop w:val="72"/>
          <w:marBottom w:val="0"/>
          <w:divBdr>
            <w:top w:val="none" w:sz="0" w:space="0" w:color="auto"/>
            <w:left w:val="none" w:sz="0" w:space="0" w:color="auto"/>
            <w:bottom w:val="none" w:sz="0" w:space="0" w:color="auto"/>
            <w:right w:val="none" w:sz="0" w:space="0" w:color="auto"/>
          </w:divBdr>
        </w:div>
        <w:div w:id="305818495">
          <w:marLeft w:val="547"/>
          <w:marRight w:val="0"/>
          <w:marTop w:val="86"/>
          <w:marBottom w:val="0"/>
          <w:divBdr>
            <w:top w:val="none" w:sz="0" w:space="0" w:color="auto"/>
            <w:left w:val="none" w:sz="0" w:space="0" w:color="auto"/>
            <w:bottom w:val="none" w:sz="0" w:space="0" w:color="auto"/>
            <w:right w:val="none" w:sz="0" w:space="0" w:color="auto"/>
          </w:divBdr>
        </w:div>
        <w:div w:id="312225009">
          <w:marLeft w:val="1166"/>
          <w:marRight w:val="0"/>
          <w:marTop w:val="72"/>
          <w:marBottom w:val="0"/>
          <w:divBdr>
            <w:top w:val="none" w:sz="0" w:space="0" w:color="auto"/>
            <w:left w:val="none" w:sz="0" w:space="0" w:color="auto"/>
            <w:bottom w:val="none" w:sz="0" w:space="0" w:color="auto"/>
            <w:right w:val="none" w:sz="0" w:space="0" w:color="auto"/>
          </w:divBdr>
        </w:div>
        <w:div w:id="324676264">
          <w:marLeft w:val="1800"/>
          <w:marRight w:val="0"/>
          <w:marTop w:val="62"/>
          <w:marBottom w:val="0"/>
          <w:divBdr>
            <w:top w:val="none" w:sz="0" w:space="0" w:color="auto"/>
            <w:left w:val="none" w:sz="0" w:space="0" w:color="auto"/>
            <w:bottom w:val="none" w:sz="0" w:space="0" w:color="auto"/>
            <w:right w:val="none" w:sz="0" w:space="0" w:color="auto"/>
          </w:divBdr>
        </w:div>
        <w:div w:id="423191252">
          <w:marLeft w:val="1800"/>
          <w:marRight w:val="0"/>
          <w:marTop w:val="62"/>
          <w:marBottom w:val="0"/>
          <w:divBdr>
            <w:top w:val="none" w:sz="0" w:space="0" w:color="auto"/>
            <w:left w:val="none" w:sz="0" w:space="0" w:color="auto"/>
            <w:bottom w:val="none" w:sz="0" w:space="0" w:color="auto"/>
            <w:right w:val="none" w:sz="0" w:space="0" w:color="auto"/>
          </w:divBdr>
        </w:div>
        <w:div w:id="556279205">
          <w:marLeft w:val="547"/>
          <w:marRight w:val="0"/>
          <w:marTop w:val="86"/>
          <w:marBottom w:val="0"/>
          <w:divBdr>
            <w:top w:val="none" w:sz="0" w:space="0" w:color="auto"/>
            <w:left w:val="none" w:sz="0" w:space="0" w:color="auto"/>
            <w:bottom w:val="none" w:sz="0" w:space="0" w:color="auto"/>
            <w:right w:val="none" w:sz="0" w:space="0" w:color="auto"/>
          </w:divBdr>
        </w:div>
        <w:div w:id="696931181">
          <w:marLeft w:val="1166"/>
          <w:marRight w:val="0"/>
          <w:marTop w:val="72"/>
          <w:marBottom w:val="0"/>
          <w:divBdr>
            <w:top w:val="none" w:sz="0" w:space="0" w:color="auto"/>
            <w:left w:val="none" w:sz="0" w:space="0" w:color="auto"/>
            <w:bottom w:val="none" w:sz="0" w:space="0" w:color="auto"/>
            <w:right w:val="none" w:sz="0" w:space="0" w:color="auto"/>
          </w:divBdr>
        </w:div>
        <w:div w:id="994723225">
          <w:marLeft w:val="1166"/>
          <w:marRight w:val="0"/>
          <w:marTop w:val="72"/>
          <w:marBottom w:val="0"/>
          <w:divBdr>
            <w:top w:val="none" w:sz="0" w:space="0" w:color="auto"/>
            <w:left w:val="none" w:sz="0" w:space="0" w:color="auto"/>
            <w:bottom w:val="none" w:sz="0" w:space="0" w:color="auto"/>
            <w:right w:val="none" w:sz="0" w:space="0" w:color="auto"/>
          </w:divBdr>
        </w:div>
        <w:div w:id="1097674016">
          <w:marLeft w:val="1800"/>
          <w:marRight w:val="0"/>
          <w:marTop w:val="62"/>
          <w:marBottom w:val="0"/>
          <w:divBdr>
            <w:top w:val="none" w:sz="0" w:space="0" w:color="auto"/>
            <w:left w:val="none" w:sz="0" w:space="0" w:color="auto"/>
            <w:bottom w:val="none" w:sz="0" w:space="0" w:color="auto"/>
            <w:right w:val="none" w:sz="0" w:space="0" w:color="auto"/>
          </w:divBdr>
        </w:div>
        <w:div w:id="1104304219">
          <w:marLeft w:val="1166"/>
          <w:marRight w:val="0"/>
          <w:marTop w:val="72"/>
          <w:marBottom w:val="0"/>
          <w:divBdr>
            <w:top w:val="none" w:sz="0" w:space="0" w:color="auto"/>
            <w:left w:val="none" w:sz="0" w:space="0" w:color="auto"/>
            <w:bottom w:val="none" w:sz="0" w:space="0" w:color="auto"/>
            <w:right w:val="none" w:sz="0" w:space="0" w:color="auto"/>
          </w:divBdr>
        </w:div>
        <w:div w:id="1209688138">
          <w:marLeft w:val="1166"/>
          <w:marRight w:val="0"/>
          <w:marTop w:val="72"/>
          <w:marBottom w:val="0"/>
          <w:divBdr>
            <w:top w:val="none" w:sz="0" w:space="0" w:color="auto"/>
            <w:left w:val="none" w:sz="0" w:space="0" w:color="auto"/>
            <w:bottom w:val="none" w:sz="0" w:space="0" w:color="auto"/>
            <w:right w:val="none" w:sz="0" w:space="0" w:color="auto"/>
          </w:divBdr>
        </w:div>
        <w:div w:id="1454009633">
          <w:marLeft w:val="1800"/>
          <w:marRight w:val="0"/>
          <w:marTop w:val="62"/>
          <w:marBottom w:val="0"/>
          <w:divBdr>
            <w:top w:val="none" w:sz="0" w:space="0" w:color="auto"/>
            <w:left w:val="none" w:sz="0" w:space="0" w:color="auto"/>
            <w:bottom w:val="none" w:sz="0" w:space="0" w:color="auto"/>
            <w:right w:val="none" w:sz="0" w:space="0" w:color="auto"/>
          </w:divBdr>
        </w:div>
        <w:div w:id="1647199524">
          <w:marLeft w:val="1166"/>
          <w:marRight w:val="0"/>
          <w:marTop w:val="72"/>
          <w:marBottom w:val="0"/>
          <w:divBdr>
            <w:top w:val="none" w:sz="0" w:space="0" w:color="auto"/>
            <w:left w:val="none" w:sz="0" w:space="0" w:color="auto"/>
            <w:bottom w:val="none" w:sz="0" w:space="0" w:color="auto"/>
            <w:right w:val="none" w:sz="0" w:space="0" w:color="auto"/>
          </w:divBdr>
        </w:div>
        <w:div w:id="1695956476">
          <w:marLeft w:val="1166"/>
          <w:marRight w:val="0"/>
          <w:marTop w:val="72"/>
          <w:marBottom w:val="0"/>
          <w:divBdr>
            <w:top w:val="none" w:sz="0" w:space="0" w:color="auto"/>
            <w:left w:val="none" w:sz="0" w:space="0" w:color="auto"/>
            <w:bottom w:val="none" w:sz="0" w:space="0" w:color="auto"/>
            <w:right w:val="none" w:sz="0" w:space="0" w:color="auto"/>
          </w:divBdr>
        </w:div>
        <w:div w:id="1771000873">
          <w:marLeft w:val="1166"/>
          <w:marRight w:val="0"/>
          <w:marTop w:val="72"/>
          <w:marBottom w:val="0"/>
          <w:divBdr>
            <w:top w:val="none" w:sz="0" w:space="0" w:color="auto"/>
            <w:left w:val="none" w:sz="0" w:space="0" w:color="auto"/>
            <w:bottom w:val="none" w:sz="0" w:space="0" w:color="auto"/>
            <w:right w:val="none" w:sz="0" w:space="0" w:color="auto"/>
          </w:divBdr>
        </w:div>
        <w:div w:id="1870144670">
          <w:marLeft w:val="1800"/>
          <w:marRight w:val="0"/>
          <w:marTop w:val="62"/>
          <w:marBottom w:val="0"/>
          <w:divBdr>
            <w:top w:val="none" w:sz="0" w:space="0" w:color="auto"/>
            <w:left w:val="none" w:sz="0" w:space="0" w:color="auto"/>
            <w:bottom w:val="none" w:sz="0" w:space="0" w:color="auto"/>
            <w:right w:val="none" w:sz="0" w:space="0" w:color="auto"/>
          </w:divBdr>
        </w:div>
        <w:div w:id="1917276432">
          <w:marLeft w:val="1166"/>
          <w:marRight w:val="0"/>
          <w:marTop w:val="72"/>
          <w:marBottom w:val="0"/>
          <w:divBdr>
            <w:top w:val="none" w:sz="0" w:space="0" w:color="auto"/>
            <w:left w:val="none" w:sz="0" w:space="0" w:color="auto"/>
            <w:bottom w:val="none" w:sz="0" w:space="0" w:color="auto"/>
            <w:right w:val="none" w:sz="0" w:space="0" w:color="auto"/>
          </w:divBdr>
        </w:div>
        <w:div w:id="2008558194">
          <w:marLeft w:val="1166"/>
          <w:marRight w:val="0"/>
          <w:marTop w:val="72"/>
          <w:marBottom w:val="0"/>
          <w:divBdr>
            <w:top w:val="none" w:sz="0" w:space="0" w:color="auto"/>
            <w:left w:val="none" w:sz="0" w:space="0" w:color="auto"/>
            <w:bottom w:val="none" w:sz="0" w:space="0" w:color="auto"/>
            <w:right w:val="none" w:sz="0" w:space="0" w:color="auto"/>
          </w:divBdr>
        </w:div>
        <w:div w:id="2080521186">
          <w:marLeft w:val="1166"/>
          <w:marRight w:val="0"/>
          <w:marTop w:val="72"/>
          <w:marBottom w:val="0"/>
          <w:divBdr>
            <w:top w:val="none" w:sz="0" w:space="0" w:color="auto"/>
            <w:left w:val="none" w:sz="0" w:space="0" w:color="auto"/>
            <w:bottom w:val="none" w:sz="0" w:space="0" w:color="auto"/>
            <w:right w:val="none" w:sz="0" w:space="0" w:color="auto"/>
          </w:divBdr>
        </w:div>
        <w:div w:id="2121532083">
          <w:marLeft w:val="547"/>
          <w:marRight w:val="0"/>
          <w:marTop w:val="86"/>
          <w:marBottom w:val="0"/>
          <w:divBdr>
            <w:top w:val="none" w:sz="0" w:space="0" w:color="auto"/>
            <w:left w:val="none" w:sz="0" w:space="0" w:color="auto"/>
            <w:bottom w:val="none" w:sz="0" w:space="0" w:color="auto"/>
            <w:right w:val="none" w:sz="0" w:space="0" w:color="auto"/>
          </w:divBdr>
        </w:div>
        <w:div w:id="2135326374">
          <w:marLeft w:val="547"/>
          <w:marRight w:val="0"/>
          <w:marTop w:val="86"/>
          <w:marBottom w:val="0"/>
          <w:divBdr>
            <w:top w:val="none" w:sz="0" w:space="0" w:color="auto"/>
            <w:left w:val="none" w:sz="0" w:space="0" w:color="auto"/>
            <w:bottom w:val="none" w:sz="0" w:space="0" w:color="auto"/>
            <w:right w:val="none" w:sz="0" w:space="0" w:color="auto"/>
          </w:divBdr>
        </w:div>
      </w:divsChild>
    </w:div>
    <w:div w:id="350299675">
      <w:bodyDiv w:val="1"/>
      <w:marLeft w:val="0"/>
      <w:marRight w:val="0"/>
      <w:marTop w:val="0"/>
      <w:marBottom w:val="0"/>
      <w:divBdr>
        <w:top w:val="none" w:sz="0" w:space="0" w:color="auto"/>
        <w:left w:val="none" w:sz="0" w:space="0" w:color="auto"/>
        <w:bottom w:val="none" w:sz="0" w:space="0" w:color="auto"/>
        <w:right w:val="none" w:sz="0" w:space="0" w:color="auto"/>
      </w:divBdr>
    </w:div>
    <w:div w:id="350648568">
      <w:bodyDiv w:val="1"/>
      <w:marLeft w:val="0"/>
      <w:marRight w:val="0"/>
      <w:marTop w:val="0"/>
      <w:marBottom w:val="0"/>
      <w:divBdr>
        <w:top w:val="none" w:sz="0" w:space="0" w:color="auto"/>
        <w:left w:val="none" w:sz="0" w:space="0" w:color="auto"/>
        <w:bottom w:val="none" w:sz="0" w:space="0" w:color="auto"/>
        <w:right w:val="none" w:sz="0" w:space="0" w:color="auto"/>
      </w:divBdr>
      <w:divsChild>
        <w:div w:id="16779662">
          <w:marLeft w:val="1800"/>
          <w:marRight w:val="0"/>
          <w:marTop w:val="100"/>
          <w:marBottom w:val="0"/>
          <w:divBdr>
            <w:top w:val="none" w:sz="0" w:space="0" w:color="auto"/>
            <w:left w:val="none" w:sz="0" w:space="0" w:color="auto"/>
            <w:bottom w:val="none" w:sz="0" w:space="0" w:color="auto"/>
            <w:right w:val="none" w:sz="0" w:space="0" w:color="auto"/>
          </w:divBdr>
        </w:div>
        <w:div w:id="250703441">
          <w:marLeft w:val="1800"/>
          <w:marRight w:val="0"/>
          <w:marTop w:val="100"/>
          <w:marBottom w:val="0"/>
          <w:divBdr>
            <w:top w:val="none" w:sz="0" w:space="0" w:color="auto"/>
            <w:left w:val="none" w:sz="0" w:space="0" w:color="auto"/>
            <w:bottom w:val="none" w:sz="0" w:space="0" w:color="auto"/>
            <w:right w:val="none" w:sz="0" w:space="0" w:color="auto"/>
          </w:divBdr>
        </w:div>
        <w:div w:id="265580748">
          <w:marLeft w:val="1800"/>
          <w:marRight w:val="0"/>
          <w:marTop w:val="100"/>
          <w:marBottom w:val="0"/>
          <w:divBdr>
            <w:top w:val="none" w:sz="0" w:space="0" w:color="auto"/>
            <w:left w:val="none" w:sz="0" w:space="0" w:color="auto"/>
            <w:bottom w:val="none" w:sz="0" w:space="0" w:color="auto"/>
            <w:right w:val="none" w:sz="0" w:space="0" w:color="auto"/>
          </w:divBdr>
        </w:div>
        <w:div w:id="289476456">
          <w:marLeft w:val="1080"/>
          <w:marRight w:val="0"/>
          <w:marTop w:val="100"/>
          <w:marBottom w:val="0"/>
          <w:divBdr>
            <w:top w:val="none" w:sz="0" w:space="0" w:color="auto"/>
            <w:left w:val="none" w:sz="0" w:space="0" w:color="auto"/>
            <w:bottom w:val="none" w:sz="0" w:space="0" w:color="auto"/>
            <w:right w:val="none" w:sz="0" w:space="0" w:color="auto"/>
          </w:divBdr>
        </w:div>
        <w:div w:id="313607614">
          <w:marLeft w:val="1080"/>
          <w:marRight w:val="0"/>
          <w:marTop w:val="100"/>
          <w:marBottom w:val="0"/>
          <w:divBdr>
            <w:top w:val="none" w:sz="0" w:space="0" w:color="auto"/>
            <w:left w:val="none" w:sz="0" w:space="0" w:color="auto"/>
            <w:bottom w:val="none" w:sz="0" w:space="0" w:color="auto"/>
            <w:right w:val="none" w:sz="0" w:space="0" w:color="auto"/>
          </w:divBdr>
        </w:div>
        <w:div w:id="343022163">
          <w:marLeft w:val="1800"/>
          <w:marRight w:val="0"/>
          <w:marTop w:val="100"/>
          <w:marBottom w:val="0"/>
          <w:divBdr>
            <w:top w:val="none" w:sz="0" w:space="0" w:color="auto"/>
            <w:left w:val="none" w:sz="0" w:space="0" w:color="auto"/>
            <w:bottom w:val="none" w:sz="0" w:space="0" w:color="auto"/>
            <w:right w:val="none" w:sz="0" w:space="0" w:color="auto"/>
          </w:divBdr>
        </w:div>
        <w:div w:id="938677167">
          <w:marLeft w:val="1800"/>
          <w:marRight w:val="0"/>
          <w:marTop w:val="100"/>
          <w:marBottom w:val="0"/>
          <w:divBdr>
            <w:top w:val="none" w:sz="0" w:space="0" w:color="auto"/>
            <w:left w:val="none" w:sz="0" w:space="0" w:color="auto"/>
            <w:bottom w:val="none" w:sz="0" w:space="0" w:color="auto"/>
            <w:right w:val="none" w:sz="0" w:space="0" w:color="auto"/>
          </w:divBdr>
        </w:div>
        <w:div w:id="971401952">
          <w:marLeft w:val="360"/>
          <w:marRight w:val="0"/>
          <w:marTop w:val="200"/>
          <w:marBottom w:val="0"/>
          <w:divBdr>
            <w:top w:val="none" w:sz="0" w:space="0" w:color="auto"/>
            <w:left w:val="none" w:sz="0" w:space="0" w:color="auto"/>
            <w:bottom w:val="none" w:sz="0" w:space="0" w:color="auto"/>
            <w:right w:val="none" w:sz="0" w:space="0" w:color="auto"/>
          </w:divBdr>
        </w:div>
        <w:div w:id="1585215894">
          <w:marLeft w:val="1080"/>
          <w:marRight w:val="0"/>
          <w:marTop w:val="100"/>
          <w:marBottom w:val="0"/>
          <w:divBdr>
            <w:top w:val="none" w:sz="0" w:space="0" w:color="auto"/>
            <w:left w:val="none" w:sz="0" w:space="0" w:color="auto"/>
            <w:bottom w:val="none" w:sz="0" w:space="0" w:color="auto"/>
            <w:right w:val="none" w:sz="0" w:space="0" w:color="auto"/>
          </w:divBdr>
        </w:div>
        <w:div w:id="1790902633">
          <w:marLeft w:val="2520"/>
          <w:marRight w:val="0"/>
          <w:marTop w:val="100"/>
          <w:marBottom w:val="0"/>
          <w:divBdr>
            <w:top w:val="none" w:sz="0" w:space="0" w:color="auto"/>
            <w:left w:val="none" w:sz="0" w:space="0" w:color="auto"/>
            <w:bottom w:val="none" w:sz="0" w:space="0" w:color="auto"/>
            <w:right w:val="none" w:sz="0" w:space="0" w:color="auto"/>
          </w:divBdr>
        </w:div>
      </w:divsChild>
    </w:div>
    <w:div w:id="350760884">
      <w:bodyDiv w:val="1"/>
      <w:marLeft w:val="0"/>
      <w:marRight w:val="0"/>
      <w:marTop w:val="0"/>
      <w:marBottom w:val="0"/>
      <w:divBdr>
        <w:top w:val="none" w:sz="0" w:space="0" w:color="auto"/>
        <w:left w:val="none" w:sz="0" w:space="0" w:color="auto"/>
        <w:bottom w:val="none" w:sz="0" w:space="0" w:color="auto"/>
        <w:right w:val="none" w:sz="0" w:space="0" w:color="auto"/>
      </w:divBdr>
    </w:div>
    <w:div w:id="351107959">
      <w:bodyDiv w:val="1"/>
      <w:marLeft w:val="0"/>
      <w:marRight w:val="0"/>
      <w:marTop w:val="0"/>
      <w:marBottom w:val="0"/>
      <w:divBdr>
        <w:top w:val="none" w:sz="0" w:space="0" w:color="auto"/>
        <w:left w:val="none" w:sz="0" w:space="0" w:color="auto"/>
        <w:bottom w:val="none" w:sz="0" w:space="0" w:color="auto"/>
        <w:right w:val="none" w:sz="0" w:space="0" w:color="auto"/>
      </w:divBdr>
      <w:divsChild>
        <w:div w:id="792747942">
          <w:marLeft w:val="547"/>
          <w:marRight w:val="0"/>
          <w:marTop w:val="154"/>
          <w:marBottom w:val="0"/>
          <w:divBdr>
            <w:top w:val="none" w:sz="0" w:space="0" w:color="auto"/>
            <w:left w:val="none" w:sz="0" w:space="0" w:color="auto"/>
            <w:bottom w:val="none" w:sz="0" w:space="0" w:color="auto"/>
            <w:right w:val="none" w:sz="0" w:space="0" w:color="auto"/>
          </w:divBdr>
        </w:div>
        <w:div w:id="1146512502">
          <w:marLeft w:val="1166"/>
          <w:marRight w:val="0"/>
          <w:marTop w:val="134"/>
          <w:marBottom w:val="0"/>
          <w:divBdr>
            <w:top w:val="none" w:sz="0" w:space="0" w:color="auto"/>
            <w:left w:val="none" w:sz="0" w:space="0" w:color="auto"/>
            <w:bottom w:val="none" w:sz="0" w:space="0" w:color="auto"/>
            <w:right w:val="none" w:sz="0" w:space="0" w:color="auto"/>
          </w:divBdr>
        </w:div>
        <w:div w:id="1754231187">
          <w:marLeft w:val="547"/>
          <w:marRight w:val="0"/>
          <w:marTop w:val="154"/>
          <w:marBottom w:val="0"/>
          <w:divBdr>
            <w:top w:val="none" w:sz="0" w:space="0" w:color="auto"/>
            <w:left w:val="none" w:sz="0" w:space="0" w:color="auto"/>
            <w:bottom w:val="none" w:sz="0" w:space="0" w:color="auto"/>
            <w:right w:val="none" w:sz="0" w:space="0" w:color="auto"/>
          </w:divBdr>
        </w:div>
      </w:divsChild>
    </w:div>
    <w:div w:id="351108974">
      <w:bodyDiv w:val="1"/>
      <w:marLeft w:val="0"/>
      <w:marRight w:val="0"/>
      <w:marTop w:val="0"/>
      <w:marBottom w:val="0"/>
      <w:divBdr>
        <w:top w:val="none" w:sz="0" w:space="0" w:color="auto"/>
        <w:left w:val="none" w:sz="0" w:space="0" w:color="auto"/>
        <w:bottom w:val="none" w:sz="0" w:space="0" w:color="auto"/>
        <w:right w:val="none" w:sz="0" w:space="0" w:color="auto"/>
      </w:divBdr>
      <w:divsChild>
        <w:div w:id="1692410279">
          <w:marLeft w:val="547"/>
          <w:marRight w:val="0"/>
          <w:marTop w:val="154"/>
          <w:marBottom w:val="0"/>
          <w:divBdr>
            <w:top w:val="none" w:sz="0" w:space="0" w:color="auto"/>
            <w:left w:val="none" w:sz="0" w:space="0" w:color="auto"/>
            <w:bottom w:val="none" w:sz="0" w:space="0" w:color="auto"/>
            <w:right w:val="none" w:sz="0" w:space="0" w:color="auto"/>
          </w:divBdr>
        </w:div>
      </w:divsChild>
    </w:div>
    <w:div w:id="351882679">
      <w:bodyDiv w:val="1"/>
      <w:marLeft w:val="0"/>
      <w:marRight w:val="0"/>
      <w:marTop w:val="0"/>
      <w:marBottom w:val="0"/>
      <w:divBdr>
        <w:top w:val="none" w:sz="0" w:space="0" w:color="auto"/>
        <w:left w:val="none" w:sz="0" w:space="0" w:color="auto"/>
        <w:bottom w:val="none" w:sz="0" w:space="0" w:color="auto"/>
        <w:right w:val="none" w:sz="0" w:space="0" w:color="auto"/>
      </w:divBdr>
      <w:divsChild>
        <w:div w:id="574434431">
          <w:marLeft w:val="1166"/>
          <w:marRight w:val="0"/>
          <w:marTop w:val="115"/>
          <w:marBottom w:val="0"/>
          <w:divBdr>
            <w:top w:val="none" w:sz="0" w:space="0" w:color="auto"/>
            <w:left w:val="none" w:sz="0" w:space="0" w:color="auto"/>
            <w:bottom w:val="none" w:sz="0" w:space="0" w:color="auto"/>
            <w:right w:val="none" w:sz="0" w:space="0" w:color="auto"/>
          </w:divBdr>
        </w:div>
        <w:div w:id="1934821514">
          <w:marLeft w:val="1166"/>
          <w:marRight w:val="0"/>
          <w:marTop w:val="115"/>
          <w:marBottom w:val="0"/>
          <w:divBdr>
            <w:top w:val="none" w:sz="0" w:space="0" w:color="auto"/>
            <w:left w:val="none" w:sz="0" w:space="0" w:color="auto"/>
            <w:bottom w:val="none" w:sz="0" w:space="0" w:color="auto"/>
            <w:right w:val="none" w:sz="0" w:space="0" w:color="auto"/>
          </w:divBdr>
        </w:div>
      </w:divsChild>
    </w:div>
    <w:div w:id="351954033">
      <w:bodyDiv w:val="1"/>
      <w:marLeft w:val="0"/>
      <w:marRight w:val="0"/>
      <w:marTop w:val="0"/>
      <w:marBottom w:val="0"/>
      <w:divBdr>
        <w:top w:val="none" w:sz="0" w:space="0" w:color="auto"/>
        <w:left w:val="none" w:sz="0" w:space="0" w:color="auto"/>
        <w:bottom w:val="none" w:sz="0" w:space="0" w:color="auto"/>
        <w:right w:val="none" w:sz="0" w:space="0" w:color="auto"/>
      </w:divBdr>
      <w:divsChild>
        <w:div w:id="413666022">
          <w:marLeft w:val="1166"/>
          <w:marRight w:val="0"/>
          <w:marTop w:val="96"/>
          <w:marBottom w:val="0"/>
          <w:divBdr>
            <w:top w:val="none" w:sz="0" w:space="0" w:color="auto"/>
            <w:left w:val="none" w:sz="0" w:space="0" w:color="auto"/>
            <w:bottom w:val="none" w:sz="0" w:space="0" w:color="auto"/>
            <w:right w:val="none" w:sz="0" w:space="0" w:color="auto"/>
          </w:divBdr>
        </w:div>
        <w:div w:id="557477825">
          <w:marLeft w:val="547"/>
          <w:marRight w:val="0"/>
          <w:marTop w:val="115"/>
          <w:marBottom w:val="0"/>
          <w:divBdr>
            <w:top w:val="none" w:sz="0" w:space="0" w:color="auto"/>
            <w:left w:val="none" w:sz="0" w:space="0" w:color="auto"/>
            <w:bottom w:val="none" w:sz="0" w:space="0" w:color="auto"/>
            <w:right w:val="none" w:sz="0" w:space="0" w:color="auto"/>
          </w:divBdr>
        </w:div>
      </w:divsChild>
    </w:div>
    <w:div w:id="352271689">
      <w:bodyDiv w:val="1"/>
      <w:marLeft w:val="0"/>
      <w:marRight w:val="0"/>
      <w:marTop w:val="0"/>
      <w:marBottom w:val="0"/>
      <w:divBdr>
        <w:top w:val="none" w:sz="0" w:space="0" w:color="auto"/>
        <w:left w:val="none" w:sz="0" w:space="0" w:color="auto"/>
        <w:bottom w:val="none" w:sz="0" w:space="0" w:color="auto"/>
        <w:right w:val="none" w:sz="0" w:space="0" w:color="auto"/>
      </w:divBdr>
      <w:divsChild>
        <w:div w:id="792287792">
          <w:marLeft w:val="0"/>
          <w:marRight w:val="0"/>
          <w:marTop w:val="0"/>
          <w:marBottom w:val="0"/>
          <w:divBdr>
            <w:top w:val="none" w:sz="0" w:space="0" w:color="auto"/>
            <w:left w:val="none" w:sz="0" w:space="0" w:color="auto"/>
            <w:bottom w:val="none" w:sz="0" w:space="0" w:color="auto"/>
            <w:right w:val="none" w:sz="0" w:space="0" w:color="auto"/>
          </w:divBdr>
          <w:divsChild>
            <w:div w:id="367413736">
              <w:marLeft w:val="0"/>
              <w:marRight w:val="0"/>
              <w:marTop w:val="0"/>
              <w:marBottom w:val="0"/>
              <w:divBdr>
                <w:top w:val="none" w:sz="0" w:space="0" w:color="auto"/>
                <w:left w:val="none" w:sz="0" w:space="0" w:color="auto"/>
                <w:bottom w:val="none" w:sz="0" w:space="0" w:color="auto"/>
                <w:right w:val="none" w:sz="0" w:space="0" w:color="auto"/>
              </w:divBdr>
            </w:div>
            <w:div w:id="1113938135">
              <w:marLeft w:val="0"/>
              <w:marRight w:val="0"/>
              <w:marTop w:val="0"/>
              <w:marBottom w:val="0"/>
              <w:divBdr>
                <w:top w:val="none" w:sz="0" w:space="0" w:color="auto"/>
                <w:left w:val="none" w:sz="0" w:space="0" w:color="auto"/>
                <w:bottom w:val="none" w:sz="0" w:space="0" w:color="auto"/>
                <w:right w:val="none" w:sz="0" w:space="0" w:color="auto"/>
              </w:divBdr>
            </w:div>
            <w:div w:id="1114638779">
              <w:marLeft w:val="0"/>
              <w:marRight w:val="0"/>
              <w:marTop w:val="0"/>
              <w:marBottom w:val="0"/>
              <w:divBdr>
                <w:top w:val="none" w:sz="0" w:space="0" w:color="auto"/>
                <w:left w:val="none" w:sz="0" w:space="0" w:color="auto"/>
                <w:bottom w:val="none" w:sz="0" w:space="0" w:color="auto"/>
                <w:right w:val="none" w:sz="0" w:space="0" w:color="auto"/>
              </w:divBdr>
            </w:div>
            <w:div w:id="1152864546">
              <w:marLeft w:val="0"/>
              <w:marRight w:val="0"/>
              <w:marTop w:val="0"/>
              <w:marBottom w:val="0"/>
              <w:divBdr>
                <w:top w:val="none" w:sz="0" w:space="0" w:color="auto"/>
                <w:left w:val="none" w:sz="0" w:space="0" w:color="auto"/>
                <w:bottom w:val="none" w:sz="0" w:space="0" w:color="auto"/>
                <w:right w:val="none" w:sz="0" w:space="0" w:color="auto"/>
              </w:divBdr>
            </w:div>
            <w:div w:id="1183398842">
              <w:marLeft w:val="0"/>
              <w:marRight w:val="0"/>
              <w:marTop w:val="0"/>
              <w:marBottom w:val="0"/>
              <w:divBdr>
                <w:top w:val="none" w:sz="0" w:space="0" w:color="auto"/>
                <w:left w:val="none" w:sz="0" w:space="0" w:color="auto"/>
                <w:bottom w:val="none" w:sz="0" w:space="0" w:color="auto"/>
                <w:right w:val="none" w:sz="0" w:space="0" w:color="auto"/>
              </w:divBdr>
            </w:div>
            <w:div w:id="1479686666">
              <w:marLeft w:val="0"/>
              <w:marRight w:val="0"/>
              <w:marTop w:val="0"/>
              <w:marBottom w:val="0"/>
              <w:divBdr>
                <w:top w:val="none" w:sz="0" w:space="0" w:color="auto"/>
                <w:left w:val="none" w:sz="0" w:space="0" w:color="auto"/>
                <w:bottom w:val="none" w:sz="0" w:space="0" w:color="auto"/>
                <w:right w:val="none" w:sz="0" w:space="0" w:color="auto"/>
              </w:divBdr>
            </w:div>
            <w:div w:id="14811189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53072774">
      <w:bodyDiv w:val="1"/>
      <w:marLeft w:val="0"/>
      <w:marRight w:val="0"/>
      <w:marTop w:val="0"/>
      <w:marBottom w:val="0"/>
      <w:divBdr>
        <w:top w:val="none" w:sz="0" w:space="0" w:color="auto"/>
        <w:left w:val="none" w:sz="0" w:space="0" w:color="auto"/>
        <w:bottom w:val="none" w:sz="0" w:space="0" w:color="auto"/>
        <w:right w:val="none" w:sz="0" w:space="0" w:color="auto"/>
      </w:divBdr>
    </w:div>
    <w:div w:id="353195211">
      <w:bodyDiv w:val="1"/>
      <w:marLeft w:val="0"/>
      <w:marRight w:val="0"/>
      <w:marTop w:val="0"/>
      <w:marBottom w:val="0"/>
      <w:divBdr>
        <w:top w:val="none" w:sz="0" w:space="0" w:color="auto"/>
        <w:left w:val="none" w:sz="0" w:space="0" w:color="auto"/>
        <w:bottom w:val="none" w:sz="0" w:space="0" w:color="auto"/>
        <w:right w:val="none" w:sz="0" w:space="0" w:color="auto"/>
      </w:divBdr>
    </w:div>
    <w:div w:id="353389196">
      <w:bodyDiv w:val="1"/>
      <w:marLeft w:val="0"/>
      <w:marRight w:val="0"/>
      <w:marTop w:val="0"/>
      <w:marBottom w:val="0"/>
      <w:divBdr>
        <w:top w:val="none" w:sz="0" w:space="0" w:color="auto"/>
        <w:left w:val="none" w:sz="0" w:space="0" w:color="auto"/>
        <w:bottom w:val="none" w:sz="0" w:space="0" w:color="auto"/>
        <w:right w:val="none" w:sz="0" w:space="0" w:color="auto"/>
      </w:divBdr>
    </w:div>
    <w:div w:id="353919046">
      <w:bodyDiv w:val="1"/>
      <w:marLeft w:val="0"/>
      <w:marRight w:val="0"/>
      <w:marTop w:val="0"/>
      <w:marBottom w:val="0"/>
      <w:divBdr>
        <w:top w:val="none" w:sz="0" w:space="0" w:color="auto"/>
        <w:left w:val="none" w:sz="0" w:space="0" w:color="auto"/>
        <w:bottom w:val="none" w:sz="0" w:space="0" w:color="auto"/>
        <w:right w:val="none" w:sz="0" w:space="0" w:color="auto"/>
      </w:divBdr>
    </w:div>
    <w:div w:id="353961649">
      <w:bodyDiv w:val="1"/>
      <w:marLeft w:val="0"/>
      <w:marRight w:val="0"/>
      <w:marTop w:val="0"/>
      <w:marBottom w:val="0"/>
      <w:divBdr>
        <w:top w:val="none" w:sz="0" w:space="0" w:color="auto"/>
        <w:left w:val="none" w:sz="0" w:space="0" w:color="auto"/>
        <w:bottom w:val="none" w:sz="0" w:space="0" w:color="auto"/>
        <w:right w:val="none" w:sz="0" w:space="0" w:color="auto"/>
      </w:divBdr>
      <w:divsChild>
        <w:div w:id="866063225">
          <w:marLeft w:val="0"/>
          <w:marRight w:val="0"/>
          <w:marTop w:val="0"/>
          <w:marBottom w:val="0"/>
          <w:divBdr>
            <w:top w:val="none" w:sz="0" w:space="0" w:color="auto"/>
            <w:left w:val="none" w:sz="0" w:space="0" w:color="auto"/>
            <w:bottom w:val="none" w:sz="0" w:space="0" w:color="auto"/>
            <w:right w:val="none" w:sz="0" w:space="0" w:color="auto"/>
          </w:divBdr>
          <w:divsChild>
            <w:div w:id="209345637">
              <w:marLeft w:val="0"/>
              <w:marRight w:val="0"/>
              <w:marTop w:val="0"/>
              <w:marBottom w:val="0"/>
              <w:divBdr>
                <w:top w:val="none" w:sz="0" w:space="0" w:color="auto"/>
                <w:left w:val="none" w:sz="0" w:space="0" w:color="auto"/>
                <w:bottom w:val="none" w:sz="0" w:space="0" w:color="auto"/>
                <w:right w:val="none" w:sz="0" w:space="0" w:color="auto"/>
              </w:divBdr>
            </w:div>
            <w:div w:id="1225065628">
              <w:marLeft w:val="0"/>
              <w:marRight w:val="0"/>
              <w:marTop w:val="0"/>
              <w:marBottom w:val="0"/>
              <w:divBdr>
                <w:top w:val="none" w:sz="0" w:space="0" w:color="auto"/>
                <w:left w:val="none" w:sz="0" w:space="0" w:color="auto"/>
                <w:bottom w:val="none" w:sz="0" w:space="0" w:color="auto"/>
                <w:right w:val="none" w:sz="0" w:space="0" w:color="auto"/>
              </w:divBdr>
            </w:div>
            <w:div w:id="1653102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53965605">
      <w:bodyDiv w:val="1"/>
      <w:marLeft w:val="0"/>
      <w:marRight w:val="0"/>
      <w:marTop w:val="0"/>
      <w:marBottom w:val="0"/>
      <w:divBdr>
        <w:top w:val="none" w:sz="0" w:space="0" w:color="auto"/>
        <w:left w:val="none" w:sz="0" w:space="0" w:color="auto"/>
        <w:bottom w:val="none" w:sz="0" w:space="0" w:color="auto"/>
        <w:right w:val="none" w:sz="0" w:space="0" w:color="auto"/>
      </w:divBdr>
    </w:div>
    <w:div w:id="354112370">
      <w:bodyDiv w:val="1"/>
      <w:marLeft w:val="0"/>
      <w:marRight w:val="0"/>
      <w:marTop w:val="0"/>
      <w:marBottom w:val="0"/>
      <w:divBdr>
        <w:top w:val="none" w:sz="0" w:space="0" w:color="auto"/>
        <w:left w:val="none" w:sz="0" w:space="0" w:color="auto"/>
        <w:bottom w:val="none" w:sz="0" w:space="0" w:color="auto"/>
        <w:right w:val="none" w:sz="0" w:space="0" w:color="auto"/>
      </w:divBdr>
    </w:div>
    <w:div w:id="356195492">
      <w:bodyDiv w:val="1"/>
      <w:marLeft w:val="0"/>
      <w:marRight w:val="0"/>
      <w:marTop w:val="0"/>
      <w:marBottom w:val="0"/>
      <w:divBdr>
        <w:top w:val="none" w:sz="0" w:space="0" w:color="auto"/>
        <w:left w:val="none" w:sz="0" w:space="0" w:color="auto"/>
        <w:bottom w:val="none" w:sz="0" w:space="0" w:color="auto"/>
        <w:right w:val="none" w:sz="0" w:space="0" w:color="auto"/>
      </w:divBdr>
    </w:div>
    <w:div w:id="356853904">
      <w:bodyDiv w:val="1"/>
      <w:marLeft w:val="0"/>
      <w:marRight w:val="0"/>
      <w:marTop w:val="0"/>
      <w:marBottom w:val="0"/>
      <w:divBdr>
        <w:top w:val="none" w:sz="0" w:space="0" w:color="auto"/>
        <w:left w:val="none" w:sz="0" w:space="0" w:color="auto"/>
        <w:bottom w:val="none" w:sz="0" w:space="0" w:color="auto"/>
        <w:right w:val="none" w:sz="0" w:space="0" w:color="auto"/>
      </w:divBdr>
    </w:div>
    <w:div w:id="358120737">
      <w:bodyDiv w:val="1"/>
      <w:marLeft w:val="0"/>
      <w:marRight w:val="0"/>
      <w:marTop w:val="0"/>
      <w:marBottom w:val="0"/>
      <w:divBdr>
        <w:top w:val="none" w:sz="0" w:space="0" w:color="auto"/>
        <w:left w:val="none" w:sz="0" w:space="0" w:color="auto"/>
        <w:bottom w:val="none" w:sz="0" w:space="0" w:color="auto"/>
        <w:right w:val="none" w:sz="0" w:space="0" w:color="auto"/>
      </w:divBdr>
    </w:div>
    <w:div w:id="358162370">
      <w:bodyDiv w:val="1"/>
      <w:marLeft w:val="0"/>
      <w:marRight w:val="0"/>
      <w:marTop w:val="0"/>
      <w:marBottom w:val="0"/>
      <w:divBdr>
        <w:top w:val="none" w:sz="0" w:space="0" w:color="auto"/>
        <w:left w:val="none" w:sz="0" w:space="0" w:color="auto"/>
        <w:bottom w:val="none" w:sz="0" w:space="0" w:color="auto"/>
        <w:right w:val="none" w:sz="0" w:space="0" w:color="auto"/>
      </w:divBdr>
    </w:div>
    <w:div w:id="359664533">
      <w:bodyDiv w:val="1"/>
      <w:marLeft w:val="0"/>
      <w:marRight w:val="0"/>
      <w:marTop w:val="0"/>
      <w:marBottom w:val="0"/>
      <w:divBdr>
        <w:top w:val="none" w:sz="0" w:space="0" w:color="auto"/>
        <w:left w:val="none" w:sz="0" w:space="0" w:color="auto"/>
        <w:bottom w:val="none" w:sz="0" w:space="0" w:color="auto"/>
        <w:right w:val="none" w:sz="0" w:space="0" w:color="auto"/>
      </w:divBdr>
    </w:div>
    <w:div w:id="360013518">
      <w:bodyDiv w:val="1"/>
      <w:marLeft w:val="0"/>
      <w:marRight w:val="0"/>
      <w:marTop w:val="0"/>
      <w:marBottom w:val="0"/>
      <w:divBdr>
        <w:top w:val="none" w:sz="0" w:space="0" w:color="auto"/>
        <w:left w:val="none" w:sz="0" w:space="0" w:color="auto"/>
        <w:bottom w:val="none" w:sz="0" w:space="0" w:color="auto"/>
        <w:right w:val="none" w:sz="0" w:space="0" w:color="auto"/>
      </w:divBdr>
    </w:div>
    <w:div w:id="361248927">
      <w:bodyDiv w:val="1"/>
      <w:marLeft w:val="0"/>
      <w:marRight w:val="0"/>
      <w:marTop w:val="0"/>
      <w:marBottom w:val="0"/>
      <w:divBdr>
        <w:top w:val="none" w:sz="0" w:space="0" w:color="auto"/>
        <w:left w:val="none" w:sz="0" w:space="0" w:color="auto"/>
        <w:bottom w:val="none" w:sz="0" w:space="0" w:color="auto"/>
        <w:right w:val="none" w:sz="0" w:space="0" w:color="auto"/>
      </w:divBdr>
    </w:div>
    <w:div w:id="361322834">
      <w:bodyDiv w:val="1"/>
      <w:marLeft w:val="0"/>
      <w:marRight w:val="0"/>
      <w:marTop w:val="0"/>
      <w:marBottom w:val="0"/>
      <w:divBdr>
        <w:top w:val="none" w:sz="0" w:space="0" w:color="auto"/>
        <w:left w:val="none" w:sz="0" w:space="0" w:color="auto"/>
        <w:bottom w:val="none" w:sz="0" w:space="0" w:color="auto"/>
        <w:right w:val="none" w:sz="0" w:space="0" w:color="auto"/>
      </w:divBdr>
    </w:div>
    <w:div w:id="361789652">
      <w:bodyDiv w:val="1"/>
      <w:marLeft w:val="0"/>
      <w:marRight w:val="0"/>
      <w:marTop w:val="0"/>
      <w:marBottom w:val="0"/>
      <w:divBdr>
        <w:top w:val="none" w:sz="0" w:space="0" w:color="auto"/>
        <w:left w:val="none" w:sz="0" w:space="0" w:color="auto"/>
        <w:bottom w:val="none" w:sz="0" w:space="0" w:color="auto"/>
        <w:right w:val="none" w:sz="0" w:space="0" w:color="auto"/>
      </w:divBdr>
      <w:divsChild>
        <w:div w:id="604771884">
          <w:marLeft w:val="1166"/>
          <w:marRight w:val="0"/>
          <w:marTop w:val="134"/>
          <w:marBottom w:val="0"/>
          <w:divBdr>
            <w:top w:val="none" w:sz="0" w:space="0" w:color="auto"/>
            <w:left w:val="none" w:sz="0" w:space="0" w:color="auto"/>
            <w:bottom w:val="none" w:sz="0" w:space="0" w:color="auto"/>
            <w:right w:val="none" w:sz="0" w:space="0" w:color="auto"/>
          </w:divBdr>
        </w:div>
        <w:div w:id="1939023009">
          <w:marLeft w:val="547"/>
          <w:marRight w:val="0"/>
          <w:marTop w:val="154"/>
          <w:marBottom w:val="0"/>
          <w:divBdr>
            <w:top w:val="none" w:sz="0" w:space="0" w:color="auto"/>
            <w:left w:val="none" w:sz="0" w:space="0" w:color="auto"/>
            <w:bottom w:val="none" w:sz="0" w:space="0" w:color="auto"/>
            <w:right w:val="none" w:sz="0" w:space="0" w:color="auto"/>
          </w:divBdr>
        </w:div>
      </w:divsChild>
    </w:div>
    <w:div w:id="361902052">
      <w:bodyDiv w:val="1"/>
      <w:marLeft w:val="0"/>
      <w:marRight w:val="0"/>
      <w:marTop w:val="0"/>
      <w:marBottom w:val="0"/>
      <w:divBdr>
        <w:top w:val="none" w:sz="0" w:space="0" w:color="auto"/>
        <w:left w:val="none" w:sz="0" w:space="0" w:color="auto"/>
        <w:bottom w:val="none" w:sz="0" w:space="0" w:color="auto"/>
        <w:right w:val="none" w:sz="0" w:space="0" w:color="auto"/>
      </w:divBdr>
    </w:div>
    <w:div w:id="362095620">
      <w:bodyDiv w:val="1"/>
      <w:marLeft w:val="0"/>
      <w:marRight w:val="0"/>
      <w:marTop w:val="0"/>
      <w:marBottom w:val="0"/>
      <w:divBdr>
        <w:top w:val="none" w:sz="0" w:space="0" w:color="auto"/>
        <w:left w:val="none" w:sz="0" w:space="0" w:color="auto"/>
        <w:bottom w:val="none" w:sz="0" w:space="0" w:color="auto"/>
        <w:right w:val="none" w:sz="0" w:space="0" w:color="auto"/>
      </w:divBdr>
    </w:div>
    <w:div w:id="363485400">
      <w:bodyDiv w:val="1"/>
      <w:marLeft w:val="0"/>
      <w:marRight w:val="0"/>
      <w:marTop w:val="0"/>
      <w:marBottom w:val="0"/>
      <w:divBdr>
        <w:top w:val="none" w:sz="0" w:space="0" w:color="auto"/>
        <w:left w:val="none" w:sz="0" w:space="0" w:color="auto"/>
        <w:bottom w:val="none" w:sz="0" w:space="0" w:color="auto"/>
        <w:right w:val="none" w:sz="0" w:space="0" w:color="auto"/>
      </w:divBdr>
    </w:div>
    <w:div w:id="363869308">
      <w:bodyDiv w:val="1"/>
      <w:marLeft w:val="0"/>
      <w:marRight w:val="0"/>
      <w:marTop w:val="0"/>
      <w:marBottom w:val="0"/>
      <w:divBdr>
        <w:top w:val="none" w:sz="0" w:space="0" w:color="auto"/>
        <w:left w:val="none" w:sz="0" w:space="0" w:color="auto"/>
        <w:bottom w:val="none" w:sz="0" w:space="0" w:color="auto"/>
        <w:right w:val="none" w:sz="0" w:space="0" w:color="auto"/>
      </w:divBdr>
    </w:div>
    <w:div w:id="364216278">
      <w:bodyDiv w:val="1"/>
      <w:marLeft w:val="0"/>
      <w:marRight w:val="0"/>
      <w:marTop w:val="0"/>
      <w:marBottom w:val="0"/>
      <w:divBdr>
        <w:top w:val="none" w:sz="0" w:space="0" w:color="auto"/>
        <w:left w:val="none" w:sz="0" w:space="0" w:color="auto"/>
        <w:bottom w:val="none" w:sz="0" w:space="0" w:color="auto"/>
        <w:right w:val="none" w:sz="0" w:space="0" w:color="auto"/>
      </w:divBdr>
      <w:divsChild>
        <w:div w:id="609320265">
          <w:marLeft w:val="547"/>
          <w:marRight w:val="0"/>
          <w:marTop w:val="134"/>
          <w:marBottom w:val="0"/>
          <w:divBdr>
            <w:top w:val="none" w:sz="0" w:space="0" w:color="auto"/>
            <w:left w:val="none" w:sz="0" w:space="0" w:color="auto"/>
            <w:bottom w:val="none" w:sz="0" w:space="0" w:color="auto"/>
            <w:right w:val="none" w:sz="0" w:space="0" w:color="auto"/>
          </w:divBdr>
        </w:div>
      </w:divsChild>
    </w:div>
    <w:div w:id="364906649">
      <w:bodyDiv w:val="1"/>
      <w:marLeft w:val="0"/>
      <w:marRight w:val="0"/>
      <w:marTop w:val="0"/>
      <w:marBottom w:val="0"/>
      <w:divBdr>
        <w:top w:val="none" w:sz="0" w:space="0" w:color="auto"/>
        <w:left w:val="none" w:sz="0" w:space="0" w:color="auto"/>
        <w:bottom w:val="none" w:sz="0" w:space="0" w:color="auto"/>
        <w:right w:val="none" w:sz="0" w:space="0" w:color="auto"/>
      </w:divBdr>
    </w:div>
    <w:div w:id="365641756">
      <w:bodyDiv w:val="1"/>
      <w:marLeft w:val="0"/>
      <w:marRight w:val="0"/>
      <w:marTop w:val="0"/>
      <w:marBottom w:val="0"/>
      <w:divBdr>
        <w:top w:val="none" w:sz="0" w:space="0" w:color="auto"/>
        <w:left w:val="none" w:sz="0" w:space="0" w:color="auto"/>
        <w:bottom w:val="none" w:sz="0" w:space="0" w:color="auto"/>
        <w:right w:val="none" w:sz="0" w:space="0" w:color="auto"/>
      </w:divBdr>
    </w:div>
    <w:div w:id="365722054">
      <w:bodyDiv w:val="1"/>
      <w:marLeft w:val="0"/>
      <w:marRight w:val="0"/>
      <w:marTop w:val="0"/>
      <w:marBottom w:val="0"/>
      <w:divBdr>
        <w:top w:val="none" w:sz="0" w:space="0" w:color="auto"/>
        <w:left w:val="none" w:sz="0" w:space="0" w:color="auto"/>
        <w:bottom w:val="none" w:sz="0" w:space="0" w:color="auto"/>
        <w:right w:val="none" w:sz="0" w:space="0" w:color="auto"/>
      </w:divBdr>
    </w:div>
    <w:div w:id="367031643">
      <w:bodyDiv w:val="1"/>
      <w:marLeft w:val="0"/>
      <w:marRight w:val="0"/>
      <w:marTop w:val="0"/>
      <w:marBottom w:val="0"/>
      <w:divBdr>
        <w:top w:val="none" w:sz="0" w:space="0" w:color="auto"/>
        <w:left w:val="none" w:sz="0" w:space="0" w:color="auto"/>
        <w:bottom w:val="none" w:sz="0" w:space="0" w:color="auto"/>
        <w:right w:val="none" w:sz="0" w:space="0" w:color="auto"/>
      </w:divBdr>
    </w:div>
    <w:div w:id="367684387">
      <w:bodyDiv w:val="1"/>
      <w:marLeft w:val="0"/>
      <w:marRight w:val="0"/>
      <w:marTop w:val="0"/>
      <w:marBottom w:val="0"/>
      <w:divBdr>
        <w:top w:val="none" w:sz="0" w:space="0" w:color="auto"/>
        <w:left w:val="none" w:sz="0" w:space="0" w:color="auto"/>
        <w:bottom w:val="none" w:sz="0" w:space="0" w:color="auto"/>
        <w:right w:val="none" w:sz="0" w:space="0" w:color="auto"/>
      </w:divBdr>
      <w:divsChild>
        <w:div w:id="172451241">
          <w:marLeft w:val="1166"/>
          <w:marRight w:val="0"/>
          <w:marTop w:val="77"/>
          <w:marBottom w:val="0"/>
          <w:divBdr>
            <w:top w:val="none" w:sz="0" w:space="0" w:color="auto"/>
            <w:left w:val="none" w:sz="0" w:space="0" w:color="auto"/>
            <w:bottom w:val="none" w:sz="0" w:space="0" w:color="auto"/>
            <w:right w:val="none" w:sz="0" w:space="0" w:color="auto"/>
          </w:divBdr>
        </w:div>
        <w:div w:id="256326613">
          <w:marLeft w:val="1800"/>
          <w:marRight w:val="0"/>
          <w:marTop w:val="67"/>
          <w:marBottom w:val="0"/>
          <w:divBdr>
            <w:top w:val="none" w:sz="0" w:space="0" w:color="auto"/>
            <w:left w:val="none" w:sz="0" w:space="0" w:color="auto"/>
            <w:bottom w:val="none" w:sz="0" w:space="0" w:color="auto"/>
            <w:right w:val="none" w:sz="0" w:space="0" w:color="auto"/>
          </w:divBdr>
        </w:div>
        <w:div w:id="266616698">
          <w:marLeft w:val="1800"/>
          <w:marRight w:val="0"/>
          <w:marTop w:val="67"/>
          <w:marBottom w:val="0"/>
          <w:divBdr>
            <w:top w:val="none" w:sz="0" w:space="0" w:color="auto"/>
            <w:left w:val="none" w:sz="0" w:space="0" w:color="auto"/>
            <w:bottom w:val="none" w:sz="0" w:space="0" w:color="auto"/>
            <w:right w:val="none" w:sz="0" w:space="0" w:color="auto"/>
          </w:divBdr>
        </w:div>
        <w:div w:id="301541211">
          <w:marLeft w:val="1166"/>
          <w:marRight w:val="0"/>
          <w:marTop w:val="77"/>
          <w:marBottom w:val="0"/>
          <w:divBdr>
            <w:top w:val="none" w:sz="0" w:space="0" w:color="auto"/>
            <w:left w:val="none" w:sz="0" w:space="0" w:color="auto"/>
            <w:bottom w:val="none" w:sz="0" w:space="0" w:color="auto"/>
            <w:right w:val="none" w:sz="0" w:space="0" w:color="auto"/>
          </w:divBdr>
        </w:div>
        <w:div w:id="490633754">
          <w:marLeft w:val="1166"/>
          <w:marRight w:val="0"/>
          <w:marTop w:val="77"/>
          <w:marBottom w:val="0"/>
          <w:divBdr>
            <w:top w:val="none" w:sz="0" w:space="0" w:color="auto"/>
            <w:left w:val="none" w:sz="0" w:space="0" w:color="auto"/>
            <w:bottom w:val="none" w:sz="0" w:space="0" w:color="auto"/>
            <w:right w:val="none" w:sz="0" w:space="0" w:color="auto"/>
          </w:divBdr>
        </w:div>
        <w:div w:id="602228841">
          <w:marLeft w:val="2520"/>
          <w:marRight w:val="0"/>
          <w:marTop w:val="58"/>
          <w:marBottom w:val="0"/>
          <w:divBdr>
            <w:top w:val="none" w:sz="0" w:space="0" w:color="auto"/>
            <w:left w:val="none" w:sz="0" w:space="0" w:color="auto"/>
            <w:bottom w:val="none" w:sz="0" w:space="0" w:color="auto"/>
            <w:right w:val="none" w:sz="0" w:space="0" w:color="auto"/>
          </w:divBdr>
        </w:div>
        <w:div w:id="764225982">
          <w:marLeft w:val="1166"/>
          <w:marRight w:val="0"/>
          <w:marTop w:val="77"/>
          <w:marBottom w:val="0"/>
          <w:divBdr>
            <w:top w:val="none" w:sz="0" w:space="0" w:color="auto"/>
            <w:left w:val="none" w:sz="0" w:space="0" w:color="auto"/>
            <w:bottom w:val="none" w:sz="0" w:space="0" w:color="auto"/>
            <w:right w:val="none" w:sz="0" w:space="0" w:color="auto"/>
          </w:divBdr>
        </w:div>
        <w:div w:id="910966618">
          <w:marLeft w:val="547"/>
          <w:marRight w:val="0"/>
          <w:marTop w:val="86"/>
          <w:marBottom w:val="0"/>
          <w:divBdr>
            <w:top w:val="none" w:sz="0" w:space="0" w:color="auto"/>
            <w:left w:val="none" w:sz="0" w:space="0" w:color="auto"/>
            <w:bottom w:val="none" w:sz="0" w:space="0" w:color="auto"/>
            <w:right w:val="none" w:sz="0" w:space="0" w:color="auto"/>
          </w:divBdr>
        </w:div>
        <w:div w:id="1299726682">
          <w:marLeft w:val="1166"/>
          <w:marRight w:val="0"/>
          <w:marTop w:val="77"/>
          <w:marBottom w:val="0"/>
          <w:divBdr>
            <w:top w:val="none" w:sz="0" w:space="0" w:color="auto"/>
            <w:left w:val="none" w:sz="0" w:space="0" w:color="auto"/>
            <w:bottom w:val="none" w:sz="0" w:space="0" w:color="auto"/>
            <w:right w:val="none" w:sz="0" w:space="0" w:color="auto"/>
          </w:divBdr>
        </w:div>
        <w:div w:id="1305238264">
          <w:marLeft w:val="1800"/>
          <w:marRight w:val="0"/>
          <w:marTop w:val="67"/>
          <w:marBottom w:val="0"/>
          <w:divBdr>
            <w:top w:val="none" w:sz="0" w:space="0" w:color="auto"/>
            <w:left w:val="none" w:sz="0" w:space="0" w:color="auto"/>
            <w:bottom w:val="none" w:sz="0" w:space="0" w:color="auto"/>
            <w:right w:val="none" w:sz="0" w:space="0" w:color="auto"/>
          </w:divBdr>
        </w:div>
        <w:div w:id="1361474880">
          <w:marLeft w:val="547"/>
          <w:marRight w:val="0"/>
          <w:marTop w:val="86"/>
          <w:marBottom w:val="0"/>
          <w:divBdr>
            <w:top w:val="none" w:sz="0" w:space="0" w:color="auto"/>
            <w:left w:val="none" w:sz="0" w:space="0" w:color="auto"/>
            <w:bottom w:val="none" w:sz="0" w:space="0" w:color="auto"/>
            <w:right w:val="none" w:sz="0" w:space="0" w:color="auto"/>
          </w:divBdr>
        </w:div>
        <w:div w:id="1481657470">
          <w:marLeft w:val="1166"/>
          <w:marRight w:val="0"/>
          <w:marTop w:val="77"/>
          <w:marBottom w:val="0"/>
          <w:divBdr>
            <w:top w:val="none" w:sz="0" w:space="0" w:color="auto"/>
            <w:left w:val="none" w:sz="0" w:space="0" w:color="auto"/>
            <w:bottom w:val="none" w:sz="0" w:space="0" w:color="auto"/>
            <w:right w:val="none" w:sz="0" w:space="0" w:color="auto"/>
          </w:divBdr>
        </w:div>
        <w:div w:id="1668244928">
          <w:marLeft w:val="1166"/>
          <w:marRight w:val="0"/>
          <w:marTop w:val="77"/>
          <w:marBottom w:val="0"/>
          <w:divBdr>
            <w:top w:val="none" w:sz="0" w:space="0" w:color="auto"/>
            <w:left w:val="none" w:sz="0" w:space="0" w:color="auto"/>
            <w:bottom w:val="none" w:sz="0" w:space="0" w:color="auto"/>
            <w:right w:val="none" w:sz="0" w:space="0" w:color="auto"/>
          </w:divBdr>
        </w:div>
        <w:div w:id="2012831763">
          <w:marLeft w:val="1800"/>
          <w:marRight w:val="0"/>
          <w:marTop w:val="67"/>
          <w:marBottom w:val="0"/>
          <w:divBdr>
            <w:top w:val="none" w:sz="0" w:space="0" w:color="auto"/>
            <w:left w:val="none" w:sz="0" w:space="0" w:color="auto"/>
            <w:bottom w:val="none" w:sz="0" w:space="0" w:color="auto"/>
            <w:right w:val="none" w:sz="0" w:space="0" w:color="auto"/>
          </w:divBdr>
        </w:div>
      </w:divsChild>
    </w:div>
    <w:div w:id="368339338">
      <w:bodyDiv w:val="1"/>
      <w:marLeft w:val="0"/>
      <w:marRight w:val="0"/>
      <w:marTop w:val="0"/>
      <w:marBottom w:val="0"/>
      <w:divBdr>
        <w:top w:val="none" w:sz="0" w:space="0" w:color="auto"/>
        <w:left w:val="none" w:sz="0" w:space="0" w:color="auto"/>
        <w:bottom w:val="none" w:sz="0" w:space="0" w:color="auto"/>
        <w:right w:val="none" w:sz="0" w:space="0" w:color="auto"/>
      </w:divBdr>
    </w:div>
    <w:div w:id="369231140">
      <w:bodyDiv w:val="1"/>
      <w:marLeft w:val="0"/>
      <w:marRight w:val="0"/>
      <w:marTop w:val="0"/>
      <w:marBottom w:val="0"/>
      <w:divBdr>
        <w:top w:val="none" w:sz="0" w:space="0" w:color="auto"/>
        <w:left w:val="none" w:sz="0" w:space="0" w:color="auto"/>
        <w:bottom w:val="none" w:sz="0" w:space="0" w:color="auto"/>
        <w:right w:val="none" w:sz="0" w:space="0" w:color="auto"/>
      </w:divBdr>
      <w:divsChild>
        <w:div w:id="192308382">
          <w:marLeft w:val="360"/>
          <w:marRight w:val="0"/>
          <w:marTop w:val="200"/>
          <w:marBottom w:val="0"/>
          <w:divBdr>
            <w:top w:val="none" w:sz="0" w:space="0" w:color="auto"/>
            <w:left w:val="none" w:sz="0" w:space="0" w:color="auto"/>
            <w:bottom w:val="none" w:sz="0" w:space="0" w:color="auto"/>
            <w:right w:val="none" w:sz="0" w:space="0" w:color="auto"/>
          </w:divBdr>
        </w:div>
        <w:div w:id="276909621">
          <w:marLeft w:val="1080"/>
          <w:marRight w:val="0"/>
          <w:marTop w:val="100"/>
          <w:marBottom w:val="0"/>
          <w:divBdr>
            <w:top w:val="none" w:sz="0" w:space="0" w:color="auto"/>
            <w:left w:val="none" w:sz="0" w:space="0" w:color="auto"/>
            <w:bottom w:val="none" w:sz="0" w:space="0" w:color="auto"/>
            <w:right w:val="none" w:sz="0" w:space="0" w:color="auto"/>
          </w:divBdr>
        </w:div>
        <w:div w:id="584724084">
          <w:marLeft w:val="1080"/>
          <w:marRight w:val="0"/>
          <w:marTop w:val="100"/>
          <w:marBottom w:val="0"/>
          <w:divBdr>
            <w:top w:val="none" w:sz="0" w:space="0" w:color="auto"/>
            <w:left w:val="none" w:sz="0" w:space="0" w:color="auto"/>
            <w:bottom w:val="none" w:sz="0" w:space="0" w:color="auto"/>
            <w:right w:val="none" w:sz="0" w:space="0" w:color="auto"/>
          </w:divBdr>
        </w:div>
        <w:div w:id="969870104">
          <w:marLeft w:val="1080"/>
          <w:marRight w:val="0"/>
          <w:marTop w:val="100"/>
          <w:marBottom w:val="0"/>
          <w:divBdr>
            <w:top w:val="none" w:sz="0" w:space="0" w:color="auto"/>
            <w:left w:val="none" w:sz="0" w:space="0" w:color="auto"/>
            <w:bottom w:val="none" w:sz="0" w:space="0" w:color="auto"/>
            <w:right w:val="none" w:sz="0" w:space="0" w:color="auto"/>
          </w:divBdr>
        </w:div>
        <w:div w:id="1555506326">
          <w:marLeft w:val="1080"/>
          <w:marRight w:val="0"/>
          <w:marTop w:val="100"/>
          <w:marBottom w:val="0"/>
          <w:divBdr>
            <w:top w:val="none" w:sz="0" w:space="0" w:color="auto"/>
            <w:left w:val="none" w:sz="0" w:space="0" w:color="auto"/>
            <w:bottom w:val="none" w:sz="0" w:space="0" w:color="auto"/>
            <w:right w:val="none" w:sz="0" w:space="0" w:color="auto"/>
          </w:divBdr>
        </w:div>
        <w:div w:id="1632007802">
          <w:marLeft w:val="1080"/>
          <w:marRight w:val="0"/>
          <w:marTop w:val="100"/>
          <w:marBottom w:val="0"/>
          <w:divBdr>
            <w:top w:val="none" w:sz="0" w:space="0" w:color="auto"/>
            <w:left w:val="none" w:sz="0" w:space="0" w:color="auto"/>
            <w:bottom w:val="none" w:sz="0" w:space="0" w:color="auto"/>
            <w:right w:val="none" w:sz="0" w:space="0" w:color="auto"/>
          </w:divBdr>
        </w:div>
        <w:div w:id="1711756399">
          <w:marLeft w:val="1080"/>
          <w:marRight w:val="0"/>
          <w:marTop w:val="100"/>
          <w:marBottom w:val="0"/>
          <w:divBdr>
            <w:top w:val="none" w:sz="0" w:space="0" w:color="auto"/>
            <w:left w:val="none" w:sz="0" w:space="0" w:color="auto"/>
            <w:bottom w:val="none" w:sz="0" w:space="0" w:color="auto"/>
            <w:right w:val="none" w:sz="0" w:space="0" w:color="auto"/>
          </w:divBdr>
        </w:div>
        <w:div w:id="1947224494">
          <w:marLeft w:val="1080"/>
          <w:marRight w:val="0"/>
          <w:marTop w:val="100"/>
          <w:marBottom w:val="0"/>
          <w:divBdr>
            <w:top w:val="none" w:sz="0" w:space="0" w:color="auto"/>
            <w:left w:val="none" w:sz="0" w:space="0" w:color="auto"/>
            <w:bottom w:val="none" w:sz="0" w:space="0" w:color="auto"/>
            <w:right w:val="none" w:sz="0" w:space="0" w:color="auto"/>
          </w:divBdr>
        </w:div>
        <w:div w:id="2088333881">
          <w:marLeft w:val="360"/>
          <w:marRight w:val="0"/>
          <w:marTop w:val="200"/>
          <w:marBottom w:val="0"/>
          <w:divBdr>
            <w:top w:val="none" w:sz="0" w:space="0" w:color="auto"/>
            <w:left w:val="none" w:sz="0" w:space="0" w:color="auto"/>
            <w:bottom w:val="none" w:sz="0" w:space="0" w:color="auto"/>
            <w:right w:val="none" w:sz="0" w:space="0" w:color="auto"/>
          </w:divBdr>
        </w:div>
      </w:divsChild>
    </w:div>
    <w:div w:id="369376853">
      <w:bodyDiv w:val="1"/>
      <w:marLeft w:val="0"/>
      <w:marRight w:val="0"/>
      <w:marTop w:val="0"/>
      <w:marBottom w:val="0"/>
      <w:divBdr>
        <w:top w:val="none" w:sz="0" w:space="0" w:color="auto"/>
        <w:left w:val="none" w:sz="0" w:space="0" w:color="auto"/>
        <w:bottom w:val="none" w:sz="0" w:space="0" w:color="auto"/>
        <w:right w:val="none" w:sz="0" w:space="0" w:color="auto"/>
      </w:divBdr>
    </w:div>
    <w:div w:id="372659790">
      <w:bodyDiv w:val="1"/>
      <w:marLeft w:val="0"/>
      <w:marRight w:val="0"/>
      <w:marTop w:val="0"/>
      <w:marBottom w:val="0"/>
      <w:divBdr>
        <w:top w:val="none" w:sz="0" w:space="0" w:color="auto"/>
        <w:left w:val="none" w:sz="0" w:space="0" w:color="auto"/>
        <w:bottom w:val="none" w:sz="0" w:space="0" w:color="auto"/>
        <w:right w:val="none" w:sz="0" w:space="0" w:color="auto"/>
      </w:divBdr>
    </w:div>
    <w:div w:id="373315667">
      <w:bodyDiv w:val="1"/>
      <w:marLeft w:val="0"/>
      <w:marRight w:val="0"/>
      <w:marTop w:val="0"/>
      <w:marBottom w:val="0"/>
      <w:divBdr>
        <w:top w:val="none" w:sz="0" w:space="0" w:color="auto"/>
        <w:left w:val="none" w:sz="0" w:space="0" w:color="auto"/>
        <w:bottom w:val="none" w:sz="0" w:space="0" w:color="auto"/>
        <w:right w:val="none" w:sz="0" w:space="0" w:color="auto"/>
      </w:divBdr>
    </w:div>
    <w:div w:id="373769162">
      <w:bodyDiv w:val="1"/>
      <w:marLeft w:val="0"/>
      <w:marRight w:val="0"/>
      <w:marTop w:val="0"/>
      <w:marBottom w:val="0"/>
      <w:divBdr>
        <w:top w:val="none" w:sz="0" w:space="0" w:color="auto"/>
        <w:left w:val="none" w:sz="0" w:space="0" w:color="auto"/>
        <w:bottom w:val="none" w:sz="0" w:space="0" w:color="auto"/>
        <w:right w:val="none" w:sz="0" w:space="0" w:color="auto"/>
      </w:divBdr>
      <w:divsChild>
        <w:div w:id="162741139">
          <w:marLeft w:val="1166"/>
          <w:marRight w:val="0"/>
          <w:marTop w:val="134"/>
          <w:marBottom w:val="0"/>
          <w:divBdr>
            <w:top w:val="none" w:sz="0" w:space="0" w:color="auto"/>
            <w:left w:val="none" w:sz="0" w:space="0" w:color="auto"/>
            <w:bottom w:val="none" w:sz="0" w:space="0" w:color="auto"/>
            <w:right w:val="none" w:sz="0" w:space="0" w:color="auto"/>
          </w:divBdr>
        </w:div>
        <w:div w:id="188644628">
          <w:marLeft w:val="1166"/>
          <w:marRight w:val="0"/>
          <w:marTop w:val="134"/>
          <w:marBottom w:val="0"/>
          <w:divBdr>
            <w:top w:val="none" w:sz="0" w:space="0" w:color="auto"/>
            <w:left w:val="none" w:sz="0" w:space="0" w:color="auto"/>
            <w:bottom w:val="none" w:sz="0" w:space="0" w:color="auto"/>
            <w:right w:val="none" w:sz="0" w:space="0" w:color="auto"/>
          </w:divBdr>
        </w:div>
        <w:div w:id="348066851">
          <w:marLeft w:val="1166"/>
          <w:marRight w:val="0"/>
          <w:marTop w:val="134"/>
          <w:marBottom w:val="0"/>
          <w:divBdr>
            <w:top w:val="none" w:sz="0" w:space="0" w:color="auto"/>
            <w:left w:val="none" w:sz="0" w:space="0" w:color="auto"/>
            <w:bottom w:val="none" w:sz="0" w:space="0" w:color="auto"/>
            <w:right w:val="none" w:sz="0" w:space="0" w:color="auto"/>
          </w:divBdr>
        </w:div>
        <w:div w:id="1080056417">
          <w:marLeft w:val="1166"/>
          <w:marRight w:val="0"/>
          <w:marTop w:val="134"/>
          <w:marBottom w:val="0"/>
          <w:divBdr>
            <w:top w:val="none" w:sz="0" w:space="0" w:color="auto"/>
            <w:left w:val="none" w:sz="0" w:space="0" w:color="auto"/>
            <w:bottom w:val="none" w:sz="0" w:space="0" w:color="auto"/>
            <w:right w:val="none" w:sz="0" w:space="0" w:color="auto"/>
          </w:divBdr>
        </w:div>
        <w:div w:id="2035424922">
          <w:marLeft w:val="547"/>
          <w:marRight w:val="0"/>
          <w:marTop w:val="154"/>
          <w:marBottom w:val="0"/>
          <w:divBdr>
            <w:top w:val="none" w:sz="0" w:space="0" w:color="auto"/>
            <w:left w:val="none" w:sz="0" w:space="0" w:color="auto"/>
            <w:bottom w:val="none" w:sz="0" w:space="0" w:color="auto"/>
            <w:right w:val="none" w:sz="0" w:space="0" w:color="auto"/>
          </w:divBdr>
        </w:div>
      </w:divsChild>
    </w:div>
    <w:div w:id="373817522">
      <w:bodyDiv w:val="1"/>
      <w:marLeft w:val="0"/>
      <w:marRight w:val="0"/>
      <w:marTop w:val="0"/>
      <w:marBottom w:val="0"/>
      <w:divBdr>
        <w:top w:val="none" w:sz="0" w:space="0" w:color="auto"/>
        <w:left w:val="none" w:sz="0" w:space="0" w:color="auto"/>
        <w:bottom w:val="none" w:sz="0" w:space="0" w:color="auto"/>
        <w:right w:val="none" w:sz="0" w:space="0" w:color="auto"/>
      </w:divBdr>
    </w:div>
    <w:div w:id="374353421">
      <w:bodyDiv w:val="1"/>
      <w:marLeft w:val="0"/>
      <w:marRight w:val="0"/>
      <w:marTop w:val="0"/>
      <w:marBottom w:val="0"/>
      <w:divBdr>
        <w:top w:val="none" w:sz="0" w:space="0" w:color="auto"/>
        <w:left w:val="none" w:sz="0" w:space="0" w:color="auto"/>
        <w:bottom w:val="none" w:sz="0" w:space="0" w:color="auto"/>
        <w:right w:val="none" w:sz="0" w:space="0" w:color="auto"/>
      </w:divBdr>
    </w:div>
    <w:div w:id="374546263">
      <w:bodyDiv w:val="1"/>
      <w:marLeft w:val="0"/>
      <w:marRight w:val="0"/>
      <w:marTop w:val="0"/>
      <w:marBottom w:val="0"/>
      <w:divBdr>
        <w:top w:val="none" w:sz="0" w:space="0" w:color="auto"/>
        <w:left w:val="none" w:sz="0" w:space="0" w:color="auto"/>
        <w:bottom w:val="none" w:sz="0" w:space="0" w:color="auto"/>
        <w:right w:val="none" w:sz="0" w:space="0" w:color="auto"/>
      </w:divBdr>
    </w:div>
    <w:div w:id="374669678">
      <w:bodyDiv w:val="1"/>
      <w:marLeft w:val="0"/>
      <w:marRight w:val="0"/>
      <w:marTop w:val="0"/>
      <w:marBottom w:val="0"/>
      <w:divBdr>
        <w:top w:val="none" w:sz="0" w:space="0" w:color="auto"/>
        <w:left w:val="none" w:sz="0" w:space="0" w:color="auto"/>
        <w:bottom w:val="none" w:sz="0" w:space="0" w:color="auto"/>
        <w:right w:val="none" w:sz="0" w:space="0" w:color="auto"/>
      </w:divBdr>
    </w:div>
    <w:div w:id="374696427">
      <w:bodyDiv w:val="1"/>
      <w:marLeft w:val="0"/>
      <w:marRight w:val="0"/>
      <w:marTop w:val="0"/>
      <w:marBottom w:val="0"/>
      <w:divBdr>
        <w:top w:val="none" w:sz="0" w:space="0" w:color="auto"/>
        <w:left w:val="none" w:sz="0" w:space="0" w:color="auto"/>
        <w:bottom w:val="none" w:sz="0" w:space="0" w:color="auto"/>
        <w:right w:val="none" w:sz="0" w:space="0" w:color="auto"/>
      </w:divBdr>
    </w:div>
    <w:div w:id="374744001">
      <w:bodyDiv w:val="1"/>
      <w:marLeft w:val="0"/>
      <w:marRight w:val="0"/>
      <w:marTop w:val="0"/>
      <w:marBottom w:val="0"/>
      <w:divBdr>
        <w:top w:val="none" w:sz="0" w:space="0" w:color="auto"/>
        <w:left w:val="none" w:sz="0" w:space="0" w:color="auto"/>
        <w:bottom w:val="none" w:sz="0" w:space="0" w:color="auto"/>
        <w:right w:val="none" w:sz="0" w:space="0" w:color="auto"/>
      </w:divBdr>
      <w:divsChild>
        <w:div w:id="164980490">
          <w:marLeft w:val="0"/>
          <w:marRight w:val="0"/>
          <w:marTop w:val="0"/>
          <w:marBottom w:val="0"/>
          <w:divBdr>
            <w:top w:val="none" w:sz="0" w:space="0" w:color="auto"/>
            <w:left w:val="none" w:sz="0" w:space="0" w:color="auto"/>
            <w:bottom w:val="none" w:sz="0" w:space="0" w:color="auto"/>
            <w:right w:val="none" w:sz="0" w:space="0" w:color="auto"/>
          </w:divBdr>
          <w:divsChild>
            <w:div w:id="823812587">
              <w:marLeft w:val="0"/>
              <w:marRight w:val="0"/>
              <w:marTop w:val="0"/>
              <w:marBottom w:val="0"/>
              <w:divBdr>
                <w:top w:val="none" w:sz="0" w:space="0" w:color="auto"/>
                <w:left w:val="none" w:sz="0" w:space="0" w:color="auto"/>
                <w:bottom w:val="none" w:sz="0" w:space="0" w:color="auto"/>
                <w:right w:val="none" w:sz="0" w:space="0" w:color="auto"/>
              </w:divBdr>
            </w:div>
            <w:div w:id="907304381">
              <w:marLeft w:val="0"/>
              <w:marRight w:val="0"/>
              <w:marTop w:val="0"/>
              <w:marBottom w:val="0"/>
              <w:divBdr>
                <w:top w:val="none" w:sz="0" w:space="0" w:color="auto"/>
                <w:left w:val="none" w:sz="0" w:space="0" w:color="auto"/>
                <w:bottom w:val="none" w:sz="0" w:space="0" w:color="auto"/>
                <w:right w:val="none" w:sz="0" w:space="0" w:color="auto"/>
              </w:divBdr>
            </w:div>
            <w:div w:id="1269236400">
              <w:marLeft w:val="0"/>
              <w:marRight w:val="0"/>
              <w:marTop w:val="0"/>
              <w:marBottom w:val="0"/>
              <w:divBdr>
                <w:top w:val="none" w:sz="0" w:space="0" w:color="auto"/>
                <w:left w:val="none" w:sz="0" w:space="0" w:color="auto"/>
                <w:bottom w:val="none" w:sz="0" w:space="0" w:color="auto"/>
                <w:right w:val="none" w:sz="0" w:space="0" w:color="auto"/>
              </w:divBdr>
            </w:div>
            <w:div w:id="15117976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76009170">
      <w:bodyDiv w:val="1"/>
      <w:marLeft w:val="0"/>
      <w:marRight w:val="0"/>
      <w:marTop w:val="0"/>
      <w:marBottom w:val="0"/>
      <w:divBdr>
        <w:top w:val="none" w:sz="0" w:space="0" w:color="auto"/>
        <w:left w:val="none" w:sz="0" w:space="0" w:color="auto"/>
        <w:bottom w:val="none" w:sz="0" w:space="0" w:color="auto"/>
        <w:right w:val="none" w:sz="0" w:space="0" w:color="auto"/>
      </w:divBdr>
      <w:divsChild>
        <w:div w:id="48309354">
          <w:marLeft w:val="1166"/>
          <w:marRight w:val="0"/>
          <w:marTop w:val="96"/>
          <w:marBottom w:val="0"/>
          <w:divBdr>
            <w:top w:val="none" w:sz="0" w:space="0" w:color="auto"/>
            <w:left w:val="none" w:sz="0" w:space="0" w:color="auto"/>
            <w:bottom w:val="none" w:sz="0" w:space="0" w:color="auto"/>
            <w:right w:val="none" w:sz="0" w:space="0" w:color="auto"/>
          </w:divBdr>
        </w:div>
        <w:div w:id="674965509">
          <w:marLeft w:val="1166"/>
          <w:marRight w:val="0"/>
          <w:marTop w:val="96"/>
          <w:marBottom w:val="0"/>
          <w:divBdr>
            <w:top w:val="none" w:sz="0" w:space="0" w:color="auto"/>
            <w:left w:val="none" w:sz="0" w:space="0" w:color="auto"/>
            <w:bottom w:val="none" w:sz="0" w:space="0" w:color="auto"/>
            <w:right w:val="none" w:sz="0" w:space="0" w:color="auto"/>
          </w:divBdr>
        </w:div>
        <w:div w:id="848763055">
          <w:marLeft w:val="1166"/>
          <w:marRight w:val="0"/>
          <w:marTop w:val="96"/>
          <w:marBottom w:val="0"/>
          <w:divBdr>
            <w:top w:val="none" w:sz="0" w:space="0" w:color="auto"/>
            <w:left w:val="none" w:sz="0" w:space="0" w:color="auto"/>
            <w:bottom w:val="none" w:sz="0" w:space="0" w:color="auto"/>
            <w:right w:val="none" w:sz="0" w:space="0" w:color="auto"/>
          </w:divBdr>
        </w:div>
        <w:div w:id="1335184334">
          <w:marLeft w:val="547"/>
          <w:marRight w:val="0"/>
          <w:marTop w:val="115"/>
          <w:marBottom w:val="0"/>
          <w:divBdr>
            <w:top w:val="none" w:sz="0" w:space="0" w:color="auto"/>
            <w:left w:val="none" w:sz="0" w:space="0" w:color="auto"/>
            <w:bottom w:val="none" w:sz="0" w:space="0" w:color="auto"/>
            <w:right w:val="none" w:sz="0" w:space="0" w:color="auto"/>
          </w:divBdr>
        </w:div>
        <w:div w:id="1533886682">
          <w:marLeft w:val="2520"/>
          <w:marRight w:val="0"/>
          <w:marTop w:val="77"/>
          <w:marBottom w:val="0"/>
          <w:divBdr>
            <w:top w:val="none" w:sz="0" w:space="0" w:color="auto"/>
            <w:left w:val="none" w:sz="0" w:space="0" w:color="auto"/>
            <w:bottom w:val="none" w:sz="0" w:space="0" w:color="auto"/>
            <w:right w:val="none" w:sz="0" w:space="0" w:color="auto"/>
          </w:divBdr>
        </w:div>
        <w:div w:id="1563327682">
          <w:marLeft w:val="1166"/>
          <w:marRight w:val="0"/>
          <w:marTop w:val="96"/>
          <w:marBottom w:val="0"/>
          <w:divBdr>
            <w:top w:val="none" w:sz="0" w:space="0" w:color="auto"/>
            <w:left w:val="none" w:sz="0" w:space="0" w:color="auto"/>
            <w:bottom w:val="none" w:sz="0" w:space="0" w:color="auto"/>
            <w:right w:val="none" w:sz="0" w:space="0" w:color="auto"/>
          </w:divBdr>
        </w:div>
        <w:div w:id="1641768284">
          <w:marLeft w:val="3240"/>
          <w:marRight w:val="0"/>
          <w:marTop w:val="77"/>
          <w:marBottom w:val="0"/>
          <w:divBdr>
            <w:top w:val="none" w:sz="0" w:space="0" w:color="auto"/>
            <w:left w:val="none" w:sz="0" w:space="0" w:color="auto"/>
            <w:bottom w:val="none" w:sz="0" w:space="0" w:color="auto"/>
            <w:right w:val="none" w:sz="0" w:space="0" w:color="auto"/>
          </w:divBdr>
        </w:div>
        <w:div w:id="1733575578">
          <w:marLeft w:val="2520"/>
          <w:marRight w:val="0"/>
          <w:marTop w:val="77"/>
          <w:marBottom w:val="0"/>
          <w:divBdr>
            <w:top w:val="none" w:sz="0" w:space="0" w:color="auto"/>
            <w:left w:val="none" w:sz="0" w:space="0" w:color="auto"/>
            <w:bottom w:val="none" w:sz="0" w:space="0" w:color="auto"/>
            <w:right w:val="none" w:sz="0" w:space="0" w:color="auto"/>
          </w:divBdr>
        </w:div>
        <w:div w:id="1771731729">
          <w:marLeft w:val="2520"/>
          <w:marRight w:val="0"/>
          <w:marTop w:val="77"/>
          <w:marBottom w:val="0"/>
          <w:divBdr>
            <w:top w:val="none" w:sz="0" w:space="0" w:color="auto"/>
            <w:left w:val="none" w:sz="0" w:space="0" w:color="auto"/>
            <w:bottom w:val="none" w:sz="0" w:space="0" w:color="auto"/>
            <w:right w:val="none" w:sz="0" w:space="0" w:color="auto"/>
          </w:divBdr>
        </w:div>
        <w:div w:id="1830949684">
          <w:marLeft w:val="1800"/>
          <w:marRight w:val="0"/>
          <w:marTop w:val="86"/>
          <w:marBottom w:val="0"/>
          <w:divBdr>
            <w:top w:val="none" w:sz="0" w:space="0" w:color="auto"/>
            <w:left w:val="none" w:sz="0" w:space="0" w:color="auto"/>
            <w:bottom w:val="none" w:sz="0" w:space="0" w:color="auto"/>
            <w:right w:val="none" w:sz="0" w:space="0" w:color="auto"/>
          </w:divBdr>
        </w:div>
        <w:div w:id="2104909263">
          <w:marLeft w:val="1800"/>
          <w:marRight w:val="0"/>
          <w:marTop w:val="86"/>
          <w:marBottom w:val="0"/>
          <w:divBdr>
            <w:top w:val="none" w:sz="0" w:space="0" w:color="auto"/>
            <w:left w:val="none" w:sz="0" w:space="0" w:color="auto"/>
            <w:bottom w:val="none" w:sz="0" w:space="0" w:color="auto"/>
            <w:right w:val="none" w:sz="0" w:space="0" w:color="auto"/>
          </w:divBdr>
        </w:div>
        <w:div w:id="2125423686">
          <w:marLeft w:val="3240"/>
          <w:marRight w:val="0"/>
          <w:marTop w:val="77"/>
          <w:marBottom w:val="0"/>
          <w:divBdr>
            <w:top w:val="none" w:sz="0" w:space="0" w:color="auto"/>
            <w:left w:val="none" w:sz="0" w:space="0" w:color="auto"/>
            <w:bottom w:val="none" w:sz="0" w:space="0" w:color="auto"/>
            <w:right w:val="none" w:sz="0" w:space="0" w:color="auto"/>
          </w:divBdr>
        </w:div>
      </w:divsChild>
    </w:div>
    <w:div w:id="376316753">
      <w:bodyDiv w:val="1"/>
      <w:marLeft w:val="0"/>
      <w:marRight w:val="0"/>
      <w:marTop w:val="0"/>
      <w:marBottom w:val="0"/>
      <w:divBdr>
        <w:top w:val="none" w:sz="0" w:space="0" w:color="auto"/>
        <w:left w:val="none" w:sz="0" w:space="0" w:color="auto"/>
        <w:bottom w:val="none" w:sz="0" w:space="0" w:color="auto"/>
        <w:right w:val="none" w:sz="0" w:space="0" w:color="auto"/>
      </w:divBdr>
    </w:div>
    <w:div w:id="376665612">
      <w:bodyDiv w:val="1"/>
      <w:marLeft w:val="0"/>
      <w:marRight w:val="0"/>
      <w:marTop w:val="0"/>
      <w:marBottom w:val="0"/>
      <w:divBdr>
        <w:top w:val="none" w:sz="0" w:space="0" w:color="auto"/>
        <w:left w:val="none" w:sz="0" w:space="0" w:color="auto"/>
        <w:bottom w:val="none" w:sz="0" w:space="0" w:color="auto"/>
        <w:right w:val="none" w:sz="0" w:space="0" w:color="auto"/>
      </w:divBdr>
    </w:div>
    <w:div w:id="377898208">
      <w:bodyDiv w:val="1"/>
      <w:marLeft w:val="0"/>
      <w:marRight w:val="0"/>
      <w:marTop w:val="0"/>
      <w:marBottom w:val="0"/>
      <w:divBdr>
        <w:top w:val="none" w:sz="0" w:space="0" w:color="auto"/>
        <w:left w:val="none" w:sz="0" w:space="0" w:color="auto"/>
        <w:bottom w:val="none" w:sz="0" w:space="0" w:color="auto"/>
        <w:right w:val="none" w:sz="0" w:space="0" w:color="auto"/>
      </w:divBdr>
    </w:div>
    <w:div w:id="380831878">
      <w:bodyDiv w:val="1"/>
      <w:marLeft w:val="0"/>
      <w:marRight w:val="0"/>
      <w:marTop w:val="0"/>
      <w:marBottom w:val="0"/>
      <w:divBdr>
        <w:top w:val="none" w:sz="0" w:space="0" w:color="auto"/>
        <w:left w:val="none" w:sz="0" w:space="0" w:color="auto"/>
        <w:bottom w:val="none" w:sz="0" w:space="0" w:color="auto"/>
        <w:right w:val="none" w:sz="0" w:space="0" w:color="auto"/>
      </w:divBdr>
    </w:div>
    <w:div w:id="381439687">
      <w:bodyDiv w:val="1"/>
      <w:marLeft w:val="0"/>
      <w:marRight w:val="0"/>
      <w:marTop w:val="0"/>
      <w:marBottom w:val="0"/>
      <w:divBdr>
        <w:top w:val="none" w:sz="0" w:space="0" w:color="auto"/>
        <w:left w:val="none" w:sz="0" w:space="0" w:color="auto"/>
        <w:bottom w:val="none" w:sz="0" w:space="0" w:color="auto"/>
        <w:right w:val="none" w:sz="0" w:space="0" w:color="auto"/>
      </w:divBdr>
    </w:div>
    <w:div w:id="382101359">
      <w:bodyDiv w:val="1"/>
      <w:marLeft w:val="0"/>
      <w:marRight w:val="0"/>
      <w:marTop w:val="0"/>
      <w:marBottom w:val="0"/>
      <w:divBdr>
        <w:top w:val="none" w:sz="0" w:space="0" w:color="auto"/>
        <w:left w:val="none" w:sz="0" w:space="0" w:color="auto"/>
        <w:bottom w:val="none" w:sz="0" w:space="0" w:color="auto"/>
        <w:right w:val="none" w:sz="0" w:space="0" w:color="auto"/>
      </w:divBdr>
    </w:div>
    <w:div w:id="382759259">
      <w:bodyDiv w:val="1"/>
      <w:marLeft w:val="0"/>
      <w:marRight w:val="0"/>
      <w:marTop w:val="0"/>
      <w:marBottom w:val="0"/>
      <w:divBdr>
        <w:top w:val="none" w:sz="0" w:space="0" w:color="auto"/>
        <w:left w:val="none" w:sz="0" w:space="0" w:color="auto"/>
        <w:bottom w:val="none" w:sz="0" w:space="0" w:color="auto"/>
        <w:right w:val="none" w:sz="0" w:space="0" w:color="auto"/>
      </w:divBdr>
    </w:div>
    <w:div w:id="382946746">
      <w:bodyDiv w:val="1"/>
      <w:marLeft w:val="0"/>
      <w:marRight w:val="0"/>
      <w:marTop w:val="0"/>
      <w:marBottom w:val="0"/>
      <w:divBdr>
        <w:top w:val="none" w:sz="0" w:space="0" w:color="auto"/>
        <w:left w:val="none" w:sz="0" w:space="0" w:color="auto"/>
        <w:bottom w:val="none" w:sz="0" w:space="0" w:color="auto"/>
        <w:right w:val="none" w:sz="0" w:space="0" w:color="auto"/>
      </w:divBdr>
      <w:divsChild>
        <w:div w:id="1321040827">
          <w:marLeft w:val="1166"/>
          <w:marRight w:val="0"/>
          <w:marTop w:val="115"/>
          <w:marBottom w:val="0"/>
          <w:divBdr>
            <w:top w:val="none" w:sz="0" w:space="0" w:color="auto"/>
            <w:left w:val="none" w:sz="0" w:space="0" w:color="auto"/>
            <w:bottom w:val="none" w:sz="0" w:space="0" w:color="auto"/>
            <w:right w:val="none" w:sz="0" w:space="0" w:color="auto"/>
          </w:divBdr>
        </w:div>
        <w:div w:id="1502041733">
          <w:marLeft w:val="547"/>
          <w:marRight w:val="0"/>
          <w:marTop w:val="134"/>
          <w:marBottom w:val="0"/>
          <w:divBdr>
            <w:top w:val="none" w:sz="0" w:space="0" w:color="auto"/>
            <w:left w:val="none" w:sz="0" w:space="0" w:color="auto"/>
            <w:bottom w:val="none" w:sz="0" w:space="0" w:color="auto"/>
            <w:right w:val="none" w:sz="0" w:space="0" w:color="auto"/>
          </w:divBdr>
        </w:div>
        <w:div w:id="1629623719">
          <w:marLeft w:val="547"/>
          <w:marRight w:val="0"/>
          <w:marTop w:val="134"/>
          <w:marBottom w:val="0"/>
          <w:divBdr>
            <w:top w:val="none" w:sz="0" w:space="0" w:color="auto"/>
            <w:left w:val="none" w:sz="0" w:space="0" w:color="auto"/>
            <w:bottom w:val="none" w:sz="0" w:space="0" w:color="auto"/>
            <w:right w:val="none" w:sz="0" w:space="0" w:color="auto"/>
          </w:divBdr>
        </w:div>
        <w:div w:id="1657605611">
          <w:marLeft w:val="1166"/>
          <w:marRight w:val="0"/>
          <w:marTop w:val="115"/>
          <w:marBottom w:val="0"/>
          <w:divBdr>
            <w:top w:val="none" w:sz="0" w:space="0" w:color="auto"/>
            <w:left w:val="none" w:sz="0" w:space="0" w:color="auto"/>
            <w:bottom w:val="none" w:sz="0" w:space="0" w:color="auto"/>
            <w:right w:val="none" w:sz="0" w:space="0" w:color="auto"/>
          </w:divBdr>
        </w:div>
        <w:div w:id="1785727334">
          <w:marLeft w:val="1166"/>
          <w:marRight w:val="0"/>
          <w:marTop w:val="115"/>
          <w:marBottom w:val="0"/>
          <w:divBdr>
            <w:top w:val="none" w:sz="0" w:space="0" w:color="auto"/>
            <w:left w:val="none" w:sz="0" w:space="0" w:color="auto"/>
            <w:bottom w:val="none" w:sz="0" w:space="0" w:color="auto"/>
            <w:right w:val="none" w:sz="0" w:space="0" w:color="auto"/>
          </w:divBdr>
        </w:div>
        <w:div w:id="1811702810">
          <w:marLeft w:val="1166"/>
          <w:marRight w:val="0"/>
          <w:marTop w:val="115"/>
          <w:marBottom w:val="0"/>
          <w:divBdr>
            <w:top w:val="none" w:sz="0" w:space="0" w:color="auto"/>
            <w:left w:val="none" w:sz="0" w:space="0" w:color="auto"/>
            <w:bottom w:val="none" w:sz="0" w:space="0" w:color="auto"/>
            <w:right w:val="none" w:sz="0" w:space="0" w:color="auto"/>
          </w:divBdr>
        </w:div>
      </w:divsChild>
    </w:div>
    <w:div w:id="385032475">
      <w:bodyDiv w:val="1"/>
      <w:marLeft w:val="0"/>
      <w:marRight w:val="0"/>
      <w:marTop w:val="0"/>
      <w:marBottom w:val="0"/>
      <w:divBdr>
        <w:top w:val="none" w:sz="0" w:space="0" w:color="auto"/>
        <w:left w:val="none" w:sz="0" w:space="0" w:color="auto"/>
        <w:bottom w:val="none" w:sz="0" w:space="0" w:color="auto"/>
        <w:right w:val="none" w:sz="0" w:space="0" w:color="auto"/>
      </w:divBdr>
      <w:divsChild>
        <w:div w:id="212084858">
          <w:marLeft w:val="1800"/>
          <w:marRight w:val="144"/>
          <w:marTop w:val="0"/>
          <w:marBottom w:val="120"/>
          <w:divBdr>
            <w:top w:val="none" w:sz="0" w:space="0" w:color="auto"/>
            <w:left w:val="none" w:sz="0" w:space="0" w:color="auto"/>
            <w:bottom w:val="none" w:sz="0" w:space="0" w:color="auto"/>
            <w:right w:val="none" w:sz="0" w:space="0" w:color="auto"/>
          </w:divBdr>
        </w:div>
        <w:div w:id="457187677">
          <w:marLeft w:val="1800"/>
          <w:marRight w:val="144"/>
          <w:marTop w:val="0"/>
          <w:marBottom w:val="120"/>
          <w:divBdr>
            <w:top w:val="none" w:sz="0" w:space="0" w:color="auto"/>
            <w:left w:val="none" w:sz="0" w:space="0" w:color="auto"/>
            <w:bottom w:val="none" w:sz="0" w:space="0" w:color="auto"/>
            <w:right w:val="none" w:sz="0" w:space="0" w:color="auto"/>
          </w:divBdr>
        </w:div>
        <w:div w:id="545607239">
          <w:marLeft w:val="1800"/>
          <w:marRight w:val="144"/>
          <w:marTop w:val="0"/>
          <w:marBottom w:val="120"/>
          <w:divBdr>
            <w:top w:val="none" w:sz="0" w:space="0" w:color="auto"/>
            <w:left w:val="none" w:sz="0" w:space="0" w:color="auto"/>
            <w:bottom w:val="none" w:sz="0" w:space="0" w:color="auto"/>
            <w:right w:val="none" w:sz="0" w:space="0" w:color="auto"/>
          </w:divBdr>
        </w:div>
        <w:div w:id="878081671">
          <w:marLeft w:val="1166"/>
          <w:marRight w:val="144"/>
          <w:marTop w:val="0"/>
          <w:marBottom w:val="120"/>
          <w:divBdr>
            <w:top w:val="none" w:sz="0" w:space="0" w:color="auto"/>
            <w:left w:val="none" w:sz="0" w:space="0" w:color="auto"/>
            <w:bottom w:val="none" w:sz="0" w:space="0" w:color="auto"/>
            <w:right w:val="none" w:sz="0" w:space="0" w:color="auto"/>
          </w:divBdr>
        </w:div>
        <w:div w:id="1050152825">
          <w:marLeft w:val="1166"/>
          <w:marRight w:val="144"/>
          <w:marTop w:val="0"/>
          <w:marBottom w:val="120"/>
          <w:divBdr>
            <w:top w:val="none" w:sz="0" w:space="0" w:color="auto"/>
            <w:left w:val="none" w:sz="0" w:space="0" w:color="auto"/>
            <w:bottom w:val="none" w:sz="0" w:space="0" w:color="auto"/>
            <w:right w:val="none" w:sz="0" w:space="0" w:color="auto"/>
          </w:divBdr>
        </w:div>
        <w:div w:id="1288732307">
          <w:marLeft w:val="1800"/>
          <w:marRight w:val="144"/>
          <w:marTop w:val="0"/>
          <w:marBottom w:val="120"/>
          <w:divBdr>
            <w:top w:val="none" w:sz="0" w:space="0" w:color="auto"/>
            <w:left w:val="none" w:sz="0" w:space="0" w:color="auto"/>
            <w:bottom w:val="none" w:sz="0" w:space="0" w:color="auto"/>
            <w:right w:val="none" w:sz="0" w:space="0" w:color="auto"/>
          </w:divBdr>
        </w:div>
        <w:div w:id="1606575153">
          <w:marLeft w:val="547"/>
          <w:marRight w:val="144"/>
          <w:marTop w:val="0"/>
          <w:marBottom w:val="120"/>
          <w:divBdr>
            <w:top w:val="none" w:sz="0" w:space="0" w:color="auto"/>
            <w:left w:val="none" w:sz="0" w:space="0" w:color="auto"/>
            <w:bottom w:val="none" w:sz="0" w:space="0" w:color="auto"/>
            <w:right w:val="none" w:sz="0" w:space="0" w:color="auto"/>
          </w:divBdr>
        </w:div>
        <w:div w:id="2101176306">
          <w:marLeft w:val="1166"/>
          <w:marRight w:val="144"/>
          <w:marTop w:val="0"/>
          <w:marBottom w:val="120"/>
          <w:divBdr>
            <w:top w:val="none" w:sz="0" w:space="0" w:color="auto"/>
            <w:left w:val="none" w:sz="0" w:space="0" w:color="auto"/>
            <w:bottom w:val="none" w:sz="0" w:space="0" w:color="auto"/>
            <w:right w:val="none" w:sz="0" w:space="0" w:color="auto"/>
          </w:divBdr>
        </w:div>
      </w:divsChild>
    </w:div>
    <w:div w:id="388576589">
      <w:bodyDiv w:val="1"/>
      <w:marLeft w:val="0"/>
      <w:marRight w:val="0"/>
      <w:marTop w:val="0"/>
      <w:marBottom w:val="0"/>
      <w:divBdr>
        <w:top w:val="none" w:sz="0" w:space="0" w:color="auto"/>
        <w:left w:val="none" w:sz="0" w:space="0" w:color="auto"/>
        <w:bottom w:val="none" w:sz="0" w:space="0" w:color="auto"/>
        <w:right w:val="none" w:sz="0" w:space="0" w:color="auto"/>
      </w:divBdr>
    </w:div>
    <w:div w:id="389110335">
      <w:bodyDiv w:val="1"/>
      <w:marLeft w:val="0"/>
      <w:marRight w:val="0"/>
      <w:marTop w:val="0"/>
      <w:marBottom w:val="0"/>
      <w:divBdr>
        <w:top w:val="none" w:sz="0" w:space="0" w:color="auto"/>
        <w:left w:val="none" w:sz="0" w:space="0" w:color="auto"/>
        <w:bottom w:val="none" w:sz="0" w:space="0" w:color="auto"/>
        <w:right w:val="none" w:sz="0" w:space="0" w:color="auto"/>
      </w:divBdr>
    </w:div>
    <w:div w:id="389311502">
      <w:bodyDiv w:val="1"/>
      <w:marLeft w:val="0"/>
      <w:marRight w:val="0"/>
      <w:marTop w:val="0"/>
      <w:marBottom w:val="0"/>
      <w:divBdr>
        <w:top w:val="none" w:sz="0" w:space="0" w:color="auto"/>
        <w:left w:val="none" w:sz="0" w:space="0" w:color="auto"/>
        <w:bottom w:val="none" w:sz="0" w:space="0" w:color="auto"/>
        <w:right w:val="none" w:sz="0" w:space="0" w:color="auto"/>
      </w:divBdr>
      <w:divsChild>
        <w:div w:id="151289299">
          <w:marLeft w:val="547"/>
          <w:marRight w:val="0"/>
          <w:marTop w:val="144"/>
          <w:marBottom w:val="0"/>
          <w:divBdr>
            <w:top w:val="none" w:sz="0" w:space="0" w:color="auto"/>
            <w:left w:val="none" w:sz="0" w:space="0" w:color="auto"/>
            <w:bottom w:val="none" w:sz="0" w:space="0" w:color="auto"/>
            <w:right w:val="none" w:sz="0" w:space="0" w:color="auto"/>
          </w:divBdr>
        </w:div>
        <w:div w:id="649600508">
          <w:marLeft w:val="547"/>
          <w:marRight w:val="0"/>
          <w:marTop w:val="144"/>
          <w:marBottom w:val="0"/>
          <w:divBdr>
            <w:top w:val="none" w:sz="0" w:space="0" w:color="auto"/>
            <w:left w:val="none" w:sz="0" w:space="0" w:color="auto"/>
            <w:bottom w:val="none" w:sz="0" w:space="0" w:color="auto"/>
            <w:right w:val="none" w:sz="0" w:space="0" w:color="auto"/>
          </w:divBdr>
        </w:div>
        <w:div w:id="1108040212">
          <w:marLeft w:val="1166"/>
          <w:marRight w:val="0"/>
          <w:marTop w:val="125"/>
          <w:marBottom w:val="0"/>
          <w:divBdr>
            <w:top w:val="none" w:sz="0" w:space="0" w:color="auto"/>
            <w:left w:val="none" w:sz="0" w:space="0" w:color="auto"/>
            <w:bottom w:val="none" w:sz="0" w:space="0" w:color="auto"/>
            <w:right w:val="none" w:sz="0" w:space="0" w:color="auto"/>
          </w:divBdr>
        </w:div>
        <w:div w:id="1542281306">
          <w:marLeft w:val="547"/>
          <w:marRight w:val="0"/>
          <w:marTop w:val="115"/>
          <w:marBottom w:val="0"/>
          <w:divBdr>
            <w:top w:val="none" w:sz="0" w:space="0" w:color="auto"/>
            <w:left w:val="none" w:sz="0" w:space="0" w:color="auto"/>
            <w:bottom w:val="none" w:sz="0" w:space="0" w:color="auto"/>
            <w:right w:val="none" w:sz="0" w:space="0" w:color="auto"/>
          </w:divBdr>
        </w:div>
        <w:div w:id="1742484727">
          <w:marLeft w:val="1166"/>
          <w:marRight w:val="0"/>
          <w:marTop w:val="125"/>
          <w:marBottom w:val="0"/>
          <w:divBdr>
            <w:top w:val="none" w:sz="0" w:space="0" w:color="auto"/>
            <w:left w:val="none" w:sz="0" w:space="0" w:color="auto"/>
            <w:bottom w:val="none" w:sz="0" w:space="0" w:color="auto"/>
            <w:right w:val="none" w:sz="0" w:space="0" w:color="auto"/>
          </w:divBdr>
        </w:div>
        <w:div w:id="1898395034">
          <w:marLeft w:val="547"/>
          <w:marRight w:val="0"/>
          <w:marTop w:val="144"/>
          <w:marBottom w:val="0"/>
          <w:divBdr>
            <w:top w:val="none" w:sz="0" w:space="0" w:color="auto"/>
            <w:left w:val="none" w:sz="0" w:space="0" w:color="auto"/>
            <w:bottom w:val="none" w:sz="0" w:space="0" w:color="auto"/>
            <w:right w:val="none" w:sz="0" w:space="0" w:color="auto"/>
          </w:divBdr>
        </w:div>
      </w:divsChild>
    </w:div>
    <w:div w:id="390469648">
      <w:bodyDiv w:val="1"/>
      <w:marLeft w:val="0"/>
      <w:marRight w:val="0"/>
      <w:marTop w:val="0"/>
      <w:marBottom w:val="0"/>
      <w:divBdr>
        <w:top w:val="none" w:sz="0" w:space="0" w:color="auto"/>
        <w:left w:val="none" w:sz="0" w:space="0" w:color="auto"/>
        <w:bottom w:val="none" w:sz="0" w:space="0" w:color="auto"/>
        <w:right w:val="none" w:sz="0" w:space="0" w:color="auto"/>
      </w:divBdr>
    </w:div>
    <w:div w:id="390688565">
      <w:bodyDiv w:val="1"/>
      <w:marLeft w:val="0"/>
      <w:marRight w:val="0"/>
      <w:marTop w:val="0"/>
      <w:marBottom w:val="0"/>
      <w:divBdr>
        <w:top w:val="none" w:sz="0" w:space="0" w:color="auto"/>
        <w:left w:val="none" w:sz="0" w:space="0" w:color="auto"/>
        <w:bottom w:val="none" w:sz="0" w:space="0" w:color="auto"/>
        <w:right w:val="none" w:sz="0" w:space="0" w:color="auto"/>
      </w:divBdr>
    </w:div>
    <w:div w:id="391347959">
      <w:bodyDiv w:val="1"/>
      <w:marLeft w:val="0"/>
      <w:marRight w:val="0"/>
      <w:marTop w:val="0"/>
      <w:marBottom w:val="0"/>
      <w:divBdr>
        <w:top w:val="none" w:sz="0" w:space="0" w:color="auto"/>
        <w:left w:val="none" w:sz="0" w:space="0" w:color="auto"/>
        <w:bottom w:val="none" w:sz="0" w:space="0" w:color="auto"/>
        <w:right w:val="none" w:sz="0" w:space="0" w:color="auto"/>
      </w:divBdr>
      <w:divsChild>
        <w:div w:id="176383517">
          <w:marLeft w:val="1166"/>
          <w:marRight w:val="0"/>
          <w:marTop w:val="240"/>
          <w:marBottom w:val="0"/>
          <w:divBdr>
            <w:top w:val="none" w:sz="0" w:space="0" w:color="auto"/>
            <w:left w:val="none" w:sz="0" w:space="0" w:color="auto"/>
            <w:bottom w:val="none" w:sz="0" w:space="0" w:color="auto"/>
            <w:right w:val="none" w:sz="0" w:space="0" w:color="auto"/>
          </w:divBdr>
        </w:div>
        <w:div w:id="864097176">
          <w:marLeft w:val="547"/>
          <w:marRight w:val="0"/>
          <w:marTop w:val="240"/>
          <w:marBottom w:val="0"/>
          <w:divBdr>
            <w:top w:val="none" w:sz="0" w:space="0" w:color="auto"/>
            <w:left w:val="none" w:sz="0" w:space="0" w:color="auto"/>
            <w:bottom w:val="none" w:sz="0" w:space="0" w:color="auto"/>
            <w:right w:val="none" w:sz="0" w:space="0" w:color="auto"/>
          </w:divBdr>
        </w:div>
      </w:divsChild>
    </w:div>
    <w:div w:id="391852695">
      <w:bodyDiv w:val="1"/>
      <w:marLeft w:val="0"/>
      <w:marRight w:val="0"/>
      <w:marTop w:val="0"/>
      <w:marBottom w:val="0"/>
      <w:divBdr>
        <w:top w:val="none" w:sz="0" w:space="0" w:color="auto"/>
        <w:left w:val="none" w:sz="0" w:space="0" w:color="auto"/>
        <w:bottom w:val="none" w:sz="0" w:space="0" w:color="auto"/>
        <w:right w:val="none" w:sz="0" w:space="0" w:color="auto"/>
      </w:divBdr>
    </w:div>
    <w:div w:id="391856869">
      <w:bodyDiv w:val="1"/>
      <w:marLeft w:val="0"/>
      <w:marRight w:val="0"/>
      <w:marTop w:val="0"/>
      <w:marBottom w:val="0"/>
      <w:divBdr>
        <w:top w:val="none" w:sz="0" w:space="0" w:color="auto"/>
        <w:left w:val="none" w:sz="0" w:space="0" w:color="auto"/>
        <w:bottom w:val="none" w:sz="0" w:space="0" w:color="auto"/>
        <w:right w:val="none" w:sz="0" w:space="0" w:color="auto"/>
      </w:divBdr>
      <w:divsChild>
        <w:div w:id="306009607">
          <w:marLeft w:val="1800"/>
          <w:marRight w:val="0"/>
          <w:marTop w:val="77"/>
          <w:marBottom w:val="0"/>
          <w:divBdr>
            <w:top w:val="none" w:sz="0" w:space="0" w:color="auto"/>
            <w:left w:val="none" w:sz="0" w:space="0" w:color="auto"/>
            <w:bottom w:val="none" w:sz="0" w:space="0" w:color="auto"/>
            <w:right w:val="none" w:sz="0" w:space="0" w:color="auto"/>
          </w:divBdr>
        </w:div>
        <w:div w:id="409079876">
          <w:marLeft w:val="1800"/>
          <w:marRight w:val="0"/>
          <w:marTop w:val="77"/>
          <w:marBottom w:val="0"/>
          <w:divBdr>
            <w:top w:val="none" w:sz="0" w:space="0" w:color="auto"/>
            <w:left w:val="none" w:sz="0" w:space="0" w:color="auto"/>
            <w:bottom w:val="none" w:sz="0" w:space="0" w:color="auto"/>
            <w:right w:val="none" w:sz="0" w:space="0" w:color="auto"/>
          </w:divBdr>
        </w:div>
        <w:div w:id="678895786">
          <w:marLeft w:val="1166"/>
          <w:marRight w:val="0"/>
          <w:marTop w:val="96"/>
          <w:marBottom w:val="0"/>
          <w:divBdr>
            <w:top w:val="none" w:sz="0" w:space="0" w:color="auto"/>
            <w:left w:val="none" w:sz="0" w:space="0" w:color="auto"/>
            <w:bottom w:val="none" w:sz="0" w:space="0" w:color="auto"/>
            <w:right w:val="none" w:sz="0" w:space="0" w:color="auto"/>
          </w:divBdr>
        </w:div>
        <w:div w:id="1234271638">
          <w:marLeft w:val="1800"/>
          <w:marRight w:val="0"/>
          <w:marTop w:val="77"/>
          <w:marBottom w:val="0"/>
          <w:divBdr>
            <w:top w:val="none" w:sz="0" w:space="0" w:color="auto"/>
            <w:left w:val="none" w:sz="0" w:space="0" w:color="auto"/>
            <w:bottom w:val="none" w:sz="0" w:space="0" w:color="auto"/>
            <w:right w:val="none" w:sz="0" w:space="0" w:color="auto"/>
          </w:divBdr>
        </w:div>
        <w:div w:id="1289315593">
          <w:marLeft w:val="1166"/>
          <w:marRight w:val="0"/>
          <w:marTop w:val="96"/>
          <w:marBottom w:val="0"/>
          <w:divBdr>
            <w:top w:val="none" w:sz="0" w:space="0" w:color="auto"/>
            <w:left w:val="none" w:sz="0" w:space="0" w:color="auto"/>
            <w:bottom w:val="none" w:sz="0" w:space="0" w:color="auto"/>
            <w:right w:val="none" w:sz="0" w:space="0" w:color="auto"/>
          </w:divBdr>
        </w:div>
        <w:div w:id="1333921274">
          <w:marLeft w:val="547"/>
          <w:marRight w:val="0"/>
          <w:marTop w:val="115"/>
          <w:marBottom w:val="0"/>
          <w:divBdr>
            <w:top w:val="none" w:sz="0" w:space="0" w:color="auto"/>
            <w:left w:val="none" w:sz="0" w:space="0" w:color="auto"/>
            <w:bottom w:val="none" w:sz="0" w:space="0" w:color="auto"/>
            <w:right w:val="none" w:sz="0" w:space="0" w:color="auto"/>
          </w:divBdr>
        </w:div>
        <w:div w:id="1351182866">
          <w:marLeft w:val="1166"/>
          <w:marRight w:val="0"/>
          <w:marTop w:val="96"/>
          <w:marBottom w:val="0"/>
          <w:divBdr>
            <w:top w:val="none" w:sz="0" w:space="0" w:color="auto"/>
            <w:left w:val="none" w:sz="0" w:space="0" w:color="auto"/>
            <w:bottom w:val="none" w:sz="0" w:space="0" w:color="auto"/>
            <w:right w:val="none" w:sz="0" w:space="0" w:color="auto"/>
          </w:divBdr>
        </w:div>
        <w:div w:id="1600218401">
          <w:marLeft w:val="1800"/>
          <w:marRight w:val="0"/>
          <w:marTop w:val="77"/>
          <w:marBottom w:val="0"/>
          <w:divBdr>
            <w:top w:val="none" w:sz="0" w:space="0" w:color="auto"/>
            <w:left w:val="none" w:sz="0" w:space="0" w:color="auto"/>
            <w:bottom w:val="none" w:sz="0" w:space="0" w:color="auto"/>
            <w:right w:val="none" w:sz="0" w:space="0" w:color="auto"/>
          </w:divBdr>
        </w:div>
        <w:div w:id="1614895795">
          <w:marLeft w:val="1800"/>
          <w:marRight w:val="0"/>
          <w:marTop w:val="77"/>
          <w:marBottom w:val="0"/>
          <w:divBdr>
            <w:top w:val="none" w:sz="0" w:space="0" w:color="auto"/>
            <w:left w:val="none" w:sz="0" w:space="0" w:color="auto"/>
            <w:bottom w:val="none" w:sz="0" w:space="0" w:color="auto"/>
            <w:right w:val="none" w:sz="0" w:space="0" w:color="auto"/>
          </w:divBdr>
        </w:div>
        <w:div w:id="2112822872">
          <w:marLeft w:val="1800"/>
          <w:marRight w:val="0"/>
          <w:marTop w:val="77"/>
          <w:marBottom w:val="0"/>
          <w:divBdr>
            <w:top w:val="none" w:sz="0" w:space="0" w:color="auto"/>
            <w:left w:val="none" w:sz="0" w:space="0" w:color="auto"/>
            <w:bottom w:val="none" w:sz="0" w:space="0" w:color="auto"/>
            <w:right w:val="none" w:sz="0" w:space="0" w:color="auto"/>
          </w:divBdr>
        </w:div>
      </w:divsChild>
    </w:div>
    <w:div w:id="391931752">
      <w:bodyDiv w:val="1"/>
      <w:marLeft w:val="0"/>
      <w:marRight w:val="0"/>
      <w:marTop w:val="0"/>
      <w:marBottom w:val="0"/>
      <w:divBdr>
        <w:top w:val="none" w:sz="0" w:space="0" w:color="auto"/>
        <w:left w:val="none" w:sz="0" w:space="0" w:color="auto"/>
        <w:bottom w:val="none" w:sz="0" w:space="0" w:color="auto"/>
        <w:right w:val="none" w:sz="0" w:space="0" w:color="auto"/>
      </w:divBdr>
    </w:div>
    <w:div w:id="393286091">
      <w:bodyDiv w:val="1"/>
      <w:marLeft w:val="0"/>
      <w:marRight w:val="0"/>
      <w:marTop w:val="0"/>
      <w:marBottom w:val="0"/>
      <w:divBdr>
        <w:top w:val="none" w:sz="0" w:space="0" w:color="auto"/>
        <w:left w:val="none" w:sz="0" w:space="0" w:color="auto"/>
        <w:bottom w:val="none" w:sz="0" w:space="0" w:color="auto"/>
        <w:right w:val="none" w:sz="0" w:space="0" w:color="auto"/>
      </w:divBdr>
    </w:div>
    <w:div w:id="393893418">
      <w:bodyDiv w:val="1"/>
      <w:marLeft w:val="0"/>
      <w:marRight w:val="0"/>
      <w:marTop w:val="0"/>
      <w:marBottom w:val="0"/>
      <w:divBdr>
        <w:top w:val="none" w:sz="0" w:space="0" w:color="auto"/>
        <w:left w:val="none" w:sz="0" w:space="0" w:color="auto"/>
        <w:bottom w:val="none" w:sz="0" w:space="0" w:color="auto"/>
        <w:right w:val="none" w:sz="0" w:space="0" w:color="auto"/>
      </w:divBdr>
      <w:divsChild>
        <w:div w:id="639648970">
          <w:marLeft w:val="0"/>
          <w:marRight w:val="0"/>
          <w:marTop w:val="0"/>
          <w:marBottom w:val="0"/>
          <w:divBdr>
            <w:top w:val="none" w:sz="0" w:space="0" w:color="auto"/>
            <w:left w:val="none" w:sz="0" w:space="0" w:color="auto"/>
            <w:bottom w:val="none" w:sz="0" w:space="0" w:color="auto"/>
            <w:right w:val="none" w:sz="0" w:space="0" w:color="auto"/>
          </w:divBdr>
          <w:divsChild>
            <w:div w:id="951478578">
              <w:marLeft w:val="0"/>
              <w:marRight w:val="0"/>
              <w:marTop w:val="0"/>
              <w:marBottom w:val="0"/>
              <w:divBdr>
                <w:top w:val="none" w:sz="0" w:space="0" w:color="auto"/>
                <w:left w:val="none" w:sz="0" w:space="0" w:color="auto"/>
                <w:bottom w:val="none" w:sz="0" w:space="0" w:color="auto"/>
                <w:right w:val="none" w:sz="0" w:space="0" w:color="auto"/>
              </w:divBdr>
            </w:div>
            <w:div w:id="1239746626">
              <w:marLeft w:val="0"/>
              <w:marRight w:val="0"/>
              <w:marTop w:val="0"/>
              <w:marBottom w:val="0"/>
              <w:divBdr>
                <w:top w:val="none" w:sz="0" w:space="0" w:color="auto"/>
                <w:left w:val="none" w:sz="0" w:space="0" w:color="auto"/>
                <w:bottom w:val="none" w:sz="0" w:space="0" w:color="auto"/>
                <w:right w:val="none" w:sz="0" w:space="0" w:color="auto"/>
              </w:divBdr>
            </w:div>
            <w:div w:id="1272709770">
              <w:marLeft w:val="0"/>
              <w:marRight w:val="0"/>
              <w:marTop w:val="0"/>
              <w:marBottom w:val="0"/>
              <w:divBdr>
                <w:top w:val="none" w:sz="0" w:space="0" w:color="auto"/>
                <w:left w:val="none" w:sz="0" w:space="0" w:color="auto"/>
                <w:bottom w:val="none" w:sz="0" w:space="0" w:color="auto"/>
                <w:right w:val="none" w:sz="0" w:space="0" w:color="auto"/>
              </w:divBdr>
            </w:div>
            <w:div w:id="1471941884">
              <w:marLeft w:val="0"/>
              <w:marRight w:val="0"/>
              <w:marTop w:val="0"/>
              <w:marBottom w:val="0"/>
              <w:divBdr>
                <w:top w:val="none" w:sz="0" w:space="0" w:color="auto"/>
                <w:left w:val="none" w:sz="0" w:space="0" w:color="auto"/>
                <w:bottom w:val="none" w:sz="0" w:space="0" w:color="auto"/>
                <w:right w:val="none" w:sz="0" w:space="0" w:color="auto"/>
              </w:divBdr>
            </w:div>
            <w:div w:id="19456518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94789253">
      <w:bodyDiv w:val="1"/>
      <w:marLeft w:val="0"/>
      <w:marRight w:val="0"/>
      <w:marTop w:val="0"/>
      <w:marBottom w:val="0"/>
      <w:divBdr>
        <w:top w:val="none" w:sz="0" w:space="0" w:color="auto"/>
        <w:left w:val="none" w:sz="0" w:space="0" w:color="auto"/>
        <w:bottom w:val="none" w:sz="0" w:space="0" w:color="auto"/>
        <w:right w:val="none" w:sz="0" w:space="0" w:color="auto"/>
      </w:divBdr>
    </w:div>
    <w:div w:id="394819213">
      <w:bodyDiv w:val="1"/>
      <w:marLeft w:val="0"/>
      <w:marRight w:val="0"/>
      <w:marTop w:val="0"/>
      <w:marBottom w:val="0"/>
      <w:divBdr>
        <w:top w:val="none" w:sz="0" w:space="0" w:color="auto"/>
        <w:left w:val="none" w:sz="0" w:space="0" w:color="auto"/>
        <w:bottom w:val="none" w:sz="0" w:space="0" w:color="auto"/>
        <w:right w:val="none" w:sz="0" w:space="0" w:color="auto"/>
      </w:divBdr>
    </w:div>
    <w:div w:id="394819336">
      <w:bodyDiv w:val="1"/>
      <w:marLeft w:val="0"/>
      <w:marRight w:val="0"/>
      <w:marTop w:val="0"/>
      <w:marBottom w:val="0"/>
      <w:divBdr>
        <w:top w:val="none" w:sz="0" w:space="0" w:color="auto"/>
        <w:left w:val="none" w:sz="0" w:space="0" w:color="auto"/>
        <w:bottom w:val="none" w:sz="0" w:space="0" w:color="auto"/>
        <w:right w:val="none" w:sz="0" w:space="0" w:color="auto"/>
      </w:divBdr>
    </w:div>
    <w:div w:id="394937687">
      <w:bodyDiv w:val="1"/>
      <w:marLeft w:val="0"/>
      <w:marRight w:val="0"/>
      <w:marTop w:val="0"/>
      <w:marBottom w:val="0"/>
      <w:divBdr>
        <w:top w:val="none" w:sz="0" w:space="0" w:color="auto"/>
        <w:left w:val="none" w:sz="0" w:space="0" w:color="auto"/>
        <w:bottom w:val="none" w:sz="0" w:space="0" w:color="auto"/>
        <w:right w:val="none" w:sz="0" w:space="0" w:color="auto"/>
      </w:divBdr>
    </w:div>
    <w:div w:id="395325239">
      <w:bodyDiv w:val="1"/>
      <w:marLeft w:val="0"/>
      <w:marRight w:val="0"/>
      <w:marTop w:val="0"/>
      <w:marBottom w:val="0"/>
      <w:divBdr>
        <w:top w:val="none" w:sz="0" w:space="0" w:color="auto"/>
        <w:left w:val="none" w:sz="0" w:space="0" w:color="auto"/>
        <w:bottom w:val="none" w:sz="0" w:space="0" w:color="auto"/>
        <w:right w:val="none" w:sz="0" w:space="0" w:color="auto"/>
      </w:divBdr>
    </w:div>
    <w:div w:id="395906287">
      <w:bodyDiv w:val="1"/>
      <w:marLeft w:val="0"/>
      <w:marRight w:val="0"/>
      <w:marTop w:val="0"/>
      <w:marBottom w:val="0"/>
      <w:divBdr>
        <w:top w:val="none" w:sz="0" w:space="0" w:color="auto"/>
        <w:left w:val="none" w:sz="0" w:space="0" w:color="auto"/>
        <w:bottom w:val="none" w:sz="0" w:space="0" w:color="auto"/>
        <w:right w:val="none" w:sz="0" w:space="0" w:color="auto"/>
      </w:divBdr>
    </w:div>
    <w:div w:id="397245956">
      <w:bodyDiv w:val="1"/>
      <w:marLeft w:val="0"/>
      <w:marRight w:val="0"/>
      <w:marTop w:val="0"/>
      <w:marBottom w:val="0"/>
      <w:divBdr>
        <w:top w:val="none" w:sz="0" w:space="0" w:color="auto"/>
        <w:left w:val="none" w:sz="0" w:space="0" w:color="auto"/>
        <w:bottom w:val="none" w:sz="0" w:space="0" w:color="auto"/>
        <w:right w:val="none" w:sz="0" w:space="0" w:color="auto"/>
      </w:divBdr>
    </w:div>
    <w:div w:id="397673612">
      <w:bodyDiv w:val="1"/>
      <w:marLeft w:val="0"/>
      <w:marRight w:val="0"/>
      <w:marTop w:val="0"/>
      <w:marBottom w:val="0"/>
      <w:divBdr>
        <w:top w:val="none" w:sz="0" w:space="0" w:color="auto"/>
        <w:left w:val="none" w:sz="0" w:space="0" w:color="auto"/>
        <w:bottom w:val="none" w:sz="0" w:space="0" w:color="auto"/>
        <w:right w:val="none" w:sz="0" w:space="0" w:color="auto"/>
      </w:divBdr>
    </w:div>
    <w:div w:id="398484465">
      <w:bodyDiv w:val="1"/>
      <w:marLeft w:val="0"/>
      <w:marRight w:val="0"/>
      <w:marTop w:val="0"/>
      <w:marBottom w:val="0"/>
      <w:divBdr>
        <w:top w:val="none" w:sz="0" w:space="0" w:color="auto"/>
        <w:left w:val="none" w:sz="0" w:space="0" w:color="auto"/>
        <w:bottom w:val="none" w:sz="0" w:space="0" w:color="auto"/>
        <w:right w:val="none" w:sz="0" w:space="0" w:color="auto"/>
      </w:divBdr>
    </w:div>
    <w:div w:id="398787489">
      <w:bodyDiv w:val="1"/>
      <w:marLeft w:val="0"/>
      <w:marRight w:val="0"/>
      <w:marTop w:val="0"/>
      <w:marBottom w:val="0"/>
      <w:divBdr>
        <w:top w:val="none" w:sz="0" w:space="0" w:color="auto"/>
        <w:left w:val="none" w:sz="0" w:space="0" w:color="auto"/>
        <w:bottom w:val="none" w:sz="0" w:space="0" w:color="auto"/>
        <w:right w:val="none" w:sz="0" w:space="0" w:color="auto"/>
      </w:divBdr>
    </w:div>
    <w:div w:id="399838721">
      <w:bodyDiv w:val="1"/>
      <w:marLeft w:val="0"/>
      <w:marRight w:val="0"/>
      <w:marTop w:val="0"/>
      <w:marBottom w:val="0"/>
      <w:divBdr>
        <w:top w:val="none" w:sz="0" w:space="0" w:color="auto"/>
        <w:left w:val="none" w:sz="0" w:space="0" w:color="auto"/>
        <w:bottom w:val="none" w:sz="0" w:space="0" w:color="auto"/>
        <w:right w:val="none" w:sz="0" w:space="0" w:color="auto"/>
      </w:divBdr>
    </w:div>
    <w:div w:id="399908872">
      <w:bodyDiv w:val="1"/>
      <w:marLeft w:val="0"/>
      <w:marRight w:val="0"/>
      <w:marTop w:val="0"/>
      <w:marBottom w:val="0"/>
      <w:divBdr>
        <w:top w:val="none" w:sz="0" w:space="0" w:color="auto"/>
        <w:left w:val="none" w:sz="0" w:space="0" w:color="auto"/>
        <w:bottom w:val="none" w:sz="0" w:space="0" w:color="auto"/>
        <w:right w:val="none" w:sz="0" w:space="0" w:color="auto"/>
      </w:divBdr>
    </w:div>
    <w:div w:id="400298880">
      <w:bodyDiv w:val="1"/>
      <w:marLeft w:val="0"/>
      <w:marRight w:val="0"/>
      <w:marTop w:val="0"/>
      <w:marBottom w:val="0"/>
      <w:divBdr>
        <w:top w:val="none" w:sz="0" w:space="0" w:color="auto"/>
        <w:left w:val="none" w:sz="0" w:space="0" w:color="auto"/>
        <w:bottom w:val="none" w:sz="0" w:space="0" w:color="auto"/>
        <w:right w:val="none" w:sz="0" w:space="0" w:color="auto"/>
      </w:divBdr>
    </w:div>
    <w:div w:id="400373457">
      <w:bodyDiv w:val="1"/>
      <w:marLeft w:val="0"/>
      <w:marRight w:val="0"/>
      <w:marTop w:val="0"/>
      <w:marBottom w:val="0"/>
      <w:divBdr>
        <w:top w:val="none" w:sz="0" w:space="0" w:color="auto"/>
        <w:left w:val="none" w:sz="0" w:space="0" w:color="auto"/>
        <w:bottom w:val="none" w:sz="0" w:space="0" w:color="auto"/>
        <w:right w:val="none" w:sz="0" w:space="0" w:color="auto"/>
      </w:divBdr>
    </w:div>
    <w:div w:id="400955458">
      <w:bodyDiv w:val="1"/>
      <w:marLeft w:val="0"/>
      <w:marRight w:val="0"/>
      <w:marTop w:val="0"/>
      <w:marBottom w:val="0"/>
      <w:divBdr>
        <w:top w:val="none" w:sz="0" w:space="0" w:color="auto"/>
        <w:left w:val="none" w:sz="0" w:space="0" w:color="auto"/>
        <w:bottom w:val="none" w:sz="0" w:space="0" w:color="auto"/>
        <w:right w:val="none" w:sz="0" w:space="0" w:color="auto"/>
      </w:divBdr>
      <w:divsChild>
        <w:div w:id="329480339">
          <w:marLeft w:val="0"/>
          <w:marRight w:val="0"/>
          <w:marTop w:val="0"/>
          <w:marBottom w:val="0"/>
          <w:divBdr>
            <w:top w:val="none" w:sz="0" w:space="0" w:color="auto"/>
            <w:left w:val="none" w:sz="0" w:space="0" w:color="auto"/>
            <w:bottom w:val="none" w:sz="0" w:space="0" w:color="auto"/>
            <w:right w:val="none" w:sz="0" w:space="0" w:color="auto"/>
          </w:divBdr>
        </w:div>
        <w:div w:id="1119488625">
          <w:marLeft w:val="0"/>
          <w:marRight w:val="0"/>
          <w:marTop w:val="0"/>
          <w:marBottom w:val="0"/>
          <w:divBdr>
            <w:top w:val="none" w:sz="0" w:space="0" w:color="auto"/>
            <w:left w:val="none" w:sz="0" w:space="0" w:color="auto"/>
            <w:bottom w:val="none" w:sz="0" w:space="0" w:color="auto"/>
            <w:right w:val="none" w:sz="0" w:space="0" w:color="auto"/>
          </w:divBdr>
        </w:div>
      </w:divsChild>
    </w:div>
    <w:div w:id="401367074">
      <w:bodyDiv w:val="1"/>
      <w:marLeft w:val="0"/>
      <w:marRight w:val="0"/>
      <w:marTop w:val="0"/>
      <w:marBottom w:val="0"/>
      <w:divBdr>
        <w:top w:val="none" w:sz="0" w:space="0" w:color="auto"/>
        <w:left w:val="none" w:sz="0" w:space="0" w:color="auto"/>
        <w:bottom w:val="none" w:sz="0" w:space="0" w:color="auto"/>
        <w:right w:val="none" w:sz="0" w:space="0" w:color="auto"/>
      </w:divBdr>
    </w:div>
    <w:div w:id="402216614">
      <w:bodyDiv w:val="1"/>
      <w:marLeft w:val="0"/>
      <w:marRight w:val="0"/>
      <w:marTop w:val="0"/>
      <w:marBottom w:val="0"/>
      <w:divBdr>
        <w:top w:val="none" w:sz="0" w:space="0" w:color="auto"/>
        <w:left w:val="none" w:sz="0" w:space="0" w:color="auto"/>
        <w:bottom w:val="none" w:sz="0" w:space="0" w:color="auto"/>
        <w:right w:val="none" w:sz="0" w:space="0" w:color="auto"/>
      </w:divBdr>
    </w:div>
    <w:div w:id="402265343">
      <w:bodyDiv w:val="1"/>
      <w:marLeft w:val="0"/>
      <w:marRight w:val="0"/>
      <w:marTop w:val="0"/>
      <w:marBottom w:val="0"/>
      <w:divBdr>
        <w:top w:val="none" w:sz="0" w:space="0" w:color="auto"/>
        <w:left w:val="none" w:sz="0" w:space="0" w:color="auto"/>
        <w:bottom w:val="none" w:sz="0" w:space="0" w:color="auto"/>
        <w:right w:val="none" w:sz="0" w:space="0" w:color="auto"/>
      </w:divBdr>
    </w:div>
    <w:div w:id="402795600">
      <w:bodyDiv w:val="1"/>
      <w:marLeft w:val="0"/>
      <w:marRight w:val="0"/>
      <w:marTop w:val="0"/>
      <w:marBottom w:val="0"/>
      <w:divBdr>
        <w:top w:val="none" w:sz="0" w:space="0" w:color="auto"/>
        <w:left w:val="none" w:sz="0" w:space="0" w:color="auto"/>
        <w:bottom w:val="none" w:sz="0" w:space="0" w:color="auto"/>
        <w:right w:val="none" w:sz="0" w:space="0" w:color="auto"/>
      </w:divBdr>
      <w:divsChild>
        <w:div w:id="225730453">
          <w:marLeft w:val="1166"/>
          <w:marRight w:val="0"/>
          <w:marTop w:val="86"/>
          <w:marBottom w:val="0"/>
          <w:divBdr>
            <w:top w:val="none" w:sz="0" w:space="0" w:color="auto"/>
            <w:left w:val="none" w:sz="0" w:space="0" w:color="auto"/>
            <w:bottom w:val="none" w:sz="0" w:space="0" w:color="auto"/>
            <w:right w:val="none" w:sz="0" w:space="0" w:color="auto"/>
          </w:divBdr>
        </w:div>
        <w:div w:id="407313023">
          <w:marLeft w:val="1166"/>
          <w:marRight w:val="0"/>
          <w:marTop w:val="86"/>
          <w:marBottom w:val="0"/>
          <w:divBdr>
            <w:top w:val="none" w:sz="0" w:space="0" w:color="auto"/>
            <w:left w:val="none" w:sz="0" w:space="0" w:color="auto"/>
            <w:bottom w:val="none" w:sz="0" w:space="0" w:color="auto"/>
            <w:right w:val="none" w:sz="0" w:space="0" w:color="auto"/>
          </w:divBdr>
        </w:div>
        <w:div w:id="719520453">
          <w:marLeft w:val="1166"/>
          <w:marRight w:val="0"/>
          <w:marTop w:val="86"/>
          <w:marBottom w:val="0"/>
          <w:divBdr>
            <w:top w:val="none" w:sz="0" w:space="0" w:color="auto"/>
            <w:left w:val="none" w:sz="0" w:space="0" w:color="auto"/>
            <w:bottom w:val="none" w:sz="0" w:space="0" w:color="auto"/>
            <w:right w:val="none" w:sz="0" w:space="0" w:color="auto"/>
          </w:divBdr>
        </w:div>
        <w:div w:id="1254511965">
          <w:marLeft w:val="1166"/>
          <w:marRight w:val="0"/>
          <w:marTop w:val="86"/>
          <w:marBottom w:val="0"/>
          <w:divBdr>
            <w:top w:val="none" w:sz="0" w:space="0" w:color="auto"/>
            <w:left w:val="none" w:sz="0" w:space="0" w:color="auto"/>
            <w:bottom w:val="none" w:sz="0" w:space="0" w:color="auto"/>
            <w:right w:val="none" w:sz="0" w:space="0" w:color="auto"/>
          </w:divBdr>
        </w:div>
        <w:div w:id="1413432176">
          <w:marLeft w:val="547"/>
          <w:marRight w:val="0"/>
          <w:marTop w:val="86"/>
          <w:marBottom w:val="0"/>
          <w:divBdr>
            <w:top w:val="none" w:sz="0" w:space="0" w:color="auto"/>
            <w:left w:val="none" w:sz="0" w:space="0" w:color="auto"/>
            <w:bottom w:val="none" w:sz="0" w:space="0" w:color="auto"/>
            <w:right w:val="none" w:sz="0" w:space="0" w:color="auto"/>
          </w:divBdr>
        </w:div>
        <w:div w:id="1503547173">
          <w:marLeft w:val="1166"/>
          <w:marRight w:val="0"/>
          <w:marTop w:val="86"/>
          <w:marBottom w:val="0"/>
          <w:divBdr>
            <w:top w:val="none" w:sz="0" w:space="0" w:color="auto"/>
            <w:left w:val="none" w:sz="0" w:space="0" w:color="auto"/>
            <w:bottom w:val="none" w:sz="0" w:space="0" w:color="auto"/>
            <w:right w:val="none" w:sz="0" w:space="0" w:color="auto"/>
          </w:divBdr>
        </w:div>
        <w:div w:id="1901284586">
          <w:marLeft w:val="1166"/>
          <w:marRight w:val="0"/>
          <w:marTop w:val="86"/>
          <w:marBottom w:val="0"/>
          <w:divBdr>
            <w:top w:val="none" w:sz="0" w:space="0" w:color="auto"/>
            <w:left w:val="none" w:sz="0" w:space="0" w:color="auto"/>
            <w:bottom w:val="none" w:sz="0" w:space="0" w:color="auto"/>
            <w:right w:val="none" w:sz="0" w:space="0" w:color="auto"/>
          </w:divBdr>
        </w:div>
      </w:divsChild>
    </w:div>
    <w:div w:id="402991793">
      <w:bodyDiv w:val="1"/>
      <w:marLeft w:val="0"/>
      <w:marRight w:val="0"/>
      <w:marTop w:val="0"/>
      <w:marBottom w:val="0"/>
      <w:divBdr>
        <w:top w:val="none" w:sz="0" w:space="0" w:color="auto"/>
        <w:left w:val="none" w:sz="0" w:space="0" w:color="auto"/>
        <w:bottom w:val="none" w:sz="0" w:space="0" w:color="auto"/>
        <w:right w:val="none" w:sz="0" w:space="0" w:color="auto"/>
      </w:divBdr>
      <w:divsChild>
        <w:div w:id="595671717">
          <w:marLeft w:val="547"/>
          <w:marRight w:val="0"/>
          <w:marTop w:val="154"/>
          <w:marBottom w:val="0"/>
          <w:divBdr>
            <w:top w:val="none" w:sz="0" w:space="0" w:color="auto"/>
            <w:left w:val="none" w:sz="0" w:space="0" w:color="auto"/>
            <w:bottom w:val="none" w:sz="0" w:space="0" w:color="auto"/>
            <w:right w:val="none" w:sz="0" w:space="0" w:color="auto"/>
          </w:divBdr>
        </w:div>
        <w:div w:id="787510654">
          <w:marLeft w:val="1800"/>
          <w:marRight w:val="0"/>
          <w:marTop w:val="115"/>
          <w:marBottom w:val="0"/>
          <w:divBdr>
            <w:top w:val="none" w:sz="0" w:space="0" w:color="auto"/>
            <w:left w:val="none" w:sz="0" w:space="0" w:color="auto"/>
            <w:bottom w:val="none" w:sz="0" w:space="0" w:color="auto"/>
            <w:right w:val="none" w:sz="0" w:space="0" w:color="auto"/>
          </w:divBdr>
        </w:div>
        <w:div w:id="1055736149">
          <w:marLeft w:val="1166"/>
          <w:marRight w:val="0"/>
          <w:marTop w:val="134"/>
          <w:marBottom w:val="0"/>
          <w:divBdr>
            <w:top w:val="none" w:sz="0" w:space="0" w:color="auto"/>
            <w:left w:val="none" w:sz="0" w:space="0" w:color="auto"/>
            <w:bottom w:val="none" w:sz="0" w:space="0" w:color="auto"/>
            <w:right w:val="none" w:sz="0" w:space="0" w:color="auto"/>
          </w:divBdr>
        </w:div>
        <w:div w:id="1135484153">
          <w:marLeft w:val="1166"/>
          <w:marRight w:val="0"/>
          <w:marTop w:val="134"/>
          <w:marBottom w:val="0"/>
          <w:divBdr>
            <w:top w:val="none" w:sz="0" w:space="0" w:color="auto"/>
            <w:left w:val="none" w:sz="0" w:space="0" w:color="auto"/>
            <w:bottom w:val="none" w:sz="0" w:space="0" w:color="auto"/>
            <w:right w:val="none" w:sz="0" w:space="0" w:color="auto"/>
          </w:divBdr>
        </w:div>
        <w:div w:id="1386370271">
          <w:marLeft w:val="1800"/>
          <w:marRight w:val="0"/>
          <w:marTop w:val="115"/>
          <w:marBottom w:val="0"/>
          <w:divBdr>
            <w:top w:val="none" w:sz="0" w:space="0" w:color="auto"/>
            <w:left w:val="none" w:sz="0" w:space="0" w:color="auto"/>
            <w:bottom w:val="none" w:sz="0" w:space="0" w:color="auto"/>
            <w:right w:val="none" w:sz="0" w:space="0" w:color="auto"/>
          </w:divBdr>
        </w:div>
        <w:div w:id="2092771307">
          <w:marLeft w:val="1800"/>
          <w:marRight w:val="0"/>
          <w:marTop w:val="115"/>
          <w:marBottom w:val="0"/>
          <w:divBdr>
            <w:top w:val="none" w:sz="0" w:space="0" w:color="auto"/>
            <w:left w:val="none" w:sz="0" w:space="0" w:color="auto"/>
            <w:bottom w:val="none" w:sz="0" w:space="0" w:color="auto"/>
            <w:right w:val="none" w:sz="0" w:space="0" w:color="auto"/>
          </w:divBdr>
        </w:div>
      </w:divsChild>
    </w:div>
    <w:div w:id="404499808">
      <w:bodyDiv w:val="1"/>
      <w:marLeft w:val="0"/>
      <w:marRight w:val="0"/>
      <w:marTop w:val="0"/>
      <w:marBottom w:val="0"/>
      <w:divBdr>
        <w:top w:val="none" w:sz="0" w:space="0" w:color="auto"/>
        <w:left w:val="none" w:sz="0" w:space="0" w:color="auto"/>
        <w:bottom w:val="none" w:sz="0" w:space="0" w:color="auto"/>
        <w:right w:val="none" w:sz="0" w:space="0" w:color="auto"/>
      </w:divBdr>
    </w:div>
    <w:div w:id="404762760">
      <w:bodyDiv w:val="1"/>
      <w:marLeft w:val="0"/>
      <w:marRight w:val="0"/>
      <w:marTop w:val="0"/>
      <w:marBottom w:val="0"/>
      <w:divBdr>
        <w:top w:val="none" w:sz="0" w:space="0" w:color="auto"/>
        <w:left w:val="none" w:sz="0" w:space="0" w:color="auto"/>
        <w:bottom w:val="none" w:sz="0" w:space="0" w:color="auto"/>
        <w:right w:val="none" w:sz="0" w:space="0" w:color="auto"/>
      </w:divBdr>
    </w:div>
    <w:div w:id="408120545">
      <w:bodyDiv w:val="1"/>
      <w:marLeft w:val="0"/>
      <w:marRight w:val="0"/>
      <w:marTop w:val="0"/>
      <w:marBottom w:val="0"/>
      <w:divBdr>
        <w:top w:val="none" w:sz="0" w:space="0" w:color="auto"/>
        <w:left w:val="none" w:sz="0" w:space="0" w:color="auto"/>
        <w:bottom w:val="none" w:sz="0" w:space="0" w:color="auto"/>
        <w:right w:val="none" w:sz="0" w:space="0" w:color="auto"/>
      </w:divBdr>
      <w:divsChild>
        <w:div w:id="1944074762">
          <w:marLeft w:val="0"/>
          <w:marRight w:val="0"/>
          <w:marTop w:val="0"/>
          <w:marBottom w:val="0"/>
          <w:divBdr>
            <w:top w:val="none" w:sz="0" w:space="0" w:color="auto"/>
            <w:left w:val="none" w:sz="0" w:space="0" w:color="auto"/>
            <w:bottom w:val="none" w:sz="0" w:space="0" w:color="auto"/>
            <w:right w:val="none" w:sz="0" w:space="0" w:color="auto"/>
          </w:divBdr>
          <w:divsChild>
            <w:div w:id="89814512">
              <w:marLeft w:val="0"/>
              <w:marRight w:val="0"/>
              <w:marTop w:val="0"/>
              <w:marBottom w:val="0"/>
              <w:divBdr>
                <w:top w:val="none" w:sz="0" w:space="0" w:color="auto"/>
                <w:left w:val="none" w:sz="0" w:space="0" w:color="auto"/>
                <w:bottom w:val="none" w:sz="0" w:space="0" w:color="auto"/>
                <w:right w:val="none" w:sz="0" w:space="0" w:color="auto"/>
              </w:divBdr>
            </w:div>
            <w:div w:id="139855365">
              <w:marLeft w:val="0"/>
              <w:marRight w:val="0"/>
              <w:marTop w:val="0"/>
              <w:marBottom w:val="0"/>
              <w:divBdr>
                <w:top w:val="none" w:sz="0" w:space="0" w:color="auto"/>
                <w:left w:val="none" w:sz="0" w:space="0" w:color="auto"/>
                <w:bottom w:val="none" w:sz="0" w:space="0" w:color="auto"/>
                <w:right w:val="none" w:sz="0" w:space="0" w:color="auto"/>
              </w:divBdr>
            </w:div>
            <w:div w:id="325867131">
              <w:marLeft w:val="0"/>
              <w:marRight w:val="0"/>
              <w:marTop w:val="0"/>
              <w:marBottom w:val="0"/>
              <w:divBdr>
                <w:top w:val="none" w:sz="0" w:space="0" w:color="auto"/>
                <w:left w:val="none" w:sz="0" w:space="0" w:color="auto"/>
                <w:bottom w:val="none" w:sz="0" w:space="0" w:color="auto"/>
                <w:right w:val="none" w:sz="0" w:space="0" w:color="auto"/>
              </w:divBdr>
            </w:div>
            <w:div w:id="619799529">
              <w:marLeft w:val="0"/>
              <w:marRight w:val="0"/>
              <w:marTop w:val="0"/>
              <w:marBottom w:val="0"/>
              <w:divBdr>
                <w:top w:val="none" w:sz="0" w:space="0" w:color="auto"/>
                <w:left w:val="none" w:sz="0" w:space="0" w:color="auto"/>
                <w:bottom w:val="none" w:sz="0" w:space="0" w:color="auto"/>
                <w:right w:val="none" w:sz="0" w:space="0" w:color="auto"/>
              </w:divBdr>
            </w:div>
            <w:div w:id="758873013">
              <w:marLeft w:val="0"/>
              <w:marRight w:val="0"/>
              <w:marTop w:val="0"/>
              <w:marBottom w:val="0"/>
              <w:divBdr>
                <w:top w:val="none" w:sz="0" w:space="0" w:color="auto"/>
                <w:left w:val="none" w:sz="0" w:space="0" w:color="auto"/>
                <w:bottom w:val="none" w:sz="0" w:space="0" w:color="auto"/>
                <w:right w:val="none" w:sz="0" w:space="0" w:color="auto"/>
              </w:divBdr>
            </w:div>
            <w:div w:id="1469856762">
              <w:marLeft w:val="0"/>
              <w:marRight w:val="0"/>
              <w:marTop w:val="0"/>
              <w:marBottom w:val="0"/>
              <w:divBdr>
                <w:top w:val="none" w:sz="0" w:space="0" w:color="auto"/>
                <w:left w:val="none" w:sz="0" w:space="0" w:color="auto"/>
                <w:bottom w:val="none" w:sz="0" w:space="0" w:color="auto"/>
                <w:right w:val="none" w:sz="0" w:space="0" w:color="auto"/>
              </w:divBdr>
            </w:div>
            <w:div w:id="1856071878">
              <w:marLeft w:val="0"/>
              <w:marRight w:val="0"/>
              <w:marTop w:val="0"/>
              <w:marBottom w:val="0"/>
              <w:divBdr>
                <w:top w:val="none" w:sz="0" w:space="0" w:color="auto"/>
                <w:left w:val="none" w:sz="0" w:space="0" w:color="auto"/>
                <w:bottom w:val="none" w:sz="0" w:space="0" w:color="auto"/>
                <w:right w:val="none" w:sz="0" w:space="0" w:color="auto"/>
              </w:divBdr>
            </w:div>
            <w:div w:id="1930429363">
              <w:marLeft w:val="0"/>
              <w:marRight w:val="0"/>
              <w:marTop w:val="0"/>
              <w:marBottom w:val="0"/>
              <w:divBdr>
                <w:top w:val="none" w:sz="0" w:space="0" w:color="auto"/>
                <w:left w:val="none" w:sz="0" w:space="0" w:color="auto"/>
                <w:bottom w:val="none" w:sz="0" w:space="0" w:color="auto"/>
                <w:right w:val="none" w:sz="0" w:space="0" w:color="auto"/>
              </w:divBdr>
            </w:div>
            <w:div w:id="1973169742">
              <w:marLeft w:val="0"/>
              <w:marRight w:val="0"/>
              <w:marTop w:val="0"/>
              <w:marBottom w:val="0"/>
              <w:divBdr>
                <w:top w:val="none" w:sz="0" w:space="0" w:color="auto"/>
                <w:left w:val="none" w:sz="0" w:space="0" w:color="auto"/>
                <w:bottom w:val="none" w:sz="0" w:space="0" w:color="auto"/>
                <w:right w:val="none" w:sz="0" w:space="0" w:color="auto"/>
              </w:divBdr>
            </w:div>
            <w:div w:id="20661814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08504458">
      <w:bodyDiv w:val="1"/>
      <w:marLeft w:val="0"/>
      <w:marRight w:val="0"/>
      <w:marTop w:val="0"/>
      <w:marBottom w:val="0"/>
      <w:divBdr>
        <w:top w:val="none" w:sz="0" w:space="0" w:color="auto"/>
        <w:left w:val="none" w:sz="0" w:space="0" w:color="auto"/>
        <w:bottom w:val="none" w:sz="0" w:space="0" w:color="auto"/>
        <w:right w:val="none" w:sz="0" w:space="0" w:color="auto"/>
      </w:divBdr>
    </w:div>
    <w:div w:id="409425888">
      <w:bodyDiv w:val="1"/>
      <w:marLeft w:val="0"/>
      <w:marRight w:val="0"/>
      <w:marTop w:val="0"/>
      <w:marBottom w:val="0"/>
      <w:divBdr>
        <w:top w:val="none" w:sz="0" w:space="0" w:color="auto"/>
        <w:left w:val="none" w:sz="0" w:space="0" w:color="auto"/>
        <w:bottom w:val="none" w:sz="0" w:space="0" w:color="auto"/>
        <w:right w:val="none" w:sz="0" w:space="0" w:color="auto"/>
      </w:divBdr>
      <w:divsChild>
        <w:div w:id="1719357263">
          <w:marLeft w:val="547"/>
          <w:marRight w:val="0"/>
          <w:marTop w:val="115"/>
          <w:marBottom w:val="0"/>
          <w:divBdr>
            <w:top w:val="none" w:sz="0" w:space="0" w:color="auto"/>
            <w:left w:val="none" w:sz="0" w:space="0" w:color="auto"/>
            <w:bottom w:val="none" w:sz="0" w:space="0" w:color="auto"/>
            <w:right w:val="none" w:sz="0" w:space="0" w:color="auto"/>
          </w:divBdr>
        </w:div>
      </w:divsChild>
    </w:div>
    <w:div w:id="409541425">
      <w:bodyDiv w:val="1"/>
      <w:marLeft w:val="0"/>
      <w:marRight w:val="0"/>
      <w:marTop w:val="0"/>
      <w:marBottom w:val="0"/>
      <w:divBdr>
        <w:top w:val="none" w:sz="0" w:space="0" w:color="auto"/>
        <w:left w:val="none" w:sz="0" w:space="0" w:color="auto"/>
        <w:bottom w:val="none" w:sz="0" w:space="0" w:color="auto"/>
        <w:right w:val="none" w:sz="0" w:space="0" w:color="auto"/>
      </w:divBdr>
    </w:div>
    <w:div w:id="409890250">
      <w:bodyDiv w:val="1"/>
      <w:marLeft w:val="0"/>
      <w:marRight w:val="0"/>
      <w:marTop w:val="0"/>
      <w:marBottom w:val="0"/>
      <w:divBdr>
        <w:top w:val="none" w:sz="0" w:space="0" w:color="auto"/>
        <w:left w:val="none" w:sz="0" w:space="0" w:color="auto"/>
        <w:bottom w:val="none" w:sz="0" w:space="0" w:color="auto"/>
        <w:right w:val="none" w:sz="0" w:space="0" w:color="auto"/>
      </w:divBdr>
      <w:divsChild>
        <w:div w:id="1686058031">
          <w:marLeft w:val="1166"/>
          <w:marRight w:val="0"/>
          <w:marTop w:val="106"/>
          <w:marBottom w:val="0"/>
          <w:divBdr>
            <w:top w:val="none" w:sz="0" w:space="0" w:color="auto"/>
            <w:left w:val="none" w:sz="0" w:space="0" w:color="auto"/>
            <w:bottom w:val="none" w:sz="0" w:space="0" w:color="auto"/>
            <w:right w:val="none" w:sz="0" w:space="0" w:color="auto"/>
          </w:divBdr>
        </w:div>
        <w:div w:id="1776441343">
          <w:marLeft w:val="547"/>
          <w:marRight w:val="0"/>
          <w:marTop w:val="115"/>
          <w:marBottom w:val="0"/>
          <w:divBdr>
            <w:top w:val="none" w:sz="0" w:space="0" w:color="auto"/>
            <w:left w:val="none" w:sz="0" w:space="0" w:color="auto"/>
            <w:bottom w:val="none" w:sz="0" w:space="0" w:color="auto"/>
            <w:right w:val="none" w:sz="0" w:space="0" w:color="auto"/>
          </w:divBdr>
        </w:div>
      </w:divsChild>
    </w:div>
    <w:div w:id="409931030">
      <w:bodyDiv w:val="1"/>
      <w:marLeft w:val="0"/>
      <w:marRight w:val="0"/>
      <w:marTop w:val="0"/>
      <w:marBottom w:val="0"/>
      <w:divBdr>
        <w:top w:val="none" w:sz="0" w:space="0" w:color="auto"/>
        <w:left w:val="none" w:sz="0" w:space="0" w:color="auto"/>
        <w:bottom w:val="none" w:sz="0" w:space="0" w:color="auto"/>
        <w:right w:val="none" w:sz="0" w:space="0" w:color="auto"/>
      </w:divBdr>
    </w:div>
    <w:div w:id="411699980">
      <w:bodyDiv w:val="1"/>
      <w:marLeft w:val="0"/>
      <w:marRight w:val="0"/>
      <w:marTop w:val="0"/>
      <w:marBottom w:val="0"/>
      <w:divBdr>
        <w:top w:val="none" w:sz="0" w:space="0" w:color="auto"/>
        <w:left w:val="none" w:sz="0" w:space="0" w:color="auto"/>
        <w:bottom w:val="none" w:sz="0" w:space="0" w:color="auto"/>
        <w:right w:val="none" w:sz="0" w:space="0" w:color="auto"/>
      </w:divBdr>
    </w:div>
    <w:div w:id="411784084">
      <w:bodyDiv w:val="1"/>
      <w:marLeft w:val="0"/>
      <w:marRight w:val="0"/>
      <w:marTop w:val="0"/>
      <w:marBottom w:val="0"/>
      <w:divBdr>
        <w:top w:val="none" w:sz="0" w:space="0" w:color="auto"/>
        <w:left w:val="none" w:sz="0" w:space="0" w:color="auto"/>
        <w:bottom w:val="none" w:sz="0" w:space="0" w:color="auto"/>
        <w:right w:val="none" w:sz="0" w:space="0" w:color="auto"/>
      </w:divBdr>
    </w:div>
    <w:div w:id="412822136">
      <w:bodyDiv w:val="1"/>
      <w:marLeft w:val="0"/>
      <w:marRight w:val="0"/>
      <w:marTop w:val="0"/>
      <w:marBottom w:val="0"/>
      <w:divBdr>
        <w:top w:val="none" w:sz="0" w:space="0" w:color="auto"/>
        <w:left w:val="none" w:sz="0" w:space="0" w:color="auto"/>
        <w:bottom w:val="none" w:sz="0" w:space="0" w:color="auto"/>
        <w:right w:val="none" w:sz="0" w:space="0" w:color="auto"/>
      </w:divBdr>
      <w:divsChild>
        <w:div w:id="1014772637">
          <w:marLeft w:val="0"/>
          <w:marRight w:val="0"/>
          <w:marTop w:val="0"/>
          <w:marBottom w:val="0"/>
          <w:divBdr>
            <w:top w:val="none" w:sz="0" w:space="0" w:color="auto"/>
            <w:left w:val="none" w:sz="0" w:space="0" w:color="auto"/>
            <w:bottom w:val="none" w:sz="0" w:space="0" w:color="auto"/>
            <w:right w:val="none" w:sz="0" w:space="0" w:color="auto"/>
          </w:divBdr>
          <w:divsChild>
            <w:div w:id="55979206">
              <w:marLeft w:val="0"/>
              <w:marRight w:val="0"/>
              <w:marTop w:val="0"/>
              <w:marBottom w:val="0"/>
              <w:divBdr>
                <w:top w:val="none" w:sz="0" w:space="0" w:color="auto"/>
                <w:left w:val="none" w:sz="0" w:space="0" w:color="auto"/>
                <w:bottom w:val="none" w:sz="0" w:space="0" w:color="auto"/>
                <w:right w:val="none" w:sz="0" w:space="0" w:color="auto"/>
              </w:divBdr>
            </w:div>
            <w:div w:id="596209577">
              <w:marLeft w:val="0"/>
              <w:marRight w:val="0"/>
              <w:marTop w:val="0"/>
              <w:marBottom w:val="0"/>
              <w:divBdr>
                <w:top w:val="none" w:sz="0" w:space="0" w:color="auto"/>
                <w:left w:val="none" w:sz="0" w:space="0" w:color="auto"/>
                <w:bottom w:val="none" w:sz="0" w:space="0" w:color="auto"/>
                <w:right w:val="none" w:sz="0" w:space="0" w:color="auto"/>
              </w:divBdr>
            </w:div>
            <w:div w:id="20021538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13164502">
      <w:bodyDiv w:val="1"/>
      <w:marLeft w:val="0"/>
      <w:marRight w:val="0"/>
      <w:marTop w:val="0"/>
      <w:marBottom w:val="0"/>
      <w:divBdr>
        <w:top w:val="none" w:sz="0" w:space="0" w:color="auto"/>
        <w:left w:val="none" w:sz="0" w:space="0" w:color="auto"/>
        <w:bottom w:val="none" w:sz="0" w:space="0" w:color="auto"/>
        <w:right w:val="none" w:sz="0" w:space="0" w:color="auto"/>
      </w:divBdr>
    </w:div>
    <w:div w:id="413283625">
      <w:bodyDiv w:val="1"/>
      <w:marLeft w:val="0"/>
      <w:marRight w:val="0"/>
      <w:marTop w:val="0"/>
      <w:marBottom w:val="0"/>
      <w:divBdr>
        <w:top w:val="none" w:sz="0" w:space="0" w:color="auto"/>
        <w:left w:val="none" w:sz="0" w:space="0" w:color="auto"/>
        <w:bottom w:val="none" w:sz="0" w:space="0" w:color="auto"/>
        <w:right w:val="none" w:sz="0" w:space="0" w:color="auto"/>
      </w:divBdr>
    </w:div>
    <w:div w:id="413626442">
      <w:bodyDiv w:val="1"/>
      <w:marLeft w:val="0"/>
      <w:marRight w:val="0"/>
      <w:marTop w:val="0"/>
      <w:marBottom w:val="0"/>
      <w:divBdr>
        <w:top w:val="none" w:sz="0" w:space="0" w:color="auto"/>
        <w:left w:val="none" w:sz="0" w:space="0" w:color="auto"/>
        <w:bottom w:val="none" w:sz="0" w:space="0" w:color="auto"/>
        <w:right w:val="none" w:sz="0" w:space="0" w:color="auto"/>
      </w:divBdr>
    </w:div>
    <w:div w:id="413670038">
      <w:bodyDiv w:val="1"/>
      <w:marLeft w:val="0"/>
      <w:marRight w:val="0"/>
      <w:marTop w:val="0"/>
      <w:marBottom w:val="0"/>
      <w:divBdr>
        <w:top w:val="none" w:sz="0" w:space="0" w:color="auto"/>
        <w:left w:val="none" w:sz="0" w:space="0" w:color="auto"/>
        <w:bottom w:val="none" w:sz="0" w:space="0" w:color="auto"/>
        <w:right w:val="none" w:sz="0" w:space="0" w:color="auto"/>
      </w:divBdr>
    </w:div>
    <w:div w:id="414284756">
      <w:bodyDiv w:val="1"/>
      <w:marLeft w:val="0"/>
      <w:marRight w:val="0"/>
      <w:marTop w:val="0"/>
      <w:marBottom w:val="0"/>
      <w:divBdr>
        <w:top w:val="none" w:sz="0" w:space="0" w:color="auto"/>
        <w:left w:val="none" w:sz="0" w:space="0" w:color="auto"/>
        <w:bottom w:val="none" w:sz="0" w:space="0" w:color="auto"/>
        <w:right w:val="none" w:sz="0" w:space="0" w:color="auto"/>
      </w:divBdr>
    </w:div>
    <w:div w:id="414285169">
      <w:bodyDiv w:val="1"/>
      <w:marLeft w:val="0"/>
      <w:marRight w:val="0"/>
      <w:marTop w:val="0"/>
      <w:marBottom w:val="0"/>
      <w:divBdr>
        <w:top w:val="none" w:sz="0" w:space="0" w:color="auto"/>
        <w:left w:val="none" w:sz="0" w:space="0" w:color="auto"/>
        <w:bottom w:val="none" w:sz="0" w:space="0" w:color="auto"/>
        <w:right w:val="none" w:sz="0" w:space="0" w:color="auto"/>
      </w:divBdr>
    </w:div>
    <w:div w:id="414595512">
      <w:bodyDiv w:val="1"/>
      <w:marLeft w:val="0"/>
      <w:marRight w:val="0"/>
      <w:marTop w:val="0"/>
      <w:marBottom w:val="0"/>
      <w:divBdr>
        <w:top w:val="none" w:sz="0" w:space="0" w:color="auto"/>
        <w:left w:val="none" w:sz="0" w:space="0" w:color="auto"/>
        <w:bottom w:val="none" w:sz="0" w:space="0" w:color="auto"/>
        <w:right w:val="none" w:sz="0" w:space="0" w:color="auto"/>
      </w:divBdr>
    </w:div>
    <w:div w:id="414670838">
      <w:bodyDiv w:val="1"/>
      <w:marLeft w:val="0"/>
      <w:marRight w:val="0"/>
      <w:marTop w:val="0"/>
      <w:marBottom w:val="0"/>
      <w:divBdr>
        <w:top w:val="none" w:sz="0" w:space="0" w:color="auto"/>
        <w:left w:val="none" w:sz="0" w:space="0" w:color="auto"/>
        <w:bottom w:val="none" w:sz="0" w:space="0" w:color="auto"/>
        <w:right w:val="none" w:sz="0" w:space="0" w:color="auto"/>
      </w:divBdr>
      <w:divsChild>
        <w:div w:id="244648579">
          <w:marLeft w:val="1166"/>
          <w:marRight w:val="0"/>
          <w:marTop w:val="115"/>
          <w:marBottom w:val="0"/>
          <w:divBdr>
            <w:top w:val="none" w:sz="0" w:space="0" w:color="auto"/>
            <w:left w:val="none" w:sz="0" w:space="0" w:color="auto"/>
            <w:bottom w:val="none" w:sz="0" w:space="0" w:color="auto"/>
            <w:right w:val="none" w:sz="0" w:space="0" w:color="auto"/>
          </w:divBdr>
        </w:div>
        <w:div w:id="319970847">
          <w:marLeft w:val="1166"/>
          <w:marRight w:val="0"/>
          <w:marTop w:val="115"/>
          <w:marBottom w:val="0"/>
          <w:divBdr>
            <w:top w:val="none" w:sz="0" w:space="0" w:color="auto"/>
            <w:left w:val="none" w:sz="0" w:space="0" w:color="auto"/>
            <w:bottom w:val="none" w:sz="0" w:space="0" w:color="auto"/>
            <w:right w:val="none" w:sz="0" w:space="0" w:color="auto"/>
          </w:divBdr>
        </w:div>
        <w:div w:id="1033730648">
          <w:marLeft w:val="1166"/>
          <w:marRight w:val="0"/>
          <w:marTop w:val="115"/>
          <w:marBottom w:val="0"/>
          <w:divBdr>
            <w:top w:val="none" w:sz="0" w:space="0" w:color="auto"/>
            <w:left w:val="none" w:sz="0" w:space="0" w:color="auto"/>
            <w:bottom w:val="none" w:sz="0" w:space="0" w:color="auto"/>
            <w:right w:val="none" w:sz="0" w:space="0" w:color="auto"/>
          </w:divBdr>
        </w:div>
        <w:div w:id="1651061074">
          <w:marLeft w:val="547"/>
          <w:marRight w:val="0"/>
          <w:marTop w:val="134"/>
          <w:marBottom w:val="0"/>
          <w:divBdr>
            <w:top w:val="none" w:sz="0" w:space="0" w:color="auto"/>
            <w:left w:val="none" w:sz="0" w:space="0" w:color="auto"/>
            <w:bottom w:val="none" w:sz="0" w:space="0" w:color="auto"/>
            <w:right w:val="none" w:sz="0" w:space="0" w:color="auto"/>
          </w:divBdr>
        </w:div>
        <w:div w:id="1745446449">
          <w:marLeft w:val="1166"/>
          <w:marRight w:val="0"/>
          <w:marTop w:val="115"/>
          <w:marBottom w:val="0"/>
          <w:divBdr>
            <w:top w:val="none" w:sz="0" w:space="0" w:color="auto"/>
            <w:left w:val="none" w:sz="0" w:space="0" w:color="auto"/>
            <w:bottom w:val="none" w:sz="0" w:space="0" w:color="auto"/>
            <w:right w:val="none" w:sz="0" w:space="0" w:color="auto"/>
          </w:divBdr>
        </w:div>
      </w:divsChild>
    </w:div>
    <w:div w:id="414790147">
      <w:bodyDiv w:val="1"/>
      <w:marLeft w:val="0"/>
      <w:marRight w:val="0"/>
      <w:marTop w:val="0"/>
      <w:marBottom w:val="0"/>
      <w:divBdr>
        <w:top w:val="none" w:sz="0" w:space="0" w:color="auto"/>
        <w:left w:val="none" w:sz="0" w:space="0" w:color="auto"/>
        <w:bottom w:val="none" w:sz="0" w:space="0" w:color="auto"/>
        <w:right w:val="none" w:sz="0" w:space="0" w:color="auto"/>
      </w:divBdr>
    </w:div>
    <w:div w:id="415253547">
      <w:bodyDiv w:val="1"/>
      <w:marLeft w:val="0"/>
      <w:marRight w:val="0"/>
      <w:marTop w:val="0"/>
      <w:marBottom w:val="0"/>
      <w:divBdr>
        <w:top w:val="none" w:sz="0" w:space="0" w:color="auto"/>
        <w:left w:val="none" w:sz="0" w:space="0" w:color="auto"/>
        <w:bottom w:val="none" w:sz="0" w:space="0" w:color="auto"/>
        <w:right w:val="none" w:sz="0" w:space="0" w:color="auto"/>
      </w:divBdr>
      <w:divsChild>
        <w:div w:id="95947253">
          <w:marLeft w:val="1800"/>
          <w:marRight w:val="0"/>
          <w:marTop w:val="86"/>
          <w:marBottom w:val="120"/>
          <w:divBdr>
            <w:top w:val="none" w:sz="0" w:space="0" w:color="auto"/>
            <w:left w:val="none" w:sz="0" w:space="0" w:color="auto"/>
            <w:bottom w:val="none" w:sz="0" w:space="0" w:color="auto"/>
            <w:right w:val="none" w:sz="0" w:space="0" w:color="auto"/>
          </w:divBdr>
        </w:div>
        <w:div w:id="439379756">
          <w:marLeft w:val="1166"/>
          <w:marRight w:val="0"/>
          <w:marTop w:val="96"/>
          <w:marBottom w:val="120"/>
          <w:divBdr>
            <w:top w:val="none" w:sz="0" w:space="0" w:color="auto"/>
            <w:left w:val="none" w:sz="0" w:space="0" w:color="auto"/>
            <w:bottom w:val="none" w:sz="0" w:space="0" w:color="auto"/>
            <w:right w:val="none" w:sz="0" w:space="0" w:color="auto"/>
          </w:divBdr>
        </w:div>
        <w:div w:id="614211413">
          <w:marLeft w:val="1800"/>
          <w:marRight w:val="0"/>
          <w:marTop w:val="86"/>
          <w:marBottom w:val="120"/>
          <w:divBdr>
            <w:top w:val="none" w:sz="0" w:space="0" w:color="auto"/>
            <w:left w:val="none" w:sz="0" w:space="0" w:color="auto"/>
            <w:bottom w:val="none" w:sz="0" w:space="0" w:color="auto"/>
            <w:right w:val="none" w:sz="0" w:space="0" w:color="auto"/>
          </w:divBdr>
        </w:div>
        <w:div w:id="775566679">
          <w:marLeft w:val="1800"/>
          <w:marRight w:val="0"/>
          <w:marTop w:val="86"/>
          <w:marBottom w:val="120"/>
          <w:divBdr>
            <w:top w:val="none" w:sz="0" w:space="0" w:color="auto"/>
            <w:left w:val="none" w:sz="0" w:space="0" w:color="auto"/>
            <w:bottom w:val="none" w:sz="0" w:space="0" w:color="auto"/>
            <w:right w:val="none" w:sz="0" w:space="0" w:color="auto"/>
          </w:divBdr>
        </w:div>
        <w:div w:id="970667595">
          <w:marLeft w:val="547"/>
          <w:marRight w:val="0"/>
          <w:marTop w:val="134"/>
          <w:marBottom w:val="120"/>
          <w:divBdr>
            <w:top w:val="none" w:sz="0" w:space="0" w:color="auto"/>
            <w:left w:val="none" w:sz="0" w:space="0" w:color="auto"/>
            <w:bottom w:val="none" w:sz="0" w:space="0" w:color="auto"/>
            <w:right w:val="none" w:sz="0" w:space="0" w:color="auto"/>
          </w:divBdr>
        </w:div>
        <w:div w:id="1274442654">
          <w:marLeft w:val="1166"/>
          <w:marRight w:val="0"/>
          <w:marTop w:val="96"/>
          <w:marBottom w:val="120"/>
          <w:divBdr>
            <w:top w:val="none" w:sz="0" w:space="0" w:color="auto"/>
            <w:left w:val="none" w:sz="0" w:space="0" w:color="auto"/>
            <w:bottom w:val="none" w:sz="0" w:space="0" w:color="auto"/>
            <w:right w:val="none" w:sz="0" w:space="0" w:color="auto"/>
          </w:divBdr>
        </w:div>
        <w:div w:id="1411004791">
          <w:marLeft w:val="1800"/>
          <w:marRight w:val="0"/>
          <w:marTop w:val="86"/>
          <w:marBottom w:val="120"/>
          <w:divBdr>
            <w:top w:val="none" w:sz="0" w:space="0" w:color="auto"/>
            <w:left w:val="none" w:sz="0" w:space="0" w:color="auto"/>
            <w:bottom w:val="none" w:sz="0" w:space="0" w:color="auto"/>
            <w:right w:val="none" w:sz="0" w:space="0" w:color="auto"/>
          </w:divBdr>
        </w:div>
        <w:div w:id="1534728462">
          <w:marLeft w:val="1166"/>
          <w:marRight w:val="0"/>
          <w:marTop w:val="96"/>
          <w:marBottom w:val="120"/>
          <w:divBdr>
            <w:top w:val="none" w:sz="0" w:space="0" w:color="auto"/>
            <w:left w:val="none" w:sz="0" w:space="0" w:color="auto"/>
            <w:bottom w:val="none" w:sz="0" w:space="0" w:color="auto"/>
            <w:right w:val="none" w:sz="0" w:space="0" w:color="auto"/>
          </w:divBdr>
        </w:div>
        <w:div w:id="2092461806">
          <w:marLeft w:val="1166"/>
          <w:marRight w:val="0"/>
          <w:marTop w:val="96"/>
          <w:marBottom w:val="120"/>
          <w:divBdr>
            <w:top w:val="none" w:sz="0" w:space="0" w:color="auto"/>
            <w:left w:val="none" w:sz="0" w:space="0" w:color="auto"/>
            <w:bottom w:val="none" w:sz="0" w:space="0" w:color="auto"/>
            <w:right w:val="none" w:sz="0" w:space="0" w:color="auto"/>
          </w:divBdr>
        </w:div>
      </w:divsChild>
    </w:div>
    <w:div w:id="415446771">
      <w:bodyDiv w:val="1"/>
      <w:marLeft w:val="0"/>
      <w:marRight w:val="0"/>
      <w:marTop w:val="0"/>
      <w:marBottom w:val="0"/>
      <w:divBdr>
        <w:top w:val="none" w:sz="0" w:space="0" w:color="auto"/>
        <w:left w:val="none" w:sz="0" w:space="0" w:color="auto"/>
        <w:bottom w:val="none" w:sz="0" w:space="0" w:color="auto"/>
        <w:right w:val="none" w:sz="0" w:space="0" w:color="auto"/>
      </w:divBdr>
    </w:div>
    <w:div w:id="417096577">
      <w:bodyDiv w:val="1"/>
      <w:marLeft w:val="0"/>
      <w:marRight w:val="0"/>
      <w:marTop w:val="0"/>
      <w:marBottom w:val="0"/>
      <w:divBdr>
        <w:top w:val="none" w:sz="0" w:space="0" w:color="auto"/>
        <w:left w:val="none" w:sz="0" w:space="0" w:color="auto"/>
        <w:bottom w:val="none" w:sz="0" w:space="0" w:color="auto"/>
        <w:right w:val="none" w:sz="0" w:space="0" w:color="auto"/>
      </w:divBdr>
    </w:div>
    <w:div w:id="418870418">
      <w:bodyDiv w:val="1"/>
      <w:marLeft w:val="0"/>
      <w:marRight w:val="0"/>
      <w:marTop w:val="0"/>
      <w:marBottom w:val="0"/>
      <w:divBdr>
        <w:top w:val="none" w:sz="0" w:space="0" w:color="auto"/>
        <w:left w:val="none" w:sz="0" w:space="0" w:color="auto"/>
        <w:bottom w:val="none" w:sz="0" w:space="0" w:color="auto"/>
        <w:right w:val="none" w:sz="0" w:space="0" w:color="auto"/>
      </w:divBdr>
      <w:divsChild>
        <w:div w:id="1552309051">
          <w:marLeft w:val="0"/>
          <w:marRight w:val="0"/>
          <w:marTop w:val="0"/>
          <w:marBottom w:val="0"/>
          <w:divBdr>
            <w:top w:val="none" w:sz="0" w:space="0" w:color="auto"/>
            <w:left w:val="none" w:sz="0" w:space="0" w:color="auto"/>
            <w:bottom w:val="none" w:sz="0" w:space="0" w:color="auto"/>
            <w:right w:val="none" w:sz="0" w:space="0" w:color="auto"/>
          </w:divBdr>
          <w:divsChild>
            <w:div w:id="87626829">
              <w:marLeft w:val="0"/>
              <w:marRight w:val="0"/>
              <w:marTop w:val="0"/>
              <w:marBottom w:val="0"/>
              <w:divBdr>
                <w:top w:val="none" w:sz="0" w:space="0" w:color="auto"/>
                <w:left w:val="none" w:sz="0" w:space="0" w:color="auto"/>
                <w:bottom w:val="none" w:sz="0" w:space="0" w:color="auto"/>
                <w:right w:val="none" w:sz="0" w:space="0" w:color="auto"/>
              </w:divBdr>
            </w:div>
            <w:div w:id="283776285">
              <w:marLeft w:val="0"/>
              <w:marRight w:val="0"/>
              <w:marTop w:val="0"/>
              <w:marBottom w:val="0"/>
              <w:divBdr>
                <w:top w:val="none" w:sz="0" w:space="0" w:color="auto"/>
                <w:left w:val="none" w:sz="0" w:space="0" w:color="auto"/>
                <w:bottom w:val="none" w:sz="0" w:space="0" w:color="auto"/>
                <w:right w:val="none" w:sz="0" w:space="0" w:color="auto"/>
              </w:divBdr>
            </w:div>
            <w:div w:id="442728219">
              <w:marLeft w:val="0"/>
              <w:marRight w:val="0"/>
              <w:marTop w:val="0"/>
              <w:marBottom w:val="0"/>
              <w:divBdr>
                <w:top w:val="none" w:sz="0" w:space="0" w:color="auto"/>
                <w:left w:val="none" w:sz="0" w:space="0" w:color="auto"/>
                <w:bottom w:val="none" w:sz="0" w:space="0" w:color="auto"/>
                <w:right w:val="none" w:sz="0" w:space="0" w:color="auto"/>
              </w:divBdr>
            </w:div>
            <w:div w:id="913785630">
              <w:marLeft w:val="0"/>
              <w:marRight w:val="0"/>
              <w:marTop w:val="0"/>
              <w:marBottom w:val="0"/>
              <w:divBdr>
                <w:top w:val="none" w:sz="0" w:space="0" w:color="auto"/>
                <w:left w:val="none" w:sz="0" w:space="0" w:color="auto"/>
                <w:bottom w:val="none" w:sz="0" w:space="0" w:color="auto"/>
                <w:right w:val="none" w:sz="0" w:space="0" w:color="auto"/>
              </w:divBdr>
            </w:div>
            <w:div w:id="1278217529">
              <w:marLeft w:val="0"/>
              <w:marRight w:val="0"/>
              <w:marTop w:val="0"/>
              <w:marBottom w:val="0"/>
              <w:divBdr>
                <w:top w:val="none" w:sz="0" w:space="0" w:color="auto"/>
                <w:left w:val="none" w:sz="0" w:space="0" w:color="auto"/>
                <w:bottom w:val="none" w:sz="0" w:space="0" w:color="auto"/>
                <w:right w:val="none" w:sz="0" w:space="0" w:color="auto"/>
              </w:divBdr>
            </w:div>
            <w:div w:id="1297637075">
              <w:marLeft w:val="0"/>
              <w:marRight w:val="0"/>
              <w:marTop w:val="0"/>
              <w:marBottom w:val="0"/>
              <w:divBdr>
                <w:top w:val="none" w:sz="0" w:space="0" w:color="auto"/>
                <w:left w:val="none" w:sz="0" w:space="0" w:color="auto"/>
                <w:bottom w:val="none" w:sz="0" w:space="0" w:color="auto"/>
                <w:right w:val="none" w:sz="0" w:space="0" w:color="auto"/>
              </w:divBdr>
            </w:div>
            <w:div w:id="1353267069">
              <w:marLeft w:val="0"/>
              <w:marRight w:val="0"/>
              <w:marTop w:val="0"/>
              <w:marBottom w:val="0"/>
              <w:divBdr>
                <w:top w:val="none" w:sz="0" w:space="0" w:color="auto"/>
                <w:left w:val="none" w:sz="0" w:space="0" w:color="auto"/>
                <w:bottom w:val="none" w:sz="0" w:space="0" w:color="auto"/>
                <w:right w:val="none" w:sz="0" w:space="0" w:color="auto"/>
              </w:divBdr>
            </w:div>
            <w:div w:id="1489328054">
              <w:marLeft w:val="0"/>
              <w:marRight w:val="0"/>
              <w:marTop w:val="0"/>
              <w:marBottom w:val="0"/>
              <w:divBdr>
                <w:top w:val="none" w:sz="0" w:space="0" w:color="auto"/>
                <w:left w:val="none" w:sz="0" w:space="0" w:color="auto"/>
                <w:bottom w:val="none" w:sz="0" w:space="0" w:color="auto"/>
                <w:right w:val="none" w:sz="0" w:space="0" w:color="auto"/>
              </w:divBdr>
            </w:div>
            <w:div w:id="1671719340">
              <w:marLeft w:val="0"/>
              <w:marRight w:val="0"/>
              <w:marTop w:val="0"/>
              <w:marBottom w:val="0"/>
              <w:divBdr>
                <w:top w:val="none" w:sz="0" w:space="0" w:color="auto"/>
                <w:left w:val="none" w:sz="0" w:space="0" w:color="auto"/>
                <w:bottom w:val="none" w:sz="0" w:space="0" w:color="auto"/>
                <w:right w:val="none" w:sz="0" w:space="0" w:color="auto"/>
              </w:divBdr>
            </w:div>
            <w:div w:id="18109725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19327555">
      <w:bodyDiv w:val="1"/>
      <w:marLeft w:val="0"/>
      <w:marRight w:val="0"/>
      <w:marTop w:val="0"/>
      <w:marBottom w:val="0"/>
      <w:divBdr>
        <w:top w:val="none" w:sz="0" w:space="0" w:color="auto"/>
        <w:left w:val="none" w:sz="0" w:space="0" w:color="auto"/>
        <w:bottom w:val="none" w:sz="0" w:space="0" w:color="auto"/>
        <w:right w:val="none" w:sz="0" w:space="0" w:color="auto"/>
      </w:divBdr>
    </w:div>
    <w:div w:id="420180657">
      <w:bodyDiv w:val="1"/>
      <w:marLeft w:val="0"/>
      <w:marRight w:val="0"/>
      <w:marTop w:val="0"/>
      <w:marBottom w:val="0"/>
      <w:divBdr>
        <w:top w:val="none" w:sz="0" w:space="0" w:color="auto"/>
        <w:left w:val="none" w:sz="0" w:space="0" w:color="auto"/>
        <w:bottom w:val="none" w:sz="0" w:space="0" w:color="auto"/>
        <w:right w:val="none" w:sz="0" w:space="0" w:color="auto"/>
      </w:divBdr>
    </w:div>
    <w:div w:id="420565504">
      <w:bodyDiv w:val="1"/>
      <w:marLeft w:val="0"/>
      <w:marRight w:val="0"/>
      <w:marTop w:val="0"/>
      <w:marBottom w:val="0"/>
      <w:divBdr>
        <w:top w:val="none" w:sz="0" w:space="0" w:color="auto"/>
        <w:left w:val="none" w:sz="0" w:space="0" w:color="auto"/>
        <w:bottom w:val="none" w:sz="0" w:space="0" w:color="auto"/>
        <w:right w:val="none" w:sz="0" w:space="0" w:color="auto"/>
      </w:divBdr>
    </w:div>
    <w:div w:id="421683748">
      <w:bodyDiv w:val="1"/>
      <w:marLeft w:val="0"/>
      <w:marRight w:val="0"/>
      <w:marTop w:val="0"/>
      <w:marBottom w:val="0"/>
      <w:divBdr>
        <w:top w:val="none" w:sz="0" w:space="0" w:color="auto"/>
        <w:left w:val="none" w:sz="0" w:space="0" w:color="auto"/>
        <w:bottom w:val="none" w:sz="0" w:space="0" w:color="auto"/>
        <w:right w:val="none" w:sz="0" w:space="0" w:color="auto"/>
      </w:divBdr>
      <w:divsChild>
        <w:div w:id="39400910">
          <w:marLeft w:val="1166"/>
          <w:marRight w:val="0"/>
          <w:marTop w:val="115"/>
          <w:marBottom w:val="0"/>
          <w:divBdr>
            <w:top w:val="none" w:sz="0" w:space="0" w:color="auto"/>
            <w:left w:val="none" w:sz="0" w:space="0" w:color="auto"/>
            <w:bottom w:val="none" w:sz="0" w:space="0" w:color="auto"/>
            <w:right w:val="none" w:sz="0" w:space="0" w:color="auto"/>
          </w:divBdr>
        </w:div>
        <w:div w:id="117528289">
          <w:marLeft w:val="1166"/>
          <w:marRight w:val="0"/>
          <w:marTop w:val="115"/>
          <w:marBottom w:val="0"/>
          <w:divBdr>
            <w:top w:val="none" w:sz="0" w:space="0" w:color="auto"/>
            <w:left w:val="none" w:sz="0" w:space="0" w:color="auto"/>
            <w:bottom w:val="none" w:sz="0" w:space="0" w:color="auto"/>
            <w:right w:val="none" w:sz="0" w:space="0" w:color="auto"/>
          </w:divBdr>
        </w:div>
        <w:div w:id="387802753">
          <w:marLeft w:val="547"/>
          <w:marRight w:val="0"/>
          <w:marTop w:val="130"/>
          <w:marBottom w:val="0"/>
          <w:divBdr>
            <w:top w:val="none" w:sz="0" w:space="0" w:color="auto"/>
            <w:left w:val="none" w:sz="0" w:space="0" w:color="auto"/>
            <w:bottom w:val="none" w:sz="0" w:space="0" w:color="auto"/>
            <w:right w:val="none" w:sz="0" w:space="0" w:color="auto"/>
          </w:divBdr>
        </w:div>
        <w:div w:id="893854359">
          <w:marLeft w:val="1800"/>
          <w:marRight w:val="0"/>
          <w:marTop w:val="96"/>
          <w:marBottom w:val="0"/>
          <w:divBdr>
            <w:top w:val="none" w:sz="0" w:space="0" w:color="auto"/>
            <w:left w:val="none" w:sz="0" w:space="0" w:color="auto"/>
            <w:bottom w:val="none" w:sz="0" w:space="0" w:color="auto"/>
            <w:right w:val="none" w:sz="0" w:space="0" w:color="auto"/>
          </w:divBdr>
        </w:div>
        <w:div w:id="1521629860">
          <w:marLeft w:val="547"/>
          <w:marRight w:val="0"/>
          <w:marTop w:val="130"/>
          <w:marBottom w:val="0"/>
          <w:divBdr>
            <w:top w:val="none" w:sz="0" w:space="0" w:color="auto"/>
            <w:left w:val="none" w:sz="0" w:space="0" w:color="auto"/>
            <w:bottom w:val="none" w:sz="0" w:space="0" w:color="auto"/>
            <w:right w:val="none" w:sz="0" w:space="0" w:color="auto"/>
          </w:divBdr>
        </w:div>
        <w:div w:id="1885436055">
          <w:marLeft w:val="547"/>
          <w:marRight w:val="0"/>
          <w:marTop w:val="130"/>
          <w:marBottom w:val="0"/>
          <w:divBdr>
            <w:top w:val="none" w:sz="0" w:space="0" w:color="auto"/>
            <w:left w:val="none" w:sz="0" w:space="0" w:color="auto"/>
            <w:bottom w:val="none" w:sz="0" w:space="0" w:color="auto"/>
            <w:right w:val="none" w:sz="0" w:space="0" w:color="auto"/>
          </w:divBdr>
        </w:div>
      </w:divsChild>
    </w:div>
    <w:div w:id="421920964">
      <w:bodyDiv w:val="1"/>
      <w:marLeft w:val="0"/>
      <w:marRight w:val="0"/>
      <w:marTop w:val="0"/>
      <w:marBottom w:val="0"/>
      <w:divBdr>
        <w:top w:val="none" w:sz="0" w:space="0" w:color="auto"/>
        <w:left w:val="none" w:sz="0" w:space="0" w:color="auto"/>
        <w:bottom w:val="none" w:sz="0" w:space="0" w:color="auto"/>
        <w:right w:val="none" w:sz="0" w:space="0" w:color="auto"/>
      </w:divBdr>
      <w:divsChild>
        <w:div w:id="35934866">
          <w:marLeft w:val="1080"/>
          <w:marRight w:val="0"/>
          <w:marTop w:val="100"/>
          <w:marBottom w:val="0"/>
          <w:divBdr>
            <w:top w:val="none" w:sz="0" w:space="0" w:color="auto"/>
            <w:left w:val="none" w:sz="0" w:space="0" w:color="auto"/>
            <w:bottom w:val="none" w:sz="0" w:space="0" w:color="auto"/>
            <w:right w:val="none" w:sz="0" w:space="0" w:color="auto"/>
          </w:divBdr>
        </w:div>
        <w:div w:id="342047735">
          <w:marLeft w:val="1080"/>
          <w:marRight w:val="0"/>
          <w:marTop w:val="100"/>
          <w:marBottom w:val="0"/>
          <w:divBdr>
            <w:top w:val="none" w:sz="0" w:space="0" w:color="auto"/>
            <w:left w:val="none" w:sz="0" w:space="0" w:color="auto"/>
            <w:bottom w:val="none" w:sz="0" w:space="0" w:color="auto"/>
            <w:right w:val="none" w:sz="0" w:space="0" w:color="auto"/>
          </w:divBdr>
        </w:div>
        <w:div w:id="536502553">
          <w:marLeft w:val="360"/>
          <w:marRight w:val="0"/>
          <w:marTop w:val="200"/>
          <w:marBottom w:val="0"/>
          <w:divBdr>
            <w:top w:val="none" w:sz="0" w:space="0" w:color="auto"/>
            <w:left w:val="none" w:sz="0" w:space="0" w:color="auto"/>
            <w:bottom w:val="none" w:sz="0" w:space="0" w:color="auto"/>
            <w:right w:val="none" w:sz="0" w:space="0" w:color="auto"/>
          </w:divBdr>
        </w:div>
      </w:divsChild>
    </w:div>
    <w:div w:id="422607322">
      <w:bodyDiv w:val="1"/>
      <w:marLeft w:val="0"/>
      <w:marRight w:val="0"/>
      <w:marTop w:val="0"/>
      <w:marBottom w:val="0"/>
      <w:divBdr>
        <w:top w:val="none" w:sz="0" w:space="0" w:color="auto"/>
        <w:left w:val="none" w:sz="0" w:space="0" w:color="auto"/>
        <w:bottom w:val="none" w:sz="0" w:space="0" w:color="auto"/>
        <w:right w:val="none" w:sz="0" w:space="0" w:color="auto"/>
      </w:divBdr>
      <w:divsChild>
        <w:div w:id="979458752">
          <w:marLeft w:val="0"/>
          <w:marRight w:val="0"/>
          <w:marTop w:val="0"/>
          <w:marBottom w:val="0"/>
          <w:divBdr>
            <w:top w:val="none" w:sz="0" w:space="0" w:color="auto"/>
            <w:left w:val="none" w:sz="0" w:space="0" w:color="auto"/>
            <w:bottom w:val="none" w:sz="0" w:space="0" w:color="auto"/>
            <w:right w:val="none" w:sz="0" w:space="0" w:color="auto"/>
          </w:divBdr>
          <w:divsChild>
            <w:div w:id="502627522">
              <w:marLeft w:val="0"/>
              <w:marRight w:val="0"/>
              <w:marTop w:val="0"/>
              <w:marBottom w:val="0"/>
              <w:divBdr>
                <w:top w:val="none" w:sz="0" w:space="0" w:color="auto"/>
                <w:left w:val="none" w:sz="0" w:space="0" w:color="auto"/>
                <w:bottom w:val="none" w:sz="0" w:space="0" w:color="auto"/>
                <w:right w:val="none" w:sz="0" w:space="0" w:color="auto"/>
              </w:divBdr>
            </w:div>
            <w:div w:id="13258190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22840585">
      <w:bodyDiv w:val="1"/>
      <w:marLeft w:val="0"/>
      <w:marRight w:val="0"/>
      <w:marTop w:val="0"/>
      <w:marBottom w:val="0"/>
      <w:divBdr>
        <w:top w:val="none" w:sz="0" w:space="0" w:color="auto"/>
        <w:left w:val="none" w:sz="0" w:space="0" w:color="auto"/>
        <w:bottom w:val="none" w:sz="0" w:space="0" w:color="auto"/>
        <w:right w:val="none" w:sz="0" w:space="0" w:color="auto"/>
      </w:divBdr>
    </w:div>
    <w:div w:id="423109233">
      <w:bodyDiv w:val="1"/>
      <w:marLeft w:val="0"/>
      <w:marRight w:val="0"/>
      <w:marTop w:val="0"/>
      <w:marBottom w:val="0"/>
      <w:divBdr>
        <w:top w:val="none" w:sz="0" w:space="0" w:color="auto"/>
        <w:left w:val="none" w:sz="0" w:space="0" w:color="auto"/>
        <w:bottom w:val="none" w:sz="0" w:space="0" w:color="auto"/>
        <w:right w:val="none" w:sz="0" w:space="0" w:color="auto"/>
      </w:divBdr>
      <w:divsChild>
        <w:div w:id="69735244">
          <w:marLeft w:val="547"/>
          <w:marRight w:val="0"/>
          <w:marTop w:val="134"/>
          <w:marBottom w:val="0"/>
          <w:divBdr>
            <w:top w:val="none" w:sz="0" w:space="0" w:color="auto"/>
            <w:left w:val="none" w:sz="0" w:space="0" w:color="auto"/>
            <w:bottom w:val="none" w:sz="0" w:space="0" w:color="auto"/>
            <w:right w:val="none" w:sz="0" w:space="0" w:color="auto"/>
          </w:divBdr>
        </w:div>
        <w:div w:id="134762875">
          <w:marLeft w:val="1166"/>
          <w:marRight w:val="0"/>
          <w:marTop w:val="115"/>
          <w:marBottom w:val="0"/>
          <w:divBdr>
            <w:top w:val="none" w:sz="0" w:space="0" w:color="auto"/>
            <w:left w:val="none" w:sz="0" w:space="0" w:color="auto"/>
            <w:bottom w:val="none" w:sz="0" w:space="0" w:color="auto"/>
            <w:right w:val="none" w:sz="0" w:space="0" w:color="auto"/>
          </w:divBdr>
        </w:div>
        <w:div w:id="1000814874">
          <w:marLeft w:val="1800"/>
          <w:marRight w:val="0"/>
          <w:marTop w:val="96"/>
          <w:marBottom w:val="0"/>
          <w:divBdr>
            <w:top w:val="none" w:sz="0" w:space="0" w:color="auto"/>
            <w:left w:val="none" w:sz="0" w:space="0" w:color="auto"/>
            <w:bottom w:val="none" w:sz="0" w:space="0" w:color="auto"/>
            <w:right w:val="none" w:sz="0" w:space="0" w:color="auto"/>
          </w:divBdr>
        </w:div>
        <w:div w:id="1393655046">
          <w:marLeft w:val="547"/>
          <w:marRight w:val="0"/>
          <w:marTop w:val="134"/>
          <w:marBottom w:val="0"/>
          <w:divBdr>
            <w:top w:val="none" w:sz="0" w:space="0" w:color="auto"/>
            <w:left w:val="none" w:sz="0" w:space="0" w:color="auto"/>
            <w:bottom w:val="none" w:sz="0" w:space="0" w:color="auto"/>
            <w:right w:val="none" w:sz="0" w:space="0" w:color="auto"/>
          </w:divBdr>
        </w:div>
        <w:div w:id="1889536661">
          <w:marLeft w:val="1166"/>
          <w:marRight w:val="0"/>
          <w:marTop w:val="115"/>
          <w:marBottom w:val="0"/>
          <w:divBdr>
            <w:top w:val="none" w:sz="0" w:space="0" w:color="auto"/>
            <w:left w:val="none" w:sz="0" w:space="0" w:color="auto"/>
            <w:bottom w:val="none" w:sz="0" w:space="0" w:color="auto"/>
            <w:right w:val="none" w:sz="0" w:space="0" w:color="auto"/>
          </w:divBdr>
        </w:div>
        <w:div w:id="1889797241">
          <w:marLeft w:val="1166"/>
          <w:marRight w:val="0"/>
          <w:marTop w:val="115"/>
          <w:marBottom w:val="0"/>
          <w:divBdr>
            <w:top w:val="none" w:sz="0" w:space="0" w:color="auto"/>
            <w:left w:val="none" w:sz="0" w:space="0" w:color="auto"/>
            <w:bottom w:val="none" w:sz="0" w:space="0" w:color="auto"/>
            <w:right w:val="none" w:sz="0" w:space="0" w:color="auto"/>
          </w:divBdr>
        </w:div>
        <w:div w:id="1932396488">
          <w:marLeft w:val="1166"/>
          <w:marRight w:val="0"/>
          <w:marTop w:val="115"/>
          <w:marBottom w:val="0"/>
          <w:divBdr>
            <w:top w:val="none" w:sz="0" w:space="0" w:color="auto"/>
            <w:left w:val="none" w:sz="0" w:space="0" w:color="auto"/>
            <w:bottom w:val="none" w:sz="0" w:space="0" w:color="auto"/>
            <w:right w:val="none" w:sz="0" w:space="0" w:color="auto"/>
          </w:divBdr>
        </w:div>
      </w:divsChild>
    </w:div>
    <w:div w:id="423843755">
      <w:bodyDiv w:val="1"/>
      <w:marLeft w:val="0"/>
      <w:marRight w:val="0"/>
      <w:marTop w:val="0"/>
      <w:marBottom w:val="0"/>
      <w:divBdr>
        <w:top w:val="none" w:sz="0" w:space="0" w:color="auto"/>
        <w:left w:val="none" w:sz="0" w:space="0" w:color="auto"/>
        <w:bottom w:val="none" w:sz="0" w:space="0" w:color="auto"/>
        <w:right w:val="none" w:sz="0" w:space="0" w:color="auto"/>
      </w:divBdr>
      <w:divsChild>
        <w:div w:id="1408724359">
          <w:marLeft w:val="547"/>
          <w:marRight w:val="0"/>
          <w:marTop w:val="154"/>
          <w:marBottom w:val="0"/>
          <w:divBdr>
            <w:top w:val="none" w:sz="0" w:space="0" w:color="auto"/>
            <w:left w:val="none" w:sz="0" w:space="0" w:color="auto"/>
            <w:bottom w:val="none" w:sz="0" w:space="0" w:color="auto"/>
            <w:right w:val="none" w:sz="0" w:space="0" w:color="auto"/>
          </w:divBdr>
        </w:div>
        <w:div w:id="1633442086">
          <w:marLeft w:val="1166"/>
          <w:marRight w:val="0"/>
          <w:marTop w:val="134"/>
          <w:marBottom w:val="0"/>
          <w:divBdr>
            <w:top w:val="none" w:sz="0" w:space="0" w:color="auto"/>
            <w:left w:val="none" w:sz="0" w:space="0" w:color="auto"/>
            <w:bottom w:val="none" w:sz="0" w:space="0" w:color="auto"/>
            <w:right w:val="none" w:sz="0" w:space="0" w:color="auto"/>
          </w:divBdr>
        </w:div>
      </w:divsChild>
    </w:div>
    <w:div w:id="424808660">
      <w:bodyDiv w:val="1"/>
      <w:marLeft w:val="0"/>
      <w:marRight w:val="0"/>
      <w:marTop w:val="0"/>
      <w:marBottom w:val="0"/>
      <w:divBdr>
        <w:top w:val="none" w:sz="0" w:space="0" w:color="auto"/>
        <w:left w:val="none" w:sz="0" w:space="0" w:color="auto"/>
        <w:bottom w:val="none" w:sz="0" w:space="0" w:color="auto"/>
        <w:right w:val="none" w:sz="0" w:space="0" w:color="auto"/>
      </w:divBdr>
    </w:div>
    <w:div w:id="424884680">
      <w:bodyDiv w:val="1"/>
      <w:marLeft w:val="0"/>
      <w:marRight w:val="0"/>
      <w:marTop w:val="0"/>
      <w:marBottom w:val="0"/>
      <w:divBdr>
        <w:top w:val="none" w:sz="0" w:space="0" w:color="auto"/>
        <w:left w:val="none" w:sz="0" w:space="0" w:color="auto"/>
        <w:bottom w:val="none" w:sz="0" w:space="0" w:color="auto"/>
        <w:right w:val="none" w:sz="0" w:space="0" w:color="auto"/>
      </w:divBdr>
      <w:divsChild>
        <w:div w:id="1082798965">
          <w:marLeft w:val="547"/>
          <w:marRight w:val="0"/>
          <w:marTop w:val="115"/>
          <w:marBottom w:val="0"/>
          <w:divBdr>
            <w:top w:val="none" w:sz="0" w:space="0" w:color="auto"/>
            <w:left w:val="none" w:sz="0" w:space="0" w:color="auto"/>
            <w:bottom w:val="none" w:sz="0" w:space="0" w:color="auto"/>
            <w:right w:val="none" w:sz="0" w:space="0" w:color="auto"/>
          </w:divBdr>
        </w:div>
        <w:div w:id="1555048085">
          <w:marLeft w:val="547"/>
          <w:marRight w:val="0"/>
          <w:marTop w:val="115"/>
          <w:marBottom w:val="0"/>
          <w:divBdr>
            <w:top w:val="none" w:sz="0" w:space="0" w:color="auto"/>
            <w:left w:val="none" w:sz="0" w:space="0" w:color="auto"/>
            <w:bottom w:val="none" w:sz="0" w:space="0" w:color="auto"/>
            <w:right w:val="none" w:sz="0" w:space="0" w:color="auto"/>
          </w:divBdr>
        </w:div>
        <w:div w:id="1605111046">
          <w:marLeft w:val="547"/>
          <w:marRight w:val="0"/>
          <w:marTop w:val="115"/>
          <w:marBottom w:val="0"/>
          <w:divBdr>
            <w:top w:val="none" w:sz="0" w:space="0" w:color="auto"/>
            <w:left w:val="none" w:sz="0" w:space="0" w:color="auto"/>
            <w:bottom w:val="none" w:sz="0" w:space="0" w:color="auto"/>
            <w:right w:val="none" w:sz="0" w:space="0" w:color="auto"/>
          </w:divBdr>
        </w:div>
      </w:divsChild>
    </w:div>
    <w:div w:id="424889831">
      <w:bodyDiv w:val="1"/>
      <w:marLeft w:val="0"/>
      <w:marRight w:val="0"/>
      <w:marTop w:val="0"/>
      <w:marBottom w:val="0"/>
      <w:divBdr>
        <w:top w:val="none" w:sz="0" w:space="0" w:color="auto"/>
        <w:left w:val="none" w:sz="0" w:space="0" w:color="auto"/>
        <w:bottom w:val="none" w:sz="0" w:space="0" w:color="auto"/>
        <w:right w:val="none" w:sz="0" w:space="0" w:color="auto"/>
      </w:divBdr>
    </w:div>
    <w:div w:id="425417722">
      <w:bodyDiv w:val="1"/>
      <w:marLeft w:val="0"/>
      <w:marRight w:val="0"/>
      <w:marTop w:val="0"/>
      <w:marBottom w:val="0"/>
      <w:divBdr>
        <w:top w:val="none" w:sz="0" w:space="0" w:color="auto"/>
        <w:left w:val="none" w:sz="0" w:space="0" w:color="auto"/>
        <w:bottom w:val="none" w:sz="0" w:space="0" w:color="auto"/>
        <w:right w:val="none" w:sz="0" w:space="0" w:color="auto"/>
      </w:divBdr>
    </w:div>
    <w:div w:id="425737897">
      <w:bodyDiv w:val="1"/>
      <w:marLeft w:val="0"/>
      <w:marRight w:val="0"/>
      <w:marTop w:val="0"/>
      <w:marBottom w:val="0"/>
      <w:divBdr>
        <w:top w:val="none" w:sz="0" w:space="0" w:color="auto"/>
        <w:left w:val="none" w:sz="0" w:space="0" w:color="auto"/>
        <w:bottom w:val="none" w:sz="0" w:space="0" w:color="auto"/>
        <w:right w:val="none" w:sz="0" w:space="0" w:color="auto"/>
      </w:divBdr>
    </w:div>
    <w:div w:id="426925121">
      <w:bodyDiv w:val="1"/>
      <w:marLeft w:val="0"/>
      <w:marRight w:val="0"/>
      <w:marTop w:val="0"/>
      <w:marBottom w:val="0"/>
      <w:divBdr>
        <w:top w:val="none" w:sz="0" w:space="0" w:color="auto"/>
        <w:left w:val="none" w:sz="0" w:space="0" w:color="auto"/>
        <w:bottom w:val="none" w:sz="0" w:space="0" w:color="auto"/>
        <w:right w:val="none" w:sz="0" w:space="0" w:color="auto"/>
      </w:divBdr>
    </w:div>
    <w:div w:id="427586064">
      <w:bodyDiv w:val="1"/>
      <w:marLeft w:val="0"/>
      <w:marRight w:val="0"/>
      <w:marTop w:val="0"/>
      <w:marBottom w:val="0"/>
      <w:divBdr>
        <w:top w:val="none" w:sz="0" w:space="0" w:color="auto"/>
        <w:left w:val="none" w:sz="0" w:space="0" w:color="auto"/>
        <w:bottom w:val="none" w:sz="0" w:space="0" w:color="auto"/>
        <w:right w:val="none" w:sz="0" w:space="0" w:color="auto"/>
      </w:divBdr>
    </w:div>
    <w:div w:id="427969578">
      <w:bodyDiv w:val="1"/>
      <w:marLeft w:val="0"/>
      <w:marRight w:val="0"/>
      <w:marTop w:val="0"/>
      <w:marBottom w:val="0"/>
      <w:divBdr>
        <w:top w:val="none" w:sz="0" w:space="0" w:color="auto"/>
        <w:left w:val="none" w:sz="0" w:space="0" w:color="auto"/>
        <w:bottom w:val="none" w:sz="0" w:space="0" w:color="auto"/>
        <w:right w:val="none" w:sz="0" w:space="0" w:color="auto"/>
      </w:divBdr>
    </w:div>
    <w:div w:id="428162153">
      <w:bodyDiv w:val="1"/>
      <w:marLeft w:val="0"/>
      <w:marRight w:val="0"/>
      <w:marTop w:val="0"/>
      <w:marBottom w:val="0"/>
      <w:divBdr>
        <w:top w:val="none" w:sz="0" w:space="0" w:color="auto"/>
        <w:left w:val="none" w:sz="0" w:space="0" w:color="auto"/>
        <w:bottom w:val="none" w:sz="0" w:space="0" w:color="auto"/>
        <w:right w:val="none" w:sz="0" w:space="0" w:color="auto"/>
      </w:divBdr>
    </w:div>
    <w:div w:id="428697947">
      <w:bodyDiv w:val="1"/>
      <w:marLeft w:val="0"/>
      <w:marRight w:val="0"/>
      <w:marTop w:val="0"/>
      <w:marBottom w:val="0"/>
      <w:divBdr>
        <w:top w:val="none" w:sz="0" w:space="0" w:color="auto"/>
        <w:left w:val="none" w:sz="0" w:space="0" w:color="auto"/>
        <w:bottom w:val="none" w:sz="0" w:space="0" w:color="auto"/>
        <w:right w:val="none" w:sz="0" w:space="0" w:color="auto"/>
      </w:divBdr>
      <w:divsChild>
        <w:div w:id="1733231130">
          <w:marLeft w:val="0"/>
          <w:marRight w:val="0"/>
          <w:marTop w:val="0"/>
          <w:marBottom w:val="0"/>
          <w:divBdr>
            <w:top w:val="none" w:sz="0" w:space="0" w:color="auto"/>
            <w:left w:val="none" w:sz="0" w:space="0" w:color="auto"/>
            <w:bottom w:val="none" w:sz="0" w:space="0" w:color="auto"/>
            <w:right w:val="none" w:sz="0" w:space="0" w:color="auto"/>
          </w:divBdr>
          <w:divsChild>
            <w:div w:id="100996614">
              <w:marLeft w:val="0"/>
              <w:marRight w:val="0"/>
              <w:marTop w:val="0"/>
              <w:marBottom w:val="0"/>
              <w:divBdr>
                <w:top w:val="none" w:sz="0" w:space="0" w:color="auto"/>
                <w:left w:val="none" w:sz="0" w:space="0" w:color="auto"/>
                <w:bottom w:val="none" w:sz="0" w:space="0" w:color="auto"/>
                <w:right w:val="none" w:sz="0" w:space="0" w:color="auto"/>
              </w:divBdr>
            </w:div>
            <w:div w:id="1249341013">
              <w:marLeft w:val="0"/>
              <w:marRight w:val="0"/>
              <w:marTop w:val="0"/>
              <w:marBottom w:val="0"/>
              <w:divBdr>
                <w:top w:val="none" w:sz="0" w:space="0" w:color="auto"/>
                <w:left w:val="none" w:sz="0" w:space="0" w:color="auto"/>
                <w:bottom w:val="none" w:sz="0" w:space="0" w:color="auto"/>
                <w:right w:val="none" w:sz="0" w:space="0" w:color="auto"/>
              </w:divBdr>
            </w:div>
            <w:div w:id="1560677065">
              <w:marLeft w:val="0"/>
              <w:marRight w:val="0"/>
              <w:marTop w:val="0"/>
              <w:marBottom w:val="0"/>
              <w:divBdr>
                <w:top w:val="none" w:sz="0" w:space="0" w:color="auto"/>
                <w:left w:val="none" w:sz="0" w:space="0" w:color="auto"/>
                <w:bottom w:val="none" w:sz="0" w:space="0" w:color="auto"/>
                <w:right w:val="none" w:sz="0" w:space="0" w:color="auto"/>
              </w:divBdr>
            </w:div>
            <w:div w:id="19219118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28700362">
      <w:bodyDiv w:val="1"/>
      <w:marLeft w:val="0"/>
      <w:marRight w:val="0"/>
      <w:marTop w:val="0"/>
      <w:marBottom w:val="0"/>
      <w:divBdr>
        <w:top w:val="none" w:sz="0" w:space="0" w:color="auto"/>
        <w:left w:val="none" w:sz="0" w:space="0" w:color="auto"/>
        <w:bottom w:val="none" w:sz="0" w:space="0" w:color="auto"/>
        <w:right w:val="none" w:sz="0" w:space="0" w:color="auto"/>
      </w:divBdr>
    </w:div>
    <w:div w:id="428815044">
      <w:bodyDiv w:val="1"/>
      <w:marLeft w:val="0"/>
      <w:marRight w:val="0"/>
      <w:marTop w:val="0"/>
      <w:marBottom w:val="0"/>
      <w:divBdr>
        <w:top w:val="none" w:sz="0" w:space="0" w:color="auto"/>
        <w:left w:val="none" w:sz="0" w:space="0" w:color="auto"/>
        <w:bottom w:val="none" w:sz="0" w:space="0" w:color="auto"/>
        <w:right w:val="none" w:sz="0" w:space="0" w:color="auto"/>
      </w:divBdr>
    </w:div>
    <w:div w:id="429011035">
      <w:bodyDiv w:val="1"/>
      <w:marLeft w:val="0"/>
      <w:marRight w:val="0"/>
      <w:marTop w:val="0"/>
      <w:marBottom w:val="0"/>
      <w:divBdr>
        <w:top w:val="none" w:sz="0" w:space="0" w:color="auto"/>
        <w:left w:val="none" w:sz="0" w:space="0" w:color="auto"/>
        <w:bottom w:val="none" w:sz="0" w:space="0" w:color="auto"/>
        <w:right w:val="none" w:sz="0" w:space="0" w:color="auto"/>
      </w:divBdr>
      <w:divsChild>
        <w:div w:id="1411460140">
          <w:marLeft w:val="1267"/>
          <w:marRight w:val="0"/>
          <w:marTop w:val="100"/>
          <w:marBottom w:val="0"/>
          <w:divBdr>
            <w:top w:val="none" w:sz="0" w:space="0" w:color="auto"/>
            <w:left w:val="none" w:sz="0" w:space="0" w:color="auto"/>
            <w:bottom w:val="none" w:sz="0" w:space="0" w:color="auto"/>
            <w:right w:val="none" w:sz="0" w:space="0" w:color="auto"/>
          </w:divBdr>
        </w:div>
        <w:div w:id="2109349085">
          <w:marLeft w:val="547"/>
          <w:marRight w:val="0"/>
          <w:marTop w:val="200"/>
          <w:marBottom w:val="0"/>
          <w:divBdr>
            <w:top w:val="none" w:sz="0" w:space="0" w:color="auto"/>
            <w:left w:val="none" w:sz="0" w:space="0" w:color="auto"/>
            <w:bottom w:val="none" w:sz="0" w:space="0" w:color="auto"/>
            <w:right w:val="none" w:sz="0" w:space="0" w:color="auto"/>
          </w:divBdr>
        </w:div>
      </w:divsChild>
    </w:div>
    <w:div w:id="429083583">
      <w:bodyDiv w:val="1"/>
      <w:marLeft w:val="0"/>
      <w:marRight w:val="0"/>
      <w:marTop w:val="0"/>
      <w:marBottom w:val="0"/>
      <w:divBdr>
        <w:top w:val="none" w:sz="0" w:space="0" w:color="auto"/>
        <w:left w:val="none" w:sz="0" w:space="0" w:color="auto"/>
        <w:bottom w:val="none" w:sz="0" w:space="0" w:color="auto"/>
        <w:right w:val="none" w:sz="0" w:space="0" w:color="auto"/>
      </w:divBdr>
    </w:div>
    <w:div w:id="429620284">
      <w:bodyDiv w:val="1"/>
      <w:marLeft w:val="0"/>
      <w:marRight w:val="0"/>
      <w:marTop w:val="0"/>
      <w:marBottom w:val="0"/>
      <w:divBdr>
        <w:top w:val="none" w:sz="0" w:space="0" w:color="auto"/>
        <w:left w:val="none" w:sz="0" w:space="0" w:color="auto"/>
        <w:bottom w:val="none" w:sz="0" w:space="0" w:color="auto"/>
        <w:right w:val="none" w:sz="0" w:space="0" w:color="auto"/>
      </w:divBdr>
    </w:div>
    <w:div w:id="429663013">
      <w:bodyDiv w:val="1"/>
      <w:marLeft w:val="0"/>
      <w:marRight w:val="0"/>
      <w:marTop w:val="0"/>
      <w:marBottom w:val="0"/>
      <w:divBdr>
        <w:top w:val="none" w:sz="0" w:space="0" w:color="auto"/>
        <w:left w:val="none" w:sz="0" w:space="0" w:color="auto"/>
        <w:bottom w:val="none" w:sz="0" w:space="0" w:color="auto"/>
        <w:right w:val="none" w:sz="0" w:space="0" w:color="auto"/>
      </w:divBdr>
    </w:div>
    <w:div w:id="429665242">
      <w:bodyDiv w:val="1"/>
      <w:marLeft w:val="0"/>
      <w:marRight w:val="0"/>
      <w:marTop w:val="0"/>
      <w:marBottom w:val="0"/>
      <w:divBdr>
        <w:top w:val="none" w:sz="0" w:space="0" w:color="auto"/>
        <w:left w:val="none" w:sz="0" w:space="0" w:color="auto"/>
        <w:bottom w:val="none" w:sz="0" w:space="0" w:color="auto"/>
        <w:right w:val="none" w:sz="0" w:space="0" w:color="auto"/>
      </w:divBdr>
      <w:divsChild>
        <w:div w:id="632102433">
          <w:marLeft w:val="547"/>
          <w:marRight w:val="0"/>
          <w:marTop w:val="154"/>
          <w:marBottom w:val="0"/>
          <w:divBdr>
            <w:top w:val="none" w:sz="0" w:space="0" w:color="auto"/>
            <w:left w:val="none" w:sz="0" w:space="0" w:color="auto"/>
            <w:bottom w:val="none" w:sz="0" w:space="0" w:color="auto"/>
            <w:right w:val="none" w:sz="0" w:space="0" w:color="auto"/>
          </w:divBdr>
        </w:div>
        <w:div w:id="1308243779">
          <w:marLeft w:val="547"/>
          <w:marRight w:val="0"/>
          <w:marTop w:val="154"/>
          <w:marBottom w:val="0"/>
          <w:divBdr>
            <w:top w:val="none" w:sz="0" w:space="0" w:color="auto"/>
            <w:left w:val="none" w:sz="0" w:space="0" w:color="auto"/>
            <w:bottom w:val="none" w:sz="0" w:space="0" w:color="auto"/>
            <w:right w:val="none" w:sz="0" w:space="0" w:color="auto"/>
          </w:divBdr>
        </w:div>
      </w:divsChild>
    </w:div>
    <w:div w:id="430013851">
      <w:bodyDiv w:val="1"/>
      <w:marLeft w:val="0"/>
      <w:marRight w:val="0"/>
      <w:marTop w:val="0"/>
      <w:marBottom w:val="0"/>
      <w:divBdr>
        <w:top w:val="none" w:sz="0" w:space="0" w:color="auto"/>
        <w:left w:val="none" w:sz="0" w:space="0" w:color="auto"/>
        <w:bottom w:val="none" w:sz="0" w:space="0" w:color="auto"/>
        <w:right w:val="none" w:sz="0" w:space="0" w:color="auto"/>
      </w:divBdr>
    </w:div>
    <w:div w:id="430318576">
      <w:bodyDiv w:val="1"/>
      <w:marLeft w:val="0"/>
      <w:marRight w:val="0"/>
      <w:marTop w:val="0"/>
      <w:marBottom w:val="0"/>
      <w:divBdr>
        <w:top w:val="none" w:sz="0" w:space="0" w:color="auto"/>
        <w:left w:val="none" w:sz="0" w:space="0" w:color="auto"/>
        <w:bottom w:val="none" w:sz="0" w:space="0" w:color="auto"/>
        <w:right w:val="none" w:sz="0" w:space="0" w:color="auto"/>
      </w:divBdr>
      <w:divsChild>
        <w:div w:id="1923636975">
          <w:marLeft w:val="547"/>
          <w:marRight w:val="0"/>
          <w:marTop w:val="154"/>
          <w:marBottom w:val="0"/>
          <w:divBdr>
            <w:top w:val="none" w:sz="0" w:space="0" w:color="auto"/>
            <w:left w:val="none" w:sz="0" w:space="0" w:color="auto"/>
            <w:bottom w:val="none" w:sz="0" w:space="0" w:color="auto"/>
            <w:right w:val="none" w:sz="0" w:space="0" w:color="auto"/>
          </w:divBdr>
        </w:div>
      </w:divsChild>
    </w:div>
    <w:div w:id="430324054">
      <w:bodyDiv w:val="1"/>
      <w:marLeft w:val="0"/>
      <w:marRight w:val="0"/>
      <w:marTop w:val="0"/>
      <w:marBottom w:val="0"/>
      <w:divBdr>
        <w:top w:val="none" w:sz="0" w:space="0" w:color="auto"/>
        <w:left w:val="none" w:sz="0" w:space="0" w:color="auto"/>
        <w:bottom w:val="none" w:sz="0" w:space="0" w:color="auto"/>
        <w:right w:val="none" w:sz="0" w:space="0" w:color="auto"/>
      </w:divBdr>
      <w:divsChild>
        <w:div w:id="70352606">
          <w:marLeft w:val="1166"/>
          <w:marRight w:val="0"/>
          <w:marTop w:val="134"/>
          <w:marBottom w:val="0"/>
          <w:divBdr>
            <w:top w:val="none" w:sz="0" w:space="0" w:color="auto"/>
            <w:left w:val="none" w:sz="0" w:space="0" w:color="auto"/>
            <w:bottom w:val="none" w:sz="0" w:space="0" w:color="auto"/>
            <w:right w:val="none" w:sz="0" w:space="0" w:color="auto"/>
          </w:divBdr>
        </w:div>
        <w:div w:id="653602808">
          <w:marLeft w:val="1800"/>
          <w:marRight w:val="0"/>
          <w:marTop w:val="115"/>
          <w:marBottom w:val="0"/>
          <w:divBdr>
            <w:top w:val="none" w:sz="0" w:space="0" w:color="auto"/>
            <w:left w:val="none" w:sz="0" w:space="0" w:color="auto"/>
            <w:bottom w:val="none" w:sz="0" w:space="0" w:color="auto"/>
            <w:right w:val="none" w:sz="0" w:space="0" w:color="auto"/>
          </w:divBdr>
        </w:div>
        <w:div w:id="983311149">
          <w:marLeft w:val="547"/>
          <w:marRight w:val="0"/>
          <w:marTop w:val="154"/>
          <w:marBottom w:val="0"/>
          <w:divBdr>
            <w:top w:val="none" w:sz="0" w:space="0" w:color="auto"/>
            <w:left w:val="none" w:sz="0" w:space="0" w:color="auto"/>
            <w:bottom w:val="none" w:sz="0" w:space="0" w:color="auto"/>
            <w:right w:val="none" w:sz="0" w:space="0" w:color="auto"/>
          </w:divBdr>
        </w:div>
        <w:div w:id="990062061">
          <w:marLeft w:val="1800"/>
          <w:marRight w:val="0"/>
          <w:marTop w:val="115"/>
          <w:marBottom w:val="0"/>
          <w:divBdr>
            <w:top w:val="none" w:sz="0" w:space="0" w:color="auto"/>
            <w:left w:val="none" w:sz="0" w:space="0" w:color="auto"/>
            <w:bottom w:val="none" w:sz="0" w:space="0" w:color="auto"/>
            <w:right w:val="none" w:sz="0" w:space="0" w:color="auto"/>
          </w:divBdr>
        </w:div>
        <w:div w:id="1061438221">
          <w:marLeft w:val="1166"/>
          <w:marRight w:val="0"/>
          <w:marTop w:val="134"/>
          <w:marBottom w:val="0"/>
          <w:divBdr>
            <w:top w:val="none" w:sz="0" w:space="0" w:color="auto"/>
            <w:left w:val="none" w:sz="0" w:space="0" w:color="auto"/>
            <w:bottom w:val="none" w:sz="0" w:space="0" w:color="auto"/>
            <w:right w:val="none" w:sz="0" w:space="0" w:color="auto"/>
          </w:divBdr>
        </w:div>
      </w:divsChild>
    </w:div>
    <w:div w:id="430975316">
      <w:bodyDiv w:val="1"/>
      <w:marLeft w:val="0"/>
      <w:marRight w:val="0"/>
      <w:marTop w:val="0"/>
      <w:marBottom w:val="0"/>
      <w:divBdr>
        <w:top w:val="none" w:sz="0" w:space="0" w:color="auto"/>
        <w:left w:val="none" w:sz="0" w:space="0" w:color="auto"/>
        <w:bottom w:val="none" w:sz="0" w:space="0" w:color="auto"/>
        <w:right w:val="none" w:sz="0" w:space="0" w:color="auto"/>
      </w:divBdr>
    </w:div>
    <w:div w:id="431509291">
      <w:bodyDiv w:val="1"/>
      <w:marLeft w:val="0"/>
      <w:marRight w:val="0"/>
      <w:marTop w:val="0"/>
      <w:marBottom w:val="0"/>
      <w:divBdr>
        <w:top w:val="none" w:sz="0" w:space="0" w:color="auto"/>
        <w:left w:val="none" w:sz="0" w:space="0" w:color="auto"/>
        <w:bottom w:val="none" w:sz="0" w:space="0" w:color="auto"/>
        <w:right w:val="none" w:sz="0" w:space="0" w:color="auto"/>
      </w:divBdr>
    </w:div>
    <w:div w:id="432631414">
      <w:bodyDiv w:val="1"/>
      <w:marLeft w:val="0"/>
      <w:marRight w:val="0"/>
      <w:marTop w:val="0"/>
      <w:marBottom w:val="0"/>
      <w:divBdr>
        <w:top w:val="none" w:sz="0" w:space="0" w:color="auto"/>
        <w:left w:val="none" w:sz="0" w:space="0" w:color="auto"/>
        <w:bottom w:val="none" w:sz="0" w:space="0" w:color="auto"/>
        <w:right w:val="none" w:sz="0" w:space="0" w:color="auto"/>
      </w:divBdr>
      <w:divsChild>
        <w:div w:id="385494597">
          <w:marLeft w:val="1166"/>
          <w:marRight w:val="0"/>
          <w:marTop w:val="96"/>
          <w:marBottom w:val="0"/>
          <w:divBdr>
            <w:top w:val="none" w:sz="0" w:space="0" w:color="auto"/>
            <w:left w:val="none" w:sz="0" w:space="0" w:color="auto"/>
            <w:bottom w:val="none" w:sz="0" w:space="0" w:color="auto"/>
            <w:right w:val="none" w:sz="0" w:space="0" w:color="auto"/>
          </w:divBdr>
        </w:div>
        <w:div w:id="461070974">
          <w:marLeft w:val="1166"/>
          <w:marRight w:val="0"/>
          <w:marTop w:val="96"/>
          <w:marBottom w:val="0"/>
          <w:divBdr>
            <w:top w:val="none" w:sz="0" w:space="0" w:color="auto"/>
            <w:left w:val="none" w:sz="0" w:space="0" w:color="auto"/>
            <w:bottom w:val="none" w:sz="0" w:space="0" w:color="auto"/>
            <w:right w:val="none" w:sz="0" w:space="0" w:color="auto"/>
          </w:divBdr>
        </w:div>
        <w:div w:id="592209165">
          <w:marLeft w:val="547"/>
          <w:marRight w:val="0"/>
          <w:marTop w:val="115"/>
          <w:marBottom w:val="0"/>
          <w:divBdr>
            <w:top w:val="none" w:sz="0" w:space="0" w:color="auto"/>
            <w:left w:val="none" w:sz="0" w:space="0" w:color="auto"/>
            <w:bottom w:val="none" w:sz="0" w:space="0" w:color="auto"/>
            <w:right w:val="none" w:sz="0" w:space="0" w:color="auto"/>
          </w:divBdr>
        </w:div>
        <w:div w:id="1447381897">
          <w:marLeft w:val="1800"/>
          <w:marRight w:val="0"/>
          <w:marTop w:val="96"/>
          <w:marBottom w:val="0"/>
          <w:divBdr>
            <w:top w:val="none" w:sz="0" w:space="0" w:color="auto"/>
            <w:left w:val="none" w:sz="0" w:space="0" w:color="auto"/>
            <w:bottom w:val="none" w:sz="0" w:space="0" w:color="auto"/>
            <w:right w:val="none" w:sz="0" w:space="0" w:color="auto"/>
          </w:divBdr>
        </w:div>
        <w:div w:id="1515076743">
          <w:marLeft w:val="1166"/>
          <w:marRight w:val="0"/>
          <w:marTop w:val="96"/>
          <w:marBottom w:val="0"/>
          <w:divBdr>
            <w:top w:val="none" w:sz="0" w:space="0" w:color="auto"/>
            <w:left w:val="none" w:sz="0" w:space="0" w:color="auto"/>
            <w:bottom w:val="none" w:sz="0" w:space="0" w:color="auto"/>
            <w:right w:val="none" w:sz="0" w:space="0" w:color="auto"/>
          </w:divBdr>
        </w:div>
        <w:div w:id="1987969047">
          <w:marLeft w:val="1166"/>
          <w:marRight w:val="0"/>
          <w:marTop w:val="96"/>
          <w:marBottom w:val="0"/>
          <w:divBdr>
            <w:top w:val="none" w:sz="0" w:space="0" w:color="auto"/>
            <w:left w:val="none" w:sz="0" w:space="0" w:color="auto"/>
            <w:bottom w:val="none" w:sz="0" w:space="0" w:color="auto"/>
            <w:right w:val="none" w:sz="0" w:space="0" w:color="auto"/>
          </w:divBdr>
        </w:div>
      </w:divsChild>
    </w:div>
    <w:div w:id="432675230">
      <w:bodyDiv w:val="1"/>
      <w:marLeft w:val="0"/>
      <w:marRight w:val="0"/>
      <w:marTop w:val="0"/>
      <w:marBottom w:val="0"/>
      <w:divBdr>
        <w:top w:val="none" w:sz="0" w:space="0" w:color="auto"/>
        <w:left w:val="none" w:sz="0" w:space="0" w:color="auto"/>
        <w:bottom w:val="none" w:sz="0" w:space="0" w:color="auto"/>
        <w:right w:val="none" w:sz="0" w:space="0" w:color="auto"/>
      </w:divBdr>
    </w:div>
    <w:div w:id="432896121">
      <w:bodyDiv w:val="1"/>
      <w:marLeft w:val="0"/>
      <w:marRight w:val="0"/>
      <w:marTop w:val="0"/>
      <w:marBottom w:val="0"/>
      <w:divBdr>
        <w:top w:val="none" w:sz="0" w:space="0" w:color="auto"/>
        <w:left w:val="none" w:sz="0" w:space="0" w:color="auto"/>
        <w:bottom w:val="none" w:sz="0" w:space="0" w:color="auto"/>
        <w:right w:val="none" w:sz="0" w:space="0" w:color="auto"/>
      </w:divBdr>
      <w:divsChild>
        <w:div w:id="588661615">
          <w:marLeft w:val="1166"/>
          <w:marRight w:val="0"/>
          <w:marTop w:val="134"/>
          <w:marBottom w:val="0"/>
          <w:divBdr>
            <w:top w:val="none" w:sz="0" w:space="0" w:color="auto"/>
            <w:left w:val="none" w:sz="0" w:space="0" w:color="auto"/>
            <w:bottom w:val="none" w:sz="0" w:space="0" w:color="auto"/>
            <w:right w:val="none" w:sz="0" w:space="0" w:color="auto"/>
          </w:divBdr>
        </w:div>
        <w:div w:id="1056123007">
          <w:marLeft w:val="547"/>
          <w:marRight w:val="0"/>
          <w:marTop w:val="154"/>
          <w:marBottom w:val="0"/>
          <w:divBdr>
            <w:top w:val="none" w:sz="0" w:space="0" w:color="auto"/>
            <w:left w:val="none" w:sz="0" w:space="0" w:color="auto"/>
            <w:bottom w:val="none" w:sz="0" w:space="0" w:color="auto"/>
            <w:right w:val="none" w:sz="0" w:space="0" w:color="auto"/>
          </w:divBdr>
        </w:div>
        <w:div w:id="1300569525">
          <w:marLeft w:val="1166"/>
          <w:marRight w:val="0"/>
          <w:marTop w:val="134"/>
          <w:marBottom w:val="0"/>
          <w:divBdr>
            <w:top w:val="none" w:sz="0" w:space="0" w:color="auto"/>
            <w:left w:val="none" w:sz="0" w:space="0" w:color="auto"/>
            <w:bottom w:val="none" w:sz="0" w:space="0" w:color="auto"/>
            <w:right w:val="none" w:sz="0" w:space="0" w:color="auto"/>
          </w:divBdr>
        </w:div>
        <w:div w:id="1599292485">
          <w:marLeft w:val="1166"/>
          <w:marRight w:val="0"/>
          <w:marTop w:val="134"/>
          <w:marBottom w:val="0"/>
          <w:divBdr>
            <w:top w:val="none" w:sz="0" w:space="0" w:color="auto"/>
            <w:left w:val="none" w:sz="0" w:space="0" w:color="auto"/>
            <w:bottom w:val="none" w:sz="0" w:space="0" w:color="auto"/>
            <w:right w:val="none" w:sz="0" w:space="0" w:color="auto"/>
          </w:divBdr>
        </w:div>
        <w:div w:id="2096630814">
          <w:marLeft w:val="1166"/>
          <w:marRight w:val="0"/>
          <w:marTop w:val="134"/>
          <w:marBottom w:val="0"/>
          <w:divBdr>
            <w:top w:val="none" w:sz="0" w:space="0" w:color="auto"/>
            <w:left w:val="none" w:sz="0" w:space="0" w:color="auto"/>
            <w:bottom w:val="none" w:sz="0" w:space="0" w:color="auto"/>
            <w:right w:val="none" w:sz="0" w:space="0" w:color="auto"/>
          </w:divBdr>
        </w:div>
        <w:div w:id="2144733010">
          <w:marLeft w:val="547"/>
          <w:marRight w:val="0"/>
          <w:marTop w:val="154"/>
          <w:marBottom w:val="0"/>
          <w:divBdr>
            <w:top w:val="none" w:sz="0" w:space="0" w:color="auto"/>
            <w:left w:val="none" w:sz="0" w:space="0" w:color="auto"/>
            <w:bottom w:val="none" w:sz="0" w:space="0" w:color="auto"/>
            <w:right w:val="none" w:sz="0" w:space="0" w:color="auto"/>
          </w:divBdr>
        </w:div>
      </w:divsChild>
    </w:div>
    <w:div w:id="433326528">
      <w:bodyDiv w:val="1"/>
      <w:marLeft w:val="0"/>
      <w:marRight w:val="0"/>
      <w:marTop w:val="0"/>
      <w:marBottom w:val="0"/>
      <w:divBdr>
        <w:top w:val="none" w:sz="0" w:space="0" w:color="auto"/>
        <w:left w:val="none" w:sz="0" w:space="0" w:color="auto"/>
        <w:bottom w:val="none" w:sz="0" w:space="0" w:color="auto"/>
        <w:right w:val="none" w:sz="0" w:space="0" w:color="auto"/>
      </w:divBdr>
    </w:div>
    <w:div w:id="433940289">
      <w:bodyDiv w:val="1"/>
      <w:marLeft w:val="0"/>
      <w:marRight w:val="0"/>
      <w:marTop w:val="0"/>
      <w:marBottom w:val="0"/>
      <w:divBdr>
        <w:top w:val="none" w:sz="0" w:space="0" w:color="auto"/>
        <w:left w:val="none" w:sz="0" w:space="0" w:color="auto"/>
        <w:bottom w:val="none" w:sz="0" w:space="0" w:color="auto"/>
        <w:right w:val="none" w:sz="0" w:space="0" w:color="auto"/>
      </w:divBdr>
    </w:div>
    <w:div w:id="435292591">
      <w:bodyDiv w:val="1"/>
      <w:marLeft w:val="0"/>
      <w:marRight w:val="0"/>
      <w:marTop w:val="0"/>
      <w:marBottom w:val="0"/>
      <w:divBdr>
        <w:top w:val="none" w:sz="0" w:space="0" w:color="auto"/>
        <w:left w:val="none" w:sz="0" w:space="0" w:color="auto"/>
        <w:bottom w:val="none" w:sz="0" w:space="0" w:color="auto"/>
        <w:right w:val="none" w:sz="0" w:space="0" w:color="auto"/>
      </w:divBdr>
    </w:div>
    <w:div w:id="435443417">
      <w:bodyDiv w:val="1"/>
      <w:marLeft w:val="0"/>
      <w:marRight w:val="0"/>
      <w:marTop w:val="0"/>
      <w:marBottom w:val="0"/>
      <w:divBdr>
        <w:top w:val="none" w:sz="0" w:space="0" w:color="auto"/>
        <w:left w:val="none" w:sz="0" w:space="0" w:color="auto"/>
        <w:bottom w:val="none" w:sz="0" w:space="0" w:color="auto"/>
        <w:right w:val="none" w:sz="0" w:space="0" w:color="auto"/>
      </w:divBdr>
    </w:div>
    <w:div w:id="436294163">
      <w:bodyDiv w:val="1"/>
      <w:marLeft w:val="0"/>
      <w:marRight w:val="0"/>
      <w:marTop w:val="0"/>
      <w:marBottom w:val="0"/>
      <w:divBdr>
        <w:top w:val="none" w:sz="0" w:space="0" w:color="auto"/>
        <w:left w:val="none" w:sz="0" w:space="0" w:color="auto"/>
        <w:bottom w:val="none" w:sz="0" w:space="0" w:color="auto"/>
        <w:right w:val="none" w:sz="0" w:space="0" w:color="auto"/>
      </w:divBdr>
    </w:div>
    <w:div w:id="436605568">
      <w:bodyDiv w:val="1"/>
      <w:marLeft w:val="0"/>
      <w:marRight w:val="0"/>
      <w:marTop w:val="0"/>
      <w:marBottom w:val="0"/>
      <w:divBdr>
        <w:top w:val="none" w:sz="0" w:space="0" w:color="auto"/>
        <w:left w:val="none" w:sz="0" w:space="0" w:color="auto"/>
        <w:bottom w:val="none" w:sz="0" w:space="0" w:color="auto"/>
        <w:right w:val="none" w:sz="0" w:space="0" w:color="auto"/>
      </w:divBdr>
    </w:div>
    <w:div w:id="437411508">
      <w:bodyDiv w:val="1"/>
      <w:marLeft w:val="0"/>
      <w:marRight w:val="0"/>
      <w:marTop w:val="0"/>
      <w:marBottom w:val="0"/>
      <w:divBdr>
        <w:top w:val="none" w:sz="0" w:space="0" w:color="auto"/>
        <w:left w:val="none" w:sz="0" w:space="0" w:color="auto"/>
        <w:bottom w:val="none" w:sz="0" w:space="0" w:color="auto"/>
        <w:right w:val="none" w:sz="0" w:space="0" w:color="auto"/>
      </w:divBdr>
    </w:div>
    <w:div w:id="437914871">
      <w:bodyDiv w:val="1"/>
      <w:marLeft w:val="0"/>
      <w:marRight w:val="0"/>
      <w:marTop w:val="0"/>
      <w:marBottom w:val="0"/>
      <w:divBdr>
        <w:top w:val="none" w:sz="0" w:space="0" w:color="auto"/>
        <w:left w:val="none" w:sz="0" w:space="0" w:color="auto"/>
        <w:bottom w:val="none" w:sz="0" w:space="0" w:color="auto"/>
        <w:right w:val="none" w:sz="0" w:space="0" w:color="auto"/>
      </w:divBdr>
    </w:div>
    <w:div w:id="438598502">
      <w:bodyDiv w:val="1"/>
      <w:marLeft w:val="0"/>
      <w:marRight w:val="0"/>
      <w:marTop w:val="0"/>
      <w:marBottom w:val="0"/>
      <w:divBdr>
        <w:top w:val="none" w:sz="0" w:space="0" w:color="auto"/>
        <w:left w:val="none" w:sz="0" w:space="0" w:color="auto"/>
        <w:bottom w:val="none" w:sz="0" w:space="0" w:color="auto"/>
        <w:right w:val="none" w:sz="0" w:space="0" w:color="auto"/>
      </w:divBdr>
      <w:divsChild>
        <w:div w:id="24060338">
          <w:marLeft w:val="274"/>
          <w:marRight w:val="0"/>
          <w:marTop w:val="115"/>
          <w:marBottom w:val="0"/>
          <w:divBdr>
            <w:top w:val="none" w:sz="0" w:space="0" w:color="auto"/>
            <w:left w:val="none" w:sz="0" w:space="0" w:color="auto"/>
            <w:bottom w:val="none" w:sz="0" w:space="0" w:color="auto"/>
            <w:right w:val="none" w:sz="0" w:space="0" w:color="auto"/>
          </w:divBdr>
        </w:div>
        <w:div w:id="568879021">
          <w:marLeft w:val="274"/>
          <w:marRight w:val="0"/>
          <w:marTop w:val="115"/>
          <w:marBottom w:val="0"/>
          <w:divBdr>
            <w:top w:val="none" w:sz="0" w:space="0" w:color="auto"/>
            <w:left w:val="none" w:sz="0" w:space="0" w:color="auto"/>
            <w:bottom w:val="none" w:sz="0" w:space="0" w:color="auto"/>
            <w:right w:val="none" w:sz="0" w:space="0" w:color="auto"/>
          </w:divBdr>
        </w:div>
        <w:div w:id="1277523001">
          <w:marLeft w:val="1411"/>
          <w:marRight w:val="0"/>
          <w:marTop w:val="96"/>
          <w:marBottom w:val="0"/>
          <w:divBdr>
            <w:top w:val="none" w:sz="0" w:space="0" w:color="auto"/>
            <w:left w:val="none" w:sz="0" w:space="0" w:color="auto"/>
            <w:bottom w:val="none" w:sz="0" w:space="0" w:color="auto"/>
            <w:right w:val="none" w:sz="0" w:space="0" w:color="auto"/>
          </w:divBdr>
        </w:div>
        <w:div w:id="1372538732">
          <w:marLeft w:val="835"/>
          <w:marRight w:val="0"/>
          <w:marTop w:val="96"/>
          <w:marBottom w:val="0"/>
          <w:divBdr>
            <w:top w:val="none" w:sz="0" w:space="0" w:color="auto"/>
            <w:left w:val="none" w:sz="0" w:space="0" w:color="auto"/>
            <w:bottom w:val="none" w:sz="0" w:space="0" w:color="auto"/>
            <w:right w:val="none" w:sz="0" w:space="0" w:color="auto"/>
          </w:divBdr>
        </w:div>
        <w:div w:id="1634673420">
          <w:marLeft w:val="1411"/>
          <w:marRight w:val="0"/>
          <w:marTop w:val="96"/>
          <w:marBottom w:val="0"/>
          <w:divBdr>
            <w:top w:val="none" w:sz="0" w:space="0" w:color="auto"/>
            <w:left w:val="none" w:sz="0" w:space="0" w:color="auto"/>
            <w:bottom w:val="none" w:sz="0" w:space="0" w:color="auto"/>
            <w:right w:val="none" w:sz="0" w:space="0" w:color="auto"/>
          </w:divBdr>
        </w:div>
        <w:div w:id="1992438860">
          <w:marLeft w:val="835"/>
          <w:marRight w:val="0"/>
          <w:marTop w:val="96"/>
          <w:marBottom w:val="0"/>
          <w:divBdr>
            <w:top w:val="none" w:sz="0" w:space="0" w:color="auto"/>
            <w:left w:val="none" w:sz="0" w:space="0" w:color="auto"/>
            <w:bottom w:val="none" w:sz="0" w:space="0" w:color="auto"/>
            <w:right w:val="none" w:sz="0" w:space="0" w:color="auto"/>
          </w:divBdr>
        </w:div>
      </w:divsChild>
    </w:div>
    <w:div w:id="439573702">
      <w:bodyDiv w:val="1"/>
      <w:marLeft w:val="0"/>
      <w:marRight w:val="0"/>
      <w:marTop w:val="0"/>
      <w:marBottom w:val="0"/>
      <w:divBdr>
        <w:top w:val="none" w:sz="0" w:space="0" w:color="auto"/>
        <w:left w:val="none" w:sz="0" w:space="0" w:color="auto"/>
        <w:bottom w:val="none" w:sz="0" w:space="0" w:color="auto"/>
        <w:right w:val="none" w:sz="0" w:space="0" w:color="auto"/>
      </w:divBdr>
    </w:div>
    <w:div w:id="439837460">
      <w:bodyDiv w:val="1"/>
      <w:marLeft w:val="0"/>
      <w:marRight w:val="0"/>
      <w:marTop w:val="0"/>
      <w:marBottom w:val="0"/>
      <w:divBdr>
        <w:top w:val="none" w:sz="0" w:space="0" w:color="auto"/>
        <w:left w:val="none" w:sz="0" w:space="0" w:color="auto"/>
        <w:bottom w:val="none" w:sz="0" w:space="0" w:color="auto"/>
        <w:right w:val="none" w:sz="0" w:space="0" w:color="auto"/>
      </w:divBdr>
    </w:div>
    <w:div w:id="440030290">
      <w:bodyDiv w:val="1"/>
      <w:marLeft w:val="0"/>
      <w:marRight w:val="0"/>
      <w:marTop w:val="0"/>
      <w:marBottom w:val="0"/>
      <w:divBdr>
        <w:top w:val="none" w:sz="0" w:space="0" w:color="auto"/>
        <w:left w:val="none" w:sz="0" w:space="0" w:color="auto"/>
        <w:bottom w:val="none" w:sz="0" w:space="0" w:color="auto"/>
        <w:right w:val="none" w:sz="0" w:space="0" w:color="auto"/>
      </w:divBdr>
    </w:div>
    <w:div w:id="440102051">
      <w:bodyDiv w:val="1"/>
      <w:marLeft w:val="0"/>
      <w:marRight w:val="0"/>
      <w:marTop w:val="0"/>
      <w:marBottom w:val="0"/>
      <w:divBdr>
        <w:top w:val="none" w:sz="0" w:space="0" w:color="auto"/>
        <w:left w:val="none" w:sz="0" w:space="0" w:color="auto"/>
        <w:bottom w:val="none" w:sz="0" w:space="0" w:color="auto"/>
        <w:right w:val="none" w:sz="0" w:space="0" w:color="auto"/>
      </w:divBdr>
    </w:div>
    <w:div w:id="440492092">
      <w:bodyDiv w:val="1"/>
      <w:marLeft w:val="0"/>
      <w:marRight w:val="0"/>
      <w:marTop w:val="0"/>
      <w:marBottom w:val="0"/>
      <w:divBdr>
        <w:top w:val="none" w:sz="0" w:space="0" w:color="auto"/>
        <w:left w:val="none" w:sz="0" w:space="0" w:color="auto"/>
        <w:bottom w:val="none" w:sz="0" w:space="0" w:color="auto"/>
        <w:right w:val="none" w:sz="0" w:space="0" w:color="auto"/>
      </w:divBdr>
      <w:divsChild>
        <w:div w:id="55711423">
          <w:marLeft w:val="1166"/>
          <w:marRight w:val="0"/>
          <w:marTop w:val="96"/>
          <w:marBottom w:val="0"/>
          <w:divBdr>
            <w:top w:val="none" w:sz="0" w:space="0" w:color="auto"/>
            <w:left w:val="none" w:sz="0" w:space="0" w:color="auto"/>
            <w:bottom w:val="none" w:sz="0" w:space="0" w:color="auto"/>
            <w:right w:val="none" w:sz="0" w:space="0" w:color="auto"/>
          </w:divBdr>
        </w:div>
        <w:div w:id="713118611">
          <w:marLeft w:val="1166"/>
          <w:marRight w:val="0"/>
          <w:marTop w:val="96"/>
          <w:marBottom w:val="0"/>
          <w:divBdr>
            <w:top w:val="none" w:sz="0" w:space="0" w:color="auto"/>
            <w:left w:val="none" w:sz="0" w:space="0" w:color="auto"/>
            <w:bottom w:val="none" w:sz="0" w:space="0" w:color="auto"/>
            <w:right w:val="none" w:sz="0" w:space="0" w:color="auto"/>
          </w:divBdr>
        </w:div>
        <w:div w:id="867714356">
          <w:marLeft w:val="1166"/>
          <w:marRight w:val="0"/>
          <w:marTop w:val="96"/>
          <w:marBottom w:val="0"/>
          <w:divBdr>
            <w:top w:val="none" w:sz="0" w:space="0" w:color="auto"/>
            <w:left w:val="none" w:sz="0" w:space="0" w:color="auto"/>
            <w:bottom w:val="none" w:sz="0" w:space="0" w:color="auto"/>
            <w:right w:val="none" w:sz="0" w:space="0" w:color="auto"/>
          </w:divBdr>
        </w:div>
        <w:div w:id="1916623957">
          <w:marLeft w:val="1166"/>
          <w:marRight w:val="0"/>
          <w:marTop w:val="96"/>
          <w:marBottom w:val="0"/>
          <w:divBdr>
            <w:top w:val="none" w:sz="0" w:space="0" w:color="auto"/>
            <w:left w:val="none" w:sz="0" w:space="0" w:color="auto"/>
            <w:bottom w:val="none" w:sz="0" w:space="0" w:color="auto"/>
            <w:right w:val="none" w:sz="0" w:space="0" w:color="auto"/>
          </w:divBdr>
        </w:div>
        <w:div w:id="2143383247">
          <w:marLeft w:val="1800"/>
          <w:marRight w:val="0"/>
          <w:marTop w:val="86"/>
          <w:marBottom w:val="0"/>
          <w:divBdr>
            <w:top w:val="none" w:sz="0" w:space="0" w:color="auto"/>
            <w:left w:val="none" w:sz="0" w:space="0" w:color="auto"/>
            <w:bottom w:val="none" w:sz="0" w:space="0" w:color="auto"/>
            <w:right w:val="none" w:sz="0" w:space="0" w:color="auto"/>
          </w:divBdr>
        </w:div>
      </w:divsChild>
    </w:div>
    <w:div w:id="440533030">
      <w:bodyDiv w:val="1"/>
      <w:marLeft w:val="0"/>
      <w:marRight w:val="0"/>
      <w:marTop w:val="0"/>
      <w:marBottom w:val="0"/>
      <w:divBdr>
        <w:top w:val="none" w:sz="0" w:space="0" w:color="auto"/>
        <w:left w:val="none" w:sz="0" w:space="0" w:color="auto"/>
        <w:bottom w:val="none" w:sz="0" w:space="0" w:color="auto"/>
        <w:right w:val="none" w:sz="0" w:space="0" w:color="auto"/>
      </w:divBdr>
    </w:div>
    <w:div w:id="441001827">
      <w:bodyDiv w:val="1"/>
      <w:marLeft w:val="0"/>
      <w:marRight w:val="0"/>
      <w:marTop w:val="0"/>
      <w:marBottom w:val="0"/>
      <w:divBdr>
        <w:top w:val="none" w:sz="0" w:space="0" w:color="auto"/>
        <w:left w:val="none" w:sz="0" w:space="0" w:color="auto"/>
        <w:bottom w:val="none" w:sz="0" w:space="0" w:color="auto"/>
        <w:right w:val="none" w:sz="0" w:space="0" w:color="auto"/>
      </w:divBdr>
    </w:div>
    <w:div w:id="441072779">
      <w:bodyDiv w:val="1"/>
      <w:marLeft w:val="0"/>
      <w:marRight w:val="0"/>
      <w:marTop w:val="0"/>
      <w:marBottom w:val="0"/>
      <w:divBdr>
        <w:top w:val="none" w:sz="0" w:space="0" w:color="auto"/>
        <w:left w:val="none" w:sz="0" w:space="0" w:color="auto"/>
        <w:bottom w:val="none" w:sz="0" w:space="0" w:color="auto"/>
        <w:right w:val="none" w:sz="0" w:space="0" w:color="auto"/>
      </w:divBdr>
    </w:div>
    <w:div w:id="441337425">
      <w:bodyDiv w:val="1"/>
      <w:marLeft w:val="0"/>
      <w:marRight w:val="0"/>
      <w:marTop w:val="0"/>
      <w:marBottom w:val="0"/>
      <w:divBdr>
        <w:top w:val="none" w:sz="0" w:space="0" w:color="auto"/>
        <w:left w:val="none" w:sz="0" w:space="0" w:color="auto"/>
        <w:bottom w:val="none" w:sz="0" w:space="0" w:color="auto"/>
        <w:right w:val="none" w:sz="0" w:space="0" w:color="auto"/>
      </w:divBdr>
      <w:divsChild>
        <w:div w:id="420444857">
          <w:marLeft w:val="1354"/>
          <w:marRight w:val="0"/>
          <w:marTop w:val="0"/>
          <w:marBottom w:val="134"/>
          <w:divBdr>
            <w:top w:val="none" w:sz="0" w:space="0" w:color="auto"/>
            <w:left w:val="none" w:sz="0" w:space="0" w:color="auto"/>
            <w:bottom w:val="none" w:sz="0" w:space="0" w:color="auto"/>
            <w:right w:val="none" w:sz="0" w:space="0" w:color="auto"/>
          </w:divBdr>
        </w:div>
        <w:div w:id="662122773">
          <w:marLeft w:val="1166"/>
          <w:marRight w:val="0"/>
          <w:marTop w:val="0"/>
          <w:marBottom w:val="154"/>
          <w:divBdr>
            <w:top w:val="none" w:sz="0" w:space="0" w:color="auto"/>
            <w:left w:val="none" w:sz="0" w:space="0" w:color="auto"/>
            <w:bottom w:val="none" w:sz="0" w:space="0" w:color="auto"/>
            <w:right w:val="none" w:sz="0" w:space="0" w:color="auto"/>
          </w:divBdr>
        </w:div>
        <w:div w:id="1295333575">
          <w:marLeft w:val="1166"/>
          <w:marRight w:val="0"/>
          <w:marTop w:val="0"/>
          <w:marBottom w:val="154"/>
          <w:divBdr>
            <w:top w:val="none" w:sz="0" w:space="0" w:color="auto"/>
            <w:left w:val="none" w:sz="0" w:space="0" w:color="auto"/>
            <w:bottom w:val="none" w:sz="0" w:space="0" w:color="auto"/>
            <w:right w:val="none" w:sz="0" w:space="0" w:color="auto"/>
          </w:divBdr>
        </w:div>
        <w:div w:id="1410155460">
          <w:marLeft w:val="1354"/>
          <w:marRight w:val="0"/>
          <w:marTop w:val="0"/>
          <w:marBottom w:val="134"/>
          <w:divBdr>
            <w:top w:val="none" w:sz="0" w:space="0" w:color="auto"/>
            <w:left w:val="none" w:sz="0" w:space="0" w:color="auto"/>
            <w:bottom w:val="none" w:sz="0" w:space="0" w:color="auto"/>
            <w:right w:val="none" w:sz="0" w:space="0" w:color="auto"/>
          </w:divBdr>
        </w:div>
        <w:div w:id="1541894667">
          <w:marLeft w:val="1354"/>
          <w:marRight w:val="0"/>
          <w:marTop w:val="0"/>
          <w:marBottom w:val="134"/>
          <w:divBdr>
            <w:top w:val="none" w:sz="0" w:space="0" w:color="auto"/>
            <w:left w:val="none" w:sz="0" w:space="0" w:color="auto"/>
            <w:bottom w:val="none" w:sz="0" w:space="0" w:color="auto"/>
            <w:right w:val="none" w:sz="0" w:space="0" w:color="auto"/>
          </w:divBdr>
        </w:div>
        <w:div w:id="2096314893">
          <w:marLeft w:val="1354"/>
          <w:marRight w:val="0"/>
          <w:marTop w:val="0"/>
          <w:marBottom w:val="134"/>
          <w:divBdr>
            <w:top w:val="none" w:sz="0" w:space="0" w:color="auto"/>
            <w:left w:val="none" w:sz="0" w:space="0" w:color="auto"/>
            <w:bottom w:val="none" w:sz="0" w:space="0" w:color="auto"/>
            <w:right w:val="none" w:sz="0" w:space="0" w:color="auto"/>
          </w:divBdr>
        </w:div>
      </w:divsChild>
    </w:div>
    <w:div w:id="441536570">
      <w:bodyDiv w:val="1"/>
      <w:marLeft w:val="0"/>
      <w:marRight w:val="0"/>
      <w:marTop w:val="0"/>
      <w:marBottom w:val="0"/>
      <w:divBdr>
        <w:top w:val="none" w:sz="0" w:space="0" w:color="auto"/>
        <w:left w:val="none" w:sz="0" w:space="0" w:color="auto"/>
        <w:bottom w:val="none" w:sz="0" w:space="0" w:color="auto"/>
        <w:right w:val="none" w:sz="0" w:space="0" w:color="auto"/>
      </w:divBdr>
    </w:div>
    <w:div w:id="443500316">
      <w:bodyDiv w:val="1"/>
      <w:marLeft w:val="0"/>
      <w:marRight w:val="0"/>
      <w:marTop w:val="0"/>
      <w:marBottom w:val="0"/>
      <w:divBdr>
        <w:top w:val="none" w:sz="0" w:space="0" w:color="auto"/>
        <w:left w:val="none" w:sz="0" w:space="0" w:color="auto"/>
        <w:bottom w:val="none" w:sz="0" w:space="0" w:color="auto"/>
        <w:right w:val="none" w:sz="0" w:space="0" w:color="auto"/>
      </w:divBdr>
    </w:div>
    <w:div w:id="443771009">
      <w:bodyDiv w:val="1"/>
      <w:marLeft w:val="0"/>
      <w:marRight w:val="0"/>
      <w:marTop w:val="0"/>
      <w:marBottom w:val="0"/>
      <w:divBdr>
        <w:top w:val="none" w:sz="0" w:space="0" w:color="auto"/>
        <w:left w:val="none" w:sz="0" w:space="0" w:color="auto"/>
        <w:bottom w:val="none" w:sz="0" w:space="0" w:color="auto"/>
        <w:right w:val="none" w:sz="0" w:space="0" w:color="auto"/>
      </w:divBdr>
    </w:div>
    <w:div w:id="444811028">
      <w:bodyDiv w:val="1"/>
      <w:marLeft w:val="0"/>
      <w:marRight w:val="0"/>
      <w:marTop w:val="0"/>
      <w:marBottom w:val="0"/>
      <w:divBdr>
        <w:top w:val="none" w:sz="0" w:space="0" w:color="auto"/>
        <w:left w:val="none" w:sz="0" w:space="0" w:color="auto"/>
        <w:bottom w:val="none" w:sz="0" w:space="0" w:color="auto"/>
        <w:right w:val="none" w:sz="0" w:space="0" w:color="auto"/>
      </w:divBdr>
    </w:div>
    <w:div w:id="445125955">
      <w:bodyDiv w:val="1"/>
      <w:marLeft w:val="0"/>
      <w:marRight w:val="0"/>
      <w:marTop w:val="0"/>
      <w:marBottom w:val="0"/>
      <w:divBdr>
        <w:top w:val="none" w:sz="0" w:space="0" w:color="auto"/>
        <w:left w:val="none" w:sz="0" w:space="0" w:color="auto"/>
        <w:bottom w:val="none" w:sz="0" w:space="0" w:color="auto"/>
        <w:right w:val="none" w:sz="0" w:space="0" w:color="auto"/>
      </w:divBdr>
      <w:divsChild>
        <w:div w:id="161629239">
          <w:marLeft w:val="1166"/>
          <w:marRight w:val="0"/>
          <w:marTop w:val="134"/>
          <w:marBottom w:val="0"/>
          <w:divBdr>
            <w:top w:val="none" w:sz="0" w:space="0" w:color="auto"/>
            <w:left w:val="none" w:sz="0" w:space="0" w:color="auto"/>
            <w:bottom w:val="none" w:sz="0" w:space="0" w:color="auto"/>
            <w:right w:val="none" w:sz="0" w:space="0" w:color="auto"/>
          </w:divBdr>
        </w:div>
        <w:div w:id="822894085">
          <w:marLeft w:val="547"/>
          <w:marRight w:val="0"/>
          <w:marTop w:val="154"/>
          <w:marBottom w:val="0"/>
          <w:divBdr>
            <w:top w:val="none" w:sz="0" w:space="0" w:color="auto"/>
            <w:left w:val="none" w:sz="0" w:space="0" w:color="auto"/>
            <w:bottom w:val="none" w:sz="0" w:space="0" w:color="auto"/>
            <w:right w:val="none" w:sz="0" w:space="0" w:color="auto"/>
          </w:divBdr>
        </w:div>
      </w:divsChild>
    </w:div>
    <w:div w:id="446394579">
      <w:bodyDiv w:val="1"/>
      <w:marLeft w:val="0"/>
      <w:marRight w:val="0"/>
      <w:marTop w:val="0"/>
      <w:marBottom w:val="0"/>
      <w:divBdr>
        <w:top w:val="none" w:sz="0" w:space="0" w:color="auto"/>
        <w:left w:val="none" w:sz="0" w:space="0" w:color="auto"/>
        <w:bottom w:val="none" w:sz="0" w:space="0" w:color="auto"/>
        <w:right w:val="none" w:sz="0" w:space="0" w:color="auto"/>
      </w:divBdr>
    </w:div>
    <w:div w:id="446629074">
      <w:bodyDiv w:val="1"/>
      <w:marLeft w:val="0"/>
      <w:marRight w:val="0"/>
      <w:marTop w:val="0"/>
      <w:marBottom w:val="0"/>
      <w:divBdr>
        <w:top w:val="none" w:sz="0" w:space="0" w:color="auto"/>
        <w:left w:val="none" w:sz="0" w:space="0" w:color="auto"/>
        <w:bottom w:val="none" w:sz="0" w:space="0" w:color="auto"/>
        <w:right w:val="none" w:sz="0" w:space="0" w:color="auto"/>
      </w:divBdr>
    </w:div>
    <w:div w:id="447086714">
      <w:bodyDiv w:val="1"/>
      <w:marLeft w:val="0"/>
      <w:marRight w:val="0"/>
      <w:marTop w:val="0"/>
      <w:marBottom w:val="0"/>
      <w:divBdr>
        <w:top w:val="none" w:sz="0" w:space="0" w:color="auto"/>
        <w:left w:val="none" w:sz="0" w:space="0" w:color="auto"/>
        <w:bottom w:val="none" w:sz="0" w:space="0" w:color="auto"/>
        <w:right w:val="none" w:sz="0" w:space="0" w:color="auto"/>
      </w:divBdr>
    </w:div>
    <w:div w:id="448820610">
      <w:bodyDiv w:val="1"/>
      <w:marLeft w:val="0"/>
      <w:marRight w:val="0"/>
      <w:marTop w:val="0"/>
      <w:marBottom w:val="0"/>
      <w:divBdr>
        <w:top w:val="none" w:sz="0" w:space="0" w:color="auto"/>
        <w:left w:val="none" w:sz="0" w:space="0" w:color="auto"/>
        <w:bottom w:val="none" w:sz="0" w:space="0" w:color="auto"/>
        <w:right w:val="none" w:sz="0" w:space="0" w:color="auto"/>
      </w:divBdr>
    </w:div>
    <w:div w:id="449393742">
      <w:bodyDiv w:val="1"/>
      <w:marLeft w:val="0"/>
      <w:marRight w:val="0"/>
      <w:marTop w:val="0"/>
      <w:marBottom w:val="0"/>
      <w:divBdr>
        <w:top w:val="none" w:sz="0" w:space="0" w:color="auto"/>
        <w:left w:val="none" w:sz="0" w:space="0" w:color="auto"/>
        <w:bottom w:val="none" w:sz="0" w:space="0" w:color="auto"/>
        <w:right w:val="none" w:sz="0" w:space="0" w:color="auto"/>
      </w:divBdr>
    </w:div>
    <w:div w:id="449469276">
      <w:bodyDiv w:val="1"/>
      <w:marLeft w:val="0"/>
      <w:marRight w:val="0"/>
      <w:marTop w:val="0"/>
      <w:marBottom w:val="0"/>
      <w:divBdr>
        <w:top w:val="none" w:sz="0" w:space="0" w:color="auto"/>
        <w:left w:val="none" w:sz="0" w:space="0" w:color="auto"/>
        <w:bottom w:val="none" w:sz="0" w:space="0" w:color="auto"/>
        <w:right w:val="none" w:sz="0" w:space="0" w:color="auto"/>
      </w:divBdr>
    </w:div>
    <w:div w:id="450128401">
      <w:bodyDiv w:val="1"/>
      <w:marLeft w:val="0"/>
      <w:marRight w:val="0"/>
      <w:marTop w:val="0"/>
      <w:marBottom w:val="0"/>
      <w:divBdr>
        <w:top w:val="none" w:sz="0" w:space="0" w:color="auto"/>
        <w:left w:val="none" w:sz="0" w:space="0" w:color="auto"/>
        <w:bottom w:val="none" w:sz="0" w:space="0" w:color="auto"/>
        <w:right w:val="none" w:sz="0" w:space="0" w:color="auto"/>
      </w:divBdr>
    </w:div>
    <w:div w:id="450520007">
      <w:bodyDiv w:val="1"/>
      <w:marLeft w:val="0"/>
      <w:marRight w:val="0"/>
      <w:marTop w:val="0"/>
      <w:marBottom w:val="0"/>
      <w:divBdr>
        <w:top w:val="none" w:sz="0" w:space="0" w:color="auto"/>
        <w:left w:val="none" w:sz="0" w:space="0" w:color="auto"/>
        <w:bottom w:val="none" w:sz="0" w:space="0" w:color="auto"/>
        <w:right w:val="none" w:sz="0" w:space="0" w:color="auto"/>
      </w:divBdr>
    </w:div>
    <w:div w:id="451942657">
      <w:bodyDiv w:val="1"/>
      <w:marLeft w:val="0"/>
      <w:marRight w:val="0"/>
      <w:marTop w:val="0"/>
      <w:marBottom w:val="0"/>
      <w:divBdr>
        <w:top w:val="none" w:sz="0" w:space="0" w:color="auto"/>
        <w:left w:val="none" w:sz="0" w:space="0" w:color="auto"/>
        <w:bottom w:val="none" w:sz="0" w:space="0" w:color="auto"/>
        <w:right w:val="none" w:sz="0" w:space="0" w:color="auto"/>
      </w:divBdr>
      <w:divsChild>
        <w:div w:id="86586512">
          <w:marLeft w:val="1166"/>
          <w:marRight w:val="0"/>
          <w:marTop w:val="115"/>
          <w:marBottom w:val="0"/>
          <w:divBdr>
            <w:top w:val="none" w:sz="0" w:space="0" w:color="auto"/>
            <w:left w:val="none" w:sz="0" w:space="0" w:color="auto"/>
            <w:bottom w:val="none" w:sz="0" w:space="0" w:color="auto"/>
            <w:right w:val="none" w:sz="0" w:space="0" w:color="auto"/>
          </w:divBdr>
        </w:div>
        <w:div w:id="595865318">
          <w:marLeft w:val="547"/>
          <w:marRight w:val="0"/>
          <w:marTop w:val="134"/>
          <w:marBottom w:val="0"/>
          <w:divBdr>
            <w:top w:val="none" w:sz="0" w:space="0" w:color="auto"/>
            <w:left w:val="none" w:sz="0" w:space="0" w:color="auto"/>
            <w:bottom w:val="none" w:sz="0" w:space="0" w:color="auto"/>
            <w:right w:val="none" w:sz="0" w:space="0" w:color="auto"/>
          </w:divBdr>
        </w:div>
        <w:div w:id="813984628">
          <w:marLeft w:val="1166"/>
          <w:marRight w:val="0"/>
          <w:marTop w:val="115"/>
          <w:marBottom w:val="0"/>
          <w:divBdr>
            <w:top w:val="none" w:sz="0" w:space="0" w:color="auto"/>
            <w:left w:val="none" w:sz="0" w:space="0" w:color="auto"/>
            <w:bottom w:val="none" w:sz="0" w:space="0" w:color="auto"/>
            <w:right w:val="none" w:sz="0" w:space="0" w:color="auto"/>
          </w:divBdr>
        </w:div>
        <w:div w:id="1040326160">
          <w:marLeft w:val="1166"/>
          <w:marRight w:val="0"/>
          <w:marTop w:val="115"/>
          <w:marBottom w:val="0"/>
          <w:divBdr>
            <w:top w:val="none" w:sz="0" w:space="0" w:color="auto"/>
            <w:left w:val="none" w:sz="0" w:space="0" w:color="auto"/>
            <w:bottom w:val="none" w:sz="0" w:space="0" w:color="auto"/>
            <w:right w:val="none" w:sz="0" w:space="0" w:color="auto"/>
          </w:divBdr>
        </w:div>
        <w:div w:id="1097679303">
          <w:marLeft w:val="1166"/>
          <w:marRight w:val="0"/>
          <w:marTop w:val="115"/>
          <w:marBottom w:val="0"/>
          <w:divBdr>
            <w:top w:val="none" w:sz="0" w:space="0" w:color="auto"/>
            <w:left w:val="none" w:sz="0" w:space="0" w:color="auto"/>
            <w:bottom w:val="none" w:sz="0" w:space="0" w:color="auto"/>
            <w:right w:val="none" w:sz="0" w:space="0" w:color="auto"/>
          </w:divBdr>
        </w:div>
        <w:div w:id="1117527570">
          <w:marLeft w:val="1166"/>
          <w:marRight w:val="0"/>
          <w:marTop w:val="115"/>
          <w:marBottom w:val="0"/>
          <w:divBdr>
            <w:top w:val="none" w:sz="0" w:space="0" w:color="auto"/>
            <w:left w:val="none" w:sz="0" w:space="0" w:color="auto"/>
            <w:bottom w:val="none" w:sz="0" w:space="0" w:color="auto"/>
            <w:right w:val="none" w:sz="0" w:space="0" w:color="auto"/>
          </w:divBdr>
        </w:div>
        <w:div w:id="2091190315">
          <w:marLeft w:val="1166"/>
          <w:marRight w:val="0"/>
          <w:marTop w:val="115"/>
          <w:marBottom w:val="0"/>
          <w:divBdr>
            <w:top w:val="none" w:sz="0" w:space="0" w:color="auto"/>
            <w:left w:val="none" w:sz="0" w:space="0" w:color="auto"/>
            <w:bottom w:val="none" w:sz="0" w:space="0" w:color="auto"/>
            <w:right w:val="none" w:sz="0" w:space="0" w:color="auto"/>
          </w:divBdr>
        </w:div>
      </w:divsChild>
    </w:div>
    <w:div w:id="452292333">
      <w:bodyDiv w:val="1"/>
      <w:marLeft w:val="0"/>
      <w:marRight w:val="0"/>
      <w:marTop w:val="0"/>
      <w:marBottom w:val="0"/>
      <w:divBdr>
        <w:top w:val="none" w:sz="0" w:space="0" w:color="auto"/>
        <w:left w:val="none" w:sz="0" w:space="0" w:color="auto"/>
        <w:bottom w:val="none" w:sz="0" w:space="0" w:color="auto"/>
        <w:right w:val="none" w:sz="0" w:space="0" w:color="auto"/>
      </w:divBdr>
    </w:div>
    <w:div w:id="453182821">
      <w:bodyDiv w:val="1"/>
      <w:marLeft w:val="0"/>
      <w:marRight w:val="0"/>
      <w:marTop w:val="0"/>
      <w:marBottom w:val="0"/>
      <w:divBdr>
        <w:top w:val="none" w:sz="0" w:space="0" w:color="auto"/>
        <w:left w:val="none" w:sz="0" w:space="0" w:color="auto"/>
        <w:bottom w:val="none" w:sz="0" w:space="0" w:color="auto"/>
        <w:right w:val="none" w:sz="0" w:space="0" w:color="auto"/>
      </w:divBdr>
    </w:div>
    <w:div w:id="453258645">
      <w:bodyDiv w:val="1"/>
      <w:marLeft w:val="0"/>
      <w:marRight w:val="0"/>
      <w:marTop w:val="0"/>
      <w:marBottom w:val="0"/>
      <w:divBdr>
        <w:top w:val="none" w:sz="0" w:space="0" w:color="auto"/>
        <w:left w:val="none" w:sz="0" w:space="0" w:color="auto"/>
        <w:bottom w:val="none" w:sz="0" w:space="0" w:color="auto"/>
        <w:right w:val="none" w:sz="0" w:space="0" w:color="auto"/>
      </w:divBdr>
    </w:div>
    <w:div w:id="453525337">
      <w:bodyDiv w:val="1"/>
      <w:marLeft w:val="0"/>
      <w:marRight w:val="0"/>
      <w:marTop w:val="0"/>
      <w:marBottom w:val="0"/>
      <w:divBdr>
        <w:top w:val="none" w:sz="0" w:space="0" w:color="auto"/>
        <w:left w:val="none" w:sz="0" w:space="0" w:color="auto"/>
        <w:bottom w:val="none" w:sz="0" w:space="0" w:color="auto"/>
        <w:right w:val="none" w:sz="0" w:space="0" w:color="auto"/>
      </w:divBdr>
    </w:div>
    <w:div w:id="453985131">
      <w:bodyDiv w:val="1"/>
      <w:marLeft w:val="0"/>
      <w:marRight w:val="0"/>
      <w:marTop w:val="0"/>
      <w:marBottom w:val="0"/>
      <w:divBdr>
        <w:top w:val="none" w:sz="0" w:space="0" w:color="auto"/>
        <w:left w:val="none" w:sz="0" w:space="0" w:color="auto"/>
        <w:bottom w:val="none" w:sz="0" w:space="0" w:color="auto"/>
        <w:right w:val="none" w:sz="0" w:space="0" w:color="auto"/>
      </w:divBdr>
    </w:div>
    <w:div w:id="454369685">
      <w:bodyDiv w:val="1"/>
      <w:marLeft w:val="0"/>
      <w:marRight w:val="0"/>
      <w:marTop w:val="0"/>
      <w:marBottom w:val="0"/>
      <w:divBdr>
        <w:top w:val="none" w:sz="0" w:space="0" w:color="auto"/>
        <w:left w:val="none" w:sz="0" w:space="0" w:color="auto"/>
        <w:bottom w:val="none" w:sz="0" w:space="0" w:color="auto"/>
        <w:right w:val="none" w:sz="0" w:space="0" w:color="auto"/>
      </w:divBdr>
    </w:div>
    <w:div w:id="455375704">
      <w:bodyDiv w:val="1"/>
      <w:marLeft w:val="0"/>
      <w:marRight w:val="0"/>
      <w:marTop w:val="0"/>
      <w:marBottom w:val="0"/>
      <w:divBdr>
        <w:top w:val="none" w:sz="0" w:space="0" w:color="auto"/>
        <w:left w:val="none" w:sz="0" w:space="0" w:color="auto"/>
        <w:bottom w:val="none" w:sz="0" w:space="0" w:color="auto"/>
        <w:right w:val="none" w:sz="0" w:space="0" w:color="auto"/>
      </w:divBdr>
      <w:divsChild>
        <w:div w:id="911157405">
          <w:marLeft w:val="547"/>
          <w:marRight w:val="0"/>
          <w:marTop w:val="154"/>
          <w:marBottom w:val="0"/>
          <w:divBdr>
            <w:top w:val="none" w:sz="0" w:space="0" w:color="auto"/>
            <w:left w:val="none" w:sz="0" w:space="0" w:color="auto"/>
            <w:bottom w:val="none" w:sz="0" w:space="0" w:color="auto"/>
            <w:right w:val="none" w:sz="0" w:space="0" w:color="auto"/>
          </w:divBdr>
        </w:div>
        <w:div w:id="915431772">
          <w:marLeft w:val="547"/>
          <w:marRight w:val="0"/>
          <w:marTop w:val="154"/>
          <w:marBottom w:val="0"/>
          <w:divBdr>
            <w:top w:val="none" w:sz="0" w:space="0" w:color="auto"/>
            <w:left w:val="none" w:sz="0" w:space="0" w:color="auto"/>
            <w:bottom w:val="none" w:sz="0" w:space="0" w:color="auto"/>
            <w:right w:val="none" w:sz="0" w:space="0" w:color="auto"/>
          </w:divBdr>
        </w:div>
        <w:div w:id="1219897233">
          <w:marLeft w:val="1166"/>
          <w:marRight w:val="0"/>
          <w:marTop w:val="134"/>
          <w:marBottom w:val="0"/>
          <w:divBdr>
            <w:top w:val="none" w:sz="0" w:space="0" w:color="auto"/>
            <w:left w:val="none" w:sz="0" w:space="0" w:color="auto"/>
            <w:bottom w:val="none" w:sz="0" w:space="0" w:color="auto"/>
            <w:right w:val="none" w:sz="0" w:space="0" w:color="auto"/>
          </w:divBdr>
        </w:div>
        <w:div w:id="1541363108">
          <w:marLeft w:val="1166"/>
          <w:marRight w:val="0"/>
          <w:marTop w:val="134"/>
          <w:marBottom w:val="0"/>
          <w:divBdr>
            <w:top w:val="none" w:sz="0" w:space="0" w:color="auto"/>
            <w:left w:val="none" w:sz="0" w:space="0" w:color="auto"/>
            <w:bottom w:val="none" w:sz="0" w:space="0" w:color="auto"/>
            <w:right w:val="none" w:sz="0" w:space="0" w:color="auto"/>
          </w:divBdr>
        </w:div>
      </w:divsChild>
    </w:div>
    <w:div w:id="455635893">
      <w:bodyDiv w:val="1"/>
      <w:marLeft w:val="0"/>
      <w:marRight w:val="0"/>
      <w:marTop w:val="0"/>
      <w:marBottom w:val="0"/>
      <w:divBdr>
        <w:top w:val="none" w:sz="0" w:space="0" w:color="auto"/>
        <w:left w:val="none" w:sz="0" w:space="0" w:color="auto"/>
        <w:bottom w:val="none" w:sz="0" w:space="0" w:color="auto"/>
        <w:right w:val="none" w:sz="0" w:space="0" w:color="auto"/>
      </w:divBdr>
    </w:div>
    <w:div w:id="455878999">
      <w:bodyDiv w:val="1"/>
      <w:marLeft w:val="0"/>
      <w:marRight w:val="0"/>
      <w:marTop w:val="0"/>
      <w:marBottom w:val="0"/>
      <w:divBdr>
        <w:top w:val="none" w:sz="0" w:space="0" w:color="auto"/>
        <w:left w:val="none" w:sz="0" w:space="0" w:color="auto"/>
        <w:bottom w:val="none" w:sz="0" w:space="0" w:color="auto"/>
        <w:right w:val="none" w:sz="0" w:space="0" w:color="auto"/>
      </w:divBdr>
    </w:div>
    <w:div w:id="456333671">
      <w:bodyDiv w:val="1"/>
      <w:marLeft w:val="0"/>
      <w:marRight w:val="0"/>
      <w:marTop w:val="0"/>
      <w:marBottom w:val="0"/>
      <w:divBdr>
        <w:top w:val="none" w:sz="0" w:space="0" w:color="auto"/>
        <w:left w:val="none" w:sz="0" w:space="0" w:color="auto"/>
        <w:bottom w:val="none" w:sz="0" w:space="0" w:color="auto"/>
        <w:right w:val="none" w:sz="0" w:space="0" w:color="auto"/>
      </w:divBdr>
    </w:div>
    <w:div w:id="456337818">
      <w:bodyDiv w:val="1"/>
      <w:marLeft w:val="0"/>
      <w:marRight w:val="0"/>
      <w:marTop w:val="0"/>
      <w:marBottom w:val="0"/>
      <w:divBdr>
        <w:top w:val="none" w:sz="0" w:space="0" w:color="auto"/>
        <w:left w:val="none" w:sz="0" w:space="0" w:color="auto"/>
        <w:bottom w:val="none" w:sz="0" w:space="0" w:color="auto"/>
        <w:right w:val="none" w:sz="0" w:space="0" w:color="auto"/>
      </w:divBdr>
    </w:div>
    <w:div w:id="456996588">
      <w:bodyDiv w:val="1"/>
      <w:marLeft w:val="0"/>
      <w:marRight w:val="0"/>
      <w:marTop w:val="0"/>
      <w:marBottom w:val="0"/>
      <w:divBdr>
        <w:top w:val="none" w:sz="0" w:space="0" w:color="auto"/>
        <w:left w:val="none" w:sz="0" w:space="0" w:color="auto"/>
        <w:bottom w:val="none" w:sz="0" w:space="0" w:color="auto"/>
        <w:right w:val="none" w:sz="0" w:space="0" w:color="auto"/>
      </w:divBdr>
    </w:div>
    <w:div w:id="458687841">
      <w:bodyDiv w:val="1"/>
      <w:marLeft w:val="0"/>
      <w:marRight w:val="0"/>
      <w:marTop w:val="0"/>
      <w:marBottom w:val="0"/>
      <w:divBdr>
        <w:top w:val="none" w:sz="0" w:space="0" w:color="auto"/>
        <w:left w:val="none" w:sz="0" w:space="0" w:color="auto"/>
        <w:bottom w:val="none" w:sz="0" w:space="0" w:color="auto"/>
        <w:right w:val="none" w:sz="0" w:space="0" w:color="auto"/>
      </w:divBdr>
    </w:div>
    <w:div w:id="459299093">
      <w:bodyDiv w:val="1"/>
      <w:marLeft w:val="0"/>
      <w:marRight w:val="0"/>
      <w:marTop w:val="0"/>
      <w:marBottom w:val="0"/>
      <w:divBdr>
        <w:top w:val="none" w:sz="0" w:space="0" w:color="auto"/>
        <w:left w:val="none" w:sz="0" w:space="0" w:color="auto"/>
        <w:bottom w:val="none" w:sz="0" w:space="0" w:color="auto"/>
        <w:right w:val="none" w:sz="0" w:space="0" w:color="auto"/>
      </w:divBdr>
      <w:divsChild>
        <w:div w:id="1004208756">
          <w:marLeft w:val="1166"/>
          <w:marRight w:val="0"/>
          <w:marTop w:val="134"/>
          <w:marBottom w:val="0"/>
          <w:divBdr>
            <w:top w:val="none" w:sz="0" w:space="0" w:color="auto"/>
            <w:left w:val="none" w:sz="0" w:space="0" w:color="auto"/>
            <w:bottom w:val="none" w:sz="0" w:space="0" w:color="auto"/>
            <w:right w:val="none" w:sz="0" w:space="0" w:color="auto"/>
          </w:divBdr>
        </w:div>
        <w:div w:id="1788965555">
          <w:marLeft w:val="547"/>
          <w:marRight w:val="0"/>
          <w:marTop w:val="154"/>
          <w:marBottom w:val="0"/>
          <w:divBdr>
            <w:top w:val="none" w:sz="0" w:space="0" w:color="auto"/>
            <w:left w:val="none" w:sz="0" w:space="0" w:color="auto"/>
            <w:bottom w:val="none" w:sz="0" w:space="0" w:color="auto"/>
            <w:right w:val="none" w:sz="0" w:space="0" w:color="auto"/>
          </w:divBdr>
        </w:div>
      </w:divsChild>
    </w:div>
    <w:div w:id="459417552">
      <w:bodyDiv w:val="1"/>
      <w:marLeft w:val="0"/>
      <w:marRight w:val="0"/>
      <w:marTop w:val="0"/>
      <w:marBottom w:val="0"/>
      <w:divBdr>
        <w:top w:val="none" w:sz="0" w:space="0" w:color="auto"/>
        <w:left w:val="none" w:sz="0" w:space="0" w:color="auto"/>
        <w:bottom w:val="none" w:sz="0" w:space="0" w:color="auto"/>
        <w:right w:val="none" w:sz="0" w:space="0" w:color="auto"/>
      </w:divBdr>
      <w:divsChild>
        <w:div w:id="662585964">
          <w:marLeft w:val="1166"/>
          <w:marRight w:val="0"/>
          <w:marTop w:val="134"/>
          <w:marBottom w:val="0"/>
          <w:divBdr>
            <w:top w:val="none" w:sz="0" w:space="0" w:color="auto"/>
            <w:left w:val="none" w:sz="0" w:space="0" w:color="auto"/>
            <w:bottom w:val="none" w:sz="0" w:space="0" w:color="auto"/>
            <w:right w:val="none" w:sz="0" w:space="0" w:color="auto"/>
          </w:divBdr>
        </w:div>
        <w:div w:id="991373518">
          <w:marLeft w:val="547"/>
          <w:marRight w:val="0"/>
          <w:marTop w:val="154"/>
          <w:marBottom w:val="0"/>
          <w:divBdr>
            <w:top w:val="none" w:sz="0" w:space="0" w:color="auto"/>
            <w:left w:val="none" w:sz="0" w:space="0" w:color="auto"/>
            <w:bottom w:val="none" w:sz="0" w:space="0" w:color="auto"/>
            <w:right w:val="none" w:sz="0" w:space="0" w:color="auto"/>
          </w:divBdr>
        </w:div>
        <w:div w:id="1008369130">
          <w:marLeft w:val="547"/>
          <w:marRight w:val="0"/>
          <w:marTop w:val="154"/>
          <w:marBottom w:val="0"/>
          <w:divBdr>
            <w:top w:val="none" w:sz="0" w:space="0" w:color="auto"/>
            <w:left w:val="none" w:sz="0" w:space="0" w:color="auto"/>
            <w:bottom w:val="none" w:sz="0" w:space="0" w:color="auto"/>
            <w:right w:val="none" w:sz="0" w:space="0" w:color="auto"/>
          </w:divBdr>
        </w:div>
        <w:div w:id="1413771186">
          <w:marLeft w:val="1166"/>
          <w:marRight w:val="0"/>
          <w:marTop w:val="134"/>
          <w:marBottom w:val="0"/>
          <w:divBdr>
            <w:top w:val="none" w:sz="0" w:space="0" w:color="auto"/>
            <w:left w:val="none" w:sz="0" w:space="0" w:color="auto"/>
            <w:bottom w:val="none" w:sz="0" w:space="0" w:color="auto"/>
            <w:right w:val="none" w:sz="0" w:space="0" w:color="auto"/>
          </w:divBdr>
        </w:div>
      </w:divsChild>
    </w:div>
    <w:div w:id="460653579">
      <w:bodyDiv w:val="1"/>
      <w:marLeft w:val="0"/>
      <w:marRight w:val="0"/>
      <w:marTop w:val="0"/>
      <w:marBottom w:val="0"/>
      <w:divBdr>
        <w:top w:val="none" w:sz="0" w:space="0" w:color="auto"/>
        <w:left w:val="none" w:sz="0" w:space="0" w:color="auto"/>
        <w:bottom w:val="none" w:sz="0" w:space="0" w:color="auto"/>
        <w:right w:val="none" w:sz="0" w:space="0" w:color="auto"/>
      </w:divBdr>
    </w:div>
    <w:div w:id="460850679">
      <w:bodyDiv w:val="1"/>
      <w:marLeft w:val="0"/>
      <w:marRight w:val="0"/>
      <w:marTop w:val="0"/>
      <w:marBottom w:val="0"/>
      <w:divBdr>
        <w:top w:val="none" w:sz="0" w:space="0" w:color="auto"/>
        <w:left w:val="none" w:sz="0" w:space="0" w:color="auto"/>
        <w:bottom w:val="none" w:sz="0" w:space="0" w:color="auto"/>
        <w:right w:val="none" w:sz="0" w:space="0" w:color="auto"/>
      </w:divBdr>
      <w:divsChild>
        <w:div w:id="435491842">
          <w:marLeft w:val="547"/>
          <w:marRight w:val="0"/>
          <w:marTop w:val="96"/>
          <w:marBottom w:val="0"/>
          <w:divBdr>
            <w:top w:val="none" w:sz="0" w:space="0" w:color="auto"/>
            <w:left w:val="none" w:sz="0" w:space="0" w:color="auto"/>
            <w:bottom w:val="none" w:sz="0" w:space="0" w:color="auto"/>
            <w:right w:val="none" w:sz="0" w:space="0" w:color="auto"/>
          </w:divBdr>
        </w:div>
        <w:div w:id="536160989">
          <w:marLeft w:val="1166"/>
          <w:marRight w:val="0"/>
          <w:marTop w:val="86"/>
          <w:marBottom w:val="0"/>
          <w:divBdr>
            <w:top w:val="none" w:sz="0" w:space="0" w:color="auto"/>
            <w:left w:val="none" w:sz="0" w:space="0" w:color="auto"/>
            <w:bottom w:val="none" w:sz="0" w:space="0" w:color="auto"/>
            <w:right w:val="none" w:sz="0" w:space="0" w:color="auto"/>
          </w:divBdr>
        </w:div>
        <w:div w:id="1627541023">
          <w:marLeft w:val="547"/>
          <w:marRight w:val="0"/>
          <w:marTop w:val="106"/>
          <w:marBottom w:val="0"/>
          <w:divBdr>
            <w:top w:val="none" w:sz="0" w:space="0" w:color="auto"/>
            <w:left w:val="none" w:sz="0" w:space="0" w:color="auto"/>
            <w:bottom w:val="none" w:sz="0" w:space="0" w:color="auto"/>
            <w:right w:val="none" w:sz="0" w:space="0" w:color="auto"/>
          </w:divBdr>
        </w:div>
        <w:div w:id="1824812449">
          <w:marLeft w:val="547"/>
          <w:marRight w:val="0"/>
          <w:marTop w:val="106"/>
          <w:marBottom w:val="0"/>
          <w:divBdr>
            <w:top w:val="none" w:sz="0" w:space="0" w:color="auto"/>
            <w:left w:val="none" w:sz="0" w:space="0" w:color="auto"/>
            <w:bottom w:val="none" w:sz="0" w:space="0" w:color="auto"/>
            <w:right w:val="none" w:sz="0" w:space="0" w:color="auto"/>
          </w:divBdr>
        </w:div>
        <w:div w:id="1976905164">
          <w:marLeft w:val="1166"/>
          <w:marRight w:val="0"/>
          <w:marTop w:val="86"/>
          <w:marBottom w:val="0"/>
          <w:divBdr>
            <w:top w:val="none" w:sz="0" w:space="0" w:color="auto"/>
            <w:left w:val="none" w:sz="0" w:space="0" w:color="auto"/>
            <w:bottom w:val="none" w:sz="0" w:space="0" w:color="auto"/>
            <w:right w:val="none" w:sz="0" w:space="0" w:color="auto"/>
          </w:divBdr>
        </w:div>
      </w:divsChild>
    </w:div>
    <w:div w:id="462115926">
      <w:bodyDiv w:val="1"/>
      <w:marLeft w:val="0"/>
      <w:marRight w:val="0"/>
      <w:marTop w:val="0"/>
      <w:marBottom w:val="0"/>
      <w:divBdr>
        <w:top w:val="none" w:sz="0" w:space="0" w:color="auto"/>
        <w:left w:val="none" w:sz="0" w:space="0" w:color="auto"/>
        <w:bottom w:val="none" w:sz="0" w:space="0" w:color="auto"/>
        <w:right w:val="none" w:sz="0" w:space="0" w:color="auto"/>
      </w:divBdr>
      <w:divsChild>
        <w:div w:id="3678521">
          <w:marLeft w:val="1800"/>
          <w:marRight w:val="0"/>
          <w:marTop w:val="115"/>
          <w:marBottom w:val="0"/>
          <w:divBdr>
            <w:top w:val="none" w:sz="0" w:space="0" w:color="auto"/>
            <w:left w:val="none" w:sz="0" w:space="0" w:color="auto"/>
            <w:bottom w:val="none" w:sz="0" w:space="0" w:color="auto"/>
            <w:right w:val="none" w:sz="0" w:space="0" w:color="auto"/>
          </w:divBdr>
        </w:div>
        <w:div w:id="535235691">
          <w:marLeft w:val="547"/>
          <w:marRight w:val="0"/>
          <w:marTop w:val="134"/>
          <w:marBottom w:val="0"/>
          <w:divBdr>
            <w:top w:val="none" w:sz="0" w:space="0" w:color="auto"/>
            <w:left w:val="none" w:sz="0" w:space="0" w:color="auto"/>
            <w:bottom w:val="none" w:sz="0" w:space="0" w:color="auto"/>
            <w:right w:val="none" w:sz="0" w:space="0" w:color="auto"/>
          </w:divBdr>
        </w:div>
        <w:div w:id="618952486">
          <w:marLeft w:val="547"/>
          <w:marRight w:val="0"/>
          <w:marTop w:val="134"/>
          <w:marBottom w:val="0"/>
          <w:divBdr>
            <w:top w:val="none" w:sz="0" w:space="0" w:color="auto"/>
            <w:left w:val="none" w:sz="0" w:space="0" w:color="auto"/>
            <w:bottom w:val="none" w:sz="0" w:space="0" w:color="auto"/>
            <w:right w:val="none" w:sz="0" w:space="0" w:color="auto"/>
          </w:divBdr>
        </w:div>
        <w:div w:id="818695473">
          <w:marLeft w:val="1800"/>
          <w:marRight w:val="0"/>
          <w:marTop w:val="115"/>
          <w:marBottom w:val="0"/>
          <w:divBdr>
            <w:top w:val="none" w:sz="0" w:space="0" w:color="auto"/>
            <w:left w:val="none" w:sz="0" w:space="0" w:color="auto"/>
            <w:bottom w:val="none" w:sz="0" w:space="0" w:color="auto"/>
            <w:right w:val="none" w:sz="0" w:space="0" w:color="auto"/>
          </w:divBdr>
        </w:div>
        <w:div w:id="830027363">
          <w:marLeft w:val="1800"/>
          <w:marRight w:val="0"/>
          <w:marTop w:val="115"/>
          <w:marBottom w:val="0"/>
          <w:divBdr>
            <w:top w:val="none" w:sz="0" w:space="0" w:color="auto"/>
            <w:left w:val="none" w:sz="0" w:space="0" w:color="auto"/>
            <w:bottom w:val="none" w:sz="0" w:space="0" w:color="auto"/>
            <w:right w:val="none" w:sz="0" w:space="0" w:color="auto"/>
          </w:divBdr>
        </w:div>
        <w:div w:id="923955300">
          <w:marLeft w:val="1166"/>
          <w:marRight w:val="0"/>
          <w:marTop w:val="115"/>
          <w:marBottom w:val="0"/>
          <w:divBdr>
            <w:top w:val="none" w:sz="0" w:space="0" w:color="auto"/>
            <w:left w:val="none" w:sz="0" w:space="0" w:color="auto"/>
            <w:bottom w:val="none" w:sz="0" w:space="0" w:color="auto"/>
            <w:right w:val="none" w:sz="0" w:space="0" w:color="auto"/>
          </w:divBdr>
        </w:div>
        <w:div w:id="1680614761">
          <w:marLeft w:val="1800"/>
          <w:marRight w:val="0"/>
          <w:marTop w:val="115"/>
          <w:marBottom w:val="0"/>
          <w:divBdr>
            <w:top w:val="none" w:sz="0" w:space="0" w:color="auto"/>
            <w:left w:val="none" w:sz="0" w:space="0" w:color="auto"/>
            <w:bottom w:val="none" w:sz="0" w:space="0" w:color="auto"/>
            <w:right w:val="none" w:sz="0" w:space="0" w:color="auto"/>
          </w:divBdr>
        </w:div>
        <w:div w:id="2028826395">
          <w:marLeft w:val="1800"/>
          <w:marRight w:val="0"/>
          <w:marTop w:val="115"/>
          <w:marBottom w:val="0"/>
          <w:divBdr>
            <w:top w:val="none" w:sz="0" w:space="0" w:color="auto"/>
            <w:left w:val="none" w:sz="0" w:space="0" w:color="auto"/>
            <w:bottom w:val="none" w:sz="0" w:space="0" w:color="auto"/>
            <w:right w:val="none" w:sz="0" w:space="0" w:color="auto"/>
          </w:divBdr>
        </w:div>
      </w:divsChild>
    </w:div>
    <w:div w:id="462769813">
      <w:bodyDiv w:val="1"/>
      <w:marLeft w:val="0"/>
      <w:marRight w:val="0"/>
      <w:marTop w:val="0"/>
      <w:marBottom w:val="0"/>
      <w:divBdr>
        <w:top w:val="none" w:sz="0" w:space="0" w:color="auto"/>
        <w:left w:val="none" w:sz="0" w:space="0" w:color="auto"/>
        <w:bottom w:val="none" w:sz="0" w:space="0" w:color="auto"/>
        <w:right w:val="none" w:sz="0" w:space="0" w:color="auto"/>
      </w:divBdr>
    </w:div>
    <w:div w:id="463428423">
      <w:bodyDiv w:val="1"/>
      <w:marLeft w:val="0"/>
      <w:marRight w:val="0"/>
      <w:marTop w:val="0"/>
      <w:marBottom w:val="0"/>
      <w:divBdr>
        <w:top w:val="none" w:sz="0" w:space="0" w:color="auto"/>
        <w:left w:val="none" w:sz="0" w:space="0" w:color="auto"/>
        <w:bottom w:val="none" w:sz="0" w:space="0" w:color="auto"/>
        <w:right w:val="none" w:sz="0" w:space="0" w:color="auto"/>
      </w:divBdr>
      <w:divsChild>
        <w:div w:id="24407021">
          <w:marLeft w:val="1800"/>
          <w:marRight w:val="0"/>
          <w:marTop w:val="106"/>
          <w:marBottom w:val="0"/>
          <w:divBdr>
            <w:top w:val="none" w:sz="0" w:space="0" w:color="auto"/>
            <w:left w:val="none" w:sz="0" w:space="0" w:color="auto"/>
            <w:bottom w:val="none" w:sz="0" w:space="0" w:color="auto"/>
            <w:right w:val="none" w:sz="0" w:space="0" w:color="auto"/>
          </w:divBdr>
        </w:div>
        <w:div w:id="240531095">
          <w:marLeft w:val="1166"/>
          <w:marRight w:val="0"/>
          <w:marTop w:val="125"/>
          <w:marBottom w:val="0"/>
          <w:divBdr>
            <w:top w:val="none" w:sz="0" w:space="0" w:color="auto"/>
            <w:left w:val="none" w:sz="0" w:space="0" w:color="auto"/>
            <w:bottom w:val="none" w:sz="0" w:space="0" w:color="auto"/>
            <w:right w:val="none" w:sz="0" w:space="0" w:color="auto"/>
          </w:divBdr>
        </w:div>
        <w:div w:id="472137813">
          <w:marLeft w:val="1166"/>
          <w:marRight w:val="0"/>
          <w:marTop w:val="125"/>
          <w:marBottom w:val="0"/>
          <w:divBdr>
            <w:top w:val="none" w:sz="0" w:space="0" w:color="auto"/>
            <w:left w:val="none" w:sz="0" w:space="0" w:color="auto"/>
            <w:bottom w:val="none" w:sz="0" w:space="0" w:color="auto"/>
            <w:right w:val="none" w:sz="0" w:space="0" w:color="auto"/>
          </w:divBdr>
        </w:div>
        <w:div w:id="1654220277">
          <w:marLeft w:val="547"/>
          <w:marRight w:val="0"/>
          <w:marTop w:val="144"/>
          <w:marBottom w:val="0"/>
          <w:divBdr>
            <w:top w:val="none" w:sz="0" w:space="0" w:color="auto"/>
            <w:left w:val="none" w:sz="0" w:space="0" w:color="auto"/>
            <w:bottom w:val="none" w:sz="0" w:space="0" w:color="auto"/>
            <w:right w:val="none" w:sz="0" w:space="0" w:color="auto"/>
          </w:divBdr>
        </w:div>
      </w:divsChild>
    </w:div>
    <w:div w:id="463816390">
      <w:bodyDiv w:val="1"/>
      <w:marLeft w:val="0"/>
      <w:marRight w:val="0"/>
      <w:marTop w:val="0"/>
      <w:marBottom w:val="0"/>
      <w:divBdr>
        <w:top w:val="none" w:sz="0" w:space="0" w:color="auto"/>
        <w:left w:val="none" w:sz="0" w:space="0" w:color="auto"/>
        <w:bottom w:val="none" w:sz="0" w:space="0" w:color="auto"/>
        <w:right w:val="none" w:sz="0" w:space="0" w:color="auto"/>
      </w:divBdr>
    </w:div>
    <w:div w:id="464354026">
      <w:bodyDiv w:val="1"/>
      <w:marLeft w:val="0"/>
      <w:marRight w:val="0"/>
      <w:marTop w:val="0"/>
      <w:marBottom w:val="0"/>
      <w:divBdr>
        <w:top w:val="none" w:sz="0" w:space="0" w:color="auto"/>
        <w:left w:val="none" w:sz="0" w:space="0" w:color="auto"/>
        <w:bottom w:val="none" w:sz="0" w:space="0" w:color="auto"/>
        <w:right w:val="none" w:sz="0" w:space="0" w:color="auto"/>
      </w:divBdr>
    </w:div>
    <w:div w:id="464398409">
      <w:bodyDiv w:val="1"/>
      <w:marLeft w:val="0"/>
      <w:marRight w:val="0"/>
      <w:marTop w:val="0"/>
      <w:marBottom w:val="0"/>
      <w:divBdr>
        <w:top w:val="none" w:sz="0" w:space="0" w:color="auto"/>
        <w:left w:val="none" w:sz="0" w:space="0" w:color="auto"/>
        <w:bottom w:val="none" w:sz="0" w:space="0" w:color="auto"/>
        <w:right w:val="none" w:sz="0" w:space="0" w:color="auto"/>
      </w:divBdr>
      <w:divsChild>
        <w:div w:id="169833603">
          <w:marLeft w:val="1800"/>
          <w:marRight w:val="0"/>
          <w:marTop w:val="67"/>
          <w:marBottom w:val="0"/>
          <w:divBdr>
            <w:top w:val="none" w:sz="0" w:space="0" w:color="auto"/>
            <w:left w:val="none" w:sz="0" w:space="0" w:color="auto"/>
            <w:bottom w:val="none" w:sz="0" w:space="0" w:color="auto"/>
            <w:right w:val="none" w:sz="0" w:space="0" w:color="auto"/>
          </w:divBdr>
        </w:div>
        <w:div w:id="232549489">
          <w:marLeft w:val="1166"/>
          <w:marRight w:val="0"/>
          <w:marTop w:val="67"/>
          <w:marBottom w:val="0"/>
          <w:divBdr>
            <w:top w:val="none" w:sz="0" w:space="0" w:color="auto"/>
            <w:left w:val="none" w:sz="0" w:space="0" w:color="auto"/>
            <w:bottom w:val="none" w:sz="0" w:space="0" w:color="auto"/>
            <w:right w:val="none" w:sz="0" w:space="0" w:color="auto"/>
          </w:divBdr>
        </w:div>
        <w:div w:id="263459094">
          <w:marLeft w:val="1166"/>
          <w:marRight w:val="0"/>
          <w:marTop w:val="67"/>
          <w:marBottom w:val="0"/>
          <w:divBdr>
            <w:top w:val="none" w:sz="0" w:space="0" w:color="auto"/>
            <w:left w:val="none" w:sz="0" w:space="0" w:color="auto"/>
            <w:bottom w:val="none" w:sz="0" w:space="0" w:color="auto"/>
            <w:right w:val="none" w:sz="0" w:space="0" w:color="auto"/>
          </w:divBdr>
        </w:div>
        <w:div w:id="790628902">
          <w:marLeft w:val="1800"/>
          <w:marRight w:val="0"/>
          <w:marTop w:val="58"/>
          <w:marBottom w:val="0"/>
          <w:divBdr>
            <w:top w:val="none" w:sz="0" w:space="0" w:color="auto"/>
            <w:left w:val="none" w:sz="0" w:space="0" w:color="auto"/>
            <w:bottom w:val="none" w:sz="0" w:space="0" w:color="auto"/>
            <w:right w:val="none" w:sz="0" w:space="0" w:color="auto"/>
          </w:divBdr>
        </w:div>
        <w:div w:id="806240658">
          <w:marLeft w:val="1166"/>
          <w:marRight w:val="0"/>
          <w:marTop w:val="67"/>
          <w:marBottom w:val="0"/>
          <w:divBdr>
            <w:top w:val="none" w:sz="0" w:space="0" w:color="auto"/>
            <w:left w:val="none" w:sz="0" w:space="0" w:color="auto"/>
            <w:bottom w:val="none" w:sz="0" w:space="0" w:color="auto"/>
            <w:right w:val="none" w:sz="0" w:space="0" w:color="auto"/>
          </w:divBdr>
        </w:div>
        <w:div w:id="858158729">
          <w:marLeft w:val="547"/>
          <w:marRight w:val="0"/>
          <w:marTop w:val="86"/>
          <w:marBottom w:val="0"/>
          <w:divBdr>
            <w:top w:val="none" w:sz="0" w:space="0" w:color="auto"/>
            <w:left w:val="none" w:sz="0" w:space="0" w:color="auto"/>
            <w:bottom w:val="none" w:sz="0" w:space="0" w:color="auto"/>
            <w:right w:val="none" w:sz="0" w:space="0" w:color="auto"/>
          </w:divBdr>
        </w:div>
        <w:div w:id="908030934">
          <w:marLeft w:val="1800"/>
          <w:marRight w:val="0"/>
          <w:marTop w:val="67"/>
          <w:marBottom w:val="0"/>
          <w:divBdr>
            <w:top w:val="none" w:sz="0" w:space="0" w:color="auto"/>
            <w:left w:val="none" w:sz="0" w:space="0" w:color="auto"/>
            <w:bottom w:val="none" w:sz="0" w:space="0" w:color="auto"/>
            <w:right w:val="none" w:sz="0" w:space="0" w:color="auto"/>
          </w:divBdr>
        </w:div>
        <w:div w:id="949970797">
          <w:marLeft w:val="1800"/>
          <w:marRight w:val="0"/>
          <w:marTop w:val="58"/>
          <w:marBottom w:val="0"/>
          <w:divBdr>
            <w:top w:val="none" w:sz="0" w:space="0" w:color="auto"/>
            <w:left w:val="none" w:sz="0" w:space="0" w:color="auto"/>
            <w:bottom w:val="none" w:sz="0" w:space="0" w:color="auto"/>
            <w:right w:val="none" w:sz="0" w:space="0" w:color="auto"/>
          </w:divBdr>
        </w:div>
        <w:div w:id="982781640">
          <w:marLeft w:val="1166"/>
          <w:marRight w:val="0"/>
          <w:marTop w:val="67"/>
          <w:marBottom w:val="0"/>
          <w:divBdr>
            <w:top w:val="none" w:sz="0" w:space="0" w:color="auto"/>
            <w:left w:val="none" w:sz="0" w:space="0" w:color="auto"/>
            <w:bottom w:val="none" w:sz="0" w:space="0" w:color="auto"/>
            <w:right w:val="none" w:sz="0" w:space="0" w:color="auto"/>
          </w:divBdr>
        </w:div>
        <w:div w:id="1013068849">
          <w:marLeft w:val="1166"/>
          <w:marRight w:val="0"/>
          <w:marTop w:val="67"/>
          <w:marBottom w:val="0"/>
          <w:divBdr>
            <w:top w:val="none" w:sz="0" w:space="0" w:color="auto"/>
            <w:left w:val="none" w:sz="0" w:space="0" w:color="auto"/>
            <w:bottom w:val="none" w:sz="0" w:space="0" w:color="auto"/>
            <w:right w:val="none" w:sz="0" w:space="0" w:color="auto"/>
          </w:divBdr>
        </w:div>
        <w:div w:id="1328098936">
          <w:marLeft w:val="1166"/>
          <w:marRight w:val="0"/>
          <w:marTop w:val="67"/>
          <w:marBottom w:val="0"/>
          <w:divBdr>
            <w:top w:val="none" w:sz="0" w:space="0" w:color="auto"/>
            <w:left w:val="none" w:sz="0" w:space="0" w:color="auto"/>
            <w:bottom w:val="none" w:sz="0" w:space="0" w:color="auto"/>
            <w:right w:val="none" w:sz="0" w:space="0" w:color="auto"/>
          </w:divBdr>
        </w:div>
        <w:div w:id="1428309333">
          <w:marLeft w:val="1800"/>
          <w:marRight w:val="0"/>
          <w:marTop w:val="67"/>
          <w:marBottom w:val="0"/>
          <w:divBdr>
            <w:top w:val="none" w:sz="0" w:space="0" w:color="auto"/>
            <w:left w:val="none" w:sz="0" w:space="0" w:color="auto"/>
            <w:bottom w:val="none" w:sz="0" w:space="0" w:color="auto"/>
            <w:right w:val="none" w:sz="0" w:space="0" w:color="auto"/>
          </w:divBdr>
        </w:div>
        <w:div w:id="1480078704">
          <w:marLeft w:val="1166"/>
          <w:marRight w:val="0"/>
          <w:marTop w:val="67"/>
          <w:marBottom w:val="0"/>
          <w:divBdr>
            <w:top w:val="none" w:sz="0" w:space="0" w:color="auto"/>
            <w:left w:val="none" w:sz="0" w:space="0" w:color="auto"/>
            <w:bottom w:val="none" w:sz="0" w:space="0" w:color="auto"/>
            <w:right w:val="none" w:sz="0" w:space="0" w:color="auto"/>
          </w:divBdr>
        </w:div>
        <w:div w:id="1629319864">
          <w:marLeft w:val="547"/>
          <w:marRight w:val="0"/>
          <w:marTop w:val="86"/>
          <w:marBottom w:val="0"/>
          <w:divBdr>
            <w:top w:val="none" w:sz="0" w:space="0" w:color="auto"/>
            <w:left w:val="none" w:sz="0" w:space="0" w:color="auto"/>
            <w:bottom w:val="none" w:sz="0" w:space="0" w:color="auto"/>
            <w:right w:val="none" w:sz="0" w:space="0" w:color="auto"/>
          </w:divBdr>
        </w:div>
        <w:div w:id="1659307014">
          <w:marLeft w:val="1800"/>
          <w:marRight w:val="0"/>
          <w:marTop w:val="67"/>
          <w:marBottom w:val="0"/>
          <w:divBdr>
            <w:top w:val="none" w:sz="0" w:space="0" w:color="auto"/>
            <w:left w:val="none" w:sz="0" w:space="0" w:color="auto"/>
            <w:bottom w:val="none" w:sz="0" w:space="0" w:color="auto"/>
            <w:right w:val="none" w:sz="0" w:space="0" w:color="auto"/>
          </w:divBdr>
        </w:div>
        <w:div w:id="1726563843">
          <w:marLeft w:val="1800"/>
          <w:marRight w:val="0"/>
          <w:marTop w:val="67"/>
          <w:marBottom w:val="0"/>
          <w:divBdr>
            <w:top w:val="none" w:sz="0" w:space="0" w:color="auto"/>
            <w:left w:val="none" w:sz="0" w:space="0" w:color="auto"/>
            <w:bottom w:val="none" w:sz="0" w:space="0" w:color="auto"/>
            <w:right w:val="none" w:sz="0" w:space="0" w:color="auto"/>
          </w:divBdr>
        </w:div>
        <w:div w:id="2080050501">
          <w:marLeft w:val="1800"/>
          <w:marRight w:val="0"/>
          <w:marTop w:val="58"/>
          <w:marBottom w:val="0"/>
          <w:divBdr>
            <w:top w:val="none" w:sz="0" w:space="0" w:color="auto"/>
            <w:left w:val="none" w:sz="0" w:space="0" w:color="auto"/>
            <w:bottom w:val="none" w:sz="0" w:space="0" w:color="auto"/>
            <w:right w:val="none" w:sz="0" w:space="0" w:color="auto"/>
          </w:divBdr>
        </w:div>
      </w:divsChild>
    </w:div>
    <w:div w:id="465052436">
      <w:bodyDiv w:val="1"/>
      <w:marLeft w:val="0"/>
      <w:marRight w:val="0"/>
      <w:marTop w:val="0"/>
      <w:marBottom w:val="0"/>
      <w:divBdr>
        <w:top w:val="none" w:sz="0" w:space="0" w:color="auto"/>
        <w:left w:val="none" w:sz="0" w:space="0" w:color="auto"/>
        <w:bottom w:val="none" w:sz="0" w:space="0" w:color="auto"/>
        <w:right w:val="none" w:sz="0" w:space="0" w:color="auto"/>
      </w:divBdr>
    </w:div>
    <w:div w:id="466240840">
      <w:bodyDiv w:val="1"/>
      <w:marLeft w:val="0"/>
      <w:marRight w:val="0"/>
      <w:marTop w:val="0"/>
      <w:marBottom w:val="0"/>
      <w:divBdr>
        <w:top w:val="none" w:sz="0" w:space="0" w:color="auto"/>
        <w:left w:val="none" w:sz="0" w:space="0" w:color="auto"/>
        <w:bottom w:val="none" w:sz="0" w:space="0" w:color="auto"/>
        <w:right w:val="none" w:sz="0" w:space="0" w:color="auto"/>
      </w:divBdr>
    </w:div>
    <w:div w:id="467091282">
      <w:bodyDiv w:val="1"/>
      <w:marLeft w:val="0"/>
      <w:marRight w:val="0"/>
      <w:marTop w:val="0"/>
      <w:marBottom w:val="0"/>
      <w:divBdr>
        <w:top w:val="none" w:sz="0" w:space="0" w:color="auto"/>
        <w:left w:val="none" w:sz="0" w:space="0" w:color="auto"/>
        <w:bottom w:val="none" w:sz="0" w:space="0" w:color="auto"/>
        <w:right w:val="none" w:sz="0" w:space="0" w:color="auto"/>
      </w:divBdr>
      <w:divsChild>
        <w:div w:id="1468426114">
          <w:marLeft w:val="547"/>
          <w:marRight w:val="0"/>
          <w:marTop w:val="154"/>
          <w:marBottom w:val="0"/>
          <w:divBdr>
            <w:top w:val="none" w:sz="0" w:space="0" w:color="auto"/>
            <w:left w:val="none" w:sz="0" w:space="0" w:color="auto"/>
            <w:bottom w:val="none" w:sz="0" w:space="0" w:color="auto"/>
            <w:right w:val="none" w:sz="0" w:space="0" w:color="auto"/>
          </w:divBdr>
        </w:div>
      </w:divsChild>
    </w:div>
    <w:div w:id="469204584">
      <w:bodyDiv w:val="1"/>
      <w:marLeft w:val="0"/>
      <w:marRight w:val="0"/>
      <w:marTop w:val="0"/>
      <w:marBottom w:val="0"/>
      <w:divBdr>
        <w:top w:val="none" w:sz="0" w:space="0" w:color="auto"/>
        <w:left w:val="none" w:sz="0" w:space="0" w:color="auto"/>
        <w:bottom w:val="none" w:sz="0" w:space="0" w:color="auto"/>
        <w:right w:val="none" w:sz="0" w:space="0" w:color="auto"/>
      </w:divBdr>
    </w:div>
    <w:div w:id="469636271">
      <w:bodyDiv w:val="1"/>
      <w:marLeft w:val="0"/>
      <w:marRight w:val="0"/>
      <w:marTop w:val="0"/>
      <w:marBottom w:val="0"/>
      <w:divBdr>
        <w:top w:val="none" w:sz="0" w:space="0" w:color="auto"/>
        <w:left w:val="none" w:sz="0" w:space="0" w:color="auto"/>
        <w:bottom w:val="none" w:sz="0" w:space="0" w:color="auto"/>
        <w:right w:val="none" w:sz="0" w:space="0" w:color="auto"/>
      </w:divBdr>
    </w:div>
    <w:div w:id="470754305">
      <w:bodyDiv w:val="1"/>
      <w:marLeft w:val="0"/>
      <w:marRight w:val="0"/>
      <w:marTop w:val="0"/>
      <w:marBottom w:val="0"/>
      <w:divBdr>
        <w:top w:val="none" w:sz="0" w:space="0" w:color="auto"/>
        <w:left w:val="none" w:sz="0" w:space="0" w:color="auto"/>
        <w:bottom w:val="none" w:sz="0" w:space="0" w:color="auto"/>
        <w:right w:val="none" w:sz="0" w:space="0" w:color="auto"/>
      </w:divBdr>
    </w:div>
    <w:div w:id="471949491">
      <w:bodyDiv w:val="1"/>
      <w:marLeft w:val="0"/>
      <w:marRight w:val="0"/>
      <w:marTop w:val="0"/>
      <w:marBottom w:val="0"/>
      <w:divBdr>
        <w:top w:val="none" w:sz="0" w:space="0" w:color="auto"/>
        <w:left w:val="none" w:sz="0" w:space="0" w:color="auto"/>
        <w:bottom w:val="none" w:sz="0" w:space="0" w:color="auto"/>
        <w:right w:val="none" w:sz="0" w:space="0" w:color="auto"/>
      </w:divBdr>
    </w:div>
    <w:div w:id="472063327">
      <w:bodyDiv w:val="1"/>
      <w:marLeft w:val="0"/>
      <w:marRight w:val="0"/>
      <w:marTop w:val="0"/>
      <w:marBottom w:val="0"/>
      <w:divBdr>
        <w:top w:val="none" w:sz="0" w:space="0" w:color="auto"/>
        <w:left w:val="none" w:sz="0" w:space="0" w:color="auto"/>
        <w:bottom w:val="none" w:sz="0" w:space="0" w:color="auto"/>
        <w:right w:val="none" w:sz="0" w:space="0" w:color="auto"/>
      </w:divBdr>
      <w:divsChild>
        <w:div w:id="140316307">
          <w:marLeft w:val="547"/>
          <w:marRight w:val="0"/>
          <w:marTop w:val="115"/>
          <w:marBottom w:val="0"/>
          <w:divBdr>
            <w:top w:val="none" w:sz="0" w:space="0" w:color="auto"/>
            <w:left w:val="none" w:sz="0" w:space="0" w:color="auto"/>
            <w:bottom w:val="none" w:sz="0" w:space="0" w:color="auto"/>
            <w:right w:val="none" w:sz="0" w:space="0" w:color="auto"/>
          </w:divBdr>
        </w:div>
        <w:div w:id="528640258">
          <w:marLeft w:val="547"/>
          <w:marRight w:val="0"/>
          <w:marTop w:val="115"/>
          <w:marBottom w:val="0"/>
          <w:divBdr>
            <w:top w:val="none" w:sz="0" w:space="0" w:color="auto"/>
            <w:left w:val="none" w:sz="0" w:space="0" w:color="auto"/>
            <w:bottom w:val="none" w:sz="0" w:space="0" w:color="auto"/>
            <w:right w:val="none" w:sz="0" w:space="0" w:color="auto"/>
          </w:divBdr>
        </w:div>
        <w:div w:id="1011570618">
          <w:marLeft w:val="1166"/>
          <w:marRight w:val="0"/>
          <w:marTop w:val="96"/>
          <w:marBottom w:val="0"/>
          <w:divBdr>
            <w:top w:val="none" w:sz="0" w:space="0" w:color="auto"/>
            <w:left w:val="none" w:sz="0" w:space="0" w:color="auto"/>
            <w:bottom w:val="none" w:sz="0" w:space="0" w:color="auto"/>
            <w:right w:val="none" w:sz="0" w:space="0" w:color="auto"/>
          </w:divBdr>
        </w:div>
        <w:div w:id="1388411694">
          <w:marLeft w:val="547"/>
          <w:marRight w:val="0"/>
          <w:marTop w:val="115"/>
          <w:marBottom w:val="0"/>
          <w:divBdr>
            <w:top w:val="none" w:sz="0" w:space="0" w:color="auto"/>
            <w:left w:val="none" w:sz="0" w:space="0" w:color="auto"/>
            <w:bottom w:val="none" w:sz="0" w:space="0" w:color="auto"/>
            <w:right w:val="none" w:sz="0" w:space="0" w:color="auto"/>
          </w:divBdr>
        </w:div>
        <w:div w:id="1920600782">
          <w:marLeft w:val="1166"/>
          <w:marRight w:val="0"/>
          <w:marTop w:val="96"/>
          <w:marBottom w:val="0"/>
          <w:divBdr>
            <w:top w:val="none" w:sz="0" w:space="0" w:color="auto"/>
            <w:left w:val="none" w:sz="0" w:space="0" w:color="auto"/>
            <w:bottom w:val="none" w:sz="0" w:space="0" w:color="auto"/>
            <w:right w:val="none" w:sz="0" w:space="0" w:color="auto"/>
          </w:divBdr>
        </w:div>
      </w:divsChild>
    </w:div>
    <w:div w:id="472141649">
      <w:bodyDiv w:val="1"/>
      <w:marLeft w:val="0"/>
      <w:marRight w:val="0"/>
      <w:marTop w:val="0"/>
      <w:marBottom w:val="0"/>
      <w:divBdr>
        <w:top w:val="none" w:sz="0" w:space="0" w:color="auto"/>
        <w:left w:val="none" w:sz="0" w:space="0" w:color="auto"/>
        <w:bottom w:val="none" w:sz="0" w:space="0" w:color="auto"/>
        <w:right w:val="none" w:sz="0" w:space="0" w:color="auto"/>
      </w:divBdr>
    </w:div>
    <w:div w:id="473527635">
      <w:bodyDiv w:val="1"/>
      <w:marLeft w:val="0"/>
      <w:marRight w:val="0"/>
      <w:marTop w:val="0"/>
      <w:marBottom w:val="0"/>
      <w:divBdr>
        <w:top w:val="none" w:sz="0" w:space="0" w:color="auto"/>
        <w:left w:val="none" w:sz="0" w:space="0" w:color="auto"/>
        <w:bottom w:val="none" w:sz="0" w:space="0" w:color="auto"/>
        <w:right w:val="none" w:sz="0" w:space="0" w:color="auto"/>
      </w:divBdr>
    </w:div>
    <w:div w:id="473723618">
      <w:bodyDiv w:val="1"/>
      <w:marLeft w:val="0"/>
      <w:marRight w:val="0"/>
      <w:marTop w:val="0"/>
      <w:marBottom w:val="0"/>
      <w:divBdr>
        <w:top w:val="none" w:sz="0" w:space="0" w:color="auto"/>
        <w:left w:val="none" w:sz="0" w:space="0" w:color="auto"/>
        <w:bottom w:val="none" w:sz="0" w:space="0" w:color="auto"/>
        <w:right w:val="none" w:sz="0" w:space="0" w:color="auto"/>
      </w:divBdr>
      <w:divsChild>
        <w:div w:id="455175905">
          <w:marLeft w:val="1166"/>
          <w:marRight w:val="0"/>
          <w:marTop w:val="125"/>
          <w:marBottom w:val="0"/>
          <w:divBdr>
            <w:top w:val="none" w:sz="0" w:space="0" w:color="auto"/>
            <w:left w:val="none" w:sz="0" w:space="0" w:color="auto"/>
            <w:bottom w:val="none" w:sz="0" w:space="0" w:color="auto"/>
            <w:right w:val="none" w:sz="0" w:space="0" w:color="auto"/>
          </w:divBdr>
        </w:div>
        <w:div w:id="521627762">
          <w:marLeft w:val="547"/>
          <w:marRight w:val="0"/>
          <w:marTop w:val="144"/>
          <w:marBottom w:val="0"/>
          <w:divBdr>
            <w:top w:val="none" w:sz="0" w:space="0" w:color="auto"/>
            <w:left w:val="none" w:sz="0" w:space="0" w:color="auto"/>
            <w:bottom w:val="none" w:sz="0" w:space="0" w:color="auto"/>
            <w:right w:val="none" w:sz="0" w:space="0" w:color="auto"/>
          </w:divBdr>
        </w:div>
        <w:div w:id="855266754">
          <w:marLeft w:val="1166"/>
          <w:marRight w:val="0"/>
          <w:marTop w:val="125"/>
          <w:marBottom w:val="0"/>
          <w:divBdr>
            <w:top w:val="none" w:sz="0" w:space="0" w:color="auto"/>
            <w:left w:val="none" w:sz="0" w:space="0" w:color="auto"/>
            <w:bottom w:val="none" w:sz="0" w:space="0" w:color="auto"/>
            <w:right w:val="none" w:sz="0" w:space="0" w:color="auto"/>
          </w:divBdr>
        </w:div>
        <w:div w:id="1038971672">
          <w:marLeft w:val="1166"/>
          <w:marRight w:val="0"/>
          <w:marTop w:val="125"/>
          <w:marBottom w:val="0"/>
          <w:divBdr>
            <w:top w:val="none" w:sz="0" w:space="0" w:color="auto"/>
            <w:left w:val="none" w:sz="0" w:space="0" w:color="auto"/>
            <w:bottom w:val="none" w:sz="0" w:space="0" w:color="auto"/>
            <w:right w:val="none" w:sz="0" w:space="0" w:color="auto"/>
          </w:divBdr>
        </w:div>
        <w:div w:id="1191726543">
          <w:marLeft w:val="1800"/>
          <w:marRight w:val="0"/>
          <w:marTop w:val="106"/>
          <w:marBottom w:val="0"/>
          <w:divBdr>
            <w:top w:val="none" w:sz="0" w:space="0" w:color="auto"/>
            <w:left w:val="none" w:sz="0" w:space="0" w:color="auto"/>
            <w:bottom w:val="none" w:sz="0" w:space="0" w:color="auto"/>
            <w:right w:val="none" w:sz="0" w:space="0" w:color="auto"/>
          </w:divBdr>
        </w:div>
        <w:div w:id="2062358636">
          <w:marLeft w:val="1800"/>
          <w:marRight w:val="0"/>
          <w:marTop w:val="106"/>
          <w:marBottom w:val="0"/>
          <w:divBdr>
            <w:top w:val="none" w:sz="0" w:space="0" w:color="auto"/>
            <w:left w:val="none" w:sz="0" w:space="0" w:color="auto"/>
            <w:bottom w:val="none" w:sz="0" w:space="0" w:color="auto"/>
            <w:right w:val="none" w:sz="0" w:space="0" w:color="auto"/>
          </w:divBdr>
        </w:div>
      </w:divsChild>
    </w:div>
    <w:div w:id="474378986">
      <w:bodyDiv w:val="1"/>
      <w:marLeft w:val="0"/>
      <w:marRight w:val="0"/>
      <w:marTop w:val="0"/>
      <w:marBottom w:val="0"/>
      <w:divBdr>
        <w:top w:val="none" w:sz="0" w:space="0" w:color="auto"/>
        <w:left w:val="none" w:sz="0" w:space="0" w:color="auto"/>
        <w:bottom w:val="none" w:sz="0" w:space="0" w:color="auto"/>
        <w:right w:val="none" w:sz="0" w:space="0" w:color="auto"/>
      </w:divBdr>
    </w:div>
    <w:div w:id="474487594">
      <w:bodyDiv w:val="1"/>
      <w:marLeft w:val="0"/>
      <w:marRight w:val="0"/>
      <w:marTop w:val="0"/>
      <w:marBottom w:val="0"/>
      <w:divBdr>
        <w:top w:val="none" w:sz="0" w:space="0" w:color="auto"/>
        <w:left w:val="none" w:sz="0" w:space="0" w:color="auto"/>
        <w:bottom w:val="none" w:sz="0" w:space="0" w:color="auto"/>
        <w:right w:val="none" w:sz="0" w:space="0" w:color="auto"/>
      </w:divBdr>
      <w:divsChild>
        <w:div w:id="1235622688">
          <w:marLeft w:val="1166"/>
          <w:marRight w:val="0"/>
          <w:marTop w:val="134"/>
          <w:marBottom w:val="0"/>
          <w:divBdr>
            <w:top w:val="none" w:sz="0" w:space="0" w:color="auto"/>
            <w:left w:val="none" w:sz="0" w:space="0" w:color="auto"/>
            <w:bottom w:val="none" w:sz="0" w:space="0" w:color="auto"/>
            <w:right w:val="none" w:sz="0" w:space="0" w:color="auto"/>
          </w:divBdr>
        </w:div>
        <w:div w:id="1410888601">
          <w:marLeft w:val="1166"/>
          <w:marRight w:val="0"/>
          <w:marTop w:val="134"/>
          <w:marBottom w:val="0"/>
          <w:divBdr>
            <w:top w:val="none" w:sz="0" w:space="0" w:color="auto"/>
            <w:left w:val="none" w:sz="0" w:space="0" w:color="auto"/>
            <w:bottom w:val="none" w:sz="0" w:space="0" w:color="auto"/>
            <w:right w:val="none" w:sz="0" w:space="0" w:color="auto"/>
          </w:divBdr>
        </w:div>
        <w:div w:id="2018073042">
          <w:marLeft w:val="547"/>
          <w:marRight w:val="0"/>
          <w:marTop w:val="134"/>
          <w:marBottom w:val="0"/>
          <w:divBdr>
            <w:top w:val="none" w:sz="0" w:space="0" w:color="auto"/>
            <w:left w:val="none" w:sz="0" w:space="0" w:color="auto"/>
            <w:bottom w:val="none" w:sz="0" w:space="0" w:color="auto"/>
            <w:right w:val="none" w:sz="0" w:space="0" w:color="auto"/>
          </w:divBdr>
        </w:div>
      </w:divsChild>
    </w:div>
    <w:div w:id="475491782">
      <w:bodyDiv w:val="1"/>
      <w:marLeft w:val="0"/>
      <w:marRight w:val="0"/>
      <w:marTop w:val="0"/>
      <w:marBottom w:val="0"/>
      <w:divBdr>
        <w:top w:val="none" w:sz="0" w:space="0" w:color="auto"/>
        <w:left w:val="none" w:sz="0" w:space="0" w:color="auto"/>
        <w:bottom w:val="none" w:sz="0" w:space="0" w:color="auto"/>
        <w:right w:val="none" w:sz="0" w:space="0" w:color="auto"/>
      </w:divBdr>
    </w:div>
    <w:div w:id="475875002">
      <w:bodyDiv w:val="1"/>
      <w:marLeft w:val="0"/>
      <w:marRight w:val="0"/>
      <w:marTop w:val="0"/>
      <w:marBottom w:val="0"/>
      <w:divBdr>
        <w:top w:val="none" w:sz="0" w:space="0" w:color="auto"/>
        <w:left w:val="none" w:sz="0" w:space="0" w:color="auto"/>
        <w:bottom w:val="none" w:sz="0" w:space="0" w:color="auto"/>
        <w:right w:val="none" w:sz="0" w:space="0" w:color="auto"/>
      </w:divBdr>
    </w:div>
    <w:div w:id="476802007">
      <w:bodyDiv w:val="1"/>
      <w:marLeft w:val="0"/>
      <w:marRight w:val="0"/>
      <w:marTop w:val="0"/>
      <w:marBottom w:val="0"/>
      <w:divBdr>
        <w:top w:val="none" w:sz="0" w:space="0" w:color="auto"/>
        <w:left w:val="none" w:sz="0" w:space="0" w:color="auto"/>
        <w:bottom w:val="none" w:sz="0" w:space="0" w:color="auto"/>
        <w:right w:val="none" w:sz="0" w:space="0" w:color="auto"/>
      </w:divBdr>
    </w:div>
    <w:div w:id="477461462">
      <w:bodyDiv w:val="1"/>
      <w:marLeft w:val="0"/>
      <w:marRight w:val="0"/>
      <w:marTop w:val="0"/>
      <w:marBottom w:val="0"/>
      <w:divBdr>
        <w:top w:val="none" w:sz="0" w:space="0" w:color="auto"/>
        <w:left w:val="none" w:sz="0" w:space="0" w:color="auto"/>
        <w:bottom w:val="none" w:sz="0" w:space="0" w:color="auto"/>
        <w:right w:val="none" w:sz="0" w:space="0" w:color="auto"/>
      </w:divBdr>
      <w:divsChild>
        <w:div w:id="783579728">
          <w:marLeft w:val="1166"/>
          <w:marRight w:val="0"/>
          <w:marTop w:val="134"/>
          <w:marBottom w:val="0"/>
          <w:divBdr>
            <w:top w:val="none" w:sz="0" w:space="0" w:color="auto"/>
            <w:left w:val="none" w:sz="0" w:space="0" w:color="auto"/>
            <w:bottom w:val="none" w:sz="0" w:space="0" w:color="auto"/>
            <w:right w:val="none" w:sz="0" w:space="0" w:color="auto"/>
          </w:divBdr>
        </w:div>
        <w:div w:id="904099379">
          <w:marLeft w:val="547"/>
          <w:marRight w:val="0"/>
          <w:marTop w:val="154"/>
          <w:marBottom w:val="0"/>
          <w:divBdr>
            <w:top w:val="none" w:sz="0" w:space="0" w:color="auto"/>
            <w:left w:val="none" w:sz="0" w:space="0" w:color="auto"/>
            <w:bottom w:val="none" w:sz="0" w:space="0" w:color="auto"/>
            <w:right w:val="none" w:sz="0" w:space="0" w:color="auto"/>
          </w:divBdr>
        </w:div>
        <w:div w:id="1208837825">
          <w:marLeft w:val="1800"/>
          <w:marRight w:val="0"/>
          <w:marTop w:val="115"/>
          <w:marBottom w:val="0"/>
          <w:divBdr>
            <w:top w:val="none" w:sz="0" w:space="0" w:color="auto"/>
            <w:left w:val="none" w:sz="0" w:space="0" w:color="auto"/>
            <w:bottom w:val="none" w:sz="0" w:space="0" w:color="auto"/>
            <w:right w:val="none" w:sz="0" w:space="0" w:color="auto"/>
          </w:divBdr>
        </w:div>
      </w:divsChild>
    </w:div>
    <w:div w:id="477957733">
      <w:bodyDiv w:val="1"/>
      <w:marLeft w:val="0"/>
      <w:marRight w:val="0"/>
      <w:marTop w:val="0"/>
      <w:marBottom w:val="0"/>
      <w:divBdr>
        <w:top w:val="none" w:sz="0" w:space="0" w:color="auto"/>
        <w:left w:val="none" w:sz="0" w:space="0" w:color="auto"/>
        <w:bottom w:val="none" w:sz="0" w:space="0" w:color="auto"/>
        <w:right w:val="none" w:sz="0" w:space="0" w:color="auto"/>
      </w:divBdr>
      <w:divsChild>
        <w:div w:id="7218591">
          <w:marLeft w:val="3240"/>
          <w:marRight w:val="0"/>
          <w:marTop w:val="96"/>
          <w:marBottom w:val="0"/>
          <w:divBdr>
            <w:top w:val="none" w:sz="0" w:space="0" w:color="auto"/>
            <w:left w:val="none" w:sz="0" w:space="0" w:color="auto"/>
            <w:bottom w:val="none" w:sz="0" w:space="0" w:color="auto"/>
            <w:right w:val="none" w:sz="0" w:space="0" w:color="auto"/>
          </w:divBdr>
        </w:div>
        <w:div w:id="698361146">
          <w:marLeft w:val="1166"/>
          <w:marRight w:val="0"/>
          <w:marTop w:val="134"/>
          <w:marBottom w:val="0"/>
          <w:divBdr>
            <w:top w:val="none" w:sz="0" w:space="0" w:color="auto"/>
            <w:left w:val="none" w:sz="0" w:space="0" w:color="auto"/>
            <w:bottom w:val="none" w:sz="0" w:space="0" w:color="auto"/>
            <w:right w:val="none" w:sz="0" w:space="0" w:color="auto"/>
          </w:divBdr>
        </w:div>
        <w:div w:id="1201362490">
          <w:marLeft w:val="3240"/>
          <w:marRight w:val="0"/>
          <w:marTop w:val="96"/>
          <w:marBottom w:val="0"/>
          <w:divBdr>
            <w:top w:val="none" w:sz="0" w:space="0" w:color="auto"/>
            <w:left w:val="none" w:sz="0" w:space="0" w:color="auto"/>
            <w:bottom w:val="none" w:sz="0" w:space="0" w:color="auto"/>
            <w:right w:val="none" w:sz="0" w:space="0" w:color="auto"/>
          </w:divBdr>
        </w:div>
        <w:div w:id="1341006723">
          <w:marLeft w:val="547"/>
          <w:marRight w:val="0"/>
          <w:marTop w:val="154"/>
          <w:marBottom w:val="0"/>
          <w:divBdr>
            <w:top w:val="none" w:sz="0" w:space="0" w:color="auto"/>
            <w:left w:val="none" w:sz="0" w:space="0" w:color="auto"/>
            <w:bottom w:val="none" w:sz="0" w:space="0" w:color="auto"/>
            <w:right w:val="none" w:sz="0" w:space="0" w:color="auto"/>
          </w:divBdr>
        </w:div>
        <w:div w:id="1632442170">
          <w:marLeft w:val="1800"/>
          <w:marRight w:val="0"/>
          <w:marTop w:val="115"/>
          <w:marBottom w:val="0"/>
          <w:divBdr>
            <w:top w:val="none" w:sz="0" w:space="0" w:color="auto"/>
            <w:left w:val="none" w:sz="0" w:space="0" w:color="auto"/>
            <w:bottom w:val="none" w:sz="0" w:space="0" w:color="auto"/>
            <w:right w:val="none" w:sz="0" w:space="0" w:color="auto"/>
          </w:divBdr>
        </w:div>
        <w:div w:id="1740863051">
          <w:marLeft w:val="2520"/>
          <w:marRight w:val="0"/>
          <w:marTop w:val="96"/>
          <w:marBottom w:val="0"/>
          <w:divBdr>
            <w:top w:val="none" w:sz="0" w:space="0" w:color="auto"/>
            <w:left w:val="none" w:sz="0" w:space="0" w:color="auto"/>
            <w:bottom w:val="none" w:sz="0" w:space="0" w:color="auto"/>
            <w:right w:val="none" w:sz="0" w:space="0" w:color="auto"/>
          </w:divBdr>
        </w:div>
        <w:div w:id="1927885401">
          <w:marLeft w:val="3240"/>
          <w:marRight w:val="0"/>
          <w:marTop w:val="96"/>
          <w:marBottom w:val="0"/>
          <w:divBdr>
            <w:top w:val="none" w:sz="0" w:space="0" w:color="auto"/>
            <w:left w:val="none" w:sz="0" w:space="0" w:color="auto"/>
            <w:bottom w:val="none" w:sz="0" w:space="0" w:color="auto"/>
            <w:right w:val="none" w:sz="0" w:space="0" w:color="auto"/>
          </w:divBdr>
        </w:div>
      </w:divsChild>
    </w:div>
    <w:div w:id="478425847">
      <w:bodyDiv w:val="1"/>
      <w:marLeft w:val="0"/>
      <w:marRight w:val="0"/>
      <w:marTop w:val="0"/>
      <w:marBottom w:val="0"/>
      <w:divBdr>
        <w:top w:val="none" w:sz="0" w:space="0" w:color="auto"/>
        <w:left w:val="none" w:sz="0" w:space="0" w:color="auto"/>
        <w:bottom w:val="none" w:sz="0" w:space="0" w:color="auto"/>
        <w:right w:val="none" w:sz="0" w:space="0" w:color="auto"/>
      </w:divBdr>
      <w:divsChild>
        <w:div w:id="886528279">
          <w:marLeft w:val="1166"/>
          <w:marRight w:val="0"/>
          <w:marTop w:val="96"/>
          <w:marBottom w:val="0"/>
          <w:divBdr>
            <w:top w:val="none" w:sz="0" w:space="0" w:color="auto"/>
            <w:left w:val="none" w:sz="0" w:space="0" w:color="auto"/>
            <w:bottom w:val="none" w:sz="0" w:space="0" w:color="auto"/>
            <w:right w:val="none" w:sz="0" w:space="0" w:color="auto"/>
          </w:divBdr>
        </w:div>
        <w:div w:id="972640675">
          <w:marLeft w:val="1886"/>
          <w:marRight w:val="0"/>
          <w:marTop w:val="77"/>
          <w:marBottom w:val="0"/>
          <w:divBdr>
            <w:top w:val="none" w:sz="0" w:space="0" w:color="auto"/>
            <w:left w:val="none" w:sz="0" w:space="0" w:color="auto"/>
            <w:bottom w:val="none" w:sz="0" w:space="0" w:color="auto"/>
            <w:right w:val="none" w:sz="0" w:space="0" w:color="auto"/>
          </w:divBdr>
        </w:div>
        <w:div w:id="1208449799">
          <w:marLeft w:val="547"/>
          <w:marRight w:val="0"/>
          <w:marTop w:val="115"/>
          <w:marBottom w:val="0"/>
          <w:divBdr>
            <w:top w:val="none" w:sz="0" w:space="0" w:color="auto"/>
            <w:left w:val="none" w:sz="0" w:space="0" w:color="auto"/>
            <w:bottom w:val="none" w:sz="0" w:space="0" w:color="auto"/>
            <w:right w:val="none" w:sz="0" w:space="0" w:color="auto"/>
          </w:divBdr>
        </w:div>
        <w:div w:id="1578704755">
          <w:marLeft w:val="1166"/>
          <w:marRight w:val="0"/>
          <w:marTop w:val="96"/>
          <w:marBottom w:val="0"/>
          <w:divBdr>
            <w:top w:val="none" w:sz="0" w:space="0" w:color="auto"/>
            <w:left w:val="none" w:sz="0" w:space="0" w:color="auto"/>
            <w:bottom w:val="none" w:sz="0" w:space="0" w:color="auto"/>
            <w:right w:val="none" w:sz="0" w:space="0" w:color="auto"/>
          </w:divBdr>
        </w:div>
        <w:div w:id="2056077703">
          <w:marLeft w:val="1886"/>
          <w:marRight w:val="0"/>
          <w:marTop w:val="77"/>
          <w:marBottom w:val="0"/>
          <w:divBdr>
            <w:top w:val="none" w:sz="0" w:space="0" w:color="auto"/>
            <w:left w:val="none" w:sz="0" w:space="0" w:color="auto"/>
            <w:bottom w:val="none" w:sz="0" w:space="0" w:color="auto"/>
            <w:right w:val="none" w:sz="0" w:space="0" w:color="auto"/>
          </w:divBdr>
        </w:div>
      </w:divsChild>
    </w:div>
    <w:div w:id="478494752">
      <w:bodyDiv w:val="1"/>
      <w:marLeft w:val="0"/>
      <w:marRight w:val="0"/>
      <w:marTop w:val="0"/>
      <w:marBottom w:val="0"/>
      <w:divBdr>
        <w:top w:val="none" w:sz="0" w:space="0" w:color="auto"/>
        <w:left w:val="none" w:sz="0" w:space="0" w:color="auto"/>
        <w:bottom w:val="none" w:sz="0" w:space="0" w:color="auto"/>
        <w:right w:val="none" w:sz="0" w:space="0" w:color="auto"/>
      </w:divBdr>
    </w:div>
    <w:div w:id="478613800">
      <w:bodyDiv w:val="1"/>
      <w:marLeft w:val="0"/>
      <w:marRight w:val="0"/>
      <w:marTop w:val="0"/>
      <w:marBottom w:val="0"/>
      <w:divBdr>
        <w:top w:val="none" w:sz="0" w:space="0" w:color="auto"/>
        <w:left w:val="none" w:sz="0" w:space="0" w:color="auto"/>
        <w:bottom w:val="none" w:sz="0" w:space="0" w:color="auto"/>
        <w:right w:val="none" w:sz="0" w:space="0" w:color="auto"/>
      </w:divBdr>
    </w:div>
    <w:div w:id="479658243">
      <w:bodyDiv w:val="1"/>
      <w:marLeft w:val="0"/>
      <w:marRight w:val="0"/>
      <w:marTop w:val="0"/>
      <w:marBottom w:val="0"/>
      <w:divBdr>
        <w:top w:val="none" w:sz="0" w:space="0" w:color="auto"/>
        <w:left w:val="none" w:sz="0" w:space="0" w:color="auto"/>
        <w:bottom w:val="none" w:sz="0" w:space="0" w:color="auto"/>
        <w:right w:val="none" w:sz="0" w:space="0" w:color="auto"/>
      </w:divBdr>
      <w:divsChild>
        <w:div w:id="242230309">
          <w:marLeft w:val="547"/>
          <w:marRight w:val="0"/>
          <w:marTop w:val="125"/>
          <w:marBottom w:val="0"/>
          <w:divBdr>
            <w:top w:val="none" w:sz="0" w:space="0" w:color="auto"/>
            <w:left w:val="none" w:sz="0" w:space="0" w:color="auto"/>
            <w:bottom w:val="none" w:sz="0" w:space="0" w:color="auto"/>
            <w:right w:val="none" w:sz="0" w:space="0" w:color="auto"/>
          </w:divBdr>
        </w:div>
        <w:div w:id="324864762">
          <w:marLeft w:val="547"/>
          <w:marRight w:val="0"/>
          <w:marTop w:val="125"/>
          <w:marBottom w:val="0"/>
          <w:divBdr>
            <w:top w:val="none" w:sz="0" w:space="0" w:color="auto"/>
            <w:left w:val="none" w:sz="0" w:space="0" w:color="auto"/>
            <w:bottom w:val="none" w:sz="0" w:space="0" w:color="auto"/>
            <w:right w:val="none" w:sz="0" w:space="0" w:color="auto"/>
          </w:divBdr>
        </w:div>
        <w:div w:id="1022435499">
          <w:marLeft w:val="547"/>
          <w:marRight w:val="0"/>
          <w:marTop w:val="125"/>
          <w:marBottom w:val="0"/>
          <w:divBdr>
            <w:top w:val="none" w:sz="0" w:space="0" w:color="auto"/>
            <w:left w:val="none" w:sz="0" w:space="0" w:color="auto"/>
            <w:bottom w:val="none" w:sz="0" w:space="0" w:color="auto"/>
            <w:right w:val="none" w:sz="0" w:space="0" w:color="auto"/>
          </w:divBdr>
        </w:div>
        <w:div w:id="2092576932">
          <w:marLeft w:val="547"/>
          <w:marRight w:val="0"/>
          <w:marTop w:val="125"/>
          <w:marBottom w:val="0"/>
          <w:divBdr>
            <w:top w:val="none" w:sz="0" w:space="0" w:color="auto"/>
            <w:left w:val="none" w:sz="0" w:space="0" w:color="auto"/>
            <w:bottom w:val="none" w:sz="0" w:space="0" w:color="auto"/>
            <w:right w:val="none" w:sz="0" w:space="0" w:color="auto"/>
          </w:divBdr>
        </w:div>
      </w:divsChild>
    </w:div>
    <w:div w:id="479734990">
      <w:bodyDiv w:val="1"/>
      <w:marLeft w:val="0"/>
      <w:marRight w:val="0"/>
      <w:marTop w:val="0"/>
      <w:marBottom w:val="0"/>
      <w:divBdr>
        <w:top w:val="none" w:sz="0" w:space="0" w:color="auto"/>
        <w:left w:val="none" w:sz="0" w:space="0" w:color="auto"/>
        <w:bottom w:val="none" w:sz="0" w:space="0" w:color="auto"/>
        <w:right w:val="none" w:sz="0" w:space="0" w:color="auto"/>
      </w:divBdr>
    </w:div>
    <w:div w:id="480121338">
      <w:bodyDiv w:val="1"/>
      <w:marLeft w:val="0"/>
      <w:marRight w:val="0"/>
      <w:marTop w:val="0"/>
      <w:marBottom w:val="0"/>
      <w:divBdr>
        <w:top w:val="none" w:sz="0" w:space="0" w:color="auto"/>
        <w:left w:val="none" w:sz="0" w:space="0" w:color="auto"/>
        <w:bottom w:val="none" w:sz="0" w:space="0" w:color="auto"/>
        <w:right w:val="none" w:sz="0" w:space="0" w:color="auto"/>
      </w:divBdr>
      <w:divsChild>
        <w:div w:id="1468014181">
          <w:marLeft w:val="0"/>
          <w:marRight w:val="0"/>
          <w:marTop w:val="0"/>
          <w:marBottom w:val="0"/>
          <w:divBdr>
            <w:top w:val="none" w:sz="0" w:space="0" w:color="auto"/>
            <w:left w:val="none" w:sz="0" w:space="0" w:color="auto"/>
            <w:bottom w:val="none" w:sz="0" w:space="0" w:color="auto"/>
            <w:right w:val="none" w:sz="0" w:space="0" w:color="auto"/>
          </w:divBdr>
          <w:divsChild>
            <w:div w:id="58986340">
              <w:marLeft w:val="0"/>
              <w:marRight w:val="0"/>
              <w:marTop w:val="0"/>
              <w:marBottom w:val="0"/>
              <w:divBdr>
                <w:top w:val="none" w:sz="0" w:space="0" w:color="auto"/>
                <w:left w:val="none" w:sz="0" w:space="0" w:color="auto"/>
                <w:bottom w:val="none" w:sz="0" w:space="0" w:color="auto"/>
                <w:right w:val="none" w:sz="0" w:space="0" w:color="auto"/>
              </w:divBdr>
            </w:div>
            <w:div w:id="136266615">
              <w:marLeft w:val="0"/>
              <w:marRight w:val="0"/>
              <w:marTop w:val="0"/>
              <w:marBottom w:val="0"/>
              <w:divBdr>
                <w:top w:val="none" w:sz="0" w:space="0" w:color="auto"/>
                <w:left w:val="none" w:sz="0" w:space="0" w:color="auto"/>
                <w:bottom w:val="none" w:sz="0" w:space="0" w:color="auto"/>
                <w:right w:val="none" w:sz="0" w:space="0" w:color="auto"/>
              </w:divBdr>
            </w:div>
            <w:div w:id="545260346">
              <w:marLeft w:val="0"/>
              <w:marRight w:val="0"/>
              <w:marTop w:val="0"/>
              <w:marBottom w:val="0"/>
              <w:divBdr>
                <w:top w:val="none" w:sz="0" w:space="0" w:color="auto"/>
                <w:left w:val="none" w:sz="0" w:space="0" w:color="auto"/>
                <w:bottom w:val="none" w:sz="0" w:space="0" w:color="auto"/>
                <w:right w:val="none" w:sz="0" w:space="0" w:color="auto"/>
              </w:divBdr>
            </w:div>
            <w:div w:id="661734792">
              <w:marLeft w:val="0"/>
              <w:marRight w:val="0"/>
              <w:marTop w:val="0"/>
              <w:marBottom w:val="0"/>
              <w:divBdr>
                <w:top w:val="none" w:sz="0" w:space="0" w:color="auto"/>
                <w:left w:val="none" w:sz="0" w:space="0" w:color="auto"/>
                <w:bottom w:val="none" w:sz="0" w:space="0" w:color="auto"/>
                <w:right w:val="none" w:sz="0" w:space="0" w:color="auto"/>
              </w:divBdr>
            </w:div>
            <w:div w:id="935552543">
              <w:marLeft w:val="0"/>
              <w:marRight w:val="0"/>
              <w:marTop w:val="0"/>
              <w:marBottom w:val="0"/>
              <w:divBdr>
                <w:top w:val="none" w:sz="0" w:space="0" w:color="auto"/>
                <w:left w:val="none" w:sz="0" w:space="0" w:color="auto"/>
                <w:bottom w:val="none" w:sz="0" w:space="0" w:color="auto"/>
                <w:right w:val="none" w:sz="0" w:space="0" w:color="auto"/>
              </w:divBdr>
            </w:div>
            <w:div w:id="1000813056">
              <w:marLeft w:val="0"/>
              <w:marRight w:val="0"/>
              <w:marTop w:val="0"/>
              <w:marBottom w:val="0"/>
              <w:divBdr>
                <w:top w:val="none" w:sz="0" w:space="0" w:color="auto"/>
                <w:left w:val="none" w:sz="0" w:space="0" w:color="auto"/>
                <w:bottom w:val="none" w:sz="0" w:space="0" w:color="auto"/>
                <w:right w:val="none" w:sz="0" w:space="0" w:color="auto"/>
              </w:divBdr>
            </w:div>
            <w:div w:id="1022125046">
              <w:marLeft w:val="0"/>
              <w:marRight w:val="0"/>
              <w:marTop w:val="0"/>
              <w:marBottom w:val="0"/>
              <w:divBdr>
                <w:top w:val="none" w:sz="0" w:space="0" w:color="auto"/>
                <w:left w:val="none" w:sz="0" w:space="0" w:color="auto"/>
                <w:bottom w:val="none" w:sz="0" w:space="0" w:color="auto"/>
                <w:right w:val="none" w:sz="0" w:space="0" w:color="auto"/>
              </w:divBdr>
            </w:div>
            <w:div w:id="1355768786">
              <w:marLeft w:val="0"/>
              <w:marRight w:val="0"/>
              <w:marTop w:val="0"/>
              <w:marBottom w:val="0"/>
              <w:divBdr>
                <w:top w:val="none" w:sz="0" w:space="0" w:color="auto"/>
                <w:left w:val="none" w:sz="0" w:space="0" w:color="auto"/>
                <w:bottom w:val="none" w:sz="0" w:space="0" w:color="auto"/>
                <w:right w:val="none" w:sz="0" w:space="0" w:color="auto"/>
              </w:divBdr>
            </w:div>
            <w:div w:id="1573658195">
              <w:marLeft w:val="0"/>
              <w:marRight w:val="0"/>
              <w:marTop w:val="0"/>
              <w:marBottom w:val="0"/>
              <w:divBdr>
                <w:top w:val="none" w:sz="0" w:space="0" w:color="auto"/>
                <w:left w:val="none" w:sz="0" w:space="0" w:color="auto"/>
                <w:bottom w:val="none" w:sz="0" w:space="0" w:color="auto"/>
                <w:right w:val="none" w:sz="0" w:space="0" w:color="auto"/>
              </w:divBdr>
            </w:div>
            <w:div w:id="1712873626">
              <w:marLeft w:val="0"/>
              <w:marRight w:val="0"/>
              <w:marTop w:val="0"/>
              <w:marBottom w:val="0"/>
              <w:divBdr>
                <w:top w:val="none" w:sz="0" w:space="0" w:color="auto"/>
                <w:left w:val="none" w:sz="0" w:space="0" w:color="auto"/>
                <w:bottom w:val="none" w:sz="0" w:space="0" w:color="auto"/>
                <w:right w:val="none" w:sz="0" w:space="0" w:color="auto"/>
              </w:divBdr>
            </w:div>
            <w:div w:id="1985425486">
              <w:marLeft w:val="0"/>
              <w:marRight w:val="0"/>
              <w:marTop w:val="0"/>
              <w:marBottom w:val="0"/>
              <w:divBdr>
                <w:top w:val="none" w:sz="0" w:space="0" w:color="auto"/>
                <w:left w:val="none" w:sz="0" w:space="0" w:color="auto"/>
                <w:bottom w:val="none" w:sz="0" w:space="0" w:color="auto"/>
                <w:right w:val="none" w:sz="0" w:space="0" w:color="auto"/>
              </w:divBdr>
            </w:div>
            <w:div w:id="21052222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81048198">
      <w:bodyDiv w:val="1"/>
      <w:marLeft w:val="0"/>
      <w:marRight w:val="0"/>
      <w:marTop w:val="0"/>
      <w:marBottom w:val="0"/>
      <w:divBdr>
        <w:top w:val="none" w:sz="0" w:space="0" w:color="auto"/>
        <w:left w:val="none" w:sz="0" w:space="0" w:color="auto"/>
        <w:bottom w:val="none" w:sz="0" w:space="0" w:color="auto"/>
        <w:right w:val="none" w:sz="0" w:space="0" w:color="auto"/>
      </w:divBdr>
    </w:div>
    <w:div w:id="481197193">
      <w:bodyDiv w:val="1"/>
      <w:marLeft w:val="0"/>
      <w:marRight w:val="0"/>
      <w:marTop w:val="0"/>
      <w:marBottom w:val="0"/>
      <w:divBdr>
        <w:top w:val="none" w:sz="0" w:space="0" w:color="auto"/>
        <w:left w:val="none" w:sz="0" w:space="0" w:color="auto"/>
        <w:bottom w:val="none" w:sz="0" w:space="0" w:color="auto"/>
        <w:right w:val="none" w:sz="0" w:space="0" w:color="auto"/>
      </w:divBdr>
    </w:div>
    <w:div w:id="482356040">
      <w:bodyDiv w:val="1"/>
      <w:marLeft w:val="0"/>
      <w:marRight w:val="0"/>
      <w:marTop w:val="0"/>
      <w:marBottom w:val="0"/>
      <w:divBdr>
        <w:top w:val="none" w:sz="0" w:space="0" w:color="auto"/>
        <w:left w:val="none" w:sz="0" w:space="0" w:color="auto"/>
        <w:bottom w:val="none" w:sz="0" w:space="0" w:color="auto"/>
        <w:right w:val="none" w:sz="0" w:space="0" w:color="auto"/>
      </w:divBdr>
    </w:div>
    <w:div w:id="483473757">
      <w:bodyDiv w:val="1"/>
      <w:marLeft w:val="0"/>
      <w:marRight w:val="0"/>
      <w:marTop w:val="0"/>
      <w:marBottom w:val="0"/>
      <w:divBdr>
        <w:top w:val="none" w:sz="0" w:space="0" w:color="auto"/>
        <w:left w:val="none" w:sz="0" w:space="0" w:color="auto"/>
        <w:bottom w:val="none" w:sz="0" w:space="0" w:color="auto"/>
        <w:right w:val="none" w:sz="0" w:space="0" w:color="auto"/>
      </w:divBdr>
    </w:div>
    <w:div w:id="483475016">
      <w:bodyDiv w:val="1"/>
      <w:marLeft w:val="0"/>
      <w:marRight w:val="0"/>
      <w:marTop w:val="0"/>
      <w:marBottom w:val="0"/>
      <w:divBdr>
        <w:top w:val="none" w:sz="0" w:space="0" w:color="auto"/>
        <w:left w:val="none" w:sz="0" w:space="0" w:color="auto"/>
        <w:bottom w:val="none" w:sz="0" w:space="0" w:color="auto"/>
        <w:right w:val="none" w:sz="0" w:space="0" w:color="auto"/>
      </w:divBdr>
    </w:div>
    <w:div w:id="484710895">
      <w:bodyDiv w:val="1"/>
      <w:marLeft w:val="0"/>
      <w:marRight w:val="0"/>
      <w:marTop w:val="0"/>
      <w:marBottom w:val="0"/>
      <w:divBdr>
        <w:top w:val="none" w:sz="0" w:space="0" w:color="auto"/>
        <w:left w:val="none" w:sz="0" w:space="0" w:color="auto"/>
        <w:bottom w:val="none" w:sz="0" w:space="0" w:color="auto"/>
        <w:right w:val="none" w:sz="0" w:space="0" w:color="auto"/>
      </w:divBdr>
    </w:div>
    <w:div w:id="484904409">
      <w:bodyDiv w:val="1"/>
      <w:marLeft w:val="0"/>
      <w:marRight w:val="0"/>
      <w:marTop w:val="0"/>
      <w:marBottom w:val="0"/>
      <w:divBdr>
        <w:top w:val="none" w:sz="0" w:space="0" w:color="auto"/>
        <w:left w:val="none" w:sz="0" w:space="0" w:color="auto"/>
        <w:bottom w:val="none" w:sz="0" w:space="0" w:color="auto"/>
        <w:right w:val="none" w:sz="0" w:space="0" w:color="auto"/>
      </w:divBdr>
    </w:div>
    <w:div w:id="486363166">
      <w:bodyDiv w:val="1"/>
      <w:marLeft w:val="0"/>
      <w:marRight w:val="0"/>
      <w:marTop w:val="0"/>
      <w:marBottom w:val="0"/>
      <w:divBdr>
        <w:top w:val="none" w:sz="0" w:space="0" w:color="auto"/>
        <w:left w:val="none" w:sz="0" w:space="0" w:color="auto"/>
        <w:bottom w:val="none" w:sz="0" w:space="0" w:color="auto"/>
        <w:right w:val="none" w:sz="0" w:space="0" w:color="auto"/>
      </w:divBdr>
    </w:div>
    <w:div w:id="486365641">
      <w:bodyDiv w:val="1"/>
      <w:marLeft w:val="0"/>
      <w:marRight w:val="0"/>
      <w:marTop w:val="0"/>
      <w:marBottom w:val="0"/>
      <w:divBdr>
        <w:top w:val="none" w:sz="0" w:space="0" w:color="auto"/>
        <w:left w:val="none" w:sz="0" w:space="0" w:color="auto"/>
        <w:bottom w:val="none" w:sz="0" w:space="0" w:color="auto"/>
        <w:right w:val="none" w:sz="0" w:space="0" w:color="auto"/>
      </w:divBdr>
    </w:div>
    <w:div w:id="486827459">
      <w:bodyDiv w:val="1"/>
      <w:marLeft w:val="0"/>
      <w:marRight w:val="0"/>
      <w:marTop w:val="0"/>
      <w:marBottom w:val="0"/>
      <w:divBdr>
        <w:top w:val="none" w:sz="0" w:space="0" w:color="auto"/>
        <w:left w:val="none" w:sz="0" w:space="0" w:color="auto"/>
        <w:bottom w:val="none" w:sz="0" w:space="0" w:color="auto"/>
        <w:right w:val="none" w:sz="0" w:space="0" w:color="auto"/>
      </w:divBdr>
    </w:div>
    <w:div w:id="488135901">
      <w:bodyDiv w:val="1"/>
      <w:marLeft w:val="0"/>
      <w:marRight w:val="0"/>
      <w:marTop w:val="0"/>
      <w:marBottom w:val="0"/>
      <w:divBdr>
        <w:top w:val="none" w:sz="0" w:space="0" w:color="auto"/>
        <w:left w:val="none" w:sz="0" w:space="0" w:color="auto"/>
        <w:bottom w:val="none" w:sz="0" w:space="0" w:color="auto"/>
        <w:right w:val="none" w:sz="0" w:space="0" w:color="auto"/>
      </w:divBdr>
      <w:divsChild>
        <w:div w:id="486822338">
          <w:marLeft w:val="547"/>
          <w:marRight w:val="0"/>
          <w:marTop w:val="154"/>
          <w:marBottom w:val="0"/>
          <w:divBdr>
            <w:top w:val="none" w:sz="0" w:space="0" w:color="auto"/>
            <w:left w:val="none" w:sz="0" w:space="0" w:color="auto"/>
            <w:bottom w:val="none" w:sz="0" w:space="0" w:color="auto"/>
            <w:right w:val="none" w:sz="0" w:space="0" w:color="auto"/>
          </w:divBdr>
        </w:div>
        <w:div w:id="2134277763">
          <w:marLeft w:val="547"/>
          <w:marRight w:val="0"/>
          <w:marTop w:val="154"/>
          <w:marBottom w:val="0"/>
          <w:divBdr>
            <w:top w:val="none" w:sz="0" w:space="0" w:color="auto"/>
            <w:left w:val="none" w:sz="0" w:space="0" w:color="auto"/>
            <w:bottom w:val="none" w:sz="0" w:space="0" w:color="auto"/>
            <w:right w:val="none" w:sz="0" w:space="0" w:color="auto"/>
          </w:divBdr>
        </w:div>
      </w:divsChild>
    </w:div>
    <w:div w:id="488327070">
      <w:bodyDiv w:val="1"/>
      <w:marLeft w:val="0"/>
      <w:marRight w:val="0"/>
      <w:marTop w:val="0"/>
      <w:marBottom w:val="0"/>
      <w:divBdr>
        <w:top w:val="none" w:sz="0" w:space="0" w:color="auto"/>
        <w:left w:val="none" w:sz="0" w:space="0" w:color="auto"/>
        <w:bottom w:val="none" w:sz="0" w:space="0" w:color="auto"/>
        <w:right w:val="none" w:sz="0" w:space="0" w:color="auto"/>
      </w:divBdr>
    </w:div>
    <w:div w:id="488447427">
      <w:bodyDiv w:val="1"/>
      <w:marLeft w:val="0"/>
      <w:marRight w:val="0"/>
      <w:marTop w:val="0"/>
      <w:marBottom w:val="0"/>
      <w:divBdr>
        <w:top w:val="none" w:sz="0" w:space="0" w:color="auto"/>
        <w:left w:val="none" w:sz="0" w:space="0" w:color="auto"/>
        <w:bottom w:val="none" w:sz="0" w:space="0" w:color="auto"/>
        <w:right w:val="none" w:sz="0" w:space="0" w:color="auto"/>
      </w:divBdr>
    </w:div>
    <w:div w:id="490488812">
      <w:bodyDiv w:val="1"/>
      <w:marLeft w:val="0"/>
      <w:marRight w:val="0"/>
      <w:marTop w:val="0"/>
      <w:marBottom w:val="0"/>
      <w:divBdr>
        <w:top w:val="none" w:sz="0" w:space="0" w:color="auto"/>
        <w:left w:val="none" w:sz="0" w:space="0" w:color="auto"/>
        <w:bottom w:val="none" w:sz="0" w:space="0" w:color="auto"/>
        <w:right w:val="none" w:sz="0" w:space="0" w:color="auto"/>
      </w:divBdr>
    </w:div>
    <w:div w:id="490675670">
      <w:bodyDiv w:val="1"/>
      <w:marLeft w:val="0"/>
      <w:marRight w:val="0"/>
      <w:marTop w:val="0"/>
      <w:marBottom w:val="0"/>
      <w:divBdr>
        <w:top w:val="none" w:sz="0" w:space="0" w:color="auto"/>
        <w:left w:val="none" w:sz="0" w:space="0" w:color="auto"/>
        <w:bottom w:val="none" w:sz="0" w:space="0" w:color="auto"/>
        <w:right w:val="none" w:sz="0" w:space="0" w:color="auto"/>
      </w:divBdr>
    </w:div>
    <w:div w:id="490878197">
      <w:bodyDiv w:val="1"/>
      <w:marLeft w:val="0"/>
      <w:marRight w:val="0"/>
      <w:marTop w:val="0"/>
      <w:marBottom w:val="0"/>
      <w:divBdr>
        <w:top w:val="none" w:sz="0" w:space="0" w:color="auto"/>
        <w:left w:val="none" w:sz="0" w:space="0" w:color="auto"/>
        <w:bottom w:val="none" w:sz="0" w:space="0" w:color="auto"/>
        <w:right w:val="none" w:sz="0" w:space="0" w:color="auto"/>
      </w:divBdr>
    </w:div>
    <w:div w:id="491143735">
      <w:bodyDiv w:val="1"/>
      <w:marLeft w:val="0"/>
      <w:marRight w:val="0"/>
      <w:marTop w:val="0"/>
      <w:marBottom w:val="0"/>
      <w:divBdr>
        <w:top w:val="none" w:sz="0" w:space="0" w:color="auto"/>
        <w:left w:val="none" w:sz="0" w:space="0" w:color="auto"/>
        <w:bottom w:val="none" w:sz="0" w:space="0" w:color="auto"/>
        <w:right w:val="none" w:sz="0" w:space="0" w:color="auto"/>
      </w:divBdr>
    </w:div>
    <w:div w:id="492646991">
      <w:bodyDiv w:val="1"/>
      <w:marLeft w:val="0"/>
      <w:marRight w:val="0"/>
      <w:marTop w:val="0"/>
      <w:marBottom w:val="0"/>
      <w:divBdr>
        <w:top w:val="none" w:sz="0" w:space="0" w:color="auto"/>
        <w:left w:val="none" w:sz="0" w:space="0" w:color="auto"/>
        <w:bottom w:val="none" w:sz="0" w:space="0" w:color="auto"/>
        <w:right w:val="none" w:sz="0" w:space="0" w:color="auto"/>
      </w:divBdr>
    </w:div>
    <w:div w:id="492835747">
      <w:bodyDiv w:val="1"/>
      <w:marLeft w:val="0"/>
      <w:marRight w:val="0"/>
      <w:marTop w:val="0"/>
      <w:marBottom w:val="0"/>
      <w:divBdr>
        <w:top w:val="none" w:sz="0" w:space="0" w:color="auto"/>
        <w:left w:val="none" w:sz="0" w:space="0" w:color="auto"/>
        <w:bottom w:val="none" w:sz="0" w:space="0" w:color="auto"/>
        <w:right w:val="none" w:sz="0" w:space="0" w:color="auto"/>
      </w:divBdr>
    </w:div>
    <w:div w:id="492913951">
      <w:bodyDiv w:val="1"/>
      <w:marLeft w:val="0"/>
      <w:marRight w:val="0"/>
      <w:marTop w:val="0"/>
      <w:marBottom w:val="0"/>
      <w:divBdr>
        <w:top w:val="none" w:sz="0" w:space="0" w:color="auto"/>
        <w:left w:val="none" w:sz="0" w:space="0" w:color="auto"/>
        <w:bottom w:val="none" w:sz="0" w:space="0" w:color="auto"/>
        <w:right w:val="none" w:sz="0" w:space="0" w:color="auto"/>
      </w:divBdr>
    </w:div>
    <w:div w:id="493108252">
      <w:bodyDiv w:val="1"/>
      <w:marLeft w:val="0"/>
      <w:marRight w:val="0"/>
      <w:marTop w:val="0"/>
      <w:marBottom w:val="0"/>
      <w:divBdr>
        <w:top w:val="none" w:sz="0" w:space="0" w:color="auto"/>
        <w:left w:val="none" w:sz="0" w:space="0" w:color="auto"/>
        <w:bottom w:val="none" w:sz="0" w:space="0" w:color="auto"/>
        <w:right w:val="none" w:sz="0" w:space="0" w:color="auto"/>
      </w:divBdr>
    </w:div>
    <w:div w:id="493373600">
      <w:bodyDiv w:val="1"/>
      <w:marLeft w:val="0"/>
      <w:marRight w:val="0"/>
      <w:marTop w:val="0"/>
      <w:marBottom w:val="0"/>
      <w:divBdr>
        <w:top w:val="none" w:sz="0" w:space="0" w:color="auto"/>
        <w:left w:val="none" w:sz="0" w:space="0" w:color="auto"/>
        <w:bottom w:val="none" w:sz="0" w:space="0" w:color="auto"/>
        <w:right w:val="none" w:sz="0" w:space="0" w:color="auto"/>
      </w:divBdr>
    </w:div>
    <w:div w:id="493380171">
      <w:bodyDiv w:val="1"/>
      <w:marLeft w:val="0"/>
      <w:marRight w:val="0"/>
      <w:marTop w:val="0"/>
      <w:marBottom w:val="0"/>
      <w:divBdr>
        <w:top w:val="none" w:sz="0" w:space="0" w:color="auto"/>
        <w:left w:val="none" w:sz="0" w:space="0" w:color="auto"/>
        <w:bottom w:val="none" w:sz="0" w:space="0" w:color="auto"/>
        <w:right w:val="none" w:sz="0" w:space="0" w:color="auto"/>
      </w:divBdr>
    </w:div>
    <w:div w:id="494032769">
      <w:bodyDiv w:val="1"/>
      <w:marLeft w:val="0"/>
      <w:marRight w:val="0"/>
      <w:marTop w:val="0"/>
      <w:marBottom w:val="0"/>
      <w:divBdr>
        <w:top w:val="none" w:sz="0" w:space="0" w:color="auto"/>
        <w:left w:val="none" w:sz="0" w:space="0" w:color="auto"/>
        <w:bottom w:val="none" w:sz="0" w:space="0" w:color="auto"/>
        <w:right w:val="none" w:sz="0" w:space="0" w:color="auto"/>
      </w:divBdr>
    </w:div>
    <w:div w:id="494150002">
      <w:bodyDiv w:val="1"/>
      <w:marLeft w:val="0"/>
      <w:marRight w:val="0"/>
      <w:marTop w:val="0"/>
      <w:marBottom w:val="0"/>
      <w:divBdr>
        <w:top w:val="none" w:sz="0" w:space="0" w:color="auto"/>
        <w:left w:val="none" w:sz="0" w:space="0" w:color="auto"/>
        <w:bottom w:val="none" w:sz="0" w:space="0" w:color="auto"/>
        <w:right w:val="none" w:sz="0" w:space="0" w:color="auto"/>
      </w:divBdr>
      <w:divsChild>
        <w:div w:id="357049862">
          <w:marLeft w:val="1166"/>
          <w:marRight w:val="0"/>
          <w:marTop w:val="96"/>
          <w:marBottom w:val="0"/>
          <w:divBdr>
            <w:top w:val="none" w:sz="0" w:space="0" w:color="auto"/>
            <w:left w:val="none" w:sz="0" w:space="0" w:color="auto"/>
            <w:bottom w:val="none" w:sz="0" w:space="0" w:color="auto"/>
            <w:right w:val="none" w:sz="0" w:space="0" w:color="auto"/>
          </w:divBdr>
        </w:div>
        <w:div w:id="855770251">
          <w:marLeft w:val="547"/>
          <w:marRight w:val="0"/>
          <w:marTop w:val="115"/>
          <w:marBottom w:val="0"/>
          <w:divBdr>
            <w:top w:val="none" w:sz="0" w:space="0" w:color="auto"/>
            <w:left w:val="none" w:sz="0" w:space="0" w:color="auto"/>
            <w:bottom w:val="none" w:sz="0" w:space="0" w:color="auto"/>
            <w:right w:val="none" w:sz="0" w:space="0" w:color="auto"/>
          </w:divBdr>
        </w:div>
        <w:div w:id="1323584802">
          <w:marLeft w:val="547"/>
          <w:marRight w:val="0"/>
          <w:marTop w:val="106"/>
          <w:marBottom w:val="0"/>
          <w:divBdr>
            <w:top w:val="none" w:sz="0" w:space="0" w:color="auto"/>
            <w:left w:val="none" w:sz="0" w:space="0" w:color="auto"/>
            <w:bottom w:val="none" w:sz="0" w:space="0" w:color="auto"/>
            <w:right w:val="none" w:sz="0" w:space="0" w:color="auto"/>
          </w:divBdr>
        </w:div>
        <w:div w:id="1436174611">
          <w:marLeft w:val="1166"/>
          <w:marRight w:val="0"/>
          <w:marTop w:val="96"/>
          <w:marBottom w:val="0"/>
          <w:divBdr>
            <w:top w:val="none" w:sz="0" w:space="0" w:color="auto"/>
            <w:left w:val="none" w:sz="0" w:space="0" w:color="auto"/>
            <w:bottom w:val="none" w:sz="0" w:space="0" w:color="auto"/>
            <w:right w:val="none" w:sz="0" w:space="0" w:color="auto"/>
          </w:divBdr>
        </w:div>
      </w:divsChild>
    </w:div>
    <w:div w:id="494300348">
      <w:bodyDiv w:val="1"/>
      <w:marLeft w:val="0"/>
      <w:marRight w:val="0"/>
      <w:marTop w:val="0"/>
      <w:marBottom w:val="0"/>
      <w:divBdr>
        <w:top w:val="none" w:sz="0" w:space="0" w:color="auto"/>
        <w:left w:val="none" w:sz="0" w:space="0" w:color="auto"/>
        <w:bottom w:val="none" w:sz="0" w:space="0" w:color="auto"/>
        <w:right w:val="none" w:sz="0" w:space="0" w:color="auto"/>
      </w:divBdr>
    </w:div>
    <w:div w:id="495533135">
      <w:bodyDiv w:val="1"/>
      <w:marLeft w:val="0"/>
      <w:marRight w:val="0"/>
      <w:marTop w:val="0"/>
      <w:marBottom w:val="0"/>
      <w:divBdr>
        <w:top w:val="none" w:sz="0" w:space="0" w:color="auto"/>
        <w:left w:val="none" w:sz="0" w:space="0" w:color="auto"/>
        <w:bottom w:val="none" w:sz="0" w:space="0" w:color="auto"/>
        <w:right w:val="none" w:sz="0" w:space="0" w:color="auto"/>
      </w:divBdr>
    </w:div>
    <w:div w:id="495999620">
      <w:bodyDiv w:val="1"/>
      <w:marLeft w:val="0"/>
      <w:marRight w:val="0"/>
      <w:marTop w:val="0"/>
      <w:marBottom w:val="0"/>
      <w:divBdr>
        <w:top w:val="none" w:sz="0" w:space="0" w:color="auto"/>
        <w:left w:val="none" w:sz="0" w:space="0" w:color="auto"/>
        <w:bottom w:val="none" w:sz="0" w:space="0" w:color="auto"/>
        <w:right w:val="none" w:sz="0" w:space="0" w:color="auto"/>
      </w:divBdr>
      <w:divsChild>
        <w:div w:id="445514423">
          <w:marLeft w:val="1800"/>
          <w:marRight w:val="0"/>
          <w:marTop w:val="67"/>
          <w:marBottom w:val="0"/>
          <w:divBdr>
            <w:top w:val="none" w:sz="0" w:space="0" w:color="auto"/>
            <w:left w:val="none" w:sz="0" w:space="0" w:color="auto"/>
            <w:bottom w:val="none" w:sz="0" w:space="0" w:color="auto"/>
            <w:right w:val="none" w:sz="0" w:space="0" w:color="auto"/>
          </w:divBdr>
        </w:div>
        <w:div w:id="730268986">
          <w:marLeft w:val="547"/>
          <w:marRight w:val="0"/>
          <w:marTop w:val="96"/>
          <w:marBottom w:val="0"/>
          <w:divBdr>
            <w:top w:val="none" w:sz="0" w:space="0" w:color="auto"/>
            <w:left w:val="none" w:sz="0" w:space="0" w:color="auto"/>
            <w:bottom w:val="none" w:sz="0" w:space="0" w:color="auto"/>
            <w:right w:val="none" w:sz="0" w:space="0" w:color="auto"/>
          </w:divBdr>
        </w:div>
        <w:div w:id="1214539252">
          <w:marLeft w:val="1166"/>
          <w:marRight w:val="0"/>
          <w:marTop w:val="86"/>
          <w:marBottom w:val="0"/>
          <w:divBdr>
            <w:top w:val="none" w:sz="0" w:space="0" w:color="auto"/>
            <w:left w:val="none" w:sz="0" w:space="0" w:color="auto"/>
            <w:bottom w:val="none" w:sz="0" w:space="0" w:color="auto"/>
            <w:right w:val="none" w:sz="0" w:space="0" w:color="auto"/>
          </w:divBdr>
        </w:div>
        <w:div w:id="2132480977">
          <w:marLeft w:val="1166"/>
          <w:marRight w:val="0"/>
          <w:marTop w:val="86"/>
          <w:marBottom w:val="0"/>
          <w:divBdr>
            <w:top w:val="none" w:sz="0" w:space="0" w:color="auto"/>
            <w:left w:val="none" w:sz="0" w:space="0" w:color="auto"/>
            <w:bottom w:val="none" w:sz="0" w:space="0" w:color="auto"/>
            <w:right w:val="none" w:sz="0" w:space="0" w:color="auto"/>
          </w:divBdr>
        </w:div>
      </w:divsChild>
    </w:div>
    <w:div w:id="496460338">
      <w:bodyDiv w:val="1"/>
      <w:marLeft w:val="0"/>
      <w:marRight w:val="0"/>
      <w:marTop w:val="0"/>
      <w:marBottom w:val="0"/>
      <w:divBdr>
        <w:top w:val="none" w:sz="0" w:space="0" w:color="auto"/>
        <w:left w:val="none" w:sz="0" w:space="0" w:color="auto"/>
        <w:bottom w:val="none" w:sz="0" w:space="0" w:color="auto"/>
        <w:right w:val="none" w:sz="0" w:space="0" w:color="auto"/>
      </w:divBdr>
    </w:div>
    <w:div w:id="497185770">
      <w:bodyDiv w:val="1"/>
      <w:marLeft w:val="0"/>
      <w:marRight w:val="0"/>
      <w:marTop w:val="0"/>
      <w:marBottom w:val="0"/>
      <w:divBdr>
        <w:top w:val="none" w:sz="0" w:space="0" w:color="auto"/>
        <w:left w:val="none" w:sz="0" w:space="0" w:color="auto"/>
        <w:bottom w:val="none" w:sz="0" w:space="0" w:color="auto"/>
        <w:right w:val="none" w:sz="0" w:space="0" w:color="auto"/>
      </w:divBdr>
    </w:div>
    <w:div w:id="497231087">
      <w:bodyDiv w:val="1"/>
      <w:marLeft w:val="0"/>
      <w:marRight w:val="0"/>
      <w:marTop w:val="0"/>
      <w:marBottom w:val="0"/>
      <w:divBdr>
        <w:top w:val="none" w:sz="0" w:space="0" w:color="auto"/>
        <w:left w:val="none" w:sz="0" w:space="0" w:color="auto"/>
        <w:bottom w:val="none" w:sz="0" w:space="0" w:color="auto"/>
        <w:right w:val="none" w:sz="0" w:space="0" w:color="auto"/>
      </w:divBdr>
    </w:div>
    <w:div w:id="497311297">
      <w:bodyDiv w:val="1"/>
      <w:marLeft w:val="0"/>
      <w:marRight w:val="0"/>
      <w:marTop w:val="0"/>
      <w:marBottom w:val="0"/>
      <w:divBdr>
        <w:top w:val="none" w:sz="0" w:space="0" w:color="auto"/>
        <w:left w:val="none" w:sz="0" w:space="0" w:color="auto"/>
        <w:bottom w:val="none" w:sz="0" w:space="0" w:color="auto"/>
        <w:right w:val="none" w:sz="0" w:space="0" w:color="auto"/>
      </w:divBdr>
    </w:div>
    <w:div w:id="498887512">
      <w:bodyDiv w:val="1"/>
      <w:marLeft w:val="0"/>
      <w:marRight w:val="0"/>
      <w:marTop w:val="0"/>
      <w:marBottom w:val="0"/>
      <w:divBdr>
        <w:top w:val="none" w:sz="0" w:space="0" w:color="auto"/>
        <w:left w:val="none" w:sz="0" w:space="0" w:color="auto"/>
        <w:bottom w:val="none" w:sz="0" w:space="0" w:color="auto"/>
        <w:right w:val="none" w:sz="0" w:space="0" w:color="auto"/>
      </w:divBdr>
      <w:divsChild>
        <w:div w:id="989212112">
          <w:marLeft w:val="1800"/>
          <w:marRight w:val="0"/>
          <w:marTop w:val="115"/>
          <w:marBottom w:val="0"/>
          <w:divBdr>
            <w:top w:val="none" w:sz="0" w:space="0" w:color="auto"/>
            <w:left w:val="none" w:sz="0" w:space="0" w:color="auto"/>
            <w:bottom w:val="none" w:sz="0" w:space="0" w:color="auto"/>
            <w:right w:val="none" w:sz="0" w:space="0" w:color="auto"/>
          </w:divBdr>
        </w:div>
        <w:div w:id="1463188668">
          <w:marLeft w:val="1800"/>
          <w:marRight w:val="0"/>
          <w:marTop w:val="115"/>
          <w:marBottom w:val="0"/>
          <w:divBdr>
            <w:top w:val="none" w:sz="0" w:space="0" w:color="auto"/>
            <w:left w:val="none" w:sz="0" w:space="0" w:color="auto"/>
            <w:bottom w:val="none" w:sz="0" w:space="0" w:color="auto"/>
            <w:right w:val="none" w:sz="0" w:space="0" w:color="auto"/>
          </w:divBdr>
        </w:div>
        <w:div w:id="1649438031">
          <w:marLeft w:val="1166"/>
          <w:marRight w:val="0"/>
          <w:marTop w:val="134"/>
          <w:marBottom w:val="0"/>
          <w:divBdr>
            <w:top w:val="none" w:sz="0" w:space="0" w:color="auto"/>
            <w:left w:val="none" w:sz="0" w:space="0" w:color="auto"/>
            <w:bottom w:val="none" w:sz="0" w:space="0" w:color="auto"/>
            <w:right w:val="none" w:sz="0" w:space="0" w:color="auto"/>
          </w:divBdr>
        </w:div>
        <w:div w:id="1934045668">
          <w:marLeft w:val="547"/>
          <w:marRight w:val="0"/>
          <w:marTop w:val="154"/>
          <w:marBottom w:val="0"/>
          <w:divBdr>
            <w:top w:val="none" w:sz="0" w:space="0" w:color="auto"/>
            <w:left w:val="none" w:sz="0" w:space="0" w:color="auto"/>
            <w:bottom w:val="none" w:sz="0" w:space="0" w:color="auto"/>
            <w:right w:val="none" w:sz="0" w:space="0" w:color="auto"/>
          </w:divBdr>
        </w:div>
      </w:divsChild>
    </w:div>
    <w:div w:id="500394628">
      <w:bodyDiv w:val="1"/>
      <w:marLeft w:val="0"/>
      <w:marRight w:val="0"/>
      <w:marTop w:val="0"/>
      <w:marBottom w:val="0"/>
      <w:divBdr>
        <w:top w:val="none" w:sz="0" w:space="0" w:color="auto"/>
        <w:left w:val="none" w:sz="0" w:space="0" w:color="auto"/>
        <w:bottom w:val="none" w:sz="0" w:space="0" w:color="auto"/>
        <w:right w:val="none" w:sz="0" w:space="0" w:color="auto"/>
      </w:divBdr>
      <w:divsChild>
        <w:div w:id="8222623">
          <w:marLeft w:val="1800"/>
          <w:marRight w:val="0"/>
          <w:marTop w:val="91"/>
          <w:marBottom w:val="0"/>
          <w:divBdr>
            <w:top w:val="none" w:sz="0" w:space="0" w:color="auto"/>
            <w:left w:val="none" w:sz="0" w:space="0" w:color="auto"/>
            <w:bottom w:val="none" w:sz="0" w:space="0" w:color="auto"/>
            <w:right w:val="none" w:sz="0" w:space="0" w:color="auto"/>
          </w:divBdr>
        </w:div>
        <w:div w:id="762609087">
          <w:marLeft w:val="1800"/>
          <w:marRight w:val="0"/>
          <w:marTop w:val="91"/>
          <w:marBottom w:val="0"/>
          <w:divBdr>
            <w:top w:val="none" w:sz="0" w:space="0" w:color="auto"/>
            <w:left w:val="none" w:sz="0" w:space="0" w:color="auto"/>
            <w:bottom w:val="none" w:sz="0" w:space="0" w:color="auto"/>
            <w:right w:val="none" w:sz="0" w:space="0" w:color="auto"/>
          </w:divBdr>
        </w:div>
        <w:div w:id="1139542427">
          <w:marLeft w:val="1166"/>
          <w:marRight w:val="0"/>
          <w:marTop w:val="106"/>
          <w:marBottom w:val="0"/>
          <w:divBdr>
            <w:top w:val="none" w:sz="0" w:space="0" w:color="auto"/>
            <w:left w:val="none" w:sz="0" w:space="0" w:color="auto"/>
            <w:bottom w:val="none" w:sz="0" w:space="0" w:color="auto"/>
            <w:right w:val="none" w:sz="0" w:space="0" w:color="auto"/>
          </w:divBdr>
        </w:div>
        <w:div w:id="1459488744">
          <w:marLeft w:val="1166"/>
          <w:marRight w:val="0"/>
          <w:marTop w:val="106"/>
          <w:marBottom w:val="0"/>
          <w:divBdr>
            <w:top w:val="none" w:sz="0" w:space="0" w:color="auto"/>
            <w:left w:val="none" w:sz="0" w:space="0" w:color="auto"/>
            <w:bottom w:val="none" w:sz="0" w:space="0" w:color="auto"/>
            <w:right w:val="none" w:sz="0" w:space="0" w:color="auto"/>
          </w:divBdr>
        </w:div>
        <w:div w:id="1714304775">
          <w:marLeft w:val="1166"/>
          <w:marRight w:val="0"/>
          <w:marTop w:val="106"/>
          <w:marBottom w:val="0"/>
          <w:divBdr>
            <w:top w:val="none" w:sz="0" w:space="0" w:color="auto"/>
            <w:left w:val="none" w:sz="0" w:space="0" w:color="auto"/>
            <w:bottom w:val="none" w:sz="0" w:space="0" w:color="auto"/>
            <w:right w:val="none" w:sz="0" w:space="0" w:color="auto"/>
          </w:divBdr>
        </w:div>
        <w:div w:id="1900549937">
          <w:marLeft w:val="547"/>
          <w:marRight w:val="0"/>
          <w:marTop w:val="120"/>
          <w:marBottom w:val="0"/>
          <w:divBdr>
            <w:top w:val="none" w:sz="0" w:space="0" w:color="auto"/>
            <w:left w:val="none" w:sz="0" w:space="0" w:color="auto"/>
            <w:bottom w:val="none" w:sz="0" w:space="0" w:color="auto"/>
            <w:right w:val="none" w:sz="0" w:space="0" w:color="auto"/>
          </w:divBdr>
        </w:div>
        <w:div w:id="1983146577">
          <w:marLeft w:val="1166"/>
          <w:marRight w:val="0"/>
          <w:marTop w:val="106"/>
          <w:marBottom w:val="0"/>
          <w:divBdr>
            <w:top w:val="none" w:sz="0" w:space="0" w:color="auto"/>
            <w:left w:val="none" w:sz="0" w:space="0" w:color="auto"/>
            <w:bottom w:val="none" w:sz="0" w:space="0" w:color="auto"/>
            <w:right w:val="none" w:sz="0" w:space="0" w:color="auto"/>
          </w:divBdr>
        </w:div>
      </w:divsChild>
    </w:div>
    <w:div w:id="500434217">
      <w:bodyDiv w:val="1"/>
      <w:marLeft w:val="0"/>
      <w:marRight w:val="0"/>
      <w:marTop w:val="0"/>
      <w:marBottom w:val="0"/>
      <w:divBdr>
        <w:top w:val="none" w:sz="0" w:space="0" w:color="auto"/>
        <w:left w:val="none" w:sz="0" w:space="0" w:color="auto"/>
        <w:bottom w:val="none" w:sz="0" w:space="0" w:color="auto"/>
        <w:right w:val="none" w:sz="0" w:space="0" w:color="auto"/>
      </w:divBdr>
    </w:div>
    <w:div w:id="500774537">
      <w:bodyDiv w:val="1"/>
      <w:marLeft w:val="0"/>
      <w:marRight w:val="0"/>
      <w:marTop w:val="0"/>
      <w:marBottom w:val="0"/>
      <w:divBdr>
        <w:top w:val="none" w:sz="0" w:space="0" w:color="auto"/>
        <w:left w:val="none" w:sz="0" w:space="0" w:color="auto"/>
        <w:bottom w:val="none" w:sz="0" w:space="0" w:color="auto"/>
        <w:right w:val="none" w:sz="0" w:space="0" w:color="auto"/>
      </w:divBdr>
    </w:div>
    <w:div w:id="501899051">
      <w:bodyDiv w:val="1"/>
      <w:marLeft w:val="0"/>
      <w:marRight w:val="0"/>
      <w:marTop w:val="0"/>
      <w:marBottom w:val="0"/>
      <w:divBdr>
        <w:top w:val="none" w:sz="0" w:space="0" w:color="auto"/>
        <w:left w:val="none" w:sz="0" w:space="0" w:color="auto"/>
        <w:bottom w:val="none" w:sz="0" w:space="0" w:color="auto"/>
        <w:right w:val="none" w:sz="0" w:space="0" w:color="auto"/>
      </w:divBdr>
    </w:div>
    <w:div w:id="501966849">
      <w:bodyDiv w:val="1"/>
      <w:marLeft w:val="0"/>
      <w:marRight w:val="0"/>
      <w:marTop w:val="0"/>
      <w:marBottom w:val="0"/>
      <w:divBdr>
        <w:top w:val="none" w:sz="0" w:space="0" w:color="auto"/>
        <w:left w:val="none" w:sz="0" w:space="0" w:color="auto"/>
        <w:bottom w:val="none" w:sz="0" w:space="0" w:color="auto"/>
        <w:right w:val="none" w:sz="0" w:space="0" w:color="auto"/>
      </w:divBdr>
    </w:div>
    <w:div w:id="502010825">
      <w:bodyDiv w:val="1"/>
      <w:marLeft w:val="0"/>
      <w:marRight w:val="0"/>
      <w:marTop w:val="0"/>
      <w:marBottom w:val="0"/>
      <w:divBdr>
        <w:top w:val="none" w:sz="0" w:space="0" w:color="auto"/>
        <w:left w:val="none" w:sz="0" w:space="0" w:color="auto"/>
        <w:bottom w:val="none" w:sz="0" w:space="0" w:color="auto"/>
        <w:right w:val="none" w:sz="0" w:space="0" w:color="auto"/>
      </w:divBdr>
    </w:div>
    <w:div w:id="502890191">
      <w:bodyDiv w:val="1"/>
      <w:marLeft w:val="0"/>
      <w:marRight w:val="0"/>
      <w:marTop w:val="0"/>
      <w:marBottom w:val="0"/>
      <w:divBdr>
        <w:top w:val="none" w:sz="0" w:space="0" w:color="auto"/>
        <w:left w:val="none" w:sz="0" w:space="0" w:color="auto"/>
        <w:bottom w:val="none" w:sz="0" w:space="0" w:color="auto"/>
        <w:right w:val="none" w:sz="0" w:space="0" w:color="auto"/>
      </w:divBdr>
    </w:div>
    <w:div w:id="504200601">
      <w:bodyDiv w:val="1"/>
      <w:marLeft w:val="0"/>
      <w:marRight w:val="0"/>
      <w:marTop w:val="0"/>
      <w:marBottom w:val="0"/>
      <w:divBdr>
        <w:top w:val="none" w:sz="0" w:space="0" w:color="auto"/>
        <w:left w:val="none" w:sz="0" w:space="0" w:color="auto"/>
        <w:bottom w:val="none" w:sz="0" w:space="0" w:color="auto"/>
        <w:right w:val="none" w:sz="0" w:space="0" w:color="auto"/>
      </w:divBdr>
    </w:div>
    <w:div w:id="504443386">
      <w:bodyDiv w:val="1"/>
      <w:marLeft w:val="0"/>
      <w:marRight w:val="0"/>
      <w:marTop w:val="0"/>
      <w:marBottom w:val="0"/>
      <w:divBdr>
        <w:top w:val="none" w:sz="0" w:space="0" w:color="auto"/>
        <w:left w:val="none" w:sz="0" w:space="0" w:color="auto"/>
        <w:bottom w:val="none" w:sz="0" w:space="0" w:color="auto"/>
        <w:right w:val="none" w:sz="0" w:space="0" w:color="auto"/>
      </w:divBdr>
    </w:div>
    <w:div w:id="504513469">
      <w:bodyDiv w:val="1"/>
      <w:marLeft w:val="0"/>
      <w:marRight w:val="0"/>
      <w:marTop w:val="0"/>
      <w:marBottom w:val="0"/>
      <w:divBdr>
        <w:top w:val="none" w:sz="0" w:space="0" w:color="auto"/>
        <w:left w:val="none" w:sz="0" w:space="0" w:color="auto"/>
        <w:bottom w:val="none" w:sz="0" w:space="0" w:color="auto"/>
        <w:right w:val="none" w:sz="0" w:space="0" w:color="auto"/>
      </w:divBdr>
    </w:div>
    <w:div w:id="505486368">
      <w:bodyDiv w:val="1"/>
      <w:marLeft w:val="0"/>
      <w:marRight w:val="0"/>
      <w:marTop w:val="0"/>
      <w:marBottom w:val="0"/>
      <w:divBdr>
        <w:top w:val="none" w:sz="0" w:space="0" w:color="auto"/>
        <w:left w:val="none" w:sz="0" w:space="0" w:color="auto"/>
        <w:bottom w:val="none" w:sz="0" w:space="0" w:color="auto"/>
        <w:right w:val="none" w:sz="0" w:space="0" w:color="auto"/>
      </w:divBdr>
    </w:div>
    <w:div w:id="506483442">
      <w:bodyDiv w:val="1"/>
      <w:marLeft w:val="0"/>
      <w:marRight w:val="0"/>
      <w:marTop w:val="0"/>
      <w:marBottom w:val="0"/>
      <w:divBdr>
        <w:top w:val="none" w:sz="0" w:space="0" w:color="auto"/>
        <w:left w:val="none" w:sz="0" w:space="0" w:color="auto"/>
        <w:bottom w:val="none" w:sz="0" w:space="0" w:color="auto"/>
        <w:right w:val="none" w:sz="0" w:space="0" w:color="auto"/>
      </w:divBdr>
    </w:div>
    <w:div w:id="506486268">
      <w:bodyDiv w:val="1"/>
      <w:marLeft w:val="0"/>
      <w:marRight w:val="0"/>
      <w:marTop w:val="0"/>
      <w:marBottom w:val="0"/>
      <w:divBdr>
        <w:top w:val="none" w:sz="0" w:space="0" w:color="auto"/>
        <w:left w:val="none" w:sz="0" w:space="0" w:color="auto"/>
        <w:bottom w:val="none" w:sz="0" w:space="0" w:color="auto"/>
        <w:right w:val="none" w:sz="0" w:space="0" w:color="auto"/>
      </w:divBdr>
      <w:divsChild>
        <w:div w:id="117796478">
          <w:marLeft w:val="1166"/>
          <w:marRight w:val="0"/>
          <w:marTop w:val="134"/>
          <w:marBottom w:val="0"/>
          <w:divBdr>
            <w:top w:val="none" w:sz="0" w:space="0" w:color="auto"/>
            <w:left w:val="none" w:sz="0" w:space="0" w:color="auto"/>
            <w:bottom w:val="none" w:sz="0" w:space="0" w:color="auto"/>
            <w:right w:val="none" w:sz="0" w:space="0" w:color="auto"/>
          </w:divBdr>
        </w:div>
        <w:div w:id="195852025">
          <w:marLeft w:val="1800"/>
          <w:marRight w:val="0"/>
          <w:marTop w:val="115"/>
          <w:marBottom w:val="0"/>
          <w:divBdr>
            <w:top w:val="none" w:sz="0" w:space="0" w:color="auto"/>
            <w:left w:val="none" w:sz="0" w:space="0" w:color="auto"/>
            <w:bottom w:val="none" w:sz="0" w:space="0" w:color="auto"/>
            <w:right w:val="none" w:sz="0" w:space="0" w:color="auto"/>
          </w:divBdr>
        </w:div>
        <w:div w:id="308362470">
          <w:marLeft w:val="1166"/>
          <w:marRight w:val="0"/>
          <w:marTop w:val="134"/>
          <w:marBottom w:val="0"/>
          <w:divBdr>
            <w:top w:val="none" w:sz="0" w:space="0" w:color="auto"/>
            <w:left w:val="none" w:sz="0" w:space="0" w:color="auto"/>
            <w:bottom w:val="none" w:sz="0" w:space="0" w:color="auto"/>
            <w:right w:val="none" w:sz="0" w:space="0" w:color="auto"/>
          </w:divBdr>
        </w:div>
        <w:div w:id="592203543">
          <w:marLeft w:val="1800"/>
          <w:marRight w:val="0"/>
          <w:marTop w:val="115"/>
          <w:marBottom w:val="0"/>
          <w:divBdr>
            <w:top w:val="none" w:sz="0" w:space="0" w:color="auto"/>
            <w:left w:val="none" w:sz="0" w:space="0" w:color="auto"/>
            <w:bottom w:val="none" w:sz="0" w:space="0" w:color="auto"/>
            <w:right w:val="none" w:sz="0" w:space="0" w:color="auto"/>
          </w:divBdr>
        </w:div>
        <w:div w:id="1068377838">
          <w:marLeft w:val="1166"/>
          <w:marRight w:val="0"/>
          <w:marTop w:val="134"/>
          <w:marBottom w:val="0"/>
          <w:divBdr>
            <w:top w:val="none" w:sz="0" w:space="0" w:color="auto"/>
            <w:left w:val="none" w:sz="0" w:space="0" w:color="auto"/>
            <w:bottom w:val="none" w:sz="0" w:space="0" w:color="auto"/>
            <w:right w:val="none" w:sz="0" w:space="0" w:color="auto"/>
          </w:divBdr>
        </w:div>
        <w:div w:id="1096361342">
          <w:marLeft w:val="547"/>
          <w:marRight w:val="0"/>
          <w:marTop w:val="154"/>
          <w:marBottom w:val="0"/>
          <w:divBdr>
            <w:top w:val="none" w:sz="0" w:space="0" w:color="auto"/>
            <w:left w:val="none" w:sz="0" w:space="0" w:color="auto"/>
            <w:bottom w:val="none" w:sz="0" w:space="0" w:color="auto"/>
            <w:right w:val="none" w:sz="0" w:space="0" w:color="auto"/>
          </w:divBdr>
        </w:div>
        <w:div w:id="1371302854">
          <w:marLeft w:val="1166"/>
          <w:marRight w:val="0"/>
          <w:marTop w:val="134"/>
          <w:marBottom w:val="0"/>
          <w:divBdr>
            <w:top w:val="none" w:sz="0" w:space="0" w:color="auto"/>
            <w:left w:val="none" w:sz="0" w:space="0" w:color="auto"/>
            <w:bottom w:val="none" w:sz="0" w:space="0" w:color="auto"/>
            <w:right w:val="none" w:sz="0" w:space="0" w:color="auto"/>
          </w:divBdr>
        </w:div>
        <w:div w:id="1739597390">
          <w:marLeft w:val="1800"/>
          <w:marRight w:val="0"/>
          <w:marTop w:val="115"/>
          <w:marBottom w:val="0"/>
          <w:divBdr>
            <w:top w:val="none" w:sz="0" w:space="0" w:color="auto"/>
            <w:left w:val="none" w:sz="0" w:space="0" w:color="auto"/>
            <w:bottom w:val="none" w:sz="0" w:space="0" w:color="auto"/>
            <w:right w:val="none" w:sz="0" w:space="0" w:color="auto"/>
          </w:divBdr>
        </w:div>
      </w:divsChild>
    </w:div>
    <w:div w:id="507135150">
      <w:bodyDiv w:val="1"/>
      <w:marLeft w:val="0"/>
      <w:marRight w:val="0"/>
      <w:marTop w:val="0"/>
      <w:marBottom w:val="0"/>
      <w:divBdr>
        <w:top w:val="none" w:sz="0" w:space="0" w:color="auto"/>
        <w:left w:val="none" w:sz="0" w:space="0" w:color="auto"/>
        <w:bottom w:val="none" w:sz="0" w:space="0" w:color="auto"/>
        <w:right w:val="none" w:sz="0" w:space="0" w:color="auto"/>
      </w:divBdr>
      <w:divsChild>
        <w:div w:id="378166039">
          <w:marLeft w:val="547"/>
          <w:marRight w:val="0"/>
          <w:marTop w:val="154"/>
          <w:marBottom w:val="0"/>
          <w:divBdr>
            <w:top w:val="none" w:sz="0" w:space="0" w:color="auto"/>
            <w:left w:val="none" w:sz="0" w:space="0" w:color="auto"/>
            <w:bottom w:val="none" w:sz="0" w:space="0" w:color="auto"/>
            <w:right w:val="none" w:sz="0" w:space="0" w:color="auto"/>
          </w:divBdr>
        </w:div>
        <w:div w:id="661157321">
          <w:marLeft w:val="1166"/>
          <w:marRight w:val="0"/>
          <w:marTop w:val="134"/>
          <w:marBottom w:val="0"/>
          <w:divBdr>
            <w:top w:val="none" w:sz="0" w:space="0" w:color="auto"/>
            <w:left w:val="none" w:sz="0" w:space="0" w:color="auto"/>
            <w:bottom w:val="none" w:sz="0" w:space="0" w:color="auto"/>
            <w:right w:val="none" w:sz="0" w:space="0" w:color="auto"/>
          </w:divBdr>
        </w:div>
        <w:div w:id="969091225">
          <w:marLeft w:val="1166"/>
          <w:marRight w:val="0"/>
          <w:marTop w:val="134"/>
          <w:marBottom w:val="0"/>
          <w:divBdr>
            <w:top w:val="none" w:sz="0" w:space="0" w:color="auto"/>
            <w:left w:val="none" w:sz="0" w:space="0" w:color="auto"/>
            <w:bottom w:val="none" w:sz="0" w:space="0" w:color="auto"/>
            <w:right w:val="none" w:sz="0" w:space="0" w:color="auto"/>
          </w:divBdr>
        </w:div>
        <w:div w:id="1681538856">
          <w:marLeft w:val="547"/>
          <w:marRight w:val="0"/>
          <w:marTop w:val="154"/>
          <w:marBottom w:val="0"/>
          <w:divBdr>
            <w:top w:val="none" w:sz="0" w:space="0" w:color="auto"/>
            <w:left w:val="none" w:sz="0" w:space="0" w:color="auto"/>
            <w:bottom w:val="none" w:sz="0" w:space="0" w:color="auto"/>
            <w:right w:val="none" w:sz="0" w:space="0" w:color="auto"/>
          </w:divBdr>
        </w:div>
      </w:divsChild>
    </w:div>
    <w:div w:id="507214861">
      <w:bodyDiv w:val="1"/>
      <w:marLeft w:val="0"/>
      <w:marRight w:val="0"/>
      <w:marTop w:val="0"/>
      <w:marBottom w:val="0"/>
      <w:divBdr>
        <w:top w:val="none" w:sz="0" w:space="0" w:color="auto"/>
        <w:left w:val="none" w:sz="0" w:space="0" w:color="auto"/>
        <w:bottom w:val="none" w:sz="0" w:space="0" w:color="auto"/>
        <w:right w:val="none" w:sz="0" w:space="0" w:color="auto"/>
      </w:divBdr>
    </w:div>
    <w:div w:id="507601357">
      <w:bodyDiv w:val="1"/>
      <w:marLeft w:val="0"/>
      <w:marRight w:val="0"/>
      <w:marTop w:val="0"/>
      <w:marBottom w:val="0"/>
      <w:divBdr>
        <w:top w:val="none" w:sz="0" w:space="0" w:color="auto"/>
        <w:left w:val="none" w:sz="0" w:space="0" w:color="auto"/>
        <w:bottom w:val="none" w:sz="0" w:space="0" w:color="auto"/>
        <w:right w:val="none" w:sz="0" w:space="0" w:color="auto"/>
      </w:divBdr>
    </w:div>
    <w:div w:id="507985116">
      <w:bodyDiv w:val="1"/>
      <w:marLeft w:val="0"/>
      <w:marRight w:val="0"/>
      <w:marTop w:val="0"/>
      <w:marBottom w:val="0"/>
      <w:divBdr>
        <w:top w:val="none" w:sz="0" w:space="0" w:color="auto"/>
        <w:left w:val="none" w:sz="0" w:space="0" w:color="auto"/>
        <w:bottom w:val="none" w:sz="0" w:space="0" w:color="auto"/>
        <w:right w:val="none" w:sz="0" w:space="0" w:color="auto"/>
      </w:divBdr>
    </w:div>
    <w:div w:id="508254208">
      <w:bodyDiv w:val="1"/>
      <w:marLeft w:val="0"/>
      <w:marRight w:val="0"/>
      <w:marTop w:val="0"/>
      <w:marBottom w:val="0"/>
      <w:divBdr>
        <w:top w:val="none" w:sz="0" w:space="0" w:color="auto"/>
        <w:left w:val="none" w:sz="0" w:space="0" w:color="auto"/>
        <w:bottom w:val="none" w:sz="0" w:space="0" w:color="auto"/>
        <w:right w:val="none" w:sz="0" w:space="0" w:color="auto"/>
      </w:divBdr>
    </w:div>
    <w:div w:id="508374422">
      <w:bodyDiv w:val="1"/>
      <w:marLeft w:val="0"/>
      <w:marRight w:val="0"/>
      <w:marTop w:val="0"/>
      <w:marBottom w:val="0"/>
      <w:divBdr>
        <w:top w:val="none" w:sz="0" w:space="0" w:color="auto"/>
        <w:left w:val="none" w:sz="0" w:space="0" w:color="auto"/>
        <w:bottom w:val="none" w:sz="0" w:space="0" w:color="auto"/>
        <w:right w:val="none" w:sz="0" w:space="0" w:color="auto"/>
      </w:divBdr>
    </w:div>
    <w:div w:id="508446506">
      <w:bodyDiv w:val="1"/>
      <w:marLeft w:val="0"/>
      <w:marRight w:val="0"/>
      <w:marTop w:val="0"/>
      <w:marBottom w:val="0"/>
      <w:divBdr>
        <w:top w:val="none" w:sz="0" w:space="0" w:color="auto"/>
        <w:left w:val="none" w:sz="0" w:space="0" w:color="auto"/>
        <w:bottom w:val="none" w:sz="0" w:space="0" w:color="auto"/>
        <w:right w:val="none" w:sz="0" w:space="0" w:color="auto"/>
      </w:divBdr>
    </w:div>
    <w:div w:id="509176766">
      <w:bodyDiv w:val="1"/>
      <w:marLeft w:val="0"/>
      <w:marRight w:val="0"/>
      <w:marTop w:val="0"/>
      <w:marBottom w:val="0"/>
      <w:divBdr>
        <w:top w:val="none" w:sz="0" w:space="0" w:color="auto"/>
        <w:left w:val="none" w:sz="0" w:space="0" w:color="auto"/>
        <w:bottom w:val="none" w:sz="0" w:space="0" w:color="auto"/>
        <w:right w:val="none" w:sz="0" w:space="0" w:color="auto"/>
      </w:divBdr>
    </w:div>
    <w:div w:id="509220836">
      <w:bodyDiv w:val="1"/>
      <w:marLeft w:val="0"/>
      <w:marRight w:val="0"/>
      <w:marTop w:val="0"/>
      <w:marBottom w:val="0"/>
      <w:divBdr>
        <w:top w:val="none" w:sz="0" w:space="0" w:color="auto"/>
        <w:left w:val="none" w:sz="0" w:space="0" w:color="auto"/>
        <w:bottom w:val="none" w:sz="0" w:space="0" w:color="auto"/>
        <w:right w:val="none" w:sz="0" w:space="0" w:color="auto"/>
      </w:divBdr>
    </w:div>
    <w:div w:id="509443466">
      <w:bodyDiv w:val="1"/>
      <w:marLeft w:val="0"/>
      <w:marRight w:val="0"/>
      <w:marTop w:val="0"/>
      <w:marBottom w:val="0"/>
      <w:divBdr>
        <w:top w:val="none" w:sz="0" w:space="0" w:color="auto"/>
        <w:left w:val="none" w:sz="0" w:space="0" w:color="auto"/>
        <w:bottom w:val="none" w:sz="0" w:space="0" w:color="auto"/>
        <w:right w:val="none" w:sz="0" w:space="0" w:color="auto"/>
      </w:divBdr>
      <w:divsChild>
        <w:div w:id="106436393">
          <w:marLeft w:val="1166"/>
          <w:marRight w:val="0"/>
          <w:marTop w:val="91"/>
          <w:marBottom w:val="0"/>
          <w:divBdr>
            <w:top w:val="none" w:sz="0" w:space="0" w:color="auto"/>
            <w:left w:val="none" w:sz="0" w:space="0" w:color="auto"/>
            <w:bottom w:val="none" w:sz="0" w:space="0" w:color="auto"/>
            <w:right w:val="none" w:sz="0" w:space="0" w:color="auto"/>
          </w:divBdr>
        </w:div>
        <w:div w:id="380250803">
          <w:marLeft w:val="1800"/>
          <w:marRight w:val="0"/>
          <w:marTop w:val="72"/>
          <w:marBottom w:val="0"/>
          <w:divBdr>
            <w:top w:val="none" w:sz="0" w:space="0" w:color="auto"/>
            <w:left w:val="none" w:sz="0" w:space="0" w:color="auto"/>
            <w:bottom w:val="none" w:sz="0" w:space="0" w:color="auto"/>
            <w:right w:val="none" w:sz="0" w:space="0" w:color="auto"/>
          </w:divBdr>
        </w:div>
        <w:div w:id="898054808">
          <w:marLeft w:val="1800"/>
          <w:marRight w:val="0"/>
          <w:marTop w:val="72"/>
          <w:marBottom w:val="0"/>
          <w:divBdr>
            <w:top w:val="none" w:sz="0" w:space="0" w:color="auto"/>
            <w:left w:val="none" w:sz="0" w:space="0" w:color="auto"/>
            <w:bottom w:val="none" w:sz="0" w:space="0" w:color="auto"/>
            <w:right w:val="none" w:sz="0" w:space="0" w:color="auto"/>
          </w:divBdr>
        </w:div>
        <w:div w:id="994382870">
          <w:marLeft w:val="1166"/>
          <w:marRight w:val="0"/>
          <w:marTop w:val="91"/>
          <w:marBottom w:val="0"/>
          <w:divBdr>
            <w:top w:val="none" w:sz="0" w:space="0" w:color="auto"/>
            <w:left w:val="none" w:sz="0" w:space="0" w:color="auto"/>
            <w:bottom w:val="none" w:sz="0" w:space="0" w:color="auto"/>
            <w:right w:val="none" w:sz="0" w:space="0" w:color="auto"/>
          </w:divBdr>
        </w:div>
        <w:div w:id="1025139015">
          <w:marLeft w:val="1166"/>
          <w:marRight w:val="0"/>
          <w:marTop w:val="91"/>
          <w:marBottom w:val="0"/>
          <w:divBdr>
            <w:top w:val="none" w:sz="0" w:space="0" w:color="auto"/>
            <w:left w:val="none" w:sz="0" w:space="0" w:color="auto"/>
            <w:bottom w:val="none" w:sz="0" w:space="0" w:color="auto"/>
            <w:right w:val="none" w:sz="0" w:space="0" w:color="auto"/>
          </w:divBdr>
        </w:div>
        <w:div w:id="1067535254">
          <w:marLeft w:val="547"/>
          <w:marRight w:val="0"/>
          <w:marTop w:val="106"/>
          <w:marBottom w:val="0"/>
          <w:divBdr>
            <w:top w:val="none" w:sz="0" w:space="0" w:color="auto"/>
            <w:left w:val="none" w:sz="0" w:space="0" w:color="auto"/>
            <w:bottom w:val="none" w:sz="0" w:space="0" w:color="auto"/>
            <w:right w:val="none" w:sz="0" w:space="0" w:color="auto"/>
          </w:divBdr>
        </w:div>
        <w:div w:id="1342246009">
          <w:marLeft w:val="1800"/>
          <w:marRight w:val="0"/>
          <w:marTop w:val="72"/>
          <w:marBottom w:val="0"/>
          <w:divBdr>
            <w:top w:val="none" w:sz="0" w:space="0" w:color="auto"/>
            <w:left w:val="none" w:sz="0" w:space="0" w:color="auto"/>
            <w:bottom w:val="none" w:sz="0" w:space="0" w:color="auto"/>
            <w:right w:val="none" w:sz="0" w:space="0" w:color="auto"/>
          </w:divBdr>
        </w:div>
        <w:div w:id="1367681243">
          <w:marLeft w:val="1800"/>
          <w:marRight w:val="0"/>
          <w:marTop w:val="72"/>
          <w:marBottom w:val="0"/>
          <w:divBdr>
            <w:top w:val="none" w:sz="0" w:space="0" w:color="auto"/>
            <w:left w:val="none" w:sz="0" w:space="0" w:color="auto"/>
            <w:bottom w:val="none" w:sz="0" w:space="0" w:color="auto"/>
            <w:right w:val="none" w:sz="0" w:space="0" w:color="auto"/>
          </w:divBdr>
        </w:div>
        <w:div w:id="1480414191">
          <w:marLeft w:val="547"/>
          <w:marRight w:val="0"/>
          <w:marTop w:val="125"/>
          <w:marBottom w:val="0"/>
          <w:divBdr>
            <w:top w:val="none" w:sz="0" w:space="0" w:color="auto"/>
            <w:left w:val="none" w:sz="0" w:space="0" w:color="auto"/>
            <w:bottom w:val="none" w:sz="0" w:space="0" w:color="auto"/>
            <w:right w:val="none" w:sz="0" w:space="0" w:color="auto"/>
          </w:divBdr>
        </w:div>
        <w:div w:id="1678539239">
          <w:marLeft w:val="1166"/>
          <w:marRight w:val="0"/>
          <w:marTop w:val="91"/>
          <w:marBottom w:val="0"/>
          <w:divBdr>
            <w:top w:val="none" w:sz="0" w:space="0" w:color="auto"/>
            <w:left w:val="none" w:sz="0" w:space="0" w:color="auto"/>
            <w:bottom w:val="none" w:sz="0" w:space="0" w:color="auto"/>
            <w:right w:val="none" w:sz="0" w:space="0" w:color="auto"/>
          </w:divBdr>
        </w:div>
        <w:div w:id="2033409398">
          <w:marLeft w:val="1166"/>
          <w:marRight w:val="0"/>
          <w:marTop w:val="91"/>
          <w:marBottom w:val="0"/>
          <w:divBdr>
            <w:top w:val="none" w:sz="0" w:space="0" w:color="auto"/>
            <w:left w:val="none" w:sz="0" w:space="0" w:color="auto"/>
            <w:bottom w:val="none" w:sz="0" w:space="0" w:color="auto"/>
            <w:right w:val="none" w:sz="0" w:space="0" w:color="auto"/>
          </w:divBdr>
        </w:div>
      </w:divsChild>
    </w:div>
    <w:div w:id="509569989">
      <w:bodyDiv w:val="1"/>
      <w:marLeft w:val="0"/>
      <w:marRight w:val="0"/>
      <w:marTop w:val="0"/>
      <w:marBottom w:val="0"/>
      <w:divBdr>
        <w:top w:val="none" w:sz="0" w:space="0" w:color="auto"/>
        <w:left w:val="none" w:sz="0" w:space="0" w:color="auto"/>
        <w:bottom w:val="none" w:sz="0" w:space="0" w:color="auto"/>
        <w:right w:val="none" w:sz="0" w:space="0" w:color="auto"/>
      </w:divBdr>
      <w:divsChild>
        <w:div w:id="322127661">
          <w:marLeft w:val="1166"/>
          <w:marRight w:val="0"/>
          <w:marTop w:val="96"/>
          <w:marBottom w:val="0"/>
          <w:divBdr>
            <w:top w:val="none" w:sz="0" w:space="0" w:color="auto"/>
            <w:left w:val="none" w:sz="0" w:space="0" w:color="auto"/>
            <w:bottom w:val="none" w:sz="0" w:space="0" w:color="auto"/>
            <w:right w:val="none" w:sz="0" w:space="0" w:color="auto"/>
          </w:divBdr>
        </w:div>
        <w:div w:id="427119461">
          <w:marLeft w:val="1166"/>
          <w:marRight w:val="0"/>
          <w:marTop w:val="96"/>
          <w:marBottom w:val="0"/>
          <w:divBdr>
            <w:top w:val="none" w:sz="0" w:space="0" w:color="auto"/>
            <w:left w:val="none" w:sz="0" w:space="0" w:color="auto"/>
            <w:bottom w:val="none" w:sz="0" w:space="0" w:color="auto"/>
            <w:right w:val="none" w:sz="0" w:space="0" w:color="auto"/>
          </w:divBdr>
        </w:div>
        <w:div w:id="694381084">
          <w:marLeft w:val="547"/>
          <w:marRight w:val="0"/>
          <w:marTop w:val="115"/>
          <w:marBottom w:val="0"/>
          <w:divBdr>
            <w:top w:val="none" w:sz="0" w:space="0" w:color="auto"/>
            <w:left w:val="none" w:sz="0" w:space="0" w:color="auto"/>
            <w:bottom w:val="none" w:sz="0" w:space="0" w:color="auto"/>
            <w:right w:val="none" w:sz="0" w:space="0" w:color="auto"/>
          </w:divBdr>
        </w:div>
        <w:div w:id="864095825">
          <w:marLeft w:val="1166"/>
          <w:marRight w:val="0"/>
          <w:marTop w:val="96"/>
          <w:marBottom w:val="0"/>
          <w:divBdr>
            <w:top w:val="none" w:sz="0" w:space="0" w:color="auto"/>
            <w:left w:val="none" w:sz="0" w:space="0" w:color="auto"/>
            <w:bottom w:val="none" w:sz="0" w:space="0" w:color="auto"/>
            <w:right w:val="none" w:sz="0" w:space="0" w:color="auto"/>
          </w:divBdr>
        </w:div>
        <w:div w:id="1206678059">
          <w:marLeft w:val="547"/>
          <w:marRight w:val="0"/>
          <w:marTop w:val="115"/>
          <w:marBottom w:val="0"/>
          <w:divBdr>
            <w:top w:val="none" w:sz="0" w:space="0" w:color="auto"/>
            <w:left w:val="none" w:sz="0" w:space="0" w:color="auto"/>
            <w:bottom w:val="none" w:sz="0" w:space="0" w:color="auto"/>
            <w:right w:val="none" w:sz="0" w:space="0" w:color="auto"/>
          </w:divBdr>
        </w:div>
        <w:div w:id="1321688887">
          <w:marLeft w:val="1166"/>
          <w:marRight w:val="0"/>
          <w:marTop w:val="96"/>
          <w:marBottom w:val="0"/>
          <w:divBdr>
            <w:top w:val="none" w:sz="0" w:space="0" w:color="auto"/>
            <w:left w:val="none" w:sz="0" w:space="0" w:color="auto"/>
            <w:bottom w:val="none" w:sz="0" w:space="0" w:color="auto"/>
            <w:right w:val="none" w:sz="0" w:space="0" w:color="auto"/>
          </w:divBdr>
        </w:div>
        <w:div w:id="1426226439">
          <w:marLeft w:val="1166"/>
          <w:marRight w:val="0"/>
          <w:marTop w:val="96"/>
          <w:marBottom w:val="0"/>
          <w:divBdr>
            <w:top w:val="none" w:sz="0" w:space="0" w:color="auto"/>
            <w:left w:val="none" w:sz="0" w:space="0" w:color="auto"/>
            <w:bottom w:val="none" w:sz="0" w:space="0" w:color="auto"/>
            <w:right w:val="none" w:sz="0" w:space="0" w:color="auto"/>
          </w:divBdr>
        </w:div>
        <w:div w:id="1480341022">
          <w:marLeft w:val="1166"/>
          <w:marRight w:val="0"/>
          <w:marTop w:val="96"/>
          <w:marBottom w:val="0"/>
          <w:divBdr>
            <w:top w:val="none" w:sz="0" w:space="0" w:color="auto"/>
            <w:left w:val="none" w:sz="0" w:space="0" w:color="auto"/>
            <w:bottom w:val="none" w:sz="0" w:space="0" w:color="auto"/>
            <w:right w:val="none" w:sz="0" w:space="0" w:color="auto"/>
          </w:divBdr>
        </w:div>
        <w:div w:id="2017267991">
          <w:marLeft w:val="1166"/>
          <w:marRight w:val="0"/>
          <w:marTop w:val="96"/>
          <w:marBottom w:val="0"/>
          <w:divBdr>
            <w:top w:val="none" w:sz="0" w:space="0" w:color="auto"/>
            <w:left w:val="none" w:sz="0" w:space="0" w:color="auto"/>
            <w:bottom w:val="none" w:sz="0" w:space="0" w:color="auto"/>
            <w:right w:val="none" w:sz="0" w:space="0" w:color="auto"/>
          </w:divBdr>
        </w:div>
      </w:divsChild>
    </w:div>
    <w:div w:id="509612316">
      <w:bodyDiv w:val="1"/>
      <w:marLeft w:val="0"/>
      <w:marRight w:val="0"/>
      <w:marTop w:val="0"/>
      <w:marBottom w:val="0"/>
      <w:divBdr>
        <w:top w:val="none" w:sz="0" w:space="0" w:color="auto"/>
        <w:left w:val="none" w:sz="0" w:space="0" w:color="auto"/>
        <w:bottom w:val="none" w:sz="0" w:space="0" w:color="auto"/>
        <w:right w:val="none" w:sz="0" w:space="0" w:color="auto"/>
      </w:divBdr>
    </w:div>
    <w:div w:id="509683887">
      <w:bodyDiv w:val="1"/>
      <w:marLeft w:val="0"/>
      <w:marRight w:val="0"/>
      <w:marTop w:val="0"/>
      <w:marBottom w:val="0"/>
      <w:divBdr>
        <w:top w:val="none" w:sz="0" w:space="0" w:color="auto"/>
        <w:left w:val="none" w:sz="0" w:space="0" w:color="auto"/>
        <w:bottom w:val="none" w:sz="0" w:space="0" w:color="auto"/>
        <w:right w:val="none" w:sz="0" w:space="0" w:color="auto"/>
      </w:divBdr>
    </w:div>
    <w:div w:id="510797854">
      <w:bodyDiv w:val="1"/>
      <w:marLeft w:val="0"/>
      <w:marRight w:val="0"/>
      <w:marTop w:val="0"/>
      <w:marBottom w:val="0"/>
      <w:divBdr>
        <w:top w:val="none" w:sz="0" w:space="0" w:color="auto"/>
        <w:left w:val="none" w:sz="0" w:space="0" w:color="auto"/>
        <w:bottom w:val="none" w:sz="0" w:space="0" w:color="auto"/>
        <w:right w:val="none" w:sz="0" w:space="0" w:color="auto"/>
      </w:divBdr>
      <w:divsChild>
        <w:div w:id="75518957">
          <w:marLeft w:val="0"/>
          <w:marRight w:val="0"/>
          <w:marTop w:val="0"/>
          <w:marBottom w:val="0"/>
          <w:divBdr>
            <w:top w:val="none" w:sz="0" w:space="0" w:color="auto"/>
            <w:left w:val="none" w:sz="0" w:space="0" w:color="auto"/>
            <w:bottom w:val="none" w:sz="0" w:space="0" w:color="auto"/>
            <w:right w:val="none" w:sz="0" w:space="0" w:color="auto"/>
          </w:divBdr>
        </w:div>
        <w:div w:id="285814837">
          <w:marLeft w:val="0"/>
          <w:marRight w:val="0"/>
          <w:marTop w:val="0"/>
          <w:marBottom w:val="0"/>
          <w:divBdr>
            <w:top w:val="none" w:sz="0" w:space="0" w:color="auto"/>
            <w:left w:val="none" w:sz="0" w:space="0" w:color="auto"/>
            <w:bottom w:val="none" w:sz="0" w:space="0" w:color="auto"/>
            <w:right w:val="none" w:sz="0" w:space="0" w:color="auto"/>
          </w:divBdr>
        </w:div>
        <w:div w:id="286276930">
          <w:marLeft w:val="0"/>
          <w:marRight w:val="0"/>
          <w:marTop w:val="0"/>
          <w:marBottom w:val="0"/>
          <w:divBdr>
            <w:top w:val="none" w:sz="0" w:space="0" w:color="auto"/>
            <w:left w:val="none" w:sz="0" w:space="0" w:color="auto"/>
            <w:bottom w:val="none" w:sz="0" w:space="0" w:color="auto"/>
            <w:right w:val="none" w:sz="0" w:space="0" w:color="auto"/>
          </w:divBdr>
        </w:div>
        <w:div w:id="392310234">
          <w:marLeft w:val="0"/>
          <w:marRight w:val="0"/>
          <w:marTop w:val="0"/>
          <w:marBottom w:val="0"/>
          <w:divBdr>
            <w:top w:val="none" w:sz="0" w:space="0" w:color="auto"/>
            <w:left w:val="none" w:sz="0" w:space="0" w:color="auto"/>
            <w:bottom w:val="none" w:sz="0" w:space="0" w:color="auto"/>
            <w:right w:val="none" w:sz="0" w:space="0" w:color="auto"/>
          </w:divBdr>
        </w:div>
        <w:div w:id="461579006">
          <w:marLeft w:val="0"/>
          <w:marRight w:val="0"/>
          <w:marTop w:val="0"/>
          <w:marBottom w:val="0"/>
          <w:divBdr>
            <w:top w:val="none" w:sz="0" w:space="0" w:color="auto"/>
            <w:left w:val="none" w:sz="0" w:space="0" w:color="auto"/>
            <w:bottom w:val="none" w:sz="0" w:space="0" w:color="auto"/>
            <w:right w:val="none" w:sz="0" w:space="0" w:color="auto"/>
          </w:divBdr>
        </w:div>
        <w:div w:id="532811643">
          <w:marLeft w:val="0"/>
          <w:marRight w:val="0"/>
          <w:marTop w:val="0"/>
          <w:marBottom w:val="0"/>
          <w:divBdr>
            <w:top w:val="none" w:sz="0" w:space="0" w:color="auto"/>
            <w:left w:val="none" w:sz="0" w:space="0" w:color="auto"/>
            <w:bottom w:val="none" w:sz="0" w:space="0" w:color="auto"/>
            <w:right w:val="none" w:sz="0" w:space="0" w:color="auto"/>
          </w:divBdr>
        </w:div>
        <w:div w:id="570116275">
          <w:marLeft w:val="0"/>
          <w:marRight w:val="0"/>
          <w:marTop w:val="0"/>
          <w:marBottom w:val="0"/>
          <w:divBdr>
            <w:top w:val="none" w:sz="0" w:space="0" w:color="auto"/>
            <w:left w:val="none" w:sz="0" w:space="0" w:color="auto"/>
            <w:bottom w:val="none" w:sz="0" w:space="0" w:color="auto"/>
            <w:right w:val="none" w:sz="0" w:space="0" w:color="auto"/>
          </w:divBdr>
        </w:div>
        <w:div w:id="575482003">
          <w:marLeft w:val="0"/>
          <w:marRight w:val="0"/>
          <w:marTop w:val="0"/>
          <w:marBottom w:val="0"/>
          <w:divBdr>
            <w:top w:val="none" w:sz="0" w:space="0" w:color="auto"/>
            <w:left w:val="none" w:sz="0" w:space="0" w:color="auto"/>
            <w:bottom w:val="none" w:sz="0" w:space="0" w:color="auto"/>
            <w:right w:val="none" w:sz="0" w:space="0" w:color="auto"/>
          </w:divBdr>
        </w:div>
        <w:div w:id="758599399">
          <w:marLeft w:val="0"/>
          <w:marRight w:val="0"/>
          <w:marTop w:val="0"/>
          <w:marBottom w:val="0"/>
          <w:divBdr>
            <w:top w:val="none" w:sz="0" w:space="0" w:color="auto"/>
            <w:left w:val="none" w:sz="0" w:space="0" w:color="auto"/>
            <w:bottom w:val="none" w:sz="0" w:space="0" w:color="auto"/>
            <w:right w:val="none" w:sz="0" w:space="0" w:color="auto"/>
          </w:divBdr>
        </w:div>
        <w:div w:id="952900514">
          <w:marLeft w:val="0"/>
          <w:marRight w:val="0"/>
          <w:marTop w:val="0"/>
          <w:marBottom w:val="0"/>
          <w:divBdr>
            <w:top w:val="none" w:sz="0" w:space="0" w:color="auto"/>
            <w:left w:val="none" w:sz="0" w:space="0" w:color="auto"/>
            <w:bottom w:val="none" w:sz="0" w:space="0" w:color="auto"/>
            <w:right w:val="none" w:sz="0" w:space="0" w:color="auto"/>
          </w:divBdr>
        </w:div>
        <w:div w:id="1091045773">
          <w:marLeft w:val="0"/>
          <w:marRight w:val="0"/>
          <w:marTop w:val="0"/>
          <w:marBottom w:val="0"/>
          <w:divBdr>
            <w:top w:val="none" w:sz="0" w:space="0" w:color="auto"/>
            <w:left w:val="none" w:sz="0" w:space="0" w:color="auto"/>
            <w:bottom w:val="none" w:sz="0" w:space="0" w:color="auto"/>
            <w:right w:val="none" w:sz="0" w:space="0" w:color="auto"/>
          </w:divBdr>
        </w:div>
        <w:div w:id="1226724058">
          <w:marLeft w:val="0"/>
          <w:marRight w:val="0"/>
          <w:marTop w:val="0"/>
          <w:marBottom w:val="0"/>
          <w:divBdr>
            <w:top w:val="none" w:sz="0" w:space="0" w:color="auto"/>
            <w:left w:val="none" w:sz="0" w:space="0" w:color="auto"/>
            <w:bottom w:val="none" w:sz="0" w:space="0" w:color="auto"/>
            <w:right w:val="none" w:sz="0" w:space="0" w:color="auto"/>
          </w:divBdr>
        </w:div>
        <w:div w:id="1554852200">
          <w:marLeft w:val="0"/>
          <w:marRight w:val="0"/>
          <w:marTop w:val="0"/>
          <w:marBottom w:val="0"/>
          <w:divBdr>
            <w:top w:val="none" w:sz="0" w:space="0" w:color="auto"/>
            <w:left w:val="none" w:sz="0" w:space="0" w:color="auto"/>
            <w:bottom w:val="none" w:sz="0" w:space="0" w:color="auto"/>
            <w:right w:val="none" w:sz="0" w:space="0" w:color="auto"/>
          </w:divBdr>
        </w:div>
        <w:div w:id="1563710927">
          <w:marLeft w:val="0"/>
          <w:marRight w:val="0"/>
          <w:marTop w:val="0"/>
          <w:marBottom w:val="0"/>
          <w:divBdr>
            <w:top w:val="none" w:sz="0" w:space="0" w:color="auto"/>
            <w:left w:val="none" w:sz="0" w:space="0" w:color="auto"/>
            <w:bottom w:val="none" w:sz="0" w:space="0" w:color="auto"/>
            <w:right w:val="none" w:sz="0" w:space="0" w:color="auto"/>
          </w:divBdr>
        </w:div>
        <w:div w:id="1607076331">
          <w:marLeft w:val="0"/>
          <w:marRight w:val="0"/>
          <w:marTop w:val="0"/>
          <w:marBottom w:val="0"/>
          <w:divBdr>
            <w:top w:val="none" w:sz="0" w:space="0" w:color="auto"/>
            <w:left w:val="none" w:sz="0" w:space="0" w:color="auto"/>
            <w:bottom w:val="none" w:sz="0" w:space="0" w:color="auto"/>
            <w:right w:val="none" w:sz="0" w:space="0" w:color="auto"/>
          </w:divBdr>
        </w:div>
        <w:div w:id="1714379008">
          <w:marLeft w:val="0"/>
          <w:marRight w:val="0"/>
          <w:marTop w:val="0"/>
          <w:marBottom w:val="0"/>
          <w:divBdr>
            <w:top w:val="none" w:sz="0" w:space="0" w:color="auto"/>
            <w:left w:val="none" w:sz="0" w:space="0" w:color="auto"/>
            <w:bottom w:val="none" w:sz="0" w:space="0" w:color="auto"/>
            <w:right w:val="none" w:sz="0" w:space="0" w:color="auto"/>
          </w:divBdr>
        </w:div>
        <w:div w:id="1867863567">
          <w:marLeft w:val="0"/>
          <w:marRight w:val="0"/>
          <w:marTop w:val="0"/>
          <w:marBottom w:val="0"/>
          <w:divBdr>
            <w:top w:val="none" w:sz="0" w:space="0" w:color="auto"/>
            <w:left w:val="none" w:sz="0" w:space="0" w:color="auto"/>
            <w:bottom w:val="none" w:sz="0" w:space="0" w:color="auto"/>
            <w:right w:val="none" w:sz="0" w:space="0" w:color="auto"/>
          </w:divBdr>
        </w:div>
        <w:div w:id="1871797657">
          <w:marLeft w:val="0"/>
          <w:marRight w:val="0"/>
          <w:marTop w:val="0"/>
          <w:marBottom w:val="0"/>
          <w:divBdr>
            <w:top w:val="none" w:sz="0" w:space="0" w:color="auto"/>
            <w:left w:val="none" w:sz="0" w:space="0" w:color="auto"/>
            <w:bottom w:val="none" w:sz="0" w:space="0" w:color="auto"/>
            <w:right w:val="none" w:sz="0" w:space="0" w:color="auto"/>
          </w:divBdr>
        </w:div>
        <w:div w:id="1917545059">
          <w:marLeft w:val="0"/>
          <w:marRight w:val="0"/>
          <w:marTop w:val="0"/>
          <w:marBottom w:val="0"/>
          <w:divBdr>
            <w:top w:val="none" w:sz="0" w:space="0" w:color="auto"/>
            <w:left w:val="none" w:sz="0" w:space="0" w:color="auto"/>
            <w:bottom w:val="none" w:sz="0" w:space="0" w:color="auto"/>
            <w:right w:val="none" w:sz="0" w:space="0" w:color="auto"/>
          </w:divBdr>
        </w:div>
        <w:div w:id="2045446807">
          <w:marLeft w:val="0"/>
          <w:marRight w:val="0"/>
          <w:marTop w:val="0"/>
          <w:marBottom w:val="0"/>
          <w:divBdr>
            <w:top w:val="none" w:sz="0" w:space="0" w:color="auto"/>
            <w:left w:val="none" w:sz="0" w:space="0" w:color="auto"/>
            <w:bottom w:val="none" w:sz="0" w:space="0" w:color="auto"/>
            <w:right w:val="none" w:sz="0" w:space="0" w:color="auto"/>
          </w:divBdr>
        </w:div>
      </w:divsChild>
    </w:div>
    <w:div w:id="510994519">
      <w:bodyDiv w:val="1"/>
      <w:marLeft w:val="0"/>
      <w:marRight w:val="0"/>
      <w:marTop w:val="0"/>
      <w:marBottom w:val="0"/>
      <w:divBdr>
        <w:top w:val="none" w:sz="0" w:space="0" w:color="auto"/>
        <w:left w:val="none" w:sz="0" w:space="0" w:color="auto"/>
        <w:bottom w:val="none" w:sz="0" w:space="0" w:color="auto"/>
        <w:right w:val="none" w:sz="0" w:space="0" w:color="auto"/>
      </w:divBdr>
    </w:div>
    <w:div w:id="511451977">
      <w:bodyDiv w:val="1"/>
      <w:marLeft w:val="0"/>
      <w:marRight w:val="0"/>
      <w:marTop w:val="0"/>
      <w:marBottom w:val="0"/>
      <w:divBdr>
        <w:top w:val="none" w:sz="0" w:space="0" w:color="auto"/>
        <w:left w:val="none" w:sz="0" w:space="0" w:color="auto"/>
        <w:bottom w:val="none" w:sz="0" w:space="0" w:color="auto"/>
        <w:right w:val="none" w:sz="0" w:space="0" w:color="auto"/>
      </w:divBdr>
    </w:div>
    <w:div w:id="511456513">
      <w:bodyDiv w:val="1"/>
      <w:marLeft w:val="0"/>
      <w:marRight w:val="0"/>
      <w:marTop w:val="0"/>
      <w:marBottom w:val="0"/>
      <w:divBdr>
        <w:top w:val="none" w:sz="0" w:space="0" w:color="auto"/>
        <w:left w:val="none" w:sz="0" w:space="0" w:color="auto"/>
        <w:bottom w:val="none" w:sz="0" w:space="0" w:color="auto"/>
        <w:right w:val="none" w:sz="0" w:space="0" w:color="auto"/>
      </w:divBdr>
    </w:div>
    <w:div w:id="511648906">
      <w:bodyDiv w:val="1"/>
      <w:marLeft w:val="0"/>
      <w:marRight w:val="0"/>
      <w:marTop w:val="0"/>
      <w:marBottom w:val="0"/>
      <w:divBdr>
        <w:top w:val="none" w:sz="0" w:space="0" w:color="auto"/>
        <w:left w:val="none" w:sz="0" w:space="0" w:color="auto"/>
        <w:bottom w:val="none" w:sz="0" w:space="0" w:color="auto"/>
        <w:right w:val="none" w:sz="0" w:space="0" w:color="auto"/>
      </w:divBdr>
    </w:div>
    <w:div w:id="513231618">
      <w:bodyDiv w:val="1"/>
      <w:marLeft w:val="0"/>
      <w:marRight w:val="0"/>
      <w:marTop w:val="0"/>
      <w:marBottom w:val="0"/>
      <w:divBdr>
        <w:top w:val="none" w:sz="0" w:space="0" w:color="auto"/>
        <w:left w:val="none" w:sz="0" w:space="0" w:color="auto"/>
        <w:bottom w:val="none" w:sz="0" w:space="0" w:color="auto"/>
        <w:right w:val="none" w:sz="0" w:space="0" w:color="auto"/>
      </w:divBdr>
      <w:divsChild>
        <w:div w:id="377171601">
          <w:marLeft w:val="1166"/>
          <w:marRight w:val="0"/>
          <w:marTop w:val="96"/>
          <w:marBottom w:val="0"/>
          <w:divBdr>
            <w:top w:val="none" w:sz="0" w:space="0" w:color="auto"/>
            <w:left w:val="none" w:sz="0" w:space="0" w:color="auto"/>
            <w:bottom w:val="none" w:sz="0" w:space="0" w:color="auto"/>
            <w:right w:val="none" w:sz="0" w:space="0" w:color="auto"/>
          </w:divBdr>
        </w:div>
        <w:div w:id="389161098">
          <w:marLeft w:val="547"/>
          <w:marRight w:val="0"/>
          <w:marTop w:val="115"/>
          <w:marBottom w:val="0"/>
          <w:divBdr>
            <w:top w:val="none" w:sz="0" w:space="0" w:color="auto"/>
            <w:left w:val="none" w:sz="0" w:space="0" w:color="auto"/>
            <w:bottom w:val="none" w:sz="0" w:space="0" w:color="auto"/>
            <w:right w:val="none" w:sz="0" w:space="0" w:color="auto"/>
          </w:divBdr>
        </w:div>
        <w:div w:id="697005474">
          <w:marLeft w:val="547"/>
          <w:marRight w:val="0"/>
          <w:marTop w:val="115"/>
          <w:marBottom w:val="0"/>
          <w:divBdr>
            <w:top w:val="none" w:sz="0" w:space="0" w:color="auto"/>
            <w:left w:val="none" w:sz="0" w:space="0" w:color="auto"/>
            <w:bottom w:val="none" w:sz="0" w:space="0" w:color="auto"/>
            <w:right w:val="none" w:sz="0" w:space="0" w:color="auto"/>
          </w:divBdr>
        </w:div>
        <w:div w:id="753360294">
          <w:marLeft w:val="1166"/>
          <w:marRight w:val="0"/>
          <w:marTop w:val="96"/>
          <w:marBottom w:val="0"/>
          <w:divBdr>
            <w:top w:val="none" w:sz="0" w:space="0" w:color="auto"/>
            <w:left w:val="none" w:sz="0" w:space="0" w:color="auto"/>
            <w:bottom w:val="none" w:sz="0" w:space="0" w:color="auto"/>
            <w:right w:val="none" w:sz="0" w:space="0" w:color="auto"/>
          </w:divBdr>
        </w:div>
        <w:div w:id="1695423821">
          <w:marLeft w:val="1166"/>
          <w:marRight w:val="0"/>
          <w:marTop w:val="96"/>
          <w:marBottom w:val="0"/>
          <w:divBdr>
            <w:top w:val="none" w:sz="0" w:space="0" w:color="auto"/>
            <w:left w:val="none" w:sz="0" w:space="0" w:color="auto"/>
            <w:bottom w:val="none" w:sz="0" w:space="0" w:color="auto"/>
            <w:right w:val="none" w:sz="0" w:space="0" w:color="auto"/>
          </w:divBdr>
        </w:div>
        <w:div w:id="1862163222">
          <w:marLeft w:val="547"/>
          <w:marRight w:val="0"/>
          <w:marTop w:val="115"/>
          <w:marBottom w:val="0"/>
          <w:divBdr>
            <w:top w:val="none" w:sz="0" w:space="0" w:color="auto"/>
            <w:left w:val="none" w:sz="0" w:space="0" w:color="auto"/>
            <w:bottom w:val="none" w:sz="0" w:space="0" w:color="auto"/>
            <w:right w:val="none" w:sz="0" w:space="0" w:color="auto"/>
          </w:divBdr>
        </w:div>
      </w:divsChild>
    </w:div>
    <w:div w:id="513500206">
      <w:bodyDiv w:val="1"/>
      <w:marLeft w:val="0"/>
      <w:marRight w:val="0"/>
      <w:marTop w:val="0"/>
      <w:marBottom w:val="0"/>
      <w:divBdr>
        <w:top w:val="none" w:sz="0" w:space="0" w:color="auto"/>
        <w:left w:val="none" w:sz="0" w:space="0" w:color="auto"/>
        <w:bottom w:val="none" w:sz="0" w:space="0" w:color="auto"/>
        <w:right w:val="none" w:sz="0" w:space="0" w:color="auto"/>
      </w:divBdr>
    </w:div>
    <w:div w:id="513569046">
      <w:bodyDiv w:val="1"/>
      <w:marLeft w:val="0"/>
      <w:marRight w:val="0"/>
      <w:marTop w:val="0"/>
      <w:marBottom w:val="0"/>
      <w:divBdr>
        <w:top w:val="none" w:sz="0" w:space="0" w:color="auto"/>
        <w:left w:val="none" w:sz="0" w:space="0" w:color="auto"/>
        <w:bottom w:val="none" w:sz="0" w:space="0" w:color="auto"/>
        <w:right w:val="none" w:sz="0" w:space="0" w:color="auto"/>
      </w:divBdr>
    </w:div>
    <w:div w:id="515119865">
      <w:bodyDiv w:val="1"/>
      <w:marLeft w:val="0"/>
      <w:marRight w:val="0"/>
      <w:marTop w:val="0"/>
      <w:marBottom w:val="0"/>
      <w:divBdr>
        <w:top w:val="none" w:sz="0" w:space="0" w:color="auto"/>
        <w:left w:val="none" w:sz="0" w:space="0" w:color="auto"/>
        <w:bottom w:val="none" w:sz="0" w:space="0" w:color="auto"/>
        <w:right w:val="none" w:sz="0" w:space="0" w:color="auto"/>
      </w:divBdr>
    </w:div>
    <w:div w:id="515121022">
      <w:bodyDiv w:val="1"/>
      <w:marLeft w:val="0"/>
      <w:marRight w:val="0"/>
      <w:marTop w:val="0"/>
      <w:marBottom w:val="0"/>
      <w:divBdr>
        <w:top w:val="none" w:sz="0" w:space="0" w:color="auto"/>
        <w:left w:val="none" w:sz="0" w:space="0" w:color="auto"/>
        <w:bottom w:val="none" w:sz="0" w:space="0" w:color="auto"/>
        <w:right w:val="none" w:sz="0" w:space="0" w:color="auto"/>
      </w:divBdr>
    </w:div>
    <w:div w:id="516115061">
      <w:bodyDiv w:val="1"/>
      <w:marLeft w:val="0"/>
      <w:marRight w:val="0"/>
      <w:marTop w:val="0"/>
      <w:marBottom w:val="0"/>
      <w:divBdr>
        <w:top w:val="none" w:sz="0" w:space="0" w:color="auto"/>
        <w:left w:val="none" w:sz="0" w:space="0" w:color="auto"/>
        <w:bottom w:val="none" w:sz="0" w:space="0" w:color="auto"/>
        <w:right w:val="none" w:sz="0" w:space="0" w:color="auto"/>
      </w:divBdr>
    </w:div>
    <w:div w:id="516505883">
      <w:bodyDiv w:val="1"/>
      <w:marLeft w:val="0"/>
      <w:marRight w:val="0"/>
      <w:marTop w:val="0"/>
      <w:marBottom w:val="0"/>
      <w:divBdr>
        <w:top w:val="none" w:sz="0" w:space="0" w:color="auto"/>
        <w:left w:val="none" w:sz="0" w:space="0" w:color="auto"/>
        <w:bottom w:val="none" w:sz="0" w:space="0" w:color="auto"/>
        <w:right w:val="none" w:sz="0" w:space="0" w:color="auto"/>
      </w:divBdr>
      <w:divsChild>
        <w:div w:id="132187697">
          <w:marLeft w:val="1166"/>
          <w:marRight w:val="0"/>
          <w:marTop w:val="115"/>
          <w:marBottom w:val="0"/>
          <w:divBdr>
            <w:top w:val="none" w:sz="0" w:space="0" w:color="auto"/>
            <w:left w:val="none" w:sz="0" w:space="0" w:color="auto"/>
            <w:bottom w:val="none" w:sz="0" w:space="0" w:color="auto"/>
            <w:right w:val="none" w:sz="0" w:space="0" w:color="auto"/>
          </w:divBdr>
        </w:div>
        <w:div w:id="763495834">
          <w:marLeft w:val="547"/>
          <w:marRight w:val="0"/>
          <w:marTop w:val="134"/>
          <w:marBottom w:val="0"/>
          <w:divBdr>
            <w:top w:val="none" w:sz="0" w:space="0" w:color="auto"/>
            <w:left w:val="none" w:sz="0" w:space="0" w:color="auto"/>
            <w:bottom w:val="none" w:sz="0" w:space="0" w:color="auto"/>
            <w:right w:val="none" w:sz="0" w:space="0" w:color="auto"/>
          </w:divBdr>
        </w:div>
        <w:div w:id="1118841823">
          <w:marLeft w:val="1166"/>
          <w:marRight w:val="0"/>
          <w:marTop w:val="115"/>
          <w:marBottom w:val="0"/>
          <w:divBdr>
            <w:top w:val="none" w:sz="0" w:space="0" w:color="auto"/>
            <w:left w:val="none" w:sz="0" w:space="0" w:color="auto"/>
            <w:bottom w:val="none" w:sz="0" w:space="0" w:color="auto"/>
            <w:right w:val="none" w:sz="0" w:space="0" w:color="auto"/>
          </w:divBdr>
        </w:div>
        <w:div w:id="1264191149">
          <w:marLeft w:val="547"/>
          <w:marRight w:val="0"/>
          <w:marTop w:val="134"/>
          <w:marBottom w:val="0"/>
          <w:divBdr>
            <w:top w:val="none" w:sz="0" w:space="0" w:color="auto"/>
            <w:left w:val="none" w:sz="0" w:space="0" w:color="auto"/>
            <w:bottom w:val="none" w:sz="0" w:space="0" w:color="auto"/>
            <w:right w:val="none" w:sz="0" w:space="0" w:color="auto"/>
          </w:divBdr>
        </w:div>
        <w:div w:id="1402169795">
          <w:marLeft w:val="1166"/>
          <w:marRight w:val="0"/>
          <w:marTop w:val="115"/>
          <w:marBottom w:val="0"/>
          <w:divBdr>
            <w:top w:val="none" w:sz="0" w:space="0" w:color="auto"/>
            <w:left w:val="none" w:sz="0" w:space="0" w:color="auto"/>
            <w:bottom w:val="none" w:sz="0" w:space="0" w:color="auto"/>
            <w:right w:val="none" w:sz="0" w:space="0" w:color="auto"/>
          </w:divBdr>
        </w:div>
      </w:divsChild>
    </w:div>
    <w:div w:id="518855726">
      <w:bodyDiv w:val="1"/>
      <w:marLeft w:val="0"/>
      <w:marRight w:val="0"/>
      <w:marTop w:val="0"/>
      <w:marBottom w:val="0"/>
      <w:divBdr>
        <w:top w:val="none" w:sz="0" w:space="0" w:color="auto"/>
        <w:left w:val="none" w:sz="0" w:space="0" w:color="auto"/>
        <w:bottom w:val="none" w:sz="0" w:space="0" w:color="auto"/>
        <w:right w:val="none" w:sz="0" w:space="0" w:color="auto"/>
      </w:divBdr>
    </w:div>
    <w:div w:id="519394877">
      <w:bodyDiv w:val="1"/>
      <w:marLeft w:val="0"/>
      <w:marRight w:val="0"/>
      <w:marTop w:val="0"/>
      <w:marBottom w:val="0"/>
      <w:divBdr>
        <w:top w:val="none" w:sz="0" w:space="0" w:color="auto"/>
        <w:left w:val="none" w:sz="0" w:space="0" w:color="auto"/>
        <w:bottom w:val="none" w:sz="0" w:space="0" w:color="auto"/>
        <w:right w:val="none" w:sz="0" w:space="0" w:color="auto"/>
      </w:divBdr>
    </w:div>
    <w:div w:id="519666125">
      <w:bodyDiv w:val="1"/>
      <w:marLeft w:val="0"/>
      <w:marRight w:val="0"/>
      <w:marTop w:val="0"/>
      <w:marBottom w:val="0"/>
      <w:divBdr>
        <w:top w:val="none" w:sz="0" w:space="0" w:color="auto"/>
        <w:left w:val="none" w:sz="0" w:space="0" w:color="auto"/>
        <w:bottom w:val="none" w:sz="0" w:space="0" w:color="auto"/>
        <w:right w:val="none" w:sz="0" w:space="0" w:color="auto"/>
      </w:divBdr>
    </w:div>
    <w:div w:id="519857695">
      <w:bodyDiv w:val="1"/>
      <w:marLeft w:val="0"/>
      <w:marRight w:val="0"/>
      <w:marTop w:val="0"/>
      <w:marBottom w:val="0"/>
      <w:divBdr>
        <w:top w:val="none" w:sz="0" w:space="0" w:color="auto"/>
        <w:left w:val="none" w:sz="0" w:space="0" w:color="auto"/>
        <w:bottom w:val="none" w:sz="0" w:space="0" w:color="auto"/>
        <w:right w:val="none" w:sz="0" w:space="0" w:color="auto"/>
      </w:divBdr>
    </w:div>
    <w:div w:id="520437530">
      <w:bodyDiv w:val="1"/>
      <w:marLeft w:val="0"/>
      <w:marRight w:val="0"/>
      <w:marTop w:val="0"/>
      <w:marBottom w:val="0"/>
      <w:divBdr>
        <w:top w:val="none" w:sz="0" w:space="0" w:color="auto"/>
        <w:left w:val="none" w:sz="0" w:space="0" w:color="auto"/>
        <w:bottom w:val="none" w:sz="0" w:space="0" w:color="auto"/>
        <w:right w:val="none" w:sz="0" w:space="0" w:color="auto"/>
      </w:divBdr>
    </w:div>
    <w:div w:id="520514747">
      <w:bodyDiv w:val="1"/>
      <w:marLeft w:val="0"/>
      <w:marRight w:val="0"/>
      <w:marTop w:val="0"/>
      <w:marBottom w:val="0"/>
      <w:divBdr>
        <w:top w:val="none" w:sz="0" w:space="0" w:color="auto"/>
        <w:left w:val="none" w:sz="0" w:space="0" w:color="auto"/>
        <w:bottom w:val="none" w:sz="0" w:space="0" w:color="auto"/>
        <w:right w:val="none" w:sz="0" w:space="0" w:color="auto"/>
      </w:divBdr>
      <w:divsChild>
        <w:div w:id="53434267">
          <w:marLeft w:val="1166"/>
          <w:marRight w:val="0"/>
          <w:marTop w:val="106"/>
          <w:marBottom w:val="0"/>
          <w:divBdr>
            <w:top w:val="none" w:sz="0" w:space="0" w:color="auto"/>
            <w:left w:val="none" w:sz="0" w:space="0" w:color="auto"/>
            <w:bottom w:val="none" w:sz="0" w:space="0" w:color="auto"/>
            <w:right w:val="none" w:sz="0" w:space="0" w:color="auto"/>
          </w:divBdr>
        </w:div>
        <w:div w:id="1962882776">
          <w:marLeft w:val="547"/>
          <w:marRight w:val="0"/>
          <w:marTop w:val="106"/>
          <w:marBottom w:val="0"/>
          <w:divBdr>
            <w:top w:val="none" w:sz="0" w:space="0" w:color="auto"/>
            <w:left w:val="none" w:sz="0" w:space="0" w:color="auto"/>
            <w:bottom w:val="none" w:sz="0" w:space="0" w:color="auto"/>
            <w:right w:val="none" w:sz="0" w:space="0" w:color="auto"/>
          </w:divBdr>
        </w:div>
        <w:div w:id="2071491720">
          <w:marLeft w:val="1166"/>
          <w:marRight w:val="0"/>
          <w:marTop w:val="106"/>
          <w:marBottom w:val="0"/>
          <w:divBdr>
            <w:top w:val="none" w:sz="0" w:space="0" w:color="auto"/>
            <w:left w:val="none" w:sz="0" w:space="0" w:color="auto"/>
            <w:bottom w:val="none" w:sz="0" w:space="0" w:color="auto"/>
            <w:right w:val="none" w:sz="0" w:space="0" w:color="auto"/>
          </w:divBdr>
        </w:div>
        <w:div w:id="2108887846">
          <w:marLeft w:val="1166"/>
          <w:marRight w:val="0"/>
          <w:marTop w:val="106"/>
          <w:marBottom w:val="0"/>
          <w:divBdr>
            <w:top w:val="none" w:sz="0" w:space="0" w:color="auto"/>
            <w:left w:val="none" w:sz="0" w:space="0" w:color="auto"/>
            <w:bottom w:val="none" w:sz="0" w:space="0" w:color="auto"/>
            <w:right w:val="none" w:sz="0" w:space="0" w:color="auto"/>
          </w:divBdr>
        </w:div>
      </w:divsChild>
    </w:div>
    <w:div w:id="520749574">
      <w:bodyDiv w:val="1"/>
      <w:marLeft w:val="0"/>
      <w:marRight w:val="0"/>
      <w:marTop w:val="0"/>
      <w:marBottom w:val="0"/>
      <w:divBdr>
        <w:top w:val="none" w:sz="0" w:space="0" w:color="auto"/>
        <w:left w:val="none" w:sz="0" w:space="0" w:color="auto"/>
        <w:bottom w:val="none" w:sz="0" w:space="0" w:color="auto"/>
        <w:right w:val="none" w:sz="0" w:space="0" w:color="auto"/>
      </w:divBdr>
    </w:div>
    <w:div w:id="522010620">
      <w:bodyDiv w:val="1"/>
      <w:marLeft w:val="0"/>
      <w:marRight w:val="0"/>
      <w:marTop w:val="0"/>
      <w:marBottom w:val="0"/>
      <w:divBdr>
        <w:top w:val="none" w:sz="0" w:space="0" w:color="auto"/>
        <w:left w:val="none" w:sz="0" w:space="0" w:color="auto"/>
        <w:bottom w:val="none" w:sz="0" w:space="0" w:color="auto"/>
        <w:right w:val="none" w:sz="0" w:space="0" w:color="auto"/>
      </w:divBdr>
    </w:div>
    <w:div w:id="522134631">
      <w:bodyDiv w:val="1"/>
      <w:marLeft w:val="0"/>
      <w:marRight w:val="0"/>
      <w:marTop w:val="0"/>
      <w:marBottom w:val="0"/>
      <w:divBdr>
        <w:top w:val="none" w:sz="0" w:space="0" w:color="auto"/>
        <w:left w:val="none" w:sz="0" w:space="0" w:color="auto"/>
        <w:bottom w:val="none" w:sz="0" w:space="0" w:color="auto"/>
        <w:right w:val="none" w:sz="0" w:space="0" w:color="auto"/>
      </w:divBdr>
      <w:divsChild>
        <w:div w:id="229579285">
          <w:marLeft w:val="547"/>
          <w:marRight w:val="0"/>
          <w:marTop w:val="106"/>
          <w:marBottom w:val="0"/>
          <w:divBdr>
            <w:top w:val="none" w:sz="0" w:space="0" w:color="auto"/>
            <w:left w:val="none" w:sz="0" w:space="0" w:color="auto"/>
            <w:bottom w:val="none" w:sz="0" w:space="0" w:color="auto"/>
            <w:right w:val="none" w:sz="0" w:space="0" w:color="auto"/>
          </w:divBdr>
        </w:div>
        <w:div w:id="1400787040">
          <w:marLeft w:val="1800"/>
          <w:marRight w:val="0"/>
          <w:marTop w:val="86"/>
          <w:marBottom w:val="0"/>
          <w:divBdr>
            <w:top w:val="none" w:sz="0" w:space="0" w:color="auto"/>
            <w:left w:val="none" w:sz="0" w:space="0" w:color="auto"/>
            <w:bottom w:val="none" w:sz="0" w:space="0" w:color="auto"/>
            <w:right w:val="none" w:sz="0" w:space="0" w:color="auto"/>
          </w:divBdr>
        </w:div>
        <w:div w:id="1744179823">
          <w:marLeft w:val="1166"/>
          <w:marRight w:val="0"/>
          <w:marTop w:val="106"/>
          <w:marBottom w:val="0"/>
          <w:divBdr>
            <w:top w:val="none" w:sz="0" w:space="0" w:color="auto"/>
            <w:left w:val="none" w:sz="0" w:space="0" w:color="auto"/>
            <w:bottom w:val="none" w:sz="0" w:space="0" w:color="auto"/>
            <w:right w:val="none" w:sz="0" w:space="0" w:color="auto"/>
          </w:divBdr>
        </w:div>
        <w:div w:id="1751269209">
          <w:marLeft w:val="1166"/>
          <w:marRight w:val="0"/>
          <w:marTop w:val="96"/>
          <w:marBottom w:val="0"/>
          <w:divBdr>
            <w:top w:val="none" w:sz="0" w:space="0" w:color="auto"/>
            <w:left w:val="none" w:sz="0" w:space="0" w:color="auto"/>
            <w:bottom w:val="none" w:sz="0" w:space="0" w:color="auto"/>
            <w:right w:val="none" w:sz="0" w:space="0" w:color="auto"/>
          </w:divBdr>
        </w:div>
        <w:div w:id="1905985835">
          <w:marLeft w:val="547"/>
          <w:marRight w:val="0"/>
          <w:marTop w:val="115"/>
          <w:marBottom w:val="0"/>
          <w:divBdr>
            <w:top w:val="none" w:sz="0" w:space="0" w:color="auto"/>
            <w:left w:val="none" w:sz="0" w:space="0" w:color="auto"/>
            <w:bottom w:val="none" w:sz="0" w:space="0" w:color="auto"/>
            <w:right w:val="none" w:sz="0" w:space="0" w:color="auto"/>
          </w:divBdr>
        </w:div>
        <w:div w:id="2034842718">
          <w:marLeft w:val="1800"/>
          <w:marRight w:val="0"/>
          <w:marTop w:val="86"/>
          <w:marBottom w:val="0"/>
          <w:divBdr>
            <w:top w:val="none" w:sz="0" w:space="0" w:color="auto"/>
            <w:left w:val="none" w:sz="0" w:space="0" w:color="auto"/>
            <w:bottom w:val="none" w:sz="0" w:space="0" w:color="auto"/>
            <w:right w:val="none" w:sz="0" w:space="0" w:color="auto"/>
          </w:divBdr>
        </w:div>
      </w:divsChild>
    </w:div>
    <w:div w:id="522864913">
      <w:bodyDiv w:val="1"/>
      <w:marLeft w:val="0"/>
      <w:marRight w:val="0"/>
      <w:marTop w:val="0"/>
      <w:marBottom w:val="0"/>
      <w:divBdr>
        <w:top w:val="none" w:sz="0" w:space="0" w:color="auto"/>
        <w:left w:val="none" w:sz="0" w:space="0" w:color="auto"/>
        <w:bottom w:val="none" w:sz="0" w:space="0" w:color="auto"/>
        <w:right w:val="none" w:sz="0" w:space="0" w:color="auto"/>
      </w:divBdr>
    </w:div>
    <w:div w:id="523055975">
      <w:bodyDiv w:val="1"/>
      <w:marLeft w:val="0"/>
      <w:marRight w:val="0"/>
      <w:marTop w:val="0"/>
      <w:marBottom w:val="0"/>
      <w:divBdr>
        <w:top w:val="none" w:sz="0" w:space="0" w:color="auto"/>
        <w:left w:val="none" w:sz="0" w:space="0" w:color="auto"/>
        <w:bottom w:val="none" w:sz="0" w:space="0" w:color="auto"/>
        <w:right w:val="none" w:sz="0" w:space="0" w:color="auto"/>
      </w:divBdr>
    </w:div>
    <w:div w:id="523250633">
      <w:bodyDiv w:val="1"/>
      <w:marLeft w:val="0"/>
      <w:marRight w:val="0"/>
      <w:marTop w:val="0"/>
      <w:marBottom w:val="0"/>
      <w:divBdr>
        <w:top w:val="none" w:sz="0" w:space="0" w:color="auto"/>
        <w:left w:val="none" w:sz="0" w:space="0" w:color="auto"/>
        <w:bottom w:val="none" w:sz="0" w:space="0" w:color="auto"/>
        <w:right w:val="none" w:sz="0" w:space="0" w:color="auto"/>
      </w:divBdr>
    </w:div>
    <w:div w:id="524053559">
      <w:bodyDiv w:val="1"/>
      <w:marLeft w:val="0"/>
      <w:marRight w:val="0"/>
      <w:marTop w:val="0"/>
      <w:marBottom w:val="0"/>
      <w:divBdr>
        <w:top w:val="none" w:sz="0" w:space="0" w:color="auto"/>
        <w:left w:val="none" w:sz="0" w:space="0" w:color="auto"/>
        <w:bottom w:val="none" w:sz="0" w:space="0" w:color="auto"/>
        <w:right w:val="none" w:sz="0" w:space="0" w:color="auto"/>
      </w:divBdr>
    </w:div>
    <w:div w:id="524056978">
      <w:bodyDiv w:val="1"/>
      <w:marLeft w:val="0"/>
      <w:marRight w:val="0"/>
      <w:marTop w:val="0"/>
      <w:marBottom w:val="0"/>
      <w:divBdr>
        <w:top w:val="none" w:sz="0" w:space="0" w:color="auto"/>
        <w:left w:val="none" w:sz="0" w:space="0" w:color="auto"/>
        <w:bottom w:val="none" w:sz="0" w:space="0" w:color="auto"/>
        <w:right w:val="none" w:sz="0" w:space="0" w:color="auto"/>
      </w:divBdr>
    </w:div>
    <w:div w:id="524641371">
      <w:bodyDiv w:val="1"/>
      <w:marLeft w:val="0"/>
      <w:marRight w:val="0"/>
      <w:marTop w:val="0"/>
      <w:marBottom w:val="0"/>
      <w:divBdr>
        <w:top w:val="none" w:sz="0" w:space="0" w:color="auto"/>
        <w:left w:val="none" w:sz="0" w:space="0" w:color="auto"/>
        <w:bottom w:val="none" w:sz="0" w:space="0" w:color="auto"/>
        <w:right w:val="none" w:sz="0" w:space="0" w:color="auto"/>
      </w:divBdr>
    </w:div>
    <w:div w:id="524750379">
      <w:bodyDiv w:val="1"/>
      <w:marLeft w:val="0"/>
      <w:marRight w:val="0"/>
      <w:marTop w:val="0"/>
      <w:marBottom w:val="0"/>
      <w:divBdr>
        <w:top w:val="none" w:sz="0" w:space="0" w:color="auto"/>
        <w:left w:val="none" w:sz="0" w:space="0" w:color="auto"/>
        <w:bottom w:val="none" w:sz="0" w:space="0" w:color="auto"/>
        <w:right w:val="none" w:sz="0" w:space="0" w:color="auto"/>
      </w:divBdr>
    </w:div>
    <w:div w:id="526601860">
      <w:bodyDiv w:val="1"/>
      <w:marLeft w:val="0"/>
      <w:marRight w:val="0"/>
      <w:marTop w:val="0"/>
      <w:marBottom w:val="0"/>
      <w:divBdr>
        <w:top w:val="none" w:sz="0" w:space="0" w:color="auto"/>
        <w:left w:val="none" w:sz="0" w:space="0" w:color="auto"/>
        <w:bottom w:val="none" w:sz="0" w:space="0" w:color="auto"/>
        <w:right w:val="none" w:sz="0" w:space="0" w:color="auto"/>
      </w:divBdr>
    </w:div>
    <w:div w:id="526678706">
      <w:bodyDiv w:val="1"/>
      <w:marLeft w:val="0"/>
      <w:marRight w:val="0"/>
      <w:marTop w:val="0"/>
      <w:marBottom w:val="0"/>
      <w:divBdr>
        <w:top w:val="none" w:sz="0" w:space="0" w:color="auto"/>
        <w:left w:val="none" w:sz="0" w:space="0" w:color="auto"/>
        <w:bottom w:val="none" w:sz="0" w:space="0" w:color="auto"/>
        <w:right w:val="none" w:sz="0" w:space="0" w:color="auto"/>
      </w:divBdr>
    </w:div>
    <w:div w:id="526716934">
      <w:bodyDiv w:val="1"/>
      <w:marLeft w:val="0"/>
      <w:marRight w:val="0"/>
      <w:marTop w:val="0"/>
      <w:marBottom w:val="0"/>
      <w:divBdr>
        <w:top w:val="none" w:sz="0" w:space="0" w:color="auto"/>
        <w:left w:val="none" w:sz="0" w:space="0" w:color="auto"/>
        <w:bottom w:val="none" w:sz="0" w:space="0" w:color="auto"/>
        <w:right w:val="none" w:sz="0" w:space="0" w:color="auto"/>
      </w:divBdr>
    </w:div>
    <w:div w:id="527523643">
      <w:bodyDiv w:val="1"/>
      <w:marLeft w:val="0"/>
      <w:marRight w:val="0"/>
      <w:marTop w:val="0"/>
      <w:marBottom w:val="0"/>
      <w:divBdr>
        <w:top w:val="none" w:sz="0" w:space="0" w:color="auto"/>
        <w:left w:val="none" w:sz="0" w:space="0" w:color="auto"/>
        <w:bottom w:val="none" w:sz="0" w:space="0" w:color="auto"/>
        <w:right w:val="none" w:sz="0" w:space="0" w:color="auto"/>
      </w:divBdr>
      <w:divsChild>
        <w:div w:id="796068181">
          <w:marLeft w:val="0"/>
          <w:marRight w:val="0"/>
          <w:marTop w:val="0"/>
          <w:marBottom w:val="0"/>
          <w:divBdr>
            <w:top w:val="none" w:sz="0" w:space="0" w:color="auto"/>
            <w:left w:val="none" w:sz="0" w:space="0" w:color="auto"/>
            <w:bottom w:val="none" w:sz="0" w:space="0" w:color="auto"/>
            <w:right w:val="none" w:sz="0" w:space="0" w:color="auto"/>
          </w:divBdr>
          <w:divsChild>
            <w:div w:id="37167317">
              <w:marLeft w:val="0"/>
              <w:marRight w:val="0"/>
              <w:marTop w:val="0"/>
              <w:marBottom w:val="0"/>
              <w:divBdr>
                <w:top w:val="none" w:sz="0" w:space="0" w:color="auto"/>
                <w:left w:val="none" w:sz="0" w:space="0" w:color="auto"/>
                <w:bottom w:val="none" w:sz="0" w:space="0" w:color="auto"/>
                <w:right w:val="none" w:sz="0" w:space="0" w:color="auto"/>
              </w:divBdr>
            </w:div>
            <w:div w:id="170949385">
              <w:marLeft w:val="0"/>
              <w:marRight w:val="0"/>
              <w:marTop w:val="0"/>
              <w:marBottom w:val="0"/>
              <w:divBdr>
                <w:top w:val="none" w:sz="0" w:space="0" w:color="auto"/>
                <w:left w:val="none" w:sz="0" w:space="0" w:color="auto"/>
                <w:bottom w:val="none" w:sz="0" w:space="0" w:color="auto"/>
                <w:right w:val="none" w:sz="0" w:space="0" w:color="auto"/>
              </w:divBdr>
            </w:div>
            <w:div w:id="290325353">
              <w:marLeft w:val="0"/>
              <w:marRight w:val="0"/>
              <w:marTop w:val="0"/>
              <w:marBottom w:val="0"/>
              <w:divBdr>
                <w:top w:val="none" w:sz="0" w:space="0" w:color="auto"/>
                <w:left w:val="none" w:sz="0" w:space="0" w:color="auto"/>
                <w:bottom w:val="none" w:sz="0" w:space="0" w:color="auto"/>
                <w:right w:val="none" w:sz="0" w:space="0" w:color="auto"/>
              </w:divBdr>
            </w:div>
            <w:div w:id="309136326">
              <w:marLeft w:val="0"/>
              <w:marRight w:val="0"/>
              <w:marTop w:val="0"/>
              <w:marBottom w:val="0"/>
              <w:divBdr>
                <w:top w:val="none" w:sz="0" w:space="0" w:color="auto"/>
                <w:left w:val="none" w:sz="0" w:space="0" w:color="auto"/>
                <w:bottom w:val="none" w:sz="0" w:space="0" w:color="auto"/>
                <w:right w:val="none" w:sz="0" w:space="0" w:color="auto"/>
              </w:divBdr>
            </w:div>
            <w:div w:id="592781457">
              <w:marLeft w:val="0"/>
              <w:marRight w:val="0"/>
              <w:marTop w:val="0"/>
              <w:marBottom w:val="0"/>
              <w:divBdr>
                <w:top w:val="none" w:sz="0" w:space="0" w:color="auto"/>
                <w:left w:val="none" w:sz="0" w:space="0" w:color="auto"/>
                <w:bottom w:val="none" w:sz="0" w:space="0" w:color="auto"/>
                <w:right w:val="none" w:sz="0" w:space="0" w:color="auto"/>
              </w:divBdr>
            </w:div>
            <w:div w:id="760099690">
              <w:marLeft w:val="0"/>
              <w:marRight w:val="0"/>
              <w:marTop w:val="0"/>
              <w:marBottom w:val="0"/>
              <w:divBdr>
                <w:top w:val="none" w:sz="0" w:space="0" w:color="auto"/>
                <w:left w:val="none" w:sz="0" w:space="0" w:color="auto"/>
                <w:bottom w:val="none" w:sz="0" w:space="0" w:color="auto"/>
                <w:right w:val="none" w:sz="0" w:space="0" w:color="auto"/>
              </w:divBdr>
            </w:div>
            <w:div w:id="891622534">
              <w:marLeft w:val="0"/>
              <w:marRight w:val="0"/>
              <w:marTop w:val="0"/>
              <w:marBottom w:val="0"/>
              <w:divBdr>
                <w:top w:val="none" w:sz="0" w:space="0" w:color="auto"/>
                <w:left w:val="none" w:sz="0" w:space="0" w:color="auto"/>
                <w:bottom w:val="none" w:sz="0" w:space="0" w:color="auto"/>
                <w:right w:val="none" w:sz="0" w:space="0" w:color="auto"/>
              </w:divBdr>
            </w:div>
            <w:div w:id="982193510">
              <w:marLeft w:val="0"/>
              <w:marRight w:val="0"/>
              <w:marTop w:val="0"/>
              <w:marBottom w:val="0"/>
              <w:divBdr>
                <w:top w:val="none" w:sz="0" w:space="0" w:color="auto"/>
                <w:left w:val="none" w:sz="0" w:space="0" w:color="auto"/>
                <w:bottom w:val="none" w:sz="0" w:space="0" w:color="auto"/>
                <w:right w:val="none" w:sz="0" w:space="0" w:color="auto"/>
              </w:divBdr>
            </w:div>
            <w:div w:id="1015956151">
              <w:marLeft w:val="0"/>
              <w:marRight w:val="0"/>
              <w:marTop w:val="0"/>
              <w:marBottom w:val="0"/>
              <w:divBdr>
                <w:top w:val="none" w:sz="0" w:space="0" w:color="auto"/>
                <w:left w:val="none" w:sz="0" w:space="0" w:color="auto"/>
                <w:bottom w:val="none" w:sz="0" w:space="0" w:color="auto"/>
                <w:right w:val="none" w:sz="0" w:space="0" w:color="auto"/>
              </w:divBdr>
            </w:div>
            <w:div w:id="1086029435">
              <w:marLeft w:val="0"/>
              <w:marRight w:val="0"/>
              <w:marTop w:val="0"/>
              <w:marBottom w:val="0"/>
              <w:divBdr>
                <w:top w:val="none" w:sz="0" w:space="0" w:color="auto"/>
                <w:left w:val="none" w:sz="0" w:space="0" w:color="auto"/>
                <w:bottom w:val="none" w:sz="0" w:space="0" w:color="auto"/>
                <w:right w:val="none" w:sz="0" w:space="0" w:color="auto"/>
              </w:divBdr>
            </w:div>
            <w:div w:id="1316449754">
              <w:marLeft w:val="0"/>
              <w:marRight w:val="0"/>
              <w:marTop w:val="0"/>
              <w:marBottom w:val="0"/>
              <w:divBdr>
                <w:top w:val="none" w:sz="0" w:space="0" w:color="auto"/>
                <w:left w:val="none" w:sz="0" w:space="0" w:color="auto"/>
                <w:bottom w:val="none" w:sz="0" w:space="0" w:color="auto"/>
                <w:right w:val="none" w:sz="0" w:space="0" w:color="auto"/>
              </w:divBdr>
            </w:div>
            <w:div w:id="1322395180">
              <w:marLeft w:val="0"/>
              <w:marRight w:val="0"/>
              <w:marTop w:val="0"/>
              <w:marBottom w:val="0"/>
              <w:divBdr>
                <w:top w:val="none" w:sz="0" w:space="0" w:color="auto"/>
                <w:left w:val="none" w:sz="0" w:space="0" w:color="auto"/>
                <w:bottom w:val="none" w:sz="0" w:space="0" w:color="auto"/>
                <w:right w:val="none" w:sz="0" w:space="0" w:color="auto"/>
              </w:divBdr>
            </w:div>
            <w:div w:id="1329863842">
              <w:marLeft w:val="0"/>
              <w:marRight w:val="0"/>
              <w:marTop w:val="0"/>
              <w:marBottom w:val="0"/>
              <w:divBdr>
                <w:top w:val="none" w:sz="0" w:space="0" w:color="auto"/>
                <w:left w:val="none" w:sz="0" w:space="0" w:color="auto"/>
                <w:bottom w:val="none" w:sz="0" w:space="0" w:color="auto"/>
                <w:right w:val="none" w:sz="0" w:space="0" w:color="auto"/>
              </w:divBdr>
            </w:div>
            <w:div w:id="1348290967">
              <w:marLeft w:val="0"/>
              <w:marRight w:val="0"/>
              <w:marTop w:val="0"/>
              <w:marBottom w:val="0"/>
              <w:divBdr>
                <w:top w:val="none" w:sz="0" w:space="0" w:color="auto"/>
                <w:left w:val="none" w:sz="0" w:space="0" w:color="auto"/>
                <w:bottom w:val="none" w:sz="0" w:space="0" w:color="auto"/>
                <w:right w:val="none" w:sz="0" w:space="0" w:color="auto"/>
              </w:divBdr>
            </w:div>
            <w:div w:id="1545017097">
              <w:marLeft w:val="0"/>
              <w:marRight w:val="0"/>
              <w:marTop w:val="0"/>
              <w:marBottom w:val="0"/>
              <w:divBdr>
                <w:top w:val="none" w:sz="0" w:space="0" w:color="auto"/>
                <w:left w:val="none" w:sz="0" w:space="0" w:color="auto"/>
                <w:bottom w:val="none" w:sz="0" w:space="0" w:color="auto"/>
                <w:right w:val="none" w:sz="0" w:space="0" w:color="auto"/>
              </w:divBdr>
            </w:div>
            <w:div w:id="1865821564">
              <w:marLeft w:val="0"/>
              <w:marRight w:val="0"/>
              <w:marTop w:val="0"/>
              <w:marBottom w:val="0"/>
              <w:divBdr>
                <w:top w:val="none" w:sz="0" w:space="0" w:color="auto"/>
                <w:left w:val="none" w:sz="0" w:space="0" w:color="auto"/>
                <w:bottom w:val="none" w:sz="0" w:space="0" w:color="auto"/>
                <w:right w:val="none" w:sz="0" w:space="0" w:color="auto"/>
              </w:divBdr>
            </w:div>
            <w:div w:id="1877355506">
              <w:marLeft w:val="0"/>
              <w:marRight w:val="0"/>
              <w:marTop w:val="0"/>
              <w:marBottom w:val="0"/>
              <w:divBdr>
                <w:top w:val="none" w:sz="0" w:space="0" w:color="auto"/>
                <w:left w:val="none" w:sz="0" w:space="0" w:color="auto"/>
                <w:bottom w:val="none" w:sz="0" w:space="0" w:color="auto"/>
                <w:right w:val="none" w:sz="0" w:space="0" w:color="auto"/>
              </w:divBdr>
            </w:div>
            <w:div w:id="1884443360">
              <w:marLeft w:val="0"/>
              <w:marRight w:val="0"/>
              <w:marTop w:val="0"/>
              <w:marBottom w:val="0"/>
              <w:divBdr>
                <w:top w:val="none" w:sz="0" w:space="0" w:color="auto"/>
                <w:left w:val="none" w:sz="0" w:space="0" w:color="auto"/>
                <w:bottom w:val="none" w:sz="0" w:space="0" w:color="auto"/>
                <w:right w:val="none" w:sz="0" w:space="0" w:color="auto"/>
              </w:divBdr>
            </w:div>
            <w:div w:id="1898777535">
              <w:marLeft w:val="0"/>
              <w:marRight w:val="0"/>
              <w:marTop w:val="0"/>
              <w:marBottom w:val="0"/>
              <w:divBdr>
                <w:top w:val="none" w:sz="0" w:space="0" w:color="auto"/>
                <w:left w:val="none" w:sz="0" w:space="0" w:color="auto"/>
                <w:bottom w:val="none" w:sz="0" w:space="0" w:color="auto"/>
                <w:right w:val="none" w:sz="0" w:space="0" w:color="auto"/>
              </w:divBdr>
            </w:div>
            <w:div w:id="1900434189">
              <w:marLeft w:val="0"/>
              <w:marRight w:val="0"/>
              <w:marTop w:val="0"/>
              <w:marBottom w:val="0"/>
              <w:divBdr>
                <w:top w:val="none" w:sz="0" w:space="0" w:color="auto"/>
                <w:left w:val="none" w:sz="0" w:space="0" w:color="auto"/>
                <w:bottom w:val="none" w:sz="0" w:space="0" w:color="auto"/>
                <w:right w:val="none" w:sz="0" w:space="0" w:color="auto"/>
              </w:divBdr>
            </w:div>
            <w:div w:id="1929846387">
              <w:marLeft w:val="0"/>
              <w:marRight w:val="0"/>
              <w:marTop w:val="0"/>
              <w:marBottom w:val="0"/>
              <w:divBdr>
                <w:top w:val="none" w:sz="0" w:space="0" w:color="auto"/>
                <w:left w:val="none" w:sz="0" w:space="0" w:color="auto"/>
                <w:bottom w:val="none" w:sz="0" w:space="0" w:color="auto"/>
                <w:right w:val="none" w:sz="0" w:space="0" w:color="auto"/>
              </w:divBdr>
            </w:div>
            <w:div w:id="1984773622">
              <w:marLeft w:val="0"/>
              <w:marRight w:val="0"/>
              <w:marTop w:val="0"/>
              <w:marBottom w:val="0"/>
              <w:divBdr>
                <w:top w:val="none" w:sz="0" w:space="0" w:color="auto"/>
                <w:left w:val="none" w:sz="0" w:space="0" w:color="auto"/>
                <w:bottom w:val="none" w:sz="0" w:space="0" w:color="auto"/>
                <w:right w:val="none" w:sz="0" w:space="0" w:color="auto"/>
              </w:divBdr>
            </w:div>
            <w:div w:id="2042247605">
              <w:marLeft w:val="0"/>
              <w:marRight w:val="0"/>
              <w:marTop w:val="0"/>
              <w:marBottom w:val="0"/>
              <w:divBdr>
                <w:top w:val="none" w:sz="0" w:space="0" w:color="auto"/>
                <w:left w:val="none" w:sz="0" w:space="0" w:color="auto"/>
                <w:bottom w:val="none" w:sz="0" w:space="0" w:color="auto"/>
                <w:right w:val="none" w:sz="0" w:space="0" w:color="auto"/>
              </w:divBdr>
            </w:div>
            <w:div w:id="20894952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28835850">
      <w:bodyDiv w:val="1"/>
      <w:marLeft w:val="0"/>
      <w:marRight w:val="0"/>
      <w:marTop w:val="0"/>
      <w:marBottom w:val="0"/>
      <w:divBdr>
        <w:top w:val="none" w:sz="0" w:space="0" w:color="auto"/>
        <w:left w:val="none" w:sz="0" w:space="0" w:color="auto"/>
        <w:bottom w:val="none" w:sz="0" w:space="0" w:color="auto"/>
        <w:right w:val="none" w:sz="0" w:space="0" w:color="auto"/>
      </w:divBdr>
    </w:div>
    <w:div w:id="529103365">
      <w:bodyDiv w:val="1"/>
      <w:marLeft w:val="0"/>
      <w:marRight w:val="0"/>
      <w:marTop w:val="0"/>
      <w:marBottom w:val="0"/>
      <w:divBdr>
        <w:top w:val="none" w:sz="0" w:space="0" w:color="auto"/>
        <w:left w:val="none" w:sz="0" w:space="0" w:color="auto"/>
        <w:bottom w:val="none" w:sz="0" w:space="0" w:color="auto"/>
        <w:right w:val="none" w:sz="0" w:space="0" w:color="auto"/>
      </w:divBdr>
    </w:div>
    <w:div w:id="530074762">
      <w:bodyDiv w:val="1"/>
      <w:marLeft w:val="0"/>
      <w:marRight w:val="0"/>
      <w:marTop w:val="0"/>
      <w:marBottom w:val="0"/>
      <w:divBdr>
        <w:top w:val="none" w:sz="0" w:space="0" w:color="auto"/>
        <w:left w:val="none" w:sz="0" w:space="0" w:color="auto"/>
        <w:bottom w:val="none" w:sz="0" w:space="0" w:color="auto"/>
        <w:right w:val="none" w:sz="0" w:space="0" w:color="auto"/>
      </w:divBdr>
    </w:div>
    <w:div w:id="530608738">
      <w:bodyDiv w:val="1"/>
      <w:marLeft w:val="0"/>
      <w:marRight w:val="0"/>
      <w:marTop w:val="0"/>
      <w:marBottom w:val="0"/>
      <w:divBdr>
        <w:top w:val="none" w:sz="0" w:space="0" w:color="auto"/>
        <w:left w:val="none" w:sz="0" w:space="0" w:color="auto"/>
        <w:bottom w:val="none" w:sz="0" w:space="0" w:color="auto"/>
        <w:right w:val="none" w:sz="0" w:space="0" w:color="auto"/>
      </w:divBdr>
    </w:div>
    <w:div w:id="530730695">
      <w:bodyDiv w:val="1"/>
      <w:marLeft w:val="0"/>
      <w:marRight w:val="0"/>
      <w:marTop w:val="0"/>
      <w:marBottom w:val="0"/>
      <w:divBdr>
        <w:top w:val="none" w:sz="0" w:space="0" w:color="auto"/>
        <w:left w:val="none" w:sz="0" w:space="0" w:color="auto"/>
        <w:bottom w:val="none" w:sz="0" w:space="0" w:color="auto"/>
        <w:right w:val="none" w:sz="0" w:space="0" w:color="auto"/>
      </w:divBdr>
      <w:divsChild>
        <w:div w:id="59596463">
          <w:marLeft w:val="1166"/>
          <w:marRight w:val="0"/>
          <w:marTop w:val="96"/>
          <w:marBottom w:val="0"/>
          <w:divBdr>
            <w:top w:val="none" w:sz="0" w:space="0" w:color="auto"/>
            <w:left w:val="none" w:sz="0" w:space="0" w:color="auto"/>
            <w:bottom w:val="none" w:sz="0" w:space="0" w:color="auto"/>
            <w:right w:val="none" w:sz="0" w:space="0" w:color="auto"/>
          </w:divBdr>
        </w:div>
        <w:div w:id="1146820112">
          <w:marLeft w:val="1166"/>
          <w:marRight w:val="0"/>
          <w:marTop w:val="96"/>
          <w:marBottom w:val="0"/>
          <w:divBdr>
            <w:top w:val="none" w:sz="0" w:space="0" w:color="auto"/>
            <w:left w:val="none" w:sz="0" w:space="0" w:color="auto"/>
            <w:bottom w:val="none" w:sz="0" w:space="0" w:color="auto"/>
            <w:right w:val="none" w:sz="0" w:space="0" w:color="auto"/>
          </w:divBdr>
        </w:div>
        <w:div w:id="1528836951">
          <w:marLeft w:val="547"/>
          <w:marRight w:val="0"/>
          <w:marTop w:val="115"/>
          <w:marBottom w:val="0"/>
          <w:divBdr>
            <w:top w:val="none" w:sz="0" w:space="0" w:color="auto"/>
            <w:left w:val="none" w:sz="0" w:space="0" w:color="auto"/>
            <w:bottom w:val="none" w:sz="0" w:space="0" w:color="auto"/>
            <w:right w:val="none" w:sz="0" w:space="0" w:color="auto"/>
          </w:divBdr>
        </w:div>
        <w:div w:id="1585645582">
          <w:marLeft w:val="547"/>
          <w:marRight w:val="0"/>
          <w:marTop w:val="115"/>
          <w:marBottom w:val="0"/>
          <w:divBdr>
            <w:top w:val="none" w:sz="0" w:space="0" w:color="auto"/>
            <w:left w:val="none" w:sz="0" w:space="0" w:color="auto"/>
            <w:bottom w:val="none" w:sz="0" w:space="0" w:color="auto"/>
            <w:right w:val="none" w:sz="0" w:space="0" w:color="auto"/>
          </w:divBdr>
        </w:div>
        <w:div w:id="1739744982">
          <w:marLeft w:val="1166"/>
          <w:marRight w:val="0"/>
          <w:marTop w:val="96"/>
          <w:marBottom w:val="0"/>
          <w:divBdr>
            <w:top w:val="none" w:sz="0" w:space="0" w:color="auto"/>
            <w:left w:val="none" w:sz="0" w:space="0" w:color="auto"/>
            <w:bottom w:val="none" w:sz="0" w:space="0" w:color="auto"/>
            <w:right w:val="none" w:sz="0" w:space="0" w:color="auto"/>
          </w:divBdr>
        </w:div>
        <w:div w:id="1848591282">
          <w:marLeft w:val="1166"/>
          <w:marRight w:val="0"/>
          <w:marTop w:val="96"/>
          <w:marBottom w:val="0"/>
          <w:divBdr>
            <w:top w:val="none" w:sz="0" w:space="0" w:color="auto"/>
            <w:left w:val="none" w:sz="0" w:space="0" w:color="auto"/>
            <w:bottom w:val="none" w:sz="0" w:space="0" w:color="auto"/>
            <w:right w:val="none" w:sz="0" w:space="0" w:color="auto"/>
          </w:divBdr>
        </w:div>
        <w:div w:id="1867595592">
          <w:marLeft w:val="547"/>
          <w:marRight w:val="0"/>
          <w:marTop w:val="115"/>
          <w:marBottom w:val="0"/>
          <w:divBdr>
            <w:top w:val="none" w:sz="0" w:space="0" w:color="auto"/>
            <w:left w:val="none" w:sz="0" w:space="0" w:color="auto"/>
            <w:bottom w:val="none" w:sz="0" w:space="0" w:color="auto"/>
            <w:right w:val="none" w:sz="0" w:space="0" w:color="auto"/>
          </w:divBdr>
        </w:div>
      </w:divsChild>
    </w:div>
    <w:div w:id="531501528">
      <w:bodyDiv w:val="1"/>
      <w:marLeft w:val="0"/>
      <w:marRight w:val="0"/>
      <w:marTop w:val="0"/>
      <w:marBottom w:val="0"/>
      <w:divBdr>
        <w:top w:val="none" w:sz="0" w:space="0" w:color="auto"/>
        <w:left w:val="none" w:sz="0" w:space="0" w:color="auto"/>
        <w:bottom w:val="none" w:sz="0" w:space="0" w:color="auto"/>
        <w:right w:val="none" w:sz="0" w:space="0" w:color="auto"/>
      </w:divBdr>
    </w:div>
    <w:div w:id="532352925">
      <w:bodyDiv w:val="1"/>
      <w:marLeft w:val="0"/>
      <w:marRight w:val="0"/>
      <w:marTop w:val="0"/>
      <w:marBottom w:val="0"/>
      <w:divBdr>
        <w:top w:val="none" w:sz="0" w:space="0" w:color="auto"/>
        <w:left w:val="none" w:sz="0" w:space="0" w:color="auto"/>
        <w:bottom w:val="none" w:sz="0" w:space="0" w:color="auto"/>
        <w:right w:val="none" w:sz="0" w:space="0" w:color="auto"/>
      </w:divBdr>
      <w:divsChild>
        <w:div w:id="255284122">
          <w:marLeft w:val="1166"/>
          <w:marRight w:val="0"/>
          <w:marTop w:val="96"/>
          <w:marBottom w:val="0"/>
          <w:divBdr>
            <w:top w:val="none" w:sz="0" w:space="0" w:color="auto"/>
            <w:left w:val="none" w:sz="0" w:space="0" w:color="auto"/>
            <w:bottom w:val="none" w:sz="0" w:space="0" w:color="auto"/>
            <w:right w:val="none" w:sz="0" w:space="0" w:color="auto"/>
          </w:divBdr>
        </w:div>
        <w:div w:id="952829385">
          <w:marLeft w:val="547"/>
          <w:marRight w:val="0"/>
          <w:marTop w:val="96"/>
          <w:marBottom w:val="0"/>
          <w:divBdr>
            <w:top w:val="none" w:sz="0" w:space="0" w:color="auto"/>
            <w:left w:val="none" w:sz="0" w:space="0" w:color="auto"/>
            <w:bottom w:val="none" w:sz="0" w:space="0" w:color="auto"/>
            <w:right w:val="none" w:sz="0" w:space="0" w:color="auto"/>
          </w:divBdr>
        </w:div>
        <w:div w:id="1240600638">
          <w:marLeft w:val="547"/>
          <w:marRight w:val="0"/>
          <w:marTop w:val="96"/>
          <w:marBottom w:val="0"/>
          <w:divBdr>
            <w:top w:val="none" w:sz="0" w:space="0" w:color="auto"/>
            <w:left w:val="none" w:sz="0" w:space="0" w:color="auto"/>
            <w:bottom w:val="none" w:sz="0" w:space="0" w:color="auto"/>
            <w:right w:val="none" w:sz="0" w:space="0" w:color="auto"/>
          </w:divBdr>
        </w:div>
        <w:div w:id="1650012690">
          <w:marLeft w:val="1166"/>
          <w:marRight w:val="0"/>
          <w:marTop w:val="96"/>
          <w:marBottom w:val="0"/>
          <w:divBdr>
            <w:top w:val="none" w:sz="0" w:space="0" w:color="auto"/>
            <w:left w:val="none" w:sz="0" w:space="0" w:color="auto"/>
            <w:bottom w:val="none" w:sz="0" w:space="0" w:color="auto"/>
            <w:right w:val="none" w:sz="0" w:space="0" w:color="auto"/>
          </w:divBdr>
        </w:div>
        <w:div w:id="1789471918">
          <w:marLeft w:val="1166"/>
          <w:marRight w:val="0"/>
          <w:marTop w:val="96"/>
          <w:marBottom w:val="0"/>
          <w:divBdr>
            <w:top w:val="none" w:sz="0" w:space="0" w:color="auto"/>
            <w:left w:val="none" w:sz="0" w:space="0" w:color="auto"/>
            <w:bottom w:val="none" w:sz="0" w:space="0" w:color="auto"/>
            <w:right w:val="none" w:sz="0" w:space="0" w:color="auto"/>
          </w:divBdr>
        </w:div>
        <w:div w:id="1805541884">
          <w:marLeft w:val="1166"/>
          <w:marRight w:val="0"/>
          <w:marTop w:val="96"/>
          <w:marBottom w:val="0"/>
          <w:divBdr>
            <w:top w:val="none" w:sz="0" w:space="0" w:color="auto"/>
            <w:left w:val="none" w:sz="0" w:space="0" w:color="auto"/>
            <w:bottom w:val="none" w:sz="0" w:space="0" w:color="auto"/>
            <w:right w:val="none" w:sz="0" w:space="0" w:color="auto"/>
          </w:divBdr>
        </w:div>
        <w:div w:id="2038239940">
          <w:marLeft w:val="1166"/>
          <w:marRight w:val="0"/>
          <w:marTop w:val="96"/>
          <w:marBottom w:val="0"/>
          <w:divBdr>
            <w:top w:val="none" w:sz="0" w:space="0" w:color="auto"/>
            <w:left w:val="none" w:sz="0" w:space="0" w:color="auto"/>
            <w:bottom w:val="none" w:sz="0" w:space="0" w:color="auto"/>
            <w:right w:val="none" w:sz="0" w:space="0" w:color="auto"/>
          </w:divBdr>
        </w:div>
      </w:divsChild>
    </w:div>
    <w:div w:id="533423223">
      <w:bodyDiv w:val="1"/>
      <w:marLeft w:val="0"/>
      <w:marRight w:val="0"/>
      <w:marTop w:val="0"/>
      <w:marBottom w:val="0"/>
      <w:divBdr>
        <w:top w:val="none" w:sz="0" w:space="0" w:color="auto"/>
        <w:left w:val="none" w:sz="0" w:space="0" w:color="auto"/>
        <w:bottom w:val="none" w:sz="0" w:space="0" w:color="auto"/>
        <w:right w:val="none" w:sz="0" w:space="0" w:color="auto"/>
      </w:divBdr>
      <w:divsChild>
        <w:div w:id="159783198">
          <w:marLeft w:val="547"/>
          <w:marRight w:val="0"/>
          <w:marTop w:val="115"/>
          <w:marBottom w:val="0"/>
          <w:divBdr>
            <w:top w:val="none" w:sz="0" w:space="0" w:color="auto"/>
            <w:left w:val="none" w:sz="0" w:space="0" w:color="auto"/>
            <w:bottom w:val="none" w:sz="0" w:space="0" w:color="auto"/>
            <w:right w:val="none" w:sz="0" w:space="0" w:color="auto"/>
          </w:divBdr>
        </w:div>
        <w:div w:id="192885698">
          <w:marLeft w:val="1800"/>
          <w:marRight w:val="0"/>
          <w:marTop w:val="96"/>
          <w:marBottom w:val="0"/>
          <w:divBdr>
            <w:top w:val="none" w:sz="0" w:space="0" w:color="auto"/>
            <w:left w:val="none" w:sz="0" w:space="0" w:color="auto"/>
            <w:bottom w:val="none" w:sz="0" w:space="0" w:color="auto"/>
            <w:right w:val="none" w:sz="0" w:space="0" w:color="auto"/>
          </w:divBdr>
        </w:div>
        <w:div w:id="763376234">
          <w:marLeft w:val="547"/>
          <w:marRight w:val="0"/>
          <w:marTop w:val="115"/>
          <w:marBottom w:val="0"/>
          <w:divBdr>
            <w:top w:val="none" w:sz="0" w:space="0" w:color="auto"/>
            <w:left w:val="none" w:sz="0" w:space="0" w:color="auto"/>
            <w:bottom w:val="none" w:sz="0" w:space="0" w:color="auto"/>
            <w:right w:val="none" w:sz="0" w:space="0" w:color="auto"/>
          </w:divBdr>
        </w:div>
        <w:div w:id="1204905395">
          <w:marLeft w:val="1800"/>
          <w:marRight w:val="0"/>
          <w:marTop w:val="96"/>
          <w:marBottom w:val="0"/>
          <w:divBdr>
            <w:top w:val="none" w:sz="0" w:space="0" w:color="auto"/>
            <w:left w:val="none" w:sz="0" w:space="0" w:color="auto"/>
            <w:bottom w:val="none" w:sz="0" w:space="0" w:color="auto"/>
            <w:right w:val="none" w:sz="0" w:space="0" w:color="auto"/>
          </w:divBdr>
        </w:div>
        <w:div w:id="1301111568">
          <w:marLeft w:val="1166"/>
          <w:marRight w:val="0"/>
          <w:marTop w:val="96"/>
          <w:marBottom w:val="0"/>
          <w:divBdr>
            <w:top w:val="none" w:sz="0" w:space="0" w:color="auto"/>
            <w:left w:val="none" w:sz="0" w:space="0" w:color="auto"/>
            <w:bottom w:val="none" w:sz="0" w:space="0" w:color="auto"/>
            <w:right w:val="none" w:sz="0" w:space="0" w:color="auto"/>
          </w:divBdr>
        </w:div>
        <w:div w:id="1578830956">
          <w:marLeft w:val="1166"/>
          <w:marRight w:val="0"/>
          <w:marTop w:val="96"/>
          <w:marBottom w:val="0"/>
          <w:divBdr>
            <w:top w:val="none" w:sz="0" w:space="0" w:color="auto"/>
            <w:left w:val="none" w:sz="0" w:space="0" w:color="auto"/>
            <w:bottom w:val="none" w:sz="0" w:space="0" w:color="auto"/>
            <w:right w:val="none" w:sz="0" w:space="0" w:color="auto"/>
          </w:divBdr>
        </w:div>
      </w:divsChild>
    </w:div>
    <w:div w:id="535774470">
      <w:bodyDiv w:val="1"/>
      <w:marLeft w:val="0"/>
      <w:marRight w:val="0"/>
      <w:marTop w:val="0"/>
      <w:marBottom w:val="0"/>
      <w:divBdr>
        <w:top w:val="none" w:sz="0" w:space="0" w:color="auto"/>
        <w:left w:val="none" w:sz="0" w:space="0" w:color="auto"/>
        <w:bottom w:val="none" w:sz="0" w:space="0" w:color="auto"/>
        <w:right w:val="none" w:sz="0" w:space="0" w:color="auto"/>
      </w:divBdr>
      <w:divsChild>
        <w:div w:id="1990861023">
          <w:marLeft w:val="547"/>
          <w:marRight w:val="0"/>
          <w:marTop w:val="134"/>
          <w:marBottom w:val="120"/>
          <w:divBdr>
            <w:top w:val="none" w:sz="0" w:space="0" w:color="auto"/>
            <w:left w:val="none" w:sz="0" w:space="0" w:color="auto"/>
            <w:bottom w:val="none" w:sz="0" w:space="0" w:color="auto"/>
            <w:right w:val="none" w:sz="0" w:space="0" w:color="auto"/>
          </w:divBdr>
        </w:div>
      </w:divsChild>
    </w:div>
    <w:div w:id="535779480">
      <w:bodyDiv w:val="1"/>
      <w:marLeft w:val="0"/>
      <w:marRight w:val="0"/>
      <w:marTop w:val="0"/>
      <w:marBottom w:val="0"/>
      <w:divBdr>
        <w:top w:val="none" w:sz="0" w:space="0" w:color="auto"/>
        <w:left w:val="none" w:sz="0" w:space="0" w:color="auto"/>
        <w:bottom w:val="none" w:sz="0" w:space="0" w:color="auto"/>
        <w:right w:val="none" w:sz="0" w:space="0" w:color="auto"/>
      </w:divBdr>
    </w:div>
    <w:div w:id="536426841">
      <w:bodyDiv w:val="1"/>
      <w:marLeft w:val="0"/>
      <w:marRight w:val="0"/>
      <w:marTop w:val="0"/>
      <w:marBottom w:val="0"/>
      <w:divBdr>
        <w:top w:val="none" w:sz="0" w:space="0" w:color="auto"/>
        <w:left w:val="none" w:sz="0" w:space="0" w:color="auto"/>
        <w:bottom w:val="none" w:sz="0" w:space="0" w:color="auto"/>
        <w:right w:val="none" w:sz="0" w:space="0" w:color="auto"/>
      </w:divBdr>
    </w:div>
    <w:div w:id="536624302">
      <w:bodyDiv w:val="1"/>
      <w:marLeft w:val="0"/>
      <w:marRight w:val="0"/>
      <w:marTop w:val="0"/>
      <w:marBottom w:val="0"/>
      <w:divBdr>
        <w:top w:val="none" w:sz="0" w:space="0" w:color="auto"/>
        <w:left w:val="none" w:sz="0" w:space="0" w:color="auto"/>
        <w:bottom w:val="none" w:sz="0" w:space="0" w:color="auto"/>
        <w:right w:val="none" w:sz="0" w:space="0" w:color="auto"/>
      </w:divBdr>
    </w:div>
    <w:div w:id="537400866">
      <w:bodyDiv w:val="1"/>
      <w:marLeft w:val="0"/>
      <w:marRight w:val="0"/>
      <w:marTop w:val="0"/>
      <w:marBottom w:val="0"/>
      <w:divBdr>
        <w:top w:val="none" w:sz="0" w:space="0" w:color="auto"/>
        <w:left w:val="none" w:sz="0" w:space="0" w:color="auto"/>
        <w:bottom w:val="none" w:sz="0" w:space="0" w:color="auto"/>
        <w:right w:val="none" w:sz="0" w:space="0" w:color="auto"/>
      </w:divBdr>
    </w:div>
    <w:div w:id="538930314">
      <w:bodyDiv w:val="1"/>
      <w:marLeft w:val="0"/>
      <w:marRight w:val="0"/>
      <w:marTop w:val="0"/>
      <w:marBottom w:val="0"/>
      <w:divBdr>
        <w:top w:val="none" w:sz="0" w:space="0" w:color="auto"/>
        <w:left w:val="none" w:sz="0" w:space="0" w:color="auto"/>
        <w:bottom w:val="none" w:sz="0" w:space="0" w:color="auto"/>
        <w:right w:val="none" w:sz="0" w:space="0" w:color="auto"/>
      </w:divBdr>
    </w:div>
    <w:div w:id="540245024">
      <w:bodyDiv w:val="1"/>
      <w:marLeft w:val="0"/>
      <w:marRight w:val="0"/>
      <w:marTop w:val="0"/>
      <w:marBottom w:val="0"/>
      <w:divBdr>
        <w:top w:val="none" w:sz="0" w:space="0" w:color="auto"/>
        <w:left w:val="none" w:sz="0" w:space="0" w:color="auto"/>
        <w:bottom w:val="none" w:sz="0" w:space="0" w:color="auto"/>
        <w:right w:val="none" w:sz="0" w:space="0" w:color="auto"/>
      </w:divBdr>
    </w:div>
    <w:div w:id="540289301">
      <w:bodyDiv w:val="1"/>
      <w:marLeft w:val="0"/>
      <w:marRight w:val="0"/>
      <w:marTop w:val="0"/>
      <w:marBottom w:val="0"/>
      <w:divBdr>
        <w:top w:val="none" w:sz="0" w:space="0" w:color="auto"/>
        <w:left w:val="none" w:sz="0" w:space="0" w:color="auto"/>
        <w:bottom w:val="none" w:sz="0" w:space="0" w:color="auto"/>
        <w:right w:val="none" w:sz="0" w:space="0" w:color="auto"/>
      </w:divBdr>
      <w:divsChild>
        <w:div w:id="566309176">
          <w:marLeft w:val="547"/>
          <w:marRight w:val="0"/>
          <w:marTop w:val="154"/>
          <w:marBottom w:val="0"/>
          <w:divBdr>
            <w:top w:val="none" w:sz="0" w:space="0" w:color="auto"/>
            <w:left w:val="none" w:sz="0" w:space="0" w:color="auto"/>
            <w:bottom w:val="none" w:sz="0" w:space="0" w:color="auto"/>
            <w:right w:val="none" w:sz="0" w:space="0" w:color="auto"/>
          </w:divBdr>
        </w:div>
        <w:div w:id="610010761">
          <w:marLeft w:val="1166"/>
          <w:marRight w:val="0"/>
          <w:marTop w:val="134"/>
          <w:marBottom w:val="0"/>
          <w:divBdr>
            <w:top w:val="none" w:sz="0" w:space="0" w:color="auto"/>
            <w:left w:val="none" w:sz="0" w:space="0" w:color="auto"/>
            <w:bottom w:val="none" w:sz="0" w:space="0" w:color="auto"/>
            <w:right w:val="none" w:sz="0" w:space="0" w:color="auto"/>
          </w:divBdr>
        </w:div>
        <w:div w:id="859271643">
          <w:marLeft w:val="547"/>
          <w:marRight w:val="0"/>
          <w:marTop w:val="154"/>
          <w:marBottom w:val="0"/>
          <w:divBdr>
            <w:top w:val="none" w:sz="0" w:space="0" w:color="auto"/>
            <w:left w:val="none" w:sz="0" w:space="0" w:color="auto"/>
            <w:bottom w:val="none" w:sz="0" w:space="0" w:color="auto"/>
            <w:right w:val="none" w:sz="0" w:space="0" w:color="auto"/>
          </w:divBdr>
        </w:div>
        <w:div w:id="1191335266">
          <w:marLeft w:val="547"/>
          <w:marRight w:val="0"/>
          <w:marTop w:val="154"/>
          <w:marBottom w:val="0"/>
          <w:divBdr>
            <w:top w:val="none" w:sz="0" w:space="0" w:color="auto"/>
            <w:left w:val="none" w:sz="0" w:space="0" w:color="auto"/>
            <w:bottom w:val="none" w:sz="0" w:space="0" w:color="auto"/>
            <w:right w:val="none" w:sz="0" w:space="0" w:color="auto"/>
          </w:divBdr>
        </w:div>
        <w:div w:id="1365669707">
          <w:marLeft w:val="1166"/>
          <w:marRight w:val="0"/>
          <w:marTop w:val="134"/>
          <w:marBottom w:val="0"/>
          <w:divBdr>
            <w:top w:val="none" w:sz="0" w:space="0" w:color="auto"/>
            <w:left w:val="none" w:sz="0" w:space="0" w:color="auto"/>
            <w:bottom w:val="none" w:sz="0" w:space="0" w:color="auto"/>
            <w:right w:val="none" w:sz="0" w:space="0" w:color="auto"/>
          </w:divBdr>
        </w:div>
        <w:div w:id="1405298842">
          <w:marLeft w:val="1800"/>
          <w:marRight w:val="0"/>
          <w:marTop w:val="115"/>
          <w:marBottom w:val="0"/>
          <w:divBdr>
            <w:top w:val="none" w:sz="0" w:space="0" w:color="auto"/>
            <w:left w:val="none" w:sz="0" w:space="0" w:color="auto"/>
            <w:bottom w:val="none" w:sz="0" w:space="0" w:color="auto"/>
            <w:right w:val="none" w:sz="0" w:space="0" w:color="auto"/>
          </w:divBdr>
        </w:div>
      </w:divsChild>
    </w:div>
    <w:div w:id="540674508">
      <w:bodyDiv w:val="1"/>
      <w:marLeft w:val="0"/>
      <w:marRight w:val="0"/>
      <w:marTop w:val="0"/>
      <w:marBottom w:val="0"/>
      <w:divBdr>
        <w:top w:val="none" w:sz="0" w:space="0" w:color="auto"/>
        <w:left w:val="none" w:sz="0" w:space="0" w:color="auto"/>
        <w:bottom w:val="none" w:sz="0" w:space="0" w:color="auto"/>
        <w:right w:val="none" w:sz="0" w:space="0" w:color="auto"/>
      </w:divBdr>
      <w:divsChild>
        <w:div w:id="640427101">
          <w:marLeft w:val="1166"/>
          <w:marRight w:val="0"/>
          <w:marTop w:val="115"/>
          <w:marBottom w:val="0"/>
          <w:divBdr>
            <w:top w:val="none" w:sz="0" w:space="0" w:color="auto"/>
            <w:left w:val="none" w:sz="0" w:space="0" w:color="auto"/>
            <w:bottom w:val="none" w:sz="0" w:space="0" w:color="auto"/>
            <w:right w:val="none" w:sz="0" w:space="0" w:color="auto"/>
          </w:divBdr>
        </w:div>
        <w:div w:id="1497377881">
          <w:marLeft w:val="547"/>
          <w:marRight w:val="0"/>
          <w:marTop w:val="154"/>
          <w:marBottom w:val="0"/>
          <w:divBdr>
            <w:top w:val="none" w:sz="0" w:space="0" w:color="auto"/>
            <w:left w:val="none" w:sz="0" w:space="0" w:color="auto"/>
            <w:bottom w:val="none" w:sz="0" w:space="0" w:color="auto"/>
            <w:right w:val="none" w:sz="0" w:space="0" w:color="auto"/>
          </w:divBdr>
        </w:div>
        <w:div w:id="1933274570">
          <w:marLeft w:val="1166"/>
          <w:marRight w:val="0"/>
          <w:marTop w:val="115"/>
          <w:marBottom w:val="0"/>
          <w:divBdr>
            <w:top w:val="none" w:sz="0" w:space="0" w:color="auto"/>
            <w:left w:val="none" w:sz="0" w:space="0" w:color="auto"/>
            <w:bottom w:val="none" w:sz="0" w:space="0" w:color="auto"/>
            <w:right w:val="none" w:sz="0" w:space="0" w:color="auto"/>
          </w:divBdr>
        </w:div>
      </w:divsChild>
    </w:div>
    <w:div w:id="541092712">
      <w:bodyDiv w:val="1"/>
      <w:marLeft w:val="0"/>
      <w:marRight w:val="0"/>
      <w:marTop w:val="0"/>
      <w:marBottom w:val="0"/>
      <w:divBdr>
        <w:top w:val="none" w:sz="0" w:space="0" w:color="auto"/>
        <w:left w:val="none" w:sz="0" w:space="0" w:color="auto"/>
        <w:bottom w:val="none" w:sz="0" w:space="0" w:color="auto"/>
        <w:right w:val="none" w:sz="0" w:space="0" w:color="auto"/>
      </w:divBdr>
    </w:div>
    <w:div w:id="541359749">
      <w:bodyDiv w:val="1"/>
      <w:marLeft w:val="0"/>
      <w:marRight w:val="0"/>
      <w:marTop w:val="0"/>
      <w:marBottom w:val="0"/>
      <w:divBdr>
        <w:top w:val="none" w:sz="0" w:space="0" w:color="auto"/>
        <w:left w:val="none" w:sz="0" w:space="0" w:color="auto"/>
        <w:bottom w:val="none" w:sz="0" w:space="0" w:color="auto"/>
        <w:right w:val="none" w:sz="0" w:space="0" w:color="auto"/>
      </w:divBdr>
    </w:div>
    <w:div w:id="541407183">
      <w:bodyDiv w:val="1"/>
      <w:marLeft w:val="0"/>
      <w:marRight w:val="0"/>
      <w:marTop w:val="0"/>
      <w:marBottom w:val="0"/>
      <w:divBdr>
        <w:top w:val="none" w:sz="0" w:space="0" w:color="auto"/>
        <w:left w:val="none" w:sz="0" w:space="0" w:color="auto"/>
        <w:bottom w:val="none" w:sz="0" w:space="0" w:color="auto"/>
        <w:right w:val="none" w:sz="0" w:space="0" w:color="auto"/>
      </w:divBdr>
    </w:div>
    <w:div w:id="541870457">
      <w:bodyDiv w:val="1"/>
      <w:marLeft w:val="0"/>
      <w:marRight w:val="0"/>
      <w:marTop w:val="0"/>
      <w:marBottom w:val="0"/>
      <w:divBdr>
        <w:top w:val="none" w:sz="0" w:space="0" w:color="auto"/>
        <w:left w:val="none" w:sz="0" w:space="0" w:color="auto"/>
        <w:bottom w:val="none" w:sz="0" w:space="0" w:color="auto"/>
        <w:right w:val="none" w:sz="0" w:space="0" w:color="auto"/>
      </w:divBdr>
    </w:div>
    <w:div w:id="542059867">
      <w:bodyDiv w:val="1"/>
      <w:marLeft w:val="0"/>
      <w:marRight w:val="0"/>
      <w:marTop w:val="0"/>
      <w:marBottom w:val="0"/>
      <w:divBdr>
        <w:top w:val="none" w:sz="0" w:space="0" w:color="auto"/>
        <w:left w:val="none" w:sz="0" w:space="0" w:color="auto"/>
        <w:bottom w:val="none" w:sz="0" w:space="0" w:color="auto"/>
        <w:right w:val="none" w:sz="0" w:space="0" w:color="auto"/>
      </w:divBdr>
      <w:divsChild>
        <w:div w:id="1454789348">
          <w:marLeft w:val="0"/>
          <w:marRight w:val="0"/>
          <w:marTop w:val="0"/>
          <w:marBottom w:val="0"/>
          <w:divBdr>
            <w:top w:val="none" w:sz="0" w:space="0" w:color="auto"/>
            <w:left w:val="none" w:sz="0" w:space="0" w:color="auto"/>
            <w:bottom w:val="none" w:sz="0" w:space="0" w:color="auto"/>
            <w:right w:val="none" w:sz="0" w:space="0" w:color="auto"/>
          </w:divBdr>
          <w:divsChild>
            <w:div w:id="13195549">
              <w:marLeft w:val="0"/>
              <w:marRight w:val="0"/>
              <w:marTop w:val="0"/>
              <w:marBottom w:val="0"/>
              <w:divBdr>
                <w:top w:val="none" w:sz="0" w:space="0" w:color="auto"/>
                <w:left w:val="none" w:sz="0" w:space="0" w:color="auto"/>
                <w:bottom w:val="none" w:sz="0" w:space="0" w:color="auto"/>
                <w:right w:val="none" w:sz="0" w:space="0" w:color="auto"/>
              </w:divBdr>
            </w:div>
            <w:div w:id="178854958">
              <w:marLeft w:val="0"/>
              <w:marRight w:val="0"/>
              <w:marTop w:val="0"/>
              <w:marBottom w:val="0"/>
              <w:divBdr>
                <w:top w:val="none" w:sz="0" w:space="0" w:color="auto"/>
                <w:left w:val="none" w:sz="0" w:space="0" w:color="auto"/>
                <w:bottom w:val="none" w:sz="0" w:space="0" w:color="auto"/>
                <w:right w:val="none" w:sz="0" w:space="0" w:color="auto"/>
              </w:divBdr>
            </w:div>
            <w:div w:id="310671505">
              <w:marLeft w:val="0"/>
              <w:marRight w:val="0"/>
              <w:marTop w:val="0"/>
              <w:marBottom w:val="0"/>
              <w:divBdr>
                <w:top w:val="none" w:sz="0" w:space="0" w:color="auto"/>
                <w:left w:val="none" w:sz="0" w:space="0" w:color="auto"/>
                <w:bottom w:val="none" w:sz="0" w:space="0" w:color="auto"/>
                <w:right w:val="none" w:sz="0" w:space="0" w:color="auto"/>
              </w:divBdr>
            </w:div>
            <w:div w:id="476410618">
              <w:marLeft w:val="0"/>
              <w:marRight w:val="0"/>
              <w:marTop w:val="0"/>
              <w:marBottom w:val="0"/>
              <w:divBdr>
                <w:top w:val="none" w:sz="0" w:space="0" w:color="auto"/>
                <w:left w:val="none" w:sz="0" w:space="0" w:color="auto"/>
                <w:bottom w:val="none" w:sz="0" w:space="0" w:color="auto"/>
                <w:right w:val="none" w:sz="0" w:space="0" w:color="auto"/>
              </w:divBdr>
            </w:div>
            <w:div w:id="845904622">
              <w:marLeft w:val="0"/>
              <w:marRight w:val="0"/>
              <w:marTop w:val="0"/>
              <w:marBottom w:val="0"/>
              <w:divBdr>
                <w:top w:val="none" w:sz="0" w:space="0" w:color="auto"/>
                <w:left w:val="none" w:sz="0" w:space="0" w:color="auto"/>
                <w:bottom w:val="none" w:sz="0" w:space="0" w:color="auto"/>
                <w:right w:val="none" w:sz="0" w:space="0" w:color="auto"/>
              </w:divBdr>
            </w:div>
            <w:div w:id="952321715">
              <w:marLeft w:val="0"/>
              <w:marRight w:val="0"/>
              <w:marTop w:val="0"/>
              <w:marBottom w:val="0"/>
              <w:divBdr>
                <w:top w:val="none" w:sz="0" w:space="0" w:color="auto"/>
                <w:left w:val="none" w:sz="0" w:space="0" w:color="auto"/>
                <w:bottom w:val="none" w:sz="0" w:space="0" w:color="auto"/>
                <w:right w:val="none" w:sz="0" w:space="0" w:color="auto"/>
              </w:divBdr>
            </w:div>
            <w:div w:id="1031537754">
              <w:marLeft w:val="0"/>
              <w:marRight w:val="0"/>
              <w:marTop w:val="0"/>
              <w:marBottom w:val="0"/>
              <w:divBdr>
                <w:top w:val="none" w:sz="0" w:space="0" w:color="auto"/>
                <w:left w:val="none" w:sz="0" w:space="0" w:color="auto"/>
                <w:bottom w:val="none" w:sz="0" w:space="0" w:color="auto"/>
                <w:right w:val="none" w:sz="0" w:space="0" w:color="auto"/>
              </w:divBdr>
            </w:div>
            <w:div w:id="1297444782">
              <w:marLeft w:val="0"/>
              <w:marRight w:val="0"/>
              <w:marTop w:val="0"/>
              <w:marBottom w:val="0"/>
              <w:divBdr>
                <w:top w:val="none" w:sz="0" w:space="0" w:color="auto"/>
                <w:left w:val="none" w:sz="0" w:space="0" w:color="auto"/>
                <w:bottom w:val="none" w:sz="0" w:space="0" w:color="auto"/>
                <w:right w:val="none" w:sz="0" w:space="0" w:color="auto"/>
              </w:divBdr>
            </w:div>
            <w:div w:id="1775204308">
              <w:marLeft w:val="0"/>
              <w:marRight w:val="0"/>
              <w:marTop w:val="0"/>
              <w:marBottom w:val="0"/>
              <w:divBdr>
                <w:top w:val="none" w:sz="0" w:space="0" w:color="auto"/>
                <w:left w:val="none" w:sz="0" w:space="0" w:color="auto"/>
                <w:bottom w:val="none" w:sz="0" w:space="0" w:color="auto"/>
                <w:right w:val="none" w:sz="0" w:space="0" w:color="auto"/>
              </w:divBdr>
            </w:div>
            <w:div w:id="17752057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42451454">
      <w:bodyDiv w:val="1"/>
      <w:marLeft w:val="0"/>
      <w:marRight w:val="0"/>
      <w:marTop w:val="0"/>
      <w:marBottom w:val="0"/>
      <w:divBdr>
        <w:top w:val="none" w:sz="0" w:space="0" w:color="auto"/>
        <w:left w:val="none" w:sz="0" w:space="0" w:color="auto"/>
        <w:bottom w:val="none" w:sz="0" w:space="0" w:color="auto"/>
        <w:right w:val="none" w:sz="0" w:space="0" w:color="auto"/>
      </w:divBdr>
    </w:div>
    <w:div w:id="542600335">
      <w:bodyDiv w:val="1"/>
      <w:marLeft w:val="0"/>
      <w:marRight w:val="0"/>
      <w:marTop w:val="0"/>
      <w:marBottom w:val="0"/>
      <w:divBdr>
        <w:top w:val="none" w:sz="0" w:space="0" w:color="auto"/>
        <w:left w:val="none" w:sz="0" w:space="0" w:color="auto"/>
        <w:bottom w:val="none" w:sz="0" w:space="0" w:color="auto"/>
        <w:right w:val="none" w:sz="0" w:space="0" w:color="auto"/>
      </w:divBdr>
    </w:div>
    <w:div w:id="543323812">
      <w:bodyDiv w:val="1"/>
      <w:marLeft w:val="0"/>
      <w:marRight w:val="0"/>
      <w:marTop w:val="0"/>
      <w:marBottom w:val="0"/>
      <w:divBdr>
        <w:top w:val="none" w:sz="0" w:space="0" w:color="auto"/>
        <w:left w:val="none" w:sz="0" w:space="0" w:color="auto"/>
        <w:bottom w:val="none" w:sz="0" w:space="0" w:color="auto"/>
        <w:right w:val="none" w:sz="0" w:space="0" w:color="auto"/>
      </w:divBdr>
    </w:div>
    <w:div w:id="543441315">
      <w:bodyDiv w:val="1"/>
      <w:marLeft w:val="0"/>
      <w:marRight w:val="0"/>
      <w:marTop w:val="0"/>
      <w:marBottom w:val="0"/>
      <w:divBdr>
        <w:top w:val="none" w:sz="0" w:space="0" w:color="auto"/>
        <w:left w:val="none" w:sz="0" w:space="0" w:color="auto"/>
        <w:bottom w:val="none" w:sz="0" w:space="0" w:color="auto"/>
        <w:right w:val="none" w:sz="0" w:space="0" w:color="auto"/>
      </w:divBdr>
    </w:div>
    <w:div w:id="545338074">
      <w:bodyDiv w:val="1"/>
      <w:marLeft w:val="0"/>
      <w:marRight w:val="0"/>
      <w:marTop w:val="0"/>
      <w:marBottom w:val="0"/>
      <w:divBdr>
        <w:top w:val="none" w:sz="0" w:space="0" w:color="auto"/>
        <w:left w:val="none" w:sz="0" w:space="0" w:color="auto"/>
        <w:bottom w:val="none" w:sz="0" w:space="0" w:color="auto"/>
        <w:right w:val="none" w:sz="0" w:space="0" w:color="auto"/>
      </w:divBdr>
      <w:divsChild>
        <w:div w:id="237786686">
          <w:marLeft w:val="547"/>
          <w:marRight w:val="0"/>
          <w:marTop w:val="134"/>
          <w:marBottom w:val="120"/>
          <w:divBdr>
            <w:top w:val="none" w:sz="0" w:space="0" w:color="auto"/>
            <w:left w:val="none" w:sz="0" w:space="0" w:color="auto"/>
            <w:bottom w:val="none" w:sz="0" w:space="0" w:color="auto"/>
            <w:right w:val="none" w:sz="0" w:space="0" w:color="auto"/>
          </w:divBdr>
        </w:div>
      </w:divsChild>
    </w:div>
    <w:div w:id="545987425">
      <w:bodyDiv w:val="1"/>
      <w:marLeft w:val="0"/>
      <w:marRight w:val="0"/>
      <w:marTop w:val="0"/>
      <w:marBottom w:val="0"/>
      <w:divBdr>
        <w:top w:val="none" w:sz="0" w:space="0" w:color="auto"/>
        <w:left w:val="none" w:sz="0" w:space="0" w:color="auto"/>
        <w:bottom w:val="none" w:sz="0" w:space="0" w:color="auto"/>
        <w:right w:val="none" w:sz="0" w:space="0" w:color="auto"/>
      </w:divBdr>
    </w:div>
    <w:div w:id="546063825">
      <w:bodyDiv w:val="1"/>
      <w:marLeft w:val="0"/>
      <w:marRight w:val="0"/>
      <w:marTop w:val="0"/>
      <w:marBottom w:val="0"/>
      <w:divBdr>
        <w:top w:val="none" w:sz="0" w:space="0" w:color="auto"/>
        <w:left w:val="none" w:sz="0" w:space="0" w:color="auto"/>
        <w:bottom w:val="none" w:sz="0" w:space="0" w:color="auto"/>
        <w:right w:val="none" w:sz="0" w:space="0" w:color="auto"/>
      </w:divBdr>
      <w:divsChild>
        <w:div w:id="112090800">
          <w:marLeft w:val="0"/>
          <w:marRight w:val="0"/>
          <w:marTop w:val="0"/>
          <w:marBottom w:val="0"/>
          <w:divBdr>
            <w:top w:val="none" w:sz="0" w:space="0" w:color="auto"/>
            <w:left w:val="none" w:sz="0" w:space="0" w:color="auto"/>
            <w:bottom w:val="none" w:sz="0" w:space="0" w:color="auto"/>
            <w:right w:val="none" w:sz="0" w:space="0" w:color="auto"/>
          </w:divBdr>
          <w:divsChild>
            <w:div w:id="1249732571">
              <w:marLeft w:val="0"/>
              <w:marRight w:val="0"/>
              <w:marTop w:val="0"/>
              <w:marBottom w:val="0"/>
              <w:divBdr>
                <w:top w:val="none" w:sz="0" w:space="0" w:color="auto"/>
                <w:left w:val="none" w:sz="0" w:space="0" w:color="auto"/>
                <w:bottom w:val="none" w:sz="0" w:space="0" w:color="auto"/>
                <w:right w:val="none" w:sz="0" w:space="0" w:color="auto"/>
              </w:divBdr>
            </w:div>
            <w:div w:id="1310667111">
              <w:marLeft w:val="0"/>
              <w:marRight w:val="0"/>
              <w:marTop w:val="0"/>
              <w:marBottom w:val="0"/>
              <w:divBdr>
                <w:top w:val="none" w:sz="0" w:space="0" w:color="auto"/>
                <w:left w:val="none" w:sz="0" w:space="0" w:color="auto"/>
                <w:bottom w:val="none" w:sz="0" w:space="0" w:color="auto"/>
                <w:right w:val="none" w:sz="0" w:space="0" w:color="auto"/>
              </w:divBdr>
            </w:div>
            <w:div w:id="1571043372">
              <w:marLeft w:val="0"/>
              <w:marRight w:val="0"/>
              <w:marTop w:val="0"/>
              <w:marBottom w:val="0"/>
              <w:divBdr>
                <w:top w:val="none" w:sz="0" w:space="0" w:color="auto"/>
                <w:left w:val="none" w:sz="0" w:space="0" w:color="auto"/>
                <w:bottom w:val="none" w:sz="0" w:space="0" w:color="auto"/>
                <w:right w:val="none" w:sz="0" w:space="0" w:color="auto"/>
              </w:divBdr>
            </w:div>
            <w:div w:id="1901093306">
              <w:marLeft w:val="0"/>
              <w:marRight w:val="0"/>
              <w:marTop w:val="0"/>
              <w:marBottom w:val="0"/>
              <w:divBdr>
                <w:top w:val="none" w:sz="0" w:space="0" w:color="auto"/>
                <w:left w:val="none" w:sz="0" w:space="0" w:color="auto"/>
                <w:bottom w:val="none" w:sz="0" w:space="0" w:color="auto"/>
                <w:right w:val="none" w:sz="0" w:space="0" w:color="auto"/>
              </w:divBdr>
            </w:div>
            <w:div w:id="19724446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47256538">
      <w:bodyDiv w:val="1"/>
      <w:marLeft w:val="0"/>
      <w:marRight w:val="0"/>
      <w:marTop w:val="0"/>
      <w:marBottom w:val="0"/>
      <w:divBdr>
        <w:top w:val="none" w:sz="0" w:space="0" w:color="auto"/>
        <w:left w:val="none" w:sz="0" w:space="0" w:color="auto"/>
        <w:bottom w:val="none" w:sz="0" w:space="0" w:color="auto"/>
        <w:right w:val="none" w:sz="0" w:space="0" w:color="auto"/>
      </w:divBdr>
    </w:div>
    <w:div w:id="547379867">
      <w:bodyDiv w:val="1"/>
      <w:marLeft w:val="0"/>
      <w:marRight w:val="0"/>
      <w:marTop w:val="0"/>
      <w:marBottom w:val="0"/>
      <w:divBdr>
        <w:top w:val="none" w:sz="0" w:space="0" w:color="auto"/>
        <w:left w:val="none" w:sz="0" w:space="0" w:color="auto"/>
        <w:bottom w:val="none" w:sz="0" w:space="0" w:color="auto"/>
        <w:right w:val="none" w:sz="0" w:space="0" w:color="auto"/>
      </w:divBdr>
    </w:div>
    <w:div w:id="547689358">
      <w:bodyDiv w:val="1"/>
      <w:marLeft w:val="0"/>
      <w:marRight w:val="0"/>
      <w:marTop w:val="0"/>
      <w:marBottom w:val="0"/>
      <w:divBdr>
        <w:top w:val="none" w:sz="0" w:space="0" w:color="auto"/>
        <w:left w:val="none" w:sz="0" w:space="0" w:color="auto"/>
        <w:bottom w:val="none" w:sz="0" w:space="0" w:color="auto"/>
        <w:right w:val="none" w:sz="0" w:space="0" w:color="auto"/>
      </w:divBdr>
    </w:div>
    <w:div w:id="547913289">
      <w:bodyDiv w:val="1"/>
      <w:marLeft w:val="0"/>
      <w:marRight w:val="0"/>
      <w:marTop w:val="0"/>
      <w:marBottom w:val="0"/>
      <w:divBdr>
        <w:top w:val="none" w:sz="0" w:space="0" w:color="auto"/>
        <w:left w:val="none" w:sz="0" w:space="0" w:color="auto"/>
        <w:bottom w:val="none" w:sz="0" w:space="0" w:color="auto"/>
        <w:right w:val="none" w:sz="0" w:space="0" w:color="auto"/>
      </w:divBdr>
    </w:div>
    <w:div w:id="548107174">
      <w:bodyDiv w:val="1"/>
      <w:marLeft w:val="0"/>
      <w:marRight w:val="0"/>
      <w:marTop w:val="0"/>
      <w:marBottom w:val="0"/>
      <w:divBdr>
        <w:top w:val="none" w:sz="0" w:space="0" w:color="auto"/>
        <w:left w:val="none" w:sz="0" w:space="0" w:color="auto"/>
        <w:bottom w:val="none" w:sz="0" w:space="0" w:color="auto"/>
        <w:right w:val="none" w:sz="0" w:space="0" w:color="auto"/>
      </w:divBdr>
    </w:div>
    <w:div w:id="548154125">
      <w:bodyDiv w:val="1"/>
      <w:marLeft w:val="0"/>
      <w:marRight w:val="0"/>
      <w:marTop w:val="0"/>
      <w:marBottom w:val="0"/>
      <w:divBdr>
        <w:top w:val="none" w:sz="0" w:space="0" w:color="auto"/>
        <w:left w:val="none" w:sz="0" w:space="0" w:color="auto"/>
        <w:bottom w:val="none" w:sz="0" w:space="0" w:color="auto"/>
        <w:right w:val="none" w:sz="0" w:space="0" w:color="auto"/>
      </w:divBdr>
      <w:divsChild>
        <w:div w:id="1585067616">
          <w:marLeft w:val="0"/>
          <w:marRight w:val="0"/>
          <w:marTop w:val="0"/>
          <w:marBottom w:val="0"/>
          <w:divBdr>
            <w:top w:val="none" w:sz="0" w:space="0" w:color="auto"/>
            <w:left w:val="none" w:sz="0" w:space="0" w:color="auto"/>
            <w:bottom w:val="none" w:sz="0" w:space="0" w:color="auto"/>
            <w:right w:val="none" w:sz="0" w:space="0" w:color="auto"/>
          </w:divBdr>
        </w:div>
      </w:divsChild>
    </w:div>
    <w:div w:id="548306087">
      <w:bodyDiv w:val="1"/>
      <w:marLeft w:val="0"/>
      <w:marRight w:val="0"/>
      <w:marTop w:val="0"/>
      <w:marBottom w:val="0"/>
      <w:divBdr>
        <w:top w:val="none" w:sz="0" w:space="0" w:color="auto"/>
        <w:left w:val="none" w:sz="0" w:space="0" w:color="auto"/>
        <w:bottom w:val="none" w:sz="0" w:space="0" w:color="auto"/>
        <w:right w:val="none" w:sz="0" w:space="0" w:color="auto"/>
      </w:divBdr>
      <w:divsChild>
        <w:div w:id="250050843">
          <w:marLeft w:val="0"/>
          <w:marRight w:val="0"/>
          <w:marTop w:val="0"/>
          <w:marBottom w:val="0"/>
          <w:divBdr>
            <w:top w:val="none" w:sz="0" w:space="0" w:color="auto"/>
            <w:left w:val="none" w:sz="0" w:space="0" w:color="auto"/>
            <w:bottom w:val="none" w:sz="0" w:space="0" w:color="auto"/>
            <w:right w:val="none" w:sz="0" w:space="0" w:color="auto"/>
          </w:divBdr>
          <w:divsChild>
            <w:div w:id="126822775">
              <w:marLeft w:val="0"/>
              <w:marRight w:val="0"/>
              <w:marTop w:val="0"/>
              <w:marBottom w:val="0"/>
              <w:divBdr>
                <w:top w:val="none" w:sz="0" w:space="0" w:color="auto"/>
                <w:left w:val="none" w:sz="0" w:space="0" w:color="auto"/>
                <w:bottom w:val="none" w:sz="0" w:space="0" w:color="auto"/>
                <w:right w:val="none" w:sz="0" w:space="0" w:color="auto"/>
              </w:divBdr>
            </w:div>
            <w:div w:id="463012975">
              <w:marLeft w:val="0"/>
              <w:marRight w:val="0"/>
              <w:marTop w:val="0"/>
              <w:marBottom w:val="0"/>
              <w:divBdr>
                <w:top w:val="none" w:sz="0" w:space="0" w:color="auto"/>
                <w:left w:val="none" w:sz="0" w:space="0" w:color="auto"/>
                <w:bottom w:val="none" w:sz="0" w:space="0" w:color="auto"/>
                <w:right w:val="none" w:sz="0" w:space="0" w:color="auto"/>
              </w:divBdr>
            </w:div>
            <w:div w:id="690838797">
              <w:marLeft w:val="0"/>
              <w:marRight w:val="0"/>
              <w:marTop w:val="0"/>
              <w:marBottom w:val="0"/>
              <w:divBdr>
                <w:top w:val="none" w:sz="0" w:space="0" w:color="auto"/>
                <w:left w:val="none" w:sz="0" w:space="0" w:color="auto"/>
                <w:bottom w:val="none" w:sz="0" w:space="0" w:color="auto"/>
                <w:right w:val="none" w:sz="0" w:space="0" w:color="auto"/>
              </w:divBdr>
            </w:div>
            <w:div w:id="1177429842">
              <w:marLeft w:val="0"/>
              <w:marRight w:val="0"/>
              <w:marTop w:val="0"/>
              <w:marBottom w:val="0"/>
              <w:divBdr>
                <w:top w:val="none" w:sz="0" w:space="0" w:color="auto"/>
                <w:left w:val="none" w:sz="0" w:space="0" w:color="auto"/>
                <w:bottom w:val="none" w:sz="0" w:space="0" w:color="auto"/>
                <w:right w:val="none" w:sz="0" w:space="0" w:color="auto"/>
              </w:divBdr>
            </w:div>
            <w:div w:id="1481729713">
              <w:marLeft w:val="0"/>
              <w:marRight w:val="0"/>
              <w:marTop w:val="0"/>
              <w:marBottom w:val="0"/>
              <w:divBdr>
                <w:top w:val="none" w:sz="0" w:space="0" w:color="auto"/>
                <w:left w:val="none" w:sz="0" w:space="0" w:color="auto"/>
                <w:bottom w:val="none" w:sz="0" w:space="0" w:color="auto"/>
                <w:right w:val="none" w:sz="0" w:space="0" w:color="auto"/>
              </w:divBdr>
            </w:div>
            <w:div w:id="1488861124">
              <w:marLeft w:val="0"/>
              <w:marRight w:val="0"/>
              <w:marTop w:val="0"/>
              <w:marBottom w:val="0"/>
              <w:divBdr>
                <w:top w:val="none" w:sz="0" w:space="0" w:color="auto"/>
                <w:left w:val="none" w:sz="0" w:space="0" w:color="auto"/>
                <w:bottom w:val="none" w:sz="0" w:space="0" w:color="auto"/>
                <w:right w:val="none" w:sz="0" w:space="0" w:color="auto"/>
              </w:divBdr>
            </w:div>
            <w:div w:id="18837901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49221579">
      <w:bodyDiv w:val="1"/>
      <w:marLeft w:val="0"/>
      <w:marRight w:val="0"/>
      <w:marTop w:val="0"/>
      <w:marBottom w:val="0"/>
      <w:divBdr>
        <w:top w:val="none" w:sz="0" w:space="0" w:color="auto"/>
        <w:left w:val="none" w:sz="0" w:space="0" w:color="auto"/>
        <w:bottom w:val="none" w:sz="0" w:space="0" w:color="auto"/>
        <w:right w:val="none" w:sz="0" w:space="0" w:color="auto"/>
      </w:divBdr>
    </w:div>
    <w:div w:id="549805541">
      <w:bodyDiv w:val="1"/>
      <w:marLeft w:val="0"/>
      <w:marRight w:val="0"/>
      <w:marTop w:val="0"/>
      <w:marBottom w:val="0"/>
      <w:divBdr>
        <w:top w:val="none" w:sz="0" w:space="0" w:color="auto"/>
        <w:left w:val="none" w:sz="0" w:space="0" w:color="auto"/>
        <w:bottom w:val="none" w:sz="0" w:space="0" w:color="auto"/>
        <w:right w:val="none" w:sz="0" w:space="0" w:color="auto"/>
      </w:divBdr>
      <w:divsChild>
        <w:div w:id="88237614">
          <w:marLeft w:val="1800"/>
          <w:marRight w:val="0"/>
          <w:marTop w:val="77"/>
          <w:marBottom w:val="0"/>
          <w:divBdr>
            <w:top w:val="none" w:sz="0" w:space="0" w:color="auto"/>
            <w:left w:val="none" w:sz="0" w:space="0" w:color="auto"/>
            <w:bottom w:val="none" w:sz="0" w:space="0" w:color="auto"/>
            <w:right w:val="none" w:sz="0" w:space="0" w:color="auto"/>
          </w:divBdr>
        </w:div>
        <w:div w:id="704796174">
          <w:marLeft w:val="547"/>
          <w:marRight w:val="0"/>
          <w:marTop w:val="115"/>
          <w:marBottom w:val="0"/>
          <w:divBdr>
            <w:top w:val="none" w:sz="0" w:space="0" w:color="auto"/>
            <w:left w:val="none" w:sz="0" w:space="0" w:color="auto"/>
            <w:bottom w:val="none" w:sz="0" w:space="0" w:color="auto"/>
            <w:right w:val="none" w:sz="0" w:space="0" w:color="auto"/>
          </w:divBdr>
        </w:div>
        <w:div w:id="910232942">
          <w:marLeft w:val="1166"/>
          <w:marRight w:val="0"/>
          <w:marTop w:val="96"/>
          <w:marBottom w:val="0"/>
          <w:divBdr>
            <w:top w:val="none" w:sz="0" w:space="0" w:color="auto"/>
            <w:left w:val="none" w:sz="0" w:space="0" w:color="auto"/>
            <w:bottom w:val="none" w:sz="0" w:space="0" w:color="auto"/>
            <w:right w:val="none" w:sz="0" w:space="0" w:color="auto"/>
          </w:divBdr>
        </w:div>
        <w:div w:id="999581893">
          <w:marLeft w:val="547"/>
          <w:marRight w:val="0"/>
          <w:marTop w:val="115"/>
          <w:marBottom w:val="0"/>
          <w:divBdr>
            <w:top w:val="none" w:sz="0" w:space="0" w:color="auto"/>
            <w:left w:val="none" w:sz="0" w:space="0" w:color="auto"/>
            <w:bottom w:val="none" w:sz="0" w:space="0" w:color="auto"/>
            <w:right w:val="none" w:sz="0" w:space="0" w:color="auto"/>
          </w:divBdr>
        </w:div>
        <w:div w:id="1526868156">
          <w:marLeft w:val="1166"/>
          <w:marRight w:val="0"/>
          <w:marTop w:val="96"/>
          <w:marBottom w:val="0"/>
          <w:divBdr>
            <w:top w:val="none" w:sz="0" w:space="0" w:color="auto"/>
            <w:left w:val="none" w:sz="0" w:space="0" w:color="auto"/>
            <w:bottom w:val="none" w:sz="0" w:space="0" w:color="auto"/>
            <w:right w:val="none" w:sz="0" w:space="0" w:color="auto"/>
          </w:divBdr>
        </w:div>
        <w:div w:id="1721905955">
          <w:marLeft w:val="1800"/>
          <w:marRight w:val="0"/>
          <w:marTop w:val="77"/>
          <w:marBottom w:val="0"/>
          <w:divBdr>
            <w:top w:val="none" w:sz="0" w:space="0" w:color="auto"/>
            <w:left w:val="none" w:sz="0" w:space="0" w:color="auto"/>
            <w:bottom w:val="none" w:sz="0" w:space="0" w:color="auto"/>
            <w:right w:val="none" w:sz="0" w:space="0" w:color="auto"/>
          </w:divBdr>
        </w:div>
        <w:div w:id="1926761005">
          <w:marLeft w:val="1800"/>
          <w:marRight w:val="0"/>
          <w:marTop w:val="77"/>
          <w:marBottom w:val="0"/>
          <w:divBdr>
            <w:top w:val="none" w:sz="0" w:space="0" w:color="auto"/>
            <w:left w:val="none" w:sz="0" w:space="0" w:color="auto"/>
            <w:bottom w:val="none" w:sz="0" w:space="0" w:color="auto"/>
            <w:right w:val="none" w:sz="0" w:space="0" w:color="auto"/>
          </w:divBdr>
        </w:div>
      </w:divsChild>
    </w:div>
    <w:div w:id="550071492">
      <w:bodyDiv w:val="1"/>
      <w:marLeft w:val="0"/>
      <w:marRight w:val="0"/>
      <w:marTop w:val="0"/>
      <w:marBottom w:val="0"/>
      <w:divBdr>
        <w:top w:val="none" w:sz="0" w:space="0" w:color="auto"/>
        <w:left w:val="none" w:sz="0" w:space="0" w:color="auto"/>
        <w:bottom w:val="none" w:sz="0" w:space="0" w:color="auto"/>
        <w:right w:val="none" w:sz="0" w:space="0" w:color="auto"/>
      </w:divBdr>
    </w:div>
    <w:div w:id="550503087">
      <w:bodyDiv w:val="1"/>
      <w:marLeft w:val="0"/>
      <w:marRight w:val="0"/>
      <w:marTop w:val="0"/>
      <w:marBottom w:val="0"/>
      <w:divBdr>
        <w:top w:val="none" w:sz="0" w:space="0" w:color="auto"/>
        <w:left w:val="none" w:sz="0" w:space="0" w:color="auto"/>
        <w:bottom w:val="none" w:sz="0" w:space="0" w:color="auto"/>
        <w:right w:val="none" w:sz="0" w:space="0" w:color="auto"/>
      </w:divBdr>
    </w:div>
    <w:div w:id="550921519">
      <w:bodyDiv w:val="1"/>
      <w:marLeft w:val="0"/>
      <w:marRight w:val="0"/>
      <w:marTop w:val="0"/>
      <w:marBottom w:val="0"/>
      <w:divBdr>
        <w:top w:val="none" w:sz="0" w:space="0" w:color="auto"/>
        <w:left w:val="none" w:sz="0" w:space="0" w:color="auto"/>
        <w:bottom w:val="none" w:sz="0" w:space="0" w:color="auto"/>
        <w:right w:val="none" w:sz="0" w:space="0" w:color="auto"/>
      </w:divBdr>
      <w:divsChild>
        <w:div w:id="597324868">
          <w:marLeft w:val="547"/>
          <w:marRight w:val="0"/>
          <w:marTop w:val="115"/>
          <w:marBottom w:val="0"/>
          <w:divBdr>
            <w:top w:val="none" w:sz="0" w:space="0" w:color="auto"/>
            <w:left w:val="none" w:sz="0" w:space="0" w:color="auto"/>
            <w:bottom w:val="none" w:sz="0" w:space="0" w:color="auto"/>
            <w:right w:val="none" w:sz="0" w:space="0" w:color="auto"/>
          </w:divBdr>
        </w:div>
        <w:div w:id="760294184">
          <w:marLeft w:val="1800"/>
          <w:marRight w:val="0"/>
          <w:marTop w:val="77"/>
          <w:marBottom w:val="0"/>
          <w:divBdr>
            <w:top w:val="none" w:sz="0" w:space="0" w:color="auto"/>
            <w:left w:val="none" w:sz="0" w:space="0" w:color="auto"/>
            <w:bottom w:val="none" w:sz="0" w:space="0" w:color="auto"/>
            <w:right w:val="none" w:sz="0" w:space="0" w:color="auto"/>
          </w:divBdr>
        </w:div>
        <w:div w:id="893321313">
          <w:marLeft w:val="1800"/>
          <w:marRight w:val="0"/>
          <w:marTop w:val="77"/>
          <w:marBottom w:val="0"/>
          <w:divBdr>
            <w:top w:val="none" w:sz="0" w:space="0" w:color="auto"/>
            <w:left w:val="none" w:sz="0" w:space="0" w:color="auto"/>
            <w:bottom w:val="none" w:sz="0" w:space="0" w:color="auto"/>
            <w:right w:val="none" w:sz="0" w:space="0" w:color="auto"/>
          </w:divBdr>
        </w:div>
        <w:div w:id="1399745868">
          <w:marLeft w:val="1166"/>
          <w:marRight w:val="0"/>
          <w:marTop w:val="96"/>
          <w:marBottom w:val="0"/>
          <w:divBdr>
            <w:top w:val="none" w:sz="0" w:space="0" w:color="auto"/>
            <w:left w:val="none" w:sz="0" w:space="0" w:color="auto"/>
            <w:bottom w:val="none" w:sz="0" w:space="0" w:color="auto"/>
            <w:right w:val="none" w:sz="0" w:space="0" w:color="auto"/>
          </w:divBdr>
        </w:div>
        <w:div w:id="2016884540">
          <w:marLeft w:val="1166"/>
          <w:marRight w:val="0"/>
          <w:marTop w:val="96"/>
          <w:marBottom w:val="0"/>
          <w:divBdr>
            <w:top w:val="none" w:sz="0" w:space="0" w:color="auto"/>
            <w:left w:val="none" w:sz="0" w:space="0" w:color="auto"/>
            <w:bottom w:val="none" w:sz="0" w:space="0" w:color="auto"/>
            <w:right w:val="none" w:sz="0" w:space="0" w:color="auto"/>
          </w:divBdr>
        </w:div>
      </w:divsChild>
    </w:div>
    <w:div w:id="552086114">
      <w:bodyDiv w:val="1"/>
      <w:marLeft w:val="0"/>
      <w:marRight w:val="0"/>
      <w:marTop w:val="0"/>
      <w:marBottom w:val="0"/>
      <w:divBdr>
        <w:top w:val="none" w:sz="0" w:space="0" w:color="auto"/>
        <w:left w:val="none" w:sz="0" w:space="0" w:color="auto"/>
        <w:bottom w:val="none" w:sz="0" w:space="0" w:color="auto"/>
        <w:right w:val="none" w:sz="0" w:space="0" w:color="auto"/>
      </w:divBdr>
    </w:div>
    <w:div w:id="552237866">
      <w:bodyDiv w:val="1"/>
      <w:marLeft w:val="0"/>
      <w:marRight w:val="0"/>
      <w:marTop w:val="0"/>
      <w:marBottom w:val="0"/>
      <w:divBdr>
        <w:top w:val="none" w:sz="0" w:space="0" w:color="auto"/>
        <w:left w:val="none" w:sz="0" w:space="0" w:color="auto"/>
        <w:bottom w:val="none" w:sz="0" w:space="0" w:color="auto"/>
        <w:right w:val="none" w:sz="0" w:space="0" w:color="auto"/>
      </w:divBdr>
    </w:div>
    <w:div w:id="552740845">
      <w:bodyDiv w:val="1"/>
      <w:marLeft w:val="0"/>
      <w:marRight w:val="0"/>
      <w:marTop w:val="0"/>
      <w:marBottom w:val="0"/>
      <w:divBdr>
        <w:top w:val="none" w:sz="0" w:space="0" w:color="auto"/>
        <w:left w:val="none" w:sz="0" w:space="0" w:color="auto"/>
        <w:bottom w:val="none" w:sz="0" w:space="0" w:color="auto"/>
        <w:right w:val="none" w:sz="0" w:space="0" w:color="auto"/>
      </w:divBdr>
    </w:div>
    <w:div w:id="555354742">
      <w:bodyDiv w:val="1"/>
      <w:marLeft w:val="0"/>
      <w:marRight w:val="0"/>
      <w:marTop w:val="0"/>
      <w:marBottom w:val="0"/>
      <w:divBdr>
        <w:top w:val="none" w:sz="0" w:space="0" w:color="auto"/>
        <w:left w:val="none" w:sz="0" w:space="0" w:color="auto"/>
        <w:bottom w:val="none" w:sz="0" w:space="0" w:color="auto"/>
        <w:right w:val="none" w:sz="0" w:space="0" w:color="auto"/>
      </w:divBdr>
    </w:div>
    <w:div w:id="555549777">
      <w:bodyDiv w:val="1"/>
      <w:marLeft w:val="0"/>
      <w:marRight w:val="0"/>
      <w:marTop w:val="0"/>
      <w:marBottom w:val="0"/>
      <w:divBdr>
        <w:top w:val="none" w:sz="0" w:space="0" w:color="auto"/>
        <w:left w:val="none" w:sz="0" w:space="0" w:color="auto"/>
        <w:bottom w:val="none" w:sz="0" w:space="0" w:color="auto"/>
        <w:right w:val="none" w:sz="0" w:space="0" w:color="auto"/>
      </w:divBdr>
    </w:div>
    <w:div w:id="555967239">
      <w:bodyDiv w:val="1"/>
      <w:marLeft w:val="0"/>
      <w:marRight w:val="0"/>
      <w:marTop w:val="0"/>
      <w:marBottom w:val="0"/>
      <w:divBdr>
        <w:top w:val="none" w:sz="0" w:space="0" w:color="auto"/>
        <w:left w:val="none" w:sz="0" w:space="0" w:color="auto"/>
        <w:bottom w:val="none" w:sz="0" w:space="0" w:color="auto"/>
        <w:right w:val="none" w:sz="0" w:space="0" w:color="auto"/>
      </w:divBdr>
    </w:div>
    <w:div w:id="556479691">
      <w:bodyDiv w:val="1"/>
      <w:marLeft w:val="0"/>
      <w:marRight w:val="0"/>
      <w:marTop w:val="0"/>
      <w:marBottom w:val="0"/>
      <w:divBdr>
        <w:top w:val="none" w:sz="0" w:space="0" w:color="auto"/>
        <w:left w:val="none" w:sz="0" w:space="0" w:color="auto"/>
        <w:bottom w:val="none" w:sz="0" w:space="0" w:color="auto"/>
        <w:right w:val="none" w:sz="0" w:space="0" w:color="auto"/>
      </w:divBdr>
      <w:divsChild>
        <w:div w:id="1668246286">
          <w:marLeft w:val="0"/>
          <w:marRight w:val="0"/>
          <w:marTop w:val="0"/>
          <w:marBottom w:val="0"/>
          <w:divBdr>
            <w:top w:val="none" w:sz="0" w:space="0" w:color="auto"/>
            <w:left w:val="none" w:sz="0" w:space="0" w:color="auto"/>
            <w:bottom w:val="none" w:sz="0" w:space="0" w:color="auto"/>
            <w:right w:val="none" w:sz="0" w:space="0" w:color="auto"/>
          </w:divBdr>
          <w:divsChild>
            <w:div w:id="495456465">
              <w:marLeft w:val="0"/>
              <w:marRight w:val="0"/>
              <w:marTop w:val="0"/>
              <w:marBottom w:val="0"/>
              <w:divBdr>
                <w:top w:val="none" w:sz="0" w:space="0" w:color="auto"/>
                <w:left w:val="none" w:sz="0" w:space="0" w:color="auto"/>
                <w:bottom w:val="none" w:sz="0" w:space="0" w:color="auto"/>
                <w:right w:val="none" w:sz="0" w:space="0" w:color="auto"/>
              </w:divBdr>
            </w:div>
            <w:div w:id="542987246">
              <w:marLeft w:val="0"/>
              <w:marRight w:val="0"/>
              <w:marTop w:val="0"/>
              <w:marBottom w:val="0"/>
              <w:divBdr>
                <w:top w:val="none" w:sz="0" w:space="0" w:color="auto"/>
                <w:left w:val="none" w:sz="0" w:space="0" w:color="auto"/>
                <w:bottom w:val="none" w:sz="0" w:space="0" w:color="auto"/>
                <w:right w:val="none" w:sz="0" w:space="0" w:color="auto"/>
              </w:divBdr>
            </w:div>
            <w:div w:id="9502080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56628981">
      <w:bodyDiv w:val="1"/>
      <w:marLeft w:val="0"/>
      <w:marRight w:val="0"/>
      <w:marTop w:val="0"/>
      <w:marBottom w:val="0"/>
      <w:divBdr>
        <w:top w:val="none" w:sz="0" w:space="0" w:color="auto"/>
        <w:left w:val="none" w:sz="0" w:space="0" w:color="auto"/>
        <w:bottom w:val="none" w:sz="0" w:space="0" w:color="auto"/>
        <w:right w:val="none" w:sz="0" w:space="0" w:color="auto"/>
      </w:divBdr>
    </w:div>
    <w:div w:id="557320852">
      <w:bodyDiv w:val="1"/>
      <w:marLeft w:val="0"/>
      <w:marRight w:val="0"/>
      <w:marTop w:val="0"/>
      <w:marBottom w:val="0"/>
      <w:divBdr>
        <w:top w:val="none" w:sz="0" w:space="0" w:color="auto"/>
        <w:left w:val="none" w:sz="0" w:space="0" w:color="auto"/>
        <w:bottom w:val="none" w:sz="0" w:space="0" w:color="auto"/>
        <w:right w:val="none" w:sz="0" w:space="0" w:color="auto"/>
      </w:divBdr>
    </w:div>
    <w:div w:id="557712512">
      <w:bodyDiv w:val="1"/>
      <w:marLeft w:val="0"/>
      <w:marRight w:val="0"/>
      <w:marTop w:val="0"/>
      <w:marBottom w:val="0"/>
      <w:divBdr>
        <w:top w:val="none" w:sz="0" w:space="0" w:color="auto"/>
        <w:left w:val="none" w:sz="0" w:space="0" w:color="auto"/>
        <w:bottom w:val="none" w:sz="0" w:space="0" w:color="auto"/>
        <w:right w:val="none" w:sz="0" w:space="0" w:color="auto"/>
      </w:divBdr>
    </w:div>
    <w:div w:id="557787817">
      <w:bodyDiv w:val="1"/>
      <w:marLeft w:val="0"/>
      <w:marRight w:val="0"/>
      <w:marTop w:val="0"/>
      <w:marBottom w:val="0"/>
      <w:divBdr>
        <w:top w:val="none" w:sz="0" w:space="0" w:color="auto"/>
        <w:left w:val="none" w:sz="0" w:space="0" w:color="auto"/>
        <w:bottom w:val="none" w:sz="0" w:space="0" w:color="auto"/>
        <w:right w:val="none" w:sz="0" w:space="0" w:color="auto"/>
      </w:divBdr>
    </w:div>
    <w:div w:id="558397310">
      <w:bodyDiv w:val="1"/>
      <w:marLeft w:val="0"/>
      <w:marRight w:val="0"/>
      <w:marTop w:val="0"/>
      <w:marBottom w:val="0"/>
      <w:divBdr>
        <w:top w:val="none" w:sz="0" w:space="0" w:color="auto"/>
        <w:left w:val="none" w:sz="0" w:space="0" w:color="auto"/>
        <w:bottom w:val="none" w:sz="0" w:space="0" w:color="auto"/>
        <w:right w:val="none" w:sz="0" w:space="0" w:color="auto"/>
      </w:divBdr>
    </w:div>
    <w:div w:id="558789288">
      <w:bodyDiv w:val="1"/>
      <w:marLeft w:val="0"/>
      <w:marRight w:val="0"/>
      <w:marTop w:val="0"/>
      <w:marBottom w:val="0"/>
      <w:divBdr>
        <w:top w:val="none" w:sz="0" w:space="0" w:color="auto"/>
        <w:left w:val="none" w:sz="0" w:space="0" w:color="auto"/>
        <w:bottom w:val="none" w:sz="0" w:space="0" w:color="auto"/>
        <w:right w:val="none" w:sz="0" w:space="0" w:color="auto"/>
      </w:divBdr>
    </w:div>
    <w:div w:id="559902330">
      <w:bodyDiv w:val="1"/>
      <w:marLeft w:val="0"/>
      <w:marRight w:val="0"/>
      <w:marTop w:val="0"/>
      <w:marBottom w:val="0"/>
      <w:divBdr>
        <w:top w:val="none" w:sz="0" w:space="0" w:color="auto"/>
        <w:left w:val="none" w:sz="0" w:space="0" w:color="auto"/>
        <w:bottom w:val="none" w:sz="0" w:space="0" w:color="auto"/>
        <w:right w:val="none" w:sz="0" w:space="0" w:color="auto"/>
      </w:divBdr>
    </w:div>
    <w:div w:id="560601133">
      <w:bodyDiv w:val="1"/>
      <w:marLeft w:val="0"/>
      <w:marRight w:val="0"/>
      <w:marTop w:val="0"/>
      <w:marBottom w:val="0"/>
      <w:divBdr>
        <w:top w:val="none" w:sz="0" w:space="0" w:color="auto"/>
        <w:left w:val="none" w:sz="0" w:space="0" w:color="auto"/>
        <w:bottom w:val="none" w:sz="0" w:space="0" w:color="auto"/>
        <w:right w:val="none" w:sz="0" w:space="0" w:color="auto"/>
      </w:divBdr>
      <w:divsChild>
        <w:div w:id="114914553">
          <w:marLeft w:val="0"/>
          <w:marRight w:val="0"/>
          <w:marTop w:val="0"/>
          <w:marBottom w:val="0"/>
          <w:divBdr>
            <w:top w:val="none" w:sz="0" w:space="0" w:color="auto"/>
            <w:left w:val="none" w:sz="0" w:space="0" w:color="auto"/>
            <w:bottom w:val="none" w:sz="0" w:space="0" w:color="auto"/>
            <w:right w:val="none" w:sz="0" w:space="0" w:color="auto"/>
          </w:divBdr>
          <w:divsChild>
            <w:div w:id="13467907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60871192">
      <w:bodyDiv w:val="1"/>
      <w:marLeft w:val="0"/>
      <w:marRight w:val="0"/>
      <w:marTop w:val="0"/>
      <w:marBottom w:val="0"/>
      <w:divBdr>
        <w:top w:val="none" w:sz="0" w:space="0" w:color="auto"/>
        <w:left w:val="none" w:sz="0" w:space="0" w:color="auto"/>
        <w:bottom w:val="none" w:sz="0" w:space="0" w:color="auto"/>
        <w:right w:val="none" w:sz="0" w:space="0" w:color="auto"/>
      </w:divBdr>
    </w:div>
    <w:div w:id="561714464">
      <w:bodyDiv w:val="1"/>
      <w:marLeft w:val="0"/>
      <w:marRight w:val="0"/>
      <w:marTop w:val="0"/>
      <w:marBottom w:val="0"/>
      <w:divBdr>
        <w:top w:val="none" w:sz="0" w:space="0" w:color="auto"/>
        <w:left w:val="none" w:sz="0" w:space="0" w:color="auto"/>
        <w:bottom w:val="none" w:sz="0" w:space="0" w:color="auto"/>
        <w:right w:val="none" w:sz="0" w:space="0" w:color="auto"/>
      </w:divBdr>
    </w:div>
    <w:div w:id="561793257">
      <w:bodyDiv w:val="1"/>
      <w:marLeft w:val="0"/>
      <w:marRight w:val="0"/>
      <w:marTop w:val="0"/>
      <w:marBottom w:val="0"/>
      <w:divBdr>
        <w:top w:val="none" w:sz="0" w:space="0" w:color="auto"/>
        <w:left w:val="none" w:sz="0" w:space="0" w:color="auto"/>
        <w:bottom w:val="none" w:sz="0" w:space="0" w:color="auto"/>
        <w:right w:val="none" w:sz="0" w:space="0" w:color="auto"/>
      </w:divBdr>
    </w:div>
    <w:div w:id="562644477">
      <w:bodyDiv w:val="1"/>
      <w:marLeft w:val="0"/>
      <w:marRight w:val="0"/>
      <w:marTop w:val="0"/>
      <w:marBottom w:val="0"/>
      <w:divBdr>
        <w:top w:val="none" w:sz="0" w:space="0" w:color="auto"/>
        <w:left w:val="none" w:sz="0" w:space="0" w:color="auto"/>
        <w:bottom w:val="none" w:sz="0" w:space="0" w:color="auto"/>
        <w:right w:val="none" w:sz="0" w:space="0" w:color="auto"/>
      </w:divBdr>
    </w:div>
    <w:div w:id="562714215">
      <w:bodyDiv w:val="1"/>
      <w:marLeft w:val="0"/>
      <w:marRight w:val="0"/>
      <w:marTop w:val="0"/>
      <w:marBottom w:val="0"/>
      <w:divBdr>
        <w:top w:val="none" w:sz="0" w:space="0" w:color="auto"/>
        <w:left w:val="none" w:sz="0" w:space="0" w:color="auto"/>
        <w:bottom w:val="none" w:sz="0" w:space="0" w:color="auto"/>
        <w:right w:val="none" w:sz="0" w:space="0" w:color="auto"/>
      </w:divBdr>
      <w:divsChild>
        <w:div w:id="488908069">
          <w:marLeft w:val="547"/>
          <w:marRight w:val="0"/>
          <w:marTop w:val="96"/>
          <w:marBottom w:val="0"/>
          <w:divBdr>
            <w:top w:val="none" w:sz="0" w:space="0" w:color="auto"/>
            <w:left w:val="none" w:sz="0" w:space="0" w:color="auto"/>
            <w:bottom w:val="none" w:sz="0" w:space="0" w:color="auto"/>
            <w:right w:val="none" w:sz="0" w:space="0" w:color="auto"/>
          </w:divBdr>
        </w:div>
        <w:div w:id="743647205">
          <w:marLeft w:val="547"/>
          <w:marRight w:val="0"/>
          <w:marTop w:val="96"/>
          <w:marBottom w:val="0"/>
          <w:divBdr>
            <w:top w:val="none" w:sz="0" w:space="0" w:color="auto"/>
            <w:left w:val="none" w:sz="0" w:space="0" w:color="auto"/>
            <w:bottom w:val="none" w:sz="0" w:space="0" w:color="auto"/>
            <w:right w:val="none" w:sz="0" w:space="0" w:color="auto"/>
          </w:divBdr>
        </w:div>
        <w:div w:id="1189757861">
          <w:marLeft w:val="1166"/>
          <w:marRight w:val="0"/>
          <w:marTop w:val="96"/>
          <w:marBottom w:val="0"/>
          <w:divBdr>
            <w:top w:val="none" w:sz="0" w:space="0" w:color="auto"/>
            <w:left w:val="none" w:sz="0" w:space="0" w:color="auto"/>
            <w:bottom w:val="none" w:sz="0" w:space="0" w:color="auto"/>
            <w:right w:val="none" w:sz="0" w:space="0" w:color="auto"/>
          </w:divBdr>
        </w:div>
        <w:div w:id="1864856708">
          <w:marLeft w:val="1166"/>
          <w:marRight w:val="0"/>
          <w:marTop w:val="96"/>
          <w:marBottom w:val="0"/>
          <w:divBdr>
            <w:top w:val="none" w:sz="0" w:space="0" w:color="auto"/>
            <w:left w:val="none" w:sz="0" w:space="0" w:color="auto"/>
            <w:bottom w:val="none" w:sz="0" w:space="0" w:color="auto"/>
            <w:right w:val="none" w:sz="0" w:space="0" w:color="auto"/>
          </w:divBdr>
        </w:div>
      </w:divsChild>
    </w:div>
    <w:div w:id="562759554">
      <w:bodyDiv w:val="1"/>
      <w:marLeft w:val="0"/>
      <w:marRight w:val="0"/>
      <w:marTop w:val="0"/>
      <w:marBottom w:val="0"/>
      <w:divBdr>
        <w:top w:val="none" w:sz="0" w:space="0" w:color="auto"/>
        <w:left w:val="none" w:sz="0" w:space="0" w:color="auto"/>
        <w:bottom w:val="none" w:sz="0" w:space="0" w:color="auto"/>
        <w:right w:val="none" w:sz="0" w:space="0" w:color="auto"/>
      </w:divBdr>
      <w:divsChild>
        <w:div w:id="1975215509">
          <w:marLeft w:val="547"/>
          <w:marRight w:val="0"/>
          <w:marTop w:val="134"/>
          <w:marBottom w:val="0"/>
          <w:divBdr>
            <w:top w:val="none" w:sz="0" w:space="0" w:color="auto"/>
            <w:left w:val="none" w:sz="0" w:space="0" w:color="auto"/>
            <w:bottom w:val="none" w:sz="0" w:space="0" w:color="auto"/>
            <w:right w:val="none" w:sz="0" w:space="0" w:color="auto"/>
          </w:divBdr>
        </w:div>
      </w:divsChild>
    </w:div>
    <w:div w:id="563570003">
      <w:bodyDiv w:val="1"/>
      <w:marLeft w:val="0"/>
      <w:marRight w:val="0"/>
      <w:marTop w:val="0"/>
      <w:marBottom w:val="0"/>
      <w:divBdr>
        <w:top w:val="none" w:sz="0" w:space="0" w:color="auto"/>
        <w:left w:val="none" w:sz="0" w:space="0" w:color="auto"/>
        <w:bottom w:val="none" w:sz="0" w:space="0" w:color="auto"/>
        <w:right w:val="none" w:sz="0" w:space="0" w:color="auto"/>
      </w:divBdr>
    </w:div>
    <w:div w:id="563756933">
      <w:bodyDiv w:val="1"/>
      <w:marLeft w:val="0"/>
      <w:marRight w:val="0"/>
      <w:marTop w:val="0"/>
      <w:marBottom w:val="0"/>
      <w:divBdr>
        <w:top w:val="none" w:sz="0" w:space="0" w:color="auto"/>
        <w:left w:val="none" w:sz="0" w:space="0" w:color="auto"/>
        <w:bottom w:val="none" w:sz="0" w:space="0" w:color="auto"/>
        <w:right w:val="none" w:sz="0" w:space="0" w:color="auto"/>
      </w:divBdr>
      <w:divsChild>
        <w:div w:id="207571804">
          <w:marLeft w:val="1166"/>
          <w:marRight w:val="0"/>
          <w:marTop w:val="115"/>
          <w:marBottom w:val="0"/>
          <w:divBdr>
            <w:top w:val="none" w:sz="0" w:space="0" w:color="auto"/>
            <w:left w:val="none" w:sz="0" w:space="0" w:color="auto"/>
            <w:bottom w:val="none" w:sz="0" w:space="0" w:color="auto"/>
            <w:right w:val="none" w:sz="0" w:space="0" w:color="auto"/>
          </w:divBdr>
        </w:div>
        <w:div w:id="434063182">
          <w:marLeft w:val="547"/>
          <w:marRight w:val="0"/>
          <w:marTop w:val="130"/>
          <w:marBottom w:val="0"/>
          <w:divBdr>
            <w:top w:val="none" w:sz="0" w:space="0" w:color="auto"/>
            <w:left w:val="none" w:sz="0" w:space="0" w:color="auto"/>
            <w:bottom w:val="none" w:sz="0" w:space="0" w:color="auto"/>
            <w:right w:val="none" w:sz="0" w:space="0" w:color="auto"/>
          </w:divBdr>
        </w:div>
        <w:div w:id="1083260239">
          <w:marLeft w:val="1166"/>
          <w:marRight w:val="0"/>
          <w:marTop w:val="115"/>
          <w:marBottom w:val="0"/>
          <w:divBdr>
            <w:top w:val="none" w:sz="0" w:space="0" w:color="auto"/>
            <w:left w:val="none" w:sz="0" w:space="0" w:color="auto"/>
            <w:bottom w:val="none" w:sz="0" w:space="0" w:color="auto"/>
            <w:right w:val="none" w:sz="0" w:space="0" w:color="auto"/>
          </w:divBdr>
        </w:div>
        <w:div w:id="1895847970">
          <w:marLeft w:val="1166"/>
          <w:marRight w:val="0"/>
          <w:marTop w:val="115"/>
          <w:marBottom w:val="0"/>
          <w:divBdr>
            <w:top w:val="none" w:sz="0" w:space="0" w:color="auto"/>
            <w:left w:val="none" w:sz="0" w:space="0" w:color="auto"/>
            <w:bottom w:val="none" w:sz="0" w:space="0" w:color="auto"/>
            <w:right w:val="none" w:sz="0" w:space="0" w:color="auto"/>
          </w:divBdr>
        </w:div>
        <w:div w:id="1923489635">
          <w:marLeft w:val="547"/>
          <w:marRight w:val="0"/>
          <w:marTop w:val="130"/>
          <w:marBottom w:val="0"/>
          <w:divBdr>
            <w:top w:val="none" w:sz="0" w:space="0" w:color="auto"/>
            <w:left w:val="none" w:sz="0" w:space="0" w:color="auto"/>
            <w:bottom w:val="none" w:sz="0" w:space="0" w:color="auto"/>
            <w:right w:val="none" w:sz="0" w:space="0" w:color="auto"/>
          </w:divBdr>
        </w:div>
      </w:divsChild>
    </w:div>
    <w:div w:id="564027026">
      <w:bodyDiv w:val="1"/>
      <w:marLeft w:val="0"/>
      <w:marRight w:val="0"/>
      <w:marTop w:val="0"/>
      <w:marBottom w:val="0"/>
      <w:divBdr>
        <w:top w:val="none" w:sz="0" w:space="0" w:color="auto"/>
        <w:left w:val="none" w:sz="0" w:space="0" w:color="auto"/>
        <w:bottom w:val="none" w:sz="0" w:space="0" w:color="auto"/>
        <w:right w:val="none" w:sz="0" w:space="0" w:color="auto"/>
      </w:divBdr>
    </w:div>
    <w:div w:id="564141314">
      <w:bodyDiv w:val="1"/>
      <w:marLeft w:val="0"/>
      <w:marRight w:val="0"/>
      <w:marTop w:val="0"/>
      <w:marBottom w:val="0"/>
      <w:divBdr>
        <w:top w:val="none" w:sz="0" w:space="0" w:color="auto"/>
        <w:left w:val="none" w:sz="0" w:space="0" w:color="auto"/>
        <w:bottom w:val="none" w:sz="0" w:space="0" w:color="auto"/>
        <w:right w:val="none" w:sz="0" w:space="0" w:color="auto"/>
      </w:divBdr>
    </w:div>
    <w:div w:id="564293104">
      <w:bodyDiv w:val="1"/>
      <w:marLeft w:val="0"/>
      <w:marRight w:val="0"/>
      <w:marTop w:val="0"/>
      <w:marBottom w:val="0"/>
      <w:divBdr>
        <w:top w:val="none" w:sz="0" w:space="0" w:color="auto"/>
        <w:left w:val="none" w:sz="0" w:space="0" w:color="auto"/>
        <w:bottom w:val="none" w:sz="0" w:space="0" w:color="auto"/>
        <w:right w:val="none" w:sz="0" w:space="0" w:color="auto"/>
      </w:divBdr>
      <w:divsChild>
        <w:div w:id="250940079">
          <w:marLeft w:val="2160"/>
          <w:marRight w:val="0"/>
          <w:marTop w:val="0"/>
          <w:marBottom w:val="0"/>
          <w:divBdr>
            <w:top w:val="none" w:sz="0" w:space="0" w:color="auto"/>
            <w:left w:val="none" w:sz="0" w:space="0" w:color="auto"/>
            <w:bottom w:val="none" w:sz="0" w:space="0" w:color="auto"/>
            <w:right w:val="none" w:sz="0" w:space="0" w:color="auto"/>
          </w:divBdr>
        </w:div>
        <w:div w:id="737553487">
          <w:marLeft w:val="720"/>
          <w:marRight w:val="0"/>
          <w:marTop w:val="0"/>
          <w:marBottom w:val="0"/>
          <w:divBdr>
            <w:top w:val="none" w:sz="0" w:space="0" w:color="auto"/>
            <w:left w:val="none" w:sz="0" w:space="0" w:color="auto"/>
            <w:bottom w:val="none" w:sz="0" w:space="0" w:color="auto"/>
            <w:right w:val="none" w:sz="0" w:space="0" w:color="auto"/>
          </w:divBdr>
        </w:div>
        <w:div w:id="896479530">
          <w:marLeft w:val="720"/>
          <w:marRight w:val="0"/>
          <w:marTop w:val="0"/>
          <w:marBottom w:val="0"/>
          <w:divBdr>
            <w:top w:val="none" w:sz="0" w:space="0" w:color="auto"/>
            <w:left w:val="none" w:sz="0" w:space="0" w:color="auto"/>
            <w:bottom w:val="none" w:sz="0" w:space="0" w:color="auto"/>
            <w:right w:val="none" w:sz="0" w:space="0" w:color="auto"/>
          </w:divBdr>
        </w:div>
        <w:div w:id="1233201441">
          <w:marLeft w:val="1440"/>
          <w:marRight w:val="0"/>
          <w:marTop w:val="0"/>
          <w:marBottom w:val="0"/>
          <w:divBdr>
            <w:top w:val="none" w:sz="0" w:space="0" w:color="auto"/>
            <w:left w:val="none" w:sz="0" w:space="0" w:color="auto"/>
            <w:bottom w:val="none" w:sz="0" w:space="0" w:color="auto"/>
            <w:right w:val="none" w:sz="0" w:space="0" w:color="auto"/>
          </w:divBdr>
        </w:div>
        <w:div w:id="1430810217">
          <w:marLeft w:val="720"/>
          <w:marRight w:val="0"/>
          <w:marTop w:val="0"/>
          <w:marBottom w:val="0"/>
          <w:divBdr>
            <w:top w:val="none" w:sz="0" w:space="0" w:color="auto"/>
            <w:left w:val="none" w:sz="0" w:space="0" w:color="auto"/>
            <w:bottom w:val="none" w:sz="0" w:space="0" w:color="auto"/>
            <w:right w:val="none" w:sz="0" w:space="0" w:color="auto"/>
          </w:divBdr>
        </w:div>
        <w:div w:id="1432580092">
          <w:marLeft w:val="1440"/>
          <w:marRight w:val="0"/>
          <w:marTop w:val="0"/>
          <w:marBottom w:val="0"/>
          <w:divBdr>
            <w:top w:val="none" w:sz="0" w:space="0" w:color="auto"/>
            <w:left w:val="none" w:sz="0" w:space="0" w:color="auto"/>
            <w:bottom w:val="none" w:sz="0" w:space="0" w:color="auto"/>
            <w:right w:val="none" w:sz="0" w:space="0" w:color="auto"/>
          </w:divBdr>
        </w:div>
        <w:div w:id="1545213656">
          <w:marLeft w:val="1440"/>
          <w:marRight w:val="0"/>
          <w:marTop w:val="0"/>
          <w:marBottom w:val="0"/>
          <w:divBdr>
            <w:top w:val="none" w:sz="0" w:space="0" w:color="auto"/>
            <w:left w:val="none" w:sz="0" w:space="0" w:color="auto"/>
            <w:bottom w:val="none" w:sz="0" w:space="0" w:color="auto"/>
            <w:right w:val="none" w:sz="0" w:space="0" w:color="auto"/>
          </w:divBdr>
        </w:div>
        <w:div w:id="2084908569">
          <w:marLeft w:val="720"/>
          <w:marRight w:val="0"/>
          <w:marTop w:val="0"/>
          <w:marBottom w:val="0"/>
          <w:divBdr>
            <w:top w:val="none" w:sz="0" w:space="0" w:color="auto"/>
            <w:left w:val="none" w:sz="0" w:space="0" w:color="auto"/>
            <w:bottom w:val="none" w:sz="0" w:space="0" w:color="auto"/>
            <w:right w:val="none" w:sz="0" w:space="0" w:color="auto"/>
          </w:divBdr>
        </w:div>
        <w:div w:id="2089380272">
          <w:marLeft w:val="2160"/>
          <w:marRight w:val="0"/>
          <w:marTop w:val="0"/>
          <w:marBottom w:val="0"/>
          <w:divBdr>
            <w:top w:val="none" w:sz="0" w:space="0" w:color="auto"/>
            <w:left w:val="none" w:sz="0" w:space="0" w:color="auto"/>
            <w:bottom w:val="none" w:sz="0" w:space="0" w:color="auto"/>
            <w:right w:val="none" w:sz="0" w:space="0" w:color="auto"/>
          </w:divBdr>
        </w:div>
      </w:divsChild>
    </w:div>
    <w:div w:id="564803539">
      <w:bodyDiv w:val="1"/>
      <w:marLeft w:val="0"/>
      <w:marRight w:val="0"/>
      <w:marTop w:val="0"/>
      <w:marBottom w:val="0"/>
      <w:divBdr>
        <w:top w:val="none" w:sz="0" w:space="0" w:color="auto"/>
        <w:left w:val="none" w:sz="0" w:space="0" w:color="auto"/>
        <w:bottom w:val="none" w:sz="0" w:space="0" w:color="auto"/>
        <w:right w:val="none" w:sz="0" w:space="0" w:color="auto"/>
      </w:divBdr>
    </w:div>
    <w:div w:id="565532648">
      <w:bodyDiv w:val="1"/>
      <w:marLeft w:val="0"/>
      <w:marRight w:val="0"/>
      <w:marTop w:val="0"/>
      <w:marBottom w:val="0"/>
      <w:divBdr>
        <w:top w:val="none" w:sz="0" w:space="0" w:color="auto"/>
        <w:left w:val="none" w:sz="0" w:space="0" w:color="auto"/>
        <w:bottom w:val="none" w:sz="0" w:space="0" w:color="auto"/>
        <w:right w:val="none" w:sz="0" w:space="0" w:color="auto"/>
      </w:divBdr>
    </w:div>
    <w:div w:id="565608396">
      <w:bodyDiv w:val="1"/>
      <w:marLeft w:val="0"/>
      <w:marRight w:val="0"/>
      <w:marTop w:val="0"/>
      <w:marBottom w:val="0"/>
      <w:divBdr>
        <w:top w:val="none" w:sz="0" w:space="0" w:color="auto"/>
        <w:left w:val="none" w:sz="0" w:space="0" w:color="auto"/>
        <w:bottom w:val="none" w:sz="0" w:space="0" w:color="auto"/>
        <w:right w:val="none" w:sz="0" w:space="0" w:color="auto"/>
      </w:divBdr>
      <w:divsChild>
        <w:div w:id="462122012">
          <w:marLeft w:val="1800"/>
          <w:marRight w:val="0"/>
          <w:marTop w:val="96"/>
          <w:marBottom w:val="0"/>
          <w:divBdr>
            <w:top w:val="none" w:sz="0" w:space="0" w:color="auto"/>
            <w:left w:val="none" w:sz="0" w:space="0" w:color="auto"/>
            <w:bottom w:val="none" w:sz="0" w:space="0" w:color="auto"/>
            <w:right w:val="none" w:sz="0" w:space="0" w:color="auto"/>
          </w:divBdr>
        </w:div>
        <w:div w:id="1181358115">
          <w:marLeft w:val="1166"/>
          <w:marRight w:val="0"/>
          <w:marTop w:val="115"/>
          <w:marBottom w:val="0"/>
          <w:divBdr>
            <w:top w:val="none" w:sz="0" w:space="0" w:color="auto"/>
            <w:left w:val="none" w:sz="0" w:space="0" w:color="auto"/>
            <w:bottom w:val="none" w:sz="0" w:space="0" w:color="auto"/>
            <w:right w:val="none" w:sz="0" w:space="0" w:color="auto"/>
          </w:divBdr>
        </w:div>
        <w:div w:id="1429236279">
          <w:marLeft w:val="547"/>
          <w:marRight w:val="0"/>
          <w:marTop w:val="134"/>
          <w:marBottom w:val="0"/>
          <w:divBdr>
            <w:top w:val="none" w:sz="0" w:space="0" w:color="auto"/>
            <w:left w:val="none" w:sz="0" w:space="0" w:color="auto"/>
            <w:bottom w:val="none" w:sz="0" w:space="0" w:color="auto"/>
            <w:right w:val="none" w:sz="0" w:space="0" w:color="auto"/>
          </w:divBdr>
        </w:div>
      </w:divsChild>
    </w:div>
    <w:div w:id="567690621">
      <w:bodyDiv w:val="1"/>
      <w:marLeft w:val="0"/>
      <w:marRight w:val="0"/>
      <w:marTop w:val="0"/>
      <w:marBottom w:val="0"/>
      <w:divBdr>
        <w:top w:val="none" w:sz="0" w:space="0" w:color="auto"/>
        <w:left w:val="none" w:sz="0" w:space="0" w:color="auto"/>
        <w:bottom w:val="none" w:sz="0" w:space="0" w:color="auto"/>
        <w:right w:val="none" w:sz="0" w:space="0" w:color="auto"/>
      </w:divBdr>
      <w:divsChild>
        <w:div w:id="920989877">
          <w:marLeft w:val="547"/>
          <w:marRight w:val="0"/>
          <w:marTop w:val="134"/>
          <w:marBottom w:val="120"/>
          <w:divBdr>
            <w:top w:val="none" w:sz="0" w:space="0" w:color="auto"/>
            <w:left w:val="none" w:sz="0" w:space="0" w:color="auto"/>
            <w:bottom w:val="none" w:sz="0" w:space="0" w:color="auto"/>
            <w:right w:val="none" w:sz="0" w:space="0" w:color="auto"/>
          </w:divBdr>
        </w:div>
        <w:div w:id="1259561988">
          <w:marLeft w:val="1166"/>
          <w:marRight w:val="0"/>
          <w:marTop w:val="115"/>
          <w:marBottom w:val="120"/>
          <w:divBdr>
            <w:top w:val="none" w:sz="0" w:space="0" w:color="auto"/>
            <w:left w:val="none" w:sz="0" w:space="0" w:color="auto"/>
            <w:bottom w:val="none" w:sz="0" w:space="0" w:color="auto"/>
            <w:right w:val="none" w:sz="0" w:space="0" w:color="auto"/>
          </w:divBdr>
        </w:div>
        <w:div w:id="1492260852">
          <w:marLeft w:val="1166"/>
          <w:marRight w:val="0"/>
          <w:marTop w:val="115"/>
          <w:marBottom w:val="120"/>
          <w:divBdr>
            <w:top w:val="none" w:sz="0" w:space="0" w:color="auto"/>
            <w:left w:val="none" w:sz="0" w:space="0" w:color="auto"/>
            <w:bottom w:val="none" w:sz="0" w:space="0" w:color="auto"/>
            <w:right w:val="none" w:sz="0" w:space="0" w:color="auto"/>
          </w:divBdr>
        </w:div>
        <w:div w:id="1721712700">
          <w:marLeft w:val="547"/>
          <w:marRight w:val="0"/>
          <w:marTop w:val="134"/>
          <w:marBottom w:val="120"/>
          <w:divBdr>
            <w:top w:val="none" w:sz="0" w:space="0" w:color="auto"/>
            <w:left w:val="none" w:sz="0" w:space="0" w:color="auto"/>
            <w:bottom w:val="none" w:sz="0" w:space="0" w:color="auto"/>
            <w:right w:val="none" w:sz="0" w:space="0" w:color="auto"/>
          </w:divBdr>
        </w:div>
        <w:div w:id="1765761584">
          <w:marLeft w:val="1166"/>
          <w:marRight w:val="0"/>
          <w:marTop w:val="115"/>
          <w:marBottom w:val="120"/>
          <w:divBdr>
            <w:top w:val="none" w:sz="0" w:space="0" w:color="auto"/>
            <w:left w:val="none" w:sz="0" w:space="0" w:color="auto"/>
            <w:bottom w:val="none" w:sz="0" w:space="0" w:color="auto"/>
            <w:right w:val="none" w:sz="0" w:space="0" w:color="auto"/>
          </w:divBdr>
        </w:div>
      </w:divsChild>
    </w:div>
    <w:div w:id="567761843">
      <w:bodyDiv w:val="1"/>
      <w:marLeft w:val="0"/>
      <w:marRight w:val="0"/>
      <w:marTop w:val="0"/>
      <w:marBottom w:val="0"/>
      <w:divBdr>
        <w:top w:val="none" w:sz="0" w:space="0" w:color="auto"/>
        <w:left w:val="none" w:sz="0" w:space="0" w:color="auto"/>
        <w:bottom w:val="none" w:sz="0" w:space="0" w:color="auto"/>
        <w:right w:val="none" w:sz="0" w:space="0" w:color="auto"/>
      </w:divBdr>
    </w:div>
    <w:div w:id="567804152">
      <w:bodyDiv w:val="1"/>
      <w:marLeft w:val="0"/>
      <w:marRight w:val="0"/>
      <w:marTop w:val="0"/>
      <w:marBottom w:val="0"/>
      <w:divBdr>
        <w:top w:val="none" w:sz="0" w:space="0" w:color="auto"/>
        <w:left w:val="none" w:sz="0" w:space="0" w:color="auto"/>
        <w:bottom w:val="none" w:sz="0" w:space="0" w:color="auto"/>
        <w:right w:val="none" w:sz="0" w:space="0" w:color="auto"/>
      </w:divBdr>
    </w:div>
    <w:div w:id="568424921">
      <w:bodyDiv w:val="1"/>
      <w:marLeft w:val="0"/>
      <w:marRight w:val="0"/>
      <w:marTop w:val="0"/>
      <w:marBottom w:val="0"/>
      <w:divBdr>
        <w:top w:val="none" w:sz="0" w:space="0" w:color="auto"/>
        <w:left w:val="none" w:sz="0" w:space="0" w:color="auto"/>
        <w:bottom w:val="none" w:sz="0" w:space="0" w:color="auto"/>
        <w:right w:val="none" w:sz="0" w:space="0" w:color="auto"/>
      </w:divBdr>
      <w:divsChild>
        <w:div w:id="72899968">
          <w:marLeft w:val="1166"/>
          <w:marRight w:val="0"/>
          <w:marTop w:val="134"/>
          <w:marBottom w:val="0"/>
          <w:divBdr>
            <w:top w:val="none" w:sz="0" w:space="0" w:color="auto"/>
            <w:left w:val="none" w:sz="0" w:space="0" w:color="auto"/>
            <w:bottom w:val="none" w:sz="0" w:space="0" w:color="auto"/>
            <w:right w:val="none" w:sz="0" w:space="0" w:color="auto"/>
          </w:divBdr>
        </w:div>
        <w:div w:id="231544459">
          <w:marLeft w:val="547"/>
          <w:marRight w:val="0"/>
          <w:marTop w:val="154"/>
          <w:marBottom w:val="0"/>
          <w:divBdr>
            <w:top w:val="none" w:sz="0" w:space="0" w:color="auto"/>
            <w:left w:val="none" w:sz="0" w:space="0" w:color="auto"/>
            <w:bottom w:val="none" w:sz="0" w:space="0" w:color="auto"/>
            <w:right w:val="none" w:sz="0" w:space="0" w:color="auto"/>
          </w:divBdr>
        </w:div>
        <w:div w:id="582033902">
          <w:marLeft w:val="547"/>
          <w:marRight w:val="0"/>
          <w:marTop w:val="154"/>
          <w:marBottom w:val="0"/>
          <w:divBdr>
            <w:top w:val="none" w:sz="0" w:space="0" w:color="auto"/>
            <w:left w:val="none" w:sz="0" w:space="0" w:color="auto"/>
            <w:bottom w:val="none" w:sz="0" w:space="0" w:color="auto"/>
            <w:right w:val="none" w:sz="0" w:space="0" w:color="auto"/>
          </w:divBdr>
        </w:div>
        <w:div w:id="614335895">
          <w:marLeft w:val="1166"/>
          <w:marRight w:val="0"/>
          <w:marTop w:val="134"/>
          <w:marBottom w:val="0"/>
          <w:divBdr>
            <w:top w:val="none" w:sz="0" w:space="0" w:color="auto"/>
            <w:left w:val="none" w:sz="0" w:space="0" w:color="auto"/>
            <w:bottom w:val="none" w:sz="0" w:space="0" w:color="auto"/>
            <w:right w:val="none" w:sz="0" w:space="0" w:color="auto"/>
          </w:divBdr>
        </w:div>
        <w:div w:id="1258099207">
          <w:marLeft w:val="1166"/>
          <w:marRight w:val="0"/>
          <w:marTop w:val="134"/>
          <w:marBottom w:val="0"/>
          <w:divBdr>
            <w:top w:val="none" w:sz="0" w:space="0" w:color="auto"/>
            <w:left w:val="none" w:sz="0" w:space="0" w:color="auto"/>
            <w:bottom w:val="none" w:sz="0" w:space="0" w:color="auto"/>
            <w:right w:val="none" w:sz="0" w:space="0" w:color="auto"/>
          </w:divBdr>
        </w:div>
      </w:divsChild>
    </w:div>
    <w:div w:id="570240993">
      <w:bodyDiv w:val="1"/>
      <w:marLeft w:val="0"/>
      <w:marRight w:val="0"/>
      <w:marTop w:val="0"/>
      <w:marBottom w:val="0"/>
      <w:divBdr>
        <w:top w:val="none" w:sz="0" w:space="0" w:color="auto"/>
        <w:left w:val="none" w:sz="0" w:space="0" w:color="auto"/>
        <w:bottom w:val="none" w:sz="0" w:space="0" w:color="auto"/>
        <w:right w:val="none" w:sz="0" w:space="0" w:color="auto"/>
      </w:divBdr>
    </w:div>
    <w:div w:id="570432235">
      <w:bodyDiv w:val="1"/>
      <w:marLeft w:val="0"/>
      <w:marRight w:val="0"/>
      <w:marTop w:val="0"/>
      <w:marBottom w:val="0"/>
      <w:divBdr>
        <w:top w:val="none" w:sz="0" w:space="0" w:color="auto"/>
        <w:left w:val="none" w:sz="0" w:space="0" w:color="auto"/>
        <w:bottom w:val="none" w:sz="0" w:space="0" w:color="auto"/>
        <w:right w:val="none" w:sz="0" w:space="0" w:color="auto"/>
      </w:divBdr>
    </w:div>
    <w:div w:id="570627808">
      <w:bodyDiv w:val="1"/>
      <w:marLeft w:val="0"/>
      <w:marRight w:val="0"/>
      <w:marTop w:val="0"/>
      <w:marBottom w:val="0"/>
      <w:divBdr>
        <w:top w:val="none" w:sz="0" w:space="0" w:color="auto"/>
        <w:left w:val="none" w:sz="0" w:space="0" w:color="auto"/>
        <w:bottom w:val="none" w:sz="0" w:space="0" w:color="auto"/>
        <w:right w:val="none" w:sz="0" w:space="0" w:color="auto"/>
      </w:divBdr>
      <w:divsChild>
        <w:div w:id="271480258">
          <w:marLeft w:val="1166"/>
          <w:marRight w:val="0"/>
          <w:marTop w:val="77"/>
          <w:marBottom w:val="0"/>
          <w:divBdr>
            <w:top w:val="none" w:sz="0" w:space="0" w:color="auto"/>
            <w:left w:val="none" w:sz="0" w:space="0" w:color="auto"/>
            <w:bottom w:val="none" w:sz="0" w:space="0" w:color="auto"/>
            <w:right w:val="none" w:sz="0" w:space="0" w:color="auto"/>
          </w:divBdr>
        </w:div>
        <w:div w:id="397703733">
          <w:marLeft w:val="547"/>
          <w:marRight w:val="0"/>
          <w:marTop w:val="86"/>
          <w:marBottom w:val="0"/>
          <w:divBdr>
            <w:top w:val="none" w:sz="0" w:space="0" w:color="auto"/>
            <w:left w:val="none" w:sz="0" w:space="0" w:color="auto"/>
            <w:bottom w:val="none" w:sz="0" w:space="0" w:color="auto"/>
            <w:right w:val="none" w:sz="0" w:space="0" w:color="auto"/>
          </w:divBdr>
        </w:div>
        <w:div w:id="597178500">
          <w:marLeft w:val="1166"/>
          <w:marRight w:val="0"/>
          <w:marTop w:val="67"/>
          <w:marBottom w:val="0"/>
          <w:divBdr>
            <w:top w:val="none" w:sz="0" w:space="0" w:color="auto"/>
            <w:left w:val="none" w:sz="0" w:space="0" w:color="auto"/>
            <w:bottom w:val="none" w:sz="0" w:space="0" w:color="auto"/>
            <w:right w:val="none" w:sz="0" w:space="0" w:color="auto"/>
          </w:divBdr>
        </w:div>
        <w:div w:id="751776034">
          <w:marLeft w:val="547"/>
          <w:marRight w:val="0"/>
          <w:marTop w:val="86"/>
          <w:marBottom w:val="0"/>
          <w:divBdr>
            <w:top w:val="none" w:sz="0" w:space="0" w:color="auto"/>
            <w:left w:val="none" w:sz="0" w:space="0" w:color="auto"/>
            <w:bottom w:val="none" w:sz="0" w:space="0" w:color="auto"/>
            <w:right w:val="none" w:sz="0" w:space="0" w:color="auto"/>
          </w:divBdr>
        </w:div>
        <w:div w:id="1079205725">
          <w:marLeft w:val="1166"/>
          <w:marRight w:val="0"/>
          <w:marTop w:val="86"/>
          <w:marBottom w:val="0"/>
          <w:divBdr>
            <w:top w:val="none" w:sz="0" w:space="0" w:color="auto"/>
            <w:left w:val="none" w:sz="0" w:space="0" w:color="auto"/>
            <w:bottom w:val="none" w:sz="0" w:space="0" w:color="auto"/>
            <w:right w:val="none" w:sz="0" w:space="0" w:color="auto"/>
          </w:divBdr>
        </w:div>
        <w:div w:id="1196230874">
          <w:marLeft w:val="1166"/>
          <w:marRight w:val="0"/>
          <w:marTop w:val="77"/>
          <w:marBottom w:val="0"/>
          <w:divBdr>
            <w:top w:val="none" w:sz="0" w:space="0" w:color="auto"/>
            <w:left w:val="none" w:sz="0" w:space="0" w:color="auto"/>
            <w:bottom w:val="none" w:sz="0" w:space="0" w:color="auto"/>
            <w:right w:val="none" w:sz="0" w:space="0" w:color="auto"/>
          </w:divBdr>
        </w:div>
        <w:div w:id="1265263674">
          <w:marLeft w:val="1800"/>
          <w:marRight w:val="0"/>
          <w:marTop w:val="67"/>
          <w:marBottom w:val="0"/>
          <w:divBdr>
            <w:top w:val="none" w:sz="0" w:space="0" w:color="auto"/>
            <w:left w:val="none" w:sz="0" w:space="0" w:color="auto"/>
            <w:bottom w:val="none" w:sz="0" w:space="0" w:color="auto"/>
            <w:right w:val="none" w:sz="0" w:space="0" w:color="auto"/>
          </w:divBdr>
        </w:div>
        <w:div w:id="1283458706">
          <w:marLeft w:val="1800"/>
          <w:marRight w:val="0"/>
          <w:marTop w:val="67"/>
          <w:marBottom w:val="0"/>
          <w:divBdr>
            <w:top w:val="none" w:sz="0" w:space="0" w:color="auto"/>
            <w:left w:val="none" w:sz="0" w:space="0" w:color="auto"/>
            <w:bottom w:val="none" w:sz="0" w:space="0" w:color="auto"/>
            <w:right w:val="none" w:sz="0" w:space="0" w:color="auto"/>
          </w:divBdr>
        </w:div>
        <w:div w:id="1429084794">
          <w:marLeft w:val="1800"/>
          <w:marRight w:val="0"/>
          <w:marTop w:val="67"/>
          <w:marBottom w:val="0"/>
          <w:divBdr>
            <w:top w:val="none" w:sz="0" w:space="0" w:color="auto"/>
            <w:left w:val="none" w:sz="0" w:space="0" w:color="auto"/>
            <w:bottom w:val="none" w:sz="0" w:space="0" w:color="auto"/>
            <w:right w:val="none" w:sz="0" w:space="0" w:color="auto"/>
          </w:divBdr>
        </w:div>
        <w:div w:id="1559508474">
          <w:marLeft w:val="1800"/>
          <w:marRight w:val="0"/>
          <w:marTop w:val="67"/>
          <w:marBottom w:val="0"/>
          <w:divBdr>
            <w:top w:val="none" w:sz="0" w:space="0" w:color="auto"/>
            <w:left w:val="none" w:sz="0" w:space="0" w:color="auto"/>
            <w:bottom w:val="none" w:sz="0" w:space="0" w:color="auto"/>
            <w:right w:val="none" w:sz="0" w:space="0" w:color="auto"/>
          </w:divBdr>
        </w:div>
        <w:div w:id="1666930939">
          <w:marLeft w:val="1166"/>
          <w:marRight w:val="0"/>
          <w:marTop w:val="67"/>
          <w:marBottom w:val="0"/>
          <w:divBdr>
            <w:top w:val="none" w:sz="0" w:space="0" w:color="auto"/>
            <w:left w:val="none" w:sz="0" w:space="0" w:color="auto"/>
            <w:bottom w:val="none" w:sz="0" w:space="0" w:color="auto"/>
            <w:right w:val="none" w:sz="0" w:space="0" w:color="auto"/>
          </w:divBdr>
        </w:div>
        <w:div w:id="1814635781">
          <w:marLeft w:val="1166"/>
          <w:marRight w:val="0"/>
          <w:marTop w:val="67"/>
          <w:marBottom w:val="0"/>
          <w:divBdr>
            <w:top w:val="none" w:sz="0" w:space="0" w:color="auto"/>
            <w:left w:val="none" w:sz="0" w:space="0" w:color="auto"/>
            <w:bottom w:val="none" w:sz="0" w:space="0" w:color="auto"/>
            <w:right w:val="none" w:sz="0" w:space="0" w:color="auto"/>
          </w:divBdr>
        </w:div>
        <w:div w:id="1985116528">
          <w:marLeft w:val="547"/>
          <w:marRight w:val="0"/>
          <w:marTop w:val="96"/>
          <w:marBottom w:val="0"/>
          <w:divBdr>
            <w:top w:val="none" w:sz="0" w:space="0" w:color="auto"/>
            <w:left w:val="none" w:sz="0" w:space="0" w:color="auto"/>
            <w:bottom w:val="none" w:sz="0" w:space="0" w:color="auto"/>
            <w:right w:val="none" w:sz="0" w:space="0" w:color="auto"/>
          </w:divBdr>
        </w:div>
        <w:div w:id="2018458716">
          <w:marLeft w:val="1166"/>
          <w:marRight w:val="0"/>
          <w:marTop w:val="67"/>
          <w:marBottom w:val="0"/>
          <w:divBdr>
            <w:top w:val="none" w:sz="0" w:space="0" w:color="auto"/>
            <w:left w:val="none" w:sz="0" w:space="0" w:color="auto"/>
            <w:bottom w:val="none" w:sz="0" w:space="0" w:color="auto"/>
            <w:right w:val="none" w:sz="0" w:space="0" w:color="auto"/>
          </w:divBdr>
        </w:div>
      </w:divsChild>
    </w:div>
    <w:div w:id="570890095">
      <w:bodyDiv w:val="1"/>
      <w:marLeft w:val="0"/>
      <w:marRight w:val="0"/>
      <w:marTop w:val="0"/>
      <w:marBottom w:val="0"/>
      <w:divBdr>
        <w:top w:val="none" w:sz="0" w:space="0" w:color="auto"/>
        <w:left w:val="none" w:sz="0" w:space="0" w:color="auto"/>
        <w:bottom w:val="none" w:sz="0" w:space="0" w:color="auto"/>
        <w:right w:val="none" w:sz="0" w:space="0" w:color="auto"/>
      </w:divBdr>
    </w:div>
    <w:div w:id="571159728">
      <w:bodyDiv w:val="1"/>
      <w:marLeft w:val="0"/>
      <w:marRight w:val="0"/>
      <w:marTop w:val="0"/>
      <w:marBottom w:val="0"/>
      <w:divBdr>
        <w:top w:val="none" w:sz="0" w:space="0" w:color="auto"/>
        <w:left w:val="none" w:sz="0" w:space="0" w:color="auto"/>
        <w:bottom w:val="none" w:sz="0" w:space="0" w:color="auto"/>
        <w:right w:val="none" w:sz="0" w:space="0" w:color="auto"/>
      </w:divBdr>
    </w:div>
    <w:div w:id="572004490">
      <w:bodyDiv w:val="1"/>
      <w:marLeft w:val="0"/>
      <w:marRight w:val="0"/>
      <w:marTop w:val="0"/>
      <w:marBottom w:val="0"/>
      <w:divBdr>
        <w:top w:val="none" w:sz="0" w:space="0" w:color="auto"/>
        <w:left w:val="none" w:sz="0" w:space="0" w:color="auto"/>
        <w:bottom w:val="none" w:sz="0" w:space="0" w:color="auto"/>
        <w:right w:val="none" w:sz="0" w:space="0" w:color="auto"/>
      </w:divBdr>
    </w:div>
    <w:div w:id="572275058">
      <w:bodyDiv w:val="1"/>
      <w:marLeft w:val="0"/>
      <w:marRight w:val="0"/>
      <w:marTop w:val="0"/>
      <w:marBottom w:val="0"/>
      <w:divBdr>
        <w:top w:val="none" w:sz="0" w:space="0" w:color="auto"/>
        <w:left w:val="none" w:sz="0" w:space="0" w:color="auto"/>
        <w:bottom w:val="none" w:sz="0" w:space="0" w:color="auto"/>
        <w:right w:val="none" w:sz="0" w:space="0" w:color="auto"/>
      </w:divBdr>
      <w:divsChild>
        <w:div w:id="154808598">
          <w:marLeft w:val="3600"/>
          <w:marRight w:val="0"/>
          <w:marTop w:val="0"/>
          <w:marBottom w:val="0"/>
          <w:divBdr>
            <w:top w:val="none" w:sz="0" w:space="0" w:color="auto"/>
            <w:left w:val="none" w:sz="0" w:space="0" w:color="auto"/>
            <w:bottom w:val="none" w:sz="0" w:space="0" w:color="auto"/>
            <w:right w:val="none" w:sz="0" w:space="0" w:color="auto"/>
          </w:divBdr>
        </w:div>
        <w:div w:id="456796685">
          <w:marLeft w:val="2160"/>
          <w:marRight w:val="0"/>
          <w:marTop w:val="0"/>
          <w:marBottom w:val="0"/>
          <w:divBdr>
            <w:top w:val="none" w:sz="0" w:space="0" w:color="auto"/>
            <w:left w:val="none" w:sz="0" w:space="0" w:color="auto"/>
            <w:bottom w:val="none" w:sz="0" w:space="0" w:color="auto"/>
            <w:right w:val="none" w:sz="0" w:space="0" w:color="auto"/>
          </w:divBdr>
        </w:div>
        <w:div w:id="921646301">
          <w:marLeft w:val="2160"/>
          <w:marRight w:val="0"/>
          <w:marTop w:val="0"/>
          <w:marBottom w:val="0"/>
          <w:divBdr>
            <w:top w:val="none" w:sz="0" w:space="0" w:color="auto"/>
            <w:left w:val="none" w:sz="0" w:space="0" w:color="auto"/>
            <w:bottom w:val="none" w:sz="0" w:space="0" w:color="auto"/>
            <w:right w:val="none" w:sz="0" w:space="0" w:color="auto"/>
          </w:divBdr>
        </w:div>
        <w:div w:id="991563265">
          <w:marLeft w:val="1440"/>
          <w:marRight w:val="0"/>
          <w:marTop w:val="0"/>
          <w:marBottom w:val="0"/>
          <w:divBdr>
            <w:top w:val="none" w:sz="0" w:space="0" w:color="auto"/>
            <w:left w:val="none" w:sz="0" w:space="0" w:color="auto"/>
            <w:bottom w:val="none" w:sz="0" w:space="0" w:color="auto"/>
            <w:right w:val="none" w:sz="0" w:space="0" w:color="auto"/>
          </w:divBdr>
        </w:div>
        <w:div w:id="1407189472">
          <w:marLeft w:val="1440"/>
          <w:marRight w:val="0"/>
          <w:marTop w:val="0"/>
          <w:marBottom w:val="0"/>
          <w:divBdr>
            <w:top w:val="none" w:sz="0" w:space="0" w:color="auto"/>
            <w:left w:val="none" w:sz="0" w:space="0" w:color="auto"/>
            <w:bottom w:val="none" w:sz="0" w:space="0" w:color="auto"/>
            <w:right w:val="none" w:sz="0" w:space="0" w:color="auto"/>
          </w:divBdr>
        </w:div>
        <w:div w:id="1557206108">
          <w:marLeft w:val="2880"/>
          <w:marRight w:val="0"/>
          <w:marTop w:val="0"/>
          <w:marBottom w:val="0"/>
          <w:divBdr>
            <w:top w:val="none" w:sz="0" w:space="0" w:color="auto"/>
            <w:left w:val="none" w:sz="0" w:space="0" w:color="auto"/>
            <w:bottom w:val="none" w:sz="0" w:space="0" w:color="auto"/>
            <w:right w:val="none" w:sz="0" w:space="0" w:color="auto"/>
          </w:divBdr>
        </w:div>
        <w:div w:id="1910268674">
          <w:marLeft w:val="2160"/>
          <w:marRight w:val="0"/>
          <w:marTop w:val="0"/>
          <w:marBottom w:val="0"/>
          <w:divBdr>
            <w:top w:val="none" w:sz="0" w:space="0" w:color="auto"/>
            <w:left w:val="none" w:sz="0" w:space="0" w:color="auto"/>
            <w:bottom w:val="none" w:sz="0" w:space="0" w:color="auto"/>
            <w:right w:val="none" w:sz="0" w:space="0" w:color="auto"/>
          </w:divBdr>
        </w:div>
      </w:divsChild>
    </w:div>
    <w:div w:id="573248119">
      <w:bodyDiv w:val="1"/>
      <w:marLeft w:val="0"/>
      <w:marRight w:val="0"/>
      <w:marTop w:val="0"/>
      <w:marBottom w:val="0"/>
      <w:divBdr>
        <w:top w:val="none" w:sz="0" w:space="0" w:color="auto"/>
        <w:left w:val="none" w:sz="0" w:space="0" w:color="auto"/>
        <w:bottom w:val="none" w:sz="0" w:space="0" w:color="auto"/>
        <w:right w:val="none" w:sz="0" w:space="0" w:color="auto"/>
      </w:divBdr>
    </w:div>
    <w:div w:id="573395218">
      <w:bodyDiv w:val="1"/>
      <w:marLeft w:val="0"/>
      <w:marRight w:val="0"/>
      <w:marTop w:val="0"/>
      <w:marBottom w:val="0"/>
      <w:divBdr>
        <w:top w:val="none" w:sz="0" w:space="0" w:color="auto"/>
        <w:left w:val="none" w:sz="0" w:space="0" w:color="auto"/>
        <w:bottom w:val="none" w:sz="0" w:space="0" w:color="auto"/>
        <w:right w:val="none" w:sz="0" w:space="0" w:color="auto"/>
      </w:divBdr>
    </w:div>
    <w:div w:id="573590759">
      <w:bodyDiv w:val="1"/>
      <w:marLeft w:val="0"/>
      <w:marRight w:val="0"/>
      <w:marTop w:val="0"/>
      <w:marBottom w:val="0"/>
      <w:divBdr>
        <w:top w:val="none" w:sz="0" w:space="0" w:color="auto"/>
        <w:left w:val="none" w:sz="0" w:space="0" w:color="auto"/>
        <w:bottom w:val="none" w:sz="0" w:space="0" w:color="auto"/>
        <w:right w:val="none" w:sz="0" w:space="0" w:color="auto"/>
      </w:divBdr>
      <w:divsChild>
        <w:div w:id="434133297">
          <w:marLeft w:val="547"/>
          <w:marRight w:val="0"/>
          <w:marTop w:val="154"/>
          <w:marBottom w:val="0"/>
          <w:divBdr>
            <w:top w:val="none" w:sz="0" w:space="0" w:color="auto"/>
            <w:left w:val="none" w:sz="0" w:space="0" w:color="auto"/>
            <w:bottom w:val="none" w:sz="0" w:space="0" w:color="auto"/>
            <w:right w:val="none" w:sz="0" w:space="0" w:color="auto"/>
          </w:divBdr>
        </w:div>
        <w:div w:id="1483540575">
          <w:marLeft w:val="547"/>
          <w:marRight w:val="0"/>
          <w:marTop w:val="154"/>
          <w:marBottom w:val="0"/>
          <w:divBdr>
            <w:top w:val="none" w:sz="0" w:space="0" w:color="auto"/>
            <w:left w:val="none" w:sz="0" w:space="0" w:color="auto"/>
            <w:bottom w:val="none" w:sz="0" w:space="0" w:color="auto"/>
            <w:right w:val="none" w:sz="0" w:space="0" w:color="auto"/>
          </w:divBdr>
        </w:div>
        <w:div w:id="1555389925">
          <w:marLeft w:val="1166"/>
          <w:marRight w:val="0"/>
          <w:marTop w:val="139"/>
          <w:marBottom w:val="0"/>
          <w:divBdr>
            <w:top w:val="none" w:sz="0" w:space="0" w:color="auto"/>
            <w:left w:val="none" w:sz="0" w:space="0" w:color="auto"/>
            <w:bottom w:val="none" w:sz="0" w:space="0" w:color="auto"/>
            <w:right w:val="none" w:sz="0" w:space="0" w:color="auto"/>
          </w:divBdr>
        </w:div>
        <w:div w:id="1703362801">
          <w:marLeft w:val="1800"/>
          <w:marRight w:val="0"/>
          <w:marTop w:val="120"/>
          <w:marBottom w:val="0"/>
          <w:divBdr>
            <w:top w:val="none" w:sz="0" w:space="0" w:color="auto"/>
            <w:left w:val="none" w:sz="0" w:space="0" w:color="auto"/>
            <w:bottom w:val="none" w:sz="0" w:space="0" w:color="auto"/>
            <w:right w:val="none" w:sz="0" w:space="0" w:color="auto"/>
          </w:divBdr>
        </w:div>
        <w:div w:id="1924757927">
          <w:marLeft w:val="1166"/>
          <w:marRight w:val="0"/>
          <w:marTop w:val="139"/>
          <w:marBottom w:val="0"/>
          <w:divBdr>
            <w:top w:val="none" w:sz="0" w:space="0" w:color="auto"/>
            <w:left w:val="none" w:sz="0" w:space="0" w:color="auto"/>
            <w:bottom w:val="none" w:sz="0" w:space="0" w:color="auto"/>
            <w:right w:val="none" w:sz="0" w:space="0" w:color="auto"/>
          </w:divBdr>
        </w:div>
      </w:divsChild>
    </w:div>
    <w:div w:id="573777357">
      <w:bodyDiv w:val="1"/>
      <w:marLeft w:val="0"/>
      <w:marRight w:val="0"/>
      <w:marTop w:val="0"/>
      <w:marBottom w:val="0"/>
      <w:divBdr>
        <w:top w:val="none" w:sz="0" w:space="0" w:color="auto"/>
        <w:left w:val="none" w:sz="0" w:space="0" w:color="auto"/>
        <w:bottom w:val="none" w:sz="0" w:space="0" w:color="auto"/>
        <w:right w:val="none" w:sz="0" w:space="0" w:color="auto"/>
      </w:divBdr>
    </w:div>
    <w:div w:id="575091111">
      <w:bodyDiv w:val="1"/>
      <w:marLeft w:val="0"/>
      <w:marRight w:val="0"/>
      <w:marTop w:val="0"/>
      <w:marBottom w:val="0"/>
      <w:divBdr>
        <w:top w:val="none" w:sz="0" w:space="0" w:color="auto"/>
        <w:left w:val="none" w:sz="0" w:space="0" w:color="auto"/>
        <w:bottom w:val="none" w:sz="0" w:space="0" w:color="auto"/>
        <w:right w:val="none" w:sz="0" w:space="0" w:color="auto"/>
      </w:divBdr>
    </w:div>
    <w:div w:id="575631004">
      <w:bodyDiv w:val="1"/>
      <w:marLeft w:val="0"/>
      <w:marRight w:val="0"/>
      <w:marTop w:val="0"/>
      <w:marBottom w:val="0"/>
      <w:divBdr>
        <w:top w:val="none" w:sz="0" w:space="0" w:color="auto"/>
        <w:left w:val="none" w:sz="0" w:space="0" w:color="auto"/>
        <w:bottom w:val="none" w:sz="0" w:space="0" w:color="auto"/>
        <w:right w:val="none" w:sz="0" w:space="0" w:color="auto"/>
      </w:divBdr>
    </w:div>
    <w:div w:id="575751665">
      <w:bodyDiv w:val="1"/>
      <w:marLeft w:val="0"/>
      <w:marRight w:val="0"/>
      <w:marTop w:val="0"/>
      <w:marBottom w:val="0"/>
      <w:divBdr>
        <w:top w:val="none" w:sz="0" w:space="0" w:color="auto"/>
        <w:left w:val="none" w:sz="0" w:space="0" w:color="auto"/>
        <w:bottom w:val="none" w:sz="0" w:space="0" w:color="auto"/>
        <w:right w:val="none" w:sz="0" w:space="0" w:color="auto"/>
      </w:divBdr>
    </w:div>
    <w:div w:id="575821253">
      <w:bodyDiv w:val="1"/>
      <w:marLeft w:val="0"/>
      <w:marRight w:val="0"/>
      <w:marTop w:val="0"/>
      <w:marBottom w:val="0"/>
      <w:divBdr>
        <w:top w:val="none" w:sz="0" w:space="0" w:color="auto"/>
        <w:left w:val="none" w:sz="0" w:space="0" w:color="auto"/>
        <w:bottom w:val="none" w:sz="0" w:space="0" w:color="auto"/>
        <w:right w:val="none" w:sz="0" w:space="0" w:color="auto"/>
      </w:divBdr>
    </w:div>
    <w:div w:id="575825810">
      <w:bodyDiv w:val="1"/>
      <w:marLeft w:val="0"/>
      <w:marRight w:val="0"/>
      <w:marTop w:val="0"/>
      <w:marBottom w:val="0"/>
      <w:divBdr>
        <w:top w:val="none" w:sz="0" w:space="0" w:color="auto"/>
        <w:left w:val="none" w:sz="0" w:space="0" w:color="auto"/>
        <w:bottom w:val="none" w:sz="0" w:space="0" w:color="auto"/>
        <w:right w:val="none" w:sz="0" w:space="0" w:color="auto"/>
      </w:divBdr>
    </w:div>
    <w:div w:id="576134692">
      <w:bodyDiv w:val="1"/>
      <w:marLeft w:val="0"/>
      <w:marRight w:val="0"/>
      <w:marTop w:val="0"/>
      <w:marBottom w:val="0"/>
      <w:divBdr>
        <w:top w:val="none" w:sz="0" w:space="0" w:color="auto"/>
        <w:left w:val="none" w:sz="0" w:space="0" w:color="auto"/>
        <w:bottom w:val="none" w:sz="0" w:space="0" w:color="auto"/>
        <w:right w:val="none" w:sz="0" w:space="0" w:color="auto"/>
      </w:divBdr>
    </w:div>
    <w:div w:id="576135252">
      <w:bodyDiv w:val="1"/>
      <w:marLeft w:val="0"/>
      <w:marRight w:val="0"/>
      <w:marTop w:val="0"/>
      <w:marBottom w:val="0"/>
      <w:divBdr>
        <w:top w:val="none" w:sz="0" w:space="0" w:color="auto"/>
        <w:left w:val="none" w:sz="0" w:space="0" w:color="auto"/>
        <w:bottom w:val="none" w:sz="0" w:space="0" w:color="auto"/>
        <w:right w:val="none" w:sz="0" w:space="0" w:color="auto"/>
      </w:divBdr>
    </w:div>
    <w:div w:id="577641674">
      <w:bodyDiv w:val="1"/>
      <w:marLeft w:val="0"/>
      <w:marRight w:val="0"/>
      <w:marTop w:val="0"/>
      <w:marBottom w:val="0"/>
      <w:divBdr>
        <w:top w:val="none" w:sz="0" w:space="0" w:color="auto"/>
        <w:left w:val="none" w:sz="0" w:space="0" w:color="auto"/>
        <w:bottom w:val="none" w:sz="0" w:space="0" w:color="auto"/>
        <w:right w:val="none" w:sz="0" w:space="0" w:color="auto"/>
      </w:divBdr>
    </w:div>
    <w:div w:id="577711748">
      <w:bodyDiv w:val="1"/>
      <w:marLeft w:val="0"/>
      <w:marRight w:val="0"/>
      <w:marTop w:val="0"/>
      <w:marBottom w:val="0"/>
      <w:divBdr>
        <w:top w:val="none" w:sz="0" w:space="0" w:color="auto"/>
        <w:left w:val="none" w:sz="0" w:space="0" w:color="auto"/>
        <w:bottom w:val="none" w:sz="0" w:space="0" w:color="auto"/>
        <w:right w:val="none" w:sz="0" w:space="0" w:color="auto"/>
      </w:divBdr>
    </w:div>
    <w:div w:id="577859795">
      <w:bodyDiv w:val="1"/>
      <w:marLeft w:val="0"/>
      <w:marRight w:val="0"/>
      <w:marTop w:val="0"/>
      <w:marBottom w:val="0"/>
      <w:divBdr>
        <w:top w:val="none" w:sz="0" w:space="0" w:color="auto"/>
        <w:left w:val="none" w:sz="0" w:space="0" w:color="auto"/>
        <w:bottom w:val="none" w:sz="0" w:space="0" w:color="auto"/>
        <w:right w:val="none" w:sz="0" w:space="0" w:color="auto"/>
      </w:divBdr>
      <w:divsChild>
        <w:div w:id="957025465">
          <w:marLeft w:val="0"/>
          <w:marRight w:val="0"/>
          <w:marTop w:val="0"/>
          <w:marBottom w:val="0"/>
          <w:divBdr>
            <w:top w:val="none" w:sz="0" w:space="0" w:color="auto"/>
            <w:left w:val="none" w:sz="0" w:space="0" w:color="auto"/>
            <w:bottom w:val="none" w:sz="0" w:space="0" w:color="auto"/>
            <w:right w:val="none" w:sz="0" w:space="0" w:color="auto"/>
          </w:divBdr>
        </w:div>
      </w:divsChild>
    </w:div>
    <w:div w:id="578565337">
      <w:bodyDiv w:val="1"/>
      <w:marLeft w:val="0"/>
      <w:marRight w:val="0"/>
      <w:marTop w:val="0"/>
      <w:marBottom w:val="0"/>
      <w:divBdr>
        <w:top w:val="none" w:sz="0" w:space="0" w:color="auto"/>
        <w:left w:val="none" w:sz="0" w:space="0" w:color="auto"/>
        <w:bottom w:val="none" w:sz="0" w:space="0" w:color="auto"/>
        <w:right w:val="none" w:sz="0" w:space="0" w:color="auto"/>
      </w:divBdr>
    </w:div>
    <w:div w:id="579561412">
      <w:bodyDiv w:val="1"/>
      <w:marLeft w:val="0"/>
      <w:marRight w:val="0"/>
      <w:marTop w:val="0"/>
      <w:marBottom w:val="0"/>
      <w:divBdr>
        <w:top w:val="none" w:sz="0" w:space="0" w:color="auto"/>
        <w:left w:val="none" w:sz="0" w:space="0" w:color="auto"/>
        <w:bottom w:val="none" w:sz="0" w:space="0" w:color="auto"/>
        <w:right w:val="none" w:sz="0" w:space="0" w:color="auto"/>
      </w:divBdr>
    </w:div>
    <w:div w:id="579871751">
      <w:bodyDiv w:val="1"/>
      <w:marLeft w:val="0"/>
      <w:marRight w:val="0"/>
      <w:marTop w:val="0"/>
      <w:marBottom w:val="0"/>
      <w:divBdr>
        <w:top w:val="none" w:sz="0" w:space="0" w:color="auto"/>
        <w:left w:val="none" w:sz="0" w:space="0" w:color="auto"/>
        <w:bottom w:val="none" w:sz="0" w:space="0" w:color="auto"/>
        <w:right w:val="none" w:sz="0" w:space="0" w:color="auto"/>
      </w:divBdr>
    </w:div>
    <w:div w:id="580024284">
      <w:bodyDiv w:val="1"/>
      <w:marLeft w:val="0"/>
      <w:marRight w:val="0"/>
      <w:marTop w:val="0"/>
      <w:marBottom w:val="0"/>
      <w:divBdr>
        <w:top w:val="none" w:sz="0" w:space="0" w:color="auto"/>
        <w:left w:val="none" w:sz="0" w:space="0" w:color="auto"/>
        <w:bottom w:val="none" w:sz="0" w:space="0" w:color="auto"/>
        <w:right w:val="none" w:sz="0" w:space="0" w:color="auto"/>
      </w:divBdr>
    </w:div>
    <w:div w:id="580219247">
      <w:bodyDiv w:val="1"/>
      <w:marLeft w:val="0"/>
      <w:marRight w:val="0"/>
      <w:marTop w:val="0"/>
      <w:marBottom w:val="0"/>
      <w:divBdr>
        <w:top w:val="none" w:sz="0" w:space="0" w:color="auto"/>
        <w:left w:val="none" w:sz="0" w:space="0" w:color="auto"/>
        <w:bottom w:val="none" w:sz="0" w:space="0" w:color="auto"/>
        <w:right w:val="none" w:sz="0" w:space="0" w:color="auto"/>
      </w:divBdr>
      <w:divsChild>
        <w:div w:id="203294181">
          <w:marLeft w:val="0"/>
          <w:marRight w:val="0"/>
          <w:marTop w:val="0"/>
          <w:marBottom w:val="0"/>
          <w:divBdr>
            <w:top w:val="none" w:sz="0" w:space="0" w:color="auto"/>
            <w:left w:val="none" w:sz="0" w:space="0" w:color="auto"/>
            <w:bottom w:val="none" w:sz="0" w:space="0" w:color="auto"/>
            <w:right w:val="none" w:sz="0" w:space="0" w:color="auto"/>
          </w:divBdr>
          <w:divsChild>
            <w:div w:id="15551169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80408024">
      <w:bodyDiv w:val="1"/>
      <w:marLeft w:val="0"/>
      <w:marRight w:val="0"/>
      <w:marTop w:val="0"/>
      <w:marBottom w:val="0"/>
      <w:divBdr>
        <w:top w:val="none" w:sz="0" w:space="0" w:color="auto"/>
        <w:left w:val="none" w:sz="0" w:space="0" w:color="auto"/>
        <w:bottom w:val="none" w:sz="0" w:space="0" w:color="auto"/>
        <w:right w:val="none" w:sz="0" w:space="0" w:color="auto"/>
      </w:divBdr>
    </w:div>
    <w:div w:id="580599546">
      <w:bodyDiv w:val="1"/>
      <w:marLeft w:val="0"/>
      <w:marRight w:val="0"/>
      <w:marTop w:val="0"/>
      <w:marBottom w:val="0"/>
      <w:divBdr>
        <w:top w:val="none" w:sz="0" w:space="0" w:color="auto"/>
        <w:left w:val="none" w:sz="0" w:space="0" w:color="auto"/>
        <w:bottom w:val="none" w:sz="0" w:space="0" w:color="auto"/>
        <w:right w:val="none" w:sz="0" w:space="0" w:color="auto"/>
      </w:divBdr>
    </w:div>
    <w:div w:id="580606473">
      <w:bodyDiv w:val="1"/>
      <w:marLeft w:val="0"/>
      <w:marRight w:val="0"/>
      <w:marTop w:val="0"/>
      <w:marBottom w:val="0"/>
      <w:divBdr>
        <w:top w:val="none" w:sz="0" w:space="0" w:color="auto"/>
        <w:left w:val="none" w:sz="0" w:space="0" w:color="auto"/>
        <w:bottom w:val="none" w:sz="0" w:space="0" w:color="auto"/>
        <w:right w:val="none" w:sz="0" w:space="0" w:color="auto"/>
      </w:divBdr>
      <w:divsChild>
        <w:div w:id="165630272">
          <w:marLeft w:val="1800"/>
          <w:marRight w:val="0"/>
          <w:marTop w:val="115"/>
          <w:marBottom w:val="0"/>
          <w:divBdr>
            <w:top w:val="none" w:sz="0" w:space="0" w:color="auto"/>
            <w:left w:val="none" w:sz="0" w:space="0" w:color="auto"/>
            <w:bottom w:val="none" w:sz="0" w:space="0" w:color="auto"/>
            <w:right w:val="none" w:sz="0" w:space="0" w:color="auto"/>
          </w:divBdr>
        </w:div>
        <w:div w:id="386732873">
          <w:marLeft w:val="547"/>
          <w:marRight w:val="0"/>
          <w:marTop w:val="154"/>
          <w:marBottom w:val="0"/>
          <w:divBdr>
            <w:top w:val="none" w:sz="0" w:space="0" w:color="auto"/>
            <w:left w:val="none" w:sz="0" w:space="0" w:color="auto"/>
            <w:bottom w:val="none" w:sz="0" w:space="0" w:color="auto"/>
            <w:right w:val="none" w:sz="0" w:space="0" w:color="auto"/>
          </w:divBdr>
        </w:div>
        <w:div w:id="475728679">
          <w:marLeft w:val="1800"/>
          <w:marRight w:val="0"/>
          <w:marTop w:val="96"/>
          <w:marBottom w:val="0"/>
          <w:divBdr>
            <w:top w:val="none" w:sz="0" w:space="0" w:color="auto"/>
            <w:left w:val="none" w:sz="0" w:space="0" w:color="auto"/>
            <w:bottom w:val="none" w:sz="0" w:space="0" w:color="auto"/>
            <w:right w:val="none" w:sz="0" w:space="0" w:color="auto"/>
          </w:divBdr>
        </w:div>
        <w:div w:id="588974430">
          <w:marLeft w:val="1166"/>
          <w:marRight w:val="0"/>
          <w:marTop w:val="134"/>
          <w:marBottom w:val="0"/>
          <w:divBdr>
            <w:top w:val="none" w:sz="0" w:space="0" w:color="auto"/>
            <w:left w:val="none" w:sz="0" w:space="0" w:color="auto"/>
            <w:bottom w:val="none" w:sz="0" w:space="0" w:color="auto"/>
            <w:right w:val="none" w:sz="0" w:space="0" w:color="auto"/>
          </w:divBdr>
        </w:div>
        <w:div w:id="1145857039">
          <w:marLeft w:val="1166"/>
          <w:marRight w:val="0"/>
          <w:marTop w:val="134"/>
          <w:marBottom w:val="0"/>
          <w:divBdr>
            <w:top w:val="none" w:sz="0" w:space="0" w:color="auto"/>
            <w:left w:val="none" w:sz="0" w:space="0" w:color="auto"/>
            <w:bottom w:val="none" w:sz="0" w:space="0" w:color="auto"/>
            <w:right w:val="none" w:sz="0" w:space="0" w:color="auto"/>
          </w:divBdr>
        </w:div>
        <w:div w:id="1269629118">
          <w:marLeft w:val="1166"/>
          <w:marRight w:val="0"/>
          <w:marTop w:val="134"/>
          <w:marBottom w:val="0"/>
          <w:divBdr>
            <w:top w:val="none" w:sz="0" w:space="0" w:color="auto"/>
            <w:left w:val="none" w:sz="0" w:space="0" w:color="auto"/>
            <w:bottom w:val="none" w:sz="0" w:space="0" w:color="auto"/>
            <w:right w:val="none" w:sz="0" w:space="0" w:color="auto"/>
          </w:divBdr>
        </w:div>
        <w:div w:id="1568295351">
          <w:marLeft w:val="1800"/>
          <w:marRight w:val="0"/>
          <w:marTop w:val="115"/>
          <w:marBottom w:val="0"/>
          <w:divBdr>
            <w:top w:val="none" w:sz="0" w:space="0" w:color="auto"/>
            <w:left w:val="none" w:sz="0" w:space="0" w:color="auto"/>
            <w:bottom w:val="none" w:sz="0" w:space="0" w:color="auto"/>
            <w:right w:val="none" w:sz="0" w:space="0" w:color="auto"/>
          </w:divBdr>
        </w:div>
        <w:div w:id="1574699154">
          <w:marLeft w:val="1166"/>
          <w:marRight w:val="0"/>
          <w:marTop w:val="134"/>
          <w:marBottom w:val="0"/>
          <w:divBdr>
            <w:top w:val="none" w:sz="0" w:space="0" w:color="auto"/>
            <w:left w:val="none" w:sz="0" w:space="0" w:color="auto"/>
            <w:bottom w:val="none" w:sz="0" w:space="0" w:color="auto"/>
            <w:right w:val="none" w:sz="0" w:space="0" w:color="auto"/>
          </w:divBdr>
        </w:div>
      </w:divsChild>
    </w:div>
    <w:div w:id="580791930">
      <w:bodyDiv w:val="1"/>
      <w:marLeft w:val="0"/>
      <w:marRight w:val="0"/>
      <w:marTop w:val="0"/>
      <w:marBottom w:val="0"/>
      <w:divBdr>
        <w:top w:val="none" w:sz="0" w:space="0" w:color="auto"/>
        <w:left w:val="none" w:sz="0" w:space="0" w:color="auto"/>
        <w:bottom w:val="none" w:sz="0" w:space="0" w:color="auto"/>
        <w:right w:val="none" w:sz="0" w:space="0" w:color="auto"/>
      </w:divBdr>
    </w:div>
    <w:div w:id="580919143">
      <w:bodyDiv w:val="1"/>
      <w:marLeft w:val="0"/>
      <w:marRight w:val="0"/>
      <w:marTop w:val="0"/>
      <w:marBottom w:val="0"/>
      <w:divBdr>
        <w:top w:val="none" w:sz="0" w:space="0" w:color="auto"/>
        <w:left w:val="none" w:sz="0" w:space="0" w:color="auto"/>
        <w:bottom w:val="none" w:sz="0" w:space="0" w:color="auto"/>
        <w:right w:val="none" w:sz="0" w:space="0" w:color="auto"/>
      </w:divBdr>
      <w:divsChild>
        <w:div w:id="965742935">
          <w:marLeft w:val="1080"/>
          <w:marRight w:val="0"/>
          <w:marTop w:val="100"/>
          <w:marBottom w:val="0"/>
          <w:divBdr>
            <w:top w:val="none" w:sz="0" w:space="0" w:color="auto"/>
            <w:left w:val="none" w:sz="0" w:space="0" w:color="auto"/>
            <w:bottom w:val="none" w:sz="0" w:space="0" w:color="auto"/>
            <w:right w:val="none" w:sz="0" w:space="0" w:color="auto"/>
          </w:divBdr>
        </w:div>
        <w:div w:id="1179926021">
          <w:marLeft w:val="1080"/>
          <w:marRight w:val="0"/>
          <w:marTop w:val="100"/>
          <w:marBottom w:val="0"/>
          <w:divBdr>
            <w:top w:val="none" w:sz="0" w:space="0" w:color="auto"/>
            <w:left w:val="none" w:sz="0" w:space="0" w:color="auto"/>
            <w:bottom w:val="none" w:sz="0" w:space="0" w:color="auto"/>
            <w:right w:val="none" w:sz="0" w:space="0" w:color="auto"/>
          </w:divBdr>
        </w:div>
        <w:div w:id="1349675694">
          <w:marLeft w:val="360"/>
          <w:marRight w:val="0"/>
          <w:marTop w:val="200"/>
          <w:marBottom w:val="0"/>
          <w:divBdr>
            <w:top w:val="none" w:sz="0" w:space="0" w:color="auto"/>
            <w:left w:val="none" w:sz="0" w:space="0" w:color="auto"/>
            <w:bottom w:val="none" w:sz="0" w:space="0" w:color="auto"/>
            <w:right w:val="none" w:sz="0" w:space="0" w:color="auto"/>
          </w:divBdr>
        </w:div>
        <w:div w:id="1358384725">
          <w:marLeft w:val="1800"/>
          <w:marRight w:val="0"/>
          <w:marTop w:val="100"/>
          <w:marBottom w:val="0"/>
          <w:divBdr>
            <w:top w:val="none" w:sz="0" w:space="0" w:color="auto"/>
            <w:left w:val="none" w:sz="0" w:space="0" w:color="auto"/>
            <w:bottom w:val="none" w:sz="0" w:space="0" w:color="auto"/>
            <w:right w:val="none" w:sz="0" w:space="0" w:color="auto"/>
          </w:divBdr>
        </w:div>
        <w:div w:id="1703434654">
          <w:marLeft w:val="1800"/>
          <w:marRight w:val="0"/>
          <w:marTop w:val="100"/>
          <w:marBottom w:val="0"/>
          <w:divBdr>
            <w:top w:val="none" w:sz="0" w:space="0" w:color="auto"/>
            <w:left w:val="none" w:sz="0" w:space="0" w:color="auto"/>
            <w:bottom w:val="none" w:sz="0" w:space="0" w:color="auto"/>
            <w:right w:val="none" w:sz="0" w:space="0" w:color="auto"/>
          </w:divBdr>
        </w:div>
        <w:div w:id="1747460364">
          <w:marLeft w:val="1800"/>
          <w:marRight w:val="0"/>
          <w:marTop w:val="100"/>
          <w:marBottom w:val="0"/>
          <w:divBdr>
            <w:top w:val="none" w:sz="0" w:space="0" w:color="auto"/>
            <w:left w:val="none" w:sz="0" w:space="0" w:color="auto"/>
            <w:bottom w:val="none" w:sz="0" w:space="0" w:color="auto"/>
            <w:right w:val="none" w:sz="0" w:space="0" w:color="auto"/>
          </w:divBdr>
        </w:div>
      </w:divsChild>
    </w:div>
    <w:div w:id="581184623">
      <w:bodyDiv w:val="1"/>
      <w:marLeft w:val="0"/>
      <w:marRight w:val="0"/>
      <w:marTop w:val="0"/>
      <w:marBottom w:val="0"/>
      <w:divBdr>
        <w:top w:val="none" w:sz="0" w:space="0" w:color="auto"/>
        <w:left w:val="none" w:sz="0" w:space="0" w:color="auto"/>
        <w:bottom w:val="none" w:sz="0" w:space="0" w:color="auto"/>
        <w:right w:val="none" w:sz="0" w:space="0" w:color="auto"/>
      </w:divBdr>
    </w:div>
    <w:div w:id="581566645">
      <w:bodyDiv w:val="1"/>
      <w:marLeft w:val="0"/>
      <w:marRight w:val="0"/>
      <w:marTop w:val="0"/>
      <w:marBottom w:val="0"/>
      <w:divBdr>
        <w:top w:val="none" w:sz="0" w:space="0" w:color="auto"/>
        <w:left w:val="none" w:sz="0" w:space="0" w:color="auto"/>
        <w:bottom w:val="none" w:sz="0" w:space="0" w:color="auto"/>
        <w:right w:val="none" w:sz="0" w:space="0" w:color="auto"/>
      </w:divBdr>
    </w:div>
    <w:div w:id="581834791">
      <w:bodyDiv w:val="1"/>
      <w:marLeft w:val="0"/>
      <w:marRight w:val="0"/>
      <w:marTop w:val="0"/>
      <w:marBottom w:val="0"/>
      <w:divBdr>
        <w:top w:val="none" w:sz="0" w:space="0" w:color="auto"/>
        <w:left w:val="none" w:sz="0" w:space="0" w:color="auto"/>
        <w:bottom w:val="none" w:sz="0" w:space="0" w:color="auto"/>
        <w:right w:val="none" w:sz="0" w:space="0" w:color="auto"/>
      </w:divBdr>
    </w:div>
    <w:div w:id="582106053">
      <w:bodyDiv w:val="1"/>
      <w:marLeft w:val="0"/>
      <w:marRight w:val="0"/>
      <w:marTop w:val="0"/>
      <w:marBottom w:val="0"/>
      <w:divBdr>
        <w:top w:val="none" w:sz="0" w:space="0" w:color="auto"/>
        <w:left w:val="none" w:sz="0" w:space="0" w:color="auto"/>
        <w:bottom w:val="none" w:sz="0" w:space="0" w:color="auto"/>
        <w:right w:val="none" w:sz="0" w:space="0" w:color="auto"/>
      </w:divBdr>
    </w:div>
    <w:div w:id="582879445">
      <w:bodyDiv w:val="1"/>
      <w:marLeft w:val="0"/>
      <w:marRight w:val="0"/>
      <w:marTop w:val="0"/>
      <w:marBottom w:val="0"/>
      <w:divBdr>
        <w:top w:val="none" w:sz="0" w:space="0" w:color="auto"/>
        <w:left w:val="none" w:sz="0" w:space="0" w:color="auto"/>
        <w:bottom w:val="none" w:sz="0" w:space="0" w:color="auto"/>
        <w:right w:val="none" w:sz="0" w:space="0" w:color="auto"/>
      </w:divBdr>
    </w:div>
    <w:div w:id="583101619">
      <w:bodyDiv w:val="1"/>
      <w:marLeft w:val="0"/>
      <w:marRight w:val="0"/>
      <w:marTop w:val="0"/>
      <w:marBottom w:val="0"/>
      <w:divBdr>
        <w:top w:val="none" w:sz="0" w:space="0" w:color="auto"/>
        <w:left w:val="none" w:sz="0" w:space="0" w:color="auto"/>
        <w:bottom w:val="none" w:sz="0" w:space="0" w:color="auto"/>
        <w:right w:val="none" w:sz="0" w:space="0" w:color="auto"/>
      </w:divBdr>
    </w:div>
    <w:div w:id="583802482">
      <w:bodyDiv w:val="1"/>
      <w:marLeft w:val="0"/>
      <w:marRight w:val="0"/>
      <w:marTop w:val="0"/>
      <w:marBottom w:val="0"/>
      <w:divBdr>
        <w:top w:val="none" w:sz="0" w:space="0" w:color="auto"/>
        <w:left w:val="none" w:sz="0" w:space="0" w:color="auto"/>
        <w:bottom w:val="none" w:sz="0" w:space="0" w:color="auto"/>
        <w:right w:val="none" w:sz="0" w:space="0" w:color="auto"/>
      </w:divBdr>
    </w:div>
    <w:div w:id="585381467">
      <w:bodyDiv w:val="1"/>
      <w:marLeft w:val="0"/>
      <w:marRight w:val="0"/>
      <w:marTop w:val="0"/>
      <w:marBottom w:val="0"/>
      <w:divBdr>
        <w:top w:val="none" w:sz="0" w:space="0" w:color="auto"/>
        <w:left w:val="none" w:sz="0" w:space="0" w:color="auto"/>
        <w:bottom w:val="none" w:sz="0" w:space="0" w:color="auto"/>
        <w:right w:val="none" w:sz="0" w:space="0" w:color="auto"/>
      </w:divBdr>
      <w:divsChild>
        <w:div w:id="412431345">
          <w:marLeft w:val="1166"/>
          <w:marRight w:val="0"/>
          <w:marTop w:val="96"/>
          <w:marBottom w:val="0"/>
          <w:divBdr>
            <w:top w:val="none" w:sz="0" w:space="0" w:color="auto"/>
            <w:left w:val="none" w:sz="0" w:space="0" w:color="auto"/>
            <w:bottom w:val="none" w:sz="0" w:space="0" w:color="auto"/>
            <w:right w:val="none" w:sz="0" w:space="0" w:color="auto"/>
          </w:divBdr>
        </w:div>
        <w:div w:id="511384122">
          <w:marLeft w:val="1800"/>
          <w:marRight w:val="0"/>
          <w:marTop w:val="86"/>
          <w:marBottom w:val="0"/>
          <w:divBdr>
            <w:top w:val="none" w:sz="0" w:space="0" w:color="auto"/>
            <w:left w:val="none" w:sz="0" w:space="0" w:color="auto"/>
            <w:bottom w:val="none" w:sz="0" w:space="0" w:color="auto"/>
            <w:right w:val="none" w:sz="0" w:space="0" w:color="auto"/>
          </w:divBdr>
        </w:div>
        <w:div w:id="738357680">
          <w:marLeft w:val="547"/>
          <w:marRight w:val="0"/>
          <w:marTop w:val="106"/>
          <w:marBottom w:val="0"/>
          <w:divBdr>
            <w:top w:val="none" w:sz="0" w:space="0" w:color="auto"/>
            <w:left w:val="none" w:sz="0" w:space="0" w:color="auto"/>
            <w:bottom w:val="none" w:sz="0" w:space="0" w:color="auto"/>
            <w:right w:val="none" w:sz="0" w:space="0" w:color="auto"/>
          </w:divBdr>
        </w:div>
        <w:div w:id="776873903">
          <w:marLeft w:val="1166"/>
          <w:marRight w:val="0"/>
          <w:marTop w:val="96"/>
          <w:marBottom w:val="0"/>
          <w:divBdr>
            <w:top w:val="none" w:sz="0" w:space="0" w:color="auto"/>
            <w:left w:val="none" w:sz="0" w:space="0" w:color="auto"/>
            <w:bottom w:val="none" w:sz="0" w:space="0" w:color="auto"/>
            <w:right w:val="none" w:sz="0" w:space="0" w:color="auto"/>
          </w:divBdr>
        </w:div>
        <w:div w:id="1178889689">
          <w:marLeft w:val="547"/>
          <w:marRight w:val="0"/>
          <w:marTop w:val="106"/>
          <w:marBottom w:val="0"/>
          <w:divBdr>
            <w:top w:val="none" w:sz="0" w:space="0" w:color="auto"/>
            <w:left w:val="none" w:sz="0" w:space="0" w:color="auto"/>
            <w:bottom w:val="none" w:sz="0" w:space="0" w:color="auto"/>
            <w:right w:val="none" w:sz="0" w:space="0" w:color="auto"/>
          </w:divBdr>
        </w:div>
        <w:div w:id="1308559420">
          <w:marLeft w:val="1166"/>
          <w:marRight w:val="0"/>
          <w:marTop w:val="96"/>
          <w:marBottom w:val="0"/>
          <w:divBdr>
            <w:top w:val="none" w:sz="0" w:space="0" w:color="auto"/>
            <w:left w:val="none" w:sz="0" w:space="0" w:color="auto"/>
            <w:bottom w:val="none" w:sz="0" w:space="0" w:color="auto"/>
            <w:right w:val="none" w:sz="0" w:space="0" w:color="auto"/>
          </w:divBdr>
        </w:div>
        <w:div w:id="2074232077">
          <w:marLeft w:val="1166"/>
          <w:marRight w:val="0"/>
          <w:marTop w:val="96"/>
          <w:marBottom w:val="0"/>
          <w:divBdr>
            <w:top w:val="none" w:sz="0" w:space="0" w:color="auto"/>
            <w:left w:val="none" w:sz="0" w:space="0" w:color="auto"/>
            <w:bottom w:val="none" w:sz="0" w:space="0" w:color="auto"/>
            <w:right w:val="none" w:sz="0" w:space="0" w:color="auto"/>
          </w:divBdr>
        </w:div>
      </w:divsChild>
    </w:div>
    <w:div w:id="586041061">
      <w:bodyDiv w:val="1"/>
      <w:marLeft w:val="0"/>
      <w:marRight w:val="0"/>
      <w:marTop w:val="0"/>
      <w:marBottom w:val="0"/>
      <w:divBdr>
        <w:top w:val="none" w:sz="0" w:space="0" w:color="auto"/>
        <w:left w:val="none" w:sz="0" w:space="0" w:color="auto"/>
        <w:bottom w:val="none" w:sz="0" w:space="0" w:color="auto"/>
        <w:right w:val="none" w:sz="0" w:space="0" w:color="auto"/>
      </w:divBdr>
    </w:div>
    <w:div w:id="586957700">
      <w:bodyDiv w:val="1"/>
      <w:marLeft w:val="0"/>
      <w:marRight w:val="0"/>
      <w:marTop w:val="0"/>
      <w:marBottom w:val="0"/>
      <w:divBdr>
        <w:top w:val="none" w:sz="0" w:space="0" w:color="auto"/>
        <w:left w:val="none" w:sz="0" w:space="0" w:color="auto"/>
        <w:bottom w:val="none" w:sz="0" w:space="0" w:color="auto"/>
        <w:right w:val="none" w:sz="0" w:space="0" w:color="auto"/>
      </w:divBdr>
    </w:div>
    <w:div w:id="587151142">
      <w:bodyDiv w:val="1"/>
      <w:marLeft w:val="0"/>
      <w:marRight w:val="0"/>
      <w:marTop w:val="0"/>
      <w:marBottom w:val="0"/>
      <w:divBdr>
        <w:top w:val="none" w:sz="0" w:space="0" w:color="auto"/>
        <w:left w:val="none" w:sz="0" w:space="0" w:color="auto"/>
        <w:bottom w:val="none" w:sz="0" w:space="0" w:color="auto"/>
        <w:right w:val="none" w:sz="0" w:space="0" w:color="auto"/>
      </w:divBdr>
    </w:div>
    <w:div w:id="587159174">
      <w:bodyDiv w:val="1"/>
      <w:marLeft w:val="0"/>
      <w:marRight w:val="0"/>
      <w:marTop w:val="0"/>
      <w:marBottom w:val="0"/>
      <w:divBdr>
        <w:top w:val="none" w:sz="0" w:space="0" w:color="auto"/>
        <w:left w:val="none" w:sz="0" w:space="0" w:color="auto"/>
        <w:bottom w:val="none" w:sz="0" w:space="0" w:color="auto"/>
        <w:right w:val="none" w:sz="0" w:space="0" w:color="auto"/>
      </w:divBdr>
    </w:div>
    <w:div w:id="587620719">
      <w:bodyDiv w:val="1"/>
      <w:marLeft w:val="0"/>
      <w:marRight w:val="0"/>
      <w:marTop w:val="0"/>
      <w:marBottom w:val="0"/>
      <w:divBdr>
        <w:top w:val="none" w:sz="0" w:space="0" w:color="auto"/>
        <w:left w:val="none" w:sz="0" w:space="0" w:color="auto"/>
        <w:bottom w:val="none" w:sz="0" w:space="0" w:color="auto"/>
        <w:right w:val="none" w:sz="0" w:space="0" w:color="auto"/>
      </w:divBdr>
    </w:div>
    <w:div w:id="587734656">
      <w:bodyDiv w:val="1"/>
      <w:marLeft w:val="0"/>
      <w:marRight w:val="0"/>
      <w:marTop w:val="0"/>
      <w:marBottom w:val="0"/>
      <w:divBdr>
        <w:top w:val="none" w:sz="0" w:space="0" w:color="auto"/>
        <w:left w:val="none" w:sz="0" w:space="0" w:color="auto"/>
        <w:bottom w:val="none" w:sz="0" w:space="0" w:color="auto"/>
        <w:right w:val="none" w:sz="0" w:space="0" w:color="auto"/>
      </w:divBdr>
    </w:div>
    <w:div w:id="588000685">
      <w:bodyDiv w:val="1"/>
      <w:marLeft w:val="0"/>
      <w:marRight w:val="0"/>
      <w:marTop w:val="0"/>
      <w:marBottom w:val="0"/>
      <w:divBdr>
        <w:top w:val="none" w:sz="0" w:space="0" w:color="auto"/>
        <w:left w:val="none" w:sz="0" w:space="0" w:color="auto"/>
        <w:bottom w:val="none" w:sz="0" w:space="0" w:color="auto"/>
        <w:right w:val="none" w:sz="0" w:space="0" w:color="auto"/>
      </w:divBdr>
      <w:divsChild>
        <w:div w:id="55126997">
          <w:marLeft w:val="1800"/>
          <w:marRight w:val="0"/>
          <w:marTop w:val="86"/>
          <w:marBottom w:val="0"/>
          <w:divBdr>
            <w:top w:val="none" w:sz="0" w:space="0" w:color="auto"/>
            <w:left w:val="none" w:sz="0" w:space="0" w:color="auto"/>
            <w:bottom w:val="none" w:sz="0" w:space="0" w:color="auto"/>
            <w:right w:val="none" w:sz="0" w:space="0" w:color="auto"/>
          </w:divBdr>
        </w:div>
        <w:div w:id="226453227">
          <w:marLeft w:val="1800"/>
          <w:marRight w:val="0"/>
          <w:marTop w:val="86"/>
          <w:marBottom w:val="0"/>
          <w:divBdr>
            <w:top w:val="none" w:sz="0" w:space="0" w:color="auto"/>
            <w:left w:val="none" w:sz="0" w:space="0" w:color="auto"/>
            <w:bottom w:val="none" w:sz="0" w:space="0" w:color="auto"/>
            <w:right w:val="none" w:sz="0" w:space="0" w:color="auto"/>
          </w:divBdr>
        </w:div>
        <w:div w:id="478960353">
          <w:marLeft w:val="547"/>
          <w:marRight w:val="0"/>
          <w:marTop w:val="96"/>
          <w:marBottom w:val="0"/>
          <w:divBdr>
            <w:top w:val="none" w:sz="0" w:space="0" w:color="auto"/>
            <w:left w:val="none" w:sz="0" w:space="0" w:color="auto"/>
            <w:bottom w:val="none" w:sz="0" w:space="0" w:color="auto"/>
            <w:right w:val="none" w:sz="0" w:space="0" w:color="auto"/>
          </w:divBdr>
        </w:div>
        <w:div w:id="512426502">
          <w:marLeft w:val="1800"/>
          <w:marRight w:val="0"/>
          <w:marTop w:val="86"/>
          <w:marBottom w:val="0"/>
          <w:divBdr>
            <w:top w:val="none" w:sz="0" w:space="0" w:color="auto"/>
            <w:left w:val="none" w:sz="0" w:space="0" w:color="auto"/>
            <w:bottom w:val="none" w:sz="0" w:space="0" w:color="auto"/>
            <w:right w:val="none" w:sz="0" w:space="0" w:color="auto"/>
          </w:divBdr>
        </w:div>
        <w:div w:id="985472917">
          <w:marLeft w:val="547"/>
          <w:marRight w:val="0"/>
          <w:marTop w:val="96"/>
          <w:marBottom w:val="0"/>
          <w:divBdr>
            <w:top w:val="none" w:sz="0" w:space="0" w:color="auto"/>
            <w:left w:val="none" w:sz="0" w:space="0" w:color="auto"/>
            <w:bottom w:val="none" w:sz="0" w:space="0" w:color="auto"/>
            <w:right w:val="none" w:sz="0" w:space="0" w:color="auto"/>
          </w:divBdr>
        </w:div>
        <w:div w:id="1187402529">
          <w:marLeft w:val="1166"/>
          <w:marRight w:val="0"/>
          <w:marTop w:val="96"/>
          <w:marBottom w:val="0"/>
          <w:divBdr>
            <w:top w:val="none" w:sz="0" w:space="0" w:color="auto"/>
            <w:left w:val="none" w:sz="0" w:space="0" w:color="auto"/>
            <w:bottom w:val="none" w:sz="0" w:space="0" w:color="auto"/>
            <w:right w:val="none" w:sz="0" w:space="0" w:color="auto"/>
          </w:divBdr>
        </w:div>
        <w:div w:id="1346522283">
          <w:marLeft w:val="1800"/>
          <w:marRight w:val="0"/>
          <w:marTop w:val="86"/>
          <w:marBottom w:val="0"/>
          <w:divBdr>
            <w:top w:val="none" w:sz="0" w:space="0" w:color="auto"/>
            <w:left w:val="none" w:sz="0" w:space="0" w:color="auto"/>
            <w:bottom w:val="none" w:sz="0" w:space="0" w:color="auto"/>
            <w:right w:val="none" w:sz="0" w:space="0" w:color="auto"/>
          </w:divBdr>
        </w:div>
        <w:div w:id="1774588651">
          <w:marLeft w:val="1800"/>
          <w:marRight w:val="0"/>
          <w:marTop w:val="86"/>
          <w:marBottom w:val="0"/>
          <w:divBdr>
            <w:top w:val="none" w:sz="0" w:space="0" w:color="auto"/>
            <w:left w:val="none" w:sz="0" w:space="0" w:color="auto"/>
            <w:bottom w:val="none" w:sz="0" w:space="0" w:color="auto"/>
            <w:right w:val="none" w:sz="0" w:space="0" w:color="auto"/>
          </w:divBdr>
        </w:div>
        <w:div w:id="2035186741">
          <w:marLeft w:val="1166"/>
          <w:marRight w:val="0"/>
          <w:marTop w:val="96"/>
          <w:marBottom w:val="0"/>
          <w:divBdr>
            <w:top w:val="none" w:sz="0" w:space="0" w:color="auto"/>
            <w:left w:val="none" w:sz="0" w:space="0" w:color="auto"/>
            <w:bottom w:val="none" w:sz="0" w:space="0" w:color="auto"/>
            <w:right w:val="none" w:sz="0" w:space="0" w:color="auto"/>
          </w:divBdr>
        </w:div>
      </w:divsChild>
    </w:div>
    <w:div w:id="589124639">
      <w:bodyDiv w:val="1"/>
      <w:marLeft w:val="0"/>
      <w:marRight w:val="0"/>
      <w:marTop w:val="0"/>
      <w:marBottom w:val="0"/>
      <w:divBdr>
        <w:top w:val="none" w:sz="0" w:space="0" w:color="auto"/>
        <w:left w:val="none" w:sz="0" w:space="0" w:color="auto"/>
        <w:bottom w:val="none" w:sz="0" w:space="0" w:color="auto"/>
        <w:right w:val="none" w:sz="0" w:space="0" w:color="auto"/>
      </w:divBdr>
    </w:div>
    <w:div w:id="591166276">
      <w:bodyDiv w:val="1"/>
      <w:marLeft w:val="0"/>
      <w:marRight w:val="0"/>
      <w:marTop w:val="0"/>
      <w:marBottom w:val="0"/>
      <w:divBdr>
        <w:top w:val="none" w:sz="0" w:space="0" w:color="auto"/>
        <w:left w:val="none" w:sz="0" w:space="0" w:color="auto"/>
        <w:bottom w:val="none" w:sz="0" w:space="0" w:color="auto"/>
        <w:right w:val="none" w:sz="0" w:space="0" w:color="auto"/>
      </w:divBdr>
      <w:divsChild>
        <w:div w:id="28995495">
          <w:marLeft w:val="1800"/>
          <w:marRight w:val="0"/>
          <w:marTop w:val="106"/>
          <w:marBottom w:val="0"/>
          <w:divBdr>
            <w:top w:val="none" w:sz="0" w:space="0" w:color="auto"/>
            <w:left w:val="none" w:sz="0" w:space="0" w:color="auto"/>
            <w:bottom w:val="none" w:sz="0" w:space="0" w:color="auto"/>
            <w:right w:val="none" w:sz="0" w:space="0" w:color="auto"/>
          </w:divBdr>
        </w:div>
        <w:div w:id="128784183">
          <w:marLeft w:val="1166"/>
          <w:marRight w:val="0"/>
          <w:marTop w:val="125"/>
          <w:marBottom w:val="0"/>
          <w:divBdr>
            <w:top w:val="none" w:sz="0" w:space="0" w:color="auto"/>
            <w:left w:val="none" w:sz="0" w:space="0" w:color="auto"/>
            <w:bottom w:val="none" w:sz="0" w:space="0" w:color="auto"/>
            <w:right w:val="none" w:sz="0" w:space="0" w:color="auto"/>
          </w:divBdr>
        </w:div>
        <w:div w:id="142934400">
          <w:marLeft w:val="547"/>
          <w:marRight w:val="0"/>
          <w:marTop w:val="144"/>
          <w:marBottom w:val="0"/>
          <w:divBdr>
            <w:top w:val="none" w:sz="0" w:space="0" w:color="auto"/>
            <w:left w:val="none" w:sz="0" w:space="0" w:color="auto"/>
            <w:bottom w:val="none" w:sz="0" w:space="0" w:color="auto"/>
            <w:right w:val="none" w:sz="0" w:space="0" w:color="auto"/>
          </w:divBdr>
        </w:div>
        <w:div w:id="1183935423">
          <w:marLeft w:val="1166"/>
          <w:marRight w:val="0"/>
          <w:marTop w:val="125"/>
          <w:marBottom w:val="0"/>
          <w:divBdr>
            <w:top w:val="none" w:sz="0" w:space="0" w:color="auto"/>
            <w:left w:val="none" w:sz="0" w:space="0" w:color="auto"/>
            <w:bottom w:val="none" w:sz="0" w:space="0" w:color="auto"/>
            <w:right w:val="none" w:sz="0" w:space="0" w:color="auto"/>
          </w:divBdr>
        </w:div>
        <w:div w:id="1777406032">
          <w:marLeft w:val="1800"/>
          <w:marRight w:val="0"/>
          <w:marTop w:val="106"/>
          <w:marBottom w:val="0"/>
          <w:divBdr>
            <w:top w:val="none" w:sz="0" w:space="0" w:color="auto"/>
            <w:left w:val="none" w:sz="0" w:space="0" w:color="auto"/>
            <w:bottom w:val="none" w:sz="0" w:space="0" w:color="auto"/>
            <w:right w:val="none" w:sz="0" w:space="0" w:color="auto"/>
          </w:divBdr>
        </w:div>
        <w:div w:id="1909266071">
          <w:marLeft w:val="1800"/>
          <w:marRight w:val="0"/>
          <w:marTop w:val="106"/>
          <w:marBottom w:val="0"/>
          <w:divBdr>
            <w:top w:val="none" w:sz="0" w:space="0" w:color="auto"/>
            <w:left w:val="none" w:sz="0" w:space="0" w:color="auto"/>
            <w:bottom w:val="none" w:sz="0" w:space="0" w:color="auto"/>
            <w:right w:val="none" w:sz="0" w:space="0" w:color="auto"/>
          </w:divBdr>
        </w:div>
        <w:div w:id="2066684268">
          <w:marLeft w:val="1166"/>
          <w:marRight w:val="0"/>
          <w:marTop w:val="125"/>
          <w:marBottom w:val="0"/>
          <w:divBdr>
            <w:top w:val="none" w:sz="0" w:space="0" w:color="auto"/>
            <w:left w:val="none" w:sz="0" w:space="0" w:color="auto"/>
            <w:bottom w:val="none" w:sz="0" w:space="0" w:color="auto"/>
            <w:right w:val="none" w:sz="0" w:space="0" w:color="auto"/>
          </w:divBdr>
        </w:div>
      </w:divsChild>
    </w:div>
    <w:div w:id="591207322">
      <w:bodyDiv w:val="1"/>
      <w:marLeft w:val="0"/>
      <w:marRight w:val="0"/>
      <w:marTop w:val="0"/>
      <w:marBottom w:val="0"/>
      <w:divBdr>
        <w:top w:val="none" w:sz="0" w:space="0" w:color="auto"/>
        <w:left w:val="none" w:sz="0" w:space="0" w:color="auto"/>
        <w:bottom w:val="none" w:sz="0" w:space="0" w:color="auto"/>
        <w:right w:val="none" w:sz="0" w:space="0" w:color="auto"/>
      </w:divBdr>
    </w:div>
    <w:div w:id="591741216">
      <w:bodyDiv w:val="1"/>
      <w:marLeft w:val="0"/>
      <w:marRight w:val="0"/>
      <w:marTop w:val="0"/>
      <w:marBottom w:val="0"/>
      <w:divBdr>
        <w:top w:val="none" w:sz="0" w:space="0" w:color="auto"/>
        <w:left w:val="none" w:sz="0" w:space="0" w:color="auto"/>
        <w:bottom w:val="none" w:sz="0" w:space="0" w:color="auto"/>
        <w:right w:val="none" w:sz="0" w:space="0" w:color="auto"/>
      </w:divBdr>
      <w:divsChild>
        <w:div w:id="70660737">
          <w:marLeft w:val="1800"/>
          <w:marRight w:val="0"/>
          <w:marTop w:val="82"/>
          <w:marBottom w:val="0"/>
          <w:divBdr>
            <w:top w:val="none" w:sz="0" w:space="0" w:color="auto"/>
            <w:left w:val="none" w:sz="0" w:space="0" w:color="auto"/>
            <w:bottom w:val="none" w:sz="0" w:space="0" w:color="auto"/>
            <w:right w:val="none" w:sz="0" w:space="0" w:color="auto"/>
          </w:divBdr>
        </w:div>
        <w:div w:id="349378908">
          <w:marLeft w:val="1800"/>
          <w:marRight w:val="0"/>
          <w:marTop w:val="82"/>
          <w:marBottom w:val="0"/>
          <w:divBdr>
            <w:top w:val="none" w:sz="0" w:space="0" w:color="auto"/>
            <w:left w:val="none" w:sz="0" w:space="0" w:color="auto"/>
            <w:bottom w:val="none" w:sz="0" w:space="0" w:color="auto"/>
            <w:right w:val="none" w:sz="0" w:space="0" w:color="auto"/>
          </w:divBdr>
        </w:div>
        <w:div w:id="425148963">
          <w:marLeft w:val="547"/>
          <w:marRight w:val="0"/>
          <w:marTop w:val="106"/>
          <w:marBottom w:val="0"/>
          <w:divBdr>
            <w:top w:val="none" w:sz="0" w:space="0" w:color="auto"/>
            <w:left w:val="none" w:sz="0" w:space="0" w:color="auto"/>
            <w:bottom w:val="none" w:sz="0" w:space="0" w:color="auto"/>
            <w:right w:val="none" w:sz="0" w:space="0" w:color="auto"/>
          </w:divBdr>
        </w:div>
        <w:div w:id="823014762">
          <w:marLeft w:val="547"/>
          <w:marRight w:val="0"/>
          <w:marTop w:val="106"/>
          <w:marBottom w:val="0"/>
          <w:divBdr>
            <w:top w:val="none" w:sz="0" w:space="0" w:color="auto"/>
            <w:left w:val="none" w:sz="0" w:space="0" w:color="auto"/>
            <w:bottom w:val="none" w:sz="0" w:space="0" w:color="auto"/>
            <w:right w:val="none" w:sz="0" w:space="0" w:color="auto"/>
          </w:divBdr>
        </w:div>
        <w:div w:id="914709902">
          <w:marLeft w:val="1166"/>
          <w:marRight w:val="0"/>
          <w:marTop w:val="96"/>
          <w:marBottom w:val="0"/>
          <w:divBdr>
            <w:top w:val="none" w:sz="0" w:space="0" w:color="auto"/>
            <w:left w:val="none" w:sz="0" w:space="0" w:color="auto"/>
            <w:bottom w:val="none" w:sz="0" w:space="0" w:color="auto"/>
            <w:right w:val="none" w:sz="0" w:space="0" w:color="auto"/>
          </w:divBdr>
        </w:div>
        <w:div w:id="988023499">
          <w:marLeft w:val="547"/>
          <w:marRight w:val="0"/>
          <w:marTop w:val="106"/>
          <w:marBottom w:val="0"/>
          <w:divBdr>
            <w:top w:val="none" w:sz="0" w:space="0" w:color="auto"/>
            <w:left w:val="none" w:sz="0" w:space="0" w:color="auto"/>
            <w:bottom w:val="none" w:sz="0" w:space="0" w:color="auto"/>
            <w:right w:val="none" w:sz="0" w:space="0" w:color="auto"/>
          </w:divBdr>
        </w:div>
        <w:div w:id="1091047202">
          <w:marLeft w:val="1166"/>
          <w:marRight w:val="0"/>
          <w:marTop w:val="96"/>
          <w:marBottom w:val="0"/>
          <w:divBdr>
            <w:top w:val="none" w:sz="0" w:space="0" w:color="auto"/>
            <w:left w:val="none" w:sz="0" w:space="0" w:color="auto"/>
            <w:bottom w:val="none" w:sz="0" w:space="0" w:color="auto"/>
            <w:right w:val="none" w:sz="0" w:space="0" w:color="auto"/>
          </w:divBdr>
        </w:div>
        <w:div w:id="1107192613">
          <w:marLeft w:val="547"/>
          <w:marRight w:val="0"/>
          <w:marTop w:val="106"/>
          <w:marBottom w:val="0"/>
          <w:divBdr>
            <w:top w:val="none" w:sz="0" w:space="0" w:color="auto"/>
            <w:left w:val="none" w:sz="0" w:space="0" w:color="auto"/>
            <w:bottom w:val="none" w:sz="0" w:space="0" w:color="auto"/>
            <w:right w:val="none" w:sz="0" w:space="0" w:color="auto"/>
          </w:divBdr>
        </w:div>
        <w:div w:id="1182861225">
          <w:marLeft w:val="1166"/>
          <w:marRight w:val="0"/>
          <w:marTop w:val="96"/>
          <w:marBottom w:val="0"/>
          <w:divBdr>
            <w:top w:val="none" w:sz="0" w:space="0" w:color="auto"/>
            <w:left w:val="none" w:sz="0" w:space="0" w:color="auto"/>
            <w:bottom w:val="none" w:sz="0" w:space="0" w:color="auto"/>
            <w:right w:val="none" w:sz="0" w:space="0" w:color="auto"/>
          </w:divBdr>
        </w:div>
        <w:div w:id="1194685349">
          <w:marLeft w:val="1800"/>
          <w:marRight w:val="0"/>
          <w:marTop w:val="82"/>
          <w:marBottom w:val="0"/>
          <w:divBdr>
            <w:top w:val="none" w:sz="0" w:space="0" w:color="auto"/>
            <w:left w:val="none" w:sz="0" w:space="0" w:color="auto"/>
            <w:bottom w:val="none" w:sz="0" w:space="0" w:color="auto"/>
            <w:right w:val="none" w:sz="0" w:space="0" w:color="auto"/>
          </w:divBdr>
        </w:div>
        <w:div w:id="1456826114">
          <w:marLeft w:val="1800"/>
          <w:marRight w:val="0"/>
          <w:marTop w:val="82"/>
          <w:marBottom w:val="0"/>
          <w:divBdr>
            <w:top w:val="none" w:sz="0" w:space="0" w:color="auto"/>
            <w:left w:val="none" w:sz="0" w:space="0" w:color="auto"/>
            <w:bottom w:val="none" w:sz="0" w:space="0" w:color="auto"/>
            <w:right w:val="none" w:sz="0" w:space="0" w:color="auto"/>
          </w:divBdr>
        </w:div>
        <w:div w:id="1498031560">
          <w:marLeft w:val="1166"/>
          <w:marRight w:val="0"/>
          <w:marTop w:val="96"/>
          <w:marBottom w:val="0"/>
          <w:divBdr>
            <w:top w:val="none" w:sz="0" w:space="0" w:color="auto"/>
            <w:left w:val="none" w:sz="0" w:space="0" w:color="auto"/>
            <w:bottom w:val="none" w:sz="0" w:space="0" w:color="auto"/>
            <w:right w:val="none" w:sz="0" w:space="0" w:color="auto"/>
          </w:divBdr>
        </w:div>
      </w:divsChild>
    </w:div>
    <w:div w:id="591935781">
      <w:bodyDiv w:val="1"/>
      <w:marLeft w:val="0"/>
      <w:marRight w:val="0"/>
      <w:marTop w:val="0"/>
      <w:marBottom w:val="0"/>
      <w:divBdr>
        <w:top w:val="none" w:sz="0" w:space="0" w:color="auto"/>
        <w:left w:val="none" w:sz="0" w:space="0" w:color="auto"/>
        <w:bottom w:val="none" w:sz="0" w:space="0" w:color="auto"/>
        <w:right w:val="none" w:sz="0" w:space="0" w:color="auto"/>
      </w:divBdr>
      <w:divsChild>
        <w:div w:id="162211216">
          <w:marLeft w:val="1800"/>
          <w:marRight w:val="0"/>
          <w:marTop w:val="100"/>
          <w:marBottom w:val="0"/>
          <w:divBdr>
            <w:top w:val="none" w:sz="0" w:space="0" w:color="auto"/>
            <w:left w:val="none" w:sz="0" w:space="0" w:color="auto"/>
            <w:bottom w:val="none" w:sz="0" w:space="0" w:color="auto"/>
            <w:right w:val="none" w:sz="0" w:space="0" w:color="auto"/>
          </w:divBdr>
        </w:div>
        <w:div w:id="529338528">
          <w:marLeft w:val="1080"/>
          <w:marRight w:val="0"/>
          <w:marTop w:val="100"/>
          <w:marBottom w:val="0"/>
          <w:divBdr>
            <w:top w:val="none" w:sz="0" w:space="0" w:color="auto"/>
            <w:left w:val="none" w:sz="0" w:space="0" w:color="auto"/>
            <w:bottom w:val="none" w:sz="0" w:space="0" w:color="auto"/>
            <w:right w:val="none" w:sz="0" w:space="0" w:color="auto"/>
          </w:divBdr>
        </w:div>
        <w:div w:id="1703675214">
          <w:marLeft w:val="1800"/>
          <w:marRight w:val="0"/>
          <w:marTop w:val="100"/>
          <w:marBottom w:val="0"/>
          <w:divBdr>
            <w:top w:val="none" w:sz="0" w:space="0" w:color="auto"/>
            <w:left w:val="none" w:sz="0" w:space="0" w:color="auto"/>
            <w:bottom w:val="none" w:sz="0" w:space="0" w:color="auto"/>
            <w:right w:val="none" w:sz="0" w:space="0" w:color="auto"/>
          </w:divBdr>
        </w:div>
        <w:div w:id="1714690263">
          <w:marLeft w:val="1080"/>
          <w:marRight w:val="0"/>
          <w:marTop w:val="100"/>
          <w:marBottom w:val="0"/>
          <w:divBdr>
            <w:top w:val="none" w:sz="0" w:space="0" w:color="auto"/>
            <w:left w:val="none" w:sz="0" w:space="0" w:color="auto"/>
            <w:bottom w:val="none" w:sz="0" w:space="0" w:color="auto"/>
            <w:right w:val="none" w:sz="0" w:space="0" w:color="auto"/>
          </w:divBdr>
        </w:div>
        <w:div w:id="1847331025">
          <w:marLeft w:val="360"/>
          <w:marRight w:val="0"/>
          <w:marTop w:val="200"/>
          <w:marBottom w:val="0"/>
          <w:divBdr>
            <w:top w:val="none" w:sz="0" w:space="0" w:color="auto"/>
            <w:left w:val="none" w:sz="0" w:space="0" w:color="auto"/>
            <w:bottom w:val="none" w:sz="0" w:space="0" w:color="auto"/>
            <w:right w:val="none" w:sz="0" w:space="0" w:color="auto"/>
          </w:divBdr>
        </w:div>
      </w:divsChild>
    </w:div>
    <w:div w:id="592126296">
      <w:bodyDiv w:val="1"/>
      <w:marLeft w:val="0"/>
      <w:marRight w:val="0"/>
      <w:marTop w:val="0"/>
      <w:marBottom w:val="0"/>
      <w:divBdr>
        <w:top w:val="none" w:sz="0" w:space="0" w:color="auto"/>
        <w:left w:val="none" w:sz="0" w:space="0" w:color="auto"/>
        <w:bottom w:val="none" w:sz="0" w:space="0" w:color="auto"/>
        <w:right w:val="none" w:sz="0" w:space="0" w:color="auto"/>
      </w:divBdr>
    </w:div>
    <w:div w:id="592515019">
      <w:bodyDiv w:val="1"/>
      <w:marLeft w:val="0"/>
      <w:marRight w:val="0"/>
      <w:marTop w:val="0"/>
      <w:marBottom w:val="0"/>
      <w:divBdr>
        <w:top w:val="none" w:sz="0" w:space="0" w:color="auto"/>
        <w:left w:val="none" w:sz="0" w:space="0" w:color="auto"/>
        <w:bottom w:val="none" w:sz="0" w:space="0" w:color="auto"/>
        <w:right w:val="none" w:sz="0" w:space="0" w:color="auto"/>
      </w:divBdr>
    </w:div>
    <w:div w:id="592739762">
      <w:bodyDiv w:val="1"/>
      <w:marLeft w:val="0"/>
      <w:marRight w:val="0"/>
      <w:marTop w:val="0"/>
      <w:marBottom w:val="0"/>
      <w:divBdr>
        <w:top w:val="none" w:sz="0" w:space="0" w:color="auto"/>
        <w:left w:val="none" w:sz="0" w:space="0" w:color="auto"/>
        <w:bottom w:val="none" w:sz="0" w:space="0" w:color="auto"/>
        <w:right w:val="none" w:sz="0" w:space="0" w:color="auto"/>
      </w:divBdr>
    </w:div>
    <w:div w:id="593830062">
      <w:bodyDiv w:val="1"/>
      <w:marLeft w:val="0"/>
      <w:marRight w:val="0"/>
      <w:marTop w:val="0"/>
      <w:marBottom w:val="0"/>
      <w:divBdr>
        <w:top w:val="none" w:sz="0" w:space="0" w:color="auto"/>
        <w:left w:val="none" w:sz="0" w:space="0" w:color="auto"/>
        <w:bottom w:val="none" w:sz="0" w:space="0" w:color="auto"/>
        <w:right w:val="none" w:sz="0" w:space="0" w:color="auto"/>
      </w:divBdr>
    </w:div>
    <w:div w:id="594440848">
      <w:bodyDiv w:val="1"/>
      <w:marLeft w:val="0"/>
      <w:marRight w:val="0"/>
      <w:marTop w:val="0"/>
      <w:marBottom w:val="0"/>
      <w:divBdr>
        <w:top w:val="none" w:sz="0" w:space="0" w:color="auto"/>
        <w:left w:val="none" w:sz="0" w:space="0" w:color="auto"/>
        <w:bottom w:val="none" w:sz="0" w:space="0" w:color="auto"/>
        <w:right w:val="none" w:sz="0" w:space="0" w:color="auto"/>
      </w:divBdr>
    </w:div>
    <w:div w:id="594636846">
      <w:bodyDiv w:val="1"/>
      <w:marLeft w:val="0"/>
      <w:marRight w:val="0"/>
      <w:marTop w:val="0"/>
      <w:marBottom w:val="0"/>
      <w:divBdr>
        <w:top w:val="none" w:sz="0" w:space="0" w:color="auto"/>
        <w:left w:val="none" w:sz="0" w:space="0" w:color="auto"/>
        <w:bottom w:val="none" w:sz="0" w:space="0" w:color="auto"/>
        <w:right w:val="none" w:sz="0" w:space="0" w:color="auto"/>
      </w:divBdr>
    </w:div>
    <w:div w:id="594827258">
      <w:bodyDiv w:val="1"/>
      <w:marLeft w:val="0"/>
      <w:marRight w:val="0"/>
      <w:marTop w:val="0"/>
      <w:marBottom w:val="0"/>
      <w:divBdr>
        <w:top w:val="none" w:sz="0" w:space="0" w:color="auto"/>
        <w:left w:val="none" w:sz="0" w:space="0" w:color="auto"/>
        <w:bottom w:val="none" w:sz="0" w:space="0" w:color="auto"/>
        <w:right w:val="none" w:sz="0" w:space="0" w:color="auto"/>
      </w:divBdr>
      <w:divsChild>
        <w:div w:id="2017685443">
          <w:marLeft w:val="0"/>
          <w:marRight w:val="0"/>
          <w:marTop w:val="0"/>
          <w:marBottom w:val="0"/>
          <w:divBdr>
            <w:top w:val="none" w:sz="0" w:space="0" w:color="auto"/>
            <w:left w:val="none" w:sz="0" w:space="0" w:color="auto"/>
            <w:bottom w:val="none" w:sz="0" w:space="0" w:color="auto"/>
            <w:right w:val="none" w:sz="0" w:space="0" w:color="auto"/>
          </w:divBdr>
          <w:divsChild>
            <w:div w:id="66078789">
              <w:marLeft w:val="0"/>
              <w:marRight w:val="0"/>
              <w:marTop w:val="0"/>
              <w:marBottom w:val="0"/>
              <w:divBdr>
                <w:top w:val="none" w:sz="0" w:space="0" w:color="auto"/>
                <w:left w:val="none" w:sz="0" w:space="0" w:color="auto"/>
                <w:bottom w:val="none" w:sz="0" w:space="0" w:color="auto"/>
                <w:right w:val="none" w:sz="0" w:space="0" w:color="auto"/>
              </w:divBdr>
            </w:div>
            <w:div w:id="627392255">
              <w:marLeft w:val="0"/>
              <w:marRight w:val="0"/>
              <w:marTop w:val="0"/>
              <w:marBottom w:val="0"/>
              <w:divBdr>
                <w:top w:val="none" w:sz="0" w:space="0" w:color="auto"/>
                <w:left w:val="none" w:sz="0" w:space="0" w:color="auto"/>
                <w:bottom w:val="none" w:sz="0" w:space="0" w:color="auto"/>
                <w:right w:val="none" w:sz="0" w:space="0" w:color="auto"/>
              </w:divBdr>
            </w:div>
            <w:div w:id="768622115">
              <w:marLeft w:val="0"/>
              <w:marRight w:val="0"/>
              <w:marTop w:val="0"/>
              <w:marBottom w:val="0"/>
              <w:divBdr>
                <w:top w:val="none" w:sz="0" w:space="0" w:color="auto"/>
                <w:left w:val="none" w:sz="0" w:space="0" w:color="auto"/>
                <w:bottom w:val="none" w:sz="0" w:space="0" w:color="auto"/>
                <w:right w:val="none" w:sz="0" w:space="0" w:color="auto"/>
              </w:divBdr>
            </w:div>
            <w:div w:id="1267225879">
              <w:marLeft w:val="0"/>
              <w:marRight w:val="0"/>
              <w:marTop w:val="0"/>
              <w:marBottom w:val="0"/>
              <w:divBdr>
                <w:top w:val="none" w:sz="0" w:space="0" w:color="auto"/>
                <w:left w:val="none" w:sz="0" w:space="0" w:color="auto"/>
                <w:bottom w:val="none" w:sz="0" w:space="0" w:color="auto"/>
                <w:right w:val="none" w:sz="0" w:space="0" w:color="auto"/>
              </w:divBdr>
            </w:div>
            <w:div w:id="18555377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95139316">
      <w:bodyDiv w:val="1"/>
      <w:marLeft w:val="0"/>
      <w:marRight w:val="0"/>
      <w:marTop w:val="0"/>
      <w:marBottom w:val="0"/>
      <w:divBdr>
        <w:top w:val="none" w:sz="0" w:space="0" w:color="auto"/>
        <w:left w:val="none" w:sz="0" w:space="0" w:color="auto"/>
        <w:bottom w:val="none" w:sz="0" w:space="0" w:color="auto"/>
        <w:right w:val="none" w:sz="0" w:space="0" w:color="auto"/>
      </w:divBdr>
    </w:div>
    <w:div w:id="595556546">
      <w:bodyDiv w:val="1"/>
      <w:marLeft w:val="0"/>
      <w:marRight w:val="0"/>
      <w:marTop w:val="0"/>
      <w:marBottom w:val="0"/>
      <w:divBdr>
        <w:top w:val="none" w:sz="0" w:space="0" w:color="auto"/>
        <w:left w:val="none" w:sz="0" w:space="0" w:color="auto"/>
        <w:bottom w:val="none" w:sz="0" w:space="0" w:color="auto"/>
        <w:right w:val="none" w:sz="0" w:space="0" w:color="auto"/>
      </w:divBdr>
      <w:divsChild>
        <w:div w:id="39979880">
          <w:marLeft w:val="1080"/>
          <w:marRight w:val="0"/>
          <w:marTop w:val="100"/>
          <w:marBottom w:val="0"/>
          <w:divBdr>
            <w:top w:val="none" w:sz="0" w:space="0" w:color="auto"/>
            <w:left w:val="none" w:sz="0" w:space="0" w:color="auto"/>
            <w:bottom w:val="none" w:sz="0" w:space="0" w:color="auto"/>
            <w:right w:val="none" w:sz="0" w:space="0" w:color="auto"/>
          </w:divBdr>
        </w:div>
        <w:div w:id="82997594">
          <w:marLeft w:val="360"/>
          <w:marRight w:val="0"/>
          <w:marTop w:val="200"/>
          <w:marBottom w:val="0"/>
          <w:divBdr>
            <w:top w:val="none" w:sz="0" w:space="0" w:color="auto"/>
            <w:left w:val="none" w:sz="0" w:space="0" w:color="auto"/>
            <w:bottom w:val="none" w:sz="0" w:space="0" w:color="auto"/>
            <w:right w:val="none" w:sz="0" w:space="0" w:color="auto"/>
          </w:divBdr>
        </w:div>
        <w:div w:id="342711537">
          <w:marLeft w:val="1800"/>
          <w:marRight w:val="0"/>
          <w:marTop w:val="100"/>
          <w:marBottom w:val="0"/>
          <w:divBdr>
            <w:top w:val="none" w:sz="0" w:space="0" w:color="auto"/>
            <w:left w:val="none" w:sz="0" w:space="0" w:color="auto"/>
            <w:bottom w:val="none" w:sz="0" w:space="0" w:color="auto"/>
            <w:right w:val="none" w:sz="0" w:space="0" w:color="auto"/>
          </w:divBdr>
        </w:div>
        <w:div w:id="448090837">
          <w:marLeft w:val="1800"/>
          <w:marRight w:val="0"/>
          <w:marTop w:val="100"/>
          <w:marBottom w:val="0"/>
          <w:divBdr>
            <w:top w:val="none" w:sz="0" w:space="0" w:color="auto"/>
            <w:left w:val="none" w:sz="0" w:space="0" w:color="auto"/>
            <w:bottom w:val="none" w:sz="0" w:space="0" w:color="auto"/>
            <w:right w:val="none" w:sz="0" w:space="0" w:color="auto"/>
          </w:divBdr>
        </w:div>
        <w:div w:id="641274962">
          <w:marLeft w:val="360"/>
          <w:marRight w:val="0"/>
          <w:marTop w:val="200"/>
          <w:marBottom w:val="0"/>
          <w:divBdr>
            <w:top w:val="none" w:sz="0" w:space="0" w:color="auto"/>
            <w:left w:val="none" w:sz="0" w:space="0" w:color="auto"/>
            <w:bottom w:val="none" w:sz="0" w:space="0" w:color="auto"/>
            <w:right w:val="none" w:sz="0" w:space="0" w:color="auto"/>
          </w:divBdr>
        </w:div>
        <w:div w:id="797643589">
          <w:marLeft w:val="1800"/>
          <w:marRight w:val="0"/>
          <w:marTop w:val="100"/>
          <w:marBottom w:val="0"/>
          <w:divBdr>
            <w:top w:val="none" w:sz="0" w:space="0" w:color="auto"/>
            <w:left w:val="none" w:sz="0" w:space="0" w:color="auto"/>
            <w:bottom w:val="none" w:sz="0" w:space="0" w:color="auto"/>
            <w:right w:val="none" w:sz="0" w:space="0" w:color="auto"/>
          </w:divBdr>
        </w:div>
        <w:div w:id="862934649">
          <w:marLeft w:val="1080"/>
          <w:marRight w:val="0"/>
          <w:marTop w:val="100"/>
          <w:marBottom w:val="0"/>
          <w:divBdr>
            <w:top w:val="none" w:sz="0" w:space="0" w:color="auto"/>
            <w:left w:val="none" w:sz="0" w:space="0" w:color="auto"/>
            <w:bottom w:val="none" w:sz="0" w:space="0" w:color="auto"/>
            <w:right w:val="none" w:sz="0" w:space="0" w:color="auto"/>
          </w:divBdr>
        </w:div>
        <w:div w:id="984312780">
          <w:marLeft w:val="1080"/>
          <w:marRight w:val="0"/>
          <w:marTop w:val="100"/>
          <w:marBottom w:val="0"/>
          <w:divBdr>
            <w:top w:val="none" w:sz="0" w:space="0" w:color="auto"/>
            <w:left w:val="none" w:sz="0" w:space="0" w:color="auto"/>
            <w:bottom w:val="none" w:sz="0" w:space="0" w:color="auto"/>
            <w:right w:val="none" w:sz="0" w:space="0" w:color="auto"/>
          </w:divBdr>
        </w:div>
        <w:div w:id="1058238470">
          <w:marLeft w:val="1080"/>
          <w:marRight w:val="0"/>
          <w:marTop w:val="100"/>
          <w:marBottom w:val="0"/>
          <w:divBdr>
            <w:top w:val="none" w:sz="0" w:space="0" w:color="auto"/>
            <w:left w:val="none" w:sz="0" w:space="0" w:color="auto"/>
            <w:bottom w:val="none" w:sz="0" w:space="0" w:color="auto"/>
            <w:right w:val="none" w:sz="0" w:space="0" w:color="auto"/>
          </w:divBdr>
        </w:div>
        <w:div w:id="1417093638">
          <w:marLeft w:val="1080"/>
          <w:marRight w:val="0"/>
          <w:marTop w:val="100"/>
          <w:marBottom w:val="0"/>
          <w:divBdr>
            <w:top w:val="none" w:sz="0" w:space="0" w:color="auto"/>
            <w:left w:val="none" w:sz="0" w:space="0" w:color="auto"/>
            <w:bottom w:val="none" w:sz="0" w:space="0" w:color="auto"/>
            <w:right w:val="none" w:sz="0" w:space="0" w:color="auto"/>
          </w:divBdr>
        </w:div>
        <w:div w:id="1584222032">
          <w:marLeft w:val="1080"/>
          <w:marRight w:val="0"/>
          <w:marTop w:val="100"/>
          <w:marBottom w:val="0"/>
          <w:divBdr>
            <w:top w:val="none" w:sz="0" w:space="0" w:color="auto"/>
            <w:left w:val="none" w:sz="0" w:space="0" w:color="auto"/>
            <w:bottom w:val="none" w:sz="0" w:space="0" w:color="auto"/>
            <w:right w:val="none" w:sz="0" w:space="0" w:color="auto"/>
          </w:divBdr>
        </w:div>
        <w:div w:id="1713798526">
          <w:marLeft w:val="1800"/>
          <w:marRight w:val="0"/>
          <w:marTop w:val="100"/>
          <w:marBottom w:val="0"/>
          <w:divBdr>
            <w:top w:val="none" w:sz="0" w:space="0" w:color="auto"/>
            <w:left w:val="none" w:sz="0" w:space="0" w:color="auto"/>
            <w:bottom w:val="none" w:sz="0" w:space="0" w:color="auto"/>
            <w:right w:val="none" w:sz="0" w:space="0" w:color="auto"/>
          </w:divBdr>
        </w:div>
        <w:div w:id="1951741383">
          <w:marLeft w:val="1800"/>
          <w:marRight w:val="0"/>
          <w:marTop w:val="100"/>
          <w:marBottom w:val="0"/>
          <w:divBdr>
            <w:top w:val="none" w:sz="0" w:space="0" w:color="auto"/>
            <w:left w:val="none" w:sz="0" w:space="0" w:color="auto"/>
            <w:bottom w:val="none" w:sz="0" w:space="0" w:color="auto"/>
            <w:right w:val="none" w:sz="0" w:space="0" w:color="auto"/>
          </w:divBdr>
        </w:div>
        <w:div w:id="2075085016">
          <w:marLeft w:val="1800"/>
          <w:marRight w:val="0"/>
          <w:marTop w:val="100"/>
          <w:marBottom w:val="0"/>
          <w:divBdr>
            <w:top w:val="none" w:sz="0" w:space="0" w:color="auto"/>
            <w:left w:val="none" w:sz="0" w:space="0" w:color="auto"/>
            <w:bottom w:val="none" w:sz="0" w:space="0" w:color="auto"/>
            <w:right w:val="none" w:sz="0" w:space="0" w:color="auto"/>
          </w:divBdr>
        </w:div>
      </w:divsChild>
    </w:div>
    <w:div w:id="596057633">
      <w:bodyDiv w:val="1"/>
      <w:marLeft w:val="0"/>
      <w:marRight w:val="0"/>
      <w:marTop w:val="0"/>
      <w:marBottom w:val="0"/>
      <w:divBdr>
        <w:top w:val="none" w:sz="0" w:space="0" w:color="auto"/>
        <w:left w:val="none" w:sz="0" w:space="0" w:color="auto"/>
        <w:bottom w:val="none" w:sz="0" w:space="0" w:color="auto"/>
        <w:right w:val="none" w:sz="0" w:space="0" w:color="auto"/>
      </w:divBdr>
    </w:div>
    <w:div w:id="596914177">
      <w:bodyDiv w:val="1"/>
      <w:marLeft w:val="0"/>
      <w:marRight w:val="0"/>
      <w:marTop w:val="0"/>
      <w:marBottom w:val="0"/>
      <w:divBdr>
        <w:top w:val="none" w:sz="0" w:space="0" w:color="auto"/>
        <w:left w:val="none" w:sz="0" w:space="0" w:color="auto"/>
        <w:bottom w:val="none" w:sz="0" w:space="0" w:color="auto"/>
        <w:right w:val="none" w:sz="0" w:space="0" w:color="auto"/>
      </w:divBdr>
    </w:div>
    <w:div w:id="597493273">
      <w:bodyDiv w:val="1"/>
      <w:marLeft w:val="0"/>
      <w:marRight w:val="0"/>
      <w:marTop w:val="0"/>
      <w:marBottom w:val="0"/>
      <w:divBdr>
        <w:top w:val="none" w:sz="0" w:space="0" w:color="auto"/>
        <w:left w:val="none" w:sz="0" w:space="0" w:color="auto"/>
        <w:bottom w:val="none" w:sz="0" w:space="0" w:color="auto"/>
        <w:right w:val="none" w:sz="0" w:space="0" w:color="auto"/>
      </w:divBdr>
    </w:div>
    <w:div w:id="597566202">
      <w:bodyDiv w:val="1"/>
      <w:marLeft w:val="0"/>
      <w:marRight w:val="0"/>
      <w:marTop w:val="0"/>
      <w:marBottom w:val="0"/>
      <w:divBdr>
        <w:top w:val="none" w:sz="0" w:space="0" w:color="auto"/>
        <w:left w:val="none" w:sz="0" w:space="0" w:color="auto"/>
        <w:bottom w:val="none" w:sz="0" w:space="0" w:color="auto"/>
        <w:right w:val="none" w:sz="0" w:space="0" w:color="auto"/>
      </w:divBdr>
    </w:div>
    <w:div w:id="598562813">
      <w:bodyDiv w:val="1"/>
      <w:marLeft w:val="0"/>
      <w:marRight w:val="0"/>
      <w:marTop w:val="0"/>
      <w:marBottom w:val="0"/>
      <w:divBdr>
        <w:top w:val="none" w:sz="0" w:space="0" w:color="auto"/>
        <w:left w:val="none" w:sz="0" w:space="0" w:color="auto"/>
        <w:bottom w:val="none" w:sz="0" w:space="0" w:color="auto"/>
        <w:right w:val="none" w:sz="0" w:space="0" w:color="auto"/>
      </w:divBdr>
      <w:divsChild>
        <w:div w:id="824316383">
          <w:marLeft w:val="0"/>
          <w:marRight w:val="0"/>
          <w:marTop w:val="0"/>
          <w:marBottom w:val="0"/>
          <w:divBdr>
            <w:top w:val="none" w:sz="0" w:space="0" w:color="auto"/>
            <w:left w:val="none" w:sz="0" w:space="0" w:color="auto"/>
            <w:bottom w:val="none" w:sz="0" w:space="0" w:color="auto"/>
            <w:right w:val="none" w:sz="0" w:space="0" w:color="auto"/>
          </w:divBdr>
          <w:divsChild>
            <w:div w:id="141194918">
              <w:marLeft w:val="0"/>
              <w:marRight w:val="0"/>
              <w:marTop w:val="0"/>
              <w:marBottom w:val="0"/>
              <w:divBdr>
                <w:top w:val="none" w:sz="0" w:space="0" w:color="auto"/>
                <w:left w:val="none" w:sz="0" w:space="0" w:color="auto"/>
                <w:bottom w:val="none" w:sz="0" w:space="0" w:color="auto"/>
                <w:right w:val="none" w:sz="0" w:space="0" w:color="auto"/>
              </w:divBdr>
            </w:div>
            <w:div w:id="618490484">
              <w:marLeft w:val="0"/>
              <w:marRight w:val="0"/>
              <w:marTop w:val="0"/>
              <w:marBottom w:val="0"/>
              <w:divBdr>
                <w:top w:val="none" w:sz="0" w:space="0" w:color="auto"/>
                <w:left w:val="none" w:sz="0" w:space="0" w:color="auto"/>
                <w:bottom w:val="none" w:sz="0" w:space="0" w:color="auto"/>
                <w:right w:val="none" w:sz="0" w:space="0" w:color="auto"/>
              </w:divBdr>
            </w:div>
            <w:div w:id="795106199">
              <w:marLeft w:val="0"/>
              <w:marRight w:val="0"/>
              <w:marTop w:val="0"/>
              <w:marBottom w:val="0"/>
              <w:divBdr>
                <w:top w:val="none" w:sz="0" w:space="0" w:color="auto"/>
                <w:left w:val="none" w:sz="0" w:space="0" w:color="auto"/>
                <w:bottom w:val="none" w:sz="0" w:space="0" w:color="auto"/>
                <w:right w:val="none" w:sz="0" w:space="0" w:color="auto"/>
              </w:divBdr>
            </w:div>
            <w:div w:id="987982189">
              <w:marLeft w:val="0"/>
              <w:marRight w:val="0"/>
              <w:marTop w:val="0"/>
              <w:marBottom w:val="0"/>
              <w:divBdr>
                <w:top w:val="none" w:sz="0" w:space="0" w:color="auto"/>
                <w:left w:val="none" w:sz="0" w:space="0" w:color="auto"/>
                <w:bottom w:val="none" w:sz="0" w:space="0" w:color="auto"/>
                <w:right w:val="none" w:sz="0" w:space="0" w:color="auto"/>
              </w:divBdr>
            </w:div>
            <w:div w:id="1388450113">
              <w:marLeft w:val="0"/>
              <w:marRight w:val="0"/>
              <w:marTop w:val="0"/>
              <w:marBottom w:val="0"/>
              <w:divBdr>
                <w:top w:val="none" w:sz="0" w:space="0" w:color="auto"/>
                <w:left w:val="none" w:sz="0" w:space="0" w:color="auto"/>
                <w:bottom w:val="none" w:sz="0" w:space="0" w:color="auto"/>
                <w:right w:val="none" w:sz="0" w:space="0" w:color="auto"/>
              </w:divBdr>
            </w:div>
            <w:div w:id="1811052877">
              <w:marLeft w:val="0"/>
              <w:marRight w:val="0"/>
              <w:marTop w:val="0"/>
              <w:marBottom w:val="0"/>
              <w:divBdr>
                <w:top w:val="none" w:sz="0" w:space="0" w:color="auto"/>
                <w:left w:val="none" w:sz="0" w:space="0" w:color="auto"/>
                <w:bottom w:val="none" w:sz="0" w:space="0" w:color="auto"/>
                <w:right w:val="none" w:sz="0" w:space="0" w:color="auto"/>
              </w:divBdr>
            </w:div>
            <w:div w:id="1811171486">
              <w:marLeft w:val="0"/>
              <w:marRight w:val="0"/>
              <w:marTop w:val="0"/>
              <w:marBottom w:val="0"/>
              <w:divBdr>
                <w:top w:val="none" w:sz="0" w:space="0" w:color="auto"/>
                <w:left w:val="none" w:sz="0" w:space="0" w:color="auto"/>
                <w:bottom w:val="none" w:sz="0" w:space="0" w:color="auto"/>
                <w:right w:val="none" w:sz="0" w:space="0" w:color="auto"/>
              </w:divBdr>
            </w:div>
            <w:div w:id="2017145630">
              <w:marLeft w:val="0"/>
              <w:marRight w:val="0"/>
              <w:marTop w:val="0"/>
              <w:marBottom w:val="0"/>
              <w:divBdr>
                <w:top w:val="none" w:sz="0" w:space="0" w:color="auto"/>
                <w:left w:val="none" w:sz="0" w:space="0" w:color="auto"/>
                <w:bottom w:val="none" w:sz="0" w:space="0" w:color="auto"/>
                <w:right w:val="none" w:sz="0" w:space="0" w:color="auto"/>
              </w:divBdr>
            </w:div>
            <w:div w:id="20408615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98606750">
      <w:bodyDiv w:val="1"/>
      <w:marLeft w:val="0"/>
      <w:marRight w:val="0"/>
      <w:marTop w:val="0"/>
      <w:marBottom w:val="0"/>
      <w:divBdr>
        <w:top w:val="none" w:sz="0" w:space="0" w:color="auto"/>
        <w:left w:val="none" w:sz="0" w:space="0" w:color="auto"/>
        <w:bottom w:val="none" w:sz="0" w:space="0" w:color="auto"/>
        <w:right w:val="none" w:sz="0" w:space="0" w:color="auto"/>
      </w:divBdr>
    </w:div>
    <w:div w:id="598828987">
      <w:bodyDiv w:val="1"/>
      <w:marLeft w:val="0"/>
      <w:marRight w:val="0"/>
      <w:marTop w:val="0"/>
      <w:marBottom w:val="0"/>
      <w:divBdr>
        <w:top w:val="none" w:sz="0" w:space="0" w:color="auto"/>
        <w:left w:val="none" w:sz="0" w:space="0" w:color="auto"/>
        <w:bottom w:val="none" w:sz="0" w:space="0" w:color="auto"/>
        <w:right w:val="none" w:sz="0" w:space="0" w:color="auto"/>
      </w:divBdr>
    </w:div>
    <w:div w:id="599216275">
      <w:bodyDiv w:val="1"/>
      <w:marLeft w:val="0"/>
      <w:marRight w:val="0"/>
      <w:marTop w:val="0"/>
      <w:marBottom w:val="0"/>
      <w:divBdr>
        <w:top w:val="none" w:sz="0" w:space="0" w:color="auto"/>
        <w:left w:val="none" w:sz="0" w:space="0" w:color="auto"/>
        <w:bottom w:val="none" w:sz="0" w:space="0" w:color="auto"/>
        <w:right w:val="none" w:sz="0" w:space="0" w:color="auto"/>
      </w:divBdr>
      <w:divsChild>
        <w:div w:id="1604730748">
          <w:marLeft w:val="547"/>
          <w:marRight w:val="0"/>
          <w:marTop w:val="115"/>
          <w:marBottom w:val="0"/>
          <w:divBdr>
            <w:top w:val="none" w:sz="0" w:space="0" w:color="auto"/>
            <w:left w:val="none" w:sz="0" w:space="0" w:color="auto"/>
            <w:bottom w:val="none" w:sz="0" w:space="0" w:color="auto"/>
            <w:right w:val="none" w:sz="0" w:space="0" w:color="auto"/>
          </w:divBdr>
        </w:div>
      </w:divsChild>
    </w:div>
    <w:div w:id="599263560">
      <w:bodyDiv w:val="1"/>
      <w:marLeft w:val="0"/>
      <w:marRight w:val="0"/>
      <w:marTop w:val="0"/>
      <w:marBottom w:val="0"/>
      <w:divBdr>
        <w:top w:val="none" w:sz="0" w:space="0" w:color="auto"/>
        <w:left w:val="none" w:sz="0" w:space="0" w:color="auto"/>
        <w:bottom w:val="none" w:sz="0" w:space="0" w:color="auto"/>
        <w:right w:val="none" w:sz="0" w:space="0" w:color="auto"/>
      </w:divBdr>
    </w:div>
    <w:div w:id="599333218">
      <w:bodyDiv w:val="1"/>
      <w:marLeft w:val="0"/>
      <w:marRight w:val="0"/>
      <w:marTop w:val="0"/>
      <w:marBottom w:val="0"/>
      <w:divBdr>
        <w:top w:val="none" w:sz="0" w:space="0" w:color="auto"/>
        <w:left w:val="none" w:sz="0" w:space="0" w:color="auto"/>
        <w:bottom w:val="none" w:sz="0" w:space="0" w:color="auto"/>
        <w:right w:val="none" w:sz="0" w:space="0" w:color="auto"/>
      </w:divBdr>
    </w:div>
    <w:div w:id="599342128">
      <w:bodyDiv w:val="1"/>
      <w:marLeft w:val="0"/>
      <w:marRight w:val="0"/>
      <w:marTop w:val="0"/>
      <w:marBottom w:val="0"/>
      <w:divBdr>
        <w:top w:val="none" w:sz="0" w:space="0" w:color="auto"/>
        <w:left w:val="none" w:sz="0" w:space="0" w:color="auto"/>
        <w:bottom w:val="none" w:sz="0" w:space="0" w:color="auto"/>
        <w:right w:val="none" w:sz="0" w:space="0" w:color="auto"/>
      </w:divBdr>
    </w:div>
    <w:div w:id="599408688">
      <w:bodyDiv w:val="1"/>
      <w:marLeft w:val="0"/>
      <w:marRight w:val="0"/>
      <w:marTop w:val="0"/>
      <w:marBottom w:val="0"/>
      <w:divBdr>
        <w:top w:val="none" w:sz="0" w:space="0" w:color="auto"/>
        <w:left w:val="none" w:sz="0" w:space="0" w:color="auto"/>
        <w:bottom w:val="none" w:sz="0" w:space="0" w:color="auto"/>
        <w:right w:val="none" w:sz="0" w:space="0" w:color="auto"/>
      </w:divBdr>
      <w:divsChild>
        <w:div w:id="184641617">
          <w:marLeft w:val="1166"/>
          <w:marRight w:val="0"/>
          <w:marTop w:val="134"/>
          <w:marBottom w:val="0"/>
          <w:divBdr>
            <w:top w:val="none" w:sz="0" w:space="0" w:color="auto"/>
            <w:left w:val="none" w:sz="0" w:space="0" w:color="auto"/>
            <w:bottom w:val="none" w:sz="0" w:space="0" w:color="auto"/>
            <w:right w:val="none" w:sz="0" w:space="0" w:color="auto"/>
          </w:divBdr>
        </w:div>
        <w:div w:id="818041112">
          <w:marLeft w:val="547"/>
          <w:marRight w:val="0"/>
          <w:marTop w:val="154"/>
          <w:marBottom w:val="0"/>
          <w:divBdr>
            <w:top w:val="none" w:sz="0" w:space="0" w:color="auto"/>
            <w:left w:val="none" w:sz="0" w:space="0" w:color="auto"/>
            <w:bottom w:val="none" w:sz="0" w:space="0" w:color="auto"/>
            <w:right w:val="none" w:sz="0" w:space="0" w:color="auto"/>
          </w:divBdr>
        </w:div>
        <w:div w:id="1846899027">
          <w:marLeft w:val="547"/>
          <w:marRight w:val="0"/>
          <w:marTop w:val="154"/>
          <w:marBottom w:val="0"/>
          <w:divBdr>
            <w:top w:val="none" w:sz="0" w:space="0" w:color="auto"/>
            <w:left w:val="none" w:sz="0" w:space="0" w:color="auto"/>
            <w:bottom w:val="none" w:sz="0" w:space="0" w:color="auto"/>
            <w:right w:val="none" w:sz="0" w:space="0" w:color="auto"/>
          </w:divBdr>
        </w:div>
      </w:divsChild>
    </w:div>
    <w:div w:id="599535088">
      <w:bodyDiv w:val="1"/>
      <w:marLeft w:val="0"/>
      <w:marRight w:val="0"/>
      <w:marTop w:val="0"/>
      <w:marBottom w:val="0"/>
      <w:divBdr>
        <w:top w:val="none" w:sz="0" w:space="0" w:color="auto"/>
        <w:left w:val="none" w:sz="0" w:space="0" w:color="auto"/>
        <w:bottom w:val="none" w:sz="0" w:space="0" w:color="auto"/>
        <w:right w:val="none" w:sz="0" w:space="0" w:color="auto"/>
      </w:divBdr>
    </w:div>
    <w:div w:id="599609678">
      <w:bodyDiv w:val="1"/>
      <w:marLeft w:val="0"/>
      <w:marRight w:val="0"/>
      <w:marTop w:val="0"/>
      <w:marBottom w:val="0"/>
      <w:divBdr>
        <w:top w:val="none" w:sz="0" w:space="0" w:color="auto"/>
        <w:left w:val="none" w:sz="0" w:space="0" w:color="auto"/>
        <w:bottom w:val="none" w:sz="0" w:space="0" w:color="auto"/>
        <w:right w:val="none" w:sz="0" w:space="0" w:color="auto"/>
      </w:divBdr>
      <w:divsChild>
        <w:div w:id="202133959">
          <w:marLeft w:val="1166"/>
          <w:marRight w:val="0"/>
          <w:marTop w:val="77"/>
          <w:marBottom w:val="0"/>
          <w:divBdr>
            <w:top w:val="none" w:sz="0" w:space="0" w:color="auto"/>
            <w:left w:val="none" w:sz="0" w:space="0" w:color="auto"/>
            <w:bottom w:val="none" w:sz="0" w:space="0" w:color="auto"/>
            <w:right w:val="none" w:sz="0" w:space="0" w:color="auto"/>
          </w:divBdr>
        </w:div>
        <w:div w:id="228462980">
          <w:marLeft w:val="1166"/>
          <w:marRight w:val="0"/>
          <w:marTop w:val="77"/>
          <w:marBottom w:val="0"/>
          <w:divBdr>
            <w:top w:val="none" w:sz="0" w:space="0" w:color="auto"/>
            <w:left w:val="none" w:sz="0" w:space="0" w:color="auto"/>
            <w:bottom w:val="none" w:sz="0" w:space="0" w:color="auto"/>
            <w:right w:val="none" w:sz="0" w:space="0" w:color="auto"/>
          </w:divBdr>
        </w:div>
        <w:div w:id="323094163">
          <w:marLeft w:val="1800"/>
          <w:marRight w:val="0"/>
          <w:marTop w:val="67"/>
          <w:marBottom w:val="0"/>
          <w:divBdr>
            <w:top w:val="none" w:sz="0" w:space="0" w:color="auto"/>
            <w:left w:val="none" w:sz="0" w:space="0" w:color="auto"/>
            <w:bottom w:val="none" w:sz="0" w:space="0" w:color="auto"/>
            <w:right w:val="none" w:sz="0" w:space="0" w:color="auto"/>
          </w:divBdr>
        </w:div>
        <w:div w:id="329331516">
          <w:marLeft w:val="2520"/>
          <w:marRight w:val="0"/>
          <w:marTop w:val="58"/>
          <w:marBottom w:val="0"/>
          <w:divBdr>
            <w:top w:val="none" w:sz="0" w:space="0" w:color="auto"/>
            <w:left w:val="none" w:sz="0" w:space="0" w:color="auto"/>
            <w:bottom w:val="none" w:sz="0" w:space="0" w:color="auto"/>
            <w:right w:val="none" w:sz="0" w:space="0" w:color="auto"/>
          </w:divBdr>
        </w:div>
        <w:div w:id="464733796">
          <w:marLeft w:val="1166"/>
          <w:marRight w:val="0"/>
          <w:marTop w:val="77"/>
          <w:marBottom w:val="0"/>
          <w:divBdr>
            <w:top w:val="none" w:sz="0" w:space="0" w:color="auto"/>
            <w:left w:val="none" w:sz="0" w:space="0" w:color="auto"/>
            <w:bottom w:val="none" w:sz="0" w:space="0" w:color="auto"/>
            <w:right w:val="none" w:sz="0" w:space="0" w:color="auto"/>
          </w:divBdr>
        </w:div>
        <w:div w:id="528224564">
          <w:marLeft w:val="1800"/>
          <w:marRight w:val="0"/>
          <w:marTop w:val="67"/>
          <w:marBottom w:val="0"/>
          <w:divBdr>
            <w:top w:val="none" w:sz="0" w:space="0" w:color="auto"/>
            <w:left w:val="none" w:sz="0" w:space="0" w:color="auto"/>
            <w:bottom w:val="none" w:sz="0" w:space="0" w:color="auto"/>
            <w:right w:val="none" w:sz="0" w:space="0" w:color="auto"/>
          </w:divBdr>
        </w:div>
        <w:div w:id="703410060">
          <w:marLeft w:val="1166"/>
          <w:marRight w:val="0"/>
          <w:marTop w:val="67"/>
          <w:marBottom w:val="0"/>
          <w:divBdr>
            <w:top w:val="none" w:sz="0" w:space="0" w:color="auto"/>
            <w:left w:val="none" w:sz="0" w:space="0" w:color="auto"/>
            <w:bottom w:val="none" w:sz="0" w:space="0" w:color="auto"/>
            <w:right w:val="none" w:sz="0" w:space="0" w:color="auto"/>
          </w:divBdr>
        </w:div>
        <w:div w:id="727916615">
          <w:marLeft w:val="1166"/>
          <w:marRight w:val="0"/>
          <w:marTop w:val="77"/>
          <w:marBottom w:val="0"/>
          <w:divBdr>
            <w:top w:val="none" w:sz="0" w:space="0" w:color="auto"/>
            <w:left w:val="none" w:sz="0" w:space="0" w:color="auto"/>
            <w:bottom w:val="none" w:sz="0" w:space="0" w:color="auto"/>
            <w:right w:val="none" w:sz="0" w:space="0" w:color="auto"/>
          </w:divBdr>
        </w:div>
        <w:div w:id="812912395">
          <w:marLeft w:val="1800"/>
          <w:marRight w:val="0"/>
          <w:marTop w:val="67"/>
          <w:marBottom w:val="0"/>
          <w:divBdr>
            <w:top w:val="none" w:sz="0" w:space="0" w:color="auto"/>
            <w:left w:val="none" w:sz="0" w:space="0" w:color="auto"/>
            <w:bottom w:val="none" w:sz="0" w:space="0" w:color="auto"/>
            <w:right w:val="none" w:sz="0" w:space="0" w:color="auto"/>
          </w:divBdr>
        </w:div>
        <w:div w:id="1032799614">
          <w:marLeft w:val="547"/>
          <w:marRight w:val="0"/>
          <w:marTop w:val="77"/>
          <w:marBottom w:val="0"/>
          <w:divBdr>
            <w:top w:val="none" w:sz="0" w:space="0" w:color="auto"/>
            <w:left w:val="none" w:sz="0" w:space="0" w:color="auto"/>
            <w:bottom w:val="none" w:sz="0" w:space="0" w:color="auto"/>
            <w:right w:val="none" w:sz="0" w:space="0" w:color="auto"/>
          </w:divBdr>
        </w:div>
        <w:div w:id="1131703268">
          <w:marLeft w:val="1800"/>
          <w:marRight w:val="0"/>
          <w:marTop w:val="67"/>
          <w:marBottom w:val="0"/>
          <w:divBdr>
            <w:top w:val="none" w:sz="0" w:space="0" w:color="auto"/>
            <w:left w:val="none" w:sz="0" w:space="0" w:color="auto"/>
            <w:bottom w:val="none" w:sz="0" w:space="0" w:color="auto"/>
            <w:right w:val="none" w:sz="0" w:space="0" w:color="auto"/>
          </w:divBdr>
        </w:div>
        <w:div w:id="1196115429">
          <w:marLeft w:val="547"/>
          <w:marRight w:val="0"/>
          <w:marTop w:val="77"/>
          <w:marBottom w:val="0"/>
          <w:divBdr>
            <w:top w:val="none" w:sz="0" w:space="0" w:color="auto"/>
            <w:left w:val="none" w:sz="0" w:space="0" w:color="auto"/>
            <w:bottom w:val="none" w:sz="0" w:space="0" w:color="auto"/>
            <w:right w:val="none" w:sz="0" w:space="0" w:color="auto"/>
          </w:divBdr>
        </w:div>
        <w:div w:id="1241914856">
          <w:marLeft w:val="2520"/>
          <w:marRight w:val="0"/>
          <w:marTop w:val="58"/>
          <w:marBottom w:val="0"/>
          <w:divBdr>
            <w:top w:val="none" w:sz="0" w:space="0" w:color="auto"/>
            <w:left w:val="none" w:sz="0" w:space="0" w:color="auto"/>
            <w:bottom w:val="none" w:sz="0" w:space="0" w:color="auto"/>
            <w:right w:val="none" w:sz="0" w:space="0" w:color="auto"/>
          </w:divBdr>
        </w:div>
        <w:div w:id="1291133399">
          <w:marLeft w:val="1166"/>
          <w:marRight w:val="0"/>
          <w:marTop w:val="70"/>
          <w:marBottom w:val="0"/>
          <w:divBdr>
            <w:top w:val="none" w:sz="0" w:space="0" w:color="auto"/>
            <w:left w:val="none" w:sz="0" w:space="0" w:color="auto"/>
            <w:bottom w:val="none" w:sz="0" w:space="0" w:color="auto"/>
            <w:right w:val="none" w:sz="0" w:space="0" w:color="auto"/>
          </w:divBdr>
        </w:div>
        <w:div w:id="1357267546">
          <w:marLeft w:val="1800"/>
          <w:marRight w:val="0"/>
          <w:marTop w:val="67"/>
          <w:marBottom w:val="0"/>
          <w:divBdr>
            <w:top w:val="none" w:sz="0" w:space="0" w:color="auto"/>
            <w:left w:val="none" w:sz="0" w:space="0" w:color="auto"/>
            <w:bottom w:val="none" w:sz="0" w:space="0" w:color="auto"/>
            <w:right w:val="none" w:sz="0" w:space="0" w:color="auto"/>
          </w:divBdr>
        </w:div>
        <w:div w:id="1649672560">
          <w:marLeft w:val="1800"/>
          <w:marRight w:val="0"/>
          <w:marTop w:val="67"/>
          <w:marBottom w:val="0"/>
          <w:divBdr>
            <w:top w:val="none" w:sz="0" w:space="0" w:color="auto"/>
            <w:left w:val="none" w:sz="0" w:space="0" w:color="auto"/>
            <w:bottom w:val="none" w:sz="0" w:space="0" w:color="auto"/>
            <w:right w:val="none" w:sz="0" w:space="0" w:color="auto"/>
          </w:divBdr>
        </w:div>
        <w:div w:id="1837377072">
          <w:marLeft w:val="547"/>
          <w:marRight w:val="0"/>
          <w:marTop w:val="77"/>
          <w:marBottom w:val="0"/>
          <w:divBdr>
            <w:top w:val="none" w:sz="0" w:space="0" w:color="auto"/>
            <w:left w:val="none" w:sz="0" w:space="0" w:color="auto"/>
            <w:bottom w:val="none" w:sz="0" w:space="0" w:color="auto"/>
            <w:right w:val="none" w:sz="0" w:space="0" w:color="auto"/>
          </w:divBdr>
        </w:div>
        <w:div w:id="1971856015">
          <w:marLeft w:val="1166"/>
          <w:marRight w:val="0"/>
          <w:marTop w:val="67"/>
          <w:marBottom w:val="0"/>
          <w:divBdr>
            <w:top w:val="none" w:sz="0" w:space="0" w:color="auto"/>
            <w:left w:val="none" w:sz="0" w:space="0" w:color="auto"/>
            <w:bottom w:val="none" w:sz="0" w:space="0" w:color="auto"/>
            <w:right w:val="none" w:sz="0" w:space="0" w:color="auto"/>
          </w:divBdr>
        </w:div>
      </w:divsChild>
    </w:div>
    <w:div w:id="599797525">
      <w:bodyDiv w:val="1"/>
      <w:marLeft w:val="0"/>
      <w:marRight w:val="0"/>
      <w:marTop w:val="0"/>
      <w:marBottom w:val="0"/>
      <w:divBdr>
        <w:top w:val="none" w:sz="0" w:space="0" w:color="auto"/>
        <w:left w:val="none" w:sz="0" w:space="0" w:color="auto"/>
        <w:bottom w:val="none" w:sz="0" w:space="0" w:color="auto"/>
        <w:right w:val="none" w:sz="0" w:space="0" w:color="auto"/>
      </w:divBdr>
    </w:div>
    <w:div w:id="602423350">
      <w:bodyDiv w:val="1"/>
      <w:marLeft w:val="0"/>
      <w:marRight w:val="0"/>
      <w:marTop w:val="0"/>
      <w:marBottom w:val="0"/>
      <w:divBdr>
        <w:top w:val="none" w:sz="0" w:space="0" w:color="auto"/>
        <w:left w:val="none" w:sz="0" w:space="0" w:color="auto"/>
        <w:bottom w:val="none" w:sz="0" w:space="0" w:color="auto"/>
        <w:right w:val="none" w:sz="0" w:space="0" w:color="auto"/>
      </w:divBdr>
    </w:div>
    <w:div w:id="604193683">
      <w:bodyDiv w:val="1"/>
      <w:marLeft w:val="0"/>
      <w:marRight w:val="0"/>
      <w:marTop w:val="0"/>
      <w:marBottom w:val="0"/>
      <w:divBdr>
        <w:top w:val="none" w:sz="0" w:space="0" w:color="auto"/>
        <w:left w:val="none" w:sz="0" w:space="0" w:color="auto"/>
        <w:bottom w:val="none" w:sz="0" w:space="0" w:color="auto"/>
        <w:right w:val="none" w:sz="0" w:space="0" w:color="auto"/>
      </w:divBdr>
      <w:divsChild>
        <w:div w:id="116684021">
          <w:marLeft w:val="547"/>
          <w:marRight w:val="0"/>
          <w:marTop w:val="144"/>
          <w:marBottom w:val="0"/>
          <w:divBdr>
            <w:top w:val="none" w:sz="0" w:space="0" w:color="auto"/>
            <w:left w:val="none" w:sz="0" w:space="0" w:color="auto"/>
            <w:bottom w:val="none" w:sz="0" w:space="0" w:color="auto"/>
            <w:right w:val="none" w:sz="0" w:space="0" w:color="auto"/>
          </w:divBdr>
        </w:div>
        <w:div w:id="650139998">
          <w:marLeft w:val="1166"/>
          <w:marRight w:val="0"/>
          <w:marTop w:val="125"/>
          <w:marBottom w:val="0"/>
          <w:divBdr>
            <w:top w:val="none" w:sz="0" w:space="0" w:color="auto"/>
            <w:left w:val="none" w:sz="0" w:space="0" w:color="auto"/>
            <w:bottom w:val="none" w:sz="0" w:space="0" w:color="auto"/>
            <w:right w:val="none" w:sz="0" w:space="0" w:color="auto"/>
          </w:divBdr>
        </w:div>
        <w:div w:id="654262585">
          <w:marLeft w:val="547"/>
          <w:marRight w:val="0"/>
          <w:marTop w:val="144"/>
          <w:marBottom w:val="0"/>
          <w:divBdr>
            <w:top w:val="none" w:sz="0" w:space="0" w:color="auto"/>
            <w:left w:val="none" w:sz="0" w:space="0" w:color="auto"/>
            <w:bottom w:val="none" w:sz="0" w:space="0" w:color="auto"/>
            <w:right w:val="none" w:sz="0" w:space="0" w:color="auto"/>
          </w:divBdr>
        </w:div>
        <w:div w:id="1058866981">
          <w:marLeft w:val="1166"/>
          <w:marRight w:val="0"/>
          <w:marTop w:val="125"/>
          <w:marBottom w:val="0"/>
          <w:divBdr>
            <w:top w:val="none" w:sz="0" w:space="0" w:color="auto"/>
            <w:left w:val="none" w:sz="0" w:space="0" w:color="auto"/>
            <w:bottom w:val="none" w:sz="0" w:space="0" w:color="auto"/>
            <w:right w:val="none" w:sz="0" w:space="0" w:color="auto"/>
          </w:divBdr>
        </w:div>
        <w:div w:id="1302079284">
          <w:marLeft w:val="1166"/>
          <w:marRight w:val="0"/>
          <w:marTop w:val="125"/>
          <w:marBottom w:val="0"/>
          <w:divBdr>
            <w:top w:val="none" w:sz="0" w:space="0" w:color="auto"/>
            <w:left w:val="none" w:sz="0" w:space="0" w:color="auto"/>
            <w:bottom w:val="none" w:sz="0" w:space="0" w:color="auto"/>
            <w:right w:val="none" w:sz="0" w:space="0" w:color="auto"/>
          </w:divBdr>
        </w:div>
        <w:div w:id="1461341671">
          <w:marLeft w:val="547"/>
          <w:marRight w:val="0"/>
          <w:marTop w:val="144"/>
          <w:marBottom w:val="0"/>
          <w:divBdr>
            <w:top w:val="none" w:sz="0" w:space="0" w:color="auto"/>
            <w:left w:val="none" w:sz="0" w:space="0" w:color="auto"/>
            <w:bottom w:val="none" w:sz="0" w:space="0" w:color="auto"/>
            <w:right w:val="none" w:sz="0" w:space="0" w:color="auto"/>
          </w:divBdr>
        </w:div>
        <w:div w:id="1981417073">
          <w:marLeft w:val="547"/>
          <w:marRight w:val="0"/>
          <w:marTop w:val="144"/>
          <w:marBottom w:val="0"/>
          <w:divBdr>
            <w:top w:val="none" w:sz="0" w:space="0" w:color="auto"/>
            <w:left w:val="none" w:sz="0" w:space="0" w:color="auto"/>
            <w:bottom w:val="none" w:sz="0" w:space="0" w:color="auto"/>
            <w:right w:val="none" w:sz="0" w:space="0" w:color="auto"/>
          </w:divBdr>
        </w:div>
        <w:div w:id="2131122461">
          <w:marLeft w:val="547"/>
          <w:marRight w:val="0"/>
          <w:marTop w:val="144"/>
          <w:marBottom w:val="0"/>
          <w:divBdr>
            <w:top w:val="none" w:sz="0" w:space="0" w:color="auto"/>
            <w:left w:val="none" w:sz="0" w:space="0" w:color="auto"/>
            <w:bottom w:val="none" w:sz="0" w:space="0" w:color="auto"/>
            <w:right w:val="none" w:sz="0" w:space="0" w:color="auto"/>
          </w:divBdr>
        </w:div>
      </w:divsChild>
    </w:div>
    <w:div w:id="604963337">
      <w:bodyDiv w:val="1"/>
      <w:marLeft w:val="0"/>
      <w:marRight w:val="0"/>
      <w:marTop w:val="0"/>
      <w:marBottom w:val="0"/>
      <w:divBdr>
        <w:top w:val="none" w:sz="0" w:space="0" w:color="auto"/>
        <w:left w:val="none" w:sz="0" w:space="0" w:color="auto"/>
        <w:bottom w:val="none" w:sz="0" w:space="0" w:color="auto"/>
        <w:right w:val="none" w:sz="0" w:space="0" w:color="auto"/>
      </w:divBdr>
    </w:div>
    <w:div w:id="604970378">
      <w:bodyDiv w:val="1"/>
      <w:marLeft w:val="0"/>
      <w:marRight w:val="0"/>
      <w:marTop w:val="0"/>
      <w:marBottom w:val="0"/>
      <w:divBdr>
        <w:top w:val="none" w:sz="0" w:space="0" w:color="auto"/>
        <w:left w:val="none" w:sz="0" w:space="0" w:color="auto"/>
        <w:bottom w:val="none" w:sz="0" w:space="0" w:color="auto"/>
        <w:right w:val="none" w:sz="0" w:space="0" w:color="auto"/>
      </w:divBdr>
    </w:div>
    <w:div w:id="605498987">
      <w:bodyDiv w:val="1"/>
      <w:marLeft w:val="0"/>
      <w:marRight w:val="0"/>
      <w:marTop w:val="0"/>
      <w:marBottom w:val="0"/>
      <w:divBdr>
        <w:top w:val="none" w:sz="0" w:space="0" w:color="auto"/>
        <w:left w:val="none" w:sz="0" w:space="0" w:color="auto"/>
        <w:bottom w:val="none" w:sz="0" w:space="0" w:color="auto"/>
        <w:right w:val="none" w:sz="0" w:space="0" w:color="auto"/>
      </w:divBdr>
      <w:divsChild>
        <w:div w:id="117646984">
          <w:marLeft w:val="1166"/>
          <w:marRight w:val="0"/>
          <w:marTop w:val="86"/>
          <w:marBottom w:val="0"/>
          <w:divBdr>
            <w:top w:val="none" w:sz="0" w:space="0" w:color="auto"/>
            <w:left w:val="none" w:sz="0" w:space="0" w:color="auto"/>
            <w:bottom w:val="none" w:sz="0" w:space="0" w:color="auto"/>
            <w:right w:val="none" w:sz="0" w:space="0" w:color="auto"/>
          </w:divBdr>
        </w:div>
        <w:div w:id="387530586">
          <w:marLeft w:val="547"/>
          <w:marRight w:val="0"/>
          <w:marTop w:val="115"/>
          <w:marBottom w:val="0"/>
          <w:divBdr>
            <w:top w:val="none" w:sz="0" w:space="0" w:color="auto"/>
            <w:left w:val="none" w:sz="0" w:space="0" w:color="auto"/>
            <w:bottom w:val="none" w:sz="0" w:space="0" w:color="auto"/>
            <w:right w:val="none" w:sz="0" w:space="0" w:color="auto"/>
          </w:divBdr>
        </w:div>
        <w:div w:id="823398625">
          <w:marLeft w:val="1166"/>
          <w:marRight w:val="0"/>
          <w:marTop w:val="86"/>
          <w:marBottom w:val="0"/>
          <w:divBdr>
            <w:top w:val="none" w:sz="0" w:space="0" w:color="auto"/>
            <w:left w:val="none" w:sz="0" w:space="0" w:color="auto"/>
            <w:bottom w:val="none" w:sz="0" w:space="0" w:color="auto"/>
            <w:right w:val="none" w:sz="0" w:space="0" w:color="auto"/>
          </w:divBdr>
        </w:div>
      </w:divsChild>
    </w:div>
    <w:div w:id="605623660">
      <w:bodyDiv w:val="1"/>
      <w:marLeft w:val="0"/>
      <w:marRight w:val="0"/>
      <w:marTop w:val="0"/>
      <w:marBottom w:val="0"/>
      <w:divBdr>
        <w:top w:val="none" w:sz="0" w:space="0" w:color="auto"/>
        <w:left w:val="none" w:sz="0" w:space="0" w:color="auto"/>
        <w:bottom w:val="none" w:sz="0" w:space="0" w:color="auto"/>
        <w:right w:val="none" w:sz="0" w:space="0" w:color="auto"/>
      </w:divBdr>
    </w:div>
    <w:div w:id="606236523">
      <w:bodyDiv w:val="1"/>
      <w:marLeft w:val="0"/>
      <w:marRight w:val="0"/>
      <w:marTop w:val="0"/>
      <w:marBottom w:val="0"/>
      <w:divBdr>
        <w:top w:val="none" w:sz="0" w:space="0" w:color="auto"/>
        <w:left w:val="none" w:sz="0" w:space="0" w:color="auto"/>
        <w:bottom w:val="none" w:sz="0" w:space="0" w:color="auto"/>
        <w:right w:val="none" w:sz="0" w:space="0" w:color="auto"/>
      </w:divBdr>
    </w:div>
    <w:div w:id="607543582">
      <w:bodyDiv w:val="1"/>
      <w:marLeft w:val="0"/>
      <w:marRight w:val="0"/>
      <w:marTop w:val="0"/>
      <w:marBottom w:val="0"/>
      <w:divBdr>
        <w:top w:val="none" w:sz="0" w:space="0" w:color="auto"/>
        <w:left w:val="none" w:sz="0" w:space="0" w:color="auto"/>
        <w:bottom w:val="none" w:sz="0" w:space="0" w:color="auto"/>
        <w:right w:val="none" w:sz="0" w:space="0" w:color="auto"/>
      </w:divBdr>
      <w:divsChild>
        <w:div w:id="1209341601">
          <w:marLeft w:val="0"/>
          <w:marRight w:val="0"/>
          <w:marTop w:val="0"/>
          <w:marBottom w:val="0"/>
          <w:divBdr>
            <w:top w:val="none" w:sz="0" w:space="0" w:color="auto"/>
            <w:left w:val="none" w:sz="0" w:space="0" w:color="auto"/>
            <w:bottom w:val="none" w:sz="0" w:space="0" w:color="auto"/>
            <w:right w:val="none" w:sz="0" w:space="0" w:color="auto"/>
          </w:divBdr>
          <w:divsChild>
            <w:div w:id="600259001">
              <w:marLeft w:val="0"/>
              <w:marRight w:val="0"/>
              <w:marTop w:val="0"/>
              <w:marBottom w:val="0"/>
              <w:divBdr>
                <w:top w:val="none" w:sz="0" w:space="0" w:color="auto"/>
                <w:left w:val="none" w:sz="0" w:space="0" w:color="auto"/>
                <w:bottom w:val="none" w:sz="0" w:space="0" w:color="auto"/>
                <w:right w:val="none" w:sz="0" w:space="0" w:color="auto"/>
              </w:divBdr>
            </w:div>
            <w:div w:id="1457024790">
              <w:marLeft w:val="0"/>
              <w:marRight w:val="0"/>
              <w:marTop w:val="0"/>
              <w:marBottom w:val="0"/>
              <w:divBdr>
                <w:top w:val="none" w:sz="0" w:space="0" w:color="auto"/>
                <w:left w:val="none" w:sz="0" w:space="0" w:color="auto"/>
                <w:bottom w:val="none" w:sz="0" w:space="0" w:color="auto"/>
                <w:right w:val="none" w:sz="0" w:space="0" w:color="auto"/>
              </w:divBdr>
            </w:div>
            <w:div w:id="20919237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08850260">
      <w:bodyDiv w:val="1"/>
      <w:marLeft w:val="0"/>
      <w:marRight w:val="0"/>
      <w:marTop w:val="0"/>
      <w:marBottom w:val="0"/>
      <w:divBdr>
        <w:top w:val="none" w:sz="0" w:space="0" w:color="auto"/>
        <w:left w:val="none" w:sz="0" w:space="0" w:color="auto"/>
        <w:bottom w:val="none" w:sz="0" w:space="0" w:color="auto"/>
        <w:right w:val="none" w:sz="0" w:space="0" w:color="auto"/>
      </w:divBdr>
      <w:divsChild>
        <w:div w:id="40860241">
          <w:marLeft w:val="1800"/>
          <w:marRight w:val="0"/>
          <w:marTop w:val="77"/>
          <w:marBottom w:val="0"/>
          <w:divBdr>
            <w:top w:val="none" w:sz="0" w:space="0" w:color="auto"/>
            <w:left w:val="none" w:sz="0" w:space="0" w:color="auto"/>
            <w:bottom w:val="none" w:sz="0" w:space="0" w:color="auto"/>
            <w:right w:val="none" w:sz="0" w:space="0" w:color="auto"/>
          </w:divBdr>
        </w:div>
        <w:div w:id="152990124">
          <w:marLeft w:val="1800"/>
          <w:marRight w:val="0"/>
          <w:marTop w:val="77"/>
          <w:marBottom w:val="0"/>
          <w:divBdr>
            <w:top w:val="none" w:sz="0" w:space="0" w:color="auto"/>
            <w:left w:val="none" w:sz="0" w:space="0" w:color="auto"/>
            <w:bottom w:val="none" w:sz="0" w:space="0" w:color="auto"/>
            <w:right w:val="none" w:sz="0" w:space="0" w:color="auto"/>
          </w:divBdr>
        </w:div>
        <w:div w:id="1199780414">
          <w:marLeft w:val="1166"/>
          <w:marRight w:val="0"/>
          <w:marTop w:val="96"/>
          <w:marBottom w:val="0"/>
          <w:divBdr>
            <w:top w:val="none" w:sz="0" w:space="0" w:color="auto"/>
            <w:left w:val="none" w:sz="0" w:space="0" w:color="auto"/>
            <w:bottom w:val="none" w:sz="0" w:space="0" w:color="auto"/>
            <w:right w:val="none" w:sz="0" w:space="0" w:color="auto"/>
          </w:divBdr>
        </w:div>
        <w:div w:id="1313754314">
          <w:marLeft w:val="1800"/>
          <w:marRight w:val="0"/>
          <w:marTop w:val="77"/>
          <w:marBottom w:val="0"/>
          <w:divBdr>
            <w:top w:val="none" w:sz="0" w:space="0" w:color="auto"/>
            <w:left w:val="none" w:sz="0" w:space="0" w:color="auto"/>
            <w:bottom w:val="none" w:sz="0" w:space="0" w:color="auto"/>
            <w:right w:val="none" w:sz="0" w:space="0" w:color="auto"/>
          </w:divBdr>
        </w:div>
      </w:divsChild>
    </w:div>
    <w:div w:id="609363838">
      <w:bodyDiv w:val="1"/>
      <w:marLeft w:val="0"/>
      <w:marRight w:val="0"/>
      <w:marTop w:val="0"/>
      <w:marBottom w:val="0"/>
      <w:divBdr>
        <w:top w:val="none" w:sz="0" w:space="0" w:color="auto"/>
        <w:left w:val="none" w:sz="0" w:space="0" w:color="auto"/>
        <w:bottom w:val="none" w:sz="0" w:space="0" w:color="auto"/>
        <w:right w:val="none" w:sz="0" w:space="0" w:color="auto"/>
      </w:divBdr>
    </w:div>
    <w:div w:id="610166186">
      <w:bodyDiv w:val="1"/>
      <w:marLeft w:val="0"/>
      <w:marRight w:val="0"/>
      <w:marTop w:val="0"/>
      <w:marBottom w:val="0"/>
      <w:divBdr>
        <w:top w:val="none" w:sz="0" w:space="0" w:color="auto"/>
        <w:left w:val="none" w:sz="0" w:space="0" w:color="auto"/>
        <w:bottom w:val="none" w:sz="0" w:space="0" w:color="auto"/>
        <w:right w:val="none" w:sz="0" w:space="0" w:color="auto"/>
      </w:divBdr>
      <w:divsChild>
        <w:div w:id="83692010">
          <w:marLeft w:val="1166"/>
          <w:marRight w:val="0"/>
          <w:marTop w:val="96"/>
          <w:marBottom w:val="0"/>
          <w:divBdr>
            <w:top w:val="none" w:sz="0" w:space="0" w:color="auto"/>
            <w:left w:val="none" w:sz="0" w:space="0" w:color="auto"/>
            <w:bottom w:val="none" w:sz="0" w:space="0" w:color="auto"/>
            <w:right w:val="none" w:sz="0" w:space="0" w:color="auto"/>
          </w:divBdr>
        </w:div>
        <w:div w:id="162598032">
          <w:marLeft w:val="1166"/>
          <w:marRight w:val="0"/>
          <w:marTop w:val="96"/>
          <w:marBottom w:val="0"/>
          <w:divBdr>
            <w:top w:val="none" w:sz="0" w:space="0" w:color="auto"/>
            <w:left w:val="none" w:sz="0" w:space="0" w:color="auto"/>
            <w:bottom w:val="none" w:sz="0" w:space="0" w:color="auto"/>
            <w:right w:val="none" w:sz="0" w:space="0" w:color="auto"/>
          </w:divBdr>
        </w:div>
        <w:div w:id="190263412">
          <w:marLeft w:val="1800"/>
          <w:marRight w:val="0"/>
          <w:marTop w:val="77"/>
          <w:marBottom w:val="0"/>
          <w:divBdr>
            <w:top w:val="none" w:sz="0" w:space="0" w:color="auto"/>
            <w:left w:val="none" w:sz="0" w:space="0" w:color="auto"/>
            <w:bottom w:val="none" w:sz="0" w:space="0" w:color="auto"/>
            <w:right w:val="none" w:sz="0" w:space="0" w:color="auto"/>
          </w:divBdr>
        </w:div>
        <w:div w:id="542062774">
          <w:marLeft w:val="1166"/>
          <w:marRight w:val="0"/>
          <w:marTop w:val="96"/>
          <w:marBottom w:val="0"/>
          <w:divBdr>
            <w:top w:val="none" w:sz="0" w:space="0" w:color="auto"/>
            <w:left w:val="none" w:sz="0" w:space="0" w:color="auto"/>
            <w:bottom w:val="none" w:sz="0" w:space="0" w:color="auto"/>
            <w:right w:val="none" w:sz="0" w:space="0" w:color="auto"/>
          </w:divBdr>
        </w:div>
        <w:div w:id="670181912">
          <w:marLeft w:val="1166"/>
          <w:marRight w:val="0"/>
          <w:marTop w:val="96"/>
          <w:marBottom w:val="0"/>
          <w:divBdr>
            <w:top w:val="none" w:sz="0" w:space="0" w:color="auto"/>
            <w:left w:val="none" w:sz="0" w:space="0" w:color="auto"/>
            <w:bottom w:val="none" w:sz="0" w:space="0" w:color="auto"/>
            <w:right w:val="none" w:sz="0" w:space="0" w:color="auto"/>
          </w:divBdr>
        </w:div>
        <w:div w:id="919798355">
          <w:marLeft w:val="547"/>
          <w:marRight w:val="0"/>
          <w:marTop w:val="115"/>
          <w:marBottom w:val="0"/>
          <w:divBdr>
            <w:top w:val="none" w:sz="0" w:space="0" w:color="auto"/>
            <w:left w:val="none" w:sz="0" w:space="0" w:color="auto"/>
            <w:bottom w:val="none" w:sz="0" w:space="0" w:color="auto"/>
            <w:right w:val="none" w:sz="0" w:space="0" w:color="auto"/>
          </w:divBdr>
        </w:div>
      </w:divsChild>
    </w:div>
    <w:div w:id="611087881">
      <w:bodyDiv w:val="1"/>
      <w:marLeft w:val="0"/>
      <w:marRight w:val="0"/>
      <w:marTop w:val="0"/>
      <w:marBottom w:val="0"/>
      <w:divBdr>
        <w:top w:val="none" w:sz="0" w:space="0" w:color="auto"/>
        <w:left w:val="none" w:sz="0" w:space="0" w:color="auto"/>
        <w:bottom w:val="none" w:sz="0" w:space="0" w:color="auto"/>
        <w:right w:val="none" w:sz="0" w:space="0" w:color="auto"/>
      </w:divBdr>
    </w:div>
    <w:div w:id="611745289">
      <w:bodyDiv w:val="1"/>
      <w:marLeft w:val="0"/>
      <w:marRight w:val="0"/>
      <w:marTop w:val="0"/>
      <w:marBottom w:val="0"/>
      <w:divBdr>
        <w:top w:val="none" w:sz="0" w:space="0" w:color="auto"/>
        <w:left w:val="none" w:sz="0" w:space="0" w:color="auto"/>
        <w:bottom w:val="none" w:sz="0" w:space="0" w:color="auto"/>
        <w:right w:val="none" w:sz="0" w:space="0" w:color="auto"/>
      </w:divBdr>
      <w:divsChild>
        <w:div w:id="273942592">
          <w:marLeft w:val="547"/>
          <w:marRight w:val="0"/>
          <w:marTop w:val="120"/>
          <w:marBottom w:val="0"/>
          <w:divBdr>
            <w:top w:val="none" w:sz="0" w:space="0" w:color="auto"/>
            <w:left w:val="none" w:sz="0" w:space="0" w:color="auto"/>
            <w:bottom w:val="none" w:sz="0" w:space="0" w:color="auto"/>
            <w:right w:val="none" w:sz="0" w:space="0" w:color="auto"/>
          </w:divBdr>
        </w:div>
        <w:div w:id="402266218">
          <w:marLeft w:val="1166"/>
          <w:marRight w:val="0"/>
          <w:marTop w:val="106"/>
          <w:marBottom w:val="0"/>
          <w:divBdr>
            <w:top w:val="none" w:sz="0" w:space="0" w:color="auto"/>
            <w:left w:val="none" w:sz="0" w:space="0" w:color="auto"/>
            <w:bottom w:val="none" w:sz="0" w:space="0" w:color="auto"/>
            <w:right w:val="none" w:sz="0" w:space="0" w:color="auto"/>
          </w:divBdr>
        </w:div>
        <w:div w:id="668991600">
          <w:marLeft w:val="547"/>
          <w:marRight w:val="0"/>
          <w:marTop w:val="120"/>
          <w:marBottom w:val="0"/>
          <w:divBdr>
            <w:top w:val="none" w:sz="0" w:space="0" w:color="auto"/>
            <w:left w:val="none" w:sz="0" w:space="0" w:color="auto"/>
            <w:bottom w:val="none" w:sz="0" w:space="0" w:color="auto"/>
            <w:right w:val="none" w:sz="0" w:space="0" w:color="auto"/>
          </w:divBdr>
        </w:div>
        <w:div w:id="825819806">
          <w:marLeft w:val="1166"/>
          <w:marRight w:val="0"/>
          <w:marTop w:val="106"/>
          <w:marBottom w:val="0"/>
          <w:divBdr>
            <w:top w:val="none" w:sz="0" w:space="0" w:color="auto"/>
            <w:left w:val="none" w:sz="0" w:space="0" w:color="auto"/>
            <w:bottom w:val="none" w:sz="0" w:space="0" w:color="auto"/>
            <w:right w:val="none" w:sz="0" w:space="0" w:color="auto"/>
          </w:divBdr>
        </w:div>
        <w:div w:id="1053237091">
          <w:marLeft w:val="1166"/>
          <w:marRight w:val="0"/>
          <w:marTop w:val="106"/>
          <w:marBottom w:val="0"/>
          <w:divBdr>
            <w:top w:val="none" w:sz="0" w:space="0" w:color="auto"/>
            <w:left w:val="none" w:sz="0" w:space="0" w:color="auto"/>
            <w:bottom w:val="none" w:sz="0" w:space="0" w:color="auto"/>
            <w:right w:val="none" w:sz="0" w:space="0" w:color="auto"/>
          </w:divBdr>
        </w:div>
        <w:div w:id="2015105523">
          <w:marLeft w:val="1166"/>
          <w:marRight w:val="0"/>
          <w:marTop w:val="106"/>
          <w:marBottom w:val="0"/>
          <w:divBdr>
            <w:top w:val="none" w:sz="0" w:space="0" w:color="auto"/>
            <w:left w:val="none" w:sz="0" w:space="0" w:color="auto"/>
            <w:bottom w:val="none" w:sz="0" w:space="0" w:color="auto"/>
            <w:right w:val="none" w:sz="0" w:space="0" w:color="auto"/>
          </w:divBdr>
        </w:div>
      </w:divsChild>
    </w:div>
    <w:div w:id="613291086">
      <w:bodyDiv w:val="1"/>
      <w:marLeft w:val="0"/>
      <w:marRight w:val="0"/>
      <w:marTop w:val="0"/>
      <w:marBottom w:val="0"/>
      <w:divBdr>
        <w:top w:val="none" w:sz="0" w:space="0" w:color="auto"/>
        <w:left w:val="none" w:sz="0" w:space="0" w:color="auto"/>
        <w:bottom w:val="none" w:sz="0" w:space="0" w:color="auto"/>
        <w:right w:val="none" w:sz="0" w:space="0" w:color="auto"/>
      </w:divBdr>
    </w:div>
    <w:div w:id="613367805">
      <w:bodyDiv w:val="1"/>
      <w:marLeft w:val="0"/>
      <w:marRight w:val="0"/>
      <w:marTop w:val="0"/>
      <w:marBottom w:val="0"/>
      <w:divBdr>
        <w:top w:val="none" w:sz="0" w:space="0" w:color="auto"/>
        <w:left w:val="none" w:sz="0" w:space="0" w:color="auto"/>
        <w:bottom w:val="none" w:sz="0" w:space="0" w:color="auto"/>
        <w:right w:val="none" w:sz="0" w:space="0" w:color="auto"/>
      </w:divBdr>
      <w:divsChild>
        <w:div w:id="412900876">
          <w:marLeft w:val="0"/>
          <w:marRight w:val="0"/>
          <w:marTop w:val="0"/>
          <w:marBottom w:val="0"/>
          <w:divBdr>
            <w:top w:val="none" w:sz="0" w:space="0" w:color="auto"/>
            <w:left w:val="none" w:sz="0" w:space="0" w:color="auto"/>
            <w:bottom w:val="none" w:sz="0" w:space="0" w:color="auto"/>
            <w:right w:val="none" w:sz="0" w:space="0" w:color="auto"/>
          </w:divBdr>
          <w:divsChild>
            <w:div w:id="3478538">
              <w:marLeft w:val="0"/>
              <w:marRight w:val="0"/>
              <w:marTop w:val="0"/>
              <w:marBottom w:val="0"/>
              <w:divBdr>
                <w:top w:val="none" w:sz="0" w:space="0" w:color="auto"/>
                <w:left w:val="none" w:sz="0" w:space="0" w:color="auto"/>
                <w:bottom w:val="none" w:sz="0" w:space="0" w:color="auto"/>
                <w:right w:val="none" w:sz="0" w:space="0" w:color="auto"/>
              </w:divBdr>
            </w:div>
            <w:div w:id="1173103103">
              <w:marLeft w:val="0"/>
              <w:marRight w:val="0"/>
              <w:marTop w:val="0"/>
              <w:marBottom w:val="0"/>
              <w:divBdr>
                <w:top w:val="none" w:sz="0" w:space="0" w:color="auto"/>
                <w:left w:val="none" w:sz="0" w:space="0" w:color="auto"/>
                <w:bottom w:val="none" w:sz="0" w:space="0" w:color="auto"/>
                <w:right w:val="none" w:sz="0" w:space="0" w:color="auto"/>
              </w:divBdr>
            </w:div>
            <w:div w:id="1425685732">
              <w:marLeft w:val="0"/>
              <w:marRight w:val="0"/>
              <w:marTop w:val="0"/>
              <w:marBottom w:val="0"/>
              <w:divBdr>
                <w:top w:val="none" w:sz="0" w:space="0" w:color="auto"/>
                <w:left w:val="none" w:sz="0" w:space="0" w:color="auto"/>
                <w:bottom w:val="none" w:sz="0" w:space="0" w:color="auto"/>
                <w:right w:val="none" w:sz="0" w:space="0" w:color="auto"/>
              </w:divBdr>
            </w:div>
            <w:div w:id="16022994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14018986">
      <w:bodyDiv w:val="1"/>
      <w:marLeft w:val="0"/>
      <w:marRight w:val="0"/>
      <w:marTop w:val="0"/>
      <w:marBottom w:val="0"/>
      <w:divBdr>
        <w:top w:val="none" w:sz="0" w:space="0" w:color="auto"/>
        <w:left w:val="none" w:sz="0" w:space="0" w:color="auto"/>
        <w:bottom w:val="none" w:sz="0" w:space="0" w:color="auto"/>
        <w:right w:val="none" w:sz="0" w:space="0" w:color="auto"/>
      </w:divBdr>
      <w:divsChild>
        <w:div w:id="1172254754">
          <w:marLeft w:val="0"/>
          <w:marRight w:val="0"/>
          <w:marTop w:val="0"/>
          <w:marBottom w:val="0"/>
          <w:divBdr>
            <w:top w:val="none" w:sz="0" w:space="0" w:color="auto"/>
            <w:left w:val="none" w:sz="0" w:space="0" w:color="auto"/>
            <w:bottom w:val="none" w:sz="0" w:space="0" w:color="auto"/>
            <w:right w:val="none" w:sz="0" w:space="0" w:color="auto"/>
          </w:divBdr>
          <w:divsChild>
            <w:div w:id="38749367">
              <w:marLeft w:val="0"/>
              <w:marRight w:val="0"/>
              <w:marTop w:val="0"/>
              <w:marBottom w:val="0"/>
              <w:divBdr>
                <w:top w:val="none" w:sz="0" w:space="0" w:color="auto"/>
                <w:left w:val="none" w:sz="0" w:space="0" w:color="auto"/>
                <w:bottom w:val="none" w:sz="0" w:space="0" w:color="auto"/>
                <w:right w:val="none" w:sz="0" w:space="0" w:color="auto"/>
              </w:divBdr>
            </w:div>
            <w:div w:id="8818705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14606594">
      <w:bodyDiv w:val="1"/>
      <w:marLeft w:val="0"/>
      <w:marRight w:val="0"/>
      <w:marTop w:val="0"/>
      <w:marBottom w:val="0"/>
      <w:divBdr>
        <w:top w:val="none" w:sz="0" w:space="0" w:color="auto"/>
        <w:left w:val="none" w:sz="0" w:space="0" w:color="auto"/>
        <w:bottom w:val="none" w:sz="0" w:space="0" w:color="auto"/>
        <w:right w:val="none" w:sz="0" w:space="0" w:color="auto"/>
      </w:divBdr>
    </w:div>
    <w:div w:id="615864989">
      <w:bodyDiv w:val="1"/>
      <w:marLeft w:val="0"/>
      <w:marRight w:val="0"/>
      <w:marTop w:val="0"/>
      <w:marBottom w:val="0"/>
      <w:divBdr>
        <w:top w:val="none" w:sz="0" w:space="0" w:color="auto"/>
        <w:left w:val="none" w:sz="0" w:space="0" w:color="auto"/>
        <w:bottom w:val="none" w:sz="0" w:space="0" w:color="auto"/>
        <w:right w:val="none" w:sz="0" w:space="0" w:color="auto"/>
      </w:divBdr>
    </w:div>
    <w:div w:id="616831332">
      <w:bodyDiv w:val="1"/>
      <w:marLeft w:val="0"/>
      <w:marRight w:val="0"/>
      <w:marTop w:val="0"/>
      <w:marBottom w:val="0"/>
      <w:divBdr>
        <w:top w:val="none" w:sz="0" w:space="0" w:color="auto"/>
        <w:left w:val="none" w:sz="0" w:space="0" w:color="auto"/>
        <w:bottom w:val="none" w:sz="0" w:space="0" w:color="auto"/>
        <w:right w:val="none" w:sz="0" w:space="0" w:color="auto"/>
      </w:divBdr>
    </w:div>
    <w:div w:id="617177292">
      <w:bodyDiv w:val="1"/>
      <w:marLeft w:val="0"/>
      <w:marRight w:val="0"/>
      <w:marTop w:val="0"/>
      <w:marBottom w:val="0"/>
      <w:divBdr>
        <w:top w:val="none" w:sz="0" w:space="0" w:color="auto"/>
        <w:left w:val="none" w:sz="0" w:space="0" w:color="auto"/>
        <w:bottom w:val="none" w:sz="0" w:space="0" w:color="auto"/>
        <w:right w:val="none" w:sz="0" w:space="0" w:color="auto"/>
      </w:divBdr>
    </w:div>
    <w:div w:id="617179089">
      <w:bodyDiv w:val="1"/>
      <w:marLeft w:val="0"/>
      <w:marRight w:val="0"/>
      <w:marTop w:val="0"/>
      <w:marBottom w:val="0"/>
      <w:divBdr>
        <w:top w:val="none" w:sz="0" w:space="0" w:color="auto"/>
        <w:left w:val="none" w:sz="0" w:space="0" w:color="auto"/>
        <w:bottom w:val="none" w:sz="0" w:space="0" w:color="auto"/>
        <w:right w:val="none" w:sz="0" w:space="0" w:color="auto"/>
      </w:divBdr>
    </w:div>
    <w:div w:id="617445351">
      <w:bodyDiv w:val="1"/>
      <w:marLeft w:val="0"/>
      <w:marRight w:val="0"/>
      <w:marTop w:val="0"/>
      <w:marBottom w:val="0"/>
      <w:divBdr>
        <w:top w:val="none" w:sz="0" w:space="0" w:color="auto"/>
        <w:left w:val="none" w:sz="0" w:space="0" w:color="auto"/>
        <w:bottom w:val="none" w:sz="0" w:space="0" w:color="auto"/>
        <w:right w:val="none" w:sz="0" w:space="0" w:color="auto"/>
      </w:divBdr>
    </w:div>
    <w:div w:id="618688369">
      <w:bodyDiv w:val="1"/>
      <w:marLeft w:val="0"/>
      <w:marRight w:val="0"/>
      <w:marTop w:val="0"/>
      <w:marBottom w:val="0"/>
      <w:divBdr>
        <w:top w:val="none" w:sz="0" w:space="0" w:color="auto"/>
        <w:left w:val="none" w:sz="0" w:space="0" w:color="auto"/>
        <w:bottom w:val="none" w:sz="0" w:space="0" w:color="auto"/>
        <w:right w:val="none" w:sz="0" w:space="0" w:color="auto"/>
      </w:divBdr>
    </w:div>
    <w:div w:id="618993425">
      <w:bodyDiv w:val="1"/>
      <w:marLeft w:val="0"/>
      <w:marRight w:val="0"/>
      <w:marTop w:val="0"/>
      <w:marBottom w:val="0"/>
      <w:divBdr>
        <w:top w:val="none" w:sz="0" w:space="0" w:color="auto"/>
        <w:left w:val="none" w:sz="0" w:space="0" w:color="auto"/>
        <w:bottom w:val="none" w:sz="0" w:space="0" w:color="auto"/>
        <w:right w:val="none" w:sz="0" w:space="0" w:color="auto"/>
      </w:divBdr>
      <w:divsChild>
        <w:div w:id="1878083880">
          <w:marLeft w:val="547"/>
          <w:marRight w:val="0"/>
          <w:marTop w:val="134"/>
          <w:marBottom w:val="0"/>
          <w:divBdr>
            <w:top w:val="none" w:sz="0" w:space="0" w:color="auto"/>
            <w:left w:val="none" w:sz="0" w:space="0" w:color="auto"/>
            <w:bottom w:val="none" w:sz="0" w:space="0" w:color="auto"/>
            <w:right w:val="none" w:sz="0" w:space="0" w:color="auto"/>
          </w:divBdr>
        </w:div>
      </w:divsChild>
    </w:div>
    <w:div w:id="620110273">
      <w:bodyDiv w:val="1"/>
      <w:marLeft w:val="0"/>
      <w:marRight w:val="0"/>
      <w:marTop w:val="0"/>
      <w:marBottom w:val="0"/>
      <w:divBdr>
        <w:top w:val="none" w:sz="0" w:space="0" w:color="auto"/>
        <w:left w:val="none" w:sz="0" w:space="0" w:color="auto"/>
        <w:bottom w:val="none" w:sz="0" w:space="0" w:color="auto"/>
        <w:right w:val="none" w:sz="0" w:space="0" w:color="auto"/>
      </w:divBdr>
    </w:div>
    <w:div w:id="621376459">
      <w:bodyDiv w:val="1"/>
      <w:marLeft w:val="0"/>
      <w:marRight w:val="0"/>
      <w:marTop w:val="0"/>
      <w:marBottom w:val="0"/>
      <w:divBdr>
        <w:top w:val="none" w:sz="0" w:space="0" w:color="auto"/>
        <w:left w:val="none" w:sz="0" w:space="0" w:color="auto"/>
        <w:bottom w:val="none" w:sz="0" w:space="0" w:color="auto"/>
        <w:right w:val="none" w:sz="0" w:space="0" w:color="auto"/>
      </w:divBdr>
    </w:div>
    <w:div w:id="621426272">
      <w:bodyDiv w:val="1"/>
      <w:marLeft w:val="0"/>
      <w:marRight w:val="0"/>
      <w:marTop w:val="0"/>
      <w:marBottom w:val="0"/>
      <w:divBdr>
        <w:top w:val="none" w:sz="0" w:space="0" w:color="auto"/>
        <w:left w:val="none" w:sz="0" w:space="0" w:color="auto"/>
        <w:bottom w:val="none" w:sz="0" w:space="0" w:color="auto"/>
        <w:right w:val="none" w:sz="0" w:space="0" w:color="auto"/>
      </w:divBdr>
    </w:div>
    <w:div w:id="621808935">
      <w:bodyDiv w:val="1"/>
      <w:marLeft w:val="0"/>
      <w:marRight w:val="0"/>
      <w:marTop w:val="0"/>
      <w:marBottom w:val="0"/>
      <w:divBdr>
        <w:top w:val="none" w:sz="0" w:space="0" w:color="auto"/>
        <w:left w:val="none" w:sz="0" w:space="0" w:color="auto"/>
        <w:bottom w:val="none" w:sz="0" w:space="0" w:color="auto"/>
        <w:right w:val="none" w:sz="0" w:space="0" w:color="auto"/>
      </w:divBdr>
    </w:div>
    <w:div w:id="621963566">
      <w:bodyDiv w:val="1"/>
      <w:marLeft w:val="0"/>
      <w:marRight w:val="0"/>
      <w:marTop w:val="0"/>
      <w:marBottom w:val="0"/>
      <w:divBdr>
        <w:top w:val="none" w:sz="0" w:space="0" w:color="auto"/>
        <w:left w:val="none" w:sz="0" w:space="0" w:color="auto"/>
        <w:bottom w:val="none" w:sz="0" w:space="0" w:color="auto"/>
        <w:right w:val="none" w:sz="0" w:space="0" w:color="auto"/>
      </w:divBdr>
    </w:div>
    <w:div w:id="622922309">
      <w:bodyDiv w:val="1"/>
      <w:marLeft w:val="0"/>
      <w:marRight w:val="0"/>
      <w:marTop w:val="0"/>
      <w:marBottom w:val="0"/>
      <w:divBdr>
        <w:top w:val="none" w:sz="0" w:space="0" w:color="auto"/>
        <w:left w:val="none" w:sz="0" w:space="0" w:color="auto"/>
        <w:bottom w:val="none" w:sz="0" w:space="0" w:color="auto"/>
        <w:right w:val="none" w:sz="0" w:space="0" w:color="auto"/>
      </w:divBdr>
      <w:divsChild>
        <w:div w:id="1144660512">
          <w:marLeft w:val="1080"/>
          <w:marRight w:val="0"/>
          <w:marTop w:val="100"/>
          <w:marBottom w:val="0"/>
          <w:divBdr>
            <w:top w:val="none" w:sz="0" w:space="0" w:color="auto"/>
            <w:left w:val="none" w:sz="0" w:space="0" w:color="auto"/>
            <w:bottom w:val="none" w:sz="0" w:space="0" w:color="auto"/>
            <w:right w:val="none" w:sz="0" w:space="0" w:color="auto"/>
          </w:divBdr>
        </w:div>
        <w:div w:id="1162504657">
          <w:marLeft w:val="360"/>
          <w:marRight w:val="0"/>
          <w:marTop w:val="200"/>
          <w:marBottom w:val="0"/>
          <w:divBdr>
            <w:top w:val="none" w:sz="0" w:space="0" w:color="auto"/>
            <w:left w:val="none" w:sz="0" w:space="0" w:color="auto"/>
            <w:bottom w:val="none" w:sz="0" w:space="0" w:color="auto"/>
            <w:right w:val="none" w:sz="0" w:space="0" w:color="auto"/>
          </w:divBdr>
        </w:div>
        <w:div w:id="1638074581">
          <w:marLeft w:val="360"/>
          <w:marRight w:val="0"/>
          <w:marTop w:val="200"/>
          <w:marBottom w:val="0"/>
          <w:divBdr>
            <w:top w:val="none" w:sz="0" w:space="0" w:color="auto"/>
            <w:left w:val="none" w:sz="0" w:space="0" w:color="auto"/>
            <w:bottom w:val="none" w:sz="0" w:space="0" w:color="auto"/>
            <w:right w:val="none" w:sz="0" w:space="0" w:color="auto"/>
          </w:divBdr>
        </w:div>
      </w:divsChild>
    </w:div>
    <w:div w:id="623194441">
      <w:bodyDiv w:val="1"/>
      <w:marLeft w:val="0"/>
      <w:marRight w:val="0"/>
      <w:marTop w:val="0"/>
      <w:marBottom w:val="0"/>
      <w:divBdr>
        <w:top w:val="none" w:sz="0" w:space="0" w:color="auto"/>
        <w:left w:val="none" w:sz="0" w:space="0" w:color="auto"/>
        <w:bottom w:val="none" w:sz="0" w:space="0" w:color="auto"/>
        <w:right w:val="none" w:sz="0" w:space="0" w:color="auto"/>
      </w:divBdr>
    </w:div>
    <w:div w:id="623275231">
      <w:bodyDiv w:val="1"/>
      <w:marLeft w:val="0"/>
      <w:marRight w:val="0"/>
      <w:marTop w:val="0"/>
      <w:marBottom w:val="0"/>
      <w:divBdr>
        <w:top w:val="none" w:sz="0" w:space="0" w:color="auto"/>
        <w:left w:val="none" w:sz="0" w:space="0" w:color="auto"/>
        <w:bottom w:val="none" w:sz="0" w:space="0" w:color="auto"/>
        <w:right w:val="none" w:sz="0" w:space="0" w:color="auto"/>
      </w:divBdr>
    </w:div>
    <w:div w:id="623654083">
      <w:bodyDiv w:val="1"/>
      <w:marLeft w:val="0"/>
      <w:marRight w:val="0"/>
      <w:marTop w:val="0"/>
      <w:marBottom w:val="0"/>
      <w:divBdr>
        <w:top w:val="none" w:sz="0" w:space="0" w:color="auto"/>
        <w:left w:val="none" w:sz="0" w:space="0" w:color="auto"/>
        <w:bottom w:val="none" w:sz="0" w:space="0" w:color="auto"/>
        <w:right w:val="none" w:sz="0" w:space="0" w:color="auto"/>
      </w:divBdr>
    </w:div>
    <w:div w:id="623968925">
      <w:bodyDiv w:val="1"/>
      <w:marLeft w:val="0"/>
      <w:marRight w:val="0"/>
      <w:marTop w:val="0"/>
      <w:marBottom w:val="0"/>
      <w:divBdr>
        <w:top w:val="none" w:sz="0" w:space="0" w:color="auto"/>
        <w:left w:val="none" w:sz="0" w:space="0" w:color="auto"/>
        <w:bottom w:val="none" w:sz="0" w:space="0" w:color="auto"/>
        <w:right w:val="none" w:sz="0" w:space="0" w:color="auto"/>
      </w:divBdr>
      <w:divsChild>
        <w:div w:id="70280488">
          <w:marLeft w:val="1166"/>
          <w:marRight w:val="0"/>
          <w:marTop w:val="115"/>
          <w:marBottom w:val="0"/>
          <w:divBdr>
            <w:top w:val="none" w:sz="0" w:space="0" w:color="auto"/>
            <w:left w:val="none" w:sz="0" w:space="0" w:color="auto"/>
            <w:bottom w:val="none" w:sz="0" w:space="0" w:color="auto"/>
            <w:right w:val="none" w:sz="0" w:space="0" w:color="auto"/>
          </w:divBdr>
        </w:div>
        <w:div w:id="227570114">
          <w:marLeft w:val="547"/>
          <w:marRight w:val="0"/>
          <w:marTop w:val="115"/>
          <w:marBottom w:val="0"/>
          <w:divBdr>
            <w:top w:val="none" w:sz="0" w:space="0" w:color="auto"/>
            <w:left w:val="none" w:sz="0" w:space="0" w:color="auto"/>
            <w:bottom w:val="none" w:sz="0" w:space="0" w:color="auto"/>
            <w:right w:val="none" w:sz="0" w:space="0" w:color="auto"/>
          </w:divBdr>
        </w:div>
        <w:div w:id="476651578">
          <w:marLeft w:val="1800"/>
          <w:marRight w:val="0"/>
          <w:marTop w:val="67"/>
          <w:marBottom w:val="0"/>
          <w:divBdr>
            <w:top w:val="none" w:sz="0" w:space="0" w:color="auto"/>
            <w:left w:val="none" w:sz="0" w:space="0" w:color="auto"/>
            <w:bottom w:val="none" w:sz="0" w:space="0" w:color="auto"/>
            <w:right w:val="none" w:sz="0" w:space="0" w:color="auto"/>
          </w:divBdr>
        </w:div>
        <w:div w:id="559832638">
          <w:marLeft w:val="1166"/>
          <w:marRight w:val="0"/>
          <w:marTop w:val="115"/>
          <w:marBottom w:val="0"/>
          <w:divBdr>
            <w:top w:val="none" w:sz="0" w:space="0" w:color="auto"/>
            <w:left w:val="none" w:sz="0" w:space="0" w:color="auto"/>
            <w:bottom w:val="none" w:sz="0" w:space="0" w:color="auto"/>
            <w:right w:val="none" w:sz="0" w:space="0" w:color="auto"/>
          </w:divBdr>
        </w:div>
        <w:div w:id="601451813">
          <w:marLeft w:val="1166"/>
          <w:marRight w:val="0"/>
          <w:marTop w:val="115"/>
          <w:marBottom w:val="0"/>
          <w:divBdr>
            <w:top w:val="none" w:sz="0" w:space="0" w:color="auto"/>
            <w:left w:val="none" w:sz="0" w:space="0" w:color="auto"/>
            <w:bottom w:val="none" w:sz="0" w:space="0" w:color="auto"/>
            <w:right w:val="none" w:sz="0" w:space="0" w:color="auto"/>
          </w:divBdr>
        </w:div>
        <w:div w:id="934287024">
          <w:marLeft w:val="1166"/>
          <w:marRight w:val="0"/>
          <w:marTop w:val="115"/>
          <w:marBottom w:val="0"/>
          <w:divBdr>
            <w:top w:val="none" w:sz="0" w:space="0" w:color="auto"/>
            <w:left w:val="none" w:sz="0" w:space="0" w:color="auto"/>
            <w:bottom w:val="none" w:sz="0" w:space="0" w:color="auto"/>
            <w:right w:val="none" w:sz="0" w:space="0" w:color="auto"/>
          </w:divBdr>
        </w:div>
        <w:div w:id="1378968747">
          <w:marLeft w:val="1800"/>
          <w:marRight w:val="0"/>
          <w:marTop w:val="67"/>
          <w:marBottom w:val="0"/>
          <w:divBdr>
            <w:top w:val="none" w:sz="0" w:space="0" w:color="auto"/>
            <w:left w:val="none" w:sz="0" w:space="0" w:color="auto"/>
            <w:bottom w:val="none" w:sz="0" w:space="0" w:color="auto"/>
            <w:right w:val="none" w:sz="0" w:space="0" w:color="auto"/>
          </w:divBdr>
        </w:div>
        <w:div w:id="1791902058">
          <w:marLeft w:val="547"/>
          <w:marRight w:val="0"/>
          <w:marTop w:val="115"/>
          <w:marBottom w:val="0"/>
          <w:divBdr>
            <w:top w:val="none" w:sz="0" w:space="0" w:color="auto"/>
            <w:left w:val="none" w:sz="0" w:space="0" w:color="auto"/>
            <w:bottom w:val="none" w:sz="0" w:space="0" w:color="auto"/>
            <w:right w:val="none" w:sz="0" w:space="0" w:color="auto"/>
          </w:divBdr>
        </w:div>
        <w:div w:id="2018462858">
          <w:marLeft w:val="1800"/>
          <w:marRight w:val="0"/>
          <w:marTop w:val="67"/>
          <w:marBottom w:val="0"/>
          <w:divBdr>
            <w:top w:val="none" w:sz="0" w:space="0" w:color="auto"/>
            <w:left w:val="none" w:sz="0" w:space="0" w:color="auto"/>
            <w:bottom w:val="none" w:sz="0" w:space="0" w:color="auto"/>
            <w:right w:val="none" w:sz="0" w:space="0" w:color="auto"/>
          </w:divBdr>
        </w:div>
      </w:divsChild>
    </w:div>
    <w:div w:id="624581675">
      <w:bodyDiv w:val="1"/>
      <w:marLeft w:val="0"/>
      <w:marRight w:val="0"/>
      <w:marTop w:val="0"/>
      <w:marBottom w:val="0"/>
      <w:divBdr>
        <w:top w:val="none" w:sz="0" w:space="0" w:color="auto"/>
        <w:left w:val="none" w:sz="0" w:space="0" w:color="auto"/>
        <w:bottom w:val="none" w:sz="0" w:space="0" w:color="auto"/>
        <w:right w:val="none" w:sz="0" w:space="0" w:color="auto"/>
      </w:divBdr>
    </w:div>
    <w:div w:id="624963733">
      <w:bodyDiv w:val="1"/>
      <w:marLeft w:val="0"/>
      <w:marRight w:val="0"/>
      <w:marTop w:val="0"/>
      <w:marBottom w:val="0"/>
      <w:divBdr>
        <w:top w:val="none" w:sz="0" w:space="0" w:color="auto"/>
        <w:left w:val="none" w:sz="0" w:space="0" w:color="auto"/>
        <w:bottom w:val="none" w:sz="0" w:space="0" w:color="auto"/>
        <w:right w:val="none" w:sz="0" w:space="0" w:color="auto"/>
      </w:divBdr>
    </w:div>
    <w:div w:id="626010605">
      <w:bodyDiv w:val="1"/>
      <w:marLeft w:val="0"/>
      <w:marRight w:val="0"/>
      <w:marTop w:val="0"/>
      <w:marBottom w:val="0"/>
      <w:divBdr>
        <w:top w:val="none" w:sz="0" w:space="0" w:color="auto"/>
        <w:left w:val="none" w:sz="0" w:space="0" w:color="auto"/>
        <w:bottom w:val="none" w:sz="0" w:space="0" w:color="auto"/>
        <w:right w:val="none" w:sz="0" w:space="0" w:color="auto"/>
      </w:divBdr>
    </w:div>
    <w:div w:id="627009617">
      <w:bodyDiv w:val="1"/>
      <w:marLeft w:val="0"/>
      <w:marRight w:val="0"/>
      <w:marTop w:val="0"/>
      <w:marBottom w:val="0"/>
      <w:divBdr>
        <w:top w:val="none" w:sz="0" w:space="0" w:color="auto"/>
        <w:left w:val="none" w:sz="0" w:space="0" w:color="auto"/>
        <w:bottom w:val="none" w:sz="0" w:space="0" w:color="auto"/>
        <w:right w:val="none" w:sz="0" w:space="0" w:color="auto"/>
      </w:divBdr>
      <w:divsChild>
        <w:div w:id="206336799">
          <w:marLeft w:val="547"/>
          <w:marRight w:val="0"/>
          <w:marTop w:val="154"/>
          <w:marBottom w:val="0"/>
          <w:divBdr>
            <w:top w:val="none" w:sz="0" w:space="0" w:color="auto"/>
            <w:left w:val="none" w:sz="0" w:space="0" w:color="auto"/>
            <w:bottom w:val="none" w:sz="0" w:space="0" w:color="auto"/>
            <w:right w:val="none" w:sz="0" w:space="0" w:color="auto"/>
          </w:divBdr>
        </w:div>
      </w:divsChild>
    </w:div>
    <w:div w:id="629240975">
      <w:bodyDiv w:val="1"/>
      <w:marLeft w:val="0"/>
      <w:marRight w:val="0"/>
      <w:marTop w:val="0"/>
      <w:marBottom w:val="0"/>
      <w:divBdr>
        <w:top w:val="none" w:sz="0" w:space="0" w:color="auto"/>
        <w:left w:val="none" w:sz="0" w:space="0" w:color="auto"/>
        <w:bottom w:val="none" w:sz="0" w:space="0" w:color="auto"/>
        <w:right w:val="none" w:sz="0" w:space="0" w:color="auto"/>
      </w:divBdr>
      <w:divsChild>
        <w:div w:id="39478409">
          <w:marLeft w:val="1166"/>
          <w:marRight w:val="0"/>
          <w:marTop w:val="134"/>
          <w:marBottom w:val="0"/>
          <w:divBdr>
            <w:top w:val="none" w:sz="0" w:space="0" w:color="auto"/>
            <w:left w:val="none" w:sz="0" w:space="0" w:color="auto"/>
            <w:bottom w:val="none" w:sz="0" w:space="0" w:color="auto"/>
            <w:right w:val="none" w:sz="0" w:space="0" w:color="auto"/>
          </w:divBdr>
        </w:div>
        <w:div w:id="312149504">
          <w:marLeft w:val="1800"/>
          <w:marRight w:val="0"/>
          <w:marTop w:val="115"/>
          <w:marBottom w:val="0"/>
          <w:divBdr>
            <w:top w:val="none" w:sz="0" w:space="0" w:color="auto"/>
            <w:left w:val="none" w:sz="0" w:space="0" w:color="auto"/>
            <w:bottom w:val="none" w:sz="0" w:space="0" w:color="auto"/>
            <w:right w:val="none" w:sz="0" w:space="0" w:color="auto"/>
          </w:divBdr>
        </w:div>
        <w:div w:id="699286140">
          <w:marLeft w:val="1166"/>
          <w:marRight w:val="0"/>
          <w:marTop w:val="134"/>
          <w:marBottom w:val="0"/>
          <w:divBdr>
            <w:top w:val="none" w:sz="0" w:space="0" w:color="auto"/>
            <w:left w:val="none" w:sz="0" w:space="0" w:color="auto"/>
            <w:bottom w:val="none" w:sz="0" w:space="0" w:color="auto"/>
            <w:right w:val="none" w:sz="0" w:space="0" w:color="auto"/>
          </w:divBdr>
        </w:div>
        <w:div w:id="797190492">
          <w:marLeft w:val="1166"/>
          <w:marRight w:val="0"/>
          <w:marTop w:val="134"/>
          <w:marBottom w:val="0"/>
          <w:divBdr>
            <w:top w:val="none" w:sz="0" w:space="0" w:color="auto"/>
            <w:left w:val="none" w:sz="0" w:space="0" w:color="auto"/>
            <w:bottom w:val="none" w:sz="0" w:space="0" w:color="auto"/>
            <w:right w:val="none" w:sz="0" w:space="0" w:color="auto"/>
          </w:divBdr>
        </w:div>
        <w:div w:id="1179320514">
          <w:marLeft w:val="1166"/>
          <w:marRight w:val="0"/>
          <w:marTop w:val="134"/>
          <w:marBottom w:val="0"/>
          <w:divBdr>
            <w:top w:val="none" w:sz="0" w:space="0" w:color="auto"/>
            <w:left w:val="none" w:sz="0" w:space="0" w:color="auto"/>
            <w:bottom w:val="none" w:sz="0" w:space="0" w:color="auto"/>
            <w:right w:val="none" w:sz="0" w:space="0" w:color="auto"/>
          </w:divBdr>
        </w:div>
        <w:div w:id="1182820206">
          <w:marLeft w:val="547"/>
          <w:marRight w:val="0"/>
          <w:marTop w:val="154"/>
          <w:marBottom w:val="0"/>
          <w:divBdr>
            <w:top w:val="none" w:sz="0" w:space="0" w:color="auto"/>
            <w:left w:val="none" w:sz="0" w:space="0" w:color="auto"/>
            <w:bottom w:val="none" w:sz="0" w:space="0" w:color="auto"/>
            <w:right w:val="none" w:sz="0" w:space="0" w:color="auto"/>
          </w:divBdr>
        </w:div>
      </w:divsChild>
    </w:div>
    <w:div w:id="629434941">
      <w:bodyDiv w:val="1"/>
      <w:marLeft w:val="0"/>
      <w:marRight w:val="0"/>
      <w:marTop w:val="0"/>
      <w:marBottom w:val="0"/>
      <w:divBdr>
        <w:top w:val="none" w:sz="0" w:space="0" w:color="auto"/>
        <w:left w:val="none" w:sz="0" w:space="0" w:color="auto"/>
        <w:bottom w:val="none" w:sz="0" w:space="0" w:color="auto"/>
        <w:right w:val="none" w:sz="0" w:space="0" w:color="auto"/>
      </w:divBdr>
    </w:div>
    <w:div w:id="630326876">
      <w:bodyDiv w:val="1"/>
      <w:marLeft w:val="0"/>
      <w:marRight w:val="0"/>
      <w:marTop w:val="0"/>
      <w:marBottom w:val="0"/>
      <w:divBdr>
        <w:top w:val="none" w:sz="0" w:space="0" w:color="auto"/>
        <w:left w:val="none" w:sz="0" w:space="0" w:color="auto"/>
        <w:bottom w:val="none" w:sz="0" w:space="0" w:color="auto"/>
        <w:right w:val="none" w:sz="0" w:space="0" w:color="auto"/>
      </w:divBdr>
    </w:div>
    <w:div w:id="630522999">
      <w:bodyDiv w:val="1"/>
      <w:marLeft w:val="0"/>
      <w:marRight w:val="0"/>
      <w:marTop w:val="0"/>
      <w:marBottom w:val="0"/>
      <w:divBdr>
        <w:top w:val="none" w:sz="0" w:space="0" w:color="auto"/>
        <w:left w:val="none" w:sz="0" w:space="0" w:color="auto"/>
        <w:bottom w:val="none" w:sz="0" w:space="0" w:color="auto"/>
        <w:right w:val="none" w:sz="0" w:space="0" w:color="auto"/>
      </w:divBdr>
    </w:div>
    <w:div w:id="631863445">
      <w:bodyDiv w:val="1"/>
      <w:marLeft w:val="0"/>
      <w:marRight w:val="0"/>
      <w:marTop w:val="0"/>
      <w:marBottom w:val="0"/>
      <w:divBdr>
        <w:top w:val="none" w:sz="0" w:space="0" w:color="auto"/>
        <w:left w:val="none" w:sz="0" w:space="0" w:color="auto"/>
        <w:bottom w:val="none" w:sz="0" w:space="0" w:color="auto"/>
        <w:right w:val="none" w:sz="0" w:space="0" w:color="auto"/>
      </w:divBdr>
      <w:divsChild>
        <w:div w:id="93523859">
          <w:marLeft w:val="547"/>
          <w:marRight w:val="0"/>
          <w:marTop w:val="115"/>
          <w:marBottom w:val="0"/>
          <w:divBdr>
            <w:top w:val="none" w:sz="0" w:space="0" w:color="auto"/>
            <w:left w:val="none" w:sz="0" w:space="0" w:color="auto"/>
            <w:bottom w:val="none" w:sz="0" w:space="0" w:color="auto"/>
            <w:right w:val="none" w:sz="0" w:space="0" w:color="auto"/>
          </w:divBdr>
        </w:div>
        <w:div w:id="556665197">
          <w:marLeft w:val="547"/>
          <w:marRight w:val="0"/>
          <w:marTop w:val="115"/>
          <w:marBottom w:val="0"/>
          <w:divBdr>
            <w:top w:val="none" w:sz="0" w:space="0" w:color="auto"/>
            <w:left w:val="none" w:sz="0" w:space="0" w:color="auto"/>
            <w:bottom w:val="none" w:sz="0" w:space="0" w:color="auto"/>
            <w:right w:val="none" w:sz="0" w:space="0" w:color="auto"/>
          </w:divBdr>
        </w:div>
        <w:div w:id="647125820">
          <w:marLeft w:val="1166"/>
          <w:marRight w:val="0"/>
          <w:marTop w:val="86"/>
          <w:marBottom w:val="0"/>
          <w:divBdr>
            <w:top w:val="none" w:sz="0" w:space="0" w:color="auto"/>
            <w:left w:val="none" w:sz="0" w:space="0" w:color="auto"/>
            <w:bottom w:val="none" w:sz="0" w:space="0" w:color="auto"/>
            <w:right w:val="none" w:sz="0" w:space="0" w:color="auto"/>
          </w:divBdr>
        </w:div>
        <w:div w:id="960234420">
          <w:marLeft w:val="1166"/>
          <w:marRight w:val="0"/>
          <w:marTop w:val="86"/>
          <w:marBottom w:val="0"/>
          <w:divBdr>
            <w:top w:val="none" w:sz="0" w:space="0" w:color="auto"/>
            <w:left w:val="none" w:sz="0" w:space="0" w:color="auto"/>
            <w:bottom w:val="none" w:sz="0" w:space="0" w:color="auto"/>
            <w:right w:val="none" w:sz="0" w:space="0" w:color="auto"/>
          </w:divBdr>
        </w:div>
        <w:div w:id="1031879168">
          <w:marLeft w:val="547"/>
          <w:marRight w:val="0"/>
          <w:marTop w:val="115"/>
          <w:marBottom w:val="0"/>
          <w:divBdr>
            <w:top w:val="none" w:sz="0" w:space="0" w:color="auto"/>
            <w:left w:val="none" w:sz="0" w:space="0" w:color="auto"/>
            <w:bottom w:val="none" w:sz="0" w:space="0" w:color="auto"/>
            <w:right w:val="none" w:sz="0" w:space="0" w:color="auto"/>
          </w:divBdr>
        </w:div>
        <w:div w:id="1033923497">
          <w:marLeft w:val="547"/>
          <w:marRight w:val="0"/>
          <w:marTop w:val="115"/>
          <w:marBottom w:val="0"/>
          <w:divBdr>
            <w:top w:val="none" w:sz="0" w:space="0" w:color="auto"/>
            <w:left w:val="none" w:sz="0" w:space="0" w:color="auto"/>
            <w:bottom w:val="none" w:sz="0" w:space="0" w:color="auto"/>
            <w:right w:val="none" w:sz="0" w:space="0" w:color="auto"/>
          </w:divBdr>
        </w:div>
        <w:div w:id="1046641769">
          <w:marLeft w:val="1166"/>
          <w:marRight w:val="0"/>
          <w:marTop w:val="86"/>
          <w:marBottom w:val="0"/>
          <w:divBdr>
            <w:top w:val="none" w:sz="0" w:space="0" w:color="auto"/>
            <w:left w:val="none" w:sz="0" w:space="0" w:color="auto"/>
            <w:bottom w:val="none" w:sz="0" w:space="0" w:color="auto"/>
            <w:right w:val="none" w:sz="0" w:space="0" w:color="auto"/>
          </w:divBdr>
        </w:div>
        <w:div w:id="1247955218">
          <w:marLeft w:val="547"/>
          <w:marRight w:val="0"/>
          <w:marTop w:val="115"/>
          <w:marBottom w:val="0"/>
          <w:divBdr>
            <w:top w:val="none" w:sz="0" w:space="0" w:color="auto"/>
            <w:left w:val="none" w:sz="0" w:space="0" w:color="auto"/>
            <w:bottom w:val="none" w:sz="0" w:space="0" w:color="auto"/>
            <w:right w:val="none" w:sz="0" w:space="0" w:color="auto"/>
          </w:divBdr>
        </w:div>
        <w:div w:id="1601523447">
          <w:marLeft w:val="1166"/>
          <w:marRight w:val="0"/>
          <w:marTop w:val="86"/>
          <w:marBottom w:val="0"/>
          <w:divBdr>
            <w:top w:val="none" w:sz="0" w:space="0" w:color="auto"/>
            <w:left w:val="none" w:sz="0" w:space="0" w:color="auto"/>
            <w:bottom w:val="none" w:sz="0" w:space="0" w:color="auto"/>
            <w:right w:val="none" w:sz="0" w:space="0" w:color="auto"/>
          </w:divBdr>
        </w:div>
        <w:div w:id="2062166092">
          <w:marLeft w:val="1800"/>
          <w:marRight w:val="0"/>
          <w:marTop w:val="67"/>
          <w:marBottom w:val="0"/>
          <w:divBdr>
            <w:top w:val="none" w:sz="0" w:space="0" w:color="auto"/>
            <w:left w:val="none" w:sz="0" w:space="0" w:color="auto"/>
            <w:bottom w:val="none" w:sz="0" w:space="0" w:color="auto"/>
            <w:right w:val="none" w:sz="0" w:space="0" w:color="auto"/>
          </w:divBdr>
        </w:div>
      </w:divsChild>
    </w:div>
    <w:div w:id="632055596">
      <w:bodyDiv w:val="1"/>
      <w:marLeft w:val="0"/>
      <w:marRight w:val="0"/>
      <w:marTop w:val="0"/>
      <w:marBottom w:val="0"/>
      <w:divBdr>
        <w:top w:val="none" w:sz="0" w:space="0" w:color="auto"/>
        <w:left w:val="none" w:sz="0" w:space="0" w:color="auto"/>
        <w:bottom w:val="none" w:sz="0" w:space="0" w:color="auto"/>
        <w:right w:val="none" w:sz="0" w:space="0" w:color="auto"/>
      </w:divBdr>
      <w:divsChild>
        <w:div w:id="255481847">
          <w:marLeft w:val="1800"/>
          <w:marRight w:val="0"/>
          <w:marTop w:val="96"/>
          <w:marBottom w:val="0"/>
          <w:divBdr>
            <w:top w:val="none" w:sz="0" w:space="0" w:color="auto"/>
            <w:left w:val="none" w:sz="0" w:space="0" w:color="auto"/>
            <w:bottom w:val="none" w:sz="0" w:space="0" w:color="auto"/>
            <w:right w:val="none" w:sz="0" w:space="0" w:color="auto"/>
          </w:divBdr>
        </w:div>
        <w:div w:id="340209333">
          <w:marLeft w:val="1800"/>
          <w:marRight w:val="0"/>
          <w:marTop w:val="96"/>
          <w:marBottom w:val="0"/>
          <w:divBdr>
            <w:top w:val="none" w:sz="0" w:space="0" w:color="auto"/>
            <w:left w:val="none" w:sz="0" w:space="0" w:color="auto"/>
            <w:bottom w:val="none" w:sz="0" w:space="0" w:color="auto"/>
            <w:right w:val="none" w:sz="0" w:space="0" w:color="auto"/>
          </w:divBdr>
        </w:div>
        <w:div w:id="460618190">
          <w:marLeft w:val="547"/>
          <w:marRight w:val="0"/>
          <w:marTop w:val="134"/>
          <w:marBottom w:val="0"/>
          <w:divBdr>
            <w:top w:val="none" w:sz="0" w:space="0" w:color="auto"/>
            <w:left w:val="none" w:sz="0" w:space="0" w:color="auto"/>
            <w:bottom w:val="none" w:sz="0" w:space="0" w:color="auto"/>
            <w:right w:val="none" w:sz="0" w:space="0" w:color="auto"/>
          </w:divBdr>
        </w:div>
        <w:div w:id="674528413">
          <w:marLeft w:val="1166"/>
          <w:marRight w:val="0"/>
          <w:marTop w:val="115"/>
          <w:marBottom w:val="0"/>
          <w:divBdr>
            <w:top w:val="none" w:sz="0" w:space="0" w:color="auto"/>
            <w:left w:val="none" w:sz="0" w:space="0" w:color="auto"/>
            <w:bottom w:val="none" w:sz="0" w:space="0" w:color="auto"/>
            <w:right w:val="none" w:sz="0" w:space="0" w:color="auto"/>
          </w:divBdr>
        </w:div>
        <w:div w:id="722632090">
          <w:marLeft w:val="1166"/>
          <w:marRight w:val="0"/>
          <w:marTop w:val="115"/>
          <w:marBottom w:val="0"/>
          <w:divBdr>
            <w:top w:val="none" w:sz="0" w:space="0" w:color="auto"/>
            <w:left w:val="none" w:sz="0" w:space="0" w:color="auto"/>
            <w:bottom w:val="none" w:sz="0" w:space="0" w:color="auto"/>
            <w:right w:val="none" w:sz="0" w:space="0" w:color="auto"/>
          </w:divBdr>
        </w:div>
        <w:div w:id="1063912776">
          <w:marLeft w:val="1800"/>
          <w:marRight w:val="0"/>
          <w:marTop w:val="96"/>
          <w:marBottom w:val="0"/>
          <w:divBdr>
            <w:top w:val="none" w:sz="0" w:space="0" w:color="auto"/>
            <w:left w:val="none" w:sz="0" w:space="0" w:color="auto"/>
            <w:bottom w:val="none" w:sz="0" w:space="0" w:color="auto"/>
            <w:right w:val="none" w:sz="0" w:space="0" w:color="auto"/>
          </w:divBdr>
        </w:div>
        <w:div w:id="1903905409">
          <w:marLeft w:val="1166"/>
          <w:marRight w:val="0"/>
          <w:marTop w:val="115"/>
          <w:marBottom w:val="0"/>
          <w:divBdr>
            <w:top w:val="none" w:sz="0" w:space="0" w:color="auto"/>
            <w:left w:val="none" w:sz="0" w:space="0" w:color="auto"/>
            <w:bottom w:val="none" w:sz="0" w:space="0" w:color="auto"/>
            <w:right w:val="none" w:sz="0" w:space="0" w:color="auto"/>
          </w:divBdr>
        </w:div>
      </w:divsChild>
    </w:div>
    <w:div w:id="632180234">
      <w:bodyDiv w:val="1"/>
      <w:marLeft w:val="0"/>
      <w:marRight w:val="0"/>
      <w:marTop w:val="0"/>
      <w:marBottom w:val="0"/>
      <w:divBdr>
        <w:top w:val="none" w:sz="0" w:space="0" w:color="auto"/>
        <w:left w:val="none" w:sz="0" w:space="0" w:color="auto"/>
        <w:bottom w:val="none" w:sz="0" w:space="0" w:color="auto"/>
        <w:right w:val="none" w:sz="0" w:space="0" w:color="auto"/>
      </w:divBdr>
    </w:div>
    <w:div w:id="633558649">
      <w:bodyDiv w:val="1"/>
      <w:marLeft w:val="0"/>
      <w:marRight w:val="0"/>
      <w:marTop w:val="0"/>
      <w:marBottom w:val="0"/>
      <w:divBdr>
        <w:top w:val="none" w:sz="0" w:space="0" w:color="auto"/>
        <w:left w:val="none" w:sz="0" w:space="0" w:color="auto"/>
        <w:bottom w:val="none" w:sz="0" w:space="0" w:color="auto"/>
        <w:right w:val="none" w:sz="0" w:space="0" w:color="auto"/>
      </w:divBdr>
    </w:div>
    <w:div w:id="633947327">
      <w:bodyDiv w:val="1"/>
      <w:marLeft w:val="0"/>
      <w:marRight w:val="0"/>
      <w:marTop w:val="0"/>
      <w:marBottom w:val="0"/>
      <w:divBdr>
        <w:top w:val="none" w:sz="0" w:space="0" w:color="auto"/>
        <w:left w:val="none" w:sz="0" w:space="0" w:color="auto"/>
        <w:bottom w:val="none" w:sz="0" w:space="0" w:color="auto"/>
        <w:right w:val="none" w:sz="0" w:space="0" w:color="auto"/>
      </w:divBdr>
    </w:div>
    <w:div w:id="633951095">
      <w:bodyDiv w:val="1"/>
      <w:marLeft w:val="0"/>
      <w:marRight w:val="0"/>
      <w:marTop w:val="0"/>
      <w:marBottom w:val="0"/>
      <w:divBdr>
        <w:top w:val="none" w:sz="0" w:space="0" w:color="auto"/>
        <w:left w:val="none" w:sz="0" w:space="0" w:color="auto"/>
        <w:bottom w:val="none" w:sz="0" w:space="0" w:color="auto"/>
        <w:right w:val="none" w:sz="0" w:space="0" w:color="auto"/>
      </w:divBdr>
    </w:div>
    <w:div w:id="634332344">
      <w:bodyDiv w:val="1"/>
      <w:marLeft w:val="0"/>
      <w:marRight w:val="0"/>
      <w:marTop w:val="0"/>
      <w:marBottom w:val="0"/>
      <w:divBdr>
        <w:top w:val="none" w:sz="0" w:space="0" w:color="auto"/>
        <w:left w:val="none" w:sz="0" w:space="0" w:color="auto"/>
        <w:bottom w:val="none" w:sz="0" w:space="0" w:color="auto"/>
        <w:right w:val="none" w:sz="0" w:space="0" w:color="auto"/>
      </w:divBdr>
    </w:div>
    <w:div w:id="634914219">
      <w:bodyDiv w:val="1"/>
      <w:marLeft w:val="0"/>
      <w:marRight w:val="0"/>
      <w:marTop w:val="0"/>
      <w:marBottom w:val="0"/>
      <w:divBdr>
        <w:top w:val="none" w:sz="0" w:space="0" w:color="auto"/>
        <w:left w:val="none" w:sz="0" w:space="0" w:color="auto"/>
        <w:bottom w:val="none" w:sz="0" w:space="0" w:color="auto"/>
        <w:right w:val="none" w:sz="0" w:space="0" w:color="auto"/>
      </w:divBdr>
    </w:div>
    <w:div w:id="635064951">
      <w:bodyDiv w:val="1"/>
      <w:marLeft w:val="0"/>
      <w:marRight w:val="0"/>
      <w:marTop w:val="0"/>
      <w:marBottom w:val="0"/>
      <w:divBdr>
        <w:top w:val="none" w:sz="0" w:space="0" w:color="auto"/>
        <w:left w:val="none" w:sz="0" w:space="0" w:color="auto"/>
        <w:bottom w:val="none" w:sz="0" w:space="0" w:color="auto"/>
        <w:right w:val="none" w:sz="0" w:space="0" w:color="auto"/>
      </w:divBdr>
    </w:div>
    <w:div w:id="636033624">
      <w:bodyDiv w:val="1"/>
      <w:marLeft w:val="0"/>
      <w:marRight w:val="0"/>
      <w:marTop w:val="0"/>
      <w:marBottom w:val="0"/>
      <w:divBdr>
        <w:top w:val="none" w:sz="0" w:space="0" w:color="auto"/>
        <w:left w:val="none" w:sz="0" w:space="0" w:color="auto"/>
        <w:bottom w:val="none" w:sz="0" w:space="0" w:color="auto"/>
        <w:right w:val="none" w:sz="0" w:space="0" w:color="auto"/>
      </w:divBdr>
    </w:div>
    <w:div w:id="636297886">
      <w:bodyDiv w:val="1"/>
      <w:marLeft w:val="0"/>
      <w:marRight w:val="0"/>
      <w:marTop w:val="0"/>
      <w:marBottom w:val="0"/>
      <w:divBdr>
        <w:top w:val="none" w:sz="0" w:space="0" w:color="auto"/>
        <w:left w:val="none" w:sz="0" w:space="0" w:color="auto"/>
        <w:bottom w:val="none" w:sz="0" w:space="0" w:color="auto"/>
        <w:right w:val="none" w:sz="0" w:space="0" w:color="auto"/>
      </w:divBdr>
    </w:div>
    <w:div w:id="637076162">
      <w:bodyDiv w:val="1"/>
      <w:marLeft w:val="0"/>
      <w:marRight w:val="0"/>
      <w:marTop w:val="0"/>
      <w:marBottom w:val="0"/>
      <w:divBdr>
        <w:top w:val="none" w:sz="0" w:space="0" w:color="auto"/>
        <w:left w:val="none" w:sz="0" w:space="0" w:color="auto"/>
        <w:bottom w:val="none" w:sz="0" w:space="0" w:color="auto"/>
        <w:right w:val="none" w:sz="0" w:space="0" w:color="auto"/>
      </w:divBdr>
    </w:div>
    <w:div w:id="637227263">
      <w:bodyDiv w:val="1"/>
      <w:marLeft w:val="0"/>
      <w:marRight w:val="0"/>
      <w:marTop w:val="0"/>
      <w:marBottom w:val="0"/>
      <w:divBdr>
        <w:top w:val="none" w:sz="0" w:space="0" w:color="auto"/>
        <w:left w:val="none" w:sz="0" w:space="0" w:color="auto"/>
        <w:bottom w:val="none" w:sz="0" w:space="0" w:color="auto"/>
        <w:right w:val="none" w:sz="0" w:space="0" w:color="auto"/>
      </w:divBdr>
    </w:div>
    <w:div w:id="639115516">
      <w:bodyDiv w:val="1"/>
      <w:marLeft w:val="0"/>
      <w:marRight w:val="0"/>
      <w:marTop w:val="0"/>
      <w:marBottom w:val="0"/>
      <w:divBdr>
        <w:top w:val="none" w:sz="0" w:space="0" w:color="auto"/>
        <w:left w:val="none" w:sz="0" w:space="0" w:color="auto"/>
        <w:bottom w:val="none" w:sz="0" w:space="0" w:color="auto"/>
        <w:right w:val="none" w:sz="0" w:space="0" w:color="auto"/>
      </w:divBdr>
    </w:div>
    <w:div w:id="639455155">
      <w:bodyDiv w:val="1"/>
      <w:marLeft w:val="0"/>
      <w:marRight w:val="0"/>
      <w:marTop w:val="0"/>
      <w:marBottom w:val="0"/>
      <w:divBdr>
        <w:top w:val="none" w:sz="0" w:space="0" w:color="auto"/>
        <w:left w:val="none" w:sz="0" w:space="0" w:color="auto"/>
        <w:bottom w:val="none" w:sz="0" w:space="0" w:color="auto"/>
        <w:right w:val="none" w:sz="0" w:space="0" w:color="auto"/>
      </w:divBdr>
      <w:divsChild>
        <w:div w:id="368914477">
          <w:marLeft w:val="1166"/>
          <w:marRight w:val="0"/>
          <w:marTop w:val="115"/>
          <w:marBottom w:val="0"/>
          <w:divBdr>
            <w:top w:val="none" w:sz="0" w:space="0" w:color="auto"/>
            <w:left w:val="none" w:sz="0" w:space="0" w:color="auto"/>
            <w:bottom w:val="none" w:sz="0" w:space="0" w:color="auto"/>
            <w:right w:val="none" w:sz="0" w:space="0" w:color="auto"/>
          </w:divBdr>
        </w:div>
        <w:div w:id="745884438">
          <w:marLeft w:val="1166"/>
          <w:marRight w:val="0"/>
          <w:marTop w:val="115"/>
          <w:marBottom w:val="0"/>
          <w:divBdr>
            <w:top w:val="none" w:sz="0" w:space="0" w:color="auto"/>
            <w:left w:val="none" w:sz="0" w:space="0" w:color="auto"/>
            <w:bottom w:val="none" w:sz="0" w:space="0" w:color="auto"/>
            <w:right w:val="none" w:sz="0" w:space="0" w:color="auto"/>
          </w:divBdr>
        </w:div>
        <w:div w:id="1384333185">
          <w:marLeft w:val="1166"/>
          <w:marRight w:val="0"/>
          <w:marTop w:val="115"/>
          <w:marBottom w:val="0"/>
          <w:divBdr>
            <w:top w:val="none" w:sz="0" w:space="0" w:color="auto"/>
            <w:left w:val="none" w:sz="0" w:space="0" w:color="auto"/>
            <w:bottom w:val="none" w:sz="0" w:space="0" w:color="auto"/>
            <w:right w:val="none" w:sz="0" w:space="0" w:color="auto"/>
          </w:divBdr>
        </w:div>
        <w:div w:id="1904366325">
          <w:marLeft w:val="547"/>
          <w:marRight w:val="0"/>
          <w:marTop w:val="115"/>
          <w:marBottom w:val="0"/>
          <w:divBdr>
            <w:top w:val="none" w:sz="0" w:space="0" w:color="auto"/>
            <w:left w:val="none" w:sz="0" w:space="0" w:color="auto"/>
            <w:bottom w:val="none" w:sz="0" w:space="0" w:color="auto"/>
            <w:right w:val="none" w:sz="0" w:space="0" w:color="auto"/>
          </w:divBdr>
        </w:div>
      </w:divsChild>
    </w:div>
    <w:div w:id="640773779">
      <w:bodyDiv w:val="1"/>
      <w:marLeft w:val="0"/>
      <w:marRight w:val="0"/>
      <w:marTop w:val="0"/>
      <w:marBottom w:val="0"/>
      <w:divBdr>
        <w:top w:val="none" w:sz="0" w:space="0" w:color="auto"/>
        <w:left w:val="none" w:sz="0" w:space="0" w:color="auto"/>
        <w:bottom w:val="none" w:sz="0" w:space="0" w:color="auto"/>
        <w:right w:val="none" w:sz="0" w:space="0" w:color="auto"/>
      </w:divBdr>
    </w:div>
    <w:div w:id="641423550">
      <w:bodyDiv w:val="1"/>
      <w:marLeft w:val="0"/>
      <w:marRight w:val="0"/>
      <w:marTop w:val="0"/>
      <w:marBottom w:val="0"/>
      <w:divBdr>
        <w:top w:val="none" w:sz="0" w:space="0" w:color="auto"/>
        <w:left w:val="none" w:sz="0" w:space="0" w:color="auto"/>
        <w:bottom w:val="none" w:sz="0" w:space="0" w:color="auto"/>
        <w:right w:val="none" w:sz="0" w:space="0" w:color="auto"/>
      </w:divBdr>
    </w:div>
    <w:div w:id="642854006">
      <w:bodyDiv w:val="1"/>
      <w:marLeft w:val="0"/>
      <w:marRight w:val="0"/>
      <w:marTop w:val="0"/>
      <w:marBottom w:val="0"/>
      <w:divBdr>
        <w:top w:val="none" w:sz="0" w:space="0" w:color="auto"/>
        <w:left w:val="none" w:sz="0" w:space="0" w:color="auto"/>
        <w:bottom w:val="none" w:sz="0" w:space="0" w:color="auto"/>
        <w:right w:val="none" w:sz="0" w:space="0" w:color="auto"/>
      </w:divBdr>
      <w:divsChild>
        <w:div w:id="474487456">
          <w:marLeft w:val="1166"/>
          <w:marRight w:val="0"/>
          <w:marTop w:val="96"/>
          <w:marBottom w:val="0"/>
          <w:divBdr>
            <w:top w:val="none" w:sz="0" w:space="0" w:color="auto"/>
            <w:left w:val="none" w:sz="0" w:space="0" w:color="auto"/>
            <w:bottom w:val="none" w:sz="0" w:space="0" w:color="auto"/>
            <w:right w:val="none" w:sz="0" w:space="0" w:color="auto"/>
          </w:divBdr>
        </w:div>
        <w:div w:id="590817129">
          <w:marLeft w:val="1166"/>
          <w:marRight w:val="0"/>
          <w:marTop w:val="96"/>
          <w:marBottom w:val="0"/>
          <w:divBdr>
            <w:top w:val="none" w:sz="0" w:space="0" w:color="auto"/>
            <w:left w:val="none" w:sz="0" w:space="0" w:color="auto"/>
            <w:bottom w:val="none" w:sz="0" w:space="0" w:color="auto"/>
            <w:right w:val="none" w:sz="0" w:space="0" w:color="auto"/>
          </w:divBdr>
        </w:div>
        <w:div w:id="733704689">
          <w:marLeft w:val="1166"/>
          <w:marRight w:val="0"/>
          <w:marTop w:val="96"/>
          <w:marBottom w:val="0"/>
          <w:divBdr>
            <w:top w:val="none" w:sz="0" w:space="0" w:color="auto"/>
            <w:left w:val="none" w:sz="0" w:space="0" w:color="auto"/>
            <w:bottom w:val="none" w:sz="0" w:space="0" w:color="auto"/>
            <w:right w:val="none" w:sz="0" w:space="0" w:color="auto"/>
          </w:divBdr>
        </w:div>
        <w:div w:id="909466941">
          <w:marLeft w:val="1800"/>
          <w:marRight w:val="0"/>
          <w:marTop w:val="77"/>
          <w:marBottom w:val="0"/>
          <w:divBdr>
            <w:top w:val="none" w:sz="0" w:space="0" w:color="auto"/>
            <w:left w:val="none" w:sz="0" w:space="0" w:color="auto"/>
            <w:bottom w:val="none" w:sz="0" w:space="0" w:color="auto"/>
            <w:right w:val="none" w:sz="0" w:space="0" w:color="auto"/>
          </w:divBdr>
        </w:div>
        <w:div w:id="993990413">
          <w:marLeft w:val="1800"/>
          <w:marRight w:val="0"/>
          <w:marTop w:val="77"/>
          <w:marBottom w:val="0"/>
          <w:divBdr>
            <w:top w:val="none" w:sz="0" w:space="0" w:color="auto"/>
            <w:left w:val="none" w:sz="0" w:space="0" w:color="auto"/>
            <w:bottom w:val="none" w:sz="0" w:space="0" w:color="auto"/>
            <w:right w:val="none" w:sz="0" w:space="0" w:color="auto"/>
          </w:divBdr>
        </w:div>
        <w:div w:id="1002776257">
          <w:marLeft w:val="2520"/>
          <w:marRight w:val="0"/>
          <w:marTop w:val="77"/>
          <w:marBottom w:val="0"/>
          <w:divBdr>
            <w:top w:val="none" w:sz="0" w:space="0" w:color="auto"/>
            <w:left w:val="none" w:sz="0" w:space="0" w:color="auto"/>
            <w:bottom w:val="none" w:sz="0" w:space="0" w:color="auto"/>
            <w:right w:val="none" w:sz="0" w:space="0" w:color="auto"/>
          </w:divBdr>
        </w:div>
        <w:div w:id="1129125921">
          <w:marLeft w:val="1800"/>
          <w:marRight w:val="0"/>
          <w:marTop w:val="96"/>
          <w:marBottom w:val="0"/>
          <w:divBdr>
            <w:top w:val="none" w:sz="0" w:space="0" w:color="auto"/>
            <w:left w:val="none" w:sz="0" w:space="0" w:color="auto"/>
            <w:bottom w:val="none" w:sz="0" w:space="0" w:color="auto"/>
            <w:right w:val="none" w:sz="0" w:space="0" w:color="auto"/>
          </w:divBdr>
        </w:div>
        <w:div w:id="1372725384">
          <w:marLeft w:val="547"/>
          <w:marRight w:val="0"/>
          <w:marTop w:val="115"/>
          <w:marBottom w:val="0"/>
          <w:divBdr>
            <w:top w:val="none" w:sz="0" w:space="0" w:color="auto"/>
            <w:left w:val="none" w:sz="0" w:space="0" w:color="auto"/>
            <w:bottom w:val="none" w:sz="0" w:space="0" w:color="auto"/>
            <w:right w:val="none" w:sz="0" w:space="0" w:color="auto"/>
          </w:divBdr>
        </w:div>
        <w:div w:id="1664627453">
          <w:marLeft w:val="2520"/>
          <w:marRight w:val="0"/>
          <w:marTop w:val="77"/>
          <w:marBottom w:val="0"/>
          <w:divBdr>
            <w:top w:val="none" w:sz="0" w:space="0" w:color="auto"/>
            <w:left w:val="none" w:sz="0" w:space="0" w:color="auto"/>
            <w:bottom w:val="none" w:sz="0" w:space="0" w:color="auto"/>
            <w:right w:val="none" w:sz="0" w:space="0" w:color="auto"/>
          </w:divBdr>
        </w:div>
        <w:div w:id="2010980682">
          <w:marLeft w:val="1800"/>
          <w:marRight w:val="0"/>
          <w:marTop w:val="96"/>
          <w:marBottom w:val="0"/>
          <w:divBdr>
            <w:top w:val="none" w:sz="0" w:space="0" w:color="auto"/>
            <w:left w:val="none" w:sz="0" w:space="0" w:color="auto"/>
            <w:bottom w:val="none" w:sz="0" w:space="0" w:color="auto"/>
            <w:right w:val="none" w:sz="0" w:space="0" w:color="auto"/>
          </w:divBdr>
        </w:div>
        <w:div w:id="2136556643">
          <w:marLeft w:val="547"/>
          <w:marRight w:val="0"/>
          <w:marTop w:val="115"/>
          <w:marBottom w:val="0"/>
          <w:divBdr>
            <w:top w:val="none" w:sz="0" w:space="0" w:color="auto"/>
            <w:left w:val="none" w:sz="0" w:space="0" w:color="auto"/>
            <w:bottom w:val="none" w:sz="0" w:space="0" w:color="auto"/>
            <w:right w:val="none" w:sz="0" w:space="0" w:color="auto"/>
          </w:divBdr>
        </w:div>
      </w:divsChild>
    </w:div>
    <w:div w:id="642932499">
      <w:bodyDiv w:val="1"/>
      <w:marLeft w:val="0"/>
      <w:marRight w:val="0"/>
      <w:marTop w:val="0"/>
      <w:marBottom w:val="0"/>
      <w:divBdr>
        <w:top w:val="none" w:sz="0" w:space="0" w:color="auto"/>
        <w:left w:val="none" w:sz="0" w:space="0" w:color="auto"/>
        <w:bottom w:val="none" w:sz="0" w:space="0" w:color="auto"/>
        <w:right w:val="none" w:sz="0" w:space="0" w:color="auto"/>
      </w:divBdr>
    </w:div>
    <w:div w:id="643512631">
      <w:bodyDiv w:val="1"/>
      <w:marLeft w:val="0"/>
      <w:marRight w:val="0"/>
      <w:marTop w:val="0"/>
      <w:marBottom w:val="0"/>
      <w:divBdr>
        <w:top w:val="none" w:sz="0" w:space="0" w:color="auto"/>
        <w:left w:val="none" w:sz="0" w:space="0" w:color="auto"/>
        <w:bottom w:val="none" w:sz="0" w:space="0" w:color="auto"/>
        <w:right w:val="none" w:sz="0" w:space="0" w:color="auto"/>
      </w:divBdr>
      <w:divsChild>
        <w:div w:id="113213019">
          <w:marLeft w:val="1166"/>
          <w:marRight w:val="0"/>
          <w:marTop w:val="91"/>
          <w:marBottom w:val="0"/>
          <w:divBdr>
            <w:top w:val="none" w:sz="0" w:space="0" w:color="auto"/>
            <w:left w:val="none" w:sz="0" w:space="0" w:color="auto"/>
            <w:bottom w:val="none" w:sz="0" w:space="0" w:color="auto"/>
            <w:right w:val="none" w:sz="0" w:space="0" w:color="auto"/>
          </w:divBdr>
        </w:div>
        <w:div w:id="680667622">
          <w:marLeft w:val="547"/>
          <w:marRight w:val="0"/>
          <w:marTop w:val="106"/>
          <w:marBottom w:val="0"/>
          <w:divBdr>
            <w:top w:val="none" w:sz="0" w:space="0" w:color="auto"/>
            <w:left w:val="none" w:sz="0" w:space="0" w:color="auto"/>
            <w:bottom w:val="none" w:sz="0" w:space="0" w:color="auto"/>
            <w:right w:val="none" w:sz="0" w:space="0" w:color="auto"/>
          </w:divBdr>
        </w:div>
        <w:div w:id="898367599">
          <w:marLeft w:val="1166"/>
          <w:marRight w:val="0"/>
          <w:marTop w:val="91"/>
          <w:marBottom w:val="0"/>
          <w:divBdr>
            <w:top w:val="none" w:sz="0" w:space="0" w:color="auto"/>
            <w:left w:val="none" w:sz="0" w:space="0" w:color="auto"/>
            <w:bottom w:val="none" w:sz="0" w:space="0" w:color="auto"/>
            <w:right w:val="none" w:sz="0" w:space="0" w:color="auto"/>
          </w:divBdr>
        </w:div>
        <w:div w:id="1004698733">
          <w:marLeft w:val="1166"/>
          <w:marRight w:val="0"/>
          <w:marTop w:val="91"/>
          <w:marBottom w:val="0"/>
          <w:divBdr>
            <w:top w:val="none" w:sz="0" w:space="0" w:color="auto"/>
            <w:left w:val="none" w:sz="0" w:space="0" w:color="auto"/>
            <w:bottom w:val="none" w:sz="0" w:space="0" w:color="auto"/>
            <w:right w:val="none" w:sz="0" w:space="0" w:color="auto"/>
          </w:divBdr>
        </w:div>
        <w:div w:id="1093210215">
          <w:marLeft w:val="547"/>
          <w:marRight w:val="0"/>
          <w:marTop w:val="106"/>
          <w:marBottom w:val="0"/>
          <w:divBdr>
            <w:top w:val="none" w:sz="0" w:space="0" w:color="auto"/>
            <w:left w:val="none" w:sz="0" w:space="0" w:color="auto"/>
            <w:bottom w:val="none" w:sz="0" w:space="0" w:color="auto"/>
            <w:right w:val="none" w:sz="0" w:space="0" w:color="auto"/>
          </w:divBdr>
        </w:div>
        <w:div w:id="1287543591">
          <w:marLeft w:val="547"/>
          <w:marRight w:val="0"/>
          <w:marTop w:val="106"/>
          <w:marBottom w:val="0"/>
          <w:divBdr>
            <w:top w:val="none" w:sz="0" w:space="0" w:color="auto"/>
            <w:left w:val="none" w:sz="0" w:space="0" w:color="auto"/>
            <w:bottom w:val="none" w:sz="0" w:space="0" w:color="auto"/>
            <w:right w:val="none" w:sz="0" w:space="0" w:color="auto"/>
          </w:divBdr>
        </w:div>
        <w:div w:id="1520244025">
          <w:marLeft w:val="1166"/>
          <w:marRight w:val="0"/>
          <w:marTop w:val="91"/>
          <w:marBottom w:val="0"/>
          <w:divBdr>
            <w:top w:val="none" w:sz="0" w:space="0" w:color="auto"/>
            <w:left w:val="none" w:sz="0" w:space="0" w:color="auto"/>
            <w:bottom w:val="none" w:sz="0" w:space="0" w:color="auto"/>
            <w:right w:val="none" w:sz="0" w:space="0" w:color="auto"/>
          </w:divBdr>
        </w:div>
        <w:div w:id="2023126779">
          <w:marLeft w:val="547"/>
          <w:marRight w:val="0"/>
          <w:marTop w:val="106"/>
          <w:marBottom w:val="0"/>
          <w:divBdr>
            <w:top w:val="none" w:sz="0" w:space="0" w:color="auto"/>
            <w:left w:val="none" w:sz="0" w:space="0" w:color="auto"/>
            <w:bottom w:val="none" w:sz="0" w:space="0" w:color="auto"/>
            <w:right w:val="none" w:sz="0" w:space="0" w:color="auto"/>
          </w:divBdr>
        </w:div>
        <w:div w:id="2115128810">
          <w:marLeft w:val="1166"/>
          <w:marRight w:val="0"/>
          <w:marTop w:val="91"/>
          <w:marBottom w:val="0"/>
          <w:divBdr>
            <w:top w:val="none" w:sz="0" w:space="0" w:color="auto"/>
            <w:left w:val="none" w:sz="0" w:space="0" w:color="auto"/>
            <w:bottom w:val="none" w:sz="0" w:space="0" w:color="auto"/>
            <w:right w:val="none" w:sz="0" w:space="0" w:color="auto"/>
          </w:divBdr>
        </w:div>
      </w:divsChild>
    </w:div>
    <w:div w:id="644286692">
      <w:bodyDiv w:val="1"/>
      <w:marLeft w:val="0"/>
      <w:marRight w:val="0"/>
      <w:marTop w:val="0"/>
      <w:marBottom w:val="0"/>
      <w:divBdr>
        <w:top w:val="none" w:sz="0" w:space="0" w:color="auto"/>
        <w:left w:val="none" w:sz="0" w:space="0" w:color="auto"/>
        <w:bottom w:val="none" w:sz="0" w:space="0" w:color="auto"/>
        <w:right w:val="none" w:sz="0" w:space="0" w:color="auto"/>
      </w:divBdr>
      <w:divsChild>
        <w:div w:id="107167899">
          <w:marLeft w:val="1800"/>
          <w:marRight w:val="0"/>
          <w:marTop w:val="115"/>
          <w:marBottom w:val="0"/>
          <w:divBdr>
            <w:top w:val="none" w:sz="0" w:space="0" w:color="auto"/>
            <w:left w:val="none" w:sz="0" w:space="0" w:color="auto"/>
            <w:bottom w:val="none" w:sz="0" w:space="0" w:color="auto"/>
            <w:right w:val="none" w:sz="0" w:space="0" w:color="auto"/>
          </w:divBdr>
        </w:div>
        <w:div w:id="690641666">
          <w:marLeft w:val="547"/>
          <w:marRight w:val="0"/>
          <w:marTop w:val="154"/>
          <w:marBottom w:val="0"/>
          <w:divBdr>
            <w:top w:val="none" w:sz="0" w:space="0" w:color="auto"/>
            <w:left w:val="none" w:sz="0" w:space="0" w:color="auto"/>
            <w:bottom w:val="none" w:sz="0" w:space="0" w:color="auto"/>
            <w:right w:val="none" w:sz="0" w:space="0" w:color="auto"/>
          </w:divBdr>
        </w:div>
        <w:div w:id="1052192962">
          <w:marLeft w:val="1800"/>
          <w:marRight w:val="0"/>
          <w:marTop w:val="115"/>
          <w:marBottom w:val="0"/>
          <w:divBdr>
            <w:top w:val="none" w:sz="0" w:space="0" w:color="auto"/>
            <w:left w:val="none" w:sz="0" w:space="0" w:color="auto"/>
            <w:bottom w:val="none" w:sz="0" w:space="0" w:color="auto"/>
            <w:right w:val="none" w:sz="0" w:space="0" w:color="auto"/>
          </w:divBdr>
        </w:div>
        <w:div w:id="2015186792">
          <w:marLeft w:val="1800"/>
          <w:marRight w:val="0"/>
          <w:marTop w:val="115"/>
          <w:marBottom w:val="0"/>
          <w:divBdr>
            <w:top w:val="none" w:sz="0" w:space="0" w:color="auto"/>
            <w:left w:val="none" w:sz="0" w:space="0" w:color="auto"/>
            <w:bottom w:val="none" w:sz="0" w:space="0" w:color="auto"/>
            <w:right w:val="none" w:sz="0" w:space="0" w:color="auto"/>
          </w:divBdr>
        </w:div>
      </w:divsChild>
    </w:div>
    <w:div w:id="644434871">
      <w:bodyDiv w:val="1"/>
      <w:marLeft w:val="0"/>
      <w:marRight w:val="0"/>
      <w:marTop w:val="0"/>
      <w:marBottom w:val="0"/>
      <w:divBdr>
        <w:top w:val="none" w:sz="0" w:space="0" w:color="auto"/>
        <w:left w:val="none" w:sz="0" w:space="0" w:color="auto"/>
        <w:bottom w:val="none" w:sz="0" w:space="0" w:color="auto"/>
        <w:right w:val="none" w:sz="0" w:space="0" w:color="auto"/>
      </w:divBdr>
    </w:div>
    <w:div w:id="647786459">
      <w:bodyDiv w:val="1"/>
      <w:marLeft w:val="0"/>
      <w:marRight w:val="0"/>
      <w:marTop w:val="0"/>
      <w:marBottom w:val="0"/>
      <w:divBdr>
        <w:top w:val="none" w:sz="0" w:space="0" w:color="auto"/>
        <w:left w:val="none" w:sz="0" w:space="0" w:color="auto"/>
        <w:bottom w:val="none" w:sz="0" w:space="0" w:color="auto"/>
        <w:right w:val="none" w:sz="0" w:space="0" w:color="auto"/>
      </w:divBdr>
      <w:divsChild>
        <w:div w:id="1367606103">
          <w:marLeft w:val="0"/>
          <w:marRight w:val="0"/>
          <w:marTop w:val="0"/>
          <w:marBottom w:val="0"/>
          <w:divBdr>
            <w:top w:val="none" w:sz="0" w:space="0" w:color="auto"/>
            <w:left w:val="none" w:sz="0" w:space="0" w:color="auto"/>
            <w:bottom w:val="none" w:sz="0" w:space="0" w:color="auto"/>
            <w:right w:val="none" w:sz="0" w:space="0" w:color="auto"/>
          </w:divBdr>
          <w:divsChild>
            <w:div w:id="319357631">
              <w:marLeft w:val="0"/>
              <w:marRight w:val="0"/>
              <w:marTop w:val="0"/>
              <w:marBottom w:val="0"/>
              <w:divBdr>
                <w:top w:val="none" w:sz="0" w:space="0" w:color="auto"/>
                <w:left w:val="none" w:sz="0" w:space="0" w:color="auto"/>
                <w:bottom w:val="none" w:sz="0" w:space="0" w:color="auto"/>
                <w:right w:val="none" w:sz="0" w:space="0" w:color="auto"/>
              </w:divBdr>
            </w:div>
            <w:div w:id="1184175945">
              <w:marLeft w:val="0"/>
              <w:marRight w:val="0"/>
              <w:marTop w:val="0"/>
              <w:marBottom w:val="0"/>
              <w:divBdr>
                <w:top w:val="none" w:sz="0" w:space="0" w:color="auto"/>
                <w:left w:val="none" w:sz="0" w:space="0" w:color="auto"/>
                <w:bottom w:val="none" w:sz="0" w:space="0" w:color="auto"/>
                <w:right w:val="none" w:sz="0" w:space="0" w:color="auto"/>
              </w:divBdr>
            </w:div>
            <w:div w:id="12806431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48485139">
      <w:bodyDiv w:val="1"/>
      <w:marLeft w:val="0"/>
      <w:marRight w:val="0"/>
      <w:marTop w:val="0"/>
      <w:marBottom w:val="0"/>
      <w:divBdr>
        <w:top w:val="none" w:sz="0" w:space="0" w:color="auto"/>
        <w:left w:val="none" w:sz="0" w:space="0" w:color="auto"/>
        <w:bottom w:val="none" w:sz="0" w:space="0" w:color="auto"/>
        <w:right w:val="none" w:sz="0" w:space="0" w:color="auto"/>
      </w:divBdr>
      <w:divsChild>
        <w:div w:id="90901558">
          <w:marLeft w:val="547"/>
          <w:marRight w:val="0"/>
          <w:marTop w:val="96"/>
          <w:marBottom w:val="0"/>
          <w:divBdr>
            <w:top w:val="none" w:sz="0" w:space="0" w:color="auto"/>
            <w:left w:val="none" w:sz="0" w:space="0" w:color="auto"/>
            <w:bottom w:val="none" w:sz="0" w:space="0" w:color="auto"/>
            <w:right w:val="none" w:sz="0" w:space="0" w:color="auto"/>
          </w:divBdr>
        </w:div>
        <w:div w:id="373309884">
          <w:marLeft w:val="547"/>
          <w:marRight w:val="0"/>
          <w:marTop w:val="96"/>
          <w:marBottom w:val="0"/>
          <w:divBdr>
            <w:top w:val="none" w:sz="0" w:space="0" w:color="auto"/>
            <w:left w:val="none" w:sz="0" w:space="0" w:color="auto"/>
            <w:bottom w:val="none" w:sz="0" w:space="0" w:color="auto"/>
            <w:right w:val="none" w:sz="0" w:space="0" w:color="auto"/>
          </w:divBdr>
        </w:div>
        <w:div w:id="740950381">
          <w:marLeft w:val="1166"/>
          <w:marRight w:val="0"/>
          <w:marTop w:val="86"/>
          <w:marBottom w:val="0"/>
          <w:divBdr>
            <w:top w:val="none" w:sz="0" w:space="0" w:color="auto"/>
            <w:left w:val="none" w:sz="0" w:space="0" w:color="auto"/>
            <w:bottom w:val="none" w:sz="0" w:space="0" w:color="auto"/>
            <w:right w:val="none" w:sz="0" w:space="0" w:color="auto"/>
          </w:divBdr>
        </w:div>
        <w:div w:id="843126730">
          <w:marLeft w:val="547"/>
          <w:marRight w:val="0"/>
          <w:marTop w:val="96"/>
          <w:marBottom w:val="0"/>
          <w:divBdr>
            <w:top w:val="none" w:sz="0" w:space="0" w:color="auto"/>
            <w:left w:val="none" w:sz="0" w:space="0" w:color="auto"/>
            <w:bottom w:val="none" w:sz="0" w:space="0" w:color="auto"/>
            <w:right w:val="none" w:sz="0" w:space="0" w:color="auto"/>
          </w:divBdr>
        </w:div>
        <w:div w:id="1115177947">
          <w:marLeft w:val="547"/>
          <w:marRight w:val="0"/>
          <w:marTop w:val="96"/>
          <w:marBottom w:val="0"/>
          <w:divBdr>
            <w:top w:val="none" w:sz="0" w:space="0" w:color="auto"/>
            <w:left w:val="none" w:sz="0" w:space="0" w:color="auto"/>
            <w:bottom w:val="none" w:sz="0" w:space="0" w:color="auto"/>
            <w:right w:val="none" w:sz="0" w:space="0" w:color="auto"/>
          </w:divBdr>
        </w:div>
        <w:div w:id="1472626435">
          <w:marLeft w:val="547"/>
          <w:marRight w:val="0"/>
          <w:marTop w:val="96"/>
          <w:marBottom w:val="0"/>
          <w:divBdr>
            <w:top w:val="none" w:sz="0" w:space="0" w:color="auto"/>
            <w:left w:val="none" w:sz="0" w:space="0" w:color="auto"/>
            <w:bottom w:val="none" w:sz="0" w:space="0" w:color="auto"/>
            <w:right w:val="none" w:sz="0" w:space="0" w:color="auto"/>
          </w:divBdr>
        </w:div>
        <w:div w:id="1730349043">
          <w:marLeft w:val="547"/>
          <w:marRight w:val="0"/>
          <w:marTop w:val="96"/>
          <w:marBottom w:val="0"/>
          <w:divBdr>
            <w:top w:val="none" w:sz="0" w:space="0" w:color="auto"/>
            <w:left w:val="none" w:sz="0" w:space="0" w:color="auto"/>
            <w:bottom w:val="none" w:sz="0" w:space="0" w:color="auto"/>
            <w:right w:val="none" w:sz="0" w:space="0" w:color="auto"/>
          </w:divBdr>
        </w:div>
        <w:div w:id="1957566213">
          <w:marLeft w:val="547"/>
          <w:marRight w:val="0"/>
          <w:marTop w:val="96"/>
          <w:marBottom w:val="0"/>
          <w:divBdr>
            <w:top w:val="none" w:sz="0" w:space="0" w:color="auto"/>
            <w:left w:val="none" w:sz="0" w:space="0" w:color="auto"/>
            <w:bottom w:val="none" w:sz="0" w:space="0" w:color="auto"/>
            <w:right w:val="none" w:sz="0" w:space="0" w:color="auto"/>
          </w:divBdr>
        </w:div>
      </w:divsChild>
    </w:div>
    <w:div w:id="648704511">
      <w:bodyDiv w:val="1"/>
      <w:marLeft w:val="0"/>
      <w:marRight w:val="0"/>
      <w:marTop w:val="0"/>
      <w:marBottom w:val="0"/>
      <w:divBdr>
        <w:top w:val="none" w:sz="0" w:space="0" w:color="auto"/>
        <w:left w:val="none" w:sz="0" w:space="0" w:color="auto"/>
        <w:bottom w:val="none" w:sz="0" w:space="0" w:color="auto"/>
        <w:right w:val="none" w:sz="0" w:space="0" w:color="auto"/>
      </w:divBdr>
    </w:div>
    <w:div w:id="650915078">
      <w:bodyDiv w:val="1"/>
      <w:marLeft w:val="0"/>
      <w:marRight w:val="0"/>
      <w:marTop w:val="0"/>
      <w:marBottom w:val="0"/>
      <w:divBdr>
        <w:top w:val="none" w:sz="0" w:space="0" w:color="auto"/>
        <w:left w:val="none" w:sz="0" w:space="0" w:color="auto"/>
        <w:bottom w:val="none" w:sz="0" w:space="0" w:color="auto"/>
        <w:right w:val="none" w:sz="0" w:space="0" w:color="auto"/>
      </w:divBdr>
    </w:div>
    <w:div w:id="651061613">
      <w:bodyDiv w:val="1"/>
      <w:marLeft w:val="0"/>
      <w:marRight w:val="0"/>
      <w:marTop w:val="0"/>
      <w:marBottom w:val="0"/>
      <w:divBdr>
        <w:top w:val="none" w:sz="0" w:space="0" w:color="auto"/>
        <w:left w:val="none" w:sz="0" w:space="0" w:color="auto"/>
        <w:bottom w:val="none" w:sz="0" w:space="0" w:color="auto"/>
        <w:right w:val="none" w:sz="0" w:space="0" w:color="auto"/>
      </w:divBdr>
      <w:divsChild>
        <w:div w:id="89206351">
          <w:marLeft w:val="360"/>
          <w:marRight w:val="0"/>
          <w:marTop w:val="200"/>
          <w:marBottom w:val="0"/>
          <w:divBdr>
            <w:top w:val="none" w:sz="0" w:space="0" w:color="auto"/>
            <w:left w:val="none" w:sz="0" w:space="0" w:color="auto"/>
            <w:bottom w:val="none" w:sz="0" w:space="0" w:color="auto"/>
            <w:right w:val="none" w:sz="0" w:space="0" w:color="auto"/>
          </w:divBdr>
        </w:div>
        <w:div w:id="557669868">
          <w:marLeft w:val="360"/>
          <w:marRight w:val="0"/>
          <w:marTop w:val="200"/>
          <w:marBottom w:val="0"/>
          <w:divBdr>
            <w:top w:val="none" w:sz="0" w:space="0" w:color="auto"/>
            <w:left w:val="none" w:sz="0" w:space="0" w:color="auto"/>
            <w:bottom w:val="none" w:sz="0" w:space="0" w:color="auto"/>
            <w:right w:val="none" w:sz="0" w:space="0" w:color="auto"/>
          </w:divBdr>
        </w:div>
        <w:div w:id="1561164409">
          <w:marLeft w:val="360"/>
          <w:marRight w:val="0"/>
          <w:marTop w:val="200"/>
          <w:marBottom w:val="0"/>
          <w:divBdr>
            <w:top w:val="none" w:sz="0" w:space="0" w:color="auto"/>
            <w:left w:val="none" w:sz="0" w:space="0" w:color="auto"/>
            <w:bottom w:val="none" w:sz="0" w:space="0" w:color="auto"/>
            <w:right w:val="none" w:sz="0" w:space="0" w:color="auto"/>
          </w:divBdr>
        </w:div>
        <w:div w:id="1732970063">
          <w:marLeft w:val="360"/>
          <w:marRight w:val="0"/>
          <w:marTop w:val="200"/>
          <w:marBottom w:val="0"/>
          <w:divBdr>
            <w:top w:val="none" w:sz="0" w:space="0" w:color="auto"/>
            <w:left w:val="none" w:sz="0" w:space="0" w:color="auto"/>
            <w:bottom w:val="none" w:sz="0" w:space="0" w:color="auto"/>
            <w:right w:val="none" w:sz="0" w:space="0" w:color="auto"/>
          </w:divBdr>
        </w:div>
      </w:divsChild>
    </w:div>
    <w:div w:id="651252307">
      <w:bodyDiv w:val="1"/>
      <w:marLeft w:val="0"/>
      <w:marRight w:val="0"/>
      <w:marTop w:val="0"/>
      <w:marBottom w:val="0"/>
      <w:divBdr>
        <w:top w:val="none" w:sz="0" w:space="0" w:color="auto"/>
        <w:left w:val="none" w:sz="0" w:space="0" w:color="auto"/>
        <w:bottom w:val="none" w:sz="0" w:space="0" w:color="auto"/>
        <w:right w:val="none" w:sz="0" w:space="0" w:color="auto"/>
      </w:divBdr>
    </w:div>
    <w:div w:id="653147266">
      <w:bodyDiv w:val="1"/>
      <w:marLeft w:val="0"/>
      <w:marRight w:val="0"/>
      <w:marTop w:val="0"/>
      <w:marBottom w:val="0"/>
      <w:divBdr>
        <w:top w:val="none" w:sz="0" w:space="0" w:color="auto"/>
        <w:left w:val="none" w:sz="0" w:space="0" w:color="auto"/>
        <w:bottom w:val="none" w:sz="0" w:space="0" w:color="auto"/>
        <w:right w:val="none" w:sz="0" w:space="0" w:color="auto"/>
      </w:divBdr>
      <w:divsChild>
        <w:div w:id="405080545">
          <w:marLeft w:val="1166"/>
          <w:marRight w:val="0"/>
          <w:marTop w:val="115"/>
          <w:marBottom w:val="120"/>
          <w:divBdr>
            <w:top w:val="none" w:sz="0" w:space="0" w:color="auto"/>
            <w:left w:val="none" w:sz="0" w:space="0" w:color="auto"/>
            <w:bottom w:val="none" w:sz="0" w:space="0" w:color="auto"/>
            <w:right w:val="none" w:sz="0" w:space="0" w:color="auto"/>
          </w:divBdr>
        </w:div>
        <w:div w:id="602147014">
          <w:marLeft w:val="1166"/>
          <w:marRight w:val="0"/>
          <w:marTop w:val="115"/>
          <w:marBottom w:val="120"/>
          <w:divBdr>
            <w:top w:val="none" w:sz="0" w:space="0" w:color="auto"/>
            <w:left w:val="none" w:sz="0" w:space="0" w:color="auto"/>
            <w:bottom w:val="none" w:sz="0" w:space="0" w:color="auto"/>
            <w:right w:val="none" w:sz="0" w:space="0" w:color="auto"/>
          </w:divBdr>
        </w:div>
        <w:div w:id="1005014742">
          <w:marLeft w:val="547"/>
          <w:marRight w:val="0"/>
          <w:marTop w:val="134"/>
          <w:marBottom w:val="120"/>
          <w:divBdr>
            <w:top w:val="none" w:sz="0" w:space="0" w:color="auto"/>
            <w:left w:val="none" w:sz="0" w:space="0" w:color="auto"/>
            <w:bottom w:val="none" w:sz="0" w:space="0" w:color="auto"/>
            <w:right w:val="none" w:sz="0" w:space="0" w:color="auto"/>
          </w:divBdr>
        </w:div>
        <w:div w:id="1056854941">
          <w:marLeft w:val="547"/>
          <w:marRight w:val="0"/>
          <w:marTop w:val="134"/>
          <w:marBottom w:val="120"/>
          <w:divBdr>
            <w:top w:val="none" w:sz="0" w:space="0" w:color="auto"/>
            <w:left w:val="none" w:sz="0" w:space="0" w:color="auto"/>
            <w:bottom w:val="none" w:sz="0" w:space="0" w:color="auto"/>
            <w:right w:val="none" w:sz="0" w:space="0" w:color="auto"/>
          </w:divBdr>
        </w:div>
        <w:div w:id="1175728581">
          <w:marLeft w:val="547"/>
          <w:marRight w:val="0"/>
          <w:marTop w:val="134"/>
          <w:marBottom w:val="120"/>
          <w:divBdr>
            <w:top w:val="none" w:sz="0" w:space="0" w:color="auto"/>
            <w:left w:val="none" w:sz="0" w:space="0" w:color="auto"/>
            <w:bottom w:val="none" w:sz="0" w:space="0" w:color="auto"/>
            <w:right w:val="none" w:sz="0" w:space="0" w:color="auto"/>
          </w:divBdr>
        </w:div>
        <w:div w:id="1230264077">
          <w:marLeft w:val="1166"/>
          <w:marRight w:val="0"/>
          <w:marTop w:val="115"/>
          <w:marBottom w:val="120"/>
          <w:divBdr>
            <w:top w:val="none" w:sz="0" w:space="0" w:color="auto"/>
            <w:left w:val="none" w:sz="0" w:space="0" w:color="auto"/>
            <w:bottom w:val="none" w:sz="0" w:space="0" w:color="auto"/>
            <w:right w:val="none" w:sz="0" w:space="0" w:color="auto"/>
          </w:divBdr>
        </w:div>
      </w:divsChild>
    </w:div>
    <w:div w:id="653529569">
      <w:bodyDiv w:val="1"/>
      <w:marLeft w:val="0"/>
      <w:marRight w:val="0"/>
      <w:marTop w:val="0"/>
      <w:marBottom w:val="0"/>
      <w:divBdr>
        <w:top w:val="none" w:sz="0" w:space="0" w:color="auto"/>
        <w:left w:val="none" w:sz="0" w:space="0" w:color="auto"/>
        <w:bottom w:val="none" w:sz="0" w:space="0" w:color="auto"/>
        <w:right w:val="none" w:sz="0" w:space="0" w:color="auto"/>
      </w:divBdr>
    </w:div>
    <w:div w:id="654451586">
      <w:bodyDiv w:val="1"/>
      <w:marLeft w:val="0"/>
      <w:marRight w:val="0"/>
      <w:marTop w:val="0"/>
      <w:marBottom w:val="0"/>
      <w:divBdr>
        <w:top w:val="none" w:sz="0" w:space="0" w:color="auto"/>
        <w:left w:val="none" w:sz="0" w:space="0" w:color="auto"/>
        <w:bottom w:val="none" w:sz="0" w:space="0" w:color="auto"/>
        <w:right w:val="none" w:sz="0" w:space="0" w:color="auto"/>
      </w:divBdr>
    </w:div>
    <w:div w:id="654455276">
      <w:bodyDiv w:val="1"/>
      <w:marLeft w:val="0"/>
      <w:marRight w:val="0"/>
      <w:marTop w:val="0"/>
      <w:marBottom w:val="0"/>
      <w:divBdr>
        <w:top w:val="none" w:sz="0" w:space="0" w:color="auto"/>
        <w:left w:val="none" w:sz="0" w:space="0" w:color="auto"/>
        <w:bottom w:val="none" w:sz="0" w:space="0" w:color="auto"/>
        <w:right w:val="none" w:sz="0" w:space="0" w:color="auto"/>
      </w:divBdr>
    </w:div>
    <w:div w:id="654801325">
      <w:bodyDiv w:val="1"/>
      <w:marLeft w:val="0"/>
      <w:marRight w:val="0"/>
      <w:marTop w:val="0"/>
      <w:marBottom w:val="0"/>
      <w:divBdr>
        <w:top w:val="none" w:sz="0" w:space="0" w:color="auto"/>
        <w:left w:val="none" w:sz="0" w:space="0" w:color="auto"/>
        <w:bottom w:val="none" w:sz="0" w:space="0" w:color="auto"/>
        <w:right w:val="none" w:sz="0" w:space="0" w:color="auto"/>
      </w:divBdr>
      <w:divsChild>
        <w:div w:id="143275352">
          <w:marLeft w:val="1166"/>
          <w:marRight w:val="0"/>
          <w:marTop w:val="96"/>
          <w:marBottom w:val="0"/>
          <w:divBdr>
            <w:top w:val="none" w:sz="0" w:space="0" w:color="auto"/>
            <w:left w:val="none" w:sz="0" w:space="0" w:color="auto"/>
            <w:bottom w:val="none" w:sz="0" w:space="0" w:color="auto"/>
            <w:right w:val="none" w:sz="0" w:space="0" w:color="auto"/>
          </w:divBdr>
        </w:div>
        <w:div w:id="488793567">
          <w:marLeft w:val="547"/>
          <w:marRight w:val="0"/>
          <w:marTop w:val="115"/>
          <w:marBottom w:val="0"/>
          <w:divBdr>
            <w:top w:val="none" w:sz="0" w:space="0" w:color="auto"/>
            <w:left w:val="none" w:sz="0" w:space="0" w:color="auto"/>
            <w:bottom w:val="none" w:sz="0" w:space="0" w:color="auto"/>
            <w:right w:val="none" w:sz="0" w:space="0" w:color="auto"/>
          </w:divBdr>
        </w:div>
        <w:div w:id="560486935">
          <w:marLeft w:val="547"/>
          <w:marRight w:val="0"/>
          <w:marTop w:val="115"/>
          <w:marBottom w:val="0"/>
          <w:divBdr>
            <w:top w:val="none" w:sz="0" w:space="0" w:color="auto"/>
            <w:left w:val="none" w:sz="0" w:space="0" w:color="auto"/>
            <w:bottom w:val="none" w:sz="0" w:space="0" w:color="auto"/>
            <w:right w:val="none" w:sz="0" w:space="0" w:color="auto"/>
          </w:divBdr>
        </w:div>
        <w:div w:id="928581500">
          <w:marLeft w:val="1166"/>
          <w:marRight w:val="0"/>
          <w:marTop w:val="96"/>
          <w:marBottom w:val="0"/>
          <w:divBdr>
            <w:top w:val="none" w:sz="0" w:space="0" w:color="auto"/>
            <w:left w:val="none" w:sz="0" w:space="0" w:color="auto"/>
            <w:bottom w:val="none" w:sz="0" w:space="0" w:color="auto"/>
            <w:right w:val="none" w:sz="0" w:space="0" w:color="auto"/>
          </w:divBdr>
        </w:div>
        <w:div w:id="1248732113">
          <w:marLeft w:val="1166"/>
          <w:marRight w:val="0"/>
          <w:marTop w:val="96"/>
          <w:marBottom w:val="0"/>
          <w:divBdr>
            <w:top w:val="none" w:sz="0" w:space="0" w:color="auto"/>
            <w:left w:val="none" w:sz="0" w:space="0" w:color="auto"/>
            <w:bottom w:val="none" w:sz="0" w:space="0" w:color="auto"/>
            <w:right w:val="none" w:sz="0" w:space="0" w:color="auto"/>
          </w:divBdr>
        </w:div>
        <w:div w:id="1602951021">
          <w:marLeft w:val="1166"/>
          <w:marRight w:val="0"/>
          <w:marTop w:val="96"/>
          <w:marBottom w:val="0"/>
          <w:divBdr>
            <w:top w:val="none" w:sz="0" w:space="0" w:color="auto"/>
            <w:left w:val="none" w:sz="0" w:space="0" w:color="auto"/>
            <w:bottom w:val="none" w:sz="0" w:space="0" w:color="auto"/>
            <w:right w:val="none" w:sz="0" w:space="0" w:color="auto"/>
          </w:divBdr>
        </w:div>
        <w:div w:id="1677076493">
          <w:marLeft w:val="1166"/>
          <w:marRight w:val="0"/>
          <w:marTop w:val="96"/>
          <w:marBottom w:val="0"/>
          <w:divBdr>
            <w:top w:val="none" w:sz="0" w:space="0" w:color="auto"/>
            <w:left w:val="none" w:sz="0" w:space="0" w:color="auto"/>
            <w:bottom w:val="none" w:sz="0" w:space="0" w:color="auto"/>
            <w:right w:val="none" w:sz="0" w:space="0" w:color="auto"/>
          </w:divBdr>
        </w:div>
        <w:div w:id="2097163181">
          <w:marLeft w:val="1166"/>
          <w:marRight w:val="0"/>
          <w:marTop w:val="96"/>
          <w:marBottom w:val="0"/>
          <w:divBdr>
            <w:top w:val="none" w:sz="0" w:space="0" w:color="auto"/>
            <w:left w:val="none" w:sz="0" w:space="0" w:color="auto"/>
            <w:bottom w:val="none" w:sz="0" w:space="0" w:color="auto"/>
            <w:right w:val="none" w:sz="0" w:space="0" w:color="auto"/>
          </w:divBdr>
        </w:div>
      </w:divsChild>
    </w:div>
    <w:div w:id="655381052">
      <w:bodyDiv w:val="1"/>
      <w:marLeft w:val="0"/>
      <w:marRight w:val="0"/>
      <w:marTop w:val="0"/>
      <w:marBottom w:val="0"/>
      <w:divBdr>
        <w:top w:val="none" w:sz="0" w:space="0" w:color="auto"/>
        <w:left w:val="none" w:sz="0" w:space="0" w:color="auto"/>
        <w:bottom w:val="none" w:sz="0" w:space="0" w:color="auto"/>
        <w:right w:val="none" w:sz="0" w:space="0" w:color="auto"/>
      </w:divBdr>
    </w:div>
    <w:div w:id="655570174">
      <w:bodyDiv w:val="1"/>
      <w:marLeft w:val="0"/>
      <w:marRight w:val="0"/>
      <w:marTop w:val="0"/>
      <w:marBottom w:val="0"/>
      <w:divBdr>
        <w:top w:val="none" w:sz="0" w:space="0" w:color="auto"/>
        <w:left w:val="none" w:sz="0" w:space="0" w:color="auto"/>
        <w:bottom w:val="none" w:sz="0" w:space="0" w:color="auto"/>
        <w:right w:val="none" w:sz="0" w:space="0" w:color="auto"/>
      </w:divBdr>
    </w:div>
    <w:div w:id="655840457">
      <w:bodyDiv w:val="1"/>
      <w:marLeft w:val="0"/>
      <w:marRight w:val="0"/>
      <w:marTop w:val="0"/>
      <w:marBottom w:val="0"/>
      <w:divBdr>
        <w:top w:val="none" w:sz="0" w:space="0" w:color="auto"/>
        <w:left w:val="none" w:sz="0" w:space="0" w:color="auto"/>
        <w:bottom w:val="none" w:sz="0" w:space="0" w:color="auto"/>
        <w:right w:val="none" w:sz="0" w:space="0" w:color="auto"/>
      </w:divBdr>
    </w:div>
    <w:div w:id="656419109">
      <w:bodyDiv w:val="1"/>
      <w:marLeft w:val="0"/>
      <w:marRight w:val="0"/>
      <w:marTop w:val="0"/>
      <w:marBottom w:val="0"/>
      <w:divBdr>
        <w:top w:val="none" w:sz="0" w:space="0" w:color="auto"/>
        <w:left w:val="none" w:sz="0" w:space="0" w:color="auto"/>
        <w:bottom w:val="none" w:sz="0" w:space="0" w:color="auto"/>
        <w:right w:val="none" w:sz="0" w:space="0" w:color="auto"/>
      </w:divBdr>
    </w:div>
    <w:div w:id="656693817">
      <w:bodyDiv w:val="1"/>
      <w:marLeft w:val="0"/>
      <w:marRight w:val="0"/>
      <w:marTop w:val="0"/>
      <w:marBottom w:val="0"/>
      <w:divBdr>
        <w:top w:val="none" w:sz="0" w:space="0" w:color="auto"/>
        <w:left w:val="none" w:sz="0" w:space="0" w:color="auto"/>
        <w:bottom w:val="none" w:sz="0" w:space="0" w:color="auto"/>
        <w:right w:val="none" w:sz="0" w:space="0" w:color="auto"/>
      </w:divBdr>
    </w:div>
    <w:div w:id="657659825">
      <w:bodyDiv w:val="1"/>
      <w:marLeft w:val="0"/>
      <w:marRight w:val="0"/>
      <w:marTop w:val="0"/>
      <w:marBottom w:val="0"/>
      <w:divBdr>
        <w:top w:val="none" w:sz="0" w:space="0" w:color="auto"/>
        <w:left w:val="none" w:sz="0" w:space="0" w:color="auto"/>
        <w:bottom w:val="none" w:sz="0" w:space="0" w:color="auto"/>
        <w:right w:val="none" w:sz="0" w:space="0" w:color="auto"/>
      </w:divBdr>
    </w:div>
    <w:div w:id="657880833">
      <w:bodyDiv w:val="1"/>
      <w:marLeft w:val="0"/>
      <w:marRight w:val="0"/>
      <w:marTop w:val="0"/>
      <w:marBottom w:val="0"/>
      <w:divBdr>
        <w:top w:val="none" w:sz="0" w:space="0" w:color="auto"/>
        <w:left w:val="none" w:sz="0" w:space="0" w:color="auto"/>
        <w:bottom w:val="none" w:sz="0" w:space="0" w:color="auto"/>
        <w:right w:val="none" w:sz="0" w:space="0" w:color="auto"/>
      </w:divBdr>
    </w:div>
    <w:div w:id="658851465">
      <w:bodyDiv w:val="1"/>
      <w:marLeft w:val="0"/>
      <w:marRight w:val="0"/>
      <w:marTop w:val="0"/>
      <w:marBottom w:val="0"/>
      <w:divBdr>
        <w:top w:val="none" w:sz="0" w:space="0" w:color="auto"/>
        <w:left w:val="none" w:sz="0" w:space="0" w:color="auto"/>
        <w:bottom w:val="none" w:sz="0" w:space="0" w:color="auto"/>
        <w:right w:val="none" w:sz="0" w:space="0" w:color="auto"/>
      </w:divBdr>
    </w:div>
    <w:div w:id="659384981">
      <w:bodyDiv w:val="1"/>
      <w:marLeft w:val="0"/>
      <w:marRight w:val="0"/>
      <w:marTop w:val="0"/>
      <w:marBottom w:val="0"/>
      <w:divBdr>
        <w:top w:val="none" w:sz="0" w:space="0" w:color="auto"/>
        <w:left w:val="none" w:sz="0" w:space="0" w:color="auto"/>
        <w:bottom w:val="none" w:sz="0" w:space="0" w:color="auto"/>
        <w:right w:val="none" w:sz="0" w:space="0" w:color="auto"/>
      </w:divBdr>
    </w:div>
    <w:div w:id="659652349">
      <w:bodyDiv w:val="1"/>
      <w:marLeft w:val="0"/>
      <w:marRight w:val="0"/>
      <w:marTop w:val="0"/>
      <w:marBottom w:val="0"/>
      <w:divBdr>
        <w:top w:val="none" w:sz="0" w:space="0" w:color="auto"/>
        <w:left w:val="none" w:sz="0" w:space="0" w:color="auto"/>
        <w:bottom w:val="none" w:sz="0" w:space="0" w:color="auto"/>
        <w:right w:val="none" w:sz="0" w:space="0" w:color="auto"/>
      </w:divBdr>
    </w:div>
    <w:div w:id="659695399">
      <w:bodyDiv w:val="1"/>
      <w:marLeft w:val="0"/>
      <w:marRight w:val="0"/>
      <w:marTop w:val="0"/>
      <w:marBottom w:val="0"/>
      <w:divBdr>
        <w:top w:val="none" w:sz="0" w:space="0" w:color="auto"/>
        <w:left w:val="none" w:sz="0" w:space="0" w:color="auto"/>
        <w:bottom w:val="none" w:sz="0" w:space="0" w:color="auto"/>
        <w:right w:val="none" w:sz="0" w:space="0" w:color="auto"/>
      </w:divBdr>
    </w:div>
    <w:div w:id="660541090">
      <w:bodyDiv w:val="1"/>
      <w:marLeft w:val="0"/>
      <w:marRight w:val="0"/>
      <w:marTop w:val="0"/>
      <w:marBottom w:val="0"/>
      <w:divBdr>
        <w:top w:val="none" w:sz="0" w:space="0" w:color="auto"/>
        <w:left w:val="none" w:sz="0" w:space="0" w:color="auto"/>
        <w:bottom w:val="none" w:sz="0" w:space="0" w:color="auto"/>
        <w:right w:val="none" w:sz="0" w:space="0" w:color="auto"/>
      </w:divBdr>
      <w:divsChild>
        <w:div w:id="2098209378">
          <w:marLeft w:val="0"/>
          <w:marRight w:val="0"/>
          <w:marTop w:val="0"/>
          <w:marBottom w:val="0"/>
          <w:divBdr>
            <w:top w:val="none" w:sz="0" w:space="0" w:color="auto"/>
            <w:left w:val="none" w:sz="0" w:space="0" w:color="auto"/>
            <w:bottom w:val="none" w:sz="0" w:space="0" w:color="auto"/>
            <w:right w:val="none" w:sz="0" w:space="0" w:color="auto"/>
          </w:divBdr>
          <w:divsChild>
            <w:div w:id="17144971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61205584">
      <w:bodyDiv w:val="1"/>
      <w:marLeft w:val="0"/>
      <w:marRight w:val="0"/>
      <w:marTop w:val="0"/>
      <w:marBottom w:val="0"/>
      <w:divBdr>
        <w:top w:val="none" w:sz="0" w:space="0" w:color="auto"/>
        <w:left w:val="none" w:sz="0" w:space="0" w:color="auto"/>
        <w:bottom w:val="none" w:sz="0" w:space="0" w:color="auto"/>
        <w:right w:val="none" w:sz="0" w:space="0" w:color="auto"/>
      </w:divBdr>
    </w:div>
    <w:div w:id="661280839">
      <w:bodyDiv w:val="1"/>
      <w:marLeft w:val="0"/>
      <w:marRight w:val="0"/>
      <w:marTop w:val="0"/>
      <w:marBottom w:val="0"/>
      <w:divBdr>
        <w:top w:val="none" w:sz="0" w:space="0" w:color="auto"/>
        <w:left w:val="none" w:sz="0" w:space="0" w:color="auto"/>
        <w:bottom w:val="none" w:sz="0" w:space="0" w:color="auto"/>
        <w:right w:val="none" w:sz="0" w:space="0" w:color="auto"/>
      </w:divBdr>
    </w:div>
    <w:div w:id="661809447">
      <w:bodyDiv w:val="1"/>
      <w:marLeft w:val="0"/>
      <w:marRight w:val="0"/>
      <w:marTop w:val="0"/>
      <w:marBottom w:val="0"/>
      <w:divBdr>
        <w:top w:val="none" w:sz="0" w:space="0" w:color="auto"/>
        <w:left w:val="none" w:sz="0" w:space="0" w:color="auto"/>
        <w:bottom w:val="none" w:sz="0" w:space="0" w:color="auto"/>
        <w:right w:val="none" w:sz="0" w:space="0" w:color="auto"/>
      </w:divBdr>
    </w:div>
    <w:div w:id="662120860">
      <w:bodyDiv w:val="1"/>
      <w:marLeft w:val="0"/>
      <w:marRight w:val="0"/>
      <w:marTop w:val="0"/>
      <w:marBottom w:val="0"/>
      <w:divBdr>
        <w:top w:val="none" w:sz="0" w:space="0" w:color="auto"/>
        <w:left w:val="none" w:sz="0" w:space="0" w:color="auto"/>
        <w:bottom w:val="none" w:sz="0" w:space="0" w:color="auto"/>
        <w:right w:val="none" w:sz="0" w:space="0" w:color="auto"/>
      </w:divBdr>
    </w:div>
    <w:div w:id="662585639">
      <w:bodyDiv w:val="1"/>
      <w:marLeft w:val="0"/>
      <w:marRight w:val="0"/>
      <w:marTop w:val="0"/>
      <w:marBottom w:val="0"/>
      <w:divBdr>
        <w:top w:val="none" w:sz="0" w:space="0" w:color="auto"/>
        <w:left w:val="none" w:sz="0" w:space="0" w:color="auto"/>
        <w:bottom w:val="none" w:sz="0" w:space="0" w:color="auto"/>
        <w:right w:val="none" w:sz="0" w:space="0" w:color="auto"/>
      </w:divBdr>
    </w:div>
    <w:div w:id="662705837">
      <w:bodyDiv w:val="1"/>
      <w:marLeft w:val="0"/>
      <w:marRight w:val="0"/>
      <w:marTop w:val="0"/>
      <w:marBottom w:val="0"/>
      <w:divBdr>
        <w:top w:val="none" w:sz="0" w:space="0" w:color="auto"/>
        <w:left w:val="none" w:sz="0" w:space="0" w:color="auto"/>
        <w:bottom w:val="none" w:sz="0" w:space="0" w:color="auto"/>
        <w:right w:val="none" w:sz="0" w:space="0" w:color="auto"/>
      </w:divBdr>
    </w:div>
    <w:div w:id="663046913">
      <w:bodyDiv w:val="1"/>
      <w:marLeft w:val="0"/>
      <w:marRight w:val="0"/>
      <w:marTop w:val="0"/>
      <w:marBottom w:val="0"/>
      <w:divBdr>
        <w:top w:val="none" w:sz="0" w:space="0" w:color="auto"/>
        <w:left w:val="none" w:sz="0" w:space="0" w:color="auto"/>
        <w:bottom w:val="none" w:sz="0" w:space="0" w:color="auto"/>
        <w:right w:val="none" w:sz="0" w:space="0" w:color="auto"/>
      </w:divBdr>
    </w:div>
    <w:div w:id="663974211">
      <w:bodyDiv w:val="1"/>
      <w:marLeft w:val="0"/>
      <w:marRight w:val="0"/>
      <w:marTop w:val="0"/>
      <w:marBottom w:val="0"/>
      <w:divBdr>
        <w:top w:val="none" w:sz="0" w:space="0" w:color="auto"/>
        <w:left w:val="none" w:sz="0" w:space="0" w:color="auto"/>
        <w:bottom w:val="none" w:sz="0" w:space="0" w:color="auto"/>
        <w:right w:val="none" w:sz="0" w:space="0" w:color="auto"/>
      </w:divBdr>
      <w:divsChild>
        <w:div w:id="125852690">
          <w:marLeft w:val="1166"/>
          <w:marRight w:val="0"/>
          <w:marTop w:val="106"/>
          <w:marBottom w:val="0"/>
          <w:divBdr>
            <w:top w:val="none" w:sz="0" w:space="0" w:color="auto"/>
            <w:left w:val="none" w:sz="0" w:space="0" w:color="auto"/>
            <w:bottom w:val="none" w:sz="0" w:space="0" w:color="auto"/>
            <w:right w:val="none" w:sz="0" w:space="0" w:color="auto"/>
          </w:divBdr>
        </w:div>
        <w:div w:id="345715449">
          <w:marLeft w:val="1800"/>
          <w:marRight w:val="0"/>
          <w:marTop w:val="86"/>
          <w:marBottom w:val="0"/>
          <w:divBdr>
            <w:top w:val="none" w:sz="0" w:space="0" w:color="auto"/>
            <w:left w:val="none" w:sz="0" w:space="0" w:color="auto"/>
            <w:bottom w:val="none" w:sz="0" w:space="0" w:color="auto"/>
            <w:right w:val="none" w:sz="0" w:space="0" w:color="auto"/>
          </w:divBdr>
        </w:div>
        <w:div w:id="1145505825">
          <w:marLeft w:val="547"/>
          <w:marRight w:val="0"/>
          <w:marTop w:val="96"/>
          <w:marBottom w:val="0"/>
          <w:divBdr>
            <w:top w:val="none" w:sz="0" w:space="0" w:color="auto"/>
            <w:left w:val="none" w:sz="0" w:space="0" w:color="auto"/>
            <w:bottom w:val="none" w:sz="0" w:space="0" w:color="auto"/>
            <w:right w:val="none" w:sz="0" w:space="0" w:color="auto"/>
          </w:divBdr>
        </w:div>
        <w:div w:id="1471828279">
          <w:marLeft w:val="1800"/>
          <w:marRight w:val="0"/>
          <w:marTop w:val="86"/>
          <w:marBottom w:val="0"/>
          <w:divBdr>
            <w:top w:val="none" w:sz="0" w:space="0" w:color="auto"/>
            <w:left w:val="none" w:sz="0" w:space="0" w:color="auto"/>
            <w:bottom w:val="none" w:sz="0" w:space="0" w:color="auto"/>
            <w:right w:val="none" w:sz="0" w:space="0" w:color="auto"/>
          </w:divBdr>
        </w:div>
        <w:div w:id="1848786664">
          <w:marLeft w:val="1166"/>
          <w:marRight w:val="0"/>
          <w:marTop w:val="86"/>
          <w:marBottom w:val="0"/>
          <w:divBdr>
            <w:top w:val="none" w:sz="0" w:space="0" w:color="auto"/>
            <w:left w:val="none" w:sz="0" w:space="0" w:color="auto"/>
            <w:bottom w:val="none" w:sz="0" w:space="0" w:color="auto"/>
            <w:right w:val="none" w:sz="0" w:space="0" w:color="auto"/>
          </w:divBdr>
        </w:div>
        <w:div w:id="1894847153">
          <w:marLeft w:val="1800"/>
          <w:marRight w:val="0"/>
          <w:marTop w:val="86"/>
          <w:marBottom w:val="0"/>
          <w:divBdr>
            <w:top w:val="none" w:sz="0" w:space="0" w:color="auto"/>
            <w:left w:val="none" w:sz="0" w:space="0" w:color="auto"/>
            <w:bottom w:val="none" w:sz="0" w:space="0" w:color="auto"/>
            <w:right w:val="none" w:sz="0" w:space="0" w:color="auto"/>
          </w:divBdr>
        </w:div>
        <w:div w:id="1955749959">
          <w:marLeft w:val="1166"/>
          <w:marRight w:val="0"/>
          <w:marTop w:val="86"/>
          <w:marBottom w:val="0"/>
          <w:divBdr>
            <w:top w:val="none" w:sz="0" w:space="0" w:color="auto"/>
            <w:left w:val="none" w:sz="0" w:space="0" w:color="auto"/>
            <w:bottom w:val="none" w:sz="0" w:space="0" w:color="auto"/>
            <w:right w:val="none" w:sz="0" w:space="0" w:color="auto"/>
          </w:divBdr>
        </w:div>
        <w:div w:id="2038386561">
          <w:marLeft w:val="1166"/>
          <w:marRight w:val="0"/>
          <w:marTop w:val="86"/>
          <w:marBottom w:val="0"/>
          <w:divBdr>
            <w:top w:val="none" w:sz="0" w:space="0" w:color="auto"/>
            <w:left w:val="none" w:sz="0" w:space="0" w:color="auto"/>
            <w:bottom w:val="none" w:sz="0" w:space="0" w:color="auto"/>
            <w:right w:val="none" w:sz="0" w:space="0" w:color="auto"/>
          </w:divBdr>
        </w:div>
        <w:div w:id="2111779656">
          <w:marLeft w:val="1166"/>
          <w:marRight w:val="0"/>
          <w:marTop w:val="86"/>
          <w:marBottom w:val="0"/>
          <w:divBdr>
            <w:top w:val="none" w:sz="0" w:space="0" w:color="auto"/>
            <w:left w:val="none" w:sz="0" w:space="0" w:color="auto"/>
            <w:bottom w:val="none" w:sz="0" w:space="0" w:color="auto"/>
            <w:right w:val="none" w:sz="0" w:space="0" w:color="auto"/>
          </w:divBdr>
        </w:div>
      </w:divsChild>
    </w:div>
    <w:div w:id="664670192">
      <w:bodyDiv w:val="1"/>
      <w:marLeft w:val="0"/>
      <w:marRight w:val="0"/>
      <w:marTop w:val="0"/>
      <w:marBottom w:val="0"/>
      <w:divBdr>
        <w:top w:val="none" w:sz="0" w:space="0" w:color="auto"/>
        <w:left w:val="none" w:sz="0" w:space="0" w:color="auto"/>
        <w:bottom w:val="none" w:sz="0" w:space="0" w:color="auto"/>
        <w:right w:val="none" w:sz="0" w:space="0" w:color="auto"/>
      </w:divBdr>
    </w:div>
    <w:div w:id="664944233">
      <w:bodyDiv w:val="1"/>
      <w:marLeft w:val="0"/>
      <w:marRight w:val="0"/>
      <w:marTop w:val="0"/>
      <w:marBottom w:val="0"/>
      <w:divBdr>
        <w:top w:val="none" w:sz="0" w:space="0" w:color="auto"/>
        <w:left w:val="none" w:sz="0" w:space="0" w:color="auto"/>
        <w:bottom w:val="none" w:sz="0" w:space="0" w:color="auto"/>
        <w:right w:val="none" w:sz="0" w:space="0" w:color="auto"/>
      </w:divBdr>
    </w:div>
    <w:div w:id="665550082">
      <w:bodyDiv w:val="1"/>
      <w:marLeft w:val="0"/>
      <w:marRight w:val="0"/>
      <w:marTop w:val="0"/>
      <w:marBottom w:val="0"/>
      <w:divBdr>
        <w:top w:val="none" w:sz="0" w:space="0" w:color="auto"/>
        <w:left w:val="none" w:sz="0" w:space="0" w:color="auto"/>
        <w:bottom w:val="none" w:sz="0" w:space="0" w:color="auto"/>
        <w:right w:val="none" w:sz="0" w:space="0" w:color="auto"/>
      </w:divBdr>
    </w:div>
    <w:div w:id="665984133">
      <w:bodyDiv w:val="1"/>
      <w:marLeft w:val="0"/>
      <w:marRight w:val="0"/>
      <w:marTop w:val="0"/>
      <w:marBottom w:val="0"/>
      <w:divBdr>
        <w:top w:val="none" w:sz="0" w:space="0" w:color="auto"/>
        <w:left w:val="none" w:sz="0" w:space="0" w:color="auto"/>
        <w:bottom w:val="none" w:sz="0" w:space="0" w:color="auto"/>
        <w:right w:val="none" w:sz="0" w:space="0" w:color="auto"/>
      </w:divBdr>
    </w:div>
    <w:div w:id="668212361">
      <w:bodyDiv w:val="1"/>
      <w:marLeft w:val="0"/>
      <w:marRight w:val="0"/>
      <w:marTop w:val="0"/>
      <w:marBottom w:val="0"/>
      <w:divBdr>
        <w:top w:val="none" w:sz="0" w:space="0" w:color="auto"/>
        <w:left w:val="none" w:sz="0" w:space="0" w:color="auto"/>
        <w:bottom w:val="none" w:sz="0" w:space="0" w:color="auto"/>
        <w:right w:val="none" w:sz="0" w:space="0" w:color="auto"/>
      </w:divBdr>
      <w:divsChild>
        <w:div w:id="89199235">
          <w:marLeft w:val="1800"/>
          <w:marRight w:val="0"/>
          <w:marTop w:val="86"/>
          <w:marBottom w:val="0"/>
          <w:divBdr>
            <w:top w:val="none" w:sz="0" w:space="0" w:color="auto"/>
            <w:left w:val="none" w:sz="0" w:space="0" w:color="auto"/>
            <w:bottom w:val="none" w:sz="0" w:space="0" w:color="auto"/>
            <w:right w:val="none" w:sz="0" w:space="0" w:color="auto"/>
          </w:divBdr>
        </w:div>
        <w:div w:id="413284651">
          <w:marLeft w:val="1800"/>
          <w:marRight w:val="0"/>
          <w:marTop w:val="86"/>
          <w:marBottom w:val="0"/>
          <w:divBdr>
            <w:top w:val="none" w:sz="0" w:space="0" w:color="auto"/>
            <w:left w:val="none" w:sz="0" w:space="0" w:color="auto"/>
            <w:bottom w:val="none" w:sz="0" w:space="0" w:color="auto"/>
            <w:right w:val="none" w:sz="0" w:space="0" w:color="auto"/>
          </w:divBdr>
        </w:div>
        <w:div w:id="476647484">
          <w:marLeft w:val="1166"/>
          <w:marRight w:val="0"/>
          <w:marTop w:val="86"/>
          <w:marBottom w:val="0"/>
          <w:divBdr>
            <w:top w:val="none" w:sz="0" w:space="0" w:color="auto"/>
            <w:left w:val="none" w:sz="0" w:space="0" w:color="auto"/>
            <w:bottom w:val="none" w:sz="0" w:space="0" w:color="auto"/>
            <w:right w:val="none" w:sz="0" w:space="0" w:color="auto"/>
          </w:divBdr>
        </w:div>
        <w:div w:id="715930600">
          <w:marLeft w:val="1800"/>
          <w:marRight w:val="0"/>
          <w:marTop w:val="86"/>
          <w:marBottom w:val="0"/>
          <w:divBdr>
            <w:top w:val="none" w:sz="0" w:space="0" w:color="auto"/>
            <w:left w:val="none" w:sz="0" w:space="0" w:color="auto"/>
            <w:bottom w:val="none" w:sz="0" w:space="0" w:color="auto"/>
            <w:right w:val="none" w:sz="0" w:space="0" w:color="auto"/>
          </w:divBdr>
        </w:div>
        <w:div w:id="1125076806">
          <w:marLeft w:val="1800"/>
          <w:marRight w:val="0"/>
          <w:marTop w:val="86"/>
          <w:marBottom w:val="0"/>
          <w:divBdr>
            <w:top w:val="none" w:sz="0" w:space="0" w:color="auto"/>
            <w:left w:val="none" w:sz="0" w:space="0" w:color="auto"/>
            <w:bottom w:val="none" w:sz="0" w:space="0" w:color="auto"/>
            <w:right w:val="none" w:sz="0" w:space="0" w:color="auto"/>
          </w:divBdr>
        </w:div>
        <w:div w:id="1385829220">
          <w:marLeft w:val="1166"/>
          <w:marRight w:val="0"/>
          <w:marTop w:val="86"/>
          <w:marBottom w:val="0"/>
          <w:divBdr>
            <w:top w:val="none" w:sz="0" w:space="0" w:color="auto"/>
            <w:left w:val="none" w:sz="0" w:space="0" w:color="auto"/>
            <w:bottom w:val="none" w:sz="0" w:space="0" w:color="auto"/>
            <w:right w:val="none" w:sz="0" w:space="0" w:color="auto"/>
          </w:divBdr>
        </w:div>
        <w:div w:id="1894460477">
          <w:marLeft w:val="1800"/>
          <w:marRight w:val="0"/>
          <w:marTop w:val="86"/>
          <w:marBottom w:val="0"/>
          <w:divBdr>
            <w:top w:val="none" w:sz="0" w:space="0" w:color="auto"/>
            <w:left w:val="none" w:sz="0" w:space="0" w:color="auto"/>
            <w:bottom w:val="none" w:sz="0" w:space="0" w:color="auto"/>
            <w:right w:val="none" w:sz="0" w:space="0" w:color="auto"/>
          </w:divBdr>
        </w:div>
        <w:div w:id="1961960206">
          <w:marLeft w:val="1166"/>
          <w:marRight w:val="0"/>
          <w:marTop w:val="86"/>
          <w:marBottom w:val="0"/>
          <w:divBdr>
            <w:top w:val="none" w:sz="0" w:space="0" w:color="auto"/>
            <w:left w:val="none" w:sz="0" w:space="0" w:color="auto"/>
            <w:bottom w:val="none" w:sz="0" w:space="0" w:color="auto"/>
            <w:right w:val="none" w:sz="0" w:space="0" w:color="auto"/>
          </w:divBdr>
        </w:div>
      </w:divsChild>
    </w:div>
    <w:div w:id="668363626">
      <w:bodyDiv w:val="1"/>
      <w:marLeft w:val="0"/>
      <w:marRight w:val="0"/>
      <w:marTop w:val="0"/>
      <w:marBottom w:val="0"/>
      <w:divBdr>
        <w:top w:val="none" w:sz="0" w:space="0" w:color="auto"/>
        <w:left w:val="none" w:sz="0" w:space="0" w:color="auto"/>
        <w:bottom w:val="none" w:sz="0" w:space="0" w:color="auto"/>
        <w:right w:val="none" w:sz="0" w:space="0" w:color="auto"/>
      </w:divBdr>
    </w:div>
    <w:div w:id="669214728">
      <w:bodyDiv w:val="1"/>
      <w:marLeft w:val="0"/>
      <w:marRight w:val="0"/>
      <w:marTop w:val="0"/>
      <w:marBottom w:val="0"/>
      <w:divBdr>
        <w:top w:val="none" w:sz="0" w:space="0" w:color="auto"/>
        <w:left w:val="none" w:sz="0" w:space="0" w:color="auto"/>
        <w:bottom w:val="none" w:sz="0" w:space="0" w:color="auto"/>
        <w:right w:val="none" w:sz="0" w:space="0" w:color="auto"/>
      </w:divBdr>
    </w:div>
    <w:div w:id="670185949">
      <w:bodyDiv w:val="1"/>
      <w:marLeft w:val="0"/>
      <w:marRight w:val="0"/>
      <w:marTop w:val="0"/>
      <w:marBottom w:val="0"/>
      <w:divBdr>
        <w:top w:val="none" w:sz="0" w:space="0" w:color="auto"/>
        <w:left w:val="none" w:sz="0" w:space="0" w:color="auto"/>
        <w:bottom w:val="none" w:sz="0" w:space="0" w:color="auto"/>
        <w:right w:val="none" w:sz="0" w:space="0" w:color="auto"/>
      </w:divBdr>
    </w:div>
    <w:div w:id="670378523">
      <w:bodyDiv w:val="1"/>
      <w:marLeft w:val="0"/>
      <w:marRight w:val="0"/>
      <w:marTop w:val="0"/>
      <w:marBottom w:val="0"/>
      <w:divBdr>
        <w:top w:val="none" w:sz="0" w:space="0" w:color="auto"/>
        <w:left w:val="none" w:sz="0" w:space="0" w:color="auto"/>
        <w:bottom w:val="none" w:sz="0" w:space="0" w:color="auto"/>
        <w:right w:val="none" w:sz="0" w:space="0" w:color="auto"/>
      </w:divBdr>
      <w:divsChild>
        <w:div w:id="972322692">
          <w:marLeft w:val="1166"/>
          <w:marRight w:val="0"/>
          <w:marTop w:val="96"/>
          <w:marBottom w:val="0"/>
          <w:divBdr>
            <w:top w:val="none" w:sz="0" w:space="0" w:color="auto"/>
            <w:left w:val="none" w:sz="0" w:space="0" w:color="auto"/>
            <w:bottom w:val="none" w:sz="0" w:space="0" w:color="auto"/>
            <w:right w:val="none" w:sz="0" w:space="0" w:color="auto"/>
          </w:divBdr>
        </w:div>
      </w:divsChild>
    </w:div>
    <w:div w:id="670526378">
      <w:bodyDiv w:val="1"/>
      <w:marLeft w:val="0"/>
      <w:marRight w:val="0"/>
      <w:marTop w:val="0"/>
      <w:marBottom w:val="0"/>
      <w:divBdr>
        <w:top w:val="none" w:sz="0" w:space="0" w:color="auto"/>
        <w:left w:val="none" w:sz="0" w:space="0" w:color="auto"/>
        <w:bottom w:val="none" w:sz="0" w:space="0" w:color="auto"/>
        <w:right w:val="none" w:sz="0" w:space="0" w:color="auto"/>
      </w:divBdr>
    </w:div>
    <w:div w:id="671228329">
      <w:bodyDiv w:val="1"/>
      <w:marLeft w:val="0"/>
      <w:marRight w:val="0"/>
      <w:marTop w:val="0"/>
      <w:marBottom w:val="0"/>
      <w:divBdr>
        <w:top w:val="none" w:sz="0" w:space="0" w:color="auto"/>
        <w:left w:val="none" w:sz="0" w:space="0" w:color="auto"/>
        <w:bottom w:val="none" w:sz="0" w:space="0" w:color="auto"/>
        <w:right w:val="none" w:sz="0" w:space="0" w:color="auto"/>
      </w:divBdr>
    </w:div>
    <w:div w:id="671563539">
      <w:bodyDiv w:val="1"/>
      <w:marLeft w:val="0"/>
      <w:marRight w:val="0"/>
      <w:marTop w:val="0"/>
      <w:marBottom w:val="0"/>
      <w:divBdr>
        <w:top w:val="none" w:sz="0" w:space="0" w:color="auto"/>
        <w:left w:val="none" w:sz="0" w:space="0" w:color="auto"/>
        <w:bottom w:val="none" w:sz="0" w:space="0" w:color="auto"/>
        <w:right w:val="none" w:sz="0" w:space="0" w:color="auto"/>
      </w:divBdr>
    </w:div>
    <w:div w:id="671759220">
      <w:bodyDiv w:val="1"/>
      <w:marLeft w:val="0"/>
      <w:marRight w:val="0"/>
      <w:marTop w:val="0"/>
      <w:marBottom w:val="0"/>
      <w:divBdr>
        <w:top w:val="none" w:sz="0" w:space="0" w:color="auto"/>
        <w:left w:val="none" w:sz="0" w:space="0" w:color="auto"/>
        <w:bottom w:val="none" w:sz="0" w:space="0" w:color="auto"/>
        <w:right w:val="none" w:sz="0" w:space="0" w:color="auto"/>
      </w:divBdr>
      <w:divsChild>
        <w:div w:id="232667375">
          <w:marLeft w:val="547"/>
          <w:marRight w:val="0"/>
          <w:marTop w:val="115"/>
          <w:marBottom w:val="0"/>
          <w:divBdr>
            <w:top w:val="none" w:sz="0" w:space="0" w:color="auto"/>
            <w:left w:val="none" w:sz="0" w:space="0" w:color="auto"/>
            <w:bottom w:val="none" w:sz="0" w:space="0" w:color="auto"/>
            <w:right w:val="none" w:sz="0" w:space="0" w:color="auto"/>
          </w:divBdr>
        </w:div>
        <w:div w:id="1222247482">
          <w:marLeft w:val="1800"/>
          <w:marRight w:val="0"/>
          <w:marTop w:val="86"/>
          <w:marBottom w:val="0"/>
          <w:divBdr>
            <w:top w:val="none" w:sz="0" w:space="0" w:color="auto"/>
            <w:left w:val="none" w:sz="0" w:space="0" w:color="auto"/>
            <w:bottom w:val="none" w:sz="0" w:space="0" w:color="auto"/>
            <w:right w:val="none" w:sz="0" w:space="0" w:color="auto"/>
          </w:divBdr>
        </w:div>
        <w:div w:id="1728915587">
          <w:marLeft w:val="1166"/>
          <w:marRight w:val="0"/>
          <w:marTop w:val="96"/>
          <w:marBottom w:val="0"/>
          <w:divBdr>
            <w:top w:val="none" w:sz="0" w:space="0" w:color="auto"/>
            <w:left w:val="none" w:sz="0" w:space="0" w:color="auto"/>
            <w:bottom w:val="none" w:sz="0" w:space="0" w:color="auto"/>
            <w:right w:val="none" w:sz="0" w:space="0" w:color="auto"/>
          </w:divBdr>
        </w:div>
      </w:divsChild>
    </w:div>
    <w:div w:id="673651248">
      <w:bodyDiv w:val="1"/>
      <w:marLeft w:val="0"/>
      <w:marRight w:val="0"/>
      <w:marTop w:val="0"/>
      <w:marBottom w:val="0"/>
      <w:divBdr>
        <w:top w:val="none" w:sz="0" w:space="0" w:color="auto"/>
        <w:left w:val="none" w:sz="0" w:space="0" w:color="auto"/>
        <w:bottom w:val="none" w:sz="0" w:space="0" w:color="auto"/>
        <w:right w:val="none" w:sz="0" w:space="0" w:color="auto"/>
      </w:divBdr>
    </w:div>
    <w:div w:id="673805316">
      <w:bodyDiv w:val="1"/>
      <w:marLeft w:val="0"/>
      <w:marRight w:val="0"/>
      <w:marTop w:val="0"/>
      <w:marBottom w:val="0"/>
      <w:divBdr>
        <w:top w:val="none" w:sz="0" w:space="0" w:color="auto"/>
        <w:left w:val="none" w:sz="0" w:space="0" w:color="auto"/>
        <w:bottom w:val="none" w:sz="0" w:space="0" w:color="auto"/>
        <w:right w:val="none" w:sz="0" w:space="0" w:color="auto"/>
      </w:divBdr>
    </w:div>
    <w:div w:id="676423449">
      <w:bodyDiv w:val="1"/>
      <w:marLeft w:val="0"/>
      <w:marRight w:val="0"/>
      <w:marTop w:val="0"/>
      <w:marBottom w:val="0"/>
      <w:divBdr>
        <w:top w:val="none" w:sz="0" w:space="0" w:color="auto"/>
        <w:left w:val="none" w:sz="0" w:space="0" w:color="auto"/>
        <w:bottom w:val="none" w:sz="0" w:space="0" w:color="auto"/>
        <w:right w:val="none" w:sz="0" w:space="0" w:color="auto"/>
      </w:divBdr>
    </w:div>
    <w:div w:id="678314484">
      <w:bodyDiv w:val="1"/>
      <w:marLeft w:val="0"/>
      <w:marRight w:val="0"/>
      <w:marTop w:val="0"/>
      <w:marBottom w:val="0"/>
      <w:divBdr>
        <w:top w:val="none" w:sz="0" w:space="0" w:color="auto"/>
        <w:left w:val="none" w:sz="0" w:space="0" w:color="auto"/>
        <w:bottom w:val="none" w:sz="0" w:space="0" w:color="auto"/>
        <w:right w:val="none" w:sz="0" w:space="0" w:color="auto"/>
      </w:divBdr>
      <w:divsChild>
        <w:div w:id="7567278">
          <w:marLeft w:val="547"/>
          <w:marRight w:val="0"/>
          <w:marTop w:val="0"/>
          <w:marBottom w:val="60"/>
          <w:divBdr>
            <w:top w:val="none" w:sz="0" w:space="0" w:color="auto"/>
            <w:left w:val="none" w:sz="0" w:space="0" w:color="auto"/>
            <w:bottom w:val="none" w:sz="0" w:space="0" w:color="auto"/>
            <w:right w:val="none" w:sz="0" w:space="0" w:color="auto"/>
          </w:divBdr>
        </w:div>
        <w:div w:id="18051695">
          <w:marLeft w:val="1166"/>
          <w:marRight w:val="0"/>
          <w:marTop w:val="0"/>
          <w:marBottom w:val="60"/>
          <w:divBdr>
            <w:top w:val="none" w:sz="0" w:space="0" w:color="auto"/>
            <w:left w:val="none" w:sz="0" w:space="0" w:color="auto"/>
            <w:bottom w:val="none" w:sz="0" w:space="0" w:color="auto"/>
            <w:right w:val="none" w:sz="0" w:space="0" w:color="auto"/>
          </w:divBdr>
        </w:div>
        <w:div w:id="361513502">
          <w:marLeft w:val="547"/>
          <w:marRight w:val="0"/>
          <w:marTop w:val="0"/>
          <w:marBottom w:val="60"/>
          <w:divBdr>
            <w:top w:val="none" w:sz="0" w:space="0" w:color="auto"/>
            <w:left w:val="none" w:sz="0" w:space="0" w:color="auto"/>
            <w:bottom w:val="none" w:sz="0" w:space="0" w:color="auto"/>
            <w:right w:val="none" w:sz="0" w:space="0" w:color="auto"/>
          </w:divBdr>
        </w:div>
        <w:div w:id="415445838">
          <w:marLeft w:val="1166"/>
          <w:marRight w:val="0"/>
          <w:marTop w:val="0"/>
          <w:marBottom w:val="60"/>
          <w:divBdr>
            <w:top w:val="none" w:sz="0" w:space="0" w:color="auto"/>
            <w:left w:val="none" w:sz="0" w:space="0" w:color="auto"/>
            <w:bottom w:val="none" w:sz="0" w:space="0" w:color="auto"/>
            <w:right w:val="none" w:sz="0" w:space="0" w:color="auto"/>
          </w:divBdr>
        </w:div>
        <w:div w:id="638806508">
          <w:marLeft w:val="1166"/>
          <w:marRight w:val="0"/>
          <w:marTop w:val="0"/>
          <w:marBottom w:val="60"/>
          <w:divBdr>
            <w:top w:val="none" w:sz="0" w:space="0" w:color="auto"/>
            <w:left w:val="none" w:sz="0" w:space="0" w:color="auto"/>
            <w:bottom w:val="none" w:sz="0" w:space="0" w:color="auto"/>
            <w:right w:val="none" w:sz="0" w:space="0" w:color="auto"/>
          </w:divBdr>
        </w:div>
        <w:div w:id="834106976">
          <w:marLeft w:val="547"/>
          <w:marRight w:val="0"/>
          <w:marTop w:val="0"/>
          <w:marBottom w:val="60"/>
          <w:divBdr>
            <w:top w:val="none" w:sz="0" w:space="0" w:color="auto"/>
            <w:left w:val="none" w:sz="0" w:space="0" w:color="auto"/>
            <w:bottom w:val="none" w:sz="0" w:space="0" w:color="auto"/>
            <w:right w:val="none" w:sz="0" w:space="0" w:color="auto"/>
          </w:divBdr>
        </w:div>
        <w:div w:id="1153179701">
          <w:marLeft w:val="547"/>
          <w:marRight w:val="0"/>
          <w:marTop w:val="0"/>
          <w:marBottom w:val="60"/>
          <w:divBdr>
            <w:top w:val="none" w:sz="0" w:space="0" w:color="auto"/>
            <w:left w:val="none" w:sz="0" w:space="0" w:color="auto"/>
            <w:bottom w:val="none" w:sz="0" w:space="0" w:color="auto"/>
            <w:right w:val="none" w:sz="0" w:space="0" w:color="auto"/>
          </w:divBdr>
        </w:div>
        <w:div w:id="1263763009">
          <w:marLeft w:val="1166"/>
          <w:marRight w:val="0"/>
          <w:marTop w:val="67"/>
          <w:marBottom w:val="0"/>
          <w:divBdr>
            <w:top w:val="none" w:sz="0" w:space="0" w:color="auto"/>
            <w:left w:val="none" w:sz="0" w:space="0" w:color="auto"/>
            <w:bottom w:val="none" w:sz="0" w:space="0" w:color="auto"/>
            <w:right w:val="none" w:sz="0" w:space="0" w:color="auto"/>
          </w:divBdr>
        </w:div>
        <w:div w:id="1312908640">
          <w:marLeft w:val="1166"/>
          <w:marRight w:val="0"/>
          <w:marTop w:val="67"/>
          <w:marBottom w:val="0"/>
          <w:divBdr>
            <w:top w:val="none" w:sz="0" w:space="0" w:color="auto"/>
            <w:left w:val="none" w:sz="0" w:space="0" w:color="auto"/>
            <w:bottom w:val="none" w:sz="0" w:space="0" w:color="auto"/>
            <w:right w:val="none" w:sz="0" w:space="0" w:color="auto"/>
          </w:divBdr>
        </w:div>
        <w:div w:id="1473594506">
          <w:marLeft w:val="1166"/>
          <w:marRight w:val="0"/>
          <w:marTop w:val="0"/>
          <w:marBottom w:val="60"/>
          <w:divBdr>
            <w:top w:val="none" w:sz="0" w:space="0" w:color="auto"/>
            <w:left w:val="none" w:sz="0" w:space="0" w:color="auto"/>
            <w:bottom w:val="none" w:sz="0" w:space="0" w:color="auto"/>
            <w:right w:val="none" w:sz="0" w:space="0" w:color="auto"/>
          </w:divBdr>
        </w:div>
        <w:div w:id="1656881358">
          <w:marLeft w:val="547"/>
          <w:marRight w:val="0"/>
          <w:marTop w:val="0"/>
          <w:marBottom w:val="60"/>
          <w:divBdr>
            <w:top w:val="none" w:sz="0" w:space="0" w:color="auto"/>
            <w:left w:val="none" w:sz="0" w:space="0" w:color="auto"/>
            <w:bottom w:val="none" w:sz="0" w:space="0" w:color="auto"/>
            <w:right w:val="none" w:sz="0" w:space="0" w:color="auto"/>
          </w:divBdr>
        </w:div>
        <w:div w:id="1943107303">
          <w:marLeft w:val="1166"/>
          <w:marRight w:val="0"/>
          <w:marTop w:val="0"/>
          <w:marBottom w:val="60"/>
          <w:divBdr>
            <w:top w:val="none" w:sz="0" w:space="0" w:color="auto"/>
            <w:left w:val="none" w:sz="0" w:space="0" w:color="auto"/>
            <w:bottom w:val="none" w:sz="0" w:space="0" w:color="auto"/>
            <w:right w:val="none" w:sz="0" w:space="0" w:color="auto"/>
          </w:divBdr>
        </w:div>
        <w:div w:id="2041740807">
          <w:marLeft w:val="1166"/>
          <w:marRight w:val="0"/>
          <w:marTop w:val="0"/>
          <w:marBottom w:val="60"/>
          <w:divBdr>
            <w:top w:val="none" w:sz="0" w:space="0" w:color="auto"/>
            <w:left w:val="none" w:sz="0" w:space="0" w:color="auto"/>
            <w:bottom w:val="none" w:sz="0" w:space="0" w:color="auto"/>
            <w:right w:val="none" w:sz="0" w:space="0" w:color="auto"/>
          </w:divBdr>
        </w:div>
        <w:div w:id="2061318185">
          <w:marLeft w:val="1166"/>
          <w:marRight w:val="0"/>
          <w:marTop w:val="0"/>
          <w:marBottom w:val="60"/>
          <w:divBdr>
            <w:top w:val="none" w:sz="0" w:space="0" w:color="auto"/>
            <w:left w:val="none" w:sz="0" w:space="0" w:color="auto"/>
            <w:bottom w:val="none" w:sz="0" w:space="0" w:color="auto"/>
            <w:right w:val="none" w:sz="0" w:space="0" w:color="auto"/>
          </w:divBdr>
        </w:div>
        <w:div w:id="2115129110">
          <w:marLeft w:val="547"/>
          <w:marRight w:val="0"/>
          <w:marTop w:val="0"/>
          <w:marBottom w:val="60"/>
          <w:divBdr>
            <w:top w:val="none" w:sz="0" w:space="0" w:color="auto"/>
            <w:left w:val="none" w:sz="0" w:space="0" w:color="auto"/>
            <w:bottom w:val="none" w:sz="0" w:space="0" w:color="auto"/>
            <w:right w:val="none" w:sz="0" w:space="0" w:color="auto"/>
          </w:divBdr>
        </w:div>
      </w:divsChild>
    </w:div>
    <w:div w:id="678965734">
      <w:bodyDiv w:val="1"/>
      <w:marLeft w:val="0"/>
      <w:marRight w:val="0"/>
      <w:marTop w:val="0"/>
      <w:marBottom w:val="0"/>
      <w:divBdr>
        <w:top w:val="none" w:sz="0" w:space="0" w:color="auto"/>
        <w:left w:val="none" w:sz="0" w:space="0" w:color="auto"/>
        <w:bottom w:val="none" w:sz="0" w:space="0" w:color="auto"/>
        <w:right w:val="none" w:sz="0" w:space="0" w:color="auto"/>
      </w:divBdr>
      <w:divsChild>
        <w:div w:id="702366549">
          <w:marLeft w:val="0"/>
          <w:marRight w:val="0"/>
          <w:marTop w:val="0"/>
          <w:marBottom w:val="0"/>
          <w:divBdr>
            <w:top w:val="none" w:sz="0" w:space="0" w:color="auto"/>
            <w:left w:val="none" w:sz="0" w:space="0" w:color="auto"/>
            <w:bottom w:val="none" w:sz="0" w:space="0" w:color="auto"/>
            <w:right w:val="none" w:sz="0" w:space="0" w:color="auto"/>
          </w:divBdr>
        </w:div>
      </w:divsChild>
    </w:div>
    <w:div w:id="679047925">
      <w:bodyDiv w:val="1"/>
      <w:marLeft w:val="0"/>
      <w:marRight w:val="0"/>
      <w:marTop w:val="0"/>
      <w:marBottom w:val="0"/>
      <w:divBdr>
        <w:top w:val="none" w:sz="0" w:space="0" w:color="auto"/>
        <w:left w:val="none" w:sz="0" w:space="0" w:color="auto"/>
        <w:bottom w:val="none" w:sz="0" w:space="0" w:color="auto"/>
        <w:right w:val="none" w:sz="0" w:space="0" w:color="auto"/>
      </w:divBdr>
      <w:divsChild>
        <w:div w:id="1058935673">
          <w:marLeft w:val="0"/>
          <w:marRight w:val="0"/>
          <w:marTop w:val="0"/>
          <w:marBottom w:val="0"/>
          <w:divBdr>
            <w:top w:val="none" w:sz="0" w:space="0" w:color="auto"/>
            <w:left w:val="none" w:sz="0" w:space="0" w:color="auto"/>
            <w:bottom w:val="none" w:sz="0" w:space="0" w:color="auto"/>
            <w:right w:val="none" w:sz="0" w:space="0" w:color="auto"/>
          </w:divBdr>
          <w:divsChild>
            <w:div w:id="1216625016">
              <w:marLeft w:val="0"/>
              <w:marRight w:val="0"/>
              <w:marTop w:val="0"/>
              <w:marBottom w:val="0"/>
              <w:divBdr>
                <w:top w:val="none" w:sz="0" w:space="0" w:color="auto"/>
                <w:left w:val="none" w:sz="0" w:space="0" w:color="auto"/>
                <w:bottom w:val="none" w:sz="0" w:space="0" w:color="auto"/>
                <w:right w:val="none" w:sz="0" w:space="0" w:color="auto"/>
              </w:divBdr>
            </w:div>
            <w:div w:id="1854342691">
              <w:marLeft w:val="0"/>
              <w:marRight w:val="0"/>
              <w:marTop w:val="0"/>
              <w:marBottom w:val="0"/>
              <w:divBdr>
                <w:top w:val="none" w:sz="0" w:space="0" w:color="auto"/>
                <w:left w:val="none" w:sz="0" w:space="0" w:color="auto"/>
                <w:bottom w:val="none" w:sz="0" w:space="0" w:color="auto"/>
                <w:right w:val="none" w:sz="0" w:space="0" w:color="auto"/>
              </w:divBdr>
            </w:div>
            <w:div w:id="1993092895">
              <w:marLeft w:val="0"/>
              <w:marRight w:val="0"/>
              <w:marTop w:val="0"/>
              <w:marBottom w:val="0"/>
              <w:divBdr>
                <w:top w:val="none" w:sz="0" w:space="0" w:color="auto"/>
                <w:left w:val="none" w:sz="0" w:space="0" w:color="auto"/>
                <w:bottom w:val="none" w:sz="0" w:space="0" w:color="auto"/>
                <w:right w:val="none" w:sz="0" w:space="0" w:color="auto"/>
              </w:divBdr>
            </w:div>
            <w:div w:id="20851002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79426893">
      <w:bodyDiv w:val="1"/>
      <w:marLeft w:val="0"/>
      <w:marRight w:val="0"/>
      <w:marTop w:val="0"/>
      <w:marBottom w:val="0"/>
      <w:divBdr>
        <w:top w:val="none" w:sz="0" w:space="0" w:color="auto"/>
        <w:left w:val="none" w:sz="0" w:space="0" w:color="auto"/>
        <w:bottom w:val="none" w:sz="0" w:space="0" w:color="auto"/>
        <w:right w:val="none" w:sz="0" w:space="0" w:color="auto"/>
      </w:divBdr>
      <w:divsChild>
        <w:div w:id="347802475">
          <w:marLeft w:val="547"/>
          <w:marRight w:val="0"/>
          <w:marTop w:val="96"/>
          <w:marBottom w:val="0"/>
          <w:divBdr>
            <w:top w:val="none" w:sz="0" w:space="0" w:color="auto"/>
            <w:left w:val="none" w:sz="0" w:space="0" w:color="auto"/>
            <w:bottom w:val="none" w:sz="0" w:space="0" w:color="auto"/>
            <w:right w:val="none" w:sz="0" w:space="0" w:color="auto"/>
          </w:divBdr>
        </w:div>
        <w:div w:id="746535926">
          <w:marLeft w:val="547"/>
          <w:marRight w:val="0"/>
          <w:marTop w:val="96"/>
          <w:marBottom w:val="0"/>
          <w:divBdr>
            <w:top w:val="none" w:sz="0" w:space="0" w:color="auto"/>
            <w:left w:val="none" w:sz="0" w:space="0" w:color="auto"/>
            <w:bottom w:val="none" w:sz="0" w:space="0" w:color="auto"/>
            <w:right w:val="none" w:sz="0" w:space="0" w:color="auto"/>
          </w:divBdr>
        </w:div>
        <w:div w:id="835192355">
          <w:marLeft w:val="547"/>
          <w:marRight w:val="0"/>
          <w:marTop w:val="96"/>
          <w:marBottom w:val="0"/>
          <w:divBdr>
            <w:top w:val="none" w:sz="0" w:space="0" w:color="auto"/>
            <w:left w:val="none" w:sz="0" w:space="0" w:color="auto"/>
            <w:bottom w:val="none" w:sz="0" w:space="0" w:color="auto"/>
            <w:right w:val="none" w:sz="0" w:space="0" w:color="auto"/>
          </w:divBdr>
        </w:div>
        <w:div w:id="1237204960">
          <w:marLeft w:val="547"/>
          <w:marRight w:val="0"/>
          <w:marTop w:val="96"/>
          <w:marBottom w:val="0"/>
          <w:divBdr>
            <w:top w:val="none" w:sz="0" w:space="0" w:color="auto"/>
            <w:left w:val="none" w:sz="0" w:space="0" w:color="auto"/>
            <w:bottom w:val="none" w:sz="0" w:space="0" w:color="auto"/>
            <w:right w:val="none" w:sz="0" w:space="0" w:color="auto"/>
          </w:divBdr>
        </w:div>
        <w:div w:id="1276519339">
          <w:marLeft w:val="547"/>
          <w:marRight w:val="0"/>
          <w:marTop w:val="96"/>
          <w:marBottom w:val="0"/>
          <w:divBdr>
            <w:top w:val="none" w:sz="0" w:space="0" w:color="auto"/>
            <w:left w:val="none" w:sz="0" w:space="0" w:color="auto"/>
            <w:bottom w:val="none" w:sz="0" w:space="0" w:color="auto"/>
            <w:right w:val="none" w:sz="0" w:space="0" w:color="auto"/>
          </w:divBdr>
        </w:div>
        <w:div w:id="1435982412">
          <w:marLeft w:val="1166"/>
          <w:marRight w:val="0"/>
          <w:marTop w:val="86"/>
          <w:marBottom w:val="0"/>
          <w:divBdr>
            <w:top w:val="none" w:sz="0" w:space="0" w:color="auto"/>
            <w:left w:val="none" w:sz="0" w:space="0" w:color="auto"/>
            <w:bottom w:val="none" w:sz="0" w:space="0" w:color="auto"/>
            <w:right w:val="none" w:sz="0" w:space="0" w:color="auto"/>
          </w:divBdr>
        </w:div>
        <w:div w:id="1493444992">
          <w:marLeft w:val="1166"/>
          <w:marRight w:val="0"/>
          <w:marTop w:val="86"/>
          <w:marBottom w:val="0"/>
          <w:divBdr>
            <w:top w:val="none" w:sz="0" w:space="0" w:color="auto"/>
            <w:left w:val="none" w:sz="0" w:space="0" w:color="auto"/>
            <w:bottom w:val="none" w:sz="0" w:space="0" w:color="auto"/>
            <w:right w:val="none" w:sz="0" w:space="0" w:color="auto"/>
          </w:divBdr>
        </w:div>
        <w:div w:id="1630550038">
          <w:marLeft w:val="1166"/>
          <w:marRight w:val="0"/>
          <w:marTop w:val="86"/>
          <w:marBottom w:val="0"/>
          <w:divBdr>
            <w:top w:val="none" w:sz="0" w:space="0" w:color="auto"/>
            <w:left w:val="none" w:sz="0" w:space="0" w:color="auto"/>
            <w:bottom w:val="none" w:sz="0" w:space="0" w:color="auto"/>
            <w:right w:val="none" w:sz="0" w:space="0" w:color="auto"/>
          </w:divBdr>
        </w:div>
        <w:div w:id="2027518729">
          <w:marLeft w:val="1166"/>
          <w:marRight w:val="0"/>
          <w:marTop w:val="86"/>
          <w:marBottom w:val="0"/>
          <w:divBdr>
            <w:top w:val="none" w:sz="0" w:space="0" w:color="auto"/>
            <w:left w:val="none" w:sz="0" w:space="0" w:color="auto"/>
            <w:bottom w:val="none" w:sz="0" w:space="0" w:color="auto"/>
            <w:right w:val="none" w:sz="0" w:space="0" w:color="auto"/>
          </w:divBdr>
        </w:div>
        <w:div w:id="2138990095">
          <w:marLeft w:val="1800"/>
          <w:marRight w:val="0"/>
          <w:marTop w:val="72"/>
          <w:marBottom w:val="0"/>
          <w:divBdr>
            <w:top w:val="none" w:sz="0" w:space="0" w:color="auto"/>
            <w:left w:val="none" w:sz="0" w:space="0" w:color="auto"/>
            <w:bottom w:val="none" w:sz="0" w:space="0" w:color="auto"/>
            <w:right w:val="none" w:sz="0" w:space="0" w:color="auto"/>
          </w:divBdr>
        </w:div>
      </w:divsChild>
    </w:div>
    <w:div w:id="680200403">
      <w:bodyDiv w:val="1"/>
      <w:marLeft w:val="0"/>
      <w:marRight w:val="0"/>
      <w:marTop w:val="0"/>
      <w:marBottom w:val="0"/>
      <w:divBdr>
        <w:top w:val="none" w:sz="0" w:space="0" w:color="auto"/>
        <w:left w:val="none" w:sz="0" w:space="0" w:color="auto"/>
        <w:bottom w:val="none" w:sz="0" w:space="0" w:color="auto"/>
        <w:right w:val="none" w:sz="0" w:space="0" w:color="auto"/>
      </w:divBdr>
    </w:div>
    <w:div w:id="680206454">
      <w:bodyDiv w:val="1"/>
      <w:marLeft w:val="0"/>
      <w:marRight w:val="0"/>
      <w:marTop w:val="0"/>
      <w:marBottom w:val="0"/>
      <w:divBdr>
        <w:top w:val="none" w:sz="0" w:space="0" w:color="auto"/>
        <w:left w:val="none" w:sz="0" w:space="0" w:color="auto"/>
        <w:bottom w:val="none" w:sz="0" w:space="0" w:color="auto"/>
        <w:right w:val="none" w:sz="0" w:space="0" w:color="auto"/>
      </w:divBdr>
    </w:div>
    <w:div w:id="680400595">
      <w:bodyDiv w:val="1"/>
      <w:marLeft w:val="0"/>
      <w:marRight w:val="0"/>
      <w:marTop w:val="0"/>
      <w:marBottom w:val="0"/>
      <w:divBdr>
        <w:top w:val="none" w:sz="0" w:space="0" w:color="auto"/>
        <w:left w:val="none" w:sz="0" w:space="0" w:color="auto"/>
        <w:bottom w:val="none" w:sz="0" w:space="0" w:color="auto"/>
        <w:right w:val="none" w:sz="0" w:space="0" w:color="auto"/>
      </w:divBdr>
    </w:div>
    <w:div w:id="680476795">
      <w:bodyDiv w:val="1"/>
      <w:marLeft w:val="0"/>
      <w:marRight w:val="0"/>
      <w:marTop w:val="0"/>
      <w:marBottom w:val="0"/>
      <w:divBdr>
        <w:top w:val="none" w:sz="0" w:space="0" w:color="auto"/>
        <w:left w:val="none" w:sz="0" w:space="0" w:color="auto"/>
        <w:bottom w:val="none" w:sz="0" w:space="0" w:color="auto"/>
        <w:right w:val="none" w:sz="0" w:space="0" w:color="auto"/>
      </w:divBdr>
      <w:divsChild>
        <w:div w:id="861552969">
          <w:marLeft w:val="1166"/>
          <w:marRight w:val="0"/>
          <w:marTop w:val="134"/>
          <w:marBottom w:val="0"/>
          <w:divBdr>
            <w:top w:val="none" w:sz="0" w:space="0" w:color="auto"/>
            <w:left w:val="none" w:sz="0" w:space="0" w:color="auto"/>
            <w:bottom w:val="none" w:sz="0" w:space="0" w:color="auto"/>
            <w:right w:val="none" w:sz="0" w:space="0" w:color="auto"/>
          </w:divBdr>
        </w:div>
        <w:div w:id="1644970784">
          <w:marLeft w:val="1166"/>
          <w:marRight w:val="0"/>
          <w:marTop w:val="134"/>
          <w:marBottom w:val="0"/>
          <w:divBdr>
            <w:top w:val="none" w:sz="0" w:space="0" w:color="auto"/>
            <w:left w:val="none" w:sz="0" w:space="0" w:color="auto"/>
            <w:bottom w:val="none" w:sz="0" w:space="0" w:color="auto"/>
            <w:right w:val="none" w:sz="0" w:space="0" w:color="auto"/>
          </w:divBdr>
        </w:div>
        <w:div w:id="1660425769">
          <w:marLeft w:val="1166"/>
          <w:marRight w:val="0"/>
          <w:marTop w:val="134"/>
          <w:marBottom w:val="0"/>
          <w:divBdr>
            <w:top w:val="none" w:sz="0" w:space="0" w:color="auto"/>
            <w:left w:val="none" w:sz="0" w:space="0" w:color="auto"/>
            <w:bottom w:val="none" w:sz="0" w:space="0" w:color="auto"/>
            <w:right w:val="none" w:sz="0" w:space="0" w:color="auto"/>
          </w:divBdr>
        </w:div>
        <w:div w:id="1694040641">
          <w:marLeft w:val="547"/>
          <w:marRight w:val="0"/>
          <w:marTop w:val="154"/>
          <w:marBottom w:val="0"/>
          <w:divBdr>
            <w:top w:val="none" w:sz="0" w:space="0" w:color="auto"/>
            <w:left w:val="none" w:sz="0" w:space="0" w:color="auto"/>
            <w:bottom w:val="none" w:sz="0" w:space="0" w:color="auto"/>
            <w:right w:val="none" w:sz="0" w:space="0" w:color="auto"/>
          </w:divBdr>
        </w:div>
        <w:div w:id="2133594242">
          <w:marLeft w:val="1166"/>
          <w:marRight w:val="0"/>
          <w:marTop w:val="134"/>
          <w:marBottom w:val="0"/>
          <w:divBdr>
            <w:top w:val="none" w:sz="0" w:space="0" w:color="auto"/>
            <w:left w:val="none" w:sz="0" w:space="0" w:color="auto"/>
            <w:bottom w:val="none" w:sz="0" w:space="0" w:color="auto"/>
            <w:right w:val="none" w:sz="0" w:space="0" w:color="auto"/>
          </w:divBdr>
        </w:div>
      </w:divsChild>
    </w:div>
    <w:div w:id="680547776">
      <w:bodyDiv w:val="1"/>
      <w:marLeft w:val="0"/>
      <w:marRight w:val="0"/>
      <w:marTop w:val="0"/>
      <w:marBottom w:val="0"/>
      <w:divBdr>
        <w:top w:val="none" w:sz="0" w:space="0" w:color="auto"/>
        <w:left w:val="none" w:sz="0" w:space="0" w:color="auto"/>
        <w:bottom w:val="none" w:sz="0" w:space="0" w:color="auto"/>
        <w:right w:val="none" w:sz="0" w:space="0" w:color="auto"/>
      </w:divBdr>
    </w:div>
    <w:div w:id="680813363">
      <w:bodyDiv w:val="1"/>
      <w:marLeft w:val="0"/>
      <w:marRight w:val="0"/>
      <w:marTop w:val="0"/>
      <w:marBottom w:val="0"/>
      <w:divBdr>
        <w:top w:val="none" w:sz="0" w:space="0" w:color="auto"/>
        <w:left w:val="none" w:sz="0" w:space="0" w:color="auto"/>
        <w:bottom w:val="none" w:sz="0" w:space="0" w:color="auto"/>
        <w:right w:val="none" w:sz="0" w:space="0" w:color="auto"/>
      </w:divBdr>
    </w:div>
    <w:div w:id="681473263">
      <w:bodyDiv w:val="1"/>
      <w:marLeft w:val="0"/>
      <w:marRight w:val="0"/>
      <w:marTop w:val="0"/>
      <w:marBottom w:val="0"/>
      <w:divBdr>
        <w:top w:val="none" w:sz="0" w:space="0" w:color="auto"/>
        <w:left w:val="none" w:sz="0" w:space="0" w:color="auto"/>
        <w:bottom w:val="none" w:sz="0" w:space="0" w:color="auto"/>
        <w:right w:val="none" w:sz="0" w:space="0" w:color="auto"/>
      </w:divBdr>
      <w:divsChild>
        <w:div w:id="289627213">
          <w:marLeft w:val="547"/>
          <w:marRight w:val="0"/>
          <w:marTop w:val="115"/>
          <w:marBottom w:val="0"/>
          <w:divBdr>
            <w:top w:val="none" w:sz="0" w:space="0" w:color="auto"/>
            <w:left w:val="none" w:sz="0" w:space="0" w:color="auto"/>
            <w:bottom w:val="none" w:sz="0" w:space="0" w:color="auto"/>
            <w:right w:val="none" w:sz="0" w:space="0" w:color="auto"/>
          </w:divBdr>
        </w:div>
        <w:div w:id="1174568471">
          <w:marLeft w:val="547"/>
          <w:marRight w:val="0"/>
          <w:marTop w:val="115"/>
          <w:marBottom w:val="0"/>
          <w:divBdr>
            <w:top w:val="none" w:sz="0" w:space="0" w:color="auto"/>
            <w:left w:val="none" w:sz="0" w:space="0" w:color="auto"/>
            <w:bottom w:val="none" w:sz="0" w:space="0" w:color="auto"/>
            <w:right w:val="none" w:sz="0" w:space="0" w:color="auto"/>
          </w:divBdr>
        </w:div>
        <w:div w:id="1371765518">
          <w:marLeft w:val="1166"/>
          <w:marRight w:val="0"/>
          <w:marTop w:val="96"/>
          <w:marBottom w:val="0"/>
          <w:divBdr>
            <w:top w:val="none" w:sz="0" w:space="0" w:color="auto"/>
            <w:left w:val="none" w:sz="0" w:space="0" w:color="auto"/>
            <w:bottom w:val="none" w:sz="0" w:space="0" w:color="auto"/>
            <w:right w:val="none" w:sz="0" w:space="0" w:color="auto"/>
          </w:divBdr>
        </w:div>
      </w:divsChild>
    </w:div>
    <w:div w:id="681594362">
      <w:bodyDiv w:val="1"/>
      <w:marLeft w:val="0"/>
      <w:marRight w:val="0"/>
      <w:marTop w:val="0"/>
      <w:marBottom w:val="0"/>
      <w:divBdr>
        <w:top w:val="none" w:sz="0" w:space="0" w:color="auto"/>
        <w:left w:val="none" w:sz="0" w:space="0" w:color="auto"/>
        <w:bottom w:val="none" w:sz="0" w:space="0" w:color="auto"/>
        <w:right w:val="none" w:sz="0" w:space="0" w:color="auto"/>
      </w:divBdr>
    </w:div>
    <w:div w:id="682047780">
      <w:bodyDiv w:val="1"/>
      <w:marLeft w:val="0"/>
      <w:marRight w:val="0"/>
      <w:marTop w:val="0"/>
      <w:marBottom w:val="0"/>
      <w:divBdr>
        <w:top w:val="none" w:sz="0" w:space="0" w:color="auto"/>
        <w:left w:val="none" w:sz="0" w:space="0" w:color="auto"/>
        <w:bottom w:val="none" w:sz="0" w:space="0" w:color="auto"/>
        <w:right w:val="none" w:sz="0" w:space="0" w:color="auto"/>
      </w:divBdr>
      <w:divsChild>
        <w:div w:id="550187976">
          <w:marLeft w:val="0"/>
          <w:marRight w:val="0"/>
          <w:marTop w:val="0"/>
          <w:marBottom w:val="0"/>
          <w:divBdr>
            <w:top w:val="none" w:sz="0" w:space="0" w:color="auto"/>
            <w:left w:val="none" w:sz="0" w:space="0" w:color="auto"/>
            <w:bottom w:val="none" w:sz="0" w:space="0" w:color="auto"/>
            <w:right w:val="none" w:sz="0" w:space="0" w:color="auto"/>
          </w:divBdr>
        </w:div>
      </w:divsChild>
    </w:div>
    <w:div w:id="682129704">
      <w:bodyDiv w:val="1"/>
      <w:marLeft w:val="0"/>
      <w:marRight w:val="0"/>
      <w:marTop w:val="0"/>
      <w:marBottom w:val="0"/>
      <w:divBdr>
        <w:top w:val="none" w:sz="0" w:space="0" w:color="auto"/>
        <w:left w:val="none" w:sz="0" w:space="0" w:color="auto"/>
        <w:bottom w:val="none" w:sz="0" w:space="0" w:color="auto"/>
        <w:right w:val="none" w:sz="0" w:space="0" w:color="auto"/>
      </w:divBdr>
    </w:div>
    <w:div w:id="682706181">
      <w:bodyDiv w:val="1"/>
      <w:marLeft w:val="0"/>
      <w:marRight w:val="0"/>
      <w:marTop w:val="0"/>
      <w:marBottom w:val="0"/>
      <w:divBdr>
        <w:top w:val="none" w:sz="0" w:space="0" w:color="auto"/>
        <w:left w:val="none" w:sz="0" w:space="0" w:color="auto"/>
        <w:bottom w:val="none" w:sz="0" w:space="0" w:color="auto"/>
        <w:right w:val="none" w:sz="0" w:space="0" w:color="auto"/>
      </w:divBdr>
    </w:div>
    <w:div w:id="682898947">
      <w:bodyDiv w:val="1"/>
      <w:marLeft w:val="0"/>
      <w:marRight w:val="0"/>
      <w:marTop w:val="0"/>
      <w:marBottom w:val="0"/>
      <w:divBdr>
        <w:top w:val="none" w:sz="0" w:space="0" w:color="auto"/>
        <w:left w:val="none" w:sz="0" w:space="0" w:color="auto"/>
        <w:bottom w:val="none" w:sz="0" w:space="0" w:color="auto"/>
        <w:right w:val="none" w:sz="0" w:space="0" w:color="auto"/>
      </w:divBdr>
    </w:div>
    <w:div w:id="683552560">
      <w:bodyDiv w:val="1"/>
      <w:marLeft w:val="0"/>
      <w:marRight w:val="0"/>
      <w:marTop w:val="0"/>
      <w:marBottom w:val="0"/>
      <w:divBdr>
        <w:top w:val="none" w:sz="0" w:space="0" w:color="auto"/>
        <w:left w:val="none" w:sz="0" w:space="0" w:color="auto"/>
        <w:bottom w:val="none" w:sz="0" w:space="0" w:color="auto"/>
        <w:right w:val="none" w:sz="0" w:space="0" w:color="auto"/>
      </w:divBdr>
    </w:div>
    <w:div w:id="684288374">
      <w:bodyDiv w:val="1"/>
      <w:marLeft w:val="0"/>
      <w:marRight w:val="0"/>
      <w:marTop w:val="0"/>
      <w:marBottom w:val="0"/>
      <w:divBdr>
        <w:top w:val="none" w:sz="0" w:space="0" w:color="auto"/>
        <w:left w:val="none" w:sz="0" w:space="0" w:color="auto"/>
        <w:bottom w:val="none" w:sz="0" w:space="0" w:color="auto"/>
        <w:right w:val="none" w:sz="0" w:space="0" w:color="auto"/>
      </w:divBdr>
    </w:div>
    <w:div w:id="684551105">
      <w:bodyDiv w:val="1"/>
      <w:marLeft w:val="0"/>
      <w:marRight w:val="0"/>
      <w:marTop w:val="0"/>
      <w:marBottom w:val="0"/>
      <w:divBdr>
        <w:top w:val="none" w:sz="0" w:space="0" w:color="auto"/>
        <w:left w:val="none" w:sz="0" w:space="0" w:color="auto"/>
        <w:bottom w:val="none" w:sz="0" w:space="0" w:color="auto"/>
        <w:right w:val="none" w:sz="0" w:space="0" w:color="auto"/>
      </w:divBdr>
    </w:div>
    <w:div w:id="684751803">
      <w:bodyDiv w:val="1"/>
      <w:marLeft w:val="0"/>
      <w:marRight w:val="0"/>
      <w:marTop w:val="0"/>
      <w:marBottom w:val="0"/>
      <w:divBdr>
        <w:top w:val="none" w:sz="0" w:space="0" w:color="auto"/>
        <w:left w:val="none" w:sz="0" w:space="0" w:color="auto"/>
        <w:bottom w:val="none" w:sz="0" w:space="0" w:color="auto"/>
        <w:right w:val="none" w:sz="0" w:space="0" w:color="auto"/>
      </w:divBdr>
      <w:divsChild>
        <w:div w:id="416219658">
          <w:marLeft w:val="547"/>
          <w:marRight w:val="0"/>
          <w:marTop w:val="120"/>
          <w:marBottom w:val="0"/>
          <w:divBdr>
            <w:top w:val="none" w:sz="0" w:space="0" w:color="auto"/>
            <w:left w:val="none" w:sz="0" w:space="0" w:color="auto"/>
            <w:bottom w:val="none" w:sz="0" w:space="0" w:color="auto"/>
            <w:right w:val="none" w:sz="0" w:space="0" w:color="auto"/>
          </w:divBdr>
        </w:div>
        <w:div w:id="639964489">
          <w:marLeft w:val="547"/>
          <w:marRight w:val="0"/>
          <w:marTop w:val="120"/>
          <w:marBottom w:val="0"/>
          <w:divBdr>
            <w:top w:val="none" w:sz="0" w:space="0" w:color="auto"/>
            <w:left w:val="none" w:sz="0" w:space="0" w:color="auto"/>
            <w:bottom w:val="none" w:sz="0" w:space="0" w:color="auto"/>
            <w:right w:val="none" w:sz="0" w:space="0" w:color="auto"/>
          </w:divBdr>
        </w:div>
        <w:div w:id="693531605">
          <w:marLeft w:val="1166"/>
          <w:marRight w:val="0"/>
          <w:marTop w:val="106"/>
          <w:marBottom w:val="0"/>
          <w:divBdr>
            <w:top w:val="none" w:sz="0" w:space="0" w:color="auto"/>
            <w:left w:val="none" w:sz="0" w:space="0" w:color="auto"/>
            <w:bottom w:val="none" w:sz="0" w:space="0" w:color="auto"/>
            <w:right w:val="none" w:sz="0" w:space="0" w:color="auto"/>
          </w:divBdr>
        </w:div>
        <w:div w:id="949892986">
          <w:marLeft w:val="1800"/>
          <w:marRight w:val="0"/>
          <w:marTop w:val="91"/>
          <w:marBottom w:val="0"/>
          <w:divBdr>
            <w:top w:val="none" w:sz="0" w:space="0" w:color="auto"/>
            <w:left w:val="none" w:sz="0" w:space="0" w:color="auto"/>
            <w:bottom w:val="none" w:sz="0" w:space="0" w:color="auto"/>
            <w:right w:val="none" w:sz="0" w:space="0" w:color="auto"/>
          </w:divBdr>
        </w:div>
        <w:div w:id="957175349">
          <w:marLeft w:val="1800"/>
          <w:marRight w:val="0"/>
          <w:marTop w:val="91"/>
          <w:marBottom w:val="0"/>
          <w:divBdr>
            <w:top w:val="none" w:sz="0" w:space="0" w:color="auto"/>
            <w:left w:val="none" w:sz="0" w:space="0" w:color="auto"/>
            <w:bottom w:val="none" w:sz="0" w:space="0" w:color="auto"/>
            <w:right w:val="none" w:sz="0" w:space="0" w:color="auto"/>
          </w:divBdr>
        </w:div>
        <w:div w:id="1297029744">
          <w:marLeft w:val="1166"/>
          <w:marRight w:val="0"/>
          <w:marTop w:val="106"/>
          <w:marBottom w:val="0"/>
          <w:divBdr>
            <w:top w:val="none" w:sz="0" w:space="0" w:color="auto"/>
            <w:left w:val="none" w:sz="0" w:space="0" w:color="auto"/>
            <w:bottom w:val="none" w:sz="0" w:space="0" w:color="auto"/>
            <w:right w:val="none" w:sz="0" w:space="0" w:color="auto"/>
          </w:divBdr>
        </w:div>
        <w:div w:id="1432509113">
          <w:marLeft w:val="547"/>
          <w:marRight w:val="0"/>
          <w:marTop w:val="120"/>
          <w:marBottom w:val="0"/>
          <w:divBdr>
            <w:top w:val="none" w:sz="0" w:space="0" w:color="auto"/>
            <w:left w:val="none" w:sz="0" w:space="0" w:color="auto"/>
            <w:bottom w:val="none" w:sz="0" w:space="0" w:color="auto"/>
            <w:right w:val="none" w:sz="0" w:space="0" w:color="auto"/>
          </w:divBdr>
        </w:div>
        <w:div w:id="1792941111">
          <w:marLeft w:val="1166"/>
          <w:marRight w:val="0"/>
          <w:marTop w:val="106"/>
          <w:marBottom w:val="0"/>
          <w:divBdr>
            <w:top w:val="none" w:sz="0" w:space="0" w:color="auto"/>
            <w:left w:val="none" w:sz="0" w:space="0" w:color="auto"/>
            <w:bottom w:val="none" w:sz="0" w:space="0" w:color="auto"/>
            <w:right w:val="none" w:sz="0" w:space="0" w:color="auto"/>
          </w:divBdr>
        </w:div>
        <w:div w:id="1897936650">
          <w:marLeft w:val="1166"/>
          <w:marRight w:val="0"/>
          <w:marTop w:val="106"/>
          <w:marBottom w:val="0"/>
          <w:divBdr>
            <w:top w:val="none" w:sz="0" w:space="0" w:color="auto"/>
            <w:left w:val="none" w:sz="0" w:space="0" w:color="auto"/>
            <w:bottom w:val="none" w:sz="0" w:space="0" w:color="auto"/>
            <w:right w:val="none" w:sz="0" w:space="0" w:color="auto"/>
          </w:divBdr>
        </w:div>
        <w:div w:id="2046254421">
          <w:marLeft w:val="1166"/>
          <w:marRight w:val="0"/>
          <w:marTop w:val="106"/>
          <w:marBottom w:val="0"/>
          <w:divBdr>
            <w:top w:val="none" w:sz="0" w:space="0" w:color="auto"/>
            <w:left w:val="none" w:sz="0" w:space="0" w:color="auto"/>
            <w:bottom w:val="none" w:sz="0" w:space="0" w:color="auto"/>
            <w:right w:val="none" w:sz="0" w:space="0" w:color="auto"/>
          </w:divBdr>
        </w:div>
      </w:divsChild>
    </w:div>
    <w:div w:id="686173205">
      <w:bodyDiv w:val="1"/>
      <w:marLeft w:val="0"/>
      <w:marRight w:val="0"/>
      <w:marTop w:val="0"/>
      <w:marBottom w:val="0"/>
      <w:divBdr>
        <w:top w:val="none" w:sz="0" w:space="0" w:color="auto"/>
        <w:left w:val="none" w:sz="0" w:space="0" w:color="auto"/>
        <w:bottom w:val="none" w:sz="0" w:space="0" w:color="auto"/>
        <w:right w:val="none" w:sz="0" w:space="0" w:color="auto"/>
      </w:divBdr>
      <w:divsChild>
        <w:div w:id="245649676">
          <w:marLeft w:val="2520"/>
          <w:marRight w:val="0"/>
          <w:marTop w:val="67"/>
          <w:marBottom w:val="0"/>
          <w:divBdr>
            <w:top w:val="none" w:sz="0" w:space="0" w:color="auto"/>
            <w:left w:val="none" w:sz="0" w:space="0" w:color="auto"/>
            <w:bottom w:val="none" w:sz="0" w:space="0" w:color="auto"/>
            <w:right w:val="none" w:sz="0" w:space="0" w:color="auto"/>
          </w:divBdr>
        </w:div>
        <w:div w:id="405618130">
          <w:marLeft w:val="1166"/>
          <w:marRight w:val="0"/>
          <w:marTop w:val="96"/>
          <w:marBottom w:val="0"/>
          <w:divBdr>
            <w:top w:val="none" w:sz="0" w:space="0" w:color="auto"/>
            <w:left w:val="none" w:sz="0" w:space="0" w:color="auto"/>
            <w:bottom w:val="none" w:sz="0" w:space="0" w:color="auto"/>
            <w:right w:val="none" w:sz="0" w:space="0" w:color="auto"/>
          </w:divBdr>
        </w:div>
        <w:div w:id="428819854">
          <w:marLeft w:val="1166"/>
          <w:marRight w:val="0"/>
          <w:marTop w:val="106"/>
          <w:marBottom w:val="0"/>
          <w:divBdr>
            <w:top w:val="none" w:sz="0" w:space="0" w:color="auto"/>
            <w:left w:val="none" w:sz="0" w:space="0" w:color="auto"/>
            <w:bottom w:val="none" w:sz="0" w:space="0" w:color="auto"/>
            <w:right w:val="none" w:sz="0" w:space="0" w:color="auto"/>
          </w:divBdr>
        </w:div>
        <w:div w:id="513956243">
          <w:marLeft w:val="1800"/>
          <w:marRight w:val="0"/>
          <w:marTop w:val="86"/>
          <w:marBottom w:val="0"/>
          <w:divBdr>
            <w:top w:val="none" w:sz="0" w:space="0" w:color="auto"/>
            <w:left w:val="none" w:sz="0" w:space="0" w:color="auto"/>
            <w:bottom w:val="none" w:sz="0" w:space="0" w:color="auto"/>
            <w:right w:val="none" w:sz="0" w:space="0" w:color="auto"/>
          </w:divBdr>
        </w:div>
        <w:div w:id="544146353">
          <w:marLeft w:val="1800"/>
          <w:marRight w:val="0"/>
          <w:marTop w:val="86"/>
          <w:marBottom w:val="0"/>
          <w:divBdr>
            <w:top w:val="none" w:sz="0" w:space="0" w:color="auto"/>
            <w:left w:val="none" w:sz="0" w:space="0" w:color="auto"/>
            <w:bottom w:val="none" w:sz="0" w:space="0" w:color="auto"/>
            <w:right w:val="none" w:sz="0" w:space="0" w:color="auto"/>
          </w:divBdr>
        </w:div>
        <w:div w:id="604701588">
          <w:marLeft w:val="1166"/>
          <w:marRight w:val="0"/>
          <w:marTop w:val="106"/>
          <w:marBottom w:val="0"/>
          <w:divBdr>
            <w:top w:val="none" w:sz="0" w:space="0" w:color="auto"/>
            <w:left w:val="none" w:sz="0" w:space="0" w:color="auto"/>
            <w:bottom w:val="none" w:sz="0" w:space="0" w:color="auto"/>
            <w:right w:val="none" w:sz="0" w:space="0" w:color="auto"/>
          </w:divBdr>
        </w:div>
        <w:div w:id="725642720">
          <w:marLeft w:val="1800"/>
          <w:marRight w:val="0"/>
          <w:marTop w:val="86"/>
          <w:marBottom w:val="0"/>
          <w:divBdr>
            <w:top w:val="none" w:sz="0" w:space="0" w:color="auto"/>
            <w:left w:val="none" w:sz="0" w:space="0" w:color="auto"/>
            <w:bottom w:val="none" w:sz="0" w:space="0" w:color="auto"/>
            <w:right w:val="none" w:sz="0" w:space="0" w:color="auto"/>
          </w:divBdr>
        </w:div>
        <w:div w:id="1044212940">
          <w:marLeft w:val="547"/>
          <w:marRight w:val="0"/>
          <w:marTop w:val="115"/>
          <w:marBottom w:val="0"/>
          <w:divBdr>
            <w:top w:val="none" w:sz="0" w:space="0" w:color="auto"/>
            <w:left w:val="none" w:sz="0" w:space="0" w:color="auto"/>
            <w:bottom w:val="none" w:sz="0" w:space="0" w:color="auto"/>
            <w:right w:val="none" w:sz="0" w:space="0" w:color="auto"/>
          </w:divBdr>
        </w:div>
        <w:div w:id="1051807776">
          <w:marLeft w:val="2520"/>
          <w:marRight w:val="0"/>
          <w:marTop w:val="67"/>
          <w:marBottom w:val="0"/>
          <w:divBdr>
            <w:top w:val="none" w:sz="0" w:space="0" w:color="auto"/>
            <w:left w:val="none" w:sz="0" w:space="0" w:color="auto"/>
            <w:bottom w:val="none" w:sz="0" w:space="0" w:color="auto"/>
            <w:right w:val="none" w:sz="0" w:space="0" w:color="auto"/>
          </w:divBdr>
        </w:div>
        <w:div w:id="1460760048">
          <w:marLeft w:val="2520"/>
          <w:marRight w:val="0"/>
          <w:marTop w:val="67"/>
          <w:marBottom w:val="0"/>
          <w:divBdr>
            <w:top w:val="none" w:sz="0" w:space="0" w:color="auto"/>
            <w:left w:val="none" w:sz="0" w:space="0" w:color="auto"/>
            <w:bottom w:val="none" w:sz="0" w:space="0" w:color="auto"/>
            <w:right w:val="none" w:sz="0" w:space="0" w:color="auto"/>
          </w:divBdr>
        </w:div>
        <w:div w:id="1762677867">
          <w:marLeft w:val="1800"/>
          <w:marRight w:val="0"/>
          <w:marTop w:val="86"/>
          <w:marBottom w:val="0"/>
          <w:divBdr>
            <w:top w:val="none" w:sz="0" w:space="0" w:color="auto"/>
            <w:left w:val="none" w:sz="0" w:space="0" w:color="auto"/>
            <w:bottom w:val="none" w:sz="0" w:space="0" w:color="auto"/>
            <w:right w:val="none" w:sz="0" w:space="0" w:color="auto"/>
          </w:divBdr>
        </w:div>
      </w:divsChild>
    </w:div>
    <w:div w:id="686368306">
      <w:bodyDiv w:val="1"/>
      <w:marLeft w:val="0"/>
      <w:marRight w:val="0"/>
      <w:marTop w:val="0"/>
      <w:marBottom w:val="0"/>
      <w:divBdr>
        <w:top w:val="none" w:sz="0" w:space="0" w:color="auto"/>
        <w:left w:val="none" w:sz="0" w:space="0" w:color="auto"/>
        <w:bottom w:val="none" w:sz="0" w:space="0" w:color="auto"/>
        <w:right w:val="none" w:sz="0" w:space="0" w:color="auto"/>
      </w:divBdr>
    </w:div>
    <w:div w:id="686368361">
      <w:bodyDiv w:val="1"/>
      <w:marLeft w:val="0"/>
      <w:marRight w:val="0"/>
      <w:marTop w:val="0"/>
      <w:marBottom w:val="0"/>
      <w:divBdr>
        <w:top w:val="none" w:sz="0" w:space="0" w:color="auto"/>
        <w:left w:val="none" w:sz="0" w:space="0" w:color="auto"/>
        <w:bottom w:val="none" w:sz="0" w:space="0" w:color="auto"/>
        <w:right w:val="none" w:sz="0" w:space="0" w:color="auto"/>
      </w:divBdr>
    </w:div>
    <w:div w:id="686637659">
      <w:bodyDiv w:val="1"/>
      <w:marLeft w:val="0"/>
      <w:marRight w:val="0"/>
      <w:marTop w:val="0"/>
      <w:marBottom w:val="0"/>
      <w:divBdr>
        <w:top w:val="none" w:sz="0" w:space="0" w:color="auto"/>
        <w:left w:val="none" w:sz="0" w:space="0" w:color="auto"/>
        <w:bottom w:val="none" w:sz="0" w:space="0" w:color="auto"/>
        <w:right w:val="none" w:sz="0" w:space="0" w:color="auto"/>
      </w:divBdr>
    </w:div>
    <w:div w:id="686639317">
      <w:bodyDiv w:val="1"/>
      <w:marLeft w:val="0"/>
      <w:marRight w:val="0"/>
      <w:marTop w:val="0"/>
      <w:marBottom w:val="0"/>
      <w:divBdr>
        <w:top w:val="none" w:sz="0" w:space="0" w:color="auto"/>
        <w:left w:val="none" w:sz="0" w:space="0" w:color="auto"/>
        <w:bottom w:val="none" w:sz="0" w:space="0" w:color="auto"/>
        <w:right w:val="none" w:sz="0" w:space="0" w:color="auto"/>
      </w:divBdr>
      <w:divsChild>
        <w:div w:id="473530331">
          <w:marLeft w:val="0"/>
          <w:marRight w:val="0"/>
          <w:marTop w:val="0"/>
          <w:marBottom w:val="0"/>
          <w:divBdr>
            <w:top w:val="none" w:sz="0" w:space="0" w:color="auto"/>
            <w:left w:val="none" w:sz="0" w:space="0" w:color="auto"/>
            <w:bottom w:val="none" w:sz="0" w:space="0" w:color="auto"/>
            <w:right w:val="none" w:sz="0" w:space="0" w:color="auto"/>
          </w:divBdr>
        </w:div>
      </w:divsChild>
    </w:div>
    <w:div w:id="686756398">
      <w:bodyDiv w:val="1"/>
      <w:marLeft w:val="0"/>
      <w:marRight w:val="0"/>
      <w:marTop w:val="0"/>
      <w:marBottom w:val="0"/>
      <w:divBdr>
        <w:top w:val="none" w:sz="0" w:space="0" w:color="auto"/>
        <w:left w:val="none" w:sz="0" w:space="0" w:color="auto"/>
        <w:bottom w:val="none" w:sz="0" w:space="0" w:color="auto"/>
        <w:right w:val="none" w:sz="0" w:space="0" w:color="auto"/>
      </w:divBdr>
      <w:divsChild>
        <w:div w:id="70393133">
          <w:marLeft w:val="1166"/>
          <w:marRight w:val="0"/>
          <w:marTop w:val="0"/>
          <w:marBottom w:val="60"/>
          <w:divBdr>
            <w:top w:val="none" w:sz="0" w:space="0" w:color="auto"/>
            <w:left w:val="none" w:sz="0" w:space="0" w:color="auto"/>
            <w:bottom w:val="none" w:sz="0" w:space="0" w:color="auto"/>
            <w:right w:val="none" w:sz="0" w:space="0" w:color="auto"/>
          </w:divBdr>
        </w:div>
        <w:div w:id="341317831">
          <w:marLeft w:val="1166"/>
          <w:marRight w:val="0"/>
          <w:marTop w:val="0"/>
          <w:marBottom w:val="60"/>
          <w:divBdr>
            <w:top w:val="none" w:sz="0" w:space="0" w:color="auto"/>
            <w:left w:val="none" w:sz="0" w:space="0" w:color="auto"/>
            <w:bottom w:val="none" w:sz="0" w:space="0" w:color="auto"/>
            <w:right w:val="none" w:sz="0" w:space="0" w:color="auto"/>
          </w:divBdr>
        </w:div>
        <w:div w:id="449978255">
          <w:marLeft w:val="2520"/>
          <w:marRight w:val="0"/>
          <w:marTop w:val="0"/>
          <w:marBottom w:val="60"/>
          <w:divBdr>
            <w:top w:val="none" w:sz="0" w:space="0" w:color="auto"/>
            <w:left w:val="none" w:sz="0" w:space="0" w:color="auto"/>
            <w:bottom w:val="none" w:sz="0" w:space="0" w:color="auto"/>
            <w:right w:val="none" w:sz="0" w:space="0" w:color="auto"/>
          </w:divBdr>
        </w:div>
        <w:div w:id="495847458">
          <w:marLeft w:val="1800"/>
          <w:marRight w:val="0"/>
          <w:marTop w:val="0"/>
          <w:marBottom w:val="60"/>
          <w:divBdr>
            <w:top w:val="none" w:sz="0" w:space="0" w:color="auto"/>
            <w:left w:val="none" w:sz="0" w:space="0" w:color="auto"/>
            <w:bottom w:val="none" w:sz="0" w:space="0" w:color="auto"/>
            <w:right w:val="none" w:sz="0" w:space="0" w:color="auto"/>
          </w:divBdr>
        </w:div>
        <w:div w:id="606012013">
          <w:marLeft w:val="1166"/>
          <w:marRight w:val="0"/>
          <w:marTop w:val="0"/>
          <w:marBottom w:val="60"/>
          <w:divBdr>
            <w:top w:val="none" w:sz="0" w:space="0" w:color="auto"/>
            <w:left w:val="none" w:sz="0" w:space="0" w:color="auto"/>
            <w:bottom w:val="none" w:sz="0" w:space="0" w:color="auto"/>
            <w:right w:val="none" w:sz="0" w:space="0" w:color="auto"/>
          </w:divBdr>
        </w:div>
        <w:div w:id="649792180">
          <w:marLeft w:val="1800"/>
          <w:marRight w:val="0"/>
          <w:marTop w:val="0"/>
          <w:marBottom w:val="60"/>
          <w:divBdr>
            <w:top w:val="none" w:sz="0" w:space="0" w:color="auto"/>
            <w:left w:val="none" w:sz="0" w:space="0" w:color="auto"/>
            <w:bottom w:val="none" w:sz="0" w:space="0" w:color="auto"/>
            <w:right w:val="none" w:sz="0" w:space="0" w:color="auto"/>
          </w:divBdr>
        </w:div>
        <w:div w:id="654800798">
          <w:marLeft w:val="1166"/>
          <w:marRight w:val="0"/>
          <w:marTop w:val="0"/>
          <w:marBottom w:val="60"/>
          <w:divBdr>
            <w:top w:val="none" w:sz="0" w:space="0" w:color="auto"/>
            <w:left w:val="none" w:sz="0" w:space="0" w:color="auto"/>
            <w:bottom w:val="none" w:sz="0" w:space="0" w:color="auto"/>
            <w:right w:val="none" w:sz="0" w:space="0" w:color="auto"/>
          </w:divBdr>
        </w:div>
        <w:div w:id="1020159724">
          <w:marLeft w:val="547"/>
          <w:marRight w:val="0"/>
          <w:marTop w:val="0"/>
          <w:marBottom w:val="60"/>
          <w:divBdr>
            <w:top w:val="none" w:sz="0" w:space="0" w:color="auto"/>
            <w:left w:val="none" w:sz="0" w:space="0" w:color="auto"/>
            <w:bottom w:val="none" w:sz="0" w:space="0" w:color="auto"/>
            <w:right w:val="none" w:sz="0" w:space="0" w:color="auto"/>
          </w:divBdr>
        </w:div>
        <w:div w:id="1148132889">
          <w:marLeft w:val="1800"/>
          <w:marRight w:val="0"/>
          <w:marTop w:val="0"/>
          <w:marBottom w:val="60"/>
          <w:divBdr>
            <w:top w:val="none" w:sz="0" w:space="0" w:color="auto"/>
            <w:left w:val="none" w:sz="0" w:space="0" w:color="auto"/>
            <w:bottom w:val="none" w:sz="0" w:space="0" w:color="auto"/>
            <w:right w:val="none" w:sz="0" w:space="0" w:color="auto"/>
          </w:divBdr>
        </w:div>
        <w:div w:id="1258295475">
          <w:marLeft w:val="1800"/>
          <w:marRight w:val="0"/>
          <w:marTop w:val="0"/>
          <w:marBottom w:val="60"/>
          <w:divBdr>
            <w:top w:val="none" w:sz="0" w:space="0" w:color="auto"/>
            <w:left w:val="none" w:sz="0" w:space="0" w:color="auto"/>
            <w:bottom w:val="none" w:sz="0" w:space="0" w:color="auto"/>
            <w:right w:val="none" w:sz="0" w:space="0" w:color="auto"/>
          </w:divBdr>
        </w:div>
        <w:div w:id="1373577125">
          <w:marLeft w:val="1166"/>
          <w:marRight w:val="0"/>
          <w:marTop w:val="0"/>
          <w:marBottom w:val="60"/>
          <w:divBdr>
            <w:top w:val="none" w:sz="0" w:space="0" w:color="auto"/>
            <w:left w:val="none" w:sz="0" w:space="0" w:color="auto"/>
            <w:bottom w:val="none" w:sz="0" w:space="0" w:color="auto"/>
            <w:right w:val="none" w:sz="0" w:space="0" w:color="auto"/>
          </w:divBdr>
        </w:div>
        <w:div w:id="1481724262">
          <w:marLeft w:val="1166"/>
          <w:marRight w:val="0"/>
          <w:marTop w:val="0"/>
          <w:marBottom w:val="60"/>
          <w:divBdr>
            <w:top w:val="none" w:sz="0" w:space="0" w:color="auto"/>
            <w:left w:val="none" w:sz="0" w:space="0" w:color="auto"/>
            <w:bottom w:val="none" w:sz="0" w:space="0" w:color="auto"/>
            <w:right w:val="none" w:sz="0" w:space="0" w:color="auto"/>
          </w:divBdr>
        </w:div>
        <w:div w:id="2102867299">
          <w:marLeft w:val="547"/>
          <w:marRight w:val="0"/>
          <w:marTop w:val="0"/>
          <w:marBottom w:val="60"/>
          <w:divBdr>
            <w:top w:val="none" w:sz="0" w:space="0" w:color="auto"/>
            <w:left w:val="none" w:sz="0" w:space="0" w:color="auto"/>
            <w:bottom w:val="none" w:sz="0" w:space="0" w:color="auto"/>
            <w:right w:val="none" w:sz="0" w:space="0" w:color="auto"/>
          </w:divBdr>
        </w:div>
      </w:divsChild>
    </w:div>
    <w:div w:id="687677414">
      <w:bodyDiv w:val="1"/>
      <w:marLeft w:val="0"/>
      <w:marRight w:val="0"/>
      <w:marTop w:val="0"/>
      <w:marBottom w:val="0"/>
      <w:divBdr>
        <w:top w:val="none" w:sz="0" w:space="0" w:color="auto"/>
        <w:left w:val="none" w:sz="0" w:space="0" w:color="auto"/>
        <w:bottom w:val="none" w:sz="0" w:space="0" w:color="auto"/>
        <w:right w:val="none" w:sz="0" w:space="0" w:color="auto"/>
      </w:divBdr>
    </w:div>
    <w:div w:id="688601683">
      <w:bodyDiv w:val="1"/>
      <w:marLeft w:val="0"/>
      <w:marRight w:val="0"/>
      <w:marTop w:val="0"/>
      <w:marBottom w:val="0"/>
      <w:divBdr>
        <w:top w:val="none" w:sz="0" w:space="0" w:color="auto"/>
        <w:left w:val="none" w:sz="0" w:space="0" w:color="auto"/>
        <w:bottom w:val="none" w:sz="0" w:space="0" w:color="auto"/>
        <w:right w:val="none" w:sz="0" w:space="0" w:color="auto"/>
      </w:divBdr>
    </w:div>
    <w:div w:id="689137147">
      <w:bodyDiv w:val="1"/>
      <w:marLeft w:val="0"/>
      <w:marRight w:val="0"/>
      <w:marTop w:val="0"/>
      <w:marBottom w:val="0"/>
      <w:divBdr>
        <w:top w:val="none" w:sz="0" w:space="0" w:color="auto"/>
        <w:left w:val="none" w:sz="0" w:space="0" w:color="auto"/>
        <w:bottom w:val="none" w:sz="0" w:space="0" w:color="auto"/>
        <w:right w:val="none" w:sz="0" w:space="0" w:color="auto"/>
      </w:divBdr>
    </w:div>
    <w:div w:id="691566317">
      <w:bodyDiv w:val="1"/>
      <w:marLeft w:val="0"/>
      <w:marRight w:val="0"/>
      <w:marTop w:val="0"/>
      <w:marBottom w:val="0"/>
      <w:divBdr>
        <w:top w:val="none" w:sz="0" w:space="0" w:color="auto"/>
        <w:left w:val="none" w:sz="0" w:space="0" w:color="auto"/>
        <w:bottom w:val="none" w:sz="0" w:space="0" w:color="auto"/>
        <w:right w:val="none" w:sz="0" w:space="0" w:color="auto"/>
      </w:divBdr>
      <w:divsChild>
        <w:div w:id="980689375">
          <w:marLeft w:val="547"/>
          <w:marRight w:val="0"/>
          <w:marTop w:val="106"/>
          <w:marBottom w:val="0"/>
          <w:divBdr>
            <w:top w:val="none" w:sz="0" w:space="0" w:color="auto"/>
            <w:left w:val="none" w:sz="0" w:space="0" w:color="auto"/>
            <w:bottom w:val="none" w:sz="0" w:space="0" w:color="auto"/>
            <w:right w:val="none" w:sz="0" w:space="0" w:color="auto"/>
          </w:divBdr>
        </w:div>
        <w:div w:id="1995138983">
          <w:marLeft w:val="547"/>
          <w:marRight w:val="0"/>
          <w:marTop w:val="106"/>
          <w:marBottom w:val="0"/>
          <w:divBdr>
            <w:top w:val="none" w:sz="0" w:space="0" w:color="auto"/>
            <w:left w:val="none" w:sz="0" w:space="0" w:color="auto"/>
            <w:bottom w:val="none" w:sz="0" w:space="0" w:color="auto"/>
            <w:right w:val="none" w:sz="0" w:space="0" w:color="auto"/>
          </w:divBdr>
        </w:div>
      </w:divsChild>
    </w:div>
    <w:div w:id="693070556">
      <w:bodyDiv w:val="1"/>
      <w:marLeft w:val="0"/>
      <w:marRight w:val="0"/>
      <w:marTop w:val="0"/>
      <w:marBottom w:val="0"/>
      <w:divBdr>
        <w:top w:val="none" w:sz="0" w:space="0" w:color="auto"/>
        <w:left w:val="none" w:sz="0" w:space="0" w:color="auto"/>
        <w:bottom w:val="none" w:sz="0" w:space="0" w:color="auto"/>
        <w:right w:val="none" w:sz="0" w:space="0" w:color="auto"/>
      </w:divBdr>
    </w:div>
    <w:div w:id="693727888">
      <w:bodyDiv w:val="1"/>
      <w:marLeft w:val="0"/>
      <w:marRight w:val="0"/>
      <w:marTop w:val="0"/>
      <w:marBottom w:val="0"/>
      <w:divBdr>
        <w:top w:val="none" w:sz="0" w:space="0" w:color="auto"/>
        <w:left w:val="none" w:sz="0" w:space="0" w:color="auto"/>
        <w:bottom w:val="none" w:sz="0" w:space="0" w:color="auto"/>
        <w:right w:val="none" w:sz="0" w:space="0" w:color="auto"/>
      </w:divBdr>
    </w:div>
    <w:div w:id="694037069">
      <w:bodyDiv w:val="1"/>
      <w:marLeft w:val="0"/>
      <w:marRight w:val="0"/>
      <w:marTop w:val="0"/>
      <w:marBottom w:val="0"/>
      <w:divBdr>
        <w:top w:val="none" w:sz="0" w:space="0" w:color="auto"/>
        <w:left w:val="none" w:sz="0" w:space="0" w:color="auto"/>
        <w:bottom w:val="none" w:sz="0" w:space="0" w:color="auto"/>
        <w:right w:val="none" w:sz="0" w:space="0" w:color="auto"/>
      </w:divBdr>
    </w:div>
    <w:div w:id="694814616">
      <w:bodyDiv w:val="1"/>
      <w:marLeft w:val="0"/>
      <w:marRight w:val="0"/>
      <w:marTop w:val="0"/>
      <w:marBottom w:val="0"/>
      <w:divBdr>
        <w:top w:val="none" w:sz="0" w:space="0" w:color="auto"/>
        <w:left w:val="none" w:sz="0" w:space="0" w:color="auto"/>
        <w:bottom w:val="none" w:sz="0" w:space="0" w:color="auto"/>
        <w:right w:val="none" w:sz="0" w:space="0" w:color="auto"/>
      </w:divBdr>
      <w:divsChild>
        <w:div w:id="89939091">
          <w:marLeft w:val="1800"/>
          <w:marRight w:val="0"/>
          <w:marTop w:val="58"/>
          <w:marBottom w:val="0"/>
          <w:divBdr>
            <w:top w:val="none" w:sz="0" w:space="0" w:color="auto"/>
            <w:left w:val="none" w:sz="0" w:space="0" w:color="auto"/>
            <w:bottom w:val="none" w:sz="0" w:space="0" w:color="auto"/>
            <w:right w:val="none" w:sz="0" w:space="0" w:color="auto"/>
          </w:divBdr>
        </w:div>
        <w:div w:id="275060988">
          <w:marLeft w:val="1800"/>
          <w:marRight w:val="0"/>
          <w:marTop w:val="58"/>
          <w:marBottom w:val="0"/>
          <w:divBdr>
            <w:top w:val="none" w:sz="0" w:space="0" w:color="auto"/>
            <w:left w:val="none" w:sz="0" w:space="0" w:color="auto"/>
            <w:bottom w:val="none" w:sz="0" w:space="0" w:color="auto"/>
            <w:right w:val="none" w:sz="0" w:space="0" w:color="auto"/>
          </w:divBdr>
        </w:div>
        <w:div w:id="380708680">
          <w:marLeft w:val="1800"/>
          <w:marRight w:val="0"/>
          <w:marTop w:val="58"/>
          <w:marBottom w:val="0"/>
          <w:divBdr>
            <w:top w:val="none" w:sz="0" w:space="0" w:color="auto"/>
            <w:left w:val="none" w:sz="0" w:space="0" w:color="auto"/>
            <w:bottom w:val="none" w:sz="0" w:space="0" w:color="auto"/>
            <w:right w:val="none" w:sz="0" w:space="0" w:color="auto"/>
          </w:divBdr>
        </w:div>
        <w:div w:id="414325165">
          <w:marLeft w:val="1800"/>
          <w:marRight w:val="0"/>
          <w:marTop w:val="58"/>
          <w:marBottom w:val="0"/>
          <w:divBdr>
            <w:top w:val="none" w:sz="0" w:space="0" w:color="auto"/>
            <w:left w:val="none" w:sz="0" w:space="0" w:color="auto"/>
            <w:bottom w:val="none" w:sz="0" w:space="0" w:color="auto"/>
            <w:right w:val="none" w:sz="0" w:space="0" w:color="auto"/>
          </w:divBdr>
        </w:div>
        <w:div w:id="576747729">
          <w:marLeft w:val="1800"/>
          <w:marRight w:val="0"/>
          <w:marTop w:val="58"/>
          <w:marBottom w:val="0"/>
          <w:divBdr>
            <w:top w:val="none" w:sz="0" w:space="0" w:color="auto"/>
            <w:left w:val="none" w:sz="0" w:space="0" w:color="auto"/>
            <w:bottom w:val="none" w:sz="0" w:space="0" w:color="auto"/>
            <w:right w:val="none" w:sz="0" w:space="0" w:color="auto"/>
          </w:divBdr>
        </w:div>
        <w:div w:id="580984976">
          <w:marLeft w:val="1800"/>
          <w:marRight w:val="0"/>
          <w:marTop w:val="58"/>
          <w:marBottom w:val="0"/>
          <w:divBdr>
            <w:top w:val="none" w:sz="0" w:space="0" w:color="auto"/>
            <w:left w:val="none" w:sz="0" w:space="0" w:color="auto"/>
            <w:bottom w:val="none" w:sz="0" w:space="0" w:color="auto"/>
            <w:right w:val="none" w:sz="0" w:space="0" w:color="auto"/>
          </w:divBdr>
        </w:div>
        <w:div w:id="610280317">
          <w:marLeft w:val="1166"/>
          <w:marRight w:val="0"/>
          <w:marTop w:val="77"/>
          <w:marBottom w:val="0"/>
          <w:divBdr>
            <w:top w:val="none" w:sz="0" w:space="0" w:color="auto"/>
            <w:left w:val="none" w:sz="0" w:space="0" w:color="auto"/>
            <w:bottom w:val="none" w:sz="0" w:space="0" w:color="auto"/>
            <w:right w:val="none" w:sz="0" w:space="0" w:color="auto"/>
          </w:divBdr>
        </w:div>
        <w:div w:id="756633326">
          <w:marLeft w:val="1800"/>
          <w:marRight w:val="0"/>
          <w:marTop w:val="58"/>
          <w:marBottom w:val="0"/>
          <w:divBdr>
            <w:top w:val="none" w:sz="0" w:space="0" w:color="auto"/>
            <w:left w:val="none" w:sz="0" w:space="0" w:color="auto"/>
            <w:bottom w:val="none" w:sz="0" w:space="0" w:color="auto"/>
            <w:right w:val="none" w:sz="0" w:space="0" w:color="auto"/>
          </w:divBdr>
        </w:div>
        <w:div w:id="1036195765">
          <w:marLeft w:val="1800"/>
          <w:marRight w:val="0"/>
          <w:marTop w:val="58"/>
          <w:marBottom w:val="0"/>
          <w:divBdr>
            <w:top w:val="none" w:sz="0" w:space="0" w:color="auto"/>
            <w:left w:val="none" w:sz="0" w:space="0" w:color="auto"/>
            <w:bottom w:val="none" w:sz="0" w:space="0" w:color="auto"/>
            <w:right w:val="none" w:sz="0" w:space="0" w:color="auto"/>
          </w:divBdr>
        </w:div>
        <w:div w:id="1106538474">
          <w:marLeft w:val="1166"/>
          <w:marRight w:val="0"/>
          <w:marTop w:val="77"/>
          <w:marBottom w:val="0"/>
          <w:divBdr>
            <w:top w:val="none" w:sz="0" w:space="0" w:color="auto"/>
            <w:left w:val="none" w:sz="0" w:space="0" w:color="auto"/>
            <w:bottom w:val="none" w:sz="0" w:space="0" w:color="auto"/>
            <w:right w:val="none" w:sz="0" w:space="0" w:color="auto"/>
          </w:divBdr>
        </w:div>
        <w:div w:id="1460881500">
          <w:marLeft w:val="1166"/>
          <w:marRight w:val="0"/>
          <w:marTop w:val="77"/>
          <w:marBottom w:val="0"/>
          <w:divBdr>
            <w:top w:val="none" w:sz="0" w:space="0" w:color="auto"/>
            <w:left w:val="none" w:sz="0" w:space="0" w:color="auto"/>
            <w:bottom w:val="none" w:sz="0" w:space="0" w:color="auto"/>
            <w:right w:val="none" w:sz="0" w:space="0" w:color="auto"/>
          </w:divBdr>
        </w:div>
        <w:div w:id="1499463961">
          <w:marLeft w:val="1166"/>
          <w:marRight w:val="0"/>
          <w:marTop w:val="77"/>
          <w:marBottom w:val="0"/>
          <w:divBdr>
            <w:top w:val="none" w:sz="0" w:space="0" w:color="auto"/>
            <w:left w:val="none" w:sz="0" w:space="0" w:color="auto"/>
            <w:bottom w:val="none" w:sz="0" w:space="0" w:color="auto"/>
            <w:right w:val="none" w:sz="0" w:space="0" w:color="auto"/>
          </w:divBdr>
        </w:div>
        <w:div w:id="1575241768">
          <w:marLeft w:val="1800"/>
          <w:marRight w:val="0"/>
          <w:marTop w:val="58"/>
          <w:marBottom w:val="0"/>
          <w:divBdr>
            <w:top w:val="none" w:sz="0" w:space="0" w:color="auto"/>
            <w:left w:val="none" w:sz="0" w:space="0" w:color="auto"/>
            <w:bottom w:val="none" w:sz="0" w:space="0" w:color="auto"/>
            <w:right w:val="none" w:sz="0" w:space="0" w:color="auto"/>
          </w:divBdr>
        </w:div>
        <w:div w:id="1667905198">
          <w:marLeft w:val="547"/>
          <w:marRight w:val="0"/>
          <w:marTop w:val="86"/>
          <w:marBottom w:val="0"/>
          <w:divBdr>
            <w:top w:val="none" w:sz="0" w:space="0" w:color="auto"/>
            <w:left w:val="none" w:sz="0" w:space="0" w:color="auto"/>
            <w:bottom w:val="none" w:sz="0" w:space="0" w:color="auto"/>
            <w:right w:val="none" w:sz="0" w:space="0" w:color="auto"/>
          </w:divBdr>
        </w:div>
        <w:div w:id="1944652385">
          <w:marLeft w:val="1800"/>
          <w:marRight w:val="0"/>
          <w:marTop w:val="58"/>
          <w:marBottom w:val="0"/>
          <w:divBdr>
            <w:top w:val="none" w:sz="0" w:space="0" w:color="auto"/>
            <w:left w:val="none" w:sz="0" w:space="0" w:color="auto"/>
            <w:bottom w:val="none" w:sz="0" w:space="0" w:color="auto"/>
            <w:right w:val="none" w:sz="0" w:space="0" w:color="auto"/>
          </w:divBdr>
        </w:div>
        <w:div w:id="2053992608">
          <w:marLeft w:val="1800"/>
          <w:marRight w:val="0"/>
          <w:marTop w:val="58"/>
          <w:marBottom w:val="0"/>
          <w:divBdr>
            <w:top w:val="none" w:sz="0" w:space="0" w:color="auto"/>
            <w:left w:val="none" w:sz="0" w:space="0" w:color="auto"/>
            <w:bottom w:val="none" w:sz="0" w:space="0" w:color="auto"/>
            <w:right w:val="none" w:sz="0" w:space="0" w:color="auto"/>
          </w:divBdr>
        </w:div>
      </w:divsChild>
    </w:div>
    <w:div w:id="695469924">
      <w:bodyDiv w:val="1"/>
      <w:marLeft w:val="0"/>
      <w:marRight w:val="0"/>
      <w:marTop w:val="0"/>
      <w:marBottom w:val="0"/>
      <w:divBdr>
        <w:top w:val="none" w:sz="0" w:space="0" w:color="auto"/>
        <w:left w:val="none" w:sz="0" w:space="0" w:color="auto"/>
        <w:bottom w:val="none" w:sz="0" w:space="0" w:color="auto"/>
        <w:right w:val="none" w:sz="0" w:space="0" w:color="auto"/>
      </w:divBdr>
    </w:div>
    <w:div w:id="695542257">
      <w:bodyDiv w:val="1"/>
      <w:marLeft w:val="0"/>
      <w:marRight w:val="0"/>
      <w:marTop w:val="0"/>
      <w:marBottom w:val="0"/>
      <w:divBdr>
        <w:top w:val="none" w:sz="0" w:space="0" w:color="auto"/>
        <w:left w:val="none" w:sz="0" w:space="0" w:color="auto"/>
        <w:bottom w:val="none" w:sz="0" w:space="0" w:color="auto"/>
        <w:right w:val="none" w:sz="0" w:space="0" w:color="auto"/>
      </w:divBdr>
    </w:div>
    <w:div w:id="696152009">
      <w:bodyDiv w:val="1"/>
      <w:marLeft w:val="0"/>
      <w:marRight w:val="0"/>
      <w:marTop w:val="0"/>
      <w:marBottom w:val="0"/>
      <w:divBdr>
        <w:top w:val="none" w:sz="0" w:space="0" w:color="auto"/>
        <w:left w:val="none" w:sz="0" w:space="0" w:color="auto"/>
        <w:bottom w:val="none" w:sz="0" w:space="0" w:color="auto"/>
        <w:right w:val="none" w:sz="0" w:space="0" w:color="auto"/>
      </w:divBdr>
    </w:div>
    <w:div w:id="696350525">
      <w:bodyDiv w:val="1"/>
      <w:marLeft w:val="0"/>
      <w:marRight w:val="0"/>
      <w:marTop w:val="0"/>
      <w:marBottom w:val="0"/>
      <w:divBdr>
        <w:top w:val="none" w:sz="0" w:space="0" w:color="auto"/>
        <w:left w:val="none" w:sz="0" w:space="0" w:color="auto"/>
        <w:bottom w:val="none" w:sz="0" w:space="0" w:color="auto"/>
        <w:right w:val="none" w:sz="0" w:space="0" w:color="auto"/>
      </w:divBdr>
    </w:div>
    <w:div w:id="696665787">
      <w:bodyDiv w:val="1"/>
      <w:marLeft w:val="0"/>
      <w:marRight w:val="0"/>
      <w:marTop w:val="0"/>
      <w:marBottom w:val="0"/>
      <w:divBdr>
        <w:top w:val="none" w:sz="0" w:space="0" w:color="auto"/>
        <w:left w:val="none" w:sz="0" w:space="0" w:color="auto"/>
        <w:bottom w:val="none" w:sz="0" w:space="0" w:color="auto"/>
        <w:right w:val="none" w:sz="0" w:space="0" w:color="auto"/>
      </w:divBdr>
    </w:div>
    <w:div w:id="696851378">
      <w:bodyDiv w:val="1"/>
      <w:marLeft w:val="0"/>
      <w:marRight w:val="0"/>
      <w:marTop w:val="0"/>
      <w:marBottom w:val="0"/>
      <w:divBdr>
        <w:top w:val="none" w:sz="0" w:space="0" w:color="auto"/>
        <w:left w:val="none" w:sz="0" w:space="0" w:color="auto"/>
        <w:bottom w:val="none" w:sz="0" w:space="0" w:color="auto"/>
        <w:right w:val="none" w:sz="0" w:space="0" w:color="auto"/>
      </w:divBdr>
      <w:divsChild>
        <w:div w:id="1433476583">
          <w:marLeft w:val="1800"/>
          <w:marRight w:val="0"/>
          <w:marTop w:val="86"/>
          <w:marBottom w:val="0"/>
          <w:divBdr>
            <w:top w:val="none" w:sz="0" w:space="0" w:color="auto"/>
            <w:left w:val="none" w:sz="0" w:space="0" w:color="auto"/>
            <w:bottom w:val="none" w:sz="0" w:space="0" w:color="auto"/>
            <w:right w:val="none" w:sz="0" w:space="0" w:color="auto"/>
          </w:divBdr>
        </w:div>
        <w:div w:id="1721204492">
          <w:marLeft w:val="1800"/>
          <w:marRight w:val="0"/>
          <w:marTop w:val="86"/>
          <w:marBottom w:val="0"/>
          <w:divBdr>
            <w:top w:val="none" w:sz="0" w:space="0" w:color="auto"/>
            <w:left w:val="none" w:sz="0" w:space="0" w:color="auto"/>
            <w:bottom w:val="none" w:sz="0" w:space="0" w:color="auto"/>
            <w:right w:val="none" w:sz="0" w:space="0" w:color="auto"/>
          </w:divBdr>
        </w:div>
        <w:div w:id="1962223753">
          <w:marLeft w:val="1166"/>
          <w:marRight w:val="0"/>
          <w:marTop w:val="96"/>
          <w:marBottom w:val="0"/>
          <w:divBdr>
            <w:top w:val="none" w:sz="0" w:space="0" w:color="auto"/>
            <w:left w:val="none" w:sz="0" w:space="0" w:color="auto"/>
            <w:bottom w:val="none" w:sz="0" w:space="0" w:color="auto"/>
            <w:right w:val="none" w:sz="0" w:space="0" w:color="auto"/>
          </w:divBdr>
        </w:div>
        <w:div w:id="2117019524">
          <w:marLeft w:val="547"/>
          <w:marRight w:val="0"/>
          <w:marTop w:val="115"/>
          <w:marBottom w:val="0"/>
          <w:divBdr>
            <w:top w:val="none" w:sz="0" w:space="0" w:color="auto"/>
            <w:left w:val="none" w:sz="0" w:space="0" w:color="auto"/>
            <w:bottom w:val="none" w:sz="0" w:space="0" w:color="auto"/>
            <w:right w:val="none" w:sz="0" w:space="0" w:color="auto"/>
          </w:divBdr>
        </w:div>
      </w:divsChild>
    </w:div>
    <w:div w:id="699940551">
      <w:bodyDiv w:val="1"/>
      <w:marLeft w:val="0"/>
      <w:marRight w:val="0"/>
      <w:marTop w:val="0"/>
      <w:marBottom w:val="0"/>
      <w:divBdr>
        <w:top w:val="none" w:sz="0" w:space="0" w:color="auto"/>
        <w:left w:val="none" w:sz="0" w:space="0" w:color="auto"/>
        <w:bottom w:val="none" w:sz="0" w:space="0" w:color="auto"/>
        <w:right w:val="none" w:sz="0" w:space="0" w:color="auto"/>
      </w:divBdr>
      <w:divsChild>
        <w:div w:id="305748412">
          <w:marLeft w:val="1800"/>
          <w:marRight w:val="0"/>
          <w:marTop w:val="77"/>
          <w:marBottom w:val="0"/>
          <w:divBdr>
            <w:top w:val="none" w:sz="0" w:space="0" w:color="auto"/>
            <w:left w:val="none" w:sz="0" w:space="0" w:color="auto"/>
            <w:bottom w:val="none" w:sz="0" w:space="0" w:color="auto"/>
            <w:right w:val="none" w:sz="0" w:space="0" w:color="auto"/>
          </w:divBdr>
        </w:div>
        <w:div w:id="455756499">
          <w:marLeft w:val="1166"/>
          <w:marRight w:val="0"/>
          <w:marTop w:val="86"/>
          <w:marBottom w:val="0"/>
          <w:divBdr>
            <w:top w:val="none" w:sz="0" w:space="0" w:color="auto"/>
            <w:left w:val="none" w:sz="0" w:space="0" w:color="auto"/>
            <w:bottom w:val="none" w:sz="0" w:space="0" w:color="auto"/>
            <w:right w:val="none" w:sz="0" w:space="0" w:color="auto"/>
          </w:divBdr>
        </w:div>
        <w:div w:id="577982811">
          <w:marLeft w:val="1166"/>
          <w:marRight w:val="0"/>
          <w:marTop w:val="86"/>
          <w:marBottom w:val="0"/>
          <w:divBdr>
            <w:top w:val="none" w:sz="0" w:space="0" w:color="auto"/>
            <w:left w:val="none" w:sz="0" w:space="0" w:color="auto"/>
            <w:bottom w:val="none" w:sz="0" w:space="0" w:color="auto"/>
            <w:right w:val="none" w:sz="0" w:space="0" w:color="auto"/>
          </w:divBdr>
        </w:div>
        <w:div w:id="704865042">
          <w:marLeft w:val="547"/>
          <w:marRight w:val="0"/>
          <w:marTop w:val="96"/>
          <w:marBottom w:val="0"/>
          <w:divBdr>
            <w:top w:val="none" w:sz="0" w:space="0" w:color="auto"/>
            <w:left w:val="none" w:sz="0" w:space="0" w:color="auto"/>
            <w:bottom w:val="none" w:sz="0" w:space="0" w:color="auto"/>
            <w:right w:val="none" w:sz="0" w:space="0" w:color="auto"/>
          </w:divBdr>
        </w:div>
        <w:div w:id="896009658">
          <w:marLeft w:val="547"/>
          <w:marRight w:val="0"/>
          <w:marTop w:val="96"/>
          <w:marBottom w:val="0"/>
          <w:divBdr>
            <w:top w:val="none" w:sz="0" w:space="0" w:color="auto"/>
            <w:left w:val="none" w:sz="0" w:space="0" w:color="auto"/>
            <w:bottom w:val="none" w:sz="0" w:space="0" w:color="auto"/>
            <w:right w:val="none" w:sz="0" w:space="0" w:color="auto"/>
          </w:divBdr>
        </w:div>
        <w:div w:id="916480340">
          <w:marLeft w:val="1166"/>
          <w:marRight w:val="0"/>
          <w:marTop w:val="86"/>
          <w:marBottom w:val="0"/>
          <w:divBdr>
            <w:top w:val="none" w:sz="0" w:space="0" w:color="auto"/>
            <w:left w:val="none" w:sz="0" w:space="0" w:color="auto"/>
            <w:bottom w:val="none" w:sz="0" w:space="0" w:color="auto"/>
            <w:right w:val="none" w:sz="0" w:space="0" w:color="auto"/>
          </w:divBdr>
        </w:div>
        <w:div w:id="948971646">
          <w:marLeft w:val="1166"/>
          <w:marRight w:val="0"/>
          <w:marTop w:val="86"/>
          <w:marBottom w:val="0"/>
          <w:divBdr>
            <w:top w:val="none" w:sz="0" w:space="0" w:color="auto"/>
            <w:left w:val="none" w:sz="0" w:space="0" w:color="auto"/>
            <w:bottom w:val="none" w:sz="0" w:space="0" w:color="auto"/>
            <w:right w:val="none" w:sz="0" w:space="0" w:color="auto"/>
          </w:divBdr>
        </w:div>
        <w:div w:id="1725986698">
          <w:marLeft w:val="547"/>
          <w:marRight w:val="0"/>
          <w:marTop w:val="96"/>
          <w:marBottom w:val="0"/>
          <w:divBdr>
            <w:top w:val="none" w:sz="0" w:space="0" w:color="auto"/>
            <w:left w:val="none" w:sz="0" w:space="0" w:color="auto"/>
            <w:bottom w:val="none" w:sz="0" w:space="0" w:color="auto"/>
            <w:right w:val="none" w:sz="0" w:space="0" w:color="auto"/>
          </w:divBdr>
        </w:div>
        <w:div w:id="1744445325">
          <w:marLeft w:val="1166"/>
          <w:marRight w:val="0"/>
          <w:marTop w:val="86"/>
          <w:marBottom w:val="0"/>
          <w:divBdr>
            <w:top w:val="none" w:sz="0" w:space="0" w:color="auto"/>
            <w:left w:val="none" w:sz="0" w:space="0" w:color="auto"/>
            <w:bottom w:val="none" w:sz="0" w:space="0" w:color="auto"/>
            <w:right w:val="none" w:sz="0" w:space="0" w:color="auto"/>
          </w:divBdr>
        </w:div>
      </w:divsChild>
    </w:div>
    <w:div w:id="700059835">
      <w:bodyDiv w:val="1"/>
      <w:marLeft w:val="0"/>
      <w:marRight w:val="0"/>
      <w:marTop w:val="0"/>
      <w:marBottom w:val="0"/>
      <w:divBdr>
        <w:top w:val="none" w:sz="0" w:space="0" w:color="auto"/>
        <w:left w:val="none" w:sz="0" w:space="0" w:color="auto"/>
        <w:bottom w:val="none" w:sz="0" w:space="0" w:color="auto"/>
        <w:right w:val="none" w:sz="0" w:space="0" w:color="auto"/>
      </w:divBdr>
      <w:divsChild>
        <w:div w:id="325744062">
          <w:marLeft w:val="547"/>
          <w:marRight w:val="0"/>
          <w:marTop w:val="173"/>
          <w:marBottom w:val="0"/>
          <w:divBdr>
            <w:top w:val="none" w:sz="0" w:space="0" w:color="auto"/>
            <w:left w:val="none" w:sz="0" w:space="0" w:color="auto"/>
            <w:bottom w:val="none" w:sz="0" w:space="0" w:color="auto"/>
            <w:right w:val="none" w:sz="0" w:space="0" w:color="auto"/>
          </w:divBdr>
        </w:div>
      </w:divsChild>
    </w:div>
    <w:div w:id="701324556">
      <w:bodyDiv w:val="1"/>
      <w:marLeft w:val="0"/>
      <w:marRight w:val="0"/>
      <w:marTop w:val="0"/>
      <w:marBottom w:val="0"/>
      <w:divBdr>
        <w:top w:val="none" w:sz="0" w:space="0" w:color="auto"/>
        <w:left w:val="none" w:sz="0" w:space="0" w:color="auto"/>
        <w:bottom w:val="none" w:sz="0" w:space="0" w:color="auto"/>
        <w:right w:val="none" w:sz="0" w:space="0" w:color="auto"/>
      </w:divBdr>
      <w:divsChild>
        <w:div w:id="18775305">
          <w:marLeft w:val="1166"/>
          <w:marRight w:val="0"/>
          <w:marTop w:val="86"/>
          <w:marBottom w:val="0"/>
          <w:divBdr>
            <w:top w:val="none" w:sz="0" w:space="0" w:color="auto"/>
            <w:left w:val="none" w:sz="0" w:space="0" w:color="auto"/>
            <w:bottom w:val="none" w:sz="0" w:space="0" w:color="auto"/>
            <w:right w:val="none" w:sz="0" w:space="0" w:color="auto"/>
          </w:divBdr>
        </w:div>
        <w:div w:id="259221791">
          <w:marLeft w:val="1166"/>
          <w:marRight w:val="0"/>
          <w:marTop w:val="86"/>
          <w:marBottom w:val="0"/>
          <w:divBdr>
            <w:top w:val="none" w:sz="0" w:space="0" w:color="auto"/>
            <w:left w:val="none" w:sz="0" w:space="0" w:color="auto"/>
            <w:bottom w:val="none" w:sz="0" w:space="0" w:color="auto"/>
            <w:right w:val="none" w:sz="0" w:space="0" w:color="auto"/>
          </w:divBdr>
        </w:div>
        <w:div w:id="708647818">
          <w:marLeft w:val="547"/>
          <w:marRight w:val="0"/>
          <w:marTop w:val="96"/>
          <w:marBottom w:val="0"/>
          <w:divBdr>
            <w:top w:val="none" w:sz="0" w:space="0" w:color="auto"/>
            <w:left w:val="none" w:sz="0" w:space="0" w:color="auto"/>
            <w:bottom w:val="none" w:sz="0" w:space="0" w:color="auto"/>
            <w:right w:val="none" w:sz="0" w:space="0" w:color="auto"/>
          </w:divBdr>
        </w:div>
        <w:div w:id="1380669569">
          <w:marLeft w:val="1166"/>
          <w:marRight w:val="0"/>
          <w:marTop w:val="86"/>
          <w:marBottom w:val="0"/>
          <w:divBdr>
            <w:top w:val="none" w:sz="0" w:space="0" w:color="auto"/>
            <w:left w:val="none" w:sz="0" w:space="0" w:color="auto"/>
            <w:bottom w:val="none" w:sz="0" w:space="0" w:color="auto"/>
            <w:right w:val="none" w:sz="0" w:space="0" w:color="auto"/>
          </w:divBdr>
        </w:div>
        <w:div w:id="1455716371">
          <w:marLeft w:val="547"/>
          <w:marRight w:val="0"/>
          <w:marTop w:val="96"/>
          <w:marBottom w:val="0"/>
          <w:divBdr>
            <w:top w:val="none" w:sz="0" w:space="0" w:color="auto"/>
            <w:left w:val="none" w:sz="0" w:space="0" w:color="auto"/>
            <w:bottom w:val="none" w:sz="0" w:space="0" w:color="auto"/>
            <w:right w:val="none" w:sz="0" w:space="0" w:color="auto"/>
          </w:divBdr>
        </w:div>
        <w:div w:id="1491172253">
          <w:marLeft w:val="1166"/>
          <w:marRight w:val="0"/>
          <w:marTop w:val="86"/>
          <w:marBottom w:val="0"/>
          <w:divBdr>
            <w:top w:val="none" w:sz="0" w:space="0" w:color="auto"/>
            <w:left w:val="none" w:sz="0" w:space="0" w:color="auto"/>
            <w:bottom w:val="none" w:sz="0" w:space="0" w:color="auto"/>
            <w:right w:val="none" w:sz="0" w:space="0" w:color="auto"/>
          </w:divBdr>
        </w:div>
        <w:div w:id="2111003582">
          <w:marLeft w:val="547"/>
          <w:marRight w:val="0"/>
          <w:marTop w:val="96"/>
          <w:marBottom w:val="0"/>
          <w:divBdr>
            <w:top w:val="none" w:sz="0" w:space="0" w:color="auto"/>
            <w:left w:val="none" w:sz="0" w:space="0" w:color="auto"/>
            <w:bottom w:val="none" w:sz="0" w:space="0" w:color="auto"/>
            <w:right w:val="none" w:sz="0" w:space="0" w:color="auto"/>
          </w:divBdr>
        </w:div>
      </w:divsChild>
    </w:div>
    <w:div w:id="701437625">
      <w:bodyDiv w:val="1"/>
      <w:marLeft w:val="0"/>
      <w:marRight w:val="0"/>
      <w:marTop w:val="0"/>
      <w:marBottom w:val="0"/>
      <w:divBdr>
        <w:top w:val="none" w:sz="0" w:space="0" w:color="auto"/>
        <w:left w:val="none" w:sz="0" w:space="0" w:color="auto"/>
        <w:bottom w:val="none" w:sz="0" w:space="0" w:color="auto"/>
        <w:right w:val="none" w:sz="0" w:space="0" w:color="auto"/>
      </w:divBdr>
    </w:div>
    <w:div w:id="702290955">
      <w:bodyDiv w:val="1"/>
      <w:marLeft w:val="0"/>
      <w:marRight w:val="0"/>
      <w:marTop w:val="0"/>
      <w:marBottom w:val="0"/>
      <w:divBdr>
        <w:top w:val="none" w:sz="0" w:space="0" w:color="auto"/>
        <w:left w:val="none" w:sz="0" w:space="0" w:color="auto"/>
        <w:bottom w:val="none" w:sz="0" w:space="0" w:color="auto"/>
        <w:right w:val="none" w:sz="0" w:space="0" w:color="auto"/>
      </w:divBdr>
    </w:div>
    <w:div w:id="702485551">
      <w:bodyDiv w:val="1"/>
      <w:marLeft w:val="0"/>
      <w:marRight w:val="0"/>
      <w:marTop w:val="0"/>
      <w:marBottom w:val="0"/>
      <w:divBdr>
        <w:top w:val="none" w:sz="0" w:space="0" w:color="auto"/>
        <w:left w:val="none" w:sz="0" w:space="0" w:color="auto"/>
        <w:bottom w:val="none" w:sz="0" w:space="0" w:color="auto"/>
        <w:right w:val="none" w:sz="0" w:space="0" w:color="auto"/>
      </w:divBdr>
    </w:div>
    <w:div w:id="703284289">
      <w:bodyDiv w:val="1"/>
      <w:marLeft w:val="0"/>
      <w:marRight w:val="0"/>
      <w:marTop w:val="0"/>
      <w:marBottom w:val="0"/>
      <w:divBdr>
        <w:top w:val="none" w:sz="0" w:space="0" w:color="auto"/>
        <w:left w:val="none" w:sz="0" w:space="0" w:color="auto"/>
        <w:bottom w:val="none" w:sz="0" w:space="0" w:color="auto"/>
        <w:right w:val="none" w:sz="0" w:space="0" w:color="auto"/>
      </w:divBdr>
    </w:div>
    <w:div w:id="705102950">
      <w:bodyDiv w:val="1"/>
      <w:marLeft w:val="0"/>
      <w:marRight w:val="0"/>
      <w:marTop w:val="0"/>
      <w:marBottom w:val="0"/>
      <w:divBdr>
        <w:top w:val="none" w:sz="0" w:space="0" w:color="auto"/>
        <w:left w:val="none" w:sz="0" w:space="0" w:color="auto"/>
        <w:bottom w:val="none" w:sz="0" w:space="0" w:color="auto"/>
        <w:right w:val="none" w:sz="0" w:space="0" w:color="auto"/>
      </w:divBdr>
    </w:div>
    <w:div w:id="705108560">
      <w:bodyDiv w:val="1"/>
      <w:marLeft w:val="0"/>
      <w:marRight w:val="0"/>
      <w:marTop w:val="0"/>
      <w:marBottom w:val="0"/>
      <w:divBdr>
        <w:top w:val="none" w:sz="0" w:space="0" w:color="auto"/>
        <w:left w:val="none" w:sz="0" w:space="0" w:color="auto"/>
        <w:bottom w:val="none" w:sz="0" w:space="0" w:color="auto"/>
        <w:right w:val="none" w:sz="0" w:space="0" w:color="auto"/>
      </w:divBdr>
    </w:div>
    <w:div w:id="705567637">
      <w:bodyDiv w:val="1"/>
      <w:marLeft w:val="0"/>
      <w:marRight w:val="0"/>
      <w:marTop w:val="0"/>
      <w:marBottom w:val="0"/>
      <w:divBdr>
        <w:top w:val="none" w:sz="0" w:space="0" w:color="auto"/>
        <w:left w:val="none" w:sz="0" w:space="0" w:color="auto"/>
        <w:bottom w:val="none" w:sz="0" w:space="0" w:color="auto"/>
        <w:right w:val="none" w:sz="0" w:space="0" w:color="auto"/>
      </w:divBdr>
    </w:div>
    <w:div w:id="706492965">
      <w:bodyDiv w:val="1"/>
      <w:marLeft w:val="0"/>
      <w:marRight w:val="0"/>
      <w:marTop w:val="0"/>
      <w:marBottom w:val="0"/>
      <w:divBdr>
        <w:top w:val="none" w:sz="0" w:space="0" w:color="auto"/>
        <w:left w:val="none" w:sz="0" w:space="0" w:color="auto"/>
        <w:bottom w:val="none" w:sz="0" w:space="0" w:color="auto"/>
        <w:right w:val="none" w:sz="0" w:space="0" w:color="auto"/>
      </w:divBdr>
      <w:divsChild>
        <w:div w:id="573663377">
          <w:marLeft w:val="0"/>
          <w:marRight w:val="0"/>
          <w:marTop w:val="0"/>
          <w:marBottom w:val="0"/>
          <w:divBdr>
            <w:top w:val="none" w:sz="0" w:space="0" w:color="auto"/>
            <w:left w:val="none" w:sz="0" w:space="0" w:color="auto"/>
            <w:bottom w:val="none" w:sz="0" w:space="0" w:color="auto"/>
            <w:right w:val="none" w:sz="0" w:space="0" w:color="auto"/>
          </w:divBdr>
          <w:divsChild>
            <w:div w:id="298803366">
              <w:marLeft w:val="0"/>
              <w:marRight w:val="0"/>
              <w:marTop w:val="0"/>
              <w:marBottom w:val="0"/>
              <w:divBdr>
                <w:top w:val="none" w:sz="0" w:space="0" w:color="auto"/>
                <w:left w:val="none" w:sz="0" w:space="0" w:color="auto"/>
                <w:bottom w:val="none" w:sz="0" w:space="0" w:color="auto"/>
                <w:right w:val="none" w:sz="0" w:space="0" w:color="auto"/>
              </w:divBdr>
            </w:div>
            <w:div w:id="1526288033">
              <w:marLeft w:val="0"/>
              <w:marRight w:val="0"/>
              <w:marTop w:val="0"/>
              <w:marBottom w:val="0"/>
              <w:divBdr>
                <w:top w:val="none" w:sz="0" w:space="0" w:color="auto"/>
                <w:left w:val="none" w:sz="0" w:space="0" w:color="auto"/>
                <w:bottom w:val="none" w:sz="0" w:space="0" w:color="auto"/>
                <w:right w:val="none" w:sz="0" w:space="0" w:color="auto"/>
              </w:divBdr>
            </w:div>
            <w:div w:id="1594701623">
              <w:marLeft w:val="0"/>
              <w:marRight w:val="0"/>
              <w:marTop w:val="0"/>
              <w:marBottom w:val="0"/>
              <w:divBdr>
                <w:top w:val="none" w:sz="0" w:space="0" w:color="auto"/>
                <w:left w:val="none" w:sz="0" w:space="0" w:color="auto"/>
                <w:bottom w:val="none" w:sz="0" w:space="0" w:color="auto"/>
                <w:right w:val="none" w:sz="0" w:space="0" w:color="auto"/>
              </w:divBdr>
            </w:div>
            <w:div w:id="17403201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06879377">
      <w:bodyDiv w:val="1"/>
      <w:marLeft w:val="0"/>
      <w:marRight w:val="0"/>
      <w:marTop w:val="0"/>
      <w:marBottom w:val="0"/>
      <w:divBdr>
        <w:top w:val="none" w:sz="0" w:space="0" w:color="auto"/>
        <w:left w:val="none" w:sz="0" w:space="0" w:color="auto"/>
        <w:bottom w:val="none" w:sz="0" w:space="0" w:color="auto"/>
        <w:right w:val="none" w:sz="0" w:space="0" w:color="auto"/>
      </w:divBdr>
      <w:divsChild>
        <w:div w:id="339241959">
          <w:marLeft w:val="547"/>
          <w:marRight w:val="0"/>
          <w:marTop w:val="134"/>
          <w:marBottom w:val="0"/>
          <w:divBdr>
            <w:top w:val="none" w:sz="0" w:space="0" w:color="auto"/>
            <w:left w:val="none" w:sz="0" w:space="0" w:color="auto"/>
            <w:bottom w:val="none" w:sz="0" w:space="0" w:color="auto"/>
            <w:right w:val="none" w:sz="0" w:space="0" w:color="auto"/>
          </w:divBdr>
        </w:div>
        <w:div w:id="1118187109">
          <w:marLeft w:val="1166"/>
          <w:marRight w:val="0"/>
          <w:marTop w:val="115"/>
          <w:marBottom w:val="0"/>
          <w:divBdr>
            <w:top w:val="none" w:sz="0" w:space="0" w:color="auto"/>
            <w:left w:val="none" w:sz="0" w:space="0" w:color="auto"/>
            <w:bottom w:val="none" w:sz="0" w:space="0" w:color="auto"/>
            <w:right w:val="none" w:sz="0" w:space="0" w:color="auto"/>
          </w:divBdr>
        </w:div>
        <w:div w:id="1292058129">
          <w:marLeft w:val="547"/>
          <w:marRight w:val="0"/>
          <w:marTop w:val="134"/>
          <w:marBottom w:val="0"/>
          <w:divBdr>
            <w:top w:val="none" w:sz="0" w:space="0" w:color="auto"/>
            <w:left w:val="none" w:sz="0" w:space="0" w:color="auto"/>
            <w:bottom w:val="none" w:sz="0" w:space="0" w:color="auto"/>
            <w:right w:val="none" w:sz="0" w:space="0" w:color="auto"/>
          </w:divBdr>
        </w:div>
        <w:div w:id="1525943666">
          <w:marLeft w:val="1166"/>
          <w:marRight w:val="0"/>
          <w:marTop w:val="115"/>
          <w:marBottom w:val="0"/>
          <w:divBdr>
            <w:top w:val="none" w:sz="0" w:space="0" w:color="auto"/>
            <w:left w:val="none" w:sz="0" w:space="0" w:color="auto"/>
            <w:bottom w:val="none" w:sz="0" w:space="0" w:color="auto"/>
            <w:right w:val="none" w:sz="0" w:space="0" w:color="auto"/>
          </w:divBdr>
        </w:div>
      </w:divsChild>
    </w:div>
    <w:div w:id="709113366">
      <w:bodyDiv w:val="1"/>
      <w:marLeft w:val="0"/>
      <w:marRight w:val="0"/>
      <w:marTop w:val="0"/>
      <w:marBottom w:val="0"/>
      <w:divBdr>
        <w:top w:val="none" w:sz="0" w:space="0" w:color="auto"/>
        <w:left w:val="none" w:sz="0" w:space="0" w:color="auto"/>
        <w:bottom w:val="none" w:sz="0" w:space="0" w:color="auto"/>
        <w:right w:val="none" w:sz="0" w:space="0" w:color="auto"/>
      </w:divBdr>
    </w:div>
    <w:div w:id="712272378">
      <w:bodyDiv w:val="1"/>
      <w:marLeft w:val="0"/>
      <w:marRight w:val="0"/>
      <w:marTop w:val="0"/>
      <w:marBottom w:val="0"/>
      <w:divBdr>
        <w:top w:val="none" w:sz="0" w:space="0" w:color="auto"/>
        <w:left w:val="none" w:sz="0" w:space="0" w:color="auto"/>
        <w:bottom w:val="none" w:sz="0" w:space="0" w:color="auto"/>
        <w:right w:val="none" w:sz="0" w:space="0" w:color="auto"/>
      </w:divBdr>
    </w:div>
    <w:div w:id="712460228">
      <w:bodyDiv w:val="1"/>
      <w:marLeft w:val="0"/>
      <w:marRight w:val="0"/>
      <w:marTop w:val="0"/>
      <w:marBottom w:val="0"/>
      <w:divBdr>
        <w:top w:val="none" w:sz="0" w:space="0" w:color="auto"/>
        <w:left w:val="none" w:sz="0" w:space="0" w:color="auto"/>
        <w:bottom w:val="none" w:sz="0" w:space="0" w:color="auto"/>
        <w:right w:val="none" w:sz="0" w:space="0" w:color="auto"/>
      </w:divBdr>
      <w:divsChild>
        <w:div w:id="659235169">
          <w:marLeft w:val="1166"/>
          <w:marRight w:val="0"/>
          <w:marTop w:val="115"/>
          <w:marBottom w:val="0"/>
          <w:divBdr>
            <w:top w:val="none" w:sz="0" w:space="0" w:color="auto"/>
            <w:left w:val="none" w:sz="0" w:space="0" w:color="auto"/>
            <w:bottom w:val="none" w:sz="0" w:space="0" w:color="auto"/>
            <w:right w:val="none" w:sz="0" w:space="0" w:color="auto"/>
          </w:divBdr>
        </w:div>
        <w:div w:id="2009743202">
          <w:marLeft w:val="547"/>
          <w:marRight w:val="0"/>
          <w:marTop w:val="134"/>
          <w:marBottom w:val="0"/>
          <w:divBdr>
            <w:top w:val="none" w:sz="0" w:space="0" w:color="auto"/>
            <w:left w:val="none" w:sz="0" w:space="0" w:color="auto"/>
            <w:bottom w:val="none" w:sz="0" w:space="0" w:color="auto"/>
            <w:right w:val="none" w:sz="0" w:space="0" w:color="auto"/>
          </w:divBdr>
        </w:div>
        <w:div w:id="2106657212">
          <w:marLeft w:val="1166"/>
          <w:marRight w:val="0"/>
          <w:marTop w:val="115"/>
          <w:marBottom w:val="0"/>
          <w:divBdr>
            <w:top w:val="none" w:sz="0" w:space="0" w:color="auto"/>
            <w:left w:val="none" w:sz="0" w:space="0" w:color="auto"/>
            <w:bottom w:val="none" w:sz="0" w:space="0" w:color="auto"/>
            <w:right w:val="none" w:sz="0" w:space="0" w:color="auto"/>
          </w:divBdr>
        </w:div>
      </w:divsChild>
    </w:div>
    <w:div w:id="712463193">
      <w:bodyDiv w:val="1"/>
      <w:marLeft w:val="0"/>
      <w:marRight w:val="0"/>
      <w:marTop w:val="0"/>
      <w:marBottom w:val="0"/>
      <w:divBdr>
        <w:top w:val="none" w:sz="0" w:space="0" w:color="auto"/>
        <w:left w:val="none" w:sz="0" w:space="0" w:color="auto"/>
        <w:bottom w:val="none" w:sz="0" w:space="0" w:color="auto"/>
        <w:right w:val="none" w:sz="0" w:space="0" w:color="auto"/>
      </w:divBdr>
      <w:divsChild>
        <w:div w:id="478619028">
          <w:marLeft w:val="0"/>
          <w:marRight w:val="0"/>
          <w:marTop w:val="0"/>
          <w:marBottom w:val="0"/>
          <w:divBdr>
            <w:top w:val="none" w:sz="0" w:space="0" w:color="auto"/>
            <w:left w:val="none" w:sz="0" w:space="0" w:color="auto"/>
            <w:bottom w:val="none" w:sz="0" w:space="0" w:color="auto"/>
            <w:right w:val="none" w:sz="0" w:space="0" w:color="auto"/>
          </w:divBdr>
        </w:div>
      </w:divsChild>
    </w:div>
    <w:div w:id="712539929">
      <w:bodyDiv w:val="1"/>
      <w:marLeft w:val="0"/>
      <w:marRight w:val="0"/>
      <w:marTop w:val="0"/>
      <w:marBottom w:val="0"/>
      <w:divBdr>
        <w:top w:val="none" w:sz="0" w:space="0" w:color="auto"/>
        <w:left w:val="none" w:sz="0" w:space="0" w:color="auto"/>
        <w:bottom w:val="none" w:sz="0" w:space="0" w:color="auto"/>
        <w:right w:val="none" w:sz="0" w:space="0" w:color="auto"/>
      </w:divBdr>
    </w:div>
    <w:div w:id="712728176">
      <w:bodyDiv w:val="1"/>
      <w:marLeft w:val="0"/>
      <w:marRight w:val="0"/>
      <w:marTop w:val="0"/>
      <w:marBottom w:val="0"/>
      <w:divBdr>
        <w:top w:val="none" w:sz="0" w:space="0" w:color="auto"/>
        <w:left w:val="none" w:sz="0" w:space="0" w:color="auto"/>
        <w:bottom w:val="none" w:sz="0" w:space="0" w:color="auto"/>
        <w:right w:val="none" w:sz="0" w:space="0" w:color="auto"/>
      </w:divBdr>
    </w:div>
    <w:div w:id="714429658">
      <w:bodyDiv w:val="1"/>
      <w:marLeft w:val="0"/>
      <w:marRight w:val="0"/>
      <w:marTop w:val="0"/>
      <w:marBottom w:val="0"/>
      <w:divBdr>
        <w:top w:val="none" w:sz="0" w:space="0" w:color="auto"/>
        <w:left w:val="none" w:sz="0" w:space="0" w:color="auto"/>
        <w:bottom w:val="none" w:sz="0" w:space="0" w:color="auto"/>
        <w:right w:val="none" w:sz="0" w:space="0" w:color="auto"/>
      </w:divBdr>
      <w:divsChild>
        <w:div w:id="158932227">
          <w:marLeft w:val="1166"/>
          <w:marRight w:val="0"/>
          <w:marTop w:val="77"/>
          <w:marBottom w:val="0"/>
          <w:divBdr>
            <w:top w:val="none" w:sz="0" w:space="0" w:color="auto"/>
            <w:left w:val="none" w:sz="0" w:space="0" w:color="auto"/>
            <w:bottom w:val="none" w:sz="0" w:space="0" w:color="auto"/>
            <w:right w:val="none" w:sz="0" w:space="0" w:color="auto"/>
          </w:divBdr>
        </w:div>
        <w:div w:id="862594557">
          <w:marLeft w:val="1166"/>
          <w:marRight w:val="0"/>
          <w:marTop w:val="77"/>
          <w:marBottom w:val="0"/>
          <w:divBdr>
            <w:top w:val="none" w:sz="0" w:space="0" w:color="auto"/>
            <w:left w:val="none" w:sz="0" w:space="0" w:color="auto"/>
            <w:bottom w:val="none" w:sz="0" w:space="0" w:color="auto"/>
            <w:right w:val="none" w:sz="0" w:space="0" w:color="auto"/>
          </w:divBdr>
        </w:div>
        <w:div w:id="1824349310">
          <w:marLeft w:val="1166"/>
          <w:marRight w:val="0"/>
          <w:marTop w:val="77"/>
          <w:marBottom w:val="0"/>
          <w:divBdr>
            <w:top w:val="none" w:sz="0" w:space="0" w:color="auto"/>
            <w:left w:val="none" w:sz="0" w:space="0" w:color="auto"/>
            <w:bottom w:val="none" w:sz="0" w:space="0" w:color="auto"/>
            <w:right w:val="none" w:sz="0" w:space="0" w:color="auto"/>
          </w:divBdr>
        </w:div>
        <w:div w:id="1845239795">
          <w:marLeft w:val="547"/>
          <w:marRight w:val="0"/>
          <w:marTop w:val="96"/>
          <w:marBottom w:val="0"/>
          <w:divBdr>
            <w:top w:val="none" w:sz="0" w:space="0" w:color="auto"/>
            <w:left w:val="none" w:sz="0" w:space="0" w:color="auto"/>
            <w:bottom w:val="none" w:sz="0" w:space="0" w:color="auto"/>
            <w:right w:val="none" w:sz="0" w:space="0" w:color="auto"/>
          </w:divBdr>
        </w:div>
        <w:div w:id="1928269075">
          <w:marLeft w:val="547"/>
          <w:marRight w:val="0"/>
          <w:marTop w:val="96"/>
          <w:marBottom w:val="0"/>
          <w:divBdr>
            <w:top w:val="none" w:sz="0" w:space="0" w:color="auto"/>
            <w:left w:val="none" w:sz="0" w:space="0" w:color="auto"/>
            <w:bottom w:val="none" w:sz="0" w:space="0" w:color="auto"/>
            <w:right w:val="none" w:sz="0" w:space="0" w:color="auto"/>
          </w:divBdr>
        </w:div>
        <w:div w:id="1964076239">
          <w:marLeft w:val="1166"/>
          <w:marRight w:val="0"/>
          <w:marTop w:val="77"/>
          <w:marBottom w:val="0"/>
          <w:divBdr>
            <w:top w:val="none" w:sz="0" w:space="0" w:color="auto"/>
            <w:left w:val="none" w:sz="0" w:space="0" w:color="auto"/>
            <w:bottom w:val="none" w:sz="0" w:space="0" w:color="auto"/>
            <w:right w:val="none" w:sz="0" w:space="0" w:color="auto"/>
          </w:divBdr>
        </w:div>
        <w:div w:id="1981762442">
          <w:marLeft w:val="547"/>
          <w:marRight w:val="0"/>
          <w:marTop w:val="96"/>
          <w:marBottom w:val="0"/>
          <w:divBdr>
            <w:top w:val="none" w:sz="0" w:space="0" w:color="auto"/>
            <w:left w:val="none" w:sz="0" w:space="0" w:color="auto"/>
            <w:bottom w:val="none" w:sz="0" w:space="0" w:color="auto"/>
            <w:right w:val="none" w:sz="0" w:space="0" w:color="auto"/>
          </w:divBdr>
        </w:div>
        <w:div w:id="1986742213">
          <w:marLeft w:val="1166"/>
          <w:marRight w:val="0"/>
          <w:marTop w:val="77"/>
          <w:marBottom w:val="0"/>
          <w:divBdr>
            <w:top w:val="none" w:sz="0" w:space="0" w:color="auto"/>
            <w:left w:val="none" w:sz="0" w:space="0" w:color="auto"/>
            <w:bottom w:val="none" w:sz="0" w:space="0" w:color="auto"/>
            <w:right w:val="none" w:sz="0" w:space="0" w:color="auto"/>
          </w:divBdr>
        </w:div>
        <w:div w:id="2141412804">
          <w:marLeft w:val="1166"/>
          <w:marRight w:val="0"/>
          <w:marTop w:val="77"/>
          <w:marBottom w:val="0"/>
          <w:divBdr>
            <w:top w:val="none" w:sz="0" w:space="0" w:color="auto"/>
            <w:left w:val="none" w:sz="0" w:space="0" w:color="auto"/>
            <w:bottom w:val="none" w:sz="0" w:space="0" w:color="auto"/>
            <w:right w:val="none" w:sz="0" w:space="0" w:color="auto"/>
          </w:divBdr>
        </w:div>
      </w:divsChild>
    </w:div>
    <w:div w:id="714812047">
      <w:bodyDiv w:val="1"/>
      <w:marLeft w:val="0"/>
      <w:marRight w:val="0"/>
      <w:marTop w:val="0"/>
      <w:marBottom w:val="0"/>
      <w:divBdr>
        <w:top w:val="none" w:sz="0" w:space="0" w:color="auto"/>
        <w:left w:val="none" w:sz="0" w:space="0" w:color="auto"/>
        <w:bottom w:val="none" w:sz="0" w:space="0" w:color="auto"/>
        <w:right w:val="none" w:sz="0" w:space="0" w:color="auto"/>
      </w:divBdr>
    </w:div>
    <w:div w:id="715082293">
      <w:bodyDiv w:val="1"/>
      <w:marLeft w:val="0"/>
      <w:marRight w:val="0"/>
      <w:marTop w:val="0"/>
      <w:marBottom w:val="0"/>
      <w:divBdr>
        <w:top w:val="none" w:sz="0" w:space="0" w:color="auto"/>
        <w:left w:val="none" w:sz="0" w:space="0" w:color="auto"/>
        <w:bottom w:val="none" w:sz="0" w:space="0" w:color="auto"/>
        <w:right w:val="none" w:sz="0" w:space="0" w:color="auto"/>
      </w:divBdr>
    </w:div>
    <w:div w:id="715087987">
      <w:bodyDiv w:val="1"/>
      <w:marLeft w:val="0"/>
      <w:marRight w:val="0"/>
      <w:marTop w:val="0"/>
      <w:marBottom w:val="0"/>
      <w:divBdr>
        <w:top w:val="none" w:sz="0" w:space="0" w:color="auto"/>
        <w:left w:val="none" w:sz="0" w:space="0" w:color="auto"/>
        <w:bottom w:val="none" w:sz="0" w:space="0" w:color="auto"/>
        <w:right w:val="none" w:sz="0" w:space="0" w:color="auto"/>
      </w:divBdr>
    </w:div>
    <w:div w:id="715354812">
      <w:bodyDiv w:val="1"/>
      <w:marLeft w:val="0"/>
      <w:marRight w:val="0"/>
      <w:marTop w:val="0"/>
      <w:marBottom w:val="0"/>
      <w:divBdr>
        <w:top w:val="none" w:sz="0" w:space="0" w:color="auto"/>
        <w:left w:val="none" w:sz="0" w:space="0" w:color="auto"/>
        <w:bottom w:val="none" w:sz="0" w:space="0" w:color="auto"/>
        <w:right w:val="none" w:sz="0" w:space="0" w:color="auto"/>
      </w:divBdr>
    </w:div>
    <w:div w:id="715858050">
      <w:bodyDiv w:val="1"/>
      <w:marLeft w:val="0"/>
      <w:marRight w:val="0"/>
      <w:marTop w:val="0"/>
      <w:marBottom w:val="0"/>
      <w:divBdr>
        <w:top w:val="none" w:sz="0" w:space="0" w:color="auto"/>
        <w:left w:val="none" w:sz="0" w:space="0" w:color="auto"/>
        <w:bottom w:val="none" w:sz="0" w:space="0" w:color="auto"/>
        <w:right w:val="none" w:sz="0" w:space="0" w:color="auto"/>
      </w:divBdr>
    </w:div>
    <w:div w:id="715935910">
      <w:bodyDiv w:val="1"/>
      <w:marLeft w:val="0"/>
      <w:marRight w:val="0"/>
      <w:marTop w:val="0"/>
      <w:marBottom w:val="0"/>
      <w:divBdr>
        <w:top w:val="none" w:sz="0" w:space="0" w:color="auto"/>
        <w:left w:val="none" w:sz="0" w:space="0" w:color="auto"/>
        <w:bottom w:val="none" w:sz="0" w:space="0" w:color="auto"/>
        <w:right w:val="none" w:sz="0" w:space="0" w:color="auto"/>
      </w:divBdr>
      <w:divsChild>
        <w:div w:id="194974185">
          <w:marLeft w:val="1166"/>
          <w:marRight w:val="0"/>
          <w:marTop w:val="125"/>
          <w:marBottom w:val="0"/>
          <w:divBdr>
            <w:top w:val="none" w:sz="0" w:space="0" w:color="auto"/>
            <w:left w:val="none" w:sz="0" w:space="0" w:color="auto"/>
            <w:bottom w:val="none" w:sz="0" w:space="0" w:color="auto"/>
            <w:right w:val="none" w:sz="0" w:space="0" w:color="auto"/>
          </w:divBdr>
        </w:div>
        <w:div w:id="507595460">
          <w:marLeft w:val="1166"/>
          <w:marRight w:val="0"/>
          <w:marTop w:val="125"/>
          <w:marBottom w:val="0"/>
          <w:divBdr>
            <w:top w:val="none" w:sz="0" w:space="0" w:color="auto"/>
            <w:left w:val="none" w:sz="0" w:space="0" w:color="auto"/>
            <w:bottom w:val="none" w:sz="0" w:space="0" w:color="auto"/>
            <w:right w:val="none" w:sz="0" w:space="0" w:color="auto"/>
          </w:divBdr>
        </w:div>
        <w:div w:id="748884590">
          <w:marLeft w:val="1166"/>
          <w:marRight w:val="0"/>
          <w:marTop w:val="125"/>
          <w:marBottom w:val="0"/>
          <w:divBdr>
            <w:top w:val="none" w:sz="0" w:space="0" w:color="auto"/>
            <w:left w:val="none" w:sz="0" w:space="0" w:color="auto"/>
            <w:bottom w:val="none" w:sz="0" w:space="0" w:color="auto"/>
            <w:right w:val="none" w:sz="0" w:space="0" w:color="auto"/>
          </w:divBdr>
        </w:div>
        <w:div w:id="1215501785">
          <w:marLeft w:val="1166"/>
          <w:marRight w:val="0"/>
          <w:marTop w:val="125"/>
          <w:marBottom w:val="0"/>
          <w:divBdr>
            <w:top w:val="none" w:sz="0" w:space="0" w:color="auto"/>
            <w:left w:val="none" w:sz="0" w:space="0" w:color="auto"/>
            <w:bottom w:val="none" w:sz="0" w:space="0" w:color="auto"/>
            <w:right w:val="none" w:sz="0" w:space="0" w:color="auto"/>
          </w:divBdr>
        </w:div>
        <w:div w:id="1629318595">
          <w:marLeft w:val="547"/>
          <w:marRight w:val="0"/>
          <w:marTop w:val="144"/>
          <w:marBottom w:val="0"/>
          <w:divBdr>
            <w:top w:val="none" w:sz="0" w:space="0" w:color="auto"/>
            <w:left w:val="none" w:sz="0" w:space="0" w:color="auto"/>
            <w:bottom w:val="none" w:sz="0" w:space="0" w:color="auto"/>
            <w:right w:val="none" w:sz="0" w:space="0" w:color="auto"/>
          </w:divBdr>
        </w:div>
        <w:div w:id="1740209308">
          <w:marLeft w:val="547"/>
          <w:marRight w:val="0"/>
          <w:marTop w:val="144"/>
          <w:marBottom w:val="0"/>
          <w:divBdr>
            <w:top w:val="none" w:sz="0" w:space="0" w:color="auto"/>
            <w:left w:val="none" w:sz="0" w:space="0" w:color="auto"/>
            <w:bottom w:val="none" w:sz="0" w:space="0" w:color="auto"/>
            <w:right w:val="none" w:sz="0" w:space="0" w:color="auto"/>
          </w:divBdr>
        </w:div>
        <w:div w:id="1772971246">
          <w:marLeft w:val="1166"/>
          <w:marRight w:val="0"/>
          <w:marTop w:val="125"/>
          <w:marBottom w:val="0"/>
          <w:divBdr>
            <w:top w:val="none" w:sz="0" w:space="0" w:color="auto"/>
            <w:left w:val="none" w:sz="0" w:space="0" w:color="auto"/>
            <w:bottom w:val="none" w:sz="0" w:space="0" w:color="auto"/>
            <w:right w:val="none" w:sz="0" w:space="0" w:color="auto"/>
          </w:divBdr>
        </w:div>
        <w:div w:id="1825970476">
          <w:marLeft w:val="1166"/>
          <w:marRight w:val="0"/>
          <w:marTop w:val="125"/>
          <w:marBottom w:val="0"/>
          <w:divBdr>
            <w:top w:val="none" w:sz="0" w:space="0" w:color="auto"/>
            <w:left w:val="none" w:sz="0" w:space="0" w:color="auto"/>
            <w:bottom w:val="none" w:sz="0" w:space="0" w:color="auto"/>
            <w:right w:val="none" w:sz="0" w:space="0" w:color="auto"/>
          </w:divBdr>
        </w:div>
      </w:divsChild>
    </w:div>
    <w:div w:id="716003701">
      <w:bodyDiv w:val="1"/>
      <w:marLeft w:val="0"/>
      <w:marRight w:val="0"/>
      <w:marTop w:val="0"/>
      <w:marBottom w:val="0"/>
      <w:divBdr>
        <w:top w:val="none" w:sz="0" w:space="0" w:color="auto"/>
        <w:left w:val="none" w:sz="0" w:space="0" w:color="auto"/>
        <w:bottom w:val="none" w:sz="0" w:space="0" w:color="auto"/>
        <w:right w:val="none" w:sz="0" w:space="0" w:color="auto"/>
      </w:divBdr>
    </w:div>
    <w:div w:id="718824142">
      <w:bodyDiv w:val="1"/>
      <w:marLeft w:val="0"/>
      <w:marRight w:val="0"/>
      <w:marTop w:val="0"/>
      <w:marBottom w:val="0"/>
      <w:divBdr>
        <w:top w:val="none" w:sz="0" w:space="0" w:color="auto"/>
        <w:left w:val="none" w:sz="0" w:space="0" w:color="auto"/>
        <w:bottom w:val="none" w:sz="0" w:space="0" w:color="auto"/>
        <w:right w:val="none" w:sz="0" w:space="0" w:color="auto"/>
      </w:divBdr>
    </w:div>
    <w:div w:id="719204155">
      <w:bodyDiv w:val="1"/>
      <w:marLeft w:val="0"/>
      <w:marRight w:val="0"/>
      <w:marTop w:val="0"/>
      <w:marBottom w:val="0"/>
      <w:divBdr>
        <w:top w:val="none" w:sz="0" w:space="0" w:color="auto"/>
        <w:left w:val="none" w:sz="0" w:space="0" w:color="auto"/>
        <w:bottom w:val="none" w:sz="0" w:space="0" w:color="auto"/>
        <w:right w:val="none" w:sz="0" w:space="0" w:color="auto"/>
      </w:divBdr>
    </w:div>
    <w:div w:id="719667388">
      <w:bodyDiv w:val="1"/>
      <w:marLeft w:val="0"/>
      <w:marRight w:val="0"/>
      <w:marTop w:val="0"/>
      <w:marBottom w:val="0"/>
      <w:divBdr>
        <w:top w:val="none" w:sz="0" w:space="0" w:color="auto"/>
        <w:left w:val="none" w:sz="0" w:space="0" w:color="auto"/>
        <w:bottom w:val="none" w:sz="0" w:space="0" w:color="auto"/>
        <w:right w:val="none" w:sz="0" w:space="0" w:color="auto"/>
      </w:divBdr>
    </w:div>
    <w:div w:id="719940158">
      <w:bodyDiv w:val="1"/>
      <w:marLeft w:val="0"/>
      <w:marRight w:val="0"/>
      <w:marTop w:val="0"/>
      <w:marBottom w:val="0"/>
      <w:divBdr>
        <w:top w:val="none" w:sz="0" w:space="0" w:color="auto"/>
        <w:left w:val="none" w:sz="0" w:space="0" w:color="auto"/>
        <w:bottom w:val="none" w:sz="0" w:space="0" w:color="auto"/>
        <w:right w:val="none" w:sz="0" w:space="0" w:color="auto"/>
      </w:divBdr>
    </w:div>
    <w:div w:id="720831038">
      <w:bodyDiv w:val="1"/>
      <w:marLeft w:val="0"/>
      <w:marRight w:val="0"/>
      <w:marTop w:val="0"/>
      <w:marBottom w:val="0"/>
      <w:divBdr>
        <w:top w:val="none" w:sz="0" w:space="0" w:color="auto"/>
        <w:left w:val="none" w:sz="0" w:space="0" w:color="auto"/>
        <w:bottom w:val="none" w:sz="0" w:space="0" w:color="auto"/>
        <w:right w:val="none" w:sz="0" w:space="0" w:color="auto"/>
      </w:divBdr>
    </w:div>
    <w:div w:id="721097938">
      <w:bodyDiv w:val="1"/>
      <w:marLeft w:val="0"/>
      <w:marRight w:val="0"/>
      <w:marTop w:val="0"/>
      <w:marBottom w:val="0"/>
      <w:divBdr>
        <w:top w:val="none" w:sz="0" w:space="0" w:color="auto"/>
        <w:left w:val="none" w:sz="0" w:space="0" w:color="auto"/>
        <w:bottom w:val="none" w:sz="0" w:space="0" w:color="auto"/>
        <w:right w:val="none" w:sz="0" w:space="0" w:color="auto"/>
      </w:divBdr>
    </w:div>
    <w:div w:id="722410511">
      <w:bodyDiv w:val="1"/>
      <w:marLeft w:val="0"/>
      <w:marRight w:val="0"/>
      <w:marTop w:val="0"/>
      <w:marBottom w:val="0"/>
      <w:divBdr>
        <w:top w:val="none" w:sz="0" w:space="0" w:color="auto"/>
        <w:left w:val="none" w:sz="0" w:space="0" w:color="auto"/>
        <w:bottom w:val="none" w:sz="0" w:space="0" w:color="auto"/>
        <w:right w:val="none" w:sz="0" w:space="0" w:color="auto"/>
      </w:divBdr>
      <w:divsChild>
        <w:div w:id="77946527">
          <w:marLeft w:val="1166"/>
          <w:marRight w:val="0"/>
          <w:marTop w:val="115"/>
          <w:marBottom w:val="0"/>
          <w:divBdr>
            <w:top w:val="none" w:sz="0" w:space="0" w:color="auto"/>
            <w:left w:val="none" w:sz="0" w:space="0" w:color="auto"/>
            <w:bottom w:val="none" w:sz="0" w:space="0" w:color="auto"/>
            <w:right w:val="none" w:sz="0" w:space="0" w:color="auto"/>
          </w:divBdr>
        </w:div>
        <w:div w:id="278337836">
          <w:marLeft w:val="1166"/>
          <w:marRight w:val="0"/>
          <w:marTop w:val="115"/>
          <w:marBottom w:val="0"/>
          <w:divBdr>
            <w:top w:val="none" w:sz="0" w:space="0" w:color="auto"/>
            <w:left w:val="none" w:sz="0" w:space="0" w:color="auto"/>
            <w:bottom w:val="none" w:sz="0" w:space="0" w:color="auto"/>
            <w:right w:val="none" w:sz="0" w:space="0" w:color="auto"/>
          </w:divBdr>
        </w:div>
        <w:div w:id="375617761">
          <w:marLeft w:val="1166"/>
          <w:marRight w:val="0"/>
          <w:marTop w:val="115"/>
          <w:marBottom w:val="0"/>
          <w:divBdr>
            <w:top w:val="none" w:sz="0" w:space="0" w:color="auto"/>
            <w:left w:val="none" w:sz="0" w:space="0" w:color="auto"/>
            <w:bottom w:val="none" w:sz="0" w:space="0" w:color="auto"/>
            <w:right w:val="none" w:sz="0" w:space="0" w:color="auto"/>
          </w:divBdr>
        </w:div>
        <w:div w:id="1988628654">
          <w:marLeft w:val="547"/>
          <w:marRight w:val="0"/>
          <w:marTop w:val="134"/>
          <w:marBottom w:val="0"/>
          <w:divBdr>
            <w:top w:val="none" w:sz="0" w:space="0" w:color="auto"/>
            <w:left w:val="none" w:sz="0" w:space="0" w:color="auto"/>
            <w:bottom w:val="none" w:sz="0" w:space="0" w:color="auto"/>
            <w:right w:val="none" w:sz="0" w:space="0" w:color="auto"/>
          </w:divBdr>
        </w:div>
      </w:divsChild>
    </w:div>
    <w:div w:id="723220745">
      <w:bodyDiv w:val="1"/>
      <w:marLeft w:val="0"/>
      <w:marRight w:val="0"/>
      <w:marTop w:val="0"/>
      <w:marBottom w:val="0"/>
      <w:divBdr>
        <w:top w:val="none" w:sz="0" w:space="0" w:color="auto"/>
        <w:left w:val="none" w:sz="0" w:space="0" w:color="auto"/>
        <w:bottom w:val="none" w:sz="0" w:space="0" w:color="auto"/>
        <w:right w:val="none" w:sz="0" w:space="0" w:color="auto"/>
      </w:divBdr>
    </w:div>
    <w:div w:id="723406144">
      <w:bodyDiv w:val="1"/>
      <w:marLeft w:val="0"/>
      <w:marRight w:val="0"/>
      <w:marTop w:val="0"/>
      <w:marBottom w:val="0"/>
      <w:divBdr>
        <w:top w:val="none" w:sz="0" w:space="0" w:color="auto"/>
        <w:left w:val="none" w:sz="0" w:space="0" w:color="auto"/>
        <w:bottom w:val="none" w:sz="0" w:space="0" w:color="auto"/>
        <w:right w:val="none" w:sz="0" w:space="0" w:color="auto"/>
      </w:divBdr>
    </w:div>
    <w:div w:id="723526240">
      <w:bodyDiv w:val="1"/>
      <w:marLeft w:val="0"/>
      <w:marRight w:val="0"/>
      <w:marTop w:val="0"/>
      <w:marBottom w:val="0"/>
      <w:divBdr>
        <w:top w:val="none" w:sz="0" w:space="0" w:color="auto"/>
        <w:left w:val="none" w:sz="0" w:space="0" w:color="auto"/>
        <w:bottom w:val="none" w:sz="0" w:space="0" w:color="auto"/>
        <w:right w:val="none" w:sz="0" w:space="0" w:color="auto"/>
      </w:divBdr>
      <w:divsChild>
        <w:div w:id="120728313">
          <w:marLeft w:val="1166"/>
          <w:marRight w:val="0"/>
          <w:marTop w:val="134"/>
          <w:marBottom w:val="0"/>
          <w:divBdr>
            <w:top w:val="none" w:sz="0" w:space="0" w:color="auto"/>
            <w:left w:val="none" w:sz="0" w:space="0" w:color="auto"/>
            <w:bottom w:val="none" w:sz="0" w:space="0" w:color="auto"/>
            <w:right w:val="none" w:sz="0" w:space="0" w:color="auto"/>
          </w:divBdr>
        </w:div>
        <w:div w:id="2042438106">
          <w:marLeft w:val="547"/>
          <w:marRight w:val="0"/>
          <w:marTop w:val="154"/>
          <w:marBottom w:val="0"/>
          <w:divBdr>
            <w:top w:val="none" w:sz="0" w:space="0" w:color="auto"/>
            <w:left w:val="none" w:sz="0" w:space="0" w:color="auto"/>
            <w:bottom w:val="none" w:sz="0" w:space="0" w:color="auto"/>
            <w:right w:val="none" w:sz="0" w:space="0" w:color="auto"/>
          </w:divBdr>
        </w:div>
      </w:divsChild>
    </w:div>
    <w:div w:id="724109772">
      <w:bodyDiv w:val="1"/>
      <w:marLeft w:val="0"/>
      <w:marRight w:val="0"/>
      <w:marTop w:val="0"/>
      <w:marBottom w:val="0"/>
      <w:divBdr>
        <w:top w:val="none" w:sz="0" w:space="0" w:color="auto"/>
        <w:left w:val="none" w:sz="0" w:space="0" w:color="auto"/>
        <w:bottom w:val="none" w:sz="0" w:space="0" w:color="auto"/>
        <w:right w:val="none" w:sz="0" w:space="0" w:color="auto"/>
      </w:divBdr>
    </w:div>
    <w:div w:id="724449779">
      <w:bodyDiv w:val="1"/>
      <w:marLeft w:val="0"/>
      <w:marRight w:val="0"/>
      <w:marTop w:val="0"/>
      <w:marBottom w:val="0"/>
      <w:divBdr>
        <w:top w:val="none" w:sz="0" w:space="0" w:color="auto"/>
        <w:left w:val="none" w:sz="0" w:space="0" w:color="auto"/>
        <w:bottom w:val="none" w:sz="0" w:space="0" w:color="auto"/>
        <w:right w:val="none" w:sz="0" w:space="0" w:color="auto"/>
      </w:divBdr>
      <w:divsChild>
        <w:div w:id="482746802">
          <w:marLeft w:val="0"/>
          <w:marRight w:val="0"/>
          <w:marTop w:val="0"/>
          <w:marBottom w:val="0"/>
          <w:divBdr>
            <w:top w:val="none" w:sz="0" w:space="0" w:color="auto"/>
            <w:left w:val="none" w:sz="0" w:space="0" w:color="auto"/>
            <w:bottom w:val="none" w:sz="0" w:space="0" w:color="auto"/>
            <w:right w:val="none" w:sz="0" w:space="0" w:color="auto"/>
          </w:divBdr>
        </w:div>
      </w:divsChild>
    </w:div>
    <w:div w:id="724453826">
      <w:bodyDiv w:val="1"/>
      <w:marLeft w:val="0"/>
      <w:marRight w:val="0"/>
      <w:marTop w:val="0"/>
      <w:marBottom w:val="0"/>
      <w:divBdr>
        <w:top w:val="none" w:sz="0" w:space="0" w:color="auto"/>
        <w:left w:val="none" w:sz="0" w:space="0" w:color="auto"/>
        <w:bottom w:val="none" w:sz="0" w:space="0" w:color="auto"/>
        <w:right w:val="none" w:sz="0" w:space="0" w:color="auto"/>
      </w:divBdr>
    </w:div>
    <w:div w:id="725032292">
      <w:bodyDiv w:val="1"/>
      <w:marLeft w:val="0"/>
      <w:marRight w:val="0"/>
      <w:marTop w:val="0"/>
      <w:marBottom w:val="0"/>
      <w:divBdr>
        <w:top w:val="none" w:sz="0" w:space="0" w:color="auto"/>
        <w:left w:val="none" w:sz="0" w:space="0" w:color="auto"/>
        <w:bottom w:val="none" w:sz="0" w:space="0" w:color="auto"/>
        <w:right w:val="none" w:sz="0" w:space="0" w:color="auto"/>
      </w:divBdr>
    </w:div>
    <w:div w:id="725489934">
      <w:bodyDiv w:val="1"/>
      <w:marLeft w:val="0"/>
      <w:marRight w:val="0"/>
      <w:marTop w:val="0"/>
      <w:marBottom w:val="0"/>
      <w:divBdr>
        <w:top w:val="none" w:sz="0" w:space="0" w:color="auto"/>
        <w:left w:val="none" w:sz="0" w:space="0" w:color="auto"/>
        <w:bottom w:val="none" w:sz="0" w:space="0" w:color="auto"/>
        <w:right w:val="none" w:sz="0" w:space="0" w:color="auto"/>
      </w:divBdr>
    </w:div>
    <w:div w:id="726487820">
      <w:bodyDiv w:val="1"/>
      <w:marLeft w:val="0"/>
      <w:marRight w:val="0"/>
      <w:marTop w:val="0"/>
      <w:marBottom w:val="0"/>
      <w:divBdr>
        <w:top w:val="none" w:sz="0" w:space="0" w:color="auto"/>
        <w:left w:val="none" w:sz="0" w:space="0" w:color="auto"/>
        <w:bottom w:val="none" w:sz="0" w:space="0" w:color="auto"/>
        <w:right w:val="none" w:sz="0" w:space="0" w:color="auto"/>
      </w:divBdr>
    </w:div>
    <w:div w:id="726490369">
      <w:bodyDiv w:val="1"/>
      <w:marLeft w:val="0"/>
      <w:marRight w:val="0"/>
      <w:marTop w:val="0"/>
      <w:marBottom w:val="0"/>
      <w:divBdr>
        <w:top w:val="none" w:sz="0" w:space="0" w:color="auto"/>
        <w:left w:val="none" w:sz="0" w:space="0" w:color="auto"/>
        <w:bottom w:val="none" w:sz="0" w:space="0" w:color="auto"/>
        <w:right w:val="none" w:sz="0" w:space="0" w:color="auto"/>
      </w:divBdr>
    </w:div>
    <w:div w:id="726491009">
      <w:bodyDiv w:val="1"/>
      <w:marLeft w:val="0"/>
      <w:marRight w:val="0"/>
      <w:marTop w:val="0"/>
      <w:marBottom w:val="0"/>
      <w:divBdr>
        <w:top w:val="none" w:sz="0" w:space="0" w:color="auto"/>
        <w:left w:val="none" w:sz="0" w:space="0" w:color="auto"/>
        <w:bottom w:val="none" w:sz="0" w:space="0" w:color="auto"/>
        <w:right w:val="none" w:sz="0" w:space="0" w:color="auto"/>
      </w:divBdr>
    </w:div>
    <w:div w:id="726798619">
      <w:bodyDiv w:val="1"/>
      <w:marLeft w:val="0"/>
      <w:marRight w:val="0"/>
      <w:marTop w:val="0"/>
      <w:marBottom w:val="0"/>
      <w:divBdr>
        <w:top w:val="none" w:sz="0" w:space="0" w:color="auto"/>
        <w:left w:val="none" w:sz="0" w:space="0" w:color="auto"/>
        <w:bottom w:val="none" w:sz="0" w:space="0" w:color="auto"/>
        <w:right w:val="none" w:sz="0" w:space="0" w:color="auto"/>
      </w:divBdr>
    </w:div>
    <w:div w:id="731539250">
      <w:bodyDiv w:val="1"/>
      <w:marLeft w:val="0"/>
      <w:marRight w:val="0"/>
      <w:marTop w:val="0"/>
      <w:marBottom w:val="0"/>
      <w:divBdr>
        <w:top w:val="none" w:sz="0" w:space="0" w:color="auto"/>
        <w:left w:val="none" w:sz="0" w:space="0" w:color="auto"/>
        <w:bottom w:val="none" w:sz="0" w:space="0" w:color="auto"/>
        <w:right w:val="none" w:sz="0" w:space="0" w:color="auto"/>
      </w:divBdr>
    </w:div>
    <w:div w:id="732628278">
      <w:bodyDiv w:val="1"/>
      <w:marLeft w:val="0"/>
      <w:marRight w:val="0"/>
      <w:marTop w:val="0"/>
      <w:marBottom w:val="0"/>
      <w:divBdr>
        <w:top w:val="none" w:sz="0" w:space="0" w:color="auto"/>
        <w:left w:val="none" w:sz="0" w:space="0" w:color="auto"/>
        <w:bottom w:val="none" w:sz="0" w:space="0" w:color="auto"/>
        <w:right w:val="none" w:sz="0" w:space="0" w:color="auto"/>
      </w:divBdr>
    </w:div>
    <w:div w:id="733549056">
      <w:bodyDiv w:val="1"/>
      <w:marLeft w:val="0"/>
      <w:marRight w:val="0"/>
      <w:marTop w:val="0"/>
      <w:marBottom w:val="0"/>
      <w:divBdr>
        <w:top w:val="none" w:sz="0" w:space="0" w:color="auto"/>
        <w:left w:val="none" w:sz="0" w:space="0" w:color="auto"/>
        <w:bottom w:val="none" w:sz="0" w:space="0" w:color="auto"/>
        <w:right w:val="none" w:sz="0" w:space="0" w:color="auto"/>
      </w:divBdr>
    </w:div>
    <w:div w:id="734739017">
      <w:bodyDiv w:val="1"/>
      <w:marLeft w:val="0"/>
      <w:marRight w:val="0"/>
      <w:marTop w:val="0"/>
      <w:marBottom w:val="0"/>
      <w:divBdr>
        <w:top w:val="none" w:sz="0" w:space="0" w:color="auto"/>
        <w:left w:val="none" w:sz="0" w:space="0" w:color="auto"/>
        <w:bottom w:val="none" w:sz="0" w:space="0" w:color="auto"/>
        <w:right w:val="none" w:sz="0" w:space="0" w:color="auto"/>
      </w:divBdr>
    </w:div>
    <w:div w:id="735053875">
      <w:bodyDiv w:val="1"/>
      <w:marLeft w:val="0"/>
      <w:marRight w:val="0"/>
      <w:marTop w:val="0"/>
      <w:marBottom w:val="0"/>
      <w:divBdr>
        <w:top w:val="none" w:sz="0" w:space="0" w:color="auto"/>
        <w:left w:val="none" w:sz="0" w:space="0" w:color="auto"/>
        <w:bottom w:val="none" w:sz="0" w:space="0" w:color="auto"/>
        <w:right w:val="none" w:sz="0" w:space="0" w:color="auto"/>
      </w:divBdr>
      <w:divsChild>
        <w:div w:id="22021991">
          <w:marLeft w:val="1166"/>
          <w:marRight w:val="0"/>
          <w:marTop w:val="115"/>
          <w:marBottom w:val="0"/>
          <w:divBdr>
            <w:top w:val="none" w:sz="0" w:space="0" w:color="auto"/>
            <w:left w:val="none" w:sz="0" w:space="0" w:color="auto"/>
            <w:bottom w:val="none" w:sz="0" w:space="0" w:color="auto"/>
            <w:right w:val="none" w:sz="0" w:space="0" w:color="auto"/>
          </w:divBdr>
        </w:div>
        <w:div w:id="34083858">
          <w:marLeft w:val="547"/>
          <w:marRight w:val="0"/>
          <w:marTop w:val="134"/>
          <w:marBottom w:val="0"/>
          <w:divBdr>
            <w:top w:val="none" w:sz="0" w:space="0" w:color="auto"/>
            <w:left w:val="none" w:sz="0" w:space="0" w:color="auto"/>
            <w:bottom w:val="none" w:sz="0" w:space="0" w:color="auto"/>
            <w:right w:val="none" w:sz="0" w:space="0" w:color="auto"/>
          </w:divBdr>
        </w:div>
        <w:div w:id="1421298255">
          <w:marLeft w:val="547"/>
          <w:marRight w:val="0"/>
          <w:marTop w:val="134"/>
          <w:marBottom w:val="0"/>
          <w:divBdr>
            <w:top w:val="none" w:sz="0" w:space="0" w:color="auto"/>
            <w:left w:val="none" w:sz="0" w:space="0" w:color="auto"/>
            <w:bottom w:val="none" w:sz="0" w:space="0" w:color="auto"/>
            <w:right w:val="none" w:sz="0" w:space="0" w:color="auto"/>
          </w:divBdr>
        </w:div>
        <w:div w:id="1724937734">
          <w:marLeft w:val="1166"/>
          <w:marRight w:val="0"/>
          <w:marTop w:val="115"/>
          <w:marBottom w:val="0"/>
          <w:divBdr>
            <w:top w:val="none" w:sz="0" w:space="0" w:color="auto"/>
            <w:left w:val="none" w:sz="0" w:space="0" w:color="auto"/>
            <w:bottom w:val="none" w:sz="0" w:space="0" w:color="auto"/>
            <w:right w:val="none" w:sz="0" w:space="0" w:color="auto"/>
          </w:divBdr>
        </w:div>
        <w:div w:id="2138066333">
          <w:marLeft w:val="1166"/>
          <w:marRight w:val="0"/>
          <w:marTop w:val="115"/>
          <w:marBottom w:val="0"/>
          <w:divBdr>
            <w:top w:val="none" w:sz="0" w:space="0" w:color="auto"/>
            <w:left w:val="none" w:sz="0" w:space="0" w:color="auto"/>
            <w:bottom w:val="none" w:sz="0" w:space="0" w:color="auto"/>
            <w:right w:val="none" w:sz="0" w:space="0" w:color="auto"/>
          </w:divBdr>
        </w:div>
      </w:divsChild>
    </w:div>
    <w:div w:id="735204829">
      <w:bodyDiv w:val="1"/>
      <w:marLeft w:val="0"/>
      <w:marRight w:val="0"/>
      <w:marTop w:val="0"/>
      <w:marBottom w:val="0"/>
      <w:divBdr>
        <w:top w:val="none" w:sz="0" w:space="0" w:color="auto"/>
        <w:left w:val="none" w:sz="0" w:space="0" w:color="auto"/>
        <w:bottom w:val="none" w:sz="0" w:space="0" w:color="auto"/>
        <w:right w:val="none" w:sz="0" w:space="0" w:color="auto"/>
      </w:divBdr>
    </w:div>
    <w:div w:id="735663424">
      <w:bodyDiv w:val="1"/>
      <w:marLeft w:val="0"/>
      <w:marRight w:val="0"/>
      <w:marTop w:val="0"/>
      <w:marBottom w:val="0"/>
      <w:divBdr>
        <w:top w:val="none" w:sz="0" w:space="0" w:color="auto"/>
        <w:left w:val="none" w:sz="0" w:space="0" w:color="auto"/>
        <w:bottom w:val="none" w:sz="0" w:space="0" w:color="auto"/>
        <w:right w:val="none" w:sz="0" w:space="0" w:color="auto"/>
      </w:divBdr>
      <w:divsChild>
        <w:div w:id="1558203285">
          <w:marLeft w:val="547"/>
          <w:marRight w:val="0"/>
          <w:marTop w:val="154"/>
          <w:marBottom w:val="0"/>
          <w:divBdr>
            <w:top w:val="none" w:sz="0" w:space="0" w:color="auto"/>
            <w:left w:val="none" w:sz="0" w:space="0" w:color="auto"/>
            <w:bottom w:val="none" w:sz="0" w:space="0" w:color="auto"/>
            <w:right w:val="none" w:sz="0" w:space="0" w:color="auto"/>
          </w:divBdr>
        </w:div>
      </w:divsChild>
    </w:div>
    <w:div w:id="736438536">
      <w:bodyDiv w:val="1"/>
      <w:marLeft w:val="0"/>
      <w:marRight w:val="0"/>
      <w:marTop w:val="0"/>
      <w:marBottom w:val="0"/>
      <w:divBdr>
        <w:top w:val="none" w:sz="0" w:space="0" w:color="auto"/>
        <w:left w:val="none" w:sz="0" w:space="0" w:color="auto"/>
        <w:bottom w:val="none" w:sz="0" w:space="0" w:color="auto"/>
        <w:right w:val="none" w:sz="0" w:space="0" w:color="auto"/>
      </w:divBdr>
    </w:div>
    <w:div w:id="736441180">
      <w:bodyDiv w:val="1"/>
      <w:marLeft w:val="0"/>
      <w:marRight w:val="0"/>
      <w:marTop w:val="0"/>
      <w:marBottom w:val="0"/>
      <w:divBdr>
        <w:top w:val="none" w:sz="0" w:space="0" w:color="auto"/>
        <w:left w:val="none" w:sz="0" w:space="0" w:color="auto"/>
        <w:bottom w:val="none" w:sz="0" w:space="0" w:color="auto"/>
        <w:right w:val="none" w:sz="0" w:space="0" w:color="auto"/>
      </w:divBdr>
    </w:div>
    <w:div w:id="736786349">
      <w:bodyDiv w:val="1"/>
      <w:marLeft w:val="0"/>
      <w:marRight w:val="0"/>
      <w:marTop w:val="0"/>
      <w:marBottom w:val="0"/>
      <w:divBdr>
        <w:top w:val="none" w:sz="0" w:space="0" w:color="auto"/>
        <w:left w:val="none" w:sz="0" w:space="0" w:color="auto"/>
        <w:bottom w:val="none" w:sz="0" w:space="0" w:color="auto"/>
        <w:right w:val="none" w:sz="0" w:space="0" w:color="auto"/>
      </w:divBdr>
    </w:div>
    <w:div w:id="737284343">
      <w:bodyDiv w:val="1"/>
      <w:marLeft w:val="0"/>
      <w:marRight w:val="0"/>
      <w:marTop w:val="0"/>
      <w:marBottom w:val="0"/>
      <w:divBdr>
        <w:top w:val="none" w:sz="0" w:space="0" w:color="auto"/>
        <w:left w:val="none" w:sz="0" w:space="0" w:color="auto"/>
        <w:bottom w:val="none" w:sz="0" w:space="0" w:color="auto"/>
        <w:right w:val="none" w:sz="0" w:space="0" w:color="auto"/>
      </w:divBdr>
    </w:div>
    <w:div w:id="737363846">
      <w:bodyDiv w:val="1"/>
      <w:marLeft w:val="0"/>
      <w:marRight w:val="0"/>
      <w:marTop w:val="0"/>
      <w:marBottom w:val="0"/>
      <w:divBdr>
        <w:top w:val="none" w:sz="0" w:space="0" w:color="auto"/>
        <w:left w:val="none" w:sz="0" w:space="0" w:color="auto"/>
        <w:bottom w:val="none" w:sz="0" w:space="0" w:color="auto"/>
        <w:right w:val="none" w:sz="0" w:space="0" w:color="auto"/>
      </w:divBdr>
      <w:divsChild>
        <w:div w:id="266082227">
          <w:marLeft w:val="1166"/>
          <w:marRight w:val="0"/>
          <w:marTop w:val="96"/>
          <w:marBottom w:val="0"/>
          <w:divBdr>
            <w:top w:val="none" w:sz="0" w:space="0" w:color="auto"/>
            <w:left w:val="none" w:sz="0" w:space="0" w:color="auto"/>
            <w:bottom w:val="none" w:sz="0" w:space="0" w:color="auto"/>
            <w:right w:val="none" w:sz="0" w:space="0" w:color="auto"/>
          </w:divBdr>
        </w:div>
        <w:div w:id="1158378949">
          <w:marLeft w:val="1800"/>
          <w:marRight w:val="0"/>
          <w:marTop w:val="77"/>
          <w:marBottom w:val="0"/>
          <w:divBdr>
            <w:top w:val="none" w:sz="0" w:space="0" w:color="auto"/>
            <w:left w:val="none" w:sz="0" w:space="0" w:color="auto"/>
            <w:bottom w:val="none" w:sz="0" w:space="0" w:color="auto"/>
            <w:right w:val="none" w:sz="0" w:space="0" w:color="auto"/>
          </w:divBdr>
        </w:div>
        <w:div w:id="1268122872">
          <w:marLeft w:val="1166"/>
          <w:marRight w:val="0"/>
          <w:marTop w:val="96"/>
          <w:marBottom w:val="0"/>
          <w:divBdr>
            <w:top w:val="none" w:sz="0" w:space="0" w:color="auto"/>
            <w:left w:val="none" w:sz="0" w:space="0" w:color="auto"/>
            <w:bottom w:val="none" w:sz="0" w:space="0" w:color="auto"/>
            <w:right w:val="none" w:sz="0" w:space="0" w:color="auto"/>
          </w:divBdr>
        </w:div>
        <w:div w:id="1840463421">
          <w:marLeft w:val="547"/>
          <w:marRight w:val="0"/>
          <w:marTop w:val="115"/>
          <w:marBottom w:val="0"/>
          <w:divBdr>
            <w:top w:val="none" w:sz="0" w:space="0" w:color="auto"/>
            <w:left w:val="none" w:sz="0" w:space="0" w:color="auto"/>
            <w:bottom w:val="none" w:sz="0" w:space="0" w:color="auto"/>
            <w:right w:val="none" w:sz="0" w:space="0" w:color="auto"/>
          </w:divBdr>
        </w:div>
        <w:div w:id="1987314801">
          <w:marLeft w:val="1800"/>
          <w:marRight w:val="0"/>
          <w:marTop w:val="77"/>
          <w:marBottom w:val="0"/>
          <w:divBdr>
            <w:top w:val="none" w:sz="0" w:space="0" w:color="auto"/>
            <w:left w:val="none" w:sz="0" w:space="0" w:color="auto"/>
            <w:bottom w:val="none" w:sz="0" w:space="0" w:color="auto"/>
            <w:right w:val="none" w:sz="0" w:space="0" w:color="auto"/>
          </w:divBdr>
        </w:div>
      </w:divsChild>
    </w:div>
    <w:div w:id="738291078">
      <w:bodyDiv w:val="1"/>
      <w:marLeft w:val="0"/>
      <w:marRight w:val="0"/>
      <w:marTop w:val="0"/>
      <w:marBottom w:val="0"/>
      <w:divBdr>
        <w:top w:val="none" w:sz="0" w:space="0" w:color="auto"/>
        <w:left w:val="none" w:sz="0" w:space="0" w:color="auto"/>
        <w:bottom w:val="none" w:sz="0" w:space="0" w:color="auto"/>
        <w:right w:val="none" w:sz="0" w:space="0" w:color="auto"/>
      </w:divBdr>
    </w:div>
    <w:div w:id="739131481">
      <w:bodyDiv w:val="1"/>
      <w:marLeft w:val="0"/>
      <w:marRight w:val="0"/>
      <w:marTop w:val="0"/>
      <w:marBottom w:val="0"/>
      <w:divBdr>
        <w:top w:val="none" w:sz="0" w:space="0" w:color="auto"/>
        <w:left w:val="none" w:sz="0" w:space="0" w:color="auto"/>
        <w:bottom w:val="none" w:sz="0" w:space="0" w:color="auto"/>
        <w:right w:val="none" w:sz="0" w:space="0" w:color="auto"/>
      </w:divBdr>
    </w:div>
    <w:div w:id="739905870">
      <w:bodyDiv w:val="1"/>
      <w:marLeft w:val="0"/>
      <w:marRight w:val="0"/>
      <w:marTop w:val="0"/>
      <w:marBottom w:val="0"/>
      <w:divBdr>
        <w:top w:val="none" w:sz="0" w:space="0" w:color="auto"/>
        <w:left w:val="none" w:sz="0" w:space="0" w:color="auto"/>
        <w:bottom w:val="none" w:sz="0" w:space="0" w:color="auto"/>
        <w:right w:val="none" w:sz="0" w:space="0" w:color="auto"/>
      </w:divBdr>
    </w:div>
    <w:div w:id="740516759">
      <w:bodyDiv w:val="1"/>
      <w:marLeft w:val="0"/>
      <w:marRight w:val="0"/>
      <w:marTop w:val="0"/>
      <w:marBottom w:val="0"/>
      <w:divBdr>
        <w:top w:val="none" w:sz="0" w:space="0" w:color="auto"/>
        <w:left w:val="none" w:sz="0" w:space="0" w:color="auto"/>
        <w:bottom w:val="none" w:sz="0" w:space="0" w:color="auto"/>
        <w:right w:val="none" w:sz="0" w:space="0" w:color="auto"/>
      </w:divBdr>
    </w:div>
    <w:div w:id="740518528">
      <w:bodyDiv w:val="1"/>
      <w:marLeft w:val="0"/>
      <w:marRight w:val="0"/>
      <w:marTop w:val="0"/>
      <w:marBottom w:val="0"/>
      <w:divBdr>
        <w:top w:val="none" w:sz="0" w:space="0" w:color="auto"/>
        <w:left w:val="none" w:sz="0" w:space="0" w:color="auto"/>
        <w:bottom w:val="none" w:sz="0" w:space="0" w:color="auto"/>
        <w:right w:val="none" w:sz="0" w:space="0" w:color="auto"/>
      </w:divBdr>
    </w:div>
    <w:div w:id="741178597">
      <w:bodyDiv w:val="1"/>
      <w:marLeft w:val="0"/>
      <w:marRight w:val="0"/>
      <w:marTop w:val="0"/>
      <w:marBottom w:val="0"/>
      <w:divBdr>
        <w:top w:val="none" w:sz="0" w:space="0" w:color="auto"/>
        <w:left w:val="none" w:sz="0" w:space="0" w:color="auto"/>
        <w:bottom w:val="none" w:sz="0" w:space="0" w:color="auto"/>
        <w:right w:val="none" w:sz="0" w:space="0" w:color="auto"/>
      </w:divBdr>
      <w:divsChild>
        <w:div w:id="1150632379">
          <w:marLeft w:val="360"/>
          <w:marRight w:val="0"/>
          <w:marTop w:val="200"/>
          <w:marBottom w:val="0"/>
          <w:divBdr>
            <w:top w:val="none" w:sz="0" w:space="0" w:color="auto"/>
            <w:left w:val="none" w:sz="0" w:space="0" w:color="auto"/>
            <w:bottom w:val="none" w:sz="0" w:space="0" w:color="auto"/>
            <w:right w:val="none" w:sz="0" w:space="0" w:color="auto"/>
          </w:divBdr>
        </w:div>
      </w:divsChild>
    </w:div>
    <w:div w:id="742139926">
      <w:bodyDiv w:val="1"/>
      <w:marLeft w:val="0"/>
      <w:marRight w:val="0"/>
      <w:marTop w:val="0"/>
      <w:marBottom w:val="0"/>
      <w:divBdr>
        <w:top w:val="none" w:sz="0" w:space="0" w:color="auto"/>
        <w:left w:val="none" w:sz="0" w:space="0" w:color="auto"/>
        <w:bottom w:val="none" w:sz="0" w:space="0" w:color="auto"/>
        <w:right w:val="none" w:sz="0" w:space="0" w:color="auto"/>
      </w:divBdr>
      <w:divsChild>
        <w:div w:id="1665474">
          <w:marLeft w:val="1166"/>
          <w:marRight w:val="0"/>
          <w:marTop w:val="115"/>
          <w:marBottom w:val="0"/>
          <w:divBdr>
            <w:top w:val="none" w:sz="0" w:space="0" w:color="auto"/>
            <w:left w:val="none" w:sz="0" w:space="0" w:color="auto"/>
            <w:bottom w:val="none" w:sz="0" w:space="0" w:color="auto"/>
            <w:right w:val="none" w:sz="0" w:space="0" w:color="auto"/>
          </w:divBdr>
        </w:div>
        <w:div w:id="1082986928">
          <w:marLeft w:val="547"/>
          <w:marRight w:val="0"/>
          <w:marTop w:val="134"/>
          <w:marBottom w:val="0"/>
          <w:divBdr>
            <w:top w:val="none" w:sz="0" w:space="0" w:color="auto"/>
            <w:left w:val="none" w:sz="0" w:space="0" w:color="auto"/>
            <w:bottom w:val="none" w:sz="0" w:space="0" w:color="auto"/>
            <w:right w:val="none" w:sz="0" w:space="0" w:color="auto"/>
          </w:divBdr>
        </w:div>
        <w:div w:id="1463428390">
          <w:marLeft w:val="1166"/>
          <w:marRight w:val="0"/>
          <w:marTop w:val="115"/>
          <w:marBottom w:val="0"/>
          <w:divBdr>
            <w:top w:val="none" w:sz="0" w:space="0" w:color="auto"/>
            <w:left w:val="none" w:sz="0" w:space="0" w:color="auto"/>
            <w:bottom w:val="none" w:sz="0" w:space="0" w:color="auto"/>
            <w:right w:val="none" w:sz="0" w:space="0" w:color="auto"/>
          </w:divBdr>
        </w:div>
        <w:div w:id="1800763879">
          <w:marLeft w:val="1886"/>
          <w:marRight w:val="0"/>
          <w:marTop w:val="96"/>
          <w:marBottom w:val="0"/>
          <w:divBdr>
            <w:top w:val="none" w:sz="0" w:space="0" w:color="auto"/>
            <w:left w:val="none" w:sz="0" w:space="0" w:color="auto"/>
            <w:bottom w:val="none" w:sz="0" w:space="0" w:color="auto"/>
            <w:right w:val="none" w:sz="0" w:space="0" w:color="auto"/>
          </w:divBdr>
        </w:div>
      </w:divsChild>
    </w:div>
    <w:div w:id="743454605">
      <w:bodyDiv w:val="1"/>
      <w:marLeft w:val="0"/>
      <w:marRight w:val="0"/>
      <w:marTop w:val="0"/>
      <w:marBottom w:val="0"/>
      <w:divBdr>
        <w:top w:val="none" w:sz="0" w:space="0" w:color="auto"/>
        <w:left w:val="none" w:sz="0" w:space="0" w:color="auto"/>
        <w:bottom w:val="none" w:sz="0" w:space="0" w:color="auto"/>
        <w:right w:val="none" w:sz="0" w:space="0" w:color="auto"/>
      </w:divBdr>
    </w:div>
    <w:div w:id="743649099">
      <w:bodyDiv w:val="1"/>
      <w:marLeft w:val="0"/>
      <w:marRight w:val="0"/>
      <w:marTop w:val="0"/>
      <w:marBottom w:val="0"/>
      <w:divBdr>
        <w:top w:val="none" w:sz="0" w:space="0" w:color="auto"/>
        <w:left w:val="none" w:sz="0" w:space="0" w:color="auto"/>
        <w:bottom w:val="none" w:sz="0" w:space="0" w:color="auto"/>
        <w:right w:val="none" w:sz="0" w:space="0" w:color="auto"/>
      </w:divBdr>
      <w:divsChild>
        <w:div w:id="243957531">
          <w:marLeft w:val="547"/>
          <w:marRight w:val="0"/>
          <w:marTop w:val="115"/>
          <w:marBottom w:val="0"/>
          <w:divBdr>
            <w:top w:val="none" w:sz="0" w:space="0" w:color="auto"/>
            <w:left w:val="none" w:sz="0" w:space="0" w:color="auto"/>
            <w:bottom w:val="none" w:sz="0" w:space="0" w:color="auto"/>
            <w:right w:val="none" w:sz="0" w:space="0" w:color="auto"/>
          </w:divBdr>
        </w:div>
        <w:div w:id="523901223">
          <w:marLeft w:val="1166"/>
          <w:marRight w:val="0"/>
          <w:marTop w:val="96"/>
          <w:marBottom w:val="0"/>
          <w:divBdr>
            <w:top w:val="none" w:sz="0" w:space="0" w:color="auto"/>
            <w:left w:val="none" w:sz="0" w:space="0" w:color="auto"/>
            <w:bottom w:val="none" w:sz="0" w:space="0" w:color="auto"/>
            <w:right w:val="none" w:sz="0" w:space="0" w:color="auto"/>
          </w:divBdr>
        </w:div>
        <w:div w:id="1005549901">
          <w:marLeft w:val="547"/>
          <w:marRight w:val="0"/>
          <w:marTop w:val="115"/>
          <w:marBottom w:val="0"/>
          <w:divBdr>
            <w:top w:val="none" w:sz="0" w:space="0" w:color="auto"/>
            <w:left w:val="none" w:sz="0" w:space="0" w:color="auto"/>
            <w:bottom w:val="none" w:sz="0" w:space="0" w:color="auto"/>
            <w:right w:val="none" w:sz="0" w:space="0" w:color="auto"/>
          </w:divBdr>
        </w:div>
        <w:div w:id="1159418103">
          <w:marLeft w:val="1800"/>
          <w:marRight w:val="0"/>
          <w:marTop w:val="77"/>
          <w:marBottom w:val="0"/>
          <w:divBdr>
            <w:top w:val="none" w:sz="0" w:space="0" w:color="auto"/>
            <w:left w:val="none" w:sz="0" w:space="0" w:color="auto"/>
            <w:bottom w:val="none" w:sz="0" w:space="0" w:color="auto"/>
            <w:right w:val="none" w:sz="0" w:space="0" w:color="auto"/>
          </w:divBdr>
        </w:div>
        <w:div w:id="1559393593">
          <w:marLeft w:val="1166"/>
          <w:marRight w:val="0"/>
          <w:marTop w:val="96"/>
          <w:marBottom w:val="0"/>
          <w:divBdr>
            <w:top w:val="none" w:sz="0" w:space="0" w:color="auto"/>
            <w:left w:val="none" w:sz="0" w:space="0" w:color="auto"/>
            <w:bottom w:val="none" w:sz="0" w:space="0" w:color="auto"/>
            <w:right w:val="none" w:sz="0" w:space="0" w:color="auto"/>
          </w:divBdr>
        </w:div>
        <w:div w:id="2082867111">
          <w:marLeft w:val="1166"/>
          <w:marRight w:val="0"/>
          <w:marTop w:val="96"/>
          <w:marBottom w:val="0"/>
          <w:divBdr>
            <w:top w:val="none" w:sz="0" w:space="0" w:color="auto"/>
            <w:left w:val="none" w:sz="0" w:space="0" w:color="auto"/>
            <w:bottom w:val="none" w:sz="0" w:space="0" w:color="auto"/>
            <w:right w:val="none" w:sz="0" w:space="0" w:color="auto"/>
          </w:divBdr>
        </w:div>
      </w:divsChild>
    </w:div>
    <w:div w:id="744306388">
      <w:bodyDiv w:val="1"/>
      <w:marLeft w:val="0"/>
      <w:marRight w:val="0"/>
      <w:marTop w:val="0"/>
      <w:marBottom w:val="0"/>
      <w:divBdr>
        <w:top w:val="none" w:sz="0" w:space="0" w:color="auto"/>
        <w:left w:val="none" w:sz="0" w:space="0" w:color="auto"/>
        <w:bottom w:val="none" w:sz="0" w:space="0" w:color="auto"/>
        <w:right w:val="none" w:sz="0" w:space="0" w:color="auto"/>
      </w:divBdr>
    </w:div>
    <w:div w:id="744839086">
      <w:bodyDiv w:val="1"/>
      <w:marLeft w:val="0"/>
      <w:marRight w:val="0"/>
      <w:marTop w:val="0"/>
      <w:marBottom w:val="0"/>
      <w:divBdr>
        <w:top w:val="none" w:sz="0" w:space="0" w:color="auto"/>
        <w:left w:val="none" w:sz="0" w:space="0" w:color="auto"/>
        <w:bottom w:val="none" w:sz="0" w:space="0" w:color="auto"/>
        <w:right w:val="none" w:sz="0" w:space="0" w:color="auto"/>
      </w:divBdr>
    </w:div>
    <w:div w:id="744955479">
      <w:bodyDiv w:val="1"/>
      <w:marLeft w:val="0"/>
      <w:marRight w:val="0"/>
      <w:marTop w:val="0"/>
      <w:marBottom w:val="0"/>
      <w:divBdr>
        <w:top w:val="none" w:sz="0" w:space="0" w:color="auto"/>
        <w:left w:val="none" w:sz="0" w:space="0" w:color="auto"/>
        <w:bottom w:val="none" w:sz="0" w:space="0" w:color="auto"/>
        <w:right w:val="none" w:sz="0" w:space="0" w:color="auto"/>
      </w:divBdr>
    </w:div>
    <w:div w:id="745032316">
      <w:bodyDiv w:val="1"/>
      <w:marLeft w:val="0"/>
      <w:marRight w:val="0"/>
      <w:marTop w:val="0"/>
      <w:marBottom w:val="0"/>
      <w:divBdr>
        <w:top w:val="none" w:sz="0" w:space="0" w:color="auto"/>
        <w:left w:val="none" w:sz="0" w:space="0" w:color="auto"/>
        <w:bottom w:val="none" w:sz="0" w:space="0" w:color="auto"/>
        <w:right w:val="none" w:sz="0" w:space="0" w:color="auto"/>
      </w:divBdr>
    </w:div>
    <w:div w:id="745299495">
      <w:bodyDiv w:val="1"/>
      <w:marLeft w:val="0"/>
      <w:marRight w:val="0"/>
      <w:marTop w:val="0"/>
      <w:marBottom w:val="0"/>
      <w:divBdr>
        <w:top w:val="none" w:sz="0" w:space="0" w:color="auto"/>
        <w:left w:val="none" w:sz="0" w:space="0" w:color="auto"/>
        <w:bottom w:val="none" w:sz="0" w:space="0" w:color="auto"/>
        <w:right w:val="none" w:sz="0" w:space="0" w:color="auto"/>
      </w:divBdr>
    </w:div>
    <w:div w:id="745421756">
      <w:bodyDiv w:val="1"/>
      <w:marLeft w:val="0"/>
      <w:marRight w:val="0"/>
      <w:marTop w:val="0"/>
      <w:marBottom w:val="0"/>
      <w:divBdr>
        <w:top w:val="none" w:sz="0" w:space="0" w:color="auto"/>
        <w:left w:val="none" w:sz="0" w:space="0" w:color="auto"/>
        <w:bottom w:val="none" w:sz="0" w:space="0" w:color="auto"/>
        <w:right w:val="none" w:sz="0" w:space="0" w:color="auto"/>
      </w:divBdr>
    </w:div>
    <w:div w:id="746532488">
      <w:bodyDiv w:val="1"/>
      <w:marLeft w:val="0"/>
      <w:marRight w:val="0"/>
      <w:marTop w:val="0"/>
      <w:marBottom w:val="0"/>
      <w:divBdr>
        <w:top w:val="none" w:sz="0" w:space="0" w:color="auto"/>
        <w:left w:val="none" w:sz="0" w:space="0" w:color="auto"/>
        <w:bottom w:val="none" w:sz="0" w:space="0" w:color="auto"/>
        <w:right w:val="none" w:sz="0" w:space="0" w:color="auto"/>
      </w:divBdr>
    </w:div>
    <w:div w:id="746609233">
      <w:bodyDiv w:val="1"/>
      <w:marLeft w:val="0"/>
      <w:marRight w:val="0"/>
      <w:marTop w:val="0"/>
      <w:marBottom w:val="0"/>
      <w:divBdr>
        <w:top w:val="none" w:sz="0" w:space="0" w:color="auto"/>
        <w:left w:val="none" w:sz="0" w:space="0" w:color="auto"/>
        <w:bottom w:val="none" w:sz="0" w:space="0" w:color="auto"/>
        <w:right w:val="none" w:sz="0" w:space="0" w:color="auto"/>
      </w:divBdr>
    </w:div>
    <w:div w:id="747002940">
      <w:bodyDiv w:val="1"/>
      <w:marLeft w:val="0"/>
      <w:marRight w:val="0"/>
      <w:marTop w:val="0"/>
      <w:marBottom w:val="0"/>
      <w:divBdr>
        <w:top w:val="none" w:sz="0" w:space="0" w:color="auto"/>
        <w:left w:val="none" w:sz="0" w:space="0" w:color="auto"/>
        <w:bottom w:val="none" w:sz="0" w:space="0" w:color="auto"/>
        <w:right w:val="none" w:sz="0" w:space="0" w:color="auto"/>
      </w:divBdr>
    </w:div>
    <w:div w:id="747968602">
      <w:bodyDiv w:val="1"/>
      <w:marLeft w:val="0"/>
      <w:marRight w:val="0"/>
      <w:marTop w:val="0"/>
      <w:marBottom w:val="0"/>
      <w:divBdr>
        <w:top w:val="none" w:sz="0" w:space="0" w:color="auto"/>
        <w:left w:val="none" w:sz="0" w:space="0" w:color="auto"/>
        <w:bottom w:val="none" w:sz="0" w:space="0" w:color="auto"/>
        <w:right w:val="none" w:sz="0" w:space="0" w:color="auto"/>
      </w:divBdr>
    </w:div>
    <w:div w:id="748114419">
      <w:bodyDiv w:val="1"/>
      <w:marLeft w:val="0"/>
      <w:marRight w:val="0"/>
      <w:marTop w:val="0"/>
      <w:marBottom w:val="0"/>
      <w:divBdr>
        <w:top w:val="none" w:sz="0" w:space="0" w:color="auto"/>
        <w:left w:val="none" w:sz="0" w:space="0" w:color="auto"/>
        <w:bottom w:val="none" w:sz="0" w:space="0" w:color="auto"/>
        <w:right w:val="none" w:sz="0" w:space="0" w:color="auto"/>
      </w:divBdr>
    </w:div>
    <w:div w:id="748118810">
      <w:bodyDiv w:val="1"/>
      <w:marLeft w:val="0"/>
      <w:marRight w:val="0"/>
      <w:marTop w:val="0"/>
      <w:marBottom w:val="0"/>
      <w:divBdr>
        <w:top w:val="none" w:sz="0" w:space="0" w:color="auto"/>
        <w:left w:val="none" w:sz="0" w:space="0" w:color="auto"/>
        <w:bottom w:val="none" w:sz="0" w:space="0" w:color="auto"/>
        <w:right w:val="none" w:sz="0" w:space="0" w:color="auto"/>
      </w:divBdr>
      <w:divsChild>
        <w:div w:id="784352329">
          <w:marLeft w:val="547"/>
          <w:marRight w:val="0"/>
          <w:marTop w:val="115"/>
          <w:marBottom w:val="0"/>
          <w:divBdr>
            <w:top w:val="none" w:sz="0" w:space="0" w:color="auto"/>
            <w:left w:val="none" w:sz="0" w:space="0" w:color="auto"/>
            <w:bottom w:val="none" w:sz="0" w:space="0" w:color="auto"/>
            <w:right w:val="none" w:sz="0" w:space="0" w:color="auto"/>
          </w:divBdr>
        </w:div>
        <w:div w:id="913977085">
          <w:marLeft w:val="1166"/>
          <w:marRight w:val="0"/>
          <w:marTop w:val="96"/>
          <w:marBottom w:val="0"/>
          <w:divBdr>
            <w:top w:val="none" w:sz="0" w:space="0" w:color="auto"/>
            <w:left w:val="none" w:sz="0" w:space="0" w:color="auto"/>
            <w:bottom w:val="none" w:sz="0" w:space="0" w:color="auto"/>
            <w:right w:val="none" w:sz="0" w:space="0" w:color="auto"/>
          </w:divBdr>
        </w:div>
        <w:div w:id="1055811127">
          <w:marLeft w:val="547"/>
          <w:marRight w:val="0"/>
          <w:marTop w:val="115"/>
          <w:marBottom w:val="0"/>
          <w:divBdr>
            <w:top w:val="none" w:sz="0" w:space="0" w:color="auto"/>
            <w:left w:val="none" w:sz="0" w:space="0" w:color="auto"/>
            <w:bottom w:val="none" w:sz="0" w:space="0" w:color="auto"/>
            <w:right w:val="none" w:sz="0" w:space="0" w:color="auto"/>
          </w:divBdr>
        </w:div>
        <w:div w:id="1271662885">
          <w:marLeft w:val="1166"/>
          <w:marRight w:val="0"/>
          <w:marTop w:val="96"/>
          <w:marBottom w:val="0"/>
          <w:divBdr>
            <w:top w:val="none" w:sz="0" w:space="0" w:color="auto"/>
            <w:left w:val="none" w:sz="0" w:space="0" w:color="auto"/>
            <w:bottom w:val="none" w:sz="0" w:space="0" w:color="auto"/>
            <w:right w:val="none" w:sz="0" w:space="0" w:color="auto"/>
          </w:divBdr>
        </w:div>
        <w:div w:id="1453671026">
          <w:marLeft w:val="1166"/>
          <w:marRight w:val="0"/>
          <w:marTop w:val="96"/>
          <w:marBottom w:val="0"/>
          <w:divBdr>
            <w:top w:val="none" w:sz="0" w:space="0" w:color="auto"/>
            <w:left w:val="none" w:sz="0" w:space="0" w:color="auto"/>
            <w:bottom w:val="none" w:sz="0" w:space="0" w:color="auto"/>
            <w:right w:val="none" w:sz="0" w:space="0" w:color="auto"/>
          </w:divBdr>
        </w:div>
        <w:div w:id="2017994567">
          <w:marLeft w:val="1166"/>
          <w:marRight w:val="0"/>
          <w:marTop w:val="96"/>
          <w:marBottom w:val="0"/>
          <w:divBdr>
            <w:top w:val="none" w:sz="0" w:space="0" w:color="auto"/>
            <w:left w:val="none" w:sz="0" w:space="0" w:color="auto"/>
            <w:bottom w:val="none" w:sz="0" w:space="0" w:color="auto"/>
            <w:right w:val="none" w:sz="0" w:space="0" w:color="auto"/>
          </w:divBdr>
        </w:div>
      </w:divsChild>
    </w:div>
    <w:div w:id="748120919">
      <w:bodyDiv w:val="1"/>
      <w:marLeft w:val="0"/>
      <w:marRight w:val="0"/>
      <w:marTop w:val="0"/>
      <w:marBottom w:val="0"/>
      <w:divBdr>
        <w:top w:val="none" w:sz="0" w:space="0" w:color="auto"/>
        <w:left w:val="none" w:sz="0" w:space="0" w:color="auto"/>
        <w:bottom w:val="none" w:sz="0" w:space="0" w:color="auto"/>
        <w:right w:val="none" w:sz="0" w:space="0" w:color="auto"/>
      </w:divBdr>
    </w:div>
    <w:div w:id="749693104">
      <w:bodyDiv w:val="1"/>
      <w:marLeft w:val="0"/>
      <w:marRight w:val="0"/>
      <w:marTop w:val="0"/>
      <w:marBottom w:val="0"/>
      <w:divBdr>
        <w:top w:val="none" w:sz="0" w:space="0" w:color="auto"/>
        <w:left w:val="none" w:sz="0" w:space="0" w:color="auto"/>
        <w:bottom w:val="none" w:sz="0" w:space="0" w:color="auto"/>
        <w:right w:val="none" w:sz="0" w:space="0" w:color="auto"/>
      </w:divBdr>
    </w:div>
    <w:div w:id="750740505">
      <w:bodyDiv w:val="1"/>
      <w:marLeft w:val="0"/>
      <w:marRight w:val="0"/>
      <w:marTop w:val="0"/>
      <w:marBottom w:val="0"/>
      <w:divBdr>
        <w:top w:val="none" w:sz="0" w:space="0" w:color="auto"/>
        <w:left w:val="none" w:sz="0" w:space="0" w:color="auto"/>
        <w:bottom w:val="none" w:sz="0" w:space="0" w:color="auto"/>
        <w:right w:val="none" w:sz="0" w:space="0" w:color="auto"/>
      </w:divBdr>
    </w:div>
    <w:div w:id="751002245">
      <w:bodyDiv w:val="1"/>
      <w:marLeft w:val="0"/>
      <w:marRight w:val="0"/>
      <w:marTop w:val="0"/>
      <w:marBottom w:val="0"/>
      <w:divBdr>
        <w:top w:val="none" w:sz="0" w:space="0" w:color="auto"/>
        <w:left w:val="none" w:sz="0" w:space="0" w:color="auto"/>
        <w:bottom w:val="none" w:sz="0" w:space="0" w:color="auto"/>
        <w:right w:val="none" w:sz="0" w:space="0" w:color="auto"/>
      </w:divBdr>
      <w:divsChild>
        <w:div w:id="1971547198">
          <w:marLeft w:val="0"/>
          <w:marRight w:val="0"/>
          <w:marTop w:val="0"/>
          <w:marBottom w:val="0"/>
          <w:divBdr>
            <w:top w:val="none" w:sz="0" w:space="0" w:color="auto"/>
            <w:left w:val="none" w:sz="0" w:space="0" w:color="auto"/>
            <w:bottom w:val="none" w:sz="0" w:space="0" w:color="auto"/>
            <w:right w:val="none" w:sz="0" w:space="0" w:color="auto"/>
          </w:divBdr>
          <w:divsChild>
            <w:div w:id="692877937">
              <w:marLeft w:val="0"/>
              <w:marRight w:val="0"/>
              <w:marTop w:val="0"/>
              <w:marBottom w:val="0"/>
              <w:divBdr>
                <w:top w:val="none" w:sz="0" w:space="0" w:color="auto"/>
                <w:left w:val="none" w:sz="0" w:space="0" w:color="auto"/>
                <w:bottom w:val="none" w:sz="0" w:space="0" w:color="auto"/>
                <w:right w:val="none" w:sz="0" w:space="0" w:color="auto"/>
              </w:divBdr>
            </w:div>
            <w:div w:id="1472795043">
              <w:marLeft w:val="0"/>
              <w:marRight w:val="0"/>
              <w:marTop w:val="0"/>
              <w:marBottom w:val="0"/>
              <w:divBdr>
                <w:top w:val="none" w:sz="0" w:space="0" w:color="auto"/>
                <w:left w:val="none" w:sz="0" w:space="0" w:color="auto"/>
                <w:bottom w:val="none" w:sz="0" w:space="0" w:color="auto"/>
                <w:right w:val="none" w:sz="0" w:space="0" w:color="auto"/>
              </w:divBdr>
            </w:div>
            <w:div w:id="15476438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52359061">
      <w:bodyDiv w:val="1"/>
      <w:marLeft w:val="0"/>
      <w:marRight w:val="0"/>
      <w:marTop w:val="0"/>
      <w:marBottom w:val="0"/>
      <w:divBdr>
        <w:top w:val="none" w:sz="0" w:space="0" w:color="auto"/>
        <w:left w:val="none" w:sz="0" w:space="0" w:color="auto"/>
        <w:bottom w:val="none" w:sz="0" w:space="0" w:color="auto"/>
        <w:right w:val="none" w:sz="0" w:space="0" w:color="auto"/>
      </w:divBdr>
    </w:div>
    <w:div w:id="752506444">
      <w:bodyDiv w:val="1"/>
      <w:marLeft w:val="0"/>
      <w:marRight w:val="0"/>
      <w:marTop w:val="0"/>
      <w:marBottom w:val="0"/>
      <w:divBdr>
        <w:top w:val="none" w:sz="0" w:space="0" w:color="auto"/>
        <w:left w:val="none" w:sz="0" w:space="0" w:color="auto"/>
        <w:bottom w:val="none" w:sz="0" w:space="0" w:color="auto"/>
        <w:right w:val="none" w:sz="0" w:space="0" w:color="auto"/>
      </w:divBdr>
      <w:divsChild>
        <w:div w:id="1817911182">
          <w:marLeft w:val="547"/>
          <w:marRight w:val="0"/>
          <w:marTop w:val="106"/>
          <w:marBottom w:val="0"/>
          <w:divBdr>
            <w:top w:val="none" w:sz="0" w:space="0" w:color="auto"/>
            <w:left w:val="none" w:sz="0" w:space="0" w:color="auto"/>
            <w:bottom w:val="none" w:sz="0" w:space="0" w:color="auto"/>
            <w:right w:val="none" w:sz="0" w:space="0" w:color="auto"/>
          </w:divBdr>
        </w:div>
      </w:divsChild>
    </w:div>
    <w:div w:id="752507760">
      <w:bodyDiv w:val="1"/>
      <w:marLeft w:val="0"/>
      <w:marRight w:val="0"/>
      <w:marTop w:val="0"/>
      <w:marBottom w:val="0"/>
      <w:divBdr>
        <w:top w:val="none" w:sz="0" w:space="0" w:color="auto"/>
        <w:left w:val="none" w:sz="0" w:space="0" w:color="auto"/>
        <w:bottom w:val="none" w:sz="0" w:space="0" w:color="auto"/>
        <w:right w:val="none" w:sz="0" w:space="0" w:color="auto"/>
      </w:divBdr>
    </w:div>
    <w:div w:id="752510043">
      <w:bodyDiv w:val="1"/>
      <w:marLeft w:val="0"/>
      <w:marRight w:val="0"/>
      <w:marTop w:val="0"/>
      <w:marBottom w:val="0"/>
      <w:divBdr>
        <w:top w:val="none" w:sz="0" w:space="0" w:color="auto"/>
        <w:left w:val="none" w:sz="0" w:space="0" w:color="auto"/>
        <w:bottom w:val="none" w:sz="0" w:space="0" w:color="auto"/>
        <w:right w:val="none" w:sz="0" w:space="0" w:color="auto"/>
      </w:divBdr>
    </w:div>
    <w:div w:id="752554177">
      <w:bodyDiv w:val="1"/>
      <w:marLeft w:val="0"/>
      <w:marRight w:val="0"/>
      <w:marTop w:val="0"/>
      <w:marBottom w:val="0"/>
      <w:divBdr>
        <w:top w:val="none" w:sz="0" w:space="0" w:color="auto"/>
        <w:left w:val="none" w:sz="0" w:space="0" w:color="auto"/>
        <w:bottom w:val="none" w:sz="0" w:space="0" w:color="auto"/>
        <w:right w:val="none" w:sz="0" w:space="0" w:color="auto"/>
      </w:divBdr>
    </w:div>
    <w:div w:id="752628286">
      <w:bodyDiv w:val="1"/>
      <w:marLeft w:val="0"/>
      <w:marRight w:val="0"/>
      <w:marTop w:val="0"/>
      <w:marBottom w:val="0"/>
      <w:divBdr>
        <w:top w:val="none" w:sz="0" w:space="0" w:color="auto"/>
        <w:left w:val="none" w:sz="0" w:space="0" w:color="auto"/>
        <w:bottom w:val="none" w:sz="0" w:space="0" w:color="auto"/>
        <w:right w:val="none" w:sz="0" w:space="0" w:color="auto"/>
      </w:divBdr>
      <w:divsChild>
        <w:div w:id="1702630682">
          <w:marLeft w:val="1166"/>
          <w:marRight w:val="0"/>
          <w:marTop w:val="96"/>
          <w:marBottom w:val="0"/>
          <w:divBdr>
            <w:top w:val="none" w:sz="0" w:space="0" w:color="auto"/>
            <w:left w:val="none" w:sz="0" w:space="0" w:color="auto"/>
            <w:bottom w:val="none" w:sz="0" w:space="0" w:color="auto"/>
            <w:right w:val="none" w:sz="0" w:space="0" w:color="auto"/>
          </w:divBdr>
        </w:div>
        <w:div w:id="1927297513">
          <w:marLeft w:val="1800"/>
          <w:marRight w:val="0"/>
          <w:marTop w:val="86"/>
          <w:marBottom w:val="0"/>
          <w:divBdr>
            <w:top w:val="none" w:sz="0" w:space="0" w:color="auto"/>
            <w:left w:val="none" w:sz="0" w:space="0" w:color="auto"/>
            <w:bottom w:val="none" w:sz="0" w:space="0" w:color="auto"/>
            <w:right w:val="none" w:sz="0" w:space="0" w:color="auto"/>
          </w:divBdr>
        </w:div>
        <w:div w:id="1937207793">
          <w:marLeft w:val="1166"/>
          <w:marRight w:val="0"/>
          <w:marTop w:val="96"/>
          <w:marBottom w:val="0"/>
          <w:divBdr>
            <w:top w:val="none" w:sz="0" w:space="0" w:color="auto"/>
            <w:left w:val="none" w:sz="0" w:space="0" w:color="auto"/>
            <w:bottom w:val="none" w:sz="0" w:space="0" w:color="auto"/>
            <w:right w:val="none" w:sz="0" w:space="0" w:color="auto"/>
          </w:divBdr>
        </w:div>
        <w:div w:id="2040888777">
          <w:marLeft w:val="547"/>
          <w:marRight w:val="0"/>
          <w:marTop w:val="115"/>
          <w:marBottom w:val="0"/>
          <w:divBdr>
            <w:top w:val="none" w:sz="0" w:space="0" w:color="auto"/>
            <w:left w:val="none" w:sz="0" w:space="0" w:color="auto"/>
            <w:bottom w:val="none" w:sz="0" w:space="0" w:color="auto"/>
            <w:right w:val="none" w:sz="0" w:space="0" w:color="auto"/>
          </w:divBdr>
        </w:div>
      </w:divsChild>
    </w:div>
    <w:div w:id="752698456">
      <w:bodyDiv w:val="1"/>
      <w:marLeft w:val="0"/>
      <w:marRight w:val="0"/>
      <w:marTop w:val="0"/>
      <w:marBottom w:val="0"/>
      <w:divBdr>
        <w:top w:val="none" w:sz="0" w:space="0" w:color="auto"/>
        <w:left w:val="none" w:sz="0" w:space="0" w:color="auto"/>
        <w:bottom w:val="none" w:sz="0" w:space="0" w:color="auto"/>
        <w:right w:val="none" w:sz="0" w:space="0" w:color="auto"/>
      </w:divBdr>
    </w:div>
    <w:div w:id="753211619">
      <w:bodyDiv w:val="1"/>
      <w:marLeft w:val="0"/>
      <w:marRight w:val="0"/>
      <w:marTop w:val="0"/>
      <w:marBottom w:val="0"/>
      <w:divBdr>
        <w:top w:val="none" w:sz="0" w:space="0" w:color="auto"/>
        <w:left w:val="none" w:sz="0" w:space="0" w:color="auto"/>
        <w:bottom w:val="none" w:sz="0" w:space="0" w:color="auto"/>
        <w:right w:val="none" w:sz="0" w:space="0" w:color="auto"/>
      </w:divBdr>
    </w:div>
    <w:div w:id="753549412">
      <w:bodyDiv w:val="1"/>
      <w:marLeft w:val="0"/>
      <w:marRight w:val="0"/>
      <w:marTop w:val="0"/>
      <w:marBottom w:val="0"/>
      <w:divBdr>
        <w:top w:val="none" w:sz="0" w:space="0" w:color="auto"/>
        <w:left w:val="none" w:sz="0" w:space="0" w:color="auto"/>
        <w:bottom w:val="none" w:sz="0" w:space="0" w:color="auto"/>
        <w:right w:val="none" w:sz="0" w:space="0" w:color="auto"/>
      </w:divBdr>
    </w:div>
    <w:div w:id="753939163">
      <w:bodyDiv w:val="1"/>
      <w:marLeft w:val="0"/>
      <w:marRight w:val="0"/>
      <w:marTop w:val="0"/>
      <w:marBottom w:val="0"/>
      <w:divBdr>
        <w:top w:val="none" w:sz="0" w:space="0" w:color="auto"/>
        <w:left w:val="none" w:sz="0" w:space="0" w:color="auto"/>
        <w:bottom w:val="none" w:sz="0" w:space="0" w:color="auto"/>
        <w:right w:val="none" w:sz="0" w:space="0" w:color="auto"/>
      </w:divBdr>
    </w:div>
    <w:div w:id="755201929">
      <w:bodyDiv w:val="1"/>
      <w:marLeft w:val="0"/>
      <w:marRight w:val="0"/>
      <w:marTop w:val="0"/>
      <w:marBottom w:val="0"/>
      <w:divBdr>
        <w:top w:val="none" w:sz="0" w:space="0" w:color="auto"/>
        <w:left w:val="none" w:sz="0" w:space="0" w:color="auto"/>
        <w:bottom w:val="none" w:sz="0" w:space="0" w:color="auto"/>
        <w:right w:val="none" w:sz="0" w:space="0" w:color="auto"/>
      </w:divBdr>
      <w:divsChild>
        <w:div w:id="875776846">
          <w:marLeft w:val="547"/>
          <w:marRight w:val="0"/>
          <w:marTop w:val="154"/>
          <w:marBottom w:val="0"/>
          <w:divBdr>
            <w:top w:val="none" w:sz="0" w:space="0" w:color="auto"/>
            <w:left w:val="none" w:sz="0" w:space="0" w:color="auto"/>
            <w:bottom w:val="none" w:sz="0" w:space="0" w:color="auto"/>
            <w:right w:val="none" w:sz="0" w:space="0" w:color="auto"/>
          </w:divBdr>
        </w:div>
        <w:div w:id="2138794433">
          <w:marLeft w:val="1166"/>
          <w:marRight w:val="0"/>
          <w:marTop w:val="134"/>
          <w:marBottom w:val="0"/>
          <w:divBdr>
            <w:top w:val="none" w:sz="0" w:space="0" w:color="auto"/>
            <w:left w:val="none" w:sz="0" w:space="0" w:color="auto"/>
            <w:bottom w:val="none" w:sz="0" w:space="0" w:color="auto"/>
            <w:right w:val="none" w:sz="0" w:space="0" w:color="auto"/>
          </w:divBdr>
        </w:div>
      </w:divsChild>
    </w:div>
    <w:div w:id="755202875">
      <w:bodyDiv w:val="1"/>
      <w:marLeft w:val="0"/>
      <w:marRight w:val="0"/>
      <w:marTop w:val="0"/>
      <w:marBottom w:val="0"/>
      <w:divBdr>
        <w:top w:val="none" w:sz="0" w:space="0" w:color="auto"/>
        <w:left w:val="none" w:sz="0" w:space="0" w:color="auto"/>
        <w:bottom w:val="none" w:sz="0" w:space="0" w:color="auto"/>
        <w:right w:val="none" w:sz="0" w:space="0" w:color="auto"/>
      </w:divBdr>
    </w:div>
    <w:div w:id="755438863">
      <w:bodyDiv w:val="1"/>
      <w:marLeft w:val="0"/>
      <w:marRight w:val="0"/>
      <w:marTop w:val="0"/>
      <w:marBottom w:val="0"/>
      <w:divBdr>
        <w:top w:val="none" w:sz="0" w:space="0" w:color="auto"/>
        <w:left w:val="none" w:sz="0" w:space="0" w:color="auto"/>
        <w:bottom w:val="none" w:sz="0" w:space="0" w:color="auto"/>
        <w:right w:val="none" w:sz="0" w:space="0" w:color="auto"/>
      </w:divBdr>
    </w:div>
    <w:div w:id="755903663">
      <w:bodyDiv w:val="1"/>
      <w:marLeft w:val="0"/>
      <w:marRight w:val="0"/>
      <w:marTop w:val="0"/>
      <w:marBottom w:val="0"/>
      <w:divBdr>
        <w:top w:val="none" w:sz="0" w:space="0" w:color="auto"/>
        <w:left w:val="none" w:sz="0" w:space="0" w:color="auto"/>
        <w:bottom w:val="none" w:sz="0" w:space="0" w:color="auto"/>
        <w:right w:val="none" w:sz="0" w:space="0" w:color="auto"/>
      </w:divBdr>
      <w:divsChild>
        <w:div w:id="330721311">
          <w:marLeft w:val="1800"/>
          <w:marRight w:val="0"/>
          <w:marTop w:val="77"/>
          <w:marBottom w:val="0"/>
          <w:divBdr>
            <w:top w:val="none" w:sz="0" w:space="0" w:color="auto"/>
            <w:left w:val="none" w:sz="0" w:space="0" w:color="auto"/>
            <w:bottom w:val="none" w:sz="0" w:space="0" w:color="auto"/>
            <w:right w:val="none" w:sz="0" w:space="0" w:color="auto"/>
          </w:divBdr>
        </w:div>
        <w:div w:id="410279946">
          <w:marLeft w:val="1166"/>
          <w:marRight w:val="0"/>
          <w:marTop w:val="96"/>
          <w:marBottom w:val="0"/>
          <w:divBdr>
            <w:top w:val="none" w:sz="0" w:space="0" w:color="auto"/>
            <w:left w:val="none" w:sz="0" w:space="0" w:color="auto"/>
            <w:bottom w:val="none" w:sz="0" w:space="0" w:color="auto"/>
            <w:right w:val="none" w:sz="0" w:space="0" w:color="auto"/>
          </w:divBdr>
        </w:div>
        <w:div w:id="494492711">
          <w:marLeft w:val="547"/>
          <w:marRight w:val="0"/>
          <w:marTop w:val="115"/>
          <w:marBottom w:val="0"/>
          <w:divBdr>
            <w:top w:val="none" w:sz="0" w:space="0" w:color="auto"/>
            <w:left w:val="none" w:sz="0" w:space="0" w:color="auto"/>
            <w:bottom w:val="none" w:sz="0" w:space="0" w:color="auto"/>
            <w:right w:val="none" w:sz="0" w:space="0" w:color="auto"/>
          </w:divBdr>
        </w:div>
        <w:div w:id="911550571">
          <w:marLeft w:val="1166"/>
          <w:marRight w:val="0"/>
          <w:marTop w:val="96"/>
          <w:marBottom w:val="0"/>
          <w:divBdr>
            <w:top w:val="none" w:sz="0" w:space="0" w:color="auto"/>
            <w:left w:val="none" w:sz="0" w:space="0" w:color="auto"/>
            <w:bottom w:val="none" w:sz="0" w:space="0" w:color="auto"/>
            <w:right w:val="none" w:sz="0" w:space="0" w:color="auto"/>
          </w:divBdr>
        </w:div>
        <w:div w:id="950237747">
          <w:marLeft w:val="1166"/>
          <w:marRight w:val="0"/>
          <w:marTop w:val="96"/>
          <w:marBottom w:val="0"/>
          <w:divBdr>
            <w:top w:val="none" w:sz="0" w:space="0" w:color="auto"/>
            <w:left w:val="none" w:sz="0" w:space="0" w:color="auto"/>
            <w:bottom w:val="none" w:sz="0" w:space="0" w:color="auto"/>
            <w:right w:val="none" w:sz="0" w:space="0" w:color="auto"/>
          </w:divBdr>
        </w:div>
        <w:div w:id="1109665757">
          <w:marLeft w:val="1166"/>
          <w:marRight w:val="0"/>
          <w:marTop w:val="96"/>
          <w:marBottom w:val="0"/>
          <w:divBdr>
            <w:top w:val="none" w:sz="0" w:space="0" w:color="auto"/>
            <w:left w:val="none" w:sz="0" w:space="0" w:color="auto"/>
            <w:bottom w:val="none" w:sz="0" w:space="0" w:color="auto"/>
            <w:right w:val="none" w:sz="0" w:space="0" w:color="auto"/>
          </w:divBdr>
        </w:div>
        <w:div w:id="1460413569">
          <w:marLeft w:val="547"/>
          <w:marRight w:val="0"/>
          <w:marTop w:val="115"/>
          <w:marBottom w:val="0"/>
          <w:divBdr>
            <w:top w:val="none" w:sz="0" w:space="0" w:color="auto"/>
            <w:left w:val="none" w:sz="0" w:space="0" w:color="auto"/>
            <w:bottom w:val="none" w:sz="0" w:space="0" w:color="auto"/>
            <w:right w:val="none" w:sz="0" w:space="0" w:color="auto"/>
          </w:divBdr>
        </w:div>
      </w:divsChild>
    </w:div>
    <w:div w:id="756052146">
      <w:bodyDiv w:val="1"/>
      <w:marLeft w:val="0"/>
      <w:marRight w:val="0"/>
      <w:marTop w:val="0"/>
      <w:marBottom w:val="0"/>
      <w:divBdr>
        <w:top w:val="none" w:sz="0" w:space="0" w:color="auto"/>
        <w:left w:val="none" w:sz="0" w:space="0" w:color="auto"/>
        <w:bottom w:val="none" w:sz="0" w:space="0" w:color="auto"/>
        <w:right w:val="none" w:sz="0" w:space="0" w:color="auto"/>
      </w:divBdr>
    </w:div>
    <w:div w:id="756095049">
      <w:bodyDiv w:val="1"/>
      <w:marLeft w:val="0"/>
      <w:marRight w:val="0"/>
      <w:marTop w:val="0"/>
      <w:marBottom w:val="0"/>
      <w:divBdr>
        <w:top w:val="none" w:sz="0" w:space="0" w:color="auto"/>
        <w:left w:val="none" w:sz="0" w:space="0" w:color="auto"/>
        <w:bottom w:val="none" w:sz="0" w:space="0" w:color="auto"/>
        <w:right w:val="none" w:sz="0" w:space="0" w:color="auto"/>
      </w:divBdr>
    </w:div>
    <w:div w:id="756245992">
      <w:bodyDiv w:val="1"/>
      <w:marLeft w:val="0"/>
      <w:marRight w:val="0"/>
      <w:marTop w:val="0"/>
      <w:marBottom w:val="0"/>
      <w:divBdr>
        <w:top w:val="none" w:sz="0" w:space="0" w:color="auto"/>
        <w:left w:val="none" w:sz="0" w:space="0" w:color="auto"/>
        <w:bottom w:val="none" w:sz="0" w:space="0" w:color="auto"/>
        <w:right w:val="none" w:sz="0" w:space="0" w:color="auto"/>
      </w:divBdr>
      <w:divsChild>
        <w:div w:id="1190989946">
          <w:marLeft w:val="0"/>
          <w:marRight w:val="0"/>
          <w:marTop w:val="0"/>
          <w:marBottom w:val="0"/>
          <w:divBdr>
            <w:top w:val="none" w:sz="0" w:space="0" w:color="auto"/>
            <w:left w:val="none" w:sz="0" w:space="0" w:color="auto"/>
            <w:bottom w:val="none" w:sz="0" w:space="0" w:color="auto"/>
            <w:right w:val="none" w:sz="0" w:space="0" w:color="auto"/>
          </w:divBdr>
        </w:div>
      </w:divsChild>
    </w:div>
    <w:div w:id="759329257">
      <w:bodyDiv w:val="1"/>
      <w:marLeft w:val="0"/>
      <w:marRight w:val="0"/>
      <w:marTop w:val="0"/>
      <w:marBottom w:val="0"/>
      <w:divBdr>
        <w:top w:val="none" w:sz="0" w:space="0" w:color="auto"/>
        <w:left w:val="none" w:sz="0" w:space="0" w:color="auto"/>
        <w:bottom w:val="none" w:sz="0" w:space="0" w:color="auto"/>
        <w:right w:val="none" w:sz="0" w:space="0" w:color="auto"/>
      </w:divBdr>
    </w:div>
    <w:div w:id="759368759">
      <w:bodyDiv w:val="1"/>
      <w:marLeft w:val="0"/>
      <w:marRight w:val="0"/>
      <w:marTop w:val="0"/>
      <w:marBottom w:val="0"/>
      <w:divBdr>
        <w:top w:val="none" w:sz="0" w:space="0" w:color="auto"/>
        <w:left w:val="none" w:sz="0" w:space="0" w:color="auto"/>
        <w:bottom w:val="none" w:sz="0" w:space="0" w:color="auto"/>
        <w:right w:val="none" w:sz="0" w:space="0" w:color="auto"/>
      </w:divBdr>
    </w:div>
    <w:div w:id="760570846">
      <w:bodyDiv w:val="1"/>
      <w:marLeft w:val="0"/>
      <w:marRight w:val="0"/>
      <w:marTop w:val="0"/>
      <w:marBottom w:val="0"/>
      <w:divBdr>
        <w:top w:val="none" w:sz="0" w:space="0" w:color="auto"/>
        <w:left w:val="none" w:sz="0" w:space="0" w:color="auto"/>
        <w:bottom w:val="none" w:sz="0" w:space="0" w:color="auto"/>
        <w:right w:val="none" w:sz="0" w:space="0" w:color="auto"/>
      </w:divBdr>
    </w:div>
    <w:div w:id="760836368">
      <w:bodyDiv w:val="1"/>
      <w:marLeft w:val="0"/>
      <w:marRight w:val="0"/>
      <w:marTop w:val="0"/>
      <w:marBottom w:val="0"/>
      <w:divBdr>
        <w:top w:val="none" w:sz="0" w:space="0" w:color="auto"/>
        <w:left w:val="none" w:sz="0" w:space="0" w:color="auto"/>
        <w:bottom w:val="none" w:sz="0" w:space="0" w:color="auto"/>
        <w:right w:val="none" w:sz="0" w:space="0" w:color="auto"/>
      </w:divBdr>
    </w:div>
    <w:div w:id="762608113">
      <w:bodyDiv w:val="1"/>
      <w:marLeft w:val="0"/>
      <w:marRight w:val="0"/>
      <w:marTop w:val="0"/>
      <w:marBottom w:val="0"/>
      <w:divBdr>
        <w:top w:val="none" w:sz="0" w:space="0" w:color="auto"/>
        <w:left w:val="none" w:sz="0" w:space="0" w:color="auto"/>
        <w:bottom w:val="none" w:sz="0" w:space="0" w:color="auto"/>
        <w:right w:val="none" w:sz="0" w:space="0" w:color="auto"/>
      </w:divBdr>
    </w:div>
    <w:div w:id="763304337">
      <w:bodyDiv w:val="1"/>
      <w:marLeft w:val="0"/>
      <w:marRight w:val="0"/>
      <w:marTop w:val="0"/>
      <w:marBottom w:val="0"/>
      <w:divBdr>
        <w:top w:val="none" w:sz="0" w:space="0" w:color="auto"/>
        <w:left w:val="none" w:sz="0" w:space="0" w:color="auto"/>
        <w:bottom w:val="none" w:sz="0" w:space="0" w:color="auto"/>
        <w:right w:val="none" w:sz="0" w:space="0" w:color="auto"/>
      </w:divBdr>
      <w:divsChild>
        <w:div w:id="240603766">
          <w:marLeft w:val="547"/>
          <w:marRight w:val="0"/>
          <w:marTop w:val="106"/>
          <w:marBottom w:val="0"/>
          <w:divBdr>
            <w:top w:val="none" w:sz="0" w:space="0" w:color="auto"/>
            <w:left w:val="none" w:sz="0" w:space="0" w:color="auto"/>
            <w:bottom w:val="none" w:sz="0" w:space="0" w:color="auto"/>
            <w:right w:val="none" w:sz="0" w:space="0" w:color="auto"/>
          </w:divBdr>
        </w:div>
        <w:div w:id="372192196">
          <w:marLeft w:val="1166"/>
          <w:marRight w:val="0"/>
          <w:marTop w:val="106"/>
          <w:marBottom w:val="0"/>
          <w:divBdr>
            <w:top w:val="none" w:sz="0" w:space="0" w:color="auto"/>
            <w:left w:val="none" w:sz="0" w:space="0" w:color="auto"/>
            <w:bottom w:val="none" w:sz="0" w:space="0" w:color="auto"/>
            <w:right w:val="none" w:sz="0" w:space="0" w:color="auto"/>
          </w:divBdr>
        </w:div>
        <w:div w:id="818807743">
          <w:marLeft w:val="547"/>
          <w:marRight w:val="0"/>
          <w:marTop w:val="106"/>
          <w:marBottom w:val="0"/>
          <w:divBdr>
            <w:top w:val="none" w:sz="0" w:space="0" w:color="auto"/>
            <w:left w:val="none" w:sz="0" w:space="0" w:color="auto"/>
            <w:bottom w:val="none" w:sz="0" w:space="0" w:color="auto"/>
            <w:right w:val="none" w:sz="0" w:space="0" w:color="auto"/>
          </w:divBdr>
        </w:div>
        <w:div w:id="1781683048">
          <w:marLeft w:val="547"/>
          <w:marRight w:val="0"/>
          <w:marTop w:val="106"/>
          <w:marBottom w:val="0"/>
          <w:divBdr>
            <w:top w:val="none" w:sz="0" w:space="0" w:color="auto"/>
            <w:left w:val="none" w:sz="0" w:space="0" w:color="auto"/>
            <w:bottom w:val="none" w:sz="0" w:space="0" w:color="auto"/>
            <w:right w:val="none" w:sz="0" w:space="0" w:color="auto"/>
          </w:divBdr>
        </w:div>
        <w:div w:id="1801026780">
          <w:marLeft w:val="547"/>
          <w:marRight w:val="0"/>
          <w:marTop w:val="106"/>
          <w:marBottom w:val="0"/>
          <w:divBdr>
            <w:top w:val="none" w:sz="0" w:space="0" w:color="auto"/>
            <w:left w:val="none" w:sz="0" w:space="0" w:color="auto"/>
            <w:bottom w:val="none" w:sz="0" w:space="0" w:color="auto"/>
            <w:right w:val="none" w:sz="0" w:space="0" w:color="auto"/>
          </w:divBdr>
        </w:div>
        <w:div w:id="1991514113">
          <w:marLeft w:val="1166"/>
          <w:marRight w:val="0"/>
          <w:marTop w:val="106"/>
          <w:marBottom w:val="0"/>
          <w:divBdr>
            <w:top w:val="none" w:sz="0" w:space="0" w:color="auto"/>
            <w:left w:val="none" w:sz="0" w:space="0" w:color="auto"/>
            <w:bottom w:val="none" w:sz="0" w:space="0" w:color="auto"/>
            <w:right w:val="none" w:sz="0" w:space="0" w:color="auto"/>
          </w:divBdr>
        </w:div>
      </w:divsChild>
    </w:div>
    <w:div w:id="764347384">
      <w:bodyDiv w:val="1"/>
      <w:marLeft w:val="0"/>
      <w:marRight w:val="0"/>
      <w:marTop w:val="0"/>
      <w:marBottom w:val="0"/>
      <w:divBdr>
        <w:top w:val="none" w:sz="0" w:space="0" w:color="auto"/>
        <w:left w:val="none" w:sz="0" w:space="0" w:color="auto"/>
        <w:bottom w:val="none" w:sz="0" w:space="0" w:color="auto"/>
        <w:right w:val="none" w:sz="0" w:space="0" w:color="auto"/>
      </w:divBdr>
    </w:div>
    <w:div w:id="766460292">
      <w:bodyDiv w:val="1"/>
      <w:marLeft w:val="0"/>
      <w:marRight w:val="0"/>
      <w:marTop w:val="0"/>
      <w:marBottom w:val="0"/>
      <w:divBdr>
        <w:top w:val="none" w:sz="0" w:space="0" w:color="auto"/>
        <w:left w:val="none" w:sz="0" w:space="0" w:color="auto"/>
        <w:bottom w:val="none" w:sz="0" w:space="0" w:color="auto"/>
        <w:right w:val="none" w:sz="0" w:space="0" w:color="auto"/>
      </w:divBdr>
    </w:div>
    <w:div w:id="766852970">
      <w:bodyDiv w:val="1"/>
      <w:marLeft w:val="0"/>
      <w:marRight w:val="0"/>
      <w:marTop w:val="0"/>
      <w:marBottom w:val="0"/>
      <w:divBdr>
        <w:top w:val="none" w:sz="0" w:space="0" w:color="auto"/>
        <w:left w:val="none" w:sz="0" w:space="0" w:color="auto"/>
        <w:bottom w:val="none" w:sz="0" w:space="0" w:color="auto"/>
        <w:right w:val="none" w:sz="0" w:space="0" w:color="auto"/>
      </w:divBdr>
    </w:div>
    <w:div w:id="766971037">
      <w:bodyDiv w:val="1"/>
      <w:marLeft w:val="0"/>
      <w:marRight w:val="0"/>
      <w:marTop w:val="0"/>
      <w:marBottom w:val="0"/>
      <w:divBdr>
        <w:top w:val="none" w:sz="0" w:space="0" w:color="auto"/>
        <w:left w:val="none" w:sz="0" w:space="0" w:color="auto"/>
        <w:bottom w:val="none" w:sz="0" w:space="0" w:color="auto"/>
        <w:right w:val="none" w:sz="0" w:space="0" w:color="auto"/>
      </w:divBdr>
      <w:divsChild>
        <w:div w:id="169638499">
          <w:marLeft w:val="547"/>
          <w:marRight w:val="0"/>
          <w:marTop w:val="120"/>
          <w:marBottom w:val="0"/>
          <w:divBdr>
            <w:top w:val="none" w:sz="0" w:space="0" w:color="auto"/>
            <w:left w:val="none" w:sz="0" w:space="0" w:color="auto"/>
            <w:bottom w:val="none" w:sz="0" w:space="0" w:color="auto"/>
            <w:right w:val="none" w:sz="0" w:space="0" w:color="auto"/>
          </w:divBdr>
        </w:div>
        <w:div w:id="574557339">
          <w:marLeft w:val="547"/>
          <w:marRight w:val="0"/>
          <w:marTop w:val="115"/>
          <w:marBottom w:val="0"/>
          <w:divBdr>
            <w:top w:val="none" w:sz="0" w:space="0" w:color="auto"/>
            <w:left w:val="none" w:sz="0" w:space="0" w:color="auto"/>
            <w:bottom w:val="none" w:sz="0" w:space="0" w:color="auto"/>
            <w:right w:val="none" w:sz="0" w:space="0" w:color="auto"/>
          </w:divBdr>
        </w:div>
        <w:div w:id="705644183">
          <w:marLeft w:val="547"/>
          <w:marRight w:val="0"/>
          <w:marTop w:val="115"/>
          <w:marBottom w:val="0"/>
          <w:divBdr>
            <w:top w:val="none" w:sz="0" w:space="0" w:color="auto"/>
            <w:left w:val="none" w:sz="0" w:space="0" w:color="auto"/>
            <w:bottom w:val="none" w:sz="0" w:space="0" w:color="auto"/>
            <w:right w:val="none" w:sz="0" w:space="0" w:color="auto"/>
          </w:divBdr>
        </w:div>
        <w:div w:id="1072898129">
          <w:marLeft w:val="547"/>
          <w:marRight w:val="0"/>
          <w:marTop w:val="120"/>
          <w:marBottom w:val="0"/>
          <w:divBdr>
            <w:top w:val="none" w:sz="0" w:space="0" w:color="auto"/>
            <w:left w:val="none" w:sz="0" w:space="0" w:color="auto"/>
            <w:bottom w:val="none" w:sz="0" w:space="0" w:color="auto"/>
            <w:right w:val="none" w:sz="0" w:space="0" w:color="auto"/>
          </w:divBdr>
        </w:div>
      </w:divsChild>
    </w:div>
    <w:div w:id="766996748">
      <w:bodyDiv w:val="1"/>
      <w:marLeft w:val="0"/>
      <w:marRight w:val="0"/>
      <w:marTop w:val="0"/>
      <w:marBottom w:val="0"/>
      <w:divBdr>
        <w:top w:val="none" w:sz="0" w:space="0" w:color="auto"/>
        <w:left w:val="none" w:sz="0" w:space="0" w:color="auto"/>
        <w:bottom w:val="none" w:sz="0" w:space="0" w:color="auto"/>
        <w:right w:val="none" w:sz="0" w:space="0" w:color="auto"/>
      </w:divBdr>
    </w:div>
    <w:div w:id="767234059">
      <w:bodyDiv w:val="1"/>
      <w:marLeft w:val="0"/>
      <w:marRight w:val="0"/>
      <w:marTop w:val="0"/>
      <w:marBottom w:val="0"/>
      <w:divBdr>
        <w:top w:val="none" w:sz="0" w:space="0" w:color="auto"/>
        <w:left w:val="none" w:sz="0" w:space="0" w:color="auto"/>
        <w:bottom w:val="none" w:sz="0" w:space="0" w:color="auto"/>
        <w:right w:val="none" w:sz="0" w:space="0" w:color="auto"/>
      </w:divBdr>
    </w:div>
    <w:div w:id="767387637">
      <w:bodyDiv w:val="1"/>
      <w:marLeft w:val="0"/>
      <w:marRight w:val="0"/>
      <w:marTop w:val="0"/>
      <w:marBottom w:val="0"/>
      <w:divBdr>
        <w:top w:val="none" w:sz="0" w:space="0" w:color="auto"/>
        <w:left w:val="none" w:sz="0" w:space="0" w:color="auto"/>
        <w:bottom w:val="none" w:sz="0" w:space="0" w:color="auto"/>
        <w:right w:val="none" w:sz="0" w:space="0" w:color="auto"/>
      </w:divBdr>
    </w:div>
    <w:div w:id="767778898">
      <w:bodyDiv w:val="1"/>
      <w:marLeft w:val="0"/>
      <w:marRight w:val="0"/>
      <w:marTop w:val="0"/>
      <w:marBottom w:val="0"/>
      <w:divBdr>
        <w:top w:val="none" w:sz="0" w:space="0" w:color="auto"/>
        <w:left w:val="none" w:sz="0" w:space="0" w:color="auto"/>
        <w:bottom w:val="none" w:sz="0" w:space="0" w:color="auto"/>
        <w:right w:val="none" w:sz="0" w:space="0" w:color="auto"/>
      </w:divBdr>
    </w:div>
    <w:div w:id="768506293">
      <w:bodyDiv w:val="1"/>
      <w:marLeft w:val="0"/>
      <w:marRight w:val="0"/>
      <w:marTop w:val="0"/>
      <w:marBottom w:val="0"/>
      <w:divBdr>
        <w:top w:val="none" w:sz="0" w:space="0" w:color="auto"/>
        <w:left w:val="none" w:sz="0" w:space="0" w:color="auto"/>
        <w:bottom w:val="none" w:sz="0" w:space="0" w:color="auto"/>
        <w:right w:val="none" w:sz="0" w:space="0" w:color="auto"/>
      </w:divBdr>
    </w:div>
    <w:div w:id="769664488">
      <w:bodyDiv w:val="1"/>
      <w:marLeft w:val="0"/>
      <w:marRight w:val="0"/>
      <w:marTop w:val="0"/>
      <w:marBottom w:val="0"/>
      <w:divBdr>
        <w:top w:val="none" w:sz="0" w:space="0" w:color="auto"/>
        <w:left w:val="none" w:sz="0" w:space="0" w:color="auto"/>
        <w:bottom w:val="none" w:sz="0" w:space="0" w:color="auto"/>
        <w:right w:val="none" w:sz="0" w:space="0" w:color="auto"/>
      </w:divBdr>
    </w:div>
    <w:div w:id="770247419">
      <w:bodyDiv w:val="1"/>
      <w:marLeft w:val="0"/>
      <w:marRight w:val="0"/>
      <w:marTop w:val="0"/>
      <w:marBottom w:val="0"/>
      <w:divBdr>
        <w:top w:val="none" w:sz="0" w:space="0" w:color="auto"/>
        <w:left w:val="none" w:sz="0" w:space="0" w:color="auto"/>
        <w:bottom w:val="none" w:sz="0" w:space="0" w:color="auto"/>
        <w:right w:val="none" w:sz="0" w:space="0" w:color="auto"/>
      </w:divBdr>
      <w:divsChild>
        <w:div w:id="1212426631">
          <w:marLeft w:val="1166"/>
          <w:marRight w:val="0"/>
          <w:marTop w:val="86"/>
          <w:marBottom w:val="0"/>
          <w:divBdr>
            <w:top w:val="none" w:sz="0" w:space="0" w:color="auto"/>
            <w:left w:val="none" w:sz="0" w:space="0" w:color="auto"/>
            <w:bottom w:val="none" w:sz="0" w:space="0" w:color="auto"/>
            <w:right w:val="none" w:sz="0" w:space="0" w:color="auto"/>
          </w:divBdr>
        </w:div>
        <w:div w:id="1385789234">
          <w:marLeft w:val="547"/>
          <w:marRight w:val="0"/>
          <w:marTop w:val="86"/>
          <w:marBottom w:val="0"/>
          <w:divBdr>
            <w:top w:val="none" w:sz="0" w:space="0" w:color="auto"/>
            <w:left w:val="none" w:sz="0" w:space="0" w:color="auto"/>
            <w:bottom w:val="none" w:sz="0" w:space="0" w:color="auto"/>
            <w:right w:val="none" w:sz="0" w:space="0" w:color="auto"/>
          </w:divBdr>
        </w:div>
        <w:div w:id="1885095655">
          <w:marLeft w:val="547"/>
          <w:marRight w:val="0"/>
          <w:marTop w:val="86"/>
          <w:marBottom w:val="0"/>
          <w:divBdr>
            <w:top w:val="none" w:sz="0" w:space="0" w:color="auto"/>
            <w:left w:val="none" w:sz="0" w:space="0" w:color="auto"/>
            <w:bottom w:val="none" w:sz="0" w:space="0" w:color="auto"/>
            <w:right w:val="none" w:sz="0" w:space="0" w:color="auto"/>
          </w:divBdr>
        </w:div>
      </w:divsChild>
    </w:div>
    <w:div w:id="770510415">
      <w:bodyDiv w:val="1"/>
      <w:marLeft w:val="0"/>
      <w:marRight w:val="0"/>
      <w:marTop w:val="0"/>
      <w:marBottom w:val="0"/>
      <w:divBdr>
        <w:top w:val="none" w:sz="0" w:space="0" w:color="auto"/>
        <w:left w:val="none" w:sz="0" w:space="0" w:color="auto"/>
        <w:bottom w:val="none" w:sz="0" w:space="0" w:color="auto"/>
        <w:right w:val="none" w:sz="0" w:space="0" w:color="auto"/>
      </w:divBdr>
    </w:div>
    <w:div w:id="770901748">
      <w:bodyDiv w:val="1"/>
      <w:marLeft w:val="0"/>
      <w:marRight w:val="0"/>
      <w:marTop w:val="0"/>
      <w:marBottom w:val="0"/>
      <w:divBdr>
        <w:top w:val="none" w:sz="0" w:space="0" w:color="auto"/>
        <w:left w:val="none" w:sz="0" w:space="0" w:color="auto"/>
        <w:bottom w:val="none" w:sz="0" w:space="0" w:color="auto"/>
        <w:right w:val="none" w:sz="0" w:space="0" w:color="auto"/>
      </w:divBdr>
    </w:div>
    <w:div w:id="770903064">
      <w:bodyDiv w:val="1"/>
      <w:marLeft w:val="0"/>
      <w:marRight w:val="0"/>
      <w:marTop w:val="0"/>
      <w:marBottom w:val="0"/>
      <w:divBdr>
        <w:top w:val="none" w:sz="0" w:space="0" w:color="auto"/>
        <w:left w:val="none" w:sz="0" w:space="0" w:color="auto"/>
        <w:bottom w:val="none" w:sz="0" w:space="0" w:color="auto"/>
        <w:right w:val="none" w:sz="0" w:space="0" w:color="auto"/>
      </w:divBdr>
    </w:div>
    <w:div w:id="771165059">
      <w:bodyDiv w:val="1"/>
      <w:marLeft w:val="0"/>
      <w:marRight w:val="0"/>
      <w:marTop w:val="0"/>
      <w:marBottom w:val="0"/>
      <w:divBdr>
        <w:top w:val="none" w:sz="0" w:space="0" w:color="auto"/>
        <w:left w:val="none" w:sz="0" w:space="0" w:color="auto"/>
        <w:bottom w:val="none" w:sz="0" w:space="0" w:color="auto"/>
        <w:right w:val="none" w:sz="0" w:space="0" w:color="auto"/>
      </w:divBdr>
    </w:div>
    <w:div w:id="771240108">
      <w:bodyDiv w:val="1"/>
      <w:marLeft w:val="0"/>
      <w:marRight w:val="0"/>
      <w:marTop w:val="0"/>
      <w:marBottom w:val="0"/>
      <w:divBdr>
        <w:top w:val="none" w:sz="0" w:space="0" w:color="auto"/>
        <w:left w:val="none" w:sz="0" w:space="0" w:color="auto"/>
        <w:bottom w:val="none" w:sz="0" w:space="0" w:color="auto"/>
        <w:right w:val="none" w:sz="0" w:space="0" w:color="auto"/>
      </w:divBdr>
    </w:div>
    <w:div w:id="772167076">
      <w:bodyDiv w:val="1"/>
      <w:marLeft w:val="0"/>
      <w:marRight w:val="0"/>
      <w:marTop w:val="0"/>
      <w:marBottom w:val="0"/>
      <w:divBdr>
        <w:top w:val="none" w:sz="0" w:space="0" w:color="auto"/>
        <w:left w:val="none" w:sz="0" w:space="0" w:color="auto"/>
        <w:bottom w:val="none" w:sz="0" w:space="0" w:color="auto"/>
        <w:right w:val="none" w:sz="0" w:space="0" w:color="auto"/>
      </w:divBdr>
    </w:div>
    <w:div w:id="772434450">
      <w:bodyDiv w:val="1"/>
      <w:marLeft w:val="0"/>
      <w:marRight w:val="0"/>
      <w:marTop w:val="0"/>
      <w:marBottom w:val="0"/>
      <w:divBdr>
        <w:top w:val="none" w:sz="0" w:space="0" w:color="auto"/>
        <w:left w:val="none" w:sz="0" w:space="0" w:color="auto"/>
        <w:bottom w:val="none" w:sz="0" w:space="0" w:color="auto"/>
        <w:right w:val="none" w:sz="0" w:space="0" w:color="auto"/>
      </w:divBdr>
    </w:div>
    <w:div w:id="772939717">
      <w:bodyDiv w:val="1"/>
      <w:marLeft w:val="0"/>
      <w:marRight w:val="0"/>
      <w:marTop w:val="0"/>
      <w:marBottom w:val="0"/>
      <w:divBdr>
        <w:top w:val="none" w:sz="0" w:space="0" w:color="auto"/>
        <w:left w:val="none" w:sz="0" w:space="0" w:color="auto"/>
        <w:bottom w:val="none" w:sz="0" w:space="0" w:color="auto"/>
        <w:right w:val="none" w:sz="0" w:space="0" w:color="auto"/>
      </w:divBdr>
    </w:div>
    <w:div w:id="772941012">
      <w:bodyDiv w:val="1"/>
      <w:marLeft w:val="0"/>
      <w:marRight w:val="0"/>
      <w:marTop w:val="0"/>
      <w:marBottom w:val="0"/>
      <w:divBdr>
        <w:top w:val="none" w:sz="0" w:space="0" w:color="auto"/>
        <w:left w:val="none" w:sz="0" w:space="0" w:color="auto"/>
        <w:bottom w:val="none" w:sz="0" w:space="0" w:color="auto"/>
        <w:right w:val="none" w:sz="0" w:space="0" w:color="auto"/>
      </w:divBdr>
    </w:div>
    <w:div w:id="774327985">
      <w:bodyDiv w:val="1"/>
      <w:marLeft w:val="0"/>
      <w:marRight w:val="0"/>
      <w:marTop w:val="0"/>
      <w:marBottom w:val="0"/>
      <w:divBdr>
        <w:top w:val="none" w:sz="0" w:space="0" w:color="auto"/>
        <w:left w:val="none" w:sz="0" w:space="0" w:color="auto"/>
        <w:bottom w:val="none" w:sz="0" w:space="0" w:color="auto"/>
        <w:right w:val="none" w:sz="0" w:space="0" w:color="auto"/>
      </w:divBdr>
      <w:divsChild>
        <w:div w:id="6490782">
          <w:marLeft w:val="547"/>
          <w:marRight w:val="0"/>
          <w:marTop w:val="115"/>
          <w:marBottom w:val="0"/>
          <w:divBdr>
            <w:top w:val="none" w:sz="0" w:space="0" w:color="auto"/>
            <w:left w:val="none" w:sz="0" w:space="0" w:color="auto"/>
            <w:bottom w:val="none" w:sz="0" w:space="0" w:color="auto"/>
            <w:right w:val="none" w:sz="0" w:space="0" w:color="auto"/>
          </w:divBdr>
        </w:div>
        <w:div w:id="508060437">
          <w:marLeft w:val="1166"/>
          <w:marRight w:val="0"/>
          <w:marTop w:val="96"/>
          <w:marBottom w:val="0"/>
          <w:divBdr>
            <w:top w:val="none" w:sz="0" w:space="0" w:color="auto"/>
            <w:left w:val="none" w:sz="0" w:space="0" w:color="auto"/>
            <w:bottom w:val="none" w:sz="0" w:space="0" w:color="auto"/>
            <w:right w:val="none" w:sz="0" w:space="0" w:color="auto"/>
          </w:divBdr>
        </w:div>
        <w:div w:id="835726920">
          <w:marLeft w:val="547"/>
          <w:marRight w:val="0"/>
          <w:marTop w:val="115"/>
          <w:marBottom w:val="0"/>
          <w:divBdr>
            <w:top w:val="none" w:sz="0" w:space="0" w:color="auto"/>
            <w:left w:val="none" w:sz="0" w:space="0" w:color="auto"/>
            <w:bottom w:val="none" w:sz="0" w:space="0" w:color="auto"/>
            <w:right w:val="none" w:sz="0" w:space="0" w:color="auto"/>
          </w:divBdr>
        </w:div>
        <w:div w:id="972102854">
          <w:marLeft w:val="547"/>
          <w:marRight w:val="0"/>
          <w:marTop w:val="115"/>
          <w:marBottom w:val="0"/>
          <w:divBdr>
            <w:top w:val="none" w:sz="0" w:space="0" w:color="auto"/>
            <w:left w:val="none" w:sz="0" w:space="0" w:color="auto"/>
            <w:bottom w:val="none" w:sz="0" w:space="0" w:color="auto"/>
            <w:right w:val="none" w:sz="0" w:space="0" w:color="auto"/>
          </w:divBdr>
        </w:div>
        <w:div w:id="1041440067">
          <w:marLeft w:val="1166"/>
          <w:marRight w:val="0"/>
          <w:marTop w:val="96"/>
          <w:marBottom w:val="0"/>
          <w:divBdr>
            <w:top w:val="none" w:sz="0" w:space="0" w:color="auto"/>
            <w:left w:val="none" w:sz="0" w:space="0" w:color="auto"/>
            <w:bottom w:val="none" w:sz="0" w:space="0" w:color="auto"/>
            <w:right w:val="none" w:sz="0" w:space="0" w:color="auto"/>
          </w:divBdr>
        </w:div>
        <w:div w:id="1042706252">
          <w:marLeft w:val="1166"/>
          <w:marRight w:val="0"/>
          <w:marTop w:val="96"/>
          <w:marBottom w:val="0"/>
          <w:divBdr>
            <w:top w:val="none" w:sz="0" w:space="0" w:color="auto"/>
            <w:left w:val="none" w:sz="0" w:space="0" w:color="auto"/>
            <w:bottom w:val="none" w:sz="0" w:space="0" w:color="auto"/>
            <w:right w:val="none" w:sz="0" w:space="0" w:color="auto"/>
          </w:divBdr>
        </w:div>
        <w:div w:id="1435594123">
          <w:marLeft w:val="1166"/>
          <w:marRight w:val="0"/>
          <w:marTop w:val="96"/>
          <w:marBottom w:val="0"/>
          <w:divBdr>
            <w:top w:val="none" w:sz="0" w:space="0" w:color="auto"/>
            <w:left w:val="none" w:sz="0" w:space="0" w:color="auto"/>
            <w:bottom w:val="none" w:sz="0" w:space="0" w:color="auto"/>
            <w:right w:val="none" w:sz="0" w:space="0" w:color="auto"/>
          </w:divBdr>
        </w:div>
        <w:div w:id="1817214266">
          <w:marLeft w:val="1166"/>
          <w:marRight w:val="0"/>
          <w:marTop w:val="96"/>
          <w:marBottom w:val="0"/>
          <w:divBdr>
            <w:top w:val="none" w:sz="0" w:space="0" w:color="auto"/>
            <w:left w:val="none" w:sz="0" w:space="0" w:color="auto"/>
            <w:bottom w:val="none" w:sz="0" w:space="0" w:color="auto"/>
            <w:right w:val="none" w:sz="0" w:space="0" w:color="auto"/>
          </w:divBdr>
        </w:div>
        <w:div w:id="1885631996">
          <w:marLeft w:val="1800"/>
          <w:marRight w:val="0"/>
          <w:marTop w:val="86"/>
          <w:marBottom w:val="0"/>
          <w:divBdr>
            <w:top w:val="none" w:sz="0" w:space="0" w:color="auto"/>
            <w:left w:val="none" w:sz="0" w:space="0" w:color="auto"/>
            <w:bottom w:val="none" w:sz="0" w:space="0" w:color="auto"/>
            <w:right w:val="none" w:sz="0" w:space="0" w:color="auto"/>
          </w:divBdr>
        </w:div>
        <w:div w:id="1971857109">
          <w:marLeft w:val="547"/>
          <w:marRight w:val="0"/>
          <w:marTop w:val="115"/>
          <w:marBottom w:val="0"/>
          <w:divBdr>
            <w:top w:val="none" w:sz="0" w:space="0" w:color="auto"/>
            <w:left w:val="none" w:sz="0" w:space="0" w:color="auto"/>
            <w:bottom w:val="none" w:sz="0" w:space="0" w:color="auto"/>
            <w:right w:val="none" w:sz="0" w:space="0" w:color="auto"/>
          </w:divBdr>
        </w:div>
      </w:divsChild>
    </w:div>
    <w:div w:id="774986614">
      <w:bodyDiv w:val="1"/>
      <w:marLeft w:val="0"/>
      <w:marRight w:val="0"/>
      <w:marTop w:val="0"/>
      <w:marBottom w:val="0"/>
      <w:divBdr>
        <w:top w:val="none" w:sz="0" w:space="0" w:color="auto"/>
        <w:left w:val="none" w:sz="0" w:space="0" w:color="auto"/>
        <w:bottom w:val="none" w:sz="0" w:space="0" w:color="auto"/>
        <w:right w:val="none" w:sz="0" w:space="0" w:color="auto"/>
      </w:divBdr>
    </w:div>
    <w:div w:id="775249580">
      <w:bodyDiv w:val="1"/>
      <w:marLeft w:val="0"/>
      <w:marRight w:val="0"/>
      <w:marTop w:val="0"/>
      <w:marBottom w:val="0"/>
      <w:divBdr>
        <w:top w:val="none" w:sz="0" w:space="0" w:color="auto"/>
        <w:left w:val="none" w:sz="0" w:space="0" w:color="auto"/>
        <w:bottom w:val="none" w:sz="0" w:space="0" w:color="auto"/>
        <w:right w:val="none" w:sz="0" w:space="0" w:color="auto"/>
      </w:divBdr>
    </w:div>
    <w:div w:id="775371141">
      <w:bodyDiv w:val="1"/>
      <w:marLeft w:val="0"/>
      <w:marRight w:val="0"/>
      <w:marTop w:val="0"/>
      <w:marBottom w:val="0"/>
      <w:divBdr>
        <w:top w:val="none" w:sz="0" w:space="0" w:color="auto"/>
        <w:left w:val="none" w:sz="0" w:space="0" w:color="auto"/>
        <w:bottom w:val="none" w:sz="0" w:space="0" w:color="auto"/>
        <w:right w:val="none" w:sz="0" w:space="0" w:color="auto"/>
      </w:divBdr>
      <w:divsChild>
        <w:div w:id="125007011">
          <w:marLeft w:val="547"/>
          <w:marRight w:val="0"/>
          <w:marTop w:val="96"/>
          <w:marBottom w:val="0"/>
          <w:divBdr>
            <w:top w:val="none" w:sz="0" w:space="0" w:color="auto"/>
            <w:left w:val="none" w:sz="0" w:space="0" w:color="auto"/>
            <w:bottom w:val="none" w:sz="0" w:space="0" w:color="auto"/>
            <w:right w:val="none" w:sz="0" w:space="0" w:color="auto"/>
          </w:divBdr>
        </w:div>
        <w:div w:id="151682367">
          <w:marLeft w:val="547"/>
          <w:marRight w:val="0"/>
          <w:marTop w:val="96"/>
          <w:marBottom w:val="0"/>
          <w:divBdr>
            <w:top w:val="none" w:sz="0" w:space="0" w:color="auto"/>
            <w:left w:val="none" w:sz="0" w:space="0" w:color="auto"/>
            <w:bottom w:val="none" w:sz="0" w:space="0" w:color="auto"/>
            <w:right w:val="none" w:sz="0" w:space="0" w:color="auto"/>
          </w:divBdr>
        </w:div>
        <w:div w:id="913051862">
          <w:marLeft w:val="547"/>
          <w:marRight w:val="0"/>
          <w:marTop w:val="96"/>
          <w:marBottom w:val="0"/>
          <w:divBdr>
            <w:top w:val="none" w:sz="0" w:space="0" w:color="auto"/>
            <w:left w:val="none" w:sz="0" w:space="0" w:color="auto"/>
            <w:bottom w:val="none" w:sz="0" w:space="0" w:color="auto"/>
            <w:right w:val="none" w:sz="0" w:space="0" w:color="auto"/>
          </w:divBdr>
        </w:div>
        <w:div w:id="982076853">
          <w:marLeft w:val="547"/>
          <w:marRight w:val="0"/>
          <w:marTop w:val="96"/>
          <w:marBottom w:val="0"/>
          <w:divBdr>
            <w:top w:val="none" w:sz="0" w:space="0" w:color="auto"/>
            <w:left w:val="none" w:sz="0" w:space="0" w:color="auto"/>
            <w:bottom w:val="none" w:sz="0" w:space="0" w:color="auto"/>
            <w:right w:val="none" w:sz="0" w:space="0" w:color="auto"/>
          </w:divBdr>
        </w:div>
        <w:div w:id="1138186220">
          <w:marLeft w:val="1166"/>
          <w:marRight w:val="0"/>
          <w:marTop w:val="77"/>
          <w:marBottom w:val="0"/>
          <w:divBdr>
            <w:top w:val="none" w:sz="0" w:space="0" w:color="auto"/>
            <w:left w:val="none" w:sz="0" w:space="0" w:color="auto"/>
            <w:bottom w:val="none" w:sz="0" w:space="0" w:color="auto"/>
            <w:right w:val="none" w:sz="0" w:space="0" w:color="auto"/>
          </w:divBdr>
        </w:div>
        <w:div w:id="1798328326">
          <w:marLeft w:val="547"/>
          <w:marRight w:val="0"/>
          <w:marTop w:val="96"/>
          <w:marBottom w:val="0"/>
          <w:divBdr>
            <w:top w:val="none" w:sz="0" w:space="0" w:color="auto"/>
            <w:left w:val="none" w:sz="0" w:space="0" w:color="auto"/>
            <w:bottom w:val="none" w:sz="0" w:space="0" w:color="auto"/>
            <w:right w:val="none" w:sz="0" w:space="0" w:color="auto"/>
          </w:divBdr>
        </w:div>
        <w:div w:id="1893079080">
          <w:marLeft w:val="1166"/>
          <w:marRight w:val="0"/>
          <w:marTop w:val="77"/>
          <w:marBottom w:val="0"/>
          <w:divBdr>
            <w:top w:val="none" w:sz="0" w:space="0" w:color="auto"/>
            <w:left w:val="none" w:sz="0" w:space="0" w:color="auto"/>
            <w:bottom w:val="none" w:sz="0" w:space="0" w:color="auto"/>
            <w:right w:val="none" w:sz="0" w:space="0" w:color="auto"/>
          </w:divBdr>
        </w:div>
      </w:divsChild>
    </w:div>
    <w:div w:id="775563349">
      <w:bodyDiv w:val="1"/>
      <w:marLeft w:val="0"/>
      <w:marRight w:val="0"/>
      <w:marTop w:val="0"/>
      <w:marBottom w:val="0"/>
      <w:divBdr>
        <w:top w:val="none" w:sz="0" w:space="0" w:color="auto"/>
        <w:left w:val="none" w:sz="0" w:space="0" w:color="auto"/>
        <w:bottom w:val="none" w:sz="0" w:space="0" w:color="auto"/>
        <w:right w:val="none" w:sz="0" w:space="0" w:color="auto"/>
      </w:divBdr>
      <w:divsChild>
        <w:div w:id="1470826404">
          <w:marLeft w:val="547"/>
          <w:marRight w:val="0"/>
          <w:marTop w:val="154"/>
          <w:marBottom w:val="0"/>
          <w:divBdr>
            <w:top w:val="none" w:sz="0" w:space="0" w:color="auto"/>
            <w:left w:val="none" w:sz="0" w:space="0" w:color="auto"/>
            <w:bottom w:val="none" w:sz="0" w:space="0" w:color="auto"/>
            <w:right w:val="none" w:sz="0" w:space="0" w:color="auto"/>
          </w:divBdr>
        </w:div>
      </w:divsChild>
    </w:div>
    <w:div w:id="775948151">
      <w:bodyDiv w:val="1"/>
      <w:marLeft w:val="0"/>
      <w:marRight w:val="0"/>
      <w:marTop w:val="0"/>
      <w:marBottom w:val="0"/>
      <w:divBdr>
        <w:top w:val="none" w:sz="0" w:space="0" w:color="auto"/>
        <w:left w:val="none" w:sz="0" w:space="0" w:color="auto"/>
        <w:bottom w:val="none" w:sz="0" w:space="0" w:color="auto"/>
        <w:right w:val="none" w:sz="0" w:space="0" w:color="auto"/>
      </w:divBdr>
      <w:divsChild>
        <w:div w:id="66416303">
          <w:marLeft w:val="1800"/>
          <w:marRight w:val="0"/>
          <w:marTop w:val="77"/>
          <w:marBottom w:val="0"/>
          <w:divBdr>
            <w:top w:val="none" w:sz="0" w:space="0" w:color="auto"/>
            <w:left w:val="none" w:sz="0" w:space="0" w:color="auto"/>
            <w:bottom w:val="none" w:sz="0" w:space="0" w:color="auto"/>
            <w:right w:val="none" w:sz="0" w:space="0" w:color="auto"/>
          </w:divBdr>
        </w:div>
        <w:div w:id="111829982">
          <w:marLeft w:val="1800"/>
          <w:marRight w:val="0"/>
          <w:marTop w:val="77"/>
          <w:marBottom w:val="0"/>
          <w:divBdr>
            <w:top w:val="none" w:sz="0" w:space="0" w:color="auto"/>
            <w:left w:val="none" w:sz="0" w:space="0" w:color="auto"/>
            <w:bottom w:val="none" w:sz="0" w:space="0" w:color="auto"/>
            <w:right w:val="none" w:sz="0" w:space="0" w:color="auto"/>
          </w:divBdr>
        </w:div>
        <w:div w:id="207647471">
          <w:marLeft w:val="1800"/>
          <w:marRight w:val="0"/>
          <w:marTop w:val="77"/>
          <w:marBottom w:val="0"/>
          <w:divBdr>
            <w:top w:val="none" w:sz="0" w:space="0" w:color="auto"/>
            <w:left w:val="none" w:sz="0" w:space="0" w:color="auto"/>
            <w:bottom w:val="none" w:sz="0" w:space="0" w:color="auto"/>
            <w:right w:val="none" w:sz="0" w:space="0" w:color="auto"/>
          </w:divBdr>
        </w:div>
        <w:div w:id="324868328">
          <w:marLeft w:val="1166"/>
          <w:marRight w:val="0"/>
          <w:marTop w:val="86"/>
          <w:marBottom w:val="0"/>
          <w:divBdr>
            <w:top w:val="none" w:sz="0" w:space="0" w:color="auto"/>
            <w:left w:val="none" w:sz="0" w:space="0" w:color="auto"/>
            <w:bottom w:val="none" w:sz="0" w:space="0" w:color="auto"/>
            <w:right w:val="none" w:sz="0" w:space="0" w:color="auto"/>
          </w:divBdr>
        </w:div>
        <w:div w:id="437649689">
          <w:marLeft w:val="1800"/>
          <w:marRight w:val="0"/>
          <w:marTop w:val="77"/>
          <w:marBottom w:val="0"/>
          <w:divBdr>
            <w:top w:val="none" w:sz="0" w:space="0" w:color="auto"/>
            <w:left w:val="none" w:sz="0" w:space="0" w:color="auto"/>
            <w:bottom w:val="none" w:sz="0" w:space="0" w:color="auto"/>
            <w:right w:val="none" w:sz="0" w:space="0" w:color="auto"/>
          </w:divBdr>
        </w:div>
        <w:div w:id="547300122">
          <w:marLeft w:val="547"/>
          <w:marRight w:val="0"/>
          <w:marTop w:val="96"/>
          <w:marBottom w:val="0"/>
          <w:divBdr>
            <w:top w:val="none" w:sz="0" w:space="0" w:color="auto"/>
            <w:left w:val="none" w:sz="0" w:space="0" w:color="auto"/>
            <w:bottom w:val="none" w:sz="0" w:space="0" w:color="auto"/>
            <w:right w:val="none" w:sz="0" w:space="0" w:color="auto"/>
          </w:divBdr>
        </w:div>
        <w:div w:id="579872493">
          <w:marLeft w:val="1166"/>
          <w:marRight w:val="0"/>
          <w:marTop w:val="86"/>
          <w:marBottom w:val="0"/>
          <w:divBdr>
            <w:top w:val="none" w:sz="0" w:space="0" w:color="auto"/>
            <w:left w:val="none" w:sz="0" w:space="0" w:color="auto"/>
            <w:bottom w:val="none" w:sz="0" w:space="0" w:color="auto"/>
            <w:right w:val="none" w:sz="0" w:space="0" w:color="auto"/>
          </w:divBdr>
        </w:div>
        <w:div w:id="717586148">
          <w:marLeft w:val="1800"/>
          <w:marRight w:val="0"/>
          <w:marTop w:val="77"/>
          <w:marBottom w:val="0"/>
          <w:divBdr>
            <w:top w:val="none" w:sz="0" w:space="0" w:color="auto"/>
            <w:left w:val="none" w:sz="0" w:space="0" w:color="auto"/>
            <w:bottom w:val="none" w:sz="0" w:space="0" w:color="auto"/>
            <w:right w:val="none" w:sz="0" w:space="0" w:color="auto"/>
          </w:divBdr>
        </w:div>
        <w:div w:id="1769813501">
          <w:marLeft w:val="1800"/>
          <w:marRight w:val="0"/>
          <w:marTop w:val="77"/>
          <w:marBottom w:val="0"/>
          <w:divBdr>
            <w:top w:val="none" w:sz="0" w:space="0" w:color="auto"/>
            <w:left w:val="none" w:sz="0" w:space="0" w:color="auto"/>
            <w:bottom w:val="none" w:sz="0" w:space="0" w:color="auto"/>
            <w:right w:val="none" w:sz="0" w:space="0" w:color="auto"/>
          </w:divBdr>
        </w:div>
      </w:divsChild>
    </w:div>
    <w:div w:id="776173290">
      <w:bodyDiv w:val="1"/>
      <w:marLeft w:val="0"/>
      <w:marRight w:val="0"/>
      <w:marTop w:val="0"/>
      <w:marBottom w:val="0"/>
      <w:divBdr>
        <w:top w:val="none" w:sz="0" w:space="0" w:color="auto"/>
        <w:left w:val="none" w:sz="0" w:space="0" w:color="auto"/>
        <w:bottom w:val="none" w:sz="0" w:space="0" w:color="auto"/>
        <w:right w:val="none" w:sz="0" w:space="0" w:color="auto"/>
      </w:divBdr>
    </w:div>
    <w:div w:id="776340009">
      <w:bodyDiv w:val="1"/>
      <w:marLeft w:val="0"/>
      <w:marRight w:val="0"/>
      <w:marTop w:val="0"/>
      <w:marBottom w:val="0"/>
      <w:divBdr>
        <w:top w:val="none" w:sz="0" w:space="0" w:color="auto"/>
        <w:left w:val="none" w:sz="0" w:space="0" w:color="auto"/>
        <w:bottom w:val="none" w:sz="0" w:space="0" w:color="auto"/>
        <w:right w:val="none" w:sz="0" w:space="0" w:color="auto"/>
      </w:divBdr>
    </w:div>
    <w:div w:id="776561367">
      <w:bodyDiv w:val="1"/>
      <w:marLeft w:val="0"/>
      <w:marRight w:val="0"/>
      <w:marTop w:val="0"/>
      <w:marBottom w:val="0"/>
      <w:divBdr>
        <w:top w:val="none" w:sz="0" w:space="0" w:color="auto"/>
        <w:left w:val="none" w:sz="0" w:space="0" w:color="auto"/>
        <w:bottom w:val="none" w:sz="0" w:space="0" w:color="auto"/>
        <w:right w:val="none" w:sz="0" w:space="0" w:color="auto"/>
      </w:divBdr>
    </w:div>
    <w:div w:id="776800429">
      <w:bodyDiv w:val="1"/>
      <w:marLeft w:val="0"/>
      <w:marRight w:val="0"/>
      <w:marTop w:val="0"/>
      <w:marBottom w:val="0"/>
      <w:divBdr>
        <w:top w:val="none" w:sz="0" w:space="0" w:color="auto"/>
        <w:left w:val="none" w:sz="0" w:space="0" w:color="auto"/>
        <w:bottom w:val="none" w:sz="0" w:space="0" w:color="auto"/>
        <w:right w:val="none" w:sz="0" w:space="0" w:color="auto"/>
      </w:divBdr>
    </w:div>
    <w:div w:id="780107479">
      <w:bodyDiv w:val="1"/>
      <w:marLeft w:val="0"/>
      <w:marRight w:val="0"/>
      <w:marTop w:val="0"/>
      <w:marBottom w:val="0"/>
      <w:divBdr>
        <w:top w:val="none" w:sz="0" w:space="0" w:color="auto"/>
        <w:left w:val="none" w:sz="0" w:space="0" w:color="auto"/>
        <w:bottom w:val="none" w:sz="0" w:space="0" w:color="auto"/>
        <w:right w:val="none" w:sz="0" w:space="0" w:color="auto"/>
      </w:divBdr>
      <w:divsChild>
        <w:div w:id="111215249">
          <w:marLeft w:val="547"/>
          <w:marRight w:val="0"/>
          <w:marTop w:val="134"/>
          <w:marBottom w:val="0"/>
          <w:divBdr>
            <w:top w:val="none" w:sz="0" w:space="0" w:color="auto"/>
            <w:left w:val="none" w:sz="0" w:space="0" w:color="auto"/>
            <w:bottom w:val="none" w:sz="0" w:space="0" w:color="auto"/>
            <w:right w:val="none" w:sz="0" w:space="0" w:color="auto"/>
          </w:divBdr>
        </w:div>
        <w:div w:id="336614714">
          <w:marLeft w:val="1800"/>
          <w:marRight w:val="0"/>
          <w:marTop w:val="106"/>
          <w:marBottom w:val="0"/>
          <w:divBdr>
            <w:top w:val="none" w:sz="0" w:space="0" w:color="auto"/>
            <w:left w:val="none" w:sz="0" w:space="0" w:color="auto"/>
            <w:bottom w:val="none" w:sz="0" w:space="0" w:color="auto"/>
            <w:right w:val="none" w:sz="0" w:space="0" w:color="auto"/>
          </w:divBdr>
        </w:div>
        <w:div w:id="525096486">
          <w:marLeft w:val="1800"/>
          <w:marRight w:val="0"/>
          <w:marTop w:val="106"/>
          <w:marBottom w:val="0"/>
          <w:divBdr>
            <w:top w:val="none" w:sz="0" w:space="0" w:color="auto"/>
            <w:left w:val="none" w:sz="0" w:space="0" w:color="auto"/>
            <w:bottom w:val="none" w:sz="0" w:space="0" w:color="auto"/>
            <w:right w:val="none" w:sz="0" w:space="0" w:color="auto"/>
          </w:divBdr>
        </w:div>
        <w:div w:id="1753431308">
          <w:marLeft w:val="1800"/>
          <w:marRight w:val="0"/>
          <w:marTop w:val="106"/>
          <w:marBottom w:val="0"/>
          <w:divBdr>
            <w:top w:val="none" w:sz="0" w:space="0" w:color="auto"/>
            <w:left w:val="none" w:sz="0" w:space="0" w:color="auto"/>
            <w:bottom w:val="none" w:sz="0" w:space="0" w:color="auto"/>
            <w:right w:val="none" w:sz="0" w:space="0" w:color="auto"/>
          </w:divBdr>
        </w:div>
      </w:divsChild>
    </w:div>
    <w:div w:id="780686747">
      <w:bodyDiv w:val="1"/>
      <w:marLeft w:val="0"/>
      <w:marRight w:val="0"/>
      <w:marTop w:val="0"/>
      <w:marBottom w:val="0"/>
      <w:divBdr>
        <w:top w:val="none" w:sz="0" w:space="0" w:color="auto"/>
        <w:left w:val="none" w:sz="0" w:space="0" w:color="auto"/>
        <w:bottom w:val="none" w:sz="0" w:space="0" w:color="auto"/>
        <w:right w:val="none" w:sz="0" w:space="0" w:color="auto"/>
      </w:divBdr>
    </w:div>
    <w:div w:id="781535553">
      <w:bodyDiv w:val="1"/>
      <w:marLeft w:val="0"/>
      <w:marRight w:val="0"/>
      <w:marTop w:val="0"/>
      <w:marBottom w:val="0"/>
      <w:divBdr>
        <w:top w:val="none" w:sz="0" w:space="0" w:color="auto"/>
        <w:left w:val="none" w:sz="0" w:space="0" w:color="auto"/>
        <w:bottom w:val="none" w:sz="0" w:space="0" w:color="auto"/>
        <w:right w:val="none" w:sz="0" w:space="0" w:color="auto"/>
      </w:divBdr>
    </w:div>
    <w:div w:id="781656502">
      <w:bodyDiv w:val="1"/>
      <w:marLeft w:val="0"/>
      <w:marRight w:val="0"/>
      <w:marTop w:val="0"/>
      <w:marBottom w:val="0"/>
      <w:divBdr>
        <w:top w:val="none" w:sz="0" w:space="0" w:color="auto"/>
        <w:left w:val="none" w:sz="0" w:space="0" w:color="auto"/>
        <w:bottom w:val="none" w:sz="0" w:space="0" w:color="auto"/>
        <w:right w:val="none" w:sz="0" w:space="0" w:color="auto"/>
      </w:divBdr>
      <w:divsChild>
        <w:div w:id="879247649">
          <w:marLeft w:val="0"/>
          <w:marRight w:val="0"/>
          <w:marTop w:val="0"/>
          <w:marBottom w:val="0"/>
          <w:divBdr>
            <w:top w:val="none" w:sz="0" w:space="0" w:color="auto"/>
            <w:left w:val="none" w:sz="0" w:space="0" w:color="auto"/>
            <w:bottom w:val="none" w:sz="0" w:space="0" w:color="auto"/>
            <w:right w:val="none" w:sz="0" w:space="0" w:color="auto"/>
          </w:divBdr>
          <w:divsChild>
            <w:div w:id="349643344">
              <w:marLeft w:val="0"/>
              <w:marRight w:val="0"/>
              <w:marTop w:val="0"/>
              <w:marBottom w:val="0"/>
              <w:divBdr>
                <w:top w:val="none" w:sz="0" w:space="0" w:color="auto"/>
                <w:left w:val="none" w:sz="0" w:space="0" w:color="auto"/>
                <w:bottom w:val="none" w:sz="0" w:space="0" w:color="auto"/>
                <w:right w:val="none" w:sz="0" w:space="0" w:color="auto"/>
              </w:divBdr>
            </w:div>
            <w:div w:id="946883930">
              <w:marLeft w:val="0"/>
              <w:marRight w:val="0"/>
              <w:marTop w:val="0"/>
              <w:marBottom w:val="0"/>
              <w:divBdr>
                <w:top w:val="none" w:sz="0" w:space="0" w:color="auto"/>
                <w:left w:val="none" w:sz="0" w:space="0" w:color="auto"/>
                <w:bottom w:val="none" w:sz="0" w:space="0" w:color="auto"/>
                <w:right w:val="none" w:sz="0" w:space="0" w:color="auto"/>
              </w:divBdr>
            </w:div>
            <w:div w:id="956178192">
              <w:marLeft w:val="0"/>
              <w:marRight w:val="0"/>
              <w:marTop w:val="0"/>
              <w:marBottom w:val="0"/>
              <w:divBdr>
                <w:top w:val="none" w:sz="0" w:space="0" w:color="auto"/>
                <w:left w:val="none" w:sz="0" w:space="0" w:color="auto"/>
                <w:bottom w:val="none" w:sz="0" w:space="0" w:color="auto"/>
                <w:right w:val="none" w:sz="0" w:space="0" w:color="auto"/>
              </w:divBdr>
            </w:div>
            <w:div w:id="17650350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82069811">
      <w:bodyDiv w:val="1"/>
      <w:marLeft w:val="0"/>
      <w:marRight w:val="0"/>
      <w:marTop w:val="0"/>
      <w:marBottom w:val="0"/>
      <w:divBdr>
        <w:top w:val="none" w:sz="0" w:space="0" w:color="auto"/>
        <w:left w:val="none" w:sz="0" w:space="0" w:color="auto"/>
        <w:bottom w:val="none" w:sz="0" w:space="0" w:color="auto"/>
        <w:right w:val="none" w:sz="0" w:space="0" w:color="auto"/>
      </w:divBdr>
    </w:div>
    <w:div w:id="782310076">
      <w:bodyDiv w:val="1"/>
      <w:marLeft w:val="0"/>
      <w:marRight w:val="0"/>
      <w:marTop w:val="0"/>
      <w:marBottom w:val="0"/>
      <w:divBdr>
        <w:top w:val="none" w:sz="0" w:space="0" w:color="auto"/>
        <w:left w:val="none" w:sz="0" w:space="0" w:color="auto"/>
        <w:bottom w:val="none" w:sz="0" w:space="0" w:color="auto"/>
        <w:right w:val="none" w:sz="0" w:space="0" w:color="auto"/>
      </w:divBdr>
    </w:div>
    <w:div w:id="782575232">
      <w:bodyDiv w:val="1"/>
      <w:marLeft w:val="0"/>
      <w:marRight w:val="0"/>
      <w:marTop w:val="0"/>
      <w:marBottom w:val="0"/>
      <w:divBdr>
        <w:top w:val="none" w:sz="0" w:space="0" w:color="auto"/>
        <w:left w:val="none" w:sz="0" w:space="0" w:color="auto"/>
        <w:bottom w:val="none" w:sz="0" w:space="0" w:color="auto"/>
        <w:right w:val="none" w:sz="0" w:space="0" w:color="auto"/>
      </w:divBdr>
    </w:div>
    <w:div w:id="782770245">
      <w:bodyDiv w:val="1"/>
      <w:marLeft w:val="0"/>
      <w:marRight w:val="0"/>
      <w:marTop w:val="0"/>
      <w:marBottom w:val="0"/>
      <w:divBdr>
        <w:top w:val="none" w:sz="0" w:space="0" w:color="auto"/>
        <w:left w:val="none" w:sz="0" w:space="0" w:color="auto"/>
        <w:bottom w:val="none" w:sz="0" w:space="0" w:color="auto"/>
        <w:right w:val="none" w:sz="0" w:space="0" w:color="auto"/>
      </w:divBdr>
    </w:div>
    <w:div w:id="783309218">
      <w:bodyDiv w:val="1"/>
      <w:marLeft w:val="0"/>
      <w:marRight w:val="0"/>
      <w:marTop w:val="0"/>
      <w:marBottom w:val="0"/>
      <w:divBdr>
        <w:top w:val="none" w:sz="0" w:space="0" w:color="auto"/>
        <w:left w:val="none" w:sz="0" w:space="0" w:color="auto"/>
        <w:bottom w:val="none" w:sz="0" w:space="0" w:color="auto"/>
        <w:right w:val="none" w:sz="0" w:space="0" w:color="auto"/>
      </w:divBdr>
      <w:divsChild>
        <w:div w:id="386153197">
          <w:marLeft w:val="0"/>
          <w:marRight w:val="0"/>
          <w:marTop w:val="0"/>
          <w:marBottom w:val="0"/>
          <w:divBdr>
            <w:top w:val="none" w:sz="0" w:space="0" w:color="auto"/>
            <w:left w:val="none" w:sz="0" w:space="0" w:color="auto"/>
            <w:bottom w:val="none" w:sz="0" w:space="0" w:color="auto"/>
            <w:right w:val="none" w:sz="0" w:space="0" w:color="auto"/>
          </w:divBdr>
          <w:divsChild>
            <w:div w:id="413864443">
              <w:marLeft w:val="0"/>
              <w:marRight w:val="0"/>
              <w:marTop w:val="0"/>
              <w:marBottom w:val="0"/>
              <w:divBdr>
                <w:top w:val="none" w:sz="0" w:space="0" w:color="auto"/>
                <w:left w:val="none" w:sz="0" w:space="0" w:color="auto"/>
                <w:bottom w:val="none" w:sz="0" w:space="0" w:color="auto"/>
                <w:right w:val="none" w:sz="0" w:space="0" w:color="auto"/>
              </w:divBdr>
            </w:div>
            <w:div w:id="434447940">
              <w:marLeft w:val="0"/>
              <w:marRight w:val="0"/>
              <w:marTop w:val="0"/>
              <w:marBottom w:val="0"/>
              <w:divBdr>
                <w:top w:val="none" w:sz="0" w:space="0" w:color="auto"/>
                <w:left w:val="none" w:sz="0" w:space="0" w:color="auto"/>
                <w:bottom w:val="none" w:sz="0" w:space="0" w:color="auto"/>
                <w:right w:val="none" w:sz="0" w:space="0" w:color="auto"/>
              </w:divBdr>
            </w:div>
            <w:div w:id="723215324">
              <w:marLeft w:val="0"/>
              <w:marRight w:val="0"/>
              <w:marTop w:val="0"/>
              <w:marBottom w:val="0"/>
              <w:divBdr>
                <w:top w:val="none" w:sz="0" w:space="0" w:color="auto"/>
                <w:left w:val="none" w:sz="0" w:space="0" w:color="auto"/>
                <w:bottom w:val="none" w:sz="0" w:space="0" w:color="auto"/>
                <w:right w:val="none" w:sz="0" w:space="0" w:color="auto"/>
              </w:divBdr>
            </w:div>
            <w:div w:id="903108165">
              <w:marLeft w:val="0"/>
              <w:marRight w:val="0"/>
              <w:marTop w:val="0"/>
              <w:marBottom w:val="0"/>
              <w:divBdr>
                <w:top w:val="none" w:sz="0" w:space="0" w:color="auto"/>
                <w:left w:val="none" w:sz="0" w:space="0" w:color="auto"/>
                <w:bottom w:val="none" w:sz="0" w:space="0" w:color="auto"/>
                <w:right w:val="none" w:sz="0" w:space="0" w:color="auto"/>
              </w:divBdr>
            </w:div>
            <w:div w:id="1250189912">
              <w:marLeft w:val="0"/>
              <w:marRight w:val="0"/>
              <w:marTop w:val="0"/>
              <w:marBottom w:val="0"/>
              <w:divBdr>
                <w:top w:val="none" w:sz="0" w:space="0" w:color="auto"/>
                <w:left w:val="none" w:sz="0" w:space="0" w:color="auto"/>
                <w:bottom w:val="none" w:sz="0" w:space="0" w:color="auto"/>
                <w:right w:val="none" w:sz="0" w:space="0" w:color="auto"/>
              </w:divBdr>
            </w:div>
            <w:div w:id="1471283666">
              <w:marLeft w:val="0"/>
              <w:marRight w:val="0"/>
              <w:marTop w:val="0"/>
              <w:marBottom w:val="0"/>
              <w:divBdr>
                <w:top w:val="none" w:sz="0" w:space="0" w:color="auto"/>
                <w:left w:val="none" w:sz="0" w:space="0" w:color="auto"/>
                <w:bottom w:val="none" w:sz="0" w:space="0" w:color="auto"/>
                <w:right w:val="none" w:sz="0" w:space="0" w:color="auto"/>
              </w:divBdr>
            </w:div>
            <w:div w:id="1516579138">
              <w:marLeft w:val="0"/>
              <w:marRight w:val="0"/>
              <w:marTop w:val="0"/>
              <w:marBottom w:val="0"/>
              <w:divBdr>
                <w:top w:val="none" w:sz="0" w:space="0" w:color="auto"/>
                <w:left w:val="none" w:sz="0" w:space="0" w:color="auto"/>
                <w:bottom w:val="none" w:sz="0" w:space="0" w:color="auto"/>
                <w:right w:val="none" w:sz="0" w:space="0" w:color="auto"/>
              </w:divBdr>
            </w:div>
            <w:div w:id="1759669210">
              <w:marLeft w:val="0"/>
              <w:marRight w:val="0"/>
              <w:marTop w:val="0"/>
              <w:marBottom w:val="0"/>
              <w:divBdr>
                <w:top w:val="none" w:sz="0" w:space="0" w:color="auto"/>
                <w:left w:val="none" w:sz="0" w:space="0" w:color="auto"/>
                <w:bottom w:val="none" w:sz="0" w:space="0" w:color="auto"/>
                <w:right w:val="none" w:sz="0" w:space="0" w:color="auto"/>
              </w:divBdr>
            </w:div>
            <w:div w:id="18659430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83958955">
      <w:bodyDiv w:val="1"/>
      <w:marLeft w:val="0"/>
      <w:marRight w:val="0"/>
      <w:marTop w:val="0"/>
      <w:marBottom w:val="0"/>
      <w:divBdr>
        <w:top w:val="none" w:sz="0" w:space="0" w:color="auto"/>
        <w:left w:val="none" w:sz="0" w:space="0" w:color="auto"/>
        <w:bottom w:val="none" w:sz="0" w:space="0" w:color="auto"/>
        <w:right w:val="none" w:sz="0" w:space="0" w:color="auto"/>
      </w:divBdr>
    </w:div>
    <w:div w:id="784348485">
      <w:bodyDiv w:val="1"/>
      <w:marLeft w:val="0"/>
      <w:marRight w:val="0"/>
      <w:marTop w:val="0"/>
      <w:marBottom w:val="0"/>
      <w:divBdr>
        <w:top w:val="none" w:sz="0" w:space="0" w:color="auto"/>
        <w:left w:val="none" w:sz="0" w:space="0" w:color="auto"/>
        <w:bottom w:val="none" w:sz="0" w:space="0" w:color="auto"/>
        <w:right w:val="none" w:sz="0" w:space="0" w:color="auto"/>
      </w:divBdr>
    </w:div>
    <w:div w:id="786511884">
      <w:bodyDiv w:val="1"/>
      <w:marLeft w:val="0"/>
      <w:marRight w:val="0"/>
      <w:marTop w:val="0"/>
      <w:marBottom w:val="0"/>
      <w:divBdr>
        <w:top w:val="none" w:sz="0" w:space="0" w:color="auto"/>
        <w:left w:val="none" w:sz="0" w:space="0" w:color="auto"/>
        <w:bottom w:val="none" w:sz="0" w:space="0" w:color="auto"/>
        <w:right w:val="none" w:sz="0" w:space="0" w:color="auto"/>
      </w:divBdr>
      <w:divsChild>
        <w:div w:id="326709120">
          <w:marLeft w:val="360"/>
          <w:marRight w:val="0"/>
          <w:marTop w:val="200"/>
          <w:marBottom w:val="0"/>
          <w:divBdr>
            <w:top w:val="none" w:sz="0" w:space="0" w:color="auto"/>
            <w:left w:val="none" w:sz="0" w:space="0" w:color="auto"/>
            <w:bottom w:val="none" w:sz="0" w:space="0" w:color="auto"/>
            <w:right w:val="none" w:sz="0" w:space="0" w:color="auto"/>
          </w:divBdr>
        </w:div>
        <w:div w:id="1158038258">
          <w:marLeft w:val="360"/>
          <w:marRight w:val="0"/>
          <w:marTop w:val="200"/>
          <w:marBottom w:val="0"/>
          <w:divBdr>
            <w:top w:val="none" w:sz="0" w:space="0" w:color="auto"/>
            <w:left w:val="none" w:sz="0" w:space="0" w:color="auto"/>
            <w:bottom w:val="none" w:sz="0" w:space="0" w:color="auto"/>
            <w:right w:val="none" w:sz="0" w:space="0" w:color="auto"/>
          </w:divBdr>
        </w:div>
        <w:div w:id="1312754870">
          <w:marLeft w:val="1080"/>
          <w:marRight w:val="0"/>
          <w:marTop w:val="100"/>
          <w:marBottom w:val="0"/>
          <w:divBdr>
            <w:top w:val="none" w:sz="0" w:space="0" w:color="auto"/>
            <w:left w:val="none" w:sz="0" w:space="0" w:color="auto"/>
            <w:bottom w:val="none" w:sz="0" w:space="0" w:color="auto"/>
            <w:right w:val="none" w:sz="0" w:space="0" w:color="auto"/>
          </w:divBdr>
        </w:div>
        <w:div w:id="1321736614">
          <w:marLeft w:val="1080"/>
          <w:marRight w:val="0"/>
          <w:marTop w:val="100"/>
          <w:marBottom w:val="0"/>
          <w:divBdr>
            <w:top w:val="none" w:sz="0" w:space="0" w:color="auto"/>
            <w:left w:val="none" w:sz="0" w:space="0" w:color="auto"/>
            <w:bottom w:val="none" w:sz="0" w:space="0" w:color="auto"/>
            <w:right w:val="none" w:sz="0" w:space="0" w:color="auto"/>
          </w:divBdr>
        </w:div>
        <w:div w:id="1505589068">
          <w:marLeft w:val="1080"/>
          <w:marRight w:val="0"/>
          <w:marTop w:val="100"/>
          <w:marBottom w:val="0"/>
          <w:divBdr>
            <w:top w:val="none" w:sz="0" w:space="0" w:color="auto"/>
            <w:left w:val="none" w:sz="0" w:space="0" w:color="auto"/>
            <w:bottom w:val="none" w:sz="0" w:space="0" w:color="auto"/>
            <w:right w:val="none" w:sz="0" w:space="0" w:color="auto"/>
          </w:divBdr>
        </w:div>
      </w:divsChild>
    </w:div>
    <w:div w:id="786579674">
      <w:bodyDiv w:val="1"/>
      <w:marLeft w:val="0"/>
      <w:marRight w:val="0"/>
      <w:marTop w:val="0"/>
      <w:marBottom w:val="0"/>
      <w:divBdr>
        <w:top w:val="none" w:sz="0" w:space="0" w:color="auto"/>
        <w:left w:val="none" w:sz="0" w:space="0" w:color="auto"/>
        <w:bottom w:val="none" w:sz="0" w:space="0" w:color="auto"/>
        <w:right w:val="none" w:sz="0" w:space="0" w:color="auto"/>
      </w:divBdr>
    </w:div>
    <w:div w:id="786700810">
      <w:bodyDiv w:val="1"/>
      <w:marLeft w:val="0"/>
      <w:marRight w:val="0"/>
      <w:marTop w:val="0"/>
      <w:marBottom w:val="0"/>
      <w:divBdr>
        <w:top w:val="none" w:sz="0" w:space="0" w:color="auto"/>
        <w:left w:val="none" w:sz="0" w:space="0" w:color="auto"/>
        <w:bottom w:val="none" w:sz="0" w:space="0" w:color="auto"/>
        <w:right w:val="none" w:sz="0" w:space="0" w:color="auto"/>
      </w:divBdr>
    </w:div>
    <w:div w:id="788669809">
      <w:bodyDiv w:val="1"/>
      <w:marLeft w:val="0"/>
      <w:marRight w:val="0"/>
      <w:marTop w:val="0"/>
      <w:marBottom w:val="0"/>
      <w:divBdr>
        <w:top w:val="none" w:sz="0" w:space="0" w:color="auto"/>
        <w:left w:val="none" w:sz="0" w:space="0" w:color="auto"/>
        <w:bottom w:val="none" w:sz="0" w:space="0" w:color="auto"/>
        <w:right w:val="none" w:sz="0" w:space="0" w:color="auto"/>
      </w:divBdr>
    </w:div>
    <w:div w:id="788739295">
      <w:bodyDiv w:val="1"/>
      <w:marLeft w:val="0"/>
      <w:marRight w:val="0"/>
      <w:marTop w:val="0"/>
      <w:marBottom w:val="0"/>
      <w:divBdr>
        <w:top w:val="none" w:sz="0" w:space="0" w:color="auto"/>
        <w:left w:val="none" w:sz="0" w:space="0" w:color="auto"/>
        <w:bottom w:val="none" w:sz="0" w:space="0" w:color="auto"/>
        <w:right w:val="none" w:sz="0" w:space="0" w:color="auto"/>
      </w:divBdr>
      <w:divsChild>
        <w:div w:id="159663992">
          <w:marLeft w:val="1800"/>
          <w:marRight w:val="0"/>
          <w:marTop w:val="86"/>
          <w:marBottom w:val="0"/>
          <w:divBdr>
            <w:top w:val="none" w:sz="0" w:space="0" w:color="auto"/>
            <w:left w:val="none" w:sz="0" w:space="0" w:color="auto"/>
            <w:bottom w:val="none" w:sz="0" w:space="0" w:color="auto"/>
            <w:right w:val="none" w:sz="0" w:space="0" w:color="auto"/>
          </w:divBdr>
        </w:div>
        <w:div w:id="751391434">
          <w:marLeft w:val="1800"/>
          <w:marRight w:val="0"/>
          <w:marTop w:val="86"/>
          <w:marBottom w:val="0"/>
          <w:divBdr>
            <w:top w:val="none" w:sz="0" w:space="0" w:color="auto"/>
            <w:left w:val="none" w:sz="0" w:space="0" w:color="auto"/>
            <w:bottom w:val="none" w:sz="0" w:space="0" w:color="auto"/>
            <w:right w:val="none" w:sz="0" w:space="0" w:color="auto"/>
          </w:divBdr>
        </w:div>
        <w:div w:id="788819553">
          <w:marLeft w:val="2520"/>
          <w:marRight w:val="0"/>
          <w:marTop w:val="86"/>
          <w:marBottom w:val="0"/>
          <w:divBdr>
            <w:top w:val="none" w:sz="0" w:space="0" w:color="auto"/>
            <w:left w:val="none" w:sz="0" w:space="0" w:color="auto"/>
            <w:bottom w:val="none" w:sz="0" w:space="0" w:color="auto"/>
            <w:right w:val="none" w:sz="0" w:space="0" w:color="auto"/>
          </w:divBdr>
        </w:div>
        <w:div w:id="981230097">
          <w:marLeft w:val="1800"/>
          <w:marRight w:val="0"/>
          <w:marTop w:val="86"/>
          <w:marBottom w:val="0"/>
          <w:divBdr>
            <w:top w:val="none" w:sz="0" w:space="0" w:color="auto"/>
            <w:left w:val="none" w:sz="0" w:space="0" w:color="auto"/>
            <w:bottom w:val="none" w:sz="0" w:space="0" w:color="auto"/>
            <w:right w:val="none" w:sz="0" w:space="0" w:color="auto"/>
          </w:divBdr>
        </w:div>
        <w:div w:id="1163356089">
          <w:marLeft w:val="1166"/>
          <w:marRight w:val="0"/>
          <w:marTop w:val="96"/>
          <w:marBottom w:val="0"/>
          <w:divBdr>
            <w:top w:val="none" w:sz="0" w:space="0" w:color="auto"/>
            <w:left w:val="none" w:sz="0" w:space="0" w:color="auto"/>
            <w:bottom w:val="none" w:sz="0" w:space="0" w:color="auto"/>
            <w:right w:val="none" w:sz="0" w:space="0" w:color="auto"/>
          </w:divBdr>
        </w:div>
        <w:div w:id="1226574711">
          <w:marLeft w:val="2520"/>
          <w:marRight w:val="0"/>
          <w:marTop w:val="86"/>
          <w:marBottom w:val="0"/>
          <w:divBdr>
            <w:top w:val="none" w:sz="0" w:space="0" w:color="auto"/>
            <w:left w:val="none" w:sz="0" w:space="0" w:color="auto"/>
            <w:bottom w:val="none" w:sz="0" w:space="0" w:color="auto"/>
            <w:right w:val="none" w:sz="0" w:space="0" w:color="auto"/>
          </w:divBdr>
        </w:div>
        <w:div w:id="1315914865">
          <w:marLeft w:val="1166"/>
          <w:marRight w:val="0"/>
          <w:marTop w:val="96"/>
          <w:marBottom w:val="0"/>
          <w:divBdr>
            <w:top w:val="none" w:sz="0" w:space="0" w:color="auto"/>
            <w:left w:val="none" w:sz="0" w:space="0" w:color="auto"/>
            <w:bottom w:val="none" w:sz="0" w:space="0" w:color="auto"/>
            <w:right w:val="none" w:sz="0" w:space="0" w:color="auto"/>
          </w:divBdr>
        </w:div>
        <w:div w:id="1503008826">
          <w:marLeft w:val="547"/>
          <w:marRight w:val="0"/>
          <w:marTop w:val="115"/>
          <w:marBottom w:val="0"/>
          <w:divBdr>
            <w:top w:val="none" w:sz="0" w:space="0" w:color="auto"/>
            <w:left w:val="none" w:sz="0" w:space="0" w:color="auto"/>
            <w:bottom w:val="none" w:sz="0" w:space="0" w:color="auto"/>
            <w:right w:val="none" w:sz="0" w:space="0" w:color="auto"/>
          </w:divBdr>
        </w:div>
        <w:div w:id="1765027846">
          <w:marLeft w:val="2520"/>
          <w:marRight w:val="0"/>
          <w:marTop w:val="86"/>
          <w:marBottom w:val="0"/>
          <w:divBdr>
            <w:top w:val="none" w:sz="0" w:space="0" w:color="auto"/>
            <w:left w:val="none" w:sz="0" w:space="0" w:color="auto"/>
            <w:bottom w:val="none" w:sz="0" w:space="0" w:color="auto"/>
            <w:right w:val="none" w:sz="0" w:space="0" w:color="auto"/>
          </w:divBdr>
        </w:div>
        <w:div w:id="1936589761">
          <w:marLeft w:val="1166"/>
          <w:marRight w:val="0"/>
          <w:marTop w:val="96"/>
          <w:marBottom w:val="0"/>
          <w:divBdr>
            <w:top w:val="none" w:sz="0" w:space="0" w:color="auto"/>
            <w:left w:val="none" w:sz="0" w:space="0" w:color="auto"/>
            <w:bottom w:val="none" w:sz="0" w:space="0" w:color="auto"/>
            <w:right w:val="none" w:sz="0" w:space="0" w:color="auto"/>
          </w:divBdr>
        </w:div>
      </w:divsChild>
    </w:div>
    <w:div w:id="788817520">
      <w:bodyDiv w:val="1"/>
      <w:marLeft w:val="0"/>
      <w:marRight w:val="0"/>
      <w:marTop w:val="0"/>
      <w:marBottom w:val="0"/>
      <w:divBdr>
        <w:top w:val="none" w:sz="0" w:space="0" w:color="auto"/>
        <w:left w:val="none" w:sz="0" w:space="0" w:color="auto"/>
        <w:bottom w:val="none" w:sz="0" w:space="0" w:color="auto"/>
        <w:right w:val="none" w:sz="0" w:space="0" w:color="auto"/>
      </w:divBdr>
      <w:divsChild>
        <w:div w:id="2133281665">
          <w:marLeft w:val="0"/>
          <w:marRight w:val="0"/>
          <w:marTop w:val="0"/>
          <w:marBottom w:val="0"/>
          <w:divBdr>
            <w:top w:val="none" w:sz="0" w:space="0" w:color="auto"/>
            <w:left w:val="none" w:sz="0" w:space="0" w:color="auto"/>
            <w:bottom w:val="none" w:sz="0" w:space="0" w:color="auto"/>
            <w:right w:val="none" w:sz="0" w:space="0" w:color="auto"/>
          </w:divBdr>
          <w:divsChild>
            <w:div w:id="178547194">
              <w:marLeft w:val="0"/>
              <w:marRight w:val="0"/>
              <w:marTop w:val="0"/>
              <w:marBottom w:val="0"/>
              <w:divBdr>
                <w:top w:val="none" w:sz="0" w:space="0" w:color="auto"/>
                <w:left w:val="none" w:sz="0" w:space="0" w:color="auto"/>
                <w:bottom w:val="none" w:sz="0" w:space="0" w:color="auto"/>
                <w:right w:val="none" w:sz="0" w:space="0" w:color="auto"/>
              </w:divBdr>
            </w:div>
            <w:div w:id="1261991294">
              <w:marLeft w:val="0"/>
              <w:marRight w:val="0"/>
              <w:marTop w:val="0"/>
              <w:marBottom w:val="0"/>
              <w:divBdr>
                <w:top w:val="none" w:sz="0" w:space="0" w:color="auto"/>
                <w:left w:val="none" w:sz="0" w:space="0" w:color="auto"/>
                <w:bottom w:val="none" w:sz="0" w:space="0" w:color="auto"/>
                <w:right w:val="none" w:sz="0" w:space="0" w:color="auto"/>
              </w:divBdr>
            </w:div>
            <w:div w:id="13212301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88857375">
      <w:bodyDiv w:val="1"/>
      <w:marLeft w:val="0"/>
      <w:marRight w:val="0"/>
      <w:marTop w:val="0"/>
      <w:marBottom w:val="0"/>
      <w:divBdr>
        <w:top w:val="none" w:sz="0" w:space="0" w:color="auto"/>
        <w:left w:val="none" w:sz="0" w:space="0" w:color="auto"/>
        <w:bottom w:val="none" w:sz="0" w:space="0" w:color="auto"/>
        <w:right w:val="none" w:sz="0" w:space="0" w:color="auto"/>
      </w:divBdr>
    </w:div>
    <w:div w:id="789519883">
      <w:bodyDiv w:val="1"/>
      <w:marLeft w:val="0"/>
      <w:marRight w:val="0"/>
      <w:marTop w:val="0"/>
      <w:marBottom w:val="0"/>
      <w:divBdr>
        <w:top w:val="none" w:sz="0" w:space="0" w:color="auto"/>
        <w:left w:val="none" w:sz="0" w:space="0" w:color="auto"/>
        <w:bottom w:val="none" w:sz="0" w:space="0" w:color="auto"/>
        <w:right w:val="none" w:sz="0" w:space="0" w:color="auto"/>
      </w:divBdr>
    </w:div>
    <w:div w:id="790324438">
      <w:bodyDiv w:val="1"/>
      <w:marLeft w:val="0"/>
      <w:marRight w:val="0"/>
      <w:marTop w:val="0"/>
      <w:marBottom w:val="0"/>
      <w:divBdr>
        <w:top w:val="none" w:sz="0" w:space="0" w:color="auto"/>
        <w:left w:val="none" w:sz="0" w:space="0" w:color="auto"/>
        <w:bottom w:val="none" w:sz="0" w:space="0" w:color="auto"/>
        <w:right w:val="none" w:sz="0" w:space="0" w:color="auto"/>
      </w:divBdr>
      <w:divsChild>
        <w:div w:id="235550098">
          <w:marLeft w:val="360"/>
          <w:marRight w:val="0"/>
          <w:marTop w:val="0"/>
          <w:marBottom w:val="0"/>
          <w:divBdr>
            <w:top w:val="none" w:sz="0" w:space="0" w:color="auto"/>
            <w:left w:val="none" w:sz="0" w:space="0" w:color="auto"/>
            <w:bottom w:val="none" w:sz="0" w:space="0" w:color="auto"/>
            <w:right w:val="none" w:sz="0" w:space="0" w:color="auto"/>
          </w:divBdr>
        </w:div>
        <w:div w:id="953974664">
          <w:marLeft w:val="1080"/>
          <w:marRight w:val="0"/>
          <w:marTop w:val="240"/>
          <w:marBottom w:val="0"/>
          <w:divBdr>
            <w:top w:val="none" w:sz="0" w:space="0" w:color="auto"/>
            <w:left w:val="none" w:sz="0" w:space="0" w:color="auto"/>
            <w:bottom w:val="none" w:sz="0" w:space="0" w:color="auto"/>
            <w:right w:val="none" w:sz="0" w:space="0" w:color="auto"/>
          </w:divBdr>
        </w:div>
      </w:divsChild>
    </w:div>
    <w:div w:id="790708800">
      <w:bodyDiv w:val="1"/>
      <w:marLeft w:val="0"/>
      <w:marRight w:val="0"/>
      <w:marTop w:val="0"/>
      <w:marBottom w:val="0"/>
      <w:divBdr>
        <w:top w:val="none" w:sz="0" w:space="0" w:color="auto"/>
        <w:left w:val="none" w:sz="0" w:space="0" w:color="auto"/>
        <w:bottom w:val="none" w:sz="0" w:space="0" w:color="auto"/>
        <w:right w:val="none" w:sz="0" w:space="0" w:color="auto"/>
      </w:divBdr>
    </w:div>
    <w:div w:id="790709909">
      <w:bodyDiv w:val="1"/>
      <w:marLeft w:val="0"/>
      <w:marRight w:val="0"/>
      <w:marTop w:val="0"/>
      <w:marBottom w:val="0"/>
      <w:divBdr>
        <w:top w:val="none" w:sz="0" w:space="0" w:color="auto"/>
        <w:left w:val="none" w:sz="0" w:space="0" w:color="auto"/>
        <w:bottom w:val="none" w:sz="0" w:space="0" w:color="auto"/>
        <w:right w:val="none" w:sz="0" w:space="0" w:color="auto"/>
      </w:divBdr>
    </w:div>
    <w:div w:id="791291604">
      <w:bodyDiv w:val="1"/>
      <w:marLeft w:val="0"/>
      <w:marRight w:val="0"/>
      <w:marTop w:val="0"/>
      <w:marBottom w:val="0"/>
      <w:divBdr>
        <w:top w:val="none" w:sz="0" w:space="0" w:color="auto"/>
        <w:left w:val="none" w:sz="0" w:space="0" w:color="auto"/>
        <w:bottom w:val="none" w:sz="0" w:space="0" w:color="auto"/>
        <w:right w:val="none" w:sz="0" w:space="0" w:color="auto"/>
      </w:divBdr>
    </w:div>
    <w:div w:id="792484976">
      <w:bodyDiv w:val="1"/>
      <w:marLeft w:val="0"/>
      <w:marRight w:val="0"/>
      <w:marTop w:val="0"/>
      <w:marBottom w:val="0"/>
      <w:divBdr>
        <w:top w:val="none" w:sz="0" w:space="0" w:color="auto"/>
        <w:left w:val="none" w:sz="0" w:space="0" w:color="auto"/>
        <w:bottom w:val="none" w:sz="0" w:space="0" w:color="auto"/>
        <w:right w:val="none" w:sz="0" w:space="0" w:color="auto"/>
      </w:divBdr>
    </w:div>
    <w:div w:id="792796777">
      <w:bodyDiv w:val="1"/>
      <w:marLeft w:val="0"/>
      <w:marRight w:val="0"/>
      <w:marTop w:val="0"/>
      <w:marBottom w:val="0"/>
      <w:divBdr>
        <w:top w:val="none" w:sz="0" w:space="0" w:color="auto"/>
        <w:left w:val="none" w:sz="0" w:space="0" w:color="auto"/>
        <w:bottom w:val="none" w:sz="0" w:space="0" w:color="auto"/>
        <w:right w:val="none" w:sz="0" w:space="0" w:color="auto"/>
      </w:divBdr>
      <w:divsChild>
        <w:div w:id="23870893">
          <w:marLeft w:val="1166"/>
          <w:marRight w:val="0"/>
          <w:marTop w:val="115"/>
          <w:marBottom w:val="0"/>
          <w:divBdr>
            <w:top w:val="none" w:sz="0" w:space="0" w:color="auto"/>
            <w:left w:val="none" w:sz="0" w:space="0" w:color="auto"/>
            <w:bottom w:val="none" w:sz="0" w:space="0" w:color="auto"/>
            <w:right w:val="none" w:sz="0" w:space="0" w:color="auto"/>
          </w:divBdr>
        </w:div>
        <w:div w:id="415640603">
          <w:marLeft w:val="547"/>
          <w:marRight w:val="0"/>
          <w:marTop w:val="154"/>
          <w:marBottom w:val="0"/>
          <w:divBdr>
            <w:top w:val="none" w:sz="0" w:space="0" w:color="auto"/>
            <w:left w:val="none" w:sz="0" w:space="0" w:color="auto"/>
            <w:bottom w:val="none" w:sz="0" w:space="0" w:color="auto"/>
            <w:right w:val="none" w:sz="0" w:space="0" w:color="auto"/>
          </w:divBdr>
        </w:div>
        <w:div w:id="833452595">
          <w:marLeft w:val="1166"/>
          <w:marRight w:val="0"/>
          <w:marTop w:val="115"/>
          <w:marBottom w:val="0"/>
          <w:divBdr>
            <w:top w:val="none" w:sz="0" w:space="0" w:color="auto"/>
            <w:left w:val="none" w:sz="0" w:space="0" w:color="auto"/>
            <w:bottom w:val="none" w:sz="0" w:space="0" w:color="auto"/>
            <w:right w:val="none" w:sz="0" w:space="0" w:color="auto"/>
          </w:divBdr>
        </w:div>
        <w:div w:id="1515219689">
          <w:marLeft w:val="1166"/>
          <w:marRight w:val="0"/>
          <w:marTop w:val="115"/>
          <w:marBottom w:val="0"/>
          <w:divBdr>
            <w:top w:val="none" w:sz="0" w:space="0" w:color="auto"/>
            <w:left w:val="none" w:sz="0" w:space="0" w:color="auto"/>
            <w:bottom w:val="none" w:sz="0" w:space="0" w:color="auto"/>
            <w:right w:val="none" w:sz="0" w:space="0" w:color="auto"/>
          </w:divBdr>
        </w:div>
        <w:div w:id="1792825692">
          <w:marLeft w:val="1166"/>
          <w:marRight w:val="0"/>
          <w:marTop w:val="115"/>
          <w:marBottom w:val="0"/>
          <w:divBdr>
            <w:top w:val="none" w:sz="0" w:space="0" w:color="auto"/>
            <w:left w:val="none" w:sz="0" w:space="0" w:color="auto"/>
            <w:bottom w:val="none" w:sz="0" w:space="0" w:color="auto"/>
            <w:right w:val="none" w:sz="0" w:space="0" w:color="auto"/>
          </w:divBdr>
        </w:div>
      </w:divsChild>
    </w:div>
    <w:div w:id="792940175">
      <w:bodyDiv w:val="1"/>
      <w:marLeft w:val="0"/>
      <w:marRight w:val="0"/>
      <w:marTop w:val="0"/>
      <w:marBottom w:val="0"/>
      <w:divBdr>
        <w:top w:val="none" w:sz="0" w:space="0" w:color="auto"/>
        <w:left w:val="none" w:sz="0" w:space="0" w:color="auto"/>
        <w:bottom w:val="none" w:sz="0" w:space="0" w:color="auto"/>
        <w:right w:val="none" w:sz="0" w:space="0" w:color="auto"/>
      </w:divBdr>
    </w:div>
    <w:div w:id="793984789">
      <w:bodyDiv w:val="1"/>
      <w:marLeft w:val="0"/>
      <w:marRight w:val="0"/>
      <w:marTop w:val="0"/>
      <w:marBottom w:val="0"/>
      <w:divBdr>
        <w:top w:val="none" w:sz="0" w:space="0" w:color="auto"/>
        <w:left w:val="none" w:sz="0" w:space="0" w:color="auto"/>
        <w:bottom w:val="none" w:sz="0" w:space="0" w:color="auto"/>
        <w:right w:val="none" w:sz="0" w:space="0" w:color="auto"/>
      </w:divBdr>
    </w:div>
    <w:div w:id="794643326">
      <w:bodyDiv w:val="1"/>
      <w:marLeft w:val="0"/>
      <w:marRight w:val="0"/>
      <w:marTop w:val="0"/>
      <w:marBottom w:val="0"/>
      <w:divBdr>
        <w:top w:val="none" w:sz="0" w:space="0" w:color="auto"/>
        <w:left w:val="none" w:sz="0" w:space="0" w:color="auto"/>
        <w:bottom w:val="none" w:sz="0" w:space="0" w:color="auto"/>
        <w:right w:val="none" w:sz="0" w:space="0" w:color="auto"/>
      </w:divBdr>
      <w:divsChild>
        <w:div w:id="37435053">
          <w:marLeft w:val="1800"/>
          <w:marRight w:val="0"/>
          <w:marTop w:val="86"/>
          <w:marBottom w:val="0"/>
          <w:divBdr>
            <w:top w:val="none" w:sz="0" w:space="0" w:color="auto"/>
            <w:left w:val="none" w:sz="0" w:space="0" w:color="auto"/>
            <w:bottom w:val="none" w:sz="0" w:space="0" w:color="auto"/>
            <w:right w:val="none" w:sz="0" w:space="0" w:color="auto"/>
          </w:divBdr>
        </w:div>
        <w:div w:id="86974150">
          <w:marLeft w:val="1166"/>
          <w:marRight w:val="0"/>
          <w:marTop w:val="96"/>
          <w:marBottom w:val="0"/>
          <w:divBdr>
            <w:top w:val="none" w:sz="0" w:space="0" w:color="auto"/>
            <w:left w:val="none" w:sz="0" w:space="0" w:color="auto"/>
            <w:bottom w:val="none" w:sz="0" w:space="0" w:color="auto"/>
            <w:right w:val="none" w:sz="0" w:space="0" w:color="auto"/>
          </w:divBdr>
        </w:div>
        <w:div w:id="1941067465">
          <w:marLeft w:val="547"/>
          <w:marRight w:val="0"/>
          <w:marTop w:val="115"/>
          <w:marBottom w:val="0"/>
          <w:divBdr>
            <w:top w:val="none" w:sz="0" w:space="0" w:color="auto"/>
            <w:left w:val="none" w:sz="0" w:space="0" w:color="auto"/>
            <w:bottom w:val="none" w:sz="0" w:space="0" w:color="auto"/>
            <w:right w:val="none" w:sz="0" w:space="0" w:color="auto"/>
          </w:divBdr>
        </w:div>
      </w:divsChild>
    </w:div>
    <w:div w:id="794908283">
      <w:bodyDiv w:val="1"/>
      <w:marLeft w:val="0"/>
      <w:marRight w:val="0"/>
      <w:marTop w:val="0"/>
      <w:marBottom w:val="0"/>
      <w:divBdr>
        <w:top w:val="none" w:sz="0" w:space="0" w:color="auto"/>
        <w:left w:val="none" w:sz="0" w:space="0" w:color="auto"/>
        <w:bottom w:val="none" w:sz="0" w:space="0" w:color="auto"/>
        <w:right w:val="none" w:sz="0" w:space="0" w:color="auto"/>
      </w:divBdr>
    </w:div>
    <w:div w:id="794952803">
      <w:bodyDiv w:val="1"/>
      <w:marLeft w:val="0"/>
      <w:marRight w:val="0"/>
      <w:marTop w:val="0"/>
      <w:marBottom w:val="0"/>
      <w:divBdr>
        <w:top w:val="none" w:sz="0" w:space="0" w:color="auto"/>
        <w:left w:val="none" w:sz="0" w:space="0" w:color="auto"/>
        <w:bottom w:val="none" w:sz="0" w:space="0" w:color="auto"/>
        <w:right w:val="none" w:sz="0" w:space="0" w:color="auto"/>
      </w:divBdr>
      <w:divsChild>
        <w:div w:id="318928673">
          <w:marLeft w:val="1166"/>
          <w:marRight w:val="0"/>
          <w:marTop w:val="115"/>
          <w:marBottom w:val="0"/>
          <w:divBdr>
            <w:top w:val="none" w:sz="0" w:space="0" w:color="auto"/>
            <w:left w:val="none" w:sz="0" w:space="0" w:color="auto"/>
            <w:bottom w:val="none" w:sz="0" w:space="0" w:color="auto"/>
            <w:right w:val="none" w:sz="0" w:space="0" w:color="auto"/>
          </w:divBdr>
        </w:div>
        <w:div w:id="997687015">
          <w:marLeft w:val="1166"/>
          <w:marRight w:val="0"/>
          <w:marTop w:val="115"/>
          <w:marBottom w:val="0"/>
          <w:divBdr>
            <w:top w:val="none" w:sz="0" w:space="0" w:color="auto"/>
            <w:left w:val="none" w:sz="0" w:space="0" w:color="auto"/>
            <w:bottom w:val="none" w:sz="0" w:space="0" w:color="auto"/>
            <w:right w:val="none" w:sz="0" w:space="0" w:color="auto"/>
          </w:divBdr>
        </w:div>
        <w:div w:id="1056972302">
          <w:marLeft w:val="1166"/>
          <w:marRight w:val="0"/>
          <w:marTop w:val="115"/>
          <w:marBottom w:val="0"/>
          <w:divBdr>
            <w:top w:val="none" w:sz="0" w:space="0" w:color="auto"/>
            <w:left w:val="none" w:sz="0" w:space="0" w:color="auto"/>
            <w:bottom w:val="none" w:sz="0" w:space="0" w:color="auto"/>
            <w:right w:val="none" w:sz="0" w:space="0" w:color="auto"/>
          </w:divBdr>
        </w:div>
        <w:div w:id="1441561692">
          <w:marLeft w:val="547"/>
          <w:marRight w:val="0"/>
          <w:marTop w:val="134"/>
          <w:marBottom w:val="0"/>
          <w:divBdr>
            <w:top w:val="none" w:sz="0" w:space="0" w:color="auto"/>
            <w:left w:val="none" w:sz="0" w:space="0" w:color="auto"/>
            <w:bottom w:val="none" w:sz="0" w:space="0" w:color="auto"/>
            <w:right w:val="none" w:sz="0" w:space="0" w:color="auto"/>
          </w:divBdr>
        </w:div>
        <w:div w:id="1826049107">
          <w:marLeft w:val="1166"/>
          <w:marRight w:val="0"/>
          <w:marTop w:val="115"/>
          <w:marBottom w:val="0"/>
          <w:divBdr>
            <w:top w:val="none" w:sz="0" w:space="0" w:color="auto"/>
            <w:left w:val="none" w:sz="0" w:space="0" w:color="auto"/>
            <w:bottom w:val="none" w:sz="0" w:space="0" w:color="auto"/>
            <w:right w:val="none" w:sz="0" w:space="0" w:color="auto"/>
          </w:divBdr>
        </w:div>
        <w:div w:id="1963685705">
          <w:marLeft w:val="547"/>
          <w:marRight w:val="0"/>
          <w:marTop w:val="134"/>
          <w:marBottom w:val="0"/>
          <w:divBdr>
            <w:top w:val="none" w:sz="0" w:space="0" w:color="auto"/>
            <w:left w:val="none" w:sz="0" w:space="0" w:color="auto"/>
            <w:bottom w:val="none" w:sz="0" w:space="0" w:color="auto"/>
            <w:right w:val="none" w:sz="0" w:space="0" w:color="auto"/>
          </w:divBdr>
        </w:div>
      </w:divsChild>
    </w:div>
    <w:div w:id="795298224">
      <w:bodyDiv w:val="1"/>
      <w:marLeft w:val="0"/>
      <w:marRight w:val="0"/>
      <w:marTop w:val="0"/>
      <w:marBottom w:val="0"/>
      <w:divBdr>
        <w:top w:val="none" w:sz="0" w:space="0" w:color="auto"/>
        <w:left w:val="none" w:sz="0" w:space="0" w:color="auto"/>
        <w:bottom w:val="none" w:sz="0" w:space="0" w:color="auto"/>
        <w:right w:val="none" w:sz="0" w:space="0" w:color="auto"/>
      </w:divBdr>
    </w:div>
    <w:div w:id="795678521">
      <w:bodyDiv w:val="1"/>
      <w:marLeft w:val="0"/>
      <w:marRight w:val="0"/>
      <w:marTop w:val="0"/>
      <w:marBottom w:val="0"/>
      <w:divBdr>
        <w:top w:val="none" w:sz="0" w:space="0" w:color="auto"/>
        <w:left w:val="none" w:sz="0" w:space="0" w:color="auto"/>
        <w:bottom w:val="none" w:sz="0" w:space="0" w:color="auto"/>
        <w:right w:val="none" w:sz="0" w:space="0" w:color="auto"/>
      </w:divBdr>
    </w:div>
    <w:div w:id="796417264">
      <w:bodyDiv w:val="1"/>
      <w:marLeft w:val="0"/>
      <w:marRight w:val="0"/>
      <w:marTop w:val="0"/>
      <w:marBottom w:val="0"/>
      <w:divBdr>
        <w:top w:val="none" w:sz="0" w:space="0" w:color="auto"/>
        <w:left w:val="none" w:sz="0" w:space="0" w:color="auto"/>
        <w:bottom w:val="none" w:sz="0" w:space="0" w:color="auto"/>
        <w:right w:val="none" w:sz="0" w:space="0" w:color="auto"/>
      </w:divBdr>
    </w:div>
    <w:div w:id="796992330">
      <w:bodyDiv w:val="1"/>
      <w:marLeft w:val="0"/>
      <w:marRight w:val="0"/>
      <w:marTop w:val="0"/>
      <w:marBottom w:val="0"/>
      <w:divBdr>
        <w:top w:val="none" w:sz="0" w:space="0" w:color="auto"/>
        <w:left w:val="none" w:sz="0" w:space="0" w:color="auto"/>
        <w:bottom w:val="none" w:sz="0" w:space="0" w:color="auto"/>
        <w:right w:val="none" w:sz="0" w:space="0" w:color="auto"/>
      </w:divBdr>
    </w:div>
    <w:div w:id="799106864">
      <w:bodyDiv w:val="1"/>
      <w:marLeft w:val="0"/>
      <w:marRight w:val="0"/>
      <w:marTop w:val="0"/>
      <w:marBottom w:val="0"/>
      <w:divBdr>
        <w:top w:val="none" w:sz="0" w:space="0" w:color="auto"/>
        <w:left w:val="none" w:sz="0" w:space="0" w:color="auto"/>
        <w:bottom w:val="none" w:sz="0" w:space="0" w:color="auto"/>
        <w:right w:val="none" w:sz="0" w:space="0" w:color="auto"/>
      </w:divBdr>
    </w:div>
    <w:div w:id="799148084">
      <w:bodyDiv w:val="1"/>
      <w:marLeft w:val="0"/>
      <w:marRight w:val="0"/>
      <w:marTop w:val="0"/>
      <w:marBottom w:val="0"/>
      <w:divBdr>
        <w:top w:val="none" w:sz="0" w:space="0" w:color="auto"/>
        <w:left w:val="none" w:sz="0" w:space="0" w:color="auto"/>
        <w:bottom w:val="none" w:sz="0" w:space="0" w:color="auto"/>
        <w:right w:val="none" w:sz="0" w:space="0" w:color="auto"/>
      </w:divBdr>
    </w:div>
    <w:div w:id="799416708">
      <w:bodyDiv w:val="1"/>
      <w:marLeft w:val="0"/>
      <w:marRight w:val="0"/>
      <w:marTop w:val="0"/>
      <w:marBottom w:val="0"/>
      <w:divBdr>
        <w:top w:val="none" w:sz="0" w:space="0" w:color="auto"/>
        <w:left w:val="none" w:sz="0" w:space="0" w:color="auto"/>
        <w:bottom w:val="none" w:sz="0" w:space="0" w:color="auto"/>
        <w:right w:val="none" w:sz="0" w:space="0" w:color="auto"/>
      </w:divBdr>
    </w:div>
    <w:div w:id="800001270">
      <w:bodyDiv w:val="1"/>
      <w:marLeft w:val="0"/>
      <w:marRight w:val="0"/>
      <w:marTop w:val="0"/>
      <w:marBottom w:val="0"/>
      <w:divBdr>
        <w:top w:val="none" w:sz="0" w:space="0" w:color="auto"/>
        <w:left w:val="none" w:sz="0" w:space="0" w:color="auto"/>
        <w:bottom w:val="none" w:sz="0" w:space="0" w:color="auto"/>
        <w:right w:val="none" w:sz="0" w:space="0" w:color="auto"/>
      </w:divBdr>
      <w:divsChild>
        <w:div w:id="1145077056">
          <w:marLeft w:val="0"/>
          <w:marRight w:val="0"/>
          <w:marTop w:val="0"/>
          <w:marBottom w:val="0"/>
          <w:divBdr>
            <w:top w:val="none" w:sz="0" w:space="0" w:color="auto"/>
            <w:left w:val="none" w:sz="0" w:space="0" w:color="auto"/>
            <w:bottom w:val="none" w:sz="0" w:space="0" w:color="auto"/>
            <w:right w:val="none" w:sz="0" w:space="0" w:color="auto"/>
          </w:divBdr>
          <w:divsChild>
            <w:div w:id="72435150">
              <w:marLeft w:val="0"/>
              <w:marRight w:val="0"/>
              <w:marTop w:val="0"/>
              <w:marBottom w:val="0"/>
              <w:divBdr>
                <w:top w:val="none" w:sz="0" w:space="0" w:color="auto"/>
                <w:left w:val="none" w:sz="0" w:space="0" w:color="auto"/>
                <w:bottom w:val="none" w:sz="0" w:space="0" w:color="auto"/>
                <w:right w:val="none" w:sz="0" w:space="0" w:color="auto"/>
              </w:divBdr>
            </w:div>
            <w:div w:id="232476555">
              <w:marLeft w:val="0"/>
              <w:marRight w:val="0"/>
              <w:marTop w:val="0"/>
              <w:marBottom w:val="0"/>
              <w:divBdr>
                <w:top w:val="none" w:sz="0" w:space="0" w:color="auto"/>
                <w:left w:val="none" w:sz="0" w:space="0" w:color="auto"/>
                <w:bottom w:val="none" w:sz="0" w:space="0" w:color="auto"/>
                <w:right w:val="none" w:sz="0" w:space="0" w:color="auto"/>
              </w:divBdr>
            </w:div>
            <w:div w:id="550923917">
              <w:marLeft w:val="0"/>
              <w:marRight w:val="0"/>
              <w:marTop w:val="0"/>
              <w:marBottom w:val="0"/>
              <w:divBdr>
                <w:top w:val="none" w:sz="0" w:space="0" w:color="auto"/>
                <w:left w:val="none" w:sz="0" w:space="0" w:color="auto"/>
                <w:bottom w:val="none" w:sz="0" w:space="0" w:color="auto"/>
                <w:right w:val="none" w:sz="0" w:space="0" w:color="auto"/>
              </w:divBdr>
            </w:div>
            <w:div w:id="666715680">
              <w:marLeft w:val="0"/>
              <w:marRight w:val="0"/>
              <w:marTop w:val="0"/>
              <w:marBottom w:val="0"/>
              <w:divBdr>
                <w:top w:val="none" w:sz="0" w:space="0" w:color="auto"/>
                <w:left w:val="none" w:sz="0" w:space="0" w:color="auto"/>
                <w:bottom w:val="none" w:sz="0" w:space="0" w:color="auto"/>
                <w:right w:val="none" w:sz="0" w:space="0" w:color="auto"/>
              </w:divBdr>
            </w:div>
            <w:div w:id="845898510">
              <w:marLeft w:val="0"/>
              <w:marRight w:val="0"/>
              <w:marTop w:val="0"/>
              <w:marBottom w:val="0"/>
              <w:divBdr>
                <w:top w:val="none" w:sz="0" w:space="0" w:color="auto"/>
                <w:left w:val="none" w:sz="0" w:space="0" w:color="auto"/>
                <w:bottom w:val="none" w:sz="0" w:space="0" w:color="auto"/>
                <w:right w:val="none" w:sz="0" w:space="0" w:color="auto"/>
              </w:divBdr>
            </w:div>
            <w:div w:id="954672688">
              <w:marLeft w:val="0"/>
              <w:marRight w:val="0"/>
              <w:marTop w:val="0"/>
              <w:marBottom w:val="0"/>
              <w:divBdr>
                <w:top w:val="none" w:sz="0" w:space="0" w:color="auto"/>
                <w:left w:val="none" w:sz="0" w:space="0" w:color="auto"/>
                <w:bottom w:val="none" w:sz="0" w:space="0" w:color="auto"/>
                <w:right w:val="none" w:sz="0" w:space="0" w:color="auto"/>
              </w:divBdr>
            </w:div>
            <w:div w:id="1136221238">
              <w:marLeft w:val="0"/>
              <w:marRight w:val="0"/>
              <w:marTop w:val="0"/>
              <w:marBottom w:val="0"/>
              <w:divBdr>
                <w:top w:val="none" w:sz="0" w:space="0" w:color="auto"/>
                <w:left w:val="none" w:sz="0" w:space="0" w:color="auto"/>
                <w:bottom w:val="none" w:sz="0" w:space="0" w:color="auto"/>
                <w:right w:val="none" w:sz="0" w:space="0" w:color="auto"/>
              </w:divBdr>
            </w:div>
            <w:div w:id="1367221915">
              <w:marLeft w:val="0"/>
              <w:marRight w:val="0"/>
              <w:marTop w:val="0"/>
              <w:marBottom w:val="0"/>
              <w:divBdr>
                <w:top w:val="none" w:sz="0" w:space="0" w:color="auto"/>
                <w:left w:val="none" w:sz="0" w:space="0" w:color="auto"/>
                <w:bottom w:val="none" w:sz="0" w:space="0" w:color="auto"/>
                <w:right w:val="none" w:sz="0" w:space="0" w:color="auto"/>
              </w:divBdr>
            </w:div>
            <w:div w:id="15557763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0030565">
      <w:bodyDiv w:val="1"/>
      <w:marLeft w:val="0"/>
      <w:marRight w:val="0"/>
      <w:marTop w:val="0"/>
      <w:marBottom w:val="0"/>
      <w:divBdr>
        <w:top w:val="none" w:sz="0" w:space="0" w:color="auto"/>
        <w:left w:val="none" w:sz="0" w:space="0" w:color="auto"/>
        <w:bottom w:val="none" w:sz="0" w:space="0" w:color="auto"/>
        <w:right w:val="none" w:sz="0" w:space="0" w:color="auto"/>
      </w:divBdr>
    </w:div>
    <w:div w:id="800535334">
      <w:bodyDiv w:val="1"/>
      <w:marLeft w:val="0"/>
      <w:marRight w:val="0"/>
      <w:marTop w:val="0"/>
      <w:marBottom w:val="0"/>
      <w:divBdr>
        <w:top w:val="none" w:sz="0" w:space="0" w:color="auto"/>
        <w:left w:val="none" w:sz="0" w:space="0" w:color="auto"/>
        <w:bottom w:val="none" w:sz="0" w:space="0" w:color="auto"/>
        <w:right w:val="none" w:sz="0" w:space="0" w:color="auto"/>
      </w:divBdr>
      <w:divsChild>
        <w:div w:id="215360799">
          <w:marLeft w:val="0"/>
          <w:marRight w:val="0"/>
          <w:marTop w:val="0"/>
          <w:marBottom w:val="0"/>
          <w:divBdr>
            <w:top w:val="none" w:sz="0" w:space="0" w:color="auto"/>
            <w:left w:val="none" w:sz="0" w:space="0" w:color="auto"/>
            <w:bottom w:val="none" w:sz="0" w:space="0" w:color="auto"/>
            <w:right w:val="none" w:sz="0" w:space="0" w:color="auto"/>
          </w:divBdr>
          <w:divsChild>
            <w:div w:id="61176052">
              <w:marLeft w:val="0"/>
              <w:marRight w:val="0"/>
              <w:marTop w:val="0"/>
              <w:marBottom w:val="0"/>
              <w:divBdr>
                <w:top w:val="none" w:sz="0" w:space="0" w:color="auto"/>
                <w:left w:val="none" w:sz="0" w:space="0" w:color="auto"/>
                <w:bottom w:val="none" w:sz="0" w:space="0" w:color="auto"/>
                <w:right w:val="none" w:sz="0" w:space="0" w:color="auto"/>
              </w:divBdr>
            </w:div>
            <w:div w:id="575868283">
              <w:marLeft w:val="0"/>
              <w:marRight w:val="0"/>
              <w:marTop w:val="0"/>
              <w:marBottom w:val="0"/>
              <w:divBdr>
                <w:top w:val="none" w:sz="0" w:space="0" w:color="auto"/>
                <w:left w:val="none" w:sz="0" w:space="0" w:color="auto"/>
                <w:bottom w:val="none" w:sz="0" w:space="0" w:color="auto"/>
                <w:right w:val="none" w:sz="0" w:space="0" w:color="auto"/>
              </w:divBdr>
            </w:div>
            <w:div w:id="653023068">
              <w:marLeft w:val="0"/>
              <w:marRight w:val="0"/>
              <w:marTop w:val="0"/>
              <w:marBottom w:val="0"/>
              <w:divBdr>
                <w:top w:val="none" w:sz="0" w:space="0" w:color="auto"/>
                <w:left w:val="none" w:sz="0" w:space="0" w:color="auto"/>
                <w:bottom w:val="none" w:sz="0" w:space="0" w:color="auto"/>
                <w:right w:val="none" w:sz="0" w:space="0" w:color="auto"/>
              </w:divBdr>
            </w:div>
            <w:div w:id="996298403">
              <w:marLeft w:val="0"/>
              <w:marRight w:val="0"/>
              <w:marTop w:val="0"/>
              <w:marBottom w:val="0"/>
              <w:divBdr>
                <w:top w:val="none" w:sz="0" w:space="0" w:color="auto"/>
                <w:left w:val="none" w:sz="0" w:space="0" w:color="auto"/>
                <w:bottom w:val="none" w:sz="0" w:space="0" w:color="auto"/>
                <w:right w:val="none" w:sz="0" w:space="0" w:color="auto"/>
              </w:divBdr>
            </w:div>
            <w:div w:id="1124926924">
              <w:marLeft w:val="0"/>
              <w:marRight w:val="0"/>
              <w:marTop w:val="0"/>
              <w:marBottom w:val="0"/>
              <w:divBdr>
                <w:top w:val="none" w:sz="0" w:space="0" w:color="auto"/>
                <w:left w:val="none" w:sz="0" w:space="0" w:color="auto"/>
                <w:bottom w:val="none" w:sz="0" w:space="0" w:color="auto"/>
                <w:right w:val="none" w:sz="0" w:space="0" w:color="auto"/>
              </w:divBdr>
            </w:div>
            <w:div w:id="1707900621">
              <w:marLeft w:val="0"/>
              <w:marRight w:val="0"/>
              <w:marTop w:val="0"/>
              <w:marBottom w:val="0"/>
              <w:divBdr>
                <w:top w:val="none" w:sz="0" w:space="0" w:color="auto"/>
                <w:left w:val="none" w:sz="0" w:space="0" w:color="auto"/>
                <w:bottom w:val="none" w:sz="0" w:space="0" w:color="auto"/>
                <w:right w:val="none" w:sz="0" w:space="0" w:color="auto"/>
              </w:divBdr>
            </w:div>
            <w:div w:id="1760104286">
              <w:marLeft w:val="0"/>
              <w:marRight w:val="0"/>
              <w:marTop w:val="0"/>
              <w:marBottom w:val="0"/>
              <w:divBdr>
                <w:top w:val="none" w:sz="0" w:space="0" w:color="auto"/>
                <w:left w:val="none" w:sz="0" w:space="0" w:color="auto"/>
                <w:bottom w:val="none" w:sz="0" w:space="0" w:color="auto"/>
                <w:right w:val="none" w:sz="0" w:space="0" w:color="auto"/>
              </w:divBdr>
            </w:div>
            <w:div w:id="1912693460">
              <w:marLeft w:val="0"/>
              <w:marRight w:val="0"/>
              <w:marTop w:val="0"/>
              <w:marBottom w:val="0"/>
              <w:divBdr>
                <w:top w:val="none" w:sz="0" w:space="0" w:color="auto"/>
                <w:left w:val="none" w:sz="0" w:space="0" w:color="auto"/>
                <w:bottom w:val="none" w:sz="0" w:space="0" w:color="auto"/>
                <w:right w:val="none" w:sz="0" w:space="0" w:color="auto"/>
              </w:divBdr>
            </w:div>
            <w:div w:id="20821004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0730441">
      <w:bodyDiv w:val="1"/>
      <w:marLeft w:val="0"/>
      <w:marRight w:val="0"/>
      <w:marTop w:val="0"/>
      <w:marBottom w:val="0"/>
      <w:divBdr>
        <w:top w:val="none" w:sz="0" w:space="0" w:color="auto"/>
        <w:left w:val="none" w:sz="0" w:space="0" w:color="auto"/>
        <w:bottom w:val="none" w:sz="0" w:space="0" w:color="auto"/>
        <w:right w:val="none" w:sz="0" w:space="0" w:color="auto"/>
      </w:divBdr>
    </w:div>
    <w:div w:id="801852811">
      <w:bodyDiv w:val="1"/>
      <w:marLeft w:val="0"/>
      <w:marRight w:val="0"/>
      <w:marTop w:val="0"/>
      <w:marBottom w:val="0"/>
      <w:divBdr>
        <w:top w:val="none" w:sz="0" w:space="0" w:color="auto"/>
        <w:left w:val="none" w:sz="0" w:space="0" w:color="auto"/>
        <w:bottom w:val="none" w:sz="0" w:space="0" w:color="auto"/>
        <w:right w:val="none" w:sz="0" w:space="0" w:color="auto"/>
      </w:divBdr>
    </w:div>
    <w:div w:id="802189386">
      <w:bodyDiv w:val="1"/>
      <w:marLeft w:val="0"/>
      <w:marRight w:val="0"/>
      <w:marTop w:val="0"/>
      <w:marBottom w:val="0"/>
      <w:divBdr>
        <w:top w:val="none" w:sz="0" w:space="0" w:color="auto"/>
        <w:left w:val="none" w:sz="0" w:space="0" w:color="auto"/>
        <w:bottom w:val="none" w:sz="0" w:space="0" w:color="auto"/>
        <w:right w:val="none" w:sz="0" w:space="0" w:color="auto"/>
      </w:divBdr>
    </w:div>
    <w:div w:id="802772175">
      <w:bodyDiv w:val="1"/>
      <w:marLeft w:val="0"/>
      <w:marRight w:val="0"/>
      <w:marTop w:val="0"/>
      <w:marBottom w:val="0"/>
      <w:divBdr>
        <w:top w:val="none" w:sz="0" w:space="0" w:color="auto"/>
        <w:left w:val="none" w:sz="0" w:space="0" w:color="auto"/>
        <w:bottom w:val="none" w:sz="0" w:space="0" w:color="auto"/>
        <w:right w:val="none" w:sz="0" w:space="0" w:color="auto"/>
      </w:divBdr>
    </w:div>
    <w:div w:id="802773360">
      <w:bodyDiv w:val="1"/>
      <w:marLeft w:val="0"/>
      <w:marRight w:val="0"/>
      <w:marTop w:val="0"/>
      <w:marBottom w:val="0"/>
      <w:divBdr>
        <w:top w:val="none" w:sz="0" w:space="0" w:color="auto"/>
        <w:left w:val="none" w:sz="0" w:space="0" w:color="auto"/>
        <w:bottom w:val="none" w:sz="0" w:space="0" w:color="auto"/>
        <w:right w:val="none" w:sz="0" w:space="0" w:color="auto"/>
      </w:divBdr>
    </w:div>
    <w:div w:id="802845729">
      <w:bodyDiv w:val="1"/>
      <w:marLeft w:val="0"/>
      <w:marRight w:val="0"/>
      <w:marTop w:val="0"/>
      <w:marBottom w:val="0"/>
      <w:divBdr>
        <w:top w:val="none" w:sz="0" w:space="0" w:color="auto"/>
        <w:left w:val="none" w:sz="0" w:space="0" w:color="auto"/>
        <w:bottom w:val="none" w:sz="0" w:space="0" w:color="auto"/>
        <w:right w:val="none" w:sz="0" w:space="0" w:color="auto"/>
      </w:divBdr>
    </w:div>
    <w:div w:id="803425468">
      <w:bodyDiv w:val="1"/>
      <w:marLeft w:val="0"/>
      <w:marRight w:val="0"/>
      <w:marTop w:val="0"/>
      <w:marBottom w:val="0"/>
      <w:divBdr>
        <w:top w:val="none" w:sz="0" w:space="0" w:color="auto"/>
        <w:left w:val="none" w:sz="0" w:space="0" w:color="auto"/>
        <w:bottom w:val="none" w:sz="0" w:space="0" w:color="auto"/>
        <w:right w:val="none" w:sz="0" w:space="0" w:color="auto"/>
      </w:divBdr>
    </w:div>
    <w:div w:id="803548541">
      <w:bodyDiv w:val="1"/>
      <w:marLeft w:val="0"/>
      <w:marRight w:val="0"/>
      <w:marTop w:val="0"/>
      <w:marBottom w:val="0"/>
      <w:divBdr>
        <w:top w:val="none" w:sz="0" w:space="0" w:color="auto"/>
        <w:left w:val="none" w:sz="0" w:space="0" w:color="auto"/>
        <w:bottom w:val="none" w:sz="0" w:space="0" w:color="auto"/>
        <w:right w:val="none" w:sz="0" w:space="0" w:color="auto"/>
      </w:divBdr>
      <w:divsChild>
        <w:div w:id="1722753618">
          <w:marLeft w:val="360"/>
          <w:marRight w:val="0"/>
          <w:marTop w:val="200"/>
          <w:marBottom w:val="0"/>
          <w:divBdr>
            <w:top w:val="none" w:sz="0" w:space="0" w:color="auto"/>
            <w:left w:val="none" w:sz="0" w:space="0" w:color="auto"/>
            <w:bottom w:val="none" w:sz="0" w:space="0" w:color="auto"/>
            <w:right w:val="none" w:sz="0" w:space="0" w:color="auto"/>
          </w:divBdr>
        </w:div>
      </w:divsChild>
    </w:div>
    <w:div w:id="803699901">
      <w:bodyDiv w:val="1"/>
      <w:marLeft w:val="0"/>
      <w:marRight w:val="0"/>
      <w:marTop w:val="0"/>
      <w:marBottom w:val="0"/>
      <w:divBdr>
        <w:top w:val="none" w:sz="0" w:space="0" w:color="auto"/>
        <w:left w:val="none" w:sz="0" w:space="0" w:color="auto"/>
        <w:bottom w:val="none" w:sz="0" w:space="0" w:color="auto"/>
        <w:right w:val="none" w:sz="0" w:space="0" w:color="auto"/>
      </w:divBdr>
    </w:div>
    <w:div w:id="803734930">
      <w:bodyDiv w:val="1"/>
      <w:marLeft w:val="0"/>
      <w:marRight w:val="0"/>
      <w:marTop w:val="0"/>
      <w:marBottom w:val="0"/>
      <w:divBdr>
        <w:top w:val="none" w:sz="0" w:space="0" w:color="auto"/>
        <w:left w:val="none" w:sz="0" w:space="0" w:color="auto"/>
        <w:bottom w:val="none" w:sz="0" w:space="0" w:color="auto"/>
        <w:right w:val="none" w:sz="0" w:space="0" w:color="auto"/>
      </w:divBdr>
    </w:div>
    <w:div w:id="805126774">
      <w:bodyDiv w:val="1"/>
      <w:marLeft w:val="0"/>
      <w:marRight w:val="0"/>
      <w:marTop w:val="0"/>
      <w:marBottom w:val="0"/>
      <w:divBdr>
        <w:top w:val="none" w:sz="0" w:space="0" w:color="auto"/>
        <w:left w:val="none" w:sz="0" w:space="0" w:color="auto"/>
        <w:bottom w:val="none" w:sz="0" w:space="0" w:color="auto"/>
        <w:right w:val="none" w:sz="0" w:space="0" w:color="auto"/>
      </w:divBdr>
    </w:div>
    <w:div w:id="805970303">
      <w:bodyDiv w:val="1"/>
      <w:marLeft w:val="0"/>
      <w:marRight w:val="0"/>
      <w:marTop w:val="0"/>
      <w:marBottom w:val="0"/>
      <w:divBdr>
        <w:top w:val="none" w:sz="0" w:space="0" w:color="auto"/>
        <w:left w:val="none" w:sz="0" w:space="0" w:color="auto"/>
        <w:bottom w:val="none" w:sz="0" w:space="0" w:color="auto"/>
        <w:right w:val="none" w:sz="0" w:space="0" w:color="auto"/>
      </w:divBdr>
    </w:div>
    <w:div w:id="806438955">
      <w:bodyDiv w:val="1"/>
      <w:marLeft w:val="0"/>
      <w:marRight w:val="0"/>
      <w:marTop w:val="0"/>
      <w:marBottom w:val="0"/>
      <w:divBdr>
        <w:top w:val="none" w:sz="0" w:space="0" w:color="auto"/>
        <w:left w:val="none" w:sz="0" w:space="0" w:color="auto"/>
        <w:bottom w:val="none" w:sz="0" w:space="0" w:color="auto"/>
        <w:right w:val="none" w:sz="0" w:space="0" w:color="auto"/>
      </w:divBdr>
      <w:divsChild>
        <w:div w:id="557328436">
          <w:marLeft w:val="547"/>
          <w:marRight w:val="0"/>
          <w:marTop w:val="134"/>
          <w:marBottom w:val="120"/>
          <w:divBdr>
            <w:top w:val="none" w:sz="0" w:space="0" w:color="auto"/>
            <w:left w:val="none" w:sz="0" w:space="0" w:color="auto"/>
            <w:bottom w:val="none" w:sz="0" w:space="0" w:color="auto"/>
            <w:right w:val="none" w:sz="0" w:space="0" w:color="auto"/>
          </w:divBdr>
        </w:div>
        <w:div w:id="702637603">
          <w:marLeft w:val="1166"/>
          <w:marRight w:val="0"/>
          <w:marTop w:val="115"/>
          <w:marBottom w:val="120"/>
          <w:divBdr>
            <w:top w:val="none" w:sz="0" w:space="0" w:color="auto"/>
            <w:left w:val="none" w:sz="0" w:space="0" w:color="auto"/>
            <w:bottom w:val="none" w:sz="0" w:space="0" w:color="auto"/>
            <w:right w:val="none" w:sz="0" w:space="0" w:color="auto"/>
          </w:divBdr>
        </w:div>
        <w:div w:id="1146627127">
          <w:marLeft w:val="1166"/>
          <w:marRight w:val="0"/>
          <w:marTop w:val="115"/>
          <w:marBottom w:val="120"/>
          <w:divBdr>
            <w:top w:val="none" w:sz="0" w:space="0" w:color="auto"/>
            <w:left w:val="none" w:sz="0" w:space="0" w:color="auto"/>
            <w:bottom w:val="none" w:sz="0" w:space="0" w:color="auto"/>
            <w:right w:val="none" w:sz="0" w:space="0" w:color="auto"/>
          </w:divBdr>
        </w:div>
        <w:div w:id="1694916312">
          <w:marLeft w:val="1166"/>
          <w:marRight w:val="0"/>
          <w:marTop w:val="115"/>
          <w:marBottom w:val="120"/>
          <w:divBdr>
            <w:top w:val="none" w:sz="0" w:space="0" w:color="auto"/>
            <w:left w:val="none" w:sz="0" w:space="0" w:color="auto"/>
            <w:bottom w:val="none" w:sz="0" w:space="0" w:color="auto"/>
            <w:right w:val="none" w:sz="0" w:space="0" w:color="auto"/>
          </w:divBdr>
        </w:div>
      </w:divsChild>
    </w:div>
    <w:div w:id="807281017">
      <w:bodyDiv w:val="1"/>
      <w:marLeft w:val="0"/>
      <w:marRight w:val="0"/>
      <w:marTop w:val="0"/>
      <w:marBottom w:val="0"/>
      <w:divBdr>
        <w:top w:val="none" w:sz="0" w:space="0" w:color="auto"/>
        <w:left w:val="none" w:sz="0" w:space="0" w:color="auto"/>
        <w:bottom w:val="none" w:sz="0" w:space="0" w:color="auto"/>
        <w:right w:val="none" w:sz="0" w:space="0" w:color="auto"/>
      </w:divBdr>
    </w:div>
    <w:div w:id="807479182">
      <w:bodyDiv w:val="1"/>
      <w:marLeft w:val="0"/>
      <w:marRight w:val="0"/>
      <w:marTop w:val="0"/>
      <w:marBottom w:val="0"/>
      <w:divBdr>
        <w:top w:val="none" w:sz="0" w:space="0" w:color="auto"/>
        <w:left w:val="none" w:sz="0" w:space="0" w:color="auto"/>
        <w:bottom w:val="none" w:sz="0" w:space="0" w:color="auto"/>
        <w:right w:val="none" w:sz="0" w:space="0" w:color="auto"/>
      </w:divBdr>
      <w:divsChild>
        <w:div w:id="16464324">
          <w:marLeft w:val="0"/>
          <w:marRight w:val="0"/>
          <w:marTop w:val="0"/>
          <w:marBottom w:val="0"/>
          <w:divBdr>
            <w:top w:val="none" w:sz="0" w:space="0" w:color="auto"/>
            <w:left w:val="none" w:sz="0" w:space="0" w:color="auto"/>
            <w:bottom w:val="none" w:sz="0" w:space="0" w:color="auto"/>
            <w:right w:val="none" w:sz="0" w:space="0" w:color="auto"/>
          </w:divBdr>
          <w:divsChild>
            <w:div w:id="374231065">
              <w:marLeft w:val="0"/>
              <w:marRight w:val="0"/>
              <w:marTop w:val="0"/>
              <w:marBottom w:val="0"/>
              <w:divBdr>
                <w:top w:val="none" w:sz="0" w:space="0" w:color="auto"/>
                <w:left w:val="none" w:sz="0" w:space="0" w:color="auto"/>
                <w:bottom w:val="none" w:sz="0" w:space="0" w:color="auto"/>
                <w:right w:val="none" w:sz="0" w:space="0" w:color="auto"/>
              </w:divBdr>
            </w:div>
            <w:div w:id="570773689">
              <w:marLeft w:val="0"/>
              <w:marRight w:val="0"/>
              <w:marTop w:val="0"/>
              <w:marBottom w:val="0"/>
              <w:divBdr>
                <w:top w:val="none" w:sz="0" w:space="0" w:color="auto"/>
                <w:left w:val="none" w:sz="0" w:space="0" w:color="auto"/>
                <w:bottom w:val="none" w:sz="0" w:space="0" w:color="auto"/>
                <w:right w:val="none" w:sz="0" w:space="0" w:color="auto"/>
              </w:divBdr>
            </w:div>
            <w:div w:id="924651598">
              <w:marLeft w:val="0"/>
              <w:marRight w:val="0"/>
              <w:marTop w:val="0"/>
              <w:marBottom w:val="0"/>
              <w:divBdr>
                <w:top w:val="none" w:sz="0" w:space="0" w:color="auto"/>
                <w:left w:val="none" w:sz="0" w:space="0" w:color="auto"/>
                <w:bottom w:val="none" w:sz="0" w:space="0" w:color="auto"/>
                <w:right w:val="none" w:sz="0" w:space="0" w:color="auto"/>
              </w:divBdr>
            </w:div>
            <w:div w:id="1586380589">
              <w:marLeft w:val="0"/>
              <w:marRight w:val="0"/>
              <w:marTop w:val="0"/>
              <w:marBottom w:val="0"/>
              <w:divBdr>
                <w:top w:val="none" w:sz="0" w:space="0" w:color="auto"/>
                <w:left w:val="none" w:sz="0" w:space="0" w:color="auto"/>
                <w:bottom w:val="none" w:sz="0" w:space="0" w:color="auto"/>
                <w:right w:val="none" w:sz="0" w:space="0" w:color="auto"/>
              </w:divBdr>
            </w:div>
            <w:div w:id="1832596797">
              <w:marLeft w:val="0"/>
              <w:marRight w:val="0"/>
              <w:marTop w:val="0"/>
              <w:marBottom w:val="0"/>
              <w:divBdr>
                <w:top w:val="none" w:sz="0" w:space="0" w:color="auto"/>
                <w:left w:val="none" w:sz="0" w:space="0" w:color="auto"/>
                <w:bottom w:val="none" w:sz="0" w:space="0" w:color="auto"/>
                <w:right w:val="none" w:sz="0" w:space="0" w:color="auto"/>
              </w:divBdr>
            </w:div>
            <w:div w:id="21417965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7549129">
      <w:bodyDiv w:val="1"/>
      <w:marLeft w:val="0"/>
      <w:marRight w:val="0"/>
      <w:marTop w:val="0"/>
      <w:marBottom w:val="0"/>
      <w:divBdr>
        <w:top w:val="none" w:sz="0" w:space="0" w:color="auto"/>
        <w:left w:val="none" w:sz="0" w:space="0" w:color="auto"/>
        <w:bottom w:val="none" w:sz="0" w:space="0" w:color="auto"/>
        <w:right w:val="none" w:sz="0" w:space="0" w:color="auto"/>
      </w:divBdr>
    </w:div>
    <w:div w:id="807741427">
      <w:bodyDiv w:val="1"/>
      <w:marLeft w:val="0"/>
      <w:marRight w:val="0"/>
      <w:marTop w:val="0"/>
      <w:marBottom w:val="0"/>
      <w:divBdr>
        <w:top w:val="none" w:sz="0" w:space="0" w:color="auto"/>
        <w:left w:val="none" w:sz="0" w:space="0" w:color="auto"/>
        <w:bottom w:val="none" w:sz="0" w:space="0" w:color="auto"/>
        <w:right w:val="none" w:sz="0" w:space="0" w:color="auto"/>
      </w:divBdr>
    </w:div>
    <w:div w:id="807747795">
      <w:bodyDiv w:val="1"/>
      <w:marLeft w:val="0"/>
      <w:marRight w:val="0"/>
      <w:marTop w:val="0"/>
      <w:marBottom w:val="0"/>
      <w:divBdr>
        <w:top w:val="none" w:sz="0" w:space="0" w:color="auto"/>
        <w:left w:val="none" w:sz="0" w:space="0" w:color="auto"/>
        <w:bottom w:val="none" w:sz="0" w:space="0" w:color="auto"/>
        <w:right w:val="none" w:sz="0" w:space="0" w:color="auto"/>
      </w:divBdr>
      <w:divsChild>
        <w:div w:id="244144182">
          <w:marLeft w:val="1166"/>
          <w:marRight w:val="0"/>
          <w:marTop w:val="134"/>
          <w:marBottom w:val="0"/>
          <w:divBdr>
            <w:top w:val="none" w:sz="0" w:space="0" w:color="auto"/>
            <w:left w:val="none" w:sz="0" w:space="0" w:color="auto"/>
            <w:bottom w:val="none" w:sz="0" w:space="0" w:color="auto"/>
            <w:right w:val="none" w:sz="0" w:space="0" w:color="auto"/>
          </w:divBdr>
        </w:div>
        <w:div w:id="409238028">
          <w:marLeft w:val="547"/>
          <w:marRight w:val="0"/>
          <w:marTop w:val="154"/>
          <w:marBottom w:val="0"/>
          <w:divBdr>
            <w:top w:val="none" w:sz="0" w:space="0" w:color="auto"/>
            <w:left w:val="none" w:sz="0" w:space="0" w:color="auto"/>
            <w:bottom w:val="none" w:sz="0" w:space="0" w:color="auto"/>
            <w:right w:val="none" w:sz="0" w:space="0" w:color="auto"/>
          </w:divBdr>
        </w:div>
        <w:div w:id="1511137732">
          <w:marLeft w:val="1166"/>
          <w:marRight w:val="0"/>
          <w:marTop w:val="134"/>
          <w:marBottom w:val="0"/>
          <w:divBdr>
            <w:top w:val="none" w:sz="0" w:space="0" w:color="auto"/>
            <w:left w:val="none" w:sz="0" w:space="0" w:color="auto"/>
            <w:bottom w:val="none" w:sz="0" w:space="0" w:color="auto"/>
            <w:right w:val="none" w:sz="0" w:space="0" w:color="auto"/>
          </w:divBdr>
        </w:div>
      </w:divsChild>
    </w:div>
    <w:div w:id="807939853">
      <w:bodyDiv w:val="1"/>
      <w:marLeft w:val="0"/>
      <w:marRight w:val="0"/>
      <w:marTop w:val="0"/>
      <w:marBottom w:val="0"/>
      <w:divBdr>
        <w:top w:val="none" w:sz="0" w:space="0" w:color="auto"/>
        <w:left w:val="none" w:sz="0" w:space="0" w:color="auto"/>
        <w:bottom w:val="none" w:sz="0" w:space="0" w:color="auto"/>
        <w:right w:val="none" w:sz="0" w:space="0" w:color="auto"/>
      </w:divBdr>
    </w:div>
    <w:div w:id="808131032">
      <w:bodyDiv w:val="1"/>
      <w:marLeft w:val="0"/>
      <w:marRight w:val="0"/>
      <w:marTop w:val="0"/>
      <w:marBottom w:val="0"/>
      <w:divBdr>
        <w:top w:val="none" w:sz="0" w:space="0" w:color="auto"/>
        <w:left w:val="none" w:sz="0" w:space="0" w:color="auto"/>
        <w:bottom w:val="none" w:sz="0" w:space="0" w:color="auto"/>
        <w:right w:val="none" w:sz="0" w:space="0" w:color="auto"/>
      </w:divBdr>
    </w:div>
    <w:div w:id="808790460">
      <w:bodyDiv w:val="1"/>
      <w:marLeft w:val="0"/>
      <w:marRight w:val="0"/>
      <w:marTop w:val="0"/>
      <w:marBottom w:val="0"/>
      <w:divBdr>
        <w:top w:val="none" w:sz="0" w:space="0" w:color="auto"/>
        <w:left w:val="none" w:sz="0" w:space="0" w:color="auto"/>
        <w:bottom w:val="none" w:sz="0" w:space="0" w:color="auto"/>
        <w:right w:val="none" w:sz="0" w:space="0" w:color="auto"/>
      </w:divBdr>
    </w:div>
    <w:div w:id="809134194">
      <w:bodyDiv w:val="1"/>
      <w:marLeft w:val="0"/>
      <w:marRight w:val="0"/>
      <w:marTop w:val="0"/>
      <w:marBottom w:val="0"/>
      <w:divBdr>
        <w:top w:val="none" w:sz="0" w:space="0" w:color="auto"/>
        <w:left w:val="none" w:sz="0" w:space="0" w:color="auto"/>
        <w:bottom w:val="none" w:sz="0" w:space="0" w:color="auto"/>
        <w:right w:val="none" w:sz="0" w:space="0" w:color="auto"/>
      </w:divBdr>
    </w:div>
    <w:div w:id="809598270">
      <w:bodyDiv w:val="1"/>
      <w:marLeft w:val="0"/>
      <w:marRight w:val="0"/>
      <w:marTop w:val="0"/>
      <w:marBottom w:val="0"/>
      <w:divBdr>
        <w:top w:val="none" w:sz="0" w:space="0" w:color="auto"/>
        <w:left w:val="none" w:sz="0" w:space="0" w:color="auto"/>
        <w:bottom w:val="none" w:sz="0" w:space="0" w:color="auto"/>
        <w:right w:val="none" w:sz="0" w:space="0" w:color="auto"/>
      </w:divBdr>
      <w:divsChild>
        <w:div w:id="599411440">
          <w:marLeft w:val="1166"/>
          <w:marRight w:val="0"/>
          <w:marTop w:val="125"/>
          <w:marBottom w:val="0"/>
          <w:divBdr>
            <w:top w:val="none" w:sz="0" w:space="0" w:color="auto"/>
            <w:left w:val="none" w:sz="0" w:space="0" w:color="auto"/>
            <w:bottom w:val="none" w:sz="0" w:space="0" w:color="auto"/>
            <w:right w:val="none" w:sz="0" w:space="0" w:color="auto"/>
          </w:divBdr>
        </w:div>
        <w:div w:id="704408794">
          <w:marLeft w:val="547"/>
          <w:marRight w:val="0"/>
          <w:marTop w:val="144"/>
          <w:marBottom w:val="0"/>
          <w:divBdr>
            <w:top w:val="none" w:sz="0" w:space="0" w:color="auto"/>
            <w:left w:val="none" w:sz="0" w:space="0" w:color="auto"/>
            <w:bottom w:val="none" w:sz="0" w:space="0" w:color="auto"/>
            <w:right w:val="none" w:sz="0" w:space="0" w:color="auto"/>
          </w:divBdr>
        </w:div>
        <w:div w:id="913971745">
          <w:marLeft w:val="547"/>
          <w:marRight w:val="0"/>
          <w:marTop w:val="144"/>
          <w:marBottom w:val="0"/>
          <w:divBdr>
            <w:top w:val="none" w:sz="0" w:space="0" w:color="auto"/>
            <w:left w:val="none" w:sz="0" w:space="0" w:color="auto"/>
            <w:bottom w:val="none" w:sz="0" w:space="0" w:color="auto"/>
            <w:right w:val="none" w:sz="0" w:space="0" w:color="auto"/>
          </w:divBdr>
        </w:div>
        <w:div w:id="1972906508">
          <w:marLeft w:val="1166"/>
          <w:marRight w:val="0"/>
          <w:marTop w:val="125"/>
          <w:marBottom w:val="0"/>
          <w:divBdr>
            <w:top w:val="none" w:sz="0" w:space="0" w:color="auto"/>
            <w:left w:val="none" w:sz="0" w:space="0" w:color="auto"/>
            <w:bottom w:val="none" w:sz="0" w:space="0" w:color="auto"/>
            <w:right w:val="none" w:sz="0" w:space="0" w:color="auto"/>
          </w:divBdr>
        </w:div>
      </w:divsChild>
    </w:div>
    <w:div w:id="809901408">
      <w:bodyDiv w:val="1"/>
      <w:marLeft w:val="0"/>
      <w:marRight w:val="0"/>
      <w:marTop w:val="0"/>
      <w:marBottom w:val="0"/>
      <w:divBdr>
        <w:top w:val="none" w:sz="0" w:space="0" w:color="auto"/>
        <w:left w:val="none" w:sz="0" w:space="0" w:color="auto"/>
        <w:bottom w:val="none" w:sz="0" w:space="0" w:color="auto"/>
        <w:right w:val="none" w:sz="0" w:space="0" w:color="auto"/>
      </w:divBdr>
    </w:div>
    <w:div w:id="809906846">
      <w:bodyDiv w:val="1"/>
      <w:marLeft w:val="0"/>
      <w:marRight w:val="0"/>
      <w:marTop w:val="0"/>
      <w:marBottom w:val="0"/>
      <w:divBdr>
        <w:top w:val="none" w:sz="0" w:space="0" w:color="auto"/>
        <w:left w:val="none" w:sz="0" w:space="0" w:color="auto"/>
        <w:bottom w:val="none" w:sz="0" w:space="0" w:color="auto"/>
        <w:right w:val="none" w:sz="0" w:space="0" w:color="auto"/>
      </w:divBdr>
    </w:div>
    <w:div w:id="810287909">
      <w:bodyDiv w:val="1"/>
      <w:marLeft w:val="0"/>
      <w:marRight w:val="0"/>
      <w:marTop w:val="0"/>
      <w:marBottom w:val="0"/>
      <w:divBdr>
        <w:top w:val="none" w:sz="0" w:space="0" w:color="auto"/>
        <w:left w:val="none" w:sz="0" w:space="0" w:color="auto"/>
        <w:bottom w:val="none" w:sz="0" w:space="0" w:color="auto"/>
        <w:right w:val="none" w:sz="0" w:space="0" w:color="auto"/>
      </w:divBdr>
    </w:div>
    <w:div w:id="810563237">
      <w:bodyDiv w:val="1"/>
      <w:marLeft w:val="0"/>
      <w:marRight w:val="0"/>
      <w:marTop w:val="0"/>
      <w:marBottom w:val="0"/>
      <w:divBdr>
        <w:top w:val="none" w:sz="0" w:space="0" w:color="auto"/>
        <w:left w:val="none" w:sz="0" w:space="0" w:color="auto"/>
        <w:bottom w:val="none" w:sz="0" w:space="0" w:color="auto"/>
        <w:right w:val="none" w:sz="0" w:space="0" w:color="auto"/>
      </w:divBdr>
    </w:div>
    <w:div w:id="815099816">
      <w:bodyDiv w:val="1"/>
      <w:marLeft w:val="0"/>
      <w:marRight w:val="0"/>
      <w:marTop w:val="0"/>
      <w:marBottom w:val="0"/>
      <w:divBdr>
        <w:top w:val="none" w:sz="0" w:space="0" w:color="auto"/>
        <w:left w:val="none" w:sz="0" w:space="0" w:color="auto"/>
        <w:bottom w:val="none" w:sz="0" w:space="0" w:color="auto"/>
        <w:right w:val="none" w:sz="0" w:space="0" w:color="auto"/>
      </w:divBdr>
    </w:div>
    <w:div w:id="815219918">
      <w:bodyDiv w:val="1"/>
      <w:marLeft w:val="0"/>
      <w:marRight w:val="0"/>
      <w:marTop w:val="0"/>
      <w:marBottom w:val="0"/>
      <w:divBdr>
        <w:top w:val="none" w:sz="0" w:space="0" w:color="auto"/>
        <w:left w:val="none" w:sz="0" w:space="0" w:color="auto"/>
        <w:bottom w:val="none" w:sz="0" w:space="0" w:color="auto"/>
        <w:right w:val="none" w:sz="0" w:space="0" w:color="auto"/>
      </w:divBdr>
    </w:div>
    <w:div w:id="816142489">
      <w:bodyDiv w:val="1"/>
      <w:marLeft w:val="0"/>
      <w:marRight w:val="0"/>
      <w:marTop w:val="0"/>
      <w:marBottom w:val="0"/>
      <w:divBdr>
        <w:top w:val="none" w:sz="0" w:space="0" w:color="auto"/>
        <w:left w:val="none" w:sz="0" w:space="0" w:color="auto"/>
        <w:bottom w:val="none" w:sz="0" w:space="0" w:color="auto"/>
        <w:right w:val="none" w:sz="0" w:space="0" w:color="auto"/>
      </w:divBdr>
    </w:div>
    <w:div w:id="817040480">
      <w:bodyDiv w:val="1"/>
      <w:marLeft w:val="0"/>
      <w:marRight w:val="0"/>
      <w:marTop w:val="0"/>
      <w:marBottom w:val="0"/>
      <w:divBdr>
        <w:top w:val="none" w:sz="0" w:space="0" w:color="auto"/>
        <w:left w:val="none" w:sz="0" w:space="0" w:color="auto"/>
        <w:bottom w:val="none" w:sz="0" w:space="0" w:color="auto"/>
        <w:right w:val="none" w:sz="0" w:space="0" w:color="auto"/>
      </w:divBdr>
    </w:div>
    <w:div w:id="817065416">
      <w:bodyDiv w:val="1"/>
      <w:marLeft w:val="0"/>
      <w:marRight w:val="0"/>
      <w:marTop w:val="0"/>
      <w:marBottom w:val="0"/>
      <w:divBdr>
        <w:top w:val="none" w:sz="0" w:space="0" w:color="auto"/>
        <w:left w:val="none" w:sz="0" w:space="0" w:color="auto"/>
        <w:bottom w:val="none" w:sz="0" w:space="0" w:color="auto"/>
        <w:right w:val="none" w:sz="0" w:space="0" w:color="auto"/>
      </w:divBdr>
    </w:div>
    <w:div w:id="817301535">
      <w:bodyDiv w:val="1"/>
      <w:marLeft w:val="0"/>
      <w:marRight w:val="0"/>
      <w:marTop w:val="0"/>
      <w:marBottom w:val="0"/>
      <w:divBdr>
        <w:top w:val="none" w:sz="0" w:space="0" w:color="auto"/>
        <w:left w:val="none" w:sz="0" w:space="0" w:color="auto"/>
        <w:bottom w:val="none" w:sz="0" w:space="0" w:color="auto"/>
        <w:right w:val="none" w:sz="0" w:space="0" w:color="auto"/>
      </w:divBdr>
    </w:div>
    <w:div w:id="818422109">
      <w:bodyDiv w:val="1"/>
      <w:marLeft w:val="0"/>
      <w:marRight w:val="0"/>
      <w:marTop w:val="0"/>
      <w:marBottom w:val="0"/>
      <w:divBdr>
        <w:top w:val="none" w:sz="0" w:space="0" w:color="auto"/>
        <w:left w:val="none" w:sz="0" w:space="0" w:color="auto"/>
        <w:bottom w:val="none" w:sz="0" w:space="0" w:color="auto"/>
        <w:right w:val="none" w:sz="0" w:space="0" w:color="auto"/>
      </w:divBdr>
      <w:divsChild>
        <w:div w:id="620042028">
          <w:marLeft w:val="850"/>
          <w:marRight w:val="0"/>
          <w:marTop w:val="77"/>
          <w:marBottom w:val="0"/>
          <w:divBdr>
            <w:top w:val="none" w:sz="0" w:space="0" w:color="auto"/>
            <w:left w:val="none" w:sz="0" w:space="0" w:color="auto"/>
            <w:bottom w:val="none" w:sz="0" w:space="0" w:color="auto"/>
            <w:right w:val="none" w:sz="0" w:space="0" w:color="auto"/>
          </w:divBdr>
        </w:div>
        <w:div w:id="679088133">
          <w:marLeft w:val="432"/>
          <w:marRight w:val="0"/>
          <w:marTop w:val="86"/>
          <w:marBottom w:val="0"/>
          <w:divBdr>
            <w:top w:val="none" w:sz="0" w:space="0" w:color="auto"/>
            <w:left w:val="none" w:sz="0" w:space="0" w:color="auto"/>
            <w:bottom w:val="none" w:sz="0" w:space="0" w:color="auto"/>
            <w:right w:val="none" w:sz="0" w:space="0" w:color="auto"/>
          </w:divBdr>
        </w:div>
        <w:div w:id="867716627">
          <w:marLeft w:val="850"/>
          <w:marRight w:val="0"/>
          <w:marTop w:val="77"/>
          <w:marBottom w:val="0"/>
          <w:divBdr>
            <w:top w:val="none" w:sz="0" w:space="0" w:color="auto"/>
            <w:left w:val="none" w:sz="0" w:space="0" w:color="auto"/>
            <w:bottom w:val="none" w:sz="0" w:space="0" w:color="auto"/>
            <w:right w:val="none" w:sz="0" w:space="0" w:color="auto"/>
          </w:divBdr>
        </w:div>
        <w:div w:id="968128710">
          <w:marLeft w:val="432"/>
          <w:marRight w:val="0"/>
          <w:marTop w:val="86"/>
          <w:marBottom w:val="0"/>
          <w:divBdr>
            <w:top w:val="none" w:sz="0" w:space="0" w:color="auto"/>
            <w:left w:val="none" w:sz="0" w:space="0" w:color="auto"/>
            <w:bottom w:val="none" w:sz="0" w:space="0" w:color="auto"/>
            <w:right w:val="none" w:sz="0" w:space="0" w:color="auto"/>
          </w:divBdr>
        </w:div>
        <w:div w:id="1251543519">
          <w:marLeft w:val="850"/>
          <w:marRight w:val="0"/>
          <w:marTop w:val="77"/>
          <w:marBottom w:val="0"/>
          <w:divBdr>
            <w:top w:val="none" w:sz="0" w:space="0" w:color="auto"/>
            <w:left w:val="none" w:sz="0" w:space="0" w:color="auto"/>
            <w:bottom w:val="none" w:sz="0" w:space="0" w:color="auto"/>
            <w:right w:val="none" w:sz="0" w:space="0" w:color="auto"/>
          </w:divBdr>
        </w:div>
        <w:div w:id="1440875579">
          <w:marLeft w:val="850"/>
          <w:marRight w:val="0"/>
          <w:marTop w:val="77"/>
          <w:marBottom w:val="0"/>
          <w:divBdr>
            <w:top w:val="none" w:sz="0" w:space="0" w:color="auto"/>
            <w:left w:val="none" w:sz="0" w:space="0" w:color="auto"/>
            <w:bottom w:val="none" w:sz="0" w:space="0" w:color="auto"/>
            <w:right w:val="none" w:sz="0" w:space="0" w:color="auto"/>
          </w:divBdr>
        </w:div>
        <w:div w:id="1746875987">
          <w:marLeft w:val="850"/>
          <w:marRight w:val="0"/>
          <w:marTop w:val="77"/>
          <w:marBottom w:val="0"/>
          <w:divBdr>
            <w:top w:val="none" w:sz="0" w:space="0" w:color="auto"/>
            <w:left w:val="none" w:sz="0" w:space="0" w:color="auto"/>
            <w:bottom w:val="none" w:sz="0" w:space="0" w:color="auto"/>
            <w:right w:val="none" w:sz="0" w:space="0" w:color="auto"/>
          </w:divBdr>
        </w:div>
        <w:div w:id="1786073474">
          <w:marLeft w:val="850"/>
          <w:marRight w:val="0"/>
          <w:marTop w:val="77"/>
          <w:marBottom w:val="0"/>
          <w:divBdr>
            <w:top w:val="none" w:sz="0" w:space="0" w:color="auto"/>
            <w:left w:val="none" w:sz="0" w:space="0" w:color="auto"/>
            <w:bottom w:val="none" w:sz="0" w:space="0" w:color="auto"/>
            <w:right w:val="none" w:sz="0" w:space="0" w:color="auto"/>
          </w:divBdr>
        </w:div>
        <w:div w:id="1982610982">
          <w:marLeft w:val="432"/>
          <w:marRight w:val="0"/>
          <w:marTop w:val="86"/>
          <w:marBottom w:val="0"/>
          <w:divBdr>
            <w:top w:val="none" w:sz="0" w:space="0" w:color="auto"/>
            <w:left w:val="none" w:sz="0" w:space="0" w:color="auto"/>
            <w:bottom w:val="none" w:sz="0" w:space="0" w:color="auto"/>
            <w:right w:val="none" w:sz="0" w:space="0" w:color="auto"/>
          </w:divBdr>
        </w:div>
        <w:div w:id="2139882431">
          <w:marLeft w:val="850"/>
          <w:marRight w:val="0"/>
          <w:marTop w:val="77"/>
          <w:marBottom w:val="0"/>
          <w:divBdr>
            <w:top w:val="none" w:sz="0" w:space="0" w:color="auto"/>
            <w:left w:val="none" w:sz="0" w:space="0" w:color="auto"/>
            <w:bottom w:val="none" w:sz="0" w:space="0" w:color="auto"/>
            <w:right w:val="none" w:sz="0" w:space="0" w:color="auto"/>
          </w:divBdr>
        </w:div>
      </w:divsChild>
    </w:div>
    <w:div w:id="818887283">
      <w:bodyDiv w:val="1"/>
      <w:marLeft w:val="0"/>
      <w:marRight w:val="0"/>
      <w:marTop w:val="0"/>
      <w:marBottom w:val="0"/>
      <w:divBdr>
        <w:top w:val="none" w:sz="0" w:space="0" w:color="auto"/>
        <w:left w:val="none" w:sz="0" w:space="0" w:color="auto"/>
        <w:bottom w:val="none" w:sz="0" w:space="0" w:color="auto"/>
        <w:right w:val="none" w:sz="0" w:space="0" w:color="auto"/>
      </w:divBdr>
    </w:div>
    <w:div w:id="821504157">
      <w:bodyDiv w:val="1"/>
      <w:marLeft w:val="0"/>
      <w:marRight w:val="0"/>
      <w:marTop w:val="0"/>
      <w:marBottom w:val="0"/>
      <w:divBdr>
        <w:top w:val="none" w:sz="0" w:space="0" w:color="auto"/>
        <w:left w:val="none" w:sz="0" w:space="0" w:color="auto"/>
        <w:bottom w:val="none" w:sz="0" w:space="0" w:color="auto"/>
        <w:right w:val="none" w:sz="0" w:space="0" w:color="auto"/>
      </w:divBdr>
      <w:divsChild>
        <w:div w:id="102923714">
          <w:marLeft w:val="1166"/>
          <w:marRight w:val="0"/>
          <w:marTop w:val="106"/>
          <w:marBottom w:val="0"/>
          <w:divBdr>
            <w:top w:val="none" w:sz="0" w:space="0" w:color="auto"/>
            <w:left w:val="none" w:sz="0" w:space="0" w:color="auto"/>
            <w:bottom w:val="none" w:sz="0" w:space="0" w:color="auto"/>
            <w:right w:val="none" w:sz="0" w:space="0" w:color="auto"/>
          </w:divBdr>
        </w:div>
        <w:div w:id="369763154">
          <w:marLeft w:val="1166"/>
          <w:marRight w:val="0"/>
          <w:marTop w:val="106"/>
          <w:marBottom w:val="0"/>
          <w:divBdr>
            <w:top w:val="none" w:sz="0" w:space="0" w:color="auto"/>
            <w:left w:val="none" w:sz="0" w:space="0" w:color="auto"/>
            <w:bottom w:val="none" w:sz="0" w:space="0" w:color="auto"/>
            <w:right w:val="none" w:sz="0" w:space="0" w:color="auto"/>
          </w:divBdr>
        </w:div>
        <w:div w:id="511182520">
          <w:marLeft w:val="1166"/>
          <w:marRight w:val="0"/>
          <w:marTop w:val="106"/>
          <w:marBottom w:val="0"/>
          <w:divBdr>
            <w:top w:val="none" w:sz="0" w:space="0" w:color="auto"/>
            <w:left w:val="none" w:sz="0" w:space="0" w:color="auto"/>
            <w:bottom w:val="none" w:sz="0" w:space="0" w:color="auto"/>
            <w:right w:val="none" w:sz="0" w:space="0" w:color="auto"/>
          </w:divBdr>
        </w:div>
        <w:div w:id="553780170">
          <w:marLeft w:val="1800"/>
          <w:marRight w:val="0"/>
          <w:marTop w:val="96"/>
          <w:marBottom w:val="0"/>
          <w:divBdr>
            <w:top w:val="none" w:sz="0" w:space="0" w:color="auto"/>
            <w:left w:val="none" w:sz="0" w:space="0" w:color="auto"/>
            <w:bottom w:val="none" w:sz="0" w:space="0" w:color="auto"/>
            <w:right w:val="none" w:sz="0" w:space="0" w:color="auto"/>
          </w:divBdr>
        </w:div>
        <w:div w:id="637026983">
          <w:marLeft w:val="1800"/>
          <w:marRight w:val="0"/>
          <w:marTop w:val="96"/>
          <w:marBottom w:val="0"/>
          <w:divBdr>
            <w:top w:val="none" w:sz="0" w:space="0" w:color="auto"/>
            <w:left w:val="none" w:sz="0" w:space="0" w:color="auto"/>
            <w:bottom w:val="none" w:sz="0" w:space="0" w:color="auto"/>
            <w:right w:val="none" w:sz="0" w:space="0" w:color="auto"/>
          </w:divBdr>
        </w:div>
        <w:div w:id="1009792922">
          <w:marLeft w:val="1166"/>
          <w:marRight w:val="0"/>
          <w:marTop w:val="106"/>
          <w:marBottom w:val="0"/>
          <w:divBdr>
            <w:top w:val="none" w:sz="0" w:space="0" w:color="auto"/>
            <w:left w:val="none" w:sz="0" w:space="0" w:color="auto"/>
            <w:bottom w:val="none" w:sz="0" w:space="0" w:color="auto"/>
            <w:right w:val="none" w:sz="0" w:space="0" w:color="auto"/>
          </w:divBdr>
        </w:div>
        <w:div w:id="1044793019">
          <w:marLeft w:val="1800"/>
          <w:marRight w:val="0"/>
          <w:marTop w:val="96"/>
          <w:marBottom w:val="0"/>
          <w:divBdr>
            <w:top w:val="none" w:sz="0" w:space="0" w:color="auto"/>
            <w:left w:val="none" w:sz="0" w:space="0" w:color="auto"/>
            <w:bottom w:val="none" w:sz="0" w:space="0" w:color="auto"/>
            <w:right w:val="none" w:sz="0" w:space="0" w:color="auto"/>
          </w:divBdr>
        </w:div>
        <w:div w:id="1464999771">
          <w:marLeft w:val="1800"/>
          <w:marRight w:val="0"/>
          <w:marTop w:val="96"/>
          <w:marBottom w:val="0"/>
          <w:divBdr>
            <w:top w:val="none" w:sz="0" w:space="0" w:color="auto"/>
            <w:left w:val="none" w:sz="0" w:space="0" w:color="auto"/>
            <w:bottom w:val="none" w:sz="0" w:space="0" w:color="auto"/>
            <w:right w:val="none" w:sz="0" w:space="0" w:color="auto"/>
          </w:divBdr>
        </w:div>
        <w:div w:id="1485273386">
          <w:marLeft w:val="1800"/>
          <w:marRight w:val="0"/>
          <w:marTop w:val="96"/>
          <w:marBottom w:val="0"/>
          <w:divBdr>
            <w:top w:val="none" w:sz="0" w:space="0" w:color="auto"/>
            <w:left w:val="none" w:sz="0" w:space="0" w:color="auto"/>
            <w:bottom w:val="none" w:sz="0" w:space="0" w:color="auto"/>
            <w:right w:val="none" w:sz="0" w:space="0" w:color="auto"/>
          </w:divBdr>
        </w:div>
        <w:div w:id="1667436875">
          <w:marLeft w:val="1800"/>
          <w:marRight w:val="0"/>
          <w:marTop w:val="96"/>
          <w:marBottom w:val="0"/>
          <w:divBdr>
            <w:top w:val="none" w:sz="0" w:space="0" w:color="auto"/>
            <w:left w:val="none" w:sz="0" w:space="0" w:color="auto"/>
            <w:bottom w:val="none" w:sz="0" w:space="0" w:color="auto"/>
            <w:right w:val="none" w:sz="0" w:space="0" w:color="auto"/>
          </w:divBdr>
        </w:div>
        <w:div w:id="1730492106">
          <w:marLeft w:val="547"/>
          <w:marRight w:val="0"/>
          <w:marTop w:val="0"/>
          <w:marBottom w:val="0"/>
          <w:divBdr>
            <w:top w:val="none" w:sz="0" w:space="0" w:color="auto"/>
            <w:left w:val="none" w:sz="0" w:space="0" w:color="auto"/>
            <w:bottom w:val="none" w:sz="0" w:space="0" w:color="auto"/>
            <w:right w:val="none" w:sz="0" w:space="0" w:color="auto"/>
          </w:divBdr>
        </w:div>
        <w:div w:id="1967546713">
          <w:marLeft w:val="1800"/>
          <w:marRight w:val="0"/>
          <w:marTop w:val="96"/>
          <w:marBottom w:val="0"/>
          <w:divBdr>
            <w:top w:val="none" w:sz="0" w:space="0" w:color="auto"/>
            <w:left w:val="none" w:sz="0" w:space="0" w:color="auto"/>
            <w:bottom w:val="none" w:sz="0" w:space="0" w:color="auto"/>
            <w:right w:val="none" w:sz="0" w:space="0" w:color="auto"/>
          </w:divBdr>
        </w:div>
      </w:divsChild>
    </w:div>
    <w:div w:id="821771333">
      <w:bodyDiv w:val="1"/>
      <w:marLeft w:val="0"/>
      <w:marRight w:val="0"/>
      <w:marTop w:val="0"/>
      <w:marBottom w:val="0"/>
      <w:divBdr>
        <w:top w:val="none" w:sz="0" w:space="0" w:color="auto"/>
        <w:left w:val="none" w:sz="0" w:space="0" w:color="auto"/>
        <w:bottom w:val="none" w:sz="0" w:space="0" w:color="auto"/>
        <w:right w:val="none" w:sz="0" w:space="0" w:color="auto"/>
      </w:divBdr>
    </w:div>
    <w:div w:id="823164362">
      <w:bodyDiv w:val="1"/>
      <w:marLeft w:val="0"/>
      <w:marRight w:val="0"/>
      <w:marTop w:val="0"/>
      <w:marBottom w:val="0"/>
      <w:divBdr>
        <w:top w:val="none" w:sz="0" w:space="0" w:color="auto"/>
        <w:left w:val="none" w:sz="0" w:space="0" w:color="auto"/>
        <w:bottom w:val="none" w:sz="0" w:space="0" w:color="auto"/>
        <w:right w:val="none" w:sz="0" w:space="0" w:color="auto"/>
      </w:divBdr>
    </w:div>
    <w:div w:id="824054522">
      <w:bodyDiv w:val="1"/>
      <w:marLeft w:val="0"/>
      <w:marRight w:val="0"/>
      <w:marTop w:val="0"/>
      <w:marBottom w:val="0"/>
      <w:divBdr>
        <w:top w:val="none" w:sz="0" w:space="0" w:color="auto"/>
        <w:left w:val="none" w:sz="0" w:space="0" w:color="auto"/>
        <w:bottom w:val="none" w:sz="0" w:space="0" w:color="auto"/>
        <w:right w:val="none" w:sz="0" w:space="0" w:color="auto"/>
      </w:divBdr>
    </w:div>
    <w:div w:id="824123718">
      <w:bodyDiv w:val="1"/>
      <w:marLeft w:val="0"/>
      <w:marRight w:val="0"/>
      <w:marTop w:val="0"/>
      <w:marBottom w:val="0"/>
      <w:divBdr>
        <w:top w:val="none" w:sz="0" w:space="0" w:color="auto"/>
        <w:left w:val="none" w:sz="0" w:space="0" w:color="auto"/>
        <w:bottom w:val="none" w:sz="0" w:space="0" w:color="auto"/>
        <w:right w:val="none" w:sz="0" w:space="0" w:color="auto"/>
      </w:divBdr>
      <w:divsChild>
        <w:div w:id="140971465">
          <w:marLeft w:val="1166"/>
          <w:marRight w:val="0"/>
          <w:marTop w:val="96"/>
          <w:marBottom w:val="0"/>
          <w:divBdr>
            <w:top w:val="none" w:sz="0" w:space="0" w:color="auto"/>
            <w:left w:val="none" w:sz="0" w:space="0" w:color="auto"/>
            <w:bottom w:val="none" w:sz="0" w:space="0" w:color="auto"/>
            <w:right w:val="none" w:sz="0" w:space="0" w:color="auto"/>
          </w:divBdr>
        </w:div>
        <w:div w:id="279533008">
          <w:marLeft w:val="1800"/>
          <w:marRight w:val="0"/>
          <w:marTop w:val="86"/>
          <w:marBottom w:val="0"/>
          <w:divBdr>
            <w:top w:val="none" w:sz="0" w:space="0" w:color="auto"/>
            <w:left w:val="none" w:sz="0" w:space="0" w:color="auto"/>
            <w:bottom w:val="none" w:sz="0" w:space="0" w:color="auto"/>
            <w:right w:val="none" w:sz="0" w:space="0" w:color="auto"/>
          </w:divBdr>
        </w:div>
        <w:div w:id="376009851">
          <w:marLeft w:val="1166"/>
          <w:marRight w:val="0"/>
          <w:marTop w:val="96"/>
          <w:marBottom w:val="0"/>
          <w:divBdr>
            <w:top w:val="none" w:sz="0" w:space="0" w:color="auto"/>
            <w:left w:val="none" w:sz="0" w:space="0" w:color="auto"/>
            <w:bottom w:val="none" w:sz="0" w:space="0" w:color="auto"/>
            <w:right w:val="none" w:sz="0" w:space="0" w:color="auto"/>
          </w:divBdr>
        </w:div>
        <w:div w:id="686759842">
          <w:marLeft w:val="1166"/>
          <w:marRight w:val="0"/>
          <w:marTop w:val="96"/>
          <w:marBottom w:val="0"/>
          <w:divBdr>
            <w:top w:val="none" w:sz="0" w:space="0" w:color="auto"/>
            <w:left w:val="none" w:sz="0" w:space="0" w:color="auto"/>
            <w:bottom w:val="none" w:sz="0" w:space="0" w:color="auto"/>
            <w:right w:val="none" w:sz="0" w:space="0" w:color="auto"/>
          </w:divBdr>
        </w:div>
        <w:div w:id="1010328350">
          <w:marLeft w:val="1800"/>
          <w:marRight w:val="0"/>
          <w:marTop w:val="86"/>
          <w:marBottom w:val="0"/>
          <w:divBdr>
            <w:top w:val="none" w:sz="0" w:space="0" w:color="auto"/>
            <w:left w:val="none" w:sz="0" w:space="0" w:color="auto"/>
            <w:bottom w:val="none" w:sz="0" w:space="0" w:color="auto"/>
            <w:right w:val="none" w:sz="0" w:space="0" w:color="auto"/>
          </w:divBdr>
        </w:div>
        <w:div w:id="1036589569">
          <w:marLeft w:val="1166"/>
          <w:marRight w:val="0"/>
          <w:marTop w:val="96"/>
          <w:marBottom w:val="0"/>
          <w:divBdr>
            <w:top w:val="none" w:sz="0" w:space="0" w:color="auto"/>
            <w:left w:val="none" w:sz="0" w:space="0" w:color="auto"/>
            <w:bottom w:val="none" w:sz="0" w:space="0" w:color="auto"/>
            <w:right w:val="none" w:sz="0" w:space="0" w:color="auto"/>
          </w:divBdr>
        </w:div>
        <w:div w:id="1138492324">
          <w:marLeft w:val="1800"/>
          <w:marRight w:val="0"/>
          <w:marTop w:val="86"/>
          <w:marBottom w:val="0"/>
          <w:divBdr>
            <w:top w:val="none" w:sz="0" w:space="0" w:color="auto"/>
            <w:left w:val="none" w:sz="0" w:space="0" w:color="auto"/>
            <w:bottom w:val="none" w:sz="0" w:space="0" w:color="auto"/>
            <w:right w:val="none" w:sz="0" w:space="0" w:color="auto"/>
          </w:divBdr>
        </w:div>
        <w:div w:id="1887258891">
          <w:marLeft w:val="1800"/>
          <w:marRight w:val="0"/>
          <w:marTop w:val="86"/>
          <w:marBottom w:val="0"/>
          <w:divBdr>
            <w:top w:val="none" w:sz="0" w:space="0" w:color="auto"/>
            <w:left w:val="none" w:sz="0" w:space="0" w:color="auto"/>
            <w:bottom w:val="none" w:sz="0" w:space="0" w:color="auto"/>
            <w:right w:val="none" w:sz="0" w:space="0" w:color="auto"/>
          </w:divBdr>
        </w:div>
        <w:div w:id="1920747474">
          <w:marLeft w:val="1800"/>
          <w:marRight w:val="0"/>
          <w:marTop w:val="86"/>
          <w:marBottom w:val="0"/>
          <w:divBdr>
            <w:top w:val="none" w:sz="0" w:space="0" w:color="auto"/>
            <w:left w:val="none" w:sz="0" w:space="0" w:color="auto"/>
            <w:bottom w:val="none" w:sz="0" w:space="0" w:color="auto"/>
            <w:right w:val="none" w:sz="0" w:space="0" w:color="auto"/>
          </w:divBdr>
        </w:div>
      </w:divsChild>
    </w:div>
    <w:div w:id="824322954">
      <w:bodyDiv w:val="1"/>
      <w:marLeft w:val="0"/>
      <w:marRight w:val="0"/>
      <w:marTop w:val="0"/>
      <w:marBottom w:val="0"/>
      <w:divBdr>
        <w:top w:val="none" w:sz="0" w:space="0" w:color="auto"/>
        <w:left w:val="none" w:sz="0" w:space="0" w:color="auto"/>
        <w:bottom w:val="none" w:sz="0" w:space="0" w:color="auto"/>
        <w:right w:val="none" w:sz="0" w:space="0" w:color="auto"/>
      </w:divBdr>
      <w:divsChild>
        <w:div w:id="305546644">
          <w:marLeft w:val="547"/>
          <w:marRight w:val="0"/>
          <w:marTop w:val="115"/>
          <w:marBottom w:val="0"/>
          <w:divBdr>
            <w:top w:val="none" w:sz="0" w:space="0" w:color="auto"/>
            <w:left w:val="none" w:sz="0" w:space="0" w:color="auto"/>
            <w:bottom w:val="none" w:sz="0" w:space="0" w:color="auto"/>
            <w:right w:val="none" w:sz="0" w:space="0" w:color="auto"/>
          </w:divBdr>
        </w:div>
        <w:div w:id="856697056">
          <w:marLeft w:val="547"/>
          <w:marRight w:val="0"/>
          <w:marTop w:val="115"/>
          <w:marBottom w:val="0"/>
          <w:divBdr>
            <w:top w:val="none" w:sz="0" w:space="0" w:color="auto"/>
            <w:left w:val="none" w:sz="0" w:space="0" w:color="auto"/>
            <w:bottom w:val="none" w:sz="0" w:space="0" w:color="auto"/>
            <w:right w:val="none" w:sz="0" w:space="0" w:color="auto"/>
          </w:divBdr>
        </w:div>
        <w:div w:id="894311806">
          <w:marLeft w:val="547"/>
          <w:marRight w:val="0"/>
          <w:marTop w:val="115"/>
          <w:marBottom w:val="0"/>
          <w:divBdr>
            <w:top w:val="none" w:sz="0" w:space="0" w:color="auto"/>
            <w:left w:val="none" w:sz="0" w:space="0" w:color="auto"/>
            <w:bottom w:val="none" w:sz="0" w:space="0" w:color="auto"/>
            <w:right w:val="none" w:sz="0" w:space="0" w:color="auto"/>
          </w:divBdr>
        </w:div>
        <w:div w:id="971520353">
          <w:marLeft w:val="547"/>
          <w:marRight w:val="0"/>
          <w:marTop w:val="115"/>
          <w:marBottom w:val="0"/>
          <w:divBdr>
            <w:top w:val="none" w:sz="0" w:space="0" w:color="auto"/>
            <w:left w:val="none" w:sz="0" w:space="0" w:color="auto"/>
            <w:bottom w:val="none" w:sz="0" w:space="0" w:color="auto"/>
            <w:right w:val="none" w:sz="0" w:space="0" w:color="auto"/>
          </w:divBdr>
        </w:div>
        <w:div w:id="1221986041">
          <w:marLeft w:val="1166"/>
          <w:marRight w:val="0"/>
          <w:marTop w:val="96"/>
          <w:marBottom w:val="0"/>
          <w:divBdr>
            <w:top w:val="none" w:sz="0" w:space="0" w:color="auto"/>
            <w:left w:val="none" w:sz="0" w:space="0" w:color="auto"/>
            <w:bottom w:val="none" w:sz="0" w:space="0" w:color="auto"/>
            <w:right w:val="none" w:sz="0" w:space="0" w:color="auto"/>
          </w:divBdr>
        </w:div>
        <w:div w:id="1603302269">
          <w:marLeft w:val="1166"/>
          <w:marRight w:val="0"/>
          <w:marTop w:val="96"/>
          <w:marBottom w:val="0"/>
          <w:divBdr>
            <w:top w:val="none" w:sz="0" w:space="0" w:color="auto"/>
            <w:left w:val="none" w:sz="0" w:space="0" w:color="auto"/>
            <w:bottom w:val="none" w:sz="0" w:space="0" w:color="auto"/>
            <w:right w:val="none" w:sz="0" w:space="0" w:color="auto"/>
          </w:divBdr>
        </w:div>
      </w:divsChild>
    </w:div>
    <w:div w:id="824933342">
      <w:bodyDiv w:val="1"/>
      <w:marLeft w:val="0"/>
      <w:marRight w:val="0"/>
      <w:marTop w:val="0"/>
      <w:marBottom w:val="0"/>
      <w:divBdr>
        <w:top w:val="none" w:sz="0" w:space="0" w:color="auto"/>
        <w:left w:val="none" w:sz="0" w:space="0" w:color="auto"/>
        <w:bottom w:val="none" w:sz="0" w:space="0" w:color="auto"/>
        <w:right w:val="none" w:sz="0" w:space="0" w:color="auto"/>
      </w:divBdr>
    </w:div>
    <w:div w:id="824973137">
      <w:bodyDiv w:val="1"/>
      <w:marLeft w:val="0"/>
      <w:marRight w:val="0"/>
      <w:marTop w:val="0"/>
      <w:marBottom w:val="0"/>
      <w:divBdr>
        <w:top w:val="none" w:sz="0" w:space="0" w:color="auto"/>
        <w:left w:val="none" w:sz="0" w:space="0" w:color="auto"/>
        <w:bottom w:val="none" w:sz="0" w:space="0" w:color="auto"/>
        <w:right w:val="none" w:sz="0" w:space="0" w:color="auto"/>
      </w:divBdr>
    </w:div>
    <w:div w:id="826477358">
      <w:bodyDiv w:val="1"/>
      <w:marLeft w:val="0"/>
      <w:marRight w:val="0"/>
      <w:marTop w:val="0"/>
      <w:marBottom w:val="0"/>
      <w:divBdr>
        <w:top w:val="none" w:sz="0" w:space="0" w:color="auto"/>
        <w:left w:val="none" w:sz="0" w:space="0" w:color="auto"/>
        <w:bottom w:val="none" w:sz="0" w:space="0" w:color="auto"/>
        <w:right w:val="none" w:sz="0" w:space="0" w:color="auto"/>
      </w:divBdr>
      <w:divsChild>
        <w:div w:id="1878396906">
          <w:marLeft w:val="547"/>
          <w:marRight w:val="0"/>
          <w:marTop w:val="134"/>
          <w:marBottom w:val="120"/>
          <w:divBdr>
            <w:top w:val="none" w:sz="0" w:space="0" w:color="auto"/>
            <w:left w:val="none" w:sz="0" w:space="0" w:color="auto"/>
            <w:bottom w:val="none" w:sz="0" w:space="0" w:color="auto"/>
            <w:right w:val="none" w:sz="0" w:space="0" w:color="auto"/>
          </w:divBdr>
        </w:div>
        <w:div w:id="2045445241">
          <w:marLeft w:val="1166"/>
          <w:marRight w:val="0"/>
          <w:marTop w:val="115"/>
          <w:marBottom w:val="120"/>
          <w:divBdr>
            <w:top w:val="none" w:sz="0" w:space="0" w:color="auto"/>
            <w:left w:val="none" w:sz="0" w:space="0" w:color="auto"/>
            <w:bottom w:val="none" w:sz="0" w:space="0" w:color="auto"/>
            <w:right w:val="none" w:sz="0" w:space="0" w:color="auto"/>
          </w:divBdr>
        </w:div>
      </w:divsChild>
    </w:div>
    <w:div w:id="826674029">
      <w:bodyDiv w:val="1"/>
      <w:marLeft w:val="0"/>
      <w:marRight w:val="0"/>
      <w:marTop w:val="0"/>
      <w:marBottom w:val="0"/>
      <w:divBdr>
        <w:top w:val="none" w:sz="0" w:space="0" w:color="auto"/>
        <w:left w:val="none" w:sz="0" w:space="0" w:color="auto"/>
        <w:bottom w:val="none" w:sz="0" w:space="0" w:color="auto"/>
        <w:right w:val="none" w:sz="0" w:space="0" w:color="auto"/>
      </w:divBdr>
    </w:div>
    <w:div w:id="826750151">
      <w:bodyDiv w:val="1"/>
      <w:marLeft w:val="0"/>
      <w:marRight w:val="0"/>
      <w:marTop w:val="0"/>
      <w:marBottom w:val="0"/>
      <w:divBdr>
        <w:top w:val="none" w:sz="0" w:space="0" w:color="auto"/>
        <w:left w:val="none" w:sz="0" w:space="0" w:color="auto"/>
        <w:bottom w:val="none" w:sz="0" w:space="0" w:color="auto"/>
        <w:right w:val="none" w:sz="0" w:space="0" w:color="auto"/>
      </w:divBdr>
      <w:divsChild>
        <w:div w:id="1137338266">
          <w:marLeft w:val="0"/>
          <w:marRight w:val="0"/>
          <w:marTop w:val="0"/>
          <w:marBottom w:val="0"/>
          <w:divBdr>
            <w:top w:val="none" w:sz="0" w:space="0" w:color="auto"/>
            <w:left w:val="none" w:sz="0" w:space="0" w:color="auto"/>
            <w:bottom w:val="none" w:sz="0" w:space="0" w:color="auto"/>
            <w:right w:val="none" w:sz="0" w:space="0" w:color="auto"/>
          </w:divBdr>
          <w:divsChild>
            <w:div w:id="579876226">
              <w:marLeft w:val="0"/>
              <w:marRight w:val="0"/>
              <w:marTop w:val="0"/>
              <w:marBottom w:val="0"/>
              <w:divBdr>
                <w:top w:val="none" w:sz="0" w:space="0" w:color="auto"/>
                <w:left w:val="none" w:sz="0" w:space="0" w:color="auto"/>
                <w:bottom w:val="none" w:sz="0" w:space="0" w:color="auto"/>
                <w:right w:val="none" w:sz="0" w:space="0" w:color="auto"/>
              </w:divBdr>
            </w:div>
            <w:div w:id="1069114840">
              <w:marLeft w:val="0"/>
              <w:marRight w:val="0"/>
              <w:marTop w:val="0"/>
              <w:marBottom w:val="0"/>
              <w:divBdr>
                <w:top w:val="none" w:sz="0" w:space="0" w:color="auto"/>
                <w:left w:val="none" w:sz="0" w:space="0" w:color="auto"/>
                <w:bottom w:val="none" w:sz="0" w:space="0" w:color="auto"/>
                <w:right w:val="none" w:sz="0" w:space="0" w:color="auto"/>
              </w:divBdr>
            </w:div>
            <w:div w:id="1498182222">
              <w:marLeft w:val="0"/>
              <w:marRight w:val="0"/>
              <w:marTop w:val="0"/>
              <w:marBottom w:val="0"/>
              <w:divBdr>
                <w:top w:val="none" w:sz="0" w:space="0" w:color="auto"/>
                <w:left w:val="none" w:sz="0" w:space="0" w:color="auto"/>
                <w:bottom w:val="none" w:sz="0" w:space="0" w:color="auto"/>
                <w:right w:val="none" w:sz="0" w:space="0" w:color="auto"/>
              </w:divBdr>
            </w:div>
            <w:div w:id="17634055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27330510">
      <w:bodyDiv w:val="1"/>
      <w:marLeft w:val="0"/>
      <w:marRight w:val="0"/>
      <w:marTop w:val="0"/>
      <w:marBottom w:val="0"/>
      <w:divBdr>
        <w:top w:val="none" w:sz="0" w:space="0" w:color="auto"/>
        <w:left w:val="none" w:sz="0" w:space="0" w:color="auto"/>
        <w:bottom w:val="none" w:sz="0" w:space="0" w:color="auto"/>
        <w:right w:val="none" w:sz="0" w:space="0" w:color="auto"/>
      </w:divBdr>
    </w:div>
    <w:div w:id="827676997">
      <w:bodyDiv w:val="1"/>
      <w:marLeft w:val="0"/>
      <w:marRight w:val="0"/>
      <w:marTop w:val="0"/>
      <w:marBottom w:val="0"/>
      <w:divBdr>
        <w:top w:val="none" w:sz="0" w:space="0" w:color="auto"/>
        <w:left w:val="none" w:sz="0" w:space="0" w:color="auto"/>
        <w:bottom w:val="none" w:sz="0" w:space="0" w:color="auto"/>
        <w:right w:val="none" w:sz="0" w:space="0" w:color="auto"/>
      </w:divBdr>
    </w:div>
    <w:div w:id="828249180">
      <w:bodyDiv w:val="1"/>
      <w:marLeft w:val="0"/>
      <w:marRight w:val="0"/>
      <w:marTop w:val="0"/>
      <w:marBottom w:val="0"/>
      <w:divBdr>
        <w:top w:val="none" w:sz="0" w:space="0" w:color="auto"/>
        <w:left w:val="none" w:sz="0" w:space="0" w:color="auto"/>
        <w:bottom w:val="none" w:sz="0" w:space="0" w:color="auto"/>
        <w:right w:val="none" w:sz="0" w:space="0" w:color="auto"/>
      </w:divBdr>
    </w:div>
    <w:div w:id="829520187">
      <w:bodyDiv w:val="1"/>
      <w:marLeft w:val="0"/>
      <w:marRight w:val="0"/>
      <w:marTop w:val="0"/>
      <w:marBottom w:val="0"/>
      <w:divBdr>
        <w:top w:val="none" w:sz="0" w:space="0" w:color="auto"/>
        <w:left w:val="none" w:sz="0" w:space="0" w:color="auto"/>
        <w:bottom w:val="none" w:sz="0" w:space="0" w:color="auto"/>
        <w:right w:val="none" w:sz="0" w:space="0" w:color="auto"/>
      </w:divBdr>
    </w:div>
    <w:div w:id="830095239">
      <w:bodyDiv w:val="1"/>
      <w:marLeft w:val="0"/>
      <w:marRight w:val="0"/>
      <w:marTop w:val="0"/>
      <w:marBottom w:val="0"/>
      <w:divBdr>
        <w:top w:val="none" w:sz="0" w:space="0" w:color="auto"/>
        <w:left w:val="none" w:sz="0" w:space="0" w:color="auto"/>
        <w:bottom w:val="none" w:sz="0" w:space="0" w:color="auto"/>
        <w:right w:val="none" w:sz="0" w:space="0" w:color="auto"/>
      </w:divBdr>
    </w:div>
    <w:div w:id="831217973">
      <w:bodyDiv w:val="1"/>
      <w:marLeft w:val="0"/>
      <w:marRight w:val="0"/>
      <w:marTop w:val="0"/>
      <w:marBottom w:val="0"/>
      <w:divBdr>
        <w:top w:val="none" w:sz="0" w:space="0" w:color="auto"/>
        <w:left w:val="none" w:sz="0" w:space="0" w:color="auto"/>
        <w:bottom w:val="none" w:sz="0" w:space="0" w:color="auto"/>
        <w:right w:val="none" w:sz="0" w:space="0" w:color="auto"/>
      </w:divBdr>
      <w:divsChild>
        <w:div w:id="180974507">
          <w:marLeft w:val="1152"/>
          <w:marRight w:val="0"/>
          <w:marTop w:val="0"/>
          <w:marBottom w:val="0"/>
          <w:divBdr>
            <w:top w:val="none" w:sz="0" w:space="0" w:color="auto"/>
            <w:left w:val="none" w:sz="0" w:space="0" w:color="auto"/>
            <w:bottom w:val="none" w:sz="0" w:space="0" w:color="auto"/>
            <w:right w:val="none" w:sz="0" w:space="0" w:color="auto"/>
          </w:divBdr>
        </w:div>
        <w:div w:id="450977627">
          <w:marLeft w:val="432"/>
          <w:marRight w:val="0"/>
          <w:marTop w:val="0"/>
          <w:marBottom w:val="0"/>
          <w:divBdr>
            <w:top w:val="none" w:sz="0" w:space="0" w:color="auto"/>
            <w:left w:val="none" w:sz="0" w:space="0" w:color="auto"/>
            <w:bottom w:val="none" w:sz="0" w:space="0" w:color="auto"/>
            <w:right w:val="none" w:sz="0" w:space="0" w:color="auto"/>
          </w:divBdr>
        </w:div>
        <w:div w:id="846403937">
          <w:marLeft w:val="1872"/>
          <w:marRight w:val="0"/>
          <w:marTop w:val="0"/>
          <w:marBottom w:val="0"/>
          <w:divBdr>
            <w:top w:val="none" w:sz="0" w:space="0" w:color="auto"/>
            <w:left w:val="none" w:sz="0" w:space="0" w:color="auto"/>
            <w:bottom w:val="none" w:sz="0" w:space="0" w:color="auto"/>
            <w:right w:val="none" w:sz="0" w:space="0" w:color="auto"/>
          </w:divBdr>
        </w:div>
        <w:div w:id="1586721861">
          <w:marLeft w:val="1872"/>
          <w:marRight w:val="0"/>
          <w:marTop w:val="0"/>
          <w:marBottom w:val="0"/>
          <w:divBdr>
            <w:top w:val="none" w:sz="0" w:space="0" w:color="auto"/>
            <w:left w:val="none" w:sz="0" w:space="0" w:color="auto"/>
            <w:bottom w:val="none" w:sz="0" w:space="0" w:color="auto"/>
            <w:right w:val="none" w:sz="0" w:space="0" w:color="auto"/>
          </w:divBdr>
        </w:div>
        <w:div w:id="1658610428">
          <w:marLeft w:val="1152"/>
          <w:marRight w:val="0"/>
          <w:marTop w:val="0"/>
          <w:marBottom w:val="0"/>
          <w:divBdr>
            <w:top w:val="none" w:sz="0" w:space="0" w:color="auto"/>
            <w:left w:val="none" w:sz="0" w:space="0" w:color="auto"/>
            <w:bottom w:val="none" w:sz="0" w:space="0" w:color="auto"/>
            <w:right w:val="none" w:sz="0" w:space="0" w:color="auto"/>
          </w:divBdr>
        </w:div>
      </w:divsChild>
    </w:div>
    <w:div w:id="832380848">
      <w:bodyDiv w:val="1"/>
      <w:marLeft w:val="0"/>
      <w:marRight w:val="0"/>
      <w:marTop w:val="0"/>
      <w:marBottom w:val="0"/>
      <w:divBdr>
        <w:top w:val="none" w:sz="0" w:space="0" w:color="auto"/>
        <w:left w:val="none" w:sz="0" w:space="0" w:color="auto"/>
        <w:bottom w:val="none" w:sz="0" w:space="0" w:color="auto"/>
        <w:right w:val="none" w:sz="0" w:space="0" w:color="auto"/>
      </w:divBdr>
    </w:div>
    <w:div w:id="832453913">
      <w:bodyDiv w:val="1"/>
      <w:marLeft w:val="0"/>
      <w:marRight w:val="0"/>
      <w:marTop w:val="0"/>
      <w:marBottom w:val="0"/>
      <w:divBdr>
        <w:top w:val="none" w:sz="0" w:space="0" w:color="auto"/>
        <w:left w:val="none" w:sz="0" w:space="0" w:color="auto"/>
        <w:bottom w:val="none" w:sz="0" w:space="0" w:color="auto"/>
        <w:right w:val="none" w:sz="0" w:space="0" w:color="auto"/>
      </w:divBdr>
    </w:div>
    <w:div w:id="833448739">
      <w:bodyDiv w:val="1"/>
      <w:marLeft w:val="0"/>
      <w:marRight w:val="0"/>
      <w:marTop w:val="0"/>
      <w:marBottom w:val="0"/>
      <w:divBdr>
        <w:top w:val="none" w:sz="0" w:space="0" w:color="auto"/>
        <w:left w:val="none" w:sz="0" w:space="0" w:color="auto"/>
        <w:bottom w:val="none" w:sz="0" w:space="0" w:color="auto"/>
        <w:right w:val="none" w:sz="0" w:space="0" w:color="auto"/>
      </w:divBdr>
    </w:div>
    <w:div w:id="834104190">
      <w:bodyDiv w:val="1"/>
      <w:marLeft w:val="0"/>
      <w:marRight w:val="0"/>
      <w:marTop w:val="0"/>
      <w:marBottom w:val="0"/>
      <w:divBdr>
        <w:top w:val="none" w:sz="0" w:space="0" w:color="auto"/>
        <w:left w:val="none" w:sz="0" w:space="0" w:color="auto"/>
        <w:bottom w:val="none" w:sz="0" w:space="0" w:color="auto"/>
        <w:right w:val="none" w:sz="0" w:space="0" w:color="auto"/>
      </w:divBdr>
    </w:div>
    <w:div w:id="834106639">
      <w:bodyDiv w:val="1"/>
      <w:marLeft w:val="0"/>
      <w:marRight w:val="0"/>
      <w:marTop w:val="0"/>
      <w:marBottom w:val="0"/>
      <w:divBdr>
        <w:top w:val="none" w:sz="0" w:space="0" w:color="auto"/>
        <w:left w:val="none" w:sz="0" w:space="0" w:color="auto"/>
        <w:bottom w:val="none" w:sz="0" w:space="0" w:color="auto"/>
        <w:right w:val="none" w:sz="0" w:space="0" w:color="auto"/>
      </w:divBdr>
    </w:div>
    <w:div w:id="835069150">
      <w:bodyDiv w:val="1"/>
      <w:marLeft w:val="0"/>
      <w:marRight w:val="0"/>
      <w:marTop w:val="0"/>
      <w:marBottom w:val="0"/>
      <w:divBdr>
        <w:top w:val="none" w:sz="0" w:space="0" w:color="auto"/>
        <w:left w:val="none" w:sz="0" w:space="0" w:color="auto"/>
        <w:bottom w:val="none" w:sz="0" w:space="0" w:color="auto"/>
        <w:right w:val="none" w:sz="0" w:space="0" w:color="auto"/>
      </w:divBdr>
    </w:div>
    <w:div w:id="835337727">
      <w:bodyDiv w:val="1"/>
      <w:marLeft w:val="0"/>
      <w:marRight w:val="0"/>
      <w:marTop w:val="0"/>
      <w:marBottom w:val="0"/>
      <w:divBdr>
        <w:top w:val="none" w:sz="0" w:space="0" w:color="auto"/>
        <w:left w:val="none" w:sz="0" w:space="0" w:color="auto"/>
        <w:bottom w:val="none" w:sz="0" w:space="0" w:color="auto"/>
        <w:right w:val="none" w:sz="0" w:space="0" w:color="auto"/>
      </w:divBdr>
      <w:divsChild>
        <w:div w:id="5909062">
          <w:marLeft w:val="0"/>
          <w:marRight w:val="0"/>
          <w:marTop w:val="0"/>
          <w:marBottom w:val="0"/>
          <w:divBdr>
            <w:top w:val="none" w:sz="0" w:space="0" w:color="auto"/>
            <w:left w:val="none" w:sz="0" w:space="0" w:color="auto"/>
            <w:bottom w:val="none" w:sz="0" w:space="0" w:color="auto"/>
            <w:right w:val="none" w:sz="0" w:space="0" w:color="auto"/>
          </w:divBdr>
        </w:div>
        <w:div w:id="21785976">
          <w:marLeft w:val="0"/>
          <w:marRight w:val="0"/>
          <w:marTop w:val="0"/>
          <w:marBottom w:val="0"/>
          <w:divBdr>
            <w:top w:val="none" w:sz="0" w:space="0" w:color="auto"/>
            <w:left w:val="none" w:sz="0" w:space="0" w:color="auto"/>
            <w:bottom w:val="none" w:sz="0" w:space="0" w:color="auto"/>
            <w:right w:val="none" w:sz="0" w:space="0" w:color="auto"/>
          </w:divBdr>
        </w:div>
        <w:div w:id="89743784">
          <w:marLeft w:val="0"/>
          <w:marRight w:val="0"/>
          <w:marTop w:val="0"/>
          <w:marBottom w:val="0"/>
          <w:divBdr>
            <w:top w:val="none" w:sz="0" w:space="0" w:color="auto"/>
            <w:left w:val="none" w:sz="0" w:space="0" w:color="auto"/>
            <w:bottom w:val="none" w:sz="0" w:space="0" w:color="auto"/>
            <w:right w:val="none" w:sz="0" w:space="0" w:color="auto"/>
          </w:divBdr>
        </w:div>
        <w:div w:id="121005343">
          <w:marLeft w:val="0"/>
          <w:marRight w:val="0"/>
          <w:marTop w:val="0"/>
          <w:marBottom w:val="0"/>
          <w:divBdr>
            <w:top w:val="none" w:sz="0" w:space="0" w:color="auto"/>
            <w:left w:val="none" w:sz="0" w:space="0" w:color="auto"/>
            <w:bottom w:val="none" w:sz="0" w:space="0" w:color="auto"/>
            <w:right w:val="none" w:sz="0" w:space="0" w:color="auto"/>
          </w:divBdr>
        </w:div>
        <w:div w:id="137889253">
          <w:marLeft w:val="0"/>
          <w:marRight w:val="0"/>
          <w:marTop w:val="0"/>
          <w:marBottom w:val="0"/>
          <w:divBdr>
            <w:top w:val="none" w:sz="0" w:space="0" w:color="auto"/>
            <w:left w:val="none" w:sz="0" w:space="0" w:color="auto"/>
            <w:bottom w:val="none" w:sz="0" w:space="0" w:color="auto"/>
            <w:right w:val="none" w:sz="0" w:space="0" w:color="auto"/>
          </w:divBdr>
        </w:div>
        <w:div w:id="262155373">
          <w:marLeft w:val="0"/>
          <w:marRight w:val="0"/>
          <w:marTop w:val="0"/>
          <w:marBottom w:val="0"/>
          <w:divBdr>
            <w:top w:val="none" w:sz="0" w:space="0" w:color="auto"/>
            <w:left w:val="none" w:sz="0" w:space="0" w:color="auto"/>
            <w:bottom w:val="none" w:sz="0" w:space="0" w:color="auto"/>
            <w:right w:val="none" w:sz="0" w:space="0" w:color="auto"/>
          </w:divBdr>
        </w:div>
        <w:div w:id="379282122">
          <w:marLeft w:val="0"/>
          <w:marRight w:val="0"/>
          <w:marTop w:val="0"/>
          <w:marBottom w:val="0"/>
          <w:divBdr>
            <w:top w:val="none" w:sz="0" w:space="0" w:color="auto"/>
            <w:left w:val="none" w:sz="0" w:space="0" w:color="auto"/>
            <w:bottom w:val="none" w:sz="0" w:space="0" w:color="auto"/>
            <w:right w:val="none" w:sz="0" w:space="0" w:color="auto"/>
          </w:divBdr>
        </w:div>
        <w:div w:id="499395490">
          <w:marLeft w:val="0"/>
          <w:marRight w:val="0"/>
          <w:marTop w:val="0"/>
          <w:marBottom w:val="0"/>
          <w:divBdr>
            <w:top w:val="none" w:sz="0" w:space="0" w:color="auto"/>
            <w:left w:val="none" w:sz="0" w:space="0" w:color="auto"/>
            <w:bottom w:val="none" w:sz="0" w:space="0" w:color="auto"/>
            <w:right w:val="none" w:sz="0" w:space="0" w:color="auto"/>
          </w:divBdr>
        </w:div>
        <w:div w:id="524750155">
          <w:marLeft w:val="0"/>
          <w:marRight w:val="0"/>
          <w:marTop w:val="0"/>
          <w:marBottom w:val="0"/>
          <w:divBdr>
            <w:top w:val="none" w:sz="0" w:space="0" w:color="auto"/>
            <w:left w:val="none" w:sz="0" w:space="0" w:color="auto"/>
            <w:bottom w:val="none" w:sz="0" w:space="0" w:color="auto"/>
            <w:right w:val="none" w:sz="0" w:space="0" w:color="auto"/>
          </w:divBdr>
        </w:div>
        <w:div w:id="629357488">
          <w:marLeft w:val="0"/>
          <w:marRight w:val="0"/>
          <w:marTop w:val="0"/>
          <w:marBottom w:val="0"/>
          <w:divBdr>
            <w:top w:val="none" w:sz="0" w:space="0" w:color="auto"/>
            <w:left w:val="none" w:sz="0" w:space="0" w:color="auto"/>
            <w:bottom w:val="none" w:sz="0" w:space="0" w:color="auto"/>
            <w:right w:val="none" w:sz="0" w:space="0" w:color="auto"/>
          </w:divBdr>
        </w:div>
        <w:div w:id="703797668">
          <w:marLeft w:val="0"/>
          <w:marRight w:val="0"/>
          <w:marTop w:val="0"/>
          <w:marBottom w:val="0"/>
          <w:divBdr>
            <w:top w:val="none" w:sz="0" w:space="0" w:color="auto"/>
            <w:left w:val="none" w:sz="0" w:space="0" w:color="auto"/>
            <w:bottom w:val="none" w:sz="0" w:space="0" w:color="auto"/>
            <w:right w:val="none" w:sz="0" w:space="0" w:color="auto"/>
          </w:divBdr>
        </w:div>
        <w:div w:id="716783446">
          <w:marLeft w:val="0"/>
          <w:marRight w:val="0"/>
          <w:marTop w:val="0"/>
          <w:marBottom w:val="0"/>
          <w:divBdr>
            <w:top w:val="none" w:sz="0" w:space="0" w:color="auto"/>
            <w:left w:val="none" w:sz="0" w:space="0" w:color="auto"/>
            <w:bottom w:val="none" w:sz="0" w:space="0" w:color="auto"/>
            <w:right w:val="none" w:sz="0" w:space="0" w:color="auto"/>
          </w:divBdr>
        </w:div>
        <w:div w:id="892935064">
          <w:marLeft w:val="0"/>
          <w:marRight w:val="0"/>
          <w:marTop w:val="0"/>
          <w:marBottom w:val="0"/>
          <w:divBdr>
            <w:top w:val="none" w:sz="0" w:space="0" w:color="auto"/>
            <w:left w:val="none" w:sz="0" w:space="0" w:color="auto"/>
            <w:bottom w:val="none" w:sz="0" w:space="0" w:color="auto"/>
            <w:right w:val="none" w:sz="0" w:space="0" w:color="auto"/>
          </w:divBdr>
        </w:div>
        <w:div w:id="910582559">
          <w:marLeft w:val="0"/>
          <w:marRight w:val="0"/>
          <w:marTop w:val="0"/>
          <w:marBottom w:val="0"/>
          <w:divBdr>
            <w:top w:val="none" w:sz="0" w:space="0" w:color="auto"/>
            <w:left w:val="none" w:sz="0" w:space="0" w:color="auto"/>
            <w:bottom w:val="none" w:sz="0" w:space="0" w:color="auto"/>
            <w:right w:val="none" w:sz="0" w:space="0" w:color="auto"/>
          </w:divBdr>
        </w:div>
        <w:div w:id="975451825">
          <w:marLeft w:val="0"/>
          <w:marRight w:val="0"/>
          <w:marTop w:val="0"/>
          <w:marBottom w:val="0"/>
          <w:divBdr>
            <w:top w:val="none" w:sz="0" w:space="0" w:color="auto"/>
            <w:left w:val="none" w:sz="0" w:space="0" w:color="auto"/>
            <w:bottom w:val="none" w:sz="0" w:space="0" w:color="auto"/>
            <w:right w:val="none" w:sz="0" w:space="0" w:color="auto"/>
          </w:divBdr>
        </w:div>
        <w:div w:id="1031688954">
          <w:marLeft w:val="0"/>
          <w:marRight w:val="0"/>
          <w:marTop w:val="0"/>
          <w:marBottom w:val="0"/>
          <w:divBdr>
            <w:top w:val="none" w:sz="0" w:space="0" w:color="auto"/>
            <w:left w:val="none" w:sz="0" w:space="0" w:color="auto"/>
            <w:bottom w:val="none" w:sz="0" w:space="0" w:color="auto"/>
            <w:right w:val="none" w:sz="0" w:space="0" w:color="auto"/>
          </w:divBdr>
        </w:div>
        <w:div w:id="1156073983">
          <w:marLeft w:val="0"/>
          <w:marRight w:val="0"/>
          <w:marTop w:val="0"/>
          <w:marBottom w:val="0"/>
          <w:divBdr>
            <w:top w:val="none" w:sz="0" w:space="0" w:color="auto"/>
            <w:left w:val="none" w:sz="0" w:space="0" w:color="auto"/>
            <w:bottom w:val="none" w:sz="0" w:space="0" w:color="auto"/>
            <w:right w:val="none" w:sz="0" w:space="0" w:color="auto"/>
          </w:divBdr>
        </w:div>
        <w:div w:id="1326396296">
          <w:marLeft w:val="0"/>
          <w:marRight w:val="0"/>
          <w:marTop w:val="0"/>
          <w:marBottom w:val="0"/>
          <w:divBdr>
            <w:top w:val="none" w:sz="0" w:space="0" w:color="auto"/>
            <w:left w:val="none" w:sz="0" w:space="0" w:color="auto"/>
            <w:bottom w:val="none" w:sz="0" w:space="0" w:color="auto"/>
            <w:right w:val="none" w:sz="0" w:space="0" w:color="auto"/>
          </w:divBdr>
        </w:div>
        <w:div w:id="1349024347">
          <w:marLeft w:val="0"/>
          <w:marRight w:val="0"/>
          <w:marTop w:val="0"/>
          <w:marBottom w:val="0"/>
          <w:divBdr>
            <w:top w:val="none" w:sz="0" w:space="0" w:color="auto"/>
            <w:left w:val="none" w:sz="0" w:space="0" w:color="auto"/>
            <w:bottom w:val="none" w:sz="0" w:space="0" w:color="auto"/>
            <w:right w:val="none" w:sz="0" w:space="0" w:color="auto"/>
          </w:divBdr>
        </w:div>
        <w:div w:id="1371226670">
          <w:marLeft w:val="0"/>
          <w:marRight w:val="0"/>
          <w:marTop w:val="0"/>
          <w:marBottom w:val="0"/>
          <w:divBdr>
            <w:top w:val="none" w:sz="0" w:space="0" w:color="auto"/>
            <w:left w:val="none" w:sz="0" w:space="0" w:color="auto"/>
            <w:bottom w:val="none" w:sz="0" w:space="0" w:color="auto"/>
            <w:right w:val="none" w:sz="0" w:space="0" w:color="auto"/>
          </w:divBdr>
        </w:div>
        <w:div w:id="1390349419">
          <w:marLeft w:val="0"/>
          <w:marRight w:val="0"/>
          <w:marTop w:val="0"/>
          <w:marBottom w:val="0"/>
          <w:divBdr>
            <w:top w:val="none" w:sz="0" w:space="0" w:color="auto"/>
            <w:left w:val="none" w:sz="0" w:space="0" w:color="auto"/>
            <w:bottom w:val="none" w:sz="0" w:space="0" w:color="auto"/>
            <w:right w:val="none" w:sz="0" w:space="0" w:color="auto"/>
          </w:divBdr>
        </w:div>
        <w:div w:id="1456288822">
          <w:marLeft w:val="0"/>
          <w:marRight w:val="0"/>
          <w:marTop w:val="0"/>
          <w:marBottom w:val="0"/>
          <w:divBdr>
            <w:top w:val="none" w:sz="0" w:space="0" w:color="auto"/>
            <w:left w:val="none" w:sz="0" w:space="0" w:color="auto"/>
            <w:bottom w:val="none" w:sz="0" w:space="0" w:color="auto"/>
            <w:right w:val="none" w:sz="0" w:space="0" w:color="auto"/>
          </w:divBdr>
        </w:div>
        <w:div w:id="1479415611">
          <w:marLeft w:val="0"/>
          <w:marRight w:val="0"/>
          <w:marTop w:val="0"/>
          <w:marBottom w:val="0"/>
          <w:divBdr>
            <w:top w:val="none" w:sz="0" w:space="0" w:color="auto"/>
            <w:left w:val="none" w:sz="0" w:space="0" w:color="auto"/>
            <w:bottom w:val="none" w:sz="0" w:space="0" w:color="auto"/>
            <w:right w:val="none" w:sz="0" w:space="0" w:color="auto"/>
          </w:divBdr>
        </w:div>
        <w:div w:id="1675112374">
          <w:marLeft w:val="0"/>
          <w:marRight w:val="0"/>
          <w:marTop w:val="0"/>
          <w:marBottom w:val="0"/>
          <w:divBdr>
            <w:top w:val="none" w:sz="0" w:space="0" w:color="auto"/>
            <w:left w:val="none" w:sz="0" w:space="0" w:color="auto"/>
            <w:bottom w:val="none" w:sz="0" w:space="0" w:color="auto"/>
            <w:right w:val="none" w:sz="0" w:space="0" w:color="auto"/>
          </w:divBdr>
        </w:div>
        <w:div w:id="1799251414">
          <w:marLeft w:val="0"/>
          <w:marRight w:val="0"/>
          <w:marTop w:val="0"/>
          <w:marBottom w:val="0"/>
          <w:divBdr>
            <w:top w:val="none" w:sz="0" w:space="0" w:color="auto"/>
            <w:left w:val="none" w:sz="0" w:space="0" w:color="auto"/>
            <w:bottom w:val="none" w:sz="0" w:space="0" w:color="auto"/>
            <w:right w:val="none" w:sz="0" w:space="0" w:color="auto"/>
          </w:divBdr>
        </w:div>
        <w:div w:id="1832212666">
          <w:marLeft w:val="0"/>
          <w:marRight w:val="0"/>
          <w:marTop w:val="0"/>
          <w:marBottom w:val="0"/>
          <w:divBdr>
            <w:top w:val="none" w:sz="0" w:space="0" w:color="auto"/>
            <w:left w:val="none" w:sz="0" w:space="0" w:color="auto"/>
            <w:bottom w:val="none" w:sz="0" w:space="0" w:color="auto"/>
            <w:right w:val="none" w:sz="0" w:space="0" w:color="auto"/>
          </w:divBdr>
        </w:div>
        <w:div w:id="1906723354">
          <w:marLeft w:val="0"/>
          <w:marRight w:val="0"/>
          <w:marTop w:val="0"/>
          <w:marBottom w:val="0"/>
          <w:divBdr>
            <w:top w:val="none" w:sz="0" w:space="0" w:color="auto"/>
            <w:left w:val="none" w:sz="0" w:space="0" w:color="auto"/>
            <w:bottom w:val="none" w:sz="0" w:space="0" w:color="auto"/>
            <w:right w:val="none" w:sz="0" w:space="0" w:color="auto"/>
          </w:divBdr>
        </w:div>
        <w:div w:id="1926183975">
          <w:marLeft w:val="0"/>
          <w:marRight w:val="0"/>
          <w:marTop w:val="0"/>
          <w:marBottom w:val="0"/>
          <w:divBdr>
            <w:top w:val="none" w:sz="0" w:space="0" w:color="auto"/>
            <w:left w:val="none" w:sz="0" w:space="0" w:color="auto"/>
            <w:bottom w:val="none" w:sz="0" w:space="0" w:color="auto"/>
            <w:right w:val="none" w:sz="0" w:space="0" w:color="auto"/>
          </w:divBdr>
        </w:div>
        <w:div w:id="1938097185">
          <w:marLeft w:val="0"/>
          <w:marRight w:val="0"/>
          <w:marTop w:val="0"/>
          <w:marBottom w:val="0"/>
          <w:divBdr>
            <w:top w:val="none" w:sz="0" w:space="0" w:color="auto"/>
            <w:left w:val="none" w:sz="0" w:space="0" w:color="auto"/>
            <w:bottom w:val="none" w:sz="0" w:space="0" w:color="auto"/>
            <w:right w:val="none" w:sz="0" w:space="0" w:color="auto"/>
          </w:divBdr>
        </w:div>
        <w:div w:id="1967927990">
          <w:marLeft w:val="0"/>
          <w:marRight w:val="0"/>
          <w:marTop w:val="0"/>
          <w:marBottom w:val="0"/>
          <w:divBdr>
            <w:top w:val="none" w:sz="0" w:space="0" w:color="auto"/>
            <w:left w:val="none" w:sz="0" w:space="0" w:color="auto"/>
            <w:bottom w:val="none" w:sz="0" w:space="0" w:color="auto"/>
            <w:right w:val="none" w:sz="0" w:space="0" w:color="auto"/>
          </w:divBdr>
        </w:div>
        <w:div w:id="1994677538">
          <w:marLeft w:val="0"/>
          <w:marRight w:val="0"/>
          <w:marTop w:val="0"/>
          <w:marBottom w:val="0"/>
          <w:divBdr>
            <w:top w:val="none" w:sz="0" w:space="0" w:color="auto"/>
            <w:left w:val="none" w:sz="0" w:space="0" w:color="auto"/>
            <w:bottom w:val="none" w:sz="0" w:space="0" w:color="auto"/>
            <w:right w:val="none" w:sz="0" w:space="0" w:color="auto"/>
          </w:divBdr>
        </w:div>
        <w:div w:id="2001616047">
          <w:marLeft w:val="0"/>
          <w:marRight w:val="0"/>
          <w:marTop w:val="0"/>
          <w:marBottom w:val="0"/>
          <w:divBdr>
            <w:top w:val="none" w:sz="0" w:space="0" w:color="auto"/>
            <w:left w:val="none" w:sz="0" w:space="0" w:color="auto"/>
            <w:bottom w:val="none" w:sz="0" w:space="0" w:color="auto"/>
            <w:right w:val="none" w:sz="0" w:space="0" w:color="auto"/>
          </w:divBdr>
        </w:div>
        <w:div w:id="2014454174">
          <w:marLeft w:val="0"/>
          <w:marRight w:val="0"/>
          <w:marTop w:val="0"/>
          <w:marBottom w:val="0"/>
          <w:divBdr>
            <w:top w:val="none" w:sz="0" w:space="0" w:color="auto"/>
            <w:left w:val="none" w:sz="0" w:space="0" w:color="auto"/>
            <w:bottom w:val="none" w:sz="0" w:space="0" w:color="auto"/>
            <w:right w:val="none" w:sz="0" w:space="0" w:color="auto"/>
          </w:divBdr>
        </w:div>
        <w:div w:id="2053995862">
          <w:marLeft w:val="0"/>
          <w:marRight w:val="0"/>
          <w:marTop w:val="0"/>
          <w:marBottom w:val="0"/>
          <w:divBdr>
            <w:top w:val="none" w:sz="0" w:space="0" w:color="auto"/>
            <w:left w:val="none" w:sz="0" w:space="0" w:color="auto"/>
            <w:bottom w:val="none" w:sz="0" w:space="0" w:color="auto"/>
            <w:right w:val="none" w:sz="0" w:space="0" w:color="auto"/>
          </w:divBdr>
        </w:div>
        <w:div w:id="2089962673">
          <w:marLeft w:val="0"/>
          <w:marRight w:val="0"/>
          <w:marTop w:val="0"/>
          <w:marBottom w:val="0"/>
          <w:divBdr>
            <w:top w:val="none" w:sz="0" w:space="0" w:color="auto"/>
            <w:left w:val="none" w:sz="0" w:space="0" w:color="auto"/>
            <w:bottom w:val="none" w:sz="0" w:space="0" w:color="auto"/>
            <w:right w:val="none" w:sz="0" w:space="0" w:color="auto"/>
          </w:divBdr>
        </w:div>
        <w:div w:id="2130977013">
          <w:marLeft w:val="0"/>
          <w:marRight w:val="0"/>
          <w:marTop w:val="0"/>
          <w:marBottom w:val="0"/>
          <w:divBdr>
            <w:top w:val="none" w:sz="0" w:space="0" w:color="auto"/>
            <w:left w:val="none" w:sz="0" w:space="0" w:color="auto"/>
            <w:bottom w:val="none" w:sz="0" w:space="0" w:color="auto"/>
            <w:right w:val="none" w:sz="0" w:space="0" w:color="auto"/>
          </w:divBdr>
        </w:div>
        <w:div w:id="2146391841">
          <w:marLeft w:val="0"/>
          <w:marRight w:val="0"/>
          <w:marTop w:val="0"/>
          <w:marBottom w:val="0"/>
          <w:divBdr>
            <w:top w:val="none" w:sz="0" w:space="0" w:color="auto"/>
            <w:left w:val="none" w:sz="0" w:space="0" w:color="auto"/>
            <w:bottom w:val="none" w:sz="0" w:space="0" w:color="auto"/>
            <w:right w:val="none" w:sz="0" w:space="0" w:color="auto"/>
          </w:divBdr>
        </w:div>
      </w:divsChild>
    </w:div>
    <w:div w:id="835657896">
      <w:bodyDiv w:val="1"/>
      <w:marLeft w:val="0"/>
      <w:marRight w:val="0"/>
      <w:marTop w:val="0"/>
      <w:marBottom w:val="0"/>
      <w:divBdr>
        <w:top w:val="none" w:sz="0" w:space="0" w:color="auto"/>
        <w:left w:val="none" w:sz="0" w:space="0" w:color="auto"/>
        <w:bottom w:val="none" w:sz="0" w:space="0" w:color="auto"/>
        <w:right w:val="none" w:sz="0" w:space="0" w:color="auto"/>
      </w:divBdr>
    </w:div>
    <w:div w:id="836501730">
      <w:bodyDiv w:val="1"/>
      <w:marLeft w:val="0"/>
      <w:marRight w:val="0"/>
      <w:marTop w:val="0"/>
      <w:marBottom w:val="0"/>
      <w:divBdr>
        <w:top w:val="none" w:sz="0" w:space="0" w:color="auto"/>
        <w:left w:val="none" w:sz="0" w:space="0" w:color="auto"/>
        <w:bottom w:val="none" w:sz="0" w:space="0" w:color="auto"/>
        <w:right w:val="none" w:sz="0" w:space="0" w:color="auto"/>
      </w:divBdr>
    </w:div>
    <w:div w:id="836531112">
      <w:bodyDiv w:val="1"/>
      <w:marLeft w:val="0"/>
      <w:marRight w:val="0"/>
      <w:marTop w:val="0"/>
      <w:marBottom w:val="0"/>
      <w:divBdr>
        <w:top w:val="none" w:sz="0" w:space="0" w:color="auto"/>
        <w:left w:val="none" w:sz="0" w:space="0" w:color="auto"/>
        <w:bottom w:val="none" w:sz="0" w:space="0" w:color="auto"/>
        <w:right w:val="none" w:sz="0" w:space="0" w:color="auto"/>
      </w:divBdr>
    </w:div>
    <w:div w:id="836916600">
      <w:bodyDiv w:val="1"/>
      <w:marLeft w:val="0"/>
      <w:marRight w:val="0"/>
      <w:marTop w:val="0"/>
      <w:marBottom w:val="0"/>
      <w:divBdr>
        <w:top w:val="none" w:sz="0" w:space="0" w:color="auto"/>
        <w:left w:val="none" w:sz="0" w:space="0" w:color="auto"/>
        <w:bottom w:val="none" w:sz="0" w:space="0" w:color="auto"/>
        <w:right w:val="none" w:sz="0" w:space="0" w:color="auto"/>
      </w:divBdr>
      <w:divsChild>
        <w:div w:id="466895869">
          <w:marLeft w:val="806"/>
          <w:marRight w:val="0"/>
          <w:marTop w:val="120"/>
          <w:marBottom w:val="0"/>
          <w:divBdr>
            <w:top w:val="none" w:sz="0" w:space="0" w:color="auto"/>
            <w:left w:val="none" w:sz="0" w:space="0" w:color="auto"/>
            <w:bottom w:val="none" w:sz="0" w:space="0" w:color="auto"/>
            <w:right w:val="none" w:sz="0" w:space="0" w:color="auto"/>
          </w:divBdr>
        </w:div>
        <w:div w:id="807631939">
          <w:marLeft w:val="806"/>
          <w:marRight w:val="0"/>
          <w:marTop w:val="120"/>
          <w:marBottom w:val="0"/>
          <w:divBdr>
            <w:top w:val="none" w:sz="0" w:space="0" w:color="auto"/>
            <w:left w:val="none" w:sz="0" w:space="0" w:color="auto"/>
            <w:bottom w:val="none" w:sz="0" w:space="0" w:color="auto"/>
            <w:right w:val="none" w:sz="0" w:space="0" w:color="auto"/>
          </w:divBdr>
        </w:div>
        <w:div w:id="967206560">
          <w:marLeft w:val="806"/>
          <w:marRight w:val="0"/>
          <w:marTop w:val="120"/>
          <w:marBottom w:val="0"/>
          <w:divBdr>
            <w:top w:val="none" w:sz="0" w:space="0" w:color="auto"/>
            <w:left w:val="none" w:sz="0" w:space="0" w:color="auto"/>
            <w:bottom w:val="none" w:sz="0" w:space="0" w:color="auto"/>
            <w:right w:val="none" w:sz="0" w:space="0" w:color="auto"/>
          </w:divBdr>
        </w:div>
        <w:div w:id="1353650457">
          <w:marLeft w:val="274"/>
          <w:marRight w:val="0"/>
          <w:marTop w:val="120"/>
          <w:marBottom w:val="0"/>
          <w:divBdr>
            <w:top w:val="none" w:sz="0" w:space="0" w:color="auto"/>
            <w:left w:val="none" w:sz="0" w:space="0" w:color="auto"/>
            <w:bottom w:val="none" w:sz="0" w:space="0" w:color="auto"/>
            <w:right w:val="none" w:sz="0" w:space="0" w:color="auto"/>
          </w:divBdr>
        </w:div>
      </w:divsChild>
    </w:div>
    <w:div w:id="837159911">
      <w:bodyDiv w:val="1"/>
      <w:marLeft w:val="0"/>
      <w:marRight w:val="0"/>
      <w:marTop w:val="0"/>
      <w:marBottom w:val="0"/>
      <w:divBdr>
        <w:top w:val="none" w:sz="0" w:space="0" w:color="auto"/>
        <w:left w:val="none" w:sz="0" w:space="0" w:color="auto"/>
        <w:bottom w:val="none" w:sz="0" w:space="0" w:color="auto"/>
        <w:right w:val="none" w:sz="0" w:space="0" w:color="auto"/>
      </w:divBdr>
      <w:divsChild>
        <w:div w:id="188221065">
          <w:marLeft w:val="1166"/>
          <w:marRight w:val="0"/>
          <w:marTop w:val="86"/>
          <w:marBottom w:val="0"/>
          <w:divBdr>
            <w:top w:val="none" w:sz="0" w:space="0" w:color="auto"/>
            <w:left w:val="none" w:sz="0" w:space="0" w:color="auto"/>
            <w:bottom w:val="none" w:sz="0" w:space="0" w:color="auto"/>
            <w:right w:val="none" w:sz="0" w:space="0" w:color="auto"/>
          </w:divBdr>
        </w:div>
        <w:div w:id="393242162">
          <w:marLeft w:val="1166"/>
          <w:marRight w:val="0"/>
          <w:marTop w:val="86"/>
          <w:marBottom w:val="0"/>
          <w:divBdr>
            <w:top w:val="none" w:sz="0" w:space="0" w:color="auto"/>
            <w:left w:val="none" w:sz="0" w:space="0" w:color="auto"/>
            <w:bottom w:val="none" w:sz="0" w:space="0" w:color="auto"/>
            <w:right w:val="none" w:sz="0" w:space="0" w:color="auto"/>
          </w:divBdr>
        </w:div>
        <w:div w:id="554780289">
          <w:marLeft w:val="547"/>
          <w:marRight w:val="0"/>
          <w:marTop w:val="106"/>
          <w:marBottom w:val="0"/>
          <w:divBdr>
            <w:top w:val="none" w:sz="0" w:space="0" w:color="auto"/>
            <w:left w:val="none" w:sz="0" w:space="0" w:color="auto"/>
            <w:bottom w:val="none" w:sz="0" w:space="0" w:color="auto"/>
            <w:right w:val="none" w:sz="0" w:space="0" w:color="auto"/>
          </w:divBdr>
        </w:div>
        <w:div w:id="710765609">
          <w:marLeft w:val="1166"/>
          <w:marRight w:val="0"/>
          <w:marTop w:val="86"/>
          <w:marBottom w:val="0"/>
          <w:divBdr>
            <w:top w:val="none" w:sz="0" w:space="0" w:color="auto"/>
            <w:left w:val="none" w:sz="0" w:space="0" w:color="auto"/>
            <w:bottom w:val="none" w:sz="0" w:space="0" w:color="auto"/>
            <w:right w:val="none" w:sz="0" w:space="0" w:color="auto"/>
          </w:divBdr>
        </w:div>
        <w:div w:id="1202865565">
          <w:marLeft w:val="1166"/>
          <w:marRight w:val="0"/>
          <w:marTop w:val="86"/>
          <w:marBottom w:val="0"/>
          <w:divBdr>
            <w:top w:val="none" w:sz="0" w:space="0" w:color="auto"/>
            <w:left w:val="none" w:sz="0" w:space="0" w:color="auto"/>
            <w:bottom w:val="none" w:sz="0" w:space="0" w:color="auto"/>
            <w:right w:val="none" w:sz="0" w:space="0" w:color="auto"/>
          </w:divBdr>
        </w:div>
        <w:div w:id="1229072107">
          <w:marLeft w:val="547"/>
          <w:marRight w:val="0"/>
          <w:marTop w:val="106"/>
          <w:marBottom w:val="0"/>
          <w:divBdr>
            <w:top w:val="none" w:sz="0" w:space="0" w:color="auto"/>
            <w:left w:val="none" w:sz="0" w:space="0" w:color="auto"/>
            <w:bottom w:val="none" w:sz="0" w:space="0" w:color="auto"/>
            <w:right w:val="none" w:sz="0" w:space="0" w:color="auto"/>
          </w:divBdr>
        </w:div>
        <w:div w:id="1519082989">
          <w:marLeft w:val="547"/>
          <w:marRight w:val="0"/>
          <w:marTop w:val="106"/>
          <w:marBottom w:val="0"/>
          <w:divBdr>
            <w:top w:val="none" w:sz="0" w:space="0" w:color="auto"/>
            <w:left w:val="none" w:sz="0" w:space="0" w:color="auto"/>
            <w:bottom w:val="none" w:sz="0" w:space="0" w:color="auto"/>
            <w:right w:val="none" w:sz="0" w:space="0" w:color="auto"/>
          </w:divBdr>
        </w:div>
        <w:div w:id="1650860119">
          <w:marLeft w:val="1800"/>
          <w:marRight w:val="0"/>
          <w:marTop w:val="67"/>
          <w:marBottom w:val="0"/>
          <w:divBdr>
            <w:top w:val="none" w:sz="0" w:space="0" w:color="auto"/>
            <w:left w:val="none" w:sz="0" w:space="0" w:color="auto"/>
            <w:bottom w:val="none" w:sz="0" w:space="0" w:color="auto"/>
            <w:right w:val="none" w:sz="0" w:space="0" w:color="auto"/>
          </w:divBdr>
        </w:div>
        <w:div w:id="1731541164">
          <w:marLeft w:val="1166"/>
          <w:marRight w:val="0"/>
          <w:marTop w:val="86"/>
          <w:marBottom w:val="0"/>
          <w:divBdr>
            <w:top w:val="none" w:sz="0" w:space="0" w:color="auto"/>
            <w:left w:val="none" w:sz="0" w:space="0" w:color="auto"/>
            <w:bottom w:val="none" w:sz="0" w:space="0" w:color="auto"/>
            <w:right w:val="none" w:sz="0" w:space="0" w:color="auto"/>
          </w:divBdr>
        </w:div>
        <w:div w:id="1772892375">
          <w:marLeft w:val="1800"/>
          <w:marRight w:val="0"/>
          <w:marTop w:val="67"/>
          <w:marBottom w:val="0"/>
          <w:divBdr>
            <w:top w:val="none" w:sz="0" w:space="0" w:color="auto"/>
            <w:left w:val="none" w:sz="0" w:space="0" w:color="auto"/>
            <w:bottom w:val="none" w:sz="0" w:space="0" w:color="auto"/>
            <w:right w:val="none" w:sz="0" w:space="0" w:color="auto"/>
          </w:divBdr>
        </w:div>
        <w:div w:id="1857034639">
          <w:marLeft w:val="1166"/>
          <w:marRight w:val="0"/>
          <w:marTop w:val="86"/>
          <w:marBottom w:val="0"/>
          <w:divBdr>
            <w:top w:val="none" w:sz="0" w:space="0" w:color="auto"/>
            <w:left w:val="none" w:sz="0" w:space="0" w:color="auto"/>
            <w:bottom w:val="none" w:sz="0" w:space="0" w:color="auto"/>
            <w:right w:val="none" w:sz="0" w:space="0" w:color="auto"/>
          </w:divBdr>
        </w:div>
        <w:div w:id="1952083649">
          <w:marLeft w:val="1800"/>
          <w:marRight w:val="0"/>
          <w:marTop w:val="67"/>
          <w:marBottom w:val="0"/>
          <w:divBdr>
            <w:top w:val="none" w:sz="0" w:space="0" w:color="auto"/>
            <w:left w:val="none" w:sz="0" w:space="0" w:color="auto"/>
            <w:bottom w:val="none" w:sz="0" w:space="0" w:color="auto"/>
            <w:right w:val="none" w:sz="0" w:space="0" w:color="auto"/>
          </w:divBdr>
        </w:div>
      </w:divsChild>
    </w:div>
    <w:div w:id="837308478">
      <w:bodyDiv w:val="1"/>
      <w:marLeft w:val="0"/>
      <w:marRight w:val="0"/>
      <w:marTop w:val="0"/>
      <w:marBottom w:val="0"/>
      <w:divBdr>
        <w:top w:val="none" w:sz="0" w:space="0" w:color="auto"/>
        <w:left w:val="none" w:sz="0" w:space="0" w:color="auto"/>
        <w:bottom w:val="none" w:sz="0" w:space="0" w:color="auto"/>
        <w:right w:val="none" w:sz="0" w:space="0" w:color="auto"/>
      </w:divBdr>
    </w:div>
    <w:div w:id="837962282">
      <w:bodyDiv w:val="1"/>
      <w:marLeft w:val="0"/>
      <w:marRight w:val="0"/>
      <w:marTop w:val="0"/>
      <w:marBottom w:val="0"/>
      <w:divBdr>
        <w:top w:val="none" w:sz="0" w:space="0" w:color="auto"/>
        <w:left w:val="none" w:sz="0" w:space="0" w:color="auto"/>
        <w:bottom w:val="none" w:sz="0" w:space="0" w:color="auto"/>
        <w:right w:val="none" w:sz="0" w:space="0" w:color="auto"/>
      </w:divBdr>
    </w:div>
    <w:div w:id="838696095">
      <w:bodyDiv w:val="1"/>
      <w:marLeft w:val="0"/>
      <w:marRight w:val="0"/>
      <w:marTop w:val="0"/>
      <w:marBottom w:val="0"/>
      <w:divBdr>
        <w:top w:val="none" w:sz="0" w:space="0" w:color="auto"/>
        <w:left w:val="none" w:sz="0" w:space="0" w:color="auto"/>
        <w:bottom w:val="none" w:sz="0" w:space="0" w:color="auto"/>
        <w:right w:val="none" w:sz="0" w:space="0" w:color="auto"/>
      </w:divBdr>
    </w:div>
    <w:div w:id="839155206">
      <w:bodyDiv w:val="1"/>
      <w:marLeft w:val="0"/>
      <w:marRight w:val="0"/>
      <w:marTop w:val="0"/>
      <w:marBottom w:val="0"/>
      <w:divBdr>
        <w:top w:val="none" w:sz="0" w:space="0" w:color="auto"/>
        <w:left w:val="none" w:sz="0" w:space="0" w:color="auto"/>
        <w:bottom w:val="none" w:sz="0" w:space="0" w:color="auto"/>
        <w:right w:val="none" w:sz="0" w:space="0" w:color="auto"/>
      </w:divBdr>
    </w:div>
    <w:div w:id="839344463">
      <w:bodyDiv w:val="1"/>
      <w:marLeft w:val="0"/>
      <w:marRight w:val="0"/>
      <w:marTop w:val="0"/>
      <w:marBottom w:val="0"/>
      <w:divBdr>
        <w:top w:val="none" w:sz="0" w:space="0" w:color="auto"/>
        <w:left w:val="none" w:sz="0" w:space="0" w:color="auto"/>
        <w:bottom w:val="none" w:sz="0" w:space="0" w:color="auto"/>
        <w:right w:val="none" w:sz="0" w:space="0" w:color="auto"/>
      </w:divBdr>
    </w:div>
    <w:div w:id="842087666">
      <w:bodyDiv w:val="1"/>
      <w:marLeft w:val="0"/>
      <w:marRight w:val="0"/>
      <w:marTop w:val="0"/>
      <w:marBottom w:val="0"/>
      <w:divBdr>
        <w:top w:val="none" w:sz="0" w:space="0" w:color="auto"/>
        <w:left w:val="none" w:sz="0" w:space="0" w:color="auto"/>
        <w:bottom w:val="none" w:sz="0" w:space="0" w:color="auto"/>
        <w:right w:val="none" w:sz="0" w:space="0" w:color="auto"/>
      </w:divBdr>
    </w:div>
    <w:div w:id="842205181">
      <w:bodyDiv w:val="1"/>
      <w:marLeft w:val="0"/>
      <w:marRight w:val="0"/>
      <w:marTop w:val="0"/>
      <w:marBottom w:val="0"/>
      <w:divBdr>
        <w:top w:val="none" w:sz="0" w:space="0" w:color="auto"/>
        <w:left w:val="none" w:sz="0" w:space="0" w:color="auto"/>
        <w:bottom w:val="none" w:sz="0" w:space="0" w:color="auto"/>
        <w:right w:val="none" w:sz="0" w:space="0" w:color="auto"/>
      </w:divBdr>
    </w:div>
    <w:div w:id="843589181">
      <w:bodyDiv w:val="1"/>
      <w:marLeft w:val="0"/>
      <w:marRight w:val="0"/>
      <w:marTop w:val="0"/>
      <w:marBottom w:val="0"/>
      <w:divBdr>
        <w:top w:val="none" w:sz="0" w:space="0" w:color="auto"/>
        <w:left w:val="none" w:sz="0" w:space="0" w:color="auto"/>
        <w:bottom w:val="none" w:sz="0" w:space="0" w:color="auto"/>
        <w:right w:val="none" w:sz="0" w:space="0" w:color="auto"/>
      </w:divBdr>
    </w:div>
    <w:div w:id="844325545">
      <w:bodyDiv w:val="1"/>
      <w:marLeft w:val="0"/>
      <w:marRight w:val="0"/>
      <w:marTop w:val="0"/>
      <w:marBottom w:val="0"/>
      <w:divBdr>
        <w:top w:val="none" w:sz="0" w:space="0" w:color="auto"/>
        <w:left w:val="none" w:sz="0" w:space="0" w:color="auto"/>
        <w:bottom w:val="none" w:sz="0" w:space="0" w:color="auto"/>
        <w:right w:val="none" w:sz="0" w:space="0" w:color="auto"/>
      </w:divBdr>
      <w:divsChild>
        <w:div w:id="180239355">
          <w:marLeft w:val="1166"/>
          <w:marRight w:val="0"/>
          <w:marTop w:val="77"/>
          <w:marBottom w:val="0"/>
          <w:divBdr>
            <w:top w:val="none" w:sz="0" w:space="0" w:color="auto"/>
            <w:left w:val="none" w:sz="0" w:space="0" w:color="auto"/>
            <w:bottom w:val="none" w:sz="0" w:space="0" w:color="auto"/>
            <w:right w:val="none" w:sz="0" w:space="0" w:color="auto"/>
          </w:divBdr>
        </w:div>
        <w:div w:id="262033424">
          <w:marLeft w:val="1166"/>
          <w:marRight w:val="0"/>
          <w:marTop w:val="77"/>
          <w:marBottom w:val="0"/>
          <w:divBdr>
            <w:top w:val="none" w:sz="0" w:space="0" w:color="auto"/>
            <w:left w:val="none" w:sz="0" w:space="0" w:color="auto"/>
            <w:bottom w:val="none" w:sz="0" w:space="0" w:color="auto"/>
            <w:right w:val="none" w:sz="0" w:space="0" w:color="auto"/>
          </w:divBdr>
        </w:div>
        <w:div w:id="545408443">
          <w:marLeft w:val="1166"/>
          <w:marRight w:val="0"/>
          <w:marTop w:val="82"/>
          <w:marBottom w:val="0"/>
          <w:divBdr>
            <w:top w:val="none" w:sz="0" w:space="0" w:color="auto"/>
            <w:left w:val="none" w:sz="0" w:space="0" w:color="auto"/>
            <w:bottom w:val="none" w:sz="0" w:space="0" w:color="auto"/>
            <w:right w:val="none" w:sz="0" w:space="0" w:color="auto"/>
          </w:divBdr>
        </w:div>
        <w:div w:id="588928119">
          <w:marLeft w:val="547"/>
          <w:marRight w:val="0"/>
          <w:marTop w:val="77"/>
          <w:marBottom w:val="0"/>
          <w:divBdr>
            <w:top w:val="none" w:sz="0" w:space="0" w:color="auto"/>
            <w:left w:val="none" w:sz="0" w:space="0" w:color="auto"/>
            <w:bottom w:val="none" w:sz="0" w:space="0" w:color="auto"/>
            <w:right w:val="none" w:sz="0" w:space="0" w:color="auto"/>
          </w:divBdr>
        </w:div>
        <w:div w:id="809174322">
          <w:marLeft w:val="1166"/>
          <w:marRight w:val="0"/>
          <w:marTop w:val="77"/>
          <w:marBottom w:val="0"/>
          <w:divBdr>
            <w:top w:val="none" w:sz="0" w:space="0" w:color="auto"/>
            <w:left w:val="none" w:sz="0" w:space="0" w:color="auto"/>
            <w:bottom w:val="none" w:sz="0" w:space="0" w:color="auto"/>
            <w:right w:val="none" w:sz="0" w:space="0" w:color="auto"/>
          </w:divBdr>
        </w:div>
        <w:div w:id="1012680773">
          <w:marLeft w:val="1166"/>
          <w:marRight w:val="0"/>
          <w:marTop w:val="77"/>
          <w:marBottom w:val="0"/>
          <w:divBdr>
            <w:top w:val="none" w:sz="0" w:space="0" w:color="auto"/>
            <w:left w:val="none" w:sz="0" w:space="0" w:color="auto"/>
            <w:bottom w:val="none" w:sz="0" w:space="0" w:color="auto"/>
            <w:right w:val="none" w:sz="0" w:space="0" w:color="auto"/>
          </w:divBdr>
        </w:div>
        <w:div w:id="1283657278">
          <w:marLeft w:val="1166"/>
          <w:marRight w:val="0"/>
          <w:marTop w:val="77"/>
          <w:marBottom w:val="0"/>
          <w:divBdr>
            <w:top w:val="none" w:sz="0" w:space="0" w:color="auto"/>
            <w:left w:val="none" w:sz="0" w:space="0" w:color="auto"/>
            <w:bottom w:val="none" w:sz="0" w:space="0" w:color="auto"/>
            <w:right w:val="none" w:sz="0" w:space="0" w:color="auto"/>
          </w:divBdr>
        </w:div>
        <w:div w:id="1396976735">
          <w:marLeft w:val="1166"/>
          <w:marRight w:val="0"/>
          <w:marTop w:val="77"/>
          <w:marBottom w:val="0"/>
          <w:divBdr>
            <w:top w:val="none" w:sz="0" w:space="0" w:color="auto"/>
            <w:left w:val="none" w:sz="0" w:space="0" w:color="auto"/>
            <w:bottom w:val="none" w:sz="0" w:space="0" w:color="auto"/>
            <w:right w:val="none" w:sz="0" w:space="0" w:color="auto"/>
          </w:divBdr>
        </w:div>
        <w:div w:id="1411922065">
          <w:marLeft w:val="1166"/>
          <w:marRight w:val="0"/>
          <w:marTop w:val="77"/>
          <w:marBottom w:val="0"/>
          <w:divBdr>
            <w:top w:val="none" w:sz="0" w:space="0" w:color="auto"/>
            <w:left w:val="none" w:sz="0" w:space="0" w:color="auto"/>
            <w:bottom w:val="none" w:sz="0" w:space="0" w:color="auto"/>
            <w:right w:val="none" w:sz="0" w:space="0" w:color="auto"/>
          </w:divBdr>
        </w:div>
        <w:div w:id="1551914431">
          <w:marLeft w:val="1166"/>
          <w:marRight w:val="0"/>
          <w:marTop w:val="77"/>
          <w:marBottom w:val="0"/>
          <w:divBdr>
            <w:top w:val="none" w:sz="0" w:space="0" w:color="auto"/>
            <w:left w:val="none" w:sz="0" w:space="0" w:color="auto"/>
            <w:bottom w:val="none" w:sz="0" w:space="0" w:color="auto"/>
            <w:right w:val="none" w:sz="0" w:space="0" w:color="auto"/>
          </w:divBdr>
        </w:div>
        <w:div w:id="1625889651">
          <w:marLeft w:val="547"/>
          <w:marRight w:val="0"/>
          <w:marTop w:val="77"/>
          <w:marBottom w:val="0"/>
          <w:divBdr>
            <w:top w:val="none" w:sz="0" w:space="0" w:color="auto"/>
            <w:left w:val="none" w:sz="0" w:space="0" w:color="auto"/>
            <w:bottom w:val="none" w:sz="0" w:space="0" w:color="auto"/>
            <w:right w:val="none" w:sz="0" w:space="0" w:color="auto"/>
          </w:divBdr>
        </w:div>
        <w:div w:id="1743791862">
          <w:marLeft w:val="547"/>
          <w:marRight w:val="0"/>
          <w:marTop w:val="77"/>
          <w:marBottom w:val="0"/>
          <w:divBdr>
            <w:top w:val="none" w:sz="0" w:space="0" w:color="auto"/>
            <w:left w:val="none" w:sz="0" w:space="0" w:color="auto"/>
            <w:bottom w:val="none" w:sz="0" w:space="0" w:color="auto"/>
            <w:right w:val="none" w:sz="0" w:space="0" w:color="auto"/>
          </w:divBdr>
        </w:div>
      </w:divsChild>
    </w:div>
    <w:div w:id="845943239">
      <w:bodyDiv w:val="1"/>
      <w:marLeft w:val="0"/>
      <w:marRight w:val="0"/>
      <w:marTop w:val="0"/>
      <w:marBottom w:val="0"/>
      <w:divBdr>
        <w:top w:val="none" w:sz="0" w:space="0" w:color="auto"/>
        <w:left w:val="none" w:sz="0" w:space="0" w:color="auto"/>
        <w:bottom w:val="none" w:sz="0" w:space="0" w:color="auto"/>
        <w:right w:val="none" w:sz="0" w:space="0" w:color="auto"/>
      </w:divBdr>
    </w:div>
    <w:div w:id="846135785">
      <w:bodyDiv w:val="1"/>
      <w:marLeft w:val="0"/>
      <w:marRight w:val="0"/>
      <w:marTop w:val="0"/>
      <w:marBottom w:val="0"/>
      <w:divBdr>
        <w:top w:val="none" w:sz="0" w:space="0" w:color="auto"/>
        <w:left w:val="none" w:sz="0" w:space="0" w:color="auto"/>
        <w:bottom w:val="none" w:sz="0" w:space="0" w:color="auto"/>
        <w:right w:val="none" w:sz="0" w:space="0" w:color="auto"/>
      </w:divBdr>
    </w:div>
    <w:div w:id="846407848">
      <w:bodyDiv w:val="1"/>
      <w:marLeft w:val="0"/>
      <w:marRight w:val="0"/>
      <w:marTop w:val="0"/>
      <w:marBottom w:val="0"/>
      <w:divBdr>
        <w:top w:val="none" w:sz="0" w:space="0" w:color="auto"/>
        <w:left w:val="none" w:sz="0" w:space="0" w:color="auto"/>
        <w:bottom w:val="none" w:sz="0" w:space="0" w:color="auto"/>
        <w:right w:val="none" w:sz="0" w:space="0" w:color="auto"/>
      </w:divBdr>
      <w:divsChild>
        <w:div w:id="1722318561">
          <w:marLeft w:val="547"/>
          <w:marRight w:val="0"/>
          <w:marTop w:val="115"/>
          <w:marBottom w:val="0"/>
          <w:divBdr>
            <w:top w:val="none" w:sz="0" w:space="0" w:color="auto"/>
            <w:left w:val="none" w:sz="0" w:space="0" w:color="auto"/>
            <w:bottom w:val="none" w:sz="0" w:space="0" w:color="auto"/>
            <w:right w:val="none" w:sz="0" w:space="0" w:color="auto"/>
          </w:divBdr>
        </w:div>
      </w:divsChild>
    </w:div>
    <w:div w:id="846753303">
      <w:bodyDiv w:val="1"/>
      <w:marLeft w:val="0"/>
      <w:marRight w:val="0"/>
      <w:marTop w:val="0"/>
      <w:marBottom w:val="0"/>
      <w:divBdr>
        <w:top w:val="none" w:sz="0" w:space="0" w:color="auto"/>
        <w:left w:val="none" w:sz="0" w:space="0" w:color="auto"/>
        <w:bottom w:val="none" w:sz="0" w:space="0" w:color="auto"/>
        <w:right w:val="none" w:sz="0" w:space="0" w:color="auto"/>
      </w:divBdr>
    </w:div>
    <w:div w:id="846821398">
      <w:bodyDiv w:val="1"/>
      <w:marLeft w:val="0"/>
      <w:marRight w:val="0"/>
      <w:marTop w:val="0"/>
      <w:marBottom w:val="0"/>
      <w:divBdr>
        <w:top w:val="none" w:sz="0" w:space="0" w:color="auto"/>
        <w:left w:val="none" w:sz="0" w:space="0" w:color="auto"/>
        <w:bottom w:val="none" w:sz="0" w:space="0" w:color="auto"/>
        <w:right w:val="none" w:sz="0" w:space="0" w:color="auto"/>
      </w:divBdr>
    </w:div>
    <w:div w:id="847136262">
      <w:bodyDiv w:val="1"/>
      <w:marLeft w:val="0"/>
      <w:marRight w:val="0"/>
      <w:marTop w:val="0"/>
      <w:marBottom w:val="0"/>
      <w:divBdr>
        <w:top w:val="none" w:sz="0" w:space="0" w:color="auto"/>
        <w:left w:val="none" w:sz="0" w:space="0" w:color="auto"/>
        <w:bottom w:val="none" w:sz="0" w:space="0" w:color="auto"/>
        <w:right w:val="none" w:sz="0" w:space="0" w:color="auto"/>
      </w:divBdr>
    </w:div>
    <w:div w:id="847866606">
      <w:bodyDiv w:val="1"/>
      <w:marLeft w:val="0"/>
      <w:marRight w:val="0"/>
      <w:marTop w:val="0"/>
      <w:marBottom w:val="0"/>
      <w:divBdr>
        <w:top w:val="none" w:sz="0" w:space="0" w:color="auto"/>
        <w:left w:val="none" w:sz="0" w:space="0" w:color="auto"/>
        <w:bottom w:val="none" w:sz="0" w:space="0" w:color="auto"/>
        <w:right w:val="none" w:sz="0" w:space="0" w:color="auto"/>
      </w:divBdr>
    </w:div>
    <w:div w:id="848325548">
      <w:bodyDiv w:val="1"/>
      <w:marLeft w:val="0"/>
      <w:marRight w:val="0"/>
      <w:marTop w:val="0"/>
      <w:marBottom w:val="0"/>
      <w:divBdr>
        <w:top w:val="none" w:sz="0" w:space="0" w:color="auto"/>
        <w:left w:val="none" w:sz="0" w:space="0" w:color="auto"/>
        <w:bottom w:val="none" w:sz="0" w:space="0" w:color="auto"/>
        <w:right w:val="none" w:sz="0" w:space="0" w:color="auto"/>
      </w:divBdr>
    </w:div>
    <w:div w:id="848909445">
      <w:bodyDiv w:val="1"/>
      <w:marLeft w:val="0"/>
      <w:marRight w:val="0"/>
      <w:marTop w:val="0"/>
      <w:marBottom w:val="0"/>
      <w:divBdr>
        <w:top w:val="none" w:sz="0" w:space="0" w:color="auto"/>
        <w:left w:val="none" w:sz="0" w:space="0" w:color="auto"/>
        <w:bottom w:val="none" w:sz="0" w:space="0" w:color="auto"/>
        <w:right w:val="none" w:sz="0" w:space="0" w:color="auto"/>
      </w:divBdr>
      <w:divsChild>
        <w:div w:id="553466045">
          <w:marLeft w:val="1166"/>
          <w:marRight w:val="0"/>
          <w:marTop w:val="115"/>
          <w:marBottom w:val="0"/>
          <w:divBdr>
            <w:top w:val="none" w:sz="0" w:space="0" w:color="auto"/>
            <w:left w:val="none" w:sz="0" w:space="0" w:color="auto"/>
            <w:bottom w:val="none" w:sz="0" w:space="0" w:color="auto"/>
            <w:right w:val="none" w:sz="0" w:space="0" w:color="auto"/>
          </w:divBdr>
        </w:div>
        <w:div w:id="577792158">
          <w:marLeft w:val="547"/>
          <w:marRight w:val="0"/>
          <w:marTop w:val="130"/>
          <w:marBottom w:val="0"/>
          <w:divBdr>
            <w:top w:val="none" w:sz="0" w:space="0" w:color="auto"/>
            <w:left w:val="none" w:sz="0" w:space="0" w:color="auto"/>
            <w:bottom w:val="none" w:sz="0" w:space="0" w:color="auto"/>
            <w:right w:val="none" w:sz="0" w:space="0" w:color="auto"/>
          </w:divBdr>
        </w:div>
        <w:div w:id="933250545">
          <w:marLeft w:val="1166"/>
          <w:marRight w:val="0"/>
          <w:marTop w:val="115"/>
          <w:marBottom w:val="0"/>
          <w:divBdr>
            <w:top w:val="none" w:sz="0" w:space="0" w:color="auto"/>
            <w:left w:val="none" w:sz="0" w:space="0" w:color="auto"/>
            <w:bottom w:val="none" w:sz="0" w:space="0" w:color="auto"/>
            <w:right w:val="none" w:sz="0" w:space="0" w:color="auto"/>
          </w:divBdr>
        </w:div>
        <w:div w:id="1060177438">
          <w:marLeft w:val="547"/>
          <w:marRight w:val="0"/>
          <w:marTop w:val="130"/>
          <w:marBottom w:val="0"/>
          <w:divBdr>
            <w:top w:val="none" w:sz="0" w:space="0" w:color="auto"/>
            <w:left w:val="none" w:sz="0" w:space="0" w:color="auto"/>
            <w:bottom w:val="none" w:sz="0" w:space="0" w:color="auto"/>
            <w:right w:val="none" w:sz="0" w:space="0" w:color="auto"/>
          </w:divBdr>
        </w:div>
        <w:div w:id="1782995640">
          <w:marLeft w:val="1166"/>
          <w:marRight w:val="0"/>
          <w:marTop w:val="115"/>
          <w:marBottom w:val="0"/>
          <w:divBdr>
            <w:top w:val="none" w:sz="0" w:space="0" w:color="auto"/>
            <w:left w:val="none" w:sz="0" w:space="0" w:color="auto"/>
            <w:bottom w:val="none" w:sz="0" w:space="0" w:color="auto"/>
            <w:right w:val="none" w:sz="0" w:space="0" w:color="auto"/>
          </w:divBdr>
        </w:div>
      </w:divsChild>
    </w:div>
    <w:div w:id="849492326">
      <w:bodyDiv w:val="1"/>
      <w:marLeft w:val="0"/>
      <w:marRight w:val="0"/>
      <w:marTop w:val="0"/>
      <w:marBottom w:val="0"/>
      <w:divBdr>
        <w:top w:val="none" w:sz="0" w:space="0" w:color="auto"/>
        <w:left w:val="none" w:sz="0" w:space="0" w:color="auto"/>
        <w:bottom w:val="none" w:sz="0" w:space="0" w:color="auto"/>
        <w:right w:val="none" w:sz="0" w:space="0" w:color="auto"/>
      </w:divBdr>
    </w:div>
    <w:div w:id="849563682">
      <w:bodyDiv w:val="1"/>
      <w:marLeft w:val="0"/>
      <w:marRight w:val="0"/>
      <w:marTop w:val="0"/>
      <w:marBottom w:val="0"/>
      <w:divBdr>
        <w:top w:val="none" w:sz="0" w:space="0" w:color="auto"/>
        <w:left w:val="none" w:sz="0" w:space="0" w:color="auto"/>
        <w:bottom w:val="none" w:sz="0" w:space="0" w:color="auto"/>
        <w:right w:val="none" w:sz="0" w:space="0" w:color="auto"/>
      </w:divBdr>
    </w:div>
    <w:div w:id="849953244">
      <w:bodyDiv w:val="1"/>
      <w:marLeft w:val="0"/>
      <w:marRight w:val="0"/>
      <w:marTop w:val="0"/>
      <w:marBottom w:val="0"/>
      <w:divBdr>
        <w:top w:val="none" w:sz="0" w:space="0" w:color="auto"/>
        <w:left w:val="none" w:sz="0" w:space="0" w:color="auto"/>
        <w:bottom w:val="none" w:sz="0" w:space="0" w:color="auto"/>
        <w:right w:val="none" w:sz="0" w:space="0" w:color="auto"/>
      </w:divBdr>
    </w:div>
    <w:div w:id="850610988">
      <w:bodyDiv w:val="1"/>
      <w:marLeft w:val="0"/>
      <w:marRight w:val="0"/>
      <w:marTop w:val="0"/>
      <w:marBottom w:val="0"/>
      <w:divBdr>
        <w:top w:val="none" w:sz="0" w:space="0" w:color="auto"/>
        <w:left w:val="none" w:sz="0" w:space="0" w:color="auto"/>
        <w:bottom w:val="none" w:sz="0" w:space="0" w:color="auto"/>
        <w:right w:val="none" w:sz="0" w:space="0" w:color="auto"/>
      </w:divBdr>
      <w:divsChild>
        <w:div w:id="111635819">
          <w:marLeft w:val="547"/>
          <w:marRight w:val="0"/>
          <w:marTop w:val="134"/>
          <w:marBottom w:val="0"/>
          <w:divBdr>
            <w:top w:val="none" w:sz="0" w:space="0" w:color="auto"/>
            <w:left w:val="none" w:sz="0" w:space="0" w:color="auto"/>
            <w:bottom w:val="none" w:sz="0" w:space="0" w:color="auto"/>
            <w:right w:val="none" w:sz="0" w:space="0" w:color="auto"/>
          </w:divBdr>
        </w:div>
        <w:div w:id="723022871">
          <w:marLeft w:val="1166"/>
          <w:marRight w:val="0"/>
          <w:marTop w:val="134"/>
          <w:marBottom w:val="0"/>
          <w:divBdr>
            <w:top w:val="none" w:sz="0" w:space="0" w:color="auto"/>
            <w:left w:val="none" w:sz="0" w:space="0" w:color="auto"/>
            <w:bottom w:val="none" w:sz="0" w:space="0" w:color="auto"/>
            <w:right w:val="none" w:sz="0" w:space="0" w:color="auto"/>
          </w:divBdr>
        </w:div>
        <w:div w:id="790242153">
          <w:marLeft w:val="547"/>
          <w:marRight w:val="0"/>
          <w:marTop w:val="154"/>
          <w:marBottom w:val="0"/>
          <w:divBdr>
            <w:top w:val="none" w:sz="0" w:space="0" w:color="auto"/>
            <w:left w:val="none" w:sz="0" w:space="0" w:color="auto"/>
            <w:bottom w:val="none" w:sz="0" w:space="0" w:color="auto"/>
            <w:right w:val="none" w:sz="0" w:space="0" w:color="auto"/>
          </w:divBdr>
        </w:div>
        <w:div w:id="920915935">
          <w:marLeft w:val="547"/>
          <w:marRight w:val="0"/>
          <w:marTop w:val="134"/>
          <w:marBottom w:val="0"/>
          <w:divBdr>
            <w:top w:val="none" w:sz="0" w:space="0" w:color="auto"/>
            <w:left w:val="none" w:sz="0" w:space="0" w:color="auto"/>
            <w:bottom w:val="none" w:sz="0" w:space="0" w:color="auto"/>
            <w:right w:val="none" w:sz="0" w:space="0" w:color="auto"/>
          </w:divBdr>
        </w:div>
        <w:div w:id="1161385895">
          <w:marLeft w:val="1166"/>
          <w:marRight w:val="0"/>
          <w:marTop w:val="134"/>
          <w:marBottom w:val="0"/>
          <w:divBdr>
            <w:top w:val="none" w:sz="0" w:space="0" w:color="auto"/>
            <w:left w:val="none" w:sz="0" w:space="0" w:color="auto"/>
            <w:bottom w:val="none" w:sz="0" w:space="0" w:color="auto"/>
            <w:right w:val="none" w:sz="0" w:space="0" w:color="auto"/>
          </w:divBdr>
        </w:div>
        <w:div w:id="1808552160">
          <w:marLeft w:val="1166"/>
          <w:marRight w:val="0"/>
          <w:marTop w:val="115"/>
          <w:marBottom w:val="0"/>
          <w:divBdr>
            <w:top w:val="none" w:sz="0" w:space="0" w:color="auto"/>
            <w:left w:val="none" w:sz="0" w:space="0" w:color="auto"/>
            <w:bottom w:val="none" w:sz="0" w:space="0" w:color="auto"/>
            <w:right w:val="none" w:sz="0" w:space="0" w:color="auto"/>
          </w:divBdr>
        </w:div>
      </w:divsChild>
    </w:div>
    <w:div w:id="850725873">
      <w:bodyDiv w:val="1"/>
      <w:marLeft w:val="0"/>
      <w:marRight w:val="0"/>
      <w:marTop w:val="0"/>
      <w:marBottom w:val="0"/>
      <w:divBdr>
        <w:top w:val="none" w:sz="0" w:space="0" w:color="auto"/>
        <w:left w:val="none" w:sz="0" w:space="0" w:color="auto"/>
        <w:bottom w:val="none" w:sz="0" w:space="0" w:color="auto"/>
        <w:right w:val="none" w:sz="0" w:space="0" w:color="auto"/>
      </w:divBdr>
      <w:divsChild>
        <w:div w:id="197133527">
          <w:marLeft w:val="547"/>
          <w:marRight w:val="0"/>
          <w:marTop w:val="192"/>
          <w:marBottom w:val="0"/>
          <w:divBdr>
            <w:top w:val="none" w:sz="0" w:space="0" w:color="auto"/>
            <w:left w:val="none" w:sz="0" w:space="0" w:color="auto"/>
            <w:bottom w:val="none" w:sz="0" w:space="0" w:color="auto"/>
            <w:right w:val="none" w:sz="0" w:space="0" w:color="auto"/>
          </w:divBdr>
        </w:div>
      </w:divsChild>
    </w:div>
    <w:div w:id="851913036">
      <w:bodyDiv w:val="1"/>
      <w:marLeft w:val="0"/>
      <w:marRight w:val="0"/>
      <w:marTop w:val="0"/>
      <w:marBottom w:val="0"/>
      <w:divBdr>
        <w:top w:val="none" w:sz="0" w:space="0" w:color="auto"/>
        <w:left w:val="none" w:sz="0" w:space="0" w:color="auto"/>
        <w:bottom w:val="none" w:sz="0" w:space="0" w:color="auto"/>
        <w:right w:val="none" w:sz="0" w:space="0" w:color="auto"/>
      </w:divBdr>
    </w:div>
    <w:div w:id="851921904">
      <w:bodyDiv w:val="1"/>
      <w:marLeft w:val="0"/>
      <w:marRight w:val="0"/>
      <w:marTop w:val="0"/>
      <w:marBottom w:val="0"/>
      <w:divBdr>
        <w:top w:val="none" w:sz="0" w:space="0" w:color="auto"/>
        <w:left w:val="none" w:sz="0" w:space="0" w:color="auto"/>
        <w:bottom w:val="none" w:sz="0" w:space="0" w:color="auto"/>
        <w:right w:val="none" w:sz="0" w:space="0" w:color="auto"/>
      </w:divBdr>
      <w:divsChild>
        <w:div w:id="702484672">
          <w:marLeft w:val="0"/>
          <w:marRight w:val="0"/>
          <w:marTop w:val="0"/>
          <w:marBottom w:val="0"/>
          <w:divBdr>
            <w:top w:val="none" w:sz="0" w:space="0" w:color="auto"/>
            <w:left w:val="none" w:sz="0" w:space="0" w:color="auto"/>
            <w:bottom w:val="none" w:sz="0" w:space="0" w:color="auto"/>
            <w:right w:val="none" w:sz="0" w:space="0" w:color="auto"/>
          </w:divBdr>
        </w:div>
      </w:divsChild>
    </w:div>
    <w:div w:id="853150053">
      <w:bodyDiv w:val="1"/>
      <w:marLeft w:val="0"/>
      <w:marRight w:val="0"/>
      <w:marTop w:val="0"/>
      <w:marBottom w:val="0"/>
      <w:divBdr>
        <w:top w:val="none" w:sz="0" w:space="0" w:color="auto"/>
        <w:left w:val="none" w:sz="0" w:space="0" w:color="auto"/>
        <w:bottom w:val="none" w:sz="0" w:space="0" w:color="auto"/>
        <w:right w:val="none" w:sz="0" w:space="0" w:color="auto"/>
      </w:divBdr>
      <w:divsChild>
        <w:div w:id="521240012">
          <w:marLeft w:val="547"/>
          <w:marRight w:val="0"/>
          <w:marTop w:val="154"/>
          <w:marBottom w:val="0"/>
          <w:divBdr>
            <w:top w:val="none" w:sz="0" w:space="0" w:color="auto"/>
            <w:left w:val="none" w:sz="0" w:space="0" w:color="auto"/>
            <w:bottom w:val="none" w:sz="0" w:space="0" w:color="auto"/>
            <w:right w:val="none" w:sz="0" w:space="0" w:color="auto"/>
          </w:divBdr>
        </w:div>
        <w:div w:id="1701587191">
          <w:marLeft w:val="1166"/>
          <w:marRight w:val="0"/>
          <w:marTop w:val="134"/>
          <w:marBottom w:val="0"/>
          <w:divBdr>
            <w:top w:val="none" w:sz="0" w:space="0" w:color="auto"/>
            <w:left w:val="none" w:sz="0" w:space="0" w:color="auto"/>
            <w:bottom w:val="none" w:sz="0" w:space="0" w:color="auto"/>
            <w:right w:val="none" w:sz="0" w:space="0" w:color="auto"/>
          </w:divBdr>
        </w:div>
      </w:divsChild>
    </w:div>
    <w:div w:id="853694330">
      <w:bodyDiv w:val="1"/>
      <w:marLeft w:val="0"/>
      <w:marRight w:val="0"/>
      <w:marTop w:val="0"/>
      <w:marBottom w:val="0"/>
      <w:divBdr>
        <w:top w:val="none" w:sz="0" w:space="0" w:color="auto"/>
        <w:left w:val="none" w:sz="0" w:space="0" w:color="auto"/>
        <w:bottom w:val="none" w:sz="0" w:space="0" w:color="auto"/>
        <w:right w:val="none" w:sz="0" w:space="0" w:color="auto"/>
      </w:divBdr>
    </w:div>
    <w:div w:id="854463512">
      <w:bodyDiv w:val="1"/>
      <w:marLeft w:val="0"/>
      <w:marRight w:val="0"/>
      <w:marTop w:val="0"/>
      <w:marBottom w:val="0"/>
      <w:divBdr>
        <w:top w:val="none" w:sz="0" w:space="0" w:color="auto"/>
        <w:left w:val="none" w:sz="0" w:space="0" w:color="auto"/>
        <w:bottom w:val="none" w:sz="0" w:space="0" w:color="auto"/>
        <w:right w:val="none" w:sz="0" w:space="0" w:color="auto"/>
      </w:divBdr>
    </w:div>
    <w:div w:id="855077253">
      <w:bodyDiv w:val="1"/>
      <w:marLeft w:val="0"/>
      <w:marRight w:val="0"/>
      <w:marTop w:val="0"/>
      <w:marBottom w:val="0"/>
      <w:divBdr>
        <w:top w:val="none" w:sz="0" w:space="0" w:color="auto"/>
        <w:left w:val="none" w:sz="0" w:space="0" w:color="auto"/>
        <w:bottom w:val="none" w:sz="0" w:space="0" w:color="auto"/>
        <w:right w:val="none" w:sz="0" w:space="0" w:color="auto"/>
      </w:divBdr>
      <w:divsChild>
        <w:div w:id="219750653">
          <w:marLeft w:val="1166"/>
          <w:marRight w:val="0"/>
          <w:marTop w:val="96"/>
          <w:marBottom w:val="0"/>
          <w:divBdr>
            <w:top w:val="none" w:sz="0" w:space="0" w:color="auto"/>
            <w:left w:val="none" w:sz="0" w:space="0" w:color="auto"/>
            <w:bottom w:val="none" w:sz="0" w:space="0" w:color="auto"/>
            <w:right w:val="none" w:sz="0" w:space="0" w:color="auto"/>
          </w:divBdr>
        </w:div>
        <w:div w:id="299261809">
          <w:marLeft w:val="1166"/>
          <w:marRight w:val="0"/>
          <w:marTop w:val="96"/>
          <w:marBottom w:val="0"/>
          <w:divBdr>
            <w:top w:val="none" w:sz="0" w:space="0" w:color="auto"/>
            <w:left w:val="none" w:sz="0" w:space="0" w:color="auto"/>
            <w:bottom w:val="none" w:sz="0" w:space="0" w:color="auto"/>
            <w:right w:val="none" w:sz="0" w:space="0" w:color="auto"/>
          </w:divBdr>
        </w:div>
        <w:div w:id="498692212">
          <w:marLeft w:val="1166"/>
          <w:marRight w:val="0"/>
          <w:marTop w:val="96"/>
          <w:marBottom w:val="0"/>
          <w:divBdr>
            <w:top w:val="none" w:sz="0" w:space="0" w:color="auto"/>
            <w:left w:val="none" w:sz="0" w:space="0" w:color="auto"/>
            <w:bottom w:val="none" w:sz="0" w:space="0" w:color="auto"/>
            <w:right w:val="none" w:sz="0" w:space="0" w:color="auto"/>
          </w:divBdr>
        </w:div>
        <w:div w:id="1058359284">
          <w:marLeft w:val="547"/>
          <w:marRight w:val="0"/>
          <w:marTop w:val="115"/>
          <w:marBottom w:val="0"/>
          <w:divBdr>
            <w:top w:val="none" w:sz="0" w:space="0" w:color="auto"/>
            <w:left w:val="none" w:sz="0" w:space="0" w:color="auto"/>
            <w:bottom w:val="none" w:sz="0" w:space="0" w:color="auto"/>
            <w:right w:val="none" w:sz="0" w:space="0" w:color="auto"/>
          </w:divBdr>
        </w:div>
        <w:div w:id="1143305939">
          <w:marLeft w:val="1800"/>
          <w:marRight w:val="0"/>
          <w:marTop w:val="86"/>
          <w:marBottom w:val="0"/>
          <w:divBdr>
            <w:top w:val="none" w:sz="0" w:space="0" w:color="auto"/>
            <w:left w:val="none" w:sz="0" w:space="0" w:color="auto"/>
            <w:bottom w:val="none" w:sz="0" w:space="0" w:color="auto"/>
            <w:right w:val="none" w:sz="0" w:space="0" w:color="auto"/>
          </w:divBdr>
        </w:div>
        <w:div w:id="1368943238">
          <w:marLeft w:val="1800"/>
          <w:marRight w:val="0"/>
          <w:marTop w:val="86"/>
          <w:marBottom w:val="0"/>
          <w:divBdr>
            <w:top w:val="none" w:sz="0" w:space="0" w:color="auto"/>
            <w:left w:val="none" w:sz="0" w:space="0" w:color="auto"/>
            <w:bottom w:val="none" w:sz="0" w:space="0" w:color="auto"/>
            <w:right w:val="none" w:sz="0" w:space="0" w:color="auto"/>
          </w:divBdr>
        </w:div>
        <w:div w:id="1533222251">
          <w:marLeft w:val="1800"/>
          <w:marRight w:val="0"/>
          <w:marTop w:val="86"/>
          <w:marBottom w:val="0"/>
          <w:divBdr>
            <w:top w:val="none" w:sz="0" w:space="0" w:color="auto"/>
            <w:left w:val="none" w:sz="0" w:space="0" w:color="auto"/>
            <w:bottom w:val="none" w:sz="0" w:space="0" w:color="auto"/>
            <w:right w:val="none" w:sz="0" w:space="0" w:color="auto"/>
          </w:divBdr>
        </w:div>
        <w:div w:id="1556546399">
          <w:marLeft w:val="1166"/>
          <w:marRight w:val="0"/>
          <w:marTop w:val="96"/>
          <w:marBottom w:val="0"/>
          <w:divBdr>
            <w:top w:val="none" w:sz="0" w:space="0" w:color="auto"/>
            <w:left w:val="none" w:sz="0" w:space="0" w:color="auto"/>
            <w:bottom w:val="none" w:sz="0" w:space="0" w:color="auto"/>
            <w:right w:val="none" w:sz="0" w:space="0" w:color="auto"/>
          </w:divBdr>
        </w:div>
        <w:div w:id="1806971263">
          <w:marLeft w:val="2520"/>
          <w:marRight w:val="0"/>
          <w:marTop w:val="67"/>
          <w:marBottom w:val="0"/>
          <w:divBdr>
            <w:top w:val="none" w:sz="0" w:space="0" w:color="auto"/>
            <w:left w:val="none" w:sz="0" w:space="0" w:color="auto"/>
            <w:bottom w:val="none" w:sz="0" w:space="0" w:color="auto"/>
            <w:right w:val="none" w:sz="0" w:space="0" w:color="auto"/>
          </w:divBdr>
        </w:div>
      </w:divsChild>
    </w:div>
    <w:div w:id="856887651">
      <w:bodyDiv w:val="1"/>
      <w:marLeft w:val="0"/>
      <w:marRight w:val="0"/>
      <w:marTop w:val="0"/>
      <w:marBottom w:val="0"/>
      <w:divBdr>
        <w:top w:val="none" w:sz="0" w:space="0" w:color="auto"/>
        <w:left w:val="none" w:sz="0" w:space="0" w:color="auto"/>
        <w:bottom w:val="none" w:sz="0" w:space="0" w:color="auto"/>
        <w:right w:val="none" w:sz="0" w:space="0" w:color="auto"/>
      </w:divBdr>
      <w:divsChild>
        <w:div w:id="249200230">
          <w:marLeft w:val="1267"/>
          <w:marRight w:val="0"/>
          <w:marTop w:val="96"/>
          <w:marBottom w:val="0"/>
          <w:divBdr>
            <w:top w:val="none" w:sz="0" w:space="0" w:color="auto"/>
            <w:left w:val="none" w:sz="0" w:space="0" w:color="auto"/>
            <w:bottom w:val="none" w:sz="0" w:space="0" w:color="auto"/>
            <w:right w:val="none" w:sz="0" w:space="0" w:color="auto"/>
          </w:divBdr>
        </w:div>
        <w:div w:id="723525832">
          <w:marLeft w:val="1166"/>
          <w:marRight w:val="0"/>
          <w:marTop w:val="96"/>
          <w:marBottom w:val="0"/>
          <w:divBdr>
            <w:top w:val="none" w:sz="0" w:space="0" w:color="auto"/>
            <w:left w:val="none" w:sz="0" w:space="0" w:color="auto"/>
            <w:bottom w:val="none" w:sz="0" w:space="0" w:color="auto"/>
            <w:right w:val="none" w:sz="0" w:space="0" w:color="auto"/>
          </w:divBdr>
        </w:div>
        <w:div w:id="946812038">
          <w:marLeft w:val="1166"/>
          <w:marRight w:val="0"/>
          <w:marTop w:val="96"/>
          <w:marBottom w:val="0"/>
          <w:divBdr>
            <w:top w:val="none" w:sz="0" w:space="0" w:color="auto"/>
            <w:left w:val="none" w:sz="0" w:space="0" w:color="auto"/>
            <w:bottom w:val="none" w:sz="0" w:space="0" w:color="auto"/>
            <w:right w:val="none" w:sz="0" w:space="0" w:color="auto"/>
          </w:divBdr>
        </w:div>
        <w:div w:id="981349168">
          <w:marLeft w:val="1166"/>
          <w:marRight w:val="0"/>
          <w:marTop w:val="96"/>
          <w:marBottom w:val="0"/>
          <w:divBdr>
            <w:top w:val="none" w:sz="0" w:space="0" w:color="auto"/>
            <w:left w:val="none" w:sz="0" w:space="0" w:color="auto"/>
            <w:bottom w:val="none" w:sz="0" w:space="0" w:color="auto"/>
            <w:right w:val="none" w:sz="0" w:space="0" w:color="auto"/>
          </w:divBdr>
        </w:div>
        <w:div w:id="1116828041">
          <w:marLeft w:val="547"/>
          <w:marRight w:val="0"/>
          <w:marTop w:val="106"/>
          <w:marBottom w:val="0"/>
          <w:divBdr>
            <w:top w:val="none" w:sz="0" w:space="0" w:color="auto"/>
            <w:left w:val="none" w:sz="0" w:space="0" w:color="auto"/>
            <w:bottom w:val="none" w:sz="0" w:space="0" w:color="auto"/>
            <w:right w:val="none" w:sz="0" w:space="0" w:color="auto"/>
          </w:divBdr>
        </w:div>
        <w:div w:id="1689524682">
          <w:marLeft w:val="1166"/>
          <w:marRight w:val="0"/>
          <w:marTop w:val="96"/>
          <w:marBottom w:val="0"/>
          <w:divBdr>
            <w:top w:val="none" w:sz="0" w:space="0" w:color="auto"/>
            <w:left w:val="none" w:sz="0" w:space="0" w:color="auto"/>
            <w:bottom w:val="none" w:sz="0" w:space="0" w:color="auto"/>
            <w:right w:val="none" w:sz="0" w:space="0" w:color="auto"/>
          </w:divBdr>
        </w:div>
        <w:div w:id="1992558989">
          <w:marLeft w:val="547"/>
          <w:marRight w:val="0"/>
          <w:marTop w:val="106"/>
          <w:marBottom w:val="0"/>
          <w:divBdr>
            <w:top w:val="none" w:sz="0" w:space="0" w:color="auto"/>
            <w:left w:val="none" w:sz="0" w:space="0" w:color="auto"/>
            <w:bottom w:val="none" w:sz="0" w:space="0" w:color="auto"/>
            <w:right w:val="none" w:sz="0" w:space="0" w:color="auto"/>
          </w:divBdr>
        </w:div>
        <w:div w:id="2145273940">
          <w:marLeft w:val="547"/>
          <w:marRight w:val="0"/>
          <w:marTop w:val="106"/>
          <w:marBottom w:val="0"/>
          <w:divBdr>
            <w:top w:val="none" w:sz="0" w:space="0" w:color="auto"/>
            <w:left w:val="none" w:sz="0" w:space="0" w:color="auto"/>
            <w:bottom w:val="none" w:sz="0" w:space="0" w:color="auto"/>
            <w:right w:val="none" w:sz="0" w:space="0" w:color="auto"/>
          </w:divBdr>
        </w:div>
      </w:divsChild>
    </w:div>
    <w:div w:id="857086404">
      <w:bodyDiv w:val="1"/>
      <w:marLeft w:val="0"/>
      <w:marRight w:val="0"/>
      <w:marTop w:val="0"/>
      <w:marBottom w:val="0"/>
      <w:divBdr>
        <w:top w:val="none" w:sz="0" w:space="0" w:color="auto"/>
        <w:left w:val="none" w:sz="0" w:space="0" w:color="auto"/>
        <w:bottom w:val="none" w:sz="0" w:space="0" w:color="auto"/>
        <w:right w:val="none" w:sz="0" w:space="0" w:color="auto"/>
      </w:divBdr>
      <w:divsChild>
        <w:div w:id="622885698">
          <w:marLeft w:val="547"/>
          <w:marRight w:val="0"/>
          <w:marTop w:val="134"/>
          <w:marBottom w:val="0"/>
          <w:divBdr>
            <w:top w:val="none" w:sz="0" w:space="0" w:color="auto"/>
            <w:left w:val="none" w:sz="0" w:space="0" w:color="auto"/>
            <w:bottom w:val="none" w:sz="0" w:space="0" w:color="auto"/>
            <w:right w:val="none" w:sz="0" w:space="0" w:color="auto"/>
          </w:divBdr>
        </w:div>
        <w:div w:id="749817130">
          <w:marLeft w:val="1166"/>
          <w:marRight w:val="0"/>
          <w:marTop w:val="115"/>
          <w:marBottom w:val="0"/>
          <w:divBdr>
            <w:top w:val="none" w:sz="0" w:space="0" w:color="auto"/>
            <w:left w:val="none" w:sz="0" w:space="0" w:color="auto"/>
            <w:bottom w:val="none" w:sz="0" w:space="0" w:color="auto"/>
            <w:right w:val="none" w:sz="0" w:space="0" w:color="auto"/>
          </w:divBdr>
        </w:div>
        <w:div w:id="1121341411">
          <w:marLeft w:val="1166"/>
          <w:marRight w:val="0"/>
          <w:marTop w:val="115"/>
          <w:marBottom w:val="0"/>
          <w:divBdr>
            <w:top w:val="none" w:sz="0" w:space="0" w:color="auto"/>
            <w:left w:val="none" w:sz="0" w:space="0" w:color="auto"/>
            <w:bottom w:val="none" w:sz="0" w:space="0" w:color="auto"/>
            <w:right w:val="none" w:sz="0" w:space="0" w:color="auto"/>
          </w:divBdr>
        </w:div>
        <w:div w:id="1136608621">
          <w:marLeft w:val="1166"/>
          <w:marRight w:val="0"/>
          <w:marTop w:val="115"/>
          <w:marBottom w:val="0"/>
          <w:divBdr>
            <w:top w:val="none" w:sz="0" w:space="0" w:color="auto"/>
            <w:left w:val="none" w:sz="0" w:space="0" w:color="auto"/>
            <w:bottom w:val="none" w:sz="0" w:space="0" w:color="auto"/>
            <w:right w:val="none" w:sz="0" w:space="0" w:color="auto"/>
          </w:divBdr>
        </w:div>
        <w:div w:id="1138183694">
          <w:marLeft w:val="1800"/>
          <w:marRight w:val="0"/>
          <w:marTop w:val="86"/>
          <w:marBottom w:val="0"/>
          <w:divBdr>
            <w:top w:val="none" w:sz="0" w:space="0" w:color="auto"/>
            <w:left w:val="none" w:sz="0" w:space="0" w:color="auto"/>
            <w:bottom w:val="none" w:sz="0" w:space="0" w:color="auto"/>
            <w:right w:val="none" w:sz="0" w:space="0" w:color="auto"/>
          </w:divBdr>
        </w:div>
        <w:div w:id="1638995391">
          <w:marLeft w:val="1800"/>
          <w:marRight w:val="0"/>
          <w:marTop w:val="86"/>
          <w:marBottom w:val="0"/>
          <w:divBdr>
            <w:top w:val="none" w:sz="0" w:space="0" w:color="auto"/>
            <w:left w:val="none" w:sz="0" w:space="0" w:color="auto"/>
            <w:bottom w:val="none" w:sz="0" w:space="0" w:color="auto"/>
            <w:right w:val="none" w:sz="0" w:space="0" w:color="auto"/>
          </w:divBdr>
        </w:div>
        <w:div w:id="1656568496">
          <w:marLeft w:val="1800"/>
          <w:marRight w:val="0"/>
          <w:marTop w:val="86"/>
          <w:marBottom w:val="0"/>
          <w:divBdr>
            <w:top w:val="none" w:sz="0" w:space="0" w:color="auto"/>
            <w:left w:val="none" w:sz="0" w:space="0" w:color="auto"/>
            <w:bottom w:val="none" w:sz="0" w:space="0" w:color="auto"/>
            <w:right w:val="none" w:sz="0" w:space="0" w:color="auto"/>
          </w:divBdr>
        </w:div>
        <w:div w:id="1898856388">
          <w:marLeft w:val="1800"/>
          <w:marRight w:val="0"/>
          <w:marTop w:val="86"/>
          <w:marBottom w:val="0"/>
          <w:divBdr>
            <w:top w:val="none" w:sz="0" w:space="0" w:color="auto"/>
            <w:left w:val="none" w:sz="0" w:space="0" w:color="auto"/>
            <w:bottom w:val="none" w:sz="0" w:space="0" w:color="auto"/>
            <w:right w:val="none" w:sz="0" w:space="0" w:color="auto"/>
          </w:divBdr>
        </w:div>
        <w:div w:id="1972860687">
          <w:marLeft w:val="1800"/>
          <w:marRight w:val="0"/>
          <w:marTop w:val="86"/>
          <w:marBottom w:val="0"/>
          <w:divBdr>
            <w:top w:val="none" w:sz="0" w:space="0" w:color="auto"/>
            <w:left w:val="none" w:sz="0" w:space="0" w:color="auto"/>
            <w:bottom w:val="none" w:sz="0" w:space="0" w:color="auto"/>
            <w:right w:val="none" w:sz="0" w:space="0" w:color="auto"/>
          </w:divBdr>
        </w:div>
      </w:divsChild>
    </w:div>
    <w:div w:id="858012277">
      <w:bodyDiv w:val="1"/>
      <w:marLeft w:val="0"/>
      <w:marRight w:val="0"/>
      <w:marTop w:val="0"/>
      <w:marBottom w:val="0"/>
      <w:divBdr>
        <w:top w:val="none" w:sz="0" w:space="0" w:color="auto"/>
        <w:left w:val="none" w:sz="0" w:space="0" w:color="auto"/>
        <w:bottom w:val="none" w:sz="0" w:space="0" w:color="auto"/>
        <w:right w:val="none" w:sz="0" w:space="0" w:color="auto"/>
      </w:divBdr>
      <w:divsChild>
        <w:div w:id="50231570">
          <w:marLeft w:val="1166"/>
          <w:marRight w:val="0"/>
          <w:marTop w:val="115"/>
          <w:marBottom w:val="0"/>
          <w:divBdr>
            <w:top w:val="none" w:sz="0" w:space="0" w:color="auto"/>
            <w:left w:val="none" w:sz="0" w:space="0" w:color="auto"/>
            <w:bottom w:val="none" w:sz="0" w:space="0" w:color="auto"/>
            <w:right w:val="none" w:sz="0" w:space="0" w:color="auto"/>
          </w:divBdr>
        </w:div>
        <w:div w:id="265117513">
          <w:marLeft w:val="1166"/>
          <w:marRight w:val="0"/>
          <w:marTop w:val="115"/>
          <w:marBottom w:val="0"/>
          <w:divBdr>
            <w:top w:val="none" w:sz="0" w:space="0" w:color="auto"/>
            <w:left w:val="none" w:sz="0" w:space="0" w:color="auto"/>
            <w:bottom w:val="none" w:sz="0" w:space="0" w:color="auto"/>
            <w:right w:val="none" w:sz="0" w:space="0" w:color="auto"/>
          </w:divBdr>
        </w:div>
        <w:div w:id="615019407">
          <w:marLeft w:val="1166"/>
          <w:marRight w:val="0"/>
          <w:marTop w:val="115"/>
          <w:marBottom w:val="0"/>
          <w:divBdr>
            <w:top w:val="none" w:sz="0" w:space="0" w:color="auto"/>
            <w:left w:val="none" w:sz="0" w:space="0" w:color="auto"/>
            <w:bottom w:val="none" w:sz="0" w:space="0" w:color="auto"/>
            <w:right w:val="none" w:sz="0" w:space="0" w:color="auto"/>
          </w:divBdr>
        </w:div>
        <w:div w:id="1223253591">
          <w:marLeft w:val="547"/>
          <w:marRight w:val="0"/>
          <w:marTop w:val="154"/>
          <w:marBottom w:val="0"/>
          <w:divBdr>
            <w:top w:val="none" w:sz="0" w:space="0" w:color="auto"/>
            <w:left w:val="none" w:sz="0" w:space="0" w:color="auto"/>
            <w:bottom w:val="none" w:sz="0" w:space="0" w:color="auto"/>
            <w:right w:val="none" w:sz="0" w:space="0" w:color="auto"/>
          </w:divBdr>
        </w:div>
        <w:div w:id="1410271711">
          <w:marLeft w:val="547"/>
          <w:marRight w:val="0"/>
          <w:marTop w:val="154"/>
          <w:marBottom w:val="0"/>
          <w:divBdr>
            <w:top w:val="none" w:sz="0" w:space="0" w:color="auto"/>
            <w:left w:val="none" w:sz="0" w:space="0" w:color="auto"/>
            <w:bottom w:val="none" w:sz="0" w:space="0" w:color="auto"/>
            <w:right w:val="none" w:sz="0" w:space="0" w:color="auto"/>
          </w:divBdr>
        </w:div>
        <w:div w:id="1595934761">
          <w:marLeft w:val="1166"/>
          <w:marRight w:val="0"/>
          <w:marTop w:val="115"/>
          <w:marBottom w:val="0"/>
          <w:divBdr>
            <w:top w:val="none" w:sz="0" w:space="0" w:color="auto"/>
            <w:left w:val="none" w:sz="0" w:space="0" w:color="auto"/>
            <w:bottom w:val="none" w:sz="0" w:space="0" w:color="auto"/>
            <w:right w:val="none" w:sz="0" w:space="0" w:color="auto"/>
          </w:divBdr>
        </w:div>
        <w:div w:id="1781028570">
          <w:marLeft w:val="547"/>
          <w:marRight w:val="0"/>
          <w:marTop w:val="154"/>
          <w:marBottom w:val="0"/>
          <w:divBdr>
            <w:top w:val="none" w:sz="0" w:space="0" w:color="auto"/>
            <w:left w:val="none" w:sz="0" w:space="0" w:color="auto"/>
            <w:bottom w:val="none" w:sz="0" w:space="0" w:color="auto"/>
            <w:right w:val="none" w:sz="0" w:space="0" w:color="auto"/>
          </w:divBdr>
        </w:div>
        <w:div w:id="2112970790">
          <w:marLeft w:val="1166"/>
          <w:marRight w:val="0"/>
          <w:marTop w:val="115"/>
          <w:marBottom w:val="0"/>
          <w:divBdr>
            <w:top w:val="none" w:sz="0" w:space="0" w:color="auto"/>
            <w:left w:val="none" w:sz="0" w:space="0" w:color="auto"/>
            <w:bottom w:val="none" w:sz="0" w:space="0" w:color="auto"/>
            <w:right w:val="none" w:sz="0" w:space="0" w:color="auto"/>
          </w:divBdr>
        </w:div>
      </w:divsChild>
    </w:div>
    <w:div w:id="858202651">
      <w:bodyDiv w:val="1"/>
      <w:marLeft w:val="0"/>
      <w:marRight w:val="0"/>
      <w:marTop w:val="0"/>
      <w:marBottom w:val="0"/>
      <w:divBdr>
        <w:top w:val="none" w:sz="0" w:space="0" w:color="auto"/>
        <w:left w:val="none" w:sz="0" w:space="0" w:color="auto"/>
        <w:bottom w:val="none" w:sz="0" w:space="0" w:color="auto"/>
        <w:right w:val="none" w:sz="0" w:space="0" w:color="auto"/>
      </w:divBdr>
    </w:div>
    <w:div w:id="858474697">
      <w:bodyDiv w:val="1"/>
      <w:marLeft w:val="0"/>
      <w:marRight w:val="0"/>
      <w:marTop w:val="0"/>
      <w:marBottom w:val="0"/>
      <w:divBdr>
        <w:top w:val="none" w:sz="0" w:space="0" w:color="auto"/>
        <w:left w:val="none" w:sz="0" w:space="0" w:color="auto"/>
        <w:bottom w:val="none" w:sz="0" w:space="0" w:color="auto"/>
        <w:right w:val="none" w:sz="0" w:space="0" w:color="auto"/>
      </w:divBdr>
      <w:divsChild>
        <w:div w:id="1550385267">
          <w:marLeft w:val="547"/>
          <w:marRight w:val="0"/>
          <w:marTop w:val="115"/>
          <w:marBottom w:val="0"/>
          <w:divBdr>
            <w:top w:val="none" w:sz="0" w:space="0" w:color="auto"/>
            <w:left w:val="none" w:sz="0" w:space="0" w:color="auto"/>
            <w:bottom w:val="none" w:sz="0" w:space="0" w:color="auto"/>
            <w:right w:val="none" w:sz="0" w:space="0" w:color="auto"/>
          </w:divBdr>
        </w:div>
        <w:div w:id="1826311551">
          <w:marLeft w:val="547"/>
          <w:marRight w:val="0"/>
          <w:marTop w:val="115"/>
          <w:marBottom w:val="0"/>
          <w:divBdr>
            <w:top w:val="none" w:sz="0" w:space="0" w:color="auto"/>
            <w:left w:val="none" w:sz="0" w:space="0" w:color="auto"/>
            <w:bottom w:val="none" w:sz="0" w:space="0" w:color="auto"/>
            <w:right w:val="none" w:sz="0" w:space="0" w:color="auto"/>
          </w:divBdr>
        </w:div>
      </w:divsChild>
    </w:div>
    <w:div w:id="858737596">
      <w:bodyDiv w:val="1"/>
      <w:marLeft w:val="0"/>
      <w:marRight w:val="0"/>
      <w:marTop w:val="0"/>
      <w:marBottom w:val="0"/>
      <w:divBdr>
        <w:top w:val="none" w:sz="0" w:space="0" w:color="auto"/>
        <w:left w:val="none" w:sz="0" w:space="0" w:color="auto"/>
        <w:bottom w:val="none" w:sz="0" w:space="0" w:color="auto"/>
        <w:right w:val="none" w:sz="0" w:space="0" w:color="auto"/>
      </w:divBdr>
    </w:div>
    <w:div w:id="858936367">
      <w:bodyDiv w:val="1"/>
      <w:marLeft w:val="0"/>
      <w:marRight w:val="0"/>
      <w:marTop w:val="0"/>
      <w:marBottom w:val="0"/>
      <w:divBdr>
        <w:top w:val="none" w:sz="0" w:space="0" w:color="auto"/>
        <w:left w:val="none" w:sz="0" w:space="0" w:color="auto"/>
        <w:bottom w:val="none" w:sz="0" w:space="0" w:color="auto"/>
        <w:right w:val="none" w:sz="0" w:space="0" w:color="auto"/>
      </w:divBdr>
    </w:div>
    <w:div w:id="859007487">
      <w:bodyDiv w:val="1"/>
      <w:marLeft w:val="0"/>
      <w:marRight w:val="0"/>
      <w:marTop w:val="0"/>
      <w:marBottom w:val="0"/>
      <w:divBdr>
        <w:top w:val="none" w:sz="0" w:space="0" w:color="auto"/>
        <w:left w:val="none" w:sz="0" w:space="0" w:color="auto"/>
        <w:bottom w:val="none" w:sz="0" w:space="0" w:color="auto"/>
        <w:right w:val="none" w:sz="0" w:space="0" w:color="auto"/>
      </w:divBdr>
    </w:div>
    <w:div w:id="859009136">
      <w:bodyDiv w:val="1"/>
      <w:marLeft w:val="0"/>
      <w:marRight w:val="0"/>
      <w:marTop w:val="0"/>
      <w:marBottom w:val="0"/>
      <w:divBdr>
        <w:top w:val="none" w:sz="0" w:space="0" w:color="auto"/>
        <w:left w:val="none" w:sz="0" w:space="0" w:color="auto"/>
        <w:bottom w:val="none" w:sz="0" w:space="0" w:color="auto"/>
        <w:right w:val="none" w:sz="0" w:space="0" w:color="auto"/>
      </w:divBdr>
      <w:divsChild>
        <w:div w:id="1040863676">
          <w:marLeft w:val="0"/>
          <w:marRight w:val="0"/>
          <w:marTop w:val="0"/>
          <w:marBottom w:val="0"/>
          <w:divBdr>
            <w:top w:val="none" w:sz="0" w:space="0" w:color="auto"/>
            <w:left w:val="none" w:sz="0" w:space="0" w:color="auto"/>
            <w:bottom w:val="none" w:sz="0" w:space="0" w:color="auto"/>
            <w:right w:val="none" w:sz="0" w:space="0" w:color="auto"/>
          </w:divBdr>
          <w:divsChild>
            <w:div w:id="1148395778">
              <w:marLeft w:val="0"/>
              <w:marRight w:val="0"/>
              <w:marTop w:val="0"/>
              <w:marBottom w:val="0"/>
              <w:divBdr>
                <w:top w:val="none" w:sz="0" w:space="0" w:color="auto"/>
                <w:left w:val="none" w:sz="0" w:space="0" w:color="auto"/>
                <w:bottom w:val="none" w:sz="0" w:space="0" w:color="auto"/>
                <w:right w:val="none" w:sz="0" w:space="0" w:color="auto"/>
              </w:divBdr>
            </w:div>
            <w:div w:id="1371761947">
              <w:marLeft w:val="0"/>
              <w:marRight w:val="0"/>
              <w:marTop w:val="0"/>
              <w:marBottom w:val="0"/>
              <w:divBdr>
                <w:top w:val="none" w:sz="0" w:space="0" w:color="auto"/>
                <w:left w:val="none" w:sz="0" w:space="0" w:color="auto"/>
                <w:bottom w:val="none" w:sz="0" w:space="0" w:color="auto"/>
                <w:right w:val="none" w:sz="0" w:space="0" w:color="auto"/>
              </w:divBdr>
            </w:div>
            <w:div w:id="1699893206">
              <w:marLeft w:val="0"/>
              <w:marRight w:val="0"/>
              <w:marTop w:val="0"/>
              <w:marBottom w:val="0"/>
              <w:divBdr>
                <w:top w:val="none" w:sz="0" w:space="0" w:color="auto"/>
                <w:left w:val="none" w:sz="0" w:space="0" w:color="auto"/>
                <w:bottom w:val="none" w:sz="0" w:space="0" w:color="auto"/>
                <w:right w:val="none" w:sz="0" w:space="0" w:color="auto"/>
              </w:divBdr>
            </w:div>
            <w:div w:id="18260437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59123158">
      <w:bodyDiv w:val="1"/>
      <w:marLeft w:val="0"/>
      <w:marRight w:val="0"/>
      <w:marTop w:val="0"/>
      <w:marBottom w:val="0"/>
      <w:divBdr>
        <w:top w:val="none" w:sz="0" w:space="0" w:color="auto"/>
        <w:left w:val="none" w:sz="0" w:space="0" w:color="auto"/>
        <w:bottom w:val="none" w:sz="0" w:space="0" w:color="auto"/>
        <w:right w:val="none" w:sz="0" w:space="0" w:color="auto"/>
      </w:divBdr>
      <w:divsChild>
        <w:div w:id="192427022">
          <w:marLeft w:val="1166"/>
          <w:marRight w:val="0"/>
          <w:marTop w:val="125"/>
          <w:marBottom w:val="0"/>
          <w:divBdr>
            <w:top w:val="none" w:sz="0" w:space="0" w:color="auto"/>
            <w:left w:val="none" w:sz="0" w:space="0" w:color="auto"/>
            <w:bottom w:val="none" w:sz="0" w:space="0" w:color="auto"/>
            <w:right w:val="none" w:sz="0" w:space="0" w:color="auto"/>
          </w:divBdr>
        </w:div>
        <w:div w:id="598028382">
          <w:marLeft w:val="547"/>
          <w:marRight w:val="0"/>
          <w:marTop w:val="144"/>
          <w:marBottom w:val="0"/>
          <w:divBdr>
            <w:top w:val="none" w:sz="0" w:space="0" w:color="auto"/>
            <w:left w:val="none" w:sz="0" w:space="0" w:color="auto"/>
            <w:bottom w:val="none" w:sz="0" w:space="0" w:color="auto"/>
            <w:right w:val="none" w:sz="0" w:space="0" w:color="auto"/>
          </w:divBdr>
        </w:div>
        <w:div w:id="751271109">
          <w:marLeft w:val="547"/>
          <w:marRight w:val="0"/>
          <w:marTop w:val="144"/>
          <w:marBottom w:val="0"/>
          <w:divBdr>
            <w:top w:val="none" w:sz="0" w:space="0" w:color="auto"/>
            <w:left w:val="none" w:sz="0" w:space="0" w:color="auto"/>
            <w:bottom w:val="none" w:sz="0" w:space="0" w:color="auto"/>
            <w:right w:val="none" w:sz="0" w:space="0" w:color="auto"/>
          </w:divBdr>
        </w:div>
        <w:div w:id="752320475">
          <w:marLeft w:val="547"/>
          <w:marRight w:val="0"/>
          <w:marTop w:val="144"/>
          <w:marBottom w:val="0"/>
          <w:divBdr>
            <w:top w:val="none" w:sz="0" w:space="0" w:color="auto"/>
            <w:left w:val="none" w:sz="0" w:space="0" w:color="auto"/>
            <w:bottom w:val="none" w:sz="0" w:space="0" w:color="auto"/>
            <w:right w:val="none" w:sz="0" w:space="0" w:color="auto"/>
          </w:divBdr>
        </w:div>
        <w:div w:id="1018894436">
          <w:marLeft w:val="1800"/>
          <w:marRight w:val="0"/>
          <w:marTop w:val="144"/>
          <w:marBottom w:val="0"/>
          <w:divBdr>
            <w:top w:val="none" w:sz="0" w:space="0" w:color="auto"/>
            <w:left w:val="none" w:sz="0" w:space="0" w:color="auto"/>
            <w:bottom w:val="none" w:sz="0" w:space="0" w:color="auto"/>
            <w:right w:val="none" w:sz="0" w:space="0" w:color="auto"/>
          </w:divBdr>
        </w:div>
        <w:div w:id="1465155418">
          <w:marLeft w:val="1166"/>
          <w:marRight w:val="0"/>
          <w:marTop w:val="125"/>
          <w:marBottom w:val="0"/>
          <w:divBdr>
            <w:top w:val="none" w:sz="0" w:space="0" w:color="auto"/>
            <w:left w:val="none" w:sz="0" w:space="0" w:color="auto"/>
            <w:bottom w:val="none" w:sz="0" w:space="0" w:color="auto"/>
            <w:right w:val="none" w:sz="0" w:space="0" w:color="auto"/>
          </w:divBdr>
        </w:div>
        <w:div w:id="1976065530">
          <w:marLeft w:val="547"/>
          <w:marRight w:val="0"/>
          <w:marTop w:val="144"/>
          <w:marBottom w:val="0"/>
          <w:divBdr>
            <w:top w:val="none" w:sz="0" w:space="0" w:color="auto"/>
            <w:left w:val="none" w:sz="0" w:space="0" w:color="auto"/>
            <w:bottom w:val="none" w:sz="0" w:space="0" w:color="auto"/>
            <w:right w:val="none" w:sz="0" w:space="0" w:color="auto"/>
          </w:divBdr>
        </w:div>
        <w:div w:id="2054579009">
          <w:marLeft w:val="1800"/>
          <w:marRight w:val="0"/>
          <w:marTop w:val="144"/>
          <w:marBottom w:val="0"/>
          <w:divBdr>
            <w:top w:val="none" w:sz="0" w:space="0" w:color="auto"/>
            <w:left w:val="none" w:sz="0" w:space="0" w:color="auto"/>
            <w:bottom w:val="none" w:sz="0" w:space="0" w:color="auto"/>
            <w:right w:val="none" w:sz="0" w:space="0" w:color="auto"/>
          </w:divBdr>
        </w:div>
      </w:divsChild>
    </w:div>
    <w:div w:id="859511594">
      <w:bodyDiv w:val="1"/>
      <w:marLeft w:val="0"/>
      <w:marRight w:val="0"/>
      <w:marTop w:val="0"/>
      <w:marBottom w:val="0"/>
      <w:divBdr>
        <w:top w:val="none" w:sz="0" w:space="0" w:color="auto"/>
        <w:left w:val="none" w:sz="0" w:space="0" w:color="auto"/>
        <w:bottom w:val="none" w:sz="0" w:space="0" w:color="auto"/>
        <w:right w:val="none" w:sz="0" w:space="0" w:color="auto"/>
      </w:divBdr>
    </w:div>
    <w:div w:id="859976774">
      <w:bodyDiv w:val="1"/>
      <w:marLeft w:val="0"/>
      <w:marRight w:val="0"/>
      <w:marTop w:val="0"/>
      <w:marBottom w:val="0"/>
      <w:divBdr>
        <w:top w:val="none" w:sz="0" w:space="0" w:color="auto"/>
        <w:left w:val="none" w:sz="0" w:space="0" w:color="auto"/>
        <w:bottom w:val="none" w:sz="0" w:space="0" w:color="auto"/>
        <w:right w:val="none" w:sz="0" w:space="0" w:color="auto"/>
      </w:divBdr>
    </w:div>
    <w:div w:id="861089784">
      <w:bodyDiv w:val="1"/>
      <w:marLeft w:val="0"/>
      <w:marRight w:val="0"/>
      <w:marTop w:val="0"/>
      <w:marBottom w:val="0"/>
      <w:divBdr>
        <w:top w:val="none" w:sz="0" w:space="0" w:color="auto"/>
        <w:left w:val="none" w:sz="0" w:space="0" w:color="auto"/>
        <w:bottom w:val="none" w:sz="0" w:space="0" w:color="auto"/>
        <w:right w:val="none" w:sz="0" w:space="0" w:color="auto"/>
      </w:divBdr>
    </w:div>
    <w:div w:id="861433706">
      <w:bodyDiv w:val="1"/>
      <w:marLeft w:val="0"/>
      <w:marRight w:val="0"/>
      <w:marTop w:val="0"/>
      <w:marBottom w:val="0"/>
      <w:divBdr>
        <w:top w:val="none" w:sz="0" w:space="0" w:color="auto"/>
        <w:left w:val="none" w:sz="0" w:space="0" w:color="auto"/>
        <w:bottom w:val="none" w:sz="0" w:space="0" w:color="auto"/>
        <w:right w:val="none" w:sz="0" w:space="0" w:color="auto"/>
      </w:divBdr>
      <w:divsChild>
        <w:div w:id="122429727">
          <w:marLeft w:val="1166"/>
          <w:marRight w:val="0"/>
          <w:marTop w:val="86"/>
          <w:marBottom w:val="0"/>
          <w:divBdr>
            <w:top w:val="none" w:sz="0" w:space="0" w:color="auto"/>
            <w:left w:val="none" w:sz="0" w:space="0" w:color="auto"/>
            <w:bottom w:val="none" w:sz="0" w:space="0" w:color="auto"/>
            <w:right w:val="none" w:sz="0" w:space="0" w:color="auto"/>
          </w:divBdr>
        </w:div>
        <w:div w:id="355811059">
          <w:marLeft w:val="547"/>
          <w:marRight w:val="0"/>
          <w:marTop w:val="96"/>
          <w:marBottom w:val="0"/>
          <w:divBdr>
            <w:top w:val="none" w:sz="0" w:space="0" w:color="auto"/>
            <w:left w:val="none" w:sz="0" w:space="0" w:color="auto"/>
            <w:bottom w:val="none" w:sz="0" w:space="0" w:color="auto"/>
            <w:right w:val="none" w:sz="0" w:space="0" w:color="auto"/>
          </w:divBdr>
        </w:div>
        <w:div w:id="366955177">
          <w:marLeft w:val="547"/>
          <w:marRight w:val="0"/>
          <w:marTop w:val="96"/>
          <w:marBottom w:val="0"/>
          <w:divBdr>
            <w:top w:val="none" w:sz="0" w:space="0" w:color="auto"/>
            <w:left w:val="none" w:sz="0" w:space="0" w:color="auto"/>
            <w:bottom w:val="none" w:sz="0" w:space="0" w:color="auto"/>
            <w:right w:val="none" w:sz="0" w:space="0" w:color="auto"/>
          </w:divBdr>
        </w:div>
        <w:div w:id="728454404">
          <w:marLeft w:val="1166"/>
          <w:marRight w:val="0"/>
          <w:marTop w:val="86"/>
          <w:marBottom w:val="0"/>
          <w:divBdr>
            <w:top w:val="none" w:sz="0" w:space="0" w:color="auto"/>
            <w:left w:val="none" w:sz="0" w:space="0" w:color="auto"/>
            <w:bottom w:val="none" w:sz="0" w:space="0" w:color="auto"/>
            <w:right w:val="none" w:sz="0" w:space="0" w:color="auto"/>
          </w:divBdr>
        </w:div>
        <w:div w:id="821963734">
          <w:marLeft w:val="1166"/>
          <w:marRight w:val="0"/>
          <w:marTop w:val="86"/>
          <w:marBottom w:val="0"/>
          <w:divBdr>
            <w:top w:val="none" w:sz="0" w:space="0" w:color="auto"/>
            <w:left w:val="none" w:sz="0" w:space="0" w:color="auto"/>
            <w:bottom w:val="none" w:sz="0" w:space="0" w:color="auto"/>
            <w:right w:val="none" w:sz="0" w:space="0" w:color="auto"/>
          </w:divBdr>
        </w:div>
        <w:div w:id="1190417078">
          <w:marLeft w:val="547"/>
          <w:marRight w:val="0"/>
          <w:marTop w:val="96"/>
          <w:marBottom w:val="0"/>
          <w:divBdr>
            <w:top w:val="none" w:sz="0" w:space="0" w:color="auto"/>
            <w:left w:val="none" w:sz="0" w:space="0" w:color="auto"/>
            <w:bottom w:val="none" w:sz="0" w:space="0" w:color="auto"/>
            <w:right w:val="none" w:sz="0" w:space="0" w:color="auto"/>
          </w:divBdr>
        </w:div>
        <w:div w:id="1316766199">
          <w:marLeft w:val="547"/>
          <w:marRight w:val="0"/>
          <w:marTop w:val="96"/>
          <w:marBottom w:val="0"/>
          <w:divBdr>
            <w:top w:val="none" w:sz="0" w:space="0" w:color="auto"/>
            <w:left w:val="none" w:sz="0" w:space="0" w:color="auto"/>
            <w:bottom w:val="none" w:sz="0" w:space="0" w:color="auto"/>
            <w:right w:val="none" w:sz="0" w:space="0" w:color="auto"/>
          </w:divBdr>
        </w:div>
        <w:div w:id="1435782995">
          <w:marLeft w:val="1166"/>
          <w:marRight w:val="0"/>
          <w:marTop w:val="86"/>
          <w:marBottom w:val="0"/>
          <w:divBdr>
            <w:top w:val="none" w:sz="0" w:space="0" w:color="auto"/>
            <w:left w:val="none" w:sz="0" w:space="0" w:color="auto"/>
            <w:bottom w:val="none" w:sz="0" w:space="0" w:color="auto"/>
            <w:right w:val="none" w:sz="0" w:space="0" w:color="auto"/>
          </w:divBdr>
        </w:div>
        <w:div w:id="1451246045">
          <w:marLeft w:val="547"/>
          <w:marRight w:val="0"/>
          <w:marTop w:val="96"/>
          <w:marBottom w:val="0"/>
          <w:divBdr>
            <w:top w:val="none" w:sz="0" w:space="0" w:color="auto"/>
            <w:left w:val="none" w:sz="0" w:space="0" w:color="auto"/>
            <w:bottom w:val="none" w:sz="0" w:space="0" w:color="auto"/>
            <w:right w:val="none" w:sz="0" w:space="0" w:color="auto"/>
          </w:divBdr>
        </w:div>
        <w:div w:id="1824466353">
          <w:marLeft w:val="1166"/>
          <w:marRight w:val="0"/>
          <w:marTop w:val="86"/>
          <w:marBottom w:val="0"/>
          <w:divBdr>
            <w:top w:val="none" w:sz="0" w:space="0" w:color="auto"/>
            <w:left w:val="none" w:sz="0" w:space="0" w:color="auto"/>
            <w:bottom w:val="none" w:sz="0" w:space="0" w:color="auto"/>
            <w:right w:val="none" w:sz="0" w:space="0" w:color="auto"/>
          </w:divBdr>
        </w:div>
        <w:div w:id="1967195438">
          <w:marLeft w:val="547"/>
          <w:marRight w:val="0"/>
          <w:marTop w:val="96"/>
          <w:marBottom w:val="0"/>
          <w:divBdr>
            <w:top w:val="none" w:sz="0" w:space="0" w:color="auto"/>
            <w:left w:val="none" w:sz="0" w:space="0" w:color="auto"/>
            <w:bottom w:val="none" w:sz="0" w:space="0" w:color="auto"/>
            <w:right w:val="none" w:sz="0" w:space="0" w:color="auto"/>
          </w:divBdr>
        </w:div>
        <w:div w:id="2045903621">
          <w:marLeft w:val="1166"/>
          <w:marRight w:val="0"/>
          <w:marTop w:val="86"/>
          <w:marBottom w:val="0"/>
          <w:divBdr>
            <w:top w:val="none" w:sz="0" w:space="0" w:color="auto"/>
            <w:left w:val="none" w:sz="0" w:space="0" w:color="auto"/>
            <w:bottom w:val="none" w:sz="0" w:space="0" w:color="auto"/>
            <w:right w:val="none" w:sz="0" w:space="0" w:color="auto"/>
          </w:divBdr>
        </w:div>
      </w:divsChild>
    </w:div>
    <w:div w:id="863133377">
      <w:bodyDiv w:val="1"/>
      <w:marLeft w:val="0"/>
      <w:marRight w:val="0"/>
      <w:marTop w:val="0"/>
      <w:marBottom w:val="0"/>
      <w:divBdr>
        <w:top w:val="none" w:sz="0" w:space="0" w:color="auto"/>
        <w:left w:val="none" w:sz="0" w:space="0" w:color="auto"/>
        <w:bottom w:val="none" w:sz="0" w:space="0" w:color="auto"/>
        <w:right w:val="none" w:sz="0" w:space="0" w:color="auto"/>
      </w:divBdr>
    </w:div>
    <w:div w:id="863714891">
      <w:bodyDiv w:val="1"/>
      <w:marLeft w:val="0"/>
      <w:marRight w:val="0"/>
      <w:marTop w:val="0"/>
      <w:marBottom w:val="0"/>
      <w:divBdr>
        <w:top w:val="none" w:sz="0" w:space="0" w:color="auto"/>
        <w:left w:val="none" w:sz="0" w:space="0" w:color="auto"/>
        <w:bottom w:val="none" w:sz="0" w:space="0" w:color="auto"/>
        <w:right w:val="none" w:sz="0" w:space="0" w:color="auto"/>
      </w:divBdr>
    </w:div>
    <w:div w:id="863832209">
      <w:bodyDiv w:val="1"/>
      <w:marLeft w:val="0"/>
      <w:marRight w:val="0"/>
      <w:marTop w:val="0"/>
      <w:marBottom w:val="0"/>
      <w:divBdr>
        <w:top w:val="none" w:sz="0" w:space="0" w:color="auto"/>
        <w:left w:val="none" w:sz="0" w:space="0" w:color="auto"/>
        <w:bottom w:val="none" w:sz="0" w:space="0" w:color="auto"/>
        <w:right w:val="none" w:sz="0" w:space="0" w:color="auto"/>
      </w:divBdr>
    </w:div>
    <w:div w:id="864250402">
      <w:bodyDiv w:val="1"/>
      <w:marLeft w:val="0"/>
      <w:marRight w:val="0"/>
      <w:marTop w:val="0"/>
      <w:marBottom w:val="0"/>
      <w:divBdr>
        <w:top w:val="none" w:sz="0" w:space="0" w:color="auto"/>
        <w:left w:val="none" w:sz="0" w:space="0" w:color="auto"/>
        <w:bottom w:val="none" w:sz="0" w:space="0" w:color="auto"/>
        <w:right w:val="none" w:sz="0" w:space="0" w:color="auto"/>
      </w:divBdr>
    </w:div>
    <w:div w:id="864635562">
      <w:bodyDiv w:val="1"/>
      <w:marLeft w:val="0"/>
      <w:marRight w:val="0"/>
      <w:marTop w:val="0"/>
      <w:marBottom w:val="0"/>
      <w:divBdr>
        <w:top w:val="none" w:sz="0" w:space="0" w:color="auto"/>
        <w:left w:val="none" w:sz="0" w:space="0" w:color="auto"/>
        <w:bottom w:val="none" w:sz="0" w:space="0" w:color="auto"/>
        <w:right w:val="none" w:sz="0" w:space="0" w:color="auto"/>
      </w:divBdr>
    </w:div>
    <w:div w:id="865363788">
      <w:bodyDiv w:val="1"/>
      <w:marLeft w:val="0"/>
      <w:marRight w:val="0"/>
      <w:marTop w:val="0"/>
      <w:marBottom w:val="0"/>
      <w:divBdr>
        <w:top w:val="none" w:sz="0" w:space="0" w:color="auto"/>
        <w:left w:val="none" w:sz="0" w:space="0" w:color="auto"/>
        <w:bottom w:val="none" w:sz="0" w:space="0" w:color="auto"/>
        <w:right w:val="none" w:sz="0" w:space="0" w:color="auto"/>
      </w:divBdr>
    </w:div>
    <w:div w:id="866218354">
      <w:bodyDiv w:val="1"/>
      <w:marLeft w:val="0"/>
      <w:marRight w:val="0"/>
      <w:marTop w:val="0"/>
      <w:marBottom w:val="0"/>
      <w:divBdr>
        <w:top w:val="none" w:sz="0" w:space="0" w:color="auto"/>
        <w:left w:val="none" w:sz="0" w:space="0" w:color="auto"/>
        <w:bottom w:val="none" w:sz="0" w:space="0" w:color="auto"/>
        <w:right w:val="none" w:sz="0" w:space="0" w:color="auto"/>
      </w:divBdr>
    </w:div>
    <w:div w:id="866408289">
      <w:bodyDiv w:val="1"/>
      <w:marLeft w:val="0"/>
      <w:marRight w:val="0"/>
      <w:marTop w:val="0"/>
      <w:marBottom w:val="0"/>
      <w:divBdr>
        <w:top w:val="none" w:sz="0" w:space="0" w:color="auto"/>
        <w:left w:val="none" w:sz="0" w:space="0" w:color="auto"/>
        <w:bottom w:val="none" w:sz="0" w:space="0" w:color="auto"/>
        <w:right w:val="none" w:sz="0" w:space="0" w:color="auto"/>
      </w:divBdr>
    </w:div>
    <w:div w:id="866676009">
      <w:bodyDiv w:val="1"/>
      <w:marLeft w:val="0"/>
      <w:marRight w:val="0"/>
      <w:marTop w:val="0"/>
      <w:marBottom w:val="0"/>
      <w:divBdr>
        <w:top w:val="none" w:sz="0" w:space="0" w:color="auto"/>
        <w:left w:val="none" w:sz="0" w:space="0" w:color="auto"/>
        <w:bottom w:val="none" w:sz="0" w:space="0" w:color="auto"/>
        <w:right w:val="none" w:sz="0" w:space="0" w:color="auto"/>
      </w:divBdr>
      <w:divsChild>
        <w:div w:id="29917071">
          <w:marLeft w:val="1166"/>
          <w:marRight w:val="0"/>
          <w:marTop w:val="115"/>
          <w:marBottom w:val="0"/>
          <w:divBdr>
            <w:top w:val="none" w:sz="0" w:space="0" w:color="auto"/>
            <w:left w:val="none" w:sz="0" w:space="0" w:color="auto"/>
            <w:bottom w:val="none" w:sz="0" w:space="0" w:color="auto"/>
            <w:right w:val="none" w:sz="0" w:space="0" w:color="auto"/>
          </w:divBdr>
        </w:div>
        <w:div w:id="575239439">
          <w:marLeft w:val="1166"/>
          <w:marRight w:val="0"/>
          <w:marTop w:val="115"/>
          <w:marBottom w:val="0"/>
          <w:divBdr>
            <w:top w:val="none" w:sz="0" w:space="0" w:color="auto"/>
            <w:left w:val="none" w:sz="0" w:space="0" w:color="auto"/>
            <w:bottom w:val="none" w:sz="0" w:space="0" w:color="auto"/>
            <w:right w:val="none" w:sz="0" w:space="0" w:color="auto"/>
          </w:divBdr>
        </w:div>
        <w:div w:id="607740947">
          <w:marLeft w:val="1166"/>
          <w:marRight w:val="0"/>
          <w:marTop w:val="115"/>
          <w:marBottom w:val="0"/>
          <w:divBdr>
            <w:top w:val="none" w:sz="0" w:space="0" w:color="auto"/>
            <w:left w:val="none" w:sz="0" w:space="0" w:color="auto"/>
            <w:bottom w:val="none" w:sz="0" w:space="0" w:color="auto"/>
            <w:right w:val="none" w:sz="0" w:space="0" w:color="auto"/>
          </w:divBdr>
        </w:div>
        <w:div w:id="1022976157">
          <w:marLeft w:val="547"/>
          <w:marRight w:val="0"/>
          <w:marTop w:val="115"/>
          <w:marBottom w:val="0"/>
          <w:divBdr>
            <w:top w:val="none" w:sz="0" w:space="0" w:color="auto"/>
            <w:left w:val="none" w:sz="0" w:space="0" w:color="auto"/>
            <w:bottom w:val="none" w:sz="0" w:space="0" w:color="auto"/>
            <w:right w:val="none" w:sz="0" w:space="0" w:color="auto"/>
          </w:divBdr>
        </w:div>
        <w:div w:id="1203178251">
          <w:marLeft w:val="1166"/>
          <w:marRight w:val="0"/>
          <w:marTop w:val="115"/>
          <w:marBottom w:val="0"/>
          <w:divBdr>
            <w:top w:val="none" w:sz="0" w:space="0" w:color="auto"/>
            <w:left w:val="none" w:sz="0" w:space="0" w:color="auto"/>
            <w:bottom w:val="none" w:sz="0" w:space="0" w:color="auto"/>
            <w:right w:val="none" w:sz="0" w:space="0" w:color="auto"/>
          </w:divBdr>
        </w:div>
      </w:divsChild>
    </w:div>
    <w:div w:id="866913274">
      <w:bodyDiv w:val="1"/>
      <w:marLeft w:val="0"/>
      <w:marRight w:val="0"/>
      <w:marTop w:val="0"/>
      <w:marBottom w:val="0"/>
      <w:divBdr>
        <w:top w:val="none" w:sz="0" w:space="0" w:color="auto"/>
        <w:left w:val="none" w:sz="0" w:space="0" w:color="auto"/>
        <w:bottom w:val="none" w:sz="0" w:space="0" w:color="auto"/>
        <w:right w:val="none" w:sz="0" w:space="0" w:color="auto"/>
      </w:divBdr>
    </w:div>
    <w:div w:id="867524709">
      <w:bodyDiv w:val="1"/>
      <w:marLeft w:val="0"/>
      <w:marRight w:val="0"/>
      <w:marTop w:val="0"/>
      <w:marBottom w:val="0"/>
      <w:divBdr>
        <w:top w:val="none" w:sz="0" w:space="0" w:color="auto"/>
        <w:left w:val="none" w:sz="0" w:space="0" w:color="auto"/>
        <w:bottom w:val="none" w:sz="0" w:space="0" w:color="auto"/>
        <w:right w:val="none" w:sz="0" w:space="0" w:color="auto"/>
      </w:divBdr>
    </w:div>
    <w:div w:id="868296696">
      <w:bodyDiv w:val="1"/>
      <w:marLeft w:val="0"/>
      <w:marRight w:val="0"/>
      <w:marTop w:val="0"/>
      <w:marBottom w:val="0"/>
      <w:divBdr>
        <w:top w:val="none" w:sz="0" w:space="0" w:color="auto"/>
        <w:left w:val="none" w:sz="0" w:space="0" w:color="auto"/>
        <w:bottom w:val="none" w:sz="0" w:space="0" w:color="auto"/>
        <w:right w:val="none" w:sz="0" w:space="0" w:color="auto"/>
      </w:divBdr>
    </w:div>
    <w:div w:id="868417911">
      <w:bodyDiv w:val="1"/>
      <w:marLeft w:val="0"/>
      <w:marRight w:val="0"/>
      <w:marTop w:val="0"/>
      <w:marBottom w:val="0"/>
      <w:divBdr>
        <w:top w:val="none" w:sz="0" w:space="0" w:color="auto"/>
        <w:left w:val="none" w:sz="0" w:space="0" w:color="auto"/>
        <w:bottom w:val="none" w:sz="0" w:space="0" w:color="auto"/>
        <w:right w:val="none" w:sz="0" w:space="0" w:color="auto"/>
      </w:divBdr>
      <w:divsChild>
        <w:div w:id="8025675">
          <w:marLeft w:val="1166"/>
          <w:marRight w:val="0"/>
          <w:marTop w:val="106"/>
          <w:marBottom w:val="0"/>
          <w:divBdr>
            <w:top w:val="none" w:sz="0" w:space="0" w:color="auto"/>
            <w:left w:val="none" w:sz="0" w:space="0" w:color="auto"/>
            <w:bottom w:val="none" w:sz="0" w:space="0" w:color="auto"/>
            <w:right w:val="none" w:sz="0" w:space="0" w:color="auto"/>
          </w:divBdr>
        </w:div>
        <w:div w:id="110563042">
          <w:marLeft w:val="547"/>
          <w:marRight w:val="0"/>
          <w:marTop w:val="106"/>
          <w:marBottom w:val="0"/>
          <w:divBdr>
            <w:top w:val="none" w:sz="0" w:space="0" w:color="auto"/>
            <w:left w:val="none" w:sz="0" w:space="0" w:color="auto"/>
            <w:bottom w:val="none" w:sz="0" w:space="0" w:color="auto"/>
            <w:right w:val="none" w:sz="0" w:space="0" w:color="auto"/>
          </w:divBdr>
        </w:div>
        <w:div w:id="981271867">
          <w:marLeft w:val="1166"/>
          <w:marRight w:val="0"/>
          <w:marTop w:val="106"/>
          <w:marBottom w:val="0"/>
          <w:divBdr>
            <w:top w:val="none" w:sz="0" w:space="0" w:color="auto"/>
            <w:left w:val="none" w:sz="0" w:space="0" w:color="auto"/>
            <w:bottom w:val="none" w:sz="0" w:space="0" w:color="auto"/>
            <w:right w:val="none" w:sz="0" w:space="0" w:color="auto"/>
          </w:divBdr>
        </w:div>
        <w:div w:id="1160389419">
          <w:marLeft w:val="547"/>
          <w:marRight w:val="0"/>
          <w:marTop w:val="106"/>
          <w:marBottom w:val="0"/>
          <w:divBdr>
            <w:top w:val="none" w:sz="0" w:space="0" w:color="auto"/>
            <w:left w:val="none" w:sz="0" w:space="0" w:color="auto"/>
            <w:bottom w:val="none" w:sz="0" w:space="0" w:color="auto"/>
            <w:right w:val="none" w:sz="0" w:space="0" w:color="auto"/>
          </w:divBdr>
        </w:div>
        <w:div w:id="1522236562">
          <w:marLeft w:val="547"/>
          <w:marRight w:val="0"/>
          <w:marTop w:val="106"/>
          <w:marBottom w:val="0"/>
          <w:divBdr>
            <w:top w:val="none" w:sz="0" w:space="0" w:color="auto"/>
            <w:left w:val="none" w:sz="0" w:space="0" w:color="auto"/>
            <w:bottom w:val="none" w:sz="0" w:space="0" w:color="auto"/>
            <w:right w:val="none" w:sz="0" w:space="0" w:color="auto"/>
          </w:divBdr>
        </w:div>
      </w:divsChild>
    </w:div>
    <w:div w:id="870386128">
      <w:bodyDiv w:val="1"/>
      <w:marLeft w:val="0"/>
      <w:marRight w:val="0"/>
      <w:marTop w:val="0"/>
      <w:marBottom w:val="0"/>
      <w:divBdr>
        <w:top w:val="none" w:sz="0" w:space="0" w:color="auto"/>
        <w:left w:val="none" w:sz="0" w:space="0" w:color="auto"/>
        <w:bottom w:val="none" w:sz="0" w:space="0" w:color="auto"/>
        <w:right w:val="none" w:sz="0" w:space="0" w:color="auto"/>
      </w:divBdr>
    </w:div>
    <w:div w:id="871040481">
      <w:bodyDiv w:val="1"/>
      <w:marLeft w:val="0"/>
      <w:marRight w:val="0"/>
      <w:marTop w:val="0"/>
      <w:marBottom w:val="0"/>
      <w:divBdr>
        <w:top w:val="none" w:sz="0" w:space="0" w:color="auto"/>
        <w:left w:val="none" w:sz="0" w:space="0" w:color="auto"/>
        <w:bottom w:val="none" w:sz="0" w:space="0" w:color="auto"/>
        <w:right w:val="none" w:sz="0" w:space="0" w:color="auto"/>
      </w:divBdr>
    </w:div>
    <w:div w:id="871112926">
      <w:bodyDiv w:val="1"/>
      <w:marLeft w:val="0"/>
      <w:marRight w:val="0"/>
      <w:marTop w:val="0"/>
      <w:marBottom w:val="0"/>
      <w:divBdr>
        <w:top w:val="none" w:sz="0" w:space="0" w:color="auto"/>
        <w:left w:val="none" w:sz="0" w:space="0" w:color="auto"/>
        <w:bottom w:val="none" w:sz="0" w:space="0" w:color="auto"/>
        <w:right w:val="none" w:sz="0" w:space="0" w:color="auto"/>
      </w:divBdr>
    </w:div>
    <w:div w:id="871378635">
      <w:bodyDiv w:val="1"/>
      <w:marLeft w:val="0"/>
      <w:marRight w:val="0"/>
      <w:marTop w:val="0"/>
      <w:marBottom w:val="0"/>
      <w:divBdr>
        <w:top w:val="none" w:sz="0" w:space="0" w:color="auto"/>
        <w:left w:val="none" w:sz="0" w:space="0" w:color="auto"/>
        <w:bottom w:val="none" w:sz="0" w:space="0" w:color="auto"/>
        <w:right w:val="none" w:sz="0" w:space="0" w:color="auto"/>
      </w:divBdr>
    </w:div>
    <w:div w:id="873151649">
      <w:bodyDiv w:val="1"/>
      <w:marLeft w:val="0"/>
      <w:marRight w:val="0"/>
      <w:marTop w:val="0"/>
      <w:marBottom w:val="0"/>
      <w:divBdr>
        <w:top w:val="none" w:sz="0" w:space="0" w:color="auto"/>
        <w:left w:val="none" w:sz="0" w:space="0" w:color="auto"/>
        <w:bottom w:val="none" w:sz="0" w:space="0" w:color="auto"/>
        <w:right w:val="none" w:sz="0" w:space="0" w:color="auto"/>
      </w:divBdr>
    </w:div>
    <w:div w:id="874584803">
      <w:bodyDiv w:val="1"/>
      <w:marLeft w:val="0"/>
      <w:marRight w:val="0"/>
      <w:marTop w:val="0"/>
      <w:marBottom w:val="0"/>
      <w:divBdr>
        <w:top w:val="none" w:sz="0" w:space="0" w:color="auto"/>
        <w:left w:val="none" w:sz="0" w:space="0" w:color="auto"/>
        <w:bottom w:val="none" w:sz="0" w:space="0" w:color="auto"/>
        <w:right w:val="none" w:sz="0" w:space="0" w:color="auto"/>
      </w:divBdr>
      <w:divsChild>
        <w:div w:id="161511964">
          <w:marLeft w:val="547"/>
          <w:marRight w:val="0"/>
          <w:marTop w:val="115"/>
          <w:marBottom w:val="0"/>
          <w:divBdr>
            <w:top w:val="none" w:sz="0" w:space="0" w:color="auto"/>
            <w:left w:val="none" w:sz="0" w:space="0" w:color="auto"/>
            <w:bottom w:val="none" w:sz="0" w:space="0" w:color="auto"/>
            <w:right w:val="none" w:sz="0" w:space="0" w:color="auto"/>
          </w:divBdr>
        </w:div>
        <w:div w:id="997922555">
          <w:marLeft w:val="1800"/>
          <w:marRight w:val="0"/>
          <w:marTop w:val="77"/>
          <w:marBottom w:val="0"/>
          <w:divBdr>
            <w:top w:val="none" w:sz="0" w:space="0" w:color="auto"/>
            <w:left w:val="none" w:sz="0" w:space="0" w:color="auto"/>
            <w:bottom w:val="none" w:sz="0" w:space="0" w:color="auto"/>
            <w:right w:val="none" w:sz="0" w:space="0" w:color="auto"/>
          </w:divBdr>
        </w:div>
        <w:div w:id="1206453988">
          <w:marLeft w:val="1166"/>
          <w:marRight w:val="0"/>
          <w:marTop w:val="96"/>
          <w:marBottom w:val="0"/>
          <w:divBdr>
            <w:top w:val="none" w:sz="0" w:space="0" w:color="auto"/>
            <w:left w:val="none" w:sz="0" w:space="0" w:color="auto"/>
            <w:bottom w:val="none" w:sz="0" w:space="0" w:color="auto"/>
            <w:right w:val="none" w:sz="0" w:space="0" w:color="auto"/>
          </w:divBdr>
        </w:div>
        <w:div w:id="1638416157">
          <w:marLeft w:val="1800"/>
          <w:marRight w:val="0"/>
          <w:marTop w:val="77"/>
          <w:marBottom w:val="0"/>
          <w:divBdr>
            <w:top w:val="none" w:sz="0" w:space="0" w:color="auto"/>
            <w:left w:val="none" w:sz="0" w:space="0" w:color="auto"/>
            <w:bottom w:val="none" w:sz="0" w:space="0" w:color="auto"/>
            <w:right w:val="none" w:sz="0" w:space="0" w:color="auto"/>
          </w:divBdr>
        </w:div>
        <w:div w:id="1919171076">
          <w:marLeft w:val="1166"/>
          <w:marRight w:val="0"/>
          <w:marTop w:val="96"/>
          <w:marBottom w:val="0"/>
          <w:divBdr>
            <w:top w:val="none" w:sz="0" w:space="0" w:color="auto"/>
            <w:left w:val="none" w:sz="0" w:space="0" w:color="auto"/>
            <w:bottom w:val="none" w:sz="0" w:space="0" w:color="auto"/>
            <w:right w:val="none" w:sz="0" w:space="0" w:color="auto"/>
          </w:divBdr>
        </w:div>
        <w:div w:id="2138180116">
          <w:marLeft w:val="547"/>
          <w:marRight w:val="0"/>
          <w:marTop w:val="115"/>
          <w:marBottom w:val="0"/>
          <w:divBdr>
            <w:top w:val="none" w:sz="0" w:space="0" w:color="auto"/>
            <w:left w:val="none" w:sz="0" w:space="0" w:color="auto"/>
            <w:bottom w:val="none" w:sz="0" w:space="0" w:color="auto"/>
            <w:right w:val="none" w:sz="0" w:space="0" w:color="auto"/>
          </w:divBdr>
        </w:div>
      </w:divsChild>
    </w:div>
    <w:div w:id="876351102">
      <w:bodyDiv w:val="1"/>
      <w:marLeft w:val="0"/>
      <w:marRight w:val="0"/>
      <w:marTop w:val="0"/>
      <w:marBottom w:val="0"/>
      <w:divBdr>
        <w:top w:val="none" w:sz="0" w:space="0" w:color="auto"/>
        <w:left w:val="none" w:sz="0" w:space="0" w:color="auto"/>
        <w:bottom w:val="none" w:sz="0" w:space="0" w:color="auto"/>
        <w:right w:val="none" w:sz="0" w:space="0" w:color="auto"/>
      </w:divBdr>
      <w:divsChild>
        <w:div w:id="69549376">
          <w:marLeft w:val="1166"/>
          <w:marRight w:val="0"/>
          <w:marTop w:val="86"/>
          <w:marBottom w:val="0"/>
          <w:divBdr>
            <w:top w:val="none" w:sz="0" w:space="0" w:color="auto"/>
            <w:left w:val="none" w:sz="0" w:space="0" w:color="auto"/>
            <w:bottom w:val="none" w:sz="0" w:space="0" w:color="auto"/>
            <w:right w:val="none" w:sz="0" w:space="0" w:color="auto"/>
          </w:divBdr>
        </w:div>
        <w:div w:id="77751487">
          <w:marLeft w:val="2520"/>
          <w:marRight w:val="0"/>
          <w:marTop w:val="67"/>
          <w:marBottom w:val="0"/>
          <w:divBdr>
            <w:top w:val="none" w:sz="0" w:space="0" w:color="auto"/>
            <w:left w:val="none" w:sz="0" w:space="0" w:color="auto"/>
            <w:bottom w:val="none" w:sz="0" w:space="0" w:color="auto"/>
            <w:right w:val="none" w:sz="0" w:space="0" w:color="auto"/>
          </w:divBdr>
        </w:div>
        <w:div w:id="641038305">
          <w:marLeft w:val="1166"/>
          <w:marRight w:val="0"/>
          <w:marTop w:val="86"/>
          <w:marBottom w:val="0"/>
          <w:divBdr>
            <w:top w:val="none" w:sz="0" w:space="0" w:color="auto"/>
            <w:left w:val="none" w:sz="0" w:space="0" w:color="auto"/>
            <w:bottom w:val="none" w:sz="0" w:space="0" w:color="auto"/>
            <w:right w:val="none" w:sz="0" w:space="0" w:color="auto"/>
          </w:divBdr>
        </w:div>
        <w:div w:id="697313239">
          <w:marLeft w:val="1800"/>
          <w:marRight w:val="0"/>
          <w:marTop w:val="77"/>
          <w:marBottom w:val="0"/>
          <w:divBdr>
            <w:top w:val="none" w:sz="0" w:space="0" w:color="auto"/>
            <w:left w:val="none" w:sz="0" w:space="0" w:color="auto"/>
            <w:bottom w:val="none" w:sz="0" w:space="0" w:color="auto"/>
            <w:right w:val="none" w:sz="0" w:space="0" w:color="auto"/>
          </w:divBdr>
        </w:div>
        <w:div w:id="742878791">
          <w:marLeft w:val="547"/>
          <w:marRight w:val="0"/>
          <w:marTop w:val="96"/>
          <w:marBottom w:val="0"/>
          <w:divBdr>
            <w:top w:val="none" w:sz="0" w:space="0" w:color="auto"/>
            <w:left w:val="none" w:sz="0" w:space="0" w:color="auto"/>
            <w:bottom w:val="none" w:sz="0" w:space="0" w:color="auto"/>
            <w:right w:val="none" w:sz="0" w:space="0" w:color="auto"/>
          </w:divBdr>
        </w:div>
        <w:div w:id="831290188">
          <w:marLeft w:val="1800"/>
          <w:marRight w:val="0"/>
          <w:marTop w:val="77"/>
          <w:marBottom w:val="0"/>
          <w:divBdr>
            <w:top w:val="none" w:sz="0" w:space="0" w:color="auto"/>
            <w:left w:val="none" w:sz="0" w:space="0" w:color="auto"/>
            <w:bottom w:val="none" w:sz="0" w:space="0" w:color="auto"/>
            <w:right w:val="none" w:sz="0" w:space="0" w:color="auto"/>
          </w:divBdr>
        </w:div>
        <w:div w:id="862399836">
          <w:marLeft w:val="2520"/>
          <w:marRight w:val="0"/>
          <w:marTop w:val="67"/>
          <w:marBottom w:val="0"/>
          <w:divBdr>
            <w:top w:val="none" w:sz="0" w:space="0" w:color="auto"/>
            <w:left w:val="none" w:sz="0" w:space="0" w:color="auto"/>
            <w:bottom w:val="none" w:sz="0" w:space="0" w:color="auto"/>
            <w:right w:val="none" w:sz="0" w:space="0" w:color="auto"/>
          </w:divBdr>
        </w:div>
        <w:div w:id="1213421502">
          <w:marLeft w:val="1166"/>
          <w:marRight w:val="0"/>
          <w:marTop w:val="86"/>
          <w:marBottom w:val="0"/>
          <w:divBdr>
            <w:top w:val="none" w:sz="0" w:space="0" w:color="auto"/>
            <w:left w:val="none" w:sz="0" w:space="0" w:color="auto"/>
            <w:bottom w:val="none" w:sz="0" w:space="0" w:color="auto"/>
            <w:right w:val="none" w:sz="0" w:space="0" w:color="auto"/>
          </w:divBdr>
        </w:div>
        <w:div w:id="1663662373">
          <w:marLeft w:val="547"/>
          <w:marRight w:val="0"/>
          <w:marTop w:val="96"/>
          <w:marBottom w:val="0"/>
          <w:divBdr>
            <w:top w:val="none" w:sz="0" w:space="0" w:color="auto"/>
            <w:left w:val="none" w:sz="0" w:space="0" w:color="auto"/>
            <w:bottom w:val="none" w:sz="0" w:space="0" w:color="auto"/>
            <w:right w:val="none" w:sz="0" w:space="0" w:color="auto"/>
          </w:divBdr>
        </w:div>
        <w:div w:id="2044288941">
          <w:marLeft w:val="547"/>
          <w:marRight w:val="0"/>
          <w:marTop w:val="96"/>
          <w:marBottom w:val="0"/>
          <w:divBdr>
            <w:top w:val="none" w:sz="0" w:space="0" w:color="auto"/>
            <w:left w:val="none" w:sz="0" w:space="0" w:color="auto"/>
            <w:bottom w:val="none" w:sz="0" w:space="0" w:color="auto"/>
            <w:right w:val="none" w:sz="0" w:space="0" w:color="auto"/>
          </w:divBdr>
        </w:div>
      </w:divsChild>
    </w:div>
    <w:div w:id="876501433">
      <w:bodyDiv w:val="1"/>
      <w:marLeft w:val="0"/>
      <w:marRight w:val="0"/>
      <w:marTop w:val="0"/>
      <w:marBottom w:val="0"/>
      <w:divBdr>
        <w:top w:val="none" w:sz="0" w:space="0" w:color="auto"/>
        <w:left w:val="none" w:sz="0" w:space="0" w:color="auto"/>
        <w:bottom w:val="none" w:sz="0" w:space="0" w:color="auto"/>
        <w:right w:val="none" w:sz="0" w:space="0" w:color="auto"/>
      </w:divBdr>
    </w:div>
    <w:div w:id="877156704">
      <w:bodyDiv w:val="1"/>
      <w:marLeft w:val="0"/>
      <w:marRight w:val="0"/>
      <w:marTop w:val="0"/>
      <w:marBottom w:val="0"/>
      <w:divBdr>
        <w:top w:val="none" w:sz="0" w:space="0" w:color="auto"/>
        <w:left w:val="none" w:sz="0" w:space="0" w:color="auto"/>
        <w:bottom w:val="none" w:sz="0" w:space="0" w:color="auto"/>
        <w:right w:val="none" w:sz="0" w:space="0" w:color="auto"/>
      </w:divBdr>
    </w:div>
    <w:div w:id="877476140">
      <w:bodyDiv w:val="1"/>
      <w:marLeft w:val="0"/>
      <w:marRight w:val="0"/>
      <w:marTop w:val="0"/>
      <w:marBottom w:val="0"/>
      <w:divBdr>
        <w:top w:val="none" w:sz="0" w:space="0" w:color="auto"/>
        <w:left w:val="none" w:sz="0" w:space="0" w:color="auto"/>
        <w:bottom w:val="none" w:sz="0" w:space="0" w:color="auto"/>
        <w:right w:val="none" w:sz="0" w:space="0" w:color="auto"/>
      </w:divBdr>
    </w:div>
    <w:div w:id="877668525">
      <w:bodyDiv w:val="1"/>
      <w:marLeft w:val="0"/>
      <w:marRight w:val="0"/>
      <w:marTop w:val="0"/>
      <w:marBottom w:val="0"/>
      <w:divBdr>
        <w:top w:val="none" w:sz="0" w:space="0" w:color="auto"/>
        <w:left w:val="none" w:sz="0" w:space="0" w:color="auto"/>
        <w:bottom w:val="none" w:sz="0" w:space="0" w:color="auto"/>
        <w:right w:val="none" w:sz="0" w:space="0" w:color="auto"/>
      </w:divBdr>
    </w:div>
    <w:div w:id="878057166">
      <w:bodyDiv w:val="1"/>
      <w:marLeft w:val="0"/>
      <w:marRight w:val="0"/>
      <w:marTop w:val="0"/>
      <w:marBottom w:val="0"/>
      <w:divBdr>
        <w:top w:val="none" w:sz="0" w:space="0" w:color="auto"/>
        <w:left w:val="none" w:sz="0" w:space="0" w:color="auto"/>
        <w:bottom w:val="none" w:sz="0" w:space="0" w:color="auto"/>
        <w:right w:val="none" w:sz="0" w:space="0" w:color="auto"/>
      </w:divBdr>
    </w:div>
    <w:div w:id="878467556">
      <w:bodyDiv w:val="1"/>
      <w:marLeft w:val="0"/>
      <w:marRight w:val="0"/>
      <w:marTop w:val="0"/>
      <w:marBottom w:val="0"/>
      <w:divBdr>
        <w:top w:val="none" w:sz="0" w:space="0" w:color="auto"/>
        <w:left w:val="none" w:sz="0" w:space="0" w:color="auto"/>
        <w:bottom w:val="none" w:sz="0" w:space="0" w:color="auto"/>
        <w:right w:val="none" w:sz="0" w:space="0" w:color="auto"/>
      </w:divBdr>
      <w:divsChild>
        <w:div w:id="229311866">
          <w:marLeft w:val="806"/>
          <w:marRight w:val="0"/>
          <w:marTop w:val="75"/>
          <w:marBottom w:val="0"/>
          <w:divBdr>
            <w:top w:val="none" w:sz="0" w:space="0" w:color="auto"/>
            <w:left w:val="none" w:sz="0" w:space="0" w:color="auto"/>
            <w:bottom w:val="none" w:sz="0" w:space="0" w:color="auto"/>
            <w:right w:val="none" w:sz="0" w:space="0" w:color="auto"/>
          </w:divBdr>
        </w:div>
        <w:div w:id="465659711">
          <w:marLeft w:val="806"/>
          <w:marRight w:val="0"/>
          <w:marTop w:val="75"/>
          <w:marBottom w:val="0"/>
          <w:divBdr>
            <w:top w:val="none" w:sz="0" w:space="0" w:color="auto"/>
            <w:left w:val="none" w:sz="0" w:space="0" w:color="auto"/>
            <w:bottom w:val="none" w:sz="0" w:space="0" w:color="auto"/>
            <w:right w:val="none" w:sz="0" w:space="0" w:color="auto"/>
          </w:divBdr>
        </w:div>
        <w:div w:id="872306322">
          <w:marLeft w:val="274"/>
          <w:marRight w:val="0"/>
          <w:marTop w:val="150"/>
          <w:marBottom w:val="0"/>
          <w:divBdr>
            <w:top w:val="none" w:sz="0" w:space="0" w:color="auto"/>
            <w:left w:val="none" w:sz="0" w:space="0" w:color="auto"/>
            <w:bottom w:val="none" w:sz="0" w:space="0" w:color="auto"/>
            <w:right w:val="none" w:sz="0" w:space="0" w:color="auto"/>
          </w:divBdr>
        </w:div>
        <w:div w:id="1986010653">
          <w:marLeft w:val="806"/>
          <w:marRight w:val="0"/>
          <w:marTop w:val="75"/>
          <w:marBottom w:val="0"/>
          <w:divBdr>
            <w:top w:val="none" w:sz="0" w:space="0" w:color="auto"/>
            <w:left w:val="none" w:sz="0" w:space="0" w:color="auto"/>
            <w:bottom w:val="none" w:sz="0" w:space="0" w:color="auto"/>
            <w:right w:val="none" w:sz="0" w:space="0" w:color="auto"/>
          </w:divBdr>
        </w:div>
      </w:divsChild>
    </w:div>
    <w:div w:id="878472412">
      <w:bodyDiv w:val="1"/>
      <w:marLeft w:val="0"/>
      <w:marRight w:val="0"/>
      <w:marTop w:val="0"/>
      <w:marBottom w:val="0"/>
      <w:divBdr>
        <w:top w:val="none" w:sz="0" w:space="0" w:color="auto"/>
        <w:left w:val="none" w:sz="0" w:space="0" w:color="auto"/>
        <w:bottom w:val="none" w:sz="0" w:space="0" w:color="auto"/>
        <w:right w:val="none" w:sz="0" w:space="0" w:color="auto"/>
      </w:divBdr>
      <w:divsChild>
        <w:div w:id="265816462">
          <w:marLeft w:val="1800"/>
          <w:marRight w:val="0"/>
          <w:marTop w:val="96"/>
          <w:marBottom w:val="0"/>
          <w:divBdr>
            <w:top w:val="none" w:sz="0" w:space="0" w:color="auto"/>
            <w:left w:val="none" w:sz="0" w:space="0" w:color="auto"/>
            <w:bottom w:val="none" w:sz="0" w:space="0" w:color="auto"/>
            <w:right w:val="none" w:sz="0" w:space="0" w:color="auto"/>
          </w:divBdr>
        </w:div>
        <w:div w:id="567497844">
          <w:marLeft w:val="1166"/>
          <w:marRight w:val="0"/>
          <w:marTop w:val="115"/>
          <w:marBottom w:val="0"/>
          <w:divBdr>
            <w:top w:val="none" w:sz="0" w:space="0" w:color="auto"/>
            <w:left w:val="none" w:sz="0" w:space="0" w:color="auto"/>
            <w:bottom w:val="none" w:sz="0" w:space="0" w:color="auto"/>
            <w:right w:val="none" w:sz="0" w:space="0" w:color="auto"/>
          </w:divBdr>
        </w:div>
        <w:div w:id="732657438">
          <w:marLeft w:val="1166"/>
          <w:marRight w:val="0"/>
          <w:marTop w:val="115"/>
          <w:marBottom w:val="0"/>
          <w:divBdr>
            <w:top w:val="none" w:sz="0" w:space="0" w:color="auto"/>
            <w:left w:val="none" w:sz="0" w:space="0" w:color="auto"/>
            <w:bottom w:val="none" w:sz="0" w:space="0" w:color="auto"/>
            <w:right w:val="none" w:sz="0" w:space="0" w:color="auto"/>
          </w:divBdr>
        </w:div>
        <w:div w:id="1152023612">
          <w:marLeft w:val="547"/>
          <w:marRight w:val="0"/>
          <w:marTop w:val="134"/>
          <w:marBottom w:val="0"/>
          <w:divBdr>
            <w:top w:val="none" w:sz="0" w:space="0" w:color="auto"/>
            <w:left w:val="none" w:sz="0" w:space="0" w:color="auto"/>
            <w:bottom w:val="none" w:sz="0" w:space="0" w:color="auto"/>
            <w:right w:val="none" w:sz="0" w:space="0" w:color="auto"/>
          </w:divBdr>
        </w:div>
        <w:div w:id="1644196053">
          <w:marLeft w:val="1800"/>
          <w:marRight w:val="0"/>
          <w:marTop w:val="96"/>
          <w:marBottom w:val="0"/>
          <w:divBdr>
            <w:top w:val="none" w:sz="0" w:space="0" w:color="auto"/>
            <w:left w:val="none" w:sz="0" w:space="0" w:color="auto"/>
            <w:bottom w:val="none" w:sz="0" w:space="0" w:color="auto"/>
            <w:right w:val="none" w:sz="0" w:space="0" w:color="auto"/>
          </w:divBdr>
        </w:div>
      </w:divsChild>
    </w:div>
    <w:div w:id="878594273">
      <w:bodyDiv w:val="1"/>
      <w:marLeft w:val="0"/>
      <w:marRight w:val="0"/>
      <w:marTop w:val="0"/>
      <w:marBottom w:val="0"/>
      <w:divBdr>
        <w:top w:val="none" w:sz="0" w:space="0" w:color="auto"/>
        <w:left w:val="none" w:sz="0" w:space="0" w:color="auto"/>
        <w:bottom w:val="none" w:sz="0" w:space="0" w:color="auto"/>
        <w:right w:val="none" w:sz="0" w:space="0" w:color="auto"/>
      </w:divBdr>
    </w:div>
    <w:div w:id="878935853">
      <w:bodyDiv w:val="1"/>
      <w:marLeft w:val="0"/>
      <w:marRight w:val="0"/>
      <w:marTop w:val="0"/>
      <w:marBottom w:val="0"/>
      <w:divBdr>
        <w:top w:val="none" w:sz="0" w:space="0" w:color="auto"/>
        <w:left w:val="none" w:sz="0" w:space="0" w:color="auto"/>
        <w:bottom w:val="none" w:sz="0" w:space="0" w:color="auto"/>
        <w:right w:val="none" w:sz="0" w:space="0" w:color="auto"/>
      </w:divBdr>
    </w:div>
    <w:div w:id="879509211">
      <w:bodyDiv w:val="1"/>
      <w:marLeft w:val="0"/>
      <w:marRight w:val="0"/>
      <w:marTop w:val="0"/>
      <w:marBottom w:val="0"/>
      <w:divBdr>
        <w:top w:val="none" w:sz="0" w:space="0" w:color="auto"/>
        <w:left w:val="none" w:sz="0" w:space="0" w:color="auto"/>
        <w:bottom w:val="none" w:sz="0" w:space="0" w:color="auto"/>
        <w:right w:val="none" w:sz="0" w:space="0" w:color="auto"/>
      </w:divBdr>
    </w:div>
    <w:div w:id="879585257">
      <w:bodyDiv w:val="1"/>
      <w:marLeft w:val="0"/>
      <w:marRight w:val="0"/>
      <w:marTop w:val="0"/>
      <w:marBottom w:val="0"/>
      <w:divBdr>
        <w:top w:val="none" w:sz="0" w:space="0" w:color="auto"/>
        <w:left w:val="none" w:sz="0" w:space="0" w:color="auto"/>
        <w:bottom w:val="none" w:sz="0" w:space="0" w:color="auto"/>
        <w:right w:val="none" w:sz="0" w:space="0" w:color="auto"/>
      </w:divBdr>
    </w:div>
    <w:div w:id="880092921">
      <w:bodyDiv w:val="1"/>
      <w:marLeft w:val="0"/>
      <w:marRight w:val="0"/>
      <w:marTop w:val="0"/>
      <w:marBottom w:val="0"/>
      <w:divBdr>
        <w:top w:val="none" w:sz="0" w:space="0" w:color="auto"/>
        <w:left w:val="none" w:sz="0" w:space="0" w:color="auto"/>
        <w:bottom w:val="none" w:sz="0" w:space="0" w:color="auto"/>
        <w:right w:val="none" w:sz="0" w:space="0" w:color="auto"/>
      </w:divBdr>
    </w:div>
    <w:div w:id="880946692">
      <w:bodyDiv w:val="1"/>
      <w:marLeft w:val="0"/>
      <w:marRight w:val="0"/>
      <w:marTop w:val="0"/>
      <w:marBottom w:val="0"/>
      <w:divBdr>
        <w:top w:val="none" w:sz="0" w:space="0" w:color="auto"/>
        <w:left w:val="none" w:sz="0" w:space="0" w:color="auto"/>
        <w:bottom w:val="none" w:sz="0" w:space="0" w:color="auto"/>
        <w:right w:val="none" w:sz="0" w:space="0" w:color="auto"/>
      </w:divBdr>
    </w:div>
    <w:div w:id="881135013">
      <w:bodyDiv w:val="1"/>
      <w:marLeft w:val="0"/>
      <w:marRight w:val="0"/>
      <w:marTop w:val="0"/>
      <w:marBottom w:val="0"/>
      <w:divBdr>
        <w:top w:val="none" w:sz="0" w:space="0" w:color="auto"/>
        <w:left w:val="none" w:sz="0" w:space="0" w:color="auto"/>
        <w:bottom w:val="none" w:sz="0" w:space="0" w:color="auto"/>
        <w:right w:val="none" w:sz="0" w:space="0" w:color="auto"/>
      </w:divBdr>
    </w:div>
    <w:div w:id="883367491">
      <w:bodyDiv w:val="1"/>
      <w:marLeft w:val="0"/>
      <w:marRight w:val="0"/>
      <w:marTop w:val="0"/>
      <w:marBottom w:val="0"/>
      <w:divBdr>
        <w:top w:val="none" w:sz="0" w:space="0" w:color="auto"/>
        <w:left w:val="none" w:sz="0" w:space="0" w:color="auto"/>
        <w:bottom w:val="none" w:sz="0" w:space="0" w:color="auto"/>
        <w:right w:val="none" w:sz="0" w:space="0" w:color="auto"/>
      </w:divBdr>
    </w:div>
    <w:div w:id="883635676">
      <w:bodyDiv w:val="1"/>
      <w:marLeft w:val="0"/>
      <w:marRight w:val="0"/>
      <w:marTop w:val="0"/>
      <w:marBottom w:val="0"/>
      <w:divBdr>
        <w:top w:val="none" w:sz="0" w:space="0" w:color="auto"/>
        <w:left w:val="none" w:sz="0" w:space="0" w:color="auto"/>
        <w:bottom w:val="none" w:sz="0" w:space="0" w:color="auto"/>
        <w:right w:val="none" w:sz="0" w:space="0" w:color="auto"/>
      </w:divBdr>
      <w:divsChild>
        <w:div w:id="10496761">
          <w:marLeft w:val="547"/>
          <w:marRight w:val="0"/>
          <w:marTop w:val="96"/>
          <w:marBottom w:val="0"/>
          <w:divBdr>
            <w:top w:val="none" w:sz="0" w:space="0" w:color="auto"/>
            <w:left w:val="none" w:sz="0" w:space="0" w:color="auto"/>
            <w:bottom w:val="none" w:sz="0" w:space="0" w:color="auto"/>
            <w:right w:val="none" w:sz="0" w:space="0" w:color="auto"/>
          </w:divBdr>
        </w:div>
        <w:div w:id="399836769">
          <w:marLeft w:val="1166"/>
          <w:marRight w:val="0"/>
          <w:marTop w:val="96"/>
          <w:marBottom w:val="0"/>
          <w:divBdr>
            <w:top w:val="none" w:sz="0" w:space="0" w:color="auto"/>
            <w:left w:val="none" w:sz="0" w:space="0" w:color="auto"/>
            <w:bottom w:val="none" w:sz="0" w:space="0" w:color="auto"/>
            <w:right w:val="none" w:sz="0" w:space="0" w:color="auto"/>
          </w:divBdr>
        </w:div>
        <w:div w:id="482311760">
          <w:marLeft w:val="1166"/>
          <w:marRight w:val="0"/>
          <w:marTop w:val="96"/>
          <w:marBottom w:val="0"/>
          <w:divBdr>
            <w:top w:val="none" w:sz="0" w:space="0" w:color="auto"/>
            <w:left w:val="none" w:sz="0" w:space="0" w:color="auto"/>
            <w:bottom w:val="none" w:sz="0" w:space="0" w:color="auto"/>
            <w:right w:val="none" w:sz="0" w:space="0" w:color="auto"/>
          </w:divBdr>
        </w:div>
        <w:div w:id="585384789">
          <w:marLeft w:val="1800"/>
          <w:marRight w:val="0"/>
          <w:marTop w:val="82"/>
          <w:marBottom w:val="0"/>
          <w:divBdr>
            <w:top w:val="none" w:sz="0" w:space="0" w:color="auto"/>
            <w:left w:val="none" w:sz="0" w:space="0" w:color="auto"/>
            <w:bottom w:val="none" w:sz="0" w:space="0" w:color="auto"/>
            <w:right w:val="none" w:sz="0" w:space="0" w:color="auto"/>
          </w:divBdr>
        </w:div>
        <w:div w:id="830483787">
          <w:marLeft w:val="1800"/>
          <w:marRight w:val="0"/>
          <w:marTop w:val="82"/>
          <w:marBottom w:val="0"/>
          <w:divBdr>
            <w:top w:val="none" w:sz="0" w:space="0" w:color="auto"/>
            <w:left w:val="none" w:sz="0" w:space="0" w:color="auto"/>
            <w:bottom w:val="none" w:sz="0" w:space="0" w:color="auto"/>
            <w:right w:val="none" w:sz="0" w:space="0" w:color="auto"/>
          </w:divBdr>
        </w:div>
        <w:div w:id="849875578">
          <w:marLeft w:val="1166"/>
          <w:marRight w:val="0"/>
          <w:marTop w:val="96"/>
          <w:marBottom w:val="0"/>
          <w:divBdr>
            <w:top w:val="none" w:sz="0" w:space="0" w:color="auto"/>
            <w:left w:val="none" w:sz="0" w:space="0" w:color="auto"/>
            <w:bottom w:val="none" w:sz="0" w:space="0" w:color="auto"/>
            <w:right w:val="none" w:sz="0" w:space="0" w:color="auto"/>
          </w:divBdr>
        </w:div>
        <w:div w:id="998582101">
          <w:marLeft w:val="547"/>
          <w:marRight w:val="0"/>
          <w:marTop w:val="96"/>
          <w:marBottom w:val="0"/>
          <w:divBdr>
            <w:top w:val="none" w:sz="0" w:space="0" w:color="auto"/>
            <w:left w:val="none" w:sz="0" w:space="0" w:color="auto"/>
            <w:bottom w:val="none" w:sz="0" w:space="0" w:color="auto"/>
            <w:right w:val="none" w:sz="0" w:space="0" w:color="auto"/>
          </w:divBdr>
        </w:div>
        <w:div w:id="1616907097">
          <w:marLeft w:val="1166"/>
          <w:marRight w:val="0"/>
          <w:marTop w:val="96"/>
          <w:marBottom w:val="0"/>
          <w:divBdr>
            <w:top w:val="none" w:sz="0" w:space="0" w:color="auto"/>
            <w:left w:val="none" w:sz="0" w:space="0" w:color="auto"/>
            <w:bottom w:val="none" w:sz="0" w:space="0" w:color="auto"/>
            <w:right w:val="none" w:sz="0" w:space="0" w:color="auto"/>
          </w:divBdr>
        </w:div>
        <w:div w:id="1708330803">
          <w:marLeft w:val="1800"/>
          <w:marRight w:val="0"/>
          <w:marTop w:val="82"/>
          <w:marBottom w:val="0"/>
          <w:divBdr>
            <w:top w:val="none" w:sz="0" w:space="0" w:color="auto"/>
            <w:left w:val="none" w:sz="0" w:space="0" w:color="auto"/>
            <w:bottom w:val="none" w:sz="0" w:space="0" w:color="auto"/>
            <w:right w:val="none" w:sz="0" w:space="0" w:color="auto"/>
          </w:divBdr>
        </w:div>
        <w:div w:id="1997175567">
          <w:marLeft w:val="1166"/>
          <w:marRight w:val="0"/>
          <w:marTop w:val="96"/>
          <w:marBottom w:val="0"/>
          <w:divBdr>
            <w:top w:val="none" w:sz="0" w:space="0" w:color="auto"/>
            <w:left w:val="none" w:sz="0" w:space="0" w:color="auto"/>
            <w:bottom w:val="none" w:sz="0" w:space="0" w:color="auto"/>
            <w:right w:val="none" w:sz="0" w:space="0" w:color="auto"/>
          </w:divBdr>
        </w:div>
      </w:divsChild>
    </w:div>
    <w:div w:id="886069897">
      <w:bodyDiv w:val="1"/>
      <w:marLeft w:val="0"/>
      <w:marRight w:val="0"/>
      <w:marTop w:val="0"/>
      <w:marBottom w:val="0"/>
      <w:divBdr>
        <w:top w:val="none" w:sz="0" w:space="0" w:color="auto"/>
        <w:left w:val="none" w:sz="0" w:space="0" w:color="auto"/>
        <w:bottom w:val="none" w:sz="0" w:space="0" w:color="auto"/>
        <w:right w:val="none" w:sz="0" w:space="0" w:color="auto"/>
      </w:divBdr>
      <w:divsChild>
        <w:div w:id="2036344759">
          <w:marLeft w:val="0"/>
          <w:marRight w:val="0"/>
          <w:marTop w:val="0"/>
          <w:marBottom w:val="0"/>
          <w:divBdr>
            <w:top w:val="none" w:sz="0" w:space="0" w:color="auto"/>
            <w:left w:val="none" w:sz="0" w:space="0" w:color="auto"/>
            <w:bottom w:val="none" w:sz="0" w:space="0" w:color="auto"/>
            <w:right w:val="none" w:sz="0" w:space="0" w:color="auto"/>
          </w:divBdr>
          <w:divsChild>
            <w:div w:id="177735849">
              <w:marLeft w:val="0"/>
              <w:marRight w:val="0"/>
              <w:marTop w:val="0"/>
              <w:marBottom w:val="0"/>
              <w:divBdr>
                <w:top w:val="none" w:sz="0" w:space="0" w:color="auto"/>
                <w:left w:val="none" w:sz="0" w:space="0" w:color="auto"/>
                <w:bottom w:val="none" w:sz="0" w:space="0" w:color="auto"/>
                <w:right w:val="none" w:sz="0" w:space="0" w:color="auto"/>
              </w:divBdr>
            </w:div>
            <w:div w:id="537936891">
              <w:marLeft w:val="0"/>
              <w:marRight w:val="0"/>
              <w:marTop w:val="0"/>
              <w:marBottom w:val="0"/>
              <w:divBdr>
                <w:top w:val="none" w:sz="0" w:space="0" w:color="auto"/>
                <w:left w:val="none" w:sz="0" w:space="0" w:color="auto"/>
                <w:bottom w:val="none" w:sz="0" w:space="0" w:color="auto"/>
                <w:right w:val="none" w:sz="0" w:space="0" w:color="auto"/>
              </w:divBdr>
            </w:div>
            <w:div w:id="539634173">
              <w:marLeft w:val="0"/>
              <w:marRight w:val="0"/>
              <w:marTop w:val="0"/>
              <w:marBottom w:val="0"/>
              <w:divBdr>
                <w:top w:val="none" w:sz="0" w:space="0" w:color="auto"/>
                <w:left w:val="none" w:sz="0" w:space="0" w:color="auto"/>
                <w:bottom w:val="none" w:sz="0" w:space="0" w:color="auto"/>
                <w:right w:val="none" w:sz="0" w:space="0" w:color="auto"/>
              </w:divBdr>
            </w:div>
            <w:div w:id="725688819">
              <w:marLeft w:val="0"/>
              <w:marRight w:val="0"/>
              <w:marTop w:val="0"/>
              <w:marBottom w:val="0"/>
              <w:divBdr>
                <w:top w:val="none" w:sz="0" w:space="0" w:color="auto"/>
                <w:left w:val="none" w:sz="0" w:space="0" w:color="auto"/>
                <w:bottom w:val="none" w:sz="0" w:space="0" w:color="auto"/>
                <w:right w:val="none" w:sz="0" w:space="0" w:color="auto"/>
              </w:divBdr>
            </w:div>
            <w:div w:id="1198129889">
              <w:marLeft w:val="0"/>
              <w:marRight w:val="0"/>
              <w:marTop w:val="0"/>
              <w:marBottom w:val="0"/>
              <w:divBdr>
                <w:top w:val="none" w:sz="0" w:space="0" w:color="auto"/>
                <w:left w:val="none" w:sz="0" w:space="0" w:color="auto"/>
                <w:bottom w:val="none" w:sz="0" w:space="0" w:color="auto"/>
                <w:right w:val="none" w:sz="0" w:space="0" w:color="auto"/>
              </w:divBdr>
            </w:div>
            <w:div w:id="1504122860">
              <w:marLeft w:val="0"/>
              <w:marRight w:val="0"/>
              <w:marTop w:val="0"/>
              <w:marBottom w:val="0"/>
              <w:divBdr>
                <w:top w:val="none" w:sz="0" w:space="0" w:color="auto"/>
                <w:left w:val="none" w:sz="0" w:space="0" w:color="auto"/>
                <w:bottom w:val="none" w:sz="0" w:space="0" w:color="auto"/>
                <w:right w:val="none" w:sz="0" w:space="0" w:color="auto"/>
              </w:divBdr>
            </w:div>
            <w:div w:id="1559127706">
              <w:marLeft w:val="0"/>
              <w:marRight w:val="0"/>
              <w:marTop w:val="0"/>
              <w:marBottom w:val="0"/>
              <w:divBdr>
                <w:top w:val="none" w:sz="0" w:space="0" w:color="auto"/>
                <w:left w:val="none" w:sz="0" w:space="0" w:color="auto"/>
                <w:bottom w:val="none" w:sz="0" w:space="0" w:color="auto"/>
                <w:right w:val="none" w:sz="0" w:space="0" w:color="auto"/>
              </w:divBdr>
            </w:div>
            <w:div w:id="1730417281">
              <w:marLeft w:val="0"/>
              <w:marRight w:val="0"/>
              <w:marTop w:val="0"/>
              <w:marBottom w:val="0"/>
              <w:divBdr>
                <w:top w:val="none" w:sz="0" w:space="0" w:color="auto"/>
                <w:left w:val="none" w:sz="0" w:space="0" w:color="auto"/>
                <w:bottom w:val="none" w:sz="0" w:space="0" w:color="auto"/>
                <w:right w:val="none" w:sz="0" w:space="0" w:color="auto"/>
              </w:divBdr>
            </w:div>
            <w:div w:id="2121801789">
              <w:marLeft w:val="0"/>
              <w:marRight w:val="0"/>
              <w:marTop w:val="0"/>
              <w:marBottom w:val="0"/>
              <w:divBdr>
                <w:top w:val="none" w:sz="0" w:space="0" w:color="auto"/>
                <w:left w:val="none" w:sz="0" w:space="0" w:color="auto"/>
                <w:bottom w:val="none" w:sz="0" w:space="0" w:color="auto"/>
                <w:right w:val="none" w:sz="0" w:space="0" w:color="auto"/>
              </w:divBdr>
            </w:div>
            <w:div w:id="21427299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86187443">
      <w:bodyDiv w:val="1"/>
      <w:marLeft w:val="0"/>
      <w:marRight w:val="0"/>
      <w:marTop w:val="0"/>
      <w:marBottom w:val="0"/>
      <w:divBdr>
        <w:top w:val="none" w:sz="0" w:space="0" w:color="auto"/>
        <w:left w:val="none" w:sz="0" w:space="0" w:color="auto"/>
        <w:bottom w:val="none" w:sz="0" w:space="0" w:color="auto"/>
        <w:right w:val="none" w:sz="0" w:space="0" w:color="auto"/>
      </w:divBdr>
      <w:divsChild>
        <w:div w:id="108161903">
          <w:marLeft w:val="360"/>
          <w:marRight w:val="0"/>
          <w:marTop w:val="200"/>
          <w:marBottom w:val="0"/>
          <w:divBdr>
            <w:top w:val="none" w:sz="0" w:space="0" w:color="auto"/>
            <w:left w:val="none" w:sz="0" w:space="0" w:color="auto"/>
            <w:bottom w:val="none" w:sz="0" w:space="0" w:color="auto"/>
            <w:right w:val="none" w:sz="0" w:space="0" w:color="auto"/>
          </w:divBdr>
        </w:div>
      </w:divsChild>
    </w:div>
    <w:div w:id="886451275">
      <w:bodyDiv w:val="1"/>
      <w:marLeft w:val="0"/>
      <w:marRight w:val="0"/>
      <w:marTop w:val="0"/>
      <w:marBottom w:val="0"/>
      <w:divBdr>
        <w:top w:val="none" w:sz="0" w:space="0" w:color="auto"/>
        <w:left w:val="none" w:sz="0" w:space="0" w:color="auto"/>
        <w:bottom w:val="none" w:sz="0" w:space="0" w:color="auto"/>
        <w:right w:val="none" w:sz="0" w:space="0" w:color="auto"/>
      </w:divBdr>
    </w:div>
    <w:div w:id="887768624">
      <w:bodyDiv w:val="1"/>
      <w:marLeft w:val="0"/>
      <w:marRight w:val="0"/>
      <w:marTop w:val="0"/>
      <w:marBottom w:val="0"/>
      <w:divBdr>
        <w:top w:val="none" w:sz="0" w:space="0" w:color="auto"/>
        <w:left w:val="none" w:sz="0" w:space="0" w:color="auto"/>
        <w:bottom w:val="none" w:sz="0" w:space="0" w:color="auto"/>
        <w:right w:val="none" w:sz="0" w:space="0" w:color="auto"/>
      </w:divBdr>
    </w:div>
    <w:div w:id="887884778">
      <w:bodyDiv w:val="1"/>
      <w:marLeft w:val="0"/>
      <w:marRight w:val="0"/>
      <w:marTop w:val="0"/>
      <w:marBottom w:val="0"/>
      <w:divBdr>
        <w:top w:val="none" w:sz="0" w:space="0" w:color="auto"/>
        <w:left w:val="none" w:sz="0" w:space="0" w:color="auto"/>
        <w:bottom w:val="none" w:sz="0" w:space="0" w:color="auto"/>
        <w:right w:val="none" w:sz="0" w:space="0" w:color="auto"/>
      </w:divBdr>
    </w:div>
    <w:div w:id="888036134">
      <w:bodyDiv w:val="1"/>
      <w:marLeft w:val="0"/>
      <w:marRight w:val="0"/>
      <w:marTop w:val="0"/>
      <w:marBottom w:val="0"/>
      <w:divBdr>
        <w:top w:val="none" w:sz="0" w:space="0" w:color="auto"/>
        <w:left w:val="none" w:sz="0" w:space="0" w:color="auto"/>
        <w:bottom w:val="none" w:sz="0" w:space="0" w:color="auto"/>
        <w:right w:val="none" w:sz="0" w:space="0" w:color="auto"/>
      </w:divBdr>
    </w:div>
    <w:div w:id="888803156">
      <w:bodyDiv w:val="1"/>
      <w:marLeft w:val="0"/>
      <w:marRight w:val="0"/>
      <w:marTop w:val="0"/>
      <w:marBottom w:val="0"/>
      <w:divBdr>
        <w:top w:val="none" w:sz="0" w:space="0" w:color="auto"/>
        <w:left w:val="none" w:sz="0" w:space="0" w:color="auto"/>
        <w:bottom w:val="none" w:sz="0" w:space="0" w:color="auto"/>
        <w:right w:val="none" w:sz="0" w:space="0" w:color="auto"/>
      </w:divBdr>
    </w:div>
    <w:div w:id="888952407">
      <w:bodyDiv w:val="1"/>
      <w:marLeft w:val="0"/>
      <w:marRight w:val="0"/>
      <w:marTop w:val="0"/>
      <w:marBottom w:val="0"/>
      <w:divBdr>
        <w:top w:val="none" w:sz="0" w:space="0" w:color="auto"/>
        <w:left w:val="none" w:sz="0" w:space="0" w:color="auto"/>
        <w:bottom w:val="none" w:sz="0" w:space="0" w:color="auto"/>
        <w:right w:val="none" w:sz="0" w:space="0" w:color="auto"/>
      </w:divBdr>
    </w:div>
    <w:div w:id="889608808">
      <w:bodyDiv w:val="1"/>
      <w:marLeft w:val="0"/>
      <w:marRight w:val="0"/>
      <w:marTop w:val="0"/>
      <w:marBottom w:val="0"/>
      <w:divBdr>
        <w:top w:val="none" w:sz="0" w:space="0" w:color="auto"/>
        <w:left w:val="none" w:sz="0" w:space="0" w:color="auto"/>
        <w:bottom w:val="none" w:sz="0" w:space="0" w:color="auto"/>
        <w:right w:val="none" w:sz="0" w:space="0" w:color="auto"/>
      </w:divBdr>
    </w:div>
    <w:div w:id="889657746">
      <w:bodyDiv w:val="1"/>
      <w:marLeft w:val="0"/>
      <w:marRight w:val="0"/>
      <w:marTop w:val="0"/>
      <w:marBottom w:val="0"/>
      <w:divBdr>
        <w:top w:val="none" w:sz="0" w:space="0" w:color="auto"/>
        <w:left w:val="none" w:sz="0" w:space="0" w:color="auto"/>
        <w:bottom w:val="none" w:sz="0" w:space="0" w:color="auto"/>
        <w:right w:val="none" w:sz="0" w:space="0" w:color="auto"/>
      </w:divBdr>
    </w:div>
    <w:div w:id="890849375">
      <w:bodyDiv w:val="1"/>
      <w:marLeft w:val="0"/>
      <w:marRight w:val="0"/>
      <w:marTop w:val="0"/>
      <w:marBottom w:val="0"/>
      <w:divBdr>
        <w:top w:val="none" w:sz="0" w:space="0" w:color="auto"/>
        <w:left w:val="none" w:sz="0" w:space="0" w:color="auto"/>
        <w:bottom w:val="none" w:sz="0" w:space="0" w:color="auto"/>
        <w:right w:val="none" w:sz="0" w:space="0" w:color="auto"/>
      </w:divBdr>
    </w:div>
    <w:div w:id="891427587">
      <w:bodyDiv w:val="1"/>
      <w:marLeft w:val="0"/>
      <w:marRight w:val="0"/>
      <w:marTop w:val="0"/>
      <w:marBottom w:val="0"/>
      <w:divBdr>
        <w:top w:val="none" w:sz="0" w:space="0" w:color="auto"/>
        <w:left w:val="none" w:sz="0" w:space="0" w:color="auto"/>
        <w:bottom w:val="none" w:sz="0" w:space="0" w:color="auto"/>
        <w:right w:val="none" w:sz="0" w:space="0" w:color="auto"/>
      </w:divBdr>
    </w:div>
    <w:div w:id="892618691">
      <w:bodyDiv w:val="1"/>
      <w:marLeft w:val="0"/>
      <w:marRight w:val="0"/>
      <w:marTop w:val="0"/>
      <w:marBottom w:val="0"/>
      <w:divBdr>
        <w:top w:val="none" w:sz="0" w:space="0" w:color="auto"/>
        <w:left w:val="none" w:sz="0" w:space="0" w:color="auto"/>
        <w:bottom w:val="none" w:sz="0" w:space="0" w:color="auto"/>
        <w:right w:val="none" w:sz="0" w:space="0" w:color="auto"/>
      </w:divBdr>
      <w:divsChild>
        <w:div w:id="915671012">
          <w:marLeft w:val="1166"/>
          <w:marRight w:val="0"/>
          <w:marTop w:val="115"/>
          <w:marBottom w:val="0"/>
          <w:divBdr>
            <w:top w:val="none" w:sz="0" w:space="0" w:color="auto"/>
            <w:left w:val="none" w:sz="0" w:space="0" w:color="auto"/>
            <w:bottom w:val="none" w:sz="0" w:space="0" w:color="auto"/>
            <w:right w:val="none" w:sz="0" w:space="0" w:color="auto"/>
          </w:divBdr>
        </w:div>
        <w:div w:id="1065759615">
          <w:marLeft w:val="547"/>
          <w:marRight w:val="0"/>
          <w:marTop w:val="115"/>
          <w:marBottom w:val="0"/>
          <w:divBdr>
            <w:top w:val="none" w:sz="0" w:space="0" w:color="auto"/>
            <w:left w:val="none" w:sz="0" w:space="0" w:color="auto"/>
            <w:bottom w:val="none" w:sz="0" w:space="0" w:color="auto"/>
            <w:right w:val="none" w:sz="0" w:space="0" w:color="auto"/>
          </w:divBdr>
        </w:div>
      </w:divsChild>
    </w:div>
    <w:div w:id="892693744">
      <w:bodyDiv w:val="1"/>
      <w:marLeft w:val="0"/>
      <w:marRight w:val="0"/>
      <w:marTop w:val="0"/>
      <w:marBottom w:val="0"/>
      <w:divBdr>
        <w:top w:val="none" w:sz="0" w:space="0" w:color="auto"/>
        <w:left w:val="none" w:sz="0" w:space="0" w:color="auto"/>
        <w:bottom w:val="none" w:sz="0" w:space="0" w:color="auto"/>
        <w:right w:val="none" w:sz="0" w:space="0" w:color="auto"/>
      </w:divBdr>
      <w:divsChild>
        <w:div w:id="1858277015">
          <w:marLeft w:val="0"/>
          <w:marRight w:val="0"/>
          <w:marTop w:val="0"/>
          <w:marBottom w:val="0"/>
          <w:divBdr>
            <w:top w:val="none" w:sz="0" w:space="0" w:color="auto"/>
            <w:left w:val="none" w:sz="0" w:space="0" w:color="auto"/>
            <w:bottom w:val="none" w:sz="0" w:space="0" w:color="auto"/>
            <w:right w:val="none" w:sz="0" w:space="0" w:color="auto"/>
          </w:divBdr>
          <w:divsChild>
            <w:div w:id="102042274">
              <w:marLeft w:val="0"/>
              <w:marRight w:val="0"/>
              <w:marTop w:val="0"/>
              <w:marBottom w:val="0"/>
              <w:divBdr>
                <w:top w:val="none" w:sz="0" w:space="0" w:color="auto"/>
                <w:left w:val="none" w:sz="0" w:space="0" w:color="auto"/>
                <w:bottom w:val="none" w:sz="0" w:space="0" w:color="auto"/>
                <w:right w:val="none" w:sz="0" w:space="0" w:color="auto"/>
              </w:divBdr>
            </w:div>
            <w:div w:id="1703050321">
              <w:marLeft w:val="0"/>
              <w:marRight w:val="0"/>
              <w:marTop w:val="0"/>
              <w:marBottom w:val="0"/>
              <w:divBdr>
                <w:top w:val="none" w:sz="0" w:space="0" w:color="auto"/>
                <w:left w:val="none" w:sz="0" w:space="0" w:color="auto"/>
                <w:bottom w:val="none" w:sz="0" w:space="0" w:color="auto"/>
                <w:right w:val="none" w:sz="0" w:space="0" w:color="auto"/>
              </w:divBdr>
            </w:div>
            <w:div w:id="19467626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93662103">
      <w:bodyDiv w:val="1"/>
      <w:marLeft w:val="0"/>
      <w:marRight w:val="0"/>
      <w:marTop w:val="0"/>
      <w:marBottom w:val="0"/>
      <w:divBdr>
        <w:top w:val="none" w:sz="0" w:space="0" w:color="auto"/>
        <w:left w:val="none" w:sz="0" w:space="0" w:color="auto"/>
        <w:bottom w:val="none" w:sz="0" w:space="0" w:color="auto"/>
        <w:right w:val="none" w:sz="0" w:space="0" w:color="auto"/>
      </w:divBdr>
    </w:div>
    <w:div w:id="893858615">
      <w:bodyDiv w:val="1"/>
      <w:marLeft w:val="0"/>
      <w:marRight w:val="0"/>
      <w:marTop w:val="0"/>
      <w:marBottom w:val="0"/>
      <w:divBdr>
        <w:top w:val="none" w:sz="0" w:space="0" w:color="auto"/>
        <w:left w:val="none" w:sz="0" w:space="0" w:color="auto"/>
        <w:bottom w:val="none" w:sz="0" w:space="0" w:color="auto"/>
        <w:right w:val="none" w:sz="0" w:space="0" w:color="auto"/>
      </w:divBdr>
    </w:div>
    <w:div w:id="894118634">
      <w:bodyDiv w:val="1"/>
      <w:marLeft w:val="0"/>
      <w:marRight w:val="0"/>
      <w:marTop w:val="0"/>
      <w:marBottom w:val="0"/>
      <w:divBdr>
        <w:top w:val="none" w:sz="0" w:space="0" w:color="auto"/>
        <w:left w:val="none" w:sz="0" w:space="0" w:color="auto"/>
        <w:bottom w:val="none" w:sz="0" w:space="0" w:color="auto"/>
        <w:right w:val="none" w:sz="0" w:space="0" w:color="auto"/>
      </w:divBdr>
    </w:div>
    <w:div w:id="894435805">
      <w:bodyDiv w:val="1"/>
      <w:marLeft w:val="0"/>
      <w:marRight w:val="0"/>
      <w:marTop w:val="0"/>
      <w:marBottom w:val="0"/>
      <w:divBdr>
        <w:top w:val="none" w:sz="0" w:space="0" w:color="auto"/>
        <w:left w:val="none" w:sz="0" w:space="0" w:color="auto"/>
        <w:bottom w:val="none" w:sz="0" w:space="0" w:color="auto"/>
        <w:right w:val="none" w:sz="0" w:space="0" w:color="auto"/>
      </w:divBdr>
    </w:div>
    <w:div w:id="894464701">
      <w:bodyDiv w:val="1"/>
      <w:marLeft w:val="0"/>
      <w:marRight w:val="0"/>
      <w:marTop w:val="0"/>
      <w:marBottom w:val="0"/>
      <w:divBdr>
        <w:top w:val="none" w:sz="0" w:space="0" w:color="auto"/>
        <w:left w:val="none" w:sz="0" w:space="0" w:color="auto"/>
        <w:bottom w:val="none" w:sz="0" w:space="0" w:color="auto"/>
        <w:right w:val="none" w:sz="0" w:space="0" w:color="auto"/>
      </w:divBdr>
    </w:div>
    <w:div w:id="895357284">
      <w:bodyDiv w:val="1"/>
      <w:marLeft w:val="0"/>
      <w:marRight w:val="0"/>
      <w:marTop w:val="0"/>
      <w:marBottom w:val="0"/>
      <w:divBdr>
        <w:top w:val="none" w:sz="0" w:space="0" w:color="auto"/>
        <w:left w:val="none" w:sz="0" w:space="0" w:color="auto"/>
        <w:bottom w:val="none" w:sz="0" w:space="0" w:color="auto"/>
        <w:right w:val="none" w:sz="0" w:space="0" w:color="auto"/>
      </w:divBdr>
    </w:div>
    <w:div w:id="895623034">
      <w:bodyDiv w:val="1"/>
      <w:marLeft w:val="0"/>
      <w:marRight w:val="0"/>
      <w:marTop w:val="0"/>
      <w:marBottom w:val="0"/>
      <w:divBdr>
        <w:top w:val="none" w:sz="0" w:space="0" w:color="auto"/>
        <w:left w:val="none" w:sz="0" w:space="0" w:color="auto"/>
        <w:bottom w:val="none" w:sz="0" w:space="0" w:color="auto"/>
        <w:right w:val="none" w:sz="0" w:space="0" w:color="auto"/>
      </w:divBdr>
    </w:div>
    <w:div w:id="895746972">
      <w:bodyDiv w:val="1"/>
      <w:marLeft w:val="0"/>
      <w:marRight w:val="0"/>
      <w:marTop w:val="0"/>
      <w:marBottom w:val="0"/>
      <w:divBdr>
        <w:top w:val="none" w:sz="0" w:space="0" w:color="auto"/>
        <w:left w:val="none" w:sz="0" w:space="0" w:color="auto"/>
        <w:bottom w:val="none" w:sz="0" w:space="0" w:color="auto"/>
        <w:right w:val="none" w:sz="0" w:space="0" w:color="auto"/>
      </w:divBdr>
    </w:div>
    <w:div w:id="895773741">
      <w:bodyDiv w:val="1"/>
      <w:marLeft w:val="0"/>
      <w:marRight w:val="0"/>
      <w:marTop w:val="0"/>
      <w:marBottom w:val="0"/>
      <w:divBdr>
        <w:top w:val="none" w:sz="0" w:space="0" w:color="auto"/>
        <w:left w:val="none" w:sz="0" w:space="0" w:color="auto"/>
        <w:bottom w:val="none" w:sz="0" w:space="0" w:color="auto"/>
        <w:right w:val="none" w:sz="0" w:space="0" w:color="auto"/>
      </w:divBdr>
    </w:div>
    <w:div w:id="896009353">
      <w:bodyDiv w:val="1"/>
      <w:marLeft w:val="0"/>
      <w:marRight w:val="0"/>
      <w:marTop w:val="0"/>
      <w:marBottom w:val="0"/>
      <w:divBdr>
        <w:top w:val="none" w:sz="0" w:space="0" w:color="auto"/>
        <w:left w:val="none" w:sz="0" w:space="0" w:color="auto"/>
        <w:bottom w:val="none" w:sz="0" w:space="0" w:color="auto"/>
        <w:right w:val="none" w:sz="0" w:space="0" w:color="auto"/>
      </w:divBdr>
    </w:div>
    <w:div w:id="897401361">
      <w:bodyDiv w:val="1"/>
      <w:marLeft w:val="0"/>
      <w:marRight w:val="0"/>
      <w:marTop w:val="0"/>
      <w:marBottom w:val="0"/>
      <w:divBdr>
        <w:top w:val="none" w:sz="0" w:space="0" w:color="auto"/>
        <w:left w:val="none" w:sz="0" w:space="0" w:color="auto"/>
        <w:bottom w:val="none" w:sz="0" w:space="0" w:color="auto"/>
        <w:right w:val="none" w:sz="0" w:space="0" w:color="auto"/>
      </w:divBdr>
      <w:divsChild>
        <w:div w:id="173959306">
          <w:marLeft w:val="547"/>
          <w:marRight w:val="0"/>
          <w:marTop w:val="134"/>
          <w:marBottom w:val="0"/>
          <w:divBdr>
            <w:top w:val="none" w:sz="0" w:space="0" w:color="auto"/>
            <w:left w:val="none" w:sz="0" w:space="0" w:color="auto"/>
            <w:bottom w:val="none" w:sz="0" w:space="0" w:color="auto"/>
            <w:right w:val="none" w:sz="0" w:space="0" w:color="auto"/>
          </w:divBdr>
        </w:div>
        <w:div w:id="1167012923">
          <w:marLeft w:val="1166"/>
          <w:marRight w:val="0"/>
          <w:marTop w:val="115"/>
          <w:marBottom w:val="0"/>
          <w:divBdr>
            <w:top w:val="none" w:sz="0" w:space="0" w:color="auto"/>
            <w:left w:val="none" w:sz="0" w:space="0" w:color="auto"/>
            <w:bottom w:val="none" w:sz="0" w:space="0" w:color="auto"/>
            <w:right w:val="none" w:sz="0" w:space="0" w:color="auto"/>
          </w:divBdr>
        </w:div>
        <w:div w:id="1416198906">
          <w:marLeft w:val="1166"/>
          <w:marRight w:val="0"/>
          <w:marTop w:val="115"/>
          <w:marBottom w:val="0"/>
          <w:divBdr>
            <w:top w:val="none" w:sz="0" w:space="0" w:color="auto"/>
            <w:left w:val="none" w:sz="0" w:space="0" w:color="auto"/>
            <w:bottom w:val="none" w:sz="0" w:space="0" w:color="auto"/>
            <w:right w:val="none" w:sz="0" w:space="0" w:color="auto"/>
          </w:divBdr>
        </w:div>
        <w:div w:id="2115587269">
          <w:marLeft w:val="1166"/>
          <w:marRight w:val="0"/>
          <w:marTop w:val="115"/>
          <w:marBottom w:val="0"/>
          <w:divBdr>
            <w:top w:val="none" w:sz="0" w:space="0" w:color="auto"/>
            <w:left w:val="none" w:sz="0" w:space="0" w:color="auto"/>
            <w:bottom w:val="none" w:sz="0" w:space="0" w:color="auto"/>
            <w:right w:val="none" w:sz="0" w:space="0" w:color="auto"/>
          </w:divBdr>
        </w:div>
      </w:divsChild>
    </w:div>
    <w:div w:id="898592285">
      <w:bodyDiv w:val="1"/>
      <w:marLeft w:val="0"/>
      <w:marRight w:val="0"/>
      <w:marTop w:val="0"/>
      <w:marBottom w:val="0"/>
      <w:divBdr>
        <w:top w:val="none" w:sz="0" w:space="0" w:color="auto"/>
        <w:left w:val="none" w:sz="0" w:space="0" w:color="auto"/>
        <w:bottom w:val="none" w:sz="0" w:space="0" w:color="auto"/>
        <w:right w:val="none" w:sz="0" w:space="0" w:color="auto"/>
      </w:divBdr>
    </w:div>
    <w:div w:id="898781110">
      <w:bodyDiv w:val="1"/>
      <w:marLeft w:val="0"/>
      <w:marRight w:val="0"/>
      <w:marTop w:val="0"/>
      <w:marBottom w:val="0"/>
      <w:divBdr>
        <w:top w:val="none" w:sz="0" w:space="0" w:color="auto"/>
        <w:left w:val="none" w:sz="0" w:space="0" w:color="auto"/>
        <w:bottom w:val="none" w:sz="0" w:space="0" w:color="auto"/>
        <w:right w:val="none" w:sz="0" w:space="0" w:color="auto"/>
      </w:divBdr>
    </w:div>
    <w:div w:id="898783595">
      <w:bodyDiv w:val="1"/>
      <w:marLeft w:val="0"/>
      <w:marRight w:val="0"/>
      <w:marTop w:val="0"/>
      <w:marBottom w:val="0"/>
      <w:divBdr>
        <w:top w:val="none" w:sz="0" w:space="0" w:color="auto"/>
        <w:left w:val="none" w:sz="0" w:space="0" w:color="auto"/>
        <w:bottom w:val="none" w:sz="0" w:space="0" w:color="auto"/>
        <w:right w:val="none" w:sz="0" w:space="0" w:color="auto"/>
      </w:divBdr>
    </w:div>
    <w:div w:id="898832053">
      <w:bodyDiv w:val="1"/>
      <w:marLeft w:val="0"/>
      <w:marRight w:val="0"/>
      <w:marTop w:val="0"/>
      <w:marBottom w:val="0"/>
      <w:divBdr>
        <w:top w:val="none" w:sz="0" w:space="0" w:color="auto"/>
        <w:left w:val="none" w:sz="0" w:space="0" w:color="auto"/>
        <w:bottom w:val="none" w:sz="0" w:space="0" w:color="auto"/>
        <w:right w:val="none" w:sz="0" w:space="0" w:color="auto"/>
      </w:divBdr>
    </w:div>
    <w:div w:id="898899305">
      <w:bodyDiv w:val="1"/>
      <w:marLeft w:val="0"/>
      <w:marRight w:val="0"/>
      <w:marTop w:val="0"/>
      <w:marBottom w:val="0"/>
      <w:divBdr>
        <w:top w:val="none" w:sz="0" w:space="0" w:color="auto"/>
        <w:left w:val="none" w:sz="0" w:space="0" w:color="auto"/>
        <w:bottom w:val="none" w:sz="0" w:space="0" w:color="auto"/>
        <w:right w:val="none" w:sz="0" w:space="0" w:color="auto"/>
      </w:divBdr>
      <w:divsChild>
        <w:div w:id="1000738188">
          <w:marLeft w:val="0"/>
          <w:marRight w:val="0"/>
          <w:marTop w:val="0"/>
          <w:marBottom w:val="0"/>
          <w:divBdr>
            <w:top w:val="none" w:sz="0" w:space="0" w:color="auto"/>
            <w:left w:val="none" w:sz="0" w:space="0" w:color="auto"/>
            <w:bottom w:val="none" w:sz="0" w:space="0" w:color="auto"/>
            <w:right w:val="none" w:sz="0" w:space="0" w:color="auto"/>
          </w:divBdr>
          <w:divsChild>
            <w:div w:id="447361739">
              <w:marLeft w:val="0"/>
              <w:marRight w:val="0"/>
              <w:marTop w:val="0"/>
              <w:marBottom w:val="0"/>
              <w:divBdr>
                <w:top w:val="none" w:sz="0" w:space="0" w:color="auto"/>
                <w:left w:val="none" w:sz="0" w:space="0" w:color="auto"/>
                <w:bottom w:val="none" w:sz="0" w:space="0" w:color="auto"/>
                <w:right w:val="none" w:sz="0" w:space="0" w:color="auto"/>
              </w:divBdr>
            </w:div>
            <w:div w:id="616329141">
              <w:marLeft w:val="0"/>
              <w:marRight w:val="0"/>
              <w:marTop w:val="0"/>
              <w:marBottom w:val="0"/>
              <w:divBdr>
                <w:top w:val="none" w:sz="0" w:space="0" w:color="auto"/>
                <w:left w:val="none" w:sz="0" w:space="0" w:color="auto"/>
                <w:bottom w:val="none" w:sz="0" w:space="0" w:color="auto"/>
                <w:right w:val="none" w:sz="0" w:space="0" w:color="auto"/>
              </w:divBdr>
            </w:div>
            <w:div w:id="10958564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99362260">
      <w:bodyDiv w:val="1"/>
      <w:marLeft w:val="0"/>
      <w:marRight w:val="0"/>
      <w:marTop w:val="0"/>
      <w:marBottom w:val="0"/>
      <w:divBdr>
        <w:top w:val="none" w:sz="0" w:space="0" w:color="auto"/>
        <w:left w:val="none" w:sz="0" w:space="0" w:color="auto"/>
        <w:bottom w:val="none" w:sz="0" w:space="0" w:color="auto"/>
        <w:right w:val="none" w:sz="0" w:space="0" w:color="auto"/>
      </w:divBdr>
    </w:div>
    <w:div w:id="899554618">
      <w:bodyDiv w:val="1"/>
      <w:marLeft w:val="0"/>
      <w:marRight w:val="0"/>
      <w:marTop w:val="0"/>
      <w:marBottom w:val="0"/>
      <w:divBdr>
        <w:top w:val="none" w:sz="0" w:space="0" w:color="auto"/>
        <w:left w:val="none" w:sz="0" w:space="0" w:color="auto"/>
        <w:bottom w:val="none" w:sz="0" w:space="0" w:color="auto"/>
        <w:right w:val="none" w:sz="0" w:space="0" w:color="auto"/>
      </w:divBdr>
    </w:div>
    <w:div w:id="900365778">
      <w:bodyDiv w:val="1"/>
      <w:marLeft w:val="0"/>
      <w:marRight w:val="0"/>
      <w:marTop w:val="0"/>
      <w:marBottom w:val="0"/>
      <w:divBdr>
        <w:top w:val="none" w:sz="0" w:space="0" w:color="auto"/>
        <w:left w:val="none" w:sz="0" w:space="0" w:color="auto"/>
        <w:bottom w:val="none" w:sz="0" w:space="0" w:color="auto"/>
        <w:right w:val="none" w:sz="0" w:space="0" w:color="auto"/>
      </w:divBdr>
    </w:div>
    <w:div w:id="901017500">
      <w:bodyDiv w:val="1"/>
      <w:marLeft w:val="0"/>
      <w:marRight w:val="0"/>
      <w:marTop w:val="0"/>
      <w:marBottom w:val="0"/>
      <w:divBdr>
        <w:top w:val="none" w:sz="0" w:space="0" w:color="auto"/>
        <w:left w:val="none" w:sz="0" w:space="0" w:color="auto"/>
        <w:bottom w:val="none" w:sz="0" w:space="0" w:color="auto"/>
        <w:right w:val="none" w:sz="0" w:space="0" w:color="auto"/>
      </w:divBdr>
    </w:div>
    <w:div w:id="901017965">
      <w:bodyDiv w:val="1"/>
      <w:marLeft w:val="0"/>
      <w:marRight w:val="0"/>
      <w:marTop w:val="0"/>
      <w:marBottom w:val="0"/>
      <w:divBdr>
        <w:top w:val="none" w:sz="0" w:space="0" w:color="auto"/>
        <w:left w:val="none" w:sz="0" w:space="0" w:color="auto"/>
        <w:bottom w:val="none" w:sz="0" w:space="0" w:color="auto"/>
        <w:right w:val="none" w:sz="0" w:space="0" w:color="auto"/>
      </w:divBdr>
    </w:div>
    <w:div w:id="901254805">
      <w:bodyDiv w:val="1"/>
      <w:marLeft w:val="0"/>
      <w:marRight w:val="0"/>
      <w:marTop w:val="0"/>
      <w:marBottom w:val="0"/>
      <w:divBdr>
        <w:top w:val="none" w:sz="0" w:space="0" w:color="auto"/>
        <w:left w:val="none" w:sz="0" w:space="0" w:color="auto"/>
        <w:bottom w:val="none" w:sz="0" w:space="0" w:color="auto"/>
        <w:right w:val="none" w:sz="0" w:space="0" w:color="auto"/>
      </w:divBdr>
    </w:div>
    <w:div w:id="901988539">
      <w:bodyDiv w:val="1"/>
      <w:marLeft w:val="0"/>
      <w:marRight w:val="0"/>
      <w:marTop w:val="0"/>
      <w:marBottom w:val="0"/>
      <w:divBdr>
        <w:top w:val="none" w:sz="0" w:space="0" w:color="auto"/>
        <w:left w:val="none" w:sz="0" w:space="0" w:color="auto"/>
        <w:bottom w:val="none" w:sz="0" w:space="0" w:color="auto"/>
        <w:right w:val="none" w:sz="0" w:space="0" w:color="auto"/>
      </w:divBdr>
    </w:div>
    <w:div w:id="902762331">
      <w:bodyDiv w:val="1"/>
      <w:marLeft w:val="0"/>
      <w:marRight w:val="0"/>
      <w:marTop w:val="0"/>
      <w:marBottom w:val="0"/>
      <w:divBdr>
        <w:top w:val="none" w:sz="0" w:space="0" w:color="auto"/>
        <w:left w:val="none" w:sz="0" w:space="0" w:color="auto"/>
        <w:bottom w:val="none" w:sz="0" w:space="0" w:color="auto"/>
        <w:right w:val="none" w:sz="0" w:space="0" w:color="auto"/>
      </w:divBdr>
    </w:div>
    <w:div w:id="903219595">
      <w:bodyDiv w:val="1"/>
      <w:marLeft w:val="0"/>
      <w:marRight w:val="0"/>
      <w:marTop w:val="0"/>
      <w:marBottom w:val="0"/>
      <w:divBdr>
        <w:top w:val="none" w:sz="0" w:space="0" w:color="auto"/>
        <w:left w:val="none" w:sz="0" w:space="0" w:color="auto"/>
        <w:bottom w:val="none" w:sz="0" w:space="0" w:color="auto"/>
        <w:right w:val="none" w:sz="0" w:space="0" w:color="auto"/>
      </w:divBdr>
    </w:div>
    <w:div w:id="903758190">
      <w:bodyDiv w:val="1"/>
      <w:marLeft w:val="0"/>
      <w:marRight w:val="0"/>
      <w:marTop w:val="0"/>
      <w:marBottom w:val="0"/>
      <w:divBdr>
        <w:top w:val="none" w:sz="0" w:space="0" w:color="auto"/>
        <w:left w:val="none" w:sz="0" w:space="0" w:color="auto"/>
        <w:bottom w:val="none" w:sz="0" w:space="0" w:color="auto"/>
        <w:right w:val="none" w:sz="0" w:space="0" w:color="auto"/>
      </w:divBdr>
    </w:div>
    <w:div w:id="904144866">
      <w:bodyDiv w:val="1"/>
      <w:marLeft w:val="0"/>
      <w:marRight w:val="0"/>
      <w:marTop w:val="0"/>
      <w:marBottom w:val="0"/>
      <w:divBdr>
        <w:top w:val="none" w:sz="0" w:space="0" w:color="auto"/>
        <w:left w:val="none" w:sz="0" w:space="0" w:color="auto"/>
        <w:bottom w:val="none" w:sz="0" w:space="0" w:color="auto"/>
        <w:right w:val="none" w:sz="0" w:space="0" w:color="auto"/>
      </w:divBdr>
    </w:div>
    <w:div w:id="904222926">
      <w:bodyDiv w:val="1"/>
      <w:marLeft w:val="0"/>
      <w:marRight w:val="0"/>
      <w:marTop w:val="0"/>
      <w:marBottom w:val="0"/>
      <w:divBdr>
        <w:top w:val="none" w:sz="0" w:space="0" w:color="auto"/>
        <w:left w:val="none" w:sz="0" w:space="0" w:color="auto"/>
        <w:bottom w:val="none" w:sz="0" w:space="0" w:color="auto"/>
        <w:right w:val="none" w:sz="0" w:space="0" w:color="auto"/>
      </w:divBdr>
    </w:div>
    <w:div w:id="904412746">
      <w:bodyDiv w:val="1"/>
      <w:marLeft w:val="0"/>
      <w:marRight w:val="0"/>
      <w:marTop w:val="0"/>
      <w:marBottom w:val="0"/>
      <w:divBdr>
        <w:top w:val="none" w:sz="0" w:space="0" w:color="auto"/>
        <w:left w:val="none" w:sz="0" w:space="0" w:color="auto"/>
        <w:bottom w:val="none" w:sz="0" w:space="0" w:color="auto"/>
        <w:right w:val="none" w:sz="0" w:space="0" w:color="auto"/>
      </w:divBdr>
    </w:div>
    <w:div w:id="904492670">
      <w:bodyDiv w:val="1"/>
      <w:marLeft w:val="0"/>
      <w:marRight w:val="0"/>
      <w:marTop w:val="0"/>
      <w:marBottom w:val="0"/>
      <w:divBdr>
        <w:top w:val="none" w:sz="0" w:space="0" w:color="auto"/>
        <w:left w:val="none" w:sz="0" w:space="0" w:color="auto"/>
        <w:bottom w:val="none" w:sz="0" w:space="0" w:color="auto"/>
        <w:right w:val="none" w:sz="0" w:space="0" w:color="auto"/>
      </w:divBdr>
      <w:divsChild>
        <w:div w:id="729303136">
          <w:marLeft w:val="1166"/>
          <w:marRight w:val="0"/>
          <w:marTop w:val="115"/>
          <w:marBottom w:val="0"/>
          <w:divBdr>
            <w:top w:val="none" w:sz="0" w:space="0" w:color="auto"/>
            <w:left w:val="none" w:sz="0" w:space="0" w:color="auto"/>
            <w:bottom w:val="none" w:sz="0" w:space="0" w:color="auto"/>
            <w:right w:val="none" w:sz="0" w:space="0" w:color="auto"/>
          </w:divBdr>
        </w:div>
        <w:div w:id="1871990885">
          <w:marLeft w:val="547"/>
          <w:marRight w:val="0"/>
          <w:marTop w:val="134"/>
          <w:marBottom w:val="0"/>
          <w:divBdr>
            <w:top w:val="none" w:sz="0" w:space="0" w:color="auto"/>
            <w:left w:val="none" w:sz="0" w:space="0" w:color="auto"/>
            <w:bottom w:val="none" w:sz="0" w:space="0" w:color="auto"/>
            <w:right w:val="none" w:sz="0" w:space="0" w:color="auto"/>
          </w:divBdr>
        </w:div>
      </w:divsChild>
    </w:div>
    <w:div w:id="904995329">
      <w:bodyDiv w:val="1"/>
      <w:marLeft w:val="0"/>
      <w:marRight w:val="0"/>
      <w:marTop w:val="0"/>
      <w:marBottom w:val="0"/>
      <w:divBdr>
        <w:top w:val="none" w:sz="0" w:space="0" w:color="auto"/>
        <w:left w:val="none" w:sz="0" w:space="0" w:color="auto"/>
        <w:bottom w:val="none" w:sz="0" w:space="0" w:color="auto"/>
        <w:right w:val="none" w:sz="0" w:space="0" w:color="auto"/>
      </w:divBdr>
    </w:div>
    <w:div w:id="905065002">
      <w:bodyDiv w:val="1"/>
      <w:marLeft w:val="0"/>
      <w:marRight w:val="0"/>
      <w:marTop w:val="0"/>
      <w:marBottom w:val="0"/>
      <w:divBdr>
        <w:top w:val="none" w:sz="0" w:space="0" w:color="auto"/>
        <w:left w:val="none" w:sz="0" w:space="0" w:color="auto"/>
        <w:bottom w:val="none" w:sz="0" w:space="0" w:color="auto"/>
        <w:right w:val="none" w:sz="0" w:space="0" w:color="auto"/>
      </w:divBdr>
    </w:div>
    <w:div w:id="905258559">
      <w:bodyDiv w:val="1"/>
      <w:marLeft w:val="0"/>
      <w:marRight w:val="0"/>
      <w:marTop w:val="0"/>
      <w:marBottom w:val="0"/>
      <w:divBdr>
        <w:top w:val="none" w:sz="0" w:space="0" w:color="auto"/>
        <w:left w:val="none" w:sz="0" w:space="0" w:color="auto"/>
        <w:bottom w:val="none" w:sz="0" w:space="0" w:color="auto"/>
        <w:right w:val="none" w:sz="0" w:space="0" w:color="auto"/>
      </w:divBdr>
    </w:div>
    <w:div w:id="905457817">
      <w:bodyDiv w:val="1"/>
      <w:marLeft w:val="0"/>
      <w:marRight w:val="0"/>
      <w:marTop w:val="0"/>
      <w:marBottom w:val="0"/>
      <w:divBdr>
        <w:top w:val="none" w:sz="0" w:space="0" w:color="auto"/>
        <w:left w:val="none" w:sz="0" w:space="0" w:color="auto"/>
        <w:bottom w:val="none" w:sz="0" w:space="0" w:color="auto"/>
        <w:right w:val="none" w:sz="0" w:space="0" w:color="auto"/>
      </w:divBdr>
    </w:div>
    <w:div w:id="905919516">
      <w:bodyDiv w:val="1"/>
      <w:marLeft w:val="0"/>
      <w:marRight w:val="0"/>
      <w:marTop w:val="0"/>
      <w:marBottom w:val="0"/>
      <w:divBdr>
        <w:top w:val="none" w:sz="0" w:space="0" w:color="auto"/>
        <w:left w:val="none" w:sz="0" w:space="0" w:color="auto"/>
        <w:bottom w:val="none" w:sz="0" w:space="0" w:color="auto"/>
        <w:right w:val="none" w:sz="0" w:space="0" w:color="auto"/>
      </w:divBdr>
      <w:divsChild>
        <w:div w:id="645669069">
          <w:marLeft w:val="547"/>
          <w:marRight w:val="0"/>
          <w:marTop w:val="115"/>
          <w:marBottom w:val="0"/>
          <w:divBdr>
            <w:top w:val="none" w:sz="0" w:space="0" w:color="auto"/>
            <w:left w:val="none" w:sz="0" w:space="0" w:color="auto"/>
            <w:bottom w:val="none" w:sz="0" w:space="0" w:color="auto"/>
            <w:right w:val="none" w:sz="0" w:space="0" w:color="auto"/>
          </w:divBdr>
        </w:div>
        <w:div w:id="2007976997">
          <w:marLeft w:val="547"/>
          <w:marRight w:val="0"/>
          <w:marTop w:val="115"/>
          <w:marBottom w:val="0"/>
          <w:divBdr>
            <w:top w:val="none" w:sz="0" w:space="0" w:color="auto"/>
            <w:left w:val="none" w:sz="0" w:space="0" w:color="auto"/>
            <w:bottom w:val="none" w:sz="0" w:space="0" w:color="auto"/>
            <w:right w:val="none" w:sz="0" w:space="0" w:color="auto"/>
          </w:divBdr>
        </w:div>
      </w:divsChild>
    </w:div>
    <w:div w:id="906383710">
      <w:bodyDiv w:val="1"/>
      <w:marLeft w:val="0"/>
      <w:marRight w:val="0"/>
      <w:marTop w:val="0"/>
      <w:marBottom w:val="0"/>
      <w:divBdr>
        <w:top w:val="none" w:sz="0" w:space="0" w:color="auto"/>
        <w:left w:val="none" w:sz="0" w:space="0" w:color="auto"/>
        <w:bottom w:val="none" w:sz="0" w:space="0" w:color="auto"/>
        <w:right w:val="none" w:sz="0" w:space="0" w:color="auto"/>
      </w:divBdr>
    </w:div>
    <w:div w:id="907962573">
      <w:bodyDiv w:val="1"/>
      <w:marLeft w:val="0"/>
      <w:marRight w:val="0"/>
      <w:marTop w:val="0"/>
      <w:marBottom w:val="0"/>
      <w:divBdr>
        <w:top w:val="none" w:sz="0" w:space="0" w:color="auto"/>
        <w:left w:val="none" w:sz="0" w:space="0" w:color="auto"/>
        <w:bottom w:val="none" w:sz="0" w:space="0" w:color="auto"/>
        <w:right w:val="none" w:sz="0" w:space="0" w:color="auto"/>
      </w:divBdr>
    </w:div>
    <w:div w:id="908271172">
      <w:bodyDiv w:val="1"/>
      <w:marLeft w:val="0"/>
      <w:marRight w:val="0"/>
      <w:marTop w:val="0"/>
      <w:marBottom w:val="0"/>
      <w:divBdr>
        <w:top w:val="none" w:sz="0" w:space="0" w:color="auto"/>
        <w:left w:val="none" w:sz="0" w:space="0" w:color="auto"/>
        <w:bottom w:val="none" w:sz="0" w:space="0" w:color="auto"/>
        <w:right w:val="none" w:sz="0" w:space="0" w:color="auto"/>
      </w:divBdr>
      <w:divsChild>
        <w:div w:id="496848511">
          <w:marLeft w:val="1800"/>
          <w:marRight w:val="0"/>
          <w:marTop w:val="115"/>
          <w:marBottom w:val="0"/>
          <w:divBdr>
            <w:top w:val="none" w:sz="0" w:space="0" w:color="auto"/>
            <w:left w:val="none" w:sz="0" w:space="0" w:color="auto"/>
            <w:bottom w:val="none" w:sz="0" w:space="0" w:color="auto"/>
            <w:right w:val="none" w:sz="0" w:space="0" w:color="auto"/>
          </w:divBdr>
        </w:div>
        <w:div w:id="1343048219">
          <w:marLeft w:val="547"/>
          <w:marRight w:val="0"/>
          <w:marTop w:val="134"/>
          <w:marBottom w:val="0"/>
          <w:divBdr>
            <w:top w:val="none" w:sz="0" w:space="0" w:color="auto"/>
            <w:left w:val="none" w:sz="0" w:space="0" w:color="auto"/>
            <w:bottom w:val="none" w:sz="0" w:space="0" w:color="auto"/>
            <w:right w:val="none" w:sz="0" w:space="0" w:color="auto"/>
          </w:divBdr>
        </w:div>
        <w:div w:id="1822575656">
          <w:marLeft w:val="1166"/>
          <w:marRight w:val="0"/>
          <w:marTop w:val="134"/>
          <w:marBottom w:val="0"/>
          <w:divBdr>
            <w:top w:val="none" w:sz="0" w:space="0" w:color="auto"/>
            <w:left w:val="none" w:sz="0" w:space="0" w:color="auto"/>
            <w:bottom w:val="none" w:sz="0" w:space="0" w:color="auto"/>
            <w:right w:val="none" w:sz="0" w:space="0" w:color="auto"/>
          </w:divBdr>
        </w:div>
        <w:div w:id="2054772957">
          <w:marLeft w:val="1166"/>
          <w:marRight w:val="0"/>
          <w:marTop w:val="134"/>
          <w:marBottom w:val="0"/>
          <w:divBdr>
            <w:top w:val="none" w:sz="0" w:space="0" w:color="auto"/>
            <w:left w:val="none" w:sz="0" w:space="0" w:color="auto"/>
            <w:bottom w:val="none" w:sz="0" w:space="0" w:color="auto"/>
            <w:right w:val="none" w:sz="0" w:space="0" w:color="auto"/>
          </w:divBdr>
        </w:div>
      </w:divsChild>
    </w:div>
    <w:div w:id="908344281">
      <w:bodyDiv w:val="1"/>
      <w:marLeft w:val="0"/>
      <w:marRight w:val="0"/>
      <w:marTop w:val="0"/>
      <w:marBottom w:val="0"/>
      <w:divBdr>
        <w:top w:val="none" w:sz="0" w:space="0" w:color="auto"/>
        <w:left w:val="none" w:sz="0" w:space="0" w:color="auto"/>
        <w:bottom w:val="none" w:sz="0" w:space="0" w:color="auto"/>
        <w:right w:val="none" w:sz="0" w:space="0" w:color="auto"/>
      </w:divBdr>
    </w:div>
    <w:div w:id="908421235">
      <w:bodyDiv w:val="1"/>
      <w:marLeft w:val="0"/>
      <w:marRight w:val="0"/>
      <w:marTop w:val="0"/>
      <w:marBottom w:val="0"/>
      <w:divBdr>
        <w:top w:val="none" w:sz="0" w:space="0" w:color="auto"/>
        <w:left w:val="none" w:sz="0" w:space="0" w:color="auto"/>
        <w:bottom w:val="none" w:sz="0" w:space="0" w:color="auto"/>
        <w:right w:val="none" w:sz="0" w:space="0" w:color="auto"/>
      </w:divBdr>
    </w:div>
    <w:div w:id="909148016">
      <w:bodyDiv w:val="1"/>
      <w:marLeft w:val="0"/>
      <w:marRight w:val="0"/>
      <w:marTop w:val="0"/>
      <w:marBottom w:val="0"/>
      <w:divBdr>
        <w:top w:val="none" w:sz="0" w:space="0" w:color="auto"/>
        <w:left w:val="none" w:sz="0" w:space="0" w:color="auto"/>
        <w:bottom w:val="none" w:sz="0" w:space="0" w:color="auto"/>
        <w:right w:val="none" w:sz="0" w:space="0" w:color="auto"/>
      </w:divBdr>
      <w:divsChild>
        <w:div w:id="418720626">
          <w:marLeft w:val="1166"/>
          <w:marRight w:val="0"/>
          <w:marTop w:val="96"/>
          <w:marBottom w:val="0"/>
          <w:divBdr>
            <w:top w:val="none" w:sz="0" w:space="0" w:color="auto"/>
            <w:left w:val="none" w:sz="0" w:space="0" w:color="auto"/>
            <w:bottom w:val="none" w:sz="0" w:space="0" w:color="auto"/>
            <w:right w:val="none" w:sz="0" w:space="0" w:color="auto"/>
          </w:divBdr>
        </w:div>
        <w:div w:id="644241784">
          <w:marLeft w:val="1166"/>
          <w:marRight w:val="0"/>
          <w:marTop w:val="96"/>
          <w:marBottom w:val="0"/>
          <w:divBdr>
            <w:top w:val="none" w:sz="0" w:space="0" w:color="auto"/>
            <w:left w:val="none" w:sz="0" w:space="0" w:color="auto"/>
            <w:bottom w:val="none" w:sz="0" w:space="0" w:color="auto"/>
            <w:right w:val="none" w:sz="0" w:space="0" w:color="auto"/>
          </w:divBdr>
        </w:div>
        <w:div w:id="1355425611">
          <w:marLeft w:val="1166"/>
          <w:marRight w:val="0"/>
          <w:marTop w:val="96"/>
          <w:marBottom w:val="0"/>
          <w:divBdr>
            <w:top w:val="none" w:sz="0" w:space="0" w:color="auto"/>
            <w:left w:val="none" w:sz="0" w:space="0" w:color="auto"/>
            <w:bottom w:val="none" w:sz="0" w:space="0" w:color="auto"/>
            <w:right w:val="none" w:sz="0" w:space="0" w:color="auto"/>
          </w:divBdr>
        </w:div>
        <w:div w:id="1390037688">
          <w:marLeft w:val="1800"/>
          <w:marRight w:val="0"/>
          <w:marTop w:val="86"/>
          <w:marBottom w:val="0"/>
          <w:divBdr>
            <w:top w:val="none" w:sz="0" w:space="0" w:color="auto"/>
            <w:left w:val="none" w:sz="0" w:space="0" w:color="auto"/>
            <w:bottom w:val="none" w:sz="0" w:space="0" w:color="auto"/>
            <w:right w:val="none" w:sz="0" w:space="0" w:color="auto"/>
          </w:divBdr>
        </w:div>
        <w:div w:id="1414815195">
          <w:marLeft w:val="1166"/>
          <w:marRight w:val="0"/>
          <w:marTop w:val="96"/>
          <w:marBottom w:val="0"/>
          <w:divBdr>
            <w:top w:val="none" w:sz="0" w:space="0" w:color="auto"/>
            <w:left w:val="none" w:sz="0" w:space="0" w:color="auto"/>
            <w:bottom w:val="none" w:sz="0" w:space="0" w:color="auto"/>
            <w:right w:val="none" w:sz="0" w:space="0" w:color="auto"/>
          </w:divBdr>
        </w:div>
        <w:div w:id="2097437526">
          <w:marLeft w:val="1800"/>
          <w:marRight w:val="0"/>
          <w:marTop w:val="86"/>
          <w:marBottom w:val="0"/>
          <w:divBdr>
            <w:top w:val="none" w:sz="0" w:space="0" w:color="auto"/>
            <w:left w:val="none" w:sz="0" w:space="0" w:color="auto"/>
            <w:bottom w:val="none" w:sz="0" w:space="0" w:color="auto"/>
            <w:right w:val="none" w:sz="0" w:space="0" w:color="auto"/>
          </w:divBdr>
        </w:div>
        <w:div w:id="2103602403">
          <w:marLeft w:val="1166"/>
          <w:marRight w:val="0"/>
          <w:marTop w:val="96"/>
          <w:marBottom w:val="0"/>
          <w:divBdr>
            <w:top w:val="none" w:sz="0" w:space="0" w:color="auto"/>
            <w:left w:val="none" w:sz="0" w:space="0" w:color="auto"/>
            <w:bottom w:val="none" w:sz="0" w:space="0" w:color="auto"/>
            <w:right w:val="none" w:sz="0" w:space="0" w:color="auto"/>
          </w:divBdr>
        </w:div>
        <w:div w:id="2144807213">
          <w:marLeft w:val="547"/>
          <w:marRight w:val="0"/>
          <w:marTop w:val="115"/>
          <w:marBottom w:val="0"/>
          <w:divBdr>
            <w:top w:val="none" w:sz="0" w:space="0" w:color="auto"/>
            <w:left w:val="none" w:sz="0" w:space="0" w:color="auto"/>
            <w:bottom w:val="none" w:sz="0" w:space="0" w:color="auto"/>
            <w:right w:val="none" w:sz="0" w:space="0" w:color="auto"/>
          </w:divBdr>
        </w:div>
      </w:divsChild>
    </w:div>
    <w:div w:id="910118558">
      <w:bodyDiv w:val="1"/>
      <w:marLeft w:val="0"/>
      <w:marRight w:val="0"/>
      <w:marTop w:val="0"/>
      <w:marBottom w:val="0"/>
      <w:divBdr>
        <w:top w:val="none" w:sz="0" w:space="0" w:color="auto"/>
        <w:left w:val="none" w:sz="0" w:space="0" w:color="auto"/>
        <w:bottom w:val="none" w:sz="0" w:space="0" w:color="auto"/>
        <w:right w:val="none" w:sz="0" w:space="0" w:color="auto"/>
      </w:divBdr>
    </w:div>
    <w:div w:id="910238276">
      <w:bodyDiv w:val="1"/>
      <w:marLeft w:val="0"/>
      <w:marRight w:val="0"/>
      <w:marTop w:val="0"/>
      <w:marBottom w:val="0"/>
      <w:divBdr>
        <w:top w:val="none" w:sz="0" w:space="0" w:color="auto"/>
        <w:left w:val="none" w:sz="0" w:space="0" w:color="auto"/>
        <w:bottom w:val="none" w:sz="0" w:space="0" w:color="auto"/>
        <w:right w:val="none" w:sz="0" w:space="0" w:color="auto"/>
      </w:divBdr>
    </w:div>
    <w:div w:id="911428725">
      <w:bodyDiv w:val="1"/>
      <w:marLeft w:val="0"/>
      <w:marRight w:val="0"/>
      <w:marTop w:val="0"/>
      <w:marBottom w:val="0"/>
      <w:divBdr>
        <w:top w:val="none" w:sz="0" w:space="0" w:color="auto"/>
        <w:left w:val="none" w:sz="0" w:space="0" w:color="auto"/>
        <w:bottom w:val="none" w:sz="0" w:space="0" w:color="auto"/>
        <w:right w:val="none" w:sz="0" w:space="0" w:color="auto"/>
      </w:divBdr>
      <w:divsChild>
        <w:div w:id="1706444403">
          <w:marLeft w:val="0"/>
          <w:marRight w:val="0"/>
          <w:marTop w:val="0"/>
          <w:marBottom w:val="0"/>
          <w:divBdr>
            <w:top w:val="none" w:sz="0" w:space="0" w:color="auto"/>
            <w:left w:val="none" w:sz="0" w:space="0" w:color="auto"/>
            <w:bottom w:val="none" w:sz="0" w:space="0" w:color="auto"/>
            <w:right w:val="none" w:sz="0" w:space="0" w:color="auto"/>
          </w:divBdr>
          <w:divsChild>
            <w:div w:id="723061437">
              <w:marLeft w:val="0"/>
              <w:marRight w:val="0"/>
              <w:marTop w:val="0"/>
              <w:marBottom w:val="0"/>
              <w:divBdr>
                <w:top w:val="none" w:sz="0" w:space="0" w:color="auto"/>
                <w:left w:val="none" w:sz="0" w:space="0" w:color="auto"/>
                <w:bottom w:val="none" w:sz="0" w:space="0" w:color="auto"/>
                <w:right w:val="none" w:sz="0" w:space="0" w:color="auto"/>
              </w:divBdr>
            </w:div>
            <w:div w:id="1039011488">
              <w:marLeft w:val="0"/>
              <w:marRight w:val="0"/>
              <w:marTop w:val="0"/>
              <w:marBottom w:val="0"/>
              <w:divBdr>
                <w:top w:val="none" w:sz="0" w:space="0" w:color="auto"/>
                <w:left w:val="none" w:sz="0" w:space="0" w:color="auto"/>
                <w:bottom w:val="none" w:sz="0" w:space="0" w:color="auto"/>
                <w:right w:val="none" w:sz="0" w:space="0" w:color="auto"/>
              </w:divBdr>
            </w:div>
            <w:div w:id="1113206465">
              <w:marLeft w:val="0"/>
              <w:marRight w:val="0"/>
              <w:marTop w:val="0"/>
              <w:marBottom w:val="0"/>
              <w:divBdr>
                <w:top w:val="none" w:sz="0" w:space="0" w:color="auto"/>
                <w:left w:val="none" w:sz="0" w:space="0" w:color="auto"/>
                <w:bottom w:val="none" w:sz="0" w:space="0" w:color="auto"/>
                <w:right w:val="none" w:sz="0" w:space="0" w:color="auto"/>
              </w:divBdr>
            </w:div>
            <w:div w:id="1155224290">
              <w:marLeft w:val="0"/>
              <w:marRight w:val="0"/>
              <w:marTop w:val="0"/>
              <w:marBottom w:val="0"/>
              <w:divBdr>
                <w:top w:val="none" w:sz="0" w:space="0" w:color="auto"/>
                <w:left w:val="none" w:sz="0" w:space="0" w:color="auto"/>
                <w:bottom w:val="none" w:sz="0" w:space="0" w:color="auto"/>
                <w:right w:val="none" w:sz="0" w:space="0" w:color="auto"/>
              </w:divBdr>
            </w:div>
            <w:div w:id="1404836785">
              <w:marLeft w:val="0"/>
              <w:marRight w:val="0"/>
              <w:marTop w:val="0"/>
              <w:marBottom w:val="0"/>
              <w:divBdr>
                <w:top w:val="none" w:sz="0" w:space="0" w:color="auto"/>
                <w:left w:val="none" w:sz="0" w:space="0" w:color="auto"/>
                <w:bottom w:val="none" w:sz="0" w:space="0" w:color="auto"/>
                <w:right w:val="none" w:sz="0" w:space="0" w:color="auto"/>
              </w:divBdr>
            </w:div>
            <w:div w:id="19063288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11505340">
      <w:bodyDiv w:val="1"/>
      <w:marLeft w:val="0"/>
      <w:marRight w:val="0"/>
      <w:marTop w:val="0"/>
      <w:marBottom w:val="0"/>
      <w:divBdr>
        <w:top w:val="none" w:sz="0" w:space="0" w:color="auto"/>
        <w:left w:val="none" w:sz="0" w:space="0" w:color="auto"/>
        <w:bottom w:val="none" w:sz="0" w:space="0" w:color="auto"/>
        <w:right w:val="none" w:sz="0" w:space="0" w:color="auto"/>
      </w:divBdr>
    </w:div>
    <w:div w:id="911739970">
      <w:bodyDiv w:val="1"/>
      <w:marLeft w:val="0"/>
      <w:marRight w:val="0"/>
      <w:marTop w:val="0"/>
      <w:marBottom w:val="0"/>
      <w:divBdr>
        <w:top w:val="none" w:sz="0" w:space="0" w:color="auto"/>
        <w:left w:val="none" w:sz="0" w:space="0" w:color="auto"/>
        <w:bottom w:val="none" w:sz="0" w:space="0" w:color="auto"/>
        <w:right w:val="none" w:sz="0" w:space="0" w:color="auto"/>
      </w:divBdr>
      <w:divsChild>
        <w:div w:id="560748324">
          <w:marLeft w:val="1800"/>
          <w:marRight w:val="0"/>
          <w:marTop w:val="91"/>
          <w:marBottom w:val="0"/>
          <w:divBdr>
            <w:top w:val="none" w:sz="0" w:space="0" w:color="auto"/>
            <w:left w:val="none" w:sz="0" w:space="0" w:color="auto"/>
            <w:bottom w:val="none" w:sz="0" w:space="0" w:color="auto"/>
            <w:right w:val="none" w:sz="0" w:space="0" w:color="auto"/>
          </w:divBdr>
        </w:div>
        <w:div w:id="663819952">
          <w:marLeft w:val="547"/>
          <w:marRight w:val="0"/>
          <w:marTop w:val="120"/>
          <w:marBottom w:val="0"/>
          <w:divBdr>
            <w:top w:val="none" w:sz="0" w:space="0" w:color="auto"/>
            <w:left w:val="none" w:sz="0" w:space="0" w:color="auto"/>
            <w:bottom w:val="none" w:sz="0" w:space="0" w:color="auto"/>
            <w:right w:val="none" w:sz="0" w:space="0" w:color="auto"/>
          </w:divBdr>
        </w:div>
        <w:div w:id="1201942479">
          <w:marLeft w:val="1800"/>
          <w:marRight w:val="0"/>
          <w:marTop w:val="91"/>
          <w:marBottom w:val="0"/>
          <w:divBdr>
            <w:top w:val="none" w:sz="0" w:space="0" w:color="auto"/>
            <w:left w:val="none" w:sz="0" w:space="0" w:color="auto"/>
            <w:bottom w:val="none" w:sz="0" w:space="0" w:color="auto"/>
            <w:right w:val="none" w:sz="0" w:space="0" w:color="auto"/>
          </w:divBdr>
        </w:div>
        <w:div w:id="1433359367">
          <w:marLeft w:val="547"/>
          <w:marRight w:val="0"/>
          <w:marTop w:val="120"/>
          <w:marBottom w:val="0"/>
          <w:divBdr>
            <w:top w:val="none" w:sz="0" w:space="0" w:color="auto"/>
            <w:left w:val="none" w:sz="0" w:space="0" w:color="auto"/>
            <w:bottom w:val="none" w:sz="0" w:space="0" w:color="auto"/>
            <w:right w:val="none" w:sz="0" w:space="0" w:color="auto"/>
          </w:divBdr>
        </w:div>
        <w:div w:id="1513758797">
          <w:marLeft w:val="1166"/>
          <w:marRight w:val="0"/>
          <w:marTop w:val="106"/>
          <w:marBottom w:val="0"/>
          <w:divBdr>
            <w:top w:val="none" w:sz="0" w:space="0" w:color="auto"/>
            <w:left w:val="none" w:sz="0" w:space="0" w:color="auto"/>
            <w:bottom w:val="none" w:sz="0" w:space="0" w:color="auto"/>
            <w:right w:val="none" w:sz="0" w:space="0" w:color="auto"/>
          </w:divBdr>
        </w:div>
        <w:div w:id="1594900131">
          <w:marLeft w:val="1800"/>
          <w:marRight w:val="0"/>
          <w:marTop w:val="91"/>
          <w:marBottom w:val="0"/>
          <w:divBdr>
            <w:top w:val="none" w:sz="0" w:space="0" w:color="auto"/>
            <w:left w:val="none" w:sz="0" w:space="0" w:color="auto"/>
            <w:bottom w:val="none" w:sz="0" w:space="0" w:color="auto"/>
            <w:right w:val="none" w:sz="0" w:space="0" w:color="auto"/>
          </w:divBdr>
        </w:div>
        <w:div w:id="1638533538">
          <w:marLeft w:val="1800"/>
          <w:marRight w:val="0"/>
          <w:marTop w:val="91"/>
          <w:marBottom w:val="0"/>
          <w:divBdr>
            <w:top w:val="none" w:sz="0" w:space="0" w:color="auto"/>
            <w:left w:val="none" w:sz="0" w:space="0" w:color="auto"/>
            <w:bottom w:val="none" w:sz="0" w:space="0" w:color="auto"/>
            <w:right w:val="none" w:sz="0" w:space="0" w:color="auto"/>
          </w:divBdr>
        </w:div>
        <w:div w:id="2057662321">
          <w:marLeft w:val="1166"/>
          <w:marRight w:val="0"/>
          <w:marTop w:val="106"/>
          <w:marBottom w:val="0"/>
          <w:divBdr>
            <w:top w:val="none" w:sz="0" w:space="0" w:color="auto"/>
            <w:left w:val="none" w:sz="0" w:space="0" w:color="auto"/>
            <w:bottom w:val="none" w:sz="0" w:space="0" w:color="auto"/>
            <w:right w:val="none" w:sz="0" w:space="0" w:color="auto"/>
          </w:divBdr>
        </w:div>
      </w:divsChild>
    </w:div>
    <w:div w:id="913054715">
      <w:bodyDiv w:val="1"/>
      <w:marLeft w:val="0"/>
      <w:marRight w:val="0"/>
      <w:marTop w:val="0"/>
      <w:marBottom w:val="0"/>
      <w:divBdr>
        <w:top w:val="none" w:sz="0" w:space="0" w:color="auto"/>
        <w:left w:val="none" w:sz="0" w:space="0" w:color="auto"/>
        <w:bottom w:val="none" w:sz="0" w:space="0" w:color="auto"/>
        <w:right w:val="none" w:sz="0" w:space="0" w:color="auto"/>
      </w:divBdr>
      <w:divsChild>
        <w:div w:id="67578827">
          <w:marLeft w:val="1166"/>
          <w:marRight w:val="0"/>
          <w:marTop w:val="0"/>
          <w:marBottom w:val="0"/>
          <w:divBdr>
            <w:top w:val="none" w:sz="0" w:space="0" w:color="auto"/>
            <w:left w:val="none" w:sz="0" w:space="0" w:color="auto"/>
            <w:bottom w:val="none" w:sz="0" w:space="0" w:color="auto"/>
            <w:right w:val="none" w:sz="0" w:space="0" w:color="auto"/>
          </w:divBdr>
        </w:div>
        <w:div w:id="596258499">
          <w:marLeft w:val="1166"/>
          <w:marRight w:val="0"/>
          <w:marTop w:val="0"/>
          <w:marBottom w:val="0"/>
          <w:divBdr>
            <w:top w:val="none" w:sz="0" w:space="0" w:color="auto"/>
            <w:left w:val="none" w:sz="0" w:space="0" w:color="auto"/>
            <w:bottom w:val="none" w:sz="0" w:space="0" w:color="auto"/>
            <w:right w:val="none" w:sz="0" w:space="0" w:color="auto"/>
          </w:divBdr>
        </w:div>
        <w:div w:id="724449558">
          <w:marLeft w:val="1166"/>
          <w:marRight w:val="0"/>
          <w:marTop w:val="0"/>
          <w:marBottom w:val="0"/>
          <w:divBdr>
            <w:top w:val="none" w:sz="0" w:space="0" w:color="auto"/>
            <w:left w:val="none" w:sz="0" w:space="0" w:color="auto"/>
            <w:bottom w:val="none" w:sz="0" w:space="0" w:color="auto"/>
            <w:right w:val="none" w:sz="0" w:space="0" w:color="auto"/>
          </w:divBdr>
        </w:div>
        <w:div w:id="835918652">
          <w:marLeft w:val="1166"/>
          <w:marRight w:val="0"/>
          <w:marTop w:val="0"/>
          <w:marBottom w:val="0"/>
          <w:divBdr>
            <w:top w:val="none" w:sz="0" w:space="0" w:color="auto"/>
            <w:left w:val="none" w:sz="0" w:space="0" w:color="auto"/>
            <w:bottom w:val="none" w:sz="0" w:space="0" w:color="auto"/>
            <w:right w:val="none" w:sz="0" w:space="0" w:color="auto"/>
          </w:divBdr>
        </w:div>
        <w:div w:id="924460713">
          <w:marLeft w:val="547"/>
          <w:marRight w:val="0"/>
          <w:marTop w:val="0"/>
          <w:marBottom w:val="0"/>
          <w:divBdr>
            <w:top w:val="none" w:sz="0" w:space="0" w:color="auto"/>
            <w:left w:val="none" w:sz="0" w:space="0" w:color="auto"/>
            <w:bottom w:val="none" w:sz="0" w:space="0" w:color="auto"/>
            <w:right w:val="none" w:sz="0" w:space="0" w:color="auto"/>
          </w:divBdr>
        </w:div>
        <w:div w:id="954944806">
          <w:marLeft w:val="1166"/>
          <w:marRight w:val="0"/>
          <w:marTop w:val="0"/>
          <w:marBottom w:val="0"/>
          <w:divBdr>
            <w:top w:val="none" w:sz="0" w:space="0" w:color="auto"/>
            <w:left w:val="none" w:sz="0" w:space="0" w:color="auto"/>
            <w:bottom w:val="none" w:sz="0" w:space="0" w:color="auto"/>
            <w:right w:val="none" w:sz="0" w:space="0" w:color="auto"/>
          </w:divBdr>
        </w:div>
        <w:div w:id="977153775">
          <w:marLeft w:val="1166"/>
          <w:marRight w:val="0"/>
          <w:marTop w:val="0"/>
          <w:marBottom w:val="0"/>
          <w:divBdr>
            <w:top w:val="none" w:sz="0" w:space="0" w:color="auto"/>
            <w:left w:val="none" w:sz="0" w:space="0" w:color="auto"/>
            <w:bottom w:val="none" w:sz="0" w:space="0" w:color="auto"/>
            <w:right w:val="none" w:sz="0" w:space="0" w:color="auto"/>
          </w:divBdr>
        </w:div>
        <w:div w:id="987980172">
          <w:marLeft w:val="547"/>
          <w:marRight w:val="0"/>
          <w:marTop w:val="0"/>
          <w:marBottom w:val="0"/>
          <w:divBdr>
            <w:top w:val="none" w:sz="0" w:space="0" w:color="auto"/>
            <w:left w:val="none" w:sz="0" w:space="0" w:color="auto"/>
            <w:bottom w:val="none" w:sz="0" w:space="0" w:color="auto"/>
            <w:right w:val="none" w:sz="0" w:space="0" w:color="auto"/>
          </w:divBdr>
        </w:div>
        <w:div w:id="1489783561">
          <w:marLeft w:val="547"/>
          <w:marRight w:val="0"/>
          <w:marTop w:val="0"/>
          <w:marBottom w:val="0"/>
          <w:divBdr>
            <w:top w:val="none" w:sz="0" w:space="0" w:color="auto"/>
            <w:left w:val="none" w:sz="0" w:space="0" w:color="auto"/>
            <w:bottom w:val="none" w:sz="0" w:space="0" w:color="auto"/>
            <w:right w:val="none" w:sz="0" w:space="0" w:color="auto"/>
          </w:divBdr>
        </w:div>
        <w:div w:id="1638755323">
          <w:marLeft w:val="547"/>
          <w:marRight w:val="0"/>
          <w:marTop w:val="0"/>
          <w:marBottom w:val="0"/>
          <w:divBdr>
            <w:top w:val="none" w:sz="0" w:space="0" w:color="auto"/>
            <w:left w:val="none" w:sz="0" w:space="0" w:color="auto"/>
            <w:bottom w:val="none" w:sz="0" w:space="0" w:color="auto"/>
            <w:right w:val="none" w:sz="0" w:space="0" w:color="auto"/>
          </w:divBdr>
        </w:div>
        <w:div w:id="1688944313">
          <w:marLeft w:val="547"/>
          <w:marRight w:val="0"/>
          <w:marTop w:val="0"/>
          <w:marBottom w:val="0"/>
          <w:divBdr>
            <w:top w:val="none" w:sz="0" w:space="0" w:color="auto"/>
            <w:left w:val="none" w:sz="0" w:space="0" w:color="auto"/>
            <w:bottom w:val="none" w:sz="0" w:space="0" w:color="auto"/>
            <w:right w:val="none" w:sz="0" w:space="0" w:color="auto"/>
          </w:divBdr>
        </w:div>
      </w:divsChild>
    </w:div>
    <w:div w:id="914437520">
      <w:bodyDiv w:val="1"/>
      <w:marLeft w:val="0"/>
      <w:marRight w:val="0"/>
      <w:marTop w:val="0"/>
      <w:marBottom w:val="0"/>
      <w:divBdr>
        <w:top w:val="none" w:sz="0" w:space="0" w:color="auto"/>
        <w:left w:val="none" w:sz="0" w:space="0" w:color="auto"/>
        <w:bottom w:val="none" w:sz="0" w:space="0" w:color="auto"/>
        <w:right w:val="none" w:sz="0" w:space="0" w:color="auto"/>
      </w:divBdr>
    </w:div>
    <w:div w:id="915285353">
      <w:bodyDiv w:val="1"/>
      <w:marLeft w:val="0"/>
      <w:marRight w:val="0"/>
      <w:marTop w:val="0"/>
      <w:marBottom w:val="0"/>
      <w:divBdr>
        <w:top w:val="none" w:sz="0" w:space="0" w:color="auto"/>
        <w:left w:val="none" w:sz="0" w:space="0" w:color="auto"/>
        <w:bottom w:val="none" w:sz="0" w:space="0" w:color="auto"/>
        <w:right w:val="none" w:sz="0" w:space="0" w:color="auto"/>
      </w:divBdr>
      <w:divsChild>
        <w:div w:id="634532785">
          <w:marLeft w:val="547"/>
          <w:marRight w:val="0"/>
          <w:marTop w:val="154"/>
          <w:marBottom w:val="0"/>
          <w:divBdr>
            <w:top w:val="none" w:sz="0" w:space="0" w:color="auto"/>
            <w:left w:val="none" w:sz="0" w:space="0" w:color="auto"/>
            <w:bottom w:val="none" w:sz="0" w:space="0" w:color="auto"/>
            <w:right w:val="none" w:sz="0" w:space="0" w:color="auto"/>
          </w:divBdr>
        </w:div>
        <w:div w:id="787360689">
          <w:marLeft w:val="547"/>
          <w:marRight w:val="0"/>
          <w:marTop w:val="154"/>
          <w:marBottom w:val="0"/>
          <w:divBdr>
            <w:top w:val="none" w:sz="0" w:space="0" w:color="auto"/>
            <w:left w:val="none" w:sz="0" w:space="0" w:color="auto"/>
            <w:bottom w:val="none" w:sz="0" w:space="0" w:color="auto"/>
            <w:right w:val="none" w:sz="0" w:space="0" w:color="auto"/>
          </w:divBdr>
        </w:div>
        <w:div w:id="1861969989">
          <w:marLeft w:val="1166"/>
          <w:marRight w:val="0"/>
          <w:marTop w:val="134"/>
          <w:marBottom w:val="0"/>
          <w:divBdr>
            <w:top w:val="none" w:sz="0" w:space="0" w:color="auto"/>
            <w:left w:val="none" w:sz="0" w:space="0" w:color="auto"/>
            <w:bottom w:val="none" w:sz="0" w:space="0" w:color="auto"/>
            <w:right w:val="none" w:sz="0" w:space="0" w:color="auto"/>
          </w:divBdr>
        </w:div>
      </w:divsChild>
    </w:div>
    <w:div w:id="915745893">
      <w:bodyDiv w:val="1"/>
      <w:marLeft w:val="0"/>
      <w:marRight w:val="0"/>
      <w:marTop w:val="0"/>
      <w:marBottom w:val="0"/>
      <w:divBdr>
        <w:top w:val="none" w:sz="0" w:space="0" w:color="auto"/>
        <w:left w:val="none" w:sz="0" w:space="0" w:color="auto"/>
        <w:bottom w:val="none" w:sz="0" w:space="0" w:color="auto"/>
        <w:right w:val="none" w:sz="0" w:space="0" w:color="auto"/>
      </w:divBdr>
    </w:div>
    <w:div w:id="915936041">
      <w:bodyDiv w:val="1"/>
      <w:marLeft w:val="0"/>
      <w:marRight w:val="0"/>
      <w:marTop w:val="0"/>
      <w:marBottom w:val="0"/>
      <w:divBdr>
        <w:top w:val="none" w:sz="0" w:space="0" w:color="auto"/>
        <w:left w:val="none" w:sz="0" w:space="0" w:color="auto"/>
        <w:bottom w:val="none" w:sz="0" w:space="0" w:color="auto"/>
        <w:right w:val="none" w:sz="0" w:space="0" w:color="auto"/>
      </w:divBdr>
      <w:divsChild>
        <w:div w:id="958269030">
          <w:marLeft w:val="547"/>
          <w:marRight w:val="0"/>
          <w:marTop w:val="115"/>
          <w:marBottom w:val="0"/>
          <w:divBdr>
            <w:top w:val="none" w:sz="0" w:space="0" w:color="auto"/>
            <w:left w:val="none" w:sz="0" w:space="0" w:color="auto"/>
            <w:bottom w:val="none" w:sz="0" w:space="0" w:color="auto"/>
            <w:right w:val="none" w:sz="0" w:space="0" w:color="auto"/>
          </w:divBdr>
        </w:div>
        <w:div w:id="986012792">
          <w:marLeft w:val="547"/>
          <w:marRight w:val="0"/>
          <w:marTop w:val="115"/>
          <w:marBottom w:val="0"/>
          <w:divBdr>
            <w:top w:val="none" w:sz="0" w:space="0" w:color="auto"/>
            <w:left w:val="none" w:sz="0" w:space="0" w:color="auto"/>
            <w:bottom w:val="none" w:sz="0" w:space="0" w:color="auto"/>
            <w:right w:val="none" w:sz="0" w:space="0" w:color="auto"/>
          </w:divBdr>
        </w:div>
        <w:div w:id="1361131564">
          <w:marLeft w:val="1166"/>
          <w:marRight w:val="0"/>
          <w:marTop w:val="96"/>
          <w:marBottom w:val="0"/>
          <w:divBdr>
            <w:top w:val="none" w:sz="0" w:space="0" w:color="auto"/>
            <w:left w:val="none" w:sz="0" w:space="0" w:color="auto"/>
            <w:bottom w:val="none" w:sz="0" w:space="0" w:color="auto"/>
            <w:right w:val="none" w:sz="0" w:space="0" w:color="auto"/>
          </w:divBdr>
        </w:div>
        <w:div w:id="1372219378">
          <w:marLeft w:val="1166"/>
          <w:marRight w:val="0"/>
          <w:marTop w:val="96"/>
          <w:marBottom w:val="0"/>
          <w:divBdr>
            <w:top w:val="none" w:sz="0" w:space="0" w:color="auto"/>
            <w:left w:val="none" w:sz="0" w:space="0" w:color="auto"/>
            <w:bottom w:val="none" w:sz="0" w:space="0" w:color="auto"/>
            <w:right w:val="none" w:sz="0" w:space="0" w:color="auto"/>
          </w:divBdr>
        </w:div>
        <w:div w:id="1484812091">
          <w:marLeft w:val="1166"/>
          <w:marRight w:val="0"/>
          <w:marTop w:val="96"/>
          <w:marBottom w:val="0"/>
          <w:divBdr>
            <w:top w:val="none" w:sz="0" w:space="0" w:color="auto"/>
            <w:left w:val="none" w:sz="0" w:space="0" w:color="auto"/>
            <w:bottom w:val="none" w:sz="0" w:space="0" w:color="auto"/>
            <w:right w:val="none" w:sz="0" w:space="0" w:color="auto"/>
          </w:divBdr>
        </w:div>
        <w:div w:id="1659767145">
          <w:marLeft w:val="547"/>
          <w:marRight w:val="0"/>
          <w:marTop w:val="115"/>
          <w:marBottom w:val="0"/>
          <w:divBdr>
            <w:top w:val="none" w:sz="0" w:space="0" w:color="auto"/>
            <w:left w:val="none" w:sz="0" w:space="0" w:color="auto"/>
            <w:bottom w:val="none" w:sz="0" w:space="0" w:color="auto"/>
            <w:right w:val="none" w:sz="0" w:space="0" w:color="auto"/>
          </w:divBdr>
        </w:div>
        <w:div w:id="2024890726">
          <w:marLeft w:val="1166"/>
          <w:marRight w:val="0"/>
          <w:marTop w:val="96"/>
          <w:marBottom w:val="0"/>
          <w:divBdr>
            <w:top w:val="none" w:sz="0" w:space="0" w:color="auto"/>
            <w:left w:val="none" w:sz="0" w:space="0" w:color="auto"/>
            <w:bottom w:val="none" w:sz="0" w:space="0" w:color="auto"/>
            <w:right w:val="none" w:sz="0" w:space="0" w:color="auto"/>
          </w:divBdr>
        </w:div>
        <w:div w:id="2071995251">
          <w:marLeft w:val="1166"/>
          <w:marRight w:val="0"/>
          <w:marTop w:val="77"/>
          <w:marBottom w:val="0"/>
          <w:divBdr>
            <w:top w:val="none" w:sz="0" w:space="0" w:color="auto"/>
            <w:left w:val="none" w:sz="0" w:space="0" w:color="auto"/>
            <w:bottom w:val="none" w:sz="0" w:space="0" w:color="auto"/>
            <w:right w:val="none" w:sz="0" w:space="0" w:color="auto"/>
          </w:divBdr>
        </w:div>
      </w:divsChild>
    </w:div>
    <w:div w:id="915939781">
      <w:bodyDiv w:val="1"/>
      <w:marLeft w:val="0"/>
      <w:marRight w:val="0"/>
      <w:marTop w:val="0"/>
      <w:marBottom w:val="0"/>
      <w:divBdr>
        <w:top w:val="none" w:sz="0" w:space="0" w:color="auto"/>
        <w:left w:val="none" w:sz="0" w:space="0" w:color="auto"/>
        <w:bottom w:val="none" w:sz="0" w:space="0" w:color="auto"/>
        <w:right w:val="none" w:sz="0" w:space="0" w:color="auto"/>
      </w:divBdr>
    </w:div>
    <w:div w:id="917716601">
      <w:bodyDiv w:val="1"/>
      <w:marLeft w:val="0"/>
      <w:marRight w:val="0"/>
      <w:marTop w:val="0"/>
      <w:marBottom w:val="0"/>
      <w:divBdr>
        <w:top w:val="none" w:sz="0" w:space="0" w:color="auto"/>
        <w:left w:val="none" w:sz="0" w:space="0" w:color="auto"/>
        <w:bottom w:val="none" w:sz="0" w:space="0" w:color="auto"/>
        <w:right w:val="none" w:sz="0" w:space="0" w:color="auto"/>
      </w:divBdr>
    </w:div>
    <w:div w:id="919291910">
      <w:bodyDiv w:val="1"/>
      <w:marLeft w:val="0"/>
      <w:marRight w:val="0"/>
      <w:marTop w:val="0"/>
      <w:marBottom w:val="0"/>
      <w:divBdr>
        <w:top w:val="none" w:sz="0" w:space="0" w:color="auto"/>
        <w:left w:val="none" w:sz="0" w:space="0" w:color="auto"/>
        <w:bottom w:val="none" w:sz="0" w:space="0" w:color="auto"/>
        <w:right w:val="none" w:sz="0" w:space="0" w:color="auto"/>
      </w:divBdr>
    </w:div>
    <w:div w:id="919994504">
      <w:bodyDiv w:val="1"/>
      <w:marLeft w:val="0"/>
      <w:marRight w:val="0"/>
      <w:marTop w:val="0"/>
      <w:marBottom w:val="0"/>
      <w:divBdr>
        <w:top w:val="none" w:sz="0" w:space="0" w:color="auto"/>
        <w:left w:val="none" w:sz="0" w:space="0" w:color="auto"/>
        <w:bottom w:val="none" w:sz="0" w:space="0" w:color="auto"/>
        <w:right w:val="none" w:sz="0" w:space="0" w:color="auto"/>
      </w:divBdr>
    </w:div>
    <w:div w:id="920023182">
      <w:bodyDiv w:val="1"/>
      <w:marLeft w:val="0"/>
      <w:marRight w:val="0"/>
      <w:marTop w:val="0"/>
      <w:marBottom w:val="0"/>
      <w:divBdr>
        <w:top w:val="none" w:sz="0" w:space="0" w:color="auto"/>
        <w:left w:val="none" w:sz="0" w:space="0" w:color="auto"/>
        <w:bottom w:val="none" w:sz="0" w:space="0" w:color="auto"/>
        <w:right w:val="none" w:sz="0" w:space="0" w:color="auto"/>
      </w:divBdr>
    </w:div>
    <w:div w:id="920526485">
      <w:bodyDiv w:val="1"/>
      <w:marLeft w:val="0"/>
      <w:marRight w:val="0"/>
      <w:marTop w:val="0"/>
      <w:marBottom w:val="0"/>
      <w:divBdr>
        <w:top w:val="none" w:sz="0" w:space="0" w:color="auto"/>
        <w:left w:val="none" w:sz="0" w:space="0" w:color="auto"/>
        <w:bottom w:val="none" w:sz="0" w:space="0" w:color="auto"/>
        <w:right w:val="none" w:sz="0" w:space="0" w:color="auto"/>
      </w:divBdr>
      <w:divsChild>
        <w:div w:id="518858813">
          <w:marLeft w:val="360"/>
          <w:marRight w:val="0"/>
          <w:marTop w:val="200"/>
          <w:marBottom w:val="0"/>
          <w:divBdr>
            <w:top w:val="none" w:sz="0" w:space="0" w:color="auto"/>
            <w:left w:val="none" w:sz="0" w:space="0" w:color="auto"/>
            <w:bottom w:val="none" w:sz="0" w:space="0" w:color="auto"/>
            <w:right w:val="none" w:sz="0" w:space="0" w:color="auto"/>
          </w:divBdr>
        </w:div>
        <w:div w:id="1013848945">
          <w:marLeft w:val="360"/>
          <w:marRight w:val="0"/>
          <w:marTop w:val="200"/>
          <w:marBottom w:val="0"/>
          <w:divBdr>
            <w:top w:val="none" w:sz="0" w:space="0" w:color="auto"/>
            <w:left w:val="none" w:sz="0" w:space="0" w:color="auto"/>
            <w:bottom w:val="none" w:sz="0" w:space="0" w:color="auto"/>
            <w:right w:val="none" w:sz="0" w:space="0" w:color="auto"/>
          </w:divBdr>
        </w:div>
        <w:div w:id="1169439586">
          <w:marLeft w:val="360"/>
          <w:marRight w:val="0"/>
          <w:marTop w:val="200"/>
          <w:marBottom w:val="0"/>
          <w:divBdr>
            <w:top w:val="none" w:sz="0" w:space="0" w:color="auto"/>
            <w:left w:val="none" w:sz="0" w:space="0" w:color="auto"/>
            <w:bottom w:val="none" w:sz="0" w:space="0" w:color="auto"/>
            <w:right w:val="none" w:sz="0" w:space="0" w:color="auto"/>
          </w:divBdr>
        </w:div>
      </w:divsChild>
    </w:div>
    <w:div w:id="925113558">
      <w:bodyDiv w:val="1"/>
      <w:marLeft w:val="0"/>
      <w:marRight w:val="0"/>
      <w:marTop w:val="0"/>
      <w:marBottom w:val="0"/>
      <w:divBdr>
        <w:top w:val="none" w:sz="0" w:space="0" w:color="auto"/>
        <w:left w:val="none" w:sz="0" w:space="0" w:color="auto"/>
        <w:bottom w:val="none" w:sz="0" w:space="0" w:color="auto"/>
        <w:right w:val="none" w:sz="0" w:space="0" w:color="auto"/>
      </w:divBdr>
    </w:div>
    <w:div w:id="925653406">
      <w:bodyDiv w:val="1"/>
      <w:marLeft w:val="0"/>
      <w:marRight w:val="0"/>
      <w:marTop w:val="0"/>
      <w:marBottom w:val="0"/>
      <w:divBdr>
        <w:top w:val="none" w:sz="0" w:space="0" w:color="auto"/>
        <w:left w:val="none" w:sz="0" w:space="0" w:color="auto"/>
        <w:bottom w:val="none" w:sz="0" w:space="0" w:color="auto"/>
        <w:right w:val="none" w:sz="0" w:space="0" w:color="auto"/>
      </w:divBdr>
    </w:div>
    <w:div w:id="926381045">
      <w:bodyDiv w:val="1"/>
      <w:marLeft w:val="0"/>
      <w:marRight w:val="0"/>
      <w:marTop w:val="0"/>
      <w:marBottom w:val="0"/>
      <w:divBdr>
        <w:top w:val="none" w:sz="0" w:space="0" w:color="auto"/>
        <w:left w:val="none" w:sz="0" w:space="0" w:color="auto"/>
        <w:bottom w:val="none" w:sz="0" w:space="0" w:color="auto"/>
        <w:right w:val="none" w:sz="0" w:space="0" w:color="auto"/>
      </w:divBdr>
      <w:divsChild>
        <w:div w:id="461266503">
          <w:marLeft w:val="1166"/>
          <w:marRight w:val="0"/>
          <w:marTop w:val="134"/>
          <w:marBottom w:val="0"/>
          <w:divBdr>
            <w:top w:val="none" w:sz="0" w:space="0" w:color="auto"/>
            <w:left w:val="none" w:sz="0" w:space="0" w:color="auto"/>
            <w:bottom w:val="none" w:sz="0" w:space="0" w:color="auto"/>
            <w:right w:val="none" w:sz="0" w:space="0" w:color="auto"/>
          </w:divBdr>
        </w:div>
        <w:div w:id="851724442">
          <w:marLeft w:val="547"/>
          <w:marRight w:val="0"/>
          <w:marTop w:val="154"/>
          <w:marBottom w:val="0"/>
          <w:divBdr>
            <w:top w:val="none" w:sz="0" w:space="0" w:color="auto"/>
            <w:left w:val="none" w:sz="0" w:space="0" w:color="auto"/>
            <w:bottom w:val="none" w:sz="0" w:space="0" w:color="auto"/>
            <w:right w:val="none" w:sz="0" w:space="0" w:color="auto"/>
          </w:divBdr>
        </w:div>
        <w:div w:id="1775199848">
          <w:marLeft w:val="547"/>
          <w:marRight w:val="0"/>
          <w:marTop w:val="154"/>
          <w:marBottom w:val="0"/>
          <w:divBdr>
            <w:top w:val="none" w:sz="0" w:space="0" w:color="auto"/>
            <w:left w:val="none" w:sz="0" w:space="0" w:color="auto"/>
            <w:bottom w:val="none" w:sz="0" w:space="0" w:color="auto"/>
            <w:right w:val="none" w:sz="0" w:space="0" w:color="auto"/>
          </w:divBdr>
        </w:div>
      </w:divsChild>
    </w:div>
    <w:div w:id="926693016">
      <w:bodyDiv w:val="1"/>
      <w:marLeft w:val="0"/>
      <w:marRight w:val="0"/>
      <w:marTop w:val="0"/>
      <w:marBottom w:val="0"/>
      <w:divBdr>
        <w:top w:val="none" w:sz="0" w:space="0" w:color="auto"/>
        <w:left w:val="none" w:sz="0" w:space="0" w:color="auto"/>
        <w:bottom w:val="none" w:sz="0" w:space="0" w:color="auto"/>
        <w:right w:val="none" w:sz="0" w:space="0" w:color="auto"/>
      </w:divBdr>
    </w:div>
    <w:div w:id="926810525">
      <w:bodyDiv w:val="1"/>
      <w:marLeft w:val="0"/>
      <w:marRight w:val="0"/>
      <w:marTop w:val="0"/>
      <w:marBottom w:val="0"/>
      <w:divBdr>
        <w:top w:val="none" w:sz="0" w:space="0" w:color="auto"/>
        <w:left w:val="none" w:sz="0" w:space="0" w:color="auto"/>
        <w:bottom w:val="none" w:sz="0" w:space="0" w:color="auto"/>
        <w:right w:val="none" w:sz="0" w:space="0" w:color="auto"/>
      </w:divBdr>
    </w:div>
    <w:div w:id="926889385">
      <w:bodyDiv w:val="1"/>
      <w:marLeft w:val="0"/>
      <w:marRight w:val="0"/>
      <w:marTop w:val="0"/>
      <w:marBottom w:val="0"/>
      <w:divBdr>
        <w:top w:val="none" w:sz="0" w:space="0" w:color="auto"/>
        <w:left w:val="none" w:sz="0" w:space="0" w:color="auto"/>
        <w:bottom w:val="none" w:sz="0" w:space="0" w:color="auto"/>
        <w:right w:val="none" w:sz="0" w:space="0" w:color="auto"/>
      </w:divBdr>
    </w:div>
    <w:div w:id="927226131">
      <w:bodyDiv w:val="1"/>
      <w:marLeft w:val="0"/>
      <w:marRight w:val="0"/>
      <w:marTop w:val="0"/>
      <w:marBottom w:val="0"/>
      <w:divBdr>
        <w:top w:val="none" w:sz="0" w:space="0" w:color="auto"/>
        <w:left w:val="none" w:sz="0" w:space="0" w:color="auto"/>
        <w:bottom w:val="none" w:sz="0" w:space="0" w:color="auto"/>
        <w:right w:val="none" w:sz="0" w:space="0" w:color="auto"/>
      </w:divBdr>
    </w:div>
    <w:div w:id="927616006">
      <w:bodyDiv w:val="1"/>
      <w:marLeft w:val="0"/>
      <w:marRight w:val="0"/>
      <w:marTop w:val="0"/>
      <w:marBottom w:val="0"/>
      <w:divBdr>
        <w:top w:val="none" w:sz="0" w:space="0" w:color="auto"/>
        <w:left w:val="none" w:sz="0" w:space="0" w:color="auto"/>
        <w:bottom w:val="none" w:sz="0" w:space="0" w:color="auto"/>
        <w:right w:val="none" w:sz="0" w:space="0" w:color="auto"/>
      </w:divBdr>
    </w:div>
    <w:div w:id="927616886">
      <w:bodyDiv w:val="1"/>
      <w:marLeft w:val="0"/>
      <w:marRight w:val="0"/>
      <w:marTop w:val="0"/>
      <w:marBottom w:val="0"/>
      <w:divBdr>
        <w:top w:val="none" w:sz="0" w:space="0" w:color="auto"/>
        <w:left w:val="none" w:sz="0" w:space="0" w:color="auto"/>
        <w:bottom w:val="none" w:sz="0" w:space="0" w:color="auto"/>
        <w:right w:val="none" w:sz="0" w:space="0" w:color="auto"/>
      </w:divBdr>
    </w:div>
    <w:div w:id="927621900">
      <w:bodyDiv w:val="1"/>
      <w:marLeft w:val="0"/>
      <w:marRight w:val="0"/>
      <w:marTop w:val="0"/>
      <w:marBottom w:val="0"/>
      <w:divBdr>
        <w:top w:val="none" w:sz="0" w:space="0" w:color="auto"/>
        <w:left w:val="none" w:sz="0" w:space="0" w:color="auto"/>
        <w:bottom w:val="none" w:sz="0" w:space="0" w:color="auto"/>
        <w:right w:val="none" w:sz="0" w:space="0" w:color="auto"/>
      </w:divBdr>
    </w:div>
    <w:div w:id="928807951">
      <w:bodyDiv w:val="1"/>
      <w:marLeft w:val="0"/>
      <w:marRight w:val="0"/>
      <w:marTop w:val="0"/>
      <w:marBottom w:val="0"/>
      <w:divBdr>
        <w:top w:val="none" w:sz="0" w:space="0" w:color="auto"/>
        <w:left w:val="none" w:sz="0" w:space="0" w:color="auto"/>
        <w:bottom w:val="none" w:sz="0" w:space="0" w:color="auto"/>
        <w:right w:val="none" w:sz="0" w:space="0" w:color="auto"/>
      </w:divBdr>
    </w:div>
    <w:div w:id="928928931">
      <w:bodyDiv w:val="1"/>
      <w:marLeft w:val="0"/>
      <w:marRight w:val="0"/>
      <w:marTop w:val="0"/>
      <w:marBottom w:val="0"/>
      <w:divBdr>
        <w:top w:val="none" w:sz="0" w:space="0" w:color="auto"/>
        <w:left w:val="none" w:sz="0" w:space="0" w:color="auto"/>
        <w:bottom w:val="none" w:sz="0" w:space="0" w:color="auto"/>
        <w:right w:val="none" w:sz="0" w:space="0" w:color="auto"/>
      </w:divBdr>
      <w:divsChild>
        <w:div w:id="228736082">
          <w:marLeft w:val="0"/>
          <w:marRight w:val="0"/>
          <w:marTop w:val="0"/>
          <w:marBottom w:val="0"/>
          <w:divBdr>
            <w:top w:val="none" w:sz="0" w:space="0" w:color="auto"/>
            <w:left w:val="none" w:sz="0" w:space="0" w:color="auto"/>
            <w:bottom w:val="none" w:sz="0" w:space="0" w:color="auto"/>
            <w:right w:val="none" w:sz="0" w:space="0" w:color="auto"/>
          </w:divBdr>
          <w:divsChild>
            <w:div w:id="571087541">
              <w:marLeft w:val="0"/>
              <w:marRight w:val="0"/>
              <w:marTop w:val="0"/>
              <w:marBottom w:val="0"/>
              <w:divBdr>
                <w:top w:val="none" w:sz="0" w:space="0" w:color="auto"/>
                <w:left w:val="none" w:sz="0" w:space="0" w:color="auto"/>
                <w:bottom w:val="none" w:sz="0" w:space="0" w:color="auto"/>
                <w:right w:val="none" w:sz="0" w:space="0" w:color="auto"/>
              </w:divBdr>
            </w:div>
            <w:div w:id="813061660">
              <w:marLeft w:val="0"/>
              <w:marRight w:val="0"/>
              <w:marTop w:val="0"/>
              <w:marBottom w:val="0"/>
              <w:divBdr>
                <w:top w:val="none" w:sz="0" w:space="0" w:color="auto"/>
                <w:left w:val="none" w:sz="0" w:space="0" w:color="auto"/>
                <w:bottom w:val="none" w:sz="0" w:space="0" w:color="auto"/>
                <w:right w:val="none" w:sz="0" w:space="0" w:color="auto"/>
              </w:divBdr>
            </w:div>
            <w:div w:id="1923680668">
              <w:marLeft w:val="0"/>
              <w:marRight w:val="0"/>
              <w:marTop w:val="0"/>
              <w:marBottom w:val="0"/>
              <w:divBdr>
                <w:top w:val="none" w:sz="0" w:space="0" w:color="auto"/>
                <w:left w:val="none" w:sz="0" w:space="0" w:color="auto"/>
                <w:bottom w:val="none" w:sz="0" w:space="0" w:color="auto"/>
                <w:right w:val="none" w:sz="0" w:space="0" w:color="auto"/>
              </w:divBdr>
            </w:div>
            <w:div w:id="21073802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29387449">
      <w:bodyDiv w:val="1"/>
      <w:marLeft w:val="0"/>
      <w:marRight w:val="0"/>
      <w:marTop w:val="0"/>
      <w:marBottom w:val="0"/>
      <w:divBdr>
        <w:top w:val="none" w:sz="0" w:space="0" w:color="auto"/>
        <w:left w:val="none" w:sz="0" w:space="0" w:color="auto"/>
        <w:bottom w:val="none" w:sz="0" w:space="0" w:color="auto"/>
        <w:right w:val="none" w:sz="0" w:space="0" w:color="auto"/>
      </w:divBdr>
      <w:divsChild>
        <w:div w:id="337729943">
          <w:marLeft w:val="547"/>
          <w:marRight w:val="0"/>
          <w:marTop w:val="96"/>
          <w:marBottom w:val="0"/>
          <w:divBdr>
            <w:top w:val="none" w:sz="0" w:space="0" w:color="auto"/>
            <w:left w:val="none" w:sz="0" w:space="0" w:color="auto"/>
            <w:bottom w:val="none" w:sz="0" w:space="0" w:color="auto"/>
            <w:right w:val="none" w:sz="0" w:space="0" w:color="auto"/>
          </w:divBdr>
        </w:div>
        <w:div w:id="464471149">
          <w:marLeft w:val="1166"/>
          <w:marRight w:val="0"/>
          <w:marTop w:val="86"/>
          <w:marBottom w:val="0"/>
          <w:divBdr>
            <w:top w:val="none" w:sz="0" w:space="0" w:color="auto"/>
            <w:left w:val="none" w:sz="0" w:space="0" w:color="auto"/>
            <w:bottom w:val="none" w:sz="0" w:space="0" w:color="auto"/>
            <w:right w:val="none" w:sz="0" w:space="0" w:color="auto"/>
          </w:divBdr>
        </w:div>
        <w:div w:id="927734617">
          <w:marLeft w:val="1166"/>
          <w:marRight w:val="0"/>
          <w:marTop w:val="86"/>
          <w:marBottom w:val="0"/>
          <w:divBdr>
            <w:top w:val="none" w:sz="0" w:space="0" w:color="auto"/>
            <w:left w:val="none" w:sz="0" w:space="0" w:color="auto"/>
            <w:bottom w:val="none" w:sz="0" w:space="0" w:color="auto"/>
            <w:right w:val="none" w:sz="0" w:space="0" w:color="auto"/>
          </w:divBdr>
        </w:div>
        <w:div w:id="970211578">
          <w:marLeft w:val="1166"/>
          <w:marRight w:val="0"/>
          <w:marTop w:val="86"/>
          <w:marBottom w:val="0"/>
          <w:divBdr>
            <w:top w:val="none" w:sz="0" w:space="0" w:color="auto"/>
            <w:left w:val="none" w:sz="0" w:space="0" w:color="auto"/>
            <w:bottom w:val="none" w:sz="0" w:space="0" w:color="auto"/>
            <w:right w:val="none" w:sz="0" w:space="0" w:color="auto"/>
          </w:divBdr>
        </w:div>
        <w:div w:id="1201825519">
          <w:marLeft w:val="1166"/>
          <w:marRight w:val="0"/>
          <w:marTop w:val="86"/>
          <w:marBottom w:val="0"/>
          <w:divBdr>
            <w:top w:val="none" w:sz="0" w:space="0" w:color="auto"/>
            <w:left w:val="none" w:sz="0" w:space="0" w:color="auto"/>
            <w:bottom w:val="none" w:sz="0" w:space="0" w:color="auto"/>
            <w:right w:val="none" w:sz="0" w:space="0" w:color="auto"/>
          </w:divBdr>
        </w:div>
        <w:div w:id="1325355228">
          <w:marLeft w:val="1166"/>
          <w:marRight w:val="0"/>
          <w:marTop w:val="86"/>
          <w:marBottom w:val="0"/>
          <w:divBdr>
            <w:top w:val="none" w:sz="0" w:space="0" w:color="auto"/>
            <w:left w:val="none" w:sz="0" w:space="0" w:color="auto"/>
            <w:bottom w:val="none" w:sz="0" w:space="0" w:color="auto"/>
            <w:right w:val="none" w:sz="0" w:space="0" w:color="auto"/>
          </w:divBdr>
        </w:div>
        <w:div w:id="1935673858">
          <w:marLeft w:val="1166"/>
          <w:marRight w:val="0"/>
          <w:marTop w:val="86"/>
          <w:marBottom w:val="0"/>
          <w:divBdr>
            <w:top w:val="none" w:sz="0" w:space="0" w:color="auto"/>
            <w:left w:val="none" w:sz="0" w:space="0" w:color="auto"/>
            <w:bottom w:val="none" w:sz="0" w:space="0" w:color="auto"/>
            <w:right w:val="none" w:sz="0" w:space="0" w:color="auto"/>
          </w:divBdr>
        </w:div>
        <w:div w:id="2087072567">
          <w:marLeft w:val="547"/>
          <w:marRight w:val="0"/>
          <w:marTop w:val="96"/>
          <w:marBottom w:val="0"/>
          <w:divBdr>
            <w:top w:val="none" w:sz="0" w:space="0" w:color="auto"/>
            <w:left w:val="none" w:sz="0" w:space="0" w:color="auto"/>
            <w:bottom w:val="none" w:sz="0" w:space="0" w:color="auto"/>
            <w:right w:val="none" w:sz="0" w:space="0" w:color="auto"/>
          </w:divBdr>
        </w:div>
      </w:divsChild>
    </w:div>
    <w:div w:id="929432312">
      <w:bodyDiv w:val="1"/>
      <w:marLeft w:val="0"/>
      <w:marRight w:val="0"/>
      <w:marTop w:val="0"/>
      <w:marBottom w:val="0"/>
      <w:divBdr>
        <w:top w:val="none" w:sz="0" w:space="0" w:color="auto"/>
        <w:left w:val="none" w:sz="0" w:space="0" w:color="auto"/>
        <w:bottom w:val="none" w:sz="0" w:space="0" w:color="auto"/>
        <w:right w:val="none" w:sz="0" w:space="0" w:color="auto"/>
      </w:divBdr>
      <w:divsChild>
        <w:div w:id="1073433680">
          <w:marLeft w:val="1800"/>
          <w:marRight w:val="0"/>
          <w:marTop w:val="139"/>
          <w:marBottom w:val="0"/>
          <w:divBdr>
            <w:top w:val="none" w:sz="0" w:space="0" w:color="auto"/>
            <w:left w:val="none" w:sz="0" w:space="0" w:color="auto"/>
            <w:bottom w:val="none" w:sz="0" w:space="0" w:color="auto"/>
            <w:right w:val="none" w:sz="0" w:space="0" w:color="auto"/>
          </w:divBdr>
        </w:div>
        <w:div w:id="1412892949">
          <w:marLeft w:val="1800"/>
          <w:marRight w:val="0"/>
          <w:marTop w:val="134"/>
          <w:marBottom w:val="0"/>
          <w:divBdr>
            <w:top w:val="none" w:sz="0" w:space="0" w:color="auto"/>
            <w:left w:val="none" w:sz="0" w:space="0" w:color="auto"/>
            <w:bottom w:val="none" w:sz="0" w:space="0" w:color="auto"/>
            <w:right w:val="none" w:sz="0" w:space="0" w:color="auto"/>
          </w:divBdr>
        </w:div>
        <w:div w:id="1889876772">
          <w:marLeft w:val="547"/>
          <w:marRight w:val="0"/>
          <w:marTop w:val="163"/>
          <w:marBottom w:val="0"/>
          <w:divBdr>
            <w:top w:val="none" w:sz="0" w:space="0" w:color="auto"/>
            <w:left w:val="none" w:sz="0" w:space="0" w:color="auto"/>
            <w:bottom w:val="none" w:sz="0" w:space="0" w:color="auto"/>
            <w:right w:val="none" w:sz="0" w:space="0" w:color="auto"/>
          </w:divBdr>
        </w:div>
        <w:div w:id="2114740916">
          <w:marLeft w:val="1166"/>
          <w:marRight w:val="0"/>
          <w:marTop w:val="163"/>
          <w:marBottom w:val="0"/>
          <w:divBdr>
            <w:top w:val="none" w:sz="0" w:space="0" w:color="auto"/>
            <w:left w:val="none" w:sz="0" w:space="0" w:color="auto"/>
            <w:bottom w:val="none" w:sz="0" w:space="0" w:color="auto"/>
            <w:right w:val="none" w:sz="0" w:space="0" w:color="auto"/>
          </w:divBdr>
        </w:div>
      </w:divsChild>
    </w:div>
    <w:div w:id="929583629">
      <w:bodyDiv w:val="1"/>
      <w:marLeft w:val="0"/>
      <w:marRight w:val="0"/>
      <w:marTop w:val="0"/>
      <w:marBottom w:val="0"/>
      <w:divBdr>
        <w:top w:val="none" w:sz="0" w:space="0" w:color="auto"/>
        <w:left w:val="none" w:sz="0" w:space="0" w:color="auto"/>
        <w:bottom w:val="none" w:sz="0" w:space="0" w:color="auto"/>
        <w:right w:val="none" w:sz="0" w:space="0" w:color="auto"/>
      </w:divBdr>
    </w:div>
    <w:div w:id="930161430">
      <w:bodyDiv w:val="1"/>
      <w:marLeft w:val="0"/>
      <w:marRight w:val="0"/>
      <w:marTop w:val="0"/>
      <w:marBottom w:val="0"/>
      <w:divBdr>
        <w:top w:val="none" w:sz="0" w:space="0" w:color="auto"/>
        <w:left w:val="none" w:sz="0" w:space="0" w:color="auto"/>
        <w:bottom w:val="none" w:sz="0" w:space="0" w:color="auto"/>
        <w:right w:val="none" w:sz="0" w:space="0" w:color="auto"/>
      </w:divBdr>
    </w:div>
    <w:div w:id="930698173">
      <w:bodyDiv w:val="1"/>
      <w:marLeft w:val="0"/>
      <w:marRight w:val="0"/>
      <w:marTop w:val="0"/>
      <w:marBottom w:val="0"/>
      <w:divBdr>
        <w:top w:val="none" w:sz="0" w:space="0" w:color="auto"/>
        <w:left w:val="none" w:sz="0" w:space="0" w:color="auto"/>
        <w:bottom w:val="none" w:sz="0" w:space="0" w:color="auto"/>
        <w:right w:val="none" w:sz="0" w:space="0" w:color="auto"/>
      </w:divBdr>
    </w:div>
    <w:div w:id="932589590">
      <w:bodyDiv w:val="1"/>
      <w:marLeft w:val="0"/>
      <w:marRight w:val="0"/>
      <w:marTop w:val="0"/>
      <w:marBottom w:val="0"/>
      <w:divBdr>
        <w:top w:val="none" w:sz="0" w:space="0" w:color="auto"/>
        <w:left w:val="none" w:sz="0" w:space="0" w:color="auto"/>
        <w:bottom w:val="none" w:sz="0" w:space="0" w:color="auto"/>
        <w:right w:val="none" w:sz="0" w:space="0" w:color="auto"/>
      </w:divBdr>
    </w:div>
    <w:div w:id="932710808">
      <w:bodyDiv w:val="1"/>
      <w:marLeft w:val="0"/>
      <w:marRight w:val="0"/>
      <w:marTop w:val="0"/>
      <w:marBottom w:val="0"/>
      <w:divBdr>
        <w:top w:val="none" w:sz="0" w:space="0" w:color="auto"/>
        <w:left w:val="none" w:sz="0" w:space="0" w:color="auto"/>
        <w:bottom w:val="none" w:sz="0" w:space="0" w:color="auto"/>
        <w:right w:val="none" w:sz="0" w:space="0" w:color="auto"/>
      </w:divBdr>
    </w:div>
    <w:div w:id="934242468">
      <w:bodyDiv w:val="1"/>
      <w:marLeft w:val="0"/>
      <w:marRight w:val="0"/>
      <w:marTop w:val="0"/>
      <w:marBottom w:val="0"/>
      <w:divBdr>
        <w:top w:val="none" w:sz="0" w:space="0" w:color="auto"/>
        <w:left w:val="none" w:sz="0" w:space="0" w:color="auto"/>
        <w:bottom w:val="none" w:sz="0" w:space="0" w:color="auto"/>
        <w:right w:val="none" w:sz="0" w:space="0" w:color="auto"/>
      </w:divBdr>
    </w:div>
    <w:div w:id="934436959">
      <w:bodyDiv w:val="1"/>
      <w:marLeft w:val="0"/>
      <w:marRight w:val="0"/>
      <w:marTop w:val="0"/>
      <w:marBottom w:val="0"/>
      <w:divBdr>
        <w:top w:val="none" w:sz="0" w:space="0" w:color="auto"/>
        <w:left w:val="none" w:sz="0" w:space="0" w:color="auto"/>
        <w:bottom w:val="none" w:sz="0" w:space="0" w:color="auto"/>
        <w:right w:val="none" w:sz="0" w:space="0" w:color="auto"/>
      </w:divBdr>
    </w:div>
    <w:div w:id="934635789">
      <w:bodyDiv w:val="1"/>
      <w:marLeft w:val="0"/>
      <w:marRight w:val="0"/>
      <w:marTop w:val="0"/>
      <w:marBottom w:val="0"/>
      <w:divBdr>
        <w:top w:val="none" w:sz="0" w:space="0" w:color="auto"/>
        <w:left w:val="none" w:sz="0" w:space="0" w:color="auto"/>
        <w:bottom w:val="none" w:sz="0" w:space="0" w:color="auto"/>
        <w:right w:val="none" w:sz="0" w:space="0" w:color="auto"/>
      </w:divBdr>
    </w:div>
    <w:div w:id="934706310">
      <w:bodyDiv w:val="1"/>
      <w:marLeft w:val="0"/>
      <w:marRight w:val="0"/>
      <w:marTop w:val="0"/>
      <w:marBottom w:val="0"/>
      <w:divBdr>
        <w:top w:val="none" w:sz="0" w:space="0" w:color="auto"/>
        <w:left w:val="none" w:sz="0" w:space="0" w:color="auto"/>
        <w:bottom w:val="none" w:sz="0" w:space="0" w:color="auto"/>
        <w:right w:val="none" w:sz="0" w:space="0" w:color="auto"/>
      </w:divBdr>
      <w:divsChild>
        <w:div w:id="1115447330">
          <w:marLeft w:val="547"/>
          <w:marRight w:val="0"/>
          <w:marTop w:val="96"/>
          <w:marBottom w:val="0"/>
          <w:divBdr>
            <w:top w:val="none" w:sz="0" w:space="0" w:color="auto"/>
            <w:left w:val="none" w:sz="0" w:space="0" w:color="auto"/>
            <w:bottom w:val="none" w:sz="0" w:space="0" w:color="auto"/>
            <w:right w:val="none" w:sz="0" w:space="0" w:color="auto"/>
          </w:divBdr>
        </w:div>
        <w:div w:id="1532263308">
          <w:marLeft w:val="547"/>
          <w:marRight w:val="0"/>
          <w:marTop w:val="96"/>
          <w:marBottom w:val="0"/>
          <w:divBdr>
            <w:top w:val="none" w:sz="0" w:space="0" w:color="auto"/>
            <w:left w:val="none" w:sz="0" w:space="0" w:color="auto"/>
            <w:bottom w:val="none" w:sz="0" w:space="0" w:color="auto"/>
            <w:right w:val="none" w:sz="0" w:space="0" w:color="auto"/>
          </w:divBdr>
        </w:div>
        <w:div w:id="1611165800">
          <w:marLeft w:val="547"/>
          <w:marRight w:val="0"/>
          <w:marTop w:val="96"/>
          <w:marBottom w:val="0"/>
          <w:divBdr>
            <w:top w:val="none" w:sz="0" w:space="0" w:color="auto"/>
            <w:left w:val="none" w:sz="0" w:space="0" w:color="auto"/>
            <w:bottom w:val="none" w:sz="0" w:space="0" w:color="auto"/>
            <w:right w:val="none" w:sz="0" w:space="0" w:color="auto"/>
          </w:divBdr>
        </w:div>
        <w:div w:id="1831099730">
          <w:marLeft w:val="1166"/>
          <w:marRight w:val="0"/>
          <w:marTop w:val="77"/>
          <w:marBottom w:val="0"/>
          <w:divBdr>
            <w:top w:val="none" w:sz="0" w:space="0" w:color="auto"/>
            <w:left w:val="none" w:sz="0" w:space="0" w:color="auto"/>
            <w:bottom w:val="none" w:sz="0" w:space="0" w:color="auto"/>
            <w:right w:val="none" w:sz="0" w:space="0" w:color="auto"/>
          </w:divBdr>
        </w:div>
      </w:divsChild>
    </w:div>
    <w:div w:id="934899474">
      <w:bodyDiv w:val="1"/>
      <w:marLeft w:val="0"/>
      <w:marRight w:val="0"/>
      <w:marTop w:val="0"/>
      <w:marBottom w:val="0"/>
      <w:divBdr>
        <w:top w:val="none" w:sz="0" w:space="0" w:color="auto"/>
        <w:left w:val="none" w:sz="0" w:space="0" w:color="auto"/>
        <w:bottom w:val="none" w:sz="0" w:space="0" w:color="auto"/>
        <w:right w:val="none" w:sz="0" w:space="0" w:color="auto"/>
      </w:divBdr>
    </w:div>
    <w:div w:id="935483094">
      <w:bodyDiv w:val="1"/>
      <w:marLeft w:val="0"/>
      <w:marRight w:val="0"/>
      <w:marTop w:val="0"/>
      <w:marBottom w:val="0"/>
      <w:divBdr>
        <w:top w:val="none" w:sz="0" w:space="0" w:color="auto"/>
        <w:left w:val="none" w:sz="0" w:space="0" w:color="auto"/>
        <w:bottom w:val="none" w:sz="0" w:space="0" w:color="auto"/>
        <w:right w:val="none" w:sz="0" w:space="0" w:color="auto"/>
      </w:divBdr>
    </w:div>
    <w:div w:id="936446019">
      <w:bodyDiv w:val="1"/>
      <w:marLeft w:val="0"/>
      <w:marRight w:val="0"/>
      <w:marTop w:val="0"/>
      <w:marBottom w:val="0"/>
      <w:divBdr>
        <w:top w:val="none" w:sz="0" w:space="0" w:color="auto"/>
        <w:left w:val="none" w:sz="0" w:space="0" w:color="auto"/>
        <w:bottom w:val="none" w:sz="0" w:space="0" w:color="auto"/>
        <w:right w:val="none" w:sz="0" w:space="0" w:color="auto"/>
      </w:divBdr>
      <w:divsChild>
        <w:div w:id="1672904327">
          <w:marLeft w:val="0"/>
          <w:marRight w:val="0"/>
          <w:marTop w:val="0"/>
          <w:marBottom w:val="0"/>
          <w:divBdr>
            <w:top w:val="none" w:sz="0" w:space="0" w:color="auto"/>
            <w:left w:val="none" w:sz="0" w:space="0" w:color="auto"/>
            <w:bottom w:val="none" w:sz="0" w:space="0" w:color="auto"/>
            <w:right w:val="none" w:sz="0" w:space="0" w:color="auto"/>
          </w:divBdr>
        </w:div>
      </w:divsChild>
    </w:div>
    <w:div w:id="936791452">
      <w:bodyDiv w:val="1"/>
      <w:marLeft w:val="0"/>
      <w:marRight w:val="0"/>
      <w:marTop w:val="0"/>
      <w:marBottom w:val="0"/>
      <w:divBdr>
        <w:top w:val="none" w:sz="0" w:space="0" w:color="auto"/>
        <w:left w:val="none" w:sz="0" w:space="0" w:color="auto"/>
        <w:bottom w:val="none" w:sz="0" w:space="0" w:color="auto"/>
        <w:right w:val="none" w:sz="0" w:space="0" w:color="auto"/>
      </w:divBdr>
    </w:div>
    <w:div w:id="937249671">
      <w:bodyDiv w:val="1"/>
      <w:marLeft w:val="0"/>
      <w:marRight w:val="0"/>
      <w:marTop w:val="0"/>
      <w:marBottom w:val="0"/>
      <w:divBdr>
        <w:top w:val="none" w:sz="0" w:space="0" w:color="auto"/>
        <w:left w:val="none" w:sz="0" w:space="0" w:color="auto"/>
        <w:bottom w:val="none" w:sz="0" w:space="0" w:color="auto"/>
        <w:right w:val="none" w:sz="0" w:space="0" w:color="auto"/>
      </w:divBdr>
      <w:divsChild>
        <w:div w:id="174423031">
          <w:marLeft w:val="1166"/>
          <w:marRight w:val="0"/>
          <w:marTop w:val="96"/>
          <w:marBottom w:val="0"/>
          <w:divBdr>
            <w:top w:val="none" w:sz="0" w:space="0" w:color="auto"/>
            <w:left w:val="none" w:sz="0" w:space="0" w:color="auto"/>
            <w:bottom w:val="none" w:sz="0" w:space="0" w:color="auto"/>
            <w:right w:val="none" w:sz="0" w:space="0" w:color="auto"/>
          </w:divBdr>
        </w:div>
        <w:div w:id="469129395">
          <w:marLeft w:val="547"/>
          <w:marRight w:val="0"/>
          <w:marTop w:val="106"/>
          <w:marBottom w:val="0"/>
          <w:divBdr>
            <w:top w:val="none" w:sz="0" w:space="0" w:color="auto"/>
            <w:left w:val="none" w:sz="0" w:space="0" w:color="auto"/>
            <w:bottom w:val="none" w:sz="0" w:space="0" w:color="auto"/>
            <w:right w:val="none" w:sz="0" w:space="0" w:color="auto"/>
          </w:divBdr>
        </w:div>
        <w:div w:id="723800208">
          <w:marLeft w:val="547"/>
          <w:marRight w:val="0"/>
          <w:marTop w:val="106"/>
          <w:marBottom w:val="0"/>
          <w:divBdr>
            <w:top w:val="none" w:sz="0" w:space="0" w:color="auto"/>
            <w:left w:val="none" w:sz="0" w:space="0" w:color="auto"/>
            <w:bottom w:val="none" w:sz="0" w:space="0" w:color="auto"/>
            <w:right w:val="none" w:sz="0" w:space="0" w:color="auto"/>
          </w:divBdr>
        </w:div>
        <w:div w:id="983041976">
          <w:marLeft w:val="547"/>
          <w:marRight w:val="0"/>
          <w:marTop w:val="106"/>
          <w:marBottom w:val="0"/>
          <w:divBdr>
            <w:top w:val="none" w:sz="0" w:space="0" w:color="auto"/>
            <w:left w:val="none" w:sz="0" w:space="0" w:color="auto"/>
            <w:bottom w:val="none" w:sz="0" w:space="0" w:color="auto"/>
            <w:right w:val="none" w:sz="0" w:space="0" w:color="auto"/>
          </w:divBdr>
        </w:div>
        <w:div w:id="1080718626">
          <w:marLeft w:val="1166"/>
          <w:marRight w:val="0"/>
          <w:marTop w:val="96"/>
          <w:marBottom w:val="0"/>
          <w:divBdr>
            <w:top w:val="none" w:sz="0" w:space="0" w:color="auto"/>
            <w:left w:val="none" w:sz="0" w:space="0" w:color="auto"/>
            <w:bottom w:val="none" w:sz="0" w:space="0" w:color="auto"/>
            <w:right w:val="none" w:sz="0" w:space="0" w:color="auto"/>
          </w:divBdr>
        </w:div>
        <w:div w:id="1799104021">
          <w:marLeft w:val="547"/>
          <w:marRight w:val="0"/>
          <w:marTop w:val="106"/>
          <w:marBottom w:val="0"/>
          <w:divBdr>
            <w:top w:val="none" w:sz="0" w:space="0" w:color="auto"/>
            <w:left w:val="none" w:sz="0" w:space="0" w:color="auto"/>
            <w:bottom w:val="none" w:sz="0" w:space="0" w:color="auto"/>
            <w:right w:val="none" w:sz="0" w:space="0" w:color="auto"/>
          </w:divBdr>
        </w:div>
      </w:divsChild>
    </w:div>
    <w:div w:id="937253990">
      <w:bodyDiv w:val="1"/>
      <w:marLeft w:val="0"/>
      <w:marRight w:val="0"/>
      <w:marTop w:val="0"/>
      <w:marBottom w:val="0"/>
      <w:divBdr>
        <w:top w:val="none" w:sz="0" w:space="0" w:color="auto"/>
        <w:left w:val="none" w:sz="0" w:space="0" w:color="auto"/>
        <w:bottom w:val="none" w:sz="0" w:space="0" w:color="auto"/>
        <w:right w:val="none" w:sz="0" w:space="0" w:color="auto"/>
      </w:divBdr>
      <w:divsChild>
        <w:div w:id="370031972">
          <w:marLeft w:val="547"/>
          <w:marRight w:val="0"/>
          <w:marTop w:val="96"/>
          <w:marBottom w:val="0"/>
          <w:divBdr>
            <w:top w:val="none" w:sz="0" w:space="0" w:color="auto"/>
            <w:left w:val="none" w:sz="0" w:space="0" w:color="auto"/>
            <w:bottom w:val="none" w:sz="0" w:space="0" w:color="auto"/>
            <w:right w:val="none" w:sz="0" w:space="0" w:color="auto"/>
          </w:divBdr>
        </w:div>
        <w:div w:id="433786800">
          <w:marLeft w:val="547"/>
          <w:marRight w:val="0"/>
          <w:marTop w:val="96"/>
          <w:marBottom w:val="0"/>
          <w:divBdr>
            <w:top w:val="none" w:sz="0" w:space="0" w:color="auto"/>
            <w:left w:val="none" w:sz="0" w:space="0" w:color="auto"/>
            <w:bottom w:val="none" w:sz="0" w:space="0" w:color="auto"/>
            <w:right w:val="none" w:sz="0" w:space="0" w:color="auto"/>
          </w:divBdr>
        </w:div>
        <w:div w:id="481123288">
          <w:marLeft w:val="1166"/>
          <w:marRight w:val="0"/>
          <w:marTop w:val="86"/>
          <w:marBottom w:val="0"/>
          <w:divBdr>
            <w:top w:val="none" w:sz="0" w:space="0" w:color="auto"/>
            <w:left w:val="none" w:sz="0" w:space="0" w:color="auto"/>
            <w:bottom w:val="none" w:sz="0" w:space="0" w:color="auto"/>
            <w:right w:val="none" w:sz="0" w:space="0" w:color="auto"/>
          </w:divBdr>
        </w:div>
        <w:div w:id="884175578">
          <w:marLeft w:val="547"/>
          <w:marRight w:val="0"/>
          <w:marTop w:val="96"/>
          <w:marBottom w:val="0"/>
          <w:divBdr>
            <w:top w:val="none" w:sz="0" w:space="0" w:color="auto"/>
            <w:left w:val="none" w:sz="0" w:space="0" w:color="auto"/>
            <w:bottom w:val="none" w:sz="0" w:space="0" w:color="auto"/>
            <w:right w:val="none" w:sz="0" w:space="0" w:color="auto"/>
          </w:divBdr>
        </w:div>
        <w:div w:id="1073892651">
          <w:marLeft w:val="547"/>
          <w:marRight w:val="0"/>
          <w:marTop w:val="96"/>
          <w:marBottom w:val="0"/>
          <w:divBdr>
            <w:top w:val="none" w:sz="0" w:space="0" w:color="auto"/>
            <w:left w:val="none" w:sz="0" w:space="0" w:color="auto"/>
            <w:bottom w:val="none" w:sz="0" w:space="0" w:color="auto"/>
            <w:right w:val="none" w:sz="0" w:space="0" w:color="auto"/>
          </w:divBdr>
        </w:div>
        <w:div w:id="1143813787">
          <w:marLeft w:val="1166"/>
          <w:marRight w:val="0"/>
          <w:marTop w:val="86"/>
          <w:marBottom w:val="0"/>
          <w:divBdr>
            <w:top w:val="none" w:sz="0" w:space="0" w:color="auto"/>
            <w:left w:val="none" w:sz="0" w:space="0" w:color="auto"/>
            <w:bottom w:val="none" w:sz="0" w:space="0" w:color="auto"/>
            <w:right w:val="none" w:sz="0" w:space="0" w:color="auto"/>
          </w:divBdr>
        </w:div>
        <w:div w:id="1595626208">
          <w:marLeft w:val="547"/>
          <w:marRight w:val="0"/>
          <w:marTop w:val="96"/>
          <w:marBottom w:val="0"/>
          <w:divBdr>
            <w:top w:val="none" w:sz="0" w:space="0" w:color="auto"/>
            <w:left w:val="none" w:sz="0" w:space="0" w:color="auto"/>
            <w:bottom w:val="none" w:sz="0" w:space="0" w:color="auto"/>
            <w:right w:val="none" w:sz="0" w:space="0" w:color="auto"/>
          </w:divBdr>
        </w:div>
        <w:div w:id="1612515569">
          <w:marLeft w:val="1166"/>
          <w:marRight w:val="0"/>
          <w:marTop w:val="86"/>
          <w:marBottom w:val="0"/>
          <w:divBdr>
            <w:top w:val="none" w:sz="0" w:space="0" w:color="auto"/>
            <w:left w:val="none" w:sz="0" w:space="0" w:color="auto"/>
            <w:bottom w:val="none" w:sz="0" w:space="0" w:color="auto"/>
            <w:right w:val="none" w:sz="0" w:space="0" w:color="auto"/>
          </w:divBdr>
        </w:div>
        <w:div w:id="1644846895">
          <w:marLeft w:val="1166"/>
          <w:marRight w:val="0"/>
          <w:marTop w:val="86"/>
          <w:marBottom w:val="0"/>
          <w:divBdr>
            <w:top w:val="none" w:sz="0" w:space="0" w:color="auto"/>
            <w:left w:val="none" w:sz="0" w:space="0" w:color="auto"/>
            <w:bottom w:val="none" w:sz="0" w:space="0" w:color="auto"/>
            <w:right w:val="none" w:sz="0" w:space="0" w:color="auto"/>
          </w:divBdr>
        </w:div>
        <w:div w:id="1809009714">
          <w:marLeft w:val="1166"/>
          <w:marRight w:val="0"/>
          <w:marTop w:val="86"/>
          <w:marBottom w:val="0"/>
          <w:divBdr>
            <w:top w:val="none" w:sz="0" w:space="0" w:color="auto"/>
            <w:left w:val="none" w:sz="0" w:space="0" w:color="auto"/>
            <w:bottom w:val="none" w:sz="0" w:space="0" w:color="auto"/>
            <w:right w:val="none" w:sz="0" w:space="0" w:color="auto"/>
          </w:divBdr>
        </w:div>
      </w:divsChild>
    </w:div>
    <w:div w:id="937371345">
      <w:bodyDiv w:val="1"/>
      <w:marLeft w:val="0"/>
      <w:marRight w:val="0"/>
      <w:marTop w:val="0"/>
      <w:marBottom w:val="0"/>
      <w:divBdr>
        <w:top w:val="none" w:sz="0" w:space="0" w:color="auto"/>
        <w:left w:val="none" w:sz="0" w:space="0" w:color="auto"/>
        <w:bottom w:val="none" w:sz="0" w:space="0" w:color="auto"/>
        <w:right w:val="none" w:sz="0" w:space="0" w:color="auto"/>
      </w:divBdr>
      <w:divsChild>
        <w:div w:id="336542271">
          <w:marLeft w:val="2520"/>
          <w:marRight w:val="0"/>
          <w:marTop w:val="58"/>
          <w:marBottom w:val="0"/>
          <w:divBdr>
            <w:top w:val="none" w:sz="0" w:space="0" w:color="auto"/>
            <w:left w:val="none" w:sz="0" w:space="0" w:color="auto"/>
            <w:bottom w:val="none" w:sz="0" w:space="0" w:color="auto"/>
            <w:right w:val="none" w:sz="0" w:space="0" w:color="auto"/>
          </w:divBdr>
        </w:div>
        <w:div w:id="368334446">
          <w:marLeft w:val="1166"/>
          <w:marRight w:val="0"/>
          <w:marTop w:val="91"/>
          <w:marBottom w:val="0"/>
          <w:divBdr>
            <w:top w:val="none" w:sz="0" w:space="0" w:color="auto"/>
            <w:left w:val="none" w:sz="0" w:space="0" w:color="auto"/>
            <w:bottom w:val="none" w:sz="0" w:space="0" w:color="auto"/>
            <w:right w:val="none" w:sz="0" w:space="0" w:color="auto"/>
          </w:divBdr>
        </w:div>
        <w:div w:id="410666131">
          <w:marLeft w:val="2520"/>
          <w:marRight w:val="0"/>
          <w:marTop w:val="58"/>
          <w:marBottom w:val="0"/>
          <w:divBdr>
            <w:top w:val="none" w:sz="0" w:space="0" w:color="auto"/>
            <w:left w:val="none" w:sz="0" w:space="0" w:color="auto"/>
            <w:bottom w:val="none" w:sz="0" w:space="0" w:color="auto"/>
            <w:right w:val="none" w:sz="0" w:space="0" w:color="auto"/>
          </w:divBdr>
        </w:div>
        <w:div w:id="426585091">
          <w:marLeft w:val="547"/>
          <w:marRight w:val="0"/>
          <w:marTop w:val="106"/>
          <w:marBottom w:val="0"/>
          <w:divBdr>
            <w:top w:val="none" w:sz="0" w:space="0" w:color="auto"/>
            <w:left w:val="none" w:sz="0" w:space="0" w:color="auto"/>
            <w:bottom w:val="none" w:sz="0" w:space="0" w:color="auto"/>
            <w:right w:val="none" w:sz="0" w:space="0" w:color="auto"/>
          </w:divBdr>
        </w:div>
        <w:div w:id="666906407">
          <w:marLeft w:val="2520"/>
          <w:marRight w:val="0"/>
          <w:marTop w:val="58"/>
          <w:marBottom w:val="0"/>
          <w:divBdr>
            <w:top w:val="none" w:sz="0" w:space="0" w:color="auto"/>
            <w:left w:val="none" w:sz="0" w:space="0" w:color="auto"/>
            <w:bottom w:val="none" w:sz="0" w:space="0" w:color="auto"/>
            <w:right w:val="none" w:sz="0" w:space="0" w:color="auto"/>
          </w:divBdr>
        </w:div>
        <w:div w:id="687024003">
          <w:marLeft w:val="1166"/>
          <w:marRight w:val="0"/>
          <w:marTop w:val="91"/>
          <w:marBottom w:val="0"/>
          <w:divBdr>
            <w:top w:val="none" w:sz="0" w:space="0" w:color="auto"/>
            <w:left w:val="none" w:sz="0" w:space="0" w:color="auto"/>
            <w:bottom w:val="none" w:sz="0" w:space="0" w:color="auto"/>
            <w:right w:val="none" w:sz="0" w:space="0" w:color="auto"/>
          </w:divBdr>
        </w:div>
        <w:div w:id="762074844">
          <w:marLeft w:val="1166"/>
          <w:marRight w:val="0"/>
          <w:marTop w:val="91"/>
          <w:marBottom w:val="0"/>
          <w:divBdr>
            <w:top w:val="none" w:sz="0" w:space="0" w:color="auto"/>
            <w:left w:val="none" w:sz="0" w:space="0" w:color="auto"/>
            <w:bottom w:val="none" w:sz="0" w:space="0" w:color="auto"/>
            <w:right w:val="none" w:sz="0" w:space="0" w:color="auto"/>
          </w:divBdr>
        </w:div>
        <w:div w:id="817068691">
          <w:marLeft w:val="1166"/>
          <w:marRight w:val="0"/>
          <w:marTop w:val="91"/>
          <w:marBottom w:val="0"/>
          <w:divBdr>
            <w:top w:val="none" w:sz="0" w:space="0" w:color="auto"/>
            <w:left w:val="none" w:sz="0" w:space="0" w:color="auto"/>
            <w:bottom w:val="none" w:sz="0" w:space="0" w:color="auto"/>
            <w:right w:val="none" w:sz="0" w:space="0" w:color="auto"/>
          </w:divBdr>
        </w:div>
        <w:div w:id="917862602">
          <w:marLeft w:val="547"/>
          <w:marRight w:val="0"/>
          <w:marTop w:val="106"/>
          <w:marBottom w:val="0"/>
          <w:divBdr>
            <w:top w:val="none" w:sz="0" w:space="0" w:color="auto"/>
            <w:left w:val="none" w:sz="0" w:space="0" w:color="auto"/>
            <w:bottom w:val="none" w:sz="0" w:space="0" w:color="auto"/>
            <w:right w:val="none" w:sz="0" w:space="0" w:color="auto"/>
          </w:divBdr>
        </w:div>
        <w:div w:id="932008207">
          <w:marLeft w:val="2520"/>
          <w:marRight w:val="0"/>
          <w:marTop w:val="58"/>
          <w:marBottom w:val="0"/>
          <w:divBdr>
            <w:top w:val="none" w:sz="0" w:space="0" w:color="auto"/>
            <w:left w:val="none" w:sz="0" w:space="0" w:color="auto"/>
            <w:bottom w:val="none" w:sz="0" w:space="0" w:color="auto"/>
            <w:right w:val="none" w:sz="0" w:space="0" w:color="auto"/>
          </w:divBdr>
        </w:div>
        <w:div w:id="935987176">
          <w:marLeft w:val="1800"/>
          <w:marRight w:val="0"/>
          <w:marTop w:val="72"/>
          <w:marBottom w:val="0"/>
          <w:divBdr>
            <w:top w:val="none" w:sz="0" w:space="0" w:color="auto"/>
            <w:left w:val="none" w:sz="0" w:space="0" w:color="auto"/>
            <w:bottom w:val="none" w:sz="0" w:space="0" w:color="auto"/>
            <w:right w:val="none" w:sz="0" w:space="0" w:color="auto"/>
          </w:divBdr>
        </w:div>
        <w:div w:id="953444051">
          <w:marLeft w:val="1800"/>
          <w:marRight w:val="0"/>
          <w:marTop w:val="72"/>
          <w:marBottom w:val="0"/>
          <w:divBdr>
            <w:top w:val="none" w:sz="0" w:space="0" w:color="auto"/>
            <w:left w:val="none" w:sz="0" w:space="0" w:color="auto"/>
            <w:bottom w:val="none" w:sz="0" w:space="0" w:color="auto"/>
            <w:right w:val="none" w:sz="0" w:space="0" w:color="auto"/>
          </w:divBdr>
        </w:div>
        <w:div w:id="1076245466">
          <w:marLeft w:val="1800"/>
          <w:marRight w:val="0"/>
          <w:marTop w:val="72"/>
          <w:marBottom w:val="0"/>
          <w:divBdr>
            <w:top w:val="none" w:sz="0" w:space="0" w:color="auto"/>
            <w:left w:val="none" w:sz="0" w:space="0" w:color="auto"/>
            <w:bottom w:val="none" w:sz="0" w:space="0" w:color="auto"/>
            <w:right w:val="none" w:sz="0" w:space="0" w:color="auto"/>
          </w:divBdr>
        </w:div>
        <w:div w:id="1078094328">
          <w:marLeft w:val="1800"/>
          <w:marRight w:val="0"/>
          <w:marTop w:val="72"/>
          <w:marBottom w:val="0"/>
          <w:divBdr>
            <w:top w:val="none" w:sz="0" w:space="0" w:color="auto"/>
            <w:left w:val="none" w:sz="0" w:space="0" w:color="auto"/>
            <w:bottom w:val="none" w:sz="0" w:space="0" w:color="auto"/>
            <w:right w:val="none" w:sz="0" w:space="0" w:color="auto"/>
          </w:divBdr>
        </w:div>
        <w:div w:id="1337077902">
          <w:marLeft w:val="2520"/>
          <w:marRight w:val="0"/>
          <w:marTop w:val="58"/>
          <w:marBottom w:val="0"/>
          <w:divBdr>
            <w:top w:val="none" w:sz="0" w:space="0" w:color="auto"/>
            <w:left w:val="none" w:sz="0" w:space="0" w:color="auto"/>
            <w:bottom w:val="none" w:sz="0" w:space="0" w:color="auto"/>
            <w:right w:val="none" w:sz="0" w:space="0" w:color="auto"/>
          </w:divBdr>
        </w:div>
        <w:div w:id="1401174153">
          <w:marLeft w:val="1166"/>
          <w:marRight w:val="0"/>
          <w:marTop w:val="91"/>
          <w:marBottom w:val="0"/>
          <w:divBdr>
            <w:top w:val="none" w:sz="0" w:space="0" w:color="auto"/>
            <w:left w:val="none" w:sz="0" w:space="0" w:color="auto"/>
            <w:bottom w:val="none" w:sz="0" w:space="0" w:color="auto"/>
            <w:right w:val="none" w:sz="0" w:space="0" w:color="auto"/>
          </w:divBdr>
        </w:div>
        <w:div w:id="2027823408">
          <w:marLeft w:val="1800"/>
          <w:marRight w:val="0"/>
          <w:marTop w:val="72"/>
          <w:marBottom w:val="0"/>
          <w:divBdr>
            <w:top w:val="none" w:sz="0" w:space="0" w:color="auto"/>
            <w:left w:val="none" w:sz="0" w:space="0" w:color="auto"/>
            <w:bottom w:val="none" w:sz="0" w:space="0" w:color="auto"/>
            <w:right w:val="none" w:sz="0" w:space="0" w:color="auto"/>
          </w:divBdr>
        </w:div>
        <w:div w:id="2143690820">
          <w:marLeft w:val="1166"/>
          <w:marRight w:val="0"/>
          <w:marTop w:val="91"/>
          <w:marBottom w:val="0"/>
          <w:divBdr>
            <w:top w:val="none" w:sz="0" w:space="0" w:color="auto"/>
            <w:left w:val="none" w:sz="0" w:space="0" w:color="auto"/>
            <w:bottom w:val="none" w:sz="0" w:space="0" w:color="auto"/>
            <w:right w:val="none" w:sz="0" w:space="0" w:color="auto"/>
          </w:divBdr>
        </w:div>
      </w:divsChild>
    </w:div>
    <w:div w:id="937449000">
      <w:bodyDiv w:val="1"/>
      <w:marLeft w:val="0"/>
      <w:marRight w:val="0"/>
      <w:marTop w:val="0"/>
      <w:marBottom w:val="0"/>
      <w:divBdr>
        <w:top w:val="none" w:sz="0" w:space="0" w:color="auto"/>
        <w:left w:val="none" w:sz="0" w:space="0" w:color="auto"/>
        <w:bottom w:val="none" w:sz="0" w:space="0" w:color="auto"/>
        <w:right w:val="none" w:sz="0" w:space="0" w:color="auto"/>
      </w:divBdr>
      <w:divsChild>
        <w:div w:id="285236665">
          <w:marLeft w:val="547"/>
          <w:marRight w:val="0"/>
          <w:marTop w:val="115"/>
          <w:marBottom w:val="0"/>
          <w:divBdr>
            <w:top w:val="none" w:sz="0" w:space="0" w:color="auto"/>
            <w:left w:val="none" w:sz="0" w:space="0" w:color="auto"/>
            <w:bottom w:val="none" w:sz="0" w:space="0" w:color="auto"/>
            <w:right w:val="none" w:sz="0" w:space="0" w:color="auto"/>
          </w:divBdr>
        </w:div>
        <w:div w:id="997610986">
          <w:marLeft w:val="547"/>
          <w:marRight w:val="0"/>
          <w:marTop w:val="115"/>
          <w:marBottom w:val="0"/>
          <w:divBdr>
            <w:top w:val="none" w:sz="0" w:space="0" w:color="auto"/>
            <w:left w:val="none" w:sz="0" w:space="0" w:color="auto"/>
            <w:bottom w:val="none" w:sz="0" w:space="0" w:color="auto"/>
            <w:right w:val="none" w:sz="0" w:space="0" w:color="auto"/>
          </w:divBdr>
        </w:div>
        <w:div w:id="1149175194">
          <w:marLeft w:val="1166"/>
          <w:marRight w:val="0"/>
          <w:marTop w:val="96"/>
          <w:marBottom w:val="0"/>
          <w:divBdr>
            <w:top w:val="none" w:sz="0" w:space="0" w:color="auto"/>
            <w:left w:val="none" w:sz="0" w:space="0" w:color="auto"/>
            <w:bottom w:val="none" w:sz="0" w:space="0" w:color="auto"/>
            <w:right w:val="none" w:sz="0" w:space="0" w:color="auto"/>
          </w:divBdr>
        </w:div>
        <w:div w:id="1803427462">
          <w:marLeft w:val="547"/>
          <w:marRight w:val="0"/>
          <w:marTop w:val="115"/>
          <w:marBottom w:val="0"/>
          <w:divBdr>
            <w:top w:val="none" w:sz="0" w:space="0" w:color="auto"/>
            <w:left w:val="none" w:sz="0" w:space="0" w:color="auto"/>
            <w:bottom w:val="none" w:sz="0" w:space="0" w:color="auto"/>
            <w:right w:val="none" w:sz="0" w:space="0" w:color="auto"/>
          </w:divBdr>
        </w:div>
        <w:div w:id="2048792718">
          <w:marLeft w:val="1166"/>
          <w:marRight w:val="0"/>
          <w:marTop w:val="96"/>
          <w:marBottom w:val="0"/>
          <w:divBdr>
            <w:top w:val="none" w:sz="0" w:space="0" w:color="auto"/>
            <w:left w:val="none" w:sz="0" w:space="0" w:color="auto"/>
            <w:bottom w:val="none" w:sz="0" w:space="0" w:color="auto"/>
            <w:right w:val="none" w:sz="0" w:space="0" w:color="auto"/>
          </w:divBdr>
        </w:div>
        <w:div w:id="2084251849">
          <w:marLeft w:val="1166"/>
          <w:marRight w:val="0"/>
          <w:marTop w:val="96"/>
          <w:marBottom w:val="0"/>
          <w:divBdr>
            <w:top w:val="none" w:sz="0" w:space="0" w:color="auto"/>
            <w:left w:val="none" w:sz="0" w:space="0" w:color="auto"/>
            <w:bottom w:val="none" w:sz="0" w:space="0" w:color="auto"/>
            <w:right w:val="none" w:sz="0" w:space="0" w:color="auto"/>
          </w:divBdr>
        </w:div>
      </w:divsChild>
    </w:div>
    <w:div w:id="937566006">
      <w:bodyDiv w:val="1"/>
      <w:marLeft w:val="0"/>
      <w:marRight w:val="0"/>
      <w:marTop w:val="0"/>
      <w:marBottom w:val="0"/>
      <w:divBdr>
        <w:top w:val="none" w:sz="0" w:space="0" w:color="auto"/>
        <w:left w:val="none" w:sz="0" w:space="0" w:color="auto"/>
        <w:bottom w:val="none" w:sz="0" w:space="0" w:color="auto"/>
        <w:right w:val="none" w:sz="0" w:space="0" w:color="auto"/>
      </w:divBdr>
    </w:div>
    <w:div w:id="937568220">
      <w:bodyDiv w:val="1"/>
      <w:marLeft w:val="0"/>
      <w:marRight w:val="0"/>
      <w:marTop w:val="0"/>
      <w:marBottom w:val="0"/>
      <w:divBdr>
        <w:top w:val="none" w:sz="0" w:space="0" w:color="auto"/>
        <w:left w:val="none" w:sz="0" w:space="0" w:color="auto"/>
        <w:bottom w:val="none" w:sz="0" w:space="0" w:color="auto"/>
        <w:right w:val="none" w:sz="0" w:space="0" w:color="auto"/>
      </w:divBdr>
    </w:div>
    <w:div w:id="937635203">
      <w:bodyDiv w:val="1"/>
      <w:marLeft w:val="0"/>
      <w:marRight w:val="0"/>
      <w:marTop w:val="0"/>
      <w:marBottom w:val="0"/>
      <w:divBdr>
        <w:top w:val="none" w:sz="0" w:space="0" w:color="auto"/>
        <w:left w:val="none" w:sz="0" w:space="0" w:color="auto"/>
        <w:bottom w:val="none" w:sz="0" w:space="0" w:color="auto"/>
        <w:right w:val="none" w:sz="0" w:space="0" w:color="auto"/>
      </w:divBdr>
    </w:div>
    <w:div w:id="938221414">
      <w:bodyDiv w:val="1"/>
      <w:marLeft w:val="0"/>
      <w:marRight w:val="0"/>
      <w:marTop w:val="0"/>
      <w:marBottom w:val="0"/>
      <w:divBdr>
        <w:top w:val="none" w:sz="0" w:space="0" w:color="auto"/>
        <w:left w:val="none" w:sz="0" w:space="0" w:color="auto"/>
        <w:bottom w:val="none" w:sz="0" w:space="0" w:color="auto"/>
        <w:right w:val="none" w:sz="0" w:space="0" w:color="auto"/>
      </w:divBdr>
      <w:divsChild>
        <w:div w:id="515004480">
          <w:marLeft w:val="0"/>
          <w:marRight w:val="0"/>
          <w:marTop w:val="0"/>
          <w:marBottom w:val="0"/>
          <w:divBdr>
            <w:top w:val="none" w:sz="0" w:space="0" w:color="auto"/>
            <w:left w:val="none" w:sz="0" w:space="0" w:color="auto"/>
            <w:bottom w:val="none" w:sz="0" w:space="0" w:color="auto"/>
            <w:right w:val="none" w:sz="0" w:space="0" w:color="auto"/>
          </w:divBdr>
          <w:divsChild>
            <w:div w:id="170222920">
              <w:marLeft w:val="0"/>
              <w:marRight w:val="0"/>
              <w:marTop w:val="0"/>
              <w:marBottom w:val="0"/>
              <w:divBdr>
                <w:top w:val="none" w:sz="0" w:space="0" w:color="auto"/>
                <w:left w:val="none" w:sz="0" w:space="0" w:color="auto"/>
                <w:bottom w:val="none" w:sz="0" w:space="0" w:color="auto"/>
                <w:right w:val="none" w:sz="0" w:space="0" w:color="auto"/>
              </w:divBdr>
            </w:div>
            <w:div w:id="670330379">
              <w:marLeft w:val="0"/>
              <w:marRight w:val="0"/>
              <w:marTop w:val="0"/>
              <w:marBottom w:val="0"/>
              <w:divBdr>
                <w:top w:val="none" w:sz="0" w:space="0" w:color="auto"/>
                <w:left w:val="none" w:sz="0" w:space="0" w:color="auto"/>
                <w:bottom w:val="none" w:sz="0" w:space="0" w:color="auto"/>
                <w:right w:val="none" w:sz="0" w:space="0" w:color="auto"/>
              </w:divBdr>
            </w:div>
            <w:div w:id="766081006">
              <w:marLeft w:val="0"/>
              <w:marRight w:val="0"/>
              <w:marTop w:val="0"/>
              <w:marBottom w:val="0"/>
              <w:divBdr>
                <w:top w:val="none" w:sz="0" w:space="0" w:color="auto"/>
                <w:left w:val="none" w:sz="0" w:space="0" w:color="auto"/>
                <w:bottom w:val="none" w:sz="0" w:space="0" w:color="auto"/>
                <w:right w:val="none" w:sz="0" w:space="0" w:color="auto"/>
              </w:divBdr>
            </w:div>
            <w:div w:id="863830601">
              <w:marLeft w:val="0"/>
              <w:marRight w:val="0"/>
              <w:marTop w:val="0"/>
              <w:marBottom w:val="0"/>
              <w:divBdr>
                <w:top w:val="none" w:sz="0" w:space="0" w:color="auto"/>
                <w:left w:val="none" w:sz="0" w:space="0" w:color="auto"/>
                <w:bottom w:val="none" w:sz="0" w:space="0" w:color="auto"/>
                <w:right w:val="none" w:sz="0" w:space="0" w:color="auto"/>
              </w:divBdr>
            </w:div>
            <w:div w:id="1019313025">
              <w:marLeft w:val="0"/>
              <w:marRight w:val="0"/>
              <w:marTop w:val="0"/>
              <w:marBottom w:val="0"/>
              <w:divBdr>
                <w:top w:val="none" w:sz="0" w:space="0" w:color="auto"/>
                <w:left w:val="none" w:sz="0" w:space="0" w:color="auto"/>
                <w:bottom w:val="none" w:sz="0" w:space="0" w:color="auto"/>
                <w:right w:val="none" w:sz="0" w:space="0" w:color="auto"/>
              </w:divBdr>
            </w:div>
            <w:div w:id="1044603342">
              <w:marLeft w:val="0"/>
              <w:marRight w:val="0"/>
              <w:marTop w:val="0"/>
              <w:marBottom w:val="0"/>
              <w:divBdr>
                <w:top w:val="none" w:sz="0" w:space="0" w:color="auto"/>
                <w:left w:val="none" w:sz="0" w:space="0" w:color="auto"/>
                <w:bottom w:val="none" w:sz="0" w:space="0" w:color="auto"/>
                <w:right w:val="none" w:sz="0" w:space="0" w:color="auto"/>
              </w:divBdr>
            </w:div>
            <w:div w:id="1103182944">
              <w:marLeft w:val="0"/>
              <w:marRight w:val="0"/>
              <w:marTop w:val="0"/>
              <w:marBottom w:val="0"/>
              <w:divBdr>
                <w:top w:val="none" w:sz="0" w:space="0" w:color="auto"/>
                <w:left w:val="none" w:sz="0" w:space="0" w:color="auto"/>
                <w:bottom w:val="none" w:sz="0" w:space="0" w:color="auto"/>
                <w:right w:val="none" w:sz="0" w:space="0" w:color="auto"/>
              </w:divBdr>
            </w:div>
            <w:div w:id="1138187382">
              <w:marLeft w:val="0"/>
              <w:marRight w:val="0"/>
              <w:marTop w:val="0"/>
              <w:marBottom w:val="0"/>
              <w:divBdr>
                <w:top w:val="none" w:sz="0" w:space="0" w:color="auto"/>
                <w:left w:val="none" w:sz="0" w:space="0" w:color="auto"/>
                <w:bottom w:val="none" w:sz="0" w:space="0" w:color="auto"/>
                <w:right w:val="none" w:sz="0" w:space="0" w:color="auto"/>
              </w:divBdr>
            </w:div>
            <w:div w:id="1159148398">
              <w:marLeft w:val="0"/>
              <w:marRight w:val="0"/>
              <w:marTop w:val="0"/>
              <w:marBottom w:val="0"/>
              <w:divBdr>
                <w:top w:val="none" w:sz="0" w:space="0" w:color="auto"/>
                <w:left w:val="none" w:sz="0" w:space="0" w:color="auto"/>
                <w:bottom w:val="none" w:sz="0" w:space="0" w:color="auto"/>
                <w:right w:val="none" w:sz="0" w:space="0" w:color="auto"/>
              </w:divBdr>
            </w:div>
            <w:div w:id="1239172834">
              <w:marLeft w:val="0"/>
              <w:marRight w:val="0"/>
              <w:marTop w:val="0"/>
              <w:marBottom w:val="0"/>
              <w:divBdr>
                <w:top w:val="none" w:sz="0" w:space="0" w:color="auto"/>
                <w:left w:val="none" w:sz="0" w:space="0" w:color="auto"/>
                <w:bottom w:val="none" w:sz="0" w:space="0" w:color="auto"/>
                <w:right w:val="none" w:sz="0" w:space="0" w:color="auto"/>
              </w:divBdr>
            </w:div>
            <w:div w:id="1314485536">
              <w:marLeft w:val="0"/>
              <w:marRight w:val="0"/>
              <w:marTop w:val="0"/>
              <w:marBottom w:val="0"/>
              <w:divBdr>
                <w:top w:val="none" w:sz="0" w:space="0" w:color="auto"/>
                <w:left w:val="none" w:sz="0" w:space="0" w:color="auto"/>
                <w:bottom w:val="none" w:sz="0" w:space="0" w:color="auto"/>
                <w:right w:val="none" w:sz="0" w:space="0" w:color="auto"/>
              </w:divBdr>
            </w:div>
            <w:div w:id="1666930459">
              <w:marLeft w:val="0"/>
              <w:marRight w:val="0"/>
              <w:marTop w:val="0"/>
              <w:marBottom w:val="0"/>
              <w:divBdr>
                <w:top w:val="none" w:sz="0" w:space="0" w:color="auto"/>
                <w:left w:val="none" w:sz="0" w:space="0" w:color="auto"/>
                <w:bottom w:val="none" w:sz="0" w:space="0" w:color="auto"/>
                <w:right w:val="none" w:sz="0" w:space="0" w:color="auto"/>
              </w:divBdr>
            </w:div>
            <w:div w:id="1921209997">
              <w:marLeft w:val="0"/>
              <w:marRight w:val="0"/>
              <w:marTop w:val="0"/>
              <w:marBottom w:val="0"/>
              <w:divBdr>
                <w:top w:val="none" w:sz="0" w:space="0" w:color="auto"/>
                <w:left w:val="none" w:sz="0" w:space="0" w:color="auto"/>
                <w:bottom w:val="none" w:sz="0" w:space="0" w:color="auto"/>
                <w:right w:val="none" w:sz="0" w:space="0" w:color="auto"/>
              </w:divBdr>
            </w:div>
            <w:div w:id="2059668198">
              <w:marLeft w:val="0"/>
              <w:marRight w:val="0"/>
              <w:marTop w:val="0"/>
              <w:marBottom w:val="0"/>
              <w:divBdr>
                <w:top w:val="none" w:sz="0" w:space="0" w:color="auto"/>
                <w:left w:val="none" w:sz="0" w:space="0" w:color="auto"/>
                <w:bottom w:val="none" w:sz="0" w:space="0" w:color="auto"/>
                <w:right w:val="none" w:sz="0" w:space="0" w:color="auto"/>
              </w:divBdr>
            </w:div>
            <w:div w:id="21267317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9338217">
      <w:bodyDiv w:val="1"/>
      <w:marLeft w:val="0"/>
      <w:marRight w:val="0"/>
      <w:marTop w:val="0"/>
      <w:marBottom w:val="0"/>
      <w:divBdr>
        <w:top w:val="none" w:sz="0" w:space="0" w:color="auto"/>
        <w:left w:val="none" w:sz="0" w:space="0" w:color="auto"/>
        <w:bottom w:val="none" w:sz="0" w:space="0" w:color="auto"/>
        <w:right w:val="none" w:sz="0" w:space="0" w:color="auto"/>
      </w:divBdr>
    </w:div>
    <w:div w:id="939411399">
      <w:bodyDiv w:val="1"/>
      <w:marLeft w:val="0"/>
      <w:marRight w:val="0"/>
      <w:marTop w:val="0"/>
      <w:marBottom w:val="0"/>
      <w:divBdr>
        <w:top w:val="none" w:sz="0" w:space="0" w:color="auto"/>
        <w:left w:val="none" w:sz="0" w:space="0" w:color="auto"/>
        <w:bottom w:val="none" w:sz="0" w:space="0" w:color="auto"/>
        <w:right w:val="none" w:sz="0" w:space="0" w:color="auto"/>
      </w:divBdr>
    </w:div>
    <w:div w:id="939684429">
      <w:bodyDiv w:val="1"/>
      <w:marLeft w:val="0"/>
      <w:marRight w:val="0"/>
      <w:marTop w:val="0"/>
      <w:marBottom w:val="0"/>
      <w:divBdr>
        <w:top w:val="none" w:sz="0" w:space="0" w:color="auto"/>
        <w:left w:val="none" w:sz="0" w:space="0" w:color="auto"/>
        <w:bottom w:val="none" w:sz="0" w:space="0" w:color="auto"/>
        <w:right w:val="none" w:sz="0" w:space="0" w:color="auto"/>
      </w:divBdr>
    </w:div>
    <w:div w:id="940524828">
      <w:bodyDiv w:val="1"/>
      <w:marLeft w:val="0"/>
      <w:marRight w:val="0"/>
      <w:marTop w:val="0"/>
      <w:marBottom w:val="0"/>
      <w:divBdr>
        <w:top w:val="none" w:sz="0" w:space="0" w:color="auto"/>
        <w:left w:val="none" w:sz="0" w:space="0" w:color="auto"/>
        <w:bottom w:val="none" w:sz="0" w:space="0" w:color="auto"/>
        <w:right w:val="none" w:sz="0" w:space="0" w:color="auto"/>
      </w:divBdr>
    </w:div>
    <w:div w:id="942567417">
      <w:bodyDiv w:val="1"/>
      <w:marLeft w:val="0"/>
      <w:marRight w:val="0"/>
      <w:marTop w:val="0"/>
      <w:marBottom w:val="0"/>
      <w:divBdr>
        <w:top w:val="none" w:sz="0" w:space="0" w:color="auto"/>
        <w:left w:val="none" w:sz="0" w:space="0" w:color="auto"/>
        <w:bottom w:val="none" w:sz="0" w:space="0" w:color="auto"/>
        <w:right w:val="none" w:sz="0" w:space="0" w:color="auto"/>
      </w:divBdr>
    </w:div>
    <w:div w:id="942808668">
      <w:bodyDiv w:val="1"/>
      <w:marLeft w:val="0"/>
      <w:marRight w:val="0"/>
      <w:marTop w:val="0"/>
      <w:marBottom w:val="0"/>
      <w:divBdr>
        <w:top w:val="none" w:sz="0" w:space="0" w:color="auto"/>
        <w:left w:val="none" w:sz="0" w:space="0" w:color="auto"/>
        <w:bottom w:val="none" w:sz="0" w:space="0" w:color="auto"/>
        <w:right w:val="none" w:sz="0" w:space="0" w:color="auto"/>
      </w:divBdr>
      <w:divsChild>
        <w:div w:id="532158468">
          <w:marLeft w:val="1166"/>
          <w:marRight w:val="0"/>
          <w:marTop w:val="115"/>
          <w:marBottom w:val="0"/>
          <w:divBdr>
            <w:top w:val="none" w:sz="0" w:space="0" w:color="auto"/>
            <w:left w:val="none" w:sz="0" w:space="0" w:color="auto"/>
            <w:bottom w:val="none" w:sz="0" w:space="0" w:color="auto"/>
            <w:right w:val="none" w:sz="0" w:space="0" w:color="auto"/>
          </w:divBdr>
        </w:div>
        <w:div w:id="1267427156">
          <w:marLeft w:val="1886"/>
          <w:marRight w:val="0"/>
          <w:marTop w:val="115"/>
          <w:marBottom w:val="0"/>
          <w:divBdr>
            <w:top w:val="none" w:sz="0" w:space="0" w:color="auto"/>
            <w:left w:val="none" w:sz="0" w:space="0" w:color="auto"/>
            <w:bottom w:val="none" w:sz="0" w:space="0" w:color="auto"/>
            <w:right w:val="none" w:sz="0" w:space="0" w:color="auto"/>
          </w:divBdr>
        </w:div>
        <w:div w:id="1508330569">
          <w:marLeft w:val="547"/>
          <w:marRight w:val="0"/>
          <w:marTop w:val="115"/>
          <w:marBottom w:val="0"/>
          <w:divBdr>
            <w:top w:val="none" w:sz="0" w:space="0" w:color="auto"/>
            <w:left w:val="none" w:sz="0" w:space="0" w:color="auto"/>
            <w:bottom w:val="none" w:sz="0" w:space="0" w:color="auto"/>
            <w:right w:val="none" w:sz="0" w:space="0" w:color="auto"/>
          </w:divBdr>
        </w:div>
      </w:divsChild>
    </w:div>
    <w:div w:id="943341952">
      <w:bodyDiv w:val="1"/>
      <w:marLeft w:val="0"/>
      <w:marRight w:val="0"/>
      <w:marTop w:val="0"/>
      <w:marBottom w:val="0"/>
      <w:divBdr>
        <w:top w:val="none" w:sz="0" w:space="0" w:color="auto"/>
        <w:left w:val="none" w:sz="0" w:space="0" w:color="auto"/>
        <w:bottom w:val="none" w:sz="0" w:space="0" w:color="auto"/>
        <w:right w:val="none" w:sz="0" w:space="0" w:color="auto"/>
      </w:divBdr>
    </w:div>
    <w:div w:id="943459068">
      <w:bodyDiv w:val="1"/>
      <w:marLeft w:val="0"/>
      <w:marRight w:val="0"/>
      <w:marTop w:val="0"/>
      <w:marBottom w:val="0"/>
      <w:divBdr>
        <w:top w:val="none" w:sz="0" w:space="0" w:color="auto"/>
        <w:left w:val="none" w:sz="0" w:space="0" w:color="auto"/>
        <w:bottom w:val="none" w:sz="0" w:space="0" w:color="auto"/>
        <w:right w:val="none" w:sz="0" w:space="0" w:color="auto"/>
      </w:divBdr>
    </w:div>
    <w:div w:id="943684665">
      <w:bodyDiv w:val="1"/>
      <w:marLeft w:val="0"/>
      <w:marRight w:val="0"/>
      <w:marTop w:val="0"/>
      <w:marBottom w:val="0"/>
      <w:divBdr>
        <w:top w:val="none" w:sz="0" w:space="0" w:color="auto"/>
        <w:left w:val="none" w:sz="0" w:space="0" w:color="auto"/>
        <w:bottom w:val="none" w:sz="0" w:space="0" w:color="auto"/>
        <w:right w:val="none" w:sz="0" w:space="0" w:color="auto"/>
      </w:divBdr>
    </w:div>
    <w:div w:id="943803151">
      <w:bodyDiv w:val="1"/>
      <w:marLeft w:val="0"/>
      <w:marRight w:val="0"/>
      <w:marTop w:val="0"/>
      <w:marBottom w:val="0"/>
      <w:divBdr>
        <w:top w:val="none" w:sz="0" w:space="0" w:color="auto"/>
        <w:left w:val="none" w:sz="0" w:space="0" w:color="auto"/>
        <w:bottom w:val="none" w:sz="0" w:space="0" w:color="auto"/>
        <w:right w:val="none" w:sz="0" w:space="0" w:color="auto"/>
      </w:divBdr>
      <w:divsChild>
        <w:div w:id="2053654608">
          <w:marLeft w:val="360"/>
          <w:marRight w:val="0"/>
          <w:marTop w:val="200"/>
          <w:marBottom w:val="0"/>
          <w:divBdr>
            <w:top w:val="none" w:sz="0" w:space="0" w:color="auto"/>
            <w:left w:val="none" w:sz="0" w:space="0" w:color="auto"/>
            <w:bottom w:val="none" w:sz="0" w:space="0" w:color="auto"/>
            <w:right w:val="none" w:sz="0" w:space="0" w:color="auto"/>
          </w:divBdr>
        </w:div>
      </w:divsChild>
    </w:div>
    <w:div w:id="944119799">
      <w:bodyDiv w:val="1"/>
      <w:marLeft w:val="0"/>
      <w:marRight w:val="0"/>
      <w:marTop w:val="0"/>
      <w:marBottom w:val="0"/>
      <w:divBdr>
        <w:top w:val="none" w:sz="0" w:space="0" w:color="auto"/>
        <w:left w:val="none" w:sz="0" w:space="0" w:color="auto"/>
        <w:bottom w:val="none" w:sz="0" w:space="0" w:color="auto"/>
        <w:right w:val="none" w:sz="0" w:space="0" w:color="auto"/>
      </w:divBdr>
      <w:divsChild>
        <w:div w:id="955939653">
          <w:marLeft w:val="547"/>
          <w:marRight w:val="0"/>
          <w:marTop w:val="96"/>
          <w:marBottom w:val="0"/>
          <w:divBdr>
            <w:top w:val="none" w:sz="0" w:space="0" w:color="auto"/>
            <w:left w:val="none" w:sz="0" w:space="0" w:color="auto"/>
            <w:bottom w:val="none" w:sz="0" w:space="0" w:color="auto"/>
            <w:right w:val="none" w:sz="0" w:space="0" w:color="auto"/>
          </w:divBdr>
        </w:div>
      </w:divsChild>
    </w:div>
    <w:div w:id="944730529">
      <w:bodyDiv w:val="1"/>
      <w:marLeft w:val="0"/>
      <w:marRight w:val="0"/>
      <w:marTop w:val="0"/>
      <w:marBottom w:val="0"/>
      <w:divBdr>
        <w:top w:val="none" w:sz="0" w:space="0" w:color="auto"/>
        <w:left w:val="none" w:sz="0" w:space="0" w:color="auto"/>
        <w:bottom w:val="none" w:sz="0" w:space="0" w:color="auto"/>
        <w:right w:val="none" w:sz="0" w:space="0" w:color="auto"/>
      </w:divBdr>
    </w:div>
    <w:div w:id="945118524">
      <w:bodyDiv w:val="1"/>
      <w:marLeft w:val="0"/>
      <w:marRight w:val="0"/>
      <w:marTop w:val="0"/>
      <w:marBottom w:val="0"/>
      <w:divBdr>
        <w:top w:val="none" w:sz="0" w:space="0" w:color="auto"/>
        <w:left w:val="none" w:sz="0" w:space="0" w:color="auto"/>
        <w:bottom w:val="none" w:sz="0" w:space="0" w:color="auto"/>
        <w:right w:val="none" w:sz="0" w:space="0" w:color="auto"/>
      </w:divBdr>
      <w:divsChild>
        <w:div w:id="184486707">
          <w:marLeft w:val="1166"/>
          <w:marRight w:val="0"/>
          <w:marTop w:val="96"/>
          <w:marBottom w:val="0"/>
          <w:divBdr>
            <w:top w:val="none" w:sz="0" w:space="0" w:color="auto"/>
            <w:left w:val="none" w:sz="0" w:space="0" w:color="auto"/>
            <w:bottom w:val="none" w:sz="0" w:space="0" w:color="auto"/>
            <w:right w:val="none" w:sz="0" w:space="0" w:color="auto"/>
          </w:divBdr>
        </w:div>
        <w:div w:id="313294654">
          <w:marLeft w:val="1166"/>
          <w:marRight w:val="0"/>
          <w:marTop w:val="96"/>
          <w:marBottom w:val="0"/>
          <w:divBdr>
            <w:top w:val="none" w:sz="0" w:space="0" w:color="auto"/>
            <w:left w:val="none" w:sz="0" w:space="0" w:color="auto"/>
            <w:bottom w:val="none" w:sz="0" w:space="0" w:color="auto"/>
            <w:right w:val="none" w:sz="0" w:space="0" w:color="auto"/>
          </w:divBdr>
        </w:div>
        <w:div w:id="832450949">
          <w:marLeft w:val="547"/>
          <w:marRight w:val="0"/>
          <w:marTop w:val="115"/>
          <w:marBottom w:val="0"/>
          <w:divBdr>
            <w:top w:val="none" w:sz="0" w:space="0" w:color="auto"/>
            <w:left w:val="none" w:sz="0" w:space="0" w:color="auto"/>
            <w:bottom w:val="none" w:sz="0" w:space="0" w:color="auto"/>
            <w:right w:val="none" w:sz="0" w:space="0" w:color="auto"/>
          </w:divBdr>
        </w:div>
        <w:div w:id="836268144">
          <w:marLeft w:val="547"/>
          <w:marRight w:val="0"/>
          <w:marTop w:val="115"/>
          <w:marBottom w:val="0"/>
          <w:divBdr>
            <w:top w:val="none" w:sz="0" w:space="0" w:color="auto"/>
            <w:left w:val="none" w:sz="0" w:space="0" w:color="auto"/>
            <w:bottom w:val="none" w:sz="0" w:space="0" w:color="auto"/>
            <w:right w:val="none" w:sz="0" w:space="0" w:color="auto"/>
          </w:divBdr>
        </w:div>
        <w:div w:id="1077630380">
          <w:marLeft w:val="547"/>
          <w:marRight w:val="0"/>
          <w:marTop w:val="115"/>
          <w:marBottom w:val="0"/>
          <w:divBdr>
            <w:top w:val="none" w:sz="0" w:space="0" w:color="auto"/>
            <w:left w:val="none" w:sz="0" w:space="0" w:color="auto"/>
            <w:bottom w:val="none" w:sz="0" w:space="0" w:color="auto"/>
            <w:right w:val="none" w:sz="0" w:space="0" w:color="auto"/>
          </w:divBdr>
        </w:div>
        <w:div w:id="1548296289">
          <w:marLeft w:val="1166"/>
          <w:marRight w:val="0"/>
          <w:marTop w:val="96"/>
          <w:marBottom w:val="0"/>
          <w:divBdr>
            <w:top w:val="none" w:sz="0" w:space="0" w:color="auto"/>
            <w:left w:val="none" w:sz="0" w:space="0" w:color="auto"/>
            <w:bottom w:val="none" w:sz="0" w:space="0" w:color="auto"/>
            <w:right w:val="none" w:sz="0" w:space="0" w:color="auto"/>
          </w:divBdr>
        </w:div>
      </w:divsChild>
    </w:div>
    <w:div w:id="946037088">
      <w:bodyDiv w:val="1"/>
      <w:marLeft w:val="0"/>
      <w:marRight w:val="0"/>
      <w:marTop w:val="0"/>
      <w:marBottom w:val="0"/>
      <w:divBdr>
        <w:top w:val="none" w:sz="0" w:space="0" w:color="auto"/>
        <w:left w:val="none" w:sz="0" w:space="0" w:color="auto"/>
        <w:bottom w:val="none" w:sz="0" w:space="0" w:color="auto"/>
        <w:right w:val="none" w:sz="0" w:space="0" w:color="auto"/>
      </w:divBdr>
    </w:div>
    <w:div w:id="946160037">
      <w:bodyDiv w:val="1"/>
      <w:marLeft w:val="0"/>
      <w:marRight w:val="0"/>
      <w:marTop w:val="0"/>
      <w:marBottom w:val="0"/>
      <w:divBdr>
        <w:top w:val="none" w:sz="0" w:space="0" w:color="auto"/>
        <w:left w:val="none" w:sz="0" w:space="0" w:color="auto"/>
        <w:bottom w:val="none" w:sz="0" w:space="0" w:color="auto"/>
        <w:right w:val="none" w:sz="0" w:space="0" w:color="auto"/>
      </w:divBdr>
    </w:div>
    <w:div w:id="946692174">
      <w:bodyDiv w:val="1"/>
      <w:marLeft w:val="0"/>
      <w:marRight w:val="0"/>
      <w:marTop w:val="0"/>
      <w:marBottom w:val="0"/>
      <w:divBdr>
        <w:top w:val="none" w:sz="0" w:space="0" w:color="auto"/>
        <w:left w:val="none" w:sz="0" w:space="0" w:color="auto"/>
        <w:bottom w:val="none" w:sz="0" w:space="0" w:color="auto"/>
        <w:right w:val="none" w:sz="0" w:space="0" w:color="auto"/>
      </w:divBdr>
    </w:div>
    <w:div w:id="946884426">
      <w:bodyDiv w:val="1"/>
      <w:marLeft w:val="0"/>
      <w:marRight w:val="0"/>
      <w:marTop w:val="0"/>
      <w:marBottom w:val="0"/>
      <w:divBdr>
        <w:top w:val="none" w:sz="0" w:space="0" w:color="auto"/>
        <w:left w:val="none" w:sz="0" w:space="0" w:color="auto"/>
        <w:bottom w:val="none" w:sz="0" w:space="0" w:color="auto"/>
        <w:right w:val="none" w:sz="0" w:space="0" w:color="auto"/>
      </w:divBdr>
    </w:div>
    <w:div w:id="947085394">
      <w:bodyDiv w:val="1"/>
      <w:marLeft w:val="0"/>
      <w:marRight w:val="0"/>
      <w:marTop w:val="0"/>
      <w:marBottom w:val="0"/>
      <w:divBdr>
        <w:top w:val="none" w:sz="0" w:space="0" w:color="auto"/>
        <w:left w:val="none" w:sz="0" w:space="0" w:color="auto"/>
        <w:bottom w:val="none" w:sz="0" w:space="0" w:color="auto"/>
        <w:right w:val="none" w:sz="0" w:space="0" w:color="auto"/>
      </w:divBdr>
      <w:divsChild>
        <w:div w:id="271790674">
          <w:marLeft w:val="547"/>
          <w:marRight w:val="0"/>
          <w:marTop w:val="115"/>
          <w:marBottom w:val="0"/>
          <w:divBdr>
            <w:top w:val="none" w:sz="0" w:space="0" w:color="auto"/>
            <w:left w:val="none" w:sz="0" w:space="0" w:color="auto"/>
            <w:bottom w:val="none" w:sz="0" w:space="0" w:color="auto"/>
            <w:right w:val="none" w:sz="0" w:space="0" w:color="auto"/>
          </w:divBdr>
        </w:div>
        <w:div w:id="602418494">
          <w:marLeft w:val="1166"/>
          <w:marRight w:val="0"/>
          <w:marTop w:val="96"/>
          <w:marBottom w:val="0"/>
          <w:divBdr>
            <w:top w:val="none" w:sz="0" w:space="0" w:color="auto"/>
            <w:left w:val="none" w:sz="0" w:space="0" w:color="auto"/>
            <w:bottom w:val="none" w:sz="0" w:space="0" w:color="auto"/>
            <w:right w:val="none" w:sz="0" w:space="0" w:color="auto"/>
          </w:divBdr>
        </w:div>
        <w:div w:id="1520310599">
          <w:marLeft w:val="1800"/>
          <w:marRight w:val="0"/>
          <w:marTop w:val="96"/>
          <w:marBottom w:val="0"/>
          <w:divBdr>
            <w:top w:val="none" w:sz="0" w:space="0" w:color="auto"/>
            <w:left w:val="none" w:sz="0" w:space="0" w:color="auto"/>
            <w:bottom w:val="none" w:sz="0" w:space="0" w:color="auto"/>
            <w:right w:val="none" w:sz="0" w:space="0" w:color="auto"/>
          </w:divBdr>
        </w:div>
      </w:divsChild>
    </w:div>
    <w:div w:id="947276101">
      <w:bodyDiv w:val="1"/>
      <w:marLeft w:val="0"/>
      <w:marRight w:val="0"/>
      <w:marTop w:val="0"/>
      <w:marBottom w:val="0"/>
      <w:divBdr>
        <w:top w:val="none" w:sz="0" w:space="0" w:color="auto"/>
        <w:left w:val="none" w:sz="0" w:space="0" w:color="auto"/>
        <w:bottom w:val="none" w:sz="0" w:space="0" w:color="auto"/>
        <w:right w:val="none" w:sz="0" w:space="0" w:color="auto"/>
      </w:divBdr>
    </w:div>
    <w:div w:id="948439499">
      <w:bodyDiv w:val="1"/>
      <w:marLeft w:val="0"/>
      <w:marRight w:val="0"/>
      <w:marTop w:val="0"/>
      <w:marBottom w:val="0"/>
      <w:divBdr>
        <w:top w:val="none" w:sz="0" w:space="0" w:color="auto"/>
        <w:left w:val="none" w:sz="0" w:space="0" w:color="auto"/>
        <w:bottom w:val="none" w:sz="0" w:space="0" w:color="auto"/>
        <w:right w:val="none" w:sz="0" w:space="0" w:color="auto"/>
      </w:divBdr>
    </w:div>
    <w:div w:id="948656371">
      <w:bodyDiv w:val="1"/>
      <w:marLeft w:val="0"/>
      <w:marRight w:val="0"/>
      <w:marTop w:val="0"/>
      <w:marBottom w:val="0"/>
      <w:divBdr>
        <w:top w:val="none" w:sz="0" w:space="0" w:color="auto"/>
        <w:left w:val="none" w:sz="0" w:space="0" w:color="auto"/>
        <w:bottom w:val="none" w:sz="0" w:space="0" w:color="auto"/>
        <w:right w:val="none" w:sz="0" w:space="0" w:color="auto"/>
      </w:divBdr>
      <w:divsChild>
        <w:div w:id="682511258">
          <w:marLeft w:val="1166"/>
          <w:marRight w:val="0"/>
          <w:marTop w:val="125"/>
          <w:marBottom w:val="0"/>
          <w:divBdr>
            <w:top w:val="none" w:sz="0" w:space="0" w:color="auto"/>
            <w:left w:val="none" w:sz="0" w:space="0" w:color="auto"/>
            <w:bottom w:val="none" w:sz="0" w:space="0" w:color="auto"/>
            <w:right w:val="none" w:sz="0" w:space="0" w:color="auto"/>
          </w:divBdr>
        </w:div>
        <w:div w:id="684475750">
          <w:marLeft w:val="1800"/>
          <w:marRight w:val="0"/>
          <w:marTop w:val="106"/>
          <w:marBottom w:val="0"/>
          <w:divBdr>
            <w:top w:val="none" w:sz="0" w:space="0" w:color="auto"/>
            <w:left w:val="none" w:sz="0" w:space="0" w:color="auto"/>
            <w:bottom w:val="none" w:sz="0" w:space="0" w:color="auto"/>
            <w:right w:val="none" w:sz="0" w:space="0" w:color="auto"/>
          </w:divBdr>
        </w:div>
        <w:div w:id="692613885">
          <w:marLeft w:val="1800"/>
          <w:marRight w:val="0"/>
          <w:marTop w:val="106"/>
          <w:marBottom w:val="0"/>
          <w:divBdr>
            <w:top w:val="none" w:sz="0" w:space="0" w:color="auto"/>
            <w:left w:val="none" w:sz="0" w:space="0" w:color="auto"/>
            <w:bottom w:val="none" w:sz="0" w:space="0" w:color="auto"/>
            <w:right w:val="none" w:sz="0" w:space="0" w:color="auto"/>
          </w:divBdr>
        </w:div>
        <w:div w:id="750354042">
          <w:marLeft w:val="1166"/>
          <w:marRight w:val="0"/>
          <w:marTop w:val="125"/>
          <w:marBottom w:val="0"/>
          <w:divBdr>
            <w:top w:val="none" w:sz="0" w:space="0" w:color="auto"/>
            <w:left w:val="none" w:sz="0" w:space="0" w:color="auto"/>
            <w:bottom w:val="none" w:sz="0" w:space="0" w:color="auto"/>
            <w:right w:val="none" w:sz="0" w:space="0" w:color="auto"/>
          </w:divBdr>
        </w:div>
        <w:div w:id="1361206747">
          <w:marLeft w:val="1166"/>
          <w:marRight w:val="0"/>
          <w:marTop w:val="125"/>
          <w:marBottom w:val="0"/>
          <w:divBdr>
            <w:top w:val="none" w:sz="0" w:space="0" w:color="auto"/>
            <w:left w:val="none" w:sz="0" w:space="0" w:color="auto"/>
            <w:bottom w:val="none" w:sz="0" w:space="0" w:color="auto"/>
            <w:right w:val="none" w:sz="0" w:space="0" w:color="auto"/>
          </w:divBdr>
        </w:div>
        <w:div w:id="1445614344">
          <w:marLeft w:val="547"/>
          <w:marRight w:val="0"/>
          <w:marTop w:val="144"/>
          <w:marBottom w:val="0"/>
          <w:divBdr>
            <w:top w:val="none" w:sz="0" w:space="0" w:color="auto"/>
            <w:left w:val="none" w:sz="0" w:space="0" w:color="auto"/>
            <w:bottom w:val="none" w:sz="0" w:space="0" w:color="auto"/>
            <w:right w:val="none" w:sz="0" w:space="0" w:color="auto"/>
          </w:divBdr>
        </w:div>
      </w:divsChild>
    </w:div>
    <w:div w:id="949438199">
      <w:bodyDiv w:val="1"/>
      <w:marLeft w:val="0"/>
      <w:marRight w:val="0"/>
      <w:marTop w:val="0"/>
      <w:marBottom w:val="0"/>
      <w:divBdr>
        <w:top w:val="none" w:sz="0" w:space="0" w:color="auto"/>
        <w:left w:val="none" w:sz="0" w:space="0" w:color="auto"/>
        <w:bottom w:val="none" w:sz="0" w:space="0" w:color="auto"/>
        <w:right w:val="none" w:sz="0" w:space="0" w:color="auto"/>
      </w:divBdr>
    </w:div>
    <w:div w:id="949556186">
      <w:bodyDiv w:val="1"/>
      <w:marLeft w:val="0"/>
      <w:marRight w:val="0"/>
      <w:marTop w:val="0"/>
      <w:marBottom w:val="0"/>
      <w:divBdr>
        <w:top w:val="none" w:sz="0" w:space="0" w:color="auto"/>
        <w:left w:val="none" w:sz="0" w:space="0" w:color="auto"/>
        <w:bottom w:val="none" w:sz="0" w:space="0" w:color="auto"/>
        <w:right w:val="none" w:sz="0" w:space="0" w:color="auto"/>
      </w:divBdr>
      <w:divsChild>
        <w:div w:id="55860907">
          <w:marLeft w:val="547"/>
          <w:marRight w:val="0"/>
          <w:marTop w:val="134"/>
          <w:marBottom w:val="0"/>
          <w:divBdr>
            <w:top w:val="none" w:sz="0" w:space="0" w:color="auto"/>
            <w:left w:val="none" w:sz="0" w:space="0" w:color="auto"/>
            <w:bottom w:val="none" w:sz="0" w:space="0" w:color="auto"/>
            <w:right w:val="none" w:sz="0" w:space="0" w:color="auto"/>
          </w:divBdr>
        </w:div>
        <w:div w:id="519857975">
          <w:marLeft w:val="1800"/>
          <w:marRight w:val="0"/>
          <w:marTop w:val="96"/>
          <w:marBottom w:val="0"/>
          <w:divBdr>
            <w:top w:val="none" w:sz="0" w:space="0" w:color="auto"/>
            <w:left w:val="none" w:sz="0" w:space="0" w:color="auto"/>
            <w:bottom w:val="none" w:sz="0" w:space="0" w:color="auto"/>
            <w:right w:val="none" w:sz="0" w:space="0" w:color="auto"/>
          </w:divBdr>
        </w:div>
        <w:div w:id="702901023">
          <w:marLeft w:val="1166"/>
          <w:marRight w:val="0"/>
          <w:marTop w:val="115"/>
          <w:marBottom w:val="0"/>
          <w:divBdr>
            <w:top w:val="none" w:sz="0" w:space="0" w:color="auto"/>
            <w:left w:val="none" w:sz="0" w:space="0" w:color="auto"/>
            <w:bottom w:val="none" w:sz="0" w:space="0" w:color="auto"/>
            <w:right w:val="none" w:sz="0" w:space="0" w:color="auto"/>
          </w:divBdr>
        </w:div>
        <w:div w:id="747188821">
          <w:marLeft w:val="1166"/>
          <w:marRight w:val="0"/>
          <w:marTop w:val="115"/>
          <w:marBottom w:val="0"/>
          <w:divBdr>
            <w:top w:val="none" w:sz="0" w:space="0" w:color="auto"/>
            <w:left w:val="none" w:sz="0" w:space="0" w:color="auto"/>
            <w:bottom w:val="none" w:sz="0" w:space="0" w:color="auto"/>
            <w:right w:val="none" w:sz="0" w:space="0" w:color="auto"/>
          </w:divBdr>
        </w:div>
        <w:div w:id="1137575035">
          <w:marLeft w:val="1166"/>
          <w:marRight w:val="0"/>
          <w:marTop w:val="115"/>
          <w:marBottom w:val="0"/>
          <w:divBdr>
            <w:top w:val="none" w:sz="0" w:space="0" w:color="auto"/>
            <w:left w:val="none" w:sz="0" w:space="0" w:color="auto"/>
            <w:bottom w:val="none" w:sz="0" w:space="0" w:color="auto"/>
            <w:right w:val="none" w:sz="0" w:space="0" w:color="auto"/>
          </w:divBdr>
        </w:div>
        <w:div w:id="1381439245">
          <w:marLeft w:val="1166"/>
          <w:marRight w:val="0"/>
          <w:marTop w:val="115"/>
          <w:marBottom w:val="0"/>
          <w:divBdr>
            <w:top w:val="none" w:sz="0" w:space="0" w:color="auto"/>
            <w:left w:val="none" w:sz="0" w:space="0" w:color="auto"/>
            <w:bottom w:val="none" w:sz="0" w:space="0" w:color="auto"/>
            <w:right w:val="none" w:sz="0" w:space="0" w:color="auto"/>
          </w:divBdr>
        </w:div>
        <w:div w:id="1431201578">
          <w:marLeft w:val="1800"/>
          <w:marRight w:val="0"/>
          <w:marTop w:val="96"/>
          <w:marBottom w:val="0"/>
          <w:divBdr>
            <w:top w:val="none" w:sz="0" w:space="0" w:color="auto"/>
            <w:left w:val="none" w:sz="0" w:space="0" w:color="auto"/>
            <w:bottom w:val="none" w:sz="0" w:space="0" w:color="auto"/>
            <w:right w:val="none" w:sz="0" w:space="0" w:color="auto"/>
          </w:divBdr>
        </w:div>
        <w:div w:id="1616788956">
          <w:marLeft w:val="1166"/>
          <w:marRight w:val="0"/>
          <w:marTop w:val="115"/>
          <w:marBottom w:val="0"/>
          <w:divBdr>
            <w:top w:val="none" w:sz="0" w:space="0" w:color="auto"/>
            <w:left w:val="none" w:sz="0" w:space="0" w:color="auto"/>
            <w:bottom w:val="none" w:sz="0" w:space="0" w:color="auto"/>
            <w:right w:val="none" w:sz="0" w:space="0" w:color="auto"/>
          </w:divBdr>
        </w:div>
        <w:div w:id="2122214168">
          <w:marLeft w:val="1166"/>
          <w:marRight w:val="0"/>
          <w:marTop w:val="115"/>
          <w:marBottom w:val="0"/>
          <w:divBdr>
            <w:top w:val="none" w:sz="0" w:space="0" w:color="auto"/>
            <w:left w:val="none" w:sz="0" w:space="0" w:color="auto"/>
            <w:bottom w:val="none" w:sz="0" w:space="0" w:color="auto"/>
            <w:right w:val="none" w:sz="0" w:space="0" w:color="auto"/>
          </w:divBdr>
        </w:div>
      </w:divsChild>
    </w:div>
    <w:div w:id="949750462">
      <w:bodyDiv w:val="1"/>
      <w:marLeft w:val="0"/>
      <w:marRight w:val="0"/>
      <w:marTop w:val="0"/>
      <w:marBottom w:val="0"/>
      <w:divBdr>
        <w:top w:val="none" w:sz="0" w:space="0" w:color="auto"/>
        <w:left w:val="none" w:sz="0" w:space="0" w:color="auto"/>
        <w:bottom w:val="none" w:sz="0" w:space="0" w:color="auto"/>
        <w:right w:val="none" w:sz="0" w:space="0" w:color="auto"/>
      </w:divBdr>
    </w:div>
    <w:div w:id="950211607">
      <w:bodyDiv w:val="1"/>
      <w:marLeft w:val="0"/>
      <w:marRight w:val="0"/>
      <w:marTop w:val="0"/>
      <w:marBottom w:val="0"/>
      <w:divBdr>
        <w:top w:val="none" w:sz="0" w:space="0" w:color="auto"/>
        <w:left w:val="none" w:sz="0" w:space="0" w:color="auto"/>
        <w:bottom w:val="none" w:sz="0" w:space="0" w:color="auto"/>
        <w:right w:val="none" w:sz="0" w:space="0" w:color="auto"/>
      </w:divBdr>
    </w:div>
    <w:div w:id="950864831">
      <w:bodyDiv w:val="1"/>
      <w:marLeft w:val="0"/>
      <w:marRight w:val="0"/>
      <w:marTop w:val="0"/>
      <w:marBottom w:val="0"/>
      <w:divBdr>
        <w:top w:val="none" w:sz="0" w:space="0" w:color="auto"/>
        <w:left w:val="none" w:sz="0" w:space="0" w:color="auto"/>
        <w:bottom w:val="none" w:sz="0" w:space="0" w:color="auto"/>
        <w:right w:val="none" w:sz="0" w:space="0" w:color="auto"/>
      </w:divBdr>
    </w:div>
    <w:div w:id="951474107">
      <w:bodyDiv w:val="1"/>
      <w:marLeft w:val="0"/>
      <w:marRight w:val="0"/>
      <w:marTop w:val="0"/>
      <w:marBottom w:val="0"/>
      <w:divBdr>
        <w:top w:val="none" w:sz="0" w:space="0" w:color="auto"/>
        <w:left w:val="none" w:sz="0" w:space="0" w:color="auto"/>
        <w:bottom w:val="none" w:sz="0" w:space="0" w:color="auto"/>
        <w:right w:val="none" w:sz="0" w:space="0" w:color="auto"/>
      </w:divBdr>
    </w:div>
    <w:div w:id="951975993">
      <w:bodyDiv w:val="1"/>
      <w:marLeft w:val="0"/>
      <w:marRight w:val="0"/>
      <w:marTop w:val="0"/>
      <w:marBottom w:val="0"/>
      <w:divBdr>
        <w:top w:val="none" w:sz="0" w:space="0" w:color="auto"/>
        <w:left w:val="none" w:sz="0" w:space="0" w:color="auto"/>
        <w:bottom w:val="none" w:sz="0" w:space="0" w:color="auto"/>
        <w:right w:val="none" w:sz="0" w:space="0" w:color="auto"/>
      </w:divBdr>
    </w:div>
    <w:div w:id="952177017">
      <w:bodyDiv w:val="1"/>
      <w:marLeft w:val="0"/>
      <w:marRight w:val="0"/>
      <w:marTop w:val="0"/>
      <w:marBottom w:val="0"/>
      <w:divBdr>
        <w:top w:val="none" w:sz="0" w:space="0" w:color="auto"/>
        <w:left w:val="none" w:sz="0" w:space="0" w:color="auto"/>
        <w:bottom w:val="none" w:sz="0" w:space="0" w:color="auto"/>
        <w:right w:val="none" w:sz="0" w:space="0" w:color="auto"/>
      </w:divBdr>
    </w:div>
    <w:div w:id="952201368">
      <w:bodyDiv w:val="1"/>
      <w:marLeft w:val="0"/>
      <w:marRight w:val="0"/>
      <w:marTop w:val="0"/>
      <w:marBottom w:val="0"/>
      <w:divBdr>
        <w:top w:val="none" w:sz="0" w:space="0" w:color="auto"/>
        <w:left w:val="none" w:sz="0" w:space="0" w:color="auto"/>
        <w:bottom w:val="none" w:sz="0" w:space="0" w:color="auto"/>
        <w:right w:val="none" w:sz="0" w:space="0" w:color="auto"/>
      </w:divBdr>
    </w:div>
    <w:div w:id="952400838">
      <w:bodyDiv w:val="1"/>
      <w:marLeft w:val="0"/>
      <w:marRight w:val="0"/>
      <w:marTop w:val="0"/>
      <w:marBottom w:val="0"/>
      <w:divBdr>
        <w:top w:val="none" w:sz="0" w:space="0" w:color="auto"/>
        <w:left w:val="none" w:sz="0" w:space="0" w:color="auto"/>
        <w:bottom w:val="none" w:sz="0" w:space="0" w:color="auto"/>
        <w:right w:val="none" w:sz="0" w:space="0" w:color="auto"/>
      </w:divBdr>
    </w:div>
    <w:div w:id="952830383">
      <w:bodyDiv w:val="1"/>
      <w:marLeft w:val="0"/>
      <w:marRight w:val="0"/>
      <w:marTop w:val="0"/>
      <w:marBottom w:val="0"/>
      <w:divBdr>
        <w:top w:val="none" w:sz="0" w:space="0" w:color="auto"/>
        <w:left w:val="none" w:sz="0" w:space="0" w:color="auto"/>
        <w:bottom w:val="none" w:sz="0" w:space="0" w:color="auto"/>
        <w:right w:val="none" w:sz="0" w:space="0" w:color="auto"/>
      </w:divBdr>
      <w:divsChild>
        <w:div w:id="542252611">
          <w:marLeft w:val="547"/>
          <w:marRight w:val="0"/>
          <w:marTop w:val="154"/>
          <w:marBottom w:val="0"/>
          <w:divBdr>
            <w:top w:val="none" w:sz="0" w:space="0" w:color="auto"/>
            <w:left w:val="none" w:sz="0" w:space="0" w:color="auto"/>
            <w:bottom w:val="none" w:sz="0" w:space="0" w:color="auto"/>
            <w:right w:val="none" w:sz="0" w:space="0" w:color="auto"/>
          </w:divBdr>
        </w:div>
        <w:div w:id="1455252439">
          <w:marLeft w:val="547"/>
          <w:marRight w:val="0"/>
          <w:marTop w:val="154"/>
          <w:marBottom w:val="0"/>
          <w:divBdr>
            <w:top w:val="none" w:sz="0" w:space="0" w:color="auto"/>
            <w:left w:val="none" w:sz="0" w:space="0" w:color="auto"/>
            <w:bottom w:val="none" w:sz="0" w:space="0" w:color="auto"/>
            <w:right w:val="none" w:sz="0" w:space="0" w:color="auto"/>
          </w:divBdr>
        </w:div>
        <w:div w:id="1525053323">
          <w:marLeft w:val="547"/>
          <w:marRight w:val="0"/>
          <w:marTop w:val="154"/>
          <w:marBottom w:val="0"/>
          <w:divBdr>
            <w:top w:val="none" w:sz="0" w:space="0" w:color="auto"/>
            <w:left w:val="none" w:sz="0" w:space="0" w:color="auto"/>
            <w:bottom w:val="none" w:sz="0" w:space="0" w:color="auto"/>
            <w:right w:val="none" w:sz="0" w:space="0" w:color="auto"/>
          </w:divBdr>
        </w:div>
      </w:divsChild>
    </w:div>
    <w:div w:id="952902161">
      <w:bodyDiv w:val="1"/>
      <w:marLeft w:val="0"/>
      <w:marRight w:val="0"/>
      <w:marTop w:val="0"/>
      <w:marBottom w:val="0"/>
      <w:divBdr>
        <w:top w:val="none" w:sz="0" w:space="0" w:color="auto"/>
        <w:left w:val="none" w:sz="0" w:space="0" w:color="auto"/>
        <w:bottom w:val="none" w:sz="0" w:space="0" w:color="auto"/>
        <w:right w:val="none" w:sz="0" w:space="0" w:color="auto"/>
      </w:divBdr>
      <w:divsChild>
        <w:div w:id="157884923">
          <w:marLeft w:val="0"/>
          <w:marRight w:val="0"/>
          <w:marTop w:val="0"/>
          <w:marBottom w:val="0"/>
          <w:divBdr>
            <w:top w:val="none" w:sz="0" w:space="0" w:color="auto"/>
            <w:left w:val="none" w:sz="0" w:space="0" w:color="auto"/>
            <w:bottom w:val="none" w:sz="0" w:space="0" w:color="auto"/>
            <w:right w:val="none" w:sz="0" w:space="0" w:color="auto"/>
          </w:divBdr>
          <w:divsChild>
            <w:div w:id="994410462">
              <w:marLeft w:val="0"/>
              <w:marRight w:val="0"/>
              <w:marTop w:val="0"/>
              <w:marBottom w:val="0"/>
              <w:divBdr>
                <w:top w:val="none" w:sz="0" w:space="0" w:color="auto"/>
                <w:left w:val="none" w:sz="0" w:space="0" w:color="auto"/>
                <w:bottom w:val="none" w:sz="0" w:space="0" w:color="auto"/>
                <w:right w:val="none" w:sz="0" w:space="0" w:color="auto"/>
              </w:divBdr>
            </w:div>
            <w:div w:id="19735595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53706897">
      <w:bodyDiv w:val="1"/>
      <w:marLeft w:val="0"/>
      <w:marRight w:val="0"/>
      <w:marTop w:val="0"/>
      <w:marBottom w:val="0"/>
      <w:divBdr>
        <w:top w:val="none" w:sz="0" w:space="0" w:color="auto"/>
        <w:left w:val="none" w:sz="0" w:space="0" w:color="auto"/>
        <w:bottom w:val="none" w:sz="0" w:space="0" w:color="auto"/>
        <w:right w:val="none" w:sz="0" w:space="0" w:color="auto"/>
      </w:divBdr>
    </w:div>
    <w:div w:id="954555521">
      <w:bodyDiv w:val="1"/>
      <w:marLeft w:val="0"/>
      <w:marRight w:val="0"/>
      <w:marTop w:val="0"/>
      <w:marBottom w:val="0"/>
      <w:divBdr>
        <w:top w:val="none" w:sz="0" w:space="0" w:color="auto"/>
        <w:left w:val="none" w:sz="0" w:space="0" w:color="auto"/>
        <w:bottom w:val="none" w:sz="0" w:space="0" w:color="auto"/>
        <w:right w:val="none" w:sz="0" w:space="0" w:color="auto"/>
      </w:divBdr>
    </w:div>
    <w:div w:id="955719729">
      <w:bodyDiv w:val="1"/>
      <w:marLeft w:val="0"/>
      <w:marRight w:val="0"/>
      <w:marTop w:val="0"/>
      <w:marBottom w:val="0"/>
      <w:divBdr>
        <w:top w:val="none" w:sz="0" w:space="0" w:color="auto"/>
        <w:left w:val="none" w:sz="0" w:space="0" w:color="auto"/>
        <w:bottom w:val="none" w:sz="0" w:space="0" w:color="auto"/>
        <w:right w:val="none" w:sz="0" w:space="0" w:color="auto"/>
      </w:divBdr>
    </w:div>
    <w:div w:id="956065642">
      <w:bodyDiv w:val="1"/>
      <w:marLeft w:val="0"/>
      <w:marRight w:val="0"/>
      <w:marTop w:val="0"/>
      <w:marBottom w:val="0"/>
      <w:divBdr>
        <w:top w:val="none" w:sz="0" w:space="0" w:color="auto"/>
        <w:left w:val="none" w:sz="0" w:space="0" w:color="auto"/>
        <w:bottom w:val="none" w:sz="0" w:space="0" w:color="auto"/>
        <w:right w:val="none" w:sz="0" w:space="0" w:color="auto"/>
      </w:divBdr>
    </w:div>
    <w:div w:id="956066213">
      <w:bodyDiv w:val="1"/>
      <w:marLeft w:val="0"/>
      <w:marRight w:val="0"/>
      <w:marTop w:val="0"/>
      <w:marBottom w:val="0"/>
      <w:divBdr>
        <w:top w:val="none" w:sz="0" w:space="0" w:color="auto"/>
        <w:left w:val="none" w:sz="0" w:space="0" w:color="auto"/>
        <w:bottom w:val="none" w:sz="0" w:space="0" w:color="auto"/>
        <w:right w:val="none" w:sz="0" w:space="0" w:color="auto"/>
      </w:divBdr>
    </w:div>
    <w:div w:id="956254679">
      <w:bodyDiv w:val="1"/>
      <w:marLeft w:val="0"/>
      <w:marRight w:val="0"/>
      <w:marTop w:val="0"/>
      <w:marBottom w:val="0"/>
      <w:divBdr>
        <w:top w:val="none" w:sz="0" w:space="0" w:color="auto"/>
        <w:left w:val="none" w:sz="0" w:space="0" w:color="auto"/>
        <w:bottom w:val="none" w:sz="0" w:space="0" w:color="auto"/>
        <w:right w:val="none" w:sz="0" w:space="0" w:color="auto"/>
      </w:divBdr>
    </w:div>
    <w:div w:id="956643721">
      <w:bodyDiv w:val="1"/>
      <w:marLeft w:val="0"/>
      <w:marRight w:val="0"/>
      <w:marTop w:val="0"/>
      <w:marBottom w:val="0"/>
      <w:divBdr>
        <w:top w:val="none" w:sz="0" w:space="0" w:color="auto"/>
        <w:left w:val="none" w:sz="0" w:space="0" w:color="auto"/>
        <w:bottom w:val="none" w:sz="0" w:space="0" w:color="auto"/>
        <w:right w:val="none" w:sz="0" w:space="0" w:color="auto"/>
      </w:divBdr>
    </w:div>
    <w:div w:id="956646275">
      <w:bodyDiv w:val="1"/>
      <w:marLeft w:val="0"/>
      <w:marRight w:val="0"/>
      <w:marTop w:val="0"/>
      <w:marBottom w:val="0"/>
      <w:divBdr>
        <w:top w:val="none" w:sz="0" w:space="0" w:color="auto"/>
        <w:left w:val="none" w:sz="0" w:space="0" w:color="auto"/>
        <w:bottom w:val="none" w:sz="0" w:space="0" w:color="auto"/>
        <w:right w:val="none" w:sz="0" w:space="0" w:color="auto"/>
      </w:divBdr>
    </w:div>
    <w:div w:id="956788365">
      <w:bodyDiv w:val="1"/>
      <w:marLeft w:val="0"/>
      <w:marRight w:val="0"/>
      <w:marTop w:val="0"/>
      <w:marBottom w:val="0"/>
      <w:divBdr>
        <w:top w:val="none" w:sz="0" w:space="0" w:color="auto"/>
        <w:left w:val="none" w:sz="0" w:space="0" w:color="auto"/>
        <w:bottom w:val="none" w:sz="0" w:space="0" w:color="auto"/>
        <w:right w:val="none" w:sz="0" w:space="0" w:color="auto"/>
      </w:divBdr>
      <w:divsChild>
        <w:div w:id="1989356345">
          <w:marLeft w:val="0"/>
          <w:marRight w:val="0"/>
          <w:marTop w:val="0"/>
          <w:marBottom w:val="0"/>
          <w:divBdr>
            <w:top w:val="none" w:sz="0" w:space="0" w:color="auto"/>
            <w:left w:val="none" w:sz="0" w:space="0" w:color="auto"/>
            <w:bottom w:val="none" w:sz="0" w:space="0" w:color="auto"/>
            <w:right w:val="none" w:sz="0" w:space="0" w:color="auto"/>
          </w:divBdr>
          <w:divsChild>
            <w:div w:id="503204632">
              <w:marLeft w:val="0"/>
              <w:marRight w:val="0"/>
              <w:marTop w:val="0"/>
              <w:marBottom w:val="0"/>
              <w:divBdr>
                <w:top w:val="none" w:sz="0" w:space="0" w:color="auto"/>
                <w:left w:val="none" w:sz="0" w:space="0" w:color="auto"/>
                <w:bottom w:val="none" w:sz="0" w:space="0" w:color="auto"/>
                <w:right w:val="none" w:sz="0" w:space="0" w:color="auto"/>
              </w:divBdr>
            </w:div>
            <w:div w:id="808519702">
              <w:marLeft w:val="0"/>
              <w:marRight w:val="0"/>
              <w:marTop w:val="0"/>
              <w:marBottom w:val="0"/>
              <w:divBdr>
                <w:top w:val="none" w:sz="0" w:space="0" w:color="auto"/>
                <w:left w:val="none" w:sz="0" w:space="0" w:color="auto"/>
                <w:bottom w:val="none" w:sz="0" w:space="0" w:color="auto"/>
                <w:right w:val="none" w:sz="0" w:space="0" w:color="auto"/>
              </w:divBdr>
            </w:div>
            <w:div w:id="1027298338">
              <w:marLeft w:val="0"/>
              <w:marRight w:val="0"/>
              <w:marTop w:val="0"/>
              <w:marBottom w:val="0"/>
              <w:divBdr>
                <w:top w:val="none" w:sz="0" w:space="0" w:color="auto"/>
                <w:left w:val="none" w:sz="0" w:space="0" w:color="auto"/>
                <w:bottom w:val="none" w:sz="0" w:space="0" w:color="auto"/>
                <w:right w:val="none" w:sz="0" w:space="0" w:color="auto"/>
              </w:divBdr>
            </w:div>
            <w:div w:id="1236940157">
              <w:marLeft w:val="0"/>
              <w:marRight w:val="0"/>
              <w:marTop w:val="0"/>
              <w:marBottom w:val="0"/>
              <w:divBdr>
                <w:top w:val="none" w:sz="0" w:space="0" w:color="auto"/>
                <w:left w:val="none" w:sz="0" w:space="0" w:color="auto"/>
                <w:bottom w:val="none" w:sz="0" w:space="0" w:color="auto"/>
                <w:right w:val="none" w:sz="0" w:space="0" w:color="auto"/>
              </w:divBdr>
            </w:div>
            <w:div w:id="19301957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56788771">
      <w:bodyDiv w:val="1"/>
      <w:marLeft w:val="0"/>
      <w:marRight w:val="0"/>
      <w:marTop w:val="0"/>
      <w:marBottom w:val="0"/>
      <w:divBdr>
        <w:top w:val="none" w:sz="0" w:space="0" w:color="auto"/>
        <w:left w:val="none" w:sz="0" w:space="0" w:color="auto"/>
        <w:bottom w:val="none" w:sz="0" w:space="0" w:color="auto"/>
        <w:right w:val="none" w:sz="0" w:space="0" w:color="auto"/>
      </w:divBdr>
    </w:div>
    <w:div w:id="956981976">
      <w:bodyDiv w:val="1"/>
      <w:marLeft w:val="0"/>
      <w:marRight w:val="0"/>
      <w:marTop w:val="0"/>
      <w:marBottom w:val="0"/>
      <w:divBdr>
        <w:top w:val="none" w:sz="0" w:space="0" w:color="auto"/>
        <w:left w:val="none" w:sz="0" w:space="0" w:color="auto"/>
        <w:bottom w:val="none" w:sz="0" w:space="0" w:color="auto"/>
        <w:right w:val="none" w:sz="0" w:space="0" w:color="auto"/>
      </w:divBdr>
    </w:div>
    <w:div w:id="957563612">
      <w:bodyDiv w:val="1"/>
      <w:marLeft w:val="0"/>
      <w:marRight w:val="0"/>
      <w:marTop w:val="0"/>
      <w:marBottom w:val="0"/>
      <w:divBdr>
        <w:top w:val="none" w:sz="0" w:space="0" w:color="auto"/>
        <w:left w:val="none" w:sz="0" w:space="0" w:color="auto"/>
        <w:bottom w:val="none" w:sz="0" w:space="0" w:color="auto"/>
        <w:right w:val="none" w:sz="0" w:space="0" w:color="auto"/>
      </w:divBdr>
    </w:div>
    <w:div w:id="957569667">
      <w:bodyDiv w:val="1"/>
      <w:marLeft w:val="0"/>
      <w:marRight w:val="0"/>
      <w:marTop w:val="0"/>
      <w:marBottom w:val="0"/>
      <w:divBdr>
        <w:top w:val="none" w:sz="0" w:space="0" w:color="auto"/>
        <w:left w:val="none" w:sz="0" w:space="0" w:color="auto"/>
        <w:bottom w:val="none" w:sz="0" w:space="0" w:color="auto"/>
        <w:right w:val="none" w:sz="0" w:space="0" w:color="auto"/>
      </w:divBdr>
    </w:div>
    <w:div w:id="957683103">
      <w:bodyDiv w:val="1"/>
      <w:marLeft w:val="0"/>
      <w:marRight w:val="0"/>
      <w:marTop w:val="0"/>
      <w:marBottom w:val="0"/>
      <w:divBdr>
        <w:top w:val="none" w:sz="0" w:space="0" w:color="auto"/>
        <w:left w:val="none" w:sz="0" w:space="0" w:color="auto"/>
        <w:bottom w:val="none" w:sz="0" w:space="0" w:color="auto"/>
        <w:right w:val="none" w:sz="0" w:space="0" w:color="auto"/>
      </w:divBdr>
    </w:div>
    <w:div w:id="958410354">
      <w:bodyDiv w:val="1"/>
      <w:marLeft w:val="0"/>
      <w:marRight w:val="0"/>
      <w:marTop w:val="0"/>
      <w:marBottom w:val="0"/>
      <w:divBdr>
        <w:top w:val="none" w:sz="0" w:space="0" w:color="auto"/>
        <w:left w:val="none" w:sz="0" w:space="0" w:color="auto"/>
        <w:bottom w:val="none" w:sz="0" w:space="0" w:color="auto"/>
        <w:right w:val="none" w:sz="0" w:space="0" w:color="auto"/>
      </w:divBdr>
    </w:div>
    <w:div w:id="958923932">
      <w:bodyDiv w:val="1"/>
      <w:marLeft w:val="0"/>
      <w:marRight w:val="0"/>
      <w:marTop w:val="0"/>
      <w:marBottom w:val="0"/>
      <w:divBdr>
        <w:top w:val="none" w:sz="0" w:space="0" w:color="auto"/>
        <w:left w:val="none" w:sz="0" w:space="0" w:color="auto"/>
        <w:bottom w:val="none" w:sz="0" w:space="0" w:color="auto"/>
        <w:right w:val="none" w:sz="0" w:space="0" w:color="auto"/>
      </w:divBdr>
      <w:divsChild>
        <w:div w:id="222568943">
          <w:marLeft w:val="1166"/>
          <w:marRight w:val="0"/>
          <w:marTop w:val="96"/>
          <w:marBottom w:val="0"/>
          <w:divBdr>
            <w:top w:val="none" w:sz="0" w:space="0" w:color="auto"/>
            <w:left w:val="none" w:sz="0" w:space="0" w:color="auto"/>
            <w:bottom w:val="none" w:sz="0" w:space="0" w:color="auto"/>
            <w:right w:val="none" w:sz="0" w:space="0" w:color="auto"/>
          </w:divBdr>
        </w:div>
        <w:div w:id="228228040">
          <w:marLeft w:val="1166"/>
          <w:marRight w:val="0"/>
          <w:marTop w:val="96"/>
          <w:marBottom w:val="0"/>
          <w:divBdr>
            <w:top w:val="none" w:sz="0" w:space="0" w:color="auto"/>
            <w:left w:val="none" w:sz="0" w:space="0" w:color="auto"/>
            <w:bottom w:val="none" w:sz="0" w:space="0" w:color="auto"/>
            <w:right w:val="none" w:sz="0" w:space="0" w:color="auto"/>
          </w:divBdr>
        </w:div>
        <w:div w:id="228463931">
          <w:marLeft w:val="1800"/>
          <w:marRight w:val="0"/>
          <w:marTop w:val="77"/>
          <w:marBottom w:val="0"/>
          <w:divBdr>
            <w:top w:val="none" w:sz="0" w:space="0" w:color="auto"/>
            <w:left w:val="none" w:sz="0" w:space="0" w:color="auto"/>
            <w:bottom w:val="none" w:sz="0" w:space="0" w:color="auto"/>
            <w:right w:val="none" w:sz="0" w:space="0" w:color="auto"/>
          </w:divBdr>
        </w:div>
        <w:div w:id="383217641">
          <w:marLeft w:val="547"/>
          <w:marRight w:val="0"/>
          <w:marTop w:val="115"/>
          <w:marBottom w:val="0"/>
          <w:divBdr>
            <w:top w:val="none" w:sz="0" w:space="0" w:color="auto"/>
            <w:left w:val="none" w:sz="0" w:space="0" w:color="auto"/>
            <w:bottom w:val="none" w:sz="0" w:space="0" w:color="auto"/>
            <w:right w:val="none" w:sz="0" w:space="0" w:color="auto"/>
          </w:divBdr>
        </w:div>
        <w:div w:id="725027981">
          <w:marLeft w:val="1800"/>
          <w:marRight w:val="0"/>
          <w:marTop w:val="77"/>
          <w:marBottom w:val="0"/>
          <w:divBdr>
            <w:top w:val="none" w:sz="0" w:space="0" w:color="auto"/>
            <w:left w:val="none" w:sz="0" w:space="0" w:color="auto"/>
            <w:bottom w:val="none" w:sz="0" w:space="0" w:color="auto"/>
            <w:right w:val="none" w:sz="0" w:space="0" w:color="auto"/>
          </w:divBdr>
        </w:div>
        <w:div w:id="1416433405">
          <w:marLeft w:val="547"/>
          <w:marRight w:val="0"/>
          <w:marTop w:val="115"/>
          <w:marBottom w:val="0"/>
          <w:divBdr>
            <w:top w:val="none" w:sz="0" w:space="0" w:color="auto"/>
            <w:left w:val="none" w:sz="0" w:space="0" w:color="auto"/>
            <w:bottom w:val="none" w:sz="0" w:space="0" w:color="auto"/>
            <w:right w:val="none" w:sz="0" w:space="0" w:color="auto"/>
          </w:divBdr>
        </w:div>
        <w:div w:id="1501584789">
          <w:marLeft w:val="1800"/>
          <w:marRight w:val="0"/>
          <w:marTop w:val="77"/>
          <w:marBottom w:val="0"/>
          <w:divBdr>
            <w:top w:val="none" w:sz="0" w:space="0" w:color="auto"/>
            <w:left w:val="none" w:sz="0" w:space="0" w:color="auto"/>
            <w:bottom w:val="none" w:sz="0" w:space="0" w:color="auto"/>
            <w:right w:val="none" w:sz="0" w:space="0" w:color="auto"/>
          </w:divBdr>
        </w:div>
        <w:div w:id="1589652989">
          <w:marLeft w:val="1800"/>
          <w:marRight w:val="0"/>
          <w:marTop w:val="77"/>
          <w:marBottom w:val="0"/>
          <w:divBdr>
            <w:top w:val="none" w:sz="0" w:space="0" w:color="auto"/>
            <w:left w:val="none" w:sz="0" w:space="0" w:color="auto"/>
            <w:bottom w:val="none" w:sz="0" w:space="0" w:color="auto"/>
            <w:right w:val="none" w:sz="0" w:space="0" w:color="auto"/>
          </w:divBdr>
        </w:div>
        <w:div w:id="1655062095">
          <w:marLeft w:val="1800"/>
          <w:marRight w:val="0"/>
          <w:marTop w:val="77"/>
          <w:marBottom w:val="0"/>
          <w:divBdr>
            <w:top w:val="none" w:sz="0" w:space="0" w:color="auto"/>
            <w:left w:val="none" w:sz="0" w:space="0" w:color="auto"/>
            <w:bottom w:val="none" w:sz="0" w:space="0" w:color="auto"/>
            <w:right w:val="none" w:sz="0" w:space="0" w:color="auto"/>
          </w:divBdr>
        </w:div>
        <w:div w:id="1703243735">
          <w:marLeft w:val="1800"/>
          <w:marRight w:val="0"/>
          <w:marTop w:val="77"/>
          <w:marBottom w:val="0"/>
          <w:divBdr>
            <w:top w:val="none" w:sz="0" w:space="0" w:color="auto"/>
            <w:left w:val="none" w:sz="0" w:space="0" w:color="auto"/>
            <w:bottom w:val="none" w:sz="0" w:space="0" w:color="auto"/>
            <w:right w:val="none" w:sz="0" w:space="0" w:color="auto"/>
          </w:divBdr>
        </w:div>
      </w:divsChild>
    </w:div>
    <w:div w:id="959268110">
      <w:bodyDiv w:val="1"/>
      <w:marLeft w:val="0"/>
      <w:marRight w:val="0"/>
      <w:marTop w:val="0"/>
      <w:marBottom w:val="0"/>
      <w:divBdr>
        <w:top w:val="none" w:sz="0" w:space="0" w:color="auto"/>
        <w:left w:val="none" w:sz="0" w:space="0" w:color="auto"/>
        <w:bottom w:val="none" w:sz="0" w:space="0" w:color="auto"/>
        <w:right w:val="none" w:sz="0" w:space="0" w:color="auto"/>
      </w:divBdr>
    </w:div>
    <w:div w:id="959530605">
      <w:bodyDiv w:val="1"/>
      <w:marLeft w:val="0"/>
      <w:marRight w:val="0"/>
      <w:marTop w:val="0"/>
      <w:marBottom w:val="0"/>
      <w:divBdr>
        <w:top w:val="none" w:sz="0" w:space="0" w:color="auto"/>
        <w:left w:val="none" w:sz="0" w:space="0" w:color="auto"/>
        <w:bottom w:val="none" w:sz="0" w:space="0" w:color="auto"/>
        <w:right w:val="none" w:sz="0" w:space="0" w:color="auto"/>
      </w:divBdr>
    </w:div>
    <w:div w:id="959921971">
      <w:bodyDiv w:val="1"/>
      <w:marLeft w:val="0"/>
      <w:marRight w:val="0"/>
      <w:marTop w:val="0"/>
      <w:marBottom w:val="0"/>
      <w:divBdr>
        <w:top w:val="none" w:sz="0" w:space="0" w:color="auto"/>
        <w:left w:val="none" w:sz="0" w:space="0" w:color="auto"/>
        <w:bottom w:val="none" w:sz="0" w:space="0" w:color="auto"/>
        <w:right w:val="none" w:sz="0" w:space="0" w:color="auto"/>
      </w:divBdr>
    </w:div>
    <w:div w:id="960109266">
      <w:bodyDiv w:val="1"/>
      <w:marLeft w:val="0"/>
      <w:marRight w:val="0"/>
      <w:marTop w:val="0"/>
      <w:marBottom w:val="0"/>
      <w:divBdr>
        <w:top w:val="none" w:sz="0" w:space="0" w:color="auto"/>
        <w:left w:val="none" w:sz="0" w:space="0" w:color="auto"/>
        <w:bottom w:val="none" w:sz="0" w:space="0" w:color="auto"/>
        <w:right w:val="none" w:sz="0" w:space="0" w:color="auto"/>
      </w:divBdr>
    </w:div>
    <w:div w:id="960695022">
      <w:bodyDiv w:val="1"/>
      <w:marLeft w:val="0"/>
      <w:marRight w:val="0"/>
      <w:marTop w:val="0"/>
      <w:marBottom w:val="0"/>
      <w:divBdr>
        <w:top w:val="none" w:sz="0" w:space="0" w:color="auto"/>
        <w:left w:val="none" w:sz="0" w:space="0" w:color="auto"/>
        <w:bottom w:val="none" w:sz="0" w:space="0" w:color="auto"/>
        <w:right w:val="none" w:sz="0" w:space="0" w:color="auto"/>
      </w:divBdr>
    </w:div>
    <w:div w:id="961224961">
      <w:bodyDiv w:val="1"/>
      <w:marLeft w:val="0"/>
      <w:marRight w:val="0"/>
      <w:marTop w:val="0"/>
      <w:marBottom w:val="0"/>
      <w:divBdr>
        <w:top w:val="none" w:sz="0" w:space="0" w:color="auto"/>
        <w:left w:val="none" w:sz="0" w:space="0" w:color="auto"/>
        <w:bottom w:val="none" w:sz="0" w:space="0" w:color="auto"/>
        <w:right w:val="none" w:sz="0" w:space="0" w:color="auto"/>
      </w:divBdr>
    </w:div>
    <w:div w:id="962034485">
      <w:bodyDiv w:val="1"/>
      <w:marLeft w:val="0"/>
      <w:marRight w:val="0"/>
      <w:marTop w:val="0"/>
      <w:marBottom w:val="0"/>
      <w:divBdr>
        <w:top w:val="none" w:sz="0" w:space="0" w:color="auto"/>
        <w:left w:val="none" w:sz="0" w:space="0" w:color="auto"/>
        <w:bottom w:val="none" w:sz="0" w:space="0" w:color="auto"/>
        <w:right w:val="none" w:sz="0" w:space="0" w:color="auto"/>
      </w:divBdr>
    </w:div>
    <w:div w:id="962154978">
      <w:bodyDiv w:val="1"/>
      <w:marLeft w:val="0"/>
      <w:marRight w:val="0"/>
      <w:marTop w:val="0"/>
      <w:marBottom w:val="0"/>
      <w:divBdr>
        <w:top w:val="none" w:sz="0" w:space="0" w:color="auto"/>
        <w:left w:val="none" w:sz="0" w:space="0" w:color="auto"/>
        <w:bottom w:val="none" w:sz="0" w:space="0" w:color="auto"/>
        <w:right w:val="none" w:sz="0" w:space="0" w:color="auto"/>
      </w:divBdr>
    </w:div>
    <w:div w:id="962997591">
      <w:bodyDiv w:val="1"/>
      <w:marLeft w:val="0"/>
      <w:marRight w:val="0"/>
      <w:marTop w:val="0"/>
      <w:marBottom w:val="0"/>
      <w:divBdr>
        <w:top w:val="none" w:sz="0" w:space="0" w:color="auto"/>
        <w:left w:val="none" w:sz="0" w:space="0" w:color="auto"/>
        <w:bottom w:val="none" w:sz="0" w:space="0" w:color="auto"/>
        <w:right w:val="none" w:sz="0" w:space="0" w:color="auto"/>
      </w:divBdr>
    </w:div>
    <w:div w:id="963266257">
      <w:bodyDiv w:val="1"/>
      <w:marLeft w:val="0"/>
      <w:marRight w:val="0"/>
      <w:marTop w:val="0"/>
      <w:marBottom w:val="0"/>
      <w:divBdr>
        <w:top w:val="none" w:sz="0" w:space="0" w:color="auto"/>
        <w:left w:val="none" w:sz="0" w:space="0" w:color="auto"/>
        <w:bottom w:val="none" w:sz="0" w:space="0" w:color="auto"/>
        <w:right w:val="none" w:sz="0" w:space="0" w:color="auto"/>
      </w:divBdr>
    </w:div>
    <w:div w:id="963271677">
      <w:bodyDiv w:val="1"/>
      <w:marLeft w:val="0"/>
      <w:marRight w:val="0"/>
      <w:marTop w:val="0"/>
      <w:marBottom w:val="0"/>
      <w:divBdr>
        <w:top w:val="none" w:sz="0" w:space="0" w:color="auto"/>
        <w:left w:val="none" w:sz="0" w:space="0" w:color="auto"/>
        <w:bottom w:val="none" w:sz="0" w:space="0" w:color="auto"/>
        <w:right w:val="none" w:sz="0" w:space="0" w:color="auto"/>
      </w:divBdr>
    </w:div>
    <w:div w:id="963851083">
      <w:bodyDiv w:val="1"/>
      <w:marLeft w:val="0"/>
      <w:marRight w:val="0"/>
      <w:marTop w:val="0"/>
      <w:marBottom w:val="0"/>
      <w:divBdr>
        <w:top w:val="none" w:sz="0" w:space="0" w:color="auto"/>
        <w:left w:val="none" w:sz="0" w:space="0" w:color="auto"/>
        <w:bottom w:val="none" w:sz="0" w:space="0" w:color="auto"/>
        <w:right w:val="none" w:sz="0" w:space="0" w:color="auto"/>
      </w:divBdr>
    </w:div>
    <w:div w:id="963924327">
      <w:bodyDiv w:val="1"/>
      <w:marLeft w:val="0"/>
      <w:marRight w:val="0"/>
      <w:marTop w:val="0"/>
      <w:marBottom w:val="0"/>
      <w:divBdr>
        <w:top w:val="none" w:sz="0" w:space="0" w:color="auto"/>
        <w:left w:val="none" w:sz="0" w:space="0" w:color="auto"/>
        <w:bottom w:val="none" w:sz="0" w:space="0" w:color="auto"/>
        <w:right w:val="none" w:sz="0" w:space="0" w:color="auto"/>
      </w:divBdr>
      <w:divsChild>
        <w:div w:id="8334491">
          <w:marLeft w:val="547"/>
          <w:marRight w:val="0"/>
          <w:marTop w:val="154"/>
          <w:marBottom w:val="0"/>
          <w:divBdr>
            <w:top w:val="none" w:sz="0" w:space="0" w:color="auto"/>
            <w:left w:val="none" w:sz="0" w:space="0" w:color="auto"/>
            <w:bottom w:val="none" w:sz="0" w:space="0" w:color="auto"/>
            <w:right w:val="none" w:sz="0" w:space="0" w:color="auto"/>
          </w:divBdr>
        </w:div>
      </w:divsChild>
    </w:div>
    <w:div w:id="964310519">
      <w:bodyDiv w:val="1"/>
      <w:marLeft w:val="0"/>
      <w:marRight w:val="0"/>
      <w:marTop w:val="0"/>
      <w:marBottom w:val="0"/>
      <w:divBdr>
        <w:top w:val="none" w:sz="0" w:space="0" w:color="auto"/>
        <w:left w:val="none" w:sz="0" w:space="0" w:color="auto"/>
        <w:bottom w:val="none" w:sz="0" w:space="0" w:color="auto"/>
        <w:right w:val="none" w:sz="0" w:space="0" w:color="auto"/>
      </w:divBdr>
    </w:div>
    <w:div w:id="964386557">
      <w:bodyDiv w:val="1"/>
      <w:marLeft w:val="0"/>
      <w:marRight w:val="0"/>
      <w:marTop w:val="0"/>
      <w:marBottom w:val="0"/>
      <w:divBdr>
        <w:top w:val="none" w:sz="0" w:space="0" w:color="auto"/>
        <w:left w:val="none" w:sz="0" w:space="0" w:color="auto"/>
        <w:bottom w:val="none" w:sz="0" w:space="0" w:color="auto"/>
        <w:right w:val="none" w:sz="0" w:space="0" w:color="auto"/>
      </w:divBdr>
    </w:div>
    <w:div w:id="965698230">
      <w:bodyDiv w:val="1"/>
      <w:marLeft w:val="0"/>
      <w:marRight w:val="0"/>
      <w:marTop w:val="0"/>
      <w:marBottom w:val="0"/>
      <w:divBdr>
        <w:top w:val="none" w:sz="0" w:space="0" w:color="auto"/>
        <w:left w:val="none" w:sz="0" w:space="0" w:color="auto"/>
        <w:bottom w:val="none" w:sz="0" w:space="0" w:color="auto"/>
        <w:right w:val="none" w:sz="0" w:space="0" w:color="auto"/>
      </w:divBdr>
    </w:div>
    <w:div w:id="965819072">
      <w:bodyDiv w:val="1"/>
      <w:marLeft w:val="0"/>
      <w:marRight w:val="0"/>
      <w:marTop w:val="0"/>
      <w:marBottom w:val="0"/>
      <w:divBdr>
        <w:top w:val="none" w:sz="0" w:space="0" w:color="auto"/>
        <w:left w:val="none" w:sz="0" w:space="0" w:color="auto"/>
        <w:bottom w:val="none" w:sz="0" w:space="0" w:color="auto"/>
        <w:right w:val="none" w:sz="0" w:space="0" w:color="auto"/>
      </w:divBdr>
      <w:divsChild>
        <w:div w:id="72706220">
          <w:marLeft w:val="547"/>
          <w:marRight w:val="0"/>
          <w:marTop w:val="115"/>
          <w:marBottom w:val="0"/>
          <w:divBdr>
            <w:top w:val="none" w:sz="0" w:space="0" w:color="auto"/>
            <w:left w:val="none" w:sz="0" w:space="0" w:color="auto"/>
            <w:bottom w:val="none" w:sz="0" w:space="0" w:color="auto"/>
            <w:right w:val="none" w:sz="0" w:space="0" w:color="auto"/>
          </w:divBdr>
        </w:div>
        <w:div w:id="510918806">
          <w:marLeft w:val="547"/>
          <w:marRight w:val="0"/>
          <w:marTop w:val="115"/>
          <w:marBottom w:val="0"/>
          <w:divBdr>
            <w:top w:val="none" w:sz="0" w:space="0" w:color="auto"/>
            <w:left w:val="none" w:sz="0" w:space="0" w:color="auto"/>
            <w:bottom w:val="none" w:sz="0" w:space="0" w:color="auto"/>
            <w:right w:val="none" w:sz="0" w:space="0" w:color="auto"/>
          </w:divBdr>
        </w:div>
        <w:div w:id="870266871">
          <w:marLeft w:val="1166"/>
          <w:marRight w:val="0"/>
          <w:marTop w:val="96"/>
          <w:marBottom w:val="0"/>
          <w:divBdr>
            <w:top w:val="none" w:sz="0" w:space="0" w:color="auto"/>
            <w:left w:val="none" w:sz="0" w:space="0" w:color="auto"/>
            <w:bottom w:val="none" w:sz="0" w:space="0" w:color="auto"/>
            <w:right w:val="none" w:sz="0" w:space="0" w:color="auto"/>
          </w:divBdr>
        </w:div>
        <w:div w:id="963389885">
          <w:marLeft w:val="1166"/>
          <w:marRight w:val="0"/>
          <w:marTop w:val="96"/>
          <w:marBottom w:val="0"/>
          <w:divBdr>
            <w:top w:val="none" w:sz="0" w:space="0" w:color="auto"/>
            <w:left w:val="none" w:sz="0" w:space="0" w:color="auto"/>
            <w:bottom w:val="none" w:sz="0" w:space="0" w:color="auto"/>
            <w:right w:val="none" w:sz="0" w:space="0" w:color="auto"/>
          </w:divBdr>
        </w:div>
        <w:div w:id="1261454514">
          <w:marLeft w:val="1166"/>
          <w:marRight w:val="0"/>
          <w:marTop w:val="96"/>
          <w:marBottom w:val="0"/>
          <w:divBdr>
            <w:top w:val="none" w:sz="0" w:space="0" w:color="auto"/>
            <w:left w:val="none" w:sz="0" w:space="0" w:color="auto"/>
            <w:bottom w:val="none" w:sz="0" w:space="0" w:color="auto"/>
            <w:right w:val="none" w:sz="0" w:space="0" w:color="auto"/>
          </w:divBdr>
        </w:div>
        <w:div w:id="1488475848">
          <w:marLeft w:val="1800"/>
          <w:marRight w:val="0"/>
          <w:marTop w:val="86"/>
          <w:marBottom w:val="0"/>
          <w:divBdr>
            <w:top w:val="none" w:sz="0" w:space="0" w:color="auto"/>
            <w:left w:val="none" w:sz="0" w:space="0" w:color="auto"/>
            <w:bottom w:val="none" w:sz="0" w:space="0" w:color="auto"/>
            <w:right w:val="none" w:sz="0" w:space="0" w:color="auto"/>
          </w:divBdr>
        </w:div>
        <w:div w:id="1635793634">
          <w:marLeft w:val="1166"/>
          <w:marRight w:val="0"/>
          <w:marTop w:val="96"/>
          <w:marBottom w:val="0"/>
          <w:divBdr>
            <w:top w:val="none" w:sz="0" w:space="0" w:color="auto"/>
            <w:left w:val="none" w:sz="0" w:space="0" w:color="auto"/>
            <w:bottom w:val="none" w:sz="0" w:space="0" w:color="auto"/>
            <w:right w:val="none" w:sz="0" w:space="0" w:color="auto"/>
          </w:divBdr>
        </w:div>
        <w:div w:id="1710060119">
          <w:marLeft w:val="1166"/>
          <w:marRight w:val="0"/>
          <w:marTop w:val="96"/>
          <w:marBottom w:val="0"/>
          <w:divBdr>
            <w:top w:val="none" w:sz="0" w:space="0" w:color="auto"/>
            <w:left w:val="none" w:sz="0" w:space="0" w:color="auto"/>
            <w:bottom w:val="none" w:sz="0" w:space="0" w:color="auto"/>
            <w:right w:val="none" w:sz="0" w:space="0" w:color="auto"/>
          </w:divBdr>
        </w:div>
        <w:div w:id="1834450300">
          <w:marLeft w:val="1166"/>
          <w:marRight w:val="0"/>
          <w:marTop w:val="96"/>
          <w:marBottom w:val="0"/>
          <w:divBdr>
            <w:top w:val="none" w:sz="0" w:space="0" w:color="auto"/>
            <w:left w:val="none" w:sz="0" w:space="0" w:color="auto"/>
            <w:bottom w:val="none" w:sz="0" w:space="0" w:color="auto"/>
            <w:right w:val="none" w:sz="0" w:space="0" w:color="auto"/>
          </w:divBdr>
        </w:div>
        <w:div w:id="1984308220">
          <w:marLeft w:val="1166"/>
          <w:marRight w:val="0"/>
          <w:marTop w:val="96"/>
          <w:marBottom w:val="0"/>
          <w:divBdr>
            <w:top w:val="none" w:sz="0" w:space="0" w:color="auto"/>
            <w:left w:val="none" w:sz="0" w:space="0" w:color="auto"/>
            <w:bottom w:val="none" w:sz="0" w:space="0" w:color="auto"/>
            <w:right w:val="none" w:sz="0" w:space="0" w:color="auto"/>
          </w:divBdr>
        </w:div>
        <w:div w:id="2106922938">
          <w:marLeft w:val="1166"/>
          <w:marRight w:val="0"/>
          <w:marTop w:val="96"/>
          <w:marBottom w:val="0"/>
          <w:divBdr>
            <w:top w:val="none" w:sz="0" w:space="0" w:color="auto"/>
            <w:left w:val="none" w:sz="0" w:space="0" w:color="auto"/>
            <w:bottom w:val="none" w:sz="0" w:space="0" w:color="auto"/>
            <w:right w:val="none" w:sz="0" w:space="0" w:color="auto"/>
          </w:divBdr>
        </w:div>
      </w:divsChild>
    </w:div>
    <w:div w:id="965892034">
      <w:bodyDiv w:val="1"/>
      <w:marLeft w:val="0"/>
      <w:marRight w:val="0"/>
      <w:marTop w:val="0"/>
      <w:marBottom w:val="0"/>
      <w:divBdr>
        <w:top w:val="none" w:sz="0" w:space="0" w:color="auto"/>
        <w:left w:val="none" w:sz="0" w:space="0" w:color="auto"/>
        <w:bottom w:val="none" w:sz="0" w:space="0" w:color="auto"/>
        <w:right w:val="none" w:sz="0" w:space="0" w:color="auto"/>
      </w:divBdr>
    </w:div>
    <w:div w:id="966081387">
      <w:bodyDiv w:val="1"/>
      <w:marLeft w:val="0"/>
      <w:marRight w:val="0"/>
      <w:marTop w:val="0"/>
      <w:marBottom w:val="0"/>
      <w:divBdr>
        <w:top w:val="none" w:sz="0" w:space="0" w:color="auto"/>
        <w:left w:val="none" w:sz="0" w:space="0" w:color="auto"/>
        <w:bottom w:val="none" w:sz="0" w:space="0" w:color="auto"/>
        <w:right w:val="none" w:sz="0" w:space="0" w:color="auto"/>
      </w:divBdr>
    </w:div>
    <w:div w:id="966088189">
      <w:bodyDiv w:val="1"/>
      <w:marLeft w:val="0"/>
      <w:marRight w:val="0"/>
      <w:marTop w:val="0"/>
      <w:marBottom w:val="0"/>
      <w:divBdr>
        <w:top w:val="none" w:sz="0" w:space="0" w:color="auto"/>
        <w:left w:val="none" w:sz="0" w:space="0" w:color="auto"/>
        <w:bottom w:val="none" w:sz="0" w:space="0" w:color="auto"/>
        <w:right w:val="none" w:sz="0" w:space="0" w:color="auto"/>
      </w:divBdr>
    </w:div>
    <w:div w:id="967079459">
      <w:bodyDiv w:val="1"/>
      <w:marLeft w:val="0"/>
      <w:marRight w:val="0"/>
      <w:marTop w:val="0"/>
      <w:marBottom w:val="0"/>
      <w:divBdr>
        <w:top w:val="none" w:sz="0" w:space="0" w:color="auto"/>
        <w:left w:val="none" w:sz="0" w:space="0" w:color="auto"/>
        <w:bottom w:val="none" w:sz="0" w:space="0" w:color="auto"/>
        <w:right w:val="none" w:sz="0" w:space="0" w:color="auto"/>
      </w:divBdr>
      <w:divsChild>
        <w:div w:id="27528635">
          <w:marLeft w:val="1800"/>
          <w:marRight w:val="0"/>
          <w:marTop w:val="77"/>
          <w:marBottom w:val="0"/>
          <w:divBdr>
            <w:top w:val="none" w:sz="0" w:space="0" w:color="auto"/>
            <w:left w:val="none" w:sz="0" w:space="0" w:color="auto"/>
            <w:bottom w:val="none" w:sz="0" w:space="0" w:color="auto"/>
            <w:right w:val="none" w:sz="0" w:space="0" w:color="auto"/>
          </w:divBdr>
        </w:div>
        <w:div w:id="124274454">
          <w:marLeft w:val="1800"/>
          <w:marRight w:val="0"/>
          <w:marTop w:val="77"/>
          <w:marBottom w:val="0"/>
          <w:divBdr>
            <w:top w:val="none" w:sz="0" w:space="0" w:color="auto"/>
            <w:left w:val="none" w:sz="0" w:space="0" w:color="auto"/>
            <w:bottom w:val="none" w:sz="0" w:space="0" w:color="auto"/>
            <w:right w:val="none" w:sz="0" w:space="0" w:color="auto"/>
          </w:divBdr>
        </w:div>
        <w:div w:id="842553353">
          <w:marLeft w:val="1166"/>
          <w:marRight w:val="0"/>
          <w:marTop w:val="96"/>
          <w:marBottom w:val="0"/>
          <w:divBdr>
            <w:top w:val="none" w:sz="0" w:space="0" w:color="auto"/>
            <w:left w:val="none" w:sz="0" w:space="0" w:color="auto"/>
            <w:bottom w:val="none" w:sz="0" w:space="0" w:color="auto"/>
            <w:right w:val="none" w:sz="0" w:space="0" w:color="auto"/>
          </w:divBdr>
        </w:div>
        <w:div w:id="1575504889">
          <w:marLeft w:val="547"/>
          <w:marRight w:val="0"/>
          <w:marTop w:val="115"/>
          <w:marBottom w:val="0"/>
          <w:divBdr>
            <w:top w:val="none" w:sz="0" w:space="0" w:color="auto"/>
            <w:left w:val="none" w:sz="0" w:space="0" w:color="auto"/>
            <w:bottom w:val="none" w:sz="0" w:space="0" w:color="auto"/>
            <w:right w:val="none" w:sz="0" w:space="0" w:color="auto"/>
          </w:divBdr>
        </w:div>
        <w:div w:id="1622029068">
          <w:marLeft w:val="1800"/>
          <w:marRight w:val="0"/>
          <w:marTop w:val="77"/>
          <w:marBottom w:val="0"/>
          <w:divBdr>
            <w:top w:val="none" w:sz="0" w:space="0" w:color="auto"/>
            <w:left w:val="none" w:sz="0" w:space="0" w:color="auto"/>
            <w:bottom w:val="none" w:sz="0" w:space="0" w:color="auto"/>
            <w:right w:val="none" w:sz="0" w:space="0" w:color="auto"/>
          </w:divBdr>
        </w:div>
        <w:div w:id="2046101773">
          <w:marLeft w:val="1166"/>
          <w:marRight w:val="0"/>
          <w:marTop w:val="96"/>
          <w:marBottom w:val="0"/>
          <w:divBdr>
            <w:top w:val="none" w:sz="0" w:space="0" w:color="auto"/>
            <w:left w:val="none" w:sz="0" w:space="0" w:color="auto"/>
            <w:bottom w:val="none" w:sz="0" w:space="0" w:color="auto"/>
            <w:right w:val="none" w:sz="0" w:space="0" w:color="auto"/>
          </w:divBdr>
        </w:div>
        <w:div w:id="2142772357">
          <w:marLeft w:val="1166"/>
          <w:marRight w:val="0"/>
          <w:marTop w:val="96"/>
          <w:marBottom w:val="0"/>
          <w:divBdr>
            <w:top w:val="none" w:sz="0" w:space="0" w:color="auto"/>
            <w:left w:val="none" w:sz="0" w:space="0" w:color="auto"/>
            <w:bottom w:val="none" w:sz="0" w:space="0" w:color="auto"/>
            <w:right w:val="none" w:sz="0" w:space="0" w:color="auto"/>
          </w:divBdr>
        </w:div>
      </w:divsChild>
    </w:div>
    <w:div w:id="967466945">
      <w:bodyDiv w:val="1"/>
      <w:marLeft w:val="0"/>
      <w:marRight w:val="0"/>
      <w:marTop w:val="0"/>
      <w:marBottom w:val="0"/>
      <w:divBdr>
        <w:top w:val="none" w:sz="0" w:space="0" w:color="auto"/>
        <w:left w:val="none" w:sz="0" w:space="0" w:color="auto"/>
        <w:bottom w:val="none" w:sz="0" w:space="0" w:color="auto"/>
        <w:right w:val="none" w:sz="0" w:space="0" w:color="auto"/>
      </w:divBdr>
      <w:divsChild>
        <w:div w:id="8070512">
          <w:marLeft w:val="547"/>
          <w:marRight w:val="0"/>
          <w:marTop w:val="134"/>
          <w:marBottom w:val="0"/>
          <w:divBdr>
            <w:top w:val="none" w:sz="0" w:space="0" w:color="auto"/>
            <w:left w:val="none" w:sz="0" w:space="0" w:color="auto"/>
            <w:bottom w:val="none" w:sz="0" w:space="0" w:color="auto"/>
            <w:right w:val="none" w:sz="0" w:space="0" w:color="auto"/>
          </w:divBdr>
        </w:div>
      </w:divsChild>
    </w:div>
    <w:div w:id="967468874">
      <w:bodyDiv w:val="1"/>
      <w:marLeft w:val="0"/>
      <w:marRight w:val="0"/>
      <w:marTop w:val="0"/>
      <w:marBottom w:val="0"/>
      <w:divBdr>
        <w:top w:val="none" w:sz="0" w:space="0" w:color="auto"/>
        <w:left w:val="none" w:sz="0" w:space="0" w:color="auto"/>
        <w:bottom w:val="none" w:sz="0" w:space="0" w:color="auto"/>
        <w:right w:val="none" w:sz="0" w:space="0" w:color="auto"/>
      </w:divBdr>
    </w:div>
    <w:div w:id="967859222">
      <w:bodyDiv w:val="1"/>
      <w:marLeft w:val="0"/>
      <w:marRight w:val="0"/>
      <w:marTop w:val="0"/>
      <w:marBottom w:val="0"/>
      <w:divBdr>
        <w:top w:val="none" w:sz="0" w:space="0" w:color="auto"/>
        <w:left w:val="none" w:sz="0" w:space="0" w:color="auto"/>
        <w:bottom w:val="none" w:sz="0" w:space="0" w:color="auto"/>
        <w:right w:val="none" w:sz="0" w:space="0" w:color="auto"/>
      </w:divBdr>
    </w:div>
    <w:div w:id="968164707">
      <w:bodyDiv w:val="1"/>
      <w:marLeft w:val="0"/>
      <w:marRight w:val="0"/>
      <w:marTop w:val="0"/>
      <w:marBottom w:val="0"/>
      <w:divBdr>
        <w:top w:val="none" w:sz="0" w:space="0" w:color="auto"/>
        <w:left w:val="none" w:sz="0" w:space="0" w:color="auto"/>
        <w:bottom w:val="none" w:sz="0" w:space="0" w:color="auto"/>
        <w:right w:val="none" w:sz="0" w:space="0" w:color="auto"/>
      </w:divBdr>
    </w:div>
    <w:div w:id="968318311">
      <w:bodyDiv w:val="1"/>
      <w:marLeft w:val="0"/>
      <w:marRight w:val="0"/>
      <w:marTop w:val="0"/>
      <w:marBottom w:val="0"/>
      <w:divBdr>
        <w:top w:val="none" w:sz="0" w:space="0" w:color="auto"/>
        <w:left w:val="none" w:sz="0" w:space="0" w:color="auto"/>
        <w:bottom w:val="none" w:sz="0" w:space="0" w:color="auto"/>
        <w:right w:val="none" w:sz="0" w:space="0" w:color="auto"/>
      </w:divBdr>
    </w:div>
    <w:div w:id="970020412">
      <w:bodyDiv w:val="1"/>
      <w:marLeft w:val="0"/>
      <w:marRight w:val="0"/>
      <w:marTop w:val="0"/>
      <w:marBottom w:val="0"/>
      <w:divBdr>
        <w:top w:val="none" w:sz="0" w:space="0" w:color="auto"/>
        <w:left w:val="none" w:sz="0" w:space="0" w:color="auto"/>
        <w:bottom w:val="none" w:sz="0" w:space="0" w:color="auto"/>
        <w:right w:val="none" w:sz="0" w:space="0" w:color="auto"/>
      </w:divBdr>
    </w:div>
    <w:div w:id="970792457">
      <w:bodyDiv w:val="1"/>
      <w:marLeft w:val="0"/>
      <w:marRight w:val="0"/>
      <w:marTop w:val="0"/>
      <w:marBottom w:val="0"/>
      <w:divBdr>
        <w:top w:val="none" w:sz="0" w:space="0" w:color="auto"/>
        <w:left w:val="none" w:sz="0" w:space="0" w:color="auto"/>
        <w:bottom w:val="none" w:sz="0" w:space="0" w:color="auto"/>
        <w:right w:val="none" w:sz="0" w:space="0" w:color="auto"/>
      </w:divBdr>
    </w:div>
    <w:div w:id="972446260">
      <w:bodyDiv w:val="1"/>
      <w:marLeft w:val="0"/>
      <w:marRight w:val="0"/>
      <w:marTop w:val="0"/>
      <w:marBottom w:val="0"/>
      <w:divBdr>
        <w:top w:val="none" w:sz="0" w:space="0" w:color="auto"/>
        <w:left w:val="none" w:sz="0" w:space="0" w:color="auto"/>
        <w:bottom w:val="none" w:sz="0" w:space="0" w:color="auto"/>
        <w:right w:val="none" w:sz="0" w:space="0" w:color="auto"/>
      </w:divBdr>
    </w:div>
    <w:div w:id="973220527">
      <w:bodyDiv w:val="1"/>
      <w:marLeft w:val="0"/>
      <w:marRight w:val="0"/>
      <w:marTop w:val="0"/>
      <w:marBottom w:val="0"/>
      <w:divBdr>
        <w:top w:val="none" w:sz="0" w:space="0" w:color="auto"/>
        <w:left w:val="none" w:sz="0" w:space="0" w:color="auto"/>
        <w:bottom w:val="none" w:sz="0" w:space="0" w:color="auto"/>
        <w:right w:val="none" w:sz="0" w:space="0" w:color="auto"/>
      </w:divBdr>
    </w:div>
    <w:div w:id="973409031">
      <w:bodyDiv w:val="1"/>
      <w:marLeft w:val="0"/>
      <w:marRight w:val="0"/>
      <w:marTop w:val="0"/>
      <w:marBottom w:val="0"/>
      <w:divBdr>
        <w:top w:val="none" w:sz="0" w:space="0" w:color="auto"/>
        <w:left w:val="none" w:sz="0" w:space="0" w:color="auto"/>
        <w:bottom w:val="none" w:sz="0" w:space="0" w:color="auto"/>
        <w:right w:val="none" w:sz="0" w:space="0" w:color="auto"/>
      </w:divBdr>
    </w:div>
    <w:div w:id="973487495">
      <w:bodyDiv w:val="1"/>
      <w:marLeft w:val="0"/>
      <w:marRight w:val="0"/>
      <w:marTop w:val="0"/>
      <w:marBottom w:val="0"/>
      <w:divBdr>
        <w:top w:val="none" w:sz="0" w:space="0" w:color="auto"/>
        <w:left w:val="none" w:sz="0" w:space="0" w:color="auto"/>
        <w:bottom w:val="none" w:sz="0" w:space="0" w:color="auto"/>
        <w:right w:val="none" w:sz="0" w:space="0" w:color="auto"/>
      </w:divBdr>
    </w:div>
    <w:div w:id="973608246">
      <w:bodyDiv w:val="1"/>
      <w:marLeft w:val="0"/>
      <w:marRight w:val="0"/>
      <w:marTop w:val="0"/>
      <w:marBottom w:val="0"/>
      <w:divBdr>
        <w:top w:val="none" w:sz="0" w:space="0" w:color="auto"/>
        <w:left w:val="none" w:sz="0" w:space="0" w:color="auto"/>
        <w:bottom w:val="none" w:sz="0" w:space="0" w:color="auto"/>
        <w:right w:val="none" w:sz="0" w:space="0" w:color="auto"/>
      </w:divBdr>
    </w:div>
    <w:div w:id="974022780">
      <w:bodyDiv w:val="1"/>
      <w:marLeft w:val="0"/>
      <w:marRight w:val="0"/>
      <w:marTop w:val="0"/>
      <w:marBottom w:val="0"/>
      <w:divBdr>
        <w:top w:val="none" w:sz="0" w:space="0" w:color="auto"/>
        <w:left w:val="none" w:sz="0" w:space="0" w:color="auto"/>
        <w:bottom w:val="none" w:sz="0" w:space="0" w:color="auto"/>
        <w:right w:val="none" w:sz="0" w:space="0" w:color="auto"/>
      </w:divBdr>
    </w:div>
    <w:div w:id="975254853">
      <w:bodyDiv w:val="1"/>
      <w:marLeft w:val="0"/>
      <w:marRight w:val="0"/>
      <w:marTop w:val="0"/>
      <w:marBottom w:val="0"/>
      <w:divBdr>
        <w:top w:val="none" w:sz="0" w:space="0" w:color="auto"/>
        <w:left w:val="none" w:sz="0" w:space="0" w:color="auto"/>
        <w:bottom w:val="none" w:sz="0" w:space="0" w:color="auto"/>
        <w:right w:val="none" w:sz="0" w:space="0" w:color="auto"/>
      </w:divBdr>
      <w:divsChild>
        <w:div w:id="79915398">
          <w:marLeft w:val="1166"/>
          <w:marRight w:val="0"/>
          <w:marTop w:val="86"/>
          <w:marBottom w:val="0"/>
          <w:divBdr>
            <w:top w:val="none" w:sz="0" w:space="0" w:color="auto"/>
            <w:left w:val="none" w:sz="0" w:space="0" w:color="auto"/>
            <w:bottom w:val="none" w:sz="0" w:space="0" w:color="auto"/>
            <w:right w:val="none" w:sz="0" w:space="0" w:color="auto"/>
          </w:divBdr>
        </w:div>
        <w:div w:id="298340457">
          <w:marLeft w:val="1166"/>
          <w:marRight w:val="0"/>
          <w:marTop w:val="86"/>
          <w:marBottom w:val="0"/>
          <w:divBdr>
            <w:top w:val="none" w:sz="0" w:space="0" w:color="auto"/>
            <w:left w:val="none" w:sz="0" w:space="0" w:color="auto"/>
            <w:bottom w:val="none" w:sz="0" w:space="0" w:color="auto"/>
            <w:right w:val="none" w:sz="0" w:space="0" w:color="auto"/>
          </w:divBdr>
        </w:div>
        <w:div w:id="516890517">
          <w:marLeft w:val="1166"/>
          <w:marRight w:val="0"/>
          <w:marTop w:val="86"/>
          <w:marBottom w:val="0"/>
          <w:divBdr>
            <w:top w:val="none" w:sz="0" w:space="0" w:color="auto"/>
            <w:left w:val="none" w:sz="0" w:space="0" w:color="auto"/>
            <w:bottom w:val="none" w:sz="0" w:space="0" w:color="auto"/>
            <w:right w:val="none" w:sz="0" w:space="0" w:color="auto"/>
          </w:divBdr>
        </w:div>
        <w:div w:id="682170317">
          <w:marLeft w:val="547"/>
          <w:marRight w:val="0"/>
          <w:marTop w:val="96"/>
          <w:marBottom w:val="0"/>
          <w:divBdr>
            <w:top w:val="none" w:sz="0" w:space="0" w:color="auto"/>
            <w:left w:val="none" w:sz="0" w:space="0" w:color="auto"/>
            <w:bottom w:val="none" w:sz="0" w:space="0" w:color="auto"/>
            <w:right w:val="none" w:sz="0" w:space="0" w:color="auto"/>
          </w:divBdr>
        </w:div>
        <w:div w:id="886453419">
          <w:marLeft w:val="1166"/>
          <w:marRight w:val="0"/>
          <w:marTop w:val="86"/>
          <w:marBottom w:val="0"/>
          <w:divBdr>
            <w:top w:val="none" w:sz="0" w:space="0" w:color="auto"/>
            <w:left w:val="none" w:sz="0" w:space="0" w:color="auto"/>
            <w:bottom w:val="none" w:sz="0" w:space="0" w:color="auto"/>
            <w:right w:val="none" w:sz="0" w:space="0" w:color="auto"/>
          </w:divBdr>
        </w:div>
        <w:div w:id="1011571092">
          <w:marLeft w:val="1166"/>
          <w:marRight w:val="0"/>
          <w:marTop w:val="86"/>
          <w:marBottom w:val="0"/>
          <w:divBdr>
            <w:top w:val="none" w:sz="0" w:space="0" w:color="auto"/>
            <w:left w:val="none" w:sz="0" w:space="0" w:color="auto"/>
            <w:bottom w:val="none" w:sz="0" w:space="0" w:color="auto"/>
            <w:right w:val="none" w:sz="0" w:space="0" w:color="auto"/>
          </w:divBdr>
        </w:div>
        <w:div w:id="1456753508">
          <w:marLeft w:val="1166"/>
          <w:marRight w:val="0"/>
          <w:marTop w:val="86"/>
          <w:marBottom w:val="0"/>
          <w:divBdr>
            <w:top w:val="none" w:sz="0" w:space="0" w:color="auto"/>
            <w:left w:val="none" w:sz="0" w:space="0" w:color="auto"/>
            <w:bottom w:val="none" w:sz="0" w:space="0" w:color="auto"/>
            <w:right w:val="none" w:sz="0" w:space="0" w:color="auto"/>
          </w:divBdr>
        </w:div>
        <w:div w:id="1721898489">
          <w:marLeft w:val="1800"/>
          <w:marRight w:val="0"/>
          <w:marTop w:val="86"/>
          <w:marBottom w:val="0"/>
          <w:divBdr>
            <w:top w:val="none" w:sz="0" w:space="0" w:color="auto"/>
            <w:left w:val="none" w:sz="0" w:space="0" w:color="auto"/>
            <w:bottom w:val="none" w:sz="0" w:space="0" w:color="auto"/>
            <w:right w:val="none" w:sz="0" w:space="0" w:color="auto"/>
          </w:divBdr>
        </w:div>
        <w:div w:id="1914050446">
          <w:marLeft w:val="1166"/>
          <w:marRight w:val="0"/>
          <w:marTop w:val="86"/>
          <w:marBottom w:val="0"/>
          <w:divBdr>
            <w:top w:val="none" w:sz="0" w:space="0" w:color="auto"/>
            <w:left w:val="none" w:sz="0" w:space="0" w:color="auto"/>
            <w:bottom w:val="none" w:sz="0" w:space="0" w:color="auto"/>
            <w:right w:val="none" w:sz="0" w:space="0" w:color="auto"/>
          </w:divBdr>
        </w:div>
        <w:div w:id="1916279382">
          <w:marLeft w:val="1166"/>
          <w:marRight w:val="0"/>
          <w:marTop w:val="86"/>
          <w:marBottom w:val="0"/>
          <w:divBdr>
            <w:top w:val="none" w:sz="0" w:space="0" w:color="auto"/>
            <w:left w:val="none" w:sz="0" w:space="0" w:color="auto"/>
            <w:bottom w:val="none" w:sz="0" w:space="0" w:color="auto"/>
            <w:right w:val="none" w:sz="0" w:space="0" w:color="auto"/>
          </w:divBdr>
        </w:div>
        <w:div w:id="1916284783">
          <w:marLeft w:val="1166"/>
          <w:marRight w:val="0"/>
          <w:marTop w:val="86"/>
          <w:marBottom w:val="0"/>
          <w:divBdr>
            <w:top w:val="none" w:sz="0" w:space="0" w:color="auto"/>
            <w:left w:val="none" w:sz="0" w:space="0" w:color="auto"/>
            <w:bottom w:val="none" w:sz="0" w:space="0" w:color="auto"/>
            <w:right w:val="none" w:sz="0" w:space="0" w:color="auto"/>
          </w:divBdr>
        </w:div>
        <w:div w:id="1934632057">
          <w:marLeft w:val="1166"/>
          <w:marRight w:val="0"/>
          <w:marTop w:val="86"/>
          <w:marBottom w:val="0"/>
          <w:divBdr>
            <w:top w:val="none" w:sz="0" w:space="0" w:color="auto"/>
            <w:left w:val="none" w:sz="0" w:space="0" w:color="auto"/>
            <w:bottom w:val="none" w:sz="0" w:space="0" w:color="auto"/>
            <w:right w:val="none" w:sz="0" w:space="0" w:color="auto"/>
          </w:divBdr>
        </w:div>
        <w:div w:id="2096437049">
          <w:marLeft w:val="547"/>
          <w:marRight w:val="0"/>
          <w:marTop w:val="96"/>
          <w:marBottom w:val="0"/>
          <w:divBdr>
            <w:top w:val="none" w:sz="0" w:space="0" w:color="auto"/>
            <w:left w:val="none" w:sz="0" w:space="0" w:color="auto"/>
            <w:bottom w:val="none" w:sz="0" w:space="0" w:color="auto"/>
            <w:right w:val="none" w:sz="0" w:space="0" w:color="auto"/>
          </w:divBdr>
        </w:div>
        <w:div w:id="2143041137">
          <w:marLeft w:val="547"/>
          <w:marRight w:val="0"/>
          <w:marTop w:val="96"/>
          <w:marBottom w:val="0"/>
          <w:divBdr>
            <w:top w:val="none" w:sz="0" w:space="0" w:color="auto"/>
            <w:left w:val="none" w:sz="0" w:space="0" w:color="auto"/>
            <w:bottom w:val="none" w:sz="0" w:space="0" w:color="auto"/>
            <w:right w:val="none" w:sz="0" w:space="0" w:color="auto"/>
          </w:divBdr>
        </w:div>
      </w:divsChild>
    </w:div>
    <w:div w:id="975573670">
      <w:bodyDiv w:val="1"/>
      <w:marLeft w:val="0"/>
      <w:marRight w:val="0"/>
      <w:marTop w:val="0"/>
      <w:marBottom w:val="0"/>
      <w:divBdr>
        <w:top w:val="none" w:sz="0" w:space="0" w:color="auto"/>
        <w:left w:val="none" w:sz="0" w:space="0" w:color="auto"/>
        <w:bottom w:val="none" w:sz="0" w:space="0" w:color="auto"/>
        <w:right w:val="none" w:sz="0" w:space="0" w:color="auto"/>
      </w:divBdr>
    </w:div>
    <w:div w:id="975644669">
      <w:bodyDiv w:val="1"/>
      <w:marLeft w:val="0"/>
      <w:marRight w:val="0"/>
      <w:marTop w:val="0"/>
      <w:marBottom w:val="0"/>
      <w:divBdr>
        <w:top w:val="none" w:sz="0" w:space="0" w:color="auto"/>
        <w:left w:val="none" w:sz="0" w:space="0" w:color="auto"/>
        <w:bottom w:val="none" w:sz="0" w:space="0" w:color="auto"/>
        <w:right w:val="none" w:sz="0" w:space="0" w:color="auto"/>
      </w:divBdr>
    </w:div>
    <w:div w:id="975793221">
      <w:bodyDiv w:val="1"/>
      <w:marLeft w:val="0"/>
      <w:marRight w:val="0"/>
      <w:marTop w:val="0"/>
      <w:marBottom w:val="0"/>
      <w:divBdr>
        <w:top w:val="none" w:sz="0" w:space="0" w:color="auto"/>
        <w:left w:val="none" w:sz="0" w:space="0" w:color="auto"/>
        <w:bottom w:val="none" w:sz="0" w:space="0" w:color="auto"/>
        <w:right w:val="none" w:sz="0" w:space="0" w:color="auto"/>
      </w:divBdr>
    </w:div>
    <w:div w:id="976180837">
      <w:bodyDiv w:val="1"/>
      <w:marLeft w:val="0"/>
      <w:marRight w:val="0"/>
      <w:marTop w:val="0"/>
      <w:marBottom w:val="0"/>
      <w:divBdr>
        <w:top w:val="none" w:sz="0" w:space="0" w:color="auto"/>
        <w:left w:val="none" w:sz="0" w:space="0" w:color="auto"/>
        <w:bottom w:val="none" w:sz="0" w:space="0" w:color="auto"/>
        <w:right w:val="none" w:sz="0" w:space="0" w:color="auto"/>
      </w:divBdr>
    </w:div>
    <w:div w:id="979842739">
      <w:bodyDiv w:val="1"/>
      <w:marLeft w:val="0"/>
      <w:marRight w:val="0"/>
      <w:marTop w:val="0"/>
      <w:marBottom w:val="0"/>
      <w:divBdr>
        <w:top w:val="none" w:sz="0" w:space="0" w:color="auto"/>
        <w:left w:val="none" w:sz="0" w:space="0" w:color="auto"/>
        <w:bottom w:val="none" w:sz="0" w:space="0" w:color="auto"/>
        <w:right w:val="none" w:sz="0" w:space="0" w:color="auto"/>
      </w:divBdr>
    </w:div>
    <w:div w:id="980117807">
      <w:bodyDiv w:val="1"/>
      <w:marLeft w:val="0"/>
      <w:marRight w:val="0"/>
      <w:marTop w:val="0"/>
      <w:marBottom w:val="0"/>
      <w:divBdr>
        <w:top w:val="none" w:sz="0" w:space="0" w:color="auto"/>
        <w:left w:val="none" w:sz="0" w:space="0" w:color="auto"/>
        <w:bottom w:val="none" w:sz="0" w:space="0" w:color="auto"/>
        <w:right w:val="none" w:sz="0" w:space="0" w:color="auto"/>
      </w:divBdr>
    </w:div>
    <w:div w:id="980619733">
      <w:bodyDiv w:val="1"/>
      <w:marLeft w:val="0"/>
      <w:marRight w:val="0"/>
      <w:marTop w:val="0"/>
      <w:marBottom w:val="0"/>
      <w:divBdr>
        <w:top w:val="none" w:sz="0" w:space="0" w:color="auto"/>
        <w:left w:val="none" w:sz="0" w:space="0" w:color="auto"/>
        <w:bottom w:val="none" w:sz="0" w:space="0" w:color="auto"/>
        <w:right w:val="none" w:sz="0" w:space="0" w:color="auto"/>
      </w:divBdr>
    </w:div>
    <w:div w:id="980814266">
      <w:bodyDiv w:val="1"/>
      <w:marLeft w:val="0"/>
      <w:marRight w:val="0"/>
      <w:marTop w:val="0"/>
      <w:marBottom w:val="0"/>
      <w:divBdr>
        <w:top w:val="none" w:sz="0" w:space="0" w:color="auto"/>
        <w:left w:val="none" w:sz="0" w:space="0" w:color="auto"/>
        <w:bottom w:val="none" w:sz="0" w:space="0" w:color="auto"/>
        <w:right w:val="none" w:sz="0" w:space="0" w:color="auto"/>
      </w:divBdr>
    </w:div>
    <w:div w:id="981348537">
      <w:bodyDiv w:val="1"/>
      <w:marLeft w:val="0"/>
      <w:marRight w:val="0"/>
      <w:marTop w:val="0"/>
      <w:marBottom w:val="0"/>
      <w:divBdr>
        <w:top w:val="none" w:sz="0" w:space="0" w:color="auto"/>
        <w:left w:val="none" w:sz="0" w:space="0" w:color="auto"/>
        <w:bottom w:val="none" w:sz="0" w:space="0" w:color="auto"/>
        <w:right w:val="none" w:sz="0" w:space="0" w:color="auto"/>
      </w:divBdr>
    </w:div>
    <w:div w:id="981932676">
      <w:bodyDiv w:val="1"/>
      <w:marLeft w:val="0"/>
      <w:marRight w:val="0"/>
      <w:marTop w:val="0"/>
      <w:marBottom w:val="0"/>
      <w:divBdr>
        <w:top w:val="none" w:sz="0" w:space="0" w:color="auto"/>
        <w:left w:val="none" w:sz="0" w:space="0" w:color="auto"/>
        <w:bottom w:val="none" w:sz="0" w:space="0" w:color="auto"/>
        <w:right w:val="none" w:sz="0" w:space="0" w:color="auto"/>
      </w:divBdr>
    </w:div>
    <w:div w:id="982269563">
      <w:bodyDiv w:val="1"/>
      <w:marLeft w:val="0"/>
      <w:marRight w:val="0"/>
      <w:marTop w:val="0"/>
      <w:marBottom w:val="0"/>
      <w:divBdr>
        <w:top w:val="none" w:sz="0" w:space="0" w:color="auto"/>
        <w:left w:val="none" w:sz="0" w:space="0" w:color="auto"/>
        <w:bottom w:val="none" w:sz="0" w:space="0" w:color="auto"/>
        <w:right w:val="none" w:sz="0" w:space="0" w:color="auto"/>
      </w:divBdr>
    </w:div>
    <w:div w:id="982664623">
      <w:bodyDiv w:val="1"/>
      <w:marLeft w:val="0"/>
      <w:marRight w:val="0"/>
      <w:marTop w:val="0"/>
      <w:marBottom w:val="0"/>
      <w:divBdr>
        <w:top w:val="none" w:sz="0" w:space="0" w:color="auto"/>
        <w:left w:val="none" w:sz="0" w:space="0" w:color="auto"/>
        <w:bottom w:val="none" w:sz="0" w:space="0" w:color="auto"/>
        <w:right w:val="none" w:sz="0" w:space="0" w:color="auto"/>
      </w:divBdr>
    </w:div>
    <w:div w:id="983773246">
      <w:bodyDiv w:val="1"/>
      <w:marLeft w:val="0"/>
      <w:marRight w:val="0"/>
      <w:marTop w:val="0"/>
      <w:marBottom w:val="0"/>
      <w:divBdr>
        <w:top w:val="none" w:sz="0" w:space="0" w:color="auto"/>
        <w:left w:val="none" w:sz="0" w:space="0" w:color="auto"/>
        <w:bottom w:val="none" w:sz="0" w:space="0" w:color="auto"/>
        <w:right w:val="none" w:sz="0" w:space="0" w:color="auto"/>
      </w:divBdr>
    </w:div>
    <w:div w:id="984889913">
      <w:bodyDiv w:val="1"/>
      <w:marLeft w:val="0"/>
      <w:marRight w:val="0"/>
      <w:marTop w:val="0"/>
      <w:marBottom w:val="0"/>
      <w:divBdr>
        <w:top w:val="none" w:sz="0" w:space="0" w:color="auto"/>
        <w:left w:val="none" w:sz="0" w:space="0" w:color="auto"/>
        <w:bottom w:val="none" w:sz="0" w:space="0" w:color="auto"/>
        <w:right w:val="none" w:sz="0" w:space="0" w:color="auto"/>
      </w:divBdr>
    </w:div>
    <w:div w:id="986516167">
      <w:bodyDiv w:val="1"/>
      <w:marLeft w:val="0"/>
      <w:marRight w:val="0"/>
      <w:marTop w:val="0"/>
      <w:marBottom w:val="0"/>
      <w:divBdr>
        <w:top w:val="none" w:sz="0" w:space="0" w:color="auto"/>
        <w:left w:val="none" w:sz="0" w:space="0" w:color="auto"/>
        <w:bottom w:val="none" w:sz="0" w:space="0" w:color="auto"/>
        <w:right w:val="none" w:sz="0" w:space="0" w:color="auto"/>
      </w:divBdr>
    </w:div>
    <w:div w:id="986663029">
      <w:bodyDiv w:val="1"/>
      <w:marLeft w:val="0"/>
      <w:marRight w:val="0"/>
      <w:marTop w:val="0"/>
      <w:marBottom w:val="0"/>
      <w:divBdr>
        <w:top w:val="none" w:sz="0" w:space="0" w:color="auto"/>
        <w:left w:val="none" w:sz="0" w:space="0" w:color="auto"/>
        <w:bottom w:val="none" w:sz="0" w:space="0" w:color="auto"/>
        <w:right w:val="none" w:sz="0" w:space="0" w:color="auto"/>
      </w:divBdr>
      <w:divsChild>
        <w:div w:id="450248013">
          <w:marLeft w:val="1166"/>
          <w:marRight w:val="0"/>
          <w:marTop w:val="115"/>
          <w:marBottom w:val="0"/>
          <w:divBdr>
            <w:top w:val="none" w:sz="0" w:space="0" w:color="auto"/>
            <w:left w:val="none" w:sz="0" w:space="0" w:color="auto"/>
            <w:bottom w:val="none" w:sz="0" w:space="0" w:color="auto"/>
            <w:right w:val="none" w:sz="0" w:space="0" w:color="auto"/>
          </w:divBdr>
        </w:div>
        <w:div w:id="693767481">
          <w:marLeft w:val="547"/>
          <w:marRight w:val="0"/>
          <w:marTop w:val="154"/>
          <w:marBottom w:val="0"/>
          <w:divBdr>
            <w:top w:val="none" w:sz="0" w:space="0" w:color="auto"/>
            <w:left w:val="none" w:sz="0" w:space="0" w:color="auto"/>
            <w:bottom w:val="none" w:sz="0" w:space="0" w:color="auto"/>
            <w:right w:val="none" w:sz="0" w:space="0" w:color="auto"/>
          </w:divBdr>
        </w:div>
        <w:div w:id="1206680258">
          <w:marLeft w:val="1800"/>
          <w:marRight w:val="0"/>
          <w:marTop w:val="86"/>
          <w:marBottom w:val="0"/>
          <w:divBdr>
            <w:top w:val="none" w:sz="0" w:space="0" w:color="auto"/>
            <w:left w:val="none" w:sz="0" w:space="0" w:color="auto"/>
            <w:bottom w:val="none" w:sz="0" w:space="0" w:color="auto"/>
            <w:right w:val="none" w:sz="0" w:space="0" w:color="auto"/>
          </w:divBdr>
        </w:div>
        <w:div w:id="1747150266">
          <w:marLeft w:val="1166"/>
          <w:marRight w:val="0"/>
          <w:marTop w:val="115"/>
          <w:marBottom w:val="0"/>
          <w:divBdr>
            <w:top w:val="none" w:sz="0" w:space="0" w:color="auto"/>
            <w:left w:val="none" w:sz="0" w:space="0" w:color="auto"/>
            <w:bottom w:val="none" w:sz="0" w:space="0" w:color="auto"/>
            <w:right w:val="none" w:sz="0" w:space="0" w:color="auto"/>
          </w:divBdr>
        </w:div>
        <w:div w:id="2079327129">
          <w:marLeft w:val="547"/>
          <w:marRight w:val="0"/>
          <w:marTop w:val="154"/>
          <w:marBottom w:val="0"/>
          <w:divBdr>
            <w:top w:val="none" w:sz="0" w:space="0" w:color="auto"/>
            <w:left w:val="none" w:sz="0" w:space="0" w:color="auto"/>
            <w:bottom w:val="none" w:sz="0" w:space="0" w:color="auto"/>
            <w:right w:val="none" w:sz="0" w:space="0" w:color="auto"/>
          </w:divBdr>
        </w:div>
      </w:divsChild>
    </w:div>
    <w:div w:id="988092755">
      <w:bodyDiv w:val="1"/>
      <w:marLeft w:val="0"/>
      <w:marRight w:val="0"/>
      <w:marTop w:val="0"/>
      <w:marBottom w:val="0"/>
      <w:divBdr>
        <w:top w:val="none" w:sz="0" w:space="0" w:color="auto"/>
        <w:left w:val="none" w:sz="0" w:space="0" w:color="auto"/>
        <w:bottom w:val="none" w:sz="0" w:space="0" w:color="auto"/>
        <w:right w:val="none" w:sz="0" w:space="0" w:color="auto"/>
      </w:divBdr>
      <w:divsChild>
        <w:div w:id="74010365">
          <w:marLeft w:val="1800"/>
          <w:marRight w:val="0"/>
          <w:marTop w:val="77"/>
          <w:marBottom w:val="0"/>
          <w:divBdr>
            <w:top w:val="none" w:sz="0" w:space="0" w:color="auto"/>
            <w:left w:val="none" w:sz="0" w:space="0" w:color="auto"/>
            <w:bottom w:val="none" w:sz="0" w:space="0" w:color="auto"/>
            <w:right w:val="none" w:sz="0" w:space="0" w:color="auto"/>
          </w:divBdr>
        </w:div>
        <w:div w:id="281378640">
          <w:marLeft w:val="547"/>
          <w:marRight w:val="0"/>
          <w:marTop w:val="115"/>
          <w:marBottom w:val="0"/>
          <w:divBdr>
            <w:top w:val="none" w:sz="0" w:space="0" w:color="auto"/>
            <w:left w:val="none" w:sz="0" w:space="0" w:color="auto"/>
            <w:bottom w:val="none" w:sz="0" w:space="0" w:color="auto"/>
            <w:right w:val="none" w:sz="0" w:space="0" w:color="auto"/>
          </w:divBdr>
        </w:div>
        <w:div w:id="717825804">
          <w:marLeft w:val="1166"/>
          <w:marRight w:val="0"/>
          <w:marTop w:val="96"/>
          <w:marBottom w:val="0"/>
          <w:divBdr>
            <w:top w:val="none" w:sz="0" w:space="0" w:color="auto"/>
            <w:left w:val="none" w:sz="0" w:space="0" w:color="auto"/>
            <w:bottom w:val="none" w:sz="0" w:space="0" w:color="auto"/>
            <w:right w:val="none" w:sz="0" w:space="0" w:color="auto"/>
          </w:divBdr>
        </w:div>
        <w:div w:id="999382739">
          <w:marLeft w:val="2520"/>
          <w:marRight w:val="0"/>
          <w:marTop w:val="67"/>
          <w:marBottom w:val="0"/>
          <w:divBdr>
            <w:top w:val="none" w:sz="0" w:space="0" w:color="auto"/>
            <w:left w:val="none" w:sz="0" w:space="0" w:color="auto"/>
            <w:bottom w:val="none" w:sz="0" w:space="0" w:color="auto"/>
            <w:right w:val="none" w:sz="0" w:space="0" w:color="auto"/>
          </w:divBdr>
        </w:div>
        <w:div w:id="1248734423">
          <w:marLeft w:val="1800"/>
          <w:marRight w:val="0"/>
          <w:marTop w:val="77"/>
          <w:marBottom w:val="0"/>
          <w:divBdr>
            <w:top w:val="none" w:sz="0" w:space="0" w:color="auto"/>
            <w:left w:val="none" w:sz="0" w:space="0" w:color="auto"/>
            <w:bottom w:val="none" w:sz="0" w:space="0" w:color="auto"/>
            <w:right w:val="none" w:sz="0" w:space="0" w:color="auto"/>
          </w:divBdr>
        </w:div>
        <w:div w:id="1422800649">
          <w:marLeft w:val="1166"/>
          <w:marRight w:val="0"/>
          <w:marTop w:val="96"/>
          <w:marBottom w:val="0"/>
          <w:divBdr>
            <w:top w:val="none" w:sz="0" w:space="0" w:color="auto"/>
            <w:left w:val="none" w:sz="0" w:space="0" w:color="auto"/>
            <w:bottom w:val="none" w:sz="0" w:space="0" w:color="auto"/>
            <w:right w:val="none" w:sz="0" w:space="0" w:color="auto"/>
          </w:divBdr>
        </w:div>
        <w:div w:id="1753895592">
          <w:marLeft w:val="3240"/>
          <w:marRight w:val="0"/>
          <w:marTop w:val="58"/>
          <w:marBottom w:val="0"/>
          <w:divBdr>
            <w:top w:val="none" w:sz="0" w:space="0" w:color="auto"/>
            <w:left w:val="none" w:sz="0" w:space="0" w:color="auto"/>
            <w:bottom w:val="none" w:sz="0" w:space="0" w:color="auto"/>
            <w:right w:val="none" w:sz="0" w:space="0" w:color="auto"/>
          </w:divBdr>
        </w:div>
        <w:div w:id="1821187161">
          <w:marLeft w:val="1800"/>
          <w:marRight w:val="0"/>
          <w:marTop w:val="77"/>
          <w:marBottom w:val="0"/>
          <w:divBdr>
            <w:top w:val="none" w:sz="0" w:space="0" w:color="auto"/>
            <w:left w:val="none" w:sz="0" w:space="0" w:color="auto"/>
            <w:bottom w:val="none" w:sz="0" w:space="0" w:color="auto"/>
            <w:right w:val="none" w:sz="0" w:space="0" w:color="auto"/>
          </w:divBdr>
        </w:div>
      </w:divsChild>
    </w:div>
    <w:div w:id="988898330">
      <w:bodyDiv w:val="1"/>
      <w:marLeft w:val="0"/>
      <w:marRight w:val="0"/>
      <w:marTop w:val="0"/>
      <w:marBottom w:val="0"/>
      <w:divBdr>
        <w:top w:val="none" w:sz="0" w:space="0" w:color="auto"/>
        <w:left w:val="none" w:sz="0" w:space="0" w:color="auto"/>
        <w:bottom w:val="none" w:sz="0" w:space="0" w:color="auto"/>
        <w:right w:val="none" w:sz="0" w:space="0" w:color="auto"/>
      </w:divBdr>
    </w:div>
    <w:div w:id="991062947">
      <w:bodyDiv w:val="1"/>
      <w:marLeft w:val="0"/>
      <w:marRight w:val="0"/>
      <w:marTop w:val="0"/>
      <w:marBottom w:val="0"/>
      <w:divBdr>
        <w:top w:val="none" w:sz="0" w:space="0" w:color="auto"/>
        <w:left w:val="none" w:sz="0" w:space="0" w:color="auto"/>
        <w:bottom w:val="none" w:sz="0" w:space="0" w:color="auto"/>
        <w:right w:val="none" w:sz="0" w:space="0" w:color="auto"/>
      </w:divBdr>
    </w:div>
    <w:div w:id="992105619">
      <w:bodyDiv w:val="1"/>
      <w:marLeft w:val="0"/>
      <w:marRight w:val="0"/>
      <w:marTop w:val="0"/>
      <w:marBottom w:val="0"/>
      <w:divBdr>
        <w:top w:val="none" w:sz="0" w:space="0" w:color="auto"/>
        <w:left w:val="none" w:sz="0" w:space="0" w:color="auto"/>
        <w:bottom w:val="none" w:sz="0" w:space="0" w:color="auto"/>
        <w:right w:val="none" w:sz="0" w:space="0" w:color="auto"/>
      </w:divBdr>
    </w:div>
    <w:div w:id="992298320">
      <w:bodyDiv w:val="1"/>
      <w:marLeft w:val="0"/>
      <w:marRight w:val="0"/>
      <w:marTop w:val="0"/>
      <w:marBottom w:val="0"/>
      <w:divBdr>
        <w:top w:val="none" w:sz="0" w:space="0" w:color="auto"/>
        <w:left w:val="none" w:sz="0" w:space="0" w:color="auto"/>
        <w:bottom w:val="none" w:sz="0" w:space="0" w:color="auto"/>
        <w:right w:val="none" w:sz="0" w:space="0" w:color="auto"/>
      </w:divBdr>
    </w:div>
    <w:div w:id="992415334">
      <w:bodyDiv w:val="1"/>
      <w:marLeft w:val="0"/>
      <w:marRight w:val="0"/>
      <w:marTop w:val="0"/>
      <w:marBottom w:val="0"/>
      <w:divBdr>
        <w:top w:val="none" w:sz="0" w:space="0" w:color="auto"/>
        <w:left w:val="none" w:sz="0" w:space="0" w:color="auto"/>
        <w:bottom w:val="none" w:sz="0" w:space="0" w:color="auto"/>
        <w:right w:val="none" w:sz="0" w:space="0" w:color="auto"/>
      </w:divBdr>
    </w:div>
    <w:div w:id="993142650">
      <w:bodyDiv w:val="1"/>
      <w:marLeft w:val="0"/>
      <w:marRight w:val="0"/>
      <w:marTop w:val="0"/>
      <w:marBottom w:val="0"/>
      <w:divBdr>
        <w:top w:val="none" w:sz="0" w:space="0" w:color="auto"/>
        <w:left w:val="none" w:sz="0" w:space="0" w:color="auto"/>
        <w:bottom w:val="none" w:sz="0" w:space="0" w:color="auto"/>
        <w:right w:val="none" w:sz="0" w:space="0" w:color="auto"/>
      </w:divBdr>
    </w:div>
    <w:div w:id="995299737">
      <w:bodyDiv w:val="1"/>
      <w:marLeft w:val="0"/>
      <w:marRight w:val="0"/>
      <w:marTop w:val="0"/>
      <w:marBottom w:val="0"/>
      <w:divBdr>
        <w:top w:val="none" w:sz="0" w:space="0" w:color="auto"/>
        <w:left w:val="none" w:sz="0" w:space="0" w:color="auto"/>
        <w:bottom w:val="none" w:sz="0" w:space="0" w:color="auto"/>
        <w:right w:val="none" w:sz="0" w:space="0" w:color="auto"/>
      </w:divBdr>
    </w:div>
    <w:div w:id="995451176">
      <w:bodyDiv w:val="1"/>
      <w:marLeft w:val="0"/>
      <w:marRight w:val="0"/>
      <w:marTop w:val="0"/>
      <w:marBottom w:val="0"/>
      <w:divBdr>
        <w:top w:val="none" w:sz="0" w:space="0" w:color="auto"/>
        <w:left w:val="none" w:sz="0" w:space="0" w:color="auto"/>
        <w:bottom w:val="none" w:sz="0" w:space="0" w:color="auto"/>
        <w:right w:val="none" w:sz="0" w:space="0" w:color="auto"/>
      </w:divBdr>
    </w:div>
    <w:div w:id="996886761">
      <w:bodyDiv w:val="1"/>
      <w:marLeft w:val="0"/>
      <w:marRight w:val="0"/>
      <w:marTop w:val="0"/>
      <w:marBottom w:val="0"/>
      <w:divBdr>
        <w:top w:val="none" w:sz="0" w:space="0" w:color="auto"/>
        <w:left w:val="none" w:sz="0" w:space="0" w:color="auto"/>
        <w:bottom w:val="none" w:sz="0" w:space="0" w:color="auto"/>
        <w:right w:val="none" w:sz="0" w:space="0" w:color="auto"/>
      </w:divBdr>
    </w:div>
    <w:div w:id="997226201">
      <w:bodyDiv w:val="1"/>
      <w:marLeft w:val="0"/>
      <w:marRight w:val="0"/>
      <w:marTop w:val="0"/>
      <w:marBottom w:val="0"/>
      <w:divBdr>
        <w:top w:val="none" w:sz="0" w:space="0" w:color="auto"/>
        <w:left w:val="none" w:sz="0" w:space="0" w:color="auto"/>
        <w:bottom w:val="none" w:sz="0" w:space="0" w:color="auto"/>
        <w:right w:val="none" w:sz="0" w:space="0" w:color="auto"/>
      </w:divBdr>
      <w:divsChild>
        <w:div w:id="372115585">
          <w:marLeft w:val="1166"/>
          <w:marRight w:val="0"/>
          <w:marTop w:val="134"/>
          <w:marBottom w:val="0"/>
          <w:divBdr>
            <w:top w:val="none" w:sz="0" w:space="0" w:color="auto"/>
            <w:left w:val="none" w:sz="0" w:space="0" w:color="auto"/>
            <w:bottom w:val="none" w:sz="0" w:space="0" w:color="auto"/>
            <w:right w:val="none" w:sz="0" w:space="0" w:color="auto"/>
          </w:divBdr>
        </w:div>
        <w:div w:id="710225073">
          <w:marLeft w:val="1166"/>
          <w:marRight w:val="0"/>
          <w:marTop w:val="134"/>
          <w:marBottom w:val="0"/>
          <w:divBdr>
            <w:top w:val="none" w:sz="0" w:space="0" w:color="auto"/>
            <w:left w:val="none" w:sz="0" w:space="0" w:color="auto"/>
            <w:bottom w:val="none" w:sz="0" w:space="0" w:color="auto"/>
            <w:right w:val="none" w:sz="0" w:space="0" w:color="auto"/>
          </w:divBdr>
        </w:div>
        <w:div w:id="880092556">
          <w:marLeft w:val="547"/>
          <w:marRight w:val="0"/>
          <w:marTop w:val="144"/>
          <w:marBottom w:val="0"/>
          <w:divBdr>
            <w:top w:val="none" w:sz="0" w:space="0" w:color="auto"/>
            <w:left w:val="none" w:sz="0" w:space="0" w:color="auto"/>
            <w:bottom w:val="none" w:sz="0" w:space="0" w:color="auto"/>
            <w:right w:val="none" w:sz="0" w:space="0" w:color="auto"/>
          </w:divBdr>
        </w:div>
        <w:div w:id="1238900688">
          <w:marLeft w:val="1166"/>
          <w:marRight w:val="0"/>
          <w:marTop w:val="134"/>
          <w:marBottom w:val="0"/>
          <w:divBdr>
            <w:top w:val="none" w:sz="0" w:space="0" w:color="auto"/>
            <w:left w:val="none" w:sz="0" w:space="0" w:color="auto"/>
            <w:bottom w:val="none" w:sz="0" w:space="0" w:color="auto"/>
            <w:right w:val="none" w:sz="0" w:space="0" w:color="auto"/>
          </w:divBdr>
        </w:div>
        <w:div w:id="1249003612">
          <w:marLeft w:val="547"/>
          <w:marRight w:val="0"/>
          <w:marTop w:val="144"/>
          <w:marBottom w:val="0"/>
          <w:divBdr>
            <w:top w:val="none" w:sz="0" w:space="0" w:color="auto"/>
            <w:left w:val="none" w:sz="0" w:space="0" w:color="auto"/>
            <w:bottom w:val="none" w:sz="0" w:space="0" w:color="auto"/>
            <w:right w:val="none" w:sz="0" w:space="0" w:color="auto"/>
          </w:divBdr>
        </w:div>
        <w:div w:id="1651013409">
          <w:marLeft w:val="1166"/>
          <w:marRight w:val="0"/>
          <w:marTop w:val="134"/>
          <w:marBottom w:val="0"/>
          <w:divBdr>
            <w:top w:val="none" w:sz="0" w:space="0" w:color="auto"/>
            <w:left w:val="none" w:sz="0" w:space="0" w:color="auto"/>
            <w:bottom w:val="none" w:sz="0" w:space="0" w:color="auto"/>
            <w:right w:val="none" w:sz="0" w:space="0" w:color="auto"/>
          </w:divBdr>
        </w:div>
        <w:div w:id="1888948664">
          <w:marLeft w:val="547"/>
          <w:marRight w:val="0"/>
          <w:marTop w:val="144"/>
          <w:marBottom w:val="0"/>
          <w:divBdr>
            <w:top w:val="none" w:sz="0" w:space="0" w:color="auto"/>
            <w:left w:val="none" w:sz="0" w:space="0" w:color="auto"/>
            <w:bottom w:val="none" w:sz="0" w:space="0" w:color="auto"/>
            <w:right w:val="none" w:sz="0" w:space="0" w:color="auto"/>
          </w:divBdr>
        </w:div>
        <w:div w:id="2067758487">
          <w:marLeft w:val="1166"/>
          <w:marRight w:val="0"/>
          <w:marTop w:val="134"/>
          <w:marBottom w:val="0"/>
          <w:divBdr>
            <w:top w:val="none" w:sz="0" w:space="0" w:color="auto"/>
            <w:left w:val="none" w:sz="0" w:space="0" w:color="auto"/>
            <w:bottom w:val="none" w:sz="0" w:space="0" w:color="auto"/>
            <w:right w:val="none" w:sz="0" w:space="0" w:color="auto"/>
          </w:divBdr>
        </w:div>
      </w:divsChild>
    </w:div>
    <w:div w:id="997341752">
      <w:bodyDiv w:val="1"/>
      <w:marLeft w:val="0"/>
      <w:marRight w:val="0"/>
      <w:marTop w:val="0"/>
      <w:marBottom w:val="0"/>
      <w:divBdr>
        <w:top w:val="none" w:sz="0" w:space="0" w:color="auto"/>
        <w:left w:val="none" w:sz="0" w:space="0" w:color="auto"/>
        <w:bottom w:val="none" w:sz="0" w:space="0" w:color="auto"/>
        <w:right w:val="none" w:sz="0" w:space="0" w:color="auto"/>
      </w:divBdr>
      <w:divsChild>
        <w:div w:id="125128688">
          <w:marLeft w:val="1166"/>
          <w:marRight w:val="0"/>
          <w:marTop w:val="106"/>
          <w:marBottom w:val="0"/>
          <w:divBdr>
            <w:top w:val="none" w:sz="0" w:space="0" w:color="auto"/>
            <w:left w:val="none" w:sz="0" w:space="0" w:color="auto"/>
            <w:bottom w:val="none" w:sz="0" w:space="0" w:color="auto"/>
            <w:right w:val="none" w:sz="0" w:space="0" w:color="auto"/>
          </w:divBdr>
        </w:div>
        <w:div w:id="421221588">
          <w:marLeft w:val="1166"/>
          <w:marRight w:val="0"/>
          <w:marTop w:val="106"/>
          <w:marBottom w:val="0"/>
          <w:divBdr>
            <w:top w:val="none" w:sz="0" w:space="0" w:color="auto"/>
            <w:left w:val="none" w:sz="0" w:space="0" w:color="auto"/>
            <w:bottom w:val="none" w:sz="0" w:space="0" w:color="auto"/>
            <w:right w:val="none" w:sz="0" w:space="0" w:color="auto"/>
          </w:divBdr>
        </w:div>
      </w:divsChild>
    </w:div>
    <w:div w:id="997727546">
      <w:bodyDiv w:val="1"/>
      <w:marLeft w:val="0"/>
      <w:marRight w:val="0"/>
      <w:marTop w:val="0"/>
      <w:marBottom w:val="0"/>
      <w:divBdr>
        <w:top w:val="none" w:sz="0" w:space="0" w:color="auto"/>
        <w:left w:val="none" w:sz="0" w:space="0" w:color="auto"/>
        <w:bottom w:val="none" w:sz="0" w:space="0" w:color="auto"/>
        <w:right w:val="none" w:sz="0" w:space="0" w:color="auto"/>
      </w:divBdr>
    </w:div>
    <w:div w:id="998191716">
      <w:bodyDiv w:val="1"/>
      <w:marLeft w:val="0"/>
      <w:marRight w:val="0"/>
      <w:marTop w:val="0"/>
      <w:marBottom w:val="0"/>
      <w:divBdr>
        <w:top w:val="none" w:sz="0" w:space="0" w:color="auto"/>
        <w:left w:val="none" w:sz="0" w:space="0" w:color="auto"/>
        <w:bottom w:val="none" w:sz="0" w:space="0" w:color="auto"/>
        <w:right w:val="none" w:sz="0" w:space="0" w:color="auto"/>
      </w:divBdr>
    </w:div>
    <w:div w:id="998537897">
      <w:bodyDiv w:val="1"/>
      <w:marLeft w:val="0"/>
      <w:marRight w:val="0"/>
      <w:marTop w:val="0"/>
      <w:marBottom w:val="0"/>
      <w:divBdr>
        <w:top w:val="none" w:sz="0" w:space="0" w:color="auto"/>
        <w:left w:val="none" w:sz="0" w:space="0" w:color="auto"/>
        <w:bottom w:val="none" w:sz="0" w:space="0" w:color="auto"/>
        <w:right w:val="none" w:sz="0" w:space="0" w:color="auto"/>
      </w:divBdr>
    </w:div>
    <w:div w:id="999045825">
      <w:bodyDiv w:val="1"/>
      <w:marLeft w:val="0"/>
      <w:marRight w:val="0"/>
      <w:marTop w:val="0"/>
      <w:marBottom w:val="0"/>
      <w:divBdr>
        <w:top w:val="none" w:sz="0" w:space="0" w:color="auto"/>
        <w:left w:val="none" w:sz="0" w:space="0" w:color="auto"/>
        <w:bottom w:val="none" w:sz="0" w:space="0" w:color="auto"/>
        <w:right w:val="none" w:sz="0" w:space="0" w:color="auto"/>
      </w:divBdr>
    </w:div>
    <w:div w:id="1000231622">
      <w:bodyDiv w:val="1"/>
      <w:marLeft w:val="0"/>
      <w:marRight w:val="0"/>
      <w:marTop w:val="0"/>
      <w:marBottom w:val="0"/>
      <w:divBdr>
        <w:top w:val="none" w:sz="0" w:space="0" w:color="auto"/>
        <w:left w:val="none" w:sz="0" w:space="0" w:color="auto"/>
        <w:bottom w:val="none" w:sz="0" w:space="0" w:color="auto"/>
        <w:right w:val="none" w:sz="0" w:space="0" w:color="auto"/>
      </w:divBdr>
    </w:div>
    <w:div w:id="1000278657">
      <w:bodyDiv w:val="1"/>
      <w:marLeft w:val="0"/>
      <w:marRight w:val="0"/>
      <w:marTop w:val="0"/>
      <w:marBottom w:val="0"/>
      <w:divBdr>
        <w:top w:val="none" w:sz="0" w:space="0" w:color="auto"/>
        <w:left w:val="none" w:sz="0" w:space="0" w:color="auto"/>
        <w:bottom w:val="none" w:sz="0" w:space="0" w:color="auto"/>
        <w:right w:val="none" w:sz="0" w:space="0" w:color="auto"/>
      </w:divBdr>
      <w:divsChild>
        <w:div w:id="1660646389">
          <w:marLeft w:val="1800"/>
          <w:marRight w:val="0"/>
          <w:marTop w:val="115"/>
          <w:marBottom w:val="0"/>
          <w:divBdr>
            <w:top w:val="none" w:sz="0" w:space="0" w:color="auto"/>
            <w:left w:val="none" w:sz="0" w:space="0" w:color="auto"/>
            <w:bottom w:val="none" w:sz="0" w:space="0" w:color="auto"/>
            <w:right w:val="none" w:sz="0" w:space="0" w:color="auto"/>
          </w:divBdr>
        </w:div>
        <w:div w:id="1673949720">
          <w:marLeft w:val="1166"/>
          <w:marRight w:val="0"/>
          <w:marTop w:val="134"/>
          <w:marBottom w:val="0"/>
          <w:divBdr>
            <w:top w:val="none" w:sz="0" w:space="0" w:color="auto"/>
            <w:left w:val="none" w:sz="0" w:space="0" w:color="auto"/>
            <w:bottom w:val="none" w:sz="0" w:space="0" w:color="auto"/>
            <w:right w:val="none" w:sz="0" w:space="0" w:color="auto"/>
          </w:divBdr>
        </w:div>
      </w:divsChild>
    </w:div>
    <w:div w:id="1001390644">
      <w:bodyDiv w:val="1"/>
      <w:marLeft w:val="0"/>
      <w:marRight w:val="0"/>
      <w:marTop w:val="0"/>
      <w:marBottom w:val="0"/>
      <w:divBdr>
        <w:top w:val="none" w:sz="0" w:space="0" w:color="auto"/>
        <w:left w:val="none" w:sz="0" w:space="0" w:color="auto"/>
        <w:bottom w:val="none" w:sz="0" w:space="0" w:color="auto"/>
        <w:right w:val="none" w:sz="0" w:space="0" w:color="auto"/>
      </w:divBdr>
      <w:divsChild>
        <w:div w:id="295723990">
          <w:marLeft w:val="547"/>
          <w:marRight w:val="0"/>
          <w:marTop w:val="134"/>
          <w:marBottom w:val="0"/>
          <w:divBdr>
            <w:top w:val="none" w:sz="0" w:space="0" w:color="auto"/>
            <w:left w:val="none" w:sz="0" w:space="0" w:color="auto"/>
            <w:bottom w:val="none" w:sz="0" w:space="0" w:color="auto"/>
            <w:right w:val="none" w:sz="0" w:space="0" w:color="auto"/>
          </w:divBdr>
        </w:div>
        <w:div w:id="862088044">
          <w:marLeft w:val="1166"/>
          <w:marRight w:val="0"/>
          <w:marTop w:val="115"/>
          <w:marBottom w:val="0"/>
          <w:divBdr>
            <w:top w:val="none" w:sz="0" w:space="0" w:color="auto"/>
            <w:left w:val="none" w:sz="0" w:space="0" w:color="auto"/>
            <w:bottom w:val="none" w:sz="0" w:space="0" w:color="auto"/>
            <w:right w:val="none" w:sz="0" w:space="0" w:color="auto"/>
          </w:divBdr>
        </w:div>
        <w:div w:id="923414949">
          <w:marLeft w:val="1166"/>
          <w:marRight w:val="0"/>
          <w:marTop w:val="115"/>
          <w:marBottom w:val="0"/>
          <w:divBdr>
            <w:top w:val="none" w:sz="0" w:space="0" w:color="auto"/>
            <w:left w:val="none" w:sz="0" w:space="0" w:color="auto"/>
            <w:bottom w:val="none" w:sz="0" w:space="0" w:color="auto"/>
            <w:right w:val="none" w:sz="0" w:space="0" w:color="auto"/>
          </w:divBdr>
        </w:div>
        <w:div w:id="1255671881">
          <w:marLeft w:val="1166"/>
          <w:marRight w:val="0"/>
          <w:marTop w:val="115"/>
          <w:marBottom w:val="0"/>
          <w:divBdr>
            <w:top w:val="none" w:sz="0" w:space="0" w:color="auto"/>
            <w:left w:val="none" w:sz="0" w:space="0" w:color="auto"/>
            <w:bottom w:val="none" w:sz="0" w:space="0" w:color="auto"/>
            <w:right w:val="none" w:sz="0" w:space="0" w:color="auto"/>
          </w:divBdr>
        </w:div>
        <w:div w:id="1522281346">
          <w:marLeft w:val="1166"/>
          <w:marRight w:val="0"/>
          <w:marTop w:val="115"/>
          <w:marBottom w:val="0"/>
          <w:divBdr>
            <w:top w:val="none" w:sz="0" w:space="0" w:color="auto"/>
            <w:left w:val="none" w:sz="0" w:space="0" w:color="auto"/>
            <w:bottom w:val="none" w:sz="0" w:space="0" w:color="auto"/>
            <w:right w:val="none" w:sz="0" w:space="0" w:color="auto"/>
          </w:divBdr>
        </w:div>
        <w:div w:id="2016766464">
          <w:marLeft w:val="1166"/>
          <w:marRight w:val="0"/>
          <w:marTop w:val="115"/>
          <w:marBottom w:val="0"/>
          <w:divBdr>
            <w:top w:val="none" w:sz="0" w:space="0" w:color="auto"/>
            <w:left w:val="none" w:sz="0" w:space="0" w:color="auto"/>
            <w:bottom w:val="none" w:sz="0" w:space="0" w:color="auto"/>
            <w:right w:val="none" w:sz="0" w:space="0" w:color="auto"/>
          </w:divBdr>
        </w:div>
        <w:div w:id="2092266987">
          <w:marLeft w:val="1166"/>
          <w:marRight w:val="0"/>
          <w:marTop w:val="115"/>
          <w:marBottom w:val="0"/>
          <w:divBdr>
            <w:top w:val="none" w:sz="0" w:space="0" w:color="auto"/>
            <w:left w:val="none" w:sz="0" w:space="0" w:color="auto"/>
            <w:bottom w:val="none" w:sz="0" w:space="0" w:color="auto"/>
            <w:right w:val="none" w:sz="0" w:space="0" w:color="auto"/>
          </w:divBdr>
        </w:div>
      </w:divsChild>
    </w:div>
    <w:div w:id="1002901680">
      <w:bodyDiv w:val="1"/>
      <w:marLeft w:val="0"/>
      <w:marRight w:val="0"/>
      <w:marTop w:val="0"/>
      <w:marBottom w:val="0"/>
      <w:divBdr>
        <w:top w:val="none" w:sz="0" w:space="0" w:color="auto"/>
        <w:left w:val="none" w:sz="0" w:space="0" w:color="auto"/>
        <w:bottom w:val="none" w:sz="0" w:space="0" w:color="auto"/>
        <w:right w:val="none" w:sz="0" w:space="0" w:color="auto"/>
      </w:divBdr>
    </w:div>
    <w:div w:id="1003321777">
      <w:bodyDiv w:val="1"/>
      <w:marLeft w:val="0"/>
      <w:marRight w:val="0"/>
      <w:marTop w:val="0"/>
      <w:marBottom w:val="0"/>
      <w:divBdr>
        <w:top w:val="none" w:sz="0" w:space="0" w:color="auto"/>
        <w:left w:val="none" w:sz="0" w:space="0" w:color="auto"/>
        <w:bottom w:val="none" w:sz="0" w:space="0" w:color="auto"/>
        <w:right w:val="none" w:sz="0" w:space="0" w:color="auto"/>
      </w:divBdr>
    </w:div>
    <w:div w:id="1004168361">
      <w:bodyDiv w:val="1"/>
      <w:marLeft w:val="0"/>
      <w:marRight w:val="0"/>
      <w:marTop w:val="0"/>
      <w:marBottom w:val="0"/>
      <w:divBdr>
        <w:top w:val="none" w:sz="0" w:space="0" w:color="auto"/>
        <w:left w:val="none" w:sz="0" w:space="0" w:color="auto"/>
        <w:bottom w:val="none" w:sz="0" w:space="0" w:color="auto"/>
        <w:right w:val="none" w:sz="0" w:space="0" w:color="auto"/>
      </w:divBdr>
    </w:div>
    <w:div w:id="1004551492">
      <w:bodyDiv w:val="1"/>
      <w:marLeft w:val="0"/>
      <w:marRight w:val="0"/>
      <w:marTop w:val="0"/>
      <w:marBottom w:val="0"/>
      <w:divBdr>
        <w:top w:val="none" w:sz="0" w:space="0" w:color="auto"/>
        <w:left w:val="none" w:sz="0" w:space="0" w:color="auto"/>
        <w:bottom w:val="none" w:sz="0" w:space="0" w:color="auto"/>
        <w:right w:val="none" w:sz="0" w:space="0" w:color="auto"/>
      </w:divBdr>
      <w:divsChild>
        <w:div w:id="128060356">
          <w:marLeft w:val="1166"/>
          <w:marRight w:val="0"/>
          <w:marTop w:val="106"/>
          <w:marBottom w:val="0"/>
          <w:divBdr>
            <w:top w:val="none" w:sz="0" w:space="0" w:color="auto"/>
            <w:left w:val="none" w:sz="0" w:space="0" w:color="auto"/>
            <w:bottom w:val="none" w:sz="0" w:space="0" w:color="auto"/>
            <w:right w:val="none" w:sz="0" w:space="0" w:color="auto"/>
          </w:divBdr>
        </w:div>
        <w:div w:id="1359434262">
          <w:marLeft w:val="1166"/>
          <w:marRight w:val="0"/>
          <w:marTop w:val="106"/>
          <w:marBottom w:val="0"/>
          <w:divBdr>
            <w:top w:val="none" w:sz="0" w:space="0" w:color="auto"/>
            <w:left w:val="none" w:sz="0" w:space="0" w:color="auto"/>
            <w:bottom w:val="none" w:sz="0" w:space="0" w:color="auto"/>
            <w:right w:val="none" w:sz="0" w:space="0" w:color="auto"/>
          </w:divBdr>
        </w:div>
      </w:divsChild>
    </w:div>
    <w:div w:id="1004817102">
      <w:bodyDiv w:val="1"/>
      <w:marLeft w:val="0"/>
      <w:marRight w:val="0"/>
      <w:marTop w:val="0"/>
      <w:marBottom w:val="0"/>
      <w:divBdr>
        <w:top w:val="none" w:sz="0" w:space="0" w:color="auto"/>
        <w:left w:val="none" w:sz="0" w:space="0" w:color="auto"/>
        <w:bottom w:val="none" w:sz="0" w:space="0" w:color="auto"/>
        <w:right w:val="none" w:sz="0" w:space="0" w:color="auto"/>
      </w:divBdr>
    </w:div>
    <w:div w:id="1005665724">
      <w:bodyDiv w:val="1"/>
      <w:marLeft w:val="0"/>
      <w:marRight w:val="0"/>
      <w:marTop w:val="0"/>
      <w:marBottom w:val="0"/>
      <w:divBdr>
        <w:top w:val="none" w:sz="0" w:space="0" w:color="auto"/>
        <w:left w:val="none" w:sz="0" w:space="0" w:color="auto"/>
        <w:bottom w:val="none" w:sz="0" w:space="0" w:color="auto"/>
        <w:right w:val="none" w:sz="0" w:space="0" w:color="auto"/>
      </w:divBdr>
    </w:div>
    <w:div w:id="1005669787">
      <w:bodyDiv w:val="1"/>
      <w:marLeft w:val="0"/>
      <w:marRight w:val="0"/>
      <w:marTop w:val="0"/>
      <w:marBottom w:val="0"/>
      <w:divBdr>
        <w:top w:val="none" w:sz="0" w:space="0" w:color="auto"/>
        <w:left w:val="none" w:sz="0" w:space="0" w:color="auto"/>
        <w:bottom w:val="none" w:sz="0" w:space="0" w:color="auto"/>
        <w:right w:val="none" w:sz="0" w:space="0" w:color="auto"/>
      </w:divBdr>
      <w:divsChild>
        <w:div w:id="73357483">
          <w:marLeft w:val="1166"/>
          <w:marRight w:val="0"/>
          <w:marTop w:val="106"/>
          <w:marBottom w:val="0"/>
          <w:divBdr>
            <w:top w:val="none" w:sz="0" w:space="0" w:color="auto"/>
            <w:left w:val="none" w:sz="0" w:space="0" w:color="auto"/>
            <w:bottom w:val="none" w:sz="0" w:space="0" w:color="auto"/>
            <w:right w:val="none" w:sz="0" w:space="0" w:color="auto"/>
          </w:divBdr>
        </w:div>
        <w:div w:id="417336392">
          <w:marLeft w:val="547"/>
          <w:marRight w:val="0"/>
          <w:marTop w:val="115"/>
          <w:marBottom w:val="0"/>
          <w:divBdr>
            <w:top w:val="none" w:sz="0" w:space="0" w:color="auto"/>
            <w:left w:val="none" w:sz="0" w:space="0" w:color="auto"/>
            <w:bottom w:val="none" w:sz="0" w:space="0" w:color="auto"/>
            <w:right w:val="none" w:sz="0" w:space="0" w:color="auto"/>
          </w:divBdr>
        </w:div>
        <w:div w:id="715012435">
          <w:marLeft w:val="1800"/>
          <w:marRight w:val="0"/>
          <w:marTop w:val="86"/>
          <w:marBottom w:val="0"/>
          <w:divBdr>
            <w:top w:val="none" w:sz="0" w:space="0" w:color="auto"/>
            <w:left w:val="none" w:sz="0" w:space="0" w:color="auto"/>
            <w:bottom w:val="none" w:sz="0" w:space="0" w:color="auto"/>
            <w:right w:val="none" w:sz="0" w:space="0" w:color="auto"/>
          </w:divBdr>
        </w:div>
        <w:div w:id="1035428515">
          <w:marLeft w:val="1800"/>
          <w:marRight w:val="0"/>
          <w:marTop w:val="86"/>
          <w:marBottom w:val="0"/>
          <w:divBdr>
            <w:top w:val="none" w:sz="0" w:space="0" w:color="auto"/>
            <w:left w:val="none" w:sz="0" w:space="0" w:color="auto"/>
            <w:bottom w:val="none" w:sz="0" w:space="0" w:color="auto"/>
            <w:right w:val="none" w:sz="0" w:space="0" w:color="auto"/>
          </w:divBdr>
        </w:div>
        <w:div w:id="1375422997">
          <w:marLeft w:val="1166"/>
          <w:marRight w:val="0"/>
          <w:marTop w:val="106"/>
          <w:marBottom w:val="0"/>
          <w:divBdr>
            <w:top w:val="none" w:sz="0" w:space="0" w:color="auto"/>
            <w:left w:val="none" w:sz="0" w:space="0" w:color="auto"/>
            <w:bottom w:val="none" w:sz="0" w:space="0" w:color="auto"/>
            <w:right w:val="none" w:sz="0" w:space="0" w:color="auto"/>
          </w:divBdr>
        </w:div>
      </w:divsChild>
    </w:div>
    <w:div w:id="1006325357">
      <w:bodyDiv w:val="1"/>
      <w:marLeft w:val="0"/>
      <w:marRight w:val="0"/>
      <w:marTop w:val="0"/>
      <w:marBottom w:val="0"/>
      <w:divBdr>
        <w:top w:val="none" w:sz="0" w:space="0" w:color="auto"/>
        <w:left w:val="none" w:sz="0" w:space="0" w:color="auto"/>
        <w:bottom w:val="none" w:sz="0" w:space="0" w:color="auto"/>
        <w:right w:val="none" w:sz="0" w:space="0" w:color="auto"/>
      </w:divBdr>
      <w:divsChild>
        <w:div w:id="1836918988">
          <w:marLeft w:val="0"/>
          <w:marRight w:val="0"/>
          <w:marTop w:val="0"/>
          <w:marBottom w:val="0"/>
          <w:divBdr>
            <w:top w:val="none" w:sz="0" w:space="0" w:color="auto"/>
            <w:left w:val="none" w:sz="0" w:space="0" w:color="auto"/>
            <w:bottom w:val="none" w:sz="0" w:space="0" w:color="auto"/>
            <w:right w:val="none" w:sz="0" w:space="0" w:color="auto"/>
          </w:divBdr>
          <w:divsChild>
            <w:div w:id="289552504">
              <w:marLeft w:val="0"/>
              <w:marRight w:val="0"/>
              <w:marTop w:val="0"/>
              <w:marBottom w:val="0"/>
              <w:divBdr>
                <w:top w:val="none" w:sz="0" w:space="0" w:color="auto"/>
                <w:left w:val="none" w:sz="0" w:space="0" w:color="auto"/>
                <w:bottom w:val="none" w:sz="0" w:space="0" w:color="auto"/>
                <w:right w:val="none" w:sz="0" w:space="0" w:color="auto"/>
              </w:divBdr>
            </w:div>
            <w:div w:id="953446174">
              <w:marLeft w:val="0"/>
              <w:marRight w:val="0"/>
              <w:marTop w:val="0"/>
              <w:marBottom w:val="0"/>
              <w:divBdr>
                <w:top w:val="none" w:sz="0" w:space="0" w:color="auto"/>
                <w:left w:val="none" w:sz="0" w:space="0" w:color="auto"/>
                <w:bottom w:val="none" w:sz="0" w:space="0" w:color="auto"/>
                <w:right w:val="none" w:sz="0" w:space="0" w:color="auto"/>
              </w:divBdr>
            </w:div>
            <w:div w:id="964967886">
              <w:marLeft w:val="0"/>
              <w:marRight w:val="0"/>
              <w:marTop w:val="0"/>
              <w:marBottom w:val="0"/>
              <w:divBdr>
                <w:top w:val="none" w:sz="0" w:space="0" w:color="auto"/>
                <w:left w:val="none" w:sz="0" w:space="0" w:color="auto"/>
                <w:bottom w:val="none" w:sz="0" w:space="0" w:color="auto"/>
                <w:right w:val="none" w:sz="0" w:space="0" w:color="auto"/>
              </w:divBdr>
            </w:div>
            <w:div w:id="20560826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06786881">
      <w:bodyDiv w:val="1"/>
      <w:marLeft w:val="0"/>
      <w:marRight w:val="0"/>
      <w:marTop w:val="0"/>
      <w:marBottom w:val="0"/>
      <w:divBdr>
        <w:top w:val="none" w:sz="0" w:space="0" w:color="auto"/>
        <w:left w:val="none" w:sz="0" w:space="0" w:color="auto"/>
        <w:bottom w:val="none" w:sz="0" w:space="0" w:color="auto"/>
        <w:right w:val="none" w:sz="0" w:space="0" w:color="auto"/>
      </w:divBdr>
    </w:div>
    <w:div w:id="1007561257">
      <w:bodyDiv w:val="1"/>
      <w:marLeft w:val="0"/>
      <w:marRight w:val="0"/>
      <w:marTop w:val="0"/>
      <w:marBottom w:val="0"/>
      <w:divBdr>
        <w:top w:val="none" w:sz="0" w:space="0" w:color="auto"/>
        <w:left w:val="none" w:sz="0" w:space="0" w:color="auto"/>
        <w:bottom w:val="none" w:sz="0" w:space="0" w:color="auto"/>
        <w:right w:val="none" w:sz="0" w:space="0" w:color="auto"/>
      </w:divBdr>
    </w:div>
    <w:div w:id="1007638732">
      <w:bodyDiv w:val="1"/>
      <w:marLeft w:val="0"/>
      <w:marRight w:val="0"/>
      <w:marTop w:val="0"/>
      <w:marBottom w:val="0"/>
      <w:divBdr>
        <w:top w:val="none" w:sz="0" w:space="0" w:color="auto"/>
        <w:left w:val="none" w:sz="0" w:space="0" w:color="auto"/>
        <w:bottom w:val="none" w:sz="0" w:space="0" w:color="auto"/>
        <w:right w:val="none" w:sz="0" w:space="0" w:color="auto"/>
      </w:divBdr>
    </w:div>
    <w:div w:id="1008169713">
      <w:bodyDiv w:val="1"/>
      <w:marLeft w:val="0"/>
      <w:marRight w:val="0"/>
      <w:marTop w:val="0"/>
      <w:marBottom w:val="0"/>
      <w:divBdr>
        <w:top w:val="none" w:sz="0" w:space="0" w:color="auto"/>
        <w:left w:val="none" w:sz="0" w:space="0" w:color="auto"/>
        <w:bottom w:val="none" w:sz="0" w:space="0" w:color="auto"/>
        <w:right w:val="none" w:sz="0" w:space="0" w:color="auto"/>
      </w:divBdr>
    </w:div>
    <w:div w:id="1008556168">
      <w:bodyDiv w:val="1"/>
      <w:marLeft w:val="0"/>
      <w:marRight w:val="0"/>
      <w:marTop w:val="0"/>
      <w:marBottom w:val="0"/>
      <w:divBdr>
        <w:top w:val="none" w:sz="0" w:space="0" w:color="auto"/>
        <w:left w:val="none" w:sz="0" w:space="0" w:color="auto"/>
        <w:bottom w:val="none" w:sz="0" w:space="0" w:color="auto"/>
        <w:right w:val="none" w:sz="0" w:space="0" w:color="auto"/>
      </w:divBdr>
    </w:div>
    <w:div w:id="1008993331">
      <w:bodyDiv w:val="1"/>
      <w:marLeft w:val="0"/>
      <w:marRight w:val="0"/>
      <w:marTop w:val="0"/>
      <w:marBottom w:val="0"/>
      <w:divBdr>
        <w:top w:val="none" w:sz="0" w:space="0" w:color="auto"/>
        <w:left w:val="none" w:sz="0" w:space="0" w:color="auto"/>
        <w:bottom w:val="none" w:sz="0" w:space="0" w:color="auto"/>
        <w:right w:val="none" w:sz="0" w:space="0" w:color="auto"/>
      </w:divBdr>
      <w:divsChild>
        <w:div w:id="263924714">
          <w:marLeft w:val="1800"/>
          <w:marRight w:val="0"/>
          <w:marTop w:val="86"/>
          <w:marBottom w:val="0"/>
          <w:divBdr>
            <w:top w:val="none" w:sz="0" w:space="0" w:color="auto"/>
            <w:left w:val="none" w:sz="0" w:space="0" w:color="auto"/>
            <w:bottom w:val="none" w:sz="0" w:space="0" w:color="auto"/>
            <w:right w:val="none" w:sz="0" w:space="0" w:color="auto"/>
          </w:divBdr>
        </w:div>
        <w:div w:id="565989758">
          <w:marLeft w:val="1166"/>
          <w:marRight w:val="0"/>
          <w:marTop w:val="86"/>
          <w:marBottom w:val="0"/>
          <w:divBdr>
            <w:top w:val="none" w:sz="0" w:space="0" w:color="auto"/>
            <w:left w:val="none" w:sz="0" w:space="0" w:color="auto"/>
            <w:bottom w:val="none" w:sz="0" w:space="0" w:color="auto"/>
            <w:right w:val="none" w:sz="0" w:space="0" w:color="auto"/>
          </w:divBdr>
        </w:div>
        <w:div w:id="735127686">
          <w:marLeft w:val="1800"/>
          <w:marRight w:val="0"/>
          <w:marTop w:val="86"/>
          <w:marBottom w:val="0"/>
          <w:divBdr>
            <w:top w:val="none" w:sz="0" w:space="0" w:color="auto"/>
            <w:left w:val="none" w:sz="0" w:space="0" w:color="auto"/>
            <w:bottom w:val="none" w:sz="0" w:space="0" w:color="auto"/>
            <w:right w:val="none" w:sz="0" w:space="0" w:color="auto"/>
          </w:divBdr>
        </w:div>
        <w:div w:id="744376912">
          <w:marLeft w:val="1166"/>
          <w:marRight w:val="0"/>
          <w:marTop w:val="86"/>
          <w:marBottom w:val="0"/>
          <w:divBdr>
            <w:top w:val="none" w:sz="0" w:space="0" w:color="auto"/>
            <w:left w:val="none" w:sz="0" w:space="0" w:color="auto"/>
            <w:bottom w:val="none" w:sz="0" w:space="0" w:color="auto"/>
            <w:right w:val="none" w:sz="0" w:space="0" w:color="auto"/>
          </w:divBdr>
        </w:div>
        <w:div w:id="929774384">
          <w:marLeft w:val="1166"/>
          <w:marRight w:val="0"/>
          <w:marTop w:val="86"/>
          <w:marBottom w:val="0"/>
          <w:divBdr>
            <w:top w:val="none" w:sz="0" w:space="0" w:color="auto"/>
            <w:left w:val="none" w:sz="0" w:space="0" w:color="auto"/>
            <w:bottom w:val="none" w:sz="0" w:space="0" w:color="auto"/>
            <w:right w:val="none" w:sz="0" w:space="0" w:color="auto"/>
          </w:divBdr>
        </w:div>
        <w:div w:id="1275013362">
          <w:marLeft w:val="1800"/>
          <w:marRight w:val="0"/>
          <w:marTop w:val="86"/>
          <w:marBottom w:val="0"/>
          <w:divBdr>
            <w:top w:val="none" w:sz="0" w:space="0" w:color="auto"/>
            <w:left w:val="none" w:sz="0" w:space="0" w:color="auto"/>
            <w:bottom w:val="none" w:sz="0" w:space="0" w:color="auto"/>
            <w:right w:val="none" w:sz="0" w:space="0" w:color="auto"/>
          </w:divBdr>
        </w:div>
        <w:div w:id="1391033612">
          <w:marLeft w:val="547"/>
          <w:marRight w:val="0"/>
          <w:marTop w:val="96"/>
          <w:marBottom w:val="0"/>
          <w:divBdr>
            <w:top w:val="none" w:sz="0" w:space="0" w:color="auto"/>
            <w:left w:val="none" w:sz="0" w:space="0" w:color="auto"/>
            <w:bottom w:val="none" w:sz="0" w:space="0" w:color="auto"/>
            <w:right w:val="none" w:sz="0" w:space="0" w:color="auto"/>
          </w:divBdr>
        </w:div>
      </w:divsChild>
    </w:div>
    <w:div w:id="1010525746">
      <w:bodyDiv w:val="1"/>
      <w:marLeft w:val="0"/>
      <w:marRight w:val="0"/>
      <w:marTop w:val="0"/>
      <w:marBottom w:val="0"/>
      <w:divBdr>
        <w:top w:val="none" w:sz="0" w:space="0" w:color="auto"/>
        <w:left w:val="none" w:sz="0" w:space="0" w:color="auto"/>
        <w:bottom w:val="none" w:sz="0" w:space="0" w:color="auto"/>
        <w:right w:val="none" w:sz="0" w:space="0" w:color="auto"/>
      </w:divBdr>
    </w:div>
    <w:div w:id="1011028046">
      <w:bodyDiv w:val="1"/>
      <w:marLeft w:val="0"/>
      <w:marRight w:val="0"/>
      <w:marTop w:val="0"/>
      <w:marBottom w:val="0"/>
      <w:divBdr>
        <w:top w:val="none" w:sz="0" w:space="0" w:color="auto"/>
        <w:left w:val="none" w:sz="0" w:space="0" w:color="auto"/>
        <w:bottom w:val="none" w:sz="0" w:space="0" w:color="auto"/>
        <w:right w:val="none" w:sz="0" w:space="0" w:color="auto"/>
      </w:divBdr>
    </w:div>
    <w:div w:id="1011368891">
      <w:bodyDiv w:val="1"/>
      <w:marLeft w:val="0"/>
      <w:marRight w:val="0"/>
      <w:marTop w:val="0"/>
      <w:marBottom w:val="0"/>
      <w:divBdr>
        <w:top w:val="none" w:sz="0" w:space="0" w:color="auto"/>
        <w:left w:val="none" w:sz="0" w:space="0" w:color="auto"/>
        <w:bottom w:val="none" w:sz="0" w:space="0" w:color="auto"/>
        <w:right w:val="none" w:sz="0" w:space="0" w:color="auto"/>
      </w:divBdr>
    </w:div>
    <w:div w:id="1011491244">
      <w:bodyDiv w:val="1"/>
      <w:marLeft w:val="0"/>
      <w:marRight w:val="0"/>
      <w:marTop w:val="0"/>
      <w:marBottom w:val="0"/>
      <w:divBdr>
        <w:top w:val="none" w:sz="0" w:space="0" w:color="auto"/>
        <w:left w:val="none" w:sz="0" w:space="0" w:color="auto"/>
        <w:bottom w:val="none" w:sz="0" w:space="0" w:color="auto"/>
        <w:right w:val="none" w:sz="0" w:space="0" w:color="auto"/>
      </w:divBdr>
    </w:div>
    <w:div w:id="1011614420">
      <w:bodyDiv w:val="1"/>
      <w:marLeft w:val="0"/>
      <w:marRight w:val="0"/>
      <w:marTop w:val="0"/>
      <w:marBottom w:val="0"/>
      <w:divBdr>
        <w:top w:val="none" w:sz="0" w:space="0" w:color="auto"/>
        <w:left w:val="none" w:sz="0" w:space="0" w:color="auto"/>
        <w:bottom w:val="none" w:sz="0" w:space="0" w:color="auto"/>
        <w:right w:val="none" w:sz="0" w:space="0" w:color="auto"/>
      </w:divBdr>
      <w:divsChild>
        <w:div w:id="301888949">
          <w:marLeft w:val="547"/>
          <w:marRight w:val="0"/>
          <w:marTop w:val="96"/>
          <w:marBottom w:val="0"/>
          <w:divBdr>
            <w:top w:val="none" w:sz="0" w:space="0" w:color="auto"/>
            <w:left w:val="none" w:sz="0" w:space="0" w:color="auto"/>
            <w:bottom w:val="none" w:sz="0" w:space="0" w:color="auto"/>
            <w:right w:val="none" w:sz="0" w:space="0" w:color="auto"/>
          </w:divBdr>
        </w:div>
        <w:div w:id="1287616268">
          <w:marLeft w:val="547"/>
          <w:marRight w:val="0"/>
          <w:marTop w:val="96"/>
          <w:marBottom w:val="0"/>
          <w:divBdr>
            <w:top w:val="none" w:sz="0" w:space="0" w:color="auto"/>
            <w:left w:val="none" w:sz="0" w:space="0" w:color="auto"/>
            <w:bottom w:val="none" w:sz="0" w:space="0" w:color="auto"/>
            <w:right w:val="none" w:sz="0" w:space="0" w:color="auto"/>
          </w:divBdr>
        </w:div>
        <w:div w:id="1508907977">
          <w:marLeft w:val="547"/>
          <w:marRight w:val="0"/>
          <w:marTop w:val="96"/>
          <w:marBottom w:val="0"/>
          <w:divBdr>
            <w:top w:val="none" w:sz="0" w:space="0" w:color="auto"/>
            <w:left w:val="none" w:sz="0" w:space="0" w:color="auto"/>
            <w:bottom w:val="none" w:sz="0" w:space="0" w:color="auto"/>
            <w:right w:val="none" w:sz="0" w:space="0" w:color="auto"/>
          </w:divBdr>
        </w:div>
      </w:divsChild>
    </w:div>
    <w:div w:id="1012033159">
      <w:bodyDiv w:val="1"/>
      <w:marLeft w:val="0"/>
      <w:marRight w:val="0"/>
      <w:marTop w:val="0"/>
      <w:marBottom w:val="0"/>
      <w:divBdr>
        <w:top w:val="none" w:sz="0" w:space="0" w:color="auto"/>
        <w:left w:val="none" w:sz="0" w:space="0" w:color="auto"/>
        <w:bottom w:val="none" w:sz="0" w:space="0" w:color="auto"/>
        <w:right w:val="none" w:sz="0" w:space="0" w:color="auto"/>
      </w:divBdr>
    </w:div>
    <w:div w:id="1012144983">
      <w:bodyDiv w:val="1"/>
      <w:marLeft w:val="0"/>
      <w:marRight w:val="0"/>
      <w:marTop w:val="0"/>
      <w:marBottom w:val="0"/>
      <w:divBdr>
        <w:top w:val="none" w:sz="0" w:space="0" w:color="auto"/>
        <w:left w:val="none" w:sz="0" w:space="0" w:color="auto"/>
        <w:bottom w:val="none" w:sz="0" w:space="0" w:color="auto"/>
        <w:right w:val="none" w:sz="0" w:space="0" w:color="auto"/>
      </w:divBdr>
    </w:div>
    <w:div w:id="1012804568">
      <w:bodyDiv w:val="1"/>
      <w:marLeft w:val="0"/>
      <w:marRight w:val="0"/>
      <w:marTop w:val="0"/>
      <w:marBottom w:val="0"/>
      <w:divBdr>
        <w:top w:val="none" w:sz="0" w:space="0" w:color="auto"/>
        <w:left w:val="none" w:sz="0" w:space="0" w:color="auto"/>
        <w:bottom w:val="none" w:sz="0" w:space="0" w:color="auto"/>
        <w:right w:val="none" w:sz="0" w:space="0" w:color="auto"/>
      </w:divBdr>
    </w:div>
    <w:div w:id="1013609298">
      <w:bodyDiv w:val="1"/>
      <w:marLeft w:val="0"/>
      <w:marRight w:val="0"/>
      <w:marTop w:val="0"/>
      <w:marBottom w:val="0"/>
      <w:divBdr>
        <w:top w:val="none" w:sz="0" w:space="0" w:color="auto"/>
        <w:left w:val="none" w:sz="0" w:space="0" w:color="auto"/>
        <w:bottom w:val="none" w:sz="0" w:space="0" w:color="auto"/>
        <w:right w:val="none" w:sz="0" w:space="0" w:color="auto"/>
      </w:divBdr>
    </w:div>
    <w:div w:id="1013647116">
      <w:bodyDiv w:val="1"/>
      <w:marLeft w:val="0"/>
      <w:marRight w:val="0"/>
      <w:marTop w:val="0"/>
      <w:marBottom w:val="0"/>
      <w:divBdr>
        <w:top w:val="none" w:sz="0" w:space="0" w:color="auto"/>
        <w:left w:val="none" w:sz="0" w:space="0" w:color="auto"/>
        <w:bottom w:val="none" w:sz="0" w:space="0" w:color="auto"/>
        <w:right w:val="none" w:sz="0" w:space="0" w:color="auto"/>
      </w:divBdr>
    </w:div>
    <w:div w:id="1013802837">
      <w:bodyDiv w:val="1"/>
      <w:marLeft w:val="0"/>
      <w:marRight w:val="0"/>
      <w:marTop w:val="0"/>
      <w:marBottom w:val="0"/>
      <w:divBdr>
        <w:top w:val="none" w:sz="0" w:space="0" w:color="auto"/>
        <w:left w:val="none" w:sz="0" w:space="0" w:color="auto"/>
        <w:bottom w:val="none" w:sz="0" w:space="0" w:color="auto"/>
        <w:right w:val="none" w:sz="0" w:space="0" w:color="auto"/>
      </w:divBdr>
    </w:div>
    <w:div w:id="1013997940">
      <w:bodyDiv w:val="1"/>
      <w:marLeft w:val="0"/>
      <w:marRight w:val="0"/>
      <w:marTop w:val="0"/>
      <w:marBottom w:val="0"/>
      <w:divBdr>
        <w:top w:val="none" w:sz="0" w:space="0" w:color="auto"/>
        <w:left w:val="none" w:sz="0" w:space="0" w:color="auto"/>
        <w:bottom w:val="none" w:sz="0" w:space="0" w:color="auto"/>
        <w:right w:val="none" w:sz="0" w:space="0" w:color="auto"/>
      </w:divBdr>
    </w:div>
    <w:div w:id="1013998565">
      <w:bodyDiv w:val="1"/>
      <w:marLeft w:val="0"/>
      <w:marRight w:val="0"/>
      <w:marTop w:val="0"/>
      <w:marBottom w:val="0"/>
      <w:divBdr>
        <w:top w:val="none" w:sz="0" w:space="0" w:color="auto"/>
        <w:left w:val="none" w:sz="0" w:space="0" w:color="auto"/>
        <w:bottom w:val="none" w:sz="0" w:space="0" w:color="auto"/>
        <w:right w:val="none" w:sz="0" w:space="0" w:color="auto"/>
      </w:divBdr>
      <w:divsChild>
        <w:div w:id="164371073">
          <w:marLeft w:val="1166"/>
          <w:marRight w:val="0"/>
          <w:marTop w:val="115"/>
          <w:marBottom w:val="120"/>
          <w:divBdr>
            <w:top w:val="none" w:sz="0" w:space="0" w:color="auto"/>
            <w:left w:val="none" w:sz="0" w:space="0" w:color="auto"/>
            <w:bottom w:val="none" w:sz="0" w:space="0" w:color="auto"/>
            <w:right w:val="none" w:sz="0" w:space="0" w:color="auto"/>
          </w:divBdr>
        </w:div>
        <w:div w:id="738211769">
          <w:marLeft w:val="1166"/>
          <w:marRight w:val="0"/>
          <w:marTop w:val="115"/>
          <w:marBottom w:val="120"/>
          <w:divBdr>
            <w:top w:val="none" w:sz="0" w:space="0" w:color="auto"/>
            <w:left w:val="none" w:sz="0" w:space="0" w:color="auto"/>
            <w:bottom w:val="none" w:sz="0" w:space="0" w:color="auto"/>
            <w:right w:val="none" w:sz="0" w:space="0" w:color="auto"/>
          </w:divBdr>
        </w:div>
        <w:div w:id="1458450059">
          <w:marLeft w:val="547"/>
          <w:marRight w:val="0"/>
          <w:marTop w:val="134"/>
          <w:marBottom w:val="120"/>
          <w:divBdr>
            <w:top w:val="none" w:sz="0" w:space="0" w:color="auto"/>
            <w:left w:val="none" w:sz="0" w:space="0" w:color="auto"/>
            <w:bottom w:val="none" w:sz="0" w:space="0" w:color="auto"/>
            <w:right w:val="none" w:sz="0" w:space="0" w:color="auto"/>
          </w:divBdr>
        </w:div>
      </w:divsChild>
    </w:div>
    <w:div w:id="1014461462">
      <w:bodyDiv w:val="1"/>
      <w:marLeft w:val="0"/>
      <w:marRight w:val="0"/>
      <w:marTop w:val="0"/>
      <w:marBottom w:val="0"/>
      <w:divBdr>
        <w:top w:val="none" w:sz="0" w:space="0" w:color="auto"/>
        <w:left w:val="none" w:sz="0" w:space="0" w:color="auto"/>
        <w:bottom w:val="none" w:sz="0" w:space="0" w:color="auto"/>
        <w:right w:val="none" w:sz="0" w:space="0" w:color="auto"/>
      </w:divBdr>
    </w:div>
    <w:div w:id="1014651485">
      <w:bodyDiv w:val="1"/>
      <w:marLeft w:val="0"/>
      <w:marRight w:val="0"/>
      <w:marTop w:val="0"/>
      <w:marBottom w:val="0"/>
      <w:divBdr>
        <w:top w:val="none" w:sz="0" w:space="0" w:color="auto"/>
        <w:left w:val="none" w:sz="0" w:space="0" w:color="auto"/>
        <w:bottom w:val="none" w:sz="0" w:space="0" w:color="auto"/>
        <w:right w:val="none" w:sz="0" w:space="0" w:color="auto"/>
      </w:divBdr>
    </w:div>
    <w:div w:id="1014696986">
      <w:bodyDiv w:val="1"/>
      <w:marLeft w:val="0"/>
      <w:marRight w:val="0"/>
      <w:marTop w:val="0"/>
      <w:marBottom w:val="0"/>
      <w:divBdr>
        <w:top w:val="none" w:sz="0" w:space="0" w:color="auto"/>
        <w:left w:val="none" w:sz="0" w:space="0" w:color="auto"/>
        <w:bottom w:val="none" w:sz="0" w:space="0" w:color="auto"/>
        <w:right w:val="none" w:sz="0" w:space="0" w:color="auto"/>
      </w:divBdr>
      <w:divsChild>
        <w:div w:id="1220049787">
          <w:marLeft w:val="1800"/>
          <w:marRight w:val="0"/>
          <w:marTop w:val="96"/>
          <w:marBottom w:val="0"/>
          <w:divBdr>
            <w:top w:val="none" w:sz="0" w:space="0" w:color="auto"/>
            <w:left w:val="none" w:sz="0" w:space="0" w:color="auto"/>
            <w:bottom w:val="none" w:sz="0" w:space="0" w:color="auto"/>
            <w:right w:val="none" w:sz="0" w:space="0" w:color="auto"/>
          </w:divBdr>
        </w:div>
        <w:div w:id="1549103189">
          <w:marLeft w:val="1166"/>
          <w:marRight w:val="0"/>
          <w:marTop w:val="115"/>
          <w:marBottom w:val="0"/>
          <w:divBdr>
            <w:top w:val="none" w:sz="0" w:space="0" w:color="auto"/>
            <w:left w:val="none" w:sz="0" w:space="0" w:color="auto"/>
            <w:bottom w:val="none" w:sz="0" w:space="0" w:color="auto"/>
            <w:right w:val="none" w:sz="0" w:space="0" w:color="auto"/>
          </w:divBdr>
        </w:div>
        <w:div w:id="1636568432">
          <w:marLeft w:val="547"/>
          <w:marRight w:val="0"/>
          <w:marTop w:val="134"/>
          <w:marBottom w:val="0"/>
          <w:divBdr>
            <w:top w:val="none" w:sz="0" w:space="0" w:color="auto"/>
            <w:left w:val="none" w:sz="0" w:space="0" w:color="auto"/>
            <w:bottom w:val="none" w:sz="0" w:space="0" w:color="auto"/>
            <w:right w:val="none" w:sz="0" w:space="0" w:color="auto"/>
          </w:divBdr>
        </w:div>
        <w:div w:id="1991127993">
          <w:marLeft w:val="1800"/>
          <w:marRight w:val="0"/>
          <w:marTop w:val="96"/>
          <w:marBottom w:val="0"/>
          <w:divBdr>
            <w:top w:val="none" w:sz="0" w:space="0" w:color="auto"/>
            <w:left w:val="none" w:sz="0" w:space="0" w:color="auto"/>
            <w:bottom w:val="none" w:sz="0" w:space="0" w:color="auto"/>
            <w:right w:val="none" w:sz="0" w:space="0" w:color="auto"/>
          </w:divBdr>
        </w:div>
        <w:div w:id="1993631658">
          <w:marLeft w:val="1166"/>
          <w:marRight w:val="0"/>
          <w:marTop w:val="115"/>
          <w:marBottom w:val="0"/>
          <w:divBdr>
            <w:top w:val="none" w:sz="0" w:space="0" w:color="auto"/>
            <w:left w:val="none" w:sz="0" w:space="0" w:color="auto"/>
            <w:bottom w:val="none" w:sz="0" w:space="0" w:color="auto"/>
            <w:right w:val="none" w:sz="0" w:space="0" w:color="auto"/>
          </w:divBdr>
        </w:div>
      </w:divsChild>
    </w:div>
    <w:div w:id="1014840217">
      <w:bodyDiv w:val="1"/>
      <w:marLeft w:val="0"/>
      <w:marRight w:val="0"/>
      <w:marTop w:val="0"/>
      <w:marBottom w:val="0"/>
      <w:divBdr>
        <w:top w:val="none" w:sz="0" w:space="0" w:color="auto"/>
        <w:left w:val="none" w:sz="0" w:space="0" w:color="auto"/>
        <w:bottom w:val="none" w:sz="0" w:space="0" w:color="auto"/>
        <w:right w:val="none" w:sz="0" w:space="0" w:color="auto"/>
      </w:divBdr>
    </w:div>
    <w:div w:id="1016928140">
      <w:bodyDiv w:val="1"/>
      <w:marLeft w:val="0"/>
      <w:marRight w:val="0"/>
      <w:marTop w:val="0"/>
      <w:marBottom w:val="0"/>
      <w:divBdr>
        <w:top w:val="none" w:sz="0" w:space="0" w:color="auto"/>
        <w:left w:val="none" w:sz="0" w:space="0" w:color="auto"/>
        <w:bottom w:val="none" w:sz="0" w:space="0" w:color="auto"/>
        <w:right w:val="none" w:sz="0" w:space="0" w:color="auto"/>
      </w:divBdr>
      <w:divsChild>
        <w:div w:id="161356533">
          <w:marLeft w:val="547"/>
          <w:marRight w:val="0"/>
          <w:marTop w:val="96"/>
          <w:marBottom w:val="0"/>
          <w:divBdr>
            <w:top w:val="none" w:sz="0" w:space="0" w:color="auto"/>
            <w:left w:val="none" w:sz="0" w:space="0" w:color="auto"/>
            <w:bottom w:val="none" w:sz="0" w:space="0" w:color="auto"/>
            <w:right w:val="none" w:sz="0" w:space="0" w:color="auto"/>
          </w:divBdr>
        </w:div>
        <w:div w:id="1207447460">
          <w:marLeft w:val="547"/>
          <w:marRight w:val="0"/>
          <w:marTop w:val="96"/>
          <w:marBottom w:val="0"/>
          <w:divBdr>
            <w:top w:val="none" w:sz="0" w:space="0" w:color="auto"/>
            <w:left w:val="none" w:sz="0" w:space="0" w:color="auto"/>
            <w:bottom w:val="none" w:sz="0" w:space="0" w:color="auto"/>
            <w:right w:val="none" w:sz="0" w:space="0" w:color="auto"/>
          </w:divBdr>
        </w:div>
      </w:divsChild>
    </w:div>
    <w:div w:id="1019311498">
      <w:bodyDiv w:val="1"/>
      <w:marLeft w:val="0"/>
      <w:marRight w:val="0"/>
      <w:marTop w:val="0"/>
      <w:marBottom w:val="0"/>
      <w:divBdr>
        <w:top w:val="none" w:sz="0" w:space="0" w:color="auto"/>
        <w:left w:val="none" w:sz="0" w:space="0" w:color="auto"/>
        <w:bottom w:val="none" w:sz="0" w:space="0" w:color="auto"/>
        <w:right w:val="none" w:sz="0" w:space="0" w:color="auto"/>
      </w:divBdr>
      <w:divsChild>
        <w:div w:id="352534709">
          <w:marLeft w:val="547"/>
          <w:marRight w:val="0"/>
          <w:marTop w:val="120"/>
          <w:marBottom w:val="0"/>
          <w:divBdr>
            <w:top w:val="none" w:sz="0" w:space="0" w:color="auto"/>
            <w:left w:val="none" w:sz="0" w:space="0" w:color="auto"/>
            <w:bottom w:val="none" w:sz="0" w:space="0" w:color="auto"/>
            <w:right w:val="none" w:sz="0" w:space="0" w:color="auto"/>
          </w:divBdr>
        </w:div>
        <w:div w:id="488327655">
          <w:marLeft w:val="1166"/>
          <w:marRight w:val="0"/>
          <w:marTop w:val="101"/>
          <w:marBottom w:val="0"/>
          <w:divBdr>
            <w:top w:val="none" w:sz="0" w:space="0" w:color="auto"/>
            <w:left w:val="none" w:sz="0" w:space="0" w:color="auto"/>
            <w:bottom w:val="none" w:sz="0" w:space="0" w:color="auto"/>
            <w:right w:val="none" w:sz="0" w:space="0" w:color="auto"/>
          </w:divBdr>
        </w:div>
        <w:div w:id="772558250">
          <w:marLeft w:val="1800"/>
          <w:marRight w:val="0"/>
          <w:marTop w:val="82"/>
          <w:marBottom w:val="0"/>
          <w:divBdr>
            <w:top w:val="none" w:sz="0" w:space="0" w:color="auto"/>
            <w:left w:val="none" w:sz="0" w:space="0" w:color="auto"/>
            <w:bottom w:val="none" w:sz="0" w:space="0" w:color="auto"/>
            <w:right w:val="none" w:sz="0" w:space="0" w:color="auto"/>
          </w:divBdr>
        </w:div>
        <w:div w:id="785345361">
          <w:marLeft w:val="1166"/>
          <w:marRight w:val="0"/>
          <w:marTop w:val="101"/>
          <w:marBottom w:val="0"/>
          <w:divBdr>
            <w:top w:val="none" w:sz="0" w:space="0" w:color="auto"/>
            <w:left w:val="none" w:sz="0" w:space="0" w:color="auto"/>
            <w:bottom w:val="none" w:sz="0" w:space="0" w:color="auto"/>
            <w:right w:val="none" w:sz="0" w:space="0" w:color="auto"/>
          </w:divBdr>
        </w:div>
        <w:div w:id="1056126049">
          <w:marLeft w:val="1800"/>
          <w:marRight w:val="0"/>
          <w:marTop w:val="82"/>
          <w:marBottom w:val="0"/>
          <w:divBdr>
            <w:top w:val="none" w:sz="0" w:space="0" w:color="auto"/>
            <w:left w:val="none" w:sz="0" w:space="0" w:color="auto"/>
            <w:bottom w:val="none" w:sz="0" w:space="0" w:color="auto"/>
            <w:right w:val="none" w:sz="0" w:space="0" w:color="auto"/>
          </w:divBdr>
        </w:div>
        <w:div w:id="1564177234">
          <w:marLeft w:val="1166"/>
          <w:marRight w:val="0"/>
          <w:marTop w:val="101"/>
          <w:marBottom w:val="0"/>
          <w:divBdr>
            <w:top w:val="none" w:sz="0" w:space="0" w:color="auto"/>
            <w:left w:val="none" w:sz="0" w:space="0" w:color="auto"/>
            <w:bottom w:val="none" w:sz="0" w:space="0" w:color="auto"/>
            <w:right w:val="none" w:sz="0" w:space="0" w:color="auto"/>
          </w:divBdr>
        </w:div>
        <w:div w:id="1699355411">
          <w:marLeft w:val="547"/>
          <w:marRight w:val="0"/>
          <w:marTop w:val="120"/>
          <w:marBottom w:val="0"/>
          <w:divBdr>
            <w:top w:val="none" w:sz="0" w:space="0" w:color="auto"/>
            <w:left w:val="none" w:sz="0" w:space="0" w:color="auto"/>
            <w:bottom w:val="none" w:sz="0" w:space="0" w:color="auto"/>
            <w:right w:val="none" w:sz="0" w:space="0" w:color="auto"/>
          </w:divBdr>
        </w:div>
        <w:div w:id="1924146385">
          <w:marLeft w:val="1166"/>
          <w:marRight w:val="0"/>
          <w:marTop w:val="101"/>
          <w:marBottom w:val="0"/>
          <w:divBdr>
            <w:top w:val="none" w:sz="0" w:space="0" w:color="auto"/>
            <w:left w:val="none" w:sz="0" w:space="0" w:color="auto"/>
            <w:bottom w:val="none" w:sz="0" w:space="0" w:color="auto"/>
            <w:right w:val="none" w:sz="0" w:space="0" w:color="auto"/>
          </w:divBdr>
        </w:div>
        <w:div w:id="2006005665">
          <w:marLeft w:val="1166"/>
          <w:marRight w:val="0"/>
          <w:marTop w:val="101"/>
          <w:marBottom w:val="0"/>
          <w:divBdr>
            <w:top w:val="none" w:sz="0" w:space="0" w:color="auto"/>
            <w:left w:val="none" w:sz="0" w:space="0" w:color="auto"/>
            <w:bottom w:val="none" w:sz="0" w:space="0" w:color="auto"/>
            <w:right w:val="none" w:sz="0" w:space="0" w:color="auto"/>
          </w:divBdr>
        </w:div>
        <w:div w:id="2096632745">
          <w:marLeft w:val="1800"/>
          <w:marRight w:val="0"/>
          <w:marTop w:val="82"/>
          <w:marBottom w:val="0"/>
          <w:divBdr>
            <w:top w:val="none" w:sz="0" w:space="0" w:color="auto"/>
            <w:left w:val="none" w:sz="0" w:space="0" w:color="auto"/>
            <w:bottom w:val="none" w:sz="0" w:space="0" w:color="auto"/>
            <w:right w:val="none" w:sz="0" w:space="0" w:color="auto"/>
          </w:divBdr>
        </w:div>
        <w:div w:id="2123306568">
          <w:marLeft w:val="1166"/>
          <w:marRight w:val="0"/>
          <w:marTop w:val="101"/>
          <w:marBottom w:val="0"/>
          <w:divBdr>
            <w:top w:val="none" w:sz="0" w:space="0" w:color="auto"/>
            <w:left w:val="none" w:sz="0" w:space="0" w:color="auto"/>
            <w:bottom w:val="none" w:sz="0" w:space="0" w:color="auto"/>
            <w:right w:val="none" w:sz="0" w:space="0" w:color="auto"/>
          </w:divBdr>
        </w:div>
      </w:divsChild>
    </w:div>
    <w:div w:id="1019428909">
      <w:bodyDiv w:val="1"/>
      <w:marLeft w:val="0"/>
      <w:marRight w:val="0"/>
      <w:marTop w:val="0"/>
      <w:marBottom w:val="0"/>
      <w:divBdr>
        <w:top w:val="none" w:sz="0" w:space="0" w:color="auto"/>
        <w:left w:val="none" w:sz="0" w:space="0" w:color="auto"/>
        <w:bottom w:val="none" w:sz="0" w:space="0" w:color="auto"/>
        <w:right w:val="none" w:sz="0" w:space="0" w:color="auto"/>
      </w:divBdr>
    </w:div>
    <w:div w:id="1019815879">
      <w:bodyDiv w:val="1"/>
      <w:marLeft w:val="0"/>
      <w:marRight w:val="0"/>
      <w:marTop w:val="0"/>
      <w:marBottom w:val="0"/>
      <w:divBdr>
        <w:top w:val="none" w:sz="0" w:space="0" w:color="auto"/>
        <w:left w:val="none" w:sz="0" w:space="0" w:color="auto"/>
        <w:bottom w:val="none" w:sz="0" w:space="0" w:color="auto"/>
        <w:right w:val="none" w:sz="0" w:space="0" w:color="auto"/>
      </w:divBdr>
      <w:divsChild>
        <w:div w:id="543566426">
          <w:marLeft w:val="1166"/>
          <w:marRight w:val="0"/>
          <w:marTop w:val="96"/>
          <w:marBottom w:val="0"/>
          <w:divBdr>
            <w:top w:val="none" w:sz="0" w:space="0" w:color="auto"/>
            <w:left w:val="none" w:sz="0" w:space="0" w:color="auto"/>
            <w:bottom w:val="none" w:sz="0" w:space="0" w:color="auto"/>
            <w:right w:val="none" w:sz="0" w:space="0" w:color="auto"/>
          </w:divBdr>
        </w:div>
        <w:div w:id="577904897">
          <w:marLeft w:val="1166"/>
          <w:marRight w:val="0"/>
          <w:marTop w:val="96"/>
          <w:marBottom w:val="0"/>
          <w:divBdr>
            <w:top w:val="none" w:sz="0" w:space="0" w:color="auto"/>
            <w:left w:val="none" w:sz="0" w:space="0" w:color="auto"/>
            <w:bottom w:val="none" w:sz="0" w:space="0" w:color="auto"/>
            <w:right w:val="none" w:sz="0" w:space="0" w:color="auto"/>
          </w:divBdr>
        </w:div>
        <w:div w:id="647175849">
          <w:marLeft w:val="1166"/>
          <w:marRight w:val="0"/>
          <w:marTop w:val="96"/>
          <w:marBottom w:val="0"/>
          <w:divBdr>
            <w:top w:val="none" w:sz="0" w:space="0" w:color="auto"/>
            <w:left w:val="none" w:sz="0" w:space="0" w:color="auto"/>
            <w:bottom w:val="none" w:sz="0" w:space="0" w:color="auto"/>
            <w:right w:val="none" w:sz="0" w:space="0" w:color="auto"/>
          </w:divBdr>
        </w:div>
        <w:div w:id="1050567514">
          <w:marLeft w:val="547"/>
          <w:marRight w:val="0"/>
          <w:marTop w:val="96"/>
          <w:marBottom w:val="0"/>
          <w:divBdr>
            <w:top w:val="none" w:sz="0" w:space="0" w:color="auto"/>
            <w:left w:val="none" w:sz="0" w:space="0" w:color="auto"/>
            <w:bottom w:val="none" w:sz="0" w:space="0" w:color="auto"/>
            <w:right w:val="none" w:sz="0" w:space="0" w:color="auto"/>
          </w:divBdr>
        </w:div>
        <w:div w:id="1325933977">
          <w:marLeft w:val="547"/>
          <w:marRight w:val="0"/>
          <w:marTop w:val="96"/>
          <w:marBottom w:val="0"/>
          <w:divBdr>
            <w:top w:val="none" w:sz="0" w:space="0" w:color="auto"/>
            <w:left w:val="none" w:sz="0" w:space="0" w:color="auto"/>
            <w:bottom w:val="none" w:sz="0" w:space="0" w:color="auto"/>
            <w:right w:val="none" w:sz="0" w:space="0" w:color="auto"/>
          </w:divBdr>
        </w:div>
        <w:div w:id="1555388160">
          <w:marLeft w:val="547"/>
          <w:marRight w:val="0"/>
          <w:marTop w:val="96"/>
          <w:marBottom w:val="0"/>
          <w:divBdr>
            <w:top w:val="none" w:sz="0" w:space="0" w:color="auto"/>
            <w:left w:val="none" w:sz="0" w:space="0" w:color="auto"/>
            <w:bottom w:val="none" w:sz="0" w:space="0" w:color="auto"/>
            <w:right w:val="none" w:sz="0" w:space="0" w:color="auto"/>
          </w:divBdr>
        </w:div>
        <w:div w:id="1741369276">
          <w:marLeft w:val="1166"/>
          <w:marRight w:val="0"/>
          <w:marTop w:val="96"/>
          <w:marBottom w:val="0"/>
          <w:divBdr>
            <w:top w:val="none" w:sz="0" w:space="0" w:color="auto"/>
            <w:left w:val="none" w:sz="0" w:space="0" w:color="auto"/>
            <w:bottom w:val="none" w:sz="0" w:space="0" w:color="auto"/>
            <w:right w:val="none" w:sz="0" w:space="0" w:color="auto"/>
          </w:divBdr>
        </w:div>
      </w:divsChild>
    </w:div>
    <w:div w:id="1020665499">
      <w:bodyDiv w:val="1"/>
      <w:marLeft w:val="0"/>
      <w:marRight w:val="0"/>
      <w:marTop w:val="0"/>
      <w:marBottom w:val="0"/>
      <w:divBdr>
        <w:top w:val="none" w:sz="0" w:space="0" w:color="auto"/>
        <w:left w:val="none" w:sz="0" w:space="0" w:color="auto"/>
        <w:bottom w:val="none" w:sz="0" w:space="0" w:color="auto"/>
        <w:right w:val="none" w:sz="0" w:space="0" w:color="auto"/>
      </w:divBdr>
    </w:div>
    <w:div w:id="1022047962">
      <w:bodyDiv w:val="1"/>
      <w:marLeft w:val="0"/>
      <w:marRight w:val="0"/>
      <w:marTop w:val="0"/>
      <w:marBottom w:val="0"/>
      <w:divBdr>
        <w:top w:val="none" w:sz="0" w:space="0" w:color="auto"/>
        <w:left w:val="none" w:sz="0" w:space="0" w:color="auto"/>
        <w:bottom w:val="none" w:sz="0" w:space="0" w:color="auto"/>
        <w:right w:val="none" w:sz="0" w:space="0" w:color="auto"/>
      </w:divBdr>
    </w:div>
    <w:div w:id="1022122750">
      <w:bodyDiv w:val="1"/>
      <w:marLeft w:val="0"/>
      <w:marRight w:val="0"/>
      <w:marTop w:val="0"/>
      <w:marBottom w:val="0"/>
      <w:divBdr>
        <w:top w:val="none" w:sz="0" w:space="0" w:color="auto"/>
        <w:left w:val="none" w:sz="0" w:space="0" w:color="auto"/>
        <w:bottom w:val="none" w:sz="0" w:space="0" w:color="auto"/>
        <w:right w:val="none" w:sz="0" w:space="0" w:color="auto"/>
      </w:divBdr>
      <w:divsChild>
        <w:div w:id="142426999">
          <w:marLeft w:val="1800"/>
          <w:marRight w:val="0"/>
          <w:marTop w:val="106"/>
          <w:marBottom w:val="0"/>
          <w:divBdr>
            <w:top w:val="none" w:sz="0" w:space="0" w:color="auto"/>
            <w:left w:val="none" w:sz="0" w:space="0" w:color="auto"/>
            <w:bottom w:val="none" w:sz="0" w:space="0" w:color="auto"/>
            <w:right w:val="none" w:sz="0" w:space="0" w:color="auto"/>
          </w:divBdr>
        </w:div>
        <w:div w:id="284966444">
          <w:marLeft w:val="547"/>
          <w:marRight w:val="0"/>
          <w:marTop w:val="144"/>
          <w:marBottom w:val="0"/>
          <w:divBdr>
            <w:top w:val="none" w:sz="0" w:space="0" w:color="auto"/>
            <w:left w:val="none" w:sz="0" w:space="0" w:color="auto"/>
            <w:bottom w:val="none" w:sz="0" w:space="0" w:color="auto"/>
            <w:right w:val="none" w:sz="0" w:space="0" w:color="auto"/>
          </w:divBdr>
        </w:div>
        <w:div w:id="579606414">
          <w:marLeft w:val="1800"/>
          <w:marRight w:val="0"/>
          <w:marTop w:val="106"/>
          <w:marBottom w:val="0"/>
          <w:divBdr>
            <w:top w:val="none" w:sz="0" w:space="0" w:color="auto"/>
            <w:left w:val="none" w:sz="0" w:space="0" w:color="auto"/>
            <w:bottom w:val="none" w:sz="0" w:space="0" w:color="auto"/>
            <w:right w:val="none" w:sz="0" w:space="0" w:color="auto"/>
          </w:divBdr>
        </w:div>
        <w:div w:id="854883489">
          <w:marLeft w:val="1166"/>
          <w:marRight w:val="0"/>
          <w:marTop w:val="125"/>
          <w:marBottom w:val="0"/>
          <w:divBdr>
            <w:top w:val="none" w:sz="0" w:space="0" w:color="auto"/>
            <w:left w:val="none" w:sz="0" w:space="0" w:color="auto"/>
            <w:bottom w:val="none" w:sz="0" w:space="0" w:color="auto"/>
            <w:right w:val="none" w:sz="0" w:space="0" w:color="auto"/>
          </w:divBdr>
        </w:div>
        <w:div w:id="1249657132">
          <w:marLeft w:val="1166"/>
          <w:marRight w:val="0"/>
          <w:marTop w:val="125"/>
          <w:marBottom w:val="0"/>
          <w:divBdr>
            <w:top w:val="none" w:sz="0" w:space="0" w:color="auto"/>
            <w:left w:val="none" w:sz="0" w:space="0" w:color="auto"/>
            <w:bottom w:val="none" w:sz="0" w:space="0" w:color="auto"/>
            <w:right w:val="none" w:sz="0" w:space="0" w:color="auto"/>
          </w:divBdr>
        </w:div>
        <w:div w:id="1256014022">
          <w:marLeft w:val="1800"/>
          <w:marRight w:val="0"/>
          <w:marTop w:val="106"/>
          <w:marBottom w:val="0"/>
          <w:divBdr>
            <w:top w:val="none" w:sz="0" w:space="0" w:color="auto"/>
            <w:left w:val="none" w:sz="0" w:space="0" w:color="auto"/>
            <w:bottom w:val="none" w:sz="0" w:space="0" w:color="auto"/>
            <w:right w:val="none" w:sz="0" w:space="0" w:color="auto"/>
          </w:divBdr>
        </w:div>
        <w:div w:id="1298604307">
          <w:marLeft w:val="1800"/>
          <w:marRight w:val="0"/>
          <w:marTop w:val="106"/>
          <w:marBottom w:val="0"/>
          <w:divBdr>
            <w:top w:val="none" w:sz="0" w:space="0" w:color="auto"/>
            <w:left w:val="none" w:sz="0" w:space="0" w:color="auto"/>
            <w:bottom w:val="none" w:sz="0" w:space="0" w:color="auto"/>
            <w:right w:val="none" w:sz="0" w:space="0" w:color="auto"/>
          </w:divBdr>
        </w:div>
      </w:divsChild>
    </w:div>
    <w:div w:id="1023555929">
      <w:bodyDiv w:val="1"/>
      <w:marLeft w:val="0"/>
      <w:marRight w:val="0"/>
      <w:marTop w:val="0"/>
      <w:marBottom w:val="0"/>
      <w:divBdr>
        <w:top w:val="none" w:sz="0" w:space="0" w:color="auto"/>
        <w:left w:val="none" w:sz="0" w:space="0" w:color="auto"/>
        <w:bottom w:val="none" w:sz="0" w:space="0" w:color="auto"/>
        <w:right w:val="none" w:sz="0" w:space="0" w:color="auto"/>
      </w:divBdr>
      <w:divsChild>
        <w:div w:id="146240549">
          <w:marLeft w:val="547"/>
          <w:marRight w:val="0"/>
          <w:marTop w:val="96"/>
          <w:marBottom w:val="0"/>
          <w:divBdr>
            <w:top w:val="none" w:sz="0" w:space="0" w:color="auto"/>
            <w:left w:val="none" w:sz="0" w:space="0" w:color="auto"/>
            <w:bottom w:val="none" w:sz="0" w:space="0" w:color="auto"/>
            <w:right w:val="none" w:sz="0" w:space="0" w:color="auto"/>
          </w:divBdr>
        </w:div>
        <w:div w:id="586887453">
          <w:marLeft w:val="547"/>
          <w:marRight w:val="0"/>
          <w:marTop w:val="86"/>
          <w:marBottom w:val="0"/>
          <w:divBdr>
            <w:top w:val="none" w:sz="0" w:space="0" w:color="auto"/>
            <w:left w:val="none" w:sz="0" w:space="0" w:color="auto"/>
            <w:bottom w:val="none" w:sz="0" w:space="0" w:color="auto"/>
            <w:right w:val="none" w:sz="0" w:space="0" w:color="auto"/>
          </w:divBdr>
        </w:div>
        <w:div w:id="1193346543">
          <w:marLeft w:val="1166"/>
          <w:marRight w:val="0"/>
          <w:marTop w:val="86"/>
          <w:marBottom w:val="0"/>
          <w:divBdr>
            <w:top w:val="none" w:sz="0" w:space="0" w:color="auto"/>
            <w:left w:val="none" w:sz="0" w:space="0" w:color="auto"/>
            <w:bottom w:val="none" w:sz="0" w:space="0" w:color="auto"/>
            <w:right w:val="none" w:sz="0" w:space="0" w:color="auto"/>
          </w:divBdr>
        </w:div>
        <w:div w:id="1200901061">
          <w:marLeft w:val="1166"/>
          <w:marRight w:val="0"/>
          <w:marTop w:val="86"/>
          <w:marBottom w:val="0"/>
          <w:divBdr>
            <w:top w:val="none" w:sz="0" w:space="0" w:color="auto"/>
            <w:left w:val="none" w:sz="0" w:space="0" w:color="auto"/>
            <w:bottom w:val="none" w:sz="0" w:space="0" w:color="auto"/>
            <w:right w:val="none" w:sz="0" w:space="0" w:color="auto"/>
          </w:divBdr>
        </w:div>
        <w:div w:id="1249004902">
          <w:marLeft w:val="1166"/>
          <w:marRight w:val="0"/>
          <w:marTop w:val="86"/>
          <w:marBottom w:val="0"/>
          <w:divBdr>
            <w:top w:val="none" w:sz="0" w:space="0" w:color="auto"/>
            <w:left w:val="none" w:sz="0" w:space="0" w:color="auto"/>
            <w:bottom w:val="none" w:sz="0" w:space="0" w:color="auto"/>
            <w:right w:val="none" w:sz="0" w:space="0" w:color="auto"/>
          </w:divBdr>
        </w:div>
      </w:divsChild>
    </w:div>
    <w:div w:id="1024094892">
      <w:bodyDiv w:val="1"/>
      <w:marLeft w:val="0"/>
      <w:marRight w:val="0"/>
      <w:marTop w:val="0"/>
      <w:marBottom w:val="0"/>
      <w:divBdr>
        <w:top w:val="none" w:sz="0" w:space="0" w:color="auto"/>
        <w:left w:val="none" w:sz="0" w:space="0" w:color="auto"/>
        <w:bottom w:val="none" w:sz="0" w:space="0" w:color="auto"/>
        <w:right w:val="none" w:sz="0" w:space="0" w:color="auto"/>
      </w:divBdr>
    </w:div>
    <w:div w:id="1024987323">
      <w:bodyDiv w:val="1"/>
      <w:marLeft w:val="0"/>
      <w:marRight w:val="0"/>
      <w:marTop w:val="0"/>
      <w:marBottom w:val="0"/>
      <w:divBdr>
        <w:top w:val="none" w:sz="0" w:space="0" w:color="auto"/>
        <w:left w:val="none" w:sz="0" w:space="0" w:color="auto"/>
        <w:bottom w:val="none" w:sz="0" w:space="0" w:color="auto"/>
        <w:right w:val="none" w:sz="0" w:space="0" w:color="auto"/>
      </w:divBdr>
    </w:div>
    <w:div w:id="1025398765">
      <w:bodyDiv w:val="1"/>
      <w:marLeft w:val="0"/>
      <w:marRight w:val="0"/>
      <w:marTop w:val="0"/>
      <w:marBottom w:val="0"/>
      <w:divBdr>
        <w:top w:val="none" w:sz="0" w:space="0" w:color="auto"/>
        <w:left w:val="none" w:sz="0" w:space="0" w:color="auto"/>
        <w:bottom w:val="none" w:sz="0" w:space="0" w:color="auto"/>
        <w:right w:val="none" w:sz="0" w:space="0" w:color="auto"/>
      </w:divBdr>
    </w:div>
    <w:div w:id="1025860448">
      <w:bodyDiv w:val="1"/>
      <w:marLeft w:val="0"/>
      <w:marRight w:val="0"/>
      <w:marTop w:val="0"/>
      <w:marBottom w:val="0"/>
      <w:divBdr>
        <w:top w:val="none" w:sz="0" w:space="0" w:color="auto"/>
        <w:left w:val="none" w:sz="0" w:space="0" w:color="auto"/>
        <w:bottom w:val="none" w:sz="0" w:space="0" w:color="auto"/>
        <w:right w:val="none" w:sz="0" w:space="0" w:color="auto"/>
      </w:divBdr>
    </w:div>
    <w:div w:id="1026254139">
      <w:bodyDiv w:val="1"/>
      <w:marLeft w:val="0"/>
      <w:marRight w:val="0"/>
      <w:marTop w:val="0"/>
      <w:marBottom w:val="0"/>
      <w:divBdr>
        <w:top w:val="none" w:sz="0" w:space="0" w:color="auto"/>
        <w:left w:val="none" w:sz="0" w:space="0" w:color="auto"/>
        <w:bottom w:val="none" w:sz="0" w:space="0" w:color="auto"/>
        <w:right w:val="none" w:sz="0" w:space="0" w:color="auto"/>
      </w:divBdr>
      <w:divsChild>
        <w:div w:id="37632879">
          <w:marLeft w:val="547"/>
          <w:marRight w:val="0"/>
          <w:marTop w:val="96"/>
          <w:marBottom w:val="0"/>
          <w:divBdr>
            <w:top w:val="none" w:sz="0" w:space="0" w:color="auto"/>
            <w:left w:val="none" w:sz="0" w:space="0" w:color="auto"/>
            <w:bottom w:val="none" w:sz="0" w:space="0" w:color="auto"/>
            <w:right w:val="none" w:sz="0" w:space="0" w:color="auto"/>
          </w:divBdr>
        </w:div>
        <w:div w:id="48772020">
          <w:marLeft w:val="1800"/>
          <w:marRight w:val="0"/>
          <w:marTop w:val="72"/>
          <w:marBottom w:val="0"/>
          <w:divBdr>
            <w:top w:val="none" w:sz="0" w:space="0" w:color="auto"/>
            <w:left w:val="none" w:sz="0" w:space="0" w:color="auto"/>
            <w:bottom w:val="none" w:sz="0" w:space="0" w:color="auto"/>
            <w:right w:val="none" w:sz="0" w:space="0" w:color="auto"/>
          </w:divBdr>
        </w:div>
        <w:div w:id="237635497">
          <w:marLeft w:val="2520"/>
          <w:marRight w:val="0"/>
          <w:marTop w:val="62"/>
          <w:marBottom w:val="0"/>
          <w:divBdr>
            <w:top w:val="none" w:sz="0" w:space="0" w:color="auto"/>
            <w:left w:val="none" w:sz="0" w:space="0" w:color="auto"/>
            <w:bottom w:val="none" w:sz="0" w:space="0" w:color="auto"/>
            <w:right w:val="none" w:sz="0" w:space="0" w:color="auto"/>
          </w:divBdr>
        </w:div>
        <w:div w:id="248856972">
          <w:marLeft w:val="1166"/>
          <w:marRight w:val="0"/>
          <w:marTop w:val="86"/>
          <w:marBottom w:val="0"/>
          <w:divBdr>
            <w:top w:val="none" w:sz="0" w:space="0" w:color="auto"/>
            <w:left w:val="none" w:sz="0" w:space="0" w:color="auto"/>
            <w:bottom w:val="none" w:sz="0" w:space="0" w:color="auto"/>
            <w:right w:val="none" w:sz="0" w:space="0" w:color="auto"/>
          </w:divBdr>
        </w:div>
        <w:div w:id="391971236">
          <w:marLeft w:val="1800"/>
          <w:marRight w:val="0"/>
          <w:marTop w:val="72"/>
          <w:marBottom w:val="0"/>
          <w:divBdr>
            <w:top w:val="none" w:sz="0" w:space="0" w:color="auto"/>
            <w:left w:val="none" w:sz="0" w:space="0" w:color="auto"/>
            <w:bottom w:val="none" w:sz="0" w:space="0" w:color="auto"/>
            <w:right w:val="none" w:sz="0" w:space="0" w:color="auto"/>
          </w:divBdr>
        </w:div>
        <w:div w:id="497041426">
          <w:marLeft w:val="1166"/>
          <w:marRight w:val="0"/>
          <w:marTop w:val="86"/>
          <w:marBottom w:val="0"/>
          <w:divBdr>
            <w:top w:val="none" w:sz="0" w:space="0" w:color="auto"/>
            <w:left w:val="none" w:sz="0" w:space="0" w:color="auto"/>
            <w:bottom w:val="none" w:sz="0" w:space="0" w:color="auto"/>
            <w:right w:val="none" w:sz="0" w:space="0" w:color="auto"/>
          </w:divBdr>
        </w:div>
        <w:div w:id="546718762">
          <w:marLeft w:val="547"/>
          <w:marRight w:val="0"/>
          <w:marTop w:val="96"/>
          <w:marBottom w:val="0"/>
          <w:divBdr>
            <w:top w:val="none" w:sz="0" w:space="0" w:color="auto"/>
            <w:left w:val="none" w:sz="0" w:space="0" w:color="auto"/>
            <w:bottom w:val="none" w:sz="0" w:space="0" w:color="auto"/>
            <w:right w:val="none" w:sz="0" w:space="0" w:color="auto"/>
          </w:divBdr>
        </w:div>
        <w:div w:id="717824416">
          <w:marLeft w:val="547"/>
          <w:marRight w:val="0"/>
          <w:marTop w:val="96"/>
          <w:marBottom w:val="0"/>
          <w:divBdr>
            <w:top w:val="none" w:sz="0" w:space="0" w:color="auto"/>
            <w:left w:val="none" w:sz="0" w:space="0" w:color="auto"/>
            <w:bottom w:val="none" w:sz="0" w:space="0" w:color="auto"/>
            <w:right w:val="none" w:sz="0" w:space="0" w:color="auto"/>
          </w:divBdr>
        </w:div>
        <w:div w:id="861818408">
          <w:marLeft w:val="1166"/>
          <w:marRight w:val="0"/>
          <w:marTop w:val="86"/>
          <w:marBottom w:val="0"/>
          <w:divBdr>
            <w:top w:val="none" w:sz="0" w:space="0" w:color="auto"/>
            <w:left w:val="none" w:sz="0" w:space="0" w:color="auto"/>
            <w:bottom w:val="none" w:sz="0" w:space="0" w:color="auto"/>
            <w:right w:val="none" w:sz="0" w:space="0" w:color="auto"/>
          </w:divBdr>
        </w:div>
        <w:div w:id="1501847201">
          <w:marLeft w:val="2520"/>
          <w:marRight w:val="0"/>
          <w:marTop w:val="62"/>
          <w:marBottom w:val="0"/>
          <w:divBdr>
            <w:top w:val="none" w:sz="0" w:space="0" w:color="auto"/>
            <w:left w:val="none" w:sz="0" w:space="0" w:color="auto"/>
            <w:bottom w:val="none" w:sz="0" w:space="0" w:color="auto"/>
            <w:right w:val="none" w:sz="0" w:space="0" w:color="auto"/>
          </w:divBdr>
        </w:div>
        <w:div w:id="1591428014">
          <w:marLeft w:val="1166"/>
          <w:marRight w:val="0"/>
          <w:marTop w:val="86"/>
          <w:marBottom w:val="0"/>
          <w:divBdr>
            <w:top w:val="none" w:sz="0" w:space="0" w:color="auto"/>
            <w:left w:val="none" w:sz="0" w:space="0" w:color="auto"/>
            <w:bottom w:val="none" w:sz="0" w:space="0" w:color="auto"/>
            <w:right w:val="none" w:sz="0" w:space="0" w:color="auto"/>
          </w:divBdr>
        </w:div>
        <w:div w:id="1835414823">
          <w:marLeft w:val="1800"/>
          <w:marRight w:val="0"/>
          <w:marTop w:val="72"/>
          <w:marBottom w:val="0"/>
          <w:divBdr>
            <w:top w:val="none" w:sz="0" w:space="0" w:color="auto"/>
            <w:left w:val="none" w:sz="0" w:space="0" w:color="auto"/>
            <w:bottom w:val="none" w:sz="0" w:space="0" w:color="auto"/>
            <w:right w:val="none" w:sz="0" w:space="0" w:color="auto"/>
          </w:divBdr>
        </w:div>
      </w:divsChild>
    </w:div>
    <w:div w:id="1026905406">
      <w:bodyDiv w:val="1"/>
      <w:marLeft w:val="0"/>
      <w:marRight w:val="0"/>
      <w:marTop w:val="0"/>
      <w:marBottom w:val="0"/>
      <w:divBdr>
        <w:top w:val="none" w:sz="0" w:space="0" w:color="auto"/>
        <w:left w:val="none" w:sz="0" w:space="0" w:color="auto"/>
        <w:bottom w:val="none" w:sz="0" w:space="0" w:color="auto"/>
        <w:right w:val="none" w:sz="0" w:space="0" w:color="auto"/>
      </w:divBdr>
    </w:div>
    <w:div w:id="1027756948">
      <w:bodyDiv w:val="1"/>
      <w:marLeft w:val="0"/>
      <w:marRight w:val="0"/>
      <w:marTop w:val="0"/>
      <w:marBottom w:val="0"/>
      <w:divBdr>
        <w:top w:val="none" w:sz="0" w:space="0" w:color="auto"/>
        <w:left w:val="none" w:sz="0" w:space="0" w:color="auto"/>
        <w:bottom w:val="none" w:sz="0" w:space="0" w:color="auto"/>
        <w:right w:val="none" w:sz="0" w:space="0" w:color="auto"/>
      </w:divBdr>
    </w:div>
    <w:div w:id="1027757828">
      <w:bodyDiv w:val="1"/>
      <w:marLeft w:val="0"/>
      <w:marRight w:val="0"/>
      <w:marTop w:val="0"/>
      <w:marBottom w:val="0"/>
      <w:divBdr>
        <w:top w:val="none" w:sz="0" w:space="0" w:color="auto"/>
        <w:left w:val="none" w:sz="0" w:space="0" w:color="auto"/>
        <w:bottom w:val="none" w:sz="0" w:space="0" w:color="auto"/>
        <w:right w:val="none" w:sz="0" w:space="0" w:color="auto"/>
      </w:divBdr>
    </w:div>
    <w:div w:id="1029724270">
      <w:bodyDiv w:val="1"/>
      <w:marLeft w:val="0"/>
      <w:marRight w:val="0"/>
      <w:marTop w:val="0"/>
      <w:marBottom w:val="0"/>
      <w:divBdr>
        <w:top w:val="none" w:sz="0" w:space="0" w:color="auto"/>
        <w:left w:val="none" w:sz="0" w:space="0" w:color="auto"/>
        <w:bottom w:val="none" w:sz="0" w:space="0" w:color="auto"/>
        <w:right w:val="none" w:sz="0" w:space="0" w:color="auto"/>
      </w:divBdr>
    </w:div>
    <w:div w:id="1029840176">
      <w:bodyDiv w:val="1"/>
      <w:marLeft w:val="0"/>
      <w:marRight w:val="0"/>
      <w:marTop w:val="0"/>
      <w:marBottom w:val="0"/>
      <w:divBdr>
        <w:top w:val="none" w:sz="0" w:space="0" w:color="auto"/>
        <w:left w:val="none" w:sz="0" w:space="0" w:color="auto"/>
        <w:bottom w:val="none" w:sz="0" w:space="0" w:color="auto"/>
        <w:right w:val="none" w:sz="0" w:space="0" w:color="auto"/>
      </w:divBdr>
    </w:div>
    <w:div w:id="1030105427">
      <w:bodyDiv w:val="1"/>
      <w:marLeft w:val="0"/>
      <w:marRight w:val="0"/>
      <w:marTop w:val="0"/>
      <w:marBottom w:val="0"/>
      <w:divBdr>
        <w:top w:val="none" w:sz="0" w:space="0" w:color="auto"/>
        <w:left w:val="none" w:sz="0" w:space="0" w:color="auto"/>
        <w:bottom w:val="none" w:sz="0" w:space="0" w:color="auto"/>
        <w:right w:val="none" w:sz="0" w:space="0" w:color="auto"/>
      </w:divBdr>
    </w:div>
    <w:div w:id="1030762298">
      <w:bodyDiv w:val="1"/>
      <w:marLeft w:val="0"/>
      <w:marRight w:val="0"/>
      <w:marTop w:val="0"/>
      <w:marBottom w:val="0"/>
      <w:divBdr>
        <w:top w:val="none" w:sz="0" w:space="0" w:color="auto"/>
        <w:left w:val="none" w:sz="0" w:space="0" w:color="auto"/>
        <w:bottom w:val="none" w:sz="0" w:space="0" w:color="auto"/>
        <w:right w:val="none" w:sz="0" w:space="0" w:color="auto"/>
      </w:divBdr>
    </w:div>
    <w:div w:id="1032192795">
      <w:bodyDiv w:val="1"/>
      <w:marLeft w:val="0"/>
      <w:marRight w:val="0"/>
      <w:marTop w:val="0"/>
      <w:marBottom w:val="0"/>
      <w:divBdr>
        <w:top w:val="none" w:sz="0" w:space="0" w:color="auto"/>
        <w:left w:val="none" w:sz="0" w:space="0" w:color="auto"/>
        <w:bottom w:val="none" w:sz="0" w:space="0" w:color="auto"/>
        <w:right w:val="none" w:sz="0" w:space="0" w:color="auto"/>
      </w:divBdr>
    </w:div>
    <w:div w:id="1032267590">
      <w:bodyDiv w:val="1"/>
      <w:marLeft w:val="0"/>
      <w:marRight w:val="0"/>
      <w:marTop w:val="0"/>
      <w:marBottom w:val="0"/>
      <w:divBdr>
        <w:top w:val="none" w:sz="0" w:space="0" w:color="auto"/>
        <w:left w:val="none" w:sz="0" w:space="0" w:color="auto"/>
        <w:bottom w:val="none" w:sz="0" w:space="0" w:color="auto"/>
        <w:right w:val="none" w:sz="0" w:space="0" w:color="auto"/>
      </w:divBdr>
    </w:div>
    <w:div w:id="1033337636">
      <w:bodyDiv w:val="1"/>
      <w:marLeft w:val="0"/>
      <w:marRight w:val="0"/>
      <w:marTop w:val="0"/>
      <w:marBottom w:val="0"/>
      <w:divBdr>
        <w:top w:val="none" w:sz="0" w:space="0" w:color="auto"/>
        <w:left w:val="none" w:sz="0" w:space="0" w:color="auto"/>
        <w:bottom w:val="none" w:sz="0" w:space="0" w:color="auto"/>
        <w:right w:val="none" w:sz="0" w:space="0" w:color="auto"/>
      </w:divBdr>
    </w:div>
    <w:div w:id="1034043062">
      <w:bodyDiv w:val="1"/>
      <w:marLeft w:val="0"/>
      <w:marRight w:val="0"/>
      <w:marTop w:val="0"/>
      <w:marBottom w:val="0"/>
      <w:divBdr>
        <w:top w:val="none" w:sz="0" w:space="0" w:color="auto"/>
        <w:left w:val="none" w:sz="0" w:space="0" w:color="auto"/>
        <w:bottom w:val="none" w:sz="0" w:space="0" w:color="auto"/>
        <w:right w:val="none" w:sz="0" w:space="0" w:color="auto"/>
      </w:divBdr>
    </w:div>
    <w:div w:id="1035276906">
      <w:bodyDiv w:val="1"/>
      <w:marLeft w:val="0"/>
      <w:marRight w:val="0"/>
      <w:marTop w:val="0"/>
      <w:marBottom w:val="0"/>
      <w:divBdr>
        <w:top w:val="none" w:sz="0" w:space="0" w:color="auto"/>
        <w:left w:val="none" w:sz="0" w:space="0" w:color="auto"/>
        <w:bottom w:val="none" w:sz="0" w:space="0" w:color="auto"/>
        <w:right w:val="none" w:sz="0" w:space="0" w:color="auto"/>
      </w:divBdr>
    </w:div>
    <w:div w:id="1035496706">
      <w:bodyDiv w:val="1"/>
      <w:marLeft w:val="0"/>
      <w:marRight w:val="0"/>
      <w:marTop w:val="0"/>
      <w:marBottom w:val="0"/>
      <w:divBdr>
        <w:top w:val="none" w:sz="0" w:space="0" w:color="auto"/>
        <w:left w:val="none" w:sz="0" w:space="0" w:color="auto"/>
        <w:bottom w:val="none" w:sz="0" w:space="0" w:color="auto"/>
        <w:right w:val="none" w:sz="0" w:space="0" w:color="auto"/>
      </w:divBdr>
    </w:div>
    <w:div w:id="1038429351">
      <w:bodyDiv w:val="1"/>
      <w:marLeft w:val="0"/>
      <w:marRight w:val="0"/>
      <w:marTop w:val="0"/>
      <w:marBottom w:val="0"/>
      <w:divBdr>
        <w:top w:val="none" w:sz="0" w:space="0" w:color="auto"/>
        <w:left w:val="none" w:sz="0" w:space="0" w:color="auto"/>
        <w:bottom w:val="none" w:sz="0" w:space="0" w:color="auto"/>
        <w:right w:val="none" w:sz="0" w:space="0" w:color="auto"/>
      </w:divBdr>
    </w:div>
    <w:div w:id="1039284284">
      <w:bodyDiv w:val="1"/>
      <w:marLeft w:val="0"/>
      <w:marRight w:val="0"/>
      <w:marTop w:val="0"/>
      <w:marBottom w:val="0"/>
      <w:divBdr>
        <w:top w:val="none" w:sz="0" w:space="0" w:color="auto"/>
        <w:left w:val="none" w:sz="0" w:space="0" w:color="auto"/>
        <w:bottom w:val="none" w:sz="0" w:space="0" w:color="auto"/>
        <w:right w:val="none" w:sz="0" w:space="0" w:color="auto"/>
      </w:divBdr>
    </w:div>
    <w:div w:id="1039551589">
      <w:bodyDiv w:val="1"/>
      <w:marLeft w:val="0"/>
      <w:marRight w:val="0"/>
      <w:marTop w:val="0"/>
      <w:marBottom w:val="0"/>
      <w:divBdr>
        <w:top w:val="none" w:sz="0" w:space="0" w:color="auto"/>
        <w:left w:val="none" w:sz="0" w:space="0" w:color="auto"/>
        <w:bottom w:val="none" w:sz="0" w:space="0" w:color="auto"/>
        <w:right w:val="none" w:sz="0" w:space="0" w:color="auto"/>
      </w:divBdr>
    </w:div>
    <w:div w:id="1039740446">
      <w:bodyDiv w:val="1"/>
      <w:marLeft w:val="0"/>
      <w:marRight w:val="0"/>
      <w:marTop w:val="0"/>
      <w:marBottom w:val="0"/>
      <w:divBdr>
        <w:top w:val="none" w:sz="0" w:space="0" w:color="auto"/>
        <w:left w:val="none" w:sz="0" w:space="0" w:color="auto"/>
        <w:bottom w:val="none" w:sz="0" w:space="0" w:color="auto"/>
        <w:right w:val="none" w:sz="0" w:space="0" w:color="auto"/>
      </w:divBdr>
    </w:div>
    <w:div w:id="1040086554">
      <w:bodyDiv w:val="1"/>
      <w:marLeft w:val="0"/>
      <w:marRight w:val="0"/>
      <w:marTop w:val="0"/>
      <w:marBottom w:val="0"/>
      <w:divBdr>
        <w:top w:val="none" w:sz="0" w:space="0" w:color="auto"/>
        <w:left w:val="none" w:sz="0" w:space="0" w:color="auto"/>
        <w:bottom w:val="none" w:sz="0" w:space="0" w:color="auto"/>
        <w:right w:val="none" w:sz="0" w:space="0" w:color="auto"/>
      </w:divBdr>
    </w:div>
    <w:div w:id="1040205619">
      <w:bodyDiv w:val="1"/>
      <w:marLeft w:val="0"/>
      <w:marRight w:val="0"/>
      <w:marTop w:val="0"/>
      <w:marBottom w:val="0"/>
      <w:divBdr>
        <w:top w:val="none" w:sz="0" w:space="0" w:color="auto"/>
        <w:left w:val="none" w:sz="0" w:space="0" w:color="auto"/>
        <w:bottom w:val="none" w:sz="0" w:space="0" w:color="auto"/>
        <w:right w:val="none" w:sz="0" w:space="0" w:color="auto"/>
      </w:divBdr>
    </w:div>
    <w:div w:id="1040940365">
      <w:bodyDiv w:val="1"/>
      <w:marLeft w:val="0"/>
      <w:marRight w:val="0"/>
      <w:marTop w:val="0"/>
      <w:marBottom w:val="0"/>
      <w:divBdr>
        <w:top w:val="none" w:sz="0" w:space="0" w:color="auto"/>
        <w:left w:val="none" w:sz="0" w:space="0" w:color="auto"/>
        <w:bottom w:val="none" w:sz="0" w:space="0" w:color="auto"/>
        <w:right w:val="none" w:sz="0" w:space="0" w:color="auto"/>
      </w:divBdr>
      <w:divsChild>
        <w:div w:id="711265891">
          <w:marLeft w:val="1166"/>
          <w:marRight w:val="0"/>
          <w:marTop w:val="115"/>
          <w:marBottom w:val="0"/>
          <w:divBdr>
            <w:top w:val="none" w:sz="0" w:space="0" w:color="auto"/>
            <w:left w:val="none" w:sz="0" w:space="0" w:color="auto"/>
            <w:bottom w:val="none" w:sz="0" w:space="0" w:color="auto"/>
            <w:right w:val="none" w:sz="0" w:space="0" w:color="auto"/>
          </w:divBdr>
        </w:div>
        <w:div w:id="861938324">
          <w:marLeft w:val="1166"/>
          <w:marRight w:val="0"/>
          <w:marTop w:val="115"/>
          <w:marBottom w:val="0"/>
          <w:divBdr>
            <w:top w:val="none" w:sz="0" w:space="0" w:color="auto"/>
            <w:left w:val="none" w:sz="0" w:space="0" w:color="auto"/>
            <w:bottom w:val="none" w:sz="0" w:space="0" w:color="auto"/>
            <w:right w:val="none" w:sz="0" w:space="0" w:color="auto"/>
          </w:divBdr>
        </w:div>
        <w:div w:id="1245645202">
          <w:marLeft w:val="1800"/>
          <w:marRight w:val="0"/>
          <w:marTop w:val="96"/>
          <w:marBottom w:val="0"/>
          <w:divBdr>
            <w:top w:val="none" w:sz="0" w:space="0" w:color="auto"/>
            <w:left w:val="none" w:sz="0" w:space="0" w:color="auto"/>
            <w:bottom w:val="none" w:sz="0" w:space="0" w:color="auto"/>
            <w:right w:val="none" w:sz="0" w:space="0" w:color="auto"/>
          </w:divBdr>
        </w:div>
        <w:div w:id="1920171761">
          <w:marLeft w:val="1800"/>
          <w:marRight w:val="0"/>
          <w:marTop w:val="96"/>
          <w:marBottom w:val="0"/>
          <w:divBdr>
            <w:top w:val="none" w:sz="0" w:space="0" w:color="auto"/>
            <w:left w:val="none" w:sz="0" w:space="0" w:color="auto"/>
            <w:bottom w:val="none" w:sz="0" w:space="0" w:color="auto"/>
            <w:right w:val="none" w:sz="0" w:space="0" w:color="auto"/>
          </w:divBdr>
        </w:div>
        <w:div w:id="2004582050">
          <w:marLeft w:val="1166"/>
          <w:marRight w:val="0"/>
          <w:marTop w:val="115"/>
          <w:marBottom w:val="0"/>
          <w:divBdr>
            <w:top w:val="none" w:sz="0" w:space="0" w:color="auto"/>
            <w:left w:val="none" w:sz="0" w:space="0" w:color="auto"/>
            <w:bottom w:val="none" w:sz="0" w:space="0" w:color="auto"/>
            <w:right w:val="none" w:sz="0" w:space="0" w:color="auto"/>
          </w:divBdr>
        </w:div>
      </w:divsChild>
    </w:div>
    <w:div w:id="1043600662">
      <w:bodyDiv w:val="1"/>
      <w:marLeft w:val="0"/>
      <w:marRight w:val="0"/>
      <w:marTop w:val="0"/>
      <w:marBottom w:val="0"/>
      <w:divBdr>
        <w:top w:val="none" w:sz="0" w:space="0" w:color="auto"/>
        <w:left w:val="none" w:sz="0" w:space="0" w:color="auto"/>
        <w:bottom w:val="none" w:sz="0" w:space="0" w:color="auto"/>
        <w:right w:val="none" w:sz="0" w:space="0" w:color="auto"/>
      </w:divBdr>
    </w:div>
    <w:div w:id="1044215139">
      <w:bodyDiv w:val="1"/>
      <w:marLeft w:val="0"/>
      <w:marRight w:val="0"/>
      <w:marTop w:val="0"/>
      <w:marBottom w:val="0"/>
      <w:divBdr>
        <w:top w:val="none" w:sz="0" w:space="0" w:color="auto"/>
        <w:left w:val="none" w:sz="0" w:space="0" w:color="auto"/>
        <w:bottom w:val="none" w:sz="0" w:space="0" w:color="auto"/>
        <w:right w:val="none" w:sz="0" w:space="0" w:color="auto"/>
      </w:divBdr>
      <w:divsChild>
        <w:div w:id="351538019">
          <w:marLeft w:val="360"/>
          <w:marRight w:val="0"/>
          <w:marTop w:val="200"/>
          <w:marBottom w:val="0"/>
          <w:divBdr>
            <w:top w:val="none" w:sz="0" w:space="0" w:color="auto"/>
            <w:left w:val="none" w:sz="0" w:space="0" w:color="auto"/>
            <w:bottom w:val="none" w:sz="0" w:space="0" w:color="auto"/>
            <w:right w:val="none" w:sz="0" w:space="0" w:color="auto"/>
          </w:divBdr>
        </w:div>
        <w:div w:id="383875576">
          <w:marLeft w:val="1800"/>
          <w:marRight w:val="0"/>
          <w:marTop w:val="100"/>
          <w:marBottom w:val="0"/>
          <w:divBdr>
            <w:top w:val="none" w:sz="0" w:space="0" w:color="auto"/>
            <w:left w:val="none" w:sz="0" w:space="0" w:color="auto"/>
            <w:bottom w:val="none" w:sz="0" w:space="0" w:color="auto"/>
            <w:right w:val="none" w:sz="0" w:space="0" w:color="auto"/>
          </w:divBdr>
        </w:div>
        <w:div w:id="510147395">
          <w:marLeft w:val="360"/>
          <w:marRight w:val="0"/>
          <w:marTop w:val="200"/>
          <w:marBottom w:val="0"/>
          <w:divBdr>
            <w:top w:val="none" w:sz="0" w:space="0" w:color="auto"/>
            <w:left w:val="none" w:sz="0" w:space="0" w:color="auto"/>
            <w:bottom w:val="none" w:sz="0" w:space="0" w:color="auto"/>
            <w:right w:val="none" w:sz="0" w:space="0" w:color="auto"/>
          </w:divBdr>
        </w:div>
        <w:div w:id="639728668">
          <w:marLeft w:val="1080"/>
          <w:marRight w:val="0"/>
          <w:marTop w:val="100"/>
          <w:marBottom w:val="0"/>
          <w:divBdr>
            <w:top w:val="none" w:sz="0" w:space="0" w:color="auto"/>
            <w:left w:val="none" w:sz="0" w:space="0" w:color="auto"/>
            <w:bottom w:val="none" w:sz="0" w:space="0" w:color="auto"/>
            <w:right w:val="none" w:sz="0" w:space="0" w:color="auto"/>
          </w:divBdr>
        </w:div>
        <w:div w:id="650720878">
          <w:marLeft w:val="2520"/>
          <w:marRight w:val="0"/>
          <w:marTop w:val="100"/>
          <w:marBottom w:val="0"/>
          <w:divBdr>
            <w:top w:val="none" w:sz="0" w:space="0" w:color="auto"/>
            <w:left w:val="none" w:sz="0" w:space="0" w:color="auto"/>
            <w:bottom w:val="none" w:sz="0" w:space="0" w:color="auto"/>
            <w:right w:val="none" w:sz="0" w:space="0" w:color="auto"/>
          </w:divBdr>
        </w:div>
        <w:div w:id="880242601">
          <w:marLeft w:val="1080"/>
          <w:marRight w:val="0"/>
          <w:marTop w:val="100"/>
          <w:marBottom w:val="0"/>
          <w:divBdr>
            <w:top w:val="none" w:sz="0" w:space="0" w:color="auto"/>
            <w:left w:val="none" w:sz="0" w:space="0" w:color="auto"/>
            <w:bottom w:val="none" w:sz="0" w:space="0" w:color="auto"/>
            <w:right w:val="none" w:sz="0" w:space="0" w:color="auto"/>
          </w:divBdr>
        </w:div>
        <w:div w:id="1713311847">
          <w:marLeft w:val="1800"/>
          <w:marRight w:val="0"/>
          <w:marTop w:val="100"/>
          <w:marBottom w:val="0"/>
          <w:divBdr>
            <w:top w:val="none" w:sz="0" w:space="0" w:color="auto"/>
            <w:left w:val="none" w:sz="0" w:space="0" w:color="auto"/>
            <w:bottom w:val="none" w:sz="0" w:space="0" w:color="auto"/>
            <w:right w:val="none" w:sz="0" w:space="0" w:color="auto"/>
          </w:divBdr>
        </w:div>
        <w:div w:id="1969428732">
          <w:marLeft w:val="2520"/>
          <w:marRight w:val="0"/>
          <w:marTop w:val="100"/>
          <w:marBottom w:val="0"/>
          <w:divBdr>
            <w:top w:val="none" w:sz="0" w:space="0" w:color="auto"/>
            <w:left w:val="none" w:sz="0" w:space="0" w:color="auto"/>
            <w:bottom w:val="none" w:sz="0" w:space="0" w:color="auto"/>
            <w:right w:val="none" w:sz="0" w:space="0" w:color="auto"/>
          </w:divBdr>
        </w:div>
      </w:divsChild>
    </w:div>
    <w:div w:id="1046569498">
      <w:bodyDiv w:val="1"/>
      <w:marLeft w:val="150"/>
      <w:marRight w:val="150"/>
      <w:marTop w:val="150"/>
      <w:marBottom w:val="150"/>
      <w:divBdr>
        <w:top w:val="none" w:sz="0" w:space="0" w:color="auto"/>
        <w:left w:val="none" w:sz="0" w:space="0" w:color="auto"/>
        <w:bottom w:val="none" w:sz="0" w:space="0" w:color="auto"/>
        <w:right w:val="none" w:sz="0" w:space="0" w:color="auto"/>
      </w:divBdr>
    </w:div>
    <w:div w:id="1047801044">
      <w:bodyDiv w:val="1"/>
      <w:marLeft w:val="0"/>
      <w:marRight w:val="0"/>
      <w:marTop w:val="0"/>
      <w:marBottom w:val="0"/>
      <w:divBdr>
        <w:top w:val="none" w:sz="0" w:space="0" w:color="auto"/>
        <w:left w:val="none" w:sz="0" w:space="0" w:color="auto"/>
        <w:bottom w:val="none" w:sz="0" w:space="0" w:color="auto"/>
        <w:right w:val="none" w:sz="0" w:space="0" w:color="auto"/>
      </w:divBdr>
    </w:div>
    <w:div w:id="1048258505">
      <w:bodyDiv w:val="1"/>
      <w:marLeft w:val="0"/>
      <w:marRight w:val="0"/>
      <w:marTop w:val="0"/>
      <w:marBottom w:val="0"/>
      <w:divBdr>
        <w:top w:val="none" w:sz="0" w:space="0" w:color="auto"/>
        <w:left w:val="none" w:sz="0" w:space="0" w:color="auto"/>
        <w:bottom w:val="none" w:sz="0" w:space="0" w:color="auto"/>
        <w:right w:val="none" w:sz="0" w:space="0" w:color="auto"/>
      </w:divBdr>
    </w:div>
    <w:div w:id="1048914325">
      <w:bodyDiv w:val="1"/>
      <w:marLeft w:val="0"/>
      <w:marRight w:val="0"/>
      <w:marTop w:val="0"/>
      <w:marBottom w:val="0"/>
      <w:divBdr>
        <w:top w:val="none" w:sz="0" w:space="0" w:color="auto"/>
        <w:left w:val="none" w:sz="0" w:space="0" w:color="auto"/>
        <w:bottom w:val="none" w:sz="0" w:space="0" w:color="auto"/>
        <w:right w:val="none" w:sz="0" w:space="0" w:color="auto"/>
      </w:divBdr>
      <w:divsChild>
        <w:div w:id="689525350">
          <w:marLeft w:val="547"/>
          <w:marRight w:val="0"/>
          <w:marTop w:val="115"/>
          <w:marBottom w:val="0"/>
          <w:divBdr>
            <w:top w:val="none" w:sz="0" w:space="0" w:color="auto"/>
            <w:left w:val="none" w:sz="0" w:space="0" w:color="auto"/>
            <w:bottom w:val="none" w:sz="0" w:space="0" w:color="auto"/>
            <w:right w:val="none" w:sz="0" w:space="0" w:color="auto"/>
          </w:divBdr>
        </w:div>
        <w:div w:id="754594254">
          <w:marLeft w:val="1166"/>
          <w:marRight w:val="0"/>
          <w:marTop w:val="115"/>
          <w:marBottom w:val="0"/>
          <w:divBdr>
            <w:top w:val="none" w:sz="0" w:space="0" w:color="auto"/>
            <w:left w:val="none" w:sz="0" w:space="0" w:color="auto"/>
            <w:bottom w:val="none" w:sz="0" w:space="0" w:color="auto"/>
            <w:right w:val="none" w:sz="0" w:space="0" w:color="auto"/>
          </w:divBdr>
        </w:div>
        <w:div w:id="1752121956">
          <w:marLeft w:val="1166"/>
          <w:marRight w:val="0"/>
          <w:marTop w:val="115"/>
          <w:marBottom w:val="0"/>
          <w:divBdr>
            <w:top w:val="none" w:sz="0" w:space="0" w:color="auto"/>
            <w:left w:val="none" w:sz="0" w:space="0" w:color="auto"/>
            <w:bottom w:val="none" w:sz="0" w:space="0" w:color="auto"/>
            <w:right w:val="none" w:sz="0" w:space="0" w:color="auto"/>
          </w:divBdr>
        </w:div>
      </w:divsChild>
    </w:div>
    <w:div w:id="1049690326">
      <w:bodyDiv w:val="1"/>
      <w:marLeft w:val="0"/>
      <w:marRight w:val="0"/>
      <w:marTop w:val="0"/>
      <w:marBottom w:val="0"/>
      <w:divBdr>
        <w:top w:val="none" w:sz="0" w:space="0" w:color="auto"/>
        <w:left w:val="none" w:sz="0" w:space="0" w:color="auto"/>
        <w:bottom w:val="none" w:sz="0" w:space="0" w:color="auto"/>
        <w:right w:val="none" w:sz="0" w:space="0" w:color="auto"/>
      </w:divBdr>
    </w:div>
    <w:div w:id="1050153906">
      <w:bodyDiv w:val="1"/>
      <w:marLeft w:val="0"/>
      <w:marRight w:val="0"/>
      <w:marTop w:val="0"/>
      <w:marBottom w:val="0"/>
      <w:divBdr>
        <w:top w:val="none" w:sz="0" w:space="0" w:color="auto"/>
        <w:left w:val="none" w:sz="0" w:space="0" w:color="auto"/>
        <w:bottom w:val="none" w:sz="0" w:space="0" w:color="auto"/>
        <w:right w:val="none" w:sz="0" w:space="0" w:color="auto"/>
      </w:divBdr>
    </w:div>
    <w:div w:id="1050423607">
      <w:bodyDiv w:val="1"/>
      <w:marLeft w:val="0"/>
      <w:marRight w:val="0"/>
      <w:marTop w:val="0"/>
      <w:marBottom w:val="0"/>
      <w:divBdr>
        <w:top w:val="none" w:sz="0" w:space="0" w:color="auto"/>
        <w:left w:val="none" w:sz="0" w:space="0" w:color="auto"/>
        <w:bottom w:val="none" w:sz="0" w:space="0" w:color="auto"/>
        <w:right w:val="none" w:sz="0" w:space="0" w:color="auto"/>
      </w:divBdr>
    </w:div>
    <w:div w:id="1050612095">
      <w:bodyDiv w:val="1"/>
      <w:marLeft w:val="0"/>
      <w:marRight w:val="0"/>
      <w:marTop w:val="0"/>
      <w:marBottom w:val="0"/>
      <w:divBdr>
        <w:top w:val="none" w:sz="0" w:space="0" w:color="auto"/>
        <w:left w:val="none" w:sz="0" w:space="0" w:color="auto"/>
        <w:bottom w:val="none" w:sz="0" w:space="0" w:color="auto"/>
        <w:right w:val="none" w:sz="0" w:space="0" w:color="auto"/>
      </w:divBdr>
    </w:div>
    <w:div w:id="1051198388">
      <w:bodyDiv w:val="1"/>
      <w:marLeft w:val="0"/>
      <w:marRight w:val="0"/>
      <w:marTop w:val="0"/>
      <w:marBottom w:val="0"/>
      <w:divBdr>
        <w:top w:val="none" w:sz="0" w:space="0" w:color="auto"/>
        <w:left w:val="none" w:sz="0" w:space="0" w:color="auto"/>
        <w:bottom w:val="none" w:sz="0" w:space="0" w:color="auto"/>
        <w:right w:val="none" w:sz="0" w:space="0" w:color="auto"/>
      </w:divBdr>
    </w:div>
    <w:div w:id="1052192738">
      <w:bodyDiv w:val="1"/>
      <w:marLeft w:val="0"/>
      <w:marRight w:val="0"/>
      <w:marTop w:val="0"/>
      <w:marBottom w:val="0"/>
      <w:divBdr>
        <w:top w:val="none" w:sz="0" w:space="0" w:color="auto"/>
        <w:left w:val="none" w:sz="0" w:space="0" w:color="auto"/>
        <w:bottom w:val="none" w:sz="0" w:space="0" w:color="auto"/>
        <w:right w:val="none" w:sz="0" w:space="0" w:color="auto"/>
      </w:divBdr>
    </w:div>
    <w:div w:id="1053114558">
      <w:bodyDiv w:val="1"/>
      <w:marLeft w:val="0"/>
      <w:marRight w:val="0"/>
      <w:marTop w:val="0"/>
      <w:marBottom w:val="0"/>
      <w:divBdr>
        <w:top w:val="none" w:sz="0" w:space="0" w:color="auto"/>
        <w:left w:val="none" w:sz="0" w:space="0" w:color="auto"/>
        <w:bottom w:val="none" w:sz="0" w:space="0" w:color="auto"/>
        <w:right w:val="none" w:sz="0" w:space="0" w:color="auto"/>
      </w:divBdr>
    </w:div>
    <w:div w:id="1054230388">
      <w:bodyDiv w:val="1"/>
      <w:marLeft w:val="0"/>
      <w:marRight w:val="0"/>
      <w:marTop w:val="0"/>
      <w:marBottom w:val="0"/>
      <w:divBdr>
        <w:top w:val="none" w:sz="0" w:space="0" w:color="auto"/>
        <w:left w:val="none" w:sz="0" w:space="0" w:color="auto"/>
        <w:bottom w:val="none" w:sz="0" w:space="0" w:color="auto"/>
        <w:right w:val="none" w:sz="0" w:space="0" w:color="auto"/>
      </w:divBdr>
      <w:divsChild>
        <w:div w:id="185097477">
          <w:marLeft w:val="1800"/>
          <w:marRight w:val="0"/>
          <w:marTop w:val="120"/>
          <w:marBottom w:val="0"/>
          <w:divBdr>
            <w:top w:val="none" w:sz="0" w:space="0" w:color="auto"/>
            <w:left w:val="none" w:sz="0" w:space="0" w:color="auto"/>
            <w:bottom w:val="none" w:sz="0" w:space="0" w:color="auto"/>
            <w:right w:val="none" w:sz="0" w:space="0" w:color="auto"/>
          </w:divBdr>
        </w:div>
        <w:div w:id="799616395">
          <w:marLeft w:val="2520"/>
          <w:marRight w:val="0"/>
          <w:marTop w:val="120"/>
          <w:marBottom w:val="0"/>
          <w:divBdr>
            <w:top w:val="none" w:sz="0" w:space="0" w:color="auto"/>
            <w:left w:val="none" w:sz="0" w:space="0" w:color="auto"/>
            <w:bottom w:val="none" w:sz="0" w:space="0" w:color="auto"/>
            <w:right w:val="none" w:sz="0" w:space="0" w:color="auto"/>
          </w:divBdr>
        </w:div>
        <w:div w:id="1309169544">
          <w:marLeft w:val="2520"/>
          <w:marRight w:val="0"/>
          <w:marTop w:val="120"/>
          <w:marBottom w:val="0"/>
          <w:divBdr>
            <w:top w:val="none" w:sz="0" w:space="0" w:color="auto"/>
            <w:left w:val="none" w:sz="0" w:space="0" w:color="auto"/>
            <w:bottom w:val="none" w:sz="0" w:space="0" w:color="auto"/>
            <w:right w:val="none" w:sz="0" w:space="0" w:color="auto"/>
          </w:divBdr>
        </w:div>
        <w:div w:id="1865626710">
          <w:marLeft w:val="1800"/>
          <w:marRight w:val="0"/>
          <w:marTop w:val="120"/>
          <w:marBottom w:val="0"/>
          <w:divBdr>
            <w:top w:val="none" w:sz="0" w:space="0" w:color="auto"/>
            <w:left w:val="none" w:sz="0" w:space="0" w:color="auto"/>
            <w:bottom w:val="none" w:sz="0" w:space="0" w:color="auto"/>
            <w:right w:val="none" w:sz="0" w:space="0" w:color="auto"/>
          </w:divBdr>
        </w:div>
      </w:divsChild>
    </w:div>
    <w:div w:id="1055005329">
      <w:bodyDiv w:val="1"/>
      <w:marLeft w:val="0"/>
      <w:marRight w:val="0"/>
      <w:marTop w:val="0"/>
      <w:marBottom w:val="0"/>
      <w:divBdr>
        <w:top w:val="none" w:sz="0" w:space="0" w:color="auto"/>
        <w:left w:val="none" w:sz="0" w:space="0" w:color="auto"/>
        <w:bottom w:val="none" w:sz="0" w:space="0" w:color="auto"/>
        <w:right w:val="none" w:sz="0" w:space="0" w:color="auto"/>
      </w:divBdr>
      <w:divsChild>
        <w:div w:id="50813963">
          <w:marLeft w:val="1253"/>
          <w:marRight w:val="0"/>
          <w:marTop w:val="60"/>
          <w:marBottom w:val="0"/>
          <w:divBdr>
            <w:top w:val="none" w:sz="0" w:space="0" w:color="auto"/>
            <w:left w:val="none" w:sz="0" w:space="0" w:color="auto"/>
            <w:bottom w:val="none" w:sz="0" w:space="0" w:color="auto"/>
            <w:right w:val="none" w:sz="0" w:space="0" w:color="auto"/>
          </w:divBdr>
        </w:div>
        <w:div w:id="1260867591">
          <w:marLeft w:val="533"/>
          <w:marRight w:val="0"/>
          <w:marTop w:val="60"/>
          <w:marBottom w:val="0"/>
          <w:divBdr>
            <w:top w:val="none" w:sz="0" w:space="0" w:color="auto"/>
            <w:left w:val="none" w:sz="0" w:space="0" w:color="auto"/>
            <w:bottom w:val="none" w:sz="0" w:space="0" w:color="auto"/>
            <w:right w:val="none" w:sz="0" w:space="0" w:color="auto"/>
          </w:divBdr>
        </w:div>
        <w:div w:id="1713378670">
          <w:marLeft w:val="533"/>
          <w:marRight w:val="0"/>
          <w:marTop w:val="60"/>
          <w:marBottom w:val="0"/>
          <w:divBdr>
            <w:top w:val="none" w:sz="0" w:space="0" w:color="auto"/>
            <w:left w:val="none" w:sz="0" w:space="0" w:color="auto"/>
            <w:bottom w:val="none" w:sz="0" w:space="0" w:color="auto"/>
            <w:right w:val="none" w:sz="0" w:space="0" w:color="auto"/>
          </w:divBdr>
        </w:div>
      </w:divsChild>
    </w:div>
    <w:div w:id="1056053030">
      <w:bodyDiv w:val="1"/>
      <w:marLeft w:val="0"/>
      <w:marRight w:val="0"/>
      <w:marTop w:val="0"/>
      <w:marBottom w:val="0"/>
      <w:divBdr>
        <w:top w:val="none" w:sz="0" w:space="0" w:color="auto"/>
        <w:left w:val="none" w:sz="0" w:space="0" w:color="auto"/>
        <w:bottom w:val="none" w:sz="0" w:space="0" w:color="auto"/>
        <w:right w:val="none" w:sz="0" w:space="0" w:color="auto"/>
      </w:divBdr>
    </w:div>
    <w:div w:id="1056247359">
      <w:bodyDiv w:val="1"/>
      <w:marLeft w:val="0"/>
      <w:marRight w:val="0"/>
      <w:marTop w:val="0"/>
      <w:marBottom w:val="0"/>
      <w:divBdr>
        <w:top w:val="none" w:sz="0" w:space="0" w:color="auto"/>
        <w:left w:val="none" w:sz="0" w:space="0" w:color="auto"/>
        <w:bottom w:val="none" w:sz="0" w:space="0" w:color="auto"/>
        <w:right w:val="none" w:sz="0" w:space="0" w:color="auto"/>
      </w:divBdr>
    </w:div>
    <w:div w:id="1056509181">
      <w:bodyDiv w:val="1"/>
      <w:marLeft w:val="0"/>
      <w:marRight w:val="0"/>
      <w:marTop w:val="0"/>
      <w:marBottom w:val="0"/>
      <w:divBdr>
        <w:top w:val="none" w:sz="0" w:space="0" w:color="auto"/>
        <w:left w:val="none" w:sz="0" w:space="0" w:color="auto"/>
        <w:bottom w:val="none" w:sz="0" w:space="0" w:color="auto"/>
        <w:right w:val="none" w:sz="0" w:space="0" w:color="auto"/>
      </w:divBdr>
    </w:div>
    <w:div w:id="1056779496">
      <w:bodyDiv w:val="1"/>
      <w:marLeft w:val="0"/>
      <w:marRight w:val="0"/>
      <w:marTop w:val="0"/>
      <w:marBottom w:val="0"/>
      <w:divBdr>
        <w:top w:val="none" w:sz="0" w:space="0" w:color="auto"/>
        <w:left w:val="none" w:sz="0" w:space="0" w:color="auto"/>
        <w:bottom w:val="none" w:sz="0" w:space="0" w:color="auto"/>
        <w:right w:val="none" w:sz="0" w:space="0" w:color="auto"/>
      </w:divBdr>
    </w:div>
    <w:div w:id="1056928027">
      <w:bodyDiv w:val="1"/>
      <w:marLeft w:val="0"/>
      <w:marRight w:val="0"/>
      <w:marTop w:val="0"/>
      <w:marBottom w:val="0"/>
      <w:divBdr>
        <w:top w:val="none" w:sz="0" w:space="0" w:color="auto"/>
        <w:left w:val="none" w:sz="0" w:space="0" w:color="auto"/>
        <w:bottom w:val="none" w:sz="0" w:space="0" w:color="auto"/>
        <w:right w:val="none" w:sz="0" w:space="0" w:color="auto"/>
      </w:divBdr>
      <w:divsChild>
        <w:div w:id="348726446">
          <w:marLeft w:val="547"/>
          <w:marRight w:val="0"/>
          <w:marTop w:val="154"/>
          <w:marBottom w:val="0"/>
          <w:divBdr>
            <w:top w:val="none" w:sz="0" w:space="0" w:color="auto"/>
            <w:left w:val="none" w:sz="0" w:space="0" w:color="auto"/>
            <w:bottom w:val="none" w:sz="0" w:space="0" w:color="auto"/>
            <w:right w:val="none" w:sz="0" w:space="0" w:color="auto"/>
          </w:divBdr>
        </w:div>
        <w:div w:id="739717038">
          <w:marLeft w:val="1166"/>
          <w:marRight w:val="0"/>
          <w:marTop w:val="134"/>
          <w:marBottom w:val="0"/>
          <w:divBdr>
            <w:top w:val="none" w:sz="0" w:space="0" w:color="auto"/>
            <w:left w:val="none" w:sz="0" w:space="0" w:color="auto"/>
            <w:bottom w:val="none" w:sz="0" w:space="0" w:color="auto"/>
            <w:right w:val="none" w:sz="0" w:space="0" w:color="auto"/>
          </w:divBdr>
        </w:div>
        <w:div w:id="2104375048">
          <w:marLeft w:val="1166"/>
          <w:marRight w:val="0"/>
          <w:marTop w:val="134"/>
          <w:marBottom w:val="0"/>
          <w:divBdr>
            <w:top w:val="none" w:sz="0" w:space="0" w:color="auto"/>
            <w:left w:val="none" w:sz="0" w:space="0" w:color="auto"/>
            <w:bottom w:val="none" w:sz="0" w:space="0" w:color="auto"/>
            <w:right w:val="none" w:sz="0" w:space="0" w:color="auto"/>
          </w:divBdr>
        </w:div>
      </w:divsChild>
    </w:div>
    <w:div w:id="1057122487">
      <w:bodyDiv w:val="1"/>
      <w:marLeft w:val="0"/>
      <w:marRight w:val="0"/>
      <w:marTop w:val="0"/>
      <w:marBottom w:val="0"/>
      <w:divBdr>
        <w:top w:val="none" w:sz="0" w:space="0" w:color="auto"/>
        <w:left w:val="none" w:sz="0" w:space="0" w:color="auto"/>
        <w:bottom w:val="none" w:sz="0" w:space="0" w:color="auto"/>
        <w:right w:val="none" w:sz="0" w:space="0" w:color="auto"/>
      </w:divBdr>
      <w:divsChild>
        <w:div w:id="84233523">
          <w:marLeft w:val="0"/>
          <w:marRight w:val="0"/>
          <w:marTop w:val="0"/>
          <w:marBottom w:val="0"/>
          <w:divBdr>
            <w:top w:val="none" w:sz="0" w:space="0" w:color="auto"/>
            <w:left w:val="none" w:sz="0" w:space="0" w:color="auto"/>
            <w:bottom w:val="none" w:sz="0" w:space="0" w:color="auto"/>
            <w:right w:val="none" w:sz="0" w:space="0" w:color="auto"/>
          </w:divBdr>
          <w:divsChild>
            <w:div w:id="2107654375">
              <w:marLeft w:val="0"/>
              <w:marRight w:val="0"/>
              <w:marTop w:val="0"/>
              <w:marBottom w:val="0"/>
              <w:divBdr>
                <w:top w:val="none" w:sz="0" w:space="0" w:color="auto"/>
                <w:left w:val="none" w:sz="0" w:space="0" w:color="auto"/>
                <w:bottom w:val="none" w:sz="0" w:space="0" w:color="auto"/>
                <w:right w:val="none" w:sz="0" w:space="0" w:color="auto"/>
              </w:divBdr>
              <w:divsChild>
                <w:div w:id="16329739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57968268">
      <w:bodyDiv w:val="1"/>
      <w:marLeft w:val="0"/>
      <w:marRight w:val="0"/>
      <w:marTop w:val="0"/>
      <w:marBottom w:val="0"/>
      <w:divBdr>
        <w:top w:val="none" w:sz="0" w:space="0" w:color="auto"/>
        <w:left w:val="none" w:sz="0" w:space="0" w:color="auto"/>
        <w:bottom w:val="none" w:sz="0" w:space="0" w:color="auto"/>
        <w:right w:val="none" w:sz="0" w:space="0" w:color="auto"/>
      </w:divBdr>
    </w:div>
    <w:div w:id="1058476103">
      <w:bodyDiv w:val="1"/>
      <w:marLeft w:val="0"/>
      <w:marRight w:val="0"/>
      <w:marTop w:val="0"/>
      <w:marBottom w:val="0"/>
      <w:divBdr>
        <w:top w:val="none" w:sz="0" w:space="0" w:color="auto"/>
        <w:left w:val="none" w:sz="0" w:space="0" w:color="auto"/>
        <w:bottom w:val="none" w:sz="0" w:space="0" w:color="auto"/>
        <w:right w:val="none" w:sz="0" w:space="0" w:color="auto"/>
      </w:divBdr>
      <w:divsChild>
        <w:div w:id="260723258">
          <w:marLeft w:val="1800"/>
          <w:marRight w:val="0"/>
          <w:marTop w:val="101"/>
          <w:marBottom w:val="0"/>
          <w:divBdr>
            <w:top w:val="none" w:sz="0" w:space="0" w:color="auto"/>
            <w:left w:val="none" w:sz="0" w:space="0" w:color="auto"/>
            <w:bottom w:val="none" w:sz="0" w:space="0" w:color="auto"/>
            <w:right w:val="none" w:sz="0" w:space="0" w:color="auto"/>
          </w:divBdr>
        </w:div>
        <w:div w:id="486751928">
          <w:marLeft w:val="547"/>
          <w:marRight w:val="0"/>
          <w:marTop w:val="134"/>
          <w:marBottom w:val="0"/>
          <w:divBdr>
            <w:top w:val="none" w:sz="0" w:space="0" w:color="auto"/>
            <w:left w:val="none" w:sz="0" w:space="0" w:color="auto"/>
            <w:bottom w:val="none" w:sz="0" w:space="0" w:color="auto"/>
            <w:right w:val="none" w:sz="0" w:space="0" w:color="auto"/>
          </w:divBdr>
        </w:div>
        <w:div w:id="794567052">
          <w:marLeft w:val="1800"/>
          <w:marRight w:val="0"/>
          <w:marTop w:val="101"/>
          <w:marBottom w:val="0"/>
          <w:divBdr>
            <w:top w:val="none" w:sz="0" w:space="0" w:color="auto"/>
            <w:left w:val="none" w:sz="0" w:space="0" w:color="auto"/>
            <w:bottom w:val="none" w:sz="0" w:space="0" w:color="auto"/>
            <w:right w:val="none" w:sz="0" w:space="0" w:color="auto"/>
          </w:divBdr>
        </w:div>
        <w:div w:id="958999546">
          <w:marLeft w:val="1166"/>
          <w:marRight w:val="0"/>
          <w:marTop w:val="115"/>
          <w:marBottom w:val="0"/>
          <w:divBdr>
            <w:top w:val="none" w:sz="0" w:space="0" w:color="auto"/>
            <w:left w:val="none" w:sz="0" w:space="0" w:color="auto"/>
            <w:bottom w:val="none" w:sz="0" w:space="0" w:color="auto"/>
            <w:right w:val="none" w:sz="0" w:space="0" w:color="auto"/>
          </w:divBdr>
        </w:div>
        <w:div w:id="1181580256">
          <w:marLeft w:val="1800"/>
          <w:marRight w:val="0"/>
          <w:marTop w:val="101"/>
          <w:marBottom w:val="0"/>
          <w:divBdr>
            <w:top w:val="none" w:sz="0" w:space="0" w:color="auto"/>
            <w:left w:val="none" w:sz="0" w:space="0" w:color="auto"/>
            <w:bottom w:val="none" w:sz="0" w:space="0" w:color="auto"/>
            <w:right w:val="none" w:sz="0" w:space="0" w:color="auto"/>
          </w:divBdr>
        </w:div>
        <w:div w:id="1871335161">
          <w:marLeft w:val="1800"/>
          <w:marRight w:val="0"/>
          <w:marTop w:val="101"/>
          <w:marBottom w:val="0"/>
          <w:divBdr>
            <w:top w:val="none" w:sz="0" w:space="0" w:color="auto"/>
            <w:left w:val="none" w:sz="0" w:space="0" w:color="auto"/>
            <w:bottom w:val="none" w:sz="0" w:space="0" w:color="auto"/>
            <w:right w:val="none" w:sz="0" w:space="0" w:color="auto"/>
          </w:divBdr>
        </w:div>
        <w:div w:id="2141998334">
          <w:marLeft w:val="1166"/>
          <w:marRight w:val="0"/>
          <w:marTop w:val="115"/>
          <w:marBottom w:val="0"/>
          <w:divBdr>
            <w:top w:val="none" w:sz="0" w:space="0" w:color="auto"/>
            <w:left w:val="none" w:sz="0" w:space="0" w:color="auto"/>
            <w:bottom w:val="none" w:sz="0" w:space="0" w:color="auto"/>
            <w:right w:val="none" w:sz="0" w:space="0" w:color="auto"/>
          </w:divBdr>
        </w:div>
      </w:divsChild>
    </w:div>
    <w:div w:id="1058548832">
      <w:bodyDiv w:val="1"/>
      <w:marLeft w:val="0"/>
      <w:marRight w:val="0"/>
      <w:marTop w:val="0"/>
      <w:marBottom w:val="0"/>
      <w:divBdr>
        <w:top w:val="none" w:sz="0" w:space="0" w:color="auto"/>
        <w:left w:val="none" w:sz="0" w:space="0" w:color="auto"/>
        <w:bottom w:val="none" w:sz="0" w:space="0" w:color="auto"/>
        <w:right w:val="none" w:sz="0" w:space="0" w:color="auto"/>
      </w:divBdr>
    </w:div>
    <w:div w:id="1059405398">
      <w:bodyDiv w:val="1"/>
      <w:marLeft w:val="0"/>
      <w:marRight w:val="0"/>
      <w:marTop w:val="0"/>
      <w:marBottom w:val="0"/>
      <w:divBdr>
        <w:top w:val="none" w:sz="0" w:space="0" w:color="auto"/>
        <w:left w:val="none" w:sz="0" w:space="0" w:color="auto"/>
        <w:bottom w:val="none" w:sz="0" w:space="0" w:color="auto"/>
        <w:right w:val="none" w:sz="0" w:space="0" w:color="auto"/>
      </w:divBdr>
    </w:div>
    <w:div w:id="1059548474">
      <w:bodyDiv w:val="1"/>
      <w:marLeft w:val="0"/>
      <w:marRight w:val="0"/>
      <w:marTop w:val="0"/>
      <w:marBottom w:val="0"/>
      <w:divBdr>
        <w:top w:val="none" w:sz="0" w:space="0" w:color="auto"/>
        <w:left w:val="none" w:sz="0" w:space="0" w:color="auto"/>
        <w:bottom w:val="none" w:sz="0" w:space="0" w:color="auto"/>
        <w:right w:val="none" w:sz="0" w:space="0" w:color="auto"/>
      </w:divBdr>
    </w:div>
    <w:div w:id="1059867653">
      <w:bodyDiv w:val="1"/>
      <w:marLeft w:val="0"/>
      <w:marRight w:val="0"/>
      <w:marTop w:val="0"/>
      <w:marBottom w:val="0"/>
      <w:divBdr>
        <w:top w:val="none" w:sz="0" w:space="0" w:color="auto"/>
        <w:left w:val="none" w:sz="0" w:space="0" w:color="auto"/>
        <w:bottom w:val="none" w:sz="0" w:space="0" w:color="auto"/>
        <w:right w:val="none" w:sz="0" w:space="0" w:color="auto"/>
      </w:divBdr>
    </w:div>
    <w:div w:id="1060128363">
      <w:bodyDiv w:val="1"/>
      <w:marLeft w:val="0"/>
      <w:marRight w:val="0"/>
      <w:marTop w:val="0"/>
      <w:marBottom w:val="0"/>
      <w:divBdr>
        <w:top w:val="none" w:sz="0" w:space="0" w:color="auto"/>
        <w:left w:val="none" w:sz="0" w:space="0" w:color="auto"/>
        <w:bottom w:val="none" w:sz="0" w:space="0" w:color="auto"/>
        <w:right w:val="none" w:sz="0" w:space="0" w:color="auto"/>
      </w:divBdr>
      <w:divsChild>
        <w:div w:id="85463557">
          <w:marLeft w:val="547"/>
          <w:marRight w:val="0"/>
          <w:marTop w:val="130"/>
          <w:marBottom w:val="0"/>
          <w:divBdr>
            <w:top w:val="none" w:sz="0" w:space="0" w:color="auto"/>
            <w:left w:val="none" w:sz="0" w:space="0" w:color="auto"/>
            <w:bottom w:val="none" w:sz="0" w:space="0" w:color="auto"/>
            <w:right w:val="none" w:sz="0" w:space="0" w:color="auto"/>
          </w:divBdr>
        </w:div>
        <w:div w:id="137646225">
          <w:marLeft w:val="1166"/>
          <w:marRight w:val="0"/>
          <w:marTop w:val="115"/>
          <w:marBottom w:val="0"/>
          <w:divBdr>
            <w:top w:val="none" w:sz="0" w:space="0" w:color="auto"/>
            <w:left w:val="none" w:sz="0" w:space="0" w:color="auto"/>
            <w:bottom w:val="none" w:sz="0" w:space="0" w:color="auto"/>
            <w:right w:val="none" w:sz="0" w:space="0" w:color="auto"/>
          </w:divBdr>
        </w:div>
        <w:div w:id="264114354">
          <w:marLeft w:val="1166"/>
          <w:marRight w:val="0"/>
          <w:marTop w:val="115"/>
          <w:marBottom w:val="0"/>
          <w:divBdr>
            <w:top w:val="none" w:sz="0" w:space="0" w:color="auto"/>
            <w:left w:val="none" w:sz="0" w:space="0" w:color="auto"/>
            <w:bottom w:val="none" w:sz="0" w:space="0" w:color="auto"/>
            <w:right w:val="none" w:sz="0" w:space="0" w:color="auto"/>
          </w:divBdr>
        </w:div>
        <w:div w:id="622923198">
          <w:marLeft w:val="1800"/>
          <w:marRight w:val="0"/>
          <w:marTop w:val="96"/>
          <w:marBottom w:val="0"/>
          <w:divBdr>
            <w:top w:val="none" w:sz="0" w:space="0" w:color="auto"/>
            <w:left w:val="none" w:sz="0" w:space="0" w:color="auto"/>
            <w:bottom w:val="none" w:sz="0" w:space="0" w:color="auto"/>
            <w:right w:val="none" w:sz="0" w:space="0" w:color="auto"/>
          </w:divBdr>
        </w:div>
        <w:div w:id="1087851181">
          <w:marLeft w:val="1166"/>
          <w:marRight w:val="0"/>
          <w:marTop w:val="115"/>
          <w:marBottom w:val="0"/>
          <w:divBdr>
            <w:top w:val="none" w:sz="0" w:space="0" w:color="auto"/>
            <w:left w:val="none" w:sz="0" w:space="0" w:color="auto"/>
            <w:bottom w:val="none" w:sz="0" w:space="0" w:color="auto"/>
            <w:right w:val="none" w:sz="0" w:space="0" w:color="auto"/>
          </w:divBdr>
        </w:div>
        <w:div w:id="1405031049">
          <w:marLeft w:val="1166"/>
          <w:marRight w:val="0"/>
          <w:marTop w:val="115"/>
          <w:marBottom w:val="0"/>
          <w:divBdr>
            <w:top w:val="none" w:sz="0" w:space="0" w:color="auto"/>
            <w:left w:val="none" w:sz="0" w:space="0" w:color="auto"/>
            <w:bottom w:val="none" w:sz="0" w:space="0" w:color="auto"/>
            <w:right w:val="none" w:sz="0" w:space="0" w:color="auto"/>
          </w:divBdr>
        </w:div>
        <w:div w:id="1574199174">
          <w:marLeft w:val="1166"/>
          <w:marRight w:val="0"/>
          <w:marTop w:val="115"/>
          <w:marBottom w:val="0"/>
          <w:divBdr>
            <w:top w:val="none" w:sz="0" w:space="0" w:color="auto"/>
            <w:left w:val="none" w:sz="0" w:space="0" w:color="auto"/>
            <w:bottom w:val="none" w:sz="0" w:space="0" w:color="auto"/>
            <w:right w:val="none" w:sz="0" w:space="0" w:color="auto"/>
          </w:divBdr>
        </w:div>
        <w:div w:id="1654987355">
          <w:marLeft w:val="1166"/>
          <w:marRight w:val="0"/>
          <w:marTop w:val="115"/>
          <w:marBottom w:val="0"/>
          <w:divBdr>
            <w:top w:val="none" w:sz="0" w:space="0" w:color="auto"/>
            <w:left w:val="none" w:sz="0" w:space="0" w:color="auto"/>
            <w:bottom w:val="none" w:sz="0" w:space="0" w:color="auto"/>
            <w:right w:val="none" w:sz="0" w:space="0" w:color="auto"/>
          </w:divBdr>
        </w:div>
        <w:div w:id="2126264302">
          <w:marLeft w:val="547"/>
          <w:marRight w:val="0"/>
          <w:marTop w:val="130"/>
          <w:marBottom w:val="0"/>
          <w:divBdr>
            <w:top w:val="none" w:sz="0" w:space="0" w:color="auto"/>
            <w:left w:val="none" w:sz="0" w:space="0" w:color="auto"/>
            <w:bottom w:val="none" w:sz="0" w:space="0" w:color="auto"/>
            <w:right w:val="none" w:sz="0" w:space="0" w:color="auto"/>
          </w:divBdr>
        </w:div>
      </w:divsChild>
    </w:div>
    <w:div w:id="1060323466">
      <w:bodyDiv w:val="1"/>
      <w:marLeft w:val="0"/>
      <w:marRight w:val="0"/>
      <w:marTop w:val="0"/>
      <w:marBottom w:val="0"/>
      <w:divBdr>
        <w:top w:val="none" w:sz="0" w:space="0" w:color="auto"/>
        <w:left w:val="none" w:sz="0" w:space="0" w:color="auto"/>
        <w:bottom w:val="none" w:sz="0" w:space="0" w:color="auto"/>
        <w:right w:val="none" w:sz="0" w:space="0" w:color="auto"/>
      </w:divBdr>
    </w:div>
    <w:div w:id="1060517593">
      <w:bodyDiv w:val="1"/>
      <w:marLeft w:val="0"/>
      <w:marRight w:val="0"/>
      <w:marTop w:val="0"/>
      <w:marBottom w:val="0"/>
      <w:divBdr>
        <w:top w:val="none" w:sz="0" w:space="0" w:color="auto"/>
        <w:left w:val="none" w:sz="0" w:space="0" w:color="auto"/>
        <w:bottom w:val="none" w:sz="0" w:space="0" w:color="auto"/>
        <w:right w:val="none" w:sz="0" w:space="0" w:color="auto"/>
      </w:divBdr>
    </w:div>
    <w:div w:id="1060640660">
      <w:bodyDiv w:val="1"/>
      <w:marLeft w:val="0"/>
      <w:marRight w:val="0"/>
      <w:marTop w:val="0"/>
      <w:marBottom w:val="0"/>
      <w:divBdr>
        <w:top w:val="none" w:sz="0" w:space="0" w:color="auto"/>
        <w:left w:val="none" w:sz="0" w:space="0" w:color="auto"/>
        <w:bottom w:val="none" w:sz="0" w:space="0" w:color="auto"/>
        <w:right w:val="none" w:sz="0" w:space="0" w:color="auto"/>
      </w:divBdr>
    </w:div>
    <w:div w:id="1060982125">
      <w:bodyDiv w:val="1"/>
      <w:marLeft w:val="0"/>
      <w:marRight w:val="0"/>
      <w:marTop w:val="0"/>
      <w:marBottom w:val="0"/>
      <w:divBdr>
        <w:top w:val="none" w:sz="0" w:space="0" w:color="auto"/>
        <w:left w:val="none" w:sz="0" w:space="0" w:color="auto"/>
        <w:bottom w:val="none" w:sz="0" w:space="0" w:color="auto"/>
        <w:right w:val="none" w:sz="0" w:space="0" w:color="auto"/>
      </w:divBdr>
    </w:div>
    <w:div w:id="1062875803">
      <w:bodyDiv w:val="1"/>
      <w:marLeft w:val="0"/>
      <w:marRight w:val="0"/>
      <w:marTop w:val="0"/>
      <w:marBottom w:val="0"/>
      <w:divBdr>
        <w:top w:val="none" w:sz="0" w:space="0" w:color="auto"/>
        <w:left w:val="none" w:sz="0" w:space="0" w:color="auto"/>
        <w:bottom w:val="none" w:sz="0" w:space="0" w:color="auto"/>
        <w:right w:val="none" w:sz="0" w:space="0" w:color="auto"/>
      </w:divBdr>
    </w:div>
    <w:div w:id="1063865763">
      <w:bodyDiv w:val="1"/>
      <w:marLeft w:val="0"/>
      <w:marRight w:val="0"/>
      <w:marTop w:val="0"/>
      <w:marBottom w:val="0"/>
      <w:divBdr>
        <w:top w:val="none" w:sz="0" w:space="0" w:color="auto"/>
        <w:left w:val="none" w:sz="0" w:space="0" w:color="auto"/>
        <w:bottom w:val="none" w:sz="0" w:space="0" w:color="auto"/>
        <w:right w:val="none" w:sz="0" w:space="0" w:color="auto"/>
      </w:divBdr>
    </w:div>
    <w:div w:id="1065026865">
      <w:bodyDiv w:val="1"/>
      <w:marLeft w:val="0"/>
      <w:marRight w:val="0"/>
      <w:marTop w:val="0"/>
      <w:marBottom w:val="0"/>
      <w:divBdr>
        <w:top w:val="none" w:sz="0" w:space="0" w:color="auto"/>
        <w:left w:val="none" w:sz="0" w:space="0" w:color="auto"/>
        <w:bottom w:val="none" w:sz="0" w:space="0" w:color="auto"/>
        <w:right w:val="none" w:sz="0" w:space="0" w:color="auto"/>
      </w:divBdr>
    </w:div>
    <w:div w:id="1065420534">
      <w:bodyDiv w:val="1"/>
      <w:marLeft w:val="0"/>
      <w:marRight w:val="0"/>
      <w:marTop w:val="0"/>
      <w:marBottom w:val="0"/>
      <w:divBdr>
        <w:top w:val="none" w:sz="0" w:space="0" w:color="auto"/>
        <w:left w:val="none" w:sz="0" w:space="0" w:color="auto"/>
        <w:bottom w:val="none" w:sz="0" w:space="0" w:color="auto"/>
        <w:right w:val="none" w:sz="0" w:space="0" w:color="auto"/>
      </w:divBdr>
    </w:div>
    <w:div w:id="1067649420">
      <w:bodyDiv w:val="1"/>
      <w:marLeft w:val="0"/>
      <w:marRight w:val="0"/>
      <w:marTop w:val="0"/>
      <w:marBottom w:val="0"/>
      <w:divBdr>
        <w:top w:val="none" w:sz="0" w:space="0" w:color="auto"/>
        <w:left w:val="none" w:sz="0" w:space="0" w:color="auto"/>
        <w:bottom w:val="none" w:sz="0" w:space="0" w:color="auto"/>
        <w:right w:val="none" w:sz="0" w:space="0" w:color="auto"/>
      </w:divBdr>
    </w:div>
    <w:div w:id="1067652474">
      <w:bodyDiv w:val="1"/>
      <w:marLeft w:val="0"/>
      <w:marRight w:val="0"/>
      <w:marTop w:val="0"/>
      <w:marBottom w:val="0"/>
      <w:divBdr>
        <w:top w:val="none" w:sz="0" w:space="0" w:color="auto"/>
        <w:left w:val="none" w:sz="0" w:space="0" w:color="auto"/>
        <w:bottom w:val="none" w:sz="0" w:space="0" w:color="auto"/>
        <w:right w:val="none" w:sz="0" w:space="0" w:color="auto"/>
      </w:divBdr>
    </w:div>
    <w:div w:id="1068380467">
      <w:bodyDiv w:val="1"/>
      <w:marLeft w:val="0"/>
      <w:marRight w:val="0"/>
      <w:marTop w:val="0"/>
      <w:marBottom w:val="0"/>
      <w:divBdr>
        <w:top w:val="none" w:sz="0" w:space="0" w:color="auto"/>
        <w:left w:val="none" w:sz="0" w:space="0" w:color="auto"/>
        <w:bottom w:val="none" w:sz="0" w:space="0" w:color="auto"/>
        <w:right w:val="none" w:sz="0" w:space="0" w:color="auto"/>
      </w:divBdr>
    </w:div>
    <w:div w:id="1069421578">
      <w:bodyDiv w:val="1"/>
      <w:marLeft w:val="0"/>
      <w:marRight w:val="0"/>
      <w:marTop w:val="0"/>
      <w:marBottom w:val="0"/>
      <w:divBdr>
        <w:top w:val="none" w:sz="0" w:space="0" w:color="auto"/>
        <w:left w:val="none" w:sz="0" w:space="0" w:color="auto"/>
        <w:bottom w:val="none" w:sz="0" w:space="0" w:color="auto"/>
        <w:right w:val="none" w:sz="0" w:space="0" w:color="auto"/>
      </w:divBdr>
      <w:divsChild>
        <w:div w:id="1490445748">
          <w:marLeft w:val="0"/>
          <w:marRight w:val="0"/>
          <w:marTop w:val="0"/>
          <w:marBottom w:val="0"/>
          <w:divBdr>
            <w:top w:val="none" w:sz="0" w:space="0" w:color="auto"/>
            <w:left w:val="none" w:sz="0" w:space="0" w:color="auto"/>
            <w:bottom w:val="none" w:sz="0" w:space="0" w:color="auto"/>
            <w:right w:val="none" w:sz="0" w:space="0" w:color="auto"/>
          </w:divBdr>
          <w:divsChild>
            <w:div w:id="1160579846">
              <w:marLeft w:val="0"/>
              <w:marRight w:val="0"/>
              <w:marTop w:val="0"/>
              <w:marBottom w:val="0"/>
              <w:divBdr>
                <w:top w:val="none" w:sz="0" w:space="0" w:color="auto"/>
                <w:left w:val="none" w:sz="0" w:space="0" w:color="auto"/>
                <w:bottom w:val="none" w:sz="0" w:space="0" w:color="auto"/>
                <w:right w:val="none" w:sz="0" w:space="0" w:color="auto"/>
              </w:divBdr>
            </w:div>
            <w:div w:id="1716390461">
              <w:marLeft w:val="0"/>
              <w:marRight w:val="0"/>
              <w:marTop w:val="0"/>
              <w:marBottom w:val="0"/>
              <w:divBdr>
                <w:top w:val="none" w:sz="0" w:space="0" w:color="auto"/>
                <w:left w:val="none" w:sz="0" w:space="0" w:color="auto"/>
                <w:bottom w:val="none" w:sz="0" w:space="0" w:color="auto"/>
                <w:right w:val="none" w:sz="0" w:space="0" w:color="auto"/>
              </w:divBdr>
            </w:div>
            <w:div w:id="1861508962">
              <w:marLeft w:val="0"/>
              <w:marRight w:val="0"/>
              <w:marTop w:val="0"/>
              <w:marBottom w:val="0"/>
              <w:divBdr>
                <w:top w:val="none" w:sz="0" w:space="0" w:color="auto"/>
                <w:left w:val="none" w:sz="0" w:space="0" w:color="auto"/>
                <w:bottom w:val="none" w:sz="0" w:space="0" w:color="auto"/>
                <w:right w:val="none" w:sz="0" w:space="0" w:color="auto"/>
              </w:divBdr>
            </w:div>
            <w:div w:id="18648595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70272741">
      <w:bodyDiv w:val="1"/>
      <w:marLeft w:val="0"/>
      <w:marRight w:val="0"/>
      <w:marTop w:val="0"/>
      <w:marBottom w:val="0"/>
      <w:divBdr>
        <w:top w:val="none" w:sz="0" w:space="0" w:color="auto"/>
        <w:left w:val="none" w:sz="0" w:space="0" w:color="auto"/>
        <w:bottom w:val="none" w:sz="0" w:space="0" w:color="auto"/>
        <w:right w:val="none" w:sz="0" w:space="0" w:color="auto"/>
      </w:divBdr>
    </w:div>
    <w:div w:id="1071152082">
      <w:bodyDiv w:val="1"/>
      <w:marLeft w:val="0"/>
      <w:marRight w:val="0"/>
      <w:marTop w:val="0"/>
      <w:marBottom w:val="0"/>
      <w:divBdr>
        <w:top w:val="none" w:sz="0" w:space="0" w:color="auto"/>
        <w:left w:val="none" w:sz="0" w:space="0" w:color="auto"/>
        <w:bottom w:val="none" w:sz="0" w:space="0" w:color="auto"/>
        <w:right w:val="none" w:sz="0" w:space="0" w:color="auto"/>
      </w:divBdr>
      <w:divsChild>
        <w:div w:id="5446935">
          <w:marLeft w:val="1166"/>
          <w:marRight w:val="0"/>
          <w:marTop w:val="106"/>
          <w:marBottom w:val="0"/>
          <w:divBdr>
            <w:top w:val="none" w:sz="0" w:space="0" w:color="auto"/>
            <w:left w:val="none" w:sz="0" w:space="0" w:color="auto"/>
            <w:bottom w:val="none" w:sz="0" w:space="0" w:color="auto"/>
            <w:right w:val="none" w:sz="0" w:space="0" w:color="auto"/>
          </w:divBdr>
        </w:div>
        <w:div w:id="427240505">
          <w:marLeft w:val="1166"/>
          <w:marRight w:val="0"/>
          <w:marTop w:val="106"/>
          <w:marBottom w:val="0"/>
          <w:divBdr>
            <w:top w:val="none" w:sz="0" w:space="0" w:color="auto"/>
            <w:left w:val="none" w:sz="0" w:space="0" w:color="auto"/>
            <w:bottom w:val="none" w:sz="0" w:space="0" w:color="auto"/>
            <w:right w:val="none" w:sz="0" w:space="0" w:color="auto"/>
          </w:divBdr>
        </w:div>
        <w:div w:id="527524799">
          <w:marLeft w:val="547"/>
          <w:marRight w:val="0"/>
          <w:marTop w:val="120"/>
          <w:marBottom w:val="0"/>
          <w:divBdr>
            <w:top w:val="none" w:sz="0" w:space="0" w:color="auto"/>
            <w:left w:val="none" w:sz="0" w:space="0" w:color="auto"/>
            <w:bottom w:val="none" w:sz="0" w:space="0" w:color="auto"/>
            <w:right w:val="none" w:sz="0" w:space="0" w:color="auto"/>
          </w:divBdr>
        </w:div>
        <w:div w:id="649986727">
          <w:marLeft w:val="1166"/>
          <w:marRight w:val="0"/>
          <w:marTop w:val="106"/>
          <w:marBottom w:val="0"/>
          <w:divBdr>
            <w:top w:val="none" w:sz="0" w:space="0" w:color="auto"/>
            <w:left w:val="none" w:sz="0" w:space="0" w:color="auto"/>
            <w:bottom w:val="none" w:sz="0" w:space="0" w:color="auto"/>
            <w:right w:val="none" w:sz="0" w:space="0" w:color="auto"/>
          </w:divBdr>
        </w:div>
        <w:div w:id="654721331">
          <w:marLeft w:val="1166"/>
          <w:marRight w:val="0"/>
          <w:marTop w:val="106"/>
          <w:marBottom w:val="0"/>
          <w:divBdr>
            <w:top w:val="none" w:sz="0" w:space="0" w:color="auto"/>
            <w:left w:val="none" w:sz="0" w:space="0" w:color="auto"/>
            <w:bottom w:val="none" w:sz="0" w:space="0" w:color="auto"/>
            <w:right w:val="none" w:sz="0" w:space="0" w:color="auto"/>
          </w:divBdr>
        </w:div>
        <w:div w:id="755250249">
          <w:marLeft w:val="1800"/>
          <w:marRight w:val="0"/>
          <w:marTop w:val="91"/>
          <w:marBottom w:val="0"/>
          <w:divBdr>
            <w:top w:val="none" w:sz="0" w:space="0" w:color="auto"/>
            <w:left w:val="none" w:sz="0" w:space="0" w:color="auto"/>
            <w:bottom w:val="none" w:sz="0" w:space="0" w:color="auto"/>
            <w:right w:val="none" w:sz="0" w:space="0" w:color="auto"/>
          </w:divBdr>
        </w:div>
        <w:div w:id="1253705126">
          <w:marLeft w:val="1166"/>
          <w:marRight w:val="0"/>
          <w:marTop w:val="106"/>
          <w:marBottom w:val="0"/>
          <w:divBdr>
            <w:top w:val="none" w:sz="0" w:space="0" w:color="auto"/>
            <w:left w:val="none" w:sz="0" w:space="0" w:color="auto"/>
            <w:bottom w:val="none" w:sz="0" w:space="0" w:color="auto"/>
            <w:right w:val="none" w:sz="0" w:space="0" w:color="auto"/>
          </w:divBdr>
        </w:div>
        <w:div w:id="1342393971">
          <w:marLeft w:val="1800"/>
          <w:marRight w:val="0"/>
          <w:marTop w:val="91"/>
          <w:marBottom w:val="0"/>
          <w:divBdr>
            <w:top w:val="none" w:sz="0" w:space="0" w:color="auto"/>
            <w:left w:val="none" w:sz="0" w:space="0" w:color="auto"/>
            <w:bottom w:val="none" w:sz="0" w:space="0" w:color="auto"/>
            <w:right w:val="none" w:sz="0" w:space="0" w:color="auto"/>
          </w:divBdr>
        </w:div>
        <w:div w:id="1401293592">
          <w:marLeft w:val="1800"/>
          <w:marRight w:val="0"/>
          <w:marTop w:val="91"/>
          <w:marBottom w:val="0"/>
          <w:divBdr>
            <w:top w:val="none" w:sz="0" w:space="0" w:color="auto"/>
            <w:left w:val="none" w:sz="0" w:space="0" w:color="auto"/>
            <w:bottom w:val="none" w:sz="0" w:space="0" w:color="auto"/>
            <w:right w:val="none" w:sz="0" w:space="0" w:color="auto"/>
          </w:divBdr>
        </w:div>
        <w:div w:id="1942832938">
          <w:marLeft w:val="1800"/>
          <w:marRight w:val="0"/>
          <w:marTop w:val="91"/>
          <w:marBottom w:val="0"/>
          <w:divBdr>
            <w:top w:val="none" w:sz="0" w:space="0" w:color="auto"/>
            <w:left w:val="none" w:sz="0" w:space="0" w:color="auto"/>
            <w:bottom w:val="none" w:sz="0" w:space="0" w:color="auto"/>
            <w:right w:val="none" w:sz="0" w:space="0" w:color="auto"/>
          </w:divBdr>
        </w:div>
        <w:div w:id="2124106665">
          <w:marLeft w:val="1800"/>
          <w:marRight w:val="0"/>
          <w:marTop w:val="91"/>
          <w:marBottom w:val="0"/>
          <w:divBdr>
            <w:top w:val="none" w:sz="0" w:space="0" w:color="auto"/>
            <w:left w:val="none" w:sz="0" w:space="0" w:color="auto"/>
            <w:bottom w:val="none" w:sz="0" w:space="0" w:color="auto"/>
            <w:right w:val="none" w:sz="0" w:space="0" w:color="auto"/>
          </w:divBdr>
        </w:div>
      </w:divsChild>
    </w:div>
    <w:div w:id="1071266992">
      <w:bodyDiv w:val="1"/>
      <w:marLeft w:val="0"/>
      <w:marRight w:val="0"/>
      <w:marTop w:val="0"/>
      <w:marBottom w:val="0"/>
      <w:divBdr>
        <w:top w:val="none" w:sz="0" w:space="0" w:color="auto"/>
        <w:left w:val="none" w:sz="0" w:space="0" w:color="auto"/>
        <w:bottom w:val="none" w:sz="0" w:space="0" w:color="auto"/>
        <w:right w:val="none" w:sz="0" w:space="0" w:color="auto"/>
      </w:divBdr>
    </w:div>
    <w:div w:id="1071930065">
      <w:bodyDiv w:val="1"/>
      <w:marLeft w:val="0"/>
      <w:marRight w:val="0"/>
      <w:marTop w:val="0"/>
      <w:marBottom w:val="0"/>
      <w:divBdr>
        <w:top w:val="none" w:sz="0" w:space="0" w:color="auto"/>
        <w:left w:val="none" w:sz="0" w:space="0" w:color="auto"/>
        <w:bottom w:val="none" w:sz="0" w:space="0" w:color="auto"/>
        <w:right w:val="none" w:sz="0" w:space="0" w:color="auto"/>
      </w:divBdr>
    </w:div>
    <w:div w:id="1072235869">
      <w:bodyDiv w:val="1"/>
      <w:marLeft w:val="0"/>
      <w:marRight w:val="0"/>
      <w:marTop w:val="0"/>
      <w:marBottom w:val="0"/>
      <w:divBdr>
        <w:top w:val="none" w:sz="0" w:space="0" w:color="auto"/>
        <w:left w:val="none" w:sz="0" w:space="0" w:color="auto"/>
        <w:bottom w:val="none" w:sz="0" w:space="0" w:color="auto"/>
        <w:right w:val="none" w:sz="0" w:space="0" w:color="auto"/>
      </w:divBdr>
      <w:divsChild>
        <w:div w:id="166285909">
          <w:marLeft w:val="1800"/>
          <w:marRight w:val="0"/>
          <w:marTop w:val="96"/>
          <w:marBottom w:val="0"/>
          <w:divBdr>
            <w:top w:val="none" w:sz="0" w:space="0" w:color="auto"/>
            <w:left w:val="none" w:sz="0" w:space="0" w:color="auto"/>
            <w:bottom w:val="none" w:sz="0" w:space="0" w:color="auto"/>
            <w:right w:val="none" w:sz="0" w:space="0" w:color="auto"/>
          </w:divBdr>
        </w:div>
        <w:div w:id="472328589">
          <w:marLeft w:val="1166"/>
          <w:marRight w:val="0"/>
          <w:marTop w:val="115"/>
          <w:marBottom w:val="0"/>
          <w:divBdr>
            <w:top w:val="none" w:sz="0" w:space="0" w:color="auto"/>
            <w:left w:val="none" w:sz="0" w:space="0" w:color="auto"/>
            <w:bottom w:val="none" w:sz="0" w:space="0" w:color="auto"/>
            <w:right w:val="none" w:sz="0" w:space="0" w:color="auto"/>
          </w:divBdr>
        </w:div>
        <w:div w:id="486633742">
          <w:marLeft w:val="2520"/>
          <w:marRight w:val="0"/>
          <w:marTop w:val="77"/>
          <w:marBottom w:val="0"/>
          <w:divBdr>
            <w:top w:val="none" w:sz="0" w:space="0" w:color="auto"/>
            <w:left w:val="none" w:sz="0" w:space="0" w:color="auto"/>
            <w:bottom w:val="none" w:sz="0" w:space="0" w:color="auto"/>
            <w:right w:val="none" w:sz="0" w:space="0" w:color="auto"/>
          </w:divBdr>
        </w:div>
        <w:div w:id="638414863">
          <w:marLeft w:val="547"/>
          <w:marRight w:val="0"/>
          <w:marTop w:val="130"/>
          <w:marBottom w:val="0"/>
          <w:divBdr>
            <w:top w:val="none" w:sz="0" w:space="0" w:color="auto"/>
            <w:left w:val="none" w:sz="0" w:space="0" w:color="auto"/>
            <w:bottom w:val="none" w:sz="0" w:space="0" w:color="auto"/>
            <w:right w:val="none" w:sz="0" w:space="0" w:color="auto"/>
          </w:divBdr>
        </w:div>
        <w:div w:id="733161703">
          <w:marLeft w:val="1800"/>
          <w:marRight w:val="0"/>
          <w:marTop w:val="96"/>
          <w:marBottom w:val="0"/>
          <w:divBdr>
            <w:top w:val="none" w:sz="0" w:space="0" w:color="auto"/>
            <w:left w:val="none" w:sz="0" w:space="0" w:color="auto"/>
            <w:bottom w:val="none" w:sz="0" w:space="0" w:color="auto"/>
            <w:right w:val="none" w:sz="0" w:space="0" w:color="auto"/>
          </w:divBdr>
        </w:div>
        <w:div w:id="2106531650">
          <w:marLeft w:val="1166"/>
          <w:marRight w:val="0"/>
          <w:marTop w:val="115"/>
          <w:marBottom w:val="0"/>
          <w:divBdr>
            <w:top w:val="none" w:sz="0" w:space="0" w:color="auto"/>
            <w:left w:val="none" w:sz="0" w:space="0" w:color="auto"/>
            <w:bottom w:val="none" w:sz="0" w:space="0" w:color="auto"/>
            <w:right w:val="none" w:sz="0" w:space="0" w:color="auto"/>
          </w:divBdr>
        </w:div>
      </w:divsChild>
    </w:div>
    <w:div w:id="1073164798">
      <w:bodyDiv w:val="1"/>
      <w:marLeft w:val="0"/>
      <w:marRight w:val="0"/>
      <w:marTop w:val="0"/>
      <w:marBottom w:val="0"/>
      <w:divBdr>
        <w:top w:val="none" w:sz="0" w:space="0" w:color="auto"/>
        <w:left w:val="none" w:sz="0" w:space="0" w:color="auto"/>
        <w:bottom w:val="none" w:sz="0" w:space="0" w:color="auto"/>
        <w:right w:val="none" w:sz="0" w:space="0" w:color="auto"/>
      </w:divBdr>
    </w:div>
    <w:div w:id="1073628074">
      <w:bodyDiv w:val="1"/>
      <w:marLeft w:val="0"/>
      <w:marRight w:val="0"/>
      <w:marTop w:val="0"/>
      <w:marBottom w:val="0"/>
      <w:divBdr>
        <w:top w:val="none" w:sz="0" w:space="0" w:color="auto"/>
        <w:left w:val="none" w:sz="0" w:space="0" w:color="auto"/>
        <w:bottom w:val="none" w:sz="0" w:space="0" w:color="auto"/>
        <w:right w:val="none" w:sz="0" w:space="0" w:color="auto"/>
      </w:divBdr>
    </w:div>
    <w:div w:id="1074622533">
      <w:bodyDiv w:val="1"/>
      <w:marLeft w:val="0"/>
      <w:marRight w:val="0"/>
      <w:marTop w:val="0"/>
      <w:marBottom w:val="0"/>
      <w:divBdr>
        <w:top w:val="none" w:sz="0" w:space="0" w:color="auto"/>
        <w:left w:val="none" w:sz="0" w:space="0" w:color="auto"/>
        <w:bottom w:val="none" w:sz="0" w:space="0" w:color="auto"/>
        <w:right w:val="none" w:sz="0" w:space="0" w:color="auto"/>
      </w:divBdr>
    </w:div>
    <w:div w:id="1074743191">
      <w:bodyDiv w:val="1"/>
      <w:marLeft w:val="0"/>
      <w:marRight w:val="0"/>
      <w:marTop w:val="0"/>
      <w:marBottom w:val="0"/>
      <w:divBdr>
        <w:top w:val="none" w:sz="0" w:space="0" w:color="auto"/>
        <w:left w:val="none" w:sz="0" w:space="0" w:color="auto"/>
        <w:bottom w:val="none" w:sz="0" w:space="0" w:color="auto"/>
        <w:right w:val="none" w:sz="0" w:space="0" w:color="auto"/>
      </w:divBdr>
    </w:div>
    <w:div w:id="1075662980">
      <w:bodyDiv w:val="1"/>
      <w:marLeft w:val="0"/>
      <w:marRight w:val="0"/>
      <w:marTop w:val="0"/>
      <w:marBottom w:val="0"/>
      <w:divBdr>
        <w:top w:val="none" w:sz="0" w:space="0" w:color="auto"/>
        <w:left w:val="none" w:sz="0" w:space="0" w:color="auto"/>
        <w:bottom w:val="none" w:sz="0" w:space="0" w:color="auto"/>
        <w:right w:val="none" w:sz="0" w:space="0" w:color="auto"/>
      </w:divBdr>
    </w:div>
    <w:div w:id="1075708979">
      <w:bodyDiv w:val="1"/>
      <w:marLeft w:val="0"/>
      <w:marRight w:val="0"/>
      <w:marTop w:val="0"/>
      <w:marBottom w:val="0"/>
      <w:divBdr>
        <w:top w:val="none" w:sz="0" w:space="0" w:color="auto"/>
        <w:left w:val="none" w:sz="0" w:space="0" w:color="auto"/>
        <w:bottom w:val="none" w:sz="0" w:space="0" w:color="auto"/>
        <w:right w:val="none" w:sz="0" w:space="0" w:color="auto"/>
      </w:divBdr>
    </w:div>
    <w:div w:id="1076131560">
      <w:bodyDiv w:val="1"/>
      <w:marLeft w:val="0"/>
      <w:marRight w:val="0"/>
      <w:marTop w:val="0"/>
      <w:marBottom w:val="0"/>
      <w:divBdr>
        <w:top w:val="none" w:sz="0" w:space="0" w:color="auto"/>
        <w:left w:val="none" w:sz="0" w:space="0" w:color="auto"/>
        <w:bottom w:val="none" w:sz="0" w:space="0" w:color="auto"/>
        <w:right w:val="none" w:sz="0" w:space="0" w:color="auto"/>
      </w:divBdr>
      <w:divsChild>
        <w:div w:id="294336189">
          <w:marLeft w:val="547"/>
          <w:marRight w:val="0"/>
          <w:marTop w:val="134"/>
          <w:marBottom w:val="0"/>
          <w:divBdr>
            <w:top w:val="none" w:sz="0" w:space="0" w:color="auto"/>
            <w:left w:val="none" w:sz="0" w:space="0" w:color="auto"/>
            <w:bottom w:val="none" w:sz="0" w:space="0" w:color="auto"/>
            <w:right w:val="none" w:sz="0" w:space="0" w:color="auto"/>
          </w:divBdr>
        </w:div>
        <w:div w:id="712073503">
          <w:marLeft w:val="1166"/>
          <w:marRight w:val="0"/>
          <w:marTop w:val="115"/>
          <w:marBottom w:val="0"/>
          <w:divBdr>
            <w:top w:val="none" w:sz="0" w:space="0" w:color="auto"/>
            <w:left w:val="none" w:sz="0" w:space="0" w:color="auto"/>
            <w:bottom w:val="none" w:sz="0" w:space="0" w:color="auto"/>
            <w:right w:val="none" w:sz="0" w:space="0" w:color="auto"/>
          </w:divBdr>
        </w:div>
        <w:div w:id="979654460">
          <w:marLeft w:val="1166"/>
          <w:marRight w:val="0"/>
          <w:marTop w:val="115"/>
          <w:marBottom w:val="0"/>
          <w:divBdr>
            <w:top w:val="none" w:sz="0" w:space="0" w:color="auto"/>
            <w:left w:val="none" w:sz="0" w:space="0" w:color="auto"/>
            <w:bottom w:val="none" w:sz="0" w:space="0" w:color="auto"/>
            <w:right w:val="none" w:sz="0" w:space="0" w:color="auto"/>
          </w:divBdr>
        </w:div>
        <w:div w:id="1993557632">
          <w:marLeft w:val="1166"/>
          <w:marRight w:val="0"/>
          <w:marTop w:val="115"/>
          <w:marBottom w:val="0"/>
          <w:divBdr>
            <w:top w:val="none" w:sz="0" w:space="0" w:color="auto"/>
            <w:left w:val="none" w:sz="0" w:space="0" w:color="auto"/>
            <w:bottom w:val="none" w:sz="0" w:space="0" w:color="auto"/>
            <w:right w:val="none" w:sz="0" w:space="0" w:color="auto"/>
          </w:divBdr>
        </w:div>
      </w:divsChild>
    </w:div>
    <w:div w:id="1076587701">
      <w:bodyDiv w:val="1"/>
      <w:marLeft w:val="0"/>
      <w:marRight w:val="0"/>
      <w:marTop w:val="0"/>
      <w:marBottom w:val="0"/>
      <w:divBdr>
        <w:top w:val="none" w:sz="0" w:space="0" w:color="auto"/>
        <w:left w:val="none" w:sz="0" w:space="0" w:color="auto"/>
        <w:bottom w:val="none" w:sz="0" w:space="0" w:color="auto"/>
        <w:right w:val="none" w:sz="0" w:space="0" w:color="auto"/>
      </w:divBdr>
      <w:divsChild>
        <w:div w:id="1481580683">
          <w:marLeft w:val="547"/>
          <w:marRight w:val="0"/>
          <w:marTop w:val="154"/>
          <w:marBottom w:val="0"/>
          <w:divBdr>
            <w:top w:val="none" w:sz="0" w:space="0" w:color="auto"/>
            <w:left w:val="none" w:sz="0" w:space="0" w:color="auto"/>
            <w:bottom w:val="none" w:sz="0" w:space="0" w:color="auto"/>
            <w:right w:val="none" w:sz="0" w:space="0" w:color="auto"/>
          </w:divBdr>
        </w:div>
        <w:div w:id="1497379051">
          <w:marLeft w:val="547"/>
          <w:marRight w:val="0"/>
          <w:marTop w:val="154"/>
          <w:marBottom w:val="0"/>
          <w:divBdr>
            <w:top w:val="none" w:sz="0" w:space="0" w:color="auto"/>
            <w:left w:val="none" w:sz="0" w:space="0" w:color="auto"/>
            <w:bottom w:val="none" w:sz="0" w:space="0" w:color="auto"/>
            <w:right w:val="none" w:sz="0" w:space="0" w:color="auto"/>
          </w:divBdr>
        </w:div>
        <w:div w:id="2043093099">
          <w:marLeft w:val="547"/>
          <w:marRight w:val="0"/>
          <w:marTop w:val="154"/>
          <w:marBottom w:val="0"/>
          <w:divBdr>
            <w:top w:val="none" w:sz="0" w:space="0" w:color="auto"/>
            <w:left w:val="none" w:sz="0" w:space="0" w:color="auto"/>
            <w:bottom w:val="none" w:sz="0" w:space="0" w:color="auto"/>
            <w:right w:val="none" w:sz="0" w:space="0" w:color="auto"/>
          </w:divBdr>
        </w:div>
      </w:divsChild>
    </w:div>
    <w:div w:id="1077096705">
      <w:bodyDiv w:val="1"/>
      <w:marLeft w:val="0"/>
      <w:marRight w:val="0"/>
      <w:marTop w:val="0"/>
      <w:marBottom w:val="0"/>
      <w:divBdr>
        <w:top w:val="none" w:sz="0" w:space="0" w:color="auto"/>
        <w:left w:val="none" w:sz="0" w:space="0" w:color="auto"/>
        <w:bottom w:val="none" w:sz="0" w:space="0" w:color="auto"/>
        <w:right w:val="none" w:sz="0" w:space="0" w:color="auto"/>
      </w:divBdr>
    </w:div>
    <w:div w:id="1077285440">
      <w:bodyDiv w:val="1"/>
      <w:marLeft w:val="0"/>
      <w:marRight w:val="0"/>
      <w:marTop w:val="0"/>
      <w:marBottom w:val="0"/>
      <w:divBdr>
        <w:top w:val="none" w:sz="0" w:space="0" w:color="auto"/>
        <w:left w:val="none" w:sz="0" w:space="0" w:color="auto"/>
        <w:bottom w:val="none" w:sz="0" w:space="0" w:color="auto"/>
        <w:right w:val="none" w:sz="0" w:space="0" w:color="auto"/>
      </w:divBdr>
      <w:divsChild>
        <w:div w:id="309677620">
          <w:marLeft w:val="2866"/>
          <w:marRight w:val="0"/>
          <w:marTop w:val="60"/>
          <w:marBottom w:val="0"/>
          <w:divBdr>
            <w:top w:val="none" w:sz="0" w:space="0" w:color="auto"/>
            <w:left w:val="none" w:sz="0" w:space="0" w:color="auto"/>
            <w:bottom w:val="none" w:sz="0" w:space="0" w:color="auto"/>
            <w:right w:val="none" w:sz="0" w:space="0" w:color="auto"/>
          </w:divBdr>
        </w:div>
        <w:div w:id="342709264">
          <w:marLeft w:val="2866"/>
          <w:marRight w:val="0"/>
          <w:marTop w:val="60"/>
          <w:marBottom w:val="0"/>
          <w:divBdr>
            <w:top w:val="none" w:sz="0" w:space="0" w:color="auto"/>
            <w:left w:val="none" w:sz="0" w:space="0" w:color="auto"/>
            <w:bottom w:val="none" w:sz="0" w:space="0" w:color="auto"/>
            <w:right w:val="none" w:sz="0" w:space="0" w:color="auto"/>
          </w:divBdr>
        </w:div>
        <w:div w:id="388237408">
          <w:marLeft w:val="1426"/>
          <w:marRight w:val="0"/>
          <w:marTop w:val="60"/>
          <w:marBottom w:val="0"/>
          <w:divBdr>
            <w:top w:val="none" w:sz="0" w:space="0" w:color="auto"/>
            <w:left w:val="none" w:sz="0" w:space="0" w:color="auto"/>
            <w:bottom w:val="none" w:sz="0" w:space="0" w:color="auto"/>
            <w:right w:val="none" w:sz="0" w:space="0" w:color="auto"/>
          </w:divBdr>
        </w:div>
        <w:div w:id="422918498">
          <w:marLeft w:val="1426"/>
          <w:marRight w:val="0"/>
          <w:marTop w:val="60"/>
          <w:marBottom w:val="0"/>
          <w:divBdr>
            <w:top w:val="none" w:sz="0" w:space="0" w:color="auto"/>
            <w:left w:val="none" w:sz="0" w:space="0" w:color="auto"/>
            <w:bottom w:val="none" w:sz="0" w:space="0" w:color="auto"/>
            <w:right w:val="none" w:sz="0" w:space="0" w:color="auto"/>
          </w:divBdr>
        </w:div>
        <w:div w:id="951666791">
          <w:marLeft w:val="2146"/>
          <w:marRight w:val="0"/>
          <w:marTop w:val="60"/>
          <w:marBottom w:val="0"/>
          <w:divBdr>
            <w:top w:val="none" w:sz="0" w:space="0" w:color="auto"/>
            <w:left w:val="none" w:sz="0" w:space="0" w:color="auto"/>
            <w:bottom w:val="none" w:sz="0" w:space="0" w:color="auto"/>
            <w:right w:val="none" w:sz="0" w:space="0" w:color="auto"/>
          </w:divBdr>
        </w:div>
        <w:div w:id="1114904131">
          <w:marLeft w:val="533"/>
          <w:marRight w:val="0"/>
          <w:marTop w:val="60"/>
          <w:marBottom w:val="0"/>
          <w:divBdr>
            <w:top w:val="none" w:sz="0" w:space="0" w:color="auto"/>
            <w:left w:val="none" w:sz="0" w:space="0" w:color="auto"/>
            <w:bottom w:val="none" w:sz="0" w:space="0" w:color="auto"/>
            <w:right w:val="none" w:sz="0" w:space="0" w:color="auto"/>
          </w:divBdr>
        </w:div>
        <w:div w:id="1400710260">
          <w:marLeft w:val="2866"/>
          <w:marRight w:val="0"/>
          <w:marTop w:val="60"/>
          <w:marBottom w:val="0"/>
          <w:divBdr>
            <w:top w:val="none" w:sz="0" w:space="0" w:color="auto"/>
            <w:left w:val="none" w:sz="0" w:space="0" w:color="auto"/>
            <w:bottom w:val="none" w:sz="0" w:space="0" w:color="auto"/>
            <w:right w:val="none" w:sz="0" w:space="0" w:color="auto"/>
          </w:divBdr>
        </w:div>
        <w:div w:id="1572084999">
          <w:marLeft w:val="2866"/>
          <w:marRight w:val="0"/>
          <w:marTop w:val="60"/>
          <w:marBottom w:val="0"/>
          <w:divBdr>
            <w:top w:val="none" w:sz="0" w:space="0" w:color="auto"/>
            <w:left w:val="none" w:sz="0" w:space="0" w:color="auto"/>
            <w:bottom w:val="none" w:sz="0" w:space="0" w:color="auto"/>
            <w:right w:val="none" w:sz="0" w:space="0" w:color="auto"/>
          </w:divBdr>
        </w:div>
        <w:div w:id="2028634092">
          <w:marLeft w:val="2866"/>
          <w:marRight w:val="0"/>
          <w:marTop w:val="60"/>
          <w:marBottom w:val="0"/>
          <w:divBdr>
            <w:top w:val="none" w:sz="0" w:space="0" w:color="auto"/>
            <w:left w:val="none" w:sz="0" w:space="0" w:color="auto"/>
            <w:bottom w:val="none" w:sz="0" w:space="0" w:color="auto"/>
            <w:right w:val="none" w:sz="0" w:space="0" w:color="auto"/>
          </w:divBdr>
        </w:div>
      </w:divsChild>
    </w:div>
    <w:div w:id="1077828708">
      <w:bodyDiv w:val="1"/>
      <w:marLeft w:val="0"/>
      <w:marRight w:val="0"/>
      <w:marTop w:val="0"/>
      <w:marBottom w:val="0"/>
      <w:divBdr>
        <w:top w:val="none" w:sz="0" w:space="0" w:color="auto"/>
        <w:left w:val="none" w:sz="0" w:space="0" w:color="auto"/>
        <w:bottom w:val="none" w:sz="0" w:space="0" w:color="auto"/>
        <w:right w:val="none" w:sz="0" w:space="0" w:color="auto"/>
      </w:divBdr>
    </w:div>
    <w:div w:id="1078097244">
      <w:bodyDiv w:val="1"/>
      <w:marLeft w:val="0"/>
      <w:marRight w:val="0"/>
      <w:marTop w:val="0"/>
      <w:marBottom w:val="0"/>
      <w:divBdr>
        <w:top w:val="none" w:sz="0" w:space="0" w:color="auto"/>
        <w:left w:val="none" w:sz="0" w:space="0" w:color="auto"/>
        <w:bottom w:val="none" w:sz="0" w:space="0" w:color="auto"/>
        <w:right w:val="none" w:sz="0" w:space="0" w:color="auto"/>
      </w:divBdr>
    </w:div>
    <w:div w:id="1078285777">
      <w:bodyDiv w:val="1"/>
      <w:marLeft w:val="0"/>
      <w:marRight w:val="0"/>
      <w:marTop w:val="0"/>
      <w:marBottom w:val="0"/>
      <w:divBdr>
        <w:top w:val="none" w:sz="0" w:space="0" w:color="auto"/>
        <w:left w:val="none" w:sz="0" w:space="0" w:color="auto"/>
        <w:bottom w:val="none" w:sz="0" w:space="0" w:color="auto"/>
        <w:right w:val="none" w:sz="0" w:space="0" w:color="auto"/>
      </w:divBdr>
    </w:div>
    <w:div w:id="1078942750">
      <w:bodyDiv w:val="1"/>
      <w:marLeft w:val="0"/>
      <w:marRight w:val="0"/>
      <w:marTop w:val="0"/>
      <w:marBottom w:val="0"/>
      <w:divBdr>
        <w:top w:val="none" w:sz="0" w:space="0" w:color="auto"/>
        <w:left w:val="none" w:sz="0" w:space="0" w:color="auto"/>
        <w:bottom w:val="none" w:sz="0" w:space="0" w:color="auto"/>
        <w:right w:val="none" w:sz="0" w:space="0" w:color="auto"/>
      </w:divBdr>
    </w:div>
    <w:div w:id="1079407234">
      <w:bodyDiv w:val="1"/>
      <w:marLeft w:val="0"/>
      <w:marRight w:val="0"/>
      <w:marTop w:val="0"/>
      <w:marBottom w:val="0"/>
      <w:divBdr>
        <w:top w:val="none" w:sz="0" w:space="0" w:color="auto"/>
        <w:left w:val="none" w:sz="0" w:space="0" w:color="auto"/>
        <w:bottom w:val="none" w:sz="0" w:space="0" w:color="auto"/>
        <w:right w:val="none" w:sz="0" w:space="0" w:color="auto"/>
      </w:divBdr>
    </w:div>
    <w:div w:id="1079981599">
      <w:bodyDiv w:val="1"/>
      <w:marLeft w:val="0"/>
      <w:marRight w:val="0"/>
      <w:marTop w:val="0"/>
      <w:marBottom w:val="0"/>
      <w:divBdr>
        <w:top w:val="none" w:sz="0" w:space="0" w:color="auto"/>
        <w:left w:val="none" w:sz="0" w:space="0" w:color="auto"/>
        <w:bottom w:val="none" w:sz="0" w:space="0" w:color="auto"/>
        <w:right w:val="none" w:sz="0" w:space="0" w:color="auto"/>
      </w:divBdr>
    </w:div>
    <w:div w:id="1080058096">
      <w:bodyDiv w:val="1"/>
      <w:marLeft w:val="0"/>
      <w:marRight w:val="0"/>
      <w:marTop w:val="0"/>
      <w:marBottom w:val="0"/>
      <w:divBdr>
        <w:top w:val="none" w:sz="0" w:space="0" w:color="auto"/>
        <w:left w:val="none" w:sz="0" w:space="0" w:color="auto"/>
        <w:bottom w:val="none" w:sz="0" w:space="0" w:color="auto"/>
        <w:right w:val="none" w:sz="0" w:space="0" w:color="auto"/>
      </w:divBdr>
    </w:div>
    <w:div w:id="1080640760">
      <w:bodyDiv w:val="1"/>
      <w:marLeft w:val="0"/>
      <w:marRight w:val="0"/>
      <w:marTop w:val="0"/>
      <w:marBottom w:val="0"/>
      <w:divBdr>
        <w:top w:val="none" w:sz="0" w:space="0" w:color="auto"/>
        <w:left w:val="none" w:sz="0" w:space="0" w:color="auto"/>
        <w:bottom w:val="none" w:sz="0" w:space="0" w:color="auto"/>
        <w:right w:val="none" w:sz="0" w:space="0" w:color="auto"/>
      </w:divBdr>
    </w:div>
    <w:div w:id="1082146903">
      <w:bodyDiv w:val="1"/>
      <w:marLeft w:val="0"/>
      <w:marRight w:val="0"/>
      <w:marTop w:val="0"/>
      <w:marBottom w:val="0"/>
      <w:divBdr>
        <w:top w:val="none" w:sz="0" w:space="0" w:color="auto"/>
        <w:left w:val="none" w:sz="0" w:space="0" w:color="auto"/>
        <w:bottom w:val="none" w:sz="0" w:space="0" w:color="auto"/>
        <w:right w:val="none" w:sz="0" w:space="0" w:color="auto"/>
      </w:divBdr>
      <w:divsChild>
        <w:div w:id="383606329">
          <w:marLeft w:val="1166"/>
          <w:marRight w:val="0"/>
          <w:marTop w:val="86"/>
          <w:marBottom w:val="0"/>
          <w:divBdr>
            <w:top w:val="none" w:sz="0" w:space="0" w:color="auto"/>
            <w:left w:val="none" w:sz="0" w:space="0" w:color="auto"/>
            <w:bottom w:val="none" w:sz="0" w:space="0" w:color="auto"/>
            <w:right w:val="none" w:sz="0" w:space="0" w:color="auto"/>
          </w:divBdr>
        </w:div>
        <w:div w:id="484593224">
          <w:marLeft w:val="1800"/>
          <w:marRight w:val="0"/>
          <w:marTop w:val="67"/>
          <w:marBottom w:val="0"/>
          <w:divBdr>
            <w:top w:val="none" w:sz="0" w:space="0" w:color="auto"/>
            <w:left w:val="none" w:sz="0" w:space="0" w:color="auto"/>
            <w:bottom w:val="none" w:sz="0" w:space="0" w:color="auto"/>
            <w:right w:val="none" w:sz="0" w:space="0" w:color="auto"/>
          </w:divBdr>
        </w:div>
        <w:div w:id="749160975">
          <w:marLeft w:val="1166"/>
          <w:marRight w:val="0"/>
          <w:marTop w:val="86"/>
          <w:marBottom w:val="0"/>
          <w:divBdr>
            <w:top w:val="none" w:sz="0" w:space="0" w:color="auto"/>
            <w:left w:val="none" w:sz="0" w:space="0" w:color="auto"/>
            <w:bottom w:val="none" w:sz="0" w:space="0" w:color="auto"/>
            <w:right w:val="none" w:sz="0" w:space="0" w:color="auto"/>
          </w:divBdr>
        </w:div>
        <w:div w:id="915014808">
          <w:marLeft w:val="1800"/>
          <w:marRight w:val="0"/>
          <w:marTop w:val="67"/>
          <w:marBottom w:val="0"/>
          <w:divBdr>
            <w:top w:val="none" w:sz="0" w:space="0" w:color="auto"/>
            <w:left w:val="none" w:sz="0" w:space="0" w:color="auto"/>
            <w:bottom w:val="none" w:sz="0" w:space="0" w:color="auto"/>
            <w:right w:val="none" w:sz="0" w:space="0" w:color="auto"/>
          </w:divBdr>
        </w:div>
        <w:div w:id="1314291691">
          <w:marLeft w:val="1166"/>
          <w:marRight w:val="0"/>
          <w:marTop w:val="86"/>
          <w:marBottom w:val="0"/>
          <w:divBdr>
            <w:top w:val="none" w:sz="0" w:space="0" w:color="auto"/>
            <w:left w:val="none" w:sz="0" w:space="0" w:color="auto"/>
            <w:bottom w:val="none" w:sz="0" w:space="0" w:color="auto"/>
            <w:right w:val="none" w:sz="0" w:space="0" w:color="auto"/>
          </w:divBdr>
        </w:div>
        <w:div w:id="1473909041">
          <w:marLeft w:val="1800"/>
          <w:marRight w:val="0"/>
          <w:marTop w:val="67"/>
          <w:marBottom w:val="0"/>
          <w:divBdr>
            <w:top w:val="none" w:sz="0" w:space="0" w:color="auto"/>
            <w:left w:val="none" w:sz="0" w:space="0" w:color="auto"/>
            <w:bottom w:val="none" w:sz="0" w:space="0" w:color="auto"/>
            <w:right w:val="none" w:sz="0" w:space="0" w:color="auto"/>
          </w:divBdr>
        </w:div>
        <w:div w:id="1663965914">
          <w:marLeft w:val="1166"/>
          <w:marRight w:val="0"/>
          <w:marTop w:val="86"/>
          <w:marBottom w:val="0"/>
          <w:divBdr>
            <w:top w:val="none" w:sz="0" w:space="0" w:color="auto"/>
            <w:left w:val="none" w:sz="0" w:space="0" w:color="auto"/>
            <w:bottom w:val="none" w:sz="0" w:space="0" w:color="auto"/>
            <w:right w:val="none" w:sz="0" w:space="0" w:color="auto"/>
          </w:divBdr>
        </w:div>
        <w:div w:id="1673339902">
          <w:marLeft w:val="1166"/>
          <w:marRight w:val="0"/>
          <w:marTop w:val="86"/>
          <w:marBottom w:val="0"/>
          <w:divBdr>
            <w:top w:val="none" w:sz="0" w:space="0" w:color="auto"/>
            <w:left w:val="none" w:sz="0" w:space="0" w:color="auto"/>
            <w:bottom w:val="none" w:sz="0" w:space="0" w:color="auto"/>
            <w:right w:val="none" w:sz="0" w:space="0" w:color="auto"/>
          </w:divBdr>
        </w:div>
        <w:div w:id="1688169444">
          <w:marLeft w:val="1166"/>
          <w:marRight w:val="0"/>
          <w:marTop w:val="86"/>
          <w:marBottom w:val="0"/>
          <w:divBdr>
            <w:top w:val="none" w:sz="0" w:space="0" w:color="auto"/>
            <w:left w:val="none" w:sz="0" w:space="0" w:color="auto"/>
            <w:bottom w:val="none" w:sz="0" w:space="0" w:color="auto"/>
            <w:right w:val="none" w:sz="0" w:space="0" w:color="auto"/>
          </w:divBdr>
        </w:div>
        <w:div w:id="1690520856">
          <w:marLeft w:val="547"/>
          <w:marRight w:val="0"/>
          <w:marTop w:val="115"/>
          <w:marBottom w:val="0"/>
          <w:divBdr>
            <w:top w:val="none" w:sz="0" w:space="0" w:color="auto"/>
            <w:left w:val="none" w:sz="0" w:space="0" w:color="auto"/>
            <w:bottom w:val="none" w:sz="0" w:space="0" w:color="auto"/>
            <w:right w:val="none" w:sz="0" w:space="0" w:color="auto"/>
          </w:divBdr>
        </w:div>
        <w:div w:id="1984651479">
          <w:marLeft w:val="1800"/>
          <w:marRight w:val="0"/>
          <w:marTop w:val="67"/>
          <w:marBottom w:val="0"/>
          <w:divBdr>
            <w:top w:val="none" w:sz="0" w:space="0" w:color="auto"/>
            <w:left w:val="none" w:sz="0" w:space="0" w:color="auto"/>
            <w:bottom w:val="none" w:sz="0" w:space="0" w:color="auto"/>
            <w:right w:val="none" w:sz="0" w:space="0" w:color="auto"/>
          </w:divBdr>
        </w:div>
        <w:div w:id="2136018630">
          <w:marLeft w:val="1166"/>
          <w:marRight w:val="0"/>
          <w:marTop w:val="86"/>
          <w:marBottom w:val="0"/>
          <w:divBdr>
            <w:top w:val="none" w:sz="0" w:space="0" w:color="auto"/>
            <w:left w:val="none" w:sz="0" w:space="0" w:color="auto"/>
            <w:bottom w:val="none" w:sz="0" w:space="0" w:color="auto"/>
            <w:right w:val="none" w:sz="0" w:space="0" w:color="auto"/>
          </w:divBdr>
        </w:div>
      </w:divsChild>
    </w:div>
    <w:div w:id="1082264242">
      <w:bodyDiv w:val="1"/>
      <w:marLeft w:val="0"/>
      <w:marRight w:val="0"/>
      <w:marTop w:val="0"/>
      <w:marBottom w:val="0"/>
      <w:divBdr>
        <w:top w:val="none" w:sz="0" w:space="0" w:color="auto"/>
        <w:left w:val="none" w:sz="0" w:space="0" w:color="auto"/>
        <w:bottom w:val="none" w:sz="0" w:space="0" w:color="auto"/>
        <w:right w:val="none" w:sz="0" w:space="0" w:color="auto"/>
      </w:divBdr>
    </w:div>
    <w:div w:id="1082482828">
      <w:bodyDiv w:val="1"/>
      <w:marLeft w:val="0"/>
      <w:marRight w:val="0"/>
      <w:marTop w:val="0"/>
      <w:marBottom w:val="0"/>
      <w:divBdr>
        <w:top w:val="none" w:sz="0" w:space="0" w:color="auto"/>
        <w:left w:val="none" w:sz="0" w:space="0" w:color="auto"/>
        <w:bottom w:val="none" w:sz="0" w:space="0" w:color="auto"/>
        <w:right w:val="none" w:sz="0" w:space="0" w:color="auto"/>
      </w:divBdr>
    </w:div>
    <w:div w:id="1083725144">
      <w:bodyDiv w:val="1"/>
      <w:marLeft w:val="0"/>
      <w:marRight w:val="0"/>
      <w:marTop w:val="0"/>
      <w:marBottom w:val="0"/>
      <w:divBdr>
        <w:top w:val="none" w:sz="0" w:space="0" w:color="auto"/>
        <w:left w:val="none" w:sz="0" w:space="0" w:color="auto"/>
        <w:bottom w:val="none" w:sz="0" w:space="0" w:color="auto"/>
        <w:right w:val="none" w:sz="0" w:space="0" w:color="auto"/>
      </w:divBdr>
    </w:div>
    <w:div w:id="1084379113">
      <w:bodyDiv w:val="1"/>
      <w:marLeft w:val="0"/>
      <w:marRight w:val="0"/>
      <w:marTop w:val="0"/>
      <w:marBottom w:val="0"/>
      <w:divBdr>
        <w:top w:val="none" w:sz="0" w:space="0" w:color="auto"/>
        <w:left w:val="none" w:sz="0" w:space="0" w:color="auto"/>
        <w:bottom w:val="none" w:sz="0" w:space="0" w:color="auto"/>
        <w:right w:val="none" w:sz="0" w:space="0" w:color="auto"/>
      </w:divBdr>
    </w:div>
    <w:div w:id="1084957180">
      <w:bodyDiv w:val="1"/>
      <w:marLeft w:val="0"/>
      <w:marRight w:val="0"/>
      <w:marTop w:val="0"/>
      <w:marBottom w:val="0"/>
      <w:divBdr>
        <w:top w:val="none" w:sz="0" w:space="0" w:color="auto"/>
        <w:left w:val="none" w:sz="0" w:space="0" w:color="auto"/>
        <w:bottom w:val="none" w:sz="0" w:space="0" w:color="auto"/>
        <w:right w:val="none" w:sz="0" w:space="0" w:color="auto"/>
      </w:divBdr>
    </w:div>
    <w:div w:id="1085033795">
      <w:bodyDiv w:val="1"/>
      <w:marLeft w:val="0"/>
      <w:marRight w:val="0"/>
      <w:marTop w:val="0"/>
      <w:marBottom w:val="0"/>
      <w:divBdr>
        <w:top w:val="none" w:sz="0" w:space="0" w:color="auto"/>
        <w:left w:val="none" w:sz="0" w:space="0" w:color="auto"/>
        <w:bottom w:val="none" w:sz="0" w:space="0" w:color="auto"/>
        <w:right w:val="none" w:sz="0" w:space="0" w:color="auto"/>
      </w:divBdr>
    </w:div>
    <w:div w:id="1085103731">
      <w:bodyDiv w:val="1"/>
      <w:marLeft w:val="0"/>
      <w:marRight w:val="0"/>
      <w:marTop w:val="0"/>
      <w:marBottom w:val="0"/>
      <w:divBdr>
        <w:top w:val="none" w:sz="0" w:space="0" w:color="auto"/>
        <w:left w:val="none" w:sz="0" w:space="0" w:color="auto"/>
        <w:bottom w:val="none" w:sz="0" w:space="0" w:color="auto"/>
        <w:right w:val="none" w:sz="0" w:space="0" w:color="auto"/>
      </w:divBdr>
    </w:div>
    <w:div w:id="1085808694">
      <w:bodyDiv w:val="1"/>
      <w:marLeft w:val="0"/>
      <w:marRight w:val="0"/>
      <w:marTop w:val="0"/>
      <w:marBottom w:val="0"/>
      <w:divBdr>
        <w:top w:val="none" w:sz="0" w:space="0" w:color="auto"/>
        <w:left w:val="none" w:sz="0" w:space="0" w:color="auto"/>
        <w:bottom w:val="none" w:sz="0" w:space="0" w:color="auto"/>
        <w:right w:val="none" w:sz="0" w:space="0" w:color="auto"/>
      </w:divBdr>
    </w:div>
    <w:div w:id="1086027891">
      <w:bodyDiv w:val="1"/>
      <w:marLeft w:val="0"/>
      <w:marRight w:val="0"/>
      <w:marTop w:val="0"/>
      <w:marBottom w:val="0"/>
      <w:divBdr>
        <w:top w:val="none" w:sz="0" w:space="0" w:color="auto"/>
        <w:left w:val="none" w:sz="0" w:space="0" w:color="auto"/>
        <w:bottom w:val="none" w:sz="0" w:space="0" w:color="auto"/>
        <w:right w:val="none" w:sz="0" w:space="0" w:color="auto"/>
      </w:divBdr>
    </w:div>
    <w:div w:id="1086145281">
      <w:bodyDiv w:val="1"/>
      <w:marLeft w:val="0"/>
      <w:marRight w:val="0"/>
      <w:marTop w:val="0"/>
      <w:marBottom w:val="0"/>
      <w:divBdr>
        <w:top w:val="none" w:sz="0" w:space="0" w:color="auto"/>
        <w:left w:val="none" w:sz="0" w:space="0" w:color="auto"/>
        <w:bottom w:val="none" w:sz="0" w:space="0" w:color="auto"/>
        <w:right w:val="none" w:sz="0" w:space="0" w:color="auto"/>
      </w:divBdr>
    </w:div>
    <w:div w:id="1086419541">
      <w:bodyDiv w:val="1"/>
      <w:marLeft w:val="0"/>
      <w:marRight w:val="0"/>
      <w:marTop w:val="0"/>
      <w:marBottom w:val="0"/>
      <w:divBdr>
        <w:top w:val="none" w:sz="0" w:space="0" w:color="auto"/>
        <w:left w:val="none" w:sz="0" w:space="0" w:color="auto"/>
        <w:bottom w:val="none" w:sz="0" w:space="0" w:color="auto"/>
        <w:right w:val="none" w:sz="0" w:space="0" w:color="auto"/>
      </w:divBdr>
    </w:div>
    <w:div w:id="1086614278">
      <w:bodyDiv w:val="1"/>
      <w:marLeft w:val="0"/>
      <w:marRight w:val="0"/>
      <w:marTop w:val="0"/>
      <w:marBottom w:val="0"/>
      <w:divBdr>
        <w:top w:val="none" w:sz="0" w:space="0" w:color="auto"/>
        <w:left w:val="none" w:sz="0" w:space="0" w:color="auto"/>
        <w:bottom w:val="none" w:sz="0" w:space="0" w:color="auto"/>
        <w:right w:val="none" w:sz="0" w:space="0" w:color="auto"/>
      </w:divBdr>
      <w:divsChild>
        <w:div w:id="1148279099">
          <w:marLeft w:val="360"/>
          <w:marRight w:val="0"/>
          <w:marTop w:val="200"/>
          <w:marBottom w:val="0"/>
          <w:divBdr>
            <w:top w:val="none" w:sz="0" w:space="0" w:color="auto"/>
            <w:left w:val="none" w:sz="0" w:space="0" w:color="auto"/>
            <w:bottom w:val="none" w:sz="0" w:space="0" w:color="auto"/>
            <w:right w:val="none" w:sz="0" w:space="0" w:color="auto"/>
          </w:divBdr>
        </w:div>
        <w:div w:id="1671561608">
          <w:marLeft w:val="1080"/>
          <w:marRight w:val="0"/>
          <w:marTop w:val="100"/>
          <w:marBottom w:val="0"/>
          <w:divBdr>
            <w:top w:val="none" w:sz="0" w:space="0" w:color="auto"/>
            <w:left w:val="none" w:sz="0" w:space="0" w:color="auto"/>
            <w:bottom w:val="none" w:sz="0" w:space="0" w:color="auto"/>
            <w:right w:val="none" w:sz="0" w:space="0" w:color="auto"/>
          </w:divBdr>
        </w:div>
        <w:div w:id="1835873965">
          <w:marLeft w:val="1080"/>
          <w:marRight w:val="0"/>
          <w:marTop w:val="100"/>
          <w:marBottom w:val="0"/>
          <w:divBdr>
            <w:top w:val="none" w:sz="0" w:space="0" w:color="auto"/>
            <w:left w:val="none" w:sz="0" w:space="0" w:color="auto"/>
            <w:bottom w:val="none" w:sz="0" w:space="0" w:color="auto"/>
            <w:right w:val="none" w:sz="0" w:space="0" w:color="auto"/>
          </w:divBdr>
        </w:div>
      </w:divsChild>
    </w:div>
    <w:div w:id="1087507731">
      <w:bodyDiv w:val="1"/>
      <w:marLeft w:val="0"/>
      <w:marRight w:val="0"/>
      <w:marTop w:val="0"/>
      <w:marBottom w:val="0"/>
      <w:divBdr>
        <w:top w:val="none" w:sz="0" w:space="0" w:color="auto"/>
        <w:left w:val="none" w:sz="0" w:space="0" w:color="auto"/>
        <w:bottom w:val="none" w:sz="0" w:space="0" w:color="auto"/>
        <w:right w:val="none" w:sz="0" w:space="0" w:color="auto"/>
      </w:divBdr>
    </w:div>
    <w:div w:id="1087847888">
      <w:bodyDiv w:val="1"/>
      <w:marLeft w:val="0"/>
      <w:marRight w:val="0"/>
      <w:marTop w:val="0"/>
      <w:marBottom w:val="0"/>
      <w:divBdr>
        <w:top w:val="none" w:sz="0" w:space="0" w:color="auto"/>
        <w:left w:val="none" w:sz="0" w:space="0" w:color="auto"/>
        <w:bottom w:val="none" w:sz="0" w:space="0" w:color="auto"/>
        <w:right w:val="none" w:sz="0" w:space="0" w:color="auto"/>
      </w:divBdr>
      <w:divsChild>
        <w:div w:id="887185593">
          <w:marLeft w:val="547"/>
          <w:marRight w:val="0"/>
          <w:marTop w:val="115"/>
          <w:marBottom w:val="0"/>
          <w:divBdr>
            <w:top w:val="none" w:sz="0" w:space="0" w:color="auto"/>
            <w:left w:val="none" w:sz="0" w:space="0" w:color="auto"/>
            <w:bottom w:val="none" w:sz="0" w:space="0" w:color="auto"/>
            <w:right w:val="none" w:sz="0" w:space="0" w:color="auto"/>
          </w:divBdr>
        </w:div>
        <w:div w:id="2105413681">
          <w:marLeft w:val="547"/>
          <w:marRight w:val="0"/>
          <w:marTop w:val="115"/>
          <w:marBottom w:val="0"/>
          <w:divBdr>
            <w:top w:val="none" w:sz="0" w:space="0" w:color="auto"/>
            <w:left w:val="none" w:sz="0" w:space="0" w:color="auto"/>
            <w:bottom w:val="none" w:sz="0" w:space="0" w:color="auto"/>
            <w:right w:val="none" w:sz="0" w:space="0" w:color="auto"/>
          </w:divBdr>
        </w:div>
      </w:divsChild>
    </w:div>
    <w:div w:id="1088112901">
      <w:bodyDiv w:val="1"/>
      <w:marLeft w:val="0"/>
      <w:marRight w:val="0"/>
      <w:marTop w:val="0"/>
      <w:marBottom w:val="0"/>
      <w:divBdr>
        <w:top w:val="none" w:sz="0" w:space="0" w:color="auto"/>
        <w:left w:val="none" w:sz="0" w:space="0" w:color="auto"/>
        <w:bottom w:val="none" w:sz="0" w:space="0" w:color="auto"/>
        <w:right w:val="none" w:sz="0" w:space="0" w:color="auto"/>
      </w:divBdr>
    </w:div>
    <w:div w:id="1089084517">
      <w:bodyDiv w:val="1"/>
      <w:marLeft w:val="0"/>
      <w:marRight w:val="0"/>
      <w:marTop w:val="0"/>
      <w:marBottom w:val="0"/>
      <w:divBdr>
        <w:top w:val="none" w:sz="0" w:space="0" w:color="auto"/>
        <w:left w:val="none" w:sz="0" w:space="0" w:color="auto"/>
        <w:bottom w:val="none" w:sz="0" w:space="0" w:color="auto"/>
        <w:right w:val="none" w:sz="0" w:space="0" w:color="auto"/>
      </w:divBdr>
    </w:div>
    <w:div w:id="1089086437">
      <w:bodyDiv w:val="1"/>
      <w:marLeft w:val="0"/>
      <w:marRight w:val="0"/>
      <w:marTop w:val="0"/>
      <w:marBottom w:val="0"/>
      <w:divBdr>
        <w:top w:val="none" w:sz="0" w:space="0" w:color="auto"/>
        <w:left w:val="none" w:sz="0" w:space="0" w:color="auto"/>
        <w:bottom w:val="none" w:sz="0" w:space="0" w:color="auto"/>
        <w:right w:val="none" w:sz="0" w:space="0" w:color="auto"/>
      </w:divBdr>
      <w:divsChild>
        <w:div w:id="352611576">
          <w:marLeft w:val="1166"/>
          <w:marRight w:val="0"/>
          <w:marTop w:val="125"/>
          <w:marBottom w:val="0"/>
          <w:divBdr>
            <w:top w:val="none" w:sz="0" w:space="0" w:color="auto"/>
            <w:left w:val="none" w:sz="0" w:space="0" w:color="auto"/>
            <w:bottom w:val="none" w:sz="0" w:space="0" w:color="auto"/>
            <w:right w:val="none" w:sz="0" w:space="0" w:color="auto"/>
          </w:divBdr>
        </w:div>
        <w:div w:id="353383812">
          <w:marLeft w:val="1166"/>
          <w:marRight w:val="0"/>
          <w:marTop w:val="125"/>
          <w:marBottom w:val="0"/>
          <w:divBdr>
            <w:top w:val="none" w:sz="0" w:space="0" w:color="auto"/>
            <w:left w:val="none" w:sz="0" w:space="0" w:color="auto"/>
            <w:bottom w:val="none" w:sz="0" w:space="0" w:color="auto"/>
            <w:right w:val="none" w:sz="0" w:space="0" w:color="auto"/>
          </w:divBdr>
        </w:div>
        <w:div w:id="374162115">
          <w:marLeft w:val="547"/>
          <w:marRight w:val="0"/>
          <w:marTop w:val="144"/>
          <w:marBottom w:val="0"/>
          <w:divBdr>
            <w:top w:val="none" w:sz="0" w:space="0" w:color="auto"/>
            <w:left w:val="none" w:sz="0" w:space="0" w:color="auto"/>
            <w:bottom w:val="none" w:sz="0" w:space="0" w:color="auto"/>
            <w:right w:val="none" w:sz="0" w:space="0" w:color="auto"/>
          </w:divBdr>
        </w:div>
        <w:div w:id="1541165820">
          <w:marLeft w:val="547"/>
          <w:marRight w:val="0"/>
          <w:marTop w:val="144"/>
          <w:marBottom w:val="0"/>
          <w:divBdr>
            <w:top w:val="none" w:sz="0" w:space="0" w:color="auto"/>
            <w:left w:val="none" w:sz="0" w:space="0" w:color="auto"/>
            <w:bottom w:val="none" w:sz="0" w:space="0" w:color="auto"/>
            <w:right w:val="none" w:sz="0" w:space="0" w:color="auto"/>
          </w:divBdr>
        </w:div>
        <w:div w:id="2036998220">
          <w:marLeft w:val="547"/>
          <w:marRight w:val="0"/>
          <w:marTop w:val="144"/>
          <w:marBottom w:val="0"/>
          <w:divBdr>
            <w:top w:val="none" w:sz="0" w:space="0" w:color="auto"/>
            <w:left w:val="none" w:sz="0" w:space="0" w:color="auto"/>
            <w:bottom w:val="none" w:sz="0" w:space="0" w:color="auto"/>
            <w:right w:val="none" w:sz="0" w:space="0" w:color="auto"/>
          </w:divBdr>
        </w:div>
      </w:divsChild>
    </w:div>
    <w:div w:id="1089499336">
      <w:bodyDiv w:val="1"/>
      <w:marLeft w:val="0"/>
      <w:marRight w:val="0"/>
      <w:marTop w:val="0"/>
      <w:marBottom w:val="0"/>
      <w:divBdr>
        <w:top w:val="none" w:sz="0" w:space="0" w:color="auto"/>
        <w:left w:val="none" w:sz="0" w:space="0" w:color="auto"/>
        <w:bottom w:val="none" w:sz="0" w:space="0" w:color="auto"/>
        <w:right w:val="none" w:sz="0" w:space="0" w:color="auto"/>
      </w:divBdr>
      <w:divsChild>
        <w:div w:id="391274611">
          <w:marLeft w:val="1166"/>
          <w:marRight w:val="0"/>
          <w:marTop w:val="125"/>
          <w:marBottom w:val="0"/>
          <w:divBdr>
            <w:top w:val="none" w:sz="0" w:space="0" w:color="auto"/>
            <w:left w:val="none" w:sz="0" w:space="0" w:color="auto"/>
            <w:bottom w:val="none" w:sz="0" w:space="0" w:color="auto"/>
            <w:right w:val="none" w:sz="0" w:space="0" w:color="auto"/>
          </w:divBdr>
        </w:div>
        <w:div w:id="660619794">
          <w:marLeft w:val="1166"/>
          <w:marRight w:val="0"/>
          <w:marTop w:val="125"/>
          <w:marBottom w:val="0"/>
          <w:divBdr>
            <w:top w:val="none" w:sz="0" w:space="0" w:color="auto"/>
            <w:left w:val="none" w:sz="0" w:space="0" w:color="auto"/>
            <w:bottom w:val="none" w:sz="0" w:space="0" w:color="auto"/>
            <w:right w:val="none" w:sz="0" w:space="0" w:color="auto"/>
          </w:divBdr>
        </w:div>
        <w:div w:id="1385444486">
          <w:marLeft w:val="1166"/>
          <w:marRight w:val="0"/>
          <w:marTop w:val="125"/>
          <w:marBottom w:val="0"/>
          <w:divBdr>
            <w:top w:val="none" w:sz="0" w:space="0" w:color="auto"/>
            <w:left w:val="none" w:sz="0" w:space="0" w:color="auto"/>
            <w:bottom w:val="none" w:sz="0" w:space="0" w:color="auto"/>
            <w:right w:val="none" w:sz="0" w:space="0" w:color="auto"/>
          </w:divBdr>
        </w:div>
        <w:div w:id="1413770531">
          <w:marLeft w:val="547"/>
          <w:marRight w:val="0"/>
          <w:marTop w:val="144"/>
          <w:marBottom w:val="0"/>
          <w:divBdr>
            <w:top w:val="none" w:sz="0" w:space="0" w:color="auto"/>
            <w:left w:val="none" w:sz="0" w:space="0" w:color="auto"/>
            <w:bottom w:val="none" w:sz="0" w:space="0" w:color="auto"/>
            <w:right w:val="none" w:sz="0" w:space="0" w:color="auto"/>
          </w:divBdr>
        </w:div>
        <w:div w:id="1833257404">
          <w:marLeft w:val="547"/>
          <w:marRight w:val="0"/>
          <w:marTop w:val="144"/>
          <w:marBottom w:val="0"/>
          <w:divBdr>
            <w:top w:val="none" w:sz="0" w:space="0" w:color="auto"/>
            <w:left w:val="none" w:sz="0" w:space="0" w:color="auto"/>
            <w:bottom w:val="none" w:sz="0" w:space="0" w:color="auto"/>
            <w:right w:val="none" w:sz="0" w:space="0" w:color="auto"/>
          </w:divBdr>
        </w:div>
        <w:div w:id="2091080274">
          <w:marLeft w:val="1166"/>
          <w:marRight w:val="0"/>
          <w:marTop w:val="125"/>
          <w:marBottom w:val="0"/>
          <w:divBdr>
            <w:top w:val="none" w:sz="0" w:space="0" w:color="auto"/>
            <w:left w:val="none" w:sz="0" w:space="0" w:color="auto"/>
            <w:bottom w:val="none" w:sz="0" w:space="0" w:color="auto"/>
            <w:right w:val="none" w:sz="0" w:space="0" w:color="auto"/>
          </w:divBdr>
        </w:div>
      </w:divsChild>
    </w:div>
    <w:div w:id="1089618690">
      <w:bodyDiv w:val="1"/>
      <w:marLeft w:val="0"/>
      <w:marRight w:val="0"/>
      <w:marTop w:val="0"/>
      <w:marBottom w:val="0"/>
      <w:divBdr>
        <w:top w:val="none" w:sz="0" w:space="0" w:color="auto"/>
        <w:left w:val="none" w:sz="0" w:space="0" w:color="auto"/>
        <w:bottom w:val="none" w:sz="0" w:space="0" w:color="auto"/>
        <w:right w:val="none" w:sz="0" w:space="0" w:color="auto"/>
      </w:divBdr>
    </w:div>
    <w:div w:id="1090278706">
      <w:bodyDiv w:val="1"/>
      <w:marLeft w:val="0"/>
      <w:marRight w:val="0"/>
      <w:marTop w:val="0"/>
      <w:marBottom w:val="0"/>
      <w:divBdr>
        <w:top w:val="none" w:sz="0" w:space="0" w:color="auto"/>
        <w:left w:val="none" w:sz="0" w:space="0" w:color="auto"/>
        <w:bottom w:val="none" w:sz="0" w:space="0" w:color="auto"/>
        <w:right w:val="none" w:sz="0" w:space="0" w:color="auto"/>
      </w:divBdr>
    </w:div>
    <w:div w:id="1090588993">
      <w:bodyDiv w:val="1"/>
      <w:marLeft w:val="0"/>
      <w:marRight w:val="0"/>
      <w:marTop w:val="0"/>
      <w:marBottom w:val="0"/>
      <w:divBdr>
        <w:top w:val="none" w:sz="0" w:space="0" w:color="auto"/>
        <w:left w:val="none" w:sz="0" w:space="0" w:color="auto"/>
        <w:bottom w:val="none" w:sz="0" w:space="0" w:color="auto"/>
        <w:right w:val="none" w:sz="0" w:space="0" w:color="auto"/>
      </w:divBdr>
    </w:div>
    <w:div w:id="1090732602">
      <w:bodyDiv w:val="1"/>
      <w:marLeft w:val="0"/>
      <w:marRight w:val="0"/>
      <w:marTop w:val="0"/>
      <w:marBottom w:val="0"/>
      <w:divBdr>
        <w:top w:val="none" w:sz="0" w:space="0" w:color="auto"/>
        <w:left w:val="none" w:sz="0" w:space="0" w:color="auto"/>
        <w:bottom w:val="none" w:sz="0" w:space="0" w:color="auto"/>
        <w:right w:val="none" w:sz="0" w:space="0" w:color="auto"/>
      </w:divBdr>
    </w:div>
    <w:div w:id="1091775145">
      <w:bodyDiv w:val="1"/>
      <w:marLeft w:val="0"/>
      <w:marRight w:val="0"/>
      <w:marTop w:val="0"/>
      <w:marBottom w:val="0"/>
      <w:divBdr>
        <w:top w:val="none" w:sz="0" w:space="0" w:color="auto"/>
        <w:left w:val="none" w:sz="0" w:space="0" w:color="auto"/>
        <w:bottom w:val="none" w:sz="0" w:space="0" w:color="auto"/>
        <w:right w:val="none" w:sz="0" w:space="0" w:color="auto"/>
      </w:divBdr>
    </w:div>
    <w:div w:id="1093164611">
      <w:bodyDiv w:val="1"/>
      <w:marLeft w:val="0"/>
      <w:marRight w:val="0"/>
      <w:marTop w:val="0"/>
      <w:marBottom w:val="0"/>
      <w:divBdr>
        <w:top w:val="none" w:sz="0" w:space="0" w:color="auto"/>
        <w:left w:val="none" w:sz="0" w:space="0" w:color="auto"/>
        <w:bottom w:val="none" w:sz="0" w:space="0" w:color="auto"/>
        <w:right w:val="none" w:sz="0" w:space="0" w:color="auto"/>
      </w:divBdr>
    </w:div>
    <w:div w:id="1094520140">
      <w:bodyDiv w:val="1"/>
      <w:marLeft w:val="0"/>
      <w:marRight w:val="0"/>
      <w:marTop w:val="0"/>
      <w:marBottom w:val="0"/>
      <w:divBdr>
        <w:top w:val="none" w:sz="0" w:space="0" w:color="auto"/>
        <w:left w:val="none" w:sz="0" w:space="0" w:color="auto"/>
        <w:bottom w:val="none" w:sz="0" w:space="0" w:color="auto"/>
        <w:right w:val="none" w:sz="0" w:space="0" w:color="auto"/>
      </w:divBdr>
    </w:div>
    <w:div w:id="1094785496">
      <w:bodyDiv w:val="1"/>
      <w:marLeft w:val="0"/>
      <w:marRight w:val="0"/>
      <w:marTop w:val="0"/>
      <w:marBottom w:val="0"/>
      <w:divBdr>
        <w:top w:val="none" w:sz="0" w:space="0" w:color="auto"/>
        <w:left w:val="none" w:sz="0" w:space="0" w:color="auto"/>
        <w:bottom w:val="none" w:sz="0" w:space="0" w:color="auto"/>
        <w:right w:val="none" w:sz="0" w:space="0" w:color="auto"/>
      </w:divBdr>
    </w:div>
    <w:div w:id="1096099300">
      <w:bodyDiv w:val="1"/>
      <w:marLeft w:val="0"/>
      <w:marRight w:val="0"/>
      <w:marTop w:val="0"/>
      <w:marBottom w:val="0"/>
      <w:divBdr>
        <w:top w:val="none" w:sz="0" w:space="0" w:color="auto"/>
        <w:left w:val="none" w:sz="0" w:space="0" w:color="auto"/>
        <w:bottom w:val="none" w:sz="0" w:space="0" w:color="auto"/>
        <w:right w:val="none" w:sz="0" w:space="0" w:color="auto"/>
      </w:divBdr>
    </w:div>
    <w:div w:id="1096750694">
      <w:bodyDiv w:val="1"/>
      <w:marLeft w:val="0"/>
      <w:marRight w:val="0"/>
      <w:marTop w:val="0"/>
      <w:marBottom w:val="0"/>
      <w:divBdr>
        <w:top w:val="none" w:sz="0" w:space="0" w:color="auto"/>
        <w:left w:val="none" w:sz="0" w:space="0" w:color="auto"/>
        <w:bottom w:val="none" w:sz="0" w:space="0" w:color="auto"/>
        <w:right w:val="none" w:sz="0" w:space="0" w:color="auto"/>
      </w:divBdr>
      <w:divsChild>
        <w:div w:id="541216504">
          <w:marLeft w:val="547"/>
          <w:marRight w:val="0"/>
          <w:marTop w:val="134"/>
          <w:marBottom w:val="120"/>
          <w:divBdr>
            <w:top w:val="none" w:sz="0" w:space="0" w:color="auto"/>
            <w:left w:val="none" w:sz="0" w:space="0" w:color="auto"/>
            <w:bottom w:val="none" w:sz="0" w:space="0" w:color="auto"/>
            <w:right w:val="none" w:sz="0" w:space="0" w:color="auto"/>
          </w:divBdr>
        </w:div>
        <w:div w:id="1886524939">
          <w:marLeft w:val="547"/>
          <w:marRight w:val="0"/>
          <w:marTop w:val="134"/>
          <w:marBottom w:val="120"/>
          <w:divBdr>
            <w:top w:val="none" w:sz="0" w:space="0" w:color="auto"/>
            <w:left w:val="none" w:sz="0" w:space="0" w:color="auto"/>
            <w:bottom w:val="none" w:sz="0" w:space="0" w:color="auto"/>
            <w:right w:val="none" w:sz="0" w:space="0" w:color="auto"/>
          </w:divBdr>
        </w:div>
      </w:divsChild>
    </w:div>
    <w:div w:id="1097483708">
      <w:bodyDiv w:val="1"/>
      <w:marLeft w:val="0"/>
      <w:marRight w:val="0"/>
      <w:marTop w:val="0"/>
      <w:marBottom w:val="0"/>
      <w:divBdr>
        <w:top w:val="none" w:sz="0" w:space="0" w:color="auto"/>
        <w:left w:val="none" w:sz="0" w:space="0" w:color="auto"/>
        <w:bottom w:val="none" w:sz="0" w:space="0" w:color="auto"/>
        <w:right w:val="none" w:sz="0" w:space="0" w:color="auto"/>
      </w:divBdr>
    </w:div>
    <w:div w:id="1097949108">
      <w:bodyDiv w:val="1"/>
      <w:marLeft w:val="0"/>
      <w:marRight w:val="0"/>
      <w:marTop w:val="0"/>
      <w:marBottom w:val="0"/>
      <w:divBdr>
        <w:top w:val="none" w:sz="0" w:space="0" w:color="auto"/>
        <w:left w:val="none" w:sz="0" w:space="0" w:color="auto"/>
        <w:bottom w:val="none" w:sz="0" w:space="0" w:color="auto"/>
        <w:right w:val="none" w:sz="0" w:space="0" w:color="auto"/>
      </w:divBdr>
    </w:div>
    <w:div w:id="1098793154">
      <w:bodyDiv w:val="1"/>
      <w:marLeft w:val="0"/>
      <w:marRight w:val="0"/>
      <w:marTop w:val="0"/>
      <w:marBottom w:val="0"/>
      <w:divBdr>
        <w:top w:val="none" w:sz="0" w:space="0" w:color="auto"/>
        <w:left w:val="none" w:sz="0" w:space="0" w:color="auto"/>
        <w:bottom w:val="none" w:sz="0" w:space="0" w:color="auto"/>
        <w:right w:val="none" w:sz="0" w:space="0" w:color="auto"/>
      </w:divBdr>
    </w:div>
    <w:div w:id="1099136961">
      <w:bodyDiv w:val="1"/>
      <w:marLeft w:val="0"/>
      <w:marRight w:val="0"/>
      <w:marTop w:val="0"/>
      <w:marBottom w:val="0"/>
      <w:divBdr>
        <w:top w:val="none" w:sz="0" w:space="0" w:color="auto"/>
        <w:left w:val="none" w:sz="0" w:space="0" w:color="auto"/>
        <w:bottom w:val="none" w:sz="0" w:space="0" w:color="auto"/>
        <w:right w:val="none" w:sz="0" w:space="0" w:color="auto"/>
      </w:divBdr>
    </w:div>
    <w:div w:id="1099251718">
      <w:bodyDiv w:val="1"/>
      <w:marLeft w:val="0"/>
      <w:marRight w:val="0"/>
      <w:marTop w:val="0"/>
      <w:marBottom w:val="0"/>
      <w:divBdr>
        <w:top w:val="none" w:sz="0" w:space="0" w:color="auto"/>
        <w:left w:val="none" w:sz="0" w:space="0" w:color="auto"/>
        <w:bottom w:val="none" w:sz="0" w:space="0" w:color="auto"/>
        <w:right w:val="none" w:sz="0" w:space="0" w:color="auto"/>
      </w:divBdr>
    </w:div>
    <w:div w:id="1099447451">
      <w:bodyDiv w:val="1"/>
      <w:marLeft w:val="0"/>
      <w:marRight w:val="0"/>
      <w:marTop w:val="0"/>
      <w:marBottom w:val="0"/>
      <w:divBdr>
        <w:top w:val="none" w:sz="0" w:space="0" w:color="auto"/>
        <w:left w:val="none" w:sz="0" w:space="0" w:color="auto"/>
        <w:bottom w:val="none" w:sz="0" w:space="0" w:color="auto"/>
        <w:right w:val="none" w:sz="0" w:space="0" w:color="auto"/>
      </w:divBdr>
    </w:div>
    <w:div w:id="1100295545">
      <w:bodyDiv w:val="1"/>
      <w:marLeft w:val="0"/>
      <w:marRight w:val="0"/>
      <w:marTop w:val="0"/>
      <w:marBottom w:val="0"/>
      <w:divBdr>
        <w:top w:val="none" w:sz="0" w:space="0" w:color="auto"/>
        <w:left w:val="none" w:sz="0" w:space="0" w:color="auto"/>
        <w:bottom w:val="none" w:sz="0" w:space="0" w:color="auto"/>
        <w:right w:val="none" w:sz="0" w:space="0" w:color="auto"/>
      </w:divBdr>
    </w:div>
    <w:div w:id="1100688271">
      <w:bodyDiv w:val="1"/>
      <w:marLeft w:val="0"/>
      <w:marRight w:val="0"/>
      <w:marTop w:val="0"/>
      <w:marBottom w:val="0"/>
      <w:divBdr>
        <w:top w:val="none" w:sz="0" w:space="0" w:color="auto"/>
        <w:left w:val="none" w:sz="0" w:space="0" w:color="auto"/>
        <w:bottom w:val="none" w:sz="0" w:space="0" w:color="auto"/>
        <w:right w:val="none" w:sz="0" w:space="0" w:color="auto"/>
      </w:divBdr>
    </w:div>
    <w:div w:id="1101291642">
      <w:bodyDiv w:val="1"/>
      <w:marLeft w:val="0"/>
      <w:marRight w:val="0"/>
      <w:marTop w:val="0"/>
      <w:marBottom w:val="0"/>
      <w:divBdr>
        <w:top w:val="none" w:sz="0" w:space="0" w:color="auto"/>
        <w:left w:val="none" w:sz="0" w:space="0" w:color="auto"/>
        <w:bottom w:val="none" w:sz="0" w:space="0" w:color="auto"/>
        <w:right w:val="none" w:sz="0" w:space="0" w:color="auto"/>
      </w:divBdr>
      <w:divsChild>
        <w:div w:id="108856949">
          <w:marLeft w:val="1354"/>
          <w:marRight w:val="0"/>
          <w:marTop w:val="120"/>
          <w:marBottom w:val="0"/>
          <w:divBdr>
            <w:top w:val="none" w:sz="0" w:space="0" w:color="auto"/>
            <w:left w:val="none" w:sz="0" w:space="0" w:color="auto"/>
            <w:bottom w:val="none" w:sz="0" w:space="0" w:color="auto"/>
            <w:right w:val="none" w:sz="0" w:space="0" w:color="auto"/>
          </w:divBdr>
        </w:div>
        <w:div w:id="169299426">
          <w:marLeft w:val="806"/>
          <w:marRight w:val="0"/>
          <w:marTop w:val="120"/>
          <w:marBottom w:val="0"/>
          <w:divBdr>
            <w:top w:val="none" w:sz="0" w:space="0" w:color="auto"/>
            <w:left w:val="none" w:sz="0" w:space="0" w:color="auto"/>
            <w:bottom w:val="none" w:sz="0" w:space="0" w:color="auto"/>
            <w:right w:val="none" w:sz="0" w:space="0" w:color="auto"/>
          </w:divBdr>
        </w:div>
        <w:div w:id="541945581">
          <w:marLeft w:val="1886"/>
          <w:marRight w:val="0"/>
          <w:marTop w:val="120"/>
          <w:marBottom w:val="0"/>
          <w:divBdr>
            <w:top w:val="none" w:sz="0" w:space="0" w:color="auto"/>
            <w:left w:val="none" w:sz="0" w:space="0" w:color="auto"/>
            <w:bottom w:val="none" w:sz="0" w:space="0" w:color="auto"/>
            <w:right w:val="none" w:sz="0" w:space="0" w:color="auto"/>
          </w:divBdr>
        </w:div>
        <w:div w:id="823667123">
          <w:marLeft w:val="1886"/>
          <w:marRight w:val="0"/>
          <w:marTop w:val="120"/>
          <w:marBottom w:val="0"/>
          <w:divBdr>
            <w:top w:val="none" w:sz="0" w:space="0" w:color="auto"/>
            <w:left w:val="none" w:sz="0" w:space="0" w:color="auto"/>
            <w:bottom w:val="none" w:sz="0" w:space="0" w:color="auto"/>
            <w:right w:val="none" w:sz="0" w:space="0" w:color="auto"/>
          </w:divBdr>
        </w:div>
        <w:div w:id="973144224">
          <w:marLeft w:val="1354"/>
          <w:marRight w:val="0"/>
          <w:marTop w:val="120"/>
          <w:marBottom w:val="0"/>
          <w:divBdr>
            <w:top w:val="none" w:sz="0" w:space="0" w:color="auto"/>
            <w:left w:val="none" w:sz="0" w:space="0" w:color="auto"/>
            <w:bottom w:val="none" w:sz="0" w:space="0" w:color="auto"/>
            <w:right w:val="none" w:sz="0" w:space="0" w:color="auto"/>
          </w:divBdr>
        </w:div>
        <w:div w:id="1139542328">
          <w:marLeft w:val="2434"/>
          <w:marRight w:val="0"/>
          <w:marTop w:val="120"/>
          <w:marBottom w:val="0"/>
          <w:divBdr>
            <w:top w:val="none" w:sz="0" w:space="0" w:color="auto"/>
            <w:left w:val="none" w:sz="0" w:space="0" w:color="auto"/>
            <w:bottom w:val="none" w:sz="0" w:space="0" w:color="auto"/>
            <w:right w:val="none" w:sz="0" w:space="0" w:color="auto"/>
          </w:divBdr>
        </w:div>
        <w:div w:id="1811819453">
          <w:marLeft w:val="1886"/>
          <w:marRight w:val="0"/>
          <w:marTop w:val="120"/>
          <w:marBottom w:val="0"/>
          <w:divBdr>
            <w:top w:val="none" w:sz="0" w:space="0" w:color="auto"/>
            <w:left w:val="none" w:sz="0" w:space="0" w:color="auto"/>
            <w:bottom w:val="none" w:sz="0" w:space="0" w:color="auto"/>
            <w:right w:val="none" w:sz="0" w:space="0" w:color="auto"/>
          </w:divBdr>
        </w:div>
        <w:div w:id="1911038550">
          <w:marLeft w:val="1886"/>
          <w:marRight w:val="0"/>
          <w:marTop w:val="120"/>
          <w:marBottom w:val="0"/>
          <w:divBdr>
            <w:top w:val="none" w:sz="0" w:space="0" w:color="auto"/>
            <w:left w:val="none" w:sz="0" w:space="0" w:color="auto"/>
            <w:bottom w:val="none" w:sz="0" w:space="0" w:color="auto"/>
            <w:right w:val="none" w:sz="0" w:space="0" w:color="auto"/>
          </w:divBdr>
        </w:div>
        <w:div w:id="2086760540">
          <w:marLeft w:val="1886"/>
          <w:marRight w:val="0"/>
          <w:marTop w:val="120"/>
          <w:marBottom w:val="0"/>
          <w:divBdr>
            <w:top w:val="none" w:sz="0" w:space="0" w:color="auto"/>
            <w:left w:val="none" w:sz="0" w:space="0" w:color="auto"/>
            <w:bottom w:val="none" w:sz="0" w:space="0" w:color="auto"/>
            <w:right w:val="none" w:sz="0" w:space="0" w:color="auto"/>
          </w:divBdr>
        </w:div>
      </w:divsChild>
    </w:div>
    <w:div w:id="1101413380">
      <w:bodyDiv w:val="1"/>
      <w:marLeft w:val="0"/>
      <w:marRight w:val="0"/>
      <w:marTop w:val="0"/>
      <w:marBottom w:val="0"/>
      <w:divBdr>
        <w:top w:val="none" w:sz="0" w:space="0" w:color="auto"/>
        <w:left w:val="none" w:sz="0" w:space="0" w:color="auto"/>
        <w:bottom w:val="none" w:sz="0" w:space="0" w:color="auto"/>
        <w:right w:val="none" w:sz="0" w:space="0" w:color="auto"/>
      </w:divBdr>
    </w:div>
    <w:div w:id="1101530698">
      <w:bodyDiv w:val="1"/>
      <w:marLeft w:val="0"/>
      <w:marRight w:val="0"/>
      <w:marTop w:val="0"/>
      <w:marBottom w:val="0"/>
      <w:divBdr>
        <w:top w:val="none" w:sz="0" w:space="0" w:color="auto"/>
        <w:left w:val="none" w:sz="0" w:space="0" w:color="auto"/>
        <w:bottom w:val="none" w:sz="0" w:space="0" w:color="auto"/>
        <w:right w:val="none" w:sz="0" w:space="0" w:color="auto"/>
      </w:divBdr>
    </w:div>
    <w:div w:id="1102647638">
      <w:bodyDiv w:val="1"/>
      <w:marLeft w:val="0"/>
      <w:marRight w:val="0"/>
      <w:marTop w:val="0"/>
      <w:marBottom w:val="0"/>
      <w:divBdr>
        <w:top w:val="none" w:sz="0" w:space="0" w:color="auto"/>
        <w:left w:val="none" w:sz="0" w:space="0" w:color="auto"/>
        <w:bottom w:val="none" w:sz="0" w:space="0" w:color="auto"/>
        <w:right w:val="none" w:sz="0" w:space="0" w:color="auto"/>
      </w:divBdr>
    </w:div>
    <w:div w:id="1102839843">
      <w:bodyDiv w:val="1"/>
      <w:marLeft w:val="0"/>
      <w:marRight w:val="0"/>
      <w:marTop w:val="0"/>
      <w:marBottom w:val="0"/>
      <w:divBdr>
        <w:top w:val="none" w:sz="0" w:space="0" w:color="auto"/>
        <w:left w:val="none" w:sz="0" w:space="0" w:color="auto"/>
        <w:bottom w:val="none" w:sz="0" w:space="0" w:color="auto"/>
        <w:right w:val="none" w:sz="0" w:space="0" w:color="auto"/>
      </w:divBdr>
    </w:div>
    <w:div w:id="1103191378">
      <w:bodyDiv w:val="1"/>
      <w:marLeft w:val="0"/>
      <w:marRight w:val="0"/>
      <w:marTop w:val="0"/>
      <w:marBottom w:val="0"/>
      <w:divBdr>
        <w:top w:val="none" w:sz="0" w:space="0" w:color="auto"/>
        <w:left w:val="none" w:sz="0" w:space="0" w:color="auto"/>
        <w:bottom w:val="none" w:sz="0" w:space="0" w:color="auto"/>
        <w:right w:val="none" w:sz="0" w:space="0" w:color="auto"/>
      </w:divBdr>
    </w:div>
    <w:div w:id="1103693515">
      <w:bodyDiv w:val="1"/>
      <w:marLeft w:val="0"/>
      <w:marRight w:val="0"/>
      <w:marTop w:val="0"/>
      <w:marBottom w:val="0"/>
      <w:divBdr>
        <w:top w:val="none" w:sz="0" w:space="0" w:color="auto"/>
        <w:left w:val="none" w:sz="0" w:space="0" w:color="auto"/>
        <w:bottom w:val="none" w:sz="0" w:space="0" w:color="auto"/>
        <w:right w:val="none" w:sz="0" w:space="0" w:color="auto"/>
      </w:divBdr>
    </w:div>
    <w:div w:id="1104034272">
      <w:bodyDiv w:val="1"/>
      <w:marLeft w:val="0"/>
      <w:marRight w:val="0"/>
      <w:marTop w:val="0"/>
      <w:marBottom w:val="0"/>
      <w:divBdr>
        <w:top w:val="none" w:sz="0" w:space="0" w:color="auto"/>
        <w:left w:val="none" w:sz="0" w:space="0" w:color="auto"/>
        <w:bottom w:val="none" w:sz="0" w:space="0" w:color="auto"/>
        <w:right w:val="none" w:sz="0" w:space="0" w:color="auto"/>
      </w:divBdr>
    </w:div>
    <w:div w:id="1104611836">
      <w:bodyDiv w:val="1"/>
      <w:marLeft w:val="0"/>
      <w:marRight w:val="0"/>
      <w:marTop w:val="0"/>
      <w:marBottom w:val="0"/>
      <w:divBdr>
        <w:top w:val="none" w:sz="0" w:space="0" w:color="auto"/>
        <w:left w:val="none" w:sz="0" w:space="0" w:color="auto"/>
        <w:bottom w:val="none" w:sz="0" w:space="0" w:color="auto"/>
        <w:right w:val="none" w:sz="0" w:space="0" w:color="auto"/>
      </w:divBdr>
    </w:div>
    <w:div w:id="1104837266">
      <w:bodyDiv w:val="1"/>
      <w:marLeft w:val="0"/>
      <w:marRight w:val="0"/>
      <w:marTop w:val="0"/>
      <w:marBottom w:val="0"/>
      <w:divBdr>
        <w:top w:val="none" w:sz="0" w:space="0" w:color="auto"/>
        <w:left w:val="none" w:sz="0" w:space="0" w:color="auto"/>
        <w:bottom w:val="none" w:sz="0" w:space="0" w:color="auto"/>
        <w:right w:val="none" w:sz="0" w:space="0" w:color="auto"/>
      </w:divBdr>
      <w:divsChild>
        <w:div w:id="162014385">
          <w:marLeft w:val="1800"/>
          <w:marRight w:val="0"/>
          <w:marTop w:val="100"/>
          <w:marBottom w:val="0"/>
          <w:divBdr>
            <w:top w:val="none" w:sz="0" w:space="0" w:color="auto"/>
            <w:left w:val="none" w:sz="0" w:space="0" w:color="auto"/>
            <w:bottom w:val="none" w:sz="0" w:space="0" w:color="auto"/>
            <w:right w:val="none" w:sz="0" w:space="0" w:color="auto"/>
          </w:divBdr>
        </w:div>
        <w:div w:id="291637875">
          <w:marLeft w:val="1080"/>
          <w:marRight w:val="0"/>
          <w:marTop w:val="100"/>
          <w:marBottom w:val="0"/>
          <w:divBdr>
            <w:top w:val="none" w:sz="0" w:space="0" w:color="auto"/>
            <w:left w:val="none" w:sz="0" w:space="0" w:color="auto"/>
            <w:bottom w:val="none" w:sz="0" w:space="0" w:color="auto"/>
            <w:right w:val="none" w:sz="0" w:space="0" w:color="auto"/>
          </w:divBdr>
        </w:div>
        <w:div w:id="589855059">
          <w:marLeft w:val="360"/>
          <w:marRight w:val="0"/>
          <w:marTop w:val="200"/>
          <w:marBottom w:val="0"/>
          <w:divBdr>
            <w:top w:val="none" w:sz="0" w:space="0" w:color="auto"/>
            <w:left w:val="none" w:sz="0" w:space="0" w:color="auto"/>
            <w:bottom w:val="none" w:sz="0" w:space="0" w:color="auto"/>
            <w:right w:val="none" w:sz="0" w:space="0" w:color="auto"/>
          </w:divBdr>
        </w:div>
        <w:div w:id="631205564">
          <w:marLeft w:val="1080"/>
          <w:marRight w:val="0"/>
          <w:marTop w:val="100"/>
          <w:marBottom w:val="0"/>
          <w:divBdr>
            <w:top w:val="none" w:sz="0" w:space="0" w:color="auto"/>
            <w:left w:val="none" w:sz="0" w:space="0" w:color="auto"/>
            <w:bottom w:val="none" w:sz="0" w:space="0" w:color="auto"/>
            <w:right w:val="none" w:sz="0" w:space="0" w:color="auto"/>
          </w:divBdr>
        </w:div>
        <w:div w:id="1127309432">
          <w:marLeft w:val="1800"/>
          <w:marRight w:val="0"/>
          <w:marTop w:val="100"/>
          <w:marBottom w:val="0"/>
          <w:divBdr>
            <w:top w:val="none" w:sz="0" w:space="0" w:color="auto"/>
            <w:left w:val="none" w:sz="0" w:space="0" w:color="auto"/>
            <w:bottom w:val="none" w:sz="0" w:space="0" w:color="auto"/>
            <w:right w:val="none" w:sz="0" w:space="0" w:color="auto"/>
          </w:divBdr>
        </w:div>
        <w:div w:id="1449735138">
          <w:marLeft w:val="360"/>
          <w:marRight w:val="0"/>
          <w:marTop w:val="200"/>
          <w:marBottom w:val="0"/>
          <w:divBdr>
            <w:top w:val="none" w:sz="0" w:space="0" w:color="auto"/>
            <w:left w:val="none" w:sz="0" w:space="0" w:color="auto"/>
            <w:bottom w:val="none" w:sz="0" w:space="0" w:color="auto"/>
            <w:right w:val="none" w:sz="0" w:space="0" w:color="auto"/>
          </w:divBdr>
        </w:div>
        <w:div w:id="1944604751">
          <w:marLeft w:val="1800"/>
          <w:marRight w:val="0"/>
          <w:marTop w:val="100"/>
          <w:marBottom w:val="0"/>
          <w:divBdr>
            <w:top w:val="none" w:sz="0" w:space="0" w:color="auto"/>
            <w:left w:val="none" w:sz="0" w:space="0" w:color="auto"/>
            <w:bottom w:val="none" w:sz="0" w:space="0" w:color="auto"/>
            <w:right w:val="none" w:sz="0" w:space="0" w:color="auto"/>
          </w:divBdr>
        </w:div>
        <w:div w:id="2055615742">
          <w:marLeft w:val="1800"/>
          <w:marRight w:val="0"/>
          <w:marTop w:val="100"/>
          <w:marBottom w:val="0"/>
          <w:divBdr>
            <w:top w:val="none" w:sz="0" w:space="0" w:color="auto"/>
            <w:left w:val="none" w:sz="0" w:space="0" w:color="auto"/>
            <w:bottom w:val="none" w:sz="0" w:space="0" w:color="auto"/>
            <w:right w:val="none" w:sz="0" w:space="0" w:color="auto"/>
          </w:divBdr>
        </w:div>
        <w:div w:id="2114736949">
          <w:marLeft w:val="1080"/>
          <w:marRight w:val="0"/>
          <w:marTop w:val="100"/>
          <w:marBottom w:val="0"/>
          <w:divBdr>
            <w:top w:val="none" w:sz="0" w:space="0" w:color="auto"/>
            <w:left w:val="none" w:sz="0" w:space="0" w:color="auto"/>
            <w:bottom w:val="none" w:sz="0" w:space="0" w:color="auto"/>
            <w:right w:val="none" w:sz="0" w:space="0" w:color="auto"/>
          </w:divBdr>
        </w:div>
      </w:divsChild>
    </w:div>
    <w:div w:id="1105274646">
      <w:bodyDiv w:val="1"/>
      <w:marLeft w:val="0"/>
      <w:marRight w:val="0"/>
      <w:marTop w:val="0"/>
      <w:marBottom w:val="0"/>
      <w:divBdr>
        <w:top w:val="none" w:sz="0" w:space="0" w:color="auto"/>
        <w:left w:val="none" w:sz="0" w:space="0" w:color="auto"/>
        <w:bottom w:val="none" w:sz="0" w:space="0" w:color="auto"/>
        <w:right w:val="none" w:sz="0" w:space="0" w:color="auto"/>
      </w:divBdr>
    </w:div>
    <w:div w:id="1105688178">
      <w:bodyDiv w:val="1"/>
      <w:marLeft w:val="0"/>
      <w:marRight w:val="0"/>
      <w:marTop w:val="0"/>
      <w:marBottom w:val="0"/>
      <w:divBdr>
        <w:top w:val="none" w:sz="0" w:space="0" w:color="auto"/>
        <w:left w:val="none" w:sz="0" w:space="0" w:color="auto"/>
        <w:bottom w:val="none" w:sz="0" w:space="0" w:color="auto"/>
        <w:right w:val="none" w:sz="0" w:space="0" w:color="auto"/>
      </w:divBdr>
      <w:divsChild>
        <w:div w:id="165287005">
          <w:marLeft w:val="1166"/>
          <w:marRight w:val="0"/>
          <w:marTop w:val="67"/>
          <w:marBottom w:val="0"/>
          <w:divBdr>
            <w:top w:val="none" w:sz="0" w:space="0" w:color="auto"/>
            <w:left w:val="none" w:sz="0" w:space="0" w:color="auto"/>
            <w:bottom w:val="none" w:sz="0" w:space="0" w:color="auto"/>
            <w:right w:val="none" w:sz="0" w:space="0" w:color="auto"/>
          </w:divBdr>
        </w:div>
        <w:div w:id="171840617">
          <w:marLeft w:val="2520"/>
          <w:marRight w:val="0"/>
          <w:marTop w:val="53"/>
          <w:marBottom w:val="0"/>
          <w:divBdr>
            <w:top w:val="none" w:sz="0" w:space="0" w:color="auto"/>
            <w:left w:val="none" w:sz="0" w:space="0" w:color="auto"/>
            <w:bottom w:val="none" w:sz="0" w:space="0" w:color="auto"/>
            <w:right w:val="none" w:sz="0" w:space="0" w:color="auto"/>
          </w:divBdr>
        </w:div>
        <w:div w:id="399408343">
          <w:marLeft w:val="1800"/>
          <w:marRight w:val="0"/>
          <w:marTop w:val="62"/>
          <w:marBottom w:val="0"/>
          <w:divBdr>
            <w:top w:val="none" w:sz="0" w:space="0" w:color="auto"/>
            <w:left w:val="none" w:sz="0" w:space="0" w:color="auto"/>
            <w:bottom w:val="none" w:sz="0" w:space="0" w:color="auto"/>
            <w:right w:val="none" w:sz="0" w:space="0" w:color="auto"/>
          </w:divBdr>
        </w:div>
        <w:div w:id="564947475">
          <w:marLeft w:val="2520"/>
          <w:marRight w:val="0"/>
          <w:marTop w:val="53"/>
          <w:marBottom w:val="0"/>
          <w:divBdr>
            <w:top w:val="none" w:sz="0" w:space="0" w:color="auto"/>
            <w:left w:val="none" w:sz="0" w:space="0" w:color="auto"/>
            <w:bottom w:val="none" w:sz="0" w:space="0" w:color="auto"/>
            <w:right w:val="none" w:sz="0" w:space="0" w:color="auto"/>
          </w:divBdr>
        </w:div>
        <w:div w:id="658852408">
          <w:marLeft w:val="2520"/>
          <w:marRight w:val="0"/>
          <w:marTop w:val="53"/>
          <w:marBottom w:val="0"/>
          <w:divBdr>
            <w:top w:val="none" w:sz="0" w:space="0" w:color="auto"/>
            <w:left w:val="none" w:sz="0" w:space="0" w:color="auto"/>
            <w:bottom w:val="none" w:sz="0" w:space="0" w:color="auto"/>
            <w:right w:val="none" w:sz="0" w:space="0" w:color="auto"/>
          </w:divBdr>
        </w:div>
        <w:div w:id="833953582">
          <w:marLeft w:val="2520"/>
          <w:marRight w:val="0"/>
          <w:marTop w:val="53"/>
          <w:marBottom w:val="0"/>
          <w:divBdr>
            <w:top w:val="none" w:sz="0" w:space="0" w:color="auto"/>
            <w:left w:val="none" w:sz="0" w:space="0" w:color="auto"/>
            <w:bottom w:val="none" w:sz="0" w:space="0" w:color="auto"/>
            <w:right w:val="none" w:sz="0" w:space="0" w:color="auto"/>
          </w:divBdr>
        </w:div>
        <w:div w:id="850605436">
          <w:marLeft w:val="2520"/>
          <w:marRight w:val="0"/>
          <w:marTop w:val="53"/>
          <w:marBottom w:val="0"/>
          <w:divBdr>
            <w:top w:val="none" w:sz="0" w:space="0" w:color="auto"/>
            <w:left w:val="none" w:sz="0" w:space="0" w:color="auto"/>
            <w:bottom w:val="none" w:sz="0" w:space="0" w:color="auto"/>
            <w:right w:val="none" w:sz="0" w:space="0" w:color="auto"/>
          </w:divBdr>
        </w:div>
        <w:div w:id="1199471229">
          <w:marLeft w:val="2520"/>
          <w:marRight w:val="0"/>
          <w:marTop w:val="53"/>
          <w:marBottom w:val="0"/>
          <w:divBdr>
            <w:top w:val="none" w:sz="0" w:space="0" w:color="auto"/>
            <w:left w:val="none" w:sz="0" w:space="0" w:color="auto"/>
            <w:bottom w:val="none" w:sz="0" w:space="0" w:color="auto"/>
            <w:right w:val="none" w:sz="0" w:space="0" w:color="auto"/>
          </w:divBdr>
        </w:div>
        <w:div w:id="1209688476">
          <w:marLeft w:val="1800"/>
          <w:marRight w:val="0"/>
          <w:marTop w:val="62"/>
          <w:marBottom w:val="0"/>
          <w:divBdr>
            <w:top w:val="none" w:sz="0" w:space="0" w:color="auto"/>
            <w:left w:val="none" w:sz="0" w:space="0" w:color="auto"/>
            <w:bottom w:val="none" w:sz="0" w:space="0" w:color="auto"/>
            <w:right w:val="none" w:sz="0" w:space="0" w:color="auto"/>
          </w:divBdr>
        </w:div>
        <w:div w:id="1326780645">
          <w:marLeft w:val="2520"/>
          <w:marRight w:val="0"/>
          <w:marTop w:val="53"/>
          <w:marBottom w:val="0"/>
          <w:divBdr>
            <w:top w:val="none" w:sz="0" w:space="0" w:color="auto"/>
            <w:left w:val="none" w:sz="0" w:space="0" w:color="auto"/>
            <w:bottom w:val="none" w:sz="0" w:space="0" w:color="auto"/>
            <w:right w:val="none" w:sz="0" w:space="0" w:color="auto"/>
          </w:divBdr>
        </w:div>
        <w:div w:id="1411197503">
          <w:marLeft w:val="2520"/>
          <w:marRight w:val="0"/>
          <w:marTop w:val="53"/>
          <w:marBottom w:val="0"/>
          <w:divBdr>
            <w:top w:val="none" w:sz="0" w:space="0" w:color="auto"/>
            <w:left w:val="none" w:sz="0" w:space="0" w:color="auto"/>
            <w:bottom w:val="none" w:sz="0" w:space="0" w:color="auto"/>
            <w:right w:val="none" w:sz="0" w:space="0" w:color="auto"/>
          </w:divBdr>
        </w:div>
        <w:div w:id="1419643115">
          <w:marLeft w:val="3240"/>
          <w:marRight w:val="0"/>
          <w:marTop w:val="53"/>
          <w:marBottom w:val="0"/>
          <w:divBdr>
            <w:top w:val="none" w:sz="0" w:space="0" w:color="auto"/>
            <w:left w:val="none" w:sz="0" w:space="0" w:color="auto"/>
            <w:bottom w:val="none" w:sz="0" w:space="0" w:color="auto"/>
            <w:right w:val="none" w:sz="0" w:space="0" w:color="auto"/>
          </w:divBdr>
        </w:div>
        <w:div w:id="1475366811">
          <w:marLeft w:val="547"/>
          <w:marRight w:val="0"/>
          <w:marTop w:val="91"/>
          <w:marBottom w:val="0"/>
          <w:divBdr>
            <w:top w:val="none" w:sz="0" w:space="0" w:color="auto"/>
            <w:left w:val="none" w:sz="0" w:space="0" w:color="auto"/>
            <w:bottom w:val="none" w:sz="0" w:space="0" w:color="auto"/>
            <w:right w:val="none" w:sz="0" w:space="0" w:color="auto"/>
          </w:divBdr>
        </w:div>
        <w:div w:id="1561749285">
          <w:marLeft w:val="2520"/>
          <w:marRight w:val="0"/>
          <w:marTop w:val="53"/>
          <w:marBottom w:val="0"/>
          <w:divBdr>
            <w:top w:val="none" w:sz="0" w:space="0" w:color="auto"/>
            <w:left w:val="none" w:sz="0" w:space="0" w:color="auto"/>
            <w:bottom w:val="none" w:sz="0" w:space="0" w:color="auto"/>
            <w:right w:val="none" w:sz="0" w:space="0" w:color="auto"/>
          </w:divBdr>
        </w:div>
        <w:div w:id="1772894103">
          <w:marLeft w:val="2520"/>
          <w:marRight w:val="0"/>
          <w:marTop w:val="53"/>
          <w:marBottom w:val="0"/>
          <w:divBdr>
            <w:top w:val="none" w:sz="0" w:space="0" w:color="auto"/>
            <w:left w:val="none" w:sz="0" w:space="0" w:color="auto"/>
            <w:bottom w:val="none" w:sz="0" w:space="0" w:color="auto"/>
            <w:right w:val="none" w:sz="0" w:space="0" w:color="auto"/>
          </w:divBdr>
        </w:div>
        <w:div w:id="1959294701">
          <w:marLeft w:val="1166"/>
          <w:marRight w:val="0"/>
          <w:marTop w:val="72"/>
          <w:marBottom w:val="0"/>
          <w:divBdr>
            <w:top w:val="none" w:sz="0" w:space="0" w:color="auto"/>
            <w:left w:val="none" w:sz="0" w:space="0" w:color="auto"/>
            <w:bottom w:val="none" w:sz="0" w:space="0" w:color="auto"/>
            <w:right w:val="none" w:sz="0" w:space="0" w:color="auto"/>
          </w:divBdr>
        </w:div>
        <w:div w:id="2111582856">
          <w:marLeft w:val="1800"/>
          <w:marRight w:val="0"/>
          <w:marTop w:val="62"/>
          <w:marBottom w:val="0"/>
          <w:divBdr>
            <w:top w:val="none" w:sz="0" w:space="0" w:color="auto"/>
            <w:left w:val="none" w:sz="0" w:space="0" w:color="auto"/>
            <w:bottom w:val="none" w:sz="0" w:space="0" w:color="auto"/>
            <w:right w:val="none" w:sz="0" w:space="0" w:color="auto"/>
          </w:divBdr>
        </w:div>
      </w:divsChild>
    </w:div>
    <w:div w:id="1105690613">
      <w:bodyDiv w:val="1"/>
      <w:marLeft w:val="0"/>
      <w:marRight w:val="0"/>
      <w:marTop w:val="0"/>
      <w:marBottom w:val="0"/>
      <w:divBdr>
        <w:top w:val="none" w:sz="0" w:space="0" w:color="auto"/>
        <w:left w:val="none" w:sz="0" w:space="0" w:color="auto"/>
        <w:bottom w:val="none" w:sz="0" w:space="0" w:color="auto"/>
        <w:right w:val="none" w:sz="0" w:space="0" w:color="auto"/>
      </w:divBdr>
    </w:div>
    <w:div w:id="1106538095">
      <w:bodyDiv w:val="1"/>
      <w:marLeft w:val="0"/>
      <w:marRight w:val="0"/>
      <w:marTop w:val="0"/>
      <w:marBottom w:val="0"/>
      <w:divBdr>
        <w:top w:val="none" w:sz="0" w:space="0" w:color="auto"/>
        <w:left w:val="none" w:sz="0" w:space="0" w:color="auto"/>
        <w:bottom w:val="none" w:sz="0" w:space="0" w:color="auto"/>
        <w:right w:val="none" w:sz="0" w:space="0" w:color="auto"/>
      </w:divBdr>
    </w:div>
    <w:div w:id="1107042797">
      <w:bodyDiv w:val="1"/>
      <w:marLeft w:val="0"/>
      <w:marRight w:val="0"/>
      <w:marTop w:val="0"/>
      <w:marBottom w:val="0"/>
      <w:divBdr>
        <w:top w:val="none" w:sz="0" w:space="0" w:color="auto"/>
        <w:left w:val="none" w:sz="0" w:space="0" w:color="auto"/>
        <w:bottom w:val="none" w:sz="0" w:space="0" w:color="auto"/>
        <w:right w:val="none" w:sz="0" w:space="0" w:color="auto"/>
      </w:divBdr>
    </w:div>
    <w:div w:id="1107384662">
      <w:bodyDiv w:val="1"/>
      <w:marLeft w:val="0"/>
      <w:marRight w:val="0"/>
      <w:marTop w:val="0"/>
      <w:marBottom w:val="0"/>
      <w:divBdr>
        <w:top w:val="none" w:sz="0" w:space="0" w:color="auto"/>
        <w:left w:val="none" w:sz="0" w:space="0" w:color="auto"/>
        <w:bottom w:val="none" w:sz="0" w:space="0" w:color="auto"/>
        <w:right w:val="none" w:sz="0" w:space="0" w:color="auto"/>
      </w:divBdr>
    </w:div>
    <w:div w:id="1108040766">
      <w:bodyDiv w:val="1"/>
      <w:marLeft w:val="0"/>
      <w:marRight w:val="0"/>
      <w:marTop w:val="0"/>
      <w:marBottom w:val="0"/>
      <w:divBdr>
        <w:top w:val="none" w:sz="0" w:space="0" w:color="auto"/>
        <w:left w:val="none" w:sz="0" w:space="0" w:color="auto"/>
        <w:bottom w:val="none" w:sz="0" w:space="0" w:color="auto"/>
        <w:right w:val="none" w:sz="0" w:space="0" w:color="auto"/>
      </w:divBdr>
    </w:div>
    <w:div w:id="1108233435">
      <w:bodyDiv w:val="1"/>
      <w:marLeft w:val="0"/>
      <w:marRight w:val="0"/>
      <w:marTop w:val="0"/>
      <w:marBottom w:val="0"/>
      <w:divBdr>
        <w:top w:val="none" w:sz="0" w:space="0" w:color="auto"/>
        <w:left w:val="none" w:sz="0" w:space="0" w:color="auto"/>
        <w:bottom w:val="none" w:sz="0" w:space="0" w:color="auto"/>
        <w:right w:val="none" w:sz="0" w:space="0" w:color="auto"/>
      </w:divBdr>
    </w:div>
    <w:div w:id="1108352147">
      <w:bodyDiv w:val="1"/>
      <w:marLeft w:val="0"/>
      <w:marRight w:val="0"/>
      <w:marTop w:val="0"/>
      <w:marBottom w:val="0"/>
      <w:divBdr>
        <w:top w:val="none" w:sz="0" w:space="0" w:color="auto"/>
        <w:left w:val="none" w:sz="0" w:space="0" w:color="auto"/>
        <w:bottom w:val="none" w:sz="0" w:space="0" w:color="auto"/>
        <w:right w:val="none" w:sz="0" w:space="0" w:color="auto"/>
      </w:divBdr>
    </w:div>
    <w:div w:id="1108429099">
      <w:bodyDiv w:val="1"/>
      <w:marLeft w:val="0"/>
      <w:marRight w:val="0"/>
      <w:marTop w:val="0"/>
      <w:marBottom w:val="0"/>
      <w:divBdr>
        <w:top w:val="none" w:sz="0" w:space="0" w:color="auto"/>
        <w:left w:val="none" w:sz="0" w:space="0" w:color="auto"/>
        <w:bottom w:val="none" w:sz="0" w:space="0" w:color="auto"/>
        <w:right w:val="none" w:sz="0" w:space="0" w:color="auto"/>
      </w:divBdr>
    </w:div>
    <w:div w:id="1110005953">
      <w:bodyDiv w:val="1"/>
      <w:marLeft w:val="0"/>
      <w:marRight w:val="0"/>
      <w:marTop w:val="0"/>
      <w:marBottom w:val="0"/>
      <w:divBdr>
        <w:top w:val="none" w:sz="0" w:space="0" w:color="auto"/>
        <w:left w:val="none" w:sz="0" w:space="0" w:color="auto"/>
        <w:bottom w:val="none" w:sz="0" w:space="0" w:color="auto"/>
        <w:right w:val="none" w:sz="0" w:space="0" w:color="auto"/>
      </w:divBdr>
    </w:div>
    <w:div w:id="1110707134">
      <w:bodyDiv w:val="1"/>
      <w:marLeft w:val="0"/>
      <w:marRight w:val="0"/>
      <w:marTop w:val="0"/>
      <w:marBottom w:val="0"/>
      <w:divBdr>
        <w:top w:val="none" w:sz="0" w:space="0" w:color="auto"/>
        <w:left w:val="none" w:sz="0" w:space="0" w:color="auto"/>
        <w:bottom w:val="none" w:sz="0" w:space="0" w:color="auto"/>
        <w:right w:val="none" w:sz="0" w:space="0" w:color="auto"/>
      </w:divBdr>
    </w:div>
    <w:div w:id="1111439584">
      <w:bodyDiv w:val="1"/>
      <w:marLeft w:val="0"/>
      <w:marRight w:val="0"/>
      <w:marTop w:val="0"/>
      <w:marBottom w:val="0"/>
      <w:divBdr>
        <w:top w:val="none" w:sz="0" w:space="0" w:color="auto"/>
        <w:left w:val="none" w:sz="0" w:space="0" w:color="auto"/>
        <w:bottom w:val="none" w:sz="0" w:space="0" w:color="auto"/>
        <w:right w:val="none" w:sz="0" w:space="0" w:color="auto"/>
      </w:divBdr>
    </w:div>
    <w:div w:id="1113289095">
      <w:bodyDiv w:val="1"/>
      <w:marLeft w:val="0"/>
      <w:marRight w:val="0"/>
      <w:marTop w:val="0"/>
      <w:marBottom w:val="0"/>
      <w:divBdr>
        <w:top w:val="none" w:sz="0" w:space="0" w:color="auto"/>
        <w:left w:val="none" w:sz="0" w:space="0" w:color="auto"/>
        <w:bottom w:val="none" w:sz="0" w:space="0" w:color="auto"/>
        <w:right w:val="none" w:sz="0" w:space="0" w:color="auto"/>
      </w:divBdr>
    </w:div>
    <w:div w:id="1113405014">
      <w:bodyDiv w:val="1"/>
      <w:marLeft w:val="0"/>
      <w:marRight w:val="0"/>
      <w:marTop w:val="0"/>
      <w:marBottom w:val="0"/>
      <w:divBdr>
        <w:top w:val="none" w:sz="0" w:space="0" w:color="auto"/>
        <w:left w:val="none" w:sz="0" w:space="0" w:color="auto"/>
        <w:bottom w:val="none" w:sz="0" w:space="0" w:color="auto"/>
        <w:right w:val="none" w:sz="0" w:space="0" w:color="auto"/>
      </w:divBdr>
    </w:div>
    <w:div w:id="1113747461">
      <w:bodyDiv w:val="1"/>
      <w:marLeft w:val="0"/>
      <w:marRight w:val="0"/>
      <w:marTop w:val="0"/>
      <w:marBottom w:val="0"/>
      <w:divBdr>
        <w:top w:val="none" w:sz="0" w:space="0" w:color="auto"/>
        <w:left w:val="none" w:sz="0" w:space="0" w:color="auto"/>
        <w:bottom w:val="none" w:sz="0" w:space="0" w:color="auto"/>
        <w:right w:val="none" w:sz="0" w:space="0" w:color="auto"/>
      </w:divBdr>
    </w:div>
    <w:div w:id="1114246797">
      <w:bodyDiv w:val="1"/>
      <w:marLeft w:val="0"/>
      <w:marRight w:val="0"/>
      <w:marTop w:val="0"/>
      <w:marBottom w:val="0"/>
      <w:divBdr>
        <w:top w:val="none" w:sz="0" w:space="0" w:color="auto"/>
        <w:left w:val="none" w:sz="0" w:space="0" w:color="auto"/>
        <w:bottom w:val="none" w:sz="0" w:space="0" w:color="auto"/>
        <w:right w:val="none" w:sz="0" w:space="0" w:color="auto"/>
      </w:divBdr>
    </w:div>
    <w:div w:id="1114594543">
      <w:bodyDiv w:val="1"/>
      <w:marLeft w:val="0"/>
      <w:marRight w:val="0"/>
      <w:marTop w:val="0"/>
      <w:marBottom w:val="0"/>
      <w:divBdr>
        <w:top w:val="none" w:sz="0" w:space="0" w:color="auto"/>
        <w:left w:val="none" w:sz="0" w:space="0" w:color="auto"/>
        <w:bottom w:val="none" w:sz="0" w:space="0" w:color="auto"/>
        <w:right w:val="none" w:sz="0" w:space="0" w:color="auto"/>
      </w:divBdr>
    </w:div>
    <w:div w:id="1114640849">
      <w:bodyDiv w:val="1"/>
      <w:marLeft w:val="0"/>
      <w:marRight w:val="0"/>
      <w:marTop w:val="0"/>
      <w:marBottom w:val="0"/>
      <w:divBdr>
        <w:top w:val="none" w:sz="0" w:space="0" w:color="auto"/>
        <w:left w:val="none" w:sz="0" w:space="0" w:color="auto"/>
        <w:bottom w:val="none" w:sz="0" w:space="0" w:color="auto"/>
        <w:right w:val="none" w:sz="0" w:space="0" w:color="auto"/>
      </w:divBdr>
      <w:divsChild>
        <w:div w:id="540437637">
          <w:marLeft w:val="547"/>
          <w:marRight w:val="0"/>
          <w:marTop w:val="134"/>
          <w:marBottom w:val="120"/>
          <w:divBdr>
            <w:top w:val="none" w:sz="0" w:space="0" w:color="auto"/>
            <w:left w:val="none" w:sz="0" w:space="0" w:color="auto"/>
            <w:bottom w:val="none" w:sz="0" w:space="0" w:color="auto"/>
            <w:right w:val="none" w:sz="0" w:space="0" w:color="auto"/>
          </w:divBdr>
        </w:div>
      </w:divsChild>
    </w:div>
    <w:div w:id="1114791482">
      <w:bodyDiv w:val="1"/>
      <w:marLeft w:val="0"/>
      <w:marRight w:val="0"/>
      <w:marTop w:val="0"/>
      <w:marBottom w:val="0"/>
      <w:divBdr>
        <w:top w:val="none" w:sz="0" w:space="0" w:color="auto"/>
        <w:left w:val="none" w:sz="0" w:space="0" w:color="auto"/>
        <w:bottom w:val="none" w:sz="0" w:space="0" w:color="auto"/>
        <w:right w:val="none" w:sz="0" w:space="0" w:color="auto"/>
      </w:divBdr>
    </w:div>
    <w:div w:id="1115710389">
      <w:bodyDiv w:val="1"/>
      <w:marLeft w:val="0"/>
      <w:marRight w:val="0"/>
      <w:marTop w:val="0"/>
      <w:marBottom w:val="0"/>
      <w:divBdr>
        <w:top w:val="none" w:sz="0" w:space="0" w:color="auto"/>
        <w:left w:val="none" w:sz="0" w:space="0" w:color="auto"/>
        <w:bottom w:val="none" w:sz="0" w:space="0" w:color="auto"/>
        <w:right w:val="none" w:sz="0" w:space="0" w:color="auto"/>
      </w:divBdr>
    </w:div>
    <w:div w:id="1115712045">
      <w:bodyDiv w:val="1"/>
      <w:marLeft w:val="0"/>
      <w:marRight w:val="0"/>
      <w:marTop w:val="0"/>
      <w:marBottom w:val="0"/>
      <w:divBdr>
        <w:top w:val="none" w:sz="0" w:space="0" w:color="auto"/>
        <w:left w:val="none" w:sz="0" w:space="0" w:color="auto"/>
        <w:bottom w:val="none" w:sz="0" w:space="0" w:color="auto"/>
        <w:right w:val="none" w:sz="0" w:space="0" w:color="auto"/>
      </w:divBdr>
    </w:div>
    <w:div w:id="1116676858">
      <w:bodyDiv w:val="1"/>
      <w:marLeft w:val="0"/>
      <w:marRight w:val="0"/>
      <w:marTop w:val="0"/>
      <w:marBottom w:val="0"/>
      <w:divBdr>
        <w:top w:val="none" w:sz="0" w:space="0" w:color="auto"/>
        <w:left w:val="none" w:sz="0" w:space="0" w:color="auto"/>
        <w:bottom w:val="none" w:sz="0" w:space="0" w:color="auto"/>
        <w:right w:val="none" w:sz="0" w:space="0" w:color="auto"/>
      </w:divBdr>
    </w:div>
    <w:div w:id="1116870416">
      <w:bodyDiv w:val="1"/>
      <w:marLeft w:val="0"/>
      <w:marRight w:val="0"/>
      <w:marTop w:val="0"/>
      <w:marBottom w:val="0"/>
      <w:divBdr>
        <w:top w:val="none" w:sz="0" w:space="0" w:color="auto"/>
        <w:left w:val="none" w:sz="0" w:space="0" w:color="auto"/>
        <w:bottom w:val="none" w:sz="0" w:space="0" w:color="auto"/>
        <w:right w:val="none" w:sz="0" w:space="0" w:color="auto"/>
      </w:divBdr>
      <w:divsChild>
        <w:div w:id="300893307">
          <w:marLeft w:val="1166"/>
          <w:marRight w:val="0"/>
          <w:marTop w:val="134"/>
          <w:marBottom w:val="0"/>
          <w:divBdr>
            <w:top w:val="none" w:sz="0" w:space="0" w:color="auto"/>
            <w:left w:val="none" w:sz="0" w:space="0" w:color="auto"/>
            <w:bottom w:val="none" w:sz="0" w:space="0" w:color="auto"/>
            <w:right w:val="none" w:sz="0" w:space="0" w:color="auto"/>
          </w:divBdr>
        </w:div>
        <w:div w:id="467554163">
          <w:marLeft w:val="547"/>
          <w:marRight w:val="0"/>
          <w:marTop w:val="154"/>
          <w:marBottom w:val="0"/>
          <w:divBdr>
            <w:top w:val="none" w:sz="0" w:space="0" w:color="auto"/>
            <w:left w:val="none" w:sz="0" w:space="0" w:color="auto"/>
            <w:bottom w:val="none" w:sz="0" w:space="0" w:color="auto"/>
            <w:right w:val="none" w:sz="0" w:space="0" w:color="auto"/>
          </w:divBdr>
        </w:div>
        <w:div w:id="952444364">
          <w:marLeft w:val="1800"/>
          <w:marRight w:val="0"/>
          <w:marTop w:val="115"/>
          <w:marBottom w:val="0"/>
          <w:divBdr>
            <w:top w:val="none" w:sz="0" w:space="0" w:color="auto"/>
            <w:left w:val="none" w:sz="0" w:space="0" w:color="auto"/>
            <w:bottom w:val="none" w:sz="0" w:space="0" w:color="auto"/>
            <w:right w:val="none" w:sz="0" w:space="0" w:color="auto"/>
          </w:divBdr>
        </w:div>
        <w:div w:id="1716271555">
          <w:marLeft w:val="1166"/>
          <w:marRight w:val="0"/>
          <w:marTop w:val="134"/>
          <w:marBottom w:val="0"/>
          <w:divBdr>
            <w:top w:val="none" w:sz="0" w:space="0" w:color="auto"/>
            <w:left w:val="none" w:sz="0" w:space="0" w:color="auto"/>
            <w:bottom w:val="none" w:sz="0" w:space="0" w:color="auto"/>
            <w:right w:val="none" w:sz="0" w:space="0" w:color="auto"/>
          </w:divBdr>
        </w:div>
      </w:divsChild>
    </w:div>
    <w:div w:id="1118403709">
      <w:bodyDiv w:val="1"/>
      <w:marLeft w:val="0"/>
      <w:marRight w:val="0"/>
      <w:marTop w:val="0"/>
      <w:marBottom w:val="0"/>
      <w:divBdr>
        <w:top w:val="none" w:sz="0" w:space="0" w:color="auto"/>
        <w:left w:val="none" w:sz="0" w:space="0" w:color="auto"/>
        <w:bottom w:val="none" w:sz="0" w:space="0" w:color="auto"/>
        <w:right w:val="none" w:sz="0" w:space="0" w:color="auto"/>
      </w:divBdr>
    </w:div>
    <w:div w:id="1118598935">
      <w:bodyDiv w:val="1"/>
      <w:marLeft w:val="0"/>
      <w:marRight w:val="0"/>
      <w:marTop w:val="0"/>
      <w:marBottom w:val="0"/>
      <w:divBdr>
        <w:top w:val="none" w:sz="0" w:space="0" w:color="auto"/>
        <w:left w:val="none" w:sz="0" w:space="0" w:color="auto"/>
        <w:bottom w:val="none" w:sz="0" w:space="0" w:color="auto"/>
        <w:right w:val="none" w:sz="0" w:space="0" w:color="auto"/>
      </w:divBdr>
    </w:div>
    <w:div w:id="1118767043">
      <w:bodyDiv w:val="1"/>
      <w:marLeft w:val="0"/>
      <w:marRight w:val="0"/>
      <w:marTop w:val="0"/>
      <w:marBottom w:val="0"/>
      <w:divBdr>
        <w:top w:val="none" w:sz="0" w:space="0" w:color="auto"/>
        <w:left w:val="none" w:sz="0" w:space="0" w:color="auto"/>
        <w:bottom w:val="none" w:sz="0" w:space="0" w:color="auto"/>
        <w:right w:val="none" w:sz="0" w:space="0" w:color="auto"/>
      </w:divBdr>
      <w:divsChild>
        <w:div w:id="8609017">
          <w:marLeft w:val="1800"/>
          <w:marRight w:val="0"/>
          <w:marTop w:val="86"/>
          <w:marBottom w:val="0"/>
          <w:divBdr>
            <w:top w:val="none" w:sz="0" w:space="0" w:color="auto"/>
            <w:left w:val="none" w:sz="0" w:space="0" w:color="auto"/>
            <w:bottom w:val="none" w:sz="0" w:space="0" w:color="auto"/>
            <w:right w:val="none" w:sz="0" w:space="0" w:color="auto"/>
          </w:divBdr>
        </w:div>
        <w:div w:id="473526713">
          <w:marLeft w:val="1800"/>
          <w:marRight w:val="0"/>
          <w:marTop w:val="86"/>
          <w:marBottom w:val="0"/>
          <w:divBdr>
            <w:top w:val="none" w:sz="0" w:space="0" w:color="auto"/>
            <w:left w:val="none" w:sz="0" w:space="0" w:color="auto"/>
            <w:bottom w:val="none" w:sz="0" w:space="0" w:color="auto"/>
            <w:right w:val="none" w:sz="0" w:space="0" w:color="auto"/>
          </w:divBdr>
        </w:div>
        <w:div w:id="716129771">
          <w:marLeft w:val="1166"/>
          <w:marRight w:val="0"/>
          <w:marTop w:val="96"/>
          <w:marBottom w:val="0"/>
          <w:divBdr>
            <w:top w:val="none" w:sz="0" w:space="0" w:color="auto"/>
            <w:left w:val="none" w:sz="0" w:space="0" w:color="auto"/>
            <w:bottom w:val="none" w:sz="0" w:space="0" w:color="auto"/>
            <w:right w:val="none" w:sz="0" w:space="0" w:color="auto"/>
          </w:divBdr>
        </w:div>
        <w:div w:id="849871795">
          <w:marLeft w:val="1800"/>
          <w:marRight w:val="0"/>
          <w:marTop w:val="86"/>
          <w:marBottom w:val="0"/>
          <w:divBdr>
            <w:top w:val="none" w:sz="0" w:space="0" w:color="auto"/>
            <w:left w:val="none" w:sz="0" w:space="0" w:color="auto"/>
            <w:bottom w:val="none" w:sz="0" w:space="0" w:color="auto"/>
            <w:right w:val="none" w:sz="0" w:space="0" w:color="auto"/>
          </w:divBdr>
        </w:div>
        <w:div w:id="1471438460">
          <w:marLeft w:val="1800"/>
          <w:marRight w:val="0"/>
          <w:marTop w:val="86"/>
          <w:marBottom w:val="0"/>
          <w:divBdr>
            <w:top w:val="none" w:sz="0" w:space="0" w:color="auto"/>
            <w:left w:val="none" w:sz="0" w:space="0" w:color="auto"/>
            <w:bottom w:val="none" w:sz="0" w:space="0" w:color="auto"/>
            <w:right w:val="none" w:sz="0" w:space="0" w:color="auto"/>
          </w:divBdr>
        </w:div>
        <w:div w:id="1537893250">
          <w:marLeft w:val="547"/>
          <w:marRight w:val="0"/>
          <w:marTop w:val="0"/>
          <w:marBottom w:val="0"/>
          <w:divBdr>
            <w:top w:val="none" w:sz="0" w:space="0" w:color="auto"/>
            <w:left w:val="none" w:sz="0" w:space="0" w:color="auto"/>
            <w:bottom w:val="none" w:sz="0" w:space="0" w:color="auto"/>
            <w:right w:val="none" w:sz="0" w:space="0" w:color="auto"/>
          </w:divBdr>
        </w:div>
        <w:div w:id="1843274522">
          <w:marLeft w:val="1166"/>
          <w:marRight w:val="0"/>
          <w:marTop w:val="96"/>
          <w:marBottom w:val="0"/>
          <w:divBdr>
            <w:top w:val="none" w:sz="0" w:space="0" w:color="auto"/>
            <w:left w:val="none" w:sz="0" w:space="0" w:color="auto"/>
            <w:bottom w:val="none" w:sz="0" w:space="0" w:color="auto"/>
            <w:right w:val="none" w:sz="0" w:space="0" w:color="auto"/>
          </w:divBdr>
        </w:div>
        <w:div w:id="1914507734">
          <w:marLeft w:val="1800"/>
          <w:marRight w:val="0"/>
          <w:marTop w:val="86"/>
          <w:marBottom w:val="0"/>
          <w:divBdr>
            <w:top w:val="none" w:sz="0" w:space="0" w:color="auto"/>
            <w:left w:val="none" w:sz="0" w:space="0" w:color="auto"/>
            <w:bottom w:val="none" w:sz="0" w:space="0" w:color="auto"/>
            <w:right w:val="none" w:sz="0" w:space="0" w:color="auto"/>
          </w:divBdr>
        </w:div>
        <w:div w:id="2052417116">
          <w:marLeft w:val="1166"/>
          <w:marRight w:val="0"/>
          <w:marTop w:val="0"/>
          <w:marBottom w:val="0"/>
          <w:divBdr>
            <w:top w:val="none" w:sz="0" w:space="0" w:color="auto"/>
            <w:left w:val="none" w:sz="0" w:space="0" w:color="auto"/>
            <w:bottom w:val="none" w:sz="0" w:space="0" w:color="auto"/>
            <w:right w:val="none" w:sz="0" w:space="0" w:color="auto"/>
          </w:divBdr>
        </w:div>
      </w:divsChild>
    </w:div>
    <w:div w:id="1119102068">
      <w:bodyDiv w:val="1"/>
      <w:marLeft w:val="0"/>
      <w:marRight w:val="0"/>
      <w:marTop w:val="0"/>
      <w:marBottom w:val="0"/>
      <w:divBdr>
        <w:top w:val="none" w:sz="0" w:space="0" w:color="auto"/>
        <w:left w:val="none" w:sz="0" w:space="0" w:color="auto"/>
        <w:bottom w:val="none" w:sz="0" w:space="0" w:color="auto"/>
        <w:right w:val="none" w:sz="0" w:space="0" w:color="auto"/>
      </w:divBdr>
      <w:divsChild>
        <w:div w:id="1253049232">
          <w:marLeft w:val="360"/>
          <w:marRight w:val="0"/>
          <w:marTop w:val="200"/>
          <w:marBottom w:val="0"/>
          <w:divBdr>
            <w:top w:val="none" w:sz="0" w:space="0" w:color="auto"/>
            <w:left w:val="none" w:sz="0" w:space="0" w:color="auto"/>
            <w:bottom w:val="none" w:sz="0" w:space="0" w:color="auto"/>
            <w:right w:val="none" w:sz="0" w:space="0" w:color="auto"/>
          </w:divBdr>
        </w:div>
      </w:divsChild>
    </w:div>
    <w:div w:id="1120101114">
      <w:bodyDiv w:val="1"/>
      <w:marLeft w:val="0"/>
      <w:marRight w:val="0"/>
      <w:marTop w:val="0"/>
      <w:marBottom w:val="0"/>
      <w:divBdr>
        <w:top w:val="none" w:sz="0" w:space="0" w:color="auto"/>
        <w:left w:val="none" w:sz="0" w:space="0" w:color="auto"/>
        <w:bottom w:val="none" w:sz="0" w:space="0" w:color="auto"/>
        <w:right w:val="none" w:sz="0" w:space="0" w:color="auto"/>
      </w:divBdr>
      <w:divsChild>
        <w:div w:id="114914275">
          <w:marLeft w:val="1166"/>
          <w:marRight w:val="0"/>
          <w:marTop w:val="115"/>
          <w:marBottom w:val="0"/>
          <w:divBdr>
            <w:top w:val="none" w:sz="0" w:space="0" w:color="auto"/>
            <w:left w:val="none" w:sz="0" w:space="0" w:color="auto"/>
            <w:bottom w:val="none" w:sz="0" w:space="0" w:color="auto"/>
            <w:right w:val="none" w:sz="0" w:space="0" w:color="auto"/>
          </w:divBdr>
        </w:div>
        <w:div w:id="484276968">
          <w:marLeft w:val="1800"/>
          <w:marRight w:val="0"/>
          <w:marTop w:val="96"/>
          <w:marBottom w:val="0"/>
          <w:divBdr>
            <w:top w:val="none" w:sz="0" w:space="0" w:color="auto"/>
            <w:left w:val="none" w:sz="0" w:space="0" w:color="auto"/>
            <w:bottom w:val="none" w:sz="0" w:space="0" w:color="auto"/>
            <w:right w:val="none" w:sz="0" w:space="0" w:color="auto"/>
          </w:divBdr>
        </w:div>
        <w:div w:id="735393648">
          <w:marLeft w:val="1166"/>
          <w:marRight w:val="0"/>
          <w:marTop w:val="115"/>
          <w:marBottom w:val="0"/>
          <w:divBdr>
            <w:top w:val="none" w:sz="0" w:space="0" w:color="auto"/>
            <w:left w:val="none" w:sz="0" w:space="0" w:color="auto"/>
            <w:bottom w:val="none" w:sz="0" w:space="0" w:color="auto"/>
            <w:right w:val="none" w:sz="0" w:space="0" w:color="auto"/>
          </w:divBdr>
        </w:div>
        <w:div w:id="1064792353">
          <w:marLeft w:val="1800"/>
          <w:marRight w:val="0"/>
          <w:marTop w:val="96"/>
          <w:marBottom w:val="0"/>
          <w:divBdr>
            <w:top w:val="none" w:sz="0" w:space="0" w:color="auto"/>
            <w:left w:val="none" w:sz="0" w:space="0" w:color="auto"/>
            <w:bottom w:val="none" w:sz="0" w:space="0" w:color="auto"/>
            <w:right w:val="none" w:sz="0" w:space="0" w:color="auto"/>
          </w:divBdr>
        </w:div>
        <w:div w:id="1492912757">
          <w:marLeft w:val="1800"/>
          <w:marRight w:val="0"/>
          <w:marTop w:val="96"/>
          <w:marBottom w:val="0"/>
          <w:divBdr>
            <w:top w:val="none" w:sz="0" w:space="0" w:color="auto"/>
            <w:left w:val="none" w:sz="0" w:space="0" w:color="auto"/>
            <w:bottom w:val="none" w:sz="0" w:space="0" w:color="auto"/>
            <w:right w:val="none" w:sz="0" w:space="0" w:color="auto"/>
          </w:divBdr>
        </w:div>
        <w:div w:id="1722515271">
          <w:marLeft w:val="547"/>
          <w:marRight w:val="0"/>
          <w:marTop w:val="134"/>
          <w:marBottom w:val="0"/>
          <w:divBdr>
            <w:top w:val="none" w:sz="0" w:space="0" w:color="auto"/>
            <w:left w:val="none" w:sz="0" w:space="0" w:color="auto"/>
            <w:bottom w:val="none" w:sz="0" w:space="0" w:color="auto"/>
            <w:right w:val="none" w:sz="0" w:space="0" w:color="auto"/>
          </w:divBdr>
        </w:div>
      </w:divsChild>
    </w:div>
    <w:div w:id="1121025517">
      <w:bodyDiv w:val="1"/>
      <w:marLeft w:val="0"/>
      <w:marRight w:val="0"/>
      <w:marTop w:val="0"/>
      <w:marBottom w:val="0"/>
      <w:divBdr>
        <w:top w:val="none" w:sz="0" w:space="0" w:color="auto"/>
        <w:left w:val="none" w:sz="0" w:space="0" w:color="auto"/>
        <w:bottom w:val="none" w:sz="0" w:space="0" w:color="auto"/>
        <w:right w:val="none" w:sz="0" w:space="0" w:color="auto"/>
      </w:divBdr>
    </w:div>
    <w:div w:id="1121218582">
      <w:bodyDiv w:val="1"/>
      <w:marLeft w:val="0"/>
      <w:marRight w:val="0"/>
      <w:marTop w:val="0"/>
      <w:marBottom w:val="0"/>
      <w:divBdr>
        <w:top w:val="none" w:sz="0" w:space="0" w:color="auto"/>
        <w:left w:val="none" w:sz="0" w:space="0" w:color="auto"/>
        <w:bottom w:val="none" w:sz="0" w:space="0" w:color="auto"/>
        <w:right w:val="none" w:sz="0" w:space="0" w:color="auto"/>
      </w:divBdr>
    </w:div>
    <w:div w:id="1121724939">
      <w:bodyDiv w:val="1"/>
      <w:marLeft w:val="0"/>
      <w:marRight w:val="0"/>
      <w:marTop w:val="0"/>
      <w:marBottom w:val="0"/>
      <w:divBdr>
        <w:top w:val="none" w:sz="0" w:space="0" w:color="auto"/>
        <w:left w:val="none" w:sz="0" w:space="0" w:color="auto"/>
        <w:bottom w:val="none" w:sz="0" w:space="0" w:color="auto"/>
        <w:right w:val="none" w:sz="0" w:space="0" w:color="auto"/>
      </w:divBdr>
    </w:div>
    <w:div w:id="1121731507">
      <w:bodyDiv w:val="1"/>
      <w:marLeft w:val="0"/>
      <w:marRight w:val="0"/>
      <w:marTop w:val="0"/>
      <w:marBottom w:val="0"/>
      <w:divBdr>
        <w:top w:val="none" w:sz="0" w:space="0" w:color="auto"/>
        <w:left w:val="none" w:sz="0" w:space="0" w:color="auto"/>
        <w:bottom w:val="none" w:sz="0" w:space="0" w:color="auto"/>
        <w:right w:val="none" w:sz="0" w:space="0" w:color="auto"/>
      </w:divBdr>
      <w:divsChild>
        <w:div w:id="48964070">
          <w:marLeft w:val="0"/>
          <w:marRight w:val="0"/>
          <w:marTop w:val="96"/>
          <w:marBottom w:val="0"/>
          <w:divBdr>
            <w:top w:val="none" w:sz="0" w:space="0" w:color="auto"/>
            <w:left w:val="none" w:sz="0" w:space="0" w:color="auto"/>
            <w:bottom w:val="none" w:sz="0" w:space="0" w:color="auto"/>
            <w:right w:val="none" w:sz="0" w:space="0" w:color="auto"/>
          </w:divBdr>
        </w:div>
        <w:div w:id="131991564">
          <w:marLeft w:val="1166"/>
          <w:marRight w:val="0"/>
          <w:marTop w:val="77"/>
          <w:marBottom w:val="0"/>
          <w:divBdr>
            <w:top w:val="none" w:sz="0" w:space="0" w:color="auto"/>
            <w:left w:val="none" w:sz="0" w:space="0" w:color="auto"/>
            <w:bottom w:val="none" w:sz="0" w:space="0" w:color="auto"/>
            <w:right w:val="none" w:sz="0" w:space="0" w:color="auto"/>
          </w:divBdr>
        </w:div>
        <w:div w:id="534655023">
          <w:marLeft w:val="1800"/>
          <w:marRight w:val="0"/>
          <w:marTop w:val="58"/>
          <w:marBottom w:val="0"/>
          <w:divBdr>
            <w:top w:val="none" w:sz="0" w:space="0" w:color="auto"/>
            <w:left w:val="none" w:sz="0" w:space="0" w:color="auto"/>
            <w:bottom w:val="none" w:sz="0" w:space="0" w:color="auto"/>
            <w:right w:val="none" w:sz="0" w:space="0" w:color="auto"/>
          </w:divBdr>
        </w:div>
        <w:div w:id="575238603">
          <w:marLeft w:val="0"/>
          <w:marRight w:val="0"/>
          <w:marTop w:val="96"/>
          <w:marBottom w:val="0"/>
          <w:divBdr>
            <w:top w:val="none" w:sz="0" w:space="0" w:color="auto"/>
            <w:left w:val="none" w:sz="0" w:space="0" w:color="auto"/>
            <w:bottom w:val="none" w:sz="0" w:space="0" w:color="auto"/>
            <w:right w:val="none" w:sz="0" w:space="0" w:color="auto"/>
          </w:divBdr>
        </w:div>
        <w:div w:id="647131795">
          <w:marLeft w:val="1166"/>
          <w:marRight w:val="0"/>
          <w:marTop w:val="77"/>
          <w:marBottom w:val="0"/>
          <w:divBdr>
            <w:top w:val="none" w:sz="0" w:space="0" w:color="auto"/>
            <w:left w:val="none" w:sz="0" w:space="0" w:color="auto"/>
            <w:bottom w:val="none" w:sz="0" w:space="0" w:color="auto"/>
            <w:right w:val="none" w:sz="0" w:space="0" w:color="auto"/>
          </w:divBdr>
        </w:div>
        <w:div w:id="882522890">
          <w:marLeft w:val="1166"/>
          <w:marRight w:val="0"/>
          <w:marTop w:val="77"/>
          <w:marBottom w:val="0"/>
          <w:divBdr>
            <w:top w:val="none" w:sz="0" w:space="0" w:color="auto"/>
            <w:left w:val="none" w:sz="0" w:space="0" w:color="auto"/>
            <w:bottom w:val="none" w:sz="0" w:space="0" w:color="auto"/>
            <w:right w:val="none" w:sz="0" w:space="0" w:color="auto"/>
          </w:divBdr>
        </w:div>
        <w:div w:id="996568649">
          <w:marLeft w:val="0"/>
          <w:marRight w:val="0"/>
          <w:marTop w:val="96"/>
          <w:marBottom w:val="0"/>
          <w:divBdr>
            <w:top w:val="none" w:sz="0" w:space="0" w:color="auto"/>
            <w:left w:val="none" w:sz="0" w:space="0" w:color="auto"/>
            <w:bottom w:val="none" w:sz="0" w:space="0" w:color="auto"/>
            <w:right w:val="none" w:sz="0" w:space="0" w:color="auto"/>
          </w:divBdr>
        </w:div>
        <w:div w:id="1407845148">
          <w:marLeft w:val="1166"/>
          <w:marRight w:val="0"/>
          <w:marTop w:val="77"/>
          <w:marBottom w:val="0"/>
          <w:divBdr>
            <w:top w:val="none" w:sz="0" w:space="0" w:color="auto"/>
            <w:left w:val="none" w:sz="0" w:space="0" w:color="auto"/>
            <w:bottom w:val="none" w:sz="0" w:space="0" w:color="auto"/>
            <w:right w:val="none" w:sz="0" w:space="0" w:color="auto"/>
          </w:divBdr>
        </w:div>
        <w:div w:id="1507939839">
          <w:marLeft w:val="1166"/>
          <w:marRight w:val="0"/>
          <w:marTop w:val="77"/>
          <w:marBottom w:val="0"/>
          <w:divBdr>
            <w:top w:val="none" w:sz="0" w:space="0" w:color="auto"/>
            <w:left w:val="none" w:sz="0" w:space="0" w:color="auto"/>
            <w:bottom w:val="none" w:sz="0" w:space="0" w:color="auto"/>
            <w:right w:val="none" w:sz="0" w:space="0" w:color="auto"/>
          </w:divBdr>
        </w:div>
        <w:div w:id="1517186417">
          <w:marLeft w:val="1166"/>
          <w:marRight w:val="0"/>
          <w:marTop w:val="77"/>
          <w:marBottom w:val="0"/>
          <w:divBdr>
            <w:top w:val="none" w:sz="0" w:space="0" w:color="auto"/>
            <w:left w:val="none" w:sz="0" w:space="0" w:color="auto"/>
            <w:bottom w:val="none" w:sz="0" w:space="0" w:color="auto"/>
            <w:right w:val="none" w:sz="0" w:space="0" w:color="auto"/>
          </w:divBdr>
        </w:div>
        <w:div w:id="1976907335">
          <w:marLeft w:val="1800"/>
          <w:marRight w:val="0"/>
          <w:marTop w:val="58"/>
          <w:marBottom w:val="0"/>
          <w:divBdr>
            <w:top w:val="none" w:sz="0" w:space="0" w:color="auto"/>
            <w:left w:val="none" w:sz="0" w:space="0" w:color="auto"/>
            <w:bottom w:val="none" w:sz="0" w:space="0" w:color="auto"/>
            <w:right w:val="none" w:sz="0" w:space="0" w:color="auto"/>
          </w:divBdr>
        </w:div>
        <w:div w:id="2047679053">
          <w:marLeft w:val="1166"/>
          <w:marRight w:val="0"/>
          <w:marTop w:val="77"/>
          <w:marBottom w:val="0"/>
          <w:divBdr>
            <w:top w:val="none" w:sz="0" w:space="0" w:color="auto"/>
            <w:left w:val="none" w:sz="0" w:space="0" w:color="auto"/>
            <w:bottom w:val="none" w:sz="0" w:space="0" w:color="auto"/>
            <w:right w:val="none" w:sz="0" w:space="0" w:color="auto"/>
          </w:divBdr>
        </w:div>
        <w:div w:id="2137750370">
          <w:marLeft w:val="1166"/>
          <w:marRight w:val="0"/>
          <w:marTop w:val="77"/>
          <w:marBottom w:val="0"/>
          <w:divBdr>
            <w:top w:val="none" w:sz="0" w:space="0" w:color="auto"/>
            <w:left w:val="none" w:sz="0" w:space="0" w:color="auto"/>
            <w:bottom w:val="none" w:sz="0" w:space="0" w:color="auto"/>
            <w:right w:val="none" w:sz="0" w:space="0" w:color="auto"/>
          </w:divBdr>
        </w:div>
        <w:div w:id="2141877151">
          <w:marLeft w:val="1166"/>
          <w:marRight w:val="0"/>
          <w:marTop w:val="77"/>
          <w:marBottom w:val="0"/>
          <w:divBdr>
            <w:top w:val="none" w:sz="0" w:space="0" w:color="auto"/>
            <w:left w:val="none" w:sz="0" w:space="0" w:color="auto"/>
            <w:bottom w:val="none" w:sz="0" w:space="0" w:color="auto"/>
            <w:right w:val="none" w:sz="0" w:space="0" w:color="auto"/>
          </w:divBdr>
        </w:div>
      </w:divsChild>
    </w:div>
    <w:div w:id="1122066788">
      <w:bodyDiv w:val="1"/>
      <w:marLeft w:val="0"/>
      <w:marRight w:val="0"/>
      <w:marTop w:val="0"/>
      <w:marBottom w:val="0"/>
      <w:divBdr>
        <w:top w:val="none" w:sz="0" w:space="0" w:color="auto"/>
        <w:left w:val="none" w:sz="0" w:space="0" w:color="auto"/>
        <w:bottom w:val="none" w:sz="0" w:space="0" w:color="auto"/>
        <w:right w:val="none" w:sz="0" w:space="0" w:color="auto"/>
      </w:divBdr>
    </w:div>
    <w:div w:id="1123571864">
      <w:bodyDiv w:val="1"/>
      <w:marLeft w:val="0"/>
      <w:marRight w:val="0"/>
      <w:marTop w:val="0"/>
      <w:marBottom w:val="0"/>
      <w:divBdr>
        <w:top w:val="none" w:sz="0" w:space="0" w:color="auto"/>
        <w:left w:val="none" w:sz="0" w:space="0" w:color="auto"/>
        <w:bottom w:val="none" w:sz="0" w:space="0" w:color="auto"/>
        <w:right w:val="none" w:sz="0" w:space="0" w:color="auto"/>
      </w:divBdr>
      <w:divsChild>
        <w:div w:id="52705425">
          <w:marLeft w:val="360"/>
          <w:marRight w:val="0"/>
          <w:marTop w:val="200"/>
          <w:marBottom w:val="0"/>
          <w:divBdr>
            <w:top w:val="none" w:sz="0" w:space="0" w:color="auto"/>
            <w:left w:val="none" w:sz="0" w:space="0" w:color="auto"/>
            <w:bottom w:val="none" w:sz="0" w:space="0" w:color="auto"/>
            <w:right w:val="none" w:sz="0" w:space="0" w:color="auto"/>
          </w:divBdr>
        </w:div>
        <w:div w:id="258026290">
          <w:marLeft w:val="360"/>
          <w:marRight w:val="0"/>
          <w:marTop w:val="200"/>
          <w:marBottom w:val="0"/>
          <w:divBdr>
            <w:top w:val="none" w:sz="0" w:space="0" w:color="auto"/>
            <w:left w:val="none" w:sz="0" w:space="0" w:color="auto"/>
            <w:bottom w:val="none" w:sz="0" w:space="0" w:color="auto"/>
            <w:right w:val="none" w:sz="0" w:space="0" w:color="auto"/>
          </w:divBdr>
        </w:div>
        <w:div w:id="327250596">
          <w:marLeft w:val="360"/>
          <w:marRight w:val="0"/>
          <w:marTop w:val="200"/>
          <w:marBottom w:val="0"/>
          <w:divBdr>
            <w:top w:val="none" w:sz="0" w:space="0" w:color="auto"/>
            <w:left w:val="none" w:sz="0" w:space="0" w:color="auto"/>
            <w:bottom w:val="none" w:sz="0" w:space="0" w:color="auto"/>
            <w:right w:val="none" w:sz="0" w:space="0" w:color="auto"/>
          </w:divBdr>
        </w:div>
        <w:div w:id="369569177">
          <w:marLeft w:val="360"/>
          <w:marRight w:val="0"/>
          <w:marTop w:val="200"/>
          <w:marBottom w:val="0"/>
          <w:divBdr>
            <w:top w:val="none" w:sz="0" w:space="0" w:color="auto"/>
            <w:left w:val="none" w:sz="0" w:space="0" w:color="auto"/>
            <w:bottom w:val="none" w:sz="0" w:space="0" w:color="auto"/>
            <w:right w:val="none" w:sz="0" w:space="0" w:color="auto"/>
          </w:divBdr>
        </w:div>
        <w:div w:id="420108567">
          <w:marLeft w:val="1080"/>
          <w:marRight w:val="0"/>
          <w:marTop w:val="100"/>
          <w:marBottom w:val="0"/>
          <w:divBdr>
            <w:top w:val="none" w:sz="0" w:space="0" w:color="auto"/>
            <w:left w:val="none" w:sz="0" w:space="0" w:color="auto"/>
            <w:bottom w:val="none" w:sz="0" w:space="0" w:color="auto"/>
            <w:right w:val="none" w:sz="0" w:space="0" w:color="auto"/>
          </w:divBdr>
        </w:div>
        <w:div w:id="591011640">
          <w:marLeft w:val="1080"/>
          <w:marRight w:val="0"/>
          <w:marTop w:val="100"/>
          <w:marBottom w:val="0"/>
          <w:divBdr>
            <w:top w:val="none" w:sz="0" w:space="0" w:color="auto"/>
            <w:left w:val="none" w:sz="0" w:space="0" w:color="auto"/>
            <w:bottom w:val="none" w:sz="0" w:space="0" w:color="auto"/>
            <w:right w:val="none" w:sz="0" w:space="0" w:color="auto"/>
          </w:divBdr>
        </w:div>
        <w:div w:id="677194323">
          <w:marLeft w:val="1080"/>
          <w:marRight w:val="0"/>
          <w:marTop w:val="100"/>
          <w:marBottom w:val="0"/>
          <w:divBdr>
            <w:top w:val="none" w:sz="0" w:space="0" w:color="auto"/>
            <w:left w:val="none" w:sz="0" w:space="0" w:color="auto"/>
            <w:bottom w:val="none" w:sz="0" w:space="0" w:color="auto"/>
            <w:right w:val="none" w:sz="0" w:space="0" w:color="auto"/>
          </w:divBdr>
        </w:div>
        <w:div w:id="706029335">
          <w:marLeft w:val="1080"/>
          <w:marRight w:val="0"/>
          <w:marTop w:val="100"/>
          <w:marBottom w:val="0"/>
          <w:divBdr>
            <w:top w:val="none" w:sz="0" w:space="0" w:color="auto"/>
            <w:left w:val="none" w:sz="0" w:space="0" w:color="auto"/>
            <w:bottom w:val="none" w:sz="0" w:space="0" w:color="auto"/>
            <w:right w:val="none" w:sz="0" w:space="0" w:color="auto"/>
          </w:divBdr>
        </w:div>
        <w:div w:id="972754076">
          <w:marLeft w:val="360"/>
          <w:marRight w:val="0"/>
          <w:marTop w:val="200"/>
          <w:marBottom w:val="0"/>
          <w:divBdr>
            <w:top w:val="none" w:sz="0" w:space="0" w:color="auto"/>
            <w:left w:val="none" w:sz="0" w:space="0" w:color="auto"/>
            <w:bottom w:val="none" w:sz="0" w:space="0" w:color="auto"/>
            <w:right w:val="none" w:sz="0" w:space="0" w:color="auto"/>
          </w:divBdr>
        </w:div>
        <w:div w:id="988242204">
          <w:marLeft w:val="1800"/>
          <w:marRight w:val="0"/>
          <w:marTop w:val="100"/>
          <w:marBottom w:val="0"/>
          <w:divBdr>
            <w:top w:val="none" w:sz="0" w:space="0" w:color="auto"/>
            <w:left w:val="none" w:sz="0" w:space="0" w:color="auto"/>
            <w:bottom w:val="none" w:sz="0" w:space="0" w:color="auto"/>
            <w:right w:val="none" w:sz="0" w:space="0" w:color="auto"/>
          </w:divBdr>
        </w:div>
        <w:div w:id="1049037814">
          <w:marLeft w:val="1080"/>
          <w:marRight w:val="0"/>
          <w:marTop w:val="100"/>
          <w:marBottom w:val="0"/>
          <w:divBdr>
            <w:top w:val="none" w:sz="0" w:space="0" w:color="auto"/>
            <w:left w:val="none" w:sz="0" w:space="0" w:color="auto"/>
            <w:bottom w:val="none" w:sz="0" w:space="0" w:color="auto"/>
            <w:right w:val="none" w:sz="0" w:space="0" w:color="auto"/>
          </w:divBdr>
        </w:div>
        <w:div w:id="1690257786">
          <w:marLeft w:val="360"/>
          <w:marRight w:val="0"/>
          <w:marTop w:val="200"/>
          <w:marBottom w:val="0"/>
          <w:divBdr>
            <w:top w:val="none" w:sz="0" w:space="0" w:color="auto"/>
            <w:left w:val="none" w:sz="0" w:space="0" w:color="auto"/>
            <w:bottom w:val="none" w:sz="0" w:space="0" w:color="auto"/>
            <w:right w:val="none" w:sz="0" w:space="0" w:color="auto"/>
          </w:divBdr>
        </w:div>
      </w:divsChild>
    </w:div>
    <w:div w:id="1124150433">
      <w:bodyDiv w:val="1"/>
      <w:marLeft w:val="0"/>
      <w:marRight w:val="0"/>
      <w:marTop w:val="0"/>
      <w:marBottom w:val="0"/>
      <w:divBdr>
        <w:top w:val="none" w:sz="0" w:space="0" w:color="auto"/>
        <w:left w:val="none" w:sz="0" w:space="0" w:color="auto"/>
        <w:bottom w:val="none" w:sz="0" w:space="0" w:color="auto"/>
        <w:right w:val="none" w:sz="0" w:space="0" w:color="auto"/>
      </w:divBdr>
    </w:div>
    <w:div w:id="1125194045">
      <w:bodyDiv w:val="1"/>
      <w:marLeft w:val="0"/>
      <w:marRight w:val="0"/>
      <w:marTop w:val="0"/>
      <w:marBottom w:val="0"/>
      <w:divBdr>
        <w:top w:val="none" w:sz="0" w:space="0" w:color="auto"/>
        <w:left w:val="none" w:sz="0" w:space="0" w:color="auto"/>
        <w:bottom w:val="none" w:sz="0" w:space="0" w:color="auto"/>
        <w:right w:val="none" w:sz="0" w:space="0" w:color="auto"/>
      </w:divBdr>
      <w:divsChild>
        <w:div w:id="1212689232">
          <w:marLeft w:val="547"/>
          <w:marRight w:val="0"/>
          <w:marTop w:val="115"/>
          <w:marBottom w:val="0"/>
          <w:divBdr>
            <w:top w:val="none" w:sz="0" w:space="0" w:color="auto"/>
            <w:left w:val="none" w:sz="0" w:space="0" w:color="auto"/>
            <w:bottom w:val="none" w:sz="0" w:space="0" w:color="auto"/>
            <w:right w:val="none" w:sz="0" w:space="0" w:color="auto"/>
          </w:divBdr>
        </w:div>
        <w:div w:id="1958751523">
          <w:marLeft w:val="547"/>
          <w:marRight w:val="0"/>
          <w:marTop w:val="115"/>
          <w:marBottom w:val="0"/>
          <w:divBdr>
            <w:top w:val="none" w:sz="0" w:space="0" w:color="auto"/>
            <w:left w:val="none" w:sz="0" w:space="0" w:color="auto"/>
            <w:bottom w:val="none" w:sz="0" w:space="0" w:color="auto"/>
            <w:right w:val="none" w:sz="0" w:space="0" w:color="auto"/>
          </w:divBdr>
        </w:div>
        <w:div w:id="2079210438">
          <w:marLeft w:val="1166"/>
          <w:marRight w:val="0"/>
          <w:marTop w:val="96"/>
          <w:marBottom w:val="0"/>
          <w:divBdr>
            <w:top w:val="none" w:sz="0" w:space="0" w:color="auto"/>
            <w:left w:val="none" w:sz="0" w:space="0" w:color="auto"/>
            <w:bottom w:val="none" w:sz="0" w:space="0" w:color="auto"/>
            <w:right w:val="none" w:sz="0" w:space="0" w:color="auto"/>
          </w:divBdr>
        </w:div>
      </w:divsChild>
    </w:div>
    <w:div w:id="1125655180">
      <w:bodyDiv w:val="1"/>
      <w:marLeft w:val="0"/>
      <w:marRight w:val="0"/>
      <w:marTop w:val="0"/>
      <w:marBottom w:val="0"/>
      <w:divBdr>
        <w:top w:val="none" w:sz="0" w:space="0" w:color="auto"/>
        <w:left w:val="none" w:sz="0" w:space="0" w:color="auto"/>
        <w:bottom w:val="none" w:sz="0" w:space="0" w:color="auto"/>
        <w:right w:val="none" w:sz="0" w:space="0" w:color="auto"/>
      </w:divBdr>
      <w:divsChild>
        <w:div w:id="1221287981">
          <w:marLeft w:val="1080"/>
          <w:marRight w:val="0"/>
          <w:marTop w:val="100"/>
          <w:marBottom w:val="0"/>
          <w:divBdr>
            <w:top w:val="none" w:sz="0" w:space="0" w:color="auto"/>
            <w:left w:val="none" w:sz="0" w:space="0" w:color="auto"/>
            <w:bottom w:val="none" w:sz="0" w:space="0" w:color="auto"/>
            <w:right w:val="none" w:sz="0" w:space="0" w:color="auto"/>
          </w:divBdr>
        </w:div>
        <w:div w:id="1376353102">
          <w:marLeft w:val="1080"/>
          <w:marRight w:val="0"/>
          <w:marTop w:val="100"/>
          <w:marBottom w:val="0"/>
          <w:divBdr>
            <w:top w:val="none" w:sz="0" w:space="0" w:color="auto"/>
            <w:left w:val="none" w:sz="0" w:space="0" w:color="auto"/>
            <w:bottom w:val="none" w:sz="0" w:space="0" w:color="auto"/>
            <w:right w:val="none" w:sz="0" w:space="0" w:color="auto"/>
          </w:divBdr>
        </w:div>
        <w:div w:id="1808860500">
          <w:marLeft w:val="1800"/>
          <w:marRight w:val="0"/>
          <w:marTop w:val="100"/>
          <w:marBottom w:val="0"/>
          <w:divBdr>
            <w:top w:val="none" w:sz="0" w:space="0" w:color="auto"/>
            <w:left w:val="none" w:sz="0" w:space="0" w:color="auto"/>
            <w:bottom w:val="none" w:sz="0" w:space="0" w:color="auto"/>
            <w:right w:val="none" w:sz="0" w:space="0" w:color="auto"/>
          </w:divBdr>
        </w:div>
        <w:div w:id="2025663728">
          <w:marLeft w:val="360"/>
          <w:marRight w:val="0"/>
          <w:marTop w:val="200"/>
          <w:marBottom w:val="0"/>
          <w:divBdr>
            <w:top w:val="none" w:sz="0" w:space="0" w:color="auto"/>
            <w:left w:val="none" w:sz="0" w:space="0" w:color="auto"/>
            <w:bottom w:val="none" w:sz="0" w:space="0" w:color="auto"/>
            <w:right w:val="none" w:sz="0" w:space="0" w:color="auto"/>
          </w:divBdr>
        </w:div>
      </w:divsChild>
    </w:div>
    <w:div w:id="1125926794">
      <w:bodyDiv w:val="1"/>
      <w:marLeft w:val="0"/>
      <w:marRight w:val="0"/>
      <w:marTop w:val="0"/>
      <w:marBottom w:val="0"/>
      <w:divBdr>
        <w:top w:val="none" w:sz="0" w:space="0" w:color="auto"/>
        <w:left w:val="none" w:sz="0" w:space="0" w:color="auto"/>
        <w:bottom w:val="none" w:sz="0" w:space="0" w:color="auto"/>
        <w:right w:val="none" w:sz="0" w:space="0" w:color="auto"/>
      </w:divBdr>
    </w:div>
    <w:div w:id="1126507071">
      <w:bodyDiv w:val="1"/>
      <w:marLeft w:val="0"/>
      <w:marRight w:val="0"/>
      <w:marTop w:val="0"/>
      <w:marBottom w:val="0"/>
      <w:divBdr>
        <w:top w:val="none" w:sz="0" w:space="0" w:color="auto"/>
        <w:left w:val="none" w:sz="0" w:space="0" w:color="auto"/>
        <w:bottom w:val="none" w:sz="0" w:space="0" w:color="auto"/>
        <w:right w:val="none" w:sz="0" w:space="0" w:color="auto"/>
      </w:divBdr>
      <w:divsChild>
        <w:div w:id="455878099">
          <w:marLeft w:val="547"/>
          <w:marRight w:val="0"/>
          <w:marTop w:val="115"/>
          <w:marBottom w:val="0"/>
          <w:divBdr>
            <w:top w:val="none" w:sz="0" w:space="0" w:color="auto"/>
            <w:left w:val="none" w:sz="0" w:space="0" w:color="auto"/>
            <w:bottom w:val="none" w:sz="0" w:space="0" w:color="auto"/>
            <w:right w:val="none" w:sz="0" w:space="0" w:color="auto"/>
          </w:divBdr>
        </w:div>
        <w:div w:id="1020856727">
          <w:marLeft w:val="1166"/>
          <w:marRight w:val="0"/>
          <w:marTop w:val="96"/>
          <w:marBottom w:val="0"/>
          <w:divBdr>
            <w:top w:val="none" w:sz="0" w:space="0" w:color="auto"/>
            <w:left w:val="none" w:sz="0" w:space="0" w:color="auto"/>
            <w:bottom w:val="none" w:sz="0" w:space="0" w:color="auto"/>
            <w:right w:val="none" w:sz="0" w:space="0" w:color="auto"/>
          </w:divBdr>
        </w:div>
        <w:div w:id="1219047304">
          <w:marLeft w:val="1166"/>
          <w:marRight w:val="0"/>
          <w:marTop w:val="96"/>
          <w:marBottom w:val="0"/>
          <w:divBdr>
            <w:top w:val="none" w:sz="0" w:space="0" w:color="auto"/>
            <w:left w:val="none" w:sz="0" w:space="0" w:color="auto"/>
            <w:bottom w:val="none" w:sz="0" w:space="0" w:color="auto"/>
            <w:right w:val="none" w:sz="0" w:space="0" w:color="auto"/>
          </w:divBdr>
        </w:div>
        <w:div w:id="1279024159">
          <w:marLeft w:val="1166"/>
          <w:marRight w:val="0"/>
          <w:marTop w:val="96"/>
          <w:marBottom w:val="0"/>
          <w:divBdr>
            <w:top w:val="none" w:sz="0" w:space="0" w:color="auto"/>
            <w:left w:val="none" w:sz="0" w:space="0" w:color="auto"/>
            <w:bottom w:val="none" w:sz="0" w:space="0" w:color="auto"/>
            <w:right w:val="none" w:sz="0" w:space="0" w:color="auto"/>
          </w:divBdr>
        </w:div>
        <w:div w:id="1319306762">
          <w:marLeft w:val="1166"/>
          <w:marRight w:val="0"/>
          <w:marTop w:val="96"/>
          <w:marBottom w:val="0"/>
          <w:divBdr>
            <w:top w:val="none" w:sz="0" w:space="0" w:color="auto"/>
            <w:left w:val="none" w:sz="0" w:space="0" w:color="auto"/>
            <w:bottom w:val="none" w:sz="0" w:space="0" w:color="auto"/>
            <w:right w:val="none" w:sz="0" w:space="0" w:color="auto"/>
          </w:divBdr>
        </w:div>
        <w:div w:id="1379233711">
          <w:marLeft w:val="1800"/>
          <w:marRight w:val="0"/>
          <w:marTop w:val="86"/>
          <w:marBottom w:val="0"/>
          <w:divBdr>
            <w:top w:val="none" w:sz="0" w:space="0" w:color="auto"/>
            <w:left w:val="none" w:sz="0" w:space="0" w:color="auto"/>
            <w:bottom w:val="none" w:sz="0" w:space="0" w:color="auto"/>
            <w:right w:val="none" w:sz="0" w:space="0" w:color="auto"/>
          </w:divBdr>
        </w:div>
        <w:div w:id="1423377278">
          <w:marLeft w:val="1166"/>
          <w:marRight w:val="0"/>
          <w:marTop w:val="96"/>
          <w:marBottom w:val="0"/>
          <w:divBdr>
            <w:top w:val="none" w:sz="0" w:space="0" w:color="auto"/>
            <w:left w:val="none" w:sz="0" w:space="0" w:color="auto"/>
            <w:bottom w:val="none" w:sz="0" w:space="0" w:color="auto"/>
            <w:right w:val="none" w:sz="0" w:space="0" w:color="auto"/>
          </w:divBdr>
        </w:div>
        <w:div w:id="1702702893">
          <w:marLeft w:val="547"/>
          <w:marRight w:val="0"/>
          <w:marTop w:val="115"/>
          <w:marBottom w:val="0"/>
          <w:divBdr>
            <w:top w:val="none" w:sz="0" w:space="0" w:color="auto"/>
            <w:left w:val="none" w:sz="0" w:space="0" w:color="auto"/>
            <w:bottom w:val="none" w:sz="0" w:space="0" w:color="auto"/>
            <w:right w:val="none" w:sz="0" w:space="0" w:color="auto"/>
          </w:divBdr>
        </w:div>
        <w:div w:id="1773088460">
          <w:marLeft w:val="1166"/>
          <w:marRight w:val="0"/>
          <w:marTop w:val="96"/>
          <w:marBottom w:val="0"/>
          <w:divBdr>
            <w:top w:val="none" w:sz="0" w:space="0" w:color="auto"/>
            <w:left w:val="none" w:sz="0" w:space="0" w:color="auto"/>
            <w:bottom w:val="none" w:sz="0" w:space="0" w:color="auto"/>
            <w:right w:val="none" w:sz="0" w:space="0" w:color="auto"/>
          </w:divBdr>
        </w:div>
      </w:divsChild>
    </w:div>
    <w:div w:id="1126968698">
      <w:bodyDiv w:val="1"/>
      <w:marLeft w:val="0"/>
      <w:marRight w:val="0"/>
      <w:marTop w:val="0"/>
      <w:marBottom w:val="0"/>
      <w:divBdr>
        <w:top w:val="none" w:sz="0" w:space="0" w:color="auto"/>
        <w:left w:val="none" w:sz="0" w:space="0" w:color="auto"/>
        <w:bottom w:val="none" w:sz="0" w:space="0" w:color="auto"/>
        <w:right w:val="none" w:sz="0" w:space="0" w:color="auto"/>
      </w:divBdr>
      <w:divsChild>
        <w:div w:id="142625155">
          <w:marLeft w:val="720"/>
          <w:marRight w:val="0"/>
          <w:marTop w:val="0"/>
          <w:marBottom w:val="0"/>
          <w:divBdr>
            <w:top w:val="none" w:sz="0" w:space="0" w:color="auto"/>
            <w:left w:val="none" w:sz="0" w:space="0" w:color="auto"/>
            <w:bottom w:val="none" w:sz="0" w:space="0" w:color="auto"/>
            <w:right w:val="none" w:sz="0" w:space="0" w:color="auto"/>
          </w:divBdr>
        </w:div>
        <w:div w:id="146553545">
          <w:marLeft w:val="720"/>
          <w:marRight w:val="0"/>
          <w:marTop w:val="0"/>
          <w:marBottom w:val="0"/>
          <w:divBdr>
            <w:top w:val="none" w:sz="0" w:space="0" w:color="auto"/>
            <w:left w:val="none" w:sz="0" w:space="0" w:color="auto"/>
            <w:bottom w:val="none" w:sz="0" w:space="0" w:color="auto"/>
            <w:right w:val="none" w:sz="0" w:space="0" w:color="auto"/>
          </w:divBdr>
        </w:div>
        <w:div w:id="769394851">
          <w:marLeft w:val="1440"/>
          <w:marRight w:val="0"/>
          <w:marTop w:val="0"/>
          <w:marBottom w:val="0"/>
          <w:divBdr>
            <w:top w:val="none" w:sz="0" w:space="0" w:color="auto"/>
            <w:left w:val="none" w:sz="0" w:space="0" w:color="auto"/>
            <w:bottom w:val="none" w:sz="0" w:space="0" w:color="auto"/>
            <w:right w:val="none" w:sz="0" w:space="0" w:color="auto"/>
          </w:divBdr>
        </w:div>
        <w:div w:id="858082982">
          <w:marLeft w:val="720"/>
          <w:marRight w:val="0"/>
          <w:marTop w:val="0"/>
          <w:marBottom w:val="0"/>
          <w:divBdr>
            <w:top w:val="none" w:sz="0" w:space="0" w:color="auto"/>
            <w:left w:val="none" w:sz="0" w:space="0" w:color="auto"/>
            <w:bottom w:val="none" w:sz="0" w:space="0" w:color="auto"/>
            <w:right w:val="none" w:sz="0" w:space="0" w:color="auto"/>
          </w:divBdr>
        </w:div>
        <w:div w:id="1210452957">
          <w:marLeft w:val="1440"/>
          <w:marRight w:val="0"/>
          <w:marTop w:val="0"/>
          <w:marBottom w:val="0"/>
          <w:divBdr>
            <w:top w:val="none" w:sz="0" w:space="0" w:color="auto"/>
            <w:left w:val="none" w:sz="0" w:space="0" w:color="auto"/>
            <w:bottom w:val="none" w:sz="0" w:space="0" w:color="auto"/>
            <w:right w:val="none" w:sz="0" w:space="0" w:color="auto"/>
          </w:divBdr>
        </w:div>
        <w:div w:id="2060981138">
          <w:marLeft w:val="1440"/>
          <w:marRight w:val="0"/>
          <w:marTop w:val="0"/>
          <w:marBottom w:val="0"/>
          <w:divBdr>
            <w:top w:val="none" w:sz="0" w:space="0" w:color="auto"/>
            <w:left w:val="none" w:sz="0" w:space="0" w:color="auto"/>
            <w:bottom w:val="none" w:sz="0" w:space="0" w:color="auto"/>
            <w:right w:val="none" w:sz="0" w:space="0" w:color="auto"/>
          </w:divBdr>
        </w:div>
        <w:div w:id="2112048738">
          <w:marLeft w:val="720"/>
          <w:marRight w:val="0"/>
          <w:marTop w:val="0"/>
          <w:marBottom w:val="0"/>
          <w:divBdr>
            <w:top w:val="none" w:sz="0" w:space="0" w:color="auto"/>
            <w:left w:val="none" w:sz="0" w:space="0" w:color="auto"/>
            <w:bottom w:val="none" w:sz="0" w:space="0" w:color="auto"/>
            <w:right w:val="none" w:sz="0" w:space="0" w:color="auto"/>
          </w:divBdr>
        </w:div>
      </w:divsChild>
    </w:div>
    <w:div w:id="1127116150">
      <w:bodyDiv w:val="1"/>
      <w:marLeft w:val="0"/>
      <w:marRight w:val="0"/>
      <w:marTop w:val="0"/>
      <w:marBottom w:val="0"/>
      <w:divBdr>
        <w:top w:val="none" w:sz="0" w:space="0" w:color="auto"/>
        <w:left w:val="none" w:sz="0" w:space="0" w:color="auto"/>
        <w:bottom w:val="none" w:sz="0" w:space="0" w:color="auto"/>
        <w:right w:val="none" w:sz="0" w:space="0" w:color="auto"/>
      </w:divBdr>
    </w:div>
    <w:div w:id="1127626077">
      <w:bodyDiv w:val="1"/>
      <w:marLeft w:val="0"/>
      <w:marRight w:val="0"/>
      <w:marTop w:val="0"/>
      <w:marBottom w:val="0"/>
      <w:divBdr>
        <w:top w:val="none" w:sz="0" w:space="0" w:color="auto"/>
        <w:left w:val="none" w:sz="0" w:space="0" w:color="auto"/>
        <w:bottom w:val="none" w:sz="0" w:space="0" w:color="auto"/>
        <w:right w:val="none" w:sz="0" w:space="0" w:color="auto"/>
      </w:divBdr>
    </w:div>
    <w:div w:id="1128284663">
      <w:bodyDiv w:val="1"/>
      <w:marLeft w:val="0"/>
      <w:marRight w:val="0"/>
      <w:marTop w:val="0"/>
      <w:marBottom w:val="0"/>
      <w:divBdr>
        <w:top w:val="none" w:sz="0" w:space="0" w:color="auto"/>
        <w:left w:val="none" w:sz="0" w:space="0" w:color="auto"/>
        <w:bottom w:val="none" w:sz="0" w:space="0" w:color="auto"/>
        <w:right w:val="none" w:sz="0" w:space="0" w:color="auto"/>
      </w:divBdr>
    </w:div>
    <w:div w:id="1128669778">
      <w:bodyDiv w:val="1"/>
      <w:marLeft w:val="0"/>
      <w:marRight w:val="0"/>
      <w:marTop w:val="0"/>
      <w:marBottom w:val="0"/>
      <w:divBdr>
        <w:top w:val="none" w:sz="0" w:space="0" w:color="auto"/>
        <w:left w:val="none" w:sz="0" w:space="0" w:color="auto"/>
        <w:bottom w:val="none" w:sz="0" w:space="0" w:color="auto"/>
        <w:right w:val="none" w:sz="0" w:space="0" w:color="auto"/>
      </w:divBdr>
    </w:div>
    <w:div w:id="1129125467">
      <w:bodyDiv w:val="1"/>
      <w:marLeft w:val="0"/>
      <w:marRight w:val="0"/>
      <w:marTop w:val="0"/>
      <w:marBottom w:val="0"/>
      <w:divBdr>
        <w:top w:val="none" w:sz="0" w:space="0" w:color="auto"/>
        <w:left w:val="none" w:sz="0" w:space="0" w:color="auto"/>
        <w:bottom w:val="none" w:sz="0" w:space="0" w:color="auto"/>
        <w:right w:val="none" w:sz="0" w:space="0" w:color="auto"/>
      </w:divBdr>
      <w:divsChild>
        <w:div w:id="315649160">
          <w:marLeft w:val="1166"/>
          <w:marRight w:val="0"/>
          <w:marTop w:val="96"/>
          <w:marBottom w:val="0"/>
          <w:divBdr>
            <w:top w:val="none" w:sz="0" w:space="0" w:color="auto"/>
            <w:left w:val="none" w:sz="0" w:space="0" w:color="auto"/>
            <w:bottom w:val="none" w:sz="0" w:space="0" w:color="auto"/>
            <w:right w:val="none" w:sz="0" w:space="0" w:color="auto"/>
          </w:divBdr>
        </w:div>
        <w:div w:id="442919905">
          <w:marLeft w:val="547"/>
          <w:marRight w:val="0"/>
          <w:marTop w:val="115"/>
          <w:marBottom w:val="0"/>
          <w:divBdr>
            <w:top w:val="none" w:sz="0" w:space="0" w:color="auto"/>
            <w:left w:val="none" w:sz="0" w:space="0" w:color="auto"/>
            <w:bottom w:val="none" w:sz="0" w:space="0" w:color="auto"/>
            <w:right w:val="none" w:sz="0" w:space="0" w:color="auto"/>
          </w:divBdr>
        </w:div>
      </w:divsChild>
    </w:div>
    <w:div w:id="1129515210">
      <w:bodyDiv w:val="1"/>
      <w:marLeft w:val="0"/>
      <w:marRight w:val="0"/>
      <w:marTop w:val="0"/>
      <w:marBottom w:val="0"/>
      <w:divBdr>
        <w:top w:val="none" w:sz="0" w:space="0" w:color="auto"/>
        <w:left w:val="none" w:sz="0" w:space="0" w:color="auto"/>
        <w:bottom w:val="none" w:sz="0" w:space="0" w:color="auto"/>
        <w:right w:val="none" w:sz="0" w:space="0" w:color="auto"/>
      </w:divBdr>
    </w:div>
    <w:div w:id="1130635825">
      <w:bodyDiv w:val="1"/>
      <w:marLeft w:val="0"/>
      <w:marRight w:val="0"/>
      <w:marTop w:val="0"/>
      <w:marBottom w:val="0"/>
      <w:divBdr>
        <w:top w:val="none" w:sz="0" w:space="0" w:color="auto"/>
        <w:left w:val="none" w:sz="0" w:space="0" w:color="auto"/>
        <w:bottom w:val="none" w:sz="0" w:space="0" w:color="auto"/>
        <w:right w:val="none" w:sz="0" w:space="0" w:color="auto"/>
      </w:divBdr>
    </w:div>
    <w:div w:id="1130978390">
      <w:bodyDiv w:val="1"/>
      <w:marLeft w:val="0"/>
      <w:marRight w:val="0"/>
      <w:marTop w:val="0"/>
      <w:marBottom w:val="0"/>
      <w:divBdr>
        <w:top w:val="none" w:sz="0" w:space="0" w:color="auto"/>
        <w:left w:val="none" w:sz="0" w:space="0" w:color="auto"/>
        <w:bottom w:val="none" w:sz="0" w:space="0" w:color="auto"/>
        <w:right w:val="none" w:sz="0" w:space="0" w:color="auto"/>
      </w:divBdr>
      <w:divsChild>
        <w:div w:id="62023506">
          <w:marLeft w:val="0"/>
          <w:marRight w:val="0"/>
          <w:marTop w:val="0"/>
          <w:marBottom w:val="0"/>
          <w:divBdr>
            <w:top w:val="none" w:sz="0" w:space="0" w:color="auto"/>
            <w:left w:val="none" w:sz="0" w:space="0" w:color="auto"/>
            <w:bottom w:val="none" w:sz="0" w:space="0" w:color="auto"/>
            <w:right w:val="none" w:sz="0" w:space="0" w:color="auto"/>
          </w:divBdr>
        </w:div>
        <w:div w:id="86123273">
          <w:marLeft w:val="0"/>
          <w:marRight w:val="0"/>
          <w:marTop w:val="0"/>
          <w:marBottom w:val="0"/>
          <w:divBdr>
            <w:top w:val="none" w:sz="0" w:space="0" w:color="auto"/>
            <w:left w:val="none" w:sz="0" w:space="0" w:color="auto"/>
            <w:bottom w:val="none" w:sz="0" w:space="0" w:color="auto"/>
            <w:right w:val="none" w:sz="0" w:space="0" w:color="auto"/>
          </w:divBdr>
        </w:div>
        <w:div w:id="146828875">
          <w:marLeft w:val="0"/>
          <w:marRight w:val="0"/>
          <w:marTop w:val="0"/>
          <w:marBottom w:val="0"/>
          <w:divBdr>
            <w:top w:val="none" w:sz="0" w:space="0" w:color="auto"/>
            <w:left w:val="none" w:sz="0" w:space="0" w:color="auto"/>
            <w:bottom w:val="none" w:sz="0" w:space="0" w:color="auto"/>
            <w:right w:val="none" w:sz="0" w:space="0" w:color="auto"/>
          </w:divBdr>
        </w:div>
        <w:div w:id="195700746">
          <w:marLeft w:val="0"/>
          <w:marRight w:val="0"/>
          <w:marTop w:val="0"/>
          <w:marBottom w:val="0"/>
          <w:divBdr>
            <w:top w:val="none" w:sz="0" w:space="0" w:color="auto"/>
            <w:left w:val="none" w:sz="0" w:space="0" w:color="auto"/>
            <w:bottom w:val="none" w:sz="0" w:space="0" w:color="auto"/>
            <w:right w:val="none" w:sz="0" w:space="0" w:color="auto"/>
          </w:divBdr>
        </w:div>
        <w:div w:id="200830310">
          <w:marLeft w:val="0"/>
          <w:marRight w:val="0"/>
          <w:marTop w:val="0"/>
          <w:marBottom w:val="0"/>
          <w:divBdr>
            <w:top w:val="none" w:sz="0" w:space="0" w:color="auto"/>
            <w:left w:val="none" w:sz="0" w:space="0" w:color="auto"/>
            <w:bottom w:val="none" w:sz="0" w:space="0" w:color="auto"/>
            <w:right w:val="none" w:sz="0" w:space="0" w:color="auto"/>
          </w:divBdr>
        </w:div>
        <w:div w:id="322665098">
          <w:marLeft w:val="0"/>
          <w:marRight w:val="0"/>
          <w:marTop w:val="0"/>
          <w:marBottom w:val="0"/>
          <w:divBdr>
            <w:top w:val="none" w:sz="0" w:space="0" w:color="auto"/>
            <w:left w:val="none" w:sz="0" w:space="0" w:color="auto"/>
            <w:bottom w:val="none" w:sz="0" w:space="0" w:color="auto"/>
            <w:right w:val="none" w:sz="0" w:space="0" w:color="auto"/>
          </w:divBdr>
        </w:div>
        <w:div w:id="353968117">
          <w:marLeft w:val="0"/>
          <w:marRight w:val="0"/>
          <w:marTop w:val="0"/>
          <w:marBottom w:val="0"/>
          <w:divBdr>
            <w:top w:val="none" w:sz="0" w:space="0" w:color="auto"/>
            <w:left w:val="none" w:sz="0" w:space="0" w:color="auto"/>
            <w:bottom w:val="none" w:sz="0" w:space="0" w:color="auto"/>
            <w:right w:val="none" w:sz="0" w:space="0" w:color="auto"/>
          </w:divBdr>
        </w:div>
        <w:div w:id="358817594">
          <w:marLeft w:val="0"/>
          <w:marRight w:val="0"/>
          <w:marTop w:val="0"/>
          <w:marBottom w:val="0"/>
          <w:divBdr>
            <w:top w:val="none" w:sz="0" w:space="0" w:color="auto"/>
            <w:left w:val="none" w:sz="0" w:space="0" w:color="auto"/>
            <w:bottom w:val="none" w:sz="0" w:space="0" w:color="auto"/>
            <w:right w:val="none" w:sz="0" w:space="0" w:color="auto"/>
          </w:divBdr>
        </w:div>
        <w:div w:id="526870585">
          <w:marLeft w:val="0"/>
          <w:marRight w:val="0"/>
          <w:marTop w:val="0"/>
          <w:marBottom w:val="0"/>
          <w:divBdr>
            <w:top w:val="none" w:sz="0" w:space="0" w:color="auto"/>
            <w:left w:val="none" w:sz="0" w:space="0" w:color="auto"/>
            <w:bottom w:val="none" w:sz="0" w:space="0" w:color="auto"/>
            <w:right w:val="none" w:sz="0" w:space="0" w:color="auto"/>
          </w:divBdr>
        </w:div>
        <w:div w:id="548542115">
          <w:marLeft w:val="0"/>
          <w:marRight w:val="0"/>
          <w:marTop w:val="0"/>
          <w:marBottom w:val="0"/>
          <w:divBdr>
            <w:top w:val="none" w:sz="0" w:space="0" w:color="auto"/>
            <w:left w:val="none" w:sz="0" w:space="0" w:color="auto"/>
            <w:bottom w:val="none" w:sz="0" w:space="0" w:color="auto"/>
            <w:right w:val="none" w:sz="0" w:space="0" w:color="auto"/>
          </w:divBdr>
        </w:div>
        <w:div w:id="563873382">
          <w:marLeft w:val="0"/>
          <w:marRight w:val="0"/>
          <w:marTop w:val="0"/>
          <w:marBottom w:val="0"/>
          <w:divBdr>
            <w:top w:val="none" w:sz="0" w:space="0" w:color="auto"/>
            <w:left w:val="none" w:sz="0" w:space="0" w:color="auto"/>
            <w:bottom w:val="none" w:sz="0" w:space="0" w:color="auto"/>
            <w:right w:val="none" w:sz="0" w:space="0" w:color="auto"/>
          </w:divBdr>
        </w:div>
        <w:div w:id="675153048">
          <w:marLeft w:val="0"/>
          <w:marRight w:val="0"/>
          <w:marTop w:val="0"/>
          <w:marBottom w:val="0"/>
          <w:divBdr>
            <w:top w:val="none" w:sz="0" w:space="0" w:color="auto"/>
            <w:left w:val="none" w:sz="0" w:space="0" w:color="auto"/>
            <w:bottom w:val="none" w:sz="0" w:space="0" w:color="auto"/>
            <w:right w:val="none" w:sz="0" w:space="0" w:color="auto"/>
          </w:divBdr>
        </w:div>
        <w:div w:id="796795038">
          <w:marLeft w:val="0"/>
          <w:marRight w:val="0"/>
          <w:marTop w:val="0"/>
          <w:marBottom w:val="0"/>
          <w:divBdr>
            <w:top w:val="none" w:sz="0" w:space="0" w:color="auto"/>
            <w:left w:val="none" w:sz="0" w:space="0" w:color="auto"/>
            <w:bottom w:val="none" w:sz="0" w:space="0" w:color="auto"/>
            <w:right w:val="none" w:sz="0" w:space="0" w:color="auto"/>
          </w:divBdr>
        </w:div>
        <w:div w:id="806553350">
          <w:marLeft w:val="0"/>
          <w:marRight w:val="0"/>
          <w:marTop w:val="0"/>
          <w:marBottom w:val="0"/>
          <w:divBdr>
            <w:top w:val="none" w:sz="0" w:space="0" w:color="auto"/>
            <w:left w:val="none" w:sz="0" w:space="0" w:color="auto"/>
            <w:bottom w:val="none" w:sz="0" w:space="0" w:color="auto"/>
            <w:right w:val="none" w:sz="0" w:space="0" w:color="auto"/>
          </w:divBdr>
        </w:div>
        <w:div w:id="818183316">
          <w:marLeft w:val="0"/>
          <w:marRight w:val="0"/>
          <w:marTop w:val="0"/>
          <w:marBottom w:val="0"/>
          <w:divBdr>
            <w:top w:val="none" w:sz="0" w:space="0" w:color="auto"/>
            <w:left w:val="none" w:sz="0" w:space="0" w:color="auto"/>
            <w:bottom w:val="none" w:sz="0" w:space="0" w:color="auto"/>
            <w:right w:val="none" w:sz="0" w:space="0" w:color="auto"/>
          </w:divBdr>
        </w:div>
        <w:div w:id="923028340">
          <w:marLeft w:val="0"/>
          <w:marRight w:val="0"/>
          <w:marTop w:val="0"/>
          <w:marBottom w:val="0"/>
          <w:divBdr>
            <w:top w:val="none" w:sz="0" w:space="0" w:color="auto"/>
            <w:left w:val="none" w:sz="0" w:space="0" w:color="auto"/>
            <w:bottom w:val="none" w:sz="0" w:space="0" w:color="auto"/>
            <w:right w:val="none" w:sz="0" w:space="0" w:color="auto"/>
          </w:divBdr>
        </w:div>
        <w:div w:id="941061704">
          <w:marLeft w:val="0"/>
          <w:marRight w:val="0"/>
          <w:marTop w:val="0"/>
          <w:marBottom w:val="0"/>
          <w:divBdr>
            <w:top w:val="none" w:sz="0" w:space="0" w:color="auto"/>
            <w:left w:val="none" w:sz="0" w:space="0" w:color="auto"/>
            <w:bottom w:val="none" w:sz="0" w:space="0" w:color="auto"/>
            <w:right w:val="none" w:sz="0" w:space="0" w:color="auto"/>
          </w:divBdr>
        </w:div>
        <w:div w:id="1113357244">
          <w:marLeft w:val="0"/>
          <w:marRight w:val="0"/>
          <w:marTop w:val="0"/>
          <w:marBottom w:val="0"/>
          <w:divBdr>
            <w:top w:val="none" w:sz="0" w:space="0" w:color="auto"/>
            <w:left w:val="none" w:sz="0" w:space="0" w:color="auto"/>
            <w:bottom w:val="none" w:sz="0" w:space="0" w:color="auto"/>
            <w:right w:val="none" w:sz="0" w:space="0" w:color="auto"/>
          </w:divBdr>
        </w:div>
        <w:div w:id="1303464888">
          <w:marLeft w:val="0"/>
          <w:marRight w:val="0"/>
          <w:marTop w:val="0"/>
          <w:marBottom w:val="0"/>
          <w:divBdr>
            <w:top w:val="none" w:sz="0" w:space="0" w:color="auto"/>
            <w:left w:val="none" w:sz="0" w:space="0" w:color="auto"/>
            <w:bottom w:val="none" w:sz="0" w:space="0" w:color="auto"/>
            <w:right w:val="none" w:sz="0" w:space="0" w:color="auto"/>
          </w:divBdr>
        </w:div>
        <w:div w:id="1325010392">
          <w:marLeft w:val="0"/>
          <w:marRight w:val="0"/>
          <w:marTop w:val="0"/>
          <w:marBottom w:val="0"/>
          <w:divBdr>
            <w:top w:val="none" w:sz="0" w:space="0" w:color="auto"/>
            <w:left w:val="none" w:sz="0" w:space="0" w:color="auto"/>
            <w:bottom w:val="none" w:sz="0" w:space="0" w:color="auto"/>
            <w:right w:val="none" w:sz="0" w:space="0" w:color="auto"/>
          </w:divBdr>
        </w:div>
        <w:div w:id="1393964333">
          <w:marLeft w:val="0"/>
          <w:marRight w:val="0"/>
          <w:marTop w:val="0"/>
          <w:marBottom w:val="0"/>
          <w:divBdr>
            <w:top w:val="none" w:sz="0" w:space="0" w:color="auto"/>
            <w:left w:val="none" w:sz="0" w:space="0" w:color="auto"/>
            <w:bottom w:val="none" w:sz="0" w:space="0" w:color="auto"/>
            <w:right w:val="none" w:sz="0" w:space="0" w:color="auto"/>
          </w:divBdr>
        </w:div>
        <w:div w:id="1412656654">
          <w:marLeft w:val="0"/>
          <w:marRight w:val="0"/>
          <w:marTop w:val="0"/>
          <w:marBottom w:val="0"/>
          <w:divBdr>
            <w:top w:val="none" w:sz="0" w:space="0" w:color="auto"/>
            <w:left w:val="none" w:sz="0" w:space="0" w:color="auto"/>
            <w:bottom w:val="none" w:sz="0" w:space="0" w:color="auto"/>
            <w:right w:val="none" w:sz="0" w:space="0" w:color="auto"/>
          </w:divBdr>
        </w:div>
        <w:div w:id="1448817942">
          <w:marLeft w:val="0"/>
          <w:marRight w:val="0"/>
          <w:marTop w:val="0"/>
          <w:marBottom w:val="0"/>
          <w:divBdr>
            <w:top w:val="none" w:sz="0" w:space="0" w:color="auto"/>
            <w:left w:val="none" w:sz="0" w:space="0" w:color="auto"/>
            <w:bottom w:val="none" w:sz="0" w:space="0" w:color="auto"/>
            <w:right w:val="none" w:sz="0" w:space="0" w:color="auto"/>
          </w:divBdr>
        </w:div>
        <w:div w:id="1522549477">
          <w:marLeft w:val="0"/>
          <w:marRight w:val="0"/>
          <w:marTop w:val="0"/>
          <w:marBottom w:val="0"/>
          <w:divBdr>
            <w:top w:val="none" w:sz="0" w:space="0" w:color="auto"/>
            <w:left w:val="none" w:sz="0" w:space="0" w:color="auto"/>
            <w:bottom w:val="none" w:sz="0" w:space="0" w:color="auto"/>
            <w:right w:val="none" w:sz="0" w:space="0" w:color="auto"/>
          </w:divBdr>
        </w:div>
        <w:div w:id="1545364018">
          <w:marLeft w:val="0"/>
          <w:marRight w:val="0"/>
          <w:marTop w:val="0"/>
          <w:marBottom w:val="0"/>
          <w:divBdr>
            <w:top w:val="none" w:sz="0" w:space="0" w:color="auto"/>
            <w:left w:val="none" w:sz="0" w:space="0" w:color="auto"/>
            <w:bottom w:val="none" w:sz="0" w:space="0" w:color="auto"/>
            <w:right w:val="none" w:sz="0" w:space="0" w:color="auto"/>
          </w:divBdr>
        </w:div>
        <w:div w:id="1674457325">
          <w:marLeft w:val="0"/>
          <w:marRight w:val="0"/>
          <w:marTop w:val="0"/>
          <w:marBottom w:val="0"/>
          <w:divBdr>
            <w:top w:val="none" w:sz="0" w:space="0" w:color="auto"/>
            <w:left w:val="none" w:sz="0" w:space="0" w:color="auto"/>
            <w:bottom w:val="none" w:sz="0" w:space="0" w:color="auto"/>
            <w:right w:val="none" w:sz="0" w:space="0" w:color="auto"/>
          </w:divBdr>
        </w:div>
        <w:div w:id="1957368418">
          <w:marLeft w:val="0"/>
          <w:marRight w:val="0"/>
          <w:marTop w:val="0"/>
          <w:marBottom w:val="0"/>
          <w:divBdr>
            <w:top w:val="none" w:sz="0" w:space="0" w:color="auto"/>
            <w:left w:val="none" w:sz="0" w:space="0" w:color="auto"/>
            <w:bottom w:val="none" w:sz="0" w:space="0" w:color="auto"/>
            <w:right w:val="none" w:sz="0" w:space="0" w:color="auto"/>
          </w:divBdr>
        </w:div>
        <w:div w:id="2017418355">
          <w:marLeft w:val="0"/>
          <w:marRight w:val="0"/>
          <w:marTop w:val="0"/>
          <w:marBottom w:val="0"/>
          <w:divBdr>
            <w:top w:val="none" w:sz="0" w:space="0" w:color="auto"/>
            <w:left w:val="none" w:sz="0" w:space="0" w:color="auto"/>
            <w:bottom w:val="none" w:sz="0" w:space="0" w:color="auto"/>
            <w:right w:val="none" w:sz="0" w:space="0" w:color="auto"/>
          </w:divBdr>
        </w:div>
        <w:div w:id="2037584040">
          <w:marLeft w:val="0"/>
          <w:marRight w:val="0"/>
          <w:marTop w:val="0"/>
          <w:marBottom w:val="0"/>
          <w:divBdr>
            <w:top w:val="none" w:sz="0" w:space="0" w:color="auto"/>
            <w:left w:val="none" w:sz="0" w:space="0" w:color="auto"/>
            <w:bottom w:val="none" w:sz="0" w:space="0" w:color="auto"/>
            <w:right w:val="none" w:sz="0" w:space="0" w:color="auto"/>
          </w:divBdr>
        </w:div>
        <w:div w:id="2062705563">
          <w:marLeft w:val="0"/>
          <w:marRight w:val="0"/>
          <w:marTop w:val="0"/>
          <w:marBottom w:val="0"/>
          <w:divBdr>
            <w:top w:val="none" w:sz="0" w:space="0" w:color="auto"/>
            <w:left w:val="none" w:sz="0" w:space="0" w:color="auto"/>
            <w:bottom w:val="none" w:sz="0" w:space="0" w:color="auto"/>
            <w:right w:val="none" w:sz="0" w:space="0" w:color="auto"/>
          </w:divBdr>
        </w:div>
        <w:div w:id="2070689239">
          <w:marLeft w:val="0"/>
          <w:marRight w:val="0"/>
          <w:marTop w:val="0"/>
          <w:marBottom w:val="0"/>
          <w:divBdr>
            <w:top w:val="none" w:sz="0" w:space="0" w:color="auto"/>
            <w:left w:val="none" w:sz="0" w:space="0" w:color="auto"/>
            <w:bottom w:val="none" w:sz="0" w:space="0" w:color="auto"/>
            <w:right w:val="none" w:sz="0" w:space="0" w:color="auto"/>
          </w:divBdr>
        </w:div>
        <w:div w:id="2093039169">
          <w:marLeft w:val="0"/>
          <w:marRight w:val="0"/>
          <w:marTop w:val="0"/>
          <w:marBottom w:val="0"/>
          <w:divBdr>
            <w:top w:val="none" w:sz="0" w:space="0" w:color="auto"/>
            <w:left w:val="none" w:sz="0" w:space="0" w:color="auto"/>
            <w:bottom w:val="none" w:sz="0" w:space="0" w:color="auto"/>
            <w:right w:val="none" w:sz="0" w:space="0" w:color="auto"/>
          </w:divBdr>
        </w:div>
        <w:div w:id="2136439732">
          <w:marLeft w:val="0"/>
          <w:marRight w:val="0"/>
          <w:marTop w:val="0"/>
          <w:marBottom w:val="0"/>
          <w:divBdr>
            <w:top w:val="none" w:sz="0" w:space="0" w:color="auto"/>
            <w:left w:val="none" w:sz="0" w:space="0" w:color="auto"/>
            <w:bottom w:val="none" w:sz="0" w:space="0" w:color="auto"/>
            <w:right w:val="none" w:sz="0" w:space="0" w:color="auto"/>
          </w:divBdr>
        </w:div>
      </w:divsChild>
    </w:div>
    <w:div w:id="1131244956">
      <w:bodyDiv w:val="1"/>
      <w:marLeft w:val="0"/>
      <w:marRight w:val="0"/>
      <w:marTop w:val="0"/>
      <w:marBottom w:val="0"/>
      <w:divBdr>
        <w:top w:val="none" w:sz="0" w:space="0" w:color="auto"/>
        <w:left w:val="none" w:sz="0" w:space="0" w:color="auto"/>
        <w:bottom w:val="none" w:sz="0" w:space="0" w:color="auto"/>
        <w:right w:val="none" w:sz="0" w:space="0" w:color="auto"/>
      </w:divBdr>
    </w:div>
    <w:div w:id="1131824446">
      <w:bodyDiv w:val="1"/>
      <w:marLeft w:val="0"/>
      <w:marRight w:val="0"/>
      <w:marTop w:val="0"/>
      <w:marBottom w:val="0"/>
      <w:divBdr>
        <w:top w:val="none" w:sz="0" w:space="0" w:color="auto"/>
        <w:left w:val="none" w:sz="0" w:space="0" w:color="auto"/>
        <w:bottom w:val="none" w:sz="0" w:space="0" w:color="auto"/>
        <w:right w:val="none" w:sz="0" w:space="0" w:color="auto"/>
      </w:divBdr>
    </w:div>
    <w:div w:id="1132402225">
      <w:bodyDiv w:val="1"/>
      <w:marLeft w:val="0"/>
      <w:marRight w:val="0"/>
      <w:marTop w:val="0"/>
      <w:marBottom w:val="0"/>
      <w:divBdr>
        <w:top w:val="none" w:sz="0" w:space="0" w:color="auto"/>
        <w:left w:val="none" w:sz="0" w:space="0" w:color="auto"/>
        <w:bottom w:val="none" w:sz="0" w:space="0" w:color="auto"/>
        <w:right w:val="none" w:sz="0" w:space="0" w:color="auto"/>
      </w:divBdr>
    </w:div>
    <w:div w:id="1132479562">
      <w:bodyDiv w:val="1"/>
      <w:marLeft w:val="0"/>
      <w:marRight w:val="0"/>
      <w:marTop w:val="0"/>
      <w:marBottom w:val="0"/>
      <w:divBdr>
        <w:top w:val="none" w:sz="0" w:space="0" w:color="auto"/>
        <w:left w:val="none" w:sz="0" w:space="0" w:color="auto"/>
        <w:bottom w:val="none" w:sz="0" w:space="0" w:color="auto"/>
        <w:right w:val="none" w:sz="0" w:space="0" w:color="auto"/>
      </w:divBdr>
      <w:divsChild>
        <w:div w:id="415059491">
          <w:marLeft w:val="547"/>
          <w:marRight w:val="0"/>
          <w:marTop w:val="134"/>
          <w:marBottom w:val="0"/>
          <w:divBdr>
            <w:top w:val="none" w:sz="0" w:space="0" w:color="auto"/>
            <w:left w:val="none" w:sz="0" w:space="0" w:color="auto"/>
            <w:bottom w:val="none" w:sz="0" w:space="0" w:color="auto"/>
            <w:right w:val="none" w:sz="0" w:space="0" w:color="auto"/>
          </w:divBdr>
        </w:div>
        <w:div w:id="596409698">
          <w:marLeft w:val="547"/>
          <w:marRight w:val="0"/>
          <w:marTop w:val="134"/>
          <w:marBottom w:val="0"/>
          <w:divBdr>
            <w:top w:val="none" w:sz="0" w:space="0" w:color="auto"/>
            <w:left w:val="none" w:sz="0" w:space="0" w:color="auto"/>
            <w:bottom w:val="none" w:sz="0" w:space="0" w:color="auto"/>
            <w:right w:val="none" w:sz="0" w:space="0" w:color="auto"/>
          </w:divBdr>
        </w:div>
        <w:div w:id="750397572">
          <w:marLeft w:val="547"/>
          <w:marRight w:val="0"/>
          <w:marTop w:val="134"/>
          <w:marBottom w:val="0"/>
          <w:divBdr>
            <w:top w:val="none" w:sz="0" w:space="0" w:color="auto"/>
            <w:left w:val="none" w:sz="0" w:space="0" w:color="auto"/>
            <w:bottom w:val="none" w:sz="0" w:space="0" w:color="auto"/>
            <w:right w:val="none" w:sz="0" w:space="0" w:color="auto"/>
          </w:divBdr>
        </w:div>
        <w:div w:id="1273365319">
          <w:marLeft w:val="547"/>
          <w:marRight w:val="0"/>
          <w:marTop w:val="134"/>
          <w:marBottom w:val="0"/>
          <w:divBdr>
            <w:top w:val="none" w:sz="0" w:space="0" w:color="auto"/>
            <w:left w:val="none" w:sz="0" w:space="0" w:color="auto"/>
            <w:bottom w:val="none" w:sz="0" w:space="0" w:color="auto"/>
            <w:right w:val="none" w:sz="0" w:space="0" w:color="auto"/>
          </w:divBdr>
        </w:div>
      </w:divsChild>
    </w:div>
    <w:div w:id="1133401053">
      <w:bodyDiv w:val="1"/>
      <w:marLeft w:val="0"/>
      <w:marRight w:val="0"/>
      <w:marTop w:val="0"/>
      <w:marBottom w:val="0"/>
      <w:divBdr>
        <w:top w:val="none" w:sz="0" w:space="0" w:color="auto"/>
        <w:left w:val="none" w:sz="0" w:space="0" w:color="auto"/>
        <w:bottom w:val="none" w:sz="0" w:space="0" w:color="auto"/>
        <w:right w:val="none" w:sz="0" w:space="0" w:color="auto"/>
      </w:divBdr>
      <w:divsChild>
        <w:div w:id="185140805">
          <w:marLeft w:val="1800"/>
          <w:marRight w:val="0"/>
          <w:marTop w:val="106"/>
          <w:marBottom w:val="0"/>
          <w:divBdr>
            <w:top w:val="none" w:sz="0" w:space="0" w:color="auto"/>
            <w:left w:val="none" w:sz="0" w:space="0" w:color="auto"/>
            <w:bottom w:val="none" w:sz="0" w:space="0" w:color="auto"/>
            <w:right w:val="none" w:sz="0" w:space="0" w:color="auto"/>
          </w:divBdr>
        </w:div>
        <w:div w:id="387924093">
          <w:marLeft w:val="1166"/>
          <w:marRight w:val="0"/>
          <w:marTop w:val="125"/>
          <w:marBottom w:val="0"/>
          <w:divBdr>
            <w:top w:val="none" w:sz="0" w:space="0" w:color="auto"/>
            <w:left w:val="none" w:sz="0" w:space="0" w:color="auto"/>
            <w:bottom w:val="none" w:sz="0" w:space="0" w:color="auto"/>
            <w:right w:val="none" w:sz="0" w:space="0" w:color="auto"/>
          </w:divBdr>
        </w:div>
        <w:div w:id="524907274">
          <w:marLeft w:val="547"/>
          <w:marRight w:val="0"/>
          <w:marTop w:val="115"/>
          <w:marBottom w:val="0"/>
          <w:divBdr>
            <w:top w:val="none" w:sz="0" w:space="0" w:color="auto"/>
            <w:left w:val="none" w:sz="0" w:space="0" w:color="auto"/>
            <w:bottom w:val="none" w:sz="0" w:space="0" w:color="auto"/>
            <w:right w:val="none" w:sz="0" w:space="0" w:color="auto"/>
          </w:divBdr>
        </w:div>
        <w:div w:id="847871997">
          <w:marLeft w:val="547"/>
          <w:marRight w:val="0"/>
          <w:marTop w:val="115"/>
          <w:marBottom w:val="0"/>
          <w:divBdr>
            <w:top w:val="none" w:sz="0" w:space="0" w:color="auto"/>
            <w:left w:val="none" w:sz="0" w:space="0" w:color="auto"/>
            <w:bottom w:val="none" w:sz="0" w:space="0" w:color="auto"/>
            <w:right w:val="none" w:sz="0" w:space="0" w:color="auto"/>
          </w:divBdr>
        </w:div>
        <w:div w:id="912005202">
          <w:marLeft w:val="1800"/>
          <w:marRight w:val="0"/>
          <w:marTop w:val="106"/>
          <w:marBottom w:val="0"/>
          <w:divBdr>
            <w:top w:val="none" w:sz="0" w:space="0" w:color="auto"/>
            <w:left w:val="none" w:sz="0" w:space="0" w:color="auto"/>
            <w:bottom w:val="none" w:sz="0" w:space="0" w:color="auto"/>
            <w:right w:val="none" w:sz="0" w:space="0" w:color="auto"/>
          </w:divBdr>
        </w:div>
        <w:div w:id="973490311">
          <w:marLeft w:val="1800"/>
          <w:marRight w:val="0"/>
          <w:marTop w:val="106"/>
          <w:marBottom w:val="0"/>
          <w:divBdr>
            <w:top w:val="none" w:sz="0" w:space="0" w:color="auto"/>
            <w:left w:val="none" w:sz="0" w:space="0" w:color="auto"/>
            <w:bottom w:val="none" w:sz="0" w:space="0" w:color="auto"/>
            <w:right w:val="none" w:sz="0" w:space="0" w:color="auto"/>
          </w:divBdr>
        </w:div>
        <w:div w:id="1890258532">
          <w:marLeft w:val="1800"/>
          <w:marRight w:val="0"/>
          <w:marTop w:val="106"/>
          <w:marBottom w:val="0"/>
          <w:divBdr>
            <w:top w:val="none" w:sz="0" w:space="0" w:color="auto"/>
            <w:left w:val="none" w:sz="0" w:space="0" w:color="auto"/>
            <w:bottom w:val="none" w:sz="0" w:space="0" w:color="auto"/>
            <w:right w:val="none" w:sz="0" w:space="0" w:color="auto"/>
          </w:divBdr>
        </w:div>
        <w:div w:id="1905213430">
          <w:marLeft w:val="547"/>
          <w:marRight w:val="0"/>
          <w:marTop w:val="163"/>
          <w:marBottom w:val="0"/>
          <w:divBdr>
            <w:top w:val="none" w:sz="0" w:space="0" w:color="auto"/>
            <w:left w:val="none" w:sz="0" w:space="0" w:color="auto"/>
            <w:bottom w:val="none" w:sz="0" w:space="0" w:color="auto"/>
            <w:right w:val="none" w:sz="0" w:space="0" w:color="auto"/>
          </w:divBdr>
        </w:div>
        <w:div w:id="1984506620">
          <w:marLeft w:val="1166"/>
          <w:marRight w:val="0"/>
          <w:marTop w:val="125"/>
          <w:marBottom w:val="0"/>
          <w:divBdr>
            <w:top w:val="none" w:sz="0" w:space="0" w:color="auto"/>
            <w:left w:val="none" w:sz="0" w:space="0" w:color="auto"/>
            <w:bottom w:val="none" w:sz="0" w:space="0" w:color="auto"/>
            <w:right w:val="none" w:sz="0" w:space="0" w:color="auto"/>
          </w:divBdr>
        </w:div>
      </w:divsChild>
    </w:div>
    <w:div w:id="1135222288">
      <w:bodyDiv w:val="1"/>
      <w:marLeft w:val="0"/>
      <w:marRight w:val="0"/>
      <w:marTop w:val="0"/>
      <w:marBottom w:val="0"/>
      <w:divBdr>
        <w:top w:val="none" w:sz="0" w:space="0" w:color="auto"/>
        <w:left w:val="none" w:sz="0" w:space="0" w:color="auto"/>
        <w:bottom w:val="none" w:sz="0" w:space="0" w:color="auto"/>
        <w:right w:val="none" w:sz="0" w:space="0" w:color="auto"/>
      </w:divBdr>
    </w:div>
    <w:div w:id="1135492644">
      <w:bodyDiv w:val="1"/>
      <w:marLeft w:val="0"/>
      <w:marRight w:val="0"/>
      <w:marTop w:val="0"/>
      <w:marBottom w:val="0"/>
      <w:divBdr>
        <w:top w:val="none" w:sz="0" w:space="0" w:color="auto"/>
        <w:left w:val="none" w:sz="0" w:space="0" w:color="auto"/>
        <w:bottom w:val="none" w:sz="0" w:space="0" w:color="auto"/>
        <w:right w:val="none" w:sz="0" w:space="0" w:color="auto"/>
      </w:divBdr>
      <w:divsChild>
        <w:div w:id="654145448">
          <w:marLeft w:val="1800"/>
          <w:marRight w:val="0"/>
          <w:marTop w:val="115"/>
          <w:marBottom w:val="0"/>
          <w:divBdr>
            <w:top w:val="none" w:sz="0" w:space="0" w:color="auto"/>
            <w:left w:val="none" w:sz="0" w:space="0" w:color="auto"/>
            <w:bottom w:val="none" w:sz="0" w:space="0" w:color="auto"/>
            <w:right w:val="none" w:sz="0" w:space="0" w:color="auto"/>
          </w:divBdr>
        </w:div>
        <w:div w:id="1648167647">
          <w:marLeft w:val="547"/>
          <w:marRight w:val="0"/>
          <w:marTop w:val="154"/>
          <w:marBottom w:val="0"/>
          <w:divBdr>
            <w:top w:val="none" w:sz="0" w:space="0" w:color="auto"/>
            <w:left w:val="none" w:sz="0" w:space="0" w:color="auto"/>
            <w:bottom w:val="none" w:sz="0" w:space="0" w:color="auto"/>
            <w:right w:val="none" w:sz="0" w:space="0" w:color="auto"/>
          </w:divBdr>
        </w:div>
        <w:div w:id="1851488099">
          <w:marLeft w:val="1800"/>
          <w:marRight w:val="0"/>
          <w:marTop w:val="115"/>
          <w:marBottom w:val="0"/>
          <w:divBdr>
            <w:top w:val="none" w:sz="0" w:space="0" w:color="auto"/>
            <w:left w:val="none" w:sz="0" w:space="0" w:color="auto"/>
            <w:bottom w:val="none" w:sz="0" w:space="0" w:color="auto"/>
            <w:right w:val="none" w:sz="0" w:space="0" w:color="auto"/>
          </w:divBdr>
        </w:div>
        <w:div w:id="2049913711">
          <w:marLeft w:val="1800"/>
          <w:marRight w:val="0"/>
          <w:marTop w:val="115"/>
          <w:marBottom w:val="0"/>
          <w:divBdr>
            <w:top w:val="none" w:sz="0" w:space="0" w:color="auto"/>
            <w:left w:val="none" w:sz="0" w:space="0" w:color="auto"/>
            <w:bottom w:val="none" w:sz="0" w:space="0" w:color="auto"/>
            <w:right w:val="none" w:sz="0" w:space="0" w:color="auto"/>
          </w:divBdr>
        </w:div>
        <w:div w:id="2073189439">
          <w:marLeft w:val="1166"/>
          <w:marRight w:val="0"/>
          <w:marTop w:val="134"/>
          <w:marBottom w:val="0"/>
          <w:divBdr>
            <w:top w:val="none" w:sz="0" w:space="0" w:color="auto"/>
            <w:left w:val="none" w:sz="0" w:space="0" w:color="auto"/>
            <w:bottom w:val="none" w:sz="0" w:space="0" w:color="auto"/>
            <w:right w:val="none" w:sz="0" w:space="0" w:color="auto"/>
          </w:divBdr>
        </w:div>
      </w:divsChild>
    </w:div>
    <w:div w:id="1135753135">
      <w:bodyDiv w:val="1"/>
      <w:marLeft w:val="0"/>
      <w:marRight w:val="0"/>
      <w:marTop w:val="0"/>
      <w:marBottom w:val="0"/>
      <w:divBdr>
        <w:top w:val="none" w:sz="0" w:space="0" w:color="auto"/>
        <w:left w:val="none" w:sz="0" w:space="0" w:color="auto"/>
        <w:bottom w:val="none" w:sz="0" w:space="0" w:color="auto"/>
        <w:right w:val="none" w:sz="0" w:space="0" w:color="auto"/>
      </w:divBdr>
      <w:divsChild>
        <w:div w:id="442655539">
          <w:marLeft w:val="0"/>
          <w:marRight w:val="0"/>
          <w:marTop w:val="0"/>
          <w:marBottom w:val="0"/>
          <w:divBdr>
            <w:top w:val="none" w:sz="0" w:space="0" w:color="auto"/>
            <w:left w:val="none" w:sz="0" w:space="0" w:color="auto"/>
            <w:bottom w:val="none" w:sz="0" w:space="0" w:color="auto"/>
            <w:right w:val="none" w:sz="0" w:space="0" w:color="auto"/>
          </w:divBdr>
          <w:divsChild>
            <w:div w:id="376439948">
              <w:marLeft w:val="0"/>
              <w:marRight w:val="0"/>
              <w:marTop w:val="0"/>
              <w:marBottom w:val="0"/>
              <w:divBdr>
                <w:top w:val="none" w:sz="0" w:space="0" w:color="auto"/>
                <w:left w:val="none" w:sz="0" w:space="0" w:color="auto"/>
                <w:bottom w:val="none" w:sz="0" w:space="0" w:color="auto"/>
                <w:right w:val="none" w:sz="0" w:space="0" w:color="auto"/>
              </w:divBdr>
            </w:div>
            <w:div w:id="760489719">
              <w:marLeft w:val="0"/>
              <w:marRight w:val="0"/>
              <w:marTop w:val="0"/>
              <w:marBottom w:val="0"/>
              <w:divBdr>
                <w:top w:val="none" w:sz="0" w:space="0" w:color="auto"/>
                <w:left w:val="none" w:sz="0" w:space="0" w:color="auto"/>
                <w:bottom w:val="none" w:sz="0" w:space="0" w:color="auto"/>
                <w:right w:val="none" w:sz="0" w:space="0" w:color="auto"/>
              </w:divBdr>
            </w:div>
            <w:div w:id="789668547">
              <w:marLeft w:val="0"/>
              <w:marRight w:val="0"/>
              <w:marTop w:val="0"/>
              <w:marBottom w:val="0"/>
              <w:divBdr>
                <w:top w:val="none" w:sz="0" w:space="0" w:color="auto"/>
                <w:left w:val="none" w:sz="0" w:space="0" w:color="auto"/>
                <w:bottom w:val="none" w:sz="0" w:space="0" w:color="auto"/>
                <w:right w:val="none" w:sz="0" w:space="0" w:color="auto"/>
              </w:divBdr>
            </w:div>
            <w:div w:id="1183936930">
              <w:marLeft w:val="0"/>
              <w:marRight w:val="0"/>
              <w:marTop w:val="0"/>
              <w:marBottom w:val="0"/>
              <w:divBdr>
                <w:top w:val="none" w:sz="0" w:space="0" w:color="auto"/>
                <w:left w:val="none" w:sz="0" w:space="0" w:color="auto"/>
                <w:bottom w:val="none" w:sz="0" w:space="0" w:color="auto"/>
                <w:right w:val="none" w:sz="0" w:space="0" w:color="auto"/>
              </w:divBdr>
            </w:div>
            <w:div w:id="1609311547">
              <w:marLeft w:val="0"/>
              <w:marRight w:val="0"/>
              <w:marTop w:val="0"/>
              <w:marBottom w:val="0"/>
              <w:divBdr>
                <w:top w:val="none" w:sz="0" w:space="0" w:color="auto"/>
                <w:left w:val="none" w:sz="0" w:space="0" w:color="auto"/>
                <w:bottom w:val="none" w:sz="0" w:space="0" w:color="auto"/>
                <w:right w:val="none" w:sz="0" w:space="0" w:color="auto"/>
              </w:divBdr>
            </w:div>
            <w:div w:id="1786193016">
              <w:marLeft w:val="0"/>
              <w:marRight w:val="0"/>
              <w:marTop w:val="0"/>
              <w:marBottom w:val="0"/>
              <w:divBdr>
                <w:top w:val="none" w:sz="0" w:space="0" w:color="auto"/>
                <w:left w:val="none" w:sz="0" w:space="0" w:color="auto"/>
                <w:bottom w:val="none" w:sz="0" w:space="0" w:color="auto"/>
                <w:right w:val="none" w:sz="0" w:space="0" w:color="auto"/>
              </w:divBdr>
            </w:div>
            <w:div w:id="1998146970">
              <w:marLeft w:val="0"/>
              <w:marRight w:val="0"/>
              <w:marTop w:val="0"/>
              <w:marBottom w:val="0"/>
              <w:divBdr>
                <w:top w:val="none" w:sz="0" w:space="0" w:color="auto"/>
                <w:left w:val="none" w:sz="0" w:space="0" w:color="auto"/>
                <w:bottom w:val="none" w:sz="0" w:space="0" w:color="auto"/>
                <w:right w:val="none" w:sz="0" w:space="0" w:color="auto"/>
              </w:divBdr>
            </w:div>
            <w:div w:id="21119273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36263706">
      <w:bodyDiv w:val="1"/>
      <w:marLeft w:val="0"/>
      <w:marRight w:val="0"/>
      <w:marTop w:val="0"/>
      <w:marBottom w:val="0"/>
      <w:divBdr>
        <w:top w:val="none" w:sz="0" w:space="0" w:color="auto"/>
        <w:left w:val="none" w:sz="0" w:space="0" w:color="auto"/>
        <w:bottom w:val="none" w:sz="0" w:space="0" w:color="auto"/>
        <w:right w:val="none" w:sz="0" w:space="0" w:color="auto"/>
      </w:divBdr>
    </w:div>
    <w:div w:id="1136609835">
      <w:bodyDiv w:val="1"/>
      <w:marLeft w:val="0"/>
      <w:marRight w:val="0"/>
      <w:marTop w:val="0"/>
      <w:marBottom w:val="0"/>
      <w:divBdr>
        <w:top w:val="none" w:sz="0" w:space="0" w:color="auto"/>
        <w:left w:val="none" w:sz="0" w:space="0" w:color="auto"/>
        <w:bottom w:val="none" w:sz="0" w:space="0" w:color="auto"/>
        <w:right w:val="none" w:sz="0" w:space="0" w:color="auto"/>
      </w:divBdr>
    </w:div>
    <w:div w:id="1136683783">
      <w:bodyDiv w:val="1"/>
      <w:marLeft w:val="0"/>
      <w:marRight w:val="0"/>
      <w:marTop w:val="0"/>
      <w:marBottom w:val="0"/>
      <w:divBdr>
        <w:top w:val="none" w:sz="0" w:space="0" w:color="auto"/>
        <w:left w:val="none" w:sz="0" w:space="0" w:color="auto"/>
        <w:bottom w:val="none" w:sz="0" w:space="0" w:color="auto"/>
        <w:right w:val="none" w:sz="0" w:space="0" w:color="auto"/>
      </w:divBdr>
    </w:div>
    <w:div w:id="1137264418">
      <w:bodyDiv w:val="1"/>
      <w:marLeft w:val="0"/>
      <w:marRight w:val="0"/>
      <w:marTop w:val="0"/>
      <w:marBottom w:val="0"/>
      <w:divBdr>
        <w:top w:val="none" w:sz="0" w:space="0" w:color="auto"/>
        <w:left w:val="none" w:sz="0" w:space="0" w:color="auto"/>
        <w:bottom w:val="none" w:sz="0" w:space="0" w:color="auto"/>
        <w:right w:val="none" w:sz="0" w:space="0" w:color="auto"/>
      </w:divBdr>
    </w:div>
    <w:div w:id="1138457382">
      <w:bodyDiv w:val="1"/>
      <w:marLeft w:val="0"/>
      <w:marRight w:val="0"/>
      <w:marTop w:val="0"/>
      <w:marBottom w:val="0"/>
      <w:divBdr>
        <w:top w:val="none" w:sz="0" w:space="0" w:color="auto"/>
        <w:left w:val="none" w:sz="0" w:space="0" w:color="auto"/>
        <w:bottom w:val="none" w:sz="0" w:space="0" w:color="auto"/>
        <w:right w:val="none" w:sz="0" w:space="0" w:color="auto"/>
      </w:divBdr>
    </w:div>
    <w:div w:id="1138567662">
      <w:bodyDiv w:val="1"/>
      <w:marLeft w:val="0"/>
      <w:marRight w:val="0"/>
      <w:marTop w:val="0"/>
      <w:marBottom w:val="0"/>
      <w:divBdr>
        <w:top w:val="none" w:sz="0" w:space="0" w:color="auto"/>
        <w:left w:val="none" w:sz="0" w:space="0" w:color="auto"/>
        <w:bottom w:val="none" w:sz="0" w:space="0" w:color="auto"/>
        <w:right w:val="none" w:sz="0" w:space="0" w:color="auto"/>
      </w:divBdr>
      <w:divsChild>
        <w:div w:id="760486665">
          <w:marLeft w:val="634"/>
          <w:marRight w:val="0"/>
          <w:marTop w:val="160"/>
          <w:marBottom w:val="0"/>
          <w:divBdr>
            <w:top w:val="none" w:sz="0" w:space="0" w:color="auto"/>
            <w:left w:val="none" w:sz="0" w:space="0" w:color="auto"/>
            <w:bottom w:val="none" w:sz="0" w:space="0" w:color="auto"/>
            <w:right w:val="none" w:sz="0" w:space="0" w:color="auto"/>
          </w:divBdr>
        </w:div>
        <w:div w:id="1827697470">
          <w:marLeft w:val="634"/>
          <w:marRight w:val="0"/>
          <w:marTop w:val="115"/>
          <w:marBottom w:val="0"/>
          <w:divBdr>
            <w:top w:val="none" w:sz="0" w:space="0" w:color="auto"/>
            <w:left w:val="none" w:sz="0" w:space="0" w:color="auto"/>
            <w:bottom w:val="none" w:sz="0" w:space="0" w:color="auto"/>
            <w:right w:val="none" w:sz="0" w:space="0" w:color="auto"/>
          </w:divBdr>
        </w:div>
        <w:div w:id="1878153112">
          <w:marLeft w:val="634"/>
          <w:marRight w:val="0"/>
          <w:marTop w:val="160"/>
          <w:marBottom w:val="0"/>
          <w:divBdr>
            <w:top w:val="none" w:sz="0" w:space="0" w:color="auto"/>
            <w:left w:val="none" w:sz="0" w:space="0" w:color="auto"/>
            <w:bottom w:val="none" w:sz="0" w:space="0" w:color="auto"/>
            <w:right w:val="none" w:sz="0" w:space="0" w:color="auto"/>
          </w:divBdr>
        </w:div>
        <w:div w:id="1923293179">
          <w:marLeft w:val="0"/>
          <w:marRight w:val="0"/>
          <w:marTop w:val="115"/>
          <w:marBottom w:val="0"/>
          <w:divBdr>
            <w:top w:val="none" w:sz="0" w:space="0" w:color="auto"/>
            <w:left w:val="none" w:sz="0" w:space="0" w:color="auto"/>
            <w:bottom w:val="none" w:sz="0" w:space="0" w:color="auto"/>
            <w:right w:val="none" w:sz="0" w:space="0" w:color="auto"/>
          </w:divBdr>
        </w:div>
      </w:divsChild>
    </w:div>
    <w:div w:id="1139035604">
      <w:bodyDiv w:val="1"/>
      <w:marLeft w:val="0"/>
      <w:marRight w:val="0"/>
      <w:marTop w:val="0"/>
      <w:marBottom w:val="0"/>
      <w:divBdr>
        <w:top w:val="none" w:sz="0" w:space="0" w:color="auto"/>
        <w:left w:val="none" w:sz="0" w:space="0" w:color="auto"/>
        <w:bottom w:val="none" w:sz="0" w:space="0" w:color="auto"/>
        <w:right w:val="none" w:sz="0" w:space="0" w:color="auto"/>
      </w:divBdr>
    </w:div>
    <w:div w:id="1139884769">
      <w:bodyDiv w:val="1"/>
      <w:marLeft w:val="0"/>
      <w:marRight w:val="0"/>
      <w:marTop w:val="0"/>
      <w:marBottom w:val="0"/>
      <w:divBdr>
        <w:top w:val="none" w:sz="0" w:space="0" w:color="auto"/>
        <w:left w:val="none" w:sz="0" w:space="0" w:color="auto"/>
        <w:bottom w:val="none" w:sz="0" w:space="0" w:color="auto"/>
        <w:right w:val="none" w:sz="0" w:space="0" w:color="auto"/>
      </w:divBdr>
    </w:div>
    <w:div w:id="1139886596">
      <w:bodyDiv w:val="1"/>
      <w:marLeft w:val="0"/>
      <w:marRight w:val="0"/>
      <w:marTop w:val="0"/>
      <w:marBottom w:val="0"/>
      <w:divBdr>
        <w:top w:val="none" w:sz="0" w:space="0" w:color="auto"/>
        <w:left w:val="none" w:sz="0" w:space="0" w:color="auto"/>
        <w:bottom w:val="none" w:sz="0" w:space="0" w:color="auto"/>
        <w:right w:val="none" w:sz="0" w:space="0" w:color="auto"/>
      </w:divBdr>
    </w:div>
    <w:div w:id="1140656571">
      <w:bodyDiv w:val="1"/>
      <w:marLeft w:val="0"/>
      <w:marRight w:val="0"/>
      <w:marTop w:val="0"/>
      <w:marBottom w:val="0"/>
      <w:divBdr>
        <w:top w:val="none" w:sz="0" w:space="0" w:color="auto"/>
        <w:left w:val="none" w:sz="0" w:space="0" w:color="auto"/>
        <w:bottom w:val="none" w:sz="0" w:space="0" w:color="auto"/>
        <w:right w:val="none" w:sz="0" w:space="0" w:color="auto"/>
      </w:divBdr>
      <w:divsChild>
        <w:div w:id="1091050527">
          <w:marLeft w:val="1166"/>
          <w:marRight w:val="0"/>
          <w:marTop w:val="96"/>
          <w:marBottom w:val="0"/>
          <w:divBdr>
            <w:top w:val="none" w:sz="0" w:space="0" w:color="auto"/>
            <w:left w:val="none" w:sz="0" w:space="0" w:color="auto"/>
            <w:bottom w:val="none" w:sz="0" w:space="0" w:color="auto"/>
            <w:right w:val="none" w:sz="0" w:space="0" w:color="auto"/>
          </w:divBdr>
        </w:div>
        <w:div w:id="1289358302">
          <w:marLeft w:val="1166"/>
          <w:marRight w:val="0"/>
          <w:marTop w:val="96"/>
          <w:marBottom w:val="0"/>
          <w:divBdr>
            <w:top w:val="none" w:sz="0" w:space="0" w:color="auto"/>
            <w:left w:val="none" w:sz="0" w:space="0" w:color="auto"/>
            <w:bottom w:val="none" w:sz="0" w:space="0" w:color="auto"/>
            <w:right w:val="none" w:sz="0" w:space="0" w:color="auto"/>
          </w:divBdr>
        </w:div>
        <w:div w:id="1410929914">
          <w:marLeft w:val="1166"/>
          <w:marRight w:val="0"/>
          <w:marTop w:val="96"/>
          <w:marBottom w:val="0"/>
          <w:divBdr>
            <w:top w:val="none" w:sz="0" w:space="0" w:color="auto"/>
            <w:left w:val="none" w:sz="0" w:space="0" w:color="auto"/>
            <w:bottom w:val="none" w:sz="0" w:space="0" w:color="auto"/>
            <w:right w:val="none" w:sz="0" w:space="0" w:color="auto"/>
          </w:divBdr>
        </w:div>
        <w:div w:id="1502575483">
          <w:marLeft w:val="547"/>
          <w:marRight w:val="0"/>
          <w:marTop w:val="115"/>
          <w:marBottom w:val="0"/>
          <w:divBdr>
            <w:top w:val="none" w:sz="0" w:space="0" w:color="auto"/>
            <w:left w:val="none" w:sz="0" w:space="0" w:color="auto"/>
            <w:bottom w:val="none" w:sz="0" w:space="0" w:color="auto"/>
            <w:right w:val="none" w:sz="0" w:space="0" w:color="auto"/>
          </w:divBdr>
        </w:div>
        <w:div w:id="1608006063">
          <w:marLeft w:val="1166"/>
          <w:marRight w:val="0"/>
          <w:marTop w:val="96"/>
          <w:marBottom w:val="0"/>
          <w:divBdr>
            <w:top w:val="none" w:sz="0" w:space="0" w:color="auto"/>
            <w:left w:val="none" w:sz="0" w:space="0" w:color="auto"/>
            <w:bottom w:val="none" w:sz="0" w:space="0" w:color="auto"/>
            <w:right w:val="none" w:sz="0" w:space="0" w:color="auto"/>
          </w:divBdr>
        </w:div>
        <w:div w:id="2123451014">
          <w:marLeft w:val="1166"/>
          <w:marRight w:val="0"/>
          <w:marTop w:val="96"/>
          <w:marBottom w:val="0"/>
          <w:divBdr>
            <w:top w:val="none" w:sz="0" w:space="0" w:color="auto"/>
            <w:left w:val="none" w:sz="0" w:space="0" w:color="auto"/>
            <w:bottom w:val="none" w:sz="0" w:space="0" w:color="auto"/>
            <w:right w:val="none" w:sz="0" w:space="0" w:color="auto"/>
          </w:divBdr>
        </w:div>
      </w:divsChild>
    </w:div>
    <w:div w:id="1140922690">
      <w:bodyDiv w:val="1"/>
      <w:marLeft w:val="0"/>
      <w:marRight w:val="0"/>
      <w:marTop w:val="0"/>
      <w:marBottom w:val="0"/>
      <w:divBdr>
        <w:top w:val="none" w:sz="0" w:space="0" w:color="auto"/>
        <w:left w:val="none" w:sz="0" w:space="0" w:color="auto"/>
        <w:bottom w:val="none" w:sz="0" w:space="0" w:color="auto"/>
        <w:right w:val="none" w:sz="0" w:space="0" w:color="auto"/>
      </w:divBdr>
      <w:divsChild>
        <w:div w:id="2131511530">
          <w:marLeft w:val="0"/>
          <w:marRight w:val="0"/>
          <w:marTop w:val="0"/>
          <w:marBottom w:val="0"/>
          <w:divBdr>
            <w:top w:val="none" w:sz="0" w:space="0" w:color="auto"/>
            <w:left w:val="none" w:sz="0" w:space="0" w:color="auto"/>
            <w:bottom w:val="none" w:sz="0" w:space="0" w:color="auto"/>
            <w:right w:val="none" w:sz="0" w:space="0" w:color="auto"/>
          </w:divBdr>
          <w:divsChild>
            <w:div w:id="772364417">
              <w:marLeft w:val="0"/>
              <w:marRight w:val="0"/>
              <w:marTop w:val="0"/>
              <w:marBottom w:val="0"/>
              <w:divBdr>
                <w:top w:val="none" w:sz="0" w:space="0" w:color="auto"/>
                <w:left w:val="none" w:sz="0" w:space="0" w:color="auto"/>
                <w:bottom w:val="none" w:sz="0" w:space="0" w:color="auto"/>
                <w:right w:val="none" w:sz="0" w:space="0" w:color="auto"/>
              </w:divBdr>
            </w:div>
            <w:div w:id="842160572">
              <w:marLeft w:val="0"/>
              <w:marRight w:val="0"/>
              <w:marTop w:val="0"/>
              <w:marBottom w:val="0"/>
              <w:divBdr>
                <w:top w:val="none" w:sz="0" w:space="0" w:color="auto"/>
                <w:left w:val="none" w:sz="0" w:space="0" w:color="auto"/>
                <w:bottom w:val="none" w:sz="0" w:space="0" w:color="auto"/>
                <w:right w:val="none" w:sz="0" w:space="0" w:color="auto"/>
              </w:divBdr>
            </w:div>
            <w:div w:id="904032415">
              <w:marLeft w:val="0"/>
              <w:marRight w:val="0"/>
              <w:marTop w:val="0"/>
              <w:marBottom w:val="0"/>
              <w:divBdr>
                <w:top w:val="none" w:sz="0" w:space="0" w:color="auto"/>
                <w:left w:val="none" w:sz="0" w:space="0" w:color="auto"/>
                <w:bottom w:val="none" w:sz="0" w:space="0" w:color="auto"/>
                <w:right w:val="none" w:sz="0" w:space="0" w:color="auto"/>
              </w:divBdr>
            </w:div>
            <w:div w:id="18319448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1000818">
      <w:bodyDiv w:val="1"/>
      <w:marLeft w:val="0"/>
      <w:marRight w:val="0"/>
      <w:marTop w:val="0"/>
      <w:marBottom w:val="0"/>
      <w:divBdr>
        <w:top w:val="none" w:sz="0" w:space="0" w:color="auto"/>
        <w:left w:val="none" w:sz="0" w:space="0" w:color="auto"/>
        <w:bottom w:val="none" w:sz="0" w:space="0" w:color="auto"/>
        <w:right w:val="none" w:sz="0" w:space="0" w:color="auto"/>
      </w:divBdr>
    </w:div>
    <w:div w:id="1141003566">
      <w:bodyDiv w:val="1"/>
      <w:marLeft w:val="0"/>
      <w:marRight w:val="0"/>
      <w:marTop w:val="0"/>
      <w:marBottom w:val="0"/>
      <w:divBdr>
        <w:top w:val="none" w:sz="0" w:space="0" w:color="auto"/>
        <w:left w:val="none" w:sz="0" w:space="0" w:color="auto"/>
        <w:bottom w:val="none" w:sz="0" w:space="0" w:color="auto"/>
        <w:right w:val="none" w:sz="0" w:space="0" w:color="auto"/>
      </w:divBdr>
    </w:div>
    <w:div w:id="1141465395">
      <w:bodyDiv w:val="1"/>
      <w:marLeft w:val="0"/>
      <w:marRight w:val="0"/>
      <w:marTop w:val="0"/>
      <w:marBottom w:val="0"/>
      <w:divBdr>
        <w:top w:val="none" w:sz="0" w:space="0" w:color="auto"/>
        <w:left w:val="none" w:sz="0" w:space="0" w:color="auto"/>
        <w:bottom w:val="none" w:sz="0" w:space="0" w:color="auto"/>
        <w:right w:val="none" w:sz="0" w:space="0" w:color="auto"/>
      </w:divBdr>
    </w:div>
    <w:div w:id="1141531892">
      <w:bodyDiv w:val="1"/>
      <w:marLeft w:val="0"/>
      <w:marRight w:val="0"/>
      <w:marTop w:val="0"/>
      <w:marBottom w:val="0"/>
      <w:divBdr>
        <w:top w:val="none" w:sz="0" w:space="0" w:color="auto"/>
        <w:left w:val="none" w:sz="0" w:space="0" w:color="auto"/>
        <w:bottom w:val="none" w:sz="0" w:space="0" w:color="auto"/>
        <w:right w:val="none" w:sz="0" w:space="0" w:color="auto"/>
      </w:divBdr>
      <w:divsChild>
        <w:div w:id="1132215372">
          <w:marLeft w:val="0"/>
          <w:marRight w:val="0"/>
          <w:marTop w:val="0"/>
          <w:marBottom w:val="0"/>
          <w:divBdr>
            <w:top w:val="none" w:sz="0" w:space="0" w:color="auto"/>
            <w:left w:val="none" w:sz="0" w:space="0" w:color="auto"/>
            <w:bottom w:val="none" w:sz="0" w:space="0" w:color="auto"/>
            <w:right w:val="none" w:sz="0" w:space="0" w:color="auto"/>
          </w:divBdr>
          <w:divsChild>
            <w:div w:id="305741425">
              <w:marLeft w:val="0"/>
              <w:marRight w:val="0"/>
              <w:marTop w:val="0"/>
              <w:marBottom w:val="0"/>
              <w:divBdr>
                <w:top w:val="none" w:sz="0" w:space="0" w:color="auto"/>
                <w:left w:val="none" w:sz="0" w:space="0" w:color="auto"/>
                <w:bottom w:val="none" w:sz="0" w:space="0" w:color="auto"/>
                <w:right w:val="none" w:sz="0" w:space="0" w:color="auto"/>
              </w:divBdr>
            </w:div>
            <w:div w:id="759638414">
              <w:marLeft w:val="0"/>
              <w:marRight w:val="0"/>
              <w:marTop w:val="0"/>
              <w:marBottom w:val="0"/>
              <w:divBdr>
                <w:top w:val="none" w:sz="0" w:space="0" w:color="auto"/>
                <w:left w:val="none" w:sz="0" w:space="0" w:color="auto"/>
                <w:bottom w:val="none" w:sz="0" w:space="0" w:color="auto"/>
                <w:right w:val="none" w:sz="0" w:space="0" w:color="auto"/>
              </w:divBdr>
            </w:div>
            <w:div w:id="837158682">
              <w:marLeft w:val="0"/>
              <w:marRight w:val="0"/>
              <w:marTop w:val="0"/>
              <w:marBottom w:val="0"/>
              <w:divBdr>
                <w:top w:val="none" w:sz="0" w:space="0" w:color="auto"/>
                <w:left w:val="none" w:sz="0" w:space="0" w:color="auto"/>
                <w:bottom w:val="none" w:sz="0" w:space="0" w:color="auto"/>
                <w:right w:val="none" w:sz="0" w:space="0" w:color="auto"/>
              </w:divBdr>
            </w:div>
            <w:div w:id="1159810510">
              <w:marLeft w:val="0"/>
              <w:marRight w:val="0"/>
              <w:marTop w:val="0"/>
              <w:marBottom w:val="0"/>
              <w:divBdr>
                <w:top w:val="none" w:sz="0" w:space="0" w:color="auto"/>
                <w:left w:val="none" w:sz="0" w:space="0" w:color="auto"/>
                <w:bottom w:val="none" w:sz="0" w:space="0" w:color="auto"/>
                <w:right w:val="none" w:sz="0" w:space="0" w:color="auto"/>
              </w:divBdr>
            </w:div>
            <w:div w:id="1776632571">
              <w:marLeft w:val="0"/>
              <w:marRight w:val="0"/>
              <w:marTop w:val="0"/>
              <w:marBottom w:val="0"/>
              <w:divBdr>
                <w:top w:val="none" w:sz="0" w:space="0" w:color="auto"/>
                <w:left w:val="none" w:sz="0" w:space="0" w:color="auto"/>
                <w:bottom w:val="none" w:sz="0" w:space="0" w:color="auto"/>
                <w:right w:val="none" w:sz="0" w:space="0" w:color="auto"/>
              </w:divBdr>
            </w:div>
            <w:div w:id="19519332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1537433">
      <w:bodyDiv w:val="1"/>
      <w:marLeft w:val="0"/>
      <w:marRight w:val="0"/>
      <w:marTop w:val="0"/>
      <w:marBottom w:val="0"/>
      <w:divBdr>
        <w:top w:val="none" w:sz="0" w:space="0" w:color="auto"/>
        <w:left w:val="none" w:sz="0" w:space="0" w:color="auto"/>
        <w:bottom w:val="none" w:sz="0" w:space="0" w:color="auto"/>
        <w:right w:val="none" w:sz="0" w:space="0" w:color="auto"/>
      </w:divBdr>
      <w:divsChild>
        <w:div w:id="42679626">
          <w:marLeft w:val="360"/>
          <w:marRight w:val="0"/>
          <w:marTop w:val="200"/>
          <w:marBottom w:val="0"/>
          <w:divBdr>
            <w:top w:val="none" w:sz="0" w:space="0" w:color="auto"/>
            <w:left w:val="none" w:sz="0" w:space="0" w:color="auto"/>
            <w:bottom w:val="none" w:sz="0" w:space="0" w:color="auto"/>
            <w:right w:val="none" w:sz="0" w:space="0" w:color="auto"/>
          </w:divBdr>
        </w:div>
        <w:div w:id="90973829">
          <w:marLeft w:val="360"/>
          <w:marRight w:val="0"/>
          <w:marTop w:val="200"/>
          <w:marBottom w:val="0"/>
          <w:divBdr>
            <w:top w:val="none" w:sz="0" w:space="0" w:color="auto"/>
            <w:left w:val="none" w:sz="0" w:space="0" w:color="auto"/>
            <w:bottom w:val="none" w:sz="0" w:space="0" w:color="auto"/>
            <w:right w:val="none" w:sz="0" w:space="0" w:color="auto"/>
          </w:divBdr>
        </w:div>
        <w:div w:id="232662495">
          <w:marLeft w:val="1080"/>
          <w:marRight w:val="0"/>
          <w:marTop w:val="100"/>
          <w:marBottom w:val="0"/>
          <w:divBdr>
            <w:top w:val="none" w:sz="0" w:space="0" w:color="auto"/>
            <w:left w:val="none" w:sz="0" w:space="0" w:color="auto"/>
            <w:bottom w:val="none" w:sz="0" w:space="0" w:color="auto"/>
            <w:right w:val="none" w:sz="0" w:space="0" w:color="auto"/>
          </w:divBdr>
        </w:div>
        <w:div w:id="1320426466">
          <w:marLeft w:val="360"/>
          <w:marRight w:val="0"/>
          <w:marTop w:val="200"/>
          <w:marBottom w:val="0"/>
          <w:divBdr>
            <w:top w:val="none" w:sz="0" w:space="0" w:color="auto"/>
            <w:left w:val="none" w:sz="0" w:space="0" w:color="auto"/>
            <w:bottom w:val="none" w:sz="0" w:space="0" w:color="auto"/>
            <w:right w:val="none" w:sz="0" w:space="0" w:color="auto"/>
          </w:divBdr>
        </w:div>
        <w:div w:id="1509099570">
          <w:marLeft w:val="1080"/>
          <w:marRight w:val="0"/>
          <w:marTop w:val="100"/>
          <w:marBottom w:val="0"/>
          <w:divBdr>
            <w:top w:val="none" w:sz="0" w:space="0" w:color="auto"/>
            <w:left w:val="none" w:sz="0" w:space="0" w:color="auto"/>
            <w:bottom w:val="none" w:sz="0" w:space="0" w:color="auto"/>
            <w:right w:val="none" w:sz="0" w:space="0" w:color="auto"/>
          </w:divBdr>
        </w:div>
        <w:div w:id="1678968315">
          <w:marLeft w:val="360"/>
          <w:marRight w:val="0"/>
          <w:marTop w:val="200"/>
          <w:marBottom w:val="0"/>
          <w:divBdr>
            <w:top w:val="none" w:sz="0" w:space="0" w:color="auto"/>
            <w:left w:val="none" w:sz="0" w:space="0" w:color="auto"/>
            <w:bottom w:val="none" w:sz="0" w:space="0" w:color="auto"/>
            <w:right w:val="none" w:sz="0" w:space="0" w:color="auto"/>
          </w:divBdr>
        </w:div>
        <w:div w:id="1838380211">
          <w:marLeft w:val="360"/>
          <w:marRight w:val="0"/>
          <w:marTop w:val="200"/>
          <w:marBottom w:val="0"/>
          <w:divBdr>
            <w:top w:val="none" w:sz="0" w:space="0" w:color="auto"/>
            <w:left w:val="none" w:sz="0" w:space="0" w:color="auto"/>
            <w:bottom w:val="none" w:sz="0" w:space="0" w:color="auto"/>
            <w:right w:val="none" w:sz="0" w:space="0" w:color="auto"/>
          </w:divBdr>
        </w:div>
        <w:div w:id="2016416825">
          <w:marLeft w:val="1080"/>
          <w:marRight w:val="0"/>
          <w:marTop w:val="100"/>
          <w:marBottom w:val="0"/>
          <w:divBdr>
            <w:top w:val="none" w:sz="0" w:space="0" w:color="auto"/>
            <w:left w:val="none" w:sz="0" w:space="0" w:color="auto"/>
            <w:bottom w:val="none" w:sz="0" w:space="0" w:color="auto"/>
            <w:right w:val="none" w:sz="0" w:space="0" w:color="auto"/>
          </w:divBdr>
        </w:div>
        <w:div w:id="2057309799">
          <w:marLeft w:val="1080"/>
          <w:marRight w:val="0"/>
          <w:marTop w:val="100"/>
          <w:marBottom w:val="0"/>
          <w:divBdr>
            <w:top w:val="none" w:sz="0" w:space="0" w:color="auto"/>
            <w:left w:val="none" w:sz="0" w:space="0" w:color="auto"/>
            <w:bottom w:val="none" w:sz="0" w:space="0" w:color="auto"/>
            <w:right w:val="none" w:sz="0" w:space="0" w:color="auto"/>
          </w:divBdr>
        </w:div>
      </w:divsChild>
    </w:div>
    <w:div w:id="1141653222">
      <w:bodyDiv w:val="1"/>
      <w:marLeft w:val="0"/>
      <w:marRight w:val="0"/>
      <w:marTop w:val="0"/>
      <w:marBottom w:val="0"/>
      <w:divBdr>
        <w:top w:val="none" w:sz="0" w:space="0" w:color="auto"/>
        <w:left w:val="none" w:sz="0" w:space="0" w:color="auto"/>
        <w:bottom w:val="none" w:sz="0" w:space="0" w:color="auto"/>
        <w:right w:val="none" w:sz="0" w:space="0" w:color="auto"/>
      </w:divBdr>
    </w:div>
    <w:div w:id="1141656985">
      <w:bodyDiv w:val="1"/>
      <w:marLeft w:val="0"/>
      <w:marRight w:val="0"/>
      <w:marTop w:val="0"/>
      <w:marBottom w:val="0"/>
      <w:divBdr>
        <w:top w:val="none" w:sz="0" w:space="0" w:color="auto"/>
        <w:left w:val="none" w:sz="0" w:space="0" w:color="auto"/>
        <w:bottom w:val="none" w:sz="0" w:space="0" w:color="auto"/>
        <w:right w:val="none" w:sz="0" w:space="0" w:color="auto"/>
      </w:divBdr>
    </w:div>
    <w:div w:id="1141772157">
      <w:bodyDiv w:val="1"/>
      <w:marLeft w:val="0"/>
      <w:marRight w:val="0"/>
      <w:marTop w:val="0"/>
      <w:marBottom w:val="0"/>
      <w:divBdr>
        <w:top w:val="none" w:sz="0" w:space="0" w:color="auto"/>
        <w:left w:val="none" w:sz="0" w:space="0" w:color="auto"/>
        <w:bottom w:val="none" w:sz="0" w:space="0" w:color="auto"/>
        <w:right w:val="none" w:sz="0" w:space="0" w:color="auto"/>
      </w:divBdr>
    </w:div>
    <w:div w:id="1141918207">
      <w:bodyDiv w:val="1"/>
      <w:marLeft w:val="0"/>
      <w:marRight w:val="0"/>
      <w:marTop w:val="0"/>
      <w:marBottom w:val="0"/>
      <w:divBdr>
        <w:top w:val="none" w:sz="0" w:space="0" w:color="auto"/>
        <w:left w:val="none" w:sz="0" w:space="0" w:color="auto"/>
        <w:bottom w:val="none" w:sz="0" w:space="0" w:color="auto"/>
        <w:right w:val="none" w:sz="0" w:space="0" w:color="auto"/>
      </w:divBdr>
    </w:div>
    <w:div w:id="1142382711">
      <w:bodyDiv w:val="1"/>
      <w:marLeft w:val="0"/>
      <w:marRight w:val="0"/>
      <w:marTop w:val="0"/>
      <w:marBottom w:val="0"/>
      <w:divBdr>
        <w:top w:val="none" w:sz="0" w:space="0" w:color="auto"/>
        <w:left w:val="none" w:sz="0" w:space="0" w:color="auto"/>
        <w:bottom w:val="none" w:sz="0" w:space="0" w:color="auto"/>
        <w:right w:val="none" w:sz="0" w:space="0" w:color="auto"/>
      </w:divBdr>
      <w:divsChild>
        <w:div w:id="212543708">
          <w:marLeft w:val="1166"/>
          <w:marRight w:val="0"/>
          <w:marTop w:val="91"/>
          <w:marBottom w:val="0"/>
          <w:divBdr>
            <w:top w:val="none" w:sz="0" w:space="0" w:color="auto"/>
            <w:left w:val="none" w:sz="0" w:space="0" w:color="auto"/>
            <w:bottom w:val="none" w:sz="0" w:space="0" w:color="auto"/>
            <w:right w:val="none" w:sz="0" w:space="0" w:color="auto"/>
          </w:divBdr>
        </w:div>
        <w:div w:id="352341756">
          <w:marLeft w:val="1166"/>
          <w:marRight w:val="0"/>
          <w:marTop w:val="91"/>
          <w:marBottom w:val="0"/>
          <w:divBdr>
            <w:top w:val="none" w:sz="0" w:space="0" w:color="auto"/>
            <w:left w:val="none" w:sz="0" w:space="0" w:color="auto"/>
            <w:bottom w:val="none" w:sz="0" w:space="0" w:color="auto"/>
            <w:right w:val="none" w:sz="0" w:space="0" w:color="auto"/>
          </w:divBdr>
        </w:div>
        <w:div w:id="357586938">
          <w:marLeft w:val="547"/>
          <w:marRight w:val="0"/>
          <w:marTop w:val="106"/>
          <w:marBottom w:val="0"/>
          <w:divBdr>
            <w:top w:val="none" w:sz="0" w:space="0" w:color="auto"/>
            <w:left w:val="none" w:sz="0" w:space="0" w:color="auto"/>
            <w:bottom w:val="none" w:sz="0" w:space="0" w:color="auto"/>
            <w:right w:val="none" w:sz="0" w:space="0" w:color="auto"/>
          </w:divBdr>
        </w:div>
        <w:div w:id="836657067">
          <w:marLeft w:val="1166"/>
          <w:marRight w:val="0"/>
          <w:marTop w:val="91"/>
          <w:marBottom w:val="0"/>
          <w:divBdr>
            <w:top w:val="none" w:sz="0" w:space="0" w:color="auto"/>
            <w:left w:val="none" w:sz="0" w:space="0" w:color="auto"/>
            <w:bottom w:val="none" w:sz="0" w:space="0" w:color="auto"/>
            <w:right w:val="none" w:sz="0" w:space="0" w:color="auto"/>
          </w:divBdr>
        </w:div>
        <w:div w:id="1303458848">
          <w:marLeft w:val="1166"/>
          <w:marRight w:val="0"/>
          <w:marTop w:val="91"/>
          <w:marBottom w:val="0"/>
          <w:divBdr>
            <w:top w:val="none" w:sz="0" w:space="0" w:color="auto"/>
            <w:left w:val="none" w:sz="0" w:space="0" w:color="auto"/>
            <w:bottom w:val="none" w:sz="0" w:space="0" w:color="auto"/>
            <w:right w:val="none" w:sz="0" w:space="0" w:color="auto"/>
          </w:divBdr>
        </w:div>
        <w:div w:id="1744717947">
          <w:marLeft w:val="547"/>
          <w:marRight w:val="0"/>
          <w:marTop w:val="106"/>
          <w:marBottom w:val="0"/>
          <w:divBdr>
            <w:top w:val="none" w:sz="0" w:space="0" w:color="auto"/>
            <w:left w:val="none" w:sz="0" w:space="0" w:color="auto"/>
            <w:bottom w:val="none" w:sz="0" w:space="0" w:color="auto"/>
            <w:right w:val="none" w:sz="0" w:space="0" w:color="auto"/>
          </w:divBdr>
        </w:div>
        <w:div w:id="1759791831">
          <w:marLeft w:val="1166"/>
          <w:marRight w:val="0"/>
          <w:marTop w:val="91"/>
          <w:marBottom w:val="0"/>
          <w:divBdr>
            <w:top w:val="none" w:sz="0" w:space="0" w:color="auto"/>
            <w:left w:val="none" w:sz="0" w:space="0" w:color="auto"/>
            <w:bottom w:val="none" w:sz="0" w:space="0" w:color="auto"/>
            <w:right w:val="none" w:sz="0" w:space="0" w:color="auto"/>
          </w:divBdr>
        </w:div>
        <w:div w:id="1995907463">
          <w:marLeft w:val="547"/>
          <w:marRight w:val="0"/>
          <w:marTop w:val="106"/>
          <w:marBottom w:val="0"/>
          <w:divBdr>
            <w:top w:val="none" w:sz="0" w:space="0" w:color="auto"/>
            <w:left w:val="none" w:sz="0" w:space="0" w:color="auto"/>
            <w:bottom w:val="none" w:sz="0" w:space="0" w:color="auto"/>
            <w:right w:val="none" w:sz="0" w:space="0" w:color="auto"/>
          </w:divBdr>
        </w:div>
      </w:divsChild>
    </w:div>
    <w:div w:id="1142581546">
      <w:bodyDiv w:val="1"/>
      <w:marLeft w:val="0"/>
      <w:marRight w:val="0"/>
      <w:marTop w:val="0"/>
      <w:marBottom w:val="0"/>
      <w:divBdr>
        <w:top w:val="none" w:sz="0" w:space="0" w:color="auto"/>
        <w:left w:val="none" w:sz="0" w:space="0" w:color="auto"/>
        <w:bottom w:val="none" w:sz="0" w:space="0" w:color="auto"/>
        <w:right w:val="none" w:sz="0" w:space="0" w:color="auto"/>
      </w:divBdr>
      <w:divsChild>
        <w:div w:id="697781852">
          <w:marLeft w:val="547"/>
          <w:marRight w:val="0"/>
          <w:marTop w:val="173"/>
          <w:marBottom w:val="0"/>
          <w:divBdr>
            <w:top w:val="none" w:sz="0" w:space="0" w:color="auto"/>
            <w:left w:val="none" w:sz="0" w:space="0" w:color="auto"/>
            <w:bottom w:val="none" w:sz="0" w:space="0" w:color="auto"/>
            <w:right w:val="none" w:sz="0" w:space="0" w:color="auto"/>
          </w:divBdr>
        </w:div>
        <w:div w:id="969477372">
          <w:marLeft w:val="547"/>
          <w:marRight w:val="0"/>
          <w:marTop w:val="173"/>
          <w:marBottom w:val="0"/>
          <w:divBdr>
            <w:top w:val="none" w:sz="0" w:space="0" w:color="auto"/>
            <w:left w:val="none" w:sz="0" w:space="0" w:color="auto"/>
            <w:bottom w:val="none" w:sz="0" w:space="0" w:color="auto"/>
            <w:right w:val="none" w:sz="0" w:space="0" w:color="auto"/>
          </w:divBdr>
        </w:div>
        <w:div w:id="1361516703">
          <w:marLeft w:val="1166"/>
          <w:marRight w:val="0"/>
          <w:marTop w:val="134"/>
          <w:marBottom w:val="0"/>
          <w:divBdr>
            <w:top w:val="none" w:sz="0" w:space="0" w:color="auto"/>
            <w:left w:val="none" w:sz="0" w:space="0" w:color="auto"/>
            <w:bottom w:val="none" w:sz="0" w:space="0" w:color="auto"/>
            <w:right w:val="none" w:sz="0" w:space="0" w:color="auto"/>
          </w:divBdr>
        </w:div>
      </w:divsChild>
    </w:div>
    <w:div w:id="1143693102">
      <w:bodyDiv w:val="1"/>
      <w:marLeft w:val="0"/>
      <w:marRight w:val="0"/>
      <w:marTop w:val="0"/>
      <w:marBottom w:val="0"/>
      <w:divBdr>
        <w:top w:val="none" w:sz="0" w:space="0" w:color="auto"/>
        <w:left w:val="none" w:sz="0" w:space="0" w:color="auto"/>
        <w:bottom w:val="none" w:sz="0" w:space="0" w:color="auto"/>
        <w:right w:val="none" w:sz="0" w:space="0" w:color="auto"/>
      </w:divBdr>
    </w:div>
    <w:div w:id="1143698559">
      <w:bodyDiv w:val="1"/>
      <w:marLeft w:val="0"/>
      <w:marRight w:val="0"/>
      <w:marTop w:val="0"/>
      <w:marBottom w:val="0"/>
      <w:divBdr>
        <w:top w:val="none" w:sz="0" w:space="0" w:color="auto"/>
        <w:left w:val="none" w:sz="0" w:space="0" w:color="auto"/>
        <w:bottom w:val="none" w:sz="0" w:space="0" w:color="auto"/>
        <w:right w:val="none" w:sz="0" w:space="0" w:color="auto"/>
      </w:divBdr>
    </w:div>
    <w:div w:id="1144158409">
      <w:bodyDiv w:val="1"/>
      <w:marLeft w:val="0"/>
      <w:marRight w:val="0"/>
      <w:marTop w:val="0"/>
      <w:marBottom w:val="0"/>
      <w:divBdr>
        <w:top w:val="none" w:sz="0" w:space="0" w:color="auto"/>
        <w:left w:val="none" w:sz="0" w:space="0" w:color="auto"/>
        <w:bottom w:val="none" w:sz="0" w:space="0" w:color="auto"/>
        <w:right w:val="none" w:sz="0" w:space="0" w:color="auto"/>
      </w:divBdr>
      <w:divsChild>
        <w:div w:id="8921289">
          <w:marLeft w:val="2866"/>
          <w:marRight w:val="0"/>
          <w:marTop w:val="60"/>
          <w:marBottom w:val="0"/>
          <w:divBdr>
            <w:top w:val="none" w:sz="0" w:space="0" w:color="auto"/>
            <w:left w:val="none" w:sz="0" w:space="0" w:color="auto"/>
            <w:bottom w:val="none" w:sz="0" w:space="0" w:color="auto"/>
            <w:right w:val="none" w:sz="0" w:space="0" w:color="auto"/>
          </w:divBdr>
        </w:div>
        <w:div w:id="608778366">
          <w:marLeft w:val="2866"/>
          <w:marRight w:val="0"/>
          <w:marTop w:val="60"/>
          <w:marBottom w:val="0"/>
          <w:divBdr>
            <w:top w:val="none" w:sz="0" w:space="0" w:color="auto"/>
            <w:left w:val="none" w:sz="0" w:space="0" w:color="auto"/>
            <w:bottom w:val="none" w:sz="0" w:space="0" w:color="auto"/>
            <w:right w:val="none" w:sz="0" w:space="0" w:color="auto"/>
          </w:divBdr>
        </w:div>
        <w:div w:id="1183207478">
          <w:marLeft w:val="2866"/>
          <w:marRight w:val="0"/>
          <w:marTop w:val="60"/>
          <w:marBottom w:val="0"/>
          <w:divBdr>
            <w:top w:val="none" w:sz="0" w:space="0" w:color="auto"/>
            <w:left w:val="none" w:sz="0" w:space="0" w:color="auto"/>
            <w:bottom w:val="none" w:sz="0" w:space="0" w:color="auto"/>
            <w:right w:val="none" w:sz="0" w:space="0" w:color="auto"/>
          </w:divBdr>
        </w:div>
        <w:div w:id="1322345704">
          <w:marLeft w:val="1426"/>
          <w:marRight w:val="0"/>
          <w:marTop w:val="60"/>
          <w:marBottom w:val="0"/>
          <w:divBdr>
            <w:top w:val="none" w:sz="0" w:space="0" w:color="auto"/>
            <w:left w:val="none" w:sz="0" w:space="0" w:color="auto"/>
            <w:bottom w:val="none" w:sz="0" w:space="0" w:color="auto"/>
            <w:right w:val="none" w:sz="0" w:space="0" w:color="auto"/>
          </w:divBdr>
        </w:div>
        <w:div w:id="1514419452">
          <w:marLeft w:val="2866"/>
          <w:marRight w:val="0"/>
          <w:marTop w:val="60"/>
          <w:marBottom w:val="0"/>
          <w:divBdr>
            <w:top w:val="none" w:sz="0" w:space="0" w:color="auto"/>
            <w:left w:val="none" w:sz="0" w:space="0" w:color="auto"/>
            <w:bottom w:val="none" w:sz="0" w:space="0" w:color="auto"/>
            <w:right w:val="none" w:sz="0" w:space="0" w:color="auto"/>
          </w:divBdr>
        </w:div>
        <w:div w:id="1525898840">
          <w:marLeft w:val="533"/>
          <w:marRight w:val="0"/>
          <w:marTop w:val="60"/>
          <w:marBottom w:val="0"/>
          <w:divBdr>
            <w:top w:val="none" w:sz="0" w:space="0" w:color="auto"/>
            <w:left w:val="none" w:sz="0" w:space="0" w:color="auto"/>
            <w:bottom w:val="none" w:sz="0" w:space="0" w:color="auto"/>
            <w:right w:val="none" w:sz="0" w:space="0" w:color="auto"/>
          </w:divBdr>
        </w:div>
        <w:div w:id="1943029399">
          <w:marLeft w:val="1426"/>
          <w:marRight w:val="0"/>
          <w:marTop w:val="60"/>
          <w:marBottom w:val="0"/>
          <w:divBdr>
            <w:top w:val="none" w:sz="0" w:space="0" w:color="auto"/>
            <w:left w:val="none" w:sz="0" w:space="0" w:color="auto"/>
            <w:bottom w:val="none" w:sz="0" w:space="0" w:color="auto"/>
            <w:right w:val="none" w:sz="0" w:space="0" w:color="auto"/>
          </w:divBdr>
        </w:div>
      </w:divsChild>
    </w:div>
    <w:div w:id="1144391445">
      <w:bodyDiv w:val="1"/>
      <w:marLeft w:val="0"/>
      <w:marRight w:val="0"/>
      <w:marTop w:val="0"/>
      <w:marBottom w:val="0"/>
      <w:divBdr>
        <w:top w:val="none" w:sz="0" w:space="0" w:color="auto"/>
        <w:left w:val="none" w:sz="0" w:space="0" w:color="auto"/>
        <w:bottom w:val="none" w:sz="0" w:space="0" w:color="auto"/>
        <w:right w:val="none" w:sz="0" w:space="0" w:color="auto"/>
      </w:divBdr>
    </w:div>
    <w:div w:id="1145050765">
      <w:bodyDiv w:val="1"/>
      <w:marLeft w:val="0"/>
      <w:marRight w:val="0"/>
      <w:marTop w:val="0"/>
      <w:marBottom w:val="0"/>
      <w:divBdr>
        <w:top w:val="none" w:sz="0" w:space="0" w:color="auto"/>
        <w:left w:val="none" w:sz="0" w:space="0" w:color="auto"/>
        <w:bottom w:val="none" w:sz="0" w:space="0" w:color="auto"/>
        <w:right w:val="none" w:sz="0" w:space="0" w:color="auto"/>
      </w:divBdr>
      <w:divsChild>
        <w:div w:id="441071737">
          <w:marLeft w:val="1166"/>
          <w:marRight w:val="0"/>
          <w:marTop w:val="96"/>
          <w:marBottom w:val="0"/>
          <w:divBdr>
            <w:top w:val="none" w:sz="0" w:space="0" w:color="auto"/>
            <w:left w:val="none" w:sz="0" w:space="0" w:color="auto"/>
            <w:bottom w:val="none" w:sz="0" w:space="0" w:color="auto"/>
            <w:right w:val="none" w:sz="0" w:space="0" w:color="auto"/>
          </w:divBdr>
        </w:div>
        <w:div w:id="517697969">
          <w:marLeft w:val="1800"/>
          <w:marRight w:val="0"/>
          <w:marTop w:val="77"/>
          <w:marBottom w:val="0"/>
          <w:divBdr>
            <w:top w:val="none" w:sz="0" w:space="0" w:color="auto"/>
            <w:left w:val="none" w:sz="0" w:space="0" w:color="auto"/>
            <w:bottom w:val="none" w:sz="0" w:space="0" w:color="auto"/>
            <w:right w:val="none" w:sz="0" w:space="0" w:color="auto"/>
          </w:divBdr>
        </w:div>
        <w:div w:id="827599564">
          <w:marLeft w:val="1800"/>
          <w:marRight w:val="0"/>
          <w:marTop w:val="91"/>
          <w:marBottom w:val="0"/>
          <w:divBdr>
            <w:top w:val="none" w:sz="0" w:space="0" w:color="auto"/>
            <w:left w:val="none" w:sz="0" w:space="0" w:color="auto"/>
            <w:bottom w:val="none" w:sz="0" w:space="0" w:color="auto"/>
            <w:right w:val="none" w:sz="0" w:space="0" w:color="auto"/>
          </w:divBdr>
        </w:div>
        <w:div w:id="1081295069">
          <w:marLeft w:val="1800"/>
          <w:marRight w:val="0"/>
          <w:marTop w:val="91"/>
          <w:marBottom w:val="0"/>
          <w:divBdr>
            <w:top w:val="none" w:sz="0" w:space="0" w:color="auto"/>
            <w:left w:val="none" w:sz="0" w:space="0" w:color="auto"/>
            <w:bottom w:val="none" w:sz="0" w:space="0" w:color="auto"/>
            <w:right w:val="none" w:sz="0" w:space="0" w:color="auto"/>
          </w:divBdr>
        </w:div>
        <w:div w:id="1100224156">
          <w:marLeft w:val="1800"/>
          <w:marRight w:val="0"/>
          <w:marTop w:val="91"/>
          <w:marBottom w:val="0"/>
          <w:divBdr>
            <w:top w:val="none" w:sz="0" w:space="0" w:color="auto"/>
            <w:left w:val="none" w:sz="0" w:space="0" w:color="auto"/>
            <w:bottom w:val="none" w:sz="0" w:space="0" w:color="auto"/>
            <w:right w:val="none" w:sz="0" w:space="0" w:color="auto"/>
          </w:divBdr>
        </w:div>
        <w:div w:id="1281760552">
          <w:marLeft w:val="547"/>
          <w:marRight w:val="0"/>
          <w:marTop w:val="115"/>
          <w:marBottom w:val="0"/>
          <w:divBdr>
            <w:top w:val="none" w:sz="0" w:space="0" w:color="auto"/>
            <w:left w:val="none" w:sz="0" w:space="0" w:color="auto"/>
            <w:bottom w:val="none" w:sz="0" w:space="0" w:color="auto"/>
            <w:right w:val="none" w:sz="0" w:space="0" w:color="auto"/>
          </w:divBdr>
        </w:div>
        <w:div w:id="1485006890">
          <w:marLeft w:val="547"/>
          <w:marRight w:val="0"/>
          <w:marTop w:val="115"/>
          <w:marBottom w:val="0"/>
          <w:divBdr>
            <w:top w:val="none" w:sz="0" w:space="0" w:color="auto"/>
            <w:left w:val="none" w:sz="0" w:space="0" w:color="auto"/>
            <w:bottom w:val="none" w:sz="0" w:space="0" w:color="auto"/>
            <w:right w:val="none" w:sz="0" w:space="0" w:color="auto"/>
          </w:divBdr>
        </w:div>
        <w:div w:id="1653364837">
          <w:marLeft w:val="1166"/>
          <w:marRight w:val="0"/>
          <w:marTop w:val="91"/>
          <w:marBottom w:val="0"/>
          <w:divBdr>
            <w:top w:val="none" w:sz="0" w:space="0" w:color="auto"/>
            <w:left w:val="none" w:sz="0" w:space="0" w:color="auto"/>
            <w:bottom w:val="none" w:sz="0" w:space="0" w:color="auto"/>
            <w:right w:val="none" w:sz="0" w:space="0" w:color="auto"/>
          </w:divBdr>
        </w:div>
      </w:divsChild>
    </w:div>
    <w:div w:id="1145707971">
      <w:bodyDiv w:val="1"/>
      <w:marLeft w:val="0"/>
      <w:marRight w:val="0"/>
      <w:marTop w:val="0"/>
      <w:marBottom w:val="0"/>
      <w:divBdr>
        <w:top w:val="none" w:sz="0" w:space="0" w:color="auto"/>
        <w:left w:val="none" w:sz="0" w:space="0" w:color="auto"/>
        <w:bottom w:val="none" w:sz="0" w:space="0" w:color="auto"/>
        <w:right w:val="none" w:sz="0" w:space="0" w:color="auto"/>
      </w:divBdr>
    </w:div>
    <w:div w:id="1146900768">
      <w:bodyDiv w:val="1"/>
      <w:marLeft w:val="0"/>
      <w:marRight w:val="0"/>
      <w:marTop w:val="0"/>
      <w:marBottom w:val="0"/>
      <w:divBdr>
        <w:top w:val="none" w:sz="0" w:space="0" w:color="auto"/>
        <w:left w:val="none" w:sz="0" w:space="0" w:color="auto"/>
        <w:bottom w:val="none" w:sz="0" w:space="0" w:color="auto"/>
        <w:right w:val="none" w:sz="0" w:space="0" w:color="auto"/>
      </w:divBdr>
      <w:divsChild>
        <w:div w:id="1791123538">
          <w:marLeft w:val="0"/>
          <w:marRight w:val="0"/>
          <w:marTop w:val="0"/>
          <w:marBottom w:val="0"/>
          <w:divBdr>
            <w:top w:val="none" w:sz="0" w:space="0" w:color="auto"/>
            <w:left w:val="none" w:sz="0" w:space="0" w:color="auto"/>
            <w:bottom w:val="none" w:sz="0" w:space="0" w:color="auto"/>
            <w:right w:val="none" w:sz="0" w:space="0" w:color="auto"/>
          </w:divBdr>
          <w:divsChild>
            <w:div w:id="182523519">
              <w:marLeft w:val="0"/>
              <w:marRight w:val="0"/>
              <w:marTop w:val="0"/>
              <w:marBottom w:val="0"/>
              <w:divBdr>
                <w:top w:val="none" w:sz="0" w:space="0" w:color="auto"/>
                <w:left w:val="none" w:sz="0" w:space="0" w:color="auto"/>
                <w:bottom w:val="none" w:sz="0" w:space="0" w:color="auto"/>
                <w:right w:val="none" w:sz="0" w:space="0" w:color="auto"/>
              </w:divBdr>
            </w:div>
            <w:div w:id="439229081">
              <w:marLeft w:val="0"/>
              <w:marRight w:val="0"/>
              <w:marTop w:val="0"/>
              <w:marBottom w:val="0"/>
              <w:divBdr>
                <w:top w:val="none" w:sz="0" w:space="0" w:color="auto"/>
                <w:left w:val="none" w:sz="0" w:space="0" w:color="auto"/>
                <w:bottom w:val="none" w:sz="0" w:space="0" w:color="auto"/>
                <w:right w:val="none" w:sz="0" w:space="0" w:color="auto"/>
              </w:divBdr>
            </w:div>
            <w:div w:id="849637336">
              <w:marLeft w:val="0"/>
              <w:marRight w:val="0"/>
              <w:marTop w:val="0"/>
              <w:marBottom w:val="0"/>
              <w:divBdr>
                <w:top w:val="none" w:sz="0" w:space="0" w:color="auto"/>
                <w:left w:val="none" w:sz="0" w:space="0" w:color="auto"/>
                <w:bottom w:val="none" w:sz="0" w:space="0" w:color="auto"/>
                <w:right w:val="none" w:sz="0" w:space="0" w:color="auto"/>
              </w:divBdr>
            </w:div>
            <w:div w:id="1105345231">
              <w:marLeft w:val="0"/>
              <w:marRight w:val="0"/>
              <w:marTop w:val="0"/>
              <w:marBottom w:val="0"/>
              <w:divBdr>
                <w:top w:val="none" w:sz="0" w:space="0" w:color="auto"/>
                <w:left w:val="none" w:sz="0" w:space="0" w:color="auto"/>
                <w:bottom w:val="none" w:sz="0" w:space="0" w:color="auto"/>
                <w:right w:val="none" w:sz="0" w:space="0" w:color="auto"/>
              </w:divBdr>
            </w:div>
            <w:div w:id="15050474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8474062">
      <w:bodyDiv w:val="1"/>
      <w:marLeft w:val="0"/>
      <w:marRight w:val="0"/>
      <w:marTop w:val="0"/>
      <w:marBottom w:val="0"/>
      <w:divBdr>
        <w:top w:val="none" w:sz="0" w:space="0" w:color="auto"/>
        <w:left w:val="none" w:sz="0" w:space="0" w:color="auto"/>
        <w:bottom w:val="none" w:sz="0" w:space="0" w:color="auto"/>
        <w:right w:val="none" w:sz="0" w:space="0" w:color="auto"/>
      </w:divBdr>
      <w:divsChild>
        <w:div w:id="2137793573">
          <w:marLeft w:val="0"/>
          <w:marRight w:val="0"/>
          <w:marTop w:val="0"/>
          <w:marBottom w:val="0"/>
          <w:divBdr>
            <w:top w:val="none" w:sz="0" w:space="0" w:color="auto"/>
            <w:left w:val="none" w:sz="0" w:space="0" w:color="auto"/>
            <w:bottom w:val="none" w:sz="0" w:space="0" w:color="auto"/>
            <w:right w:val="none" w:sz="0" w:space="0" w:color="auto"/>
          </w:divBdr>
          <w:divsChild>
            <w:div w:id="63528806">
              <w:marLeft w:val="0"/>
              <w:marRight w:val="0"/>
              <w:marTop w:val="0"/>
              <w:marBottom w:val="0"/>
              <w:divBdr>
                <w:top w:val="none" w:sz="0" w:space="0" w:color="auto"/>
                <w:left w:val="none" w:sz="0" w:space="0" w:color="auto"/>
                <w:bottom w:val="none" w:sz="0" w:space="0" w:color="auto"/>
                <w:right w:val="none" w:sz="0" w:space="0" w:color="auto"/>
              </w:divBdr>
            </w:div>
            <w:div w:id="532307897">
              <w:marLeft w:val="0"/>
              <w:marRight w:val="0"/>
              <w:marTop w:val="0"/>
              <w:marBottom w:val="0"/>
              <w:divBdr>
                <w:top w:val="none" w:sz="0" w:space="0" w:color="auto"/>
                <w:left w:val="none" w:sz="0" w:space="0" w:color="auto"/>
                <w:bottom w:val="none" w:sz="0" w:space="0" w:color="auto"/>
                <w:right w:val="none" w:sz="0" w:space="0" w:color="auto"/>
              </w:divBdr>
            </w:div>
            <w:div w:id="579564029">
              <w:marLeft w:val="0"/>
              <w:marRight w:val="0"/>
              <w:marTop w:val="0"/>
              <w:marBottom w:val="0"/>
              <w:divBdr>
                <w:top w:val="none" w:sz="0" w:space="0" w:color="auto"/>
                <w:left w:val="none" w:sz="0" w:space="0" w:color="auto"/>
                <w:bottom w:val="none" w:sz="0" w:space="0" w:color="auto"/>
                <w:right w:val="none" w:sz="0" w:space="0" w:color="auto"/>
              </w:divBdr>
            </w:div>
            <w:div w:id="1318530384">
              <w:marLeft w:val="0"/>
              <w:marRight w:val="0"/>
              <w:marTop w:val="0"/>
              <w:marBottom w:val="0"/>
              <w:divBdr>
                <w:top w:val="none" w:sz="0" w:space="0" w:color="auto"/>
                <w:left w:val="none" w:sz="0" w:space="0" w:color="auto"/>
                <w:bottom w:val="none" w:sz="0" w:space="0" w:color="auto"/>
                <w:right w:val="none" w:sz="0" w:space="0" w:color="auto"/>
              </w:divBdr>
            </w:div>
            <w:div w:id="1413316360">
              <w:marLeft w:val="0"/>
              <w:marRight w:val="0"/>
              <w:marTop w:val="0"/>
              <w:marBottom w:val="0"/>
              <w:divBdr>
                <w:top w:val="none" w:sz="0" w:space="0" w:color="auto"/>
                <w:left w:val="none" w:sz="0" w:space="0" w:color="auto"/>
                <w:bottom w:val="none" w:sz="0" w:space="0" w:color="auto"/>
                <w:right w:val="none" w:sz="0" w:space="0" w:color="auto"/>
              </w:divBdr>
            </w:div>
            <w:div w:id="1598751277">
              <w:marLeft w:val="0"/>
              <w:marRight w:val="0"/>
              <w:marTop w:val="0"/>
              <w:marBottom w:val="0"/>
              <w:divBdr>
                <w:top w:val="none" w:sz="0" w:space="0" w:color="auto"/>
                <w:left w:val="none" w:sz="0" w:space="0" w:color="auto"/>
                <w:bottom w:val="none" w:sz="0" w:space="0" w:color="auto"/>
                <w:right w:val="none" w:sz="0" w:space="0" w:color="auto"/>
              </w:divBdr>
            </w:div>
            <w:div w:id="19075674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8863838">
      <w:bodyDiv w:val="1"/>
      <w:marLeft w:val="0"/>
      <w:marRight w:val="0"/>
      <w:marTop w:val="0"/>
      <w:marBottom w:val="0"/>
      <w:divBdr>
        <w:top w:val="none" w:sz="0" w:space="0" w:color="auto"/>
        <w:left w:val="none" w:sz="0" w:space="0" w:color="auto"/>
        <w:bottom w:val="none" w:sz="0" w:space="0" w:color="auto"/>
        <w:right w:val="none" w:sz="0" w:space="0" w:color="auto"/>
      </w:divBdr>
    </w:div>
    <w:div w:id="1149322204">
      <w:bodyDiv w:val="1"/>
      <w:marLeft w:val="0"/>
      <w:marRight w:val="0"/>
      <w:marTop w:val="0"/>
      <w:marBottom w:val="0"/>
      <w:divBdr>
        <w:top w:val="none" w:sz="0" w:space="0" w:color="auto"/>
        <w:left w:val="none" w:sz="0" w:space="0" w:color="auto"/>
        <w:bottom w:val="none" w:sz="0" w:space="0" w:color="auto"/>
        <w:right w:val="none" w:sz="0" w:space="0" w:color="auto"/>
      </w:divBdr>
    </w:div>
    <w:div w:id="1150093351">
      <w:bodyDiv w:val="1"/>
      <w:marLeft w:val="0"/>
      <w:marRight w:val="0"/>
      <w:marTop w:val="0"/>
      <w:marBottom w:val="0"/>
      <w:divBdr>
        <w:top w:val="none" w:sz="0" w:space="0" w:color="auto"/>
        <w:left w:val="none" w:sz="0" w:space="0" w:color="auto"/>
        <w:bottom w:val="none" w:sz="0" w:space="0" w:color="auto"/>
        <w:right w:val="none" w:sz="0" w:space="0" w:color="auto"/>
      </w:divBdr>
    </w:div>
    <w:div w:id="1150245399">
      <w:bodyDiv w:val="1"/>
      <w:marLeft w:val="0"/>
      <w:marRight w:val="0"/>
      <w:marTop w:val="0"/>
      <w:marBottom w:val="0"/>
      <w:divBdr>
        <w:top w:val="none" w:sz="0" w:space="0" w:color="auto"/>
        <w:left w:val="none" w:sz="0" w:space="0" w:color="auto"/>
        <w:bottom w:val="none" w:sz="0" w:space="0" w:color="auto"/>
        <w:right w:val="none" w:sz="0" w:space="0" w:color="auto"/>
      </w:divBdr>
      <w:divsChild>
        <w:div w:id="40793466">
          <w:marLeft w:val="2520"/>
          <w:marRight w:val="0"/>
          <w:marTop w:val="77"/>
          <w:marBottom w:val="0"/>
          <w:divBdr>
            <w:top w:val="none" w:sz="0" w:space="0" w:color="auto"/>
            <w:left w:val="none" w:sz="0" w:space="0" w:color="auto"/>
            <w:bottom w:val="none" w:sz="0" w:space="0" w:color="auto"/>
            <w:right w:val="none" w:sz="0" w:space="0" w:color="auto"/>
          </w:divBdr>
        </w:div>
        <w:div w:id="366029284">
          <w:marLeft w:val="2520"/>
          <w:marRight w:val="0"/>
          <w:marTop w:val="77"/>
          <w:marBottom w:val="0"/>
          <w:divBdr>
            <w:top w:val="none" w:sz="0" w:space="0" w:color="auto"/>
            <w:left w:val="none" w:sz="0" w:space="0" w:color="auto"/>
            <w:bottom w:val="none" w:sz="0" w:space="0" w:color="auto"/>
            <w:right w:val="none" w:sz="0" w:space="0" w:color="auto"/>
          </w:divBdr>
        </w:div>
        <w:div w:id="764611200">
          <w:marLeft w:val="2520"/>
          <w:marRight w:val="0"/>
          <w:marTop w:val="77"/>
          <w:marBottom w:val="0"/>
          <w:divBdr>
            <w:top w:val="none" w:sz="0" w:space="0" w:color="auto"/>
            <w:left w:val="none" w:sz="0" w:space="0" w:color="auto"/>
            <w:bottom w:val="none" w:sz="0" w:space="0" w:color="auto"/>
            <w:right w:val="none" w:sz="0" w:space="0" w:color="auto"/>
          </w:divBdr>
        </w:div>
        <w:div w:id="923996836">
          <w:marLeft w:val="1800"/>
          <w:marRight w:val="0"/>
          <w:marTop w:val="86"/>
          <w:marBottom w:val="0"/>
          <w:divBdr>
            <w:top w:val="none" w:sz="0" w:space="0" w:color="auto"/>
            <w:left w:val="none" w:sz="0" w:space="0" w:color="auto"/>
            <w:bottom w:val="none" w:sz="0" w:space="0" w:color="auto"/>
            <w:right w:val="none" w:sz="0" w:space="0" w:color="auto"/>
          </w:divBdr>
        </w:div>
        <w:div w:id="958608412">
          <w:marLeft w:val="2520"/>
          <w:marRight w:val="0"/>
          <w:marTop w:val="77"/>
          <w:marBottom w:val="0"/>
          <w:divBdr>
            <w:top w:val="none" w:sz="0" w:space="0" w:color="auto"/>
            <w:left w:val="none" w:sz="0" w:space="0" w:color="auto"/>
            <w:bottom w:val="none" w:sz="0" w:space="0" w:color="auto"/>
            <w:right w:val="none" w:sz="0" w:space="0" w:color="auto"/>
          </w:divBdr>
        </w:div>
        <w:div w:id="1200818202">
          <w:marLeft w:val="3240"/>
          <w:marRight w:val="0"/>
          <w:marTop w:val="77"/>
          <w:marBottom w:val="0"/>
          <w:divBdr>
            <w:top w:val="none" w:sz="0" w:space="0" w:color="auto"/>
            <w:left w:val="none" w:sz="0" w:space="0" w:color="auto"/>
            <w:bottom w:val="none" w:sz="0" w:space="0" w:color="auto"/>
            <w:right w:val="none" w:sz="0" w:space="0" w:color="auto"/>
          </w:divBdr>
        </w:div>
        <w:div w:id="1247155958">
          <w:marLeft w:val="1800"/>
          <w:marRight w:val="0"/>
          <w:marTop w:val="86"/>
          <w:marBottom w:val="0"/>
          <w:divBdr>
            <w:top w:val="none" w:sz="0" w:space="0" w:color="auto"/>
            <w:left w:val="none" w:sz="0" w:space="0" w:color="auto"/>
            <w:bottom w:val="none" w:sz="0" w:space="0" w:color="auto"/>
            <w:right w:val="none" w:sz="0" w:space="0" w:color="auto"/>
          </w:divBdr>
        </w:div>
        <w:div w:id="1525941804">
          <w:marLeft w:val="547"/>
          <w:marRight w:val="0"/>
          <w:marTop w:val="115"/>
          <w:marBottom w:val="0"/>
          <w:divBdr>
            <w:top w:val="none" w:sz="0" w:space="0" w:color="auto"/>
            <w:left w:val="none" w:sz="0" w:space="0" w:color="auto"/>
            <w:bottom w:val="none" w:sz="0" w:space="0" w:color="auto"/>
            <w:right w:val="none" w:sz="0" w:space="0" w:color="auto"/>
          </w:divBdr>
        </w:div>
        <w:div w:id="1803115701">
          <w:marLeft w:val="2520"/>
          <w:marRight w:val="0"/>
          <w:marTop w:val="77"/>
          <w:marBottom w:val="0"/>
          <w:divBdr>
            <w:top w:val="none" w:sz="0" w:space="0" w:color="auto"/>
            <w:left w:val="none" w:sz="0" w:space="0" w:color="auto"/>
            <w:bottom w:val="none" w:sz="0" w:space="0" w:color="auto"/>
            <w:right w:val="none" w:sz="0" w:space="0" w:color="auto"/>
          </w:divBdr>
        </w:div>
        <w:div w:id="1904288366">
          <w:marLeft w:val="1166"/>
          <w:marRight w:val="0"/>
          <w:marTop w:val="96"/>
          <w:marBottom w:val="0"/>
          <w:divBdr>
            <w:top w:val="none" w:sz="0" w:space="0" w:color="auto"/>
            <w:left w:val="none" w:sz="0" w:space="0" w:color="auto"/>
            <w:bottom w:val="none" w:sz="0" w:space="0" w:color="auto"/>
            <w:right w:val="none" w:sz="0" w:space="0" w:color="auto"/>
          </w:divBdr>
        </w:div>
        <w:div w:id="2029405011">
          <w:marLeft w:val="1800"/>
          <w:marRight w:val="0"/>
          <w:marTop w:val="86"/>
          <w:marBottom w:val="0"/>
          <w:divBdr>
            <w:top w:val="none" w:sz="0" w:space="0" w:color="auto"/>
            <w:left w:val="none" w:sz="0" w:space="0" w:color="auto"/>
            <w:bottom w:val="none" w:sz="0" w:space="0" w:color="auto"/>
            <w:right w:val="none" w:sz="0" w:space="0" w:color="auto"/>
          </w:divBdr>
        </w:div>
        <w:div w:id="2033875061">
          <w:marLeft w:val="2520"/>
          <w:marRight w:val="0"/>
          <w:marTop w:val="77"/>
          <w:marBottom w:val="0"/>
          <w:divBdr>
            <w:top w:val="none" w:sz="0" w:space="0" w:color="auto"/>
            <w:left w:val="none" w:sz="0" w:space="0" w:color="auto"/>
            <w:bottom w:val="none" w:sz="0" w:space="0" w:color="auto"/>
            <w:right w:val="none" w:sz="0" w:space="0" w:color="auto"/>
          </w:divBdr>
        </w:div>
      </w:divsChild>
    </w:div>
    <w:div w:id="1151674204">
      <w:bodyDiv w:val="1"/>
      <w:marLeft w:val="0"/>
      <w:marRight w:val="0"/>
      <w:marTop w:val="0"/>
      <w:marBottom w:val="0"/>
      <w:divBdr>
        <w:top w:val="none" w:sz="0" w:space="0" w:color="auto"/>
        <w:left w:val="none" w:sz="0" w:space="0" w:color="auto"/>
        <w:bottom w:val="none" w:sz="0" w:space="0" w:color="auto"/>
        <w:right w:val="none" w:sz="0" w:space="0" w:color="auto"/>
      </w:divBdr>
    </w:div>
    <w:div w:id="1152716539">
      <w:bodyDiv w:val="1"/>
      <w:marLeft w:val="0"/>
      <w:marRight w:val="0"/>
      <w:marTop w:val="0"/>
      <w:marBottom w:val="0"/>
      <w:divBdr>
        <w:top w:val="none" w:sz="0" w:space="0" w:color="auto"/>
        <w:left w:val="none" w:sz="0" w:space="0" w:color="auto"/>
        <w:bottom w:val="none" w:sz="0" w:space="0" w:color="auto"/>
        <w:right w:val="none" w:sz="0" w:space="0" w:color="auto"/>
      </w:divBdr>
    </w:div>
    <w:div w:id="1153528980">
      <w:bodyDiv w:val="1"/>
      <w:marLeft w:val="0"/>
      <w:marRight w:val="0"/>
      <w:marTop w:val="0"/>
      <w:marBottom w:val="0"/>
      <w:divBdr>
        <w:top w:val="none" w:sz="0" w:space="0" w:color="auto"/>
        <w:left w:val="none" w:sz="0" w:space="0" w:color="auto"/>
        <w:bottom w:val="none" w:sz="0" w:space="0" w:color="auto"/>
        <w:right w:val="none" w:sz="0" w:space="0" w:color="auto"/>
      </w:divBdr>
    </w:div>
    <w:div w:id="1153641090">
      <w:bodyDiv w:val="1"/>
      <w:marLeft w:val="0"/>
      <w:marRight w:val="0"/>
      <w:marTop w:val="0"/>
      <w:marBottom w:val="0"/>
      <w:divBdr>
        <w:top w:val="none" w:sz="0" w:space="0" w:color="auto"/>
        <w:left w:val="none" w:sz="0" w:space="0" w:color="auto"/>
        <w:bottom w:val="none" w:sz="0" w:space="0" w:color="auto"/>
        <w:right w:val="none" w:sz="0" w:space="0" w:color="auto"/>
      </w:divBdr>
    </w:div>
    <w:div w:id="1154300483">
      <w:bodyDiv w:val="1"/>
      <w:marLeft w:val="0"/>
      <w:marRight w:val="0"/>
      <w:marTop w:val="0"/>
      <w:marBottom w:val="0"/>
      <w:divBdr>
        <w:top w:val="none" w:sz="0" w:space="0" w:color="auto"/>
        <w:left w:val="none" w:sz="0" w:space="0" w:color="auto"/>
        <w:bottom w:val="none" w:sz="0" w:space="0" w:color="auto"/>
        <w:right w:val="none" w:sz="0" w:space="0" w:color="auto"/>
      </w:divBdr>
      <w:divsChild>
        <w:div w:id="26296764">
          <w:marLeft w:val="1166"/>
          <w:marRight w:val="0"/>
          <w:marTop w:val="134"/>
          <w:marBottom w:val="0"/>
          <w:divBdr>
            <w:top w:val="none" w:sz="0" w:space="0" w:color="auto"/>
            <w:left w:val="none" w:sz="0" w:space="0" w:color="auto"/>
            <w:bottom w:val="none" w:sz="0" w:space="0" w:color="auto"/>
            <w:right w:val="none" w:sz="0" w:space="0" w:color="auto"/>
          </w:divBdr>
        </w:div>
        <w:div w:id="119763868">
          <w:marLeft w:val="1166"/>
          <w:marRight w:val="0"/>
          <w:marTop w:val="134"/>
          <w:marBottom w:val="0"/>
          <w:divBdr>
            <w:top w:val="none" w:sz="0" w:space="0" w:color="auto"/>
            <w:left w:val="none" w:sz="0" w:space="0" w:color="auto"/>
            <w:bottom w:val="none" w:sz="0" w:space="0" w:color="auto"/>
            <w:right w:val="none" w:sz="0" w:space="0" w:color="auto"/>
          </w:divBdr>
        </w:div>
        <w:div w:id="573928585">
          <w:marLeft w:val="1800"/>
          <w:marRight w:val="0"/>
          <w:marTop w:val="115"/>
          <w:marBottom w:val="0"/>
          <w:divBdr>
            <w:top w:val="none" w:sz="0" w:space="0" w:color="auto"/>
            <w:left w:val="none" w:sz="0" w:space="0" w:color="auto"/>
            <w:bottom w:val="none" w:sz="0" w:space="0" w:color="auto"/>
            <w:right w:val="none" w:sz="0" w:space="0" w:color="auto"/>
          </w:divBdr>
        </w:div>
        <w:div w:id="1864513596">
          <w:marLeft w:val="1166"/>
          <w:marRight w:val="0"/>
          <w:marTop w:val="134"/>
          <w:marBottom w:val="0"/>
          <w:divBdr>
            <w:top w:val="none" w:sz="0" w:space="0" w:color="auto"/>
            <w:left w:val="none" w:sz="0" w:space="0" w:color="auto"/>
            <w:bottom w:val="none" w:sz="0" w:space="0" w:color="auto"/>
            <w:right w:val="none" w:sz="0" w:space="0" w:color="auto"/>
          </w:divBdr>
        </w:div>
        <w:div w:id="1906451157">
          <w:marLeft w:val="547"/>
          <w:marRight w:val="0"/>
          <w:marTop w:val="154"/>
          <w:marBottom w:val="0"/>
          <w:divBdr>
            <w:top w:val="none" w:sz="0" w:space="0" w:color="auto"/>
            <w:left w:val="none" w:sz="0" w:space="0" w:color="auto"/>
            <w:bottom w:val="none" w:sz="0" w:space="0" w:color="auto"/>
            <w:right w:val="none" w:sz="0" w:space="0" w:color="auto"/>
          </w:divBdr>
        </w:div>
      </w:divsChild>
    </w:div>
    <w:div w:id="1155485993">
      <w:bodyDiv w:val="1"/>
      <w:marLeft w:val="0"/>
      <w:marRight w:val="0"/>
      <w:marTop w:val="0"/>
      <w:marBottom w:val="0"/>
      <w:divBdr>
        <w:top w:val="none" w:sz="0" w:space="0" w:color="auto"/>
        <w:left w:val="none" w:sz="0" w:space="0" w:color="auto"/>
        <w:bottom w:val="none" w:sz="0" w:space="0" w:color="auto"/>
        <w:right w:val="none" w:sz="0" w:space="0" w:color="auto"/>
      </w:divBdr>
    </w:div>
    <w:div w:id="1155492667">
      <w:bodyDiv w:val="1"/>
      <w:marLeft w:val="0"/>
      <w:marRight w:val="0"/>
      <w:marTop w:val="0"/>
      <w:marBottom w:val="0"/>
      <w:divBdr>
        <w:top w:val="none" w:sz="0" w:space="0" w:color="auto"/>
        <w:left w:val="none" w:sz="0" w:space="0" w:color="auto"/>
        <w:bottom w:val="none" w:sz="0" w:space="0" w:color="auto"/>
        <w:right w:val="none" w:sz="0" w:space="0" w:color="auto"/>
      </w:divBdr>
    </w:div>
    <w:div w:id="1156844661">
      <w:bodyDiv w:val="1"/>
      <w:marLeft w:val="0"/>
      <w:marRight w:val="0"/>
      <w:marTop w:val="0"/>
      <w:marBottom w:val="0"/>
      <w:divBdr>
        <w:top w:val="none" w:sz="0" w:space="0" w:color="auto"/>
        <w:left w:val="none" w:sz="0" w:space="0" w:color="auto"/>
        <w:bottom w:val="none" w:sz="0" w:space="0" w:color="auto"/>
        <w:right w:val="none" w:sz="0" w:space="0" w:color="auto"/>
      </w:divBdr>
      <w:divsChild>
        <w:div w:id="274365654">
          <w:marLeft w:val="1166"/>
          <w:marRight w:val="0"/>
          <w:marTop w:val="134"/>
          <w:marBottom w:val="0"/>
          <w:divBdr>
            <w:top w:val="none" w:sz="0" w:space="0" w:color="auto"/>
            <w:left w:val="none" w:sz="0" w:space="0" w:color="auto"/>
            <w:bottom w:val="none" w:sz="0" w:space="0" w:color="auto"/>
            <w:right w:val="none" w:sz="0" w:space="0" w:color="auto"/>
          </w:divBdr>
        </w:div>
        <w:div w:id="670185146">
          <w:marLeft w:val="547"/>
          <w:marRight w:val="0"/>
          <w:marTop w:val="154"/>
          <w:marBottom w:val="0"/>
          <w:divBdr>
            <w:top w:val="none" w:sz="0" w:space="0" w:color="auto"/>
            <w:left w:val="none" w:sz="0" w:space="0" w:color="auto"/>
            <w:bottom w:val="none" w:sz="0" w:space="0" w:color="auto"/>
            <w:right w:val="none" w:sz="0" w:space="0" w:color="auto"/>
          </w:divBdr>
        </w:div>
        <w:div w:id="1098981765">
          <w:marLeft w:val="547"/>
          <w:marRight w:val="0"/>
          <w:marTop w:val="154"/>
          <w:marBottom w:val="0"/>
          <w:divBdr>
            <w:top w:val="none" w:sz="0" w:space="0" w:color="auto"/>
            <w:left w:val="none" w:sz="0" w:space="0" w:color="auto"/>
            <w:bottom w:val="none" w:sz="0" w:space="0" w:color="auto"/>
            <w:right w:val="none" w:sz="0" w:space="0" w:color="auto"/>
          </w:divBdr>
        </w:div>
        <w:div w:id="1707441873">
          <w:marLeft w:val="1166"/>
          <w:marRight w:val="0"/>
          <w:marTop w:val="134"/>
          <w:marBottom w:val="0"/>
          <w:divBdr>
            <w:top w:val="none" w:sz="0" w:space="0" w:color="auto"/>
            <w:left w:val="none" w:sz="0" w:space="0" w:color="auto"/>
            <w:bottom w:val="none" w:sz="0" w:space="0" w:color="auto"/>
            <w:right w:val="none" w:sz="0" w:space="0" w:color="auto"/>
          </w:divBdr>
        </w:div>
      </w:divsChild>
    </w:div>
    <w:div w:id="1157451587">
      <w:bodyDiv w:val="1"/>
      <w:marLeft w:val="0"/>
      <w:marRight w:val="0"/>
      <w:marTop w:val="0"/>
      <w:marBottom w:val="0"/>
      <w:divBdr>
        <w:top w:val="none" w:sz="0" w:space="0" w:color="auto"/>
        <w:left w:val="none" w:sz="0" w:space="0" w:color="auto"/>
        <w:bottom w:val="none" w:sz="0" w:space="0" w:color="auto"/>
        <w:right w:val="none" w:sz="0" w:space="0" w:color="auto"/>
      </w:divBdr>
      <w:divsChild>
        <w:div w:id="60179506">
          <w:marLeft w:val="547"/>
          <w:marRight w:val="0"/>
          <w:marTop w:val="96"/>
          <w:marBottom w:val="0"/>
          <w:divBdr>
            <w:top w:val="none" w:sz="0" w:space="0" w:color="auto"/>
            <w:left w:val="none" w:sz="0" w:space="0" w:color="auto"/>
            <w:bottom w:val="none" w:sz="0" w:space="0" w:color="auto"/>
            <w:right w:val="none" w:sz="0" w:space="0" w:color="auto"/>
          </w:divBdr>
        </w:div>
        <w:div w:id="121120662">
          <w:marLeft w:val="547"/>
          <w:marRight w:val="0"/>
          <w:marTop w:val="96"/>
          <w:marBottom w:val="0"/>
          <w:divBdr>
            <w:top w:val="none" w:sz="0" w:space="0" w:color="auto"/>
            <w:left w:val="none" w:sz="0" w:space="0" w:color="auto"/>
            <w:bottom w:val="none" w:sz="0" w:space="0" w:color="auto"/>
            <w:right w:val="none" w:sz="0" w:space="0" w:color="auto"/>
          </w:divBdr>
        </w:div>
        <w:div w:id="281811779">
          <w:marLeft w:val="1166"/>
          <w:marRight w:val="0"/>
          <w:marTop w:val="86"/>
          <w:marBottom w:val="0"/>
          <w:divBdr>
            <w:top w:val="none" w:sz="0" w:space="0" w:color="auto"/>
            <w:left w:val="none" w:sz="0" w:space="0" w:color="auto"/>
            <w:bottom w:val="none" w:sz="0" w:space="0" w:color="auto"/>
            <w:right w:val="none" w:sz="0" w:space="0" w:color="auto"/>
          </w:divBdr>
        </w:div>
        <w:div w:id="307976896">
          <w:marLeft w:val="1800"/>
          <w:marRight w:val="0"/>
          <w:marTop w:val="77"/>
          <w:marBottom w:val="0"/>
          <w:divBdr>
            <w:top w:val="none" w:sz="0" w:space="0" w:color="auto"/>
            <w:left w:val="none" w:sz="0" w:space="0" w:color="auto"/>
            <w:bottom w:val="none" w:sz="0" w:space="0" w:color="auto"/>
            <w:right w:val="none" w:sz="0" w:space="0" w:color="auto"/>
          </w:divBdr>
        </w:div>
        <w:div w:id="396369198">
          <w:marLeft w:val="1166"/>
          <w:marRight w:val="0"/>
          <w:marTop w:val="86"/>
          <w:marBottom w:val="0"/>
          <w:divBdr>
            <w:top w:val="none" w:sz="0" w:space="0" w:color="auto"/>
            <w:left w:val="none" w:sz="0" w:space="0" w:color="auto"/>
            <w:bottom w:val="none" w:sz="0" w:space="0" w:color="auto"/>
            <w:right w:val="none" w:sz="0" w:space="0" w:color="auto"/>
          </w:divBdr>
        </w:div>
        <w:div w:id="408504283">
          <w:marLeft w:val="1166"/>
          <w:marRight w:val="0"/>
          <w:marTop w:val="86"/>
          <w:marBottom w:val="0"/>
          <w:divBdr>
            <w:top w:val="none" w:sz="0" w:space="0" w:color="auto"/>
            <w:left w:val="none" w:sz="0" w:space="0" w:color="auto"/>
            <w:bottom w:val="none" w:sz="0" w:space="0" w:color="auto"/>
            <w:right w:val="none" w:sz="0" w:space="0" w:color="auto"/>
          </w:divBdr>
        </w:div>
        <w:div w:id="409736586">
          <w:marLeft w:val="547"/>
          <w:marRight w:val="0"/>
          <w:marTop w:val="96"/>
          <w:marBottom w:val="0"/>
          <w:divBdr>
            <w:top w:val="none" w:sz="0" w:space="0" w:color="auto"/>
            <w:left w:val="none" w:sz="0" w:space="0" w:color="auto"/>
            <w:bottom w:val="none" w:sz="0" w:space="0" w:color="auto"/>
            <w:right w:val="none" w:sz="0" w:space="0" w:color="auto"/>
          </w:divBdr>
        </w:div>
        <w:div w:id="539822029">
          <w:marLeft w:val="1800"/>
          <w:marRight w:val="0"/>
          <w:marTop w:val="77"/>
          <w:marBottom w:val="0"/>
          <w:divBdr>
            <w:top w:val="none" w:sz="0" w:space="0" w:color="auto"/>
            <w:left w:val="none" w:sz="0" w:space="0" w:color="auto"/>
            <w:bottom w:val="none" w:sz="0" w:space="0" w:color="auto"/>
            <w:right w:val="none" w:sz="0" w:space="0" w:color="auto"/>
          </w:divBdr>
        </w:div>
        <w:div w:id="801726386">
          <w:marLeft w:val="1800"/>
          <w:marRight w:val="0"/>
          <w:marTop w:val="77"/>
          <w:marBottom w:val="0"/>
          <w:divBdr>
            <w:top w:val="none" w:sz="0" w:space="0" w:color="auto"/>
            <w:left w:val="none" w:sz="0" w:space="0" w:color="auto"/>
            <w:bottom w:val="none" w:sz="0" w:space="0" w:color="auto"/>
            <w:right w:val="none" w:sz="0" w:space="0" w:color="auto"/>
          </w:divBdr>
        </w:div>
        <w:div w:id="856044994">
          <w:marLeft w:val="1800"/>
          <w:marRight w:val="0"/>
          <w:marTop w:val="77"/>
          <w:marBottom w:val="0"/>
          <w:divBdr>
            <w:top w:val="none" w:sz="0" w:space="0" w:color="auto"/>
            <w:left w:val="none" w:sz="0" w:space="0" w:color="auto"/>
            <w:bottom w:val="none" w:sz="0" w:space="0" w:color="auto"/>
            <w:right w:val="none" w:sz="0" w:space="0" w:color="auto"/>
          </w:divBdr>
        </w:div>
        <w:div w:id="1111244609">
          <w:marLeft w:val="1166"/>
          <w:marRight w:val="0"/>
          <w:marTop w:val="86"/>
          <w:marBottom w:val="0"/>
          <w:divBdr>
            <w:top w:val="none" w:sz="0" w:space="0" w:color="auto"/>
            <w:left w:val="none" w:sz="0" w:space="0" w:color="auto"/>
            <w:bottom w:val="none" w:sz="0" w:space="0" w:color="auto"/>
            <w:right w:val="none" w:sz="0" w:space="0" w:color="auto"/>
          </w:divBdr>
        </w:div>
        <w:div w:id="1200702864">
          <w:marLeft w:val="1800"/>
          <w:marRight w:val="0"/>
          <w:marTop w:val="77"/>
          <w:marBottom w:val="0"/>
          <w:divBdr>
            <w:top w:val="none" w:sz="0" w:space="0" w:color="auto"/>
            <w:left w:val="none" w:sz="0" w:space="0" w:color="auto"/>
            <w:bottom w:val="none" w:sz="0" w:space="0" w:color="auto"/>
            <w:right w:val="none" w:sz="0" w:space="0" w:color="auto"/>
          </w:divBdr>
        </w:div>
        <w:div w:id="1269846945">
          <w:marLeft w:val="1166"/>
          <w:marRight w:val="0"/>
          <w:marTop w:val="86"/>
          <w:marBottom w:val="0"/>
          <w:divBdr>
            <w:top w:val="none" w:sz="0" w:space="0" w:color="auto"/>
            <w:left w:val="none" w:sz="0" w:space="0" w:color="auto"/>
            <w:bottom w:val="none" w:sz="0" w:space="0" w:color="auto"/>
            <w:right w:val="none" w:sz="0" w:space="0" w:color="auto"/>
          </w:divBdr>
        </w:div>
        <w:div w:id="1493376454">
          <w:marLeft w:val="1800"/>
          <w:marRight w:val="0"/>
          <w:marTop w:val="77"/>
          <w:marBottom w:val="0"/>
          <w:divBdr>
            <w:top w:val="none" w:sz="0" w:space="0" w:color="auto"/>
            <w:left w:val="none" w:sz="0" w:space="0" w:color="auto"/>
            <w:bottom w:val="none" w:sz="0" w:space="0" w:color="auto"/>
            <w:right w:val="none" w:sz="0" w:space="0" w:color="auto"/>
          </w:divBdr>
        </w:div>
        <w:div w:id="1515799380">
          <w:marLeft w:val="1800"/>
          <w:marRight w:val="0"/>
          <w:marTop w:val="77"/>
          <w:marBottom w:val="0"/>
          <w:divBdr>
            <w:top w:val="none" w:sz="0" w:space="0" w:color="auto"/>
            <w:left w:val="none" w:sz="0" w:space="0" w:color="auto"/>
            <w:bottom w:val="none" w:sz="0" w:space="0" w:color="auto"/>
            <w:right w:val="none" w:sz="0" w:space="0" w:color="auto"/>
          </w:divBdr>
        </w:div>
        <w:div w:id="1813667774">
          <w:marLeft w:val="1800"/>
          <w:marRight w:val="0"/>
          <w:marTop w:val="77"/>
          <w:marBottom w:val="0"/>
          <w:divBdr>
            <w:top w:val="none" w:sz="0" w:space="0" w:color="auto"/>
            <w:left w:val="none" w:sz="0" w:space="0" w:color="auto"/>
            <w:bottom w:val="none" w:sz="0" w:space="0" w:color="auto"/>
            <w:right w:val="none" w:sz="0" w:space="0" w:color="auto"/>
          </w:divBdr>
        </w:div>
        <w:div w:id="1900553509">
          <w:marLeft w:val="1800"/>
          <w:marRight w:val="0"/>
          <w:marTop w:val="77"/>
          <w:marBottom w:val="0"/>
          <w:divBdr>
            <w:top w:val="none" w:sz="0" w:space="0" w:color="auto"/>
            <w:left w:val="none" w:sz="0" w:space="0" w:color="auto"/>
            <w:bottom w:val="none" w:sz="0" w:space="0" w:color="auto"/>
            <w:right w:val="none" w:sz="0" w:space="0" w:color="auto"/>
          </w:divBdr>
        </w:div>
        <w:div w:id="2059039343">
          <w:marLeft w:val="1800"/>
          <w:marRight w:val="0"/>
          <w:marTop w:val="77"/>
          <w:marBottom w:val="0"/>
          <w:divBdr>
            <w:top w:val="none" w:sz="0" w:space="0" w:color="auto"/>
            <w:left w:val="none" w:sz="0" w:space="0" w:color="auto"/>
            <w:bottom w:val="none" w:sz="0" w:space="0" w:color="auto"/>
            <w:right w:val="none" w:sz="0" w:space="0" w:color="auto"/>
          </w:divBdr>
        </w:div>
      </w:divsChild>
    </w:div>
    <w:div w:id="1158154886">
      <w:bodyDiv w:val="1"/>
      <w:marLeft w:val="0"/>
      <w:marRight w:val="0"/>
      <w:marTop w:val="0"/>
      <w:marBottom w:val="0"/>
      <w:divBdr>
        <w:top w:val="none" w:sz="0" w:space="0" w:color="auto"/>
        <w:left w:val="none" w:sz="0" w:space="0" w:color="auto"/>
        <w:bottom w:val="none" w:sz="0" w:space="0" w:color="auto"/>
        <w:right w:val="none" w:sz="0" w:space="0" w:color="auto"/>
      </w:divBdr>
      <w:divsChild>
        <w:div w:id="357975293">
          <w:marLeft w:val="1800"/>
          <w:marRight w:val="0"/>
          <w:marTop w:val="91"/>
          <w:marBottom w:val="0"/>
          <w:divBdr>
            <w:top w:val="none" w:sz="0" w:space="0" w:color="auto"/>
            <w:left w:val="none" w:sz="0" w:space="0" w:color="auto"/>
            <w:bottom w:val="none" w:sz="0" w:space="0" w:color="auto"/>
            <w:right w:val="none" w:sz="0" w:space="0" w:color="auto"/>
          </w:divBdr>
        </w:div>
        <w:div w:id="524178765">
          <w:marLeft w:val="2520"/>
          <w:marRight w:val="0"/>
          <w:marTop w:val="82"/>
          <w:marBottom w:val="0"/>
          <w:divBdr>
            <w:top w:val="none" w:sz="0" w:space="0" w:color="auto"/>
            <w:left w:val="none" w:sz="0" w:space="0" w:color="auto"/>
            <w:bottom w:val="none" w:sz="0" w:space="0" w:color="auto"/>
            <w:right w:val="none" w:sz="0" w:space="0" w:color="auto"/>
          </w:divBdr>
        </w:div>
        <w:div w:id="575743576">
          <w:marLeft w:val="1800"/>
          <w:marRight w:val="0"/>
          <w:marTop w:val="91"/>
          <w:marBottom w:val="0"/>
          <w:divBdr>
            <w:top w:val="none" w:sz="0" w:space="0" w:color="auto"/>
            <w:left w:val="none" w:sz="0" w:space="0" w:color="auto"/>
            <w:bottom w:val="none" w:sz="0" w:space="0" w:color="auto"/>
            <w:right w:val="none" w:sz="0" w:space="0" w:color="auto"/>
          </w:divBdr>
        </w:div>
        <w:div w:id="792754550">
          <w:marLeft w:val="547"/>
          <w:marRight w:val="0"/>
          <w:marTop w:val="125"/>
          <w:marBottom w:val="0"/>
          <w:divBdr>
            <w:top w:val="none" w:sz="0" w:space="0" w:color="auto"/>
            <w:left w:val="none" w:sz="0" w:space="0" w:color="auto"/>
            <w:bottom w:val="none" w:sz="0" w:space="0" w:color="auto"/>
            <w:right w:val="none" w:sz="0" w:space="0" w:color="auto"/>
          </w:divBdr>
        </w:div>
        <w:div w:id="1041707722">
          <w:marLeft w:val="1166"/>
          <w:marRight w:val="0"/>
          <w:marTop w:val="106"/>
          <w:marBottom w:val="0"/>
          <w:divBdr>
            <w:top w:val="none" w:sz="0" w:space="0" w:color="auto"/>
            <w:left w:val="none" w:sz="0" w:space="0" w:color="auto"/>
            <w:bottom w:val="none" w:sz="0" w:space="0" w:color="auto"/>
            <w:right w:val="none" w:sz="0" w:space="0" w:color="auto"/>
          </w:divBdr>
        </w:div>
        <w:div w:id="1082024595">
          <w:marLeft w:val="1800"/>
          <w:marRight w:val="0"/>
          <w:marTop w:val="91"/>
          <w:marBottom w:val="0"/>
          <w:divBdr>
            <w:top w:val="none" w:sz="0" w:space="0" w:color="auto"/>
            <w:left w:val="none" w:sz="0" w:space="0" w:color="auto"/>
            <w:bottom w:val="none" w:sz="0" w:space="0" w:color="auto"/>
            <w:right w:val="none" w:sz="0" w:space="0" w:color="auto"/>
          </w:divBdr>
        </w:div>
        <w:div w:id="1310748529">
          <w:marLeft w:val="2520"/>
          <w:marRight w:val="0"/>
          <w:marTop w:val="82"/>
          <w:marBottom w:val="0"/>
          <w:divBdr>
            <w:top w:val="none" w:sz="0" w:space="0" w:color="auto"/>
            <w:left w:val="none" w:sz="0" w:space="0" w:color="auto"/>
            <w:bottom w:val="none" w:sz="0" w:space="0" w:color="auto"/>
            <w:right w:val="none" w:sz="0" w:space="0" w:color="auto"/>
          </w:divBdr>
        </w:div>
        <w:div w:id="1390110684">
          <w:marLeft w:val="1166"/>
          <w:marRight w:val="0"/>
          <w:marTop w:val="106"/>
          <w:marBottom w:val="0"/>
          <w:divBdr>
            <w:top w:val="none" w:sz="0" w:space="0" w:color="auto"/>
            <w:left w:val="none" w:sz="0" w:space="0" w:color="auto"/>
            <w:bottom w:val="none" w:sz="0" w:space="0" w:color="auto"/>
            <w:right w:val="none" w:sz="0" w:space="0" w:color="auto"/>
          </w:divBdr>
        </w:div>
        <w:div w:id="1732576216">
          <w:marLeft w:val="3240"/>
          <w:marRight w:val="0"/>
          <w:marTop w:val="82"/>
          <w:marBottom w:val="0"/>
          <w:divBdr>
            <w:top w:val="none" w:sz="0" w:space="0" w:color="auto"/>
            <w:left w:val="none" w:sz="0" w:space="0" w:color="auto"/>
            <w:bottom w:val="none" w:sz="0" w:space="0" w:color="auto"/>
            <w:right w:val="none" w:sz="0" w:space="0" w:color="auto"/>
          </w:divBdr>
        </w:div>
        <w:div w:id="1814323869">
          <w:marLeft w:val="1800"/>
          <w:marRight w:val="0"/>
          <w:marTop w:val="96"/>
          <w:marBottom w:val="0"/>
          <w:divBdr>
            <w:top w:val="none" w:sz="0" w:space="0" w:color="auto"/>
            <w:left w:val="none" w:sz="0" w:space="0" w:color="auto"/>
            <w:bottom w:val="none" w:sz="0" w:space="0" w:color="auto"/>
            <w:right w:val="none" w:sz="0" w:space="0" w:color="auto"/>
          </w:divBdr>
        </w:div>
      </w:divsChild>
    </w:div>
    <w:div w:id="1158619920">
      <w:bodyDiv w:val="1"/>
      <w:marLeft w:val="0"/>
      <w:marRight w:val="0"/>
      <w:marTop w:val="0"/>
      <w:marBottom w:val="0"/>
      <w:divBdr>
        <w:top w:val="none" w:sz="0" w:space="0" w:color="auto"/>
        <w:left w:val="none" w:sz="0" w:space="0" w:color="auto"/>
        <w:bottom w:val="none" w:sz="0" w:space="0" w:color="auto"/>
        <w:right w:val="none" w:sz="0" w:space="0" w:color="auto"/>
      </w:divBdr>
      <w:divsChild>
        <w:div w:id="80219853">
          <w:marLeft w:val="547"/>
          <w:marRight w:val="0"/>
          <w:marTop w:val="115"/>
          <w:marBottom w:val="0"/>
          <w:divBdr>
            <w:top w:val="none" w:sz="0" w:space="0" w:color="auto"/>
            <w:left w:val="none" w:sz="0" w:space="0" w:color="auto"/>
            <w:bottom w:val="none" w:sz="0" w:space="0" w:color="auto"/>
            <w:right w:val="none" w:sz="0" w:space="0" w:color="auto"/>
          </w:divBdr>
        </w:div>
        <w:div w:id="353069847">
          <w:marLeft w:val="1166"/>
          <w:marRight w:val="0"/>
          <w:marTop w:val="96"/>
          <w:marBottom w:val="0"/>
          <w:divBdr>
            <w:top w:val="none" w:sz="0" w:space="0" w:color="auto"/>
            <w:left w:val="none" w:sz="0" w:space="0" w:color="auto"/>
            <w:bottom w:val="none" w:sz="0" w:space="0" w:color="auto"/>
            <w:right w:val="none" w:sz="0" w:space="0" w:color="auto"/>
          </w:divBdr>
        </w:div>
        <w:div w:id="567770913">
          <w:marLeft w:val="1166"/>
          <w:marRight w:val="0"/>
          <w:marTop w:val="96"/>
          <w:marBottom w:val="0"/>
          <w:divBdr>
            <w:top w:val="none" w:sz="0" w:space="0" w:color="auto"/>
            <w:left w:val="none" w:sz="0" w:space="0" w:color="auto"/>
            <w:bottom w:val="none" w:sz="0" w:space="0" w:color="auto"/>
            <w:right w:val="none" w:sz="0" w:space="0" w:color="auto"/>
          </w:divBdr>
        </w:div>
        <w:div w:id="1415080689">
          <w:marLeft w:val="1166"/>
          <w:marRight w:val="0"/>
          <w:marTop w:val="96"/>
          <w:marBottom w:val="0"/>
          <w:divBdr>
            <w:top w:val="none" w:sz="0" w:space="0" w:color="auto"/>
            <w:left w:val="none" w:sz="0" w:space="0" w:color="auto"/>
            <w:bottom w:val="none" w:sz="0" w:space="0" w:color="auto"/>
            <w:right w:val="none" w:sz="0" w:space="0" w:color="auto"/>
          </w:divBdr>
        </w:div>
      </w:divsChild>
    </w:div>
    <w:div w:id="1160265637">
      <w:bodyDiv w:val="1"/>
      <w:marLeft w:val="0"/>
      <w:marRight w:val="0"/>
      <w:marTop w:val="0"/>
      <w:marBottom w:val="0"/>
      <w:divBdr>
        <w:top w:val="none" w:sz="0" w:space="0" w:color="auto"/>
        <w:left w:val="none" w:sz="0" w:space="0" w:color="auto"/>
        <w:bottom w:val="none" w:sz="0" w:space="0" w:color="auto"/>
        <w:right w:val="none" w:sz="0" w:space="0" w:color="auto"/>
      </w:divBdr>
      <w:divsChild>
        <w:div w:id="1126580036">
          <w:marLeft w:val="360"/>
          <w:marRight w:val="0"/>
          <w:marTop w:val="200"/>
          <w:marBottom w:val="0"/>
          <w:divBdr>
            <w:top w:val="none" w:sz="0" w:space="0" w:color="auto"/>
            <w:left w:val="none" w:sz="0" w:space="0" w:color="auto"/>
            <w:bottom w:val="none" w:sz="0" w:space="0" w:color="auto"/>
            <w:right w:val="none" w:sz="0" w:space="0" w:color="auto"/>
          </w:divBdr>
        </w:div>
        <w:div w:id="1456480694">
          <w:marLeft w:val="1080"/>
          <w:marRight w:val="0"/>
          <w:marTop w:val="100"/>
          <w:marBottom w:val="0"/>
          <w:divBdr>
            <w:top w:val="none" w:sz="0" w:space="0" w:color="auto"/>
            <w:left w:val="none" w:sz="0" w:space="0" w:color="auto"/>
            <w:bottom w:val="none" w:sz="0" w:space="0" w:color="auto"/>
            <w:right w:val="none" w:sz="0" w:space="0" w:color="auto"/>
          </w:divBdr>
        </w:div>
      </w:divsChild>
    </w:div>
    <w:div w:id="1161002113">
      <w:bodyDiv w:val="1"/>
      <w:marLeft w:val="0"/>
      <w:marRight w:val="0"/>
      <w:marTop w:val="0"/>
      <w:marBottom w:val="0"/>
      <w:divBdr>
        <w:top w:val="none" w:sz="0" w:space="0" w:color="auto"/>
        <w:left w:val="none" w:sz="0" w:space="0" w:color="auto"/>
        <w:bottom w:val="none" w:sz="0" w:space="0" w:color="auto"/>
        <w:right w:val="none" w:sz="0" w:space="0" w:color="auto"/>
      </w:divBdr>
    </w:div>
    <w:div w:id="1161046819">
      <w:bodyDiv w:val="1"/>
      <w:marLeft w:val="0"/>
      <w:marRight w:val="0"/>
      <w:marTop w:val="0"/>
      <w:marBottom w:val="0"/>
      <w:divBdr>
        <w:top w:val="none" w:sz="0" w:space="0" w:color="auto"/>
        <w:left w:val="none" w:sz="0" w:space="0" w:color="auto"/>
        <w:bottom w:val="none" w:sz="0" w:space="0" w:color="auto"/>
        <w:right w:val="none" w:sz="0" w:space="0" w:color="auto"/>
      </w:divBdr>
    </w:div>
    <w:div w:id="1161237072">
      <w:bodyDiv w:val="1"/>
      <w:marLeft w:val="0"/>
      <w:marRight w:val="0"/>
      <w:marTop w:val="0"/>
      <w:marBottom w:val="0"/>
      <w:divBdr>
        <w:top w:val="none" w:sz="0" w:space="0" w:color="auto"/>
        <w:left w:val="none" w:sz="0" w:space="0" w:color="auto"/>
        <w:bottom w:val="none" w:sz="0" w:space="0" w:color="auto"/>
        <w:right w:val="none" w:sz="0" w:space="0" w:color="auto"/>
      </w:divBdr>
      <w:divsChild>
        <w:div w:id="265305777">
          <w:marLeft w:val="1426"/>
          <w:marRight w:val="0"/>
          <w:marTop w:val="60"/>
          <w:marBottom w:val="0"/>
          <w:divBdr>
            <w:top w:val="none" w:sz="0" w:space="0" w:color="auto"/>
            <w:left w:val="none" w:sz="0" w:space="0" w:color="auto"/>
            <w:bottom w:val="none" w:sz="0" w:space="0" w:color="auto"/>
            <w:right w:val="none" w:sz="0" w:space="0" w:color="auto"/>
          </w:divBdr>
        </w:div>
        <w:div w:id="300355416">
          <w:marLeft w:val="2866"/>
          <w:marRight w:val="0"/>
          <w:marTop w:val="60"/>
          <w:marBottom w:val="0"/>
          <w:divBdr>
            <w:top w:val="none" w:sz="0" w:space="0" w:color="auto"/>
            <w:left w:val="none" w:sz="0" w:space="0" w:color="auto"/>
            <w:bottom w:val="none" w:sz="0" w:space="0" w:color="auto"/>
            <w:right w:val="none" w:sz="0" w:space="0" w:color="auto"/>
          </w:divBdr>
        </w:div>
        <w:div w:id="332026969">
          <w:marLeft w:val="2866"/>
          <w:marRight w:val="0"/>
          <w:marTop w:val="60"/>
          <w:marBottom w:val="0"/>
          <w:divBdr>
            <w:top w:val="none" w:sz="0" w:space="0" w:color="auto"/>
            <w:left w:val="none" w:sz="0" w:space="0" w:color="auto"/>
            <w:bottom w:val="none" w:sz="0" w:space="0" w:color="auto"/>
            <w:right w:val="none" w:sz="0" w:space="0" w:color="auto"/>
          </w:divBdr>
        </w:div>
        <w:div w:id="409893133">
          <w:marLeft w:val="2866"/>
          <w:marRight w:val="0"/>
          <w:marTop w:val="60"/>
          <w:marBottom w:val="0"/>
          <w:divBdr>
            <w:top w:val="none" w:sz="0" w:space="0" w:color="auto"/>
            <w:left w:val="none" w:sz="0" w:space="0" w:color="auto"/>
            <w:bottom w:val="none" w:sz="0" w:space="0" w:color="auto"/>
            <w:right w:val="none" w:sz="0" w:space="0" w:color="auto"/>
          </w:divBdr>
        </w:div>
        <w:div w:id="603609753">
          <w:marLeft w:val="1440"/>
          <w:marRight w:val="0"/>
          <w:marTop w:val="0"/>
          <w:marBottom w:val="0"/>
          <w:divBdr>
            <w:top w:val="none" w:sz="0" w:space="0" w:color="auto"/>
            <w:left w:val="none" w:sz="0" w:space="0" w:color="auto"/>
            <w:bottom w:val="none" w:sz="0" w:space="0" w:color="auto"/>
            <w:right w:val="none" w:sz="0" w:space="0" w:color="auto"/>
          </w:divBdr>
        </w:div>
        <w:div w:id="615333479">
          <w:marLeft w:val="2866"/>
          <w:marRight w:val="0"/>
          <w:marTop w:val="60"/>
          <w:marBottom w:val="0"/>
          <w:divBdr>
            <w:top w:val="none" w:sz="0" w:space="0" w:color="auto"/>
            <w:left w:val="none" w:sz="0" w:space="0" w:color="auto"/>
            <w:bottom w:val="none" w:sz="0" w:space="0" w:color="auto"/>
            <w:right w:val="none" w:sz="0" w:space="0" w:color="auto"/>
          </w:divBdr>
        </w:div>
        <w:div w:id="933443276">
          <w:marLeft w:val="1426"/>
          <w:marRight w:val="0"/>
          <w:marTop w:val="60"/>
          <w:marBottom w:val="0"/>
          <w:divBdr>
            <w:top w:val="none" w:sz="0" w:space="0" w:color="auto"/>
            <w:left w:val="none" w:sz="0" w:space="0" w:color="auto"/>
            <w:bottom w:val="none" w:sz="0" w:space="0" w:color="auto"/>
            <w:right w:val="none" w:sz="0" w:space="0" w:color="auto"/>
          </w:divBdr>
        </w:div>
        <w:div w:id="1640570302">
          <w:marLeft w:val="533"/>
          <w:marRight w:val="0"/>
          <w:marTop w:val="60"/>
          <w:marBottom w:val="0"/>
          <w:divBdr>
            <w:top w:val="none" w:sz="0" w:space="0" w:color="auto"/>
            <w:left w:val="none" w:sz="0" w:space="0" w:color="auto"/>
            <w:bottom w:val="none" w:sz="0" w:space="0" w:color="auto"/>
            <w:right w:val="none" w:sz="0" w:space="0" w:color="auto"/>
          </w:divBdr>
        </w:div>
        <w:div w:id="1691566719">
          <w:marLeft w:val="2866"/>
          <w:marRight w:val="0"/>
          <w:marTop w:val="60"/>
          <w:marBottom w:val="0"/>
          <w:divBdr>
            <w:top w:val="none" w:sz="0" w:space="0" w:color="auto"/>
            <w:left w:val="none" w:sz="0" w:space="0" w:color="auto"/>
            <w:bottom w:val="none" w:sz="0" w:space="0" w:color="auto"/>
            <w:right w:val="none" w:sz="0" w:space="0" w:color="auto"/>
          </w:divBdr>
        </w:div>
        <w:div w:id="2107726411">
          <w:marLeft w:val="1426"/>
          <w:marRight w:val="0"/>
          <w:marTop w:val="60"/>
          <w:marBottom w:val="0"/>
          <w:divBdr>
            <w:top w:val="none" w:sz="0" w:space="0" w:color="auto"/>
            <w:left w:val="none" w:sz="0" w:space="0" w:color="auto"/>
            <w:bottom w:val="none" w:sz="0" w:space="0" w:color="auto"/>
            <w:right w:val="none" w:sz="0" w:space="0" w:color="auto"/>
          </w:divBdr>
        </w:div>
      </w:divsChild>
    </w:div>
    <w:div w:id="1161389132">
      <w:bodyDiv w:val="1"/>
      <w:marLeft w:val="0"/>
      <w:marRight w:val="0"/>
      <w:marTop w:val="0"/>
      <w:marBottom w:val="0"/>
      <w:divBdr>
        <w:top w:val="none" w:sz="0" w:space="0" w:color="auto"/>
        <w:left w:val="none" w:sz="0" w:space="0" w:color="auto"/>
        <w:bottom w:val="none" w:sz="0" w:space="0" w:color="auto"/>
        <w:right w:val="none" w:sz="0" w:space="0" w:color="auto"/>
      </w:divBdr>
    </w:div>
    <w:div w:id="1161628157">
      <w:bodyDiv w:val="1"/>
      <w:marLeft w:val="0"/>
      <w:marRight w:val="0"/>
      <w:marTop w:val="0"/>
      <w:marBottom w:val="0"/>
      <w:divBdr>
        <w:top w:val="none" w:sz="0" w:space="0" w:color="auto"/>
        <w:left w:val="none" w:sz="0" w:space="0" w:color="auto"/>
        <w:bottom w:val="none" w:sz="0" w:space="0" w:color="auto"/>
        <w:right w:val="none" w:sz="0" w:space="0" w:color="auto"/>
      </w:divBdr>
    </w:div>
    <w:div w:id="1161769887">
      <w:bodyDiv w:val="1"/>
      <w:marLeft w:val="0"/>
      <w:marRight w:val="0"/>
      <w:marTop w:val="0"/>
      <w:marBottom w:val="0"/>
      <w:divBdr>
        <w:top w:val="none" w:sz="0" w:space="0" w:color="auto"/>
        <w:left w:val="none" w:sz="0" w:space="0" w:color="auto"/>
        <w:bottom w:val="none" w:sz="0" w:space="0" w:color="auto"/>
        <w:right w:val="none" w:sz="0" w:space="0" w:color="auto"/>
      </w:divBdr>
    </w:div>
    <w:div w:id="1162089298">
      <w:bodyDiv w:val="1"/>
      <w:marLeft w:val="0"/>
      <w:marRight w:val="0"/>
      <w:marTop w:val="0"/>
      <w:marBottom w:val="0"/>
      <w:divBdr>
        <w:top w:val="none" w:sz="0" w:space="0" w:color="auto"/>
        <w:left w:val="none" w:sz="0" w:space="0" w:color="auto"/>
        <w:bottom w:val="none" w:sz="0" w:space="0" w:color="auto"/>
        <w:right w:val="none" w:sz="0" w:space="0" w:color="auto"/>
      </w:divBdr>
      <w:divsChild>
        <w:div w:id="160238551">
          <w:marLeft w:val="1800"/>
          <w:marRight w:val="0"/>
          <w:marTop w:val="77"/>
          <w:marBottom w:val="0"/>
          <w:divBdr>
            <w:top w:val="none" w:sz="0" w:space="0" w:color="auto"/>
            <w:left w:val="none" w:sz="0" w:space="0" w:color="auto"/>
            <w:bottom w:val="none" w:sz="0" w:space="0" w:color="auto"/>
            <w:right w:val="none" w:sz="0" w:space="0" w:color="auto"/>
          </w:divBdr>
        </w:div>
        <w:div w:id="308167379">
          <w:marLeft w:val="1800"/>
          <w:marRight w:val="0"/>
          <w:marTop w:val="77"/>
          <w:marBottom w:val="0"/>
          <w:divBdr>
            <w:top w:val="none" w:sz="0" w:space="0" w:color="auto"/>
            <w:left w:val="none" w:sz="0" w:space="0" w:color="auto"/>
            <w:bottom w:val="none" w:sz="0" w:space="0" w:color="auto"/>
            <w:right w:val="none" w:sz="0" w:space="0" w:color="auto"/>
          </w:divBdr>
        </w:div>
        <w:div w:id="430049154">
          <w:marLeft w:val="1800"/>
          <w:marRight w:val="0"/>
          <w:marTop w:val="77"/>
          <w:marBottom w:val="0"/>
          <w:divBdr>
            <w:top w:val="none" w:sz="0" w:space="0" w:color="auto"/>
            <w:left w:val="none" w:sz="0" w:space="0" w:color="auto"/>
            <w:bottom w:val="none" w:sz="0" w:space="0" w:color="auto"/>
            <w:right w:val="none" w:sz="0" w:space="0" w:color="auto"/>
          </w:divBdr>
        </w:div>
        <w:div w:id="710495623">
          <w:marLeft w:val="547"/>
          <w:marRight w:val="0"/>
          <w:marTop w:val="96"/>
          <w:marBottom w:val="0"/>
          <w:divBdr>
            <w:top w:val="none" w:sz="0" w:space="0" w:color="auto"/>
            <w:left w:val="none" w:sz="0" w:space="0" w:color="auto"/>
            <w:bottom w:val="none" w:sz="0" w:space="0" w:color="auto"/>
            <w:right w:val="none" w:sz="0" w:space="0" w:color="auto"/>
          </w:divBdr>
        </w:div>
        <w:div w:id="857740755">
          <w:marLeft w:val="1800"/>
          <w:marRight w:val="0"/>
          <w:marTop w:val="77"/>
          <w:marBottom w:val="0"/>
          <w:divBdr>
            <w:top w:val="none" w:sz="0" w:space="0" w:color="auto"/>
            <w:left w:val="none" w:sz="0" w:space="0" w:color="auto"/>
            <w:bottom w:val="none" w:sz="0" w:space="0" w:color="auto"/>
            <w:right w:val="none" w:sz="0" w:space="0" w:color="auto"/>
          </w:divBdr>
        </w:div>
        <w:div w:id="1102988806">
          <w:marLeft w:val="1166"/>
          <w:marRight w:val="0"/>
          <w:marTop w:val="96"/>
          <w:marBottom w:val="0"/>
          <w:divBdr>
            <w:top w:val="none" w:sz="0" w:space="0" w:color="auto"/>
            <w:left w:val="none" w:sz="0" w:space="0" w:color="auto"/>
            <w:bottom w:val="none" w:sz="0" w:space="0" w:color="auto"/>
            <w:right w:val="none" w:sz="0" w:space="0" w:color="auto"/>
          </w:divBdr>
        </w:div>
        <w:div w:id="1691107729">
          <w:marLeft w:val="1166"/>
          <w:marRight w:val="0"/>
          <w:marTop w:val="96"/>
          <w:marBottom w:val="0"/>
          <w:divBdr>
            <w:top w:val="none" w:sz="0" w:space="0" w:color="auto"/>
            <w:left w:val="none" w:sz="0" w:space="0" w:color="auto"/>
            <w:bottom w:val="none" w:sz="0" w:space="0" w:color="auto"/>
            <w:right w:val="none" w:sz="0" w:space="0" w:color="auto"/>
          </w:divBdr>
        </w:div>
        <w:div w:id="1734349537">
          <w:marLeft w:val="1800"/>
          <w:marRight w:val="0"/>
          <w:marTop w:val="77"/>
          <w:marBottom w:val="0"/>
          <w:divBdr>
            <w:top w:val="none" w:sz="0" w:space="0" w:color="auto"/>
            <w:left w:val="none" w:sz="0" w:space="0" w:color="auto"/>
            <w:bottom w:val="none" w:sz="0" w:space="0" w:color="auto"/>
            <w:right w:val="none" w:sz="0" w:space="0" w:color="auto"/>
          </w:divBdr>
        </w:div>
      </w:divsChild>
    </w:div>
    <w:div w:id="1162358808">
      <w:bodyDiv w:val="1"/>
      <w:marLeft w:val="0"/>
      <w:marRight w:val="0"/>
      <w:marTop w:val="0"/>
      <w:marBottom w:val="0"/>
      <w:divBdr>
        <w:top w:val="none" w:sz="0" w:space="0" w:color="auto"/>
        <w:left w:val="none" w:sz="0" w:space="0" w:color="auto"/>
        <w:bottom w:val="none" w:sz="0" w:space="0" w:color="auto"/>
        <w:right w:val="none" w:sz="0" w:space="0" w:color="auto"/>
      </w:divBdr>
    </w:div>
    <w:div w:id="1162618109">
      <w:bodyDiv w:val="1"/>
      <w:marLeft w:val="0"/>
      <w:marRight w:val="0"/>
      <w:marTop w:val="0"/>
      <w:marBottom w:val="0"/>
      <w:divBdr>
        <w:top w:val="none" w:sz="0" w:space="0" w:color="auto"/>
        <w:left w:val="none" w:sz="0" w:space="0" w:color="auto"/>
        <w:bottom w:val="none" w:sz="0" w:space="0" w:color="auto"/>
        <w:right w:val="none" w:sz="0" w:space="0" w:color="auto"/>
      </w:divBdr>
    </w:div>
    <w:div w:id="1162743335">
      <w:bodyDiv w:val="1"/>
      <w:marLeft w:val="0"/>
      <w:marRight w:val="0"/>
      <w:marTop w:val="0"/>
      <w:marBottom w:val="0"/>
      <w:divBdr>
        <w:top w:val="none" w:sz="0" w:space="0" w:color="auto"/>
        <w:left w:val="none" w:sz="0" w:space="0" w:color="auto"/>
        <w:bottom w:val="none" w:sz="0" w:space="0" w:color="auto"/>
        <w:right w:val="none" w:sz="0" w:space="0" w:color="auto"/>
      </w:divBdr>
      <w:divsChild>
        <w:div w:id="475993838">
          <w:marLeft w:val="0"/>
          <w:marRight w:val="0"/>
          <w:marTop w:val="0"/>
          <w:marBottom w:val="0"/>
          <w:divBdr>
            <w:top w:val="none" w:sz="0" w:space="0" w:color="auto"/>
            <w:left w:val="none" w:sz="0" w:space="0" w:color="auto"/>
            <w:bottom w:val="none" w:sz="0" w:space="0" w:color="auto"/>
            <w:right w:val="none" w:sz="0" w:space="0" w:color="auto"/>
          </w:divBdr>
          <w:divsChild>
            <w:div w:id="127630362">
              <w:marLeft w:val="0"/>
              <w:marRight w:val="0"/>
              <w:marTop w:val="0"/>
              <w:marBottom w:val="0"/>
              <w:divBdr>
                <w:top w:val="none" w:sz="0" w:space="0" w:color="auto"/>
                <w:left w:val="none" w:sz="0" w:space="0" w:color="auto"/>
                <w:bottom w:val="none" w:sz="0" w:space="0" w:color="auto"/>
                <w:right w:val="none" w:sz="0" w:space="0" w:color="auto"/>
              </w:divBdr>
            </w:div>
            <w:div w:id="3927022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64973837">
      <w:bodyDiv w:val="1"/>
      <w:marLeft w:val="0"/>
      <w:marRight w:val="0"/>
      <w:marTop w:val="0"/>
      <w:marBottom w:val="0"/>
      <w:divBdr>
        <w:top w:val="none" w:sz="0" w:space="0" w:color="auto"/>
        <w:left w:val="none" w:sz="0" w:space="0" w:color="auto"/>
        <w:bottom w:val="none" w:sz="0" w:space="0" w:color="auto"/>
        <w:right w:val="none" w:sz="0" w:space="0" w:color="auto"/>
      </w:divBdr>
      <w:divsChild>
        <w:div w:id="1210997545">
          <w:marLeft w:val="547"/>
          <w:marRight w:val="0"/>
          <w:marTop w:val="154"/>
          <w:marBottom w:val="0"/>
          <w:divBdr>
            <w:top w:val="none" w:sz="0" w:space="0" w:color="auto"/>
            <w:left w:val="none" w:sz="0" w:space="0" w:color="auto"/>
            <w:bottom w:val="none" w:sz="0" w:space="0" w:color="auto"/>
            <w:right w:val="none" w:sz="0" w:space="0" w:color="auto"/>
          </w:divBdr>
        </w:div>
        <w:div w:id="1575895817">
          <w:marLeft w:val="1166"/>
          <w:marRight w:val="0"/>
          <w:marTop w:val="134"/>
          <w:marBottom w:val="0"/>
          <w:divBdr>
            <w:top w:val="none" w:sz="0" w:space="0" w:color="auto"/>
            <w:left w:val="none" w:sz="0" w:space="0" w:color="auto"/>
            <w:bottom w:val="none" w:sz="0" w:space="0" w:color="auto"/>
            <w:right w:val="none" w:sz="0" w:space="0" w:color="auto"/>
          </w:divBdr>
        </w:div>
        <w:div w:id="1667780144">
          <w:marLeft w:val="1166"/>
          <w:marRight w:val="0"/>
          <w:marTop w:val="134"/>
          <w:marBottom w:val="0"/>
          <w:divBdr>
            <w:top w:val="none" w:sz="0" w:space="0" w:color="auto"/>
            <w:left w:val="none" w:sz="0" w:space="0" w:color="auto"/>
            <w:bottom w:val="none" w:sz="0" w:space="0" w:color="auto"/>
            <w:right w:val="none" w:sz="0" w:space="0" w:color="auto"/>
          </w:divBdr>
        </w:div>
      </w:divsChild>
    </w:div>
    <w:div w:id="1165048399">
      <w:bodyDiv w:val="1"/>
      <w:marLeft w:val="0"/>
      <w:marRight w:val="0"/>
      <w:marTop w:val="0"/>
      <w:marBottom w:val="0"/>
      <w:divBdr>
        <w:top w:val="none" w:sz="0" w:space="0" w:color="auto"/>
        <w:left w:val="none" w:sz="0" w:space="0" w:color="auto"/>
        <w:bottom w:val="none" w:sz="0" w:space="0" w:color="auto"/>
        <w:right w:val="none" w:sz="0" w:space="0" w:color="auto"/>
      </w:divBdr>
    </w:div>
    <w:div w:id="1166021701">
      <w:bodyDiv w:val="1"/>
      <w:marLeft w:val="0"/>
      <w:marRight w:val="0"/>
      <w:marTop w:val="0"/>
      <w:marBottom w:val="0"/>
      <w:divBdr>
        <w:top w:val="none" w:sz="0" w:space="0" w:color="auto"/>
        <w:left w:val="none" w:sz="0" w:space="0" w:color="auto"/>
        <w:bottom w:val="none" w:sz="0" w:space="0" w:color="auto"/>
        <w:right w:val="none" w:sz="0" w:space="0" w:color="auto"/>
      </w:divBdr>
    </w:div>
    <w:div w:id="1166938482">
      <w:bodyDiv w:val="1"/>
      <w:marLeft w:val="0"/>
      <w:marRight w:val="0"/>
      <w:marTop w:val="0"/>
      <w:marBottom w:val="0"/>
      <w:divBdr>
        <w:top w:val="none" w:sz="0" w:space="0" w:color="auto"/>
        <w:left w:val="none" w:sz="0" w:space="0" w:color="auto"/>
        <w:bottom w:val="none" w:sz="0" w:space="0" w:color="auto"/>
        <w:right w:val="none" w:sz="0" w:space="0" w:color="auto"/>
      </w:divBdr>
    </w:div>
    <w:div w:id="1167088810">
      <w:bodyDiv w:val="1"/>
      <w:marLeft w:val="0"/>
      <w:marRight w:val="0"/>
      <w:marTop w:val="0"/>
      <w:marBottom w:val="0"/>
      <w:divBdr>
        <w:top w:val="none" w:sz="0" w:space="0" w:color="auto"/>
        <w:left w:val="none" w:sz="0" w:space="0" w:color="auto"/>
        <w:bottom w:val="none" w:sz="0" w:space="0" w:color="auto"/>
        <w:right w:val="none" w:sz="0" w:space="0" w:color="auto"/>
      </w:divBdr>
      <w:divsChild>
        <w:div w:id="17237537">
          <w:marLeft w:val="547"/>
          <w:marRight w:val="144"/>
          <w:marTop w:val="0"/>
          <w:marBottom w:val="120"/>
          <w:divBdr>
            <w:top w:val="none" w:sz="0" w:space="0" w:color="auto"/>
            <w:left w:val="none" w:sz="0" w:space="0" w:color="auto"/>
            <w:bottom w:val="none" w:sz="0" w:space="0" w:color="auto"/>
            <w:right w:val="none" w:sz="0" w:space="0" w:color="auto"/>
          </w:divBdr>
        </w:div>
        <w:div w:id="343559938">
          <w:marLeft w:val="547"/>
          <w:marRight w:val="144"/>
          <w:marTop w:val="0"/>
          <w:marBottom w:val="120"/>
          <w:divBdr>
            <w:top w:val="none" w:sz="0" w:space="0" w:color="auto"/>
            <w:left w:val="none" w:sz="0" w:space="0" w:color="auto"/>
            <w:bottom w:val="none" w:sz="0" w:space="0" w:color="auto"/>
            <w:right w:val="none" w:sz="0" w:space="0" w:color="auto"/>
          </w:divBdr>
        </w:div>
        <w:div w:id="1182087906">
          <w:marLeft w:val="1166"/>
          <w:marRight w:val="144"/>
          <w:marTop w:val="0"/>
          <w:marBottom w:val="120"/>
          <w:divBdr>
            <w:top w:val="none" w:sz="0" w:space="0" w:color="auto"/>
            <w:left w:val="none" w:sz="0" w:space="0" w:color="auto"/>
            <w:bottom w:val="none" w:sz="0" w:space="0" w:color="auto"/>
            <w:right w:val="none" w:sz="0" w:space="0" w:color="auto"/>
          </w:divBdr>
        </w:div>
        <w:div w:id="1187523468">
          <w:marLeft w:val="547"/>
          <w:marRight w:val="144"/>
          <w:marTop w:val="0"/>
          <w:marBottom w:val="120"/>
          <w:divBdr>
            <w:top w:val="none" w:sz="0" w:space="0" w:color="auto"/>
            <w:left w:val="none" w:sz="0" w:space="0" w:color="auto"/>
            <w:bottom w:val="none" w:sz="0" w:space="0" w:color="auto"/>
            <w:right w:val="none" w:sz="0" w:space="0" w:color="auto"/>
          </w:divBdr>
        </w:div>
        <w:div w:id="1951744891">
          <w:marLeft w:val="1166"/>
          <w:marRight w:val="144"/>
          <w:marTop w:val="0"/>
          <w:marBottom w:val="120"/>
          <w:divBdr>
            <w:top w:val="none" w:sz="0" w:space="0" w:color="auto"/>
            <w:left w:val="none" w:sz="0" w:space="0" w:color="auto"/>
            <w:bottom w:val="none" w:sz="0" w:space="0" w:color="auto"/>
            <w:right w:val="none" w:sz="0" w:space="0" w:color="auto"/>
          </w:divBdr>
        </w:div>
        <w:div w:id="2062710904">
          <w:marLeft w:val="1166"/>
          <w:marRight w:val="144"/>
          <w:marTop w:val="0"/>
          <w:marBottom w:val="120"/>
          <w:divBdr>
            <w:top w:val="none" w:sz="0" w:space="0" w:color="auto"/>
            <w:left w:val="none" w:sz="0" w:space="0" w:color="auto"/>
            <w:bottom w:val="none" w:sz="0" w:space="0" w:color="auto"/>
            <w:right w:val="none" w:sz="0" w:space="0" w:color="auto"/>
          </w:divBdr>
        </w:div>
      </w:divsChild>
    </w:div>
    <w:div w:id="1167554251">
      <w:bodyDiv w:val="1"/>
      <w:marLeft w:val="0"/>
      <w:marRight w:val="0"/>
      <w:marTop w:val="0"/>
      <w:marBottom w:val="0"/>
      <w:divBdr>
        <w:top w:val="none" w:sz="0" w:space="0" w:color="auto"/>
        <w:left w:val="none" w:sz="0" w:space="0" w:color="auto"/>
        <w:bottom w:val="none" w:sz="0" w:space="0" w:color="auto"/>
        <w:right w:val="none" w:sz="0" w:space="0" w:color="auto"/>
      </w:divBdr>
    </w:div>
    <w:div w:id="1167751955">
      <w:bodyDiv w:val="1"/>
      <w:marLeft w:val="0"/>
      <w:marRight w:val="0"/>
      <w:marTop w:val="0"/>
      <w:marBottom w:val="0"/>
      <w:divBdr>
        <w:top w:val="none" w:sz="0" w:space="0" w:color="auto"/>
        <w:left w:val="none" w:sz="0" w:space="0" w:color="auto"/>
        <w:bottom w:val="none" w:sz="0" w:space="0" w:color="auto"/>
        <w:right w:val="none" w:sz="0" w:space="0" w:color="auto"/>
      </w:divBdr>
    </w:div>
    <w:div w:id="1168253494">
      <w:bodyDiv w:val="1"/>
      <w:marLeft w:val="0"/>
      <w:marRight w:val="0"/>
      <w:marTop w:val="0"/>
      <w:marBottom w:val="0"/>
      <w:divBdr>
        <w:top w:val="none" w:sz="0" w:space="0" w:color="auto"/>
        <w:left w:val="none" w:sz="0" w:space="0" w:color="auto"/>
        <w:bottom w:val="none" w:sz="0" w:space="0" w:color="auto"/>
        <w:right w:val="none" w:sz="0" w:space="0" w:color="auto"/>
      </w:divBdr>
      <w:divsChild>
        <w:div w:id="273178421">
          <w:marLeft w:val="547"/>
          <w:marRight w:val="0"/>
          <w:marTop w:val="134"/>
          <w:marBottom w:val="0"/>
          <w:divBdr>
            <w:top w:val="none" w:sz="0" w:space="0" w:color="auto"/>
            <w:left w:val="none" w:sz="0" w:space="0" w:color="auto"/>
            <w:bottom w:val="none" w:sz="0" w:space="0" w:color="auto"/>
            <w:right w:val="none" w:sz="0" w:space="0" w:color="auto"/>
          </w:divBdr>
        </w:div>
        <w:div w:id="1178276453">
          <w:marLeft w:val="547"/>
          <w:marRight w:val="0"/>
          <w:marTop w:val="134"/>
          <w:marBottom w:val="0"/>
          <w:divBdr>
            <w:top w:val="none" w:sz="0" w:space="0" w:color="auto"/>
            <w:left w:val="none" w:sz="0" w:space="0" w:color="auto"/>
            <w:bottom w:val="none" w:sz="0" w:space="0" w:color="auto"/>
            <w:right w:val="none" w:sz="0" w:space="0" w:color="auto"/>
          </w:divBdr>
        </w:div>
        <w:div w:id="1395467652">
          <w:marLeft w:val="547"/>
          <w:marRight w:val="0"/>
          <w:marTop w:val="134"/>
          <w:marBottom w:val="0"/>
          <w:divBdr>
            <w:top w:val="none" w:sz="0" w:space="0" w:color="auto"/>
            <w:left w:val="none" w:sz="0" w:space="0" w:color="auto"/>
            <w:bottom w:val="none" w:sz="0" w:space="0" w:color="auto"/>
            <w:right w:val="none" w:sz="0" w:space="0" w:color="auto"/>
          </w:divBdr>
        </w:div>
        <w:div w:id="1566141749">
          <w:marLeft w:val="1166"/>
          <w:marRight w:val="0"/>
          <w:marTop w:val="115"/>
          <w:marBottom w:val="0"/>
          <w:divBdr>
            <w:top w:val="none" w:sz="0" w:space="0" w:color="auto"/>
            <w:left w:val="none" w:sz="0" w:space="0" w:color="auto"/>
            <w:bottom w:val="none" w:sz="0" w:space="0" w:color="auto"/>
            <w:right w:val="none" w:sz="0" w:space="0" w:color="auto"/>
          </w:divBdr>
        </w:div>
        <w:div w:id="1690376778">
          <w:marLeft w:val="1800"/>
          <w:marRight w:val="0"/>
          <w:marTop w:val="96"/>
          <w:marBottom w:val="0"/>
          <w:divBdr>
            <w:top w:val="none" w:sz="0" w:space="0" w:color="auto"/>
            <w:left w:val="none" w:sz="0" w:space="0" w:color="auto"/>
            <w:bottom w:val="none" w:sz="0" w:space="0" w:color="auto"/>
            <w:right w:val="none" w:sz="0" w:space="0" w:color="auto"/>
          </w:divBdr>
        </w:div>
        <w:div w:id="1851481370">
          <w:marLeft w:val="1166"/>
          <w:marRight w:val="0"/>
          <w:marTop w:val="115"/>
          <w:marBottom w:val="0"/>
          <w:divBdr>
            <w:top w:val="none" w:sz="0" w:space="0" w:color="auto"/>
            <w:left w:val="none" w:sz="0" w:space="0" w:color="auto"/>
            <w:bottom w:val="none" w:sz="0" w:space="0" w:color="auto"/>
            <w:right w:val="none" w:sz="0" w:space="0" w:color="auto"/>
          </w:divBdr>
        </w:div>
        <w:div w:id="1958752553">
          <w:marLeft w:val="1166"/>
          <w:marRight w:val="0"/>
          <w:marTop w:val="115"/>
          <w:marBottom w:val="0"/>
          <w:divBdr>
            <w:top w:val="none" w:sz="0" w:space="0" w:color="auto"/>
            <w:left w:val="none" w:sz="0" w:space="0" w:color="auto"/>
            <w:bottom w:val="none" w:sz="0" w:space="0" w:color="auto"/>
            <w:right w:val="none" w:sz="0" w:space="0" w:color="auto"/>
          </w:divBdr>
        </w:div>
        <w:div w:id="2118519428">
          <w:marLeft w:val="1166"/>
          <w:marRight w:val="0"/>
          <w:marTop w:val="115"/>
          <w:marBottom w:val="0"/>
          <w:divBdr>
            <w:top w:val="none" w:sz="0" w:space="0" w:color="auto"/>
            <w:left w:val="none" w:sz="0" w:space="0" w:color="auto"/>
            <w:bottom w:val="none" w:sz="0" w:space="0" w:color="auto"/>
            <w:right w:val="none" w:sz="0" w:space="0" w:color="auto"/>
          </w:divBdr>
        </w:div>
      </w:divsChild>
    </w:div>
    <w:div w:id="1168903486">
      <w:bodyDiv w:val="1"/>
      <w:marLeft w:val="0"/>
      <w:marRight w:val="0"/>
      <w:marTop w:val="0"/>
      <w:marBottom w:val="0"/>
      <w:divBdr>
        <w:top w:val="none" w:sz="0" w:space="0" w:color="auto"/>
        <w:left w:val="none" w:sz="0" w:space="0" w:color="auto"/>
        <w:bottom w:val="none" w:sz="0" w:space="0" w:color="auto"/>
        <w:right w:val="none" w:sz="0" w:space="0" w:color="auto"/>
      </w:divBdr>
      <w:divsChild>
        <w:div w:id="429935516">
          <w:marLeft w:val="1166"/>
          <w:marRight w:val="0"/>
          <w:marTop w:val="96"/>
          <w:marBottom w:val="0"/>
          <w:divBdr>
            <w:top w:val="none" w:sz="0" w:space="0" w:color="auto"/>
            <w:left w:val="none" w:sz="0" w:space="0" w:color="auto"/>
            <w:bottom w:val="none" w:sz="0" w:space="0" w:color="auto"/>
            <w:right w:val="none" w:sz="0" w:space="0" w:color="auto"/>
          </w:divBdr>
        </w:div>
        <w:div w:id="639846640">
          <w:marLeft w:val="2520"/>
          <w:marRight w:val="0"/>
          <w:marTop w:val="67"/>
          <w:marBottom w:val="0"/>
          <w:divBdr>
            <w:top w:val="none" w:sz="0" w:space="0" w:color="auto"/>
            <w:left w:val="none" w:sz="0" w:space="0" w:color="auto"/>
            <w:bottom w:val="none" w:sz="0" w:space="0" w:color="auto"/>
            <w:right w:val="none" w:sz="0" w:space="0" w:color="auto"/>
          </w:divBdr>
        </w:div>
        <w:div w:id="734401828">
          <w:marLeft w:val="1166"/>
          <w:marRight w:val="0"/>
          <w:marTop w:val="96"/>
          <w:marBottom w:val="0"/>
          <w:divBdr>
            <w:top w:val="none" w:sz="0" w:space="0" w:color="auto"/>
            <w:left w:val="none" w:sz="0" w:space="0" w:color="auto"/>
            <w:bottom w:val="none" w:sz="0" w:space="0" w:color="auto"/>
            <w:right w:val="none" w:sz="0" w:space="0" w:color="auto"/>
          </w:divBdr>
        </w:div>
        <w:div w:id="1021201378">
          <w:marLeft w:val="547"/>
          <w:marRight w:val="0"/>
          <w:marTop w:val="115"/>
          <w:marBottom w:val="0"/>
          <w:divBdr>
            <w:top w:val="none" w:sz="0" w:space="0" w:color="auto"/>
            <w:left w:val="none" w:sz="0" w:space="0" w:color="auto"/>
            <w:bottom w:val="none" w:sz="0" w:space="0" w:color="auto"/>
            <w:right w:val="none" w:sz="0" w:space="0" w:color="auto"/>
          </w:divBdr>
        </w:div>
        <w:div w:id="1043751488">
          <w:marLeft w:val="1800"/>
          <w:marRight w:val="0"/>
          <w:marTop w:val="77"/>
          <w:marBottom w:val="0"/>
          <w:divBdr>
            <w:top w:val="none" w:sz="0" w:space="0" w:color="auto"/>
            <w:left w:val="none" w:sz="0" w:space="0" w:color="auto"/>
            <w:bottom w:val="none" w:sz="0" w:space="0" w:color="auto"/>
            <w:right w:val="none" w:sz="0" w:space="0" w:color="auto"/>
          </w:divBdr>
        </w:div>
        <w:div w:id="1244413128">
          <w:marLeft w:val="1166"/>
          <w:marRight w:val="0"/>
          <w:marTop w:val="96"/>
          <w:marBottom w:val="0"/>
          <w:divBdr>
            <w:top w:val="none" w:sz="0" w:space="0" w:color="auto"/>
            <w:left w:val="none" w:sz="0" w:space="0" w:color="auto"/>
            <w:bottom w:val="none" w:sz="0" w:space="0" w:color="auto"/>
            <w:right w:val="none" w:sz="0" w:space="0" w:color="auto"/>
          </w:divBdr>
        </w:div>
      </w:divsChild>
    </w:div>
    <w:div w:id="1168911523">
      <w:bodyDiv w:val="1"/>
      <w:marLeft w:val="0"/>
      <w:marRight w:val="0"/>
      <w:marTop w:val="0"/>
      <w:marBottom w:val="0"/>
      <w:divBdr>
        <w:top w:val="none" w:sz="0" w:space="0" w:color="auto"/>
        <w:left w:val="none" w:sz="0" w:space="0" w:color="auto"/>
        <w:bottom w:val="none" w:sz="0" w:space="0" w:color="auto"/>
        <w:right w:val="none" w:sz="0" w:space="0" w:color="auto"/>
      </w:divBdr>
      <w:divsChild>
        <w:div w:id="1131442601">
          <w:marLeft w:val="360"/>
          <w:marRight w:val="0"/>
          <w:marTop w:val="200"/>
          <w:marBottom w:val="0"/>
          <w:divBdr>
            <w:top w:val="none" w:sz="0" w:space="0" w:color="auto"/>
            <w:left w:val="none" w:sz="0" w:space="0" w:color="auto"/>
            <w:bottom w:val="none" w:sz="0" w:space="0" w:color="auto"/>
            <w:right w:val="none" w:sz="0" w:space="0" w:color="auto"/>
          </w:divBdr>
        </w:div>
        <w:div w:id="1155679108">
          <w:marLeft w:val="360"/>
          <w:marRight w:val="0"/>
          <w:marTop w:val="200"/>
          <w:marBottom w:val="0"/>
          <w:divBdr>
            <w:top w:val="none" w:sz="0" w:space="0" w:color="auto"/>
            <w:left w:val="none" w:sz="0" w:space="0" w:color="auto"/>
            <w:bottom w:val="none" w:sz="0" w:space="0" w:color="auto"/>
            <w:right w:val="none" w:sz="0" w:space="0" w:color="auto"/>
          </w:divBdr>
        </w:div>
      </w:divsChild>
    </w:div>
    <w:div w:id="1169100267">
      <w:bodyDiv w:val="1"/>
      <w:marLeft w:val="0"/>
      <w:marRight w:val="0"/>
      <w:marTop w:val="0"/>
      <w:marBottom w:val="0"/>
      <w:divBdr>
        <w:top w:val="none" w:sz="0" w:space="0" w:color="auto"/>
        <w:left w:val="none" w:sz="0" w:space="0" w:color="auto"/>
        <w:bottom w:val="none" w:sz="0" w:space="0" w:color="auto"/>
        <w:right w:val="none" w:sz="0" w:space="0" w:color="auto"/>
      </w:divBdr>
    </w:div>
    <w:div w:id="1170439602">
      <w:bodyDiv w:val="1"/>
      <w:marLeft w:val="0"/>
      <w:marRight w:val="0"/>
      <w:marTop w:val="0"/>
      <w:marBottom w:val="0"/>
      <w:divBdr>
        <w:top w:val="none" w:sz="0" w:space="0" w:color="auto"/>
        <w:left w:val="none" w:sz="0" w:space="0" w:color="auto"/>
        <w:bottom w:val="none" w:sz="0" w:space="0" w:color="auto"/>
        <w:right w:val="none" w:sz="0" w:space="0" w:color="auto"/>
      </w:divBdr>
    </w:div>
    <w:div w:id="1171676468">
      <w:bodyDiv w:val="1"/>
      <w:marLeft w:val="0"/>
      <w:marRight w:val="0"/>
      <w:marTop w:val="0"/>
      <w:marBottom w:val="0"/>
      <w:divBdr>
        <w:top w:val="none" w:sz="0" w:space="0" w:color="auto"/>
        <w:left w:val="none" w:sz="0" w:space="0" w:color="auto"/>
        <w:bottom w:val="none" w:sz="0" w:space="0" w:color="auto"/>
        <w:right w:val="none" w:sz="0" w:space="0" w:color="auto"/>
      </w:divBdr>
      <w:divsChild>
        <w:div w:id="338972093">
          <w:marLeft w:val="547"/>
          <w:marRight w:val="0"/>
          <w:marTop w:val="115"/>
          <w:marBottom w:val="0"/>
          <w:divBdr>
            <w:top w:val="none" w:sz="0" w:space="0" w:color="auto"/>
            <w:left w:val="none" w:sz="0" w:space="0" w:color="auto"/>
            <w:bottom w:val="none" w:sz="0" w:space="0" w:color="auto"/>
            <w:right w:val="none" w:sz="0" w:space="0" w:color="auto"/>
          </w:divBdr>
        </w:div>
        <w:div w:id="698091178">
          <w:marLeft w:val="547"/>
          <w:marRight w:val="0"/>
          <w:marTop w:val="125"/>
          <w:marBottom w:val="0"/>
          <w:divBdr>
            <w:top w:val="none" w:sz="0" w:space="0" w:color="auto"/>
            <w:left w:val="none" w:sz="0" w:space="0" w:color="auto"/>
            <w:bottom w:val="none" w:sz="0" w:space="0" w:color="auto"/>
            <w:right w:val="none" w:sz="0" w:space="0" w:color="auto"/>
          </w:divBdr>
        </w:div>
        <w:div w:id="944505981">
          <w:marLeft w:val="547"/>
          <w:marRight w:val="0"/>
          <w:marTop w:val="125"/>
          <w:marBottom w:val="0"/>
          <w:divBdr>
            <w:top w:val="none" w:sz="0" w:space="0" w:color="auto"/>
            <w:left w:val="none" w:sz="0" w:space="0" w:color="auto"/>
            <w:bottom w:val="none" w:sz="0" w:space="0" w:color="auto"/>
            <w:right w:val="none" w:sz="0" w:space="0" w:color="auto"/>
          </w:divBdr>
        </w:div>
        <w:div w:id="2015064845">
          <w:marLeft w:val="1166"/>
          <w:marRight w:val="0"/>
          <w:marTop w:val="106"/>
          <w:marBottom w:val="0"/>
          <w:divBdr>
            <w:top w:val="none" w:sz="0" w:space="0" w:color="auto"/>
            <w:left w:val="none" w:sz="0" w:space="0" w:color="auto"/>
            <w:bottom w:val="none" w:sz="0" w:space="0" w:color="auto"/>
            <w:right w:val="none" w:sz="0" w:space="0" w:color="auto"/>
          </w:divBdr>
        </w:div>
      </w:divsChild>
    </w:div>
    <w:div w:id="1172140319">
      <w:bodyDiv w:val="1"/>
      <w:marLeft w:val="0"/>
      <w:marRight w:val="0"/>
      <w:marTop w:val="0"/>
      <w:marBottom w:val="0"/>
      <w:divBdr>
        <w:top w:val="none" w:sz="0" w:space="0" w:color="auto"/>
        <w:left w:val="none" w:sz="0" w:space="0" w:color="auto"/>
        <w:bottom w:val="none" w:sz="0" w:space="0" w:color="auto"/>
        <w:right w:val="none" w:sz="0" w:space="0" w:color="auto"/>
      </w:divBdr>
    </w:div>
    <w:div w:id="1173034453">
      <w:bodyDiv w:val="1"/>
      <w:marLeft w:val="0"/>
      <w:marRight w:val="0"/>
      <w:marTop w:val="0"/>
      <w:marBottom w:val="0"/>
      <w:divBdr>
        <w:top w:val="none" w:sz="0" w:space="0" w:color="auto"/>
        <w:left w:val="none" w:sz="0" w:space="0" w:color="auto"/>
        <w:bottom w:val="none" w:sz="0" w:space="0" w:color="auto"/>
        <w:right w:val="none" w:sz="0" w:space="0" w:color="auto"/>
      </w:divBdr>
    </w:div>
    <w:div w:id="1173573438">
      <w:bodyDiv w:val="1"/>
      <w:marLeft w:val="0"/>
      <w:marRight w:val="0"/>
      <w:marTop w:val="0"/>
      <w:marBottom w:val="0"/>
      <w:divBdr>
        <w:top w:val="none" w:sz="0" w:space="0" w:color="auto"/>
        <w:left w:val="none" w:sz="0" w:space="0" w:color="auto"/>
        <w:bottom w:val="none" w:sz="0" w:space="0" w:color="auto"/>
        <w:right w:val="none" w:sz="0" w:space="0" w:color="auto"/>
      </w:divBdr>
    </w:div>
    <w:div w:id="1174294916">
      <w:bodyDiv w:val="1"/>
      <w:marLeft w:val="0"/>
      <w:marRight w:val="0"/>
      <w:marTop w:val="0"/>
      <w:marBottom w:val="0"/>
      <w:divBdr>
        <w:top w:val="none" w:sz="0" w:space="0" w:color="auto"/>
        <w:left w:val="none" w:sz="0" w:space="0" w:color="auto"/>
        <w:bottom w:val="none" w:sz="0" w:space="0" w:color="auto"/>
        <w:right w:val="none" w:sz="0" w:space="0" w:color="auto"/>
      </w:divBdr>
    </w:div>
    <w:div w:id="1174614018">
      <w:bodyDiv w:val="1"/>
      <w:marLeft w:val="0"/>
      <w:marRight w:val="0"/>
      <w:marTop w:val="0"/>
      <w:marBottom w:val="0"/>
      <w:divBdr>
        <w:top w:val="none" w:sz="0" w:space="0" w:color="auto"/>
        <w:left w:val="none" w:sz="0" w:space="0" w:color="auto"/>
        <w:bottom w:val="none" w:sz="0" w:space="0" w:color="auto"/>
        <w:right w:val="none" w:sz="0" w:space="0" w:color="auto"/>
      </w:divBdr>
    </w:div>
    <w:div w:id="1174879299">
      <w:bodyDiv w:val="1"/>
      <w:marLeft w:val="0"/>
      <w:marRight w:val="0"/>
      <w:marTop w:val="0"/>
      <w:marBottom w:val="0"/>
      <w:divBdr>
        <w:top w:val="none" w:sz="0" w:space="0" w:color="auto"/>
        <w:left w:val="none" w:sz="0" w:space="0" w:color="auto"/>
        <w:bottom w:val="none" w:sz="0" w:space="0" w:color="auto"/>
        <w:right w:val="none" w:sz="0" w:space="0" w:color="auto"/>
      </w:divBdr>
      <w:divsChild>
        <w:div w:id="43875850">
          <w:marLeft w:val="1800"/>
          <w:marRight w:val="0"/>
          <w:marTop w:val="86"/>
          <w:marBottom w:val="0"/>
          <w:divBdr>
            <w:top w:val="none" w:sz="0" w:space="0" w:color="auto"/>
            <w:left w:val="none" w:sz="0" w:space="0" w:color="auto"/>
            <w:bottom w:val="none" w:sz="0" w:space="0" w:color="auto"/>
            <w:right w:val="none" w:sz="0" w:space="0" w:color="auto"/>
          </w:divBdr>
        </w:div>
        <w:div w:id="105464600">
          <w:marLeft w:val="547"/>
          <w:marRight w:val="0"/>
          <w:marTop w:val="115"/>
          <w:marBottom w:val="0"/>
          <w:divBdr>
            <w:top w:val="none" w:sz="0" w:space="0" w:color="auto"/>
            <w:left w:val="none" w:sz="0" w:space="0" w:color="auto"/>
            <w:bottom w:val="none" w:sz="0" w:space="0" w:color="auto"/>
            <w:right w:val="none" w:sz="0" w:space="0" w:color="auto"/>
          </w:divBdr>
        </w:div>
        <w:div w:id="424618345">
          <w:marLeft w:val="1800"/>
          <w:marRight w:val="0"/>
          <w:marTop w:val="86"/>
          <w:marBottom w:val="0"/>
          <w:divBdr>
            <w:top w:val="none" w:sz="0" w:space="0" w:color="auto"/>
            <w:left w:val="none" w:sz="0" w:space="0" w:color="auto"/>
            <w:bottom w:val="none" w:sz="0" w:space="0" w:color="auto"/>
            <w:right w:val="none" w:sz="0" w:space="0" w:color="auto"/>
          </w:divBdr>
        </w:div>
        <w:div w:id="475613591">
          <w:marLeft w:val="1166"/>
          <w:marRight w:val="0"/>
          <w:marTop w:val="96"/>
          <w:marBottom w:val="0"/>
          <w:divBdr>
            <w:top w:val="none" w:sz="0" w:space="0" w:color="auto"/>
            <w:left w:val="none" w:sz="0" w:space="0" w:color="auto"/>
            <w:bottom w:val="none" w:sz="0" w:space="0" w:color="auto"/>
            <w:right w:val="none" w:sz="0" w:space="0" w:color="auto"/>
          </w:divBdr>
        </w:div>
        <w:div w:id="559823248">
          <w:marLeft w:val="1800"/>
          <w:marRight w:val="0"/>
          <w:marTop w:val="86"/>
          <w:marBottom w:val="0"/>
          <w:divBdr>
            <w:top w:val="none" w:sz="0" w:space="0" w:color="auto"/>
            <w:left w:val="none" w:sz="0" w:space="0" w:color="auto"/>
            <w:bottom w:val="none" w:sz="0" w:space="0" w:color="auto"/>
            <w:right w:val="none" w:sz="0" w:space="0" w:color="auto"/>
          </w:divBdr>
        </w:div>
        <w:div w:id="941840345">
          <w:marLeft w:val="1166"/>
          <w:marRight w:val="0"/>
          <w:marTop w:val="96"/>
          <w:marBottom w:val="0"/>
          <w:divBdr>
            <w:top w:val="none" w:sz="0" w:space="0" w:color="auto"/>
            <w:left w:val="none" w:sz="0" w:space="0" w:color="auto"/>
            <w:bottom w:val="none" w:sz="0" w:space="0" w:color="auto"/>
            <w:right w:val="none" w:sz="0" w:space="0" w:color="auto"/>
          </w:divBdr>
        </w:div>
        <w:div w:id="1042510857">
          <w:marLeft w:val="2520"/>
          <w:marRight w:val="0"/>
          <w:marTop w:val="77"/>
          <w:marBottom w:val="0"/>
          <w:divBdr>
            <w:top w:val="none" w:sz="0" w:space="0" w:color="auto"/>
            <w:left w:val="none" w:sz="0" w:space="0" w:color="auto"/>
            <w:bottom w:val="none" w:sz="0" w:space="0" w:color="auto"/>
            <w:right w:val="none" w:sz="0" w:space="0" w:color="auto"/>
          </w:divBdr>
        </w:div>
        <w:div w:id="1059087331">
          <w:marLeft w:val="1800"/>
          <w:marRight w:val="0"/>
          <w:marTop w:val="86"/>
          <w:marBottom w:val="0"/>
          <w:divBdr>
            <w:top w:val="none" w:sz="0" w:space="0" w:color="auto"/>
            <w:left w:val="none" w:sz="0" w:space="0" w:color="auto"/>
            <w:bottom w:val="none" w:sz="0" w:space="0" w:color="auto"/>
            <w:right w:val="none" w:sz="0" w:space="0" w:color="auto"/>
          </w:divBdr>
        </w:div>
        <w:div w:id="1227646598">
          <w:marLeft w:val="1800"/>
          <w:marRight w:val="0"/>
          <w:marTop w:val="86"/>
          <w:marBottom w:val="0"/>
          <w:divBdr>
            <w:top w:val="none" w:sz="0" w:space="0" w:color="auto"/>
            <w:left w:val="none" w:sz="0" w:space="0" w:color="auto"/>
            <w:bottom w:val="none" w:sz="0" w:space="0" w:color="auto"/>
            <w:right w:val="none" w:sz="0" w:space="0" w:color="auto"/>
          </w:divBdr>
        </w:div>
        <w:div w:id="1442843928">
          <w:marLeft w:val="1166"/>
          <w:marRight w:val="0"/>
          <w:marTop w:val="96"/>
          <w:marBottom w:val="0"/>
          <w:divBdr>
            <w:top w:val="none" w:sz="0" w:space="0" w:color="auto"/>
            <w:left w:val="none" w:sz="0" w:space="0" w:color="auto"/>
            <w:bottom w:val="none" w:sz="0" w:space="0" w:color="auto"/>
            <w:right w:val="none" w:sz="0" w:space="0" w:color="auto"/>
          </w:divBdr>
        </w:div>
        <w:div w:id="1786189942">
          <w:marLeft w:val="1800"/>
          <w:marRight w:val="0"/>
          <w:marTop w:val="86"/>
          <w:marBottom w:val="0"/>
          <w:divBdr>
            <w:top w:val="none" w:sz="0" w:space="0" w:color="auto"/>
            <w:left w:val="none" w:sz="0" w:space="0" w:color="auto"/>
            <w:bottom w:val="none" w:sz="0" w:space="0" w:color="auto"/>
            <w:right w:val="none" w:sz="0" w:space="0" w:color="auto"/>
          </w:divBdr>
        </w:div>
        <w:div w:id="2068531320">
          <w:marLeft w:val="1800"/>
          <w:marRight w:val="0"/>
          <w:marTop w:val="86"/>
          <w:marBottom w:val="0"/>
          <w:divBdr>
            <w:top w:val="none" w:sz="0" w:space="0" w:color="auto"/>
            <w:left w:val="none" w:sz="0" w:space="0" w:color="auto"/>
            <w:bottom w:val="none" w:sz="0" w:space="0" w:color="auto"/>
            <w:right w:val="none" w:sz="0" w:space="0" w:color="auto"/>
          </w:divBdr>
        </w:div>
      </w:divsChild>
    </w:div>
    <w:div w:id="1176841378">
      <w:bodyDiv w:val="1"/>
      <w:marLeft w:val="0"/>
      <w:marRight w:val="0"/>
      <w:marTop w:val="0"/>
      <w:marBottom w:val="0"/>
      <w:divBdr>
        <w:top w:val="none" w:sz="0" w:space="0" w:color="auto"/>
        <w:left w:val="none" w:sz="0" w:space="0" w:color="auto"/>
        <w:bottom w:val="none" w:sz="0" w:space="0" w:color="auto"/>
        <w:right w:val="none" w:sz="0" w:space="0" w:color="auto"/>
      </w:divBdr>
    </w:div>
    <w:div w:id="1177888370">
      <w:bodyDiv w:val="1"/>
      <w:marLeft w:val="0"/>
      <w:marRight w:val="0"/>
      <w:marTop w:val="0"/>
      <w:marBottom w:val="0"/>
      <w:divBdr>
        <w:top w:val="none" w:sz="0" w:space="0" w:color="auto"/>
        <w:left w:val="none" w:sz="0" w:space="0" w:color="auto"/>
        <w:bottom w:val="none" w:sz="0" w:space="0" w:color="auto"/>
        <w:right w:val="none" w:sz="0" w:space="0" w:color="auto"/>
      </w:divBdr>
    </w:div>
    <w:div w:id="1178470537">
      <w:bodyDiv w:val="1"/>
      <w:marLeft w:val="0"/>
      <w:marRight w:val="0"/>
      <w:marTop w:val="0"/>
      <w:marBottom w:val="0"/>
      <w:divBdr>
        <w:top w:val="none" w:sz="0" w:space="0" w:color="auto"/>
        <w:left w:val="none" w:sz="0" w:space="0" w:color="auto"/>
        <w:bottom w:val="none" w:sz="0" w:space="0" w:color="auto"/>
        <w:right w:val="none" w:sz="0" w:space="0" w:color="auto"/>
      </w:divBdr>
      <w:divsChild>
        <w:div w:id="627854990">
          <w:marLeft w:val="360"/>
          <w:marRight w:val="0"/>
          <w:marTop w:val="200"/>
          <w:marBottom w:val="0"/>
          <w:divBdr>
            <w:top w:val="none" w:sz="0" w:space="0" w:color="auto"/>
            <w:left w:val="none" w:sz="0" w:space="0" w:color="auto"/>
            <w:bottom w:val="none" w:sz="0" w:space="0" w:color="auto"/>
            <w:right w:val="none" w:sz="0" w:space="0" w:color="auto"/>
          </w:divBdr>
        </w:div>
      </w:divsChild>
    </w:div>
    <w:div w:id="1178622153">
      <w:bodyDiv w:val="1"/>
      <w:marLeft w:val="0"/>
      <w:marRight w:val="0"/>
      <w:marTop w:val="0"/>
      <w:marBottom w:val="0"/>
      <w:divBdr>
        <w:top w:val="none" w:sz="0" w:space="0" w:color="auto"/>
        <w:left w:val="none" w:sz="0" w:space="0" w:color="auto"/>
        <w:bottom w:val="none" w:sz="0" w:space="0" w:color="auto"/>
        <w:right w:val="none" w:sz="0" w:space="0" w:color="auto"/>
      </w:divBdr>
    </w:div>
    <w:div w:id="1178959837">
      <w:bodyDiv w:val="1"/>
      <w:marLeft w:val="0"/>
      <w:marRight w:val="0"/>
      <w:marTop w:val="0"/>
      <w:marBottom w:val="0"/>
      <w:divBdr>
        <w:top w:val="none" w:sz="0" w:space="0" w:color="auto"/>
        <w:left w:val="none" w:sz="0" w:space="0" w:color="auto"/>
        <w:bottom w:val="none" w:sz="0" w:space="0" w:color="auto"/>
        <w:right w:val="none" w:sz="0" w:space="0" w:color="auto"/>
      </w:divBdr>
    </w:div>
    <w:div w:id="1179197865">
      <w:bodyDiv w:val="1"/>
      <w:marLeft w:val="0"/>
      <w:marRight w:val="0"/>
      <w:marTop w:val="0"/>
      <w:marBottom w:val="0"/>
      <w:divBdr>
        <w:top w:val="none" w:sz="0" w:space="0" w:color="auto"/>
        <w:left w:val="none" w:sz="0" w:space="0" w:color="auto"/>
        <w:bottom w:val="none" w:sz="0" w:space="0" w:color="auto"/>
        <w:right w:val="none" w:sz="0" w:space="0" w:color="auto"/>
      </w:divBdr>
      <w:divsChild>
        <w:div w:id="703141197">
          <w:marLeft w:val="1080"/>
          <w:marRight w:val="0"/>
          <w:marTop w:val="100"/>
          <w:marBottom w:val="0"/>
          <w:divBdr>
            <w:top w:val="none" w:sz="0" w:space="0" w:color="auto"/>
            <w:left w:val="none" w:sz="0" w:space="0" w:color="auto"/>
            <w:bottom w:val="none" w:sz="0" w:space="0" w:color="auto"/>
            <w:right w:val="none" w:sz="0" w:space="0" w:color="auto"/>
          </w:divBdr>
        </w:div>
        <w:div w:id="1099910888">
          <w:marLeft w:val="360"/>
          <w:marRight w:val="0"/>
          <w:marTop w:val="200"/>
          <w:marBottom w:val="0"/>
          <w:divBdr>
            <w:top w:val="none" w:sz="0" w:space="0" w:color="auto"/>
            <w:left w:val="none" w:sz="0" w:space="0" w:color="auto"/>
            <w:bottom w:val="none" w:sz="0" w:space="0" w:color="auto"/>
            <w:right w:val="none" w:sz="0" w:space="0" w:color="auto"/>
          </w:divBdr>
        </w:div>
      </w:divsChild>
    </w:div>
    <w:div w:id="1180268012">
      <w:bodyDiv w:val="1"/>
      <w:marLeft w:val="0"/>
      <w:marRight w:val="0"/>
      <w:marTop w:val="0"/>
      <w:marBottom w:val="0"/>
      <w:divBdr>
        <w:top w:val="none" w:sz="0" w:space="0" w:color="auto"/>
        <w:left w:val="none" w:sz="0" w:space="0" w:color="auto"/>
        <w:bottom w:val="none" w:sz="0" w:space="0" w:color="auto"/>
        <w:right w:val="none" w:sz="0" w:space="0" w:color="auto"/>
      </w:divBdr>
    </w:div>
    <w:div w:id="1180464963">
      <w:bodyDiv w:val="1"/>
      <w:marLeft w:val="0"/>
      <w:marRight w:val="0"/>
      <w:marTop w:val="0"/>
      <w:marBottom w:val="0"/>
      <w:divBdr>
        <w:top w:val="none" w:sz="0" w:space="0" w:color="auto"/>
        <w:left w:val="none" w:sz="0" w:space="0" w:color="auto"/>
        <w:bottom w:val="none" w:sz="0" w:space="0" w:color="auto"/>
        <w:right w:val="none" w:sz="0" w:space="0" w:color="auto"/>
      </w:divBdr>
    </w:div>
    <w:div w:id="1181551837">
      <w:bodyDiv w:val="1"/>
      <w:marLeft w:val="0"/>
      <w:marRight w:val="0"/>
      <w:marTop w:val="0"/>
      <w:marBottom w:val="0"/>
      <w:divBdr>
        <w:top w:val="none" w:sz="0" w:space="0" w:color="auto"/>
        <w:left w:val="none" w:sz="0" w:space="0" w:color="auto"/>
        <w:bottom w:val="none" w:sz="0" w:space="0" w:color="auto"/>
        <w:right w:val="none" w:sz="0" w:space="0" w:color="auto"/>
      </w:divBdr>
    </w:div>
    <w:div w:id="1181699777">
      <w:bodyDiv w:val="1"/>
      <w:marLeft w:val="0"/>
      <w:marRight w:val="0"/>
      <w:marTop w:val="0"/>
      <w:marBottom w:val="0"/>
      <w:divBdr>
        <w:top w:val="none" w:sz="0" w:space="0" w:color="auto"/>
        <w:left w:val="none" w:sz="0" w:space="0" w:color="auto"/>
        <w:bottom w:val="none" w:sz="0" w:space="0" w:color="auto"/>
        <w:right w:val="none" w:sz="0" w:space="0" w:color="auto"/>
      </w:divBdr>
    </w:div>
    <w:div w:id="1182547726">
      <w:bodyDiv w:val="1"/>
      <w:marLeft w:val="0"/>
      <w:marRight w:val="0"/>
      <w:marTop w:val="0"/>
      <w:marBottom w:val="0"/>
      <w:divBdr>
        <w:top w:val="none" w:sz="0" w:space="0" w:color="auto"/>
        <w:left w:val="none" w:sz="0" w:space="0" w:color="auto"/>
        <w:bottom w:val="none" w:sz="0" w:space="0" w:color="auto"/>
        <w:right w:val="none" w:sz="0" w:space="0" w:color="auto"/>
      </w:divBdr>
    </w:div>
    <w:div w:id="1182665802">
      <w:bodyDiv w:val="1"/>
      <w:marLeft w:val="0"/>
      <w:marRight w:val="0"/>
      <w:marTop w:val="0"/>
      <w:marBottom w:val="0"/>
      <w:divBdr>
        <w:top w:val="none" w:sz="0" w:space="0" w:color="auto"/>
        <w:left w:val="none" w:sz="0" w:space="0" w:color="auto"/>
        <w:bottom w:val="none" w:sz="0" w:space="0" w:color="auto"/>
        <w:right w:val="none" w:sz="0" w:space="0" w:color="auto"/>
      </w:divBdr>
    </w:div>
    <w:div w:id="1182669169">
      <w:bodyDiv w:val="1"/>
      <w:marLeft w:val="0"/>
      <w:marRight w:val="0"/>
      <w:marTop w:val="0"/>
      <w:marBottom w:val="0"/>
      <w:divBdr>
        <w:top w:val="none" w:sz="0" w:space="0" w:color="auto"/>
        <w:left w:val="none" w:sz="0" w:space="0" w:color="auto"/>
        <w:bottom w:val="none" w:sz="0" w:space="0" w:color="auto"/>
        <w:right w:val="none" w:sz="0" w:space="0" w:color="auto"/>
      </w:divBdr>
    </w:div>
    <w:div w:id="1183980988">
      <w:bodyDiv w:val="1"/>
      <w:marLeft w:val="0"/>
      <w:marRight w:val="0"/>
      <w:marTop w:val="0"/>
      <w:marBottom w:val="0"/>
      <w:divBdr>
        <w:top w:val="none" w:sz="0" w:space="0" w:color="auto"/>
        <w:left w:val="none" w:sz="0" w:space="0" w:color="auto"/>
        <w:bottom w:val="none" w:sz="0" w:space="0" w:color="auto"/>
        <w:right w:val="none" w:sz="0" w:space="0" w:color="auto"/>
      </w:divBdr>
    </w:div>
    <w:div w:id="1184592886">
      <w:bodyDiv w:val="1"/>
      <w:marLeft w:val="0"/>
      <w:marRight w:val="0"/>
      <w:marTop w:val="0"/>
      <w:marBottom w:val="0"/>
      <w:divBdr>
        <w:top w:val="none" w:sz="0" w:space="0" w:color="auto"/>
        <w:left w:val="none" w:sz="0" w:space="0" w:color="auto"/>
        <w:bottom w:val="none" w:sz="0" w:space="0" w:color="auto"/>
        <w:right w:val="none" w:sz="0" w:space="0" w:color="auto"/>
      </w:divBdr>
      <w:divsChild>
        <w:div w:id="300770755">
          <w:marLeft w:val="547"/>
          <w:marRight w:val="0"/>
          <w:marTop w:val="154"/>
          <w:marBottom w:val="0"/>
          <w:divBdr>
            <w:top w:val="none" w:sz="0" w:space="0" w:color="auto"/>
            <w:left w:val="none" w:sz="0" w:space="0" w:color="auto"/>
            <w:bottom w:val="none" w:sz="0" w:space="0" w:color="auto"/>
            <w:right w:val="none" w:sz="0" w:space="0" w:color="auto"/>
          </w:divBdr>
        </w:div>
        <w:div w:id="886647753">
          <w:marLeft w:val="1166"/>
          <w:marRight w:val="0"/>
          <w:marTop w:val="134"/>
          <w:marBottom w:val="0"/>
          <w:divBdr>
            <w:top w:val="none" w:sz="0" w:space="0" w:color="auto"/>
            <w:left w:val="none" w:sz="0" w:space="0" w:color="auto"/>
            <w:bottom w:val="none" w:sz="0" w:space="0" w:color="auto"/>
            <w:right w:val="none" w:sz="0" w:space="0" w:color="auto"/>
          </w:divBdr>
        </w:div>
        <w:div w:id="994798027">
          <w:marLeft w:val="1166"/>
          <w:marRight w:val="0"/>
          <w:marTop w:val="134"/>
          <w:marBottom w:val="0"/>
          <w:divBdr>
            <w:top w:val="none" w:sz="0" w:space="0" w:color="auto"/>
            <w:left w:val="none" w:sz="0" w:space="0" w:color="auto"/>
            <w:bottom w:val="none" w:sz="0" w:space="0" w:color="auto"/>
            <w:right w:val="none" w:sz="0" w:space="0" w:color="auto"/>
          </w:divBdr>
        </w:div>
      </w:divsChild>
    </w:div>
    <w:div w:id="1184787798">
      <w:bodyDiv w:val="1"/>
      <w:marLeft w:val="0"/>
      <w:marRight w:val="0"/>
      <w:marTop w:val="0"/>
      <w:marBottom w:val="0"/>
      <w:divBdr>
        <w:top w:val="none" w:sz="0" w:space="0" w:color="auto"/>
        <w:left w:val="none" w:sz="0" w:space="0" w:color="auto"/>
        <w:bottom w:val="none" w:sz="0" w:space="0" w:color="auto"/>
        <w:right w:val="none" w:sz="0" w:space="0" w:color="auto"/>
      </w:divBdr>
    </w:div>
    <w:div w:id="1185049993">
      <w:bodyDiv w:val="1"/>
      <w:marLeft w:val="0"/>
      <w:marRight w:val="0"/>
      <w:marTop w:val="0"/>
      <w:marBottom w:val="0"/>
      <w:divBdr>
        <w:top w:val="none" w:sz="0" w:space="0" w:color="auto"/>
        <w:left w:val="none" w:sz="0" w:space="0" w:color="auto"/>
        <w:bottom w:val="none" w:sz="0" w:space="0" w:color="auto"/>
        <w:right w:val="none" w:sz="0" w:space="0" w:color="auto"/>
      </w:divBdr>
    </w:div>
    <w:div w:id="1185168413">
      <w:bodyDiv w:val="1"/>
      <w:marLeft w:val="0"/>
      <w:marRight w:val="0"/>
      <w:marTop w:val="0"/>
      <w:marBottom w:val="0"/>
      <w:divBdr>
        <w:top w:val="none" w:sz="0" w:space="0" w:color="auto"/>
        <w:left w:val="none" w:sz="0" w:space="0" w:color="auto"/>
        <w:bottom w:val="none" w:sz="0" w:space="0" w:color="auto"/>
        <w:right w:val="none" w:sz="0" w:space="0" w:color="auto"/>
      </w:divBdr>
    </w:div>
    <w:div w:id="1185901098">
      <w:bodyDiv w:val="1"/>
      <w:marLeft w:val="0"/>
      <w:marRight w:val="0"/>
      <w:marTop w:val="0"/>
      <w:marBottom w:val="0"/>
      <w:divBdr>
        <w:top w:val="none" w:sz="0" w:space="0" w:color="auto"/>
        <w:left w:val="none" w:sz="0" w:space="0" w:color="auto"/>
        <w:bottom w:val="none" w:sz="0" w:space="0" w:color="auto"/>
        <w:right w:val="none" w:sz="0" w:space="0" w:color="auto"/>
      </w:divBdr>
    </w:div>
    <w:div w:id="1186212851">
      <w:bodyDiv w:val="1"/>
      <w:marLeft w:val="0"/>
      <w:marRight w:val="0"/>
      <w:marTop w:val="0"/>
      <w:marBottom w:val="0"/>
      <w:divBdr>
        <w:top w:val="none" w:sz="0" w:space="0" w:color="auto"/>
        <w:left w:val="none" w:sz="0" w:space="0" w:color="auto"/>
        <w:bottom w:val="none" w:sz="0" w:space="0" w:color="auto"/>
        <w:right w:val="none" w:sz="0" w:space="0" w:color="auto"/>
      </w:divBdr>
    </w:div>
    <w:div w:id="1186866384">
      <w:bodyDiv w:val="1"/>
      <w:marLeft w:val="0"/>
      <w:marRight w:val="0"/>
      <w:marTop w:val="0"/>
      <w:marBottom w:val="0"/>
      <w:divBdr>
        <w:top w:val="none" w:sz="0" w:space="0" w:color="auto"/>
        <w:left w:val="none" w:sz="0" w:space="0" w:color="auto"/>
        <w:bottom w:val="none" w:sz="0" w:space="0" w:color="auto"/>
        <w:right w:val="none" w:sz="0" w:space="0" w:color="auto"/>
      </w:divBdr>
    </w:div>
    <w:div w:id="1187014924">
      <w:bodyDiv w:val="1"/>
      <w:marLeft w:val="0"/>
      <w:marRight w:val="0"/>
      <w:marTop w:val="0"/>
      <w:marBottom w:val="0"/>
      <w:divBdr>
        <w:top w:val="none" w:sz="0" w:space="0" w:color="auto"/>
        <w:left w:val="none" w:sz="0" w:space="0" w:color="auto"/>
        <w:bottom w:val="none" w:sz="0" w:space="0" w:color="auto"/>
        <w:right w:val="none" w:sz="0" w:space="0" w:color="auto"/>
      </w:divBdr>
    </w:div>
    <w:div w:id="1187600727">
      <w:bodyDiv w:val="1"/>
      <w:marLeft w:val="0"/>
      <w:marRight w:val="0"/>
      <w:marTop w:val="0"/>
      <w:marBottom w:val="0"/>
      <w:divBdr>
        <w:top w:val="none" w:sz="0" w:space="0" w:color="auto"/>
        <w:left w:val="none" w:sz="0" w:space="0" w:color="auto"/>
        <w:bottom w:val="none" w:sz="0" w:space="0" w:color="auto"/>
        <w:right w:val="none" w:sz="0" w:space="0" w:color="auto"/>
      </w:divBdr>
    </w:div>
    <w:div w:id="1187791874">
      <w:bodyDiv w:val="1"/>
      <w:marLeft w:val="0"/>
      <w:marRight w:val="0"/>
      <w:marTop w:val="0"/>
      <w:marBottom w:val="0"/>
      <w:divBdr>
        <w:top w:val="none" w:sz="0" w:space="0" w:color="auto"/>
        <w:left w:val="none" w:sz="0" w:space="0" w:color="auto"/>
        <w:bottom w:val="none" w:sz="0" w:space="0" w:color="auto"/>
        <w:right w:val="none" w:sz="0" w:space="0" w:color="auto"/>
      </w:divBdr>
      <w:divsChild>
        <w:div w:id="395976923">
          <w:marLeft w:val="1166"/>
          <w:marRight w:val="0"/>
          <w:marTop w:val="115"/>
          <w:marBottom w:val="0"/>
          <w:divBdr>
            <w:top w:val="none" w:sz="0" w:space="0" w:color="auto"/>
            <w:left w:val="none" w:sz="0" w:space="0" w:color="auto"/>
            <w:bottom w:val="none" w:sz="0" w:space="0" w:color="auto"/>
            <w:right w:val="none" w:sz="0" w:space="0" w:color="auto"/>
          </w:divBdr>
        </w:div>
        <w:div w:id="513689899">
          <w:marLeft w:val="547"/>
          <w:marRight w:val="0"/>
          <w:marTop w:val="134"/>
          <w:marBottom w:val="0"/>
          <w:divBdr>
            <w:top w:val="none" w:sz="0" w:space="0" w:color="auto"/>
            <w:left w:val="none" w:sz="0" w:space="0" w:color="auto"/>
            <w:bottom w:val="none" w:sz="0" w:space="0" w:color="auto"/>
            <w:right w:val="none" w:sz="0" w:space="0" w:color="auto"/>
          </w:divBdr>
        </w:div>
        <w:div w:id="1425807556">
          <w:marLeft w:val="1166"/>
          <w:marRight w:val="0"/>
          <w:marTop w:val="115"/>
          <w:marBottom w:val="0"/>
          <w:divBdr>
            <w:top w:val="none" w:sz="0" w:space="0" w:color="auto"/>
            <w:left w:val="none" w:sz="0" w:space="0" w:color="auto"/>
            <w:bottom w:val="none" w:sz="0" w:space="0" w:color="auto"/>
            <w:right w:val="none" w:sz="0" w:space="0" w:color="auto"/>
          </w:divBdr>
        </w:div>
        <w:div w:id="1712152414">
          <w:marLeft w:val="1166"/>
          <w:marRight w:val="0"/>
          <w:marTop w:val="115"/>
          <w:marBottom w:val="0"/>
          <w:divBdr>
            <w:top w:val="none" w:sz="0" w:space="0" w:color="auto"/>
            <w:left w:val="none" w:sz="0" w:space="0" w:color="auto"/>
            <w:bottom w:val="none" w:sz="0" w:space="0" w:color="auto"/>
            <w:right w:val="none" w:sz="0" w:space="0" w:color="auto"/>
          </w:divBdr>
        </w:div>
        <w:div w:id="1848061273">
          <w:marLeft w:val="1166"/>
          <w:marRight w:val="0"/>
          <w:marTop w:val="115"/>
          <w:marBottom w:val="0"/>
          <w:divBdr>
            <w:top w:val="none" w:sz="0" w:space="0" w:color="auto"/>
            <w:left w:val="none" w:sz="0" w:space="0" w:color="auto"/>
            <w:bottom w:val="none" w:sz="0" w:space="0" w:color="auto"/>
            <w:right w:val="none" w:sz="0" w:space="0" w:color="auto"/>
          </w:divBdr>
        </w:div>
      </w:divsChild>
    </w:div>
    <w:div w:id="1187908104">
      <w:bodyDiv w:val="1"/>
      <w:marLeft w:val="0"/>
      <w:marRight w:val="0"/>
      <w:marTop w:val="0"/>
      <w:marBottom w:val="0"/>
      <w:divBdr>
        <w:top w:val="none" w:sz="0" w:space="0" w:color="auto"/>
        <w:left w:val="none" w:sz="0" w:space="0" w:color="auto"/>
        <w:bottom w:val="none" w:sz="0" w:space="0" w:color="auto"/>
        <w:right w:val="none" w:sz="0" w:space="0" w:color="auto"/>
      </w:divBdr>
    </w:div>
    <w:div w:id="1188910527">
      <w:bodyDiv w:val="1"/>
      <w:marLeft w:val="0"/>
      <w:marRight w:val="0"/>
      <w:marTop w:val="0"/>
      <w:marBottom w:val="0"/>
      <w:divBdr>
        <w:top w:val="none" w:sz="0" w:space="0" w:color="auto"/>
        <w:left w:val="none" w:sz="0" w:space="0" w:color="auto"/>
        <w:bottom w:val="none" w:sz="0" w:space="0" w:color="auto"/>
        <w:right w:val="none" w:sz="0" w:space="0" w:color="auto"/>
      </w:divBdr>
    </w:div>
    <w:div w:id="1188979488">
      <w:bodyDiv w:val="1"/>
      <w:marLeft w:val="0"/>
      <w:marRight w:val="0"/>
      <w:marTop w:val="0"/>
      <w:marBottom w:val="0"/>
      <w:divBdr>
        <w:top w:val="none" w:sz="0" w:space="0" w:color="auto"/>
        <w:left w:val="none" w:sz="0" w:space="0" w:color="auto"/>
        <w:bottom w:val="none" w:sz="0" w:space="0" w:color="auto"/>
        <w:right w:val="none" w:sz="0" w:space="0" w:color="auto"/>
      </w:divBdr>
    </w:div>
    <w:div w:id="1189225036">
      <w:bodyDiv w:val="1"/>
      <w:marLeft w:val="0"/>
      <w:marRight w:val="0"/>
      <w:marTop w:val="0"/>
      <w:marBottom w:val="0"/>
      <w:divBdr>
        <w:top w:val="none" w:sz="0" w:space="0" w:color="auto"/>
        <w:left w:val="none" w:sz="0" w:space="0" w:color="auto"/>
        <w:bottom w:val="none" w:sz="0" w:space="0" w:color="auto"/>
        <w:right w:val="none" w:sz="0" w:space="0" w:color="auto"/>
      </w:divBdr>
      <w:divsChild>
        <w:div w:id="387192262">
          <w:marLeft w:val="1166"/>
          <w:marRight w:val="0"/>
          <w:marTop w:val="134"/>
          <w:marBottom w:val="0"/>
          <w:divBdr>
            <w:top w:val="none" w:sz="0" w:space="0" w:color="auto"/>
            <w:left w:val="none" w:sz="0" w:space="0" w:color="auto"/>
            <w:bottom w:val="none" w:sz="0" w:space="0" w:color="auto"/>
            <w:right w:val="none" w:sz="0" w:space="0" w:color="auto"/>
          </w:divBdr>
        </w:div>
        <w:div w:id="1172911321">
          <w:marLeft w:val="547"/>
          <w:marRight w:val="0"/>
          <w:marTop w:val="154"/>
          <w:marBottom w:val="0"/>
          <w:divBdr>
            <w:top w:val="none" w:sz="0" w:space="0" w:color="auto"/>
            <w:left w:val="none" w:sz="0" w:space="0" w:color="auto"/>
            <w:bottom w:val="none" w:sz="0" w:space="0" w:color="auto"/>
            <w:right w:val="none" w:sz="0" w:space="0" w:color="auto"/>
          </w:divBdr>
        </w:div>
        <w:div w:id="1352343136">
          <w:marLeft w:val="1166"/>
          <w:marRight w:val="0"/>
          <w:marTop w:val="134"/>
          <w:marBottom w:val="0"/>
          <w:divBdr>
            <w:top w:val="none" w:sz="0" w:space="0" w:color="auto"/>
            <w:left w:val="none" w:sz="0" w:space="0" w:color="auto"/>
            <w:bottom w:val="none" w:sz="0" w:space="0" w:color="auto"/>
            <w:right w:val="none" w:sz="0" w:space="0" w:color="auto"/>
          </w:divBdr>
        </w:div>
      </w:divsChild>
    </w:div>
    <w:div w:id="1189444223">
      <w:bodyDiv w:val="1"/>
      <w:marLeft w:val="0"/>
      <w:marRight w:val="0"/>
      <w:marTop w:val="0"/>
      <w:marBottom w:val="0"/>
      <w:divBdr>
        <w:top w:val="none" w:sz="0" w:space="0" w:color="auto"/>
        <w:left w:val="none" w:sz="0" w:space="0" w:color="auto"/>
        <w:bottom w:val="none" w:sz="0" w:space="0" w:color="auto"/>
        <w:right w:val="none" w:sz="0" w:space="0" w:color="auto"/>
      </w:divBdr>
      <w:divsChild>
        <w:div w:id="527839791">
          <w:marLeft w:val="1166"/>
          <w:marRight w:val="0"/>
          <w:marTop w:val="96"/>
          <w:marBottom w:val="0"/>
          <w:divBdr>
            <w:top w:val="none" w:sz="0" w:space="0" w:color="auto"/>
            <w:left w:val="none" w:sz="0" w:space="0" w:color="auto"/>
            <w:bottom w:val="none" w:sz="0" w:space="0" w:color="auto"/>
            <w:right w:val="none" w:sz="0" w:space="0" w:color="auto"/>
          </w:divBdr>
        </w:div>
        <w:div w:id="591476312">
          <w:marLeft w:val="1166"/>
          <w:marRight w:val="0"/>
          <w:marTop w:val="96"/>
          <w:marBottom w:val="0"/>
          <w:divBdr>
            <w:top w:val="none" w:sz="0" w:space="0" w:color="auto"/>
            <w:left w:val="none" w:sz="0" w:space="0" w:color="auto"/>
            <w:bottom w:val="none" w:sz="0" w:space="0" w:color="auto"/>
            <w:right w:val="none" w:sz="0" w:space="0" w:color="auto"/>
          </w:divBdr>
        </w:div>
        <w:div w:id="761101677">
          <w:marLeft w:val="1166"/>
          <w:marRight w:val="0"/>
          <w:marTop w:val="96"/>
          <w:marBottom w:val="0"/>
          <w:divBdr>
            <w:top w:val="none" w:sz="0" w:space="0" w:color="auto"/>
            <w:left w:val="none" w:sz="0" w:space="0" w:color="auto"/>
            <w:bottom w:val="none" w:sz="0" w:space="0" w:color="auto"/>
            <w:right w:val="none" w:sz="0" w:space="0" w:color="auto"/>
          </w:divBdr>
        </w:div>
        <w:div w:id="832337587">
          <w:marLeft w:val="1166"/>
          <w:marRight w:val="0"/>
          <w:marTop w:val="96"/>
          <w:marBottom w:val="0"/>
          <w:divBdr>
            <w:top w:val="none" w:sz="0" w:space="0" w:color="auto"/>
            <w:left w:val="none" w:sz="0" w:space="0" w:color="auto"/>
            <w:bottom w:val="none" w:sz="0" w:space="0" w:color="auto"/>
            <w:right w:val="none" w:sz="0" w:space="0" w:color="auto"/>
          </w:divBdr>
        </w:div>
        <w:div w:id="1109549987">
          <w:marLeft w:val="1166"/>
          <w:marRight w:val="0"/>
          <w:marTop w:val="96"/>
          <w:marBottom w:val="0"/>
          <w:divBdr>
            <w:top w:val="none" w:sz="0" w:space="0" w:color="auto"/>
            <w:left w:val="none" w:sz="0" w:space="0" w:color="auto"/>
            <w:bottom w:val="none" w:sz="0" w:space="0" w:color="auto"/>
            <w:right w:val="none" w:sz="0" w:space="0" w:color="auto"/>
          </w:divBdr>
        </w:div>
        <w:div w:id="1432310902">
          <w:marLeft w:val="547"/>
          <w:marRight w:val="0"/>
          <w:marTop w:val="96"/>
          <w:marBottom w:val="0"/>
          <w:divBdr>
            <w:top w:val="none" w:sz="0" w:space="0" w:color="auto"/>
            <w:left w:val="none" w:sz="0" w:space="0" w:color="auto"/>
            <w:bottom w:val="none" w:sz="0" w:space="0" w:color="auto"/>
            <w:right w:val="none" w:sz="0" w:space="0" w:color="auto"/>
          </w:divBdr>
        </w:div>
        <w:div w:id="1620650245">
          <w:marLeft w:val="1800"/>
          <w:marRight w:val="0"/>
          <w:marTop w:val="96"/>
          <w:marBottom w:val="0"/>
          <w:divBdr>
            <w:top w:val="none" w:sz="0" w:space="0" w:color="auto"/>
            <w:left w:val="none" w:sz="0" w:space="0" w:color="auto"/>
            <w:bottom w:val="none" w:sz="0" w:space="0" w:color="auto"/>
            <w:right w:val="none" w:sz="0" w:space="0" w:color="auto"/>
          </w:divBdr>
        </w:div>
        <w:div w:id="1630941655">
          <w:marLeft w:val="1166"/>
          <w:marRight w:val="0"/>
          <w:marTop w:val="96"/>
          <w:marBottom w:val="0"/>
          <w:divBdr>
            <w:top w:val="none" w:sz="0" w:space="0" w:color="auto"/>
            <w:left w:val="none" w:sz="0" w:space="0" w:color="auto"/>
            <w:bottom w:val="none" w:sz="0" w:space="0" w:color="auto"/>
            <w:right w:val="none" w:sz="0" w:space="0" w:color="auto"/>
          </w:divBdr>
        </w:div>
        <w:div w:id="1719745000">
          <w:marLeft w:val="1800"/>
          <w:marRight w:val="0"/>
          <w:marTop w:val="96"/>
          <w:marBottom w:val="0"/>
          <w:divBdr>
            <w:top w:val="none" w:sz="0" w:space="0" w:color="auto"/>
            <w:left w:val="none" w:sz="0" w:space="0" w:color="auto"/>
            <w:bottom w:val="none" w:sz="0" w:space="0" w:color="auto"/>
            <w:right w:val="none" w:sz="0" w:space="0" w:color="auto"/>
          </w:divBdr>
        </w:div>
        <w:div w:id="2027631666">
          <w:marLeft w:val="1166"/>
          <w:marRight w:val="0"/>
          <w:marTop w:val="96"/>
          <w:marBottom w:val="0"/>
          <w:divBdr>
            <w:top w:val="none" w:sz="0" w:space="0" w:color="auto"/>
            <w:left w:val="none" w:sz="0" w:space="0" w:color="auto"/>
            <w:bottom w:val="none" w:sz="0" w:space="0" w:color="auto"/>
            <w:right w:val="none" w:sz="0" w:space="0" w:color="auto"/>
          </w:divBdr>
        </w:div>
        <w:div w:id="2081095775">
          <w:marLeft w:val="1800"/>
          <w:marRight w:val="0"/>
          <w:marTop w:val="96"/>
          <w:marBottom w:val="0"/>
          <w:divBdr>
            <w:top w:val="none" w:sz="0" w:space="0" w:color="auto"/>
            <w:left w:val="none" w:sz="0" w:space="0" w:color="auto"/>
            <w:bottom w:val="none" w:sz="0" w:space="0" w:color="auto"/>
            <w:right w:val="none" w:sz="0" w:space="0" w:color="auto"/>
          </w:divBdr>
        </w:div>
        <w:div w:id="2081709292">
          <w:marLeft w:val="1800"/>
          <w:marRight w:val="0"/>
          <w:marTop w:val="96"/>
          <w:marBottom w:val="0"/>
          <w:divBdr>
            <w:top w:val="none" w:sz="0" w:space="0" w:color="auto"/>
            <w:left w:val="none" w:sz="0" w:space="0" w:color="auto"/>
            <w:bottom w:val="none" w:sz="0" w:space="0" w:color="auto"/>
            <w:right w:val="none" w:sz="0" w:space="0" w:color="auto"/>
          </w:divBdr>
        </w:div>
      </w:divsChild>
    </w:div>
    <w:div w:id="1189752941">
      <w:bodyDiv w:val="1"/>
      <w:marLeft w:val="0"/>
      <w:marRight w:val="0"/>
      <w:marTop w:val="0"/>
      <w:marBottom w:val="0"/>
      <w:divBdr>
        <w:top w:val="none" w:sz="0" w:space="0" w:color="auto"/>
        <w:left w:val="none" w:sz="0" w:space="0" w:color="auto"/>
        <w:bottom w:val="none" w:sz="0" w:space="0" w:color="auto"/>
        <w:right w:val="none" w:sz="0" w:space="0" w:color="auto"/>
      </w:divBdr>
    </w:div>
    <w:div w:id="1189833538">
      <w:bodyDiv w:val="1"/>
      <w:marLeft w:val="0"/>
      <w:marRight w:val="0"/>
      <w:marTop w:val="0"/>
      <w:marBottom w:val="0"/>
      <w:divBdr>
        <w:top w:val="none" w:sz="0" w:space="0" w:color="auto"/>
        <w:left w:val="none" w:sz="0" w:space="0" w:color="auto"/>
        <w:bottom w:val="none" w:sz="0" w:space="0" w:color="auto"/>
        <w:right w:val="none" w:sz="0" w:space="0" w:color="auto"/>
      </w:divBdr>
    </w:div>
    <w:div w:id="1189946687">
      <w:bodyDiv w:val="1"/>
      <w:marLeft w:val="0"/>
      <w:marRight w:val="0"/>
      <w:marTop w:val="0"/>
      <w:marBottom w:val="0"/>
      <w:divBdr>
        <w:top w:val="none" w:sz="0" w:space="0" w:color="auto"/>
        <w:left w:val="none" w:sz="0" w:space="0" w:color="auto"/>
        <w:bottom w:val="none" w:sz="0" w:space="0" w:color="auto"/>
        <w:right w:val="none" w:sz="0" w:space="0" w:color="auto"/>
      </w:divBdr>
    </w:div>
    <w:div w:id="1190139449">
      <w:bodyDiv w:val="1"/>
      <w:marLeft w:val="0"/>
      <w:marRight w:val="0"/>
      <w:marTop w:val="0"/>
      <w:marBottom w:val="0"/>
      <w:divBdr>
        <w:top w:val="none" w:sz="0" w:space="0" w:color="auto"/>
        <w:left w:val="none" w:sz="0" w:space="0" w:color="auto"/>
        <w:bottom w:val="none" w:sz="0" w:space="0" w:color="auto"/>
        <w:right w:val="none" w:sz="0" w:space="0" w:color="auto"/>
      </w:divBdr>
    </w:div>
    <w:div w:id="1190147479">
      <w:bodyDiv w:val="1"/>
      <w:marLeft w:val="0"/>
      <w:marRight w:val="0"/>
      <w:marTop w:val="0"/>
      <w:marBottom w:val="0"/>
      <w:divBdr>
        <w:top w:val="none" w:sz="0" w:space="0" w:color="auto"/>
        <w:left w:val="none" w:sz="0" w:space="0" w:color="auto"/>
        <w:bottom w:val="none" w:sz="0" w:space="0" w:color="auto"/>
        <w:right w:val="none" w:sz="0" w:space="0" w:color="auto"/>
      </w:divBdr>
    </w:div>
    <w:div w:id="1190411244">
      <w:bodyDiv w:val="1"/>
      <w:marLeft w:val="0"/>
      <w:marRight w:val="0"/>
      <w:marTop w:val="0"/>
      <w:marBottom w:val="0"/>
      <w:divBdr>
        <w:top w:val="none" w:sz="0" w:space="0" w:color="auto"/>
        <w:left w:val="none" w:sz="0" w:space="0" w:color="auto"/>
        <w:bottom w:val="none" w:sz="0" w:space="0" w:color="auto"/>
        <w:right w:val="none" w:sz="0" w:space="0" w:color="auto"/>
      </w:divBdr>
      <w:divsChild>
        <w:div w:id="484973011">
          <w:marLeft w:val="1166"/>
          <w:marRight w:val="0"/>
          <w:marTop w:val="115"/>
          <w:marBottom w:val="0"/>
          <w:divBdr>
            <w:top w:val="none" w:sz="0" w:space="0" w:color="auto"/>
            <w:left w:val="none" w:sz="0" w:space="0" w:color="auto"/>
            <w:bottom w:val="none" w:sz="0" w:space="0" w:color="auto"/>
            <w:right w:val="none" w:sz="0" w:space="0" w:color="auto"/>
          </w:divBdr>
        </w:div>
        <w:div w:id="595291162">
          <w:marLeft w:val="1800"/>
          <w:marRight w:val="0"/>
          <w:marTop w:val="115"/>
          <w:marBottom w:val="0"/>
          <w:divBdr>
            <w:top w:val="none" w:sz="0" w:space="0" w:color="auto"/>
            <w:left w:val="none" w:sz="0" w:space="0" w:color="auto"/>
            <w:bottom w:val="none" w:sz="0" w:space="0" w:color="auto"/>
            <w:right w:val="none" w:sz="0" w:space="0" w:color="auto"/>
          </w:divBdr>
        </w:div>
        <w:div w:id="903561174">
          <w:marLeft w:val="547"/>
          <w:marRight w:val="0"/>
          <w:marTop w:val="134"/>
          <w:marBottom w:val="0"/>
          <w:divBdr>
            <w:top w:val="none" w:sz="0" w:space="0" w:color="auto"/>
            <w:left w:val="none" w:sz="0" w:space="0" w:color="auto"/>
            <w:bottom w:val="none" w:sz="0" w:space="0" w:color="auto"/>
            <w:right w:val="none" w:sz="0" w:space="0" w:color="auto"/>
          </w:divBdr>
        </w:div>
        <w:div w:id="1411197016">
          <w:marLeft w:val="547"/>
          <w:marRight w:val="0"/>
          <w:marTop w:val="134"/>
          <w:marBottom w:val="0"/>
          <w:divBdr>
            <w:top w:val="none" w:sz="0" w:space="0" w:color="auto"/>
            <w:left w:val="none" w:sz="0" w:space="0" w:color="auto"/>
            <w:bottom w:val="none" w:sz="0" w:space="0" w:color="auto"/>
            <w:right w:val="none" w:sz="0" w:space="0" w:color="auto"/>
          </w:divBdr>
        </w:div>
        <w:div w:id="1434398698">
          <w:marLeft w:val="1166"/>
          <w:marRight w:val="0"/>
          <w:marTop w:val="115"/>
          <w:marBottom w:val="0"/>
          <w:divBdr>
            <w:top w:val="none" w:sz="0" w:space="0" w:color="auto"/>
            <w:left w:val="none" w:sz="0" w:space="0" w:color="auto"/>
            <w:bottom w:val="none" w:sz="0" w:space="0" w:color="auto"/>
            <w:right w:val="none" w:sz="0" w:space="0" w:color="auto"/>
          </w:divBdr>
        </w:div>
        <w:div w:id="1521237569">
          <w:marLeft w:val="1800"/>
          <w:marRight w:val="0"/>
          <w:marTop w:val="115"/>
          <w:marBottom w:val="0"/>
          <w:divBdr>
            <w:top w:val="none" w:sz="0" w:space="0" w:color="auto"/>
            <w:left w:val="none" w:sz="0" w:space="0" w:color="auto"/>
            <w:bottom w:val="none" w:sz="0" w:space="0" w:color="auto"/>
            <w:right w:val="none" w:sz="0" w:space="0" w:color="auto"/>
          </w:divBdr>
        </w:div>
        <w:div w:id="1750928774">
          <w:marLeft w:val="1166"/>
          <w:marRight w:val="0"/>
          <w:marTop w:val="115"/>
          <w:marBottom w:val="0"/>
          <w:divBdr>
            <w:top w:val="none" w:sz="0" w:space="0" w:color="auto"/>
            <w:left w:val="none" w:sz="0" w:space="0" w:color="auto"/>
            <w:bottom w:val="none" w:sz="0" w:space="0" w:color="auto"/>
            <w:right w:val="none" w:sz="0" w:space="0" w:color="auto"/>
          </w:divBdr>
        </w:div>
      </w:divsChild>
    </w:div>
    <w:div w:id="1190755515">
      <w:bodyDiv w:val="1"/>
      <w:marLeft w:val="0"/>
      <w:marRight w:val="0"/>
      <w:marTop w:val="0"/>
      <w:marBottom w:val="0"/>
      <w:divBdr>
        <w:top w:val="none" w:sz="0" w:space="0" w:color="auto"/>
        <w:left w:val="none" w:sz="0" w:space="0" w:color="auto"/>
        <w:bottom w:val="none" w:sz="0" w:space="0" w:color="auto"/>
        <w:right w:val="none" w:sz="0" w:space="0" w:color="auto"/>
      </w:divBdr>
    </w:div>
    <w:div w:id="1190801327">
      <w:bodyDiv w:val="1"/>
      <w:marLeft w:val="0"/>
      <w:marRight w:val="0"/>
      <w:marTop w:val="0"/>
      <w:marBottom w:val="0"/>
      <w:divBdr>
        <w:top w:val="none" w:sz="0" w:space="0" w:color="auto"/>
        <w:left w:val="none" w:sz="0" w:space="0" w:color="auto"/>
        <w:bottom w:val="none" w:sz="0" w:space="0" w:color="auto"/>
        <w:right w:val="none" w:sz="0" w:space="0" w:color="auto"/>
      </w:divBdr>
    </w:div>
    <w:div w:id="1192495971">
      <w:bodyDiv w:val="1"/>
      <w:marLeft w:val="0"/>
      <w:marRight w:val="0"/>
      <w:marTop w:val="0"/>
      <w:marBottom w:val="0"/>
      <w:divBdr>
        <w:top w:val="none" w:sz="0" w:space="0" w:color="auto"/>
        <w:left w:val="none" w:sz="0" w:space="0" w:color="auto"/>
        <w:bottom w:val="none" w:sz="0" w:space="0" w:color="auto"/>
        <w:right w:val="none" w:sz="0" w:space="0" w:color="auto"/>
      </w:divBdr>
    </w:div>
    <w:div w:id="1192837180">
      <w:bodyDiv w:val="1"/>
      <w:marLeft w:val="0"/>
      <w:marRight w:val="0"/>
      <w:marTop w:val="0"/>
      <w:marBottom w:val="0"/>
      <w:divBdr>
        <w:top w:val="none" w:sz="0" w:space="0" w:color="auto"/>
        <w:left w:val="none" w:sz="0" w:space="0" w:color="auto"/>
        <w:bottom w:val="none" w:sz="0" w:space="0" w:color="auto"/>
        <w:right w:val="none" w:sz="0" w:space="0" w:color="auto"/>
      </w:divBdr>
    </w:div>
    <w:div w:id="1192912624">
      <w:bodyDiv w:val="1"/>
      <w:marLeft w:val="0"/>
      <w:marRight w:val="0"/>
      <w:marTop w:val="0"/>
      <w:marBottom w:val="0"/>
      <w:divBdr>
        <w:top w:val="none" w:sz="0" w:space="0" w:color="auto"/>
        <w:left w:val="none" w:sz="0" w:space="0" w:color="auto"/>
        <w:bottom w:val="none" w:sz="0" w:space="0" w:color="auto"/>
        <w:right w:val="none" w:sz="0" w:space="0" w:color="auto"/>
      </w:divBdr>
    </w:div>
    <w:div w:id="1193106761">
      <w:bodyDiv w:val="1"/>
      <w:marLeft w:val="0"/>
      <w:marRight w:val="0"/>
      <w:marTop w:val="0"/>
      <w:marBottom w:val="0"/>
      <w:divBdr>
        <w:top w:val="none" w:sz="0" w:space="0" w:color="auto"/>
        <w:left w:val="none" w:sz="0" w:space="0" w:color="auto"/>
        <w:bottom w:val="none" w:sz="0" w:space="0" w:color="auto"/>
        <w:right w:val="none" w:sz="0" w:space="0" w:color="auto"/>
      </w:divBdr>
      <w:divsChild>
        <w:div w:id="350379779">
          <w:marLeft w:val="1166"/>
          <w:marRight w:val="0"/>
          <w:marTop w:val="0"/>
          <w:marBottom w:val="60"/>
          <w:divBdr>
            <w:top w:val="none" w:sz="0" w:space="0" w:color="auto"/>
            <w:left w:val="none" w:sz="0" w:space="0" w:color="auto"/>
            <w:bottom w:val="none" w:sz="0" w:space="0" w:color="auto"/>
            <w:right w:val="none" w:sz="0" w:space="0" w:color="auto"/>
          </w:divBdr>
        </w:div>
        <w:div w:id="1713577320">
          <w:marLeft w:val="547"/>
          <w:marRight w:val="0"/>
          <w:marTop w:val="0"/>
          <w:marBottom w:val="60"/>
          <w:divBdr>
            <w:top w:val="none" w:sz="0" w:space="0" w:color="auto"/>
            <w:left w:val="none" w:sz="0" w:space="0" w:color="auto"/>
            <w:bottom w:val="none" w:sz="0" w:space="0" w:color="auto"/>
            <w:right w:val="none" w:sz="0" w:space="0" w:color="auto"/>
          </w:divBdr>
        </w:div>
        <w:div w:id="1732380934">
          <w:marLeft w:val="1166"/>
          <w:marRight w:val="0"/>
          <w:marTop w:val="0"/>
          <w:marBottom w:val="60"/>
          <w:divBdr>
            <w:top w:val="none" w:sz="0" w:space="0" w:color="auto"/>
            <w:left w:val="none" w:sz="0" w:space="0" w:color="auto"/>
            <w:bottom w:val="none" w:sz="0" w:space="0" w:color="auto"/>
            <w:right w:val="none" w:sz="0" w:space="0" w:color="auto"/>
          </w:divBdr>
        </w:div>
        <w:div w:id="1822037630">
          <w:marLeft w:val="547"/>
          <w:marRight w:val="0"/>
          <w:marTop w:val="0"/>
          <w:marBottom w:val="60"/>
          <w:divBdr>
            <w:top w:val="none" w:sz="0" w:space="0" w:color="auto"/>
            <w:left w:val="none" w:sz="0" w:space="0" w:color="auto"/>
            <w:bottom w:val="none" w:sz="0" w:space="0" w:color="auto"/>
            <w:right w:val="none" w:sz="0" w:space="0" w:color="auto"/>
          </w:divBdr>
        </w:div>
      </w:divsChild>
    </w:div>
    <w:div w:id="1193492097">
      <w:bodyDiv w:val="1"/>
      <w:marLeft w:val="0"/>
      <w:marRight w:val="0"/>
      <w:marTop w:val="0"/>
      <w:marBottom w:val="0"/>
      <w:divBdr>
        <w:top w:val="none" w:sz="0" w:space="0" w:color="auto"/>
        <w:left w:val="none" w:sz="0" w:space="0" w:color="auto"/>
        <w:bottom w:val="none" w:sz="0" w:space="0" w:color="auto"/>
        <w:right w:val="none" w:sz="0" w:space="0" w:color="auto"/>
      </w:divBdr>
    </w:div>
    <w:div w:id="1193880581">
      <w:bodyDiv w:val="1"/>
      <w:marLeft w:val="0"/>
      <w:marRight w:val="0"/>
      <w:marTop w:val="0"/>
      <w:marBottom w:val="0"/>
      <w:divBdr>
        <w:top w:val="none" w:sz="0" w:space="0" w:color="auto"/>
        <w:left w:val="none" w:sz="0" w:space="0" w:color="auto"/>
        <w:bottom w:val="none" w:sz="0" w:space="0" w:color="auto"/>
        <w:right w:val="none" w:sz="0" w:space="0" w:color="auto"/>
      </w:divBdr>
    </w:div>
    <w:div w:id="1193953639">
      <w:bodyDiv w:val="1"/>
      <w:marLeft w:val="0"/>
      <w:marRight w:val="0"/>
      <w:marTop w:val="0"/>
      <w:marBottom w:val="0"/>
      <w:divBdr>
        <w:top w:val="none" w:sz="0" w:space="0" w:color="auto"/>
        <w:left w:val="none" w:sz="0" w:space="0" w:color="auto"/>
        <w:bottom w:val="none" w:sz="0" w:space="0" w:color="auto"/>
        <w:right w:val="none" w:sz="0" w:space="0" w:color="auto"/>
      </w:divBdr>
    </w:div>
    <w:div w:id="1194197730">
      <w:bodyDiv w:val="1"/>
      <w:marLeft w:val="0"/>
      <w:marRight w:val="0"/>
      <w:marTop w:val="0"/>
      <w:marBottom w:val="0"/>
      <w:divBdr>
        <w:top w:val="none" w:sz="0" w:space="0" w:color="auto"/>
        <w:left w:val="none" w:sz="0" w:space="0" w:color="auto"/>
        <w:bottom w:val="none" w:sz="0" w:space="0" w:color="auto"/>
        <w:right w:val="none" w:sz="0" w:space="0" w:color="auto"/>
      </w:divBdr>
    </w:div>
    <w:div w:id="1194803880">
      <w:bodyDiv w:val="1"/>
      <w:marLeft w:val="0"/>
      <w:marRight w:val="0"/>
      <w:marTop w:val="0"/>
      <w:marBottom w:val="0"/>
      <w:divBdr>
        <w:top w:val="none" w:sz="0" w:space="0" w:color="auto"/>
        <w:left w:val="none" w:sz="0" w:space="0" w:color="auto"/>
        <w:bottom w:val="none" w:sz="0" w:space="0" w:color="auto"/>
        <w:right w:val="none" w:sz="0" w:space="0" w:color="auto"/>
      </w:divBdr>
    </w:div>
    <w:div w:id="1195456910">
      <w:bodyDiv w:val="1"/>
      <w:marLeft w:val="0"/>
      <w:marRight w:val="0"/>
      <w:marTop w:val="0"/>
      <w:marBottom w:val="0"/>
      <w:divBdr>
        <w:top w:val="none" w:sz="0" w:space="0" w:color="auto"/>
        <w:left w:val="none" w:sz="0" w:space="0" w:color="auto"/>
        <w:bottom w:val="none" w:sz="0" w:space="0" w:color="auto"/>
        <w:right w:val="none" w:sz="0" w:space="0" w:color="auto"/>
      </w:divBdr>
    </w:div>
    <w:div w:id="1195461425">
      <w:bodyDiv w:val="1"/>
      <w:marLeft w:val="0"/>
      <w:marRight w:val="0"/>
      <w:marTop w:val="0"/>
      <w:marBottom w:val="0"/>
      <w:divBdr>
        <w:top w:val="none" w:sz="0" w:space="0" w:color="auto"/>
        <w:left w:val="none" w:sz="0" w:space="0" w:color="auto"/>
        <w:bottom w:val="none" w:sz="0" w:space="0" w:color="auto"/>
        <w:right w:val="none" w:sz="0" w:space="0" w:color="auto"/>
      </w:divBdr>
    </w:div>
    <w:div w:id="1197088006">
      <w:bodyDiv w:val="1"/>
      <w:marLeft w:val="0"/>
      <w:marRight w:val="0"/>
      <w:marTop w:val="0"/>
      <w:marBottom w:val="0"/>
      <w:divBdr>
        <w:top w:val="none" w:sz="0" w:space="0" w:color="auto"/>
        <w:left w:val="none" w:sz="0" w:space="0" w:color="auto"/>
        <w:bottom w:val="none" w:sz="0" w:space="0" w:color="auto"/>
        <w:right w:val="none" w:sz="0" w:space="0" w:color="auto"/>
      </w:divBdr>
    </w:div>
    <w:div w:id="1197936906">
      <w:bodyDiv w:val="1"/>
      <w:marLeft w:val="0"/>
      <w:marRight w:val="0"/>
      <w:marTop w:val="0"/>
      <w:marBottom w:val="0"/>
      <w:divBdr>
        <w:top w:val="none" w:sz="0" w:space="0" w:color="auto"/>
        <w:left w:val="none" w:sz="0" w:space="0" w:color="auto"/>
        <w:bottom w:val="none" w:sz="0" w:space="0" w:color="auto"/>
        <w:right w:val="none" w:sz="0" w:space="0" w:color="auto"/>
      </w:divBdr>
    </w:div>
    <w:div w:id="1198003947">
      <w:bodyDiv w:val="1"/>
      <w:marLeft w:val="0"/>
      <w:marRight w:val="0"/>
      <w:marTop w:val="0"/>
      <w:marBottom w:val="0"/>
      <w:divBdr>
        <w:top w:val="none" w:sz="0" w:space="0" w:color="auto"/>
        <w:left w:val="none" w:sz="0" w:space="0" w:color="auto"/>
        <w:bottom w:val="none" w:sz="0" w:space="0" w:color="auto"/>
        <w:right w:val="none" w:sz="0" w:space="0" w:color="auto"/>
      </w:divBdr>
    </w:div>
    <w:div w:id="1198200390">
      <w:bodyDiv w:val="1"/>
      <w:marLeft w:val="0"/>
      <w:marRight w:val="0"/>
      <w:marTop w:val="0"/>
      <w:marBottom w:val="0"/>
      <w:divBdr>
        <w:top w:val="none" w:sz="0" w:space="0" w:color="auto"/>
        <w:left w:val="none" w:sz="0" w:space="0" w:color="auto"/>
        <w:bottom w:val="none" w:sz="0" w:space="0" w:color="auto"/>
        <w:right w:val="none" w:sz="0" w:space="0" w:color="auto"/>
      </w:divBdr>
    </w:div>
    <w:div w:id="1199201157">
      <w:bodyDiv w:val="1"/>
      <w:marLeft w:val="0"/>
      <w:marRight w:val="0"/>
      <w:marTop w:val="0"/>
      <w:marBottom w:val="0"/>
      <w:divBdr>
        <w:top w:val="none" w:sz="0" w:space="0" w:color="auto"/>
        <w:left w:val="none" w:sz="0" w:space="0" w:color="auto"/>
        <w:bottom w:val="none" w:sz="0" w:space="0" w:color="auto"/>
        <w:right w:val="none" w:sz="0" w:space="0" w:color="auto"/>
      </w:divBdr>
    </w:div>
    <w:div w:id="1199515385">
      <w:bodyDiv w:val="1"/>
      <w:marLeft w:val="0"/>
      <w:marRight w:val="0"/>
      <w:marTop w:val="0"/>
      <w:marBottom w:val="0"/>
      <w:divBdr>
        <w:top w:val="none" w:sz="0" w:space="0" w:color="auto"/>
        <w:left w:val="none" w:sz="0" w:space="0" w:color="auto"/>
        <w:bottom w:val="none" w:sz="0" w:space="0" w:color="auto"/>
        <w:right w:val="none" w:sz="0" w:space="0" w:color="auto"/>
      </w:divBdr>
    </w:div>
    <w:div w:id="1200045335">
      <w:bodyDiv w:val="1"/>
      <w:marLeft w:val="0"/>
      <w:marRight w:val="0"/>
      <w:marTop w:val="0"/>
      <w:marBottom w:val="0"/>
      <w:divBdr>
        <w:top w:val="none" w:sz="0" w:space="0" w:color="auto"/>
        <w:left w:val="none" w:sz="0" w:space="0" w:color="auto"/>
        <w:bottom w:val="none" w:sz="0" w:space="0" w:color="auto"/>
        <w:right w:val="none" w:sz="0" w:space="0" w:color="auto"/>
      </w:divBdr>
    </w:div>
    <w:div w:id="1200388576">
      <w:bodyDiv w:val="1"/>
      <w:marLeft w:val="0"/>
      <w:marRight w:val="0"/>
      <w:marTop w:val="0"/>
      <w:marBottom w:val="0"/>
      <w:divBdr>
        <w:top w:val="none" w:sz="0" w:space="0" w:color="auto"/>
        <w:left w:val="none" w:sz="0" w:space="0" w:color="auto"/>
        <w:bottom w:val="none" w:sz="0" w:space="0" w:color="auto"/>
        <w:right w:val="none" w:sz="0" w:space="0" w:color="auto"/>
      </w:divBdr>
    </w:div>
    <w:div w:id="1200822240">
      <w:bodyDiv w:val="1"/>
      <w:marLeft w:val="0"/>
      <w:marRight w:val="0"/>
      <w:marTop w:val="0"/>
      <w:marBottom w:val="0"/>
      <w:divBdr>
        <w:top w:val="none" w:sz="0" w:space="0" w:color="auto"/>
        <w:left w:val="none" w:sz="0" w:space="0" w:color="auto"/>
        <w:bottom w:val="none" w:sz="0" w:space="0" w:color="auto"/>
        <w:right w:val="none" w:sz="0" w:space="0" w:color="auto"/>
      </w:divBdr>
    </w:div>
    <w:div w:id="1201892234">
      <w:bodyDiv w:val="1"/>
      <w:marLeft w:val="0"/>
      <w:marRight w:val="0"/>
      <w:marTop w:val="0"/>
      <w:marBottom w:val="0"/>
      <w:divBdr>
        <w:top w:val="none" w:sz="0" w:space="0" w:color="auto"/>
        <w:left w:val="none" w:sz="0" w:space="0" w:color="auto"/>
        <w:bottom w:val="none" w:sz="0" w:space="0" w:color="auto"/>
        <w:right w:val="none" w:sz="0" w:space="0" w:color="auto"/>
      </w:divBdr>
    </w:div>
    <w:div w:id="1202404384">
      <w:bodyDiv w:val="1"/>
      <w:marLeft w:val="0"/>
      <w:marRight w:val="0"/>
      <w:marTop w:val="0"/>
      <w:marBottom w:val="0"/>
      <w:divBdr>
        <w:top w:val="none" w:sz="0" w:space="0" w:color="auto"/>
        <w:left w:val="none" w:sz="0" w:space="0" w:color="auto"/>
        <w:bottom w:val="none" w:sz="0" w:space="0" w:color="auto"/>
        <w:right w:val="none" w:sz="0" w:space="0" w:color="auto"/>
      </w:divBdr>
    </w:div>
    <w:div w:id="1202671988">
      <w:bodyDiv w:val="1"/>
      <w:marLeft w:val="0"/>
      <w:marRight w:val="0"/>
      <w:marTop w:val="0"/>
      <w:marBottom w:val="0"/>
      <w:divBdr>
        <w:top w:val="none" w:sz="0" w:space="0" w:color="auto"/>
        <w:left w:val="none" w:sz="0" w:space="0" w:color="auto"/>
        <w:bottom w:val="none" w:sz="0" w:space="0" w:color="auto"/>
        <w:right w:val="none" w:sz="0" w:space="0" w:color="auto"/>
      </w:divBdr>
    </w:div>
    <w:div w:id="1202748804">
      <w:bodyDiv w:val="1"/>
      <w:marLeft w:val="0"/>
      <w:marRight w:val="0"/>
      <w:marTop w:val="0"/>
      <w:marBottom w:val="0"/>
      <w:divBdr>
        <w:top w:val="none" w:sz="0" w:space="0" w:color="auto"/>
        <w:left w:val="none" w:sz="0" w:space="0" w:color="auto"/>
        <w:bottom w:val="none" w:sz="0" w:space="0" w:color="auto"/>
        <w:right w:val="none" w:sz="0" w:space="0" w:color="auto"/>
      </w:divBdr>
    </w:div>
    <w:div w:id="1205292573">
      <w:bodyDiv w:val="1"/>
      <w:marLeft w:val="0"/>
      <w:marRight w:val="0"/>
      <w:marTop w:val="0"/>
      <w:marBottom w:val="0"/>
      <w:divBdr>
        <w:top w:val="none" w:sz="0" w:space="0" w:color="auto"/>
        <w:left w:val="none" w:sz="0" w:space="0" w:color="auto"/>
        <w:bottom w:val="none" w:sz="0" w:space="0" w:color="auto"/>
        <w:right w:val="none" w:sz="0" w:space="0" w:color="auto"/>
      </w:divBdr>
    </w:div>
    <w:div w:id="1205369152">
      <w:bodyDiv w:val="1"/>
      <w:marLeft w:val="0"/>
      <w:marRight w:val="0"/>
      <w:marTop w:val="0"/>
      <w:marBottom w:val="0"/>
      <w:divBdr>
        <w:top w:val="none" w:sz="0" w:space="0" w:color="auto"/>
        <w:left w:val="none" w:sz="0" w:space="0" w:color="auto"/>
        <w:bottom w:val="none" w:sz="0" w:space="0" w:color="auto"/>
        <w:right w:val="none" w:sz="0" w:space="0" w:color="auto"/>
      </w:divBdr>
    </w:div>
    <w:div w:id="1206681361">
      <w:bodyDiv w:val="1"/>
      <w:marLeft w:val="0"/>
      <w:marRight w:val="0"/>
      <w:marTop w:val="0"/>
      <w:marBottom w:val="0"/>
      <w:divBdr>
        <w:top w:val="none" w:sz="0" w:space="0" w:color="auto"/>
        <w:left w:val="none" w:sz="0" w:space="0" w:color="auto"/>
        <w:bottom w:val="none" w:sz="0" w:space="0" w:color="auto"/>
        <w:right w:val="none" w:sz="0" w:space="0" w:color="auto"/>
      </w:divBdr>
    </w:div>
    <w:div w:id="1207451530">
      <w:bodyDiv w:val="1"/>
      <w:marLeft w:val="0"/>
      <w:marRight w:val="0"/>
      <w:marTop w:val="0"/>
      <w:marBottom w:val="0"/>
      <w:divBdr>
        <w:top w:val="none" w:sz="0" w:space="0" w:color="auto"/>
        <w:left w:val="none" w:sz="0" w:space="0" w:color="auto"/>
        <w:bottom w:val="none" w:sz="0" w:space="0" w:color="auto"/>
        <w:right w:val="none" w:sz="0" w:space="0" w:color="auto"/>
      </w:divBdr>
    </w:div>
    <w:div w:id="1209492051">
      <w:bodyDiv w:val="1"/>
      <w:marLeft w:val="0"/>
      <w:marRight w:val="0"/>
      <w:marTop w:val="0"/>
      <w:marBottom w:val="0"/>
      <w:divBdr>
        <w:top w:val="none" w:sz="0" w:space="0" w:color="auto"/>
        <w:left w:val="none" w:sz="0" w:space="0" w:color="auto"/>
        <w:bottom w:val="none" w:sz="0" w:space="0" w:color="auto"/>
        <w:right w:val="none" w:sz="0" w:space="0" w:color="auto"/>
      </w:divBdr>
      <w:divsChild>
        <w:div w:id="105196461">
          <w:marLeft w:val="1166"/>
          <w:marRight w:val="0"/>
          <w:marTop w:val="125"/>
          <w:marBottom w:val="0"/>
          <w:divBdr>
            <w:top w:val="none" w:sz="0" w:space="0" w:color="auto"/>
            <w:left w:val="none" w:sz="0" w:space="0" w:color="auto"/>
            <w:bottom w:val="none" w:sz="0" w:space="0" w:color="auto"/>
            <w:right w:val="none" w:sz="0" w:space="0" w:color="auto"/>
          </w:divBdr>
        </w:div>
        <w:div w:id="489490133">
          <w:marLeft w:val="547"/>
          <w:marRight w:val="0"/>
          <w:marTop w:val="144"/>
          <w:marBottom w:val="0"/>
          <w:divBdr>
            <w:top w:val="none" w:sz="0" w:space="0" w:color="auto"/>
            <w:left w:val="none" w:sz="0" w:space="0" w:color="auto"/>
            <w:bottom w:val="none" w:sz="0" w:space="0" w:color="auto"/>
            <w:right w:val="none" w:sz="0" w:space="0" w:color="auto"/>
          </w:divBdr>
        </w:div>
        <w:div w:id="544682783">
          <w:marLeft w:val="547"/>
          <w:marRight w:val="0"/>
          <w:marTop w:val="144"/>
          <w:marBottom w:val="0"/>
          <w:divBdr>
            <w:top w:val="none" w:sz="0" w:space="0" w:color="auto"/>
            <w:left w:val="none" w:sz="0" w:space="0" w:color="auto"/>
            <w:bottom w:val="none" w:sz="0" w:space="0" w:color="auto"/>
            <w:right w:val="none" w:sz="0" w:space="0" w:color="auto"/>
          </w:divBdr>
        </w:div>
        <w:div w:id="645208079">
          <w:marLeft w:val="1166"/>
          <w:marRight w:val="0"/>
          <w:marTop w:val="125"/>
          <w:marBottom w:val="0"/>
          <w:divBdr>
            <w:top w:val="none" w:sz="0" w:space="0" w:color="auto"/>
            <w:left w:val="none" w:sz="0" w:space="0" w:color="auto"/>
            <w:bottom w:val="none" w:sz="0" w:space="0" w:color="auto"/>
            <w:right w:val="none" w:sz="0" w:space="0" w:color="auto"/>
          </w:divBdr>
        </w:div>
        <w:div w:id="1283457317">
          <w:marLeft w:val="1166"/>
          <w:marRight w:val="0"/>
          <w:marTop w:val="125"/>
          <w:marBottom w:val="0"/>
          <w:divBdr>
            <w:top w:val="none" w:sz="0" w:space="0" w:color="auto"/>
            <w:left w:val="none" w:sz="0" w:space="0" w:color="auto"/>
            <w:bottom w:val="none" w:sz="0" w:space="0" w:color="auto"/>
            <w:right w:val="none" w:sz="0" w:space="0" w:color="auto"/>
          </w:divBdr>
        </w:div>
        <w:div w:id="1690058621">
          <w:marLeft w:val="547"/>
          <w:marRight w:val="0"/>
          <w:marTop w:val="144"/>
          <w:marBottom w:val="0"/>
          <w:divBdr>
            <w:top w:val="none" w:sz="0" w:space="0" w:color="auto"/>
            <w:left w:val="none" w:sz="0" w:space="0" w:color="auto"/>
            <w:bottom w:val="none" w:sz="0" w:space="0" w:color="auto"/>
            <w:right w:val="none" w:sz="0" w:space="0" w:color="auto"/>
          </w:divBdr>
        </w:div>
      </w:divsChild>
    </w:div>
    <w:div w:id="1210650291">
      <w:bodyDiv w:val="1"/>
      <w:marLeft w:val="0"/>
      <w:marRight w:val="0"/>
      <w:marTop w:val="0"/>
      <w:marBottom w:val="0"/>
      <w:divBdr>
        <w:top w:val="none" w:sz="0" w:space="0" w:color="auto"/>
        <w:left w:val="none" w:sz="0" w:space="0" w:color="auto"/>
        <w:bottom w:val="none" w:sz="0" w:space="0" w:color="auto"/>
        <w:right w:val="none" w:sz="0" w:space="0" w:color="auto"/>
      </w:divBdr>
    </w:div>
    <w:div w:id="1211065643">
      <w:bodyDiv w:val="1"/>
      <w:marLeft w:val="0"/>
      <w:marRight w:val="0"/>
      <w:marTop w:val="0"/>
      <w:marBottom w:val="0"/>
      <w:divBdr>
        <w:top w:val="none" w:sz="0" w:space="0" w:color="auto"/>
        <w:left w:val="none" w:sz="0" w:space="0" w:color="auto"/>
        <w:bottom w:val="none" w:sz="0" w:space="0" w:color="auto"/>
        <w:right w:val="none" w:sz="0" w:space="0" w:color="auto"/>
      </w:divBdr>
    </w:div>
    <w:div w:id="1211578006">
      <w:bodyDiv w:val="1"/>
      <w:marLeft w:val="0"/>
      <w:marRight w:val="0"/>
      <w:marTop w:val="0"/>
      <w:marBottom w:val="0"/>
      <w:divBdr>
        <w:top w:val="none" w:sz="0" w:space="0" w:color="auto"/>
        <w:left w:val="none" w:sz="0" w:space="0" w:color="auto"/>
        <w:bottom w:val="none" w:sz="0" w:space="0" w:color="auto"/>
        <w:right w:val="none" w:sz="0" w:space="0" w:color="auto"/>
      </w:divBdr>
    </w:div>
    <w:div w:id="1211646153">
      <w:bodyDiv w:val="1"/>
      <w:marLeft w:val="0"/>
      <w:marRight w:val="0"/>
      <w:marTop w:val="0"/>
      <w:marBottom w:val="0"/>
      <w:divBdr>
        <w:top w:val="none" w:sz="0" w:space="0" w:color="auto"/>
        <w:left w:val="none" w:sz="0" w:space="0" w:color="auto"/>
        <w:bottom w:val="none" w:sz="0" w:space="0" w:color="auto"/>
        <w:right w:val="none" w:sz="0" w:space="0" w:color="auto"/>
      </w:divBdr>
    </w:div>
    <w:div w:id="1211844443">
      <w:bodyDiv w:val="1"/>
      <w:marLeft w:val="0"/>
      <w:marRight w:val="0"/>
      <w:marTop w:val="0"/>
      <w:marBottom w:val="0"/>
      <w:divBdr>
        <w:top w:val="none" w:sz="0" w:space="0" w:color="auto"/>
        <w:left w:val="none" w:sz="0" w:space="0" w:color="auto"/>
        <w:bottom w:val="none" w:sz="0" w:space="0" w:color="auto"/>
        <w:right w:val="none" w:sz="0" w:space="0" w:color="auto"/>
      </w:divBdr>
    </w:div>
    <w:div w:id="1212500348">
      <w:bodyDiv w:val="1"/>
      <w:marLeft w:val="0"/>
      <w:marRight w:val="0"/>
      <w:marTop w:val="0"/>
      <w:marBottom w:val="0"/>
      <w:divBdr>
        <w:top w:val="none" w:sz="0" w:space="0" w:color="auto"/>
        <w:left w:val="none" w:sz="0" w:space="0" w:color="auto"/>
        <w:bottom w:val="none" w:sz="0" w:space="0" w:color="auto"/>
        <w:right w:val="none" w:sz="0" w:space="0" w:color="auto"/>
      </w:divBdr>
    </w:div>
    <w:div w:id="1213231136">
      <w:bodyDiv w:val="1"/>
      <w:marLeft w:val="0"/>
      <w:marRight w:val="0"/>
      <w:marTop w:val="0"/>
      <w:marBottom w:val="0"/>
      <w:divBdr>
        <w:top w:val="none" w:sz="0" w:space="0" w:color="auto"/>
        <w:left w:val="none" w:sz="0" w:space="0" w:color="auto"/>
        <w:bottom w:val="none" w:sz="0" w:space="0" w:color="auto"/>
        <w:right w:val="none" w:sz="0" w:space="0" w:color="auto"/>
      </w:divBdr>
    </w:div>
    <w:div w:id="1213346754">
      <w:bodyDiv w:val="1"/>
      <w:marLeft w:val="0"/>
      <w:marRight w:val="0"/>
      <w:marTop w:val="0"/>
      <w:marBottom w:val="0"/>
      <w:divBdr>
        <w:top w:val="none" w:sz="0" w:space="0" w:color="auto"/>
        <w:left w:val="none" w:sz="0" w:space="0" w:color="auto"/>
        <w:bottom w:val="none" w:sz="0" w:space="0" w:color="auto"/>
        <w:right w:val="none" w:sz="0" w:space="0" w:color="auto"/>
      </w:divBdr>
    </w:div>
    <w:div w:id="1213690130">
      <w:bodyDiv w:val="1"/>
      <w:marLeft w:val="0"/>
      <w:marRight w:val="0"/>
      <w:marTop w:val="0"/>
      <w:marBottom w:val="0"/>
      <w:divBdr>
        <w:top w:val="none" w:sz="0" w:space="0" w:color="auto"/>
        <w:left w:val="none" w:sz="0" w:space="0" w:color="auto"/>
        <w:bottom w:val="none" w:sz="0" w:space="0" w:color="auto"/>
        <w:right w:val="none" w:sz="0" w:space="0" w:color="auto"/>
      </w:divBdr>
    </w:div>
    <w:div w:id="1213729239">
      <w:bodyDiv w:val="1"/>
      <w:marLeft w:val="0"/>
      <w:marRight w:val="0"/>
      <w:marTop w:val="0"/>
      <w:marBottom w:val="0"/>
      <w:divBdr>
        <w:top w:val="none" w:sz="0" w:space="0" w:color="auto"/>
        <w:left w:val="none" w:sz="0" w:space="0" w:color="auto"/>
        <w:bottom w:val="none" w:sz="0" w:space="0" w:color="auto"/>
        <w:right w:val="none" w:sz="0" w:space="0" w:color="auto"/>
      </w:divBdr>
    </w:div>
    <w:div w:id="1213928012">
      <w:bodyDiv w:val="1"/>
      <w:marLeft w:val="0"/>
      <w:marRight w:val="0"/>
      <w:marTop w:val="0"/>
      <w:marBottom w:val="0"/>
      <w:divBdr>
        <w:top w:val="none" w:sz="0" w:space="0" w:color="auto"/>
        <w:left w:val="none" w:sz="0" w:space="0" w:color="auto"/>
        <w:bottom w:val="none" w:sz="0" w:space="0" w:color="auto"/>
        <w:right w:val="none" w:sz="0" w:space="0" w:color="auto"/>
      </w:divBdr>
    </w:div>
    <w:div w:id="1214851281">
      <w:bodyDiv w:val="1"/>
      <w:marLeft w:val="0"/>
      <w:marRight w:val="0"/>
      <w:marTop w:val="0"/>
      <w:marBottom w:val="0"/>
      <w:divBdr>
        <w:top w:val="none" w:sz="0" w:space="0" w:color="auto"/>
        <w:left w:val="none" w:sz="0" w:space="0" w:color="auto"/>
        <w:bottom w:val="none" w:sz="0" w:space="0" w:color="auto"/>
        <w:right w:val="none" w:sz="0" w:space="0" w:color="auto"/>
      </w:divBdr>
    </w:div>
    <w:div w:id="1215001653">
      <w:bodyDiv w:val="1"/>
      <w:marLeft w:val="0"/>
      <w:marRight w:val="0"/>
      <w:marTop w:val="0"/>
      <w:marBottom w:val="0"/>
      <w:divBdr>
        <w:top w:val="none" w:sz="0" w:space="0" w:color="auto"/>
        <w:left w:val="none" w:sz="0" w:space="0" w:color="auto"/>
        <w:bottom w:val="none" w:sz="0" w:space="0" w:color="auto"/>
        <w:right w:val="none" w:sz="0" w:space="0" w:color="auto"/>
      </w:divBdr>
    </w:div>
    <w:div w:id="1215391383">
      <w:bodyDiv w:val="1"/>
      <w:marLeft w:val="0"/>
      <w:marRight w:val="0"/>
      <w:marTop w:val="0"/>
      <w:marBottom w:val="0"/>
      <w:divBdr>
        <w:top w:val="none" w:sz="0" w:space="0" w:color="auto"/>
        <w:left w:val="none" w:sz="0" w:space="0" w:color="auto"/>
        <w:bottom w:val="none" w:sz="0" w:space="0" w:color="auto"/>
        <w:right w:val="none" w:sz="0" w:space="0" w:color="auto"/>
      </w:divBdr>
      <w:divsChild>
        <w:div w:id="34501765">
          <w:marLeft w:val="1166"/>
          <w:marRight w:val="0"/>
          <w:marTop w:val="86"/>
          <w:marBottom w:val="0"/>
          <w:divBdr>
            <w:top w:val="none" w:sz="0" w:space="0" w:color="auto"/>
            <w:left w:val="none" w:sz="0" w:space="0" w:color="auto"/>
            <w:bottom w:val="none" w:sz="0" w:space="0" w:color="auto"/>
            <w:right w:val="none" w:sz="0" w:space="0" w:color="auto"/>
          </w:divBdr>
        </w:div>
        <w:div w:id="262029877">
          <w:marLeft w:val="1166"/>
          <w:marRight w:val="0"/>
          <w:marTop w:val="86"/>
          <w:marBottom w:val="0"/>
          <w:divBdr>
            <w:top w:val="none" w:sz="0" w:space="0" w:color="auto"/>
            <w:left w:val="none" w:sz="0" w:space="0" w:color="auto"/>
            <w:bottom w:val="none" w:sz="0" w:space="0" w:color="auto"/>
            <w:right w:val="none" w:sz="0" w:space="0" w:color="auto"/>
          </w:divBdr>
        </w:div>
        <w:div w:id="279801525">
          <w:marLeft w:val="1166"/>
          <w:marRight w:val="0"/>
          <w:marTop w:val="86"/>
          <w:marBottom w:val="0"/>
          <w:divBdr>
            <w:top w:val="none" w:sz="0" w:space="0" w:color="auto"/>
            <w:left w:val="none" w:sz="0" w:space="0" w:color="auto"/>
            <w:bottom w:val="none" w:sz="0" w:space="0" w:color="auto"/>
            <w:right w:val="none" w:sz="0" w:space="0" w:color="auto"/>
          </w:divBdr>
        </w:div>
        <w:div w:id="312609507">
          <w:marLeft w:val="1166"/>
          <w:marRight w:val="0"/>
          <w:marTop w:val="86"/>
          <w:marBottom w:val="0"/>
          <w:divBdr>
            <w:top w:val="none" w:sz="0" w:space="0" w:color="auto"/>
            <w:left w:val="none" w:sz="0" w:space="0" w:color="auto"/>
            <w:bottom w:val="none" w:sz="0" w:space="0" w:color="auto"/>
            <w:right w:val="none" w:sz="0" w:space="0" w:color="auto"/>
          </w:divBdr>
        </w:div>
        <w:div w:id="418524312">
          <w:marLeft w:val="1800"/>
          <w:marRight w:val="0"/>
          <w:marTop w:val="67"/>
          <w:marBottom w:val="0"/>
          <w:divBdr>
            <w:top w:val="none" w:sz="0" w:space="0" w:color="auto"/>
            <w:left w:val="none" w:sz="0" w:space="0" w:color="auto"/>
            <w:bottom w:val="none" w:sz="0" w:space="0" w:color="auto"/>
            <w:right w:val="none" w:sz="0" w:space="0" w:color="auto"/>
          </w:divBdr>
        </w:div>
        <w:div w:id="502090044">
          <w:marLeft w:val="1166"/>
          <w:marRight w:val="0"/>
          <w:marTop w:val="86"/>
          <w:marBottom w:val="0"/>
          <w:divBdr>
            <w:top w:val="none" w:sz="0" w:space="0" w:color="auto"/>
            <w:left w:val="none" w:sz="0" w:space="0" w:color="auto"/>
            <w:bottom w:val="none" w:sz="0" w:space="0" w:color="auto"/>
            <w:right w:val="none" w:sz="0" w:space="0" w:color="auto"/>
          </w:divBdr>
        </w:div>
        <w:div w:id="597064766">
          <w:marLeft w:val="1800"/>
          <w:marRight w:val="0"/>
          <w:marTop w:val="67"/>
          <w:marBottom w:val="0"/>
          <w:divBdr>
            <w:top w:val="none" w:sz="0" w:space="0" w:color="auto"/>
            <w:left w:val="none" w:sz="0" w:space="0" w:color="auto"/>
            <w:bottom w:val="none" w:sz="0" w:space="0" w:color="auto"/>
            <w:right w:val="none" w:sz="0" w:space="0" w:color="auto"/>
          </w:divBdr>
        </w:div>
        <w:div w:id="1045181273">
          <w:marLeft w:val="1166"/>
          <w:marRight w:val="0"/>
          <w:marTop w:val="86"/>
          <w:marBottom w:val="0"/>
          <w:divBdr>
            <w:top w:val="none" w:sz="0" w:space="0" w:color="auto"/>
            <w:left w:val="none" w:sz="0" w:space="0" w:color="auto"/>
            <w:bottom w:val="none" w:sz="0" w:space="0" w:color="auto"/>
            <w:right w:val="none" w:sz="0" w:space="0" w:color="auto"/>
          </w:divBdr>
        </w:div>
        <w:div w:id="1216968988">
          <w:marLeft w:val="1166"/>
          <w:marRight w:val="0"/>
          <w:marTop w:val="86"/>
          <w:marBottom w:val="0"/>
          <w:divBdr>
            <w:top w:val="none" w:sz="0" w:space="0" w:color="auto"/>
            <w:left w:val="none" w:sz="0" w:space="0" w:color="auto"/>
            <w:bottom w:val="none" w:sz="0" w:space="0" w:color="auto"/>
            <w:right w:val="none" w:sz="0" w:space="0" w:color="auto"/>
          </w:divBdr>
        </w:div>
        <w:div w:id="1276598575">
          <w:marLeft w:val="547"/>
          <w:marRight w:val="0"/>
          <w:marTop w:val="96"/>
          <w:marBottom w:val="0"/>
          <w:divBdr>
            <w:top w:val="none" w:sz="0" w:space="0" w:color="auto"/>
            <w:left w:val="none" w:sz="0" w:space="0" w:color="auto"/>
            <w:bottom w:val="none" w:sz="0" w:space="0" w:color="auto"/>
            <w:right w:val="none" w:sz="0" w:space="0" w:color="auto"/>
          </w:divBdr>
        </w:div>
        <w:div w:id="1454405470">
          <w:marLeft w:val="547"/>
          <w:marRight w:val="0"/>
          <w:marTop w:val="96"/>
          <w:marBottom w:val="0"/>
          <w:divBdr>
            <w:top w:val="none" w:sz="0" w:space="0" w:color="auto"/>
            <w:left w:val="none" w:sz="0" w:space="0" w:color="auto"/>
            <w:bottom w:val="none" w:sz="0" w:space="0" w:color="auto"/>
            <w:right w:val="none" w:sz="0" w:space="0" w:color="auto"/>
          </w:divBdr>
        </w:div>
        <w:div w:id="1515339038">
          <w:marLeft w:val="1166"/>
          <w:marRight w:val="0"/>
          <w:marTop w:val="77"/>
          <w:marBottom w:val="0"/>
          <w:divBdr>
            <w:top w:val="none" w:sz="0" w:space="0" w:color="auto"/>
            <w:left w:val="none" w:sz="0" w:space="0" w:color="auto"/>
            <w:bottom w:val="none" w:sz="0" w:space="0" w:color="auto"/>
            <w:right w:val="none" w:sz="0" w:space="0" w:color="auto"/>
          </w:divBdr>
        </w:div>
        <w:div w:id="1783451732">
          <w:marLeft w:val="547"/>
          <w:marRight w:val="0"/>
          <w:marTop w:val="96"/>
          <w:marBottom w:val="0"/>
          <w:divBdr>
            <w:top w:val="none" w:sz="0" w:space="0" w:color="auto"/>
            <w:left w:val="none" w:sz="0" w:space="0" w:color="auto"/>
            <w:bottom w:val="none" w:sz="0" w:space="0" w:color="auto"/>
            <w:right w:val="none" w:sz="0" w:space="0" w:color="auto"/>
          </w:divBdr>
        </w:div>
      </w:divsChild>
    </w:div>
    <w:div w:id="1215698567">
      <w:bodyDiv w:val="1"/>
      <w:marLeft w:val="0"/>
      <w:marRight w:val="0"/>
      <w:marTop w:val="0"/>
      <w:marBottom w:val="0"/>
      <w:divBdr>
        <w:top w:val="none" w:sz="0" w:space="0" w:color="auto"/>
        <w:left w:val="none" w:sz="0" w:space="0" w:color="auto"/>
        <w:bottom w:val="none" w:sz="0" w:space="0" w:color="auto"/>
        <w:right w:val="none" w:sz="0" w:space="0" w:color="auto"/>
      </w:divBdr>
    </w:div>
    <w:div w:id="1216968308">
      <w:bodyDiv w:val="1"/>
      <w:marLeft w:val="0"/>
      <w:marRight w:val="0"/>
      <w:marTop w:val="0"/>
      <w:marBottom w:val="0"/>
      <w:divBdr>
        <w:top w:val="none" w:sz="0" w:space="0" w:color="auto"/>
        <w:left w:val="none" w:sz="0" w:space="0" w:color="auto"/>
        <w:bottom w:val="none" w:sz="0" w:space="0" w:color="auto"/>
        <w:right w:val="none" w:sz="0" w:space="0" w:color="auto"/>
      </w:divBdr>
    </w:div>
    <w:div w:id="1217204152">
      <w:bodyDiv w:val="1"/>
      <w:marLeft w:val="0"/>
      <w:marRight w:val="0"/>
      <w:marTop w:val="0"/>
      <w:marBottom w:val="0"/>
      <w:divBdr>
        <w:top w:val="none" w:sz="0" w:space="0" w:color="auto"/>
        <w:left w:val="none" w:sz="0" w:space="0" w:color="auto"/>
        <w:bottom w:val="none" w:sz="0" w:space="0" w:color="auto"/>
        <w:right w:val="none" w:sz="0" w:space="0" w:color="auto"/>
      </w:divBdr>
    </w:div>
    <w:div w:id="1217863383">
      <w:bodyDiv w:val="1"/>
      <w:marLeft w:val="0"/>
      <w:marRight w:val="0"/>
      <w:marTop w:val="0"/>
      <w:marBottom w:val="0"/>
      <w:divBdr>
        <w:top w:val="none" w:sz="0" w:space="0" w:color="auto"/>
        <w:left w:val="none" w:sz="0" w:space="0" w:color="auto"/>
        <w:bottom w:val="none" w:sz="0" w:space="0" w:color="auto"/>
        <w:right w:val="none" w:sz="0" w:space="0" w:color="auto"/>
      </w:divBdr>
    </w:div>
    <w:div w:id="1218054094">
      <w:bodyDiv w:val="1"/>
      <w:marLeft w:val="0"/>
      <w:marRight w:val="0"/>
      <w:marTop w:val="0"/>
      <w:marBottom w:val="0"/>
      <w:divBdr>
        <w:top w:val="none" w:sz="0" w:space="0" w:color="auto"/>
        <w:left w:val="none" w:sz="0" w:space="0" w:color="auto"/>
        <w:bottom w:val="none" w:sz="0" w:space="0" w:color="auto"/>
        <w:right w:val="none" w:sz="0" w:space="0" w:color="auto"/>
      </w:divBdr>
    </w:div>
    <w:div w:id="1218126497">
      <w:bodyDiv w:val="1"/>
      <w:marLeft w:val="0"/>
      <w:marRight w:val="0"/>
      <w:marTop w:val="0"/>
      <w:marBottom w:val="0"/>
      <w:divBdr>
        <w:top w:val="none" w:sz="0" w:space="0" w:color="auto"/>
        <w:left w:val="none" w:sz="0" w:space="0" w:color="auto"/>
        <w:bottom w:val="none" w:sz="0" w:space="0" w:color="auto"/>
        <w:right w:val="none" w:sz="0" w:space="0" w:color="auto"/>
      </w:divBdr>
    </w:div>
    <w:div w:id="1218589245">
      <w:bodyDiv w:val="1"/>
      <w:marLeft w:val="0"/>
      <w:marRight w:val="0"/>
      <w:marTop w:val="0"/>
      <w:marBottom w:val="0"/>
      <w:divBdr>
        <w:top w:val="none" w:sz="0" w:space="0" w:color="auto"/>
        <w:left w:val="none" w:sz="0" w:space="0" w:color="auto"/>
        <w:bottom w:val="none" w:sz="0" w:space="0" w:color="auto"/>
        <w:right w:val="none" w:sz="0" w:space="0" w:color="auto"/>
      </w:divBdr>
    </w:div>
    <w:div w:id="1219587663">
      <w:bodyDiv w:val="1"/>
      <w:marLeft w:val="0"/>
      <w:marRight w:val="0"/>
      <w:marTop w:val="0"/>
      <w:marBottom w:val="0"/>
      <w:divBdr>
        <w:top w:val="none" w:sz="0" w:space="0" w:color="auto"/>
        <w:left w:val="none" w:sz="0" w:space="0" w:color="auto"/>
        <w:bottom w:val="none" w:sz="0" w:space="0" w:color="auto"/>
        <w:right w:val="none" w:sz="0" w:space="0" w:color="auto"/>
      </w:divBdr>
      <w:divsChild>
        <w:div w:id="1115172605">
          <w:marLeft w:val="0"/>
          <w:marRight w:val="0"/>
          <w:marTop w:val="0"/>
          <w:marBottom w:val="0"/>
          <w:divBdr>
            <w:top w:val="none" w:sz="0" w:space="0" w:color="auto"/>
            <w:left w:val="none" w:sz="0" w:space="0" w:color="auto"/>
            <w:bottom w:val="none" w:sz="0" w:space="0" w:color="auto"/>
            <w:right w:val="none" w:sz="0" w:space="0" w:color="auto"/>
          </w:divBdr>
          <w:divsChild>
            <w:div w:id="104353994">
              <w:marLeft w:val="0"/>
              <w:marRight w:val="0"/>
              <w:marTop w:val="0"/>
              <w:marBottom w:val="0"/>
              <w:divBdr>
                <w:top w:val="none" w:sz="0" w:space="0" w:color="auto"/>
                <w:left w:val="none" w:sz="0" w:space="0" w:color="auto"/>
                <w:bottom w:val="none" w:sz="0" w:space="0" w:color="auto"/>
                <w:right w:val="none" w:sz="0" w:space="0" w:color="auto"/>
              </w:divBdr>
            </w:div>
            <w:div w:id="238904521">
              <w:marLeft w:val="0"/>
              <w:marRight w:val="0"/>
              <w:marTop w:val="0"/>
              <w:marBottom w:val="0"/>
              <w:divBdr>
                <w:top w:val="none" w:sz="0" w:space="0" w:color="auto"/>
                <w:left w:val="none" w:sz="0" w:space="0" w:color="auto"/>
                <w:bottom w:val="none" w:sz="0" w:space="0" w:color="auto"/>
                <w:right w:val="none" w:sz="0" w:space="0" w:color="auto"/>
              </w:divBdr>
            </w:div>
            <w:div w:id="1202942734">
              <w:marLeft w:val="0"/>
              <w:marRight w:val="0"/>
              <w:marTop w:val="0"/>
              <w:marBottom w:val="0"/>
              <w:divBdr>
                <w:top w:val="none" w:sz="0" w:space="0" w:color="auto"/>
                <w:left w:val="none" w:sz="0" w:space="0" w:color="auto"/>
                <w:bottom w:val="none" w:sz="0" w:space="0" w:color="auto"/>
                <w:right w:val="none" w:sz="0" w:space="0" w:color="auto"/>
              </w:divBdr>
            </w:div>
            <w:div w:id="1274511107">
              <w:marLeft w:val="0"/>
              <w:marRight w:val="0"/>
              <w:marTop w:val="0"/>
              <w:marBottom w:val="0"/>
              <w:divBdr>
                <w:top w:val="none" w:sz="0" w:space="0" w:color="auto"/>
                <w:left w:val="none" w:sz="0" w:space="0" w:color="auto"/>
                <w:bottom w:val="none" w:sz="0" w:space="0" w:color="auto"/>
                <w:right w:val="none" w:sz="0" w:space="0" w:color="auto"/>
              </w:divBdr>
            </w:div>
            <w:div w:id="1347361360">
              <w:marLeft w:val="0"/>
              <w:marRight w:val="0"/>
              <w:marTop w:val="0"/>
              <w:marBottom w:val="0"/>
              <w:divBdr>
                <w:top w:val="none" w:sz="0" w:space="0" w:color="auto"/>
                <w:left w:val="none" w:sz="0" w:space="0" w:color="auto"/>
                <w:bottom w:val="none" w:sz="0" w:space="0" w:color="auto"/>
                <w:right w:val="none" w:sz="0" w:space="0" w:color="auto"/>
              </w:divBdr>
            </w:div>
            <w:div w:id="1352995277">
              <w:marLeft w:val="0"/>
              <w:marRight w:val="0"/>
              <w:marTop w:val="0"/>
              <w:marBottom w:val="0"/>
              <w:divBdr>
                <w:top w:val="none" w:sz="0" w:space="0" w:color="auto"/>
                <w:left w:val="none" w:sz="0" w:space="0" w:color="auto"/>
                <w:bottom w:val="none" w:sz="0" w:space="0" w:color="auto"/>
                <w:right w:val="none" w:sz="0" w:space="0" w:color="auto"/>
              </w:divBdr>
            </w:div>
            <w:div w:id="1804275301">
              <w:marLeft w:val="0"/>
              <w:marRight w:val="0"/>
              <w:marTop w:val="0"/>
              <w:marBottom w:val="0"/>
              <w:divBdr>
                <w:top w:val="none" w:sz="0" w:space="0" w:color="auto"/>
                <w:left w:val="none" w:sz="0" w:space="0" w:color="auto"/>
                <w:bottom w:val="none" w:sz="0" w:space="0" w:color="auto"/>
                <w:right w:val="none" w:sz="0" w:space="0" w:color="auto"/>
              </w:divBdr>
            </w:div>
            <w:div w:id="1934586840">
              <w:marLeft w:val="0"/>
              <w:marRight w:val="0"/>
              <w:marTop w:val="0"/>
              <w:marBottom w:val="0"/>
              <w:divBdr>
                <w:top w:val="none" w:sz="0" w:space="0" w:color="auto"/>
                <w:left w:val="none" w:sz="0" w:space="0" w:color="auto"/>
                <w:bottom w:val="none" w:sz="0" w:space="0" w:color="auto"/>
                <w:right w:val="none" w:sz="0" w:space="0" w:color="auto"/>
              </w:divBdr>
            </w:div>
            <w:div w:id="2028213673">
              <w:marLeft w:val="0"/>
              <w:marRight w:val="0"/>
              <w:marTop w:val="0"/>
              <w:marBottom w:val="0"/>
              <w:divBdr>
                <w:top w:val="none" w:sz="0" w:space="0" w:color="auto"/>
                <w:left w:val="none" w:sz="0" w:space="0" w:color="auto"/>
                <w:bottom w:val="none" w:sz="0" w:space="0" w:color="auto"/>
                <w:right w:val="none" w:sz="0" w:space="0" w:color="auto"/>
              </w:divBdr>
            </w:div>
            <w:div w:id="21410748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19629007">
      <w:bodyDiv w:val="1"/>
      <w:marLeft w:val="0"/>
      <w:marRight w:val="0"/>
      <w:marTop w:val="0"/>
      <w:marBottom w:val="0"/>
      <w:divBdr>
        <w:top w:val="none" w:sz="0" w:space="0" w:color="auto"/>
        <w:left w:val="none" w:sz="0" w:space="0" w:color="auto"/>
        <w:bottom w:val="none" w:sz="0" w:space="0" w:color="auto"/>
        <w:right w:val="none" w:sz="0" w:space="0" w:color="auto"/>
      </w:divBdr>
      <w:divsChild>
        <w:div w:id="554586810">
          <w:marLeft w:val="2966"/>
          <w:marRight w:val="0"/>
          <w:marTop w:val="120"/>
          <w:marBottom w:val="0"/>
          <w:divBdr>
            <w:top w:val="none" w:sz="0" w:space="0" w:color="auto"/>
            <w:left w:val="none" w:sz="0" w:space="0" w:color="auto"/>
            <w:bottom w:val="none" w:sz="0" w:space="0" w:color="auto"/>
            <w:right w:val="none" w:sz="0" w:space="0" w:color="auto"/>
          </w:divBdr>
        </w:div>
        <w:div w:id="756487615">
          <w:marLeft w:val="2434"/>
          <w:marRight w:val="0"/>
          <w:marTop w:val="120"/>
          <w:marBottom w:val="0"/>
          <w:divBdr>
            <w:top w:val="none" w:sz="0" w:space="0" w:color="auto"/>
            <w:left w:val="none" w:sz="0" w:space="0" w:color="auto"/>
            <w:bottom w:val="none" w:sz="0" w:space="0" w:color="auto"/>
            <w:right w:val="none" w:sz="0" w:space="0" w:color="auto"/>
          </w:divBdr>
        </w:div>
        <w:div w:id="1115755971">
          <w:marLeft w:val="2966"/>
          <w:marRight w:val="0"/>
          <w:marTop w:val="120"/>
          <w:marBottom w:val="0"/>
          <w:divBdr>
            <w:top w:val="none" w:sz="0" w:space="0" w:color="auto"/>
            <w:left w:val="none" w:sz="0" w:space="0" w:color="auto"/>
            <w:bottom w:val="none" w:sz="0" w:space="0" w:color="auto"/>
            <w:right w:val="none" w:sz="0" w:space="0" w:color="auto"/>
          </w:divBdr>
        </w:div>
        <w:div w:id="1971086782">
          <w:marLeft w:val="1354"/>
          <w:marRight w:val="0"/>
          <w:marTop w:val="120"/>
          <w:marBottom w:val="0"/>
          <w:divBdr>
            <w:top w:val="none" w:sz="0" w:space="0" w:color="auto"/>
            <w:left w:val="none" w:sz="0" w:space="0" w:color="auto"/>
            <w:bottom w:val="none" w:sz="0" w:space="0" w:color="auto"/>
            <w:right w:val="none" w:sz="0" w:space="0" w:color="auto"/>
          </w:divBdr>
        </w:div>
        <w:div w:id="2003464789">
          <w:marLeft w:val="1354"/>
          <w:marRight w:val="0"/>
          <w:marTop w:val="120"/>
          <w:marBottom w:val="0"/>
          <w:divBdr>
            <w:top w:val="none" w:sz="0" w:space="0" w:color="auto"/>
            <w:left w:val="none" w:sz="0" w:space="0" w:color="auto"/>
            <w:bottom w:val="none" w:sz="0" w:space="0" w:color="auto"/>
            <w:right w:val="none" w:sz="0" w:space="0" w:color="auto"/>
          </w:divBdr>
        </w:div>
        <w:div w:id="2041974564">
          <w:marLeft w:val="806"/>
          <w:marRight w:val="0"/>
          <w:marTop w:val="120"/>
          <w:marBottom w:val="0"/>
          <w:divBdr>
            <w:top w:val="none" w:sz="0" w:space="0" w:color="auto"/>
            <w:left w:val="none" w:sz="0" w:space="0" w:color="auto"/>
            <w:bottom w:val="none" w:sz="0" w:space="0" w:color="auto"/>
            <w:right w:val="none" w:sz="0" w:space="0" w:color="auto"/>
          </w:divBdr>
        </w:div>
      </w:divsChild>
    </w:div>
    <w:div w:id="1219635098">
      <w:bodyDiv w:val="1"/>
      <w:marLeft w:val="0"/>
      <w:marRight w:val="0"/>
      <w:marTop w:val="0"/>
      <w:marBottom w:val="0"/>
      <w:divBdr>
        <w:top w:val="none" w:sz="0" w:space="0" w:color="auto"/>
        <w:left w:val="none" w:sz="0" w:space="0" w:color="auto"/>
        <w:bottom w:val="none" w:sz="0" w:space="0" w:color="auto"/>
        <w:right w:val="none" w:sz="0" w:space="0" w:color="auto"/>
      </w:divBdr>
    </w:div>
    <w:div w:id="1219897447">
      <w:bodyDiv w:val="1"/>
      <w:marLeft w:val="0"/>
      <w:marRight w:val="0"/>
      <w:marTop w:val="0"/>
      <w:marBottom w:val="0"/>
      <w:divBdr>
        <w:top w:val="none" w:sz="0" w:space="0" w:color="auto"/>
        <w:left w:val="none" w:sz="0" w:space="0" w:color="auto"/>
        <w:bottom w:val="none" w:sz="0" w:space="0" w:color="auto"/>
        <w:right w:val="none" w:sz="0" w:space="0" w:color="auto"/>
      </w:divBdr>
      <w:divsChild>
        <w:div w:id="153106408">
          <w:marLeft w:val="1166"/>
          <w:marRight w:val="0"/>
          <w:marTop w:val="106"/>
          <w:marBottom w:val="0"/>
          <w:divBdr>
            <w:top w:val="none" w:sz="0" w:space="0" w:color="auto"/>
            <w:left w:val="none" w:sz="0" w:space="0" w:color="auto"/>
            <w:bottom w:val="none" w:sz="0" w:space="0" w:color="auto"/>
            <w:right w:val="none" w:sz="0" w:space="0" w:color="auto"/>
          </w:divBdr>
        </w:div>
        <w:div w:id="1308165069">
          <w:marLeft w:val="547"/>
          <w:marRight w:val="0"/>
          <w:marTop w:val="115"/>
          <w:marBottom w:val="0"/>
          <w:divBdr>
            <w:top w:val="none" w:sz="0" w:space="0" w:color="auto"/>
            <w:left w:val="none" w:sz="0" w:space="0" w:color="auto"/>
            <w:bottom w:val="none" w:sz="0" w:space="0" w:color="auto"/>
            <w:right w:val="none" w:sz="0" w:space="0" w:color="auto"/>
          </w:divBdr>
        </w:div>
      </w:divsChild>
    </w:div>
    <w:div w:id="1219976438">
      <w:bodyDiv w:val="1"/>
      <w:marLeft w:val="0"/>
      <w:marRight w:val="0"/>
      <w:marTop w:val="0"/>
      <w:marBottom w:val="0"/>
      <w:divBdr>
        <w:top w:val="none" w:sz="0" w:space="0" w:color="auto"/>
        <w:left w:val="none" w:sz="0" w:space="0" w:color="auto"/>
        <w:bottom w:val="none" w:sz="0" w:space="0" w:color="auto"/>
        <w:right w:val="none" w:sz="0" w:space="0" w:color="auto"/>
      </w:divBdr>
      <w:divsChild>
        <w:div w:id="74783272">
          <w:marLeft w:val="0"/>
          <w:marRight w:val="0"/>
          <w:marTop w:val="0"/>
          <w:marBottom w:val="0"/>
          <w:divBdr>
            <w:top w:val="none" w:sz="0" w:space="0" w:color="auto"/>
            <w:left w:val="none" w:sz="0" w:space="0" w:color="auto"/>
            <w:bottom w:val="none" w:sz="0" w:space="0" w:color="auto"/>
            <w:right w:val="none" w:sz="0" w:space="0" w:color="auto"/>
          </w:divBdr>
        </w:div>
        <w:div w:id="77289788">
          <w:marLeft w:val="0"/>
          <w:marRight w:val="0"/>
          <w:marTop w:val="0"/>
          <w:marBottom w:val="0"/>
          <w:divBdr>
            <w:top w:val="none" w:sz="0" w:space="0" w:color="auto"/>
            <w:left w:val="none" w:sz="0" w:space="0" w:color="auto"/>
            <w:bottom w:val="none" w:sz="0" w:space="0" w:color="auto"/>
            <w:right w:val="none" w:sz="0" w:space="0" w:color="auto"/>
          </w:divBdr>
        </w:div>
        <w:div w:id="137382241">
          <w:marLeft w:val="0"/>
          <w:marRight w:val="0"/>
          <w:marTop w:val="0"/>
          <w:marBottom w:val="0"/>
          <w:divBdr>
            <w:top w:val="none" w:sz="0" w:space="0" w:color="auto"/>
            <w:left w:val="none" w:sz="0" w:space="0" w:color="auto"/>
            <w:bottom w:val="none" w:sz="0" w:space="0" w:color="auto"/>
            <w:right w:val="none" w:sz="0" w:space="0" w:color="auto"/>
          </w:divBdr>
        </w:div>
        <w:div w:id="457604904">
          <w:marLeft w:val="0"/>
          <w:marRight w:val="0"/>
          <w:marTop w:val="0"/>
          <w:marBottom w:val="0"/>
          <w:divBdr>
            <w:top w:val="none" w:sz="0" w:space="0" w:color="auto"/>
            <w:left w:val="none" w:sz="0" w:space="0" w:color="auto"/>
            <w:bottom w:val="none" w:sz="0" w:space="0" w:color="auto"/>
            <w:right w:val="none" w:sz="0" w:space="0" w:color="auto"/>
          </w:divBdr>
        </w:div>
        <w:div w:id="655912714">
          <w:marLeft w:val="0"/>
          <w:marRight w:val="0"/>
          <w:marTop w:val="0"/>
          <w:marBottom w:val="0"/>
          <w:divBdr>
            <w:top w:val="none" w:sz="0" w:space="0" w:color="auto"/>
            <w:left w:val="none" w:sz="0" w:space="0" w:color="auto"/>
            <w:bottom w:val="none" w:sz="0" w:space="0" w:color="auto"/>
            <w:right w:val="none" w:sz="0" w:space="0" w:color="auto"/>
          </w:divBdr>
        </w:div>
        <w:div w:id="700278579">
          <w:marLeft w:val="0"/>
          <w:marRight w:val="0"/>
          <w:marTop w:val="0"/>
          <w:marBottom w:val="0"/>
          <w:divBdr>
            <w:top w:val="none" w:sz="0" w:space="0" w:color="auto"/>
            <w:left w:val="none" w:sz="0" w:space="0" w:color="auto"/>
            <w:bottom w:val="none" w:sz="0" w:space="0" w:color="auto"/>
            <w:right w:val="none" w:sz="0" w:space="0" w:color="auto"/>
          </w:divBdr>
        </w:div>
        <w:div w:id="759641609">
          <w:marLeft w:val="0"/>
          <w:marRight w:val="0"/>
          <w:marTop w:val="0"/>
          <w:marBottom w:val="0"/>
          <w:divBdr>
            <w:top w:val="none" w:sz="0" w:space="0" w:color="auto"/>
            <w:left w:val="none" w:sz="0" w:space="0" w:color="auto"/>
            <w:bottom w:val="none" w:sz="0" w:space="0" w:color="auto"/>
            <w:right w:val="none" w:sz="0" w:space="0" w:color="auto"/>
          </w:divBdr>
        </w:div>
        <w:div w:id="850484336">
          <w:marLeft w:val="0"/>
          <w:marRight w:val="0"/>
          <w:marTop w:val="0"/>
          <w:marBottom w:val="0"/>
          <w:divBdr>
            <w:top w:val="none" w:sz="0" w:space="0" w:color="auto"/>
            <w:left w:val="none" w:sz="0" w:space="0" w:color="auto"/>
            <w:bottom w:val="none" w:sz="0" w:space="0" w:color="auto"/>
            <w:right w:val="none" w:sz="0" w:space="0" w:color="auto"/>
          </w:divBdr>
        </w:div>
        <w:div w:id="862017490">
          <w:marLeft w:val="0"/>
          <w:marRight w:val="0"/>
          <w:marTop w:val="0"/>
          <w:marBottom w:val="0"/>
          <w:divBdr>
            <w:top w:val="none" w:sz="0" w:space="0" w:color="auto"/>
            <w:left w:val="none" w:sz="0" w:space="0" w:color="auto"/>
            <w:bottom w:val="none" w:sz="0" w:space="0" w:color="auto"/>
            <w:right w:val="none" w:sz="0" w:space="0" w:color="auto"/>
          </w:divBdr>
        </w:div>
        <w:div w:id="968361365">
          <w:marLeft w:val="0"/>
          <w:marRight w:val="0"/>
          <w:marTop w:val="0"/>
          <w:marBottom w:val="0"/>
          <w:divBdr>
            <w:top w:val="none" w:sz="0" w:space="0" w:color="auto"/>
            <w:left w:val="none" w:sz="0" w:space="0" w:color="auto"/>
            <w:bottom w:val="none" w:sz="0" w:space="0" w:color="auto"/>
            <w:right w:val="none" w:sz="0" w:space="0" w:color="auto"/>
          </w:divBdr>
        </w:div>
        <w:div w:id="1144587827">
          <w:marLeft w:val="0"/>
          <w:marRight w:val="0"/>
          <w:marTop w:val="0"/>
          <w:marBottom w:val="0"/>
          <w:divBdr>
            <w:top w:val="none" w:sz="0" w:space="0" w:color="auto"/>
            <w:left w:val="none" w:sz="0" w:space="0" w:color="auto"/>
            <w:bottom w:val="none" w:sz="0" w:space="0" w:color="auto"/>
            <w:right w:val="none" w:sz="0" w:space="0" w:color="auto"/>
          </w:divBdr>
        </w:div>
        <w:div w:id="1714424180">
          <w:marLeft w:val="0"/>
          <w:marRight w:val="0"/>
          <w:marTop w:val="0"/>
          <w:marBottom w:val="0"/>
          <w:divBdr>
            <w:top w:val="none" w:sz="0" w:space="0" w:color="auto"/>
            <w:left w:val="none" w:sz="0" w:space="0" w:color="auto"/>
            <w:bottom w:val="none" w:sz="0" w:space="0" w:color="auto"/>
            <w:right w:val="none" w:sz="0" w:space="0" w:color="auto"/>
          </w:divBdr>
        </w:div>
        <w:div w:id="1746295562">
          <w:marLeft w:val="0"/>
          <w:marRight w:val="0"/>
          <w:marTop w:val="0"/>
          <w:marBottom w:val="0"/>
          <w:divBdr>
            <w:top w:val="none" w:sz="0" w:space="0" w:color="auto"/>
            <w:left w:val="none" w:sz="0" w:space="0" w:color="auto"/>
            <w:bottom w:val="none" w:sz="0" w:space="0" w:color="auto"/>
            <w:right w:val="none" w:sz="0" w:space="0" w:color="auto"/>
          </w:divBdr>
        </w:div>
        <w:div w:id="1806969355">
          <w:marLeft w:val="0"/>
          <w:marRight w:val="0"/>
          <w:marTop w:val="0"/>
          <w:marBottom w:val="0"/>
          <w:divBdr>
            <w:top w:val="none" w:sz="0" w:space="0" w:color="auto"/>
            <w:left w:val="none" w:sz="0" w:space="0" w:color="auto"/>
            <w:bottom w:val="none" w:sz="0" w:space="0" w:color="auto"/>
            <w:right w:val="none" w:sz="0" w:space="0" w:color="auto"/>
          </w:divBdr>
        </w:div>
        <w:div w:id="1940216718">
          <w:marLeft w:val="0"/>
          <w:marRight w:val="0"/>
          <w:marTop w:val="0"/>
          <w:marBottom w:val="0"/>
          <w:divBdr>
            <w:top w:val="none" w:sz="0" w:space="0" w:color="auto"/>
            <w:left w:val="none" w:sz="0" w:space="0" w:color="auto"/>
            <w:bottom w:val="none" w:sz="0" w:space="0" w:color="auto"/>
            <w:right w:val="none" w:sz="0" w:space="0" w:color="auto"/>
          </w:divBdr>
        </w:div>
      </w:divsChild>
    </w:div>
    <w:div w:id="1220047613">
      <w:bodyDiv w:val="1"/>
      <w:marLeft w:val="0"/>
      <w:marRight w:val="0"/>
      <w:marTop w:val="0"/>
      <w:marBottom w:val="0"/>
      <w:divBdr>
        <w:top w:val="none" w:sz="0" w:space="0" w:color="auto"/>
        <w:left w:val="none" w:sz="0" w:space="0" w:color="auto"/>
        <w:bottom w:val="none" w:sz="0" w:space="0" w:color="auto"/>
        <w:right w:val="none" w:sz="0" w:space="0" w:color="auto"/>
      </w:divBdr>
    </w:div>
    <w:div w:id="1221087637">
      <w:bodyDiv w:val="1"/>
      <w:marLeft w:val="0"/>
      <w:marRight w:val="0"/>
      <w:marTop w:val="0"/>
      <w:marBottom w:val="0"/>
      <w:divBdr>
        <w:top w:val="none" w:sz="0" w:space="0" w:color="auto"/>
        <w:left w:val="none" w:sz="0" w:space="0" w:color="auto"/>
        <w:bottom w:val="none" w:sz="0" w:space="0" w:color="auto"/>
        <w:right w:val="none" w:sz="0" w:space="0" w:color="auto"/>
      </w:divBdr>
    </w:div>
    <w:div w:id="1222013275">
      <w:bodyDiv w:val="1"/>
      <w:marLeft w:val="0"/>
      <w:marRight w:val="0"/>
      <w:marTop w:val="0"/>
      <w:marBottom w:val="0"/>
      <w:divBdr>
        <w:top w:val="none" w:sz="0" w:space="0" w:color="auto"/>
        <w:left w:val="none" w:sz="0" w:space="0" w:color="auto"/>
        <w:bottom w:val="none" w:sz="0" w:space="0" w:color="auto"/>
        <w:right w:val="none" w:sz="0" w:space="0" w:color="auto"/>
      </w:divBdr>
    </w:div>
    <w:div w:id="1222978612">
      <w:bodyDiv w:val="1"/>
      <w:marLeft w:val="0"/>
      <w:marRight w:val="0"/>
      <w:marTop w:val="0"/>
      <w:marBottom w:val="0"/>
      <w:divBdr>
        <w:top w:val="none" w:sz="0" w:space="0" w:color="auto"/>
        <w:left w:val="none" w:sz="0" w:space="0" w:color="auto"/>
        <w:bottom w:val="none" w:sz="0" w:space="0" w:color="auto"/>
        <w:right w:val="none" w:sz="0" w:space="0" w:color="auto"/>
      </w:divBdr>
      <w:divsChild>
        <w:div w:id="576289642">
          <w:marLeft w:val="547"/>
          <w:marRight w:val="0"/>
          <w:marTop w:val="120"/>
          <w:marBottom w:val="0"/>
          <w:divBdr>
            <w:top w:val="none" w:sz="0" w:space="0" w:color="auto"/>
            <w:left w:val="none" w:sz="0" w:space="0" w:color="auto"/>
            <w:bottom w:val="none" w:sz="0" w:space="0" w:color="auto"/>
            <w:right w:val="none" w:sz="0" w:space="0" w:color="auto"/>
          </w:divBdr>
        </w:div>
      </w:divsChild>
    </w:div>
    <w:div w:id="1223520095">
      <w:bodyDiv w:val="1"/>
      <w:marLeft w:val="0"/>
      <w:marRight w:val="0"/>
      <w:marTop w:val="0"/>
      <w:marBottom w:val="0"/>
      <w:divBdr>
        <w:top w:val="none" w:sz="0" w:space="0" w:color="auto"/>
        <w:left w:val="none" w:sz="0" w:space="0" w:color="auto"/>
        <w:bottom w:val="none" w:sz="0" w:space="0" w:color="auto"/>
        <w:right w:val="none" w:sz="0" w:space="0" w:color="auto"/>
      </w:divBdr>
      <w:divsChild>
        <w:div w:id="94520647">
          <w:marLeft w:val="1800"/>
          <w:marRight w:val="0"/>
          <w:marTop w:val="77"/>
          <w:marBottom w:val="0"/>
          <w:divBdr>
            <w:top w:val="none" w:sz="0" w:space="0" w:color="auto"/>
            <w:left w:val="none" w:sz="0" w:space="0" w:color="auto"/>
            <w:bottom w:val="none" w:sz="0" w:space="0" w:color="auto"/>
            <w:right w:val="none" w:sz="0" w:space="0" w:color="auto"/>
          </w:divBdr>
        </w:div>
        <w:div w:id="1327392744">
          <w:marLeft w:val="1800"/>
          <w:marRight w:val="0"/>
          <w:marTop w:val="77"/>
          <w:marBottom w:val="0"/>
          <w:divBdr>
            <w:top w:val="none" w:sz="0" w:space="0" w:color="auto"/>
            <w:left w:val="none" w:sz="0" w:space="0" w:color="auto"/>
            <w:bottom w:val="none" w:sz="0" w:space="0" w:color="auto"/>
            <w:right w:val="none" w:sz="0" w:space="0" w:color="auto"/>
          </w:divBdr>
        </w:div>
        <w:div w:id="1398018727">
          <w:marLeft w:val="1166"/>
          <w:marRight w:val="0"/>
          <w:marTop w:val="96"/>
          <w:marBottom w:val="0"/>
          <w:divBdr>
            <w:top w:val="none" w:sz="0" w:space="0" w:color="auto"/>
            <w:left w:val="none" w:sz="0" w:space="0" w:color="auto"/>
            <w:bottom w:val="none" w:sz="0" w:space="0" w:color="auto"/>
            <w:right w:val="none" w:sz="0" w:space="0" w:color="auto"/>
          </w:divBdr>
        </w:div>
        <w:div w:id="1843813479">
          <w:marLeft w:val="547"/>
          <w:marRight w:val="0"/>
          <w:marTop w:val="115"/>
          <w:marBottom w:val="0"/>
          <w:divBdr>
            <w:top w:val="none" w:sz="0" w:space="0" w:color="auto"/>
            <w:left w:val="none" w:sz="0" w:space="0" w:color="auto"/>
            <w:bottom w:val="none" w:sz="0" w:space="0" w:color="auto"/>
            <w:right w:val="none" w:sz="0" w:space="0" w:color="auto"/>
          </w:divBdr>
        </w:div>
        <w:div w:id="1844665993">
          <w:marLeft w:val="1800"/>
          <w:marRight w:val="0"/>
          <w:marTop w:val="77"/>
          <w:marBottom w:val="0"/>
          <w:divBdr>
            <w:top w:val="none" w:sz="0" w:space="0" w:color="auto"/>
            <w:left w:val="none" w:sz="0" w:space="0" w:color="auto"/>
            <w:bottom w:val="none" w:sz="0" w:space="0" w:color="auto"/>
            <w:right w:val="none" w:sz="0" w:space="0" w:color="auto"/>
          </w:divBdr>
        </w:div>
      </w:divsChild>
    </w:div>
    <w:div w:id="1223830432">
      <w:bodyDiv w:val="1"/>
      <w:marLeft w:val="0"/>
      <w:marRight w:val="0"/>
      <w:marTop w:val="0"/>
      <w:marBottom w:val="0"/>
      <w:divBdr>
        <w:top w:val="none" w:sz="0" w:space="0" w:color="auto"/>
        <w:left w:val="none" w:sz="0" w:space="0" w:color="auto"/>
        <w:bottom w:val="none" w:sz="0" w:space="0" w:color="auto"/>
        <w:right w:val="none" w:sz="0" w:space="0" w:color="auto"/>
      </w:divBdr>
    </w:div>
    <w:div w:id="1224027621">
      <w:bodyDiv w:val="1"/>
      <w:marLeft w:val="0"/>
      <w:marRight w:val="0"/>
      <w:marTop w:val="0"/>
      <w:marBottom w:val="0"/>
      <w:divBdr>
        <w:top w:val="none" w:sz="0" w:space="0" w:color="auto"/>
        <w:left w:val="none" w:sz="0" w:space="0" w:color="auto"/>
        <w:bottom w:val="none" w:sz="0" w:space="0" w:color="auto"/>
        <w:right w:val="none" w:sz="0" w:space="0" w:color="auto"/>
      </w:divBdr>
      <w:divsChild>
        <w:div w:id="61027747">
          <w:marLeft w:val="547"/>
          <w:marRight w:val="0"/>
          <w:marTop w:val="134"/>
          <w:marBottom w:val="0"/>
          <w:divBdr>
            <w:top w:val="none" w:sz="0" w:space="0" w:color="auto"/>
            <w:left w:val="none" w:sz="0" w:space="0" w:color="auto"/>
            <w:bottom w:val="none" w:sz="0" w:space="0" w:color="auto"/>
            <w:right w:val="none" w:sz="0" w:space="0" w:color="auto"/>
          </w:divBdr>
        </w:div>
        <w:div w:id="63993300">
          <w:marLeft w:val="1166"/>
          <w:marRight w:val="0"/>
          <w:marTop w:val="115"/>
          <w:marBottom w:val="0"/>
          <w:divBdr>
            <w:top w:val="none" w:sz="0" w:space="0" w:color="auto"/>
            <w:left w:val="none" w:sz="0" w:space="0" w:color="auto"/>
            <w:bottom w:val="none" w:sz="0" w:space="0" w:color="auto"/>
            <w:right w:val="none" w:sz="0" w:space="0" w:color="auto"/>
          </w:divBdr>
        </w:div>
        <w:div w:id="343635726">
          <w:marLeft w:val="1800"/>
          <w:marRight w:val="0"/>
          <w:marTop w:val="86"/>
          <w:marBottom w:val="0"/>
          <w:divBdr>
            <w:top w:val="none" w:sz="0" w:space="0" w:color="auto"/>
            <w:left w:val="none" w:sz="0" w:space="0" w:color="auto"/>
            <w:bottom w:val="none" w:sz="0" w:space="0" w:color="auto"/>
            <w:right w:val="none" w:sz="0" w:space="0" w:color="auto"/>
          </w:divBdr>
        </w:div>
        <w:div w:id="377320875">
          <w:marLeft w:val="1800"/>
          <w:marRight w:val="0"/>
          <w:marTop w:val="86"/>
          <w:marBottom w:val="0"/>
          <w:divBdr>
            <w:top w:val="none" w:sz="0" w:space="0" w:color="auto"/>
            <w:left w:val="none" w:sz="0" w:space="0" w:color="auto"/>
            <w:bottom w:val="none" w:sz="0" w:space="0" w:color="auto"/>
            <w:right w:val="none" w:sz="0" w:space="0" w:color="auto"/>
          </w:divBdr>
        </w:div>
        <w:div w:id="451364239">
          <w:marLeft w:val="1166"/>
          <w:marRight w:val="0"/>
          <w:marTop w:val="115"/>
          <w:marBottom w:val="0"/>
          <w:divBdr>
            <w:top w:val="none" w:sz="0" w:space="0" w:color="auto"/>
            <w:left w:val="none" w:sz="0" w:space="0" w:color="auto"/>
            <w:bottom w:val="none" w:sz="0" w:space="0" w:color="auto"/>
            <w:right w:val="none" w:sz="0" w:space="0" w:color="auto"/>
          </w:divBdr>
        </w:div>
        <w:div w:id="830025486">
          <w:marLeft w:val="2520"/>
          <w:marRight w:val="0"/>
          <w:marTop w:val="67"/>
          <w:marBottom w:val="0"/>
          <w:divBdr>
            <w:top w:val="none" w:sz="0" w:space="0" w:color="auto"/>
            <w:left w:val="none" w:sz="0" w:space="0" w:color="auto"/>
            <w:bottom w:val="none" w:sz="0" w:space="0" w:color="auto"/>
            <w:right w:val="none" w:sz="0" w:space="0" w:color="auto"/>
          </w:divBdr>
        </w:div>
        <w:div w:id="1520267710">
          <w:marLeft w:val="1800"/>
          <w:marRight w:val="0"/>
          <w:marTop w:val="86"/>
          <w:marBottom w:val="0"/>
          <w:divBdr>
            <w:top w:val="none" w:sz="0" w:space="0" w:color="auto"/>
            <w:left w:val="none" w:sz="0" w:space="0" w:color="auto"/>
            <w:bottom w:val="none" w:sz="0" w:space="0" w:color="auto"/>
            <w:right w:val="none" w:sz="0" w:space="0" w:color="auto"/>
          </w:divBdr>
        </w:div>
      </w:divsChild>
    </w:div>
    <w:div w:id="1224676431">
      <w:bodyDiv w:val="1"/>
      <w:marLeft w:val="0"/>
      <w:marRight w:val="0"/>
      <w:marTop w:val="0"/>
      <w:marBottom w:val="0"/>
      <w:divBdr>
        <w:top w:val="none" w:sz="0" w:space="0" w:color="auto"/>
        <w:left w:val="none" w:sz="0" w:space="0" w:color="auto"/>
        <w:bottom w:val="none" w:sz="0" w:space="0" w:color="auto"/>
        <w:right w:val="none" w:sz="0" w:space="0" w:color="auto"/>
      </w:divBdr>
    </w:div>
    <w:div w:id="1225677026">
      <w:bodyDiv w:val="1"/>
      <w:marLeft w:val="0"/>
      <w:marRight w:val="0"/>
      <w:marTop w:val="0"/>
      <w:marBottom w:val="0"/>
      <w:divBdr>
        <w:top w:val="none" w:sz="0" w:space="0" w:color="auto"/>
        <w:left w:val="none" w:sz="0" w:space="0" w:color="auto"/>
        <w:bottom w:val="none" w:sz="0" w:space="0" w:color="auto"/>
        <w:right w:val="none" w:sz="0" w:space="0" w:color="auto"/>
      </w:divBdr>
    </w:div>
    <w:div w:id="1226573459">
      <w:bodyDiv w:val="1"/>
      <w:marLeft w:val="0"/>
      <w:marRight w:val="0"/>
      <w:marTop w:val="0"/>
      <w:marBottom w:val="0"/>
      <w:divBdr>
        <w:top w:val="none" w:sz="0" w:space="0" w:color="auto"/>
        <w:left w:val="none" w:sz="0" w:space="0" w:color="auto"/>
        <w:bottom w:val="none" w:sz="0" w:space="0" w:color="auto"/>
        <w:right w:val="none" w:sz="0" w:space="0" w:color="auto"/>
      </w:divBdr>
    </w:div>
    <w:div w:id="1226602681">
      <w:bodyDiv w:val="1"/>
      <w:marLeft w:val="0"/>
      <w:marRight w:val="0"/>
      <w:marTop w:val="0"/>
      <w:marBottom w:val="0"/>
      <w:divBdr>
        <w:top w:val="none" w:sz="0" w:space="0" w:color="auto"/>
        <w:left w:val="none" w:sz="0" w:space="0" w:color="auto"/>
        <w:bottom w:val="none" w:sz="0" w:space="0" w:color="auto"/>
        <w:right w:val="none" w:sz="0" w:space="0" w:color="auto"/>
      </w:divBdr>
    </w:div>
    <w:div w:id="1226838078">
      <w:bodyDiv w:val="1"/>
      <w:marLeft w:val="0"/>
      <w:marRight w:val="0"/>
      <w:marTop w:val="0"/>
      <w:marBottom w:val="0"/>
      <w:divBdr>
        <w:top w:val="none" w:sz="0" w:space="0" w:color="auto"/>
        <w:left w:val="none" w:sz="0" w:space="0" w:color="auto"/>
        <w:bottom w:val="none" w:sz="0" w:space="0" w:color="auto"/>
        <w:right w:val="none" w:sz="0" w:space="0" w:color="auto"/>
      </w:divBdr>
    </w:div>
    <w:div w:id="1227453920">
      <w:bodyDiv w:val="1"/>
      <w:marLeft w:val="0"/>
      <w:marRight w:val="0"/>
      <w:marTop w:val="0"/>
      <w:marBottom w:val="0"/>
      <w:divBdr>
        <w:top w:val="none" w:sz="0" w:space="0" w:color="auto"/>
        <w:left w:val="none" w:sz="0" w:space="0" w:color="auto"/>
        <w:bottom w:val="none" w:sz="0" w:space="0" w:color="auto"/>
        <w:right w:val="none" w:sz="0" w:space="0" w:color="auto"/>
      </w:divBdr>
    </w:div>
    <w:div w:id="1227570707">
      <w:bodyDiv w:val="1"/>
      <w:marLeft w:val="0"/>
      <w:marRight w:val="0"/>
      <w:marTop w:val="0"/>
      <w:marBottom w:val="0"/>
      <w:divBdr>
        <w:top w:val="none" w:sz="0" w:space="0" w:color="auto"/>
        <w:left w:val="none" w:sz="0" w:space="0" w:color="auto"/>
        <w:bottom w:val="none" w:sz="0" w:space="0" w:color="auto"/>
        <w:right w:val="none" w:sz="0" w:space="0" w:color="auto"/>
      </w:divBdr>
      <w:divsChild>
        <w:div w:id="679889624">
          <w:marLeft w:val="547"/>
          <w:marRight w:val="0"/>
          <w:marTop w:val="125"/>
          <w:marBottom w:val="0"/>
          <w:divBdr>
            <w:top w:val="none" w:sz="0" w:space="0" w:color="auto"/>
            <w:left w:val="none" w:sz="0" w:space="0" w:color="auto"/>
            <w:bottom w:val="none" w:sz="0" w:space="0" w:color="auto"/>
            <w:right w:val="none" w:sz="0" w:space="0" w:color="auto"/>
          </w:divBdr>
        </w:div>
        <w:div w:id="1098135597">
          <w:marLeft w:val="547"/>
          <w:marRight w:val="0"/>
          <w:marTop w:val="125"/>
          <w:marBottom w:val="0"/>
          <w:divBdr>
            <w:top w:val="none" w:sz="0" w:space="0" w:color="auto"/>
            <w:left w:val="none" w:sz="0" w:space="0" w:color="auto"/>
            <w:bottom w:val="none" w:sz="0" w:space="0" w:color="auto"/>
            <w:right w:val="none" w:sz="0" w:space="0" w:color="auto"/>
          </w:divBdr>
        </w:div>
        <w:div w:id="1445224577">
          <w:marLeft w:val="1166"/>
          <w:marRight w:val="0"/>
          <w:marTop w:val="106"/>
          <w:marBottom w:val="0"/>
          <w:divBdr>
            <w:top w:val="none" w:sz="0" w:space="0" w:color="auto"/>
            <w:left w:val="none" w:sz="0" w:space="0" w:color="auto"/>
            <w:bottom w:val="none" w:sz="0" w:space="0" w:color="auto"/>
            <w:right w:val="none" w:sz="0" w:space="0" w:color="auto"/>
          </w:divBdr>
        </w:div>
        <w:div w:id="1581133099">
          <w:marLeft w:val="1166"/>
          <w:marRight w:val="0"/>
          <w:marTop w:val="106"/>
          <w:marBottom w:val="0"/>
          <w:divBdr>
            <w:top w:val="none" w:sz="0" w:space="0" w:color="auto"/>
            <w:left w:val="none" w:sz="0" w:space="0" w:color="auto"/>
            <w:bottom w:val="none" w:sz="0" w:space="0" w:color="auto"/>
            <w:right w:val="none" w:sz="0" w:space="0" w:color="auto"/>
          </w:divBdr>
        </w:div>
      </w:divsChild>
    </w:div>
    <w:div w:id="1228685082">
      <w:bodyDiv w:val="1"/>
      <w:marLeft w:val="0"/>
      <w:marRight w:val="0"/>
      <w:marTop w:val="0"/>
      <w:marBottom w:val="0"/>
      <w:divBdr>
        <w:top w:val="none" w:sz="0" w:space="0" w:color="auto"/>
        <w:left w:val="none" w:sz="0" w:space="0" w:color="auto"/>
        <w:bottom w:val="none" w:sz="0" w:space="0" w:color="auto"/>
        <w:right w:val="none" w:sz="0" w:space="0" w:color="auto"/>
      </w:divBdr>
    </w:div>
    <w:div w:id="1229264752">
      <w:bodyDiv w:val="1"/>
      <w:marLeft w:val="0"/>
      <w:marRight w:val="0"/>
      <w:marTop w:val="0"/>
      <w:marBottom w:val="0"/>
      <w:divBdr>
        <w:top w:val="none" w:sz="0" w:space="0" w:color="auto"/>
        <w:left w:val="none" w:sz="0" w:space="0" w:color="auto"/>
        <w:bottom w:val="none" w:sz="0" w:space="0" w:color="auto"/>
        <w:right w:val="none" w:sz="0" w:space="0" w:color="auto"/>
      </w:divBdr>
    </w:div>
    <w:div w:id="1229456838">
      <w:bodyDiv w:val="1"/>
      <w:marLeft w:val="0"/>
      <w:marRight w:val="0"/>
      <w:marTop w:val="0"/>
      <w:marBottom w:val="0"/>
      <w:divBdr>
        <w:top w:val="none" w:sz="0" w:space="0" w:color="auto"/>
        <w:left w:val="none" w:sz="0" w:space="0" w:color="auto"/>
        <w:bottom w:val="none" w:sz="0" w:space="0" w:color="auto"/>
        <w:right w:val="none" w:sz="0" w:space="0" w:color="auto"/>
      </w:divBdr>
    </w:div>
    <w:div w:id="1229653827">
      <w:bodyDiv w:val="1"/>
      <w:marLeft w:val="0"/>
      <w:marRight w:val="0"/>
      <w:marTop w:val="0"/>
      <w:marBottom w:val="0"/>
      <w:divBdr>
        <w:top w:val="none" w:sz="0" w:space="0" w:color="auto"/>
        <w:left w:val="none" w:sz="0" w:space="0" w:color="auto"/>
        <w:bottom w:val="none" w:sz="0" w:space="0" w:color="auto"/>
        <w:right w:val="none" w:sz="0" w:space="0" w:color="auto"/>
      </w:divBdr>
    </w:div>
    <w:div w:id="1230849563">
      <w:bodyDiv w:val="1"/>
      <w:marLeft w:val="0"/>
      <w:marRight w:val="0"/>
      <w:marTop w:val="0"/>
      <w:marBottom w:val="0"/>
      <w:divBdr>
        <w:top w:val="none" w:sz="0" w:space="0" w:color="auto"/>
        <w:left w:val="none" w:sz="0" w:space="0" w:color="auto"/>
        <w:bottom w:val="none" w:sz="0" w:space="0" w:color="auto"/>
        <w:right w:val="none" w:sz="0" w:space="0" w:color="auto"/>
      </w:divBdr>
      <w:divsChild>
        <w:div w:id="230577063">
          <w:marLeft w:val="1166"/>
          <w:marRight w:val="0"/>
          <w:marTop w:val="134"/>
          <w:marBottom w:val="0"/>
          <w:divBdr>
            <w:top w:val="none" w:sz="0" w:space="0" w:color="auto"/>
            <w:left w:val="none" w:sz="0" w:space="0" w:color="auto"/>
            <w:bottom w:val="none" w:sz="0" w:space="0" w:color="auto"/>
            <w:right w:val="none" w:sz="0" w:space="0" w:color="auto"/>
          </w:divBdr>
        </w:div>
        <w:div w:id="1609459170">
          <w:marLeft w:val="547"/>
          <w:marRight w:val="0"/>
          <w:marTop w:val="154"/>
          <w:marBottom w:val="0"/>
          <w:divBdr>
            <w:top w:val="none" w:sz="0" w:space="0" w:color="auto"/>
            <w:left w:val="none" w:sz="0" w:space="0" w:color="auto"/>
            <w:bottom w:val="none" w:sz="0" w:space="0" w:color="auto"/>
            <w:right w:val="none" w:sz="0" w:space="0" w:color="auto"/>
          </w:divBdr>
        </w:div>
        <w:div w:id="1621105731">
          <w:marLeft w:val="1166"/>
          <w:marRight w:val="0"/>
          <w:marTop w:val="134"/>
          <w:marBottom w:val="0"/>
          <w:divBdr>
            <w:top w:val="none" w:sz="0" w:space="0" w:color="auto"/>
            <w:left w:val="none" w:sz="0" w:space="0" w:color="auto"/>
            <w:bottom w:val="none" w:sz="0" w:space="0" w:color="auto"/>
            <w:right w:val="none" w:sz="0" w:space="0" w:color="auto"/>
          </w:divBdr>
        </w:div>
      </w:divsChild>
    </w:div>
    <w:div w:id="1231189597">
      <w:bodyDiv w:val="1"/>
      <w:marLeft w:val="0"/>
      <w:marRight w:val="0"/>
      <w:marTop w:val="0"/>
      <w:marBottom w:val="0"/>
      <w:divBdr>
        <w:top w:val="none" w:sz="0" w:space="0" w:color="auto"/>
        <w:left w:val="none" w:sz="0" w:space="0" w:color="auto"/>
        <w:bottom w:val="none" w:sz="0" w:space="0" w:color="auto"/>
        <w:right w:val="none" w:sz="0" w:space="0" w:color="auto"/>
      </w:divBdr>
    </w:div>
    <w:div w:id="1231698581">
      <w:bodyDiv w:val="1"/>
      <w:marLeft w:val="0"/>
      <w:marRight w:val="0"/>
      <w:marTop w:val="0"/>
      <w:marBottom w:val="0"/>
      <w:divBdr>
        <w:top w:val="none" w:sz="0" w:space="0" w:color="auto"/>
        <w:left w:val="none" w:sz="0" w:space="0" w:color="auto"/>
        <w:bottom w:val="none" w:sz="0" w:space="0" w:color="auto"/>
        <w:right w:val="none" w:sz="0" w:space="0" w:color="auto"/>
      </w:divBdr>
    </w:div>
    <w:div w:id="1232078213">
      <w:bodyDiv w:val="1"/>
      <w:marLeft w:val="0"/>
      <w:marRight w:val="0"/>
      <w:marTop w:val="0"/>
      <w:marBottom w:val="0"/>
      <w:divBdr>
        <w:top w:val="none" w:sz="0" w:space="0" w:color="auto"/>
        <w:left w:val="none" w:sz="0" w:space="0" w:color="auto"/>
        <w:bottom w:val="none" w:sz="0" w:space="0" w:color="auto"/>
        <w:right w:val="none" w:sz="0" w:space="0" w:color="auto"/>
      </w:divBdr>
      <w:divsChild>
        <w:div w:id="96416188">
          <w:marLeft w:val="2160"/>
          <w:marRight w:val="0"/>
          <w:marTop w:val="0"/>
          <w:marBottom w:val="0"/>
          <w:divBdr>
            <w:top w:val="none" w:sz="0" w:space="0" w:color="auto"/>
            <w:left w:val="none" w:sz="0" w:space="0" w:color="auto"/>
            <w:bottom w:val="none" w:sz="0" w:space="0" w:color="auto"/>
            <w:right w:val="none" w:sz="0" w:space="0" w:color="auto"/>
          </w:divBdr>
        </w:div>
        <w:div w:id="412356271">
          <w:marLeft w:val="720"/>
          <w:marRight w:val="0"/>
          <w:marTop w:val="0"/>
          <w:marBottom w:val="0"/>
          <w:divBdr>
            <w:top w:val="none" w:sz="0" w:space="0" w:color="auto"/>
            <w:left w:val="none" w:sz="0" w:space="0" w:color="auto"/>
            <w:bottom w:val="none" w:sz="0" w:space="0" w:color="auto"/>
            <w:right w:val="none" w:sz="0" w:space="0" w:color="auto"/>
          </w:divBdr>
        </w:div>
        <w:div w:id="696539691">
          <w:marLeft w:val="2160"/>
          <w:marRight w:val="0"/>
          <w:marTop w:val="0"/>
          <w:marBottom w:val="0"/>
          <w:divBdr>
            <w:top w:val="none" w:sz="0" w:space="0" w:color="auto"/>
            <w:left w:val="none" w:sz="0" w:space="0" w:color="auto"/>
            <w:bottom w:val="none" w:sz="0" w:space="0" w:color="auto"/>
            <w:right w:val="none" w:sz="0" w:space="0" w:color="auto"/>
          </w:divBdr>
        </w:div>
        <w:div w:id="1488014380">
          <w:marLeft w:val="2160"/>
          <w:marRight w:val="0"/>
          <w:marTop w:val="0"/>
          <w:marBottom w:val="0"/>
          <w:divBdr>
            <w:top w:val="none" w:sz="0" w:space="0" w:color="auto"/>
            <w:left w:val="none" w:sz="0" w:space="0" w:color="auto"/>
            <w:bottom w:val="none" w:sz="0" w:space="0" w:color="auto"/>
            <w:right w:val="none" w:sz="0" w:space="0" w:color="auto"/>
          </w:divBdr>
        </w:div>
        <w:div w:id="1723363542">
          <w:marLeft w:val="1440"/>
          <w:marRight w:val="0"/>
          <w:marTop w:val="0"/>
          <w:marBottom w:val="0"/>
          <w:divBdr>
            <w:top w:val="none" w:sz="0" w:space="0" w:color="auto"/>
            <w:left w:val="none" w:sz="0" w:space="0" w:color="auto"/>
            <w:bottom w:val="none" w:sz="0" w:space="0" w:color="auto"/>
            <w:right w:val="none" w:sz="0" w:space="0" w:color="auto"/>
          </w:divBdr>
        </w:div>
        <w:div w:id="1830974446">
          <w:marLeft w:val="1440"/>
          <w:marRight w:val="0"/>
          <w:marTop w:val="0"/>
          <w:marBottom w:val="0"/>
          <w:divBdr>
            <w:top w:val="none" w:sz="0" w:space="0" w:color="auto"/>
            <w:left w:val="none" w:sz="0" w:space="0" w:color="auto"/>
            <w:bottom w:val="none" w:sz="0" w:space="0" w:color="auto"/>
            <w:right w:val="none" w:sz="0" w:space="0" w:color="auto"/>
          </w:divBdr>
        </w:div>
        <w:div w:id="2120640420">
          <w:marLeft w:val="2160"/>
          <w:marRight w:val="0"/>
          <w:marTop w:val="0"/>
          <w:marBottom w:val="0"/>
          <w:divBdr>
            <w:top w:val="none" w:sz="0" w:space="0" w:color="auto"/>
            <w:left w:val="none" w:sz="0" w:space="0" w:color="auto"/>
            <w:bottom w:val="none" w:sz="0" w:space="0" w:color="auto"/>
            <w:right w:val="none" w:sz="0" w:space="0" w:color="auto"/>
          </w:divBdr>
        </w:div>
      </w:divsChild>
    </w:div>
    <w:div w:id="1233539865">
      <w:bodyDiv w:val="1"/>
      <w:marLeft w:val="0"/>
      <w:marRight w:val="0"/>
      <w:marTop w:val="0"/>
      <w:marBottom w:val="0"/>
      <w:divBdr>
        <w:top w:val="none" w:sz="0" w:space="0" w:color="auto"/>
        <w:left w:val="none" w:sz="0" w:space="0" w:color="auto"/>
        <w:bottom w:val="none" w:sz="0" w:space="0" w:color="auto"/>
        <w:right w:val="none" w:sz="0" w:space="0" w:color="auto"/>
      </w:divBdr>
    </w:div>
    <w:div w:id="1233736512">
      <w:bodyDiv w:val="1"/>
      <w:marLeft w:val="0"/>
      <w:marRight w:val="0"/>
      <w:marTop w:val="0"/>
      <w:marBottom w:val="0"/>
      <w:divBdr>
        <w:top w:val="none" w:sz="0" w:space="0" w:color="auto"/>
        <w:left w:val="none" w:sz="0" w:space="0" w:color="auto"/>
        <w:bottom w:val="none" w:sz="0" w:space="0" w:color="auto"/>
        <w:right w:val="none" w:sz="0" w:space="0" w:color="auto"/>
      </w:divBdr>
    </w:div>
    <w:div w:id="1233808150">
      <w:bodyDiv w:val="1"/>
      <w:marLeft w:val="0"/>
      <w:marRight w:val="0"/>
      <w:marTop w:val="0"/>
      <w:marBottom w:val="0"/>
      <w:divBdr>
        <w:top w:val="none" w:sz="0" w:space="0" w:color="auto"/>
        <w:left w:val="none" w:sz="0" w:space="0" w:color="auto"/>
        <w:bottom w:val="none" w:sz="0" w:space="0" w:color="auto"/>
        <w:right w:val="none" w:sz="0" w:space="0" w:color="auto"/>
      </w:divBdr>
    </w:div>
    <w:div w:id="1233933714">
      <w:bodyDiv w:val="1"/>
      <w:marLeft w:val="0"/>
      <w:marRight w:val="0"/>
      <w:marTop w:val="0"/>
      <w:marBottom w:val="0"/>
      <w:divBdr>
        <w:top w:val="none" w:sz="0" w:space="0" w:color="auto"/>
        <w:left w:val="none" w:sz="0" w:space="0" w:color="auto"/>
        <w:bottom w:val="none" w:sz="0" w:space="0" w:color="auto"/>
        <w:right w:val="none" w:sz="0" w:space="0" w:color="auto"/>
      </w:divBdr>
    </w:div>
    <w:div w:id="1235890200">
      <w:bodyDiv w:val="1"/>
      <w:marLeft w:val="0"/>
      <w:marRight w:val="0"/>
      <w:marTop w:val="0"/>
      <w:marBottom w:val="0"/>
      <w:divBdr>
        <w:top w:val="none" w:sz="0" w:space="0" w:color="auto"/>
        <w:left w:val="none" w:sz="0" w:space="0" w:color="auto"/>
        <w:bottom w:val="none" w:sz="0" w:space="0" w:color="auto"/>
        <w:right w:val="none" w:sz="0" w:space="0" w:color="auto"/>
      </w:divBdr>
    </w:div>
    <w:div w:id="1236743875">
      <w:bodyDiv w:val="1"/>
      <w:marLeft w:val="0"/>
      <w:marRight w:val="0"/>
      <w:marTop w:val="0"/>
      <w:marBottom w:val="0"/>
      <w:divBdr>
        <w:top w:val="none" w:sz="0" w:space="0" w:color="auto"/>
        <w:left w:val="none" w:sz="0" w:space="0" w:color="auto"/>
        <w:bottom w:val="none" w:sz="0" w:space="0" w:color="auto"/>
        <w:right w:val="none" w:sz="0" w:space="0" w:color="auto"/>
      </w:divBdr>
    </w:div>
    <w:div w:id="1236821330">
      <w:bodyDiv w:val="1"/>
      <w:marLeft w:val="0"/>
      <w:marRight w:val="0"/>
      <w:marTop w:val="0"/>
      <w:marBottom w:val="0"/>
      <w:divBdr>
        <w:top w:val="none" w:sz="0" w:space="0" w:color="auto"/>
        <w:left w:val="none" w:sz="0" w:space="0" w:color="auto"/>
        <w:bottom w:val="none" w:sz="0" w:space="0" w:color="auto"/>
        <w:right w:val="none" w:sz="0" w:space="0" w:color="auto"/>
      </w:divBdr>
    </w:div>
    <w:div w:id="1238326353">
      <w:bodyDiv w:val="1"/>
      <w:marLeft w:val="0"/>
      <w:marRight w:val="0"/>
      <w:marTop w:val="0"/>
      <w:marBottom w:val="0"/>
      <w:divBdr>
        <w:top w:val="none" w:sz="0" w:space="0" w:color="auto"/>
        <w:left w:val="none" w:sz="0" w:space="0" w:color="auto"/>
        <w:bottom w:val="none" w:sz="0" w:space="0" w:color="auto"/>
        <w:right w:val="none" w:sz="0" w:space="0" w:color="auto"/>
      </w:divBdr>
    </w:div>
    <w:div w:id="1238711144">
      <w:bodyDiv w:val="1"/>
      <w:marLeft w:val="0"/>
      <w:marRight w:val="0"/>
      <w:marTop w:val="0"/>
      <w:marBottom w:val="0"/>
      <w:divBdr>
        <w:top w:val="none" w:sz="0" w:space="0" w:color="auto"/>
        <w:left w:val="none" w:sz="0" w:space="0" w:color="auto"/>
        <w:bottom w:val="none" w:sz="0" w:space="0" w:color="auto"/>
        <w:right w:val="none" w:sz="0" w:space="0" w:color="auto"/>
      </w:divBdr>
    </w:div>
    <w:div w:id="1239436944">
      <w:bodyDiv w:val="1"/>
      <w:marLeft w:val="0"/>
      <w:marRight w:val="0"/>
      <w:marTop w:val="0"/>
      <w:marBottom w:val="0"/>
      <w:divBdr>
        <w:top w:val="none" w:sz="0" w:space="0" w:color="auto"/>
        <w:left w:val="none" w:sz="0" w:space="0" w:color="auto"/>
        <w:bottom w:val="none" w:sz="0" w:space="0" w:color="auto"/>
        <w:right w:val="none" w:sz="0" w:space="0" w:color="auto"/>
      </w:divBdr>
    </w:div>
    <w:div w:id="1239707060">
      <w:bodyDiv w:val="1"/>
      <w:marLeft w:val="0"/>
      <w:marRight w:val="0"/>
      <w:marTop w:val="0"/>
      <w:marBottom w:val="0"/>
      <w:divBdr>
        <w:top w:val="none" w:sz="0" w:space="0" w:color="auto"/>
        <w:left w:val="none" w:sz="0" w:space="0" w:color="auto"/>
        <w:bottom w:val="none" w:sz="0" w:space="0" w:color="auto"/>
        <w:right w:val="none" w:sz="0" w:space="0" w:color="auto"/>
      </w:divBdr>
    </w:div>
    <w:div w:id="1239944362">
      <w:bodyDiv w:val="1"/>
      <w:marLeft w:val="0"/>
      <w:marRight w:val="0"/>
      <w:marTop w:val="0"/>
      <w:marBottom w:val="0"/>
      <w:divBdr>
        <w:top w:val="none" w:sz="0" w:space="0" w:color="auto"/>
        <w:left w:val="none" w:sz="0" w:space="0" w:color="auto"/>
        <w:bottom w:val="none" w:sz="0" w:space="0" w:color="auto"/>
        <w:right w:val="none" w:sz="0" w:space="0" w:color="auto"/>
      </w:divBdr>
    </w:div>
    <w:div w:id="1240363275">
      <w:bodyDiv w:val="1"/>
      <w:marLeft w:val="0"/>
      <w:marRight w:val="0"/>
      <w:marTop w:val="0"/>
      <w:marBottom w:val="0"/>
      <w:divBdr>
        <w:top w:val="none" w:sz="0" w:space="0" w:color="auto"/>
        <w:left w:val="none" w:sz="0" w:space="0" w:color="auto"/>
        <w:bottom w:val="none" w:sz="0" w:space="0" w:color="auto"/>
        <w:right w:val="none" w:sz="0" w:space="0" w:color="auto"/>
      </w:divBdr>
    </w:div>
    <w:div w:id="1242106869">
      <w:bodyDiv w:val="1"/>
      <w:marLeft w:val="0"/>
      <w:marRight w:val="0"/>
      <w:marTop w:val="0"/>
      <w:marBottom w:val="0"/>
      <w:divBdr>
        <w:top w:val="none" w:sz="0" w:space="0" w:color="auto"/>
        <w:left w:val="none" w:sz="0" w:space="0" w:color="auto"/>
        <w:bottom w:val="none" w:sz="0" w:space="0" w:color="auto"/>
        <w:right w:val="none" w:sz="0" w:space="0" w:color="auto"/>
      </w:divBdr>
      <w:divsChild>
        <w:div w:id="310909609">
          <w:marLeft w:val="1080"/>
          <w:marRight w:val="0"/>
          <w:marTop w:val="100"/>
          <w:marBottom w:val="0"/>
          <w:divBdr>
            <w:top w:val="none" w:sz="0" w:space="0" w:color="auto"/>
            <w:left w:val="none" w:sz="0" w:space="0" w:color="auto"/>
            <w:bottom w:val="none" w:sz="0" w:space="0" w:color="auto"/>
            <w:right w:val="none" w:sz="0" w:space="0" w:color="auto"/>
          </w:divBdr>
        </w:div>
        <w:div w:id="399602823">
          <w:marLeft w:val="1080"/>
          <w:marRight w:val="0"/>
          <w:marTop w:val="100"/>
          <w:marBottom w:val="0"/>
          <w:divBdr>
            <w:top w:val="none" w:sz="0" w:space="0" w:color="auto"/>
            <w:left w:val="none" w:sz="0" w:space="0" w:color="auto"/>
            <w:bottom w:val="none" w:sz="0" w:space="0" w:color="auto"/>
            <w:right w:val="none" w:sz="0" w:space="0" w:color="auto"/>
          </w:divBdr>
        </w:div>
        <w:div w:id="862792584">
          <w:marLeft w:val="1080"/>
          <w:marRight w:val="0"/>
          <w:marTop w:val="100"/>
          <w:marBottom w:val="0"/>
          <w:divBdr>
            <w:top w:val="none" w:sz="0" w:space="0" w:color="auto"/>
            <w:left w:val="none" w:sz="0" w:space="0" w:color="auto"/>
            <w:bottom w:val="none" w:sz="0" w:space="0" w:color="auto"/>
            <w:right w:val="none" w:sz="0" w:space="0" w:color="auto"/>
          </w:divBdr>
        </w:div>
        <w:div w:id="944310371">
          <w:marLeft w:val="1080"/>
          <w:marRight w:val="0"/>
          <w:marTop w:val="100"/>
          <w:marBottom w:val="0"/>
          <w:divBdr>
            <w:top w:val="none" w:sz="0" w:space="0" w:color="auto"/>
            <w:left w:val="none" w:sz="0" w:space="0" w:color="auto"/>
            <w:bottom w:val="none" w:sz="0" w:space="0" w:color="auto"/>
            <w:right w:val="none" w:sz="0" w:space="0" w:color="auto"/>
          </w:divBdr>
        </w:div>
        <w:div w:id="1164861182">
          <w:marLeft w:val="1800"/>
          <w:marRight w:val="0"/>
          <w:marTop w:val="100"/>
          <w:marBottom w:val="0"/>
          <w:divBdr>
            <w:top w:val="none" w:sz="0" w:space="0" w:color="auto"/>
            <w:left w:val="none" w:sz="0" w:space="0" w:color="auto"/>
            <w:bottom w:val="none" w:sz="0" w:space="0" w:color="auto"/>
            <w:right w:val="none" w:sz="0" w:space="0" w:color="auto"/>
          </w:divBdr>
        </w:div>
        <w:div w:id="1344821115">
          <w:marLeft w:val="1800"/>
          <w:marRight w:val="0"/>
          <w:marTop w:val="100"/>
          <w:marBottom w:val="0"/>
          <w:divBdr>
            <w:top w:val="none" w:sz="0" w:space="0" w:color="auto"/>
            <w:left w:val="none" w:sz="0" w:space="0" w:color="auto"/>
            <w:bottom w:val="none" w:sz="0" w:space="0" w:color="auto"/>
            <w:right w:val="none" w:sz="0" w:space="0" w:color="auto"/>
          </w:divBdr>
        </w:div>
      </w:divsChild>
    </w:div>
    <w:div w:id="1242257917">
      <w:bodyDiv w:val="1"/>
      <w:marLeft w:val="0"/>
      <w:marRight w:val="0"/>
      <w:marTop w:val="0"/>
      <w:marBottom w:val="0"/>
      <w:divBdr>
        <w:top w:val="none" w:sz="0" w:space="0" w:color="auto"/>
        <w:left w:val="none" w:sz="0" w:space="0" w:color="auto"/>
        <w:bottom w:val="none" w:sz="0" w:space="0" w:color="auto"/>
        <w:right w:val="none" w:sz="0" w:space="0" w:color="auto"/>
      </w:divBdr>
    </w:div>
    <w:div w:id="1242789838">
      <w:bodyDiv w:val="1"/>
      <w:marLeft w:val="0"/>
      <w:marRight w:val="0"/>
      <w:marTop w:val="0"/>
      <w:marBottom w:val="0"/>
      <w:divBdr>
        <w:top w:val="none" w:sz="0" w:space="0" w:color="auto"/>
        <w:left w:val="none" w:sz="0" w:space="0" w:color="auto"/>
        <w:bottom w:val="none" w:sz="0" w:space="0" w:color="auto"/>
        <w:right w:val="none" w:sz="0" w:space="0" w:color="auto"/>
      </w:divBdr>
      <w:divsChild>
        <w:div w:id="265508780">
          <w:marLeft w:val="1166"/>
          <w:marRight w:val="0"/>
          <w:marTop w:val="120"/>
          <w:marBottom w:val="120"/>
          <w:divBdr>
            <w:top w:val="none" w:sz="0" w:space="0" w:color="auto"/>
            <w:left w:val="none" w:sz="0" w:space="0" w:color="auto"/>
            <w:bottom w:val="none" w:sz="0" w:space="0" w:color="auto"/>
            <w:right w:val="none" w:sz="0" w:space="0" w:color="auto"/>
          </w:divBdr>
        </w:div>
        <w:div w:id="332338908">
          <w:marLeft w:val="1800"/>
          <w:marRight w:val="0"/>
          <w:marTop w:val="120"/>
          <w:marBottom w:val="120"/>
          <w:divBdr>
            <w:top w:val="none" w:sz="0" w:space="0" w:color="auto"/>
            <w:left w:val="none" w:sz="0" w:space="0" w:color="auto"/>
            <w:bottom w:val="none" w:sz="0" w:space="0" w:color="auto"/>
            <w:right w:val="none" w:sz="0" w:space="0" w:color="auto"/>
          </w:divBdr>
        </w:div>
        <w:div w:id="368651321">
          <w:marLeft w:val="1800"/>
          <w:marRight w:val="0"/>
          <w:marTop w:val="120"/>
          <w:marBottom w:val="120"/>
          <w:divBdr>
            <w:top w:val="none" w:sz="0" w:space="0" w:color="auto"/>
            <w:left w:val="none" w:sz="0" w:space="0" w:color="auto"/>
            <w:bottom w:val="none" w:sz="0" w:space="0" w:color="auto"/>
            <w:right w:val="none" w:sz="0" w:space="0" w:color="auto"/>
          </w:divBdr>
        </w:div>
        <w:div w:id="709762266">
          <w:marLeft w:val="1800"/>
          <w:marRight w:val="0"/>
          <w:marTop w:val="120"/>
          <w:marBottom w:val="120"/>
          <w:divBdr>
            <w:top w:val="none" w:sz="0" w:space="0" w:color="auto"/>
            <w:left w:val="none" w:sz="0" w:space="0" w:color="auto"/>
            <w:bottom w:val="none" w:sz="0" w:space="0" w:color="auto"/>
            <w:right w:val="none" w:sz="0" w:space="0" w:color="auto"/>
          </w:divBdr>
        </w:div>
        <w:div w:id="725570858">
          <w:marLeft w:val="1800"/>
          <w:marRight w:val="0"/>
          <w:marTop w:val="120"/>
          <w:marBottom w:val="120"/>
          <w:divBdr>
            <w:top w:val="none" w:sz="0" w:space="0" w:color="auto"/>
            <w:left w:val="none" w:sz="0" w:space="0" w:color="auto"/>
            <w:bottom w:val="none" w:sz="0" w:space="0" w:color="auto"/>
            <w:right w:val="none" w:sz="0" w:space="0" w:color="auto"/>
          </w:divBdr>
        </w:div>
        <w:div w:id="1077284541">
          <w:marLeft w:val="547"/>
          <w:marRight w:val="0"/>
          <w:marTop w:val="120"/>
          <w:marBottom w:val="120"/>
          <w:divBdr>
            <w:top w:val="none" w:sz="0" w:space="0" w:color="auto"/>
            <w:left w:val="none" w:sz="0" w:space="0" w:color="auto"/>
            <w:bottom w:val="none" w:sz="0" w:space="0" w:color="auto"/>
            <w:right w:val="none" w:sz="0" w:space="0" w:color="auto"/>
          </w:divBdr>
        </w:div>
        <w:div w:id="1175847327">
          <w:marLeft w:val="1800"/>
          <w:marRight w:val="0"/>
          <w:marTop w:val="120"/>
          <w:marBottom w:val="120"/>
          <w:divBdr>
            <w:top w:val="none" w:sz="0" w:space="0" w:color="auto"/>
            <w:left w:val="none" w:sz="0" w:space="0" w:color="auto"/>
            <w:bottom w:val="none" w:sz="0" w:space="0" w:color="auto"/>
            <w:right w:val="none" w:sz="0" w:space="0" w:color="auto"/>
          </w:divBdr>
        </w:div>
        <w:div w:id="1437676226">
          <w:marLeft w:val="1166"/>
          <w:marRight w:val="0"/>
          <w:marTop w:val="120"/>
          <w:marBottom w:val="120"/>
          <w:divBdr>
            <w:top w:val="none" w:sz="0" w:space="0" w:color="auto"/>
            <w:left w:val="none" w:sz="0" w:space="0" w:color="auto"/>
            <w:bottom w:val="none" w:sz="0" w:space="0" w:color="auto"/>
            <w:right w:val="none" w:sz="0" w:space="0" w:color="auto"/>
          </w:divBdr>
        </w:div>
        <w:div w:id="1446146747">
          <w:marLeft w:val="1166"/>
          <w:marRight w:val="0"/>
          <w:marTop w:val="120"/>
          <w:marBottom w:val="120"/>
          <w:divBdr>
            <w:top w:val="none" w:sz="0" w:space="0" w:color="auto"/>
            <w:left w:val="none" w:sz="0" w:space="0" w:color="auto"/>
            <w:bottom w:val="none" w:sz="0" w:space="0" w:color="auto"/>
            <w:right w:val="none" w:sz="0" w:space="0" w:color="auto"/>
          </w:divBdr>
        </w:div>
        <w:div w:id="1527983109">
          <w:marLeft w:val="1800"/>
          <w:marRight w:val="0"/>
          <w:marTop w:val="120"/>
          <w:marBottom w:val="120"/>
          <w:divBdr>
            <w:top w:val="none" w:sz="0" w:space="0" w:color="auto"/>
            <w:left w:val="none" w:sz="0" w:space="0" w:color="auto"/>
            <w:bottom w:val="none" w:sz="0" w:space="0" w:color="auto"/>
            <w:right w:val="none" w:sz="0" w:space="0" w:color="auto"/>
          </w:divBdr>
        </w:div>
        <w:div w:id="1672751605">
          <w:marLeft w:val="1166"/>
          <w:marRight w:val="0"/>
          <w:marTop w:val="120"/>
          <w:marBottom w:val="120"/>
          <w:divBdr>
            <w:top w:val="none" w:sz="0" w:space="0" w:color="auto"/>
            <w:left w:val="none" w:sz="0" w:space="0" w:color="auto"/>
            <w:bottom w:val="none" w:sz="0" w:space="0" w:color="auto"/>
            <w:right w:val="none" w:sz="0" w:space="0" w:color="auto"/>
          </w:divBdr>
        </w:div>
        <w:div w:id="1768037155">
          <w:marLeft w:val="1800"/>
          <w:marRight w:val="0"/>
          <w:marTop w:val="120"/>
          <w:marBottom w:val="120"/>
          <w:divBdr>
            <w:top w:val="none" w:sz="0" w:space="0" w:color="auto"/>
            <w:left w:val="none" w:sz="0" w:space="0" w:color="auto"/>
            <w:bottom w:val="none" w:sz="0" w:space="0" w:color="auto"/>
            <w:right w:val="none" w:sz="0" w:space="0" w:color="auto"/>
          </w:divBdr>
        </w:div>
        <w:div w:id="2112696963">
          <w:marLeft w:val="1800"/>
          <w:marRight w:val="0"/>
          <w:marTop w:val="120"/>
          <w:marBottom w:val="120"/>
          <w:divBdr>
            <w:top w:val="none" w:sz="0" w:space="0" w:color="auto"/>
            <w:left w:val="none" w:sz="0" w:space="0" w:color="auto"/>
            <w:bottom w:val="none" w:sz="0" w:space="0" w:color="auto"/>
            <w:right w:val="none" w:sz="0" w:space="0" w:color="auto"/>
          </w:divBdr>
        </w:div>
      </w:divsChild>
    </w:div>
    <w:div w:id="1243103765">
      <w:bodyDiv w:val="1"/>
      <w:marLeft w:val="0"/>
      <w:marRight w:val="0"/>
      <w:marTop w:val="0"/>
      <w:marBottom w:val="0"/>
      <w:divBdr>
        <w:top w:val="none" w:sz="0" w:space="0" w:color="auto"/>
        <w:left w:val="none" w:sz="0" w:space="0" w:color="auto"/>
        <w:bottom w:val="none" w:sz="0" w:space="0" w:color="auto"/>
        <w:right w:val="none" w:sz="0" w:space="0" w:color="auto"/>
      </w:divBdr>
    </w:div>
    <w:div w:id="1243758104">
      <w:bodyDiv w:val="1"/>
      <w:marLeft w:val="0"/>
      <w:marRight w:val="0"/>
      <w:marTop w:val="0"/>
      <w:marBottom w:val="0"/>
      <w:divBdr>
        <w:top w:val="none" w:sz="0" w:space="0" w:color="auto"/>
        <w:left w:val="none" w:sz="0" w:space="0" w:color="auto"/>
        <w:bottom w:val="none" w:sz="0" w:space="0" w:color="auto"/>
        <w:right w:val="none" w:sz="0" w:space="0" w:color="auto"/>
      </w:divBdr>
    </w:div>
    <w:div w:id="1245140060">
      <w:bodyDiv w:val="1"/>
      <w:marLeft w:val="0"/>
      <w:marRight w:val="0"/>
      <w:marTop w:val="0"/>
      <w:marBottom w:val="0"/>
      <w:divBdr>
        <w:top w:val="none" w:sz="0" w:space="0" w:color="auto"/>
        <w:left w:val="none" w:sz="0" w:space="0" w:color="auto"/>
        <w:bottom w:val="none" w:sz="0" w:space="0" w:color="auto"/>
        <w:right w:val="none" w:sz="0" w:space="0" w:color="auto"/>
      </w:divBdr>
    </w:div>
    <w:div w:id="1246257825">
      <w:bodyDiv w:val="1"/>
      <w:marLeft w:val="0"/>
      <w:marRight w:val="0"/>
      <w:marTop w:val="0"/>
      <w:marBottom w:val="0"/>
      <w:divBdr>
        <w:top w:val="none" w:sz="0" w:space="0" w:color="auto"/>
        <w:left w:val="none" w:sz="0" w:space="0" w:color="auto"/>
        <w:bottom w:val="none" w:sz="0" w:space="0" w:color="auto"/>
        <w:right w:val="none" w:sz="0" w:space="0" w:color="auto"/>
      </w:divBdr>
    </w:div>
    <w:div w:id="1246302831">
      <w:bodyDiv w:val="1"/>
      <w:marLeft w:val="0"/>
      <w:marRight w:val="0"/>
      <w:marTop w:val="0"/>
      <w:marBottom w:val="0"/>
      <w:divBdr>
        <w:top w:val="none" w:sz="0" w:space="0" w:color="auto"/>
        <w:left w:val="none" w:sz="0" w:space="0" w:color="auto"/>
        <w:bottom w:val="none" w:sz="0" w:space="0" w:color="auto"/>
        <w:right w:val="none" w:sz="0" w:space="0" w:color="auto"/>
      </w:divBdr>
    </w:div>
    <w:div w:id="1247806725">
      <w:bodyDiv w:val="1"/>
      <w:marLeft w:val="0"/>
      <w:marRight w:val="0"/>
      <w:marTop w:val="0"/>
      <w:marBottom w:val="0"/>
      <w:divBdr>
        <w:top w:val="none" w:sz="0" w:space="0" w:color="auto"/>
        <w:left w:val="none" w:sz="0" w:space="0" w:color="auto"/>
        <w:bottom w:val="none" w:sz="0" w:space="0" w:color="auto"/>
        <w:right w:val="none" w:sz="0" w:space="0" w:color="auto"/>
      </w:divBdr>
    </w:div>
    <w:div w:id="1247960337">
      <w:bodyDiv w:val="1"/>
      <w:marLeft w:val="0"/>
      <w:marRight w:val="0"/>
      <w:marTop w:val="0"/>
      <w:marBottom w:val="0"/>
      <w:divBdr>
        <w:top w:val="none" w:sz="0" w:space="0" w:color="auto"/>
        <w:left w:val="none" w:sz="0" w:space="0" w:color="auto"/>
        <w:bottom w:val="none" w:sz="0" w:space="0" w:color="auto"/>
        <w:right w:val="none" w:sz="0" w:space="0" w:color="auto"/>
      </w:divBdr>
      <w:divsChild>
        <w:div w:id="1869171889">
          <w:marLeft w:val="547"/>
          <w:marRight w:val="0"/>
          <w:marTop w:val="115"/>
          <w:marBottom w:val="0"/>
          <w:divBdr>
            <w:top w:val="none" w:sz="0" w:space="0" w:color="auto"/>
            <w:left w:val="none" w:sz="0" w:space="0" w:color="auto"/>
            <w:bottom w:val="none" w:sz="0" w:space="0" w:color="auto"/>
            <w:right w:val="none" w:sz="0" w:space="0" w:color="auto"/>
          </w:divBdr>
        </w:div>
      </w:divsChild>
    </w:div>
    <w:div w:id="1248535517">
      <w:bodyDiv w:val="1"/>
      <w:marLeft w:val="0"/>
      <w:marRight w:val="0"/>
      <w:marTop w:val="0"/>
      <w:marBottom w:val="0"/>
      <w:divBdr>
        <w:top w:val="none" w:sz="0" w:space="0" w:color="auto"/>
        <w:left w:val="none" w:sz="0" w:space="0" w:color="auto"/>
        <w:bottom w:val="none" w:sz="0" w:space="0" w:color="auto"/>
        <w:right w:val="none" w:sz="0" w:space="0" w:color="auto"/>
      </w:divBdr>
      <w:divsChild>
        <w:div w:id="183982422">
          <w:marLeft w:val="1166"/>
          <w:marRight w:val="0"/>
          <w:marTop w:val="96"/>
          <w:marBottom w:val="0"/>
          <w:divBdr>
            <w:top w:val="none" w:sz="0" w:space="0" w:color="auto"/>
            <w:left w:val="none" w:sz="0" w:space="0" w:color="auto"/>
            <w:bottom w:val="none" w:sz="0" w:space="0" w:color="auto"/>
            <w:right w:val="none" w:sz="0" w:space="0" w:color="auto"/>
          </w:divBdr>
        </w:div>
        <w:div w:id="190076207">
          <w:marLeft w:val="547"/>
          <w:marRight w:val="0"/>
          <w:marTop w:val="96"/>
          <w:marBottom w:val="0"/>
          <w:divBdr>
            <w:top w:val="none" w:sz="0" w:space="0" w:color="auto"/>
            <w:left w:val="none" w:sz="0" w:space="0" w:color="auto"/>
            <w:bottom w:val="none" w:sz="0" w:space="0" w:color="auto"/>
            <w:right w:val="none" w:sz="0" w:space="0" w:color="auto"/>
          </w:divBdr>
        </w:div>
        <w:div w:id="1374844654">
          <w:marLeft w:val="1166"/>
          <w:marRight w:val="0"/>
          <w:marTop w:val="96"/>
          <w:marBottom w:val="0"/>
          <w:divBdr>
            <w:top w:val="none" w:sz="0" w:space="0" w:color="auto"/>
            <w:left w:val="none" w:sz="0" w:space="0" w:color="auto"/>
            <w:bottom w:val="none" w:sz="0" w:space="0" w:color="auto"/>
            <w:right w:val="none" w:sz="0" w:space="0" w:color="auto"/>
          </w:divBdr>
        </w:div>
        <w:div w:id="1864394691">
          <w:marLeft w:val="1166"/>
          <w:marRight w:val="0"/>
          <w:marTop w:val="96"/>
          <w:marBottom w:val="0"/>
          <w:divBdr>
            <w:top w:val="none" w:sz="0" w:space="0" w:color="auto"/>
            <w:left w:val="none" w:sz="0" w:space="0" w:color="auto"/>
            <w:bottom w:val="none" w:sz="0" w:space="0" w:color="auto"/>
            <w:right w:val="none" w:sz="0" w:space="0" w:color="auto"/>
          </w:divBdr>
        </w:div>
        <w:div w:id="2046372295">
          <w:marLeft w:val="1166"/>
          <w:marRight w:val="0"/>
          <w:marTop w:val="96"/>
          <w:marBottom w:val="0"/>
          <w:divBdr>
            <w:top w:val="none" w:sz="0" w:space="0" w:color="auto"/>
            <w:left w:val="none" w:sz="0" w:space="0" w:color="auto"/>
            <w:bottom w:val="none" w:sz="0" w:space="0" w:color="auto"/>
            <w:right w:val="none" w:sz="0" w:space="0" w:color="auto"/>
          </w:divBdr>
        </w:div>
      </w:divsChild>
    </w:div>
    <w:div w:id="1248809104">
      <w:bodyDiv w:val="1"/>
      <w:marLeft w:val="0"/>
      <w:marRight w:val="0"/>
      <w:marTop w:val="0"/>
      <w:marBottom w:val="0"/>
      <w:divBdr>
        <w:top w:val="none" w:sz="0" w:space="0" w:color="auto"/>
        <w:left w:val="none" w:sz="0" w:space="0" w:color="auto"/>
        <w:bottom w:val="none" w:sz="0" w:space="0" w:color="auto"/>
        <w:right w:val="none" w:sz="0" w:space="0" w:color="auto"/>
      </w:divBdr>
      <w:divsChild>
        <w:div w:id="851534280">
          <w:marLeft w:val="547"/>
          <w:marRight w:val="0"/>
          <w:marTop w:val="134"/>
          <w:marBottom w:val="0"/>
          <w:divBdr>
            <w:top w:val="none" w:sz="0" w:space="0" w:color="auto"/>
            <w:left w:val="none" w:sz="0" w:space="0" w:color="auto"/>
            <w:bottom w:val="none" w:sz="0" w:space="0" w:color="auto"/>
            <w:right w:val="none" w:sz="0" w:space="0" w:color="auto"/>
          </w:divBdr>
        </w:div>
      </w:divsChild>
    </w:div>
    <w:div w:id="1250580081">
      <w:bodyDiv w:val="1"/>
      <w:marLeft w:val="0"/>
      <w:marRight w:val="0"/>
      <w:marTop w:val="0"/>
      <w:marBottom w:val="0"/>
      <w:divBdr>
        <w:top w:val="none" w:sz="0" w:space="0" w:color="auto"/>
        <w:left w:val="none" w:sz="0" w:space="0" w:color="auto"/>
        <w:bottom w:val="none" w:sz="0" w:space="0" w:color="auto"/>
        <w:right w:val="none" w:sz="0" w:space="0" w:color="auto"/>
      </w:divBdr>
    </w:div>
    <w:div w:id="1251042096">
      <w:bodyDiv w:val="1"/>
      <w:marLeft w:val="0"/>
      <w:marRight w:val="0"/>
      <w:marTop w:val="0"/>
      <w:marBottom w:val="0"/>
      <w:divBdr>
        <w:top w:val="none" w:sz="0" w:space="0" w:color="auto"/>
        <w:left w:val="none" w:sz="0" w:space="0" w:color="auto"/>
        <w:bottom w:val="none" w:sz="0" w:space="0" w:color="auto"/>
        <w:right w:val="none" w:sz="0" w:space="0" w:color="auto"/>
      </w:divBdr>
    </w:div>
    <w:div w:id="1251086924">
      <w:bodyDiv w:val="1"/>
      <w:marLeft w:val="0"/>
      <w:marRight w:val="0"/>
      <w:marTop w:val="0"/>
      <w:marBottom w:val="0"/>
      <w:divBdr>
        <w:top w:val="none" w:sz="0" w:space="0" w:color="auto"/>
        <w:left w:val="none" w:sz="0" w:space="0" w:color="auto"/>
        <w:bottom w:val="none" w:sz="0" w:space="0" w:color="auto"/>
        <w:right w:val="none" w:sz="0" w:space="0" w:color="auto"/>
      </w:divBdr>
    </w:div>
    <w:div w:id="1251349735">
      <w:bodyDiv w:val="1"/>
      <w:marLeft w:val="0"/>
      <w:marRight w:val="0"/>
      <w:marTop w:val="0"/>
      <w:marBottom w:val="0"/>
      <w:divBdr>
        <w:top w:val="none" w:sz="0" w:space="0" w:color="auto"/>
        <w:left w:val="none" w:sz="0" w:space="0" w:color="auto"/>
        <w:bottom w:val="none" w:sz="0" w:space="0" w:color="auto"/>
        <w:right w:val="none" w:sz="0" w:space="0" w:color="auto"/>
      </w:divBdr>
    </w:div>
    <w:div w:id="1251544431">
      <w:bodyDiv w:val="1"/>
      <w:marLeft w:val="0"/>
      <w:marRight w:val="0"/>
      <w:marTop w:val="0"/>
      <w:marBottom w:val="0"/>
      <w:divBdr>
        <w:top w:val="none" w:sz="0" w:space="0" w:color="auto"/>
        <w:left w:val="none" w:sz="0" w:space="0" w:color="auto"/>
        <w:bottom w:val="none" w:sz="0" w:space="0" w:color="auto"/>
        <w:right w:val="none" w:sz="0" w:space="0" w:color="auto"/>
      </w:divBdr>
    </w:div>
    <w:div w:id="1251769289">
      <w:bodyDiv w:val="1"/>
      <w:marLeft w:val="0"/>
      <w:marRight w:val="0"/>
      <w:marTop w:val="0"/>
      <w:marBottom w:val="0"/>
      <w:divBdr>
        <w:top w:val="none" w:sz="0" w:space="0" w:color="auto"/>
        <w:left w:val="none" w:sz="0" w:space="0" w:color="auto"/>
        <w:bottom w:val="none" w:sz="0" w:space="0" w:color="auto"/>
        <w:right w:val="none" w:sz="0" w:space="0" w:color="auto"/>
      </w:divBdr>
    </w:div>
    <w:div w:id="1251937374">
      <w:bodyDiv w:val="1"/>
      <w:marLeft w:val="0"/>
      <w:marRight w:val="0"/>
      <w:marTop w:val="0"/>
      <w:marBottom w:val="0"/>
      <w:divBdr>
        <w:top w:val="none" w:sz="0" w:space="0" w:color="auto"/>
        <w:left w:val="none" w:sz="0" w:space="0" w:color="auto"/>
        <w:bottom w:val="none" w:sz="0" w:space="0" w:color="auto"/>
        <w:right w:val="none" w:sz="0" w:space="0" w:color="auto"/>
      </w:divBdr>
    </w:div>
    <w:div w:id="1252425369">
      <w:bodyDiv w:val="1"/>
      <w:marLeft w:val="0"/>
      <w:marRight w:val="0"/>
      <w:marTop w:val="0"/>
      <w:marBottom w:val="0"/>
      <w:divBdr>
        <w:top w:val="none" w:sz="0" w:space="0" w:color="auto"/>
        <w:left w:val="none" w:sz="0" w:space="0" w:color="auto"/>
        <w:bottom w:val="none" w:sz="0" w:space="0" w:color="auto"/>
        <w:right w:val="none" w:sz="0" w:space="0" w:color="auto"/>
      </w:divBdr>
    </w:div>
    <w:div w:id="1252934708">
      <w:bodyDiv w:val="1"/>
      <w:marLeft w:val="0"/>
      <w:marRight w:val="0"/>
      <w:marTop w:val="0"/>
      <w:marBottom w:val="0"/>
      <w:divBdr>
        <w:top w:val="none" w:sz="0" w:space="0" w:color="auto"/>
        <w:left w:val="none" w:sz="0" w:space="0" w:color="auto"/>
        <w:bottom w:val="none" w:sz="0" w:space="0" w:color="auto"/>
        <w:right w:val="none" w:sz="0" w:space="0" w:color="auto"/>
      </w:divBdr>
    </w:div>
    <w:div w:id="1253392546">
      <w:bodyDiv w:val="1"/>
      <w:marLeft w:val="0"/>
      <w:marRight w:val="0"/>
      <w:marTop w:val="0"/>
      <w:marBottom w:val="0"/>
      <w:divBdr>
        <w:top w:val="none" w:sz="0" w:space="0" w:color="auto"/>
        <w:left w:val="none" w:sz="0" w:space="0" w:color="auto"/>
        <w:bottom w:val="none" w:sz="0" w:space="0" w:color="auto"/>
        <w:right w:val="none" w:sz="0" w:space="0" w:color="auto"/>
      </w:divBdr>
      <w:divsChild>
        <w:div w:id="592276525">
          <w:marLeft w:val="547"/>
          <w:marRight w:val="0"/>
          <w:marTop w:val="115"/>
          <w:marBottom w:val="0"/>
          <w:divBdr>
            <w:top w:val="none" w:sz="0" w:space="0" w:color="auto"/>
            <w:left w:val="none" w:sz="0" w:space="0" w:color="auto"/>
            <w:bottom w:val="none" w:sz="0" w:space="0" w:color="auto"/>
            <w:right w:val="none" w:sz="0" w:space="0" w:color="auto"/>
          </w:divBdr>
        </w:div>
        <w:div w:id="2072118818">
          <w:marLeft w:val="547"/>
          <w:marRight w:val="0"/>
          <w:marTop w:val="115"/>
          <w:marBottom w:val="0"/>
          <w:divBdr>
            <w:top w:val="none" w:sz="0" w:space="0" w:color="auto"/>
            <w:left w:val="none" w:sz="0" w:space="0" w:color="auto"/>
            <w:bottom w:val="none" w:sz="0" w:space="0" w:color="auto"/>
            <w:right w:val="none" w:sz="0" w:space="0" w:color="auto"/>
          </w:divBdr>
        </w:div>
      </w:divsChild>
    </w:div>
    <w:div w:id="1253468988">
      <w:bodyDiv w:val="1"/>
      <w:marLeft w:val="0"/>
      <w:marRight w:val="0"/>
      <w:marTop w:val="0"/>
      <w:marBottom w:val="0"/>
      <w:divBdr>
        <w:top w:val="none" w:sz="0" w:space="0" w:color="auto"/>
        <w:left w:val="none" w:sz="0" w:space="0" w:color="auto"/>
        <w:bottom w:val="none" w:sz="0" w:space="0" w:color="auto"/>
        <w:right w:val="none" w:sz="0" w:space="0" w:color="auto"/>
      </w:divBdr>
      <w:divsChild>
        <w:div w:id="71854397">
          <w:marLeft w:val="1166"/>
          <w:marRight w:val="0"/>
          <w:marTop w:val="96"/>
          <w:marBottom w:val="0"/>
          <w:divBdr>
            <w:top w:val="none" w:sz="0" w:space="0" w:color="auto"/>
            <w:left w:val="none" w:sz="0" w:space="0" w:color="auto"/>
            <w:bottom w:val="none" w:sz="0" w:space="0" w:color="auto"/>
            <w:right w:val="none" w:sz="0" w:space="0" w:color="auto"/>
          </w:divBdr>
        </w:div>
        <w:div w:id="218517273">
          <w:marLeft w:val="547"/>
          <w:marRight w:val="0"/>
          <w:marTop w:val="115"/>
          <w:marBottom w:val="0"/>
          <w:divBdr>
            <w:top w:val="none" w:sz="0" w:space="0" w:color="auto"/>
            <w:left w:val="none" w:sz="0" w:space="0" w:color="auto"/>
            <w:bottom w:val="none" w:sz="0" w:space="0" w:color="auto"/>
            <w:right w:val="none" w:sz="0" w:space="0" w:color="auto"/>
          </w:divBdr>
        </w:div>
        <w:div w:id="373776396">
          <w:marLeft w:val="547"/>
          <w:marRight w:val="0"/>
          <w:marTop w:val="115"/>
          <w:marBottom w:val="0"/>
          <w:divBdr>
            <w:top w:val="none" w:sz="0" w:space="0" w:color="auto"/>
            <w:left w:val="none" w:sz="0" w:space="0" w:color="auto"/>
            <w:bottom w:val="none" w:sz="0" w:space="0" w:color="auto"/>
            <w:right w:val="none" w:sz="0" w:space="0" w:color="auto"/>
          </w:divBdr>
        </w:div>
        <w:div w:id="596212997">
          <w:marLeft w:val="1166"/>
          <w:marRight w:val="0"/>
          <w:marTop w:val="96"/>
          <w:marBottom w:val="0"/>
          <w:divBdr>
            <w:top w:val="none" w:sz="0" w:space="0" w:color="auto"/>
            <w:left w:val="none" w:sz="0" w:space="0" w:color="auto"/>
            <w:bottom w:val="none" w:sz="0" w:space="0" w:color="auto"/>
            <w:right w:val="none" w:sz="0" w:space="0" w:color="auto"/>
          </w:divBdr>
        </w:div>
        <w:div w:id="919799201">
          <w:marLeft w:val="1166"/>
          <w:marRight w:val="0"/>
          <w:marTop w:val="96"/>
          <w:marBottom w:val="0"/>
          <w:divBdr>
            <w:top w:val="none" w:sz="0" w:space="0" w:color="auto"/>
            <w:left w:val="none" w:sz="0" w:space="0" w:color="auto"/>
            <w:bottom w:val="none" w:sz="0" w:space="0" w:color="auto"/>
            <w:right w:val="none" w:sz="0" w:space="0" w:color="auto"/>
          </w:divBdr>
        </w:div>
        <w:div w:id="1698266394">
          <w:marLeft w:val="547"/>
          <w:marRight w:val="0"/>
          <w:marTop w:val="115"/>
          <w:marBottom w:val="0"/>
          <w:divBdr>
            <w:top w:val="none" w:sz="0" w:space="0" w:color="auto"/>
            <w:left w:val="none" w:sz="0" w:space="0" w:color="auto"/>
            <w:bottom w:val="none" w:sz="0" w:space="0" w:color="auto"/>
            <w:right w:val="none" w:sz="0" w:space="0" w:color="auto"/>
          </w:divBdr>
        </w:div>
      </w:divsChild>
    </w:div>
    <w:div w:id="1253588112">
      <w:bodyDiv w:val="1"/>
      <w:marLeft w:val="0"/>
      <w:marRight w:val="0"/>
      <w:marTop w:val="0"/>
      <w:marBottom w:val="0"/>
      <w:divBdr>
        <w:top w:val="none" w:sz="0" w:space="0" w:color="auto"/>
        <w:left w:val="none" w:sz="0" w:space="0" w:color="auto"/>
        <w:bottom w:val="none" w:sz="0" w:space="0" w:color="auto"/>
        <w:right w:val="none" w:sz="0" w:space="0" w:color="auto"/>
      </w:divBdr>
    </w:div>
    <w:div w:id="1253661643">
      <w:bodyDiv w:val="1"/>
      <w:marLeft w:val="0"/>
      <w:marRight w:val="0"/>
      <w:marTop w:val="0"/>
      <w:marBottom w:val="0"/>
      <w:divBdr>
        <w:top w:val="none" w:sz="0" w:space="0" w:color="auto"/>
        <w:left w:val="none" w:sz="0" w:space="0" w:color="auto"/>
        <w:bottom w:val="none" w:sz="0" w:space="0" w:color="auto"/>
        <w:right w:val="none" w:sz="0" w:space="0" w:color="auto"/>
      </w:divBdr>
    </w:div>
    <w:div w:id="1253734885">
      <w:bodyDiv w:val="1"/>
      <w:marLeft w:val="0"/>
      <w:marRight w:val="0"/>
      <w:marTop w:val="0"/>
      <w:marBottom w:val="0"/>
      <w:divBdr>
        <w:top w:val="none" w:sz="0" w:space="0" w:color="auto"/>
        <w:left w:val="none" w:sz="0" w:space="0" w:color="auto"/>
        <w:bottom w:val="none" w:sz="0" w:space="0" w:color="auto"/>
        <w:right w:val="none" w:sz="0" w:space="0" w:color="auto"/>
      </w:divBdr>
      <w:divsChild>
        <w:div w:id="141387124">
          <w:marLeft w:val="1800"/>
          <w:marRight w:val="0"/>
          <w:marTop w:val="100"/>
          <w:marBottom w:val="0"/>
          <w:divBdr>
            <w:top w:val="none" w:sz="0" w:space="0" w:color="auto"/>
            <w:left w:val="none" w:sz="0" w:space="0" w:color="auto"/>
            <w:bottom w:val="none" w:sz="0" w:space="0" w:color="auto"/>
            <w:right w:val="none" w:sz="0" w:space="0" w:color="auto"/>
          </w:divBdr>
        </w:div>
        <w:div w:id="151600351">
          <w:marLeft w:val="1800"/>
          <w:marRight w:val="0"/>
          <w:marTop w:val="100"/>
          <w:marBottom w:val="0"/>
          <w:divBdr>
            <w:top w:val="none" w:sz="0" w:space="0" w:color="auto"/>
            <w:left w:val="none" w:sz="0" w:space="0" w:color="auto"/>
            <w:bottom w:val="none" w:sz="0" w:space="0" w:color="auto"/>
            <w:right w:val="none" w:sz="0" w:space="0" w:color="auto"/>
          </w:divBdr>
        </w:div>
        <w:div w:id="269439086">
          <w:marLeft w:val="1080"/>
          <w:marRight w:val="0"/>
          <w:marTop w:val="100"/>
          <w:marBottom w:val="0"/>
          <w:divBdr>
            <w:top w:val="none" w:sz="0" w:space="0" w:color="auto"/>
            <w:left w:val="none" w:sz="0" w:space="0" w:color="auto"/>
            <w:bottom w:val="none" w:sz="0" w:space="0" w:color="auto"/>
            <w:right w:val="none" w:sz="0" w:space="0" w:color="auto"/>
          </w:divBdr>
        </w:div>
        <w:div w:id="894511390">
          <w:marLeft w:val="1800"/>
          <w:marRight w:val="0"/>
          <w:marTop w:val="100"/>
          <w:marBottom w:val="0"/>
          <w:divBdr>
            <w:top w:val="none" w:sz="0" w:space="0" w:color="auto"/>
            <w:left w:val="none" w:sz="0" w:space="0" w:color="auto"/>
            <w:bottom w:val="none" w:sz="0" w:space="0" w:color="auto"/>
            <w:right w:val="none" w:sz="0" w:space="0" w:color="auto"/>
          </w:divBdr>
        </w:div>
        <w:div w:id="983126289">
          <w:marLeft w:val="1080"/>
          <w:marRight w:val="0"/>
          <w:marTop w:val="100"/>
          <w:marBottom w:val="0"/>
          <w:divBdr>
            <w:top w:val="none" w:sz="0" w:space="0" w:color="auto"/>
            <w:left w:val="none" w:sz="0" w:space="0" w:color="auto"/>
            <w:bottom w:val="none" w:sz="0" w:space="0" w:color="auto"/>
            <w:right w:val="none" w:sz="0" w:space="0" w:color="auto"/>
          </w:divBdr>
        </w:div>
        <w:div w:id="1097865816">
          <w:marLeft w:val="1080"/>
          <w:marRight w:val="0"/>
          <w:marTop w:val="100"/>
          <w:marBottom w:val="0"/>
          <w:divBdr>
            <w:top w:val="none" w:sz="0" w:space="0" w:color="auto"/>
            <w:left w:val="none" w:sz="0" w:space="0" w:color="auto"/>
            <w:bottom w:val="none" w:sz="0" w:space="0" w:color="auto"/>
            <w:right w:val="none" w:sz="0" w:space="0" w:color="auto"/>
          </w:divBdr>
        </w:div>
        <w:div w:id="1460488810">
          <w:marLeft w:val="1080"/>
          <w:marRight w:val="0"/>
          <w:marTop w:val="100"/>
          <w:marBottom w:val="0"/>
          <w:divBdr>
            <w:top w:val="none" w:sz="0" w:space="0" w:color="auto"/>
            <w:left w:val="none" w:sz="0" w:space="0" w:color="auto"/>
            <w:bottom w:val="none" w:sz="0" w:space="0" w:color="auto"/>
            <w:right w:val="none" w:sz="0" w:space="0" w:color="auto"/>
          </w:divBdr>
        </w:div>
        <w:div w:id="1687638288">
          <w:marLeft w:val="1800"/>
          <w:marRight w:val="0"/>
          <w:marTop w:val="100"/>
          <w:marBottom w:val="0"/>
          <w:divBdr>
            <w:top w:val="none" w:sz="0" w:space="0" w:color="auto"/>
            <w:left w:val="none" w:sz="0" w:space="0" w:color="auto"/>
            <w:bottom w:val="none" w:sz="0" w:space="0" w:color="auto"/>
            <w:right w:val="none" w:sz="0" w:space="0" w:color="auto"/>
          </w:divBdr>
        </w:div>
        <w:div w:id="1689872180">
          <w:marLeft w:val="360"/>
          <w:marRight w:val="0"/>
          <w:marTop w:val="200"/>
          <w:marBottom w:val="0"/>
          <w:divBdr>
            <w:top w:val="none" w:sz="0" w:space="0" w:color="auto"/>
            <w:left w:val="none" w:sz="0" w:space="0" w:color="auto"/>
            <w:bottom w:val="none" w:sz="0" w:space="0" w:color="auto"/>
            <w:right w:val="none" w:sz="0" w:space="0" w:color="auto"/>
          </w:divBdr>
        </w:div>
        <w:div w:id="2019767653">
          <w:marLeft w:val="1800"/>
          <w:marRight w:val="0"/>
          <w:marTop w:val="100"/>
          <w:marBottom w:val="0"/>
          <w:divBdr>
            <w:top w:val="none" w:sz="0" w:space="0" w:color="auto"/>
            <w:left w:val="none" w:sz="0" w:space="0" w:color="auto"/>
            <w:bottom w:val="none" w:sz="0" w:space="0" w:color="auto"/>
            <w:right w:val="none" w:sz="0" w:space="0" w:color="auto"/>
          </w:divBdr>
        </w:div>
      </w:divsChild>
    </w:div>
    <w:div w:id="1253972433">
      <w:bodyDiv w:val="1"/>
      <w:marLeft w:val="0"/>
      <w:marRight w:val="0"/>
      <w:marTop w:val="0"/>
      <w:marBottom w:val="0"/>
      <w:divBdr>
        <w:top w:val="none" w:sz="0" w:space="0" w:color="auto"/>
        <w:left w:val="none" w:sz="0" w:space="0" w:color="auto"/>
        <w:bottom w:val="none" w:sz="0" w:space="0" w:color="auto"/>
        <w:right w:val="none" w:sz="0" w:space="0" w:color="auto"/>
      </w:divBdr>
    </w:div>
    <w:div w:id="1254126894">
      <w:bodyDiv w:val="1"/>
      <w:marLeft w:val="0"/>
      <w:marRight w:val="0"/>
      <w:marTop w:val="0"/>
      <w:marBottom w:val="0"/>
      <w:divBdr>
        <w:top w:val="none" w:sz="0" w:space="0" w:color="auto"/>
        <w:left w:val="none" w:sz="0" w:space="0" w:color="auto"/>
        <w:bottom w:val="none" w:sz="0" w:space="0" w:color="auto"/>
        <w:right w:val="none" w:sz="0" w:space="0" w:color="auto"/>
      </w:divBdr>
      <w:divsChild>
        <w:div w:id="987169994">
          <w:marLeft w:val="547"/>
          <w:marRight w:val="0"/>
          <w:marTop w:val="154"/>
          <w:marBottom w:val="0"/>
          <w:divBdr>
            <w:top w:val="none" w:sz="0" w:space="0" w:color="auto"/>
            <w:left w:val="none" w:sz="0" w:space="0" w:color="auto"/>
            <w:bottom w:val="none" w:sz="0" w:space="0" w:color="auto"/>
            <w:right w:val="none" w:sz="0" w:space="0" w:color="auto"/>
          </w:divBdr>
        </w:div>
      </w:divsChild>
    </w:div>
    <w:div w:id="1254362744">
      <w:bodyDiv w:val="1"/>
      <w:marLeft w:val="0"/>
      <w:marRight w:val="0"/>
      <w:marTop w:val="0"/>
      <w:marBottom w:val="0"/>
      <w:divBdr>
        <w:top w:val="none" w:sz="0" w:space="0" w:color="auto"/>
        <w:left w:val="none" w:sz="0" w:space="0" w:color="auto"/>
        <w:bottom w:val="none" w:sz="0" w:space="0" w:color="auto"/>
        <w:right w:val="none" w:sz="0" w:space="0" w:color="auto"/>
      </w:divBdr>
      <w:divsChild>
        <w:div w:id="38208988">
          <w:marLeft w:val="1166"/>
          <w:marRight w:val="0"/>
          <w:marTop w:val="96"/>
          <w:marBottom w:val="0"/>
          <w:divBdr>
            <w:top w:val="none" w:sz="0" w:space="0" w:color="auto"/>
            <w:left w:val="none" w:sz="0" w:space="0" w:color="auto"/>
            <w:bottom w:val="none" w:sz="0" w:space="0" w:color="auto"/>
            <w:right w:val="none" w:sz="0" w:space="0" w:color="auto"/>
          </w:divBdr>
        </w:div>
        <w:div w:id="149296569">
          <w:marLeft w:val="1166"/>
          <w:marRight w:val="0"/>
          <w:marTop w:val="96"/>
          <w:marBottom w:val="0"/>
          <w:divBdr>
            <w:top w:val="none" w:sz="0" w:space="0" w:color="auto"/>
            <w:left w:val="none" w:sz="0" w:space="0" w:color="auto"/>
            <w:bottom w:val="none" w:sz="0" w:space="0" w:color="auto"/>
            <w:right w:val="none" w:sz="0" w:space="0" w:color="auto"/>
          </w:divBdr>
        </w:div>
        <w:div w:id="346953309">
          <w:marLeft w:val="1166"/>
          <w:marRight w:val="0"/>
          <w:marTop w:val="96"/>
          <w:marBottom w:val="0"/>
          <w:divBdr>
            <w:top w:val="none" w:sz="0" w:space="0" w:color="auto"/>
            <w:left w:val="none" w:sz="0" w:space="0" w:color="auto"/>
            <w:bottom w:val="none" w:sz="0" w:space="0" w:color="auto"/>
            <w:right w:val="none" w:sz="0" w:space="0" w:color="auto"/>
          </w:divBdr>
        </w:div>
        <w:div w:id="1539244064">
          <w:marLeft w:val="1166"/>
          <w:marRight w:val="0"/>
          <w:marTop w:val="96"/>
          <w:marBottom w:val="0"/>
          <w:divBdr>
            <w:top w:val="none" w:sz="0" w:space="0" w:color="auto"/>
            <w:left w:val="none" w:sz="0" w:space="0" w:color="auto"/>
            <w:bottom w:val="none" w:sz="0" w:space="0" w:color="auto"/>
            <w:right w:val="none" w:sz="0" w:space="0" w:color="auto"/>
          </w:divBdr>
        </w:div>
        <w:div w:id="1703705027">
          <w:marLeft w:val="547"/>
          <w:marRight w:val="0"/>
          <w:marTop w:val="115"/>
          <w:marBottom w:val="0"/>
          <w:divBdr>
            <w:top w:val="none" w:sz="0" w:space="0" w:color="auto"/>
            <w:left w:val="none" w:sz="0" w:space="0" w:color="auto"/>
            <w:bottom w:val="none" w:sz="0" w:space="0" w:color="auto"/>
            <w:right w:val="none" w:sz="0" w:space="0" w:color="auto"/>
          </w:divBdr>
        </w:div>
        <w:div w:id="1826125803">
          <w:marLeft w:val="1166"/>
          <w:marRight w:val="0"/>
          <w:marTop w:val="96"/>
          <w:marBottom w:val="0"/>
          <w:divBdr>
            <w:top w:val="none" w:sz="0" w:space="0" w:color="auto"/>
            <w:left w:val="none" w:sz="0" w:space="0" w:color="auto"/>
            <w:bottom w:val="none" w:sz="0" w:space="0" w:color="auto"/>
            <w:right w:val="none" w:sz="0" w:space="0" w:color="auto"/>
          </w:divBdr>
        </w:div>
      </w:divsChild>
    </w:div>
    <w:div w:id="1254627931">
      <w:bodyDiv w:val="1"/>
      <w:marLeft w:val="0"/>
      <w:marRight w:val="0"/>
      <w:marTop w:val="0"/>
      <w:marBottom w:val="0"/>
      <w:divBdr>
        <w:top w:val="none" w:sz="0" w:space="0" w:color="auto"/>
        <w:left w:val="none" w:sz="0" w:space="0" w:color="auto"/>
        <w:bottom w:val="none" w:sz="0" w:space="0" w:color="auto"/>
        <w:right w:val="none" w:sz="0" w:space="0" w:color="auto"/>
      </w:divBdr>
    </w:div>
    <w:div w:id="1254974809">
      <w:bodyDiv w:val="1"/>
      <w:marLeft w:val="0"/>
      <w:marRight w:val="0"/>
      <w:marTop w:val="0"/>
      <w:marBottom w:val="0"/>
      <w:divBdr>
        <w:top w:val="none" w:sz="0" w:space="0" w:color="auto"/>
        <w:left w:val="none" w:sz="0" w:space="0" w:color="auto"/>
        <w:bottom w:val="none" w:sz="0" w:space="0" w:color="auto"/>
        <w:right w:val="none" w:sz="0" w:space="0" w:color="auto"/>
      </w:divBdr>
    </w:div>
    <w:div w:id="1255286388">
      <w:bodyDiv w:val="1"/>
      <w:marLeft w:val="0"/>
      <w:marRight w:val="0"/>
      <w:marTop w:val="0"/>
      <w:marBottom w:val="0"/>
      <w:divBdr>
        <w:top w:val="none" w:sz="0" w:space="0" w:color="auto"/>
        <w:left w:val="none" w:sz="0" w:space="0" w:color="auto"/>
        <w:bottom w:val="none" w:sz="0" w:space="0" w:color="auto"/>
        <w:right w:val="none" w:sz="0" w:space="0" w:color="auto"/>
      </w:divBdr>
      <w:divsChild>
        <w:div w:id="447087495">
          <w:marLeft w:val="547"/>
          <w:marRight w:val="0"/>
          <w:marTop w:val="96"/>
          <w:marBottom w:val="0"/>
          <w:divBdr>
            <w:top w:val="none" w:sz="0" w:space="0" w:color="auto"/>
            <w:left w:val="none" w:sz="0" w:space="0" w:color="auto"/>
            <w:bottom w:val="none" w:sz="0" w:space="0" w:color="auto"/>
            <w:right w:val="none" w:sz="0" w:space="0" w:color="auto"/>
          </w:divBdr>
        </w:div>
        <w:div w:id="1563100849">
          <w:marLeft w:val="547"/>
          <w:marRight w:val="0"/>
          <w:marTop w:val="96"/>
          <w:marBottom w:val="0"/>
          <w:divBdr>
            <w:top w:val="none" w:sz="0" w:space="0" w:color="auto"/>
            <w:left w:val="none" w:sz="0" w:space="0" w:color="auto"/>
            <w:bottom w:val="none" w:sz="0" w:space="0" w:color="auto"/>
            <w:right w:val="none" w:sz="0" w:space="0" w:color="auto"/>
          </w:divBdr>
        </w:div>
        <w:div w:id="1631747652">
          <w:marLeft w:val="547"/>
          <w:marRight w:val="0"/>
          <w:marTop w:val="96"/>
          <w:marBottom w:val="0"/>
          <w:divBdr>
            <w:top w:val="none" w:sz="0" w:space="0" w:color="auto"/>
            <w:left w:val="none" w:sz="0" w:space="0" w:color="auto"/>
            <w:bottom w:val="none" w:sz="0" w:space="0" w:color="auto"/>
            <w:right w:val="none" w:sz="0" w:space="0" w:color="auto"/>
          </w:divBdr>
        </w:div>
        <w:div w:id="1749231129">
          <w:marLeft w:val="547"/>
          <w:marRight w:val="0"/>
          <w:marTop w:val="96"/>
          <w:marBottom w:val="0"/>
          <w:divBdr>
            <w:top w:val="none" w:sz="0" w:space="0" w:color="auto"/>
            <w:left w:val="none" w:sz="0" w:space="0" w:color="auto"/>
            <w:bottom w:val="none" w:sz="0" w:space="0" w:color="auto"/>
            <w:right w:val="none" w:sz="0" w:space="0" w:color="auto"/>
          </w:divBdr>
        </w:div>
        <w:div w:id="1968775192">
          <w:marLeft w:val="547"/>
          <w:marRight w:val="0"/>
          <w:marTop w:val="96"/>
          <w:marBottom w:val="0"/>
          <w:divBdr>
            <w:top w:val="none" w:sz="0" w:space="0" w:color="auto"/>
            <w:left w:val="none" w:sz="0" w:space="0" w:color="auto"/>
            <w:bottom w:val="none" w:sz="0" w:space="0" w:color="auto"/>
            <w:right w:val="none" w:sz="0" w:space="0" w:color="auto"/>
          </w:divBdr>
        </w:div>
        <w:div w:id="2080249100">
          <w:marLeft w:val="547"/>
          <w:marRight w:val="0"/>
          <w:marTop w:val="96"/>
          <w:marBottom w:val="0"/>
          <w:divBdr>
            <w:top w:val="none" w:sz="0" w:space="0" w:color="auto"/>
            <w:left w:val="none" w:sz="0" w:space="0" w:color="auto"/>
            <w:bottom w:val="none" w:sz="0" w:space="0" w:color="auto"/>
            <w:right w:val="none" w:sz="0" w:space="0" w:color="auto"/>
          </w:divBdr>
        </w:div>
      </w:divsChild>
    </w:div>
    <w:div w:id="1256594340">
      <w:bodyDiv w:val="1"/>
      <w:marLeft w:val="0"/>
      <w:marRight w:val="0"/>
      <w:marTop w:val="0"/>
      <w:marBottom w:val="0"/>
      <w:divBdr>
        <w:top w:val="none" w:sz="0" w:space="0" w:color="auto"/>
        <w:left w:val="none" w:sz="0" w:space="0" w:color="auto"/>
        <w:bottom w:val="none" w:sz="0" w:space="0" w:color="auto"/>
        <w:right w:val="none" w:sz="0" w:space="0" w:color="auto"/>
      </w:divBdr>
    </w:div>
    <w:div w:id="1256940860">
      <w:bodyDiv w:val="1"/>
      <w:marLeft w:val="0"/>
      <w:marRight w:val="0"/>
      <w:marTop w:val="0"/>
      <w:marBottom w:val="0"/>
      <w:divBdr>
        <w:top w:val="none" w:sz="0" w:space="0" w:color="auto"/>
        <w:left w:val="none" w:sz="0" w:space="0" w:color="auto"/>
        <w:bottom w:val="none" w:sz="0" w:space="0" w:color="auto"/>
        <w:right w:val="none" w:sz="0" w:space="0" w:color="auto"/>
      </w:divBdr>
    </w:div>
    <w:div w:id="1257405507">
      <w:bodyDiv w:val="1"/>
      <w:marLeft w:val="0"/>
      <w:marRight w:val="0"/>
      <w:marTop w:val="0"/>
      <w:marBottom w:val="0"/>
      <w:divBdr>
        <w:top w:val="none" w:sz="0" w:space="0" w:color="auto"/>
        <w:left w:val="none" w:sz="0" w:space="0" w:color="auto"/>
        <w:bottom w:val="none" w:sz="0" w:space="0" w:color="auto"/>
        <w:right w:val="none" w:sz="0" w:space="0" w:color="auto"/>
      </w:divBdr>
      <w:divsChild>
        <w:div w:id="464470855">
          <w:marLeft w:val="547"/>
          <w:marRight w:val="0"/>
          <w:marTop w:val="115"/>
          <w:marBottom w:val="0"/>
          <w:divBdr>
            <w:top w:val="none" w:sz="0" w:space="0" w:color="auto"/>
            <w:left w:val="none" w:sz="0" w:space="0" w:color="auto"/>
            <w:bottom w:val="none" w:sz="0" w:space="0" w:color="auto"/>
            <w:right w:val="none" w:sz="0" w:space="0" w:color="auto"/>
          </w:divBdr>
        </w:div>
        <w:div w:id="572474266">
          <w:marLeft w:val="1166"/>
          <w:marRight w:val="0"/>
          <w:marTop w:val="115"/>
          <w:marBottom w:val="0"/>
          <w:divBdr>
            <w:top w:val="none" w:sz="0" w:space="0" w:color="auto"/>
            <w:left w:val="none" w:sz="0" w:space="0" w:color="auto"/>
            <w:bottom w:val="none" w:sz="0" w:space="0" w:color="auto"/>
            <w:right w:val="none" w:sz="0" w:space="0" w:color="auto"/>
          </w:divBdr>
        </w:div>
        <w:div w:id="1177617974">
          <w:marLeft w:val="1166"/>
          <w:marRight w:val="0"/>
          <w:marTop w:val="115"/>
          <w:marBottom w:val="0"/>
          <w:divBdr>
            <w:top w:val="none" w:sz="0" w:space="0" w:color="auto"/>
            <w:left w:val="none" w:sz="0" w:space="0" w:color="auto"/>
            <w:bottom w:val="none" w:sz="0" w:space="0" w:color="auto"/>
            <w:right w:val="none" w:sz="0" w:space="0" w:color="auto"/>
          </w:divBdr>
        </w:div>
        <w:div w:id="1617517769">
          <w:marLeft w:val="1166"/>
          <w:marRight w:val="0"/>
          <w:marTop w:val="115"/>
          <w:marBottom w:val="0"/>
          <w:divBdr>
            <w:top w:val="none" w:sz="0" w:space="0" w:color="auto"/>
            <w:left w:val="none" w:sz="0" w:space="0" w:color="auto"/>
            <w:bottom w:val="none" w:sz="0" w:space="0" w:color="auto"/>
            <w:right w:val="none" w:sz="0" w:space="0" w:color="auto"/>
          </w:divBdr>
        </w:div>
      </w:divsChild>
    </w:div>
    <w:div w:id="1258051850">
      <w:bodyDiv w:val="1"/>
      <w:marLeft w:val="0"/>
      <w:marRight w:val="0"/>
      <w:marTop w:val="0"/>
      <w:marBottom w:val="0"/>
      <w:divBdr>
        <w:top w:val="none" w:sz="0" w:space="0" w:color="auto"/>
        <w:left w:val="none" w:sz="0" w:space="0" w:color="auto"/>
        <w:bottom w:val="none" w:sz="0" w:space="0" w:color="auto"/>
        <w:right w:val="none" w:sz="0" w:space="0" w:color="auto"/>
      </w:divBdr>
    </w:div>
    <w:div w:id="1258829887">
      <w:bodyDiv w:val="1"/>
      <w:marLeft w:val="0"/>
      <w:marRight w:val="0"/>
      <w:marTop w:val="0"/>
      <w:marBottom w:val="0"/>
      <w:divBdr>
        <w:top w:val="none" w:sz="0" w:space="0" w:color="auto"/>
        <w:left w:val="none" w:sz="0" w:space="0" w:color="auto"/>
        <w:bottom w:val="none" w:sz="0" w:space="0" w:color="auto"/>
        <w:right w:val="none" w:sz="0" w:space="0" w:color="auto"/>
      </w:divBdr>
    </w:div>
    <w:div w:id="1259410306">
      <w:bodyDiv w:val="1"/>
      <w:marLeft w:val="0"/>
      <w:marRight w:val="0"/>
      <w:marTop w:val="0"/>
      <w:marBottom w:val="0"/>
      <w:divBdr>
        <w:top w:val="none" w:sz="0" w:space="0" w:color="auto"/>
        <w:left w:val="none" w:sz="0" w:space="0" w:color="auto"/>
        <w:bottom w:val="none" w:sz="0" w:space="0" w:color="auto"/>
        <w:right w:val="none" w:sz="0" w:space="0" w:color="auto"/>
      </w:divBdr>
    </w:div>
    <w:div w:id="1259749480">
      <w:bodyDiv w:val="1"/>
      <w:marLeft w:val="0"/>
      <w:marRight w:val="0"/>
      <w:marTop w:val="0"/>
      <w:marBottom w:val="0"/>
      <w:divBdr>
        <w:top w:val="none" w:sz="0" w:space="0" w:color="auto"/>
        <w:left w:val="none" w:sz="0" w:space="0" w:color="auto"/>
        <w:bottom w:val="none" w:sz="0" w:space="0" w:color="auto"/>
        <w:right w:val="none" w:sz="0" w:space="0" w:color="auto"/>
      </w:divBdr>
    </w:div>
    <w:div w:id="1260064015">
      <w:bodyDiv w:val="1"/>
      <w:marLeft w:val="0"/>
      <w:marRight w:val="0"/>
      <w:marTop w:val="0"/>
      <w:marBottom w:val="0"/>
      <w:divBdr>
        <w:top w:val="none" w:sz="0" w:space="0" w:color="auto"/>
        <w:left w:val="none" w:sz="0" w:space="0" w:color="auto"/>
        <w:bottom w:val="none" w:sz="0" w:space="0" w:color="auto"/>
        <w:right w:val="none" w:sz="0" w:space="0" w:color="auto"/>
      </w:divBdr>
    </w:div>
    <w:div w:id="1260675872">
      <w:bodyDiv w:val="1"/>
      <w:marLeft w:val="0"/>
      <w:marRight w:val="0"/>
      <w:marTop w:val="0"/>
      <w:marBottom w:val="0"/>
      <w:divBdr>
        <w:top w:val="none" w:sz="0" w:space="0" w:color="auto"/>
        <w:left w:val="none" w:sz="0" w:space="0" w:color="auto"/>
        <w:bottom w:val="none" w:sz="0" w:space="0" w:color="auto"/>
        <w:right w:val="none" w:sz="0" w:space="0" w:color="auto"/>
      </w:divBdr>
      <w:divsChild>
        <w:div w:id="1590390367">
          <w:marLeft w:val="360"/>
          <w:marRight w:val="0"/>
          <w:marTop w:val="200"/>
          <w:marBottom w:val="0"/>
          <w:divBdr>
            <w:top w:val="none" w:sz="0" w:space="0" w:color="auto"/>
            <w:left w:val="none" w:sz="0" w:space="0" w:color="auto"/>
            <w:bottom w:val="none" w:sz="0" w:space="0" w:color="auto"/>
            <w:right w:val="none" w:sz="0" w:space="0" w:color="auto"/>
          </w:divBdr>
        </w:div>
      </w:divsChild>
    </w:div>
    <w:div w:id="1260867726">
      <w:bodyDiv w:val="1"/>
      <w:marLeft w:val="0"/>
      <w:marRight w:val="0"/>
      <w:marTop w:val="0"/>
      <w:marBottom w:val="0"/>
      <w:divBdr>
        <w:top w:val="none" w:sz="0" w:space="0" w:color="auto"/>
        <w:left w:val="none" w:sz="0" w:space="0" w:color="auto"/>
        <w:bottom w:val="none" w:sz="0" w:space="0" w:color="auto"/>
        <w:right w:val="none" w:sz="0" w:space="0" w:color="auto"/>
      </w:divBdr>
      <w:divsChild>
        <w:div w:id="36008179">
          <w:marLeft w:val="1166"/>
          <w:marRight w:val="0"/>
          <w:marTop w:val="86"/>
          <w:marBottom w:val="0"/>
          <w:divBdr>
            <w:top w:val="none" w:sz="0" w:space="0" w:color="auto"/>
            <w:left w:val="none" w:sz="0" w:space="0" w:color="auto"/>
            <w:bottom w:val="none" w:sz="0" w:space="0" w:color="auto"/>
            <w:right w:val="none" w:sz="0" w:space="0" w:color="auto"/>
          </w:divBdr>
        </w:div>
        <w:div w:id="210389218">
          <w:marLeft w:val="1166"/>
          <w:marRight w:val="0"/>
          <w:marTop w:val="86"/>
          <w:marBottom w:val="0"/>
          <w:divBdr>
            <w:top w:val="none" w:sz="0" w:space="0" w:color="auto"/>
            <w:left w:val="none" w:sz="0" w:space="0" w:color="auto"/>
            <w:bottom w:val="none" w:sz="0" w:space="0" w:color="auto"/>
            <w:right w:val="none" w:sz="0" w:space="0" w:color="auto"/>
          </w:divBdr>
        </w:div>
        <w:div w:id="462966729">
          <w:marLeft w:val="547"/>
          <w:marRight w:val="0"/>
          <w:marTop w:val="86"/>
          <w:marBottom w:val="0"/>
          <w:divBdr>
            <w:top w:val="none" w:sz="0" w:space="0" w:color="auto"/>
            <w:left w:val="none" w:sz="0" w:space="0" w:color="auto"/>
            <w:bottom w:val="none" w:sz="0" w:space="0" w:color="auto"/>
            <w:right w:val="none" w:sz="0" w:space="0" w:color="auto"/>
          </w:divBdr>
        </w:div>
        <w:div w:id="566651760">
          <w:marLeft w:val="1166"/>
          <w:marRight w:val="0"/>
          <w:marTop w:val="86"/>
          <w:marBottom w:val="0"/>
          <w:divBdr>
            <w:top w:val="none" w:sz="0" w:space="0" w:color="auto"/>
            <w:left w:val="none" w:sz="0" w:space="0" w:color="auto"/>
            <w:bottom w:val="none" w:sz="0" w:space="0" w:color="auto"/>
            <w:right w:val="none" w:sz="0" w:space="0" w:color="auto"/>
          </w:divBdr>
        </w:div>
        <w:div w:id="646013798">
          <w:marLeft w:val="1800"/>
          <w:marRight w:val="0"/>
          <w:marTop w:val="86"/>
          <w:marBottom w:val="0"/>
          <w:divBdr>
            <w:top w:val="none" w:sz="0" w:space="0" w:color="auto"/>
            <w:left w:val="none" w:sz="0" w:space="0" w:color="auto"/>
            <w:bottom w:val="none" w:sz="0" w:space="0" w:color="auto"/>
            <w:right w:val="none" w:sz="0" w:space="0" w:color="auto"/>
          </w:divBdr>
        </w:div>
        <w:div w:id="768354061">
          <w:marLeft w:val="1166"/>
          <w:marRight w:val="0"/>
          <w:marTop w:val="86"/>
          <w:marBottom w:val="0"/>
          <w:divBdr>
            <w:top w:val="none" w:sz="0" w:space="0" w:color="auto"/>
            <w:left w:val="none" w:sz="0" w:space="0" w:color="auto"/>
            <w:bottom w:val="none" w:sz="0" w:space="0" w:color="auto"/>
            <w:right w:val="none" w:sz="0" w:space="0" w:color="auto"/>
          </w:divBdr>
        </w:div>
        <w:div w:id="1083376172">
          <w:marLeft w:val="1166"/>
          <w:marRight w:val="0"/>
          <w:marTop w:val="86"/>
          <w:marBottom w:val="0"/>
          <w:divBdr>
            <w:top w:val="none" w:sz="0" w:space="0" w:color="auto"/>
            <w:left w:val="none" w:sz="0" w:space="0" w:color="auto"/>
            <w:bottom w:val="none" w:sz="0" w:space="0" w:color="auto"/>
            <w:right w:val="none" w:sz="0" w:space="0" w:color="auto"/>
          </w:divBdr>
        </w:div>
        <w:div w:id="1478762870">
          <w:marLeft w:val="1166"/>
          <w:marRight w:val="0"/>
          <w:marTop w:val="86"/>
          <w:marBottom w:val="0"/>
          <w:divBdr>
            <w:top w:val="none" w:sz="0" w:space="0" w:color="auto"/>
            <w:left w:val="none" w:sz="0" w:space="0" w:color="auto"/>
            <w:bottom w:val="none" w:sz="0" w:space="0" w:color="auto"/>
            <w:right w:val="none" w:sz="0" w:space="0" w:color="auto"/>
          </w:divBdr>
        </w:div>
      </w:divsChild>
    </w:div>
    <w:div w:id="1260871737">
      <w:bodyDiv w:val="1"/>
      <w:marLeft w:val="0"/>
      <w:marRight w:val="0"/>
      <w:marTop w:val="0"/>
      <w:marBottom w:val="0"/>
      <w:divBdr>
        <w:top w:val="none" w:sz="0" w:space="0" w:color="auto"/>
        <w:left w:val="none" w:sz="0" w:space="0" w:color="auto"/>
        <w:bottom w:val="none" w:sz="0" w:space="0" w:color="auto"/>
        <w:right w:val="none" w:sz="0" w:space="0" w:color="auto"/>
      </w:divBdr>
    </w:div>
    <w:div w:id="1261572094">
      <w:bodyDiv w:val="1"/>
      <w:marLeft w:val="0"/>
      <w:marRight w:val="0"/>
      <w:marTop w:val="0"/>
      <w:marBottom w:val="0"/>
      <w:divBdr>
        <w:top w:val="none" w:sz="0" w:space="0" w:color="auto"/>
        <w:left w:val="none" w:sz="0" w:space="0" w:color="auto"/>
        <w:bottom w:val="none" w:sz="0" w:space="0" w:color="auto"/>
        <w:right w:val="none" w:sz="0" w:space="0" w:color="auto"/>
      </w:divBdr>
      <w:divsChild>
        <w:div w:id="1135217977">
          <w:marLeft w:val="0"/>
          <w:marRight w:val="0"/>
          <w:marTop w:val="0"/>
          <w:marBottom w:val="0"/>
          <w:divBdr>
            <w:top w:val="none" w:sz="0" w:space="0" w:color="auto"/>
            <w:left w:val="none" w:sz="0" w:space="0" w:color="auto"/>
            <w:bottom w:val="none" w:sz="0" w:space="0" w:color="auto"/>
            <w:right w:val="none" w:sz="0" w:space="0" w:color="auto"/>
          </w:divBdr>
          <w:divsChild>
            <w:div w:id="1845901069">
              <w:marLeft w:val="0"/>
              <w:marRight w:val="0"/>
              <w:marTop w:val="0"/>
              <w:marBottom w:val="0"/>
              <w:divBdr>
                <w:top w:val="none" w:sz="0" w:space="0" w:color="auto"/>
                <w:left w:val="none" w:sz="0" w:space="0" w:color="auto"/>
                <w:bottom w:val="none" w:sz="0" w:space="0" w:color="auto"/>
                <w:right w:val="none" w:sz="0" w:space="0" w:color="auto"/>
              </w:divBdr>
            </w:div>
            <w:div w:id="2076312414">
              <w:marLeft w:val="0"/>
              <w:marRight w:val="0"/>
              <w:marTop w:val="0"/>
              <w:marBottom w:val="0"/>
              <w:divBdr>
                <w:top w:val="none" w:sz="0" w:space="0" w:color="auto"/>
                <w:left w:val="none" w:sz="0" w:space="0" w:color="auto"/>
                <w:bottom w:val="none" w:sz="0" w:space="0" w:color="auto"/>
                <w:right w:val="none" w:sz="0" w:space="0" w:color="auto"/>
              </w:divBdr>
            </w:div>
            <w:div w:id="21373324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62488827">
      <w:bodyDiv w:val="1"/>
      <w:marLeft w:val="0"/>
      <w:marRight w:val="0"/>
      <w:marTop w:val="0"/>
      <w:marBottom w:val="0"/>
      <w:divBdr>
        <w:top w:val="none" w:sz="0" w:space="0" w:color="auto"/>
        <w:left w:val="none" w:sz="0" w:space="0" w:color="auto"/>
        <w:bottom w:val="none" w:sz="0" w:space="0" w:color="auto"/>
        <w:right w:val="none" w:sz="0" w:space="0" w:color="auto"/>
      </w:divBdr>
    </w:div>
    <w:div w:id="1263077248">
      <w:bodyDiv w:val="1"/>
      <w:marLeft w:val="0"/>
      <w:marRight w:val="0"/>
      <w:marTop w:val="0"/>
      <w:marBottom w:val="0"/>
      <w:divBdr>
        <w:top w:val="none" w:sz="0" w:space="0" w:color="auto"/>
        <w:left w:val="none" w:sz="0" w:space="0" w:color="auto"/>
        <w:bottom w:val="none" w:sz="0" w:space="0" w:color="auto"/>
        <w:right w:val="none" w:sz="0" w:space="0" w:color="auto"/>
      </w:divBdr>
    </w:div>
    <w:div w:id="1263492982">
      <w:bodyDiv w:val="1"/>
      <w:marLeft w:val="0"/>
      <w:marRight w:val="0"/>
      <w:marTop w:val="0"/>
      <w:marBottom w:val="0"/>
      <w:divBdr>
        <w:top w:val="none" w:sz="0" w:space="0" w:color="auto"/>
        <w:left w:val="none" w:sz="0" w:space="0" w:color="auto"/>
        <w:bottom w:val="none" w:sz="0" w:space="0" w:color="auto"/>
        <w:right w:val="none" w:sz="0" w:space="0" w:color="auto"/>
      </w:divBdr>
    </w:div>
    <w:div w:id="1263607498">
      <w:bodyDiv w:val="1"/>
      <w:marLeft w:val="0"/>
      <w:marRight w:val="0"/>
      <w:marTop w:val="0"/>
      <w:marBottom w:val="0"/>
      <w:divBdr>
        <w:top w:val="none" w:sz="0" w:space="0" w:color="auto"/>
        <w:left w:val="none" w:sz="0" w:space="0" w:color="auto"/>
        <w:bottom w:val="none" w:sz="0" w:space="0" w:color="auto"/>
        <w:right w:val="none" w:sz="0" w:space="0" w:color="auto"/>
      </w:divBdr>
    </w:div>
    <w:div w:id="1263877638">
      <w:bodyDiv w:val="1"/>
      <w:marLeft w:val="0"/>
      <w:marRight w:val="0"/>
      <w:marTop w:val="0"/>
      <w:marBottom w:val="0"/>
      <w:divBdr>
        <w:top w:val="none" w:sz="0" w:space="0" w:color="auto"/>
        <w:left w:val="none" w:sz="0" w:space="0" w:color="auto"/>
        <w:bottom w:val="none" w:sz="0" w:space="0" w:color="auto"/>
        <w:right w:val="none" w:sz="0" w:space="0" w:color="auto"/>
      </w:divBdr>
    </w:div>
    <w:div w:id="1264537413">
      <w:bodyDiv w:val="1"/>
      <w:marLeft w:val="0"/>
      <w:marRight w:val="0"/>
      <w:marTop w:val="0"/>
      <w:marBottom w:val="0"/>
      <w:divBdr>
        <w:top w:val="none" w:sz="0" w:space="0" w:color="auto"/>
        <w:left w:val="none" w:sz="0" w:space="0" w:color="auto"/>
        <w:bottom w:val="none" w:sz="0" w:space="0" w:color="auto"/>
        <w:right w:val="none" w:sz="0" w:space="0" w:color="auto"/>
      </w:divBdr>
    </w:div>
    <w:div w:id="1264916524">
      <w:bodyDiv w:val="1"/>
      <w:marLeft w:val="0"/>
      <w:marRight w:val="0"/>
      <w:marTop w:val="0"/>
      <w:marBottom w:val="0"/>
      <w:divBdr>
        <w:top w:val="none" w:sz="0" w:space="0" w:color="auto"/>
        <w:left w:val="none" w:sz="0" w:space="0" w:color="auto"/>
        <w:bottom w:val="none" w:sz="0" w:space="0" w:color="auto"/>
        <w:right w:val="none" w:sz="0" w:space="0" w:color="auto"/>
      </w:divBdr>
    </w:div>
    <w:div w:id="1265380562">
      <w:bodyDiv w:val="1"/>
      <w:marLeft w:val="0"/>
      <w:marRight w:val="0"/>
      <w:marTop w:val="0"/>
      <w:marBottom w:val="0"/>
      <w:divBdr>
        <w:top w:val="none" w:sz="0" w:space="0" w:color="auto"/>
        <w:left w:val="none" w:sz="0" w:space="0" w:color="auto"/>
        <w:bottom w:val="none" w:sz="0" w:space="0" w:color="auto"/>
        <w:right w:val="none" w:sz="0" w:space="0" w:color="auto"/>
      </w:divBdr>
    </w:div>
    <w:div w:id="1265966285">
      <w:bodyDiv w:val="1"/>
      <w:marLeft w:val="0"/>
      <w:marRight w:val="0"/>
      <w:marTop w:val="0"/>
      <w:marBottom w:val="0"/>
      <w:divBdr>
        <w:top w:val="none" w:sz="0" w:space="0" w:color="auto"/>
        <w:left w:val="none" w:sz="0" w:space="0" w:color="auto"/>
        <w:bottom w:val="none" w:sz="0" w:space="0" w:color="auto"/>
        <w:right w:val="none" w:sz="0" w:space="0" w:color="auto"/>
      </w:divBdr>
    </w:div>
    <w:div w:id="1266108711">
      <w:bodyDiv w:val="1"/>
      <w:marLeft w:val="0"/>
      <w:marRight w:val="0"/>
      <w:marTop w:val="0"/>
      <w:marBottom w:val="0"/>
      <w:divBdr>
        <w:top w:val="none" w:sz="0" w:space="0" w:color="auto"/>
        <w:left w:val="none" w:sz="0" w:space="0" w:color="auto"/>
        <w:bottom w:val="none" w:sz="0" w:space="0" w:color="auto"/>
        <w:right w:val="none" w:sz="0" w:space="0" w:color="auto"/>
      </w:divBdr>
      <w:divsChild>
        <w:div w:id="607009724">
          <w:marLeft w:val="547"/>
          <w:marRight w:val="0"/>
          <w:marTop w:val="144"/>
          <w:marBottom w:val="0"/>
          <w:divBdr>
            <w:top w:val="none" w:sz="0" w:space="0" w:color="auto"/>
            <w:left w:val="none" w:sz="0" w:space="0" w:color="auto"/>
            <w:bottom w:val="none" w:sz="0" w:space="0" w:color="auto"/>
            <w:right w:val="none" w:sz="0" w:space="0" w:color="auto"/>
          </w:divBdr>
        </w:div>
        <w:div w:id="1083340120">
          <w:marLeft w:val="547"/>
          <w:marRight w:val="0"/>
          <w:marTop w:val="144"/>
          <w:marBottom w:val="0"/>
          <w:divBdr>
            <w:top w:val="none" w:sz="0" w:space="0" w:color="auto"/>
            <w:left w:val="none" w:sz="0" w:space="0" w:color="auto"/>
            <w:bottom w:val="none" w:sz="0" w:space="0" w:color="auto"/>
            <w:right w:val="none" w:sz="0" w:space="0" w:color="auto"/>
          </w:divBdr>
        </w:div>
        <w:div w:id="1274829385">
          <w:marLeft w:val="1166"/>
          <w:marRight w:val="0"/>
          <w:marTop w:val="125"/>
          <w:marBottom w:val="0"/>
          <w:divBdr>
            <w:top w:val="none" w:sz="0" w:space="0" w:color="auto"/>
            <w:left w:val="none" w:sz="0" w:space="0" w:color="auto"/>
            <w:bottom w:val="none" w:sz="0" w:space="0" w:color="auto"/>
            <w:right w:val="none" w:sz="0" w:space="0" w:color="auto"/>
          </w:divBdr>
        </w:div>
        <w:div w:id="1893496395">
          <w:marLeft w:val="1166"/>
          <w:marRight w:val="0"/>
          <w:marTop w:val="125"/>
          <w:marBottom w:val="0"/>
          <w:divBdr>
            <w:top w:val="none" w:sz="0" w:space="0" w:color="auto"/>
            <w:left w:val="none" w:sz="0" w:space="0" w:color="auto"/>
            <w:bottom w:val="none" w:sz="0" w:space="0" w:color="auto"/>
            <w:right w:val="none" w:sz="0" w:space="0" w:color="auto"/>
          </w:divBdr>
        </w:div>
        <w:div w:id="2021618797">
          <w:marLeft w:val="1166"/>
          <w:marRight w:val="0"/>
          <w:marTop w:val="125"/>
          <w:marBottom w:val="0"/>
          <w:divBdr>
            <w:top w:val="none" w:sz="0" w:space="0" w:color="auto"/>
            <w:left w:val="none" w:sz="0" w:space="0" w:color="auto"/>
            <w:bottom w:val="none" w:sz="0" w:space="0" w:color="auto"/>
            <w:right w:val="none" w:sz="0" w:space="0" w:color="auto"/>
          </w:divBdr>
        </w:div>
      </w:divsChild>
    </w:div>
    <w:div w:id="1266184407">
      <w:bodyDiv w:val="1"/>
      <w:marLeft w:val="0"/>
      <w:marRight w:val="0"/>
      <w:marTop w:val="0"/>
      <w:marBottom w:val="0"/>
      <w:divBdr>
        <w:top w:val="none" w:sz="0" w:space="0" w:color="auto"/>
        <w:left w:val="none" w:sz="0" w:space="0" w:color="auto"/>
        <w:bottom w:val="none" w:sz="0" w:space="0" w:color="auto"/>
        <w:right w:val="none" w:sz="0" w:space="0" w:color="auto"/>
      </w:divBdr>
    </w:div>
    <w:div w:id="1266423461">
      <w:bodyDiv w:val="1"/>
      <w:marLeft w:val="0"/>
      <w:marRight w:val="0"/>
      <w:marTop w:val="0"/>
      <w:marBottom w:val="0"/>
      <w:divBdr>
        <w:top w:val="none" w:sz="0" w:space="0" w:color="auto"/>
        <w:left w:val="none" w:sz="0" w:space="0" w:color="auto"/>
        <w:bottom w:val="none" w:sz="0" w:space="0" w:color="auto"/>
        <w:right w:val="none" w:sz="0" w:space="0" w:color="auto"/>
      </w:divBdr>
    </w:div>
    <w:div w:id="1266616369">
      <w:bodyDiv w:val="1"/>
      <w:marLeft w:val="0"/>
      <w:marRight w:val="0"/>
      <w:marTop w:val="0"/>
      <w:marBottom w:val="0"/>
      <w:divBdr>
        <w:top w:val="none" w:sz="0" w:space="0" w:color="auto"/>
        <w:left w:val="none" w:sz="0" w:space="0" w:color="auto"/>
        <w:bottom w:val="none" w:sz="0" w:space="0" w:color="auto"/>
        <w:right w:val="none" w:sz="0" w:space="0" w:color="auto"/>
      </w:divBdr>
    </w:div>
    <w:div w:id="1267275143">
      <w:bodyDiv w:val="1"/>
      <w:marLeft w:val="0"/>
      <w:marRight w:val="0"/>
      <w:marTop w:val="0"/>
      <w:marBottom w:val="0"/>
      <w:divBdr>
        <w:top w:val="none" w:sz="0" w:space="0" w:color="auto"/>
        <w:left w:val="none" w:sz="0" w:space="0" w:color="auto"/>
        <w:bottom w:val="none" w:sz="0" w:space="0" w:color="auto"/>
        <w:right w:val="none" w:sz="0" w:space="0" w:color="auto"/>
      </w:divBdr>
    </w:div>
    <w:div w:id="1268274793">
      <w:bodyDiv w:val="1"/>
      <w:marLeft w:val="0"/>
      <w:marRight w:val="0"/>
      <w:marTop w:val="0"/>
      <w:marBottom w:val="0"/>
      <w:divBdr>
        <w:top w:val="none" w:sz="0" w:space="0" w:color="auto"/>
        <w:left w:val="none" w:sz="0" w:space="0" w:color="auto"/>
        <w:bottom w:val="none" w:sz="0" w:space="0" w:color="auto"/>
        <w:right w:val="none" w:sz="0" w:space="0" w:color="auto"/>
      </w:divBdr>
    </w:div>
    <w:div w:id="1268394374">
      <w:bodyDiv w:val="1"/>
      <w:marLeft w:val="0"/>
      <w:marRight w:val="0"/>
      <w:marTop w:val="0"/>
      <w:marBottom w:val="0"/>
      <w:divBdr>
        <w:top w:val="none" w:sz="0" w:space="0" w:color="auto"/>
        <w:left w:val="none" w:sz="0" w:space="0" w:color="auto"/>
        <w:bottom w:val="none" w:sz="0" w:space="0" w:color="auto"/>
        <w:right w:val="none" w:sz="0" w:space="0" w:color="auto"/>
      </w:divBdr>
    </w:div>
    <w:div w:id="1269853307">
      <w:bodyDiv w:val="1"/>
      <w:marLeft w:val="0"/>
      <w:marRight w:val="0"/>
      <w:marTop w:val="0"/>
      <w:marBottom w:val="0"/>
      <w:divBdr>
        <w:top w:val="none" w:sz="0" w:space="0" w:color="auto"/>
        <w:left w:val="none" w:sz="0" w:space="0" w:color="auto"/>
        <w:bottom w:val="none" w:sz="0" w:space="0" w:color="auto"/>
        <w:right w:val="none" w:sz="0" w:space="0" w:color="auto"/>
      </w:divBdr>
    </w:div>
    <w:div w:id="1271355235">
      <w:bodyDiv w:val="1"/>
      <w:marLeft w:val="0"/>
      <w:marRight w:val="0"/>
      <w:marTop w:val="0"/>
      <w:marBottom w:val="0"/>
      <w:divBdr>
        <w:top w:val="none" w:sz="0" w:space="0" w:color="auto"/>
        <w:left w:val="none" w:sz="0" w:space="0" w:color="auto"/>
        <w:bottom w:val="none" w:sz="0" w:space="0" w:color="auto"/>
        <w:right w:val="none" w:sz="0" w:space="0" w:color="auto"/>
      </w:divBdr>
    </w:div>
    <w:div w:id="1271861427">
      <w:bodyDiv w:val="1"/>
      <w:marLeft w:val="0"/>
      <w:marRight w:val="0"/>
      <w:marTop w:val="0"/>
      <w:marBottom w:val="0"/>
      <w:divBdr>
        <w:top w:val="none" w:sz="0" w:space="0" w:color="auto"/>
        <w:left w:val="none" w:sz="0" w:space="0" w:color="auto"/>
        <w:bottom w:val="none" w:sz="0" w:space="0" w:color="auto"/>
        <w:right w:val="none" w:sz="0" w:space="0" w:color="auto"/>
      </w:divBdr>
    </w:div>
    <w:div w:id="1272014936">
      <w:bodyDiv w:val="1"/>
      <w:marLeft w:val="0"/>
      <w:marRight w:val="0"/>
      <w:marTop w:val="0"/>
      <w:marBottom w:val="0"/>
      <w:divBdr>
        <w:top w:val="none" w:sz="0" w:space="0" w:color="auto"/>
        <w:left w:val="none" w:sz="0" w:space="0" w:color="auto"/>
        <w:bottom w:val="none" w:sz="0" w:space="0" w:color="auto"/>
        <w:right w:val="none" w:sz="0" w:space="0" w:color="auto"/>
      </w:divBdr>
      <w:divsChild>
        <w:div w:id="446655620">
          <w:marLeft w:val="274"/>
          <w:marRight w:val="0"/>
          <w:marTop w:val="96"/>
          <w:marBottom w:val="0"/>
          <w:divBdr>
            <w:top w:val="none" w:sz="0" w:space="0" w:color="auto"/>
            <w:left w:val="none" w:sz="0" w:space="0" w:color="auto"/>
            <w:bottom w:val="none" w:sz="0" w:space="0" w:color="auto"/>
            <w:right w:val="none" w:sz="0" w:space="0" w:color="auto"/>
          </w:divBdr>
        </w:div>
        <w:div w:id="745880561">
          <w:marLeft w:val="835"/>
          <w:marRight w:val="0"/>
          <w:marTop w:val="86"/>
          <w:marBottom w:val="0"/>
          <w:divBdr>
            <w:top w:val="none" w:sz="0" w:space="0" w:color="auto"/>
            <w:left w:val="none" w:sz="0" w:space="0" w:color="auto"/>
            <w:bottom w:val="none" w:sz="0" w:space="0" w:color="auto"/>
            <w:right w:val="none" w:sz="0" w:space="0" w:color="auto"/>
          </w:divBdr>
        </w:div>
        <w:div w:id="1162618123">
          <w:marLeft w:val="835"/>
          <w:marRight w:val="0"/>
          <w:marTop w:val="86"/>
          <w:marBottom w:val="0"/>
          <w:divBdr>
            <w:top w:val="none" w:sz="0" w:space="0" w:color="auto"/>
            <w:left w:val="none" w:sz="0" w:space="0" w:color="auto"/>
            <w:bottom w:val="none" w:sz="0" w:space="0" w:color="auto"/>
            <w:right w:val="none" w:sz="0" w:space="0" w:color="auto"/>
          </w:divBdr>
        </w:div>
        <w:div w:id="1390495775">
          <w:marLeft w:val="835"/>
          <w:marRight w:val="0"/>
          <w:marTop w:val="86"/>
          <w:marBottom w:val="0"/>
          <w:divBdr>
            <w:top w:val="none" w:sz="0" w:space="0" w:color="auto"/>
            <w:left w:val="none" w:sz="0" w:space="0" w:color="auto"/>
            <w:bottom w:val="none" w:sz="0" w:space="0" w:color="auto"/>
            <w:right w:val="none" w:sz="0" w:space="0" w:color="auto"/>
          </w:divBdr>
        </w:div>
        <w:div w:id="1442337320">
          <w:marLeft w:val="835"/>
          <w:marRight w:val="0"/>
          <w:marTop w:val="86"/>
          <w:marBottom w:val="0"/>
          <w:divBdr>
            <w:top w:val="none" w:sz="0" w:space="0" w:color="auto"/>
            <w:left w:val="none" w:sz="0" w:space="0" w:color="auto"/>
            <w:bottom w:val="none" w:sz="0" w:space="0" w:color="auto"/>
            <w:right w:val="none" w:sz="0" w:space="0" w:color="auto"/>
          </w:divBdr>
        </w:div>
        <w:div w:id="1482964120">
          <w:marLeft w:val="835"/>
          <w:marRight w:val="0"/>
          <w:marTop w:val="86"/>
          <w:marBottom w:val="0"/>
          <w:divBdr>
            <w:top w:val="none" w:sz="0" w:space="0" w:color="auto"/>
            <w:left w:val="none" w:sz="0" w:space="0" w:color="auto"/>
            <w:bottom w:val="none" w:sz="0" w:space="0" w:color="auto"/>
            <w:right w:val="none" w:sz="0" w:space="0" w:color="auto"/>
          </w:divBdr>
        </w:div>
        <w:div w:id="1632056372">
          <w:marLeft w:val="274"/>
          <w:marRight w:val="0"/>
          <w:marTop w:val="96"/>
          <w:marBottom w:val="0"/>
          <w:divBdr>
            <w:top w:val="none" w:sz="0" w:space="0" w:color="auto"/>
            <w:left w:val="none" w:sz="0" w:space="0" w:color="auto"/>
            <w:bottom w:val="none" w:sz="0" w:space="0" w:color="auto"/>
            <w:right w:val="none" w:sz="0" w:space="0" w:color="auto"/>
          </w:divBdr>
        </w:div>
        <w:div w:id="1854495142">
          <w:marLeft w:val="835"/>
          <w:marRight w:val="0"/>
          <w:marTop w:val="86"/>
          <w:marBottom w:val="0"/>
          <w:divBdr>
            <w:top w:val="none" w:sz="0" w:space="0" w:color="auto"/>
            <w:left w:val="none" w:sz="0" w:space="0" w:color="auto"/>
            <w:bottom w:val="none" w:sz="0" w:space="0" w:color="auto"/>
            <w:right w:val="none" w:sz="0" w:space="0" w:color="auto"/>
          </w:divBdr>
        </w:div>
        <w:div w:id="2074352547">
          <w:marLeft w:val="835"/>
          <w:marRight w:val="0"/>
          <w:marTop w:val="86"/>
          <w:marBottom w:val="0"/>
          <w:divBdr>
            <w:top w:val="none" w:sz="0" w:space="0" w:color="auto"/>
            <w:left w:val="none" w:sz="0" w:space="0" w:color="auto"/>
            <w:bottom w:val="none" w:sz="0" w:space="0" w:color="auto"/>
            <w:right w:val="none" w:sz="0" w:space="0" w:color="auto"/>
          </w:divBdr>
        </w:div>
      </w:divsChild>
    </w:div>
    <w:div w:id="1273441557">
      <w:bodyDiv w:val="1"/>
      <w:marLeft w:val="0"/>
      <w:marRight w:val="0"/>
      <w:marTop w:val="0"/>
      <w:marBottom w:val="0"/>
      <w:divBdr>
        <w:top w:val="none" w:sz="0" w:space="0" w:color="auto"/>
        <w:left w:val="none" w:sz="0" w:space="0" w:color="auto"/>
        <w:bottom w:val="none" w:sz="0" w:space="0" w:color="auto"/>
        <w:right w:val="none" w:sz="0" w:space="0" w:color="auto"/>
      </w:divBdr>
    </w:div>
    <w:div w:id="1273904549">
      <w:bodyDiv w:val="1"/>
      <w:marLeft w:val="0"/>
      <w:marRight w:val="0"/>
      <w:marTop w:val="0"/>
      <w:marBottom w:val="0"/>
      <w:divBdr>
        <w:top w:val="none" w:sz="0" w:space="0" w:color="auto"/>
        <w:left w:val="none" w:sz="0" w:space="0" w:color="auto"/>
        <w:bottom w:val="none" w:sz="0" w:space="0" w:color="auto"/>
        <w:right w:val="none" w:sz="0" w:space="0" w:color="auto"/>
      </w:divBdr>
    </w:div>
    <w:div w:id="1275095089">
      <w:bodyDiv w:val="1"/>
      <w:marLeft w:val="0"/>
      <w:marRight w:val="0"/>
      <w:marTop w:val="0"/>
      <w:marBottom w:val="0"/>
      <w:divBdr>
        <w:top w:val="none" w:sz="0" w:space="0" w:color="auto"/>
        <w:left w:val="none" w:sz="0" w:space="0" w:color="auto"/>
        <w:bottom w:val="none" w:sz="0" w:space="0" w:color="auto"/>
        <w:right w:val="none" w:sz="0" w:space="0" w:color="auto"/>
      </w:divBdr>
    </w:div>
    <w:div w:id="1275748414">
      <w:bodyDiv w:val="1"/>
      <w:marLeft w:val="0"/>
      <w:marRight w:val="0"/>
      <w:marTop w:val="0"/>
      <w:marBottom w:val="0"/>
      <w:divBdr>
        <w:top w:val="none" w:sz="0" w:space="0" w:color="auto"/>
        <w:left w:val="none" w:sz="0" w:space="0" w:color="auto"/>
        <w:bottom w:val="none" w:sz="0" w:space="0" w:color="auto"/>
        <w:right w:val="none" w:sz="0" w:space="0" w:color="auto"/>
      </w:divBdr>
    </w:div>
    <w:div w:id="1276135604">
      <w:bodyDiv w:val="1"/>
      <w:marLeft w:val="0"/>
      <w:marRight w:val="0"/>
      <w:marTop w:val="0"/>
      <w:marBottom w:val="0"/>
      <w:divBdr>
        <w:top w:val="none" w:sz="0" w:space="0" w:color="auto"/>
        <w:left w:val="none" w:sz="0" w:space="0" w:color="auto"/>
        <w:bottom w:val="none" w:sz="0" w:space="0" w:color="auto"/>
        <w:right w:val="none" w:sz="0" w:space="0" w:color="auto"/>
      </w:divBdr>
      <w:divsChild>
        <w:div w:id="592395127">
          <w:marLeft w:val="1166"/>
          <w:marRight w:val="0"/>
          <w:marTop w:val="96"/>
          <w:marBottom w:val="0"/>
          <w:divBdr>
            <w:top w:val="none" w:sz="0" w:space="0" w:color="auto"/>
            <w:left w:val="none" w:sz="0" w:space="0" w:color="auto"/>
            <w:bottom w:val="none" w:sz="0" w:space="0" w:color="auto"/>
            <w:right w:val="none" w:sz="0" w:space="0" w:color="auto"/>
          </w:divBdr>
        </w:div>
        <w:div w:id="741831676">
          <w:marLeft w:val="1886"/>
          <w:marRight w:val="0"/>
          <w:marTop w:val="77"/>
          <w:marBottom w:val="0"/>
          <w:divBdr>
            <w:top w:val="none" w:sz="0" w:space="0" w:color="auto"/>
            <w:left w:val="none" w:sz="0" w:space="0" w:color="auto"/>
            <w:bottom w:val="none" w:sz="0" w:space="0" w:color="auto"/>
            <w:right w:val="none" w:sz="0" w:space="0" w:color="auto"/>
          </w:divBdr>
        </w:div>
        <w:div w:id="1084187653">
          <w:marLeft w:val="547"/>
          <w:marRight w:val="0"/>
          <w:marTop w:val="96"/>
          <w:marBottom w:val="0"/>
          <w:divBdr>
            <w:top w:val="none" w:sz="0" w:space="0" w:color="auto"/>
            <w:left w:val="none" w:sz="0" w:space="0" w:color="auto"/>
            <w:bottom w:val="none" w:sz="0" w:space="0" w:color="auto"/>
            <w:right w:val="none" w:sz="0" w:space="0" w:color="auto"/>
          </w:divBdr>
        </w:div>
        <w:div w:id="1125932376">
          <w:marLeft w:val="1166"/>
          <w:marRight w:val="0"/>
          <w:marTop w:val="96"/>
          <w:marBottom w:val="0"/>
          <w:divBdr>
            <w:top w:val="none" w:sz="0" w:space="0" w:color="auto"/>
            <w:left w:val="none" w:sz="0" w:space="0" w:color="auto"/>
            <w:bottom w:val="none" w:sz="0" w:space="0" w:color="auto"/>
            <w:right w:val="none" w:sz="0" w:space="0" w:color="auto"/>
          </w:divBdr>
        </w:div>
        <w:div w:id="1466922436">
          <w:marLeft w:val="1886"/>
          <w:marRight w:val="0"/>
          <w:marTop w:val="77"/>
          <w:marBottom w:val="0"/>
          <w:divBdr>
            <w:top w:val="none" w:sz="0" w:space="0" w:color="auto"/>
            <w:left w:val="none" w:sz="0" w:space="0" w:color="auto"/>
            <w:bottom w:val="none" w:sz="0" w:space="0" w:color="auto"/>
            <w:right w:val="none" w:sz="0" w:space="0" w:color="auto"/>
          </w:divBdr>
        </w:div>
        <w:div w:id="1523743119">
          <w:marLeft w:val="1886"/>
          <w:marRight w:val="0"/>
          <w:marTop w:val="77"/>
          <w:marBottom w:val="0"/>
          <w:divBdr>
            <w:top w:val="none" w:sz="0" w:space="0" w:color="auto"/>
            <w:left w:val="none" w:sz="0" w:space="0" w:color="auto"/>
            <w:bottom w:val="none" w:sz="0" w:space="0" w:color="auto"/>
            <w:right w:val="none" w:sz="0" w:space="0" w:color="auto"/>
          </w:divBdr>
        </w:div>
        <w:div w:id="1681853731">
          <w:marLeft w:val="1886"/>
          <w:marRight w:val="0"/>
          <w:marTop w:val="77"/>
          <w:marBottom w:val="0"/>
          <w:divBdr>
            <w:top w:val="none" w:sz="0" w:space="0" w:color="auto"/>
            <w:left w:val="none" w:sz="0" w:space="0" w:color="auto"/>
            <w:bottom w:val="none" w:sz="0" w:space="0" w:color="auto"/>
            <w:right w:val="none" w:sz="0" w:space="0" w:color="auto"/>
          </w:divBdr>
        </w:div>
        <w:div w:id="1725371983">
          <w:marLeft w:val="1166"/>
          <w:marRight w:val="0"/>
          <w:marTop w:val="96"/>
          <w:marBottom w:val="0"/>
          <w:divBdr>
            <w:top w:val="none" w:sz="0" w:space="0" w:color="auto"/>
            <w:left w:val="none" w:sz="0" w:space="0" w:color="auto"/>
            <w:bottom w:val="none" w:sz="0" w:space="0" w:color="auto"/>
            <w:right w:val="none" w:sz="0" w:space="0" w:color="auto"/>
          </w:divBdr>
        </w:div>
        <w:div w:id="1918008654">
          <w:marLeft w:val="1886"/>
          <w:marRight w:val="0"/>
          <w:marTop w:val="77"/>
          <w:marBottom w:val="0"/>
          <w:divBdr>
            <w:top w:val="none" w:sz="0" w:space="0" w:color="auto"/>
            <w:left w:val="none" w:sz="0" w:space="0" w:color="auto"/>
            <w:bottom w:val="none" w:sz="0" w:space="0" w:color="auto"/>
            <w:right w:val="none" w:sz="0" w:space="0" w:color="auto"/>
          </w:divBdr>
        </w:div>
        <w:div w:id="2009088256">
          <w:marLeft w:val="1166"/>
          <w:marRight w:val="0"/>
          <w:marTop w:val="96"/>
          <w:marBottom w:val="0"/>
          <w:divBdr>
            <w:top w:val="none" w:sz="0" w:space="0" w:color="auto"/>
            <w:left w:val="none" w:sz="0" w:space="0" w:color="auto"/>
            <w:bottom w:val="none" w:sz="0" w:space="0" w:color="auto"/>
            <w:right w:val="none" w:sz="0" w:space="0" w:color="auto"/>
          </w:divBdr>
        </w:div>
        <w:div w:id="2038383610">
          <w:marLeft w:val="1166"/>
          <w:marRight w:val="0"/>
          <w:marTop w:val="96"/>
          <w:marBottom w:val="0"/>
          <w:divBdr>
            <w:top w:val="none" w:sz="0" w:space="0" w:color="auto"/>
            <w:left w:val="none" w:sz="0" w:space="0" w:color="auto"/>
            <w:bottom w:val="none" w:sz="0" w:space="0" w:color="auto"/>
            <w:right w:val="none" w:sz="0" w:space="0" w:color="auto"/>
          </w:divBdr>
        </w:div>
        <w:div w:id="2057580886">
          <w:marLeft w:val="1886"/>
          <w:marRight w:val="0"/>
          <w:marTop w:val="77"/>
          <w:marBottom w:val="0"/>
          <w:divBdr>
            <w:top w:val="none" w:sz="0" w:space="0" w:color="auto"/>
            <w:left w:val="none" w:sz="0" w:space="0" w:color="auto"/>
            <w:bottom w:val="none" w:sz="0" w:space="0" w:color="auto"/>
            <w:right w:val="none" w:sz="0" w:space="0" w:color="auto"/>
          </w:divBdr>
        </w:div>
      </w:divsChild>
    </w:div>
    <w:div w:id="1278411011">
      <w:bodyDiv w:val="1"/>
      <w:marLeft w:val="0"/>
      <w:marRight w:val="0"/>
      <w:marTop w:val="0"/>
      <w:marBottom w:val="0"/>
      <w:divBdr>
        <w:top w:val="none" w:sz="0" w:space="0" w:color="auto"/>
        <w:left w:val="none" w:sz="0" w:space="0" w:color="auto"/>
        <w:bottom w:val="none" w:sz="0" w:space="0" w:color="auto"/>
        <w:right w:val="none" w:sz="0" w:space="0" w:color="auto"/>
      </w:divBdr>
      <w:divsChild>
        <w:div w:id="292293484">
          <w:marLeft w:val="547"/>
          <w:marRight w:val="0"/>
          <w:marTop w:val="154"/>
          <w:marBottom w:val="0"/>
          <w:divBdr>
            <w:top w:val="none" w:sz="0" w:space="0" w:color="auto"/>
            <w:left w:val="none" w:sz="0" w:space="0" w:color="auto"/>
            <w:bottom w:val="none" w:sz="0" w:space="0" w:color="auto"/>
            <w:right w:val="none" w:sz="0" w:space="0" w:color="auto"/>
          </w:divBdr>
        </w:div>
      </w:divsChild>
    </w:div>
    <w:div w:id="1279071756">
      <w:bodyDiv w:val="1"/>
      <w:marLeft w:val="0"/>
      <w:marRight w:val="0"/>
      <w:marTop w:val="0"/>
      <w:marBottom w:val="0"/>
      <w:divBdr>
        <w:top w:val="none" w:sz="0" w:space="0" w:color="auto"/>
        <w:left w:val="none" w:sz="0" w:space="0" w:color="auto"/>
        <w:bottom w:val="none" w:sz="0" w:space="0" w:color="auto"/>
        <w:right w:val="none" w:sz="0" w:space="0" w:color="auto"/>
      </w:divBdr>
    </w:div>
    <w:div w:id="1280574312">
      <w:bodyDiv w:val="1"/>
      <w:marLeft w:val="0"/>
      <w:marRight w:val="0"/>
      <w:marTop w:val="0"/>
      <w:marBottom w:val="0"/>
      <w:divBdr>
        <w:top w:val="none" w:sz="0" w:space="0" w:color="auto"/>
        <w:left w:val="none" w:sz="0" w:space="0" w:color="auto"/>
        <w:bottom w:val="none" w:sz="0" w:space="0" w:color="auto"/>
        <w:right w:val="none" w:sz="0" w:space="0" w:color="auto"/>
      </w:divBdr>
    </w:div>
    <w:div w:id="1281649651">
      <w:bodyDiv w:val="1"/>
      <w:marLeft w:val="0"/>
      <w:marRight w:val="0"/>
      <w:marTop w:val="0"/>
      <w:marBottom w:val="0"/>
      <w:divBdr>
        <w:top w:val="none" w:sz="0" w:space="0" w:color="auto"/>
        <w:left w:val="none" w:sz="0" w:space="0" w:color="auto"/>
        <w:bottom w:val="none" w:sz="0" w:space="0" w:color="auto"/>
        <w:right w:val="none" w:sz="0" w:space="0" w:color="auto"/>
      </w:divBdr>
    </w:div>
    <w:div w:id="1281718894">
      <w:bodyDiv w:val="1"/>
      <w:marLeft w:val="0"/>
      <w:marRight w:val="0"/>
      <w:marTop w:val="0"/>
      <w:marBottom w:val="0"/>
      <w:divBdr>
        <w:top w:val="none" w:sz="0" w:space="0" w:color="auto"/>
        <w:left w:val="none" w:sz="0" w:space="0" w:color="auto"/>
        <w:bottom w:val="none" w:sz="0" w:space="0" w:color="auto"/>
        <w:right w:val="none" w:sz="0" w:space="0" w:color="auto"/>
      </w:divBdr>
    </w:div>
    <w:div w:id="1281915949">
      <w:bodyDiv w:val="1"/>
      <w:marLeft w:val="0"/>
      <w:marRight w:val="0"/>
      <w:marTop w:val="0"/>
      <w:marBottom w:val="0"/>
      <w:divBdr>
        <w:top w:val="none" w:sz="0" w:space="0" w:color="auto"/>
        <w:left w:val="none" w:sz="0" w:space="0" w:color="auto"/>
        <w:bottom w:val="none" w:sz="0" w:space="0" w:color="auto"/>
        <w:right w:val="none" w:sz="0" w:space="0" w:color="auto"/>
      </w:divBdr>
    </w:div>
    <w:div w:id="1283685743">
      <w:bodyDiv w:val="1"/>
      <w:marLeft w:val="0"/>
      <w:marRight w:val="0"/>
      <w:marTop w:val="0"/>
      <w:marBottom w:val="0"/>
      <w:divBdr>
        <w:top w:val="none" w:sz="0" w:space="0" w:color="auto"/>
        <w:left w:val="none" w:sz="0" w:space="0" w:color="auto"/>
        <w:bottom w:val="none" w:sz="0" w:space="0" w:color="auto"/>
        <w:right w:val="none" w:sz="0" w:space="0" w:color="auto"/>
      </w:divBdr>
      <w:divsChild>
        <w:div w:id="169299443">
          <w:marLeft w:val="1526"/>
          <w:marRight w:val="0"/>
          <w:marTop w:val="115"/>
          <w:marBottom w:val="0"/>
          <w:divBdr>
            <w:top w:val="none" w:sz="0" w:space="0" w:color="auto"/>
            <w:left w:val="none" w:sz="0" w:space="0" w:color="auto"/>
            <w:bottom w:val="none" w:sz="0" w:space="0" w:color="auto"/>
            <w:right w:val="none" w:sz="0" w:space="0" w:color="auto"/>
          </w:divBdr>
        </w:div>
        <w:div w:id="271210444">
          <w:marLeft w:val="1800"/>
          <w:marRight w:val="0"/>
          <w:marTop w:val="115"/>
          <w:marBottom w:val="0"/>
          <w:divBdr>
            <w:top w:val="none" w:sz="0" w:space="0" w:color="auto"/>
            <w:left w:val="none" w:sz="0" w:space="0" w:color="auto"/>
            <w:bottom w:val="none" w:sz="0" w:space="0" w:color="auto"/>
            <w:right w:val="none" w:sz="0" w:space="0" w:color="auto"/>
          </w:divBdr>
        </w:div>
        <w:div w:id="812873537">
          <w:marLeft w:val="1800"/>
          <w:marRight w:val="0"/>
          <w:marTop w:val="115"/>
          <w:marBottom w:val="0"/>
          <w:divBdr>
            <w:top w:val="none" w:sz="0" w:space="0" w:color="auto"/>
            <w:left w:val="none" w:sz="0" w:space="0" w:color="auto"/>
            <w:bottom w:val="none" w:sz="0" w:space="0" w:color="auto"/>
            <w:right w:val="none" w:sz="0" w:space="0" w:color="auto"/>
          </w:divBdr>
        </w:div>
        <w:div w:id="913507905">
          <w:marLeft w:val="1526"/>
          <w:marRight w:val="0"/>
          <w:marTop w:val="115"/>
          <w:marBottom w:val="0"/>
          <w:divBdr>
            <w:top w:val="none" w:sz="0" w:space="0" w:color="auto"/>
            <w:left w:val="none" w:sz="0" w:space="0" w:color="auto"/>
            <w:bottom w:val="none" w:sz="0" w:space="0" w:color="auto"/>
            <w:right w:val="none" w:sz="0" w:space="0" w:color="auto"/>
          </w:divBdr>
        </w:div>
        <w:div w:id="1716539257">
          <w:marLeft w:val="1526"/>
          <w:marRight w:val="0"/>
          <w:marTop w:val="115"/>
          <w:marBottom w:val="0"/>
          <w:divBdr>
            <w:top w:val="none" w:sz="0" w:space="0" w:color="auto"/>
            <w:left w:val="none" w:sz="0" w:space="0" w:color="auto"/>
            <w:bottom w:val="none" w:sz="0" w:space="0" w:color="auto"/>
            <w:right w:val="none" w:sz="0" w:space="0" w:color="auto"/>
          </w:divBdr>
        </w:div>
      </w:divsChild>
    </w:div>
    <w:div w:id="1284144195">
      <w:bodyDiv w:val="1"/>
      <w:marLeft w:val="0"/>
      <w:marRight w:val="0"/>
      <w:marTop w:val="0"/>
      <w:marBottom w:val="0"/>
      <w:divBdr>
        <w:top w:val="none" w:sz="0" w:space="0" w:color="auto"/>
        <w:left w:val="none" w:sz="0" w:space="0" w:color="auto"/>
        <w:bottom w:val="none" w:sz="0" w:space="0" w:color="auto"/>
        <w:right w:val="none" w:sz="0" w:space="0" w:color="auto"/>
      </w:divBdr>
    </w:div>
    <w:div w:id="1285306148">
      <w:bodyDiv w:val="1"/>
      <w:marLeft w:val="0"/>
      <w:marRight w:val="0"/>
      <w:marTop w:val="0"/>
      <w:marBottom w:val="0"/>
      <w:divBdr>
        <w:top w:val="none" w:sz="0" w:space="0" w:color="auto"/>
        <w:left w:val="none" w:sz="0" w:space="0" w:color="auto"/>
        <w:bottom w:val="none" w:sz="0" w:space="0" w:color="auto"/>
        <w:right w:val="none" w:sz="0" w:space="0" w:color="auto"/>
      </w:divBdr>
    </w:div>
    <w:div w:id="1285379530">
      <w:bodyDiv w:val="1"/>
      <w:marLeft w:val="0"/>
      <w:marRight w:val="0"/>
      <w:marTop w:val="0"/>
      <w:marBottom w:val="0"/>
      <w:divBdr>
        <w:top w:val="none" w:sz="0" w:space="0" w:color="auto"/>
        <w:left w:val="none" w:sz="0" w:space="0" w:color="auto"/>
        <w:bottom w:val="none" w:sz="0" w:space="0" w:color="auto"/>
        <w:right w:val="none" w:sz="0" w:space="0" w:color="auto"/>
      </w:divBdr>
    </w:div>
    <w:div w:id="1285892104">
      <w:bodyDiv w:val="1"/>
      <w:marLeft w:val="0"/>
      <w:marRight w:val="0"/>
      <w:marTop w:val="0"/>
      <w:marBottom w:val="0"/>
      <w:divBdr>
        <w:top w:val="none" w:sz="0" w:space="0" w:color="auto"/>
        <w:left w:val="none" w:sz="0" w:space="0" w:color="auto"/>
        <w:bottom w:val="none" w:sz="0" w:space="0" w:color="auto"/>
        <w:right w:val="none" w:sz="0" w:space="0" w:color="auto"/>
      </w:divBdr>
    </w:div>
    <w:div w:id="1287081224">
      <w:bodyDiv w:val="1"/>
      <w:marLeft w:val="0"/>
      <w:marRight w:val="0"/>
      <w:marTop w:val="0"/>
      <w:marBottom w:val="0"/>
      <w:divBdr>
        <w:top w:val="none" w:sz="0" w:space="0" w:color="auto"/>
        <w:left w:val="none" w:sz="0" w:space="0" w:color="auto"/>
        <w:bottom w:val="none" w:sz="0" w:space="0" w:color="auto"/>
        <w:right w:val="none" w:sz="0" w:space="0" w:color="auto"/>
      </w:divBdr>
    </w:div>
    <w:div w:id="1288045714">
      <w:bodyDiv w:val="1"/>
      <w:marLeft w:val="0"/>
      <w:marRight w:val="0"/>
      <w:marTop w:val="0"/>
      <w:marBottom w:val="0"/>
      <w:divBdr>
        <w:top w:val="none" w:sz="0" w:space="0" w:color="auto"/>
        <w:left w:val="none" w:sz="0" w:space="0" w:color="auto"/>
        <w:bottom w:val="none" w:sz="0" w:space="0" w:color="auto"/>
        <w:right w:val="none" w:sz="0" w:space="0" w:color="auto"/>
      </w:divBdr>
    </w:div>
    <w:div w:id="1288394385">
      <w:bodyDiv w:val="1"/>
      <w:marLeft w:val="0"/>
      <w:marRight w:val="0"/>
      <w:marTop w:val="0"/>
      <w:marBottom w:val="0"/>
      <w:divBdr>
        <w:top w:val="none" w:sz="0" w:space="0" w:color="auto"/>
        <w:left w:val="none" w:sz="0" w:space="0" w:color="auto"/>
        <w:bottom w:val="none" w:sz="0" w:space="0" w:color="auto"/>
        <w:right w:val="none" w:sz="0" w:space="0" w:color="auto"/>
      </w:divBdr>
    </w:div>
    <w:div w:id="1288514444">
      <w:bodyDiv w:val="1"/>
      <w:marLeft w:val="0"/>
      <w:marRight w:val="0"/>
      <w:marTop w:val="0"/>
      <w:marBottom w:val="0"/>
      <w:divBdr>
        <w:top w:val="none" w:sz="0" w:space="0" w:color="auto"/>
        <w:left w:val="none" w:sz="0" w:space="0" w:color="auto"/>
        <w:bottom w:val="none" w:sz="0" w:space="0" w:color="auto"/>
        <w:right w:val="none" w:sz="0" w:space="0" w:color="auto"/>
      </w:divBdr>
    </w:div>
    <w:div w:id="1288661199">
      <w:bodyDiv w:val="1"/>
      <w:marLeft w:val="0"/>
      <w:marRight w:val="0"/>
      <w:marTop w:val="0"/>
      <w:marBottom w:val="0"/>
      <w:divBdr>
        <w:top w:val="none" w:sz="0" w:space="0" w:color="auto"/>
        <w:left w:val="none" w:sz="0" w:space="0" w:color="auto"/>
        <w:bottom w:val="none" w:sz="0" w:space="0" w:color="auto"/>
        <w:right w:val="none" w:sz="0" w:space="0" w:color="auto"/>
      </w:divBdr>
    </w:div>
    <w:div w:id="1288969827">
      <w:bodyDiv w:val="1"/>
      <w:marLeft w:val="0"/>
      <w:marRight w:val="0"/>
      <w:marTop w:val="0"/>
      <w:marBottom w:val="0"/>
      <w:divBdr>
        <w:top w:val="none" w:sz="0" w:space="0" w:color="auto"/>
        <w:left w:val="none" w:sz="0" w:space="0" w:color="auto"/>
        <w:bottom w:val="none" w:sz="0" w:space="0" w:color="auto"/>
        <w:right w:val="none" w:sz="0" w:space="0" w:color="auto"/>
      </w:divBdr>
      <w:divsChild>
        <w:div w:id="26957278">
          <w:marLeft w:val="1166"/>
          <w:marRight w:val="0"/>
          <w:marTop w:val="134"/>
          <w:marBottom w:val="0"/>
          <w:divBdr>
            <w:top w:val="none" w:sz="0" w:space="0" w:color="auto"/>
            <w:left w:val="none" w:sz="0" w:space="0" w:color="auto"/>
            <w:bottom w:val="none" w:sz="0" w:space="0" w:color="auto"/>
            <w:right w:val="none" w:sz="0" w:space="0" w:color="auto"/>
          </w:divBdr>
        </w:div>
        <w:div w:id="187261947">
          <w:marLeft w:val="547"/>
          <w:marRight w:val="0"/>
          <w:marTop w:val="154"/>
          <w:marBottom w:val="0"/>
          <w:divBdr>
            <w:top w:val="none" w:sz="0" w:space="0" w:color="auto"/>
            <w:left w:val="none" w:sz="0" w:space="0" w:color="auto"/>
            <w:bottom w:val="none" w:sz="0" w:space="0" w:color="auto"/>
            <w:right w:val="none" w:sz="0" w:space="0" w:color="auto"/>
          </w:divBdr>
        </w:div>
        <w:div w:id="338697480">
          <w:marLeft w:val="547"/>
          <w:marRight w:val="0"/>
          <w:marTop w:val="154"/>
          <w:marBottom w:val="0"/>
          <w:divBdr>
            <w:top w:val="none" w:sz="0" w:space="0" w:color="auto"/>
            <w:left w:val="none" w:sz="0" w:space="0" w:color="auto"/>
            <w:bottom w:val="none" w:sz="0" w:space="0" w:color="auto"/>
            <w:right w:val="none" w:sz="0" w:space="0" w:color="auto"/>
          </w:divBdr>
        </w:div>
        <w:div w:id="754866661">
          <w:marLeft w:val="1166"/>
          <w:marRight w:val="0"/>
          <w:marTop w:val="134"/>
          <w:marBottom w:val="0"/>
          <w:divBdr>
            <w:top w:val="none" w:sz="0" w:space="0" w:color="auto"/>
            <w:left w:val="none" w:sz="0" w:space="0" w:color="auto"/>
            <w:bottom w:val="none" w:sz="0" w:space="0" w:color="auto"/>
            <w:right w:val="none" w:sz="0" w:space="0" w:color="auto"/>
          </w:divBdr>
        </w:div>
        <w:div w:id="1432317040">
          <w:marLeft w:val="1166"/>
          <w:marRight w:val="0"/>
          <w:marTop w:val="134"/>
          <w:marBottom w:val="0"/>
          <w:divBdr>
            <w:top w:val="none" w:sz="0" w:space="0" w:color="auto"/>
            <w:left w:val="none" w:sz="0" w:space="0" w:color="auto"/>
            <w:bottom w:val="none" w:sz="0" w:space="0" w:color="auto"/>
            <w:right w:val="none" w:sz="0" w:space="0" w:color="auto"/>
          </w:divBdr>
        </w:div>
      </w:divsChild>
    </w:div>
    <w:div w:id="1289044499">
      <w:bodyDiv w:val="1"/>
      <w:marLeft w:val="0"/>
      <w:marRight w:val="0"/>
      <w:marTop w:val="0"/>
      <w:marBottom w:val="0"/>
      <w:divBdr>
        <w:top w:val="none" w:sz="0" w:space="0" w:color="auto"/>
        <w:left w:val="none" w:sz="0" w:space="0" w:color="auto"/>
        <w:bottom w:val="none" w:sz="0" w:space="0" w:color="auto"/>
        <w:right w:val="none" w:sz="0" w:space="0" w:color="auto"/>
      </w:divBdr>
      <w:divsChild>
        <w:div w:id="419378760">
          <w:marLeft w:val="547"/>
          <w:marRight w:val="0"/>
          <w:marTop w:val="115"/>
          <w:marBottom w:val="0"/>
          <w:divBdr>
            <w:top w:val="none" w:sz="0" w:space="0" w:color="auto"/>
            <w:left w:val="none" w:sz="0" w:space="0" w:color="auto"/>
            <w:bottom w:val="none" w:sz="0" w:space="0" w:color="auto"/>
            <w:right w:val="none" w:sz="0" w:space="0" w:color="auto"/>
          </w:divBdr>
        </w:div>
        <w:div w:id="1805198133">
          <w:marLeft w:val="547"/>
          <w:marRight w:val="0"/>
          <w:marTop w:val="115"/>
          <w:marBottom w:val="0"/>
          <w:divBdr>
            <w:top w:val="none" w:sz="0" w:space="0" w:color="auto"/>
            <w:left w:val="none" w:sz="0" w:space="0" w:color="auto"/>
            <w:bottom w:val="none" w:sz="0" w:space="0" w:color="auto"/>
            <w:right w:val="none" w:sz="0" w:space="0" w:color="auto"/>
          </w:divBdr>
        </w:div>
      </w:divsChild>
    </w:div>
    <w:div w:id="1289429361">
      <w:bodyDiv w:val="1"/>
      <w:marLeft w:val="0"/>
      <w:marRight w:val="0"/>
      <w:marTop w:val="0"/>
      <w:marBottom w:val="0"/>
      <w:divBdr>
        <w:top w:val="none" w:sz="0" w:space="0" w:color="auto"/>
        <w:left w:val="none" w:sz="0" w:space="0" w:color="auto"/>
        <w:bottom w:val="none" w:sz="0" w:space="0" w:color="auto"/>
        <w:right w:val="none" w:sz="0" w:space="0" w:color="auto"/>
      </w:divBdr>
    </w:div>
    <w:div w:id="1289973115">
      <w:bodyDiv w:val="1"/>
      <w:marLeft w:val="0"/>
      <w:marRight w:val="0"/>
      <w:marTop w:val="0"/>
      <w:marBottom w:val="0"/>
      <w:divBdr>
        <w:top w:val="none" w:sz="0" w:space="0" w:color="auto"/>
        <w:left w:val="none" w:sz="0" w:space="0" w:color="auto"/>
        <w:bottom w:val="none" w:sz="0" w:space="0" w:color="auto"/>
        <w:right w:val="none" w:sz="0" w:space="0" w:color="auto"/>
      </w:divBdr>
    </w:div>
    <w:div w:id="1291134073">
      <w:bodyDiv w:val="1"/>
      <w:marLeft w:val="0"/>
      <w:marRight w:val="0"/>
      <w:marTop w:val="0"/>
      <w:marBottom w:val="0"/>
      <w:divBdr>
        <w:top w:val="none" w:sz="0" w:space="0" w:color="auto"/>
        <w:left w:val="none" w:sz="0" w:space="0" w:color="auto"/>
        <w:bottom w:val="none" w:sz="0" w:space="0" w:color="auto"/>
        <w:right w:val="none" w:sz="0" w:space="0" w:color="auto"/>
      </w:divBdr>
      <w:divsChild>
        <w:div w:id="362708956">
          <w:marLeft w:val="1166"/>
          <w:marRight w:val="0"/>
          <w:marTop w:val="240"/>
          <w:marBottom w:val="0"/>
          <w:divBdr>
            <w:top w:val="none" w:sz="0" w:space="0" w:color="auto"/>
            <w:left w:val="none" w:sz="0" w:space="0" w:color="auto"/>
            <w:bottom w:val="none" w:sz="0" w:space="0" w:color="auto"/>
            <w:right w:val="none" w:sz="0" w:space="0" w:color="auto"/>
          </w:divBdr>
        </w:div>
        <w:div w:id="1348096836">
          <w:marLeft w:val="547"/>
          <w:marRight w:val="0"/>
          <w:marTop w:val="240"/>
          <w:marBottom w:val="0"/>
          <w:divBdr>
            <w:top w:val="none" w:sz="0" w:space="0" w:color="auto"/>
            <w:left w:val="none" w:sz="0" w:space="0" w:color="auto"/>
            <w:bottom w:val="none" w:sz="0" w:space="0" w:color="auto"/>
            <w:right w:val="none" w:sz="0" w:space="0" w:color="auto"/>
          </w:divBdr>
        </w:div>
        <w:div w:id="1441102771">
          <w:marLeft w:val="1166"/>
          <w:marRight w:val="0"/>
          <w:marTop w:val="240"/>
          <w:marBottom w:val="0"/>
          <w:divBdr>
            <w:top w:val="none" w:sz="0" w:space="0" w:color="auto"/>
            <w:left w:val="none" w:sz="0" w:space="0" w:color="auto"/>
            <w:bottom w:val="none" w:sz="0" w:space="0" w:color="auto"/>
            <w:right w:val="none" w:sz="0" w:space="0" w:color="auto"/>
          </w:divBdr>
        </w:div>
      </w:divsChild>
    </w:div>
    <w:div w:id="1291864061">
      <w:bodyDiv w:val="1"/>
      <w:marLeft w:val="0"/>
      <w:marRight w:val="0"/>
      <w:marTop w:val="0"/>
      <w:marBottom w:val="0"/>
      <w:divBdr>
        <w:top w:val="none" w:sz="0" w:space="0" w:color="auto"/>
        <w:left w:val="none" w:sz="0" w:space="0" w:color="auto"/>
        <w:bottom w:val="none" w:sz="0" w:space="0" w:color="auto"/>
        <w:right w:val="none" w:sz="0" w:space="0" w:color="auto"/>
      </w:divBdr>
    </w:div>
    <w:div w:id="1291933307">
      <w:bodyDiv w:val="1"/>
      <w:marLeft w:val="0"/>
      <w:marRight w:val="0"/>
      <w:marTop w:val="0"/>
      <w:marBottom w:val="0"/>
      <w:divBdr>
        <w:top w:val="none" w:sz="0" w:space="0" w:color="auto"/>
        <w:left w:val="none" w:sz="0" w:space="0" w:color="auto"/>
        <w:bottom w:val="none" w:sz="0" w:space="0" w:color="auto"/>
        <w:right w:val="none" w:sz="0" w:space="0" w:color="auto"/>
      </w:divBdr>
    </w:div>
    <w:div w:id="1292244110">
      <w:bodyDiv w:val="1"/>
      <w:marLeft w:val="0"/>
      <w:marRight w:val="0"/>
      <w:marTop w:val="0"/>
      <w:marBottom w:val="0"/>
      <w:divBdr>
        <w:top w:val="none" w:sz="0" w:space="0" w:color="auto"/>
        <w:left w:val="none" w:sz="0" w:space="0" w:color="auto"/>
        <w:bottom w:val="none" w:sz="0" w:space="0" w:color="auto"/>
        <w:right w:val="none" w:sz="0" w:space="0" w:color="auto"/>
      </w:divBdr>
    </w:div>
    <w:div w:id="1292395652">
      <w:bodyDiv w:val="1"/>
      <w:marLeft w:val="0"/>
      <w:marRight w:val="0"/>
      <w:marTop w:val="0"/>
      <w:marBottom w:val="0"/>
      <w:divBdr>
        <w:top w:val="none" w:sz="0" w:space="0" w:color="auto"/>
        <w:left w:val="none" w:sz="0" w:space="0" w:color="auto"/>
        <w:bottom w:val="none" w:sz="0" w:space="0" w:color="auto"/>
        <w:right w:val="none" w:sz="0" w:space="0" w:color="auto"/>
      </w:divBdr>
      <w:divsChild>
        <w:div w:id="48963127">
          <w:marLeft w:val="0"/>
          <w:marRight w:val="0"/>
          <w:marTop w:val="0"/>
          <w:marBottom w:val="0"/>
          <w:divBdr>
            <w:top w:val="none" w:sz="0" w:space="0" w:color="auto"/>
            <w:left w:val="none" w:sz="0" w:space="0" w:color="auto"/>
            <w:bottom w:val="none" w:sz="0" w:space="0" w:color="auto"/>
            <w:right w:val="none" w:sz="0" w:space="0" w:color="auto"/>
          </w:divBdr>
          <w:divsChild>
            <w:div w:id="1159228560">
              <w:marLeft w:val="0"/>
              <w:marRight w:val="0"/>
              <w:marTop w:val="0"/>
              <w:marBottom w:val="0"/>
              <w:divBdr>
                <w:top w:val="none" w:sz="0" w:space="0" w:color="auto"/>
                <w:left w:val="none" w:sz="0" w:space="0" w:color="auto"/>
                <w:bottom w:val="none" w:sz="0" w:space="0" w:color="auto"/>
                <w:right w:val="none" w:sz="0" w:space="0" w:color="auto"/>
              </w:divBdr>
            </w:div>
          </w:divsChild>
        </w:div>
        <w:div w:id="290749160">
          <w:marLeft w:val="0"/>
          <w:marRight w:val="0"/>
          <w:marTop w:val="0"/>
          <w:marBottom w:val="0"/>
          <w:divBdr>
            <w:top w:val="none" w:sz="0" w:space="0" w:color="auto"/>
            <w:left w:val="none" w:sz="0" w:space="0" w:color="auto"/>
            <w:bottom w:val="none" w:sz="0" w:space="0" w:color="auto"/>
            <w:right w:val="none" w:sz="0" w:space="0" w:color="auto"/>
          </w:divBdr>
        </w:div>
        <w:div w:id="1313173335">
          <w:marLeft w:val="0"/>
          <w:marRight w:val="0"/>
          <w:marTop w:val="0"/>
          <w:marBottom w:val="0"/>
          <w:divBdr>
            <w:top w:val="none" w:sz="0" w:space="0" w:color="auto"/>
            <w:left w:val="none" w:sz="0" w:space="0" w:color="auto"/>
            <w:bottom w:val="none" w:sz="0" w:space="0" w:color="auto"/>
            <w:right w:val="none" w:sz="0" w:space="0" w:color="auto"/>
          </w:divBdr>
        </w:div>
        <w:div w:id="1693920438">
          <w:marLeft w:val="0"/>
          <w:marRight w:val="0"/>
          <w:marTop w:val="0"/>
          <w:marBottom w:val="0"/>
          <w:divBdr>
            <w:top w:val="none" w:sz="0" w:space="0" w:color="auto"/>
            <w:left w:val="none" w:sz="0" w:space="0" w:color="auto"/>
            <w:bottom w:val="none" w:sz="0" w:space="0" w:color="auto"/>
            <w:right w:val="none" w:sz="0" w:space="0" w:color="auto"/>
          </w:divBdr>
          <w:divsChild>
            <w:div w:id="33584142">
              <w:marLeft w:val="0"/>
              <w:marRight w:val="0"/>
              <w:marTop w:val="0"/>
              <w:marBottom w:val="0"/>
              <w:divBdr>
                <w:top w:val="none" w:sz="0" w:space="0" w:color="auto"/>
                <w:left w:val="none" w:sz="0" w:space="0" w:color="auto"/>
                <w:bottom w:val="none" w:sz="0" w:space="0" w:color="auto"/>
                <w:right w:val="none" w:sz="0" w:space="0" w:color="auto"/>
              </w:divBdr>
            </w:div>
            <w:div w:id="717244010">
              <w:marLeft w:val="0"/>
              <w:marRight w:val="0"/>
              <w:marTop w:val="0"/>
              <w:marBottom w:val="0"/>
              <w:divBdr>
                <w:top w:val="none" w:sz="0" w:space="0" w:color="auto"/>
                <w:left w:val="none" w:sz="0" w:space="0" w:color="auto"/>
                <w:bottom w:val="none" w:sz="0" w:space="0" w:color="auto"/>
                <w:right w:val="none" w:sz="0" w:space="0" w:color="auto"/>
              </w:divBdr>
            </w:div>
            <w:div w:id="1256867902">
              <w:marLeft w:val="0"/>
              <w:marRight w:val="0"/>
              <w:marTop w:val="0"/>
              <w:marBottom w:val="0"/>
              <w:divBdr>
                <w:top w:val="none" w:sz="0" w:space="0" w:color="auto"/>
                <w:left w:val="none" w:sz="0" w:space="0" w:color="auto"/>
                <w:bottom w:val="none" w:sz="0" w:space="0" w:color="auto"/>
                <w:right w:val="none" w:sz="0" w:space="0" w:color="auto"/>
              </w:divBdr>
            </w:div>
            <w:div w:id="1395737663">
              <w:marLeft w:val="0"/>
              <w:marRight w:val="0"/>
              <w:marTop w:val="0"/>
              <w:marBottom w:val="0"/>
              <w:divBdr>
                <w:top w:val="none" w:sz="0" w:space="0" w:color="auto"/>
                <w:left w:val="none" w:sz="0" w:space="0" w:color="auto"/>
                <w:bottom w:val="none" w:sz="0" w:space="0" w:color="auto"/>
                <w:right w:val="none" w:sz="0" w:space="0" w:color="auto"/>
              </w:divBdr>
              <w:divsChild>
                <w:div w:id="261375921">
                  <w:marLeft w:val="0"/>
                  <w:marRight w:val="0"/>
                  <w:marTop w:val="0"/>
                  <w:marBottom w:val="0"/>
                  <w:divBdr>
                    <w:top w:val="none" w:sz="0" w:space="0" w:color="auto"/>
                    <w:left w:val="none" w:sz="0" w:space="0" w:color="auto"/>
                    <w:bottom w:val="none" w:sz="0" w:space="0" w:color="auto"/>
                    <w:right w:val="none" w:sz="0" w:space="0" w:color="auto"/>
                  </w:divBdr>
                </w:div>
                <w:div w:id="435445408">
                  <w:marLeft w:val="0"/>
                  <w:marRight w:val="0"/>
                  <w:marTop w:val="0"/>
                  <w:marBottom w:val="0"/>
                  <w:divBdr>
                    <w:top w:val="none" w:sz="0" w:space="0" w:color="auto"/>
                    <w:left w:val="none" w:sz="0" w:space="0" w:color="auto"/>
                    <w:bottom w:val="none" w:sz="0" w:space="0" w:color="auto"/>
                    <w:right w:val="none" w:sz="0" w:space="0" w:color="auto"/>
                  </w:divBdr>
                </w:div>
                <w:div w:id="935752475">
                  <w:marLeft w:val="0"/>
                  <w:marRight w:val="0"/>
                  <w:marTop w:val="0"/>
                  <w:marBottom w:val="0"/>
                  <w:divBdr>
                    <w:top w:val="none" w:sz="0" w:space="0" w:color="auto"/>
                    <w:left w:val="none" w:sz="0" w:space="0" w:color="auto"/>
                    <w:bottom w:val="none" w:sz="0" w:space="0" w:color="auto"/>
                    <w:right w:val="none" w:sz="0" w:space="0" w:color="auto"/>
                  </w:divBdr>
                </w:div>
                <w:div w:id="1334796872">
                  <w:marLeft w:val="0"/>
                  <w:marRight w:val="0"/>
                  <w:marTop w:val="0"/>
                  <w:marBottom w:val="0"/>
                  <w:divBdr>
                    <w:top w:val="none" w:sz="0" w:space="0" w:color="auto"/>
                    <w:left w:val="none" w:sz="0" w:space="0" w:color="auto"/>
                    <w:bottom w:val="none" w:sz="0" w:space="0" w:color="auto"/>
                    <w:right w:val="none" w:sz="0" w:space="0" w:color="auto"/>
                  </w:divBdr>
                  <w:divsChild>
                    <w:div w:id="716397417">
                      <w:marLeft w:val="0"/>
                      <w:marRight w:val="0"/>
                      <w:marTop w:val="0"/>
                      <w:marBottom w:val="0"/>
                      <w:divBdr>
                        <w:top w:val="none" w:sz="0" w:space="0" w:color="auto"/>
                        <w:left w:val="none" w:sz="0" w:space="0" w:color="auto"/>
                        <w:bottom w:val="none" w:sz="0" w:space="0" w:color="auto"/>
                        <w:right w:val="none" w:sz="0" w:space="0" w:color="auto"/>
                      </w:divBdr>
                    </w:div>
                    <w:div w:id="1589927066">
                      <w:marLeft w:val="0"/>
                      <w:marRight w:val="0"/>
                      <w:marTop w:val="0"/>
                      <w:marBottom w:val="0"/>
                      <w:divBdr>
                        <w:top w:val="none" w:sz="0" w:space="0" w:color="auto"/>
                        <w:left w:val="none" w:sz="0" w:space="0" w:color="auto"/>
                        <w:bottom w:val="none" w:sz="0" w:space="0" w:color="auto"/>
                        <w:right w:val="none" w:sz="0" w:space="0" w:color="auto"/>
                      </w:divBdr>
                    </w:div>
                    <w:div w:id="1979722580">
                      <w:marLeft w:val="0"/>
                      <w:marRight w:val="0"/>
                      <w:marTop w:val="0"/>
                      <w:marBottom w:val="0"/>
                      <w:divBdr>
                        <w:top w:val="none" w:sz="0" w:space="0" w:color="auto"/>
                        <w:left w:val="none" w:sz="0" w:space="0" w:color="auto"/>
                        <w:bottom w:val="none" w:sz="0" w:space="0" w:color="auto"/>
                        <w:right w:val="none" w:sz="0" w:space="0" w:color="auto"/>
                      </w:divBdr>
                    </w:div>
                  </w:divsChild>
                </w:div>
                <w:div w:id="2014799129">
                  <w:marLeft w:val="0"/>
                  <w:marRight w:val="0"/>
                  <w:marTop w:val="0"/>
                  <w:marBottom w:val="0"/>
                  <w:divBdr>
                    <w:top w:val="none" w:sz="0" w:space="0" w:color="auto"/>
                    <w:left w:val="none" w:sz="0" w:space="0" w:color="auto"/>
                    <w:bottom w:val="none" w:sz="0" w:space="0" w:color="auto"/>
                    <w:right w:val="none" w:sz="0" w:space="0" w:color="auto"/>
                  </w:divBdr>
                </w:div>
              </w:divsChild>
            </w:div>
            <w:div w:id="20205726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2441925">
      <w:bodyDiv w:val="1"/>
      <w:marLeft w:val="0"/>
      <w:marRight w:val="0"/>
      <w:marTop w:val="0"/>
      <w:marBottom w:val="0"/>
      <w:divBdr>
        <w:top w:val="none" w:sz="0" w:space="0" w:color="auto"/>
        <w:left w:val="none" w:sz="0" w:space="0" w:color="auto"/>
        <w:bottom w:val="none" w:sz="0" w:space="0" w:color="auto"/>
        <w:right w:val="none" w:sz="0" w:space="0" w:color="auto"/>
      </w:divBdr>
    </w:div>
    <w:div w:id="1293170192">
      <w:bodyDiv w:val="1"/>
      <w:marLeft w:val="0"/>
      <w:marRight w:val="0"/>
      <w:marTop w:val="0"/>
      <w:marBottom w:val="0"/>
      <w:divBdr>
        <w:top w:val="none" w:sz="0" w:space="0" w:color="auto"/>
        <w:left w:val="none" w:sz="0" w:space="0" w:color="auto"/>
        <w:bottom w:val="none" w:sz="0" w:space="0" w:color="auto"/>
        <w:right w:val="none" w:sz="0" w:space="0" w:color="auto"/>
      </w:divBdr>
    </w:div>
    <w:div w:id="1294405953">
      <w:bodyDiv w:val="1"/>
      <w:marLeft w:val="0"/>
      <w:marRight w:val="0"/>
      <w:marTop w:val="0"/>
      <w:marBottom w:val="0"/>
      <w:divBdr>
        <w:top w:val="none" w:sz="0" w:space="0" w:color="auto"/>
        <w:left w:val="none" w:sz="0" w:space="0" w:color="auto"/>
        <w:bottom w:val="none" w:sz="0" w:space="0" w:color="auto"/>
        <w:right w:val="none" w:sz="0" w:space="0" w:color="auto"/>
      </w:divBdr>
      <w:divsChild>
        <w:div w:id="45449100">
          <w:marLeft w:val="1080"/>
          <w:marRight w:val="0"/>
          <w:marTop w:val="100"/>
          <w:marBottom w:val="0"/>
          <w:divBdr>
            <w:top w:val="none" w:sz="0" w:space="0" w:color="auto"/>
            <w:left w:val="none" w:sz="0" w:space="0" w:color="auto"/>
            <w:bottom w:val="none" w:sz="0" w:space="0" w:color="auto"/>
            <w:right w:val="none" w:sz="0" w:space="0" w:color="auto"/>
          </w:divBdr>
        </w:div>
        <w:div w:id="175850156">
          <w:marLeft w:val="1080"/>
          <w:marRight w:val="0"/>
          <w:marTop w:val="100"/>
          <w:marBottom w:val="0"/>
          <w:divBdr>
            <w:top w:val="none" w:sz="0" w:space="0" w:color="auto"/>
            <w:left w:val="none" w:sz="0" w:space="0" w:color="auto"/>
            <w:bottom w:val="none" w:sz="0" w:space="0" w:color="auto"/>
            <w:right w:val="none" w:sz="0" w:space="0" w:color="auto"/>
          </w:divBdr>
        </w:div>
        <w:div w:id="883711134">
          <w:marLeft w:val="1080"/>
          <w:marRight w:val="0"/>
          <w:marTop w:val="100"/>
          <w:marBottom w:val="0"/>
          <w:divBdr>
            <w:top w:val="none" w:sz="0" w:space="0" w:color="auto"/>
            <w:left w:val="none" w:sz="0" w:space="0" w:color="auto"/>
            <w:bottom w:val="none" w:sz="0" w:space="0" w:color="auto"/>
            <w:right w:val="none" w:sz="0" w:space="0" w:color="auto"/>
          </w:divBdr>
        </w:div>
        <w:div w:id="1329333706">
          <w:marLeft w:val="360"/>
          <w:marRight w:val="0"/>
          <w:marTop w:val="200"/>
          <w:marBottom w:val="0"/>
          <w:divBdr>
            <w:top w:val="none" w:sz="0" w:space="0" w:color="auto"/>
            <w:left w:val="none" w:sz="0" w:space="0" w:color="auto"/>
            <w:bottom w:val="none" w:sz="0" w:space="0" w:color="auto"/>
            <w:right w:val="none" w:sz="0" w:space="0" w:color="auto"/>
          </w:divBdr>
        </w:div>
      </w:divsChild>
    </w:div>
    <w:div w:id="1295600571">
      <w:bodyDiv w:val="1"/>
      <w:marLeft w:val="0"/>
      <w:marRight w:val="0"/>
      <w:marTop w:val="0"/>
      <w:marBottom w:val="0"/>
      <w:divBdr>
        <w:top w:val="none" w:sz="0" w:space="0" w:color="auto"/>
        <w:left w:val="none" w:sz="0" w:space="0" w:color="auto"/>
        <w:bottom w:val="none" w:sz="0" w:space="0" w:color="auto"/>
        <w:right w:val="none" w:sz="0" w:space="0" w:color="auto"/>
      </w:divBdr>
    </w:div>
    <w:div w:id="1296373108">
      <w:bodyDiv w:val="1"/>
      <w:marLeft w:val="0"/>
      <w:marRight w:val="0"/>
      <w:marTop w:val="0"/>
      <w:marBottom w:val="0"/>
      <w:divBdr>
        <w:top w:val="none" w:sz="0" w:space="0" w:color="auto"/>
        <w:left w:val="none" w:sz="0" w:space="0" w:color="auto"/>
        <w:bottom w:val="none" w:sz="0" w:space="0" w:color="auto"/>
        <w:right w:val="none" w:sz="0" w:space="0" w:color="auto"/>
      </w:divBdr>
    </w:div>
    <w:div w:id="1298801652">
      <w:bodyDiv w:val="1"/>
      <w:marLeft w:val="0"/>
      <w:marRight w:val="0"/>
      <w:marTop w:val="0"/>
      <w:marBottom w:val="0"/>
      <w:divBdr>
        <w:top w:val="none" w:sz="0" w:space="0" w:color="auto"/>
        <w:left w:val="none" w:sz="0" w:space="0" w:color="auto"/>
        <w:bottom w:val="none" w:sz="0" w:space="0" w:color="auto"/>
        <w:right w:val="none" w:sz="0" w:space="0" w:color="auto"/>
      </w:divBdr>
    </w:div>
    <w:div w:id="1298948875">
      <w:bodyDiv w:val="1"/>
      <w:marLeft w:val="0"/>
      <w:marRight w:val="0"/>
      <w:marTop w:val="0"/>
      <w:marBottom w:val="0"/>
      <w:divBdr>
        <w:top w:val="none" w:sz="0" w:space="0" w:color="auto"/>
        <w:left w:val="none" w:sz="0" w:space="0" w:color="auto"/>
        <w:bottom w:val="none" w:sz="0" w:space="0" w:color="auto"/>
        <w:right w:val="none" w:sz="0" w:space="0" w:color="auto"/>
      </w:divBdr>
    </w:div>
    <w:div w:id="1299455725">
      <w:bodyDiv w:val="1"/>
      <w:marLeft w:val="0"/>
      <w:marRight w:val="0"/>
      <w:marTop w:val="0"/>
      <w:marBottom w:val="0"/>
      <w:divBdr>
        <w:top w:val="none" w:sz="0" w:space="0" w:color="auto"/>
        <w:left w:val="none" w:sz="0" w:space="0" w:color="auto"/>
        <w:bottom w:val="none" w:sz="0" w:space="0" w:color="auto"/>
        <w:right w:val="none" w:sz="0" w:space="0" w:color="auto"/>
      </w:divBdr>
      <w:divsChild>
        <w:div w:id="118882836">
          <w:marLeft w:val="1166"/>
          <w:marRight w:val="0"/>
          <w:marTop w:val="96"/>
          <w:marBottom w:val="0"/>
          <w:divBdr>
            <w:top w:val="none" w:sz="0" w:space="0" w:color="auto"/>
            <w:left w:val="none" w:sz="0" w:space="0" w:color="auto"/>
            <w:bottom w:val="none" w:sz="0" w:space="0" w:color="auto"/>
            <w:right w:val="none" w:sz="0" w:space="0" w:color="auto"/>
          </w:divBdr>
        </w:div>
        <w:div w:id="222302258">
          <w:marLeft w:val="1800"/>
          <w:marRight w:val="0"/>
          <w:marTop w:val="82"/>
          <w:marBottom w:val="0"/>
          <w:divBdr>
            <w:top w:val="none" w:sz="0" w:space="0" w:color="auto"/>
            <w:left w:val="none" w:sz="0" w:space="0" w:color="auto"/>
            <w:bottom w:val="none" w:sz="0" w:space="0" w:color="auto"/>
            <w:right w:val="none" w:sz="0" w:space="0" w:color="auto"/>
          </w:divBdr>
        </w:div>
        <w:div w:id="364788775">
          <w:marLeft w:val="547"/>
          <w:marRight w:val="0"/>
          <w:marTop w:val="106"/>
          <w:marBottom w:val="0"/>
          <w:divBdr>
            <w:top w:val="none" w:sz="0" w:space="0" w:color="auto"/>
            <w:left w:val="none" w:sz="0" w:space="0" w:color="auto"/>
            <w:bottom w:val="none" w:sz="0" w:space="0" w:color="auto"/>
            <w:right w:val="none" w:sz="0" w:space="0" w:color="auto"/>
          </w:divBdr>
        </w:div>
        <w:div w:id="1119108396">
          <w:marLeft w:val="1166"/>
          <w:marRight w:val="0"/>
          <w:marTop w:val="96"/>
          <w:marBottom w:val="0"/>
          <w:divBdr>
            <w:top w:val="none" w:sz="0" w:space="0" w:color="auto"/>
            <w:left w:val="none" w:sz="0" w:space="0" w:color="auto"/>
            <w:bottom w:val="none" w:sz="0" w:space="0" w:color="auto"/>
            <w:right w:val="none" w:sz="0" w:space="0" w:color="auto"/>
          </w:divBdr>
        </w:div>
        <w:div w:id="1219366631">
          <w:marLeft w:val="1166"/>
          <w:marRight w:val="0"/>
          <w:marTop w:val="96"/>
          <w:marBottom w:val="0"/>
          <w:divBdr>
            <w:top w:val="none" w:sz="0" w:space="0" w:color="auto"/>
            <w:left w:val="none" w:sz="0" w:space="0" w:color="auto"/>
            <w:bottom w:val="none" w:sz="0" w:space="0" w:color="auto"/>
            <w:right w:val="none" w:sz="0" w:space="0" w:color="auto"/>
          </w:divBdr>
        </w:div>
        <w:div w:id="1406075552">
          <w:marLeft w:val="547"/>
          <w:marRight w:val="0"/>
          <w:marTop w:val="106"/>
          <w:marBottom w:val="0"/>
          <w:divBdr>
            <w:top w:val="none" w:sz="0" w:space="0" w:color="auto"/>
            <w:left w:val="none" w:sz="0" w:space="0" w:color="auto"/>
            <w:bottom w:val="none" w:sz="0" w:space="0" w:color="auto"/>
            <w:right w:val="none" w:sz="0" w:space="0" w:color="auto"/>
          </w:divBdr>
        </w:div>
        <w:div w:id="2139300612">
          <w:marLeft w:val="1166"/>
          <w:marRight w:val="0"/>
          <w:marTop w:val="96"/>
          <w:marBottom w:val="0"/>
          <w:divBdr>
            <w:top w:val="none" w:sz="0" w:space="0" w:color="auto"/>
            <w:left w:val="none" w:sz="0" w:space="0" w:color="auto"/>
            <w:bottom w:val="none" w:sz="0" w:space="0" w:color="auto"/>
            <w:right w:val="none" w:sz="0" w:space="0" w:color="auto"/>
          </w:divBdr>
        </w:div>
      </w:divsChild>
    </w:div>
    <w:div w:id="1299988797">
      <w:bodyDiv w:val="1"/>
      <w:marLeft w:val="0"/>
      <w:marRight w:val="0"/>
      <w:marTop w:val="0"/>
      <w:marBottom w:val="0"/>
      <w:divBdr>
        <w:top w:val="none" w:sz="0" w:space="0" w:color="auto"/>
        <w:left w:val="none" w:sz="0" w:space="0" w:color="auto"/>
        <w:bottom w:val="none" w:sz="0" w:space="0" w:color="auto"/>
        <w:right w:val="none" w:sz="0" w:space="0" w:color="auto"/>
      </w:divBdr>
    </w:div>
    <w:div w:id="1300064035">
      <w:bodyDiv w:val="1"/>
      <w:marLeft w:val="0"/>
      <w:marRight w:val="0"/>
      <w:marTop w:val="0"/>
      <w:marBottom w:val="0"/>
      <w:divBdr>
        <w:top w:val="none" w:sz="0" w:space="0" w:color="auto"/>
        <w:left w:val="none" w:sz="0" w:space="0" w:color="auto"/>
        <w:bottom w:val="none" w:sz="0" w:space="0" w:color="auto"/>
        <w:right w:val="none" w:sz="0" w:space="0" w:color="auto"/>
      </w:divBdr>
    </w:div>
    <w:div w:id="1300380831">
      <w:bodyDiv w:val="1"/>
      <w:marLeft w:val="0"/>
      <w:marRight w:val="0"/>
      <w:marTop w:val="0"/>
      <w:marBottom w:val="0"/>
      <w:divBdr>
        <w:top w:val="none" w:sz="0" w:space="0" w:color="auto"/>
        <w:left w:val="none" w:sz="0" w:space="0" w:color="auto"/>
        <w:bottom w:val="none" w:sz="0" w:space="0" w:color="auto"/>
        <w:right w:val="none" w:sz="0" w:space="0" w:color="auto"/>
      </w:divBdr>
      <w:divsChild>
        <w:div w:id="2632802">
          <w:marLeft w:val="547"/>
          <w:marRight w:val="0"/>
          <w:marTop w:val="134"/>
          <w:marBottom w:val="0"/>
          <w:divBdr>
            <w:top w:val="none" w:sz="0" w:space="0" w:color="auto"/>
            <w:left w:val="none" w:sz="0" w:space="0" w:color="auto"/>
            <w:bottom w:val="none" w:sz="0" w:space="0" w:color="auto"/>
            <w:right w:val="none" w:sz="0" w:space="0" w:color="auto"/>
          </w:divBdr>
        </w:div>
        <w:div w:id="110132922">
          <w:marLeft w:val="1166"/>
          <w:marRight w:val="0"/>
          <w:marTop w:val="96"/>
          <w:marBottom w:val="0"/>
          <w:divBdr>
            <w:top w:val="none" w:sz="0" w:space="0" w:color="auto"/>
            <w:left w:val="none" w:sz="0" w:space="0" w:color="auto"/>
            <w:bottom w:val="none" w:sz="0" w:space="0" w:color="auto"/>
            <w:right w:val="none" w:sz="0" w:space="0" w:color="auto"/>
          </w:divBdr>
        </w:div>
        <w:div w:id="1210149867">
          <w:marLeft w:val="1166"/>
          <w:marRight w:val="0"/>
          <w:marTop w:val="96"/>
          <w:marBottom w:val="0"/>
          <w:divBdr>
            <w:top w:val="none" w:sz="0" w:space="0" w:color="auto"/>
            <w:left w:val="none" w:sz="0" w:space="0" w:color="auto"/>
            <w:bottom w:val="none" w:sz="0" w:space="0" w:color="auto"/>
            <w:right w:val="none" w:sz="0" w:space="0" w:color="auto"/>
          </w:divBdr>
        </w:div>
        <w:div w:id="1739746612">
          <w:marLeft w:val="1166"/>
          <w:marRight w:val="0"/>
          <w:marTop w:val="96"/>
          <w:marBottom w:val="0"/>
          <w:divBdr>
            <w:top w:val="none" w:sz="0" w:space="0" w:color="auto"/>
            <w:left w:val="none" w:sz="0" w:space="0" w:color="auto"/>
            <w:bottom w:val="none" w:sz="0" w:space="0" w:color="auto"/>
            <w:right w:val="none" w:sz="0" w:space="0" w:color="auto"/>
          </w:divBdr>
        </w:div>
      </w:divsChild>
    </w:div>
    <w:div w:id="1301115568">
      <w:bodyDiv w:val="1"/>
      <w:marLeft w:val="0"/>
      <w:marRight w:val="0"/>
      <w:marTop w:val="0"/>
      <w:marBottom w:val="0"/>
      <w:divBdr>
        <w:top w:val="none" w:sz="0" w:space="0" w:color="auto"/>
        <w:left w:val="none" w:sz="0" w:space="0" w:color="auto"/>
        <w:bottom w:val="none" w:sz="0" w:space="0" w:color="auto"/>
        <w:right w:val="none" w:sz="0" w:space="0" w:color="auto"/>
      </w:divBdr>
      <w:divsChild>
        <w:div w:id="212231204">
          <w:marLeft w:val="1166"/>
          <w:marRight w:val="0"/>
          <w:marTop w:val="134"/>
          <w:marBottom w:val="0"/>
          <w:divBdr>
            <w:top w:val="none" w:sz="0" w:space="0" w:color="auto"/>
            <w:left w:val="none" w:sz="0" w:space="0" w:color="auto"/>
            <w:bottom w:val="none" w:sz="0" w:space="0" w:color="auto"/>
            <w:right w:val="none" w:sz="0" w:space="0" w:color="auto"/>
          </w:divBdr>
        </w:div>
        <w:div w:id="578515534">
          <w:marLeft w:val="1166"/>
          <w:marRight w:val="0"/>
          <w:marTop w:val="134"/>
          <w:marBottom w:val="0"/>
          <w:divBdr>
            <w:top w:val="none" w:sz="0" w:space="0" w:color="auto"/>
            <w:left w:val="none" w:sz="0" w:space="0" w:color="auto"/>
            <w:bottom w:val="none" w:sz="0" w:space="0" w:color="auto"/>
            <w:right w:val="none" w:sz="0" w:space="0" w:color="auto"/>
          </w:divBdr>
        </w:div>
        <w:div w:id="1797065783">
          <w:marLeft w:val="547"/>
          <w:marRight w:val="0"/>
          <w:marTop w:val="154"/>
          <w:marBottom w:val="0"/>
          <w:divBdr>
            <w:top w:val="none" w:sz="0" w:space="0" w:color="auto"/>
            <w:left w:val="none" w:sz="0" w:space="0" w:color="auto"/>
            <w:bottom w:val="none" w:sz="0" w:space="0" w:color="auto"/>
            <w:right w:val="none" w:sz="0" w:space="0" w:color="auto"/>
          </w:divBdr>
        </w:div>
        <w:div w:id="2082172820">
          <w:marLeft w:val="1800"/>
          <w:marRight w:val="0"/>
          <w:marTop w:val="115"/>
          <w:marBottom w:val="0"/>
          <w:divBdr>
            <w:top w:val="none" w:sz="0" w:space="0" w:color="auto"/>
            <w:left w:val="none" w:sz="0" w:space="0" w:color="auto"/>
            <w:bottom w:val="none" w:sz="0" w:space="0" w:color="auto"/>
            <w:right w:val="none" w:sz="0" w:space="0" w:color="auto"/>
          </w:divBdr>
        </w:div>
      </w:divsChild>
    </w:div>
    <w:div w:id="1301155916">
      <w:bodyDiv w:val="1"/>
      <w:marLeft w:val="0"/>
      <w:marRight w:val="0"/>
      <w:marTop w:val="0"/>
      <w:marBottom w:val="0"/>
      <w:divBdr>
        <w:top w:val="none" w:sz="0" w:space="0" w:color="auto"/>
        <w:left w:val="none" w:sz="0" w:space="0" w:color="auto"/>
        <w:bottom w:val="none" w:sz="0" w:space="0" w:color="auto"/>
        <w:right w:val="none" w:sz="0" w:space="0" w:color="auto"/>
      </w:divBdr>
    </w:div>
    <w:div w:id="1301376912">
      <w:bodyDiv w:val="1"/>
      <w:marLeft w:val="0"/>
      <w:marRight w:val="0"/>
      <w:marTop w:val="0"/>
      <w:marBottom w:val="0"/>
      <w:divBdr>
        <w:top w:val="none" w:sz="0" w:space="0" w:color="auto"/>
        <w:left w:val="none" w:sz="0" w:space="0" w:color="auto"/>
        <w:bottom w:val="none" w:sz="0" w:space="0" w:color="auto"/>
        <w:right w:val="none" w:sz="0" w:space="0" w:color="auto"/>
      </w:divBdr>
      <w:divsChild>
        <w:div w:id="24212123">
          <w:marLeft w:val="1800"/>
          <w:marRight w:val="0"/>
          <w:marTop w:val="82"/>
          <w:marBottom w:val="0"/>
          <w:divBdr>
            <w:top w:val="none" w:sz="0" w:space="0" w:color="auto"/>
            <w:left w:val="none" w:sz="0" w:space="0" w:color="auto"/>
            <w:bottom w:val="none" w:sz="0" w:space="0" w:color="auto"/>
            <w:right w:val="none" w:sz="0" w:space="0" w:color="auto"/>
          </w:divBdr>
        </w:div>
        <w:div w:id="452601846">
          <w:marLeft w:val="1800"/>
          <w:marRight w:val="0"/>
          <w:marTop w:val="82"/>
          <w:marBottom w:val="0"/>
          <w:divBdr>
            <w:top w:val="none" w:sz="0" w:space="0" w:color="auto"/>
            <w:left w:val="none" w:sz="0" w:space="0" w:color="auto"/>
            <w:bottom w:val="none" w:sz="0" w:space="0" w:color="auto"/>
            <w:right w:val="none" w:sz="0" w:space="0" w:color="auto"/>
          </w:divBdr>
        </w:div>
        <w:div w:id="542180802">
          <w:marLeft w:val="1166"/>
          <w:marRight w:val="0"/>
          <w:marTop w:val="96"/>
          <w:marBottom w:val="0"/>
          <w:divBdr>
            <w:top w:val="none" w:sz="0" w:space="0" w:color="auto"/>
            <w:left w:val="none" w:sz="0" w:space="0" w:color="auto"/>
            <w:bottom w:val="none" w:sz="0" w:space="0" w:color="auto"/>
            <w:right w:val="none" w:sz="0" w:space="0" w:color="auto"/>
          </w:divBdr>
        </w:div>
        <w:div w:id="638417612">
          <w:marLeft w:val="1166"/>
          <w:marRight w:val="0"/>
          <w:marTop w:val="96"/>
          <w:marBottom w:val="0"/>
          <w:divBdr>
            <w:top w:val="none" w:sz="0" w:space="0" w:color="auto"/>
            <w:left w:val="none" w:sz="0" w:space="0" w:color="auto"/>
            <w:bottom w:val="none" w:sz="0" w:space="0" w:color="auto"/>
            <w:right w:val="none" w:sz="0" w:space="0" w:color="auto"/>
          </w:divBdr>
        </w:div>
        <w:div w:id="1139612107">
          <w:marLeft w:val="1800"/>
          <w:marRight w:val="0"/>
          <w:marTop w:val="82"/>
          <w:marBottom w:val="0"/>
          <w:divBdr>
            <w:top w:val="none" w:sz="0" w:space="0" w:color="auto"/>
            <w:left w:val="none" w:sz="0" w:space="0" w:color="auto"/>
            <w:bottom w:val="none" w:sz="0" w:space="0" w:color="auto"/>
            <w:right w:val="none" w:sz="0" w:space="0" w:color="auto"/>
          </w:divBdr>
        </w:div>
        <w:div w:id="1147940961">
          <w:marLeft w:val="1166"/>
          <w:marRight w:val="0"/>
          <w:marTop w:val="96"/>
          <w:marBottom w:val="0"/>
          <w:divBdr>
            <w:top w:val="none" w:sz="0" w:space="0" w:color="auto"/>
            <w:left w:val="none" w:sz="0" w:space="0" w:color="auto"/>
            <w:bottom w:val="none" w:sz="0" w:space="0" w:color="auto"/>
            <w:right w:val="none" w:sz="0" w:space="0" w:color="auto"/>
          </w:divBdr>
        </w:div>
        <w:div w:id="1155488993">
          <w:marLeft w:val="547"/>
          <w:marRight w:val="0"/>
          <w:marTop w:val="106"/>
          <w:marBottom w:val="0"/>
          <w:divBdr>
            <w:top w:val="none" w:sz="0" w:space="0" w:color="auto"/>
            <w:left w:val="none" w:sz="0" w:space="0" w:color="auto"/>
            <w:bottom w:val="none" w:sz="0" w:space="0" w:color="auto"/>
            <w:right w:val="none" w:sz="0" w:space="0" w:color="auto"/>
          </w:divBdr>
        </w:div>
        <w:div w:id="1564632782">
          <w:marLeft w:val="1166"/>
          <w:marRight w:val="0"/>
          <w:marTop w:val="96"/>
          <w:marBottom w:val="0"/>
          <w:divBdr>
            <w:top w:val="none" w:sz="0" w:space="0" w:color="auto"/>
            <w:left w:val="none" w:sz="0" w:space="0" w:color="auto"/>
            <w:bottom w:val="none" w:sz="0" w:space="0" w:color="auto"/>
            <w:right w:val="none" w:sz="0" w:space="0" w:color="auto"/>
          </w:divBdr>
        </w:div>
        <w:div w:id="1760326772">
          <w:marLeft w:val="547"/>
          <w:marRight w:val="0"/>
          <w:marTop w:val="106"/>
          <w:marBottom w:val="0"/>
          <w:divBdr>
            <w:top w:val="none" w:sz="0" w:space="0" w:color="auto"/>
            <w:left w:val="none" w:sz="0" w:space="0" w:color="auto"/>
            <w:bottom w:val="none" w:sz="0" w:space="0" w:color="auto"/>
            <w:right w:val="none" w:sz="0" w:space="0" w:color="auto"/>
          </w:divBdr>
        </w:div>
        <w:div w:id="1801802680">
          <w:marLeft w:val="1166"/>
          <w:marRight w:val="0"/>
          <w:marTop w:val="96"/>
          <w:marBottom w:val="0"/>
          <w:divBdr>
            <w:top w:val="none" w:sz="0" w:space="0" w:color="auto"/>
            <w:left w:val="none" w:sz="0" w:space="0" w:color="auto"/>
            <w:bottom w:val="none" w:sz="0" w:space="0" w:color="auto"/>
            <w:right w:val="none" w:sz="0" w:space="0" w:color="auto"/>
          </w:divBdr>
        </w:div>
        <w:div w:id="1965885399">
          <w:marLeft w:val="1800"/>
          <w:marRight w:val="0"/>
          <w:marTop w:val="82"/>
          <w:marBottom w:val="0"/>
          <w:divBdr>
            <w:top w:val="none" w:sz="0" w:space="0" w:color="auto"/>
            <w:left w:val="none" w:sz="0" w:space="0" w:color="auto"/>
            <w:bottom w:val="none" w:sz="0" w:space="0" w:color="auto"/>
            <w:right w:val="none" w:sz="0" w:space="0" w:color="auto"/>
          </w:divBdr>
        </w:div>
      </w:divsChild>
    </w:div>
    <w:div w:id="1301499778">
      <w:bodyDiv w:val="1"/>
      <w:marLeft w:val="0"/>
      <w:marRight w:val="0"/>
      <w:marTop w:val="0"/>
      <w:marBottom w:val="0"/>
      <w:divBdr>
        <w:top w:val="none" w:sz="0" w:space="0" w:color="auto"/>
        <w:left w:val="none" w:sz="0" w:space="0" w:color="auto"/>
        <w:bottom w:val="none" w:sz="0" w:space="0" w:color="auto"/>
        <w:right w:val="none" w:sz="0" w:space="0" w:color="auto"/>
      </w:divBdr>
    </w:div>
    <w:div w:id="1302033122">
      <w:bodyDiv w:val="1"/>
      <w:marLeft w:val="0"/>
      <w:marRight w:val="0"/>
      <w:marTop w:val="0"/>
      <w:marBottom w:val="0"/>
      <w:divBdr>
        <w:top w:val="none" w:sz="0" w:space="0" w:color="auto"/>
        <w:left w:val="none" w:sz="0" w:space="0" w:color="auto"/>
        <w:bottom w:val="none" w:sz="0" w:space="0" w:color="auto"/>
        <w:right w:val="none" w:sz="0" w:space="0" w:color="auto"/>
      </w:divBdr>
      <w:divsChild>
        <w:div w:id="1787967757">
          <w:marLeft w:val="0"/>
          <w:marRight w:val="0"/>
          <w:marTop w:val="0"/>
          <w:marBottom w:val="0"/>
          <w:divBdr>
            <w:top w:val="none" w:sz="0" w:space="0" w:color="auto"/>
            <w:left w:val="none" w:sz="0" w:space="0" w:color="auto"/>
            <w:bottom w:val="none" w:sz="0" w:space="0" w:color="auto"/>
            <w:right w:val="none" w:sz="0" w:space="0" w:color="auto"/>
          </w:divBdr>
          <w:divsChild>
            <w:div w:id="144858705">
              <w:marLeft w:val="0"/>
              <w:marRight w:val="0"/>
              <w:marTop w:val="0"/>
              <w:marBottom w:val="0"/>
              <w:divBdr>
                <w:top w:val="none" w:sz="0" w:space="0" w:color="auto"/>
                <w:left w:val="none" w:sz="0" w:space="0" w:color="auto"/>
                <w:bottom w:val="none" w:sz="0" w:space="0" w:color="auto"/>
                <w:right w:val="none" w:sz="0" w:space="0" w:color="auto"/>
              </w:divBdr>
            </w:div>
            <w:div w:id="401685665">
              <w:marLeft w:val="0"/>
              <w:marRight w:val="0"/>
              <w:marTop w:val="0"/>
              <w:marBottom w:val="0"/>
              <w:divBdr>
                <w:top w:val="none" w:sz="0" w:space="0" w:color="auto"/>
                <w:left w:val="none" w:sz="0" w:space="0" w:color="auto"/>
                <w:bottom w:val="none" w:sz="0" w:space="0" w:color="auto"/>
                <w:right w:val="none" w:sz="0" w:space="0" w:color="auto"/>
              </w:divBdr>
            </w:div>
            <w:div w:id="602998468">
              <w:marLeft w:val="0"/>
              <w:marRight w:val="0"/>
              <w:marTop w:val="0"/>
              <w:marBottom w:val="0"/>
              <w:divBdr>
                <w:top w:val="none" w:sz="0" w:space="0" w:color="auto"/>
                <w:left w:val="none" w:sz="0" w:space="0" w:color="auto"/>
                <w:bottom w:val="none" w:sz="0" w:space="0" w:color="auto"/>
                <w:right w:val="none" w:sz="0" w:space="0" w:color="auto"/>
              </w:divBdr>
            </w:div>
            <w:div w:id="717708643">
              <w:marLeft w:val="0"/>
              <w:marRight w:val="0"/>
              <w:marTop w:val="0"/>
              <w:marBottom w:val="0"/>
              <w:divBdr>
                <w:top w:val="none" w:sz="0" w:space="0" w:color="auto"/>
                <w:left w:val="none" w:sz="0" w:space="0" w:color="auto"/>
                <w:bottom w:val="none" w:sz="0" w:space="0" w:color="auto"/>
                <w:right w:val="none" w:sz="0" w:space="0" w:color="auto"/>
              </w:divBdr>
            </w:div>
            <w:div w:id="836074943">
              <w:marLeft w:val="0"/>
              <w:marRight w:val="0"/>
              <w:marTop w:val="0"/>
              <w:marBottom w:val="0"/>
              <w:divBdr>
                <w:top w:val="none" w:sz="0" w:space="0" w:color="auto"/>
                <w:left w:val="none" w:sz="0" w:space="0" w:color="auto"/>
                <w:bottom w:val="none" w:sz="0" w:space="0" w:color="auto"/>
                <w:right w:val="none" w:sz="0" w:space="0" w:color="auto"/>
              </w:divBdr>
            </w:div>
            <w:div w:id="1952515454">
              <w:marLeft w:val="0"/>
              <w:marRight w:val="0"/>
              <w:marTop w:val="0"/>
              <w:marBottom w:val="0"/>
              <w:divBdr>
                <w:top w:val="none" w:sz="0" w:space="0" w:color="auto"/>
                <w:left w:val="none" w:sz="0" w:space="0" w:color="auto"/>
                <w:bottom w:val="none" w:sz="0" w:space="0" w:color="auto"/>
                <w:right w:val="none" w:sz="0" w:space="0" w:color="auto"/>
              </w:divBdr>
            </w:div>
            <w:div w:id="19672688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02542735">
      <w:bodyDiv w:val="1"/>
      <w:marLeft w:val="0"/>
      <w:marRight w:val="0"/>
      <w:marTop w:val="0"/>
      <w:marBottom w:val="0"/>
      <w:divBdr>
        <w:top w:val="none" w:sz="0" w:space="0" w:color="auto"/>
        <w:left w:val="none" w:sz="0" w:space="0" w:color="auto"/>
        <w:bottom w:val="none" w:sz="0" w:space="0" w:color="auto"/>
        <w:right w:val="none" w:sz="0" w:space="0" w:color="auto"/>
      </w:divBdr>
    </w:div>
    <w:div w:id="1302543461">
      <w:bodyDiv w:val="1"/>
      <w:marLeft w:val="0"/>
      <w:marRight w:val="0"/>
      <w:marTop w:val="0"/>
      <w:marBottom w:val="0"/>
      <w:divBdr>
        <w:top w:val="none" w:sz="0" w:space="0" w:color="auto"/>
        <w:left w:val="none" w:sz="0" w:space="0" w:color="auto"/>
        <w:bottom w:val="none" w:sz="0" w:space="0" w:color="auto"/>
        <w:right w:val="none" w:sz="0" w:space="0" w:color="auto"/>
      </w:divBdr>
    </w:div>
    <w:div w:id="1302615491">
      <w:bodyDiv w:val="1"/>
      <w:marLeft w:val="0"/>
      <w:marRight w:val="0"/>
      <w:marTop w:val="0"/>
      <w:marBottom w:val="0"/>
      <w:divBdr>
        <w:top w:val="none" w:sz="0" w:space="0" w:color="auto"/>
        <w:left w:val="none" w:sz="0" w:space="0" w:color="auto"/>
        <w:bottom w:val="none" w:sz="0" w:space="0" w:color="auto"/>
        <w:right w:val="none" w:sz="0" w:space="0" w:color="auto"/>
      </w:divBdr>
    </w:div>
    <w:div w:id="1302810185">
      <w:bodyDiv w:val="1"/>
      <w:marLeft w:val="0"/>
      <w:marRight w:val="0"/>
      <w:marTop w:val="0"/>
      <w:marBottom w:val="0"/>
      <w:divBdr>
        <w:top w:val="none" w:sz="0" w:space="0" w:color="auto"/>
        <w:left w:val="none" w:sz="0" w:space="0" w:color="auto"/>
        <w:bottom w:val="none" w:sz="0" w:space="0" w:color="auto"/>
        <w:right w:val="none" w:sz="0" w:space="0" w:color="auto"/>
      </w:divBdr>
    </w:div>
    <w:div w:id="1303804571">
      <w:bodyDiv w:val="1"/>
      <w:marLeft w:val="0"/>
      <w:marRight w:val="0"/>
      <w:marTop w:val="0"/>
      <w:marBottom w:val="0"/>
      <w:divBdr>
        <w:top w:val="none" w:sz="0" w:space="0" w:color="auto"/>
        <w:left w:val="none" w:sz="0" w:space="0" w:color="auto"/>
        <w:bottom w:val="none" w:sz="0" w:space="0" w:color="auto"/>
        <w:right w:val="none" w:sz="0" w:space="0" w:color="auto"/>
      </w:divBdr>
      <w:divsChild>
        <w:div w:id="223834195">
          <w:marLeft w:val="1166"/>
          <w:marRight w:val="0"/>
          <w:marTop w:val="96"/>
          <w:marBottom w:val="0"/>
          <w:divBdr>
            <w:top w:val="none" w:sz="0" w:space="0" w:color="auto"/>
            <w:left w:val="none" w:sz="0" w:space="0" w:color="auto"/>
            <w:bottom w:val="none" w:sz="0" w:space="0" w:color="auto"/>
            <w:right w:val="none" w:sz="0" w:space="0" w:color="auto"/>
          </w:divBdr>
        </w:div>
        <w:div w:id="1019815249">
          <w:marLeft w:val="1166"/>
          <w:marRight w:val="0"/>
          <w:marTop w:val="96"/>
          <w:marBottom w:val="0"/>
          <w:divBdr>
            <w:top w:val="none" w:sz="0" w:space="0" w:color="auto"/>
            <w:left w:val="none" w:sz="0" w:space="0" w:color="auto"/>
            <w:bottom w:val="none" w:sz="0" w:space="0" w:color="auto"/>
            <w:right w:val="none" w:sz="0" w:space="0" w:color="auto"/>
          </w:divBdr>
        </w:div>
        <w:div w:id="1067385474">
          <w:marLeft w:val="1166"/>
          <w:marRight w:val="0"/>
          <w:marTop w:val="96"/>
          <w:marBottom w:val="0"/>
          <w:divBdr>
            <w:top w:val="none" w:sz="0" w:space="0" w:color="auto"/>
            <w:left w:val="none" w:sz="0" w:space="0" w:color="auto"/>
            <w:bottom w:val="none" w:sz="0" w:space="0" w:color="auto"/>
            <w:right w:val="none" w:sz="0" w:space="0" w:color="auto"/>
          </w:divBdr>
        </w:div>
        <w:div w:id="1227228661">
          <w:marLeft w:val="1166"/>
          <w:marRight w:val="0"/>
          <w:marTop w:val="96"/>
          <w:marBottom w:val="0"/>
          <w:divBdr>
            <w:top w:val="none" w:sz="0" w:space="0" w:color="auto"/>
            <w:left w:val="none" w:sz="0" w:space="0" w:color="auto"/>
            <w:bottom w:val="none" w:sz="0" w:space="0" w:color="auto"/>
            <w:right w:val="none" w:sz="0" w:space="0" w:color="auto"/>
          </w:divBdr>
        </w:div>
        <w:div w:id="1597640916">
          <w:marLeft w:val="547"/>
          <w:marRight w:val="0"/>
          <w:marTop w:val="115"/>
          <w:marBottom w:val="0"/>
          <w:divBdr>
            <w:top w:val="none" w:sz="0" w:space="0" w:color="auto"/>
            <w:left w:val="none" w:sz="0" w:space="0" w:color="auto"/>
            <w:bottom w:val="none" w:sz="0" w:space="0" w:color="auto"/>
            <w:right w:val="none" w:sz="0" w:space="0" w:color="auto"/>
          </w:divBdr>
        </w:div>
        <w:div w:id="1897282155">
          <w:marLeft w:val="1166"/>
          <w:marRight w:val="0"/>
          <w:marTop w:val="96"/>
          <w:marBottom w:val="0"/>
          <w:divBdr>
            <w:top w:val="none" w:sz="0" w:space="0" w:color="auto"/>
            <w:left w:val="none" w:sz="0" w:space="0" w:color="auto"/>
            <w:bottom w:val="none" w:sz="0" w:space="0" w:color="auto"/>
            <w:right w:val="none" w:sz="0" w:space="0" w:color="auto"/>
          </w:divBdr>
        </w:div>
      </w:divsChild>
    </w:div>
    <w:div w:id="1304894876">
      <w:bodyDiv w:val="1"/>
      <w:marLeft w:val="0"/>
      <w:marRight w:val="0"/>
      <w:marTop w:val="0"/>
      <w:marBottom w:val="0"/>
      <w:divBdr>
        <w:top w:val="none" w:sz="0" w:space="0" w:color="auto"/>
        <w:left w:val="none" w:sz="0" w:space="0" w:color="auto"/>
        <w:bottom w:val="none" w:sz="0" w:space="0" w:color="auto"/>
        <w:right w:val="none" w:sz="0" w:space="0" w:color="auto"/>
      </w:divBdr>
      <w:divsChild>
        <w:div w:id="136193117">
          <w:marLeft w:val="1800"/>
          <w:marRight w:val="0"/>
          <w:marTop w:val="82"/>
          <w:marBottom w:val="0"/>
          <w:divBdr>
            <w:top w:val="none" w:sz="0" w:space="0" w:color="auto"/>
            <w:left w:val="none" w:sz="0" w:space="0" w:color="auto"/>
            <w:bottom w:val="none" w:sz="0" w:space="0" w:color="auto"/>
            <w:right w:val="none" w:sz="0" w:space="0" w:color="auto"/>
          </w:divBdr>
        </w:div>
        <w:div w:id="355693762">
          <w:marLeft w:val="1166"/>
          <w:marRight w:val="0"/>
          <w:marTop w:val="96"/>
          <w:marBottom w:val="0"/>
          <w:divBdr>
            <w:top w:val="none" w:sz="0" w:space="0" w:color="auto"/>
            <w:left w:val="none" w:sz="0" w:space="0" w:color="auto"/>
            <w:bottom w:val="none" w:sz="0" w:space="0" w:color="auto"/>
            <w:right w:val="none" w:sz="0" w:space="0" w:color="auto"/>
          </w:divBdr>
        </w:div>
        <w:div w:id="364252735">
          <w:marLeft w:val="1800"/>
          <w:marRight w:val="0"/>
          <w:marTop w:val="82"/>
          <w:marBottom w:val="0"/>
          <w:divBdr>
            <w:top w:val="none" w:sz="0" w:space="0" w:color="auto"/>
            <w:left w:val="none" w:sz="0" w:space="0" w:color="auto"/>
            <w:bottom w:val="none" w:sz="0" w:space="0" w:color="auto"/>
            <w:right w:val="none" w:sz="0" w:space="0" w:color="auto"/>
          </w:divBdr>
        </w:div>
        <w:div w:id="525876417">
          <w:marLeft w:val="547"/>
          <w:marRight w:val="0"/>
          <w:marTop w:val="106"/>
          <w:marBottom w:val="0"/>
          <w:divBdr>
            <w:top w:val="none" w:sz="0" w:space="0" w:color="auto"/>
            <w:left w:val="none" w:sz="0" w:space="0" w:color="auto"/>
            <w:bottom w:val="none" w:sz="0" w:space="0" w:color="auto"/>
            <w:right w:val="none" w:sz="0" w:space="0" w:color="auto"/>
          </w:divBdr>
        </w:div>
        <w:div w:id="611086584">
          <w:marLeft w:val="1166"/>
          <w:marRight w:val="0"/>
          <w:marTop w:val="96"/>
          <w:marBottom w:val="0"/>
          <w:divBdr>
            <w:top w:val="none" w:sz="0" w:space="0" w:color="auto"/>
            <w:left w:val="none" w:sz="0" w:space="0" w:color="auto"/>
            <w:bottom w:val="none" w:sz="0" w:space="0" w:color="auto"/>
            <w:right w:val="none" w:sz="0" w:space="0" w:color="auto"/>
          </w:divBdr>
        </w:div>
        <w:div w:id="1676347736">
          <w:marLeft w:val="1800"/>
          <w:marRight w:val="0"/>
          <w:marTop w:val="82"/>
          <w:marBottom w:val="0"/>
          <w:divBdr>
            <w:top w:val="none" w:sz="0" w:space="0" w:color="auto"/>
            <w:left w:val="none" w:sz="0" w:space="0" w:color="auto"/>
            <w:bottom w:val="none" w:sz="0" w:space="0" w:color="auto"/>
            <w:right w:val="none" w:sz="0" w:space="0" w:color="auto"/>
          </w:divBdr>
        </w:div>
        <w:div w:id="1995331569">
          <w:marLeft w:val="547"/>
          <w:marRight w:val="0"/>
          <w:marTop w:val="106"/>
          <w:marBottom w:val="0"/>
          <w:divBdr>
            <w:top w:val="none" w:sz="0" w:space="0" w:color="auto"/>
            <w:left w:val="none" w:sz="0" w:space="0" w:color="auto"/>
            <w:bottom w:val="none" w:sz="0" w:space="0" w:color="auto"/>
            <w:right w:val="none" w:sz="0" w:space="0" w:color="auto"/>
          </w:divBdr>
        </w:div>
      </w:divsChild>
    </w:div>
    <w:div w:id="1305428916">
      <w:bodyDiv w:val="1"/>
      <w:marLeft w:val="0"/>
      <w:marRight w:val="0"/>
      <w:marTop w:val="0"/>
      <w:marBottom w:val="0"/>
      <w:divBdr>
        <w:top w:val="none" w:sz="0" w:space="0" w:color="auto"/>
        <w:left w:val="none" w:sz="0" w:space="0" w:color="auto"/>
        <w:bottom w:val="none" w:sz="0" w:space="0" w:color="auto"/>
        <w:right w:val="none" w:sz="0" w:space="0" w:color="auto"/>
      </w:divBdr>
    </w:div>
    <w:div w:id="1305432463">
      <w:bodyDiv w:val="1"/>
      <w:marLeft w:val="0"/>
      <w:marRight w:val="0"/>
      <w:marTop w:val="0"/>
      <w:marBottom w:val="0"/>
      <w:divBdr>
        <w:top w:val="none" w:sz="0" w:space="0" w:color="auto"/>
        <w:left w:val="none" w:sz="0" w:space="0" w:color="auto"/>
        <w:bottom w:val="none" w:sz="0" w:space="0" w:color="auto"/>
        <w:right w:val="none" w:sz="0" w:space="0" w:color="auto"/>
      </w:divBdr>
    </w:div>
    <w:div w:id="1305506759">
      <w:bodyDiv w:val="1"/>
      <w:marLeft w:val="0"/>
      <w:marRight w:val="0"/>
      <w:marTop w:val="0"/>
      <w:marBottom w:val="0"/>
      <w:divBdr>
        <w:top w:val="none" w:sz="0" w:space="0" w:color="auto"/>
        <w:left w:val="none" w:sz="0" w:space="0" w:color="auto"/>
        <w:bottom w:val="none" w:sz="0" w:space="0" w:color="auto"/>
        <w:right w:val="none" w:sz="0" w:space="0" w:color="auto"/>
      </w:divBdr>
    </w:div>
    <w:div w:id="1306281414">
      <w:bodyDiv w:val="1"/>
      <w:marLeft w:val="0"/>
      <w:marRight w:val="0"/>
      <w:marTop w:val="0"/>
      <w:marBottom w:val="0"/>
      <w:divBdr>
        <w:top w:val="none" w:sz="0" w:space="0" w:color="auto"/>
        <w:left w:val="none" w:sz="0" w:space="0" w:color="auto"/>
        <w:bottom w:val="none" w:sz="0" w:space="0" w:color="auto"/>
        <w:right w:val="none" w:sz="0" w:space="0" w:color="auto"/>
      </w:divBdr>
    </w:div>
    <w:div w:id="1306742779">
      <w:bodyDiv w:val="1"/>
      <w:marLeft w:val="0"/>
      <w:marRight w:val="0"/>
      <w:marTop w:val="0"/>
      <w:marBottom w:val="0"/>
      <w:divBdr>
        <w:top w:val="none" w:sz="0" w:space="0" w:color="auto"/>
        <w:left w:val="none" w:sz="0" w:space="0" w:color="auto"/>
        <w:bottom w:val="none" w:sz="0" w:space="0" w:color="auto"/>
        <w:right w:val="none" w:sz="0" w:space="0" w:color="auto"/>
      </w:divBdr>
    </w:div>
    <w:div w:id="1308051973">
      <w:bodyDiv w:val="1"/>
      <w:marLeft w:val="0"/>
      <w:marRight w:val="0"/>
      <w:marTop w:val="0"/>
      <w:marBottom w:val="0"/>
      <w:divBdr>
        <w:top w:val="none" w:sz="0" w:space="0" w:color="auto"/>
        <w:left w:val="none" w:sz="0" w:space="0" w:color="auto"/>
        <w:bottom w:val="none" w:sz="0" w:space="0" w:color="auto"/>
        <w:right w:val="none" w:sz="0" w:space="0" w:color="auto"/>
      </w:divBdr>
    </w:div>
    <w:div w:id="1309358050">
      <w:bodyDiv w:val="1"/>
      <w:marLeft w:val="0"/>
      <w:marRight w:val="0"/>
      <w:marTop w:val="0"/>
      <w:marBottom w:val="0"/>
      <w:divBdr>
        <w:top w:val="none" w:sz="0" w:space="0" w:color="auto"/>
        <w:left w:val="none" w:sz="0" w:space="0" w:color="auto"/>
        <w:bottom w:val="none" w:sz="0" w:space="0" w:color="auto"/>
        <w:right w:val="none" w:sz="0" w:space="0" w:color="auto"/>
      </w:divBdr>
    </w:div>
    <w:div w:id="1310597004">
      <w:bodyDiv w:val="1"/>
      <w:marLeft w:val="0"/>
      <w:marRight w:val="0"/>
      <w:marTop w:val="0"/>
      <w:marBottom w:val="0"/>
      <w:divBdr>
        <w:top w:val="none" w:sz="0" w:space="0" w:color="auto"/>
        <w:left w:val="none" w:sz="0" w:space="0" w:color="auto"/>
        <w:bottom w:val="none" w:sz="0" w:space="0" w:color="auto"/>
        <w:right w:val="none" w:sz="0" w:space="0" w:color="auto"/>
      </w:divBdr>
    </w:div>
    <w:div w:id="1310673043">
      <w:bodyDiv w:val="1"/>
      <w:marLeft w:val="0"/>
      <w:marRight w:val="0"/>
      <w:marTop w:val="0"/>
      <w:marBottom w:val="0"/>
      <w:divBdr>
        <w:top w:val="none" w:sz="0" w:space="0" w:color="auto"/>
        <w:left w:val="none" w:sz="0" w:space="0" w:color="auto"/>
        <w:bottom w:val="none" w:sz="0" w:space="0" w:color="auto"/>
        <w:right w:val="none" w:sz="0" w:space="0" w:color="auto"/>
      </w:divBdr>
    </w:div>
    <w:div w:id="1310817559">
      <w:bodyDiv w:val="1"/>
      <w:marLeft w:val="0"/>
      <w:marRight w:val="0"/>
      <w:marTop w:val="0"/>
      <w:marBottom w:val="0"/>
      <w:divBdr>
        <w:top w:val="none" w:sz="0" w:space="0" w:color="auto"/>
        <w:left w:val="none" w:sz="0" w:space="0" w:color="auto"/>
        <w:bottom w:val="none" w:sz="0" w:space="0" w:color="auto"/>
        <w:right w:val="none" w:sz="0" w:space="0" w:color="auto"/>
      </w:divBdr>
    </w:div>
    <w:div w:id="1310864120">
      <w:bodyDiv w:val="1"/>
      <w:marLeft w:val="0"/>
      <w:marRight w:val="0"/>
      <w:marTop w:val="0"/>
      <w:marBottom w:val="0"/>
      <w:divBdr>
        <w:top w:val="none" w:sz="0" w:space="0" w:color="auto"/>
        <w:left w:val="none" w:sz="0" w:space="0" w:color="auto"/>
        <w:bottom w:val="none" w:sz="0" w:space="0" w:color="auto"/>
        <w:right w:val="none" w:sz="0" w:space="0" w:color="auto"/>
      </w:divBdr>
    </w:div>
    <w:div w:id="1310982630">
      <w:bodyDiv w:val="1"/>
      <w:marLeft w:val="0"/>
      <w:marRight w:val="0"/>
      <w:marTop w:val="0"/>
      <w:marBottom w:val="0"/>
      <w:divBdr>
        <w:top w:val="none" w:sz="0" w:space="0" w:color="auto"/>
        <w:left w:val="none" w:sz="0" w:space="0" w:color="auto"/>
        <w:bottom w:val="none" w:sz="0" w:space="0" w:color="auto"/>
        <w:right w:val="none" w:sz="0" w:space="0" w:color="auto"/>
      </w:divBdr>
    </w:div>
    <w:div w:id="1310985872">
      <w:bodyDiv w:val="1"/>
      <w:marLeft w:val="0"/>
      <w:marRight w:val="0"/>
      <w:marTop w:val="0"/>
      <w:marBottom w:val="0"/>
      <w:divBdr>
        <w:top w:val="none" w:sz="0" w:space="0" w:color="auto"/>
        <w:left w:val="none" w:sz="0" w:space="0" w:color="auto"/>
        <w:bottom w:val="none" w:sz="0" w:space="0" w:color="auto"/>
        <w:right w:val="none" w:sz="0" w:space="0" w:color="auto"/>
      </w:divBdr>
    </w:div>
    <w:div w:id="1311325121">
      <w:bodyDiv w:val="1"/>
      <w:marLeft w:val="0"/>
      <w:marRight w:val="0"/>
      <w:marTop w:val="0"/>
      <w:marBottom w:val="0"/>
      <w:divBdr>
        <w:top w:val="none" w:sz="0" w:space="0" w:color="auto"/>
        <w:left w:val="none" w:sz="0" w:space="0" w:color="auto"/>
        <w:bottom w:val="none" w:sz="0" w:space="0" w:color="auto"/>
        <w:right w:val="none" w:sz="0" w:space="0" w:color="auto"/>
      </w:divBdr>
    </w:div>
    <w:div w:id="1311591308">
      <w:bodyDiv w:val="1"/>
      <w:marLeft w:val="0"/>
      <w:marRight w:val="0"/>
      <w:marTop w:val="0"/>
      <w:marBottom w:val="0"/>
      <w:divBdr>
        <w:top w:val="none" w:sz="0" w:space="0" w:color="auto"/>
        <w:left w:val="none" w:sz="0" w:space="0" w:color="auto"/>
        <w:bottom w:val="none" w:sz="0" w:space="0" w:color="auto"/>
        <w:right w:val="none" w:sz="0" w:space="0" w:color="auto"/>
      </w:divBdr>
    </w:div>
    <w:div w:id="1311591954">
      <w:bodyDiv w:val="1"/>
      <w:marLeft w:val="0"/>
      <w:marRight w:val="0"/>
      <w:marTop w:val="0"/>
      <w:marBottom w:val="0"/>
      <w:divBdr>
        <w:top w:val="none" w:sz="0" w:space="0" w:color="auto"/>
        <w:left w:val="none" w:sz="0" w:space="0" w:color="auto"/>
        <w:bottom w:val="none" w:sz="0" w:space="0" w:color="auto"/>
        <w:right w:val="none" w:sz="0" w:space="0" w:color="auto"/>
      </w:divBdr>
    </w:div>
    <w:div w:id="1311711071">
      <w:bodyDiv w:val="1"/>
      <w:marLeft w:val="0"/>
      <w:marRight w:val="0"/>
      <w:marTop w:val="0"/>
      <w:marBottom w:val="0"/>
      <w:divBdr>
        <w:top w:val="none" w:sz="0" w:space="0" w:color="auto"/>
        <w:left w:val="none" w:sz="0" w:space="0" w:color="auto"/>
        <w:bottom w:val="none" w:sz="0" w:space="0" w:color="auto"/>
        <w:right w:val="none" w:sz="0" w:space="0" w:color="auto"/>
      </w:divBdr>
      <w:divsChild>
        <w:div w:id="54202055">
          <w:marLeft w:val="1440"/>
          <w:marRight w:val="0"/>
          <w:marTop w:val="0"/>
          <w:marBottom w:val="0"/>
          <w:divBdr>
            <w:top w:val="none" w:sz="0" w:space="0" w:color="auto"/>
            <w:left w:val="none" w:sz="0" w:space="0" w:color="auto"/>
            <w:bottom w:val="none" w:sz="0" w:space="0" w:color="auto"/>
            <w:right w:val="none" w:sz="0" w:space="0" w:color="auto"/>
          </w:divBdr>
        </w:div>
        <w:div w:id="446629567">
          <w:marLeft w:val="2160"/>
          <w:marRight w:val="0"/>
          <w:marTop w:val="0"/>
          <w:marBottom w:val="0"/>
          <w:divBdr>
            <w:top w:val="none" w:sz="0" w:space="0" w:color="auto"/>
            <w:left w:val="none" w:sz="0" w:space="0" w:color="auto"/>
            <w:bottom w:val="none" w:sz="0" w:space="0" w:color="auto"/>
            <w:right w:val="none" w:sz="0" w:space="0" w:color="auto"/>
          </w:divBdr>
        </w:div>
        <w:div w:id="467824212">
          <w:marLeft w:val="2160"/>
          <w:marRight w:val="0"/>
          <w:marTop w:val="0"/>
          <w:marBottom w:val="0"/>
          <w:divBdr>
            <w:top w:val="none" w:sz="0" w:space="0" w:color="auto"/>
            <w:left w:val="none" w:sz="0" w:space="0" w:color="auto"/>
            <w:bottom w:val="none" w:sz="0" w:space="0" w:color="auto"/>
            <w:right w:val="none" w:sz="0" w:space="0" w:color="auto"/>
          </w:divBdr>
        </w:div>
        <w:div w:id="589316101">
          <w:marLeft w:val="2160"/>
          <w:marRight w:val="0"/>
          <w:marTop w:val="0"/>
          <w:marBottom w:val="0"/>
          <w:divBdr>
            <w:top w:val="none" w:sz="0" w:space="0" w:color="auto"/>
            <w:left w:val="none" w:sz="0" w:space="0" w:color="auto"/>
            <w:bottom w:val="none" w:sz="0" w:space="0" w:color="auto"/>
            <w:right w:val="none" w:sz="0" w:space="0" w:color="auto"/>
          </w:divBdr>
        </w:div>
        <w:div w:id="937250293">
          <w:marLeft w:val="2160"/>
          <w:marRight w:val="0"/>
          <w:marTop w:val="0"/>
          <w:marBottom w:val="0"/>
          <w:divBdr>
            <w:top w:val="none" w:sz="0" w:space="0" w:color="auto"/>
            <w:left w:val="none" w:sz="0" w:space="0" w:color="auto"/>
            <w:bottom w:val="none" w:sz="0" w:space="0" w:color="auto"/>
            <w:right w:val="none" w:sz="0" w:space="0" w:color="auto"/>
          </w:divBdr>
        </w:div>
        <w:div w:id="1145581359">
          <w:marLeft w:val="1440"/>
          <w:marRight w:val="0"/>
          <w:marTop w:val="0"/>
          <w:marBottom w:val="0"/>
          <w:divBdr>
            <w:top w:val="none" w:sz="0" w:space="0" w:color="auto"/>
            <w:left w:val="none" w:sz="0" w:space="0" w:color="auto"/>
            <w:bottom w:val="none" w:sz="0" w:space="0" w:color="auto"/>
            <w:right w:val="none" w:sz="0" w:space="0" w:color="auto"/>
          </w:divBdr>
        </w:div>
        <w:div w:id="1398747716">
          <w:marLeft w:val="720"/>
          <w:marRight w:val="0"/>
          <w:marTop w:val="0"/>
          <w:marBottom w:val="0"/>
          <w:divBdr>
            <w:top w:val="none" w:sz="0" w:space="0" w:color="auto"/>
            <w:left w:val="none" w:sz="0" w:space="0" w:color="auto"/>
            <w:bottom w:val="none" w:sz="0" w:space="0" w:color="auto"/>
            <w:right w:val="none" w:sz="0" w:space="0" w:color="auto"/>
          </w:divBdr>
        </w:div>
        <w:div w:id="1488206640">
          <w:marLeft w:val="2160"/>
          <w:marRight w:val="0"/>
          <w:marTop w:val="0"/>
          <w:marBottom w:val="0"/>
          <w:divBdr>
            <w:top w:val="none" w:sz="0" w:space="0" w:color="auto"/>
            <w:left w:val="none" w:sz="0" w:space="0" w:color="auto"/>
            <w:bottom w:val="none" w:sz="0" w:space="0" w:color="auto"/>
            <w:right w:val="none" w:sz="0" w:space="0" w:color="auto"/>
          </w:divBdr>
        </w:div>
        <w:div w:id="1689596822">
          <w:marLeft w:val="720"/>
          <w:marRight w:val="0"/>
          <w:marTop w:val="0"/>
          <w:marBottom w:val="0"/>
          <w:divBdr>
            <w:top w:val="none" w:sz="0" w:space="0" w:color="auto"/>
            <w:left w:val="none" w:sz="0" w:space="0" w:color="auto"/>
            <w:bottom w:val="none" w:sz="0" w:space="0" w:color="auto"/>
            <w:right w:val="none" w:sz="0" w:space="0" w:color="auto"/>
          </w:divBdr>
        </w:div>
        <w:div w:id="1727099600">
          <w:marLeft w:val="2160"/>
          <w:marRight w:val="0"/>
          <w:marTop w:val="0"/>
          <w:marBottom w:val="0"/>
          <w:divBdr>
            <w:top w:val="none" w:sz="0" w:space="0" w:color="auto"/>
            <w:left w:val="none" w:sz="0" w:space="0" w:color="auto"/>
            <w:bottom w:val="none" w:sz="0" w:space="0" w:color="auto"/>
            <w:right w:val="none" w:sz="0" w:space="0" w:color="auto"/>
          </w:divBdr>
        </w:div>
        <w:div w:id="1727221920">
          <w:marLeft w:val="1440"/>
          <w:marRight w:val="0"/>
          <w:marTop w:val="0"/>
          <w:marBottom w:val="0"/>
          <w:divBdr>
            <w:top w:val="none" w:sz="0" w:space="0" w:color="auto"/>
            <w:left w:val="none" w:sz="0" w:space="0" w:color="auto"/>
            <w:bottom w:val="none" w:sz="0" w:space="0" w:color="auto"/>
            <w:right w:val="none" w:sz="0" w:space="0" w:color="auto"/>
          </w:divBdr>
        </w:div>
        <w:div w:id="1788697223">
          <w:marLeft w:val="1440"/>
          <w:marRight w:val="0"/>
          <w:marTop w:val="0"/>
          <w:marBottom w:val="0"/>
          <w:divBdr>
            <w:top w:val="none" w:sz="0" w:space="0" w:color="auto"/>
            <w:left w:val="none" w:sz="0" w:space="0" w:color="auto"/>
            <w:bottom w:val="none" w:sz="0" w:space="0" w:color="auto"/>
            <w:right w:val="none" w:sz="0" w:space="0" w:color="auto"/>
          </w:divBdr>
        </w:div>
        <w:div w:id="1801724675">
          <w:marLeft w:val="720"/>
          <w:marRight w:val="0"/>
          <w:marTop w:val="0"/>
          <w:marBottom w:val="0"/>
          <w:divBdr>
            <w:top w:val="none" w:sz="0" w:space="0" w:color="auto"/>
            <w:left w:val="none" w:sz="0" w:space="0" w:color="auto"/>
            <w:bottom w:val="none" w:sz="0" w:space="0" w:color="auto"/>
            <w:right w:val="none" w:sz="0" w:space="0" w:color="auto"/>
          </w:divBdr>
        </w:div>
      </w:divsChild>
    </w:div>
    <w:div w:id="1311712618">
      <w:bodyDiv w:val="1"/>
      <w:marLeft w:val="0"/>
      <w:marRight w:val="0"/>
      <w:marTop w:val="0"/>
      <w:marBottom w:val="0"/>
      <w:divBdr>
        <w:top w:val="none" w:sz="0" w:space="0" w:color="auto"/>
        <w:left w:val="none" w:sz="0" w:space="0" w:color="auto"/>
        <w:bottom w:val="none" w:sz="0" w:space="0" w:color="auto"/>
        <w:right w:val="none" w:sz="0" w:space="0" w:color="auto"/>
      </w:divBdr>
    </w:div>
    <w:div w:id="1312097781">
      <w:bodyDiv w:val="1"/>
      <w:marLeft w:val="0"/>
      <w:marRight w:val="0"/>
      <w:marTop w:val="0"/>
      <w:marBottom w:val="0"/>
      <w:divBdr>
        <w:top w:val="none" w:sz="0" w:space="0" w:color="auto"/>
        <w:left w:val="none" w:sz="0" w:space="0" w:color="auto"/>
        <w:bottom w:val="none" w:sz="0" w:space="0" w:color="auto"/>
        <w:right w:val="none" w:sz="0" w:space="0" w:color="auto"/>
      </w:divBdr>
    </w:div>
    <w:div w:id="1312448415">
      <w:bodyDiv w:val="1"/>
      <w:marLeft w:val="0"/>
      <w:marRight w:val="0"/>
      <w:marTop w:val="0"/>
      <w:marBottom w:val="0"/>
      <w:divBdr>
        <w:top w:val="none" w:sz="0" w:space="0" w:color="auto"/>
        <w:left w:val="none" w:sz="0" w:space="0" w:color="auto"/>
        <w:bottom w:val="none" w:sz="0" w:space="0" w:color="auto"/>
        <w:right w:val="none" w:sz="0" w:space="0" w:color="auto"/>
      </w:divBdr>
    </w:div>
    <w:div w:id="1312834360">
      <w:bodyDiv w:val="1"/>
      <w:marLeft w:val="0"/>
      <w:marRight w:val="0"/>
      <w:marTop w:val="0"/>
      <w:marBottom w:val="0"/>
      <w:divBdr>
        <w:top w:val="none" w:sz="0" w:space="0" w:color="auto"/>
        <w:left w:val="none" w:sz="0" w:space="0" w:color="auto"/>
        <w:bottom w:val="none" w:sz="0" w:space="0" w:color="auto"/>
        <w:right w:val="none" w:sz="0" w:space="0" w:color="auto"/>
      </w:divBdr>
    </w:div>
    <w:div w:id="1314800550">
      <w:bodyDiv w:val="1"/>
      <w:marLeft w:val="0"/>
      <w:marRight w:val="0"/>
      <w:marTop w:val="0"/>
      <w:marBottom w:val="0"/>
      <w:divBdr>
        <w:top w:val="none" w:sz="0" w:space="0" w:color="auto"/>
        <w:left w:val="none" w:sz="0" w:space="0" w:color="auto"/>
        <w:bottom w:val="none" w:sz="0" w:space="0" w:color="auto"/>
        <w:right w:val="none" w:sz="0" w:space="0" w:color="auto"/>
      </w:divBdr>
      <w:divsChild>
        <w:div w:id="1301418294">
          <w:marLeft w:val="0"/>
          <w:marRight w:val="0"/>
          <w:marTop w:val="0"/>
          <w:marBottom w:val="0"/>
          <w:divBdr>
            <w:top w:val="none" w:sz="0" w:space="0" w:color="auto"/>
            <w:left w:val="none" w:sz="0" w:space="0" w:color="auto"/>
            <w:bottom w:val="none" w:sz="0" w:space="0" w:color="auto"/>
            <w:right w:val="none" w:sz="0" w:space="0" w:color="auto"/>
          </w:divBdr>
          <w:divsChild>
            <w:div w:id="238757232">
              <w:marLeft w:val="0"/>
              <w:marRight w:val="0"/>
              <w:marTop w:val="0"/>
              <w:marBottom w:val="0"/>
              <w:divBdr>
                <w:top w:val="none" w:sz="0" w:space="0" w:color="auto"/>
                <w:left w:val="none" w:sz="0" w:space="0" w:color="auto"/>
                <w:bottom w:val="none" w:sz="0" w:space="0" w:color="auto"/>
                <w:right w:val="none" w:sz="0" w:space="0" w:color="auto"/>
              </w:divBdr>
            </w:div>
            <w:div w:id="946304478">
              <w:marLeft w:val="0"/>
              <w:marRight w:val="0"/>
              <w:marTop w:val="0"/>
              <w:marBottom w:val="0"/>
              <w:divBdr>
                <w:top w:val="none" w:sz="0" w:space="0" w:color="auto"/>
                <w:left w:val="none" w:sz="0" w:space="0" w:color="auto"/>
                <w:bottom w:val="none" w:sz="0" w:space="0" w:color="auto"/>
                <w:right w:val="none" w:sz="0" w:space="0" w:color="auto"/>
              </w:divBdr>
            </w:div>
            <w:div w:id="18406576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14947060">
      <w:bodyDiv w:val="1"/>
      <w:marLeft w:val="0"/>
      <w:marRight w:val="0"/>
      <w:marTop w:val="0"/>
      <w:marBottom w:val="0"/>
      <w:divBdr>
        <w:top w:val="none" w:sz="0" w:space="0" w:color="auto"/>
        <w:left w:val="none" w:sz="0" w:space="0" w:color="auto"/>
        <w:bottom w:val="none" w:sz="0" w:space="0" w:color="auto"/>
        <w:right w:val="none" w:sz="0" w:space="0" w:color="auto"/>
      </w:divBdr>
    </w:div>
    <w:div w:id="1316643150">
      <w:bodyDiv w:val="1"/>
      <w:marLeft w:val="0"/>
      <w:marRight w:val="0"/>
      <w:marTop w:val="0"/>
      <w:marBottom w:val="0"/>
      <w:divBdr>
        <w:top w:val="none" w:sz="0" w:space="0" w:color="auto"/>
        <w:left w:val="none" w:sz="0" w:space="0" w:color="auto"/>
        <w:bottom w:val="none" w:sz="0" w:space="0" w:color="auto"/>
        <w:right w:val="none" w:sz="0" w:space="0" w:color="auto"/>
      </w:divBdr>
    </w:div>
    <w:div w:id="1316647993">
      <w:bodyDiv w:val="1"/>
      <w:marLeft w:val="0"/>
      <w:marRight w:val="0"/>
      <w:marTop w:val="0"/>
      <w:marBottom w:val="0"/>
      <w:divBdr>
        <w:top w:val="none" w:sz="0" w:space="0" w:color="auto"/>
        <w:left w:val="none" w:sz="0" w:space="0" w:color="auto"/>
        <w:bottom w:val="none" w:sz="0" w:space="0" w:color="auto"/>
        <w:right w:val="none" w:sz="0" w:space="0" w:color="auto"/>
      </w:divBdr>
    </w:div>
    <w:div w:id="1316952213">
      <w:bodyDiv w:val="1"/>
      <w:marLeft w:val="0"/>
      <w:marRight w:val="0"/>
      <w:marTop w:val="0"/>
      <w:marBottom w:val="0"/>
      <w:divBdr>
        <w:top w:val="none" w:sz="0" w:space="0" w:color="auto"/>
        <w:left w:val="none" w:sz="0" w:space="0" w:color="auto"/>
        <w:bottom w:val="none" w:sz="0" w:space="0" w:color="auto"/>
        <w:right w:val="none" w:sz="0" w:space="0" w:color="auto"/>
      </w:divBdr>
      <w:divsChild>
        <w:div w:id="10420792">
          <w:marLeft w:val="1166"/>
          <w:marRight w:val="0"/>
          <w:marTop w:val="96"/>
          <w:marBottom w:val="0"/>
          <w:divBdr>
            <w:top w:val="none" w:sz="0" w:space="0" w:color="auto"/>
            <w:left w:val="none" w:sz="0" w:space="0" w:color="auto"/>
            <w:bottom w:val="none" w:sz="0" w:space="0" w:color="auto"/>
            <w:right w:val="none" w:sz="0" w:space="0" w:color="auto"/>
          </w:divBdr>
        </w:div>
        <w:div w:id="28265830">
          <w:marLeft w:val="1800"/>
          <w:marRight w:val="0"/>
          <w:marTop w:val="77"/>
          <w:marBottom w:val="0"/>
          <w:divBdr>
            <w:top w:val="none" w:sz="0" w:space="0" w:color="auto"/>
            <w:left w:val="none" w:sz="0" w:space="0" w:color="auto"/>
            <w:bottom w:val="none" w:sz="0" w:space="0" w:color="auto"/>
            <w:right w:val="none" w:sz="0" w:space="0" w:color="auto"/>
          </w:divBdr>
        </w:div>
        <w:div w:id="70660349">
          <w:marLeft w:val="1800"/>
          <w:marRight w:val="0"/>
          <w:marTop w:val="77"/>
          <w:marBottom w:val="0"/>
          <w:divBdr>
            <w:top w:val="none" w:sz="0" w:space="0" w:color="auto"/>
            <w:left w:val="none" w:sz="0" w:space="0" w:color="auto"/>
            <w:bottom w:val="none" w:sz="0" w:space="0" w:color="auto"/>
            <w:right w:val="none" w:sz="0" w:space="0" w:color="auto"/>
          </w:divBdr>
        </w:div>
        <w:div w:id="206570294">
          <w:marLeft w:val="1800"/>
          <w:marRight w:val="0"/>
          <w:marTop w:val="77"/>
          <w:marBottom w:val="0"/>
          <w:divBdr>
            <w:top w:val="none" w:sz="0" w:space="0" w:color="auto"/>
            <w:left w:val="none" w:sz="0" w:space="0" w:color="auto"/>
            <w:bottom w:val="none" w:sz="0" w:space="0" w:color="auto"/>
            <w:right w:val="none" w:sz="0" w:space="0" w:color="auto"/>
          </w:divBdr>
        </w:div>
        <w:div w:id="940066437">
          <w:marLeft w:val="1166"/>
          <w:marRight w:val="0"/>
          <w:marTop w:val="96"/>
          <w:marBottom w:val="0"/>
          <w:divBdr>
            <w:top w:val="none" w:sz="0" w:space="0" w:color="auto"/>
            <w:left w:val="none" w:sz="0" w:space="0" w:color="auto"/>
            <w:bottom w:val="none" w:sz="0" w:space="0" w:color="auto"/>
            <w:right w:val="none" w:sz="0" w:space="0" w:color="auto"/>
          </w:divBdr>
        </w:div>
        <w:div w:id="1516068044">
          <w:marLeft w:val="1800"/>
          <w:marRight w:val="0"/>
          <w:marTop w:val="77"/>
          <w:marBottom w:val="0"/>
          <w:divBdr>
            <w:top w:val="none" w:sz="0" w:space="0" w:color="auto"/>
            <w:left w:val="none" w:sz="0" w:space="0" w:color="auto"/>
            <w:bottom w:val="none" w:sz="0" w:space="0" w:color="auto"/>
            <w:right w:val="none" w:sz="0" w:space="0" w:color="auto"/>
          </w:divBdr>
        </w:div>
        <w:div w:id="1551725188">
          <w:marLeft w:val="547"/>
          <w:marRight w:val="0"/>
          <w:marTop w:val="115"/>
          <w:marBottom w:val="0"/>
          <w:divBdr>
            <w:top w:val="none" w:sz="0" w:space="0" w:color="auto"/>
            <w:left w:val="none" w:sz="0" w:space="0" w:color="auto"/>
            <w:bottom w:val="none" w:sz="0" w:space="0" w:color="auto"/>
            <w:right w:val="none" w:sz="0" w:space="0" w:color="auto"/>
          </w:divBdr>
        </w:div>
      </w:divsChild>
    </w:div>
    <w:div w:id="1318146416">
      <w:bodyDiv w:val="1"/>
      <w:marLeft w:val="0"/>
      <w:marRight w:val="0"/>
      <w:marTop w:val="0"/>
      <w:marBottom w:val="0"/>
      <w:divBdr>
        <w:top w:val="none" w:sz="0" w:space="0" w:color="auto"/>
        <w:left w:val="none" w:sz="0" w:space="0" w:color="auto"/>
        <w:bottom w:val="none" w:sz="0" w:space="0" w:color="auto"/>
        <w:right w:val="none" w:sz="0" w:space="0" w:color="auto"/>
      </w:divBdr>
    </w:div>
    <w:div w:id="1318610003">
      <w:bodyDiv w:val="1"/>
      <w:marLeft w:val="0"/>
      <w:marRight w:val="0"/>
      <w:marTop w:val="0"/>
      <w:marBottom w:val="0"/>
      <w:divBdr>
        <w:top w:val="none" w:sz="0" w:space="0" w:color="auto"/>
        <w:left w:val="none" w:sz="0" w:space="0" w:color="auto"/>
        <w:bottom w:val="none" w:sz="0" w:space="0" w:color="auto"/>
        <w:right w:val="none" w:sz="0" w:space="0" w:color="auto"/>
      </w:divBdr>
    </w:div>
    <w:div w:id="1318992644">
      <w:bodyDiv w:val="1"/>
      <w:marLeft w:val="0"/>
      <w:marRight w:val="0"/>
      <w:marTop w:val="0"/>
      <w:marBottom w:val="0"/>
      <w:divBdr>
        <w:top w:val="none" w:sz="0" w:space="0" w:color="auto"/>
        <w:left w:val="none" w:sz="0" w:space="0" w:color="auto"/>
        <w:bottom w:val="none" w:sz="0" w:space="0" w:color="auto"/>
        <w:right w:val="none" w:sz="0" w:space="0" w:color="auto"/>
      </w:divBdr>
    </w:div>
    <w:div w:id="1319768211">
      <w:bodyDiv w:val="1"/>
      <w:marLeft w:val="0"/>
      <w:marRight w:val="0"/>
      <w:marTop w:val="0"/>
      <w:marBottom w:val="0"/>
      <w:divBdr>
        <w:top w:val="none" w:sz="0" w:space="0" w:color="auto"/>
        <w:left w:val="none" w:sz="0" w:space="0" w:color="auto"/>
        <w:bottom w:val="none" w:sz="0" w:space="0" w:color="auto"/>
        <w:right w:val="none" w:sz="0" w:space="0" w:color="auto"/>
      </w:divBdr>
    </w:div>
    <w:div w:id="1320841498">
      <w:bodyDiv w:val="1"/>
      <w:marLeft w:val="0"/>
      <w:marRight w:val="0"/>
      <w:marTop w:val="0"/>
      <w:marBottom w:val="0"/>
      <w:divBdr>
        <w:top w:val="none" w:sz="0" w:space="0" w:color="auto"/>
        <w:left w:val="none" w:sz="0" w:space="0" w:color="auto"/>
        <w:bottom w:val="none" w:sz="0" w:space="0" w:color="auto"/>
        <w:right w:val="none" w:sz="0" w:space="0" w:color="auto"/>
      </w:divBdr>
    </w:div>
    <w:div w:id="1320887601">
      <w:bodyDiv w:val="1"/>
      <w:marLeft w:val="0"/>
      <w:marRight w:val="0"/>
      <w:marTop w:val="0"/>
      <w:marBottom w:val="0"/>
      <w:divBdr>
        <w:top w:val="none" w:sz="0" w:space="0" w:color="auto"/>
        <w:left w:val="none" w:sz="0" w:space="0" w:color="auto"/>
        <w:bottom w:val="none" w:sz="0" w:space="0" w:color="auto"/>
        <w:right w:val="none" w:sz="0" w:space="0" w:color="auto"/>
      </w:divBdr>
    </w:div>
    <w:div w:id="1321469956">
      <w:bodyDiv w:val="1"/>
      <w:marLeft w:val="0"/>
      <w:marRight w:val="0"/>
      <w:marTop w:val="0"/>
      <w:marBottom w:val="0"/>
      <w:divBdr>
        <w:top w:val="none" w:sz="0" w:space="0" w:color="auto"/>
        <w:left w:val="none" w:sz="0" w:space="0" w:color="auto"/>
        <w:bottom w:val="none" w:sz="0" w:space="0" w:color="auto"/>
        <w:right w:val="none" w:sz="0" w:space="0" w:color="auto"/>
      </w:divBdr>
    </w:div>
    <w:div w:id="1321697154">
      <w:bodyDiv w:val="1"/>
      <w:marLeft w:val="0"/>
      <w:marRight w:val="0"/>
      <w:marTop w:val="0"/>
      <w:marBottom w:val="0"/>
      <w:divBdr>
        <w:top w:val="none" w:sz="0" w:space="0" w:color="auto"/>
        <w:left w:val="none" w:sz="0" w:space="0" w:color="auto"/>
        <w:bottom w:val="none" w:sz="0" w:space="0" w:color="auto"/>
        <w:right w:val="none" w:sz="0" w:space="0" w:color="auto"/>
      </w:divBdr>
    </w:div>
    <w:div w:id="1322272704">
      <w:bodyDiv w:val="1"/>
      <w:marLeft w:val="0"/>
      <w:marRight w:val="0"/>
      <w:marTop w:val="0"/>
      <w:marBottom w:val="0"/>
      <w:divBdr>
        <w:top w:val="none" w:sz="0" w:space="0" w:color="auto"/>
        <w:left w:val="none" w:sz="0" w:space="0" w:color="auto"/>
        <w:bottom w:val="none" w:sz="0" w:space="0" w:color="auto"/>
        <w:right w:val="none" w:sz="0" w:space="0" w:color="auto"/>
      </w:divBdr>
    </w:div>
    <w:div w:id="1322394958">
      <w:bodyDiv w:val="1"/>
      <w:marLeft w:val="0"/>
      <w:marRight w:val="0"/>
      <w:marTop w:val="0"/>
      <w:marBottom w:val="0"/>
      <w:divBdr>
        <w:top w:val="none" w:sz="0" w:space="0" w:color="auto"/>
        <w:left w:val="none" w:sz="0" w:space="0" w:color="auto"/>
        <w:bottom w:val="none" w:sz="0" w:space="0" w:color="auto"/>
        <w:right w:val="none" w:sz="0" w:space="0" w:color="auto"/>
      </w:divBdr>
    </w:div>
    <w:div w:id="1323586315">
      <w:bodyDiv w:val="1"/>
      <w:marLeft w:val="0"/>
      <w:marRight w:val="0"/>
      <w:marTop w:val="0"/>
      <w:marBottom w:val="0"/>
      <w:divBdr>
        <w:top w:val="none" w:sz="0" w:space="0" w:color="auto"/>
        <w:left w:val="none" w:sz="0" w:space="0" w:color="auto"/>
        <w:bottom w:val="none" w:sz="0" w:space="0" w:color="auto"/>
        <w:right w:val="none" w:sz="0" w:space="0" w:color="auto"/>
      </w:divBdr>
      <w:divsChild>
        <w:div w:id="436369208">
          <w:marLeft w:val="1800"/>
          <w:marRight w:val="0"/>
          <w:marTop w:val="86"/>
          <w:marBottom w:val="0"/>
          <w:divBdr>
            <w:top w:val="none" w:sz="0" w:space="0" w:color="auto"/>
            <w:left w:val="none" w:sz="0" w:space="0" w:color="auto"/>
            <w:bottom w:val="none" w:sz="0" w:space="0" w:color="auto"/>
            <w:right w:val="none" w:sz="0" w:space="0" w:color="auto"/>
          </w:divBdr>
        </w:div>
        <w:div w:id="515923996">
          <w:marLeft w:val="547"/>
          <w:marRight w:val="0"/>
          <w:marTop w:val="106"/>
          <w:marBottom w:val="0"/>
          <w:divBdr>
            <w:top w:val="none" w:sz="0" w:space="0" w:color="auto"/>
            <w:left w:val="none" w:sz="0" w:space="0" w:color="auto"/>
            <w:bottom w:val="none" w:sz="0" w:space="0" w:color="auto"/>
            <w:right w:val="none" w:sz="0" w:space="0" w:color="auto"/>
          </w:divBdr>
        </w:div>
        <w:div w:id="547183505">
          <w:marLeft w:val="1800"/>
          <w:marRight w:val="0"/>
          <w:marTop w:val="86"/>
          <w:marBottom w:val="0"/>
          <w:divBdr>
            <w:top w:val="none" w:sz="0" w:space="0" w:color="auto"/>
            <w:left w:val="none" w:sz="0" w:space="0" w:color="auto"/>
            <w:bottom w:val="none" w:sz="0" w:space="0" w:color="auto"/>
            <w:right w:val="none" w:sz="0" w:space="0" w:color="auto"/>
          </w:divBdr>
        </w:div>
        <w:div w:id="957905800">
          <w:marLeft w:val="1800"/>
          <w:marRight w:val="0"/>
          <w:marTop w:val="86"/>
          <w:marBottom w:val="0"/>
          <w:divBdr>
            <w:top w:val="none" w:sz="0" w:space="0" w:color="auto"/>
            <w:left w:val="none" w:sz="0" w:space="0" w:color="auto"/>
            <w:bottom w:val="none" w:sz="0" w:space="0" w:color="auto"/>
            <w:right w:val="none" w:sz="0" w:space="0" w:color="auto"/>
          </w:divBdr>
        </w:div>
        <w:div w:id="1356468373">
          <w:marLeft w:val="1166"/>
          <w:marRight w:val="0"/>
          <w:marTop w:val="96"/>
          <w:marBottom w:val="0"/>
          <w:divBdr>
            <w:top w:val="none" w:sz="0" w:space="0" w:color="auto"/>
            <w:left w:val="none" w:sz="0" w:space="0" w:color="auto"/>
            <w:bottom w:val="none" w:sz="0" w:space="0" w:color="auto"/>
            <w:right w:val="none" w:sz="0" w:space="0" w:color="auto"/>
          </w:divBdr>
        </w:div>
        <w:div w:id="1384794509">
          <w:marLeft w:val="1800"/>
          <w:marRight w:val="0"/>
          <w:marTop w:val="86"/>
          <w:marBottom w:val="0"/>
          <w:divBdr>
            <w:top w:val="none" w:sz="0" w:space="0" w:color="auto"/>
            <w:left w:val="none" w:sz="0" w:space="0" w:color="auto"/>
            <w:bottom w:val="none" w:sz="0" w:space="0" w:color="auto"/>
            <w:right w:val="none" w:sz="0" w:space="0" w:color="auto"/>
          </w:divBdr>
        </w:div>
        <w:div w:id="1418405373">
          <w:marLeft w:val="1166"/>
          <w:marRight w:val="0"/>
          <w:marTop w:val="96"/>
          <w:marBottom w:val="0"/>
          <w:divBdr>
            <w:top w:val="none" w:sz="0" w:space="0" w:color="auto"/>
            <w:left w:val="none" w:sz="0" w:space="0" w:color="auto"/>
            <w:bottom w:val="none" w:sz="0" w:space="0" w:color="auto"/>
            <w:right w:val="none" w:sz="0" w:space="0" w:color="auto"/>
          </w:divBdr>
        </w:div>
        <w:div w:id="1423574820">
          <w:marLeft w:val="1800"/>
          <w:marRight w:val="0"/>
          <w:marTop w:val="86"/>
          <w:marBottom w:val="0"/>
          <w:divBdr>
            <w:top w:val="none" w:sz="0" w:space="0" w:color="auto"/>
            <w:left w:val="none" w:sz="0" w:space="0" w:color="auto"/>
            <w:bottom w:val="none" w:sz="0" w:space="0" w:color="auto"/>
            <w:right w:val="none" w:sz="0" w:space="0" w:color="auto"/>
          </w:divBdr>
        </w:div>
        <w:div w:id="1631857500">
          <w:marLeft w:val="1800"/>
          <w:marRight w:val="0"/>
          <w:marTop w:val="86"/>
          <w:marBottom w:val="0"/>
          <w:divBdr>
            <w:top w:val="none" w:sz="0" w:space="0" w:color="auto"/>
            <w:left w:val="none" w:sz="0" w:space="0" w:color="auto"/>
            <w:bottom w:val="none" w:sz="0" w:space="0" w:color="auto"/>
            <w:right w:val="none" w:sz="0" w:space="0" w:color="auto"/>
          </w:divBdr>
        </w:div>
        <w:div w:id="2057466253">
          <w:marLeft w:val="1800"/>
          <w:marRight w:val="0"/>
          <w:marTop w:val="86"/>
          <w:marBottom w:val="0"/>
          <w:divBdr>
            <w:top w:val="none" w:sz="0" w:space="0" w:color="auto"/>
            <w:left w:val="none" w:sz="0" w:space="0" w:color="auto"/>
            <w:bottom w:val="none" w:sz="0" w:space="0" w:color="auto"/>
            <w:right w:val="none" w:sz="0" w:space="0" w:color="auto"/>
          </w:divBdr>
        </w:div>
      </w:divsChild>
    </w:div>
    <w:div w:id="1323968990">
      <w:bodyDiv w:val="1"/>
      <w:marLeft w:val="0"/>
      <w:marRight w:val="0"/>
      <w:marTop w:val="0"/>
      <w:marBottom w:val="0"/>
      <w:divBdr>
        <w:top w:val="none" w:sz="0" w:space="0" w:color="auto"/>
        <w:left w:val="none" w:sz="0" w:space="0" w:color="auto"/>
        <w:bottom w:val="none" w:sz="0" w:space="0" w:color="auto"/>
        <w:right w:val="none" w:sz="0" w:space="0" w:color="auto"/>
      </w:divBdr>
    </w:div>
    <w:div w:id="1324047111">
      <w:bodyDiv w:val="1"/>
      <w:marLeft w:val="0"/>
      <w:marRight w:val="0"/>
      <w:marTop w:val="0"/>
      <w:marBottom w:val="0"/>
      <w:divBdr>
        <w:top w:val="none" w:sz="0" w:space="0" w:color="auto"/>
        <w:left w:val="none" w:sz="0" w:space="0" w:color="auto"/>
        <w:bottom w:val="none" w:sz="0" w:space="0" w:color="auto"/>
        <w:right w:val="none" w:sz="0" w:space="0" w:color="auto"/>
      </w:divBdr>
    </w:div>
    <w:div w:id="1324235559">
      <w:bodyDiv w:val="1"/>
      <w:marLeft w:val="0"/>
      <w:marRight w:val="0"/>
      <w:marTop w:val="0"/>
      <w:marBottom w:val="0"/>
      <w:divBdr>
        <w:top w:val="none" w:sz="0" w:space="0" w:color="auto"/>
        <w:left w:val="none" w:sz="0" w:space="0" w:color="auto"/>
        <w:bottom w:val="none" w:sz="0" w:space="0" w:color="auto"/>
        <w:right w:val="none" w:sz="0" w:space="0" w:color="auto"/>
      </w:divBdr>
    </w:div>
    <w:div w:id="1324702789">
      <w:bodyDiv w:val="1"/>
      <w:marLeft w:val="0"/>
      <w:marRight w:val="0"/>
      <w:marTop w:val="0"/>
      <w:marBottom w:val="0"/>
      <w:divBdr>
        <w:top w:val="none" w:sz="0" w:space="0" w:color="auto"/>
        <w:left w:val="none" w:sz="0" w:space="0" w:color="auto"/>
        <w:bottom w:val="none" w:sz="0" w:space="0" w:color="auto"/>
        <w:right w:val="none" w:sz="0" w:space="0" w:color="auto"/>
      </w:divBdr>
    </w:div>
    <w:div w:id="1325158402">
      <w:bodyDiv w:val="1"/>
      <w:marLeft w:val="0"/>
      <w:marRight w:val="0"/>
      <w:marTop w:val="0"/>
      <w:marBottom w:val="0"/>
      <w:divBdr>
        <w:top w:val="none" w:sz="0" w:space="0" w:color="auto"/>
        <w:left w:val="none" w:sz="0" w:space="0" w:color="auto"/>
        <w:bottom w:val="none" w:sz="0" w:space="0" w:color="auto"/>
        <w:right w:val="none" w:sz="0" w:space="0" w:color="auto"/>
      </w:divBdr>
    </w:div>
    <w:div w:id="1325621362">
      <w:bodyDiv w:val="1"/>
      <w:marLeft w:val="0"/>
      <w:marRight w:val="0"/>
      <w:marTop w:val="0"/>
      <w:marBottom w:val="0"/>
      <w:divBdr>
        <w:top w:val="none" w:sz="0" w:space="0" w:color="auto"/>
        <w:left w:val="none" w:sz="0" w:space="0" w:color="auto"/>
        <w:bottom w:val="none" w:sz="0" w:space="0" w:color="auto"/>
        <w:right w:val="none" w:sz="0" w:space="0" w:color="auto"/>
      </w:divBdr>
      <w:divsChild>
        <w:div w:id="47270245">
          <w:marLeft w:val="547"/>
          <w:marRight w:val="0"/>
          <w:marTop w:val="115"/>
          <w:marBottom w:val="0"/>
          <w:divBdr>
            <w:top w:val="none" w:sz="0" w:space="0" w:color="auto"/>
            <w:left w:val="none" w:sz="0" w:space="0" w:color="auto"/>
            <w:bottom w:val="none" w:sz="0" w:space="0" w:color="auto"/>
            <w:right w:val="none" w:sz="0" w:space="0" w:color="auto"/>
          </w:divBdr>
        </w:div>
        <w:div w:id="62417888">
          <w:marLeft w:val="547"/>
          <w:marRight w:val="0"/>
          <w:marTop w:val="115"/>
          <w:marBottom w:val="0"/>
          <w:divBdr>
            <w:top w:val="none" w:sz="0" w:space="0" w:color="auto"/>
            <w:left w:val="none" w:sz="0" w:space="0" w:color="auto"/>
            <w:bottom w:val="none" w:sz="0" w:space="0" w:color="auto"/>
            <w:right w:val="none" w:sz="0" w:space="0" w:color="auto"/>
          </w:divBdr>
        </w:div>
        <w:div w:id="1411808869">
          <w:marLeft w:val="547"/>
          <w:marRight w:val="0"/>
          <w:marTop w:val="115"/>
          <w:marBottom w:val="0"/>
          <w:divBdr>
            <w:top w:val="none" w:sz="0" w:space="0" w:color="auto"/>
            <w:left w:val="none" w:sz="0" w:space="0" w:color="auto"/>
            <w:bottom w:val="none" w:sz="0" w:space="0" w:color="auto"/>
            <w:right w:val="none" w:sz="0" w:space="0" w:color="auto"/>
          </w:divBdr>
        </w:div>
        <w:div w:id="2086341373">
          <w:marLeft w:val="1166"/>
          <w:marRight w:val="0"/>
          <w:marTop w:val="96"/>
          <w:marBottom w:val="0"/>
          <w:divBdr>
            <w:top w:val="none" w:sz="0" w:space="0" w:color="auto"/>
            <w:left w:val="none" w:sz="0" w:space="0" w:color="auto"/>
            <w:bottom w:val="none" w:sz="0" w:space="0" w:color="auto"/>
            <w:right w:val="none" w:sz="0" w:space="0" w:color="auto"/>
          </w:divBdr>
        </w:div>
      </w:divsChild>
    </w:div>
    <w:div w:id="1326392983">
      <w:bodyDiv w:val="1"/>
      <w:marLeft w:val="0"/>
      <w:marRight w:val="0"/>
      <w:marTop w:val="0"/>
      <w:marBottom w:val="0"/>
      <w:divBdr>
        <w:top w:val="none" w:sz="0" w:space="0" w:color="auto"/>
        <w:left w:val="none" w:sz="0" w:space="0" w:color="auto"/>
        <w:bottom w:val="none" w:sz="0" w:space="0" w:color="auto"/>
        <w:right w:val="none" w:sz="0" w:space="0" w:color="auto"/>
      </w:divBdr>
    </w:div>
    <w:div w:id="1326470711">
      <w:bodyDiv w:val="1"/>
      <w:marLeft w:val="0"/>
      <w:marRight w:val="0"/>
      <w:marTop w:val="0"/>
      <w:marBottom w:val="0"/>
      <w:divBdr>
        <w:top w:val="none" w:sz="0" w:space="0" w:color="auto"/>
        <w:left w:val="none" w:sz="0" w:space="0" w:color="auto"/>
        <w:bottom w:val="none" w:sz="0" w:space="0" w:color="auto"/>
        <w:right w:val="none" w:sz="0" w:space="0" w:color="auto"/>
      </w:divBdr>
    </w:div>
    <w:div w:id="1326930982">
      <w:bodyDiv w:val="1"/>
      <w:marLeft w:val="0"/>
      <w:marRight w:val="0"/>
      <w:marTop w:val="0"/>
      <w:marBottom w:val="0"/>
      <w:divBdr>
        <w:top w:val="none" w:sz="0" w:space="0" w:color="auto"/>
        <w:left w:val="none" w:sz="0" w:space="0" w:color="auto"/>
        <w:bottom w:val="none" w:sz="0" w:space="0" w:color="auto"/>
        <w:right w:val="none" w:sz="0" w:space="0" w:color="auto"/>
      </w:divBdr>
    </w:div>
    <w:div w:id="1326934355">
      <w:bodyDiv w:val="1"/>
      <w:marLeft w:val="0"/>
      <w:marRight w:val="0"/>
      <w:marTop w:val="0"/>
      <w:marBottom w:val="0"/>
      <w:divBdr>
        <w:top w:val="none" w:sz="0" w:space="0" w:color="auto"/>
        <w:left w:val="none" w:sz="0" w:space="0" w:color="auto"/>
        <w:bottom w:val="none" w:sz="0" w:space="0" w:color="auto"/>
        <w:right w:val="none" w:sz="0" w:space="0" w:color="auto"/>
      </w:divBdr>
    </w:div>
    <w:div w:id="1327124246">
      <w:bodyDiv w:val="1"/>
      <w:marLeft w:val="0"/>
      <w:marRight w:val="0"/>
      <w:marTop w:val="0"/>
      <w:marBottom w:val="0"/>
      <w:divBdr>
        <w:top w:val="none" w:sz="0" w:space="0" w:color="auto"/>
        <w:left w:val="none" w:sz="0" w:space="0" w:color="auto"/>
        <w:bottom w:val="none" w:sz="0" w:space="0" w:color="auto"/>
        <w:right w:val="none" w:sz="0" w:space="0" w:color="auto"/>
      </w:divBdr>
    </w:div>
    <w:div w:id="1328243039">
      <w:bodyDiv w:val="1"/>
      <w:marLeft w:val="0"/>
      <w:marRight w:val="0"/>
      <w:marTop w:val="0"/>
      <w:marBottom w:val="0"/>
      <w:divBdr>
        <w:top w:val="none" w:sz="0" w:space="0" w:color="auto"/>
        <w:left w:val="none" w:sz="0" w:space="0" w:color="auto"/>
        <w:bottom w:val="none" w:sz="0" w:space="0" w:color="auto"/>
        <w:right w:val="none" w:sz="0" w:space="0" w:color="auto"/>
      </w:divBdr>
    </w:div>
    <w:div w:id="1328248969">
      <w:bodyDiv w:val="1"/>
      <w:marLeft w:val="0"/>
      <w:marRight w:val="0"/>
      <w:marTop w:val="0"/>
      <w:marBottom w:val="0"/>
      <w:divBdr>
        <w:top w:val="none" w:sz="0" w:space="0" w:color="auto"/>
        <w:left w:val="none" w:sz="0" w:space="0" w:color="auto"/>
        <w:bottom w:val="none" w:sz="0" w:space="0" w:color="auto"/>
        <w:right w:val="none" w:sz="0" w:space="0" w:color="auto"/>
      </w:divBdr>
      <w:divsChild>
        <w:div w:id="401565293">
          <w:marLeft w:val="1166"/>
          <w:marRight w:val="0"/>
          <w:marTop w:val="115"/>
          <w:marBottom w:val="0"/>
          <w:divBdr>
            <w:top w:val="none" w:sz="0" w:space="0" w:color="auto"/>
            <w:left w:val="none" w:sz="0" w:space="0" w:color="auto"/>
            <w:bottom w:val="none" w:sz="0" w:space="0" w:color="auto"/>
            <w:right w:val="none" w:sz="0" w:space="0" w:color="auto"/>
          </w:divBdr>
        </w:div>
        <w:div w:id="637226368">
          <w:marLeft w:val="547"/>
          <w:marRight w:val="0"/>
          <w:marTop w:val="134"/>
          <w:marBottom w:val="0"/>
          <w:divBdr>
            <w:top w:val="none" w:sz="0" w:space="0" w:color="auto"/>
            <w:left w:val="none" w:sz="0" w:space="0" w:color="auto"/>
            <w:bottom w:val="none" w:sz="0" w:space="0" w:color="auto"/>
            <w:right w:val="none" w:sz="0" w:space="0" w:color="auto"/>
          </w:divBdr>
        </w:div>
        <w:div w:id="679233142">
          <w:marLeft w:val="547"/>
          <w:marRight w:val="0"/>
          <w:marTop w:val="134"/>
          <w:marBottom w:val="0"/>
          <w:divBdr>
            <w:top w:val="none" w:sz="0" w:space="0" w:color="auto"/>
            <w:left w:val="none" w:sz="0" w:space="0" w:color="auto"/>
            <w:bottom w:val="none" w:sz="0" w:space="0" w:color="auto"/>
            <w:right w:val="none" w:sz="0" w:space="0" w:color="auto"/>
          </w:divBdr>
        </w:div>
        <w:div w:id="1631473818">
          <w:marLeft w:val="1166"/>
          <w:marRight w:val="0"/>
          <w:marTop w:val="115"/>
          <w:marBottom w:val="0"/>
          <w:divBdr>
            <w:top w:val="none" w:sz="0" w:space="0" w:color="auto"/>
            <w:left w:val="none" w:sz="0" w:space="0" w:color="auto"/>
            <w:bottom w:val="none" w:sz="0" w:space="0" w:color="auto"/>
            <w:right w:val="none" w:sz="0" w:space="0" w:color="auto"/>
          </w:divBdr>
        </w:div>
      </w:divsChild>
    </w:div>
    <w:div w:id="1328630863">
      <w:bodyDiv w:val="1"/>
      <w:marLeft w:val="0"/>
      <w:marRight w:val="0"/>
      <w:marTop w:val="0"/>
      <w:marBottom w:val="0"/>
      <w:divBdr>
        <w:top w:val="none" w:sz="0" w:space="0" w:color="auto"/>
        <w:left w:val="none" w:sz="0" w:space="0" w:color="auto"/>
        <w:bottom w:val="none" w:sz="0" w:space="0" w:color="auto"/>
        <w:right w:val="none" w:sz="0" w:space="0" w:color="auto"/>
      </w:divBdr>
    </w:div>
    <w:div w:id="1329674063">
      <w:bodyDiv w:val="1"/>
      <w:marLeft w:val="0"/>
      <w:marRight w:val="0"/>
      <w:marTop w:val="0"/>
      <w:marBottom w:val="0"/>
      <w:divBdr>
        <w:top w:val="none" w:sz="0" w:space="0" w:color="auto"/>
        <w:left w:val="none" w:sz="0" w:space="0" w:color="auto"/>
        <w:bottom w:val="none" w:sz="0" w:space="0" w:color="auto"/>
        <w:right w:val="none" w:sz="0" w:space="0" w:color="auto"/>
      </w:divBdr>
    </w:div>
    <w:div w:id="1330596990">
      <w:bodyDiv w:val="1"/>
      <w:marLeft w:val="0"/>
      <w:marRight w:val="0"/>
      <w:marTop w:val="0"/>
      <w:marBottom w:val="0"/>
      <w:divBdr>
        <w:top w:val="none" w:sz="0" w:space="0" w:color="auto"/>
        <w:left w:val="none" w:sz="0" w:space="0" w:color="auto"/>
        <w:bottom w:val="none" w:sz="0" w:space="0" w:color="auto"/>
        <w:right w:val="none" w:sz="0" w:space="0" w:color="auto"/>
      </w:divBdr>
    </w:div>
    <w:div w:id="1330643925">
      <w:bodyDiv w:val="1"/>
      <w:marLeft w:val="0"/>
      <w:marRight w:val="0"/>
      <w:marTop w:val="0"/>
      <w:marBottom w:val="0"/>
      <w:divBdr>
        <w:top w:val="none" w:sz="0" w:space="0" w:color="auto"/>
        <w:left w:val="none" w:sz="0" w:space="0" w:color="auto"/>
        <w:bottom w:val="none" w:sz="0" w:space="0" w:color="auto"/>
        <w:right w:val="none" w:sz="0" w:space="0" w:color="auto"/>
      </w:divBdr>
      <w:divsChild>
        <w:div w:id="455761387">
          <w:marLeft w:val="1800"/>
          <w:marRight w:val="0"/>
          <w:marTop w:val="86"/>
          <w:marBottom w:val="0"/>
          <w:divBdr>
            <w:top w:val="none" w:sz="0" w:space="0" w:color="auto"/>
            <w:left w:val="none" w:sz="0" w:space="0" w:color="auto"/>
            <w:bottom w:val="none" w:sz="0" w:space="0" w:color="auto"/>
            <w:right w:val="none" w:sz="0" w:space="0" w:color="auto"/>
          </w:divBdr>
        </w:div>
        <w:div w:id="523058286">
          <w:marLeft w:val="1800"/>
          <w:marRight w:val="0"/>
          <w:marTop w:val="86"/>
          <w:marBottom w:val="0"/>
          <w:divBdr>
            <w:top w:val="none" w:sz="0" w:space="0" w:color="auto"/>
            <w:left w:val="none" w:sz="0" w:space="0" w:color="auto"/>
            <w:bottom w:val="none" w:sz="0" w:space="0" w:color="auto"/>
            <w:right w:val="none" w:sz="0" w:space="0" w:color="auto"/>
          </w:divBdr>
        </w:div>
        <w:div w:id="564219735">
          <w:marLeft w:val="1166"/>
          <w:marRight w:val="0"/>
          <w:marTop w:val="115"/>
          <w:marBottom w:val="0"/>
          <w:divBdr>
            <w:top w:val="none" w:sz="0" w:space="0" w:color="auto"/>
            <w:left w:val="none" w:sz="0" w:space="0" w:color="auto"/>
            <w:bottom w:val="none" w:sz="0" w:space="0" w:color="auto"/>
            <w:right w:val="none" w:sz="0" w:space="0" w:color="auto"/>
          </w:divBdr>
        </w:div>
        <w:div w:id="1649818409">
          <w:marLeft w:val="547"/>
          <w:marRight w:val="0"/>
          <w:marTop w:val="134"/>
          <w:marBottom w:val="0"/>
          <w:divBdr>
            <w:top w:val="none" w:sz="0" w:space="0" w:color="auto"/>
            <w:left w:val="none" w:sz="0" w:space="0" w:color="auto"/>
            <w:bottom w:val="none" w:sz="0" w:space="0" w:color="auto"/>
            <w:right w:val="none" w:sz="0" w:space="0" w:color="auto"/>
          </w:divBdr>
        </w:div>
        <w:div w:id="1734307726">
          <w:marLeft w:val="1800"/>
          <w:marRight w:val="0"/>
          <w:marTop w:val="86"/>
          <w:marBottom w:val="0"/>
          <w:divBdr>
            <w:top w:val="none" w:sz="0" w:space="0" w:color="auto"/>
            <w:left w:val="none" w:sz="0" w:space="0" w:color="auto"/>
            <w:bottom w:val="none" w:sz="0" w:space="0" w:color="auto"/>
            <w:right w:val="none" w:sz="0" w:space="0" w:color="auto"/>
          </w:divBdr>
        </w:div>
        <w:div w:id="1817456117">
          <w:marLeft w:val="1166"/>
          <w:marRight w:val="0"/>
          <w:marTop w:val="115"/>
          <w:marBottom w:val="0"/>
          <w:divBdr>
            <w:top w:val="none" w:sz="0" w:space="0" w:color="auto"/>
            <w:left w:val="none" w:sz="0" w:space="0" w:color="auto"/>
            <w:bottom w:val="none" w:sz="0" w:space="0" w:color="auto"/>
            <w:right w:val="none" w:sz="0" w:space="0" w:color="auto"/>
          </w:divBdr>
        </w:div>
        <w:div w:id="1833598133">
          <w:marLeft w:val="1800"/>
          <w:marRight w:val="0"/>
          <w:marTop w:val="86"/>
          <w:marBottom w:val="0"/>
          <w:divBdr>
            <w:top w:val="none" w:sz="0" w:space="0" w:color="auto"/>
            <w:left w:val="none" w:sz="0" w:space="0" w:color="auto"/>
            <w:bottom w:val="none" w:sz="0" w:space="0" w:color="auto"/>
            <w:right w:val="none" w:sz="0" w:space="0" w:color="auto"/>
          </w:divBdr>
        </w:div>
        <w:div w:id="1932855995">
          <w:marLeft w:val="1166"/>
          <w:marRight w:val="0"/>
          <w:marTop w:val="115"/>
          <w:marBottom w:val="0"/>
          <w:divBdr>
            <w:top w:val="none" w:sz="0" w:space="0" w:color="auto"/>
            <w:left w:val="none" w:sz="0" w:space="0" w:color="auto"/>
            <w:bottom w:val="none" w:sz="0" w:space="0" w:color="auto"/>
            <w:right w:val="none" w:sz="0" w:space="0" w:color="auto"/>
          </w:divBdr>
        </w:div>
        <w:div w:id="1980646299">
          <w:marLeft w:val="1800"/>
          <w:marRight w:val="0"/>
          <w:marTop w:val="86"/>
          <w:marBottom w:val="0"/>
          <w:divBdr>
            <w:top w:val="none" w:sz="0" w:space="0" w:color="auto"/>
            <w:left w:val="none" w:sz="0" w:space="0" w:color="auto"/>
            <w:bottom w:val="none" w:sz="0" w:space="0" w:color="auto"/>
            <w:right w:val="none" w:sz="0" w:space="0" w:color="auto"/>
          </w:divBdr>
        </w:div>
      </w:divsChild>
    </w:div>
    <w:div w:id="1331323881">
      <w:bodyDiv w:val="1"/>
      <w:marLeft w:val="0"/>
      <w:marRight w:val="0"/>
      <w:marTop w:val="0"/>
      <w:marBottom w:val="0"/>
      <w:divBdr>
        <w:top w:val="none" w:sz="0" w:space="0" w:color="auto"/>
        <w:left w:val="none" w:sz="0" w:space="0" w:color="auto"/>
        <w:bottom w:val="none" w:sz="0" w:space="0" w:color="auto"/>
        <w:right w:val="none" w:sz="0" w:space="0" w:color="auto"/>
      </w:divBdr>
      <w:divsChild>
        <w:div w:id="127286451">
          <w:marLeft w:val="1166"/>
          <w:marRight w:val="0"/>
          <w:marTop w:val="134"/>
          <w:marBottom w:val="0"/>
          <w:divBdr>
            <w:top w:val="none" w:sz="0" w:space="0" w:color="auto"/>
            <w:left w:val="none" w:sz="0" w:space="0" w:color="auto"/>
            <w:bottom w:val="none" w:sz="0" w:space="0" w:color="auto"/>
            <w:right w:val="none" w:sz="0" w:space="0" w:color="auto"/>
          </w:divBdr>
        </w:div>
        <w:div w:id="276332245">
          <w:marLeft w:val="1800"/>
          <w:marRight w:val="0"/>
          <w:marTop w:val="106"/>
          <w:marBottom w:val="0"/>
          <w:divBdr>
            <w:top w:val="none" w:sz="0" w:space="0" w:color="auto"/>
            <w:left w:val="none" w:sz="0" w:space="0" w:color="auto"/>
            <w:bottom w:val="none" w:sz="0" w:space="0" w:color="auto"/>
            <w:right w:val="none" w:sz="0" w:space="0" w:color="auto"/>
          </w:divBdr>
        </w:div>
        <w:div w:id="453989546">
          <w:marLeft w:val="1800"/>
          <w:marRight w:val="0"/>
          <w:marTop w:val="106"/>
          <w:marBottom w:val="0"/>
          <w:divBdr>
            <w:top w:val="none" w:sz="0" w:space="0" w:color="auto"/>
            <w:left w:val="none" w:sz="0" w:space="0" w:color="auto"/>
            <w:bottom w:val="none" w:sz="0" w:space="0" w:color="auto"/>
            <w:right w:val="none" w:sz="0" w:space="0" w:color="auto"/>
          </w:divBdr>
        </w:div>
        <w:div w:id="731998184">
          <w:marLeft w:val="547"/>
          <w:marRight w:val="0"/>
          <w:marTop w:val="144"/>
          <w:marBottom w:val="0"/>
          <w:divBdr>
            <w:top w:val="none" w:sz="0" w:space="0" w:color="auto"/>
            <w:left w:val="none" w:sz="0" w:space="0" w:color="auto"/>
            <w:bottom w:val="none" w:sz="0" w:space="0" w:color="auto"/>
            <w:right w:val="none" w:sz="0" w:space="0" w:color="auto"/>
          </w:divBdr>
        </w:div>
        <w:div w:id="1878617718">
          <w:marLeft w:val="1800"/>
          <w:marRight w:val="0"/>
          <w:marTop w:val="106"/>
          <w:marBottom w:val="0"/>
          <w:divBdr>
            <w:top w:val="none" w:sz="0" w:space="0" w:color="auto"/>
            <w:left w:val="none" w:sz="0" w:space="0" w:color="auto"/>
            <w:bottom w:val="none" w:sz="0" w:space="0" w:color="auto"/>
            <w:right w:val="none" w:sz="0" w:space="0" w:color="auto"/>
          </w:divBdr>
        </w:div>
        <w:div w:id="1881819446">
          <w:marLeft w:val="1166"/>
          <w:marRight w:val="0"/>
          <w:marTop w:val="134"/>
          <w:marBottom w:val="0"/>
          <w:divBdr>
            <w:top w:val="none" w:sz="0" w:space="0" w:color="auto"/>
            <w:left w:val="none" w:sz="0" w:space="0" w:color="auto"/>
            <w:bottom w:val="none" w:sz="0" w:space="0" w:color="auto"/>
            <w:right w:val="none" w:sz="0" w:space="0" w:color="auto"/>
          </w:divBdr>
        </w:div>
        <w:div w:id="1947498596">
          <w:marLeft w:val="547"/>
          <w:marRight w:val="0"/>
          <w:marTop w:val="154"/>
          <w:marBottom w:val="0"/>
          <w:divBdr>
            <w:top w:val="none" w:sz="0" w:space="0" w:color="auto"/>
            <w:left w:val="none" w:sz="0" w:space="0" w:color="auto"/>
            <w:bottom w:val="none" w:sz="0" w:space="0" w:color="auto"/>
            <w:right w:val="none" w:sz="0" w:space="0" w:color="auto"/>
          </w:divBdr>
        </w:div>
      </w:divsChild>
    </w:div>
    <w:div w:id="1331982873">
      <w:bodyDiv w:val="1"/>
      <w:marLeft w:val="0"/>
      <w:marRight w:val="0"/>
      <w:marTop w:val="0"/>
      <w:marBottom w:val="0"/>
      <w:divBdr>
        <w:top w:val="none" w:sz="0" w:space="0" w:color="auto"/>
        <w:left w:val="none" w:sz="0" w:space="0" w:color="auto"/>
        <w:bottom w:val="none" w:sz="0" w:space="0" w:color="auto"/>
        <w:right w:val="none" w:sz="0" w:space="0" w:color="auto"/>
      </w:divBdr>
    </w:div>
    <w:div w:id="1332098840">
      <w:bodyDiv w:val="1"/>
      <w:marLeft w:val="0"/>
      <w:marRight w:val="0"/>
      <w:marTop w:val="0"/>
      <w:marBottom w:val="0"/>
      <w:divBdr>
        <w:top w:val="none" w:sz="0" w:space="0" w:color="auto"/>
        <w:left w:val="none" w:sz="0" w:space="0" w:color="auto"/>
        <w:bottom w:val="none" w:sz="0" w:space="0" w:color="auto"/>
        <w:right w:val="none" w:sz="0" w:space="0" w:color="auto"/>
      </w:divBdr>
      <w:divsChild>
        <w:div w:id="1955865011">
          <w:marLeft w:val="1800"/>
          <w:marRight w:val="0"/>
          <w:marTop w:val="120"/>
          <w:marBottom w:val="0"/>
          <w:divBdr>
            <w:top w:val="none" w:sz="0" w:space="0" w:color="auto"/>
            <w:left w:val="none" w:sz="0" w:space="0" w:color="auto"/>
            <w:bottom w:val="none" w:sz="0" w:space="0" w:color="auto"/>
            <w:right w:val="none" w:sz="0" w:space="0" w:color="auto"/>
          </w:divBdr>
        </w:div>
      </w:divsChild>
    </w:div>
    <w:div w:id="1332566447">
      <w:bodyDiv w:val="1"/>
      <w:marLeft w:val="0"/>
      <w:marRight w:val="0"/>
      <w:marTop w:val="0"/>
      <w:marBottom w:val="0"/>
      <w:divBdr>
        <w:top w:val="none" w:sz="0" w:space="0" w:color="auto"/>
        <w:left w:val="none" w:sz="0" w:space="0" w:color="auto"/>
        <w:bottom w:val="none" w:sz="0" w:space="0" w:color="auto"/>
        <w:right w:val="none" w:sz="0" w:space="0" w:color="auto"/>
      </w:divBdr>
    </w:div>
    <w:div w:id="1336421323">
      <w:bodyDiv w:val="1"/>
      <w:marLeft w:val="0"/>
      <w:marRight w:val="0"/>
      <w:marTop w:val="0"/>
      <w:marBottom w:val="0"/>
      <w:divBdr>
        <w:top w:val="none" w:sz="0" w:space="0" w:color="auto"/>
        <w:left w:val="none" w:sz="0" w:space="0" w:color="auto"/>
        <w:bottom w:val="none" w:sz="0" w:space="0" w:color="auto"/>
        <w:right w:val="none" w:sz="0" w:space="0" w:color="auto"/>
      </w:divBdr>
    </w:div>
    <w:div w:id="1337881718">
      <w:bodyDiv w:val="1"/>
      <w:marLeft w:val="0"/>
      <w:marRight w:val="0"/>
      <w:marTop w:val="0"/>
      <w:marBottom w:val="0"/>
      <w:divBdr>
        <w:top w:val="none" w:sz="0" w:space="0" w:color="auto"/>
        <w:left w:val="none" w:sz="0" w:space="0" w:color="auto"/>
        <w:bottom w:val="none" w:sz="0" w:space="0" w:color="auto"/>
        <w:right w:val="none" w:sz="0" w:space="0" w:color="auto"/>
      </w:divBdr>
      <w:divsChild>
        <w:div w:id="36443089">
          <w:marLeft w:val="302"/>
          <w:marRight w:val="0"/>
          <w:marTop w:val="0"/>
          <w:marBottom w:val="12"/>
          <w:divBdr>
            <w:top w:val="none" w:sz="0" w:space="0" w:color="auto"/>
            <w:left w:val="none" w:sz="0" w:space="0" w:color="auto"/>
            <w:bottom w:val="none" w:sz="0" w:space="0" w:color="auto"/>
            <w:right w:val="none" w:sz="0" w:space="0" w:color="auto"/>
          </w:divBdr>
        </w:div>
        <w:div w:id="37315122">
          <w:marLeft w:val="1166"/>
          <w:marRight w:val="0"/>
          <w:marTop w:val="0"/>
          <w:marBottom w:val="0"/>
          <w:divBdr>
            <w:top w:val="none" w:sz="0" w:space="0" w:color="auto"/>
            <w:left w:val="none" w:sz="0" w:space="0" w:color="auto"/>
            <w:bottom w:val="none" w:sz="0" w:space="0" w:color="auto"/>
            <w:right w:val="none" w:sz="0" w:space="0" w:color="auto"/>
          </w:divBdr>
        </w:div>
        <w:div w:id="665670251">
          <w:marLeft w:val="302"/>
          <w:marRight w:val="0"/>
          <w:marTop w:val="0"/>
          <w:marBottom w:val="12"/>
          <w:divBdr>
            <w:top w:val="none" w:sz="0" w:space="0" w:color="auto"/>
            <w:left w:val="none" w:sz="0" w:space="0" w:color="auto"/>
            <w:bottom w:val="none" w:sz="0" w:space="0" w:color="auto"/>
            <w:right w:val="none" w:sz="0" w:space="0" w:color="auto"/>
          </w:divBdr>
        </w:div>
        <w:div w:id="1235431807">
          <w:marLeft w:val="1166"/>
          <w:marRight w:val="0"/>
          <w:marTop w:val="0"/>
          <w:marBottom w:val="0"/>
          <w:divBdr>
            <w:top w:val="none" w:sz="0" w:space="0" w:color="auto"/>
            <w:left w:val="none" w:sz="0" w:space="0" w:color="auto"/>
            <w:bottom w:val="none" w:sz="0" w:space="0" w:color="auto"/>
            <w:right w:val="none" w:sz="0" w:space="0" w:color="auto"/>
          </w:divBdr>
        </w:div>
        <w:div w:id="1371102171">
          <w:marLeft w:val="1166"/>
          <w:marRight w:val="0"/>
          <w:marTop w:val="0"/>
          <w:marBottom w:val="0"/>
          <w:divBdr>
            <w:top w:val="none" w:sz="0" w:space="0" w:color="auto"/>
            <w:left w:val="none" w:sz="0" w:space="0" w:color="auto"/>
            <w:bottom w:val="none" w:sz="0" w:space="0" w:color="auto"/>
            <w:right w:val="none" w:sz="0" w:space="0" w:color="auto"/>
          </w:divBdr>
        </w:div>
        <w:div w:id="1392847426">
          <w:marLeft w:val="1166"/>
          <w:marRight w:val="0"/>
          <w:marTop w:val="0"/>
          <w:marBottom w:val="0"/>
          <w:divBdr>
            <w:top w:val="none" w:sz="0" w:space="0" w:color="auto"/>
            <w:left w:val="none" w:sz="0" w:space="0" w:color="auto"/>
            <w:bottom w:val="none" w:sz="0" w:space="0" w:color="auto"/>
            <w:right w:val="none" w:sz="0" w:space="0" w:color="auto"/>
          </w:divBdr>
        </w:div>
      </w:divsChild>
    </w:div>
    <w:div w:id="1338535865">
      <w:bodyDiv w:val="1"/>
      <w:marLeft w:val="0"/>
      <w:marRight w:val="0"/>
      <w:marTop w:val="0"/>
      <w:marBottom w:val="0"/>
      <w:divBdr>
        <w:top w:val="none" w:sz="0" w:space="0" w:color="auto"/>
        <w:left w:val="none" w:sz="0" w:space="0" w:color="auto"/>
        <w:bottom w:val="none" w:sz="0" w:space="0" w:color="auto"/>
        <w:right w:val="none" w:sz="0" w:space="0" w:color="auto"/>
      </w:divBdr>
    </w:div>
    <w:div w:id="1338581124">
      <w:bodyDiv w:val="1"/>
      <w:marLeft w:val="0"/>
      <w:marRight w:val="0"/>
      <w:marTop w:val="0"/>
      <w:marBottom w:val="0"/>
      <w:divBdr>
        <w:top w:val="none" w:sz="0" w:space="0" w:color="auto"/>
        <w:left w:val="none" w:sz="0" w:space="0" w:color="auto"/>
        <w:bottom w:val="none" w:sz="0" w:space="0" w:color="auto"/>
        <w:right w:val="none" w:sz="0" w:space="0" w:color="auto"/>
      </w:divBdr>
    </w:div>
    <w:div w:id="1338582811">
      <w:bodyDiv w:val="1"/>
      <w:marLeft w:val="0"/>
      <w:marRight w:val="0"/>
      <w:marTop w:val="0"/>
      <w:marBottom w:val="0"/>
      <w:divBdr>
        <w:top w:val="none" w:sz="0" w:space="0" w:color="auto"/>
        <w:left w:val="none" w:sz="0" w:space="0" w:color="auto"/>
        <w:bottom w:val="none" w:sz="0" w:space="0" w:color="auto"/>
        <w:right w:val="none" w:sz="0" w:space="0" w:color="auto"/>
      </w:divBdr>
    </w:div>
    <w:div w:id="1338728994">
      <w:bodyDiv w:val="1"/>
      <w:marLeft w:val="0"/>
      <w:marRight w:val="0"/>
      <w:marTop w:val="0"/>
      <w:marBottom w:val="0"/>
      <w:divBdr>
        <w:top w:val="none" w:sz="0" w:space="0" w:color="auto"/>
        <w:left w:val="none" w:sz="0" w:space="0" w:color="auto"/>
        <w:bottom w:val="none" w:sz="0" w:space="0" w:color="auto"/>
        <w:right w:val="none" w:sz="0" w:space="0" w:color="auto"/>
      </w:divBdr>
    </w:div>
    <w:div w:id="1338919667">
      <w:bodyDiv w:val="1"/>
      <w:marLeft w:val="0"/>
      <w:marRight w:val="0"/>
      <w:marTop w:val="0"/>
      <w:marBottom w:val="0"/>
      <w:divBdr>
        <w:top w:val="none" w:sz="0" w:space="0" w:color="auto"/>
        <w:left w:val="none" w:sz="0" w:space="0" w:color="auto"/>
        <w:bottom w:val="none" w:sz="0" w:space="0" w:color="auto"/>
        <w:right w:val="none" w:sz="0" w:space="0" w:color="auto"/>
      </w:divBdr>
    </w:div>
    <w:div w:id="1338927285">
      <w:bodyDiv w:val="1"/>
      <w:marLeft w:val="0"/>
      <w:marRight w:val="0"/>
      <w:marTop w:val="0"/>
      <w:marBottom w:val="0"/>
      <w:divBdr>
        <w:top w:val="none" w:sz="0" w:space="0" w:color="auto"/>
        <w:left w:val="none" w:sz="0" w:space="0" w:color="auto"/>
        <w:bottom w:val="none" w:sz="0" w:space="0" w:color="auto"/>
        <w:right w:val="none" w:sz="0" w:space="0" w:color="auto"/>
      </w:divBdr>
    </w:div>
    <w:div w:id="1339306412">
      <w:bodyDiv w:val="1"/>
      <w:marLeft w:val="0"/>
      <w:marRight w:val="0"/>
      <w:marTop w:val="0"/>
      <w:marBottom w:val="0"/>
      <w:divBdr>
        <w:top w:val="none" w:sz="0" w:space="0" w:color="auto"/>
        <w:left w:val="none" w:sz="0" w:space="0" w:color="auto"/>
        <w:bottom w:val="none" w:sz="0" w:space="0" w:color="auto"/>
        <w:right w:val="none" w:sz="0" w:space="0" w:color="auto"/>
      </w:divBdr>
    </w:div>
    <w:div w:id="1339503750">
      <w:bodyDiv w:val="1"/>
      <w:marLeft w:val="0"/>
      <w:marRight w:val="0"/>
      <w:marTop w:val="0"/>
      <w:marBottom w:val="0"/>
      <w:divBdr>
        <w:top w:val="none" w:sz="0" w:space="0" w:color="auto"/>
        <w:left w:val="none" w:sz="0" w:space="0" w:color="auto"/>
        <w:bottom w:val="none" w:sz="0" w:space="0" w:color="auto"/>
        <w:right w:val="none" w:sz="0" w:space="0" w:color="auto"/>
      </w:divBdr>
    </w:div>
    <w:div w:id="1339581645">
      <w:bodyDiv w:val="1"/>
      <w:marLeft w:val="0"/>
      <w:marRight w:val="0"/>
      <w:marTop w:val="0"/>
      <w:marBottom w:val="0"/>
      <w:divBdr>
        <w:top w:val="none" w:sz="0" w:space="0" w:color="auto"/>
        <w:left w:val="none" w:sz="0" w:space="0" w:color="auto"/>
        <w:bottom w:val="none" w:sz="0" w:space="0" w:color="auto"/>
        <w:right w:val="none" w:sz="0" w:space="0" w:color="auto"/>
      </w:divBdr>
    </w:div>
    <w:div w:id="1340228723">
      <w:bodyDiv w:val="1"/>
      <w:marLeft w:val="0"/>
      <w:marRight w:val="0"/>
      <w:marTop w:val="0"/>
      <w:marBottom w:val="0"/>
      <w:divBdr>
        <w:top w:val="none" w:sz="0" w:space="0" w:color="auto"/>
        <w:left w:val="none" w:sz="0" w:space="0" w:color="auto"/>
        <w:bottom w:val="none" w:sz="0" w:space="0" w:color="auto"/>
        <w:right w:val="none" w:sz="0" w:space="0" w:color="auto"/>
      </w:divBdr>
      <w:divsChild>
        <w:div w:id="457601304">
          <w:marLeft w:val="0"/>
          <w:marRight w:val="0"/>
          <w:marTop w:val="0"/>
          <w:marBottom w:val="0"/>
          <w:divBdr>
            <w:top w:val="none" w:sz="0" w:space="0" w:color="auto"/>
            <w:left w:val="none" w:sz="0" w:space="0" w:color="auto"/>
            <w:bottom w:val="none" w:sz="0" w:space="0" w:color="auto"/>
            <w:right w:val="none" w:sz="0" w:space="0" w:color="auto"/>
          </w:divBdr>
        </w:div>
      </w:divsChild>
    </w:div>
    <w:div w:id="1341159978">
      <w:bodyDiv w:val="1"/>
      <w:marLeft w:val="0"/>
      <w:marRight w:val="0"/>
      <w:marTop w:val="0"/>
      <w:marBottom w:val="0"/>
      <w:divBdr>
        <w:top w:val="none" w:sz="0" w:space="0" w:color="auto"/>
        <w:left w:val="none" w:sz="0" w:space="0" w:color="auto"/>
        <w:bottom w:val="none" w:sz="0" w:space="0" w:color="auto"/>
        <w:right w:val="none" w:sz="0" w:space="0" w:color="auto"/>
      </w:divBdr>
    </w:div>
    <w:div w:id="1341591000">
      <w:bodyDiv w:val="1"/>
      <w:marLeft w:val="0"/>
      <w:marRight w:val="0"/>
      <w:marTop w:val="0"/>
      <w:marBottom w:val="0"/>
      <w:divBdr>
        <w:top w:val="none" w:sz="0" w:space="0" w:color="auto"/>
        <w:left w:val="none" w:sz="0" w:space="0" w:color="auto"/>
        <w:bottom w:val="none" w:sz="0" w:space="0" w:color="auto"/>
        <w:right w:val="none" w:sz="0" w:space="0" w:color="auto"/>
      </w:divBdr>
    </w:div>
    <w:div w:id="1342269977">
      <w:bodyDiv w:val="1"/>
      <w:marLeft w:val="0"/>
      <w:marRight w:val="0"/>
      <w:marTop w:val="0"/>
      <w:marBottom w:val="0"/>
      <w:divBdr>
        <w:top w:val="none" w:sz="0" w:space="0" w:color="auto"/>
        <w:left w:val="none" w:sz="0" w:space="0" w:color="auto"/>
        <w:bottom w:val="none" w:sz="0" w:space="0" w:color="auto"/>
        <w:right w:val="none" w:sz="0" w:space="0" w:color="auto"/>
      </w:divBdr>
    </w:div>
    <w:div w:id="1342394183">
      <w:bodyDiv w:val="1"/>
      <w:marLeft w:val="0"/>
      <w:marRight w:val="0"/>
      <w:marTop w:val="0"/>
      <w:marBottom w:val="0"/>
      <w:divBdr>
        <w:top w:val="none" w:sz="0" w:space="0" w:color="auto"/>
        <w:left w:val="none" w:sz="0" w:space="0" w:color="auto"/>
        <w:bottom w:val="none" w:sz="0" w:space="0" w:color="auto"/>
        <w:right w:val="none" w:sz="0" w:space="0" w:color="auto"/>
      </w:divBdr>
    </w:div>
    <w:div w:id="1343236947">
      <w:bodyDiv w:val="1"/>
      <w:marLeft w:val="0"/>
      <w:marRight w:val="0"/>
      <w:marTop w:val="0"/>
      <w:marBottom w:val="0"/>
      <w:divBdr>
        <w:top w:val="none" w:sz="0" w:space="0" w:color="auto"/>
        <w:left w:val="none" w:sz="0" w:space="0" w:color="auto"/>
        <w:bottom w:val="none" w:sz="0" w:space="0" w:color="auto"/>
        <w:right w:val="none" w:sz="0" w:space="0" w:color="auto"/>
      </w:divBdr>
    </w:div>
    <w:div w:id="1344164777">
      <w:bodyDiv w:val="1"/>
      <w:marLeft w:val="0"/>
      <w:marRight w:val="0"/>
      <w:marTop w:val="0"/>
      <w:marBottom w:val="0"/>
      <w:divBdr>
        <w:top w:val="none" w:sz="0" w:space="0" w:color="auto"/>
        <w:left w:val="none" w:sz="0" w:space="0" w:color="auto"/>
        <w:bottom w:val="none" w:sz="0" w:space="0" w:color="auto"/>
        <w:right w:val="none" w:sz="0" w:space="0" w:color="auto"/>
      </w:divBdr>
    </w:div>
    <w:div w:id="1344430972">
      <w:bodyDiv w:val="1"/>
      <w:marLeft w:val="0"/>
      <w:marRight w:val="0"/>
      <w:marTop w:val="0"/>
      <w:marBottom w:val="0"/>
      <w:divBdr>
        <w:top w:val="none" w:sz="0" w:space="0" w:color="auto"/>
        <w:left w:val="none" w:sz="0" w:space="0" w:color="auto"/>
        <w:bottom w:val="none" w:sz="0" w:space="0" w:color="auto"/>
        <w:right w:val="none" w:sz="0" w:space="0" w:color="auto"/>
      </w:divBdr>
      <w:divsChild>
        <w:div w:id="36778039">
          <w:marLeft w:val="0"/>
          <w:marRight w:val="0"/>
          <w:marTop w:val="0"/>
          <w:marBottom w:val="0"/>
          <w:divBdr>
            <w:top w:val="none" w:sz="0" w:space="0" w:color="auto"/>
            <w:left w:val="none" w:sz="0" w:space="0" w:color="auto"/>
            <w:bottom w:val="none" w:sz="0" w:space="0" w:color="auto"/>
            <w:right w:val="none" w:sz="0" w:space="0" w:color="auto"/>
          </w:divBdr>
          <w:divsChild>
            <w:div w:id="337078219">
              <w:marLeft w:val="0"/>
              <w:marRight w:val="0"/>
              <w:marTop w:val="0"/>
              <w:marBottom w:val="0"/>
              <w:divBdr>
                <w:top w:val="none" w:sz="0" w:space="0" w:color="auto"/>
                <w:left w:val="none" w:sz="0" w:space="0" w:color="auto"/>
                <w:bottom w:val="none" w:sz="0" w:space="0" w:color="auto"/>
                <w:right w:val="none" w:sz="0" w:space="0" w:color="auto"/>
              </w:divBdr>
            </w:div>
            <w:div w:id="966277425">
              <w:marLeft w:val="0"/>
              <w:marRight w:val="0"/>
              <w:marTop w:val="0"/>
              <w:marBottom w:val="0"/>
              <w:divBdr>
                <w:top w:val="none" w:sz="0" w:space="0" w:color="auto"/>
                <w:left w:val="none" w:sz="0" w:space="0" w:color="auto"/>
                <w:bottom w:val="none" w:sz="0" w:space="0" w:color="auto"/>
                <w:right w:val="none" w:sz="0" w:space="0" w:color="auto"/>
              </w:divBdr>
            </w:div>
            <w:div w:id="2015985449">
              <w:marLeft w:val="0"/>
              <w:marRight w:val="0"/>
              <w:marTop w:val="0"/>
              <w:marBottom w:val="0"/>
              <w:divBdr>
                <w:top w:val="none" w:sz="0" w:space="0" w:color="auto"/>
                <w:left w:val="none" w:sz="0" w:space="0" w:color="auto"/>
                <w:bottom w:val="none" w:sz="0" w:space="0" w:color="auto"/>
                <w:right w:val="none" w:sz="0" w:space="0" w:color="auto"/>
              </w:divBdr>
            </w:div>
            <w:div w:id="21118499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45742705">
      <w:bodyDiv w:val="1"/>
      <w:marLeft w:val="0"/>
      <w:marRight w:val="0"/>
      <w:marTop w:val="0"/>
      <w:marBottom w:val="0"/>
      <w:divBdr>
        <w:top w:val="none" w:sz="0" w:space="0" w:color="auto"/>
        <w:left w:val="none" w:sz="0" w:space="0" w:color="auto"/>
        <w:bottom w:val="none" w:sz="0" w:space="0" w:color="auto"/>
        <w:right w:val="none" w:sz="0" w:space="0" w:color="auto"/>
      </w:divBdr>
    </w:div>
    <w:div w:id="1346712543">
      <w:bodyDiv w:val="1"/>
      <w:marLeft w:val="0"/>
      <w:marRight w:val="0"/>
      <w:marTop w:val="0"/>
      <w:marBottom w:val="0"/>
      <w:divBdr>
        <w:top w:val="none" w:sz="0" w:space="0" w:color="auto"/>
        <w:left w:val="none" w:sz="0" w:space="0" w:color="auto"/>
        <w:bottom w:val="none" w:sz="0" w:space="0" w:color="auto"/>
        <w:right w:val="none" w:sz="0" w:space="0" w:color="auto"/>
      </w:divBdr>
    </w:div>
    <w:div w:id="1346791034">
      <w:bodyDiv w:val="1"/>
      <w:marLeft w:val="0"/>
      <w:marRight w:val="0"/>
      <w:marTop w:val="0"/>
      <w:marBottom w:val="0"/>
      <w:divBdr>
        <w:top w:val="none" w:sz="0" w:space="0" w:color="auto"/>
        <w:left w:val="none" w:sz="0" w:space="0" w:color="auto"/>
        <w:bottom w:val="none" w:sz="0" w:space="0" w:color="auto"/>
        <w:right w:val="none" w:sz="0" w:space="0" w:color="auto"/>
      </w:divBdr>
      <w:divsChild>
        <w:div w:id="76755183">
          <w:marLeft w:val="1800"/>
          <w:marRight w:val="0"/>
          <w:marTop w:val="77"/>
          <w:marBottom w:val="0"/>
          <w:divBdr>
            <w:top w:val="none" w:sz="0" w:space="0" w:color="auto"/>
            <w:left w:val="none" w:sz="0" w:space="0" w:color="auto"/>
            <w:bottom w:val="none" w:sz="0" w:space="0" w:color="auto"/>
            <w:right w:val="none" w:sz="0" w:space="0" w:color="auto"/>
          </w:divBdr>
        </w:div>
        <w:div w:id="666976128">
          <w:marLeft w:val="547"/>
          <w:marRight w:val="0"/>
          <w:marTop w:val="115"/>
          <w:marBottom w:val="0"/>
          <w:divBdr>
            <w:top w:val="none" w:sz="0" w:space="0" w:color="auto"/>
            <w:left w:val="none" w:sz="0" w:space="0" w:color="auto"/>
            <w:bottom w:val="none" w:sz="0" w:space="0" w:color="auto"/>
            <w:right w:val="none" w:sz="0" w:space="0" w:color="auto"/>
          </w:divBdr>
        </w:div>
        <w:div w:id="685642855">
          <w:marLeft w:val="1800"/>
          <w:marRight w:val="0"/>
          <w:marTop w:val="77"/>
          <w:marBottom w:val="0"/>
          <w:divBdr>
            <w:top w:val="none" w:sz="0" w:space="0" w:color="auto"/>
            <w:left w:val="none" w:sz="0" w:space="0" w:color="auto"/>
            <w:bottom w:val="none" w:sz="0" w:space="0" w:color="auto"/>
            <w:right w:val="none" w:sz="0" w:space="0" w:color="auto"/>
          </w:divBdr>
        </w:div>
        <w:div w:id="954210633">
          <w:marLeft w:val="1166"/>
          <w:marRight w:val="0"/>
          <w:marTop w:val="96"/>
          <w:marBottom w:val="0"/>
          <w:divBdr>
            <w:top w:val="none" w:sz="0" w:space="0" w:color="auto"/>
            <w:left w:val="none" w:sz="0" w:space="0" w:color="auto"/>
            <w:bottom w:val="none" w:sz="0" w:space="0" w:color="auto"/>
            <w:right w:val="none" w:sz="0" w:space="0" w:color="auto"/>
          </w:divBdr>
        </w:div>
      </w:divsChild>
    </w:div>
    <w:div w:id="1346983043">
      <w:bodyDiv w:val="1"/>
      <w:marLeft w:val="0"/>
      <w:marRight w:val="0"/>
      <w:marTop w:val="0"/>
      <w:marBottom w:val="0"/>
      <w:divBdr>
        <w:top w:val="none" w:sz="0" w:space="0" w:color="auto"/>
        <w:left w:val="none" w:sz="0" w:space="0" w:color="auto"/>
        <w:bottom w:val="none" w:sz="0" w:space="0" w:color="auto"/>
        <w:right w:val="none" w:sz="0" w:space="0" w:color="auto"/>
      </w:divBdr>
      <w:divsChild>
        <w:div w:id="39520165">
          <w:marLeft w:val="360"/>
          <w:marRight w:val="0"/>
          <w:marTop w:val="200"/>
          <w:marBottom w:val="0"/>
          <w:divBdr>
            <w:top w:val="none" w:sz="0" w:space="0" w:color="auto"/>
            <w:left w:val="none" w:sz="0" w:space="0" w:color="auto"/>
            <w:bottom w:val="none" w:sz="0" w:space="0" w:color="auto"/>
            <w:right w:val="none" w:sz="0" w:space="0" w:color="auto"/>
          </w:divBdr>
        </w:div>
        <w:div w:id="310408228">
          <w:marLeft w:val="360"/>
          <w:marRight w:val="0"/>
          <w:marTop w:val="200"/>
          <w:marBottom w:val="0"/>
          <w:divBdr>
            <w:top w:val="none" w:sz="0" w:space="0" w:color="auto"/>
            <w:left w:val="none" w:sz="0" w:space="0" w:color="auto"/>
            <w:bottom w:val="none" w:sz="0" w:space="0" w:color="auto"/>
            <w:right w:val="none" w:sz="0" w:space="0" w:color="auto"/>
          </w:divBdr>
        </w:div>
        <w:div w:id="346756728">
          <w:marLeft w:val="360"/>
          <w:marRight w:val="0"/>
          <w:marTop w:val="200"/>
          <w:marBottom w:val="0"/>
          <w:divBdr>
            <w:top w:val="none" w:sz="0" w:space="0" w:color="auto"/>
            <w:left w:val="none" w:sz="0" w:space="0" w:color="auto"/>
            <w:bottom w:val="none" w:sz="0" w:space="0" w:color="auto"/>
            <w:right w:val="none" w:sz="0" w:space="0" w:color="auto"/>
          </w:divBdr>
        </w:div>
        <w:div w:id="348222858">
          <w:marLeft w:val="1080"/>
          <w:marRight w:val="0"/>
          <w:marTop w:val="100"/>
          <w:marBottom w:val="0"/>
          <w:divBdr>
            <w:top w:val="none" w:sz="0" w:space="0" w:color="auto"/>
            <w:left w:val="none" w:sz="0" w:space="0" w:color="auto"/>
            <w:bottom w:val="none" w:sz="0" w:space="0" w:color="auto"/>
            <w:right w:val="none" w:sz="0" w:space="0" w:color="auto"/>
          </w:divBdr>
        </w:div>
        <w:div w:id="461849143">
          <w:marLeft w:val="1080"/>
          <w:marRight w:val="0"/>
          <w:marTop w:val="100"/>
          <w:marBottom w:val="0"/>
          <w:divBdr>
            <w:top w:val="none" w:sz="0" w:space="0" w:color="auto"/>
            <w:left w:val="none" w:sz="0" w:space="0" w:color="auto"/>
            <w:bottom w:val="none" w:sz="0" w:space="0" w:color="auto"/>
            <w:right w:val="none" w:sz="0" w:space="0" w:color="auto"/>
          </w:divBdr>
        </w:div>
        <w:div w:id="1111975259">
          <w:marLeft w:val="1080"/>
          <w:marRight w:val="0"/>
          <w:marTop w:val="100"/>
          <w:marBottom w:val="0"/>
          <w:divBdr>
            <w:top w:val="none" w:sz="0" w:space="0" w:color="auto"/>
            <w:left w:val="none" w:sz="0" w:space="0" w:color="auto"/>
            <w:bottom w:val="none" w:sz="0" w:space="0" w:color="auto"/>
            <w:right w:val="none" w:sz="0" w:space="0" w:color="auto"/>
          </w:divBdr>
        </w:div>
        <w:div w:id="1166478563">
          <w:marLeft w:val="360"/>
          <w:marRight w:val="0"/>
          <w:marTop w:val="200"/>
          <w:marBottom w:val="0"/>
          <w:divBdr>
            <w:top w:val="none" w:sz="0" w:space="0" w:color="auto"/>
            <w:left w:val="none" w:sz="0" w:space="0" w:color="auto"/>
            <w:bottom w:val="none" w:sz="0" w:space="0" w:color="auto"/>
            <w:right w:val="none" w:sz="0" w:space="0" w:color="auto"/>
          </w:divBdr>
        </w:div>
        <w:div w:id="1467048516">
          <w:marLeft w:val="1080"/>
          <w:marRight w:val="0"/>
          <w:marTop w:val="100"/>
          <w:marBottom w:val="0"/>
          <w:divBdr>
            <w:top w:val="none" w:sz="0" w:space="0" w:color="auto"/>
            <w:left w:val="none" w:sz="0" w:space="0" w:color="auto"/>
            <w:bottom w:val="none" w:sz="0" w:space="0" w:color="auto"/>
            <w:right w:val="none" w:sz="0" w:space="0" w:color="auto"/>
          </w:divBdr>
        </w:div>
        <w:div w:id="1485463785">
          <w:marLeft w:val="1080"/>
          <w:marRight w:val="0"/>
          <w:marTop w:val="100"/>
          <w:marBottom w:val="0"/>
          <w:divBdr>
            <w:top w:val="none" w:sz="0" w:space="0" w:color="auto"/>
            <w:left w:val="none" w:sz="0" w:space="0" w:color="auto"/>
            <w:bottom w:val="none" w:sz="0" w:space="0" w:color="auto"/>
            <w:right w:val="none" w:sz="0" w:space="0" w:color="auto"/>
          </w:divBdr>
        </w:div>
        <w:div w:id="1597246096">
          <w:marLeft w:val="1080"/>
          <w:marRight w:val="0"/>
          <w:marTop w:val="100"/>
          <w:marBottom w:val="0"/>
          <w:divBdr>
            <w:top w:val="none" w:sz="0" w:space="0" w:color="auto"/>
            <w:left w:val="none" w:sz="0" w:space="0" w:color="auto"/>
            <w:bottom w:val="none" w:sz="0" w:space="0" w:color="auto"/>
            <w:right w:val="none" w:sz="0" w:space="0" w:color="auto"/>
          </w:divBdr>
        </w:div>
        <w:div w:id="1982222678">
          <w:marLeft w:val="1800"/>
          <w:marRight w:val="0"/>
          <w:marTop w:val="100"/>
          <w:marBottom w:val="0"/>
          <w:divBdr>
            <w:top w:val="none" w:sz="0" w:space="0" w:color="auto"/>
            <w:left w:val="none" w:sz="0" w:space="0" w:color="auto"/>
            <w:bottom w:val="none" w:sz="0" w:space="0" w:color="auto"/>
            <w:right w:val="none" w:sz="0" w:space="0" w:color="auto"/>
          </w:divBdr>
        </w:div>
        <w:div w:id="2072002716">
          <w:marLeft w:val="1080"/>
          <w:marRight w:val="0"/>
          <w:marTop w:val="100"/>
          <w:marBottom w:val="0"/>
          <w:divBdr>
            <w:top w:val="none" w:sz="0" w:space="0" w:color="auto"/>
            <w:left w:val="none" w:sz="0" w:space="0" w:color="auto"/>
            <w:bottom w:val="none" w:sz="0" w:space="0" w:color="auto"/>
            <w:right w:val="none" w:sz="0" w:space="0" w:color="auto"/>
          </w:divBdr>
        </w:div>
      </w:divsChild>
    </w:div>
    <w:div w:id="1347712419">
      <w:bodyDiv w:val="1"/>
      <w:marLeft w:val="0"/>
      <w:marRight w:val="0"/>
      <w:marTop w:val="0"/>
      <w:marBottom w:val="0"/>
      <w:divBdr>
        <w:top w:val="none" w:sz="0" w:space="0" w:color="auto"/>
        <w:left w:val="none" w:sz="0" w:space="0" w:color="auto"/>
        <w:bottom w:val="none" w:sz="0" w:space="0" w:color="auto"/>
        <w:right w:val="none" w:sz="0" w:space="0" w:color="auto"/>
      </w:divBdr>
    </w:div>
    <w:div w:id="1347826821">
      <w:bodyDiv w:val="1"/>
      <w:marLeft w:val="0"/>
      <w:marRight w:val="0"/>
      <w:marTop w:val="0"/>
      <w:marBottom w:val="0"/>
      <w:divBdr>
        <w:top w:val="none" w:sz="0" w:space="0" w:color="auto"/>
        <w:left w:val="none" w:sz="0" w:space="0" w:color="auto"/>
        <w:bottom w:val="none" w:sz="0" w:space="0" w:color="auto"/>
        <w:right w:val="none" w:sz="0" w:space="0" w:color="auto"/>
      </w:divBdr>
    </w:div>
    <w:div w:id="1348943777">
      <w:bodyDiv w:val="1"/>
      <w:marLeft w:val="0"/>
      <w:marRight w:val="0"/>
      <w:marTop w:val="0"/>
      <w:marBottom w:val="0"/>
      <w:divBdr>
        <w:top w:val="none" w:sz="0" w:space="0" w:color="auto"/>
        <w:left w:val="none" w:sz="0" w:space="0" w:color="auto"/>
        <w:bottom w:val="none" w:sz="0" w:space="0" w:color="auto"/>
        <w:right w:val="none" w:sz="0" w:space="0" w:color="auto"/>
      </w:divBdr>
    </w:div>
    <w:div w:id="1349066077">
      <w:bodyDiv w:val="1"/>
      <w:marLeft w:val="0"/>
      <w:marRight w:val="0"/>
      <w:marTop w:val="0"/>
      <w:marBottom w:val="0"/>
      <w:divBdr>
        <w:top w:val="none" w:sz="0" w:space="0" w:color="auto"/>
        <w:left w:val="none" w:sz="0" w:space="0" w:color="auto"/>
        <w:bottom w:val="none" w:sz="0" w:space="0" w:color="auto"/>
        <w:right w:val="none" w:sz="0" w:space="0" w:color="auto"/>
      </w:divBdr>
      <w:divsChild>
        <w:div w:id="1013652300">
          <w:marLeft w:val="1166"/>
          <w:marRight w:val="0"/>
          <w:marTop w:val="134"/>
          <w:marBottom w:val="0"/>
          <w:divBdr>
            <w:top w:val="none" w:sz="0" w:space="0" w:color="auto"/>
            <w:left w:val="none" w:sz="0" w:space="0" w:color="auto"/>
            <w:bottom w:val="none" w:sz="0" w:space="0" w:color="auto"/>
            <w:right w:val="none" w:sz="0" w:space="0" w:color="auto"/>
          </w:divBdr>
        </w:div>
        <w:div w:id="1727415770">
          <w:marLeft w:val="547"/>
          <w:marRight w:val="0"/>
          <w:marTop w:val="154"/>
          <w:marBottom w:val="0"/>
          <w:divBdr>
            <w:top w:val="none" w:sz="0" w:space="0" w:color="auto"/>
            <w:left w:val="none" w:sz="0" w:space="0" w:color="auto"/>
            <w:bottom w:val="none" w:sz="0" w:space="0" w:color="auto"/>
            <w:right w:val="none" w:sz="0" w:space="0" w:color="auto"/>
          </w:divBdr>
        </w:div>
        <w:div w:id="1833132189">
          <w:marLeft w:val="547"/>
          <w:marRight w:val="0"/>
          <w:marTop w:val="154"/>
          <w:marBottom w:val="0"/>
          <w:divBdr>
            <w:top w:val="none" w:sz="0" w:space="0" w:color="auto"/>
            <w:left w:val="none" w:sz="0" w:space="0" w:color="auto"/>
            <w:bottom w:val="none" w:sz="0" w:space="0" w:color="auto"/>
            <w:right w:val="none" w:sz="0" w:space="0" w:color="auto"/>
          </w:divBdr>
        </w:div>
      </w:divsChild>
    </w:div>
    <w:div w:id="1350253883">
      <w:bodyDiv w:val="1"/>
      <w:marLeft w:val="0"/>
      <w:marRight w:val="0"/>
      <w:marTop w:val="0"/>
      <w:marBottom w:val="0"/>
      <w:divBdr>
        <w:top w:val="none" w:sz="0" w:space="0" w:color="auto"/>
        <w:left w:val="none" w:sz="0" w:space="0" w:color="auto"/>
        <w:bottom w:val="none" w:sz="0" w:space="0" w:color="auto"/>
        <w:right w:val="none" w:sz="0" w:space="0" w:color="auto"/>
      </w:divBdr>
    </w:div>
    <w:div w:id="1351294755">
      <w:bodyDiv w:val="1"/>
      <w:marLeft w:val="0"/>
      <w:marRight w:val="0"/>
      <w:marTop w:val="0"/>
      <w:marBottom w:val="0"/>
      <w:divBdr>
        <w:top w:val="none" w:sz="0" w:space="0" w:color="auto"/>
        <w:left w:val="none" w:sz="0" w:space="0" w:color="auto"/>
        <w:bottom w:val="none" w:sz="0" w:space="0" w:color="auto"/>
        <w:right w:val="none" w:sz="0" w:space="0" w:color="auto"/>
      </w:divBdr>
    </w:div>
    <w:div w:id="1351419470">
      <w:bodyDiv w:val="1"/>
      <w:marLeft w:val="0"/>
      <w:marRight w:val="0"/>
      <w:marTop w:val="0"/>
      <w:marBottom w:val="0"/>
      <w:divBdr>
        <w:top w:val="none" w:sz="0" w:space="0" w:color="auto"/>
        <w:left w:val="none" w:sz="0" w:space="0" w:color="auto"/>
        <w:bottom w:val="none" w:sz="0" w:space="0" w:color="auto"/>
        <w:right w:val="none" w:sz="0" w:space="0" w:color="auto"/>
      </w:divBdr>
    </w:div>
    <w:div w:id="1351949600">
      <w:bodyDiv w:val="1"/>
      <w:marLeft w:val="0"/>
      <w:marRight w:val="0"/>
      <w:marTop w:val="0"/>
      <w:marBottom w:val="0"/>
      <w:divBdr>
        <w:top w:val="none" w:sz="0" w:space="0" w:color="auto"/>
        <w:left w:val="none" w:sz="0" w:space="0" w:color="auto"/>
        <w:bottom w:val="none" w:sz="0" w:space="0" w:color="auto"/>
        <w:right w:val="none" w:sz="0" w:space="0" w:color="auto"/>
      </w:divBdr>
      <w:divsChild>
        <w:div w:id="204946585">
          <w:marLeft w:val="547"/>
          <w:marRight w:val="0"/>
          <w:marTop w:val="134"/>
          <w:marBottom w:val="0"/>
          <w:divBdr>
            <w:top w:val="none" w:sz="0" w:space="0" w:color="auto"/>
            <w:left w:val="none" w:sz="0" w:space="0" w:color="auto"/>
            <w:bottom w:val="none" w:sz="0" w:space="0" w:color="auto"/>
            <w:right w:val="none" w:sz="0" w:space="0" w:color="auto"/>
          </w:divBdr>
        </w:div>
        <w:div w:id="1658461602">
          <w:marLeft w:val="1166"/>
          <w:marRight w:val="0"/>
          <w:marTop w:val="115"/>
          <w:marBottom w:val="0"/>
          <w:divBdr>
            <w:top w:val="none" w:sz="0" w:space="0" w:color="auto"/>
            <w:left w:val="none" w:sz="0" w:space="0" w:color="auto"/>
            <w:bottom w:val="none" w:sz="0" w:space="0" w:color="auto"/>
            <w:right w:val="none" w:sz="0" w:space="0" w:color="auto"/>
          </w:divBdr>
        </w:div>
      </w:divsChild>
    </w:div>
    <w:div w:id="1352684337">
      <w:bodyDiv w:val="1"/>
      <w:marLeft w:val="0"/>
      <w:marRight w:val="0"/>
      <w:marTop w:val="0"/>
      <w:marBottom w:val="0"/>
      <w:divBdr>
        <w:top w:val="none" w:sz="0" w:space="0" w:color="auto"/>
        <w:left w:val="none" w:sz="0" w:space="0" w:color="auto"/>
        <w:bottom w:val="none" w:sz="0" w:space="0" w:color="auto"/>
        <w:right w:val="none" w:sz="0" w:space="0" w:color="auto"/>
      </w:divBdr>
      <w:divsChild>
        <w:div w:id="1572693233">
          <w:marLeft w:val="720"/>
          <w:marRight w:val="0"/>
          <w:marTop w:val="120"/>
          <w:marBottom w:val="120"/>
          <w:divBdr>
            <w:top w:val="none" w:sz="0" w:space="0" w:color="auto"/>
            <w:left w:val="none" w:sz="0" w:space="0" w:color="auto"/>
            <w:bottom w:val="none" w:sz="0" w:space="0" w:color="auto"/>
            <w:right w:val="none" w:sz="0" w:space="0" w:color="auto"/>
          </w:divBdr>
        </w:div>
        <w:div w:id="1746605783">
          <w:marLeft w:val="1440"/>
          <w:marRight w:val="0"/>
          <w:marTop w:val="120"/>
          <w:marBottom w:val="120"/>
          <w:divBdr>
            <w:top w:val="none" w:sz="0" w:space="0" w:color="auto"/>
            <w:left w:val="none" w:sz="0" w:space="0" w:color="auto"/>
            <w:bottom w:val="none" w:sz="0" w:space="0" w:color="auto"/>
            <w:right w:val="none" w:sz="0" w:space="0" w:color="auto"/>
          </w:divBdr>
        </w:div>
      </w:divsChild>
    </w:div>
    <w:div w:id="1352798794">
      <w:bodyDiv w:val="1"/>
      <w:marLeft w:val="0"/>
      <w:marRight w:val="0"/>
      <w:marTop w:val="0"/>
      <w:marBottom w:val="0"/>
      <w:divBdr>
        <w:top w:val="none" w:sz="0" w:space="0" w:color="auto"/>
        <w:left w:val="none" w:sz="0" w:space="0" w:color="auto"/>
        <w:bottom w:val="none" w:sz="0" w:space="0" w:color="auto"/>
        <w:right w:val="none" w:sz="0" w:space="0" w:color="auto"/>
      </w:divBdr>
    </w:div>
    <w:div w:id="1354377258">
      <w:bodyDiv w:val="1"/>
      <w:marLeft w:val="0"/>
      <w:marRight w:val="0"/>
      <w:marTop w:val="0"/>
      <w:marBottom w:val="0"/>
      <w:divBdr>
        <w:top w:val="none" w:sz="0" w:space="0" w:color="auto"/>
        <w:left w:val="none" w:sz="0" w:space="0" w:color="auto"/>
        <w:bottom w:val="none" w:sz="0" w:space="0" w:color="auto"/>
        <w:right w:val="none" w:sz="0" w:space="0" w:color="auto"/>
      </w:divBdr>
      <w:divsChild>
        <w:div w:id="441612650">
          <w:marLeft w:val="547"/>
          <w:marRight w:val="0"/>
          <w:marTop w:val="86"/>
          <w:marBottom w:val="0"/>
          <w:divBdr>
            <w:top w:val="none" w:sz="0" w:space="0" w:color="auto"/>
            <w:left w:val="none" w:sz="0" w:space="0" w:color="auto"/>
            <w:bottom w:val="none" w:sz="0" w:space="0" w:color="auto"/>
            <w:right w:val="none" w:sz="0" w:space="0" w:color="auto"/>
          </w:divBdr>
        </w:div>
        <w:div w:id="675183907">
          <w:marLeft w:val="1166"/>
          <w:marRight w:val="0"/>
          <w:marTop w:val="77"/>
          <w:marBottom w:val="0"/>
          <w:divBdr>
            <w:top w:val="none" w:sz="0" w:space="0" w:color="auto"/>
            <w:left w:val="none" w:sz="0" w:space="0" w:color="auto"/>
            <w:bottom w:val="none" w:sz="0" w:space="0" w:color="auto"/>
            <w:right w:val="none" w:sz="0" w:space="0" w:color="auto"/>
          </w:divBdr>
        </w:div>
        <w:div w:id="872377371">
          <w:marLeft w:val="1166"/>
          <w:marRight w:val="0"/>
          <w:marTop w:val="77"/>
          <w:marBottom w:val="0"/>
          <w:divBdr>
            <w:top w:val="none" w:sz="0" w:space="0" w:color="auto"/>
            <w:left w:val="none" w:sz="0" w:space="0" w:color="auto"/>
            <w:bottom w:val="none" w:sz="0" w:space="0" w:color="auto"/>
            <w:right w:val="none" w:sz="0" w:space="0" w:color="auto"/>
          </w:divBdr>
        </w:div>
        <w:div w:id="1313172329">
          <w:marLeft w:val="547"/>
          <w:marRight w:val="0"/>
          <w:marTop w:val="86"/>
          <w:marBottom w:val="0"/>
          <w:divBdr>
            <w:top w:val="none" w:sz="0" w:space="0" w:color="auto"/>
            <w:left w:val="none" w:sz="0" w:space="0" w:color="auto"/>
            <w:bottom w:val="none" w:sz="0" w:space="0" w:color="auto"/>
            <w:right w:val="none" w:sz="0" w:space="0" w:color="auto"/>
          </w:divBdr>
        </w:div>
        <w:div w:id="1712460841">
          <w:marLeft w:val="547"/>
          <w:marRight w:val="0"/>
          <w:marTop w:val="86"/>
          <w:marBottom w:val="0"/>
          <w:divBdr>
            <w:top w:val="none" w:sz="0" w:space="0" w:color="auto"/>
            <w:left w:val="none" w:sz="0" w:space="0" w:color="auto"/>
            <w:bottom w:val="none" w:sz="0" w:space="0" w:color="auto"/>
            <w:right w:val="none" w:sz="0" w:space="0" w:color="auto"/>
          </w:divBdr>
        </w:div>
        <w:div w:id="1733118542">
          <w:marLeft w:val="1166"/>
          <w:marRight w:val="0"/>
          <w:marTop w:val="77"/>
          <w:marBottom w:val="0"/>
          <w:divBdr>
            <w:top w:val="none" w:sz="0" w:space="0" w:color="auto"/>
            <w:left w:val="none" w:sz="0" w:space="0" w:color="auto"/>
            <w:bottom w:val="none" w:sz="0" w:space="0" w:color="auto"/>
            <w:right w:val="none" w:sz="0" w:space="0" w:color="auto"/>
          </w:divBdr>
        </w:div>
        <w:div w:id="1739553872">
          <w:marLeft w:val="1800"/>
          <w:marRight w:val="0"/>
          <w:marTop w:val="77"/>
          <w:marBottom w:val="0"/>
          <w:divBdr>
            <w:top w:val="none" w:sz="0" w:space="0" w:color="auto"/>
            <w:left w:val="none" w:sz="0" w:space="0" w:color="auto"/>
            <w:bottom w:val="none" w:sz="0" w:space="0" w:color="auto"/>
            <w:right w:val="none" w:sz="0" w:space="0" w:color="auto"/>
          </w:divBdr>
        </w:div>
        <w:div w:id="1799838587">
          <w:marLeft w:val="1166"/>
          <w:marRight w:val="0"/>
          <w:marTop w:val="77"/>
          <w:marBottom w:val="0"/>
          <w:divBdr>
            <w:top w:val="none" w:sz="0" w:space="0" w:color="auto"/>
            <w:left w:val="none" w:sz="0" w:space="0" w:color="auto"/>
            <w:bottom w:val="none" w:sz="0" w:space="0" w:color="auto"/>
            <w:right w:val="none" w:sz="0" w:space="0" w:color="auto"/>
          </w:divBdr>
        </w:div>
        <w:div w:id="1819808008">
          <w:marLeft w:val="547"/>
          <w:marRight w:val="0"/>
          <w:marTop w:val="86"/>
          <w:marBottom w:val="0"/>
          <w:divBdr>
            <w:top w:val="none" w:sz="0" w:space="0" w:color="auto"/>
            <w:left w:val="none" w:sz="0" w:space="0" w:color="auto"/>
            <w:bottom w:val="none" w:sz="0" w:space="0" w:color="auto"/>
            <w:right w:val="none" w:sz="0" w:space="0" w:color="auto"/>
          </w:divBdr>
        </w:div>
        <w:div w:id="1829327806">
          <w:marLeft w:val="547"/>
          <w:marRight w:val="0"/>
          <w:marTop w:val="86"/>
          <w:marBottom w:val="0"/>
          <w:divBdr>
            <w:top w:val="none" w:sz="0" w:space="0" w:color="auto"/>
            <w:left w:val="none" w:sz="0" w:space="0" w:color="auto"/>
            <w:bottom w:val="none" w:sz="0" w:space="0" w:color="auto"/>
            <w:right w:val="none" w:sz="0" w:space="0" w:color="auto"/>
          </w:divBdr>
        </w:div>
        <w:div w:id="1850482237">
          <w:marLeft w:val="547"/>
          <w:marRight w:val="0"/>
          <w:marTop w:val="86"/>
          <w:marBottom w:val="0"/>
          <w:divBdr>
            <w:top w:val="none" w:sz="0" w:space="0" w:color="auto"/>
            <w:left w:val="none" w:sz="0" w:space="0" w:color="auto"/>
            <w:bottom w:val="none" w:sz="0" w:space="0" w:color="auto"/>
            <w:right w:val="none" w:sz="0" w:space="0" w:color="auto"/>
          </w:divBdr>
        </w:div>
      </w:divsChild>
    </w:div>
    <w:div w:id="1354762914">
      <w:bodyDiv w:val="1"/>
      <w:marLeft w:val="0"/>
      <w:marRight w:val="0"/>
      <w:marTop w:val="0"/>
      <w:marBottom w:val="0"/>
      <w:divBdr>
        <w:top w:val="none" w:sz="0" w:space="0" w:color="auto"/>
        <w:left w:val="none" w:sz="0" w:space="0" w:color="auto"/>
        <w:bottom w:val="none" w:sz="0" w:space="0" w:color="auto"/>
        <w:right w:val="none" w:sz="0" w:space="0" w:color="auto"/>
      </w:divBdr>
    </w:div>
    <w:div w:id="1355572003">
      <w:bodyDiv w:val="1"/>
      <w:marLeft w:val="0"/>
      <w:marRight w:val="0"/>
      <w:marTop w:val="0"/>
      <w:marBottom w:val="0"/>
      <w:divBdr>
        <w:top w:val="none" w:sz="0" w:space="0" w:color="auto"/>
        <w:left w:val="none" w:sz="0" w:space="0" w:color="auto"/>
        <w:bottom w:val="none" w:sz="0" w:space="0" w:color="auto"/>
        <w:right w:val="none" w:sz="0" w:space="0" w:color="auto"/>
      </w:divBdr>
      <w:divsChild>
        <w:div w:id="328944382">
          <w:marLeft w:val="3240"/>
          <w:marRight w:val="0"/>
          <w:marTop w:val="86"/>
          <w:marBottom w:val="0"/>
          <w:divBdr>
            <w:top w:val="none" w:sz="0" w:space="0" w:color="auto"/>
            <w:left w:val="none" w:sz="0" w:space="0" w:color="auto"/>
            <w:bottom w:val="none" w:sz="0" w:space="0" w:color="auto"/>
            <w:right w:val="none" w:sz="0" w:space="0" w:color="auto"/>
          </w:divBdr>
        </w:div>
        <w:div w:id="545222962">
          <w:marLeft w:val="2520"/>
          <w:marRight w:val="0"/>
          <w:marTop w:val="86"/>
          <w:marBottom w:val="0"/>
          <w:divBdr>
            <w:top w:val="none" w:sz="0" w:space="0" w:color="auto"/>
            <w:left w:val="none" w:sz="0" w:space="0" w:color="auto"/>
            <w:bottom w:val="none" w:sz="0" w:space="0" w:color="auto"/>
            <w:right w:val="none" w:sz="0" w:space="0" w:color="auto"/>
          </w:divBdr>
        </w:div>
        <w:div w:id="918708083">
          <w:marLeft w:val="1800"/>
          <w:marRight w:val="0"/>
          <w:marTop w:val="86"/>
          <w:marBottom w:val="0"/>
          <w:divBdr>
            <w:top w:val="none" w:sz="0" w:space="0" w:color="auto"/>
            <w:left w:val="none" w:sz="0" w:space="0" w:color="auto"/>
            <w:bottom w:val="none" w:sz="0" w:space="0" w:color="auto"/>
            <w:right w:val="none" w:sz="0" w:space="0" w:color="auto"/>
          </w:divBdr>
        </w:div>
        <w:div w:id="1085227864">
          <w:marLeft w:val="2520"/>
          <w:marRight w:val="0"/>
          <w:marTop w:val="86"/>
          <w:marBottom w:val="0"/>
          <w:divBdr>
            <w:top w:val="none" w:sz="0" w:space="0" w:color="auto"/>
            <w:left w:val="none" w:sz="0" w:space="0" w:color="auto"/>
            <w:bottom w:val="none" w:sz="0" w:space="0" w:color="auto"/>
            <w:right w:val="none" w:sz="0" w:space="0" w:color="auto"/>
          </w:divBdr>
        </w:div>
        <w:div w:id="1217669581">
          <w:marLeft w:val="547"/>
          <w:marRight w:val="0"/>
          <w:marTop w:val="115"/>
          <w:marBottom w:val="0"/>
          <w:divBdr>
            <w:top w:val="none" w:sz="0" w:space="0" w:color="auto"/>
            <w:left w:val="none" w:sz="0" w:space="0" w:color="auto"/>
            <w:bottom w:val="none" w:sz="0" w:space="0" w:color="auto"/>
            <w:right w:val="none" w:sz="0" w:space="0" w:color="auto"/>
          </w:divBdr>
        </w:div>
        <w:div w:id="1262957430">
          <w:marLeft w:val="1800"/>
          <w:marRight w:val="0"/>
          <w:marTop w:val="86"/>
          <w:marBottom w:val="0"/>
          <w:divBdr>
            <w:top w:val="none" w:sz="0" w:space="0" w:color="auto"/>
            <w:left w:val="none" w:sz="0" w:space="0" w:color="auto"/>
            <w:bottom w:val="none" w:sz="0" w:space="0" w:color="auto"/>
            <w:right w:val="none" w:sz="0" w:space="0" w:color="auto"/>
          </w:divBdr>
        </w:div>
        <w:div w:id="1523785689">
          <w:marLeft w:val="3240"/>
          <w:marRight w:val="0"/>
          <w:marTop w:val="86"/>
          <w:marBottom w:val="0"/>
          <w:divBdr>
            <w:top w:val="none" w:sz="0" w:space="0" w:color="auto"/>
            <w:left w:val="none" w:sz="0" w:space="0" w:color="auto"/>
            <w:bottom w:val="none" w:sz="0" w:space="0" w:color="auto"/>
            <w:right w:val="none" w:sz="0" w:space="0" w:color="auto"/>
          </w:divBdr>
        </w:div>
        <w:div w:id="2064134140">
          <w:marLeft w:val="1166"/>
          <w:marRight w:val="0"/>
          <w:marTop w:val="115"/>
          <w:marBottom w:val="0"/>
          <w:divBdr>
            <w:top w:val="none" w:sz="0" w:space="0" w:color="auto"/>
            <w:left w:val="none" w:sz="0" w:space="0" w:color="auto"/>
            <w:bottom w:val="none" w:sz="0" w:space="0" w:color="auto"/>
            <w:right w:val="none" w:sz="0" w:space="0" w:color="auto"/>
          </w:divBdr>
        </w:div>
      </w:divsChild>
    </w:div>
    <w:div w:id="1356157375">
      <w:bodyDiv w:val="1"/>
      <w:marLeft w:val="0"/>
      <w:marRight w:val="0"/>
      <w:marTop w:val="0"/>
      <w:marBottom w:val="0"/>
      <w:divBdr>
        <w:top w:val="none" w:sz="0" w:space="0" w:color="auto"/>
        <w:left w:val="none" w:sz="0" w:space="0" w:color="auto"/>
        <w:bottom w:val="none" w:sz="0" w:space="0" w:color="auto"/>
        <w:right w:val="none" w:sz="0" w:space="0" w:color="auto"/>
      </w:divBdr>
    </w:div>
    <w:div w:id="1356342458">
      <w:bodyDiv w:val="1"/>
      <w:marLeft w:val="0"/>
      <w:marRight w:val="0"/>
      <w:marTop w:val="0"/>
      <w:marBottom w:val="0"/>
      <w:divBdr>
        <w:top w:val="none" w:sz="0" w:space="0" w:color="auto"/>
        <w:left w:val="none" w:sz="0" w:space="0" w:color="auto"/>
        <w:bottom w:val="none" w:sz="0" w:space="0" w:color="auto"/>
        <w:right w:val="none" w:sz="0" w:space="0" w:color="auto"/>
      </w:divBdr>
    </w:div>
    <w:div w:id="1356422369">
      <w:bodyDiv w:val="1"/>
      <w:marLeft w:val="0"/>
      <w:marRight w:val="0"/>
      <w:marTop w:val="0"/>
      <w:marBottom w:val="0"/>
      <w:divBdr>
        <w:top w:val="none" w:sz="0" w:space="0" w:color="auto"/>
        <w:left w:val="none" w:sz="0" w:space="0" w:color="auto"/>
        <w:bottom w:val="none" w:sz="0" w:space="0" w:color="auto"/>
        <w:right w:val="none" w:sz="0" w:space="0" w:color="auto"/>
      </w:divBdr>
    </w:div>
    <w:div w:id="1356613414">
      <w:bodyDiv w:val="1"/>
      <w:marLeft w:val="0"/>
      <w:marRight w:val="0"/>
      <w:marTop w:val="0"/>
      <w:marBottom w:val="0"/>
      <w:divBdr>
        <w:top w:val="none" w:sz="0" w:space="0" w:color="auto"/>
        <w:left w:val="none" w:sz="0" w:space="0" w:color="auto"/>
        <w:bottom w:val="none" w:sz="0" w:space="0" w:color="auto"/>
        <w:right w:val="none" w:sz="0" w:space="0" w:color="auto"/>
      </w:divBdr>
    </w:div>
    <w:div w:id="1356999070">
      <w:bodyDiv w:val="1"/>
      <w:marLeft w:val="0"/>
      <w:marRight w:val="0"/>
      <w:marTop w:val="0"/>
      <w:marBottom w:val="0"/>
      <w:divBdr>
        <w:top w:val="none" w:sz="0" w:space="0" w:color="auto"/>
        <w:left w:val="none" w:sz="0" w:space="0" w:color="auto"/>
        <w:bottom w:val="none" w:sz="0" w:space="0" w:color="auto"/>
        <w:right w:val="none" w:sz="0" w:space="0" w:color="auto"/>
      </w:divBdr>
    </w:div>
    <w:div w:id="1357075015">
      <w:bodyDiv w:val="1"/>
      <w:marLeft w:val="0"/>
      <w:marRight w:val="0"/>
      <w:marTop w:val="0"/>
      <w:marBottom w:val="0"/>
      <w:divBdr>
        <w:top w:val="none" w:sz="0" w:space="0" w:color="auto"/>
        <w:left w:val="none" w:sz="0" w:space="0" w:color="auto"/>
        <w:bottom w:val="none" w:sz="0" w:space="0" w:color="auto"/>
        <w:right w:val="none" w:sz="0" w:space="0" w:color="auto"/>
      </w:divBdr>
    </w:div>
    <w:div w:id="1357149772">
      <w:bodyDiv w:val="1"/>
      <w:marLeft w:val="0"/>
      <w:marRight w:val="0"/>
      <w:marTop w:val="0"/>
      <w:marBottom w:val="0"/>
      <w:divBdr>
        <w:top w:val="none" w:sz="0" w:space="0" w:color="auto"/>
        <w:left w:val="none" w:sz="0" w:space="0" w:color="auto"/>
        <w:bottom w:val="none" w:sz="0" w:space="0" w:color="auto"/>
        <w:right w:val="none" w:sz="0" w:space="0" w:color="auto"/>
      </w:divBdr>
    </w:div>
    <w:div w:id="1358190129">
      <w:bodyDiv w:val="1"/>
      <w:marLeft w:val="0"/>
      <w:marRight w:val="0"/>
      <w:marTop w:val="0"/>
      <w:marBottom w:val="0"/>
      <w:divBdr>
        <w:top w:val="none" w:sz="0" w:space="0" w:color="auto"/>
        <w:left w:val="none" w:sz="0" w:space="0" w:color="auto"/>
        <w:bottom w:val="none" w:sz="0" w:space="0" w:color="auto"/>
        <w:right w:val="none" w:sz="0" w:space="0" w:color="auto"/>
      </w:divBdr>
      <w:divsChild>
        <w:div w:id="1680696680">
          <w:marLeft w:val="547"/>
          <w:marRight w:val="0"/>
          <w:marTop w:val="154"/>
          <w:marBottom w:val="0"/>
          <w:divBdr>
            <w:top w:val="none" w:sz="0" w:space="0" w:color="auto"/>
            <w:left w:val="none" w:sz="0" w:space="0" w:color="auto"/>
            <w:bottom w:val="none" w:sz="0" w:space="0" w:color="auto"/>
            <w:right w:val="none" w:sz="0" w:space="0" w:color="auto"/>
          </w:divBdr>
        </w:div>
        <w:div w:id="1943339982">
          <w:marLeft w:val="1166"/>
          <w:marRight w:val="0"/>
          <w:marTop w:val="134"/>
          <w:marBottom w:val="0"/>
          <w:divBdr>
            <w:top w:val="none" w:sz="0" w:space="0" w:color="auto"/>
            <w:left w:val="none" w:sz="0" w:space="0" w:color="auto"/>
            <w:bottom w:val="none" w:sz="0" w:space="0" w:color="auto"/>
            <w:right w:val="none" w:sz="0" w:space="0" w:color="auto"/>
          </w:divBdr>
        </w:div>
        <w:div w:id="2054763546">
          <w:marLeft w:val="1166"/>
          <w:marRight w:val="0"/>
          <w:marTop w:val="134"/>
          <w:marBottom w:val="0"/>
          <w:divBdr>
            <w:top w:val="none" w:sz="0" w:space="0" w:color="auto"/>
            <w:left w:val="none" w:sz="0" w:space="0" w:color="auto"/>
            <w:bottom w:val="none" w:sz="0" w:space="0" w:color="auto"/>
            <w:right w:val="none" w:sz="0" w:space="0" w:color="auto"/>
          </w:divBdr>
        </w:div>
      </w:divsChild>
    </w:div>
    <w:div w:id="1358432128">
      <w:bodyDiv w:val="1"/>
      <w:marLeft w:val="0"/>
      <w:marRight w:val="0"/>
      <w:marTop w:val="0"/>
      <w:marBottom w:val="0"/>
      <w:divBdr>
        <w:top w:val="none" w:sz="0" w:space="0" w:color="auto"/>
        <w:left w:val="none" w:sz="0" w:space="0" w:color="auto"/>
        <w:bottom w:val="none" w:sz="0" w:space="0" w:color="auto"/>
        <w:right w:val="none" w:sz="0" w:space="0" w:color="auto"/>
      </w:divBdr>
    </w:div>
    <w:div w:id="1358582619">
      <w:bodyDiv w:val="1"/>
      <w:marLeft w:val="0"/>
      <w:marRight w:val="0"/>
      <w:marTop w:val="0"/>
      <w:marBottom w:val="0"/>
      <w:divBdr>
        <w:top w:val="none" w:sz="0" w:space="0" w:color="auto"/>
        <w:left w:val="none" w:sz="0" w:space="0" w:color="auto"/>
        <w:bottom w:val="none" w:sz="0" w:space="0" w:color="auto"/>
        <w:right w:val="none" w:sz="0" w:space="0" w:color="auto"/>
      </w:divBdr>
      <w:divsChild>
        <w:div w:id="1077750532">
          <w:marLeft w:val="547"/>
          <w:marRight w:val="0"/>
          <w:marTop w:val="115"/>
          <w:marBottom w:val="0"/>
          <w:divBdr>
            <w:top w:val="none" w:sz="0" w:space="0" w:color="auto"/>
            <w:left w:val="none" w:sz="0" w:space="0" w:color="auto"/>
            <w:bottom w:val="none" w:sz="0" w:space="0" w:color="auto"/>
            <w:right w:val="none" w:sz="0" w:space="0" w:color="auto"/>
          </w:divBdr>
        </w:div>
      </w:divsChild>
    </w:div>
    <w:div w:id="1358921148">
      <w:bodyDiv w:val="1"/>
      <w:marLeft w:val="0"/>
      <w:marRight w:val="0"/>
      <w:marTop w:val="0"/>
      <w:marBottom w:val="0"/>
      <w:divBdr>
        <w:top w:val="none" w:sz="0" w:space="0" w:color="auto"/>
        <w:left w:val="none" w:sz="0" w:space="0" w:color="auto"/>
        <w:bottom w:val="none" w:sz="0" w:space="0" w:color="auto"/>
        <w:right w:val="none" w:sz="0" w:space="0" w:color="auto"/>
      </w:divBdr>
    </w:div>
    <w:div w:id="1359426915">
      <w:bodyDiv w:val="1"/>
      <w:marLeft w:val="0"/>
      <w:marRight w:val="0"/>
      <w:marTop w:val="0"/>
      <w:marBottom w:val="0"/>
      <w:divBdr>
        <w:top w:val="none" w:sz="0" w:space="0" w:color="auto"/>
        <w:left w:val="none" w:sz="0" w:space="0" w:color="auto"/>
        <w:bottom w:val="none" w:sz="0" w:space="0" w:color="auto"/>
        <w:right w:val="none" w:sz="0" w:space="0" w:color="auto"/>
      </w:divBdr>
    </w:div>
    <w:div w:id="1359505137">
      <w:bodyDiv w:val="1"/>
      <w:marLeft w:val="0"/>
      <w:marRight w:val="0"/>
      <w:marTop w:val="0"/>
      <w:marBottom w:val="0"/>
      <w:divBdr>
        <w:top w:val="none" w:sz="0" w:space="0" w:color="auto"/>
        <w:left w:val="none" w:sz="0" w:space="0" w:color="auto"/>
        <w:bottom w:val="none" w:sz="0" w:space="0" w:color="auto"/>
        <w:right w:val="none" w:sz="0" w:space="0" w:color="auto"/>
      </w:divBdr>
      <w:divsChild>
        <w:div w:id="269898454">
          <w:marLeft w:val="547"/>
          <w:marRight w:val="0"/>
          <w:marTop w:val="130"/>
          <w:marBottom w:val="0"/>
          <w:divBdr>
            <w:top w:val="none" w:sz="0" w:space="0" w:color="auto"/>
            <w:left w:val="none" w:sz="0" w:space="0" w:color="auto"/>
            <w:bottom w:val="none" w:sz="0" w:space="0" w:color="auto"/>
            <w:right w:val="none" w:sz="0" w:space="0" w:color="auto"/>
          </w:divBdr>
        </w:div>
        <w:div w:id="1013729518">
          <w:marLeft w:val="1166"/>
          <w:marRight w:val="0"/>
          <w:marTop w:val="115"/>
          <w:marBottom w:val="0"/>
          <w:divBdr>
            <w:top w:val="none" w:sz="0" w:space="0" w:color="auto"/>
            <w:left w:val="none" w:sz="0" w:space="0" w:color="auto"/>
            <w:bottom w:val="none" w:sz="0" w:space="0" w:color="auto"/>
            <w:right w:val="none" w:sz="0" w:space="0" w:color="auto"/>
          </w:divBdr>
        </w:div>
        <w:div w:id="1326276890">
          <w:marLeft w:val="1166"/>
          <w:marRight w:val="0"/>
          <w:marTop w:val="115"/>
          <w:marBottom w:val="0"/>
          <w:divBdr>
            <w:top w:val="none" w:sz="0" w:space="0" w:color="auto"/>
            <w:left w:val="none" w:sz="0" w:space="0" w:color="auto"/>
            <w:bottom w:val="none" w:sz="0" w:space="0" w:color="auto"/>
            <w:right w:val="none" w:sz="0" w:space="0" w:color="auto"/>
          </w:divBdr>
        </w:div>
        <w:div w:id="1397782449">
          <w:marLeft w:val="1166"/>
          <w:marRight w:val="0"/>
          <w:marTop w:val="115"/>
          <w:marBottom w:val="0"/>
          <w:divBdr>
            <w:top w:val="none" w:sz="0" w:space="0" w:color="auto"/>
            <w:left w:val="none" w:sz="0" w:space="0" w:color="auto"/>
            <w:bottom w:val="none" w:sz="0" w:space="0" w:color="auto"/>
            <w:right w:val="none" w:sz="0" w:space="0" w:color="auto"/>
          </w:divBdr>
        </w:div>
        <w:div w:id="1802645998">
          <w:marLeft w:val="1166"/>
          <w:marRight w:val="0"/>
          <w:marTop w:val="115"/>
          <w:marBottom w:val="0"/>
          <w:divBdr>
            <w:top w:val="none" w:sz="0" w:space="0" w:color="auto"/>
            <w:left w:val="none" w:sz="0" w:space="0" w:color="auto"/>
            <w:bottom w:val="none" w:sz="0" w:space="0" w:color="auto"/>
            <w:right w:val="none" w:sz="0" w:space="0" w:color="auto"/>
          </w:divBdr>
        </w:div>
        <w:div w:id="2073388755">
          <w:marLeft w:val="547"/>
          <w:marRight w:val="0"/>
          <w:marTop w:val="130"/>
          <w:marBottom w:val="0"/>
          <w:divBdr>
            <w:top w:val="none" w:sz="0" w:space="0" w:color="auto"/>
            <w:left w:val="none" w:sz="0" w:space="0" w:color="auto"/>
            <w:bottom w:val="none" w:sz="0" w:space="0" w:color="auto"/>
            <w:right w:val="none" w:sz="0" w:space="0" w:color="auto"/>
          </w:divBdr>
        </w:div>
      </w:divsChild>
    </w:div>
    <w:div w:id="1359702835">
      <w:bodyDiv w:val="1"/>
      <w:marLeft w:val="0"/>
      <w:marRight w:val="0"/>
      <w:marTop w:val="0"/>
      <w:marBottom w:val="0"/>
      <w:divBdr>
        <w:top w:val="none" w:sz="0" w:space="0" w:color="auto"/>
        <w:left w:val="none" w:sz="0" w:space="0" w:color="auto"/>
        <w:bottom w:val="none" w:sz="0" w:space="0" w:color="auto"/>
        <w:right w:val="none" w:sz="0" w:space="0" w:color="auto"/>
      </w:divBdr>
    </w:div>
    <w:div w:id="1359889088">
      <w:bodyDiv w:val="1"/>
      <w:marLeft w:val="0"/>
      <w:marRight w:val="0"/>
      <w:marTop w:val="0"/>
      <w:marBottom w:val="0"/>
      <w:divBdr>
        <w:top w:val="none" w:sz="0" w:space="0" w:color="auto"/>
        <w:left w:val="none" w:sz="0" w:space="0" w:color="auto"/>
        <w:bottom w:val="none" w:sz="0" w:space="0" w:color="auto"/>
        <w:right w:val="none" w:sz="0" w:space="0" w:color="auto"/>
      </w:divBdr>
      <w:divsChild>
        <w:div w:id="35283198">
          <w:marLeft w:val="1166"/>
          <w:marRight w:val="0"/>
          <w:marTop w:val="134"/>
          <w:marBottom w:val="0"/>
          <w:divBdr>
            <w:top w:val="none" w:sz="0" w:space="0" w:color="auto"/>
            <w:left w:val="none" w:sz="0" w:space="0" w:color="auto"/>
            <w:bottom w:val="none" w:sz="0" w:space="0" w:color="auto"/>
            <w:right w:val="none" w:sz="0" w:space="0" w:color="auto"/>
          </w:divBdr>
        </w:div>
        <w:div w:id="276719604">
          <w:marLeft w:val="3240"/>
          <w:marRight w:val="0"/>
          <w:marTop w:val="96"/>
          <w:marBottom w:val="0"/>
          <w:divBdr>
            <w:top w:val="none" w:sz="0" w:space="0" w:color="auto"/>
            <w:left w:val="none" w:sz="0" w:space="0" w:color="auto"/>
            <w:bottom w:val="none" w:sz="0" w:space="0" w:color="auto"/>
            <w:right w:val="none" w:sz="0" w:space="0" w:color="auto"/>
          </w:divBdr>
        </w:div>
        <w:div w:id="810749038">
          <w:marLeft w:val="3240"/>
          <w:marRight w:val="0"/>
          <w:marTop w:val="96"/>
          <w:marBottom w:val="0"/>
          <w:divBdr>
            <w:top w:val="none" w:sz="0" w:space="0" w:color="auto"/>
            <w:left w:val="none" w:sz="0" w:space="0" w:color="auto"/>
            <w:bottom w:val="none" w:sz="0" w:space="0" w:color="auto"/>
            <w:right w:val="none" w:sz="0" w:space="0" w:color="auto"/>
          </w:divBdr>
        </w:div>
        <w:div w:id="839125128">
          <w:marLeft w:val="547"/>
          <w:marRight w:val="0"/>
          <w:marTop w:val="154"/>
          <w:marBottom w:val="0"/>
          <w:divBdr>
            <w:top w:val="none" w:sz="0" w:space="0" w:color="auto"/>
            <w:left w:val="none" w:sz="0" w:space="0" w:color="auto"/>
            <w:bottom w:val="none" w:sz="0" w:space="0" w:color="auto"/>
            <w:right w:val="none" w:sz="0" w:space="0" w:color="auto"/>
          </w:divBdr>
        </w:div>
        <w:div w:id="1044914832">
          <w:marLeft w:val="2520"/>
          <w:marRight w:val="0"/>
          <w:marTop w:val="96"/>
          <w:marBottom w:val="0"/>
          <w:divBdr>
            <w:top w:val="none" w:sz="0" w:space="0" w:color="auto"/>
            <w:left w:val="none" w:sz="0" w:space="0" w:color="auto"/>
            <w:bottom w:val="none" w:sz="0" w:space="0" w:color="auto"/>
            <w:right w:val="none" w:sz="0" w:space="0" w:color="auto"/>
          </w:divBdr>
        </w:div>
        <w:div w:id="1406300825">
          <w:marLeft w:val="3240"/>
          <w:marRight w:val="0"/>
          <w:marTop w:val="96"/>
          <w:marBottom w:val="0"/>
          <w:divBdr>
            <w:top w:val="none" w:sz="0" w:space="0" w:color="auto"/>
            <w:left w:val="none" w:sz="0" w:space="0" w:color="auto"/>
            <w:bottom w:val="none" w:sz="0" w:space="0" w:color="auto"/>
            <w:right w:val="none" w:sz="0" w:space="0" w:color="auto"/>
          </w:divBdr>
        </w:div>
        <w:div w:id="1760055583">
          <w:marLeft w:val="1800"/>
          <w:marRight w:val="0"/>
          <w:marTop w:val="115"/>
          <w:marBottom w:val="0"/>
          <w:divBdr>
            <w:top w:val="none" w:sz="0" w:space="0" w:color="auto"/>
            <w:left w:val="none" w:sz="0" w:space="0" w:color="auto"/>
            <w:bottom w:val="none" w:sz="0" w:space="0" w:color="auto"/>
            <w:right w:val="none" w:sz="0" w:space="0" w:color="auto"/>
          </w:divBdr>
        </w:div>
      </w:divsChild>
    </w:div>
    <w:div w:id="1360160447">
      <w:bodyDiv w:val="1"/>
      <w:marLeft w:val="0"/>
      <w:marRight w:val="0"/>
      <w:marTop w:val="0"/>
      <w:marBottom w:val="0"/>
      <w:divBdr>
        <w:top w:val="none" w:sz="0" w:space="0" w:color="auto"/>
        <w:left w:val="none" w:sz="0" w:space="0" w:color="auto"/>
        <w:bottom w:val="none" w:sz="0" w:space="0" w:color="auto"/>
        <w:right w:val="none" w:sz="0" w:space="0" w:color="auto"/>
      </w:divBdr>
    </w:div>
    <w:div w:id="1360471853">
      <w:bodyDiv w:val="1"/>
      <w:marLeft w:val="0"/>
      <w:marRight w:val="0"/>
      <w:marTop w:val="0"/>
      <w:marBottom w:val="0"/>
      <w:divBdr>
        <w:top w:val="none" w:sz="0" w:space="0" w:color="auto"/>
        <w:left w:val="none" w:sz="0" w:space="0" w:color="auto"/>
        <w:bottom w:val="none" w:sz="0" w:space="0" w:color="auto"/>
        <w:right w:val="none" w:sz="0" w:space="0" w:color="auto"/>
      </w:divBdr>
      <w:divsChild>
        <w:div w:id="5523927">
          <w:marLeft w:val="1166"/>
          <w:marRight w:val="0"/>
          <w:marTop w:val="96"/>
          <w:marBottom w:val="0"/>
          <w:divBdr>
            <w:top w:val="none" w:sz="0" w:space="0" w:color="auto"/>
            <w:left w:val="none" w:sz="0" w:space="0" w:color="auto"/>
            <w:bottom w:val="none" w:sz="0" w:space="0" w:color="auto"/>
            <w:right w:val="none" w:sz="0" w:space="0" w:color="auto"/>
          </w:divBdr>
        </w:div>
        <w:div w:id="606155797">
          <w:marLeft w:val="547"/>
          <w:marRight w:val="0"/>
          <w:marTop w:val="115"/>
          <w:marBottom w:val="0"/>
          <w:divBdr>
            <w:top w:val="none" w:sz="0" w:space="0" w:color="auto"/>
            <w:left w:val="none" w:sz="0" w:space="0" w:color="auto"/>
            <w:bottom w:val="none" w:sz="0" w:space="0" w:color="auto"/>
            <w:right w:val="none" w:sz="0" w:space="0" w:color="auto"/>
          </w:divBdr>
        </w:div>
        <w:div w:id="1769538936">
          <w:marLeft w:val="1166"/>
          <w:marRight w:val="0"/>
          <w:marTop w:val="96"/>
          <w:marBottom w:val="0"/>
          <w:divBdr>
            <w:top w:val="none" w:sz="0" w:space="0" w:color="auto"/>
            <w:left w:val="none" w:sz="0" w:space="0" w:color="auto"/>
            <w:bottom w:val="none" w:sz="0" w:space="0" w:color="auto"/>
            <w:right w:val="none" w:sz="0" w:space="0" w:color="auto"/>
          </w:divBdr>
        </w:div>
      </w:divsChild>
    </w:div>
    <w:div w:id="1361323462">
      <w:bodyDiv w:val="1"/>
      <w:marLeft w:val="0"/>
      <w:marRight w:val="0"/>
      <w:marTop w:val="0"/>
      <w:marBottom w:val="0"/>
      <w:divBdr>
        <w:top w:val="none" w:sz="0" w:space="0" w:color="auto"/>
        <w:left w:val="none" w:sz="0" w:space="0" w:color="auto"/>
        <w:bottom w:val="none" w:sz="0" w:space="0" w:color="auto"/>
        <w:right w:val="none" w:sz="0" w:space="0" w:color="auto"/>
      </w:divBdr>
    </w:div>
    <w:div w:id="1361662987">
      <w:bodyDiv w:val="1"/>
      <w:marLeft w:val="0"/>
      <w:marRight w:val="0"/>
      <w:marTop w:val="0"/>
      <w:marBottom w:val="0"/>
      <w:divBdr>
        <w:top w:val="none" w:sz="0" w:space="0" w:color="auto"/>
        <w:left w:val="none" w:sz="0" w:space="0" w:color="auto"/>
        <w:bottom w:val="none" w:sz="0" w:space="0" w:color="auto"/>
        <w:right w:val="none" w:sz="0" w:space="0" w:color="auto"/>
      </w:divBdr>
    </w:div>
    <w:div w:id="1362167526">
      <w:bodyDiv w:val="1"/>
      <w:marLeft w:val="0"/>
      <w:marRight w:val="0"/>
      <w:marTop w:val="0"/>
      <w:marBottom w:val="0"/>
      <w:divBdr>
        <w:top w:val="none" w:sz="0" w:space="0" w:color="auto"/>
        <w:left w:val="none" w:sz="0" w:space="0" w:color="auto"/>
        <w:bottom w:val="none" w:sz="0" w:space="0" w:color="auto"/>
        <w:right w:val="none" w:sz="0" w:space="0" w:color="auto"/>
      </w:divBdr>
    </w:div>
    <w:div w:id="1362314860">
      <w:bodyDiv w:val="1"/>
      <w:marLeft w:val="0"/>
      <w:marRight w:val="0"/>
      <w:marTop w:val="0"/>
      <w:marBottom w:val="0"/>
      <w:divBdr>
        <w:top w:val="none" w:sz="0" w:space="0" w:color="auto"/>
        <w:left w:val="none" w:sz="0" w:space="0" w:color="auto"/>
        <w:bottom w:val="none" w:sz="0" w:space="0" w:color="auto"/>
        <w:right w:val="none" w:sz="0" w:space="0" w:color="auto"/>
      </w:divBdr>
    </w:div>
    <w:div w:id="1362978852">
      <w:bodyDiv w:val="1"/>
      <w:marLeft w:val="0"/>
      <w:marRight w:val="0"/>
      <w:marTop w:val="0"/>
      <w:marBottom w:val="0"/>
      <w:divBdr>
        <w:top w:val="none" w:sz="0" w:space="0" w:color="auto"/>
        <w:left w:val="none" w:sz="0" w:space="0" w:color="auto"/>
        <w:bottom w:val="none" w:sz="0" w:space="0" w:color="auto"/>
        <w:right w:val="none" w:sz="0" w:space="0" w:color="auto"/>
      </w:divBdr>
    </w:div>
    <w:div w:id="1363045852">
      <w:bodyDiv w:val="1"/>
      <w:marLeft w:val="0"/>
      <w:marRight w:val="0"/>
      <w:marTop w:val="0"/>
      <w:marBottom w:val="0"/>
      <w:divBdr>
        <w:top w:val="none" w:sz="0" w:space="0" w:color="auto"/>
        <w:left w:val="none" w:sz="0" w:space="0" w:color="auto"/>
        <w:bottom w:val="none" w:sz="0" w:space="0" w:color="auto"/>
        <w:right w:val="none" w:sz="0" w:space="0" w:color="auto"/>
      </w:divBdr>
      <w:divsChild>
        <w:div w:id="306008745">
          <w:marLeft w:val="1166"/>
          <w:marRight w:val="0"/>
          <w:marTop w:val="106"/>
          <w:marBottom w:val="0"/>
          <w:divBdr>
            <w:top w:val="none" w:sz="0" w:space="0" w:color="auto"/>
            <w:left w:val="none" w:sz="0" w:space="0" w:color="auto"/>
            <w:bottom w:val="none" w:sz="0" w:space="0" w:color="auto"/>
            <w:right w:val="none" w:sz="0" w:space="0" w:color="auto"/>
          </w:divBdr>
        </w:div>
        <w:div w:id="884609445">
          <w:marLeft w:val="1166"/>
          <w:marRight w:val="0"/>
          <w:marTop w:val="106"/>
          <w:marBottom w:val="0"/>
          <w:divBdr>
            <w:top w:val="none" w:sz="0" w:space="0" w:color="auto"/>
            <w:left w:val="none" w:sz="0" w:space="0" w:color="auto"/>
            <w:bottom w:val="none" w:sz="0" w:space="0" w:color="auto"/>
            <w:right w:val="none" w:sz="0" w:space="0" w:color="auto"/>
          </w:divBdr>
        </w:div>
        <w:div w:id="1162350532">
          <w:marLeft w:val="547"/>
          <w:marRight w:val="0"/>
          <w:marTop w:val="120"/>
          <w:marBottom w:val="0"/>
          <w:divBdr>
            <w:top w:val="none" w:sz="0" w:space="0" w:color="auto"/>
            <w:left w:val="none" w:sz="0" w:space="0" w:color="auto"/>
            <w:bottom w:val="none" w:sz="0" w:space="0" w:color="auto"/>
            <w:right w:val="none" w:sz="0" w:space="0" w:color="auto"/>
          </w:divBdr>
        </w:div>
        <w:div w:id="1225946788">
          <w:marLeft w:val="547"/>
          <w:marRight w:val="0"/>
          <w:marTop w:val="120"/>
          <w:marBottom w:val="0"/>
          <w:divBdr>
            <w:top w:val="none" w:sz="0" w:space="0" w:color="auto"/>
            <w:left w:val="none" w:sz="0" w:space="0" w:color="auto"/>
            <w:bottom w:val="none" w:sz="0" w:space="0" w:color="auto"/>
            <w:right w:val="none" w:sz="0" w:space="0" w:color="auto"/>
          </w:divBdr>
        </w:div>
        <w:div w:id="1699161848">
          <w:marLeft w:val="1166"/>
          <w:marRight w:val="0"/>
          <w:marTop w:val="106"/>
          <w:marBottom w:val="0"/>
          <w:divBdr>
            <w:top w:val="none" w:sz="0" w:space="0" w:color="auto"/>
            <w:left w:val="none" w:sz="0" w:space="0" w:color="auto"/>
            <w:bottom w:val="none" w:sz="0" w:space="0" w:color="auto"/>
            <w:right w:val="none" w:sz="0" w:space="0" w:color="auto"/>
          </w:divBdr>
        </w:div>
        <w:div w:id="1885480581">
          <w:marLeft w:val="547"/>
          <w:marRight w:val="0"/>
          <w:marTop w:val="120"/>
          <w:marBottom w:val="0"/>
          <w:divBdr>
            <w:top w:val="none" w:sz="0" w:space="0" w:color="auto"/>
            <w:left w:val="none" w:sz="0" w:space="0" w:color="auto"/>
            <w:bottom w:val="none" w:sz="0" w:space="0" w:color="auto"/>
            <w:right w:val="none" w:sz="0" w:space="0" w:color="auto"/>
          </w:divBdr>
        </w:div>
        <w:div w:id="1914117332">
          <w:marLeft w:val="547"/>
          <w:marRight w:val="0"/>
          <w:marTop w:val="120"/>
          <w:marBottom w:val="0"/>
          <w:divBdr>
            <w:top w:val="none" w:sz="0" w:space="0" w:color="auto"/>
            <w:left w:val="none" w:sz="0" w:space="0" w:color="auto"/>
            <w:bottom w:val="none" w:sz="0" w:space="0" w:color="auto"/>
            <w:right w:val="none" w:sz="0" w:space="0" w:color="auto"/>
          </w:divBdr>
        </w:div>
      </w:divsChild>
    </w:div>
    <w:div w:id="1364013829">
      <w:bodyDiv w:val="1"/>
      <w:marLeft w:val="0"/>
      <w:marRight w:val="0"/>
      <w:marTop w:val="0"/>
      <w:marBottom w:val="0"/>
      <w:divBdr>
        <w:top w:val="none" w:sz="0" w:space="0" w:color="auto"/>
        <w:left w:val="none" w:sz="0" w:space="0" w:color="auto"/>
        <w:bottom w:val="none" w:sz="0" w:space="0" w:color="auto"/>
        <w:right w:val="none" w:sz="0" w:space="0" w:color="auto"/>
      </w:divBdr>
    </w:div>
    <w:div w:id="1364483034">
      <w:bodyDiv w:val="1"/>
      <w:marLeft w:val="0"/>
      <w:marRight w:val="0"/>
      <w:marTop w:val="0"/>
      <w:marBottom w:val="0"/>
      <w:divBdr>
        <w:top w:val="none" w:sz="0" w:space="0" w:color="auto"/>
        <w:left w:val="none" w:sz="0" w:space="0" w:color="auto"/>
        <w:bottom w:val="none" w:sz="0" w:space="0" w:color="auto"/>
        <w:right w:val="none" w:sz="0" w:space="0" w:color="auto"/>
      </w:divBdr>
      <w:divsChild>
        <w:div w:id="1323780533">
          <w:marLeft w:val="547"/>
          <w:marRight w:val="0"/>
          <w:marTop w:val="154"/>
          <w:marBottom w:val="0"/>
          <w:divBdr>
            <w:top w:val="none" w:sz="0" w:space="0" w:color="auto"/>
            <w:left w:val="none" w:sz="0" w:space="0" w:color="auto"/>
            <w:bottom w:val="none" w:sz="0" w:space="0" w:color="auto"/>
            <w:right w:val="none" w:sz="0" w:space="0" w:color="auto"/>
          </w:divBdr>
        </w:div>
        <w:div w:id="1338536096">
          <w:marLeft w:val="1166"/>
          <w:marRight w:val="0"/>
          <w:marTop w:val="134"/>
          <w:marBottom w:val="0"/>
          <w:divBdr>
            <w:top w:val="none" w:sz="0" w:space="0" w:color="auto"/>
            <w:left w:val="none" w:sz="0" w:space="0" w:color="auto"/>
            <w:bottom w:val="none" w:sz="0" w:space="0" w:color="auto"/>
            <w:right w:val="none" w:sz="0" w:space="0" w:color="auto"/>
          </w:divBdr>
        </w:div>
      </w:divsChild>
    </w:div>
    <w:div w:id="1364747451">
      <w:bodyDiv w:val="1"/>
      <w:marLeft w:val="0"/>
      <w:marRight w:val="0"/>
      <w:marTop w:val="0"/>
      <w:marBottom w:val="0"/>
      <w:divBdr>
        <w:top w:val="none" w:sz="0" w:space="0" w:color="auto"/>
        <w:left w:val="none" w:sz="0" w:space="0" w:color="auto"/>
        <w:bottom w:val="none" w:sz="0" w:space="0" w:color="auto"/>
        <w:right w:val="none" w:sz="0" w:space="0" w:color="auto"/>
      </w:divBdr>
      <w:divsChild>
        <w:div w:id="26106410">
          <w:marLeft w:val="547"/>
          <w:marRight w:val="0"/>
          <w:marTop w:val="120"/>
          <w:marBottom w:val="0"/>
          <w:divBdr>
            <w:top w:val="none" w:sz="0" w:space="0" w:color="auto"/>
            <w:left w:val="none" w:sz="0" w:space="0" w:color="auto"/>
            <w:bottom w:val="none" w:sz="0" w:space="0" w:color="auto"/>
            <w:right w:val="none" w:sz="0" w:space="0" w:color="auto"/>
          </w:divBdr>
        </w:div>
        <w:div w:id="908614611">
          <w:marLeft w:val="547"/>
          <w:marRight w:val="0"/>
          <w:marTop w:val="120"/>
          <w:marBottom w:val="0"/>
          <w:divBdr>
            <w:top w:val="none" w:sz="0" w:space="0" w:color="auto"/>
            <w:left w:val="none" w:sz="0" w:space="0" w:color="auto"/>
            <w:bottom w:val="none" w:sz="0" w:space="0" w:color="auto"/>
            <w:right w:val="none" w:sz="0" w:space="0" w:color="auto"/>
          </w:divBdr>
        </w:div>
        <w:div w:id="1775632653">
          <w:marLeft w:val="1166"/>
          <w:marRight w:val="0"/>
          <w:marTop w:val="120"/>
          <w:marBottom w:val="0"/>
          <w:divBdr>
            <w:top w:val="none" w:sz="0" w:space="0" w:color="auto"/>
            <w:left w:val="none" w:sz="0" w:space="0" w:color="auto"/>
            <w:bottom w:val="none" w:sz="0" w:space="0" w:color="auto"/>
            <w:right w:val="none" w:sz="0" w:space="0" w:color="auto"/>
          </w:divBdr>
        </w:div>
        <w:div w:id="1907648398">
          <w:marLeft w:val="547"/>
          <w:marRight w:val="0"/>
          <w:marTop w:val="120"/>
          <w:marBottom w:val="0"/>
          <w:divBdr>
            <w:top w:val="none" w:sz="0" w:space="0" w:color="auto"/>
            <w:left w:val="none" w:sz="0" w:space="0" w:color="auto"/>
            <w:bottom w:val="none" w:sz="0" w:space="0" w:color="auto"/>
            <w:right w:val="none" w:sz="0" w:space="0" w:color="auto"/>
          </w:divBdr>
        </w:div>
      </w:divsChild>
    </w:div>
    <w:div w:id="1364788979">
      <w:bodyDiv w:val="1"/>
      <w:marLeft w:val="0"/>
      <w:marRight w:val="0"/>
      <w:marTop w:val="0"/>
      <w:marBottom w:val="0"/>
      <w:divBdr>
        <w:top w:val="none" w:sz="0" w:space="0" w:color="auto"/>
        <w:left w:val="none" w:sz="0" w:space="0" w:color="auto"/>
        <w:bottom w:val="none" w:sz="0" w:space="0" w:color="auto"/>
        <w:right w:val="none" w:sz="0" w:space="0" w:color="auto"/>
      </w:divBdr>
    </w:div>
    <w:div w:id="1365325944">
      <w:bodyDiv w:val="1"/>
      <w:marLeft w:val="0"/>
      <w:marRight w:val="0"/>
      <w:marTop w:val="0"/>
      <w:marBottom w:val="0"/>
      <w:divBdr>
        <w:top w:val="none" w:sz="0" w:space="0" w:color="auto"/>
        <w:left w:val="none" w:sz="0" w:space="0" w:color="auto"/>
        <w:bottom w:val="none" w:sz="0" w:space="0" w:color="auto"/>
        <w:right w:val="none" w:sz="0" w:space="0" w:color="auto"/>
      </w:divBdr>
    </w:div>
    <w:div w:id="1366783938">
      <w:bodyDiv w:val="1"/>
      <w:marLeft w:val="0"/>
      <w:marRight w:val="0"/>
      <w:marTop w:val="0"/>
      <w:marBottom w:val="0"/>
      <w:divBdr>
        <w:top w:val="none" w:sz="0" w:space="0" w:color="auto"/>
        <w:left w:val="none" w:sz="0" w:space="0" w:color="auto"/>
        <w:bottom w:val="none" w:sz="0" w:space="0" w:color="auto"/>
        <w:right w:val="none" w:sz="0" w:space="0" w:color="auto"/>
      </w:divBdr>
      <w:divsChild>
        <w:div w:id="60643021">
          <w:marLeft w:val="1426"/>
          <w:marRight w:val="0"/>
          <w:marTop w:val="60"/>
          <w:marBottom w:val="0"/>
          <w:divBdr>
            <w:top w:val="none" w:sz="0" w:space="0" w:color="auto"/>
            <w:left w:val="none" w:sz="0" w:space="0" w:color="auto"/>
            <w:bottom w:val="none" w:sz="0" w:space="0" w:color="auto"/>
            <w:right w:val="none" w:sz="0" w:space="0" w:color="auto"/>
          </w:divBdr>
        </w:div>
        <w:div w:id="168181934">
          <w:marLeft w:val="1426"/>
          <w:marRight w:val="0"/>
          <w:marTop w:val="60"/>
          <w:marBottom w:val="0"/>
          <w:divBdr>
            <w:top w:val="none" w:sz="0" w:space="0" w:color="auto"/>
            <w:left w:val="none" w:sz="0" w:space="0" w:color="auto"/>
            <w:bottom w:val="none" w:sz="0" w:space="0" w:color="auto"/>
            <w:right w:val="none" w:sz="0" w:space="0" w:color="auto"/>
          </w:divBdr>
        </w:div>
        <w:div w:id="509223119">
          <w:marLeft w:val="2866"/>
          <w:marRight w:val="0"/>
          <w:marTop w:val="60"/>
          <w:marBottom w:val="0"/>
          <w:divBdr>
            <w:top w:val="none" w:sz="0" w:space="0" w:color="auto"/>
            <w:left w:val="none" w:sz="0" w:space="0" w:color="auto"/>
            <w:bottom w:val="none" w:sz="0" w:space="0" w:color="auto"/>
            <w:right w:val="none" w:sz="0" w:space="0" w:color="auto"/>
          </w:divBdr>
        </w:div>
        <w:div w:id="729691281">
          <w:marLeft w:val="3586"/>
          <w:marRight w:val="0"/>
          <w:marTop w:val="60"/>
          <w:marBottom w:val="0"/>
          <w:divBdr>
            <w:top w:val="none" w:sz="0" w:space="0" w:color="auto"/>
            <w:left w:val="none" w:sz="0" w:space="0" w:color="auto"/>
            <w:bottom w:val="none" w:sz="0" w:space="0" w:color="auto"/>
            <w:right w:val="none" w:sz="0" w:space="0" w:color="auto"/>
          </w:divBdr>
        </w:div>
        <w:div w:id="864252367">
          <w:marLeft w:val="1426"/>
          <w:marRight w:val="0"/>
          <w:marTop w:val="60"/>
          <w:marBottom w:val="0"/>
          <w:divBdr>
            <w:top w:val="none" w:sz="0" w:space="0" w:color="auto"/>
            <w:left w:val="none" w:sz="0" w:space="0" w:color="auto"/>
            <w:bottom w:val="none" w:sz="0" w:space="0" w:color="auto"/>
            <w:right w:val="none" w:sz="0" w:space="0" w:color="auto"/>
          </w:divBdr>
        </w:div>
        <w:div w:id="879517411">
          <w:marLeft w:val="4306"/>
          <w:marRight w:val="0"/>
          <w:marTop w:val="60"/>
          <w:marBottom w:val="0"/>
          <w:divBdr>
            <w:top w:val="none" w:sz="0" w:space="0" w:color="auto"/>
            <w:left w:val="none" w:sz="0" w:space="0" w:color="auto"/>
            <w:bottom w:val="none" w:sz="0" w:space="0" w:color="auto"/>
            <w:right w:val="none" w:sz="0" w:space="0" w:color="auto"/>
          </w:divBdr>
        </w:div>
        <w:div w:id="1024212728">
          <w:marLeft w:val="1426"/>
          <w:marRight w:val="0"/>
          <w:marTop w:val="60"/>
          <w:marBottom w:val="0"/>
          <w:divBdr>
            <w:top w:val="none" w:sz="0" w:space="0" w:color="auto"/>
            <w:left w:val="none" w:sz="0" w:space="0" w:color="auto"/>
            <w:bottom w:val="none" w:sz="0" w:space="0" w:color="auto"/>
            <w:right w:val="none" w:sz="0" w:space="0" w:color="auto"/>
          </w:divBdr>
        </w:div>
        <w:div w:id="1098913192">
          <w:marLeft w:val="4306"/>
          <w:marRight w:val="0"/>
          <w:marTop w:val="60"/>
          <w:marBottom w:val="0"/>
          <w:divBdr>
            <w:top w:val="none" w:sz="0" w:space="0" w:color="auto"/>
            <w:left w:val="none" w:sz="0" w:space="0" w:color="auto"/>
            <w:bottom w:val="none" w:sz="0" w:space="0" w:color="auto"/>
            <w:right w:val="none" w:sz="0" w:space="0" w:color="auto"/>
          </w:divBdr>
        </w:div>
        <w:div w:id="1176964272">
          <w:marLeft w:val="3586"/>
          <w:marRight w:val="0"/>
          <w:marTop w:val="60"/>
          <w:marBottom w:val="0"/>
          <w:divBdr>
            <w:top w:val="none" w:sz="0" w:space="0" w:color="auto"/>
            <w:left w:val="none" w:sz="0" w:space="0" w:color="auto"/>
            <w:bottom w:val="none" w:sz="0" w:space="0" w:color="auto"/>
            <w:right w:val="none" w:sz="0" w:space="0" w:color="auto"/>
          </w:divBdr>
        </w:div>
        <w:div w:id="1188174310">
          <w:marLeft w:val="2866"/>
          <w:marRight w:val="0"/>
          <w:marTop w:val="60"/>
          <w:marBottom w:val="0"/>
          <w:divBdr>
            <w:top w:val="none" w:sz="0" w:space="0" w:color="auto"/>
            <w:left w:val="none" w:sz="0" w:space="0" w:color="auto"/>
            <w:bottom w:val="none" w:sz="0" w:space="0" w:color="auto"/>
            <w:right w:val="none" w:sz="0" w:space="0" w:color="auto"/>
          </w:divBdr>
        </w:div>
        <w:div w:id="1364280691">
          <w:marLeft w:val="2866"/>
          <w:marRight w:val="0"/>
          <w:marTop w:val="60"/>
          <w:marBottom w:val="0"/>
          <w:divBdr>
            <w:top w:val="none" w:sz="0" w:space="0" w:color="auto"/>
            <w:left w:val="none" w:sz="0" w:space="0" w:color="auto"/>
            <w:bottom w:val="none" w:sz="0" w:space="0" w:color="auto"/>
            <w:right w:val="none" w:sz="0" w:space="0" w:color="auto"/>
          </w:divBdr>
        </w:div>
        <w:div w:id="1699357729">
          <w:marLeft w:val="2866"/>
          <w:marRight w:val="0"/>
          <w:marTop w:val="60"/>
          <w:marBottom w:val="0"/>
          <w:divBdr>
            <w:top w:val="none" w:sz="0" w:space="0" w:color="auto"/>
            <w:left w:val="none" w:sz="0" w:space="0" w:color="auto"/>
            <w:bottom w:val="none" w:sz="0" w:space="0" w:color="auto"/>
            <w:right w:val="none" w:sz="0" w:space="0" w:color="auto"/>
          </w:divBdr>
        </w:div>
        <w:div w:id="1801338560">
          <w:marLeft w:val="1426"/>
          <w:marRight w:val="0"/>
          <w:marTop w:val="60"/>
          <w:marBottom w:val="0"/>
          <w:divBdr>
            <w:top w:val="none" w:sz="0" w:space="0" w:color="auto"/>
            <w:left w:val="none" w:sz="0" w:space="0" w:color="auto"/>
            <w:bottom w:val="none" w:sz="0" w:space="0" w:color="auto"/>
            <w:right w:val="none" w:sz="0" w:space="0" w:color="auto"/>
          </w:divBdr>
        </w:div>
        <w:div w:id="2069257524">
          <w:marLeft w:val="533"/>
          <w:marRight w:val="0"/>
          <w:marTop w:val="60"/>
          <w:marBottom w:val="0"/>
          <w:divBdr>
            <w:top w:val="none" w:sz="0" w:space="0" w:color="auto"/>
            <w:left w:val="none" w:sz="0" w:space="0" w:color="auto"/>
            <w:bottom w:val="none" w:sz="0" w:space="0" w:color="auto"/>
            <w:right w:val="none" w:sz="0" w:space="0" w:color="auto"/>
          </w:divBdr>
        </w:div>
      </w:divsChild>
    </w:div>
    <w:div w:id="1367292906">
      <w:bodyDiv w:val="1"/>
      <w:marLeft w:val="0"/>
      <w:marRight w:val="0"/>
      <w:marTop w:val="0"/>
      <w:marBottom w:val="0"/>
      <w:divBdr>
        <w:top w:val="none" w:sz="0" w:space="0" w:color="auto"/>
        <w:left w:val="none" w:sz="0" w:space="0" w:color="auto"/>
        <w:bottom w:val="none" w:sz="0" w:space="0" w:color="auto"/>
        <w:right w:val="none" w:sz="0" w:space="0" w:color="auto"/>
      </w:divBdr>
      <w:divsChild>
        <w:div w:id="46807603">
          <w:marLeft w:val="1166"/>
          <w:marRight w:val="0"/>
          <w:marTop w:val="134"/>
          <w:marBottom w:val="0"/>
          <w:divBdr>
            <w:top w:val="none" w:sz="0" w:space="0" w:color="auto"/>
            <w:left w:val="none" w:sz="0" w:space="0" w:color="auto"/>
            <w:bottom w:val="none" w:sz="0" w:space="0" w:color="auto"/>
            <w:right w:val="none" w:sz="0" w:space="0" w:color="auto"/>
          </w:divBdr>
        </w:div>
        <w:div w:id="659501168">
          <w:marLeft w:val="1800"/>
          <w:marRight w:val="0"/>
          <w:marTop w:val="115"/>
          <w:marBottom w:val="0"/>
          <w:divBdr>
            <w:top w:val="none" w:sz="0" w:space="0" w:color="auto"/>
            <w:left w:val="none" w:sz="0" w:space="0" w:color="auto"/>
            <w:bottom w:val="none" w:sz="0" w:space="0" w:color="auto"/>
            <w:right w:val="none" w:sz="0" w:space="0" w:color="auto"/>
          </w:divBdr>
        </w:div>
        <w:div w:id="1010910035">
          <w:marLeft w:val="547"/>
          <w:marRight w:val="0"/>
          <w:marTop w:val="154"/>
          <w:marBottom w:val="0"/>
          <w:divBdr>
            <w:top w:val="none" w:sz="0" w:space="0" w:color="auto"/>
            <w:left w:val="none" w:sz="0" w:space="0" w:color="auto"/>
            <w:bottom w:val="none" w:sz="0" w:space="0" w:color="auto"/>
            <w:right w:val="none" w:sz="0" w:space="0" w:color="auto"/>
          </w:divBdr>
        </w:div>
        <w:div w:id="1017854836">
          <w:marLeft w:val="1166"/>
          <w:marRight w:val="0"/>
          <w:marTop w:val="134"/>
          <w:marBottom w:val="0"/>
          <w:divBdr>
            <w:top w:val="none" w:sz="0" w:space="0" w:color="auto"/>
            <w:left w:val="none" w:sz="0" w:space="0" w:color="auto"/>
            <w:bottom w:val="none" w:sz="0" w:space="0" w:color="auto"/>
            <w:right w:val="none" w:sz="0" w:space="0" w:color="auto"/>
          </w:divBdr>
        </w:div>
        <w:div w:id="1525555612">
          <w:marLeft w:val="1800"/>
          <w:marRight w:val="0"/>
          <w:marTop w:val="115"/>
          <w:marBottom w:val="0"/>
          <w:divBdr>
            <w:top w:val="none" w:sz="0" w:space="0" w:color="auto"/>
            <w:left w:val="none" w:sz="0" w:space="0" w:color="auto"/>
            <w:bottom w:val="none" w:sz="0" w:space="0" w:color="auto"/>
            <w:right w:val="none" w:sz="0" w:space="0" w:color="auto"/>
          </w:divBdr>
        </w:div>
        <w:div w:id="1837064538">
          <w:marLeft w:val="1800"/>
          <w:marRight w:val="0"/>
          <w:marTop w:val="115"/>
          <w:marBottom w:val="0"/>
          <w:divBdr>
            <w:top w:val="none" w:sz="0" w:space="0" w:color="auto"/>
            <w:left w:val="none" w:sz="0" w:space="0" w:color="auto"/>
            <w:bottom w:val="none" w:sz="0" w:space="0" w:color="auto"/>
            <w:right w:val="none" w:sz="0" w:space="0" w:color="auto"/>
          </w:divBdr>
        </w:div>
        <w:div w:id="1879852604">
          <w:marLeft w:val="1166"/>
          <w:marRight w:val="0"/>
          <w:marTop w:val="134"/>
          <w:marBottom w:val="0"/>
          <w:divBdr>
            <w:top w:val="none" w:sz="0" w:space="0" w:color="auto"/>
            <w:left w:val="none" w:sz="0" w:space="0" w:color="auto"/>
            <w:bottom w:val="none" w:sz="0" w:space="0" w:color="auto"/>
            <w:right w:val="none" w:sz="0" w:space="0" w:color="auto"/>
          </w:divBdr>
        </w:div>
      </w:divsChild>
    </w:div>
    <w:div w:id="1367607386">
      <w:bodyDiv w:val="1"/>
      <w:marLeft w:val="0"/>
      <w:marRight w:val="0"/>
      <w:marTop w:val="0"/>
      <w:marBottom w:val="0"/>
      <w:divBdr>
        <w:top w:val="none" w:sz="0" w:space="0" w:color="auto"/>
        <w:left w:val="none" w:sz="0" w:space="0" w:color="auto"/>
        <w:bottom w:val="none" w:sz="0" w:space="0" w:color="auto"/>
        <w:right w:val="none" w:sz="0" w:space="0" w:color="auto"/>
      </w:divBdr>
    </w:div>
    <w:div w:id="1368989801">
      <w:bodyDiv w:val="1"/>
      <w:marLeft w:val="0"/>
      <w:marRight w:val="0"/>
      <w:marTop w:val="0"/>
      <w:marBottom w:val="0"/>
      <w:divBdr>
        <w:top w:val="none" w:sz="0" w:space="0" w:color="auto"/>
        <w:left w:val="none" w:sz="0" w:space="0" w:color="auto"/>
        <w:bottom w:val="none" w:sz="0" w:space="0" w:color="auto"/>
        <w:right w:val="none" w:sz="0" w:space="0" w:color="auto"/>
      </w:divBdr>
      <w:divsChild>
        <w:div w:id="81227352">
          <w:marLeft w:val="360"/>
          <w:marRight w:val="0"/>
          <w:marTop w:val="200"/>
          <w:marBottom w:val="0"/>
          <w:divBdr>
            <w:top w:val="none" w:sz="0" w:space="0" w:color="auto"/>
            <w:left w:val="none" w:sz="0" w:space="0" w:color="auto"/>
            <w:bottom w:val="none" w:sz="0" w:space="0" w:color="auto"/>
            <w:right w:val="none" w:sz="0" w:space="0" w:color="auto"/>
          </w:divBdr>
        </w:div>
        <w:div w:id="85999095">
          <w:marLeft w:val="1080"/>
          <w:marRight w:val="0"/>
          <w:marTop w:val="100"/>
          <w:marBottom w:val="0"/>
          <w:divBdr>
            <w:top w:val="none" w:sz="0" w:space="0" w:color="auto"/>
            <w:left w:val="none" w:sz="0" w:space="0" w:color="auto"/>
            <w:bottom w:val="none" w:sz="0" w:space="0" w:color="auto"/>
            <w:right w:val="none" w:sz="0" w:space="0" w:color="auto"/>
          </w:divBdr>
        </w:div>
        <w:div w:id="116265899">
          <w:marLeft w:val="360"/>
          <w:marRight w:val="0"/>
          <w:marTop w:val="200"/>
          <w:marBottom w:val="0"/>
          <w:divBdr>
            <w:top w:val="none" w:sz="0" w:space="0" w:color="auto"/>
            <w:left w:val="none" w:sz="0" w:space="0" w:color="auto"/>
            <w:bottom w:val="none" w:sz="0" w:space="0" w:color="auto"/>
            <w:right w:val="none" w:sz="0" w:space="0" w:color="auto"/>
          </w:divBdr>
        </w:div>
        <w:div w:id="551186559">
          <w:marLeft w:val="1080"/>
          <w:marRight w:val="0"/>
          <w:marTop w:val="100"/>
          <w:marBottom w:val="0"/>
          <w:divBdr>
            <w:top w:val="none" w:sz="0" w:space="0" w:color="auto"/>
            <w:left w:val="none" w:sz="0" w:space="0" w:color="auto"/>
            <w:bottom w:val="none" w:sz="0" w:space="0" w:color="auto"/>
            <w:right w:val="none" w:sz="0" w:space="0" w:color="auto"/>
          </w:divBdr>
        </w:div>
        <w:div w:id="777604003">
          <w:marLeft w:val="1080"/>
          <w:marRight w:val="0"/>
          <w:marTop w:val="100"/>
          <w:marBottom w:val="0"/>
          <w:divBdr>
            <w:top w:val="none" w:sz="0" w:space="0" w:color="auto"/>
            <w:left w:val="none" w:sz="0" w:space="0" w:color="auto"/>
            <w:bottom w:val="none" w:sz="0" w:space="0" w:color="auto"/>
            <w:right w:val="none" w:sz="0" w:space="0" w:color="auto"/>
          </w:divBdr>
        </w:div>
        <w:div w:id="875310924">
          <w:marLeft w:val="360"/>
          <w:marRight w:val="0"/>
          <w:marTop w:val="200"/>
          <w:marBottom w:val="0"/>
          <w:divBdr>
            <w:top w:val="none" w:sz="0" w:space="0" w:color="auto"/>
            <w:left w:val="none" w:sz="0" w:space="0" w:color="auto"/>
            <w:bottom w:val="none" w:sz="0" w:space="0" w:color="auto"/>
            <w:right w:val="none" w:sz="0" w:space="0" w:color="auto"/>
          </w:divBdr>
        </w:div>
        <w:div w:id="941649706">
          <w:marLeft w:val="360"/>
          <w:marRight w:val="0"/>
          <w:marTop w:val="200"/>
          <w:marBottom w:val="0"/>
          <w:divBdr>
            <w:top w:val="none" w:sz="0" w:space="0" w:color="auto"/>
            <w:left w:val="none" w:sz="0" w:space="0" w:color="auto"/>
            <w:bottom w:val="none" w:sz="0" w:space="0" w:color="auto"/>
            <w:right w:val="none" w:sz="0" w:space="0" w:color="auto"/>
          </w:divBdr>
        </w:div>
        <w:div w:id="1380713966">
          <w:marLeft w:val="1080"/>
          <w:marRight w:val="0"/>
          <w:marTop w:val="200"/>
          <w:marBottom w:val="0"/>
          <w:divBdr>
            <w:top w:val="none" w:sz="0" w:space="0" w:color="auto"/>
            <w:left w:val="none" w:sz="0" w:space="0" w:color="auto"/>
            <w:bottom w:val="none" w:sz="0" w:space="0" w:color="auto"/>
            <w:right w:val="none" w:sz="0" w:space="0" w:color="auto"/>
          </w:divBdr>
        </w:div>
        <w:div w:id="1435975598">
          <w:marLeft w:val="360"/>
          <w:marRight w:val="0"/>
          <w:marTop w:val="200"/>
          <w:marBottom w:val="0"/>
          <w:divBdr>
            <w:top w:val="none" w:sz="0" w:space="0" w:color="auto"/>
            <w:left w:val="none" w:sz="0" w:space="0" w:color="auto"/>
            <w:bottom w:val="none" w:sz="0" w:space="0" w:color="auto"/>
            <w:right w:val="none" w:sz="0" w:space="0" w:color="auto"/>
          </w:divBdr>
        </w:div>
        <w:div w:id="1490828935">
          <w:marLeft w:val="1080"/>
          <w:marRight w:val="0"/>
          <w:marTop w:val="100"/>
          <w:marBottom w:val="0"/>
          <w:divBdr>
            <w:top w:val="none" w:sz="0" w:space="0" w:color="auto"/>
            <w:left w:val="none" w:sz="0" w:space="0" w:color="auto"/>
            <w:bottom w:val="none" w:sz="0" w:space="0" w:color="auto"/>
            <w:right w:val="none" w:sz="0" w:space="0" w:color="auto"/>
          </w:divBdr>
        </w:div>
        <w:div w:id="1886990982">
          <w:marLeft w:val="1080"/>
          <w:marRight w:val="0"/>
          <w:marTop w:val="100"/>
          <w:marBottom w:val="0"/>
          <w:divBdr>
            <w:top w:val="none" w:sz="0" w:space="0" w:color="auto"/>
            <w:left w:val="none" w:sz="0" w:space="0" w:color="auto"/>
            <w:bottom w:val="none" w:sz="0" w:space="0" w:color="auto"/>
            <w:right w:val="none" w:sz="0" w:space="0" w:color="auto"/>
          </w:divBdr>
        </w:div>
        <w:div w:id="2098212880">
          <w:marLeft w:val="360"/>
          <w:marRight w:val="0"/>
          <w:marTop w:val="200"/>
          <w:marBottom w:val="0"/>
          <w:divBdr>
            <w:top w:val="none" w:sz="0" w:space="0" w:color="auto"/>
            <w:left w:val="none" w:sz="0" w:space="0" w:color="auto"/>
            <w:bottom w:val="none" w:sz="0" w:space="0" w:color="auto"/>
            <w:right w:val="none" w:sz="0" w:space="0" w:color="auto"/>
          </w:divBdr>
        </w:div>
        <w:div w:id="2107193195">
          <w:marLeft w:val="1080"/>
          <w:marRight w:val="0"/>
          <w:marTop w:val="100"/>
          <w:marBottom w:val="0"/>
          <w:divBdr>
            <w:top w:val="none" w:sz="0" w:space="0" w:color="auto"/>
            <w:left w:val="none" w:sz="0" w:space="0" w:color="auto"/>
            <w:bottom w:val="none" w:sz="0" w:space="0" w:color="auto"/>
            <w:right w:val="none" w:sz="0" w:space="0" w:color="auto"/>
          </w:divBdr>
        </w:div>
      </w:divsChild>
    </w:div>
    <w:div w:id="1369066880">
      <w:bodyDiv w:val="1"/>
      <w:marLeft w:val="0"/>
      <w:marRight w:val="0"/>
      <w:marTop w:val="0"/>
      <w:marBottom w:val="0"/>
      <w:divBdr>
        <w:top w:val="none" w:sz="0" w:space="0" w:color="auto"/>
        <w:left w:val="none" w:sz="0" w:space="0" w:color="auto"/>
        <w:bottom w:val="none" w:sz="0" w:space="0" w:color="auto"/>
        <w:right w:val="none" w:sz="0" w:space="0" w:color="auto"/>
      </w:divBdr>
      <w:divsChild>
        <w:div w:id="576063711">
          <w:marLeft w:val="547"/>
          <w:marRight w:val="0"/>
          <w:marTop w:val="115"/>
          <w:marBottom w:val="0"/>
          <w:divBdr>
            <w:top w:val="none" w:sz="0" w:space="0" w:color="auto"/>
            <w:left w:val="none" w:sz="0" w:space="0" w:color="auto"/>
            <w:bottom w:val="none" w:sz="0" w:space="0" w:color="auto"/>
            <w:right w:val="none" w:sz="0" w:space="0" w:color="auto"/>
          </w:divBdr>
        </w:div>
        <w:div w:id="1157460313">
          <w:marLeft w:val="547"/>
          <w:marRight w:val="0"/>
          <w:marTop w:val="115"/>
          <w:marBottom w:val="0"/>
          <w:divBdr>
            <w:top w:val="none" w:sz="0" w:space="0" w:color="auto"/>
            <w:left w:val="none" w:sz="0" w:space="0" w:color="auto"/>
            <w:bottom w:val="none" w:sz="0" w:space="0" w:color="auto"/>
            <w:right w:val="none" w:sz="0" w:space="0" w:color="auto"/>
          </w:divBdr>
        </w:div>
        <w:div w:id="1556575911">
          <w:marLeft w:val="547"/>
          <w:marRight w:val="0"/>
          <w:marTop w:val="115"/>
          <w:marBottom w:val="0"/>
          <w:divBdr>
            <w:top w:val="none" w:sz="0" w:space="0" w:color="auto"/>
            <w:left w:val="none" w:sz="0" w:space="0" w:color="auto"/>
            <w:bottom w:val="none" w:sz="0" w:space="0" w:color="auto"/>
            <w:right w:val="none" w:sz="0" w:space="0" w:color="auto"/>
          </w:divBdr>
        </w:div>
        <w:div w:id="2004815124">
          <w:marLeft w:val="547"/>
          <w:marRight w:val="0"/>
          <w:marTop w:val="115"/>
          <w:marBottom w:val="0"/>
          <w:divBdr>
            <w:top w:val="none" w:sz="0" w:space="0" w:color="auto"/>
            <w:left w:val="none" w:sz="0" w:space="0" w:color="auto"/>
            <w:bottom w:val="none" w:sz="0" w:space="0" w:color="auto"/>
            <w:right w:val="none" w:sz="0" w:space="0" w:color="auto"/>
          </w:divBdr>
        </w:div>
      </w:divsChild>
    </w:div>
    <w:div w:id="1370256081">
      <w:bodyDiv w:val="1"/>
      <w:marLeft w:val="0"/>
      <w:marRight w:val="0"/>
      <w:marTop w:val="0"/>
      <w:marBottom w:val="0"/>
      <w:divBdr>
        <w:top w:val="none" w:sz="0" w:space="0" w:color="auto"/>
        <w:left w:val="none" w:sz="0" w:space="0" w:color="auto"/>
        <w:bottom w:val="none" w:sz="0" w:space="0" w:color="auto"/>
        <w:right w:val="none" w:sz="0" w:space="0" w:color="auto"/>
      </w:divBdr>
    </w:div>
    <w:div w:id="1370379457">
      <w:bodyDiv w:val="1"/>
      <w:marLeft w:val="0"/>
      <w:marRight w:val="0"/>
      <w:marTop w:val="0"/>
      <w:marBottom w:val="0"/>
      <w:divBdr>
        <w:top w:val="none" w:sz="0" w:space="0" w:color="auto"/>
        <w:left w:val="none" w:sz="0" w:space="0" w:color="auto"/>
        <w:bottom w:val="none" w:sz="0" w:space="0" w:color="auto"/>
        <w:right w:val="none" w:sz="0" w:space="0" w:color="auto"/>
      </w:divBdr>
    </w:div>
    <w:div w:id="1370380335">
      <w:bodyDiv w:val="1"/>
      <w:marLeft w:val="0"/>
      <w:marRight w:val="0"/>
      <w:marTop w:val="0"/>
      <w:marBottom w:val="0"/>
      <w:divBdr>
        <w:top w:val="none" w:sz="0" w:space="0" w:color="auto"/>
        <w:left w:val="none" w:sz="0" w:space="0" w:color="auto"/>
        <w:bottom w:val="none" w:sz="0" w:space="0" w:color="auto"/>
        <w:right w:val="none" w:sz="0" w:space="0" w:color="auto"/>
      </w:divBdr>
    </w:div>
    <w:div w:id="1370758731">
      <w:bodyDiv w:val="1"/>
      <w:marLeft w:val="0"/>
      <w:marRight w:val="0"/>
      <w:marTop w:val="0"/>
      <w:marBottom w:val="0"/>
      <w:divBdr>
        <w:top w:val="none" w:sz="0" w:space="0" w:color="auto"/>
        <w:left w:val="none" w:sz="0" w:space="0" w:color="auto"/>
        <w:bottom w:val="none" w:sz="0" w:space="0" w:color="auto"/>
        <w:right w:val="none" w:sz="0" w:space="0" w:color="auto"/>
      </w:divBdr>
    </w:div>
    <w:div w:id="1370840120">
      <w:bodyDiv w:val="1"/>
      <w:marLeft w:val="0"/>
      <w:marRight w:val="0"/>
      <w:marTop w:val="0"/>
      <w:marBottom w:val="0"/>
      <w:divBdr>
        <w:top w:val="none" w:sz="0" w:space="0" w:color="auto"/>
        <w:left w:val="none" w:sz="0" w:space="0" w:color="auto"/>
        <w:bottom w:val="none" w:sz="0" w:space="0" w:color="auto"/>
        <w:right w:val="none" w:sz="0" w:space="0" w:color="auto"/>
      </w:divBdr>
    </w:div>
    <w:div w:id="1370912027">
      <w:bodyDiv w:val="1"/>
      <w:marLeft w:val="0"/>
      <w:marRight w:val="0"/>
      <w:marTop w:val="0"/>
      <w:marBottom w:val="0"/>
      <w:divBdr>
        <w:top w:val="none" w:sz="0" w:space="0" w:color="auto"/>
        <w:left w:val="none" w:sz="0" w:space="0" w:color="auto"/>
        <w:bottom w:val="none" w:sz="0" w:space="0" w:color="auto"/>
        <w:right w:val="none" w:sz="0" w:space="0" w:color="auto"/>
      </w:divBdr>
    </w:div>
    <w:div w:id="1371953604">
      <w:bodyDiv w:val="1"/>
      <w:marLeft w:val="0"/>
      <w:marRight w:val="0"/>
      <w:marTop w:val="0"/>
      <w:marBottom w:val="0"/>
      <w:divBdr>
        <w:top w:val="none" w:sz="0" w:space="0" w:color="auto"/>
        <w:left w:val="none" w:sz="0" w:space="0" w:color="auto"/>
        <w:bottom w:val="none" w:sz="0" w:space="0" w:color="auto"/>
        <w:right w:val="none" w:sz="0" w:space="0" w:color="auto"/>
      </w:divBdr>
    </w:div>
    <w:div w:id="1372220196">
      <w:bodyDiv w:val="1"/>
      <w:marLeft w:val="0"/>
      <w:marRight w:val="0"/>
      <w:marTop w:val="0"/>
      <w:marBottom w:val="0"/>
      <w:divBdr>
        <w:top w:val="none" w:sz="0" w:space="0" w:color="auto"/>
        <w:left w:val="none" w:sz="0" w:space="0" w:color="auto"/>
        <w:bottom w:val="none" w:sz="0" w:space="0" w:color="auto"/>
        <w:right w:val="none" w:sz="0" w:space="0" w:color="auto"/>
      </w:divBdr>
    </w:div>
    <w:div w:id="1373074404">
      <w:bodyDiv w:val="1"/>
      <w:marLeft w:val="0"/>
      <w:marRight w:val="0"/>
      <w:marTop w:val="0"/>
      <w:marBottom w:val="0"/>
      <w:divBdr>
        <w:top w:val="none" w:sz="0" w:space="0" w:color="auto"/>
        <w:left w:val="none" w:sz="0" w:space="0" w:color="auto"/>
        <w:bottom w:val="none" w:sz="0" w:space="0" w:color="auto"/>
        <w:right w:val="none" w:sz="0" w:space="0" w:color="auto"/>
      </w:divBdr>
    </w:div>
    <w:div w:id="1373113123">
      <w:bodyDiv w:val="1"/>
      <w:marLeft w:val="0"/>
      <w:marRight w:val="0"/>
      <w:marTop w:val="0"/>
      <w:marBottom w:val="0"/>
      <w:divBdr>
        <w:top w:val="none" w:sz="0" w:space="0" w:color="auto"/>
        <w:left w:val="none" w:sz="0" w:space="0" w:color="auto"/>
        <w:bottom w:val="none" w:sz="0" w:space="0" w:color="auto"/>
        <w:right w:val="none" w:sz="0" w:space="0" w:color="auto"/>
      </w:divBdr>
    </w:div>
    <w:div w:id="1373535873">
      <w:bodyDiv w:val="1"/>
      <w:marLeft w:val="0"/>
      <w:marRight w:val="0"/>
      <w:marTop w:val="0"/>
      <w:marBottom w:val="0"/>
      <w:divBdr>
        <w:top w:val="none" w:sz="0" w:space="0" w:color="auto"/>
        <w:left w:val="none" w:sz="0" w:space="0" w:color="auto"/>
        <w:bottom w:val="none" w:sz="0" w:space="0" w:color="auto"/>
        <w:right w:val="none" w:sz="0" w:space="0" w:color="auto"/>
      </w:divBdr>
      <w:divsChild>
        <w:div w:id="552814909">
          <w:marLeft w:val="547"/>
          <w:marRight w:val="0"/>
          <w:marTop w:val="115"/>
          <w:marBottom w:val="0"/>
          <w:divBdr>
            <w:top w:val="none" w:sz="0" w:space="0" w:color="auto"/>
            <w:left w:val="none" w:sz="0" w:space="0" w:color="auto"/>
            <w:bottom w:val="none" w:sz="0" w:space="0" w:color="auto"/>
            <w:right w:val="none" w:sz="0" w:space="0" w:color="auto"/>
          </w:divBdr>
        </w:div>
      </w:divsChild>
    </w:div>
    <w:div w:id="1373765741">
      <w:bodyDiv w:val="1"/>
      <w:marLeft w:val="0"/>
      <w:marRight w:val="0"/>
      <w:marTop w:val="0"/>
      <w:marBottom w:val="0"/>
      <w:divBdr>
        <w:top w:val="none" w:sz="0" w:space="0" w:color="auto"/>
        <w:left w:val="none" w:sz="0" w:space="0" w:color="auto"/>
        <w:bottom w:val="none" w:sz="0" w:space="0" w:color="auto"/>
        <w:right w:val="none" w:sz="0" w:space="0" w:color="auto"/>
      </w:divBdr>
    </w:div>
    <w:div w:id="1374114450">
      <w:bodyDiv w:val="1"/>
      <w:marLeft w:val="0"/>
      <w:marRight w:val="0"/>
      <w:marTop w:val="0"/>
      <w:marBottom w:val="0"/>
      <w:divBdr>
        <w:top w:val="none" w:sz="0" w:space="0" w:color="auto"/>
        <w:left w:val="none" w:sz="0" w:space="0" w:color="auto"/>
        <w:bottom w:val="none" w:sz="0" w:space="0" w:color="auto"/>
        <w:right w:val="none" w:sz="0" w:space="0" w:color="auto"/>
      </w:divBdr>
    </w:div>
    <w:div w:id="1374227597">
      <w:bodyDiv w:val="1"/>
      <w:marLeft w:val="0"/>
      <w:marRight w:val="0"/>
      <w:marTop w:val="0"/>
      <w:marBottom w:val="0"/>
      <w:divBdr>
        <w:top w:val="none" w:sz="0" w:space="0" w:color="auto"/>
        <w:left w:val="none" w:sz="0" w:space="0" w:color="auto"/>
        <w:bottom w:val="none" w:sz="0" w:space="0" w:color="auto"/>
        <w:right w:val="none" w:sz="0" w:space="0" w:color="auto"/>
      </w:divBdr>
    </w:div>
    <w:div w:id="1375693082">
      <w:bodyDiv w:val="1"/>
      <w:marLeft w:val="0"/>
      <w:marRight w:val="0"/>
      <w:marTop w:val="0"/>
      <w:marBottom w:val="0"/>
      <w:divBdr>
        <w:top w:val="none" w:sz="0" w:space="0" w:color="auto"/>
        <w:left w:val="none" w:sz="0" w:space="0" w:color="auto"/>
        <w:bottom w:val="none" w:sz="0" w:space="0" w:color="auto"/>
        <w:right w:val="none" w:sz="0" w:space="0" w:color="auto"/>
      </w:divBdr>
    </w:div>
    <w:div w:id="1376080156">
      <w:bodyDiv w:val="1"/>
      <w:marLeft w:val="0"/>
      <w:marRight w:val="0"/>
      <w:marTop w:val="0"/>
      <w:marBottom w:val="0"/>
      <w:divBdr>
        <w:top w:val="none" w:sz="0" w:space="0" w:color="auto"/>
        <w:left w:val="none" w:sz="0" w:space="0" w:color="auto"/>
        <w:bottom w:val="none" w:sz="0" w:space="0" w:color="auto"/>
        <w:right w:val="none" w:sz="0" w:space="0" w:color="auto"/>
      </w:divBdr>
    </w:div>
    <w:div w:id="1376199857">
      <w:bodyDiv w:val="1"/>
      <w:marLeft w:val="0"/>
      <w:marRight w:val="0"/>
      <w:marTop w:val="0"/>
      <w:marBottom w:val="0"/>
      <w:divBdr>
        <w:top w:val="none" w:sz="0" w:space="0" w:color="auto"/>
        <w:left w:val="none" w:sz="0" w:space="0" w:color="auto"/>
        <w:bottom w:val="none" w:sz="0" w:space="0" w:color="auto"/>
        <w:right w:val="none" w:sz="0" w:space="0" w:color="auto"/>
      </w:divBdr>
    </w:div>
    <w:div w:id="1376924867">
      <w:bodyDiv w:val="1"/>
      <w:marLeft w:val="0"/>
      <w:marRight w:val="0"/>
      <w:marTop w:val="0"/>
      <w:marBottom w:val="0"/>
      <w:divBdr>
        <w:top w:val="none" w:sz="0" w:space="0" w:color="auto"/>
        <w:left w:val="none" w:sz="0" w:space="0" w:color="auto"/>
        <w:bottom w:val="none" w:sz="0" w:space="0" w:color="auto"/>
        <w:right w:val="none" w:sz="0" w:space="0" w:color="auto"/>
      </w:divBdr>
    </w:div>
    <w:div w:id="1377050221">
      <w:bodyDiv w:val="1"/>
      <w:marLeft w:val="0"/>
      <w:marRight w:val="0"/>
      <w:marTop w:val="0"/>
      <w:marBottom w:val="0"/>
      <w:divBdr>
        <w:top w:val="none" w:sz="0" w:space="0" w:color="auto"/>
        <w:left w:val="none" w:sz="0" w:space="0" w:color="auto"/>
        <w:bottom w:val="none" w:sz="0" w:space="0" w:color="auto"/>
        <w:right w:val="none" w:sz="0" w:space="0" w:color="auto"/>
      </w:divBdr>
    </w:div>
    <w:div w:id="1377193726">
      <w:bodyDiv w:val="1"/>
      <w:marLeft w:val="0"/>
      <w:marRight w:val="0"/>
      <w:marTop w:val="0"/>
      <w:marBottom w:val="0"/>
      <w:divBdr>
        <w:top w:val="none" w:sz="0" w:space="0" w:color="auto"/>
        <w:left w:val="none" w:sz="0" w:space="0" w:color="auto"/>
        <w:bottom w:val="none" w:sz="0" w:space="0" w:color="auto"/>
        <w:right w:val="none" w:sz="0" w:space="0" w:color="auto"/>
      </w:divBdr>
    </w:div>
    <w:div w:id="1377243361">
      <w:bodyDiv w:val="1"/>
      <w:marLeft w:val="0"/>
      <w:marRight w:val="0"/>
      <w:marTop w:val="0"/>
      <w:marBottom w:val="0"/>
      <w:divBdr>
        <w:top w:val="none" w:sz="0" w:space="0" w:color="auto"/>
        <w:left w:val="none" w:sz="0" w:space="0" w:color="auto"/>
        <w:bottom w:val="none" w:sz="0" w:space="0" w:color="auto"/>
        <w:right w:val="none" w:sz="0" w:space="0" w:color="auto"/>
      </w:divBdr>
    </w:div>
    <w:div w:id="1377316815">
      <w:bodyDiv w:val="1"/>
      <w:marLeft w:val="0"/>
      <w:marRight w:val="0"/>
      <w:marTop w:val="0"/>
      <w:marBottom w:val="0"/>
      <w:divBdr>
        <w:top w:val="none" w:sz="0" w:space="0" w:color="auto"/>
        <w:left w:val="none" w:sz="0" w:space="0" w:color="auto"/>
        <w:bottom w:val="none" w:sz="0" w:space="0" w:color="auto"/>
        <w:right w:val="none" w:sz="0" w:space="0" w:color="auto"/>
      </w:divBdr>
    </w:div>
    <w:div w:id="1377386046">
      <w:bodyDiv w:val="1"/>
      <w:marLeft w:val="0"/>
      <w:marRight w:val="0"/>
      <w:marTop w:val="0"/>
      <w:marBottom w:val="0"/>
      <w:divBdr>
        <w:top w:val="none" w:sz="0" w:space="0" w:color="auto"/>
        <w:left w:val="none" w:sz="0" w:space="0" w:color="auto"/>
        <w:bottom w:val="none" w:sz="0" w:space="0" w:color="auto"/>
        <w:right w:val="none" w:sz="0" w:space="0" w:color="auto"/>
      </w:divBdr>
    </w:div>
    <w:div w:id="1377437686">
      <w:bodyDiv w:val="1"/>
      <w:marLeft w:val="0"/>
      <w:marRight w:val="0"/>
      <w:marTop w:val="0"/>
      <w:marBottom w:val="0"/>
      <w:divBdr>
        <w:top w:val="none" w:sz="0" w:space="0" w:color="auto"/>
        <w:left w:val="none" w:sz="0" w:space="0" w:color="auto"/>
        <w:bottom w:val="none" w:sz="0" w:space="0" w:color="auto"/>
        <w:right w:val="none" w:sz="0" w:space="0" w:color="auto"/>
      </w:divBdr>
    </w:div>
    <w:div w:id="1380206264">
      <w:bodyDiv w:val="1"/>
      <w:marLeft w:val="0"/>
      <w:marRight w:val="0"/>
      <w:marTop w:val="0"/>
      <w:marBottom w:val="0"/>
      <w:divBdr>
        <w:top w:val="none" w:sz="0" w:space="0" w:color="auto"/>
        <w:left w:val="none" w:sz="0" w:space="0" w:color="auto"/>
        <w:bottom w:val="none" w:sz="0" w:space="0" w:color="auto"/>
        <w:right w:val="none" w:sz="0" w:space="0" w:color="auto"/>
      </w:divBdr>
    </w:div>
    <w:div w:id="1381519828">
      <w:bodyDiv w:val="1"/>
      <w:marLeft w:val="0"/>
      <w:marRight w:val="0"/>
      <w:marTop w:val="0"/>
      <w:marBottom w:val="0"/>
      <w:divBdr>
        <w:top w:val="none" w:sz="0" w:space="0" w:color="auto"/>
        <w:left w:val="none" w:sz="0" w:space="0" w:color="auto"/>
        <w:bottom w:val="none" w:sz="0" w:space="0" w:color="auto"/>
        <w:right w:val="none" w:sz="0" w:space="0" w:color="auto"/>
      </w:divBdr>
      <w:divsChild>
        <w:div w:id="1575355388">
          <w:marLeft w:val="0"/>
          <w:marRight w:val="0"/>
          <w:marTop w:val="0"/>
          <w:marBottom w:val="0"/>
          <w:divBdr>
            <w:top w:val="none" w:sz="0" w:space="0" w:color="auto"/>
            <w:left w:val="none" w:sz="0" w:space="0" w:color="auto"/>
            <w:bottom w:val="none" w:sz="0" w:space="0" w:color="auto"/>
            <w:right w:val="none" w:sz="0" w:space="0" w:color="auto"/>
          </w:divBdr>
        </w:div>
      </w:divsChild>
    </w:div>
    <w:div w:id="1381829183">
      <w:bodyDiv w:val="1"/>
      <w:marLeft w:val="0"/>
      <w:marRight w:val="0"/>
      <w:marTop w:val="0"/>
      <w:marBottom w:val="0"/>
      <w:divBdr>
        <w:top w:val="none" w:sz="0" w:space="0" w:color="auto"/>
        <w:left w:val="none" w:sz="0" w:space="0" w:color="auto"/>
        <w:bottom w:val="none" w:sz="0" w:space="0" w:color="auto"/>
        <w:right w:val="none" w:sz="0" w:space="0" w:color="auto"/>
      </w:divBdr>
      <w:divsChild>
        <w:div w:id="36398453">
          <w:marLeft w:val="2520"/>
          <w:marRight w:val="0"/>
          <w:marTop w:val="100"/>
          <w:marBottom w:val="0"/>
          <w:divBdr>
            <w:top w:val="none" w:sz="0" w:space="0" w:color="auto"/>
            <w:left w:val="none" w:sz="0" w:space="0" w:color="auto"/>
            <w:bottom w:val="none" w:sz="0" w:space="0" w:color="auto"/>
            <w:right w:val="none" w:sz="0" w:space="0" w:color="auto"/>
          </w:divBdr>
        </w:div>
        <w:div w:id="220597524">
          <w:marLeft w:val="2520"/>
          <w:marRight w:val="0"/>
          <w:marTop w:val="100"/>
          <w:marBottom w:val="0"/>
          <w:divBdr>
            <w:top w:val="none" w:sz="0" w:space="0" w:color="auto"/>
            <w:left w:val="none" w:sz="0" w:space="0" w:color="auto"/>
            <w:bottom w:val="none" w:sz="0" w:space="0" w:color="auto"/>
            <w:right w:val="none" w:sz="0" w:space="0" w:color="auto"/>
          </w:divBdr>
        </w:div>
        <w:div w:id="223761799">
          <w:marLeft w:val="1080"/>
          <w:marRight w:val="0"/>
          <w:marTop w:val="100"/>
          <w:marBottom w:val="0"/>
          <w:divBdr>
            <w:top w:val="none" w:sz="0" w:space="0" w:color="auto"/>
            <w:left w:val="none" w:sz="0" w:space="0" w:color="auto"/>
            <w:bottom w:val="none" w:sz="0" w:space="0" w:color="auto"/>
            <w:right w:val="none" w:sz="0" w:space="0" w:color="auto"/>
          </w:divBdr>
        </w:div>
        <w:div w:id="404838621">
          <w:marLeft w:val="1080"/>
          <w:marRight w:val="0"/>
          <w:marTop w:val="100"/>
          <w:marBottom w:val="0"/>
          <w:divBdr>
            <w:top w:val="none" w:sz="0" w:space="0" w:color="auto"/>
            <w:left w:val="none" w:sz="0" w:space="0" w:color="auto"/>
            <w:bottom w:val="none" w:sz="0" w:space="0" w:color="auto"/>
            <w:right w:val="none" w:sz="0" w:space="0" w:color="auto"/>
          </w:divBdr>
        </w:div>
        <w:div w:id="433550537">
          <w:marLeft w:val="1080"/>
          <w:marRight w:val="0"/>
          <w:marTop w:val="100"/>
          <w:marBottom w:val="0"/>
          <w:divBdr>
            <w:top w:val="none" w:sz="0" w:space="0" w:color="auto"/>
            <w:left w:val="none" w:sz="0" w:space="0" w:color="auto"/>
            <w:bottom w:val="none" w:sz="0" w:space="0" w:color="auto"/>
            <w:right w:val="none" w:sz="0" w:space="0" w:color="auto"/>
          </w:divBdr>
        </w:div>
        <w:div w:id="480275534">
          <w:marLeft w:val="3960"/>
          <w:marRight w:val="0"/>
          <w:marTop w:val="100"/>
          <w:marBottom w:val="0"/>
          <w:divBdr>
            <w:top w:val="none" w:sz="0" w:space="0" w:color="auto"/>
            <w:left w:val="none" w:sz="0" w:space="0" w:color="auto"/>
            <w:bottom w:val="none" w:sz="0" w:space="0" w:color="auto"/>
            <w:right w:val="none" w:sz="0" w:space="0" w:color="auto"/>
          </w:divBdr>
        </w:div>
        <w:div w:id="638726596">
          <w:marLeft w:val="1800"/>
          <w:marRight w:val="0"/>
          <w:marTop w:val="100"/>
          <w:marBottom w:val="0"/>
          <w:divBdr>
            <w:top w:val="none" w:sz="0" w:space="0" w:color="auto"/>
            <w:left w:val="none" w:sz="0" w:space="0" w:color="auto"/>
            <w:bottom w:val="none" w:sz="0" w:space="0" w:color="auto"/>
            <w:right w:val="none" w:sz="0" w:space="0" w:color="auto"/>
          </w:divBdr>
        </w:div>
        <w:div w:id="952588237">
          <w:marLeft w:val="3960"/>
          <w:marRight w:val="0"/>
          <w:marTop w:val="100"/>
          <w:marBottom w:val="0"/>
          <w:divBdr>
            <w:top w:val="none" w:sz="0" w:space="0" w:color="auto"/>
            <w:left w:val="none" w:sz="0" w:space="0" w:color="auto"/>
            <w:bottom w:val="none" w:sz="0" w:space="0" w:color="auto"/>
            <w:right w:val="none" w:sz="0" w:space="0" w:color="auto"/>
          </w:divBdr>
        </w:div>
        <w:div w:id="1095057308">
          <w:marLeft w:val="1800"/>
          <w:marRight w:val="0"/>
          <w:marTop w:val="100"/>
          <w:marBottom w:val="0"/>
          <w:divBdr>
            <w:top w:val="none" w:sz="0" w:space="0" w:color="auto"/>
            <w:left w:val="none" w:sz="0" w:space="0" w:color="auto"/>
            <w:bottom w:val="none" w:sz="0" w:space="0" w:color="auto"/>
            <w:right w:val="none" w:sz="0" w:space="0" w:color="auto"/>
          </w:divBdr>
        </w:div>
        <w:div w:id="1145587007">
          <w:marLeft w:val="3240"/>
          <w:marRight w:val="0"/>
          <w:marTop w:val="100"/>
          <w:marBottom w:val="0"/>
          <w:divBdr>
            <w:top w:val="none" w:sz="0" w:space="0" w:color="auto"/>
            <w:left w:val="none" w:sz="0" w:space="0" w:color="auto"/>
            <w:bottom w:val="none" w:sz="0" w:space="0" w:color="auto"/>
            <w:right w:val="none" w:sz="0" w:space="0" w:color="auto"/>
          </w:divBdr>
        </w:div>
        <w:div w:id="1365594076">
          <w:marLeft w:val="3240"/>
          <w:marRight w:val="0"/>
          <w:marTop w:val="100"/>
          <w:marBottom w:val="0"/>
          <w:divBdr>
            <w:top w:val="none" w:sz="0" w:space="0" w:color="auto"/>
            <w:left w:val="none" w:sz="0" w:space="0" w:color="auto"/>
            <w:bottom w:val="none" w:sz="0" w:space="0" w:color="auto"/>
            <w:right w:val="none" w:sz="0" w:space="0" w:color="auto"/>
          </w:divBdr>
        </w:div>
        <w:div w:id="1613439432">
          <w:marLeft w:val="1800"/>
          <w:marRight w:val="0"/>
          <w:marTop w:val="100"/>
          <w:marBottom w:val="0"/>
          <w:divBdr>
            <w:top w:val="none" w:sz="0" w:space="0" w:color="auto"/>
            <w:left w:val="none" w:sz="0" w:space="0" w:color="auto"/>
            <w:bottom w:val="none" w:sz="0" w:space="0" w:color="auto"/>
            <w:right w:val="none" w:sz="0" w:space="0" w:color="auto"/>
          </w:divBdr>
        </w:div>
        <w:div w:id="1905219921">
          <w:marLeft w:val="2520"/>
          <w:marRight w:val="0"/>
          <w:marTop w:val="100"/>
          <w:marBottom w:val="0"/>
          <w:divBdr>
            <w:top w:val="none" w:sz="0" w:space="0" w:color="auto"/>
            <w:left w:val="none" w:sz="0" w:space="0" w:color="auto"/>
            <w:bottom w:val="none" w:sz="0" w:space="0" w:color="auto"/>
            <w:right w:val="none" w:sz="0" w:space="0" w:color="auto"/>
          </w:divBdr>
        </w:div>
        <w:div w:id="1990285053">
          <w:marLeft w:val="360"/>
          <w:marRight w:val="0"/>
          <w:marTop w:val="200"/>
          <w:marBottom w:val="0"/>
          <w:divBdr>
            <w:top w:val="none" w:sz="0" w:space="0" w:color="auto"/>
            <w:left w:val="none" w:sz="0" w:space="0" w:color="auto"/>
            <w:bottom w:val="none" w:sz="0" w:space="0" w:color="auto"/>
            <w:right w:val="none" w:sz="0" w:space="0" w:color="auto"/>
          </w:divBdr>
        </w:div>
      </w:divsChild>
    </w:div>
    <w:div w:id="1382243005">
      <w:bodyDiv w:val="1"/>
      <w:marLeft w:val="0"/>
      <w:marRight w:val="0"/>
      <w:marTop w:val="0"/>
      <w:marBottom w:val="0"/>
      <w:divBdr>
        <w:top w:val="none" w:sz="0" w:space="0" w:color="auto"/>
        <w:left w:val="none" w:sz="0" w:space="0" w:color="auto"/>
        <w:bottom w:val="none" w:sz="0" w:space="0" w:color="auto"/>
        <w:right w:val="none" w:sz="0" w:space="0" w:color="auto"/>
      </w:divBdr>
      <w:divsChild>
        <w:div w:id="99034317">
          <w:marLeft w:val="0"/>
          <w:marRight w:val="0"/>
          <w:marTop w:val="0"/>
          <w:marBottom w:val="0"/>
          <w:divBdr>
            <w:top w:val="none" w:sz="0" w:space="0" w:color="auto"/>
            <w:left w:val="none" w:sz="0" w:space="0" w:color="auto"/>
            <w:bottom w:val="none" w:sz="0" w:space="0" w:color="auto"/>
            <w:right w:val="none" w:sz="0" w:space="0" w:color="auto"/>
          </w:divBdr>
          <w:divsChild>
            <w:div w:id="819268310">
              <w:marLeft w:val="0"/>
              <w:marRight w:val="0"/>
              <w:marTop w:val="0"/>
              <w:marBottom w:val="0"/>
              <w:divBdr>
                <w:top w:val="none" w:sz="0" w:space="0" w:color="auto"/>
                <w:left w:val="none" w:sz="0" w:space="0" w:color="auto"/>
                <w:bottom w:val="none" w:sz="0" w:space="0" w:color="auto"/>
                <w:right w:val="none" w:sz="0" w:space="0" w:color="auto"/>
              </w:divBdr>
            </w:div>
            <w:div w:id="8526904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82755093">
      <w:bodyDiv w:val="1"/>
      <w:marLeft w:val="0"/>
      <w:marRight w:val="0"/>
      <w:marTop w:val="0"/>
      <w:marBottom w:val="0"/>
      <w:divBdr>
        <w:top w:val="none" w:sz="0" w:space="0" w:color="auto"/>
        <w:left w:val="none" w:sz="0" w:space="0" w:color="auto"/>
        <w:bottom w:val="none" w:sz="0" w:space="0" w:color="auto"/>
        <w:right w:val="none" w:sz="0" w:space="0" w:color="auto"/>
      </w:divBdr>
    </w:div>
    <w:div w:id="1383484550">
      <w:bodyDiv w:val="1"/>
      <w:marLeft w:val="0"/>
      <w:marRight w:val="0"/>
      <w:marTop w:val="0"/>
      <w:marBottom w:val="0"/>
      <w:divBdr>
        <w:top w:val="none" w:sz="0" w:space="0" w:color="auto"/>
        <w:left w:val="none" w:sz="0" w:space="0" w:color="auto"/>
        <w:bottom w:val="none" w:sz="0" w:space="0" w:color="auto"/>
        <w:right w:val="none" w:sz="0" w:space="0" w:color="auto"/>
      </w:divBdr>
      <w:divsChild>
        <w:div w:id="410011406">
          <w:marLeft w:val="1166"/>
          <w:marRight w:val="0"/>
          <w:marTop w:val="86"/>
          <w:marBottom w:val="0"/>
          <w:divBdr>
            <w:top w:val="none" w:sz="0" w:space="0" w:color="auto"/>
            <w:left w:val="none" w:sz="0" w:space="0" w:color="auto"/>
            <w:bottom w:val="none" w:sz="0" w:space="0" w:color="auto"/>
            <w:right w:val="none" w:sz="0" w:space="0" w:color="auto"/>
          </w:divBdr>
        </w:div>
        <w:div w:id="556862467">
          <w:marLeft w:val="1166"/>
          <w:marRight w:val="0"/>
          <w:marTop w:val="86"/>
          <w:marBottom w:val="0"/>
          <w:divBdr>
            <w:top w:val="none" w:sz="0" w:space="0" w:color="auto"/>
            <w:left w:val="none" w:sz="0" w:space="0" w:color="auto"/>
            <w:bottom w:val="none" w:sz="0" w:space="0" w:color="auto"/>
            <w:right w:val="none" w:sz="0" w:space="0" w:color="auto"/>
          </w:divBdr>
        </w:div>
        <w:div w:id="674187821">
          <w:marLeft w:val="1166"/>
          <w:marRight w:val="0"/>
          <w:marTop w:val="86"/>
          <w:marBottom w:val="0"/>
          <w:divBdr>
            <w:top w:val="none" w:sz="0" w:space="0" w:color="auto"/>
            <w:left w:val="none" w:sz="0" w:space="0" w:color="auto"/>
            <w:bottom w:val="none" w:sz="0" w:space="0" w:color="auto"/>
            <w:right w:val="none" w:sz="0" w:space="0" w:color="auto"/>
          </w:divBdr>
        </w:div>
        <w:div w:id="870654454">
          <w:marLeft w:val="1166"/>
          <w:marRight w:val="0"/>
          <w:marTop w:val="86"/>
          <w:marBottom w:val="0"/>
          <w:divBdr>
            <w:top w:val="none" w:sz="0" w:space="0" w:color="auto"/>
            <w:left w:val="none" w:sz="0" w:space="0" w:color="auto"/>
            <w:bottom w:val="none" w:sz="0" w:space="0" w:color="auto"/>
            <w:right w:val="none" w:sz="0" w:space="0" w:color="auto"/>
          </w:divBdr>
        </w:div>
        <w:div w:id="1029255223">
          <w:marLeft w:val="547"/>
          <w:marRight w:val="0"/>
          <w:marTop w:val="96"/>
          <w:marBottom w:val="0"/>
          <w:divBdr>
            <w:top w:val="none" w:sz="0" w:space="0" w:color="auto"/>
            <w:left w:val="none" w:sz="0" w:space="0" w:color="auto"/>
            <w:bottom w:val="none" w:sz="0" w:space="0" w:color="auto"/>
            <w:right w:val="none" w:sz="0" w:space="0" w:color="auto"/>
          </w:divBdr>
        </w:div>
        <w:div w:id="1501120779">
          <w:marLeft w:val="1166"/>
          <w:marRight w:val="0"/>
          <w:marTop w:val="86"/>
          <w:marBottom w:val="0"/>
          <w:divBdr>
            <w:top w:val="none" w:sz="0" w:space="0" w:color="auto"/>
            <w:left w:val="none" w:sz="0" w:space="0" w:color="auto"/>
            <w:bottom w:val="none" w:sz="0" w:space="0" w:color="auto"/>
            <w:right w:val="none" w:sz="0" w:space="0" w:color="auto"/>
          </w:divBdr>
        </w:div>
        <w:div w:id="1541866107">
          <w:marLeft w:val="547"/>
          <w:marRight w:val="0"/>
          <w:marTop w:val="96"/>
          <w:marBottom w:val="0"/>
          <w:divBdr>
            <w:top w:val="none" w:sz="0" w:space="0" w:color="auto"/>
            <w:left w:val="none" w:sz="0" w:space="0" w:color="auto"/>
            <w:bottom w:val="none" w:sz="0" w:space="0" w:color="auto"/>
            <w:right w:val="none" w:sz="0" w:space="0" w:color="auto"/>
          </w:divBdr>
        </w:div>
        <w:div w:id="1569460528">
          <w:marLeft w:val="1166"/>
          <w:marRight w:val="0"/>
          <w:marTop w:val="86"/>
          <w:marBottom w:val="0"/>
          <w:divBdr>
            <w:top w:val="none" w:sz="0" w:space="0" w:color="auto"/>
            <w:left w:val="none" w:sz="0" w:space="0" w:color="auto"/>
            <w:bottom w:val="none" w:sz="0" w:space="0" w:color="auto"/>
            <w:right w:val="none" w:sz="0" w:space="0" w:color="auto"/>
          </w:divBdr>
        </w:div>
        <w:div w:id="1984692541">
          <w:marLeft w:val="547"/>
          <w:marRight w:val="0"/>
          <w:marTop w:val="96"/>
          <w:marBottom w:val="0"/>
          <w:divBdr>
            <w:top w:val="none" w:sz="0" w:space="0" w:color="auto"/>
            <w:left w:val="none" w:sz="0" w:space="0" w:color="auto"/>
            <w:bottom w:val="none" w:sz="0" w:space="0" w:color="auto"/>
            <w:right w:val="none" w:sz="0" w:space="0" w:color="auto"/>
          </w:divBdr>
        </w:div>
        <w:div w:id="2114207387">
          <w:marLeft w:val="547"/>
          <w:marRight w:val="0"/>
          <w:marTop w:val="96"/>
          <w:marBottom w:val="0"/>
          <w:divBdr>
            <w:top w:val="none" w:sz="0" w:space="0" w:color="auto"/>
            <w:left w:val="none" w:sz="0" w:space="0" w:color="auto"/>
            <w:bottom w:val="none" w:sz="0" w:space="0" w:color="auto"/>
            <w:right w:val="none" w:sz="0" w:space="0" w:color="auto"/>
          </w:divBdr>
        </w:div>
      </w:divsChild>
    </w:div>
    <w:div w:id="1384714459">
      <w:bodyDiv w:val="1"/>
      <w:marLeft w:val="0"/>
      <w:marRight w:val="0"/>
      <w:marTop w:val="0"/>
      <w:marBottom w:val="0"/>
      <w:divBdr>
        <w:top w:val="none" w:sz="0" w:space="0" w:color="auto"/>
        <w:left w:val="none" w:sz="0" w:space="0" w:color="auto"/>
        <w:bottom w:val="none" w:sz="0" w:space="0" w:color="auto"/>
        <w:right w:val="none" w:sz="0" w:space="0" w:color="auto"/>
      </w:divBdr>
      <w:divsChild>
        <w:div w:id="17053563">
          <w:marLeft w:val="1166"/>
          <w:marRight w:val="0"/>
          <w:marTop w:val="96"/>
          <w:marBottom w:val="0"/>
          <w:divBdr>
            <w:top w:val="none" w:sz="0" w:space="0" w:color="auto"/>
            <w:left w:val="none" w:sz="0" w:space="0" w:color="auto"/>
            <w:bottom w:val="none" w:sz="0" w:space="0" w:color="auto"/>
            <w:right w:val="none" w:sz="0" w:space="0" w:color="auto"/>
          </w:divBdr>
        </w:div>
        <w:div w:id="379940380">
          <w:marLeft w:val="1166"/>
          <w:marRight w:val="0"/>
          <w:marTop w:val="96"/>
          <w:marBottom w:val="0"/>
          <w:divBdr>
            <w:top w:val="none" w:sz="0" w:space="0" w:color="auto"/>
            <w:left w:val="none" w:sz="0" w:space="0" w:color="auto"/>
            <w:bottom w:val="none" w:sz="0" w:space="0" w:color="auto"/>
            <w:right w:val="none" w:sz="0" w:space="0" w:color="auto"/>
          </w:divBdr>
        </w:div>
        <w:div w:id="624316818">
          <w:marLeft w:val="547"/>
          <w:marRight w:val="0"/>
          <w:marTop w:val="115"/>
          <w:marBottom w:val="0"/>
          <w:divBdr>
            <w:top w:val="none" w:sz="0" w:space="0" w:color="auto"/>
            <w:left w:val="none" w:sz="0" w:space="0" w:color="auto"/>
            <w:bottom w:val="none" w:sz="0" w:space="0" w:color="auto"/>
            <w:right w:val="none" w:sz="0" w:space="0" w:color="auto"/>
          </w:divBdr>
        </w:div>
        <w:div w:id="1364556451">
          <w:marLeft w:val="547"/>
          <w:marRight w:val="0"/>
          <w:marTop w:val="115"/>
          <w:marBottom w:val="0"/>
          <w:divBdr>
            <w:top w:val="none" w:sz="0" w:space="0" w:color="auto"/>
            <w:left w:val="none" w:sz="0" w:space="0" w:color="auto"/>
            <w:bottom w:val="none" w:sz="0" w:space="0" w:color="auto"/>
            <w:right w:val="none" w:sz="0" w:space="0" w:color="auto"/>
          </w:divBdr>
        </w:div>
      </w:divsChild>
    </w:div>
    <w:div w:id="1384796144">
      <w:bodyDiv w:val="1"/>
      <w:marLeft w:val="0"/>
      <w:marRight w:val="0"/>
      <w:marTop w:val="0"/>
      <w:marBottom w:val="0"/>
      <w:divBdr>
        <w:top w:val="none" w:sz="0" w:space="0" w:color="auto"/>
        <w:left w:val="none" w:sz="0" w:space="0" w:color="auto"/>
        <w:bottom w:val="none" w:sz="0" w:space="0" w:color="auto"/>
        <w:right w:val="none" w:sz="0" w:space="0" w:color="auto"/>
      </w:divBdr>
    </w:div>
    <w:div w:id="1385257575">
      <w:bodyDiv w:val="1"/>
      <w:marLeft w:val="0"/>
      <w:marRight w:val="0"/>
      <w:marTop w:val="0"/>
      <w:marBottom w:val="0"/>
      <w:divBdr>
        <w:top w:val="none" w:sz="0" w:space="0" w:color="auto"/>
        <w:left w:val="none" w:sz="0" w:space="0" w:color="auto"/>
        <w:bottom w:val="none" w:sz="0" w:space="0" w:color="auto"/>
        <w:right w:val="none" w:sz="0" w:space="0" w:color="auto"/>
      </w:divBdr>
    </w:div>
    <w:div w:id="1385565817">
      <w:bodyDiv w:val="1"/>
      <w:marLeft w:val="0"/>
      <w:marRight w:val="0"/>
      <w:marTop w:val="0"/>
      <w:marBottom w:val="0"/>
      <w:divBdr>
        <w:top w:val="none" w:sz="0" w:space="0" w:color="auto"/>
        <w:left w:val="none" w:sz="0" w:space="0" w:color="auto"/>
        <w:bottom w:val="none" w:sz="0" w:space="0" w:color="auto"/>
        <w:right w:val="none" w:sz="0" w:space="0" w:color="auto"/>
      </w:divBdr>
    </w:div>
    <w:div w:id="1385593462">
      <w:bodyDiv w:val="1"/>
      <w:marLeft w:val="0"/>
      <w:marRight w:val="0"/>
      <w:marTop w:val="0"/>
      <w:marBottom w:val="0"/>
      <w:divBdr>
        <w:top w:val="none" w:sz="0" w:space="0" w:color="auto"/>
        <w:left w:val="none" w:sz="0" w:space="0" w:color="auto"/>
        <w:bottom w:val="none" w:sz="0" w:space="0" w:color="auto"/>
        <w:right w:val="none" w:sz="0" w:space="0" w:color="auto"/>
      </w:divBdr>
      <w:divsChild>
        <w:div w:id="975447620">
          <w:marLeft w:val="547"/>
          <w:marRight w:val="0"/>
          <w:marTop w:val="134"/>
          <w:marBottom w:val="0"/>
          <w:divBdr>
            <w:top w:val="none" w:sz="0" w:space="0" w:color="auto"/>
            <w:left w:val="none" w:sz="0" w:space="0" w:color="auto"/>
            <w:bottom w:val="none" w:sz="0" w:space="0" w:color="auto"/>
            <w:right w:val="none" w:sz="0" w:space="0" w:color="auto"/>
          </w:divBdr>
        </w:div>
        <w:div w:id="1937009000">
          <w:marLeft w:val="1166"/>
          <w:marRight w:val="0"/>
          <w:marTop w:val="115"/>
          <w:marBottom w:val="0"/>
          <w:divBdr>
            <w:top w:val="none" w:sz="0" w:space="0" w:color="auto"/>
            <w:left w:val="none" w:sz="0" w:space="0" w:color="auto"/>
            <w:bottom w:val="none" w:sz="0" w:space="0" w:color="auto"/>
            <w:right w:val="none" w:sz="0" w:space="0" w:color="auto"/>
          </w:divBdr>
        </w:div>
      </w:divsChild>
    </w:div>
    <w:div w:id="1385986281">
      <w:bodyDiv w:val="1"/>
      <w:marLeft w:val="0"/>
      <w:marRight w:val="0"/>
      <w:marTop w:val="0"/>
      <w:marBottom w:val="0"/>
      <w:divBdr>
        <w:top w:val="none" w:sz="0" w:space="0" w:color="auto"/>
        <w:left w:val="none" w:sz="0" w:space="0" w:color="auto"/>
        <w:bottom w:val="none" w:sz="0" w:space="0" w:color="auto"/>
        <w:right w:val="none" w:sz="0" w:space="0" w:color="auto"/>
      </w:divBdr>
      <w:divsChild>
        <w:div w:id="424309714">
          <w:marLeft w:val="1166"/>
          <w:marRight w:val="0"/>
          <w:marTop w:val="96"/>
          <w:marBottom w:val="0"/>
          <w:divBdr>
            <w:top w:val="none" w:sz="0" w:space="0" w:color="auto"/>
            <w:left w:val="none" w:sz="0" w:space="0" w:color="auto"/>
            <w:bottom w:val="none" w:sz="0" w:space="0" w:color="auto"/>
            <w:right w:val="none" w:sz="0" w:space="0" w:color="auto"/>
          </w:divBdr>
        </w:div>
        <w:div w:id="700592059">
          <w:marLeft w:val="1800"/>
          <w:marRight w:val="0"/>
          <w:marTop w:val="82"/>
          <w:marBottom w:val="0"/>
          <w:divBdr>
            <w:top w:val="none" w:sz="0" w:space="0" w:color="auto"/>
            <w:left w:val="none" w:sz="0" w:space="0" w:color="auto"/>
            <w:bottom w:val="none" w:sz="0" w:space="0" w:color="auto"/>
            <w:right w:val="none" w:sz="0" w:space="0" w:color="auto"/>
          </w:divBdr>
        </w:div>
        <w:div w:id="854608966">
          <w:marLeft w:val="1166"/>
          <w:marRight w:val="0"/>
          <w:marTop w:val="96"/>
          <w:marBottom w:val="0"/>
          <w:divBdr>
            <w:top w:val="none" w:sz="0" w:space="0" w:color="auto"/>
            <w:left w:val="none" w:sz="0" w:space="0" w:color="auto"/>
            <w:bottom w:val="none" w:sz="0" w:space="0" w:color="auto"/>
            <w:right w:val="none" w:sz="0" w:space="0" w:color="auto"/>
          </w:divBdr>
        </w:div>
        <w:div w:id="992367389">
          <w:marLeft w:val="1166"/>
          <w:marRight w:val="0"/>
          <w:marTop w:val="96"/>
          <w:marBottom w:val="0"/>
          <w:divBdr>
            <w:top w:val="none" w:sz="0" w:space="0" w:color="auto"/>
            <w:left w:val="none" w:sz="0" w:space="0" w:color="auto"/>
            <w:bottom w:val="none" w:sz="0" w:space="0" w:color="auto"/>
            <w:right w:val="none" w:sz="0" w:space="0" w:color="auto"/>
          </w:divBdr>
        </w:div>
        <w:div w:id="1031959085">
          <w:marLeft w:val="1800"/>
          <w:marRight w:val="0"/>
          <w:marTop w:val="82"/>
          <w:marBottom w:val="0"/>
          <w:divBdr>
            <w:top w:val="none" w:sz="0" w:space="0" w:color="auto"/>
            <w:left w:val="none" w:sz="0" w:space="0" w:color="auto"/>
            <w:bottom w:val="none" w:sz="0" w:space="0" w:color="auto"/>
            <w:right w:val="none" w:sz="0" w:space="0" w:color="auto"/>
          </w:divBdr>
        </w:div>
        <w:div w:id="1064261103">
          <w:marLeft w:val="547"/>
          <w:marRight w:val="0"/>
          <w:marTop w:val="106"/>
          <w:marBottom w:val="0"/>
          <w:divBdr>
            <w:top w:val="none" w:sz="0" w:space="0" w:color="auto"/>
            <w:left w:val="none" w:sz="0" w:space="0" w:color="auto"/>
            <w:bottom w:val="none" w:sz="0" w:space="0" w:color="auto"/>
            <w:right w:val="none" w:sz="0" w:space="0" w:color="auto"/>
          </w:divBdr>
        </w:div>
        <w:div w:id="1392578325">
          <w:marLeft w:val="1800"/>
          <w:marRight w:val="0"/>
          <w:marTop w:val="82"/>
          <w:marBottom w:val="0"/>
          <w:divBdr>
            <w:top w:val="none" w:sz="0" w:space="0" w:color="auto"/>
            <w:left w:val="none" w:sz="0" w:space="0" w:color="auto"/>
            <w:bottom w:val="none" w:sz="0" w:space="0" w:color="auto"/>
            <w:right w:val="none" w:sz="0" w:space="0" w:color="auto"/>
          </w:divBdr>
        </w:div>
        <w:div w:id="1665276736">
          <w:marLeft w:val="547"/>
          <w:marRight w:val="0"/>
          <w:marTop w:val="106"/>
          <w:marBottom w:val="0"/>
          <w:divBdr>
            <w:top w:val="none" w:sz="0" w:space="0" w:color="auto"/>
            <w:left w:val="none" w:sz="0" w:space="0" w:color="auto"/>
            <w:bottom w:val="none" w:sz="0" w:space="0" w:color="auto"/>
            <w:right w:val="none" w:sz="0" w:space="0" w:color="auto"/>
          </w:divBdr>
        </w:div>
        <w:div w:id="1788230586">
          <w:marLeft w:val="1166"/>
          <w:marRight w:val="0"/>
          <w:marTop w:val="96"/>
          <w:marBottom w:val="0"/>
          <w:divBdr>
            <w:top w:val="none" w:sz="0" w:space="0" w:color="auto"/>
            <w:left w:val="none" w:sz="0" w:space="0" w:color="auto"/>
            <w:bottom w:val="none" w:sz="0" w:space="0" w:color="auto"/>
            <w:right w:val="none" w:sz="0" w:space="0" w:color="auto"/>
          </w:divBdr>
        </w:div>
      </w:divsChild>
    </w:div>
    <w:div w:id="1386219306">
      <w:bodyDiv w:val="1"/>
      <w:marLeft w:val="0"/>
      <w:marRight w:val="0"/>
      <w:marTop w:val="0"/>
      <w:marBottom w:val="0"/>
      <w:divBdr>
        <w:top w:val="none" w:sz="0" w:space="0" w:color="auto"/>
        <w:left w:val="none" w:sz="0" w:space="0" w:color="auto"/>
        <w:bottom w:val="none" w:sz="0" w:space="0" w:color="auto"/>
        <w:right w:val="none" w:sz="0" w:space="0" w:color="auto"/>
      </w:divBdr>
    </w:div>
    <w:div w:id="1386367349">
      <w:bodyDiv w:val="1"/>
      <w:marLeft w:val="0"/>
      <w:marRight w:val="0"/>
      <w:marTop w:val="0"/>
      <w:marBottom w:val="0"/>
      <w:divBdr>
        <w:top w:val="none" w:sz="0" w:space="0" w:color="auto"/>
        <w:left w:val="none" w:sz="0" w:space="0" w:color="auto"/>
        <w:bottom w:val="none" w:sz="0" w:space="0" w:color="auto"/>
        <w:right w:val="none" w:sz="0" w:space="0" w:color="auto"/>
      </w:divBdr>
    </w:div>
    <w:div w:id="1386837838">
      <w:bodyDiv w:val="1"/>
      <w:marLeft w:val="0"/>
      <w:marRight w:val="0"/>
      <w:marTop w:val="0"/>
      <w:marBottom w:val="0"/>
      <w:divBdr>
        <w:top w:val="none" w:sz="0" w:space="0" w:color="auto"/>
        <w:left w:val="none" w:sz="0" w:space="0" w:color="auto"/>
        <w:bottom w:val="none" w:sz="0" w:space="0" w:color="auto"/>
        <w:right w:val="none" w:sz="0" w:space="0" w:color="auto"/>
      </w:divBdr>
    </w:div>
    <w:div w:id="1387148767">
      <w:bodyDiv w:val="1"/>
      <w:marLeft w:val="0"/>
      <w:marRight w:val="0"/>
      <w:marTop w:val="0"/>
      <w:marBottom w:val="0"/>
      <w:divBdr>
        <w:top w:val="none" w:sz="0" w:space="0" w:color="auto"/>
        <w:left w:val="none" w:sz="0" w:space="0" w:color="auto"/>
        <w:bottom w:val="none" w:sz="0" w:space="0" w:color="auto"/>
        <w:right w:val="none" w:sz="0" w:space="0" w:color="auto"/>
      </w:divBdr>
    </w:div>
    <w:div w:id="1389844314">
      <w:bodyDiv w:val="1"/>
      <w:marLeft w:val="0"/>
      <w:marRight w:val="0"/>
      <w:marTop w:val="0"/>
      <w:marBottom w:val="0"/>
      <w:divBdr>
        <w:top w:val="none" w:sz="0" w:space="0" w:color="auto"/>
        <w:left w:val="none" w:sz="0" w:space="0" w:color="auto"/>
        <w:bottom w:val="none" w:sz="0" w:space="0" w:color="auto"/>
        <w:right w:val="none" w:sz="0" w:space="0" w:color="auto"/>
      </w:divBdr>
    </w:div>
    <w:div w:id="1391729482">
      <w:bodyDiv w:val="1"/>
      <w:marLeft w:val="0"/>
      <w:marRight w:val="0"/>
      <w:marTop w:val="0"/>
      <w:marBottom w:val="0"/>
      <w:divBdr>
        <w:top w:val="none" w:sz="0" w:space="0" w:color="auto"/>
        <w:left w:val="none" w:sz="0" w:space="0" w:color="auto"/>
        <w:bottom w:val="none" w:sz="0" w:space="0" w:color="auto"/>
        <w:right w:val="none" w:sz="0" w:space="0" w:color="auto"/>
      </w:divBdr>
    </w:div>
    <w:div w:id="1392118769">
      <w:bodyDiv w:val="1"/>
      <w:marLeft w:val="0"/>
      <w:marRight w:val="0"/>
      <w:marTop w:val="0"/>
      <w:marBottom w:val="0"/>
      <w:divBdr>
        <w:top w:val="none" w:sz="0" w:space="0" w:color="auto"/>
        <w:left w:val="none" w:sz="0" w:space="0" w:color="auto"/>
        <w:bottom w:val="none" w:sz="0" w:space="0" w:color="auto"/>
        <w:right w:val="none" w:sz="0" w:space="0" w:color="auto"/>
      </w:divBdr>
    </w:div>
    <w:div w:id="1392463902">
      <w:bodyDiv w:val="1"/>
      <w:marLeft w:val="0"/>
      <w:marRight w:val="0"/>
      <w:marTop w:val="0"/>
      <w:marBottom w:val="0"/>
      <w:divBdr>
        <w:top w:val="none" w:sz="0" w:space="0" w:color="auto"/>
        <w:left w:val="none" w:sz="0" w:space="0" w:color="auto"/>
        <w:bottom w:val="none" w:sz="0" w:space="0" w:color="auto"/>
        <w:right w:val="none" w:sz="0" w:space="0" w:color="auto"/>
      </w:divBdr>
    </w:div>
    <w:div w:id="1392651784">
      <w:bodyDiv w:val="1"/>
      <w:marLeft w:val="0"/>
      <w:marRight w:val="0"/>
      <w:marTop w:val="0"/>
      <w:marBottom w:val="0"/>
      <w:divBdr>
        <w:top w:val="none" w:sz="0" w:space="0" w:color="auto"/>
        <w:left w:val="none" w:sz="0" w:space="0" w:color="auto"/>
        <w:bottom w:val="none" w:sz="0" w:space="0" w:color="auto"/>
        <w:right w:val="none" w:sz="0" w:space="0" w:color="auto"/>
      </w:divBdr>
      <w:divsChild>
        <w:div w:id="31080481">
          <w:marLeft w:val="547"/>
          <w:marRight w:val="0"/>
          <w:marTop w:val="134"/>
          <w:marBottom w:val="0"/>
          <w:divBdr>
            <w:top w:val="none" w:sz="0" w:space="0" w:color="auto"/>
            <w:left w:val="none" w:sz="0" w:space="0" w:color="auto"/>
            <w:bottom w:val="none" w:sz="0" w:space="0" w:color="auto"/>
            <w:right w:val="none" w:sz="0" w:space="0" w:color="auto"/>
          </w:divBdr>
        </w:div>
        <w:div w:id="246771607">
          <w:marLeft w:val="1166"/>
          <w:marRight w:val="0"/>
          <w:marTop w:val="115"/>
          <w:marBottom w:val="0"/>
          <w:divBdr>
            <w:top w:val="none" w:sz="0" w:space="0" w:color="auto"/>
            <w:left w:val="none" w:sz="0" w:space="0" w:color="auto"/>
            <w:bottom w:val="none" w:sz="0" w:space="0" w:color="auto"/>
            <w:right w:val="none" w:sz="0" w:space="0" w:color="auto"/>
          </w:divBdr>
        </w:div>
        <w:div w:id="587076759">
          <w:marLeft w:val="1166"/>
          <w:marRight w:val="0"/>
          <w:marTop w:val="115"/>
          <w:marBottom w:val="0"/>
          <w:divBdr>
            <w:top w:val="none" w:sz="0" w:space="0" w:color="auto"/>
            <w:left w:val="none" w:sz="0" w:space="0" w:color="auto"/>
            <w:bottom w:val="none" w:sz="0" w:space="0" w:color="auto"/>
            <w:right w:val="none" w:sz="0" w:space="0" w:color="auto"/>
          </w:divBdr>
        </w:div>
        <w:div w:id="669599534">
          <w:marLeft w:val="1166"/>
          <w:marRight w:val="0"/>
          <w:marTop w:val="115"/>
          <w:marBottom w:val="0"/>
          <w:divBdr>
            <w:top w:val="none" w:sz="0" w:space="0" w:color="auto"/>
            <w:left w:val="none" w:sz="0" w:space="0" w:color="auto"/>
            <w:bottom w:val="none" w:sz="0" w:space="0" w:color="auto"/>
            <w:right w:val="none" w:sz="0" w:space="0" w:color="auto"/>
          </w:divBdr>
        </w:div>
        <w:div w:id="1163935500">
          <w:marLeft w:val="1166"/>
          <w:marRight w:val="0"/>
          <w:marTop w:val="115"/>
          <w:marBottom w:val="0"/>
          <w:divBdr>
            <w:top w:val="none" w:sz="0" w:space="0" w:color="auto"/>
            <w:left w:val="none" w:sz="0" w:space="0" w:color="auto"/>
            <w:bottom w:val="none" w:sz="0" w:space="0" w:color="auto"/>
            <w:right w:val="none" w:sz="0" w:space="0" w:color="auto"/>
          </w:divBdr>
        </w:div>
        <w:div w:id="1194533034">
          <w:marLeft w:val="547"/>
          <w:marRight w:val="0"/>
          <w:marTop w:val="134"/>
          <w:marBottom w:val="0"/>
          <w:divBdr>
            <w:top w:val="none" w:sz="0" w:space="0" w:color="auto"/>
            <w:left w:val="none" w:sz="0" w:space="0" w:color="auto"/>
            <w:bottom w:val="none" w:sz="0" w:space="0" w:color="auto"/>
            <w:right w:val="none" w:sz="0" w:space="0" w:color="auto"/>
          </w:divBdr>
        </w:div>
        <w:div w:id="1531600744">
          <w:marLeft w:val="1166"/>
          <w:marRight w:val="0"/>
          <w:marTop w:val="115"/>
          <w:marBottom w:val="0"/>
          <w:divBdr>
            <w:top w:val="none" w:sz="0" w:space="0" w:color="auto"/>
            <w:left w:val="none" w:sz="0" w:space="0" w:color="auto"/>
            <w:bottom w:val="none" w:sz="0" w:space="0" w:color="auto"/>
            <w:right w:val="none" w:sz="0" w:space="0" w:color="auto"/>
          </w:divBdr>
        </w:div>
      </w:divsChild>
    </w:div>
    <w:div w:id="1392774005">
      <w:bodyDiv w:val="1"/>
      <w:marLeft w:val="0"/>
      <w:marRight w:val="0"/>
      <w:marTop w:val="0"/>
      <w:marBottom w:val="0"/>
      <w:divBdr>
        <w:top w:val="none" w:sz="0" w:space="0" w:color="auto"/>
        <w:left w:val="none" w:sz="0" w:space="0" w:color="auto"/>
        <w:bottom w:val="none" w:sz="0" w:space="0" w:color="auto"/>
        <w:right w:val="none" w:sz="0" w:space="0" w:color="auto"/>
      </w:divBdr>
    </w:div>
    <w:div w:id="1392845583">
      <w:bodyDiv w:val="1"/>
      <w:marLeft w:val="0"/>
      <w:marRight w:val="0"/>
      <w:marTop w:val="0"/>
      <w:marBottom w:val="0"/>
      <w:divBdr>
        <w:top w:val="none" w:sz="0" w:space="0" w:color="auto"/>
        <w:left w:val="none" w:sz="0" w:space="0" w:color="auto"/>
        <w:bottom w:val="none" w:sz="0" w:space="0" w:color="auto"/>
        <w:right w:val="none" w:sz="0" w:space="0" w:color="auto"/>
      </w:divBdr>
    </w:div>
    <w:div w:id="1393427282">
      <w:bodyDiv w:val="1"/>
      <w:marLeft w:val="0"/>
      <w:marRight w:val="0"/>
      <w:marTop w:val="0"/>
      <w:marBottom w:val="0"/>
      <w:divBdr>
        <w:top w:val="none" w:sz="0" w:space="0" w:color="auto"/>
        <w:left w:val="none" w:sz="0" w:space="0" w:color="auto"/>
        <w:bottom w:val="none" w:sz="0" w:space="0" w:color="auto"/>
        <w:right w:val="none" w:sz="0" w:space="0" w:color="auto"/>
      </w:divBdr>
      <w:divsChild>
        <w:div w:id="1006395466">
          <w:marLeft w:val="547"/>
          <w:marRight w:val="0"/>
          <w:marTop w:val="154"/>
          <w:marBottom w:val="0"/>
          <w:divBdr>
            <w:top w:val="none" w:sz="0" w:space="0" w:color="auto"/>
            <w:left w:val="none" w:sz="0" w:space="0" w:color="auto"/>
            <w:bottom w:val="none" w:sz="0" w:space="0" w:color="auto"/>
            <w:right w:val="none" w:sz="0" w:space="0" w:color="auto"/>
          </w:divBdr>
        </w:div>
        <w:div w:id="1534726576">
          <w:marLeft w:val="1166"/>
          <w:marRight w:val="0"/>
          <w:marTop w:val="96"/>
          <w:marBottom w:val="0"/>
          <w:divBdr>
            <w:top w:val="none" w:sz="0" w:space="0" w:color="auto"/>
            <w:left w:val="none" w:sz="0" w:space="0" w:color="auto"/>
            <w:bottom w:val="none" w:sz="0" w:space="0" w:color="auto"/>
            <w:right w:val="none" w:sz="0" w:space="0" w:color="auto"/>
          </w:divBdr>
        </w:div>
        <w:div w:id="2068214594">
          <w:marLeft w:val="1166"/>
          <w:marRight w:val="0"/>
          <w:marTop w:val="96"/>
          <w:marBottom w:val="0"/>
          <w:divBdr>
            <w:top w:val="none" w:sz="0" w:space="0" w:color="auto"/>
            <w:left w:val="none" w:sz="0" w:space="0" w:color="auto"/>
            <w:bottom w:val="none" w:sz="0" w:space="0" w:color="auto"/>
            <w:right w:val="none" w:sz="0" w:space="0" w:color="auto"/>
          </w:divBdr>
        </w:div>
        <w:div w:id="2085645221">
          <w:marLeft w:val="1166"/>
          <w:marRight w:val="0"/>
          <w:marTop w:val="96"/>
          <w:marBottom w:val="0"/>
          <w:divBdr>
            <w:top w:val="none" w:sz="0" w:space="0" w:color="auto"/>
            <w:left w:val="none" w:sz="0" w:space="0" w:color="auto"/>
            <w:bottom w:val="none" w:sz="0" w:space="0" w:color="auto"/>
            <w:right w:val="none" w:sz="0" w:space="0" w:color="auto"/>
          </w:divBdr>
        </w:div>
      </w:divsChild>
    </w:div>
    <w:div w:id="1393504347">
      <w:bodyDiv w:val="1"/>
      <w:marLeft w:val="0"/>
      <w:marRight w:val="0"/>
      <w:marTop w:val="0"/>
      <w:marBottom w:val="0"/>
      <w:divBdr>
        <w:top w:val="none" w:sz="0" w:space="0" w:color="auto"/>
        <w:left w:val="none" w:sz="0" w:space="0" w:color="auto"/>
        <w:bottom w:val="none" w:sz="0" w:space="0" w:color="auto"/>
        <w:right w:val="none" w:sz="0" w:space="0" w:color="auto"/>
      </w:divBdr>
    </w:div>
    <w:div w:id="1393961585">
      <w:bodyDiv w:val="1"/>
      <w:marLeft w:val="0"/>
      <w:marRight w:val="0"/>
      <w:marTop w:val="0"/>
      <w:marBottom w:val="0"/>
      <w:divBdr>
        <w:top w:val="none" w:sz="0" w:space="0" w:color="auto"/>
        <w:left w:val="none" w:sz="0" w:space="0" w:color="auto"/>
        <w:bottom w:val="none" w:sz="0" w:space="0" w:color="auto"/>
        <w:right w:val="none" w:sz="0" w:space="0" w:color="auto"/>
      </w:divBdr>
    </w:div>
    <w:div w:id="1394112354">
      <w:bodyDiv w:val="1"/>
      <w:marLeft w:val="0"/>
      <w:marRight w:val="0"/>
      <w:marTop w:val="0"/>
      <w:marBottom w:val="0"/>
      <w:divBdr>
        <w:top w:val="none" w:sz="0" w:space="0" w:color="auto"/>
        <w:left w:val="none" w:sz="0" w:space="0" w:color="auto"/>
        <w:bottom w:val="none" w:sz="0" w:space="0" w:color="auto"/>
        <w:right w:val="none" w:sz="0" w:space="0" w:color="auto"/>
      </w:divBdr>
    </w:div>
    <w:div w:id="1394113130">
      <w:bodyDiv w:val="1"/>
      <w:marLeft w:val="0"/>
      <w:marRight w:val="0"/>
      <w:marTop w:val="0"/>
      <w:marBottom w:val="0"/>
      <w:divBdr>
        <w:top w:val="none" w:sz="0" w:space="0" w:color="auto"/>
        <w:left w:val="none" w:sz="0" w:space="0" w:color="auto"/>
        <w:bottom w:val="none" w:sz="0" w:space="0" w:color="auto"/>
        <w:right w:val="none" w:sz="0" w:space="0" w:color="auto"/>
      </w:divBdr>
    </w:div>
    <w:div w:id="1394232599">
      <w:bodyDiv w:val="1"/>
      <w:marLeft w:val="0"/>
      <w:marRight w:val="0"/>
      <w:marTop w:val="0"/>
      <w:marBottom w:val="0"/>
      <w:divBdr>
        <w:top w:val="none" w:sz="0" w:space="0" w:color="auto"/>
        <w:left w:val="none" w:sz="0" w:space="0" w:color="auto"/>
        <w:bottom w:val="none" w:sz="0" w:space="0" w:color="auto"/>
        <w:right w:val="none" w:sz="0" w:space="0" w:color="auto"/>
      </w:divBdr>
    </w:div>
    <w:div w:id="1395083894">
      <w:bodyDiv w:val="1"/>
      <w:marLeft w:val="0"/>
      <w:marRight w:val="0"/>
      <w:marTop w:val="0"/>
      <w:marBottom w:val="0"/>
      <w:divBdr>
        <w:top w:val="none" w:sz="0" w:space="0" w:color="auto"/>
        <w:left w:val="none" w:sz="0" w:space="0" w:color="auto"/>
        <w:bottom w:val="none" w:sz="0" w:space="0" w:color="auto"/>
        <w:right w:val="none" w:sz="0" w:space="0" w:color="auto"/>
      </w:divBdr>
      <w:divsChild>
        <w:div w:id="54469630">
          <w:marLeft w:val="1166"/>
          <w:marRight w:val="0"/>
          <w:marTop w:val="96"/>
          <w:marBottom w:val="0"/>
          <w:divBdr>
            <w:top w:val="none" w:sz="0" w:space="0" w:color="auto"/>
            <w:left w:val="none" w:sz="0" w:space="0" w:color="auto"/>
            <w:bottom w:val="none" w:sz="0" w:space="0" w:color="auto"/>
            <w:right w:val="none" w:sz="0" w:space="0" w:color="auto"/>
          </w:divBdr>
        </w:div>
        <w:div w:id="97257605">
          <w:marLeft w:val="1800"/>
          <w:marRight w:val="0"/>
          <w:marTop w:val="77"/>
          <w:marBottom w:val="0"/>
          <w:divBdr>
            <w:top w:val="none" w:sz="0" w:space="0" w:color="auto"/>
            <w:left w:val="none" w:sz="0" w:space="0" w:color="auto"/>
            <w:bottom w:val="none" w:sz="0" w:space="0" w:color="auto"/>
            <w:right w:val="none" w:sz="0" w:space="0" w:color="auto"/>
          </w:divBdr>
        </w:div>
        <w:div w:id="518785849">
          <w:marLeft w:val="1800"/>
          <w:marRight w:val="0"/>
          <w:marTop w:val="77"/>
          <w:marBottom w:val="0"/>
          <w:divBdr>
            <w:top w:val="none" w:sz="0" w:space="0" w:color="auto"/>
            <w:left w:val="none" w:sz="0" w:space="0" w:color="auto"/>
            <w:bottom w:val="none" w:sz="0" w:space="0" w:color="auto"/>
            <w:right w:val="none" w:sz="0" w:space="0" w:color="auto"/>
          </w:divBdr>
        </w:div>
        <w:div w:id="521745023">
          <w:marLeft w:val="2520"/>
          <w:marRight w:val="0"/>
          <w:marTop w:val="67"/>
          <w:marBottom w:val="0"/>
          <w:divBdr>
            <w:top w:val="none" w:sz="0" w:space="0" w:color="auto"/>
            <w:left w:val="none" w:sz="0" w:space="0" w:color="auto"/>
            <w:bottom w:val="none" w:sz="0" w:space="0" w:color="auto"/>
            <w:right w:val="none" w:sz="0" w:space="0" w:color="auto"/>
          </w:divBdr>
        </w:div>
        <w:div w:id="563684494">
          <w:marLeft w:val="547"/>
          <w:marRight w:val="0"/>
          <w:marTop w:val="115"/>
          <w:marBottom w:val="0"/>
          <w:divBdr>
            <w:top w:val="none" w:sz="0" w:space="0" w:color="auto"/>
            <w:left w:val="none" w:sz="0" w:space="0" w:color="auto"/>
            <w:bottom w:val="none" w:sz="0" w:space="0" w:color="auto"/>
            <w:right w:val="none" w:sz="0" w:space="0" w:color="auto"/>
          </w:divBdr>
        </w:div>
        <w:div w:id="686057861">
          <w:marLeft w:val="2520"/>
          <w:marRight w:val="0"/>
          <w:marTop w:val="67"/>
          <w:marBottom w:val="0"/>
          <w:divBdr>
            <w:top w:val="none" w:sz="0" w:space="0" w:color="auto"/>
            <w:left w:val="none" w:sz="0" w:space="0" w:color="auto"/>
            <w:bottom w:val="none" w:sz="0" w:space="0" w:color="auto"/>
            <w:right w:val="none" w:sz="0" w:space="0" w:color="auto"/>
          </w:divBdr>
        </w:div>
        <w:div w:id="724722335">
          <w:marLeft w:val="1800"/>
          <w:marRight w:val="0"/>
          <w:marTop w:val="77"/>
          <w:marBottom w:val="0"/>
          <w:divBdr>
            <w:top w:val="none" w:sz="0" w:space="0" w:color="auto"/>
            <w:left w:val="none" w:sz="0" w:space="0" w:color="auto"/>
            <w:bottom w:val="none" w:sz="0" w:space="0" w:color="auto"/>
            <w:right w:val="none" w:sz="0" w:space="0" w:color="auto"/>
          </w:divBdr>
        </w:div>
        <w:div w:id="832531787">
          <w:marLeft w:val="1166"/>
          <w:marRight w:val="0"/>
          <w:marTop w:val="96"/>
          <w:marBottom w:val="0"/>
          <w:divBdr>
            <w:top w:val="none" w:sz="0" w:space="0" w:color="auto"/>
            <w:left w:val="none" w:sz="0" w:space="0" w:color="auto"/>
            <w:bottom w:val="none" w:sz="0" w:space="0" w:color="auto"/>
            <w:right w:val="none" w:sz="0" w:space="0" w:color="auto"/>
          </w:divBdr>
        </w:div>
        <w:div w:id="884564412">
          <w:marLeft w:val="1166"/>
          <w:marRight w:val="0"/>
          <w:marTop w:val="96"/>
          <w:marBottom w:val="0"/>
          <w:divBdr>
            <w:top w:val="none" w:sz="0" w:space="0" w:color="auto"/>
            <w:left w:val="none" w:sz="0" w:space="0" w:color="auto"/>
            <w:bottom w:val="none" w:sz="0" w:space="0" w:color="auto"/>
            <w:right w:val="none" w:sz="0" w:space="0" w:color="auto"/>
          </w:divBdr>
        </w:div>
        <w:div w:id="1571308594">
          <w:marLeft w:val="1800"/>
          <w:marRight w:val="0"/>
          <w:marTop w:val="77"/>
          <w:marBottom w:val="0"/>
          <w:divBdr>
            <w:top w:val="none" w:sz="0" w:space="0" w:color="auto"/>
            <w:left w:val="none" w:sz="0" w:space="0" w:color="auto"/>
            <w:bottom w:val="none" w:sz="0" w:space="0" w:color="auto"/>
            <w:right w:val="none" w:sz="0" w:space="0" w:color="auto"/>
          </w:divBdr>
        </w:div>
        <w:div w:id="1889952522">
          <w:marLeft w:val="547"/>
          <w:marRight w:val="0"/>
          <w:marTop w:val="115"/>
          <w:marBottom w:val="0"/>
          <w:divBdr>
            <w:top w:val="none" w:sz="0" w:space="0" w:color="auto"/>
            <w:left w:val="none" w:sz="0" w:space="0" w:color="auto"/>
            <w:bottom w:val="none" w:sz="0" w:space="0" w:color="auto"/>
            <w:right w:val="none" w:sz="0" w:space="0" w:color="auto"/>
          </w:divBdr>
        </w:div>
      </w:divsChild>
    </w:div>
    <w:div w:id="1395398055">
      <w:bodyDiv w:val="1"/>
      <w:marLeft w:val="0"/>
      <w:marRight w:val="0"/>
      <w:marTop w:val="0"/>
      <w:marBottom w:val="0"/>
      <w:divBdr>
        <w:top w:val="none" w:sz="0" w:space="0" w:color="auto"/>
        <w:left w:val="none" w:sz="0" w:space="0" w:color="auto"/>
        <w:bottom w:val="none" w:sz="0" w:space="0" w:color="auto"/>
        <w:right w:val="none" w:sz="0" w:space="0" w:color="auto"/>
      </w:divBdr>
    </w:div>
    <w:div w:id="1395817858">
      <w:bodyDiv w:val="1"/>
      <w:marLeft w:val="0"/>
      <w:marRight w:val="0"/>
      <w:marTop w:val="0"/>
      <w:marBottom w:val="0"/>
      <w:divBdr>
        <w:top w:val="none" w:sz="0" w:space="0" w:color="auto"/>
        <w:left w:val="none" w:sz="0" w:space="0" w:color="auto"/>
        <w:bottom w:val="none" w:sz="0" w:space="0" w:color="auto"/>
        <w:right w:val="none" w:sz="0" w:space="0" w:color="auto"/>
      </w:divBdr>
    </w:div>
    <w:div w:id="1396858199">
      <w:bodyDiv w:val="1"/>
      <w:marLeft w:val="0"/>
      <w:marRight w:val="0"/>
      <w:marTop w:val="0"/>
      <w:marBottom w:val="0"/>
      <w:divBdr>
        <w:top w:val="none" w:sz="0" w:space="0" w:color="auto"/>
        <w:left w:val="none" w:sz="0" w:space="0" w:color="auto"/>
        <w:bottom w:val="none" w:sz="0" w:space="0" w:color="auto"/>
        <w:right w:val="none" w:sz="0" w:space="0" w:color="auto"/>
      </w:divBdr>
    </w:div>
    <w:div w:id="1396976961">
      <w:bodyDiv w:val="1"/>
      <w:marLeft w:val="0"/>
      <w:marRight w:val="0"/>
      <w:marTop w:val="0"/>
      <w:marBottom w:val="0"/>
      <w:divBdr>
        <w:top w:val="none" w:sz="0" w:space="0" w:color="auto"/>
        <w:left w:val="none" w:sz="0" w:space="0" w:color="auto"/>
        <w:bottom w:val="none" w:sz="0" w:space="0" w:color="auto"/>
        <w:right w:val="none" w:sz="0" w:space="0" w:color="auto"/>
      </w:divBdr>
    </w:div>
    <w:div w:id="1397166900">
      <w:bodyDiv w:val="1"/>
      <w:marLeft w:val="0"/>
      <w:marRight w:val="0"/>
      <w:marTop w:val="0"/>
      <w:marBottom w:val="0"/>
      <w:divBdr>
        <w:top w:val="none" w:sz="0" w:space="0" w:color="auto"/>
        <w:left w:val="none" w:sz="0" w:space="0" w:color="auto"/>
        <w:bottom w:val="none" w:sz="0" w:space="0" w:color="auto"/>
        <w:right w:val="none" w:sz="0" w:space="0" w:color="auto"/>
      </w:divBdr>
    </w:div>
    <w:div w:id="1397629127">
      <w:bodyDiv w:val="1"/>
      <w:marLeft w:val="0"/>
      <w:marRight w:val="0"/>
      <w:marTop w:val="0"/>
      <w:marBottom w:val="0"/>
      <w:divBdr>
        <w:top w:val="none" w:sz="0" w:space="0" w:color="auto"/>
        <w:left w:val="none" w:sz="0" w:space="0" w:color="auto"/>
        <w:bottom w:val="none" w:sz="0" w:space="0" w:color="auto"/>
        <w:right w:val="none" w:sz="0" w:space="0" w:color="auto"/>
      </w:divBdr>
      <w:divsChild>
        <w:div w:id="1855268292">
          <w:marLeft w:val="0"/>
          <w:marRight w:val="0"/>
          <w:marTop w:val="0"/>
          <w:marBottom w:val="0"/>
          <w:divBdr>
            <w:top w:val="none" w:sz="0" w:space="0" w:color="auto"/>
            <w:left w:val="none" w:sz="0" w:space="0" w:color="auto"/>
            <w:bottom w:val="none" w:sz="0" w:space="0" w:color="auto"/>
            <w:right w:val="none" w:sz="0" w:space="0" w:color="auto"/>
          </w:divBdr>
        </w:div>
      </w:divsChild>
    </w:div>
    <w:div w:id="1398285286">
      <w:bodyDiv w:val="1"/>
      <w:marLeft w:val="0"/>
      <w:marRight w:val="0"/>
      <w:marTop w:val="0"/>
      <w:marBottom w:val="0"/>
      <w:divBdr>
        <w:top w:val="none" w:sz="0" w:space="0" w:color="auto"/>
        <w:left w:val="none" w:sz="0" w:space="0" w:color="auto"/>
        <w:bottom w:val="none" w:sz="0" w:space="0" w:color="auto"/>
        <w:right w:val="none" w:sz="0" w:space="0" w:color="auto"/>
      </w:divBdr>
    </w:div>
    <w:div w:id="1398627989">
      <w:bodyDiv w:val="1"/>
      <w:marLeft w:val="0"/>
      <w:marRight w:val="0"/>
      <w:marTop w:val="0"/>
      <w:marBottom w:val="0"/>
      <w:divBdr>
        <w:top w:val="none" w:sz="0" w:space="0" w:color="auto"/>
        <w:left w:val="none" w:sz="0" w:space="0" w:color="auto"/>
        <w:bottom w:val="none" w:sz="0" w:space="0" w:color="auto"/>
        <w:right w:val="none" w:sz="0" w:space="0" w:color="auto"/>
      </w:divBdr>
    </w:div>
    <w:div w:id="1399858746">
      <w:bodyDiv w:val="1"/>
      <w:marLeft w:val="0"/>
      <w:marRight w:val="0"/>
      <w:marTop w:val="0"/>
      <w:marBottom w:val="0"/>
      <w:divBdr>
        <w:top w:val="none" w:sz="0" w:space="0" w:color="auto"/>
        <w:left w:val="none" w:sz="0" w:space="0" w:color="auto"/>
        <w:bottom w:val="none" w:sz="0" w:space="0" w:color="auto"/>
        <w:right w:val="none" w:sz="0" w:space="0" w:color="auto"/>
      </w:divBdr>
    </w:div>
    <w:div w:id="1400981799">
      <w:bodyDiv w:val="1"/>
      <w:marLeft w:val="0"/>
      <w:marRight w:val="0"/>
      <w:marTop w:val="0"/>
      <w:marBottom w:val="0"/>
      <w:divBdr>
        <w:top w:val="none" w:sz="0" w:space="0" w:color="auto"/>
        <w:left w:val="none" w:sz="0" w:space="0" w:color="auto"/>
        <w:bottom w:val="none" w:sz="0" w:space="0" w:color="auto"/>
        <w:right w:val="none" w:sz="0" w:space="0" w:color="auto"/>
      </w:divBdr>
    </w:div>
    <w:div w:id="1401244040">
      <w:bodyDiv w:val="1"/>
      <w:marLeft w:val="0"/>
      <w:marRight w:val="0"/>
      <w:marTop w:val="0"/>
      <w:marBottom w:val="0"/>
      <w:divBdr>
        <w:top w:val="none" w:sz="0" w:space="0" w:color="auto"/>
        <w:left w:val="none" w:sz="0" w:space="0" w:color="auto"/>
        <w:bottom w:val="none" w:sz="0" w:space="0" w:color="auto"/>
        <w:right w:val="none" w:sz="0" w:space="0" w:color="auto"/>
      </w:divBdr>
    </w:div>
    <w:div w:id="1401949043">
      <w:bodyDiv w:val="1"/>
      <w:marLeft w:val="0"/>
      <w:marRight w:val="0"/>
      <w:marTop w:val="0"/>
      <w:marBottom w:val="0"/>
      <w:divBdr>
        <w:top w:val="none" w:sz="0" w:space="0" w:color="auto"/>
        <w:left w:val="none" w:sz="0" w:space="0" w:color="auto"/>
        <w:bottom w:val="none" w:sz="0" w:space="0" w:color="auto"/>
        <w:right w:val="none" w:sz="0" w:space="0" w:color="auto"/>
      </w:divBdr>
    </w:div>
    <w:div w:id="1402024671">
      <w:bodyDiv w:val="1"/>
      <w:marLeft w:val="0"/>
      <w:marRight w:val="0"/>
      <w:marTop w:val="0"/>
      <w:marBottom w:val="0"/>
      <w:divBdr>
        <w:top w:val="none" w:sz="0" w:space="0" w:color="auto"/>
        <w:left w:val="none" w:sz="0" w:space="0" w:color="auto"/>
        <w:bottom w:val="none" w:sz="0" w:space="0" w:color="auto"/>
        <w:right w:val="none" w:sz="0" w:space="0" w:color="auto"/>
      </w:divBdr>
    </w:div>
    <w:div w:id="1402605684">
      <w:bodyDiv w:val="1"/>
      <w:marLeft w:val="0"/>
      <w:marRight w:val="0"/>
      <w:marTop w:val="0"/>
      <w:marBottom w:val="0"/>
      <w:divBdr>
        <w:top w:val="none" w:sz="0" w:space="0" w:color="auto"/>
        <w:left w:val="none" w:sz="0" w:space="0" w:color="auto"/>
        <w:bottom w:val="none" w:sz="0" w:space="0" w:color="auto"/>
        <w:right w:val="none" w:sz="0" w:space="0" w:color="auto"/>
      </w:divBdr>
    </w:div>
    <w:div w:id="1402681010">
      <w:bodyDiv w:val="1"/>
      <w:marLeft w:val="0"/>
      <w:marRight w:val="0"/>
      <w:marTop w:val="0"/>
      <w:marBottom w:val="0"/>
      <w:divBdr>
        <w:top w:val="none" w:sz="0" w:space="0" w:color="auto"/>
        <w:left w:val="none" w:sz="0" w:space="0" w:color="auto"/>
        <w:bottom w:val="none" w:sz="0" w:space="0" w:color="auto"/>
        <w:right w:val="none" w:sz="0" w:space="0" w:color="auto"/>
      </w:divBdr>
      <w:divsChild>
        <w:div w:id="223950549">
          <w:marLeft w:val="1166"/>
          <w:marRight w:val="0"/>
          <w:marTop w:val="115"/>
          <w:marBottom w:val="120"/>
          <w:divBdr>
            <w:top w:val="none" w:sz="0" w:space="0" w:color="auto"/>
            <w:left w:val="none" w:sz="0" w:space="0" w:color="auto"/>
            <w:bottom w:val="none" w:sz="0" w:space="0" w:color="auto"/>
            <w:right w:val="none" w:sz="0" w:space="0" w:color="auto"/>
          </w:divBdr>
        </w:div>
        <w:div w:id="791245525">
          <w:marLeft w:val="547"/>
          <w:marRight w:val="0"/>
          <w:marTop w:val="134"/>
          <w:marBottom w:val="120"/>
          <w:divBdr>
            <w:top w:val="none" w:sz="0" w:space="0" w:color="auto"/>
            <w:left w:val="none" w:sz="0" w:space="0" w:color="auto"/>
            <w:bottom w:val="none" w:sz="0" w:space="0" w:color="auto"/>
            <w:right w:val="none" w:sz="0" w:space="0" w:color="auto"/>
          </w:divBdr>
        </w:div>
        <w:div w:id="874469214">
          <w:marLeft w:val="1166"/>
          <w:marRight w:val="0"/>
          <w:marTop w:val="115"/>
          <w:marBottom w:val="120"/>
          <w:divBdr>
            <w:top w:val="none" w:sz="0" w:space="0" w:color="auto"/>
            <w:left w:val="none" w:sz="0" w:space="0" w:color="auto"/>
            <w:bottom w:val="none" w:sz="0" w:space="0" w:color="auto"/>
            <w:right w:val="none" w:sz="0" w:space="0" w:color="auto"/>
          </w:divBdr>
        </w:div>
      </w:divsChild>
    </w:div>
    <w:div w:id="1403526479">
      <w:bodyDiv w:val="1"/>
      <w:marLeft w:val="0"/>
      <w:marRight w:val="0"/>
      <w:marTop w:val="0"/>
      <w:marBottom w:val="0"/>
      <w:divBdr>
        <w:top w:val="none" w:sz="0" w:space="0" w:color="auto"/>
        <w:left w:val="none" w:sz="0" w:space="0" w:color="auto"/>
        <w:bottom w:val="none" w:sz="0" w:space="0" w:color="auto"/>
        <w:right w:val="none" w:sz="0" w:space="0" w:color="auto"/>
      </w:divBdr>
    </w:div>
    <w:div w:id="1404063538">
      <w:bodyDiv w:val="1"/>
      <w:marLeft w:val="0"/>
      <w:marRight w:val="0"/>
      <w:marTop w:val="0"/>
      <w:marBottom w:val="0"/>
      <w:divBdr>
        <w:top w:val="none" w:sz="0" w:space="0" w:color="auto"/>
        <w:left w:val="none" w:sz="0" w:space="0" w:color="auto"/>
        <w:bottom w:val="none" w:sz="0" w:space="0" w:color="auto"/>
        <w:right w:val="none" w:sz="0" w:space="0" w:color="auto"/>
      </w:divBdr>
      <w:divsChild>
        <w:div w:id="834221098">
          <w:marLeft w:val="1800"/>
          <w:marRight w:val="0"/>
          <w:marTop w:val="91"/>
          <w:marBottom w:val="0"/>
          <w:divBdr>
            <w:top w:val="none" w:sz="0" w:space="0" w:color="auto"/>
            <w:left w:val="none" w:sz="0" w:space="0" w:color="auto"/>
            <w:bottom w:val="none" w:sz="0" w:space="0" w:color="auto"/>
            <w:right w:val="none" w:sz="0" w:space="0" w:color="auto"/>
          </w:divBdr>
        </w:div>
        <w:div w:id="926226953">
          <w:marLeft w:val="1166"/>
          <w:marRight w:val="0"/>
          <w:marTop w:val="106"/>
          <w:marBottom w:val="0"/>
          <w:divBdr>
            <w:top w:val="none" w:sz="0" w:space="0" w:color="auto"/>
            <w:left w:val="none" w:sz="0" w:space="0" w:color="auto"/>
            <w:bottom w:val="none" w:sz="0" w:space="0" w:color="auto"/>
            <w:right w:val="none" w:sz="0" w:space="0" w:color="auto"/>
          </w:divBdr>
        </w:div>
        <w:div w:id="1019090094">
          <w:marLeft w:val="1166"/>
          <w:marRight w:val="0"/>
          <w:marTop w:val="106"/>
          <w:marBottom w:val="0"/>
          <w:divBdr>
            <w:top w:val="none" w:sz="0" w:space="0" w:color="auto"/>
            <w:left w:val="none" w:sz="0" w:space="0" w:color="auto"/>
            <w:bottom w:val="none" w:sz="0" w:space="0" w:color="auto"/>
            <w:right w:val="none" w:sz="0" w:space="0" w:color="auto"/>
          </w:divBdr>
        </w:div>
        <w:div w:id="1245257385">
          <w:marLeft w:val="1800"/>
          <w:marRight w:val="0"/>
          <w:marTop w:val="77"/>
          <w:marBottom w:val="0"/>
          <w:divBdr>
            <w:top w:val="none" w:sz="0" w:space="0" w:color="auto"/>
            <w:left w:val="none" w:sz="0" w:space="0" w:color="auto"/>
            <w:bottom w:val="none" w:sz="0" w:space="0" w:color="auto"/>
            <w:right w:val="none" w:sz="0" w:space="0" w:color="auto"/>
          </w:divBdr>
        </w:div>
        <w:div w:id="1460033481">
          <w:marLeft w:val="1166"/>
          <w:marRight w:val="0"/>
          <w:marTop w:val="106"/>
          <w:marBottom w:val="0"/>
          <w:divBdr>
            <w:top w:val="none" w:sz="0" w:space="0" w:color="auto"/>
            <w:left w:val="none" w:sz="0" w:space="0" w:color="auto"/>
            <w:bottom w:val="none" w:sz="0" w:space="0" w:color="auto"/>
            <w:right w:val="none" w:sz="0" w:space="0" w:color="auto"/>
          </w:divBdr>
        </w:div>
        <w:div w:id="1740057849">
          <w:marLeft w:val="1800"/>
          <w:marRight w:val="0"/>
          <w:marTop w:val="91"/>
          <w:marBottom w:val="0"/>
          <w:divBdr>
            <w:top w:val="none" w:sz="0" w:space="0" w:color="auto"/>
            <w:left w:val="none" w:sz="0" w:space="0" w:color="auto"/>
            <w:bottom w:val="none" w:sz="0" w:space="0" w:color="auto"/>
            <w:right w:val="none" w:sz="0" w:space="0" w:color="auto"/>
          </w:divBdr>
        </w:div>
        <w:div w:id="1910336748">
          <w:marLeft w:val="1800"/>
          <w:marRight w:val="0"/>
          <w:marTop w:val="91"/>
          <w:marBottom w:val="0"/>
          <w:divBdr>
            <w:top w:val="none" w:sz="0" w:space="0" w:color="auto"/>
            <w:left w:val="none" w:sz="0" w:space="0" w:color="auto"/>
            <w:bottom w:val="none" w:sz="0" w:space="0" w:color="auto"/>
            <w:right w:val="none" w:sz="0" w:space="0" w:color="auto"/>
          </w:divBdr>
        </w:div>
        <w:div w:id="1995210616">
          <w:marLeft w:val="547"/>
          <w:marRight w:val="0"/>
          <w:marTop w:val="125"/>
          <w:marBottom w:val="0"/>
          <w:divBdr>
            <w:top w:val="none" w:sz="0" w:space="0" w:color="auto"/>
            <w:left w:val="none" w:sz="0" w:space="0" w:color="auto"/>
            <w:bottom w:val="none" w:sz="0" w:space="0" w:color="auto"/>
            <w:right w:val="none" w:sz="0" w:space="0" w:color="auto"/>
          </w:divBdr>
        </w:div>
      </w:divsChild>
    </w:div>
    <w:div w:id="1404833481">
      <w:bodyDiv w:val="1"/>
      <w:marLeft w:val="0"/>
      <w:marRight w:val="0"/>
      <w:marTop w:val="0"/>
      <w:marBottom w:val="0"/>
      <w:divBdr>
        <w:top w:val="none" w:sz="0" w:space="0" w:color="auto"/>
        <w:left w:val="none" w:sz="0" w:space="0" w:color="auto"/>
        <w:bottom w:val="none" w:sz="0" w:space="0" w:color="auto"/>
        <w:right w:val="none" w:sz="0" w:space="0" w:color="auto"/>
      </w:divBdr>
    </w:div>
    <w:div w:id="1405030792">
      <w:bodyDiv w:val="1"/>
      <w:marLeft w:val="0"/>
      <w:marRight w:val="0"/>
      <w:marTop w:val="0"/>
      <w:marBottom w:val="0"/>
      <w:divBdr>
        <w:top w:val="none" w:sz="0" w:space="0" w:color="auto"/>
        <w:left w:val="none" w:sz="0" w:space="0" w:color="auto"/>
        <w:bottom w:val="none" w:sz="0" w:space="0" w:color="auto"/>
        <w:right w:val="none" w:sz="0" w:space="0" w:color="auto"/>
      </w:divBdr>
    </w:div>
    <w:div w:id="1405419759">
      <w:bodyDiv w:val="1"/>
      <w:marLeft w:val="0"/>
      <w:marRight w:val="0"/>
      <w:marTop w:val="0"/>
      <w:marBottom w:val="0"/>
      <w:divBdr>
        <w:top w:val="none" w:sz="0" w:space="0" w:color="auto"/>
        <w:left w:val="none" w:sz="0" w:space="0" w:color="auto"/>
        <w:bottom w:val="none" w:sz="0" w:space="0" w:color="auto"/>
        <w:right w:val="none" w:sz="0" w:space="0" w:color="auto"/>
      </w:divBdr>
    </w:div>
    <w:div w:id="1405444452">
      <w:bodyDiv w:val="1"/>
      <w:marLeft w:val="0"/>
      <w:marRight w:val="0"/>
      <w:marTop w:val="0"/>
      <w:marBottom w:val="0"/>
      <w:divBdr>
        <w:top w:val="none" w:sz="0" w:space="0" w:color="auto"/>
        <w:left w:val="none" w:sz="0" w:space="0" w:color="auto"/>
        <w:bottom w:val="none" w:sz="0" w:space="0" w:color="auto"/>
        <w:right w:val="none" w:sz="0" w:space="0" w:color="auto"/>
      </w:divBdr>
    </w:div>
    <w:div w:id="1405686424">
      <w:bodyDiv w:val="1"/>
      <w:marLeft w:val="0"/>
      <w:marRight w:val="0"/>
      <w:marTop w:val="0"/>
      <w:marBottom w:val="0"/>
      <w:divBdr>
        <w:top w:val="none" w:sz="0" w:space="0" w:color="auto"/>
        <w:left w:val="none" w:sz="0" w:space="0" w:color="auto"/>
        <w:bottom w:val="none" w:sz="0" w:space="0" w:color="auto"/>
        <w:right w:val="none" w:sz="0" w:space="0" w:color="auto"/>
      </w:divBdr>
    </w:div>
    <w:div w:id="1406804321">
      <w:bodyDiv w:val="1"/>
      <w:marLeft w:val="0"/>
      <w:marRight w:val="0"/>
      <w:marTop w:val="0"/>
      <w:marBottom w:val="0"/>
      <w:divBdr>
        <w:top w:val="none" w:sz="0" w:space="0" w:color="auto"/>
        <w:left w:val="none" w:sz="0" w:space="0" w:color="auto"/>
        <w:bottom w:val="none" w:sz="0" w:space="0" w:color="auto"/>
        <w:right w:val="none" w:sz="0" w:space="0" w:color="auto"/>
      </w:divBdr>
    </w:div>
    <w:div w:id="1406807212">
      <w:bodyDiv w:val="1"/>
      <w:marLeft w:val="0"/>
      <w:marRight w:val="0"/>
      <w:marTop w:val="0"/>
      <w:marBottom w:val="0"/>
      <w:divBdr>
        <w:top w:val="none" w:sz="0" w:space="0" w:color="auto"/>
        <w:left w:val="none" w:sz="0" w:space="0" w:color="auto"/>
        <w:bottom w:val="none" w:sz="0" w:space="0" w:color="auto"/>
        <w:right w:val="none" w:sz="0" w:space="0" w:color="auto"/>
      </w:divBdr>
      <w:divsChild>
        <w:div w:id="717513086">
          <w:marLeft w:val="1080"/>
          <w:marRight w:val="0"/>
          <w:marTop w:val="100"/>
          <w:marBottom w:val="0"/>
          <w:divBdr>
            <w:top w:val="none" w:sz="0" w:space="0" w:color="auto"/>
            <w:left w:val="none" w:sz="0" w:space="0" w:color="auto"/>
            <w:bottom w:val="none" w:sz="0" w:space="0" w:color="auto"/>
            <w:right w:val="none" w:sz="0" w:space="0" w:color="auto"/>
          </w:divBdr>
        </w:div>
        <w:div w:id="869146571">
          <w:marLeft w:val="1080"/>
          <w:marRight w:val="0"/>
          <w:marTop w:val="100"/>
          <w:marBottom w:val="0"/>
          <w:divBdr>
            <w:top w:val="none" w:sz="0" w:space="0" w:color="auto"/>
            <w:left w:val="none" w:sz="0" w:space="0" w:color="auto"/>
            <w:bottom w:val="none" w:sz="0" w:space="0" w:color="auto"/>
            <w:right w:val="none" w:sz="0" w:space="0" w:color="auto"/>
          </w:divBdr>
        </w:div>
        <w:div w:id="1248730432">
          <w:marLeft w:val="1080"/>
          <w:marRight w:val="0"/>
          <w:marTop w:val="100"/>
          <w:marBottom w:val="0"/>
          <w:divBdr>
            <w:top w:val="none" w:sz="0" w:space="0" w:color="auto"/>
            <w:left w:val="none" w:sz="0" w:space="0" w:color="auto"/>
            <w:bottom w:val="none" w:sz="0" w:space="0" w:color="auto"/>
            <w:right w:val="none" w:sz="0" w:space="0" w:color="auto"/>
          </w:divBdr>
        </w:div>
        <w:div w:id="1530992346">
          <w:marLeft w:val="360"/>
          <w:marRight w:val="0"/>
          <w:marTop w:val="200"/>
          <w:marBottom w:val="0"/>
          <w:divBdr>
            <w:top w:val="none" w:sz="0" w:space="0" w:color="auto"/>
            <w:left w:val="none" w:sz="0" w:space="0" w:color="auto"/>
            <w:bottom w:val="none" w:sz="0" w:space="0" w:color="auto"/>
            <w:right w:val="none" w:sz="0" w:space="0" w:color="auto"/>
          </w:divBdr>
        </w:div>
        <w:div w:id="1985694212">
          <w:marLeft w:val="1080"/>
          <w:marRight w:val="0"/>
          <w:marTop w:val="100"/>
          <w:marBottom w:val="0"/>
          <w:divBdr>
            <w:top w:val="none" w:sz="0" w:space="0" w:color="auto"/>
            <w:left w:val="none" w:sz="0" w:space="0" w:color="auto"/>
            <w:bottom w:val="none" w:sz="0" w:space="0" w:color="auto"/>
            <w:right w:val="none" w:sz="0" w:space="0" w:color="auto"/>
          </w:divBdr>
        </w:div>
      </w:divsChild>
    </w:div>
    <w:div w:id="1408267461">
      <w:bodyDiv w:val="1"/>
      <w:marLeft w:val="0"/>
      <w:marRight w:val="0"/>
      <w:marTop w:val="0"/>
      <w:marBottom w:val="0"/>
      <w:divBdr>
        <w:top w:val="none" w:sz="0" w:space="0" w:color="auto"/>
        <w:left w:val="none" w:sz="0" w:space="0" w:color="auto"/>
        <w:bottom w:val="none" w:sz="0" w:space="0" w:color="auto"/>
        <w:right w:val="none" w:sz="0" w:space="0" w:color="auto"/>
      </w:divBdr>
      <w:divsChild>
        <w:div w:id="56512465">
          <w:marLeft w:val="1166"/>
          <w:marRight w:val="0"/>
          <w:marTop w:val="115"/>
          <w:marBottom w:val="0"/>
          <w:divBdr>
            <w:top w:val="none" w:sz="0" w:space="0" w:color="auto"/>
            <w:left w:val="none" w:sz="0" w:space="0" w:color="auto"/>
            <w:bottom w:val="none" w:sz="0" w:space="0" w:color="auto"/>
            <w:right w:val="none" w:sz="0" w:space="0" w:color="auto"/>
          </w:divBdr>
        </w:div>
        <w:div w:id="60255933">
          <w:marLeft w:val="547"/>
          <w:marRight w:val="0"/>
          <w:marTop w:val="115"/>
          <w:marBottom w:val="0"/>
          <w:divBdr>
            <w:top w:val="none" w:sz="0" w:space="0" w:color="auto"/>
            <w:left w:val="none" w:sz="0" w:space="0" w:color="auto"/>
            <w:bottom w:val="none" w:sz="0" w:space="0" w:color="auto"/>
            <w:right w:val="none" w:sz="0" w:space="0" w:color="auto"/>
          </w:divBdr>
        </w:div>
        <w:div w:id="1049458052">
          <w:marLeft w:val="1166"/>
          <w:marRight w:val="0"/>
          <w:marTop w:val="115"/>
          <w:marBottom w:val="0"/>
          <w:divBdr>
            <w:top w:val="none" w:sz="0" w:space="0" w:color="auto"/>
            <w:left w:val="none" w:sz="0" w:space="0" w:color="auto"/>
            <w:bottom w:val="none" w:sz="0" w:space="0" w:color="auto"/>
            <w:right w:val="none" w:sz="0" w:space="0" w:color="auto"/>
          </w:divBdr>
        </w:div>
        <w:div w:id="1239443072">
          <w:marLeft w:val="1800"/>
          <w:marRight w:val="0"/>
          <w:marTop w:val="96"/>
          <w:marBottom w:val="0"/>
          <w:divBdr>
            <w:top w:val="none" w:sz="0" w:space="0" w:color="auto"/>
            <w:left w:val="none" w:sz="0" w:space="0" w:color="auto"/>
            <w:bottom w:val="none" w:sz="0" w:space="0" w:color="auto"/>
            <w:right w:val="none" w:sz="0" w:space="0" w:color="auto"/>
          </w:divBdr>
        </w:div>
      </w:divsChild>
    </w:div>
    <w:div w:id="1408650482">
      <w:bodyDiv w:val="1"/>
      <w:marLeft w:val="0"/>
      <w:marRight w:val="0"/>
      <w:marTop w:val="0"/>
      <w:marBottom w:val="0"/>
      <w:divBdr>
        <w:top w:val="none" w:sz="0" w:space="0" w:color="auto"/>
        <w:left w:val="none" w:sz="0" w:space="0" w:color="auto"/>
        <w:bottom w:val="none" w:sz="0" w:space="0" w:color="auto"/>
        <w:right w:val="none" w:sz="0" w:space="0" w:color="auto"/>
      </w:divBdr>
    </w:div>
    <w:div w:id="1409691115">
      <w:bodyDiv w:val="1"/>
      <w:marLeft w:val="0"/>
      <w:marRight w:val="0"/>
      <w:marTop w:val="0"/>
      <w:marBottom w:val="0"/>
      <w:divBdr>
        <w:top w:val="none" w:sz="0" w:space="0" w:color="auto"/>
        <w:left w:val="none" w:sz="0" w:space="0" w:color="auto"/>
        <w:bottom w:val="none" w:sz="0" w:space="0" w:color="auto"/>
        <w:right w:val="none" w:sz="0" w:space="0" w:color="auto"/>
      </w:divBdr>
    </w:div>
    <w:div w:id="1409692354">
      <w:bodyDiv w:val="1"/>
      <w:marLeft w:val="0"/>
      <w:marRight w:val="0"/>
      <w:marTop w:val="0"/>
      <w:marBottom w:val="0"/>
      <w:divBdr>
        <w:top w:val="none" w:sz="0" w:space="0" w:color="auto"/>
        <w:left w:val="none" w:sz="0" w:space="0" w:color="auto"/>
        <w:bottom w:val="none" w:sz="0" w:space="0" w:color="auto"/>
        <w:right w:val="none" w:sz="0" w:space="0" w:color="auto"/>
      </w:divBdr>
      <w:divsChild>
        <w:div w:id="141895219">
          <w:marLeft w:val="547"/>
          <w:marRight w:val="0"/>
          <w:marTop w:val="134"/>
          <w:marBottom w:val="0"/>
          <w:divBdr>
            <w:top w:val="none" w:sz="0" w:space="0" w:color="auto"/>
            <w:left w:val="none" w:sz="0" w:space="0" w:color="auto"/>
            <w:bottom w:val="none" w:sz="0" w:space="0" w:color="auto"/>
            <w:right w:val="none" w:sz="0" w:space="0" w:color="auto"/>
          </w:divBdr>
        </w:div>
        <w:div w:id="658459008">
          <w:marLeft w:val="1166"/>
          <w:marRight w:val="0"/>
          <w:marTop w:val="115"/>
          <w:marBottom w:val="0"/>
          <w:divBdr>
            <w:top w:val="none" w:sz="0" w:space="0" w:color="auto"/>
            <w:left w:val="none" w:sz="0" w:space="0" w:color="auto"/>
            <w:bottom w:val="none" w:sz="0" w:space="0" w:color="auto"/>
            <w:right w:val="none" w:sz="0" w:space="0" w:color="auto"/>
          </w:divBdr>
        </w:div>
      </w:divsChild>
    </w:div>
    <w:div w:id="1410688931">
      <w:bodyDiv w:val="1"/>
      <w:marLeft w:val="0"/>
      <w:marRight w:val="0"/>
      <w:marTop w:val="0"/>
      <w:marBottom w:val="0"/>
      <w:divBdr>
        <w:top w:val="none" w:sz="0" w:space="0" w:color="auto"/>
        <w:left w:val="none" w:sz="0" w:space="0" w:color="auto"/>
        <w:bottom w:val="none" w:sz="0" w:space="0" w:color="auto"/>
        <w:right w:val="none" w:sz="0" w:space="0" w:color="auto"/>
      </w:divBdr>
      <w:divsChild>
        <w:div w:id="65491480">
          <w:marLeft w:val="1166"/>
          <w:marRight w:val="0"/>
          <w:marTop w:val="115"/>
          <w:marBottom w:val="0"/>
          <w:divBdr>
            <w:top w:val="none" w:sz="0" w:space="0" w:color="auto"/>
            <w:left w:val="none" w:sz="0" w:space="0" w:color="auto"/>
            <w:bottom w:val="none" w:sz="0" w:space="0" w:color="auto"/>
            <w:right w:val="none" w:sz="0" w:space="0" w:color="auto"/>
          </w:divBdr>
        </w:div>
        <w:div w:id="258561383">
          <w:marLeft w:val="547"/>
          <w:marRight w:val="0"/>
          <w:marTop w:val="134"/>
          <w:marBottom w:val="0"/>
          <w:divBdr>
            <w:top w:val="none" w:sz="0" w:space="0" w:color="auto"/>
            <w:left w:val="none" w:sz="0" w:space="0" w:color="auto"/>
            <w:bottom w:val="none" w:sz="0" w:space="0" w:color="auto"/>
            <w:right w:val="none" w:sz="0" w:space="0" w:color="auto"/>
          </w:divBdr>
        </w:div>
        <w:div w:id="529533221">
          <w:marLeft w:val="1166"/>
          <w:marRight w:val="0"/>
          <w:marTop w:val="115"/>
          <w:marBottom w:val="0"/>
          <w:divBdr>
            <w:top w:val="none" w:sz="0" w:space="0" w:color="auto"/>
            <w:left w:val="none" w:sz="0" w:space="0" w:color="auto"/>
            <w:bottom w:val="none" w:sz="0" w:space="0" w:color="auto"/>
            <w:right w:val="none" w:sz="0" w:space="0" w:color="auto"/>
          </w:divBdr>
        </w:div>
        <w:div w:id="562566215">
          <w:marLeft w:val="547"/>
          <w:marRight w:val="0"/>
          <w:marTop w:val="134"/>
          <w:marBottom w:val="0"/>
          <w:divBdr>
            <w:top w:val="none" w:sz="0" w:space="0" w:color="auto"/>
            <w:left w:val="none" w:sz="0" w:space="0" w:color="auto"/>
            <w:bottom w:val="none" w:sz="0" w:space="0" w:color="auto"/>
            <w:right w:val="none" w:sz="0" w:space="0" w:color="auto"/>
          </w:divBdr>
        </w:div>
        <w:div w:id="788159174">
          <w:marLeft w:val="547"/>
          <w:marRight w:val="0"/>
          <w:marTop w:val="134"/>
          <w:marBottom w:val="0"/>
          <w:divBdr>
            <w:top w:val="none" w:sz="0" w:space="0" w:color="auto"/>
            <w:left w:val="none" w:sz="0" w:space="0" w:color="auto"/>
            <w:bottom w:val="none" w:sz="0" w:space="0" w:color="auto"/>
            <w:right w:val="none" w:sz="0" w:space="0" w:color="auto"/>
          </w:divBdr>
        </w:div>
        <w:div w:id="1211840532">
          <w:marLeft w:val="1166"/>
          <w:marRight w:val="0"/>
          <w:marTop w:val="115"/>
          <w:marBottom w:val="0"/>
          <w:divBdr>
            <w:top w:val="none" w:sz="0" w:space="0" w:color="auto"/>
            <w:left w:val="none" w:sz="0" w:space="0" w:color="auto"/>
            <w:bottom w:val="none" w:sz="0" w:space="0" w:color="auto"/>
            <w:right w:val="none" w:sz="0" w:space="0" w:color="auto"/>
          </w:divBdr>
        </w:div>
        <w:div w:id="1475754431">
          <w:marLeft w:val="1166"/>
          <w:marRight w:val="0"/>
          <w:marTop w:val="115"/>
          <w:marBottom w:val="0"/>
          <w:divBdr>
            <w:top w:val="none" w:sz="0" w:space="0" w:color="auto"/>
            <w:left w:val="none" w:sz="0" w:space="0" w:color="auto"/>
            <w:bottom w:val="none" w:sz="0" w:space="0" w:color="auto"/>
            <w:right w:val="none" w:sz="0" w:space="0" w:color="auto"/>
          </w:divBdr>
        </w:div>
        <w:div w:id="1479953309">
          <w:marLeft w:val="547"/>
          <w:marRight w:val="0"/>
          <w:marTop w:val="134"/>
          <w:marBottom w:val="0"/>
          <w:divBdr>
            <w:top w:val="none" w:sz="0" w:space="0" w:color="auto"/>
            <w:left w:val="none" w:sz="0" w:space="0" w:color="auto"/>
            <w:bottom w:val="none" w:sz="0" w:space="0" w:color="auto"/>
            <w:right w:val="none" w:sz="0" w:space="0" w:color="auto"/>
          </w:divBdr>
        </w:div>
      </w:divsChild>
    </w:div>
    <w:div w:id="1410734924">
      <w:bodyDiv w:val="1"/>
      <w:marLeft w:val="0"/>
      <w:marRight w:val="0"/>
      <w:marTop w:val="0"/>
      <w:marBottom w:val="0"/>
      <w:divBdr>
        <w:top w:val="none" w:sz="0" w:space="0" w:color="auto"/>
        <w:left w:val="none" w:sz="0" w:space="0" w:color="auto"/>
        <w:bottom w:val="none" w:sz="0" w:space="0" w:color="auto"/>
        <w:right w:val="none" w:sz="0" w:space="0" w:color="auto"/>
      </w:divBdr>
    </w:div>
    <w:div w:id="1412242407">
      <w:bodyDiv w:val="1"/>
      <w:marLeft w:val="0"/>
      <w:marRight w:val="0"/>
      <w:marTop w:val="0"/>
      <w:marBottom w:val="0"/>
      <w:divBdr>
        <w:top w:val="none" w:sz="0" w:space="0" w:color="auto"/>
        <w:left w:val="none" w:sz="0" w:space="0" w:color="auto"/>
        <w:bottom w:val="none" w:sz="0" w:space="0" w:color="auto"/>
        <w:right w:val="none" w:sz="0" w:space="0" w:color="auto"/>
      </w:divBdr>
      <w:divsChild>
        <w:div w:id="186677793">
          <w:marLeft w:val="1800"/>
          <w:marRight w:val="0"/>
          <w:marTop w:val="140"/>
          <w:marBottom w:val="0"/>
          <w:divBdr>
            <w:top w:val="none" w:sz="0" w:space="0" w:color="auto"/>
            <w:left w:val="none" w:sz="0" w:space="0" w:color="auto"/>
            <w:bottom w:val="none" w:sz="0" w:space="0" w:color="auto"/>
            <w:right w:val="none" w:sz="0" w:space="0" w:color="auto"/>
          </w:divBdr>
        </w:div>
        <w:div w:id="333802355">
          <w:marLeft w:val="1800"/>
          <w:marRight w:val="0"/>
          <w:marTop w:val="140"/>
          <w:marBottom w:val="0"/>
          <w:divBdr>
            <w:top w:val="none" w:sz="0" w:space="0" w:color="auto"/>
            <w:left w:val="none" w:sz="0" w:space="0" w:color="auto"/>
            <w:bottom w:val="none" w:sz="0" w:space="0" w:color="auto"/>
            <w:right w:val="none" w:sz="0" w:space="0" w:color="auto"/>
          </w:divBdr>
        </w:div>
        <w:div w:id="576868892">
          <w:marLeft w:val="1800"/>
          <w:marRight w:val="0"/>
          <w:marTop w:val="140"/>
          <w:marBottom w:val="0"/>
          <w:divBdr>
            <w:top w:val="none" w:sz="0" w:space="0" w:color="auto"/>
            <w:left w:val="none" w:sz="0" w:space="0" w:color="auto"/>
            <w:bottom w:val="none" w:sz="0" w:space="0" w:color="auto"/>
            <w:right w:val="none" w:sz="0" w:space="0" w:color="auto"/>
          </w:divBdr>
        </w:div>
        <w:div w:id="760760271">
          <w:marLeft w:val="1166"/>
          <w:marRight w:val="0"/>
          <w:marTop w:val="140"/>
          <w:marBottom w:val="0"/>
          <w:divBdr>
            <w:top w:val="none" w:sz="0" w:space="0" w:color="auto"/>
            <w:left w:val="none" w:sz="0" w:space="0" w:color="auto"/>
            <w:bottom w:val="none" w:sz="0" w:space="0" w:color="auto"/>
            <w:right w:val="none" w:sz="0" w:space="0" w:color="auto"/>
          </w:divBdr>
        </w:div>
        <w:div w:id="859048495">
          <w:marLeft w:val="1166"/>
          <w:marRight w:val="0"/>
          <w:marTop w:val="140"/>
          <w:marBottom w:val="0"/>
          <w:divBdr>
            <w:top w:val="none" w:sz="0" w:space="0" w:color="auto"/>
            <w:left w:val="none" w:sz="0" w:space="0" w:color="auto"/>
            <w:bottom w:val="none" w:sz="0" w:space="0" w:color="auto"/>
            <w:right w:val="none" w:sz="0" w:space="0" w:color="auto"/>
          </w:divBdr>
        </w:div>
        <w:div w:id="1238051085">
          <w:marLeft w:val="1800"/>
          <w:marRight w:val="0"/>
          <w:marTop w:val="140"/>
          <w:marBottom w:val="0"/>
          <w:divBdr>
            <w:top w:val="none" w:sz="0" w:space="0" w:color="auto"/>
            <w:left w:val="none" w:sz="0" w:space="0" w:color="auto"/>
            <w:bottom w:val="none" w:sz="0" w:space="0" w:color="auto"/>
            <w:right w:val="none" w:sz="0" w:space="0" w:color="auto"/>
          </w:divBdr>
        </w:div>
        <w:div w:id="1849905050">
          <w:marLeft w:val="547"/>
          <w:marRight w:val="0"/>
          <w:marTop w:val="140"/>
          <w:marBottom w:val="0"/>
          <w:divBdr>
            <w:top w:val="none" w:sz="0" w:space="0" w:color="auto"/>
            <w:left w:val="none" w:sz="0" w:space="0" w:color="auto"/>
            <w:bottom w:val="none" w:sz="0" w:space="0" w:color="auto"/>
            <w:right w:val="none" w:sz="0" w:space="0" w:color="auto"/>
          </w:divBdr>
        </w:div>
      </w:divsChild>
    </w:div>
    <w:div w:id="1412434313">
      <w:bodyDiv w:val="1"/>
      <w:marLeft w:val="0"/>
      <w:marRight w:val="0"/>
      <w:marTop w:val="0"/>
      <w:marBottom w:val="0"/>
      <w:divBdr>
        <w:top w:val="none" w:sz="0" w:space="0" w:color="auto"/>
        <w:left w:val="none" w:sz="0" w:space="0" w:color="auto"/>
        <w:bottom w:val="none" w:sz="0" w:space="0" w:color="auto"/>
        <w:right w:val="none" w:sz="0" w:space="0" w:color="auto"/>
      </w:divBdr>
    </w:div>
    <w:div w:id="1412463870">
      <w:bodyDiv w:val="1"/>
      <w:marLeft w:val="0"/>
      <w:marRight w:val="0"/>
      <w:marTop w:val="0"/>
      <w:marBottom w:val="0"/>
      <w:divBdr>
        <w:top w:val="none" w:sz="0" w:space="0" w:color="auto"/>
        <w:left w:val="none" w:sz="0" w:space="0" w:color="auto"/>
        <w:bottom w:val="none" w:sz="0" w:space="0" w:color="auto"/>
        <w:right w:val="none" w:sz="0" w:space="0" w:color="auto"/>
      </w:divBdr>
    </w:div>
    <w:div w:id="1413314967">
      <w:bodyDiv w:val="1"/>
      <w:marLeft w:val="0"/>
      <w:marRight w:val="0"/>
      <w:marTop w:val="0"/>
      <w:marBottom w:val="0"/>
      <w:divBdr>
        <w:top w:val="none" w:sz="0" w:space="0" w:color="auto"/>
        <w:left w:val="none" w:sz="0" w:space="0" w:color="auto"/>
        <w:bottom w:val="none" w:sz="0" w:space="0" w:color="auto"/>
        <w:right w:val="none" w:sz="0" w:space="0" w:color="auto"/>
      </w:divBdr>
    </w:div>
    <w:div w:id="1414162557">
      <w:bodyDiv w:val="1"/>
      <w:marLeft w:val="0"/>
      <w:marRight w:val="0"/>
      <w:marTop w:val="0"/>
      <w:marBottom w:val="0"/>
      <w:divBdr>
        <w:top w:val="none" w:sz="0" w:space="0" w:color="auto"/>
        <w:left w:val="none" w:sz="0" w:space="0" w:color="auto"/>
        <w:bottom w:val="none" w:sz="0" w:space="0" w:color="auto"/>
        <w:right w:val="none" w:sz="0" w:space="0" w:color="auto"/>
      </w:divBdr>
    </w:div>
    <w:div w:id="1414279175">
      <w:bodyDiv w:val="1"/>
      <w:marLeft w:val="0"/>
      <w:marRight w:val="0"/>
      <w:marTop w:val="0"/>
      <w:marBottom w:val="0"/>
      <w:divBdr>
        <w:top w:val="none" w:sz="0" w:space="0" w:color="auto"/>
        <w:left w:val="none" w:sz="0" w:space="0" w:color="auto"/>
        <w:bottom w:val="none" w:sz="0" w:space="0" w:color="auto"/>
        <w:right w:val="none" w:sz="0" w:space="0" w:color="auto"/>
      </w:divBdr>
    </w:div>
    <w:div w:id="1414400959">
      <w:bodyDiv w:val="1"/>
      <w:marLeft w:val="0"/>
      <w:marRight w:val="0"/>
      <w:marTop w:val="0"/>
      <w:marBottom w:val="0"/>
      <w:divBdr>
        <w:top w:val="none" w:sz="0" w:space="0" w:color="auto"/>
        <w:left w:val="none" w:sz="0" w:space="0" w:color="auto"/>
        <w:bottom w:val="none" w:sz="0" w:space="0" w:color="auto"/>
        <w:right w:val="none" w:sz="0" w:space="0" w:color="auto"/>
      </w:divBdr>
    </w:div>
    <w:div w:id="1414426953">
      <w:bodyDiv w:val="1"/>
      <w:marLeft w:val="0"/>
      <w:marRight w:val="0"/>
      <w:marTop w:val="0"/>
      <w:marBottom w:val="0"/>
      <w:divBdr>
        <w:top w:val="none" w:sz="0" w:space="0" w:color="auto"/>
        <w:left w:val="none" w:sz="0" w:space="0" w:color="auto"/>
        <w:bottom w:val="none" w:sz="0" w:space="0" w:color="auto"/>
        <w:right w:val="none" w:sz="0" w:space="0" w:color="auto"/>
      </w:divBdr>
      <w:divsChild>
        <w:div w:id="717245720">
          <w:marLeft w:val="0"/>
          <w:marRight w:val="0"/>
          <w:marTop w:val="96"/>
          <w:marBottom w:val="0"/>
          <w:divBdr>
            <w:top w:val="none" w:sz="0" w:space="0" w:color="auto"/>
            <w:left w:val="none" w:sz="0" w:space="0" w:color="auto"/>
            <w:bottom w:val="none" w:sz="0" w:space="0" w:color="auto"/>
            <w:right w:val="none" w:sz="0" w:space="0" w:color="auto"/>
          </w:divBdr>
        </w:div>
        <w:div w:id="1265385525">
          <w:marLeft w:val="720"/>
          <w:marRight w:val="0"/>
          <w:marTop w:val="96"/>
          <w:marBottom w:val="0"/>
          <w:divBdr>
            <w:top w:val="none" w:sz="0" w:space="0" w:color="auto"/>
            <w:left w:val="none" w:sz="0" w:space="0" w:color="auto"/>
            <w:bottom w:val="none" w:sz="0" w:space="0" w:color="auto"/>
            <w:right w:val="none" w:sz="0" w:space="0" w:color="auto"/>
          </w:divBdr>
        </w:div>
      </w:divsChild>
    </w:div>
    <w:div w:id="1414469945">
      <w:bodyDiv w:val="1"/>
      <w:marLeft w:val="0"/>
      <w:marRight w:val="0"/>
      <w:marTop w:val="0"/>
      <w:marBottom w:val="0"/>
      <w:divBdr>
        <w:top w:val="none" w:sz="0" w:space="0" w:color="auto"/>
        <w:left w:val="none" w:sz="0" w:space="0" w:color="auto"/>
        <w:bottom w:val="none" w:sz="0" w:space="0" w:color="auto"/>
        <w:right w:val="none" w:sz="0" w:space="0" w:color="auto"/>
      </w:divBdr>
    </w:div>
    <w:div w:id="1415010613">
      <w:bodyDiv w:val="1"/>
      <w:marLeft w:val="0"/>
      <w:marRight w:val="0"/>
      <w:marTop w:val="0"/>
      <w:marBottom w:val="0"/>
      <w:divBdr>
        <w:top w:val="none" w:sz="0" w:space="0" w:color="auto"/>
        <w:left w:val="none" w:sz="0" w:space="0" w:color="auto"/>
        <w:bottom w:val="none" w:sz="0" w:space="0" w:color="auto"/>
        <w:right w:val="none" w:sz="0" w:space="0" w:color="auto"/>
      </w:divBdr>
    </w:div>
    <w:div w:id="1415081866">
      <w:bodyDiv w:val="1"/>
      <w:marLeft w:val="0"/>
      <w:marRight w:val="0"/>
      <w:marTop w:val="0"/>
      <w:marBottom w:val="0"/>
      <w:divBdr>
        <w:top w:val="none" w:sz="0" w:space="0" w:color="auto"/>
        <w:left w:val="none" w:sz="0" w:space="0" w:color="auto"/>
        <w:bottom w:val="none" w:sz="0" w:space="0" w:color="auto"/>
        <w:right w:val="none" w:sz="0" w:space="0" w:color="auto"/>
      </w:divBdr>
    </w:div>
    <w:div w:id="1415783073">
      <w:bodyDiv w:val="1"/>
      <w:marLeft w:val="0"/>
      <w:marRight w:val="0"/>
      <w:marTop w:val="0"/>
      <w:marBottom w:val="0"/>
      <w:divBdr>
        <w:top w:val="none" w:sz="0" w:space="0" w:color="auto"/>
        <w:left w:val="none" w:sz="0" w:space="0" w:color="auto"/>
        <w:bottom w:val="none" w:sz="0" w:space="0" w:color="auto"/>
        <w:right w:val="none" w:sz="0" w:space="0" w:color="auto"/>
      </w:divBdr>
      <w:divsChild>
        <w:div w:id="115486208">
          <w:marLeft w:val="1800"/>
          <w:marRight w:val="0"/>
          <w:marTop w:val="96"/>
          <w:marBottom w:val="0"/>
          <w:divBdr>
            <w:top w:val="none" w:sz="0" w:space="0" w:color="auto"/>
            <w:left w:val="none" w:sz="0" w:space="0" w:color="auto"/>
            <w:bottom w:val="none" w:sz="0" w:space="0" w:color="auto"/>
            <w:right w:val="none" w:sz="0" w:space="0" w:color="auto"/>
          </w:divBdr>
        </w:div>
        <w:div w:id="121657321">
          <w:marLeft w:val="1800"/>
          <w:marRight w:val="0"/>
          <w:marTop w:val="96"/>
          <w:marBottom w:val="0"/>
          <w:divBdr>
            <w:top w:val="none" w:sz="0" w:space="0" w:color="auto"/>
            <w:left w:val="none" w:sz="0" w:space="0" w:color="auto"/>
            <w:bottom w:val="none" w:sz="0" w:space="0" w:color="auto"/>
            <w:right w:val="none" w:sz="0" w:space="0" w:color="auto"/>
          </w:divBdr>
        </w:div>
        <w:div w:id="168328858">
          <w:marLeft w:val="1800"/>
          <w:marRight w:val="0"/>
          <w:marTop w:val="96"/>
          <w:marBottom w:val="0"/>
          <w:divBdr>
            <w:top w:val="none" w:sz="0" w:space="0" w:color="auto"/>
            <w:left w:val="none" w:sz="0" w:space="0" w:color="auto"/>
            <w:bottom w:val="none" w:sz="0" w:space="0" w:color="auto"/>
            <w:right w:val="none" w:sz="0" w:space="0" w:color="auto"/>
          </w:divBdr>
        </w:div>
        <w:div w:id="222761979">
          <w:marLeft w:val="1166"/>
          <w:marRight w:val="0"/>
          <w:marTop w:val="106"/>
          <w:marBottom w:val="0"/>
          <w:divBdr>
            <w:top w:val="none" w:sz="0" w:space="0" w:color="auto"/>
            <w:left w:val="none" w:sz="0" w:space="0" w:color="auto"/>
            <w:bottom w:val="none" w:sz="0" w:space="0" w:color="auto"/>
            <w:right w:val="none" w:sz="0" w:space="0" w:color="auto"/>
          </w:divBdr>
        </w:div>
        <w:div w:id="465515511">
          <w:marLeft w:val="1800"/>
          <w:marRight w:val="0"/>
          <w:marTop w:val="96"/>
          <w:marBottom w:val="0"/>
          <w:divBdr>
            <w:top w:val="none" w:sz="0" w:space="0" w:color="auto"/>
            <w:left w:val="none" w:sz="0" w:space="0" w:color="auto"/>
            <w:bottom w:val="none" w:sz="0" w:space="0" w:color="auto"/>
            <w:right w:val="none" w:sz="0" w:space="0" w:color="auto"/>
          </w:divBdr>
        </w:div>
        <w:div w:id="532041446">
          <w:marLeft w:val="1800"/>
          <w:marRight w:val="0"/>
          <w:marTop w:val="96"/>
          <w:marBottom w:val="0"/>
          <w:divBdr>
            <w:top w:val="none" w:sz="0" w:space="0" w:color="auto"/>
            <w:left w:val="none" w:sz="0" w:space="0" w:color="auto"/>
            <w:bottom w:val="none" w:sz="0" w:space="0" w:color="auto"/>
            <w:right w:val="none" w:sz="0" w:space="0" w:color="auto"/>
          </w:divBdr>
        </w:div>
        <w:div w:id="733624588">
          <w:marLeft w:val="1166"/>
          <w:marRight w:val="0"/>
          <w:marTop w:val="106"/>
          <w:marBottom w:val="0"/>
          <w:divBdr>
            <w:top w:val="none" w:sz="0" w:space="0" w:color="auto"/>
            <w:left w:val="none" w:sz="0" w:space="0" w:color="auto"/>
            <w:bottom w:val="none" w:sz="0" w:space="0" w:color="auto"/>
            <w:right w:val="none" w:sz="0" w:space="0" w:color="auto"/>
          </w:divBdr>
        </w:div>
        <w:div w:id="1290549023">
          <w:marLeft w:val="1800"/>
          <w:marRight w:val="0"/>
          <w:marTop w:val="96"/>
          <w:marBottom w:val="0"/>
          <w:divBdr>
            <w:top w:val="none" w:sz="0" w:space="0" w:color="auto"/>
            <w:left w:val="none" w:sz="0" w:space="0" w:color="auto"/>
            <w:bottom w:val="none" w:sz="0" w:space="0" w:color="auto"/>
            <w:right w:val="none" w:sz="0" w:space="0" w:color="auto"/>
          </w:divBdr>
        </w:div>
        <w:div w:id="1330404915">
          <w:marLeft w:val="1800"/>
          <w:marRight w:val="0"/>
          <w:marTop w:val="96"/>
          <w:marBottom w:val="0"/>
          <w:divBdr>
            <w:top w:val="none" w:sz="0" w:space="0" w:color="auto"/>
            <w:left w:val="none" w:sz="0" w:space="0" w:color="auto"/>
            <w:bottom w:val="none" w:sz="0" w:space="0" w:color="auto"/>
            <w:right w:val="none" w:sz="0" w:space="0" w:color="auto"/>
          </w:divBdr>
        </w:div>
        <w:div w:id="1423261524">
          <w:marLeft w:val="547"/>
          <w:marRight w:val="0"/>
          <w:marTop w:val="0"/>
          <w:marBottom w:val="0"/>
          <w:divBdr>
            <w:top w:val="none" w:sz="0" w:space="0" w:color="auto"/>
            <w:left w:val="none" w:sz="0" w:space="0" w:color="auto"/>
            <w:bottom w:val="none" w:sz="0" w:space="0" w:color="auto"/>
            <w:right w:val="none" w:sz="0" w:space="0" w:color="auto"/>
          </w:divBdr>
        </w:div>
        <w:div w:id="1492939643">
          <w:marLeft w:val="1166"/>
          <w:marRight w:val="0"/>
          <w:marTop w:val="106"/>
          <w:marBottom w:val="0"/>
          <w:divBdr>
            <w:top w:val="none" w:sz="0" w:space="0" w:color="auto"/>
            <w:left w:val="none" w:sz="0" w:space="0" w:color="auto"/>
            <w:bottom w:val="none" w:sz="0" w:space="0" w:color="auto"/>
            <w:right w:val="none" w:sz="0" w:space="0" w:color="auto"/>
          </w:divBdr>
        </w:div>
        <w:div w:id="1992563377">
          <w:marLeft w:val="1166"/>
          <w:marRight w:val="0"/>
          <w:marTop w:val="106"/>
          <w:marBottom w:val="0"/>
          <w:divBdr>
            <w:top w:val="none" w:sz="0" w:space="0" w:color="auto"/>
            <w:left w:val="none" w:sz="0" w:space="0" w:color="auto"/>
            <w:bottom w:val="none" w:sz="0" w:space="0" w:color="auto"/>
            <w:right w:val="none" w:sz="0" w:space="0" w:color="auto"/>
          </w:divBdr>
        </w:div>
      </w:divsChild>
    </w:div>
    <w:div w:id="1416321903">
      <w:bodyDiv w:val="1"/>
      <w:marLeft w:val="0"/>
      <w:marRight w:val="0"/>
      <w:marTop w:val="0"/>
      <w:marBottom w:val="0"/>
      <w:divBdr>
        <w:top w:val="none" w:sz="0" w:space="0" w:color="auto"/>
        <w:left w:val="none" w:sz="0" w:space="0" w:color="auto"/>
        <w:bottom w:val="none" w:sz="0" w:space="0" w:color="auto"/>
        <w:right w:val="none" w:sz="0" w:space="0" w:color="auto"/>
      </w:divBdr>
    </w:div>
    <w:div w:id="1417167623">
      <w:bodyDiv w:val="1"/>
      <w:marLeft w:val="0"/>
      <w:marRight w:val="0"/>
      <w:marTop w:val="0"/>
      <w:marBottom w:val="0"/>
      <w:divBdr>
        <w:top w:val="none" w:sz="0" w:space="0" w:color="auto"/>
        <w:left w:val="none" w:sz="0" w:space="0" w:color="auto"/>
        <w:bottom w:val="none" w:sz="0" w:space="0" w:color="auto"/>
        <w:right w:val="none" w:sz="0" w:space="0" w:color="auto"/>
      </w:divBdr>
      <w:divsChild>
        <w:div w:id="774642085">
          <w:marLeft w:val="547"/>
          <w:marRight w:val="0"/>
          <w:marTop w:val="144"/>
          <w:marBottom w:val="0"/>
          <w:divBdr>
            <w:top w:val="none" w:sz="0" w:space="0" w:color="auto"/>
            <w:left w:val="none" w:sz="0" w:space="0" w:color="auto"/>
            <w:bottom w:val="none" w:sz="0" w:space="0" w:color="auto"/>
            <w:right w:val="none" w:sz="0" w:space="0" w:color="auto"/>
          </w:divBdr>
        </w:div>
        <w:div w:id="838229739">
          <w:marLeft w:val="1166"/>
          <w:marRight w:val="0"/>
          <w:marTop w:val="125"/>
          <w:marBottom w:val="0"/>
          <w:divBdr>
            <w:top w:val="none" w:sz="0" w:space="0" w:color="auto"/>
            <w:left w:val="none" w:sz="0" w:space="0" w:color="auto"/>
            <w:bottom w:val="none" w:sz="0" w:space="0" w:color="auto"/>
            <w:right w:val="none" w:sz="0" w:space="0" w:color="auto"/>
          </w:divBdr>
        </w:div>
        <w:div w:id="968902580">
          <w:marLeft w:val="547"/>
          <w:marRight w:val="0"/>
          <w:marTop w:val="144"/>
          <w:marBottom w:val="0"/>
          <w:divBdr>
            <w:top w:val="none" w:sz="0" w:space="0" w:color="auto"/>
            <w:left w:val="none" w:sz="0" w:space="0" w:color="auto"/>
            <w:bottom w:val="none" w:sz="0" w:space="0" w:color="auto"/>
            <w:right w:val="none" w:sz="0" w:space="0" w:color="auto"/>
          </w:divBdr>
        </w:div>
        <w:div w:id="1942300100">
          <w:marLeft w:val="1166"/>
          <w:marRight w:val="0"/>
          <w:marTop w:val="125"/>
          <w:marBottom w:val="0"/>
          <w:divBdr>
            <w:top w:val="none" w:sz="0" w:space="0" w:color="auto"/>
            <w:left w:val="none" w:sz="0" w:space="0" w:color="auto"/>
            <w:bottom w:val="none" w:sz="0" w:space="0" w:color="auto"/>
            <w:right w:val="none" w:sz="0" w:space="0" w:color="auto"/>
          </w:divBdr>
        </w:div>
      </w:divsChild>
    </w:div>
    <w:div w:id="1417676457">
      <w:bodyDiv w:val="1"/>
      <w:marLeft w:val="0"/>
      <w:marRight w:val="0"/>
      <w:marTop w:val="0"/>
      <w:marBottom w:val="0"/>
      <w:divBdr>
        <w:top w:val="none" w:sz="0" w:space="0" w:color="auto"/>
        <w:left w:val="none" w:sz="0" w:space="0" w:color="auto"/>
        <w:bottom w:val="none" w:sz="0" w:space="0" w:color="auto"/>
        <w:right w:val="none" w:sz="0" w:space="0" w:color="auto"/>
      </w:divBdr>
      <w:divsChild>
        <w:div w:id="504323691">
          <w:marLeft w:val="1166"/>
          <w:marRight w:val="0"/>
          <w:marTop w:val="115"/>
          <w:marBottom w:val="0"/>
          <w:divBdr>
            <w:top w:val="none" w:sz="0" w:space="0" w:color="auto"/>
            <w:left w:val="none" w:sz="0" w:space="0" w:color="auto"/>
            <w:bottom w:val="none" w:sz="0" w:space="0" w:color="auto"/>
            <w:right w:val="none" w:sz="0" w:space="0" w:color="auto"/>
          </w:divBdr>
        </w:div>
        <w:div w:id="934047289">
          <w:marLeft w:val="547"/>
          <w:marRight w:val="0"/>
          <w:marTop w:val="134"/>
          <w:marBottom w:val="0"/>
          <w:divBdr>
            <w:top w:val="none" w:sz="0" w:space="0" w:color="auto"/>
            <w:left w:val="none" w:sz="0" w:space="0" w:color="auto"/>
            <w:bottom w:val="none" w:sz="0" w:space="0" w:color="auto"/>
            <w:right w:val="none" w:sz="0" w:space="0" w:color="auto"/>
          </w:divBdr>
        </w:div>
        <w:div w:id="1099906815">
          <w:marLeft w:val="1166"/>
          <w:marRight w:val="0"/>
          <w:marTop w:val="115"/>
          <w:marBottom w:val="0"/>
          <w:divBdr>
            <w:top w:val="none" w:sz="0" w:space="0" w:color="auto"/>
            <w:left w:val="none" w:sz="0" w:space="0" w:color="auto"/>
            <w:bottom w:val="none" w:sz="0" w:space="0" w:color="auto"/>
            <w:right w:val="none" w:sz="0" w:space="0" w:color="auto"/>
          </w:divBdr>
        </w:div>
        <w:div w:id="1972514090">
          <w:marLeft w:val="1800"/>
          <w:marRight w:val="0"/>
          <w:marTop w:val="96"/>
          <w:marBottom w:val="0"/>
          <w:divBdr>
            <w:top w:val="none" w:sz="0" w:space="0" w:color="auto"/>
            <w:left w:val="none" w:sz="0" w:space="0" w:color="auto"/>
            <w:bottom w:val="none" w:sz="0" w:space="0" w:color="auto"/>
            <w:right w:val="none" w:sz="0" w:space="0" w:color="auto"/>
          </w:divBdr>
        </w:div>
        <w:div w:id="1978367724">
          <w:marLeft w:val="1166"/>
          <w:marRight w:val="0"/>
          <w:marTop w:val="115"/>
          <w:marBottom w:val="0"/>
          <w:divBdr>
            <w:top w:val="none" w:sz="0" w:space="0" w:color="auto"/>
            <w:left w:val="none" w:sz="0" w:space="0" w:color="auto"/>
            <w:bottom w:val="none" w:sz="0" w:space="0" w:color="auto"/>
            <w:right w:val="none" w:sz="0" w:space="0" w:color="auto"/>
          </w:divBdr>
        </w:div>
      </w:divsChild>
    </w:div>
    <w:div w:id="1418287994">
      <w:bodyDiv w:val="1"/>
      <w:marLeft w:val="0"/>
      <w:marRight w:val="0"/>
      <w:marTop w:val="0"/>
      <w:marBottom w:val="0"/>
      <w:divBdr>
        <w:top w:val="none" w:sz="0" w:space="0" w:color="auto"/>
        <w:left w:val="none" w:sz="0" w:space="0" w:color="auto"/>
        <w:bottom w:val="none" w:sz="0" w:space="0" w:color="auto"/>
        <w:right w:val="none" w:sz="0" w:space="0" w:color="auto"/>
      </w:divBdr>
    </w:div>
    <w:div w:id="1418332092">
      <w:bodyDiv w:val="1"/>
      <w:marLeft w:val="0"/>
      <w:marRight w:val="0"/>
      <w:marTop w:val="0"/>
      <w:marBottom w:val="0"/>
      <w:divBdr>
        <w:top w:val="none" w:sz="0" w:space="0" w:color="auto"/>
        <w:left w:val="none" w:sz="0" w:space="0" w:color="auto"/>
        <w:bottom w:val="none" w:sz="0" w:space="0" w:color="auto"/>
        <w:right w:val="none" w:sz="0" w:space="0" w:color="auto"/>
      </w:divBdr>
    </w:div>
    <w:div w:id="1418746779">
      <w:bodyDiv w:val="1"/>
      <w:marLeft w:val="0"/>
      <w:marRight w:val="0"/>
      <w:marTop w:val="0"/>
      <w:marBottom w:val="0"/>
      <w:divBdr>
        <w:top w:val="none" w:sz="0" w:space="0" w:color="auto"/>
        <w:left w:val="none" w:sz="0" w:space="0" w:color="auto"/>
        <w:bottom w:val="none" w:sz="0" w:space="0" w:color="auto"/>
        <w:right w:val="none" w:sz="0" w:space="0" w:color="auto"/>
      </w:divBdr>
      <w:divsChild>
        <w:div w:id="476607381">
          <w:marLeft w:val="1800"/>
          <w:marRight w:val="0"/>
          <w:marTop w:val="86"/>
          <w:marBottom w:val="0"/>
          <w:divBdr>
            <w:top w:val="none" w:sz="0" w:space="0" w:color="auto"/>
            <w:left w:val="none" w:sz="0" w:space="0" w:color="auto"/>
            <w:bottom w:val="none" w:sz="0" w:space="0" w:color="auto"/>
            <w:right w:val="none" w:sz="0" w:space="0" w:color="auto"/>
          </w:divBdr>
        </w:div>
        <w:div w:id="1680353041">
          <w:marLeft w:val="547"/>
          <w:marRight w:val="0"/>
          <w:marTop w:val="115"/>
          <w:marBottom w:val="0"/>
          <w:divBdr>
            <w:top w:val="none" w:sz="0" w:space="0" w:color="auto"/>
            <w:left w:val="none" w:sz="0" w:space="0" w:color="auto"/>
            <w:bottom w:val="none" w:sz="0" w:space="0" w:color="auto"/>
            <w:right w:val="none" w:sz="0" w:space="0" w:color="auto"/>
          </w:divBdr>
        </w:div>
        <w:div w:id="1988316777">
          <w:marLeft w:val="1166"/>
          <w:marRight w:val="0"/>
          <w:marTop w:val="96"/>
          <w:marBottom w:val="0"/>
          <w:divBdr>
            <w:top w:val="none" w:sz="0" w:space="0" w:color="auto"/>
            <w:left w:val="none" w:sz="0" w:space="0" w:color="auto"/>
            <w:bottom w:val="none" w:sz="0" w:space="0" w:color="auto"/>
            <w:right w:val="none" w:sz="0" w:space="0" w:color="auto"/>
          </w:divBdr>
        </w:div>
      </w:divsChild>
    </w:div>
    <w:div w:id="1419719284">
      <w:bodyDiv w:val="1"/>
      <w:marLeft w:val="0"/>
      <w:marRight w:val="0"/>
      <w:marTop w:val="0"/>
      <w:marBottom w:val="0"/>
      <w:divBdr>
        <w:top w:val="none" w:sz="0" w:space="0" w:color="auto"/>
        <w:left w:val="none" w:sz="0" w:space="0" w:color="auto"/>
        <w:bottom w:val="none" w:sz="0" w:space="0" w:color="auto"/>
        <w:right w:val="none" w:sz="0" w:space="0" w:color="auto"/>
      </w:divBdr>
    </w:div>
    <w:div w:id="1420954309">
      <w:bodyDiv w:val="1"/>
      <w:marLeft w:val="0"/>
      <w:marRight w:val="0"/>
      <w:marTop w:val="0"/>
      <w:marBottom w:val="0"/>
      <w:divBdr>
        <w:top w:val="none" w:sz="0" w:space="0" w:color="auto"/>
        <w:left w:val="none" w:sz="0" w:space="0" w:color="auto"/>
        <w:bottom w:val="none" w:sz="0" w:space="0" w:color="auto"/>
        <w:right w:val="none" w:sz="0" w:space="0" w:color="auto"/>
      </w:divBdr>
    </w:div>
    <w:div w:id="1421177662">
      <w:bodyDiv w:val="1"/>
      <w:marLeft w:val="0"/>
      <w:marRight w:val="0"/>
      <w:marTop w:val="0"/>
      <w:marBottom w:val="0"/>
      <w:divBdr>
        <w:top w:val="none" w:sz="0" w:space="0" w:color="auto"/>
        <w:left w:val="none" w:sz="0" w:space="0" w:color="auto"/>
        <w:bottom w:val="none" w:sz="0" w:space="0" w:color="auto"/>
        <w:right w:val="none" w:sz="0" w:space="0" w:color="auto"/>
      </w:divBdr>
      <w:divsChild>
        <w:div w:id="171451944">
          <w:marLeft w:val="1166"/>
          <w:marRight w:val="0"/>
          <w:marTop w:val="96"/>
          <w:marBottom w:val="0"/>
          <w:divBdr>
            <w:top w:val="none" w:sz="0" w:space="0" w:color="auto"/>
            <w:left w:val="none" w:sz="0" w:space="0" w:color="auto"/>
            <w:bottom w:val="none" w:sz="0" w:space="0" w:color="auto"/>
            <w:right w:val="none" w:sz="0" w:space="0" w:color="auto"/>
          </w:divBdr>
        </w:div>
        <w:div w:id="266353208">
          <w:marLeft w:val="1800"/>
          <w:marRight w:val="0"/>
          <w:marTop w:val="91"/>
          <w:marBottom w:val="0"/>
          <w:divBdr>
            <w:top w:val="none" w:sz="0" w:space="0" w:color="auto"/>
            <w:left w:val="none" w:sz="0" w:space="0" w:color="auto"/>
            <w:bottom w:val="none" w:sz="0" w:space="0" w:color="auto"/>
            <w:right w:val="none" w:sz="0" w:space="0" w:color="auto"/>
          </w:divBdr>
        </w:div>
        <w:div w:id="312686466">
          <w:marLeft w:val="1166"/>
          <w:marRight w:val="0"/>
          <w:marTop w:val="96"/>
          <w:marBottom w:val="0"/>
          <w:divBdr>
            <w:top w:val="none" w:sz="0" w:space="0" w:color="auto"/>
            <w:left w:val="none" w:sz="0" w:space="0" w:color="auto"/>
            <w:bottom w:val="none" w:sz="0" w:space="0" w:color="auto"/>
            <w:right w:val="none" w:sz="0" w:space="0" w:color="auto"/>
          </w:divBdr>
        </w:div>
        <w:div w:id="662011089">
          <w:marLeft w:val="1800"/>
          <w:marRight w:val="0"/>
          <w:marTop w:val="91"/>
          <w:marBottom w:val="0"/>
          <w:divBdr>
            <w:top w:val="none" w:sz="0" w:space="0" w:color="auto"/>
            <w:left w:val="none" w:sz="0" w:space="0" w:color="auto"/>
            <w:bottom w:val="none" w:sz="0" w:space="0" w:color="auto"/>
            <w:right w:val="none" w:sz="0" w:space="0" w:color="auto"/>
          </w:divBdr>
        </w:div>
        <w:div w:id="886334862">
          <w:marLeft w:val="1800"/>
          <w:marRight w:val="0"/>
          <w:marTop w:val="91"/>
          <w:marBottom w:val="0"/>
          <w:divBdr>
            <w:top w:val="none" w:sz="0" w:space="0" w:color="auto"/>
            <w:left w:val="none" w:sz="0" w:space="0" w:color="auto"/>
            <w:bottom w:val="none" w:sz="0" w:space="0" w:color="auto"/>
            <w:right w:val="none" w:sz="0" w:space="0" w:color="auto"/>
          </w:divBdr>
        </w:div>
        <w:div w:id="954554947">
          <w:marLeft w:val="1166"/>
          <w:marRight w:val="0"/>
          <w:marTop w:val="96"/>
          <w:marBottom w:val="0"/>
          <w:divBdr>
            <w:top w:val="none" w:sz="0" w:space="0" w:color="auto"/>
            <w:left w:val="none" w:sz="0" w:space="0" w:color="auto"/>
            <w:bottom w:val="none" w:sz="0" w:space="0" w:color="auto"/>
            <w:right w:val="none" w:sz="0" w:space="0" w:color="auto"/>
          </w:divBdr>
        </w:div>
        <w:div w:id="1023940596">
          <w:marLeft w:val="1800"/>
          <w:marRight w:val="0"/>
          <w:marTop w:val="91"/>
          <w:marBottom w:val="0"/>
          <w:divBdr>
            <w:top w:val="none" w:sz="0" w:space="0" w:color="auto"/>
            <w:left w:val="none" w:sz="0" w:space="0" w:color="auto"/>
            <w:bottom w:val="none" w:sz="0" w:space="0" w:color="auto"/>
            <w:right w:val="none" w:sz="0" w:space="0" w:color="auto"/>
          </w:divBdr>
        </w:div>
        <w:div w:id="1488201773">
          <w:marLeft w:val="1166"/>
          <w:marRight w:val="0"/>
          <w:marTop w:val="96"/>
          <w:marBottom w:val="0"/>
          <w:divBdr>
            <w:top w:val="none" w:sz="0" w:space="0" w:color="auto"/>
            <w:left w:val="none" w:sz="0" w:space="0" w:color="auto"/>
            <w:bottom w:val="none" w:sz="0" w:space="0" w:color="auto"/>
            <w:right w:val="none" w:sz="0" w:space="0" w:color="auto"/>
          </w:divBdr>
        </w:div>
        <w:div w:id="2039547041">
          <w:marLeft w:val="547"/>
          <w:marRight w:val="0"/>
          <w:marTop w:val="115"/>
          <w:marBottom w:val="0"/>
          <w:divBdr>
            <w:top w:val="none" w:sz="0" w:space="0" w:color="auto"/>
            <w:left w:val="none" w:sz="0" w:space="0" w:color="auto"/>
            <w:bottom w:val="none" w:sz="0" w:space="0" w:color="auto"/>
            <w:right w:val="none" w:sz="0" w:space="0" w:color="auto"/>
          </w:divBdr>
        </w:div>
      </w:divsChild>
    </w:div>
    <w:div w:id="1421484314">
      <w:bodyDiv w:val="1"/>
      <w:marLeft w:val="0"/>
      <w:marRight w:val="0"/>
      <w:marTop w:val="0"/>
      <w:marBottom w:val="0"/>
      <w:divBdr>
        <w:top w:val="none" w:sz="0" w:space="0" w:color="auto"/>
        <w:left w:val="none" w:sz="0" w:space="0" w:color="auto"/>
        <w:bottom w:val="none" w:sz="0" w:space="0" w:color="auto"/>
        <w:right w:val="none" w:sz="0" w:space="0" w:color="auto"/>
      </w:divBdr>
    </w:div>
    <w:div w:id="1421563475">
      <w:bodyDiv w:val="1"/>
      <w:marLeft w:val="0"/>
      <w:marRight w:val="0"/>
      <w:marTop w:val="0"/>
      <w:marBottom w:val="0"/>
      <w:divBdr>
        <w:top w:val="none" w:sz="0" w:space="0" w:color="auto"/>
        <w:left w:val="none" w:sz="0" w:space="0" w:color="auto"/>
        <w:bottom w:val="none" w:sz="0" w:space="0" w:color="auto"/>
        <w:right w:val="none" w:sz="0" w:space="0" w:color="auto"/>
      </w:divBdr>
      <w:divsChild>
        <w:div w:id="361980390">
          <w:marLeft w:val="1166"/>
          <w:marRight w:val="0"/>
          <w:marTop w:val="96"/>
          <w:marBottom w:val="0"/>
          <w:divBdr>
            <w:top w:val="none" w:sz="0" w:space="0" w:color="auto"/>
            <w:left w:val="none" w:sz="0" w:space="0" w:color="auto"/>
            <w:bottom w:val="none" w:sz="0" w:space="0" w:color="auto"/>
            <w:right w:val="none" w:sz="0" w:space="0" w:color="auto"/>
          </w:divBdr>
        </w:div>
        <w:div w:id="1582762347">
          <w:marLeft w:val="1800"/>
          <w:marRight w:val="0"/>
          <w:marTop w:val="86"/>
          <w:marBottom w:val="0"/>
          <w:divBdr>
            <w:top w:val="none" w:sz="0" w:space="0" w:color="auto"/>
            <w:left w:val="none" w:sz="0" w:space="0" w:color="auto"/>
            <w:bottom w:val="none" w:sz="0" w:space="0" w:color="auto"/>
            <w:right w:val="none" w:sz="0" w:space="0" w:color="auto"/>
          </w:divBdr>
        </w:div>
        <w:div w:id="1745255098">
          <w:marLeft w:val="2520"/>
          <w:marRight w:val="0"/>
          <w:marTop w:val="77"/>
          <w:marBottom w:val="0"/>
          <w:divBdr>
            <w:top w:val="none" w:sz="0" w:space="0" w:color="auto"/>
            <w:left w:val="none" w:sz="0" w:space="0" w:color="auto"/>
            <w:bottom w:val="none" w:sz="0" w:space="0" w:color="auto"/>
            <w:right w:val="none" w:sz="0" w:space="0" w:color="auto"/>
          </w:divBdr>
        </w:div>
        <w:div w:id="1760903107">
          <w:marLeft w:val="2520"/>
          <w:marRight w:val="0"/>
          <w:marTop w:val="77"/>
          <w:marBottom w:val="0"/>
          <w:divBdr>
            <w:top w:val="none" w:sz="0" w:space="0" w:color="auto"/>
            <w:left w:val="none" w:sz="0" w:space="0" w:color="auto"/>
            <w:bottom w:val="none" w:sz="0" w:space="0" w:color="auto"/>
            <w:right w:val="none" w:sz="0" w:space="0" w:color="auto"/>
          </w:divBdr>
        </w:div>
        <w:div w:id="2008895246">
          <w:marLeft w:val="547"/>
          <w:marRight w:val="0"/>
          <w:marTop w:val="115"/>
          <w:marBottom w:val="0"/>
          <w:divBdr>
            <w:top w:val="none" w:sz="0" w:space="0" w:color="auto"/>
            <w:left w:val="none" w:sz="0" w:space="0" w:color="auto"/>
            <w:bottom w:val="none" w:sz="0" w:space="0" w:color="auto"/>
            <w:right w:val="none" w:sz="0" w:space="0" w:color="auto"/>
          </w:divBdr>
        </w:div>
      </w:divsChild>
    </w:div>
    <w:div w:id="1422068983">
      <w:bodyDiv w:val="1"/>
      <w:marLeft w:val="0"/>
      <w:marRight w:val="0"/>
      <w:marTop w:val="0"/>
      <w:marBottom w:val="0"/>
      <w:divBdr>
        <w:top w:val="none" w:sz="0" w:space="0" w:color="auto"/>
        <w:left w:val="none" w:sz="0" w:space="0" w:color="auto"/>
        <w:bottom w:val="none" w:sz="0" w:space="0" w:color="auto"/>
        <w:right w:val="none" w:sz="0" w:space="0" w:color="auto"/>
      </w:divBdr>
      <w:divsChild>
        <w:div w:id="117260437">
          <w:marLeft w:val="547"/>
          <w:marRight w:val="0"/>
          <w:marTop w:val="96"/>
          <w:marBottom w:val="0"/>
          <w:divBdr>
            <w:top w:val="none" w:sz="0" w:space="0" w:color="auto"/>
            <w:left w:val="none" w:sz="0" w:space="0" w:color="auto"/>
            <w:bottom w:val="none" w:sz="0" w:space="0" w:color="auto"/>
            <w:right w:val="none" w:sz="0" w:space="0" w:color="auto"/>
          </w:divBdr>
        </w:div>
        <w:div w:id="234366758">
          <w:marLeft w:val="547"/>
          <w:marRight w:val="0"/>
          <w:marTop w:val="96"/>
          <w:marBottom w:val="0"/>
          <w:divBdr>
            <w:top w:val="none" w:sz="0" w:space="0" w:color="auto"/>
            <w:left w:val="none" w:sz="0" w:space="0" w:color="auto"/>
            <w:bottom w:val="none" w:sz="0" w:space="0" w:color="auto"/>
            <w:right w:val="none" w:sz="0" w:space="0" w:color="auto"/>
          </w:divBdr>
        </w:div>
        <w:div w:id="948008585">
          <w:marLeft w:val="547"/>
          <w:marRight w:val="0"/>
          <w:marTop w:val="96"/>
          <w:marBottom w:val="0"/>
          <w:divBdr>
            <w:top w:val="none" w:sz="0" w:space="0" w:color="auto"/>
            <w:left w:val="none" w:sz="0" w:space="0" w:color="auto"/>
            <w:bottom w:val="none" w:sz="0" w:space="0" w:color="auto"/>
            <w:right w:val="none" w:sz="0" w:space="0" w:color="auto"/>
          </w:divBdr>
        </w:div>
        <w:div w:id="1347975713">
          <w:marLeft w:val="547"/>
          <w:marRight w:val="0"/>
          <w:marTop w:val="96"/>
          <w:marBottom w:val="0"/>
          <w:divBdr>
            <w:top w:val="none" w:sz="0" w:space="0" w:color="auto"/>
            <w:left w:val="none" w:sz="0" w:space="0" w:color="auto"/>
            <w:bottom w:val="none" w:sz="0" w:space="0" w:color="auto"/>
            <w:right w:val="none" w:sz="0" w:space="0" w:color="auto"/>
          </w:divBdr>
        </w:div>
        <w:div w:id="1381243689">
          <w:marLeft w:val="547"/>
          <w:marRight w:val="0"/>
          <w:marTop w:val="96"/>
          <w:marBottom w:val="0"/>
          <w:divBdr>
            <w:top w:val="none" w:sz="0" w:space="0" w:color="auto"/>
            <w:left w:val="none" w:sz="0" w:space="0" w:color="auto"/>
            <w:bottom w:val="none" w:sz="0" w:space="0" w:color="auto"/>
            <w:right w:val="none" w:sz="0" w:space="0" w:color="auto"/>
          </w:divBdr>
        </w:div>
        <w:div w:id="1743597827">
          <w:marLeft w:val="1166"/>
          <w:marRight w:val="0"/>
          <w:marTop w:val="86"/>
          <w:marBottom w:val="0"/>
          <w:divBdr>
            <w:top w:val="none" w:sz="0" w:space="0" w:color="auto"/>
            <w:left w:val="none" w:sz="0" w:space="0" w:color="auto"/>
            <w:bottom w:val="none" w:sz="0" w:space="0" w:color="auto"/>
            <w:right w:val="none" w:sz="0" w:space="0" w:color="auto"/>
          </w:divBdr>
        </w:div>
        <w:div w:id="1790082978">
          <w:marLeft w:val="547"/>
          <w:marRight w:val="0"/>
          <w:marTop w:val="96"/>
          <w:marBottom w:val="0"/>
          <w:divBdr>
            <w:top w:val="none" w:sz="0" w:space="0" w:color="auto"/>
            <w:left w:val="none" w:sz="0" w:space="0" w:color="auto"/>
            <w:bottom w:val="none" w:sz="0" w:space="0" w:color="auto"/>
            <w:right w:val="none" w:sz="0" w:space="0" w:color="auto"/>
          </w:divBdr>
        </w:div>
        <w:div w:id="2118333422">
          <w:marLeft w:val="547"/>
          <w:marRight w:val="0"/>
          <w:marTop w:val="96"/>
          <w:marBottom w:val="0"/>
          <w:divBdr>
            <w:top w:val="none" w:sz="0" w:space="0" w:color="auto"/>
            <w:left w:val="none" w:sz="0" w:space="0" w:color="auto"/>
            <w:bottom w:val="none" w:sz="0" w:space="0" w:color="auto"/>
            <w:right w:val="none" w:sz="0" w:space="0" w:color="auto"/>
          </w:divBdr>
        </w:div>
      </w:divsChild>
    </w:div>
    <w:div w:id="1422334654">
      <w:bodyDiv w:val="1"/>
      <w:marLeft w:val="0"/>
      <w:marRight w:val="0"/>
      <w:marTop w:val="0"/>
      <w:marBottom w:val="0"/>
      <w:divBdr>
        <w:top w:val="none" w:sz="0" w:space="0" w:color="auto"/>
        <w:left w:val="none" w:sz="0" w:space="0" w:color="auto"/>
        <w:bottom w:val="none" w:sz="0" w:space="0" w:color="auto"/>
        <w:right w:val="none" w:sz="0" w:space="0" w:color="auto"/>
      </w:divBdr>
      <w:divsChild>
        <w:div w:id="179660205">
          <w:marLeft w:val="1800"/>
          <w:marRight w:val="0"/>
          <w:marTop w:val="115"/>
          <w:marBottom w:val="0"/>
          <w:divBdr>
            <w:top w:val="none" w:sz="0" w:space="0" w:color="auto"/>
            <w:left w:val="none" w:sz="0" w:space="0" w:color="auto"/>
            <w:bottom w:val="none" w:sz="0" w:space="0" w:color="auto"/>
            <w:right w:val="none" w:sz="0" w:space="0" w:color="auto"/>
          </w:divBdr>
        </w:div>
        <w:div w:id="673605522">
          <w:marLeft w:val="547"/>
          <w:marRight w:val="0"/>
          <w:marTop w:val="154"/>
          <w:marBottom w:val="0"/>
          <w:divBdr>
            <w:top w:val="none" w:sz="0" w:space="0" w:color="auto"/>
            <w:left w:val="none" w:sz="0" w:space="0" w:color="auto"/>
            <w:bottom w:val="none" w:sz="0" w:space="0" w:color="auto"/>
            <w:right w:val="none" w:sz="0" w:space="0" w:color="auto"/>
          </w:divBdr>
        </w:div>
        <w:div w:id="839387923">
          <w:marLeft w:val="1166"/>
          <w:marRight w:val="0"/>
          <w:marTop w:val="134"/>
          <w:marBottom w:val="0"/>
          <w:divBdr>
            <w:top w:val="none" w:sz="0" w:space="0" w:color="auto"/>
            <w:left w:val="none" w:sz="0" w:space="0" w:color="auto"/>
            <w:bottom w:val="none" w:sz="0" w:space="0" w:color="auto"/>
            <w:right w:val="none" w:sz="0" w:space="0" w:color="auto"/>
          </w:divBdr>
        </w:div>
        <w:div w:id="1022711360">
          <w:marLeft w:val="1800"/>
          <w:marRight w:val="0"/>
          <w:marTop w:val="115"/>
          <w:marBottom w:val="0"/>
          <w:divBdr>
            <w:top w:val="none" w:sz="0" w:space="0" w:color="auto"/>
            <w:left w:val="none" w:sz="0" w:space="0" w:color="auto"/>
            <w:bottom w:val="none" w:sz="0" w:space="0" w:color="auto"/>
            <w:right w:val="none" w:sz="0" w:space="0" w:color="auto"/>
          </w:divBdr>
        </w:div>
        <w:div w:id="1642155039">
          <w:marLeft w:val="1800"/>
          <w:marRight w:val="0"/>
          <w:marTop w:val="115"/>
          <w:marBottom w:val="0"/>
          <w:divBdr>
            <w:top w:val="none" w:sz="0" w:space="0" w:color="auto"/>
            <w:left w:val="none" w:sz="0" w:space="0" w:color="auto"/>
            <w:bottom w:val="none" w:sz="0" w:space="0" w:color="auto"/>
            <w:right w:val="none" w:sz="0" w:space="0" w:color="auto"/>
          </w:divBdr>
        </w:div>
        <w:div w:id="2032800648">
          <w:marLeft w:val="1166"/>
          <w:marRight w:val="0"/>
          <w:marTop w:val="134"/>
          <w:marBottom w:val="0"/>
          <w:divBdr>
            <w:top w:val="none" w:sz="0" w:space="0" w:color="auto"/>
            <w:left w:val="none" w:sz="0" w:space="0" w:color="auto"/>
            <w:bottom w:val="none" w:sz="0" w:space="0" w:color="auto"/>
            <w:right w:val="none" w:sz="0" w:space="0" w:color="auto"/>
          </w:divBdr>
        </w:div>
        <w:div w:id="2073381383">
          <w:marLeft w:val="1800"/>
          <w:marRight w:val="0"/>
          <w:marTop w:val="115"/>
          <w:marBottom w:val="0"/>
          <w:divBdr>
            <w:top w:val="none" w:sz="0" w:space="0" w:color="auto"/>
            <w:left w:val="none" w:sz="0" w:space="0" w:color="auto"/>
            <w:bottom w:val="none" w:sz="0" w:space="0" w:color="auto"/>
            <w:right w:val="none" w:sz="0" w:space="0" w:color="auto"/>
          </w:divBdr>
        </w:div>
      </w:divsChild>
    </w:div>
    <w:div w:id="1422678300">
      <w:bodyDiv w:val="1"/>
      <w:marLeft w:val="0"/>
      <w:marRight w:val="0"/>
      <w:marTop w:val="0"/>
      <w:marBottom w:val="0"/>
      <w:divBdr>
        <w:top w:val="none" w:sz="0" w:space="0" w:color="auto"/>
        <w:left w:val="none" w:sz="0" w:space="0" w:color="auto"/>
        <w:bottom w:val="none" w:sz="0" w:space="0" w:color="auto"/>
        <w:right w:val="none" w:sz="0" w:space="0" w:color="auto"/>
      </w:divBdr>
      <w:divsChild>
        <w:div w:id="129591694">
          <w:marLeft w:val="547"/>
          <w:marRight w:val="0"/>
          <w:marTop w:val="115"/>
          <w:marBottom w:val="0"/>
          <w:divBdr>
            <w:top w:val="none" w:sz="0" w:space="0" w:color="auto"/>
            <w:left w:val="none" w:sz="0" w:space="0" w:color="auto"/>
            <w:bottom w:val="none" w:sz="0" w:space="0" w:color="auto"/>
            <w:right w:val="none" w:sz="0" w:space="0" w:color="auto"/>
          </w:divBdr>
        </w:div>
        <w:div w:id="1506893035">
          <w:marLeft w:val="547"/>
          <w:marRight w:val="0"/>
          <w:marTop w:val="115"/>
          <w:marBottom w:val="0"/>
          <w:divBdr>
            <w:top w:val="none" w:sz="0" w:space="0" w:color="auto"/>
            <w:left w:val="none" w:sz="0" w:space="0" w:color="auto"/>
            <w:bottom w:val="none" w:sz="0" w:space="0" w:color="auto"/>
            <w:right w:val="none" w:sz="0" w:space="0" w:color="auto"/>
          </w:divBdr>
        </w:div>
      </w:divsChild>
    </w:div>
    <w:div w:id="1422868497">
      <w:bodyDiv w:val="1"/>
      <w:marLeft w:val="0"/>
      <w:marRight w:val="0"/>
      <w:marTop w:val="0"/>
      <w:marBottom w:val="0"/>
      <w:divBdr>
        <w:top w:val="none" w:sz="0" w:space="0" w:color="auto"/>
        <w:left w:val="none" w:sz="0" w:space="0" w:color="auto"/>
        <w:bottom w:val="none" w:sz="0" w:space="0" w:color="auto"/>
        <w:right w:val="none" w:sz="0" w:space="0" w:color="auto"/>
      </w:divBdr>
    </w:div>
    <w:div w:id="1423332160">
      <w:bodyDiv w:val="1"/>
      <w:marLeft w:val="0"/>
      <w:marRight w:val="0"/>
      <w:marTop w:val="0"/>
      <w:marBottom w:val="0"/>
      <w:divBdr>
        <w:top w:val="none" w:sz="0" w:space="0" w:color="auto"/>
        <w:left w:val="none" w:sz="0" w:space="0" w:color="auto"/>
        <w:bottom w:val="none" w:sz="0" w:space="0" w:color="auto"/>
        <w:right w:val="none" w:sz="0" w:space="0" w:color="auto"/>
      </w:divBdr>
    </w:div>
    <w:div w:id="1423726027">
      <w:bodyDiv w:val="1"/>
      <w:marLeft w:val="0"/>
      <w:marRight w:val="0"/>
      <w:marTop w:val="0"/>
      <w:marBottom w:val="0"/>
      <w:divBdr>
        <w:top w:val="none" w:sz="0" w:space="0" w:color="auto"/>
        <w:left w:val="none" w:sz="0" w:space="0" w:color="auto"/>
        <w:bottom w:val="none" w:sz="0" w:space="0" w:color="auto"/>
        <w:right w:val="none" w:sz="0" w:space="0" w:color="auto"/>
      </w:divBdr>
    </w:div>
    <w:div w:id="1425146860">
      <w:bodyDiv w:val="1"/>
      <w:marLeft w:val="0"/>
      <w:marRight w:val="0"/>
      <w:marTop w:val="0"/>
      <w:marBottom w:val="0"/>
      <w:divBdr>
        <w:top w:val="none" w:sz="0" w:space="0" w:color="auto"/>
        <w:left w:val="none" w:sz="0" w:space="0" w:color="auto"/>
        <w:bottom w:val="none" w:sz="0" w:space="0" w:color="auto"/>
        <w:right w:val="none" w:sz="0" w:space="0" w:color="auto"/>
      </w:divBdr>
    </w:div>
    <w:div w:id="1426027188">
      <w:bodyDiv w:val="1"/>
      <w:marLeft w:val="0"/>
      <w:marRight w:val="0"/>
      <w:marTop w:val="0"/>
      <w:marBottom w:val="0"/>
      <w:divBdr>
        <w:top w:val="none" w:sz="0" w:space="0" w:color="auto"/>
        <w:left w:val="none" w:sz="0" w:space="0" w:color="auto"/>
        <w:bottom w:val="none" w:sz="0" w:space="0" w:color="auto"/>
        <w:right w:val="none" w:sz="0" w:space="0" w:color="auto"/>
      </w:divBdr>
    </w:div>
    <w:div w:id="1426069514">
      <w:bodyDiv w:val="1"/>
      <w:marLeft w:val="0"/>
      <w:marRight w:val="0"/>
      <w:marTop w:val="0"/>
      <w:marBottom w:val="0"/>
      <w:divBdr>
        <w:top w:val="none" w:sz="0" w:space="0" w:color="auto"/>
        <w:left w:val="none" w:sz="0" w:space="0" w:color="auto"/>
        <w:bottom w:val="none" w:sz="0" w:space="0" w:color="auto"/>
        <w:right w:val="none" w:sz="0" w:space="0" w:color="auto"/>
      </w:divBdr>
    </w:div>
    <w:div w:id="1426537903">
      <w:bodyDiv w:val="1"/>
      <w:marLeft w:val="0"/>
      <w:marRight w:val="0"/>
      <w:marTop w:val="0"/>
      <w:marBottom w:val="0"/>
      <w:divBdr>
        <w:top w:val="none" w:sz="0" w:space="0" w:color="auto"/>
        <w:left w:val="none" w:sz="0" w:space="0" w:color="auto"/>
        <w:bottom w:val="none" w:sz="0" w:space="0" w:color="auto"/>
        <w:right w:val="none" w:sz="0" w:space="0" w:color="auto"/>
      </w:divBdr>
    </w:div>
    <w:div w:id="1426994527">
      <w:bodyDiv w:val="1"/>
      <w:marLeft w:val="0"/>
      <w:marRight w:val="0"/>
      <w:marTop w:val="0"/>
      <w:marBottom w:val="0"/>
      <w:divBdr>
        <w:top w:val="none" w:sz="0" w:space="0" w:color="auto"/>
        <w:left w:val="none" w:sz="0" w:space="0" w:color="auto"/>
        <w:bottom w:val="none" w:sz="0" w:space="0" w:color="auto"/>
        <w:right w:val="none" w:sz="0" w:space="0" w:color="auto"/>
      </w:divBdr>
    </w:div>
    <w:div w:id="1427579004">
      <w:bodyDiv w:val="1"/>
      <w:marLeft w:val="0"/>
      <w:marRight w:val="0"/>
      <w:marTop w:val="0"/>
      <w:marBottom w:val="0"/>
      <w:divBdr>
        <w:top w:val="none" w:sz="0" w:space="0" w:color="auto"/>
        <w:left w:val="none" w:sz="0" w:space="0" w:color="auto"/>
        <w:bottom w:val="none" w:sz="0" w:space="0" w:color="auto"/>
        <w:right w:val="none" w:sz="0" w:space="0" w:color="auto"/>
      </w:divBdr>
    </w:div>
    <w:div w:id="1428964704">
      <w:bodyDiv w:val="1"/>
      <w:marLeft w:val="0"/>
      <w:marRight w:val="0"/>
      <w:marTop w:val="0"/>
      <w:marBottom w:val="0"/>
      <w:divBdr>
        <w:top w:val="none" w:sz="0" w:space="0" w:color="auto"/>
        <w:left w:val="none" w:sz="0" w:space="0" w:color="auto"/>
        <w:bottom w:val="none" w:sz="0" w:space="0" w:color="auto"/>
        <w:right w:val="none" w:sz="0" w:space="0" w:color="auto"/>
      </w:divBdr>
    </w:div>
    <w:div w:id="1429038978">
      <w:bodyDiv w:val="1"/>
      <w:marLeft w:val="0"/>
      <w:marRight w:val="0"/>
      <w:marTop w:val="0"/>
      <w:marBottom w:val="0"/>
      <w:divBdr>
        <w:top w:val="none" w:sz="0" w:space="0" w:color="auto"/>
        <w:left w:val="none" w:sz="0" w:space="0" w:color="auto"/>
        <w:bottom w:val="none" w:sz="0" w:space="0" w:color="auto"/>
        <w:right w:val="none" w:sz="0" w:space="0" w:color="auto"/>
      </w:divBdr>
    </w:div>
    <w:div w:id="1429959965">
      <w:bodyDiv w:val="1"/>
      <w:marLeft w:val="0"/>
      <w:marRight w:val="0"/>
      <w:marTop w:val="0"/>
      <w:marBottom w:val="0"/>
      <w:divBdr>
        <w:top w:val="none" w:sz="0" w:space="0" w:color="auto"/>
        <w:left w:val="none" w:sz="0" w:space="0" w:color="auto"/>
        <w:bottom w:val="none" w:sz="0" w:space="0" w:color="auto"/>
        <w:right w:val="none" w:sz="0" w:space="0" w:color="auto"/>
      </w:divBdr>
    </w:div>
    <w:div w:id="1431582667">
      <w:bodyDiv w:val="1"/>
      <w:marLeft w:val="0"/>
      <w:marRight w:val="0"/>
      <w:marTop w:val="0"/>
      <w:marBottom w:val="0"/>
      <w:divBdr>
        <w:top w:val="none" w:sz="0" w:space="0" w:color="auto"/>
        <w:left w:val="none" w:sz="0" w:space="0" w:color="auto"/>
        <w:bottom w:val="none" w:sz="0" w:space="0" w:color="auto"/>
        <w:right w:val="none" w:sz="0" w:space="0" w:color="auto"/>
      </w:divBdr>
    </w:div>
    <w:div w:id="1431974533">
      <w:bodyDiv w:val="1"/>
      <w:marLeft w:val="0"/>
      <w:marRight w:val="0"/>
      <w:marTop w:val="0"/>
      <w:marBottom w:val="0"/>
      <w:divBdr>
        <w:top w:val="none" w:sz="0" w:space="0" w:color="auto"/>
        <w:left w:val="none" w:sz="0" w:space="0" w:color="auto"/>
        <w:bottom w:val="none" w:sz="0" w:space="0" w:color="auto"/>
        <w:right w:val="none" w:sz="0" w:space="0" w:color="auto"/>
      </w:divBdr>
    </w:div>
    <w:div w:id="1432239887">
      <w:bodyDiv w:val="1"/>
      <w:marLeft w:val="0"/>
      <w:marRight w:val="0"/>
      <w:marTop w:val="0"/>
      <w:marBottom w:val="0"/>
      <w:divBdr>
        <w:top w:val="none" w:sz="0" w:space="0" w:color="auto"/>
        <w:left w:val="none" w:sz="0" w:space="0" w:color="auto"/>
        <w:bottom w:val="none" w:sz="0" w:space="0" w:color="auto"/>
        <w:right w:val="none" w:sz="0" w:space="0" w:color="auto"/>
      </w:divBdr>
    </w:div>
    <w:div w:id="1433167056">
      <w:bodyDiv w:val="1"/>
      <w:marLeft w:val="0"/>
      <w:marRight w:val="0"/>
      <w:marTop w:val="0"/>
      <w:marBottom w:val="0"/>
      <w:divBdr>
        <w:top w:val="none" w:sz="0" w:space="0" w:color="auto"/>
        <w:left w:val="none" w:sz="0" w:space="0" w:color="auto"/>
        <w:bottom w:val="none" w:sz="0" w:space="0" w:color="auto"/>
        <w:right w:val="none" w:sz="0" w:space="0" w:color="auto"/>
      </w:divBdr>
    </w:div>
    <w:div w:id="1433696336">
      <w:bodyDiv w:val="1"/>
      <w:marLeft w:val="0"/>
      <w:marRight w:val="0"/>
      <w:marTop w:val="0"/>
      <w:marBottom w:val="0"/>
      <w:divBdr>
        <w:top w:val="none" w:sz="0" w:space="0" w:color="auto"/>
        <w:left w:val="none" w:sz="0" w:space="0" w:color="auto"/>
        <w:bottom w:val="none" w:sz="0" w:space="0" w:color="auto"/>
        <w:right w:val="none" w:sz="0" w:space="0" w:color="auto"/>
      </w:divBdr>
    </w:div>
    <w:div w:id="1434786227">
      <w:bodyDiv w:val="1"/>
      <w:marLeft w:val="0"/>
      <w:marRight w:val="0"/>
      <w:marTop w:val="0"/>
      <w:marBottom w:val="0"/>
      <w:divBdr>
        <w:top w:val="none" w:sz="0" w:space="0" w:color="auto"/>
        <w:left w:val="none" w:sz="0" w:space="0" w:color="auto"/>
        <w:bottom w:val="none" w:sz="0" w:space="0" w:color="auto"/>
        <w:right w:val="none" w:sz="0" w:space="0" w:color="auto"/>
      </w:divBdr>
      <w:divsChild>
        <w:div w:id="1610971090">
          <w:marLeft w:val="0"/>
          <w:marRight w:val="0"/>
          <w:marTop w:val="0"/>
          <w:marBottom w:val="0"/>
          <w:divBdr>
            <w:top w:val="none" w:sz="0" w:space="0" w:color="auto"/>
            <w:left w:val="none" w:sz="0" w:space="0" w:color="auto"/>
            <w:bottom w:val="none" w:sz="0" w:space="0" w:color="auto"/>
            <w:right w:val="none" w:sz="0" w:space="0" w:color="auto"/>
          </w:divBdr>
          <w:divsChild>
            <w:div w:id="789401311">
              <w:marLeft w:val="0"/>
              <w:marRight w:val="0"/>
              <w:marTop w:val="0"/>
              <w:marBottom w:val="0"/>
              <w:divBdr>
                <w:top w:val="none" w:sz="0" w:space="0" w:color="auto"/>
                <w:left w:val="none" w:sz="0" w:space="0" w:color="auto"/>
                <w:bottom w:val="none" w:sz="0" w:space="0" w:color="auto"/>
                <w:right w:val="none" w:sz="0" w:space="0" w:color="auto"/>
              </w:divBdr>
            </w:div>
            <w:div w:id="1066879942">
              <w:marLeft w:val="0"/>
              <w:marRight w:val="0"/>
              <w:marTop w:val="0"/>
              <w:marBottom w:val="0"/>
              <w:divBdr>
                <w:top w:val="none" w:sz="0" w:space="0" w:color="auto"/>
                <w:left w:val="none" w:sz="0" w:space="0" w:color="auto"/>
                <w:bottom w:val="none" w:sz="0" w:space="0" w:color="auto"/>
                <w:right w:val="none" w:sz="0" w:space="0" w:color="auto"/>
              </w:divBdr>
            </w:div>
            <w:div w:id="1179739855">
              <w:marLeft w:val="0"/>
              <w:marRight w:val="0"/>
              <w:marTop w:val="0"/>
              <w:marBottom w:val="0"/>
              <w:divBdr>
                <w:top w:val="none" w:sz="0" w:space="0" w:color="auto"/>
                <w:left w:val="none" w:sz="0" w:space="0" w:color="auto"/>
                <w:bottom w:val="none" w:sz="0" w:space="0" w:color="auto"/>
                <w:right w:val="none" w:sz="0" w:space="0" w:color="auto"/>
              </w:divBdr>
            </w:div>
            <w:div w:id="1284532029">
              <w:marLeft w:val="0"/>
              <w:marRight w:val="0"/>
              <w:marTop w:val="0"/>
              <w:marBottom w:val="0"/>
              <w:divBdr>
                <w:top w:val="none" w:sz="0" w:space="0" w:color="auto"/>
                <w:left w:val="none" w:sz="0" w:space="0" w:color="auto"/>
                <w:bottom w:val="none" w:sz="0" w:space="0" w:color="auto"/>
                <w:right w:val="none" w:sz="0" w:space="0" w:color="auto"/>
              </w:divBdr>
            </w:div>
            <w:div w:id="20231683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34786818">
      <w:bodyDiv w:val="1"/>
      <w:marLeft w:val="0"/>
      <w:marRight w:val="0"/>
      <w:marTop w:val="0"/>
      <w:marBottom w:val="0"/>
      <w:divBdr>
        <w:top w:val="none" w:sz="0" w:space="0" w:color="auto"/>
        <w:left w:val="none" w:sz="0" w:space="0" w:color="auto"/>
        <w:bottom w:val="none" w:sz="0" w:space="0" w:color="auto"/>
        <w:right w:val="none" w:sz="0" w:space="0" w:color="auto"/>
      </w:divBdr>
    </w:div>
    <w:div w:id="1435132228">
      <w:bodyDiv w:val="1"/>
      <w:marLeft w:val="0"/>
      <w:marRight w:val="0"/>
      <w:marTop w:val="0"/>
      <w:marBottom w:val="0"/>
      <w:divBdr>
        <w:top w:val="none" w:sz="0" w:space="0" w:color="auto"/>
        <w:left w:val="none" w:sz="0" w:space="0" w:color="auto"/>
        <w:bottom w:val="none" w:sz="0" w:space="0" w:color="auto"/>
        <w:right w:val="none" w:sz="0" w:space="0" w:color="auto"/>
      </w:divBdr>
    </w:div>
    <w:div w:id="1436169971">
      <w:bodyDiv w:val="1"/>
      <w:marLeft w:val="0"/>
      <w:marRight w:val="0"/>
      <w:marTop w:val="0"/>
      <w:marBottom w:val="0"/>
      <w:divBdr>
        <w:top w:val="none" w:sz="0" w:space="0" w:color="auto"/>
        <w:left w:val="none" w:sz="0" w:space="0" w:color="auto"/>
        <w:bottom w:val="none" w:sz="0" w:space="0" w:color="auto"/>
        <w:right w:val="none" w:sz="0" w:space="0" w:color="auto"/>
      </w:divBdr>
    </w:div>
    <w:div w:id="1436292923">
      <w:bodyDiv w:val="1"/>
      <w:marLeft w:val="0"/>
      <w:marRight w:val="0"/>
      <w:marTop w:val="0"/>
      <w:marBottom w:val="0"/>
      <w:divBdr>
        <w:top w:val="none" w:sz="0" w:space="0" w:color="auto"/>
        <w:left w:val="none" w:sz="0" w:space="0" w:color="auto"/>
        <w:bottom w:val="none" w:sz="0" w:space="0" w:color="auto"/>
        <w:right w:val="none" w:sz="0" w:space="0" w:color="auto"/>
      </w:divBdr>
    </w:div>
    <w:div w:id="1436558261">
      <w:bodyDiv w:val="1"/>
      <w:marLeft w:val="0"/>
      <w:marRight w:val="0"/>
      <w:marTop w:val="0"/>
      <w:marBottom w:val="0"/>
      <w:divBdr>
        <w:top w:val="none" w:sz="0" w:space="0" w:color="auto"/>
        <w:left w:val="none" w:sz="0" w:space="0" w:color="auto"/>
        <w:bottom w:val="none" w:sz="0" w:space="0" w:color="auto"/>
        <w:right w:val="none" w:sz="0" w:space="0" w:color="auto"/>
      </w:divBdr>
    </w:div>
    <w:div w:id="1436905560">
      <w:bodyDiv w:val="1"/>
      <w:marLeft w:val="0"/>
      <w:marRight w:val="0"/>
      <w:marTop w:val="0"/>
      <w:marBottom w:val="0"/>
      <w:divBdr>
        <w:top w:val="none" w:sz="0" w:space="0" w:color="auto"/>
        <w:left w:val="none" w:sz="0" w:space="0" w:color="auto"/>
        <w:bottom w:val="none" w:sz="0" w:space="0" w:color="auto"/>
        <w:right w:val="none" w:sz="0" w:space="0" w:color="auto"/>
      </w:divBdr>
    </w:div>
    <w:div w:id="1438526358">
      <w:bodyDiv w:val="1"/>
      <w:marLeft w:val="0"/>
      <w:marRight w:val="0"/>
      <w:marTop w:val="0"/>
      <w:marBottom w:val="0"/>
      <w:divBdr>
        <w:top w:val="none" w:sz="0" w:space="0" w:color="auto"/>
        <w:left w:val="none" w:sz="0" w:space="0" w:color="auto"/>
        <w:bottom w:val="none" w:sz="0" w:space="0" w:color="auto"/>
        <w:right w:val="none" w:sz="0" w:space="0" w:color="auto"/>
      </w:divBdr>
    </w:div>
    <w:div w:id="1439256528">
      <w:bodyDiv w:val="1"/>
      <w:marLeft w:val="0"/>
      <w:marRight w:val="0"/>
      <w:marTop w:val="0"/>
      <w:marBottom w:val="0"/>
      <w:divBdr>
        <w:top w:val="none" w:sz="0" w:space="0" w:color="auto"/>
        <w:left w:val="none" w:sz="0" w:space="0" w:color="auto"/>
        <w:bottom w:val="none" w:sz="0" w:space="0" w:color="auto"/>
        <w:right w:val="none" w:sz="0" w:space="0" w:color="auto"/>
      </w:divBdr>
    </w:div>
    <w:div w:id="1439328101">
      <w:bodyDiv w:val="1"/>
      <w:marLeft w:val="0"/>
      <w:marRight w:val="0"/>
      <w:marTop w:val="0"/>
      <w:marBottom w:val="0"/>
      <w:divBdr>
        <w:top w:val="none" w:sz="0" w:space="0" w:color="auto"/>
        <w:left w:val="none" w:sz="0" w:space="0" w:color="auto"/>
        <w:bottom w:val="none" w:sz="0" w:space="0" w:color="auto"/>
        <w:right w:val="none" w:sz="0" w:space="0" w:color="auto"/>
      </w:divBdr>
      <w:divsChild>
        <w:div w:id="412705742">
          <w:marLeft w:val="1800"/>
          <w:marRight w:val="0"/>
          <w:marTop w:val="86"/>
          <w:marBottom w:val="0"/>
          <w:divBdr>
            <w:top w:val="none" w:sz="0" w:space="0" w:color="auto"/>
            <w:left w:val="none" w:sz="0" w:space="0" w:color="auto"/>
            <w:bottom w:val="none" w:sz="0" w:space="0" w:color="auto"/>
            <w:right w:val="none" w:sz="0" w:space="0" w:color="auto"/>
          </w:divBdr>
        </w:div>
        <w:div w:id="550505658">
          <w:marLeft w:val="1166"/>
          <w:marRight w:val="0"/>
          <w:marTop w:val="96"/>
          <w:marBottom w:val="0"/>
          <w:divBdr>
            <w:top w:val="none" w:sz="0" w:space="0" w:color="auto"/>
            <w:left w:val="none" w:sz="0" w:space="0" w:color="auto"/>
            <w:bottom w:val="none" w:sz="0" w:space="0" w:color="auto"/>
            <w:right w:val="none" w:sz="0" w:space="0" w:color="auto"/>
          </w:divBdr>
        </w:div>
        <w:div w:id="551308209">
          <w:marLeft w:val="1800"/>
          <w:marRight w:val="0"/>
          <w:marTop w:val="86"/>
          <w:marBottom w:val="0"/>
          <w:divBdr>
            <w:top w:val="none" w:sz="0" w:space="0" w:color="auto"/>
            <w:left w:val="none" w:sz="0" w:space="0" w:color="auto"/>
            <w:bottom w:val="none" w:sz="0" w:space="0" w:color="auto"/>
            <w:right w:val="none" w:sz="0" w:space="0" w:color="auto"/>
          </w:divBdr>
        </w:div>
        <w:div w:id="1221014049">
          <w:marLeft w:val="1166"/>
          <w:marRight w:val="0"/>
          <w:marTop w:val="96"/>
          <w:marBottom w:val="0"/>
          <w:divBdr>
            <w:top w:val="none" w:sz="0" w:space="0" w:color="auto"/>
            <w:left w:val="none" w:sz="0" w:space="0" w:color="auto"/>
            <w:bottom w:val="none" w:sz="0" w:space="0" w:color="auto"/>
            <w:right w:val="none" w:sz="0" w:space="0" w:color="auto"/>
          </w:divBdr>
        </w:div>
        <w:div w:id="1648511093">
          <w:marLeft w:val="1800"/>
          <w:marRight w:val="0"/>
          <w:marTop w:val="86"/>
          <w:marBottom w:val="0"/>
          <w:divBdr>
            <w:top w:val="none" w:sz="0" w:space="0" w:color="auto"/>
            <w:left w:val="none" w:sz="0" w:space="0" w:color="auto"/>
            <w:bottom w:val="none" w:sz="0" w:space="0" w:color="auto"/>
            <w:right w:val="none" w:sz="0" w:space="0" w:color="auto"/>
          </w:divBdr>
        </w:div>
        <w:div w:id="1730494408">
          <w:marLeft w:val="547"/>
          <w:marRight w:val="0"/>
          <w:marTop w:val="115"/>
          <w:marBottom w:val="0"/>
          <w:divBdr>
            <w:top w:val="none" w:sz="0" w:space="0" w:color="auto"/>
            <w:left w:val="none" w:sz="0" w:space="0" w:color="auto"/>
            <w:bottom w:val="none" w:sz="0" w:space="0" w:color="auto"/>
            <w:right w:val="none" w:sz="0" w:space="0" w:color="auto"/>
          </w:divBdr>
        </w:div>
        <w:div w:id="1767967491">
          <w:marLeft w:val="1166"/>
          <w:marRight w:val="0"/>
          <w:marTop w:val="96"/>
          <w:marBottom w:val="0"/>
          <w:divBdr>
            <w:top w:val="none" w:sz="0" w:space="0" w:color="auto"/>
            <w:left w:val="none" w:sz="0" w:space="0" w:color="auto"/>
            <w:bottom w:val="none" w:sz="0" w:space="0" w:color="auto"/>
            <w:right w:val="none" w:sz="0" w:space="0" w:color="auto"/>
          </w:divBdr>
        </w:div>
      </w:divsChild>
    </w:div>
    <w:div w:id="1441949048">
      <w:bodyDiv w:val="1"/>
      <w:marLeft w:val="0"/>
      <w:marRight w:val="0"/>
      <w:marTop w:val="0"/>
      <w:marBottom w:val="0"/>
      <w:divBdr>
        <w:top w:val="none" w:sz="0" w:space="0" w:color="auto"/>
        <w:left w:val="none" w:sz="0" w:space="0" w:color="auto"/>
        <w:bottom w:val="none" w:sz="0" w:space="0" w:color="auto"/>
        <w:right w:val="none" w:sz="0" w:space="0" w:color="auto"/>
      </w:divBdr>
    </w:div>
    <w:div w:id="1442186934">
      <w:bodyDiv w:val="1"/>
      <w:marLeft w:val="0"/>
      <w:marRight w:val="0"/>
      <w:marTop w:val="0"/>
      <w:marBottom w:val="0"/>
      <w:divBdr>
        <w:top w:val="none" w:sz="0" w:space="0" w:color="auto"/>
        <w:left w:val="none" w:sz="0" w:space="0" w:color="auto"/>
        <w:bottom w:val="none" w:sz="0" w:space="0" w:color="auto"/>
        <w:right w:val="none" w:sz="0" w:space="0" w:color="auto"/>
      </w:divBdr>
    </w:div>
    <w:div w:id="1442262065">
      <w:bodyDiv w:val="1"/>
      <w:marLeft w:val="0"/>
      <w:marRight w:val="0"/>
      <w:marTop w:val="0"/>
      <w:marBottom w:val="0"/>
      <w:divBdr>
        <w:top w:val="none" w:sz="0" w:space="0" w:color="auto"/>
        <w:left w:val="none" w:sz="0" w:space="0" w:color="auto"/>
        <w:bottom w:val="none" w:sz="0" w:space="0" w:color="auto"/>
        <w:right w:val="none" w:sz="0" w:space="0" w:color="auto"/>
      </w:divBdr>
    </w:div>
    <w:div w:id="1442796710">
      <w:bodyDiv w:val="1"/>
      <w:marLeft w:val="0"/>
      <w:marRight w:val="0"/>
      <w:marTop w:val="0"/>
      <w:marBottom w:val="0"/>
      <w:divBdr>
        <w:top w:val="none" w:sz="0" w:space="0" w:color="auto"/>
        <w:left w:val="none" w:sz="0" w:space="0" w:color="auto"/>
        <w:bottom w:val="none" w:sz="0" w:space="0" w:color="auto"/>
        <w:right w:val="none" w:sz="0" w:space="0" w:color="auto"/>
      </w:divBdr>
    </w:div>
    <w:div w:id="1443109699">
      <w:bodyDiv w:val="1"/>
      <w:marLeft w:val="0"/>
      <w:marRight w:val="0"/>
      <w:marTop w:val="0"/>
      <w:marBottom w:val="0"/>
      <w:divBdr>
        <w:top w:val="none" w:sz="0" w:space="0" w:color="auto"/>
        <w:left w:val="none" w:sz="0" w:space="0" w:color="auto"/>
        <w:bottom w:val="none" w:sz="0" w:space="0" w:color="auto"/>
        <w:right w:val="none" w:sz="0" w:space="0" w:color="auto"/>
      </w:divBdr>
    </w:div>
    <w:div w:id="1443920713">
      <w:bodyDiv w:val="1"/>
      <w:marLeft w:val="0"/>
      <w:marRight w:val="0"/>
      <w:marTop w:val="0"/>
      <w:marBottom w:val="0"/>
      <w:divBdr>
        <w:top w:val="none" w:sz="0" w:space="0" w:color="auto"/>
        <w:left w:val="none" w:sz="0" w:space="0" w:color="auto"/>
        <w:bottom w:val="none" w:sz="0" w:space="0" w:color="auto"/>
        <w:right w:val="none" w:sz="0" w:space="0" w:color="auto"/>
      </w:divBdr>
    </w:div>
    <w:div w:id="1445926449">
      <w:bodyDiv w:val="1"/>
      <w:marLeft w:val="0"/>
      <w:marRight w:val="0"/>
      <w:marTop w:val="0"/>
      <w:marBottom w:val="0"/>
      <w:divBdr>
        <w:top w:val="none" w:sz="0" w:space="0" w:color="auto"/>
        <w:left w:val="none" w:sz="0" w:space="0" w:color="auto"/>
        <w:bottom w:val="none" w:sz="0" w:space="0" w:color="auto"/>
        <w:right w:val="none" w:sz="0" w:space="0" w:color="auto"/>
      </w:divBdr>
    </w:div>
    <w:div w:id="1446541113">
      <w:bodyDiv w:val="1"/>
      <w:marLeft w:val="0"/>
      <w:marRight w:val="0"/>
      <w:marTop w:val="0"/>
      <w:marBottom w:val="0"/>
      <w:divBdr>
        <w:top w:val="none" w:sz="0" w:space="0" w:color="auto"/>
        <w:left w:val="none" w:sz="0" w:space="0" w:color="auto"/>
        <w:bottom w:val="none" w:sz="0" w:space="0" w:color="auto"/>
        <w:right w:val="none" w:sz="0" w:space="0" w:color="auto"/>
      </w:divBdr>
    </w:div>
    <w:div w:id="1447313445">
      <w:bodyDiv w:val="1"/>
      <w:marLeft w:val="0"/>
      <w:marRight w:val="0"/>
      <w:marTop w:val="0"/>
      <w:marBottom w:val="0"/>
      <w:divBdr>
        <w:top w:val="none" w:sz="0" w:space="0" w:color="auto"/>
        <w:left w:val="none" w:sz="0" w:space="0" w:color="auto"/>
        <w:bottom w:val="none" w:sz="0" w:space="0" w:color="auto"/>
        <w:right w:val="none" w:sz="0" w:space="0" w:color="auto"/>
      </w:divBdr>
      <w:divsChild>
        <w:div w:id="245237474">
          <w:marLeft w:val="1800"/>
          <w:marRight w:val="0"/>
          <w:marTop w:val="115"/>
          <w:marBottom w:val="0"/>
          <w:divBdr>
            <w:top w:val="none" w:sz="0" w:space="0" w:color="auto"/>
            <w:left w:val="none" w:sz="0" w:space="0" w:color="auto"/>
            <w:bottom w:val="none" w:sz="0" w:space="0" w:color="auto"/>
            <w:right w:val="none" w:sz="0" w:space="0" w:color="auto"/>
          </w:divBdr>
        </w:div>
        <w:div w:id="730277777">
          <w:marLeft w:val="547"/>
          <w:marRight w:val="0"/>
          <w:marTop w:val="154"/>
          <w:marBottom w:val="0"/>
          <w:divBdr>
            <w:top w:val="none" w:sz="0" w:space="0" w:color="auto"/>
            <w:left w:val="none" w:sz="0" w:space="0" w:color="auto"/>
            <w:bottom w:val="none" w:sz="0" w:space="0" w:color="auto"/>
            <w:right w:val="none" w:sz="0" w:space="0" w:color="auto"/>
          </w:divBdr>
        </w:div>
        <w:div w:id="788208567">
          <w:marLeft w:val="547"/>
          <w:marRight w:val="0"/>
          <w:marTop w:val="154"/>
          <w:marBottom w:val="0"/>
          <w:divBdr>
            <w:top w:val="none" w:sz="0" w:space="0" w:color="auto"/>
            <w:left w:val="none" w:sz="0" w:space="0" w:color="auto"/>
            <w:bottom w:val="none" w:sz="0" w:space="0" w:color="auto"/>
            <w:right w:val="none" w:sz="0" w:space="0" w:color="auto"/>
          </w:divBdr>
        </w:div>
        <w:div w:id="1849980211">
          <w:marLeft w:val="1166"/>
          <w:marRight w:val="0"/>
          <w:marTop w:val="134"/>
          <w:marBottom w:val="0"/>
          <w:divBdr>
            <w:top w:val="none" w:sz="0" w:space="0" w:color="auto"/>
            <w:left w:val="none" w:sz="0" w:space="0" w:color="auto"/>
            <w:bottom w:val="none" w:sz="0" w:space="0" w:color="auto"/>
            <w:right w:val="none" w:sz="0" w:space="0" w:color="auto"/>
          </w:divBdr>
        </w:div>
        <w:div w:id="2142646621">
          <w:marLeft w:val="1166"/>
          <w:marRight w:val="0"/>
          <w:marTop w:val="134"/>
          <w:marBottom w:val="0"/>
          <w:divBdr>
            <w:top w:val="none" w:sz="0" w:space="0" w:color="auto"/>
            <w:left w:val="none" w:sz="0" w:space="0" w:color="auto"/>
            <w:bottom w:val="none" w:sz="0" w:space="0" w:color="auto"/>
            <w:right w:val="none" w:sz="0" w:space="0" w:color="auto"/>
          </w:divBdr>
        </w:div>
      </w:divsChild>
    </w:div>
    <w:div w:id="1447847417">
      <w:bodyDiv w:val="1"/>
      <w:marLeft w:val="0"/>
      <w:marRight w:val="0"/>
      <w:marTop w:val="0"/>
      <w:marBottom w:val="0"/>
      <w:divBdr>
        <w:top w:val="none" w:sz="0" w:space="0" w:color="auto"/>
        <w:left w:val="none" w:sz="0" w:space="0" w:color="auto"/>
        <w:bottom w:val="none" w:sz="0" w:space="0" w:color="auto"/>
        <w:right w:val="none" w:sz="0" w:space="0" w:color="auto"/>
      </w:divBdr>
    </w:div>
    <w:div w:id="1448429106">
      <w:bodyDiv w:val="1"/>
      <w:marLeft w:val="0"/>
      <w:marRight w:val="0"/>
      <w:marTop w:val="0"/>
      <w:marBottom w:val="0"/>
      <w:divBdr>
        <w:top w:val="none" w:sz="0" w:space="0" w:color="auto"/>
        <w:left w:val="none" w:sz="0" w:space="0" w:color="auto"/>
        <w:bottom w:val="none" w:sz="0" w:space="0" w:color="auto"/>
        <w:right w:val="none" w:sz="0" w:space="0" w:color="auto"/>
      </w:divBdr>
      <w:divsChild>
        <w:div w:id="1752240852">
          <w:marLeft w:val="0"/>
          <w:marRight w:val="0"/>
          <w:marTop w:val="0"/>
          <w:marBottom w:val="0"/>
          <w:divBdr>
            <w:top w:val="none" w:sz="0" w:space="0" w:color="auto"/>
            <w:left w:val="none" w:sz="0" w:space="0" w:color="auto"/>
            <w:bottom w:val="none" w:sz="0" w:space="0" w:color="auto"/>
            <w:right w:val="none" w:sz="0" w:space="0" w:color="auto"/>
          </w:divBdr>
        </w:div>
      </w:divsChild>
    </w:div>
    <w:div w:id="1448503607">
      <w:bodyDiv w:val="1"/>
      <w:marLeft w:val="0"/>
      <w:marRight w:val="0"/>
      <w:marTop w:val="0"/>
      <w:marBottom w:val="0"/>
      <w:divBdr>
        <w:top w:val="none" w:sz="0" w:space="0" w:color="auto"/>
        <w:left w:val="none" w:sz="0" w:space="0" w:color="auto"/>
        <w:bottom w:val="none" w:sz="0" w:space="0" w:color="auto"/>
        <w:right w:val="none" w:sz="0" w:space="0" w:color="auto"/>
      </w:divBdr>
    </w:div>
    <w:div w:id="1448692573">
      <w:bodyDiv w:val="1"/>
      <w:marLeft w:val="0"/>
      <w:marRight w:val="0"/>
      <w:marTop w:val="0"/>
      <w:marBottom w:val="0"/>
      <w:divBdr>
        <w:top w:val="none" w:sz="0" w:space="0" w:color="auto"/>
        <w:left w:val="none" w:sz="0" w:space="0" w:color="auto"/>
        <w:bottom w:val="none" w:sz="0" w:space="0" w:color="auto"/>
        <w:right w:val="none" w:sz="0" w:space="0" w:color="auto"/>
      </w:divBdr>
      <w:divsChild>
        <w:div w:id="470562345">
          <w:marLeft w:val="1166"/>
          <w:marRight w:val="0"/>
          <w:marTop w:val="77"/>
          <w:marBottom w:val="0"/>
          <w:divBdr>
            <w:top w:val="none" w:sz="0" w:space="0" w:color="auto"/>
            <w:left w:val="none" w:sz="0" w:space="0" w:color="auto"/>
            <w:bottom w:val="none" w:sz="0" w:space="0" w:color="auto"/>
            <w:right w:val="none" w:sz="0" w:space="0" w:color="auto"/>
          </w:divBdr>
        </w:div>
        <w:div w:id="619995801">
          <w:marLeft w:val="547"/>
          <w:marRight w:val="0"/>
          <w:marTop w:val="96"/>
          <w:marBottom w:val="0"/>
          <w:divBdr>
            <w:top w:val="none" w:sz="0" w:space="0" w:color="auto"/>
            <w:left w:val="none" w:sz="0" w:space="0" w:color="auto"/>
            <w:bottom w:val="none" w:sz="0" w:space="0" w:color="auto"/>
            <w:right w:val="none" w:sz="0" w:space="0" w:color="auto"/>
          </w:divBdr>
        </w:div>
        <w:div w:id="764417635">
          <w:marLeft w:val="1166"/>
          <w:marRight w:val="0"/>
          <w:marTop w:val="77"/>
          <w:marBottom w:val="0"/>
          <w:divBdr>
            <w:top w:val="none" w:sz="0" w:space="0" w:color="auto"/>
            <w:left w:val="none" w:sz="0" w:space="0" w:color="auto"/>
            <w:bottom w:val="none" w:sz="0" w:space="0" w:color="auto"/>
            <w:right w:val="none" w:sz="0" w:space="0" w:color="auto"/>
          </w:divBdr>
        </w:div>
        <w:div w:id="852258385">
          <w:marLeft w:val="547"/>
          <w:marRight w:val="0"/>
          <w:marTop w:val="96"/>
          <w:marBottom w:val="0"/>
          <w:divBdr>
            <w:top w:val="none" w:sz="0" w:space="0" w:color="auto"/>
            <w:left w:val="none" w:sz="0" w:space="0" w:color="auto"/>
            <w:bottom w:val="none" w:sz="0" w:space="0" w:color="auto"/>
            <w:right w:val="none" w:sz="0" w:space="0" w:color="auto"/>
          </w:divBdr>
        </w:div>
        <w:div w:id="872881860">
          <w:marLeft w:val="1166"/>
          <w:marRight w:val="0"/>
          <w:marTop w:val="77"/>
          <w:marBottom w:val="0"/>
          <w:divBdr>
            <w:top w:val="none" w:sz="0" w:space="0" w:color="auto"/>
            <w:left w:val="none" w:sz="0" w:space="0" w:color="auto"/>
            <w:bottom w:val="none" w:sz="0" w:space="0" w:color="auto"/>
            <w:right w:val="none" w:sz="0" w:space="0" w:color="auto"/>
          </w:divBdr>
        </w:div>
        <w:div w:id="1174152340">
          <w:marLeft w:val="547"/>
          <w:marRight w:val="0"/>
          <w:marTop w:val="96"/>
          <w:marBottom w:val="0"/>
          <w:divBdr>
            <w:top w:val="none" w:sz="0" w:space="0" w:color="auto"/>
            <w:left w:val="none" w:sz="0" w:space="0" w:color="auto"/>
            <w:bottom w:val="none" w:sz="0" w:space="0" w:color="auto"/>
            <w:right w:val="none" w:sz="0" w:space="0" w:color="auto"/>
          </w:divBdr>
        </w:div>
        <w:div w:id="1323780048">
          <w:marLeft w:val="1166"/>
          <w:marRight w:val="0"/>
          <w:marTop w:val="77"/>
          <w:marBottom w:val="0"/>
          <w:divBdr>
            <w:top w:val="none" w:sz="0" w:space="0" w:color="auto"/>
            <w:left w:val="none" w:sz="0" w:space="0" w:color="auto"/>
            <w:bottom w:val="none" w:sz="0" w:space="0" w:color="auto"/>
            <w:right w:val="none" w:sz="0" w:space="0" w:color="auto"/>
          </w:divBdr>
        </w:div>
        <w:div w:id="1434472696">
          <w:marLeft w:val="1166"/>
          <w:marRight w:val="0"/>
          <w:marTop w:val="77"/>
          <w:marBottom w:val="0"/>
          <w:divBdr>
            <w:top w:val="none" w:sz="0" w:space="0" w:color="auto"/>
            <w:left w:val="none" w:sz="0" w:space="0" w:color="auto"/>
            <w:bottom w:val="none" w:sz="0" w:space="0" w:color="auto"/>
            <w:right w:val="none" w:sz="0" w:space="0" w:color="auto"/>
          </w:divBdr>
        </w:div>
      </w:divsChild>
    </w:div>
    <w:div w:id="1448742420">
      <w:bodyDiv w:val="1"/>
      <w:marLeft w:val="0"/>
      <w:marRight w:val="0"/>
      <w:marTop w:val="0"/>
      <w:marBottom w:val="0"/>
      <w:divBdr>
        <w:top w:val="none" w:sz="0" w:space="0" w:color="auto"/>
        <w:left w:val="none" w:sz="0" w:space="0" w:color="auto"/>
        <w:bottom w:val="none" w:sz="0" w:space="0" w:color="auto"/>
        <w:right w:val="none" w:sz="0" w:space="0" w:color="auto"/>
      </w:divBdr>
      <w:divsChild>
        <w:div w:id="213470182">
          <w:marLeft w:val="1800"/>
          <w:marRight w:val="0"/>
          <w:marTop w:val="77"/>
          <w:marBottom w:val="120"/>
          <w:divBdr>
            <w:top w:val="none" w:sz="0" w:space="0" w:color="auto"/>
            <w:left w:val="none" w:sz="0" w:space="0" w:color="auto"/>
            <w:bottom w:val="none" w:sz="0" w:space="0" w:color="auto"/>
            <w:right w:val="none" w:sz="0" w:space="0" w:color="auto"/>
          </w:divBdr>
        </w:div>
        <w:div w:id="366487969">
          <w:marLeft w:val="1166"/>
          <w:marRight w:val="0"/>
          <w:marTop w:val="96"/>
          <w:marBottom w:val="120"/>
          <w:divBdr>
            <w:top w:val="none" w:sz="0" w:space="0" w:color="auto"/>
            <w:left w:val="none" w:sz="0" w:space="0" w:color="auto"/>
            <w:bottom w:val="none" w:sz="0" w:space="0" w:color="auto"/>
            <w:right w:val="none" w:sz="0" w:space="0" w:color="auto"/>
          </w:divBdr>
        </w:div>
        <w:div w:id="415983754">
          <w:marLeft w:val="2520"/>
          <w:marRight w:val="0"/>
          <w:marTop w:val="77"/>
          <w:marBottom w:val="120"/>
          <w:divBdr>
            <w:top w:val="none" w:sz="0" w:space="0" w:color="auto"/>
            <w:left w:val="none" w:sz="0" w:space="0" w:color="auto"/>
            <w:bottom w:val="none" w:sz="0" w:space="0" w:color="auto"/>
            <w:right w:val="none" w:sz="0" w:space="0" w:color="auto"/>
          </w:divBdr>
        </w:div>
        <w:div w:id="436409555">
          <w:marLeft w:val="547"/>
          <w:marRight w:val="0"/>
          <w:marTop w:val="115"/>
          <w:marBottom w:val="120"/>
          <w:divBdr>
            <w:top w:val="none" w:sz="0" w:space="0" w:color="auto"/>
            <w:left w:val="none" w:sz="0" w:space="0" w:color="auto"/>
            <w:bottom w:val="none" w:sz="0" w:space="0" w:color="auto"/>
            <w:right w:val="none" w:sz="0" w:space="0" w:color="auto"/>
          </w:divBdr>
        </w:div>
        <w:div w:id="947199484">
          <w:marLeft w:val="1800"/>
          <w:marRight w:val="0"/>
          <w:marTop w:val="77"/>
          <w:marBottom w:val="120"/>
          <w:divBdr>
            <w:top w:val="none" w:sz="0" w:space="0" w:color="auto"/>
            <w:left w:val="none" w:sz="0" w:space="0" w:color="auto"/>
            <w:bottom w:val="none" w:sz="0" w:space="0" w:color="auto"/>
            <w:right w:val="none" w:sz="0" w:space="0" w:color="auto"/>
          </w:divBdr>
        </w:div>
        <w:div w:id="957033536">
          <w:marLeft w:val="1800"/>
          <w:marRight w:val="0"/>
          <w:marTop w:val="77"/>
          <w:marBottom w:val="120"/>
          <w:divBdr>
            <w:top w:val="none" w:sz="0" w:space="0" w:color="auto"/>
            <w:left w:val="none" w:sz="0" w:space="0" w:color="auto"/>
            <w:bottom w:val="none" w:sz="0" w:space="0" w:color="auto"/>
            <w:right w:val="none" w:sz="0" w:space="0" w:color="auto"/>
          </w:divBdr>
        </w:div>
        <w:div w:id="1077438892">
          <w:marLeft w:val="1166"/>
          <w:marRight w:val="0"/>
          <w:marTop w:val="96"/>
          <w:marBottom w:val="120"/>
          <w:divBdr>
            <w:top w:val="none" w:sz="0" w:space="0" w:color="auto"/>
            <w:left w:val="none" w:sz="0" w:space="0" w:color="auto"/>
            <w:bottom w:val="none" w:sz="0" w:space="0" w:color="auto"/>
            <w:right w:val="none" w:sz="0" w:space="0" w:color="auto"/>
          </w:divBdr>
        </w:div>
        <w:div w:id="1564482642">
          <w:marLeft w:val="1800"/>
          <w:marRight w:val="0"/>
          <w:marTop w:val="77"/>
          <w:marBottom w:val="120"/>
          <w:divBdr>
            <w:top w:val="none" w:sz="0" w:space="0" w:color="auto"/>
            <w:left w:val="none" w:sz="0" w:space="0" w:color="auto"/>
            <w:bottom w:val="none" w:sz="0" w:space="0" w:color="auto"/>
            <w:right w:val="none" w:sz="0" w:space="0" w:color="auto"/>
          </w:divBdr>
        </w:div>
        <w:div w:id="1648165326">
          <w:marLeft w:val="2520"/>
          <w:marRight w:val="0"/>
          <w:marTop w:val="77"/>
          <w:marBottom w:val="120"/>
          <w:divBdr>
            <w:top w:val="none" w:sz="0" w:space="0" w:color="auto"/>
            <w:left w:val="none" w:sz="0" w:space="0" w:color="auto"/>
            <w:bottom w:val="none" w:sz="0" w:space="0" w:color="auto"/>
            <w:right w:val="none" w:sz="0" w:space="0" w:color="auto"/>
          </w:divBdr>
        </w:div>
        <w:div w:id="1813518177">
          <w:marLeft w:val="2520"/>
          <w:marRight w:val="0"/>
          <w:marTop w:val="77"/>
          <w:marBottom w:val="120"/>
          <w:divBdr>
            <w:top w:val="none" w:sz="0" w:space="0" w:color="auto"/>
            <w:left w:val="none" w:sz="0" w:space="0" w:color="auto"/>
            <w:bottom w:val="none" w:sz="0" w:space="0" w:color="auto"/>
            <w:right w:val="none" w:sz="0" w:space="0" w:color="auto"/>
          </w:divBdr>
        </w:div>
        <w:div w:id="1979677831">
          <w:marLeft w:val="2520"/>
          <w:marRight w:val="0"/>
          <w:marTop w:val="77"/>
          <w:marBottom w:val="120"/>
          <w:divBdr>
            <w:top w:val="none" w:sz="0" w:space="0" w:color="auto"/>
            <w:left w:val="none" w:sz="0" w:space="0" w:color="auto"/>
            <w:bottom w:val="none" w:sz="0" w:space="0" w:color="auto"/>
            <w:right w:val="none" w:sz="0" w:space="0" w:color="auto"/>
          </w:divBdr>
        </w:div>
        <w:div w:id="2095584212">
          <w:marLeft w:val="2520"/>
          <w:marRight w:val="0"/>
          <w:marTop w:val="77"/>
          <w:marBottom w:val="120"/>
          <w:divBdr>
            <w:top w:val="none" w:sz="0" w:space="0" w:color="auto"/>
            <w:left w:val="none" w:sz="0" w:space="0" w:color="auto"/>
            <w:bottom w:val="none" w:sz="0" w:space="0" w:color="auto"/>
            <w:right w:val="none" w:sz="0" w:space="0" w:color="auto"/>
          </w:divBdr>
        </w:div>
      </w:divsChild>
    </w:div>
    <w:div w:id="1450663113">
      <w:bodyDiv w:val="1"/>
      <w:marLeft w:val="0"/>
      <w:marRight w:val="0"/>
      <w:marTop w:val="0"/>
      <w:marBottom w:val="0"/>
      <w:divBdr>
        <w:top w:val="none" w:sz="0" w:space="0" w:color="auto"/>
        <w:left w:val="none" w:sz="0" w:space="0" w:color="auto"/>
        <w:bottom w:val="none" w:sz="0" w:space="0" w:color="auto"/>
        <w:right w:val="none" w:sz="0" w:space="0" w:color="auto"/>
      </w:divBdr>
      <w:divsChild>
        <w:div w:id="191651889">
          <w:marLeft w:val="1800"/>
          <w:marRight w:val="0"/>
          <w:marTop w:val="96"/>
          <w:marBottom w:val="0"/>
          <w:divBdr>
            <w:top w:val="none" w:sz="0" w:space="0" w:color="auto"/>
            <w:left w:val="none" w:sz="0" w:space="0" w:color="auto"/>
            <w:bottom w:val="none" w:sz="0" w:space="0" w:color="auto"/>
            <w:right w:val="none" w:sz="0" w:space="0" w:color="auto"/>
          </w:divBdr>
        </w:div>
        <w:div w:id="875852999">
          <w:marLeft w:val="1800"/>
          <w:marRight w:val="0"/>
          <w:marTop w:val="96"/>
          <w:marBottom w:val="0"/>
          <w:divBdr>
            <w:top w:val="none" w:sz="0" w:space="0" w:color="auto"/>
            <w:left w:val="none" w:sz="0" w:space="0" w:color="auto"/>
            <w:bottom w:val="none" w:sz="0" w:space="0" w:color="auto"/>
            <w:right w:val="none" w:sz="0" w:space="0" w:color="auto"/>
          </w:divBdr>
        </w:div>
        <w:div w:id="990017248">
          <w:marLeft w:val="1800"/>
          <w:marRight w:val="0"/>
          <w:marTop w:val="96"/>
          <w:marBottom w:val="0"/>
          <w:divBdr>
            <w:top w:val="none" w:sz="0" w:space="0" w:color="auto"/>
            <w:left w:val="none" w:sz="0" w:space="0" w:color="auto"/>
            <w:bottom w:val="none" w:sz="0" w:space="0" w:color="auto"/>
            <w:right w:val="none" w:sz="0" w:space="0" w:color="auto"/>
          </w:divBdr>
        </w:div>
        <w:div w:id="1017775867">
          <w:marLeft w:val="1800"/>
          <w:marRight w:val="0"/>
          <w:marTop w:val="96"/>
          <w:marBottom w:val="0"/>
          <w:divBdr>
            <w:top w:val="none" w:sz="0" w:space="0" w:color="auto"/>
            <w:left w:val="none" w:sz="0" w:space="0" w:color="auto"/>
            <w:bottom w:val="none" w:sz="0" w:space="0" w:color="auto"/>
            <w:right w:val="none" w:sz="0" w:space="0" w:color="auto"/>
          </w:divBdr>
        </w:div>
        <w:div w:id="1110003176">
          <w:marLeft w:val="1800"/>
          <w:marRight w:val="0"/>
          <w:marTop w:val="96"/>
          <w:marBottom w:val="0"/>
          <w:divBdr>
            <w:top w:val="none" w:sz="0" w:space="0" w:color="auto"/>
            <w:left w:val="none" w:sz="0" w:space="0" w:color="auto"/>
            <w:bottom w:val="none" w:sz="0" w:space="0" w:color="auto"/>
            <w:right w:val="none" w:sz="0" w:space="0" w:color="auto"/>
          </w:divBdr>
        </w:div>
        <w:div w:id="1361977053">
          <w:marLeft w:val="547"/>
          <w:marRight w:val="0"/>
          <w:marTop w:val="0"/>
          <w:marBottom w:val="0"/>
          <w:divBdr>
            <w:top w:val="none" w:sz="0" w:space="0" w:color="auto"/>
            <w:left w:val="none" w:sz="0" w:space="0" w:color="auto"/>
            <w:bottom w:val="none" w:sz="0" w:space="0" w:color="auto"/>
            <w:right w:val="none" w:sz="0" w:space="0" w:color="auto"/>
          </w:divBdr>
        </w:div>
        <w:div w:id="1426878871">
          <w:marLeft w:val="1166"/>
          <w:marRight w:val="0"/>
          <w:marTop w:val="106"/>
          <w:marBottom w:val="0"/>
          <w:divBdr>
            <w:top w:val="none" w:sz="0" w:space="0" w:color="auto"/>
            <w:left w:val="none" w:sz="0" w:space="0" w:color="auto"/>
            <w:bottom w:val="none" w:sz="0" w:space="0" w:color="auto"/>
            <w:right w:val="none" w:sz="0" w:space="0" w:color="auto"/>
          </w:divBdr>
        </w:div>
        <w:div w:id="1450659882">
          <w:marLeft w:val="1166"/>
          <w:marRight w:val="0"/>
          <w:marTop w:val="106"/>
          <w:marBottom w:val="0"/>
          <w:divBdr>
            <w:top w:val="none" w:sz="0" w:space="0" w:color="auto"/>
            <w:left w:val="none" w:sz="0" w:space="0" w:color="auto"/>
            <w:bottom w:val="none" w:sz="0" w:space="0" w:color="auto"/>
            <w:right w:val="none" w:sz="0" w:space="0" w:color="auto"/>
          </w:divBdr>
        </w:div>
        <w:div w:id="1986427164">
          <w:marLeft w:val="1166"/>
          <w:marRight w:val="0"/>
          <w:marTop w:val="106"/>
          <w:marBottom w:val="0"/>
          <w:divBdr>
            <w:top w:val="none" w:sz="0" w:space="0" w:color="auto"/>
            <w:left w:val="none" w:sz="0" w:space="0" w:color="auto"/>
            <w:bottom w:val="none" w:sz="0" w:space="0" w:color="auto"/>
            <w:right w:val="none" w:sz="0" w:space="0" w:color="auto"/>
          </w:divBdr>
        </w:div>
        <w:div w:id="2056197241">
          <w:marLeft w:val="1166"/>
          <w:marRight w:val="0"/>
          <w:marTop w:val="106"/>
          <w:marBottom w:val="0"/>
          <w:divBdr>
            <w:top w:val="none" w:sz="0" w:space="0" w:color="auto"/>
            <w:left w:val="none" w:sz="0" w:space="0" w:color="auto"/>
            <w:bottom w:val="none" w:sz="0" w:space="0" w:color="auto"/>
            <w:right w:val="none" w:sz="0" w:space="0" w:color="auto"/>
          </w:divBdr>
        </w:div>
      </w:divsChild>
    </w:div>
    <w:div w:id="1450784257">
      <w:bodyDiv w:val="1"/>
      <w:marLeft w:val="0"/>
      <w:marRight w:val="0"/>
      <w:marTop w:val="0"/>
      <w:marBottom w:val="0"/>
      <w:divBdr>
        <w:top w:val="none" w:sz="0" w:space="0" w:color="auto"/>
        <w:left w:val="none" w:sz="0" w:space="0" w:color="auto"/>
        <w:bottom w:val="none" w:sz="0" w:space="0" w:color="auto"/>
        <w:right w:val="none" w:sz="0" w:space="0" w:color="auto"/>
      </w:divBdr>
    </w:div>
    <w:div w:id="1451243132">
      <w:bodyDiv w:val="1"/>
      <w:marLeft w:val="0"/>
      <w:marRight w:val="0"/>
      <w:marTop w:val="0"/>
      <w:marBottom w:val="0"/>
      <w:divBdr>
        <w:top w:val="none" w:sz="0" w:space="0" w:color="auto"/>
        <w:left w:val="none" w:sz="0" w:space="0" w:color="auto"/>
        <w:bottom w:val="none" w:sz="0" w:space="0" w:color="auto"/>
        <w:right w:val="none" w:sz="0" w:space="0" w:color="auto"/>
      </w:divBdr>
    </w:div>
    <w:div w:id="1451313122">
      <w:bodyDiv w:val="1"/>
      <w:marLeft w:val="0"/>
      <w:marRight w:val="0"/>
      <w:marTop w:val="0"/>
      <w:marBottom w:val="0"/>
      <w:divBdr>
        <w:top w:val="none" w:sz="0" w:space="0" w:color="auto"/>
        <w:left w:val="none" w:sz="0" w:space="0" w:color="auto"/>
        <w:bottom w:val="none" w:sz="0" w:space="0" w:color="auto"/>
        <w:right w:val="none" w:sz="0" w:space="0" w:color="auto"/>
      </w:divBdr>
    </w:div>
    <w:div w:id="1452284430">
      <w:bodyDiv w:val="1"/>
      <w:marLeft w:val="0"/>
      <w:marRight w:val="0"/>
      <w:marTop w:val="0"/>
      <w:marBottom w:val="0"/>
      <w:divBdr>
        <w:top w:val="none" w:sz="0" w:space="0" w:color="auto"/>
        <w:left w:val="none" w:sz="0" w:space="0" w:color="auto"/>
        <w:bottom w:val="none" w:sz="0" w:space="0" w:color="auto"/>
        <w:right w:val="none" w:sz="0" w:space="0" w:color="auto"/>
      </w:divBdr>
    </w:div>
    <w:div w:id="1452552695">
      <w:bodyDiv w:val="1"/>
      <w:marLeft w:val="0"/>
      <w:marRight w:val="0"/>
      <w:marTop w:val="0"/>
      <w:marBottom w:val="0"/>
      <w:divBdr>
        <w:top w:val="none" w:sz="0" w:space="0" w:color="auto"/>
        <w:left w:val="none" w:sz="0" w:space="0" w:color="auto"/>
        <w:bottom w:val="none" w:sz="0" w:space="0" w:color="auto"/>
        <w:right w:val="none" w:sz="0" w:space="0" w:color="auto"/>
      </w:divBdr>
    </w:div>
    <w:div w:id="1452633320">
      <w:bodyDiv w:val="1"/>
      <w:marLeft w:val="0"/>
      <w:marRight w:val="0"/>
      <w:marTop w:val="0"/>
      <w:marBottom w:val="0"/>
      <w:divBdr>
        <w:top w:val="none" w:sz="0" w:space="0" w:color="auto"/>
        <w:left w:val="none" w:sz="0" w:space="0" w:color="auto"/>
        <w:bottom w:val="none" w:sz="0" w:space="0" w:color="auto"/>
        <w:right w:val="none" w:sz="0" w:space="0" w:color="auto"/>
      </w:divBdr>
    </w:div>
    <w:div w:id="1453211650">
      <w:bodyDiv w:val="1"/>
      <w:marLeft w:val="0"/>
      <w:marRight w:val="0"/>
      <w:marTop w:val="0"/>
      <w:marBottom w:val="0"/>
      <w:divBdr>
        <w:top w:val="none" w:sz="0" w:space="0" w:color="auto"/>
        <w:left w:val="none" w:sz="0" w:space="0" w:color="auto"/>
        <w:bottom w:val="none" w:sz="0" w:space="0" w:color="auto"/>
        <w:right w:val="none" w:sz="0" w:space="0" w:color="auto"/>
      </w:divBdr>
    </w:div>
    <w:div w:id="1453284706">
      <w:bodyDiv w:val="1"/>
      <w:marLeft w:val="0"/>
      <w:marRight w:val="0"/>
      <w:marTop w:val="0"/>
      <w:marBottom w:val="0"/>
      <w:divBdr>
        <w:top w:val="none" w:sz="0" w:space="0" w:color="auto"/>
        <w:left w:val="none" w:sz="0" w:space="0" w:color="auto"/>
        <w:bottom w:val="none" w:sz="0" w:space="0" w:color="auto"/>
        <w:right w:val="none" w:sz="0" w:space="0" w:color="auto"/>
      </w:divBdr>
    </w:div>
    <w:div w:id="1453523732">
      <w:bodyDiv w:val="1"/>
      <w:marLeft w:val="0"/>
      <w:marRight w:val="0"/>
      <w:marTop w:val="0"/>
      <w:marBottom w:val="0"/>
      <w:divBdr>
        <w:top w:val="none" w:sz="0" w:space="0" w:color="auto"/>
        <w:left w:val="none" w:sz="0" w:space="0" w:color="auto"/>
        <w:bottom w:val="none" w:sz="0" w:space="0" w:color="auto"/>
        <w:right w:val="none" w:sz="0" w:space="0" w:color="auto"/>
      </w:divBdr>
      <w:divsChild>
        <w:div w:id="145324879">
          <w:marLeft w:val="1800"/>
          <w:marRight w:val="0"/>
          <w:marTop w:val="91"/>
          <w:marBottom w:val="0"/>
          <w:divBdr>
            <w:top w:val="none" w:sz="0" w:space="0" w:color="auto"/>
            <w:left w:val="none" w:sz="0" w:space="0" w:color="auto"/>
            <w:bottom w:val="none" w:sz="0" w:space="0" w:color="auto"/>
            <w:right w:val="none" w:sz="0" w:space="0" w:color="auto"/>
          </w:divBdr>
        </w:div>
        <w:div w:id="431121602">
          <w:marLeft w:val="547"/>
          <w:marRight w:val="0"/>
          <w:marTop w:val="125"/>
          <w:marBottom w:val="0"/>
          <w:divBdr>
            <w:top w:val="none" w:sz="0" w:space="0" w:color="auto"/>
            <w:left w:val="none" w:sz="0" w:space="0" w:color="auto"/>
            <w:bottom w:val="none" w:sz="0" w:space="0" w:color="auto"/>
            <w:right w:val="none" w:sz="0" w:space="0" w:color="auto"/>
          </w:divBdr>
        </w:div>
        <w:div w:id="502431111">
          <w:marLeft w:val="2520"/>
          <w:marRight w:val="0"/>
          <w:marTop w:val="77"/>
          <w:marBottom w:val="0"/>
          <w:divBdr>
            <w:top w:val="none" w:sz="0" w:space="0" w:color="auto"/>
            <w:left w:val="none" w:sz="0" w:space="0" w:color="auto"/>
            <w:bottom w:val="none" w:sz="0" w:space="0" w:color="auto"/>
            <w:right w:val="none" w:sz="0" w:space="0" w:color="auto"/>
          </w:divBdr>
        </w:div>
        <w:div w:id="1101219750">
          <w:marLeft w:val="1800"/>
          <w:marRight w:val="0"/>
          <w:marTop w:val="91"/>
          <w:marBottom w:val="0"/>
          <w:divBdr>
            <w:top w:val="none" w:sz="0" w:space="0" w:color="auto"/>
            <w:left w:val="none" w:sz="0" w:space="0" w:color="auto"/>
            <w:bottom w:val="none" w:sz="0" w:space="0" w:color="auto"/>
            <w:right w:val="none" w:sz="0" w:space="0" w:color="auto"/>
          </w:divBdr>
        </w:div>
        <w:div w:id="1425347737">
          <w:marLeft w:val="2520"/>
          <w:marRight w:val="0"/>
          <w:marTop w:val="82"/>
          <w:marBottom w:val="0"/>
          <w:divBdr>
            <w:top w:val="none" w:sz="0" w:space="0" w:color="auto"/>
            <w:left w:val="none" w:sz="0" w:space="0" w:color="auto"/>
            <w:bottom w:val="none" w:sz="0" w:space="0" w:color="auto"/>
            <w:right w:val="none" w:sz="0" w:space="0" w:color="auto"/>
          </w:divBdr>
        </w:div>
        <w:div w:id="1669868855">
          <w:marLeft w:val="1166"/>
          <w:marRight w:val="0"/>
          <w:marTop w:val="106"/>
          <w:marBottom w:val="0"/>
          <w:divBdr>
            <w:top w:val="none" w:sz="0" w:space="0" w:color="auto"/>
            <w:left w:val="none" w:sz="0" w:space="0" w:color="auto"/>
            <w:bottom w:val="none" w:sz="0" w:space="0" w:color="auto"/>
            <w:right w:val="none" w:sz="0" w:space="0" w:color="auto"/>
          </w:divBdr>
        </w:div>
        <w:div w:id="1854492496">
          <w:marLeft w:val="1800"/>
          <w:marRight w:val="0"/>
          <w:marTop w:val="91"/>
          <w:marBottom w:val="0"/>
          <w:divBdr>
            <w:top w:val="none" w:sz="0" w:space="0" w:color="auto"/>
            <w:left w:val="none" w:sz="0" w:space="0" w:color="auto"/>
            <w:bottom w:val="none" w:sz="0" w:space="0" w:color="auto"/>
            <w:right w:val="none" w:sz="0" w:space="0" w:color="auto"/>
          </w:divBdr>
        </w:div>
        <w:div w:id="2029595700">
          <w:marLeft w:val="1800"/>
          <w:marRight w:val="0"/>
          <w:marTop w:val="91"/>
          <w:marBottom w:val="0"/>
          <w:divBdr>
            <w:top w:val="none" w:sz="0" w:space="0" w:color="auto"/>
            <w:left w:val="none" w:sz="0" w:space="0" w:color="auto"/>
            <w:bottom w:val="none" w:sz="0" w:space="0" w:color="auto"/>
            <w:right w:val="none" w:sz="0" w:space="0" w:color="auto"/>
          </w:divBdr>
        </w:div>
        <w:div w:id="2042709110">
          <w:marLeft w:val="1166"/>
          <w:marRight w:val="0"/>
          <w:marTop w:val="106"/>
          <w:marBottom w:val="0"/>
          <w:divBdr>
            <w:top w:val="none" w:sz="0" w:space="0" w:color="auto"/>
            <w:left w:val="none" w:sz="0" w:space="0" w:color="auto"/>
            <w:bottom w:val="none" w:sz="0" w:space="0" w:color="auto"/>
            <w:right w:val="none" w:sz="0" w:space="0" w:color="auto"/>
          </w:divBdr>
        </w:div>
      </w:divsChild>
    </w:div>
    <w:div w:id="1453553708">
      <w:bodyDiv w:val="1"/>
      <w:marLeft w:val="0"/>
      <w:marRight w:val="0"/>
      <w:marTop w:val="0"/>
      <w:marBottom w:val="0"/>
      <w:divBdr>
        <w:top w:val="none" w:sz="0" w:space="0" w:color="auto"/>
        <w:left w:val="none" w:sz="0" w:space="0" w:color="auto"/>
        <w:bottom w:val="none" w:sz="0" w:space="0" w:color="auto"/>
        <w:right w:val="none" w:sz="0" w:space="0" w:color="auto"/>
      </w:divBdr>
    </w:div>
    <w:div w:id="1453863033">
      <w:bodyDiv w:val="1"/>
      <w:marLeft w:val="0"/>
      <w:marRight w:val="0"/>
      <w:marTop w:val="0"/>
      <w:marBottom w:val="0"/>
      <w:divBdr>
        <w:top w:val="none" w:sz="0" w:space="0" w:color="auto"/>
        <w:left w:val="none" w:sz="0" w:space="0" w:color="auto"/>
        <w:bottom w:val="none" w:sz="0" w:space="0" w:color="auto"/>
        <w:right w:val="none" w:sz="0" w:space="0" w:color="auto"/>
      </w:divBdr>
    </w:div>
    <w:div w:id="1454321481">
      <w:bodyDiv w:val="1"/>
      <w:marLeft w:val="0"/>
      <w:marRight w:val="0"/>
      <w:marTop w:val="0"/>
      <w:marBottom w:val="0"/>
      <w:divBdr>
        <w:top w:val="none" w:sz="0" w:space="0" w:color="auto"/>
        <w:left w:val="none" w:sz="0" w:space="0" w:color="auto"/>
        <w:bottom w:val="none" w:sz="0" w:space="0" w:color="auto"/>
        <w:right w:val="none" w:sz="0" w:space="0" w:color="auto"/>
      </w:divBdr>
    </w:div>
    <w:div w:id="1454790840">
      <w:bodyDiv w:val="1"/>
      <w:marLeft w:val="0"/>
      <w:marRight w:val="0"/>
      <w:marTop w:val="0"/>
      <w:marBottom w:val="0"/>
      <w:divBdr>
        <w:top w:val="none" w:sz="0" w:space="0" w:color="auto"/>
        <w:left w:val="none" w:sz="0" w:space="0" w:color="auto"/>
        <w:bottom w:val="none" w:sz="0" w:space="0" w:color="auto"/>
        <w:right w:val="none" w:sz="0" w:space="0" w:color="auto"/>
      </w:divBdr>
      <w:divsChild>
        <w:div w:id="126776614">
          <w:marLeft w:val="547"/>
          <w:marRight w:val="0"/>
          <w:marTop w:val="134"/>
          <w:marBottom w:val="0"/>
          <w:divBdr>
            <w:top w:val="none" w:sz="0" w:space="0" w:color="auto"/>
            <w:left w:val="none" w:sz="0" w:space="0" w:color="auto"/>
            <w:bottom w:val="none" w:sz="0" w:space="0" w:color="auto"/>
            <w:right w:val="none" w:sz="0" w:space="0" w:color="auto"/>
          </w:divBdr>
        </w:div>
        <w:div w:id="847594217">
          <w:marLeft w:val="547"/>
          <w:marRight w:val="0"/>
          <w:marTop w:val="134"/>
          <w:marBottom w:val="0"/>
          <w:divBdr>
            <w:top w:val="none" w:sz="0" w:space="0" w:color="auto"/>
            <w:left w:val="none" w:sz="0" w:space="0" w:color="auto"/>
            <w:bottom w:val="none" w:sz="0" w:space="0" w:color="auto"/>
            <w:right w:val="none" w:sz="0" w:space="0" w:color="auto"/>
          </w:divBdr>
        </w:div>
        <w:div w:id="856694919">
          <w:marLeft w:val="1800"/>
          <w:marRight w:val="0"/>
          <w:marTop w:val="96"/>
          <w:marBottom w:val="0"/>
          <w:divBdr>
            <w:top w:val="none" w:sz="0" w:space="0" w:color="auto"/>
            <w:left w:val="none" w:sz="0" w:space="0" w:color="auto"/>
            <w:bottom w:val="none" w:sz="0" w:space="0" w:color="auto"/>
            <w:right w:val="none" w:sz="0" w:space="0" w:color="auto"/>
          </w:divBdr>
        </w:div>
        <w:div w:id="2048524605">
          <w:marLeft w:val="1166"/>
          <w:marRight w:val="0"/>
          <w:marTop w:val="115"/>
          <w:marBottom w:val="0"/>
          <w:divBdr>
            <w:top w:val="none" w:sz="0" w:space="0" w:color="auto"/>
            <w:left w:val="none" w:sz="0" w:space="0" w:color="auto"/>
            <w:bottom w:val="none" w:sz="0" w:space="0" w:color="auto"/>
            <w:right w:val="none" w:sz="0" w:space="0" w:color="auto"/>
          </w:divBdr>
        </w:div>
      </w:divsChild>
    </w:div>
    <w:div w:id="1456752074">
      <w:bodyDiv w:val="1"/>
      <w:marLeft w:val="0"/>
      <w:marRight w:val="0"/>
      <w:marTop w:val="0"/>
      <w:marBottom w:val="0"/>
      <w:divBdr>
        <w:top w:val="none" w:sz="0" w:space="0" w:color="auto"/>
        <w:left w:val="none" w:sz="0" w:space="0" w:color="auto"/>
        <w:bottom w:val="none" w:sz="0" w:space="0" w:color="auto"/>
        <w:right w:val="none" w:sz="0" w:space="0" w:color="auto"/>
      </w:divBdr>
    </w:div>
    <w:div w:id="1456832003">
      <w:bodyDiv w:val="1"/>
      <w:marLeft w:val="0"/>
      <w:marRight w:val="0"/>
      <w:marTop w:val="0"/>
      <w:marBottom w:val="0"/>
      <w:divBdr>
        <w:top w:val="none" w:sz="0" w:space="0" w:color="auto"/>
        <w:left w:val="none" w:sz="0" w:space="0" w:color="auto"/>
        <w:bottom w:val="none" w:sz="0" w:space="0" w:color="auto"/>
        <w:right w:val="none" w:sz="0" w:space="0" w:color="auto"/>
      </w:divBdr>
    </w:div>
    <w:div w:id="1458571767">
      <w:bodyDiv w:val="1"/>
      <w:marLeft w:val="0"/>
      <w:marRight w:val="0"/>
      <w:marTop w:val="0"/>
      <w:marBottom w:val="0"/>
      <w:divBdr>
        <w:top w:val="none" w:sz="0" w:space="0" w:color="auto"/>
        <w:left w:val="none" w:sz="0" w:space="0" w:color="auto"/>
        <w:bottom w:val="none" w:sz="0" w:space="0" w:color="auto"/>
        <w:right w:val="none" w:sz="0" w:space="0" w:color="auto"/>
      </w:divBdr>
    </w:div>
    <w:div w:id="1458645090">
      <w:bodyDiv w:val="1"/>
      <w:marLeft w:val="0"/>
      <w:marRight w:val="0"/>
      <w:marTop w:val="0"/>
      <w:marBottom w:val="0"/>
      <w:divBdr>
        <w:top w:val="none" w:sz="0" w:space="0" w:color="auto"/>
        <w:left w:val="none" w:sz="0" w:space="0" w:color="auto"/>
        <w:bottom w:val="none" w:sz="0" w:space="0" w:color="auto"/>
        <w:right w:val="none" w:sz="0" w:space="0" w:color="auto"/>
      </w:divBdr>
    </w:div>
    <w:div w:id="1458717979">
      <w:bodyDiv w:val="1"/>
      <w:marLeft w:val="0"/>
      <w:marRight w:val="0"/>
      <w:marTop w:val="0"/>
      <w:marBottom w:val="0"/>
      <w:divBdr>
        <w:top w:val="none" w:sz="0" w:space="0" w:color="auto"/>
        <w:left w:val="none" w:sz="0" w:space="0" w:color="auto"/>
        <w:bottom w:val="none" w:sz="0" w:space="0" w:color="auto"/>
        <w:right w:val="none" w:sz="0" w:space="0" w:color="auto"/>
      </w:divBdr>
    </w:div>
    <w:div w:id="1459489352">
      <w:bodyDiv w:val="1"/>
      <w:marLeft w:val="0"/>
      <w:marRight w:val="0"/>
      <w:marTop w:val="0"/>
      <w:marBottom w:val="0"/>
      <w:divBdr>
        <w:top w:val="none" w:sz="0" w:space="0" w:color="auto"/>
        <w:left w:val="none" w:sz="0" w:space="0" w:color="auto"/>
        <w:bottom w:val="none" w:sz="0" w:space="0" w:color="auto"/>
        <w:right w:val="none" w:sz="0" w:space="0" w:color="auto"/>
      </w:divBdr>
    </w:div>
    <w:div w:id="1459639637">
      <w:bodyDiv w:val="1"/>
      <w:marLeft w:val="0"/>
      <w:marRight w:val="0"/>
      <w:marTop w:val="0"/>
      <w:marBottom w:val="0"/>
      <w:divBdr>
        <w:top w:val="none" w:sz="0" w:space="0" w:color="auto"/>
        <w:left w:val="none" w:sz="0" w:space="0" w:color="auto"/>
        <w:bottom w:val="none" w:sz="0" w:space="0" w:color="auto"/>
        <w:right w:val="none" w:sz="0" w:space="0" w:color="auto"/>
      </w:divBdr>
    </w:div>
    <w:div w:id="1459956992">
      <w:bodyDiv w:val="1"/>
      <w:marLeft w:val="0"/>
      <w:marRight w:val="0"/>
      <w:marTop w:val="0"/>
      <w:marBottom w:val="0"/>
      <w:divBdr>
        <w:top w:val="none" w:sz="0" w:space="0" w:color="auto"/>
        <w:left w:val="none" w:sz="0" w:space="0" w:color="auto"/>
        <w:bottom w:val="none" w:sz="0" w:space="0" w:color="auto"/>
        <w:right w:val="none" w:sz="0" w:space="0" w:color="auto"/>
      </w:divBdr>
    </w:div>
    <w:div w:id="1460417583">
      <w:bodyDiv w:val="1"/>
      <w:marLeft w:val="0"/>
      <w:marRight w:val="0"/>
      <w:marTop w:val="0"/>
      <w:marBottom w:val="0"/>
      <w:divBdr>
        <w:top w:val="none" w:sz="0" w:space="0" w:color="auto"/>
        <w:left w:val="none" w:sz="0" w:space="0" w:color="auto"/>
        <w:bottom w:val="none" w:sz="0" w:space="0" w:color="auto"/>
        <w:right w:val="none" w:sz="0" w:space="0" w:color="auto"/>
      </w:divBdr>
    </w:div>
    <w:div w:id="1460806493">
      <w:bodyDiv w:val="1"/>
      <w:marLeft w:val="0"/>
      <w:marRight w:val="0"/>
      <w:marTop w:val="0"/>
      <w:marBottom w:val="0"/>
      <w:divBdr>
        <w:top w:val="none" w:sz="0" w:space="0" w:color="auto"/>
        <w:left w:val="none" w:sz="0" w:space="0" w:color="auto"/>
        <w:bottom w:val="none" w:sz="0" w:space="0" w:color="auto"/>
        <w:right w:val="none" w:sz="0" w:space="0" w:color="auto"/>
      </w:divBdr>
      <w:divsChild>
        <w:div w:id="381947754">
          <w:marLeft w:val="1800"/>
          <w:marRight w:val="0"/>
          <w:marTop w:val="96"/>
          <w:marBottom w:val="0"/>
          <w:divBdr>
            <w:top w:val="none" w:sz="0" w:space="0" w:color="auto"/>
            <w:left w:val="none" w:sz="0" w:space="0" w:color="auto"/>
            <w:bottom w:val="none" w:sz="0" w:space="0" w:color="auto"/>
            <w:right w:val="none" w:sz="0" w:space="0" w:color="auto"/>
          </w:divBdr>
        </w:div>
        <w:div w:id="563220598">
          <w:marLeft w:val="1800"/>
          <w:marRight w:val="0"/>
          <w:marTop w:val="96"/>
          <w:marBottom w:val="0"/>
          <w:divBdr>
            <w:top w:val="none" w:sz="0" w:space="0" w:color="auto"/>
            <w:left w:val="none" w:sz="0" w:space="0" w:color="auto"/>
            <w:bottom w:val="none" w:sz="0" w:space="0" w:color="auto"/>
            <w:right w:val="none" w:sz="0" w:space="0" w:color="auto"/>
          </w:divBdr>
        </w:div>
        <w:div w:id="1039210495">
          <w:marLeft w:val="1166"/>
          <w:marRight w:val="0"/>
          <w:marTop w:val="115"/>
          <w:marBottom w:val="0"/>
          <w:divBdr>
            <w:top w:val="none" w:sz="0" w:space="0" w:color="auto"/>
            <w:left w:val="none" w:sz="0" w:space="0" w:color="auto"/>
            <w:bottom w:val="none" w:sz="0" w:space="0" w:color="auto"/>
            <w:right w:val="none" w:sz="0" w:space="0" w:color="auto"/>
          </w:divBdr>
        </w:div>
        <w:div w:id="1445421312">
          <w:marLeft w:val="1166"/>
          <w:marRight w:val="0"/>
          <w:marTop w:val="115"/>
          <w:marBottom w:val="0"/>
          <w:divBdr>
            <w:top w:val="none" w:sz="0" w:space="0" w:color="auto"/>
            <w:left w:val="none" w:sz="0" w:space="0" w:color="auto"/>
            <w:bottom w:val="none" w:sz="0" w:space="0" w:color="auto"/>
            <w:right w:val="none" w:sz="0" w:space="0" w:color="auto"/>
          </w:divBdr>
        </w:div>
      </w:divsChild>
    </w:div>
    <w:div w:id="1460998560">
      <w:bodyDiv w:val="1"/>
      <w:marLeft w:val="0"/>
      <w:marRight w:val="0"/>
      <w:marTop w:val="0"/>
      <w:marBottom w:val="0"/>
      <w:divBdr>
        <w:top w:val="none" w:sz="0" w:space="0" w:color="auto"/>
        <w:left w:val="none" w:sz="0" w:space="0" w:color="auto"/>
        <w:bottom w:val="none" w:sz="0" w:space="0" w:color="auto"/>
        <w:right w:val="none" w:sz="0" w:space="0" w:color="auto"/>
      </w:divBdr>
    </w:div>
    <w:div w:id="1461192670">
      <w:bodyDiv w:val="1"/>
      <w:marLeft w:val="0"/>
      <w:marRight w:val="0"/>
      <w:marTop w:val="0"/>
      <w:marBottom w:val="0"/>
      <w:divBdr>
        <w:top w:val="none" w:sz="0" w:space="0" w:color="auto"/>
        <w:left w:val="none" w:sz="0" w:space="0" w:color="auto"/>
        <w:bottom w:val="none" w:sz="0" w:space="0" w:color="auto"/>
        <w:right w:val="none" w:sz="0" w:space="0" w:color="auto"/>
      </w:divBdr>
    </w:div>
    <w:div w:id="1461220345">
      <w:bodyDiv w:val="1"/>
      <w:marLeft w:val="0"/>
      <w:marRight w:val="0"/>
      <w:marTop w:val="0"/>
      <w:marBottom w:val="0"/>
      <w:divBdr>
        <w:top w:val="none" w:sz="0" w:space="0" w:color="auto"/>
        <w:left w:val="none" w:sz="0" w:space="0" w:color="auto"/>
        <w:bottom w:val="none" w:sz="0" w:space="0" w:color="auto"/>
        <w:right w:val="none" w:sz="0" w:space="0" w:color="auto"/>
      </w:divBdr>
    </w:div>
    <w:div w:id="1461731274">
      <w:bodyDiv w:val="1"/>
      <w:marLeft w:val="0"/>
      <w:marRight w:val="0"/>
      <w:marTop w:val="0"/>
      <w:marBottom w:val="0"/>
      <w:divBdr>
        <w:top w:val="none" w:sz="0" w:space="0" w:color="auto"/>
        <w:left w:val="none" w:sz="0" w:space="0" w:color="auto"/>
        <w:bottom w:val="none" w:sz="0" w:space="0" w:color="auto"/>
        <w:right w:val="none" w:sz="0" w:space="0" w:color="auto"/>
      </w:divBdr>
    </w:div>
    <w:div w:id="1462650592">
      <w:bodyDiv w:val="1"/>
      <w:marLeft w:val="0"/>
      <w:marRight w:val="0"/>
      <w:marTop w:val="0"/>
      <w:marBottom w:val="0"/>
      <w:divBdr>
        <w:top w:val="none" w:sz="0" w:space="0" w:color="auto"/>
        <w:left w:val="none" w:sz="0" w:space="0" w:color="auto"/>
        <w:bottom w:val="none" w:sz="0" w:space="0" w:color="auto"/>
        <w:right w:val="none" w:sz="0" w:space="0" w:color="auto"/>
      </w:divBdr>
    </w:div>
    <w:div w:id="1462651442">
      <w:bodyDiv w:val="1"/>
      <w:marLeft w:val="0"/>
      <w:marRight w:val="0"/>
      <w:marTop w:val="0"/>
      <w:marBottom w:val="0"/>
      <w:divBdr>
        <w:top w:val="none" w:sz="0" w:space="0" w:color="auto"/>
        <w:left w:val="none" w:sz="0" w:space="0" w:color="auto"/>
        <w:bottom w:val="none" w:sz="0" w:space="0" w:color="auto"/>
        <w:right w:val="none" w:sz="0" w:space="0" w:color="auto"/>
      </w:divBdr>
    </w:div>
    <w:div w:id="1463842187">
      <w:bodyDiv w:val="1"/>
      <w:marLeft w:val="0"/>
      <w:marRight w:val="0"/>
      <w:marTop w:val="0"/>
      <w:marBottom w:val="0"/>
      <w:divBdr>
        <w:top w:val="none" w:sz="0" w:space="0" w:color="auto"/>
        <w:left w:val="none" w:sz="0" w:space="0" w:color="auto"/>
        <w:bottom w:val="none" w:sz="0" w:space="0" w:color="auto"/>
        <w:right w:val="none" w:sz="0" w:space="0" w:color="auto"/>
      </w:divBdr>
      <w:divsChild>
        <w:div w:id="442845742">
          <w:marLeft w:val="547"/>
          <w:marRight w:val="0"/>
          <w:marTop w:val="96"/>
          <w:marBottom w:val="0"/>
          <w:divBdr>
            <w:top w:val="none" w:sz="0" w:space="0" w:color="auto"/>
            <w:left w:val="none" w:sz="0" w:space="0" w:color="auto"/>
            <w:bottom w:val="none" w:sz="0" w:space="0" w:color="auto"/>
            <w:right w:val="none" w:sz="0" w:space="0" w:color="auto"/>
          </w:divBdr>
        </w:div>
        <w:div w:id="1549948239">
          <w:marLeft w:val="547"/>
          <w:marRight w:val="0"/>
          <w:marTop w:val="96"/>
          <w:marBottom w:val="0"/>
          <w:divBdr>
            <w:top w:val="none" w:sz="0" w:space="0" w:color="auto"/>
            <w:left w:val="none" w:sz="0" w:space="0" w:color="auto"/>
            <w:bottom w:val="none" w:sz="0" w:space="0" w:color="auto"/>
            <w:right w:val="none" w:sz="0" w:space="0" w:color="auto"/>
          </w:divBdr>
        </w:div>
      </w:divsChild>
    </w:div>
    <w:div w:id="1464156821">
      <w:bodyDiv w:val="1"/>
      <w:marLeft w:val="0"/>
      <w:marRight w:val="0"/>
      <w:marTop w:val="0"/>
      <w:marBottom w:val="0"/>
      <w:divBdr>
        <w:top w:val="none" w:sz="0" w:space="0" w:color="auto"/>
        <w:left w:val="none" w:sz="0" w:space="0" w:color="auto"/>
        <w:bottom w:val="none" w:sz="0" w:space="0" w:color="auto"/>
        <w:right w:val="none" w:sz="0" w:space="0" w:color="auto"/>
      </w:divBdr>
    </w:div>
    <w:div w:id="1464347463">
      <w:bodyDiv w:val="1"/>
      <w:marLeft w:val="0"/>
      <w:marRight w:val="0"/>
      <w:marTop w:val="0"/>
      <w:marBottom w:val="0"/>
      <w:divBdr>
        <w:top w:val="none" w:sz="0" w:space="0" w:color="auto"/>
        <w:left w:val="none" w:sz="0" w:space="0" w:color="auto"/>
        <w:bottom w:val="none" w:sz="0" w:space="0" w:color="auto"/>
        <w:right w:val="none" w:sz="0" w:space="0" w:color="auto"/>
      </w:divBdr>
    </w:div>
    <w:div w:id="1464542006">
      <w:bodyDiv w:val="1"/>
      <w:marLeft w:val="0"/>
      <w:marRight w:val="0"/>
      <w:marTop w:val="0"/>
      <w:marBottom w:val="0"/>
      <w:divBdr>
        <w:top w:val="none" w:sz="0" w:space="0" w:color="auto"/>
        <w:left w:val="none" w:sz="0" w:space="0" w:color="auto"/>
        <w:bottom w:val="none" w:sz="0" w:space="0" w:color="auto"/>
        <w:right w:val="none" w:sz="0" w:space="0" w:color="auto"/>
      </w:divBdr>
    </w:div>
    <w:div w:id="1466968501">
      <w:bodyDiv w:val="1"/>
      <w:marLeft w:val="0"/>
      <w:marRight w:val="0"/>
      <w:marTop w:val="0"/>
      <w:marBottom w:val="0"/>
      <w:divBdr>
        <w:top w:val="none" w:sz="0" w:space="0" w:color="auto"/>
        <w:left w:val="none" w:sz="0" w:space="0" w:color="auto"/>
        <w:bottom w:val="none" w:sz="0" w:space="0" w:color="auto"/>
        <w:right w:val="none" w:sz="0" w:space="0" w:color="auto"/>
      </w:divBdr>
      <w:divsChild>
        <w:div w:id="634456686">
          <w:marLeft w:val="1166"/>
          <w:marRight w:val="0"/>
          <w:marTop w:val="106"/>
          <w:marBottom w:val="0"/>
          <w:divBdr>
            <w:top w:val="none" w:sz="0" w:space="0" w:color="auto"/>
            <w:left w:val="none" w:sz="0" w:space="0" w:color="auto"/>
            <w:bottom w:val="none" w:sz="0" w:space="0" w:color="auto"/>
            <w:right w:val="none" w:sz="0" w:space="0" w:color="auto"/>
          </w:divBdr>
        </w:div>
        <w:div w:id="760564577">
          <w:marLeft w:val="1166"/>
          <w:marRight w:val="0"/>
          <w:marTop w:val="106"/>
          <w:marBottom w:val="0"/>
          <w:divBdr>
            <w:top w:val="none" w:sz="0" w:space="0" w:color="auto"/>
            <w:left w:val="none" w:sz="0" w:space="0" w:color="auto"/>
            <w:bottom w:val="none" w:sz="0" w:space="0" w:color="auto"/>
            <w:right w:val="none" w:sz="0" w:space="0" w:color="auto"/>
          </w:divBdr>
        </w:div>
        <w:div w:id="1948652608">
          <w:marLeft w:val="547"/>
          <w:marRight w:val="0"/>
          <w:marTop w:val="106"/>
          <w:marBottom w:val="0"/>
          <w:divBdr>
            <w:top w:val="none" w:sz="0" w:space="0" w:color="auto"/>
            <w:left w:val="none" w:sz="0" w:space="0" w:color="auto"/>
            <w:bottom w:val="none" w:sz="0" w:space="0" w:color="auto"/>
            <w:right w:val="none" w:sz="0" w:space="0" w:color="auto"/>
          </w:divBdr>
        </w:div>
        <w:div w:id="2092969989">
          <w:marLeft w:val="547"/>
          <w:marRight w:val="0"/>
          <w:marTop w:val="106"/>
          <w:marBottom w:val="0"/>
          <w:divBdr>
            <w:top w:val="none" w:sz="0" w:space="0" w:color="auto"/>
            <w:left w:val="none" w:sz="0" w:space="0" w:color="auto"/>
            <w:bottom w:val="none" w:sz="0" w:space="0" w:color="auto"/>
            <w:right w:val="none" w:sz="0" w:space="0" w:color="auto"/>
          </w:divBdr>
        </w:div>
      </w:divsChild>
    </w:div>
    <w:div w:id="1467166840">
      <w:bodyDiv w:val="1"/>
      <w:marLeft w:val="0"/>
      <w:marRight w:val="0"/>
      <w:marTop w:val="0"/>
      <w:marBottom w:val="0"/>
      <w:divBdr>
        <w:top w:val="none" w:sz="0" w:space="0" w:color="auto"/>
        <w:left w:val="none" w:sz="0" w:space="0" w:color="auto"/>
        <w:bottom w:val="none" w:sz="0" w:space="0" w:color="auto"/>
        <w:right w:val="none" w:sz="0" w:space="0" w:color="auto"/>
      </w:divBdr>
    </w:div>
    <w:div w:id="1468008915">
      <w:bodyDiv w:val="1"/>
      <w:marLeft w:val="0"/>
      <w:marRight w:val="0"/>
      <w:marTop w:val="0"/>
      <w:marBottom w:val="0"/>
      <w:divBdr>
        <w:top w:val="none" w:sz="0" w:space="0" w:color="auto"/>
        <w:left w:val="none" w:sz="0" w:space="0" w:color="auto"/>
        <w:bottom w:val="none" w:sz="0" w:space="0" w:color="auto"/>
        <w:right w:val="none" w:sz="0" w:space="0" w:color="auto"/>
      </w:divBdr>
    </w:div>
    <w:div w:id="1469012069">
      <w:bodyDiv w:val="1"/>
      <w:marLeft w:val="0"/>
      <w:marRight w:val="0"/>
      <w:marTop w:val="0"/>
      <w:marBottom w:val="0"/>
      <w:divBdr>
        <w:top w:val="none" w:sz="0" w:space="0" w:color="auto"/>
        <w:left w:val="none" w:sz="0" w:space="0" w:color="auto"/>
        <w:bottom w:val="none" w:sz="0" w:space="0" w:color="auto"/>
        <w:right w:val="none" w:sz="0" w:space="0" w:color="auto"/>
      </w:divBdr>
    </w:div>
    <w:div w:id="1469275739">
      <w:bodyDiv w:val="1"/>
      <w:marLeft w:val="0"/>
      <w:marRight w:val="0"/>
      <w:marTop w:val="0"/>
      <w:marBottom w:val="0"/>
      <w:divBdr>
        <w:top w:val="none" w:sz="0" w:space="0" w:color="auto"/>
        <w:left w:val="none" w:sz="0" w:space="0" w:color="auto"/>
        <w:bottom w:val="none" w:sz="0" w:space="0" w:color="auto"/>
        <w:right w:val="none" w:sz="0" w:space="0" w:color="auto"/>
      </w:divBdr>
    </w:div>
    <w:div w:id="1469587110">
      <w:bodyDiv w:val="1"/>
      <w:marLeft w:val="0"/>
      <w:marRight w:val="0"/>
      <w:marTop w:val="0"/>
      <w:marBottom w:val="0"/>
      <w:divBdr>
        <w:top w:val="none" w:sz="0" w:space="0" w:color="auto"/>
        <w:left w:val="none" w:sz="0" w:space="0" w:color="auto"/>
        <w:bottom w:val="none" w:sz="0" w:space="0" w:color="auto"/>
        <w:right w:val="none" w:sz="0" w:space="0" w:color="auto"/>
      </w:divBdr>
    </w:div>
    <w:div w:id="1469591027">
      <w:bodyDiv w:val="1"/>
      <w:marLeft w:val="0"/>
      <w:marRight w:val="0"/>
      <w:marTop w:val="0"/>
      <w:marBottom w:val="0"/>
      <w:divBdr>
        <w:top w:val="none" w:sz="0" w:space="0" w:color="auto"/>
        <w:left w:val="none" w:sz="0" w:space="0" w:color="auto"/>
        <w:bottom w:val="none" w:sz="0" w:space="0" w:color="auto"/>
        <w:right w:val="none" w:sz="0" w:space="0" w:color="auto"/>
      </w:divBdr>
      <w:divsChild>
        <w:div w:id="671568717">
          <w:marLeft w:val="1166"/>
          <w:marRight w:val="0"/>
          <w:marTop w:val="154"/>
          <w:marBottom w:val="0"/>
          <w:divBdr>
            <w:top w:val="none" w:sz="0" w:space="0" w:color="auto"/>
            <w:left w:val="none" w:sz="0" w:space="0" w:color="auto"/>
            <w:bottom w:val="none" w:sz="0" w:space="0" w:color="auto"/>
            <w:right w:val="none" w:sz="0" w:space="0" w:color="auto"/>
          </w:divBdr>
        </w:div>
        <w:div w:id="718672599">
          <w:marLeft w:val="547"/>
          <w:marRight w:val="0"/>
          <w:marTop w:val="154"/>
          <w:marBottom w:val="0"/>
          <w:divBdr>
            <w:top w:val="none" w:sz="0" w:space="0" w:color="auto"/>
            <w:left w:val="none" w:sz="0" w:space="0" w:color="auto"/>
            <w:bottom w:val="none" w:sz="0" w:space="0" w:color="auto"/>
            <w:right w:val="none" w:sz="0" w:space="0" w:color="auto"/>
          </w:divBdr>
        </w:div>
      </w:divsChild>
    </w:div>
    <w:div w:id="1469936940">
      <w:bodyDiv w:val="1"/>
      <w:marLeft w:val="0"/>
      <w:marRight w:val="0"/>
      <w:marTop w:val="0"/>
      <w:marBottom w:val="0"/>
      <w:divBdr>
        <w:top w:val="none" w:sz="0" w:space="0" w:color="auto"/>
        <w:left w:val="none" w:sz="0" w:space="0" w:color="auto"/>
        <w:bottom w:val="none" w:sz="0" w:space="0" w:color="auto"/>
        <w:right w:val="none" w:sz="0" w:space="0" w:color="auto"/>
      </w:divBdr>
    </w:div>
    <w:div w:id="1470055804">
      <w:bodyDiv w:val="1"/>
      <w:marLeft w:val="0"/>
      <w:marRight w:val="0"/>
      <w:marTop w:val="0"/>
      <w:marBottom w:val="0"/>
      <w:divBdr>
        <w:top w:val="none" w:sz="0" w:space="0" w:color="auto"/>
        <w:left w:val="none" w:sz="0" w:space="0" w:color="auto"/>
        <w:bottom w:val="none" w:sz="0" w:space="0" w:color="auto"/>
        <w:right w:val="none" w:sz="0" w:space="0" w:color="auto"/>
      </w:divBdr>
    </w:div>
    <w:div w:id="1470325252">
      <w:bodyDiv w:val="1"/>
      <w:marLeft w:val="0"/>
      <w:marRight w:val="0"/>
      <w:marTop w:val="0"/>
      <w:marBottom w:val="0"/>
      <w:divBdr>
        <w:top w:val="none" w:sz="0" w:space="0" w:color="auto"/>
        <w:left w:val="none" w:sz="0" w:space="0" w:color="auto"/>
        <w:bottom w:val="none" w:sz="0" w:space="0" w:color="auto"/>
        <w:right w:val="none" w:sz="0" w:space="0" w:color="auto"/>
      </w:divBdr>
    </w:div>
    <w:div w:id="1470705065">
      <w:bodyDiv w:val="1"/>
      <w:marLeft w:val="0"/>
      <w:marRight w:val="0"/>
      <w:marTop w:val="0"/>
      <w:marBottom w:val="0"/>
      <w:divBdr>
        <w:top w:val="none" w:sz="0" w:space="0" w:color="auto"/>
        <w:left w:val="none" w:sz="0" w:space="0" w:color="auto"/>
        <w:bottom w:val="none" w:sz="0" w:space="0" w:color="auto"/>
        <w:right w:val="none" w:sz="0" w:space="0" w:color="auto"/>
      </w:divBdr>
    </w:div>
    <w:div w:id="1470781181">
      <w:bodyDiv w:val="1"/>
      <w:marLeft w:val="0"/>
      <w:marRight w:val="0"/>
      <w:marTop w:val="0"/>
      <w:marBottom w:val="0"/>
      <w:divBdr>
        <w:top w:val="none" w:sz="0" w:space="0" w:color="auto"/>
        <w:left w:val="none" w:sz="0" w:space="0" w:color="auto"/>
        <w:bottom w:val="none" w:sz="0" w:space="0" w:color="auto"/>
        <w:right w:val="none" w:sz="0" w:space="0" w:color="auto"/>
      </w:divBdr>
    </w:div>
    <w:div w:id="1470903460">
      <w:bodyDiv w:val="1"/>
      <w:marLeft w:val="0"/>
      <w:marRight w:val="0"/>
      <w:marTop w:val="0"/>
      <w:marBottom w:val="0"/>
      <w:divBdr>
        <w:top w:val="none" w:sz="0" w:space="0" w:color="auto"/>
        <w:left w:val="none" w:sz="0" w:space="0" w:color="auto"/>
        <w:bottom w:val="none" w:sz="0" w:space="0" w:color="auto"/>
        <w:right w:val="none" w:sz="0" w:space="0" w:color="auto"/>
      </w:divBdr>
    </w:div>
    <w:div w:id="1471168869">
      <w:bodyDiv w:val="1"/>
      <w:marLeft w:val="0"/>
      <w:marRight w:val="0"/>
      <w:marTop w:val="0"/>
      <w:marBottom w:val="0"/>
      <w:divBdr>
        <w:top w:val="none" w:sz="0" w:space="0" w:color="auto"/>
        <w:left w:val="none" w:sz="0" w:space="0" w:color="auto"/>
        <w:bottom w:val="none" w:sz="0" w:space="0" w:color="auto"/>
        <w:right w:val="none" w:sz="0" w:space="0" w:color="auto"/>
      </w:divBdr>
    </w:div>
    <w:div w:id="1471904223">
      <w:bodyDiv w:val="1"/>
      <w:marLeft w:val="0"/>
      <w:marRight w:val="0"/>
      <w:marTop w:val="0"/>
      <w:marBottom w:val="0"/>
      <w:divBdr>
        <w:top w:val="none" w:sz="0" w:space="0" w:color="auto"/>
        <w:left w:val="none" w:sz="0" w:space="0" w:color="auto"/>
        <w:bottom w:val="none" w:sz="0" w:space="0" w:color="auto"/>
        <w:right w:val="none" w:sz="0" w:space="0" w:color="auto"/>
      </w:divBdr>
    </w:div>
    <w:div w:id="1473132838">
      <w:bodyDiv w:val="1"/>
      <w:marLeft w:val="0"/>
      <w:marRight w:val="0"/>
      <w:marTop w:val="0"/>
      <w:marBottom w:val="0"/>
      <w:divBdr>
        <w:top w:val="none" w:sz="0" w:space="0" w:color="auto"/>
        <w:left w:val="none" w:sz="0" w:space="0" w:color="auto"/>
        <w:bottom w:val="none" w:sz="0" w:space="0" w:color="auto"/>
        <w:right w:val="none" w:sz="0" w:space="0" w:color="auto"/>
      </w:divBdr>
    </w:div>
    <w:div w:id="1473599943">
      <w:bodyDiv w:val="1"/>
      <w:marLeft w:val="0"/>
      <w:marRight w:val="0"/>
      <w:marTop w:val="0"/>
      <w:marBottom w:val="0"/>
      <w:divBdr>
        <w:top w:val="none" w:sz="0" w:space="0" w:color="auto"/>
        <w:left w:val="none" w:sz="0" w:space="0" w:color="auto"/>
        <w:bottom w:val="none" w:sz="0" w:space="0" w:color="auto"/>
        <w:right w:val="none" w:sz="0" w:space="0" w:color="auto"/>
      </w:divBdr>
    </w:div>
    <w:div w:id="1474567011">
      <w:bodyDiv w:val="1"/>
      <w:marLeft w:val="0"/>
      <w:marRight w:val="0"/>
      <w:marTop w:val="0"/>
      <w:marBottom w:val="0"/>
      <w:divBdr>
        <w:top w:val="none" w:sz="0" w:space="0" w:color="auto"/>
        <w:left w:val="none" w:sz="0" w:space="0" w:color="auto"/>
        <w:bottom w:val="none" w:sz="0" w:space="0" w:color="auto"/>
        <w:right w:val="none" w:sz="0" w:space="0" w:color="auto"/>
      </w:divBdr>
    </w:div>
    <w:div w:id="1474906072">
      <w:bodyDiv w:val="1"/>
      <w:marLeft w:val="0"/>
      <w:marRight w:val="0"/>
      <w:marTop w:val="0"/>
      <w:marBottom w:val="0"/>
      <w:divBdr>
        <w:top w:val="none" w:sz="0" w:space="0" w:color="auto"/>
        <w:left w:val="none" w:sz="0" w:space="0" w:color="auto"/>
        <w:bottom w:val="none" w:sz="0" w:space="0" w:color="auto"/>
        <w:right w:val="none" w:sz="0" w:space="0" w:color="auto"/>
      </w:divBdr>
      <w:divsChild>
        <w:div w:id="1313288861">
          <w:marLeft w:val="547"/>
          <w:marRight w:val="0"/>
          <w:marTop w:val="134"/>
          <w:marBottom w:val="0"/>
          <w:divBdr>
            <w:top w:val="none" w:sz="0" w:space="0" w:color="auto"/>
            <w:left w:val="none" w:sz="0" w:space="0" w:color="auto"/>
            <w:bottom w:val="none" w:sz="0" w:space="0" w:color="auto"/>
            <w:right w:val="none" w:sz="0" w:space="0" w:color="auto"/>
          </w:divBdr>
        </w:div>
        <w:div w:id="1633947052">
          <w:marLeft w:val="547"/>
          <w:marRight w:val="0"/>
          <w:marTop w:val="134"/>
          <w:marBottom w:val="0"/>
          <w:divBdr>
            <w:top w:val="none" w:sz="0" w:space="0" w:color="auto"/>
            <w:left w:val="none" w:sz="0" w:space="0" w:color="auto"/>
            <w:bottom w:val="none" w:sz="0" w:space="0" w:color="auto"/>
            <w:right w:val="none" w:sz="0" w:space="0" w:color="auto"/>
          </w:divBdr>
        </w:div>
      </w:divsChild>
    </w:div>
    <w:div w:id="1475874036">
      <w:bodyDiv w:val="1"/>
      <w:marLeft w:val="0"/>
      <w:marRight w:val="0"/>
      <w:marTop w:val="0"/>
      <w:marBottom w:val="0"/>
      <w:divBdr>
        <w:top w:val="none" w:sz="0" w:space="0" w:color="auto"/>
        <w:left w:val="none" w:sz="0" w:space="0" w:color="auto"/>
        <w:bottom w:val="none" w:sz="0" w:space="0" w:color="auto"/>
        <w:right w:val="none" w:sz="0" w:space="0" w:color="auto"/>
      </w:divBdr>
    </w:div>
    <w:div w:id="1476215365">
      <w:bodyDiv w:val="1"/>
      <w:marLeft w:val="0"/>
      <w:marRight w:val="0"/>
      <w:marTop w:val="0"/>
      <w:marBottom w:val="0"/>
      <w:divBdr>
        <w:top w:val="none" w:sz="0" w:space="0" w:color="auto"/>
        <w:left w:val="none" w:sz="0" w:space="0" w:color="auto"/>
        <w:bottom w:val="none" w:sz="0" w:space="0" w:color="auto"/>
        <w:right w:val="none" w:sz="0" w:space="0" w:color="auto"/>
      </w:divBdr>
    </w:div>
    <w:div w:id="1476337734">
      <w:bodyDiv w:val="1"/>
      <w:marLeft w:val="0"/>
      <w:marRight w:val="0"/>
      <w:marTop w:val="0"/>
      <w:marBottom w:val="0"/>
      <w:divBdr>
        <w:top w:val="none" w:sz="0" w:space="0" w:color="auto"/>
        <w:left w:val="none" w:sz="0" w:space="0" w:color="auto"/>
        <w:bottom w:val="none" w:sz="0" w:space="0" w:color="auto"/>
        <w:right w:val="none" w:sz="0" w:space="0" w:color="auto"/>
      </w:divBdr>
      <w:divsChild>
        <w:div w:id="114953224">
          <w:marLeft w:val="1166"/>
          <w:marRight w:val="0"/>
          <w:marTop w:val="134"/>
          <w:marBottom w:val="0"/>
          <w:divBdr>
            <w:top w:val="none" w:sz="0" w:space="0" w:color="auto"/>
            <w:left w:val="none" w:sz="0" w:space="0" w:color="auto"/>
            <w:bottom w:val="none" w:sz="0" w:space="0" w:color="auto"/>
            <w:right w:val="none" w:sz="0" w:space="0" w:color="auto"/>
          </w:divBdr>
        </w:div>
        <w:div w:id="381637237">
          <w:marLeft w:val="1166"/>
          <w:marRight w:val="0"/>
          <w:marTop w:val="134"/>
          <w:marBottom w:val="0"/>
          <w:divBdr>
            <w:top w:val="none" w:sz="0" w:space="0" w:color="auto"/>
            <w:left w:val="none" w:sz="0" w:space="0" w:color="auto"/>
            <w:bottom w:val="none" w:sz="0" w:space="0" w:color="auto"/>
            <w:right w:val="none" w:sz="0" w:space="0" w:color="auto"/>
          </w:divBdr>
        </w:div>
        <w:div w:id="676689849">
          <w:marLeft w:val="1166"/>
          <w:marRight w:val="0"/>
          <w:marTop w:val="134"/>
          <w:marBottom w:val="0"/>
          <w:divBdr>
            <w:top w:val="none" w:sz="0" w:space="0" w:color="auto"/>
            <w:left w:val="none" w:sz="0" w:space="0" w:color="auto"/>
            <w:bottom w:val="none" w:sz="0" w:space="0" w:color="auto"/>
            <w:right w:val="none" w:sz="0" w:space="0" w:color="auto"/>
          </w:divBdr>
        </w:div>
        <w:div w:id="1112167349">
          <w:marLeft w:val="1166"/>
          <w:marRight w:val="0"/>
          <w:marTop w:val="134"/>
          <w:marBottom w:val="0"/>
          <w:divBdr>
            <w:top w:val="none" w:sz="0" w:space="0" w:color="auto"/>
            <w:left w:val="none" w:sz="0" w:space="0" w:color="auto"/>
            <w:bottom w:val="none" w:sz="0" w:space="0" w:color="auto"/>
            <w:right w:val="none" w:sz="0" w:space="0" w:color="auto"/>
          </w:divBdr>
        </w:div>
        <w:div w:id="1774201992">
          <w:marLeft w:val="547"/>
          <w:marRight w:val="0"/>
          <w:marTop w:val="154"/>
          <w:marBottom w:val="0"/>
          <w:divBdr>
            <w:top w:val="none" w:sz="0" w:space="0" w:color="auto"/>
            <w:left w:val="none" w:sz="0" w:space="0" w:color="auto"/>
            <w:bottom w:val="none" w:sz="0" w:space="0" w:color="auto"/>
            <w:right w:val="none" w:sz="0" w:space="0" w:color="auto"/>
          </w:divBdr>
        </w:div>
      </w:divsChild>
    </w:div>
    <w:div w:id="1476797782">
      <w:bodyDiv w:val="1"/>
      <w:marLeft w:val="0"/>
      <w:marRight w:val="0"/>
      <w:marTop w:val="0"/>
      <w:marBottom w:val="0"/>
      <w:divBdr>
        <w:top w:val="none" w:sz="0" w:space="0" w:color="auto"/>
        <w:left w:val="none" w:sz="0" w:space="0" w:color="auto"/>
        <w:bottom w:val="none" w:sz="0" w:space="0" w:color="auto"/>
        <w:right w:val="none" w:sz="0" w:space="0" w:color="auto"/>
      </w:divBdr>
      <w:divsChild>
        <w:div w:id="116023692">
          <w:marLeft w:val="0"/>
          <w:marRight w:val="0"/>
          <w:marTop w:val="0"/>
          <w:marBottom w:val="0"/>
          <w:divBdr>
            <w:top w:val="none" w:sz="0" w:space="0" w:color="auto"/>
            <w:left w:val="none" w:sz="0" w:space="0" w:color="auto"/>
            <w:bottom w:val="none" w:sz="0" w:space="0" w:color="auto"/>
            <w:right w:val="none" w:sz="0" w:space="0" w:color="auto"/>
          </w:divBdr>
        </w:div>
      </w:divsChild>
    </w:div>
    <w:div w:id="1478261830">
      <w:bodyDiv w:val="1"/>
      <w:marLeft w:val="0"/>
      <w:marRight w:val="0"/>
      <w:marTop w:val="0"/>
      <w:marBottom w:val="0"/>
      <w:divBdr>
        <w:top w:val="none" w:sz="0" w:space="0" w:color="auto"/>
        <w:left w:val="none" w:sz="0" w:space="0" w:color="auto"/>
        <w:bottom w:val="none" w:sz="0" w:space="0" w:color="auto"/>
        <w:right w:val="none" w:sz="0" w:space="0" w:color="auto"/>
      </w:divBdr>
    </w:div>
    <w:div w:id="1478496681">
      <w:bodyDiv w:val="1"/>
      <w:marLeft w:val="0"/>
      <w:marRight w:val="0"/>
      <w:marTop w:val="0"/>
      <w:marBottom w:val="0"/>
      <w:divBdr>
        <w:top w:val="none" w:sz="0" w:space="0" w:color="auto"/>
        <w:left w:val="none" w:sz="0" w:space="0" w:color="auto"/>
        <w:bottom w:val="none" w:sz="0" w:space="0" w:color="auto"/>
        <w:right w:val="none" w:sz="0" w:space="0" w:color="auto"/>
      </w:divBdr>
    </w:div>
    <w:div w:id="1478953388">
      <w:bodyDiv w:val="1"/>
      <w:marLeft w:val="0"/>
      <w:marRight w:val="0"/>
      <w:marTop w:val="0"/>
      <w:marBottom w:val="0"/>
      <w:divBdr>
        <w:top w:val="none" w:sz="0" w:space="0" w:color="auto"/>
        <w:left w:val="none" w:sz="0" w:space="0" w:color="auto"/>
        <w:bottom w:val="none" w:sz="0" w:space="0" w:color="auto"/>
        <w:right w:val="none" w:sz="0" w:space="0" w:color="auto"/>
      </w:divBdr>
    </w:div>
    <w:div w:id="1479570502">
      <w:bodyDiv w:val="1"/>
      <w:marLeft w:val="0"/>
      <w:marRight w:val="0"/>
      <w:marTop w:val="0"/>
      <w:marBottom w:val="0"/>
      <w:divBdr>
        <w:top w:val="none" w:sz="0" w:space="0" w:color="auto"/>
        <w:left w:val="none" w:sz="0" w:space="0" w:color="auto"/>
        <w:bottom w:val="none" w:sz="0" w:space="0" w:color="auto"/>
        <w:right w:val="none" w:sz="0" w:space="0" w:color="auto"/>
      </w:divBdr>
    </w:div>
    <w:div w:id="1479834957">
      <w:bodyDiv w:val="1"/>
      <w:marLeft w:val="0"/>
      <w:marRight w:val="0"/>
      <w:marTop w:val="0"/>
      <w:marBottom w:val="0"/>
      <w:divBdr>
        <w:top w:val="none" w:sz="0" w:space="0" w:color="auto"/>
        <w:left w:val="none" w:sz="0" w:space="0" w:color="auto"/>
        <w:bottom w:val="none" w:sz="0" w:space="0" w:color="auto"/>
        <w:right w:val="none" w:sz="0" w:space="0" w:color="auto"/>
      </w:divBdr>
    </w:div>
    <w:div w:id="1480803044">
      <w:bodyDiv w:val="1"/>
      <w:marLeft w:val="0"/>
      <w:marRight w:val="0"/>
      <w:marTop w:val="0"/>
      <w:marBottom w:val="0"/>
      <w:divBdr>
        <w:top w:val="none" w:sz="0" w:space="0" w:color="auto"/>
        <w:left w:val="none" w:sz="0" w:space="0" w:color="auto"/>
        <w:bottom w:val="none" w:sz="0" w:space="0" w:color="auto"/>
        <w:right w:val="none" w:sz="0" w:space="0" w:color="auto"/>
      </w:divBdr>
    </w:div>
    <w:div w:id="1480805646">
      <w:bodyDiv w:val="1"/>
      <w:marLeft w:val="0"/>
      <w:marRight w:val="0"/>
      <w:marTop w:val="0"/>
      <w:marBottom w:val="0"/>
      <w:divBdr>
        <w:top w:val="none" w:sz="0" w:space="0" w:color="auto"/>
        <w:left w:val="none" w:sz="0" w:space="0" w:color="auto"/>
        <w:bottom w:val="none" w:sz="0" w:space="0" w:color="auto"/>
        <w:right w:val="none" w:sz="0" w:space="0" w:color="auto"/>
      </w:divBdr>
    </w:div>
    <w:div w:id="1481654189">
      <w:bodyDiv w:val="1"/>
      <w:marLeft w:val="0"/>
      <w:marRight w:val="0"/>
      <w:marTop w:val="0"/>
      <w:marBottom w:val="0"/>
      <w:divBdr>
        <w:top w:val="none" w:sz="0" w:space="0" w:color="auto"/>
        <w:left w:val="none" w:sz="0" w:space="0" w:color="auto"/>
        <w:bottom w:val="none" w:sz="0" w:space="0" w:color="auto"/>
        <w:right w:val="none" w:sz="0" w:space="0" w:color="auto"/>
      </w:divBdr>
    </w:div>
    <w:div w:id="1482387822">
      <w:bodyDiv w:val="1"/>
      <w:marLeft w:val="0"/>
      <w:marRight w:val="0"/>
      <w:marTop w:val="0"/>
      <w:marBottom w:val="0"/>
      <w:divBdr>
        <w:top w:val="none" w:sz="0" w:space="0" w:color="auto"/>
        <w:left w:val="none" w:sz="0" w:space="0" w:color="auto"/>
        <w:bottom w:val="none" w:sz="0" w:space="0" w:color="auto"/>
        <w:right w:val="none" w:sz="0" w:space="0" w:color="auto"/>
      </w:divBdr>
    </w:div>
    <w:div w:id="1482577031">
      <w:bodyDiv w:val="1"/>
      <w:marLeft w:val="0"/>
      <w:marRight w:val="0"/>
      <w:marTop w:val="0"/>
      <w:marBottom w:val="0"/>
      <w:divBdr>
        <w:top w:val="none" w:sz="0" w:space="0" w:color="auto"/>
        <w:left w:val="none" w:sz="0" w:space="0" w:color="auto"/>
        <w:bottom w:val="none" w:sz="0" w:space="0" w:color="auto"/>
        <w:right w:val="none" w:sz="0" w:space="0" w:color="auto"/>
      </w:divBdr>
    </w:div>
    <w:div w:id="1482848334">
      <w:bodyDiv w:val="1"/>
      <w:marLeft w:val="0"/>
      <w:marRight w:val="0"/>
      <w:marTop w:val="0"/>
      <w:marBottom w:val="0"/>
      <w:divBdr>
        <w:top w:val="none" w:sz="0" w:space="0" w:color="auto"/>
        <w:left w:val="none" w:sz="0" w:space="0" w:color="auto"/>
        <w:bottom w:val="none" w:sz="0" w:space="0" w:color="auto"/>
        <w:right w:val="none" w:sz="0" w:space="0" w:color="auto"/>
      </w:divBdr>
    </w:div>
    <w:div w:id="1482890238">
      <w:bodyDiv w:val="1"/>
      <w:marLeft w:val="0"/>
      <w:marRight w:val="0"/>
      <w:marTop w:val="0"/>
      <w:marBottom w:val="0"/>
      <w:divBdr>
        <w:top w:val="none" w:sz="0" w:space="0" w:color="auto"/>
        <w:left w:val="none" w:sz="0" w:space="0" w:color="auto"/>
        <w:bottom w:val="none" w:sz="0" w:space="0" w:color="auto"/>
        <w:right w:val="none" w:sz="0" w:space="0" w:color="auto"/>
      </w:divBdr>
    </w:div>
    <w:div w:id="1482962400">
      <w:bodyDiv w:val="1"/>
      <w:marLeft w:val="0"/>
      <w:marRight w:val="0"/>
      <w:marTop w:val="0"/>
      <w:marBottom w:val="0"/>
      <w:divBdr>
        <w:top w:val="none" w:sz="0" w:space="0" w:color="auto"/>
        <w:left w:val="none" w:sz="0" w:space="0" w:color="auto"/>
        <w:bottom w:val="none" w:sz="0" w:space="0" w:color="auto"/>
        <w:right w:val="none" w:sz="0" w:space="0" w:color="auto"/>
      </w:divBdr>
    </w:div>
    <w:div w:id="1485244411">
      <w:bodyDiv w:val="1"/>
      <w:marLeft w:val="0"/>
      <w:marRight w:val="0"/>
      <w:marTop w:val="0"/>
      <w:marBottom w:val="0"/>
      <w:divBdr>
        <w:top w:val="none" w:sz="0" w:space="0" w:color="auto"/>
        <w:left w:val="none" w:sz="0" w:space="0" w:color="auto"/>
        <w:bottom w:val="none" w:sz="0" w:space="0" w:color="auto"/>
        <w:right w:val="none" w:sz="0" w:space="0" w:color="auto"/>
      </w:divBdr>
      <w:divsChild>
        <w:div w:id="193345343">
          <w:marLeft w:val="547"/>
          <w:marRight w:val="0"/>
          <w:marTop w:val="115"/>
          <w:marBottom w:val="0"/>
          <w:divBdr>
            <w:top w:val="none" w:sz="0" w:space="0" w:color="auto"/>
            <w:left w:val="none" w:sz="0" w:space="0" w:color="auto"/>
            <w:bottom w:val="none" w:sz="0" w:space="0" w:color="auto"/>
            <w:right w:val="none" w:sz="0" w:space="0" w:color="auto"/>
          </w:divBdr>
        </w:div>
        <w:div w:id="998922872">
          <w:marLeft w:val="1166"/>
          <w:marRight w:val="0"/>
          <w:marTop w:val="96"/>
          <w:marBottom w:val="0"/>
          <w:divBdr>
            <w:top w:val="none" w:sz="0" w:space="0" w:color="auto"/>
            <w:left w:val="none" w:sz="0" w:space="0" w:color="auto"/>
            <w:bottom w:val="none" w:sz="0" w:space="0" w:color="auto"/>
            <w:right w:val="none" w:sz="0" w:space="0" w:color="auto"/>
          </w:divBdr>
        </w:div>
        <w:div w:id="1013606880">
          <w:marLeft w:val="1166"/>
          <w:marRight w:val="0"/>
          <w:marTop w:val="96"/>
          <w:marBottom w:val="0"/>
          <w:divBdr>
            <w:top w:val="none" w:sz="0" w:space="0" w:color="auto"/>
            <w:left w:val="none" w:sz="0" w:space="0" w:color="auto"/>
            <w:bottom w:val="none" w:sz="0" w:space="0" w:color="auto"/>
            <w:right w:val="none" w:sz="0" w:space="0" w:color="auto"/>
          </w:divBdr>
        </w:div>
        <w:div w:id="1047333515">
          <w:marLeft w:val="1166"/>
          <w:marRight w:val="0"/>
          <w:marTop w:val="96"/>
          <w:marBottom w:val="0"/>
          <w:divBdr>
            <w:top w:val="none" w:sz="0" w:space="0" w:color="auto"/>
            <w:left w:val="none" w:sz="0" w:space="0" w:color="auto"/>
            <w:bottom w:val="none" w:sz="0" w:space="0" w:color="auto"/>
            <w:right w:val="none" w:sz="0" w:space="0" w:color="auto"/>
          </w:divBdr>
        </w:div>
        <w:div w:id="1119448233">
          <w:marLeft w:val="1166"/>
          <w:marRight w:val="0"/>
          <w:marTop w:val="96"/>
          <w:marBottom w:val="0"/>
          <w:divBdr>
            <w:top w:val="none" w:sz="0" w:space="0" w:color="auto"/>
            <w:left w:val="none" w:sz="0" w:space="0" w:color="auto"/>
            <w:bottom w:val="none" w:sz="0" w:space="0" w:color="auto"/>
            <w:right w:val="none" w:sz="0" w:space="0" w:color="auto"/>
          </w:divBdr>
        </w:div>
        <w:div w:id="1760758057">
          <w:marLeft w:val="1166"/>
          <w:marRight w:val="0"/>
          <w:marTop w:val="96"/>
          <w:marBottom w:val="0"/>
          <w:divBdr>
            <w:top w:val="none" w:sz="0" w:space="0" w:color="auto"/>
            <w:left w:val="none" w:sz="0" w:space="0" w:color="auto"/>
            <w:bottom w:val="none" w:sz="0" w:space="0" w:color="auto"/>
            <w:right w:val="none" w:sz="0" w:space="0" w:color="auto"/>
          </w:divBdr>
        </w:div>
        <w:div w:id="1973175709">
          <w:marLeft w:val="547"/>
          <w:marRight w:val="0"/>
          <w:marTop w:val="115"/>
          <w:marBottom w:val="0"/>
          <w:divBdr>
            <w:top w:val="none" w:sz="0" w:space="0" w:color="auto"/>
            <w:left w:val="none" w:sz="0" w:space="0" w:color="auto"/>
            <w:bottom w:val="none" w:sz="0" w:space="0" w:color="auto"/>
            <w:right w:val="none" w:sz="0" w:space="0" w:color="auto"/>
          </w:divBdr>
        </w:div>
        <w:div w:id="2044867408">
          <w:marLeft w:val="1166"/>
          <w:marRight w:val="0"/>
          <w:marTop w:val="96"/>
          <w:marBottom w:val="0"/>
          <w:divBdr>
            <w:top w:val="none" w:sz="0" w:space="0" w:color="auto"/>
            <w:left w:val="none" w:sz="0" w:space="0" w:color="auto"/>
            <w:bottom w:val="none" w:sz="0" w:space="0" w:color="auto"/>
            <w:right w:val="none" w:sz="0" w:space="0" w:color="auto"/>
          </w:divBdr>
        </w:div>
      </w:divsChild>
    </w:div>
    <w:div w:id="1485467329">
      <w:bodyDiv w:val="1"/>
      <w:marLeft w:val="0"/>
      <w:marRight w:val="0"/>
      <w:marTop w:val="0"/>
      <w:marBottom w:val="0"/>
      <w:divBdr>
        <w:top w:val="none" w:sz="0" w:space="0" w:color="auto"/>
        <w:left w:val="none" w:sz="0" w:space="0" w:color="auto"/>
        <w:bottom w:val="none" w:sz="0" w:space="0" w:color="auto"/>
        <w:right w:val="none" w:sz="0" w:space="0" w:color="auto"/>
      </w:divBdr>
    </w:div>
    <w:div w:id="1485972785">
      <w:bodyDiv w:val="1"/>
      <w:marLeft w:val="0"/>
      <w:marRight w:val="0"/>
      <w:marTop w:val="0"/>
      <w:marBottom w:val="0"/>
      <w:divBdr>
        <w:top w:val="none" w:sz="0" w:space="0" w:color="auto"/>
        <w:left w:val="none" w:sz="0" w:space="0" w:color="auto"/>
        <w:bottom w:val="none" w:sz="0" w:space="0" w:color="auto"/>
        <w:right w:val="none" w:sz="0" w:space="0" w:color="auto"/>
      </w:divBdr>
    </w:div>
    <w:div w:id="1486703624">
      <w:bodyDiv w:val="1"/>
      <w:marLeft w:val="0"/>
      <w:marRight w:val="0"/>
      <w:marTop w:val="0"/>
      <w:marBottom w:val="0"/>
      <w:divBdr>
        <w:top w:val="none" w:sz="0" w:space="0" w:color="auto"/>
        <w:left w:val="none" w:sz="0" w:space="0" w:color="auto"/>
        <w:bottom w:val="none" w:sz="0" w:space="0" w:color="auto"/>
        <w:right w:val="none" w:sz="0" w:space="0" w:color="auto"/>
      </w:divBdr>
    </w:div>
    <w:div w:id="1486780483">
      <w:bodyDiv w:val="1"/>
      <w:marLeft w:val="0"/>
      <w:marRight w:val="0"/>
      <w:marTop w:val="0"/>
      <w:marBottom w:val="0"/>
      <w:divBdr>
        <w:top w:val="none" w:sz="0" w:space="0" w:color="auto"/>
        <w:left w:val="none" w:sz="0" w:space="0" w:color="auto"/>
        <w:bottom w:val="none" w:sz="0" w:space="0" w:color="auto"/>
        <w:right w:val="none" w:sz="0" w:space="0" w:color="auto"/>
      </w:divBdr>
    </w:div>
    <w:div w:id="1486968567">
      <w:bodyDiv w:val="1"/>
      <w:marLeft w:val="0"/>
      <w:marRight w:val="0"/>
      <w:marTop w:val="0"/>
      <w:marBottom w:val="0"/>
      <w:divBdr>
        <w:top w:val="none" w:sz="0" w:space="0" w:color="auto"/>
        <w:left w:val="none" w:sz="0" w:space="0" w:color="auto"/>
        <w:bottom w:val="none" w:sz="0" w:space="0" w:color="auto"/>
        <w:right w:val="none" w:sz="0" w:space="0" w:color="auto"/>
      </w:divBdr>
    </w:div>
    <w:div w:id="1488280261">
      <w:bodyDiv w:val="1"/>
      <w:marLeft w:val="0"/>
      <w:marRight w:val="0"/>
      <w:marTop w:val="0"/>
      <w:marBottom w:val="0"/>
      <w:divBdr>
        <w:top w:val="none" w:sz="0" w:space="0" w:color="auto"/>
        <w:left w:val="none" w:sz="0" w:space="0" w:color="auto"/>
        <w:bottom w:val="none" w:sz="0" w:space="0" w:color="auto"/>
        <w:right w:val="none" w:sz="0" w:space="0" w:color="auto"/>
      </w:divBdr>
      <w:divsChild>
        <w:div w:id="922029060">
          <w:marLeft w:val="1166"/>
          <w:marRight w:val="0"/>
          <w:marTop w:val="77"/>
          <w:marBottom w:val="0"/>
          <w:divBdr>
            <w:top w:val="none" w:sz="0" w:space="0" w:color="auto"/>
            <w:left w:val="none" w:sz="0" w:space="0" w:color="auto"/>
            <w:bottom w:val="none" w:sz="0" w:space="0" w:color="auto"/>
            <w:right w:val="none" w:sz="0" w:space="0" w:color="auto"/>
          </w:divBdr>
        </w:div>
        <w:div w:id="936517827">
          <w:marLeft w:val="1166"/>
          <w:marRight w:val="0"/>
          <w:marTop w:val="77"/>
          <w:marBottom w:val="0"/>
          <w:divBdr>
            <w:top w:val="none" w:sz="0" w:space="0" w:color="auto"/>
            <w:left w:val="none" w:sz="0" w:space="0" w:color="auto"/>
            <w:bottom w:val="none" w:sz="0" w:space="0" w:color="auto"/>
            <w:right w:val="none" w:sz="0" w:space="0" w:color="auto"/>
          </w:divBdr>
        </w:div>
        <w:div w:id="1690984232">
          <w:marLeft w:val="1166"/>
          <w:marRight w:val="0"/>
          <w:marTop w:val="77"/>
          <w:marBottom w:val="0"/>
          <w:divBdr>
            <w:top w:val="none" w:sz="0" w:space="0" w:color="auto"/>
            <w:left w:val="none" w:sz="0" w:space="0" w:color="auto"/>
            <w:bottom w:val="none" w:sz="0" w:space="0" w:color="auto"/>
            <w:right w:val="none" w:sz="0" w:space="0" w:color="auto"/>
          </w:divBdr>
        </w:div>
        <w:div w:id="2038894810">
          <w:marLeft w:val="1166"/>
          <w:marRight w:val="0"/>
          <w:marTop w:val="77"/>
          <w:marBottom w:val="0"/>
          <w:divBdr>
            <w:top w:val="none" w:sz="0" w:space="0" w:color="auto"/>
            <w:left w:val="none" w:sz="0" w:space="0" w:color="auto"/>
            <w:bottom w:val="none" w:sz="0" w:space="0" w:color="auto"/>
            <w:right w:val="none" w:sz="0" w:space="0" w:color="auto"/>
          </w:divBdr>
        </w:div>
      </w:divsChild>
    </w:div>
    <w:div w:id="1488670055">
      <w:bodyDiv w:val="1"/>
      <w:marLeft w:val="0"/>
      <w:marRight w:val="0"/>
      <w:marTop w:val="0"/>
      <w:marBottom w:val="0"/>
      <w:divBdr>
        <w:top w:val="none" w:sz="0" w:space="0" w:color="auto"/>
        <w:left w:val="none" w:sz="0" w:space="0" w:color="auto"/>
        <w:bottom w:val="none" w:sz="0" w:space="0" w:color="auto"/>
        <w:right w:val="none" w:sz="0" w:space="0" w:color="auto"/>
      </w:divBdr>
    </w:div>
    <w:div w:id="1488746853">
      <w:bodyDiv w:val="1"/>
      <w:marLeft w:val="0"/>
      <w:marRight w:val="0"/>
      <w:marTop w:val="0"/>
      <w:marBottom w:val="0"/>
      <w:divBdr>
        <w:top w:val="none" w:sz="0" w:space="0" w:color="auto"/>
        <w:left w:val="none" w:sz="0" w:space="0" w:color="auto"/>
        <w:bottom w:val="none" w:sz="0" w:space="0" w:color="auto"/>
        <w:right w:val="none" w:sz="0" w:space="0" w:color="auto"/>
      </w:divBdr>
      <w:divsChild>
        <w:div w:id="1035350572">
          <w:marLeft w:val="1166"/>
          <w:marRight w:val="0"/>
          <w:marTop w:val="115"/>
          <w:marBottom w:val="0"/>
          <w:divBdr>
            <w:top w:val="none" w:sz="0" w:space="0" w:color="auto"/>
            <w:left w:val="none" w:sz="0" w:space="0" w:color="auto"/>
            <w:bottom w:val="none" w:sz="0" w:space="0" w:color="auto"/>
            <w:right w:val="none" w:sz="0" w:space="0" w:color="auto"/>
          </w:divBdr>
        </w:div>
        <w:div w:id="1411386498">
          <w:marLeft w:val="547"/>
          <w:marRight w:val="0"/>
          <w:marTop w:val="134"/>
          <w:marBottom w:val="0"/>
          <w:divBdr>
            <w:top w:val="none" w:sz="0" w:space="0" w:color="auto"/>
            <w:left w:val="none" w:sz="0" w:space="0" w:color="auto"/>
            <w:bottom w:val="none" w:sz="0" w:space="0" w:color="auto"/>
            <w:right w:val="none" w:sz="0" w:space="0" w:color="auto"/>
          </w:divBdr>
        </w:div>
      </w:divsChild>
    </w:div>
    <w:div w:id="1490711947">
      <w:bodyDiv w:val="1"/>
      <w:marLeft w:val="0"/>
      <w:marRight w:val="0"/>
      <w:marTop w:val="0"/>
      <w:marBottom w:val="0"/>
      <w:divBdr>
        <w:top w:val="none" w:sz="0" w:space="0" w:color="auto"/>
        <w:left w:val="none" w:sz="0" w:space="0" w:color="auto"/>
        <w:bottom w:val="none" w:sz="0" w:space="0" w:color="auto"/>
        <w:right w:val="none" w:sz="0" w:space="0" w:color="auto"/>
      </w:divBdr>
    </w:div>
    <w:div w:id="1490749439">
      <w:bodyDiv w:val="1"/>
      <w:marLeft w:val="0"/>
      <w:marRight w:val="0"/>
      <w:marTop w:val="0"/>
      <w:marBottom w:val="0"/>
      <w:divBdr>
        <w:top w:val="none" w:sz="0" w:space="0" w:color="auto"/>
        <w:left w:val="none" w:sz="0" w:space="0" w:color="auto"/>
        <w:bottom w:val="none" w:sz="0" w:space="0" w:color="auto"/>
        <w:right w:val="none" w:sz="0" w:space="0" w:color="auto"/>
      </w:divBdr>
    </w:div>
    <w:div w:id="1491096874">
      <w:bodyDiv w:val="1"/>
      <w:marLeft w:val="0"/>
      <w:marRight w:val="0"/>
      <w:marTop w:val="0"/>
      <w:marBottom w:val="0"/>
      <w:divBdr>
        <w:top w:val="none" w:sz="0" w:space="0" w:color="auto"/>
        <w:left w:val="none" w:sz="0" w:space="0" w:color="auto"/>
        <w:bottom w:val="none" w:sz="0" w:space="0" w:color="auto"/>
        <w:right w:val="none" w:sz="0" w:space="0" w:color="auto"/>
      </w:divBdr>
    </w:div>
    <w:div w:id="1491362231">
      <w:bodyDiv w:val="1"/>
      <w:marLeft w:val="0"/>
      <w:marRight w:val="0"/>
      <w:marTop w:val="0"/>
      <w:marBottom w:val="0"/>
      <w:divBdr>
        <w:top w:val="none" w:sz="0" w:space="0" w:color="auto"/>
        <w:left w:val="none" w:sz="0" w:space="0" w:color="auto"/>
        <w:bottom w:val="none" w:sz="0" w:space="0" w:color="auto"/>
        <w:right w:val="none" w:sz="0" w:space="0" w:color="auto"/>
      </w:divBdr>
    </w:div>
    <w:div w:id="1492989204">
      <w:bodyDiv w:val="1"/>
      <w:marLeft w:val="0"/>
      <w:marRight w:val="0"/>
      <w:marTop w:val="0"/>
      <w:marBottom w:val="0"/>
      <w:divBdr>
        <w:top w:val="none" w:sz="0" w:space="0" w:color="auto"/>
        <w:left w:val="none" w:sz="0" w:space="0" w:color="auto"/>
        <w:bottom w:val="none" w:sz="0" w:space="0" w:color="auto"/>
        <w:right w:val="none" w:sz="0" w:space="0" w:color="auto"/>
      </w:divBdr>
    </w:div>
    <w:div w:id="1493177573">
      <w:bodyDiv w:val="1"/>
      <w:marLeft w:val="0"/>
      <w:marRight w:val="0"/>
      <w:marTop w:val="0"/>
      <w:marBottom w:val="0"/>
      <w:divBdr>
        <w:top w:val="none" w:sz="0" w:space="0" w:color="auto"/>
        <w:left w:val="none" w:sz="0" w:space="0" w:color="auto"/>
        <w:bottom w:val="none" w:sz="0" w:space="0" w:color="auto"/>
        <w:right w:val="none" w:sz="0" w:space="0" w:color="auto"/>
      </w:divBdr>
      <w:divsChild>
        <w:div w:id="17122998">
          <w:marLeft w:val="547"/>
          <w:marRight w:val="0"/>
          <w:marTop w:val="115"/>
          <w:marBottom w:val="0"/>
          <w:divBdr>
            <w:top w:val="none" w:sz="0" w:space="0" w:color="auto"/>
            <w:left w:val="none" w:sz="0" w:space="0" w:color="auto"/>
            <w:bottom w:val="none" w:sz="0" w:space="0" w:color="auto"/>
            <w:right w:val="none" w:sz="0" w:space="0" w:color="auto"/>
          </w:divBdr>
        </w:div>
        <w:div w:id="672537644">
          <w:marLeft w:val="1166"/>
          <w:marRight w:val="0"/>
          <w:marTop w:val="96"/>
          <w:marBottom w:val="0"/>
          <w:divBdr>
            <w:top w:val="none" w:sz="0" w:space="0" w:color="auto"/>
            <w:left w:val="none" w:sz="0" w:space="0" w:color="auto"/>
            <w:bottom w:val="none" w:sz="0" w:space="0" w:color="auto"/>
            <w:right w:val="none" w:sz="0" w:space="0" w:color="auto"/>
          </w:divBdr>
        </w:div>
        <w:div w:id="1235699982">
          <w:marLeft w:val="1166"/>
          <w:marRight w:val="0"/>
          <w:marTop w:val="96"/>
          <w:marBottom w:val="0"/>
          <w:divBdr>
            <w:top w:val="none" w:sz="0" w:space="0" w:color="auto"/>
            <w:left w:val="none" w:sz="0" w:space="0" w:color="auto"/>
            <w:bottom w:val="none" w:sz="0" w:space="0" w:color="auto"/>
            <w:right w:val="none" w:sz="0" w:space="0" w:color="auto"/>
          </w:divBdr>
        </w:div>
        <w:div w:id="2048795680">
          <w:marLeft w:val="1166"/>
          <w:marRight w:val="0"/>
          <w:marTop w:val="96"/>
          <w:marBottom w:val="0"/>
          <w:divBdr>
            <w:top w:val="none" w:sz="0" w:space="0" w:color="auto"/>
            <w:left w:val="none" w:sz="0" w:space="0" w:color="auto"/>
            <w:bottom w:val="none" w:sz="0" w:space="0" w:color="auto"/>
            <w:right w:val="none" w:sz="0" w:space="0" w:color="auto"/>
          </w:divBdr>
        </w:div>
      </w:divsChild>
    </w:div>
    <w:div w:id="1493764697">
      <w:bodyDiv w:val="1"/>
      <w:marLeft w:val="0"/>
      <w:marRight w:val="0"/>
      <w:marTop w:val="0"/>
      <w:marBottom w:val="0"/>
      <w:divBdr>
        <w:top w:val="none" w:sz="0" w:space="0" w:color="auto"/>
        <w:left w:val="none" w:sz="0" w:space="0" w:color="auto"/>
        <w:bottom w:val="none" w:sz="0" w:space="0" w:color="auto"/>
        <w:right w:val="none" w:sz="0" w:space="0" w:color="auto"/>
      </w:divBdr>
    </w:div>
    <w:div w:id="1494564155">
      <w:bodyDiv w:val="1"/>
      <w:marLeft w:val="0"/>
      <w:marRight w:val="0"/>
      <w:marTop w:val="0"/>
      <w:marBottom w:val="0"/>
      <w:divBdr>
        <w:top w:val="none" w:sz="0" w:space="0" w:color="auto"/>
        <w:left w:val="none" w:sz="0" w:space="0" w:color="auto"/>
        <w:bottom w:val="none" w:sz="0" w:space="0" w:color="auto"/>
        <w:right w:val="none" w:sz="0" w:space="0" w:color="auto"/>
      </w:divBdr>
    </w:div>
    <w:div w:id="1494834295">
      <w:bodyDiv w:val="1"/>
      <w:marLeft w:val="0"/>
      <w:marRight w:val="0"/>
      <w:marTop w:val="0"/>
      <w:marBottom w:val="0"/>
      <w:divBdr>
        <w:top w:val="none" w:sz="0" w:space="0" w:color="auto"/>
        <w:left w:val="none" w:sz="0" w:space="0" w:color="auto"/>
        <w:bottom w:val="none" w:sz="0" w:space="0" w:color="auto"/>
        <w:right w:val="none" w:sz="0" w:space="0" w:color="auto"/>
      </w:divBdr>
    </w:div>
    <w:div w:id="1495947098">
      <w:bodyDiv w:val="1"/>
      <w:marLeft w:val="0"/>
      <w:marRight w:val="0"/>
      <w:marTop w:val="0"/>
      <w:marBottom w:val="0"/>
      <w:divBdr>
        <w:top w:val="none" w:sz="0" w:space="0" w:color="auto"/>
        <w:left w:val="none" w:sz="0" w:space="0" w:color="auto"/>
        <w:bottom w:val="none" w:sz="0" w:space="0" w:color="auto"/>
        <w:right w:val="none" w:sz="0" w:space="0" w:color="auto"/>
      </w:divBdr>
    </w:div>
    <w:div w:id="1496803584">
      <w:bodyDiv w:val="1"/>
      <w:marLeft w:val="0"/>
      <w:marRight w:val="0"/>
      <w:marTop w:val="0"/>
      <w:marBottom w:val="0"/>
      <w:divBdr>
        <w:top w:val="none" w:sz="0" w:space="0" w:color="auto"/>
        <w:left w:val="none" w:sz="0" w:space="0" w:color="auto"/>
        <w:bottom w:val="none" w:sz="0" w:space="0" w:color="auto"/>
        <w:right w:val="none" w:sz="0" w:space="0" w:color="auto"/>
      </w:divBdr>
      <w:divsChild>
        <w:div w:id="836923544">
          <w:marLeft w:val="547"/>
          <w:marRight w:val="0"/>
          <w:marTop w:val="154"/>
          <w:marBottom w:val="0"/>
          <w:divBdr>
            <w:top w:val="none" w:sz="0" w:space="0" w:color="auto"/>
            <w:left w:val="none" w:sz="0" w:space="0" w:color="auto"/>
            <w:bottom w:val="none" w:sz="0" w:space="0" w:color="auto"/>
            <w:right w:val="none" w:sz="0" w:space="0" w:color="auto"/>
          </w:divBdr>
        </w:div>
        <w:div w:id="1152016134">
          <w:marLeft w:val="1166"/>
          <w:marRight w:val="0"/>
          <w:marTop w:val="134"/>
          <w:marBottom w:val="0"/>
          <w:divBdr>
            <w:top w:val="none" w:sz="0" w:space="0" w:color="auto"/>
            <w:left w:val="none" w:sz="0" w:space="0" w:color="auto"/>
            <w:bottom w:val="none" w:sz="0" w:space="0" w:color="auto"/>
            <w:right w:val="none" w:sz="0" w:space="0" w:color="auto"/>
          </w:divBdr>
        </w:div>
        <w:div w:id="1865291900">
          <w:marLeft w:val="1166"/>
          <w:marRight w:val="0"/>
          <w:marTop w:val="134"/>
          <w:marBottom w:val="0"/>
          <w:divBdr>
            <w:top w:val="none" w:sz="0" w:space="0" w:color="auto"/>
            <w:left w:val="none" w:sz="0" w:space="0" w:color="auto"/>
            <w:bottom w:val="none" w:sz="0" w:space="0" w:color="auto"/>
            <w:right w:val="none" w:sz="0" w:space="0" w:color="auto"/>
          </w:divBdr>
        </w:div>
        <w:div w:id="2092653950">
          <w:marLeft w:val="1800"/>
          <w:marRight w:val="0"/>
          <w:marTop w:val="115"/>
          <w:marBottom w:val="0"/>
          <w:divBdr>
            <w:top w:val="none" w:sz="0" w:space="0" w:color="auto"/>
            <w:left w:val="none" w:sz="0" w:space="0" w:color="auto"/>
            <w:bottom w:val="none" w:sz="0" w:space="0" w:color="auto"/>
            <w:right w:val="none" w:sz="0" w:space="0" w:color="auto"/>
          </w:divBdr>
        </w:div>
      </w:divsChild>
    </w:div>
    <w:div w:id="1497573091">
      <w:bodyDiv w:val="1"/>
      <w:marLeft w:val="0"/>
      <w:marRight w:val="0"/>
      <w:marTop w:val="0"/>
      <w:marBottom w:val="0"/>
      <w:divBdr>
        <w:top w:val="none" w:sz="0" w:space="0" w:color="auto"/>
        <w:left w:val="none" w:sz="0" w:space="0" w:color="auto"/>
        <w:bottom w:val="none" w:sz="0" w:space="0" w:color="auto"/>
        <w:right w:val="none" w:sz="0" w:space="0" w:color="auto"/>
      </w:divBdr>
    </w:div>
    <w:div w:id="1497652691">
      <w:bodyDiv w:val="1"/>
      <w:marLeft w:val="0"/>
      <w:marRight w:val="0"/>
      <w:marTop w:val="0"/>
      <w:marBottom w:val="0"/>
      <w:divBdr>
        <w:top w:val="none" w:sz="0" w:space="0" w:color="auto"/>
        <w:left w:val="none" w:sz="0" w:space="0" w:color="auto"/>
        <w:bottom w:val="none" w:sz="0" w:space="0" w:color="auto"/>
        <w:right w:val="none" w:sz="0" w:space="0" w:color="auto"/>
      </w:divBdr>
    </w:div>
    <w:div w:id="1498886102">
      <w:bodyDiv w:val="1"/>
      <w:marLeft w:val="0"/>
      <w:marRight w:val="0"/>
      <w:marTop w:val="0"/>
      <w:marBottom w:val="0"/>
      <w:divBdr>
        <w:top w:val="none" w:sz="0" w:space="0" w:color="auto"/>
        <w:left w:val="none" w:sz="0" w:space="0" w:color="auto"/>
        <w:bottom w:val="none" w:sz="0" w:space="0" w:color="auto"/>
        <w:right w:val="none" w:sz="0" w:space="0" w:color="auto"/>
      </w:divBdr>
    </w:div>
    <w:div w:id="1499687591">
      <w:bodyDiv w:val="1"/>
      <w:marLeft w:val="0"/>
      <w:marRight w:val="0"/>
      <w:marTop w:val="0"/>
      <w:marBottom w:val="0"/>
      <w:divBdr>
        <w:top w:val="none" w:sz="0" w:space="0" w:color="auto"/>
        <w:left w:val="none" w:sz="0" w:space="0" w:color="auto"/>
        <w:bottom w:val="none" w:sz="0" w:space="0" w:color="auto"/>
        <w:right w:val="none" w:sz="0" w:space="0" w:color="auto"/>
      </w:divBdr>
    </w:div>
    <w:div w:id="1499809912">
      <w:bodyDiv w:val="1"/>
      <w:marLeft w:val="0"/>
      <w:marRight w:val="0"/>
      <w:marTop w:val="0"/>
      <w:marBottom w:val="0"/>
      <w:divBdr>
        <w:top w:val="none" w:sz="0" w:space="0" w:color="auto"/>
        <w:left w:val="none" w:sz="0" w:space="0" w:color="auto"/>
        <w:bottom w:val="none" w:sz="0" w:space="0" w:color="auto"/>
        <w:right w:val="none" w:sz="0" w:space="0" w:color="auto"/>
      </w:divBdr>
    </w:div>
    <w:div w:id="1501390406">
      <w:bodyDiv w:val="1"/>
      <w:marLeft w:val="0"/>
      <w:marRight w:val="0"/>
      <w:marTop w:val="0"/>
      <w:marBottom w:val="0"/>
      <w:divBdr>
        <w:top w:val="none" w:sz="0" w:space="0" w:color="auto"/>
        <w:left w:val="none" w:sz="0" w:space="0" w:color="auto"/>
        <w:bottom w:val="none" w:sz="0" w:space="0" w:color="auto"/>
        <w:right w:val="none" w:sz="0" w:space="0" w:color="auto"/>
      </w:divBdr>
    </w:div>
    <w:div w:id="1501505961">
      <w:bodyDiv w:val="1"/>
      <w:marLeft w:val="0"/>
      <w:marRight w:val="0"/>
      <w:marTop w:val="0"/>
      <w:marBottom w:val="0"/>
      <w:divBdr>
        <w:top w:val="none" w:sz="0" w:space="0" w:color="auto"/>
        <w:left w:val="none" w:sz="0" w:space="0" w:color="auto"/>
        <w:bottom w:val="none" w:sz="0" w:space="0" w:color="auto"/>
        <w:right w:val="none" w:sz="0" w:space="0" w:color="auto"/>
      </w:divBdr>
      <w:divsChild>
        <w:div w:id="682635236">
          <w:marLeft w:val="1800"/>
          <w:marRight w:val="0"/>
          <w:marTop w:val="67"/>
          <w:marBottom w:val="0"/>
          <w:divBdr>
            <w:top w:val="none" w:sz="0" w:space="0" w:color="auto"/>
            <w:left w:val="none" w:sz="0" w:space="0" w:color="auto"/>
            <w:bottom w:val="none" w:sz="0" w:space="0" w:color="auto"/>
            <w:right w:val="none" w:sz="0" w:space="0" w:color="auto"/>
          </w:divBdr>
        </w:div>
        <w:div w:id="749011015">
          <w:marLeft w:val="1800"/>
          <w:marRight w:val="0"/>
          <w:marTop w:val="67"/>
          <w:marBottom w:val="0"/>
          <w:divBdr>
            <w:top w:val="none" w:sz="0" w:space="0" w:color="auto"/>
            <w:left w:val="none" w:sz="0" w:space="0" w:color="auto"/>
            <w:bottom w:val="none" w:sz="0" w:space="0" w:color="auto"/>
            <w:right w:val="none" w:sz="0" w:space="0" w:color="auto"/>
          </w:divBdr>
        </w:div>
        <w:div w:id="1207832773">
          <w:marLeft w:val="2520"/>
          <w:marRight w:val="0"/>
          <w:marTop w:val="67"/>
          <w:marBottom w:val="0"/>
          <w:divBdr>
            <w:top w:val="none" w:sz="0" w:space="0" w:color="auto"/>
            <w:left w:val="none" w:sz="0" w:space="0" w:color="auto"/>
            <w:bottom w:val="none" w:sz="0" w:space="0" w:color="auto"/>
            <w:right w:val="none" w:sz="0" w:space="0" w:color="auto"/>
          </w:divBdr>
        </w:div>
        <w:div w:id="1319648923">
          <w:marLeft w:val="1800"/>
          <w:marRight w:val="0"/>
          <w:marTop w:val="67"/>
          <w:marBottom w:val="0"/>
          <w:divBdr>
            <w:top w:val="none" w:sz="0" w:space="0" w:color="auto"/>
            <w:left w:val="none" w:sz="0" w:space="0" w:color="auto"/>
            <w:bottom w:val="none" w:sz="0" w:space="0" w:color="auto"/>
            <w:right w:val="none" w:sz="0" w:space="0" w:color="auto"/>
          </w:divBdr>
        </w:div>
        <w:div w:id="1393581697">
          <w:marLeft w:val="1800"/>
          <w:marRight w:val="0"/>
          <w:marTop w:val="67"/>
          <w:marBottom w:val="0"/>
          <w:divBdr>
            <w:top w:val="none" w:sz="0" w:space="0" w:color="auto"/>
            <w:left w:val="none" w:sz="0" w:space="0" w:color="auto"/>
            <w:bottom w:val="none" w:sz="0" w:space="0" w:color="auto"/>
            <w:right w:val="none" w:sz="0" w:space="0" w:color="auto"/>
          </w:divBdr>
        </w:div>
        <w:div w:id="1403018945">
          <w:marLeft w:val="1166"/>
          <w:marRight w:val="0"/>
          <w:marTop w:val="77"/>
          <w:marBottom w:val="0"/>
          <w:divBdr>
            <w:top w:val="none" w:sz="0" w:space="0" w:color="auto"/>
            <w:left w:val="none" w:sz="0" w:space="0" w:color="auto"/>
            <w:bottom w:val="none" w:sz="0" w:space="0" w:color="auto"/>
            <w:right w:val="none" w:sz="0" w:space="0" w:color="auto"/>
          </w:divBdr>
        </w:div>
        <w:div w:id="1774089096">
          <w:marLeft w:val="2520"/>
          <w:marRight w:val="0"/>
          <w:marTop w:val="67"/>
          <w:marBottom w:val="0"/>
          <w:divBdr>
            <w:top w:val="none" w:sz="0" w:space="0" w:color="auto"/>
            <w:left w:val="none" w:sz="0" w:space="0" w:color="auto"/>
            <w:bottom w:val="none" w:sz="0" w:space="0" w:color="auto"/>
            <w:right w:val="none" w:sz="0" w:space="0" w:color="auto"/>
          </w:divBdr>
        </w:div>
        <w:div w:id="1880781019">
          <w:marLeft w:val="547"/>
          <w:marRight w:val="0"/>
          <w:marTop w:val="86"/>
          <w:marBottom w:val="0"/>
          <w:divBdr>
            <w:top w:val="none" w:sz="0" w:space="0" w:color="auto"/>
            <w:left w:val="none" w:sz="0" w:space="0" w:color="auto"/>
            <w:bottom w:val="none" w:sz="0" w:space="0" w:color="auto"/>
            <w:right w:val="none" w:sz="0" w:space="0" w:color="auto"/>
          </w:divBdr>
        </w:div>
        <w:div w:id="2002003158">
          <w:marLeft w:val="1166"/>
          <w:marRight w:val="0"/>
          <w:marTop w:val="77"/>
          <w:marBottom w:val="0"/>
          <w:divBdr>
            <w:top w:val="none" w:sz="0" w:space="0" w:color="auto"/>
            <w:left w:val="none" w:sz="0" w:space="0" w:color="auto"/>
            <w:bottom w:val="none" w:sz="0" w:space="0" w:color="auto"/>
            <w:right w:val="none" w:sz="0" w:space="0" w:color="auto"/>
          </w:divBdr>
        </w:div>
      </w:divsChild>
    </w:div>
    <w:div w:id="1502937605">
      <w:bodyDiv w:val="1"/>
      <w:marLeft w:val="0"/>
      <w:marRight w:val="0"/>
      <w:marTop w:val="0"/>
      <w:marBottom w:val="0"/>
      <w:divBdr>
        <w:top w:val="none" w:sz="0" w:space="0" w:color="auto"/>
        <w:left w:val="none" w:sz="0" w:space="0" w:color="auto"/>
        <w:bottom w:val="none" w:sz="0" w:space="0" w:color="auto"/>
        <w:right w:val="none" w:sz="0" w:space="0" w:color="auto"/>
      </w:divBdr>
    </w:div>
    <w:div w:id="1503086986">
      <w:bodyDiv w:val="1"/>
      <w:marLeft w:val="0"/>
      <w:marRight w:val="0"/>
      <w:marTop w:val="0"/>
      <w:marBottom w:val="0"/>
      <w:divBdr>
        <w:top w:val="none" w:sz="0" w:space="0" w:color="auto"/>
        <w:left w:val="none" w:sz="0" w:space="0" w:color="auto"/>
        <w:bottom w:val="none" w:sz="0" w:space="0" w:color="auto"/>
        <w:right w:val="none" w:sz="0" w:space="0" w:color="auto"/>
      </w:divBdr>
      <w:divsChild>
        <w:div w:id="149752399">
          <w:marLeft w:val="274"/>
          <w:marRight w:val="0"/>
          <w:marTop w:val="91"/>
          <w:marBottom w:val="0"/>
          <w:divBdr>
            <w:top w:val="none" w:sz="0" w:space="0" w:color="auto"/>
            <w:left w:val="none" w:sz="0" w:space="0" w:color="auto"/>
            <w:bottom w:val="none" w:sz="0" w:space="0" w:color="auto"/>
            <w:right w:val="none" w:sz="0" w:space="0" w:color="auto"/>
          </w:divBdr>
        </w:div>
        <w:div w:id="182406378">
          <w:marLeft w:val="274"/>
          <w:marRight w:val="0"/>
          <w:marTop w:val="91"/>
          <w:marBottom w:val="0"/>
          <w:divBdr>
            <w:top w:val="none" w:sz="0" w:space="0" w:color="auto"/>
            <w:left w:val="none" w:sz="0" w:space="0" w:color="auto"/>
            <w:bottom w:val="none" w:sz="0" w:space="0" w:color="auto"/>
            <w:right w:val="none" w:sz="0" w:space="0" w:color="auto"/>
          </w:divBdr>
        </w:div>
        <w:div w:id="183634496">
          <w:marLeft w:val="274"/>
          <w:marRight w:val="0"/>
          <w:marTop w:val="91"/>
          <w:marBottom w:val="0"/>
          <w:divBdr>
            <w:top w:val="none" w:sz="0" w:space="0" w:color="auto"/>
            <w:left w:val="none" w:sz="0" w:space="0" w:color="auto"/>
            <w:bottom w:val="none" w:sz="0" w:space="0" w:color="auto"/>
            <w:right w:val="none" w:sz="0" w:space="0" w:color="auto"/>
          </w:divBdr>
        </w:div>
        <w:div w:id="291861022">
          <w:marLeft w:val="835"/>
          <w:marRight w:val="0"/>
          <w:marTop w:val="77"/>
          <w:marBottom w:val="0"/>
          <w:divBdr>
            <w:top w:val="none" w:sz="0" w:space="0" w:color="auto"/>
            <w:left w:val="none" w:sz="0" w:space="0" w:color="auto"/>
            <w:bottom w:val="none" w:sz="0" w:space="0" w:color="auto"/>
            <w:right w:val="none" w:sz="0" w:space="0" w:color="auto"/>
          </w:divBdr>
        </w:div>
        <w:div w:id="786777600">
          <w:marLeft w:val="835"/>
          <w:marRight w:val="0"/>
          <w:marTop w:val="77"/>
          <w:marBottom w:val="0"/>
          <w:divBdr>
            <w:top w:val="none" w:sz="0" w:space="0" w:color="auto"/>
            <w:left w:val="none" w:sz="0" w:space="0" w:color="auto"/>
            <w:bottom w:val="none" w:sz="0" w:space="0" w:color="auto"/>
            <w:right w:val="none" w:sz="0" w:space="0" w:color="auto"/>
          </w:divBdr>
        </w:div>
        <w:div w:id="810295283">
          <w:marLeft w:val="274"/>
          <w:marRight w:val="0"/>
          <w:marTop w:val="77"/>
          <w:marBottom w:val="0"/>
          <w:divBdr>
            <w:top w:val="none" w:sz="0" w:space="0" w:color="auto"/>
            <w:left w:val="none" w:sz="0" w:space="0" w:color="auto"/>
            <w:bottom w:val="none" w:sz="0" w:space="0" w:color="auto"/>
            <w:right w:val="none" w:sz="0" w:space="0" w:color="auto"/>
          </w:divBdr>
        </w:div>
        <w:div w:id="978925567">
          <w:marLeft w:val="274"/>
          <w:marRight w:val="0"/>
          <w:marTop w:val="91"/>
          <w:marBottom w:val="0"/>
          <w:divBdr>
            <w:top w:val="none" w:sz="0" w:space="0" w:color="auto"/>
            <w:left w:val="none" w:sz="0" w:space="0" w:color="auto"/>
            <w:bottom w:val="none" w:sz="0" w:space="0" w:color="auto"/>
            <w:right w:val="none" w:sz="0" w:space="0" w:color="auto"/>
          </w:divBdr>
        </w:div>
        <w:div w:id="1151336601">
          <w:marLeft w:val="835"/>
          <w:marRight w:val="0"/>
          <w:marTop w:val="77"/>
          <w:marBottom w:val="0"/>
          <w:divBdr>
            <w:top w:val="none" w:sz="0" w:space="0" w:color="auto"/>
            <w:left w:val="none" w:sz="0" w:space="0" w:color="auto"/>
            <w:bottom w:val="none" w:sz="0" w:space="0" w:color="auto"/>
            <w:right w:val="none" w:sz="0" w:space="0" w:color="auto"/>
          </w:divBdr>
        </w:div>
        <w:div w:id="1201283950">
          <w:marLeft w:val="835"/>
          <w:marRight w:val="0"/>
          <w:marTop w:val="77"/>
          <w:marBottom w:val="0"/>
          <w:divBdr>
            <w:top w:val="none" w:sz="0" w:space="0" w:color="auto"/>
            <w:left w:val="none" w:sz="0" w:space="0" w:color="auto"/>
            <w:bottom w:val="none" w:sz="0" w:space="0" w:color="auto"/>
            <w:right w:val="none" w:sz="0" w:space="0" w:color="auto"/>
          </w:divBdr>
        </w:div>
        <w:div w:id="1268387855">
          <w:marLeft w:val="835"/>
          <w:marRight w:val="0"/>
          <w:marTop w:val="77"/>
          <w:marBottom w:val="0"/>
          <w:divBdr>
            <w:top w:val="none" w:sz="0" w:space="0" w:color="auto"/>
            <w:left w:val="none" w:sz="0" w:space="0" w:color="auto"/>
            <w:bottom w:val="none" w:sz="0" w:space="0" w:color="auto"/>
            <w:right w:val="none" w:sz="0" w:space="0" w:color="auto"/>
          </w:divBdr>
        </w:div>
        <w:div w:id="1321812010">
          <w:marLeft w:val="835"/>
          <w:marRight w:val="0"/>
          <w:marTop w:val="77"/>
          <w:marBottom w:val="0"/>
          <w:divBdr>
            <w:top w:val="none" w:sz="0" w:space="0" w:color="auto"/>
            <w:left w:val="none" w:sz="0" w:space="0" w:color="auto"/>
            <w:bottom w:val="none" w:sz="0" w:space="0" w:color="auto"/>
            <w:right w:val="none" w:sz="0" w:space="0" w:color="auto"/>
          </w:divBdr>
        </w:div>
        <w:div w:id="1400055658">
          <w:marLeft w:val="835"/>
          <w:marRight w:val="0"/>
          <w:marTop w:val="77"/>
          <w:marBottom w:val="0"/>
          <w:divBdr>
            <w:top w:val="none" w:sz="0" w:space="0" w:color="auto"/>
            <w:left w:val="none" w:sz="0" w:space="0" w:color="auto"/>
            <w:bottom w:val="none" w:sz="0" w:space="0" w:color="auto"/>
            <w:right w:val="none" w:sz="0" w:space="0" w:color="auto"/>
          </w:divBdr>
        </w:div>
        <w:div w:id="1601062165">
          <w:marLeft w:val="835"/>
          <w:marRight w:val="0"/>
          <w:marTop w:val="77"/>
          <w:marBottom w:val="0"/>
          <w:divBdr>
            <w:top w:val="none" w:sz="0" w:space="0" w:color="auto"/>
            <w:left w:val="none" w:sz="0" w:space="0" w:color="auto"/>
            <w:bottom w:val="none" w:sz="0" w:space="0" w:color="auto"/>
            <w:right w:val="none" w:sz="0" w:space="0" w:color="auto"/>
          </w:divBdr>
        </w:div>
        <w:div w:id="1819952214">
          <w:marLeft w:val="835"/>
          <w:marRight w:val="0"/>
          <w:marTop w:val="77"/>
          <w:marBottom w:val="0"/>
          <w:divBdr>
            <w:top w:val="none" w:sz="0" w:space="0" w:color="auto"/>
            <w:left w:val="none" w:sz="0" w:space="0" w:color="auto"/>
            <w:bottom w:val="none" w:sz="0" w:space="0" w:color="auto"/>
            <w:right w:val="none" w:sz="0" w:space="0" w:color="auto"/>
          </w:divBdr>
        </w:div>
        <w:div w:id="1896773289">
          <w:marLeft w:val="835"/>
          <w:marRight w:val="0"/>
          <w:marTop w:val="77"/>
          <w:marBottom w:val="0"/>
          <w:divBdr>
            <w:top w:val="none" w:sz="0" w:space="0" w:color="auto"/>
            <w:left w:val="none" w:sz="0" w:space="0" w:color="auto"/>
            <w:bottom w:val="none" w:sz="0" w:space="0" w:color="auto"/>
            <w:right w:val="none" w:sz="0" w:space="0" w:color="auto"/>
          </w:divBdr>
        </w:div>
        <w:div w:id="2106144276">
          <w:marLeft w:val="835"/>
          <w:marRight w:val="0"/>
          <w:marTop w:val="77"/>
          <w:marBottom w:val="0"/>
          <w:divBdr>
            <w:top w:val="none" w:sz="0" w:space="0" w:color="auto"/>
            <w:left w:val="none" w:sz="0" w:space="0" w:color="auto"/>
            <w:bottom w:val="none" w:sz="0" w:space="0" w:color="auto"/>
            <w:right w:val="none" w:sz="0" w:space="0" w:color="auto"/>
          </w:divBdr>
        </w:div>
      </w:divsChild>
    </w:div>
    <w:div w:id="1503349129">
      <w:bodyDiv w:val="1"/>
      <w:marLeft w:val="0"/>
      <w:marRight w:val="0"/>
      <w:marTop w:val="0"/>
      <w:marBottom w:val="0"/>
      <w:divBdr>
        <w:top w:val="none" w:sz="0" w:space="0" w:color="auto"/>
        <w:left w:val="none" w:sz="0" w:space="0" w:color="auto"/>
        <w:bottom w:val="none" w:sz="0" w:space="0" w:color="auto"/>
        <w:right w:val="none" w:sz="0" w:space="0" w:color="auto"/>
      </w:divBdr>
    </w:div>
    <w:div w:id="1503400241">
      <w:bodyDiv w:val="1"/>
      <w:marLeft w:val="0"/>
      <w:marRight w:val="0"/>
      <w:marTop w:val="0"/>
      <w:marBottom w:val="0"/>
      <w:divBdr>
        <w:top w:val="none" w:sz="0" w:space="0" w:color="auto"/>
        <w:left w:val="none" w:sz="0" w:space="0" w:color="auto"/>
        <w:bottom w:val="none" w:sz="0" w:space="0" w:color="auto"/>
        <w:right w:val="none" w:sz="0" w:space="0" w:color="auto"/>
      </w:divBdr>
    </w:div>
    <w:div w:id="1503622871">
      <w:bodyDiv w:val="1"/>
      <w:marLeft w:val="0"/>
      <w:marRight w:val="0"/>
      <w:marTop w:val="0"/>
      <w:marBottom w:val="0"/>
      <w:divBdr>
        <w:top w:val="none" w:sz="0" w:space="0" w:color="auto"/>
        <w:left w:val="none" w:sz="0" w:space="0" w:color="auto"/>
        <w:bottom w:val="none" w:sz="0" w:space="0" w:color="auto"/>
        <w:right w:val="none" w:sz="0" w:space="0" w:color="auto"/>
      </w:divBdr>
      <w:divsChild>
        <w:div w:id="161048949">
          <w:marLeft w:val="1800"/>
          <w:marRight w:val="0"/>
          <w:marTop w:val="96"/>
          <w:marBottom w:val="0"/>
          <w:divBdr>
            <w:top w:val="none" w:sz="0" w:space="0" w:color="auto"/>
            <w:left w:val="none" w:sz="0" w:space="0" w:color="auto"/>
            <w:bottom w:val="none" w:sz="0" w:space="0" w:color="auto"/>
            <w:right w:val="none" w:sz="0" w:space="0" w:color="auto"/>
          </w:divBdr>
        </w:div>
        <w:div w:id="290132238">
          <w:marLeft w:val="1800"/>
          <w:marRight w:val="0"/>
          <w:marTop w:val="96"/>
          <w:marBottom w:val="0"/>
          <w:divBdr>
            <w:top w:val="none" w:sz="0" w:space="0" w:color="auto"/>
            <w:left w:val="none" w:sz="0" w:space="0" w:color="auto"/>
            <w:bottom w:val="none" w:sz="0" w:space="0" w:color="auto"/>
            <w:right w:val="none" w:sz="0" w:space="0" w:color="auto"/>
          </w:divBdr>
        </w:div>
        <w:div w:id="452676715">
          <w:marLeft w:val="1800"/>
          <w:marRight w:val="0"/>
          <w:marTop w:val="96"/>
          <w:marBottom w:val="0"/>
          <w:divBdr>
            <w:top w:val="none" w:sz="0" w:space="0" w:color="auto"/>
            <w:left w:val="none" w:sz="0" w:space="0" w:color="auto"/>
            <w:bottom w:val="none" w:sz="0" w:space="0" w:color="auto"/>
            <w:right w:val="none" w:sz="0" w:space="0" w:color="auto"/>
          </w:divBdr>
        </w:div>
        <w:div w:id="543369856">
          <w:marLeft w:val="1166"/>
          <w:marRight w:val="0"/>
          <w:marTop w:val="115"/>
          <w:marBottom w:val="0"/>
          <w:divBdr>
            <w:top w:val="none" w:sz="0" w:space="0" w:color="auto"/>
            <w:left w:val="none" w:sz="0" w:space="0" w:color="auto"/>
            <w:bottom w:val="none" w:sz="0" w:space="0" w:color="auto"/>
            <w:right w:val="none" w:sz="0" w:space="0" w:color="auto"/>
          </w:divBdr>
        </w:div>
        <w:div w:id="1906333298">
          <w:marLeft w:val="547"/>
          <w:marRight w:val="0"/>
          <w:marTop w:val="115"/>
          <w:marBottom w:val="0"/>
          <w:divBdr>
            <w:top w:val="none" w:sz="0" w:space="0" w:color="auto"/>
            <w:left w:val="none" w:sz="0" w:space="0" w:color="auto"/>
            <w:bottom w:val="none" w:sz="0" w:space="0" w:color="auto"/>
            <w:right w:val="none" w:sz="0" w:space="0" w:color="auto"/>
          </w:divBdr>
        </w:div>
        <w:div w:id="1934698879">
          <w:marLeft w:val="547"/>
          <w:marRight w:val="0"/>
          <w:marTop w:val="115"/>
          <w:marBottom w:val="0"/>
          <w:divBdr>
            <w:top w:val="none" w:sz="0" w:space="0" w:color="auto"/>
            <w:left w:val="none" w:sz="0" w:space="0" w:color="auto"/>
            <w:bottom w:val="none" w:sz="0" w:space="0" w:color="auto"/>
            <w:right w:val="none" w:sz="0" w:space="0" w:color="auto"/>
          </w:divBdr>
        </w:div>
      </w:divsChild>
    </w:div>
    <w:div w:id="1503742383">
      <w:bodyDiv w:val="1"/>
      <w:marLeft w:val="0"/>
      <w:marRight w:val="0"/>
      <w:marTop w:val="0"/>
      <w:marBottom w:val="0"/>
      <w:divBdr>
        <w:top w:val="none" w:sz="0" w:space="0" w:color="auto"/>
        <w:left w:val="none" w:sz="0" w:space="0" w:color="auto"/>
        <w:bottom w:val="none" w:sz="0" w:space="0" w:color="auto"/>
        <w:right w:val="none" w:sz="0" w:space="0" w:color="auto"/>
      </w:divBdr>
    </w:div>
    <w:div w:id="1503811733">
      <w:bodyDiv w:val="1"/>
      <w:marLeft w:val="0"/>
      <w:marRight w:val="0"/>
      <w:marTop w:val="0"/>
      <w:marBottom w:val="0"/>
      <w:divBdr>
        <w:top w:val="none" w:sz="0" w:space="0" w:color="auto"/>
        <w:left w:val="none" w:sz="0" w:space="0" w:color="auto"/>
        <w:bottom w:val="none" w:sz="0" w:space="0" w:color="auto"/>
        <w:right w:val="none" w:sz="0" w:space="0" w:color="auto"/>
      </w:divBdr>
    </w:div>
    <w:div w:id="1506286165">
      <w:bodyDiv w:val="1"/>
      <w:marLeft w:val="0"/>
      <w:marRight w:val="0"/>
      <w:marTop w:val="0"/>
      <w:marBottom w:val="0"/>
      <w:divBdr>
        <w:top w:val="none" w:sz="0" w:space="0" w:color="auto"/>
        <w:left w:val="none" w:sz="0" w:space="0" w:color="auto"/>
        <w:bottom w:val="none" w:sz="0" w:space="0" w:color="auto"/>
        <w:right w:val="none" w:sz="0" w:space="0" w:color="auto"/>
      </w:divBdr>
      <w:divsChild>
        <w:div w:id="242878113">
          <w:marLeft w:val="1166"/>
          <w:marRight w:val="0"/>
          <w:marTop w:val="96"/>
          <w:marBottom w:val="0"/>
          <w:divBdr>
            <w:top w:val="none" w:sz="0" w:space="0" w:color="auto"/>
            <w:left w:val="none" w:sz="0" w:space="0" w:color="auto"/>
            <w:bottom w:val="none" w:sz="0" w:space="0" w:color="auto"/>
            <w:right w:val="none" w:sz="0" w:space="0" w:color="auto"/>
          </w:divBdr>
        </w:div>
        <w:div w:id="899245298">
          <w:marLeft w:val="547"/>
          <w:marRight w:val="0"/>
          <w:marTop w:val="115"/>
          <w:marBottom w:val="0"/>
          <w:divBdr>
            <w:top w:val="none" w:sz="0" w:space="0" w:color="auto"/>
            <w:left w:val="none" w:sz="0" w:space="0" w:color="auto"/>
            <w:bottom w:val="none" w:sz="0" w:space="0" w:color="auto"/>
            <w:right w:val="none" w:sz="0" w:space="0" w:color="auto"/>
          </w:divBdr>
        </w:div>
        <w:div w:id="1018045015">
          <w:marLeft w:val="1166"/>
          <w:marRight w:val="0"/>
          <w:marTop w:val="96"/>
          <w:marBottom w:val="0"/>
          <w:divBdr>
            <w:top w:val="none" w:sz="0" w:space="0" w:color="auto"/>
            <w:left w:val="none" w:sz="0" w:space="0" w:color="auto"/>
            <w:bottom w:val="none" w:sz="0" w:space="0" w:color="auto"/>
            <w:right w:val="none" w:sz="0" w:space="0" w:color="auto"/>
          </w:divBdr>
        </w:div>
        <w:div w:id="1270897691">
          <w:marLeft w:val="1166"/>
          <w:marRight w:val="0"/>
          <w:marTop w:val="96"/>
          <w:marBottom w:val="0"/>
          <w:divBdr>
            <w:top w:val="none" w:sz="0" w:space="0" w:color="auto"/>
            <w:left w:val="none" w:sz="0" w:space="0" w:color="auto"/>
            <w:bottom w:val="none" w:sz="0" w:space="0" w:color="auto"/>
            <w:right w:val="none" w:sz="0" w:space="0" w:color="auto"/>
          </w:divBdr>
        </w:div>
      </w:divsChild>
    </w:div>
    <w:div w:id="1506749176">
      <w:bodyDiv w:val="1"/>
      <w:marLeft w:val="0"/>
      <w:marRight w:val="0"/>
      <w:marTop w:val="0"/>
      <w:marBottom w:val="0"/>
      <w:divBdr>
        <w:top w:val="none" w:sz="0" w:space="0" w:color="auto"/>
        <w:left w:val="none" w:sz="0" w:space="0" w:color="auto"/>
        <w:bottom w:val="none" w:sz="0" w:space="0" w:color="auto"/>
        <w:right w:val="none" w:sz="0" w:space="0" w:color="auto"/>
      </w:divBdr>
    </w:div>
    <w:div w:id="1506752015">
      <w:bodyDiv w:val="1"/>
      <w:marLeft w:val="0"/>
      <w:marRight w:val="0"/>
      <w:marTop w:val="0"/>
      <w:marBottom w:val="0"/>
      <w:divBdr>
        <w:top w:val="none" w:sz="0" w:space="0" w:color="auto"/>
        <w:left w:val="none" w:sz="0" w:space="0" w:color="auto"/>
        <w:bottom w:val="none" w:sz="0" w:space="0" w:color="auto"/>
        <w:right w:val="none" w:sz="0" w:space="0" w:color="auto"/>
      </w:divBdr>
    </w:div>
    <w:div w:id="1507554418">
      <w:bodyDiv w:val="1"/>
      <w:marLeft w:val="0"/>
      <w:marRight w:val="0"/>
      <w:marTop w:val="0"/>
      <w:marBottom w:val="0"/>
      <w:divBdr>
        <w:top w:val="none" w:sz="0" w:space="0" w:color="auto"/>
        <w:left w:val="none" w:sz="0" w:space="0" w:color="auto"/>
        <w:bottom w:val="none" w:sz="0" w:space="0" w:color="auto"/>
        <w:right w:val="none" w:sz="0" w:space="0" w:color="auto"/>
      </w:divBdr>
      <w:divsChild>
        <w:div w:id="247201901">
          <w:marLeft w:val="0"/>
          <w:marRight w:val="0"/>
          <w:marTop w:val="0"/>
          <w:marBottom w:val="0"/>
          <w:divBdr>
            <w:top w:val="none" w:sz="0" w:space="0" w:color="auto"/>
            <w:left w:val="none" w:sz="0" w:space="0" w:color="auto"/>
            <w:bottom w:val="none" w:sz="0" w:space="0" w:color="auto"/>
            <w:right w:val="none" w:sz="0" w:space="0" w:color="auto"/>
          </w:divBdr>
        </w:div>
      </w:divsChild>
    </w:div>
    <w:div w:id="1507937190">
      <w:bodyDiv w:val="1"/>
      <w:marLeft w:val="0"/>
      <w:marRight w:val="0"/>
      <w:marTop w:val="0"/>
      <w:marBottom w:val="0"/>
      <w:divBdr>
        <w:top w:val="none" w:sz="0" w:space="0" w:color="auto"/>
        <w:left w:val="none" w:sz="0" w:space="0" w:color="auto"/>
        <w:bottom w:val="none" w:sz="0" w:space="0" w:color="auto"/>
        <w:right w:val="none" w:sz="0" w:space="0" w:color="auto"/>
      </w:divBdr>
    </w:div>
    <w:div w:id="1508903381">
      <w:bodyDiv w:val="1"/>
      <w:marLeft w:val="0"/>
      <w:marRight w:val="0"/>
      <w:marTop w:val="0"/>
      <w:marBottom w:val="0"/>
      <w:divBdr>
        <w:top w:val="none" w:sz="0" w:space="0" w:color="auto"/>
        <w:left w:val="none" w:sz="0" w:space="0" w:color="auto"/>
        <w:bottom w:val="none" w:sz="0" w:space="0" w:color="auto"/>
        <w:right w:val="none" w:sz="0" w:space="0" w:color="auto"/>
      </w:divBdr>
    </w:div>
    <w:div w:id="1509518773">
      <w:bodyDiv w:val="1"/>
      <w:marLeft w:val="0"/>
      <w:marRight w:val="0"/>
      <w:marTop w:val="0"/>
      <w:marBottom w:val="0"/>
      <w:divBdr>
        <w:top w:val="none" w:sz="0" w:space="0" w:color="auto"/>
        <w:left w:val="none" w:sz="0" w:space="0" w:color="auto"/>
        <w:bottom w:val="none" w:sz="0" w:space="0" w:color="auto"/>
        <w:right w:val="none" w:sz="0" w:space="0" w:color="auto"/>
      </w:divBdr>
      <w:divsChild>
        <w:div w:id="439570229">
          <w:marLeft w:val="1800"/>
          <w:marRight w:val="0"/>
          <w:marTop w:val="91"/>
          <w:marBottom w:val="0"/>
          <w:divBdr>
            <w:top w:val="none" w:sz="0" w:space="0" w:color="auto"/>
            <w:left w:val="none" w:sz="0" w:space="0" w:color="auto"/>
            <w:bottom w:val="none" w:sz="0" w:space="0" w:color="auto"/>
            <w:right w:val="none" w:sz="0" w:space="0" w:color="auto"/>
          </w:divBdr>
        </w:div>
        <w:div w:id="491415259">
          <w:marLeft w:val="1166"/>
          <w:marRight w:val="0"/>
          <w:marTop w:val="106"/>
          <w:marBottom w:val="0"/>
          <w:divBdr>
            <w:top w:val="none" w:sz="0" w:space="0" w:color="auto"/>
            <w:left w:val="none" w:sz="0" w:space="0" w:color="auto"/>
            <w:bottom w:val="none" w:sz="0" w:space="0" w:color="auto"/>
            <w:right w:val="none" w:sz="0" w:space="0" w:color="auto"/>
          </w:divBdr>
        </w:div>
        <w:div w:id="566377522">
          <w:marLeft w:val="1166"/>
          <w:marRight w:val="0"/>
          <w:marTop w:val="106"/>
          <w:marBottom w:val="0"/>
          <w:divBdr>
            <w:top w:val="none" w:sz="0" w:space="0" w:color="auto"/>
            <w:left w:val="none" w:sz="0" w:space="0" w:color="auto"/>
            <w:bottom w:val="none" w:sz="0" w:space="0" w:color="auto"/>
            <w:right w:val="none" w:sz="0" w:space="0" w:color="auto"/>
          </w:divBdr>
        </w:div>
        <w:div w:id="730814704">
          <w:marLeft w:val="547"/>
          <w:marRight w:val="0"/>
          <w:marTop w:val="120"/>
          <w:marBottom w:val="0"/>
          <w:divBdr>
            <w:top w:val="none" w:sz="0" w:space="0" w:color="auto"/>
            <w:left w:val="none" w:sz="0" w:space="0" w:color="auto"/>
            <w:bottom w:val="none" w:sz="0" w:space="0" w:color="auto"/>
            <w:right w:val="none" w:sz="0" w:space="0" w:color="auto"/>
          </w:divBdr>
        </w:div>
        <w:div w:id="854922662">
          <w:marLeft w:val="1166"/>
          <w:marRight w:val="0"/>
          <w:marTop w:val="106"/>
          <w:marBottom w:val="0"/>
          <w:divBdr>
            <w:top w:val="none" w:sz="0" w:space="0" w:color="auto"/>
            <w:left w:val="none" w:sz="0" w:space="0" w:color="auto"/>
            <w:bottom w:val="none" w:sz="0" w:space="0" w:color="auto"/>
            <w:right w:val="none" w:sz="0" w:space="0" w:color="auto"/>
          </w:divBdr>
        </w:div>
        <w:div w:id="866721752">
          <w:marLeft w:val="547"/>
          <w:marRight w:val="0"/>
          <w:marTop w:val="120"/>
          <w:marBottom w:val="0"/>
          <w:divBdr>
            <w:top w:val="none" w:sz="0" w:space="0" w:color="auto"/>
            <w:left w:val="none" w:sz="0" w:space="0" w:color="auto"/>
            <w:bottom w:val="none" w:sz="0" w:space="0" w:color="auto"/>
            <w:right w:val="none" w:sz="0" w:space="0" w:color="auto"/>
          </w:divBdr>
        </w:div>
        <w:div w:id="873812266">
          <w:marLeft w:val="1166"/>
          <w:marRight w:val="0"/>
          <w:marTop w:val="106"/>
          <w:marBottom w:val="0"/>
          <w:divBdr>
            <w:top w:val="none" w:sz="0" w:space="0" w:color="auto"/>
            <w:left w:val="none" w:sz="0" w:space="0" w:color="auto"/>
            <w:bottom w:val="none" w:sz="0" w:space="0" w:color="auto"/>
            <w:right w:val="none" w:sz="0" w:space="0" w:color="auto"/>
          </w:divBdr>
        </w:div>
        <w:div w:id="991563933">
          <w:marLeft w:val="547"/>
          <w:marRight w:val="0"/>
          <w:marTop w:val="120"/>
          <w:marBottom w:val="0"/>
          <w:divBdr>
            <w:top w:val="none" w:sz="0" w:space="0" w:color="auto"/>
            <w:left w:val="none" w:sz="0" w:space="0" w:color="auto"/>
            <w:bottom w:val="none" w:sz="0" w:space="0" w:color="auto"/>
            <w:right w:val="none" w:sz="0" w:space="0" w:color="auto"/>
          </w:divBdr>
        </w:div>
        <w:div w:id="1547177395">
          <w:marLeft w:val="1166"/>
          <w:marRight w:val="0"/>
          <w:marTop w:val="106"/>
          <w:marBottom w:val="0"/>
          <w:divBdr>
            <w:top w:val="none" w:sz="0" w:space="0" w:color="auto"/>
            <w:left w:val="none" w:sz="0" w:space="0" w:color="auto"/>
            <w:bottom w:val="none" w:sz="0" w:space="0" w:color="auto"/>
            <w:right w:val="none" w:sz="0" w:space="0" w:color="auto"/>
          </w:divBdr>
        </w:div>
        <w:div w:id="1631520409">
          <w:marLeft w:val="1800"/>
          <w:marRight w:val="0"/>
          <w:marTop w:val="91"/>
          <w:marBottom w:val="0"/>
          <w:divBdr>
            <w:top w:val="none" w:sz="0" w:space="0" w:color="auto"/>
            <w:left w:val="none" w:sz="0" w:space="0" w:color="auto"/>
            <w:bottom w:val="none" w:sz="0" w:space="0" w:color="auto"/>
            <w:right w:val="none" w:sz="0" w:space="0" w:color="auto"/>
          </w:divBdr>
        </w:div>
        <w:div w:id="1728336584">
          <w:marLeft w:val="1800"/>
          <w:marRight w:val="0"/>
          <w:marTop w:val="91"/>
          <w:marBottom w:val="0"/>
          <w:divBdr>
            <w:top w:val="none" w:sz="0" w:space="0" w:color="auto"/>
            <w:left w:val="none" w:sz="0" w:space="0" w:color="auto"/>
            <w:bottom w:val="none" w:sz="0" w:space="0" w:color="auto"/>
            <w:right w:val="none" w:sz="0" w:space="0" w:color="auto"/>
          </w:divBdr>
        </w:div>
        <w:div w:id="2055813589">
          <w:marLeft w:val="1166"/>
          <w:marRight w:val="0"/>
          <w:marTop w:val="106"/>
          <w:marBottom w:val="0"/>
          <w:divBdr>
            <w:top w:val="none" w:sz="0" w:space="0" w:color="auto"/>
            <w:left w:val="none" w:sz="0" w:space="0" w:color="auto"/>
            <w:bottom w:val="none" w:sz="0" w:space="0" w:color="auto"/>
            <w:right w:val="none" w:sz="0" w:space="0" w:color="auto"/>
          </w:divBdr>
        </w:div>
      </w:divsChild>
    </w:div>
    <w:div w:id="1510102580">
      <w:bodyDiv w:val="1"/>
      <w:marLeft w:val="0"/>
      <w:marRight w:val="0"/>
      <w:marTop w:val="0"/>
      <w:marBottom w:val="0"/>
      <w:divBdr>
        <w:top w:val="none" w:sz="0" w:space="0" w:color="auto"/>
        <w:left w:val="none" w:sz="0" w:space="0" w:color="auto"/>
        <w:bottom w:val="none" w:sz="0" w:space="0" w:color="auto"/>
        <w:right w:val="none" w:sz="0" w:space="0" w:color="auto"/>
      </w:divBdr>
    </w:div>
    <w:div w:id="1510103736">
      <w:bodyDiv w:val="1"/>
      <w:marLeft w:val="0"/>
      <w:marRight w:val="0"/>
      <w:marTop w:val="0"/>
      <w:marBottom w:val="0"/>
      <w:divBdr>
        <w:top w:val="none" w:sz="0" w:space="0" w:color="auto"/>
        <w:left w:val="none" w:sz="0" w:space="0" w:color="auto"/>
        <w:bottom w:val="none" w:sz="0" w:space="0" w:color="auto"/>
        <w:right w:val="none" w:sz="0" w:space="0" w:color="auto"/>
      </w:divBdr>
      <w:divsChild>
        <w:div w:id="158429876">
          <w:marLeft w:val="1166"/>
          <w:marRight w:val="0"/>
          <w:marTop w:val="96"/>
          <w:marBottom w:val="0"/>
          <w:divBdr>
            <w:top w:val="none" w:sz="0" w:space="0" w:color="auto"/>
            <w:left w:val="none" w:sz="0" w:space="0" w:color="auto"/>
            <w:bottom w:val="none" w:sz="0" w:space="0" w:color="auto"/>
            <w:right w:val="none" w:sz="0" w:space="0" w:color="auto"/>
          </w:divBdr>
        </w:div>
        <w:div w:id="434642675">
          <w:marLeft w:val="1800"/>
          <w:marRight w:val="0"/>
          <w:marTop w:val="77"/>
          <w:marBottom w:val="0"/>
          <w:divBdr>
            <w:top w:val="none" w:sz="0" w:space="0" w:color="auto"/>
            <w:left w:val="none" w:sz="0" w:space="0" w:color="auto"/>
            <w:bottom w:val="none" w:sz="0" w:space="0" w:color="auto"/>
            <w:right w:val="none" w:sz="0" w:space="0" w:color="auto"/>
          </w:divBdr>
        </w:div>
        <w:div w:id="1063454863">
          <w:marLeft w:val="1166"/>
          <w:marRight w:val="0"/>
          <w:marTop w:val="96"/>
          <w:marBottom w:val="0"/>
          <w:divBdr>
            <w:top w:val="none" w:sz="0" w:space="0" w:color="auto"/>
            <w:left w:val="none" w:sz="0" w:space="0" w:color="auto"/>
            <w:bottom w:val="none" w:sz="0" w:space="0" w:color="auto"/>
            <w:right w:val="none" w:sz="0" w:space="0" w:color="auto"/>
          </w:divBdr>
        </w:div>
        <w:div w:id="1108816875">
          <w:marLeft w:val="1166"/>
          <w:marRight w:val="0"/>
          <w:marTop w:val="96"/>
          <w:marBottom w:val="0"/>
          <w:divBdr>
            <w:top w:val="none" w:sz="0" w:space="0" w:color="auto"/>
            <w:left w:val="none" w:sz="0" w:space="0" w:color="auto"/>
            <w:bottom w:val="none" w:sz="0" w:space="0" w:color="auto"/>
            <w:right w:val="none" w:sz="0" w:space="0" w:color="auto"/>
          </w:divBdr>
        </w:div>
        <w:div w:id="1269124158">
          <w:marLeft w:val="1166"/>
          <w:marRight w:val="0"/>
          <w:marTop w:val="96"/>
          <w:marBottom w:val="0"/>
          <w:divBdr>
            <w:top w:val="none" w:sz="0" w:space="0" w:color="auto"/>
            <w:left w:val="none" w:sz="0" w:space="0" w:color="auto"/>
            <w:bottom w:val="none" w:sz="0" w:space="0" w:color="auto"/>
            <w:right w:val="none" w:sz="0" w:space="0" w:color="auto"/>
          </w:divBdr>
        </w:div>
        <w:div w:id="1355302160">
          <w:marLeft w:val="547"/>
          <w:marRight w:val="0"/>
          <w:marTop w:val="115"/>
          <w:marBottom w:val="0"/>
          <w:divBdr>
            <w:top w:val="none" w:sz="0" w:space="0" w:color="auto"/>
            <w:left w:val="none" w:sz="0" w:space="0" w:color="auto"/>
            <w:bottom w:val="none" w:sz="0" w:space="0" w:color="auto"/>
            <w:right w:val="none" w:sz="0" w:space="0" w:color="auto"/>
          </w:divBdr>
        </w:div>
        <w:div w:id="1416975106">
          <w:marLeft w:val="547"/>
          <w:marRight w:val="0"/>
          <w:marTop w:val="115"/>
          <w:marBottom w:val="0"/>
          <w:divBdr>
            <w:top w:val="none" w:sz="0" w:space="0" w:color="auto"/>
            <w:left w:val="none" w:sz="0" w:space="0" w:color="auto"/>
            <w:bottom w:val="none" w:sz="0" w:space="0" w:color="auto"/>
            <w:right w:val="none" w:sz="0" w:space="0" w:color="auto"/>
          </w:divBdr>
        </w:div>
        <w:div w:id="1811903812">
          <w:marLeft w:val="1166"/>
          <w:marRight w:val="0"/>
          <w:marTop w:val="96"/>
          <w:marBottom w:val="0"/>
          <w:divBdr>
            <w:top w:val="none" w:sz="0" w:space="0" w:color="auto"/>
            <w:left w:val="none" w:sz="0" w:space="0" w:color="auto"/>
            <w:bottom w:val="none" w:sz="0" w:space="0" w:color="auto"/>
            <w:right w:val="none" w:sz="0" w:space="0" w:color="auto"/>
          </w:divBdr>
        </w:div>
        <w:div w:id="1866140664">
          <w:marLeft w:val="1800"/>
          <w:marRight w:val="0"/>
          <w:marTop w:val="77"/>
          <w:marBottom w:val="0"/>
          <w:divBdr>
            <w:top w:val="none" w:sz="0" w:space="0" w:color="auto"/>
            <w:left w:val="none" w:sz="0" w:space="0" w:color="auto"/>
            <w:bottom w:val="none" w:sz="0" w:space="0" w:color="auto"/>
            <w:right w:val="none" w:sz="0" w:space="0" w:color="auto"/>
          </w:divBdr>
        </w:div>
        <w:div w:id="1867596650">
          <w:marLeft w:val="1166"/>
          <w:marRight w:val="0"/>
          <w:marTop w:val="96"/>
          <w:marBottom w:val="0"/>
          <w:divBdr>
            <w:top w:val="none" w:sz="0" w:space="0" w:color="auto"/>
            <w:left w:val="none" w:sz="0" w:space="0" w:color="auto"/>
            <w:bottom w:val="none" w:sz="0" w:space="0" w:color="auto"/>
            <w:right w:val="none" w:sz="0" w:space="0" w:color="auto"/>
          </w:divBdr>
        </w:div>
        <w:div w:id="2114670056">
          <w:marLeft w:val="547"/>
          <w:marRight w:val="0"/>
          <w:marTop w:val="115"/>
          <w:marBottom w:val="0"/>
          <w:divBdr>
            <w:top w:val="none" w:sz="0" w:space="0" w:color="auto"/>
            <w:left w:val="none" w:sz="0" w:space="0" w:color="auto"/>
            <w:bottom w:val="none" w:sz="0" w:space="0" w:color="auto"/>
            <w:right w:val="none" w:sz="0" w:space="0" w:color="auto"/>
          </w:divBdr>
        </w:div>
      </w:divsChild>
    </w:div>
    <w:div w:id="1510755216">
      <w:bodyDiv w:val="1"/>
      <w:marLeft w:val="0"/>
      <w:marRight w:val="0"/>
      <w:marTop w:val="0"/>
      <w:marBottom w:val="0"/>
      <w:divBdr>
        <w:top w:val="none" w:sz="0" w:space="0" w:color="auto"/>
        <w:left w:val="none" w:sz="0" w:space="0" w:color="auto"/>
        <w:bottom w:val="none" w:sz="0" w:space="0" w:color="auto"/>
        <w:right w:val="none" w:sz="0" w:space="0" w:color="auto"/>
      </w:divBdr>
    </w:div>
    <w:div w:id="1510830009">
      <w:bodyDiv w:val="1"/>
      <w:marLeft w:val="0"/>
      <w:marRight w:val="0"/>
      <w:marTop w:val="0"/>
      <w:marBottom w:val="0"/>
      <w:divBdr>
        <w:top w:val="none" w:sz="0" w:space="0" w:color="auto"/>
        <w:left w:val="none" w:sz="0" w:space="0" w:color="auto"/>
        <w:bottom w:val="none" w:sz="0" w:space="0" w:color="auto"/>
        <w:right w:val="none" w:sz="0" w:space="0" w:color="auto"/>
      </w:divBdr>
    </w:div>
    <w:div w:id="1511485504">
      <w:bodyDiv w:val="1"/>
      <w:marLeft w:val="0"/>
      <w:marRight w:val="0"/>
      <w:marTop w:val="0"/>
      <w:marBottom w:val="0"/>
      <w:divBdr>
        <w:top w:val="none" w:sz="0" w:space="0" w:color="auto"/>
        <w:left w:val="none" w:sz="0" w:space="0" w:color="auto"/>
        <w:bottom w:val="none" w:sz="0" w:space="0" w:color="auto"/>
        <w:right w:val="none" w:sz="0" w:space="0" w:color="auto"/>
      </w:divBdr>
      <w:divsChild>
        <w:div w:id="134493267">
          <w:marLeft w:val="1166"/>
          <w:marRight w:val="0"/>
          <w:marTop w:val="86"/>
          <w:marBottom w:val="0"/>
          <w:divBdr>
            <w:top w:val="none" w:sz="0" w:space="0" w:color="auto"/>
            <w:left w:val="none" w:sz="0" w:space="0" w:color="auto"/>
            <w:bottom w:val="none" w:sz="0" w:space="0" w:color="auto"/>
            <w:right w:val="none" w:sz="0" w:space="0" w:color="auto"/>
          </w:divBdr>
        </w:div>
        <w:div w:id="650867581">
          <w:marLeft w:val="1166"/>
          <w:marRight w:val="0"/>
          <w:marTop w:val="86"/>
          <w:marBottom w:val="0"/>
          <w:divBdr>
            <w:top w:val="none" w:sz="0" w:space="0" w:color="auto"/>
            <w:left w:val="none" w:sz="0" w:space="0" w:color="auto"/>
            <w:bottom w:val="none" w:sz="0" w:space="0" w:color="auto"/>
            <w:right w:val="none" w:sz="0" w:space="0" w:color="auto"/>
          </w:divBdr>
        </w:div>
        <w:div w:id="692193141">
          <w:marLeft w:val="1800"/>
          <w:marRight w:val="0"/>
          <w:marTop w:val="86"/>
          <w:marBottom w:val="0"/>
          <w:divBdr>
            <w:top w:val="none" w:sz="0" w:space="0" w:color="auto"/>
            <w:left w:val="none" w:sz="0" w:space="0" w:color="auto"/>
            <w:bottom w:val="none" w:sz="0" w:space="0" w:color="auto"/>
            <w:right w:val="none" w:sz="0" w:space="0" w:color="auto"/>
          </w:divBdr>
        </w:div>
        <w:div w:id="703676365">
          <w:marLeft w:val="1166"/>
          <w:marRight w:val="0"/>
          <w:marTop w:val="86"/>
          <w:marBottom w:val="0"/>
          <w:divBdr>
            <w:top w:val="none" w:sz="0" w:space="0" w:color="auto"/>
            <w:left w:val="none" w:sz="0" w:space="0" w:color="auto"/>
            <w:bottom w:val="none" w:sz="0" w:space="0" w:color="auto"/>
            <w:right w:val="none" w:sz="0" w:space="0" w:color="auto"/>
          </w:divBdr>
        </w:div>
        <w:div w:id="788007324">
          <w:marLeft w:val="1166"/>
          <w:marRight w:val="0"/>
          <w:marTop w:val="86"/>
          <w:marBottom w:val="0"/>
          <w:divBdr>
            <w:top w:val="none" w:sz="0" w:space="0" w:color="auto"/>
            <w:left w:val="none" w:sz="0" w:space="0" w:color="auto"/>
            <w:bottom w:val="none" w:sz="0" w:space="0" w:color="auto"/>
            <w:right w:val="none" w:sz="0" w:space="0" w:color="auto"/>
          </w:divBdr>
        </w:div>
        <w:div w:id="982612869">
          <w:marLeft w:val="1166"/>
          <w:marRight w:val="0"/>
          <w:marTop w:val="86"/>
          <w:marBottom w:val="0"/>
          <w:divBdr>
            <w:top w:val="none" w:sz="0" w:space="0" w:color="auto"/>
            <w:left w:val="none" w:sz="0" w:space="0" w:color="auto"/>
            <w:bottom w:val="none" w:sz="0" w:space="0" w:color="auto"/>
            <w:right w:val="none" w:sz="0" w:space="0" w:color="auto"/>
          </w:divBdr>
        </w:div>
        <w:div w:id="1366248796">
          <w:marLeft w:val="547"/>
          <w:marRight w:val="0"/>
          <w:marTop w:val="86"/>
          <w:marBottom w:val="0"/>
          <w:divBdr>
            <w:top w:val="none" w:sz="0" w:space="0" w:color="auto"/>
            <w:left w:val="none" w:sz="0" w:space="0" w:color="auto"/>
            <w:bottom w:val="none" w:sz="0" w:space="0" w:color="auto"/>
            <w:right w:val="none" w:sz="0" w:space="0" w:color="auto"/>
          </w:divBdr>
        </w:div>
        <w:div w:id="1427117703">
          <w:marLeft w:val="547"/>
          <w:marRight w:val="0"/>
          <w:marTop w:val="86"/>
          <w:marBottom w:val="0"/>
          <w:divBdr>
            <w:top w:val="none" w:sz="0" w:space="0" w:color="auto"/>
            <w:left w:val="none" w:sz="0" w:space="0" w:color="auto"/>
            <w:bottom w:val="none" w:sz="0" w:space="0" w:color="auto"/>
            <w:right w:val="none" w:sz="0" w:space="0" w:color="auto"/>
          </w:divBdr>
        </w:div>
        <w:div w:id="1560238558">
          <w:marLeft w:val="1800"/>
          <w:marRight w:val="0"/>
          <w:marTop w:val="86"/>
          <w:marBottom w:val="0"/>
          <w:divBdr>
            <w:top w:val="none" w:sz="0" w:space="0" w:color="auto"/>
            <w:left w:val="none" w:sz="0" w:space="0" w:color="auto"/>
            <w:bottom w:val="none" w:sz="0" w:space="0" w:color="auto"/>
            <w:right w:val="none" w:sz="0" w:space="0" w:color="auto"/>
          </w:divBdr>
        </w:div>
        <w:div w:id="1640111504">
          <w:marLeft w:val="547"/>
          <w:marRight w:val="0"/>
          <w:marTop w:val="86"/>
          <w:marBottom w:val="0"/>
          <w:divBdr>
            <w:top w:val="none" w:sz="0" w:space="0" w:color="auto"/>
            <w:left w:val="none" w:sz="0" w:space="0" w:color="auto"/>
            <w:bottom w:val="none" w:sz="0" w:space="0" w:color="auto"/>
            <w:right w:val="none" w:sz="0" w:space="0" w:color="auto"/>
          </w:divBdr>
        </w:div>
        <w:div w:id="2034263597">
          <w:marLeft w:val="547"/>
          <w:marRight w:val="0"/>
          <w:marTop w:val="86"/>
          <w:marBottom w:val="0"/>
          <w:divBdr>
            <w:top w:val="none" w:sz="0" w:space="0" w:color="auto"/>
            <w:left w:val="none" w:sz="0" w:space="0" w:color="auto"/>
            <w:bottom w:val="none" w:sz="0" w:space="0" w:color="auto"/>
            <w:right w:val="none" w:sz="0" w:space="0" w:color="auto"/>
          </w:divBdr>
        </w:div>
        <w:div w:id="2072731050">
          <w:marLeft w:val="1166"/>
          <w:marRight w:val="0"/>
          <w:marTop w:val="86"/>
          <w:marBottom w:val="0"/>
          <w:divBdr>
            <w:top w:val="none" w:sz="0" w:space="0" w:color="auto"/>
            <w:left w:val="none" w:sz="0" w:space="0" w:color="auto"/>
            <w:bottom w:val="none" w:sz="0" w:space="0" w:color="auto"/>
            <w:right w:val="none" w:sz="0" w:space="0" w:color="auto"/>
          </w:divBdr>
        </w:div>
        <w:div w:id="2112967742">
          <w:marLeft w:val="547"/>
          <w:marRight w:val="0"/>
          <w:marTop w:val="86"/>
          <w:marBottom w:val="0"/>
          <w:divBdr>
            <w:top w:val="none" w:sz="0" w:space="0" w:color="auto"/>
            <w:left w:val="none" w:sz="0" w:space="0" w:color="auto"/>
            <w:bottom w:val="none" w:sz="0" w:space="0" w:color="auto"/>
            <w:right w:val="none" w:sz="0" w:space="0" w:color="auto"/>
          </w:divBdr>
        </w:div>
      </w:divsChild>
    </w:div>
    <w:div w:id="1512140852">
      <w:bodyDiv w:val="1"/>
      <w:marLeft w:val="0"/>
      <w:marRight w:val="0"/>
      <w:marTop w:val="0"/>
      <w:marBottom w:val="0"/>
      <w:divBdr>
        <w:top w:val="none" w:sz="0" w:space="0" w:color="auto"/>
        <w:left w:val="none" w:sz="0" w:space="0" w:color="auto"/>
        <w:bottom w:val="none" w:sz="0" w:space="0" w:color="auto"/>
        <w:right w:val="none" w:sz="0" w:space="0" w:color="auto"/>
      </w:divBdr>
      <w:divsChild>
        <w:div w:id="211357022">
          <w:marLeft w:val="0"/>
          <w:marRight w:val="0"/>
          <w:marTop w:val="0"/>
          <w:marBottom w:val="0"/>
          <w:divBdr>
            <w:top w:val="none" w:sz="0" w:space="0" w:color="auto"/>
            <w:left w:val="none" w:sz="0" w:space="0" w:color="auto"/>
            <w:bottom w:val="none" w:sz="0" w:space="0" w:color="auto"/>
            <w:right w:val="none" w:sz="0" w:space="0" w:color="auto"/>
          </w:divBdr>
          <w:divsChild>
            <w:div w:id="785344779">
              <w:marLeft w:val="0"/>
              <w:marRight w:val="0"/>
              <w:marTop w:val="0"/>
              <w:marBottom w:val="0"/>
              <w:divBdr>
                <w:top w:val="none" w:sz="0" w:space="0" w:color="auto"/>
                <w:left w:val="none" w:sz="0" w:space="0" w:color="auto"/>
                <w:bottom w:val="none" w:sz="0" w:space="0" w:color="auto"/>
                <w:right w:val="none" w:sz="0" w:space="0" w:color="auto"/>
              </w:divBdr>
            </w:div>
            <w:div w:id="874006153">
              <w:marLeft w:val="0"/>
              <w:marRight w:val="0"/>
              <w:marTop w:val="0"/>
              <w:marBottom w:val="0"/>
              <w:divBdr>
                <w:top w:val="none" w:sz="0" w:space="0" w:color="auto"/>
                <w:left w:val="none" w:sz="0" w:space="0" w:color="auto"/>
                <w:bottom w:val="none" w:sz="0" w:space="0" w:color="auto"/>
                <w:right w:val="none" w:sz="0" w:space="0" w:color="auto"/>
              </w:divBdr>
            </w:div>
            <w:div w:id="921181120">
              <w:marLeft w:val="0"/>
              <w:marRight w:val="0"/>
              <w:marTop w:val="0"/>
              <w:marBottom w:val="0"/>
              <w:divBdr>
                <w:top w:val="none" w:sz="0" w:space="0" w:color="auto"/>
                <w:left w:val="none" w:sz="0" w:space="0" w:color="auto"/>
                <w:bottom w:val="none" w:sz="0" w:space="0" w:color="auto"/>
                <w:right w:val="none" w:sz="0" w:space="0" w:color="auto"/>
              </w:divBdr>
            </w:div>
            <w:div w:id="21445445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12447453">
      <w:bodyDiv w:val="1"/>
      <w:marLeft w:val="0"/>
      <w:marRight w:val="0"/>
      <w:marTop w:val="0"/>
      <w:marBottom w:val="0"/>
      <w:divBdr>
        <w:top w:val="none" w:sz="0" w:space="0" w:color="auto"/>
        <w:left w:val="none" w:sz="0" w:space="0" w:color="auto"/>
        <w:bottom w:val="none" w:sz="0" w:space="0" w:color="auto"/>
        <w:right w:val="none" w:sz="0" w:space="0" w:color="auto"/>
      </w:divBdr>
    </w:div>
    <w:div w:id="1513566972">
      <w:bodyDiv w:val="1"/>
      <w:marLeft w:val="0"/>
      <w:marRight w:val="0"/>
      <w:marTop w:val="0"/>
      <w:marBottom w:val="0"/>
      <w:divBdr>
        <w:top w:val="none" w:sz="0" w:space="0" w:color="auto"/>
        <w:left w:val="none" w:sz="0" w:space="0" w:color="auto"/>
        <w:bottom w:val="none" w:sz="0" w:space="0" w:color="auto"/>
        <w:right w:val="none" w:sz="0" w:space="0" w:color="auto"/>
      </w:divBdr>
    </w:div>
    <w:div w:id="1513686093">
      <w:bodyDiv w:val="1"/>
      <w:marLeft w:val="0"/>
      <w:marRight w:val="0"/>
      <w:marTop w:val="0"/>
      <w:marBottom w:val="0"/>
      <w:divBdr>
        <w:top w:val="none" w:sz="0" w:space="0" w:color="auto"/>
        <w:left w:val="none" w:sz="0" w:space="0" w:color="auto"/>
        <w:bottom w:val="none" w:sz="0" w:space="0" w:color="auto"/>
        <w:right w:val="none" w:sz="0" w:space="0" w:color="auto"/>
      </w:divBdr>
    </w:div>
    <w:div w:id="1514028438">
      <w:bodyDiv w:val="1"/>
      <w:marLeft w:val="0"/>
      <w:marRight w:val="0"/>
      <w:marTop w:val="0"/>
      <w:marBottom w:val="0"/>
      <w:divBdr>
        <w:top w:val="none" w:sz="0" w:space="0" w:color="auto"/>
        <w:left w:val="none" w:sz="0" w:space="0" w:color="auto"/>
        <w:bottom w:val="none" w:sz="0" w:space="0" w:color="auto"/>
        <w:right w:val="none" w:sz="0" w:space="0" w:color="auto"/>
      </w:divBdr>
    </w:div>
    <w:div w:id="1514145417">
      <w:bodyDiv w:val="1"/>
      <w:marLeft w:val="0"/>
      <w:marRight w:val="0"/>
      <w:marTop w:val="0"/>
      <w:marBottom w:val="0"/>
      <w:divBdr>
        <w:top w:val="none" w:sz="0" w:space="0" w:color="auto"/>
        <w:left w:val="none" w:sz="0" w:space="0" w:color="auto"/>
        <w:bottom w:val="none" w:sz="0" w:space="0" w:color="auto"/>
        <w:right w:val="none" w:sz="0" w:space="0" w:color="auto"/>
      </w:divBdr>
      <w:divsChild>
        <w:div w:id="257837597">
          <w:marLeft w:val="547"/>
          <w:marRight w:val="0"/>
          <w:marTop w:val="0"/>
          <w:marBottom w:val="0"/>
          <w:divBdr>
            <w:top w:val="none" w:sz="0" w:space="0" w:color="auto"/>
            <w:left w:val="none" w:sz="0" w:space="0" w:color="auto"/>
            <w:bottom w:val="none" w:sz="0" w:space="0" w:color="auto"/>
            <w:right w:val="none" w:sz="0" w:space="0" w:color="auto"/>
          </w:divBdr>
        </w:div>
      </w:divsChild>
    </w:div>
    <w:div w:id="1514765673">
      <w:bodyDiv w:val="1"/>
      <w:marLeft w:val="0"/>
      <w:marRight w:val="0"/>
      <w:marTop w:val="0"/>
      <w:marBottom w:val="0"/>
      <w:divBdr>
        <w:top w:val="none" w:sz="0" w:space="0" w:color="auto"/>
        <w:left w:val="none" w:sz="0" w:space="0" w:color="auto"/>
        <w:bottom w:val="none" w:sz="0" w:space="0" w:color="auto"/>
        <w:right w:val="none" w:sz="0" w:space="0" w:color="auto"/>
      </w:divBdr>
    </w:div>
    <w:div w:id="1514874602">
      <w:bodyDiv w:val="1"/>
      <w:marLeft w:val="0"/>
      <w:marRight w:val="0"/>
      <w:marTop w:val="0"/>
      <w:marBottom w:val="0"/>
      <w:divBdr>
        <w:top w:val="none" w:sz="0" w:space="0" w:color="auto"/>
        <w:left w:val="none" w:sz="0" w:space="0" w:color="auto"/>
        <w:bottom w:val="none" w:sz="0" w:space="0" w:color="auto"/>
        <w:right w:val="none" w:sz="0" w:space="0" w:color="auto"/>
      </w:divBdr>
    </w:div>
    <w:div w:id="1516770205">
      <w:bodyDiv w:val="1"/>
      <w:marLeft w:val="0"/>
      <w:marRight w:val="0"/>
      <w:marTop w:val="0"/>
      <w:marBottom w:val="0"/>
      <w:divBdr>
        <w:top w:val="none" w:sz="0" w:space="0" w:color="auto"/>
        <w:left w:val="none" w:sz="0" w:space="0" w:color="auto"/>
        <w:bottom w:val="none" w:sz="0" w:space="0" w:color="auto"/>
        <w:right w:val="none" w:sz="0" w:space="0" w:color="auto"/>
      </w:divBdr>
    </w:div>
    <w:div w:id="1518034385">
      <w:bodyDiv w:val="1"/>
      <w:marLeft w:val="0"/>
      <w:marRight w:val="0"/>
      <w:marTop w:val="0"/>
      <w:marBottom w:val="0"/>
      <w:divBdr>
        <w:top w:val="none" w:sz="0" w:space="0" w:color="auto"/>
        <w:left w:val="none" w:sz="0" w:space="0" w:color="auto"/>
        <w:bottom w:val="none" w:sz="0" w:space="0" w:color="auto"/>
        <w:right w:val="none" w:sz="0" w:space="0" w:color="auto"/>
      </w:divBdr>
    </w:div>
    <w:div w:id="1519080983">
      <w:bodyDiv w:val="1"/>
      <w:marLeft w:val="0"/>
      <w:marRight w:val="0"/>
      <w:marTop w:val="0"/>
      <w:marBottom w:val="0"/>
      <w:divBdr>
        <w:top w:val="none" w:sz="0" w:space="0" w:color="auto"/>
        <w:left w:val="none" w:sz="0" w:space="0" w:color="auto"/>
        <w:bottom w:val="none" w:sz="0" w:space="0" w:color="auto"/>
        <w:right w:val="none" w:sz="0" w:space="0" w:color="auto"/>
      </w:divBdr>
      <w:divsChild>
        <w:div w:id="105009225">
          <w:marLeft w:val="1166"/>
          <w:marRight w:val="0"/>
          <w:marTop w:val="86"/>
          <w:marBottom w:val="0"/>
          <w:divBdr>
            <w:top w:val="none" w:sz="0" w:space="0" w:color="auto"/>
            <w:left w:val="none" w:sz="0" w:space="0" w:color="auto"/>
            <w:bottom w:val="none" w:sz="0" w:space="0" w:color="auto"/>
            <w:right w:val="none" w:sz="0" w:space="0" w:color="auto"/>
          </w:divBdr>
        </w:div>
        <w:div w:id="354502707">
          <w:marLeft w:val="547"/>
          <w:marRight w:val="0"/>
          <w:marTop w:val="115"/>
          <w:marBottom w:val="0"/>
          <w:divBdr>
            <w:top w:val="none" w:sz="0" w:space="0" w:color="auto"/>
            <w:left w:val="none" w:sz="0" w:space="0" w:color="auto"/>
            <w:bottom w:val="none" w:sz="0" w:space="0" w:color="auto"/>
            <w:right w:val="none" w:sz="0" w:space="0" w:color="auto"/>
          </w:divBdr>
        </w:div>
        <w:div w:id="363211234">
          <w:marLeft w:val="1166"/>
          <w:marRight w:val="0"/>
          <w:marTop w:val="86"/>
          <w:marBottom w:val="0"/>
          <w:divBdr>
            <w:top w:val="none" w:sz="0" w:space="0" w:color="auto"/>
            <w:left w:val="none" w:sz="0" w:space="0" w:color="auto"/>
            <w:bottom w:val="none" w:sz="0" w:space="0" w:color="auto"/>
            <w:right w:val="none" w:sz="0" w:space="0" w:color="auto"/>
          </w:divBdr>
        </w:div>
        <w:div w:id="654646473">
          <w:marLeft w:val="1166"/>
          <w:marRight w:val="0"/>
          <w:marTop w:val="86"/>
          <w:marBottom w:val="0"/>
          <w:divBdr>
            <w:top w:val="none" w:sz="0" w:space="0" w:color="auto"/>
            <w:left w:val="none" w:sz="0" w:space="0" w:color="auto"/>
            <w:bottom w:val="none" w:sz="0" w:space="0" w:color="auto"/>
            <w:right w:val="none" w:sz="0" w:space="0" w:color="auto"/>
          </w:divBdr>
        </w:div>
        <w:div w:id="792554993">
          <w:marLeft w:val="1166"/>
          <w:marRight w:val="0"/>
          <w:marTop w:val="86"/>
          <w:marBottom w:val="0"/>
          <w:divBdr>
            <w:top w:val="none" w:sz="0" w:space="0" w:color="auto"/>
            <w:left w:val="none" w:sz="0" w:space="0" w:color="auto"/>
            <w:bottom w:val="none" w:sz="0" w:space="0" w:color="auto"/>
            <w:right w:val="none" w:sz="0" w:space="0" w:color="auto"/>
          </w:divBdr>
        </w:div>
      </w:divsChild>
    </w:div>
    <w:div w:id="1519272431">
      <w:bodyDiv w:val="1"/>
      <w:marLeft w:val="0"/>
      <w:marRight w:val="0"/>
      <w:marTop w:val="0"/>
      <w:marBottom w:val="0"/>
      <w:divBdr>
        <w:top w:val="none" w:sz="0" w:space="0" w:color="auto"/>
        <w:left w:val="none" w:sz="0" w:space="0" w:color="auto"/>
        <w:bottom w:val="none" w:sz="0" w:space="0" w:color="auto"/>
        <w:right w:val="none" w:sz="0" w:space="0" w:color="auto"/>
      </w:divBdr>
    </w:div>
    <w:div w:id="1519850199">
      <w:bodyDiv w:val="1"/>
      <w:marLeft w:val="0"/>
      <w:marRight w:val="0"/>
      <w:marTop w:val="0"/>
      <w:marBottom w:val="0"/>
      <w:divBdr>
        <w:top w:val="none" w:sz="0" w:space="0" w:color="auto"/>
        <w:left w:val="none" w:sz="0" w:space="0" w:color="auto"/>
        <w:bottom w:val="none" w:sz="0" w:space="0" w:color="auto"/>
        <w:right w:val="none" w:sz="0" w:space="0" w:color="auto"/>
      </w:divBdr>
    </w:div>
    <w:div w:id="1519852762">
      <w:bodyDiv w:val="1"/>
      <w:marLeft w:val="0"/>
      <w:marRight w:val="0"/>
      <w:marTop w:val="0"/>
      <w:marBottom w:val="0"/>
      <w:divBdr>
        <w:top w:val="none" w:sz="0" w:space="0" w:color="auto"/>
        <w:left w:val="none" w:sz="0" w:space="0" w:color="auto"/>
        <w:bottom w:val="none" w:sz="0" w:space="0" w:color="auto"/>
        <w:right w:val="none" w:sz="0" w:space="0" w:color="auto"/>
      </w:divBdr>
    </w:div>
    <w:div w:id="1520197671">
      <w:bodyDiv w:val="1"/>
      <w:marLeft w:val="0"/>
      <w:marRight w:val="0"/>
      <w:marTop w:val="0"/>
      <w:marBottom w:val="0"/>
      <w:divBdr>
        <w:top w:val="none" w:sz="0" w:space="0" w:color="auto"/>
        <w:left w:val="none" w:sz="0" w:space="0" w:color="auto"/>
        <w:bottom w:val="none" w:sz="0" w:space="0" w:color="auto"/>
        <w:right w:val="none" w:sz="0" w:space="0" w:color="auto"/>
      </w:divBdr>
      <w:divsChild>
        <w:div w:id="189490485">
          <w:marLeft w:val="1267"/>
          <w:marRight w:val="0"/>
          <w:marTop w:val="67"/>
          <w:marBottom w:val="0"/>
          <w:divBdr>
            <w:top w:val="none" w:sz="0" w:space="0" w:color="auto"/>
            <w:left w:val="none" w:sz="0" w:space="0" w:color="auto"/>
            <w:bottom w:val="none" w:sz="0" w:space="0" w:color="auto"/>
            <w:right w:val="none" w:sz="0" w:space="0" w:color="auto"/>
          </w:divBdr>
        </w:div>
        <w:div w:id="191000309">
          <w:marLeft w:val="418"/>
          <w:marRight w:val="0"/>
          <w:marTop w:val="86"/>
          <w:marBottom w:val="0"/>
          <w:divBdr>
            <w:top w:val="none" w:sz="0" w:space="0" w:color="auto"/>
            <w:left w:val="none" w:sz="0" w:space="0" w:color="auto"/>
            <w:bottom w:val="none" w:sz="0" w:space="0" w:color="auto"/>
            <w:right w:val="none" w:sz="0" w:space="0" w:color="auto"/>
          </w:divBdr>
        </w:div>
        <w:div w:id="370425355">
          <w:marLeft w:val="979"/>
          <w:marRight w:val="0"/>
          <w:marTop w:val="77"/>
          <w:marBottom w:val="0"/>
          <w:divBdr>
            <w:top w:val="none" w:sz="0" w:space="0" w:color="auto"/>
            <w:left w:val="none" w:sz="0" w:space="0" w:color="auto"/>
            <w:bottom w:val="none" w:sz="0" w:space="0" w:color="auto"/>
            <w:right w:val="none" w:sz="0" w:space="0" w:color="auto"/>
          </w:divBdr>
        </w:div>
        <w:div w:id="442500861">
          <w:marLeft w:val="979"/>
          <w:marRight w:val="0"/>
          <w:marTop w:val="77"/>
          <w:marBottom w:val="0"/>
          <w:divBdr>
            <w:top w:val="none" w:sz="0" w:space="0" w:color="auto"/>
            <w:left w:val="none" w:sz="0" w:space="0" w:color="auto"/>
            <w:bottom w:val="none" w:sz="0" w:space="0" w:color="auto"/>
            <w:right w:val="none" w:sz="0" w:space="0" w:color="auto"/>
          </w:divBdr>
        </w:div>
        <w:div w:id="643044685">
          <w:marLeft w:val="979"/>
          <w:marRight w:val="0"/>
          <w:marTop w:val="77"/>
          <w:marBottom w:val="0"/>
          <w:divBdr>
            <w:top w:val="none" w:sz="0" w:space="0" w:color="auto"/>
            <w:left w:val="none" w:sz="0" w:space="0" w:color="auto"/>
            <w:bottom w:val="none" w:sz="0" w:space="0" w:color="auto"/>
            <w:right w:val="none" w:sz="0" w:space="0" w:color="auto"/>
          </w:divBdr>
        </w:div>
        <w:div w:id="751313856">
          <w:marLeft w:val="979"/>
          <w:marRight w:val="0"/>
          <w:marTop w:val="77"/>
          <w:marBottom w:val="0"/>
          <w:divBdr>
            <w:top w:val="none" w:sz="0" w:space="0" w:color="auto"/>
            <w:left w:val="none" w:sz="0" w:space="0" w:color="auto"/>
            <w:bottom w:val="none" w:sz="0" w:space="0" w:color="auto"/>
            <w:right w:val="none" w:sz="0" w:space="0" w:color="auto"/>
          </w:divBdr>
        </w:div>
        <w:div w:id="768622033">
          <w:marLeft w:val="1267"/>
          <w:marRight w:val="0"/>
          <w:marTop w:val="67"/>
          <w:marBottom w:val="0"/>
          <w:divBdr>
            <w:top w:val="none" w:sz="0" w:space="0" w:color="auto"/>
            <w:left w:val="none" w:sz="0" w:space="0" w:color="auto"/>
            <w:bottom w:val="none" w:sz="0" w:space="0" w:color="auto"/>
            <w:right w:val="none" w:sz="0" w:space="0" w:color="auto"/>
          </w:divBdr>
        </w:div>
        <w:div w:id="946472101">
          <w:marLeft w:val="706"/>
          <w:marRight w:val="0"/>
          <w:marTop w:val="86"/>
          <w:marBottom w:val="0"/>
          <w:divBdr>
            <w:top w:val="none" w:sz="0" w:space="0" w:color="auto"/>
            <w:left w:val="none" w:sz="0" w:space="0" w:color="auto"/>
            <w:bottom w:val="none" w:sz="0" w:space="0" w:color="auto"/>
            <w:right w:val="none" w:sz="0" w:space="0" w:color="auto"/>
          </w:divBdr>
        </w:div>
        <w:div w:id="1169562995">
          <w:marLeft w:val="706"/>
          <w:marRight w:val="0"/>
          <w:marTop w:val="86"/>
          <w:marBottom w:val="0"/>
          <w:divBdr>
            <w:top w:val="none" w:sz="0" w:space="0" w:color="auto"/>
            <w:left w:val="none" w:sz="0" w:space="0" w:color="auto"/>
            <w:bottom w:val="none" w:sz="0" w:space="0" w:color="auto"/>
            <w:right w:val="none" w:sz="0" w:space="0" w:color="auto"/>
          </w:divBdr>
        </w:div>
        <w:div w:id="1348600925">
          <w:marLeft w:val="979"/>
          <w:marRight w:val="0"/>
          <w:marTop w:val="77"/>
          <w:marBottom w:val="0"/>
          <w:divBdr>
            <w:top w:val="none" w:sz="0" w:space="0" w:color="auto"/>
            <w:left w:val="none" w:sz="0" w:space="0" w:color="auto"/>
            <w:bottom w:val="none" w:sz="0" w:space="0" w:color="auto"/>
            <w:right w:val="none" w:sz="0" w:space="0" w:color="auto"/>
          </w:divBdr>
        </w:div>
        <w:div w:id="1420567153">
          <w:marLeft w:val="979"/>
          <w:marRight w:val="0"/>
          <w:marTop w:val="77"/>
          <w:marBottom w:val="0"/>
          <w:divBdr>
            <w:top w:val="none" w:sz="0" w:space="0" w:color="auto"/>
            <w:left w:val="none" w:sz="0" w:space="0" w:color="auto"/>
            <w:bottom w:val="none" w:sz="0" w:space="0" w:color="auto"/>
            <w:right w:val="none" w:sz="0" w:space="0" w:color="auto"/>
          </w:divBdr>
        </w:div>
        <w:div w:id="1770857820">
          <w:marLeft w:val="979"/>
          <w:marRight w:val="0"/>
          <w:marTop w:val="77"/>
          <w:marBottom w:val="0"/>
          <w:divBdr>
            <w:top w:val="none" w:sz="0" w:space="0" w:color="auto"/>
            <w:left w:val="none" w:sz="0" w:space="0" w:color="auto"/>
            <w:bottom w:val="none" w:sz="0" w:space="0" w:color="auto"/>
            <w:right w:val="none" w:sz="0" w:space="0" w:color="auto"/>
          </w:divBdr>
        </w:div>
      </w:divsChild>
    </w:div>
    <w:div w:id="1520198440">
      <w:bodyDiv w:val="1"/>
      <w:marLeft w:val="0"/>
      <w:marRight w:val="0"/>
      <w:marTop w:val="0"/>
      <w:marBottom w:val="0"/>
      <w:divBdr>
        <w:top w:val="none" w:sz="0" w:space="0" w:color="auto"/>
        <w:left w:val="none" w:sz="0" w:space="0" w:color="auto"/>
        <w:bottom w:val="none" w:sz="0" w:space="0" w:color="auto"/>
        <w:right w:val="none" w:sz="0" w:space="0" w:color="auto"/>
      </w:divBdr>
    </w:div>
    <w:div w:id="1520508976">
      <w:bodyDiv w:val="1"/>
      <w:marLeft w:val="0"/>
      <w:marRight w:val="0"/>
      <w:marTop w:val="0"/>
      <w:marBottom w:val="0"/>
      <w:divBdr>
        <w:top w:val="none" w:sz="0" w:space="0" w:color="auto"/>
        <w:left w:val="none" w:sz="0" w:space="0" w:color="auto"/>
        <w:bottom w:val="none" w:sz="0" w:space="0" w:color="auto"/>
        <w:right w:val="none" w:sz="0" w:space="0" w:color="auto"/>
      </w:divBdr>
      <w:divsChild>
        <w:div w:id="1186793785">
          <w:marLeft w:val="0"/>
          <w:marRight w:val="0"/>
          <w:marTop w:val="0"/>
          <w:marBottom w:val="0"/>
          <w:divBdr>
            <w:top w:val="none" w:sz="0" w:space="0" w:color="auto"/>
            <w:left w:val="none" w:sz="0" w:space="0" w:color="auto"/>
            <w:bottom w:val="none" w:sz="0" w:space="0" w:color="auto"/>
            <w:right w:val="none" w:sz="0" w:space="0" w:color="auto"/>
          </w:divBdr>
        </w:div>
      </w:divsChild>
    </w:div>
    <w:div w:id="1520923556">
      <w:bodyDiv w:val="1"/>
      <w:marLeft w:val="0"/>
      <w:marRight w:val="0"/>
      <w:marTop w:val="0"/>
      <w:marBottom w:val="0"/>
      <w:divBdr>
        <w:top w:val="none" w:sz="0" w:space="0" w:color="auto"/>
        <w:left w:val="none" w:sz="0" w:space="0" w:color="auto"/>
        <w:bottom w:val="none" w:sz="0" w:space="0" w:color="auto"/>
        <w:right w:val="none" w:sz="0" w:space="0" w:color="auto"/>
      </w:divBdr>
    </w:div>
    <w:div w:id="1521966702">
      <w:bodyDiv w:val="1"/>
      <w:marLeft w:val="0"/>
      <w:marRight w:val="0"/>
      <w:marTop w:val="0"/>
      <w:marBottom w:val="0"/>
      <w:divBdr>
        <w:top w:val="none" w:sz="0" w:space="0" w:color="auto"/>
        <w:left w:val="none" w:sz="0" w:space="0" w:color="auto"/>
        <w:bottom w:val="none" w:sz="0" w:space="0" w:color="auto"/>
        <w:right w:val="none" w:sz="0" w:space="0" w:color="auto"/>
      </w:divBdr>
    </w:div>
    <w:div w:id="1523326031">
      <w:bodyDiv w:val="1"/>
      <w:marLeft w:val="0"/>
      <w:marRight w:val="0"/>
      <w:marTop w:val="0"/>
      <w:marBottom w:val="0"/>
      <w:divBdr>
        <w:top w:val="none" w:sz="0" w:space="0" w:color="auto"/>
        <w:left w:val="none" w:sz="0" w:space="0" w:color="auto"/>
        <w:bottom w:val="none" w:sz="0" w:space="0" w:color="auto"/>
        <w:right w:val="none" w:sz="0" w:space="0" w:color="auto"/>
      </w:divBdr>
      <w:divsChild>
        <w:div w:id="949554900">
          <w:marLeft w:val="1166"/>
          <w:marRight w:val="0"/>
          <w:marTop w:val="115"/>
          <w:marBottom w:val="0"/>
          <w:divBdr>
            <w:top w:val="none" w:sz="0" w:space="0" w:color="auto"/>
            <w:left w:val="none" w:sz="0" w:space="0" w:color="auto"/>
            <w:bottom w:val="none" w:sz="0" w:space="0" w:color="auto"/>
            <w:right w:val="none" w:sz="0" w:space="0" w:color="auto"/>
          </w:divBdr>
        </w:div>
        <w:div w:id="1087926554">
          <w:marLeft w:val="1886"/>
          <w:marRight w:val="0"/>
          <w:marTop w:val="106"/>
          <w:marBottom w:val="0"/>
          <w:divBdr>
            <w:top w:val="none" w:sz="0" w:space="0" w:color="auto"/>
            <w:left w:val="none" w:sz="0" w:space="0" w:color="auto"/>
            <w:bottom w:val="none" w:sz="0" w:space="0" w:color="auto"/>
            <w:right w:val="none" w:sz="0" w:space="0" w:color="auto"/>
          </w:divBdr>
        </w:div>
        <w:div w:id="1107888014">
          <w:marLeft w:val="547"/>
          <w:marRight w:val="0"/>
          <w:marTop w:val="115"/>
          <w:marBottom w:val="0"/>
          <w:divBdr>
            <w:top w:val="none" w:sz="0" w:space="0" w:color="auto"/>
            <w:left w:val="none" w:sz="0" w:space="0" w:color="auto"/>
            <w:bottom w:val="none" w:sz="0" w:space="0" w:color="auto"/>
            <w:right w:val="none" w:sz="0" w:space="0" w:color="auto"/>
          </w:divBdr>
        </w:div>
        <w:div w:id="1128427172">
          <w:marLeft w:val="1886"/>
          <w:marRight w:val="0"/>
          <w:marTop w:val="106"/>
          <w:marBottom w:val="0"/>
          <w:divBdr>
            <w:top w:val="none" w:sz="0" w:space="0" w:color="auto"/>
            <w:left w:val="none" w:sz="0" w:space="0" w:color="auto"/>
            <w:bottom w:val="none" w:sz="0" w:space="0" w:color="auto"/>
            <w:right w:val="none" w:sz="0" w:space="0" w:color="auto"/>
          </w:divBdr>
        </w:div>
        <w:div w:id="1478719634">
          <w:marLeft w:val="1166"/>
          <w:marRight w:val="0"/>
          <w:marTop w:val="115"/>
          <w:marBottom w:val="0"/>
          <w:divBdr>
            <w:top w:val="none" w:sz="0" w:space="0" w:color="auto"/>
            <w:left w:val="none" w:sz="0" w:space="0" w:color="auto"/>
            <w:bottom w:val="none" w:sz="0" w:space="0" w:color="auto"/>
            <w:right w:val="none" w:sz="0" w:space="0" w:color="auto"/>
          </w:divBdr>
        </w:div>
        <w:div w:id="1925868947">
          <w:marLeft w:val="1886"/>
          <w:marRight w:val="0"/>
          <w:marTop w:val="106"/>
          <w:marBottom w:val="0"/>
          <w:divBdr>
            <w:top w:val="none" w:sz="0" w:space="0" w:color="auto"/>
            <w:left w:val="none" w:sz="0" w:space="0" w:color="auto"/>
            <w:bottom w:val="none" w:sz="0" w:space="0" w:color="auto"/>
            <w:right w:val="none" w:sz="0" w:space="0" w:color="auto"/>
          </w:divBdr>
        </w:div>
        <w:div w:id="1974557304">
          <w:marLeft w:val="1166"/>
          <w:marRight w:val="0"/>
          <w:marTop w:val="115"/>
          <w:marBottom w:val="0"/>
          <w:divBdr>
            <w:top w:val="none" w:sz="0" w:space="0" w:color="auto"/>
            <w:left w:val="none" w:sz="0" w:space="0" w:color="auto"/>
            <w:bottom w:val="none" w:sz="0" w:space="0" w:color="auto"/>
            <w:right w:val="none" w:sz="0" w:space="0" w:color="auto"/>
          </w:divBdr>
        </w:div>
      </w:divsChild>
    </w:div>
    <w:div w:id="1524131616">
      <w:bodyDiv w:val="1"/>
      <w:marLeft w:val="0"/>
      <w:marRight w:val="0"/>
      <w:marTop w:val="0"/>
      <w:marBottom w:val="0"/>
      <w:divBdr>
        <w:top w:val="none" w:sz="0" w:space="0" w:color="auto"/>
        <w:left w:val="none" w:sz="0" w:space="0" w:color="auto"/>
        <w:bottom w:val="none" w:sz="0" w:space="0" w:color="auto"/>
        <w:right w:val="none" w:sz="0" w:space="0" w:color="auto"/>
      </w:divBdr>
      <w:divsChild>
        <w:div w:id="1411392507">
          <w:marLeft w:val="547"/>
          <w:marRight w:val="0"/>
          <w:marTop w:val="154"/>
          <w:marBottom w:val="0"/>
          <w:divBdr>
            <w:top w:val="none" w:sz="0" w:space="0" w:color="auto"/>
            <w:left w:val="none" w:sz="0" w:space="0" w:color="auto"/>
            <w:bottom w:val="none" w:sz="0" w:space="0" w:color="auto"/>
            <w:right w:val="none" w:sz="0" w:space="0" w:color="auto"/>
          </w:divBdr>
        </w:div>
      </w:divsChild>
    </w:div>
    <w:div w:id="1524247341">
      <w:bodyDiv w:val="1"/>
      <w:marLeft w:val="0"/>
      <w:marRight w:val="0"/>
      <w:marTop w:val="0"/>
      <w:marBottom w:val="0"/>
      <w:divBdr>
        <w:top w:val="none" w:sz="0" w:space="0" w:color="auto"/>
        <w:left w:val="none" w:sz="0" w:space="0" w:color="auto"/>
        <w:bottom w:val="none" w:sz="0" w:space="0" w:color="auto"/>
        <w:right w:val="none" w:sz="0" w:space="0" w:color="auto"/>
      </w:divBdr>
    </w:div>
    <w:div w:id="1525360949">
      <w:bodyDiv w:val="1"/>
      <w:marLeft w:val="0"/>
      <w:marRight w:val="0"/>
      <w:marTop w:val="0"/>
      <w:marBottom w:val="0"/>
      <w:divBdr>
        <w:top w:val="none" w:sz="0" w:space="0" w:color="auto"/>
        <w:left w:val="none" w:sz="0" w:space="0" w:color="auto"/>
        <w:bottom w:val="none" w:sz="0" w:space="0" w:color="auto"/>
        <w:right w:val="none" w:sz="0" w:space="0" w:color="auto"/>
      </w:divBdr>
    </w:div>
    <w:div w:id="1525485654">
      <w:bodyDiv w:val="1"/>
      <w:marLeft w:val="0"/>
      <w:marRight w:val="0"/>
      <w:marTop w:val="0"/>
      <w:marBottom w:val="0"/>
      <w:divBdr>
        <w:top w:val="none" w:sz="0" w:space="0" w:color="auto"/>
        <w:left w:val="none" w:sz="0" w:space="0" w:color="auto"/>
        <w:bottom w:val="none" w:sz="0" w:space="0" w:color="auto"/>
        <w:right w:val="none" w:sz="0" w:space="0" w:color="auto"/>
      </w:divBdr>
      <w:divsChild>
        <w:div w:id="280305535">
          <w:marLeft w:val="1166"/>
          <w:marRight w:val="0"/>
          <w:marTop w:val="96"/>
          <w:marBottom w:val="0"/>
          <w:divBdr>
            <w:top w:val="none" w:sz="0" w:space="0" w:color="auto"/>
            <w:left w:val="none" w:sz="0" w:space="0" w:color="auto"/>
            <w:bottom w:val="none" w:sz="0" w:space="0" w:color="auto"/>
            <w:right w:val="none" w:sz="0" w:space="0" w:color="auto"/>
          </w:divBdr>
        </w:div>
        <w:div w:id="369106956">
          <w:marLeft w:val="1166"/>
          <w:marRight w:val="0"/>
          <w:marTop w:val="96"/>
          <w:marBottom w:val="0"/>
          <w:divBdr>
            <w:top w:val="none" w:sz="0" w:space="0" w:color="auto"/>
            <w:left w:val="none" w:sz="0" w:space="0" w:color="auto"/>
            <w:bottom w:val="none" w:sz="0" w:space="0" w:color="auto"/>
            <w:right w:val="none" w:sz="0" w:space="0" w:color="auto"/>
          </w:divBdr>
        </w:div>
        <w:div w:id="967710885">
          <w:marLeft w:val="547"/>
          <w:marRight w:val="0"/>
          <w:marTop w:val="115"/>
          <w:marBottom w:val="0"/>
          <w:divBdr>
            <w:top w:val="none" w:sz="0" w:space="0" w:color="auto"/>
            <w:left w:val="none" w:sz="0" w:space="0" w:color="auto"/>
            <w:bottom w:val="none" w:sz="0" w:space="0" w:color="auto"/>
            <w:right w:val="none" w:sz="0" w:space="0" w:color="auto"/>
          </w:divBdr>
        </w:div>
        <w:div w:id="1643071143">
          <w:marLeft w:val="1166"/>
          <w:marRight w:val="0"/>
          <w:marTop w:val="96"/>
          <w:marBottom w:val="0"/>
          <w:divBdr>
            <w:top w:val="none" w:sz="0" w:space="0" w:color="auto"/>
            <w:left w:val="none" w:sz="0" w:space="0" w:color="auto"/>
            <w:bottom w:val="none" w:sz="0" w:space="0" w:color="auto"/>
            <w:right w:val="none" w:sz="0" w:space="0" w:color="auto"/>
          </w:divBdr>
        </w:div>
        <w:div w:id="2124306247">
          <w:marLeft w:val="547"/>
          <w:marRight w:val="0"/>
          <w:marTop w:val="115"/>
          <w:marBottom w:val="0"/>
          <w:divBdr>
            <w:top w:val="none" w:sz="0" w:space="0" w:color="auto"/>
            <w:left w:val="none" w:sz="0" w:space="0" w:color="auto"/>
            <w:bottom w:val="none" w:sz="0" w:space="0" w:color="auto"/>
            <w:right w:val="none" w:sz="0" w:space="0" w:color="auto"/>
          </w:divBdr>
        </w:div>
      </w:divsChild>
    </w:div>
    <w:div w:id="1526282665">
      <w:bodyDiv w:val="1"/>
      <w:marLeft w:val="0"/>
      <w:marRight w:val="0"/>
      <w:marTop w:val="0"/>
      <w:marBottom w:val="0"/>
      <w:divBdr>
        <w:top w:val="none" w:sz="0" w:space="0" w:color="auto"/>
        <w:left w:val="none" w:sz="0" w:space="0" w:color="auto"/>
        <w:bottom w:val="none" w:sz="0" w:space="0" w:color="auto"/>
        <w:right w:val="none" w:sz="0" w:space="0" w:color="auto"/>
      </w:divBdr>
      <w:divsChild>
        <w:div w:id="966738714">
          <w:marLeft w:val="0"/>
          <w:marRight w:val="0"/>
          <w:marTop w:val="0"/>
          <w:marBottom w:val="0"/>
          <w:divBdr>
            <w:top w:val="none" w:sz="0" w:space="0" w:color="auto"/>
            <w:left w:val="none" w:sz="0" w:space="0" w:color="auto"/>
            <w:bottom w:val="none" w:sz="0" w:space="0" w:color="auto"/>
            <w:right w:val="none" w:sz="0" w:space="0" w:color="auto"/>
          </w:divBdr>
          <w:divsChild>
            <w:div w:id="1092121473">
              <w:marLeft w:val="0"/>
              <w:marRight w:val="0"/>
              <w:marTop w:val="0"/>
              <w:marBottom w:val="0"/>
              <w:divBdr>
                <w:top w:val="none" w:sz="0" w:space="0" w:color="auto"/>
                <w:left w:val="none" w:sz="0" w:space="0" w:color="auto"/>
                <w:bottom w:val="none" w:sz="0" w:space="0" w:color="auto"/>
                <w:right w:val="none" w:sz="0" w:space="0" w:color="auto"/>
              </w:divBdr>
            </w:div>
            <w:div w:id="1207570406">
              <w:marLeft w:val="0"/>
              <w:marRight w:val="0"/>
              <w:marTop w:val="0"/>
              <w:marBottom w:val="0"/>
              <w:divBdr>
                <w:top w:val="none" w:sz="0" w:space="0" w:color="auto"/>
                <w:left w:val="none" w:sz="0" w:space="0" w:color="auto"/>
                <w:bottom w:val="none" w:sz="0" w:space="0" w:color="auto"/>
                <w:right w:val="none" w:sz="0" w:space="0" w:color="auto"/>
              </w:divBdr>
            </w:div>
            <w:div w:id="20606653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26479179">
      <w:bodyDiv w:val="1"/>
      <w:marLeft w:val="0"/>
      <w:marRight w:val="0"/>
      <w:marTop w:val="0"/>
      <w:marBottom w:val="0"/>
      <w:divBdr>
        <w:top w:val="none" w:sz="0" w:space="0" w:color="auto"/>
        <w:left w:val="none" w:sz="0" w:space="0" w:color="auto"/>
        <w:bottom w:val="none" w:sz="0" w:space="0" w:color="auto"/>
        <w:right w:val="none" w:sz="0" w:space="0" w:color="auto"/>
      </w:divBdr>
    </w:div>
    <w:div w:id="1526939650">
      <w:bodyDiv w:val="1"/>
      <w:marLeft w:val="0"/>
      <w:marRight w:val="0"/>
      <w:marTop w:val="0"/>
      <w:marBottom w:val="0"/>
      <w:divBdr>
        <w:top w:val="none" w:sz="0" w:space="0" w:color="auto"/>
        <w:left w:val="none" w:sz="0" w:space="0" w:color="auto"/>
        <w:bottom w:val="none" w:sz="0" w:space="0" w:color="auto"/>
        <w:right w:val="none" w:sz="0" w:space="0" w:color="auto"/>
      </w:divBdr>
    </w:div>
    <w:div w:id="1527207501">
      <w:bodyDiv w:val="1"/>
      <w:marLeft w:val="0"/>
      <w:marRight w:val="0"/>
      <w:marTop w:val="0"/>
      <w:marBottom w:val="0"/>
      <w:divBdr>
        <w:top w:val="none" w:sz="0" w:space="0" w:color="auto"/>
        <w:left w:val="none" w:sz="0" w:space="0" w:color="auto"/>
        <w:bottom w:val="none" w:sz="0" w:space="0" w:color="auto"/>
        <w:right w:val="none" w:sz="0" w:space="0" w:color="auto"/>
      </w:divBdr>
    </w:div>
    <w:div w:id="1528985707">
      <w:bodyDiv w:val="1"/>
      <w:marLeft w:val="0"/>
      <w:marRight w:val="0"/>
      <w:marTop w:val="0"/>
      <w:marBottom w:val="0"/>
      <w:divBdr>
        <w:top w:val="none" w:sz="0" w:space="0" w:color="auto"/>
        <w:left w:val="none" w:sz="0" w:space="0" w:color="auto"/>
        <w:bottom w:val="none" w:sz="0" w:space="0" w:color="auto"/>
        <w:right w:val="none" w:sz="0" w:space="0" w:color="auto"/>
      </w:divBdr>
      <w:divsChild>
        <w:div w:id="101386033">
          <w:marLeft w:val="1800"/>
          <w:marRight w:val="0"/>
          <w:marTop w:val="115"/>
          <w:marBottom w:val="0"/>
          <w:divBdr>
            <w:top w:val="none" w:sz="0" w:space="0" w:color="auto"/>
            <w:left w:val="none" w:sz="0" w:space="0" w:color="auto"/>
            <w:bottom w:val="none" w:sz="0" w:space="0" w:color="auto"/>
            <w:right w:val="none" w:sz="0" w:space="0" w:color="auto"/>
          </w:divBdr>
        </w:div>
        <w:div w:id="108745001">
          <w:marLeft w:val="2520"/>
          <w:marRight w:val="0"/>
          <w:marTop w:val="96"/>
          <w:marBottom w:val="0"/>
          <w:divBdr>
            <w:top w:val="none" w:sz="0" w:space="0" w:color="auto"/>
            <w:left w:val="none" w:sz="0" w:space="0" w:color="auto"/>
            <w:bottom w:val="none" w:sz="0" w:space="0" w:color="auto"/>
            <w:right w:val="none" w:sz="0" w:space="0" w:color="auto"/>
          </w:divBdr>
        </w:div>
        <w:div w:id="170537109">
          <w:marLeft w:val="1800"/>
          <w:marRight w:val="0"/>
          <w:marTop w:val="115"/>
          <w:marBottom w:val="0"/>
          <w:divBdr>
            <w:top w:val="none" w:sz="0" w:space="0" w:color="auto"/>
            <w:left w:val="none" w:sz="0" w:space="0" w:color="auto"/>
            <w:bottom w:val="none" w:sz="0" w:space="0" w:color="auto"/>
            <w:right w:val="none" w:sz="0" w:space="0" w:color="auto"/>
          </w:divBdr>
        </w:div>
        <w:div w:id="1221592693">
          <w:marLeft w:val="547"/>
          <w:marRight w:val="0"/>
          <w:marTop w:val="154"/>
          <w:marBottom w:val="0"/>
          <w:divBdr>
            <w:top w:val="none" w:sz="0" w:space="0" w:color="auto"/>
            <w:left w:val="none" w:sz="0" w:space="0" w:color="auto"/>
            <w:bottom w:val="none" w:sz="0" w:space="0" w:color="auto"/>
            <w:right w:val="none" w:sz="0" w:space="0" w:color="auto"/>
          </w:divBdr>
        </w:div>
        <w:div w:id="1349671177">
          <w:marLeft w:val="547"/>
          <w:marRight w:val="0"/>
          <w:marTop w:val="154"/>
          <w:marBottom w:val="0"/>
          <w:divBdr>
            <w:top w:val="none" w:sz="0" w:space="0" w:color="auto"/>
            <w:left w:val="none" w:sz="0" w:space="0" w:color="auto"/>
            <w:bottom w:val="none" w:sz="0" w:space="0" w:color="auto"/>
            <w:right w:val="none" w:sz="0" w:space="0" w:color="auto"/>
          </w:divBdr>
        </w:div>
      </w:divsChild>
    </w:div>
    <w:div w:id="1529637361">
      <w:bodyDiv w:val="1"/>
      <w:marLeft w:val="0"/>
      <w:marRight w:val="0"/>
      <w:marTop w:val="0"/>
      <w:marBottom w:val="0"/>
      <w:divBdr>
        <w:top w:val="none" w:sz="0" w:space="0" w:color="auto"/>
        <w:left w:val="none" w:sz="0" w:space="0" w:color="auto"/>
        <w:bottom w:val="none" w:sz="0" w:space="0" w:color="auto"/>
        <w:right w:val="none" w:sz="0" w:space="0" w:color="auto"/>
      </w:divBdr>
    </w:div>
    <w:div w:id="1530492006">
      <w:bodyDiv w:val="1"/>
      <w:marLeft w:val="0"/>
      <w:marRight w:val="0"/>
      <w:marTop w:val="0"/>
      <w:marBottom w:val="0"/>
      <w:divBdr>
        <w:top w:val="none" w:sz="0" w:space="0" w:color="auto"/>
        <w:left w:val="none" w:sz="0" w:space="0" w:color="auto"/>
        <w:bottom w:val="none" w:sz="0" w:space="0" w:color="auto"/>
        <w:right w:val="none" w:sz="0" w:space="0" w:color="auto"/>
      </w:divBdr>
    </w:div>
    <w:div w:id="1531334456">
      <w:bodyDiv w:val="1"/>
      <w:marLeft w:val="0"/>
      <w:marRight w:val="0"/>
      <w:marTop w:val="0"/>
      <w:marBottom w:val="0"/>
      <w:divBdr>
        <w:top w:val="none" w:sz="0" w:space="0" w:color="auto"/>
        <w:left w:val="none" w:sz="0" w:space="0" w:color="auto"/>
        <w:bottom w:val="none" w:sz="0" w:space="0" w:color="auto"/>
        <w:right w:val="none" w:sz="0" w:space="0" w:color="auto"/>
      </w:divBdr>
      <w:divsChild>
        <w:div w:id="382801013">
          <w:marLeft w:val="0"/>
          <w:marRight w:val="0"/>
          <w:marTop w:val="0"/>
          <w:marBottom w:val="0"/>
          <w:divBdr>
            <w:top w:val="none" w:sz="0" w:space="0" w:color="auto"/>
            <w:left w:val="none" w:sz="0" w:space="0" w:color="auto"/>
            <w:bottom w:val="none" w:sz="0" w:space="0" w:color="auto"/>
            <w:right w:val="none" w:sz="0" w:space="0" w:color="auto"/>
          </w:divBdr>
          <w:divsChild>
            <w:div w:id="363332031">
              <w:marLeft w:val="0"/>
              <w:marRight w:val="0"/>
              <w:marTop w:val="0"/>
              <w:marBottom w:val="0"/>
              <w:divBdr>
                <w:top w:val="none" w:sz="0" w:space="0" w:color="auto"/>
                <w:left w:val="none" w:sz="0" w:space="0" w:color="auto"/>
                <w:bottom w:val="none" w:sz="0" w:space="0" w:color="auto"/>
                <w:right w:val="none" w:sz="0" w:space="0" w:color="auto"/>
              </w:divBdr>
            </w:div>
            <w:div w:id="8952398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31576996">
      <w:bodyDiv w:val="1"/>
      <w:marLeft w:val="0"/>
      <w:marRight w:val="0"/>
      <w:marTop w:val="0"/>
      <w:marBottom w:val="0"/>
      <w:divBdr>
        <w:top w:val="none" w:sz="0" w:space="0" w:color="auto"/>
        <w:left w:val="none" w:sz="0" w:space="0" w:color="auto"/>
        <w:bottom w:val="none" w:sz="0" w:space="0" w:color="auto"/>
        <w:right w:val="none" w:sz="0" w:space="0" w:color="auto"/>
      </w:divBdr>
    </w:div>
    <w:div w:id="1531604912">
      <w:bodyDiv w:val="1"/>
      <w:marLeft w:val="0"/>
      <w:marRight w:val="0"/>
      <w:marTop w:val="0"/>
      <w:marBottom w:val="0"/>
      <w:divBdr>
        <w:top w:val="none" w:sz="0" w:space="0" w:color="auto"/>
        <w:left w:val="none" w:sz="0" w:space="0" w:color="auto"/>
        <w:bottom w:val="none" w:sz="0" w:space="0" w:color="auto"/>
        <w:right w:val="none" w:sz="0" w:space="0" w:color="auto"/>
      </w:divBdr>
    </w:div>
    <w:div w:id="1531869564">
      <w:bodyDiv w:val="1"/>
      <w:marLeft w:val="0"/>
      <w:marRight w:val="0"/>
      <w:marTop w:val="0"/>
      <w:marBottom w:val="0"/>
      <w:divBdr>
        <w:top w:val="none" w:sz="0" w:space="0" w:color="auto"/>
        <w:left w:val="none" w:sz="0" w:space="0" w:color="auto"/>
        <w:bottom w:val="none" w:sz="0" w:space="0" w:color="auto"/>
        <w:right w:val="none" w:sz="0" w:space="0" w:color="auto"/>
      </w:divBdr>
    </w:div>
    <w:div w:id="1532110243">
      <w:bodyDiv w:val="1"/>
      <w:marLeft w:val="0"/>
      <w:marRight w:val="0"/>
      <w:marTop w:val="0"/>
      <w:marBottom w:val="0"/>
      <w:divBdr>
        <w:top w:val="none" w:sz="0" w:space="0" w:color="auto"/>
        <w:left w:val="none" w:sz="0" w:space="0" w:color="auto"/>
        <w:bottom w:val="none" w:sz="0" w:space="0" w:color="auto"/>
        <w:right w:val="none" w:sz="0" w:space="0" w:color="auto"/>
      </w:divBdr>
    </w:div>
    <w:div w:id="1533105941">
      <w:bodyDiv w:val="1"/>
      <w:marLeft w:val="0"/>
      <w:marRight w:val="0"/>
      <w:marTop w:val="0"/>
      <w:marBottom w:val="0"/>
      <w:divBdr>
        <w:top w:val="none" w:sz="0" w:space="0" w:color="auto"/>
        <w:left w:val="none" w:sz="0" w:space="0" w:color="auto"/>
        <w:bottom w:val="none" w:sz="0" w:space="0" w:color="auto"/>
        <w:right w:val="none" w:sz="0" w:space="0" w:color="auto"/>
      </w:divBdr>
      <w:divsChild>
        <w:div w:id="255098277">
          <w:marLeft w:val="1166"/>
          <w:marRight w:val="0"/>
          <w:marTop w:val="96"/>
          <w:marBottom w:val="0"/>
          <w:divBdr>
            <w:top w:val="none" w:sz="0" w:space="0" w:color="auto"/>
            <w:left w:val="none" w:sz="0" w:space="0" w:color="auto"/>
            <w:bottom w:val="none" w:sz="0" w:space="0" w:color="auto"/>
            <w:right w:val="none" w:sz="0" w:space="0" w:color="auto"/>
          </w:divBdr>
        </w:div>
        <w:div w:id="501237208">
          <w:marLeft w:val="547"/>
          <w:marRight w:val="0"/>
          <w:marTop w:val="115"/>
          <w:marBottom w:val="0"/>
          <w:divBdr>
            <w:top w:val="none" w:sz="0" w:space="0" w:color="auto"/>
            <w:left w:val="none" w:sz="0" w:space="0" w:color="auto"/>
            <w:bottom w:val="none" w:sz="0" w:space="0" w:color="auto"/>
            <w:right w:val="none" w:sz="0" w:space="0" w:color="auto"/>
          </w:divBdr>
        </w:div>
        <w:div w:id="509415668">
          <w:marLeft w:val="1166"/>
          <w:marRight w:val="0"/>
          <w:marTop w:val="96"/>
          <w:marBottom w:val="0"/>
          <w:divBdr>
            <w:top w:val="none" w:sz="0" w:space="0" w:color="auto"/>
            <w:left w:val="none" w:sz="0" w:space="0" w:color="auto"/>
            <w:bottom w:val="none" w:sz="0" w:space="0" w:color="auto"/>
            <w:right w:val="none" w:sz="0" w:space="0" w:color="auto"/>
          </w:divBdr>
        </w:div>
        <w:div w:id="843516042">
          <w:marLeft w:val="1166"/>
          <w:marRight w:val="0"/>
          <w:marTop w:val="96"/>
          <w:marBottom w:val="0"/>
          <w:divBdr>
            <w:top w:val="none" w:sz="0" w:space="0" w:color="auto"/>
            <w:left w:val="none" w:sz="0" w:space="0" w:color="auto"/>
            <w:bottom w:val="none" w:sz="0" w:space="0" w:color="auto"/>
            <w:right w:val="none" w:sz="0" w:space="0" w:color="auto"/>
          </w:divBdr>
        </w:div>
        <w:div w:id="1644843641">
          <w:marLeft w:val="1166"/>
          <w:marRight w:val="0"/>
          <w:marTop w:val="96"/>
          <w:marBottom w:val="0"/>
          <w:divBdr>
            <w:top w:val="none" w:sz="0" w:space="0" w:color="auto"/>
            <w:left w:val="none" w:sz="0" w:space="0" w:color="auto"/>
            <w:bottom w:val="none" w:sz="0" w:space="0" w:color="auto"/>
            <w:right w:val="none" w:sz="0" w:space="0" w:color="auto"/>
          </w:divBdr>
        </w:div>
        <w:div w:id="1844661593">
          <w:marLeft w:val="547"/>
          <w:marRight w:val="0"/>
          <w:marTop w:val="115"/>
          <w:marBottom w:val="0"/>
          <w:divBdr>
            <w:top w:val="none" w:sz="0" w:space="0" w:color="auto"/>
            <w:left w:val="none" w:sz="0" w:space="0" w:color="auto"/>
            <w:bottom w:val="none" w:sz="0" w:space="0" w:color="auto"/>
            <w:right w:val="none" w:sz="0" w:space="0" w:color="auto"/>
          </w:divBdr>
        </w:div>
      </w:divsChild>
    </w:div>
    <w:div w:id="1533299078">
      <w:bodyDiv w:val="1"/>
      <w:marLeft w:val="0"/>
      <w:marRight w:val="0"/>
      <w:marTop w:val="0"/>
      <w:marBottom w:val="0"/>
      <w:divBdr>
        <w:top w:val="none" w:sz="0" w:space="0" w:color="auto"/>
        <w:left w:val="none" w:sz="0" w:space="0" w:color="auto"/>
        <w:bottom w:val="none" w:sz="0" w:space="0" w:color="auto"/>
        <w:right w:val="none" w:sz="0" w:space="0" w:color="auto"/>
      </w:divBdr>
    </w:div>
    <w:div w:id="1533834590">
      <w:bodyDiv w:val="1"/>
      <w:marLeft w:val="0"/>
      <w:marRight w:val="0"/>
      <w:marTop w:val="0"/>
      <w:marBottom w:val="0"/>
      <w:divBdr>
        <w:top w:val="none" w:sz="0" w:space="0" w:color="auto"/>
        <w:left w:val="none" w:sz="0" w:space="0" w:color="auto"/>
        <w:bottom w:val="none" w:sz="0" w:space="0" w:color="auto"/>
        <w:right w:val="none" w:sz="0" w:space="0" w:color="auto"/>
      </w:divBdr>
    </w:div>
    <w:div w:id="1534270878">
      <w:bodyDiv w:val="1"/>
      <w:marLeft w:val="0"/>
      <w:marRight w:val="0"/>
      <w:marTop w:val="0"/>
      <w:marBottom w:val="0"/>
      <w:divBdr>
        <w:top w:val="none" w:sz="0" w:space="0" w:color="auto"/>
        <w:left w:val="none" w:sz="0" w:space="0" w:color="auto"/>
        <w:bottom w:val="none" w:sz="0" w:space="0" w:color="auto"/>
        <w:right w:val="none" w:sz="0" w:space="0" w:color="auto"/>
      </w:divBdr>
    </w:div>
    <w:div w:id="1534922447">
      <w:bodyDiv w:val="1"/>
      <w:marLeft w:val="0"/>
      <w:marRight w:val="0"/>
      <w:marTop w:val="0"/>
      <w:marBottom w:val="0"/>
      <w:divBdr>
        <w:top w:val="none" w:sz="0" w:space="0" w:color="auto"/>
        <w:left w:val="none" w:sz="0" w:space="0" w:color="auto"/>
        <w:bottom w:val="none" w:sz="0" w:space="0" w:color="auto"/>
        <w:right w:val="none" w:sz="0" w:space="0" w:color="auto"/>
      </w:divBdr>
    </w:div>
    <w:div w:id="1535459292">
      <w:bodyDiv w:val="1"/>
      <w:marLeft w:val="0"/>
      <w:marRight w:val="0"/>
      <w:marTop w:val="0"/>
      <w:marBottom w:val="0"/>
      <w:divBdr>
        <w:top w:val="none" w:sz="0" w:space="0" w:color="auto"/>
        <w:left w:val="none" w:sz="0" w:space="0" w:color="auto"/>
        <w:bottom w:val="none" w:sz="0" w:space="0" w:color="auto"/>
        <w:right w:val="none" w:sz="0" w:space="0" w:color="auto"/>
      </w:divBdr>
      <w:divsChild>
        <w:div w:id="1771661538">
          <w:marLeft w:val="0"/>
          <w:marRight w:val="0"/>
          <w:marTop w:val="0"/>
          <w:marBottom w:val="0"/>
          <w:divBdr>
            <w:top w:val="none" w:sz="0" w:space="0" w:color="auto"/>
            <w:left w:val="none" w:sz="0" w:space="0" w:color="auto"/>
            <w:bottom w:val="none" w:sz="0" w:space="0" w:color="auto"/>
            <w:right w:val="none" w:sz="0" w:space="0" w:color="auto"/>
          </w:divBdr>
          <w:divsChild>
            <w:div w:id="272054075">
              <w:marLeft w:val="0"/>
              <w:marRight w:val="0"/>
              <w:marTop w:val="0"/>
              <w:marBottom w:val="0"/>
              <w:divBdr>
                <w:top w:val="none" w:sz="0" w:space="0" w:color="auto"/>
                <w:left w:val="none" w:sz="0" w:space="0" w:color="auto"/>
                <w:bottom w:val="none" w:sz="0" w:space="0" w:color="auto"/>
                <w:right w:val="none" w:sz="0" w:space="0" w:color="auto"/>
              </w:divBdr>
            </w:div>
            <w:div w:id="1073432621">
              <w:marLeft w:val="0"/>
              <w:marRight w:val="0"/>
              <w:marTop w:val="0"/>
              <w:marBottom w:val="0"/>
              <w:divBdr>
                <w:top w:val="none" w:sz="0" w:space="0" w:color="auto"/>
                <w:left w:val="none" w:sz="0" w:space="0" w:color="auto"/>
                <w:bottom w:val="none" w:sz="0" w:space="0" w:color="auto"/>
                <w:right w:val="none" w:sz="0" w:space="0" w:color="auto"/>
              </w:divBdr>
            </w:div>
            <w:div w:id="1516849729">
              <w:marLeft w:val="0"/>
              <w:marRight w:val="0"/>
              <w:marTop w:val="0"/>
              <w:marBottom w:val="0"/>
              <w:divBdr>
                <w:top w:val="none" w:sz="0" w:space="0" w:color="auto"/>
                <w:left w:val="none" w:sz="0" w:space="0" w:color="auto"/>
                <w:bottom w:val="none" w:sz="0" w:space="0" w:color="auto"/>
                <w:right w:val="none" w:sz="0" w:space="0" w:color="auto"/>
              </w:divBdr>
            </w:div>
            <w:div w:id="1714846471">
              <w:marLeft w:val="0"/>
              <w:marRight w:val="0"/>
              <w:marTop w:val="0"/>
              <w:marBottom w:val="0"/>
              <w:divBdr>
                <w:top w:val="none" w:sz="0" w:space="0" w:color="auto"/>
                <w:left w:val="none" w:sz="0" w:space="0" w:color="auto"/>
                <w:bottom w:val="none" w:sz="0" w:space="0" w:color="auto"/>
                <w:right w:val="none" w:sz="0" w:space="0" w:color="auto"/>
              </w:divBdr>
            </w:div>
            <w:div w:id="19738991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35532783">
      <w:bodyDiv w:val="1"/>
      <w:marLeft w:val="0"/>
      <w:marRight w:val="0"/>
      <w:marTop w:val="0"/>
      <w:marBottom w:val="0"/>
      <w:divBdr>
        <w:top w:val="none" w:sz="0" w:space="0" w:color="auto"/>
        <w:left w:val="none" w:sz="0" w:space="0" w:color="auto"/>
        <w:bottom w:val="none" w:sz="0" w:space="0" w:color="auto"/>
        <w:right w:val="none" w:sz="0" w:space="0" w:color="auto"/>
      </w:divBdr>
    </w:div>
    <w:div w:id="1536117715">
      <w:bodyDiv w:val="1"/>
      <w:marLeft w:val="0"/>
      <w:marRight w:val="0"/>
      <w:marTop w:val="0"/>
      <w:marBottom w:val="0"/>
      <w:divBdr>
        <w:top w:val="none" w:sz="0" w:space="0" w:color="auto"/>
        <w:left w:val="none" w:sz="0" w:space="0" w:color="auto"/>
        <w:bottom w:val="none" w:sz="0" w:space="0" w:color="auto"/>
        <w:right w:val="none" w:sz="0" w:space="0" w:color="auto"/>
      </w:divBdr>
    </w:div>
    <w:div w:id="1536695302">
      <w:bodyDiv w:val="1"/>
      <w:marLeft w:val="0"/>
      <w:marRight w:val="0"/>
      <w:marTop w:val="0"/>
      <w:marBottom w:val="0"/>
      <w:divBdr>
        <w:top w:val="none" w:sz="0" w:space="0" w:color="auto"/>
        <w:left w:val="none" w:sz="0" w:space="0" w:color="auto"/>
        <w:bottom w:val="none" w:sz="0" w:space="0" w:color="auto"/>
        <w:right w:val="none" w:sz="0" w:space="0" w:color="auto"/>
      </w:divBdr>
    </w:div>
    <w:div w:id="1537809101">
      <w:bodyDiv w:val="1"/>
      <w:marLeft w:val="0"/>
      <w:marRight w:val="0"/>
      <w:marTop w:val="0"/>
      <w:marBottom w:val="0"/>
      <w:divBdr>
        <w:top w:val="none" w:sz="0" w:space="0" w:color="auto"/>
        <w:left w:val="none" w:sz="0" w:space="0" w:color="auto"/>
        <w:bottom w:val="none" w:sz="0" w:space="0" w:color="auto"/>
        <w:right w:val="none" w:sz="0" w:space="0" w:color="auto"/>
      </w:divBdr>
    </w:div>
    <w:div w:id="1538003482">
      <w:bodyDiv w:val="1"/>
      <w:marLeft w:val="0"/>
      <w:marRight w:val="0"/>
      <w:marTop w:val="0"/>
      <w:marBottom w:val="0"/>
      <w:divBdr>
        <w:top w:val="none" w:sz="0" w:space="0" w:color="auto"/>
        <w:left w:val="none" w:sz="0" w:space="0" w:color="auto"/>
        <w:bottom w:val="none" w:sz="0" w:space="0" w:color="auto"/>
        <w:right w:val="none" w:sz="0" w:space="0" w:color="auto"/>
      </w:divBdr>
    </w:div>
    <w:div w:id="1538932310">
      <w:bodyDiv w:val="1"/>
      <w:marLeft w:val="0"/>
      <w:marRight w:val="0"/>
      <w:marTop w:val="0"/>
      <w:marBottom w:val="0"/>
      <w:divBdr>
        <w:top w:val="none" w:sz="0" w:space="0" w:color="auto"/>
        <w:left w:val="none" w:sz="0" w:space="0" w:color="auto"/>
        <w:bottom w:val="none" w:sz="0" w:space="0" w:color="auto"/>
        <w:right w:val="none" w:sz="0" w:space="0" w:color="auto"/>
      </w:divBdr>
      <w:divsChild>
        <w:div w:id="1700621409">
          <w:marLeft w:val="0"/>
          <w:marRight w:val="0"/>
          <w:marTop w:val="0"/>
          <w:marBottom w:val="0"/>
          <w:divBdr>
            <w:top w:val="none" w:sz="0" w:space="0" w:color="auto"/>
            <w:left w:val="none" w:sz="0" w:space="0" w:color="auto"/>
            <w:bottom w:val="none" w:sz="0" w:space="0" w:color="auto"/>
            <w:right w:val="none" w:sz="0" w:space="0" w:color="auto"/>
          </w:divBdr>
        </w:div>
      </w:divsChild>
    </w:div>
    <w:div w:id="1540045718">
      <w:bodyDiv w:val="1"/>
      <w:marLeft w:val="0"/>
      <w:marRight w:val="0"/>
      <w:marTop w:val="0"/>
      <w:marBottom w:val="0"/>
      <w:divBdr>
        <w:top w:val="none" w:sz="0" w:space="0" w:color="auto"/>
        <w:left w:val="none" w:sz="0" w:space="0" w:color="auto"/>
        <w:bottom w:val="none" w:sz="0" w:space="0" w:color="auto"/>
        <w:right w:val="none" w:sz="0" w:space="0" w:color="auto"/>
      </w:divBdr>
    </w:div>
    <w:div w:id="1541281394">
      <w:bodyDiv w:val="1"/>
      <w:marLeft w:val="0"/>
      <w:marRight w:val="0"/>
      <w:marTop w:val="0"/>
      <w:marBottom w:val="0"/>
      <w:divBdr>
        <w:top w:val="none" w:sz="0" w:space="0" w:color="auto"/>
        <w:left w:val="none" w:sz="0" w:space="0" w:color="auto"/>
        <w:bottom w:val="none" w:sz="0" w:space="0" w:color="auto"/>
        <w:right w:val="none" w:sz="0" w:space="0" w:color="auto"/>
      </w:divBdr>
    </w:div>
    <w:div w:id="1541551818">
      <w:bodyDiv w:val="1"/>
      <w:marLeft w:val="0"/>
      <w:marRight w:val="0"/>
      <w:marTop w:val="0"/>
      <w:marBottom w:val="0"/>
      <w:divBdr>
        <w:top w:val="none" w:sz="0" w:space="0" w:color="auto"/>
        <w:left w:val="none" w:sz="0" w:space="0" w:color="auto"/>
        <w:bottom w:val="none" w:sz="0" w:space="0" w:color="auto"/>
        <w:right w:val="none" w:sz="0" w:space="0" w:color="auto"/>
      </w:divBdr>
    </w:div>
    <w:div w:id="1541743696">
      <w:bodyDiv w:val="1"/>
      <w:marLeft w:val="0"/>
      <w:marRight w:val="0"/>
      <w:marTop w:val="0"/>
      <w:marBottom w:val="0"/>
      <w:divBdr>
        <w:top w:val="none" w:sz="0" w:space="0" w:color="auto"/>
        <w:left w:val="none" w:sz="0" w:space="0" w:color="auto"/>
        <w:bottom w:val="none" w:sz="0" w:space="0" w:color="auto"/>
        <w:right w:val="none" w:sz="0" w:space="0" w:color="auto"/>
      </w:divBdr>
      <w:divsChild>
        <w:div w:id="145243243">
          <w:marLeft w:val="1080"/>
          <w:marRight w:val="0"/>
          <w:marTop w:val="100"/>
          <w:marBottom w:val="0"/>
          <w:divBdr>
            <w:top w:val="none" w:sz="0" w:space="0" w:color="auto"/>
            <w:left w:val="none" w:sz="0" w:space="0" w:color="auto"/>
            <w:bottom w:val="none" w:sz="0" w:space="0" w:color="auto"/>
            <w:right w:val="none" w:sz="0" w:space="0" w:color="auto"/>
          </w:divBdr>
        </w:div>
        <w:div w:id="2000307178">
          <w:marLeft w:val="360"/>
          <w:marRight w:val="0"/>
          <w:marTop w:val="200"/>
          <w:marBottom w:val="0"/>
          <w:divBdr>
            <w:top w:val="none" w:sz="0" w:space="0" w:color="auto"/>
            <w:left w:val="none" w:sz="0" w:space="0" w:color="auto"/>
            <w:bottom w:val="none" w:sz="0" w:space="0" w:color="auto"/>
            <w:right w:val="none" w:sz="0" w:space="0" w:color="auto"/>
          </w:divBdr>
        </w:div>
      </w:divsChild>
    </w:div>
    <w:div w:id="1542865426">
      <w:bodyDiv w:val="1"/>
      <w:marLeft w:val="0"/>
      <w:marRight w:val="0"/>
      <w:marTop w:val="0"/>
      <w:marBottom w:val="0"/>
      <w:divBdr>
        <w:top w:val="none" w:sz="0" w:space="0" w:color="auto"/>
        <w:left w:val="none" w:sz="0" w:space="0" w:color="auto"/>
        <w:bottom w:val="none" w:sz="0" w:space="0" w:color="auto"/>
        <w:right w:val="none" w:sz="0" w:space="0" w:color="auto"/>
      </w:divBdr>
    </w:div>
    <w:div w:id="1543245511">
      <w:bodyDiv w:val="1"/>
      <w:marLeft w:val="0"/>
      <w:marRight w:val="0"/>
      <w:marTop w:val="0"/>
      <w:marBottom w:val="0"/>
      <w:divBdr>
        <w:top w:val="none" w:sz="0" w:space="0" w:color="auto"/>
        <w:left w:val="none" w:sz="0" w:space="0" w:color="auto"/>
        <w:bottom w:val="none" w:sz="0" w:space="0" w:color="auto"/>
        <w:right w:val="none" w:sz="0" w:space="0" w:color="auto"/>
      </w:divBdr>
    </w:div>
    <w:div w:id="1543785661">
      <w:bodyDiv w:val="1"/>
      <w:marLeft w:val="0"/>
      <w:marRight w:val="0"/>
      <w:marTop w:val="0"/>
      <w:marBottom w:val="0"/>
      <w:divBdr>
        <w:top w:val="none" w:sz="0" w:space="0" w:color="auto"/>
        <w:left w:val="none" w:sz="0" w:space="0" w:color="auto"/>
        <w:bottom w:val="none" w:sz="0" w:space="0" w:color="auto"/>
        <w:right w:val="none" w:sz="0" w:space="0" w:color="auto"/>
      </w:divBdr>
      <w:divsChild>
        <w:div w:id="1235241314">
          <w:marLeft w:val="0"/>
          <w:marRight w:val="0"/>
          <w:marTop w:val="96"/>
          <w:marBottom w:val="0"/>
          <w:divBdr>
            <w:top w:val="none" w:sz="0" w:space="0" w:color="auto"/>
            <w:left w:val="none" w:sz="0" w:space="0" w:color="auto"/>
            <w:bottom w:val="none" w:sz="0" w:space="0" w:color="auto"/>
            <w:right w:val="none" w:sz="0" w:space="0" w:color="auto"/>
          </w:divBdr>
        </w:div>
      </w:divsChild>
    </w:div>
    <w:div w:id="1543902002">
      <w:bodyDiv w:val="1"/>
      <w:marLeft w:val="0"/>
      <w:marRight w:val="0"/>
      <w:marTop w:val="0"/>
      <w:marBottom w:val="0"/>
      <w:divBdr>
        <w:top w:val="none" w:sz="0" w:space="0" w:color="auto"/>
        <w:left w:val="none" w:sz="0" w:space="0" w:color="auto"/>
        <w:bottom w:val="none" w:sz="0" w:space="0" w:color="auto"/>
        <w:right w:val="none" w:sz="0" w:space="0" w:color="auto"/>
      </w:divBdr>
    </w:div>
    <w:div w:id="1544246012">
      <w:bodyDiv w:val="1"/>
      <w:marLeft w:val="0"/>
      <w:marRight w:val="0"/>
      <w:marTop w:val="0"/>
      <w:marBottom w:val="0"/>
      <w:divBdr>
        <w:top w:val="none" w:sz="0" w:space="0" w:color="auto"/>
        <w:left w:val="none" w:sz="0" w:space="0" w:color="auto"/>
        <w:bottom w:val="none" w:sz="0" w:space="0" w:color="auto"/>
        <w:right w:val="none" w:sz="0" w:space="0" w:color="auto"/>
      </w:divBdr>
    </w:div>
    <w:div w:id="1544251038">
      <w:bodyDiv w:val="1"/>
      <w:marLeft w:val="0"/>
      <w:marRight w:val="0"/>
      <w:marTop w:val="0"/>
      <w:marBottom w:val="0"/>
      <w:divBdr>
        <w:top w:val="none" w:sz="0" w:space="0" w:color="auto"/>
        <w:left w:val="none" w:sz="0" w:space="0" w:color="auto"/>
        <w:bottom w:val="none" w:sz="0" w:space="0" w:color="auto"/>
        <w:right w:val="none" w:sz="0" w:space="0" w:color="auto"/>
      </w:divBdr>
    </w:div>
    <w:div w:id="1544294810">
      <w:bodyDiv w:val="1"/>
      <w:marLeft w:val="0"/>
      <w:marRight w:val="0"/>
      <w:marTop w:val="0"/>
      <w:marBottom w:val="0"/>
      <w:divBdr>
        <w:top w:val="none" w:sz="0" w:space="0" w:color="auto"/>
        <w:left w:val="none" w:sz="0" w:space="0" w:color="auto"/>
        <w:bottom w:val="none" w:sz="0" w:space="0" w:color="auto"/>
        <w:right w:val="none" w:sz="0" w:space="0" w:color="auto"/>
      </w:divBdr>
      <w:divsChild>
        <w:div w:id="127548985">
          <w:marLeft w:val="360"/>
          <w:marRight w:val="0"/>
          <w:marTop w:val="200"/>
          <w:marBottom w:val="0"/>
          <w:divBdr>
            <w:top w:val="none" w:sz="0" w:space="0" w:color="auto"/>
            <w:left w:val="none" w:sz="0" w:space="0" w:color="auto"/>
            <w:bottom w:val="none" w:sz="0" w:space="0" w:color="auto"/>
            <w:right w:val="none" w:sz="0" w:space="0" w:color="auto"/>
          </w:divBdr>
        </w:div>
        <w:div w:id="142426936">
          <w:marLeft w:val="2520"/>
          <w:marRight w:val="0"/>
          <w:marTop w:val="100"/>
          <w:marBottom w:val="0"/>
          <w:divBdr>
            <w:top w:val="none" w:sz="0" w:space="0" w:color="auto"/>
            <w:left w:val="none" w:sz="0" w:space="0" w:color="auto"/>
            <w:bottom w:val="none" w:sz="0" w:space="0" w:color="auto"/>
            <w:right w:val="none" w:sz="0" w:space="0" w:color="auto"/>
          </w:divBdr>
        </w:div>
        <w:div w:id="203251654">
          <w:marLeft w:val="1800"/>
          <w:marRight w:val="0"/>
          <w:marTop w:val="100"/>
          <w:marBottom w:val="0"/>
          <w:divBdr>
            <w:top w:val="none" w:sz="0" w:space="0" w:color="auto"/>
            <w:left w:val="none" w:sz="0" w:space="0" w:color="auto"/>
            <w:bottom w:val="none" w:sz="0" w:space="0" w:color="auto"/>
            <w:right w:val="none" w:sz="0" w:space="0" w:color="auto"/>
          </w:divBdr>
        </w:div>
        <w:div w:id="755326238">
          <w:marLeft w:val="1800"/>
          <w:marRight w:val="0"/>
          <w:marTop w:val="100"/>
          <w:marBottom w:val="0"/>
          <w:divBdr>
            <w:top w:val="none" w:sz="0" w:space="0" w:color="auto"/>
            <w:left w:val="none" w:sz="0" w:space="0" w:color="auto"/>
            <w:bottom w:val="none" w:sz="0" w:space="0" w:color="auto"/>
            <w:right w:val="none" w:sz="0" w:space="0" w:color="auto"/>
          </w:divBdr>
        </w:div>
        <w:div w:id="1188326715">
          <w:marLeft w:val="1800"/>
          <w:marRight w:val="0"/>
          <w:marTop w:val="100"/>
          <w:marBottom w:val="0"/>
          <w:divBdr>
            <w:top w:val="none" w:sz="0" w:space="0" w:color="auto"/>
            <w:left w:val="none" w:sz="0" w:space="0" w:color="auto"/>
            <w:bottom w:val="none" w:sz="0" w:space="0" w:color="auto"/>
            <w:right w:val="none" w:sz="0" w:space="0" w:color="auto"/>
          </w:divBdr>
        </w:div>
        <w:div w:id="1388913256">
          <w:marLeft w:val="1080"/>
          <w:marRight w:val="0"/>
          <w:marTop w:val="100"/>
          <w:marBottom w:val="0"/>
          <w:divBdr>
            <w:top w:val="none" w:sz="0" w:space="0" w:color="auto"/>
            <w:left w:val="none" w:sz="0" w:space="0" w:color="auto"/>
            <w:bottom w:val="none" w:sz="0" w:space="0" w:color="auto"/>
            <w:right w:val="none" w:sz="0" w:space="0" w:color="auto"/>
          </w:divBdr>
        </w:div>
        <w:div w:id="1542863414">
          <w:marLeft w:val="1800"/>
          <w:marRight w:val="0"/>
          <w:marTop w:val="100"/>
          <w:marBottom w:val="0"/>
          <w:divBdr>
            <w:top w:val="none" w:sz="0" w:space="0" w:color="auto"/>
            <w:left w:val="none" w:sz="0" w:space="0" w:color="auto"/>
            <w:bottom w:val="none" w:sz="0" w:space="0" w:color="auto"/>
            <w:right w:val="none" w:sz="0" w:space="0" w:color="auto"/>
          </w:divBdr>
        </w:div>
        <w:div w:id="1592929335">
          <w:marLeft w:val="360"/>
          <w:marRight w:val="0"/>
          <w:marTop w:val="200"/>
          <w:marBottom w:val="0"/>
          <w:divBdr>
            <w:top w:val="none" w:sz="0" w:space="0" w:color="auto"/>
            <w:left w:val="none" w:sz="0" w:space="0" w:color="auto"/>
            <w:bottom w:val="none" w:sz="0" w:space="0" w:color="auto"/>
            <w:right w:val="none" w:sz="0" w:space="0" w:color="auto"/>
          </w:divBdr>
        </w:div>
        <w:div w:id="1939288653">
          <w:marLeft w:val="1800"/>
          <w:marRight w:val="0"/>
          <w:marTop w:val="100"/>
          <w:marBottom w:val="0"/>
          <w:divBdr>
            <w:top w:val="none" w:sz="0" w:space="0" w:color="auto"/>
            <w:left w:val="none" w:sz="0" w:space="0" w:color="auto"/>
            <w:bottom w:val="none" w:sz="0" w:space="0" w:color="auto"/>
            <w:right w:val="none" w:sz="0" w:space="0" w:color="auto"/>
          </w:divBdr>
        </w:div>
        <w:div w:id="2098936929">
          <w:marLeft w:val="1080"/>
          <w:marRight w:val="0"/>
          <w:marTop w:val="100"/>
          <w:marBottom w:val="0"/>
          <w:divBdr>
            <w:top w:val="none" w:sz="0" w:space="0" w:color="auto"/>
            <w:left w:val="none" w:sz="0" w:space="0" w:color="auto"/>
            <w:bottom w:val="none" w:sz="0" w:space="0" w:color="auto"/>
            <w:right w:val="none" w:sz="0" w:space="0" w:color="auto"/>
          </w:divBdr>
        </w:div>
      </w:divsChild>
    </w:div>
    <w:div w:id="1545560162">
      <w:bodyDiv w:val="1"/>
      <w:marLeft w:val="0"/>
      <w:marRight w:val="0"/>
      <w:marTop w:val="0"/>
      <w:marBottom w:val="0"/>
      <w:divBdr>
        <w:top w:val="none" w:sz="0" w:space="0" w:color="auto"/>
        <w:left w:val="none" w:sz="0" w:space="0" w:color="auto"/>
        <w:bottom w:val="none" w:sz="0" w:space="0" w:color="auto"/>
        <w:right w:val="none" w:sz="0" w:space="0" w:color="auto"/>
      </w:divBdr>
    </w:div>
    <w:div w:id="1545797905">
      <w:bodyDiv w:val="1"/>
      <w:marLeft w:val="0"/>
      <w:marRight w:val="0"/>
      <w:marTop w:val="0"/>
      <w:marBottom w:val="0"/>
      <w:divBdr>
        <w:top w:val="none" w:sz="0" w:space="0" w:color="auto"/>
        <w:left w:val="none" w:sz="0" w:space="0" w:color="auto"/>
        <w:bottom w:val="none" w:sz="0" w:space="0" w:color="auto"/>
        <w:right w:val="none" w:sz="0" w:space="0" w:color="auto"/>
      </w:divBdr>
    </w:div>
    <w:div w:id="1547175689">
      <w:bodyDiv w:val="1"/>
      <w:marLeft w:val="0"/>
      <w:marRight w:val="0"/>
      <w:marTop w:val="0"/>
      <w:marBottom w:val="0"/>
      <w:divBdr>
        <w:top w:val="none" w:sz="0" w:space="0" w:color="auto"/>
        <w:left w:val="none" w:sz="0" w:space="0" w:color="auto"/>
        <w:bottom w:val="none" w:sz="0" w:space="0" w:color="auto"/>
        <w:right w:val="none" w:sz="0" w:space="0" w:color="auto"/>
      </w:divBdr>
      <w:divsChild>
        <w:div w:id="20742135">
          <w:marLeft w:val="1166"/>
          <w:marRight w:val="0"/>
          <w:marTop w:val="134"/>
          <w:marBottom w:val="0"/>
          <w:divBdr>
            <w:top w:val="none" w:sz="0" w:space="0" w:color="auto"/>
            <w:left w:val="none" w:sz="0" w:space="0" w:color="auto"/>
            <w:bottom w:val="none" w:sz="0" w:space="0" w:color="auto"/>
            <w:right w:val="none" w:sz="0" w:space="0" w:color="auto"/>
          </w:divBdr>
        </w:div>
        <w:div w:id="924997364">
          <w:marLeft w:val="547"/>
          <w:marRight w:val="0"/>
          <w:marTop w:val="154"/>
          <w:marBottom w:val="0"/>
          <w:divBdr>
            <w:top w:val="none" w:sz="0" w:space="0" w:color="auto"/>
            <w:left w:val="none" w:sz="0" w:space="0" w:color="auto"/>
            <w:bottom w:val="none" w:sz="0" w:space="0" w:color="auto"/>
            <w:right w:val="none" w:sz="0" w:space="0" w:color="auto"/>
          </w:divBdr>
        </w:div>
      </w:divsChild>
    </w:div>
    <w:div w:id="1547836533">
      <w:bodyDiv w:val="1"/>
      <w:marLeft w:val="0"/>
      <w:marRight w:val="0"/>
      <w:marTop w:val="0"/>
      <w:marBottom w:val="0"/>
      <w:divBdr>
        <w:top w:val="none" w:sz="0" w:space="0" w:color="auto"/>
        <w:left w:val="none" w:sz="0" w:space="0" w:color="auto"/>
        <w:bottom w:val="none" w:sz="0" w:space="0" w:color="auto"/>
        <w:right w:val="none" w:sz="0" w:space="0" w:color="auto"/>
      </w:divBdr>
    </w:div>
    <w:div w:id="1547985726">
      <w:bodyDiv w:val="1"/>
      <w:marLeft w:val="0"/>
      <w:marRight w:val="0"/>
      <w:marTop w:val="0"/>
      <w:marBottom w:val="0"/>
      <w:divBdr>
        <w:top w:val="none" w:sz="0" w:space="0" w:color="auto"/>
        <w:left w:val="none" w:sz="0" w:space="0" w:color="auto"/>
        <w:bottom w:val="none" w:sz="0" w:space="0" w:color="auto"/>
        <w:right w:val="none" w:sz="0" w:space="0" w:color="auto"/>
      </w:divBdr>
      <w:divsChild>
        <w:div w:id="659575944">
          <w:marLeft w:val="1166"/>
          <w:marRight w:val="0"/>
          <w:marTop w:val="115"/>
          <w:marBottom w:val="0"/>
          <w:divBdr>
            <w:top w:val="none" w:sz="0" w:space="0" w:color="auto"/>
            <w:left w:val="none" w:sz="0" w:space="0" w:color="auto"/>
            <w:bottom w:val="none" w:sz="0" w:space="0" w:color="auto"/>
            <w:right w:val="none" w:sz="0" w:space="0" w:color="auto"/>
          </w:divBdr>
        </w:div>
        <w:div w:id="1499686478">
          <w:marLeft w:val="1166"/>
          <w:marRight w:val="0"/>
          <w:marTop w:val="115"/>
          <w:marBottom w:val="0"/>
          <w:divBdr>
            <w:top w:val="none" w:sz="0" w:space="0" w:color="auto"/>
            <w:left w:val="none" w:sz="0" w:space="0" w:color="auto"/>
            <w:bottom w:val="none" w:sz="0" w:space="0" w:color="auto"/>
            <w:right w:val="none" w:sz="0" w:space="0" w:color="auto"/>
          </w:divBdr>
        </w:div>
        <w:div w:id="1706056875">
          <w:marLeft w:val="547"/>
          <w:marRight w:val="0"/>
          <w:marTop w:val="134"/>
          <w:marBottom w:val="0"/>
          <w:divBdr>
            <w:top w:val="none" w:sz="0" w:space="0" w:color="auto"/>
            <w:left w:val="none" w:sz="0" w:space="0" w:color="auto"/>
            <w:bottom w:val="none" w:sz="0" w:space="0" w:color="auto"/>
            <w:right w:val="none" w:sz="0" w:space="0" w:color="auto"/>
          </w:divBdr>
        </w:div>
        <w:div w:id="1715689345">
          <w:marLeft w:val="1800"/>
          <w:marRight w:val="0"/>
          <w:marTop w:val="96"/>
          <w:marBottom w:val="0"/>
          <w:divBdr>
            <w:top w:val="none" w:sz="0" w:space="0" w:color="auto"/>
            <w:left w:val="none" w:sz="0" w:space="0" w:color="auto"/>
            <w:bottom w:val="none" w:sz="0" w:space="0" w:color="auto"/>
            <w:right w:val="none" w:sz="0" w:space="0" w:color="auto"/>
          </w:divBdr>
        </w:div>
        <w:div w:id="1759708937">
          <w:marLeft w:val="1800"/>
          <w:marRight w:val="0"/>
          <w:marTop w:val="96"/>
          <w:marBottom w:val="0"/>
          <w:divBdr>
            <w:top w:val="none" w:sz="0" w:space="0" w:color="auto"/>
            <w:left w:val="none" w:sz="0" w:space="0" w:color="auto"/>
            <w:bottom w:val="none" w:sz="0" w:space="0" w:color="auto"/>
            <w:right w:val="none" w:sz="0" w:space="0" w:color="auto"/>
          </w:divBdr>
        </w:div>
      </w:divsChild>
    </w:div>
    <w:div w:id="1548183246">
      <w:bodyDiv w:val="1"/>
      <w:marLeft w:val="0"/>
      <w:marRight w:val="0"/>
      <w:marTop w:val="0"/>
      <w:marBottom w:val="0"/>
      <w:divBdr>
        <w:top w:val="none" w:sz="0" w:space="0" w:color="auto"/>
        <w:left w:val="none" w:sz="0" w:space="0" w:color="auto"/>
        <w:bottom w:val="none" w:sz="0" w:space="0" w:color="auto"/>
        <w:right w:val="none" w:sz="0" w:space="0" w:color="auto"/>
      </w:divBdr>
    </w:div>
    <w:div w:id="1548183718">
      <w:bodyDiv w:val="1"/>
      <w:marLeft w:val="0"/>
      <w:marRight w:val="0"/>
      <w:marTop w:val="0"/>
      <w:marBottom w:val="0"/>
      <w:divBdr>
        <w:top w:val="none" w:sz="0" w:space="0" w:color="auto"/>
        <w:left w:val="none" w:sz="0" w:space="0" w:color="auto"/>
        <w:bottom w:val="none" w:sz="0" w:space="0" w:color="auto"/>
        <w:right w:val="none" w:sz="0" w:space="0" w:color="auto"/>
      </w:divBdr>
      <w:divsChild>
        <w:div w:id="158354886">
          <w:marLeft w:val="547"/>
          <w:marRight w:val="0"/>
          <w:marTop w:val="154"/>
          <w:marBottom w:val="0"/>
          <w:divBdr>
            <w:top w:val="none" w:sz="0" w:space="0" w:color="auto"/>
            <w:left w:val="none" w:sz="0" w:space="0" w:color="auto"/>
            <w:bottom w:val="none" w:sz="0" w:space="0" w:color="auto"/>
            <w:right w:val="none" w:sz="0" w:space="0" w:color="auto"/>
          </w:divBdr>
        </w:div>
        <w:div w:id="589971696">
          <w:marLeft w:val="1800"/>
          <w:marRight w:val="0"/>
          <w:marTop w:val="115"/>
          <w:marBottom w:val="0"/>
          <w:divBdr>
            <w:top w:val="none" w:sz="0" w:space="0" w:color="auto"/>
            <w:left w:val="none" w:sz="0" w:space="0" w:color="auto"/>
            <w:bottom w:val="none" w:sz="0" w:space="0" w:color="auto"/>
            <w:right w:val="none" w:sz="0" w:space="0" w:color="auto"/>
          </w:divBdr>
        </w:div>
        <w:div w:id="1088233988">
          <w:marLeft w:val="1166"/>
          <w:marRight w:val="0"/>
          <w:marTop w:val="134"/>
          <w:marBottom w:val="0"/>
          <w:divBdr>
            <w:top w:val="none" w:sz="0" w:space="0" w:color="auto"/>
            <w:left w:val="none" w:sz="0" w:space="0" w:color="auto"/>
            <w:bottom w:val="none" w:sz="0" w:space="0" w:color="auto"/>
            <w:right w:val="none" w:sz="0" w:space="0" w:color="auto"/>
          </w:divBdr>
        </w:div>
        <w:div w:id="1211844067">
          <w:marLeft w:val="1166"/>
          <w:marRight w:val="0"/>
          <w:marTop w:val="134"/>
          <w:marBottom w:val="0"/>
          <w:divBdr>
            <w:top w:val="none" w:sz="0" w:space="0" w:color="auto"/>
            <w:left w:val="none" w:sz="0" w:space="0" w:color="auto"/>
            <w:bottom w:val="none" w:sz="0" w:space="0" w:color="auto"/>
            <w:right w:val="none" w:sz="0" w:space="0" w:color="auto"/>
          </w:divBdr>
        </w:div>
        <w:div w:id="1749493661">
          <w:marLeft w:val="1800"/>
          <w:marRight w:val="0"/>
          <w:marTop w:val="115"/>
          <w:marBottom w:val="0"/>
          <w:divBdr>
            <w:top w:val="none" w:sz="0" w:space="0" w:color="auto"/>
            <w:left w:val="none" w:sz="0" w:space="0" w:color="auto"/>
            <w:bottom w:val="none" w:sz="0" w:space="0" w:color="auto"/>
            <w:right w:val="none" w:sz="0" w:space="0" w:color="auto"/>
          </w:divBdr>
        </w:div>
        <w:div w:id="2056847956">
          <w:marLeft w:val="547"/>
          <w:marRight w:val="0"/>
          <w:marTop w:val="154"/>
          <w:marBottom w:val="0"/>
          <w:divBdr>
            <w:top w:val="none" w:sz="0" w:space="0" w:color="auto"/>
            <w:left w:val="none" w:sz="0" w:space="0" w:color="auto"/>
            <w:bottom w:val="none" w:sz="0" w:space="0" w:color="auto"/>
            <w:right w:val="none" w:sz="0" w:space="0" w:color="auto"/>
          </w:divBdr>
        </w:div>
      </w:divsChild>
    </w:div>
    <w:div w:id="1548486485">
      <w:bodyDiv w:val="1"/>
      <w:marLeft w:val="0"/>
      <w:marRight w:val="0"/>
      <w:marTop w:val="0"/>
      <w:marBottom w:val="0"/>
      <w:divBdr>
        <w:top w:val="none" w:sz="0" w:space="0" w:color="auto"/>
        <w:left w:val="none" w:sz="0" w:space="0" w:color="auto"/>
        <w:bottom w:val="none" w:sz="0" w:space="0" w:color="auto"/>
        <w:right w:val="none" w:sz="0" w:space="0" w:color="auto"/>
      </w:divBdr>
    </w:div>
    <w:div w:id="1549099470">
      <w:bodyDiv w:val="1"/>
      <w:marLeft w:val="0"/>
      <w:marRight w:val="0"/>
      <w:marTop w:val="0"/>
      <w:marBottom w:val="0"/>
      <w:divBdr>
        <w:top w:val="none" w:sz="0" w:space="0" w:color="auto"/>
        <w:left w:val="none" w:sz="0" w:space="0" w:color="auto"/>
        <w:bottom w:val="none" w:sz="0" w:space="0" w:color="auto"/>
        <w:right w:val="none" w:sz="0" w:space="0" w:color="auto"/>
      </w:divBdr>
    </w:div>
    <w:div w:id="1549418030">
      <w:bodyDiv w:val="1"/>
      <w:marLeft w:val="0"/>
      <w:marRight w:val="0"/>
      <w:marTop w:val="0"/>
      <w:marBottom w:val="0"/>
      <w:divBdr>
        <w:top w:val="none" w:sz="0" w:space="0" w:color="auto"/>
        <w:left w:val="none" w:sz="0" w:space="0" w:color="auto"/>
        <w:bottom w:val="none" w:sz="0" w:space="0" w:color="auto"/>
        <w:right w:val="none" w:sz="0" w:space="0" w:color="auto"/>
      </w:divBdr>
      <w:divsChild>
        <w:div w:id="652181456">
          <w:marLeft w:val="547"/>
          <w:marRight w:val="0"/>
          <w:marTop w:val="154"/>
          <w:marBottom w:val="0"/>
          <w:divBdr>
            <w:top w:val="none" w:sz="0" w:space="0" w:color="auto"/>
            <w:left w:val="none" w:sz="0" w:space="0" w:color="auto"/>
            <w:bottom w:val="none" w:sz="0" w:space="0" w:color="auto"/>
            <w:right w:val="none" w:sz="0" w:space="0" w:color="auto"/>
          </w:divBdr>
        </w:div>
        <w:div w:id="1528835015">
          <w:marLeft w:val="1166"/>
          <w:marRight w:val="0"/>
          <w:marTop w:val="134"/>
          <w:marBottom w:val="0"/>
          <w:divBdr>
            <w:top w:val="none" w:sz="0" w:space="0" w:color="auto"/>
            <w:left w:val="none" w:sz="0" w:space="0" w:color="auto"/>
            <w:bottom w:val="none" w:sz="0" w:space="0" w:color="auto"/>
            <w:right w:val="none" w:sz="0" w:space="0" w:color="auto"/>
          </w:divBdr>
        </w:div>
        <w:div w:id="1532260736">
          <w:marLeft w:val="1166"/>
          <w:marRight w:val="0"/>
          <w:marTop w:val="134"/>
          <w:marBottom w:val="0"/>
          <w:divBdr>
            <w:top w:val="none" w:sz="0" w:space="0" w:color="auto"/>
            <w:left w:val="none" w:sz="0" w:space="0" w:color="auto"/>
            <w:bottom w:val="none" w:sz="0" w:space="0" w:color="auto"/>
            <w:right w:val="none" w:sz="0" w:space="0" w:color="auto"/>
          </w:divBdr>
        </w:div>
      </w:divsChild>
    </w:div>
    <w:div w:id="1549874765">
      <w:bodyDiv w:val="1"/>
      <w:marLeft w:val="0"/>
      <w:marRight w:val="0"/>
      <w:marTop w:val="0"/>
      <w:marBottom w:val="0"/>
      <w:divBdr>
        <w:top w:val="none" w:sz="0" w:space="0" w:color="auto"/>
        <w:left w:val="none" w:sz="0" w:space="0" w:color="auto"/>
        <w:bottom w:val="none" w:sz="0" w:space="0" w:color="auto"/>
        <w:right w:val="none" w:sz="0" w:space="0" w:color="auto"/>
      </w:divBdr>
    </w:div>
    <w:div w:id="1550073288">
      <w:bodyDiv w:val="1"/>
      <w:marLeft w:val="0"/>
      <w:marRight w:val="0"/>
      <w:marTop w:val="0"/>
      <w:marBottom w:val="0"/>
      <w:divBdr>
        <w:top w:val="none" w:sz="0" w:space="0" w:color="auto"/>
        <w:left w:val="none" w:sz="0" w:space="0" w:color="auto"/>
        <w:bottom w:val="none" w:sz="0" w:space="0" w:color="auto"/>
        <w:right w:val="none" w:sz="0" w:space="0" w:color="auto"/>
      </w:divBdr>
    </w:div>
    <w:div w:id="1550146057">
      <w:bodyDiv w:val="1"/>
      <w:marLeft w:val="0"/>
      <w:marRight w:val="0"/>
      <w:marTop w:val="0"/>
      <w:marBottom w:val="0"/>
      <w:divBdr>
        <w:top w:val="none" w:sz="0" w:space="0" w:color="auto"/>
        <w:left w:val="none" w:sz="0" w:space="0" w:color="auto"/>
        <w:bottom w:val="none" w:sz="0" w:space="0" w:color="auto"/>
        <w:right w:val="none" w:sz="0" w:space="0" w:color="auto"/>
      </w:divBdr>
    </w:div>
    <w:div w:id="1550456055">
      <w:bodyDiv w:val="1"/>
      <w:marLeft w:val="0"/>
      <w:marRight w:val="0"/>
      <w:marTop w:val="0"/>
      <w:marBottom w:val="0"/>
      <w:divBdr>
        <w:top w:val="none" w:sz="0" w:space="0" w:color="auto"/>
        <w:left w:val="none" w:sz="0" w:space="0" w:color="auto"/>
        <w:bottom w:val="none" w:sz="0" w:space="0" w:color="auto"/>
        <w:right w:val="none" w:sz="0" w:space="0" w:color="auto"/>
      </w:divBdr>
    </w:div>
    <w:div w:id="1551458814">
      <w:bodyDiv w:val="1"/>
      <w:marLeft w:val="0"/>
      <w:marRight w:val="0"/>
      <w:marTop w:val="0"/>
      <w:marBottom w:val="0"/>
      <w:divBdr>
        <w:top w:val="none" w:sz="0" w:space="0" w:color="auto"/>
        <w:left w:val="none" w:sz="0" w:space="0" w:color="auto"/>
        <w:bottom w:val="none" w:sz="0" w:space="0" w:color="auto"/>
        <w:right w:val="none" w:sz="0" w:space="0" w:color="auto"/>
      </w:divBdr>
    </w:div>
    <w:div w:id="1551503631">
      <w:bodyDiv w:val="1"/>
      <w:marLeft w:val="0"/>
      <w:marRight w:val="0"/>
      <w:marTop w:val="0"/>
      <w:marBottom w:val="0"/>
      <w:divBdr>
        <w:top w:val="none" w:sz="0" w:space="0" w:color="auto"/>
        <w:left w:val="none" w:sz="0" w:space="0" w:color="auto"/>
        <w:bottom w:val="none" w:sz="0" w:space="0" w:color="auto"/>
        <w:right w:val="none" w:sz="0" w:space="0" w:color="auto"/>
      </w:divBdr>
    </w:div>
    <w:div w:id="1551571060">
      <w:bodyDiv w:val="1"/>
      <w:marLeft w:val="0"/>
      <w:marRight w:val="0"/>
      <w:marTop w:val="0"/>
      <w:marBottom w:val="0"/>
      <w:divBdr>
        <w:top w:val="none" w:sz="0" w:space="0" w:color="auto"/>
        <w:left w:val="none" w:sz="0" w:space="0" w:color="auto"/>
        <w:bottom w:val="none" w:sz="0" w:space="0" w:color="auto"/>
        <w:right w:val="none" w:sz="0" w:space="0" w:color="auto"/>
      </w:divBdr>
    </w:div>
    <w:div w:id="1551571421">
      <w:bodyDiv w:val="1"/>
      <w:marLeft w:val="0"/>
      <w:marRight w:val="0"/>
      <w:marTop w:val="0"/>
      <w:marBottom w:val="0"/>
      <w:divBdr>
        <w:top w:val="none" w:sz="0" w:space="0" w:color="auto"/>
        <w:left w:val="none" w:sz="0" w:space="0" w:color="auto"/>
        <w:bottom w:val="none" w:sz="0" w:space="0" w:color="auto"/>
        <w:right w:val="none" w:sz="0" w:space="0" w:color="auto"/>
      </w:divBdr>
    </w:div>
    <w:div w:id="1553273775">
      <w:bodyDiv w:val="1"/>
      <w:marLeft w:val="0"/>
      <w:marRight w:val="0"/>
      <w:marTop w:val="0"/>
      <w:marBottom w:val="0"/>
      <w:divBdr>
        <w:top w:val="none" w:sz="0" w:space="0" w:color="auto"/>
        <w:left w:val="none" w:sz="0" w:space="0" w:color="auto"/>
        <w:bottom w:val="none" w:sz="0" w:space="0" w:color="auto"/>
        <w:right w:val="none" w:sz="0" w:space="0" w:color="auto"/>
      </w:divBdr>
    </w:div>
    <w:div w:id="1553351055">
      <w:bodyDiv w:val="1"/>
      <w:marLeft w:val="0"/>
      <w:marRight w:val="0"/>
      <w:marTop w:val="0"/>
      <w:marBottom w:val="0"/>
      <w:divBdr>
        <w:top w:val="none" w:sz="0" w:space="0" w:color="auto"/>
        <w:left w:val="none" w:sz="0" w:space="0" w:color="auto"/>
        <w:bottom w:val="none" w:sz="0" w:space="0" w:color="auto"/>
        <w:right w:val="none" w:sz="0" w:space="0" w:color="auto"/>
      </w:divBdr>
      <w:divsChild>
        <w:div w:id="477501140">
          <w:marLeft w:val="0"/>
          <w:marRight w:val="0"/>
          <w:marTop w:val="0"/>
          <w:marBottom w:val="0"/>
          <w:divBdr>
            <w:top w:val="none" w:sz="0" w:space="0" w:color="auto"/>
            <w:left w:val="none" w:sz="0" w:space="0" w:color="auto"/>
            <w:bottom w:val="none" w:sz="0" w:space="0" w:color="auto"/>
            <w:right w:val="none" w:sz="0" w:space="0" w:color="auto"/>
          </w:divBdr>
          <w:divsChild>
            <w:div w:id="146090542">
              <w:marLeft w:val="0"/>
              <w:marRight w:val="0"/>
              <w:marTop w:val="0"/>
              <w:marBottom w:val="0"/>
              <w:divBdr>
                <w:top w:val="none" w:sz="0" w:space="0" w:color="auto"/>
                <w:left w:val="none" w:sz="0" w:space="0" w:color="auto"/>
                <w:bottom w:val="none" w:sz="0" w:space="0" w:color="auto"/>
                <w:right w:val="none" w:sz="0" w:space="0" w:color="auto"/>
              </w:divBdr>
            </w:div>
            <w:div w:id="1033577614">
              <w:marLeft w:val="0"/>
              <w:marRight w:val="0"/>
              <w:marTop w:val="0"/>
              <w:marBottom w:val="0"/>
              <w:divBdr>
                <w:top w:val="none" w:sz="0" w:space="0" w:color="auto"/>
                <w:left w:val="none" w:sz="0" w:space="0" w:color="auto"/>
                <w:bottom w:val="none" w:sz="0" w:space="0" w:color="auto"/>
                <w:right w:val="none" w:sz="0" w:space="0" w:color="auto"/>
              </w:divBdr>
            </w:div>
            <w:div w:id="1574243255">
              <w:marLeft w:val="0"/>
              <w:marRight w:val="0"/>
              <w:marTop w:val="0"/>
              <w:marBottom w:val="0"/>
              <w:divBdr>
                <w:top w:val="none" w:sz="0" w:space="0" w:color="auto"/>
                <w:left w:val="none" w:sz="0" w:space="0" w:color="auto"/>
                <w:bottom w:val="none" w:sz="0" w:space="0" w:color="auto"/>
                <w:right w:val="none" w:sz="0" w:space="0" w:color="auto"/>
              </w:divBdr>
            </w:div>
            <w:div w:id="1994554998">
              <w:marLeft w:val="0"/>
              <w:marRight w:val="0"/>
              <w:marTop w:val="0"/>
              <w:marBottom w:val="0"/>
              <w:divBdr>
                <w:top w:val="none" w:sz="0" w:space="0" w:color="auto"/>
                <w:left w:val="none" w:sz="0" w:space="0" w:color="auto"/>
                <w:bottom w:val="none" w:sz="0" w:space="0" w:color="auto"/>
                <w:right w:val="none" w:sz="0" w:space="0" w:color="auto"/>
              </w:divBdr>
            </w:div>
            <w:div w:id="20773887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3692722">
      <w:bodyDiv w:val="1"/>
      <w:marLeft w:val="0"/>
      <w:marRight w:val="0"/>
      <w:marTop w:val="0"/>
      <w:marBottom w:val="0"/>
      <w:divBdr>
        <w:top w:val="none" w:sz="0" w:space="0" w:color="auto"/>
        <w:left w:val="none" w:sz="0" w:space="0" w:color="auto"/>
        <w:bottom w:val="none" w:sz="0" w:space="0" w:color="auto"/>
        <w:right w:val="none" w:sz="0" w:space="0" w:color="auto"/>
      </w:divBdr>
      <w:divsChild>
        <w:div w:id="1540437585">
          <w:marLeft w:val="0"/>
          <w:marRight w:val="0"/>
          <w:marTop w:val="0"/>
          <w:marBottom w:val="0"/>
          <w:divBdr>
            <w:top w:val="none" w:sz="0" w:space="0" w:color="auto"/>
            <w:left w:val="none" w:sz="0" w:space="0" w:color="auto"/>
            <w:bottom w:val="none" w:sz="0" w:space="0" w:color="auto"/>
            <w:right w:val="none" w:sz="0" w:space="0" w:color="auto"/>
          </w:divBdr>
          <w:divsChild>
            <w:div w:id="160319744">
              <w:marLeft w:val="0"/>
              <w:marRight w:val="0"/>
              <w:marTop w:val="0"/>
              <w:marBottom w:val="0"/>
              <w:divBdr>
                <w:top w:val="none" w:sz="0" w:space="0" w:color="auto"/>
                <w:left w:val="none" w:sz="0" w:space="0" w:color="auto"/>
                <w:bottom w:val="none" w:sz="0" w:space="0" w:color="auto"/>
                <w:right w:val="none" w:sz="0" w:space="0" w:color="auto"/>
              </w:divBdr>
            </w:div>
            <w:div w:id="272439169">
              <w:marLeft w:val="0"/>
              <w:marRight w:val="0"/>
              <w:marTop w:val="0"/>
              <w:marBottom w:val="0"/>
              <w:divBdr>
                <w:top w:val="none" w:sz="0" w:space="0" w:color="auto"/>
                <w:left w:val="none" w:sz="0" w:space="0" w:color="auto"/>
                <w:bottom w:val="none" w:sz="0" w:space="0" w:color="auto"/>
                <w:right w:val="none" w:sz="0" w:space="0" w:color="auto"/>
              </w:divBdr>
            </w:div>
            <w:div w:id="430509219">
              <w:marLeft w:val="0"/>
              <w:marRight w:val="0"/>
              <w:marTop w:val="0"/>
              <w:marBottom w:val="0"/>
              <w:divBdr>
                <w:top w:val="none" w:sz="0" w:space="0" w:color="auto"/>
                <w:left w:val="none" w:sz="0" w:space="0" w:color="auto"/>
                <w:bottom w:val="none" w:sz="0" w:space="0" w:color="auto"/>
                <w:right w:val="none" w:sz="0" w:space="0" w:color="auto"/>
              </w:divBdr>
            </w:div>
            <w:div w:id="534537508">
              <w:marLeft w:val="0"/>
              <w:marRight w:val="0"/>
              <w:marTop w:val="0"/>
              <w:marBottom w:val="0"/>
              <w:divBdr>
                <w:top w:val="none" w:sz="0" w:space="0" w:color="auto"/>
                <w:left w:val="none" w:sz="0" w:space="0" w:color="auto"/>
                <w:bottom w:val="none" w:sz="0" w:space="0" w:color="auto"/>
                <w:right w:val="none" w:sz="0" w:space="0" w:color="auto"/>
              </w:divBdr>
            </w:div>
            <w:div w:id="1216895108">
              <w:marLeft w:val="0"/>
              <w:marRight w:val="0"/>
              <w:marTop w:val="0"/>
              <w:marBottom w:val="0"/>
              <w:divBdr>
                <w:top w:val="none" w:sz="0" w:space="0" w:color="auto"/>
                <w:left w:val="none" w:sz="0" w:space="0" w:color="auto"/>
                <w:bottom w:val="none" w:sz="0" w:space="0" w:color="auto"/>
                <w:right w:val="none" w:sz="0" w:space="0" w:color="auto"/>
              </w:divBdr>
            </w:div>
            <w:div w:id="1229145772">
              <w:marLeft w:val="0"/>
              <w:marRight w:val="0"/>
              <w:marTop w:val="0"/>
              <w:marBottom w:val="0"/>
              <w:divBdr>
                <w:top w:val="none" w:sz="0" w:space="0" w:color="auto"/>
                <w:left w:val="none" w:sz="0" w:space="0" w:color="auto"/>
                <w:bottom w:val="none" w:sz="0" w:space="0" w:color="auto"/>
                <w:right w:val="none" w:sz="0" w:space="0" w:color="auto"/>
              </w:divBdr>
            </w:div>
            <w:div w:id="1344865492">
              <w:marLeft w:val="0"/>
              <w:marRight w:val="0"/>
              <w:marTop w:val="0"/>
              <w:marBottom w:val="0"/>
              <w:divBdr>
                <w:top w:val="none" w:sz="0" w:space="0" w:color="auto"/>
                <w:left w:val="none" w:sz="0" w:space="0" w:color="auto"/>
                <w:bottom w:val="none" w:sz="0" w:space="0" w:color="auto"/>
                <w:right w:val="none" w:sz="0" w:space="0" w:color="auto"/>
              </w:divBdr>
            </w:div>
            <w:div w:id="1586692487">
              <w:marLeft w:val="0"/>
              <w:marRight w:val="0"/>
              <w:marTop w:val="0"/>
              <w:marBottom w:val="0"/>
              <w:divBdr>
                <w:top w:val="none" w:sz="0" w:space="0" w:color="auto"/>
                <w:left w:val="none" w:sz="0" w:space="0" w:color="auto"/>
                <w:bottom w:val="none" w:sz="0" w:space="0" w:color="auto"/>
                <w:right w:val="none" w:sz="0" w:space="0" w:color="auto"/>
              </w:divBdr>
            </w:div>
            <w:div w:id="18548739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4735052">
      <w:bodyDiv w:val="1"/>
      <w:marLeft w:val="0"/>
      <w:marRight w:val="0"/>
      <w:marTop w:val="0"/>
      <w:marBottom w:val="0"/>
      <w:divBdr>
        <w:top w:val="none" w:sz="0" w:space="0" w:color="auto"/>
        <w:left w:val="none" w:sz="0" w:space="0" w:color="auto"/>
        <w:bottom w:val="none" w:sz="0" w:space="0" w:color="auto"/>
        <w:right w:val="none" w:sz="0" w:space="0" w:color="auto"/>
      </w:divBdr>
    </w:div>
    <w:div w:id="1555121565">
      <w:bodyDiv w:val="1"/>
      <w:marLeft w:val="0"/>
      <w:marRight w:val="0"/>
      <w:marTop w:val="0"/>
      <w:marBottom w:val="0"/>
      <w:divBdr>
        <w:top w:val="none" w:sz="0" w:space="0" w:color="auto"/>
        <w:left w:val="none" w:sz="0" w:space="0" w:color="auto"/>
        <w:bottom w:val="none" w:sz="0" w:space="0" w:color="auto"/>
        <w:right w:val="none" w:sz="0" w:space="0" w:color="auto"/>
      </w:divBdr>
    </w:div>
    <w:div w:id="1555189728">
      <w:bodyDiv w:val="1"/>
      <w:marLeft w:val="0"/>
      <w:marRight w:val="0"/>
      <w:marTop w:val="0"/>
      <w:marBottom w:val="0"/>
      <w:divBdr>
        <w:top w:val="none" w:sz="0" w:space="0" w:color="auto"/>
        <w:left w:val="none" w:sz="0" w:space="0" w:color="auto"/>
        <w:bottom w:val="none" w:sz="0" w:space="0" w:color="auto"/>
        <w:right w:val="none" w:sz="0" w:space="0" w:color="auto"/>
      </w:divBdr>
      <w:divsChild>
        <w:div w:id="572468762">
          <w:marLeft w:val="547"/>
          <w:marRight w:val="0"/>
          <w:marTop w:val="115"/>
          <w:marBottom w:val="0"/>
          <w:divBdr>
            <w:top w:val="none" w:sz="0" w:space="0" w:color="auto"/>
            <w:left w:val="none" w:sz="0" w:space="0" w:color="auto"/>
            <w:bottom w:val="none" w:sz="0" w:space="0" w:color="auto"/>
            <w:right w:val="none" w:sz="0" w:space="0" w:color="auto"/>
          </w:divBdr>
        </w:div>
        <w:div w:id="842204636">
          <w:marLeft w:val="547"/>
          <w:marRight w:val="0"/>
          <w:marTop w:val="115"/>
          <w:marBottom w:val="0"/>
          <w:divBdr>
            <w:top w:val="none" w:sz="0" w:space="0" w:color="auto"/>
            <w:left w:val="none" w:sz="0" w:space="0" w:color="auto"/>
            <w:bottom w:val="none" w:sz="0" w:space="0" w:color="auto"/>
            <w:right w:val="none" w:sz="0" w:space="0" w:color="auto"/>
          </w:divBdr>
        </w:div>
        <w:div w:id="1017855751">
          <w:marLeft w:val="1166"/>
          <w:marRight w:val="0"/>
          <w:marTop w:val="96"/>
          <w:marBottom w:val="0"/>
          <w:divBdr>
            <w:top w:val="none" w:sz="0" w:space="0" w:color="auto"/>
            <w:left w:val="none" w:sz="0" w:space="0" w:color="auto"/>
            <w:bottom w:val="none" w:sz="0" w:space="0" w:color="auto"/>
            <w:right w:val="none" w:sz="0" w:space="0" w:color="auto"/>
          </w:divBdr>
        </w:div>
        <w:div w:id="2029286299">
          <w:marLeft w:val="547"/>
          <w:marRight w:val="0"/>
          <w:marTop w:val="115"/>
          <w:marBottom w:val="0"/>
          <w:divBdr>
            <w:top w:val="none" w:sz="0" w:space="0" w:color="auto"/>
            <w:left w:val="none" w:sz="0" w:space="0" w:color="auto"/>
            <w:bottom w:val="none" w:sz="0" w:space="0" w:color="auto"/>
            <w:right w:val="none" w:sz="0" w:space="0" w:color="auto"/>
          </w:divBdr>
        </w:div>
      </w:divsChild>
    </w:div>
    <w:div w:id="1557280082">
      <w:bodyDiv w:val="1"/>
      <w:marLeft w:val="0"/>
      <w:marRight w:val="0"/>
      <w:marTop w:val="0"/>
      <w:marBottom w:val="0"/>
      <w:divBdr>
        <w:top w:val="none" w:sz="0" w:space="0" w:color="auto"/>
        <w:left w:val="none" w:sz="0" w:space="0" w:color="auto"/>
        <w:bottom w:val="none" w:sz="0" w:space="0" w:color="auto"/>
        <w:right w:val="none" w:sz="0" w:space="0" w:color="auto"/>
      </w:divBdr>
    </w:div>
    <w:div w:id="1557352650">
      <w:bodyDiv w:val="1"/>
      <w:marLeft w:val="0"/>
      <w:marRight w:val="0"/>
      <w:marTop w:val="0"/>
      <w:marBottom w:val="0"/>
      <w:divBdr>
        <w:top w:val="none" w:sz="0" w:space="0" w:color="auto"/>
        <w:left w:val="none" w:sz="0" w:space="0" w:color="auto"/>
        <w:bottom w:val="none" w:sz="0" w:space="0" w:color="auto"/>
        <w:right w:val="none" w:sz="0" w:space="0" w:color="auto"/>
      </w:divBdr>
    </w:div>
    <w:div w:id="1557353963">
      <w:bodyDiv w:val="1"/>
      <w:marLeft w:val="0"/>
      <w:marRight w:val="0"/>
      <w:marTop w:val="0"/>
      <w:marBottom w:val="0"/>
      <w:divBdr>
        <w:top w:val="none" w:sz="0" w:space="0" w:color="auto"/>
        <w:left w:val="none" w:sz="0" w:space="0" w:color="auto"/>
        <w:bottom w:val="none" w:sz="0" w:space="0" w:color="auto"/>
        <w:right w:val="none" w:sz="0" w:space="0" w:color="auto"/>
      </w:divBdr>
    </w:div>
    <w:div w:id="1557547933">
      <w:bodyDiv w:val="1"/>
      <w:marLeft w:val="0"/>
      <w:marRight w:val="0"/>
      <w:marTop w:val="0"/>
      <w:marBottom w:val="0"/>
      <w:divBdr>
        <w:top w:val="none" w:sz="0" w:space="0" w:color="auto"/>
        <w:left w:val="none" w:sz="0" w:space="0" w:color="auto"/>
        <w:bottom w:val="none" w:sz="0" w:space="0" w:color="auto"/>
        <w:right w:val="none" w:sz="0" w:space="0" w:color="auto"/>
      </w:divBdr>
      <w:divsChild>
        <w:div w:id="506796833">
          <w:marLeft w:val="0"/>
          <w:marRight w:val="0"/>
          <w:marTop w:val="0"/>
          <w:marBottom w:val="0"/>
          <w:divBdr>
            <w:top w:val="none" w:sz="0" w:space="0" w:color="auto"/>
            <w:left w:val="none" w:sz="0" w:space="0" w:color="auto"/>
            <w:bottom w:val="none" w:sz="0" w:space="0" w:color="auto"/>
            <w:right w:val="none" w:sz="0" w:space="0" w:color="auto"/>
          </w:divBdr>
          <w:divsChild>
            <w:div w:id="1571621172">
              <w:marLeft w:val="0"/>
              <w:marRight w:val="0"/>
              <w:marTop w:val="0"/>
              <w:marBottom w:val="0"/>
              <w:divBdr>
                <w:top w:val="none" w:sz="0" w:space="0" w:color="auto"/>
                <w:left w:val="none" w:sz="0" w:space="0" w:color="auto"/>
                <w:bottom w:val="none" w:sz="0" w:space="0" w:color="auto"/>
                <w:right w:val="none" w:sz="0" w:space="0" w:color="auto"/>
              </w:divBdr>
            </w:div>
            <w:div w:id="1781802739">
              <w:marLeft w:val="0"/>
              <w:marRight w:val="0"/>
              <w:marTop w:val="0"/>
              <w:marBottom w:val="0"/>
              <w:divBdr>
                <w:top w:val="none" w:sz="0" w:space="0" w:color="auto"/>
                <w:left w:val="none" w:sz="0" w:space="0" w:color="auto"/>
                <w:bottom w:val="none" w:sz="0" w:space="0" w:color="auto"/>
                <w:right w:val="none" w:sz="0" w:space="0" w:color="auto"/>
              </w:divBdr>
            </w:div>
            <w:div w:id="20538403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7737883">
      <w:bodyDiv w:val="1"/>
      <w:marLeft w:val="0"/>
      <w:marRight w:val="0"/>
      <w:marTop w:val="0"/>
      <w:marBottom w:val="0"/>
      <w:divBdr>
        <w:top w:val="none" w:sz="0" w:space="0" w:color="auto"/>
        <w:left w:val="none" w:sz="0" w:space="0" w:color="auto"/>
        <w:bottom w:val="none" w:sz="0" w:space="0" w:color="auto"/>
        <w:right w:val="none" w:sz="0" w:space="0" w:color="auto"/>
      </w:divBdr>
    </w:div>
    <w:div w:id="1558279109">
      <w:bodyDiv w:val="1"/>
      <w:marLeft w:val="0"/>
      <w:marRight w:val="0"/>
      <w:marTop w:val="0"/>
      <w:marBottom w:val="0"/>
      <w:divBdr>
        <w:top w:val="none" w:sz="0" w:space="0" w:color="auto"/>
        <w:left w:val="none" w:sz="0" w:space="0" w:color="auto"/>
        <w:bottom w:val="none" w:sz="0" w:space="0" w:color="auto"/>
        <w:right w:val="none" w:sz="0" w:space="0" w:color="auto"/>
      </w:divBdr>
    </w:div>
    <w:div w:id="1559440519">
      <w:bodyDiv w:val="1"/>
      <w:marLeft w:val="0"/>
      <w:marRight w:val="0"/>
      <w:marTop w:val="0"/>
      <w:marBottom w:val="0"/>
      <w:divBdr>
        <w:top w:val="none" w:sz="0" w:space="0" w:color="auto"/>
        <w:left w:val="none" w:sz="0" w:space="0" w:color="auto"/>
        <w:bottom w:val="none" w:sz="0" w:space="0" w:color="auto"/>
        <w:right w:val="none" w:sz="0" w:space="0" w:color="auto"/>
      </w:divBdr>
    </w:div>
    <w:div w:id="1560050516">
      <w:bodyDiv w:val="1"/>
      <w:marLeft w:val="0"/>
      <w:marRight w:val="0"/>
      <w:marTop w:val="0"/>
      <w:marBottom w:val="0"/>
      <w:divBdr>
        <w:top w:val="none" w:sz="0" w:space="0" w:color="auto"/>
        <w:left w:val="none" w:sz="0" w:space="0" w:color="auto"/>
        <w:bottom w:val="none" w:sz="0" w:space="0" w:color="auto"/>
        <w:right w:val="none" w:sz="0" w:space="0" w:color="auto"/>
      </w:divBdr>
      <w:divsChild>
        <w:div w:id="320233863">
          <w:marLeft w:val="547"/>
          <w:marRight w:val="0"/>
          <w:marTop w:val="115"/>
          <w:marBottom w:val="0"/>
          <w:divBdr>
            <w:top w:val="none" w:sz="0" w:space="0" w:color="auto"/>
            <w:left w:val="none" w:sz="0" w:space="0" w:color="auto"/>
            <w:bottom w:val="none" w:sz="0" w:space="0" w:color="auto"/>
            <w:right w:val="none" w:sz="0" w:space="0" w:color="auto"/>
          </w:divBdr>
        </w:div>
        <w:div w:id="1855655894">
          <w:marLeft w:val="547"/>
          <w:marRight w:val="0"/>
          <w:marTop w:val="115"/>
          <w:marBottom w:val="0"/>
          <w:divBdr>
            <w:top w:val="none" w:sz="0" w:space="0" w:color="auto"/>
            <w:left w:val="none" w:sz="0" w:space="0" w:color="auto"/>
            <w:bottom w:val="none" w:sz="0" w:space="0" w:color="auto"/>
            <w:right w:val="none" w:sz="0" w:space="0" w:color="auto"/>
          </w:divBdr>
        </w:div>
        <w:div w:id="1972320072">
          <w:marLeft w:val="1166"/>
          <w:marRight w:val="0"/>
          <w:marTop w:val="96"/>
          <w:marBottom w:val="0"/>
          <w:divBdr>
            <w:top w:val="none" w:sz="0" w:space="0" w:color="auto"/>
            <w:left w:val="none" w:sz="0" w:space="0" w:color="auto"/>
            <w:bottom w:val="none" w:sz="0" w:space="0" w:color="auto"/>
            <w:right w:val="none" w:sz="0" w:space="0" w:color="auto"/>
          </w:divBdr>
        </w:div>
      </w:divsChild>
    </w:div>
    <w:div w:id="1560283769">
      <w:bodyDiv w:val="1"/>
      <w:marLeft w:val="0"/>
      <w:marRight w:val="0"/>
      <w:marTop w:val="0"/>
      <w:marBottom w:val="0"/>
      <w:divBdr>
        <w:top w:val="none" w:sz="0" w:space="0" w:color="auto"/>
        <w:left w:val="none" w:sz="0" w:space="0" w:color="auto"/>
        <w:bottom w:val="none" w:sz="0" w:space="0" w:color="auto"/>
        <w:right w:val="none" w:sz="0" w:space="0" w:color="auto"/>
      </w:divBdr>
    </w:div>
    <w:div w:id="1560362895">
      <w:bodyDiv w:val="1"/>
      <w:marLeft w:val="0"/>
      <w:marRight w:val="0"/>
      <w:marTop w:val="0"/>
      <w:marBottom w:val="0"/>
      <w:divBdr>
        <w:top w:val="none" w:sz="0" w:space="0" w:color="auto"/>
        <w:left w:val="none" w:sz="0" w:space="0" w:color="auto"/>
        <w:bottom w:val="none" w:sz="0" w:space="0" w:color="auto"/>
        <w:right w:val="none" w:sz="0" w:space="0" w:color="auto"/>
      </w:divBdr>
      <w:divsChild>
        <w:div w:id="696662803">
          <w:marLeft w:val="547"/>
          <w:marRight w:val="0"/>
          <w:marTop w:val="154"/>
          <w:marBottom w:val="0"/>
          <w:divBdr>
            <w:top w:val="none" w:sz="0" w:space="0" w:color="auto"/>
            <w:left w:val="none" w:sz="0" w:space="0" w:color="auto"/>
            <w:bottom w:val="none" w:sz="0" w:space="0" w:color="auto"/>
            <w:right w:val="none" w:sz="0" w:space="0" w:color="auto"/>
          </w:divBdr>
        </w:div>
      </w:divsChild>
    </w:div>
    <w:div w:id="1560631434">
      <w:bodyDiv w:val="1"/>
      <w:marLeft w:val="0"/>
      <w:marRight w:val="0"/>
      <w:marTop w:val="0"/>
      <w:marBottom w:val="0"/>
      <w:divBdr>
        <w:top w:val="none" w:sz="0" w:space="0" w:color="auto"/>
        <w:left w:val="none" w:sz="0" w:space="0" w:color="auto"/>
        <w:bottom w:val="none" w:sz="0" w:space="0" w:color="auto"/>
        <w:right w:val="none" w:sz="0" w:space="0" w:color="auto"/>
      </w:divBdr>
      <w:divsChild>
        <w:div w:id="3364096">
          <w:marLeft w:val="1800"/>
          <w:marRight w:val="0"/>
          <w:marTop w:val="100"/>
          <w:marBottom w:val="0"/>
          <w:divBdr>
            <w:top w:val="none" w:sz="0" w:space="0" w:color="auto"/>
            <w:left w:val="none" w:sz="0" w:space="0" w:color="auto"/>
            <w:bottom w:val="none" w:sz="0" w:space="0" w:color="auto"/>
            <w:right w:val="none" w:sz="0" w:space="0" w:color="auto"/>
          </w:divBdr>
        </w:div>
        <w:div w:id="7411708">
          <w:marLeft w:val="2520"/>
          <w:marRight w:val="0"/>
          <w:marTop w:val="100"/>
          <w:marBottom w:val="0"/>
          <w:divBdr>
            <w:top w:val="none" w:sz="0" w:space="0" w:color="auto"/>
            <w:left w:val="none" w:sz="0" w:space="0" w:color="auto"/>
            <w:bottom w:val="none" w:sz="0" w:space="0" w:color="auto"/>
            <w:right w:val="none" w:sz="0" w:space="0" w:color="auto"/>
          </w:divBdr>
        </w:div>
        <w:div w:id="335499909">
          <w:marLeft w:val="1800"/>
          <w:marRight w:val="0"/>
          <w:marTop w:val="100"/>
          <w:marBottom w:val="0"/>
          <w:divBdr>
            <w:top w:val="none" w:sz="0" w:space="0" w:color="auto"/>
            <w:left w:val="none" w:sz="0" w:space="0" w:color="auto"/>
            <w:bottom w:val="none" w:sz="0" w:space="0" w:color="auto"/>
            <w:right w:val="none" w:sz="0" w:space="0" w:color="auto"/>
          </w:divBdr>
        </w:div>
        <w:div w:id="759640249">
          <w:marLeft w:val="1080"/>
          <w:marRight w:val="0"/>
          <w:marTop w:val="100"/>
          <w:marBottom w:val="0"/>
          <w:divBdr>
            <w:top w:val="none" w:sz="0" w:space="0" w:color="auto"/>
            <w:left w:val="none" w:sz="0" w:space="0" w:color="auto"/>
            <w:bottom w:val="none" w:sz="0" w:space="0" w:color="auto"/>
            <w:right w:val="none" w:sz="0" w:space="0" w:color="auto"/>
          </w:divBdr>
        </w:div>
        <w:div w:id="837035577">
          <w:marLeft w:val="1080"/>
          <w:marRight w:val="0"/>
          <w:marTop w:val="100"/>
          <w:marBottom w:val="0"/>
          <w:divBdr>
            <w:top w:val="none" w:sz="0" w:space="0" w:color="auto"/>
            <w:left w:val="none" w:sz="0" w:space="0" w:color="auto"/>
            <w:bottom w:val="none" w:sz="0" w:space="0" w:color="auto"/>
            <w:right w:val="none" w:sz="0" w:space="0" w:color="auto"/>
          </w:divBdr>
        </w:div>
        <w:div w:id="1149712264">
          <w:marLeft w:val="1080"/>
          <w:marRight w:val="0"/>
          <w:marTop w:val="100"/>
          <w:marBottom w:val="0"/>
          <w:divBdr>
            <w:top w:val="none" w:sz="0" w:space="0" w:color="auto"/>
            <w:left w:val="none" w:sz="0" w:space="0" w:color="auto"/>
            <w:bottom w:val="none" w:sz="0" w:space="0" w:color="auto"/>
            <w:right w:val="none" w:sz="0" w:space="0" w:color="auto"/>
          </w:divBdr>
        </w:div>
        <w:div w:id="1295910676">
          <w:marLeft w:val="1800"/>
          <w:marRight w:val="0"/>
          <w:marTop w:val="100"/>
          <w:marBottom w:val="0"/>
          <w:divBdr>
            <w:top w:val="none" w:sz="0" w:space="0" w:color="auto"/>
            <w:left w:val="none" w:sz="0" w:space="0" w:color="auto"/>
            <w:bottom w:val="none" w:sz="0" w:space="0" w:color="auto"/>
            <w:right w:val="none" w:sz="0" w:space="0" w:color="auto"/>
          </w:divBdr>
        </w:div>
        <w:div w:id="1725634958">
          <w:marLeft w:val="1800"/>
          <w:marRight w:val="0"/>
          <w:marTop w:val="100"/>
          <w:marBottom w:val="0"/>
          <w:divBdr>
            <w:top w:val="none" w:sz="0" w:space="0" w:color="auto"/>
            <w:left w:val="none" w:sz="0" w:space="0" w:color="auto"/>
            <w:bottom w:val="none" w:sz="0" w:space="0" w:color="auto"/>
            <w:right w:val="none" w:sz="0" w:space="0" w:color="auto"/>
          </w:divBdr>
        </w:div>
        <w:div w:id="1747339024">
          <w:marLeft w:val="1800"/>
          <w:marRight w:val="0"/>
          <w:marTop w:val="100"/>
          <w:marBottom w:val="0"/>
          <w:divBdr>
            <w:top w:val="none" w:sz="0" w:space="0" w:color="auto"/>
            <w:left w:val="none" w:sz="0" w:space="0" w:color="auto"/>
            <w:bottom w:val="none" w:sz="0" w:space="0" w:color="auto"/>
            <w:right w:val="none" w:sz="0" w:space="0" w:color="auto"/>
          </w:divBdr>
        </w:div>
        <w:div w:id="2112361005">
          <w:marLeft w:val="360"/>
          <w:marRight w:val="0"/>
          <w:marTop w:val="200"/>
          <w:marBottom w:val="0"/>
          <w:divBdr>
            <w:top w:val="none" w:sz="0" w:space="0" w:color="auto"/>
            <w:left w:val="none" w:sz="0" w:space="0" w:color="auto"/>
            <w:bottom w:val="none" w:sz="0" w:space="0" w:color="auto"/>
            <w:right w:val="none" w:sz="0" w:space="0" w:color="auto"/>
          </w:divBdr>
        </w:div>
      </w:divsChild>
    </w:div>
    <w:div w:id="1560901618">
      <w:bodyDiv w:val="1"/>
      <w:marLeft w:val="0"/>
      <w:marRight w:val="0"/>
      <w:marTop w:val="0"/>
      <w:marBottom w:val="0"/>
      <w:divBdr>
        <w:top w:val="none" w:sz="0" w:space="0" w:color="auto"/>
        <w:left w:val="none" w:sz="0" w:space="0" w:color="auto"/>
        <w:bottom w:val="none" w:sz="0" w:space="0" w:color="auto"/>
        <w:right w:val="none" w:sz="0" w:space="0" w:color="auto"/>
      </w:divBdr>
    </w:div>
    <w:div w:id="1561282163">
      <w:bodyDiv w:val="1"/>
      <w:marLeft w:val="0"/>
      <w:marRight w:val="0"/>
      <w:marTop w:val="0"/>
      <w:marBottom w:val="0"/>
      <w:divBdr>
        <w:top w:val="none" w:sz="0" w:space="0" w:color="auto"/>
        <w:left w:val="none" w:sz="0" w:space="0" w:color="auto"/>
        <w:bottom w:val="none" w:sz="0" w:space="0" w:color="auto"/>
        <w:right w:val="none" w:sz="0" w:space="0" w:color="auto"/>
      </w:divBdr>
      <w:divsChild>
        <w:div w:id="99881831">
          <w:marLeft w:val="547"/>
          <w:marRight w:val="0"/>
          <w:marTop w:val="154"/>
          <w:marBottom w:val="0"/>
          <w:divBdr>
            <w:top w:val="none" w:sz="0" w:space="0" w:color="auto"/>
            <w:left w:val="none" w:sz="0" w:space="0" w:color="auto"/>
            <w:bottom w:val="none" w:sz="0" w:space="0" w:color="auto"/>
            <w:right w:val="none" w:sz="0" w:space="0" w:color="auto"/>
          </w:divBdr>
        </w:div>
        <w:div w:id="1279797527">
          <w:marLeft w:val="547"/>
          <w:marRight w:val="0"/>
          <w:marTop w:val="154"/>
          <w:marBottom w:val="0"/>
          <w:divBdr>
            <w:top w:val="none" w:sz="0" w:space="0" w:color="auto"/>
            <w:left w:val="none" w:sz="0" w:space="0" w:color="auto"/>
            <w:bottom w:val="none" w:sz="0" w:space="0" w:color="auto"/>
            <w:right w:val="none" w:sz="0" w:space="0" w:color="auto"/>
          </w:divBdr>
        </w:div>
      </w:divsChild>
    </w:div>
    <w:div w:id="1561399108">
      <w:bodyDiv w:val="1"/>
      <w:marLeft w:val="0"/>
      <w:marRight w:val="0"/>
      <w:marTop w:val="0"/>
      <w:marBottom w:val="0"/>
      <w:divBdr>
        <w:top w:val="none" w:sz="0" w:space="0" w:color="auto"/>
        <w:left w:val="none" w:sz="0" w:space="0" w:color="auto"/>
        <w:bottom w:val="none" w:sz="0" w:space="0" w:color="auto"/>
        <w:right w:val="none" w:sz="0" w:space="0" w:color="auto"/>
      </w:divBdr>
    </w:div>
    <w:div w:id="1561403103">
      <w:bodyDiv w:val="1"/>
      <w:marLeft w:val="0"/>
      <w:marRight w:val="0"/>
      <w:marTop w:val="0"/>
      <w:marBottom w:val="0"/>
      <w:divBdr>
        <w:top w:val="none" w:sz="0" w:space="0" w:color="auto"/>
        <w:left w:val="none" w:sz="0" w:space="0" w:color="auto"/>
        <w:bottom w:val="none" w:sz="0" w:space="0" w:color="auto"/>
        <w:right w:val="none" w:sz="0" w:space="0" w:color="auto"/>
      </w:divBdr>
    </w:div>
    <w:div w:id="1561591943">
      <w:bodyDiv w:val="1"/>
      <w:marLeft w:val="0"/>
      <w:marRight w:val="0"/>
      <w:marTop w:val="0"/>
      <w:marBottom w:val="0"/>
      <w:divBdr>
        <w:top w:val="none" w:sz="0" w:space="0" w:color="auto"/>
        <w:left w:val="none" w:sz="0" w:space="0" w:color="auto"/>
        <w:bottom w:val="none" w:sz="0" w:space="0" w:color="auto"/>
        <w:right w:val="none" w:sz="0" w:space="0" w:color="auto"/>
      </w:divBdr>
      <w:divsChild>
        <w:div w:id="313536694">
          <w:marLeft w:val="0"/>
          <w:marRight w:val="0"/>
          <w:marTop w:val="0"/>
          <w:marBottom w:val="0"/>
          <w:divBdr>
            <w:top w:val="none" w:sz="0" w:space="0" w:color="auto"/>
            <w:left w:val="none" w:sz="0" w:space="0" w:color="auto"/>
            <w:bottom w:val="none" w:sz="0" w:space="0" w:color="auto"/>
            <w:right w:val="none" w:sz="0" w:space="0" w:color="auto"/>
          </w:divBdr>
        </w:div>
      </w:divsChild>
    </w:div>
    <w:div w:id="1563590655">
      <w:bodyDiv w:val="1"/>
      <w:marLeft w:val="0"/>
      <w:marRight w:val="0"/>
      <w:marTop w:val="0"/>
      <w:marBottom w:val="0"/>
      <w:divBdr>
        <w:top w:val="none" w:sz="0" w:space="0" w:color="auto"/>
        <w:left w:val="none" w:sz="0" w:space="0" w:color="auto"/>
        <w:bottom w:val="none" w:sz="0" w:space="0" w:color="auto"/>
        <w:right w:val="none" w:sz="0" w:space="0" w:color="auto"/>
      </w:divBdr>
    </w:div>
    <w:div w:id="1565214698">
      <w:bodyDiv w:val="1"/>
      <w:marLeft w:val="0"/>
      <w:marRight w:val="0"/>
      <w:marTop w:val="0"/>
      <w:marBottom w:val="0"/>
      <w:divBdr>
        <w:top w:val="none" w:sz="0" w:space="0" w:color="auto"/>
        <w:left w:val="none" w:sz="0" w:space="0" w:color="auto"/>
        <w:bottom w:val="none" w:sz="0" w:space="0" w:color="auto"/>
        <w:right w:val="none" w:sz="0" w:space="0" w:color="auto"/>
      </w:divBdr>
      <w:divsChild>
        <w:div w:id="1104808659">
          <w:marLeft w:val="1440"/>
          <w:marRight w:val="0"/>
          <w:marTop w:val="0"/>
          <w:marBottom w:val="0"/>
          <w:divBdr>
            <w:top w:val="none" w:sz="0" w:space="0" w:color="auto"/>
            <w:left w:val="none" w:sz="0" w:space="0" w:color="auto"/>
            <w:bottom w:val="none" w:sz="0" w:space="0" w:color="auto"/>
            <w:right w:val="none" w:sz="0" w:space="0" w:color="auto"/>
          </w:divBdr>
        </w:div>
        <w:div w:id="2122718903">
          <w:marLeft w:val="576"/>
          <w:marRight w:val="0"/>
          <w:marTop w:val="0"/>
          <w:marBottom w:val="0"/>
          <w:divBdr>
            <w:top w:val="none" w:sz="0" w:space="0" w:color="auto"/>
            <w:left w:val="none" w:sz="0" w:space="0" w:color="auto"/>
            <w:bottom w:val="none" w:sz="0" w:space="0" w:color="auto"/>
            <w:right w:val="none" w:sz="0" w:space="0" w:color="auto"/>
          </w:divBdr>
        </w:div>
      </w:divsChild>
    </w:div>
    <w:div w:id="1565867471">
      <w:bodyDiv w:val="1"/>
      <w:marLeft w:val="0"/>
      <w:marRight w:val="0"/>
      <w:marTop w:val="0"/>
      <w:marBottom w:val="0"/>
      <w:divBdr>
        <w:top w:val="none" w:sz="0" w:space="0" w:color="auto"/>
        <w:left w:val="none" w:sz="0" w:space="0" w:color="auto"/>
        <w:bottom w:val="none" w:sz="0" w:space="0" w:color="auto"/>
        <w:right w:val="none" w:sz="0" w:space="0" w:color="auto"/>
      </w:divBdr>
    </w:div>
    <w:div w:id="1566532007">
      <w:bodyDiv w:val="1"/>
      <w:marLeft w:val="0"/>
      <w:marRight w:val="0"/>
      <w:marTop w:val="0"/>
      <w:marBottom w:val="0"/>
      <w:divBdr>
        <w:top w:val="none" w:sz="0" w:space="0" w:color="auto"/>
        <w:left w:val="none" w:sz="0" w:space="0" w:color="auto"/>
        <w:bottom w:val="none" w:sz="0" w:space="0" w:color="auto"/>
        <w:right w:val="none" w:sz="0" w:space="0" w:color="auto"/>
      </w:divBdr>
      <w:divsChild>
        <w:div w:id="24720963">
          <w:marLeft w:val="1800"/>
          <w:marRight w:val="0"/>
          <w:marTop w:val="72"/>
          <w:marBottom w:val="0"/>
          <w:divBdr>
            <w:top w:val="none" w:sz="0" w:space="0" w:color="auto"/>
            <w:left w:val="none" w:sz="0" w:space="0" w:color="auto"/>
            <w:bottom w:val="none" w:sz="0" w:space="0" w:color="auto"/>
            <w:right w:val="none" w:sz="0" w:space="0" w:color="auto"/>
          </w:divBdr>
        </w:div>
        <w:div w:id="95835324">
          <w:marLeft w:val="547"/>
          <w:marRight w:val="0"/>
          <w:marTop w:val="96"/>
          <w:marBottom w:val="0"/>
          <w:divBdr>
            <w:top w:val="none" w:sz="0" w:space="0" w:color="auto"/>
            <w:left w:val="none" w:sz="0" w:space="0" w:color="auto"/>
            <w:bottom w:val="none" w:sz="0" w:space="0" w:color="auto"/>
            <w:right w:val="none" w:sz="0" w:space="0" w:color="auto"/>
          </w:divBdr>
        </w:div>
        <w:div w:id="186524014">
          <w:marLeft w:val="1166"/>
          <w:marRight w:val="0"/>
          <w:marTop w:val="82"/>
          <w:marBottom w:val="0"/>
          <w:divBdr>
            <w:top w:val="none" w:sz="0" w:space="0" w:color="auto"/>
            <w:left w:val="none" w:sz="0" w:space="0" w:color="auto"/>
            <w:bottom w:val="none" w:sz="0" w:space="0" w:color="auto"/>
            <w:right w:val="none" w:sz="0" w:space="0" w:color="auto"/>
          </w:divBdr>
        </w:div>
        <w:div w:id="436147203">
          <w:marLeft w:val="1800"/>
          <w:marRight w:val="0"/>
          <w:marTop w:val="72"/>
          <w:marBottom w:val="0"/>
          <w:divBdr>
            <w:top w:val="none" w:sz="0" w:space="0" w:color="auto"/>
            <w:left w:val="none" w:sz="0" w:space="0" w:color="auto"/>
            <w:bottom w:val="none" w:sz="0" w:space="0" w:color="auto"/>
            <w:right w:val="none" w:sz="0" w:space="0" w:color="auto"/>
          </w:divBdr>
        </w:div>
        <w:div w:id="787042754">
          <w:marLeft w:val="1800"/>
          <w:marRight w:val="0"/>
          <w:marTop w:val="72"/>
          <w:marBottom w:val="0"/>
          <w:divBdr>
            <w:top w:val="none" w:sz="0" w:space="0" w:color="auto"/>
            <w:left w:val="none" w:sz="0" w:space="0" w:color="auto"/>
            <w:bottom w:val="none" w:sz="0" w:space="0" w:color="auto"/>
            <w:right w:val="none" w:sz="0" w:space="0" w:color="auto"/>
          </w:divBdr>
        </w:div>
        <w:div w:id="852915589">
          <w:marLeft w:val="2520"/>
          <w:marRight w:val="0"/>
          <w:marTop w:val="58"/>
          <w:marBottom w:val="0"/>
          <w:divBdr>
            <w:top w:val="none" w:sz="0" w:space="0" w:color="auto"/>
            <w:left w:val="none" w:sz="0" w:space="0" w:color="auto"/>
            <w:bottom w:val="none" w:sz="0" w:space="0" w:color="auto"/>
            <w:right w:val="none" w:sz="0" w:space="0" w:color="auto"/>
          </w:divBdr>
        </w:div>
        <w:div w:id="1165121241">
          <w:marLeft w:val="1166"/>
          <w:marRight w:val="0"/>
          <w:marTop w:val="72"/>
          <w:marBottom w:val="0"/>
          <w:divBdr>
            <w:top w:val="none" w:sz="0" w:space="0" w:color="auto"/>
            <w:left w:val="none" w:sz="0" w:space="0" w:color="auto"/>
            <w:bottom w:val="none" w:sz="0" w:space="0" w:color="auto"/>
            <w:right w:val="none" w:sz="0" w:space="0" w:color="auto"/>
          </w:divBdr>
        </w:div>
        <w:div w:id="1473714447">
          <w:marLeft w:val="634"/>
          <w:marRight w:val="0"/>
          <w:marTop w:val="72"/>
          <w:marBottom w:val="0"/>
          <w:divBdr>
            <w:top w:val="none" w:sz="0" w:space="0" w:color="auto"/>
            <w:left w:val="none" w:sz="0" w:space="0" w:color="auto"/>
            <w:bottom w:val="none" w:sz="0" w:space="0" w:color="auto"/>
            <w:right w:val="none" w:sz="0" w:space="0" w:color="auto"/>
          </w:divBdr>
        </w:div>
        <w:div w:id="1561742530">
          <w:marLeft w:val="1166"/>
          <w:marRight w:val="0"/>
          <w:marTop w:val="82"/>
          <w:marBottom w:val="0"/>
          <w:divBdr>
            <w:top w:val="none" w:sz="0" w:space="0" w:color="auto"/>
            <w:left w:val="none" w:sz="0" w:space="0" w:color="auto"/>
            <w:bottom w:val="none" w:sz="0" w:space="0" w:color="auto"/>
            <w:right w:val="none" w:sz="0" w:space="0" w:color="auto"/>
          </w:divBdr>
        </w:div>
        <w:div w:id="1628664734">
          <w:marLeft w:val="1800"/>
          <w:marRight w:val="0"/>
          <w:marTop w:val="77"/>
          <w:marBottom w:val="0"/>
          <w:divBdr>
            <w:top w:val="none" w:sz="0" w:space="0" w:color="auto"/>
            <w:left w:val="none" w:sz="0" w:space="0" w:color="auto"/>
            <w:bottom w:val="none" w:sz="0" w:space="0" w:color="auto"/>
            <w:right w:val="none" w:sz="0" w:space="0" w:color="auto"/>
          </w:divBdr>
        </w:div>
        <w:div w:id="1713308812">
          <w:marLeft w:val="1800"/>
          <w:marRight w:val="0"/>
          <w:marTop w:val="72"/>
          <w:marBottom w:val="0"/>
          <w:divBdr>
            <w:top w:val="none" w:sz="0" w:space="0" w:color="auto"/>
            <w:left w:val="none" w:sz="0" w:space="0" w:color="auto"/>
            <w:bottom w:val="none" w:sz="0" w:space="0" w:color="auto"/>
            <w:right w:val="none" w:sz="0" w:space="0" w:color="auto"/>
          </w:divBdr>
        </w:div>
        <w:div w:id="2128157338">
          <w:marLeft w:val="2520"/>
          <w:marRight w:val="0"/>
          <w:marTop w:val="58"/>
          <w:marBottom w:val="0"/>
          <w:divBdr>
            <w:top w:val="none" w:sz="0" w:space="0" w:color="auto"/>
            <w:left w:val="none" w:sz="0" w:space="0" w:color="auto"/>
            <w:bottom w:val="none" w:sz="0" w:space="0" w:color="auto"/>
            <w:right w:val="none" w:sz="0" w:space="0" w:color="auto"/>
          </w:divBdr>
        </w:div>
        <w:div w:id="2137600964">
          <w:marLeft w:val="2520"/>
          <w:marRight w:val="0"/>
          <w:marTop w:val="58"/>
          <w:marBottom w:val="0"/>
          <w:divBdr>
            <w:top w:val="none" w:sz="0" w:space="0" w:color="auto"/>
            <w:left w:val="none" w:sz="0" w:space="0" w:color="auto"/>
            <w:bottom w:val="none" w:sz="0" w:space="0" w:color="auto"/>
            <w:right w:val="none" w:sz="0" w:space="0" w:color="auto"/>
          </w:divBdr>
        </w:div>
      </w:divsChild>
    </w:div>
    <w:div w:id="1566917347">
      <w:bodyDiv w:val="1"/>
      <w:marLeft w:val="0"/>
      <w:marRight w:val="0"/>
      <w:marTop w:val="0"/>
      <w:marBottom w:val="0"/>
      <w:divBdr>
        <w:top w:val="none" w:sz="0" w:space="0" w:color="auto"/>
        <w:left w:val="none" w:sz="0" w:space="0" w:color="auto"/>
        <w:bottom w:val="none" w:sz="0" w:space="0" w:color="auto"/>
        <w:right w:val="none" w:sz="0" w:space="0" w:color="auto"/>
      </w:divBdr>
    </w:div>
    <w:div w:id="1567373598">
      <w:bodyDiv w:val="1"/>
      <w:marLeft w:val="0"/>
      <w:marRight w:val="0"/>
      <w:marTop w:val="0"/>
      <w:marBottom w:val="0"/>
      <w:divBdr>
        <w:top w:val="none" w:sz="0" w:space="0" w:color="auto"/>
        <w:left w:val="none" w:sz="0" w:space="0" w:color="auto"/>
        <w:bottom w:val="none" w:sz="0" w:space="0" w:color="auto"/>
        <w:right w:val="none" w:sz="0" w:space="0" w:color="auto"/>
      </w:divBdr>
      <w:divsChild>
        <w:div w:id="5061440">
          <w:marLeft w:val="547"/>
          <w:marRight w:val="0"/>
          <w:marTop w:val="96"/>
          <w:marBottom w:val="0"/>
          <w:divBdr>
            <w:top w:val="none" w:sz="0" w:space="0" w:color="auto"/>
            <w:left w:val="none" w:sz="0" w:space="0" w:color="auto"/>
            <w:bottom w:val="none" w:sz="0" w:space="0" w:color="auto"/>
            <w:right w:val="none" w:sz="0" w:space="0" w:color="auto"/>
          </w:divBdr>
        </w:div>
        <w:div w:id="107094044">
          <w:marLeft w:val="1166"/>
          <w:marRight w:val="0"/>
          <w:marTop w:val="82"/>
          <w:marBottom w:val="0"/>
          <w:divBdr>
            <w:top w:val="none" w:sz="0" w:space="0" w:color="auto"/>
            <w:left w:val="none" w:sz="0" w:space="0" w:color="auto"/>
            <w:bottom w:val="none" w:sz="0" w:space="0" w:color="auto"/>
            <w:right w:val="none" w:sz="0" w:space="0" w:color="auto"/>
          </w:divBdr>
        </w:div>
        <w:div w:id="256796452">
          <w:marLeft w:val="1800"/>
          <w:marRight w:val="0"/>
          <w:marTop w:val="72"/>
          <w:marBottom w:val="0"/>
          <w:divBdr>
            <w:top w:val="none" w:sz="0" w:space="0" w:color="auto"/>
            <w:left w:val="none" w:sz="0" w:space="0" w:color="auto"/>
            <w:bottom w:val="none" w:sz="0" w:space="0" w:color="auto"/>
            <w:right w:val="none" w:sz="0" w:space="0" w:color="auto"/>
          </w:divBdr>
        </w:div>
        <w:div w:id="948512224">
          <w:marLeft w:val="1166"/>
          <w:marRight w:val="0"/>
          <w:marTop w:val="91"/>
          <w:marBottom w:val="0"/>
          <w:divBdr>
            <w:top w:val="none" w:sz="0" w:space="0" w:color="auto"/>
            <w:left w:val="none" w:sz="0" w:space="0" w:color="auto"/>
            <w:bottom w:val="none" w:sz="0" w:space="0" w:color="auto"/>
            <w:right w:val="none" w:sz="0" w:space="0" w:color="auto"/>
          </w:divBdr>
        </w:div>
        <w:div w:id="1006177622">
          <w:marLeft w:val="547"/>
          <w:marRight w:val="0"/>
          <w:marTop w:val="96"/>
          <w:marBottom w:val="0"/>
          <w:divBdr>
            <w:top w:val="none" w:sz="0" w:space="0" w:color="auto"/>
            <w:left w:val="none" w:sz="0" w:space="0" w:color="auto"/>
            <w:bottom w:val="none" w:sz="0" w:space="0" w:color="auto"/>
            <w:right w:val="none" w:sz="0" w:space="0" w:color="auto"/>
          </w:divBdr>
        </w:div>
        <w:div w:id="1070346316">
          <w:marLeft w:val="1800"/>
          <w:marRight w:val="0"/>
          <w:marTop w:val="72"/>
          <w:marBottom w:val="0"/>
          <w:divBdr>
            <w:top w:val="none" w:sz="0" w:space="0" w:color="auto"/>
            <w:left w:val="none" w:sz="0" w:space="0" w:color="auto"/>
            <w:bottom w:val="none" w:sz="0" w:space="0" w:color="auto"/>
            <w:right w:val="none" w:sz="0" w:space="0" w:color="auto"/>
          </w:divBdr>
        </w:div>
        <w:div w:id="1155490840">
          <w:marLeft w:val="1800"/>
          <w:marRight w:val="0"/>
          <w:marTop w:val="72"/>
          <w:marBottom w:val="0"/>
          <w:divBdr>
            <w:top w:val="none" w:sz="0" w:space="0" w:color="auto"/>
            <w:left w:val="none" w:sz="0" w:space="0" w:color="auto"/>
            <w:bottom w:val="none" w:sz="0" w:space="0" w:color="auto"/>
            <w:right w:val="none" w:sz="0" w:space="0" w:color="auto"/>
          </w:divBdr>
        </w:div>
        <w:div w:id="1160148145">
          <w:marLeft w:val="1166"/>
          <w:marRight w:val="0"/>
          <w:marTop w:val="91"/>
          <w:marBottom w:val="0"/>
          <w:divBdr>
            <w:top w:val="none" w:sz="0" w:space="0" w:color="auto"/>
            <w:left w:val="none" w:sz="0" w:space="0" w:color="auto"/>
            <w:bottom w:val="none" w:sz="0" w:space="0" w:color="auto"/>
            <w:right w:val="none" w:sz="0" w:space="0" w:color="auto"/>
          </w:divBdr>
        </w:div>
        <w:div w:id="1266115778">
          <w:marLeft w:val="1800"/>
          <w:marRight w:val="0"/>
          <w:marTop w:val="72"/>
          <w:marBottom w:val="0"/>
          <w:divBdr>
            <w:top w:val="none" w:sz="0" w:space="0" w:color="auto"/>
            <w:left w:val="none" w:sz="0" w:space="0" w:color="auto"/>
            <w:bottom w:val="none" w:sz="0" w:space="0" w:color="auto"/>
            <w:right w:val="none" w:sz="0" w:space="0" w:color="auto"/>
          </w:divBdr>
        </w:div>
        <w:div w:id="1541360191">
          <w:marLeft w:val="1166"/>
          <w:marRight w:val="0"/>
          <w:marTop w:val="82"/>
          <w:marBottom w:val="0"/>
          <w:divBdr>
            <w:top w:val="none" w:sz="0" w:space="0" w:color="auto"/>
            <w:left w:val="none" w:sz="0" w:space="0" w:color="auto"/>
            <w:bottom w:val="none" w:sz="0" w:space="0" w:color="auto"/>
            <w:right w:val="none" w:sz="0" w:space="0" w:color="auto"/>
          </w:divBdr>
        </w:div>
        <w:div w:id="1862862111">
          <w:marLeft w:val="1166"/>
          <w:marRight w:val="0"/>
          <w:marTop w:val="82"/>
          <w:marBottom w:val="0"/>
          <w:divBdr>
            <w:top w:val="none" w:sz="0" w:space="0" w:color="auto"/>
            <w:left w:val="none" w:sz="0" w:space="0" w:color="auto"/>
            <w:bottom w:val="none" w:sz="0" w:space="0" w:color="auto"/>
            <w:right w:val="none" w:sz="0" w:space="0" w:color="auto"/>
          </w:divBdr>
        </w:div>
        <w:div w:id="1874883950">
          <w:marLeft w:val="1166"/>
          <w:marRight w:val="0"/>
          <w:marTop w:val="82"/>
          <w:marBottom w:val="0"/>
          <w:divBdr>
            <w:top w:val="none" w:sz="0" w:space="0" w:color="auto"/>
            <w:left w:val="none" w:sz="0" w:space="0" w:color="auto"/>
            <w:bottom w:val="none" w:sz="0" w:space="0" w:color="auto"/>
            <w:right w:val="none" w:sz="0" w:space="0" w:color="auto"/>
          </w:divBdr>
        </w:div>
        <w:div w:id="1886603712">
          <w:marLeft w:val="1166"/>
          <w:marRight w:val="0"/>
          <w:marTop w:val="82"/>
          <w:marBottom w:val="0"/>
          <w:divBdr>
            <w:top w:val="none" w:sz="0" w:space="0" w:color="auto"/>
            <w:left w:val="none" w:sz="0" w:space="0" w:color="auto"/>
            <w:bottom w:val="none" w:sz="0" w:space="0" w:color="auto"/>
            <w:right w:val="none" w:sz="0" w:space="0" w:color="auto"/>
          </w:divBdr>
        </w:div>
      </w:divsChild>
    </w:div>
    <w:div w:id="1567567657">
      <w:bodyDiv w:val="1"/>
      <w:marLeft w:val="0"/>
      <w:marRight w:val="0"/>
      <w:marTop w:val="0"/>
      <w:marBottom w:val="0"/>
      <w:divBdr>
        <w:top w:val="none" w:sz="0" w:space="0" w:color="auto"/>
        <w:left w:val="none" w:sz="0" w:space="0" w:color="auto"/>
        <w:bottom w:val="none" w:sz="0" w:space="0" w:color="auto"/>
        <w:right w:val="none" w:sz="0" w:space="0" w:color="auto"/>
      </w:divBdr>
    </w:div>
    <w:div w:id="1567835176">
      <w:bodyDiv w:val="1"/>
      <w:marLeft w:val="0"/>
      <w:marRight w:val="0"/>
      <w:marTop w:val="0"/>
      <w:marBottom w:val="0"/>
      <w:divBdr>
        <w:top w:val="none" w:sz="0" w:space="0" w:color="auto"/>
        <w:left w:val="none" w:sz="0" w:space="0" w:color="auto"/>
        <w:bottom w:val="none" w:sz="0" w:space="0" w:color="auto"/>
        <w:right w:val="none" w:sz="0" w:space="0" w:color="auto"/>
      </w:divBdr>
    </w:div>
    <w:div w:id="1568108905">
      <w:bodyDiv w:val="1"/>
      <w:marLeft w:val="0"/>
      <w:marRight w:val="0"/>
      <w:marTop w:val="0"/>
      <w:marBottom w:val="0"/>
      <w:divBdr>
        <w:top w:val="none" w:sz="0" w:space="0" w:color="auto"/>
        <w:left w:val="none" w:sz="0" w:space="0" w:color="auto"/>
        <w:bottom w:val="none" w:sz="0" w:space="0" w:color="auto"/>
        <w:right w:val="none" w:sz="0" w:space="0" w:color="auto"/>
      </w:divBdr>
    </w:div>
    <w:div w:id="1569150224">
      <w:bodyDiv w:val="1"/>
      <w:marLeft w:val="0"/>
      <w:marRight w:val="0"/>
      <w:marTop w:val="0"/>
      <w:marBottom w:val="0"/>
      <w:divBdr>
        <w:top w:val="none" w:sz="0" w:space="0" w:color="auto"/>
        <w:left w:val="none" w:sz="0" w:space="0" w:color="auto"/>
        <w:bottom w:val="none" w:sz="0" w:space="0" w:color="auto"/>
        <w:right w:val="none" w:sz="0" w:space="0" w:color="auto"/>
      </w:divBdr>
    </w:div>
    <w:div w:id="1569656703">
      <w:bodyDiv w:val="1"/>
      <w:marLeft w:val="0"/>
      <w:marRight w:val="0"/>
      <w:marTop w:val="0"/>
      <w:marBottom w:val="0"/>
      <w:divBdr>
        <w:top w:val="none" w:sz="0" w:space="0" w:color="auto"/>
        <w:left w:val="none" w:sz="0" w:space="0" w:color="auto"/>
        <w:bottom w:val="none" w:sz="0" w:space="0" w:color="auto"/>
        <w:right w:val="none" w:sz="0" w:space="0" w:color="auto"/>
      </w:divBdr>
      <w:divsChild>
        <w:div w:id="126700530">
          <w:marLeft w:val="2160"/>
          <w:marRight w:val="0"/>
          <w:marTop w:val="100"/>
          <w:marBottom w:val="0"/>
          <w:divBdr>
            <w:top w:val="none" w:sz="0" w:space="0" w:color="auto"/>
            <w:left w:val="none" w:sz="0" w:space="0" w:color="auto"/>
            <w:bottom w:val="none" w:sz="0" w:space="0" w:color="auto"/>
            <w:right w:val="none" w:sz="0" w:space="0" w:color="auto"/>
          </w:divBdr>
        </w:div>
        <w:div w:id="282804746">
          <w:marLeft w:val="360"/>
          <w:marRight w:val="0"/>
          <w:marTop w:val="100"/>
          <w:marBottom w:val="0"/>
          <w:divBdr>
            <w:top w:val="none" w:sz="0" w:space="0" w:color="auto"/>
            <w:left w:val="none" w:sz="0" w:space="0" w:color="auto"/>
            <w:bottom w:val="none" w:sz="0" w:space="0" w:color="auto"/>
            <w:right w:val="none" w:sz="0" w:space="0" w:color="auto"/>
          </w:divBdr>
        </w:div>
        <w:div w:id="367412878">
          <w:marLeft w:val="2160"/>
          <w:marRight w:val="0"/>
          <w:marTop w:val="100"/>
          <w:marBottom w:val="0"/>
          <w:divBdr>
            <w:top w:val="none" w:sz="0" w:space="0" w:color="auto"/>
            <w:left w:val="none" w:sz="0" w:space="0" w:color="auto"/>
            <w:bottom w:val="none" w:sz="0" w:space="0" w:color="auto"/>
            <w:right w:val="none" w:sz="0" w:space="0" w:color="auto"/>
          </w:divBdr>
        </w:div>
        <w:div w:id="1075855193">
          <w:marLeft w:val="360"/>
          <w:marRight w:val="0"/>
          <w:marTop w:val="200"/>
          <w:marBottom w:val="0"/>
          <w:divBdr>
            <w:top w:val="none" w:sz="0" w:space="0" w:color="auto"/>
            <w:left w:val="none" w:sz="0" w:space="0" w:color="auto"/>
            <w:bottom w:val="none" w:sz="0" w:space="0" w:color="auto"/>
            <w:right w:val="none" w:sz="0" w:space="0" w:color="auto"/>
          </w:divBdr>
        </w:div>
      </w:divsChild>
    </w:div>
    <w:div w:id="1569925403">
      <w:bodyDiv w:val="1"/>
      <w:marLeft w:val="0"/>
      <w:marRight w:val="0"/>
      <w:marTop w:val="0"/>
      <w:marBottom w:val="0"/>
      <w:divBdr>
        <w:top w:val="none" w:sz="0" w:space="0" w:color="auto"/>
        <w:left w:val="none" w:sz="0" w:space="0" w:color="auto"/>
        <w:bottom w:val="none" w:sz="0" w:space="0" w:color="auto"/>
        <w:right w:val="none" w:sz="0" w:space="0" w:color="auto"/>
      </w:divBdr>
    </w:div>
    <w:div w:id="1570071682">
      <w:bodyDiv w:val="1"/>
      <w:marLeft w:val="0"/>
      <w:marRight w:val="0"/>
      <w:marTop w:val="0"/>
      <w:marBottom w:val="0"/>
      <w:divBdr>
        <w:top w:val="none" w:sz="0" w:space="0" w:color="auto"/>
        <w:left w:val="none" w:sz="0" w:space="0" w:color="auto"/>
        <w:bottom w:val="none" w:sz="0" w:space="0" w:color="auto"/>
        <w:right w:val="none" w:sz="0" w:space="0" w:color="auto"/>
      </w:divBdr>
    </w:div>
    <w:div w:id="1570647956">
      <w:bodyDiv w:val="1"/>
      <w:marLeft w:val="0"/>
      <w:marRight w:val="0"/>
      <w:marTop w:val="0"/>
      <w:marBottom w:val="0"/>
      <w:divBdr>
        <w:top w:val="none" w:sz="0" w:space="0" w:color="auto"/>
        <w:left w:val="none" w:sz="0" w:space="0" w:color="auto"/>
        <w:bottom w:val="none" w:sz="0" w:space="0" w:color="auto"/>
        <w:right w:val="none" w:sz="0" w:space="0" w:color="auto"/>
      </w:divBdr>
      <w:divsChild>
        <w:div w:id="1031612791">
          <w:marLeft w:val="1166"/>
          <w:marRight w:val="0"/>
          <w:marTop w:val="173"/>
          <w:marBottom w:val="0"/>
          <w:divBdr>
            <w:top w:val="none" w:sz="0" w:space="0" w:color="auto"/>
            <w:left w:val="none" w:sz="0" w:space="0" w:color="auto"/>
            <w:bottom w:val="none" w:sz="0" w:space="0" w:color="auto"/>
            <w:right w:val="none" w:sz="0" w:space="0" w:color="auto"/>
          </w:divBdr>
        </w:div>
        <w:div w:id="1488086522">
          <w:marLeft w:val="1166"/>
          <w:marRight w:val="0"/>
          <w:marTop w:val="173"/>
          <w:marBottom w:val="0"/>
          <w:divBdr>
            <w:top w:val="none" w:sz="0" w:space="0" w:color="auto"/>
            <w:left w:val="none" w:sz="0" w:space="0" w:color="auto"/>
            <w:bottom w:val="none" w:sz="0" w:space="0" w:color="auto"/>
            <w:right w:val="none" w:sz="0" w:space="0" w:color="auto"/>
          </w:divBdr>
        </w:div>
        <w:div w:id="1941988534">
          <w:marLeft w:val="547"/>
          <w:marRight w:val="0"/>
          <w:marTop w:val="192"/>
          <w:marBottom w:val="0"/>
          <w:divBdr>
            <w:top w:val="none" w:sz="0" w:space="0" w:color="auto"/>
            <w:left w:val="none" w:sz="0" w:space="0" w:color="auto"/>
            <w:bottom w:val="none" w:sz="0" w:space="0" w:color="auto"/>
            <w:right w:val="none" w:sz="0" w:space="0" w:color="auto"/>
          </w:divBdr>
        </w:div>
      </w:divsChild>
    </w:div>
    <w:div w:id="1570991943">
      <w:bodyDiv w:val="1"/>
      <w:marLeft w:val="0"/>
      <w:marRight w:val="0"/>
      <w:marTop w:val="0"/>
      <w:marBottom w:val="0"/>
      <w:divBdr>
        <w:top w:val="none" w:sz="0" w:space="0" w:color="auto"/>
        <w:left w:val="none" w:sz="0" w:space="0" w:color="auto"/>
        <w:bottom w:val="none" w:sz="0" w:space="0" w:color="auto"/>
        <w:right w:val="none" w:sz="0" w:space="0" w:color="auto"/>
      </w:divBdr>
    </w:div>
    <w:div w:id="1571504608">
      <w:bodyDiv w:val="1"/>
      <w:marLeft w:val="0"/>
      <w:marRight w:val="0"/>
      <w:marTop w:val="0"/>
      <w:marBottom w:val="0"/>
      <w:divBdr>
        <w:top w:val="none" w:sz="0" w:space="0" w:color="auto"/>
        <w:left w:val="none" w:sz="0" w:space="0" w:color="auto"/>
        <w:bottom w:val="none" w:sz="0" w:space="0" w:color="auto"/>
        <w:right w:val="none" w:sz="0" w:space="0" w:color="auto"/>
      </w:divBdr>
    </w:div>
    <w:div w:id="1572277248">
      <w:bodyDiv w:val="1"/>
      <w:marLeft w:val="0"/>
      <w:marRight w:val="0"/>
      <w:marTop w:val="0"/>
      <w:marBottom w:val="0"/>
      <w:divBdr>
        <w:top w:val="none" w:sz="0" w:space="0" w:color="auto"/>
        <w:left w:val="none" w:sz="0" w:space="0" w:color="auto"/>
        <w:bottom w:val="none" w:sz="0" w:space="0" w:color="auto"/>
        <w:right w:val="none" w:sz="0" w:space="0" w:color="auto"/>
      </w:divBdr>
    </w:div>
    <w:div w:id="1572691705">
      <w:bodyDiv w:val="1"/>
      <w:marLeft w:val="0"/>
      <w:marRight w:val="0"/>
      <w:marTop w:val="0"/>
      <w:marBottom w:val="0"/>
      <w:divBdr>
        <w:top w:val="none" w:sz="0" w:space="0" w:color="auto"/>
        <w:left w:val="none" w:sz="0" w:space="0" w:color="auto"/>
        <w:bottom w:val="none" w:sz="0" w:space="0" w:color="auto"/>
        <w:right w:val="none" w:sz="0" w:space="0" w:color="auto"/>
      </w:divBdr>
    </w:div>
    <w:div w:id="1572813744">
      <w:bodyDiv w:val="1"/>
      <w:marLeft w:val="0"/>
      <w:marRight w:val="0"/>
      <w:marTop w:val="0"/>
      <w:marBottom w:val="0"/>
      <w:divBdr>
        <w:top w:val="none" w:sz="0" w:space="0" w:color="auto"/>
        <w:left w:val="none" w:sz="0" w:space="0" w:color="auto"/>
        <w:bottom w:val="none" w:sz="0" w:space="0" w:color="auto"/>
        <w:right w:val="none" w:sz="0" w:space="0" w:color="auto"/>
      </w:divBdr>
    </w:div>
    <w:div w:id="1573732964">
      <w:bodyDiv w:val="1"/>
      <w:marLeft w:val="0"/>
      <w:marRight w:val="0"/>
      <w:marTop w:val="0"/>
      <w:marBottom w:val="0"/>
      <w:divBdr>
        <w:top w:val="none" w:sz="0" w:space="0" w:color="auto"/>
        <w:left w:val="none" w:sz="0" w:space="0" w:color="auto"/>
        <w:bottom w:val="none" w:sz="0" w:space="0" w:color="auto"/>
        <w:right w:val="none" w:sz="0" w:space="0" w:color="auto"/>
      </w:divBdr>
    </w:div>
    <w:div w:id="1574700866">
      <w:bodyDiv w:val="1"/>
      <w:marLeft w:val="0"/>
      <w:marRight w:val="0"/>
      <w:marTop w:val="0"/>
      <w:marBottom w:val="0"/>
      <w:divBdr>
        <w:top w:val="none" w:sz="0" w:space="0" w:color="auto"/>
        <w:left w:val="none" w:sz="0" w:space="0" w:color="auto"/>
        <w:bottom w:val="none" w:sz="0" w:space="0" w:color="auto"/>
        <w:right w:val="none" w:sz="0" w:space="0" w:color="auto"/>
      </w:divBdr>
    </w:div>
    <w:div w:id="1574705315">
      <w:bodyDiv w:val="1"/>
      <w:marLeft w:val="0"/>
      <w:marRight w:val="0"/>
      <w:marTop w:val="0"/>
      <w:marBottom w:val="0"/>
      <w:divBdr>
        <w:top w:val="none" w:sz="0" w:space="0" w:color="auto"/>
        <w:left w:val="none" w:sz="0" w:space="0" w:color="auto"/>
        <w:bottom w:val="none" w:sz="0" w:space="0" w:color="auto"/>
        <w:right w:val="none" w:sz="0" w:space="0" w:color="auto"/>
      </w:divBdr>
    </w:div>
    <w:div w:id="1574776298">
      <w:bodyDiv w:val="1"/>
      <w:marLeft w:val="0"/>
      <w:marRight w:val="0"/>
      <w:marTop w:val="0"/>
      <w:marBottom w:val="0"/>
      <w:divBdr>
        <w:top w:val="none" w:sz="0" w:space="0" w:color="auto"/>
        <w:left w:val="none" w:sz="0" w:space="0" w:color="auto"/>
        <w:bottom w:val="none" w:sz="0" w:space="0" w:color="auto"/>
        <w:right w:val="none" w:sz="0" w:space="0" w:color="auto"/>
      </w:divBdr>
    </w:div>
    <w:div w:id="1575044310">
      <w:bodyDiv w:val="1"/>
      <w:marLeft w:val="0"/>
      <w:marRight w:val="0"/>
      <w:marTop w:val="0"/>
      <w:marBottom w:val="0"/>
      <w:divBdr>
        <w:top w:val="none" w:sz="0" w:space="0" w:color="auto"/>
        <w:left w:val="none" w:sz="0" w:space="0" w:color="auto"/>
        <w:bottom w:val="none" w:sz="0" w:space="0" w:color="auto"/>
        <w:right w:val="none" w:sz="0" w:space="0" w:color="auto"/>
      </w:divBdr>
    </w:div>
    <w:div w:id="1575163588">
      <w:bodyDiv w:val="1"/>
      <w:marLeft w:val="0"/>
      <w:marRight w:val="0"/>
      <w:marTop w:val="0"/>
      <w:marBottom w:val="0"/>
      <w:divBdr>
        <w:top w:val="none" w:sz="0" w:space="0" w:color="auto"/>
        <w:left w:val="none" w:sz="0" w:space="0" w:color="auto"/>
        <w:bottom w:val="none" w:sz="0" w:space="0" w:color="auto"/>
        <w:right w:val="none" w:sz="0" w:space="0" w:color="auto"/>
      </w:divBdr>
    </w:div>
    <w:div w:id="1575310181">
      <w:bodyDiv w:val="1"/>
      <w:marLeft w:val="0"/>
      <w:marRight w:val="0"/>
      <w:marTop w:val="0"/>
      <w:marBottom w:val="0"/>
      <w:divBdr>
        <w:top w:val="none" w:sz="0" w:space="0" w:color="auto"/>
        <w:left w:val="none" w:sz="0" w:space="0" w:color="auto"/>
        <w:bottom w:val="none" w:sz="0" w:space="0" w:color="auto"/>
        <w:right w:val="none" w:sz="0" w:space="0" w:color="auto"/>
      </w:divBdr>
    </w:div>
    <w:div w:id="1575316437">
      <w:bodyDiv w:val="1"/>
      <w:marLeft w:val="0"/>
      <w:marRight w:val="0"/>
      <w:marTop w:val="0"/>
      <w:marBottom w:val="0"/>
      <w:divBdr>
        <w:top w:val="none" w:sz="0" w:space="0" w:color="auto"/>
        <w:left w:val="none" w:sz="0" w:space="0" w:color="auto"/>
        <w:bottom w:val="none" w:sz="0" w:space="0" w:color="auto"/>
        <w:right w:val="none" w:sz="0" w:space="0" w:color="auto"/>
      </w:divBdr>
    </w:div>
    <w:div w:id="1575505273">
      <w:bodyDiv w:val="1"/>
      <w:marLeft w:val="0"/>
      <w:marRight w:val="0"/>
      <w:marTop w:val="0"/>
      <w:marBottom w:val="0"/>
      <w:divBdr>
        <w:top w:val="none" w:sz="0" w:space="0" w:color="auto"/>
        <w:left w:val="none" w:sz="0" w:space="0" w:color="auto"/>
        <w:bottom w:val="none" w:sz="0" w:space="0" w:color="auto"/>
        <w:right w:val="none" w:sz="0" w:space="0" w:color="auto"/>
      </w:divBdr>
    </w:div>
    <w:div w:id="1575772715">
      <w:bodyDiv w:val="1"/>
      <w:marLeft w:val="0"/>
      <w:marRight w:val="0"/>
      <w:marTop w:val="0"/>
      <w:marBottom w:val="0"/>
      <w:divBdr>
        <w:top w:val="none" w:sz="0" w:space="0" w:color="auto"/>
        <w:left w:val="none" w:sz="0" w:space="0" w:color="auto"/>
        <w:bottom w:val="none" w:sz="0" w:space="0" w:color="auto"/>
        <w:right w:val="none" w:sz="0" w:space="0" w:color="auto"/>
      </w:divBdr>
    </w:div>
    <w:div w:id="1576479285">
      <w:bodyDiv w:val="1"/>
      <w:marLeft w:val="0"/>
      <w:marRight w:val="0"/>
      <w:marTop w:val="0"/>
      <w:marBottom w:val="0"/>
      <w:divBdr>
        <w:top w:val="none" w:sz="0" w:space="0" w:color="auto"/>
        <w:left w:val="none" w:sz="0" w:space="0" w:color="auto"/>
        <w:bottom w:val="none" w:sz="0" w:space="0" w:color="auto"/>
        <w:right w:val="none" w:sz="0" w:space="0" w:color="auto"/>
      </w:divBdr>
    </w:div>
    <w:div w:id="1576743454">
      <w:bodyDiv w:val="1"/>
      <w:marLeft w:val="0"/>
      <w:marRight w:val="0"/>
      <w:marTop w:val="0"/>
      <w:marBottom w:val="0"/>
      <w:divBdr>
        <w:top w:val="none" w:sz="0" w:space="0" w:color="auto"/>
        <w:left w:val="none" w:sz="0" w:space="0" w:color="auto"/>
        <w:bottom w:val="none" w:sz="0" w:space="0" w:color="auto"/>
        <w:right w:val="none" w:sz="0" w:space="0" w:color="auto"/>
      </w:divBdr>
    </w:div>
    <w:div w:id="1577284959">
      <w:bodyDiv w:val="1"/>
      <w:marLeft w:val="0"/>
      <w:marRight w:val="0"/>
      <w:marTop w:val="0"/>
      <w:marBottom w:val="0"/>
      <w:divBdr>
        <w:top w:val="none" w:sz="0" w:space="0" w:color="auto"/>
        <w:left w:val="none" w:sz="0" w:space="0" w:color="auto"/>
        <w:bottom w:val="none" w:sz="0" w:space="0" w:color="auto"/>
        <w:right w:val="none" w:sz="0" w:space="0" w:color="auto"/>
      </w:divBdr>
    </w:div>
    <w:div w:id="1578055807">
      <w:bodyDiv w:val="1"/>
      <w:marLeft w:val="0"/>
      <w:marRight w:val="0"/>
      <w:marTop w:val="0"/>
      <w:marBottom w:val="0"/>
      <w:divBdr>
        <w:top w:val="none" w:sz="0" w:space="0" w:color="auto"/>
        <w:left w:val="none" w:sz="0" w:space="0" w:color="auto"/>
        <w:bottom w:val="none" w:sz="0" w:space="0" w:color="auto"/>
        <w:right w:val="none" w:sz="0" w:space="0" w:color="auto"/>
      </w:divBdr>
    </w:div>
    <w:div w:id="1578369505">
      <w:bodyDiv w:val="1"/>
      <w:marLeft w:val="0"/>
      <w:marRight w:val="0"/>
      <w:marTop w:val="0"/>
      <w:marBottom w:val="0"/>
      <w:divBdr>
        <w:top w:val="none" w:sz="0" w:space="0" w:color="auto"/>
        <w:left w:val="none" w:sz="0" w:space="0" w:color="auto"/>
        <w:bottom w:val="none" w:sz="0" w:space="0" w:color="auto"/>
        <w:right w:val="none" w:sz="0" w:space="0" w:color="auto"/>
      </w:divBdr>
    </w:div>
    <w:div w:id="1578632616">
      <w:bodyDiv w:val="1"/>
      <w:marLeft w:val="0"/>
      <w:marRight w:val="0"/>
      <w:marTop w:val="0"/>
      <w:marBottom w:val="0"/>
      <w:divBdr>
        <w:top w:val="none" w:sz="0" w:space="0" w:color="auto"/>
        <w:left w:val="none" w:sz="0" w:space="0" w:color="auto"/>
        <w:bottom w:val="none" w:sz="0" w:space="0" w:color="auto"/>
        <w:right w:val="none" w:sz="0" w:space="0" w:color="auto"/>
      </w:divBdr>
      <w:divsChild>
        <w:div w:id="851845009">
          <w:marLeft w:val="547"/>
          <w:marRight w:val="0"/>
          <w:marTop w:val="96"/>
          <w:marBottom w:val="0"/>
          <w:divBdr>
            <w:top w:val="none" w:sz="0" w:space="0" w:color="auto"/>
            <w:left w:val="none" w:sz="0" w:space="0" w:color="auto"/>
            <w:bottom w:val="none" w:sz="0" w:space="0" w:color="auto"/>
            <w:right w:val="none" w:sz="0" w:space="0" w:color="auto"/>
          </w:divBdr>
        </w:div>
        <w:div w:id="1171526441">
          <w:marLeft w:val="1166"/>
          <w:marRight w:val="0"/>
          <w:marTop w:val="86"/>
          <w:marBottom w:val="0"/>
          <w:divBdr>
            <w:top w:val="none" w:sz="0" w:space="0" w:color="auto"/>
            <w:left w:val="none" w:sz="0" w:space="0" w:color="auto"/>
            <w:bottom w:val="none" w:sz="0" w:space="0" w:color="auto"/>
            <w:right w:val="none" w:sz="0" w:space="0" w:color="auto"/>
          </w:divBdr>
        </w:div>
        <w:div w:id="1189678864">
          <w:marLeft w:val="547"/>
          <w:marRight w:val="0"/>
          <w:marTop w:val="96"/>
          <w:marBottom w:val="0"/>
          <w:divBdr>
            <w:top w:val="none" w:sz="0" w:space="0" w:color="auto"/>
            <w:left w:val="none" w:sz="0" w:space="0" w:color="auto"/>
            <w:bottom w:val="none" w:sz="0" w:space="0" w:color="auto"/>
            <w:right w:val="none" w:sz="0" w:space="0" w:color="auto"/>
          </w:divBdr>
        </w:div>
      </w:divsChild>
    </w:div>
    <w:div w:id="1578978583">
      <w:bodyDiv w:val="1"/>
      <w:marLeft w:val="0"/>
      <w:marRight w:val="0"/>
      <w:marTop w:val="0"/>
      <w:marBottom w:val="0"/>
      <w:divBdr>
        <w:top w:val="none" w:sz="0" w:space="0" w:color="auto"/>
        <w:left w:val="none" w:sz="0" w:space="0" w:color="auto"/>
        <w:bottom w:val="none" w:sz="0" w:space="0" w:color="auto"/>
        <w:right w:val="none" w:sz="0" w:space="0" w:color="auto"/>
      </w:divBdr>
    </w:div>
    <w:div w:id="1579169354">
      <w:bodyDiv w:val="1"/>
      <w:marLeft w:val="0"/>
      <w:marRight w:val="0"/>
      <w:marTop w:val="0"/>
      <w:marBottom w:val="0"/>
      <w:divBdr>
        <w:top w:val="none" w:sz="0" w:space="0" w:color="auto"/>
        <w:left w:val="none" w:sz="0" w:space="0" w:color="auto"/>
        <w:bottom w:val="none" w:sz="0" w:space="0" w:color="auto"/>
        <w:right w:val="none" w:sz="0" w:space="0" w:color="auto"/>
      </w:divBdr>
    </w:div>
    <w:div w:id="1579711463">
      <w:bodyDiv w:val="1"/>
      <w:marLeft w:val="0"/>
      <w:marRight w:val="0"/>
      <w:marTop w:val="0"/>
      <w:marBottom w:val="0"/>
      <w:divBdr>
        <w:top w:val="none" w:sz="0" w:space="0" w:color="auto"/>
        <w:left w:val="none" w:sz="0" w:space="0" w:color="auto"/>
        <w:bottom w:val="none" w:sz="0" w:space="0" w:color="auto"/>
        <w:right w:val="none" w:sz="0" w:space="0" w:color="auto"/>
      </w:divBdr>
    </w:div>
    <w:div w:id="1579751665">
      <w:bodyDiv w:val="1"/>
      <w:marLeft w:val="0"/>
      <w:marRight w:val="0"/>
      <w:marTop w:val="0"/>
      <w:marBottom w:val="0"/>
      <w:divBdr>
        <w:top w:val="none" w:sz="0" w:space="0" w:color="auto"/>
        <w:left w:val="none" w:sz="0" w:space="0" w:color="auto"/>
        <w:bottom w:val="none" w:sz="0" w:space="0" w:color="auto"/>
        <w:right w:val="none" w:sz="0" w:space="0" w:color="auto"/>
      </w:divBdr>
    </w:div>
    <w:div w:id="1579905345">
      <w:bodyDiv w:val="1"/>
      <w:marLeft w:val="0"/>
      <w:marRight w:val="0"/>
      <w:marTop w:val="0"/>
      <w:marBottom w:val="0"/>
      <w:divBdr>
        <w:top w:val="none" w:sz="0" w:space="0" w:color="auto"/>
        <w:left w:val="none" w:sz="0" w:space="0" w:color="auto"/>
        <w:bottom w:val="none" w:sz="0" w:space="0" w:color="auto"/>
        <w:right w:val="none" w:sz="0" w:space="0" w:color="auto"/>
      </w:divBdr>
    </w:div>
    <w:div w:id="1579944039">
      <w:bodyDiv w:val="1"/>
      <w:marLeft w:val="0"/>
      <w:marRight w:val="0"/>
      <w:marTop w:val="0"/>
      <w:marBottom w:val="0"/>
      <w:divBdr>
        <w:top w:val="none" w:sz="0" w:space="0" w:color="auto"/>
        <w:left w:val="none" w:sz="0" w:space="0" w:color="auto"/>
        <w:bottom w:val="none" w:sz="0" w:space="0" w:color="auto"/>
        <w:right w:val="none" w:sz="0" w:space="0" w:color="auto"/>
      </w:divBdr>
    </w:div>
    <w:div w:id="1580287793">
      <w:bodyDiv w:val="1"/>
      <w:marLeft w:val="0"/>
      <w:marRight w:val="0"/>
      <w:marTop w:val="0"/>
      <w:marBottom w:val="0"/>
      <w:divBdr>
        <w:top w:val="none" w:sz="0" w:space="0" w:color="auto"/>
        <w:left w:val="none" w:sz="0" w:space="0" w:color="auto"/>
        <w:bottom w:val="none" w:sz="0" w:space="0" w:color="auto"/>
        <w:right w:val="none" w:sz="0" w:space="0" w:color="auto"/>
      </w:divBdr>
    </w:div>
    <w:div w:id="1580365382">
      <w:bodyDiv w:val="1"/>
      <w:marLeft w:val="0"/>
      <w:marRight w:val="0"/>
      <w:marTop w:val="0"/>
      <w:marBottom w:val="0"/>
      <w:divBdr>
        <w:top w:val="none" w:sz="0" w:space="0" w:color="auto"/>
        <w:left w:val="none" w:sz="0" w:space="0" w:color="auto"/>
        <w:bottom w:val="none" w:sz="0" w:space="0" w:color="auto"/>
        <w:right w:val="none" w:sz="0" w:space="0" w:color="auto"/>
      </w:divBdr>
    </w:div>
    <w:div w:id="1580406178">
      <w:bodyDiv w:val="1"/>
      <w:marLeft w:val="0"/>
      <w:marRight w:val="0"/>
      <w:marTop w:val="0"/>
      <w:marBottom w:val="0"/>
      <w:divBdr>
        <w:top w:val="none" w:sz="0" w:space="0" w:color="auto"/>
        <w:left w:val="none" w:sz="0" w:space="0" w:color="auto"/>
        <w:bottom w:val="none" w:sz="0" w:space="0" w:color="auto"/>
        <w:right w:val="none" w:sz="0" w:space="0" w:color="auto"/>
      </w:divBdr>
    </w:div>
    <w:div w:id="1580478254">
      <w:bodyDiv w:val="1"/>
      <w:marLeft w:val="0"/>
      <w:marRight w:val="0"/>
      <w:marTop w:val="0"/>
      <w:marBottom w:val="0"/>
      <w:divBdr>
        <w:top w:val="none" w:sz="0" w:space="0" w:color="auto"/>
        <w:left w:val="none" w:sz="0" w:space="0" w:color="auto"/>
        <w:bottom w:val="none" w:sz="0" w:space="0" w:color="auto"/>
        <w:right w:val="none" w:sz="0" w:space="0" w:color="auto"/>
      </w:divBdr>
    </w:div>
    <w:div w:id="1580480047">
      <w:bodyDiv w:val="1"/>
      <w:marLeft w:val="0"/>
      <w:marRight w:val="0"/>
      <w:marTop w:val="0"/>
      <w:marBottom w:val="0"/>
      <w:divBdr>
        <w:top w:val="none" w:sz="0" w:space="0" w:color="auto"/>
        <w:left w:val="none" w:sz="0" w:space="0" w:color="auto"/>
        <w:bottom w:val="none" w:sz="0" w:space="0" w:color="auto"/>
        <w:right w:val="none" w:sz="0" w:space="0" w:color="auto"/>
      </w:divBdr>
    </w:div>
    <w:div w:id="1580556693">
      <w:bodyDiv w:val="1"/>
      <w:marLeft w:val="0"/>
      <w:marRight w:val="0"/>
      <w:marTop w:val="0"/>
      <w:marBottom w:val="0"/>
      <w:divBdr>
        <w:top w:val="none" w:sz="0" w:space="0" w:color="auto"/>
        <w:left w:val="none" w:sz="0" w:space="0" w:color="auto"/>
        <w:bottom w:val="none" w:sz="0" w:space="0" w:color="auto"/>
        <w:right w:val="none" w:sz="0" w:space="0" w:color="auto"/>
      </w:divBdr>
    </w:div>
    <w:div w:id="1580821953">
      <w:bodyDiv w:val="1"/>
      <w:marLeft w:val="0"/>
      <w:marRight w:val="0"/>
      <w:marTop w:val="0"/>
      <w:marBottom w:val="0"/>
      <w:divBdr>
        <w:top w:val="none" w:sz="0" w:space="0" w:color="auto"/>
        <w:left w:val="none" w:sz="0" w:space="0" w:color="auto"/>
        <w:bottom w:val="none" w:sz="0" w:space="0" w:color="auto"/>
        <w:right w:val="none" w:sz="0" w:space="0" w:color="auto"/>
      </w:divBdr>
    </w:div>
    <w:div w:id="1581015976">
      <w:bodyDiv w:val="1"/>
      <w:marLeft w:val="0"/>
      <w:marRight w:val="0"/>
      <w:marTop w:val="0"/>
      <w:marBottom w:val="0"/>
      <w:divBdr>
        <w:top w:val="none" w:sz="0" w:space="0" w:color="auto"/>
        <w:left w:val="none" w:sz="0" w:space="0" w:color="auto"/>
        <w:bottom w:val="none" w:sz="0" w:space="0" w:color="auto"/>
        <w:right w:val="none" w:sz="0" w:space="0" w:color="auto"/>
      </w:divBdr>
      <w:divsChild>
        <w:div w:id="756439549">
          <w:marLeft w:val="1166"/>
          <w:marRight w:val="0"/>
          <w:marTop w:val="96"/>
          <w:marBottom w:val="0"/>
          <w:divBdr>
            <w:top w:val="none" w:sz="0" w:space="0" w:color="auto"/>
            <w:left w:val="none" w:sz="0" w:space="0" w:color="auto"/>
            <w:bottom w:val="none" w:sz="0" w:space="0" w:color="auto"/>
            <w:right w:val="none" w:sz="0" w:space="0" w:color="auto"/>
          </w:divBdr>
        </w:div>
        <w:div w:id="1132014963">
          <w:marLeft w:val="547"/>
          <w:marRight w:val="0"/>
          <w:marTop w:val="115"/>
          <w:marBottom w:val="0"/>
          <w:divBdr>
            <w:top w:val="none" w:sz="0" w:space="0" w:color="auto"/>
            <w:left w:val="none" w:sz="0" w:space="0" w:color="auto"/>
            <w:bottom w:val="none" w:sz="0" w:space="0" w:color="auto"/>
            <w:right w:val="none" w:sz="0" w:space="0" w:color="auto"/>
          </w:divBdr>
        </w:div>
        <w:div w:id="1206334857">
          <w:marLeft w:val="547"/>
          <w:marRight w:val="0"/>
          <w:marTop w:val="115"/>
          <w:marBottom w:val="0"/>
          <w:divBdr>
            <w:top w:val="none" w:sz="0" w:space="0" w:color="auto"/>
            <w:left w:val="none" w:sz="0" w:space="0" w:color="auto"/>
            <w:bottom w:val="none" w:sz="0" w:space="0" w:color="auto"/>
            <w:right w:val="none" w:sz="0" w:space="0" w:color="auto"/>
          </w:divBdr>
        </w:div>
        <w:div w:id="1463188908">
          <w:marLeft w:val="1166"/>
          <w:marRight w:val="0"/>
          <w:marTop w:val="96"/>
          <w:marBottom w:val="0"/>
          <w:divBdr>
            <w:top w:val="none" w:sz="0" w:space="0" w:color="auto"/>
            <w:left w:val="none" w:sz="0" w:space="0" w:color="auto"/>
            <w:bottom w:val="none" w:sz="0" w:space="0" w:color="auto"/>
            <w:right w:val="none" w:sz="0" w:space="0" w:color="auto"/>
          </w:divBdr>
        </w:div>
        <w:div w:id="1511682558">
          <w:marLeft w:val="547"/>
          <w:marRight w:val="0"/>
          <w:marTop w:val="115"/>
          <w:marBottom w:val="0"/>
          <w:divBdr>
            <w:top w:val="none" w:sz="0" w:space="0" w:color="auto"/>
            <w:left w:val="none" w:sz="0" w:space="0" w:color="auto"/>
            <w:bottom w:val="none" w:sz="0" w:space="0" w:color="auto"/>
            <w:right w:val="none" w:sz="0" w:space="0" w:color="auto"/>
          </w:divBdr>
        </w:div>
      </w:divsChild>
    </w:div>
    <w:div w:id="1582136623">
      <w:bodyDiv w:val="1"/>
      <w:marLeft w:val="0"/>
      <w:marRight w:val="0"/>
      <w:marTop w:val="0"/>
      <w:marBottom w:val="0"/>
      <w:divBdr>
        <w:top w:val="none" w:sz="0" w:space="0" w:color="auto"/>
        <w:left w:val="none" w:sz="0" w:space="0" w:color="auto"/>
        <w:bottom w:val="none" w:sz="0" w:space="0" w:color="auto"/>
        <w:right w:val="none" w:sz="0" w:space="0" w:color="auto"/>
      </w:divBdr>
    </w:div>
    <w:div w:id="1582333736">
      <w:bodyDiv w:val="1"/>
      <w:marLeft w:val="0"/>
      <w:marRight w:val="0"/>
      <w:marTop w:val="0"/>
      <w:marBottom w:val="0"/>
      <w:divBdr>
        <w:top w:val="none" w:sz="0" w:space="0" w:color="auto"/>
        <w:left w:val="none" w:sz="0" w:space="0" w:color="auto"/>
        <w:bottom w:val="none" w:sz="0" w:space="0" w:color="auto"/>
        <w:right w:val="none" w:sz="0" w:space="0" w:color="auto"/>
      </w:divBdr>
    </w:div>
    <w:div w:id="1583025772">
      <w:bodyDiv w:val="1"/>
      <w:marLeft w:val="0"/>
      <w:marRight w:val="0"/>
      <w:marTop w:val="0"/>
      <w:marBottom w:val="0"/>
      <w:divBdr>
        <w:top w:val="none" w:sz="0" w:space="0" w:color="auto"/>
        <w:left w:val="none" w:sz="0" w:space="0" w:color="auto"/>
        <w:bottom w:val="none" w:sz="0" w:space="0" w:color="auto"/>
        <w:right w:val="none" w:sz="0" w:space="0" w:color="auto"/>
      </w:divBdr>
      <w:divsChild>
        <w:div w:id="5711690">
          <w:marLeft w:val="1800"/>
          <w:marRight w:val="0"/>
          <w:marTop w:val="86"/>
          <w:marBottom w:val="0"/>
          <w:divBdr>
            <w:top w:val="none" w:sz="0" w:space="0" w:color="auto"/>
            <w:left w:val="none" w:sz="0" w:space="0" w:color="auto"/>
            <w:bottom w:val="none" w:sz="0" w:space="0" w:color="auto"/>
            <w:right w:val="none" w:sz="0" w:space="0" w:color="auto"/>
          </w:divBdr>
        </w:div>
        <w:div w:id="260913825">
          <w:marLeft w:val="547"/>
          <w:marRight w:val="0"/>
          <w:marTop w:val="115"/>
          <w:marBottom w:val="0"/>
          <w:divBdr>
            <w:top w:val="none" w:sz="0" w:space="0" w:color="auto"/>
            <w:left w:val="none" w:sz="0" w:space="0" w:color="auto"/>
            <w:bottom w:val="none" w:sz="0" w:space="0" w:color="auto"/>
            <w:right w:val="none" w:sz="0" w:space="0" w:color="auto"/>
          </w:divBdr>
        </w:div>
        <w:div w:id="576593422">
          <w:marLeft w:val="1800"/>
          <w:marRight w:val="0"/>
          <w:marTop w:val="86"/>
          <w:marBottom w:val="0"/>
          <w:divBdr>
            <w:top w:val="none" w:sz="0" w:space="0" w:color="auto"/>
            <w:left w:val="none" w:sz="0" w:space="0" w:color="auto"/>
            <w:bottom w:val="none" w:sz="0" w:space="0" w:color="auto"/>
            <w:right w:val="none" w:sz="0" w:space="0" w:color="auto"/>
          </w:divBdr>
        </w:div>
        <w:div w:id="680860999">
          <w:marLeft w:val="1166"/>
          <w:marRight w:val="0"/>
          <w:marTop w:val="115"/>
          <w:marBottom w:val="0"/>
          <w:divBdr>
            <w:top w:val="none" w:sz="0" w:space="0" w:color="auto"/>
            <w:left w:val="none" w:sz="0" w:space="0" w:color="auto"/>
            <w:bottom w:val="none" w:sz="0" w:space="0" w:color="auto"/>
            <w:right w:val="none" w:sz="0" w:space="0" w:color="auto"/>
          </w:divBdr>
        </w:div>
        <w:div w:id="857890980">
          <w:marLeft w:val="1800"/>
          <w:marRight w:val="0"/>
          <w:marTop w:val="86"/>
          <w:marBottom w:val="0"/>
          <w:divBdr>
            <w:top w:val="none" w:sz="0" w:space="0" w:color="auto"/>
            <w:left w:val="none" w:sz="0" w:space="0" w:color="auto"/>
            <w:bottom w:val="none" w:sz="0" w:space="0" w:color="auto"/>
            <w:right w:val="none" w:sz="0" w:space="0" w:color="auto"/>
          </w:divBdr>
        </w:div>
        <w:div w:id="925728394">
          <w:marLeft w:val="1166"/>
          <w:marRight w:val="0"/>
          <w:marTop w:val="115"/>
          <w:marBottom w:val="0"/>
          <w:divBdr>
            <w:top w:val="none" w:sz="0" w:space="0" w:color="auto"/>
            <w:left w:val="none" w:sz="0" w:space="0" w:color="auto"/>
            <w:bottom w:val="none" w:sz="0" w:space="0" w:color="auto"/>
            <w:right w:val="none" w:sz="0" w:space="0" w:color="auto"/>
          </w:divBdr>
        </w:div>
        <w:div w:id="1522932909">
          <w:marLeft w:val="1800"/>
          <w:marRight w:val="0"/>
          <w:marTop w:val="86"/>
          <w:marBottom w:val="0"/>
          <w:divBdr>
            <w:top w:val="none" w:sz="0" w:space="0" w:color="auto"/>
            <w:left w:val="none" w:sz="0" w:space="0" w:color="auto"/>
            <w:bottom w:val="none" w:sz="0" w:space="0" w:color="auto"/>
            <w:right w:val="none" w:sz="0" w:space="0" w:color="auto"/>
          </w:divBdr>
        </w:div>
        <w:div w:id="1779980393">
          <w:marLeft w:val="1800"/>
          <w:marRight w:val="0"/>
          <w:marTop w:val="86"/>
          <w:marBottom w:val="0"/>
          <w:divBdr>
            <w:top w:val="none" w:sz="0" w:space="0" w:color="auto"/>
            <w:left w:val="none" w:sz="0" w:space="0" w:color="auto"/>
            <w:bottom w:val="none" w:sz="0" w:space="0" w:color="auto"/>
            <w:right w:val="none" w:sz="0" w:space="0" w:color="auto"/>
          </w:divBdr>
        </w:div>
      </w:divsChild>
    </w:div>
    <w:div w:id="1584217337">
      <w:bodyDiv w:val="1"/>
      <w:marLeft w:val="0"/>
      <w:marRight w:val="0"/>
      <w:marTop w:val="0"/>
      <w:marBottom w:val="0"/>
      <w:divBdr>
        <w:top w:val="none" w:sz="0" w:space="0" w:color="auto"/>
        <w:left w:val="none" w:sz="0" w:space="0" w:color="auto"/>
        <w:bottom w:val="none" w:sz="0" w:space="0" w:color="auto"/>
        <w:right w:val="none" w:sz="0" w:space="0" w:color="auto"/>
      </w:divBdr>
      <w:divsChild>
        <w:div w:id="312880227">
          <w:marLeft w:val="1166"/>
          <w:marRight w:val="0"/>
          <w:marTop w:val="134"/>
          <w:marBottom w:val="0"/>
          <w:divBdr>
            <w:top w:val="none" w:sz="0" w:space="0" w:color="auto"/>
            <w:left w:val="none" w:sz="0" w:space="0" w:color="auto"/>
            <w:bottom w:val="none" w:sz="0" w:space="0" w:color="auto"/>
            <w:right w:val="none" w:sz="0" w:space="0" w:color="auto"/>
          </w:divBdr>
        </w:div>
        <w:div w:id="569077890">
          <w:marLeft w:val="547"/>
          <w:marRight w:val="0"/>
          <w:marTop w:val="154"/>
          <w:marBottom w:val="0"/>
          <w:divBdr>
            <w:top w:val="none" w:sz="0" w:space="0" w:color="auto"/>
            <w:left w:val="none" w:sz="0" w:space="0" w:color="auto"/>
            <w:bottom w:val="none" w:sz="0" w:space="0" w:color="auto"/>
            <w:right w:val="none" w:sz="0" w:space="0" w:color="auto"/>
          </w:divBdr>
        </w:div>
      </w:divsChild>
    </w:div>
    <w:div w:id="1584291609">
      <w:bodyDiv w:val="1"/>
      <w:marLeft w:val="0"/>
      <w:marRight w:val="0"/>
      <w:marTop w:val="0"/>
      <w:marBottom w:val="0"/>
      <w:divBdr>
        <w:top w:val="none" w:sz="0" w:space="0" w:color="auto"/>
        <w:left w:val="none" w:sz="0" w:space="0" w:color="auto"/>
        <w:bottom w:val="none" w:sz="0" w:space="0" w:color="auto"/>
        <w:right w:val="none" w:sz="0" w:space="0" w:color="auto"/>
      </w:divBdr>
    </w:div>
    <w:div w:id="1585722213">
      <w:bodyDiv w:val="1"/>
      <w:marLeft w:val="0"/>
      <w:marRight w:val="0"/>
      <w:marTop w:val="0"/>
      <w:marBottom w:val="0"/>
      <w:divBdr>
        <w:top w:val="none" w:sz="0" w:space="0" w:color="auto"/>
        <w:left w:val="none" w:sz="0" w:space="0" w:color="auto"/>
        <w:bottom w:val="none" w:sz="0" w:space="0" w:color="auto"/>
        <w:right w:val="none" w:sz="0" w:space="0" w:color="auto"/>
      </w:divBdr>
    </w:div>
    <w:div w:id="1585723025">
      <w:bodyDiv w:val="1"/>
      <w:marLeft w:val="0"/>
      <w:marRight w:val="0"/>
      <w:marTop w:val="0"/>
      <w:marBottom w:val="0"/>
      <w:divBdr>
        <w:top w:val="none" w:sz="0" w:space="0" w:color="auto"/>
        <w:left w:val="none" w:sz="0" w:space="0" w:color="auto"/>
        <w:bottom w:val="none" w:sz="0" w:space="0" w:color="auto"/>
        <w:right w:val="none" w:sz="0" w:space="0" w:color="auto"/>
      </w:divBdr>
    </w:div>
    <w:div w:id="1586568614">
      <w:bodyDiv w:val="1"/>
      <w:marLeft w:val="0"/>
      <w:marRight w:val="0"/>
      <w:marTop w:val="0"/>
      <w:marBottom w:val="0"/>
      <w:divBdr>
        <w:top w:val="none" w:sz="0" w:space="0" w:color="auto"/>
        <w:left w:val="none" w:sz="0" w:space="0" w:color="auto"/>
        <w:bottom w:val="none" w:sz="0" w:space="0" w:color="auto"/>
        <w:right w:val="none" w:sz="0" w:space="0" w:color="auto"/>
      </w:divBdr>
    </w:div>
    <w:div w:id="1586842630">
      <w:bodyDiv w:val="1"/>
      <w:marLeft w:val="0"/>
      <w:marRight w:val="0"/>
      <w:marTop w:val="0"/>
      <w:marBottom w:val="0"/>
      <w:divBdr>
        <w:top w:val="none" w:sz="0" w:space="0" w:color="auto"/>
        <w:left w:val="none" w:sz="0" w:space="0" w:color="auto"/>
        <w:bottom w:val="none" w:sz="0" w:space="0" w:color="auto"/>
        <w:right w:val="none" w:sz="0" w:space="0" w:color="auto"/>
      </w:divBdr>
    </w:div>
    <w:div w:id="1588609026">
      <w:bodyDiv w:val="1"/>
      <w:marLeft w:val="0"/>
      <w:marRight w:val="0"/>
      <w:marTop w:val="0"/>
      <w:marBottom w:val="0"/>
      <w:divBdr>
        <w:top w:val="none" w:sz="0" w:space="0" w:color="auto"/>
        <w:left w:val="none" w:sz="0" w:space="0" w:color="auto"/>
        <w:bottom w:val="none" w:sz="0" w:space="0" w:color="auto"/>
        <w:right w:val="none" w:sz="0" w:space="0" w:color="auto"/>
      </w:divBdr>
    </w:div>
    <w:div w:id="1588686429">
      <w:bodyDiv w:val="1"/>
      <w:marLeft w:val="0"/>
      <w:marRight w:val="0"/>
      <w:marTop w:val="0"/>
      <w:marBottom w:val="0"/>
      <w:divBdr>
        <w:top w:val="none" w:sz="0" w:space="0" w:color="auto"/>
        <w:left w:val="none" w:sz="0" w:space="0" w:color="auto"/>
        <w:bottom w:val="none" w:sz="0" w:space="0" w:color="auto"/>
        <w:right w:val="none" w:sz="0" w:space="0" w:color="auto"/>
      </w:divBdr>
    </w:div>
    <w:div w:id="1590507585">
      <w:bodyDiv w:val="1"/>
      <w:marLeft w:val="0"/>
      <w:marRight w:val="0"/>
      <w:marTop w:val="0"/>
      <w:marBottom w:val="0"/>
      <w:divBdr>
        <w:top w:val="none" w:sz="0" w:space="0" w:color="auto"/>
        <w:left w:val="none" w:sz="0" w:space="0" w:color="auto"/>
        <w:bottom w:val="none" w:sz="0" w:space="0" w:color="auto"/>
        <w:right w:val="none" w:sz="0" w:space="0" w:color="auto"/>
      </w:divBdr>
    </w:div>
    <w:div w:id="1590849078">
      <w:bodyDiv w:val="1"/>
      <w:marLeft w:val="0"/>
      <w:marRight w:val="0"/>
      <w:marTop w:val="0"/>
      <w:marBottom w:val="0"/>
      <w:divBdr>
        <w:top w:val="none" w:sz="0" w:space="0" w:color="auto"/>
        <w:left w:val="none" w:sz="0" w:space="0" w:color="auto"/>
        <w:bottom w:val="none" w:sz="0" w:space="0" w:color="auto"/>
        <w:right w:val="none" w:sz="0" w:space="0" w:color="auto"/>
      </w:divBdr>
    </w:div>
    <w:div w:id="1591309705">
      <w:bodyDiv w:val="1"/>
      <w:marLeft w:val="0"/>
      <w:marRight w:val="0"/>
      <w:marTop w:val="0"/>
      <w:marBottom w:val="0"/>
      <w:divBdr>
        <w:top w:val="none" w:sz="0" w:space="0" w:color="auto"/>
        <w:left w:val="none" w:sz="0" w:space="0" w:color="auto"/>
        <w:bottom w:val="none" w:sz="0" w:space="0" w:color="auto"/>
        <w:right w:val="none" w:sz="0" w:space="0" w:color="auto"/>
      </w:divBdr>
      <w:divsChild>
        <w:div w:id="828445483">
          <w:marLeft w:val="360"/>
          <w:marRight w:val="0"/>
          <w:marTop w:val="200"/>
          <w:marBottom w:val="0"/>
          <w:divBdr>
            <w:top w:val="none" w:sz="0" w:space="0" w:color="auto"/>
            <w:left w:val="none" w:sz="0" w:space="0" w:color="auto"/>
            <w:bottom w:val="none" w:sz="0" w:space="0" w:color="auto"/>
            <w:right w:val="none" w:sz="0" w:space="0" w:color="auto"/>
          </w:divBdr>
        </w:div>
      </w:divsChild>
    </w:div>
    <w:div w:id="1591355711">
      <w:bodyDiv w:val="1"/>
      <w:marLeft w:val="0"/>
      <w:marRight w:val="0"/>
      <w:marTop w:val="0"/>
      <w:marBottom w:val="0"/>
      <w:divBdr>
        <w:top w:val="none" w:sz="0" w:space="0" w:color="auto"/>
        <w:left w:val="none" w:sz="0" w:space="0" w:color="auto"/>
        <w:bottom w:val="none" w:sz="0" w:space="0" w:color="auto"/>
        <w:right w:val="none" w:sz="0" w:space="0" w:color="auto"/>
      </w:divBdr>
      <w:divsChild>
        <w:div w:id="449278102">
          <w:marLeft w:val="1800"/>
          <w:marRight w:val="0"/>
          <w:marTop w:val="86"/>
          <w:marBottom w:val="0"/>
          <w:divBdr>
            <w:top w:val="none" w:sz="0" w:space="0" w:color="auto"/>
            <w:left w:val="none" w:sz="0" w:space="0" w:color="auto"/>
            <w:bottom w:val="none" w:sz="0" w:space="0" w:color="auto"/>
            <w:right w:val="none" w:sz="0" w:space="0" w:color="auto"/>
          </w:divBdr>
        </w:div>
        <w:div w:id="585579119">
          <w:marLeft w:val="1800"/>
          <w:marRight w:val="0"/>
          <w:marTop w:val="86"/>
          <w:marBottom w:val="0"/>
          <w:divBdr>
            <w:top w:val="none" w:sz="0" w:space="0" w:color="auto"/>
            <w:left w:val="none" w:sz="0" w:space="0" w:color="auto"/>
            <w:bottom w:val="none" w:sz="0" w:space="0" w:color="auto"/>
            <w:right w:val="none" w:sz="0" w:space="0" w:color="auto"/>
          </w:divBdr>
        </w:div>
        <w:div w:id="694428854">
          <w:marLeft w:val="1800"/>
          <w:marRight w:val="0"/>
          <w:marTop w:val="86"/>
          <w:marBottom w:val="0"/>
          <w:divBdr>
            <w:top w:val="none" w:sz="0" w:space="0" w:color="auto"/>
            <w:left w:val="none" w:sz="0" w:space="0" w:color="auto"/>
            <w:bottom w:val="none" w:sz="0" w:space="0" w:color="auto"/>
            <w:right w:val="none" w:sz="0" w:space="0" w:color="auto"/>
          </w:divBdr>
        </w:div>
        <w:div w:id="724718789">
          <w:marLeft w:val="547"/>
          <w:marRight w:val="0"/>
          <w:marTop w:val="106"/>
          <w:marBottom w:val="0"/>
          <w:divBdr>
            <w:top w:val="none" w:sz="0" w:space="0" w:color="auto"/>
            <w:left w:val="none" w:sz="0" w:space="0" w:color="auto"/>
            <w:bottom w:val="none" w:sz="0" w:space="0" w:color="auto"/>
            <w:right w:val="none" w:sz="0" w:space="0" w:color="auto"/>
          </w:divBdr>
        </w:div>
        <w:div w:id="786240939">
          <w:marLeft w:val="1166"/>
          <w:marRight w:val="0"/>
          <w:marTop w:val="106"/>
          <w:marBottom w:val="0"/>
          <w:divBdr>
            <w:top w:val="none" w:sz="0" w:space="0" w:color="auto"/>
            <w:left w:val="none" w:sz="0" w:space="0" w:color="auto"/>
            <w:bottom w:val="none" w:sz="0" w:space="0" w:color="auto"/>
            <w:right w:val="none" w:sz="0" w:space="0" w:color="auto"/>
          </w:divBdr>
        </w:div>
        <w:div w:id="864486627">
          <w:marLeft w:val="1800"/>
          <w:marRight w:val="0"/>
          <w:marTop w:val="86"/>
          <w:marBottom w:val="0"/>
          <w:divBdr>
            <w:top w:val="none" w:sz="0" w:space="0" w:color="auto"/>
            <w:left w:val="none" w:sz="0" w:space="0" w:color="auto"/>
            <w:bottom w:val="none" w:sz="0" w:space="0" w:color="auto"/>
            <w:right w:val="none" w:sz="0" w:space="0" w:color="auto"/>
          </w:divBdr>
        </w:div>
        <w:div w:id="880359475">
          <w:marLeft w:val="1800"/>
          <w:marRight w:val="0"/>
          <w:marTop w:val="86"/>
          <w:marBottom w:val="0"/>
          <w:divBdr>
            <w:top w:val="none" w:sz="0" w:space="0" w:color="auto"/>
            <w:left w:val="none" w:sz="0" w:space="0" w:color="auto"/>
            <w:bottom w:val="none" w:sz="0" w:space="0" w:color="auto"/>
            <w:right w:val="none" w:sz="0" w:space="0" w:color="auto"/>
          </w:divBdr>
        </w:div>
        <w:div w:id="1356076602">
          <w:marLeft w:val="1166"/>
          <w:marRight w:val="0"/>
          <w:marTop w:val="106"/>
          <w:marBottom w:val="0"/>
          <w:divBdr>
            <w:top w:val="none" w:sz="0" w:space="0" w:color="auto"/>
            <w:left w:val="none" w:sz="0" w:space="0" w:color="auto"/>
            <w:bottom w:val="none" w:sz="0" w:space="0" w:color="auto"/>
            <w:right w:val="none" w:sz="0" w:space="0" w:color="auto"/>
          </w:divBdr>
        </w:div>
        <w:div w:id="1600792765">
          <w:marLeft w:val="1166"/>
          <w:marRight w:val="0"/>
          <w:marTop w:val="106"/>
          <w:marBottom w:val="0"/>
          <w:divBdr>
            <w:top w:val="none" w:sz="0" w:space="0" w:color="auto"/>
            <w:left w:val="none" w:sz="0" w:space="0" w:color="auto"/>
            <w:bottom w:val="none" w:sz="0" w:space="0" w:color="auto"/>
            <w:right w:val="none" w:sz="0" w:space="0" w:color="auto"/>
          </w:divBdr>
        </w:div>
        <w:div w:id="1861048417">
          <w:marLeft w:val="1800"/>
          <w:marRight w:val="0"/>
          <w:marTop w:val="86"/>
          <w:marBottom w:val="0"/>
          <w:divBdr>
            <w:top w:val="none" w:sz="0" w:space="0" w:color="auto"/>
            <w:left w:val="none" w:sz="0" w:space="0" w:color="auto"/>
            <w:bottom w:val="none" w:sz="0" w:space="0" w:color="auto"/>
            <w:right w:val="none" w:sz="0" w:space="0" w:color="auto"/>
          </w:divBdr>
        </w:div>
      </w:divsChild>
    </w:div>
    <w:div w:id="1591356359">
      <w:bodyDiv w:val="1"/>
      <w:marLeft w:val="0"/>
      <w:marRight w:val="0"/>
      <w:marTop w:val="0"/>
      <w:marBottom w:val="0"/>
      <w:divBdr>
        <w:top w:val="none" w:sz="0" w:space="0" w:color="auto"/>
        <w:left w:val="none" w:sz="0" w:space="0" w:color="auto"/>
        <w:bottom w:val="none" w:sz="0" w:space="0" w:color="auto"/>
        <w:right w:val="none" w:sz="0" w:space="0" w:color="auto"/>
      </w:divBdr>
    </w:div>
    <w:div w:id="1593008592">
      <w:bodyDiv w:val="1"/>
      <w:marLeft w:val="0"/>
      <w:marRight w:val="0"/>
      <w:marTop w:val="0"/>
      <w:marBottom w:val="0"/>
      <w:divBdr>
        <w:top w:val="none" w:sz="0" w:space="0" w:color="auto"/>
        <w:left w:val="none" w:sz="0" w:space="0" w:color="auto"/>
        <w:bottom w:val="none" w:sz="0" w:space="0" w:color="auto"/>
        <w:right w:val="none" w:sz="0" w:space="0" w:color="auto"/>
      </w:divBdr>
    </w:div>
    <w:div w:id="1593316715">
      <w:bodyDiv w:val="1"/>
      <w:marLeft w:val="0"/>
      <w:marRight w:val="0"/>
      <w:marTop w:val="0"/>
      <w:marBottom w:val="0"/>
      <w:divBdr>
        <w:top w:val="none" w:sz="0" w:space="0" w:color="auto"/>
        <w:left w:val="none" w:sz="0" w:space="0" w:color="auto"/>
        <w:bottom w:val="none" w:sz="0" w:space="0" w:color="auto"/>
        <w:right w:val="none" w:sz="0" w:space="0" w:color="auto"/>
      </w:divBdr>
    </w:div>
    <w:div w:id="1593508881">
      <w:bodyDiv w:val="1"/>
      <w:marLeft w:val="0"/>
      <w:marRight w:val="0"/>
      <w:marTop w:val="0"/>
      <w:marBottom w:val="0"/>
      <w:divBdr>
        <w:top w:val="none" w:sz="0" w:space="0" w:color="auto"/>
        <w:left w:val="none" w:sz="0" w:space="0" w:color="auto"/>
        <w:bottom w:val="none" w:sz="0" w:space="0" w:color="auto"/>
        <w:right w:val="none" w:sz="0" w:space="0" w:color="auto"/>
      </w:divBdr>
    </w:div>
    <w:div w:id="1594975746">
      <w:bodyDiv w:val="1"/>
      <w:marLeft w:val="0"/>
      <w:marRight w:val="0"/>
      <w:marTop w:val="0"/>
      <w:marBottom w:val="0"/>
      <w:divBdr>
        <w:top w:val="none" w:sz="0" w:space="0" w:color="auto"/>
        <w:left w:val="none" w:sz="0" w:space="0" w:color="auto"/>
        <w:bottom w:val="none" w:sz="0" w:space="0" w:color="auto"/>
        <w:right w:val="none" w:sz="0" w:space="0" w:color="auto"/>
      </w:divBdr>
      <w:divsChild>
        <w:div w:id="35469371">
          <w:marLeft w:val="547"/>
          <w:marRight w:val="0"/>
          <w:marTop w:val="115"/>
          <w:marBottom w:val="0"/>
          <w:divBdr>
            <w:top w:val="none" w:sz="0" w:space="0" w:color="auto"/>
            <w:left w:val="none" w:sz="0" w:space="0" w:color="auto"/>
            <w:bottom w:val="none" w:sz="0" w:space="0" w:color="auto"/>
            <w:right w:val="none" w:sz="0" w:space="0" w:color="auto"/>
          </w:divBdr>
        </w:div>
        <w:div w:id="357394279">
          <w:marLeft w:val="1166"/>
          <w:marRight w:val="0"/>
          <w:marTop w:val="96"/>
          <w:marBottom w:val="0"/>
          <w:divBdr>
            <w:top w:val="none" w:sz="0" w:space="0" w:color="auto"/>
            <w:left w:val="none" w:sz="0" w:space="0" w:color="auto"/>
            <w:bottom w:val="none" w:sz="0" w:space="0" w:color="auto"/>
            <w:right w:val="none" w:sz="0" w:space="0" w:color="auto"/>
          </w:divBdr>
        </w:div>
        <w:div w:id="859783622">
          <w:marLeft w:val="547"/>
          <w:marRight w:val="0"/>
          <w:marTop w:val="115"/>
          <w:marBottom w:val="0"/>
          <w:divBdr>
            <w:top w:val="none" w:sz="0" w:space="0" w:color="auto"/>
            <w:left w:val="none" w:sz="0" w:space="0" w:color="auto"/>
            <w:bottom w:val="none" w:sz="0" w:space="0" w:color="auto"/>
            <w:right w:val="none" w:sz="0" w:space="0" w:color="auto"/>
          </w:divBdr>
        </w:div>
        <w:div w:id="1119379894">
          <w:marLeft w:val="1166"/>
          <w:marRight w:val="0"/>
          <w:marTop w:val="96"/>
          <w:marBottom w:val="0"/>
          <w:divBdr>
            <w:top w:val="none" w:sz="0" w:space="0" w:color="auto"/>
            <w:left w:val="none" w:sz="0" w:space="0" w:color="auto"/>
            <w:bottom w:val="none" w:sz="0" w:space="0" w:color="auto"/>
            <w:right w:val="none" w:sz="0" w:space="0" w:color="auto"/>
          </w:divBdr>
        </w:div>
        <w:div w:id="1129520279">
          <w:marLeft w:val="1166"/>
          <w:marRight w:val="0"/>
          <w:marTop w:val="96"/>
          <w:marBottom w:val="0"/>
          <w:divBdr>
            <w:top w:val="none" w:sz="0" w:space="0" w:color="auto"/>
            <w:left w:val="none" w:sz="0" w:space="0" w:color="auto"/>
            <w:bottom w:val="none" w:sz="0" w:space="0" w:color="auto"/>
            <w:right w:val="none" w:sz="0" w:space="0" w:color="auto"/>
          </w:divBdr>
        </w:div>
        <w:div w:id="1291669897">
          <w:marLeft w:val="547"/>
          <w:marRight w:val="0"/>
          <w:marTop w:val="115"/>
          <w:marBottom w:val="0"/>
          <w:divBdr>
            <w:top w:val="none" w:sz="0" w:space="0" w:color="auto"/>
            <w:left w:val="none" w:sz="0" w:space="0" w:color="auto"/>
            <w:bottom w:val="none" w:sz="0" w:space="0" w:color="auto"/>
            <w:right w:val="none" w:sz="0" w:space="0" w:color="auto"/>
          </w:divBdr>
        </w:div>
        <w:div w:id="1809276085">
          <w:marLeft w:val="1166"/>
          <w:marRight w:val="0"/>
          <w:marTop w:val="96"/>
          <w:marBottom w:val="0"/>
          <w:divBdr>
            <w:top w:val="none" w:sz="0" w:space="0" w:color="auto"/>
            <w:left w:val="none" w:sz="0" w:space="0" w:color="auto"/>
            <w:bottom w:val="none" w:sz="0" w:space="0" w:color="auto"/>
            <w:right w:val="none" w:sz="0" w:space="0" w:color="auto"/>
          </w:divBdr>
        </w:div>
      </w:divsChild>
    </w:div>
    <w:div w:id="1596549516">
      <w:bodyDiv w:val="1"/>
      <w:marLeft w:val="0"/>
      <w:marRight w:val="0"/>
      <w:marTop w:val="0"/>
      <w:marBottom w:val="0"/>
      <w:divBdr>
        <w:top w:val="none" w:sz="0" w:space="0" w:color="auto"/>
        <w:left w:val="none" w:sz="0" w:space="0" w:color="auto"/>
        <w:bottom w:val="none" w:sz="0" w:space="0" w:color="auto"/>
        <w:right w:val="none" w:sz="0" w:space="0" w:color="auto"/>
      </w:divBdr>
    </w:div>
    <w:div w:id="1596672585">
      <w:bodyDiv w:val="1"/>
      <w:marLeft w:val="0"/>
      <w:marRight w:val="0"/>
      <w:marTop w:val="0"/>
      <w:marBottom w:val="0"/>
      <w:divBdr>
        <w:top w:val="none" w:sz="0" w:space="0" w:color="auto"/>
        <w:left w:val="none" w:sz="0" w:space="0" w:color="auto"/>
        <w:bottom w:val="none" w:sz="0" w:space="0" w:color="auto"/>
        <w:right w:val="none" w:sz="0" w:space="0" w:color="auto"/>
      </w:divBdr>
    </w:div>
    <w:div w:id="1596936421">
      <w:bodyDiv w:val="1"/>
      <w:marLeft w:val="0"/>
      <w:marRight w:val="0"/>
      <w:marTop w:val="0"/>
      <w:marBottom w:val="0"/>
      <w:divBdr>
        <w:top w:val="none" w:sz="0" w:space="0" w:color="auto"/>
        <w:left w:val="none" w:sz="0" w:space="0" w:color="auto"/>
        <w:bottom w:val="none" w:sz="0" w:space="0" w:color="auto"/>
        <w:right w:val="none" w:sz="0" w:space="0" w:color="auto"/>
      </w:divBdr>
    </w:div>
    <w:div w:id="1598058378">
      <w:bodyDiv w:val="1"/>
      <w:marLeft w:val="0"/>
      <w:marRight w:val="0"/>
      <w:marTop w:val="0"/>
      <w:marBottom w:val="0"/>
      <w:divBdr>
        <w:top w:val="none" w:sz="0" w:space="0" w:color="auto"/>
        <w:left w:val="none" w:sz="0" w:space="0" w:color="auto"/>
        <w:bottom w:val="none" w:sz="0" w:space="0" w:color="auto"/>
        <w:right w:val="none" w:sz="0" w:space="0" w:color="auto"/>
      </w:divBdr>
    </w:div>
    <w:div w:id="1598295249">
      <w:bodyDiv w:val="1"/>
      <w:marLeft w:val="0"/>
      <w:marRight w:val="0"/>
      <w:marTop w:val="0"/>
      <w:marBottom w:val="0"/>
      <w:divBdr>
        <w:top w:val="none" w:sz="0" w:space="0" w:color="auto"/>
        <w:left w:val="none" w:sz="0" w:space="0" w:color="auto"/>
        <w:bottom w:val="none" w:sz="0" w:space="0" w:color="auto"/>
        <w:right w:val="none" w:sz="0" w:space="0" w:color="auto"/>
      </w:divBdr>
    </w:div>
    <w:div w:id="1598520681">
      <w:bodyDiv w:val="1"/>
      <w:marLeft w:val="0"/>
      <w:marRight w:val="0"/>
      <w:marTop w:val="0"/>
      <w:marBottom w:val="0"/>
      <w:divBdr>
        <w:top w:val="none" w:sz="0" w:space="0" w:color="auto"/>
        <w:left w:val="none" w:sz="0" w:space="0" w:color="auto"/>
        <w:bottom w:val="none" w:sz="0" w:space="0" w:color="auto"/>
        <w:right w:val="none" w:sz="0" w:space="0" w:color="auto"/>
      </w:divBdr>
    </w:div>
    <w:div w:id="1599100888">
      <w:bodyDiv w:val="1"/>
      <w:marLeft w:val="0"/>
      <w:marRight w:val="0"/>
      <w:marTop w:val="0"/>
      <w:marBottom w:val="0"/>
      <w:divBdr>
        <w:top w:val="none" w:sz="0" w:space="0" w:color="auto"/>
        <w:left w:val="none" w:sz="0" w:space="0" w:color="auto"/>
        <w:bottom w:val="none" w:sz="0" w:space="0" w:color="auto"/>
        <w:right w:val="none" w:sz="0" w:space="0" w:color="auto"/>
      </w:divBdr>
    </w:div>
    <w:div w:id="1599866888">
      <w:bodyDiv w:val="1"/>
      <w:marLeft w:val="0"/>
      <w:marRight w:val="0"/>
      <w:marTop w:val="0"/>
      <w:marBottom w:val="0"/>
      <w:divBdr>
        <w:top w:val="none" w:sz="0" w:space="0" w:color="auto"/>
        <w:left w:val="none" w:sz="0" w:space="0" w:color="auto"/>
        <w:bottom w:val="none" w:sz="0" w:space="0" w:color="auto"/>
        <w:right w:val="none" w:sz="0" w:space="0" w:color="auto"/>
      </w:divBdr>
      <w:divsChild>
        <w:div w:id="313678139">
          <w:marLeft w:val="547"/>
          <w:marRight w:val="0"/>
          <w:marTop w:val="134"/>
          <w:marBottom w:val="0"/>
          <w:divBdr>
            <w:top w:val="none" w:sz="0" w:space="0" w:color="auto"/>
            <w:left w:val="none" w:sz="0" w:space="0" w:color="auto"/>
            <w:bottom w:val="none" w:sz="0" w:space="0" w:color="auto"/>
            <w:right w:val="none" w:sz="0" w:space="0" w:color="auto"/>
          </w:divBdr>
        </w:div>
        <w:div w:id="353767163">
          <w:marLeft w:val="547"/>
          <w:marRight w:val="0"/>
          <w:marTop w:val="134"/>
          <w:marBottom w:val="0"/>
          <w:divBdr>
            <w:top w:val="none" w:sz="0" w:space="0" w:color="auto"/>
            <w:left w:val="none" w:sz="0" w:space="0" w:color="auto"/>
            <w:bottom w:val="none" w:sz="0" w:space="0" w:color="auto"/>
            <w:right w:val="none" w:sz="0" w:space="0" w:color="auto"/>
          </w:divBdr>
        </w:div>
        <w:div w:id="2103837047">
          <w:marLeft w:val="1166"/>
          <w:marRight w:val="0"/>
          <w:marTop w:val="115"/>
          <w:marBottom w:val="0"/>
          <w:divBdr>
            <w:top w:val="none" w:sz="0" w:space="0" w:color="auto"/>
            <w:left w:val="none" w:sz="0" w:space="0" w:color="auto"/>
            <w:bottom w:val="none" w:sz="0" w:space="0" w:color="auto"/>
            <w:right w:val="none" w:sz="0" w:space="0" w:color="auto"/>
          </w:divBdr>
        </w:div>
      </w:divsChild>
    </w:div>
    <w:div w:id="1599950563">
      <w:bodyDiv w:val="1"/>
      <w:marLeft w:val="0"/>
      <w:marRight w:val="0"/>
      <w:marTop w:val="0"/>
      <w:marBottom w:val="0"/>
      <w:divBdr>
        <w:top w:val="none" w:sz="0" w:space="0" w:color="auto"/>
        <w:left w:val="none" w:sz="0" w:space="0" w:color="auto"/>
        <w:bottom w:val="none" w:sz="0" w:space="0" w:color="auto"/>
        <w:right w:val="none" w:sz="0" w:space="0" w:color="auto"/>
      </w:divBdr>
    </w:div>
    <w:div w:id="1600331561">
      <w:bodyDiv w:val="1"/>
      <w:marLeft w:val="0"/>
      <w:marRight w:val="0"/>
      <w:marTop w:val="0"/>
      <w:marBottom w:val="0"/>
      <w:divBdr>
        <w:top w:val="none" w:sz="0" w:space="0" w:color="auto"/>
        <w:left w:val="none" w:sz="0" w:space="0" w:color="auto"/>
        <w:bottom w:val="none" w:sz="0" w:space="0" w:color="auto"/>
        <w:right w:val="none" w:sz="0" w:space="0" w:color="auto"/>
      </w:divBdr>
    </w:div>
    <w:div w:id="1600480342">
      <w:bodyDiv w:val="1"/>
      <w:marLeft w:val="0"/>
      <w:marRight w:val="0"/>
      <w:marTop w:val="0"/>
      <w:marBottom w:val="0"/>
      <w:divBdr>
        <w:top w:val="none" w:sz="0" w:space="0" w:color="auto"/>
        <w:left w:val="none" w:sz="0" w:space="0" w:color="auto"/>
        <w:bottom w:val="none" w:sz="0" w:space="0" w:color="auto"/>
        <w:right w:val="none" w:sz="0" w:space="0" w:color="auto"/>
      </w:divBdr>
    </w:div>
    <w:div w:id="1600942871">
      <w:bodyDiv w:val="1"/>
      <w:marLeft w:val="0"/>
      <w:marRight w:val="0"/>
      <w:marTop w:val="0"/>
      <w:marBottom w:val="0"/>
      <w:divBdr>
        <w:top w:val="none" w:sz="0" w:space="0" w:color="auto"/>
        <w:left w:val="none" w:sz="0" w:space="0" w:color="auto"/>
        <w:bottom w:val="none" w:sz="0" w:space="0" w:color="auto"/>
        <w:right w:val="none" w:sz="0" w:space="0" w:color="auto"/>
      </w:divBdr>
    </w:div>
    <w:div w:id="1601258005">
      <w:bodyDiv w:val="1"/>
      <w:marLeft w:val="0"/>
      <w:marRight w:val="0"/>
      <w:marTop w:val="0"/>
      <w:marBottom w:val="0"/>
      <w:divBdr>
        <w:top w:val="none" w:sz="0" w:space="0" w:color="auto"/>
        <w:left w:val="none" w:sz="0" w:space="0" w:color="auto"/>
        <w:bottom w:val="none" w:sz="0" w:space="0" w:color="auto"/>
        <w:right w:val="none" w:sz="0" w:space="0" w:color="auto"/>
      </w:divBdr>
    </w:div>
    <w:div w:id="1601640270">
      <w:bodyDiv w:val="1"/>
      <w:marLeft w:val="0"/>
      <w:marRight w:val="0"/>
      <w:marTop w:val="0"/>
      <w:marBottom w:val="0"/>
      <w:divBdr>
        <w:top w:val="none" w:sz="0" w:space="0" w:color="auto"/>
        <w:left w:val="none" w:sz="0" w:space="0" w:color="auto"/>
        <w:bottom w:val="none" w:sz="0" w:space="0" w:color="auto"/>
        <w:right w:val="none" w:sz="0" w:space="0" w:color="auto"/>
      </w:divBdr>
      <w:divsChild>
        <w:div w:id="16928060">
          <w:marLeft w:val="1267"/>
          <w:marRight w:val="0"/>
          <w:marTop w:val="77"/>
          <w:marBottom w:val="0"/>
          <w:divBdr>
            <w:top w:val="none" w:sz="0" w:space="0" w:color="auto"/>
            <w:left w:val="none" w:sz="0" w:space="0" w:color="auto"/>
            <w:bottom w:val="none" w:sz="0" w:space="0" w:color="auto"/>
            <w:right w:val="none" w:sz="0" w:space="0" w:color="auto"/>
          </w:divBdr>
        </w:div>
        <w:div w:id="146174327">
          <w:marLeft w:val="1267"/>
          <w:marRight w:val="0"/>
          <w:marTop w:val="77"/>
          <w:marBottom w:val="0"/>
          <w:divBdr>
            <w:top w:val="none" w:sz="0" w:space="0" w:color="auto"/>
            <w:left w:val="none" w:sz="0" w:space="0" w:color="auto"/>
            <w:bottom w:val="none" w:sz="0" w:space="0" w:color="auto"/>
            <w:right w:val="none" w:sz="0" w:space="0" w:color="auto"/>
          </w:divBdr>
        </w:div>
        <w:div w:id="466239621">
          <w:marLeft w:val="1267"/>
          <w:marRight w:val="0"/>
          <w:marTop w:val="77"/>
          <w:marBottom w:val="0"/>
          <w:divBdr>
            <w:top w:val="none" w:sz="0" w:space="0" w:color="auto"/>
            <w:left w:val="none" w:sz="0" w:space="0" w:color="auto"/>
            <w:bottom w:val="none" w:sz="0" w:space="0" w:color="auto"/>
            <w:right w:val="none" w:sz="0" w:space="0" w:color="auto"/>
          </w:divBdr>
        </w:div>
        <w:div w:id="471675299">
          <w:marLeft w:val="1267"/>
          <w:marRight w:val="0"/>
          <w:marTop w:val="77"/>
          <w:marBottom w:val="0"/>
          <w:divBdr>
            <w:top w:val="none" w:sz="0" w:space="0" w:color="auto"/>
            <w:left w:val="none" w:sz="0" w:space="0" w:color="auto"/>
            <w:bottom w:val="none" w:sz="0" w:space="0" w:color="auto"/>
            <w:right w:val="none" w:sz="0" w:space="0" w:color="auto"/>
          </w:divBdr>
        </w:div>
        <w:div w:id="593826686">
          <w:marLeft w:val="1267"/>
          <w:marRight w:val="0"/>
          <w:marTop w:val="77"/>
          <w:marBottom w:val="0"/>
          <w:divBdr>
            <w:top w:val="none" w:sz="0" w:space="0" w:color="auto"/>
            <w:left w:val="none" w:sz="0" w:space="0" w:color="auto"/>
            <w:bottom w:val="none" w:sz="0" w:space="0" w:color="auto"/>
            <w:right w:val="none" w:sz="0" w:space="0" w:color="auto"/>
          </w:divBdr>
        </w:div>
        <w:div w:id="754209200">
          <w:marLeft w:val="850"/>
          <w:marRight w:val="0"/>
          <w:marTop w:val="77"/>
          <w:marBottom w:val="0"/>
          <w:divBdr>
            <w:top w:val="none" w:sz="0" w:space="0" w:color="auto"/>
            <w:left w:val="none" w:sz="0" w:space="0" w:color="auto"/>
            <w:bottom w:val="none" w:sz="0" w:space="0" w:color="auto"/>
            <w:right w:val="none" w:sz="0" w:space="0" w:color="auto"/>
          </w:divBdr>
        </w:div>
        <w:div w:id="1020468613">
          <w:marLeft w:val="1267"/>
          <w:marRight w:val="0"/>
          <w:marTop w:val="77"/>
          <w:marBottom w:val="0"/>
          <w:divBdr>
            <w:top w:val="none" w:sz="0" w:space="0" w:color="auto"/>
            <w:left w:val="none" w:sz="0" w:space="0" w:color="auto"/>
            <w:bottom w:val="none" w:sz="0" w:space="0" w:color="auto"/>
            <w:right w:val="none" w:sz="0" w:space="0" w:color="auto"/>
          </w:divBdr>
        </w:div>
        <w:div w:id="1037119292">
          <w:marLeft w:val="432"/>
          <w:marRight w:val="0"/>
          <w:marTop w:val="86"/>
          <w:marBottom w:val="0"/>
          <w:divBdr>
            <w:top w:val="none" w:sz="0" w:space="0" w:color="auto"/>
            <w:left w:val="none" w:sz="0" w:space="0" w:color="auto"/>
            <w:bottom w:val="none" w:sz="0" w:space="0" w:color="auto"/>
            <w:right w:val="none" w:sz="0" w:space="0" w:color="auto"/>
          </w:divBdr>
        </w:div>
        <w:div w:id="1155341156">
          <w:marLeft w:val="1267"/>
          <w:marRight w:val="0"/>
          <w:marTop w:val="77"/>
          <w:marBottom w:val="0"/>
          <w:divBdr>
            <w:top w:val="none" w:sz="0" w:space="0" w:color="auto"/>
            <w:left w:val="none" w:sz="0" w:space="0" w:color="auto"/>
            <w:bottom w:val="none" w:sz="0" w:space="0" w:color="auto"/>
            <w:right w:val="none" w:sz="0" w:space="0" w:color="auto"/>
          </w:divBdr>
        </w:div>
        <w:div w:id="1179345296">
          <w:marLeft w:val="1267"/>
          <w:marRight w:val="0"/>
          <w:marTop w:val="77"/>
          <w:marBottom w:val="0"/>
          <w:divBdr>
            <w:top w:val="none" w:sz="0" w:space="0" w:color="auto"/>
            <w:left w:val="none" w:sz="0" w:space="0" w:color="auto"/>
            <w:bottom w:val="none" w:sz="0" w:space="0" w:color="auto"/>
            <w:right w:val="none" w:sz="0" w:space="0" w:color="auto"/>
          </w:divBdr>
        </w:div>
        <w:div w:id="1468471687">
          <w:marLeft w:val="1267"/>
          <w:marRight w:val="0"/>
          <w:marTop w:val="77"/>
          <w:marBottom w:val="0"/>
          <w:divBdr>
            <w:top w:val="none" w:sz="0" w:space="0" w:color="auto"/>
            <w:left w:val="none" w:sz="0" w:space="0" w:color="auto"/>
            <w:bottom w:val="none" w:sz="0" w:space="0" w:color="auto"/>
            <w:right w:val="none" w:sz="0" w:space="0" w:color="auto"/>
          </w:divBdr>
        </w:div>
        <w:div w:id="1886327951">
          <w:marLeft w:val="850"/>
          <w:marRight w:val="0"/>
          <w:marTop w:val="77"/>
          <w:marBottom w:val="0"/>
          <w:divBdr>
            <w:top w:val="none" w:sz="0" w:space="0" w:color="auto"/>
            <w:left w:val="none" w:sz="0" w:space="0" w:color="auto"/>
            <w:bottom w:val="none" w:sz="0" w:space="0" w:color="auto"/>
            <w:right w:val="none" w:sz="0" w:space="0" w:color="auto"/>
          </w:divBdr>
        </w:div>
        <w:div w:id="1909487750">
          <w:marLeft w:val="850"/>
          <w:marRight w:val="0"/>
          <w:marTop w:val="77"/>
          <w:marBottom w:val="0"/>
          <w:divBdr>
            <w:top w:val="none" w:sz="0" w:space="0" w:color="auto"/>
            <w:left w:val="none" w:sz="0" w:space="0" w:color="auto"/>
            <w:bottom w:val="none" w:sz="0" w:space="0" w:color="auto"/>
            <w:right w:val="none" w:sz="0" w:space="0" w:color="auto"/>
          </w:divBdr>
        </w:div>
        <w:div w:id="2019193202">
          <w:marLeft w:val="1267"/>
          <w:marRight w:val="0"/>
          <w:marTop w:val="77"/>
          <w:marBottom w:val="0"/>
          <w:divBdr>
            <w:top w:val="none" w:sz="0" w:space="0" w:color="auto"/>
            <w:left w:val="none" w:sz="0" w:space="0" w:color="auto"/>
            <w:bottom w:val="none" w:sz="0" w:space="0" w:color="auto"/>
            <w:right w:val="none" w:sz="0" w:space="0" w:color="auto"/>
          </w:divBdr>
        </w:div>
      </w:divsChild>
    </w:div>
    <w:div w:id="1601913972">
      <w:bodyDiv w:val="1"/>
      <w:marLeft w:val="0"/>
      <w:marRight w:val="0"/>
      <w:marTop w:val="0"/>
      <w:marBottom w:val="0"/>
      <w:divBdr>
        <w:top w:val="none" w:sz="0" w:space="0" w:color="auto"/>
        <w:left w:val="none" w:sz="0" w:space="0" w:color="auto"/>
        <w:bottom w:val="none" w:sz="0" w:space="0" w:color="auto"/>
        <w:right w:val="none" w:sz="0" w:space="0" w:color="auto"/>
      </w:divBdr>
      <w:divsChild>
        <w:div w:id="244726669">
          <w:marLeft w:val="547"/>
          <w:marRight w:val="0"/>
          <w:marTop w:val="115"/>
          <w:marBottom w:val="0"/>
          <w:divBdr>
            <w:top w:val="none" w:sz="0" w:space="0" w:color="auto"/>
            <w:left w:val="none" w:sz="0" w:space="0" w:color="auto"/>
            <w:bottom w:val="none" w:sz="0" w:space="0" w:color="auto"/>
            <w:right w:val="none" w:sz="0" w:space="0" w:color="auto"/>
          </w:divBdr>
        </w:div>
        <w:div w:id="546375789">
          <w:marLeft w:val="547"/>
          <w:marRight w:val="0"/>
          <w:marTop w:val="115"/>
          <w:marBottom w:val="0"/>
          <w:divBdr>
            <w:top w:val="none" w:sz="0" w:space="0" w:color="auto"/>
            <w:left w:val="none" w:sz="0" w:space="0" w:color="auto"/>
            <w:bottom w:val="none" w:sz="0" w:space="0" w:color="auto"/>
            <w:right w:val="none" w:sz="0" w:space="0" w:color="auto"/>
          </w:divBdr>
        </w:div>
        <w:div w:id="936253293">
          <w:marLeft w:val="547"/>
          <w:marRight w:val="0"/>
          <w:marTop w:val="115"/>
          <w:marBottom w:val="0"/>
          <w:divBdr>
            <w:top w:val="none" w:sz="0" w:space="0" w:color="auto"/>
            <w:left w:val="none" w:sz="0" w:space="0" w:color="auto"/>
            <w:bottom w:val="none" w:sz="0" w:space="0" w:color="auto"/>
            <w:right w:val="none" w:sz="0" w:space="0" w:color="auto"/>
          </w:divBdr>
        </w:div>
        <w:div w:id="1798181388">
          <w:marLeft w:val="547"/>
          <w:marRight w:val="0"/>
          <w:marTop w:val="115"/>
          <w:marBottom w:val="0"/>
          <w:divBdr>
            <w:top w:val="none" w:sz="0" w:space="0" w:color="auto"/>
            <w:left w:val="none" w:sz="0" w:space="0" w:color="auto"/>
            <w:bottom w:val="none" w:sz="0" w:space="0" w:color="auto"/>
            <w:right w:val="none" w:sz="0" w:space="0" w:color="auto"/>
          </w:divBdr>
        </w:div>
      </w:divsChild>
    </w:div>
    <w:div w:id="1602369748">
      <w:bodyDiv w:val="1"/>
      <w:marLeft w:val="0"/>
      <w:marRight w:val="0"/>
      <w:marTop w:val="0"/>
      <w:marBottom w:val="0"/>
      <w:divBdr>
        <w:top w:val="none" w:sz="0" w:space="0" w:color="auto"/>
        <w:left w:val="none" w:sz="0" w:space="0" w:color="auto"/>
        <w:bottom w:val="none" w:sz="0" w:space="0" w:color="auto"/>
        <w:right w:val="none" w:sz="0" w:space="0" w:color="auto"/>
      </w:divBdr>
      <w:divsChild>
        <w:div w:id="180509937">
          <w:marLeft w:val="1166"/>
          <w:marRight w:val="0"/>
          <w:marTop w:val="115"/>
          <w:marBottom w:val="0"/>
          <w:divBdr>
            <w:top w:val="none" w:sz="0" w:space="0" w:color="auto"/>
            <w:left w:val="none" w:sz="0" w:space="0" w:color="auto"/>
            <w:bottom w:val="none" w:sz="0" w:space="0" w:color="auto"/>
            <w:right w:val="none" w:sz="0" w:space="0" w:color="auto"/>
          </w:divBdr>
        </w:div>
        <w:div w:id="786586786">
          <w:marLeft w:val="2520"/>
          <w:marRight w:val="0"/>
          <w:marTop w:val="77"/>
          <w:marBottom w:val="0"/>
          <w:divBdr>
            <w:top w:val="none" w:sz="0" w:space="0" w:color="auto"/>
            <w:left w:val="none" w:sz="0" w:space="0" w:color="auto"/>
            <w:bottom w:val="none" w:sz="0" w:space="0" w:color="auto"/>
            <w:right w:val="none" w:sz="0" w:space="0" w:color="auto"/>
          </w:divBdr>
        </w:div>
        <w:div w:id="853495794">
          <w:marLeft w:val="1800"/>
          <w:marRight w:val="0"/>
          <w:marTop w:val="96"/>
          <w:marBottom w:val="0"/>
          <w:divBdr>
            <w:top w:val="none" w:sz="0" w:space="0" w:color="auto"/>
            <w:left w:val="none" w:sz="0" w:space="0" w:color="auto"/>
            <w:bottom w:val="none" w:sz="0" w:space="0" w:color="auto"/>
            <w:right w:val="none" w:sz="0" w:space="0" w:color="auto"/>
          </w:divBdr>
        </w:div>
        <w:div w:id="966787399">
          <w:marLeft w:val="547"/>
          <w:marRight w:val="0"/>
          <w:marTop w:val="134"/>
          <w:marBottom w:val="0"/>
          <w:divBdr>
            <w:top w:val="none" w:sz="0" w:space="0" w:color="auto"/>
            <w:left w:val="none" w:sz="0" w:space="0" w:color="auto"/>
            <w:bottom w:val="none" w:sz="0" w:space="0" w:color="auto"/>
            <w:right w:val="none" w:sz="0" w:space="0" w:color="auto"/>
          </w:divBdr>
        </w:div>
        <w:div w:id="1217468365">
          <w:marLeft w:val="1800"/>
          <w:marRight w:val="0"/>
          <w:marTop w:val="96"/>
          <w:marBottom w:val="0"/>
          <w:divBdr>
            <w:top w:val="none" w:sz="0" w:space="0" w:color="auto"/>
            <w:left w:val="none" w:sz="0" w:space="0" w:color="auto"/>
            <w:bottom w:val="none" w:sz="0" w:space="0" w:color="auto"/>
            <w:right w:val="none" w:sz="0" w:space="0" w:color="auto"/>
          </w:divBdr>
        </w:div>
        <w:div w:id="1274509071">
          <w:marLeft w:val="1800"/>
          <w:marRight w:val="0"/>
          <w:marTop w:val="96"/>
          <w:marBottom w:val="0"/>
          <w:divBdr>
            <w:top w:val="none" w:sz="0" w:space="0" w:color="auto"/>
            <w:left w:val="none" w:sz="0" w:space="0" w:color="auto"/>
            <w:bottom w:val="none" w:sz="0" w:space="0" w:color="auto"/>
            <w:right w:val="none" w:sz="0" w:space="0" w:color="auto"/>
          </w:divBdr>
        </w:div>
        <w:div w:id="1563099592">
          <w:marLeft w:val="1166"/>
          <w:marRight w:val="0"/>
          <w:marTop w:val="115"/>
          <w:marBottom w:val="0"/>
          <w:divBdr>
            <w:top w:val="none" w:sz="0" w:space="0" w:color="auto"/>
            <w:left w:val="none" w:sz="0" w:space="0" w:color="auto"/>
            <w:bottom w:val="none" w:sz="0" w:space="0" w:color="auto"/>
            <w:right w:val="none" w:sz="0" w:space="0" w:color="auto"/>
          </w:divBdr>
        </w:div>
      </w:divsChild>
    </w:div>
    <w:div w:id="1602879985">
      <w:bodyDiv w:val="1"/>
      <w:marLeft w:val="0"/>
      <w:marRight w:val="0"/>
      <w:marTop w:val="0"/>
      <w:marBottom w:val="0"/>
      <w:divBdr>
        <w:top w:val="none" w:sz="0" w:space="0" w:color="auto"/>
        <w:left w:val="none" w:sz="0" w:space="0" w:color="auto"/>
        <w:bottom w:val="none" w:sz="0" w:space="0" w:color="auto"/>
        <w:right w:val="none" w:sz="0" w:space="0" w:color="auto"/>
      </w:divBdr>
    </w:div>
    <w:div w:id="1603145753">
      <w:bodyDiv w:val="1"/>
      <w:marLeft w:val="0"/>
      <w:marRight w:val="0"/>
      <w:marTop w:val="0"/>
      <w:marBottom w:val="0"/>
      <w:divBdr>
        <w:top w:val="none" w:sz="0" w:space="0" w:color="auto"/>
        <w:left w:val="none" w:sz="0" w:space="0" w:color="auto"/>
        <w:bottom w:val="none" w:sz="0" w:space="0" w:color="auto"/>
        <w:right w:val="none" w:sz="0" w:space="0" w:color="auto"/>
      </w:divBdr>
    </w:div>
    <w:div w:id="1603416991">
      <w:bodyDiv w:val="1"/>
      <w:marLeft w:val="0"/>
      <w:marRight w:val="0"/>
      <w:marTop w:val="0"/>
      <w:marBottom w:val="0"/>
      <w:divBdr>
        <w:top w:val="none" w:sz="0" w:space="0" w:color="auto"/>
        <w:left w:val="none" w:sz="0" w:space="0" w:color="auto"/>
        <w:bottom w:val="none" w:sz="0" w:space="0" w:color="auto"/>
        <w:right w:val="none" w:sz="0" w:space="0" w:color="auto"/>
      </w:divBdr>
      <w:divsChild>
        <w:div w:id="551309064">
          <w:marLeft w:val="547"/>
          <w:marRight w:val="0"/>
          <w:marTop w:val="154"/>
          <w:marBottom w:val="0"/>
          <w:divBdr>
            <w:top w:val="none" w:sz="0" w:space="0" w:color="auto"/>
            <w:left w:val="none" w:sz="0" w:space="0" w:color="auto"/>
            <w:bottom w:val="none" w:sz="0" w:space="0" w:color="auto"/>
            <w:right w:val="none" w:sz="0" w:space="0" w:color="auto"/>
          </w:divBdr>
        </w:div>
        <w:div w:id="1890532492">
          <w:marLeft w:val="1166"/>
          <w:marRight w:val="0"/>
          <w:marTop w:val="134"/>
          <w:marBottom w:val="0"/>
          <w:divBdr>
            <w:top w:val="none" w:sz="0" w:space="0" w:color="auto"/>
            <w:left w:val="none" w:sz="0" w:space="0" w:color="auto"/>
            <w:bottom w:val="none" w:sz="0" w:space="0" w:color="auto"/>
            <w:right w:val="none" w:sz="0" w:space="0" w:color="auto"/>
          </w:divBdr>
        </w:div>
      </w:divsChild>
    </w:div>
    <w:div w:id="1603806835">
      <w:bodyDiv w:val="1"/>
      <w:marLeft w:val="0"/>
      <w:marRight w:val="0"/>
      <w:marTop w:val="0"/>
      <w:marBottom w:val="0"/>
      <w:divBdr>
        <w:top w:val="none" w:sz="0" w:space="0" w:color="auto"/>
        <w:left w:val="none" w:sz="0" w:space="0" w:color="auto"/>
        <w:bottom w:val="none" w:sz="0" w:space="0" w:color="auto"/>
        <w:right w:val="none" w:sz="0" w:space="0" w:color="auto"/>
      </w:divBdr>
    </w:div>
    <w:div w:id="1604149671">
      <w:bodyDiv w:val="1"/>
      <w:marLeft w:val="0"/>
      <w:marRight w:val="0"/>
      <w:marTop w:val="0"/>
      <w:marBottom w:val="0"/>
      <w:divBdr>
        <w:top w:val="none" w:sz="0" w:space="0" w:color="auto"/>
        <w:left w:val="none" w:sz="0" w:space="0" w:color="auto"/>
        <w:bottom w:val="none" w:sz="0" w:space="0" w:color="auto"/>
        <w:right w:val="none" w:sz="0" w:space="0" w:color="auto"/>
      </w:divBdr>
      <w:divsChild>
        <w:div w:id="947078104">
          <w:marLeft w:val="0"/>
          <w:marRight w:val="0"/>
          <w:marTop w:val="0"/>
          <w:marBottom w:val="0"/>
          <w:divBdr>
            <w:top w:val="none" w:sz="0" w:space="0" w:color="auto"/>
            <w:left w:val="none" w:sz="0" w:space="0" w:color="auto"/>
            <w:bottom w:val="none" w:sz="0" w:space="0" w:color="auto"/>
            <w:right w:val="none" w:sz="0" w:space="0" w:color="auto"/>
          </w:divBdr>
          <w:divsChild>
            <w:div w:id="87389146">
              <w:marLeft w:val="0"/>
              <w:marRight w:val="0"/>
              <w:marTop w:val="0"/>
              <w:marBottom w:val="0"/>
              <w:divBdr>
                <w:top w:val="none" w:sz="0" w:space="0" w:color="auto"/>
                <w:left w:val="none" w:sz="0" w:space="0" w:color="auto"/>
                <w:bottom w:val="none" w:sz="0" w:space="0" w:color="auto"/>
                <w:right w:val="none" w:sz="0" w:space="0" w:color="auto"/>
              </w:divBdr>
            </w:div>
            <w:div w:id="528221496">
              <w:marLeft w:val="0"/>
              <w:marRight w:val="0"/>
              <w:marTop w:val="0"/>
              <w:marBottom w:val="0"/>
              <w:divBdr>
                <w:top w:val="none" w:sz="0" w:space="0" w:color="auto"/>
                <w:left w:val="none" w:sz="0" w:space="0" w:color="auto"/>
                <w:bottom w:val="none" w:sz="0" w:space="0" w:color="auto"/>
                <w:right w:val="none" w:sz="0" w:space="0" w:color="auto"/>
              </w:divBdr>
            </w:div>
            <w:div w:id="18477490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04261772">
      <w:bodyDiv w:val="1"/>
      <w:marLeft w:val="0"/>
      <w:marRight w:val="0"/>
      <w:marTop w:val="0"/>
      <w:marBottom w:val="0"/>
      <w:divBdr>
        <w:top w:val="none" w:sz="0" w:space="0" w:color="auto"/>
        <w:left w:val="none" w:sz="0" w:space="0" w:color="auto"/>
        <w:bottom w:val="none" w:sz="0" w:space="0" w:color="auto"/>
        <w:right w:val="none" w:sz="0" w:space="0" w:color="auto"/>
      </w:divBdr>
    </w:div>
    <w:div w:id="1605458377">
      <w:bodyDiv w:val="1"/>
      <w:marLeft w:val="0"/>
      <w:marRight w:val="0"/>
      <w:marTop w:val="0"/>
      <w:marBottom w:val="0"/>
      <w:divBdr>
        <w:top w:val="none" w:sz="0" w:space="0" w:color="auto"/>
        <w:left w:val="none" w:sz="0" w:space="0" w:color="auto"/>
        <w:bottom w:val="none" w:sz="0" w:space="0" w:color="auto"/>
        <w:right w:val="none" w:sz="0" w:space="0" w:color="auto"/>
      </w:divBdr>
    </w:div>
    <w:div w:id="1605919171">
      <w:bodyDiv w:val="1"/>
      <w:marLeft w:val="0"/>
      <w:marRight w:val="0"/>
      <w:marTop w:val="0"/>
      <w:marBottom w:val="0"/>
      <w:divBdr>
        <w:top w:val="none" w:sz="0" w:space="0" w:color="auto"/>
        <w:left w:val="none" w:sz="0" w:space="0" w:color="auto"/>
        <w:bottom w:val="none" w:sz="0" w:space="0" w:color="auto"/>
        <w:right w:val="none" w:sz="0" w:space="0" w:color="auto"/>
      </w:divBdr>
    </w:div>
    <w:div w:id="1606231877">
      <w:bodyDiv w:val="1"/>
      <w:marLeft w:val="0"/>
      <w:marRight w:val="0"/>
      <w:marTop w:val="0"/>
      <w:marBottom w:val="0"/>
      <w:divBdr>
        <w:top w:val="none" w:sz="0" w:space="0" w:color="auto"/>
        <w:left w:val="none" w:sz="0" w:space="0" w:color="auto"/>
        <w:bottom w:val="none" w:sz="0" w:space="0" w:color="auto"/>
        <w:right w:val="none" w:sz="0" w:space="0" w:color="auto"/>
      </w:divBdr>
    </w:div>
    <w:div w:id="1607496832">
      <w:bodyDiv w:val="1"/>
      <w:marLeft w:val="0"/>
      <w:marRight w:val="0"/>
      <w:marTop w:val="0"/>
      <w:marBottom w:val="0"/>
      <w:divBdr>
        <w:top w:val="none" w:sz="0" w:space="0" w:color="auto"/>
        <w:left w:val="none" w:sz="0" w:space="0" w:color="auto"/>
        <w:bottom w:val="none" w:sz="0" w:space="0" w:color="auto"/>
        <w:right w:val="none" w:sz="0" w:space="0" w:color="auto"/>
      </w:divBdr>
    </w:div>
    <w:div w:id="1607807532">
      <w:bodyDiv w:val="1"/>
      <w:marLeft w:val="0"/>
      <w:marRight w:val="0"/>
      <w:marTop w:val="0"/>
      <w:marBottom w:val="0"/>
      <w:divBdr>
        <w:top w:val="none" w:sz="0" w:space="0" w:color="auto"/>
        <w:left w:val="none" w:sz="0" w:space="0" w:color="auto"/>
        <w:bottom w:val="none" w:sz="0" w:space="0" w:color="auto"/>
        <w:right w:val="none" w:sz="0" w:space="0" w:color="auto"/>
      </w:divBdr>
    </w:div>
    <w:div w:id="1608464269">
      <w:bodyDiv w:val="1"/>
      <w:marLeft w:val="0"/>
      <w:marRight w:val="0"/>
      <w:marTop w:val="0"/>
      <w:marBottom w:val="0"/>
      <w:divBdr>
        <w:top w:val="none" w:sz="0" w:space="0" w:color="auto"/>
        <w:left w:val="none" w:sz="0" w:space="0" w:color="auto"/>
        <w:bottom w:val="none" w:sz="0" w:space="0" w:color="auto"/>
        <w:right w:val="none" w:sz="0" w:space="0" w:color="auto"/>
      </w:divBdr>
    </w:div>
    <w:div w:id="1608999513">
      <w:bodyDiv w:val="1"/>
      <w:marLeft w:val="0"/>
      <w:marRight w:val="0"/>
      <w:marTop w:val="0"/>
      <w:marBottom w:val="0"/>
      <w:divBdr>
        <w:top w:val="none" w:sz="0" w:space="0" w:color="auto"/>
        <w:left w:val="none" w:sz="0" w:space="0" w:color="auto"/>
        <w:bottom w:val="none" w:sz="0" w:space="0" w:color="auto"/>
        <w:right w:val="none" w:sz="0" w:space="0" w:color="auto"/>
      </w:divBdr>
    </w:div>
    <w:div w:id="1609465489">
      <w:bodyDiv w:val="1"/>
      <w:marLeft w:val="0"/>
      <w:marRight w:val="0"/>
      <w:marTop w:val="0"/>
      <w:marBottom w:val="0"/>
      <w:divBdr>
        <w:top w:val="none" w:sz="0" w:space="0" w:color="auto"/>
        <w:left w:val="none" w:sz="0" w:space="0" w:color="auto"/>
        <w:bottom w:val="none" w:sz="0" w:space="0" w:color="auto"/>
        <w:right w:val="none" w:sz="0" w:space="0" w:color="auto"/>
      </w:divBdr>
    </w:div>
    <w:div w:id="1609896654">
      <w:bodyDiv w:val="1"/>
      <w:marLeft w:val="0"/>
      <w:marRight w:val="0"/>
      <w:marTop w:val="0"/>
      <w:marBottom w:val="0"/>
      <w:divBdr>
        <w:top w:val="none" w:sz="0" w:space="0" w:color="auto"/>
        <w:left w:val="none" w:sz="0" w:space="0" w:color="auto"/>
        <w:bottom w:val="none" w:sz="0" w:space="0" w:color="auto"/>
        <w:right w:val="none" w:sz="0" w:space="0" w:color="auto"/>
      </w:divBdr>
    </w:div>
    <w:div w:id="1609970652">
      <w:bodyDiv w:val="1"/>
      <w:marLeft w:val="0"/>
      <w:marRight w:val="0"/>
      <w:marTop w:val="0"/>
      <w:marBottom w:val="0"/>
      <w:divBdr>
        <w:top w:val="none" w:sz="0" w:space="0" w:color="auto"/>
        <w:left w:val="none" w:sz="0" w:space="0" w:color="auto"/>
        <w:bottom w:val="none" w:sz="0" w:space="0" w:color="auto"/>
        <w:right w:val="none" w:sz="0" w:space="0" w:color="auto"/>
      </w:divBdr>
      <w:divsChild>
        <w:div w:id="1016813176">
          <w:marLeft w:val="547"/>
          <w:marRight w:val="0"/>
          <w:marTop w:val="154"/>
          <w:marBottom w:val="0"/>
          <w:divBdr>
            <w:top w:val="none" w:sz="0" w:space="0" w:color="auto"/>
            <w:left w:val="none" w:sz="0" w:space="0" w:color="auto"/>
            <w:bottom w:val="none" w:sz="0" w:space="0" w:color="auto"/>
            <w:right w:val="none" w:sz="0" w:space="0" w:color="auto"/>
          </w:divBdr>
        </w:div>
        <w:div w:id="1278290326">
          <w:marLeft w:val="1166"/>
          <w:marRight w:val="0"/>
          <w:marTop w:val="134"/>
          <w:marBottom w:val="0"/>
          <w:divBdr>
            <w:top w:val="none" w:sz="0" w:space="0" w:color="auto"/>
            <w:left w:val="none" w:sz="0" w:space="0" w:color="auto"/>
            <w:bottom w:val="none" w:sz="0" w:space="0" w:color="auto"/>
            <w:right w:val="none" w:sz="0" w:space="0" w:color="auto"/>
          </w:divBdr>
        </w:div>
        <w:div w:id="1447893263">
          <w:marLeft w:val="1166"/>
          <w:marRight w:val="0"/>
          <w:marTop w:val="134"/>
          <w:marBottom w:val="0"/>
          <w:divBdr>
            <w:top w:val="none" w:sz="0" w:space="0" w:color="auto"/>
            <w:left w:val="none" w:sz="0" w:space="0" w:color="auto"/>
            <w:bottom w:val="none" w:sz="0" w:space="0" w:color="auto"/>
            <w:right w:val="none" w:sz="0" w:space="0" w:color="auto"/>
          </w:divBdr>
        </w:div>
        <w:div w:id="1728458880">
          <w:marLeft w:val="1166"/>
          <w:marRight w:val="0"/>
          <w:marTop w:val="134"/>
          <w:marBottom w:val="0"/>
          <w:divBdr>
            <w:top w:val="none" w:sz="0" w:space="0" w:color="auto"/>
            <w:left w:val="none" w:sz="0" w:space="0" w:color="auto"/>
            <w:bottom w:val="none" w:sz="0" w:space="0" w:color="auto"/>
            <w:right w:val="none" w:sz="0" w:space="0" w:color="auto"/>
          </w:divBdr>
        </w:div>
        <w:div w:id="1812597443">
          <w:marLeft w:val="1166"/>
          <w:marRight w:val="0"/>
          <w:marTop w:val="134"/>
          <w:marBottom w:val="0"/>
          <w:divBdr>
            <w:top w:val="none" w:sz="0" w:space="0" w:color="auto"/>
            <w:left w:val="none" w:sz="0" w:space="0" w:color="auto"/>
            <w:bottom w:val="none" w:sz="0" w:space="0" w:color="auto"/>
            <w:right w:val="none" w:sz="0" w:space="0" w:color="auto"/>
          </w:divBdr>
        </w:div>
        <w:div w:id="1853760667">
          <w:marLeft w:val="547"/>
          <w:marRight w:val="0"/>
          <w:marTop w:val="173"/>
          <w:marBottom w:val="0"/>
          <w:divBdr>
            <w:top w:val="none" w:sz="0" w:space="0" w:color="auto"/>
            <w:left w:val="none" w:sz="0" w:space="0" w:color="auto"/>
            <w:bottom w:val="none" w:sz="0" w:space="0" w:color="auto"/>
            <w:right w:val="none" w:sz="0" w:space="0" w:color="auto"/>
          </w:divBdr>
        </w:div>
        <w:div w:id="1940289295">
          <w:marLeft w:val="1166"/>
          <w:marRight w:val="0"/>
          <w:marTop w:val="134"/>
          <w:marBottom w:val="0"/>
          <w:divBdr>
            <w:top w:val="none" w:sz="0" w:space="0" w:color="auto"/>
            <w:left w:val="none" w:sz="0" w:space="0" w:color="auto"/>
            <w:bottom w:val="none" w:sz="0" w:space="0" w:color="auto"/>
            <w:right w:val="none" w:sz="0" w:space="0" w:color="auto"/>
          </w:divBdr>
        </w:div>
      </w:divsChild>
    </w:div>
    <w:div w:id="1610970104">
      <w:bodyDiv w:val="1"/>
      <w:marLeft w:val="0"/>
      <w:marRight w:val="0"/>
      <w:marTop w:val="0"/>
      <w:marBottom w:val="0"/>
      <w:divBdr>
        <w:top w:val="none" w:sz="0" w:space="0" w:color="auto"/>
        <w:left w:val="none" w:sz="0" w:space="0" w:color="auto"/>
        <w:bottom w:val="none" w:sz="0" w:space="0" w:color="auto"/>
        <w:right w:val="none" w:sz="0" w:space="0" w:color="auto"/>
      </w:divBdr>
    </w:div>
    <w:div w:id="1611621209">
      <w:bodyDiv w:val="1"/>
      <w:marLeft w:val="0"/>
      <w:marRight w:val="0"/>
      <w:marTop w:val="0"/>
      <w:marBottom w:val="0"/>
      <w:divBdr>
        <w:top w:val="none" w:sz="0" w:space="0" w:color="auto"/>
        <w:left w:val="none" w:sz="0" w:space="0" w:color="auto"/>
        <w:bottom w:val="none" w:sz="0" w:space="0" w:color="auto"/>
        <w:right w:val="none" w:sz="0" w:space="0" w:color="auto"/>
      </w:divBdr>
    </w:div>
    <w:div w:id="1612127573">
      <w:bodyDiv w:val="1"/>
      <w:marLeft w:val="0"/>
      <w:marRight w:val="0"/>
      <w:marTop w:val="0"/>
      <w:marBottom w:val="0"/>
      <w:divBdr>
        <w:top w:val="none" w:sz="0" w:space="0" w:color="auto"/>
        <w:left w:val="none" w:sz="0" w:space="0" w:color="auto"/>
        <w:bottom w:val="none" w:sz="0" w:space="0" w:color="auto"/>
        <w:right w:val="none" w:sz="0" w:space="0" w:color="auto"/>
      </w:divBdr>
    </w:div>
    <w:div w:id="1612662264">
      <w:bodyDiv w:val="1"/>
      <w:marLeft w:val="0"/>
      <w:marRight w:val="0"/>
      <w:marTop w:val="0"/>
      <w:marBottom w:val="0"/>
      <w:divBdr>
        <w:top w:val="none" w:sz="0" w:space="0" w:color="auto"/>
        <w:left w:val="none" w:sz="0" w:space="0" w:color="auto"/>
        <w:bottom w:val="none" w:sz="0" w:space="0" w:color="auto"/>
        <w:right w:val="none" w:sz="0" w:space="0" w:color="auto"/>
      </w:divBdr>
    </w:div>
    <w:div w:id="1612710571">
      <w:bodyDiv w:val="1"/>
      <w:marLeft w:val="0"/>
      <w:marRight w:val="0"/>
      <w:marTop w:val="0"/>
      <w:marBottom w:val="0"/>
      <w:divBdr>
        <w:top w:val="none" w:sz="0" w:space="0" w:color="auto"/>
        <w:left w:val="none" w:sz="0" w:space="0" w:color="auto"/>
        <w:bottom w:val="none" w:sz="0" w:space="0" w:color="auto"/>
        <w:right w:val="none" w:sz="0" w:space="0" w:color="auto"/>
      </w:divBdr>
    </w:div>
    <w:div w:id="1612712158">
      <w:bodyDiv w:val="1"/>
      <w:marLeft w:val="0"/>
      <w:marRight w:val="0"/>
      <w:marTop w:val="0"/>
      <w:marBottom w:val="0"/>
      <w:divBdr>
        <w:top w:val="none" w:sz="0" w:space="0" w:color="auto"/>
        <w:left w:val="none" w:sz="0" w:space="0" w:color="auto"/>
        <w:bottom w:val="none" w:sz="0" w:space="0" w:color="auto"/>
        <w:right w:val="none" w:sz="0" w:space="0" w:color="auto"/>
      </w:divBdr>
    </w:div>
    <w:div w:id="1612932312">
      <w:bodyDiv w:val="1"/>
      <w:marLeft w:val="0"/>
      <w:marRight w:val="0"/>
      <w:marTop w:val="0"/>
      <w:marBottom w:val="0"/>
      <w:divBdr>
        <w:top w:val="none" w:sz="0" w:space="0" w:color="auto"/>
        <w:left w:val="none" w:sz="0" w:space="0" w:color="auto"/>
        <w:bottom w:val="none" w:sz="0" w:space="0" w:color="auto"/>
        <w:right w:val="none" w:sz="0" w:space="0" w:color="auto"/>
      </w:divBdr>
    </w:div>
    <w:div w:id="1613245120">
      <w:bodyDiv w:val="1"/>
      <w:marLeft w:val="0"/>
      <w:marRight w:val="0"/>
      <w:marTop w:val="0"/>
      <w:marBottom w:val="0"/>
      <w:divBdr>
        <w:top w:val="none" w:sz="0" w:space="0" w:color="auto"/>
        <w:left w:val="none" w:sz="0" w:space="0" w:color="auto"/>
        <w:bottom w:val="none" w:sz="0" w:space="0" w:color="auto"/>
        <w:right w:val="none" w:sz="0" w:space="0" w:color="auto"/>
      </w:divBdr>
    </w:div>
    <w:div w:id="1613394917">
      <w:bodyDiv w:val="1"/>
      <w:marLeft w:val="0"/>
      <w:marRight w:val="0"/>
      <w:marTop w:val="0"/>
      <w:marBottom w:val="0"/>
      <w:divBdr>
        <w:top w:val="none" w:sz="0" w:space="0" w:color="auto"/>
        <w:left w:val="none" w:sz="0" w:space="0" w:color="auto"/>
        <w:bottom w:val="none" w:sz="0" w:space="0" w:color="auto"/>
        <w:right w:val="none" w:sz="0" w:space="0" w:color="auto"/>
      </w:divBdr>
    </w:div>
    <w:div w:id="1613438755">
      <w:bodyDiv w:val="1"/>
      <w:marLeft w:val="0"/>
      <w:marRight w:val="0"/>
      <w:marTop w:val="0"/>
      <w:marBottom w:val="0"/>
      <w:divBdr>
        <w:top w:val="none" w:sz="0" w:space="0" w:color="auto"/>
        <w:left w:val="none" w:sz="0" w:space="0" w:color="auto"/>
        <w:bottom w:val="none" w:sz="0" w:space="0" w:color="auto"/>
        <w:right w:val="none" w:sz="0" w:space="0" w:color="auto"/>
      </w:divBdr>
    </w:div>
    <w:div w:id="1615019048">
      <w:bodyDiv w:val="1"/>
      <w:marLeft w:val="0"/>
      <w:marRight w:val="0"/>
      <w:marTop w:val="0"/>
      <w:marBottom w:val="0"/>
      <w:divBdr>
        <w:top w:val="none" w:sz="0" w:space="0" w:color="auto"/>
        <w:left w:val="none" w:sz="0" w:space="0" w:color="auto"/>
        <w:bottom w:val="none" w:sz="0" w:space="0" w:color="auto"/>
        <w:right w:val="none" w:sz="0" w:space="0" w:color="auto"/>
      </w:divBdr>
    </w:div>
    <w:div w:id="1615362568">
      <w:bodyDiv w:val="1"/>
      <w:marLeft w:val="0"/>
      <w:marRight w:val="0"/>
      <w:marTop w:val="0"/>
      <w:marBottom w:val="0"/>
      <w:divBdr>
        <w:top w:val="none" w:sz="0" w:space="0" w:color="auto"/>
        <w:left w:val="none" w:sz="0" w:space="0" w:color="auto"/>
        <w:bottom w:val="none" w:sz="0" w:space="0" w:color="auto"/>
        <w:right w:val="none" w:sz="0" w:space="0" w:color="auto"/>
      </w:divBdr>
    </w:div>
    <w:div w:id="1615988518">
      <w:bodyDiv w:val="1"/>
      <w:marLeft w:val="0"/>
      <w:marRight w:val="0"/>
      <w:marTop w:val="0"/>
      <w:marBottom w:val="0"/>
      <w:divBdr>
        <w:top w:val="none" w:sz="0" w:space="0" w:color="auto"/>
        <w:left w:val="none" w:sz="0" w:space="0" w:color="auto"/>
        <w:bottom w:val="none" w:sz="0" w:space="0" w:color="auto"/>
        <w:right w:val="none" w:sz="0" w:space="0" w:color="auto"/>
      </w:divBdr>
    </w:div>
    <w:div w:id="1616936596">
      <w:bodyDiv w:val="1"/>
      <w:marLeft w:val="0"/>
      <w:marRight w:val="0"/>
      <w:marTop w:val="0"/>
      <w:marBottom w:val="0"/>
      <w:divBdr>
        <w:top w:val="none" w:sz="0" w:space="0" w:color="auto"/>
        <w:left w:val="none" w:sz="0" w:space="0" w:color="auto"/>
        <w:bottom w:val="none" w:sz="0" w:space="0" w:color="auto"/>
        <w:right w:val="none" w:sz="0" w:space="0" w:color="auto"/>
      </w:divBdr>
    </w:div>
    <w:div w:id="1618484763">
      <w:bodyDiv w:val="1"/>
      <w:marLeft w:val="0"/>
      <w:marRight w:val="0"/>
      <w:marTop w:val="0"/>
      <w:marBottom w:val="0"/>
      <w:divBdr>
        <w:top w:val="none" w:sz="0" w:space="0" w:color="auto"/>
        <w:left w:val="none" w:sz="0" w:space="0" w:color="auto"/>
        <w:bottom w:val="none" w:sz="0" w:space="0" w:color="auto"/>
        <w:right w:val="none" w:sz="0" w:space="0" w:color="auto"/>
      </w:divBdr>
    </w:div>
    <w:div w:id="1618634967">
      <w:bodyDiv w:val="1"/>
      <w:marLeft w:val="0"/>
      <w:marRight w:val="0"/>
      <w:marTop w:val="0"/>
      <w:marBottom w:val="0"/>
      <w:divBdr>
        <w:top w:val="none" w:sz="0" w:space="0" w:color="auto"/>
        <w:left w:val="none" w:sz="0" w:space="0" w:color="auto"/>
        <w:bottom w:val="none" w:sz="0" w:space="0" w:color="auto"/>
        <w:right w:val="none" w:sz="0" w:space="0" w:color="auto"/>
      </w:divBdr>
      <w:divsChild>
        <w:div w:id="210698696">
          <w:marLeft w:val="1166"/>
          <w:marRight w:val="0"/>
          <w:marTop w:val="77"/>
          <w:marBottom w:val="0"/>
          <w:divBdr>
            <w:top w:val="none" w:sz="0" w:space="0" w:color="auto"/>
            <w:left w:val="none" w:sz="0" w:space="0" w:color="auto"/>
            <w:bottom w:val="none" w:sz="0" w:space="0" w:color="auto"/>
            <w:right w:val="none" w:sz="0" w:space="0" w:color="auto"/>
          </w:divBdr>
        </w:div>
        <w:div w:id="256257232">
          <w:marLeft w:val="547"/>
          <w:marRight w:val="0"/>
          <w:marTop w:val="86"/>
          <w:marBottom w:val="0"/>
          <w:divBdr>
            <w:top w:val="none" w:sz="0" w:space="0" w:color="auto"/>
            <w:left w:val="none" w:sz="0" w:space="0" w:color="auto"/>
            <w:bottom w:val="none" w:sz="0" w:space="0" w:color="auto"/>
            <w:right w:val="none" w:sz="0" w:space="0" w:color="auto"/>
          </w:divBdr>
        </w:div>
        <w:div w:id="896816339">
          <w:marLeft w:val="547"/>
          <w:marRight w:val="0"/>
          <w:marTop w:val="86"/>
          <w:marBottom w:val="0"/>
          <w:divBdr>
            <w:top w:val="none" w:sz="0" w:space="0" w:color="auto"/>
            <w:left w:val="none" w:sz="0" w:space="0" w:color="auto"/>
            <w:bottom w:val="none" w:sz="0" w:space="0" w:color="auto"/>
            <w:right w:val="none" w:sz="0" w:space="0" w:color="auto"/>
          </w:divBdr>
        </w:div>
        <w:div w:id="1244145650">
          <w:marLeft w:val="1166"/>
          <w:marRight w:val="0"/>
          <w:marTop w:val="77"/>
          <w:marBottom w:val="0"/>
          <w:divBdr>
            <w:top w:val="none" w:sz="0" w:space="0" w:color="auto"/>
            <w:left w:val="none" w:sz="0" w:space="0" w:color="auto"/>
            <w:bottom w:val="none" w:sz="0" w:space="0" w:color="auto"/>
            <w:right w:val="none" w:sz="0" w:space="0" w:color="auto"/>
          </w:divBdr>
        </w:div>
        <w:div w:id="1511288009">
          <w:marLeft w:val="547"/>
          <w:marRight w:val="0"/>
          <w:marTop w:val="86"/>
          <w:marBottom w:val="0"/>
          <w:divBdr>
            <w:top w:val="none" w:sz="0" w:space="0" w:color="auto"/>
            <w:left w:val="none" w:sz="0" w:space="0" w:color="auto"/>
            <w:bottom w:val="none" w:sz="0" w:space="0" w:color="auto"/>
            <w:right w:val="none" w:sz="0" w:space="0" w:color="auto"/>
          </w:divBdr>
        </w:div>
        <w:div w:id="1546064238">
          <w:marLeft w:val="547"/>
          <w:marRight w:val="0"/>
          <w:marTop w:val="96"/>
          <w:marBottom w:val="0"/>
          <w:divBdr>
            <w:top w:val="none" w:sz="0" w:space="0" w:color="auto"/>
            <w:left w:val="none" w:sz="0" w:space="0" w:color="auto"/>
            <w:bottom w:val="none" w:sz="0" w:space="0" w:color="auto"/>
            <w:right w:val="none" w:sz="0" w:space="0" w:color="auto"/>
          </w:divBdr>
        </w:div>
        <w:div w:id="1660688897">
          <w:marLeft w:val="1166"/>
          <w:marRight w:val="0"/>
          <w:marTop w:val="77"/>
          <w:marBottom w:val="0"/>
          <w:divBdr>
            <w:top w:val="none" w:sz="0" w:space="0" w:color="auto"/>
            <w:left w:val="none" w:sz="0" w:space="0" w:color="auto"/>
            <w:bottom w:val="none" w:sz="0" w:space="0" w:color="auto"/>
            <w:right w:val="none" w:sz="0" w:space="0" w:color="auto"/>
          </w:divBdr>
        </w:div>
        <w:div w:id="1753090331">
          <w:marLeft w:val="1166"/>
          <w:marRight w:val="0"/>
          <w:marTop w:val="77"/>
          <w:marBottom w:val="0"/>
          <w:divBdr>
            <w:top w:val="none" w:sz="0" w:space="0" w:color="auto"/>
            <w:left w:val="none" w:sz="0" w:space="0" w:color="auto"/>
            <w:bottom w:val="none" w:sz="0" w:space="0" w:color="auto"/>
            <w:right w:val="none" w:sz="0" w:space="0" w:color="auto"/>
          </w:divBdr>
        </w:div>
        <w:div w:id="1791782654">
          <w:marLeft w:val="1166"/>
          <w:marRight w:val="0"/>
          <w:marTop w:val="77"/>
          <w:marBottom w:val="0"/>
          <w:divBdr>
            <w:top w:val="none" w:sz="0" w:space="0" w:color="auto"/>
            <w:left w:val="none" w:sz="0" w:space="0" w:color="auto"/>
            <w:bottom w:val="none" w:sz="0" w:space="0" w:color="auto"/>
            <w:right w:val="none" w:sz="0" w:space="0" w:color="auto"/>
          </w:divBdr>
        </w:div>
        <w:div w:id="1795245236">
          <w:marLeft w:val="1166"/>
          <w:marRight w:val="0"/>
          <w:marTop w:val="77"/>
          <w:marBottom w:val="0"/>
          <w:divBdr>
            <w:top w:val="none" w:sz="0" w:space="0" w:color="auto"/>
            <w:left w:val="none" w:sz="0" w:space="0" w:color="auto"/>
            <w:bottom w:val="none" w:sz="0" w:space="0" w:color="auto"/>
            <w:right w:val="none" w:sz="0" w:space="0" w:color="auto"/>
          </w:divBdr>
        </w:div>
        <w:div w:id="1896426498">
          <w:marLeft w:val="1166"/>
          <w:marRight w:val="0"/>
          <w:marTop w:val="77"/>
          <w:marBottom w:val="0"/>
          <w:divBdr>
            <w:top w:val="none" w:sz="0" w:space="0" w:color="auto"/>
            <w:left w:val="none" w:sz="0" w:space="0" w:color="auto"/>
            <w:bottom w:val="none" w:sz="0" w:space="0" w:color="auto"/>
            <w:right w:val="none" w:sz="0" w:space="0" w:color="auto"/>
          </w:divBdr>
        </w:div>
        <w:div w:id="1920094374">
          <w:marLeft w:val="1166"/>
          <w:marRight w:val="0"/>
          <w:marTop w:val="77"/>
          <w:marBottom w:val="0"/>
          <w:divBdr>
            <w:top w:val="none" w:sz="0" w:space="0" w:color="auto"/>
            <w:left w:val="none" w:sz="0" w:space="0" w:color="auto"/>
            <w:bottom w:val="none" w:sz="0" w:space="0" w:color="auto"/>
            <w:right w:val="none" w:sz="0" w:space="0" w:color="auto"/>
          </w:divBdr>
        </w:div>
      </w:divsChild>
    </w:div>
    <w:div w:id="1618756602">
      <w:bodyDiv w:val="1"/>
      <w:marLeft w:val="0"/>
      <w:marRight w:val="0"/>
      <w:marTop w:val="0"/>
      <w:marBottom w:val="0"/>
      <w:divBdr>
        <w:top w:val="none" w:sz="0" w:space="0" w:color="auto"/>
        <w:left w:val="none" w:sz="0" w:space="0" w:color="auto"/>
        <w:bottom w:val="none" w:sz="0" w:space="0" w:color="auto"/>
        <w:right w:val="none" w:sz="0" w:space="0" w:color="auto"/>
      </w:divBdr>
      <w:divsChild>
        <w:div w:id="15424012">
          <w:marLeft w:val="1080"/>
          <w:marRight w:val="0"/>
          <w:marTop w:val="100"/>
          <w:marBottom w:val="0"/>
          <w:divBdr>
            <w:top w:val="none" w:sz="0" w:space="0" w:color="auto"/>
            <w:left w:val="none" w:sz="0" w:space="0" w:color="auto"/>
            <w:bottom w:val="none" w:sz="0" w:space="0" w:color="auto"/>
            <w:right w:val="none" w:sz="0" w:space="0" w:color="auto"/>
          </w:divBdr>
        </w:div>
        <w:div w:id="81264825">
          <w:marLeft w:val="360"/>
          <w:marRight w:val="0"/>
          <w:marTop w:val="200"/>
          <w:marBottom w:val="0"/>
          <w:divBdr>
            <w:top w:val="none" w:sz="0" w:space="0" w:color="auto"/>
            <w:left w:val="none" w:sz="0" w:space="0" w:color="auto"/>
            <w:bottom w:val="none" w:sz="0" w:space="0" w:color="auto"/>
            <w:right w:val="none" w:sz="0" w:space="0" w:color="auto"/>
          </w:divBdr>
        </w:div>
        <w:div w:id="378478551">
          <w:marLeft w:val="1080"/>
          <w:marRight w:val="0"/>
          <w:marTop w:val="100"/>
          <w:marBottom w:val="0"/>
          <w:divBdr>
            <w:top w:val="none" w:sz="0" w:space="0" w:color="auto"/>
            <w:left w:val="none" w:sz="0" w:space="0" w:color="auto"/>
            <w:bottom w:val="none" w:sz="0" w:space="0" w:color="auto"/>
            <w:right w:val="none" w:sz="0" w:space="0" w:color="auto"/>
          </w:divBdr>
        </w:div>
        <w:div w:id="676463992">
          <w:marLeft w:val="360"/>
          <w:marRight w:val="0"/>
          <w:marTop w:val="200"/>
          <w:marBottom w:val="0"/>
          <w:divBdr>
            <w:top w:val="none" w:sz="0" w:space="0" w:color="auto"/>
            <w:left w:val="none" w:sz="0" w:space="0" w:color="auto"/>
            <w:bottom w:val="none" w:sz="0" w:space="0" w:color="auto"/>
            <w:right w:val="none" w:sz="0" w:space="0" w:color="auto"/>
          </w:divBdr>
        </w:div>
        <w:div w:id="1327050918">
          <w:marLeft w:val="360"/>
          <w:marRight w:val="0"/>
          <w:marTop w:val="200"/>
          <w:marBottom w:val="0"/>
          <w:divBdr>
            <w:top w:val="none" w:sz="0" w:space="0" w:color="auto"/>
            <w:left w:val="none" w:sz="0" w:space="0" w:color="auto"/>
            <w:bottom w:val="none" w:sz="0" w:space="0" w:color="auto"/>
            <w:right w:val="none" w:sz="0" w:space="0" w:color="auto"/>
          </w:divBdr>
        </w:div>
      </w:divsChild>
    </w:div>
    <w:div w:id="1620644117">
      <w:bodyDiv w:val="1"/>
      <w:marLeft w:val="0"/>
      <w:marRight w:val="0"/>
      <w:marTop w:val="0"/>
      <w:marBottom w:val="0"/>
      <w:divBdr>
        <w:top w:val="none" w:sz="0" w:space="0" w:color="auto"/>
        <w:left w:val="none" w:sz="0" w:space="0" w:color="auto"/>
        <w:bottom w:val="none" w:sz="0" w:space="0" w:color="auto"/>
        <w:right w:val="none" w:sz="0" w:space="0" w:color="auto"/>
      </w:divBdr>
      <w:divsChild>
        <w:div w:id="114063845">
          <w:marLeft w:val="1166"/>
          <w:marRight w:val="0"/>
          <w:marTop w:val="96"/>
          <w:marBottom w:val="0"/>
          <w:divBdr>
            <w:top w:val="none" w:sz="0" w:space="0" w:color="auto"/>
            <w:left w:val="none" w:sz="0" w:space="0" w:color="auto"/>
            <w:bottom w:val="none" w:sz="0" w:space="0" w:color="auto"/>
            <w:right w:val="none" w:sz="0" w:space="0" w:color="auto"/>
          </w:divBdr>
        </w:div>
        <w:div w:id="310057778">
          <w:marLeft w:val="547"/>
          <w:marRight w:val="0"/>
          <w:marTop w:val="115"/>
          <w:marBottom w:val="0"/>
          <w:divBdr>
            <w:top w:val="none" w:sz="0" w:space="0" w:color="auto"/>
            <w:left w:val="none" w:sz="0" w:space="0" w:color="auto"/>
            <w:bottom w:val="none" w:sz="0" w:space="0" w:color="auto"/>
            <w:right w:val="none" w:sz="0" w:space="0" w:color="auto"/>
          </w:divBdr>
        </w:div>
        <w:div w:id="1007486863">
          <w:marLeft w:val="547"/>
          <w:marRight w:val="0"/>
          <w:marTop w:val="115"/>
          <w:marBottom w:val="0"/>
          <w:divBdr>
            <w:top w:val="none" w:sz="0" w:space="0" w:color="auto"/>
            <w:left w:val="none" w:sz="0" w:space="0" w:color="auto"/>
            <w:bottom w:val="none" w:sz="0" w:space="0" w:color="auto"/>
            <w:right w:val="none" w:sz="0" w:space="0" w:color="auto"/>
          </w:divBdr>
        </w:div>
        <w:div w:id="1008874497">
          <w:marLeft w:val="1166"/>
          <w:marRight w:val="0"/>
          <w:marTop w:val="96"/>
          <w:marBottom w:val="0"/>
          <w:divBdr>
            <w:top w:val="none" w:sz="0" w:space="0" w:color="auto"/>
            <w:left w:val="none" w:sz="0" w:space="0" w:color="auto"/>
            <w:bottom w:val="none" w:sz="0" w:space="0" w:color="auto"/>
            <w:right w:val="none" w:sz="0" w:space="0" w:color="auto"/>
          </w:divBdr>
        </w:div>
        <w:div w:id="1205798005">
          <w:marLeft w:val="1166"/>
          <w:marRight w:val="0"/>
          <w:marTop w:val="96"/>
          <w:marBottom w:val="0"/>
          <w:divBdr>
            <w:top w:val="none" w:sz="0" w:space="0" w:color="auto"/>
            <w:left w:val="none" w:sz="0" w:space="0" w:color="auto"/>
            <w:bottom w:val="none" w:sz="0" w:space="0" w:color="auto"/>
            <w:right w:val="none" w:sz="0" w:space="0" w:color="auto"/>
          </w:divBdr>
        </w:div>
        <w:div w:id="1213466245">
          <w:marLeft w:val="1166"/>
          <w:marRight w:val="0"/>
          <w:marTop w:val="96"/>
          <w:marBottom w:val="0"/>
          <w:divBdr>
            <w:top w:val="none" w:sz="0" w:space="0" w:color="auto"/>
            <w:left w:val="none" w:sz="0" w:space="0" w:color="auto"/>
            <w:bottom w:val="none" w:sz="0" w:space="0" w:color="auto"/>
            <w:right w:val="none" w:sz="0" w:space="0" w:color="auto"/>
          </w:divBdr>
        </w:div>
        <w:div w:id="2104910404">
          <w:marLeft w:val="1166"/>
          <w:marRight w:val="0"/>
          <w:marTop w:val="96"/>
          <w:marBottom w:val="0"/>
          <w:divBdr>
            <w:top w:val="none" w:sz="0" w:space="0" w:color="auto"/>
            <w:left w:val="none" w:sz="0" w:space="0" w:color="auto"/>
            <w:bottom w:val="none" w:sz="0" w:space="0" w:color="auto"/>
            <w:right w:val="none" w:sz="0" w:space="0" w:color="auto"/>
          </w:divBdr>
        </w:div>
      </w:divsChild>
    </w:div>
    <w:div w:id="1620647261">
      <w:bodyDiv w:val="1"/>
      <w:marLeft w:val="0"/>
      <w:marRight w:val="0"/>
      <w:marTop w:val="0"/>
      <w:marBottom w:val="0"/>
      <w:divBdr>
        <w:top w:val="none" w:sz="0" w:space="0" w:color="auto"/>
        <w:left w:val="none" w:sz="0" w:space="0" w:color="auto"/>
        <w:bottom w:val="none" w:sz="0" w:space="0" w:color="auto"/>
        <w:right w:val="none" w:sz="0" w:space="0" w:color="auto"/>
      </w:divBdr>
    </w:div>
    <w:div w:id="1621034819">
      <w:bodyDiv w:val="1"/>
      <w:marLeft w:val="0"/>
      <w:marRight w:val="0"/>
      <w:marTop w:val="0"/>
      <w:marBottom w:val="0"/>
      <w:divBdr>
        <w:top w:val="none" w:sz="0" w:space="0" w:color="auto"/>
        <w:left w:val="none" w:sz="0" w:space="0" w:color="auto"/>
        <w:bottom w:val="none" w:sz="0" w:space="0" w:color="auto"/>
        <w:right w:val="none" w:sz="0" w:space="0" w:color="auto"/>
      </w:divBdr>
    </w:div>
    <w:div w:id="1621181110">
      <w:bodyDiv w:val="1"/>
      <w:marLeft w:val="0"/>
      <w:marRight w:val="0"/>
      <w:marTop w:val="0"/>
      <w:marBottom w:val="0"/>
      <w:divBdr>
        <w:top w:val="none" w:sz="0" w:space="0" w:color="auto"/>
        <w:left w:val="none" w:sz="0" w:space="0" w:color="auto"/>
        <w:bottom w:val="none" w:sz="0" w:space="0" w:color="auto"/>
        <w:right w:val="none" w:sz="0" w:space="0" w:color="auto"/>
      </w:divBdr>
    </w:div>
    <w:div w:id="1621649856">
      <w:bodyDiv w:val="1"/>
      <w:marLeft w:val="0"/>
      <w:marRight w:val="0"/>
      <w:marTop w:val="0"/>
      <w:marBottom w:val="0"/>
      <w:divBdr>
        <w:top w:val="none" w:sz="0" w:space="0" w:color="auto"/>
        <w:left w:val="none" w:sz="0" w:space="0" w:color="auto"/>
        <w:bottom w:val="none" w:sz="0" w:space="0" w:color="auto"/>
        <w:right w:val="none" w:sz="0" w:space="0" w:color="auto"/>
      </w:divBdr>
    </w:div>
    <w:div w:id="1623271577">
      <w:bodyDiv w:val="1"/>
      <w:marLeft w:val="0"/>
      <w:marRight w:val="0"/>
      <w:marTop w:val="0"/>
      <w:marBottom w:val="0"/>
      <w:divBdr>
        <w:top w:val="none" w:sz="0" w:space="0" w:color="auto"/>
        <w:left w:val="none" w:sz="0" w:space="0" w:color="auto"/>
        <w:bottom w:val="none" w:sz="0" w:space="0" w:color="auto"/>
        <w:right w:val="none" w:sz="0" w:space="0" w:color="auto"/>
      </w:divBdr>
      <w:divsChild>
        <w:div w:id="834608416">
          <w:marLeft w:val="1166"/>
          <w:marRight w:val="0"/>
          <w:marTop w:val="115"/>
          <w:marBottom w:val="0"/>
          <w:divBdr>
            <w:top w:val="none" w:sz="0" w:space="0" w:color="auto"/>
            <w:left w:val="none" w:sz="0" w:space="0" w:color="auto"/>
            <w:bottom w:val="none" w:sz="0" w:space="0" w:color="auto"/>
            <w:right w:val="none" w:sz="0" w:space="0" w:color="auto"/>
          </w:divBdr>
        </w:div>
        <w:div w:id="964383910">
          <w:marLeft w:val="547"/>
          <w:marRight w:val="0"/>
          <w:marTop w:val="134"/>
          <w:marBottom w:val="0"/>
          <w:divBdr>
            <w:top w:val="none" w:sz="0" w:space="0" w:color="auto"/>
            <w:left w:val="none" w:sz="0" w:space="0" w:color="auto"/>
            <w:bottom w:val="none" w:sz="0" w:space="0" w:color="auto"/>
            <w:right w:val="none" w:sz="0" w:space="0" w:color="auto"/>
          </w:divBdr>
        </w:div>
        <w:div w:id="1079791844">
          <w:marLeft w:val="1800"/>
          <w:marRight w:val="0"/>
          <w:marTop w:val="96"/>
          <w:marBottom w:val="0"/>
          <w:divBdr>
            <w:top w:val="none" w:sz="0" w:space="0" w:color="auto"/>
            <w:left w:val="none" w:sz="0" w:space="0" w:color="auto"/>
            <w:bottom w:val="none" w:sz="0" w:space="0" w:color="auto"/>
            <w:right w:val="none" w:sz="0" w:space="0" w:color="auto"/>
          </w:divBdr>
        </w:div>
        <w:div w:id="1498494639">
          <w:marLeft w:val="1800"/>
          <w:marRight w:val="0"/>
          <w:marTop w:val="96"/>
          <w:marBottom w:val="0"/>
          <w:divBdr>
            <w:top w:val="none" w:sz="0" w:space="0" w:color="auto"/>
            <w:left w:val="none" w:sz="0" w:space="0" w:color="auto"/>
            <w:bottom w:val="none" w:sz="0" w:space="0" w:color="auto"/>
            <w:right w:val="none" w:sz="0" w:space="0" w:color="auto"/>
          </w:divBdr>
        </w:div>
        <w:div w:id="1568032326">
          <w:marLeft w:val="1166"/>
          <w:marRight w:val="0"/>
          <w:marTop w:val="115"/>
          <w:marBottom w:val="0"/>
          <w:divBdr>
            <w:top w:val="none" w:sz="0" w:space="0" w:color="auto"/>
            <w:left w:val="none" w:sz="0" w:space="0" w:color="auto"/>
            <w:bottom w:val="none" w:sz="0" w:space="0" w:color="auto"/>
            <w:right w:val="none" w:sz="0" w:space="0" w:color="auto"/>
          </w:divBdr>
        </w:div>
      </w:divsChild>
    </w:div>
    <w:div w:id="1624068736">
      <w:bodyDiv w:val="1"/>
      <w:marLeft w:val="0"/>
      <w:marRight w:val="0"/>
      <w:marTop w:val="0"/>
      <w:marBottom w:val="0"/>
      <w:divBdr>
        <w:top w:val="none" w:sz="0" w:space="0" w:color="auto"/>
        <w:left w:val="none" w:sz="0" w:space="0" w:color="auto"/>
        <w:bottom w:val="none" w:sz="0" w:space="0" w:color="auto"/>
        <w:right w:val="none" w:sz="0" w:space="0" w:color="auto"/>
      </w:divBdr>
      <w:divsChild>
        <w:div w:id="762652157">
          <w:marLeft w:val="547"/>
          <w:marRight w:val="0"/>
          <w:marTop w:val="154"/>
          <w:marBottom w:val="0"/>
          <w:divBdr>
            <w:top w:val="none" w:sz="0" w:space="0" w:color="auto"/>
            <w:left w:val="none" w:sz="0" w:space="0" w:color="auto"/>
            <w:bottom w:val="none" w:sz="0" w:space="0" w:color="auto"/>
            <w:right w:val="none" w:sz="0" w:space="0" w:color="auto"/>
          </w:divBdr>
        </w:div>
      </w:divsChild>
    </w:div>
    <w:div w:id="1624730577">
      <w:bodyDiv w:val="1"/>
      <w:marLeft w:val="0"/>
      <w:marRight w:val="0"/>
      <w:marTop w:val="0"/>
      <w:marBottom w:val="0"/>
      <w:divBdr>
        <w:top w:val="none" w:sz="0" w:space="0" w:color="auto"/>
        <w:left w:val="none" w:sz="0" w:space="0" w:color="auto"/>
        <w:bottom w:val="none" w:sz="0" w:space="0" w:color="auto"/>
        <w:right w:val="none" w:sz="0" w:space="0" w:color="auto"/>
      </w:divBdr>
    </w:div>
    <w:div w:id="1624919402">
      <w:bodyDiv w:val="1"/>
      <w:marLeft w:val="0"/>
      <w:marRight w:val="0"/>
      <w:marTop w:val="0"/>
      <w:marBottom w:val="0"/>
      <w:divBdr>
        <w:top w:val="none" w:sz="0" w:space="0" w:color="auto"/>
        <w:left w:val="none" w:sz="0" w:space="0" w:color="auto"/>
        <w:bottom w:val="none" w:sz="0" w:space="0" w:color="auto"/>
        <w:right w:val="none" w:sz="0" w:space="0" w:color="auto"/>
      </w:divBdr>
      <w:divsChild>
        <w:div w:id="601501179">
          <w:marLeft w:val="360"/>
          <w:marRight w:val="0"/>
          <w:marTop w:val="200"/>
          <w:marBottom w:val="0"/>
          <w:divBdr>
            <w:top w:val="none" w:sz="0" w:space="0" w:color="auto"/>
            <w:left w:val="none" w:sz="0" w:space="0" w:color="auto"/>
            <w:bottom w:val="none" w:sz="0" w:space="0" w:color="auto"/>
            <w:right w:val="none" w:sz="0" w:space="0" w:color="auto"/>
          </w:divBdr>
        </w:div>
        <w:div w:id="869100974">
          <w:marLeft w:val="360"/>
          <w:marRight w:val="0"/>
          <w:marTop w:val="200"/>
          <w:marBottom w:val="0"/>
          <w:divBdr>
            <w:top w:val="none" w:sz="0" w:space="0" w:color="auto"/>
            <w:left w:val="none" w:sz="0" w:space="0" w:color="auto"/>
            <w:bottom w:val="none" w:sz="0" w:space="0" w:color="auto"/>
            <w:right w:val="none" w:sz="0" w:space="0" w:color="auto"/>
          </w:divBdr>
        </w:div>
        <w:div w:id="953294222">
          <w:marLeft w:val="360"/>
          <w:marRight w:val="0"/>
          <w:marTop w:val="200"/>
          <w:marBottom w:val="0"/>
          <w:divBdr>
            <w:top w:val="none" w:sz="0" w:space="0" w:color="auto"/>
            <w:left w:val="none" w:sz="0" w:space="0" w:color="auto"/>
            <w:bottom w:val="none" w:sz="0" w:space="0" w:color="auto"/>
            <w:right w:val="none" w:sz="0" w:space="0" w:color="auto"/>
          </w:divBdr>
        </w:div>
        <w:div w:id="1321929081">
          <w:marLeft w:val="360"/>
          <w:marRight w:val="0"/>
          <w:marTop w:val="200"/>
          <w:marBottom w:val="0"/>
          <w:divBdr>
            <w:top w:val="none" w:sz="0" w:space="0" w:color="auto"/>
            <w:left w:val="none" w:sz="0" w:space="0" w:color="auto"/>
            <w:bottom w:val="none" w:sz="0" w:space="0" w:color="auto"/>
            <w:right w:val="none" w:sz="0" w:space="0" w:color="auto"/>
          </w:divBdr>
        </w:div>
        <w:div w:id="1573153438">
          <w:marLeft w:val="360"/>
          <w:marRight w:val="0"/>
          <w:marTop w:val="200"/>
          <w:marBottom w:val="0"/>
          <w:divBdr>
            <w:top w:val="none" w:sz="0" w:space="0" w:color="auto"/>
            <w:left w:val="none" w:sz="0" w:space="0" w:color="auto"/>
            <w:bottom w:val="none" w:sz="0" w:space="0" w:color="auto"/>
            <w:right w:val="none" w:sz="0" w:space="0" w:color="auto"/>
          </w:divBdr>
        </w:div>
        <w:div w:id="1697654738">
          <w:marLeft w:val="1080"/>
          <w:marRight w:val="0"/>
          <w:marTop w:val="100"/>
          <w:marBottom w:val="0"/>
          <w:divBdr>
            <w:top w:val="none" w:sz="0" w:space="0" w:color="auto"/>
            <w:left w:val="none" w:sz="0" w:space="0" w:color="auto"/>
            <w:bottom w:val="none" w:sz="0" w:space="0" w:color="auto"/>
            <w:right w:val="none" w:sz="0" w:space="0" w:color="auto"/>
          </w:divBdr>
        </w:div>
      </w:divsChild>
    </w:div>
    <w:div w:id="1625387753">
      <w:bodyDiv w:val="1"/>
      <w:marLeft w:val="0"/>
      <w:marRight w:val="0"/>
      <w:marTop w:val="0"/>
      <w:marBottom w:val="0"/>
      <w:divBdr>
        <w:top w:val="none" w:sz="0" w:space="0" w:color="auto"/>
        <w:left w:val="none" w:sz="0" w:space="0" w:color="auto"/>
        <w:bottom w:val="none" w:sz="0" w:space="0" w:color="auto"/>
        <w:right w:val="none" w:sz="0" w:space="0" w:color="auto"/>
      </w:divBdr>
    </w:div>
    <w:div w:id="1625842359">
      <w:bodyDiv w:val="1"/>
      <w:marLeft w:val="0"/>
      <w:marRight w:val="0"/>
      <w:marTop w:val="0"/>
      <w:marBottom w:val="0"/>
      <w:divBdr>
        <w:top w:val="none" w:sz="0" w:space="0" w:color="auto"/>
        <w:left w:val="none" w:sz="0" w:space="0" w:color="auto"/>
        <w:bottom w:val="none" w:sz="0" w:space="0" w:color="auto"/>
        <w:right w:val="none" w:sz="0" w:space="0" w:color="auto"/>
      </w:divBdr>
    </w:div>
    <w:div w:id="1626306932">
      <w:bodyDiv w:val="1"/>
      <w:marLeft w:val="0"/>
      <w:marRight w:val="0"/>
      <w:marTop w:val="0"/>
      <w:marBottom w:val="0"/>
      <w:divBdr>
        <w:top w:val="none" w:sz="0" w:space="0" w:color="auto"/>
        <w:left w:val="none" w:sz="0" w:space="0" w:color="auto"/>
        <w:bottom w:val="none" w:sz="0" w:space="0" w:color="auto"/>
        <w:right w:val="none" w:sz="0" w:space="0" w:color="auto"/>
      </w:divBdr>
    </w:div>
    <w:div w:id="1626353594">
      <w:bodyDiv w:val="1"/>
      <w:marLeft w:val="0"/>
      <w:marRight w:val="0"/>
      <w:marTop w:val="0"/>
      <w:marBottom w:val="0"/>
      <w:divBdr>
        <w:top w:val="none" w:sz="0" w:space="0" w:color="auto"/>
        <w:left w:val="none" w:sz="0" w:space="0" w:color="auto"/>
        <w:bottom w:val="none" w:sz="0" w:space="0" w:color="auto"/>
        <w:right w:val="none" w:sz="0" w:space="0" w:color="auto"/>
      </w:divBdr>
    </w:div>
    <w:div w:id="1627928739">
      <w:bodyDiv w:val="1"/>
      <w:marLeft w:val="0"/>
      <w:marRight w:val="0"/>
      <w:marTop w:val="0"/>
      <w:marBottom w:val="0"/>
      <w:divBdr>
        <w:top w:val="none" w:sz="0" w:space="0" w:color="auto"/>
        <w:left w:val="none" w:sz="0" w:space="0" w:color="auto"/>
        <w:bottom w:val="none" w:sz="0" w:space="0" w:color="auto"/>
        <w:right w:val="none" w:sz="0" w:space="0" w:color="auto"/>
      </w:divBdr>
    </w:div>
    <w:div w:id="1628120968">
      <w:bodyDiv w:val="1"/>
      <w:marLeft w:val="0"/>
      <w:marRight w:val="0"/>
      <w:marTop w:val="0"/>
      <w:marBottom w:val="0"/>
      <w:divBdr>
        <w:top w:val="none" w:sz="0" w:space="0" w:color="auto"/>
        <w:left w:val="none" w:sz="0" w:space="0" w:color="auto"/>
        <w:bottom w:val="none" w:sz="0" w:space="0" w:color="auto"/>
        <w:right w:val="none" w:sz="0" w:space="0" w:color="auto"/>
      </w:divBdr>
    </w:div>
    <w:div w:id="1628312176">
      <w:bodyDiv w:val="1"/>
      <w:marLeft w:val="0"/>
      <w:marRight w:val="0"/>
      <w:marTop w:val="0"/>
      <w:marBottom w:val="0"/>
      <w:divBdr>
        <w:top w:val="none" w:sz="0" w:space="0" w:color="auto"/>
        <w:left w:val="none" w:sz="0" w:space="0" w:color="auto"/>
        <w:bottom w:val="none" w:sz="0" w:space="0" w:color="auto"/>
        <w:right w:val="none" w:sz="0" w:space="0" w:color="auto"/>
      </w:divBdr>
    </w:div>
    <w:div w:id="1629507057">
      <w:bodyDiv w:val="1"/>
      <w:marLeft w:val="0"/>
      <w:marRight w:val="0"/>
      <w:marTop w:val="0"/>
      <w:marBottom w:val="0"/>
      <w:divBdr>
        <w:top w:val="none" w:sz="0" w:space="0" w:color="auto"/>
        <w:left w:val="none" w:sz="0" w:space="0" w:color="auto"/>
        <w:bottom w:val="none" w:sz="0" w:space="0" w:color="auto"/>
        <w:right w:val="none" w:sz="0" w:space="0" w:color="auto"/>
      </w:divBdr>
    </w:div>
    <w:div w:id="1629583646">
      <w:bodyDiv w:val="1"/>
      <w:marLeft w:val="0"/>
      <w:marRight w:val="0"/>
      <w:marTop w:val="0"/>
      <w:marBottom w:val="0"/>
      <w:divBdr>
        <w:top w:val="none" w:sz="0" w:space="0" w:color="auto"/>
        <w:left w:val="none" w:sz="0" w:space="0" w:color="auto"/>
        <w:bottom w:val="none" w:sz="0" w:space="0" w:color="auto"/>
        <w:right w:val="none" w:sz="0" w:space="0" w:color="auto"/>
      </w:divBdr>
    </w:div>
    <w:div w:id="1630163171">
      <w:bodyDiv w:val="1"/>
      <w:marLeft w:val="0"/>
      <w:marRight w:val="0"/>
      <w:marTop w:val="0"/>
      <w:marBottom w:val="0"/>
      <w:divBdr>
        <w:top w:val="none" w:sz="0" w:space="0" w:color="auto"/>
        <w:left w:val="none" w:sz="0" w:space="0" w:color="auto"/>
        <w:bottom w:val="none" w:sz="0" w:space="0" w:color="auto"/>
        <w:right w:val="none" w:sz="0" w:space="0" w:color="auto"/>
      </w:divBdr>
    </w:div>
    <w:div w:id="1631671079">
      <w:bodyDiv w:val="1"/>
      <w:marLeft w:val="0"/>
      <w:marRight w:val="0"/>
      <w:marTop w:val="0"/>
      <w:marBottom w:val="0"/>
      <w:divBdr>
        <w:top w:val="none" w:sz="0" w:space="0" w:color="auto"/>
        <w:left w:val="none" w:sz="0" w:space="0" w:color="auto"/>
        <w:bottom w:val="none" w:sz="0" w:space="0" w:color="auto"/>
        <w:right w:val="none" w:sz="0" w:space="0" w:color="auto"/>
      </w:divBdr>
    </w:div>
    <w:div w:id="1632056545">
      <w:bodyDiv w:val="1"/>
      <w:marLeft w:val="0"/>
      <w:marRight w:val="0"/>
      <w:marTop w:val="0"/>
      <w:marBottom w:val="0"/>
      <w:divBdr>
        <w:top w:val="none" w:sz="0" w:space="0" w:color="auto"/>
        <w:left w:val="none" w:sz="0" w:space="0" w:color="auto"/>
        <w:bottom w:val="none" w:sz="0" w:space="0" w:color="auto"/>
        <w:right w:val="none" w:sz="0" w:space="0" w:color="auto"/>
      </w:divBdr>
    </w:div>
    <w:div w:id="1632318802">
      <w:bodyDiv w:val="1"/>
      <w:marLeft w:val="0"/>
      <w:marRight w:val="0"/>
      <w:marTop w:val="0"/>
      <w:marBottom w:val="0"/>
      <w:divBdr>
        <w:top w:val="none" w:sz="0" w:space="0" w:color="auto"/>
        <w:left w:val="none" w:sz="0" w:space="0" w:color="auto"/>
        <w:bottom w:val="none" w:sz="0" w:space="0" w:color="auto"/>
        <w:right w:val="none" w:sz="0" w:space="0" w:color="auto"/>
      </w:divBdr>
    </w:div>
    <w:div w:id="1632856736">
      <w:bodyDiv w:val="1"/>
      <w:marLeft w:val="0"/>
      <w:marRight w:val="0"/>
      <w:marTop w:val="0"/>
      <w:marBottom w:val="0"/>
      <w:divBdr>
        <w:top w:val="none" w:sz="0" w:space="0" w:color="auto"/>
        <w:left w:val="none" w:sz="0" w:space="0" w:color="auto"/>
        <w:bottom w:val="none" w:sz="0" w:space="0" w:color="auto"/>
        <w:right w:val="none" w:sz="0" w:space="0" w:color="auto"/>
      </w:divBdr>
    </w:div>
    <w:div w:id="1633363491">
      <w:bodyDiv w:val="1"/>
      <w:marLeft w:val="0"/>
      <w:marRight w:val="0"/>
      <w:marTop w:val="0"/>
      <w:marBottom w:val="0"/>
      <w:divBdr>
        <w:top w:val="none" w:sz="0" w:space="0" w:color="auto"/>
        <w:left w:val="none" w:sz="0" w:space="0" w:color="auto"/>
        <w:bottom w:val="none" w:sz="0" w:space="0" w:color="auto"/>
        <w:right w:val="none" w:sz="0" w:space="0" w:color="auto"/>
      </w:divBdr>
    </w:div>
    <w:div w:id="1633898840">
      <w:bodyDiv w:val="1"/>
      <w:marLeft w:val="0"/>
      <w:marRight w:val="0"/>
      <w:marTop w:val="0"/>
      <w:marBottom w:val="0"/>
      <w:divBdr>
        <w:top w:val="none" w:sz="0" w:space="0" w:color="auto"/>
        <w:left w:val="none" w:sz="0" w:space="0" w:color="auto"/>
        <w:bottom w:val="none" w:sz="0" w:space="0" w:color="auto"/>
        <w:right w:val="none" w:sz="0" w:space="0" w:color="auto"/>
      </w:divBdr>
    </w:div>
    <w:div w:id="1634091386">
      <w:bodyDiv w:val="1"/>
      <w:marLeft w:val="0"/>
      <w:marRight w:val="0"/>
      <w:marTop w:val="0"/>
      <w:marBottom w:val="0"/>
      <w:divBdr>
        <w:top w:val="none" w:sz="0" w:space="0" w:color="auto"/>
        <w:left w:val="none" w:sz="0" w:space="0" w:color="auto"/>
        <w:bottom w:val="none" w:sz="0" w:space="0" w:color="auto"/>
        <w:right w:val="none" w:sz="0" w:space="0" w:color="auto"/>
      </w:divBdr>
    </w:div>
    <w:div w:id="1634798053">
      <w:bodyDiv w:val="1"/>
      <w:marLeft w:val="0"/>
      <w:marRight w:val="0"/>
      <w:marTop w:val="0"/>
      <w:marBottom w:val="0"/>
      <w:divBdr>
        <w:top w:val="none" w:sz="0" w:space="0" w:color="auto"/>
        <w:left w:val="none" w:sz="0" w:space="0" w:color="auto"/>
        <w:bottom w:val="none" w:sz="0" w:space="0" w:color="auto"/>
        <w:right w:val="none" w:sz="0" w:space="0" w:color="auto"/>
      </w:divBdr>
      <w:divsChild>
        <w:div w:id="1008101599">
          <w:marLeft w:val="547"/>
          <w:marRight w:val="0"/>
          <w:marTop w:val="115"/>
          <w:marBottom w:val="0"/>
          <w:divBdr>
            <w:top w:val="none" w:sz="0" w:space="0" w:color="auto"/>
            <w:left w:val="none" w:sz="0" w:space="0" w:color="auto"/>
            <w:bottom w:val="none" w:sz="0" w:space="0" w:color="auto"/>
            <w:right w:val="none" w:sz="0" w:space="0" w:color="auto"/>
          </w:divBdr>
        </w:div>
        <w:div w:id="1503542720">
          <w:marLeft w:val="1267"/>
          <w:marRight w:val="0"/>
          <w:marTop w:val="96"/>
          <w:marBottom w:val="0"/>
          <w:divBdr>
            <w:top w:val="none" w:sz="0" w:space="0" w:color="auto"/>
            <w:left w:val="none" w:sz="0" w:space="0" w:color="auto"/>
            <w:bottom w:val="none" w:sz="0" w:space="0" w:color="auto"/>
            <w:right w:val="none" w:sz="0" w:space="0" w:color="auto"/>
          </w:divBdr>
        </w:div>
        <w:div w:id="1757482388">
          <w:marLeft w:val="547"/>
          <w:marRight w:val="0"/>
          <w:marTop w:val="115"/>
          <w:marBottom w:val="0"/>
          <w:divBdr>
            <w:top w:val="none" w:sz="0" w:space="0" w:color="auto"/>
            <w:left w:val="none" w:sz="0" w:space="0" w:color="auto"/>
            <w:bottom w:val="none" w:sz="0" w:space="0" w:color="auto"/>
            <w:right w:val="none" w:sz="0" w:space="0" w:color="auto"/>
          </w:divBdr>
        </w:div>
      </w:divsChild>
    </w:div>
    <w:div w:id="1635453101">
      <w:bodyDiv w:val="1"/>
      <w:marLeft w:val="0"/>
      <w:marRight w:val="0"/>
      <w:marTop w:val="0"/>
      <w:marBottom w:val="0"/>
      <w:divBdr>
        <w:top w:val="none" w:sz="0" w:space="0" w:color="auto"/>
        <w:left w:val="none" w:sz="0" w:space="0" w:color="auto"/>
        <w:bottom w:val="none" w:sz="0" w:space="0" w:color="auto"/>
        <w:right w:val="none" w:sz="0" w:space="0" w:color="auto"/>
      </w:divBdr>
      <w:divsChild>
        <w:div w:id="1342388535">
          <w:marLeft w:val="1166"/>
          <w:marRight w:val="0"/>
          <w:marTop w:val="96"/>
          <w:marBottom w:val="0"/>
          <w:divBdr>
            <w:top w:val="none" w:sz="0" w:space="0" w:color="auto"/>
            <w:left w:val="none" w:sz="0" w:space="0" w:color="auto"/>
            <w:bottom w:val="none" w:sz="0" w:space="0" w:color="auto"/>
            <w:right w:val="none" w:sz="0" w:space="0" w:color="auto"/>
          </w:divBdr>
        </w:div>
        <w:div w:id="2145930455">
          <w:marLeft w:val="1627"/>
          <w:marRight w:val="0"/>
          <w:marTop w:val="96"/>
          <w:marBottom w:val="0"/>
          <w:divBdr>
            <w:top w:val="none" w:sz="0" w:space="0" w:color="auto"/>
            <w:left w:val="none" w:sz="0" w:space="0" w:color="auto"/>
            <w:bottom w:val="none" w:sz="0" w:space="0" w:color="auto"/>
            <w:right w:val="none" w:sz="0" w:space="0" w:color="auto"/>
          </w:divBdr>
        </w:div>
      </w:divsChild>
    </w:div>
    <w:div w:id="1635981346">
      <w:bodyDiv w:val="1"/>
      <w:marLeft w:val="0"/>
      <w:marRight w:val="0"/>
      <w:marTop w:val="0"/>
      <w:marBottom w:val="0"/>
      <w:divBdr>
        <w:top w:val="none" w:sz="0" w:space="0" w:color="auto"/>
        <w:left w:val="none" w:sz="0" w:space="0" w:color="auto"/>
        <w:bottom w:val="none" w:sz="0" w:space="0" w:color="auto"/>
        <w:right w:val="none" w:sz="0" w:space="0" w:color="auto"/>
      </w:divBdr>
    </w:div>
    <w:div w:id="1635987367">
      <w:bodyDiv w:val="1"/>
      <w:marLeft w:val="0"/>
      <w:marRight w:val="0"/>
      <w:marTop w:val="0"/>
      <w:marBottom w:val="0"/>
      <w:divBdr>
        <w:top w:val="none" w:sz="0" w:space="0" w:color="auto"/>
        <w:left w:val="none" w:sz="0" w:space="0" w:color="auto"/>
        <w:bottom w:val="none" w:sz="0" w:space="0" w:color="auto"/>
        <w:right w:val="none" w:sz="0" w:space="0" w:color="auto"/>
      </w:divBdr>
    </w:div>
    <w:div w:id="1636252069">
      <w:bodyDiv w:val="1"/>
      <w:marLeft w:val="0"/>
      <w:marRight w:val="0"/>
      <w:marTop w:val="0"/>
      <w:marBottom w:val="0"/>
      <w:divBdr>
        <w:top w:val="none" w:sz="0" w:space="0" w:color="auto"/>
        <w:left w:val="none" w:sz="0" w:space="0" w:color="auto"/>
        <w:bottom w:val="none" w:sz="0" w:space="0" w:color="auto"/>
        <w:right w:val="none" w:sz="0" w:space="0" w:color="auto"/>
      </w:divBdr>
    </w:div>
    <w:div w:id="1636373731">
      <w:bodyDiv w:val="1"/>
      <w:marLeft w:val="0"/>
      <w:marRight w:val="0"/>
      <w:marTop w:val="0"/>
      <w:marBottom w:val="0"/>
      <w:divBdr>
        <w:top w:val="none" w:sz="0" w:space="0" w:color="auto"/>
        <w:left w:val="none" w:sz="0" w:space="0" w:color="auto"/>
        <w:bottom w:val="none" w:sz="0" w:space="0" w:color="auto"/>
        <w:right w:val="none" w:sz="0" w:space="0" w:color="auto"/>
      </w:divBdr>
    </w:div>
    <w:div w:id="1636789569">
      <w:bodyDiv w:val="1"/>
      <w:marLeft w:val="0"/>
      <w:marRight w:val="0"/>
      <w:marTop w:val="0"/>
      <w:marBottom w:val="0"/>
      <w:divBdr>
        <w:top w:val="none" w:sz="0" w:space="0" w:color="auto"/>
        <w:left w:val="none" w:sz="0" w:space="0" w:color="auto"/>
        <w:bottom w:val="none" w:sz="0" w:space="0" w:color="auto"/>
        <w:right w:val="none" w:sz="0" w:space="0" w:color="auto"/>
      </w:divBdr>
    </w:div>
    <w:div w:id="1637291869">
      <w:bodyDiv w:val="1"/>
      <w:marLeft w:val="0"/>
      <w:marRight w:val="0"/>
      <w:marTop w:val="0"/>
      <w:marBottom w:val="0"/>
      <w:divBdr>
        <w:top w:val="none" w:sz="0" w:space="0" w:color="auto"/>
        <w:left w:val="none" w:sz="0" w:space="0" w:color="auto"/>
        <w:bottom w:val="none" w:sz="0" w:space="0" w:color="auto"/>
        <w:right w:val="none" w:sz="0" w:space="0" w:color="auto"/>
      </w:divBdr>
    </w:div>
    <w:div w:id="1637366950">
      <w:bodyDiv w:val="1"/>
      <w:marLeft w:val="0"/>
      <w:marRight w:val="0"/>
      <w:marTop w:val="0"/>
      <w:marBottom w:val="0"/>
      <w:divBdr>
        <w:top w:val="none" w:sz="0" w:space="0" w:color="auto"/>
        <w:left w:val="none" w:sz="0" w:space="0" w:color="auto"/>
        <w:bottom w:val="none" w:sz="0" w:space="0" w:color="auto"/>
        <w:right w:val="none" w:sz="0" w:space="0" w:color="auto"/>
      </w:divBdr>
    </w:div>
    <w:div w:id="1637370423">
      <w:bodyDiv w:val="1"/>
      <w:marLeft w:val="0"/>
      <w:marRight w:val="0"/>
      <w:marTop w:val="0"/>
      <w:marBottom w:val="0"/>
      <w:divBdr>
        <w:top w:val="none" w:sz="0" w:space="0" w:color="auto"/>
        <w:left w:val="none" w:sz="0" w:space="0" w:color="auto"/>
        <w:bottom w:val="none" w:sz="0" w:space="0" w:color="auto"/>
        <w:right w:val="none" w:sz="0" w:space="0" w:color="auto"/>
      </w:divBdr>
    </w:div>
    <w:div w:id="1637878700">
      <w:bodyDiv w:val="1"/>
      <w:marLeft w:val="0"/>
      <w:marRight w:val="0"/>
      <w:marTop w:val="0"/>
      <w:marBottom w:val="0"/>
      <w:divBdr>
        <w:top w:val="none" w:sz="0" w:space="0" w:color="auto"/>
        <w:left w:val="none" w:sz="0" w:space="0" w:color="auto"/>
        <w:bottom w:val="none" w:sz="0" w:space="0" w:color="auto"/>
        <w:right w:val="none" w:sz="0" w:space="0" w:color="auto"/>
      </w:divBdr>
    </w:div>
    <w:div w:id="1637878724">
      <w:bodyDiv w:val="1"/>
      <w:marLeft w:val="0"/>
      <w:marRight w:val="0"/>
      <w:marTop w:val="0"/>
      <w:marBottom w:val="0"/>
      <w:divBdr>
        <w:top w:val="none" w:sz="0" w:space="0" w:color="auto"/>
        <w:left w:val="none" w:sz="0" w:space="0" w:color="auto"/>
        <w:bottom w:val="none" w:sz="0" w:space="0" w:color="auto"/>
        <w:right w:val="none" w:sz="0" w:space="0" w:color="auto"/>
      </w:divBdr>
    </w:div>
    <w:div w:id="1639142512">
      <w:bodyDiv w:val="1"/>
      <w:marLeft w:val="0"/>
      <w:marRight w:val="0"/>
      <w:marTop w:val="0"/>
      <w:marBottom w:val="0"/>
      <w:divBdr>
        <w:top w:val="none" w:sz="0" w:space="0" w:color="auto"/>
        <w:left w:val="none" w:sz="0" w:space="0" w:color="auto"/>
        <w:bottom w:val="none" w:sz="0" w:space="0" w:color="auto"/>
        <w:right w:val="none" w:sz="0" w:space="0" w:color="auto"/>
      </w:divBdr>
    </w:div>
    <w:div w:id="1640459695">
      <w:bodyDiv w:val="1"/>
      <w:marLeft w:val="0"/>
      <w:marRight w:val="0"/>
      <w:marTop w:val="0"/>
      <w:marBottom w:val="0"/>
      <w:divBdr>
        <w:top w:val="none" w:sz="0" w:space="0" w:color="auto"/>
        <w:left w:val="none" w:sz="0" w:space="0" w:color="auto"/>
        <w:bottom w:val="none" w:sz="0" w:space="0" w:color="auto"/>
        <w:right w:val="none" w:sz="0" w:space="0" w:color="auto"/>
      </w:divBdr>
    </w:div>
    <w:div w:id="1640724812">
      <w:bodyDiv w:val="1"/>
      <w:marLeft w:val="0"/>
      <w:marRight w:val="0"/>
      <w:marTop w:val="0"/>
      <w:marBottom w:val="0"/>
      <w:divBdr>
        <w:top w:val="none" w:sz="0" w:space="0" w:color="auto"/>
        <w:left w:val="none" w:sz="0" w:space="0" w:color="auto"/>
        <w:bottom w:val="none" w:sz="0" w:space="0" w:color="auto"/>
        <w:right w:val="none" w:sz="0" w:space="0" w:color="auto"/>
      </w:divBdr>
    </w:div>
    <w:div w:id="1640959574">
      <w:bodyDiv w:val="1"/>
      <w:marLeft w:val="0"/>
      <w:marRight w:val="0"/>
      <w:marTop w:val="0"/>
      <w:marBottom w:val="0"/>
      <w:divBdr>
        <w:top w:val="none" w:sz="0" w:space="0" w:color="auto"/>
        <w:left w:val="none" w:sz="0" w:space="0" w:color="auto"/>
        <w:bottom w:val="none" w:sz="0" w:space="0" w:color="auto"/>
        <w:right w:val="none" w:sz="0" w:space="0" w:color="auto"/>
      </w:divBdr>
      <w:divsChild>
        <w:div w:id="210579870">
          <w:marLeft w:val="547"/>
          <w:marRight w:val="0"/>
          <w:marTop w:val="115"/>
          <w:marBottom w:val="0"/>
          <w:divBdr>
            <w:top w:val="none" w:sz="0" w:space="0" w:color="auto"/>
            <w:left w:val="none" w:sz="0" w:space="0" w:color="auto"/>
            <w:bottom w:val="none" w:sz="0" w:space="0" w:color="auto"/>
            <w:right w:val="none" w:sz="0" w:space="0" w:color="auto"/>
          </w:divBdr>
        </w:div>
        <w:div w:id="370617805">
          <w:marLeft w:val="1166"/>
          <w:marRight w:val="0"/>
          <w:marTop w:val="86"/>
          <w:marBottom w:val="0"/>
          <w:divBdr>
            <w:top w:val="none" w:sz="0" w:space="0" w:color="auto"/>
            <w:left w:val="none" w:sz="0" w:space="0" w:color="auto"/>
            <w:bottom w:val="none" w:sz="0" w:space="0" w:color="auto"/>
            <w:right w:val="none" w:sz="0" w:space="0" w:color="auto"/>
          </w:divBdr>
        </w:div>
        <w:div w:id="690225631">
          <w:marLeft w:val="1166"/>
          <w:marRight w:val="0"/>
          <w:marTop w:val="86"/>
          <w:marBottom w:val="0"/>
          <w:divBdr>
            <w:top w:val="none" w:sz="0" w:space="0" w:color="auto"/>
            <w:left w:val="none" w:sz="0" w:space="0" w:color="auto"/>
            <w:bottom w:val="none" w:sz="0" w:space="0" w:color="auto"/>
            <w:right w:val="none" w:sz="0" w:space="0" w:color="auto"/>
          </w:divBdr>
        </w:div>
        <w:div w:id="789711395">
          <w:marLeft w:val="1166"/>
          <w:marRight w:val="0"/>
          <w:marTop w:val="86"/>
          <w:marBottom w:val="0"/>
          <w:divBdr>
            <w:top w:val="none" w:sz="0" w:space="0" w:color="auto"/>
            <w:left w:val="none" w:sz="0" w:space="0" w:color="auto"/>
            <w:bottom w:val="none" w:sz="0" w:space="0" w:color="auto"/>
            <w:right w:val="none" w:sz="0" w:space="0" w:color="auto"/>
          </w:divBdr>
        </w:div>
        <w:div w:id="975722238">
          <w:marLeft w:val="1166"/>
          <w:marRight w:val="0"/>
          <w:marTop w:val="86"/>
          <w:marBottom w:val="0"/>
          <w:divBdr>
            <w:top w:val="none" w:sz="0" w:space="0" w:color="auto"/>
            <w:left w:val="none" w:sz="0" w:space="0" w:color="auto"/>
            <w:bottom w:val="none" w:sz="0" w:space="0" w:color="auto"/>
            <w:right w:val="none" w:sz="0" w:space="0" w:color="auto"/>
          </w:divBdr>
        </w:div>
        <w:div w:id="1016687878">
          <w:marLeft w:val="547"/>
          <w:marRight w:val="0"/>
          <w:marTop w:val="115"/>
          <w:marBottom w:val="0"/>
          <w:divBdr>
            <w:top w:val="none" w:sz="0" w:space="0" w:color="auto"/>
            <w:left w:val="none" w:sz="0" w:space="0" w:color="auto"/>
            <w:bottom w:val="none" w:sz="0" w:space="0" w:color="auto"/>
            <w:right w:val="none" w:sz="0" w:space="0" w:color="auto"/>
          </w:divBdr>
        </w:div>
        <w:div w:id="1401947243">
          <w:marLeft w:val="547"/>
          <w:marRight w:val="0"/>
          <w:marTop w:val="115"/>
          <w:marBottom w:val="0"/>
          <w:divBdr>
            <w:top w:val="none" w:sz="0" w:space="0" w:color="auto"/>
            <w:left w:val="none" w:sz="0" w:space="0" w:color="auto"/>
            <w:bottom w:val="none" w:sz="0" w:space="0" w:color="auto"/>
            <w:right w:val="none" w:sz="0" w:space="0" w:color="auto"/>
          </w:divBdr>
        </w:div>
        <w:div w:id="1707026201">
          <w:marLeft w:val="1166"/>
          <w:marRight w:val="0"/>
          <w:marTop w:val="86"/>
          <w:marBottom w:val="0"/>
          <w:divBdr>
            <w:top w:val="none" w:sz="0" w:space="0" w:color="auto"/>
            <w:left w:val="none" w:sz="0" w:space="0" w:color="auto"/>
            <w:bottom w:val="none" w:sz="0" w:space="0" w:color="auto"/>
            <w:right w:val="none" w:sz="0" w:space="0" w:color="auto"/>
          </w:divBdr>
        </w:div>
        <w:div w:id="1729187041">
          <w:marLeft w:val="1800"/>
          <w:marRight w:val="0"/>
          <w:marTop w:val="86"/>
          <w:marBottom w:val="0"/>
          <w:divBdr>
            <w:top w:val="none" w:sz="0" w:space="0" w:color="auto"/>
            <w:left w:val="none" w:sz="0" w:space="0" w:color="auto"/>
            <w:bottom w:val="none" w:sz="0" w:space="0" w:color="auto"/>
            <w:right w:val="none" w:sz="0" w:space="0" w:color="auto"/>
          </w:divBdr>
        </w:div>
        <w:div w:id="1730690095">
          <w:marLeft w:val="1166"/>
          <w:marRight w:val="0"/>
          <w:marTop w:val="86"/>
          <w:marBottom w:val="0"/>
          <w:divBdr>
            <w:top w:val="none" w:sz="0" w:space="0" w:color="auto"/>
            <w:left w:val="none" w:sz="0" w:space="0" w:color="auto"/>
            <w:bottom w:val="none" w:sz="0" w:space="0" w:color="auto"/>
            <w:right w:val="none" w:sz="0" w:space="0" w:color="auto"/>
          </w:divBdr>
        </w:div>
        <w:div w:id="1797260458">
          <w:marLeft w:val="1800"/>
          <w:marRight w:val="0"/>
          <w:marTop w:val="86"/>
          <w:marBottom w:val="0"/>
          <w:divBdr>
            <w:top w:val="none" w:sz="0" w:space="0" w:color="auto"/>
            <w:left w:val="none" w:sz="0" w:space="0" w:color="auto"/>
            <w:bottom w:val="none" w:sz="0" w:space="0" w:color="auto"/>
            <w:right w:val="none" w:sz="0" w:space="0" w:color="auto"/>
          </w:divBdr>
        </w:div>
        <w:div w:id="1976568998">
          <w:marLeft w:val="1166"/>
          <w:marRight w:val="0"/>
          <w:marTop w:val="86"/>
          <w:marBottom w:val="0"/>
          <w:divBdr>
            <w:top w:val="none" w:sz="0" w:space="0" w:color="auto"/>
            <w:left w:val="none" w:sz="0" w:space="0" w:color="auto"/>
            <w:bottom w:val="none" w:sz="0" w:space="0" w:color="auto"/>
            <w:right w:val="none" w:sz="0" w:space="0" w:color="auto"/>
          </w:divBdr>
        </w:div>
        <w:div w:id="2139764601">
          <w:marLeft w:val="1166"/>
          <w:marRight w:val="0"/>
          <w:marTop w:val="86"/>
          <w:marBottom w:val="0"/>
          <w:divBdr>
            <w:top w:val="none" w:sz="0" w:space="0" w:color="auto"/>
            <w:left w:val="none" w:sz="0" w:space="0" w:color="auto"/>
            <w:bottom w:val="none" w:sz="0" w:space="0" w:color="auto"/>
            <w:right w:val="none" w:sz="0" w:space="0" w:color="auto"/>
          </w:divBdr>
        </w:div>
      </w:divsChild>
    </w:div>
    <w:div w:id="1641298889">
      <w:bodyDiv w:val="1"/>
      <w:marLeft w:val="0"/>
      <w:marRight w:val="0"/>
      <w:marTop w:val="0"/>
      <w:marBottom w:val="0"/>
      <w:divBdr>
        <w:top w:val="none" w:sz="0" w:space="0" w:color="auto"/>
        <w:left w:val="none" w:sz="0" w:space="0" w:color="auto"/>
        <w:bottom w:val="none" w:sz="0" w:space="0" w:color="auto"/>
        <w:right w:val="none" w:sz="0" w:space="0" w:color="auto"/>
      </w:divBdr>
    </w:div>
    <w:div w:id="1642809848">
      <w:bodyDiv w:val="1"/>
      <w:marLeft w:val="0"/>
      <w:marRight w:val="0"/>
      <w:marTop w:val="0"/>
      <w:marBottom w:val="0"/>
      <w:divBdr>
        <w:top w:val="none" w:sz="0" w:space="0" w:color="auto"/>
        <w:left w:val="none" w:sz="0" w:space="0" w:color="auto"/>
        <w:bottom w:val="none" w:sz="0" w:space="0" w:color="auto"/>
        <w:right w:val="none" w:sz="0" w:space="0" w:color="auto"/>
      </w:divBdr>
      <w:divsChild>
        <w:div w:id="2035181074">
          <w:marLeft w:val="0"/>
          <w:marRight w:val="0"/>
          <w:marTop w:val="0"/>
          <w:marBottom w:val="0"/>
          <w:divBdr>
            <w:top w:val="none" w:sz="0" w:space="0" w:color="auto"/>
            <w:left w:val="none" w:sz="0" w:space="0" w:color="auto"/>
            <w:bottom w:val="none" w:sz="0" w:space="0" w:color="auto"/>
            <w:right w:val="none" w:sz="0" w:space="0" w:color="auto"/>
          </w:divBdr>
        </w:div>
      </w:divsChild>
    </w:div>
    <w:div w:id="1642923065">
      <w:bodyDiv w:val="1"/>
      <w:marLeft w:val="0"/>
      <w:marRight w:val="0"/>
      <w:marTop w:val="0"/>
      <w:marBottom w:val="0"/>
      <w:divBdr>
        <w:top w:val="none" w:sz="0" w:space="0" w:color="auto"/>
        <w:left w:val="none" w:sz="0" w:space="0" w:color="auto"/>
        <w:bottom w:val="none" w:sz="0" w:space="0" w:color="auto"/>
        <w:right w:val="none" w:sz="0" w:space="0" w:color="auto"/>
      </w:divBdr>
      <w:divsChild>
        <w:div w:id="1980842385">
          <w:marLeft w:val="0"/>
          <w:marRight w:val="0"/>
          <w:marTop w:val="0"/>
          <w:marBottom w:val="0"/>
          <w:divBdr>
            <w:top w:val="none" w:sz="0" w:space="0" w:color="auto"/>
            <w:left w:val="none" w:sz="0" w:space="0" w:color="auto"/>
            <w:bottom w:val="none" w:sz="0" w:space="0" w:color="auto"/>
            <w:right w:val="none" w:sz="0" w:space="0" w:color="auto"/>
          </w:divBdr>
          <w:divsChild>
            <w:div w:id="147019776">
              <w:marLeft w:val="0"/>
              <w:marRight w:val="0"/>
              <w:marTop w:val="0"/>
              <w:marBottom w:val="0"/>
              <w:divBdr>
                <w:top w:val="none" w:sz="0" w:space="0" w:color="auto"/>
                <w:left w:val="none" w:sz="0" w:space="0" w:color="auto"/>
                <w:bottom w:val="none" w:sz="0" w:space="0" w:color="auto"/>
                <w:right w:val="none" w:sz="0" w:space="0" w:color="auto"/>
              </w:divBdr>
            </w:div>
            <w:div w:id="174468567">
              <w:marLeft w:val="0"/>
              <w:marRight w:val="0"/>
              <w:marTop w:val="0"/>
              <w:marBottom w:val="0"/>
              <w:divBdr>
                <w:top w:val="none" w:sz="0" w:space="0" w:color="auto"/>
                <w:left w:val="none" w:sz="0" w:space="0" w:color="auto"/>
                <w:bottom w:val="none" w:sz="0" w:space="0" w:color="auto"/>
                <w:right w:val="none" w:sz="0" w:space="0" w:color="auto"/>
              </w:divBdr>
            </w:div>
            <w:div w:id="307709975">
              <w:marLeft w:val="0"/>
              <w:marRight w:val="0"/>
              <w:marTop w:val="0"/>
              <w:marBottom w:val="0"/>
              <w:divBdr>
                <w:top w:val="none" w:sz="0" w:space="0" w:color="auto"/>
                <w:left w:val="none" w:sz="0" w:space="0" w:color="auto"/>
                <w:bottom w:val="none" w:sz="0" w:space="0" w:color="auto"/>
                <w:right w:val="none" w:sz="0" w:space="0" w:color="auto"/>
              </w:divBdr>
            </w:div>
            <w:div w:id="360981239">
              <w:marLeft w:val="0"/>
              <w:marRight w:val="0"/>
              <w:marTop w:val="0"/>
              <w:marBottom w:val="0"/>
              <w:divBdr>
                <w:top w:val="none" w:sz="0" w:space="0" w:color="auto"/>
                <w:left w:val="none" w:sz="0" w:space="0" w:color="auto"/>
                <w:bottom w:val="none" w:sz="0" w:space="0" w:color="auto"/>
                <w:right w:val="none" w:sz="0" w:space="0" w:color="auto"/>
              </w:divBdr>
            </w:div>
            <w:div w:id="447089438">
              <w:marLeft w:val="0"/>
              <w:marRight w:val="0"/>
              <w:marTop w:val="0"/>
              <w:marBottom w:val="0"/>
              <w:divBdr>
                <w:top w:val="none" w:sz="0" w:space="0" w:color="auto"/>
                <w:left w:val="none" w:sz="0" w:space="0" w:color="auto"/>
                <w:bottom w:val="none" w:sz="0" w:space="0" w:color="auto"/>
                <w:right w:val="none" w:sz="0" w:space="0" w:color="auto"/>
              </w:divBdr>
            </w:div>
            <w:div w:id="479076061">
              <w:marLeft w:val="0"/>
              <w:marRight w:val="0"/>
              <w:marTop w:val="0"/>
              <w:marBottom w:val="0"/>
              <w:divBdr>
                <w:top w:val="none" w:sz="0" w:space="0" w:color="auto"/>
                <w:left w:val="none" w:sz="0" w:space="0" w:color="auto"/>
                <w:bottom w:val="none" w:sz="0" w:space="0" w:color="auto"/>
                <w:right w:val="none" w:sz="0" w:space="0" w:color="auto"/>
              </w:divBdr>
            </w:div>
            <w:div w:id="722219393">
              <w:marLeft w:val="0"/>
              <w:marRight w:val="0"/>
              <w:marTop w:val="0"/>
              <w:marBottom w:val="0"/>
              <w:divBdr>
                <w:top w:val="none" w:sz="0" w:space="0" w:color="auto"/>
                <w:left w:val="none" w:sz="0" w:space="0" w:color="auto"/>
                <w:bottom w:val="none" w:sz="0" w:space="0" w:color="auto"/>
                <w:right w:val="none" w:sz="0" w:space="0" w:color="auto"/>
              </w:divBdr>
            </w:div>
            <w:div w:id="789397427">
              <w:marLeft w:val="0"/>
              <w:marRight w:val="0"/>
              <w:marTop w:val="0"/>
              <w:marBottom w:val="0"/>
              <w:divBdr>
                <w:top w:val="none" w:sz="0" w:space="0" w:color="auto"/>
                <w:left w:val="none" w:sz="0" w:space="0" w:color="auto"/>
                <w:bottom w:val="none" w:sz="0" w:space="0" w:color="auto"/>
                <w:right w:val="none" w:sz="0" w:space="0" w:color="auto"/>
              </w:divBdr>
            </w:div>
            <w:div w:id="1207522206">
              <w:marLeft w:val="0"/>
              <w:marRight w:val="0"/>
              <w:marTop w:val="0"/>
              <w:marBottom w:val="0"/>
              <w:divBdr>
                <w:top w:val="none" w:sz="0" w:space="0" w:color="auto"/>
                <w:left w:val="none" w:sz="0" w:space="0" w:color="auto"/>
                <w:bottom w:val="none" w:sz="0" w:space="0" w:color="auto"/>
                <w:right w:val="none" w:sz="0" w:space="0" w:color="auto"/>
              </w:divBdr>
            </w:div>
            <w:div w:id="1459256242">
              <w:marLeft w:val="0"/>
              <w:marRight w:val="0"/>
              <w:marTop w:val="0"/>
              <w:marBottom w:val="0"/>
              <w:divBdr>
                <w:top w:val="none" w:sz="0" w:space="0" w:color="auto"/>
                <w:left w:val="none" w:sz="0" w:space="0" w:color="auto"/>
                <w:bottom w:val="none" w:sz="0" w:space="0" w:color="auto"/>
                <w:right w:val="none" w:sz="0" w:space="0" w:color="auto"/>
              </w:divBdr>
            </w:div>
            <w:div w:id="1522477281">
              <w:marLeft w:val="0"/>
              <w:marRight w:val="0"/>
              <w:marTop w:val="0"/>
              <w:marBottom w:val="0"/>
              <w:divBdr>
                <w:top w:val="none" w:sz="0" w:space="0" w:color="auto"/>
                <w:left w:val="none" w:sz="0" w:space="0" w:color="auto"/>
                <w:bottom w:val="none" w:sz="0" w:space="0" w:color="auto"/>
                <w:right w:val="none" w:sz="0" w:space="0" w:color="auto"/>
              </w:divBdr>
            </w:div>
            <w:div w:id="18420869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43346656">
      <w:bodyDiv w:val="1"/>
      <w:marLeft w:val="0"/>
      <w:marRight w:val="0"/>
      <w:marTop w:val="0"/>
      <w:marBottom w:val="0"/>
      <w:divBdr>
        <w:top w:val="none" w:sz="0" w:space="0" w:color="auto"/>
        <w:left w:val="none" w:sz="0" w:space="0" w:color="auto"/>
        <w:bottom w:val="none" w:sz="0" w:space="0" w:color="auto"/>
        <w:right w:val="none" w:sz="0" w:space="0" w:color="auto"/>
      </w:divBdr>
    </w:div>
    <w:div w:id="1644239814">
      <w:bodyDiv w:val="1"/>
      <w:marLeft w:val="0"/>
      <w:marRight w:val="0"/>
      <w:marTop w:val="0"/>
      <w:marBottom w:val="0"/>
      <w:divBdr>
        <w:top w:val="none" w:sz="0" w:space="0" w:color="auto"/>
        <w:left w:val="none" w:sz="0" w:space="0" w:color="auto"/>
        <w:bottom w:val="none" w:sz="0" w:space="0" w:color="auto"/>
        <w:right w:val="none" w:sz="0" w:space="0" w:color="auto"/>
      </w:divBdr>
    </w:div>
    <w:div w:id="1644575560">
      <w:bodyDiv w:val="1"/>
      <w:marLeft w:val="0"/>
      <w:marRight w:val="0"/>
      <w:marTop w:val="0"/>
      <w:marBottom w:val="0"/>
      <w:divBdr>
        <w:top w:val="none" w:sz="0" w:space="0" w:color="auto"/>
        <w:left w:val="none" w:sz="0" w:space="0" w:color="auto"/>
        <w:bottom w:val="none" w:sz="0" w:space="0" w:color="auto"/>
        <w:right w:val="none" w:sz="0" w:space="0" w:color="auto"/>
      </w:divBdr>
    </w:div>
    <w:div w:id="1645621501">
      <w:bodyDiv w:val="1"/>
      <w:marLeft w:val="0"/>
      <w:marRight w:val="0"/>
      <w:marTop w:val="0"/>
      <w:marBottom w:val="0"/>
      <w:divBdr>
        <w:top w:val="none" w:sz="0" w:space="0" w:color="auto"/>
        <w:left w:val="none" w:sz="0" w:space="0" w:color="auto"/>
        <w:bottom w:val="none" w:sz="0" w:space="0" w:color="auto"/>
        <w:right w:val="none" w:sz="0" w:space="0" w:color="auto"/>
      </w:divBdr>
    </w:div>
    <w:div w:id="1646084663">
      <w:bodyDiv w:val="1"/>
      <w:marLeft w:val="0"/>
      <w:marRight w:val="0"/>
      <w:marTop w:val="0"/>
      <w:marBottom w:val="0"/>
      <w:divBdr>
        <w:top w:val="none" w:sz="0" w:space="0" w:color="auto"/>
        <w:left w:val="none" w:sz="0" w:space="0" w:color="auto"/>
        <w:bottom w:val="none" w:sz="0" w:space="0" w:color="auto"/>
        <w:right w:val="none" w:sz="0" w:space="0" w:color="auto"/>
      </w:divBdr>
      <w:divsChild>
        <w:div w:id="765350216">
          <w:marLeft w:val="547"/>
          <w:marRight w:val="0"/>
          <w:marTop w:val="115"/>
          <w:marBottom w:val="0"/>
          <w:divBdr>
            <w:top w:val="none" w:sz="0" w:space="0" w:color="auto"/>
            <w:left w:val="none" w:sz="0" w:space="0" w:color="auto"/>
            <w:bottom w:val="none" w:sz="0" w:space="0" w:color="auto"/>
            <w:right w:val="none" w:sz="0" w:space="0" w:color="auto"/>
          </w:divBdr>
        </w:div>
        <w:div w:id="1498619585">
          <w:marLeft w:val="547"/>
          <w:marRight w:val="0"/>
          <w:marTop w:val="115"/>
          <w:marBottom w:val="0"/>
          <w:divBdr>
            <w:top w:val="none" w:sz="0" w:space="0" w:color="auto"/>
            <w:left w:val="none" w:sz="0" w:space="0" w:color="auto"/>
            <w:bottom w:val="none" w:sz="0" w:space="0" w:color="auto"/>
            <w:right w:val="none" w:sz="0" w:space="0" w:color="auto"/>
          </w:divBdr>
        </w:div>
      </w:divsChild>
    </w:div>
    <w:div w:id="1646280801">
      <w:bodyDiv w:val="1"/>
      <w:marLeft w:val="0"/>
      <w:marRight w:val="0"/>
      <w:marTop w:val="0"/>
      <w:marBottom w:val="0"/>
      <w:divBdr>
        <w:top w:val="none" w:sz="0" w:space="0" w:color="auto"/>
        <w:left w:val="none" w:sz="0" w:space="0" w:color="auto"/>
        <w:bottom w:val="none" w:sz="0" w:space="0" w:color="auto"/>
        <w:right w:val="none" w:sz="0" w:space="0" w:color="auto"/>
      </w:divBdr>
    </w:div>
    <w:div w:id="1647778087">
      <w:bodyDiv w:val="1"/>
      <w:marLeft w:val="0"/>
      <w:marRight w:val="0"/>
      <w:marTop w:val="0"/>
      <w:marBottom w:val="0"/>
      <w:divBdr>
        <w:top w:val="none" w:sz="0" w:space="0" w:color="auto"/>
        <w:left w:val="none" w:sz="0" w:space="0" w:color="auto"/>
        <w:bottom w:val="none" w:sz="0" w:space="0" w:color="auto"/>
        <w:right w:val="none" w:sz="0" w:space="0" w:color="auto"/>
      </w:divBdr>
      <w:divsChild>
        <w:div w:id="286350588">
          <w:marLeft w:val="1800"/>
          <w:marRight w:val="0"/>
          <w:marTop w:val="96"/>
          <w:marBottom w:val="0"/>
          <w:divBdr>
            <w:top w:val="none" w:sz="0" w:space="0" w:color="auto"/>
            <w:left w:val="none" w:sz="0" w:space="0" w:color="auto"/>
            <w:bottom w:val="none" w:sz="0" w:space="0" w:color="auto"/>
            <w:right w:val="none" w:sz="0" w:space="0" w:color="auto"/>
          </w:divBdr>
        </w:div>
        <w:div w:id="449324411">
          <w:marLeft w:val="1166"/>
          <w:marRight w:val="0"/>
          <w:marTop w:val="115"/>
          <w:marBottom w:val="0"/>
          <w:divBdr>
            <w:top w:val="none" w:sz="0" w:space="0" w:color="auto"/>
            <w:left w:val="none" w:sz="0" w:space="0" w:color="auto"/>
            <w:bottom w:val="none" w:sz="0" w:space="0" w:color="auto"/>
            <w:right w:val="none" w:sz="0" w:space="0" w:color="auto"/>
          </w:divBdr>
        </w:div>
        <w:div w:id="793792892">
          <w:marLeft w:val="1166"/>
          <w:marRight w:val="0"/>
          <w:marTop w:val="115"/>
          <w:marBottom w:val="0"/>
          <w:divBdr>
            <w:top w:val="none" w:sz="0" w:space="0" w:color="auto"/>
            <w:left w:val="none" w:sz="0" w:space="0" w:color="auto"/>
            <w:bottom w:val="none" w:sz="0" w:space="0" w:color="auto"/>
            <w:right w:val="none" w:sz="0" w:space="0" w:color="auto"/>
          </w:divBdr>
        </w:div>
        <w:div w:id="924145680">
          <w:marLeft w:val="1800"/>
          <w:marRight w:val="0"/>
          <w:marTop w:val="96"/>
          <w:marBottom w:val="0"/>
          <w:divBdr>
            <w:top w:val="none" w:sz="0" w:space="0" w:color="auto"/>
            <w:left w:val="none" w:sz="0" w:space="0" w:color="auto"/>
            <w:bottom w:val="none" w:sz="0" w:space="0" w:color="auto"/>
            <w:right w:val="none" w:sz="0" w:space="0" w:color="auto"/>
          </w:divBdr>
        </w:div>
        <w:div w:id="994380965">
          <w:marLeft w:val="1800"/>
          <w:marRight w:val="0"/>
          <w:marTop w:val="96"/>
          <w:marBottom w:val="0"/>
          <w:divBdr>
            <w:top w:val="none" w:sz="0" w:space="0" w:color="auto"/>
            <w:left w:val="none" w:sz="0" w:space="0" w:color="auto"/>
            <w:bottom w:val="none" w:sz="0" w:space="0" w:color="auto"/>
            <w:right w:val="none" w:sz="0" w:space="0" w:color="auto"/>
          </w:divBdr>
        </w:div>
        <w:div w:id="1035235870">
          <w:marLeft w:val="547"/>
          <w:marRight w:val="0"/>
          <w:marTop w:val="130"/>
          <w:marBottom w:val="0"/>
          <w:divBdr>
            <w:top w:val="none" w:sz="0" w:space="0" w:color="auto"/>
            <w:left w:val="none" w:sz="0" w:space="0" w:color="auto"/>
            <w:bottom w:val="none" w:sz="0" w:space="0" w:color="auto"/>
            <w:right w:val="none" w:sz="0" w:space="0" w:color="auto"/>
          </w:divBdr>
        </w:div>
      </w:divsChild>
    </w:div>
    <w:div w:id="1648241789">
      <w:bodyDiv w:val="1"/>
      <w:marLeft w:val="0"/>
      <w:marRight w:val="0"/>
      <w:marTop w:val="0"/>
      <w:marBottom w:val="0"/>
      <w:divBdr>
        <w:top w:val="none" w:sz="0" w:space="0" w:color="auto"/>
        <w:left w:val="none" w:sz="0" w:space="0" w:color="auto"/>
        <w:bottom w:val="none" w:sz="0" w:space="0" w:color="auto"/>
        <w:right w:val="none" w:sz="0" w:space="0" w:color="auto"/>
      </w:divBdr>
    </w:div>
    <w:div w:id="1648362009">
      <w:bodyDiv w:val="1"/>
      <w:marLeft w:val="0"/>
      <w:marRight w:val="0"/>
      <w:marTop w:val="0"/>
      <w:marBottom w:val="0"/>
      <w:divBdr>
        <w:top w:val="none" w:sz="0" w:space="0" w:color="auto"/>
        <w:left w:val="none" w:sz="0" w:space="0" w:color="auto"/>
        <w:bottom w:val="none" w:sz="0" w:space="0" w:color="auto"/>
        <w:right w:val="none" w:sz="0" w:space="0" w:color="auto"/>
      </w:divBdr>
    </w:div>
    <w:div w:id="1648365157">
      <w:bodyDiv w:val="1"/>
      <w:marLeft w:val="0"/>
      <w:marRight w:val="0"/>
      <w:marTop w:val="0"/>
      <w:marBottom w:val="0"/>
      <w:divBdr>
        <w:top w:val="none" w:sz="0" w:space="0" w:color="auto"/>
        <w:left w:val="none" w:sz="0" w:space="0" w:color="auto"/>
        <w:bottom w:val="none" w:sz="0" w:space="0" w:color="auto"/>
        <w:right w:val="none" w:sz="0" w:space="0" w:color="auto"/>
      </w:divBdr>
    </w:div>
    <w:div w:id="1648514748">
      <w:bodyDiv w:val="1"/>
      <w:marLeft w:val="0"/>
      <w:marRight w:val="0"/>
      <w:marTop w:val="0"/>
      <w:marBottom w:val="0"/>
      <w:divBdr>
        <w:top w:val="none" w:sz="0" w:space="0" w:color="auto"/>
        <w:left w:val="none" w:sz="0" w:space="0" w:color="auto"/>
        <w:bottom w:val="none" w:sz="0" w:space="0" w:color="auto"/>
        <w:right w:val="none" w:sz="0" w:space="0" w:color="auto"/>
      </w:divBdr>
    </w:div>
    <w:div w:id="1649244063">
      <w:bodyDiv w:val="1"/>
      <w:marLeft w:val="0"/>
      <w:marRight w:val="0"/>
      <w:marTop w:val="0"/>
      <w:marBottom w:val="0"/>
      <w:divBdr>
        <w:top w:val="none" w:sz="0" w:space="0" w:color="auto"/>
        <w:left w:val="none" w:sz="0" w:space="0" w:color="auto"/>
        <w:bottom w:val="none" w:sz="0" w:space="0" w:color="auto"/>
        <w:right w:val="none" w:sz="0" w:space="0" w:color="auto"/>
      </w:divBdr>
      <w:divsChild>
        <w:div w:id="284581282">
          <w:marLeft w:val="1166"/>
          <w:marRight w:val="0"/>
          <w:marTop w:val="77"/>
          <w:marBottom w:val="0"/>
          <w:divBdr>
            <w:top w:val="none" w:sz="0" w:space="0" w:color="auto"/>
            <w:left w:val="none" w:sz="0" w:space="0" w:color="auto"/>
            <w:bottom w:val="none" w:sz="0" w:space="0" w:color="auto"/>
            <w:right w:val="none" w:sz="0" w:space="0" w:color="auto"/>
          </w:divBdr>
        </w:div>
        <w:div w:id="571695894">
          <w:marLeft w:val="1166"/>
          <w:marRight w:val="0"/>
          <w:marTop w:val="77"/>
          <w:marBottom w:val="0"/>
          <w:divBdr>
            <w:top w:val="none" w:sz="0" w:space="0" w:color="auto"/>
            <w:left w:val="none" w:sz="0" w:space="0" w:color="auto"/>
            <w:bottom w:val="none" w:sz="0" w:space="0" w:color="auto"/>
            <w:right w:val="none" w:sz="0" w:space="0" w:color="auto"/>
          </w:divBdr>
        </w:div>
        <w:div w:id="933516612">
          <w:marLeft w:val="1166"/>
          <w:marRight w:val="0"/>
          <w:marTop w:val="77"/>
          <w:marBottom w:val="0"/>
          <w:divBdr>
            <w:top w:val="none" w:sz="0" w:space="0" w:color="auto"/>
            <w:left w:val="none" w:sz="0" w:space="0" w:color="auto"/>
            <w:bottom w:val="none" w:sz="0" w:space="0" w:color="auto"/>
            <w:right w:val="none" w:sz="0" w:space="0" w:color="auto"/>
          </w:divBdr>
        </w:div>
        <w:div w:id="1225487060">
          <w:marLeft w:val="547"/>
          <w:marRight w:val="0"/>
          <w:marTop w:val="96"/>
          <w:marBottom w:val="0"/>
          <w:divBdr>
            <w:top w:val="none" w:sz="0" w:space="0" w:color="auto"/>
            <w:left w:val="none" w:sz="0" w:space="0" w:color="auto"/>
            <w:bottom w:val="none" w:sz="0" w:space="0" w:color="auto"/>
            <w:right w:val="none" w:sz="0" w:space="0" w:color="auto"/>
          </w:divBdr>
        </w:div>
        <w:div w:id="1782408187">
          <w:marLeft w:val="1166"/>
          <w:marRight w:val="0"/>
          <w:marTop w:val="77"/>
          <w:marBottom w:val="0"/>
          <w:divBdr>
            <w:top w:val="none" w:sz="0" w:space="0" w:color="auto"/>
            <w:left w:val="none" w:sz="0" w:space="0" w:color="auto"/>
            <w:bottom w:val="none" w:sz="0" w:space="0" w:color="auto"/>
            <w:right w:val="none" w:sz="0" w:space="0" w:color="auto"/>
          </w:divBdr>
        </w:div>
        <w:div w:id="1802722440">
          <w:marLeft w:val="1166"/>
          <w:marRight w:val="0"/>
          <w:marTop w:val="77"/>
          <w:marBottom w:val="0"/>
          <w:divBdr>
            <w:top w:val="none" w:sz="0" w:space="0" w:color="auto"/>
            <w:left w:val="none" w:sz="0" w:space="0" w:color="auto"/>
            <w:bottom w:val="none" w:sz="0" w:space="0" w:color="auto"/>
            <w:right w:val="none" w:sz="0" w:space="0" w:color="auto"/>
          </w:divBdr>
        </w:div>
        <w:div w:id="1833527577">
          <w:marLeft w:val="547"/>
          <w:marRight w:val="0"/>
          <w:marTop w:val="96"/>
          <w:marBottom w:val="0"/>
          <w:divBdr>
            <w:top w:val="none" w:sz="0" w:space="0" w:color="auto"/>
            <w:left w:val="none" w:sz="0" w:space="0" w:color="auto"/>
            <w:bottom w:val="none" w:sz="0" w:space="0" w:color="auto"/>
            <w:right w:val="none" w:sz="0" w:space="0" w:color="auto"/>
          </w:divBdr>
        </w:div>
        <w:div w:id="1877808182">
          <w:marLeft w:val="547"/>
          <w:marRight w:val="0"/>
          <w:marTop w:val="96"/>
          <w:marBottom w:val="0"/>
          <w:divBdr>
            <w:top w:val="none" w:sz="0" w:space="0" w:color="auto"/>
            <w:left w:val="none" w:sz="0" w:space="0" w:color="auto"/>
            <w:bottom w:val="none" w:sz="0" w:space="0" w:color="auto"/>
            <w:right w:val="none" w:sz="0" w:space="0" w:color="auto"/>
          </w:divBdr>
        </w:div>
      </w:divsChild>
    </w:div>
    <w:div w:id="1650163412">
      <w:bodyDiv w:val="1"/>
      <w:marLeft w:val="0"/>
      <w:marRight w:val="0"/>
      <w:marTop w:val="0"/>
      <w:marBottom w:val="0"/>
      <w:divBdr>
        <w:top w:val="none" w:sz="0" w:space="0" w:color="auto"/>
        <w:left w:val="none" w:sz="0" w:space="0" w:color="auto"/>
        <w:bottom w:val="none" w:sz="0" w:space="0" w:color="auto"/>
        <w:right w:val="none" w:sz="0" w:space="0" w:color="auto"/>
      </w:divBdr>
    </w:div>
    <w:div w:id="1650986634">
      <w:bodyDiv w:val="1"/>
      <w:marLeft w:val="0"/>
      <w:marRight w:val="0"/>
      <w:marTop w:val="0"/>
      <w:marBottom w:val="0"/>
      <w:divBdr>
        <w:top w:val="none" w:sz="0" w:space="0" w:color="auto"/>
        <w:left w:val="none" w:sz="0" w:space="0" w:color="auto"/>
        <w:bottom w:val="none" w:sz="0" w:space="0" w:color="auto"/>
        <w:right w:val="none" w:sz="0" w:space="0" w:color="auto"/>
      </w:divBdr>
    </w:div>
    <w:div w:id="1651590087">
      <w:bodyDiv w:val="1"/>
      <w:marLeft w:val="0"/>
      <w:marRight w:val="0"/>
      <w:marTop w:val="0"/>
      <w:marBottom w:val="0"/>
      <w:divBdr>
        <w:top w:val="none" w:sz="0" w:space="0" w:color="auto"/>
        <w:left w:val="none" w:sz="0" w:space="0" w:color="auto"/>
        <w:bottom w:val="none" w:sz="0" w:space="0" w:color="auto"/>
        <w:right w:val="none" w:sz="0" w:space="0" w:color="auto"/>
      </w:divBdr>
    </w:div>
    <w:div w:id="1653487667">
      <w:bodyDiv w:val="1"/>
      <w:marLeft w:val="0"/>
      <w:marRight w:val="0"/>
      <w:marTop w:val="0"/>
      <w:marBottom w:val="0"/>
      <w:divBdr>
        <w:top w:val="none" w:sz="0" w:space="0" w:color="auto"/>
        <w:left w:val="none" w:sz="0" w:space="0" w:color="auto"/>
        <w:bottom w:val="none" w:sz="0" w:space="0" w:color="auto"/>
        <w:right w:val="none" w:sz="0" w:space="0" w:color="auto"/>
      </w:divBdr>
    </w:div>
    <w:div w:id="1653488695">
      <w:bodyDiv w:val="1"/>
      <w:marLeft w:val="0"/>
      <w:marRight w:val="0"/>
      <w:marTop w:val="0"/>
      <w:marBottom w:val="0"/>
      <w:divBdr>
        <w:top w:val="none" w:sz="0" w:space="0" w:color="auto"/>
        <w:left w:val="none" w:sz="0" w:space="0" w:color="auto"/>
        <w:bottom w:val="none" w:sz="0" w:space="0" w:color="auto"/>
        <w:right w:val="none" w:sz="0" w:space="0" w:color="auto"/>
      </w:divBdr>
    </w:div>
    <w:div w:id="1654218351">
      <w:bodyDiv w:val="1"/>
      <w:marLeft w:val="0"/>
      <w:marRight w:val="0"/>
      <w:marTop w:val="0"/>
      <w:marBottom w:val="0"/>
      <w:divBdr>
        <w:top w:val="none" w:sz="0" w:space="0" w:color="auto"/>
        <w:left w:val="none" w:sz="0" w:space="0" w:color="auto"/>
        <w:bottom w:val="none" w:sz="0" w:space="0" w:color="auto"/>
        <w:right w:val="none" w:sz="0" w:space="0" w:color="auto"/>
      </w:divBdr>
    </w:div>
    <w:div w:id="1654679278">
      <w:bodyDiv w:val="1"/>
      <w:marLeft w:val="0"/>
      <w:marRight w:val="0"/>
      <w:marTop w:val="0"/>
      <w:marBottom w:val="0"/>
      <w:divBdr>
        <w:top w:val="none" w:sz="0" w:space="0" w:color="auto"/>
        <w:left w:val="none" w:sz="0" w:space="0" w:color="auto"/>
        <w:bottom w:val="none" w:sz="0" w:space="0" w:color="auto"/>
        <w:right w:val="none" w:sz="0" w:space="0" w:color="auto"/>
      </w:divBdr>
    </w:div>
    <w:div w:id="1655254386">
      <w:bodyDiv w:val="1"/>
      <w:marLeft w:val="0"/>
      <w:marRight w:val="0"/>
      <w:marTop w:val="0"/>
      <w:marBottom w:val="0"/>
      <w:divBdr>
        <w:top w:val="none" w:sz="0" w:space="0" w:color="auto"/>
        <w:left w:val="none" w:sz="0" w:space="0" w:color="auto"/>
        <w:bottom w:val="none" w:sz="0" w:space="0" w:color="auto"/>
        <w:right w:val="none" w:sz="0" w:space="0" w:color="auto"/>
      </w:divBdr>
    </w:div>
    <w:div w:id="1656251998">
      <w:bodyDiv w:val="1"/>
      <w:marLeft w:val="0"/>
      <w:marRight w:val="0"/>
      <w:marTop w:val="0"/>
      <w:marBottom w:val="0"/>
      <w:divBdr>
        <w:top w:val="none" w:sz="0" w:space="0" w:color="auto"/>
        <w:left w:val="none" w:sz="0" w:space="0" w:color="auto"/>
        <w:bottom w:val="none" w:sz="0" w:space="0" w:color="auto"/>
        <w:right w:val="none" w:sz="0" w:space="0" w:color="auto"/>
      </w:divBdr>
    </w:div>
    <w:div w:id="1656453816">
      <w:bodyDiv w:val="1"/>
      <w:marLeft w:val="0"/>
      <w:marRight w:val="0"/>
      <w:marTop w:val="0"/>
      <w:marBottom w:val="0"/>
      <w:divBdr>
        <w:top w:val="none" w:sz="0" w:space="0" w:color="auto"/>
        <w:left w:val="none" w:sz="0" w:space="0" w:color="auto"/>
        <w:bottom w:val="none" w:sz="0" w:space="0" w:color="auto"/>
        <w:right w:val="none" w:sz="0" w:space="0" w:color="auto"/>
      </w:divBdr>
    </w:div>
    <w:div w:id="1656642675">
      <w:bodyDiv w:val="1"/>
      <w:marLeft w:val="0"/>
      <w:marRight w:val="0"/>
      <w:marTop w:val="0"/>
      <w:marBottom w:val="0"/>
      <w:divBdr>
        <w:top w:val="none" w:sz="0" w:space="0" w:color="auto"/>
        <w:left w:val="none" w:sz="0" w:space="0" w:color="auto"/>
        <w:bottom w:val="none" w:sz="0" w:space="0" w:color="auto"/>
        <w:right w:val="none" w:sz="0" w:space="0" w:color="auto"/>
      </w:divBdr>
    </w:div>
    <w:div w:id="1656686594">
      <w:bodyDiv w:val="1"/>
      <w:marLeft w:val="0"/>
      <w:marRight w:val="0"/>
      <w:marTop w:val="0"/>
      <w:marBottom w:val="0"/>
      <w:divBdr>
        <w:top w:val="none" w:sz="0" w:space="0" w:color="auto"/>
        <w:left w:val="none" w:sz="0" w:space="0" w:color="auto"/>
        <w:bottom w:val="none" w:sz="0" w:space="0" w:color="auto"/>
        <w:right w:val="none" w:sz="0" w:space="0" w:color="auto"/>
      </w:divBdr>
    </w:div>
    <w:div w:id="1657026863">
      <w:bodyDiv w:val="1"/>
      <w:marLeft w:val="0"/>
      <w:marRight w:val="0"/>
      <w:marTop w:val="0"/>
      <w:marBottom w:val="0"/>
      <w:divBdr>
        <w:top w:val="none" w:sz="0" w:space="0" w:color="auto"/>
        <w:left w:val="none" w:sz="0" w:space="0" w:color="auto"/>
        <w:bottom w:val="none" w:sz="0" w:space="0" w:color="auto"/>
        <w:right w:val="none" w:sz="0" w:space="0" w:color="auto"/>
      </w:divBdr>
    </w:div>
    <w:div w:id="1657107627">
      <w:bodyDiv w:val="1"/>
      <w:marLeft w:val="0"/>
      <w:marRight w:val="0"/>
      <w:marTop w:val="0"/>
      <w:marBottom w:val="0"/>
      <w:divBdr>
        <w:top w:val="none" w:sz="0" w:space="0" w:color="auto"/>
        <w:left w:val="none" w:sz="0" w:space="0" w:color="auto"/>
        <w:bottom w:val="none" w:sz="0" w:space="0" w:color="auto"/>
        <w:right w:val="none" w:sz="0" w:space="0" w:color="auto"/>
      </w:divBdr>
    </w:div>
    <w:div w:id="1657294658">
      <w:bodyDiv w:val="1"/>
      <w:marLeft w:val="0"/>
      <w:marRight w:val="0"/>
      <w:marTop w:val="0"/>
      <w:marBottom w:val="0"/>
      <w:divBdr>
        <w:top w:val="none" w:sz="0" w:space="0" w:color="auto"/>
        <w:left w:val="none" w:sz="0" w:space="0" w:color="auto"/>
        <w:bottom w:val="none" w:sz="0" w:space="0" w:color="auto"/>
        <w:right w:val="none" w:sz="0" w:space="0" w:color="auto"/>
      </w:divBdr>
      <w:divsChild>
        <w:div w:id="84115021">
          <w:marLeft w:val="547"/>
          <w:marRight w:val="0"/>
          <w:marTop w:val="115"/>
          <w:marBottom w:val="0"/>
          <w:divBdr>
            <w:top w:val="none" w:sz="0" w:space="0" w:color="auto"/>
            <w:left w:val="none" w:sz="0" w:space="0" w:color="auto"/>
            <w:bottom w:val="none" w:sz="0" w:space="0" w:color="auto"/>
            <w:right w:val="none" w:sz="0" w:space="0" w:color="auto"/>
          </w:divBdr>
        </w:div>
        <w:div w:id="480346103">
          <w:marLeft w:val="547"/>
          <w:marRight w:val="0"/>
          <w:marTop w:val="115"/>
          <w:marBottom w:val="0"/>
          <w:divBdr>
            <w:top w:val="none" w:sz="0" w:space="0" w:color="auto"/>
            <w:left w:val="none" w:sz="0" w:space="0" w:color="auto"/>
            <w:bottom w:val="none" w:sz="0" w:space="0" w:color="auto"/>
            <w:right w:val="none" w:sz="0" w:space="0" w:color="auto"/>
          </w:divBdr>
        </w:div>
        <w:div w:id="1461145302">
          <w:marLeft w:val="547"/>
          <w:marRight w:val="0"/>
          <w:marTop w:val="115"/>
          <w:marBottom w:val="0"/>
          <w:divBdr>
            <w:top w:val="none" w:sz="0" w:space="0" w:color="auto"/>
            <w:left w:val="none" w:sz="0" w:space="0" w:color="auto"/>
            <w:bottom w:val="none" w:sz="0" w:space="0" w:color="auto"/>
            <w:right w:val="none" w:sz="0" w:space="0" w:color="auto"/>
          </w:divBdr>
        </w:div>
        <w:div w:id="1855146349">
          <w:marLeft w:val="1166"/>
          <w:marRight w:val="0"/>
          <w:marTop w:val="96"/>
          <w:marBottom w:val="0"/>
          <w:divBdr>
            <w:top w:val="none" w:sz="0" w:space="0" w:color="auto"/>
            <w:left w:val="none" w:sz="0" w:space="0" w:color="auto"/>
            <w:bottom w:val="none" w:sz="0" w:space="0" w:color="auto"/>
            <w:right w:val="none" w:sz="0" w:space="0" w:color="auto"/>
          </w:divBdr>
        </w:div>
        <w:div w:id="1885872510">
          <w:marLeft w:val="1166"/>
          <w:marRight w:val="0"/>
          <w:marTop w:val="96"/>
          <w:marBottom w:val="0"/>
          <w:divBdr>
            <w:top w:val="none" w:sz="0" w:space="0" w:color="auto"/>
            <w:left w:val="none" w:sz="0" w:space="0" w:color="auto"/>
            <w:bottom w:val="none" w:sz="0" w:space="0" w:color="auto"/>
            <w:right w:val="none" w:sz="0" w:space="0" w:color="auto"/>
          </w:divBdr>
        </w:div>
        <w:div w:id="2075422123">
          <w:marLeft w:val="1166"/>
          <w:marRight w:val="0"/>
          <w:marTop w:val="96"/>
          <w:marBottom w:val="0"/>
          <w:divBdr>
            <w:top w:val="none" w:sz="0" w:space="0" w:color="auto"/>
            <w:left w:val="none" w:sz="0" w:space="0" w:color="auto"/>
            <w:bottom w:val="none" w:sz="0" w:space="0" w:color="auto"/>
            <w:right w:val="none" w:sz="0" w:space="0" w:color="auto"/>
          </w:divBdr>
        </w:div>
      </w:divsChild>
    </w:div>
    <w:div w:id="1658071071">
      <w:bodyDiv w:val="1"/>
      <w:marLeft w:val="0"/>
      <w:marRight w:val="0"/>
      <w:marTop w:val="0"/>
      <w:marBottom w:val="0"/>
      <w:divBdr>
        <w:top w:val="none" w:sz="0" w:space="0" w:color="auto"/>
        <w:left w:val="none" w:sz="0" w:space="0" w:color="auto"/>
        <w:bottom w:val="none" w:sz="0" w:space="0" w:color="auto"/>
        <w:right w:val="none" w:sz="0" w:space="0" w:color="auto"/>
      </w:divBdr>
    </w:div>
    <w:div w:id="1658455928">
      <w:bodyDiv w:val="1"/>
      <w:marLeft w:val="0"/>
      <w:marRight w:val="0"/>
      <w:marTop w:val="0"/>
      <w:marBottom w:val="0"/>
      <w:divBdr>
        <w:top w:val="none" w:sz="0" w:space="0" w:color="auto"/>
        <w:left w:val="none" w:sz="0" w:space="0" w:color="auto"/>
        <w:bottom w:val="none" w:sz="0" w:space="0" w:color="auto"/>
        <w:right w:val="none" w:sz="0" w:space="0" w:color="auto"/>
      </w:divBdr>
    </w:div>
    <w:div w:id="1658731793">
      <w:bodyDiv w:val="1"/>
      <w:marLeft w:val="0"/>
      <w:marRight w:val="0"/>
      <w:marTop w:val="0"/>
      <w:marBottom w:val="0"/>
      <w:divBdr>
        <w:top w:val="none" w:sz="0" w:space="0" w:color="auto"/>
        <w:left w:val="none" w:sz="0" w:space="0" w:color="auto"/>
        <w:bottom w:val="none" w:sz="0" w:space="0" w:color="auto"/>
        <w:right w:val="none" w:sz="0" w:space="0" w:color="auto"/>
      </w:divBdr>
      <w:divsChild>
        <w:div w:id="198132636">
          <w:marLeft w:val="1800"/>
          <w:marRight w:val="0"/>
          <w:marTop w:val="82"/>
          <w:marBottom w:val="0"/>
          <w:divBdr>
            <w:top w:val="none" w:sz="0" w:space="0" w:color="auto"/>
            <w:left w:val="none" w:sz="0" w:space="0" w:color="auto"/>
            <w:bottom w:val="none" w:sz="0" w:space="0" w:color="auto"/>
            <w:right w:val="none" w:sz="0" w:space="0" w:color="auto"/>
          </w:divBdr>
        </w:div>
        <w:div w:id="758217092">
          <w:marLeft w:val="1800"/>
          <w:marRight w:val="0"/>
          <w:marTop w:val="82"/>
          <w:marBottom w:val="0"/>
          <w:divBdr>
            <w:top w:val="none" w:sz="0" w:space="0" w:color="auto"/>
            <w:left w:val="none" w:sz="0" w:space="0" w:color="auto"/>
            <w:bottom w:val="none" w:sz="0" w:space="0" w:color="auto"/>
            <w:right w:val="none" w:sz="0" w:space="0" w:color="auto"/>
          </w:divBdr>
        </w:div>
        <w:div w:id="795609625">
          <w:marLeft w:val="1166"/>
          <w:marRight w:val="0"/>
          <w:marTop w:val="115"/>
          <w:marBottom w:val="0"/>
          <w:divBdr>
            <w:top w:val="none" w:sz="0" w:space="0" w:color="auto"/>
            <w:left w:val="none" w:sz="0" w:space="0" w:color="auto"/>
            <w:bottom w:val="none" w:sz="0" w:space="0" w:color="auto"/>
            <w:right w:val="none" w:sz="0" w:space="0" w:color="auto"/>
          </w:divBdr>
        </w:div>
        <w:div w:id="897742379">
          <w:marLeft w:val="1800"/>
          <w:marRight w:val="0"/>
          <w:marTop w:val="82"/>
          <w:marBottom w:val="0"/>
          <w:divBdr>
            <w:top w:val="none" w:sz="0" w:space="0" w:color="auto"/>
            <w:left w:val="none" w:sz="0" w:space="0" w:color="auto"/>
            <w:bottom w:val="none" w:sz="0" w:space="0" w:color="auto"/>
            <w:right w:val="none" w:sz="0" w:space="0" w:color="auto"/>
          </w:divBdr>
        </w:div>
        <w:div w:id="1061365147">
          <w:marLeft w:val="547"/>
          <w:marRight w:val="0"/>
          <w:marTop w:val="115"/>
          <w:marBottom w:val="0"/>
          <w:divBdr>
            <w:top w:val="none" w:sz="0" w:space="0" w:color="auto"/>
            <w:left w:val="none" w:sz="0" w:space="0" w:color="auto"/>
            <w:bottom w:val="none" w:sz="0" w:space="0" w:color="auto"/>
            <w:right w:val="none" w:sz="0" w:space="0" w:color="auto"/>
          </w:divBdr>
        </w:div>
        <w:div w:id="1087381089">
          <w:marLeft w:val="1166"/>
          <w:marRight w:val="0"/>
          <w:marTop w:val="96"/>
          <w:marBottom w:val="0"/>
          <w:divBdr>
            <w:top w:val="none" w:sz="0" w:space="0" w:color="auto"/>
            <w:left w:val="none" w:sz="0" w:space="0" w:color="auto"/>
            <w:bottom w:val="none" w:sz="0" w:space="0" w:color="auto"/>
            <w:right w:val="none" w:sz="0" w:space="0" w:color="auto"/>
          </w:divBdr>
        </w:div>
        <w:div w:id="1848669392">
          <w:marLeft w:val="1166"/>
          <w:marRight w:val="0"/>
          <w:marTop w:val="96"/>
          <w:marBottom w:val="0"/>
          <w:divBdr>
            <w:top w:val="none" w:sz="0" w:space="0" w:color="auto"/>
            <w:left w:val="none" w:sz="0" w:space="0" w:color="auto"/>
            <w:bottom w:val="none" w:sz="0" w:space="0" w:color="auto"/>
            <w:right w:val="none" w:sz="0" w:space="0" w:color="auto"/>
          </w:divBdr>
        </w:div>
        <w:div w:id="1906797194">
          <w:marLeft w:val="1800"/>
          <w:marRight w:val="0"/>
          <w:marTop w:val="82"/>
          <w:marBottom w:val="0"/>
          <w:divBdr>
            <w:top w:val="none" w:sz="0" w:space="0" w:color="auto"/>
            <w:left w:val="none" w:sz="0" w:space="0" w:color="auto"/>
            <w:bottom w:val="none" w:sz="0" w:space="0" w:color="auto"/>
            <w:right w:val="none" w:sz="0" w:space="0" w:color="auto"/>
          </w:divBdr>
        </w:div>
      </w:divsChild>
    </w:div>
    <w:div w:id="1660039933">
      <w:bodyDiv w:val="1"/>
      <w:marLeft w:val="0"/>
      <w:marRight w:val="0"/>
      <w:marTop w:val="0"/>
      <w:marBottom w:val="0"/>
      <w:divBdr>
        <w:top w:val="none" w:sz="0" w:space="0" w:color="auto"/>
        <w:left w:val="none" w:sz="0" w:space="0" w:color="auto"/>
        <w:bottom w:val="none" w:sz="0" w:space="0" w:color="auto"/>
        <w:right w:val="none" w:sz="0" w:space="0" w:color="auto"/>
      </w:divBdr>
    </w:div>
    <w:div w:id="1660578394">
      <w:bodyDiv w:val="1"/>
      <w:marLeft w:val="0"/>
      <w:marRight w:val="0"/>
      <w:marTop w:val="0"/>
      <w:marBottom w:val="0"/>
      <w:divBdr>
        <w:top w:val="none" w:sz="0" w:space="0" w:color="auto"/>
        <w:left w:val="none" w:sz="0" w:space="0" w:color="auto"/>
        <w:bottom w:val="none" w:sz="0" w:space="0" w:color="auto"/>
        <w:right w:val="none" w:sz="0" w:space="0" w:color="auto"/>
      </w:divBdr>
    </w:div>
    <w:div w:id="1660618818">
      <w:bodyDiv w:val="1"/>
      <w:marLeft w:val="0"/>
      <w:marRight w:val="0"/>
      <w:marTop w:val="0"/>
      <w:marBottom w:val="0"/>
      <w:divBdr>
        <w:top w:val="none" w:sz="0" w:space="0" w:color="auto"/>
        <w:left w:val="none" w:sz="0" w:space="0" w:color="auto"/>
        <w:bottom w:val="none" w:sz="0" w:space="0" w:color="auto"/>
        <w:right w:val="none" w:sz="0" w:space="0" w:color="auto"/>
      </w:divBdr>
    </w:div>
    <w:div w:id="1660767859">
      <w:bodyDiv w:val="1"/>
      <w:marLeft w:val="0"/>
      <w:marRight w:val="0"/>
      <w:marTop w:val="0"/>
      <w:marBottom w:val="0"/>
      <w:divBdr>
        <w:top w:val="none" w:sz="0" w:space="0" w:color="auto"/>
        <w:left w:val="none" w:sz="0" w:space="0" w:color="auto"/>
        <w:bottom w:val="none" w:sz="0" w:space="0" w:color="auto"/>
        <w:right w:val="none" w:sz="0" w:space="0" w:color="auto"/>
      </w:divBdr>
      <w:divsChild>
        <w:div w:id="1385103853">
          <w:marLeft w:val="0"/>
          <w:marRight w:val="0"/>
          <w:marTop w:val="0"/>
          <w:marBottom w:val="0"/>
          <w:divBdr>
            <w:top w:val="none" w:sz="0" w:space="0" w:color="auto"/>
            <w:left w:val="none" w:sz="0" w:space="0" w:color="auto"/>
            <w:bottom w:val="none" w:sz="0" w:space="0" w:color="auto"/>
            <w:right w:val="none" w:sz="0" w:space="0" w:color="auto"/>
          </w:divBdr>
          <w:divsChild>
            <w:div w:id="70854512">
              <w:marLeft w:val="0"/>
              <w:marRight w:val="0"/>
              <w:marTop w:val="0"/>
              <w:marBottom w:val="0"/>
              <w:divBdr>
                <w:top w:val="none" w:sz="0" w:space="0" w:color="auto"/>
                <w:left w:val="none" w:sz="0" w:space="0" w:color="auto"/>
                <w:bottom w:val="none" w:sz="0" w:space="0" w:color="auto"/>
                <w:right w:val="none" w:sz="0" w:space="0" w:color="auto"/>
              </w:divBdr>
            </w:div>
            <w:div w:id="1042787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61225420">
      <w:bodyDiv w:val="1"/>
      <w:marLeft w:val="0"/>
      <w:marRight w:val="0"/>
      <w:marTop w:val="0"/>
      <w:marBottom w:val="0"/>
      <w:divBdr>
        <w:top w:val="none" w:sz="0" w:space="0" w:color="auto"/>
        <w:left w:val="none" w:sz="0" w:space="0" w:color="auto"/>
        <w:bottom w:val="none" w:sz="0" w:space="0" w:color="auto"/>
        <w:right w:val="none" w:sz="0" w:space="0" w:color="auto"/>
      </w:divBdr>
    </w:div>
    <w:div w:id="1661303904">
      <w:bodyDiv w:val="1"/>
      <w:marLeft w:val="0"/>
      <w:marRight w:val="0"/>
      <w:marTop w:val="0"/>
      <w:marBottom w:val="0"/>
      <w:divBdr>
        <w:top w:val="none" w:sz="0" w:space="0" w:color="auto"/>
        <w:left w:val="none" w:sz="0" w:space="0" w:color="auto"/>
        <w:bottom w:val="none" w:sz="0" w:space="0" w:color="auto"/>
        <w:right w:val="none" w:sz="0" w:space="0" w:color="auto"/>
      </w:divBdr>
    </w:div>
    <w:div w:id="1661538648">
      <w:bodyDiv w:val="1"/>
      <w:marLeft w:val="0"/>
      <w:marRight w:val="0"/>
      <w:marTop w:val="0"/>
      <w:marBottom w:val="0"/>
      <w:divBdr>
        <w:top w:val="none" w:sz="0" w:space="0" w:color="auto"/>
        <w:left w:val="none" w:sz="0" w:space="0" w:color="auto"/>
        <w:bottom w:val="none" w:sz="0" w:space="0" w:color="auto"/>
        <w:right w:val="none" w:sz="0" w:space="0" w:color="auto"/>
      </w:divBdr>
    </w:div>
    <w:div w:id="1662804596">
      <w:bodyDiv w:val="1"/>
      <w:marLeft w:val="0"/>
      <w:marRight w:val="0"/>
      <w:marTop w:val="0"/>
      <w:marBottom w:val="0"/>
      <w:divBdr>
        <w:top w:val="none" w:sz="0" w:space="0" w:color="auto"/>
        <w:left w:val="none" w:sz="0" w:space="0" w:color="auto"/>
        <w:bottom w:val="none" w:sz="0" w:space="0" w:color="auto"/>
        <w:right w:val="none" w:sz="0" w:space="0" w:color="auto"/>
      </w:divBdr>
    </w:div>
    <w:div w:id="1663073370">
      <w:bodyDiv w:val="1"/>
      <w:marLeft w:val="0"/>
      <w:marRight w:val="0"/>
      <w:marTop w:val="0"/>
      <w:marBottom w:val="0"/>
      <w:divBdr>
        <w:top w:val="none" w:sz="0" w:space="0" w:color="auto"/>
        <w:left w:val="none" w:sz="0" w:space="0" w:color="auto"/>
        <w:bottom w:val="none" w:sz="0" w:space="0" w:color="auto"/>
        <w:right w:val="none" w:sz="0" w:space="0" w:color="auto"/>
      </w:divBdr>
      <w:divsChild>
        <w:div w:id="204560141">
          <w:marLeft w:val="1267"/>
          <w:marRight w:val="0"/>
          <w:marTop w:val="0"/>
          <w:marBottom w:val="0"/>
          <w:divBdr>
            <w:top w:val="none" w:sz="0" w:space="0" w:color="auto"/>
            <w:left w:val="none" w:sz="0" w:space="0" w:color="auto"/>
            <w:bottom w:val="none" w:sz="0" w:space="0" w:color="auto"/>
            <w:right w:val="none" w:sz="0" w:space="0" w:color="auto"/>
          </w:divBdr>
        </w:div>
        <w:div w:id="205606187">
          <w:marLeft w:val="634"/>
          <w:marRight w:val="0"/>
          <w:marTop w:val="0"/>
          <w:marBottom w:val="0"/>
          <w:divBdr>
            <w:top w:val="none" w:sz="0" w:space="0" w:color="auto"/>
            <w:left w:val="none" w:sz="0" w:space="0" w:color="auto"/>
            <w:bottom w:val="none" w:sz="0" w:space="0" w:color="auto"/>
            <w:right w:val="none" w:sz="0" w:space="0" w:color="auto"/>
          </w:divBdr>
        </w:div>
        <w:div w:id="462116024">
          <w:marLeft w:val="634"/>
          <w:marRight w:val="0"/>
          <w:marTop w:val="0"/>
          <w:marBottom w:val="0"/>
          <w:divBdr>
            <w:top w:val="none" w:sz="0" w:space="0" w:color="auto"/>
            <w:left w:val="none" w:sz="0" w:space="0" w:color="auto"/>
            <w:bottom w:val="none" w:sz="0" w:space="0" w:color="auto"/>
            <w:right w:val="none" w:sz="0" w:space="0" w:color="auto"/>
          </w:divBdr>
        </w:div>
        <w:div w:id="504976135">
          <w:marLeft w:val="634"/>
          <w:marRight w:val="0"/>
          <w:marTop w:val="0"/>
          <w:marBottom w:val="0"/>
          <w:divBdr>
            <w:top w:val="none" w:sz="0" w:space="0" w:color="auto"/>
            <w:left w:val="none" w:sz="0" w:space="0" w:color="auto"/>
            <w:bottom w:val="none" w:sz="0" w:space="0" w:color="auto"/>
            <w:right w:val="none" w:sz="0" w:space="0" w:color="auto"/>
          </w:divBdr>
        </w:div>
        <w:div w:id="664556859">
          <w:marLeft w:val="634"/>
          <w:marRight w:val="0"/>
          <w:marTop w:val="0"/>
          <w:marBottom w:val="0"/>
          <w:divBdr>
            <w:top w:val="none" w:sz="0" w:space="0" w:color="auto"/>
            <w:left w:val="none" w:sz="0" w:space="0" w:color="auto"/>
            <w:bottom w:val="none" w:sz="0" w:space="0" w:color="auto"/>
            <w:right w:val="none" w:sz="0" w:space="0" w:color="auto"/>
          </w:divBdr>
        </w:div>
        <w:div w:id="688606125">
          <w:marLeft w:val="1267"/>
          <w:marRight w:val="0"/>
          <w:marTop w:val="0"/>
          <w:marBottom w:val="0"/>
          <w:divBdr>
            <w:top w:val="none" w:sz="0" w:space="0" w:color="auto"/>
            <w:left w:val="none" w:sz="0" w:space="0" w:color="auto"/>
            <w:bottom w:val="none" w:sz="0" w:space="0" w:color="auto"/>
            <w:right w:val="none" w:sz="0" w:space="0" w:color="auto"/>
          </w:divBdr>
        </w:div>
        <w:div w:id="714038726">
          <w:marLeft w:val="634"/>
          <w:marRight w:val="0"/>
          <w:marTop w:val="0"/>
          <w:marBottom w:val="0"/>
          <w:divBdr>
            <w:top w:val="none" w:sz="0" w:space="0" w:color="auto"/>
            <w:left w:val="none" w:sz="0" w:space="0" w:color="auto"/>
            <w:bottom w:val="none" w:sz="0" w:space="0" w:color="auto"/>
            <w:right w:val="none" w:sz="0" w:space="0" w:color="auto"/>
          </w:divBdr>
        </w:div>
        <w:div w:id="722994666">
          <w:marLeft w:val="1354"/>
          <w:marRight w:val="0"/>
          <w:marTop w:val="0"/>
          <w:marBottom w:val="0"/>
          <w:divBdr>
            <w:top w:val="none" w:sz="0" w:space="0" w:color="auto"/>
            <w:left w:val="none" w:sz="0" w:space="0" w:color="auto"/>
            <w:bottom w:val="none" w:sz="0" w:space="0" w:color="auto"/>
            <w:right w:val="none" w:sz="0" w:space="0" w:color="auto"/>
          </w:divBdr>
        </w:div>
        <w:div w:id="783773787">
          <w:marLeft w:val="1267"/>
          <w:marRight w:val="0"/>
          <w:marTop w:val="0"/>
          <w:marBottom w:val="0"/>
          <w:divBdr>
            <w:top w:val="none" w:sz="0" w:space="0" w:color="auto"/>
            <w:left w:val="none" w:sz="0" w:space="0" w:color="auto"/>
            <w:bottom w:val="none" w:sz="0" w:space="0" w:color="auto"/>
            <w:right w:val="none" w:sz="0" w:space="0" w:color="auto"/>
          </w:divBdr>
        </w:div>
        <w:div w:id="1014649639">
          <w:marLeft w:val="634"/>
          <w:marRight w:val="0"/>
          <w:marTop w:val="0"/>
          <w:marBottom w:val="0"/>
          <w:divBdr>
            <w:top w:val="none" w:sz="0" w:space="0" w:color="auto"/>
            <w:left w:val="none" w:sz="0" w:space="0" w:color="auto"/>
            <w:bottom w:val="none" w:sz="0" w:space="0" w:color="auto"/>
            <w:right w:val="none" w:sz="0" w:space="0" w:color="auto"/>
          </w:divBdr>
        </w:div>
        <w:div w:id="1724478245">
          <w:marLeft w:val="634"/>
          <w:marRight w:val="0"/>
          <w:marTop w:val="0"/>
          <w:marBottom w:val="0"/>
          <w:divBdr>
            <w:top w:val="none" w:sz="0" w:space="0" w:color="auto"/>
            <w:left w:val="none" w:sz="0" w:space="0" w:color="auto"/>
            <w:bottom w:val="none" w:sz="0" w:space="0" w:color="auto"/>
            <w:right w:val="none" w:sz="0" w:space="0" w:color="auto"/>
          </w:divBdr>
        </w:div>
        <w:div w:id="1972707194">
          <w:marLeft w:val="634"/>
          <w:marRight w:val="0"/>
          <w:marTop w:val="0"/>
          <w:marBottom w:val="0"/>
          <w:divBdr>
            <w:top w:val="none" w:sz="0" w:space="0" w:color="auto"/>
            <w:left w:val="none" w:sz="0" w:space="0" w:color="auto"/>
            <w:bottom w:val="none" w:sz="0" w:space="0" w:color="auto"/>
            <w:right w:val="none" w:sz="0" w:space="0" w:color="auto"/>
          </w:divBdr>
        </w:div>
        <w:div w:id="2030060562">
          <w:marLeft w:val="1267"/>
          <w:marRight w:val="0"/>
          <w:marTop w:val="0"/>
          <w:marBottom w:val="0"/>
          <w:divBdr>
            <w:top w:val="none" w:sz="0" w:space="0" w:color="auto"/>
            <w:left w:val="none" w:sz="0" w:space="0" w:color="auto"/>
            <w:bottom w:val="none" w:sz="0" w:space="0" w:color="auto"/>
            <w:right w:val="none" w:sz="0" w:space="0" w:color="auto"/>
          </w:divBdr>
        </w:div>
      </w:divsChild>
    </w:div>
    <w:div w:id="1663656811">
      <w:bodyDiv w:val="1"/>
      <w:marLeft w:val="0"/>
      <w:marRight w:val="0"/>
      <w:marTop w:val="0"/>
      <w:marBottom w:val="0"/>
      <w:divBdr>
        <w:top w:val="none" w:sz="0" w:space="0" w:color="auto"/>
        <w:left w:val="none" w:sz="0" w:space="0" w:color="auto"/>
        <w:bottom w:val="none" w:sz="0" w:space="0" w:color="auto"/>
        <w:right w:val="none" w:sz="0" w:space="0" w:color="auto"/>
      </w:divBdr>
    </w:div>
    <w:div w:id="1663776785">
      <w:bodyDiv w:val="1"/>
      <w:marLeft w:val="0"/>
      <w:marRight w:val="0"/>
      <w:marTop w:val="0"/>
      <w:marBottom w:val="0"/>
      <w:divBdr>
        <w:top w:val="none" w:sz="0" w:space="0" w:color="auto"/>
        <w:left w:val="none" w:sz="0" w:space="0" w:color="auto"/>
        <w:bottom w:val="none" w:sz="0" w:space="0" w:color="auto"/>
        <w:right w:val="none" w:sz="0" w:space="0" w:color="auto"/>
      </w:divBdr>
    </w:div>
    <w:div w:id="1664119860">
      <w:bodyDiv w:val="1"/>
      <w:marLeft w:val="0"/>
      <w:marRight w:val="0"/>
      <w:marTop w:val="0"/>
      <w:marBottom w:val="0"/>
      <w:divBdr>
        <w:top w:val="none" w:sz="0" w:space="0" w:color="auto"/>
        <w:left w:val="none" w:sz="0" w:space="0" w:color="auto"/>
        <w:bottom w:val="none" w:sz="0" w:space="0" w:color="auto"/>
        <w:right w:val="none" w:sz="0" w:space="0" w:color="auto"/>
      </w:divBdr>
      <w:divsChild>
        <w:div w:id="1375084559">
          <w:marLeft w:val="547"/>
          <w:marRight w:val="0"/>
          <w:marTop w:val="96"/>
          <w:marBottom w:val="0"/>
          <w:divBdr>
            <w:top w:val="none" w:sz="0" w:space="0" w:color="auto"/>
            <w:left w:val="none" w:sz="0" w:space="0" w:color="auto"/>
            <w:bottom w:val="none" w:sz="0" w:space="0" w:color="auto"/>
            <w:right w:val="none" w:sz="0" w:space="0" w:color="auto"/>
          </w:divBdr>
        </w:div>
      </w:divsChild>
    </w:div>
    <w:div w:id="1664162546">
      <w:bodyDiv w:val="1"/>
      <w:marLeft w:val="0"/>
      <w:marRight w:val="0"/>
      <w:marTop w:val="0"/>
      <w:marBottom w:val="0"/>
      <w:divBdr>
        <w:top w:val="none" w:sz="0" w:space="0" w:color="auto"/>
        <w:left w:val="none" w:sz="0" w:space="0" w:color="auto"/>
        <w:bottom w:val="none" w:sz="0" w:space="0" w:color="auto"/>
        <w:right w:val="none" w:sz="0" w:space="0" w:color="auto"/>
      </w:divBdr>
    </w:div>
    <w:div w:id="1664309835">
      <w:bodyDiv w:val="1"/>
      <w:marLeft w:val="0"/>
      <w:marRight w:val="0"/>
      <w:marTop w:val="0"/>
      <w:marBottom w:val="0"/>
      <w:divBdr>
        <w:top w:val="none" w:sz="0" w:space="0" w:color="auto"/>
        <w:left w:val="none" w:sz="0" w:space="0" w:color="auto"/>
        <w:bottom w:val="none" w:sz="0" w:space="0" w:color="auto"/>
        <w:right w:val="none" w:sz="0" w:space="0" w:color="auto"/>
      </w:divBdr>
      <w:divsChild>
        <w:div w:id="715391222">
          <w:marLeft w:val="0"/>
          <w:marRight w:val="0"/>
          <w:marTop w:val="0"/>
          <w:marBottom w:val="0"/>
          <w:divBdr>
            <w:top w:val="none" w:sz="0" w:space="0" w:color="auto"/>
            <w:left w:val="none" w:sz="0" w:space="0" w:color="auto"/>
            <w:bottom w:val="none" w:sz="0" w:space="0" w:color="auto"/>
            <w:right w:val="none" w:sz="0" w:space="0" w:color="auto"/>
          </w:divBdr>
          <w:divsChild>
            <w:div w:id="497505884">
              <w:marLeft w:val="0"/>
              <w:marRight w:val="0"/>
              <w:marTop w:val="0"/>
              <w:marBottom w:val="0"/>
              <w:divBdr>
                <w:top w:val="none" w:sz="0" w:space="0" w:color="auto"/>
                <w:left w:val="none" w:sz="0" w:space="0" w:color="auto"/>
                <w:bottom w:val="none" w:sz="0" w:space="0" w:color="auto"/>
                <w:right w:val="none" w:sz="0" w:space="0" w:color="auto"/>
              </w:divBdr>
            </w:div>
            <w:div w:id="1428387739">
              <w:marLeft w:val="0"/>
              <w:marRight w:val="0"/>
              <w:marTop w:val="0"/>
              <w:marBottom w:val="0"/>
              <w:divBdr>
                <w:top w:val="none" w:sz="0" w:space="0" w:color="auto"/>
                <w:left w:val="none" w:sz="0" w:space="0" w:color="auto"/>
                <w:bottom w:val="none" w:sz="0" w:space="0" w:color="auto"/>
                <w:right w:val="none" w:sz="0" w:space="0" w:color="auto"/>
              </w:divBdr>
            </w:div>
            <w:div w:id="16548741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65476713">
      <w:bodyDiv w:val="1"/>
      <w:marLeft w:val="0"/>
      <w:marRight w:val="0"/>
      <w:marTop w:val="0"/>
      <w:marBottom w:val="0"/>
      <w:divBdr>
        <w:top w:val="none" w:sz="0" w:space="0" w:color="auto"/>
        <w:left w:val="none" w:sz="0" w:space="0" w:color="auto"/>
        <w:bottom w:val="none" w:sz="0" w:space="0" w:color="auto"/>
        <w:right w:val="none" w:sz="0" w:space="0" w:color="auto"/>
      </w:divBdr>
      <w:divsChild>
        <w:div w:id="526606804">
          <w:marLeft w:val="1800"/>
          <w:marRight w:val="0"/>
          <w:marTop w:val="77"/>
          <w:marBottom w:val="0"/>
          <w:divBdr>
            <w:top w:val="none" w:sz="0" w:space="0" w:color="auto"/>
            <w:left w:val="none" w:sz="0" w:space="0" w:color="auto"/>
            <w:bottom w:val="none" w:sz="0" w:space="0" w:color="auto"/>
            <w:right w:val="none" w:sz="0" w:space="0" w:color="auto"/>
          </w:divBdr>
        </w:div>
        <w:div w:id="613632619">
          <w:marLeft w:val="1166"/>
          <w:marRight w:val="0"/>
          <w:marTop w:val="96"/>
          <w:marBottom w:val="0"/>
          <w:divBdr>
            <w:top w:val="none" w:sz="0" w:space="0" w:color="auto"/>
            <w:left w:val="none" w:sz="0" w:space="0" w:color="auto"/>
            <w:bottom w:val="none" w:sz="0" w:space="0" w:color="auto"/>
            <w:right w:val="none" w:sz="0" w:space="0" w:color="auto"/>
          </w:divBdr>
        </w:div>
        <w:div w:id="796722905">
          <w:marLeft w:val="1166"/>
          <w:marRight w:val="0"/>
          <w:marTop w:val="96"/>
          <w:marBottom w:val="0"/>
          <w:divBdr>
            <w:top w:val="none" w:sz="0" w:space="0" w:color="auto"/>
            <w:left w:val="none" w:sz="0" w:space="0" w:color="auto"/>
            <w:bottom w:val="none" w:sz="0" w:space="0" w:color="auto"/>
            <w:right w:val="none" w:sz="0" w:space="0" w:color="auto"/>
          </w:divBdr>
        </w:div>
        <w:div w:id="994992835">
          <w:marLeft w:val="1800"/>
          <w:marRight w:val="0"/>
          <w:marTop w:val="77"/>
          <w:marBottom w:val="0"/>
          <w:divBdr>
            <w:top w:val="none" w:sz="0" w:space="0" w:color="auto"/>
            <w:left w:val="none" w:sz="0" w:space="0" w:color="auto"/>
            <w:bottom w:val="none" w:sz="0" w:space="0" w:color="auto"/>
            <w:right w:val="none" w:sz="0" w:space="0" w:color="auto"/>
          </w:divBdr>
        </w:div>
        <w:div w:id="1228498253">
          <w:marLeft w:val="547"/>
          <w:marRight w:val="0"/>
          <w:marTop w:val="115"/>
          <w:marBottom w:val="0"/>
          <w:divBdr>
            <w:top w:val="none" w:sz="0" w:space="0" w:color="auto"/>
            <w:left w:val="none" w:sz="0" w:space="0" w:color="auto"/>
            <w:bottom w:val="none" w:sz="0" w:space="0" w:color="auto"/>
            <w:right w:val="none" w:sz="0" w:space="0" w:color="auto"/>
          </w:divBdr>
        </w:div>
        <w:div w:id="1305550031">
          <w:marLeft w:val="547"/>
          <w:marRight w:val="0"/>
          <w:marTop w:val="115"/>
          <w:marBottom w:val="0"/>
          <w:divBdr>
            <w:top w:val="none" w:sz="0" w:space="0" w:color="auto"/>
            <w:left w:val="none" w:sz="0" w:space="0" w:color="auto"/>
            <w:bottom w:val="none" w:sz="0" w:space="0" w:color="auto"/>
            <w:right w:val="none" w:sz="0" w:space="0" w:color="auto"/>
          </w:divBdr>
        </w:div>
        <w:div w:id="1340045129">
          <w:marLeft w:val="547"/>
          <w:marRight w:val="0"/>
          <w:marTop w:val="115"/>
          <w:marBottom w:val="0"/>
          <w:divBdr>
            <w:top w:val="none" w:sz="0" w:space="0" w:color="auto"/>
            <w:left w:val="none" w:sz="0" w:space="0" w:color="auto"/>
            <w:bottom w:val="none" w:sz="0" w:space="0" w:color="auto"/>
            <w:right w:val="none" w:sz="0" w:space="0" w:color="auto"/>
          </w:divBdr>
        </w:div>
        <w:div w:id="1482695983">
          <w:marLeft w:val="1166"/>
          <w:marRight w:val="0"/>
          <w:marTop w:val="96"/>
          <w:marBottom w:val="0"/>
          <w:divBdr>
            <w:top w:val="none" w:sz="0" w:space="0" w:color="auto"/>
            <w:left w:val="none" w:sz="0" w:space="0" w:color="auto"/>
            <w:bottom w:val="none" w:sz="0" w:space="0" w:color="auto"/>
            <w:right w:val="none" w:sz="0" w:space="0" w:color="auto"/>
          </w:divBdr>
        </w:div>
        <w:div w:id="1746611906">
          <w:marLeft w:val="547"/>
          <w:marRight w:val="0"/>
          <w:marTop w:val="115"/>
          <w:marBottom w:val="0"/>
          <w:divBdr>
            <w:top w:val="none" w:sz="0" w:space="0" w:color="auto"/>
            <w:left w:val="none" w:sz="0" w:space="0" w:color="auto"/>
            <w:bottom w:val="none" w:sz="0" w:space="0" w:color="auto"/>
            <w:right w:val="none" w:sz="0" w:space="0" w:color="auto"/>
          </w:divBdr>
        </w:div>
        <w:div w:id="1950239797">
          <w:marLeft w:val="1800"/>
          <w:marRight w:val="0"/>
          <w:marTop w:val="77"/>
          <w:marBottom w:val="0"/>
          <w:divBdr>
            <w:top w:val="none" w:sz="0" w:space="0" w:color="auto"/>
            <w:left w:val="none" w:sz="0" w:space="0" w:color="auto"/>
            <w:bottom w:val="none" w:sz="0" w:space="0" w:color="auto"/>
            <w:right w:val="none" w:sz="0" w:space="0" w:color="auto"/>
          </w:divBdr>
        </w:div>
        <w:div w:id="2048095183">
          <w:marLeft w:val="547"/>
          <w:marRight w:val="0"/>
          <w:marTop w:val="115"/>
          <w:marBottom w:val="0"/>
          <w:divBdr>
            <w:top w:val="none" w:sz="0" w:space="0" w:color="auto"/>
            <w:left w:val="none" w:sz="0" w:space="0" w:color="auto"/>
            <w:bottom w:val="none" w:sz="0" w:space="0" w:color="auto"/>
            <w:right w:val="none" w:sz="0" w:space="0" w:color="auto"/>
          </w:divBdr>
        </w:div>
      </w:divsChild>
    </w:div>
    <w:div w:id="1665620393">
      <w:bodyDiv w:val="1"/>
      <w:marLeft w:val="0"/>
      <w:marRight w:val="0"/>
      <w:marTop w:val="0"/>
      <w:marBottom w:val="0"/>
      <w:divBdr>
        <w:top w:val="none" w:sz="0" w:space="0" w:color="auto"/>
        <w:left w:val="none" w:sz="0" w:space="0" w:color="auto"/>
        <w:bottom w:val="none" w:sz="0" w:space="0" w:color="auto"/>
        <w:right w:val="none" w:sz="0" w:space="0" w:color="auto"/>
      </w:divBdr>
    </w:div>
    <w:div w:id="1666320423">
      <w:bodyDiv w:val="1"/>
      <w:marLeft w:val="0"/>
      <w:marRight w:val="0"/>
      <w:marTop w:val="0"/>
      <w:marBottom w:val="0"/>
      <w:divBdr>
        <w:top w:val="none" w:sz="0" w:space="0" w:color="auto"/>
        <w:left w:val="none" w:sz="0" w:space="0" w:color="auto"/>
        <w:bottom w:val="none" w:sz="0" w:space="0" w:color="auto"/>
        <w:right w:val="none" w:sz="0" w:space="0" w:color="auto"/>
      </w:divBdr>
    </w:div>
    <w:div w:id="1666780449">
      <w:bodyDiv w:val="1"/>
      <w:marLeft w:val="0"/>
      <w:marRight w:val="0"/>
      <w:marTop w:val="0"/>
      <w:marBottom w:val="0"/>
      <w:divBdr>
        <w:top w:val="none" w:sz="0" w:space="0" w:color="auto"/>
        <w:left w:val="none" w:sz="0" w:space="0" w:color="auto"/>
        <w:bottom w:val="none" w:sz="0" w:space="0" w:color="auto"/>
        <w:right w:val="none" w:sz="0" w:space="0" w:color="auto"/>
      </w:divBdr>
    </w:div>
    <w:div w:id="1667978767">
      <w:bodyDiv w:val="1"/>
      <w:marLeft w:val="0"/>
      <w:marRight w:val="0"/>
      <w:marTop w:val="0"/>
      <w:marBottom w:val="0"/>
      <w:divBdr>
        <w:top w:val="none" w:sz="0" w:space="0" w:color="auto"/>
        <w:left w:val="none" w:sz="0" w:space="0" w:color="auto"/>
        <w:bottom w:val="none" w:sz="0" w:space="0" w:color="auto"/>
        <w:right w:val="none" w:sz="0" w:space="0" w:color="auto"/>
      </w:divBdr>
      <w:divsChild>
        <w:div w:id="1557277681">
          <w:marLeft w:val="547"/>
          <w:marRight w:val="0"/>
          <w:marTop w:val="154"/>
          <w:marBottom w:val="0"/>
          <w:divBdr>
            <w:top w:val="none" w:sz="0" w:space="0" w:color="auto"/>
            <w:left w:val="none" w:sz="0" w:space="0" w:color="auto"/>
            <w:bottom w:val="none" w:sz="0" w:space="0" w:color="auto"/>
            <w:right w:val="none" w:sz="0" w:space="0" w:color="auto"/>
          </w:divBdr>
        </w:div>
        <w:div w:id="1986081302">
          <w:marLeft w:val="547"/>
          <w:marRight w:val="0"/>
          <w:marTop w:val="154"/>
          <w:marBottom w:val="0"/>
          <w:divBdr>
            <w:top w:val="none" w:sz="0" w:space="0" w:color="auto"/>
            <w:left w:val="none" w:sz="0" w:space="0" w:color="auto"/>
            <w:bottom w:val="none" w:sz="0" w:space="0" w:color="auto"/>
            <w:right w:val="none" w:sz="0" w:space="0" w:color="auto"/>
          </w:divBdr>
        </w:div>
      </w:divsChild>
    </w:div>
    <w:div w:id="1668631907">
      <w:bodyDiv w:val="1"/>
      <w:marLeft w:val="0"/>
      <w:marRight w:val="0"/>
      <w:marTop w:val="0"/>
      <w:marBottom w:val="0"/>
      <w:divBdr>
        <w:top w:val="none" w:sz="0" w:space="0" w:color="auto"/>
        <w:left w:val="none" w:sz="0" w:space="0" w:color="auto"/>
        <w:bottom w:val="none" w:sz="0" w:space="0" w:color="auto"/>
        <w:right w:val="none" w:sz="0" w:space="0" w:color="auto"/>
      </w:divBdr>
    </w:div>
    <w:div w:id="1668708387">
      <w:bodyDiv w:val="1"/>
      <w:marLeft w:val="0"/>
      <w:marRight w:val="0"/>
      <w:marTop w:val="0"/>
      <w:marBottom w:val="0"/>
      <w:divBdr>
        <w:top w:val="none" w:sz="0" w:space="0" w:color="auto"/>
        <w:left w:val="none" w:sz="0" w:space="0" w:color="auto"/>
        <w:bottom w:val="none" w:sz="0" w:space="0" w:color="auto"/>
        <w:right w:val="none" w:sz="0" w:space="0" w:color="auto"/>
      </w:divBdr>
    </w:div>
    <w:div w:id="1668898375">
      <w:bodyDiv w:val="1"/>
      <w:marLeft w:val="0"/>
      <w:marRight w:val="0"/>
      <w:marTop w:val="0"/>
      <w:marBottom w:val="0"/>
      <w:divBdr>
        <w:top w:val="none" w:sz="0" w:space="0" w:color="auto"/>
        <w:left w:val="none" w:sz="0" w:space="0" w:color="auto"/>
        <w:bottom w:val="none" w:sz="0" w:space="0" w:color="auto"/>
        <w:right w:val="none" w:sz="0" w:space="0" w:color="auto"/>
      </w:divBdr>
      <w:divsChild>
        <w:div w:id="491607535">
          <w:marLeft w:val="0"/>
          <w:marRight w:val="0"/>
          <w:marTop w:val="0"/>
          <w:marBottom w:val="0"/>
          <w:divBdr>
            <w:top w:val="none" w:sz="0" w:space="0" w:color="auto"/>
            <w:left w:val="none" w:sz="0" w:space="0" w:color="auto"/>
            <w:bottom w:val="none" w:sz="0" w:space="0" w:color="auto"/>
            <w:right w:val="none" w:sz="0" w:space="0" w:color="auto"/>
          </w:divBdr>
          <w:divsChild>
            <w:div w:id="565187593">
              <w:marLeft w:val="0"/>
              <w:marRight w:val="0"/>
              <w:marTop w:val="0"/>
              <w:marBottom w:val="0"/>
              <w:divBdr>
                <w:top w:val="none" w:sz="0" w:space="0" w:color="auto"/>
                <w:left w:val="none" w:sz="0" w:space="0" w:color="auto"/>
                <w:bottom w:val="none" w:sz="0" w:space="0" w:color="auto"/>
                <w:right w:val="none" w:sz="0" w:space="0" w:color="auto"/>
              </w:divBdr>
            </w:div>
            <w:div w:id="728967046">
              <w:marLeft w:val="0"/>
              <w:marRight w:val="0"/>
              <w:marTop w:val="0"/>
              <w:marBottom w:val="0"/>
              <w:divBdr>
                <w:top w:val="none" w:sz="0" w:space="0" w:color="auto"/>
                <w:left w:val="none" w:sz="0" w:space="0" w:color="auto"/>
                <w:bottom w:val="none" w:sz="0" w:space="0" w:color="auto"/>
                <w:right w:val="none" w:sz="0" w:space="0" w:color="auto"/>
              </w:divBdr>
            </w:div>
            <w:div w:id="833423722">
              <w:marLeft w:val="0"/>
              <w:marRight w:val="0"/>
              <w:marTop w:val="0"/>
              <w:marBottom w:val="0"/>
              <w:divBdr>
                <w:top w:val="none" w:sz="0" w:space="0" w:color="auto"/>
                <w:left w:val="none" w:sz="0" w:space="0" w:color="auto"/>
                <w:bottom w:val="none" w:sz="0" w:space="0" w:color="auto"/>
                <w:right w:val="none" w:sz="0" w:space="0" w:color="auto"/>
              </w:divBdr>
            </w:div>
            <w:div w:id="1087120201">
              <w:marLeft w:val="0"/>
              <w:marRight w:val="0"/>
              <w:marTop w:val="0"/>
              <w:marBottom w:val="0"/>
              <w:divBdr>
                <w:top w:val="none" w:sz="0" w:space="0" w:color="auto"/>
                <w:left w:val="none" w:sz="0" w:space="0" w:color="auto"/>
                <w:bottom w:val="none" w:sz="0" w:space="0" w:color="auto"/>
                <w:right w:val="none" w:sz="0" w:space="0" w:color="auto"/>
              </w:divBdr>
            </w:div>
            <w:div w:id="1262647978">
              <w:marLeft w:val="0"/>
              <w:marRight w:val="0"/>
              <w:marTop w:val="0"/>
              <w:marBottom w:val="0"/>
              <w:divBdr>
                <w:top w:val="none" w:sz="0" w:space="0" w:color="auto"/>
                <w:left w:val="none" w:sz="0" w:space="0" w:color="auto"/>
                <w:bottom w:val="none" w:sz="0" w:space="0" w:color="auto"/>
                <w:right w:val="none" w:sz="0" w:space="0" w:color="auto"/>
              </w:divBdr>
            </w:div>
            <w:div w:id="1462070798">
              <w:marLeft w:val="0"/>
              <w:marRight w:val="0"/>
              <w:marTop w:val="0"/>
              <w:marBottom w:val="0"/>
              <w:divBdr>
                <w:top w:val="none" w:sz="0" w:space="0" w:color="auto"/>
                <w:left w:val="none" w:sz="0" w:space="0" w:color="auto"/>
                <w:bottom w:val="none" w:sz="0" w:space="0" w:color="auto"/>
                <w:right w:val="none" w:sz="0" w:space="0" w:color="auto"/>
              </w:divBdr>
            </w:div>
            <w:div w:id="1657150255">
              <w:marLeft w:val="0"/>
              <w:marRight w:val="0"/>
              <w:marTop w:val="0"/>
              <w:marBottom w:val="0"/>
              <w:divBdr>
                <w:top w:val="none" w:sz="0" w:space="0" w:color="auto"/>
                <w:left w:val="none" w:sz="0" w:space="0" w:color="auto"/>
                <w:bottom w:val="none" w:sz="0" w:space="0" w:color="auto"/>
                <w:right w:val="none" w:sz="0" w:space="0" w:color="auto"/>
              </w:divBdr>
            </w:div>
            <w:div w:id="1705666208">
              <w:marLeft w:val="0"/>
              <w:marRight w:val="0"/>
              <w:marTop w:val="0"/>
              <w:marBottom w:val="0"/>
              <w:divBdr>
                <w:top w:val="none" w:sz="0" w:space="0" w:color="auto"/>
                <w:left w:val="none" w:sz="0" w:space="0" w:color="auto"/>
                <w:bottom w:val="none" w:sz="0" w:space="0" w:color="auto"/>
                <w:right w:val="none" w:sz="0" w:space="0" w:color="auto"/>
              </w:divBdr>
            </w:div>
            <w:div w:id="1781215544">
              <w:marLeft w:val="0"/>
              <w:marRight w:val="0"/>
              <w:marTop w:val="0"/>
              <w:marBottom w:val="0"/>
              <w:divBdr>
                <w:top w:val="none" w:sz="0" w:space="0" w:color="auto"/>
                <w:left w:val="none" w:sz="0" w:space="0" w:color="auto"/>
                <w:bottom w:val="none" w:sz="0" w:space="0" w:color="auto"/>
                <w:right w:val="none" w:sz="0" w:space="0" w:color="auto"/>
              </w:divBdr>
            </w:div>
            <w:div w:id="21406073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69286740">
      <w:bodyDiv w:val="1"/>
      <w:marLeft w:val="0"/>
      <w:marRight w:val="0"/>
      <w:marTop w:val="0"/>
      <w:marBottom w:val="0"/>
      <w:divBdr>
        <w:top w:val="none" w:sz="0" w:space="0" w:color="auto"/>
        <w:left w:val="none" w:sz="0" w:space="0" w:color="auto"/>
        <w:bottom w:val="none" w:sz="0" w:space="0" w:color="auto"/>
        <w:right w:val="none" w:sz="0" w:space="0" w:color="auto"/>
      </w:divBdr>
    </w:div>
    <w:div w:id="1670137981">
      <w:bodyDiv w:val="1"/>
      <w:marLeft w:val="0"/>
      <w:marRight w:val="0"/>
      <w:marTop w:val="0"/>
      <w:marBottom w:val="0"/>
      <w:divBdr>
        <w:top w:val="none" w:sz="0" w:space="0" w:color="auto"/>
        <w:left w:val="none" w:sz="0" w:space="0" w:color="auto"/>
        <w:bottom w:val="none" w:sz="0" w:space="0" w:color="auto"/>
        <w:right w:val="none" w:sz="0" w:space="0" w:color="auto"/>
      </w:divBdr>
    </w:div>
    <w:div w:id="1670324788">
      <w:bodyDiv w:val="1"/>
      <w:marLeft w:val="0"/>
      <w:marRight w:val="0"/>
      <w:marTop w:val="0"/>
      <w:marBottom w:val="0"/>
      <w:divBdr>
        <w:top w:val="none" w:sz="0" w:space="0" w:color="auto"/>
        <w:left w:val="none" w:sz="0" w:space="0" w:color="auto"/>
        <w:bottom w:val="none" w:sz="0" w:space="0" w:color="auto"/>
        <w:right w:val="none" w:sz="0" w:space="0" w:color="auto"/>
      </w:divBdr>
    </w:div>
    <w:div w:id="1670593203">
      <w:bodyDiv w:val="1"/>
      <w:marLeft w:val="0"/>
      <w:marRight w:val="0"/>
      <w:marTop w:val="0"/>
      <w:marBottom w:val="0"/>
      <w:divBdr>
        <w:top w:val="none" w:sz="0" w:space="0" w:color="auto"/>
        <w:left w:val="none" w:sz="0" w:space="0" w:color="auto"/>
        <w:bottom w:val="none" w:sz="0" w:space="0" w:color="auto"/>
        <w:right w:val="none" w:sz="0" w:space="0" w:color="auto"/>
      </w:divBdr>
    </w:div>
    <w:div w:id="1670673911">
      <w:bodyDiv w:val="1"/>
      <w:marLeft w:val="0"/>
      <w:marRight w:val="0"/>
      <w:marTop w:val="0"/>
      <w:marBottom w:val="0"/>
      <w:divBdr>
        <w:top w:val="none" w:sz="0" w:space="0" w:color="auto"/>
        <w:left w:val="none" w:sz="0" w:space="0" w:color="auto"/>
        <w:bottom w:val="none" w:sz="0" w:space="0" w:color="auto"/>
        <w:right w:val="none" w:sz="0" w:space="0" w:color="auto"/>
      </w:divBdr>
    </w:div>
    <w:div w:id="1672096469">
      <w:bodyDiv w:val="1"/>
      <w:marLeft w:val="0"/>
      <w:marRight w:val="0"/>
      <w:marTop w:val="0"/>
      <w:marBottom w:val="0"/>
      <w:divBdr>
        <w:top w:val="none" w:sz="0" w:space="0" w:color="auto"/>
        <w:left w:val="none" w:sz="0" w:space="0" w:color="auto"/>
        <w:bottom w:val="none" w:sz="0" w:space="0" w:color="auto"/>
        <w:right w:val="none" w:sz="0" w:space="0" w:color="auto"/>
      </w:divBdr>
      <w:divsChild>
        <w:div w:id="482047979">
          <w:marLeft w:val="1080"/>
          <w:marRight w:val="0"/>
          <w:marTop w:val="100"/>
          <w:marBottom w:val="0"/>
          <w:divBdr>
            <w:top w:val="none" w:sz="0" w:space="0" w:color="auto"/>
            <w:left w:val="none" w:sz="0" w:space="0" w:color="auto"/>
            <w:bottom w:val="none" w:sz="0" w:space="0" w:color="auto"/>
            <w:right w:val="none" w:sz="0" w:space="0" w:color="auto"/>
          </w:divBdr>
        </w:div>
        <w:div w:id="533733613">
          <w:marLeft w:val="360"/>
          <w:marRight w:val="0"/>
          <w:marTop w:val="200"/>
          <w:marBottom w:val="0"/>
          <w:divBdr>
            <w:top w:val="none" w:sz="0" w:space="0" w:color="auto"/>
            <w:left w:val="none" w:sz="0" w:space="0" w:color="auto"/>
            <w:bottom w:val="none" w:sz="0" w:space="0" w:color="auto"/>
            <w:right w:val="none" w:sz="0" w:space="0" w:color="auto"/>
          </w:divBdr>
        </w:div>
        <w:div w:id="656154085">
          <w:marLeft w:val="1080"/>
          <w:marRight w:val="0"/>
          <w:marTop w:val="100"/>
          <w:marBottom w:val="0"/>
          <w:divBdr>
            <w:top w:val="none" w:sz="0" w:space="0" w:color="auto"/>
            <w:left w:val="none" w:sz="0" w:space="0" w:color="auto"/>
            <w:bottom w:val="none" w:sz="0" w:space="0" w:color="auto"/>
            <w:right w:val="none" w:sz="0" w:space="0" w:color="auto"/>
          </w:divBdr>
        </w:div>
        <w:div w:id="799081136">
          <w:marLeft w:val="1080"/>
          <w:marRight w:val="0"/>
          <w:marTop w:val="100"/>
          <w:marBottom w:val="0"/>
          <w:divBdr>
            <w:top w:val="none" w:sz="0" w:space="0" w:color="auto"/>
            <w:left w:val="none" w:sz="0" w:space="0" w:color="auto"/>
            <w:bottom w:val="none" w:sz="0" w:space="0" w:color="auto"/>
            <w:right w:val="none" w:sz="0" w:space="0" w:color="auto"/>
          </w:divBdr>
        </w:div>
        <w:div w:id="1068963959">
          <w:marLeft w:val="1080"/>
          <w:marRight w:val="0"/>
          <w:marTop w:val="100"/>
          <w:marBottom w:val="0"/>
          <w:divBdr>
            <w:top w:val="none" w:sz="0" w:space="0" w:color="auto"/>
            <w:left w:val="none" w:sz="0" w:space="0" w:color="auto"/>
            <w:bottom w:val="none" w:sz="0" w:space="0" w:color="auto"/>
            <w:right w:val="none" w:sz="0" w:space="0" w:color="auto"/>
          </w:divBdr>
        </w:div>
        <w:div w:id="1634142595">
          <w:marLeft w:val="360"/>
          <w:marRight w:val="0"/>
          <w:marTop w:val="200"/>
          <w:marBottom w:val="0"/>
          <w:divBdr>
            <w:top w:val="none" w:sz="0" w:space="0" w:color="auto"/>
            <w:left w:val="none" w:sz="0" w:space="0" w:color="auto"/>
            <w:bottom w:val="none" w:sz="0" w:space="0" w:color="auto"/>
            <w:right w:val="none" w:sz="0" w:space="0" w:color="auto"/>
          </w:divBdr>
        </w:div>
        <w:div w:id="2059234067">
          <w:marLeft w:val="360"/>
          <w:marRight w:val="0"/>
          <w:marTop w:val="200"/>
          <w:marBottom w:val="0"/>
          <w:divBdr>
            <w:top w:val="none" w:sz="0" w:space="0" w:color="auto"/>
            <w:left w:val="none" w:sz="0" w:space="0" w:color="auto"/>
            <w:bottom w:val="none" w:sz="0" w:space="0" w:color="auto"/>
            <w:right w:val="none" w:sz="0" w:space="0" w:color="auto"/>
          </w:divBdr>
        </w:div>
        <w:div w:id="2132816677">
          <w:marLeft w:val="360"/>
          <w:marRight w:val="0"/>
          <w:marTop w:val="200"/>
          <w:marBottom w:val="0"/>
          <w:divBdr>
            <w:top w:val="none" w:sz="0" w:space="0" w:color="auto"/>
            <w:left w:val="none" w:sz="0" w:space="0" w:color="auto"/>
            <w:bottom w:val="none" w:sz="0" w:space="0" w:color="auto"/>
            <w:right w:val="none" w:sz="0" w:space="0" w:color="auto"/>
          </w:divBdr>
        </w:div>
      </w:divsChild>
    </w:div>
    <w:div w:id="1672103549">
      <w:bodyDiv w:val="1"/>
      <w:marLeft w:val="0"/>
      <w:marRight w:val="0"/>
      <w:marTop w:val="0"/>
      <w:marBottom w:val="0"/>
      <w:divBdr>
        <w:top w:val="none" w:sz="0" w:space="0" w:color="auto"/>
        <w:left w:val="none" w:sz="0" w:space="0" w:color="auto"/>
        <w:bottom w:val="none" w:sz="0" w:space="0" w:color="auto"/>
        <w:right w:val="none" w:sz="0" w:space="0" w:color="auto"/>
      </w:divBdr>
      <w:divsChild>
        <w:div w:id="626200940">
          <w:marLeft w:val="547"/>
          <w:marRight w:val="0"/>
          <w:marTop w:val="144"/>
          <w:marBottom w:val="0"/>
          <w:divBdr>
            <w:top w:val="none" w:sz="0" w:space="0" w:color="auto"/>
            <w:left w:val="none" w:sz="0" w:space="0" w:color="auto"/>
            <w:bottom w:val="none" w:sz="0" w:space="0" w:color="auto"/>
            <w:right w:val="none" w:sz="0" w:space="0" w:color="auto"/>
          </w:divBdr>
        </w:div>
        <w:div w:id="973099086">
          <w:marLeft w:val="547"/>
          <w:marRight w:val="0"/>
          <w:marTop w:val="144"/>
          <w:marBottom w:val="0"/>
          <w:divBdr>
            <w:top w:val="none" w:sz="0" w:space="0" w:color="auto"/>
            <w:left w:val="none" w:sz="0" w:space="0" w:color="auto"/>
            <w:bottom w:val="none" w:sz="0" w:space="0" w:color="auto"/>
            <w:right w:val="none" w:sz="0" w:space="0" w:color="auto"/>
          </w:divBdr>
        </w:div>
        <w:div w:id="1653364905">
          <w:marLeft w:val="547"/>
          <w:marRight w:val="0"/>
          <w:marTop w:val="144"/>
          <w:marBottom w:val="0"/>
          <w:divBdr>
            <w:top w:val="none" w:sz="0" w:space="0" w:color="auto"/>
            <w:left w:val="none" w:sz="0" w:space="0" w:color="auto"/>
            <w:bottom w:val="none" w:sz="0" w:space="0" w:color="auto"/>
            <w:right w:val="none" w:sz="0" w:space="0" w:color="auto"/>
          </w:divBdr>
        </w:div>
        <w:div w:id="1956055514">
          <w:marLeft w:val="547"/>
          <w:marRight w:val="0"/>
          <w:marTop w:val="144"/>
          <w:marBottom w:val="0"/>
          <w:divBdr>
            <w:top w:val="none" w:sz="0" w:space="0" w:color="auto"/>
            <w:left w:val="none" w:sz="0" w:space="0" w:color="auto"/>
            <w:bottom w:val="none" w:sz="0" w:space="0" w:color="auto"/>
            <w:right w:val="none" w:sz="0" w:space="0" w:color="auto"/>
          </w:divBdr>
        </w:div>
        <w:div w:id="2021852639">
          <w:marLeft w:val="1166"/>
          <w:marRight w:val="0"/>
          <w:marTop w:val="110"/>
          <w:marBottom w:val="0"/>
          <w:divBdr>
            <w:top w:val="none" w:sz="0" w:space="0" w:color="auto"/>
            <w:left w:val="none" w:sz="0" w:space="0" w:color="auto"/>
            <w:bottom w:val="none" w:sz="0" w:space="0" w:color="auto"/>
            <w:right w:val="none" w:sz="0" w:space="0" w:color="auto"/>
          </w:divBdr>
        </w:div>
        <w:div w:id="2070686497">
          <w:marLeft w:val="1166"/>
          <w:marRight w:val="0"/>
          <w:marTop w:val="110"/>
          <w:marBottom w:val="0"/>
          <w:divBdr>
            <w:top w:val="none" w:sz="0" w:space="0" w:color="auto"/>
            <w:left w:val="none" w:sz="0" w:space="0" w:color="auto"/>
            <w:bottom w:val="none" w:sz="0" w:space="0" w:color="auto"/>
            <w:right w:val="none" w:sz="0" w:space="0" w:color="auto"/>
          </w:divBdr>
        </w:div>
      </w:divsChild>
    </w:div>
    <w:div w:id="1672416246">
      <w:bodyDiv w:val="1"/>
      <w:marLeft w:val="0"/>
      <w:marRight w:val="0"/>
      <w:marTop w:val="0"/>
      <w:marBottom w:val="0"/>
      <w:divBdr>
        <w:top w:val="none" w:sz="0" w:space="0" w:color="auto"/>
        <w:left w:val="none" w:sz="0" w:space="0" w:color="auto"/>
        <w:bottom w:val="none" w:sz="0" w:space="0" w:color="auto"/>
        <w:right w:val="none" w:sz="0" w:space="0" w:color="auto"/>
      </w:divBdr>
    </w:div>
    <w:div w:id="1672633573">
      <w:bodyDiv w:val="1"/>
      <w:marLeft w:val="0"/>
      <w:marRight w:val="0"/>
      <w:marTop w:val="0"/>
      <w:marBottom w:val="0"/>
      <w:divBdr>
        <w:top w:val="none" w:sz="0" w:space="0" w:color="auto"/>
        <w:left w:val="none" w:sz="0" w:space="0" w:color="auto"/>
        <w:bottom w:val="none" w:sz="0" w:space="0" w:color="auto"/>
        <w:right w:val="none" w:sz="0" w:space="0" w:color="auto"/>
      </w:divBdr>
    </w:div>
    <w:div w:id="1672681227">
      <w:bodyDiv w:val="1"/>
      <w:marLeft w:val="0"/>
      <w:marRight w:val="0"/>
      <w:marTop w:val="0"/>
      <w:marBottom w:val="0"/>
      <w:divBdr>
        <w:top w:val="none" w:sz="0" w:space="0" w:color="auto"/>
        <w:left w:val="none" w:sz="0" w:space="0" w:color="auto"/>
        <w:bottom w:val="none" w:sz="0" w:space="0" w:color="auto"/>
        <w:right w:val="none" w:sz="0" w:space="0" w:color="auto"/>
      </w:divBdr>
      <w:divsChild>
        <w:div w:id="79371268">
          <w:marLeft w:val="1166"/>
          <w:marRight w:val="0"/>
          <w:marTop w:val="96"/>
          <w:marBottom w:val="0"/>
          <w:divBdr>
            <w:top w:val="none" w:sz="0" w:space="0" w:color="auto"/>
            <w:left w:val="none" w:sz="0" w:space="0" w:color="auto"/>
            <w:bottom w:val="none" w:sz="0" w:space="0" w:color="auto"/>
            <w:right w:val="none" w:sz="0" w:space="0" w:color="auto"/>
          </w:divBdr>
        </w:div>
        <w:div w:id="110516733">
          <w:marLeft w:val="547"/>
          <w:marRight w:val="0"/>
          <w:marTop w:val="115"/>
          <w:marBottom w:val="0"/>
          <w:divBdr>
            <w:top w:val="none" w:sz="0" w:space="0" w:color="auto"/>
            <w:left w:val="none" w:sz="0" w:space="0" w:color="auto"/>
            <w:bottom w:val="none" w:sz="0" w:space="0" w:color="auto"/>
            <w:right w:val="none" w:sz="0" w:space="0" w:color="auto"/>
          </w:divBdr>
        </w:div>
        <w:div w:id="856626617">
          <w:marLeft w:val="1166"/>
          <w:marRight w:val="0"/>
          <w:marTop w:val="96"/>
          <w:marBottom w:val="0"/>
          <w:divBdr>
            <w:top w:val="none" w:sz="0" w:space="0" w:color="auto"/>
            <w:left w:val="none" w:sz="0" w:space="0" w:color="auto"/>
            <w:bottom w:val="none" w:sz="0" w:space="0" w:color="auto"/>
            <w:right w:val="none" w:sz="0" w:space="0" w:color="auto"/>
          </w:divBdr>
        </w:div>
        <w:div w:id="1540318568">
          <w:marLeft w:val="1166"/>
          <w:marRight w:val="0"/>
          <w:marTop w:val="96"/>
          <w:marBottom w:val="0"/>
          <w:divBdr>
            <w:top w:val="none" w:sz="0" w:space="0" w:color="auto"/>
            <w:left w:val="none" w:sz="0" w:space="0" w:color="auto"/>
            <w:bottom w:val="none" w:sz="0" w:space="0" w:color="auto"/>
            <w:right w:val="none" w:sz="0" w:space="0" w:color="auto"/>
          </w:divBdr>
        </w:div>
      </w:divsChild>
    </w:div>
    <w:div w:id="1672873799">
      <w:bodyDiv w:val="1"/>
      <w:marLeft w:val="0"/>
      <w:marRight w:val="0"/>
      <w:marTop w:val="0"/>
      <w:marBottom w:val="0"/>
      <w:divBdr>
        <w:top w:val="none" w:sz="0" w:space="0" w:color="auto"/>
        <w:left w:val="none" w:sz="0" w:space="0" w:color="auto"/>
        <w:bottom w:val="none" w:sz="0" w:space="0" w:color="auto"/>
        <w:right w:val="none" w:sz="0" w:space="0" w:color="auto"/>
      </w:divBdr>
    </w:div>
    <w:div w:id="1673220393">
      <w:bodyDiv w:val="1"/>
      <w:marLeft w:val="0"/>
      <w:marRight w:val="0"/>
      <w:marTop w:val="0"/>
      <w:marBottom w:val="0"/>
      <w:divBdr>
        <w:top w:val="none" w:sz="0" w:space="0" w:color="auto"/>
        <w:left w:val="none" w:sz="0" w:space="0" w:color="auto"/>
        <w:bottom w:val="none" w:sz="0" w:space="0" w:color="auto"/>
        <w:right w:val="none" w:sz="0" w:space="0" w:color="auto"/>
      </w:divBdr>
    </w:div>
    <w:div w:id="1674725553">
      <w:bodyDiv w:val="1"/>
      <w:marLeft w:val="0"/>
      <w:marRight w:val="0"/>
      <w:marTop w:val="0"/>
      <w:marBottom w:val="0"/>
      <w:divBdr>
        <w:top w:val="none" w:sz="0" w:space="0" w:color="auto"/>
        <w:left w:val="none" w:sz="0" w:space="0" w:color="auto"/>
        <w:bottom w:val="none" w:sz="0" w:space="0" w:color="auto"/>
        <w:right w:val="none" w:sz="0" w:space="0" w:color="auto"/>
      </w:divBdr>
      <w:divsChild>
        <w:div w:id="117183466">
          <w:marLeft w:val="1166"/>
          <w:marRight w:val="0"/>
          <w:marTop w:val="101"/>
          <w:marBottom w:val="0"/>
          <w:divBdr>
            <w:top w:val="none" w:sz="0" w:space="0" w:color="auto"/>
            <w:left w:val="none" w:sz="0" w:space="0" w:color="auto"/>
            <w:bottom w:val="none" w:sz="0" w:space="0" w:color="auto"/>
            <w:right w:val="none" w:sz="0" w:space="0" w:color="auto"/>
          </w:divBdr>
        </w:div>
        <w:div w:id="258106716">
          <w:marLeft w:val="547"/>
          <w:marRight w:val="0"/>
          <w:marTop w:val="120"/>
          <w:marBottom w:val="0"/>
          <w:divBdr>
            <w:top w:val="none" w:sz="0" w:space="0" w:color="auto"/>
            <w:left w:val="none" w:sz="0" w:space="0" w:color="auto"/>
            <w:bottom w:val="none" w:sz="0" w:space="0" w:color="auto"/>
            <w:right w:val="none" w:sz="0" w:space="0" w:color="auto"/>
          </w:divBdr>
        </w:div>
        <w:div w:id="415638348">
          <w:marLeft w:val="547"/>
          <w:marRight w:val="0"/>
          <w:marTop w:val="120"/>
          <w:marBottom w:val="0"/>
          <w:divBdr>
            <w:top w:val="none" w:sz="0" w:space="0" w:color="auto"/>
            <w:left w:val="none" w:sz="0" w:space="0" w:color="auto"/>
            <w:bottom w:val="none" w:sz="0" w:space="0" w:color="auto"/>
            <w:right w:val="none" w:sz="0" w:space="0" w:color="auto"/>
          </w:divBdr>
        </w:div>
        <w:div w:id="958679695">
          <w:marLeft w:val="1166"/>
          <w:marRight w:val="0"/>
          <w:marTop w:val="101"/>
          <w:marBottom w:val="0"/>
          <w:divBdr>
            <w:top w:val="none" w:sz="0" w:space="0" w:color="auto"/>
            <w:left w:val="none" w:sz="0" w:space="0" w:color="auto"/>
            <w:bottom w:val="none" w:sz="0" w:space="0" w:color="auto"/>
            <w:right w:val="none" w:sz="0" w:space="0" w:color="auto"/>
          </w:divBdr>
        </w:div>
        <w:div w:id="995691156">
          <w:marLeft w:val="1166"/>
          <w:marRight w:val="0"/>
          <w:marTop w:val="101"/>
          <w:marBottom w:val="0"/>
          <w:divBdr>
            <w:top w:val="none" w:sz="0" w:space="0" w:color="auto"/>
            <w:left w:val="none" w:sz="0" w:space="0" w:color="auto"/>
            <w:bottom w:val="none" w:sz="0" w:space="0" w:color="auto"/>
            <w:right w:val="none" w:sz="0" w:space="0" w:color="auto"/>
          </w:divBdr>
        </w:div>
        <w:div w:id="1485701549">
          <w:marLeft w:val="547"/>
          <w:marRight w:val="0"/>
          <w:marTop w:val="120"/>
          <w:marBottom w:val="0"/>
          <w:divBdr>
            <w:top w:val="none" w:sz="0" w:space="0" w:color="auto"/>
            <w:left w:val="none" w:sz="0" w:space="0" w:color="auto"/>
            <w:bottom w:val="none" w:sz="0" w:space="0" w:color="auto"/>
            <w:right w:val="none" w:sz="0" w:space="0" w:color="auto"/>
          </w:divBdr>
        </w:div>
        <w:div w:id="1562714050">
          <w:marLeft w:val="547"/>
          <w:marRight w:val="0"/>
          <w:marTop w:val="120"/>
          <w:marBottom w:val="0"/>
          <w:divBdr>
            <w:top w:val="none" w:sz="0" w:space="0" w:color="auto"/>
            <w:left w:val="none" w:sz="0" w:space="0" w:color="auto"/>
            <w:bottom w:val="none" w:sz="0" w:space="0" w:color="auto"/>
            <w:right w:val="none" w:sz="0" w:space="0" w:color="auto"/>
          </w:divBdr>
        </w:div>
      </w:divsChild>
    </w:div>
    <w:div w:id="1674800491">
      <w:bodyDiv w:val="1"/>
      <w:marLeft w:val="0"/>
      <w:marRight w:val="0"/>
      <w:marTop w:val="0"/>
      <w:marBottom w:val="0"/>
      <w:divBdr>
        <w:top w:val="none" w:sz="0" w:space="0" w:color="auto"/>
        <w:left w:val="none" w:sz="0" w:space="0" w:color="auto"/>
        <w:bottom w:val="none" w:sz="0" w:space="0" w:color="auto"/>
        <w:right w:val="none" w:sz="0" w:space="0" w:color="auto"/>
      </w:divBdr>
    </w:div>
    <w:div w:id="1674995487">
      <w:bodyDiv w:val="1"/>
      <w:marLeft w:val="0"/>
      <w:marRight w:val="0"/>
      <w:marTop w:val="0"/>
      <w:marBottom w:val="0"/>
      <w:divBdr>
        <w:top w:val="none" w:sz="0" w:space="0" w:color="auto"/>
        <w:left w:val="none" w:sz="0" w:space="0" w:color="auto"/>
        <w:bottom w:val="none" w:sz="0" w:space="0" w:color="auto"/>
        <w:right w:val="none" w:sz="0" w:space="0" w:color="auto"/>
      </w:divBdr>
      <w:divsChild>
        <w:div w:id="50925782">
          <w:marLeft w:val="0"/>
          <w:marRight w:val="0"/>
          <w:marTop w:val="0"/>
          <w:marBottom w:val="0"/>
          <w:divBdr>
            <w:top w:val="none" w:sz="0" w:space="0" w:color="auto"/>
            <w:left w:val="none" w:sz="0" w:space="0" w:color="auto"/>
            <w:bottom w:val="none" w:sz="0" w:space="0" w:color="auto"/>
            <w:right w:val="none" w:sz="0" w:space="0" w:color="auto"/>
          </w:divBdr>
        </w:div>
      </w:divsChild>
    </w:div>
    <w:div w:id="1675108755">
      <w:bodyDiv w:val="1"/>
      <w:marLeft w:val="0"/>
      <w:marRight w:val="0"/>
      <w:marTop w:val="0"/>
      <w:marBottom w:val="0"/>
      <w:divBdr>
        <w:top w:val="none" w:sz="0" w:space="0" w:color="auto"/>
        <w:left w:val="none" w:sz="0" w:space="0" w:color="auto"/>
        <w:bottom w:val="none" w:sz="0" w:space="0" w:color="auto"/>
        <w:right w:val="none" w:sz="0" w:space="0" w:color="auto"/>
      </w:divBdr>
    </w:div>
    <w:div w:id="1675302365">
      <w:bodyDiv w:val="1"/>
      <w:marLeft w:val="0"/>
      <w:marRight w:val="0"/>
      <w:marTop w:val="0"/>
      <w:marBottom w:val="0"/>
      <w:divBdr>
        <w:top w:val="none" w:sz="0" w:space="0" w:color="auto"/>
        <w:left w:val="none" w:sz="0" w:space="0" w:color="auto"/>
        <w:bottom w:val="none" w:sz="0" w:space="0" w:color="auto"/>
        <w:right w:val="none" w:sz="0" w:space="0" w:color="auto"/>
      </w:divBdr>
    </w:div>
    <w:div w:id="1675573392">
      <w:bodyDiv w:val="1"/>
      <w:marLeft w:val="0"/>
      <w:marRight w:val="0"/>
      <w:marTop w:val="0"/>
      <w:marBottom w:val="0"/>
      <w:divBdr>
        <w:top w:val="none" w:sz="0" w:space="0" w:color="auto"/>
        <w:left w:val="none" w:sz="0" w:space="0" w:color="auto"/>
        <w:bottom w:val="none" w:sz="0" w:space="0" w:color="auto"/>
        <w:right w:val="none" w:sz="0" w:space="0" w:color="auto"/>
      </w:divBdr>
      <w:divsChild>
        <w:div w:id="215895497">
          <w:marLeft w:val="1166"/>
          <w:marRight w:val="0"/>
          <w:marTop w:val="96"/>
          <w:marBottom w:val="0"/>
          <w:divBdr>
            <w:top w:val="none" w:sz="0" w:space="0" w:color="auto"/>
            <w:left w:val="none" w:sz="0" w:space="0" w:color="auto"/>
            <w:bottom w:val="none" w:sz="0" w:space="0" w:color="auto"/>
            <w:right w:val="none" w:sz="0" w:space="0" w:color="auto"/>
          </w:divBdr>
        </w:div>
        <w:div w:id="268008635">
          <w:marLeft w:val="547"/>
          <w:marRight w:val="0"/>
          <w:marTop w:val="115"/>
          <w:marBottom w:val="0"/>
          <w:divBdr>
            <w:top w:val="none" w:sz="0" w:space="0" w:color="auto"/>
            <w:left w:val="none" w:sz="0" w:space="0" w:color="auto"/>
            <w:bottom w:val="none" w:sz="0" w:space="0" w:color="auto"/>
            <w:right w:val="none" w:sz="0" w:space="0" w:color="auto"/>
          </w:divBdr>
        </w:div>
        <w:div w:id="1104109140">
          <w:marLeft w:val="1166"/>
          <w:marRight w:val="0"/>
          <w:marTop w:val="96"/>
          <w:marBottom w:val="0"/>
          <w:divBdr>
            <w:top w:val="none" w:sz="0" w:space="0" w:color="auto"/>
            <w:left w:val="none" w:sz="0" w:space="0" w:color="auto"/>
            <w:bottom w:val="none" w:sz="0" w:space="0" w:color="auto"/>
            <w:right w:val="none" w:sz="0" w:space="0" w:color="auto"/>
          </w:divBdr>
        </w:div>
        <w:div w:id="1287155689">
          <w:marLeft w:val="547"/>
          <w:marRight w:val="0"/>
          <w:marTop w:val="115"/>
          <w:marBottom w:val="0"/>
          <w:divBdr>
            <w:top w:val="none" w:sz="0" w:space="0" w:color="auto"/>
            <w:left w:val="none" w:sz="0" w:space="0" w:color="auto"/>
            <w:bottom w:val="none" w:sz="0" w:space="0" w:color="auto"/>
            <w:right w:val="none" w:sz="0" w:space="0" w:color="auto"/>
          </w:divBdr>
        </w:div>
        <w:div w:id="1291087361">
          <w:marLeft w:val="547"/>
          <w:marRight w:val="0"/>
          <w:marTop w:val="115"/>
          <w:marBottom w:val="0"/>
          <w:divBdr>
            <w:top w:val="none" w:sz="0" w:space="0" w:color="auto"/>
            <w:left w:val="none" w:sz="0" w:space="0" w:color="auto"/>
            <w:bottom w:val="none" w:sz="0" w:space="0" w:color="auto"/>
            <w:right w:val="none" w:sz="0" w:space="0" w:color="auto"/>
          </w:divBdr>
        </w:div>
        <w:div w:id="1383674509">
          <w:marLeft w:val="547"/>
          <w:marRight w:val="0"/>
          <w:marTop w:val="115"/>
          <w:marBottom w:val="0"/>
          <w:divBdr>
            <w:top w:val="none" w:sz="0" w:space="0" w:color="auto"/>
            <w:left w:val="none" w:sz="0" w:space="0" w:color="auto"/>
            <w:bottom w:val="none" w:sz="0" w:space="0" w:color="auto"/>
            <w:right w:val="none" w:sz="0" w:space="0" w:color="auto"/>
          </w:divBdr>
        </w:div>
      </w:divsChild>
    </w:div>
    <w:div w:id="1675913674">
      <w:bodyDiv w:val="1"/>
      <w:marLeft w:val="0"/>
      <w:marRight w:val="0"/>
      <w:marTop w:val="0"/>
      <w:marBottom w:val="0"/>
      <w:divBdr>
        <w:top w:val="none" w:sz="0" w:space="0" w:color="auto"/>
        <w:left w:val="none" w:sz="0" w:space="0" w:color="auto"/>
        <w:bottom w:val="none" w:sz="0" w:space="0" w:color="auto"/>
        <w:right w:val="none" w:sz="0" w:space="0" w:color="auto"/>
      </w:divBdr>
      <w:divsChild>
        <w:div w:id="1543831604">
          <w:marLeft w:val="0"/>
          <w:marRight w:val="0"/>
          <w:marTop w:val="0"/>
          <w:marBottom w:val="0"/>
          <w:divBdr>
            <w:top w:val="none" w:sz="0" w:space="0" w:color="auto"/>
            <w:left w:val="none" w:sz="0" w:space="0" w:color="auto"/>
            <w:bottom w:val="none" w:sz="0" w:space="0" w:color="auto"/>
            <w:right w:val="none" w:sz="0" w:space="0" w:color="auto"/>
          </w:divBdr>
        </w:div>
      </w:divsChild>
    </w:div>
    <w:div w:id="1676611982">
      <w:bodyDiv w:val="1"/>
      <w:marLeft w:val="0"/>
      <w:marRight w:val="0"/>
      <w:marTop w:val="0"/>
      <w:marBottom w:val="0"/>
      <w:divBdr>
        <w:top w:val="none" w:sz="0" w:space="0" w:color="auto"/>
        <w:left w:val="none" w:sz="0" w:space="0" w:color="auto"/>
        <w:bottom w:val="none" w:sz="0" w:space="0" w:color="auto"/>
        <w:right w:val="none" w:sz="0" w:space="0" w:color="auto"/>
      </w:divBdr>
    </w:div>
    <w:div w:id="1676952407">
      <w:bodyDiv w:val="1"/>
      <w:marLeft w:val="0"/>
      <w:marRight w:val="0"/>
      <w:marTop w:val="0"/>
      <w:marBottom w:val="0"/>
      <w:divBdr>
        <w:top w:val="none" w:sz="0" w:space="0" w:color="auto"/>
        <w:left w:val="none" w:sz="0" w:space="0" w:color="auto"/>
        <w:bottom w:val="none" w:sz="0" w:space="0" w:color="auto"/>
        <w:right w:val="none" w:sz="0" w:space="0" w:color="auto"/>
      </w:divBdr>
    </w:div>
    <w:div w:id="1678341666">
      <w:bodyDiv w:val="1"/>
      <w:marLeft w:val="0"/>
      <w:marRight w:val="0"/>
      <w:marTop w:val="0"/>
      <w:marBottom w:val="0"/>
      <w:divBdr>
        <w:top w:val="none" w:sz="0" w:space="0" w:color="auto"/>
        <w:left w:val="none" w:sz="0" w:space="0" w:color="auto"/>
        <w:bottom w:val="none" w:sz="0" w:space="0" w:color="auto"/>
        <w:right w:val="none" w:sz="0" w:space="0" w:color="auto"/>
      </w:divBdr>
    </w:div>
    <w:div w:id="1678384977">
      <w:bodyDiv w:val="1"/>
      <w:marLeft w:val="0"/>
      <w:marRight w:val="0"/>
      <w:marTop w:val="0"/>
      <w:marBottom w:val="0"/>
      <w:divBdr>
        <w:top w:val="none" w:sz="0" w:space="0" w:color="auto"/>
        <w:left w:val="none" w:sz="0" w:space="0" w:color="auto"/>
        <w:bottom w:val="none" w:sz="0" w:space="0" w:color="auto"/>
        <w:right w:val="none" w:sz="0" w:space="0" w:color="auto"/>
      </w:divBdr>
    </w:div>
    <w:div w:id="1678654663">
      <w:bodyDiv w:val="1"/>
      <w:marLeft w:val="0"/>
      <w:marRight w:val="0"/>
      <w:marTop w:val="0"/>
      <w:marBottom w:val="0"/>
      <w:divBdr>
        <w:top w:val="none" w:sz="0" w:space="0" w:color="auto"/>
        <w:left w:val="none" w:sz="0" w:space="0" w:color="auto"/>
        <w:bottom w:val="none" w:sz="0" w:space="0" w:color="auto"/>
        <w:right w:val="none" w:sz="0" w:space="0" w:color="auto"/>
      </w:divBdr>
    </w:div>
    <w:div w:id="1678733050">
      <w:bodyDiv w:val="1"/>
      <w:marLeft w:val="0"/>
      <w:marRight w:val="0"/>
      <w:marTop w:val="0"/>
      <w:marBottom w:val="0"/>
      <w:divBdr>
        <w:top w:val="none" w:sz="0" w:space="0" w:color="auto"/>
        <w:left w:val="none" w:sz="0" w:space="0" w:color="auto"/>
        <w:bottom w:val="none" w:sz="0" w:space="0" w:color="auto"/>
        <w:right w:val="none" w:sz="0" w:space="0" w:color="auto"/>
      </w:divBdr>
    </w:div>
    <w:div w:id="1678845179">
      <w:bodyDiv w:val="1"/>
      <w:marLeft w:val="0"/>
      <w:marRight w:val="0"/>
      <w:marTop w:val="0"/>
      <w:marBottom w:val="0"/>
      <w:divBdr>
        <w:top w:val="none" w:sz="0" w:space="0" w:color="auto"/>
        <w:left w:val="none" w:sz="0" w:space="0" w:color="auto"/>
        <w:bottom w:val="none" w:sz="0" w:space="0" w:color="auto"/>
        <w:right w:val="none" w:sz="0" w:space="0" w:color="auto"/>
      </w:divBdr>
      <w:divsChild>
        <w:div w:id="188378644">
          <w:marLeft w:val="1166"/>
          <w:marRight w:val="0"/>
          <w:marTop w:val="96"/>
          <w:marBottom w:val="0"/>
          <w:divBdr>
            <w:top w:val="none" w:sz="0" w:space="0" w:color="auto"/>
            <w:left w:val="none" w:sz="0" w:space="0" w:color="auto"/>
            <w:bottom w:val="none" w:sz="0" w:space="0" w:color="auto"/>
            <w:right w:val="none" w:sz="0" w:space="0" w:color="auto"/>
          </w:divBdr>
        </w:div>
        <w:div w:id="633877910">
          <w:marLeft w:val="1800"/>
          <w:marRight w:val="0"/>
          <w:marTop w:val="77"/>
          <w:marBottom w:val="0"/>
          <w:divBdr>
            <w:top w:val="none" w:sz="0" w:space="0" w:color="auto"/>
            <w:left w:val="none" w:sz="0" w:space="0" w:color="auto"/>
            <w:bottom w:val="none" w:sz="0" w:space="0" w:color="auto"/>
            <w:right w:val="none" w:sz="0" w:space="0" w:color="auto"/>
          </w:divBdr>
        </w:div>
        <w:div w:id="1583177335">
          <w:marLeft w:val="1800"/>
          <w:marRight w:val="0"/>
          <w:marTop w:val="77"/>
          <w:marBottom w:val="0"/>
          <w:divBdr>
            <w:top w:val="none" w:sz="0" w:space="0" w:color="auto"/>
            <w:left w:val="none" w:sz="0" w:space="0" w:color="auto"/>
            <w:bottom w:val="none" w:sz="0" w:space="0" w:color="auto"/>
            <w:right w:val="none" w:sz="0" w:space="0" w:color="auto"/>
          </w:divBdr>
        </w:div>
        <w:div w:id="2017531191">
          <w:marLeft w:val="1166"/>
          <w:marRight w:val="0"/>
          <w:marTop w:val="96"/>
          <w:marBottom w:val="0"/>
          <w:divBdr>
            <w:top w:val="none" w:sz="0" w:space="0" w:color="auto"/>
            <w:left w:val="none" w:sz="0" w:space="0" w:color="auto"/>
            <w:bottom w:val="none" w:sz="0" w:space="0" w:color="auto"/>
            <w:right w:val="none" w:sz="0" w:space="0" w:color="auto"/>
          </w:divBdr>
        </w:div>
      </w:divsChild>
    </w:div>
    <w:div w:id="1679697231">
      <w:bodyDiv w:val="1"/>
      <w:marLeft w:val="0"/>
      <w:marRight w:val="0"/>
      <w:marTop w:val="0"/>
      <w:marBottom w:val="0"/>
      <w:divBdr>
        <w:top w:val="none" w:sz="0" w:space="0" w:color="auto"/>
        <w:left w:val="none" w:sz="0" w:space="0" w:color="auto"/>
        <w:bottom w:val="none" w:sz="0" w:space="0" w:color="auto"/>
        <w:right w:val="none" w:sz="0" w:space="0" w:color="auto"/>
      </w:divBdr>
    </w:div>
    <w:div w:id="1682271743">
      <w:bodyDiv w:val="1"/>
      <w:marLeft w:val="0"/>
      <w:marRight w:val="0"/>
      <w:marTop w:val="0"/>
      <w:marBottom w:val="0"/>
      <w:divBdr>
        <w:top w:val="none" w:sz="0" w:space="0" w:color="auto"/>
        <w:left w:val="none" w:sz="0" w:space="0" w:color="auto"/>
        <w:bottom w:val="none" w:sz="0" w:space="0" w:color="auto"/>
        <w:right w:val="none" w:sz="0" w:space="0" w:color="auto"/>
      </w:divBdr>
    </w:div>
    <w:div w:id="1682513934">
      <w:bodyDiv w:val="1"/>
      <w:marLeft w:val="0"/>
      <w:marRight w:val="0"/>
      <w:marTop w:val="0"/>
      <w:marBottom w:val="0"/>
      <w:divBdr>
        <w:top w:val="none" w:sz="0" w:space="0" w:color="auto"/>
        <w:left w:val="none" w:sz="0" w:space="0" w:color="auto"/>
        <w:bottom w:val="none" w:sz="0" w:space="0" w:color="auto"/>
        <w:right w:val="none" w:sz="0" w:space="0" w:color="auto"/>
      </w:divBdr>
    </w:div>
    <w:div w:id="1683699393">
      <w:bodyDiv w:val="1"/>
      <w:marLeft w:val="0"/>
      <w:marRight w:val="0"/>
      <w:marTop w:val="0"/>
      <w:marBottom w:val="0"/>
      <w:divBdr>
        <w:top w:val="none" w:sz="0" w:space="0" w:color="auto"/>
        <w:left w:val="none" w:sz="0" w:space="0" w:color="auto"/>
        <w:bottom w:val="none" w:sz="0" w:space="0" w:color="auto"/>
        <w:right w:val="none" w:sz="0" w:space="0" w:color="auto"/>
      </w:divBdr>
    </w:div>
    <w:div w:id="1683975048">
      <w:bodyDiv w:val="1"/>
      <w:marLeft w:val="0"/>
      <w:marRight w:val="0"/>
      <w:marTop w:val="0"/>
      <w:marBottom w:val="0"/>
      <w:divBdr>
        <w:top w:val="none" w:sz="0" w:space="0" w:color="auto"/>
        <w:left w:val="none" w:sz="0" w:space="0" w:color="auto"/>
        <w:bottom w:val="none" w:sz="0" w:space="0" w:color="auto"/>
        <w:right w:val="none" w:sz="0" w:space="0" w:color="auto"/>
      </w:divBdr>
    </w:div>
    <w:div w:id="1684091371">
      <w:bodyDiv w:val="1"/>
      <w:marLeft w:val="0"/>
      <w:marRight w:val="0"/>
      <w:marTop w:val="0"/>
      <w:marBottom w:val="0"/>
      <w:divBdr>
        <w:top w:val="none" w:sz="0" w:space="0" w:color="auto"/>
        <w:left w:val="none" w:sz="0" w:space="0" w:color="auto"/>
        <w:bottom w:val="none" w:sz="0" w:space="0" w:color="auto"/>
        <w:right w:val="none" w:sz="0" w:space="0" w:color="auto"/>
      </w:divBdr>
    </w:div>
    <w:div w:id="1684210150">
      <w:bodyDiv w:val="1"/>
      <w:marLeft w:val="0"/>
      <w:marRight w:val="0"/>
      <w:marTop w:val="0"/>
      <w:marBottom w:val="0"/>
      <w:divBdr>
        <w:top w:val="none" w:sz="0" w:space="0" w:color="auto"/>
        <w:left w:val="none" w:sz="0" w:space="0" w:color="auto"/>
        <w:bottom w:val="none" w:sz="0" w:space="0" w:color="auto"/>
        <w:right w:val="none" w:sz="0" w:space="0" w:color="auto"/>
      </w:divBdr>
    </w:div>
    <w:div w:id="1684359132">
      <w:bodyDiv w:val="1"/>
      <w:marLeft w:val="0"/>
      <w:marRight w:val="0"/>
      <w:marTop w:val="0"/>
      <w:marBottom w:val="0"/>
      <w:divBdr>
        <w:top w:val="none" w:sz="0" w:space="0" w:color="auto"/>
        <w:left w:val="none" w:sz="0" w:space="0" w:color="auto"/>
        <w:bottom w:val="none" w:sz="0" w:space="0" w:color="auto"/>
        <w:right w:val="none" w:sz="0" w:space="0" w:color="auto"/>
      </w:divBdr>
    </w:div>
    <w:div w:id="1686520669">
      <w:bodyDiv w:val="1"/>
      <w:marLeft w:val="0"/>
      <w:marRight w:val="0"/>
      <w:marTop w:val="0"/>
      <w:marBottom w:val="0"/>
      <w:divBdr>
        <w:top w:val="none" w:sz="0" w:space="0" w:color="auto"/>
        <w:left w:val="none" w:sz="0" w:space="0" w:color="auto"/>
        <w:bottom w:val="none" w:sz="0" w:space="0" w:color="auto"/>
        <w:right w:val="none" w:sz="0" w:space="0" w:color="auto"/>
      </w:divBdr>
    </w:div>
    <w:div w:id="1686665114">
      <w:bodyDiv w:val="1"/>
      <w:marLeft w:val="0"/>
      <w:marRight w:val="0"/>
      <w:marTop w:val="0"/>
      <w:marBottom w:val="0"/>
      <w:divBdr>
        <w:top w:val="none" w:sz="0" w:space="0" w:color="auto"/>
        <w:left w:val="none" w:sz="0" w:space="0" w:color="auto"/>
        <w:bottom w:val="none" w:sz="0" w:space="0" w:color="auto"/>
        <w:right w:val="none" w:sz="0" w:space="0" w:color="auto"/>
      </w:divBdr>
      <w:divsChild>
        <w:div w:id="655188831">
          <w:marLeft w:val="547"/>
          <w:marRight w:val="0"/>
          <w:marTop w:val="154"/>
          <w:marBottom w:val="0"/>
          <w:divBdr>
            <w:top w:val="none" w:sz="0" w:space="0" w:color="auto"/>
            <w:left w:val="none" w:sz="0" w:space="0" w:color="auto"/>
            <w:bottom w:val="none" w:sz="0" w:space="0" w:color="auto"/>
            <w:right w:val="none" w:sz="0" w:space="0" w:color="auto"/>
          </w:divBdr>
        </w:div>
      </w:divsChild>
    </w:div>
    <w:div w:id="1686714652">
      <w:bodyDiv w:val="1"/>
      <w:marLeft w:val="0"/>
      <w:marRight w:val="0"/>
      <w:marTop w:val="0"/>
      <w:marBottom w:val="0"/>
      <w:divBdr>
        <w:top w:val="none" w:sz="0" w:space="0" w:color="auto"/>
        <w:left w:val="none" w:sz="0" w:space="0" w:color="auto"/>
        <w:bottom w:val="none" w:sz="0" w:space="0" w:color="auto"/>
        <w:right w:val="none" w:sz="0" w:space="0" w:color="auto"/>
      </w:divBdr>
      <w:divsChild>
        <w:div w:id="456991699">
          <w:marLeft w:val="0"/>
          <w:marRight w:val="0"/>
          <w:marTop w:val="96"/>
          <w:marBottom w:val="0"/>
          <w:divBdr>
            <w:top w:val="none" w:sz="0" w:space="0" w:color="auto"/>
            <w:left w:val="none" w:sz="0" w:space="0" w:color="auto"/>
            <w:bottom w:val="none" w:sz="0" w:space="0" w:color="auto"/>
            <w:right w:val="none" w:sz="0" w:space="0" w:color="auto"/>
          </w:divBdr>
        </w:div>
        <w:div w:id="2024165802">
          <w:marLeft w:val="0"/>
          <w:marRight w:val="0"/>
          <w:marTop w:val="96"/>
          <w:marBottom w:val="0"/>
          <w:divBdr>
            <w:top w:val="none" w:sz="0" w:space="0" w:color="auto"/>
            <w:left w:val="none" w:sz="0" w:space="0" w:color="auto"/>
            <w:bottom w:val="none" w:sz="0" w:space="0" w:color="auto"/>
            <w:right w:val="none" w:sz="0" w:space="0" w:color="auto"/>
          </w:divBdr>
        </w:div>
      </w:divsChild>
    </w:div>
    <w:div w:id="1686860238">
      <w:bodyDiv w:val="1"/>
      <w:marLeft w:val="0"/>
      <w:marRight w:val="0"/>
      <w:marTop w:val="0"/>
      <w:marBottom w:val="0"/>
      <w:divBdr>
        <w:top w:val="none" w:sz="0" w:space="0" w:color="auto"/>
        <w:left w:val="none" w:sz="0" w:space="0" w:color="auto"/>
        <w:bottom w:val="none" w:sz="0" w:space="0" w:color="auto"/>
        <w:right w:val="none" w:sz="0" w:space="0" w:color="auto"/>
      </w:divBdr>
      <w:divsChild>
        <w:div w:id="51319825">
          <w:marLeft w:val="0"/>
          <w:marRight w:val="0"/>
          <w:marTop w:val="0"/>
          <w:marBottom w:val="0"/>
          <w:divBdr>
            <w:top w:val="none" w:sz="0" w:space="0" w:color="auto"/>
            <w:left w:val="none" w:sz="0" w:space="0" w:color="auto"/>
            <w:bottom w:val="none" w:sz="0" w:space="0" w:color="auto"/>
            <w:right w:val="none" w:sz="0" w:space="0" w:color="auto"/>
          </w:divBdr>
          <w:divsChild>
            <w:div w:id="413357890">
              <w:marLeft w:val="0"/>
              <w:marRight w:val="0"/>
              <w:marTop w:val="0"/>
              <w:marBottom w:val="0"/>
              <w:divBdr>
                <w:top w:val="none" w:sz="0" w:space="0" w:color="auto"/>
                <w:left w:val="none" w:sz="0" w:space="0" w:color="auto"/>
                <w:bottom w:val="none" w:sz="0" w:space="0" w:color="auto"/>
                <w:right w:val="none" w:sz="0" w:space="0" w:color="auto"/>
              </w:divBdr>
            </w:div>
            <w:div w:id="421100350">
              <w:marLeft w:val="0"/>
              <w:marRight w:val="0"/>
              <w:marTop w:val="0"/>
              <w:marBottom w:val="0"/>
              <w:divBdr>
                <w:top w:val="none" w:sz="0" w:space="0" w:color="auto"/>
                <w:left w:val="none" w:sz="0" w:space="0" w:color="auto"/>
                <w:bottom w:val="none" w:sz="0" w:space="0" w:color="auto"/>
                <w:right w:val="none" w:sz="0" w:space="0" w:color="auto"/>
              </w:divBdr>
            </w:div>
            <w:div w:id="451900803">
              <w:marLeft w:val="0"/>
              <w:marRight w:val="0"/>
              <w:marTop w:val="0"/>
              <w:marBottom w:val="0"/>
              <w:divBdr>
                <w:top w:val="none" w:sz="0" w:space="0" w:color="auto"/>
                <w:left w:val="none" w:sz="0" w:space="0" w:color="auto"/>
                <w:bottom w:val="none" w:sz="0" w:space="0" w:color="auto"/>
                <w:right w:val="none" w:sz="0" w:space="0" w:color="auto"/>
              </w:divBdr>
            </w:div>
            <w:div w:id="617688986">
              <w:marLeft w:val="0"/>
              <w:marRight w:val="0"/>
              <w:marTop w:val="0"/>
              <w:marBottom w:val="0"/>
              <w:divBdr>
                <w:top w:val="none" w:sz="0" w:space="0" w:color="auto"/>
                <w:left w:val="none" w:sz="0" w:space="0" w:color="auto"/>
                <w:bottom w:val="none" w:sz="0" w:space="0" w:color="auto"/>
                <w:right w:val="none" w:sz="0" w:space="0" w:color="auto"/>
              </w:divBdr>
            </w:div>
            <w:div w:id="806240865">
              <w:marLeft w:val="0"/>
              <w:marRight w:val="0"/>
              <w:marTop w:val="0"/>
              <w:marBottom w:val="0"/>
              <w:divBdr>
                <w:top w:val="none" w:sz="0" w:space="0" w:color="auto"/>
                <w:left w:val="none" w:sz="0" w:space="0" w:color="auto"/>
                <w:bottom w:val="none" w:sz="0" w:space="0" w:color="auto"/>
                <w:right w:val="none" w:sz="0" w:space="0" w:color="auto"/>
              </w:divBdr>
            </w:div>
            <w:div w:id="1093207308">
              <w:marLeft w:val="0"/>
              <w:marRight w:val="0"/>
              <w:marTop w:val="0"/>
              <w:marBottom w:val="0"/>
              <w:divBdr>
                <w:top w:val="none" w:sz="0" w:space="0" w:color="auto"/>
                <w:left w:val="none" w:sz="0" w:space="0" w:color="auto"/>
                <w:bottom w:val="none" w:sz="0" w:space="0" w:color="auto"/>
                <w:right w:val="none" w:sz="0" w:space="0" w:color="auto"/>
              </w:divBdr>
            </w:div>
            <w:div w:id="1306471837">
              <w:marLeft w:val="0"/>
              <w:marRight w:val="0"/>
              <w:marTop w:val="0"/>
              <w:marBottom w:val="0"/>
              <w:divBdr>
                <w:top w:val="none" w:sz="0" w:space="0" w:color="auto"/>
                <w:left w:val="none" w:sz="0" w:space="0" w:color="auto"/>
                <w:bottom w:val="none" w:sz="0" w:space="0" w:color="auto"/>
                <w:right w:val="none" w:sz="0" w:space="0" w:color="auto"/>
              </w:divBdr>
            </w:div>
            <w:div w:id="1687639090">
              <w:marLeft w:val="0"/>
              <w:marRight w:val="0"/>
              <w:marTop w:val="0"/>
              <w:marBottom w:val="0"/>
              <w:divBdr>
                <w:top w:val="none" w:sz="0" w:space="0" w:color="auto"/>
                <w:left w:val="none" w:sz="0" w:space="0" w:color="auto"/>
                <w:bottom w:val="none" w:sz="0" w:space="0" w:color="auto"/>
                <w:right w:val="none" w:sz="0" w:space="0" w:color="auto"/>
              </w:divBdr>
            </w:div>
            <w:div w:id="21326311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87056849">
      <w:bodyDiv w:val="1"/>
      <w:marLeft w:val="0"/>
      <w:marRight w:val="0"/>
      <w:marTop w:val="0"/>
      <w:marBottom w:val="0"/>
      <w:divBdr>
        <w:top w:val="none" w:sz="0" w:space="0" w:color="auto"/>
        <w:left w:val="none" w:sz="0" w:space="0" w:color="auto"/>
        <w:bottom w:val="none" w:sz="0" w:space="0" w:color="auto"/>
        <w:right w:val="none" w:sz="0" w:space="0" w:color="auto"/>
      </w:divBdr>
    </w:div>
    <w:div w:id="1687977060">
      <w:bodyDiv w:val="1"/>
      <w:marLeft w:val="0"/>
      <w:marRight w:val="0"/>
      <w:marTop w:val="0"/>
      <w:marBottom w:val="0"/>
      <w:divBdr>
        <w:top w:val="none" w:sz="0" w:space="0" w:color="auto"/>
        <w:left w:val="none" w:sz="0" w:space="0" w:color="auto"/>
        <w:bottom w:val="none" w:sz="0" w:space="0" w:color="auto"/>
        <w:right w:val="none" w:sz="0" w:space="0" w:color="auto"/>
      </w:divBdr>
    </w:div>
    <w:div w:id="1688482897">
      <w:bodyDiv w:val="1"/>
      <w:marLeft w:val="0"/>
      <w:marRight w:val="0"/>
      <w:marTop w:val="0"/>
      <w:marBottom w:val="0"/>
      <w:divBdr>
        <w:top w:val="none" w:sz="0" w:space="0" w:color="auto"/>
        <w:left w:val="none" w:sz="0" w:space="0" w:color="auto"/>
        <w:bottom w:val="none" w:sz="0" w:space="0" w:color="auto"/>
        <w:right w:val="none" w:sz="0" w:space="0" w:color="auto"/>
      </w:divBdr>
    </w:div>
    <w:div w:id="1688946349">
      <w:bodyDiv w:val="1"/>
      <w:marLeft w:val="0"/>
      <w:marRight w:val="0"/>
      <w:marTop w:val="0"/>
      <w:marBottom w:val="0"/>
      <w:divBdr>
        <w:top w:val="none" w:sz="0" w:space="0" w:color="auto"/>
        <w:left w:val="none" w:sz="0" w:space="0" w:color="auto"/>
        <w:bottom w:val="none" w:sz="0" w:space="0" w:color="auto"/>
        <w:right w:val="none" w:sz="0" w:space="0" w:color="auto"/>
      </w:divBdr>
      <w:divsChild>
        <w:div w:id="339553842">
          <w:marLeft w:val="547"/>
          <w:marRight w:val="0"/>
          <w:marTop w:val="115"/>
          <w:marBottom w:val="0"/>
          <w:divBdr>
            <w:top w:val="none" w:sz="0" w:space="0" w:color="auto"/>
            <w:left w:val="none" w:sz="0" w:space="0" w:color="auto"/>
            <w:bottom w:val="none" w:sz="0" w:space="0" w:color="auto"/>
            <w:right w:val="none" w:sz="0" w:space="0" w:color="auto"/>
          </w:divBdr>
        </w:div>
        <w:div w:id="515384819">
          <w:marLeft w:val="1166"/>
          <w:marRight w:val="0"/>
          <w:marTop w:val="115"/>
          <w:marBottom w:val="0"/>
          <w:divBdr>
            <w:top w:val="none" w:sz="0" w:space="0" w:color="auto"/>
            <w:left w:val="none" w:sz="0" w:space="0" w:color="auto"/>
            <w:bottom w:val="none" w:sz="0" w:space="0" w:color="auto"/>
            <w:right w:val="none" w:sz="0" w:space="0" w:color="auto"/>
          </w:divBdr>
        </w:div>
        <w:div w:id="1001658223">
          <w:marLeft w:val="547"/>
          <w:marRight w:val="0"/>
          <w:marTop w:val="115"/>
          <w:marBottom w:val="0"/>
          <w:divBdr>
            <w:top w:val="none" w:sz="0" w:space="0" w:color="auto"/>
            <w:left w:val="none" w:sz="0" w:space="0" w:color="auto"/>
            <w:bottom w:val="none" w:sz="0" w:space="0" w:color="auto"/>
            <w:right w:val="none" w:sz="0" w:space="0" w:color="auto"/>
          </w:divBdr>
        </w:div>
        <w:div w:id="1506558791">
          <w:marLeft w:val="547"/>
          <w:marRight w:val="0"/>
          <w:marTop w:val="115"/>
          <w:marBottom w:val="0"/>
          <w:divBdr>
            <w:top w:val="none" w:sz="0" w:space="0" w:color="auto"/>
            <w:left w:val="none" w:sz="0" w:space="0" w:color="auto"/>
            <w:bottom w:val="none" w:sz="0" w:space="0" w:color="auto"/>
            <w:right w:val="none" w:sz="0" w:space="0" w:color="auto"/>
          </w:divBdr>
        </w:div>
        <w:div w:id="2111580642">
          <w:marLeft w:val="547"/>
          <w:marRight w:val="0"/>
          <w:marTop w:val="115"/>
          <w:marBottom w:val="0"/>
          <w:divBdr>
            <w:top w:val="none" w:sz="0" w:space="0" w:color="auto"/>
            <w:left w:val="none" w:sz="0" w:space="0" w:color="auto"/>
            <w:bottom w:val="none" w:sz="0" w:space="0" w:color="auto"/>
            <w:right w:val="none" w:sz="0" w:space="0" w:color="auto"/>
          </w:divBdr>
        </w:div>
      </w:divsChild>
    </w:div>
    <w:div w:id="1689864699">
      <w:bodyDiv w:val="1"/>
      <w:marLeft w:val="0"/>
      <w:marRight w:val="0"/>
      <w:marTop w:val="0"/>
      <w:marBottom w:val="0"/>
      <w:divBdr>
        <w:top w:val="none" w:sz="0" w:space="0" w:color="auto"/>
        <w:left w:val="none" w:sz="0" w:space="0" w:color="auto"/>
        <w:bottom w:val="none" w:sz="0" w:space="0" w:color="auto"/>
        <w:right w:val="none" w:sz="0" w:space="0" w:color="auto"/>
      </w:divBdr>
    </w:div>
    <w:div w:id="1690135946">
      <w:bodyDiv w:val="1"/>
      <w:marLeft w:val="0"/>
      <w:marRight w:val="0"/>
      <w:marTop w:val="0"/>
      <w:marBottom w:val="0"/>
      <w:divBdr>
        <w:top w:val="none" w:sz="0" w:space="0" w:color="auto"/>
        <w:left w:val="none" w:sz="0" w:space="0" w:color="auto"/>
        <w:bottom w:val="none" w:sz="0" w:space="0" w:color="auto"/>
        <w:right w:val="none" w:sz="0" w:space="0" w:color="auto"/>
      </w:divBdr>
    </w:div>
    <w:div w:id="1690519663">
      <w:bodyDiv w:val="1"/>
      <w:marLeft w:val="0"/>
      <w:marRight w:val="0"/>
      <w:marTop w:val="0"/>
      <w:marBottom w:val="0"/>
      <w:divBdr>
        <w:top w:val="none" w:sz="0" w:space="0" w:color="auto"/>
        <w:left w:val="none" w:sz="0" w:space="0" w:color="auto"/>
        <w:bottom w:val="none" w:sz="0" w:space="0" w:color="auto"/>
        <w:right w:val="none" w:sz="0" w:space="0" w:color="auto"/>
      </w:divBdr>
    </w:div>
    <w:div w:id="1690520416">
      <w:bodyDiv w:val="1"/>
      <w:marLeft w:val="0"/>
      <w:marRight w:val="0"/>
      <w:marTop w:val="0"/>
      <w:marBottom w:val="0"/>
      <w:divBdr>
        <w:top w:val="none" w:sz="0" w:space="0" w:color="auto"/>
        <w:left w:val="none" w:sz="0" w:space="0" w:color="auto"/>
        <w:bottom w:val="none" w:sz="0" w:space="0" w:color="auto"/>
        <w:right w:val="none" w:sz="0" w:space="0" w:color="auto"/>
      </w:divBdr>
    </w:div>
    <w:div w:id="1691371324">
      <w:bodyDiv w:val="1"/>
      <w:marLeft w:val="0"/>
      <w:marRight w:val="0"/>
      <w:marTop w:val="0"/>
      <w:marBottom w:val="0"/>
      <w:divBdr>
        <w:top w:val="none" w:sz="0" w:space="0" w:color="auto"/>
        <w:left w:val="none" w:sz="0" w:space="0" w:color="auto"/>
        <w:bottom w:val="none" w:sz="0" w:space="0" w:color="auto"/>
        <w:right w:val="none" w:sz="0" w:space="0" w:color="auto"/>
      </w:divBdr>
    </w:div>
    <w:div w:id="1691493296">
      <w:bodyDiv w:val="1"/>
      <w:marLeft w:val="0"/>
      <w:marRight w:val="0"/>
      <w:marTop w:val="0"/>
      <w:marBottom w:val="0"/>
      <w:divBdr>
        <w:top w:val="none" w:sz="0" w:space="0" w:color="auto"/>
        <w:left w:val="none" w:sz="0" w:space="0" w:color="auto"/>
        <w:bottom w:val="none" w:sz="0" w:space="0" w:color="auto"/>
        <w:right w:val="none" w:sz="0" w:space="0" w:color="auto"/>
      </w:divBdr>
    </w:div>
    <w:div w:id="1693412512">
      <w:bodyDiv w:val="1"/>
      <w:marLeft w:val="0"/>
      <w:marRight w:val="0"/>
      <w:marTop w:val="0"/>
      <w:marBottom w:val="0"/>
      <w:divBdr>
        <w:top w:val="none" w:sz="0" w:space="0" w:color="auto"/>
        <w:left w:val="none" w:sz="0" w:space="0" w:color="auto"/>
        <w:bottom w:val="none" w:sz="0" w:space="0" w:color="auto"/>
        <w:right w:val="none" w:sz="0" w:space="0" w:color="auto"/>
      </w:divBdr>
    </w:div>
    <w:div w:id="1695693193">
      <w:bodyDiv w:val="1"/>
      <w:marLeft w:val="0"/>
      <w:marRight w:val="0"/>
      <w:marTop w:val="0"/>
      <w:marBottom w:val="0"/>
      <w:divBdr>
        <w:top w:val="none" w:sz="0" w:space="0" w:color="auto"/>
        <w:left w:val="none" w:sz="0" w:space="0" w:color="auto"/>
        <w:bottom w:val="none" w:sz="0" w:space="0" w:color="auto"/>
        <w:right w:val="none" w:sz="0" w:space="0" w:color="auto"/>
      </w:divBdr>
    </w:div>
    <w:div w:id="1695693764">
      <w:bodyDiv w:val="1"/>
      <w:marLeft w:val="0"/>
      <w:marRight w:val="0"/>
      <w:marTop w:val="0"/>
      <w:marBottom w:val="0"/>
      <w:divBdr>
        <w:top w:val="none" w:sz="0" w:space="0" w:color="auto"/>
        <w:left w:val="none" w:sz="0" w:space="0" w:color="auto"/>
        <w:bottom w:val="none" w:sz="0" w:space="0" w:color="auto"/>
        <w:right w:val="none" w:sz="0" w:space="0" w:color="auto"/>
      </w:divBdr>
    </w:div>
    <w:div w:id="1696272410">
      <w:bodyDiv w:val="1"/>
      <w:marLeft w:val="0"/>
      <w:marRight w:val="0"/>
      <w:marTop w:val="0"/>
      <w:marBottom w:val="0"/>
      <w:divBdr>
        <w:top w:val="none" w:sz="0" w:space="0" w:color="auto"/>
        <w:left w:val="none" w:sz="0" w:space="0" w:color="auto"/>
        <w:bottom w:val="none" w:sz="0" w:space="0" w:color="auto"/>
        <w:right w:val="none" w:sz="0" w:space="0" w:color="auto"/>
      </w:divBdr>
    </w:div>
    <w:div w:id="1696345740">
      <w:bodyDiv w:val="1"/>
      <w:marLeft w:val="0"/>
      <w:marRight w:val="0"/>
      <w:marTop w:val="0"/>
      <w:marBottom w:val="0"/>
      <w:divBdr>
        <w:top w:val="none" w:sz="0" w:space="0" w:color="auto"/>
        <w:left w:val="none" w:sz="0" w:space="0" w:color="auto"/>
        <w:bottom w:val="none" w:sz="0" w:space="0" w:color="auto"/>
        <w:right w:val="none" w:sz="0" w:space="0" w:color="auto"/>
      </w:divBdr>
      <w:divsChild>
        <w:div w:id="129593558">
          <w:marLeft w:val="0"/>
          <w:marRight w:val="0"/>
          <w:marTop w:val="0"/>
          <w:marBottom w:val="0"/>
          <w:divBdr>
            <w:top w:val="none" w:sz="0" w:space="0" w:color="auto"/>
            <w:left w:val="none" w:sz="0" w:space="0" w:color="auto"/>
            <w:bottom w:val="none" w:sz="0" w:space="0" w:color="auto"/>
            <w:right w:val="none" w:sz="0" w:space="0" w:color="auto"/>
          </w:divBdr>
          <w:divsChild>
            <w:div w:id="1663043031">
              <w:marLeft w:val="0"/>
              <w:marRight w:val="0"/>
              <w:marTop w:val="0"/>
              <w:marBottom w:val="0"/>
              <w:divBdr>
                <w:top w:val="none" w:sz="0" w:space="0" w:color="auto"/>
                <w:left w:val="none" w:sz="0" w:space="0" w:color="auto"/>
                <w:bottom w:val="none" w:sz="0" w:space="0" w:color="auto"/>
                <w:right w:val="none" w:sz="0" w:space="0" w:color="auto"/>
              </w:divBdr>
            </w:div>
            <w:div w:id="17572450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96465519">
      <w:bodyDiv w:val="1"/>
      <w:marLeft w:val="0"/>
      <w:marRight w:val="0"/>
      <w:marTop w:val="0"/>
      <w:marBottom w:val="0"/>
      <w:divBdr>
        <w:top w:val="none" w:sz="0" w:space="0" w:color="auto"/>
        <w:left w:val="none" w:sz="0" w:space="0" w:color="auto"/>
        <w:bottom w:val="none" w:sz="0" w:space="0" w:color="auto"/>
        <w:right w:val="none" w:sz="0" w:space="0" w:color="auto"/>
      </w:divBdr>
    </w:div>
    <w:div w:id="1697585530">
      <w:bodyDiv w:val="1"/>
      <w:marLeft w:val="0"/>
      <w:marRight w:val="0"/>
      <w:marTop w:val="0"/>
      <w:marBottom w:val="0"/>
      <w:divBdr>
        <w:top w:val="none" w:sz="0" w:space="0" w:color="auto"/>
        <w:left w:val="none" w:sz="0" w:space="0" w:color="auto"/>
        <w:bottom w:val="none" w:sz="0" w:space="0" w:color="auto"/>
        <w:right w:val="none" w:sz="0" w:space="0" w:color="auto"/>
      </w:divBdr>
    </w:div>
    <w:div w:id="1697776710">
      <w:bodyDiv w:val="1"/>
      <w:marLeft w:val="0"/>
      <w:marRight w:val="0"/>
      <w:marTop w:val="0"/>
      <w:marBottom w:val="0"/>
      <w:divBdr>
        <w:top w:val="none" w:sz="0" w:space="0" w:color="auto"/>
        <w:left w:val="none" w:sz="0" w:space="0" w:color="auto"/>
        <w:bottom w:val="none" w:sz="0" w:space="0" w:color="auto"/>
        <w:right w:val="none" w:sz="0" w:space="0" w:color="auto"/>
      </w:divBdr>
      <w:divsChild>
        <w:div w:id="229535598">
          <w:marLeft w:val="547"/>
          <w:marRight w:val="0"/>
          <w:marTop w:val="134"/>
          <w:marBottom w:val="0"/>
          <w:divBdr>
            <w:top w:val="none" w:sz="0" w:space="0" w:color="auto"/>
            <w:left w:val="none" w:sz="0" w:space="0" w:color="auto"/>
            <w:bottom w:val="none" w:sz="0" w:space="0" w:color="auto"/>
            <w:right w:val="none" w:sz="0" w:space="0" w:color="auto"/>
          </w:divBdr>
        </w:div>
        <w:div w:id="913317102">
          <w:marLeft w:val="1166"/>
          <w:marRight w:val="0"/>
          <w:marTop w:val="115"/>
          <w:marBottom w:val="0"/>
          <w:divBdr>
            <w:top w:val="none" w:sz="0" w:space="0" w:color="auto"/>
            <w:left w:val="none" w:sz="0" w:space="0" w:color="auto"/>
            <w:bottom w:val="none" w:sz="0" w:space="0" w:color="auto"/>
            <w:right w:val="none" w:sz="0" w:space="0" w:color="auto"/>
          </w:divBdr>
        </w:div>
      </w:divsChild>
    </w:div>
    <w:div w:id="1698655282">
      <w:bodyDiv w:val="1"/>
      <w:marLeft w:val="0"/>
      <w:marRight w:val="0"/>
      <w:marTop w:val="0"/>
      <w:marBottom w:val="0"/>
      <w:divBdr>
        <w:top w:val="none" w:sz="0" w:space="0" w:color="auto"/>
        <w:left w:val="none" w:sz="0" w:space="0" w:color="auto"/>
        <w:bottom w:val="none" w:sz="0" w:space="0" w:color="auto"/>
        <w:right w:val="none" w:sz="0" w:space="0" w:color="auto"/>
      </w:divBdr>
    </w:div>
    <w:div w:id="1700545363">
      <w:bodyDiv w:val="1"/>
      <w:marLeft w:val="0"/>
      <w:marRight w:val="0"/>
      <w:marTop w:val="0"/>
      <w:marBottom w:val="0"/>
      <w:divBdr>
        <w:top w:val="none" w:sz="0" w:space="0" w:color="auto"/>
        <w:left w:val="none" w:sz="0" w:space="0" w:color="auto"/>
        <w:bottom w:val="none" w:sz="0" w:space="0" w:color="auto"/>
        <w:right w:val="none" w:sz="0" w:space="0" w:color="auto"/>
      </w:divBdr>
    </w:div>
    <w:div w:id="1702242130">
      <w:bodyDiv w:val="1"/>
      <w:marLeft w:val="0"/>
      <w:marRight w:val="0"/>
      <w:marTop w:val="0"/>
      <w:marBottom w:val="0"/>
      <w:divBdr>
        <w:top w:val="none" w:sz="0" w:space="0" w:color="auto"/>
        <w:left w:val="none" w:sz="0" w:space="0" w:color="auto"/>
        <w:bottom w:val="none" w:sz="0" w:space="0" w:color="auto"/>
        <w:right w:val="none" w:sz="0" w:space="0" w:color="auto"/>
      </w:divBdr>
      <w:divsChild>
        <w:div w:id="1521511434">
          <w:marLeft w:val="0"/>
          <w:marRight w:val="0"/>
          <w:marTop w:val="0"/>
          <w:marBottom w:val="0"/>
          <w:divBdr>
            <w:top w:val="none" w:sz="0" w:space="0" w:color="auto"/>
            <w:left w:val="none" w:sz="0" w:space="0" w:color="auto"/>
            <w:bottom w:val="none" w:sz="0" w:space="0" w:color="auto"/>
            <w:right w:val="none" w:sz="0" w:space="0" w:color="auto"/>
          </w:divBdr>
          <w:divsChild>
            <w:div w:id="24016747">
              <w:marLeft w:val="0"/>
              <w:marRight w:val="0"/>
              <w:marTop w:val="0"/>
              <w:marBottom w:val="0"/>
              <w:divBdr>
                <w:top w:val="none" w:sz="0" w:space="0" w:color="auto"/>
                <w:left w:val="none" w:sz="0" w:space="0" w:color="auto"/>
                <w:bottom w:val="none" w:sz="0" w:space="0" w:color="auto"/>
                <w:right w:val="none" w:sz="0" w:space="0" w:color="auto"/>
              </w:divBdr>
            </w:div>
            <w:div w:id="259874719">
              <w:marLeft w:val="0"/>
              <w:marRight w:val="0"/>
              <w:marTop w:val="0"/>
              <w:marBottom w:val="0"/>
              <w:divBdr>
                <w:top w:val="none" w:sz="0" w:space="0" w:color="auto"/>
                <w:left w:val="none" w:sz="0" w:space="0" w:color="auto"/>
                <w:bottom w:val="none" w:sz="0" w:space="0" w:color="auto"/>
                <w:right w:val="none" w:sz="0" w:space="0" w:color="auto"/>
              </w:divBdr>
            </w:div>
            <w:div w:id="565801244">
              <w:marLeft w:val="0"/>
              <w:marRight w:val="0"/>
              <w:marTop w:val="0"/>
              <w:marBottom w:val="0"/>
              <w:divBdr>
                <w:top w:val="none" w:sz="0" w:space="0" w:color="auto"/>
                <w:left w:val="none" w:sz="0" w:space="0" w:color="auto"/>
                <w:bottom w:val="none" w:sz="0" w:space="0" w:color="auto"/>
                <w:right w:val="none" w:sz="0" w:space="0" w:color="auto"/>
              </w:divBdr>
            </w:div>
            <w:div w:id="1136609641">
              <w:marLeft w:val="0"/>
              <w:marRight w:val="0"/>
              <w:marTop w:val="0"/>
              <w:marBottom w:val="0"/>
              <w:divBdr>
                <w:top w:val="none" w:sz="0" w:space="0" w:color="auto"/>
                <w:left w:val="none" w:sz="0" w:space="0" w:color="auto"/>
                <w:bottom w:val="none" w:sz="0" w:space="0" w:color="auto"/>
                <w:right w:val="none" w:sz="0" w:space="0" w:color="auto"/>
              </w:divBdr>
            </w:div>
            <w:div w:id="1465466936">
              <w:marLeft w:val="0"/>
              <w:marRight w:val="0"/>
              <w:marTop w:val="0"/>
              <w:marBottom w:val="0"/>
              <w:divBdr>
                <w:top w:val="none" w:sz="0" w:space="0" w:color="auto"/>
                <w:left w:val="none" w:sz="0" w:space="0" w:color="auto"/>
                <w:bottom w:val="none" w:sz="0" w:space="0" w:color="auto"/>
                <w:right w:val="none" w:sz="0" w:space="0" w:color="auto"/>
              </w:divBdr>
            </w:div>
            <w:div w:id="1505436735">
              <w:marLeft w:val="0"/>
              <w:marRight w:val="0"/>
              <w:marTop w:val="0"/>
              <w:marBottom w:val="0"/>
              <w:divBdr>
                <w:top w:val="none" w:sz="0" w:space="0" w:color="auto"/>
                <w:left w:val="none" w:sz="0" w:space="0" w:color="auto"/>
                <w:bottom w:val="none" w:sz="0" w:space="0" w:color="auto"/>
                <w:right w:val="none" w:sz="0" w:space="0" w:color="auto"/>
              </w:divBdr>
            </w:div>
            <w:div w:id="17889668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02434057">
      <w:bodyDiv w:val="1"/>
      <w:marLeft w:val="0"/>
      <w:marRight w:val="0"/>
      <w:marTop w:val="0"/>
      <w:marBottom w:val="0"/>
      <w:divBdr>
        <w:top w:val="none" w:sz="0" w:space="0" w:color="auto"/>
        <w:left w:val="none" w:sz="0" w:space="0" w:color="auto"/>
        <w:bottom w:val="none" w:sz="0" w:space="0" w:color="auto"/>
        <w:right w:val="none" w:sz="0" w:space="0" w:color="auto"/>
      </w:divBdr>
    </w:div>
    <w:div w:id="1702969541">
      <w:bodyDiv w:val="1"/>
      <w:marLeft w:val="0"/>
      <w:marRight w:val="0"/>
      <w:marTop w:val="0"/>
      <w:marBottom w:val="0"/>
      <w:divBdr>
        <w:top w:val="none" w:sz="0" w:space="0" w:color="auto"/>
        <w:left w:val="none" w:sz="0" w:space="0" w:color="auto"/>
        <w:bottom w:val="none" w:sz="0" w:space="0" w:color="auto"/>
        <w:right w:val="none" w:sz="0" w:space="0" w:color="auto"/>
      </w:divBdr>
      <w:divsChild>
        <w:div w:id="150371597">
          <w:marLeft w:val="547"/>
          <w:marRight w:val="0"/>
          <w:marTop w:val="154"/>
          <w:marBottom w:val="0"/>
          <w:divBdr>
            <w:top w:val="none" w:sz="0" w:space="0" w:color="auto"/>
            <w:left w:val="none" w:sz="0" w:space="0" w:color="auto"/>
            <w:bottom w:val="none" w:sz="0" w:space="0" w:color="auto"/>
            <w:right w:val="none" w:sz="0" w:space="0" w:color="auto"/>
          </w:divBdr>
        </w:div>
        <w:div w:id="1013805141">
          <w:marLeft w:val="1166"/>
          <w:marRight w:val="0"/>
          <w:marTop w:val="134"/>
          <w:marBottom w:val="0"/>
          <w:divBdr>
            <w:top w:val="none" w:sz="0" w:space="0" w:color="auto"/>
            <w:left w:val="none" w:sz="0" w:space="0" w:color="auto"/>
            <w:bottom w:val="none" w:sz="0" w:space="0" w:color="auto"/>
            <w:right w:val="none" w:sz="0" w:space="0" w:color="auto"/>
          </w:divBdr>
        </w:div>
        <w:div w:id="1342900629">
          <w:marLeft w:val="1166"/>
          <w:marRight w:val="0"/>
          <w:marTop w:val="134"/>
          <w:marBottom w:val="0"/>
          <w:divBdr>
            <w:top w:val="none" w:sz="0" w:space="0" w:color="auto"/>
            <w:left w:val="none" w:sz="0" w:space="0" w:color="auto"/>
            <w:bottom w:val="none" w:sz="0" w:space="0" w:color="auto"/>
            <w:right w:val="none" w:sz="0" w:space="0" w:color="auto"/>
          </w:divBdr>
        </w:div>
        <w:div w:id="1551578845">
          <w:marLeft w:val="1800"/>
          <w:marRight w:val="0"/>
          <w:marTop w:val="115"/>
          <w:marBottom w:val="0"/>
          <w:divBdr>
            <w:top w:val="none" w:sz="0" w:space="0" w:color="auto"/>
            <w:left w:val="none" w:sz="0" w:space="0" w:color="auto"/>
            <w:bottom w:val="none" w:sz="0" w:space="0" w:color="auto"/>
            <w:right w:val="none" w:sz="0" w:space="0" w:color="auto"/>
          </w:divBdr>
        </w:div>
      </w:divsChild>
    </w:div>
    <w:div w:id="1703094080">
      <w:bodyDiv w:val="1"/>
      <w:marLeft w:val="0"/>
      <w:marRight w:val="0"/>
      <w:marTop w:val="0"/>
      <w:marBottom w:val="0"/>
      <w:divBdr>
        <w:top w:val="none" w:sz="0" w:space="0" w:color="auto"/>
        <w:left w:val="none" w:sz="0" w:space="0" w:color="auto"/>
        <w:bottom w:val="none" w:sz="0" w:space="0" w:color="auto"/>
        <w:right w:val="none" w:sz="0" w:space="0" w:color="auto"/>
      </w:divBdr>
    </w:div>
    <w:div w:id="1703166118">
      <w:bodyDiv w:val="1"/>
      <w:marLeft w:val="0"/>
      <w:marRight w:val="0"/>
      <w:marTop w:val="0"/>
      <w:marBottom w:val="0"/>
      <w:divBdr>
        <w:top w:val="none" w:sz="0" w:space="0" w:color="auto"/>
        <w:left w:val="none" w:sz="0" w:space="0" w:color="auto"/>
        <w:bottom w:val="none" w:sz="0" w:space="0" w:color="auto"/>
        <w:right w:val="none" w:sz="0" w:space="0" w:color="auto"/>
      </w:divBdr>
    </w:div>
    <w:div w:id="1703432934">
      <w:bodyDiv w:val="1"/>
      <w:marLeft w:val="0"/>
      <w:marRight w:val="0"/>
      <w:marTop w:val="0"/>
      <w:marBottom w:val="0"/>
      <w:divBdr>
        <w:top w:val="none" w:sz="0" w:space="0" w:color="auto"/>
        <w:left w:val="none" w:sz="0" w:space="0" w:color="auto"/>
        <w:bottom w:val="none" w:sz="0" w:space="0" w:color="auto"/>
        <w:right w:val="none" w:sz="0" w:space="0" w:color="auto"/>
      </w:divBdr>
    </w:div>
    <w:div w:id="1703551517">
      <w:bodyDiv w:val="1"/>
      <w:marLeft w:val="0"/>
      <w:marRight w:val="0"/>
      <w:marTop w:val="0"/>
      <w:marBottom w:val="0"/>
      <w:divBdr>
        <w:top w:val="none" w:sz="0" w:space="0" w:color="auto"/>
        <w:left w:val="none" w:sz="0" w:space="0" w:color="auto"/>
        <w:bottom w:val="none" w:sz="0" w:space="0" w:color="auto"/>
        <w:right w:val="none" w:sz="0" w:space="0" w:color="auto"/>
      </w:divBdr>
    </w:div>
    <w:div w:id="1703945413">
      <w:bodyDiv w:val="1"/>
      <w:marLeft w:val="0"/>
      <w:marRight w:val="0"/>
      <w:marTop w:val="0"/>
      <w:marBottom w:val="0"/>
      <w:divBdr>
        <w:top w:val="none" w:sz="0" w:space="0" w:color="auto"/>
        <w:left w:val="none" w:sz="0" w:space="0" w:color="auto"/>
        <w:bottom w:val="none" w:sz="0" w:space="0" w:color="auto"/>
        <w:right w:val="none" w:sz="0" w:space="0" w:color="auto"/>
      </w:divBdr>
    </w:div>
    <w:div w:id="1704205750">
      <w:bodyDiv w:val="1"/>
      <w:marLeft w:val="0"/>
      <w:marRight w:val="0"/>
      <w:marTop w:val="0"/>
      <w:marBottom w:val="0"/>
      <w:divBdr>
        <w:top w:val="none" w:sz="0" w:space="0" w:color="auto"/>
        <w:left w:val="none" w:sz="0" w:space="0" w:color="auto"/>
        <w:bottom w:val="none" w:sz="0" w:space="0" w:color="auto"/>
        <w:right w:val="none" w:sz="0" w:space="0" w:color="auto"/>
      </w:divBdr>
    </w:div>
    <w:div w:id="1705860617">
      <w:bodyDiv w:val="1"/>
      <w:marLeft w:val="0"/>
      <w:marRight w:val="0"/>
      <w:marTop w:val="0"/>
      <w:marBottom w:val="0"/>
      <w:divBdr>
        <w:top w:val="none" w:sz="0" w:space="0" w:color="auto"/>
        <w:left w:val="none" w:sz="0" w:space="0" w:color="auto"/>
        <w:bottom w:val="none" w:sz="0" w:space="0" w:color="auto"/>
        <w:right w:val="none" w:sz="0" w:space="0" w:color="auto"/>
      </w:divBdr>
    </w:div>
    <w:div w:id="1705909602">
      <w:bodyDiv w:val="1"/>
      <w:marLeft w:val="0"/>
      <w:marRight w:val="0"/>
      <w:marTop w:val="0"/>
      <w:marBottom w:val="0"/>
      <w:divBdr>
        <w:top w:val="none" w:sz="0" w:space="0" w:color="auto"/>
        <w:left w:val="none" w:sz="0" w:space="0" w:color="auto"/>
        <w:bottom w:val="none" w:sz="0" w:space="0" w:color="auto"/>
        <w:right w:val="none" w:sz="0" w:space="0" w:color="auto"/>
      </w:divBdr>
      <w:divsChild>
        <w:div w:id="1204102389">
          <w:marLeft w:val="0"/>
          <w:marRight w:val="0"/>
          <w:marTop w:val="0"/>
          <w:marBottom w:val="0"/>
          <w:divBdr>
            <w:top w:val="none" w:sz="0" w:space="0" w:color="auto"/>
            <w:left w:val="none" w:sz="0" w:space="0" w:color="auto"/>
            <w:bottom w:val="none" w:sz="0" w:space="0" w:color="auto"/>
            <w:right w:val="none" w:sz="0" w:space="0" w:color="auto"/>
          </w:divBdr>
          <w:divsChild>
            <w:div w:id="36009644">
              <w:marLeft w:val="0"/>
              <w:marRight w:val="0"/>
              <w:marTop w:val="0"/>
              <w:marBottom w:val="0"/>
              <w:divBdr>
                <w:top w:val="none" w:sz="0" w:space="0" w:color="auto"/>
                <w:left w:val="none" w:sz="0" w:space="0" w:color="auto"/>
                <w:bottom w:val="none" w:sz="0" w:space="0" w:color="auto"/>
                <w:right w:val="none" w:sz="0" w:space="0" w:color="auto"/>
              </w:divBdr>
            </w:div>
            <w:div w:id="1057775765">
              <w:marLeft w:val="0"/>
              <w:marRight w:val="0"/>
              <w:marTop w:val="0"/>
              <w:marBottom w:val="0"/>
              <w:divBdr>
                <w:top w:val="none" w:sz="0" w:space="0" w:color="auto"/>
                <w:left w:val="none" w:sz="0" w:space="0" w:color="auto"/>
                <w:bottom w:val="none" w:sz="0" w:space="0" w:color="auto"/>
                <w:right w:val="none" w:sz="0" w:space="0" w:color="auto"/>
              </w:divBdr>
            </w:div>
            <w:div w:id="1195576319">
              <w:marLeft w:val="0"/>
              <w:marRight w:val="0"/>
              <w:marTop w:val="0"/>
              <w:marBottom w:val="0"/>
              <w:divBdr>
                <w:top w:val="none" w:sz="0" w:space="0" w:color="auto"/>
                <w:left w:val="none" w:sz="0" w:space="0" w:color="auto"/>
                <w:bottom w:val="none" w:sz="0" w:space="0" w:color="auto"/>
                <w:right w:val="none" w:sz="0" w:space="0" w:color="auto"/>
              </w:divBdr>
            </w:div>
            <w:div w:id="1410540085">
              <w:marLeft w:val="0"/>
              <w:marRight w:val="0"/>
              <w:marTop w:val="0"/>
              <w:marBottom w:val="0"/>
              <w:divBdr>
                <w:top w:val="none" w:sz="0" w:space="0" w:color="auto"/>
                <w:left w:val="none" w:sz="0" w:space="0" w:color="auto"/>
                <w:bottom w:val="none" w:sz="0" w:space="0" w:color="auto"/>
                <w:right w:val="none" w:sz="0" w:space="0" w:color="auto"/>
              </w:divBdr>
            </w:div>
            <w:div w:id="1557929799">
              <w:marLeft w:val="0"/>
              <w:marRight w:val="0"/>
              <w:marTop w:val="0"/>
              <w:marBottom w:val="0"/>
              <w:divBdr>
                <w:top w:val="none" w:sz="0" w:space="0" w:color="auto"/>
                <w:left w:val="none" w:sz="0" w:space="0" w:color="auto"/>
                <w:bottom w:val="none" w:sz="0" w:space="0" w:color="auto"/>
                <w:right w:val="none" w:sz="0" w:space="0" w:color="auto"/>
              </w:divBdr>
            </w:div>
            <w:div w:id="1812167335">
              <w:marLeft w:val="0"/>
              <w:marRight w:val="0"/>
              <w:marTop w:val="0"/>
              <w:marBottom w:val="0"/>
              <w:divBdr>
                <w:top w:val="none" w:sz="0" w:space="0" w:color="auto"/>
                <w:left w:val="none" w:sz="0" w:space="0" w:color="auto"/>
                <w:bottom w:val="none" w:sz="0" w:space="0" w:color="auto"/>
                <w:right w:val="none" w:sz="0" w:space="0" w:color="auto"/>
              </w:divBdr>
            </w:div>
            <w:div w:id="19066445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07676399">
      <w:bodyDiv w:val="1"/>
      <w:marLeft w:val="0"/>
      <w:marRight w:val="0"/>
      <w:marTop w:val="0"/>
      <w:marBottom w:val="0"/>
      <w:divBdr>
        <w:top w:val="none" w:sz="0" w:space="0" w:color="auto"/>
        <w:left w:val="none" w:sz="0" w:space="0" w:color="auto"/>
        <w:bottom w:val="none" w:sz="0" w:space="0" w:color="auto"/>
        <w:right w:val="none" w:sz="0" w:space="0" w:color="auto"/>
      </w:divBdr>
      <w:divsChild>
        <w:div w:id="1160543627">
          <w:marLeft w:val="547"/>
          <w:marRight w:val="0"/>
          <w:marTop w:val="192"/>
          <w:marBottom w:val="0"/>
          <w:divBdr>
            <w:top w:val="none" w:sz="0" w:space="0" w:color="auto"/>
            <w:left w:val="none" w:sz="0" w:space="0" w:color="auto"/>
            <w:bottom w:val="none" w:sz="0" w:space="0" w:color="auto"/>
            <w:right w:val="none" w:sz="0" w:space="0" w:color="auto"/>
          </w:divBdr>
        </w:div>
        <w:div w:id="1604217702">
          <w:marLeft w:val="547"/>
          <w:marRight w:val="0"/>
          <w:marTop w:val="192"/>
          <w:marBottom w:val="0"/>
          <w:divBdr>
            <w:top w:val="none" w:sz="0" w:space="0" w:color="auto"/>
            <w:left w:val="none" w:sz="0" w:space="0" w:color="auto"/>
            <w:bottom w:val="none" w:sz="0" w:space="0" w:color="auto"/>
            <w:right w:val="none" w:sz="0" w:space="0" w:color="auto"/>
          </w:divBdr>
        </w:div>
      </w:divsChild>
    </w:div>
    <w:div w:id="1707825041">
      <w:bodyDiv w:val="1"/>
      <w:marLeft w:val="0"/>
      <w:marRight w:val="0"/>
      <w:marTop w:val="0"/>
      <w:marBottom w:val="0"/>
      <w:divBdr>
        <w:top w:val="none" w:sz="0" w:space="0" w:color="auto"/>
        <w:left w:val="none" w:sz="0" w:space="0" w:color="auto"/>
        <w:bottom w:val="none" w:sz="0" w:space="0" w:color="auto"/>
        <w:right w:val="none" w:sz="0" w:space="0" w:color="auto"/>
      </w:divBdr>
      <w:divsChild>
        <w:div w:id="855342896">
          <w:marLeft w:val="547"/>
          <w:marRight w:val="0"/>
          <w:marTop w:val="115"/>
          <w:marBottom w:val="0"/>
          <w:divBdr>
            <w:top w:val="none" w:sz="0" w:space="0" w:color="auto"/>
            <w:left w:val="none" w:sz="0" w:space="0" w:color="auto"/>
            <w:bottom w:val="none" w:sz="0" w:space="0" w:color="auto"/>
            <w:right w:val="none" w:sz="0" w:space="0" w:color="auto"/>
          </w:divBdr>
        </w:div>
        <w:div w:id="1009411206">
          <w:marLeft w:val="1166"/>
          <w:marRight w:val="0"/>
          <w:marTop w:val="96"/>
          <w:marBottom w:val="0"/>
          <w:divBdr>
            <w:top w:val="none" w:sz="0" w:space="0" w:color="auto"/>
            <w:left w:val="none" w:sz="0" w:space="0" w:color="auto"/>
            <w:bottom w:val="none" w:sz="0" w:space="0" w:color="auto"/>
            <w:right w:val="none" w:sz="0" w:space="0" w:color="auto"/>
          </w:divBdr>
        </w:div>
        <w:div w:id="1217349545">
          <w:marLeft w:val="1166"/>
          <w:marRight w:val="0"/>
          <w:marTop w:val="96"/>
          <w:marBottom w:val="0"/>
          <w:divBdr>
            <w:top w:val="none" w:sz="0" w:space="0" w:color="auto"/>
            <w:left w:val="none" w:sz="0" w:space="0" w:color="auto"/>
            <w:bottom w:val="none" w:sz="0" w:space="0" w:color="auto"/>
            <w:right w:val="none" w:sz="0" w:space="0" w:color="auto"/>
          </w:divBdr>
        </w:div>
        <w:div w:id="1831821411">
          <w:marLeft w:val="547"/>
          <w:marRight w:val="0"/>
          <w:marTop w:val="115"/>
          <w:marBottom w:val="0"/>
          <w:divBdr>
            <w:top w:val="none" w:sz="0" w:space="0" w:color="auto"/>
            <w:left w:val="none" w:sz="0" w:space="0" w:color="auto"/>
            <w:bottom w:val="none" w:sz="0" w:space="0" w:color="auto"/>
            <w:right w:val="none" w:sz="0" w:space="0" w:color="auto"/>
          </w:divBdr>
        </w:div>
      </w:divsChild>
    </w:div>
    <w:div w:id="1708292998">
      <w:bodyDiv w:val="1"/>
      <w:marLeft w:val="0"/>
      <w:marRight w:val="0"/>
      <w:marTop w:val="0"/>
      <w:marBottom w:val="0"/>
      <w:divBdr>
        <w:top w:val="none" w:sz="0" w:space="0" w:color="auto"/>
        <w:left w:val="none" w:sz="0" w:space="0" w:color="auto"/>
        <w:bottom w:val="none" w:sz="0" w:space="0" w:color="auto"/>
        <w:right w:val="none" w:sz="0" w:space="0" w:color="auto"/>
      </w:divBdr>
      <w:divsChild>
        <w:div w:id="4984428">
          <w:marLeft w:val="2520"/>
          <w:marRight w:val="0"/>
          <w:marTop w:val="77"/>
          <w:marBottom w:val="0"/>
          <w:divBdr>
            <w:top w:val="none" w:sz="0" w:space="0" w:color="auto"/>
            <w:left w:val="none" w:sz="0" w:space="0" w:color="auto"/>
            <w:bottom w:val="none" w:sz="0" w:space="0" w:color="auto"/>
            <w:right w:val="none" w:sz="0" w:space="0" w:color="auto"/>
          </w:divBdr>
        </w:div>
        <w:div w:id="101802455">
          <w:marLeft w:val="1800"/>
          <w:marRight w:val="0"/>
          <w:marTop w:val="91"/>
          <w:marBottom w:val="0"/>
          <w:divBdr>
            <w:top w:val="none" w:sz="0" w:space="0" w:color="auto"/>
            <w:left w:val="none" w:sz="0" w:space="0" w:color="auto"/>
            <w:bottom w:val="none" w:sz="0" w:space="0" w:color="auto"/>
            <w:right w:val="none" w:sz="0" w:space="0" w:color="auto"/>
          </w:divBdr>
        </w:div>
        <w:div w:id="155650409">
          <w:marLeft w:val="2520"/>
          <w:marRight w:val="0"/>
          <w:marTop w:val="77"/>
          <w:marBottom w:val="0"/>
          <w:divBdr>
            <w:top w:val="none" w:sz="0" w:space="0" w:color="auto"/>
            <w:left w:val="none" w:sz="0" w:space="0" w:color="auto"/>
            <w:bottom w:val="none" w:sz="0" w:space="0" w:color="auto"/>
            <w:right w:val="none" w:sz="0" w:space="0" w:color="auto"/>
          </w:divBdr>
        </w:div>
        <w:div w:id="262420545">
          <w:marLeft w:val="1800"/>
          <w:marRight w:val="0"/>
          <w:marTop w:val="91"/>
          <w:marBottom w:val="0"/>
          <w:divBdr>
            <w:top w:val="none" w:sz="0" w:space="0" w:color="auto"/>
            <w:left w:val="none" w:sz="0" w:space="0" w:color="auto"/>
            <w:bottom w:val="none" w:sz="0" w:space="0" w:color="auto"/>
            <w:right w:val="none" w:sz="0" w:space="0" w:color="auto"/>
          </w:divBdr>
        </w:div>
        <w:div w:id="535049139">
          <w:marLeft w:val="1800"/>
          <w:marRight w:val="0"/>
          <w:marTop w:val="91"/>
          <w:marBottom w:val="0"/>
          <w:divBdr>
            <w:top w:val="none" w:sz="0" w:space="0" w:color="auto"/>
            <w:left w:val="none" w:sz="0" w:space="0" w:color="auto"/>
            <w:bottom w:val="none" w:sz="0" w:space="0" w:color="auto"/>
            <w:right w:val="none" w:sz="0" w:space="0" w:color="auto"/>
          </w:divBdr>
        </w:div>
        <w:div w:id="863204771">
          <w:marLeft w:val="547"/>
          <w:marRight w:val="0"/>
          <w:marTop w:val="120"/>
          <w:marBottom w:val="0"/>
          <w:divBdr>
            <w:top w:val="none" w:sz="0" w:space="0" w:color="auto"/>
            <w:left w:val="none" w:sz="0" w:space="0" w:color="auto"/>
            <w:bottom w:val="none" w:sz="0" w:space="0" w:color="auto"/>
            <w:right w:val="none" w:sz="0" w:space="0" w:color="auto"/>
          </w:divBdr>
        </w:div>
        <w:div w:id="1125083141">
          <w:marLeft w:val="1800"/>
          <w:marRight w:val="0"/>
          <w:marTop w:val="91"/>
          <w:marBottom w:val="0"/>
          <w:divBdr>
            <w:top w:val="none" w:sz="0" w:space="0" w:color="auto"/>
            <w:left w:val="none" w:sz="0" w:space="0" w:color="auto"/>
            <w:bottom w:val="none" w:sz="0" w:space="0" w:color="auto"/>
            <w:right w:val="none" w:sz="0" w:space="0" w:color="auto"/>
          </w:divBdr>
        </w:div>
        <w:div w:id="1304656073">
          <w:marLeft w:val="2520"/>
          <w:marRight w:val="0"/>
          <w:marTop w:val="77"/>
          <w:marBottom w:val="0"/>
          <w:divBdr>
            <w:top w:val="none" w:sz="0" w:space="0" w:color="auto"/>
            <w:left w:val="none" w:sz="0" w:space="0" w:color="auto"/>
            <w:bottom w:val="none" w:sz="0" w:space="0" w:color="auto"/>
            <w:right w:val="none" w:sz="0" w:space="0" w:color="auto"/>
          </w:divBdr>
        </w:div>
        <w:div w:id="1407997309">
          <w:marLeft w:val="2520"/>
          <w:marRight w:val="0"/>
          <w:marTop w:val="77"/>
          <w:marBottom w:val="0"/>
          <w:divBdr>
            <w:top w:val="none" w:sz="0" w:space="0" w:color="auto"/>
            <w:left w:val="none" w:sz="0" w:space="0" w:color="auto"/>
            <w:bottom w:val="none" w:sz="0" w:space="0" w:color="auto"/>
            <w:right w:val="none" w:sz="0" w:space="0" w:color="auto"/>
          </w:divBdr>
        </w:div>
        <w:div w:id="1818959418">
          <w:marLeft w:val="2520"/>
          <w:marRight w:val="0"/>
          <w:marTop w:val="77"/>
          <w:marBottom w:val="0"/>
          <w:divBdr>
            <w:top w:val="none" w:sz="0" w:space="0" w:color="auto"/>
            <w:left w:val="none" w:sz="0" w:space="0" w:color="auto"/>
            <w:bottom w:val="none" w:sz="0" w:space="0" w:color="auto"/>
            <w:right w:val="none" w:sz="0" w:space="0" w:color="auto"/>
          </w:divBdr>
        </w:div>
        <w:div w:id="1949579476">
          <w:marLeft w:val="1800"/>
          <w:marRight w:val="0"/>
          <w:marTop w:val="91"/>
          <w:marBottom w:val="0"/>
          <w:divBdr>
            <w:top w:val="none" w:sz="0" w:space="0" w:color="auto"/>
            <w:left w:val="none" w:sz="0" w:space="0" w:color="auto"/>
            <w:bottom w:val="none" w:sz="0" w:space="0" w:color="auto"/>
            <w:right w:val="none" w:sz="0" w:space="0" w:color="auto"/>
          </w:divBdr>
        </w:div>
        <w:div w:id="1978679047">
          <w:marLeft w:val="1800"/>
          <w:marRight w:val="0"/>
          <w:marTop w:val="91"/>
          <w:marBottom w:val="0"/>
          <w:divBdr>
            <w:top w:val="none" w:sz="0" w:space="0" w:color="auto"/>
            <w:left w:val="none" w:sz="0" w:space="0" w:color="auto"/>
            <w:bottom w:val="none" w:sz="0" w:space="0" w:color="auto"/>
            <w:right w:val="none" w:sz="0" w:space="0" w:color="auto"/>
          </w:divBdr>
        </w:div>
        <w:div w:id="2145074044">
          <w:marLeft w:val="2520"/>
          <w:marRight w:val="0"/>
          <w:marTop w:val="77"/>
          <w:marBottom w:val="0"/>
          <w:divBdr>
            <w:top w:val="none" w:sz="0" w:space="0" w:color="auto"/>
            <w:left w:val="none" w:sz="0" w:space="0" w:color="auto"/>
            <w:bottom w:val="none" w:sz="0" w:space="0" w:color="auto"/>
            <w:right w:val="none" w:sz="0" w:space="0" w:color="auto"/>
          </w:divBdr>
        </w:div>
      </w:divsChild>
    </w:div>
    <w:div w:id="1711226584">
      <w:bodyDiv w:val="1"/>
      <w:marLeft w:val="0"/>
      <w:marRight w:val="0"/>
      <w:marTop w:val="0"/>
      <w:marBottom w:val="0"/>
      <w:divBdr>
        <w:top w:val="none" w:sz="0" w:space="0" w:color="auto"/>
        <w:left w:val="none" w:sz="0" w:space="0" w:color="auto"/>
        <w:bottom w:val="none" w:sz="0" w:space="0" w:color="auto"/>
        <w:right w:val="none" w:sz="0" w:space="0" w:color="auto"/>
      </w:divBdr>
      <w:divsChild>
        <w:div w:id="315379511">
          <w:marLeft w:val="547"/>
          <w:marRight w:val="0"/>
          <w:marTop w:val="115"/>
          <w:marBottom w:val="0"/>
          <w:divBdr>
            <w:top w:val="none" w:sz="0" w:space="0" w:color="auto"/>
            <w:left w:val="none" w:sz="0" w:space="0" w:color="auto"/>
            <w:bottom w:val="none" w:sz="0" w:space="0" w:color="auto"/>
            <w:right w:val="none" w:sz="0" w:space="0" w:color="auto"/>
          </w:divBdr>
        </w:div>
        <w:div w:id="596669214">
          <w:marLeft w:val="547"/>
          <w:marRight w:val="0"/>
          <w:marTop w:val="115"/>
          <w:marBottom w:val="0"/>
          <w:divBdr>
            <w:top w:val="none" w:sz="0" w:space="0" w:color="auto"/>
            <w:left w:val="none" w:sz="0" w:space="0" w:color="auto"/>
            <w:bottom w:val="none" w:sz="0" w:space="0" w:color="auto"/>
            <w:right w:val="none" w:sz="0" w:space="0" w:color="auto"/>
          </w:divBdr>
        </w:div>
        <w:div w:id="791706663">
          <w:marLeft w:val="1166"/>
          <w:marRight w:val="0"/>
          <w:marTop w:val="96"/>
          <w:marBottom w:val="0"/>
          <w:divBdr>
            <w:top w:val="none" w:sz="0" w:space="0" w:color="auto"/>
            <w:left w:val="none" w:sz="0" w:space="0" w:color="auto"/>
            <w:bottom w:val="none" w:sz="0" w:space="0" w:color="auto"/>
            <w:right w:val="none" w:sz="0" w:space="0" w:color="auto"/>
          </w:divBdr>
        </w:div>
        <w:div w:id="795610786">
          <w:marLeft w:val="1166"/>
          <w:marRight w:val="0"/>
          <w:marTop w:val="96"/>
          <w:marBottom w:val="0"/>
          <w:divBdr>
            <w:top w:val="none" w:sz="0" w:space="0" w:color="auto"/>
            <w:left w:val="none" w:sz="0" w:space="0" w:color="auto"/>
            <w:bottom w:val="none" w:sz="0" w:space="0" w:color="auto"/>
            <w:right w:val="none" w:sz="0" w:space="0" w:color="auto"/>
          </w:divBdr>
        </w:div>
        <w:div w:id="871724573">
          <w:marLeft w:val="547"/>
          <w:marRight w:val="0"/>
          <w:marTop w:val="115"/>
          <w:marBottom w:val="0"/>
          <w:divBdr>
            <w:top w:val="none" w:sz="0" w:space="0" w:color="auto"/>
            <w:left w:val="none" w:sz="0" w:space="0" w:color="auto"/>
            <w:bottom w:val="none" w:sz="0" w:space="0" w:color="auto"/>
            <w:right w:val="none" w:sz="0" w:space="0" w:color="auto"/>
          </w:divBdr>
        </w:div>
        <w:div w:id="1217665427">
          <w:marLeft w:val="1166"/>
          <w:marRight w:val="0"/>
          <w:marTop w:val="96"/>
          <w:marBottom w:val="0"/>
          <w:divBdr>
            <w:top w:val="none" w:sz="0" w:space="0" w:color="auto"/>
            <w:left w:val="none" w:sz="0" w:space="0" w:color="auto"/>
            <w:bottom w:val="none" w:sz="0" w:space="0" w:color="auto"/>
            <w:right w:val="none" w:sz="0" w:space="0" w:color="auto"/>
          </w:divBdr>
        </w:div>
        <w:div w:id="1309358604">
          <w:marLeft w:val="1166"/>
          <w:marRight w:val="0"/>
          <w:marTop w:val="96"/>
          <w:marBottom w:val="0"/>
          <w:divBdr>
            <w:top w:val="none" w:sz="0" w:space="0" w:color="auto"/>
            <w:left w:val="none" w:sz="0" w:space="0" w:color="auto"/>
            <w:bottom w:val="none" w:sz="0" w:space="0" w:color="auto"/>
            <w:right w:val="none" w:sz="0" w:space="0" w:color="auto"/>
          </w:divBdr>
        </w:div>
        <w:div w:id="1330250738">
          <w:marLeft w:val="1800"/>
          <w:marRight w:val="0"/>
          <w:marTop w:val="86"/>
          <w:marBottom w:val="0"/>
          <w:divBdr>
            <w:top w:val="none" w:sz="0" w:space="0" w:color="auto"/>
            <w:left w:val="none" w:sz="0" w:space="0" w:color="auto"/>
            <w:bottom w:val="none" w:sz="0" w:space="0" w:color="auto"/>
            <w:right w:val="none" w:sz="0" w:space="0" w:color="auto"/>
          </w:divBdr>
        </w:div>
        <w:div w:id="1460025007">
          <w:marLeft w:val="1166"/>
          <w:marRight w:val="0"/>
          <w:marTop w:val="96"/>
          <w:marBottom w:val="0"/>
          <w:divBdr>
            <w:top w:val="none" w:sz="0" w:space="0" w:color="auto"/>
            <w:left w:val="none" w:sz="0" w:space="0" w:color="auto"/>
            <w:bottom w:val="none" w:sz="0" w:space="0" w:color="auto"/>
            <w:right w:val="none" w:sz="0" w:space="0" w:color="auto"/>
          </w:divBdr>
        </w:div>
      </w:divsChild>
    </w:div>
    <w:div w:id="1712265007">
      <w:bodyDiv w:val="1"/>
      <w:marLeft w:val="0"/>
      <w:marRight w:val="0"/>
      <w:marTop w:val="0"/>
      <w:marBottom w:val="0"/>
      <w:divBdr>
        <w:top w:val="none" w:sz="0" w:space="0" w:color="auto"/>
        <w:left w:val="none" w:sz="0" w:space="0" w:color="auto"/>
        <w:bottom w:val="none" w:sz="0" w:space="0" w:color="auto"/>
        <w:right w:val="none" w:sz="0" w:space="0" w:color="auto"/>
      </w:divBdr>
    </w:div>
    <w:div w:id="1712340459">
      <w:bodyDiv w:val="1"/>
      <w:marLeft w:val="0"/>
      <w:marRight w:val="0"/>
      <w:marTop w:val="0"/>
      <w:marBottom w:val="0"/>
      <w:divBdr>
        <w:top w:val="none" w:sz="0" w:space="0" w:color="auto"/>
        <w:left w:val="none" w:sz="0" w:space="0" w:color="auto"/>
        <w:bottom w:val="none" w:sz="0" w:space="0" w:color="auto"/>
        <w:right w:val="none" w:sz="0" w:space="0" w:color="auto"/>
      </w:divBdr>
    </w:div>
    <w:div w:id="1712341523">
      <w:bodyDiv w:val="1"/>
      <w:marLeft w:val="0"/>
      <w:marRight w:val="0"/>
      <w:marTop w:val="0"/>
      <w:marBottom w:val="0"/>
      <w:divBdr>
        <w:top w:val="none" w:sz="0" w:space="0" w:color="auto"/>
        <w:left w:val="none" w:sz="0" w:space="0" w:color="auto"/>
        <w:bottom w:val="none" w:sz="0" w:space="0" w:color="auto"/>
        <w:right w:val="none" w:sz="0" w:space="0" w:color="auto"/>
      </w:divBdr>
    </w:div>
    <w:div w:id="1712994797">
      <w:bodyDiv w:val="1"/>
      <w:marLeft w:val="0"/>
      <w:marRight w:val="0"/>
      <w:marTop w:val="0"/>
      <w:marBottom w:val="0"/>
      <w:divBdr>
        <w:top w:val="none" w:sz="0" w:space="0" w:color="auto"/>
        <w:left w:val="none" w:sz="0" w:space="0" w:color="auto"/>
        <w:bottom w:val="none" w:sz="0" w:space="0" w:color="auto"/>
        <w:right w:val="none" w:sz="0" w:space="0" w:color="auto"/>
      </w:divBdr>
    </w:div>
    <w:div w:id="1713311033">
      <w:bodyDiv w:val="1"/>
      <w:marLeft w:val="0"/>
      <w:marRight w:val="0"/>
      <w:marTop w:val="0"/>
      <w:marBottom w:val="0"/>
      <w:divBdr>
        <w:top w:val="none" w:sz="0" w:space="0" w:color="auto"/>
        <w:left w:val="none" w:sz="0" w:space="0" w:color="auto"/>
        <w:bottom w:val="none" w:sz="0" w:space="0" w:color="auto"/>
        <w:right w:val="none" w:sz="0" w:space="0" w:color="auto"/>
      </w:divBdr>
    </w:div>
    <w:div w:id="1714113118">
      <w:bodyDiv w:val="1"/>
      <w:marLeft w:val="0"/>
      <w:marRight w:val="0"/>
      <w:marTop w:val="0"/>
      <w:marBottom w:val="0"/>
      <w:divBdr>
        <w:top w:val="none" w:sz="0" w:space="0" w:color="auto"/>
        <w:left w:val="none" w:sz="0" w:space="0" w:color="auto"/>
        <w:bottom w:val="none" w:sz="0" w:space="0" w:color="auto"/>
        <w:right w:val="none" w:sz="0" w:space="0" w:color="auto"/>
      </w:divBdr>
    </w:div>
    <w:div w:id="1715155907">
      <w:bodyDiv w:val="1"/>
      <w:marLeft w:val="0"/>
      <w:marRight w:val="0"/>
      <w:marTop w:val="0"/>
      <w:marBottom w:val="0"/>
      <w:divBdr>
        <w:top w:val="none" w:sz="0" w:space="0" w:color="auto"/>
        <w:left w:val="none" w:sz="0" w:space="0" w:color="auto"/>
        <w:bottom w:val="none" w:sz="0" w:space="0" w:color="auto"/>
        <w:right w:val="none" w:sz="0" w:space="0" w:color="auto"/>
      </w:divBdr>
    </w:div>
    <w:div w:id="1715302488">
      <w:bodyDiv w:val="1"/>
      <w:marLeft w:val="0"/>
      <w:marRight w:val="0"/>
      <w:marTop w:val="0"/>
      <w:marBottom w:val="0"/>
      <w:divBdr>
        <w:top w:val="none" w:sz="0" w:space="0" w:color="auto"/>
        <w:left w:val="none" w:sz="0" w:space="0" w:color="auto"/>
        <w:bottom w:val="none" w:sz="0" w:space="0" w:color="auto"/>
        <w:right w:val="none" w:sz="0" w:space="0" w:color="auto"/>
      </w:divBdr>
      <w:divsChild>
        <w:div w:id="69037913">
          <w:marLeft w:val="547"/>
          <w:marRight w:val="0"/>
          <w:marTop w:val="96"/>
          <w:marBottom w:val="0"/>
          <w:divBdr>
            <w:top w:val="none" w:sz="0" w:space="0" w:color="auto"/>
            <w:left w:val="none" w:sz="0" w:space="0" w:color="auto"/>
            <w:bottom w:val="none" w:sz="0" w:space="0" w:color="auto"/>
            <w:right w:val="none" w:sz="0" w:space="0" w:color="auto"/>
          </w:divBdr>
        </w:div>
        <w:div w:id="1017846534">
          <w:marLeft w:val="547"/>
          <w:marRight w:val="0"/>
          <w:marTop w:val="96"/>
          <w:marBottom w:val="0"/>
          <w:divBdr>
            <w:top w:val="none" w:sz="0" w:space="0" w:color="auto"/>
            <w:left w:val="none" w:sz="0" w:space="0" w:color="auto"/>
            <w:bottom w:val="none" w:sz="0" w:space="0" w:color="auto"/>
            <w:right w:val="none" w:sz="0" w:space="0" w:color="auto"/>
          </w:divBdr>
        </w:div>
        <w:div w:id="1477723550">
          <w:marLeft w:val="547"/>
          <w:marRight w:val="0"/>
          <w:marTop w:val="96"/>
          <w:marBottom w:val="0"/>
          <w:divBdr>
            <w:top w:val="none" w:sz="0" w:space="0" w:color="auto"/>
            <w:left w:val="none" w:sz="0" w:space="0" w:color="auto"/>
            <w:bottom w:val="none" w:sz="0" w:space="0" w:color="auto"/>
            <w:right w:val="none" w:sz="0" w:space="0" w:color="auto"/>
          </w:divBdr>
        </w:div>
        <w:div w:id="1884557466">
          <w:marLeft w:val="547"/>
          <w:marRight w:val="0"/>
          <w:marTop w:val="96"/>
          <w:marBottom w:val="0"/>
          <w:divBdr>
            <w:top w:val="none" w:sz="0" w:space="0" w:color="auto"/>
            <w:left w:val="none" w:sz="0" w:space="0" w:color="auto"/>
            <w:bottom w:val="none" w:sz="0" w:space="0" w:color="auto"/>
            <w:right w:val="none" w:sz="0" w:space="0" w:color="auto"/>
          </w:divBdr>
        </w:div>
      </w:divsChild>
    </w:div>
    <w:div w:id="1715813052">
      <w:bodyDiv w:val="1"/>
      <w:marLeft w:val="0"/>
      <w:marRight w:val="0"/>
      <w:marTop w:val="0"/>
      <w:marBottom w:val="0"/>
      <w:divBdr>
        <w:top w:val="none" w:sz="0" w:space="0" w:color="auto"/>
        <w:left w:val="none" w:sz="0" w:space="0" w:color="auto"/>
        <w:bottom w:val="none" w:sz="0" w:space="0" w:color="auto"/>
        <w:right w:val="none" w:sz="0" w:space="0" w:color="auto"/>
      </w:divBdr>
    </w:div>
    <w:div w:id="1717198817">
      <w:bodyDiv w:val="1"/>
      <w:marLeft w:val="0"/>
      <w:marRight w:val="0"/>
      <w:marTop w:val="0"/>
      <w:marBottom w:val="0"/>
      <w:divBdr>
        <w:top w:val="none" w:sz="0" w:space="0" w:color="auto"/>
        <w:left w:val="none" w:sz="0" w:space="0" w:color="auto"/>
        <w:bottom w:val="none" w:sz="0" w:space="0" w:color="auto"/>
        <w:right w:val="none" w:sz="0" w:space="0" w:color="auto"/>
      </w:divBdr>
    </w:div>
    <w:div w:id="1718118787">
      <w:bodyDiv w:val="1"/>
      <w:marLeft w:val="0"/>
      <w:marRight w:val="0"/>
      <w:marTop w:val="0"/>
      <w:marBottom w:val="0"/>
      <w:divBdr>
        <w:top w:val="none" w:sz="0" w:space="0" w:color="auto"/>
        <w:left w:val="none" w:sz="0" w:space="0" w:color="auto"/>
        <w:bottom w:val="none" w:sz="0" w:space="0" w:color="auto"/>
        <w:right w:val="none" w:sz="0" w:space="0" w:color="auto"/>
      </w:divBdr>
    </w:div>
    <w:div w:id="1718361214">
      <w:bodyDiv w:val="1"/>
      <w:marLeft w:val="0"/>
      <w:marRight w:val="0"/>
      <w:marTop w:val="0"/>
      <w:marBottom w:val="0"/>
      <w:divBdr>
        <w:top w:val="none" w:sz="0" w:space="0" w:color="auto"/>
        <w:left w:val="none" w:sz="0" w:space="0" w:color="auto"/>
        <w:bottom w:val="none" w:sz="0" w:space="0" w:color="auto"/>
        <w:right w:val="none" w:sz="0" w:space="0" w:color="auto"/>
      </w:divBdr>
      <w:divsChild>
        <w:div w:id="368920963">
          <w:marLeft w:val="706"/>
          <w:marRight w:val="0"/>
          <w:marTop w:val="115"/>
          <w:marBottom w:val="0"/>
          <w:divBdr>
            <w:top w:val="none" w:sz="0" w:space="0" w:color="auto"/>
            <w:left w:val="none" w:sz="0" w:space="0" w:color="auto"/>
            <w:bottom w:val="none" w:sz="0" w:space="0" w:color="auto"/>
            <w:right w:val="none" w:sz="0" w:space="0" w:color="auto"/>
          </w:divBdr>
        </w:div>
        <w:div w:id="537744266">
          <w:marLeft w:val="418"/>
          <w:marRight w:val="0"/>
          <w:marTop w:val="115"/>
          <w:marBottom w:val="0"/>
          <w:divBdr>
            <w:top w:val="none" w:sz="0" w:space="0" w:color="auto"/>
            <w:left w:val="none" w:sz="0" w:space="0" w:color="auto"/>
            <w:bottom w:val="none" w:sz="0" w:space="0" w:color="auto"/>
            <w:right w:val="none" w:sz="0" w:space="0" w:color="auto"/>
          </w:divBdr>
        </w:div>
        <w:div w:id="852720988">
          <w:marLeft w:val="706"/>
          <w:marRight w:val="0"/>
          <w:marTop w:val="115"/>
          <w:marBottom w:val="0"/>
          <w:divBdr>
            <w:top w:val="none" w:sz="0" w:space="0" w:color="auto"/>
            <w:left w:val="none" w:sz="0" w:space="0" w:color="auto"/>
            <w:bottom w:val="none" w:sz="0" w:space="0" w:color="auto"/>
            <w:right w:val="none" w:sz="0" w:space="0" w:color="auto"/>
          </w:divBdr>
        </w:div>
      </w:divsChild>
    </w:div>
    <w:div w:id="1718623162">
      <w:bodyDiv w:val="1"/>
      <w:marLeft w:val="0"/>
      <w:marRight w:val="0"/>
      <w:marTop w:val="0"/>
      <w:marBottom w:val="0"/>
      <w:divBdr>
        <w:top w:val="none" w:sz="0" w:space="0" w:color="auto"/>
        <w:left w:val="none" w:sz="0" w:space="0" w:color="auto"/>
        <w:bottom w:val="none" w:sz="0" w:space="0" w:color="auto"/>
        <w:right w:val="none" w:sz="0" w:space="0" w:color="auto"/>
      </w:divBdr>
      <w:divsChild>
        <w:div w:id="1407413078">
          <w:marLeft w:val="547"/>
          <w:marRight w:val="0"/>
          <w:marTop w:val="154"/>
          <w:marBottom w:val="0"/>
          <w:divBdr>
            <w:top w:val="none" w:sz="0" w:space="0" w:color="auto"/>
            <w:left w:val="none" w:sz="0" w:space="0" w:color="auto"/>
            <w:bottom w:val="none" w:sz="0" w:space="0" w:color="auto"/>
            <w:right w:val="none" w:sz="0" w:space="0" w:color="auto"/>
          </w:divBdr>
        </w:div>
        <w:div w:id="1466508156">
          <w:marLeft w:val="547"/>
          <w:marRight w:val="0"/>
          <w:marTop w:val="154"/>
          <w:marBottom w:val="0"/>
          <w:divBdr>
            <w:top w:val="none" w:sz="0" w:space="0" w:color="auto"/>
            <w:left w:val="none" w:sz="0" w:space="0" w:color="auto"/>
            <w:bottom w:val="none" w:sz="0" w:space="0" w:color="auto"/>
            <w:right w:val="none" w:sz="0" w:space="0" w:color="auto"/>
          </w:divBdr>
        </w:div>
      </w:divsChild>
    </w:div>
    <w:div w:id="1719622081">
      <w:bodyDiv w:val="1"/>
      <w:marLeft w:val="0"/>
      <w:marRight w:val="0"/>
      <w:marTop w:val="0"/>
      <w:marBottom w:val="0"/>
      <w:divBdr>
        <w:top w:val="none" w:sz="0" w:space="0" w:color="auto"/>
        <w:left w:val="none" w:sz="0" w:space="0" w:color="auto"/>
        <w:bottom w:val="none" w:sz="0" w:space="0" w:color="auto"/>
        <w:right w:val="none" w:sz="0" w:space="0" w:color="auto"/>
      </w:divBdr>
    </w:div>
    <w:div w:id="1720284266">
      <w:bodyDiv w:val="1"/>
      <w:marLeft w:val="0"/>
      <w:marRight w:val="0"/>
      <w:marTop w:val="0"/>
      <w:marBottom w:val="0"/>
      <w:divBdr>
        <w:top w:val="none" w:sz="0" w:space="0" w:color="auto"/>
        <w:left w:val="none" w:sz="0" w:space="0" w:color="auto"/>
        <w:bottom w:val="none" w:sz="0" w:space="0" w:color="auto"/>
        <w:right w:val="none" w:sz="0" w:space="0" w:color="auto"/>
      </w:divBdr>
    </w:div>
    <w:div w:id="1720781687">
      <w:bodyDiv w:val="1"/>
      <w:marLeft w:val="0"/>
      <w:marRight w:val="0"/>
      <w:marTop w:val="0"/>
      <w:marBottom w:val="0"/>
      <w:divBdr>
        <w:top w:val="none" w:sz="0" w:space="0" w:color="auto"/>
        <w:left w:val="none" w:sz="0" w:space="0" w:color="auto"/>
        <w:bottom w:val="none" w:sz="0" w:space="0" w:color="auto"/>
        <w:right w:val="none" w:sz="0" w:space="0" w:color="auto"/>
      </w:divBdr>
      <w:divsChild>
        <w:div w:id="317618581">
          <w:marLeft w:val="0"/>
          <w:marRight w:val="0"/>
          <w:marTop w:val="0"/>
          <w:marBottom w:val="0"/>
          <w:divBdr>
            <w:top w:val="none" w:sz="0" w:space="0" w:color="auto"/>
            <w:left w:val="none" w:sz="0" w:space="0" w:color="auto"/>
            <w:bottom w:val="none" w:sz="0" w:space="0" w:color="auto"/>
            <w:right w:val="none" w:sz="0" w:space="0" w:color="auto"/>
          </w:divBdr>
          <w:divsChild>
            <w:div w:id="77098974">
              <w:marLeft w:val="0"/>
              <w:marRight w:val="0"/>
              <w:marTop w:val="0"/>
              <w:marBottom w:val="0"/>
              <w:divBdr>
                <w:top w:val="none" w:sz="0" w:space="0" w:color="auto"/>
                <w:left w:val="none" w:sz="0" w:space="0" w:color="auto"/>
                <w:bottom w:val="none" w:sz="0" w:space="0" w:color="auto"/>
                <w:right w:val="none" w:sz="0" w:space="0" w:color="auto"/>
              </w:divBdr>
            </w:div>
            <w:div w:id="229578963">
              <w:marLeft w:val="0"/>
              <w:marRight w:val="0"/>
              <w:marTop w:val="0"/>
              <w:marBottom w:val="0"/>
              <w:divBdr>
                <w:top w:val="none" w:sz="0" w:space="0" w:color="auto"/>
                <w:left w:val="none" w:sz="0" w:space="0" w:color="auto"/>
                <w:bottom w:val="none" w:sz="0" w:space="0" w:color="auto"/>
                <w:right w:val="none" w:sz="0" w:space="0" w:color="auto"/>
              </w:divBdr>
            </w:div>
            <w:div w:id="824857672">
              <w:marLeft w:val="0"/>
              <w:marRight w:val="0"/>
              <w:marTop w:val="0"/>
              <w:marBottom w:val="0"/>
              <w:divBdr>
                <w:top w:val="none" w:sz="0" w:space="0" w:color="auto"/>
                <w:left w:val="none" w:sz="0" w:space="0" w:color="auto"/>
                <w:bottom w:val="none" w:sz="0" w:space="0" w:color="auto"/>
                <w:right w:val="none" w:sz="0" w:space="0" w:color="auto"/>
              </w:divBdr>
            </w:div>
            <w:div w:id="1606420955">
              <w:marLeft w:val="0"/>
              <w:marRight w:val="0"/>
              <w:marTop w:val="0"/>
              <w:marBottom w:val="0"/>
              <w:divBdr>
                <w:top w:val="none" w:sz="0" w:space="0" w:color="auto"/>
                <w:left w:val="none" w:sz="0" w:space="0" w:color="auto"/>
                <w:bottom w:val="none" w:sz="0" w:space="0" w:color="auto"/>
                <w:right w:val="none" w:sz="0" w:space="0" w:color="auto"/>
              </w:divBdr>
            </w:div>
            <w:div w:id="18910692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21125907">
      <w:bodyDiv w:val="1"/>
      <w:marLeft w:val="0"/>
      <w:marRight w:val="0"/>
      <w:marTop w:val="0"/>
      <w:marBottom w:val="0"/>
      <w:divBdr>
        <w:top w:val="none" w:sz="0" w:space="0" w:color="auto"/>
        <w:left w:val="none" w:sz="0" w:space="0" w:color="auto"/>
        <w:bottom w:val="none" w:sz="0" w:space="0" w:color="auto"/>
        <w:right w:val="none" w:sz="0" w:space="0" w:color="auto"/>
      </w:divBdr>
      <w:divsChild>
        <w:div w:id="372850345">
          <w:marLeft w:val="0"/>
          <w:marRight w:val="0"/>
          <w:marTop w:val="0"/>
          <w:marBottom w:val="0"/>
          <w:divBdr>
            <w:top w:val="none" w:sz="0" w:space="0" w:color="auto"/>
            <w:left w:val="none" w:sz="0" w:space="0" w:color="auto"/>
            <w:bottom w:val="none" w:sz="0" w:space="0" w:color="auto"/>
            <w:right w:val="none" w:sz="0" w:space="0" w:color="auto"/>
          </w:divBdr>
          <w:divsChild>
            <w:div w:id="824466759">
              <w:marLeft w:val="0"/>
              <w:marRight w:val="0"/>
              <w:marTop w:val="0"/>
              <w:marBottom w:val="0"/>
              <w:divBdr>
                <w:top w:val="none" w:sz="0" w:space="0" w:color="auto"/>
                <w:left w:val="none" w:sz="0" w:space="0" w:color="auto"/>
                <w:bottom w:val="none" w:sz="0" w:space="0" w:color="auto"/>
                <w:right w:val="none" w:sz="0" w:space="0" w:color="auto"/>
              </w:divBdr>
            </w:div>
            <w:div w:id="16605788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21782142">
      <w:bodyDiv w:val="1"/>
      <w:marLeft w:val="0"/>
      <w:marRight w:val="0"/>
      <w:marTop w:val="0"/>
      <w:marBottom w:val="0"/>
      <w:divBdr>
        <w:top w:val="none" w:sz="0" w:space="0" w:color="auto"/>
        <w:left w:val="none" w:sz="0" w:space="0" w:color="auto"/>
        <w:bottom w:val="none" w:sz="0" w:space="0" w:color="auto"/>
        <w:right w:val="none" w:sz="0" w:space="0" w:color="auto"/>
      </w:divBdr>
    </w:div>
    <w:div w:id="1722090104">
      <w:bodyDiv w:val="1"/>
      <w:marLeft w:val="0"/>
      <w:marRight w:val="0"/>
      <w:marTop w:val="0"/>
      <w:marBottom w:val="0"/>
      <w:divBdr>
        <w:top w:val="none" w:sz="0" w:space="0" w:color="auto"/>
        <w:left w:val="none" w:sz="0" w:space="0" w:color="auto"/>
        <w:bottom w:val="none" w:sz="0" w:space="0" w:color="auto"/>
        <w:right w:val="none" w:sz="0" w:space="0" w:color="auto"/>
      </w:divBdr>
    </w:div>
    <w:div w:id="1722483730">
      <w:bodyDiv w:val="1"/>
      <w:marLeft w:val="0"/>
      <w:marRight w:val="0"/>
      <w:marTop w:val="0"/>
      <w:marBottom w:val="0"/>
      <w:divBdr>
        <w:top w:val="none" w:sz="0" w:space="0" w:color="auto"/>
        <w:left w:val="none" w:sz="0" w:space="0" w:color="auto"/>
        <w:bottom w:val="none" w:sz="0" w:space="0" w:color="auto"/>
        <w:right w:val="none" w:sz="0" w:space="0" w:color="auto"/>
      </w:divBdr>
    </w:div>
    <w:div w:id="1723165412">
      <w:bodyDiv w:val="1"/>
      <w:marLeft w:val="0"/>
      <w:marRight w:val="0"/>
      <w:marTop w:val="0"/>
      <w:marBottom w:val="0"/>
      <w:divBdr>
        <w:top w:val="none" w:sz="0" w:space="0" w:color="auto"/>
        <w:left w:val="none" w:sz="0" w:space="0" w:color="auto"/>
        <w:bottom w:val="none" w:sz="0" w:space="0" w:color="auto"/>
        <w:right w:val="none" w:sz="0" w:space="0" w:color="auto"/>
      </w:divBdr>
    </w:div>
    <w:div w:id="1723366072">
      <w:bodyDiv w:val="1"/>
      <w:marLeft w:val="0"/>
      <w:marRight w:val="0"/>
      <w:marTop w:val="0"/>
      <w:marBottom w:val="0"/>
      <w:divBdr>
        <w:top w:val="none" w:sz="0" w:space="0" w:color="auto"/>
        <w:left w:val="none" w:sz="0" w:space="0" w:color="auto"/>
        <w:bottom w:val="none" w:sz="0" w:space="0" w:color="auto"/>
        <w:right w:val="none" w:sz="0" w:space="0" w:color="auto"/>
      </w:divBdr>
    </w:div>
    <w:div w:id="1723628462">
      <w:bodyDiv w:val="1"/>
      <w:marLeft w:val="0"/>
      <w:marRight w:val="0"/>
      <w:marTop w:val="0"/>
      <w:marBottom w:val="0"/>
      <w:divBdr>
        <w:top w:val="none" w:sz="0" w:space="0" w:color="auto"/>
        <w:left w:val="none" w:sz="0" w:space="0" w:color="auto"/>
        <w:bottom w:val="none" w:sz="0" w:space="0" w:color="auto"/>
        <w:right w:val="none" w:sz="0" w:space="0" w:color="auto"/>
      </w:divBdr>
    </w:div>
    <w:div w:id="1724715845">
      <w:bodyDiv w:val="1"/>
      <w:marLeft w:val="0"/>
      <w:marRight w:val="0"/>
      <w:marTop w:val="0"/>
      <w:marBottom w:val="0"/>
      <w:divBdr>
        <w:top w:val="none" w:sz="0" w:space="0" w:color="auto"/>
        <w:left w:val="none" w:sz="0" w:space="0" w:color="auto"/>
        <w:bottom w:val="none" w:sz="0" w:space="0" w:color="auto"/>
        <w:right w:val="none" w:sz="0" w:space="0" w:color="auto"/>
      </w:divBdr>
    </w:div>
    <w:div w:id="1725132054">
      <w:bodyDiv w:val="1"/>
      <w:marLeft w:val="0"/>
      <w:marRight w:val="0"/>
      <w:marTop w:val="0"/>
      <w:marBottom w:val="0"/>
      <w:divBdr>
        <w:top w:val="none" w:sz="0" w:space="0" w:color="auto"/>
        <w:left w:val="none" w:sz="0" w:space="0" w:color="auto"/>
        <w:bottom w:val="none" w:sz="0" w:space="0" w:color="auto"/>
        <w:right w:val="none" w:sz="0" w:space="0" w:color="auto"/>
      </w:divBdr>
    </w:div>
    <w:div w:id="1725134813">
      <w:bodyDiv w:val="1"/>
      <w:marLeft w:val="0"/>
      <w:marRight w:val="0"/>
      <w:marTop w:val="0"/>
      <w:marBottom w:val="0"/>
      <w:divBdr>
        <w:top w:val="none" w:sz="0" w:space="0" w:color="auto"/>
        <w:left w:val="none" w:sz="0" w:space="0" w:color="auto"/>
        <w:bottom w:val="none" w:sz="0" w:space="0" w:color="auto"/>
        <w:right w:val="none" w:sz="0" w:space="0" w:color="auto"/>
      </w:divBdr>
    </w:div>
    <w:div w:id="1725985798">
      <w:bodyDiv w:val="1"/>
      <w:marLeft w:val="0"/>
      <w:marRight w:val="0"/>
      <w:marTop w:val="0"/>
      <w:marBottom w:val="0"/>
      <w:divBdr>
        <w:top w:val="none" w:sz="0" w:space="0" w:color="auto"/>
        <w:left w:val="none" w:sz="0" w:space="0" w:color="auto"/>
        <w:bottom w:val="none" w:sz="0" w:space="0" w:color="auto"/>
        <w:right w:val="none" w:sz="0" w:space="0" w:color="auto"/>
      </w:divBdr>
    </w:div>
    <w:div w:id="1726643596">
      <w:bodyDiv w:val="1"/>
      <w:marLeft w:val="0"/>
      <w:marRight w:val="0"/>
      <w:marTop w:val="0"/>
      <w:marBottom w:val="0"/>
      <w:divBdr>
        <w:top w:val="none" w:sz="0" w:space="0" w:color="auto"/>
        <w:left w:val="none" w:sz="0" w:space="0" w:color="auto"/>
        <w:bottom w:val="none" w:sz="0" w:space="0" w:color="auto"/>
        <w:right w:val="none" w:sz="0" w:space="0" w:color="auto"/>
      </w:divBdr>
    </w:div>
    <w:div w:id="1727215151">
      <w:bodyDiv w:val="1"/>
      <w:marLeft w:val="0"/>
      <w:marRight w:val="0"/>
      <w:marTop w:val="0"/>
      <w:marBottom w:val="0"/>
      <w:divBdr>
        <w:top w:val="none" w:sz="0" w:space="0" w:color="auto"/>
        <w:left w:val="none" w:sz="0" w:space="0" w:color="auto"/>
        <w:bottom w:val="none" w:sz="0" w:space="0" w:color="auto"/>
        <w:right w:val="none" w:sz="0" w:space="0" w:color="auto"/>
      </w:divBdr>
    </w:div>
    <w:div w:id="1727220288">
      <w:bodyDiv w:val="1"/>
      <w:marLeft w:val="0"/>
      <w:marRight w:val="0"/>
      <w:marTop w:val="0"/>
      <w:marBottom w:val="0"/>
      <w:divBdr>
        <w:top w:val="none" w:sz="0" w:space="0" w:color="auto"/>
        <w:left w:val="none" w:sz="0" w:space="0" w:color="auto"/>
        <w:bottom w:val="none" w:sz="0" w:space="0" w:color="auto"/>
        <w:right w:val="none" w:sz="0" w:space="0" w:color="auto"/>
      </w:divBdr>
    </w:div>
    <w:div w:id="1727485103">
      <w:bodyDiv w:val="1"/>
      <w:marLeft w:val="0"/>
      <w:marRight w:val="0"/>
      <w:marTop w:val="0"/>
      <w:marBottom w:val="0"/>
      <w:divBdr>
        <w:top w:val="none" w:sz="0" w:space="0" w:color="auto"/>
        <w:left w:val="none" w:sz="0" w:space="0" w:color="auto"/>
        <w:bottom w:val="none" w:sz="0" w:space="0" w:color="auto"/>
        <w:right w:val="none" w:sz="0" w:space="0" w:color="auto"/>
      </w:divBdr>
    </w:div>
    <w:div w:id="1727870372">
      <w:bodyDiv w:val="1"/>
      <w:marLeft w:val="0"/>
      <w:marRight w:val="0"/>
      <w:marTop w:val="0"/>
      <w:marBottom w:val="0"/>
      <w:divBdr>
        <w:top w:val="none" w:sz="0" w:space="0" w:color="auto"/>
        <w:left w:val="none" w:sz="0" w:space="0" w:color="auto"/>
        <w:bottom w:val="none" w:sz="0" w:space="0" w:color="auto"/>
        <w:right w:val="none" w:sz="0" w:space="0" w:color="auto"/>
      </w:divBdr>
      <w:divsChild>
        <w:div w:id="972751764">
          <w:marLeft w:val="547"/>
          <w:marRight w:val="0"/>
          <w:marTop w:val="115"/>
          <w:marBottom w:val="0"/>
          <w:divBdr>
            <w:top w:val="none" w:sz="0" w:space="0" w:color="auto"/>
            <w:left w:val="none" w:sz="0" w:space="0" w:color="auto"/>
            <w:bottom w:val="none" w:sz="0" w:space="0" w:color="auto"/>
            <w:right w:val="none" w:sz="0" w:space="0" w:color="auto"/>
          </w:divBdr>
        </w:div>
        <w:div w:id="1314530746">
          <w:marLeft w:val="547"/>
          <w:marRight w:val="0"/>
          <w:marTop w:val="115"/>
          <w:marBottom w:val="0"/>
          <w:divBdr>
            <w:top w:val="none" w:sz="0" w:space="0" w:color="auto"/>
            <w:left w:val="none" w:sz="0" w:space="0" w:color="auto"/>
            <w:bottom w:val="none" w:sz="0" w:space="0" w:color="auto"/>
            <w:right w:val="none" w:sz="0" w:space="0" w:color="auto"/>
          </w:divBdr>
        </w:div>
        <w:div w:id="1580098196">
          <w:marLeft w:val="720"/>
          <w:marRight w:val="0"/>
          <w:marTop w:val="96"/>
          <w:marBottom w:val="0"/>
          <w:divBdr>
            <w:top w:val="none" w:sz="0" w:space="0" w:color="auto"/>
            <w:left w:val="none" w:sz="0" w:space="0" w:color="auto"/>
            <w:bottom w:val="none" w:sz="0" w:space="0" w:color="auto"/>
            <w:right w:val="none" w:sz="0" w:space="0" w:color="auto"/>
          </w:divBdr>
        </w:div>
      </w:divsChild>
    </w:div>
    <w:div w:id="1728451999">
      <w:bodyDiv w:val="1"/>
      <w:marLeft w:val="0"/>
      <w:marRight w:val="0"/>
      <w:marTop w:val="0"/>
      <w:marBottom w:val="0"/>
      <w:divBdr>
        <w:top w:val="none" w:sz="0" w:space="0" w:color="auto"/>
        <w:left w:val="none" w:sz="0" w:space="0" w:color="auto"/>
        <w:bottom w:val="none" w:sz="0" w:space="0" w:color="auto"/>
        <w:right w:val="none" w:sz="0" w:space="0" w:color="auto"/>
      </w:divBdr>
    </w:div>
    <w:div w:id="1729720179">
      <w:bodyDiv w:val="1"/>
      <w:marLeft w:val="0"/>
      <w:marRight w:val="0"/>
      <w:marTop w:val="0"/>
      <w:marBottom w:val="0"/>
      <w:divBdr>
        <w:top w:val="none" w:sz="0" w:space="0" w:color="auto"/>
        <w:left w:val="none" w:sz="0" w:space="0" w:color="auto"/>
        <w:bottom w:val="none" w:sz="0" w:space="0" w:color="auto"/>
        <w:right w:val="none" w:sz="0" w:space="0" w:color="auto"/>
      </w:divBdr>
    </w:div>
    <w:div w:id="1729838764">
      <w:bodyDiv w:val="1"/>
      <w:marLeft w:val="0"/>
      <w:marRight w:val="0"/>
      <w:marTop w:val="0"/>
      <w:marBottom w:val="0"/>
      <w:divBdr>
        <w:top w:val="none" w:sz="0" w:space="0" w:color="auto"/>
        <w:left w:val="none" w:sz="0" w:space="0" w:color="auto"/>
        <w:bottom w:val="none" w:sz="0" w:space="0" w:color="auto"/>
        <w:right w:val="none" w:sz="0" w:space="0" w:color="auto"/>
      </w:divBdr>
    </w:div>
    <w:div w:id="1730106658">
      <w:bodyDiv w:val="1"/>
      <w:marLeft w:val="0"/>
      <w:marRight w:val="0"/>
      <w:marTop w:val="0"/>
      <w:marBottom w:val="0"/>
      <w:divBdr>
        <w:top w:val="none" w:sz="0" w:space="0" w:color="auto"/>
        <w:left w:val="none" w:sz="0" w:space="0" w:color="auto"/>
        <w:bottom w:val="none" w:sz="0" w:space="0" w:color="auto"/>
        <w:right w:val="none" w:sz="0" w:space="0" w:color="auto"/>
      </w:divBdr>
      <w:divsChild>
        <w:div w:id="1292055891">
          <w:marLeft w:val="547"/>
          <w:marRight w:val="0"/>
          <w:marTop w:val="154"/>
          <w:marBottom w:val="0"/>
          <w:divBdr>
            <w:top w:val="none" w:sz="0" w:space="0" w:color="auto"/>
            <w:left w:val="none" w:sz="0" w:space="0" w:color="auto"/>
            <w:bottom w:val="none" w:sz="0" w:space="0" w:color="auto"/>
            <w:right w:val="none" w:sz="0" w:space="0" w:color="auto"/>
          </w:divBdr>
        </w:div>
        <w:div w:id="1552233057">
          <w:marLeft w:val="1166"/>
          <w:marRight w:val="0"/>
          <w:marTop w:val="134"/>
          <w:marBottom w:val="0"/>
          <w:divBdr>
            <w:top w:val="none" w:sz="0" w:space="0" w:color="auto"/>
            <w:left w:val="none" w:sz="0" w:space="0" w:color="auto"/>
            <w:bottom w:val="none" w:sz="0" w:space="0" w:color="auto"/>
            <w:right w:val="none" w:sz="0" w:space="0" w:color="auto"/>
          </w:divBdr>
        </w:div>
        <w:div w:id="1573419848">
          <w:marLeft w:val="1800"/>
          <w:marRight w:val="0"/>
          <w:marTop w:val="115"/>
          <w:marBottom w:val="0"/>
          <w:divBdr>
            <w:top w:val="none" w:sz="0" w:space="0" w:color="auto"/>
            <w:left w:val="none" w:sz="0" w:space="0" w:color="auto"/>
            <w:bottom w:val="none" w:sz="0" w:space="0" w:color="auto"/>
            <w:right w:val="none" w:sz="0" w:space="0" w:color="auto"/>
          </w:divBdr>
        </w:div>
        <w:div w:id="1658148622">
          <w:marLeft w:val="1166"/>
          <w:marRight w:val="0"/>
          <w:marTop w:val="134"/>
          <w:marBottom w:val="0"/>
          <w:divBdr>
            <w:top w:val="none" w:sz="0" w:space="0" w:color="auto"/>
            <w:left w:val="none" w:sz="0" w:space="0" w:color="auto"/>
            <w:bottom w:val="none" w:sz="0" w:space="0" w:color="auto"/>
            <w:right w:val="none" w:sz="0" w:space="0" w:color="auto"/>
          </w:divBdr>
        </w:div>
      </w:divsChild>
    </w:div>
    <w:div w:id="1730768929">
      <w:bodyDiv w:val="1"/>
      <w:marLeft w:val="0"/>
      <w:marRight w:val="0"/>
      <w:marTop w:val="0"/>
      <w:marBottom w:val="0"/>
      <w:divBdr>
        <w:top w:val="none" w:sz="0" w:space="0" w:color="auto"/>
        <w:left w:val="none" w:sz="0" w:space="0" w:color="auto"/>
        <w:bottom w:val="none" w:sz="0" w:space="0" w:color="auto"/>
        <w:right w:val="none" w:sz="0" w:space="0" w:color="auto"/>
      </w:divBdr>
      <w:divsChild>
        <w:div w:id="454829702">
          <w:marLeft w:val="0"/>
          <w:marRight w:val="0"/>
          <w:marTop w:val="0"/>
          <w:marBottom w:val="0"/>
          <w:divBdr>
            <w:top w:val="none" w:sz="0" w:space="0" w:color="auto"/>
            <w:left w:val="none" w:sz="0" w:space="0" w:color="auto"/>
            <w:bottom w:val="none" w:sz="0" w:space="0" w:color="auto"/>
            <w:right w:val="none" w:sz="0" w:space="0" w:color="auto"/>
          </w:divBdr>
        </w:div>
      </w:divsChild>
    </w:div>
    <w:div w:id="1732579171">
      <w:bodyDiv w:val="1"/>
      <w:marLeft w:val="0"/>
      <w:marRight w:val="0"/>
      <w:marTop w:val="0"/>
      <w:marBottom w:val="0"/>
      <w:divBdr>
        <w:top w:val="none" w:sz="0" w:space="0" w:color="auto"/>
        <w:left w:val="none" w:sz="0" w:space="0" w:color="auto"/>
        <w:bottom w:val="none" w:sz="0" w:space="0" w:color="auto"/>
        <w:right w:val="none" w:sz="0" w:space="0" w:color="auto"/>
      </w:divBdr>
    </w:div>
    <w:div w:id="1732656329">
      <w:bodyDiv w:val="1"/>
      <w:marLeft w:val="0"/>
      <w:marRight w:val="0"/>
      <w:marTop w:val="0"/>
      <w:marBottom w:val="0"/>
      <w:divBdr>
        <w:top w:val="none" w:sz="0" w:space="0" w:color="auto"/>
        <w:left w:val="none" w:sz="0" w:space="0" w:color="auto"/>
        <w:bottom w:val="none" w:sz="0" w:space="0" w:color="auto"/>
        <w:right w:val="none" w:sz="0" w:space="0" w:color="auto"/>
      </w:divBdr>
    </w:div>
    <w:div w:id="1734543703">
      <w:bodyDiv w:val="1"/>
      <w:marLeft w:val="0"/>
      <w:marRight w:val="0"/>
      <w:marTop w:val="0"/>
      <w:marBottom w:val="0"/>
      <w:divBdr>
        <w:top w:val="none" w:sz="0" w:space="0" w:color="auto"/>
        <w:left w:val="none" w:sz="0" w:space="0" w:color="auto"/>
        <w:bottom w:val="none" w:sz="0" w:space="0" w:color="auto"/>
        <w:right w:val="none" w:sz="0" w:space="0" w:color="auto"/>
      </w:divBdr>
    </w:div>
    <w:div w:id="1734769922">
      <w:bodyDiv w:val="1"/>
      <w:marLeft w:val="0"/>
      <w:marRight w:val="0"/>
      <w:marTop w:val="0"/>
      <w:marBottom w:val="0"/>
      <w:divBdr>
        <w:top w:val="none" w:sz="0" w:space="0" w:color="auto"/>
        <w:left w:val="none" w:sz="0" w:space="0" w:color="auto"/>
        <w:bottom w:val="none" w:sz="0" w:space="0" w:color="auto"/>
        <w:right w:val="none" w:sz="0" w:space="0" w:color="auto"/>
      </w:divBdr>
    </w:div>
    <w:div w:id="1735617895">
      <w:bodyDiv w:val="1"/>
      <w:marLeft w:val="0"/>
      <w:marRight w:val="0"/>
      <w:marTop w:val="0"/>
      <w:marBottom w:val="0"/>
      <w:divBdr>
        <w:top w:val="none" w:sz="0" w:space="0" w:color="auto"/>
        <w:left w:val="none" w:sz="0" w:space="0" w:color="auto"/>
        <w:bottom w:val="none" w:sz="0" w:space="0" w:color="auto"/>
        <w:right w:val="none" w:sz="0" w:space="0" w:color="auto"/>
      </w:divBdr>
    </w:div>
    <w:div w:id="1736392411">
      <w:bodyDiv w:val="1"/>
      <w:marLeft w:val="0"/>
      <w:marRight w:val="0"/>
      <w:marTop w:val="0"/>
      <w:marBottom w:val="0"/>
      <w:divBdr>
        <w:top w:val="none" w:sz="0" w:space="0" w:color="auto"/>
        <w:left w:val="none" w:sz="0" w:space="0" w:color="auto"/>
        <w:bottom w:val="none" w:sz="0" w:space="0" w:color="auto"/>
        <w:right w:val="none" w:sz="0" w:space="0" w:color="auto"/>
      </w:divBdr>
    </w:div>
    <w:div w:id="1736900719">
      <w:bodyDiv w:val="1"/>
      <w:marLeft w:val="0"/>
      <w:marRight w:val="0"/>
      <w:marTop w:val="0"/>
      <w:marBottom w:val="0"/>
      <w:divBdr>
        <w:top w:val="none" w:sz="0" w:space="0" w:color="auto"/>
        <w:left w:val="none" w:sz="0" w:space="0" w:color="auto"/>
        <w:bottom w:val="none" w:sz="0" w:space="0" w:color="auto"/>
        <w:right w:val="none" w:sz="0" w:space="0" w:color="auto"/>
      </w:divBdr>
    </w:div>
    <w:div w:id="1737314950">
      <w:bodyDiv w:val="1"/>
      <w:marLeft w:val="0"/>
      <w:marRight w:val="0"/>
      <w:marTop w:val="0"/>
      <w:marBottom w:val="0"/>
      <w:divBdr>
        <w:top w:val="none" w:sz="0" w:space="0" w:color="auto"/>
        <w:left w:val="none" w:sz="0" w:space="0" w:color="auto"/>
        <w:bottom w:val="none" w:sz="0" w:space="0" w:color="auto"/>
        <w:right w:val="none" w:sz="0" w:space="0" w:color="auto"/>
      </w:divBdr>
    </w:div>
    <w:div w:id="1737433749">
      <w:bodyDiv w:val="1"/>
      <w:marLeft w:val="0"/>
      <w:marRight w:val="0"/>
      <w:marTop w:val="0"/>
      <w:marBottom w:val="0"/>
      <w:divBdr>
        <w:top w:val="none" w:sz="0" w:space="0" w:color="auto"/>
        <w:left w:val="none" w:sz="0" w:space="0" w:color="auto"/>
        <w:bottom w:val="none" w:sz="0" w:space="0" w:color="auto"/>
        <w:right w:val="none" w:sz="0" w:space="0" w:color="auto"/>
      </w:divBdr>
    </w:div>
    <w:div w:id="1737508447">
      <w:bodyDiv w:val="1"/>
      <w:marLeft w:val="0"/>
      <w:marRight w:val="0"/>
      <w:marTop w:val="0"/>
      <w:marBottom w:val="0"/>
      <w:divBdr>
        <w:top w:val="none" w:sz="0" w:space="0" w:color="auto"/>
        <w:left w:val="none" w:sz="0" w:space="0" w:color="auto"/>
        <w:bottom w:val="none" w:sz="0" w:space="0" w:color="auto"/>
        <w:right w:val="none" w:sz="0" w:space="0" w:color="auto"/>
      </w:divBdr>
      <w:divsChild>
        <w:div w:id="148833307">
          <w:marLeft w:val="1800"/>
          <w:marRight w:val="0"/>
          <w:marTop w:val="86"/>
          <w:marBottom w:val="0"/>
          <w:divBdr>
            <w:top w:val="none" w:sz="0" w:space="0" w:color="auto"/>
            <w:left w:val="none" w:sz="0" w:space="0" w:color="auto"/>
            <w:bottom w:val="none" w:sz="0" w:space="0" w:color="auto"/>
            <w:right w:val="none" w:sz="0" w:space="0" w:color="auto"/>
          </w:divBdr>
        </w:div>
        <w:div w:id="1007633586">
          <w:marLeft w:val="547"/>
          <w:marRight w:val="0"/>
          <w:marTop w:val="115"/>
          <w:marBottom w:val="0"/>
          <w:divBdr>
            <w:top w:val="none" w:sz="0" w:space="0" w:color="auto"/>
            <w:left w:val="none" w:sz="0" w:space="0" w:color="auto"/>
            <w:bottom w:val="none" w:sz="0" w:space="0" w:color="auto"/>
            <w:right w:val="none" w:sz="0" w:space="0" w:color="auto"/>
          </w:divBdr>
        </w:div>
        <w:div w:id="1476603652">
          <w:marLeft w:val="1800"/>
          <w:marRight w:val="0"/>
          <w:marTop w:val="86"/>
          <w:marBottom w:val="0"/>
          <w:divBdr>
            <w:top w:val="none" w:sz="0" w:space="0" w:color="auto"/>
            <w:left w:val="none" w:sz="0" w:space="0" w:color="auto"/>
            <w:bottom w:val="none" w:sz="0" w:space="0" w:color="auto"/>
            <w:right w:val="none" w:sz="0" w:space="0" w:color="auto"/>
          </w:divBdr>
        </w:div>
        <w:div w:id="1568493774">
          <w:marLeft w:val="1166"/>
          <w:marRight w:val="0"/>
          <w:marTop w:val="96"/>
          <w:marBottom w:val="0"/>
          <w:divBdr>
            <w:top w:val="none" w:sz="0" w:space="0" w:color="auto"/>
            <w:left w:val="none" w:sz="0" w:space="0" w:color="auto"/>
            <w:bottom w:val="none" w:sz="0" w:space="0" w:color="auto"/>
            <w:right w:val="none" w:sz="0" w:space="0" w:color="auto"/>
          </w:divBdr>
        </w:div>
        <w:div w:id="1751924766">
          <w:marLeft w:val="547"/>
          <w:marRight w:val="0"/>
          <w:marTop w:val="115"/>
          <w:marBottom w:val="0"/>
          <w:divBdr>
            <w:top w:val="none" w:sz="0" w:space="0" w:color="auto"/>
            <w:left w:val="none" w:sz="0" w:space="0" w:color="auto"/>
            <w:bottom w:val="none" w:sz="0" w:space="0" w:color="auto"/>
            <w:right w:val="none" w:sz="0" w:space="0" w:color="auto"/>
          </w:divBdr>
        </w:div>
        <w:div w:id="2003199571">
          <w:marLeft w:val="1166"/>
          <w:marRight w:val="0"/>
          <w:marTop w:val="106"/>
          <w:marBottom w:val="0"/>
          <w:divBdr>
            <w:top w:val="none" w:sz="0" w:space="0" w:color="auto"/>
            <w:left w:val="none" w:sz="0" w:space="0" w:color="auto"/>
            <w:bottom w:val="none" w:sz="0" w:space="0" w:color="auto"/>
            <w:right w:val="none" w:sz="0" w:space="0" w:color="auto"/>
          </w:divBdr>
        </w:div>
        <w:div w:id="2123066049">
          <w:marLeft w:val="1800"/>
          <w:marRight w:val="0"/>
          <w:marTop w:val="86"/>
          <w:marBottom w:val="0"/>
          <w:divBdr>
            <w:top w:val="none" w:sz="0" w:space="0" w:color="auto"/>
            <w:left w:val="none" w:sz="0" w:space="0" w:color="auto"/>
            <w:bottom w:val="none" w:sz="0" w:space="0" w:color="auto"/>
            <w:right w:val="none" w:sz="0" w:space="0" w:color="auto"/>
          </w:divBdr>
        </w:div>
      </w:divsChild>
    </w:div>
    <w:div w:id="1737849923">
      <w:bodyDiv w:val="1"/>
      <w:marLeft w:val="0"/>
      <w:marRight w:val="0"/>
      <w:marTop w:val="0"/>
      <w:marBottom w:val="0"/>
      <w:divBdr>
        <w:top w:val="none" w:sz="0" w:space="0" w:color="auto"/>
        <w:left w:val="none" w:sz="0" w:space="0" w:color="auto"/>
        <w:bottom w:val="none" w:sz="0" w:space="0" w:color="auto"/>
        <w:right w:val="none" w:sz="0" w:space="0" w:color="auto"/>
      </w:divBdr>
      <w:divsChild>
        <w:div w:id="643967325">
          <w:marLeft w:val="1166"/>
          <w:marRight w:val="0"/>
          <w:marTop w:val="115"/>
          <w:marBottom w:val="0"/>
          <w:divBdr>
            <w:top w:val="none" w:sz="0" w:space="0" w:color="auto"/>
            <w:left w:val="none" w:sz="0" w:space="0" w:color="auto"/>
            <w:bottom w:val="none" w:sz="0" w:space="0" w:color="auto"/>
            <w:right w:val="none" w:sz="0" w:space="0" w:color="auto"/>
          </w:divBdr>
        </w:div>
        <w:div w:id="1533499087">
          <w:marLeft w:val="1166"/>
          <w:marRight w:val="0"/>
          <w:marTop w:val="115"/>
          <w:marBottom w:val="0"/>
          <w:divBdr>
            <w:top w:val="none" w:sz="0" w:space="0" w:color="auto"/>
            <w:left w:val="none" w:sz="0" w:space="0" w:color="auto"/>
            <w:bottom w:val="none" w:sz="0" w:space="0" w:color="auto"/>
            <w:right w:val="none" w:sz="0" w:space="0" w:color="auto"/>
          </w:divBdr>
        </w:div>
        <w:div w:id="1805542322">
          <w:marLeft w:val="547"/>
          <w:marRight w:val="0"/>
          <w:marTop w:val="154"/>
          <w:marBottom w:val="0"/>
          <w:divBdr>
            <w:top w:val="none" w:sz="0" w:space="0" w:color="auto"/>
            <w:left w:val="none" w:sz="0" w:space="0" w:color="auto"/>
            <w:bottom w:val="none" w:sz="0" w:space="0" w:color="auto"/>
            <w:right w:val="none" w:sz="0" w:space="0" w:color="auto"/>
          </w:divBdr>
        </w:div>
      </w:divsChild>
    </w:div>
    <w:div w:id="1738362493">
      <w:bodyDiv w:val="1"/>
      <w:marLeft w:val="0"/>
      <w:marRight w:val="0"/>
      <w:marTop w:val="0"/>
      <w:marBottom w:val="0"/>
      <w:divBdr>
        <w:top w:val="none" w:sz="0" w:space="0" w:color="auto"/>
        <w:left w:val="none" w:sz="0" w:space="0" w:color="auto"/>
        <w:bottom w:val="none" w:sz="0" w:space="0" w:color="auto"/>
        <w:right w:val="none" w:sz="0" w:space="0" w:color="auto"/>
      </w:divBdr>
    </w:div>
    <w:div w:id="1739670821">
      <w:bodyDiv w:val="1"/>
      <w:marLeft w:val="0"/>
      <w:marRight w:val="0"/>
      <w:marTop w:val="0"/>
      <w:marBottom w:val="0"/>
      <w:divBdr>
        <w:top w:val="none" w:sz="0" w:space="0" w:color="auto"/>
        <w:left w:val="none" w:sz="0" w:space="0" w:color="auto"/>
        <w:bottom w:val="none" w:sz="0" w:space="0" w:color="auto"/>
        <w:right w:val="none" w:sz="0" w:space="0" w:color="auto"/>
      </w:divBdr>
    </w:div>
    <w:div w:id="1740057889">
      <w:bodyDiv w:val="1"/>
      <w:marLeft w:val="0"/>
      <w:marRight w:val="0"/>
      <w:marTop w:val="0"/>
      <w:marBottom w:val="0"/>
      <w:divBdr>
        <w:top w:val="none" w:sz="0" w:space="0" w:color="auto"/>
        <w:left w:val="none" w:sz="0" w:space="0" w:color="auto"/>
        <w:bottom w:val="none" w:sz="0" w:space="0" w:color="auto"/>
        <w:right w:val="none" w:sz="0" w:space="0" w:color="auto"/>
      </w:divBdr>
    </w:div>
    <w:div w:id="1740976273">
      <w:bodyDiv w:val="1"/>
      <w:marLeft w:val="0"/>
      <w:marRight w:val="0"/>
      <w:marTop w:val="0"/>
      <w:marBottom w:val="0"/>
      <w:divBdr>
        <w:top w:val="none" w:sz="0" w:space="0" w:color="auto"/>
        <w:left w:val="none" w:sz="0" w:space="0" w:color="auto"/>
        <w:bottom w:val="none" w:sz="0" w:space="0" w:color="auto"/>
        <w:right w:val="none" w:sz="0" w:space="0" w:color="auto"/>
      </w:divBdr>
    </w:div>
    <w:div w:id="1741370509">
      <w:bodyDiv w:val="1"/>
      <w:marLeft w:val="0"/>
      <w:marRight w:val="0"/>
      <w:marTop w:val="0"/>
      <w:marBottom w:val="0"/>
      <w:divBdr>
        <w:top w:val="none" w:sz="0" w:space="0" w:color="auto"/>
        <w:left w:val="none" w:sz="0" w:space="0" w:color="auto"/>
        <w:bottom w:val="none" w:sz="0" w:space="0" w:color="auto"/>
        <w:right w:val="none" w:sz="0" w:space="0" w:color="auto"/>
      </w:divBdr>
      <w:divsChild>
        <w:div w:id="44643637">
          <w:marLeft w:val="0"/>
          <w:marRight w:val="0"/>
          <w:marTop w:val="0"/>
          <w:marBottom w:val="0"/>
          <w:divBdr>
            <w:top w:val="none" w:sz="0" w:space="0" w:color="auto"/>
            <w:left w:val="none" w:sz="0" w:space="0" w:color="auto"/>
            <w:bottom w:val="none" w:sz="0" w:space="0" w:color="auto"/>
            <w:right w:val="none" w:sz="0" w:space="0" w:color="auto"/>
          </w:divBdr>
        </w:div>
        <w:div w:id="263419960">
          <w:marLeft w:val="0"/>
          <w:marRight w:val="0"/>
          <w:marTop w:val="0"/>
          <w:marBottom w:val="0"/>
          <w:divBdr>
            <w:top w:val="none" w:sz="0" w:space="0" w:color="auto"/>
            <w:left w:val="none" w:sz="0" w:space="0" w:color="auto"/>
            <w:bottom w:val="none" w:sz="0" w:space="0" w:color="auto"/>
            <w:right w:val="none" w:sz="0" w:space="0" w:color="auto"/>
          </w:divBdr>
        </w:div>
        <w:div w:id="325939085">
          <w:marLeft w:val="0"/>
          <w:marRight w:val="0"/>
          <w:marTop w:val="0"/>
          <w:marBottom w:val="0"/>
          <w:divBdr>
            <w:top w:val="none" w:sz="0" w:space="0" w:color="auto"/>
            <w:left w:val="none" w:sz="0" w:space="0" w:color="auto"/>
            <w:bottom w:val="none" w:sz="0" w:space="0" w:color="auto"/>
            <w:right w:val="none" w:sz="0" w:space="0" w:color="auto"/>
          </w:divBdr>
        </w:div>
        <w:div w:id="555362467">
          <w:marLeft w:val="0"/>
          <w:marRight w:val="0"/>
          <w:marTop w:val="0"/>
          <w:marBottom w:val="0"/>
          <w:divBdr>
            <w:top w:val="none" w:sz="0" w:space="0" w:color="auto"/>
            <w:left w:val="none" w:sz="0" w:space="0" w:color="auto"/>
            <w:bottom w:val="none" w:sz="0" w:space="0" w:color="auto"/>
            <w:right w:val="none" w:sz="0" w:space="0" w:color="auto"/>
          </w:divBdr>
        </w:div>
        <w:div w:id="996422732">
          <w:marLeft w:val="0"/>
          <w:marRight w:val="0"/>
          <w:marTop w:val="0"/>
          <w:marBottom w:val="0"/>
          <w:divBdr>
            <w:top w:val="none" w:sz="0" w:space="0" w:color="auto"/>
            <w:left w:val="none" w:sz="0" w:space="0" w:color="auto"/>
            <w:bottom w:val="none" w:sz="0" w:space="0" w:color="auto"/>
            <w:right w:val="none" w:sz="0" w:space="0" w:color="auto"/>
          </w:divBdr>
        </w:div>
        <w:div w:id="1493446712">
          <w:marLeft w:val="0"/>
          <w:marRight w:val="0"/>
          <w:marTop w:val="0"/>
          <w:marBottom w:val="0"/>
          <w:divBdr>
            <w:top w:val="none" w:sz="0" w:space="0" w:color="auto"/>
            <w:left w:val="none" w:sz="0" w:space="0" w:color="auto"/>
            <w:bottom w:val="none" w:sz="0" w:space="0" w:color="auto"/>
            <w:right w:val="none" w:sz="0" w:space="0" w:color="auto"/>
          </w:divBdr>
        </w:div>
        <w:div w:id="1736119355">
          <w:marLeft w:val="0"/>
          <w:marRight w:val="0"/>
          <w:marTop w:val="0"/>
          <w:marBottom w:val="0"/>
          <w:divBdr>
            <w:top w:val="none" w:sz="0" w:space="0" w:color="auto"/>
            <w:left w:val="none" w:sz="0" w:space="0" w:color="auto"/>
            <w:bottom w:val="none" w:sz="0" w:space="0" w:color="auto"/>
            <w:right w:val="none" w:sz="0" w:space="0" w:color="auto"/>
          </w:divBdr>
        </w:div>
      </w:divsChild>
    </w:div>
    <w:div w:id="1742219284">
      <w:bodyDiv w:val="1"/>
      <w:marLeft w:val="0"/>
      <w:marRight w:val="0"/>
      <w:marTop w:val="0"/>
      <w:marBottom w:val="0"/>
      <w:divBdr>
        <w:top w:val="none" w:sz="0" w:space="0" w:color="auto"/>
        <w:left w:val="none" w:sz="0" w:space="0" w:color="auto"/>
        <w:bottom w:val="none" w:sz="0" w:space="0" w:color="auto"/>
        <w:right w:val="none" w:sz="0" w:space="0" w:color="auto"/>
      </w:divBdr>
      <w:divsChild>
        <w:div w:id="565385636">
          <w:marLeft w:val="2520"/>
          <w:marRight w:val="0"/>
          <w:marTop w:val="180"/>
          <w:marBottom w:val="0"/>
          <w:divBdr>
            <w:top w:val="none" w:sz="0" w:space="0" w:color="auto"/>
            <w:left w:val="none" w:sz="0" w:space="0" w:color="auto"/>
            <w:bottom w:val="none" w:sz="0" w:space="0" w:color="auto"/>
            <w:right w:val="none" w:sz="0" w:space="0" w:color="auto"/>
          </w:divBdr>
        </w:div>
        <w:div w:id="1022130649">
          <w:marLeft w:val="547"/>
          <w:marRight w:val="0"/>
          <w:marTop w:val="180"/>
          <w:marBottom w:val="0"/>
          <w:divBdr>
            <w:top w:val="none" w:sz="0" w:space="0" w:color="auto"/>
            <w:left w:val="none" w:sz="0" w:space="0" w:color="auto"/>
            <w:bottom w:val="none" w:sz="0" w:space="0" w:color="auto"/>
            <w:right w:val="none" w:sz="0" w:space="0" w:color="auto"/>
          </w:divBdr>
        </w:div>
        <w:div w:id="1177306944">
          <w:marLeft w:val="1800"/>
          <w:marRight w:val="0"/>
          <w:marTop w:val="180"/>
          <w:marBottom w:val="0"/>
          <w:divBdr>
            <w:top w:val="none" w:sz="0" w:space="0" w:color="auto"/>
            <w:left w:val="none" w:sz="0" w:space="0" w:color="auto"/>
            <w:bottom w:val="none" w:sz="0" w:space="0" w:color="auto"/>
            <w:right w:val="none" w:sz="0" w:space="0" w:color="auto"/>
          </w:divBdr>
        </w:div>
        <w:div w:id="1182746605">
          <w:marLeft w:val="1166"/>
          <w:marRight w:val="0"/>
          <w:marTop w:val="180"/>
          <w:marBottom w:val="0"/>
          <w:divBdr>
            <w:top w:val="none" w:sz="0" w:space="0" w:color="auto"/>
            <w:left w:val="none" w:sz="0" w:space="0" w:color="auto"/>
            <w:bottom w:val="none" w:sz="0" w:space="0" w:color="auto"/>
            <w:right w:val="none" w:sz="0" w:space="0" w:color="auto"/>
          </w:divBdr>
        </w:div>
        <w:div w:id="1218083705">
          <w:marLeft w:val="1800"/>
          <w:marRight w:val="0"/>
          <w:marTop w:val="180"/>
          <w:marBottom w:val="0"/>
          <w:divBdr>
            <w:top w:val="none" w:sz="0" w:space="0" w:color="auto"/>
            <w:left w:val="none" w:sz="0" w:space="0" w:color="auto"/>
            <w:bottom w:val="none" w:sz="0" w:space="0" w:color="auto"/>
            <w:right w:val="none" w:sz="0" w:space="0" w:color="auto"/>
          </w:divBdr>
        </w:div>
        <w:div w:id="1758290120">
          <w:marLeft w:val="1800"/>
          <w:marRight w:val="0"/>
          <w:marTop w:val="180"/>
          <w:marBottom w:val="0"/>
          <w:divBdr>
            <w:top w:val="none" w:sz="0" w:space="0" w:color="auto"/>
            <w:left w:val="none" w:sz="0" w:space="0" w:color="auto"/>
            <w:bottom w:val="none" w:sz="0" w:space="0" w:color="auto"/>
            <w:right w:val="none" w:sz="0" w:space="0" w:color="auto"/>
          </w:divBdr>
        </w:div>
        <w:div w:id="1830947346">
          <w:marLeft w:val="1800"/>
          <w:marRight w:val="0"/>
          <w:marTop w:val="180"/>
          <w:marBottom w:val="0"/>
          <w:divBdr>
            <w:top w:val="none" w:sz="0" w:space="0" w:color="auto"/>
            <w:left w:val="none" w:sz="0" w:space="0" w:color="auto"/>
            <w:bottom w:val="none" w:sz="0" w:space="0" w:color="auto"/>
            <w:right w:val="none" w:sz="0" w:space="0" w:color="auto"/>
          </w:divBdr>
        </w:div>
        <w:div w:id="1914242224">
          <w:marLeft w:val="2520"/>
          <w:marRight w:val="0"/>
          <w:marTop w:val="180"/>
          <w:marBottom w:val="0"/>
          <w:divBdr>
            <w:top w:val="none" w:sz="0" w:space="0" w:color="auto"/>
            <w:left w:val="none" w:sz="0" w:space="0" w:color="auto"/>
            <w:bottom w:val="none" w:sz="0" w:space="0" w:color="auto"/>
            <w:right w:val="none" w:sz="0" w:space="0" w:color="auto"/>
          </w:divBdr>
        </w:div>
      </w:divsChild>
    </w:div>
    <w:div w:id="1742411623">
      <w:bodyDiv w:val="1"/>
      <w:marLeft w:val="0"/>
      <w:marRight w:val="0"/>
      <w:marTop w:val="0"/>
      <w:marBottom w:val="0"/>
      <w:divBdr>
        <w:top w:val="none" w:sz="0" w:space="0" w:color="auto"/>
        <w:left w:val="none" w:sz="0" w:space="0" w:color="auto"/>
        <w:bottom w:val="none" w:sz="0" w:space="0" w:color="auto"/>
        <w:right w:val="none" w:sz="0" w:space="0" w:color="auto"/>
      </w:divBdr>
    </w:div>
    <w:div w:id="1742749612">
      <w:bodyDiv w:val="1"/>
      <w:marLeft w:val="0"/>
      <w:marRight w:val="0"/>
      <w:marTop w:val="0"/>
      <w:marBottom w:val="0"/>
      <w:divBdr>
        <w:top w:val="none" w:sz="0" w:space="0" w:color="auto"/>
        <w:left w:val="none" w:sz="0" w:space="0" w:color="auto"/>
        <w:bottom w:val="none" w:sz="0" w:space="0" w:color="auto"/>
        <w:right w:val="none" w:sz="0" w:space="0" w:color="auto"/>
      </w:divBdr>
      <w:divsChild>
        <w:div w:id="86849075">
          <w:marLeft w:val="1800"/>
          <w:marRight w:val="0"/>
          <w:marTop w:val="96"/>
          <w:marBottom w:val="0"/>
          <w:divBdr>
            <w:top w:val="none" w:sz="0" w:space="0" w:color="auto"/>
            <w:left w:val="none" w:sz="0" w:space="0" w:color="auto"/>
            <w:bottom w:val="none" w:sz="0" w:space="0" w:color="auto"/>
            <w:right w:val="none" w:sz="0" w:space="0" w:color="auto"/>
          </w:divBdr>
        </w:div>
        <w:div w:id="746997958">
          <w:marLeft w:val="1800"/>
          <w:marRight w:val="0"/>
          <w:marTop w:val="96"/>
          <w:marBottom w:val="0"/>
          <w:divBdr>
            <w:top w:val="none" w:sz="0" w:space="0" w:color="auto"/>
            <w:left w:val="none" w:sz="0" w:space="0" w:color="auto"/>
            <w:bottom w:val="none" w:sz="0" w:space="0" w:color="auto"/>
            <w:right w:val="none" w:sz="0" w:space="0" w:color="auto"/>
          </w:divBdr>
        </w:div>
        <w:div w:id="1837530287">
          <w:marLeft w:val="1800"/>
          <w:marRight w:val="0"/>
          <w:marTop w:val="96"/>
          <w:marBottom w:val="0"/>
          <w:divBdr>
            <w:top w:val="none" w:sz="0" w:space="0" w:color="auto"/>
            <w:left w:val="none" w:sz="0" w:space="0" w:color="auto"/>
            <w:bottom w:val="none" w:sz="0" w:space="0" w:color="auto"/>
            <w:right w:val="none" w:sz="0" w:space="0" w:color="auto"/>
          </w:divBdr>
        </w:div>
        <w:div w:id="1957367325">
          <w:marLeft w:val="1166"/>
          <w:marRight w:val="0"/>
          <w:marTop w:val="115"/>
          <w:marBottom w:val="0"/>
          <w:divBdr>
            <w:top w:val="none" w:sz="0" w:space="0" w:color="auto"/>
            <w:left w:val="none" w:sz="0" w:space="0" w:color="auto"/>
            <w:bottom w:val="none" w:sz="0" w:space="0" w:color="auto"/>
            <w:right w:val="none" w:sz="0" w:space="0" w:color="auto"/>
          </w:divBdr>
        </w:div>
      </w:divsChild>
    </w:div>
    <w:div w:id="1744403477">
      <w:bodyDiv w:val="1"/>
      <w:marLeft w:val="0"/>
      <w:marRight w:val="0"/>
      <w:marTop w:val="0"/>
      <w:marBottom w:val="0"/>
      <w:divBdr>
        <w:top w:val="none" w:sz="0" w:space="0" w:color="auto"/>
        <w:left w:val="none" w:sz="0" w:space="0" w:color="auto"/>
        <w:bottom w:val="none" w:sz="0" w:space="0" w:color="auto"/>
        <w:right w:val="none" w:sz="0" w:space="0" w:color="auto"/>
      </w:divBdr>
    </w:div>
    <w:div w:id="1744908270">
      <w:bodyDiv w:val="1"/>
      <w:marLeft w:val="0"/>
      <w:marRight w:val="0"/>
      <w:marTop w:val="0"/>
      <w:marBottom w:val="0"/>
      <w:divBdr>
        <w:top w:val="none" w:sz="0" w:space="0" w:color="auto"/>
        <w:left w:val="none" w:sz="0" w:space="0" w:color="auto"/>
        <w:bottom w:val="none" w:sz="0" w:space="0" w:color="auto"/>
        <w:right w:val="none" w:sz="0" w:space="0" w:color="auto"/>
      </w:divBdr>
    </w:div>
    <w:div w:id="1747386502">
      <w:bodyDiv w:val="1"/>
      <w:marLeft w:val="0"/>
      <w:marRight w:val="0"/>
      <w:marTop w:val="0"/>
      <w:marBottom w:val="0"/>
      <w:divBdr>
        <w:top w:val="none" w:sz="0" w:space="0" w:color="auto"/>
        <w:left w:val="none" w:sz="0" w:space="0" w:color="auto"/>
        <w:bottom w:val="none" w:sz="0" w:space="0" w:color="auto"/>
        <w:right w:val="none" w:sz="0" w:space="0" w:color="auto"/>
      </w:divBdr>
    </w:div>
    <w:div w:id="1747460566">
      <w:bodyDiv w:val="1"/>
      <w:marLeft w:val="0"/>
      <w:marRight w:val="0"/>
      <w:marTop w:val="0"/>
      <w:marBottom w:val="0"/>
      <w:divBdr>
        <w:top w:val="none" w:sz="0" w:space="0" w:color="auto"/>
        <w:left w:val="none" w:sz="0" w:space="0" w:color="auto"/>
        <w:bottom w:val="none" w:sz="0" w:space="0" w:color="auto"/>
        <w:right w:val="none" w:sz="0" w:space="0" w:color="auto"/>
      </w:divBdr>
    </w:div>
    <w:div w:id="1747461660">
      <w:bodyDiv w:val="1"/>
      <w:marLeft w:val="0"/>
      <w:marRight w:val="0"/>
      <w:marTop w:val="0"/>
      <w:marBottom w:val="0"/>
      <w:divBdr>
        <w:top w:val="none" w:sz="0" w:space="0" w:color="auto"/>
        <w:left w:val="none" w:sz="0" w:space="0" w:color="auto"/>
        <w:bottom w:val="none" w:sz="0" w:space="0" w:color="auto"/>
        <w:right w:val="none" w:sz="0" w:space="0" w:color="auto"/>
      </w:divBdr>
    </w:div>
    <w:div w:id="1748109390">
      <w:bodyDiv w:val="1"/>
      <w:marLeft w:val="0"/>
      <w:marRight w:val="0"/>
      <w:marTop w:val="0"/>
      <w:marBottom w:val="0"/>
      <w:divBdr>
        <w:top w:val="none" w:sz="0" w:space="0" w:color="auto"/>
        <w:left w:val="none" w:sz="0" w:space="0" w:color="auto"/>
        <w:bottom w:val="none" w:sz="0" w:space="0" w:color="auto"/>
        <w:right w:val="none" w:sz="0" w:space="0" w:color="auto"/>
      </w:divBdr>
    </w:div>
    <w:div w:id="1748261704">
      <w:bodyDiv w:val="1"/>
      <w:marLeft w:val="0"/>
      <w:marRight w:val="0"/>
      <w:marTop w:val="0"/>
      <w:marBottom w:val="0"/>
      <w:divBdr>
        <w:top w:val="none" w:sz="0" w:space="0" w:color="auto"/>
        <w:left w:val="none" w:sz="0" w:space="0" w:color="auto"/>
        <w:bottom w:val="none" w:sz="0" w:space="0" w:color="auto"/>
        <w:right w:val="none" w:sz="0" w:space="0" w:color="auto"/>
      </w:divBdr>
    </w:div>
    <w:div w:id="1748267874">
      <w:bodyDiv w:val="1"/>
      <w:marLeft w:val="0"/>
      <w:marRight w:val="0"/>
      <w:marTop w:val="0"/>
      <w:marBottom w:val="0"/>
      <w:divBdr>
        <w:top w:val="none" w:sz="0" w:space="0" w:color="auto"/>
        <w:left w:val="none" w:sz="0" w:space="0" w:color="auto"/>
        <w:bottom w:val="none" w:sz="0" w:space="0" w:color="auto"/>
        <w:right w:val="none" w:sz="0" w:space="0" w:color="auto"/>
      </w:divBdr>
    </w:div>
    <w:div w:id="1749157898">
      <w:bodyDiv w:val="1"/>
      <w:marLeft w:val="0"/>
      <w:marRight w:val="0"/>
      <w:marTop w:val="0"/>
      <w:marBottom w:val="0"/>
      <w:divBdr>
        <w:top w:val="none" w:sz="0" w:space="0" w:color="auto"/>
        <w:left w:val="none" w:sz="0" w:space="0" w:color="auto"/>
        <w:bottom w:val="none" w:sz="0" w:space="0" w:color="auto"/>
        <w:right w:val="none" w:sz="0" w:space="0" w:color="auto"/>
      </w:divBdr>
    </w:div>
    <w:div w:id="1749383047">
      <w:bodyDiv w:val="1"/>
      <w:marLeft w:val="0"/>
      <w:marRight w:val="0"/>
      <w:marTop w:val="0"/>
      <w:marBottom w:val="0"/>
      <w:divBdr>
        <w:top w:val="none" w:sz="0" w:space="0" w:color="auto"/>
        <w:left w:val="none" w:sz="0" w:space="0" w:color="auto"/>
        <w:bottom w:val="none" w:sz="0" w:space="0" w:color="auto"/>
        <w:right w:val="none" w:sz="0" w:space="0" w:color="auto"/>
      </w:divBdr>
    </w:div>
    <w:div w:id="1750341912">
      <w:bodyDiv w:val="1"/>
      <w:marLeft w:val="0"/>
      <w:marRight w:val="0"/>
      <w:marTop w:val="0"/>
      <w:marBottom w:val="0"/>
      <w:divBdr>
        <w:top w:val="none" w:sz="0" w:space="0" w:color="auto"/>
        <w:left w:val="none" w:sz="0" w:space="0" w:color="auto"/>
        <w:bottom w:val="none" w:sz="0" w:space="0" w:color="auto"/>
        <w:right w:val="none" w:sz="0" w:space="0" w:color="auto"/>
      </w:divBdr>
    </w:div>
    <w:div w:id="1750694958">
      <w:bodyDiv w:val="1"/>
      <w:marLeft w:val="0"/>
      <w:marRight w:val="0"/>
      <w:marTop w:val="0"/>
      <w:marBottom w:val="0"/>
      <w:divBdr>
        <w:top w:val="none" w:sz="0" w:space="0" w:color="auto"/>
        <w:left w:val="none" w:sz="0" w:space="0" w:color="auto"/>
        <w:bottom w:val="none" w:sz="0" w:space="0" w:color="auto"/>
        <w:right w:val="none" w:sz="0" w:space="0" w:color="auto"/>
      </w:divBdr>
    </w:div>
    <w:div w:id="1751000494">
      <w:bodyDiv w:val="1"/>
      <w:marLeft w:val="0"/>
      <w:marRight w:val="0"/>
      <w:marTop w:val="0"/>
      <w:marBottom w:val="0"/>
      <w:divBdr>
        <w:top w:val="none" w:sz="0" w:space="0" w:color="auto"/>
        <w:left w:val="none" w:sz="0" w:space="0" w:color="auto"/>
        <w:bottom w:val="none" w:sz="0" w:space="0" w:color="auto"/>
        <w:right w:val="none" w:sz="0" w:space="0" w:color="auto"/>
      </w:divBdr>
      <w:divsChild>
        <w:div w:id="1286498100">
          <w:marLeft w:val="0"/>
          <w:marRight w:val="0"/>
          <w:marTop w:val="0"/>
          <w:marBottom w:val="0"/>
          <w:divBdr>
            <w:top w:val="none" w:sz="0" w:space="0" w:color="auto"/>
            <w:left w:val="none" w:sz="0" w:space="0" w:color="auto"/>
            <w:bottom w:val="none" w:sz="0" w:space="0" w:color="auto"/>
            <w:right w:val="none" w:sz="0" w:space="0" w:color="auto"/>
          </w:divBdr>
          <w:divsChild>
            <w:div w:id="854466574">
              <w:marLeft w:val="0"/>
              <w:marRight w:val="0"/>
              <w:marTop w:val="0"/>
              <w:marBottom w:val="0"/>
              <w:divBdr>
                <w:top w:val="none" w:sz="0" w:space="0" w:color="auto"/>
                <w:left w:val="none" w:sz="0" w:space="0" w:color="auto"/>
                <w:bottom w:val="none" w:sz="0" w:space="0" w:color="auto"/>
                <w:right w:val="none" w:sz="0" w:space="0" w:color="auto"/>
              </w:divBdr>
            </w:div>
            <w:div w:id="1281955543">
              <w:marLeft w:val="0"/>
              <w:marRight w:val="0"/>
              <w:marTop w:val="0"/>
              <w:marBottom w:val="0"/>
              <w:divBdr>
                <w:top w:val="none" w:sz="0" w:space="0" w:color="auto"/>
                <w:left w:val="none" w:sz="0" w:space="0" w:color="auto"/>
                <w:bottom w:val="none" w:sz="0" w:space="0" w:color="auto"/>
                <w:right w:val="none" w:sz="0" w:space="0" w:color="auto"/>
              </w:divBdr>
            </w:div>
            <w:div w:id="15344614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1196953">
      <w:bodyDiv w:val="1"/>
      <w:marLeft w:val="0"/>
      <w:marRight w:val="0"/>
      <w:marTop w:val="0"/>
      <w:marBottom w:val="0"/>
      <w:divBdr>
        <w:top w:val="none" w:sz="0" w:space="0" w:color="auto"/>
        <w:left w:val="none" w:sz="0" w:space="0" w:color="auto"/>
        <w:bottom w:val="none" w:sz="0" w:space="0" w:color="auto"/>
        <w:right w:val="none" w:sz="0" w:space="0" w:color="auto"/>
      </w:divBdr>
    </w:div>
    <w:div w:id="1751922636">
      <w:bodyDiv w:val="1"/>
      <w:marLeft w:val="0"/>
      <w:marRight w:val="0"/>
      <w:marTop w:val="0"/>
      <w:marBottom w:val="0"/>
      <w:divBdr>
        <w:top w:val="none" w:sz="0" w:space="0" w:color="auto"/>
        <w:left w:val="none" w:sz="0" w:space="0" w:color="auto"/>
        <w:bottom w:val="none" w:sz="0" w:space="0" w:color="auto"/>
        <w:right w:val="none" w:sz="0" w:space="0" w:color="auto"/>
      </w:divBdr>
      <w:divsChild>
        <w:div w:id="10648651">
          <w:marLeft w:val="547"/>
          <w:marRight w:val="0"/>
          <w:marTop w:val="125"/>
          <w:marBottom w:val="0"/>
          <w:divBdr>
            <w:top w:val="none" w:sz="0" w:space="0" w:color="auto"/>
            <w:left w:val="none" w:sz="0" w:space="0" w:color="auto"/>
            <w:bottom w:val="none" w:sz="0" w:space="0" w:color="auto"/>
            <w:right w:val="none" w:sz="0" w:space="0" w:color="auto"/>
          </w:divBdr>
        </w:div>
      </w:divsChild>
    </w:div>
    <w:div w:id="1752660538">
      <w:bodyDiv w:val="1"/>
      <w:marLeft w:val="0"/>
      <w:marRight w:val="0"/>
      <w:marTop w:val="0"/>
      <w:marBottom w:val="0"/>
      <w:divBdr>
        <w:top w:val="none" w:sz="0" w:space="0" w:color="auto"/>
        <w:left w:val="none" w:sz="0" w:space="0" w:color="auto"/>
        <w:bottom w:val="none" w:sz="0" w:space="0" w:color="auto"/>
        <w:right w:val="none" w:sz="0" w:space="0" w:color="auto"/>
      </w:divBdr>
    </w:div>
    <w:div w:id="1752895915">
      <w:bodyDiv w:val="1"/>
      <w:marLeft w:val="0"/>
      <w:marRight w:val="0"/>
      <w:marTop w:val="0"/>
      <w:marBottom w:val="0"/>
      <w:divBdr>
        <w:top w:val="none" w:sz="0" w:space="0" w:color="auto"/>
        <w:left w:val="none" w:sz="0" w:space="0" w:color="auto"/>
        <w:bottom w:val="none" w:sz="0" w:space="0" w:color="auto"/>
        <w:right w:val="none" w:sz="0" w:space="0" w:color="auto"/>
      </w:divBdr>
    </w:div>
    <w:div w:id="1754424577">
      <w:bodyDiv w:val="1"/>
      <w:marLeft w:val="0"/>
      <w:marRight w:val="0"/>
      <w:marTop w:val="0"/>
      <w:marBottom w:val="0"/>
      <w:divBdr>
        <w:top w:val="none" w:sz="0" w:space="0" w:color="auto"/>
        <w:left w:val="none" w:sz="0" w:space="0" w:color="auto"/>
        <w:bottom w:val="none" w:sz="0" w:space="0" w:color="auto"/>
        <w:right w:val="none" w:sz="0" w:space="0" w:color="auto"/>
      </w:divBdr>
    </w:div>
    <w:div w:id="1754743743">
      <w:bodyDiv w:val="1"/>
      <w:marLeft w:val="0"/>
      <w:marRight w:val="0"/>
      <w:marTop w:val="0"/>
      <w:marBottom w:val="0"/>
      <w:divBdr>
        <w:top w:val="none" w:sz="0" w:space="0" w:color="auto"/>
        <w:left w:val="none" w:sz="0" w:space="0" w:color="auto"/>
        <w:bottom w:val="none" w:sz="0" w:space="0" w:color="auto"/>
        <w:right w:val="none" w:sz="0" w:space="0" w:color="auto"/>
      </w:divBdr>
    </w:div>
    <w:div w:id="1755124829">
      <w:bodyDiv w:val="1"/>
      <w:marLeft w:val="0"/>
      <w:marRight w:val="0"/>
      <w:marTop w:val="0"/>
      <w:marBottom w:val="0"/>
      <w:divBdr>
        <w:top w:val="none" w:sz="0" w:space="0" w:color="auto"/>
        <w:left w:val="none" w:sz="0" w:space="0" w:color="auto"/>
        <w:bottom w:val="none" w:sz="0" w:space="0" w:color="auto"/>
        <w:right w:val="none" w:sz="0" w:space="0" w:color="auto"/>
      </w:divBdr>
    </w:div>
    <w:div w:id="1755397218">
      <w:bodyDiv w:val="1"/>
      <w:marLeft w:val="0"/>
      <w:marRight w:val="0"/>
      <w:marTop w:val="0"/>
      <w:marBottom w:val="0"/>
      <w:divBdr>
        <w:top w:val="none" w:sz="0" w:space="0" w:color="auto"/>
        <w:left w:val="none" w:sz="0" w:space="0" w:color="auto"/>
        <w:bottom w:val="none" w:sz="0" w:space="0" w:color="auto"/>
        <w:right w:val="none" w:sz="0" w:space="0" w:color="auto"/>
      </w:divBdr>
    </w:div>
    <w:div w:id="1756364873">
      <w:bodyDiv w:val="1"/>
      <w:marLeft w:val="0"/>
      <w:marRight w:val="0"/>
      <w:marTop w:val="0"/>
      <w:marBottom w:val="0"/>
      <w:divBdr>
        <w:top w:val="none" w:sz="0" w:space="0" w:color="auto"/>
        <w:left w:val="none" w:sz="0" w:space="0" w:color="auto"/>
        <w:bottom w:val="none" w:sz="0" w:space="0" w:color="auto"/>
        <w:right w:val="none" w:sz="0" w:space="0" w:color="auto"/>
      </w:divBdr>
    </w:div>
    <w:div w:id="1756827564">
      <w:bodyDiv w:val="1"/>
      <w:marLeft w:val="0"/>
      <w:marRight w:val="0"/>
      <w:marTop w:val="0"/>
      <w:marBottom w:val="0"/>
      <w:divBdr>
        <w:top w:val="none" w:sz="0" w:space="0" w:color="auto"/>
        <w:left w:val="none" w:sz="0" w:space="0" w:color="auto"/>
        <w:bottom w:val="none" w:sz="0" w:space="0" w:color="auto"/>
        <w:right w:val="none" w:sz="0" w:space="0" w:color="auto"/>
      </w:divBdr>
    </w:div>
    <w:div w:id="1757244788">
      <w:bodyDiv w:val="1"/>
      <w:marLeft w:val="0"/>
      <w:marRight w:val="0"/>
      <w:marTop w:val="0"/>
      <w:marBottom w:val="0"/>
      <w:divBdr>
        <w:top w:val="none" w:sz="0" w:space="0" w:color="auto"/>
        <w:left w:val="none" w:sz="0" w:space="0" w:color="auto"/>
        <w:bottom w:val="none" w:sz="0" w:space="0" w:color="auto"/>
        <w:right w:val="none" w:sz="0" w:space="0" w:color="auto"/>
      </w:divBdr>
    </w:div>
    <w:div w:id="1757481655">
      <w:bodyDiv w:val="1"/>
      <w:marLeft w:val="0"/>
      <w:marRight w:val="0"/>
      <w:marTop w:val="0"/>
      <w:marBottom w:val="0"/>
      <w:divBdr>
        <w:top w:val="none" w:sz="0" w:space="0" w:color="auto"/>
        <w:left w:val="none" w:sz="0" w:space="0" w:color="auto"/>
        <w:bottom w:val="none" w:sz="0" w:space="0" w:color="auto"/>
        <w:right w:val="none" w:sz="0" w:space="0" w:color="auto"/>
      </w:divBdr>
      <w:divsChild>
        <w:div w:id="620914915">
          <w:marLeft w:val="0"/>
          <w:marRight w:val="0"/>
          <w:marTop w:val="0"/>
          <w:marBottom w:val="0"/>
          <w:divBdr>
            <w:top w:val="none" w:sz="0" w:space="0" w:color="auto"/>
            <w:left w:val="none" w:sz="0" w:space="0" w:color="auto"/>
            <w:bottom w:val="none" w:sz="0" w:space="0" w:color="auto"/>
            <w:right w:val="none" w:sz="0" w:space="0" w:color="auto"/>
          </w:divBdr>
          <w:divsChild>
            <w:div w:id="143162718">
              <w:marLeft w:val="0"/>
              <w:marRight w:val="0"/>
              <w:marTop w:val="0"/>
              <w:marBottom w:val="0"/>
              <w:divBdr>
                <w:top w:val="none" w:sz="0" w:space="0" w:color="auto"/>
                <w:left w:val="none" w:sz="0" w:space="0" w:color="auto"/>
                <w:bottom w:val="none" w:sz="0" w:space="0" w:color="auto"/>
                <w:right w:val="none" w:sz="0" w:space="0" w:color="auto"/>
              </w:divBdr>
            </w:div>
            <w:div w:id="605506661">
              <w:marLeft w:val="0"/>
              <w:marRight w:val="0"/>
              <w:marTop w:val="0"/>
              <w:marBottom w:val="0"/>
              <w:divBdr>
                <w:top w:val="none" w:sz="0" w:space="0" w:color="auto"/>
                <w:left w:val="none" w:sz="0" w:space="0" w:color="auto"/>
                <w:bottom w:val="none" w:sz="0" w:space="0" w:color="auto"/>
                <w:right w:val="none" w:sz="0" w:space="0" w:color="auto"/>
              </w:divBdr>
            </w:div>
            <w:div w:id="747772694">
              <w:marLeft w:val="0"/>
              <w:marRight w:val="0"/>
              <w:marTop w:val="0"/>
              <w:marBottom w:val="0"/>
              <w:divBdr>
                <w:top w:val="none" w:sz="0" w:space="0" w:color="auto"/>
                <w:left w:val="none" w:sz="0" w:space="0" w:color="auto"/>
                <w:bottom w:val="none" w:sz="0" w:space="0" w:color="auto"/>
                <w:right w:val="none" w:sz="0" w:space="0" w:color="auto"/>
              </w:divBdr>
            </w:div>
            <w:div w:id="818182634">
              <w:marLeft w:val="0"/>
              <w:marRight w:val="0"/>
              <w:marTop w:val="0"/>
              <w:marBottom w:val="0"/>
              <w:divBdr>
                <w:top w:val="none" w:sz="0" w:space="0" w:color="auto"/>
                <w:left w:val="none" w:sz="0" w:space="0" w:color="auto"/>
                <w:bottom w:val="none" w:sz="0" w:space="0" w:color="auto"/>
                <w:right w:val="none" w:sz="0" w:space="0" w:color="auto"/>
              </w:divBdr>
            </w:div>
            <w:div w:id="1320766719">
              <w:marLeft w:val="0"/>
              <w:marRight w:val="0"/>
              <w:marTop w:val="0"/>
              <w:marBottom w:val="0"/>
              <w:divBdr>
                <w:top w:val="none" w:sz="0" w:space="0" w:color="auto"/>
                <w:left w:val="none" w:sz="0" w:space="0" w:color="auto"/>
                <w:bottom w:val="none" w:sz="0" w:space="0" w:color="auto"/>
                <w:right w:val="none" w:sz="0" w:space="0" w:color="auto"/>
              </w:divBdr>
            </w:div>
            <w:div w:id="1971327654">
              <w:marLeft w:val="0"/>
              <w:marRight w:val="0"/>
              <w:marTop w:val="0"/>
              <w:marBottom w:val="0"/>
              <w:divBdr>
                <w:top w:val="none" w:sz="0" w:space="0" w:color="auto"/>
                <w:left w:val="none" w:sz="0" w:space="0" w:color="auto"/>
                <w:bottom w:val="none" w:sz="0" w:space="0" w:color="auto"/>
                <w:right w:val="none" w:sz="0" w:space="0" w:color="auto"/>
              </w:divBdr>
            </w:div>
            <w:div w:id="20345012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7938560">
      <w:bodyDiv w:val="1"/>
      <w:marLeft w:val="0"/>
      <w:marRight w:val="0"/>
      <w:marTop w:val="0"/>
      <w:marBottom w:val="0"/>
      <w:divBdr>
        <w:top w:val="none" w:sz="0" w:space="0" w:color="auto"/>
        <w:left w:val="none" w:sz="0" w:space="0" w:color="auto"/>
        <w:bottom w:val="none" w:sz="0" w:space="0" w:color="auto"/>
        <w:right w:val="none" w:sz="0" w:space="0" w:color="auto"/>
      </w:divBdr>
      <w:divsChild>
        <w:div w:id="85226850">
          <w:marLeft w:val="0"/>
          <w:marRight w:val="0"/>
          <w:marTop w:val="0"/>
          <w:marBottom w:val="0"/>
          <w:divBdr>
            <w:top w:val="none" w:sz="0" w:space="0" w:color="auto"/>
            <w:left w:val="none" w:sz="0" w:space="0" w:color="auto"/>
            <w:bottom w:val="none" w:sz="0" w:space="0" w:color="auto"/>
            <w:right w:val="none" w:sz="0" w:space="0" w:color="auto"/>
          </w:divBdr>
          <w:divsChild>
            <w:div w:id="1149437265">
              <w:marLeft w:val="0"/>
              <w:marRight w:val="0"/>
              <w:marTop w:val="0"/>
              <w:marBottom w:val="0"/>
              <w:divBdr>
                <w:top w:val="none" w:sz="0" w:space="0" w:color="auto"/>
                <w:left w:val="none" w:sz="0" w:space="0" w:color="auto"/>
                <w:bottom w:val="none" w:sz="0" w:space="0" w:color="auto"/>
                <w:right w:val="none" w:sz="0" w:space="0" w:color="auto"/>
              </w:divBdr>
            </w:div>
            <w:div w:id="18337877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8599550">
      <w:bodyDiv w:val="1"/>
      <w:marLeft w:val="0"/>
      <w:marRight w:val="0"/>
      <w:marTop w:val="0"/>
      <w:marBottom w:val="0"/>
      <w:divBdr>
        <w:top w:val="none" w:sz="0" w:space="0" w:color="auto"/>
        <w:left w:val="none" w:sz="0" w:space="0" w:color="auto"/>
        <w:bottom w:val="none" w:sz="0" w:space="0" w:color="auto"/>
        <w:right w:val="none" w:sz="0" w:space="0" w:color="auto"/>
      </w:divBdr>
    </w:div>
    <w:div w:id="1758601306">
      <w:bodyDiv w:val="1"/>
      <w:marLeft w:val="0"/>
      <w:marRight w:val="0"/>
      <w:marTop w:val="0"/>
      <w:marBottom w:val="0"/>
      <w:divBdr>
        <w:top w:val="none" w:sz="0" w:space="0" w:color="auto"/>
        <w:left w:val="none" w:sz="0" w:space="0" w:color="auto"/>
        <w:bottom w:val="none" w:sz="0" w:space="0" w:color="auto"/>
        <w:right w:val="none" w:sz="0" w:space="0" w:color="auto"/>
      </w:divBdr>
    </w:div>
    <w:div w:id="1759860642">
      <w:bodyDiv w:val="1"/>
      <w:marLeft w:val="0"/>
      <w:marRight w:val="0"/>
      <w:marTop w:val="0"/>
      <w:marBottom w:val="0"/>
      <w:divBdr>
        <w:top w:val="none" w:sz="0" w:space="0" w:color="auto"/>
        <w:left w:val="none" w:sz="0" w:space="0" w:color="auto"/>
        <w:bottom w:val="none" w:sz="0" w:space="0" w:color="auto"/>
        <w:right w:val="none" w:sz="0" w:space="0" w:color="auto"/>
      </w:divBdr>
    </w:div>
    <w:div w:id="1759981449">
      <w:bodyDiv w:val="1"/>
      <w:marLeft w:val="0"/>
      <w:marRight w:val="0"/>
      <w:marTop w:val="0"/>
      <w:marBottom w:val="0"/>
      <w:divBdr>
        <w:top w:val="none" w:sz="0" w:space="0" w:color="auto"/>
        <w:left w:val="none" w:sz="0" w:space="0" w:color="auto"/>
        <w:bottom w:val="none" w:sz="0" w:space="0" w:color="auto"/>
        <w:right w:val="none" w:sz="0" w:space="0" w:color="auto"/>
      </w:divBdr>
    </w:div>
    <w:div w:id="1760130372">
      <w:bodyDiv w:val="1"/>
      <w:marLeft w:val="0"/>
      <w:marRight w:val="0"/>
      <w:marTop w:val="0"/>
      <w:marBottom w:val="0"/>
      <w:divBdr>
        <w:top w:val="none" w:sz="0" w:space="0" w:color="auto"/>
        <w:left w:val="none" w:sz="0" w:space="0" w:color="auto"/>
        <w:bottom w:val="none" w:sz="0" w:space="0" w:color="auto"/>
        <w:right w:val="none" w:sz="0" w:space="0" w:color="auto"/>
      </w:divBdr>
    </w:div>
    <w:div w:id="1760708517">
      <w:bodyDiv w:val="1"/>
      <w:marLeft w:val="0"/>
      <w:marRight w:val="0"/>
      <w:marTop w:val="0"/>
      <w:marBottom w:val="0"/>
      <w:divBdr>
        <w:top w:val="none" w:sz="0" w:space="0" w:color="auto"/>
        <w:left w:val="none" w:sz="0" w:space="0" w:color="auto"/>
        <w:bottom w:val="none" w:sz="0" w:space="0" w:color="auto"/>
        <w:right w:val="none" w:sz="0" w:space="0" w:color="auto"/>
      </w:divBdr>
    </w:div>
    <w:div w:id="1761179783">
      <w:bodyDiv w:val="1"/>
      <w:marLeft w:val="0"/>
      <w:marRight w:val="0"/>
      <w:marTop w:val="0"/>
      <w:marBottom w:val="0"/>
      <w:divBdr>
        <w:top w:val="none" w:sz="0" w:space="0" w:color="auto"/>
        <w:left w:val="none" w:sz="0" w:space="0" w:color="auto"/>
        <w:bottom w:val="none" w:sz="0" w:space="0" w:color="auto"/>
        <w:right w:val="none" w:sz="0" w:space="0" w:color="auto"/>
      </w:divBdr>
    </w:div>
    <w:div w:id="1761293245">
      <w:bodyDiv w:val="1"/>
      <w:marLeft w:val="0"/>
      <w:marRight w:val="0"/>
      <w:marTop w:val="0"/>
      <w:marBottom w:val="0"/>
      <w:divBdr>
        <w:top w:val="none" w:sz="0" w:space="0" w:color="auto"/>
        <w:left w:val="none" w:sz="0" w:space="0" w:color="auto"/>
        <w:bottom w:val="none" w:sz="0" w:space="0" w:color="auto"/>
        <w:right w:val="none" w:sz="0" w:space="0" w:color="auto"/>
      </w:divBdr>
    </w:div>
    <w:div w:id="1761414063">
      <w:bodyDiv w:val="1"/>
      <w:marLeft w:val="0"/>
      <w:marRight w:val="0"/>
      <w:marTop w:val="0"/>
      <w:marBottom w:val="0"/>
      <w:divBdr>
        <w:top w:val="none" w:sz="0" w:space="0" w:color="auto"/>
        <w:left w:val="none" w:sz="0" w:space="0" w:color="auto"/>
        <w:bottom w:val="none" w:sz="0" w:space="0" w:color="auto"/>
        <w:right w:val="none" w:sz="0" w:space="0" w:color="auto"/>
      </w:divBdr>
    </w:div>
    <w:div w:id="1761946547">
      <w:bodyDiv w:val="1"/>
      <w:marLeft w:val="0"/>
      <w:marRight w:val="0"/>
      <w:marTop w:val="0"/>
      <w:marBottom w:val="0"/>
      <w:divBdr>
        <w:top w:val="none" w:sz="0" w:space="0" w:color="auto"/>
        <w:left w:val="none" w:sz="0" w:space="0" w:color="auto"/>
        <w:bottom w:val="none" w:sz="0" w:space="0" w:color="auto"/>
        <w:right w:val="none" w:sz="0" w:space="0" w:color="auto"/>
      </w:divBdr>
      <w:divsChild>
        <w:div w:id="1444499835">
          <w:marLeft w:val="0"/>
          <w:marRight w:val="0"/>
          <w:marTop w:val="0"/>
          <w:marBottom w:val="0"/>
          <w:divBdr>
            <w:top w:val="none" w:sz="0" w:space="0" w:color="auto"/>
            <w:left w:val="none" w:sz="0" w:space="0" w:color="auto"/>
            <w:bottom w:val="none" w:sz="0" w:space="0" w:color="auto"/>
            <w:right w:val="none" w:sz="0" w:space="0" w:color="auto"/>
          </w:divBdr>
          <w:divsChild>
            <w:div w:id="134369996">
              <w:marLeft w:val="0"/>
              <w:marRight w:val="0"/>
              <w:marTop w:val="0"/>
              <w:marBottom w:val="0"/>
              <w:divBdr>
                <w:top w:val="none" w:sz="0" w:space="0" w:color="auto"/>
                <w:left w:val="none" w:sz="0" w:space="0" w:color="auto"/>
                <w:bottom w:val="none" w:sz="0" w:space="0" w:color="auto"/>
                <w:right w:val="none" w:sz="0" w:space="0" w:color="auto"/>
              </w:divBdr>
            </w:div>
            <w:div w:id="364524646">
              <w:marLeft w:val="0"/>
              <w:marRight w:val="0"/>
              <w:marTop w:val="0"/>
              <w:marBottom w:val="0"/>
              <w:divBdr>
                <w:top w:val="none" w:sz="0" w:space="0" w:color="auto"/>
                <w:left w:val="none" w:sz="0" w:space="0" w:color="auto"/>
                <w:bottom w:val="none" w:sz="0" w:space="0" w:color="auto"/>
                <w:right w:val="none" w:sz="0" w:space="0" w:color="auto"/>
              </w:divBdr>
            </w:div>
            <w:div w:id="982080729">
              <w:marLeft w:val="0"/>
              <w:marRight w:val="0"/>
              <w:marTop w:val="0"/>
              <w:marBottom w:val="0"/>
              <w:divBdr>
                <w:top w:val="none" w:sz="0" w:space="0" w:color="auto"/>
                <w:left w:val="none" w:sz="0" w:space="0" w:color="auto"/>
                <w:bottom w:val="none" w:sz="0" w:space="0" w:color="auto"/>
                <w:right w:val="none" w:sz="0" w:space="0" w:color="auto"/>
              </w:divBdr>
            </w:div>
            <w:div w:id="1441757459">
              <w:marLeft w:val="0"/>
              <w:marRight w:val="0"/>
              <w:marTop w:val="0"/>
              <w:marBottom w:val="0"/>
              <w:divBdr>
                <w:top w:val="none" w:sz="0" w:space="0" w:color="auto"/>
                <w:left w:val="none" w:sz="0" w:space="0" w:color="auto"/>
                <w:bottom w:val="none" w:sz="0" w:space="0" w:color="auto"/>
                <w:right w:val="none" w:sz="0" w:space="0" w:color="auto"/>
              </w:divBdr>
            </w:div>
            <w:div w:id="19604106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62140833">
      <w:bodyDiv w:val="1"/>
      <w:marLeft w:val="0"/>
      <w:marRight w:val="0"/>
      <w:marTop w:val="0"/>
      <w:marBottom w:val="0"/>
      <w:divBdr>
        <w:top w:val="none" w:sz="0" w:space="0" w:color="auto"/>
        <w:left w:val="none" w:sz="0" w:space="0" w:color="auto"/>
        <w:bottom w:val="none" w:sz="0" w:space="0" w:color="auto"/>
        <w:right w:val="none" w:sz="0" w:space="0" w:color="auto"/>
      </w:divBdr>
    </w:div>
    <w:div w:id="1762337698">
      <w:bodyDiv w:val="1"/>
      <w:marLeft w:val="0"/>
      <w:marRight w:val="0"/>
      <w:marTop w:val="0"/>
      <w:marBottom w:val="0"/>
      <w:divBdr>
        <w:top w:val="none" w:sz="0" w:space="0" w:color="auto"/>
        <w:left w:val="none" w:sz="0" w:space="0" w:color="auto"/>
        <w:bottom w:val="none" w:sz="0" w:space="0" w:color="auto"/>
        <w:right w:val="none" w:sz="0" w:space="0" w:color="auto"/>
      </w:divBdr>
    </w:div>
    <w:div w:id="1762994021">
      <w:bodyDiv w:val="1"/>
      <w:marLeft w:val="0"/>
      <w:marRight w:val="0"/>
      <w:marTop w:val="0"/>
      <w:marBottom w:val="0"/>
      <w:divBdr>
        <w:top w:val="none" w:sz="0" w:space="0" w:color="auto"/>
        <w:left w:val="none" w:sz="0" w:space="0" w:color="auto"/>
        <w:bottom w:val="none" w:sz="0" w:space="0" w:color="auto"/>
        <w:right w:val="none" w:sz="0" w:space="0" w:color="auto"/>
      </w:divBdr>
    </w:div>
    <w:div w:id="1763331477">
      <w:bodyDiv w:val="1"/>
      <w:marLeft w:val="0"/>
      <w:marRight w:val="0"/>
      <w:marTop w:val="0"/>
      <w:marBottom w:val="0"/>
      <w:divBdr>
        <w:top w:val="none" w:sz="0" w:space="0" w:color="auto"/>
        <w:left w:val="none" w:sz="0" w:space="0" w:color="auto"/>
        <w:bottom w:val="none" w:sz="0" w:space="0" w:color="auto"/>
        <w:right w:val="none" w:sz="0" w:space="0" w:color="auto"/>
      </w:divBdr>
    </w:div>
    <w:div w:id="1763455899">
      <w:bodyDiv w:val="1"/>
      <w:marLeft w:val="0"/>
      <w:marRight w:val="0"/>
      <w:marTop w:val="0"/>
      <w:marBottom w:val="0"/>
      <w:divBdr>
        <w:top w:val="none" w:sz="0" w:space="0" w:color="auto"/>
        <w:left w:val="none" w:sz="0" w:space="0" w:color="auto"/>
        <w:bottom w:val="none" w:sz="0" w:space="0" w:color="auto"/>
        <w:right w:val="none" w:sz="0" w:space="0" w:color="auto"/>
      </w:divBdr>
    </w:div>
    <w:div w:id="1763532305">
      <w:bodyDiv w:val="1"/>
      <w:marLeft w:val="0"/>
      <w:marRight w:val="0"/>
      <w:marTop w:val="0"/>
      <w:marBottom w:val="0"/>
      <w:divBdr>
        <w:top w:val="none" w:sz="0" w:space="0" w:color="auto"/>
        <w:left w:val="none" w:sz="0" w:space="0" w:color="auto"/>
        <w:bottom w:val="none" w:sz="0" w:space="0" w:color="auto"/>
        <w:right w:val="none" w:sz="0" w:space="0" w:color="auto"/>
      </w:divBdr>
    </w:div>
    <w:div w:id="1764062285">
      <w:bodyDiv w:val="1"/>
      <w:marLeft w:val="0"/>
      <w:marRight w:val="0"/>
      <w:marTop w:val="0"/>
      <w:marBottom w:val="0"/>
      <w:divBdr>
        <w:top w:val="none" w:sz="0" w:space="0" w:color="auto"/>
        <w:left w:val="none" w:sz="0" w:space="0" w:color="auto"/>
        <w:bottom w:val="none" w:sz="0" w:space="0" w:color="auto"/>
        <w:right w:val="none" w:sz="0" w:space="0" w:color="auto"/>
      </w:divBdr>
      <w:divsChild>
        <w:div w:id="105387757">
          <w:marLeft w:val="547"/>
          <w:marRight w:val="0"/>
          <w:marTop w:val="134"/>
          <w:marBottom w:val="0"/>
          <w:divBdr>
            <w:top w:val="none" w:sz="0" w:space="0" w:color="auto"/>
            <w:left w:val="none" w:sz="0" w:space="0" w:color="auto"/>
            <w:bottom w:val="none" w:sz="0" w:space="0" w:color="auto"/>
            <w:right w:val="none" w:sz="0" w:space="0" w:color="auto"/>
          </w:divBdr>
        </w:div>
        <w:div w:id="1243755213">
          <w:marLeft w:val="1800"/>
          <w:marRight w:val="0"/>
          <w:marTop w:val="96"/>
          <w:marBottom w:val="0"/>
          <w:divBdr>
            <w:top w:val="none" w:sz="0" w:space="0" w:color="auto"/>
            <w:left w:val="none" w:sz="0" w:space="0" w:color="auto"/>
            <w:bottom w:val="none" w:sz="0" w:space="0" w:color="auto"/>
            <w:right w:val="none" w:sz="0" w:space="0" w:color="auto"/>
          </w:divBdr>
        </w:div>
        <w:div w:id="2145811481">
          <w:marLeft w:val="1166"/>
          <w:marRight w:val="0"/>
          <w:marTop w:val="115"/>
          <w:marBottom w:val="0"/>
          <w:divBdr>
            <w:top w:val="none" w:sz="0" w:space="0" w:color="auto"/>
            <w:left w:val="none" w:sz="0" w:space="0" w:color="auto"/>
            <w:bottom w:val="none" w:sz="0" w:space="0" w:color="auto"/>
            <w:right w:val="none" w:sz="0" w:space="0" w:color="auto"/>
          </w:divBdr>
        </w:div>
      </w:divsChild>
    </w:div>
    <w:div w:id="1764297223">
      <w:bodyDiv w:val="1"/>
      <w:marLeft w:val="0"/>
      <w:marRight w:val="0"/>
      <w:marTop w:val="0"/>
      <w:marBottom w:val="0"/>
      <w:divBdr>
        <w:top w:val="none" w:sz="0" w:space="0" w:color="auto"/>
        <w:left w:val="none" w:sz="0" w:space="0" w:color="auto"/>
        <w:bottom w:val="none" w:sz="0" w:space="0" w:color="auto"/>
        <w:right w:val="none" w:sz="0" w:space="0" w:color="auto"/>
      </w:divBdr>
    </w:div>
    <w:div w:id="1764833322">
      <w:bodyDiv w:val="1"/>
      <w:marLeft w:val="0"/>
      <w:marRight w:val="0"/>
      <w:marTop w:val="0"/>
      <w:marBottom w:val="0"/>
      <w:divBdr>
        <w:top w:val="none" w:sz="0" w:space="0" w:color="auto"/>
        <w:left w:val="none" w:sz="0" w:space="0" w:color="auto"/>
        <w:bottom w:val="none" w:sz="0" w:space="0" w:color="auto"/>
        <w:right w:val="none" w:sz="0" w:space="0" w:color="auto"/>
      </w:divBdr>
    </w:div>
    <w:div w:id="1765106440">
      <w:bodyDiv w:val="1"/>
      <w:marLeft w:val="0"/>
      <w:marRight w:val="0"/>
      <w:marTop w:val="0"/>
      <w:marBottom w:val="0"/>
      <w:divBdr>
        <w:top w:val="none" w:sz="0" w:space="0" w:color="auto"/>
        <w:left w:val="none" w:sz="0" w:space="0" w:color="auto"/>
        <w:bottom w:val="none" w:sz="0" w:space="0" w:color="auto"/>
        <w:right w:val="none" w:sz="0" w:space="0" w:color="auto"/>
      </w:divBdr>
    </w:div>
    <w:div w:id="1765607297">
      <w:bodyDiv w:val="1"/>
      <w:marLeft w:val="0"/>
      <w:marRight w:val="0"/>
      <w:marTop w:val="0"/>
      <w:marBottom w:val="0"/>
      <w:divBdr>
        <w:top w:val="none" w:sz="0" w:space="0" w:color="auto"/>
        <w:left w:val="none" w:sz="0" w:space="0" w:color="auto"/>
        <w:bottom w:val="none" w:sz="0" w:space="0" w:color="auto"/>
        <w:right w:val="none" w:sz="0" w:space="0" w:color="auto"/>
      </w:divBdr>
    </w:div>
    <w:div w:id="1765612769">
      <w:bodyDiv w:val="1"/>
      <w:marLeft w:val="0"/>
      <w:marRight w:val="0"/>
      <w:marTop w:val="0"/>
      <w:marBottom w:val="0"/>
      <w:divBdr>
        <w:top w:val="none" w:sz="0" w:space="0" w:color="auto"/>
        <w:left w:val="none" w:sz="0" w:space="0" w:color="auto"/>
        <w:bottom w:val="none" w:sz="0" w:space="0" w:color="auto"/>
        <w:right w:val="none" w:sz="0" w:space="0" w:color="auto"/>
      </w:divBdr>
    </w:div>
    <w:div w:id="1768304247">
      <w:bodyDiv w:val="1"/>
      <w:marLeft w:val="0"/>
      <w:marRight w:val="0"/>
      <w:marTop w:val="0"/>
      <w:marBottom w:val="0"/>
      <w:divBdr>
        <w:top w:val="none" w:sz="0" w:space="0" w:color="auto"/>
        <w:left w:val="none" w:sz="0" w:space="0" w:color="auto"/>
        <w:bottom w:val="none" w:sz="0" w:space="0" w:color="auto"/>
        <w:right w:val="none" w:sz="0" w:space="0" w:color="auto"/>
      </w:divBdr>
    </w:div>
    <w:div w:id="1768501372">
      <w:bodyDiv w:val="1"/>
      <w:marLeft w:val="0"/>
      <w:marRight w:val="0"/>
      <w:marTop w:val="0"/>
      <w:marBottom w:val="0"/>
      <w:divBdr>
        <w:top w:val="none" w:sz="0" w:space="0" w:color="auto"/>
        <w:left w:val="none" w:sz="0" w:space="0" w:color="auto"/>
        <w:bottom w:val="none" w:sz="0" w:space="0" w:color="auto"/>
        <w:right w:val="none" w:sz="0" w:space="0" w:color="auto"/>
      </w:divBdr>
      <w:divsChild>
        <w:div w:id="391971719">
          <w:marLeft w:val="1166"/>
          <w:marRight w:val="0"/>
          <w:marTop w:val="115"/>
          <w:marBottom w:val="120"/>
          <w:divBdr>
            <w:top w:val="none" w:sz="0" w:space="0" w:color="auto"/>
            <w:left w:val="none" w:sz="0" w:space="0" w:color="auto"/>
            <w:bottom w:val="none" w:sz="0" w:space="0" w:color="auto"/>
            <w:right w:val="none" w:sz="0" w:space="0" w:color="auto"/>
          </w:divBdr>
        </w:div>
        <w:div w:id="487215646">
          <w:marLeft w:val="547"/>
          <w:marRight w:val="0"/>
          <w:marTop w:val="134"/>
          <w:marBottom w:val="120"/>
          <w:divBdr>
            <w:top w:val="none" w:sz="0" w:space="0" w:color="auto"/>
            <w:left w:val="none" w:sz="0" w:space="0" w:color="auto"/>
            <w:bottom w:val="none" w:sz="0" w:space="0" w:color="auto"/>
            <w:right w:val="none" w:sz="0" w:space="0" w:color="auto"/>
          </w:divBdr>
        </w:div>
        <w:div w:id="1152525448">
          <w:marLeft w:val="547"/>
          <w:marRight w:val="0"/>
          <w:marTop w:val="134"/>
          <w:marBottom w:val="120"/>
          <w:divBdr>
            <w:top w:val="none" w:sz="0" w:space="0" w:color="auto"/>
            <w:left w:val="none" w:sz="0" w:space="0" w:color="auto"/>
            <w:bottom w:val="none" w:sz="0" w:space="0" w:color="auto"/>
            <w:right w:val="none" w:sz="0" w:space="0" w:color="auto"/>
          </w:divBdr>
        </w:div>
        <w:div w:id="1595047503">
          <w:marLeft w:val="1166"/>
          <w:marRight w:val="0"/>
          <w:marTop w:val="115"/>
          <w:marBottom w:val="120"/>
          <w:divBdr>
            <w:top w:val="none" w:sz="0" w:space="0" w:color="auto"/>
            <w:left w:val="none" w:sz="0" w:space="0" w:color="auto"/>
            <w:bottom w:val="none" w:sz="0" w:space="0" w:color="auto"/>
            <w:right w:val="none" w:sz="0" w:space="0" w:color="auto"/>
          </w:divBdr>
        </w:div>
      </w:divsChild>
    </w:div>
    <w:div w:id="1768572695">
      <w:bodyDiv w:val="1"/>
      <w:marLeft w:val="0"/>
      <w:marRight w:val="0"/>
      <w:marTop w:val="0"/>
      <w:marBottom w:val="0"/>
      <w:divBdr>
        <w:top w:val="none" w:sz="0" w:space="0" w:color="auto"/>
        <w:left w:val="none" w:sz="0" w:space="0" w:color="auto"/>
        <w:bottom w:val="none" w:sz="0" w:space="0" w:color="auto"/>
        <w:right w:val="none" w:sz="0" w:space="0" w:color="auto"/>
      </w:divBdr>
      <w:divsChild>
        <w:div w:id="47656929">
          <w:marLeft w:val="1166"/>
          <w:marRight w:val="0"/>
          <w:marTop w:val="134"/>
          <w:marBottom w:val="0"/>
          <w:divBdr>
            <w:top w:val="none" w:sz="0" w:space="0" w:color="auto"/>
            <w:left w:val="none" w:sz="0" w:space="0" w:color="auto"/>
            <w:bottom w:val="none" w:sz="0" w:space="0" w:color="auto"/>
            <w:right w:val="none" w:sz="0" w:space="0" w:color="auto"/>
          </w:divBdr>
        </w:div>
        <w:div w:id="640889383">
          <w:marLeft w:val="547"/>
          <w:marRight w:val="0"/>
          <w:marTop w:val="154"/>
          <w:marBottom w:val="0"/>
          <w:divBdr>
            <w:top w:val="none" w:sz="0" w:space="0" w:color="auto"/>
            <w:left w:val="none" w:sz="0" w:space="0" w:color="auto"/>
            <w:bottom w:val="none" w:sz="0" w:space="0" w:color="auto"/>
            <w:right w:val="none" w:sz="0" w:space="0" w:color="auto"/>
          </w:divBdr>
        </w:div>
        <w:div w:id="929196833">
          <w:marLeft w:val="1166"/>
          <w:marRight w:val="0"/>
          <w:marTop w:val="134"/>
          <w:marBottom w:val="0"/>
          <w:divBdr>
            <w:top w:val="none" w:sz="0" w:space="0" w:color="auto"/>
            <w:left w:val="none" w:sz="0" w:space="0" w:color="auto"/>
            <w:bottom w:val="none" w:sz="0" w:space="0" w:color="auto"/>
            <w:right w:val="none" w:sz="0" w:space="0" w:color="auto"/>
          </w:divBdr>
        </w:div>
        <w:div w:id="1245920364">
          <w:marLeft w:val="1166"/>
          <w:marRight w:val="0"/>
          <w:marTop w:val="134"/>
          <w:marBottom w:val="0"/>
          <w:divBdr>
            <w:top w:val="none" w:sz="0" w:space="0" w:color="auto"/>
            <w:left w:val="none" w:sz="0" w:space="0" w:color="auto"/>
            <w:bottom w:val="none" w:sz="0" w:space="0" w:color="auto"/>
            <w:right w:val="none" w:sz="0" w:space="0" w:color="auto"/>
          </w:divBdr>
        </w:div>
      </w:divsChild>
    </w:div>
    <w:div w:id="1769424019">
      <w:bodyDiv w:val="1"/>
      <w:marLeft w:val="0"/>
      <w:marRight w:val="0"/>
      <w:marTop w:val="0"/>
      <w:marBottom w:val="0"/>
      <w:divBdr>
        <w:top w:val="none" w:sz="0" w:space="0" w:color="auto"/>
        <w:left w:val="none" w:sz="0" w:space="0" w:color="auto"/>
        <w:bottom w:val="none" w:sz="0" w:space="0" w:color="auto"/>
        <w:right w:val="none" w:sz="0" w:space="0" w:color="auto"/>
      </w:divBdr>
    </w:div>
    <w:div w:id="1770739137">
      <w:bodyDiv w:val="1"/>
      <w:marLeft w:val="0"/>
      <w:marRight w:val="0"/>
      <w:marTop w:val="0"/>
      <w:marBottom w:val="0"/>
      <w:divBdr>
        <w:top w:val="none" w:sz="0" w:space="0" w:color="auto"/>
        <w:left w:val="none" w:sz="0" w:space="0" w:color="auto"/>
        <w:bottom w:val="none" w:sz="0" w:space="0" w:color="auto"/>
        <w:right w:val="none" w:sz="0" w:space="0" w:color="auto"/>
      </w:divBdr>
    </w:div>
    <w:div w:id="1770806037">
      <w:bodyDiv w:val="1"/>
      <w:marLeft w:val="0"/>
      <w:marRight w:val="0"/>
      <w:marTop w:val="0"/>
      <w:marBottom w:val="0"/>
      <w:divBdr>
        <w:top w:val="none" w:sz="0" w:space="0" w:color="auto"/>
        <w:left w:val="none" w:sz="0" w:space="0" w:color="auto"/>
        <w:bottom w:val="none" w:sz="0" w:space="0" w:color="auto"/>
        <w:right w:val="none" w:sz="0" w:space="0" w:color="auto"/>
      </w:divBdr>
      <w:divsChild>
        <w:div w:id="323046757">
          <w:marLeft w:val="1166"/>
          <w:marRight w:val="0"/>
          <w:marTop w:val="134"/>
          <w:marBottom w:val="0"/>
          <w:divBdr>
            <w:top w:val="none" w:sz="0" w:space="0" w:color="auto"/>
            <w:left w:val="none" w:sz="0" w:space="0" w:color="auto"/>
            <w:bottom w:val="none" w:sz="0" w:space="0" w:color="auto"/>
            <w:right w:val="none" w:sz="0" w:space="0" w:color="auto"/>
          </w:divBdr>
        </w:div>
        <w:div w:id="1047796924">
          <w:marLeft w:val="547"/>
          <w:marRight w:val="0"/>
          <w:marTop w:val="154"/>
          <w:marBottom w:val="0"/>
          <w:divBdr>
            <w:top w:val="none" w:sz="0" w:space="0" w:color="auto"/>
            <w:left w:val="none" w:sz="0" w:space="0" w:color="auto"/>
            <w:bottom w:val="none" w:sz="0" w:space="0" w:color="auto"/>
            <w:right w:val="none" w:sz="0" w:space="0" w:color="auto"/>
          </w:divBdr>
        </w:div>
        <w:div w:id="1053432509">
          <w:marLeft w:val="547"/>
          <w:marRight w:val="0"/>
          <w:marTop w:val="154"/>
          <w:marBottom w:val="0"/>
          <w:divBdr>
            <w:top w:val="none" w:sz="0" w:space="0" w:color="auto"/>
            <w:left w:val="none" w:sz="0" w:space="0" w:color="auto"/>
            <w:bottom w:val="none" w:sz="0" w:space="0" w:color="auto"/>
            <w:right w:val="none" w:sz="0" w:space="0" w:color="auto"/>
          </w:divBdr>
        </w:div>
        <w:div w:id="1611930771">
          <w:marLeft w:val="1800"/>
          <w:marRight w:val="0"/>
          <w:marTop w:val="115"/>
          <w:marBottom w:val="0"/>
          <w:divBdr>
            <w:top w:val="none" w:sz="0" w:space="0" w:color="auto"/>
            <w:left w:val="none" w:sz="0" w:space="0" w:color="auto"/>
            <w:bottom w:val="none" w:sz="0" w:space="0" w:color="auto"/>
            <w:right w:val="none" w:sz="0" w:space="0" w:color="auto"/>
          </w:divBdr>
        </w:div>
        <w:div w:id="1725255742">
          <w:marLeft w:val="1166"/>
          <w:marRight w:val="0"/>
          <w:marTop w:val="134"/>
          <w:marBottom w:val="0"/>
          <w:divBdr>
            <w:top w:val="none" w:sz="0" w:space="0" w:color="auto"/>
            <w:left w:val="none" w:sz="0" w:space="0" w:color="auto"/>
            <w:bottom w:val="none" w:sz="0" w:space="0" w:color="auto"/>
            <w:right w:val="none" w:sz="0" w:space="0" w:color="auto"/>
          </w:divBdr>
        </w:div>
        <w:div w:id="1811631803">
          <w:marLeft w:val="1166"/>
          <w:marRight w:val="0"/>
          <w:marTop w:val="134"/>
          <w:marBottom w:val="0"/>
          <w:divBdr>
            <w:top w:val="none" w:sz="0" w:space="0" w:color="auto"/>
            <w:left w:val="none" w:sz="0" w:space="0" w:color="auto"/>
            <w:bottom w:val="none" w:sz="0" w:space="0" w:color="auto"/>
            <w:right w:val="none" w:sz="0" w:space="0" w:color="auto"/>
          </w:divBdr>
        </w:div>
      </w:divsChild>
    </w:div>
    <w:div w:id="1770809577">
      <w:bodyDiv w:val="1"/>
      <w:marLeft w:val="0"/>
      <w:marRight w:val="0"/>
      <w:marTop w:val="0"/>
      <w:marBottom w:val="0"/>
      <w:divBdr>
        <w:top w:val="none" w:sz="0" w:space="0" w:color="auto"/>
        <w:left w:val="none" w:sz="0" w:space="0" w:color="auto"/>
        <w:bottom w:val="none" w:sz="0" w:space="0" w:color="auto"/>
        <w:right w:val="none" w:sz="0" w:space="0" w:color="auto"/>
      </w:divBdr>
      <w:divsChild>
        <w:div w:id="383524929">
          <w:marLeft w:val="547"/>
          <w:marRight w:val="0"/>
          <w:marTop w:val="115"/>
          <w:marBottom w:val="0"/>
          <w:divBdr>
            <w:top w:val="none" w:sz="0" w:space="0" w:color="auto"/>
            <w:left w:val="none" w:sz="0" w:space="0" w:color="auto"/>
            <w:bottom w:val="none" w:sz="0" w:space="0" w:color="auto"/>
            <w:right w:val="none" w:sz="0" w:space="0" w:color="auto"/>
          </w:divBdr>
        </w:div>
        <w:div w:id="1099064935">
          <w:marLeft w:val="1267"/>
          <w:marRight w:val="0"/>
          <w:marTop w:val="96"/>
          <w:marBottom w:val="0"/>
          <w:divBdr>
            <w:top w:val="none" w:sz="0" w:space="0" w:color="auto"/>
            <w:left w:val="none" w:sz="0" w:space="0" w:color="auto"/>
            <w:bottom w:val="none" w:sz="0" w:space="0" w:color="auto"/>
            <w:right w:val="none" w:sz="0" w:space="0" w:color="auto"/>
          </w:divBdr>
        </w:div>
        <w:div w:id="1486387512">
          <w:marLeft w:val="547"/>
          <w:marRight w:val="0"/>
          <w:marTop w:val="115"/>
          <w:marBottom w:val="0"/>
          <w:divBdr>
            <w:top w:val="none" w:sz="0" w:space="0" w:color="auto"/>
            <w:left w:val="none" w:sz="0" w:space="0" w:color="auto"/>
            <w:bottom w:val="none" w:sz="0" w:space="0" w:color="auto"/>
            <w:right w:val="none" w:sz="0" w:space="0" w:color="auto"/>
          </w:divBdr>
        </w:div>
      </w:divsChild>
    </w:div>
    <w:div w:id="1771318137">
      <w:bodyDiv w:val="1"/>
      <w:marLeft w:val="0"/>
      <w:marRight w:val="0"/>
      <w:marTop w:val="0"/>
      <w:marBottom w:val="0"/>
      <w:divBdr>
        <w:top w:val="none" w:sz="0" w:space="0" w:color="auto"/>
        <w:left w:val="none" w:sz="0" w:space="0" w:color="auto"/>
        <w:bottom w:val="none" w:sz="0" w:space="0" w:color="auto"/>
        <w:right w:val="none" w:sz="0" w:space="0" w:color="auto"/>
      </w:divBdr>
    </w:div>
    <w:div w:id="1773669336">
      <w:bodyDiv w:val="1"/>
      <w:marLeft w:val="0"/>
      <w:marRight w:val="0"/>
      <w:marTop w:val="0"/>
      <w:marBottom w:val="0"/>
      <w:divBdr>
        <w:top w:val="none" w:sz="0" w:space="0" w:color="auto"/>
        <w:left w:val="none" w:sz="0" w:space="0" w:color="auto"/>
        <w:bottom w:val="none" w:sz="0" w:space="0" w:color="auto"/>
        <w:right w:val="none" w:sz="0" w:space="0" w:color="auto"/>
      </w:divBdr>
    </w:div>
    <w:div w:id="1774201780">
      <w:bodyDiv w:val="1"/>
      <w:marLeft w:val="0"/>
      <w:marRight w:val="0"/>
      <w:marTop w:val="0"/>
      <w:marBottom w:val="0"/>
      <w:divBdr>
        <w:top w:val="none" w:sz="0" w:space="0" w:color="auto"/>
        <w:left w:val="none" w:sz="0" w:space="0" w:color="auto"/>
        <w:bottom w:val="none" w:sz="0" w:space="0" w:color="auto"/>
        <w:right w:val="none" w:sz="0" w:space="0" w:color="auto"/>
      </w:divBdr>
      <w:divsChild>
        <w:div w:id="59328710">
          <w:marLeft w:val="547"/>
          <w:marRight w:val="0"/>
          <w:marTop w:val="154"/>
          <w:marBottom w:val="0"/>
          <w:divBdr>
            <w:top w:val="none" w:sz="0" w:space="0" w:color="auto"/>
            <w:left w:val="none" w:sz="0" w:space="0" w:color="auto"/>
            <w:bottom w:val="none" w:sz="0" w:space="0" w:color="auto"/>
            <w:right w:val="none" w:sz="0" w:space="0" w:color="auto"/>
          </w:divBdr>
        </w:div>
        <w:div w:id="1437361614">
          <w:marLeft w:val="547"/>
          <w:marRight w:val="0"/>
          <w:marTop w:val="154"/>
          <w:marBottom w:val="0"/>
          <w:divBdr>
            <w:top w:val="none" w:sz="0" w:space="0" w:color="auto"/>
            <w:left w:val="none" w:sz="0" w:space="0" w:color="auto"/>
            <w:bottom w:val="none" w:sz="0" w:space="0" w:color="auto"/>
            <w:right w:val="none" w:sz="0" w:space="0" w:color="auto"/>
          </w:divBdr>
        </w:div>
        <w:div w:id="1916277110">
          <w:marLeft w:val="1166"/>
          <w:marRight w:val="0"/>
          <w:marTop w:val="134"/>
          <w:marBottom w:val="0"/>
          <w:divBdr>
            <w:top w:val="none" w:sz="0" w:space="0" w:color="auto"/>
            <w:left w:val="none" w:sz="0" w:space="0" w:color="auto"/>
            <w:bottom w:val="none" w:sz="0" w:space="0" w:color="auto"/>
            <w:right w:val="none" w:sz="0" w:space="0" w:color="auto"/>
          </w:divBdr>
        </w:div>
      </w:divsChild>
    </w:div>
    <w:div w:id="1774209138">
      <w:bodyDiv w:val="1"/>
      <w:marLeft w:val="0"/>
      <w:marRight w:val="0"/>
      <w:marTop w:val="0"/>
      <w:marBottom w:val="0"/>
      <w:divBdr>
        <w:top w:val="none" w:sz="0" w:space="0" w:color="auto"/>
        <w:left w:val="none" w:sz="0" w:space="0" w:color="auto"/>
        <w:bottom w:val="none" w:sz="0" w:space="0" w:color="auto"/>
        <w:right w:val="none" w:sz="0" w:space="0" w:color="auto"/>
      </w:divBdr>
    </w:div>
    <w:div w:id="1774477171">
      <w:bodyDiv w:val="1"/>
      <w:marLeft w:val="0"/>
      <w:marRight w:val="0"/>
      <w:marTop w:val="0"/>
      <w:marBottom w:val="0"/>
      <w:divBdr>
        <w:top w:val="none" w:sz="0" w:space="0" w:color="auto"/>
        <w:left w:val="none" w:sz="0" w:space="0" w:color="auto"/>
        <w:bottom w:val="none" w:sz="0" w:space="0" w:color="auto"/>
        <w:right w:val="none" w:sz="0" w:space="0" w:color="auto"/>
      </w:divBdr>
    </w:div>
    <w:div w:id="1774859045">
      <w:bodyDiv w:val="1"/>
      <w:marLeft w:val="0"/>
      <w:marRight w:val="0"/>
      <w:marTop w:val="0"/>
      <w:marBottom w:val="0"/>
      <w:divBdr>
        <w:top w:val="none" w:sz="0" w:space="0" w:color="auto"/>
        <w:left w:val="none" w:sz="0" w:space="0" w:color="auto"/>
        <w:bottom w:val="none" w:sz="0" w:space="0" w:color="auto"/>
        <w:right w:val="none" w:sz="0" w:space="0" w:color="auto"/>
      </w:divBdr>
    </w:div>
    <w:div w:id="1775704901">
      <w:bodyDiv w:val="1"/>
      <w:marLeft w:val="0"/>
      <w:marRight w:val="0"/>
      <w:marTop w:val="0"/>
      <w:marBottom w:val="0"/>
      <w:divBdr>
        <w:top w:val="none" w:sz="0" w:space="0" w:color="auto"/>
        <w:left w:val="none" w:sz="0" w:space="0" w:color="auto"/>
        <w:bottom w:val="none" w:sz="0" w:space="0" w:color="auto"/>
        <w:right w:val="none" w:sz="0" w:space="0" w:color="auto"/>
      </w:divBdr>
    </w:div>
    <w:div w:id="1776169632">
      <w:bodyDiv w:val="1"/>
      <w:marLeft w:val="0"/>
      <w:marRight w:val="0"/>
      <w:marTop w:val="0"/>
      <w:marBottom w:val="0"/>
      <w:divBdr>
        <w:top w:val="none" w:sz="0" w:space="0" w:color="auto"/>
        <w:left w:val="none" w:sz="0" w:space="0" w:color="auto"/>
        <w:bottom w:val="none" w:sz="0" w:space="0" w:color="auto"/>
        <w:right w:val="none" w:sz="0" w:space="0" w:color="auto"/>
      </w:divBdr>
    </w:div>
    <w:div w:id="1776553519">
      <w:bodyDiv w:val="1"/>
      <w:marLeft w:val="0"/>
      <w:marRight w:val="0"/>
      <w:marTop w:val="0"/>
      <w:marBottom w:val="0"/>
      <w:divBdr>
        <w:top w:val="none" w:sz="0" w:space="0" w:color="auto"/>
        <w:left w:val="none" w:sz="0" w:space="0" w:color="auto"/>
        <w:bottom w:val="none" w:sz="0" w:space="0" w:color="auto"/>
        <w:right w:val="none" w:sz="0" w:space="0" w:color="auto"/>
      </w:divBdr>
    </w:div>
    <w:div w:id="1777627508">
      <w:bodyDiv w:val="1"/>
      <w:marLeft w:val="0"/>
      <w:marRight w:val="0"/>
      <w:marTop w:val="0"/>
      <w:marBottom w:val="0"/>
      <w:divBdr>
        <w:top w:val="none" w:sz="0" w:space="0" w:color="auto"/>
        <w:left w:val="none" w:sz="0" w:space="0" w:color="auto"/>
        <w:bottom w:val="none" w:sz="0" w:space="0" w:color="auto"/>
        <w:right w:val="none" w:sz="0" w:space="0" w:color="auto"/>
      </w:divBdr>
      <w:divsChild>
        <w:div w:id="422411542">
          <w:marLeft w:val="547"/>
          <w:marRight w:val="0"/>
          <w:marTop w:val="120"/>
          <w:marBottom w:val="0"/>
          <w:divBdr>
            <w:top w:val="none" w:sz="0" w:space="0" w:color="auto"/>
            <w:left w:val="none" w:sz="0" w:space="0" w:color="auto"/>
            <w:bottom w:val="none" w:sz="0" w:space="0" w:color="auto"/>
            <w:right w:val="none" w:sz="0" w:space="0" w:color="auto"/>
          </w:divBdr>
        </w:div>
        <w:div w:id="758064379">
          <w:marLeft w:val="1166"/>
          <w:marRight w:val="0"/>
          <w:marTop w:val="106"/>
          <w:marBottom w:val="0"/>
          <w:divBdr>
            <w:top w:val="none" w:sz="0" w:space="0" w:color="auto"/>
            <w:left w:val="none" w:sz="0" w:space="0" w:color="auto"/>
            <w:bottom w:val="none" w:sz="0" w:space="0" w:color="auto"/>
            <w:right w:val="none" w:sz="0" w:space="0" w:color="auto"/>
          </w:divBdr>
        </w:div>
        <w:div w:id="1841432899">
          <w:marLeft w:val="1166"/>
          <w:marRight w:val="0"/>
          <w:marTop w:val="106"/>
          <w:marBottom w:val="0"/>
          <w:divBdr>
            <w:top w:val="none" w:sz="0" w:space="0" w:color="auto"/>
            <w:left w:val="none" w:sz="0" w:space="0" w:color="auto"/>
            <w:bottom w:val="none" w:sz="0" w:space="0" w:color="auto"/>
            <w:right w:val="none" w:sz="0" w:space="0" w:color="auto"/>
          </w:divBdr>
        </w:div>
      </w:divsChild>
    </w:div>
    <w:div w:id="1777670096">
      <w:bodyDiv w:val="1"/>
      <w:marLeft w:val="0"/>
      <w:marRight w:val="0"/>
      <w:marTop w:val="0"/>
      <w:marBottom w:val="0"/>
      <w:divBdr>
        <w:top w:val="none" w:sz="0" w:space="0" w:color="auto"/>
        <w:left w:val="none" w:sz="0" w:space="0" w:color="auto"/>
        <w:bottom w:val="none" w:sz="0" w:space="0" w:color="auto"/>
        <w:right w:val="none" w:sz="0" w:space="0" w:color="auto"/>
      </w:divBdr>
    </w:div>
    <w:div w:id="1778021670">
      <w:bodyDiv w:val="1"/>
      <w:marLeft w:val="0"/>
      <w:marRight w:val="0"/>
      <w:marTop w:val="0"/>
      <w:marBottom w:val="0"/>
      <w:divBdr>
        <w:top w:val="none" w:sz="0" w:space="0" w:color="auto"/>
        <w:left w:val="none" w:sz="0" w:space="0" w:color="auto"/>
        <w:bottom w:val="none" w:sz="0" w:space="0" w:color="auto"/>
        <w:right w:val="none" w:sz="0" w:space="0" w:color="auto"/>
      </w:divBdr>
    </w:div>
    <w:div w:id="1778207982">
      <w:bodyDiv w:val="1"/>
      <w:marLeft w:val="0"/>
      <w:marRight w:val="0"/>
      <w:marTop w:val="0"/>
      <w:marBottom w:val="0"/>
      <w:divBdr>
        <w:top w:val="none" w:sz="0" w:space="0" w:color="auto"/>
        <w:left w:val="none" w:sz="0" w:space="0" w:color="auto"/>
        <w:bottom w:val="none" w:sz="0" w:space="0" w:color="auto"/>
        <w:right w:val="none" w:sz="0" w:space="0" w:color="auto"/>
      </w:divBdr>
      <w:divsChild>
        <w:div w:id="1036080857">
          <w:marLeft w:val="547"/>
          <w:marRight w:val="0"/>
          <w:marTop w:val="154"/>
          <w:marBottom w:val="0"/>
          <w:divBdr>
            <w:top w:val="none" w:sz="0" w:space="0" w:color="auto"/>
            <w:left w:val="none" w:sz="0" w:space="0" w:color="auto"/>
            <w:bottom w:val="none" w:sz="0" w:space="0" w:color="auto"/>
            <w:right w:val="none" w:sz="0" w:space="0" w:color="auto"/>
          </w:divBdr>
        </w:div>
      </w:divsChild>
    </w:div>
    <w:div w:id="1778519822">
      <w:bodyDiv w:val="1"/>
      <w:marLeft w:val="0"/>
      <w:marRight w:val="0"/>
      <w:marTop w:val="0"/>
      <w:marBottom w:val="0"/>
      <w:divBdr>
        <w:top w:val="none" w:sz="0" w:space="0" w:color="auto"/>
        <w:left w:val="none" w:sz="0" w:space="0" w:color="auto"/>
        <w:bottom w:val="none" w:sz="0" w:space="0" w:color="auto"/>
        <w:right w:val="none" w:sz="0" w:space="0" w:color="auto"/>
      </w:divBdr>
      <w:divsChild>
        <w:div w:id="27340062">
          <w:marLeft w:val="1800"/>
          <w:marRight w:val="0"/>
          <w:marTop w:val="86"/>
          <w:marBottom w:val="0"/>
          <w:divBdr>
            <w:top w:val="none" w:sz="0" w:space="0" w:color="auto"/>
            <w:left w:val="none" w:sz="0" w:space="0" w:color="auto"/>
            <w:bottom w:val="none" w:sz="0" w:space="0" w:color="auto"/>
            <w:right w:val="none" w:sz="0" w:space="0" w:color="auto"/>
          </w:divBdr>
        </w:div>
        <w:div w:id="405954039">
          <w:marLeft w:val="1166"/>
          <w:marRight w:val="0"/>
          <w:marTop w:val="96"/>
          <w:marBottom w:val="0"/>
          <w:divBdr>
            <w:top w:val="none" w:sz="0" w:space="0" w:color="auto"/>
            <w:left w:val="none" w:sz="0" w:space="0" w:color="auto"/>
            <w:bottom w:val="none" w:sz="0" w:space="0" w:color="auto"/>
            <w:right w:val="none" w:sz="0" w:space="0" w:color="auto"/>
          </w:divBdr>
        </w:div>
        <w:div w:id="489563162">
          <w:marLeft w:val="1800"/>
          <w:marRight w:val="0"/>
          <w:marTop w:val="86"/>
          <w:marBottom w:val="0"/>
          <w:divBdr>
            <w:top w:val="none" w:sz="0" w:space="0" w:color="auto"/>
            <w:left w:val="none" w:sz="0" w:space="0" w:color="auto"/>
            <w:bottom w:val="none" w:sz="0" w:space="0" w:color="auto"/>
            <w:right w:val="none" w:sz="0" w:space="0" w:color="auto"/>
          </w:divBdr>
        </w:div>
        <w:div w:id="510149690">
          <w:marLeft w:val="547"/>
          <w:marRight w:val="0"/>
          <w:marTop w:val="96"/>
          <w:marBottom w:val="0"/>
          <w:divBdr>
            <w:top w:val="none" w:sz="0" w:space="0" w:color="auto"/>
            <w:left w:val="none" w:sz="0" w:space="0" w:color="auto"/>
            <w:bottom w:val="none" w:sz="0" w:space="0" w:color="auto"/>
            <w:right w:val="none" w:sz="0" w:space="0" w:color="auto"/>
          </w:divBdr>
        </w:div>
        <w:div w:id="1042824100">
          <w:marLeft w:val="1800"/>
          <w:marRight w:val="0"/>
          <w:marTop w:val="86"/>
          <w:marBottom w:val="0"/>
          <w:divBdr>
            <w:top w:val="none" w:sz="0" w:space="0" w:color="auto"/>
            <w:left w:val="none" w:sz="0" w:space="0" w:color="auto"/>
            <w:bottom w:val="none" w:sz="0" w:space="0" w:color="auto"/>
            <w:right w:val="none" w:sz="0" w:space="0" w:color="auto"/>
          </w:divBdr>
        </w:div>
        <w:div w:id="1161851009">
          <w:marLeft w:val="1166"/>
          <w:marRight w:val="0"/>
          <w:marTop w:val="96"/>
          <w:marBottom w:val="0"/>
          <w:divBdr>
            <w:top w:val="none" w:sz="0" w:space="0" w:color="auto"/>
            <w:left w:val="none" w:sz="0" w:space="0" w:color="auto"/>
            <w:bottom w:val="none" w:sz="0" w:space="0" w:color="auto"/>
            <w:right w:val="none" w:sz="0" w:space="0" w:color="auto"/>
          </w:divBdr>
        </w:div>
        <w:div w:id="1284772377">
          <w:marLeft w:val="1800"/>
          <w:marRight w:val="0"/>
          <w:marTop w:val="86"/>
          <w:marBottom w:val="0"/>
          <w:divBdr>
            <w:top w:val="none" w:sz="0" w:space="0" w:color="auto"/>
            <w:left w:val="none" w:sz="0" w:space="0" w:color="auto"/>
            <w:bottom w:val="none" w:sz="0" w:space="0" w:color="auto"/>
            <w:right w:val="none" w:sz="0" w:space="0" w:color="auto"/>
          </w:divBdr>
        </w:div>
      </w:divsChild>
    </w:div>
    <w:div w:id="1778671893">
      <w:bodyDiv w:val="1"/>
      <w:marLeft w:val="0"/>
      <w:marRight w:val="0"/>
      <w:marTop w:val="0"/>
      <w:marBottom w:val="0"/>
      <w:divBdr>
        <w:top w:val="none" w:sz="0" w:space="0" w:color="auto"/>
        <w:left w:val="none" w:sz="0" w:space="0" w:color="auto"/>
        <w:bottom w:val="none" w:sz="0" w:space="0" w:color="auto"/>
        <w:right w:val="none" w:sz="0" w:space="0" w:color="auto"/>
      </w:divBdr>
    </w:div>
    <w:div w:id="1779374012">
      <w:bodyDiv w:val="1"/>
      <w:marLeft w:val="0"/>
      <w:marRight w:val="0"/>
      <w:marTop w:val="0"/>
      <w:marBottom w:val="0"/>
      <w:divBdr>
        <w:top w:val="none" w:sz="0" w:space="0" w:color="auto"/>
        <w:left w:val="none" w:sz="0" w:space="0" w:color="auto"/>
        <w:bottom w:val="none" w:sz="0" w:space="0" w:color="auto"/>
        <w:right w:val="none" w:sz="0" w:space="0" w:color="auto"/>
      </w:divBdr>
    </w:div>
    <w:div w:id="1779913960">
      <w:bodyDiv w:val="1"/>
      <w:marLeft w:val="0"/>
      <w:marRight w:val="0"/>
      <w:marTop w:val="0"/>
      <w:marBottom w:val="0"/>
      <w:divBdr>
        <w:top w:val="none" w:sz="0" w:space="0" w:color="auto"/>
        <w:left w:val="none" w:sz="0" w:space="0" w:color="auto"/>
        <w:bottom w:val="none" w:sz="0" w:space="0" w:color="auto"/>
        <w:right w:val="none" w:sz="0" w:space="0" w:color="auto"/>
      </w:divBdr>
      <w:divsChild>
        <w:div w:id="1408456756">
          <w:marLeft w:val="1800"/>
          <w:marRight w:val="0"/>
          <w:marTop w:val="77"/>
          <w:marBottom w:val="0"/>
          <w:divBdr>
            <w:top w:val="none" w:sz="0" w:space="0" w:color="auto"/>
            <w:left w:val="none" w:sz="0" w:space="0" w:color="auto"/>
            <w:bottom w:val="none" w:sz="0" w:space="0" w:color="auto"/>
            <w:right w:val="none" w:sz="0" w:space="0" w:color="auto"/>
          </w:divBdr>
        </w:div>
        <w:div w:id="1489445069">
          <w:marLeft w:val="1166"/>
          <w:marRight w:val="0"/>
          <w:marTop w:val="96"/>
          <w:marBottom w:val="0"/>
          <w:divBdr>
            <w:top w:val="none" w:sz="0" w:space="0" w:color="auto"/>
            <w:left w:val="none" w:sz="0" w:space="0" w:color="auto"/>
            <w:bottom w:val="none" w:sz="0" w:space="0" w:color="auto"/>
            <w:right w:val="none" w:sz="0" w:space="0" w:color="auto"/>
          </w:divBdr>
        </w:div>
        <w:div w:id="1606691310">
          <w:marLeft w:val="547"/>
          <w:marRight w:val="0"/>
          <w:marTop w:val="115"/>
          <w:marBottom w:val="0"/>
          <w:divBdr>
            <w:top w:val="none" w:sz="0" w:space="0" w:color="auto"/>
            <w:left w:val="none" w:sz="0" w:space="0" w:color="auto"/>
            <w:bottom w:val="none" w:sz="0" w:space="0" w:color="auto"/>
            <w:right w:val="none" w:sz="0" w:space="0" w:color="auto"/>
          </w:divBdr>
        </w:div>
        <w:div w:id="1685787330">
          <w:marLeft w:val="1800"/>
          <w:marRight w:val="0"/>
          <w:marTop w:val="77"/>
          <w:marBottom w:val="0"/>
          <w:divBdr>
            <w:top w:val="none" w:sz="0" w:space="0" w:color="auto"/>
            <w:left w:val="none" w:sz="0" w:space="0" w:color="auto"/>
            <w:bottom w:val="none" w:sz="0" w:space="0" w:color="auto"/>
            <w:right w:val="none" w:sz="0" w:space="0" w:color="auto"/>
          </w:divBdr>
        </w:div>
      </w:divsChild>
    </w:div>
    <w:div w:id="1780294292">
      <w:bodyDiv w:val="1"/>
      <w:marLeft w:val="0"/>
      <w:marRight w:val="0"/>
      <w:marTop w:val="0"/>
      <w:marBottom w:val="0"/>
      <w:divBdr>
        <w:top w:val="none" w:sz="0" w:space="0" w:color="auto"/>
        <w:left w:val="none" w:sz="0" w:space="0" w:color="auto"/>
        <w:bottom w:val="none" w:sz="0" w:space="0" w:color="auto"/>
        <w:right w:val="none" w:sz="0" w:space="0" w:color="auto"/>
      </w:divBdr>
    </w:div>
    <w:div w:id="1780834898">
      <w:bodyDiv w:val="1"/>
      <w:marLeft w:val="0"/>
      <w:marRight w:val="0"/>
      <w:marTop w:val="0"/>
      <w:marBottom w:val="0"/>
      <w:divBdr>
        <w:top w:val="none" w:sz="0" w:space="0" w:color="auto"/>
        <w:left w:val="none" w:sz="0" w:space="0" w:color="auto"/>
        <w:bottom w:val="none" w:sz="0" w:space="0" w:color="auto"/>
        <w:right w:val="none" w:sz="0" w:space="0" w:color="auto"/>
      </w:divBdr>
      <w:divsChild>
        <w:div w:id="304360881">
          <w:marLeft w:val="360"/>
          <w:marRight w:val="0"/>
          <w:marTop w:val="200"/>
          <w:marBottom w:val="0"/>
          <w:divBdr>
            <w:top w:val="none" w:sz="0" w:space="0" w:color="auto"/>
            <w:left w:val="none" w:sz="0" w:space="0" w:color="auto"/>
            <w:bottom w:val="none" w:sz="0" w:space="0" w:color="auto"/>
            <w:right w:val="none" w:sz="0" w:space="0" w:color="auto"/>
          </w:divBdr>
        </w:div>
        <w:div w:id="633757604">
          <w:marLeft w:val="1080"/>
          <w:marRight w:val="0"/>
          <w:marTop w:val="100"/>
          <w:marBottom w:val="0"/>
          <w:divBdr>
            <w:top w:val="none" w:sz="0" w:space="0" w:color="auto"/>
            <w:left w:val="none" w:sz="0" w:space="0" w:color="auto"/>
            <w:bottom w:val="none" w:sz="0" w:space="0" w:color="auto"/>
            <w:right w:val="none" w:sz="0" w:space="0" w:color="auto"/>
          </w:divBdr>
        </w:div>
        <w:div w:id="693118478">
          <w:marLeft w:val="1080"/>
          <w:marRight w:val="0"/>
          <w:marTop w:val="100"/>
          <w:marBottom w:val="0"/>
          <w:divBdr>
            <w:top w:val="none" w:sz="0" w:space="0" w:color="auto"/>
            <w:left w:val="none" w:sz="0" w:space="0" w:color="auto"/>
            <w:bottom w:val="none" w:sz="0" w:space="0" w:color="auto"/>
            <w:right w:val="none" w:sz="0" w:space="0" w:color="auto"/>
          </w:divBdr>
        </w:div>
        <w:div w:id="1001855351">
          <w:marLeft w:val="1800"/>
          <w:marRight w:val="0"/>
          <w:marTop w:val="100"/>
          <w:marBottom w:val="0"/>
          <w:divBdr>
            <w:top w:val="none" w:sz="0" w:space="0" w:color="auto"/>
            <w:left w:val="none" w:sz="0" w:space="0" w:color="auto"/>
            <w:bottom w:val="none" w:sz="0" w:space="0" w:color="auto"/>
            <w:right w:val="none" w:sz="0" w:space="0" w:color="auto"/>
          </w:divBdr>
        </w:div>
        <w:div w:id="1725641426">
          <w:marLeft w:val="1080"/>
          <w:marRight w:val="0"/>
          <w:marTop w:val="100"/>
          <w:marBottom w:val="0"/>
          <w:divBdr>
            <w:top w:val="none" w:sz="0" w:space="0" w:color="auto"/>
            <w:left w:val="none" w:sz="0" w:space="0" w:color="auto"/>
            <w:bottom w:val="none" w:sz="0" w:space="0" w:color="auto"/>
            <w:right w:val="none" w:sz="0" w:space="0" w:color="auto"/>
          </w:divBdr>
        </w:div>
        <w:div w:id="1872454230">
          <w:marLeft w:val="1080"/>
          <w:marRight w:val="0"/>
          <w:marTop w:val="100"/>
          <w:marBottom w:val="0"/>
          <w:divBdr>
            <w:top w:val="none" w:sz="0" w:space="0" w:color="auto"/>
            <w:left w:val="none" w:sz="0" w:space="0" w:color="auto"/>
            <w:bottom w:val="none" w:sz="0" w:space="0" w:color="auto"/>
            <w:right w:val="none" w:sz="0" w:space="0" w:color="auto"/>
          </w:divBdr>
        </w:div>
      </w:divsChild>
    </w:div>
    <w:div w:id="1780907798">
      <w:bodyDiv w:val="1"/>
      <w:marLeft w:val="0"/>
      <w:marRight w:val="0"/>
      <w:marTop w:val="0"/>
      <w:marBottom w:val="0"/>
      <w:divBdr>
        <w:top w:val="none" w:sz="0" w:space="0" w:color="auto"/>
        <w:left w:val="none" w:sz="0" w:space="0" w:color="auto"/>
        <w:bottom w:val="none" w:sz="0" w:space="0" w:color="auto"/>
        <w:right w:val="none" w:sz="0" w:space="0" w:color="auto"/>
      </w:divBdr>
    </w:div>
    <w:div w:id="1781072631">
      <w:bodyDiv w:val="1"/>
      <w:marLeft w:val="0"/>
      <w:marRight w:val="0"/>
      <w:marTop w:val="0"/>
      <w:marBottom w:val="0"/>
      <w:divBdr>
        <w:top w:val="none" w:sz="0" w:space="0" w:color="auto"/>
        <w:left w:val="none" w:sz="0" w:space="0" w:color="auto"/>
        <w:bottom w:val="none" w:sz="0" w:space="0" w:color="auto"/>
        <w:right w:val="none" w:sz="0" w:space="0" w:color="auto"/>
      </w:divBdr>
    </w:div>
    <w:div w:id="1783070053">
      <w:bodyDiv w:val="1"/>
      <w:marLeft w:val="0"/>
      <w:marRight w:val="0"/>
      <w:marTop w:val="0"/>
      <w:marBottom w:val="0"/>
      <w:divBdr>
        <w:top w:val="none" w:sz="0" w:space="0" w:color="auto"/>
        <w:left w:val="none" w:sz="0" w:space="0" w:color="auto"/>
        <w:bottom w:val="none" w:sz="0" w:space="0" w:color="auto"/>
        <w:right w:val="none" w:sz="0" w:space="0" w:color="auto"/>
      </w:divBdr>
    </w:div>
    <w:div w:id="1783764577">
      <w:bodyDiv w:val="1"/>
      <w:marLeft w:val="0"/>
      <w:marRight w:val="0"/>
      <w:marTop w:val="0"/>
      <w:marBottom w:val="0"/>
      <w:divBdr>
        <w:top w:val="none" w:sz="0" w:space="0" w:color="auto"/>
        <w:left w:val="none" w:sz="0" w:space="0" w:color="auto"/>
        <w:bottom w:val="none" w:sz="0" w:space="0" w:color="auto"/>
        <w:right w:val="none" w:sz="0" w:space="0" w:color="auto"/>
      </w:divBdr>
    </w:div>
    <w:div w:id="1783962842">
      <w:bodyDiv w:val="1"/>
      <w:marLeft w:val="0"/>
      <w:marRight w:val="0"/>
      <w:marTop w:val="0"/>
      <w:marBottom w:val="0"/>
      <w:divBdr>
        <w:top w:val="none" w:sz="0" w:space="0" w:color="auto"/>
        <w:left w:val="none" w:sz="0" w:space="0" w:color="auto"/>
        <w:bottom w:val="none" w:sz="0" w:space="0" w:color="auto"/>
        <w:right w:val="none" w:sz="0" w:space="0" w:color="auto"/>
      </w:divBdr>
    </w:div>
    <w:div w:id="1784958457">
      <w:bodyDiv w:val="1"/>
      <w:marLeft w:val="0"/>
      <w:marRight w:val="0"/>
      <w:marTop w:val="0"/>
      <w:marBottom w:val="0"/>
      <w:divBdr>
        <w:top w:val="none" w:sz="0" w:space="0" w:color="auto"/>
        <w:left w:val="none" w:sz="0" w:space="0" w:color="auto"/>
        <w:bottom w:val="none" w:sz="0" w:space="0" w:color="auto"/>
        <w:right w:val="none" w:sz="0" w:space="0" w:color="auto"/>
      </w:divBdr>
    </w:div>
    <w:div w:id="1785149853">
      <w:bodyDiv w:val="1"/>
      <w:marLeft w:val="0"/>
      <w:marRight w:val="0"/>
      <w:marTop w:val="0"/>
      <w:marBottom w:val="0"/>
      <w:divBdr>
        <w:top w:val="none" w:sz="0" w:space="0" w:color="auto"/>
        <w:left w:val="none" w:sz="0" w:space="0" w:color="auto"/>
        <w:bottom w:val="none" w:sz="0" w:space="0" w:color="auto"/>
        <w:right w:val="none" w:sz="0" w:space="0" w:color="auto"/>
      </w:divBdr>
      <w:divsChild>
        <w:div w:id="1397505995">
          <w:marLeft w:val="547"/>
          <w:marRight w:val="0"/>
          <w:marTop w:val="115"/>
          <w:marBottom w:val="0"/>
          <w:divBdr>
            <w:top w:val="none" w:sz="0" w:space="0" w:color="auto"/>
            <w:left w:val="none" w:sz="0" w:space="0" w:color="auto"/>
            <w:bottom w:val="none" w:sz="0" w:space="0" w:color="auto"/>
            <w:right w:val="none" w:sz="0" w:space="0" w:color="auto"/>
          </w:divBdr>
        </w:div>
        <w:div w:id="1831750283">
          <w:marLeft w:val="1166"/>
          <w:marRight w:val="0"/>
          <w:marTop w:val="96"/>
          <w:marBottom w:val="0"/>
          <w:divBdr>
            <w:top w:val="none" w:sz="0" w:space="0" w:color="auto"/>
            <w:left w:val="none" w:sz="0" w:space="0" w:color="auto"/>
            <w:bottom w:val="none" w:sz="0" w:space="0" w:color="auto"/>
            <w:right w:val="none" w:sz="0" w:space="0" w:color="auto"/>
          </w:divBdr>
        </w:div>
        <w:div w:id="1943683461">
          <w:marLeft w:val="547"/>
          <w:marRight w:val="0"/>
          <w:marTop w:val="115"/>
          <w:marBottom w:val="0"/>
          <w:divBdr>
            <w:top w:val="none" w:sz="0" w:space="0" w:color="auto"/>
            <w:left w:val="none" w:sz="0" w:space="0" w:color="auto"/>
            <w:bottom w:val="none" w:sz="0" w:space="0" w:color="auto"/>
            <w:right w:val="none" w:sz="0" w:space="0" w:color="auto"/>
          </w:divBdr>
        </w:div>
      </w:divsChild>
    </w:div>
    <w:div w:id="1785156041">
      <w:bodyDiv w:val="1"/>
      <w:marLeft w:val="0"/>
      <w:marRight w:val="0"/>
      <w:marTop w:val="0"/>
      <w:marBottom w:val="0"/>
      <w:divBdr>
        <w:top w:val="none" w:sz="0" w:space="0" w:color="auto"/>
        <w:left w:val="none" w:sz="0" w:space="0" w:color="auto"/>
        <w:bottom w:val="none" w:sz="0" w:space="0" w:color="auto"/>
        <w:right w:val="none" w:sz="0" w:space="0" w:color="auto"/>
      </w:divBdr>
    </w:div>
    <w:div w:id="1786079954">
      <w:bodyDiv w:val="1"/>
      <w:marLeft w:val="0"/>
      <w:marRight w:val="0"/>
      <w:marTop w:val="0"/>
      <w:marBottom w:val="0"/>
      <w:divBdr>
        <w:top w:val="none" w:sz="0" w:space="0" w:color="auto"/>
        <w:left w:val="none" w:sz="0" w:space="0" w:color="auto"/>
        <w:bottom w:val="none" w:sz="0" w:space="0" w:color="auto"/>
        <w:right w:val="none" w:sz="0" w:space="0" w:color="auto"/>
      </w:divBdr>
    </w:div>
    <w:div w:id="1786727229">
      <w:bodyDiv w:val="1"/>
      <w:marLeft w:val="0"/>
      <w:marRight w:val="0"/>
      <w:marTop w:val="0"/>
      <w:marBottom w:val="0"/>
      <w:divBdr>
        <w:top w:val="none" w:sz="0" w:space="0" w:color="auto"/>
        <w:left w:val="none" w:sz="0" w:space="0" w:color="auto"/>
        <w:bottom w:val="none" w:sz="0" w:space="0" w:color="auto"/>
        <w:right w:val="none" w:sz="0" w:space="0" w:color="auto"/>
      </w:divBdr>
      <w:divsChild>
        <w:div w:id="155074314">
          <w:marLeft w:val="1166"/>
          <w:marRight w:val="0"/>
          <w:marTop w:val="96"/>
          <w:marBottom w:val="0"/>
          <w:divBdr>
            <w:top w:val="none" w:sz="0" w:space="0" w:color="auto"/>
            <w:left w:val="none" w:sz="0" w:space="0" w:color="auto"/>
            <w:bottom w:val="none" w:sz="0" w:space="0" w:color="auto"/>
            <w:right w:val="none" w:sz="0" w:space="0" w:color="auto"/>
          </w:divBdr>
        </w:div>
        <w:div w:id="255870559">
          <w:marLeft w:val="1166"/>
          <w:marRight w:val="0"/>
          <w:marTop w:val="96"/>
          <w:marBottom w:val="0"/>
          <w:divBdr>
            <w:top w:val="none" w:sz="0" w:space="0" w:color="auto"/>
            <w:left w:val="none" w:sz="0" w:space="0" w:color="auto"/>
            <w:bottom w:val="none" w:sz="0" w:space="0" w:color="auto"/>
            <w:right w:val="none" w:sz="0" w:space="0" w:color="auto"/>
          </w:divBdr>
        </w:div>
        <w:div w:id="313265523">
          <w:marLeft w:val="1166"/>
          <w:marRight w:val="0"/>
          <w:marTop w:val="96"/>
          <w:marBottom w:val="0"/>
          <w:divBdr>
            <w:top w:val="none" w:sz="0" w:space="0" w:color="auto"/>
            <w:left w:val="none" w:sz="0" w:space="0" w:color="auto"/>
            <w:bottom w:val="none" w:sz="0" w:space="0" w:color="auto"/>
            <w:right w:val="none" w:sz="0" w:space="0" w:color="auto"/>
          </w:divBdr>
        </w:div>
        <w:div w:id="956521411">
          <w:marLeft w:val="547"/>
          <w:marRight w:val="0"/>
          <w:marTop w:val="115"/>
          <w:marBottom w:val="0"/>
          <w:divBdr>
            <w:top w:val="none" w:sz="0" w:space="0" w:color="auto"/>
            <w:left w:val="none" w:sz="0" w:space="0" w:color="auto"/>
            <w:bottom w:val="none" w:sz="0" w:space="0" w:color="auto"/>
            <w:right w:val="none" w:sz="0" w:space="0" w:color="auto"/>
          </w:divBdr>
        </w:div>
        <w:div w:id="1932465831">
          <w:marLeft w:val="547"/>
          <w:marRight w:val="0"/>
          <w:marTop w:val="115"/>
          <w:marBottom w:val="0"/>
          <w:divBdr>
            <w:top w:val="none" w:sz="0" w:space="0" w:color="auto"/>
            <w:left w:val="none" w:sz="0" w:space="0" w:color="auto"/>
            <w:bottom w:val="none" w:sz="0" w:space="0" w:color="auto"/>
            <w:right w:val="none" w:sz="0" w:space="0" w:color="auto"/>
          </w:divBdr>
        </w:div>
        <w:div w:id="1933128653">
          <w:marLeft w:val="1800"/>
          <w:marRight w:val="0"/>
          <w:marTop w:val="77"/>
          <w:marBottom w:val="0"/>
          <w:divBdr>
            <w:top w:val="none" w:sz="0" w:space="0" w:color="auto"/>
            <w:left w:val="none" w:sz="0" w:space="0" w:color="auto"/>
            <w:bottom w:val="none" w:sz="0" w:space="0" w:color="auto"/>
            <w:right w:val="none" w:sz="0" w:space="0" w:color="auto"/>
          </w:divBdr>
        </w:div>
      </w:divsChild>
    </w:div>
    <w:div w:id="1787579387">
      <w:bodyDiv w:val="1"/>
      <w:marLeft w:val="0"/>
      <w:marRight w:val="0"/>
      <w:marTop w:val="0"/>
      <w:marBottom w:val="0"/>
      <w:divBdr>
        <w:top w:val="none" w:sz="0" w:space="0" w:color="auto"/>
        <w:left w:val="none" w:sz="0" w:space="0" w:color="auto"/>
        <w:bottom w:val="none" w:sz="0" w:space="0" w:color="auto"/>
        <w:right w:val="none" w:sz="0" w:space="0" w:color="auto"/>
      </w:divBdr>
      <w:divsChild>
        <w:div w:id="130176748">
          <w:marLeft w:val="547"/>
          <w:marRight w:val="0"/>
          <w:marTop w:val="134"/>
          <w:marBottom w:val="0"/>
          <w:divBdr>
            <w:top w:val="none" w:sz="0" w:space="0" w:color="auto"/>
            <w:left w:val="none" w:sz="0" w:space="0" w:color="auto"/>
            <w:bottom w:val="none" w:sz="0" w:space="0" w:color="auto"/>
            <w:right w:val="none" w:sz="0" w:space="0" w:color="auto"/>
          </w:divBdr>
        </w:div>
        <w:div w:id="459809729">
          <w:marLeft w:val="1166"/>
          <w:marRight w:val="0"/>
          <w:marTop w:val="115"/>
          <w:marBottom w:val="0"/>
          <w:divBdr>
            <w:top w:val="none" w:sz="0" w:space="0" w:color="auto"/>
            <w:left w:val="none" w:sz="0" w:space="0" w:color="auto"/>
            <w:bottom w:val="none" w:sz="0" w:space="0" w:color="auto"/>
            <w:right w:val="none" w:sz="0" w:space="0" w:color="auto"/>
          </w:divBdr>
        </w:div>
        <w:div w:id="1085954401">
          <w:marLeft w:val="1166"/>
          <w:marRight w:val="0"/>
          <w:marTop w:val="115"/>
          <w:marBottom w:val="0"/>
          <w:divBdr>
            <w:top w:val="none" w:sz="0" w:space="0" w:color="auto"/>
            <w:left w:val="none" w:sz="0" w:space="0" w:color="auto"/>
            <w:bottom w:val="none" w:sz="0" w:space="0" w:color="auto"/>
            <w:right w:val="none" w:sz="0" w:space="0" w:color="auto"/>
          </w:divBdr>
        </w:div>
        <w:div w:id="1704555134">
          <w:marLeft w:val="1166"/>
          <w:marRight w:val="0"/>
          <w:marTop w:val="115"/>
          <w:marBottom w:val="0"/>
          <w:divBdr>
            <w:top w:val="none" w:sz="0" w:space="0" w:color="auto"/>
            <w:left w:val="none" w:sz="0" w:space="0" w:color="auto"/>
            <w:bottom w:val="none" w:sz="0" w:space="0" w:color="auto"/>
            <w:right w:val="none" w:sz="0" w:space="0" w:color="auto"/>
          </w:divBdr>
        </w:div>
        <w:div w:id="1840461612">
          <w:marLeft w:val="1166"/>
          <w:marRight w:val="0"/>
          <w:marTop w:val="115"/>
          <w:marBottom w:val="0"/>
          <w:divBdr>
            <w:top w:val="none" w:sz="0" w:space="0" w:color="auto"/>
            <w:left w:val="none" w:sz="0" w:space="0" w:color="auto"/>
            <w:bottom w:val="none" w:sz="0" w:space="0" w:color="auto"/>
            <w:right w:val="none" w:sz="0" w:space="0" w:color="auto"/>
          </w:divBdr>
        </w:div>
      </w:divsChild>
    </w:div>
    <w:div w:id="1787699124">
      <w:bodyDiv w:val="1"/>
      <w:marLeft w:val="0"/>
      <w:marRight w:val="0"/>
      <w:marTop w:val="0"/>
      <w:marBottom w:val="0"/>
      <w:divBdr>
        <w:top w:val="none" w:sz="0" w:space="0" w:color="auto"/>
        <w:left w:val="none" w:sz="0" w:space="0" w:color="auto"/>
        <w:bottom w:val="none" w:sz="0" w:space="0" w:color="auto"/>
        <w:right w:val="none" w:sz="0" w:space="0" w:color="auto"/>
      </w:divBdr>
    </w:div>
    <w:div w:id="1788349784">
      <w:bodyDiv w:val="1"/>
      <w:marLeft w:val="0"/>
      <w:marRight w:val="0"/>
      <w:marTop w:val="0"/>
      <w:marBottom w:val="0"/>
      <w:divBdr>
        <w:top w:val="none" w:sz="0" w:space="0" w:color="auto"/>
        <w:left w:val="none" w:sz="0" w:space="0" w:color="auto"/>
        <w:bottom w:val="none" w:sz="0" w:space="0" w:color="auto"/>
        <w:right w:val="none" w:sz="0" w:space="0" w:color="auto"/>
      </w:divBdr>
      <w:divsChild>
        <w:div w:id="1063406378">
          <w:marLeft w:val="1166"/>
          <w:marRight w:val="0"/>
          <w:marTop w:val="134"/>
          <w:marBottom w:val="0"/>
          <w:divBdr>
            <w:top w:val="none" w:sz="0" w:space="0" w:color="auto"/>
            <w:left w:val="none" w:sz="0" w:space="0" w:color="auto"/>
            <w:bottom w:val="none" w:sz="0" w:space="0" w:color="auto"/>
            <w:right w:val="none" w:sz="0" w:space="0" w:color="auto"/>
          </w:divBdr>
        </w:div>
        <w:div w:id="1297878339">
          <w:marLeft w:val="547"/>
          <w:marRight w:val="0"/>
          <w:marTop w:val="154"/>
          <w:marBottom w:val="0"/>
          <w:divBdr>
            <w:top w:val="none" w:sz="0" w:space="0" w:color="auto"/>
            <w:left w:val="none" w:sz="0" w:space="0" w:color="auto"/>
            <w:bottom w:val="none" w:sz="0" w:space="0" w:color="auto"/>
            <w:right w:val="none" w:sz="0" w:space="0" w:color="auto"/>
          </w:divBdr>
        </w:div>
        <w:div w:id="1597664400">
          <w:marLeft w:val="1166"/>
          <w:marRight w:val="0"/>
          <w:marTop w:val="134"/>
          <w:marBottom w:val="0"/>
          <w:divBdr>
            <w:top w:val="none" w:sz="0" w:space="0" w:color="auto"/>
            <w:left w:val="none" w:sz="0" w:space="0" w:color="auto"/>
            <w:bottom w:val="none" w:sz="0" w:space="0" w:color="auto"/>
            <w:right w:val="none" w:sz="0" w:space="0" w:color="auto"/>
          </w:divBdr>
        </w:div>
      </w:divsChild>
    </w:div>
    <w:div w:id="1788768600">
      <w:bodyDiv w:val="1"/>
      <w:marLeft w:val="0"/>
      <w:marRight w:val="0"/>
      <w:marTop w:val="0"/>
      <w:marBottom w:val="0"/>
      <w:divBdr>
        <w:top w:val="none" w:sz="0" w:space="0" w:color="auto"/>
        <w:left w:val="none" w:sz="0" w:space="0" w:color="auto"/>
        <w:bottom w:val="none" w:sz="0" w:space="0" w:color="auto"/>
        <w:right w:val="none" w:sz="0" w:space="0" w:color="auto"/>
      </w:divBdr>
      <w:divsChild>
        <w:div w:id="159855312">
          <w:marLeft w:val="1166"/>
          <w:marRight w:val="0"/>
          <w:marTop w:val="86"/>
          <w:marBottom w:val="0"/>
          <w:divBdr>
            <w:top w:val="none" w:sz="0" w:space="0" w:color="auto"/>
            <w:left w:val="none" w:sz="0" w:space="0" w:color="auto"/>
            <w:bottom w:val="none" w:sz="0" w:space="0" w:color="auto"/>
            <w:right w:val="none" w:sz="0" w:space="0" w:color="auto"/>
          </w:divBdr>
        </w:div>
        <w:div w:id="454297939">
          <w:marLeft w:val="1166"/>
          <w:marRight w:val="0"/>
          <w:marTop w:val="86"/>
          <w:marBottom w:val="0"/>
          <w:divBdr>
            <w:top w:val="none" w:sz="0" w:space="0" w:color="auto"/>
            <w:left w:val="none" w:sz="0" w:space="0" w:color="auto"/>
            <w:bottom w:val="none" w:sz="0" w:space="0" w:color="auto"/>
            <w:right w:val="none" w:sz="0" w:space="0" w:color="auto"/>
          </w:divBdr>
        </w:div>
        <w:div w:id="495609841">
          <w:marLeft w:val="1800"/>
          <w:marRight w:val="0"/>
          <w:marTop w:val="77"/>
          <w:marBottom w:val="0"/>
          <w:divBdr>
            <w:top w:val="none" w:sz="0" w:space="0" w:color="auto"/>
            <w:left w:val="none" w:sz="0" w:space="0" w:color="auto"/>
            <w:bottom w:val="none" w:sz="0" w:space="0" w:color="auto"/>
            <w:right w:val="none" w:sz="0" w:space="0" w:color="auto"/>
          </w:divBdr>
        </w:div>
        <w:div w:id="729615827">
          <w:marLeft w:val="547"/>
          <w:marRight w:val="0"/>
          <w:marTop w:val="86"/>
          <w:marBottom w:val="0"/>
          <w:divBdr>
            <w:top w:val="none" w:sz="0" w:space="0" w:color="auto"/>
            <w:left w:val="none" w:sz="0" w:space="0" w:color="auto"/>
            <w:bottom w:val="none" w:sz="0" w:space="0" w:color="auto"/>
            <w:right w:val="none" w:sz="0" w:space="0" w:color="auto"/>
          </w:divBdr>
        </w:div>
        <w:div w:id="948270497">
          <w:marLeft w:val="1166"/>
          <w:marRight w:val="0"/>
          <w:marTop w:val="86"/>
          <w:marBottom w:val="0"/>
          <w:divBdr>
            <w:top w:val="none" w:sz="0" w:space="0" w:color="auto"/>
            <w:left w:val="none" w:sz="0" w:space="0" w:color="auto"/>
            <w:bottom w:val="none" w:sz="0" w:space="0" w:color="auto"/>
            <w:right w:val="none" w:sz="0" w:space="0" w:color="auto"/>
          </w:divBdr>
        </w:div>
        <w:div w:id="1170022523">
          <w:marLeft w:val="1800"/>
          <w:marRight w:val="0"/>
          <w:marTop w:val="67"/>
          <w:marBottom w:val="0"/>
          <w:divBdr>
            <w:top w:val="none" w:sz="0" w:space="0" w:color="auto"/>
            <w:left w:val="none" w:sz="0" w:space="0" w:color="auto"/>
            <w:bottom w:val="none" w:sz="0" w:space="0" w:color="auto"/>
            <w:right w:val="none" w:sz="0" w:space="0" w:color="auto"/>
          </w:divBdr>
        </w:div>
        <w:div w:id="1261522737">
          <w:marLeft w:val="1166"/>
          <w:marRight w:val="0"/>
          <w:marTop w:val="86"/>
          <w:marBottom w:val="0"/>
          <w:divBdr>
            <w:top w:val="none" w:sz="0" w:space="0" w:color="auto"/>
            <w:left w:val="none" w:sz="0" w:space="0" w:color="auto"/>
            <w:bottom w:val="none" w:sz="0" w:space="0" w:color="auto"/>
            <w:right w:val="none" w:sz="0" w:space="0" w:color="auto"/>
          </w:divBdr>
        </w:div>
        <w:div w:id="1564173172">
          <w:marLeft w:val="1166"/>
          <w:marRight w:val="0"/>
          <w:marTop w:val="86"/>
          <w:marBottom w:val="0"/>
          <w:divBdr>
            <w:top w:val="none" w:sz="0" w:space="0" w:color="auto"/>
            <w:left w:val="none" w:sz="0" w:space="0" w:color="auto"/>
            <w:bottom w:val="none" w:sz="0" w:space="0" w:color="auto"/>
            <w:right w:val="none" w:sz="0" w:space="0" w:color="auto"/>
          </w:divBdr>
        </w:div>
        <w:div w:id="1580603471">
          <w:marLeft w:val="1166"/>
          <w:marRight w:val="0"/>
          <w:marTop w:val="86"/>
          <w:marBottom w:val="0"/>
          <w:divBdr>
            <w:top w:val="none" w:sz="0" w:space="0" w:color="auto"/>
            <w:left w:val="none" w:sz="0" w:space="0" w:color="auto"/>
            <w:bottom w:val="none" w:sz="0" w:space="0" w:color="auto"/>
            <w:right w:val="none" w:sz="0" w:space="0" w:color="auto"/>
          </w:divBdr>
        </w:div>
        <w:div w:id="1615359256">
          <w:marLeft w:val="1800"/>
          <w:marRight w:val="0"/>
          <w:marTop w:val="77"/>
          <w:marBottom w:val="0"/>
          <w:divBdr>
            <w:top w:val="none" w:sz="0" w:space="0" w:color="auto"/>
            <w:left w:val="none" w:sz="0" w:space="0" w:color="auto"/>
            <w:bottom w:val="none" w:sz="0" w:space="0" w:color="auto"/>
            <w:right w:val="none" w:sz="0" w:space="0" w:color="auto"/>
          </w:divBdr>
        </w:div>
        <w:div w:id="2038769310">
          <w:marLeft w:val="1800"/>
          <w:marRight w:val="0"/>
          <w:marTop w:val="67"/>
          <w:marBottom w:val="0"/>
          <w:divBdr>
            <w:top w:val="none" w:sz="0" w:space="0" w:color="auto"/>
            <w:left w:val="none" w:sz="0" w:space="0" w:color="auto"/>
            <w:bottom w:val="none" w:sz="0" w:space="0" w:color="auto"/>
            <w:right w:val="none" w:sz="0" w:space="0" w:color="auto"/>
          </w:divBdr>
        </w:div>
        <w:div w:id="2104177871">
          <w:marLeft w:val="1800"/>
          <w:marRight w:val="0"/>
          <w:marTop w:val="77"/>
          <w:marBottom w:val="0"/>
          <w:divBdr>
            <w:top w:val="none" w:sz="0" w:space="0" w:color="auto"/>
            <w:left w:val="none" w:sz="0" w:space="0" w:color="auto"/>
            <w:bottom w:val="none" w:sz="0" w:space="0" w:color="auto"/>
            <w:right w:val="none" w:sz="0" w:space="0" w:color="auto"/>
          </w:divBdr>
        </w:div>
      </w:divsChild>
    </w:div>
    <w:div w:id="1789348580">
      <w:bodyDiv w:val="1"/>
      <w:marLeft w:val="0"/>
      <w:marRight w:val="0"/>
      <w:marTop w:val="0"/>
      <w:marBottom w:val="0"/>
      <w:divBdr>
        <w:top w:val="none" w:sz="0" w:space="0" w:color="auto"/>
        <w:left w:val="none" w:sz="0" w:space="0" w:color="auto"/>
        <w:bottom w:val="none" w:sz="0" w:space="0" w:color="auto"/>
        <w:right w:val="none" w:sz="0" w:space="0" w:color="auto"/>
      </w:divBdr>
    </w:div>
    <w:div w:id="1789622297">
      <w:bodyDiv w:val="1"/>
      <w:marLeft w:val="0"/>
      <w:marRight w:val="0"/>
      <w:marTop w:val="0"/>
      <w:marBottom w:val="0"/>
      <w:divBdr>
        <w:top w:val="none" w:sz="0" w:space="0" w:color="auto"/>
        <w:left w:val="none" w:sz="0" w:space="0" w:color="auto"/>
        <w:bottom w:val="none" w:sz="0" w:space="0" w:color="auto"/>
        <w:right w:val="none" w:sz="0" w:space="0" w:color="auto"/>
      </w:divBdr>
    </w:div>
    <w:div w:id="1789661887">
      <w:bodyDiv w:val="1"/>
      <w:marLeft w:val="0"/>
      <w:marRight w:val="0"/>
      <w:marTop w:val="0"/>
      <w:marBottom w:val="0"/>
      <w:divBdr>
        <w:top w:val="none" w:sz="0" w:space="0" w:color="auto"/>
        <w:left w:val="none" w:sz="0" w:space="0" w:color="auto"/>
        <w:bottom w:val="none" w:sz="0" w:space="0" w:color="auto"/>
        <w:right w:val="none" w:sz="0" w:space="0" w:color="auto"/>
      </w:divBdr>
    </w:div>
    <w:div w:id="1790586477">
      <w:bodyDiv w:val="1"/>
      <w:marLeft w:val="0"/>
      <w:marRight w:val="0"/>
      <w:marTop w:val="0"/>
      <w:marBottom w:val="0"/>
      <w:divBdr>
        <w:top w:val="none" w:sz="0" w:space="0" w:color="auto"/>
        <w:left w:val="none" w:sz="0" w:space="0" w:color="auto"/>
        <w:bottom w:val="none" w:sz="0" w:space="0" w:color="auto"/>
        <w:right w:val="none" w:sz="0" w:space="0" w:color="auto"/>
      </w:divBdr>
    </w:div>
    <w:div w:id="1790706473">
      <w:bodyDiv w:val="1"/>
      <w:marLeft w:val="0"/>
      <w:marRight w:val="0"/>
      <w:marTop w:val="0"/>
      <w:marBottom w:val="0"/>
      <w:divBdr>
        <w:top w:val="none" w:sz="0" w:space="0" w:color="auto"/>
        <w:left w:val="none" w:sz="0" w:space="0" w:color="auto"/>
        <w:bottom w:val="none" w:sz="0" w:space="0" w:color="auto"/>
        <w:right w:val="none" w:sz="0" w:space="0" w:color="auto"/>
      </w:divBdr>
    </w:div>
    <w:div w:id="1790783805">
      <w:bodyDiv w:val="1"/>
      <w:marLeft w:val="0"/>
      <w:marRight w:val="0"/>
      <w:marTop w:val="0"/>
      <w:marBottom w:val="0"/>
      <w:divBdr>
        <w:top w:val="none" w:sz="0" w:space="0" w:color="auto"/>
        <w:left w:val="none" w:sz="0" w:space="0" w:color="auto"/>
        <w:bottom w:val="none" w:sz="0" w:space="0" w:color="auto"/>
        <w:right w:val="none" w:sz="0" w:space="0" w:color="auto"/>
      </w:divBdr>
      <w:divsChild>
        <w:div w:id="214700678">
          <w:marLeft w:val="1800"/>
          <w:marRight w:val="0"/>
          <w:marTop w:val="82"/>
          <w:marBottom w:val="0"/>
          <w:divBdr>
            <w:top w:val="none" w:sz="0" w:space="0" w:color="auto"/>
            <w:left w:val="none" w:sz="0" w:space="0" w:color="auto"/>
            <w:bottom w:val="none" w:sz="0" w:space="0" w:color="auto"/>
            <w:right w:val="none" w:sz="0" w:space="0" w:color="auto"/>
          </w:divBdr>
        </w:div>
        <w:div w:id="595552660">
          <w:marLeft w:val="1166"/>
          <w:marRight w:val="0"/>
          <w:marTop w:val="96"/>
          <w:marBottom w:val="0"/>
          <w:divBdr>
            <w:top w:val="none" w:sz="0" w:space="0" w:color="auto"/>
            <w:left w:val="none" w:sz="0" w:space="0" w:color="auto"/>
            <w:bottom w:val="none" w:sz="0" w:space="0" w:color="auto"/>
            <w:right w:val="none" w:sz="0" w:space="0" w:color="auto"/>
          </w:divBdr>
        </w:div>
        <w:div w:id="708724891">
          <w:marLeft w:val="547"/>
          <w:marRight w:val="0"/>
          <w:marTop w:val="115"/>
          <w:marBottom w:val="0"/>
          <w:divBdr>
            <w:top w:val="none" w:sz="0" w:space="0" w:color="auto"/>
            <w:left w:val="none" w:sz="0" w:space="0" w:color="auto"/>
            <w:bottom w:val="none" w:sz="0" w:space="0" w:color="auto"/>
            <w:right w:val="none" w:sz="0" w:space="0" w:color="auto"/>
          </w:divBdr>
        </w:div>
        <w:div w:id="906107191">
          <w:marLeft w:val="1800"/>
          <w:marRight w:val="0"/>
          <w:marTop w:val="82"/>
          <w:marBottom w:val="0"/>
          <w:divBdr>
            <w:top w:val="none" w:sz="0" w:space="0" w:color="auto"/>
            <w:left w:val="none" w:sz="0" w:space="0" w:color="auto"/>
            <w:bottom w:val="none" w:sz="0" w:space="0" w:color="auto"/>
            <w:right w:val="none" w:sz="0" w:space="0" w:color="auto"/>
          </w:divBdr>
        </w:div>
        <w:div w:id="1105807844">
          <w:marLeft w:val="1166"/>
          <w:marRight w:val="0"/>
          <w:marTop w:val="96"/>
          <w:marBottom w:val="0"/>
          <w:divBdr>
            <w:top w:val="none" w:sz="0" w:space="0" w:color="auto"/>
            <w:left w:val="none" w:sz="0" w:space="0" w:color="auto"/>
            <w:bottom w:val="none" w:sz="0" w:space="0" w:color="auto"/>
            <w:right w:val="none" w:sz="0" w:space="0" w:color="auto"/>
          </w:divBdr>
        </w:div>
        <w:div w:id="1267881074">
          <w:marLeft w:val="1800"/>
          <w:marRight w:val="0"/>
          <w:marTop w:val="82"/>
          <w:marBottom w:val="0"/>
          <w:divBdr>
            <w:top w:val="none" w:sz="0" w:space="0" w:color="auto"/>
            <w:left w:val="none" w:sz="0" w:space="0" w:color="auto"/>
            <w:bottom w:val="none" w:sz="0" w:space="0" w:color="auto"/>
            <w:right w:val="none" w:sz="0" w:space="0" w:color="auto"/>
          </w:divBdr>
        </w:div>
        <w:div w:id="1791045680">
          <w:marLeft w:val="1166"/>
          <w:marRight w:val="0"/>
          <w:marTop w:val="96"/>
          <w:marBottom w:val="0"/>
          <w:divBdr>
            <w:top w:val="none" w:sz="0" w:space="0" w:color="auto"/>
            <w:left w:val="none" w:sz="0" w:space="0" w:color="auto"/>
            <w:bottom w:val="none" w:sz="0" w:space="0" w:color="auto"/>
            <w:right w:val="none" w:sz="0" w:space="0" w:color="auto"/>
          </w:divBdr>
        </w:div>
      </w:divsChild>
    </w:div>
    <w:div w:id="1790857509">
      <w:bodyDiv w:val="1"/>
      <w:marLeft w:val="0"/>
      <w:marRight w:val="0"/>
      <w:marTop w:val="0"/>
      <w:marBottom w:val="0"/>
      <w:divBdr>
        <w:top w:val="none" w:sz="0" w:space="0" w:color="auto"/>
        <w:left w:val="none" w:sz="0" w:space="0" w:color="auto"/>
        <w:bottom w:val="none" w:sz="0" w:space="0" w:color="auto"/>
        <w:right w:val="none" w:sz="0" w:space="0" w:color="auto"/>
      </w:divBdr>
    </w:div>
    <w:div w:id="1791586418">
      <w:bodyDiv w:val="1"/>
      <w:marLeft w:val="0"/>
      <w:marRight w:val="0"/>
      <w:marTop w:val="0"/>
      <w:marBottom w:val="0"/>
      <w:divBdr>
        <w:top w:val="none" w:sz="0" w:space="0" w:color="auto"/>
        <w:left w:val="none" w:sz="0" w:space="0" w:color="auto"/>
        <w:bottom w:val="none" w:sz="0" w:space="0" w:color="auto"/>
        <w:right w:val="none" w:sz="0" w:space="0" w:color="auto"/>
      </w:divBdr>
      <w:divsChild>
        <w:div w:id="25907841">
          <w:marLeft w:val="2074"/>
          <w:marRight w:val="0"/>
          <w:marTop w:val="67"/>
          <w:marBottom w:val="0"/>
          <w:divBdr>
            <w:top w:val="none" w:sz="0" w:space="0" w:color="auto"/>
            <w:left w:val="none" w:sz="0" w:space="0" w:color="auto"/>
            <w:bottom w:val="none" w:sz="0" w:space="0" w:color="auto"/>
            <w:right w:val="none" w:sz="0" w:space="0" w:color="auto"/>
          </w:divBdr>
        </w:div>
        <w:div w:id="331299753">
          <w:marLeft w:val="720"/>
          <w:marRight w:val="0"/>
          <w:marTop w:val="86"/>
          <w:marBottom w:val="0"/>
          <w:divBdr>
            <w:top w:val="none" w:sz="0" w:space="0" w:color="auto"/>
            <w:left w:val="none" w:sz="0" w:space="0" w:color="auto"/>
            <w:bottom w:val="none" w:sz="0" w:space="0" w:color="auto"/>
            <w:right w:val="none" w:sz="0" w:space="0" w:color="auto"/>
          </w:divBdr>
        </w:div>
        <w:div w:id="641732955">
          <w:marLeft w:val="2074"/>
          <w:marRight w:val="0"/>
          <w:marTop w:val="53"/>
          <w:marBottom w:val="0"/>
          <w:divBdr>
            <w:top w:val="none" w:sz="0" w:space="0" w:color="auto"/>
            <w:left w:val="none" w:sz="0" w:space="0" w:color="auto"/>
            <w:bottom w:val="none" w:sz="0" w:space="0" w:color="auto"/>
            <w:right w:val="none" w:sz="0" w:space="0" w:color="auto"/>
          </w:divBdr>
        </w:div>
        <w:div w:id="706108151">
          <w:marLeft w:val="2074"/>
          <w:marRight w:val="0"/>
          <w:marTop w:val="53"/>
          <w:marBottom w:val="0"/>
          <w:divBdr>
            <w:top w:val="none" w:sz="0" w:space="0" w:color="auto"/>
            <w:left w:val="none" w:sz="0" w:space="0" w:color="auto"/>
            <w:bottom w:val="none" w:sz="0" w:space="0" w:color="auto"/>
            <w:right w:val="none" w:sz="0" w:space="0" w:color="auto"/>
          </w:divBdr>
        </w:div>
        <w:div w:id="763035724">
          <w:marLeft w:val="720"/>
          <w:marRight w:val="0"/>
          <w:marTop w:val="86"/>
          <w:marBottom w:val="0"/>
          <w:divBdr>
            <w:top w:val="none" w:sz="0" w:space="0" w:color="auto"/>
            <w:left w:val="none" w:sz="0" w:space="0" w:color="auto"/>
            <w:bottom w:val="none" w:sz="0" w:space="0" w:color="auto"/>
            <w:right w:val="none" w:sz="0" w:space="0" w:color="auto"/>
          </w:divBdr>
        </w:div>
        <w:div w:id="787313571">
          <w:marLeft w:val="1354"/>
          <w:marRight w:val="0"/>
          <w:marTop w:val="77"/>
          <w:marBottom w:val="0"/>
          <w:divBdr>
            <w:top w:val="none" w:sz="0" w:space="0" w:color="auto"/>
            <w:left w:val="none" w:sz="0" w:space="0" w:color="auto"/>
            <w:bottom w:val="none" w:sz="0" w:space="0" w:color="auto"/>
            <w:right w:val="none" w:sz="0" w:space="0" w:color="auto"/>
          </w:divBdr>
        </w:div>
        <w:div w:id="843663455">
          <w:marLeft w:val="1354"/>
          <w:marRight w:val="0"/>
          <w:marTop w:val="77"/>
          <w:marBottom w:val="0"/>
          <w:divBdr>
            <w:top w:val="none" w:sz="0" w:space="0" w:color="auto"/>
            <w:left w:val="none" w:sz="0" w:space="0" w:color="auto"/>
            <w:bottom w:val="none" w:sz="0" w:space="0" w:color="auto"/>
            <w:right w:val="none" w:sz="0" w:space="0" w:color="auto"/>
          </w:divBdr>
        </w:div>
        <w:div w:id="879980697">
          <w:marLeft w:val="720"/>
          <w:marRight w:val="0"/>
          <w:marTop w:val="86"/>
          <w:marBottom w:val="0"/>
          <w:divBdr>
            <w:top w:val="none" w:sz="0" w:space="0" w:color="auto"/>
            <w:left w:val="none" w:sz="0" w:space="0" w:color="auto"/>
            <w:bottom w:val="none" w:sz="0" w:space="0" w:color="auto"/>
            <w:right w:val="none" w:sz="0" w:space="0" w:color="auto"/>
          </w:divBdr>
        </w:div>
        <w:div w:id="1229652897">
          <w:marLeft w:val="1354"/>
          <w:marRight w:val="0"/>
          <w:marTop w:val="77"/>
          <w:marBottom w:val="0"/>
          <w:divBdr>
            <w:top w:val="none" w:sz="0" w:space="0" w:color="auto"/>
            <w:left w:val="none" w:sz="0" w:space="0" w:color="auto"/>
            <w:bottom w:val="none" w:sz="0" w:space="0" w:color="auto"/>
            <w:right w:val="none" w:sz="0" w:space="0" w:color="auto"/>
          </w:divBdr>
        </w:div>
        <w:div w:id="1625233376">
          <w:marLeft w:val="1166"/>
          <w:marRight w:val="0"/>
          <w:marTop w:val="77"/>
          <w:marBottom w:val="0"/>
          <w:divBdr>
            <w:top w:val="none" w:sz="0" w:space="0" w:color="auto"/>
            <w:left w:val="none" w:sz="0" w:space="0" w:color="auto"/>
            <w:bottom w:val="none" w:sz="0" w:space="0" w:color="auto"/>
            <w:right w:val="none" w:sz="0" w:space="0" w:color="auto"/>
          </w:divBdr>
        </w:div>
        <w:div w:id="1630551554">
          <w:marLeft w:val="2074"/>
          <w:marRight w:val="0"/>
          <w:marTop w:val="67"/>
          <w:marBottom w:val="0"/>
          <w:divBdr>
            <w:top w:val="none" w:sz="0" w:space="0" w:color="auto"/>
            <w:left w:val="none" w:sz="0" w:space="0" w:color="auto"/>
            <w:bottom w:val="none" w:sz="0" w:space="0" w:color="auto"/>
            <w:right w:val="none" w:sz="0" w:space="0" w:color="auto"/>
          </w:divBdr>
        </w:div>
        <w:div w:id="1768501845">
          <w:marLeft w:val="1354"/>
          <w:marRight w:val="0"/>
          <w:marTop w:val="77"/>
          <w:marBottom w:val="0"/>
          <w:divBdr>
            <w:top w:val="none" w:sz="0" w:space="0" w:color="auto"/>
            <w:left w:val="none" w:sz="0" w:space="0" w:color="auto"/>
            <w:bottom w:val="none" w:sz="0" w:space="0" w:color="auto"/>
            <w:right w:val="none" w:sz="0" w:space="0" w:color="auto"/>
          </w:divBdr>
        </w:div>
        <w:div w:id="1875076707">
          <w:marLeft w:val="547"/>
          <w:marRight w:val="0"/>
          <w:marTop w:val="86"/>
          <w:marBottom w:val="0"/>
          <w:divBdr>
            <w:top w:val="none" w:sz="0" w:space="0" w:color="auto"/>
            <w:left w:val="none" w:sz="0" w:space="0" w:color="auto"/>
            <w:bottom w:val="none" w:sz="0" w:space="0" w:color="auto"/>
            <w:right w:val="none" w:sz="0" w:space="0" w:color="auto"/>
          </w:divBdr>
        </w:div>
        <w:div w:id="1924219287">
          <w:marLeft w:val="1354"/>
          <w:marRight w:val="0"/>
          <w:marTop w:val="77"/>
          <w:marBottom w:val="0"/>
          <w:divBdr>
            <w:top w:val="none" w:sz="0" w:space="0" w:color="auto"/>
            <w:left w:val="none" w:sz="0" w:space="0" w:color="auto"/>
            <w:bottom w:val="none" w:sz="0" w:space="0" w:color="auto"/>
            <w:right w:val="none" w:sz="0" w:space="0" w:color="auto"/>
          </w:divBdr>
        </w:div>
        <w:div w:id="1974946014">
          <w:marLeft w:val="720"/>
          <w:marRight w:val="0"/>
          <w:marTop w:val="86"/>
          <w:marBottom w:val="0"/>
          <w:divBdr>
            <w:top w:val="none" w:sz="0" w:space="0" w:color="auto"/>
            <w:left w:val="none" w:sz="0" w:space="0" w:color="auto"/>
            <w:bottom w:val="none" w:sz="0" w:space="0" w:color="auto"/>
            <w:right w:val="none" w:sz="0" w:space="0" w:color="auto"/>
          </w:divBdr>
        </w:div>
        <w:div w:id="2136747605">
          <w:marLeft w:val="2074"/>
          <w:marRight w:val="0"/>
          <w:marTop w:val="53"/>
          <w:marBottom w:val="0"/>
          <w:divBdr>
            <w:top w:val="none" w:sz="0" w:space="0" w:color="auto"/>
            <w:left w:val="none" w:sz="0" w:space="0" w:color="auto"/>
            <w:bottom w:val="none" w:sz="0" w:space="0" w:color="auto"/>
            <w:right w:val="none" w:sz="0" w:space="0" w:color="auto"/>
          </w:divBdr>
        </w:div>
      </w:divsChild>
    </w:div>
    <w:div w:id="1791702283">
      <w:bodyDiv w:val="1"/>
      <w:marLeft w:val="0"/>
      <w:marRight w:val="0"/>
      <w:marTop w:val="0"/>
      <w:marBottom w:val="0"/>
      <w:divBdr>
        <w:top w:val="none" w:sz="0" w:space="0" w:color="auto"/>
        <w:left w:val="none" w:sz="0" w:space="0" w:color="auto"/>
        <w:bottom w:val="none" w:sz="0" w:space="0" w:color="auto"/>
        <w:right w:val="none" w:sz="0" w:space="0" w:color="auto"/>
      </w:divBdr>
    </w:div>
    <w:div w:id="1792240952">
      <w:bodyDiv w:val="1"/>
      <w:marLeft w:val="0"/>
      <w:marRight w:val="0"/>
      <w:marTop w:val="0"/>
      <w:marBottom w:val="0"/>
      <w:divBdr>
        <w:top w:val="none" w:sz="0" w:space="0" w:color="auto"/>
        <w:left w:val="none" w:sz="0" w:space="0" w:color="auto"/>
        <w:bottom w:val="none" w:sz="0" w:space="0" w:color="auto"/>
        <w:right w:val="none" w:sz="0" w:space="0" w:color="auto"/>
      </w:divBdr>
      <w:divsChild>
        <w:div w:id="1149782630">
          <w:marLeft w:val="1166"/>
          <w:marRight w:val="0"/>
          <w:marTop w:val="115"/>
          <w:marBottom w:val="0"/>
          <w:divBdr>
            <w:top w:val="none" w:sz="0" w:space="0" w:color="auto"/>
            <w:left w:val="none" w:sz="0" w:space="0" w:color="auto"/>
            <w:bottom w:val="none" w:sz="0" w:space="0" w:color="auto"/>
            <w:right w:val="none" w:sz="0" w:space="0" w:color="auto"/>
          </w:divBdr>
        </w:div>
        <w:div w:id="1400981208">
          <w:marLeft w:val="1166"/>
          <w:marRight w:val="0"/>
          <w:marTop w:val="115"/>
          <w:marBottom w:val="0"/>
          <w:divBdr>
            <w:top w:val="none" w:sz="0" w:space="0" w:color="auto"/>
            <w:left w:val="none" w:sz="0" w:space="0" w:color="auto"/>
            <w:bottom w:val="none" w:sz="0" w:space="0" w:color="auto"/>
            <w:right w:val="none" w:sz="0" w:space="0" w:color="auto"/>
          </w:divBdr>
        </w:div>
        <w:div w:id="2026133446">
          <w:marLeft w:val="547"/>
          <w:marRight w:val="0"/>
          <w:marTop w:val="134"/>
          <w:marBottom w:val="0"/>
          <w:divBdr>
            <w:top w:val="none" w:sz="0" w:space="0" w:color="auto"/>
            <w:left w:val="none" w:sz="0" w:space="0" w:color="auto"/>
            <w:bottom w:val="none" w:sz="0" w:space="0" w:color="auto"/>
            <w:right w:val="none" w:sz="0" w:space="0" w:color="auto"/>
          </w:divBdr>
        </w:div>
        <w:div w:id="2102682634">
          <w:marLeft w:val="1166"/>
          <w:marRight w:val="0"/>
          <w:marTop w:val="115"/>
          <w:marBottom w:val="0"/>
          <w:divBdr>
            <w:top w:val="none" w:sz="0" w:space="0" w:color="auto"/>
            <w:left w:val="none" w:sz="0" w:space="0" w:color="auto"/>
            <w:bottom w:val="none" w:sz="0" w:space="0" w:color="auto"/>
            <w:right w:val="none" w:sz="0" w:space="0" w:color="auto"/>
          </w:divBdr>
        </w:div>
      </w:divsChild>
    </w:div>
    <w:div w:id="1792482088">
      <w:bodyDiv w:val="1"/>
      <w:marLeft w:val="0"/>
      <w:marRight w:val="0"/>
      <w:marTop w:val="0"/>
      <w:marBottom w:val="0"/>
      <w:divBdr>
        <w:top w:val="none" w:sz="0" w:space="0" w:color="auto"/>
        <w:left w:val="none" w:sz="0" w:space="0" w:color="auto"/>
        <w:bottom w:val="none" w:sz="0" w:space="0" w:color="auto"/>
        <w:right w:val="none" w:sz="0" w:space="0" w:color="auto"/>
      </w:divBdr>
      <w:divsChild>
        <w:div w:id="283779367">
          <w:marLeft w:val="1800"/>
          <w:marRight w:val="0"/>
          <w:marTop w:val="77"/>
          <w:marBottom w:val="0"/>
          <w:divBdr>
            <w:top w:val="none" w:sz="0" w:space="0" w:color="auto"/>
            <w:left w:val="none" w:sz="0" w:space="0" w:color="auto"/>
            <w:bottom w:val="none" w:sz="0" w:space="0" w:color="auto"/>
            <w:right w:val="none" w:sz="0" w:space="0" w:color="auto"/>
          </w:divBdr>
        </w:div>
        <w:div w:id="370493649">
          <w:marLeft w:val="2520"/>
          <w:marRight w:val="0"/>
          <w:marTop w:val="58"/>
          <w:marBottom w:val="0"/>
          <w:divBdr>
            <w:top w:val="none" w:sz="0" w:space="0" w:color="auto"/>
            <w:left w:val="none" w:sz="0" w:space="0" w:color="auto"/>
            <w:bottom w:val="none" w:sz="0" w:space="0" w:color="auto"/>
            <w:right w:val="none" w:sz="0" w:space="0" w:color="auto"/>
          </w:divBdr>
        </w:div>
        <w:div w:id="540166670">
          <w:marLeft w:val="1166"/>
          <w:marRight w:val="0"/>
          <w:marTop w:val="96"/>
          <w:marBottom w:val="0"/>
          <w:divBdr>
            <w:top w:val="none" w:sz="0" w:space="0" w:color="auto"/>
            <w:left w:val="none" w:sz="0" w:space="0" w:color="auto"/>
            <w:bottom w:val="none" w:sz="0" w:space="0" w:color="auto"/>
            <w:right w:val="none" w:sz="0" w:space="0" w:color="auto"/>
          </w:divBdr>
        </w:div>
        <w:div w:id="541408446">
          <w:marLeft w:val="1166"/>
          <w:marRight w:val="0"/>
          <w:marTop w:val="96"/>
          <w:marBottom w:val="0"/>
          <w:divBdr>
            <w:top w:val="none" w:sz="0" w:space="0" w:color="auto"/>
            <w:left w:val="none" w:sz="0" w:space="0" w:color="auto"/>
            <w:bottom w:val="none" w:sz="0" w:space="0" w:color="auto"/>
            <w:right w:val="none" w:sz="0" w:space="0" w:color="auto"/>
          </w:divBdr>
        </w:div>
        <w:div w:id="583807809">
          <w:marLeft w:val="1166"/>
          <w:marRight w:val="0"/>
          <w:marTop w:val="96"/>
          <w:marBottom w:val="0"/>
          <w:divBdr>
            <w:top w:val="none" w:sz="0" w:space="0" w:color="auto"/>
            <w:left w:val="none" w:sz="0" w:space="0" w:color="auto"/>
            <w:bottom w:val="none" w:sz="0" w:space="0" w:color="auto"/>
            <w:right w:val="none" w:sz="0" w:space="0" w:color="auto"/>
          </w:divBdr>
        </w:div>
        <w:div w:id="682706528">
          <w:marLeft w:val="2520"/>
          <w:marRight w:val="0"/>
          <w:marTop w:val="58"/>
          <w:marBottom w:val="0"/>
          <w:divBdr>
            <w:top w:val="none" w:sz="0" w:space="0" w:color="auto"/>
            <w:left w:val="none" w:sz="0" w:space="0" w:color="auto"/>
            <w:bottom w:val="none" w:sz="0" w:space="0" w:color="auto"/>
            <w:right w:val="none" w:sz="0" w:space="0" w:color="auto"/>
          </w:divBdr>
        </w:div>
        <w:div w:id="771128907">
          <w:marLeft w:val="1800"/>
          <w:marRight w:val="0"/>
          <w:marTop w:val="77"/>
          <w:marBottom w:val="0"/>
          <w:divBdr>
            <w:top w:val="none" w:sz="0" w:space="0" w:color="auto"/>
            <w:left w:val="none" w:sz="0" w:space="0" w:color="auto"/>
            <w:bottom w:val="none" w:sz="0" w:space="0" w:color="auto"/>
            <w:right w:val="none" w:sz="0" w:space="0" w:color="auto"/>
          </w:divBdr>
        </w:div>
        <w:div w:id="802767651">
          <w:marLeft w:val="547"/>
          <w:marRight w:val="0"/>
          <w:marTop w:val="115"/>
          <w:marBottom w:val="0"/>
          <w:divBdr>
            <w:top w:val="none" w:sz="0" w:space="0" w:color="auto"/>
            <w:left w:val="none" w:sz="0" w:space="0" w:color="auto"/>
            <w:bottom w:val="none" w:sz="0" w:space="0" w:color="auto"/>
            <w:right w:val="none" w:sz="0" w:space="0" w:color="auto"/>
          </w:divBdr>
        </w:div>
        <w:div w:id="1126465068">
          <w:marLeft w:val="547"/>
          <w:marRight w:val="0"/>
          <w:marTop w:val="115"/>
          <w:marBottom w:val="0"/>
          <w:divBdr>
            <w:top w:val="none" w:sz="0" w:space="0" w:color="auto"/>
            <w:left w:val="none" w:sz="0" w:space="0" w:color="auto"/>
            <w:bottom w:val="none" w:sz="0" w:space="0" w:color="auto"/>
            <w:right w:val="none" w:sz="0" w:space="0" w:color="auto"/>
          </w:divBdr>
        </w:div>
        <w:div w:id="1582717295">
          <w:marLeft w:val="2520"/>
          <w:marRight w:val="0"/>
          <w:marTop w:val="58"/>
          <w:marBottom w:val="0"/>
          <w:divBdr>
            <w:top w:val="none" w:sz="0" w:space="0" w:color="auto"/>
            <w:left w:val="none" w:sz="0" w:space="0" w:color="auto"/>
            <w:bottom w:val="none" w:sz="0" w:space="0" w:color="auto"/>
            <w:right w:val="none" w:sz="0" w:space="0" w:color="auto"/>
          </w:divBdr>
        </w:div>
        <w:div w:id="2009281944">
          <w:marLeft w:val="1800"/>
          <w:marRight w:val="0"/>
          <w:marTop w:val="77"/>
          <w:marBottom w:val="0"/>
          <w:divBdr>
            <w:top w:val="none" w:sz="0" w:space="0" w:color="auto"/>
            <w:left w:val="none" w:sz="0" w:space="0" w:color="auto"/>
            <w:bottom w:val="none" w:sz="0" w:space="0" w:color="auto"/>
            <w:right w:val="none" w:sz="0" w:space="0" w:color="auto"/>
          </w:divBdr>
        </w:div>
      </w:divsChild>
    </w:div>
    <w:div w:id="1793549972">
      <w:bodyDiv w:val="1"/>
      <w:marLeft w:val="0"/>
      <w:marRight w:val="0"/>
      <w:marTop w:val="0"/>
      <w:marBottom w:val="0"/>
      <w:divBdr>
        <w:top w:val="none" w:sz="0" w:space="0" w:color="auto"/>
        <w:left w:val="none" w:sz="0" w:space="0" w:color="auto"/>
        <w:bottom w:val="none" w:sz="0" w:space="0" w:color="auto"/>
        <w:right w:val="none" w:sz="0" w:space="0" w:color="auto"/>
      </w:divBdr>
    </w:div>
    <w:div w:id="1794857867">
      <w:bodyDiv w:val="1"/>
      <w:marLeft w:val="0"/>
      <w:marRight w:val="0"/>
      <w:marTop w:val="0"/>
      <w:marBottom w:val="0"/>
      <w:divBdr>
        <w:top w:val="none" w:sz="0" w:space="0" w:color="auto"/>
        <w:left w:val="none" w:sz="0" w:space="0" w:color="auto"/>
        <w:bottom w:val="none" w:sz="0" w:space="0" w:color="auto"/>
        <w:right w:val="none" w:sz="0" w:space="0" w:color="auto"/>
      </w:divBdr>
    </w:div>
    <w:div w:id="1794984738">
      <w:bodyDiv w:val="1"/>
      <w:marLeft w:val="0"/>
      <w:marRight w:val="0"/>
      <w:marTop w:val="0"/>
      <w:marBottom w:val="0"/>
      <w:divBdr>
        <w:top w:val="none" w:sz="0" w:space="0" w:color="auto"/>
        <w:left w:val="none" w:sz="0" w:space="0" w:color="auto"/>
        <w:bottom w:val="none" w:sz="0" w:space="0" w:color="auto"/>
        <w:right w:val="none" w:sz="0" w:space="0" w:color="auto"/>
      </w:divBdr>
    </w:div>
    <w:div w:id="1795052512">
      <w:bodyDiv w:val="1"/>
      <w:marLeft w:val="0"/>
      <w:marRight w:val="0"/>
      <w:marTop w:val="0"/>
      <w:marBottom w:val="0"/>
      <w:divBdr>
        <w:top w:val="none" w:sz="0" w:space="0" w:color="auto"/>
        <w:left w:val="none" w:sz="0" w:space="0" w:color="auto"/>
        <w:bottom w:val="none" w:sz="0" w:space="0" w:color="auto"/>
        <w:right w:val="none" w:sz="0" w:space="0" w:color="auto"/>
      </w:divBdr>
    </w:div>
    <w:div w:id="1795059900">
      <w:bodyDiv w:val="1"/>
      <w:marLeft w:val="0"/>
      <w:marRight w:val="0"/>
      <w:marTop w:val="0"/>
      <w:marBottom w:val="0"/>
      <w:divBdr>
        <w:top w:val="none" w:sz="0" w:space="0" w:color="auto"/>
        <w:left w:val="none" w:sz="0" w:space="0" w:color="auto"/>
        <w:bottom w:val="none" w:sz="0" w:space="0" w:color="auto"/>
        <w:right w:val="none" w:sz="0" w:space="0" w:color="auto"/>
      </w:divBdr>
      <w:divsChild>
        <w:div w:id="109782493">
          <w:marLeft w:val="1440"/>
          <w:marRight w:val="0"/>
          <w:marTop w:val="96"/>
          <w:marBottom w:val="0"/>
          <w:divBdr>
            <w:top w:val="none" w:sz="0" w:space="0" w:color="auto"/>
            <w:left w:val="none" w:sz="0" w:space="0" w:color="auto"/>
            <w:bottom w:val="none" w:sz="0" w:space="0" w:color="auto"/>
            <w:right w:val="none" w:sz="0" w:space="0" w:color="auto"/>
          </w:divBdr>
        </w:div>
        <w:div w:id="1075670303">
          <w:marLeft w:val="2160"/>
          <w:marRight w:val="0"/>
          <w:marTop w:val="96"/>
          <w:marBottom w:val="0"/>
          <w:divBdr>
            <w:top w:val="none" w:sz="0" w:space="0" w:color="auto"/>
            <w:left w:val="none" w:sz="0" w:space="0" w:color="auto"/>
            <w:bottom w:val="none" w:sz="0" w:space="0" w:color="auto"/>
            <w:right w:val="none" w:sz="0" w:space="0" w:color="auto"/>
          </w:divBdr>
        </w:div>
        <w:div w:id="1133790997">
          <w:marLeft w:val="2880"/>
          <w:marRight w:val="0"/>
          <w:marTop w:val="96"/>
          <w:marBottom w:val="0"/>
          <w:divBdr>
            <w:top w:val="none" w:sz="0" w:space="0" w:color="auto"/>
            <w:left w:val="none" w:sz="0" w:space="0" w:color="auto"/>
            <w:bottom w:val="none" w:sz="0" w:space="0" w:color="auto"/>
            <w:right w:val="none" w:sz="0" w:space="0" w:color="auto"/>
          </w:divBdr>
        </w:div>
        <w:div w:id="1394892045">
          <w:marLeft w:val="2160"/>
          <w:marRight w:val="0"/>
          <w:marTop w:val="96"/>
          <w:marBottom w:val="0"/>
          <w:divBdr>
            <w:top w:val="none" w:sz="0" w:space="0" w:color="auto"/>
            <w:left w:val="none" w:sz="0" w:space="0" w:color="auto"/>
            <w:bottom w:val="none" w:sz="0" w:space="0" w:color="auto"/>
            <w:right w:val="none" w:sz="0" w:space="0" w:color="auto"/>
          </w:divBdr>
        </w:div>
        <w:div w:id="1733843992">
          <w:marLeft w:val="2160"/>
          <w:marRight w:val="0"/>
          <w:marTop w:val="96"/>
          <w:marBottom w:val="0"/>
          <w:divBdr>
            <w:top w:val="none" w:sz="0" w:space="0" w:color="auto"/>
            <w:left w:val="none" w:sz="0" w:space="0" w:color="auto"/>
            <w:bottom w:val="none" w:sz="0" w:space="0" w:color="auto"/>
            <w:right w:val="none" w:sz="0" w:space="0" w:color="auto"/>
          </w:divBdr>
        </w:div>
        <w:div w:id="1775858074">
          <w:marLeft w:val="1440"/>
          <w:marRight w:val="0"/>
          <w:marTop w:val="96"/>
          <w:marBottom w:val="0"/>
          <w:divBdr>
            <w:top w:val="none" w:sz="0" w:space="0" w:color="auto"/>
            <w:left w:val="none" w:sz="0" w:space="0" w:color="auto"/>
            <w:bottom w:val="none" w:sz="0" w:space="0" w:color="auto"/>
            <w:right w:val="none" w:sz="0" w:space="0" w:color="auto"/>
          </w:divBdr>
        </w:div>
        <w:div w:id="2135976554">
          <w:marLeft w:val="720"/>
          <w:marRight w:val="0"/>
          <w:marTop w:val="96"/>
          <w:marBottom w:val="0"/>
          <w:divBdr>
            <w:top w:val="none" w:sz="0" w:space="0" w:color="auto"/>
            <w:left w:val="none" w:sz="0" w:space="0" w:color="auto"/>
            <w:bottom w:val="none" w:sz="0" w:space="0" w:color="auto"/>
            <w:right w:val="none" w:sz="0" w:space="0" w:color="auto"/>
          </w:divBdr>
        </w:div>
      </w:divsChild>
    </w:div>
    <w:div w:id="1795171751">
      <w:bodyDiv w:val="1"/>
      <w:marLeft w:val="0"/>
      <w:marRight w:val="0"/>
      <w:marTop w:val="0"/>
      <w:marBottom w:val="0"/>
      <w:divBdr>
        <w:top w:val="none" w:sz="0" w:space="0" w:color="auto"/>
        <w:left w:val="none" w:sz="0" w:space="0" w:color="auto"/>
        <w:bottom w:val="none" w:sz="0" w:space="0" w:color="auto"/>
        <w:right w:val="none" w:sz="0" w:space="0" w:color="auto"/>
      </w:divBdr>
    </w:div>
    <w:div w:id="1795248988">
      <w:bodyDiv w:val="1"/>
      <w:marLeft w:val="0"/>
      <w:marRight w:val="0"/>
      <w:marTop w:val="0"/>
      <w:marBottom w:val="0"/>
      <w:divBdr>
        <w:top w:val="none" w:sz="0" w:space="0" w:color="auto"/>
        <w:left w:val="none" w:sz="0" w:space="0" w:color="auto"/>
        <w:bottom w:val="none" w:sz="0" w:space="0" w:color="auto"/>
        <w:right w:val="none" w:sz="0" w:space="0" w:color="auto"/>
      </w:divBdr>
    </w:div>
    <w:div w:id="1795439739">
      <w:bodyDiv w:val="1"/>
      <w:marLeft w:val="0"/>
      <w:marRight w:val="0"/>
      <w:marTop w:val="0"/>
      <w:marBottom w:val="0"/>
      <w:divBdr>
        <w:top w:val="none" w:sz="0" w:space="0" w:color="auto"/>
        <w:left w:val="none" w:sz="0" w:space="0" w:color="auto"/>
        <w:bottom w:val="none" w:sz="0" w:space="0" w:color="auto"/>
        <w:right w:val="none" w:sz="0" w:space="0" w:color="auto"/>
      </w:divBdr>
    </w:div>
    <w:div w:id="1796293534">
      <w:bodyDiv w:val="1"/>
      <w:marLeft w:val="0"/>
      <w:marRight w:val="0"/>
      <w:marTop w:val="0"/>
      <w:marBottom w:val="0"/>
      <w:divBdr>
        <w:top w:val="none" w:sz="0" w:space="0" w:color="auto"/>
        <w:left w:val="none" w:sz="0" w:space="0" w:color="auto"/>
        <w:bottom w:val="none" w:sz="0" w:space="0" w:color="auto"/>
        <w:right w:val="none" w:sz="0" w:space="0" w:color="auto"/>
      </w:divBdr>
    </w:div>
    <w:div w:id="1797215923">
      <w:bodyDiv w:val="1"/>
      <w:marLeft w:val="0"/>
      <w:marRight w:val="0"/>
      <w:marTop w:val="0"/>
      <w:marBottom w:val="0"/>
      <w:divBdr>
        <w:top w:val="none" w:sz="0" w:space="0" w:color="auto"/>
        <w:left w:val="none" w:sz="0" w:space="0" w:color="auto"/>
        <w:bottom w:val="none" w:sz="0" w:space="0" w:color="auto"/>
        <w:right w:val="none" w:sz="0" w:space="0" w:color="auto"/>
      </w:divBdr>
    </w:div>
    <w:div w:id="1797724000">
      <w:bodyDiv w:val="1"/>
      <w:marLeft w:val="0"/>
      <w:marRight w:val="0"/>
      <w:marTop w:val="0"/>
      <w:marBottom w:val="0"/>
      <w:divBdr>
        <w:top w:val="none" w:sz="0" w:space="0" w:color="auto"/>
        <w:left w:val="none" w:sz="0" w:space="0" w:color="auto"/>
        <w:bottom w:val="none" w:sz="0" w:space="0" w:color="auto"/>
        <w:right w:val="none" w:sz="0" w:space="0" w:color="auto"/>
      </w:divBdr>
    </w:div>
    <w:div w:id="1798376578">
      <w:bodyDiv w:val="1"/>
      <w:marLeft w:val="0"/>
      <w:marRight w:val="0"/>
      <w:marTop w:val="0"/>
      <w:marBottom w:val="0"/>
      <w:divBdr>
        <w:top w:val="none" w:sz="0" w:space="0" w:color="auto"/>
        <w:left w:val="none" w:sz="0" w:space="0" w:color="auto"/>
        <w:bottom w:val="none" w:sz="0" w:space="0" w:color="auto"/>
        <w:right w:val="none" w:sz="0" w:space="0" w:color="auto"/>
      </w:divBdr>
    </w:div>
    <w:div w:id="1798797125">
      <w:bodyDiv w:val="1"/>
      <w:marLeft w:val="0"/>
      <w:marRight w:val="0"/>
      <w:marTop w:val="0"/>
      <w:marBottom w:val="0"/>
      <w:divBdr>
        <w:top w:val="none" w:sz="0" w:space="0" w:color="auto"/>
        <w:left w:val="none" w:sz="0" w:space="0" w:color="auto"/>
        <w:bottom w:val="none" w:sz="0" w:space="0" w:color="auto"/>
        <w:right w:val="none" w:sz="0" w:space="0" w:color="auto"/>
      </w:divBdr>
      <w:divsChild>
        <w:div w:id="156578887">
          <w:marLeft w:val="360"/>
          <w:marRight w:val="0"/>
          <w:marTop w:val="200"/>
          <w:marBottom w:val="0"/>
          <w:divBdr>
            <w:top w:val="none" w:sz="0" w:space="0" w:color="auto"/>
            <w:left w:val="none" w:sz="0" w:space="0" w:color="auto"/>
            <w:bottom w:val="none" w:sz="0" w:space="0" w:color="auto"/>
            <w:right w:val="none" w:sz="0" w:space="0" w:color="auto"/>
          </w:divBdr>
        </w:div>
        <w:div w:id="356780446">
          <w:marLeft w:val="1080"/>
          <w:marRight w:val="0"/>
          <w:marTop w:val="100"/>
          <w:marBottom w:val="0"/>
          <w:divBdr>
            <w:top w:val="none" w:sz="0" w:space="0" w:color="auto"/>
            <w:left w:val="none" w:sz="0" w:space="0" w:color="auto"/>
            <w:bottom w:val="none" w:sz="0" w:space="0" w:color="auto"/>
            <w:right w:val="none" w:sz="0" w:space="0" w:color="auto"/>
          </w:divBdr>
        </w:div>
      </w:divsChild>
    </w:div>
    <w:div w:id="1799030427">
      <w:bodyDiv w:val="1"/>
      <w:marLeft w:val="0"/>
      <w:marRight w:val="0"/>
      <w:marTop w:val="0"/>
      <w:marBottom w:val="0"/>
      <w:divBdr>
        <w:top w:val="none" w:sz="0" w:space="0" w:color="auto"/>
        <w:left w:val="none" w:sz="0" w:space="0" w:color="auto"/>
        <w:bottom w:val="none" w:sz="0" w:space="0" w:color="auto"/>
        <w:right w:val="none" w:sz="0" w:space="0" w:color="auto"/>
      </w:divBdr>
    </w:div>
    <w:div w:id="1799252545">
      <w:bodyDiv w:val="1"/>
      <w:marLeft w:val="0"/>
      <w:marRight w:val="0"/>
      <w:marTop w:val="0"/>
      <w:marBottom w:val="0"/>
      <w:divBdr>
        <w:top w:val="none" w:sz="0" w:space="0" w:color="auto"/>
        <w:left w:val="none" w:sz="0" w:space="0" w:color="auto"/>
        <w:bottom w:val="none" w:sz="0" w:space="0" w:color="auto"/>
        <w:right w:val="none" w:sz="0" w:space="0" w:color="auto"/>
      </w:divBdr>
    </w:div>
    <w:div w:id="1799684131">
      <w:bodyDiv w:val="1"/>
      <w:marLeft w:val="0"/>
      <w:marRight w:val="0"/>
      <w:marTop w:val="0"/>
      <w:marBottom w:val="0"/>
      <w:divBdr>
        <w:top w:val="none" w:sz="0" w:space="0" w:color="auto"/>
        <w:left w:val="none" w:sz="0" w:space="0" w:color="auto"/>
        <w:bottom w:val="none" w:sz="0" w:space="0" w:color="auto"/>
        <w:right w:val="none" w:sz="0" w:space="0" w:color="auto"/>
      </w:divBdr>
      <w:divsChild>
        <w:div w:id="158884185">
          <w:marLeft w:val="1166"/>
          <w:marRight w:val="0"/>
          <w:marTop w:val="115"/>
          <w:marBottom w:val="0"/>
          <w:divBdr>
            <w:top w:val="none" w:sz="0" w:space="0" w:color="auto"/>
            <w:left w:val="none" w:sz="0" w:space="0" w:color="auto"/>
            <w:bottom w:val="none" w:sz="0" w:space="0" w:color="auto"/>
            <w:right w:val="none" w:sz="0" w:space="0" w:color="auto"/>
          </w:divBdr>
        </w:div>
        <w:div w:id="358286883">
          <w:marLeft w:val="547"/>
          <w:marRight w:val="0"/>
          <w:marTop w:val="115"/>
          <w:marBottom w:val="0"/>
          <w:divBdr>
            <w:top w:val="none" w:sz="0" w:space="0" w:color="auto"/>
            <w:left w:val="none" w:sz="0" w:space="0" w:color="auto"/>
            <w:bottom w:val="none" w:sz="0" w:space="0" w:color="auto"/>
            <w:right w:val="none" w:sz="0" w:space="0" w:color="auto"/>
          </w:divBdr>
        </w:div>
        <w:div w:id="399794629">
          <w:marLeft w:val="1800"/>
          <w:marRight w:val="0"/>
          <w:marTop w:val="96"/>
          <w:marBottom w:val="0"/>
          <w:divBdr>
            <w:top w:val="none" w:sz="0" w:space="0" w:color="auto"/>
            <w:left w:val="none" w:sz="0" w:space="0" w:color="auto"/>
            <w:bottom w:val="none" w:sz="0" w:space="0" w:color="auto"/>
            <w:right w:val="none" w:sz="0" w:space="0" w:color="auto"/>
          </w:divBdr>
        </w:div>
        <w:div w:id="1007485429">
          <w:marLeft w:val="547"/>
          <w:marRight w:val="0"/>
          <w:marTop w:val="115"/>
          <w:marBottom w:val="0"/>
          <w:divBdr>
            <w:top w:val="none" w:sz="0" w:space="0" w:color="auto"/>
            <w:left w:val="none" w:sz="0" w:space="0" w:color="auto"/>
            <w:bottom w:val="none" w:sz="0" w:space="0" w:color="auto"/>
            <w:right w:val="none" w:sz="0" w:space="0" w:color="auto"/>
          </w:divBdr>
        </w:div>
        <w:div w:id="1434010994">
          <w:marLeft w:val="1166"/>
          <w:marRight w:val="0"/>
          <w:marTop w:val="115"/>
          <w:marBottom w:val="0"/>
          <w:divBdr>
            <w:top w:val="none" w:sz="0" w:space="0" w:color="auto"/>
            <w:left w:val="none" w:sz="0" w:space="0" w:color="auto"/>
            <w:bottom w:val="none" w:sz="0" w:space="0" w:color="auto"/>
            <w:right w:val="none" w:sz="0" w:space="0" w:color="auto"/>
          </w:divBdr>
        </w:div>
      </w:divsChild>
    </w:div>
    <w:div w:id="1799907150">
      <w:bodyDiv w:val="1"/>
      <w:marLeft w:val="0"/>
      <w:marRight w:val="0"/>
      <w:marTop w:val="0"/>
      <w:marBottom w:val="0"/>
      <w:divBdr>
        <w:top w:val="none" w:sz="0" w:space="0" w:color="auto"/>
        <w:left w:val="none" w:sz="0" w:space="0" w:color="auto"/>
        <w:bottom w:val="none" w:sz="0" w:space="0" w:color="auto"/>
        <w:right w:val="none" w:sz="0" w:space="0" w:color="auto"/>
      </w:divBdr>
      <w:divsChild>
        <w:div w:id="1840730588">
          <w:marLeft w:val="547"/>
          <w:marRight w:val="0"/>
          <w:marTop w:val="154"/>
          <w:marBottom w:val="0"/>
          <w:divBdr>
            <w:top w:val="none" w:sz="0" w:space="0" w:color="auto"/>
            <w:left w:val="none" w:sz="0" w:space="0" w:color="auto"/>
            <w:bottom w:val="none" w:sz="0" w:space="0" w:color="auto"/>
            <w:right w:val="none" w:sz="0" w:space="0" w:color="auto"/>
          </w:divBdr>
        </w:div>
        <w:div w:id="2047488680">
          <w:marLeft w:val="1166"/>
          <w:marRight w:val="0"/>
          <w:marTop w:val="134"/>
          <w:marBottom w:val="0"/>
          <w:divBdr>
            <w:top w:val="none" w:sz="0" w:space="0" w:color="auto"/>
            <w:left w:val="none" w:sz="0" w:space="0" w:color="auto"/>
            <w:bottom w:val="none" w:sz="0" w:space="0" w:color="auto"/>
            <w:right w:val="none" w:sz="0" w:space="0" w:color="auto"/>
          </w:divBdr>
        </w:div>
      </w:divsChild>
    </w:div>
    <w:div w:id="1800873470">
      <w:bodyDiv w:val="1"/>
      <w:marLeft w:val="0"/>
      <w:marRight w:val="0"/>
      <w:marTop w:val="0"/>
      <w:marBottom w:val="0"/>
      <w:divBdr>
        <w:top w:val="none" w:sz="0" w:space="0" w:color="auto"/>
        <w:left w:val="none" w:sz="0" w:space="0" w:color="auto"/>
        <w:bottom w:val="none" w:sz="0" w:space="0" w:color="auto"/>
        <w:right w:val="none" w:sz="0" w:space="0" w:color="auto"/>
      </w:divBdr>
    </w:div>
    <w:div w:id="1802191817">
      <w:bodyDiv w:val="1"/>
      <w:marLeft w:val="0"/>
      <w:marRight w:val="0"/>
      <w:marTop w:val="0"/>
      <w:marBottom w:val="0"/>
      <w:divBdr>
        <w:top w:val="none" w:sz="0" w:space="0" w:color="auto"/>
        <w:left w:val="none" w:sz="0" w:space="0" w:color="auto"/>
        <w:bottom w:val="none" w:sz="0" w:space="0" w:color="auto"/>
        <w:right w:val="none" w:sz="0" w:space="0" w:color="auto"/>
      </w:divBdr>
      <w:divsChild>
        <w:div w:id="655957961">
          <w:marLeft w:val="0"/>
          <w:marRight w:val="0"/>
          <w:marTop w:val="0"/>
          <w:marBottom w:val="0"/>
          <w:divBdr>
            <w:top w:val="none" w:sz="0" w:space="0" w:color="auto"/>
            <w:left w:val="none" w:sz="0" w:space="0" w:color="auto"/>
            <w:bottom w:val="none" w:sz="0" w:space="0" w:color="auto"/>
            <w:right w:val="none" w:sz="0" w:space="0" w:color="auto"/>
          </w:divBdr>
          <w:divsChild>
            <w:div w:id="1055085648">
              <w:marLeft w:val="0"/>
              <w:marRight w:val="0"/>
              <w:marTop w:val="0"/>
              <w:marBottom w:val="0"/>
              <w:divBdr>
                <w:top w:val="none" w:sz="0" w:space="0" w:color="auto"/>
                <w:left w:val="none" w:sz="0" w:space="0" w:color="auto"/>
                <w:bottom w:val="none" w:sz="0" w:space="0" w:color="auto"/>
                <w:right w:val="none" w:sz="0" w:space="0" w:color="auto"/>
              </w:divBdr>
            </w:div>
            <w:div w:id="14795706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03036288">
      <w:bodyDiv w:val="1"/>
      <w:marLeft w:val="0"/>
      <w:marRight w:val="0"/>
      <w:marTop w:val="0"/>
      <w:marBottom w:val="0"/>
      <w:divBdr>
        <w:top w:val="none" w:sz="0" w:space="0" w:color="auto"/>
        <w:left w:val="none" w:sz="0" w:space="0" w:color="auto"/>
        <w:bottom w:val="none" w:sz="0" w:space="0" w:color="auto"/>
        <w:right w:val="none" w:sz="0" w:space="0" w:color="auto"/>
      </w:divBdr>
    </w:div>
    <w:div w:id="1804611338">
      <w:bodyDiv w:val="1"/>
      <w:marLeft w:val="0"/>
      <w:marRight w:val="0"/>
      <w:marTop w:val="0"/>
      <w:marBottom w:val="0"/>
      <w:divBdr>
        <w:top w:val="none" w:sz="0" w:space="0" w:color="auto"/>
        <w:left w:val="none" w:sz="0" w:space="0" w:color="auto"/>
        <w:bottom w:val="none" w:sz="0" w:space="0" w:color="auto"/>
        <w:right w:val="none" w:sz="0" w:space="0" w:color="auto"/>
      </w:divBdr>
    </w:div>
    <w:div w:id="1804956960">
      <w:bodyDiv w:val="1"/>
      <w:marLeft w:val="0"/>
      <w:marRight w:val="0"/>
      <w:marTop w:val="0"/>
      <w:marBottom w:val="0"/>
      <w:divBdr>
        <w:top w:val="none" w:sz="0" w:space="0" w:color="auto"/>
        <w:left w:val="none" w:sz="0" w:space="0" w:color="auto"/>
        <w:bottom w:val="none" w:sz="0" w:space="0" w:color="auto"/>
        <w:right w:val="none" w:sz="0" w:space="0" w:color="auto"/>
      </w:divBdr>
    </w:div>
    <w:div w:id="1805194041">
      <w:bodyDiv w:val="1"/>
      <w:marLeft w:val="0"/>
      <w:marRight w:val="0"/>
      <w:marTop w:val="0"/>
      <w:marBottom w:val="0"/>
      <w:divBdr>
        <w:top w:val="none" w:sz="0" w:space="0" w:color="auto"/>
        <w:left w:val="none" w:sz="0" w:space="0" w:color="auto"/>
        <w:bottom w:val="none" w:sz="0" w:space="0" w:color="auto"/>
        <w:right w:val="none" w:sz="0" w:space="0" w:color="auto"/>
      </w:divBdr>
    </w:div>
    <w:div w:id="1805537243">
      <w:bodyDiv w:val="1"/>
      <w:marLeft w:val="0"/>
      <w:marRight w:val="0"/>
      <w:marTop w:val="0"/>
      <w:marBottom w:val="0"/>
      <w:divBdr>
        <w:top w:val="none" w:sz="0" w:space="0" w:color="auto"/>
        <w:left w:val="none" w:sz="0" w:space="0" w:color="auto"/>
        <w:bottom w:val="none" w:sz="0" w:space="0" w:color="auto"/>
        <w:right w:val="none" w:sz="0" w:space="0" w:color="auto"/>
      </w:divBdr>
    </w:div>
    <w:div w:id="1805854607">
      <w:bodyDiv w:val="1"/>
      <w:marLeft w:val="0"/>
      <w:marRight w:val="0"/>
      <w:marTop w:val="0"/>
      <w:marBottom w:val="0"/>
      <w:divBdr>
        <w:top w:val="none" w:sz="0" w:space="0" w:color="auto"/>
        <w:left w:val="none" w:sz="0" w:space="0" w:color="auto"/>
        <w:bottom w:val="none" w:sz="0" w:space="0" w:color="auto"/>
        <w:right w:val="none" w:sz="0" w:space="0" w:color="auto"/>
      </w:divBdr>
      <w:divsChild>
        <w:div w:id="33891136">
          <w:marLeft w:val="547"/>
          <w:marRight w:val="0"/>
          <w:marTop w:val="154"/>
          <w:marBottom w:val="0"/>
          <w:divBdr>
            <w:top w:val="none" w:sz="0" w:space="0" w:color="auto"/>
            <w:left w:val="none" w:sz="0" w:space="0" w:color="auto"/>
            <w:bottom w:val="none" w:sz="0" w:space="0" w:color="auto"/>
            <w:right w:val="none" w:sz="0" w:space="0" w:color="auto"/>
          </w:divBdr>
        </w:div>
        <w:div w:id="281807548">
          <w:marLeft w:val="1166"/>
          <w:marRight w:val="0"/>
          <w:marTop w:val="125"/>
          <w:marBottom w:val="0"/>
          <w:divBdr>
            <w:top w:val="none" w:sz="0" w:space="0" w:color="auto"/>
            <w:left w:val="none" w:sz="0" w:space="0" w:color="auto"/>
            <w:bottom w:val="none" w:sz="0" w:space="0" w:color="auto"/>
            <w:right w:val="none" w:sz="0" w:space="0" w:color="auto"/>
          </w:divBdr>
        </w:div>
        <w:div w:id="694964977">
          <w:marLeft w:val="1166"/>
          <w:marRight w:val="0"/>
          <w:marTop w:val="125"/>
          <w:marBottom w:val="0"/>
          <w:divBdr>
            <w:top w:val="none" w:sz="0" w:space="0" w:color="auto"/>
            <w:left w:val="none" w:sz="0" w:space="0" w:color="auto"/>
            <w:bottom w:val="none" w:sz="0" w:space="0" w:color="auto"/>
            <w:right w:val="none" w:sz="0" w:space="0" w:color="auto"/>
          </w:divBdr>
        </w:div>
        <w:div w:id="1611353728">
          <w:marLeft w:val="1166"/>
          <w:marRight w:val="0"/>
          <w:marTop w:val="125"/>
          <w:marBottom w:val="0"/>
          <w:divBdr>
            <w:top w:val="none" w:sz="0" w:space="0" w:color="auto"/>
            <w:left w:val="none" w:sz="0" w:space="0" w:color="auto"/>
            <w:bottom w:val="none" w:sz="0" w:space="0" w:color="auto"/>
            <w:right w:val="none" w:sz="0" w:space="0" w:color="auto"/>
          </w:divBdr>
        </w:div>
      </w:divsChild>
    </w:div>
    <w:div w:id="1806006215">
      <w:bodyDiv w:val="1"/>
      <w:marLeft w:val="0"/>
      <w:marRight w:val="0"/>
      <w:marTop w:val="0"/>
      <w:marBottom w:val="0"/>
      <w:divBdr>
        <w:top w:val="none" w:sz="0" w:space="0" w:color="auto"/>
        <w:left w:val="none" w:sz="0" w:space="0" w:color="auto"/>
        <w:bottom w:val="none" w:sz="0" w:space="0" w:color="auto"/>
        <w:right w:val="none" w:sz="0" w:space="0" w:color="auto"/>
      </w:divBdr>
    </w:div>
    <w:div w:id="1806192527">
      <w:bodyDiv w:val="1"/>
      <w:marLeft w:val="0"/>
      <w:marRight w:val="0"/>
      <w:marTop w:val="0"/>
      <w:marBottom w:val="0"/>
      <w:divBdr>
        <w:top w:val="none" w:sz="0" w:space="0" w:color="auto"/>
        <w:left w:val="none" w:sz="0" w:space="0" w:color="auto"/>
        <w:bottom w:val="none" w:sz="0" w:space="0" w:color="auto"/>
        <w:right w:val="none" w:sz="0" w:space="0" w:color="auto"/>
      </w:divBdr>
    </w:div>
    <w:div w:id="1806923473">
      <w:bodyDiv w:val="1"/>
      <w:marLeft w:val="0"/>
      <w:marRight w:val="0"/>
      <w:marTop w:val="0"/>
      <w:marBottom w:val="0"/>
      <w:divBdr>
        <w:top w:val="none" w:sz="0" w:space="0" w:color="auto"/>
        <w:left w:val="none" w:sz="0" w:space="0" w:color="auto"/>
        <w:bottom w:val="none" w:sz="0" w:space="0" w:color="auto"/>
        <w:right w:val="none" w:sz="0" w:space="0" w:color="auto"/>
      </w:divBdr>
    </w:div>
    <w:div w:id="1807432501">
      <w:bodyDiv w:val="1"/>
      <w:marLeft w:val="0"/>
      <w:marRight w:val="0"/>
      <w:marTop w:val="0"/>
      <w:marBottom w:val="0"/>
      <w:divBdr>
        <w:top w:val="none" w:sz="0" w:space="0" w:color="auto"/>
        <w:left w:val="none" w:sz="0" w:space="0" w:color="auto"/>
        <w:bottom w:val="none" w:sz="0" w:space="0" w:color="auto"/>
        <w:right w:val="none" w:sz="0" w:space="0" w:color="auto"/>
      </w:divBdr>
    </w:div>
    <w:div w:id="1807699617">
      <w:bodyDiv w:val="1"/>
      <w:marLeft w:val="0"/>
      <w:marRight w:val="0"/>
      <w:marTop w:val="0"/>
      <w:marBottom w:val="0"/>
      <w:divBdr>
        <w:top w:val="none" w:sz="0" w:space="0" w:color="auto"/>
        <w:left w:val="none" w:sz="0" w:space="0" w:color="auto"/>
        <w:bottom w:val="none" w:sz="0" w:space="0" w:color="auto"/>
        <w:right w:val="none" w:sz="0" w:space="0" w:color="auto"/>
      </w:divBdr>
    </w:div>
    <w:div w:id="1808863881">
      <w:bodyDiv w:val="1"/>
      <w:marLeft w:val="0"/>
      <w:marRight w:val="0"/>
      <w:marTop w:val="0"/>
      <w:marBottom w:val="0"/>
      <w:divBdr>
        <w:top w:val="none" w:sz="0" w:space="0" w:color="auto"/>
        <w:left w:val="none" w:sz="0" w:space="0" w:color="auto"/>
        <w:bottom w:val="none" w:sz="0" w:space="0" w:color="auto"/>
        <w:right w:val="none" w:sz="0" w:space="0" w:color="auto"/>
      </w:divBdr>
    </w:div>
    <w:div w:id="1809862062">
      <w:bodyDiv w:val="1"/>
      <w:marLeft w:val="0"/>
      <w:marRight w:val="0"/>
      <w:marTop w:val="0"/>
      <w:marBottom w:val="0"/>
      <w:divBdr>
        <w:top w:val="none" w:sz="0" w:space="0" w:color="auto"/>
        <w:left w:val="none" w:sz="0" w:space="0" w:color="auto"/>
        <w:bottom w:val="none" w:sz="0" w:space="0" w:color="auto"/>
        <w:right w:val="none" w:sz="0" w:space="0" w:color="auto"/>
      </w:divBdr>
      <w:divsChild>
        <w:div w:id="714701133">
          <w:marLeft w:val="1166"/>
          <w:marRight w:val="0"/>
          <w:marTop w:val="106"/>
          <w:marBottom w:val="0"/>
          <w:divBdr>
            <w:top w:val="none" w:sz="0" w:space="0" w:color="auto"/>
            <w:left w:val="none" w:sz="0" w:space="0" w:color="auto"/>
            <w:bottom w:val="none" w:sz="0" w:space="0" w:color="auto"/>
            <w:right w:val="none" w:sz="0" w:space="0" w:color="auto"/>
          </w:divBdr>
        </w:div>
        <w:div w:id="868640488">
          <w:marLeft w:val="1166"/>
          <w:marRight w:val="0"/>
          <w:marTop w:val="106"/>
          <w:marBottom w:val="0"/>
          <w:divBdr>
            <w:top w:val="none" w:sz="0" w:space="0" w:color="auto"/>
            <w:left w:val="none" w:sz="0" w:space="0" w:color="auto"/>
            <w:bottom w:val="none" w:sz="0" w:space="0" w:color="auto"/>
            <w:right w:val="none" w:sz="0" w:space="0" w:color="auto"/>
          </w:divBdr>
        </w:div>
        <w:div w:id="1114444376">
          <w:marLeft w:val="1166"/>
          <w:marRight w:val="0"/>
          <w:marTop w:val="106"/>
          <w:marBottom w:val="0"/>
          <w:divBdr>
            <w:top w:val="none" w:sz="0" w:space="0" w:color="auto"/>
            <w:left w:val="none" w:sz="0" w:space="0" w:color="auto"/>
            <w:bottom w:val="none" w:sz="0" w:space="0" w:color="auto"/>
            <w:right w:val="none" w:sz="0" w:space="0" w:color="auto"/>
          </w:divBdr>
        </w:div>
        <w:div w:id="1218280304">
          <w:marLeft w:val="547"/>
          <w:marRight w:val="0"/>
          <w:marTop w:val="120"/>
          <w:marBottom w:val="0"/>
          <w:divBdr>
            <w:top w:val="none" w:sz="0" w:space="0" w:color="auto"/>
            <w:left w:val="none" w:sz="0" w:space="0" w:color="auto"/>
            <w:bottom w:val="none" w:sz="0" w:space="0" w:color="auto"/>
            <w:right w:val="none" w:sz="0" w:space="0" w:color="auto"/>
          </w:divBdr>
        </w:div>
        <w:div w:id="1601453085">
          <w:marLeft w:val="1166"/>
          <w:marRight w:val="0"/>
          <w:marTop w:val="106"/>
          <w:marBottom w:val="0"/>
          <w:divBdr>
            <w:top w:val="none" w:sz="0" w:space="0" w:color="auto"/>
            <w:left w:val="none" w:sz="0" w:space="0" w:color="auto"/>
            <w:bottom w:val="none" w:sz="0" w:space="0" w:color="auto"/>
            <w:right w:val="none" w:sz="0" w:space="0" w:color="auto"/>
          </w:divBdr>
        </w:div>
        <w:div w:id="1608653729">
          <w:marLeft w:val="1166"/>
          <w:marRight w:val="0"/>
          <w:marTop w:val="106"/>
          <w:marBottom w:val="0"/>
          <w:divBdr>
            <w:top w:val="none" w:sz="0" w:space="0" w:color="auto"/>
            <w:left w:val="none" w:sz="0" w:space="0" w:color="auto"/>
            <w:bottom w:val="none" w:sz="0" w:space="0" w:color="auto"/>
            <w:right w:val="none" w:sz="0" w:space="0" w:color="auto"/>
          </w:divBdr>
        </w:div>
        <w:div w:id="1879119722">
          <w:marLeft w:val="547"/>
          <w:marRight w:val="0"/>
          <w:marTop w:val="120"/>
          <w:marBottom w:val="0"/>
          <w:divBdr>
            <w:top w:val="none" w:sz="0" w:space="0" w:color="auto"/>
            <w:left w:val="none" w:sz="0" w:space="0" w:color="auto"/>
            <w:bottom w:val="none" w:sz="0" w:space="0" w:color="auto"/>
            <w:right w:val="none" w:sz="0" w:space="0" w:color="auto"/>
          </w:divBdr>
        </w:div>
        <w:div w:id="2026832192">
          <w:marLeft w:val="547"/>
          <w:marRight w:val="0"/>
          <w:marTop w:val="120"/>
          <w:marBottom w:val="0"/>
          <w:divBdr>
            <w:top w:val="none" w:sz="0" w:space="0" w:color="auto"/>
            <w:left w:val="none" w:sz="0" w:space="0" w:color="auto"/>
            <w:bottom w:val="none" w:sz="0" w:space="0" w:color="auto"/>
            <w:right w:val="none" w:sz="0" w:space="0" w:color="auto"/>
          </w:divBdr>
        </w:div>
      </w:divsChild>
    </w:div>
    <w:div w:id="1810048584">
      <w:bodyDiv w:val="1"/>
      <w:marLeft w:val="0"/>
      <w:marRight w:val="0"/>
      <w:marTop w:val="0"/>
      <w:marBottom w:val="0"/>
      <w:divBdr>
        <w:top w:val="none" w:sz="0" w:space="0" w:color="auto"/>
        <w:left w:val="none" w:sz="0" w:space="0" w:color="auto"/>
        <w:bottom w:val="none" w:sz="0" w:space="0" w:color="auto"/>
        <w:right w:val="none" w:sz="0" w:space="0" w:color="auto"/>
      </w:divBdr>
    </w:div>
    <w:div w:id="1810434850">
      <w:bodyDiv w:val="1"/>
      <w:marLeft w:val="0"/>
      <w:marRight w:val="0"/>
      <w:marTop w:val="0"/>
      <w:marBottom w:val="0"/>
      <w:divBdr>
        <w:top w:val="none" w:sz="0" w:space="0" w:color="auto"/>
        <w:left w:val="none" w:sz="0" w:space="0" w:color="auto"/>
        <w:bottom w:val="none" w:sz="0" w:space="0" w:color="auto"/>
        <w:right w:val="none" w:sz="0" w:space="0" w:color="auto"/>
      </w:divBdr>
      <w:divsChild>
        <w:div w:id="463699280">
          <w:marLeft w:val="1166"/>
          <w:marRight w:val="0"/>
          <w:marTop w:val="106"/>
          <w:marBottom w:val="0"/>
          <w:divBdr>
            <w:top w:val="none" w:sz="0" w:space="0" w:color="auto"/>
            <w:left w:val="none" w:sz="0" w:space="0" w:color="auto"/>
            <w:bottom w:val="none" w:sz="0" w:space="0" w:color="auto"/>
            <w:right w:val="none" w:sz="0" w:space="0" w:color="auto"/>
          </w:divBdr>
        </w:div>
        <w:div w:id="769786935">
          <w:marLeft w:val="1800"/>
          <w:marRight w:val="0"/>
          <w:marTop w:val="91"/>
          <w:marBottom w:val="0"/>
          <w:divBdr>
            <w:top w:val="none" w:sz="0" w:space="0" w:color="auto"/>
            <w:left w:val="none" w:sz="0" w:space="0" w:color="auto"/>
            <w:bottom w:val="none" w:sz="0" w:space="0" w:color="auto"/>
            <w:right w:val="none" w:sz="0" w:space="0" w:color="auto"/>
          </w:divBdr>
        </w:div>
        <w:div w:id="1045761641">
          <w:marLeft w:val="1800"/>
          <w:marRight w:val="0"/>
          <w:marTop w:val="91"/>
          <w:marBottom w:val="0"/>
          <w:divBdr>
            <w:top w:val="none" w:sz="0" w:space="0" w:color="auto"/>
            <w:left w:val="none" w:sz="0" w:space="0" w:color="auto"/>
            <w:bottom w:val="none" w:sz="0" w:space="0" w:color="auto"/>
            <w:right w:val="none" w:sz="0" w:space="0" w:color="auto"/>
          </w:divBdr>
        </w:div>
        <w:div w:id="1076320384">
          <w:marLeft w:val="1800"/>
          <w:marRight w:val="0"/>
          <w:marTop w:val="91"/>
          <w:marBottom w:val="0"/>
          <w:divBdr>
            <w:top w:val="none" w:sz="0" w:space="0" w:color="auto"/>
            <w:left w:val="none" w:sz="0" w:space="0" w:color="auto"/>
            <w:bottom w:val="none" w:sz="0" w:space="0" w:color="auto"/>
            <w:right w:val="none" w:sz="0" w:space="0" w:color="auto"/>
          </w:divBdr>
        </w:div>
        <w:div w:id="1190876073">
          <w:marLeft w:val="547"/>
          <w:marRight w:val="0"/>
          <w:marTop w:val="106"/>
          <w:marBottom w:val="0"/>
          <w:divBdr>
            <w:top w:val="none" w:sz="0" w:space="0" w:color="auto"/>
            <w:left w:val="none" w:sz="0" w:space="0" w:color="auto"/>
            <w:bottom w:val="none" w:sz="0" w:space="0" w:color="auto"/>
            <w:right w:val="none" w:sz="0" w:space="0" w:color="auto"/>
          </w:divBdr>
        </w:div>
        <w:div w:id="1288858224">
          <w:marLeft w:val="1166"/>
          <w:marRight w:val="0"/>
          <w:marTop w:val="106"/>
          <w:marBottom w:val="0"/>
          <w:divBdr>
            <w:top w:val="none" w:sz="0" w:space="0" w:color="auto"/>
            <w:left w:val="none" w:sz="0" w:space="0" w:color="auto"/>
            <w:bottom w:val="none" w:sz="0" w:space="0" w:color="auto"/>
            <w:right w:val="none" w:sz="0" w:space="0" w:color="auto"/>
          </w:divBdr>
        </w:div>
        <w:div w:id="1520310038">
          <w:marLeft w:val="1166"/>
          <w:marRight w:val="0"/>
          <w:marTop w:val="106"/>
          <w:marBottom w:val="0"/>
          <w:divBdr>
            <w:top w:val="none" w:sz="0" w:space="0" w:color="auto"/>
            <w:left w:val="none" w:sz="0" w:space="0" w:color="auto"/>
            <w:bottom w:val="none" w:sz="0" w:space="0" w:color="auto"/>
            <w:right w:val="none" w:sz="0" w:space="0" w:color="auto"/>
          </w:divBdr>
        </w:div>
        <w:div w:id="1913152420">
          <w:marLeft w:val="1166"/>
          <w:marRight w:val="0"/>
          <w:marTop w:val="106"/>
          <w:marBottom w:val="0"/>
          <w:divBdr>
            <w:top w:val="none" w:sz="0" w:space="0" w:color="auto"/>
            <w:left w:val="none" w:sz="0" w:space="0" w:color="auto"/>
            <w:bottom w:val="none" w:sz="0" w:space="0" w:color="auto"/>
            <w:right w:val="none" w:sz="0" w:space="0" w:color="auto"/>
          </w:divBdr>
        </w:div>
      </w:divsChild>
    </w:div>
    <w:div w:id="1811172014">
      <w:bodyDiv w:val="1"/>
      <w:marLeft w:val="0"/>
      <w:marRight w:val="0"/>
      <w:marTop w:val="0"/>
      <w:marBottom w:val="0"/>
      <w:divBdr>
        <w:top w:val="none" w:sz="0" w:space="0" w:color="auto"/>
        <w:left w:val="none" w:sz="0" w:space="0" w:color="auto"/>
        <w:bottom w:val="none" w:sz="0" w:space="0" w:color="auto"/>
        <w:right w:val="none" w:sz="0" w:space="0" w:color="auto"/>
      </w:divBdr>
    </w:div>
    <w:div w:id="1811828023">
      <w:bodyDiv w:val="1"/>
      <w:marLeft w:val="0"/>
      <w:marRight w:val="0"/>
      <w:marTop w:val="0"/>
      <w:marBottom w:val="0"/>
      <w:divBdr>
        <w:top w:val="none" w:sz="0" w:space="0" w:color="auto"/>
        <w:left w:val="none" w:sz="0" w:space="0" w:color="auto"/>
        <w:bottom w:val="none" w:sz="0" w:space="0" w:color="auto"/>
        <w:right w:val="none" w:sz="0" w:space="0" w:color="auto"/>
      </w:divBdr>
    </w:div>
    <w:div w:id="1812359975">
      <w:bodyDiv w:val="1"/>
      <w:marLeft w:val="0"/>
      <w:marRight w:val="0"/>
      <w:marTop w:val="0"/>
      <w:marBottom w:val="0"/>
      <w:divBdr>
        <w:top w:val="none" w:sz="0" w:space="0" w:color="auto"/>
        <w:left w:val="none" w:sz="0" w:space="0" w:color="auto"/>
        <w:bottom w:val="none" w:sz="0" w:space="0" w:color="auto"/>
        <w:right w:val="none" w:sz="0" w:space="0" w:color="auto"/>
      </w:divBdr>
      <w:divsChild>
        <w:div w:id="43989527">
          <w:marLeft w:val="720"/>
          <w:marRight w:val="0"/>
          <w:marTop w:val="0"/>
          <w:marBottom w:val="0"/>
          <w:divBdr>
            <w:top w:val="none" w:sz="0" w:space="0" w:color="auto"/>
            <w:left w:val="none" w:sz="0" w:space="0" w:color="auto"/>
            <w:bottom w:val="none" w:sz="0" w:space="0" w:color="auto"/>
            <w:right w:val="none" w:sz="0" w:space="0" w:color="auto"/>
          </w:divBdr>
        </w:div>
        <w:div w:id="326907995">
          <w:marLeft w:val="720"/>
          <w:marRight w:val="0"/>
          <w:marTop w:val="0"/>
          <w:marBottom w:val="0"/>
          <w:divBdr>
            <w:top w:val="none" w:sz="0" w:space="0" w:color="auto"/>
            <w:left w:val="none" w:sz="0" w:space="0" w:color="auto"/>
            <w:bottom w:val="none" w:sz="0" w:space="0" w:color="auto"/>
            <w:right w:val="none" w:sz="0" w:space="0" w:color="auto"/>
          </w:divBdr>
        </w:div>
        <w:div w:id="380835972">
          <w:marLeft w:val="360"/>
          <w:marRight w:val="0"/>
          <w:marTop w:val="200"/>
          <w:marBottom w:val="0"/>
          <w:divBdr>
            <w:top w:val="none" w:sz="0" w:space="0" w:color="auto"/>
            <w:left w:val="none" w:sz="0" w:space="0" w:color="auto"/>
            <w:bottom w:val="none" w:sz="0" w:space="0" w:color="auto"/>
            <w:right w:val="none" w:sz="0" w:space="0" w:color="auto"/>
          </w:divBdr>
        </w:div>
        <w:div w:id="565917208">
          <w:marLeft w:val="720"/>
          <w:marRight w:val="0"/>
          <w:marTop w:val="0"/>
          <w:marBottom w:val="0"/>
          <w:divBdr>
            <w:top w:val="none" w:sz="0" w:space="0" w:color="auto"/>
            <w:left w:val="none" w:sz="0" w:space="0" w:color="auto"/>
            <w:bottom w:val="none" w:sz="0" w:space="0" w:color="auto"/>
            <w:right w:val="none" w:sz="0" w:space="0" w:color="auto"/>
          </w:divBdr>
        </w:div>
        <w:div w:id="860514403">
          <w:marLeft w:val="360"/>
          <w:marRight w:val="0"/>
          <w:marTop w:val="200"/>
          <w:marBottom w:val="0"/>
          <w:divBdr>
            <w:top w:val="none" w:sz="0" w:space="0" w:color="auto"/>
            <w:left w:val="none" w:sz="0" w:space="0" w:color="auto"/>
            <w:bottom w:val="none" w:sz="0" w:space="0" w:color="auto"/>
            <w:right w:val="none" w:sz="0" w:space="0" w:color="auto"/>
          </w:divBdr>
        </w:div>
        <w:div w:id="1640262937">
          <w:marLeft w:val="720"/>
          <w:marRight w:val="0"/>
          <w:marTop w:val="0"/>
          <w:marBottom w:val="0"/>
          <w:divBdr>
            <w:top w:val="none" w:sz="0" w:space="0" w:color="auto"/>
            <w:left w:val="none" w:sz="0" w:space="0" w:color="auto"/>
            <w:bottom w:val="none" w:sz="0" w:space="0" w:color="auto"/>
            <w:right w:val="none" w:sz="0" w:space="0" w:color="auto"/>
          </w:divBdr>
        </w:div>
        <w:div w:id="1694072770">
          <w:marLeft w:val="1440"/>
          <w:marRight w:val="0"/>
          <w:marTop w:val="0"/>
          <w:marBottom w:val="0"/>
          <w:divBdr>
            <w:top w:val="none" w:sz="0" w:space="0" w:color="auto"/>
            <w:left w:val="none" w:sz="0" w:space="0" w:color="auto"/>
            <w:bottom w:val="none" w:sz="0" w:space="0" w:color="auto"/>
            <w:right w:val="none" w:sz="0" w:space="0" w:color="auto"/>
          </w:divBdr>
        </w:div>
        <w:div w:id="1747654907">
          <w:marLeft w:val="1440"/>
          <w:marRight w:val="0"/>
          <w:marTop w:val="0"/>
          <w:marBottom w:val="0"/>
          <w:divBdr>
            <w:top w:val="none" w:sz="0" w:space="0" w:color="auto"/>
            <w:left w:val="none" w:sz="0" w:space="0" w:color="auto"/>
            <w:bottom w:val="none" w:sz="0" w:space="0" w:color="auto"/>
            <w:right w:val="none" w:sz="0" w:space="0" w:color="auto"/>
          </w:divBdr>
        </w:div>
        <w:div w:id="1776902546">
          <w:marLeft w:val="720"/>
          <w:marRight w:val="0"/>
          <w:marTop w:val="0"/>
          <w:marBottom w:val="0"/>
          <w:divBdr>
            <w:top w:val="none" w:sz="0" w:space="0" w:color="auto"/>
            <w:left w:val="none" w:sz="0" w:space="0" w:color="auto"/>
            <w:bottom w:val="none" w:sz="0" w:space="0" w:color="auto"/>
            <w:right w:val="none" w:sz="0" w:space="0" w:color="auto"/>
          </w:divBdr>
        </w:div>
        <w:div w:id="2018459820">
          <w:marLeft w:val="720"/>
          <w:marRight w:val="0"/>
          <w:marTop w:val="0"/>
          <w:marBottom w:val="0"/>
          <w:divBdr>
            <w:top w:val="none" w:sz="0" w:space="0" w:color="auto"/>
            <w:left w:val="none" w:sz="0" w:space="0" w:color="auto"/>
            <w:bottom w:val="none" w:sz="0" w:space="0" w:color="auto"/>
            <w:right w:val="none" w:sz="0" w:space="0" w:color="auto"/>
          </w:divBdr>
        </w:div>
      </w:divsChild>
    </w:div>
    <w:div w:id="1812406423">
      <w:bodyDiv w:val="1"/>
      <w:marLeft w:val="0"/>
      <w:marRight w:val="0"/>
      <w:marTop w:val="0"/>
      <w:marBottom w:val="0"/>
      <w:divBdr>
        <w:top w:val="none" w:sz="0" w:space="0" w:color="auto"/>
        <w:left w:val="none" w:sz="0" w:space="0" w:color="auto"/>
        <w:bottom w:val="none" w:sz="0" w:space="0" w:color="auto"/>
        <w:right w:val="none" w:sz="0" w:space="0" w:color="auto"/>
      </w:divBdr>
    </w:div>
    <w:div w:id="1814322586">
      <w:bodyDiv w:val="1"/>
      <w:marLeft w:val="0"/>
      <w:marRight w:val="0"/>
      <w:marTop w:val="0"/>
      <w:marBottom w:val="0"/>
      <w:divBdr>
        <w:top w:val="none" w:sz="0" w:space="0" w:color="auto"/>
        <w:left w:val="none" w:sz="0" w:space="0" w:color="auto"/>
        <w:bottom w:val="none" w:sz="0" w:space="0" w:color="auto"/>
        <w:right w:val="none" w:sz="0" w:space="0" w:color="auto"/>
      </w:divBdr>
    </w:div>
    <w:div w:id="1814982655">
      <w:bodyDiv w:val="1"/>
      <w:marLeft w:val="0"/>
      <w:marRight w:val="0"/>
      <w:marTop w:val="0"/>
      <w:marBottom w:val="0"/>
      <w:divBdr>
        <w:top w:val="none" w:sz="0" w:space="0" w:color="auto"/>
        <w:left w:val="none" w:sz="0" w:space="0" w:color="auto"/>
        <w:bottom w:val="none" w:sz="0" w:space="0" w:color="auto"/>
        <w:right w:val="none" w:sz="0" w:space="0" w:color="auto"/>
      </w:divBdr>
      <w:divsChild>
        <w:div w:id="1898856959">
          <w:marLeft w:val="547"/>
          <w:marRight w:val="0"/>
          <w:marTop w:val="0"/>
          <w:marBottom w:val="0"/>
          <w:divBdr>
            <w:top w:val="none" w:sz="0" w:space="0" w:color="auto"/>
            <w:left w:val="none" w:sz="0" w:space="0" w:color="auto"/>
            <w:bottom w:val="none" w:sz="0" w:space="0" w:color="auto"/>
            <w:right w:val="none" w:sz="0" w:space="0" w:color="auto"/>
          </w:divBdr>
        </w:div>
      </w:divsChild>
    </w:div>
    <w:div w:id="1815368412">
      <w:bodyDiv w:val="1"/>
      <w:marLeft w:val="0"/>
      <w:marRight w:val="0"/>
      <w:marTop w:val="0"/>
      <w:marBottom w:val="0"/>
      <w:divBdr>
        <w:top w:val="none" w:sz="0" w:space="0" w:color="auto"/>
        <w:left w:val="none" w:sz="0" w:space="0" w:color="auto"/>
        <w:bottom w:val="none" w:sz="0" w:space="0" w:color="auto"/>
        <w:right w:val="none" w:sz="0" w:space="0" w:color="auto"/>
      </w:divBdr>
    </w:div>
    <w:div w:id="1816138118">
      <w:bodyDiv w:val="1"/>
      <w:marLeft w:val="0"/>
      <w:marRight w:val="0"/>
      <w:marTop w:val="0"/>
      <w:marBottom w:val="0"/>
      <w:divBdr>
        <w:top w:val="none" w:sz="0" w:space="0" w:color="auto"/>
        <w:left w:val="none" w:sz="0" w:space="0" w:color="auto"/>
        <w:bottom w:val="none" w:sz="0" w:space="0" w:color="auto"/>
        <w:right w:val="none" w:sz="0" w:space="0" w:color="auto"/>
      </w:divBdr>
    </w:div>
    <w:div w:id="1816140761">
      <w:bodyDiv w:val="1"/>
      <w:marLeft w:val="0"/>
      <w:marRight w:val="0"/>
      <w:marTop w:val="0"/>
      <w:marBottom w:val="0"/>
      <w:divBdr>
        <w:top w:val="none" w:sz="0" w:space="0" w:color="auto"/>
        <w:left w:val="none" w:sz="0" w:space="0" w:color="auto"/>
        <w:bottom w:val="none" w:sz="0" w:space="0" w:color="auto"/>
        <w:right w:val="none" w:sz="0" w:space="0" w:color="auto"/>
      </w:divBdr>
    </w:div>
    <w:div w:id="1816605143">
      <w:bodyDiv w:val="1"/>
      <w:marLeft w:val="0"/>
      <w:marRight w:val="0"/>
      <w:marTop w:val="0"/>
      <w:marBottom w:val="0"/>
      <w:divBdr>
        <w:top w:val="none" w:sz="0" w:space="0" w:color="auto"/>
        <w:left w:val="none" w:sz="0" w:space="0" w:color="auto"/>
        <w:bottom w:val="none" w:sz="0" w:space="0" w:color="auto"/>
        <w:right w:val="none" w:sz="0" w:space="0" w:color="auto"/>
      </w:divBdr>
    </w:div>
    <w:div w:id="1817603976">
      <w:bodyDiv w:val="1"/>
      <w:marLeft w:val="0"/>
      <w:marRight w:val="0"/>
      <w:marTop w:val="0"/>
      <w:marBottom w:val="0"/>
      <w:divBdr>
        <w:top w:val="none" w:sz="0" w:space="0" w:color="auto"/>
        <w:left w:val="none" w:sz="0" w:space="0" w:color="auto"/>
        <w:bottom w:val="none" w:sz="0" w:space="0" w:color="auto"/>
        <w:right w:val="none" w:sz="0" w:space="0" w:color="auto"/>
      </w:divBdr>
    </w:div>
    <w:div w:id="1818497665">
      <w:bodyDiv w:val="1"/>
      <w:marLeft w:val="0"/>
      <w:marRight w:val="0"/>
      <w:marTop w:val="0"/>
      <w:marBottom w:val="0"/>
      <w:divBdr>
        <w:top w:val="none" w:sz="0" w:space="0" w:color="auto"/>
        <w:left w:val="none" w:sz="0" w:space="0" w:color="auto"/>
        <w:bottom w:val="none" w:sz="0" w:space="0" w:color="auto"/>
        <w:right w:val="none" w:sz="0" w:space="0" w:color="auto"/>
      </w:divBdr>
    </w:div>
    <w:div w:id="1822040195">
      <w:bodyDiv w:val="1"/>
      <w:marLeft w:val="0"/>
      <w:marRight w:val="0"/>
      <w:marTop w:val="0"/>
      <w:marBottom w:val="0"/>
      <w:divBdr>
        <w:top w:val="none" w:sz="0" w:space="0" w:color="auto"/>
        <w:left w:val="none" w:sz="0" w:space="0" w:color="auto"/>
        <w:bottom w:val="none" w:sz="0" w:space="0" w:color="auto"/>
        <w:right w:val="none" w:sz="0" w:space="0" w:color="auto"/>
      </w:divBdr>
      <w:divsChild>
        <w:div w:id="192547370">
          <w:marLeft w:val="1166"/>
          <w:marRight w:val="0"/>
          <w:marTop w:val="86"/>
          <w:marBottom w:val="0"/>
          <w:divBdr>
            <w:top w:val="none" w:sz="0" w:space="0" w:color="auto"/>
            <w:left w:val="none" w:sz="0" w:space="0" w:color="auto"/>
            <w:bottom w:val="none" w:sz="0" w:space="0" w:color="auto"/>
            <w:right w:val="none" w:sz="0" w:space="0" w:color="auto"/>
          </w:divBdr>
        </w:div>
        <w:div w:id="348457627">
          <w:marLeft w:val="547"/>
          <w:marRight w:val="0"/>
          <w:marTop w:val="96"/>
          <w:marBottom w:val="0"/>
          <w:divBdr>
            <w:top w:val="none" w:sz="0" w:space="0" w:color="auto"/>
            <w:left w:val="none" w:sz="0" w:space="0" w:color="auto"/>
            <w:bottom w:val="none" w:sz="0" w:space="0" w:color="auto"/>
            <w:right w:val="none" w:sz="0" w:space="0" w:color="auto"/>
          </w:divBdr>
        </w:div>
        <w:div w:id="424039136">
          <w:marLeft w:val="1166"/>
          <w:marRight w:val="0"/>
          <w:marTop w:val="86"/>
          <w:marBottom w:val="0"/>
          <w:divBdr>
            <w:top w:val="none" w:sz="0" w:space="0" w:color="auto"/>
            <w:left w:val="none" w:sz="0" w:space="0" w:color="auto"/>
            <w:bottom w:val="none" w:sz="0" w:space="0" w:color="auto"/>
            <w:right w:val="none" w:sz="0" w:space="0" w:color="auto"/>
          </w:divBdr>
        </w:div>
        <w:div w:id="1013457967">
          <w:marLeft w:val="547"/>
          <w:marRight w:val="0"/>
          <w:marTop w:val="96"/>
          <w:marBottom w:val="0"/>
          <w:divBdr>
            <w:top w:val="none" w:sz="0" w:space="0" w:color="auto"/>
            <w:left w:val="none" w:sz="0" w:space="0" w:color="auto"/>
            <w:bottom w:val="none" w:sz="0" w:space="0" w:color="auto"/>
            <w:right w:val="none" w:sz="0" w:space="0" w:color="auto"/>
          </w:divBdr>
        </w:div>
        <w:div w:id="1143889305">
          <w:marLeft w:val="1166"/>
          <w:marRight w:val="0"/>
          <w:marTop w:val="86"/>
          <w:marBottom w:val="0"/>
          <w:divBdr>
            <w:top w:val="none" w:sz="0" w:space="0" w:color="auto"/>
            <w:left w:val="none" w:sz="0" w:space="0" w:color="auto"/>
            <w:bottom w:val="none" w:sz="0" w:space="0" w:color="auto"/>
            <w:right w:val="none" w:sz="0" w:space="0" w:color="auto"/>
          </w:divBdr>
        </w:div>
        <w:div w:id="1147086936">
          <w:marLeft w:val="1166"/>
          <w:marRight w:val="0"/>
          <w:marTop w:val="86"/>
          <w:marBottom w:val="0"/>
          <w:divBdr>
            <w:top w:val="none" w:sz="0" w:space="0" w:color="auto"/>
            <w:left w:val="none" w:sz="0" w:space="0" w:color="auto"/>
            <w:bottom w:val="none" w:sz="0" w:space="0" w:color="auto"/>
            <w:right w:val="none" w:sz="0" w:space="0" w:color="auto"/>
          </w:divBdr>
        </w:div>
        <w:div w:id="1537502409">
          <w:marLeft w:val="1166"/>
          <w:marRight w:val="0"/>
          <w:marTop w:val="86"/>
          <w:marBottom w:val="0"/>
          <w:divBdr>
            <w:top w:val="none" w:sz="0" w:space="0" w:color="auto"/>
            <w:left w:val="none" w:sz="0" w:space="0" w:color="auto"/>
            <w:bottom w:val="none" w:sz="0" w:space="0" w:color="auto"/>
            <w:right w:val="none" w:sz="0" w:space="0" w:color="auto"/>
          </w:divBdr>
        </w:div>
        <w:div w:id="1562788249">
          <w:marLeft w:val="547"/>
          <w:marRight w:val="0"/>
          <w:marTop w:val="96"/>
          <w:marBottom w:val="0"/>
          <w:divBdr>
            <w:top w:val="none" w:sz="0" w:space="0" w:color="auto"/>
            <w:left w:val="none" w:sz="0" w:space="0" w:color="auto"/>
            <w:bottom w:val="none" w:sz="0" w:space="0" w:color="auto"/>
            <w:right w:val="none" w:sz="0" w:space="0" w:color="auto"/>
          </w:divBdr>
        </w:div>
        <w:div w:id="2019427372">
          <w:marLeft w:val="547"/>
          <w:marRight w:val="0"/>
          <w:marTop w:val="96"/>
          <w:marBottom w:val="0"/>
          <w:divBdr>
            <w:top w:val="none" w:sz="0" w:space="0" w:color="auto"/>
            <w:left w:val="none" w:sz="0" w:space="0" w:color="auto"/>
            <w:bottom w:val="none" w:sz="0" w:space="0" w:color="auto"/>
            <w:right w:val="none" w:sz="0" w:space="0" w:color="auto"/>
          </w:divBdr>
        </w:div>
        <w:div w:id="2075817053">
          <w:marLeft w:val="1166"/>
          <w:marRight w:val="0"/>
          <w:marTop w:val="86"/>
          <w:marBottom w:val="0"/>
          <w:divBdr>
            <w:top w:val="none" w:sz="0" w:space="0" w:color="auto"/>
            <w:left w:val="none" w:sz="0" w:space="0" w:color="auto"/>
            <w:bottom w:val="none" w:sz="0" w:space="0" w:color="auto"/>
            <w:right w:val="none" w:sz="0" w:space="0" w:color="auto"/>
          </w:divBdr>
        </w:div>
      </w:divsChild>
    </w:div>
    <w:div w:id="1822690742">
      <w:bodyDiv w:val="1"/>
      <w:marLeft w:val="0"/>
      <w:marRight w:val="0"/>
      <w:marTop w:val="0"/>
      <w:marBottom w:val="0"/>
      <w:divBdr>
        <w:top w:val="none" w:sz="0" w:space="0" w:color="auto"/>
        <w:left w:val="none" w:sz="0" w:space="0" w:color="auto"/>
        <w:bottom w:val="none" w:sz="0" w:space="0" w:color="auto"/>
        <w:right w:val="none" w:sz="0" w:space="0" w:color="auto"/>
      </w:divBdr>
    </w:div>
    <w:div w:id="1824076163">
      <w:bodyDiv w:val="1"/>
      <w:marLeft w:val="0"/>
      <w:marRight w:val="0"/>
      <w:marTop w:val="0"/>
      <w:marBottom w:val="0"/>
      <w:divBdr>
        <w:top w:val="none" w:sz="0" w:space="0" w:color="auto"/>
        <w:left w:val="none" w:sz="0" w:space="0" w:color="auto"/>
        <w:bottom w:val="none" w:sz="0" w:space="0" w:color="auto"/>
        <w:right w:val="none" w:sz="0" w:space="0" w:color="auto"/>
      </w:divBdr>
    </w:div>
    <w:div w:id="1824153799">
      <w:bodyDiv w:val="1"/>
      <w:marLeft w:val="0"/>
      <w:marRight w:val="0"/>
      <w:marTop w:val="0"/>
      <w:marBottom w:val="0"/>
      <w:divBdr>
        <w:top w:val="none" w:sz="0" w:space="0" w:color="auto"/>
        <w:left w:val="none" w:sz="0" w:space="0" w:color="auto"/>
        <w:bottom w:val="none" w:sz="0" w:space="0" w:color="auto"/>
        <w:right w:val="none" w:sz="0" w:space="0" w:color="auto"/>
      </w:divBdr>
    </w:div>
    <w:div w:id="1827285940">
      <w:bodyDiv w:val="1"/>
      <w:marLeft w:val="0"/>
      <w:marRight w:val="0"/>
      <w:marTop w:val="0"/>
      <w:marBottom w:val="0"/>
      <w:divBdr>
        <w:top w:val="none" w:sz="0" w:space="0" w:color="auto"/>
        <w:left w:val="none" w:sz="0" w:space="0" w:color="auto"/>
        <w:bottom w:val="none" w:sz="0" w:space="0" w:color="auto"/>
        <w:right w:val="none" w:sz="0" w:space="0" w:color="auto"/>
      </w:divBdr>
      <w:divsChild>
        <w:div w:id="68113762">
          <w:marLeft w:val="1166"/>
          <w:marRight w:val="0"/>
          <w:marTop w:val="96"/>
          <w:marBottom w:val="0"/>
          <w:divBdr>
            <w:top w:val="none" w:sz="0" w:space="0" w:color="auto"/>
            <w:left w:val="none" w:sz="0" w:space="0" w:color="auto"/>
            <w:bottom w:val="none" w:sz="0" w:space="0" w:color="auto"/>
            <w:right w:val="none" w:sz="0" w:space="0" w:color="auto"/>
          </w:divBdr>
        </w:div>
        <w:div w:id="317539404">
          <w:marLeft w:val="547"/>
          <w:marRight w:val="0"/>
          <w:marTop w:val="115"/>
          <w:marBottom w:val="0"/>
          <w:divBdr>
            <w:top w:val="none" w:sz="0" w:space="0" w:color="auto"/>
            <w:left w:val="none" w:sz="0" w:space="0" w:color="auto"/>
            <w:bottom w:val="none" w:sz="0" w:space="0" w:color="auto"/>
            <w:right w:val="none" w:sz="0" w:space="0" w:color="auto"/>
          </w:divBdr>
        </w:div>
        <w:div w:id="591359053">
          <w:marLeft w:val="1166"/>
          <w:marRight w:val="0"/>
          <w:marTop w:val="96"/>
          <w:marBottom w:val="0"/>
          <w:divBdr>
            <w:top w:val="none" w:sz="0" w:space="0" w:color="auto"/>
            <w:left w:val="none" w:sz="0" w:space="0" w:color="auto"/>
            <w:bottom w:val="none" w:sz="0" w:space="0" w:color="auto"/>
            <w:right w:val="none" w:sz="0" w:space="0" w:color="auto"/>
          </w:divBdr>
        </w:div>
        <w:div w:id="685789721">
          <w:marLeft w:val="547"/>
          <w:marRight w:val="0"/>
          <w:marTop w:val="115"/>
          <w:marBottom w:val="0"/>
          <w:divBdr>
            <w:top w:val="none" w:sz="0" w:space="0" w:color="auto"/>
            <w:left w:val="none" w:sz="0" w:space="0" w:color="auto"/>
            <w:bottom w:val="none" w:sz="0" w:space="0" w:color="auto"/>
            <w:right w:val="none" w:sz="0" w:space="0" w:color="auto"/>
          </w:divBdr>
        </w:div>
        <w:div w:id="826942462">
          <w:marLeft w:val="1166"/>
          <w:marRight w:val="0"/>
          <w:marTop w:val="96"/>
          <w:marBottom w:val="0"/>
          <w:divBdr>
            <w:top w:val="none" w:sz="0" w:space="0" w:color="auto"/>
            <w:left w:val="none" w:sz="0" w:space="0" w:color="auto"/>
            <w:bottom w:val="none" w:sz="0" w:space="0" w:color="auto"/>
            <w:right w:val="none" w:sz="0" w:space="0" w:color="auto"/>
          </w:divBdr>
        </w:div>
        <w:div w:id="1155217666">
          <w:marLeft w:val="1166"/>
          <w:marRight w:val="0"/>
          <w:marTop w:val="96"/>
          <w:marBottom w:val="0"/>
          <w:divBdr>
            <w:top w:val="none" w:sz="0" w:space="0" w:color="auto"/>
            <w:left w:val="none" w:sz="0" w:space="0" w:color="auto"/>
            <w:bottom w:val="none" w:sz="0" w:space="0" w:color="auto"/>
            <w:right w:val="none" w:sz="0" w:space="0" w:color="auto"/>
          </w:divBdr>
        </w:div>
        <w:div w:id="1964730140">
          <w:marLeft w:val="1166"/>
          <w:marRight w:val="0"/>
          <w:marTop w:val="96"/>
          <w:marBottom w:val="0"/>
          <w:divBdr>
            <w:top w:val="none" w:sz="0" w:space="0" w:color="auto"/>
            <w:left w:val="none" w:sz="0" w:space="0" w:color="auto"/>
            <w:bottom w:val="none" w:sz="0" w:space="0" w:color="auto"/>
            <w:right w:val="none" w:sz="0" w:space="0" w:color="auto"/>
          </w:divBdr>
        </w:div>
        <w:div w:id="1991059014">
          <w:marLeft w:val="1166"/>
          <w:marRight w:val="0"/>
          <w:marTop w:val="96"/>
          <w:marBottom w:val="0"/>
          <w:divBdr>
            <w:top w:val="none" w:sz="0" w:space="0" w:color="auto"/>
            <w:left w:val="none" w:sz="0" w:space="0" w:color="auto"/>
            <w:bottom w:val="none" w:sz="0" w:space="0" w:color="auto"/>
            <w:right w:val="none" w:sz="0" w:space="0" w:color="auto"/>
          </w:divBdr>
        </w:div>
        <w:div w:id="2126845285">
          <w:marLeft w:val="1166"/>
          <w:marRight w:val="0"/>
          <w:marTop w:val="96"/>
          <w:marBottom w:val="0"/>
          <w:divBdr>
            <w:top w:val="none" w:sz="0" w:space="0" w:color="auto"/>
            <w:left w:val="none" w:sz="0" w:space="0" w:color="auto"/>
            <w:bottom w:val="none" w:sz="0" w:space="0" w:color="auto"/>
            <w:right w:val="none" w:sz="0" w:space="0" w:color="auto"/>
          </w:divBdr>
        </w:div>
        <w:div w:id="2129352040">
          <w:marLeft w:val="547"/>
          <w:marRight w:val="0"/>
          <w:marTop w:val="115"/>
          <w:marBottom w:val="0"/>
          <w:divBdr>
            <w:top w:val="none" w:sz="0" w:space="0" w:color="auto"/>
            <w:left w:val="none" w:sz="0" w:space="0" w:color="auto"/>
            <w:bottom w:val="none" w:sz="0" w:space="0" w:color="auto"/>
            <w:right w:val="none" w:sz="0" w:space="0" w:color="auto"/>
          </w:divBdr>
        </w:div>
      </w:divsChild>
    </w:div>
    <w:div w:id="1827428301">
      <w:bodyDiv w:val="1"/>
      <w:marLeft w:val="0"/>
      <w:marRight w:val="0"/>
      <w:marTop w:val="0"/>
      <w:marBottom w:val="0"/>
      <w:divBdr>
        <w:top w:val="none" w:sz="0" w:space="0" w:color="auto"/>
        <w:left w:val="none" w:sz="0" w:space="0" w:color="auto"/>
        <w:bottom w:val="none" w:sz="0" w:space="0" w:color="auto"/>
        <w:right w:val="none" w:sz="0" w:space="0" w:color="auto"/>
      </w:divBdr>
    </w:div>
    <w:div w:id="1827890339">
      <w:bodyDiv w:val="1"/>
      <w:marLeft w:val="0"/>
      <w:marRight w:val="0"/>
      <w:marTop w:val="0"/>
      <w:marBottom w:val="0"/>
      <w:divBdr>
        <w:top w:val="none" w:sz="0" w:space="0" w:color="auto"/>
        <w:left w:val="none" w:sz="0" w:space="0" w:color="auto"/>
        <w:bottom w:val="none" w:sz="0" w:space="0" w:color="auto"/>
        <w:right w:val="none" w:sz="0" w:space="0" w:color="auto"/>
      </w:divBdr>
    </w:div>
    <w:div w:id="1828785285">
      <w:bodyDiv w:val="1"/>
      <w:marLeft w:val="0"/>
      <w:marRight w:val="0"/>
      <w:marTop w:val="0"/>
      <w:marBottom w:val="0"/>
      <w:divBdr>
        <w:top w:val="none" w:sz="0" w:space="0" w:color="auto"/>
        <w:left w:val="none" w:sz="0" w:space="0" w:color="auto"/>
        <w:bottom w:val="none" w:sz="0" w:space="0" w:color="auto"/>
        <w:right w:val="none" w:sz="0" w:space="0" w:color="auto"/>
      </w:divBdr>
    </w:div>
    <w:div w:id="1829175323">
      <w:bodyDiv w:val="1"/>
      <w:marLeft w:val="0"/>
      <w:marRight w:val="0"/>
      <w:marTop w:val="0"/>
      <w:marBottom w:val="0"/>
      <w:divBdr>
        <w:top w:val="none" w:sz="0" w:space="0" w:color="auto"/>
        <w:left w:val="none" w:sz="0" w:space="0" w:color="auto"/>
        <w:bottom w:val="none" w:sz="0" w:space="0" w:color="auto"/>
        <w:right w:val="none" w:sz="0" w:space="0" w:color="auto"/>
      </w:divBdr>
      <w:divsChild>
        <w:div w:id="839731828">
          <w:marLeft w:val="360"/>
          <w:marRight w:val="0"/>
          <w:marTop w:val="200"/>
          <w:marBottom w:val="0"/>
          <w:divBdr>
            <w:top w:val="none" w:sz="0" w:space="0" w:color="auto"/>
            <w:left w:val="none" w:sz="0" w:space="0" w:color="auto"/>
            <w:bottom w:val="none" w:sz="0" w:space="0" w:color="auto"/>
            <w:right w:val="none" w:sz="0" w:space="0" w:color="auto"/>
          </w:divBdr>
        </w:div>
        <w:div w:id="1610165290">
          <w:marLeft w:val="360"/>
          <w:marRight w:val="0"/>
          <w:marTop w:val="200"/>
          <w:marBottom w:val="0"/>
          <w:divBdr>
            <w:top w:val="none" w:sz="0" w:space="0" w:color="auto"/>
            <w:left w:val="none" w:sz="0" w:space="0" w:color="auto"/>
            <w:bottom w:val="none" w:sz="0" w:space="0" w:color="auto"/>
            <w:right w:val="none" w:sz="0" w:space="0" w:color="auto"/>
          </w:divBdr>
        </w:div>
      </w:divsChild>
    </w:div>
    <w:div w:id="1830517804">
      <w:bodyDiv w:val="1"/>
      <w:marLeft w:val="0"/>
      <w:marRight w:val="0"/>
      <w:marTop w:val="0"/>
      <w:marBottom w:val="0"/>
      <w:divBdr>
        <w:top w:val="none" w:sz="0" w:space="0" w:color="auto"/>
        <w:left w:val="none" w:sz="0" w:space="0" w:color="auto"/>
        <w:bottom w:val="none" w:sz="0" w:space="0" w:color="auto"/>
        <w:right w:val="none" w:sz="0" w:space="0" w:color="auto"/>
      </w:divBdr>
    </w:div>
    <w:div w:id="1830779681">
      <w:bodyDiv w:val="1"/>
      <w:marLeft w:val="0"/>
      <w:marRight w:val="0"/>
      <w:marTop w:val="0"/>
      <w:marBottom w:val="0"/>
      <w:divBdr>
        <w:top w:val="none" w:sz="0" w:space="0" w:color="auto"/>
        <w:left w:val="none" w:sz="0" w:space="0" w:color="auto"/>
        <w:bottom w:val="none" w:sz="0" w:space="0" w:color="auto"/>
        <w:right w:val="none" w:sz="0" w:space="0" w:color="auto"/>
      </w:divBdr>
    </w:div>
    <w:div w:id="1830906124">
      <w:bodyDiv w:val="1"/>
      <w:marLeft w:val="0"/>
      <w:marRight w:val="0"/>
      <w:marTop w:val="0"/>
      <w:marBottom w:val="0"/>
      <w:divBdr>
        <w:top w:val="none" w:sz="0" w:space="0" w:color="auto"/>
        <w:left w:val="none" w:sz="0" w:space="0" w:color="auto"/>
        <w:bottom w:val="none" w:sz="0" w:space="0" w:color="auto"/>
        <w:right w:val="none" w:sz="0" w:space="0" w:color="auto"/>
      </w:divBdr>
    </w:div>
    <w:div w:id="1832015141">
      <w:bodyDiv w:val="1"/>
      <w:marLeft w:val="0"/>
      <w:marRight w:val="0"/>
      <w:marTop w:val="0"/>
      <w:marBottom w:val="0"/>
      <w:divBdr>
        <w:top w:val="none" w:sz="0" w:space="0" w:color="auto"/>
        <w:left w:val="none" w:sz="0" w:space="0" w:color="auto"/>
        <w:bottom w:val="none" w:sz="0" w:space="0" w:color="auto"/>
        <w:right w:val="none" w:sz="0" w:space="0" w:color="auto"/>
      </w:divBdr>
    </w:div>
    <w:div w:id="1832794602">
      <w:bodyDiv w:val="1"/>
      <w:marLeft w:val="0"/>
      <w:marRight w:val="0"/>
      <w:marTop w:val="0"/>
      <w:marBottom w:val="0"/>
      <w:divBdr>
        <w:top w:val="none" w:sz="0" w:space="0" w:color="auto"/>
        <w:left w:val="none" w:sz="0" w:space="0" w:color="auto"/>
        <w:bottom w:val="none" w:sz="0" w:space="0" w:color="auto"/>
        <w:right w:val="none" w:sz="0" w:space="0" w:color="auto"/>
      </w:divBdr>
    </w:div>
    <w:div w:id="1833328272">
      <w:bodyDiv w:val="1"/>
      <w:marLeft w:val="0"/>
      <w:marRight w:val="0"/>
      <w:marTop w:val="0"/>
      <w:marBottom w:val="0"/>
      <w:divBdr>
        <w:top w:val="none" w:sz="0" w:space="0" w:color="auto"/>
        <w:left w:val="none" w:sz="0" w:space="0" w:color="auto"/>
        <w:bottom w:val="none" w:sz="0" w:space="0" w:color="auto"/>
        <w:right w:val="none" w:sz="0" w:space="0" w:color="auto"/>
      </w:divBdr>
    </w:div>
    <w:div w:id="1834680708">
      <w:bodyDiv w:val="1"/>
      <w:marLeft w:val="0"/>
      <w:marRight w:val="0"/>
      <w:marTop w:val="0"/>
      <w:marBottom w:val="0"/>
      <w:divBdr>
        <w:top w:val="none" w:sz="0" w:space="0" w:color="auto"/>
        <w:left w:val="none" w:sz="0" w:space="0" w:color="auto"/>
        <w:bottom w:val="none" w:sz="0" w:space="0" w:color="auto"/>
        <w:right w:val="none" w:sz="0" w:space="0" w:color="auto"/>
      </w:divBdr>
    </w:div>
    <w:div w:id="1835681629">
      <w:bodyDiv w:val="1"/>
      <w:marLeft w:val="0"/>
      <w:marRight w:val="0"/>
      <w:marTop w:val="0"/>
      <w:marBottom w:val="0"/>
      <w:divBdr>
        <w:top w:val="none" w:sz="0" w:space="0" w:color="auto"/>
        <w:left w:val="none" w:sz="0" w:space="0" w:color="auto"/>
        <w:bottom w:val="none" w:sz="0" w:space="0" w:color="auto"/>
        <w:right w:val="none" w:sz="0" w:space="0" w:color="auto"/>
      </w:divBdr>
      <w:divsChild>
        <w:div w:id="1523279001">
          <w:marLeft w:val="1166"/>
          <w:marRight w:val="0"/>
          <w:marTop w:val="115"/>
          <w:marBottom w:val="0"/>
          <w:divBdr>
            <w:top w:val="none" w:sz="0" w:space="0" w:color="auto"/>
            <w:left w:val="none" w:sz="0" w:space="0" w:color="auto"/>
            <w:bottom w:val="none" w:sz="0" w:space="0" w:color="auto"/>
            <w:right w:val="none" w:sz="0" w:space="0" w:color="auto"/>
          </w:divBdr>
        </w:div>
        <w:div w:id="1589119741">
          <w:marLeft w:val="547"/>
          <w:marRight w:val="0"/>
          <w:marTop w:val="134"/>
          <w:marBottom w:val="0"/>
          <w:divBdr>
            <w:top w:val="none" w:sz="0" w:space="0" w:color="auto"/>
            <w:left w:val="none" w:sz="0" w:space="0" w:color="auto"/>
            <w:bottom w:val="none" w:sz="0" w:space="0" w:color="auto"/>
            <w:right w:val="none" w:sz="0" w:space="0" w:color="auto"/>
          </w:divBdr>
        </w:div>
      </w:divsChild>
    </w:div>
    <w:div w:id="1836338967">
      <w:bodyDiv w:val="1"/>
      <w:marLeft w:val="0"/>
      <w:marRight w:val="0"/>
      <w:marTop w:val="0"/>
      <w:marBottom w:val="0"/>
      <w:divBdr>
        <w:top w:val="none" w:sz="0" w:space="0" w:color="auto"/>
        <w:left w:val="none" w:sz="0" w:space="0" w:color="auto"/>
        <w:bottom w:val="none" w:sz="0" w:space="0" w:color="auto"/>
        <w:right w:val="none" w:sz="0" w:space="0" w:color="auto"/>
      </w:divBdr>
    </w:div>
    <w:div w:id="1836528775">
      <w:bodyDiv w:val="1"/>
      <w:marLeft w:val="0"/>
      <w:marRight w:val="0"/>
      <w:marTop w:val="0"/>
      <w:marBottom w:val="0"/>
      <w:divBdr>
        <w:top w:val="none" w:sz="0" w:space="0" w:color="auto"/>
        <w:left w:val="none" w:sz="0" w:space="0" w:color="auto"/>
        <w:bottom w:val="none" w:sz="0" w:space="0" w:color="auto"/>
        <w:right w:val="none" w:sz="0" w:space="0" w:color="auto"/>
      </w:divBdr>
    </w:div>
    <w:div w:id="1837307213">
      <w:bodyDiv w:val="1"/>
      <w:marLeft w:val="0"/>
      <w:marRight w:val="0"/>
      <w:marTop w:val="0"/>
      <w:marBottom w:val="0"/>
      <w:divBdr>
        <w:top w:val="none" w:sz="0" w:space="0" w:color="auto"/>
        <w:left w:val="none" w:sz="0" w:space="0" w:color="auto"/>
        <w:bottom w:val="none" w:sz="0" w:space="0" w:color="auto"/>
        <w:right w:val="none" w:sz="0" w:space="0" w:color="auto"/>
      </w:divBdr>
    </w:div>
    <w:div w:id="1837378592">
      <w:bodyDiv w:val="1"/>
      <w:marLeft w:val="0"/>
      <w:marRight w:val="0"/>
      <w:marTop w:val="0"/>
      <w:marBottom w:val="0"/>
      <w:divBdr>
        <w:top w:val="none" w:sz="0" w:space="0" w:color="auto"/>
        <w:left w:val="none" w:sz="0" w:space="0" w:color="auto"/>
        <w:bottom w:val="none" w:sz="0" w:space="0" w:color="auto"/>
        <w:right w:val="none" w:sz="0" w:space="0" w:color="auto"/>
      </w:divBdr>
    </w:div>
    <w:div w:id="1838034954">
      <w:bodyDiv w:val="1"/>
      <w:marLeft w:val="0"/>
      <w:marRight w:val="0"/>
      <w:marTop w:val="0"/>
      <w:marBottom w:val="0"/>
      <w:divBdr>
        <w:top w:val="none" w:sz="0" w:space="0" w:color="auto"/>
        <w:left w:val="none" w:sz="0" w:space="0" w:color="auto"/>
        <w:bottom w:val="none" w:sz="0" w:space="0" w:color="auto"/>
        <w:right w:val="none" w:sz="0" w:space="0" w:color="auto"/>
      </w:divBdr>
    </w:div>
    <w:div w:id="1838378483">
      <w:bodyDiv w:val="1"/>
      <w:marLeft w:val="0"/>
      <w:marRight w:val="0"/>
      <w:marTop w:val="0"/>
      <w:marBottom w:val="0"/>
      <w:divBdr>
        <w:top w:val="none" w:sz="0" w:space="0" w:color="auto"/>
        <w:left w:val="none" w:sz="0" w:space="0" w:color="auto"/>
        <w:bottom w:val="none" w:sz="0" w:space="0" w:color="auto"/>
        <w:right w:val="none" w:sz="0" w:space="0" w:color="auto"/>
      </w:divBdr>
    </w:div>
    <w:div w:id="1838882647">
      <w:bodyDiv w:val="1"/>
      <w:marLeft w:val="0"/>
      <w:marRight w:val="0"/>
      <w:marTop w:val="0"/>
      <w:marBottom w:val="0"/>
      <w:divBdr>
        <w:top w:val="none" w:sz="0" w:space="0" w:color="auto"/>
        <w:left w:val="none" w:sz="0" w:space="0" w:color="auto"/>
        <w:bottom w:val="none" w:sz="0" w:space="0" w:color="auto"/>
        <w:right w:val="none" w:sz="0" w:space="0" w:color="auto"/>
      </w:divBdr>
    </w:div>
    <w:div w:id="1840150815">
      <w:bodyDiv w:val="1"/>
      <w:marLeft w:val="0"/>
      <w:marRight w:val="0"/>
      <w:marTop w:val="0"/>
      <w:marBottom w:val="0"/>
      <w:divBdr>
        <w:top w:val="none" w:sz="0" w:space="0" w:color="auto"/>
        <w:left w:val="none" w:sz="0" w:space="0" w:color="auto"/>
        <w:bottom w:val="none" w:sz="0" w:space="0" w:color="auto"/>
        <w:right w:val="none" w:sz="0" w:space="0" w:color="auto"/>
      </w:divBdr>
    </w:div>
    <w:div w:id="1841121403">
      <w:bodyDiv w:val="1"/>
      <w:marLeft w:val="0"/>
      <w:marRight w:val="0"/>
      <w:marTop w:val="0"/>
      <w:marBottom w:val="0"/>
      <w:divBdr>
        <w:top w:val="none" w:sz="0" w:space="0" w:color="auto"/>
        <w:left w:val="none" w:sz="0" w:space="0" w:color="auto"/>
        <w:bottom w:val="none" w:sz="0" w:space="0" w:color="auto"/>
        <w:right w:val="none" w:sz="0" w:space="0" w:color="auto"/>
      </w:divBdr>
    </w:div>
    <w:div w:id="1843354125">
      <w:bodyDiv w:val="1"/>
      <w:marLeft w:val="0"/>
      <w:marRight w:val="0"/>
      <w:marTop w:val="0"/>
      <w:marBottom w:val="0"/>
      <w:divBdr>
        <w:top w:val="none" w:sz="0" w:space="0" w:color="auto"/>
        <w:left w:val="none" w:sz="0" w:space="0" w:color="auto"/>
        <w:bottom w:val="none" w:sz="0" w:space="0" w:color="auto"/>
        <w:right w:val="none" w:sz="0" w:space="0" w:color="auto"/>
      </w:divBdr>
    </w:div>
    <w:div w:id="1843429321">
      <w:bodyDiv w:val="1"/>
      <w:marLeft w:val="0"/>
      <w:marRight w:val="0"/>
      <w:marTop w:val="0"/>
      <w:marBottom w:val="0"/>
      <w:divBdr>
        <w:top w:val="none" w:sz="0" w:space="0" w:color="auto"/>
        <w:left w:val="none" w:sz="0" w:space="0" w:color="auto"/>
        <w:bottom w:val="none" w:sz="0" w:space="0" w:color="auto"/>
        <w:right w:val="none" w:sz="0" w:space="0" w:color="auto"/>
      </w:divBdr>
    </w:div>
    <w:div w:id="1845822956">
      <w:bodyDiv w:val="1"/>
      <w:marLeft w:val="0"/>
      <w:marRight w:val="0"/>
      <w:marTop w:val="0"/>
      <w:marBottom w:val="0"/>
      <w:divBdr>
        <w:top w:val="none" w:sz="0" w:space="0" w:color="auto"/>
        <w:left w:val="none" w:sz="0" w:space="0" w:color="auto"/>
        <w:bottom w:val="none" w:sz="0" w:space="0" w:color="auto"/>
        <w:right w:val="none" w:sz="0" w:space="0" w:color="auto"/>
      </w:divBdr>
    </w:div>
    <w:div w:id="1846165392">
      <w:bodyDiv w:val="1"/>
      <w:marLeft w:val="0"/>
      <w:marRight w:val="0"/>
      <w:marTop w:val="0"/>
      <w:marBottom w:val="0"/>
      <w:divBdr>
        <w:top w:val="none" w:sz="0" w:space="0" w:color="auto"/>
        <w:left w:val="none" w:sz="0" w:space="0" w:color="auto"/>
        <w:bottom w:val="none" w:sz="0" w:space="0" w:color="auto"/>
        <w:right w:val="none" w:sz="0" w:space="0" w:color="auto"/>
      </w:divBdr>
    </w:div>
    <w:div w:id="1846506519">
      <w:bodyDiv w:val="1"/>
      <w:marLeft w:val="0"/>
      <w:marRight w:val="0"/>
      <w:marTop w:val="0"/>
      <w:marBottom w:val="0"/>
      <w:divBdr>
        <w:top w:val="none" w:sz="0" w:space="0" w:color="auto"/>
        <w:left w:val="none" w:sz="0" w:space="0" w:color="auto"/>
        <w:bottom w:val="none" w:sz="0" w:space="0" w:color="auto"/>
        <w:right w:val="none" w:sz="0" w:space="0" w:color="auto"/>
      </w:divBdr>
      <w:divsChild>
        <w:div w:id="72705841">
          <w:marLeft w:val="1800"/>
          <w:marRight w:val="0"/>
          <w:marTop w:val="72"/>
          <w:marBottom w:val="0"/>
          <w:divBdr>
            <w:top w:val="none" w:sz="0" w:space="0" w:color="auto"/>
            <w:left w:val="none" w:sz="0" w:space="0" w:color="auto"/>
            <w:bottom w:val="none" w:sz="0" w:space="0" w:color="auto"/>
            <w:right w:val="none" w:sz="0" w:space="0" w:color="auto"/>
          </w:divBdr>
        </w:div>
        <w:div w:id="76442004">
          <w:marLeft w:val="1800"/>
          <w:marRight w:val="0"/>
          <w:marTop w:val="72"/>
          <w:marBottom w:val="0"/>
          <w:divBdr>
            <w:top w:val="none" w:sz="0" w:space="0" w:color="auto"/>
            <w:left w:val="none" w:sz="0" w:space="0" w:color="auto"/>
            <w:bottom w:val="none" w:sz="0" w:space="0" w:color="auto"/>
            <w:right w:val="none" w:sz="0" w:space="0" w:color="auto"/>
          </w:divBdr>
        </w:div>
        <w:div w:id="135877460">
          <w:marLeft w:val="1166"/>
          <w:marRight w:val="0"/>
          <w:marTop w:val="86"/>
          <w:marBottom w:val="0"/>
          <w:divBdr>
            <w:top w:val="none" w:sz="0" w:space="0" w:color="auto"/>
            <w:left w:val="none" w:sz="0" w:space="0" w:color="auto"/>
            <w:bottom w:val="none" w:sz="0" w:space="0" w:color="auto"/>
            <w:right w:val="none" w:sz="0" w:space="0" w:color="auto"/>
          </w:divBdr>
        </w:div>
        <w:div w:id="201749753">
          <w:marLeft w:val="1166"/>
          <w:marRight w:val="0"/>
          <w:marTop w:val="86"/>
          <w:marBottom w:val="0"/>
          <w:divBdr>
            <w:top w:val="none" w:sz="0" w:space="0" w:color="auto"/>
            <w:left w:val="none" w:sz="0" w:space="0" w:color="auto"/>
            <w:bottom w:val="none" w:sz="0" w:space="0" w:color="auto"/>
            <w:right w:val="none" w:sz="0" w:space="0" w:color="auto"/>
          </w:divBdr>
        </w:div>
        <w:div w:id="318392025">
          <w:marLeft w:val="547"/>
          <w:marRight w:val="0"/>
          <w:marTop w:val="96"/>
          <w:marBottom w:val="0"/>
          <w:divBdr>
            <w:top w:val="none" w:sz="0" w:space="0" w:color="auto"/>
            <w:left w:val="none" w:sz="0" w:space="0" w:color="auto"/>
            <w:bottom w:val="none" w:sz="0" w:space="0" w:color="auto"/>
            <w:right w:val="none" w:sz="0" w:space="0" w:color="auto"/>
          </w:divBdr>
        </w:div>
        <w:div w:id="482888612">
          <w:marLeft w:val="2520"/>
          <w:marRight w:val="0"/>
          <w:marTop w:val="62"/>
          <w:marBottom w:val="0"/>
          <w:divBdr>
            <w:top w:val="none" w:sz="0" w:space="0" w:color="auto"/>
            <w:left w:val="none" w:sz="0" w:space="0" w:color="auto"/>
            <w:bottom w:val="none" w:sz="0" w:space="0" w:color="auto"/>
            <w:right w:val="none" w:sz="0" w:space="0" w:color="auto"/>
          </w:divBdr>
        </w:div>
        <w:div w:id="567420302">
          <w:marLeft w:val="1800"/>
          <w:marRight w:val="0"/>
          <w:marTop w:val="72"/>
          <w:marBottom w:val="0"/>
          <w:divBdr>
            <w:top w:val="none" w:sz="0" w:space="0" w:color="auto"/>
            <w:left w:val="none" w:sz="0" w:space="0" w:color="auto"/>
            <w:bottom w:val="none" w:sz="0" w:space="0" w:color="auto"/>
            <w:right w:val="none" w:sz="0" w:space="0" w:color="auto"/>
          </w:divBdr>
        </w:div>
        <w:div w:id="568855582">
          <w:marLeft w:val="1166"/>
          <w:marRight w:val="0"/>
          <w:marTop w:val="86"/>
          <w:marBottom w:val="0"/>
          <w:divBdr>
            <w:top w:val="none" w:sz="0" w:space="0" w:color="auto"/>
            <w:left w:val="none" w:sz="0" w:space="0" w:color="auto"/>
            <w:bottom w:val="none" w:sz="0" w:space="0" w:color="auto"/>
            <w:right w:val="none" w:sz="0" w:space="0" w:color="auto"/>
          </w:divBdr>
        </w:div>
        <w:div w:id="637801487">
          <w:marLeft w:val="547"/>
          <w:marRight w:val="0"/>
          <w:marTop w:val="96"/>
          <w:marBottom w:val="0"/>
          <w:divBdr>
            <w:top w:val="none" w:sz="0" w:space="0" w:color="auto"/>
            <w:left w:val="none" w:sz="0" w:space="0" w:color="auto"/>
            <w:bottom w:val="none" w:sz="0" w:space="0" w:color="auto"/>
            <w:right w:val="none" w:sz="0" w:space="0" w:color="auto"/>
          </w:divBdr>
        </w:div>
        <w:div w:id="754978131">
          <w:marLeft w:val="1166"/>
          <w:marRight w:val="0"/>
          <w:marTop w:val="86"/>
          <w:marBottom w:val="0"/>
          <w:divBdr>
            <w:top w:val="none" w:sz="0" w:space="0" w:color="auto"/>
            <w:left w:val="none" w:sz="0" w:space="0" w:color="auto"/>
            <w:bottom w:val="none" w:sz="0" w:space="0" w:color="auto"/>
            <w:right w:val="none" w:sz="0" w:space="0" w:color="auto"/>
          </w:divBdr>
        </w:div>
        <w:div w:id="1011294555">
          <w:marLeft w:val="1800"/>
          <w:marRight w:val="0"/>
          <w:marTop w:val="72"/>
          <w:marBottom w:val="0"/>
          <w:divBdr>
            <w:top w:val="none" w:sz="0" w:space="0" w:color="auto"/>
            <w:left w:val="none" w:sz="0" w:space="0" w:color="auto"/>
            <w:bottom w:val="none" w:sz="0" w:space="0" w:color="auto"/>
            <w:right w:val="none" w:sz="0" w:space="0" w:color="auto"/>
          </w:divBdr>
        </w:div>
        <w:div w:id="1215042033">
          <w:marLeft w:val="1166"/>
          <w:marRight w:val="0"/>
          <w:marTop w:val="86"/>
          <w:marBottom w:val="0"/>
          <w:divBdr>
            <w:top w:val="none" w:sz="0" w:space="0" w:color="auto"/>
            <w:left w:val="none" w:sz="0" w:space="0" w:color="auto"/>
            <w:bottom w:val="none" w:sz="0" w:space="0" w:color="auto"/>
            <w:right w:val="none" w:sz="0" w:space="0" w:color="auto"/>
          </w:divBdr>
        </w:div>
        <w:div w:id="1253854470">
          <w:marLeft w:val="1800"/>
          <w:marRight w:val="0"/>
          <w:marTop w:val="72"/>
          <w:marBottom w:val="0"/>
          <w:divBdr>
            <w:top w:val="none" w:sz="0" w:space="0" w:color="auto"/>
            <w:left w:val="none" w:sz="0" w:space="0" w:color="auto"/>
            <w:bottom w:val="none" w:sz="0" w:space="0" w:color="auto"/>
            <w:right w:val="none" w:sz="0" w:space="0" w:color="auto"/>
          </w:divBdr>
        </w:div>
      </w:divsChild>
    </w:div>
    <w:div w:id="1847136057">
      <w:bodyDiv w:val="1"/>
      <w:marLeft w:val="0"/>
      <w:marRight w:val="0"/>
      <w:marTop w:val="0"/>
      <w:marBottom w:val="0"/>
      <w:divBdr>
        <w:top w:val="none" w:sz="0" w:space="0" w:color="auto"/>
        <w:left w:val="none" w:sz="0" w:space="0" w:color="auto"/>
        <w:bottom w:val="none" w:sz="0" w:space="0" w:color="auto"/>
        <w:right w:val="none" w:sz="0" w:space="0" w:color="auto"/>
      </w:divBdr>
    </w:div>
    <w:div w:id="1847473998">
      <w:bodyDiv w:val="1"/>
      <w:marLeft w:val="0"/>
      <w:marRight w:val="0"/>
      <w:marTop w:val="0"/>
      <w:marBottom w:val="0"/>
      <w:divBdr>
        <w:top w:val="none" w:sz="0" w:space="0" w:color="auto"/>
        <w:left w:val="none" w:sz="0" w:space="0" w:color="auto"/>
        <w:bottom w:val="none" w:sz="0" w:space="0" w:color="auto"/>
        <w:right w:val="none" w:sz="0" w:space="0" w:color="auto"/>
      </w:divBdr>
    </w:div>
    <w:div w:id="1847860857">
      <w:bodyDiv w:val="1"/>
      <w:marLeft w:val="0"/>
      <w:marRight w:val="0"/>
      <w:marTop w:val="0"/>
      <w:marBottom w:val="0"/>
      <w:divBdr>
        <w:top w:val="none" w:sz="0" w:space="0" w:color="auto"/>
        <w:left w:val="none" w:sz="0" w:space="0" w:color="auto"/>
        <w:bottom w:val="none" w:sz="0" w:space="0" w:color="auto"/>
        <w:right w:val="none" w:sz="0" w:space="0" w:color="auto"/>
      </w:divBdr>
    </w:div>
    <w:div w:id="1848010135">
      <w:bodyDiv w:val="1"/>
      <w:marLeft w:val="0"/>
      <w:marRight w:val="0"/>
      <w:marTop w:val="0"/>
      <w:marBottom w:val="0"/>
      <w:divBdr>
        <w:top w:val="none" w:sz="0" w:space="0" w:color="auto"/>
        <w:left w:val="none" w:sz="0" w:space="0" w:color="auto"/>
        <w:bottom w:val="none" w:sz="0" w:space="0" w:color="auto"/>
        <w:right w:val="none" w:sz="0" w:space="0" w:color="auto"/>
      </w:divBdr>
      <w:divsChild>
        <w:div w:id="198205068">
          <w:marLeft w:val="547"/>
          <w:marRight w:val="0"/>
          <w:marTop w:val="154"/>
          <w:marBottom w:val="0"/>
          <w:divBdr>
            <w:top w:val="none" w:sz="0" w:space="0" w:color="auto"/>
            <w:left w:val="none" w:sz="0" w:space="0" w:color="auto"/>
            <w:bottom w:val="none" w:sz="0" w:space="0" w:color="auto"/>
            <w:right w:val="none" w:sz="0" w:space="0" w:color="auto"/>
          </w:divBdr>
        </w:div>
        <w:div w:id="690301144">
          <w:marLeft w:val="547"/>
          <w:marRight w:val="0"/>
          <w:marTop w:val="154"/>
          <w:marBottom w:val="0"/>
          <w:divBdr>
            <w:top w:val="none" w:sz="0" w:space="0" w:color="auto"/>
            <w:left w:val="none" w:sz="0" w:space="0" w:color="auto"/>
            <w:bottom w:val="none" w:sz="0" w:space="0" w:color="auto"/>
            <w:right w:val="none" w:sz="0" w:space="0" w:color="auto"/>
          </w:divBdr>
        </w:div>
        <w:div w:id="1296594728">
          <w:marLeft w:val="1800"/>
          <w:marRight w:val="0"/>
          <w:marTop w:val="115"/>
          <w:marBottom w:val="0"/>
          <w:divBdr>
            <w:top w:val="none" w:sz="0" w:space="0" w:color="auto"/>
            <w:left w:val="none" w:sz="0" w:space="0" w:color="auto"/>
            <w:bottom w:val="none" w:sz="0" w:space="0" w:color="auto"/>
            <w:right w:val="none" w:sz="0" w:space="0" w:color="auto"/>
          </w:divBdr>
        </w:div>
        <w:div w:id="1314289803">
          <w:marLeft w:val="1166"/>
          <w:marRight w:val="0"/>
          <w:marTop w:val="134"/>
          <w:marBottom w:val="0"/>
          <w:divBdr>
            <w:top w:val="none" w:sz="0" w:space="0" w:color="auto"/>
            <w:left w:val="none" w:sz="0" w:space="0" w:color="auto"/>
            <w:bottom w:val="none" w:sz="0" w:space="0" w:color="auto"/>
            <w:right w:val="none" w:sz="0" w:space="0" w:color="auto"/>
          </w:divBdr>
        </w:div>
        <w:div w:id="1389963001">
          <w:marLeft w:val="547"/>
          <w:marRight w:val="0"/>
          <w:marTop w:val="154"/>
          <w:marBottom w:val="0"/>
          <w:divBdr>
            <w:top w:val="none" w:sz="0" w:space="0" w:color="auto"/>
            <w:left w:val="none" w:sz="0" w:space="0" w:color="auto"/>
            <w:bottom w:val="none" w:sz="0" w:space="0" w:color="auto"/>
            <w:right w:val="none" w:sz="0" w:space="0" w:color="auto"/>
          </w:divBdr>
        </w:div>
      </w:divsChild>
    </w:div>
    <w:div w:id="1848519074">
      <w:bodyDiv w:val="1"/>
      <w:marLeft w:val="0"/>
      <w:marRight w:val="0"/>
      <w:marTop w:val="0"/>
      <w:marBottom w:val="0"/>
      <w:divBdr>
        <w:top w:val="none" w:sz="0" w:space="0" w:color="auto"/>
        <w:left w:val="none" w:sz="0" w:space="0" w:color="auto"/>
        <w:bottom w:val="none" w:sz="0" w:space="0" w:color="auto"/>
        <w:right w:val="none" w:sz="0" w:space="0" w:color="auto"/>
      </w:divBdr>
    </w:div>
    <w:div w:id="1848521954">
      <w:bodyDiv w:val="1"/>
      <w:marLeft w:val="0"/>
      <w:marRight w:val="0"/>
      <w:marTop w:val="0"/>
      <w:marBottom w:val="0"/>
      <w:divBdr>
        <w:top w:val="none" w:sz="0" w:space="0" w:color="auto"/>
        <w:left w:val="none" w:sz="0" w:space="0" w:color="auto"/>
        <w:bottom w:val="none" w:sz="0" w:space="0" w:color="auto"/>
        <w:right w:val="none" w:sz="0" w:space="0" w:color="auto"/>
      </w:divBdr>
      <w:divsChild>
        <w:div w:id="50005190">
          <w:marLeft w:val="1166"/>
          <w:marRight w:val="0"/>
          <w:marTop w:val="134"/>
          <w:marBottom w:val="0"/>
          <w:divBdr>
            <w:top w:val="none" w:sz="0" w:space="0" w:color="auto"/>
            <w:left w:val="none" w:sz="0" w:space="0" w:color="auto"/>
            <w:bottom w:val="none" w:sz="0" w:space="0" w:color="auto"/>
            <w:right w:val="none" w:sz="0" w:space="0" w:color="auto"/>
          </w:divBdr>
        </w:div>
        <w:div w:id="763187922">
          <w:marLeft w:val="547"/>
          <w:marRight w:val="0"/>
          <w:marTop w:val="154"/>
          <w:marBottom w:val="0"/>
          <w:divBdr>
            <w:top w:val="none" w:sz="0" w:space="0" w:color="auto"/>
            <w:left w:val="none" w:sz="0" w:space="0" w:color="auto"/>
            <w:bottom w:val="none" w:sz="0" w:space="0" w:color="auto"/>
            <w:right w:val="none" w:sz="0" w:space="0" w:color="auto"/>
          </w:divBdr>
        </w:div>
        <w:div w:id="1382753181">
          <w:marLeft w:val="547"/>
          <w:marRight w:val="0"/>
          <w:marTop w:val="154"/>
          <w:marBottom w:val="0"/>
          <w:divBdr>
            <w:top w:val="none" w:sz="0" w:space="0" w:color="auto"/>
            <w:left w:val="none" w:sz="0" w:space="0" w:color="auto"/>
            <w:bottom w:val="none" w:sz="0" w:space="0" w:color="auto"/>
            <w:right w:val="none" w:sz="0" w:space="0" w:color="auto"/>
          </w:divBdr>
        </w:div>
      </w:divsChild>
    </w:div>
    <w:div w:id="1850019049">
      <w:bodyDiv w:val="1"/>
      <w:marLeft w:val="0"/>
      <w:marRight w:val="0"/>
      <w:marTop w:val="0"/>
      <w:marBottom w:val="0"/>
      <w:divBdr>
        <w:top w:val="none" w:sz="0" w:space="0" w:color="auto"/>
        <w:left w:val="none" w:sz="0" w:space="0" w:color="auto"/>
        <w:bottom w:val="none" w:sz="0" w:space="0" w:color="auto"/>
        <w:right w:val="none" w:sz="0" w:space="0" w:color="auto"/>
      </w:divBdr>
      <w:divsChild>
        <w:div w:id="874847220">
          <w:marLeft w:val="360"/>
          <w:marRight w:val="0"/>
          <w:marTop w:val="200"/>
          <w:marBottom w:val="0"/>
          <w:divBdr>
            <w:top w:val="none" w:sz="0" w:space="0" w:color="auto"/>
            <w:left w:val="none" w:sz="0" w:space="0" w:color="auto"/>
            <w:bottom w:val="none" w:sz="0" w:space="0" w:color="auto"/>
            <w:right w:val="none" w:sz="0" w:space="0" w:color="auto"/>
          </w:divBdr>
        </w:div>
        <w:div w:id="894775695">
          <w:marLeft w:val="360"/>
          <w:marRight w:val="0"/>
          <w:marTop w:val="200"/>
          <w:marBottom w:val="0"/>
          <w:divBdr>
            <w:top w:val="none" w:sz="0" w:space="0" w:color="auto"/>
            <w:left w:val="none" w:sz="0" w:space="0" w:color="auto"/>
            <w:bottom w:val="none" w:sz="0" w:space="0" w:color="auto"/>
            <w:right w:val="none" w:sz="0" w:space="0" w:color="auto"/>
          </w:divBdr>
        </w:div>
        <w:div w:id="1323389814">
          <w:marLeft w:val="1800"/>
          <w:marRight w:val="0"/>
          <w:marTop w:val="100"/>
          <w:marBottom w:val="0"/>
          <w:divBdr>
            <w:top w:val="none" w:sz="0" w:space="0" w:color="auto"/>
            <w:left w:val="none" w:sz="0" w:space="0" w:color="auto"/>
            <w:bottom w:val="none" w:sz="0" w:space="0" w:color="auto"/>
            <w:right w:val="none" w:sz="0" w:space="0" w:color="auto"/>
          </w:divBdr>
        </w:div>
        <w:div w:id="1982613118">
          <w:marLeft w:val="1080"/>
          <w:marRight w:val="0"/>
          <w:marTop w:val="100"/>
          <w:marBottom w:val="0"/>
          <w:divBdr>
            <w:top w:val="none" w:sz="0" w:space="0" w:color="auto"/>
            <w:left w:val="none" w:sz="0" w:space="0" w:color="auto"/>
            <w:bottom w:val="none" w:sz="0" w:space="0" w:color="auto"/>
            <w:right w:val="none" w:sz="0" w:space="0" w:color="auto"/>
          </w:divBdr>
        </w:div>
      </w:divsChild>
    </w:div>
    <w:div w:id="1850637649">
      <w:bodyDiv w:val="1"/>
      <w:marLeft w:val="0"/>
      <w:marRight w:val="0"/>
      <w:marTop w:val="0"/>
      <w:marBottom w:val="0"/>
      <w:divBdr>
        <w:top w:val="none" w:sz="0" w:space="0" w:color="auto"/>
        <w:left w:val="none" w:sz="0" w:space="0" w:color="auto"/>
        <w:bottom w:val="none" w:sz="0" w:space="0" w:color="auto"/>
        <w:right w:val="none" w:sz="0" w:space="0" w:color="auto"/>
      </w:divBdr>
    </w:div>
    <w:div w:id="1850674388">
      <w:bodyDiv w:val="1"/>
      <w:marLeft w:val="0"/>
      <w:marRight w:val="0"/>
      <w:marTop w:val="0"/>
      <w:marBottom w:val="0"/>
      <w:divBdr>
        <w:top w:val="none" w:sz="0" w:space="0" w:color="auto"/>
        <w:left w:val="none" w:sz="0" w:space="0" w:color="auto"/>
        <w:bottom w:val="none" w:sz="0" w:space="0" w:color="auto"/>
        <w:right w:val="none" w:sz="0" w:space="0" w:color="auto"/>
      </w:divBdr>
      <w:divsChild>
        <w:div w:id="1387795333">
          <w:marLeft w:val="0"/>
          <w:marRight w:val="0"/>
          <w:marTop w:val="0"/>
          <w:marBottom w:val="0"/>
          <w:divBdr>
            <w:top w:val="none" w:sz="0" w:space="0" w:color="auto"/>
            <w:left w:val="none" w:sz="0" w:space="0" w:color="auto"/>
            <w:bottom w:val="none" w:sz="0" w:space="0" w:color="auto"/>
            <w:right w:val="none" w:sz="0" w:space="0" w:color="auto"/>
          </w:divBdr>
          <w:divsChild>
            <w:div w:id="351348508">
              <w:marLeft w:val="0"/>
              <w:marRight w:val="0"/>
              <w:marTop w:val="0"/>
              <w:marBottom w:val="0"/>
              <w:divBdr>
                <w:top w:val="none" w:sz="0" w:space="0" w:color="auto"/>
                <w:left w:val="none" w:sz="0" w:space="0" w:color="auto"/>
                <w:bottom w:val="none" w:sz="0" w:space="0" w:color="auto"/>
                <w:right w:val="none" w:sz="0" w:space="0" w:color="auto"/>
              </w:divBdr>
            </w:div>
            <w:div w:id="455635845">
              <w:marLeft w:val="0"/>
              <w:marRight w:val="0"/>
              <w:marTop w:val="0"/>
              <w:marBottom w:val="0"/>
              <w:divBdr>
                <w:top w:val="none" w:sz="0" w:space="0" w:color="auto"/>
                <w:left w:val="none" w:sz="0" w:space="0" w:color="auto"/>
                <w:bottom w:val="none" w:sz="0" w:space="0" w:color="auto"/>
                <w:right w:val="none" w:sz="0" w:space="0" w:color="auto"/>
              </w:divBdr>
            </w:div>
            <w:div w:id="516621861">
              <w:marLeft w:val="0"/>
              <w:marRight w:val="0"/>
              <w:marTop w:val="0"/>
              <w:marBottom w:val="0"/>
              <w:divBdr>
                <w:top w:val="none" w:sz="0" w:space="0" w:color="auto"/>
                <w:left w:val="none" w:sz="0" w:space="0" w:color="auto"/>
                <w:bottom w:val="none" w:sz="0" w:space="0" w:color="auto"/>
                <w:right w:val="none" w:sz="0" w:space="0" w:color="auto"/>
              </w:divBdr>
            </w:div>
            <w:div w:id="1444036037">
              <w:marLeft w:val="0"/>
              <w:marRight w:val="0"/>
              <w:marTop w:val="0"/>
              <w:marBottom w:val="0"/>
              <w:divBdr>
                <w:top w:val="none" w:sz="0" w:space="0" w:color="auto"/>
                <w:left w:val="none" w:sz="0" w:space="0" w:color="auto"/>
                <w:bottom w:val="none" w:sz="0" w:space="0" w:color="auto"/>
                <w:right w:val="none" w:sz="0" w:space="0" w:color="auto"/>
              </w:divBdr>
            </w:div>
            <w:div w:id="17533152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0676301">
      <w:bodyDiv w:val="1"/>
      <w:marLeft w:val="0"/>
      <w:marRight w:val="0"/>
      <w:marTop w:val="0"/>
      <w:marBottom w:val="0"/>
      <w:divBdr>
        <w:top w:val="none" w:sz="0" w:space="0" w:color="auto"/>
        <w:left w:val="none" w:sz="0" w:space="0" w:color="auto"/>
        <w:bottom w:val="none" w:sz="0" w:space="0" w:color="auto"/>
        <w:right w:val="none" w:sz="0" w:space="0" w:color="auto"/>
      </w:divBdr>
    </w:div>
    <w:div w:id="1850752305">
      <w:bodyDiv w:val="1"/>
      <w:marLeft w:val="0"/>
      <w:marRight w:val="0"/>
      <w:marTop w:val="0"/>
      <w:marBottom w:val="0"/>
      <w:divBdr>
        <w:top w:val="none" w:sz="0" w:space="0" w:color="auto"/>
        <w:left w:val="none" w:sz="0" w:space="0" w:color="auto"/>
        <w:bottom w:val="none" w:sz="0" w:space="0" w:color="auto"/>
        <w:right w:val="none" w:sz="0" w:space="0" w:color="auto"/>
      </w:divBdr>
    </w:div>
    <w:div w:id="1851212623">
      <w:bodyDiv w:val="1"/>
      <w:marLeft w:val="0"/>
      <w:marRight w:val="0"/>
      <w:marTop w:val="0"/>
      <w:marBottom w:val="0"/>
      <w:divBdr>
        <w:top w:val="none" w:sz="0" w:space="0" w:color="auto"/>
        <w:left w:val="none" w:sz="0" w:space="0" w:color="auto"/>
        <w:bottom w:val="none" w:sz="0" w:space="0" w:color="auto"/>
        <w:right w:val="none" w:sz="0" w:space="0" w:color="auto"/>
      </w:divBdr>
    </w:div>
    <w:div w:id="1852837706">
      <w:bodyDiv w:val="1"/>
      <w:marLeft w:val="0"/>
      <w:marRight w:val="0"/>
      <w:marTop w:val="0"/>
      <w:marBottom w:val="0"/>
      <w:divBdr>
        <w:top w:val="none" w:sz="0" w:space="0" w:color="auto"/>
        <w:left w:val="none" w:sz="0" w:space="0" w:color="auto"/>
        <w:bottom w:val="none" w:sz="0" w:space="0" w:color="auto"/>
        <w:right w:val="none" w:sz="0" w:space="0" w:color="auto"/>
      </w:divBdr>
    </w:div>
    <w:div w:id="1854297686">
      <w:bodyDiv w:val="1"/>
      <w:marLeft w:val="0"/>
      <w:marRight w:val="0"/>
      <w:marTop w:val="0"/>
      <w:marBottom w:val="0"/>
      <w:divBdr>
        <w:top w:val="none" w:sz="0" w:space="0" w:color="auto"/>
        <w:left w:val="none" w:sz="0" w:space="0" w:color="auto"/>
        <w:bottom w:val="none" w:sz="0" w:space="0" w:color="auto"/>
        <w:right w:val="none" w:sz="0" w:space="0" w:color="auto"/>
      </w:divBdr>
      <w:divsChild>
        <w:div w:id="711612569">
          <w:marLeft w:val="547"/>
          <w:marRight w:val="0"/>
          <w:marTop w:val="154"/>
          <w:marBottom w:val="0"/>
          <w:divBdr>
            <w:top w:val="none" w:sz="0" w:space="0" w:color="auto"/>
            <w:left w:val="none" w:sz="0" w:space="0" w:color="auto"/>
            <w:bottom w:val="none" w:sz="0" w:space="0" w:color="auto"/>
            <w:right w:val="none" w:sz="0" w:space="0" w:color="auto"/>
          </w:divBdr>
        </w:div>
        <w:div w:id="1594431317">
          <w:marLeft w:val="1166"/>
          <w:marRight w:val="0"/>
          <w:marTop w:val="134"/>
          <w:marBottom w:val="0"/>
          <w:divBdr>
            <w:top w:val="none" w:sz="0" w:space="0" w:color="auto"/>
            <w:left w:val="none" w:sz="0" w:space="0" w:color="auto"/>
            <w:bottom w:val="none" w:sz="0" w:space="0" w:color="auto"/>
            <w:right w:val="none" w:sz="0" w:space="0" w:color="auto"/>
          </w:divBdr>
        </w:div>
        <w:div w:id="1688945455">
          <w:marLeft w:val="1166"/>
          <w:marRight w:val="0"/>
          <w:marTop w:val="134"/>
          <w:marBottom w:val="0"/>
          <w:divBdr>
            <w:top w:val="none" w:sz="0" w:space="0" w:color="auto"/>
            <w:left w:val="none" w:sz="0" w:space="0" w:color="auto"/>
            <w:bottom w:val="none" w:sz="0" w:space="0" w:color="auto"/>
            <w:right w:val="none" w:sz="0" w:space="0" w:color="auto"/>
          </w:divBdr>
        </w:div>
      </w:divsChild>
    </w:div>
    <w:div w:id="1854496585">
      <w:bodyDiv w:val="1"/>
      <w:marLeft w:val="0"/>
      <w:marRight w:val="0"/>
      <w:marTop w:val="0"/>
      <w:marBottom w:val="0"/>
      <w:divBdr>
        <w:top w:val="none" w:sz="0" w:space="0" w:color="auto"/>
        <w:left w:val="none" w:sz="0" w:space="0" w:color="auto"/>
        <w:bottom w:val="none" w:sz="0" w:space="0" w:color="auto"/>
        <w:right w:val="none" w:sz="0" w:space="0" w:color="auto"/>
      </w:divBdr>
    </w:div>
    <w:div w:id="1856458311">
      <w:bodyDiv w:val="1"/>
      <w:marLeft w:val="0"/>
      <w:marRight w:val="0"/>
      <w:marTop w:val="0"/>
      <w:marBottom w:val="0"/>
      <w:divBdr>
        <w:top w:val="none" w:sz="0" w:space="0" w:color="auto"/>
        <w:left w:val="none" w:sz="0" w:space="0" w:color="auto"/>
        <w:bottom w:val="none" w:sz="0" w:space="0" w:color="auto"/>
        <w:right w:val="none" w:sz="0" w:space="0" w:color="auto"/>
      </w:divBdr>
    </w:div>
    <w:div w:id="1857306416">
      <w:bodyDiv w:val="1"/>
      <w:marLeft w:val="0"/>
      <w:marRight w:val="0"/>
      <w:marTop w:val="0"/>
      <w:marBottom w:val="0"/>
      <w:divBdr>
        <w:top w:val="none" w:sz="0" w:space="0" w:color="auto"/>
        <w:left w:val="none" w:sz="0" w:space="0" w:color="auto"/>
        <w:bottom w:val="none" w:sz="0" w:space="0" w:color="auto"/>
        <w:right w:val="none" w:sz="0" w:space="0" w:color="auto"/>
      </w:divBdr>
    </w:div>
    <w:div w:id="1858420213">
      <w:bodyDiv w:val="1"/>
      <w:marLeft w:val="0"/>
      <w:marRight w:val="0"/>
      <w:marTop w:val="0"/>
      <w:marBottom w:val="0"/>
      <w:divBdr>
        <w:top w:val="none" w:sz="0" w:space="0" w:color="auto"/>
        <w:left w:val="none" w:sz="0" w:space="0" w:color="auto"/>
        <w:bottom w:val="none" w:sz="0" w:space="0" w:color="auto"/>
        <w:right w:val="none" w:sz="0" w:space="0" w:color="auto"/>
      </w:divBdr>
    </w:div>
    <w:div w:id="1859077426">
      <w:bodyDiv w:val="1"/>
      <w:marLeft w:val="0"/>
      <w:marRight w:val="0"/>
      <w:marTop w:val="0"/>
      <w:marBottom w:val="0"/>
      <w:divBdr>
        <w:top w:val="none" w:sz="0" w:space="0" w:color="auto"/>
        <w:left w:val="none" w:sz="0" w:space="0" w:color="auto"/>
        <w:bottom w:val="none" w:sz="0" w:space="0" w:color="auto"/>
        <w:right w:val="none" w:sz="0" w:space="0" w:color="auto"/>
      </w:divBdr>
    </w:div>
    <w:div w:id="1859660007">
      <w:bodyDiv w:val="1"/>
      <w:marLeft w:val="0"/>
      <w:marRight w:val="0"/>
      <w:marTop w:val="0"/>
      <w:marBottom w:val="0"/>
      <w:divBdr>
        <w:top w:val="none" w:sz="0" w:space="0" w:color="auto"/>
        <w:left w:val="none" w:sz="0" w:space="0" w:color="auto"/>
        <w:bottom w:val="none" w:sz="0" w:space="0" w:color="auto"/>
        <w:right w:val="none" w:sz="0" w:space="0" w:color="auto"/>
      </w:divBdr>
      <w:divsChild>
        <w:div w:id="81074476">
          <w:marLeft w:val="547"/>
          <w:marRight w:val="0"/>
          <w:marTop w:val="115"/>
          <w:marBottom w:val="0"/>
          <w:divBdr>
            <w:top w:val="none" w:sz="0" w:space="0" w:color="auto"/>
            <w:left w:val="none" w:sz="0" w:space="0" w:color="auto"/>
            <w:bottom w:val="none" w:sz="0" w:space="0" w:color="auto"/>
            <w:right w:val="none" w:sz="0" w:space="0" w:color="auto"/>
          </w:divBdr>
        </w:div>
        <w:div w:id="234902751">
          <w:marLeft w:val="1166"/>
          <w:marRight w:val="0"/>
          <w:marTop w:val="96"/>
          <w:marBottom w:val="0"/>
          <w:divBdr>
            <w:top w:val="none" w:sz="0" w:space="0" w:color="auto"/>
            <w:left w:val="none" w:sz="0" w:space="0" w:color="auto"/>
            <w:bottom w:val="none" w:sz="0" w:space="0" w:color="auto"/>
            <w:right w:val="none" w:sz="0" w:space="0" w:color="auto"/>
          </w:divBdr>
        </w:div>
        <w:div w:id="285162738">
          <w:marLeft w:val="1800"/>
          <w:marRight w:val="0"/>
          <w:marTop w:val="77"/>
          <w:marBottom w:val="0"/>
          <w:divBdr>
            <w:top w:val="none" w:sz="0" w:space="0" w:color="auto"/>
            <w:left w:val="none" w:sz="0" w:space="0" w:color="auto"/>
            <w:bottom w:val="none" w:sz="0" w:space="0" w:color="auto"/>
            <w:right w:val="none" w:sz="0" w:space="0" w:color="auto"/>
          </w:divBdr>
        </w:div>
        <w:div w:id="1152716696">
          <w:marLeft w:val="1166"/>
          <w:marRight w:val="0"/>
          <w:marTop w:val="96"/>
          <w:marBottom w:val="0"/>
          <w:divBdr>
            <w:top w:val="none" w:sz="0" w:space="0" w:color="auto"/>
            <w:left w:val="none" w:sz="0" w:space="0" w:color="auto"/>
            <w:bottom w:val="none" w:sz="0" w:space="0" w:color="auto"/>
            <w:right w:val="none" w:sz="0" w:space="0" w:color="auto"/>
          </w:divBdr>
        </w:div>
        <w:div w:id="1344824657">
          <w:marLeft w:val="1800"/>
          <w:marRight w:val="0"/>
          <w:marTop w:val="77"/>
          <w:marBottom w:val="0"/>
          <w:divBdr>
            <w:top w:val="none" w:sz="0" w:space="0" w:color="auto"/>
            <w:left w:val="none" w:sz="0" w:space="0" w:color="auto"/>
            <w:bottom w:val="none" w:sz="0" w:space="0" w:color="auto"/>
            <w:right w:val="none" w:sz="0" w:space="0" w:color="auto"/>
          </w:divBdr>
        </w:div>
        <w:div w:id="1686324338">
          <w:marLeft w:val="1166"/>
          <w:marRight w:val="0"/>
          <w:marTop w:val="96"/>
          <w:marBottom w:val="0"/>
          <w:divBdr>
            <w:top w:val="none" w:sz="0" w:space="0" w:color="auto"/>
            <w:left w:val="none" w:sz="0" w:space="0" w:color="auto"/>
            <w:bottom w:val="none" w:sz="0" w:space="0" w:color="auto"/>
            <w:right w:val="none" w:sz="0" w:space="0" w:color="auto"/>
          </w:divBdr>
        </w:div>
        <w:div w:id="2021350863">
          <w:marLeft w:val="547"/>
          <w:marRight w:val="0"/>
          <w:marTop w:val="115"/>
          <w:marBottom w:val="0"/>
          <w:divBdr>
            <w:top w:val="none" w:sz="0" w:space="0" w:color="auto"/>
            <w:left w:val="none" w:sz="0" w:space="0" w:color="auto"/>
            <w:bottom w:val="none" w:sz="0" w:space="0" w:color="auto"/>
            <w:right w:val="none" w:sz="0" w:space="0" w:color="auto"/>
          </w:divBdr>
        </w:div>
      </w:divsChild>
    </w:div>
    <w:div w:id="1859805845">
      <w:bodyDiv w:val="1"/>
      <w:marLeft w:val="0"/>
      <w:marRight w:val="0"/>
      <w:marTop w:val="0"/>
      <w:marBottom w:val="0"/>
      <w:divBdr>
        <w:top w:val="none" w:sz="0" w:space="0" w:color="auto"/>
        <w:left w:val="none" w:sz="0" w:space="0" w:color="auto"/>
        <w:bottom w:val="none" w:sz="0" w:space="0" w:color="auto"/>
        <w:right w:val="none" w:sz="0" w:space="0" w:color="auto"/>
      </w:divBdr>
    </w:div>
    <w:div w:id="1860006331">
      <w:bodyDiv w:val="1"/>
      <w:marLeft w:val="0"/>
      <w:marRight w:val="0"/>
      <w:marTop w:val="0"/>
      <w:marBottom w:val="0"/>
      <w:divBdr>
        <w:top w:val="none" w:sz="0" w:space="0" w:color="auto"/>
        <w:left w:val="none" w:sz="0" w:space="0" w:color="auto"/>
        <w:bottom w:val="none" w:sz="0" w:space="0" w:color="auto"/>
        <w:right w:val="none" w:sz="0" w:space="0" w:color="auto"/>
      </w:divBdr>
    </w:div>
    <w:div w:id="1860387965">
      <w:bodyDiv w:val="1"/>
      <w:marLeft w:val="0"/>
      <w:marRight w:val="0"/>
      <w:marTop w:val="0"/>
      <w:marBottom w:val="0"/>
      <w:divBdr>
        <w:top w:val="none" w:sz="0" w:space="0" w:color="auto"/>
        <w:left w:val="none" w:sz="0" w:space="0" w:color="auto"/>
        <w:bottom w:val="none" w:sz="0" w:space="0" w:color="auto"/>
        <w:right w:val="none" w:sz="0" w:space="0" w:color="auto"/>
      </w:divBdr>
    </w:div>
    <w:div w:id="1860774333">
      <w:bodyDiv w:val="1"/>
      <w:marLeft w:val="0"/>
      <w:marRight w:val="0"/>
      <w:marTop w:val="0"/>
      <w:marBottom w:val="0"/>
      <w:divBdr>
        <w:top w:val="none" w:sz="0" w:space="0" w:color="auto"/>
        <w:left w:val="none" w:sz="0" w:space="0" w:color="auto"/>
        <w:bottom w:val="none" w:sz="0" w:space="0" w:color="auto"/>
        <w:right w:val="none" w:sz="0" w:space="0" w:color="auto"/>
      </w:divBdr>
      <w:divsChild>
        <w:div w:id="21396274">
          <w:marLeft w:val="1800"/>
          <w:marRight w:val="0"/>
          <w:marTop w:val="82"/>
          <w:marBottom w:val="0"/>
          <w:divBdr>
            <w:top w:val="none" w:sz="0" w:space="0" w:color="auto"/>
            <w:left w:val="none" w:sz="0" w:space="0" w:color="auto"/>
            <w:bottom w:val="none" w:sz="0" w:space="0" w:color="auto"/>
            <w:right w:val="none" w:sz="0" w:space="0" w:color="auto"/>
          </w:divBdr>
        </w:div>
        <w:div w:id="176817884">
          <w:marLeft w:val="1166"/>
          <w:marRight w:val="0"/>
          <w:marTop w:val="96"/>
          <w:marBottom w:val="0"/>
          <w:divBdr>
            <w:top w:val="none" w:sz="0" w:space="0" w:color="auto"/>
            <w:left w:val="none" w:sz="0" w:space="0" w:color="auto"/>
            <w:bottom w:val="none" w:sz="0" w:space="0" w:color="auto"/>
            <w:right w:val="none" w:sz="0" w:space="0" w:color="auto"/>
          </w:divBdr>
        </w:div>
        <w:div w:id="408161709">
          <w:marLeft w:val="1800"/>
          <w:marRight w:val="0"/>
          <w:marTop w:val="82"/>
          <w:marBottom w:val="0"/>
          <w:divBdr>
            <w:top w:val="none" w:sz="0" w:space="0" w:color="auto"/>
            <w:left w:val="none" w:sz="0" w:space="0" w:color="auto"/>
            <w:bottom w:val="none" w:sz="0" w:space="0" w:color="auto"/>
            <w:right w:val="none" w:sz="0" w:space="0" w:color="auto"/>
          </w:divBdr>
        </w:div>
        <w:div w:id="427239431">
          <w:marLeft w:val="1800"/>
          <w:marRight w:val="0"/>
          <w:marTop w:val="82"/>
          <w:marBottom w:val="0"/>
          <w:divBdr>
            <w:top w:val="none" w:sz="0" w:space="0" w:color="auto"/>
            <w:left w:val="none" w:sz="0" w:space="0" w:color="auto"/>
            <w:bottom w:val="none" w:sz="0" w:space="0" w:color="auto"/>
            <w:right w:val="none" w:sz="0" w:space="0" w:color="auto"/>
          </w:divBdr>
        </w:div>
        <w:div w:id="542786292">
          <w:marLeft w:val="1800"/>
          <w:marRight w:val="0"/>
          <w:marTop w:val="82"/>
          <w:marBottom w:val="0"/>
          <w:divBdr>
            <w:top w:val="none" w:sz="0" w:space="0" w:color="auto"/>
            <w:left w:val="none" w:sz="0" w:space="0" w:color="auto"/>
            <w:bottom w:val="none" w:sz="0" w:space="0" w:color="auto"/>
            <w:right w:val="none" w:sz="0" w:space="0" w:color="auto"/>
          </w:divBdr>
        </w:div>
        <w:div w:id="635069771">
          <w:marLeft w:val="1166"/>
          <w:marRight w:val="0"/>
          <w:marTop w:val="96"/>
          <w:marBottom w:val="0"/>
          <w:divBdr>
            <w:top w:val="none" w:sz="0" w:space="0" w:color="auto"/>
            <w:left w:val="none" w:sz="0" w:space="0" w:color="auto"/>
            <w:bottom w:val="none" w:sz="0" w:space="0" w:color="auto"/>
            <w:right w:val="none" w:sz="0" w:space="0" w:color="auto"/>
          </w:divBdr>
        </w:div>
        <w:div w:id="731083604">
          <w:marLeft w:val="547"/>
          <w:marRight w:val="0"/>
          <w:marTop w:val="106"/>
          <w:marBottom w:val="0"/>
          <w:divBdr>
            <w:top w:val="none" w:sz="0" w:space="0" w:color="auto"/>
            <w:left w:val="none" w:sz="0" w:space="0" w:color="auto"/>
            <w:bottom w:val="none" w:sz="0" w:space="0" w:color="auto"/>
            <w:right w:val="none" w:sz="0" w:space="0" w:color="auto"/>
          </w:divBdr>
        </w:div>
        <w:div w:id="808590167">
          <w:marLeft w:val="1800"/>
          <w:marRight w:val="0"/>
          <w:marTop w:val="82"/>
          <w:marBottom w:val="0"/>
          <w:divBdr>
            <w:top w:val="none" w:sz="0" w:space="0" w:color="auto"/>
            <w:left w:val="none" w:sz="0" w:space="0" w:color="auto"/>
            <w:bottom w:val="none" w:sz="0" w:space="0" w:color="auto"/>
            <w:right w:val="none" w:sz="0" w:space="0" w:color="auto"/>
          </w:divBdr>
        </w:div>
        <w:div w:id="1048723572">
          <w:marLeft w:val="1800"/>
          <w:marRight w:val="0"/>
          <w:marTop w:val="82"/>
          <w:marBottom w:val="0"/>
          <w:divBdr>
            <w:top w:val="none" w:sz="0" w:space="0" w:color="auto"/>
            <w:left w:val="none" w:sz="0" w:space="0" w:color="auto"/>
            <w:bottom w:val="none" w:sz="0" w:space="0" w:color="auto"/>
            <w:right w:val="none" w:sz="0" w:space="0" w:color="auto"/>
          </w:divBdr>
        </w:div>
        <w:div w:id="1171918136">
          <w:marLeft w:val="1800"/>
          <w:marRight w:val="0"/>
          <w:marTop w:val="82"/>
          <w:marBottom w:val="0"/>
          <w:divBdr>
            <w:top w:val="none" w:sz="0" w:space="0" w:color="auto"/>
            <w:left w:val="none" w:sz="0" w:space="0" w:color="auto"/>
            <w:bottom w:val="none" w:sz="0" w:space="0" w:color="auto"/>
            <w:right w:val="none" w:sz="0" w:space="0" w:color="auto"/>
          </w:divBdr>
        </w:div>
        <w:div w:id="1371757507">
          <w:marLeft w:val="547"/>
          <w:marRight w:val="0"/>
          <w:marTop w:val="106"/>
          <w:marBottom w:val="0"/>
          <w:divBdr>
            <w:top w:val="none" w:sz="0" w:space="0" w:color="auto"/>
            <w:left w:val="none" w:sz="0" w:space="0" w:color="auto"/>
            <w:bottom w:val="none" w:sz="0" w:space="0" w:color="auto"/>
            <w:right w:val="none" w:sz="0" w:space="0" w:color="auto"/>
          </w:divBdr>
        </w:div>
        <w:div w:id="1390761853">
          <w:marLeft w:val="1166"/>
          <w:marRight w:val="0"/>
          <w:marTop w:val="96"/>
          <w:marBottom w:val="0"/>
          <w:divBdr>
            <w:top w:val="none" w:sz="0" w:space="0" w:color="auto"/>
            <w:left w:val="none" w:sz="0" w:space="0" w:color="auto"/>
            <w:bottom w:val="none" w:sz="0" w:space="0" w:color="auto"/>
            <w:right w:val="none" w:sz="0" w:space="0" w:color="auto"/>
          </w:divBdr>
        </w:div>
        <w:div w:id="1463814386">
          <w:marLeft w:val="547"/>
          <w:marRight w:val="0"/>
          <w:marTop w:val="106"/>
          <w:marBottom w:val="0"/>
          <w:divBdr>
            <w:top w:val="none" w:sz="0" w:space="0" w:color="auto"/>
            <w:left w:val="none" w:sz="0" w:space="0" w:color="auto"/>
            <w:bottom w:val="none" w:sz="0" w:space="0" w:color="auto"/>
            <w:right w:val="none" w:sz="0" w:space="0" w:color="auto"/>
          </w:divBdr>
        </w:div>
        <w:div w:id="1880630016">
          <w:marLeft w:val="1800"/>
          <w:marRight w:val="0"/>
          <w:marTop w:val="82"/>
          <w:marBottom w:val="0"/>
          <w:divBdr>
            <w:top w:val="none" w:sz="0" w:space="0" w:color="auto"/>
            <w:left w:val="none" w:sz="0" w:space="0" w:color="auto"/>
            <w:bottom w:val="none" w:sz="0" w:space="0" w:color="auto"/>
            <w:right w:val="none" w:sz="0" w:space="0" w:color="auto"/>
          </w:divBdr>
        </w:div>
      </w:divsChild>
    </w:div>
    <w:div w:id="1861233424">
      <w:bodyDiv w:val="1"/>
      <w:marLeft w:val="0"/>
      <w:marRight w:val="0"/>
      <w:marTop w:val="0"/>
      <w:marBottom w:val="0"/>
      <w:divBdr>
        <w:top w:val="none" w:sz="0" w:space="0" w:color="auto"/>
        <w:left w:val="none" w:sz="0" w:space="0" w:color="auto"/>
        <w:bottom w:val="none" w:sz="0" w:space="0" w:color="auto"/>
        <w:right w:val="none" w:sz="0" w:space="0" w:color="auto"/>
      </w:divBdr>
    </w:div>
    <w:div w:id="1861241741">
      <w:bodyDiv w:val="1"/>
      <w:marLeft w:val="0"/>
      <w:marRight w:val="0"/>
      <w:marTop w:val="0"/>
      <w:marBottom w:val="0"/>
      <w:divBdr>
        <w:top w:val="none" w:sz="0" w:space="0" w:color="auto"/>
        <w:left w:val="none" w:sz="0" w:space="0" w:color="auto"/>
        <w:bottom w:val="none" w:sz="0" w:space="0" w:color="auto"/>
        <w:right w:val="none" w:sz="0" w:space="0" w:color="auto"/>
      </w:divBdr>
    </w:div>
    <w:div w:id="1861507738">
      <w:bodyDiv w:val="1"/>
      <w:marLeft w:val="0"/>
      <w:marRight w:val="0"/>
      <w:marTop w:val="0"/>
      <w:marBottom w:val="0"/>
      <w:divBdr>
        <w:top w:val="none" w:sz="0" w:space="0" w:color="auto"/>
        <w:left w:val="none" w:sz="0" w:space="0" w:color="auto"/>
        <w:bottom w:val="none" w:sz="0" w:space="0" w:color="auto"/>
        <w:right w:val="none" w:sz="0" w:space="0" w:color="auto"/>
      </w:divBdr>
    </w:div>
    <w:div w:id="1861816506">
      <w:bodyDiv w:val="1"/>
      <w:marLeft w:val="0"/>
      <w:marRight w:val="0"/>
      <w:marTop w:val="0"/>
      <w:marBottom w:val="0"/>
      <w:divBdr>
        <w:top w:val="none" w:sz="0" w:space="0" w:color="auto"/>
        <w:left w:val="none" w:sz="0" w:space="0" w:color="auto"/>
        <w:bottom w:val="none" w:sz="0" w:space="0" w:color="auto"/>
        <w:right w:val="none" w:sz="0" w:space="0" w:color="auto"/>
      </w:divBdr>
    </w:div>
    <w:div w:id="1862696023">
      <w:bodyDiv w:val="1"/>
      <w:marLeft w:val="0"/>
      <w:marRight w:val="0"/>
      <w:marTop w:val="0"/>
      <w:marBottom w:val="0"/>
      <w:divBdr>
        <w:top w:val="none" w:sz="0" w:space="0" w:color="auto"/>
        <w:left w:val="none" w:sz="0" w:space="0" w:color="auto"/>
        <w:bottom w:val="none" w:sz="0" w:space="0" w:color="auto"/>
        <w:right w:val="none" w:sz="0" w:space="0" w:color="auto"/>
      </w:divBdr>
    </w:div>
    <w:div w:id="1863979555">
      <w:bodyDiv w:val="1"/>
      <w:marLeft w:val="0"/>
      <w:marRight w:val="0"/>
      <w:marTop w:val="0"/>
      <w:marBottom w:val="0"/>
      <w:divBdr>
        <w:top w:val="none" w:sz="0" w:space="0" w:color="auto"/>
        <w:left w:val="none" w:sz="0" w:space="0" w:color="auto"/>
        <w:bottom w:val="none" w:sz="0" w:space="0" w:color="auto"/>
        <w:right w:val="none" w:sz="0" w:space="0" w:color="auto"/>
      </w:divBdr>
    </w:div>
    <w:div w:id="1864125270">
      <w:bodyDiv w:val="1"/>
      <w:marLeft w:val="0"/>
      <w:marRight w:val="0"/>
      <w:marTop w:val="0"/>
      <w:marBottom w:val="0"/>
      <w:divBdr>
        <w:top w:val="none" w:sz="0" w:space="0" w:color="auto"/>
        <w:left w:val="none" w:sz="0" w:space="0" w:color="auto"/>
        <w:bottom w:val="none" w:sz="0" w:space="0" w:color="auto"/>
        <w:right w:val="none" w:sz="0" w:space="0" w:color="auto"/>
      </w:divBdr>
    </w:div>
    <w:div w:id="1864200853">
      <w:bodyDiv w:val="1"/>
      <w:marLeft w:val="0"/>
      <w:marRight w:val="0"/>
      <w:marTop w:val="0"/>
      <w:marBottom w:val="0"/>
      <w:divBdr>
        <w:top w:val="none" w:sz="0" w:space="0" w:color="auto"/>
        <w:left w:val="none" w:sz="0" w:space="0" w:color="auto"/>
        <w:bottom w:val="none" w:sz="0" w:space="0" w:color="auto"/>
        <w:right w:val="none" w:sz="0" w:space="0" w:color="auto"/>
      </w:divBdr>
    </w:div>
    <w:div w:id="1864517894">
      <w:bodyDiv w:val="1"/>
      <w:marLeft w:val="0"/>
      <w:marRight w:val="0"/>
      <w:marTop w:val="0"/>
      <w:marBottom w:val="0"/>
      <w:divBdr>
        <w:top w:val="none" w:sz="0" w:space="0" w:color="auto"/>
        <w:left w:val="none" w:sz="0" w:space="0" w:color="auto"/>
        <w:bottom w:val="none" w:sz="0" w:space="0" w:color="auto"/>
        <w:right w:val="none" w:sz="0" w:space="0" w:color="auto"/>
      </w:divBdr>
    </w:div>
    <w:div w:id="1864711050">
      <w:bodyDiv w:val="1"/>
      <w:marLeft w:val="0"/>
      <w:marRight w:val="0"/>
      <w:marTop w:val="0"/>
      <w:marBottom w:val="0"/>
      <w:divBdr>
        <w:top w:val="none" w:sz="0" w:space="0" w:color="auto"/>
        <w:left w:val="none" w:sz="0" w:space="0" w:color="auto"/>
        <w:bottom w:val="none" w:sz="0" w:space="0" w:color="auto"/>
        <w:right w:val="none" w:sz="0" w:space="0" w:color="auto"/>
      </w:divBdr>
    </w:div>
    <w:div w:id="1865439524">
      <w:bodyDiv w:val="1"/>
      <w:marLeft w:val="0"/>
      <w:marRight w:val="0"/>
      <w:marTop w:val="0"/>
      <w:marBottom w:val="0"/>
      <w:divBdr>
        <w:top w:val="none" w:sz="0" w:space="0" w:color="auto"/>
        <w:left w:val="none" w:sz="0" w:space="0" w:color="auto"/>
        <w:bottom w:val="none" w:sz="0" w:space="0" w:color="auto"/>
        <w:right w:val="none" w:sz="0" w:space="0" w:color="auto"/>
      </w:divBdr>
    </w:div>
    <w:div w:id="1866214825">
      <w:bodyDiv w:val="1"/>
      <w:marLeft w:val="0"/>
      <w:marRight w:val="0"/>
      <w:marTop w:val="0"/>
      <w:marBottom w:val="0"/>
      <w:divBdr>
        <w:top w:val="none" w:sz="0" w:space="0" w:color="auto"/>
        <w:left w:val="none" w:sz="0" w:space="0" w:color="auto"/>
        <w:bottom w:val="none" w:sz="0" w:space="0" w:color="auto"/>
        <w:right w:val="none" w:sz="0" w:space="0" w:color="auto"/>
      </w:divBdr>
      <w:divsChild>
        <w:div w:id="871966652">
          <w:marLeft w:val="547"/>
          <w:marRight w:val="0"/>
          <w:marTop w:val="154"/>
          <w:marBottom w:val="0"/>
          <w:divBdr>
            <w:top w:val="none" w:sz="0" w:space="0" w:color="auto"/>
            <w:left w:val="none" w:sz="0" w:space="0" w:color="auto"/>
            <w:bottom w:val="none" w:sz="0" w:space="0" w:color="auto"/>
            <w:right w:val="none" w:sz="0" w:space="0" w:color="auto"/>
          </w:divBdr>
        </w:div>
      </w:divsChild>
    </w:div>
    <w:div w:id="1866672108">
      <w:bodyDiv w:val="1"/>
      <w:marLeft w:val="0"/>
      <w:marRight w:val="0"/>
      <w:marTop w:val="0"/>
      <w:marBottom w:val="0"/>
      <w:divBdr>
        <w:top w:val="none" w:sz="0" w:space="0" w:color="auto"/>
        <w:left w:val="none" w:sz="0" w:space="0" w:color="auto"/>
        <w:bottom w:val="none" w:sz="0" w:space="0" w:color="auto"/>
        <w:right w:val="none" w:sz="0" w:space="0" w:color="auto"/>
      </w:divBdr>
    </w:div>
    <w:div w:id="1866865253">
      <w:bodyDiv w:val="1"/>
      <w:marLeft w:val="0"/>
      <w:marRight w:val="0"/>
      <w:marTop w:val="0"/>
      <w:marBottom w:val="0"/>
      <w:divBdr>
        <w:top w:val="none" w:sz="0" w:space="0" w:color="auto"/>
        <w:left w:val="none" w:sz="0" w:space="0" w:color="auto"/>
        <w:bottom w:val="none" w:sz="0" w:space="0" w:color="auto"/>
        <w:right w:val="none" w:sz="0" w:space="0" w:color="auto"/>
      </w:divBdr>
      <w:divsChild>
        <w:div w:id="541788273">
          <w:marLeft w:val="1166"/>
          <w:marRight w:val="0"/>
          <w:marTop w:val="134"/>
          <w:marBottom w:val="0"/>
          <w:divBdr>
            <w:top w:val="none" w:sz="0" w:space="0" w:color="auto"/>
            <w:left w:val="none" w:sz="0" w:space="0" w:color="auto"/>
            <w:bottom w:val="none" w:sz="0" w:space="0" w:color="auto"/>
            <w:right w:val="none" w:sz="0" w:space="0" w:color="auto"/>
          </w:divBdr>
        </w:div>
        <w:div w:id="951131941">
          <w:marLeft w:val="1886"/>
          <w:marRight w:val="0"/>
          <w:marTop w:val="125"/>
          <w:marBottom w:val="0"/>
          <w:divBdr>
            <w:top w:val="none" w:sz="0" w:space="0" w:color="auto"/>
            <w:left w:val="none" w:sz="0" w:space="0" w:color="auto"/>
            <w:bottom w:val="none" w:sz="0" w:space="0" w:color="auto"/>
            <w:right w:val="none" w:sz="0" w:space="0" w:color="auto"/>
          </w:divBdr>
        </w:div>
        <w:div w:id="973750587">
          <w:marLeft w:val="1166"/>
          <w:marRight w:val="0"/>
          <w:marTop w:val="134"/>
          <w:marBottom w:val="0"/>
          <w:divBdr>
            <w:top w:val="none" w:sz="0" w:space="0" w:color="auto"/>
            <w:left w:val="none" w:sz="0" w:space="0" w:color="auto"/>
            <w:bottom w:val="none" w:sz="0" w:space="0" w:color="auto"/>
            <w:right w:val="none" w:sz="0" w:space="0" w:color="auto"/>
          </w:divBdr>
        </w:div>
        <w:div w:id="1028868294">
          <w:marLeft w:val="1166"/>
          <w:marRight w:val="0"/>
          <w:marTop w:val="134"/>
          <w:marBottom w:val="0"/>
          <w:divBdr>
            <w:top w:val="none" w:sz="0" w:space="0" w:color="auto"/>
            <w:left w:val="none" w:sz="0" w:space="0" w:color="auto"/>
            <w:bottom w:val="none" w:sz="0" w:space="0" w:color="auto"/>
            <w:right w:val="none" w:sz="0" w:space="0" w:color="auto"/>
          </w:divBdr>
        </w:div>
        <w:div w:id="1049767813">
          <w:marLeft w:val="547"/>
          <w:marRight w:val="0"/>
          <w:marTop w:val="134"/>
          <w:marBottom w:val="0"/>
          <w:divBdr>
            <w:top w:val="none" w:sz="0" w:space="0" w:color="auto"/>
            <w:left w:val="none" w:sz="0" w:space="0" w:color="auto"/>
            <w:bottom w:val="none" w:sz="0" w:space="0" w:color="auto"/>
            <w:right w:val="none" w:sz="0" w:space="0" w:color="auto"/>
          </w:divBdr>
        </w:div>
        <w:div w:id="1931231616">
          <w:marLeft w:val="547"/>
          <w:marRight w:val="0"/>
          <w:marTop w:val="134"/>
          <w:marBottom w:val="0"/>
          <w:divBdr>
            <w:top w:val="none" w:sz="0" w:space="0" w:color="auto"/>
            <w:left w:val="none" w:sz="0" w:space="0" w:color="auto"/>
            <w:bottom w:val="none" w:sz="0" w:space="0" w:color="auto"/>
            <w:right w:val="none" w:sz="0" w:space="0" w:color="auto"/>
          </w:divBdr>
        </w:div>
      </w:divsChild>
    </w:div>
    <w:div w:id="1868061619">
      <w:bodyDiv w:val="1"/>
      <w:marLeft w:val="0"/>
      <w:marRight w:val="0"/>
      <w:marTop w:val="0"/>
      <w:marBottom w:val="0"/>
      <w:divBdr>
        <w:top w:val="none" w:sz="0" w:space="0" w:color="auto"/>
        <w:left w:val="none" w:sz="0" w:space="0" w:color="auto"/>
        <w:bottom w:val="none" w:sz="0" w:space="0" w:color="auto"/>
        <w:right w:val="none" w:sz="0" w:space="0" w:color="auto"/>
      </w:divBdr>
    </w:div>
    <w:div w:id="1869297485">
      <w:bodyDiv w:val="1"/>
      <w:marLeft w:val="0"/>
      <w:marRight w:val="0"/>
      <w:marTop w:val="0"/>
      <w:marBottom w:val="0"/>
      <w:divBdr>
        <w:top w:val="none" w:sz="0" w:space="0" w:color="auto"/>
        <w:left w:val="none" w:sz="0" w:space="0" w:color="auto"/>
        <w:bottom w:val="none" w:sz="0" w:space="0" w:color="auto"/>
        <w:right w:val="none" w:sz="0" w:space="0" w:color="auto"/>
      </w:divBdr>
    </w:div>
    <w:div w:id="1869563409">
      <w:bodyDiv w:val="1"/>
      <w:marLeft w:val="0"/>
      <w:marRight w:val="0"/>
      <w:marTop w:val="0"/>
      <w:marBottom w:val="0"/>
      <w:divBdr>
        <w:top w:val="none" w:sz="0" w:space="0" w:color="auto"/>
        <w:left w:val="none" w:sz="0" w:space="0" w:color="auto"/>
        <w:bottom w:val="none" w:sz="0" w:space="0" w:color="auto"/>
        <w:right w:val="none" w:sz="0" w:space="0" w:color="auto"/>
      </w:divBdr>
    </w:div>
    <w:div w:id="1870141448">
      <w:bodyDiv w:val="1"/>
      <w:marLeft w:val="0"/>
      <w:marRight w:val="0"/>
      <w:marTop w:val="0"/>
      <w:marBottom w:val="0"/>
      <w:divBdr>
        <w:top w:val="none" w:sz="0" w:space="0" w:color="auto"/>
        <w:left w:val="none" w:sz="0" w:space="0" w:color="auto"/>
        <w:bottom w:val="none" w:sz="0" w:space="0" w:color="auto"/>
        <w:right w:val="none" w:sz="0" w:space="0" w:color="auto"/>
      </w:divBdr>
    </w:div>
    <w:div w:id="1870216498">
      <w:bodyDiv w:val="1"/>
      <w:marLeft w:val="0"/>
      <w:marRight w:val="0"/>
      <w:marTop w:val="0"/>
      <w:marBottom w:val="0"/>
      <w:divBdr>
        <w:top w:val="none" w:sz="0" w:space="0" w:color="auto"/>
        <w:left w:val="none" w:sz="0" w:space="0" w:color="auto"/>
        <w:bottom w:val="none" w:sz="0" w:space="0" w:color="auto"/>
        <w:right w:val="none" w:sz="0" w:space="0" w:color="auto"/>
      </w:divBdr>
    </w:div>
    <w:div w:id="1871603425">
      <w:bodyDiv w:val="1"/>
      <w:marLeft w:val="0"/>
      <w:marRight w:val="0"/>
      <w:marTop w:val="0"/>
      <w:marBottom w:val="0"/>
      <w:divBdr>
        <w:top w:val="none" w:sz="0" w:space="0" w:color="auto"/>
        <w:left w:val="none" w:sz="0" w:space="0" w:color="auto"/>
        <w:bottom w:val="none" w:sz="0" w:space="0" w:color="auto"/>
        <w:right w:val="none" w:sz="0" w:space="0" w:color="auto"/>
      </w:divBdr>
    </w:div>
    <w:div w:id="1871792760">
      <w:bodyDiv w:val="1"/>
      <w:marLeft w:val="0"/>
      <w:marRight w:val="0"/>
      <w:marTop w:val="0"/>
      <w:marBottom w:val="0"/>
      <w:divBdr>
        <w:top w:val="none" w:sz="0" w:space="0" w:color="auto"/>
        <w:left w:val="none" w:sz="0" w:space="0" w:color="auto"/>
        <w:bottom w:val="none" w:sz="0" w:space="0" w:color="auto"/>
        <w:right w:val="none" w:sz="0" w:space="0" w:color="auto"/>
      </w:divBdr>
    </w:div>
    <w:div w:id="1871915871">
      <w:bodyDiv w:val="1"/>
      <w:marLeft w:val="0"/>
      <w:marRight w:val="0"/>
      <w:marTop w:val="0"/>
      <w:marBottom w:val="0"/>
      <w:divBdr>
        <w:top w:val="none" w:sz="0" w:space="0" w:color="auto"/>
        <w:left w:val="none" w:sz="0" w:space="0" w:color="auto"/>
        <w:bottom w:val="none" w:sz="0" w:space="0" w:color="auto"/>
        <w:right w:val="none" w:sz="0" w:space="0" w:color="auto"/>
      </w:divBdr>
    </w:div>
    <w:div w:id="1871988171">
      <w:bodyDiv w:val="1"/>
      <w:marLeft w:val="0"/>
      <w:marRight w:val="0"/>
      <w:marTop w:val="0"/>
      <w:marBottom w:val="0"/>
      <w:divBdr>
        <w:top w:val="none" w:sz="0" w:space="0" w:color="auto"/>
        <w:left w:val="none" w:sz="0" w:space="0" w:color="auto"/>
        <w:bottom w:val="none" w:sz="0" w:space="0" w:color="auto"/>
        <w:right w:val="none" w:sz="0" w:space="0" w:color="auto"/>
      </w:divBdr>
      <w:divsChild>
        <w:div w:id="89398033">
          <w:marLeft w:val="0"/>
          <w:marRight w:val="0"/>
          <w:marTop w:val="0"/>
          <w:marBottom w:val="0"/>
          <w:divBdr>
            <w:top w:val="none" w:sz="0" w:space="0" w:color="auto"/>
            <w:left w:val="none" w:sz="0" w:space="0" w:color="auto"/>
            <w:bottom w:val="none" w:sz="0" w:space="0" w:color="auto"/>
            <w:right w:val="none" w:sz="0" w:space="0" w:color="auto"/>
          </w:divBdr>
          <w:divsChild>
            <w:div w:id="303779522">
              <w:marLeft w:val="0"/>
              <w:marRight w:val="0"/>
              <w:marTop w:val="0"/>
              <w:marBottom w:val="0"/>
              <w:divBdr>
                <w:top w:val="none" w:sz="0" w:space="0" w:color="auto"/>
                <w:left w:val="none" w:sz="0" w:space="0" w:color="auto"/>
                <w:bottom w:val="none" w:sz="0" w:space="0" w:color="auto"/>
                <w:right w:val="none" w:sz="0" w:space="0" w:color="auto"/>
              </w:divBdr>
            </w:div>
            <w:div w:id="1209877231">
              <w:marLeft w:val="0"/>
              <w:marRight w:val="0"/>
              <w:marTop w:val="0"/>
              <w:marBottom w:val="0"/>
              <w:divBdr>
                <w:top w:val="none" w:sz="0" w:space="0" w:color="auto"/>
                <w:left w:val="none" w:sz="0" w:space="0" w:color="auto"/>
                <w:bottom w:val="none" w:sz="0" w:space="0" w:color="auto"/>
                <w:right w:val="none" w:sz="0" w:space="0" w:color="auto"/>
              </w:divBdr>
            </w:div>
            <w:div w:id="19403286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72109294">
      <w:bodyDiv w:val="1"/>
      <w:marLeft w:val="0"/>
      <w:marRight w:val="0"/>
      <w:marTop w:val="0"/>
      <w:marBottom w:val="0"/>
      <w:divBdr>
        <w:top w:val="none" w:sz="0" w:space="0" w:color="auto"/>
        <w:left w:val="none" w:sz="0" w:space="0" w:color="auto"/>
        <w:bottom w:val="none" w:sz="0" w:space="0" w:color="auto"/>
        <w:right w:val="none" w:sz="0" w:space="0" w:color="auto"/>
      </w:divBdr>
    </w:div>
    <w:div w:id="1872305246">
      <w:bodyDiv w:val="1"/>
      <w:marLeft w:val="0"/>
      <w:marRight w:val="0"/>
      <w:marTop w:val="0"/>
      <w:marBottom w:val="0"/>
      <w:divBdr>
        <w:top w:val="none" w:sz="0" w:space="0" w:color="auto"/>
        <w:left w:val="none" w:sz="0" w:space="0" w:color="auto"/>
        <w:bottom w:val="none" w:sz="0" w:space="0" w:color="auto"/>
        <w:right w:val="none" w:sz="0" w:space="0" w:color="auto"/>
      </w:divBdr>
      <w:divsChild>
        <w:div w:id="152334906">
          <w:marLeft w:val="547"/>
          <w:marRight w:val="0"/>
          <w:marTop w:val="240"/>
          <w:marBottom w:val="0"/>
          <w:divBdr>
            <w:top w:val="none" w:sz="0" w:space="0" w:color="auto"/>
            <w:left w:val="none" w:sz="0" w:space="0" w:color="auto"/>
            <w:bottom w:val="none" w:sz="0" w:space="0" w:color="auto"/>
            <w:right w:val="none" w:sz="0" w:space="0" w:color="auto"/>
          </w:divBdr>
        </w:div>
        <w:div w:id="843011751">
          <w:marLeft w:val="547"/>
          <w:marRight w:val="0"/>
          <w:marTop w:val="240"/>
          <w:marBottom w:val="0"/>
          <w:divBdr>
            <w:top w:val="none" w:sz="0" w:space="0" w:color="auto"/>
            <w:left w:val="none" w:sz="0" w:space="0" w:color="auto"/>
            <w:bottom w:val="none" w:sz="0" w:space="0" w:color="auto"/>
            <w:right w:val="none" w:sz="0" w:space="0" w:color="auto"/>
          </w:divBdr>
        </w:div>
        <w:div w:id="2010212487">
          <w:marLeft w:val="1166"/>
          <w:marRight w:val="0"/>
          <w:marTop w:val="240"/>
          <w:marBottom w:val="0"/>
          <w:divBdr>
            <w:top w:val="none" w:sz="0" w:space="0" w:color="auto"/>
            <w:left w:val="none" w:sz="0" w:space="0" w:color="auto"/>
            <w:bottom w:val="none" w:sz="0" w:space="0" w:color="auto"/>
            <w:right w:val="none" w:sz="0" w:space="0" w:color="auto"/>
          </w:divBdr>
        </w:div>
      </w:divsChild>
    </w:div>
    <w:div w:id="1874341754">
      <w:bodyDiv w:val="1"/>
      <w:marLeft w:val="0"/>
      <w:marRight w:val="0"/>
      <w:marTop w:val="0"/>
      <w:marBottom w:val="0"/>
      <w:divBdr>
        <w:top w:val="none" w:sz="0" w:space="0" w:color="auto"/>
        <w:left w:val="none" w:sz="0" w:space="0" w:color="auto"/>
        <w:bottom w:val="none" w:sz="0" w:space="0" w:color="auto"/>
        <w:right w:val="none" w:sz="0" w:space="0" w:color="auto"/>
      </w:divBdr>
    </w:div>
    <w:div w:id="1874462967">
      <w:bodyDiv w:val="1"/>
      <w:marLeft w:val="0"/>
      <w:marRight w:val="0"/>
      <w:marTop w:val="0"/>
      <w:marBottom w:val="0"/>
      <w:divBdr>
        <w:top w:val="none" w:sz="0" w:space="0" w:color="auto"/>
        <w:left w:val="none" w:sz="0" w:space="0" w:color="auto"/>
        <w:bottom w:val="none" w:sz="0" w:space="0" w:color="auto"/>
        <w:right w:val="none" w:sz="0" w:space="0" w:color="auto"/>
      </w:divBdr>
    </w:div>
    <w:div w:id="1874465691">
      <w:bodyDiv w:val="1"/>
      <w:marLeft w:val="0"/>
      <w:marRight w:val="0"/>
      <w:marTop w:val="0"/>
      <w:marBottom w:val="0"/>
      <w:divBdr>
        <w:top w:val="none" w:sz="0" w:space="0" w:color="auto"/>
        <w:left w:val="none" w:sz="0" w:space="0" w:color="auto"/>
        <w:bottom w:val="none" w:sz="0" w:space="0" w:color="auto"/>
        <w:right w:val="none" w:sz="0" w:space="0" w:color="auto"/>
      </w:divBdr>
    </w:div>
    <w:div w:id="1875383889">
      <w:bodyDiv w:val="1"/>
      <w:marLeft w:val="0"/>
      <w:marRight w:val="0"/>
      <w:marTop w:val="0"/>
      <w:marBottom w:val="0"/>
      <w:divBdr>
        <w:top w:val="none" w:sz="0" w:space="0" w:color="auto"/>
        <w:left w:val="none" w:sz="0" w:space="0" w:color="auto"/>
        <w:bottom w:val="none" w:sz="0" w:space="0" w:color="auto"/>
        <w:right w:val="none" w:sz="0" w:space="0" w:color="auto"/>
      </w:divBdr>
    </w:div>
    <w:div w:id="1875456457">
      <w:bodyDiv w:val="1"/>
      <w:marLeft w:val="0"/>
      <w:marRight w:val="0"/>
      <w:marTop w:val="0"/>
      <w:marBottom w:val="0"/>
      <w:divBdr>
        <w:top w:val="none" w:sz="0" w:space="0" w:color="auto"/>
        <w:left w:val="none" w:sz="0" w:space="0" w:color="auto"/>
        <w:bottom w:val="none" w:sz="0" w:space="0" w:color="auto"/>
        <w:right w:val="none" w:sz="0" w:space="0" w:color="auto"/>
      </w:divBdr>
      <w:divsChild>
        <w:div w:id="1183010778">
          <w:marLeft w:val="360"/>
          <w:marRight w:val="0"/>
          <w:marTop w:val="200"/>
          <w:marBottom w:val="0"/>
          <w:divBdr>
            <w:top w:val="none" w:sz="0" w:space="0" w:color="auto"/>
            <w:left w:val="none" w:sz="0" w:space="0" w:color="auto"/>
            <w:bottom w:val="none" w:sz="0" w:space="0" w:color="auto"/>
            <w:right w:val="none" w:sz="0" w:space="0" w:color="auto"/>
          </w:divBdr>
        </w:div>
      </w:divsChild>
    </w:div>
    <w:div w:id="1875847852">
      <w:bodyDiv w:val="1"/>
      <w:marLeft w:val="0"/>
      <w:marRight w:val="0"/>
      <w:marTop w:val="0"/>
      <w:marBottom w:val="0"/>
      <w:divBdr>
        <w:top w:val="none" w:sz="0" w:space="0" w:color="auto"/>
        <w:left w:val="none" w:sz="0" w:space="0" w:color="auto"/>
        <w:bottom w:val="none" w:sz="0" w:space="0" w:color="auto"/>
        <w:right w:val="none" w:sz="0" w:space="0" w:color="auto"/>
      </w:divBdr>
    </w:div>
    <w:div w:id="1875925452">
      <w:bodyDiv w:val="1"/>
      <w:marLeft w:val="0"/>
      <w:marRight w:val="0"/>
      <w:marTop w:val="0"/>
      <w:marBottom w:val="0"/>
      <w:divBdr>
        <w:top w:val="none" w:sz="0" w:space="0" w:color="auto"/>
        <w:left w:val="none" w:sz="0" w:space="0" w:color="auto"/>
        <w:bottom w:val="none" w:sz="0" w:space="0" w:color="auto"/>
        <w:right w:val="none" w:sz="0" w:space="0" w:color="auto"/>
      </w:divBdr>
    </w:div>
    <w:div w:id="1876043382">
      <w:bodyDiv w:val="1"/>
      <w:marLeft w:val="0"/>
      <w:marRight w:val="0"/>
      <w:marTop w:val="0"/>
      <w:marBottom w:val="0"/>
      <w:divBdr>
        <w:top w:val="none" w:sz="0" w:space="0" w:color="auto"/>
        <w:left w:val="none" w:sz="0" w:space="0" w:color="auto"/>
        <w:bottom w:val="none" w:sz="0" w:space="0" w:color="auto"/>
        <w:right w:val="none" w:sz="0" w:space="0" w:color="auto"/>
      </w:divBdr>
    </w:div>
    <w:div w:id="1876379801">
      <w:bodyDiv w:val="1"/>
      <w:marLeft w:val="0"/>
      <w:marRight w:val="0"/>
      <w:marTop w:val="0"/>
      <w:marBottom w:val="0"/>
      <w:divBdr>
        <w:top w:val="none" w:sz="0" w:space="0" w:color="auto"/>
        <w:left w:val="none" w:sz="0" w:space="0" w:color="auto"/>
        <w:bottom w:val="none" w:sz="0" w:space="0" w:color="auto"/>
        <w:right w:val="none" w:sz="0" w:space="0" w:color="auto"/>
      </w:divBdr>
    </w:div>
    <w:div w:id="1876577090">
      <w:bodyDiv w:val="1"/>
      <w:marLeft w:val="0"/>
      <w:marRight w:val="0"/>
      <w:marTop w:val="0"/>
      <w:marBottom w:val="0"/>
      <w:divBdr>
        <w:top w:val="none" w:sz="0" w:space="0" w:color="auto"/>
        <w:left w:val="none" w:sz="0" w:space="0" w:color="auto"/>
        <w:bottom w:val="none" w:sz="0" w:space="0" w:color="auto"/>
        <w:right w:val="none" w:sz="0" w:space="0" w:color="auto"/>
      </w:divBdr>
    </w:div>
    <w:div w:id="1876767532">
      <w:bodyDiv w:val="1"/>
      <w:marLeft w:val="0"/>
      <w:marRight w:val="0"/>
      <w:marTop w:val="0"/>
      <w:marBottom w:val="0"/>
      <w:divBdr>
        <w:top w:val="none" w:sz="0" w:space="0" w:color="auto"/>
        <w:left w:val="none" w:sz="0" w:space="0" w:color="auto"/>
        <w:bottom w:val="none" w:sz="0" w:space="0" w:color="auto"/>
        <w:right w:val="none" w:sz="0" w:space="0" w:color="auto"/>
      </w:divBdr>
    </w:div>
    <w:div w:id="1876845183">
      <w:bodyDiv w:val="1"/>
      <w:marLeft w:val="0"/>
      <w:marRight w:val="0"/>
      <w:marTop w:val="0"/>
      <w:marBottom w:val="0"/>
      <w:divBdr>
        <w:top w:val="none" w:sz="0" w:space="0" w:color="auto"/>
        <w:left w:val="none" w:sz="0" w:space="0" w:color="auto"/>
        <w:bottom w:val="none" w:sz="0" w:space="0" w:color="auto"/>
        <w:right w:val="none" w:sz="0" w:space="0" w:color="auto"/>
      </w:divBdr>
    </w:div>
    <w:div w:id="1877113384">
      <w:bodyDiv w:val="1"/>
      <w:marLeft w:val="0"/>
      <w:marRight w:val="0"/>
      <w:marTop w:val="0"/>
      <w:marBottom w:val="0"/>
      <w:divBdr>
        <w:top w:val="none" w:sz="0" w:space="0" w:color="auto"/>
        <w:left w:val="none" w:sz="0" w:space="0" w:color="auto"/>
        <w:bottom w:val="none" w:sz="0" w:space="0" w:color="auto"/>
        <w:right w:val="none" w:sz="0" w:space="0" w:color="auto"/>
      </w:divBdr>
      <w:divsChild>
        <w:div w:id="15620367">
          <w:marLeft w:val="2520"/>
          <w:marRight w:val="0"/>
          <w:marTop w:val="77"/>
          <w:marBottom w:val="0"/>
          <w:divBdr>
            <w:top w:val="none" w:sz="0" w:space="0" w:color="auto"/>
            <w:left w:val="none" w:sz="0" w:space="0" w:color="auto"/>
            <w:bottom w:val="none" w:sz="0" w:space="0" w:color="auto"/>
            <w:right w:val="none" w:sz="0" w:space="0" w:color="auto"/>
          </w:divBdr>
        </w:div>
        <w:div w:id="140536842">
          <w:marLeft w:val="1166"/>
          <w:marRight w:val="0"/>
          <w:marTop w:val="77"/>
          <w:marBottom w:val="0"/>
          <w:divBdr>
            <w:top w:val="none" w:sz="0" w:space="0" w:color="auto"/>
            <w:left w:val="none" w:sz="0" w:space="0" w:color="auto"/>
            <w:bottom w:val="none" w:sz="0" w:space="0" w:color="auto"/>
            <w:right w:val="none" w:sz="0" w:space="0" w:color="auto"/>
          </w:divBdr>
        </w:div>
        <w:div w:id="486896635">
          <w:marLeft w:val="1800"/>
          <w:marRight w:val="0"/>
          <w:marTop w:val="77"/>
          <w:marBottom w:val="0"/>
          <w:divBdr>
            <w:top w:val="none" w:sz="0" w:space="0" w:color="auto"/>
            <w:left w:val="none" w:sz="0" w:space="0" w:color="auto"/>
            <w:bottom w:val="none" w:sz="0" w:space="0" w:color="auto"/>
            <w:right w:val="none" w:sz="0" w:space="0" w:color="auto"/>
          </w:divBdr>
        </w:div>
        <w:div w:id="815296429">
          <w:marLeft w:val="2520"/>
          <w:marRight w:val="0"/>
          <w:marTop w:val="77"/>
          <w:marBottom w:val="0"/>
          <w:divBdr>
            <w:top w:val="none" w:sz="0" w:space="0" w:color="auto"/>
            <w:left w:val="none" w:sz="0" w:space="0" w:color="auto"/>
            <w:bottom w:val="none" w:sz="0" w:space="0" w:color="auto"/>
            <w:right w:val="none" w:sz="0" w:space="0" w:color="auto"/>
          </w:divBdr>
        </w:div>
        <w:div w:id="1114596431">
          <w:marLeft w:val="1800"/>
          <w:marRight w:val="0"/>
          <w:marTop w:val="77"/>
          <w:marBottom w:val="0"/>
          <w:divBdr>
            <w:top w:val="none" w:sz="0" w:space="0" w:color="auto"/>
            <w:left w:val="none" w:sz="0" w:space="0" w:color="auto"/>
            <w:bottom w:val="none" w:sz="0" w:space="0" w:color="auto"/>
            <w:right w:val="none" w:sz="0" w:space="0" w:color="auto"/>
          </w:divBdr>
        </w:div>
        <w:div w:id="1397046726">
          <w:marLeft w:val="547"/>
          <w:marRight w:val="0"/>
          <w:marTop w:val="86"/>
          <w:marBottom w:val="0"/>
          <w:divBdr>
            <w:top w:val="none" w:sz="0" w:space="0" w:color="auto"/>
            <w:left w:val="none" w:sz="0" w:space="0" w:color="auto"/>
            <w:bottom w:val="none" w:sz="0" w:space="0" w:color="auto"/>
            <w:right w:val="none" w:sz="0" w:space="0" w:color="auto"/>
          </w:divBdr>
        </w:div>
        <w:div w:id="1540362144">
          <w:marLeft w:val="1800"/>
          <w:marRight w:val="0"/>
          <w:marTop w:val="77"/>
          <w:marBottom w:val="0"/>
          <w:divBdr>
            <w:top w:val="none" w:sz="0" w:space="0" w:color="auto"/>
            <w:left w:val="none" w:sz="0" w:space="0" w:color="auto"/>
            <w:bottom w:val="none" w:sz="0" w:space="0" w:color="auto"/>
            <w:right w:val="none" w:sz="0" w:space="0" w:color="auto"/>
          </w:divBdr>
        </w:div>
        <w:div w:id="1633514656">
          <w:marLeft w:val="2520"/>
          <w:marRight w:val="0"/>
          <w:marTop w:val="77"/>
          <w:marBottom w:val="0"/>
          <w:divBdr>
            <w:top w:val="none" w:sz="0" w:space="0" w:color="auto"/>
            <w:left w:val="none" w:sz="0" w:space="0" w:color="auto"/>
            <w:bottom w:val="none" w:sz="0" w:space="0" w:color="auto"/>
            <w:right w:val="none" w:sz="0" w:space="0" w:color="auto"/>
          </w:divBdr>
        </w:div>
        <w:div w:id="1869835588">
          <w:marLeft w:val="1800"/>
          <w:marRight w:val="0"/>
          <w:marTop w:val="77"/>
          <w:marBottom w:val="0"/>
          <w:divBdr>
            <w:top w:val="none" w:sz="0" w:space="0" w:color="auto"/>
            <w:left w:val="none" w:sz="0" w:space="0" w:color="auto"/>
            <w:bottom w:val="none" w:sz="0" w:space="0" w:color="auto"/>
            <w:right w:val="none" w:sz="0" w:space="0" w:color="auto"/>
          </w:divBdr>
        </w:div>
        <w:div w:id="1925146762">
          <w:marLeft w:val="1166"/>
          <w:marRight w:val="0"/>
          <w:marTop w:val="77"/>
          <w:marBottom w:val="0"/>
          <w:divBdr>
            <w:top w:val="none" w:sz="0" w:space="0" w:color="auto"/>
            <w:left w:val="none" w:sz="0" w:space="0" w:color="auto"/>
            <w:bottom w:val="none" w:sz="0" w:space="0" w:color="auto"/>
            <w:right w:val="none" w:sz="0" w:space="0" w:color="auto"/>
          </w:divBdr>
        </w:div>
      </w:divsChild>
    </w:div>
    <w:div w:id="1877691671">
      <w:bodyDiv w:val="1"/>
      <w:marLeft w:val="0"/>
      <w:marRight w:val="0"/>
      <w:marTop w:val="0"/>
      <w:marBottom w:val="0"/>
      <w:divBdr>
        <w:top w:val="none" w:sz="0" w:space="0" w:color="auto"/>
        <w:left w:val="none" w:sz="0" w:space="0" w:color="auto"/>
        <w:bottom w:val="none" w:sz="0" w:space="0" w:color="auto"/>
        <w:right w:val="none" w:sz="0" w:space="0" w:color="auto"/>
      </w:divBdr>
    </w:div>
    <w:div w:id="1878081323">
      <w:bodyDiv w:val="1"/>
      <w:marLeft w:val="0"/>
      <w:marRight w:val="0"/>
      <w:marTop w:val="0"/>
      <w:marBottom w:val="0"/>
      <w:divBdr>
        <w:top w:val="none" w:sz="0" w:space="0" w:color="auto"/>
        <w:left w:val="none" w:sz="0" w:space="0" w:color="auto"/>
        <w:bottom w:val="none" w:sz="0" w:space="0" w:color="auto"/>
        <w:right w:val="none" w:sz="0" w:space="0" w:color="auto"/>
      </w:divBdr>
    </w:div>
    <w:div w:id="1878663497">
      <w:bodyDiv w:val="1"/>
      <w:marLeft w:val="0"/>
      <w:marRight w:val="0"/>
      <w:marTop w:val="0"/>
      <w:marBottom w:val="0"/>
      <w:divBdr>
        <w:top w:val="none" w:sz="0" w:space="0" w:color="auto"/>
        <w:left w:val="none" w:sz="0" w:space="0" w:color="auto"/>
        <w:bottom w:val="none" w:sz="0" w:space="0" w:color="auto"/>
        <w:right w:val="none" w:sz="0" w:space="0" w:color="auto"/>
      </w:divBdr>
    </w:div>
    <w:div w:id="1879317606">
      <w:bodyDiv w:val="1"/>
      <w:marLeft w:val="0"/>
      <w:marRight w:val="0"/>
      <w:marTop w:val="0"/>
      <w:marBottom w:val="0"/>
      <w:divBdr>
        <w:top w:val="none" w:sz="0" w:space="0" w:color="auto"/>
        <w:left w:val="none" w:sz="0" w:space="0" w:color="auto"/>
        <w:bottom w:val="none" w:sz="0" w:space="0" w:color="auto"/>
        <w:right w:val="none" w:sz="0" w:space="0" w:color="auto"/>
      </w:divBdr>
    </w:div>
    <w:div w:id="1879466113">
      <w:bodyDiv w:val="1"/>
      <w:marLeft w:val="0"/>
      <w:marRight w:val="0"/>
      <w:marTop w:val="0"/>
      <w:marBottom w:val="0"/>
      <w:divBdr>
        <w:top w:val="none" w:sz="0" w:space="0" w:color="auto"/>
        <w:left w:val="none" w:sz="0" w:space="0" w:color="auto"/>
        <w:bottom w:val="none" w:sz="0" w:space="0" w:color="auto"/>
        <w:right w:val="none" w:sz="0" w:space="0" w:color="auto"/>
      </w:divBdr>
    </w:div>
    <w:div w:id="1879587573">
      <w:bodyDiv w:val="1"/>
      <w:marLeft w:val="0"/>
      <w:marRight w:val="0"/>
      <w:marTop w:val="0"/>
      <w:marBottom w:val="0"/>
      <w:divBdr>
        <w:top w:val="none" w:sz="0" w:space="0" w:color="auto"/>
        <w:left w:val="none" w:sz="0" w:space="0" w:color="auto"/>
        <w:bottom w:val="none" w:sz="0" w:space="0" w:color="auto"/>
        <w:right w:val="none" w:sz="0" w:space="0" w:color="auto"/>
      </w:divBdr>
    </w:div>
    <w:div w:id="1880775539">
      <w:bodyDiv w:val="1"/>
      <w:marLeft w:val="0"/>
      <w:marRight w:val="0"/>
      <w:marTop w:val="0"/>
      <w:marBottom w:val="0"/>
      <w:divBdr>
        <w:top w:val="none" w:sz="0" w:space="0" w:color="auto"/>
        <w:left w:val="none" w:sz="0" w:space="0" w:color="auto"/>
        <w:bottom w:val="none" w:sz="0" w:space="0" w:color="auto"/>
        <w:right w:val="none" w:sz="0" w:space="0" w:color="auto"/>
      </w:divBdr>
      <w:divsChild>
        <w:div w:id="584612998">
          <w:marLeft w:val="547"/>
          <w:marRight w:val="0"/>
          <w:marTop w:val="154"/>
          <w:marBottom w:val="0"/>
          <w:divBdr>
            <w:top w:val="none" w:sz="0" w:space="0" w:color="auto"/>
            <w:left w:val="none" w:sz="0" w:space="0" w:color="auto"/>
            <w:bottom w:val="none" w:sz="0" w:space="0" w:color="auto"/>
            <w:right w:val="none" w:sz="0" w:space="0" w:color="auto"/>
          </w:divBdr>
        </w:div>
        <w:div w:id="1444181100">
          <w:marLeft w:val="547"/>
          <w:marRight w:val="0"/>
          <w:marTop w:val="154"/>
          <w:marBottom w:val="0"/>
          <w:divBdr>
            <w:top w:val="none" w:sz="0" w:space="0" w:color="auto"/>
            <w:left w:val="none" w:sz="0" w:space="0" w:color="auto"/>
            <w:bottom w:val="none" w:sz="0" w:space="0" w:color="auto"/>
            <w:right w:val="none" w:sz="0" w:space="0" w:color="auto"/>
          </w:divBdr>
        </w:div>
        <w:div w:id="1547135726">
          <w:marLeft w:val="547"/>
          <w:marRight w:val="0"/>
          <w:marTop w:val="154"/>
          <w:marBottom w:val="0"/>
          <w:divBdr>
            <w:top w:val="none" w:sz="0" w:space="0" w:color="auto"/>
            <w:left w:val="none" w:sz="0" w:space="0" w:color="auto"/>
            <w:bottom w:val="none" w:sz="0" w:space="0" w:color="auto"/>
            <w:right w:val="none" w:sz="0" w:space="0" w:color="auto"/>
          </w:divBdr>
        </w:div>
      </w:divsChild>
    </w:div>
    <w:div w:id="1880782471">
      <w:bodyDiv w:val="1"/>
      <w:marLeft w:val="0"/>
      <w:marRight w:val="0"/>
      <w:marTop w:val="0"/>
      <w:marBottom w:val="0"/>
      <w:divBdr>
        <w:top w:val="none" w:sz="0" w:space="0" w:color="auto"/>
        <w:left w:val="none" w:sz="0" w:space="0" w:color="auto"/>
        <w:bottom w:val="none" w:sz="0" w:space="0" w:color="auto"/>
        <w:right w:val="none" w:sz="0" w:space="0" w:color="auto"/>
      </w:divBdr>
    </w:div>
    <w:div w:id="1881431694">
      <w:bodyDiv w:val="1"/>
      <w:marLeft w:val="0"/>
      <w:marRight w:val="0"/>
      <w:marTop w:val="0"/>
      <w:marBottom w:val="0"/>
      <w:divBdr>
        <w:top w:val="none" w:sz="0" w:space="0" w:color="auto"/>
        <w:left w:val="none" w:sz="0" w:space="0" w:color="auto"/>
        <w:bottom w:val="none" w:sz="0" w:space="0" w:color="auto"/>
        <w:right w:val="none" w:sz="0" w:space="0" w:color="auto"/>
      </w:divBdr>
      <w:divsChild>
        <w:div w:id="33701625">
          <w:marLeft w:val="1166"/>
          <w:marRight w:val="0"/>
          <w:marTop w:val="96"/>
          <w:marBottom w:val="0"/>
          <w:divBdr>
            <w:top w:val="none" w:sz="0" w:space="0" w:color="auto"/>
            <w:left w:val="none" w:sz="0" w:space="0" w:color="auto"/>
            <w:bottom w:val="none" w:sz="0" w:space="0" w:color="auto"/>
            <w:right w:val="none" w:sz="0" w:space="0" w:color="auto"/>
          </w:divBdr>
        </w:div>
        <w:div w:id="1409962018">
          <w:marLeft w:val="1166"/>
          <w:marRight w:val="0"/>
          <w:marTop w:val="96"/>
          <w:marBottom w:val="0"/>
          <w:divBdr>
            <w:top w:val="none" w:sz="0" w:space="0" w:color="auto"/>
            <w:left w:val="none" w:sz="0" w:space="0" w:color="auto"/>
            <w:bottom w:val="none" w:sz="0" w:space="0" w:color="auto"/>
            <w:right w:val="none" w:sz="0" w:space="0" w:color="auto"/>
          </w:divBdr>
        </w:div>
        <w:div w:id="1581331752">
          <w:marLeft w:val="547"/>
          <w:marRight w:val="0"/>
          <w:marTop w:val="115"/>
          <w:marBottom w:val="0"/>
          <w:divBdr>
            <w:top w:val="none" w:sz="0" w:space="0" w:color="auto"/>
            <w:left w:val="none" w:sz="0" w:space="0" w:color="auto"/>
            <w:bottom w:val="none" w:sz="0" w:space="0" w:color="auto"/>
            <w:right w:val="none" w:sz="0" w:space="0" w:color="auto"/>
          </w:divBdr>
        </w:div>
      </w:divsChild>
    </w:div>
    <w:div w:id="1882285936">
      <w:bodyDiv w:val="1"/>
      <w:marLeft w:val="0"/>
      <w:marRight w:val="0"/>
      <w:marTop w:val="0"/>
      <w:marBottom w:val="0"/>
      <w:divBdr>
        <w:top w:val="none" w:sz="0" w:space="0" w:color="auto"/>
        <w:left w:val="none" w:sz="0" w:space="0" w:color="auto"/>
        <w:bottom w:val="none" w:sz="0" w:space="0" w:color="auto"/>
        <w:right w:val="none" w:sz="0" w:space="0" w:color="auto"/>
      </w:divBdr>
      <w:divsChild>
        <w:div w:id="200020608">
          <w:marLeft w:val="547"/>
          <w:marRight w:val="0"/>
          <w:marTop w:val="96"/>
          <w:marBottom w:val="0"/>
          <w:divBdr>
            <w:top w:val="none" w:sz="0" w:space="0" w:color="auto"/>
            <w:left w:val="none" w:sz="0" w:space="0" w:color="auto"/>
            <w:bottom w:val="none" w:sz="0" w:space="0" w:color="auto"/>
            <w:right w:val="none" w:sz="0" w:space="0" w:color="auto"/>
          </w:divBdr>
        </w:div>
        <w:div w:id="425660149">
          <w:marLeft w:val="547"/>
          <w:marRight w:val="0"/>
          <w:marTop w:val="96"/>
          <w:marBottom w:val="0"/>
          <w:divBdr>
            <w:top w:val="none" w:sz="0" w:space="0" w:color="auto"/>
            <w:left w:val="none" w:sz="0" w:space="0" w:color="auto"/>
            <w:bottom w:val="none" w:sz="0" w:space="0" w:color="auto"/>
            <w:right w:val="none" w:sz="0" w:space="0" w:color="auto"/>
          </w:divBdr>
        </w:div>
        <w:div w:id="500973348">
          <w:marLeft w:val="547"/>
          <w:marRight w:val="0"/>
          <w:marTop w:val="96"/>
          <w:marBottom w:val="0"/>
          <w:divBdr>
            <w:top w:val="none" w:sz="0" w:space="0" w:color="auto"/>
            <w:left w:val="none" w:sz="0" w:space="0" w:color="auto"/>
            <w:bottom w:val="none" w:sz="0" w:space="0" w:color="auto"/>
            <w:right w:val="none" w:sz="0" w:space="0" w:color="auto"/>
          </w:divBdr>
        </w:div>
        <w:div w:id="688681428">
          <w:marLeft w:val="547"/>
          <w:marRight w:val="0"/>
          <w:marTop w:val="96"/>
          <w:marBottom w:val="0"/>
          <w:divBdr>
            <w:top w:val="none" w:sz="0" w:space="0" w:color="auto"/>
            <w:left w:val="none" w:sz="0" w:space="0" w:color="auto"/>
            <w:bottom w:val="none" w:sz="0" w:space="0" w:color="auto"/>
            <w:right w:val="none" w:sz="0" w:space="0" w:color="auto"/>
          </w:divBdr>
        </w:div>
        <w:div w:id="699010248">
          <w:marLeft w:val="547"/>
          <w:marRight w:val="0"/>
          <w:marTop w:val="96"/>
          <w:marBottom w:val="0"/>
          <w:divBdr>
            <w:top w:val="none" w:sz="0" w:space="0" w:color="auto"/>
            <w:left w:val="none" w:sz="0" w:space="0" w:color="auto"/>
            <w:bottom w:val="none" w:sz="0" w:space="0" w:color="auto"/>
            <w:right w:val="none" w:sz="0" w:space="0" w:color="auto"/>
          </w:divBdr>
        </w:div>
        <w:div w:id="780536783">
          <w:marLeft w:val="1166"/>
          <w:marRight w:val="0"/>
          <w:marTop w:val="77"/>
          <w:marBottom w:val="0"/>
          <w:divBdr>
            <w:top w:val="none" w:sz="0" w:space="0" w:color="auto"/>
            <w:left w:val="none" w:sz="0" w:space="0" w:color="auto"/>
            <w:bottom w:val="none" w:sz="0" w:space="0" w:color="auto"/>
            <w:right w:val="none" w:sz="0" w:space="0" w:color="auto"/>
          </w:divBdr>
        </w:div>
        <w:div w:id="995570846">
          <w:marLeft w:val="547"/>
          <w:marRight w:val="0"/>
          <w:marTop w:val="96"/>
          <w:marBottom w:val="0"/>
          <w:divBdr>
            <w:top w:val="none" w:sz="0" w:space="0" w:color="auto"/>
            <w:left w:val="none" w:sz="0" w:space="0" w:color="auto"/>
            <w:bottom w:val="none" w:sz="0" w:space="0" w:color="auto"/>
            <w:right w:val="none" w:sz="0" w:space="0" w:color="auto"/>
          </w:divBdr>
        </w:div>
        <w:div w:id="1388644230">
          <w:marLeft w:val="1166"/>
          <w:marRight w:val="0"/>
          <w:marTop w:val="77"/>
          <w:marBottom w:val="0"/>
          <w:divBdr>
            <w:top w:val="none" w:sz="0" w:space="0" w:color="auto"/>
            <w:left w:val="none" w:sz="0" w:space="0" w:color="auto"/>
            <w:bottom w:val="none" w:sz="0" w:space="0" w:color="auto"/>
            <w:right w:val="none" w:sz="0" w:space="0" w:color="auto"/>
          </w:divBdr>
        </w:div>
        <w:div w:id="1974552325">
          <w:marLeft w:val="547"/>
          <w:marRight w:val="0"/>
          <w:marTop w:val="96"/>
          <w:marBottom w:val="0"/>
          <w:divBdr>
            <w:top w:val="none" w:sz="0" w:space="0" w:color="auto"/>
            <w:left w:val="none" w:sz="0" w:space="0" w:color="auto"/>
            <w:bottom w:val="none" w:sz="0" w:space="0" w:color="auto"/>
            <w:right w:val="none" w:sz="0" w:space="0" w:color="auto"/>
          </w:divBdr>
        </w:div>
      </w:divsChild>
    </w:div>
    <w:div w:id="1883784235">
      <w:bodyDiv w:val="1"/>
      <w:marLeft w:val="0"/>
      <w:marRight w:val="0"/>
      <w:marTop w:val="0"/>
      <w:marBottom w:val="0"/>
      <w:divBdr>
        <w:top w:val="none" w:sz="0" w:space="0" w:color="auto"/>
        <w:left w:val="none" w:sz="0" w:space="0" w:color="auto"/>
        <w:bottom w:val="none" w:sz="0" w:space="0" w:color="auto"/>
        <w:right w:val="none" w:sz="0" w:space="0" w:color="auto"/>
      </w:divBdr>
    </w:div>
    <w:div w:id="1884826501">
      <w:bodyDiv w:val="1"/>
      <w:marLeft w:val="0"/>
      <w:marRight w:val="0"/>
      <w:marTop w:val="0"/>
      <w:marBottom w:val="0"/>
      <w:divBdr>
        <w:top w:val="none" w:sz="0" w:space="0" w:color="auto"/>
        <w:left w:val="none" w:sz="0" w:space="0" w:color="auto"/>
        <w:bottom w:val="none" w:sz="0" w:space="0" w:color="auto"/>
        <w:right w:val="none" w:sz="0" w:space="0" w:color="auto"/>
      </w:divBdr>
      <w:divsChild>
        <w:div w:id="14507247">
          <w:marLeft w:val="1166"/>
          <w:marRight w:val="0"/>
          <w:marTop w:val="96"/>
          <w:marBottom w:val="0"/>
          <w:divBdr>
            <w:top w:val="none" w:sz="0" w:space="0" w:color="auto"/>
            <w:left w:val="none" w:sz="0" w:space="0" w:color="auto"/>
            <w:bottom w:val="none" w:sz="0" w:space="0" w:color="auto"/>
            <w:right w:val="none" w:sz="0" w:space="0" w:color="auto"/>
          </w:divBdr>
        </w:div>
        <w:div w:id="155851921">
          <w:marLeft w:val="547"/>
          <w:marRight w:val="0"/>
          <w:marTop w:val="240"/>
          <w:marBottom w:val="0"/>
          <w:divBdr>
            <w:top w:val="none" w:sz="0" w:space="0" w:color="auto"/>
            <w:left w:val="none" w:sz="0" w:space="0" w:color="auto"/>
            <w:bottom w:val="none" w:sz="0" w:space="0" w:color="auto"/>
            <w:right w:val="none" w:sz="0" w:space="0" w:color="auto"/>
          </w:divBdr>
        </w:div>
        <w:div w:id="320426163">
          <w:marLeft w:val="547"/>
          <w:marRight w:val="0"/>
          <w:marTop w:val="240"/>
          <w:marBottom w:val="0"/>
          <w:divBdr>
            <w:top w:val="none" w:sz="0" w:space="0" w:color="auto"/>
            <w:left w:val="none" w:sz="0" w:space="0" w:color="auto"/>
            <w:bottom w:val="none" w:sz="0" w:space="0" w:color="auto"/>
            <w:right w:val="none" w:sz="0" w:space="0" w:color="auto"/>
          </w:divBdr>
        </w:div>
        <w:div w:id="336855398">
          <w:marLeft w:val="1166"/>
          <w:marRight w:val="0"/>
          <w:marTop w:val="96"/>
          <w:marBottom w:val="0"/>
          <w:divBdr>
            <w:top w:val="none" w:sz="0" w:space="0" w:color="auto"/>
            <w:left w:val="none" w:sz="0" w:space="0" w:color="auto"/>
            <w:bottom w:val="none" w:sz="0" w:space="0" w:color="auto"/>
            <w:right w:val="none" w:sz="0" w:space="0" w:color="auto"/>
          </w:divBdr>
        </w:div>
        <w:div w:id="1006829968">
          <w:marLeft w:val="1800"/>
          <w:marRight w:val="0"/>
          <w:marTop w:val="96"/>
          <w:marBottom w:val="0"/>
          <w:divBdr>
            <w:top w:val="none" w:sz="0" w:space="0" w:color="auto"/>
            <w:left w:val="none" w:sz="0" w:space="0" w:color="auto"/>
            <w:bottom w:val="none" w:sz="0" w:space="0" w:color="auto"/>
            <w:right w:val="none" w:sz="0" w:space="0" w:color="auto"/>
          </w:divBdr>
        </w:div>
        <w:div w:id="1732263104">
          <w:marLeft w:val="1800"/>
          <w:marRight w:val="0"/>
          <w:marTop w:val="96"/>
          <w:marBottom w:val="0"/>
          <w:divBdr>
            <w:top w:val="none" w:sz="0" w:space="0" w:color="auto"/>
            <w:left w:val="none" w:sz="0" w:space="0" w:color="auto"/>
            <w:bottom w:val="none" w:sz="0" w:space="0" w:color="auto"/>
            <w:right w:val="none" w:sz="0" w:space="0" w:color="auto"/>
          </w:divBdr>
        </w:div>
        <w:div w:id="1804035734">
          <w:marLeft w:val="1800"/>
          <w:marRight w:val="0"/>
          <w:marTop w:val="96"/>
          <w:marBottom w:val="0"/>
          <w:divBdr>
            <w:top w:val="none" w:sz="0" w:space="0" w:color="auto"/>
            <w:left w:val="none" w:sz="0" w:space="0" w:color="auto"/>
            <w:bottom w:val="none" w:sz="0" w:space="0" w:color="auto"/>
            <w:right w:val="none" w:sz="0" w:space="0" w:color="auto"/>
          </w:divBdr>
        </w:div>
        <w:div w:id="1886481671">
          <w:marLeft w:val="1166"/>
          <w:marRight w:val="0"/>
          <w:marTop w:val="96"/>
          <w:marBottom w:val="0"/>
          <w:divBdr>
            <w:top w:val="none" w:sz="0" w:space="0" w:color="auto"/>
            <w:left w:val="none" w:sz="0" w:space="0" w:color="auto"/>
            <w:bottom w:val="none" w:sz="0" w:space="0" w:color="auto"/>
            <w:right w:val="none" w:sz="0" w:space="0" w:color="auto"/>
          </w:divBdr>
        </w:div>
        <w:div w:id="2021731728">
          <w:marLeft w:val="1166"/>
          <w:marRight w:val="0"/>
          <w:marTop w:val="96"/>
          <w:marBottom w:val="0"/>
          <w:divBdr>
            <w:top w:val="none" w:sz="0" w:space="0" w:color="auto"/>
            <w:left w:val="none" w:sz="0" w:space="0" w:color="auto"/>
            <w:bottom w:val="none" w:sz="0" w:space="0" w:color="auto"/>
            <w:right w:val="none" w:sz="0" w:space="0" w:color="auto"/>
          </w:divBdr>
        </w:div>
      </w:divsChild>
    </w:div>
    <w:div w:id="1885407241">
      <w:bodyDiv w:val="1"/>
      <w:marLeft w:val="0"/>
      <w:marRight w:val="0"/>
      <w:marTop w:val="0"/>
      <w:marBottom w:val="0"/>
      <w:divBdr>
        <w:top w:val="none" w:sz="0" w:space="0" w:color="auto"/>
        <w:left w:val="none" w:sz="0" w:space="0" w:color="auto"/>
        <w:bottom w:val="none" w:sz="0" w:space="0" w:color="auto"/>
        <w:right w:val="none" w:sz="0" w:space="0" w:color="auto"/>
      </w:divBdr>
    </w:div>
    <w:div w:id="1886092355">
      <w:bodyDiv w:val="1"/>
      <w:marLeft w:val="0"/>
      <w:marRight w:val="0"/>
      <w:marTop w:val="0"/>
      <w:marBottom w:val="0"/>
      <w:divBdr>
        <w:top w:val="none" w:sz="0" w:space="0" w:color="auto"/>
        <w:left w:val="none" w:sz="0" w:space="0" w:color="auto"/>
        <w:bottom w:val="none" w:sz="0" w:space="0" w:color="auto"/>
        <w:right w:val="none" w:sz="0" w:space="0" w:color="auto"/>
      </w:divBdr>
      <w:divsChild>
        <w:div w:id="1808816507">
          <w:marLeft w:val="0"/>
          <w:marRight w:val="0"/>
          <w:marTop w:val="0"/>
          <w:marBottom w:val="0"/>
          <w:divBdr>
            <w:top w:val="none" w:sz="0" w:space="0" w:color="auto"/>
            <w:left w:val="none" w:sz="0" w:space="0" w:color="auto"/>
            <w:bottom w:val="none" w:sz="0" w:space="0" w:color="auto"/>
            <w:right w:val="none" w:sz="0" w:space="0" w:color="auto"/>
          </w:divBdr>
          <w:divsChild>
            <w:div w:id="757292458">
              <w:marLeft w:val="0"/>
              <w:marRight w:val="0"/>
              <w:marTop w:val="0"/>
              <w:marBottom w:val="0"/>
              <w:divBdr>
                <w:top w:val="none" w:sz="0" w:space="0" w:color="auto"/>
                <w:left w:val="none" w:sz="0" w:space="0" w:color="auto"/>
                <w:bottom w:val="none" w:sz="0" w:space="0" w:color="auto"/>
                <w:right w:val="none" w:sz="0" w:space="0" w:color="auto"/>
              </w:divBdr>
            </w:div>
            <w:div w:id="1240142532">
              <w:marLeft w:val="0"/>
              <w:marRight w:val="0"/>
              <w:marTop w:val="0"/>
              <w:marBottom w:val="0"/>
              <w:divBdr>
                <w:top w:val="none" w:sz="0" w:space="0" w:color="auto"/>
                <w:left w:val="none" w:sz="0" w:space="0" w:color="auto"/>
                <w:bottom w:val="none" w:sz="0" w:space="0" w:color="auto"/>
                <w:right w:val="none" w:sz="0" w:space="0" w:color="auto"/>
              </w:divBdr>
            </w:div>
            <w:div w:id="1247298897">
              <w:marLeft w:val="0"/>
              <w:marRight w:val="0"/>
              <w:marTop w:val="0"/>
              <w:marBottom w:val="0"/>
              <w:divBdr>
                <w:top w:val="none" w:sz="0" w:space="0" w:color="auto"/>
                <w:left w:val="none" w:sz="0" w:space="0" w:color="auto"/>
                <w:bottom w:val="none" w:sz="0" w:space="0" w:color="auto"/>
                <w:right w:val="none" w:sz="0" w:space="0" w:color="auto"/>
              </w:divBdr>
            </w:div>
            <w:div w:id="1343975179">
              <w:marLeft w:val="0"/>
              <w:marRight w:val="0"/>
              <w:marTop w:val="0"/>
              <w:marBottom w:val="0"/>
              <w:divBdr>
                <w:top w:val="none" w:sz="0" w:space="0" w:color="auto"/>
                <w:left w:val="none" w:sz="0" w:space="0" w:color="auto"/>
                <w:bottom w:val="none" w:sz="0" w:space="0" w:color="auto"/>
                <w:right w:val="none" w:sz="0" w:space="0" w:color="auto"/>
              </w:divBdr>
            </w:div>
            <w:div w:id="1436291709">
              <w:marLeft w:val="0"/>
              <w:marRight w:val="0"/>
              <w:marTop w:val="0"/>
              <w:marBottom w:val="0"/>
              <w:divBdr>
                <w:top w:val="none" w:sz="0" w:space="0" w:color="auto"/>
                <w:left w:val="none" w:sz="0" w:space="0" w:color="auto"/>
                <w:bottom w:val="none" w:sz="0" w:space="0" w:color="auto"/>
                <w:right w:val="none" w:sz="0" w:space="0" w:color="auto"/>
              </w:divBdr>
            </w:div>
            <w:div w:id="19190932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86257561">
      <w:bodyDiv w:val="1"/>
      <w:marLeft w:val="0"/>
      <w:marRight w:val="0"/>
      <w:marTop w:val="0"/>
      <w:marBottom w:val="0"/>
      <w:divBdr>
        <w:top w:val="none" w:sz="0" w:space="0" w:color="auto"/>
        <w:left w:val="none" w:sz="0" w:space="0" w:color="auto"/>
        <w:bottom w:val="none" w:sz="0" w:space="0" w:color="auto"/>
        <w:right w:val="none" w:sz="0" w:space="0" w:color="auto"/>
      </w:divBdr>
    </w:div>
    <w:div w:id="1886289013">
      <w:bodyDiv w:val="1"/>
      <w:marLeft w:val="0"/>
      <w:marRight w:val="0"/>
      <w:marTop w:val="0"/>
      <w:marBottom w:val="0"/>
      <w:divBdr>
        <w:top w:val="none" w:sz="0" w:space="0" w:color="auto"/>
        <w:left w:val="none" w:sz="0" w:space="0" w:color="auto"/>
        <w:bottom w:val="none" w:sz="0" w:space="0" w:color="auto"/>
        <w:right w:val="none" w:sz="0" w:space="0" w:color="auto"/>
      </w:divBdr>
      <w:divsChild>
        <w:div w:id="145242203">
          <w:marLeft w:val="1166"/>
          <w:marRight w:val="0"/>
          <w:marTop w:val="86"/>
          <w:marBottom w:val="0"/>
          <w:divBdr>
            <w:top w:val="none" w:sz="0" w:space="0" w:color="auto"/>
            <w:left w:val="none" w:sz="0" w:space="0" w:color="auto"/>
            <w:bottom w:val="none" w:sz="0" w:space="0" w:color="auto"/>
            <w:right w:val="none" w:sz="0" w:space="0" w:color="auto"/>
          </w:divBdr>
        </w:div>
        <w:div w:id="321739431">
          <w:marLeft w:val="1800"/>
          <w:marRight w:val="0"/>
          <w:marTop w:val="72"/>
          <w:marBottom w:val="0"/>
          <w:divBdr>
            <w:top w:val="none" w:sz="0" w:space="0" w:color="auto"/>
            <w:left w:val="none" w:sz="0" w:space="0" w:color="auto"/>
            <w:bottom w:val="none" w:sz="0" w:space="0" w:color="auto"/>
            <w:right w:val="none" w:sz="0" w:space="0" w:color="auto"/>
          </w:divBdr>
        </w:div>
        <w:div w:id="885677577">
          <w:marLeft w:val="1800"/>
          <w:marRight w:val="0"/>
          <w:marTop w:val="72"/>
          <w:marBottom w:val="0"/>
          <w:divBdr>
            <w:top w:val="none" w:sz="0" w:space="0" w:color="auto"/>
            <w:left w:val="none" w:sz="0" w:space="0" w:color="auto"/>
            <w:bottom w:val="none" w:sz="0" w:space="0" w:color="auto"/>
            <w:right w:val="none" w:sz="0" w:space="0" w:color="auto"/>
          </w:divBdr>
        </w:div>
        <w:div w:id="1039091704">
          <w:marLeft w:val="1166"/>
          <w:marRight w:val="0"/>
          <w:marTop w:val="86"/>
          <w:marBottom w:val="0"/>
          <w:divBdr>
            <w:top w:val="none" w:sz="0" w:space="0" w:color="auto"/>
            <w:left w:val="none" w:sz="0" w:space="0" w:color="auto"/>
            <w:bottom w:val="none" w:sz="0" w:space="0" w:color="auto"/>
            <w:right w:val="none" w:sz="0" w:space="0" w:color="auto"/>
          </w:divBdr>
        </w:div>
        <w:div w:id="1059552143">
          <w:marLeft w:val="2520"/>
          <w:marRight w:val="0"/>
          <w:marTop w:val="62"/>
          <w:marBottom w:val="0"/>
          <w:divBdr>
            <w:top w:val="none" w:sz="0" w:space="0" w:color="auto"/>
            <w:left w:val="none" w:sz="0" w:space="0" w:color="auto"/>
            <w:bottom w:val="none" w:sz="0" w:space="0" w:color="auto"/>
            <w:right w:val="none" w:sz="0" w:space="0" w:color="auto"/>
          </w:divBdr>
        </w:div>
        <w:div w:id="1104499261">
          <w:marLeft w:val="547"/>
          <w:marRight w:val="0"/>
          <w:marTop w:val="96"/>
          <w:marBottom w:val="0"/>
          <w:divBdr>
            <w:top w:val="none" w:sz="0" w:space="0" w:color="auto"/>
            <w:left w:val="none" w:sz="0" w:space="0" w:color="auto"/>
            <w:bottom w:val="none" w:sz="0" w:space="0" w:color="auto"/>
            <w:right w:val="none" w:sz="0" w:space="0" w:color="auto"/>
          </w:divBdr>
        </w:div>
        <w:div w:id="1147093789">
          <w:marLeft w:val="1800"/>
          <w:marRight w:val="0"/>
          <w:marTop w:val="72"/>
          <w:marBottom w:val="0"/>
          <w:divBdr>
            <w:top w:val="none" w:sz="0" w:space="0" w:color="auto"/>
            <w:left w:val="none" w:sz="0" w:space="0" w:color="auto"/>
            <w:bottom w:val="none" w:sz="0" w:space="0" w:color="auto"/>
            <w:right w:val="none" w:sz="0" w:space="0" w:color="auto"/>
          </w:divBdr>
        </w:div>
        <w:div w:id="1329674511">
          <w:marLeft w:val="1800"/>
          <w:marRight w:val="0"/>
          <w:marTop w:val="72"/>
          <w:marBottom w:val="0"/>
          <w:divBdr>
            <w:top w:val="none" w:sz="0" w:space="0" w:color="auto"/>
            <w:left w:val="none" w:sz="0" w:space="0" w:color="auto"/>
            <w:bottom w:val="none" w:sz="0" w:space="0" w:color="auto"/>
            <w:right w:val="none" w:sz="0" w:space="0" w:color="auto"/>
          </w:divBdr>
        </w:div>
        <w:div w:id="1746418119">
          <w:marLeft w:val="1166"/>
          <w:marRight w:val="0"/>
          <w:marTop w:val="86"/>
          <w:marBottom w:val="0"/>
          <w:divBdr>
            <w:top w:val="none" w:sz="0" w:space="0" w:color="auto"/>
            <w:left w:val="none" w:sz="0" w:space="0" w:color="auto"/>
            <w:bottom w:val="none" w:sz="0" w:space="0" w:color="auto"/>
            <w:right w:val="none" w:sz="0" w:space="0" w:color="auto"/>
          </w:divBdr>
        </w:div>
        <w:div w:id="1841969462">
          <w:marLeft w:val="547"/>
          <w:marRight w:val="0"/>
          <w:marTop w:val="96"/>
          <w:marBottom w:val="0"/>
          <w:divBdr>
            <w:top w:val="none" w:sz="0" w:space="0" w:color="auto"/>
            <w:left w:val="none" w:sz="0" w:space="0" w:color="auto"/>
            <w:bottom w:val="none" w:sz="0" w:space="0" w:color="auto"/>
            <w:right w:val="none" w:sz="0" w:space="0" w:color="auto"/>
          </w:divBdr>
        </w:div>
        <w:div w:id="2043355520">
          <w:marLeft w:val="1800"/>
          <w:marRight w:val="0"/>
          <w:marTop w:val="72"/>
          <w:marBottom w:val="0"/>
          <w:divBdr>
            <w:top w:val="none" w:sz="0" w:space="0" w:color="auto"/>
            <w:left w:val="none" w:sz="0" w:space="0" w:color="auto"/>
            <w:bottom w:val="none" w:sz="0" w:space="0" w:color="auto"/>
            <w:right w:val="none" w:sz="0" w:space="0" w:color="auto"/>
          </w:divBdr>
        </w:div>
      </w:divsChild>
    </w:div>
    <w:div w:id="1886719455">
      <w:bodyDiv w:val="1"/>
      <w:marLeft w:val="0"/>
      <w:marRight w:val="0"/>
      <w:marTop w:val="0"/>
      <w:marBottom w:val="0"/>
      <w:divBdr>
        <w:top w:val="none" w:sz="0" w:space="0" w:color="auto"/>
        <w:left w:val="none" w:sz="0" w:space="0" w:color="auto"/>
        <w:bottom w:val="none" w:sz="0" w:space="0" w:color="auto"/>
        <w:right w:val="none" w:sz="0" w:space="0" w:color="auto"/>
      </w:divBdr>
    </w:div>
    <w:div w:id="1887717187">
      <w:bodyDiv w:val="1"/>
      <w:marLeft w:val="0"/>
      <w:marRight w:val="0"/>
      <w:marTop w:val="0"/>
      <w:marBottom w:val="0"/>
      <w:divBdr>
        <w:top w:val="none" w:sz="0" w:space="0" w:color="auto"/>
        <w:left w:val="none" w:sz="0" w:space="0" w:color="auto"/>
        <w:bottom w:val="none" w:sz="0" w:space="0" w:color="auto"/>
        <w:right w:val="none" w:sz="0" w:space="0" w:color="auto"/>
      </w:divBdr>
    </w:div>
    <w:div w:id="1888451972">
      <w:bodyDiv w:val="1"/>
      <w:marLeft w:val="0"/>
      <w:marRight w:val="0"/>
      <w:marTop w:val="0"/>
      <w:marBottom w:val="0"/>
      <w:divBdr>
        <w:top w:val="none" w:sz="0" w:space="0" w:color="auto"/>
        <w:left w:val="none" w:sz="0" w:space="0" w:color="auto"/>
        <w:bottom w:val="none" w:sz="0" w:space="0" w:color="auto"/>
        <w:right w:val="none" w:sz="0" w:space="0" w:color="auto"/>
      </w:divBdr>
    </w:div>
    <w:div w:id="1890722271">
      <w:bodyDiv w:val="1"/>
      <w:marLeft w:val="0"/>
      <w:marRight w:val="0"/>
      <w:marTop w:val="0"/>
      <w:marBottom w:val="0"/>
      <w:divBdr>
        <w:top w:val="none" w:sz="0" w:space="0" w:color="auto"/>
        <w:left w:val="none" w:sz="0" w:space="0" w:color="auto"/>
        <w:bottom w:val="none" w:sz="0" w:space="0" w:color="auto"/>
        <w:right w:val="none" w:sz="0" w:space="0" w:color="auto"/>
      </w:divBdr>
    </w:div>
    <w:div w:id="1890916342">
      <w:bodyDiv w:val="1"/>
      <w:marLeft w:val="0"/>
      <w:marRight w:val="0"/>
      <w:marTop w:val="0"/>
      <w:marBottom w:val="0"/>
      <w:divBdr>
        <w:top w:val="none" w:sz="0" w:space="0" w:color="auto"/>
        <w:left w:val="none" w:sz="0" w:space="0" w:color="auto"/>
        <w:bottom w:val="none" w:sz="0" w:space="0" w:color="auto"/>
        <w:right w:val="none" w:sz="0" w:space="0" w:color="auto"/>
      </w:divBdr>
    </w:div>
    <w:div w:id="1892692519">
      <w:bodyDiv w:val="1"/>
      <w:marLeft w:val="0"/>
      <w:marRight w:val="0"/>
      <w:marTop w:val="0"/>
      <w:marBottom w:val="0"/>
      <w:divBdr>
        <w:top w:val="none" w:sz="0" w:space="0" w:color="auto"/>
        <w:left w:val="none" w:sz="0" w:space="0" w:color="auto"/>
        <w:bottom w:val="none" w:sz="0" w:space="0" w:color="auto"/>
        <w:right w:val="none" w:sz="0" w:space="0" w:color="auto"/>
      </w:divBdr>
    </w:div>
    <w:div w:id="1894341052">
      <w:bodyDiv w:val="1"/>
      <w:marLeft w:val="0"/>
      <w:marRight w:val="0"/>
      <w:marTop w:val="0"/>
      <w:marBottom w:val="0"/>
      <w:divBdr>
        <w:top w:val="none" w:sz="0" w:space="0" w:color="auto"/>
        <w:left w:val="none" w:sz="0" w:space="0" w:color="auto"/>
        <w:bottom w:val="none" w:sz="0" w:space="0" w:color="auto"/>
        <w:right w:val="none" w:sz="0" w:space="0" w:color="auto"/>
      </w:divBdr>
    </w:div>
    <w:div w:id="1895501362">
      <w:bodyDiv w:val="1"/>
      <w:marLeft w:val="0"/>
      <w:marRight w:val="0"/>
      <w:marTop w:val="0"/>
      <w:marBottom w:val="0"/>
      <w:divBdr>
        <w:top w:val="none" w:sz="0" w:space="0" w:color="auto"/>
        <w:left w:val="none" w:sz="0" w:space="0" w:color="auto"/>
        <w:bottom w:val="none" w:sz="0" w:space="0" w:color="auto"/>
        <w:right w:val="none" w:sz="0" w:space="0" w:color="auto"/>
      </w:divBdr>
    </w:div>
    <w:div w:id="1896237000">
      <w:bodyDiv w:val="1"/>
      <w:marLeft w:val="0"/>
      <w:marRight w:val="0"/>
      <w:marTop w:val="0"/>
      <w:marBottom w:val="0"/>
      <w:divBdr>
        <w:top w:val="none" w:sz="0" w:space="0" w:color="auto"/>
        <w:left w:val="none" w:sz="0" w:space="0" w:color="auto"/>
        <w:bottom w:val="none" w:sz="0" w:space="0" w:color="auto"/>
        <w:right w:val="none" w:sz="0" w:space="0" w:color="auto"/>
      </w:divBdr>
    </w:div>
    <w:div w:id="1897468106">
      <w:bodyDiv w:val="1"/>
      <w:marLeft w:val="0"/>
      <w:marRight w:val="0"/>
      <w:marTop w:val="0"/>
      <w:marBottom w:val="0"/>
      <w:divBdr>
        <w:top w:val="none" w:sz="0" w:space="0" w:color="auto"/>
        <w:left w:val="none" w:sz="0" w:space="0" w:color="auto"/>
        <w:bottom w:val="none" w:sz="0" w:space="0" w:color="auto"/>
        <w:right w:val="none" w:sz="0" w:space="0" w:color="auto"/>
      </w:divBdr>
    </w:div>
    <w:div w:id="1897546518">
      <w:bodyDiv w:val="1"/>
      <w:marLeft w:val="0"/>
      <w:marRight w:val="0"/>
      <w:marTop w:val="0"/>
      <w:marBottom w:val="0"/>
      <w:divBdr>
        <w:top w:val="none" w:sz="0" w:space="0" w:color="auto"/>
        <w:left w:val="none" w:sz="0" w:space="0" w:color="auto"/>
        <w:bottom w:val="none" w:sz="0" w:space="0" w:color="auto"/>
        <w:right w:val="none" w:sz="0" w:space="0" w:color="auto"/>
      </w:divBdr>
    </w:div>
    <w:div w:id="1897818829">
      <w:bodyDiv w:val="1"/>
      <w:marLeft w:val="0"/>
      <w:marRight w:val="0"/>
      <w:marTop w:val="0"/>
      <w:marBottom w:val="0"/>
      <w:divBdr>
        <w:top w:val="none" w:sz="0" w:space="0" w:color="auto"/>
        <w:left w:val="none" w:sz="0" w:space="0" w:color="auto"/>
        <w:bottom w:val="none" w:sz="0" w:space="0" w:color="auto"/>
        <w:right w:val="none" w:sz="0" w:space="0" w:color="auto"/>
      </w:divBdr>
    </w:div>
    <w:div w:id="1898010695">
      <w:bodyDiv w:val="1"/>
      <w:marLeft w:val="0"/>
      <w:marRight w:val="0"/>
      <w:marTop w:val="0"/>
      <w:marBottom w:val="0"/>
      <w:divBdr>
        <w:top w:val="none" w:sz="0" w:space="0" w:color="auto"/>
        <w:left w:val="none" w:sz="0" w:space="0" w:color="auto"/>
        <w:bottom w:val="none" w:sz="0" w:space="0" w:color="auto"/>
        <w:right w:val="none" w:sz="0" w:space="0" w:color="auto"/>
      </w:divBdr>
    </w:div>
    <w:div w:id="1898122058">
      <w:bodyDiv w:val="1"/>
      <w:marLeft w:val="0"/>
      <w:marRight w:val="0"/>
      <w:marTop w:val="0"/>
      <w:marBottom w:val="0"/>
      <w:divBdr>
        <w:top w:val="none" w:sz="0" w:space="0" w:color="auto"/>
        <w:left w:val="none" w:sz="0" w:space="0" w:color="auto"/>
        <w:bottom w:val="none" w:sz="0" w:space="0" w:color="auto"/>
        <w:right w:val="none" w:sz="0" w:space="0" w:color="auto"/>
      </w:divBdr>
    </w:div>
    <w:div w:id="1898200855">
      <w:bodyDiv w:val="1"/>
      <w:marLeft w:val="0"/>
      <w:marRight w:val="0"/>
      <w:marTop w:val="0"/>
      <w:marBottom w:val="0"/>
      <w:divBdr>
        <w:top w:val="none" w:sz="0" w:space="0" w:color="auto"/>
        <w:left w:val="none" w:sz="0" w:space="0" w:color="auto"/>
        <w:bottom w:val="none" w:sz="0" w:space="0" w:color="auto"/>
        <w:right w:val="none" w:sz="0" w:space="0" w:color="auto"/>
      </w:divBdr>
    </w:div>
    <w:div w:id="1899168516">
      <w:bodyDiv w:val="1"/>
      <w:marLeft w:val="0"/>
      <w:marRight w:val="0"/>
      <w:marTop w:val="0"/>
      <w:marBottom w:val="0"/>
      <w:divBdr>
        <w:top w:val="none" w:sz="0" w:space="0" w:color="auto"/>
        <w:left w:val="none" w:sz="0" w:space="0" w:color="auto"/>
        <w:bottom w:val="none" w:sz="0" w:space="0" w:color="auto"/>
        <w:right w:val="none" w:sz="0" w:space="0" w:color="auto"/>
      </w:divBdr>
    </w:div>
    <w:div w:id="1899169018">
      <w:bodyDiv w:val="1"/>
      <w:marLeft w:val="0"/>
      <w:marRight w:val="0"/>
      <w:marTop w:val="0"/>
      <w:marBottom w:val="0"/>
      <w:divBdr>
        <w:top w:val="none" w:sz="0" w:space="0" w:color="auto"/>
        <w:left w:val="none" w:sz="0" w:space="0" w:color="auto"/>
        <w:bottom w:val="none" w:sz="0" w:space="0" w:color="auto"/>
        <w:right w:val="none" w:sz="0" w:space="0" w:color="auto"/>
      </w:divBdr>
    </w:div>
    <w:div w:id="1900241941">
      <w:bodyDiv w:val="1"/>
      <w:marLeft w:val="0"/>
      <w:marRight w:val="0"/>
      <w:marTop w:val="0"/>
      <w:marBottom w:val="0"/>
      <w:divBdr>
        <w:top w:val="none" w:sz="0" w:space="0" w:color="auto"/>
        <w:left w:val="none" w:sz="0" w:space="0" w:color="auto"/>
        <w:bottom w:val="none" w:sz="0" w:space="0" w:color="auto"/>
        <w:right w:val="none" w:sz="0" w:space="0" w:color="auto"/>
      </w:divBdr>
      <w:divsChild>
        <w:div w:id="71508724">
          <w:marLeft w:val="1166"/>
          <w:marRight w:val="0"/>
          <w:marTop w:val="96"/>
          <w:marBottom w:val="0"/>
          <w:divBdr>
            <w:top w:val="none" w:sz="0" w:space="0" w:color="auto"/>
            <w:left w:val="none" w:sz="0" w:space="0" w:color="auto"/>
            <w:bottom w:val="none" w:sz="0" w:space="0" w:color="auto"/>
            <w:right w:val="none" w:sz="0" w:space="0" w:color="auto"/>
          </w:divBdr>
        </w:div>
        <w:div w:id="2113937730">
          <w:marLeft w:val="533"/>
          <w:marRight w:val="0"/>
          <w:marTop w:val="115"/>
          <w:marBottom w:val="0"/>
          <w:divBdr>
            <w:top w:val="none" w:sz="0" w:space="0" w:color="auto"/>
            <w:left w:val="none" w:sz="0" w:space="0" w:color="auto"/>
            <w:bottom w:val="none" w:sz="0" w:space="0" w:color="auto"/>
            <w:right w:val="none" w:sz="0" w:space="0" w:color="auto"/>
          </w:divBdr>
        </w:div>
      </w:divsChild>
    </w:div>
    <w:div w:id="1900359102">
      <w:bodyDiv w:val="1"/>
      <w:marLeft w:val="0"/>
      <w:marRight w:val="0"/>
      <w:marTop w:val="0"/>
      <w:marBottom w:val="0"/>
      <w:divBdr>
        <w:top w:val="none" w:sz="0" w:space="0" w:color="auto"/>
        <w:left w:val="none" w:sz="0" w:space="0" w:color="auto"/>
        <w:bottom w:val="none" w:sz="0" w:space="0" w:color="auto"/>
        <w:right w:val="none" w:sz="0" w:space="0" w:color="auto"/>
      </w:divBdr>
    </w:div>
    <w:div w:id="1901749260">
      <w:bodyDiv w:val="1"/>
      <w:marLeft w:val="0"/>
      <w:marRight w:val="0"/>
      <w:marTop w:val="0"/>
      <w:marBottom w:val="0"/>
      <w:divBdr>
        <w:top w:val="none" w:sz="0" w:space="0" w:color="auto"/>
        <w:left w:val="none" w:sz="0" w:space="0" w:color="auto"/>
        <w:bottom w:val="none" w:sz="0" w:space="0" w:color="auto"/>
        <w:right w:val="none" w:sz="0" w:space="0" w:color="auto"/>
      </w:divBdr>
    </w:div>
    <w:div w:id="1902132284">
      <w:bodyDiv w:val="1"/>
      <w:marLeft w:val="0"/>
      <w:marRight w:val="0"/>
      <w:marTop w:val="0"/>
      <w:marBottom w:val="0"/>
      <w:divBdr>
        <w:top w:val="none" w:sz="0" w:space="0" w:color="auto"/>
        <w:left w:val="none" w:sz="0" w:space="0" w:color="auto"/>
        <w:bottom w:val="none" w:sz="0" w:space="0" w:color="auto"/>
        <w:right w:val="none" w:sz="0" w:space="0" w:color="auto"/>
      </w:divBdr>
    </w:div>
    <w:div w:id="1902977975">
      <w:bodyDiv w:val="1"/>
      <w:marLeft w:val="0"/>
      <w:marRight w:val="0"/>
      <w:marTop w:val="0"/>
      <w:marBottom w:val="0"/>
      <w:divBdr>
        <w:top w:val="none" w:sz="0" w:space="0" w:color="auto"/>
        <w:left w:val="none" w:sz="0" w:space="0" w:color="auto"/>
        <w:bottom w:val="none" w:sz="0" w:space="0" w:color="auto"/>
        <w:right w:val="none" w:sz="0" w:space="0" w:color="auto"/>
      </w:divBdr>
    </w:div>
    <w:div w:id="1903519914">
      <w:bodyDiv w:val="1"/>
      <w:marLeft w:val="0"/>
      <w:marRight w:val="0"/>
      <w:marTop w:val="0"/>
      <w:marBottom w:val="0"/>
      <w:divBdr>
        <w:top w:val="none" w:sz="0" w:space="0" w:color="auto"/>
        <w:left w:val="none" w:sz="0" w:space="0" w:color="auto"/>
        <w:bottom w:val="none" w:sz="0" w:space="0" w:color="auto"/>
        <w:right w:val="none" w:sz="0" w:space="0" w:color="auto"/>
      </w:divBdr>
      <w:divsChild>
        <w:div w:id="810682531">
          <w:marLeft w:val="547"/>
          <w:marRight w:val="0"/>
          <w:marTop w:val="134"/>
          <w:marBottom w:val="0"/>
          <w:divBdr>
            <w:top w:val="none" w:sz="0" w:space="0" w:color="auto"/>
            <w:left w:val="none" w:sz="0" w:space="0" w:color="auto"/>
            <w:bottom w:val="none" w:sz="0" w:space="0" w:color="auto"/>
            <w:right w:val="none" w:sz="0" w:space="0" w:color="auto"/>
          </w:divBdr>
        </w:div>
        <w:div w:id="813180637">
          <w:marLeft w:val="547"/>
          <w:marRight w:val="0"/>
          <w:marTop w:val="134"/>
          <w:marBottom w:val="0"/>
          <w:divBdr>
            <w:top w:val="none" w:sz="0" w:space="0" w:color="auto"/>
            <w:left w:val="none" w:sz="0" w:space="0" w:color="auto"/>
            <w:bottom w:val="none" w:sz="0" w:space="0" w:color="auto"/>
            <w:right w:val="none" w:sz="0" w:space="0" w:color="auto"/>
          </w:divBdr>
        </w:div>
        <w:div w:id="969550700">
          <w:marLeft w:val="1166"/>
          <w:marRight w:val="0"/>
          <w:marTop w:val="115"/>
          <w:marBottom w:val="0"/>
          <w:divBdr>
            <w:top w:val="none" w:sz="0" w:space="0" w:color="auto"/>
            <w:left w:val="none" w:sz="0" w:space="0" w:color="auto"/>
            <w:bottom w:val="none" w:sz="0" w:space="0" w:color="auto"/>
            <w:right w:val="none" w:sz="0" w:space="0" w:color="auto"/>
          </w:divBdr>
        </w:div>
        <w:div w:id="1839078431">
          <w:marLeft w:val="1166"/>
          <w:marRight w:val="0"/>
          <w:marTop w:val="115"/>
          <w:marBottom w:val="0"/>
          <w:divBdr>
            <w:top w:val="none" w:sz="0" w:space="0" w:color="auto"/>
            <w:left w:val="none" w:sz="0" w:space="0" w:color="auto"/>
            <w:bottom w:val="none" w:sz="0" w:space="0" w:color="auto"/>
            <w:right w:val="none" w:sz="0" w:space="0" w:color="auto"/>
          </w:divBdr>
        </w:div>
        <w:div w:id="1877429971">
          <w:marLeft w:val="547"/>
          <w:marRight w:val="0"/>
          <w:marTop w:val="134"/>
          <w:marBottom w:val="0"/>
          <w:divBdr>
            <w:top w:val="none" w:sz="0" w:space="0" w:color="auto"/>
            <w:left w:val="none" w:sz="0" w:space="0" w:color="auto"/>
            <w:bottom w:val="none" w:sz="0" w:space="0" w:color="auto"/>
            <w:right w:val="none" w:sz="0" w:space="0" w:color="auto"/>
          </w:divBdr>
        </w:div>
        <w:div w:id="1986545220">
          <w:marLeft w:val="1166"/>
          <w:marRight w:val="0"/>
          <w:marTop w:val="96"/>
          <w:marBottom w:val="0"/>
          <w:divBdr>
            <w:top w:val="none" w:sz="0" w:space="0" w:color="auto"/>
            <w:left w:val="none" w:sz="0" w:space="0" w:color="auto"/>
            <w:bottom w:val="none" w:sz="0" w:space="0" w:color="auto"/>
            <w:right w:val="none" w:sz="0" w:space="0" w:color="auto"/>
          </w:divBdr>
        </w:div>
      </w:divsChild>
    </w:div>
    <w:div w:id="1903520314">
      <w:bodyDiv w:val="1"/>
      <w:marLeft w:val="0"/>
      <w:marRight w:val="0"/>
      <w:marTop w:val="0"/>
      <w:marBottom w:val="0"/>
      <w:divBdr>
        <w:top w:val="none" w:sz="0" w:space="0" w:color="auto"/>
        <w:left w:val="none" w:sz="0" w:space="0" w:color="auto"/>
        <w:bottom w:val="none" w:sz="0" w:space="0" w:color="auto"/>
        <w:right w:val="none" w:sz="0" w:space="0" w:color="auto"/>
      </w:divBdr>
    </w:div>
    <w:div w:id="1903639096">
      <w:bodyDiv w:val="1"/>
      <w:marLeft w:val="0"/>
      <w:marRight w:val="0"/>
      <w:marTop w:val="0"/>
      <w:marBottom w:val="0"/>
      <w:divBdr>
        <w:top w:val="none" w:sz="0" w:space="0" w:color="auto"/>
        <w:left w:val="none" w:sz="0" w:space="0" w:color="auto"/>
        <w:bottom w:val="none" w:sz="0" w:space="0" w:color="auto"/>
        <w:right w:val="none" w:sz="0" w:space="0" w:color="auto"/>
      </w:divBdr>
    </w:div>
    <w:div w:id="1904022594">
      <w:bodyDiv w:val="1"/>
      <w:marLeft w:val="0"/>
      <w:marRight w:val="0"/>
      <w:marTop w:val="0"/>
      <w:marBottom w:val="0"/>
      <w:divBdr>
        <w:top w:val="none" w:sz="0" w:space="0" w:color="auto"/>
        <w:left w:val="none" w:sz="0" w:space="0" w:color="auto"/>
        <w:bottom w:val="none" w:sz="0" w:space="0" w:color="auto"/>
        <w:right w:val="none" w:sz="0" w:space="0" w:color="auto"/>
      </w:divBdr>
    </w:div>
    <w:div w:id="1904218503">
      <w:bodyDiv w:val="1"/>
      <w:marLeft w:val="0"/>
      <w:marRight w:val="0"/>
      <w:marTop w:val="0"/>
      <w:marBottom w:val="0"/>
      <w:divBdr>
        <w:top w:val="none" w:sz="0" w:space="0" w:color="auto"/>
        <w:left w:val="none" w:sz="0" w:space="0" w:color="auto"/>
        <w:bottom w:val="none" w:sz="0" w:space="0" w:color="auto"/>
        <w:right w:val="none" w:sz="0" w:space="0" w:color="auto"/>
      </w:divBdr>
    </w:div>
    <w:div w:id="1905875880">
      <w:bodyDiv w:val="1"/>
      <w:marLeft w:val="0"/>
      <w:marRight w:val="0"/>
      <w:marTop w:val="0"/>
      <w:marBottom w:val="0"/>
      <w:divBdr>
        <w:top w:val="none" w:sz="0" w:space="0" w:color="auto"/>
        <w:left w:val="none" w:sz="0" w:space="0" w:color="auto"/>
        <w:bottom w:val="none" w:sz="0" w:space="0" w:color="auto"/>
        <w:right w:val="none" w:sz="0" w:space="0" w:color="auto"/>
      </w:divBdr>
    </w:div>
    <w:div w:id="1906180231">
      <w:bodyDiv w:val="1"/>
      <w:marLeft w:val="0"/>
      <w:marRight w:val="0"/>
      <w:marTop w:val="0"/>
      <w:marBottom w:val="0"/>
      <w:divBdr>
        <w:top w:val="none" w:sz="0" w:space="0" w:color="auto"/>
        <w:left w:val="none" w:sz="0" w:space="0" w:color="auto"/>
        <w:bottom w:val="none" w:sz="0" w:space="0" w:color="auto"/>
        <w:right w:val="none" w:sz="0" w:space="0" w:color="auto"/>
      </w:divBdr>
    </w:div>
    <w:div w:id="1906720364">
      <w:bodyDiv w:val="1"/>
      <w:marLeft w:val="0"/>
      <w:marRight w:val="0"/>
      <w:marTop w:val="0"/>
      <w:marBottom w:val="0"/>
      <w:divBdr>
        <w:top w:val="none" w:sz="0" w:space="0" w:color="auto"/>
        <w:left w:val="none" w:sz="0" w:space="0" w:color="auto"/>
        <w:bottom w:val="none" w:sz="0" w:space="0" w:color="auto"/>
        <w:right w:val="none" w:sz="0" w:space="0" w:color="auto"/>
      </w:divBdr>
      <w:divsChild>
        <w:div w:id="272791760">
          <w:marLeft w:val="547"/>
          <w:marRight w:val="0"/>
          <w:marTop w:val="154"/>
          <w:marBottom w:val="0"/>
          <w:divBdr>
            <w:top w:val="none" w:sz="0" w:space="0" w:color="auto"/>
            <w:left w:val="none" w:sz="0" w:space="0" w:color="auto"/>
            <w:bottom w:val="none" w:sz="0" w:space="0" w:color="auto"/>
            <w:right w:val="none" w:sz="0" w:space="0" w:color="auto"/>
          </w:divBdr>
        </w:div>
      </w:divsChild>
    </w:div>
    <w:div w:id="1908611724">
      <w:bodyDiv w:val="1"/>
      <w:marLeft w:val="0"/>
      <w:marRight w:val="0"/>
      <w:marTop w:val="0"/>
      <w:marBottom w:val="0"/>
      <w:divBdr>
        <w:top w:val="none" w:sz="0" w:space="0" w:color="auto"/>
        <w:left w:val="none" w:sz="0" w:space="0" w:color="auto"/>
        <w:bottom w:val="none" w:sz="0" w:space="0" w:color="auto"/>
        <w:right w:val="none" w:sz="0" w:space="0" w:color="auto"/>
      </w:divBdr>
      <w:divsChild>
        <w:div w:id="434323873">
          <w:marLeft w:val="547"/>
          <w:marRight w:val="0"/>
          <w:marTop w:val="115"/>
          <w:marBottom w:val="0"/>
          <w:divBdr>
            <w:top w:val="none" w:sz="0" w:space="0" w:color="auto"/>
            <w:left w:val="none" w:sz="0" w:space="0" w:color="auto"/>
            <w:bottom w:val="none" w:sz="0" w:space="0" w:color="auto"/>
            <w:right w:val="none" w:sz="0" w:space="0" w:color="auto"/>
          </w:divBdr>
        </w:div>
        <w:div w:id="624852190">
          <w:marLeft w:val="1166"/>
          <w:marRight w:val="0"/>
          <w:marTop w:val="96"/>
          <w:marBottom w:val="0"/>
          <w:divBdr>
            <w:top w:val="none" w:sz="0" w:space="0" w:color="auto"/>
            <w:left w:val="none" w:sz="0" w:space="0" w:color="auto"/>
            <w:bottom w:val="none" w:sz="0" w:space="0" w:color="auto"/>
            <w:right w:val="none" w:sz="0" w:space="0" w:color="auto"/>
          </w:divBdr>
        </w:div>
        <w:div w:id="693968250">
          <w:marLeft w:val="1800"/>
          <w:marRight w:val="0"/>
          <w:marTop w:val="96"/>
          <w:marBottom w:val="0"/>
          <w:divBdr>
            <w:top w:val="none" w:sz="0" w:space="0" w:color="auto"/>
            <w:left w:val="none" w:sz="0" w:space="0" w:color="auto"/>
            <w:bottom w:val="none" w:sz="0" w:space="0" w:color="auto"/>
            <w:right w:val="none" w:sz="0" w:space="0" w:color="auto"/>
          </w:divBdr>
        </w:div>
        <w:div w:id="1272083807">
          <w:marLeft w:val="1800"/>
          <w:marRight w:val="0"/>
          <w:marTop w:val="96"/>
          <w:marBottom w:val="0"/>
          <w:divBdr>
            <w:top w:val="none" w:sz="0" w:space="0" w:color="auto"/>
            <w:left w:val="none" w:sz="0" w:space="0" w:color="auto"/>
            <w:bottom w:val="none" w:sz="0" w:space="0" w:color="auto"/>
            <w:right w:val="none" w:sz="0" w:space="0" w:color="auto"/>
          </w:divBdr>
        </w:div>
        <w:div w:id="1641299049">
          <w:marLeft w:val="1166"/>
          <w:marRight w:val="0"/>
          <w:marTop w:val="96"/>
          <w:marBottom w:val="0"/>
          <w:divBdr>
            <w:top w:val="none" w:sz="0" w:space="0" w:color="auto"/>
            <w:left w:val="none" w:sz="0" w:space="0" w:color="auto"/>
            <w:bottom w:val="none" w:sz="0" w:space="0" w:color="auto"/>
            <w:right w:val="none" w:sz="0" w:space="0" w:color="auto"/>
          </w:divBdr>
        </w:div>
        <w:div w:id="1748654278">
          <w:marLeft w:val="547"/>
          <w:marRight w:val="0"/>
          <w:marTop w:val="115"/>
          <w:marBottom w:val="0"/>
          <w:divBdr>
            <w:top w:val="none" w:sz="0" w:space="0" w:color="auto"/>
            <w:left w:val="none" w:sz="0" w:space="0" w:color="auto"/>
            <w:bottom w:val="none" w:sz="0" w:space="0" w:color="auto"/>
            <w:right w:val="none" w:sz="0" w:space="0" w:color="auto"/>
          </w:divBdr>
        </w:div>
      </w:divsChild>
    </w:div>
    <w:div w:id="1908803886">
      <w:bodyDiv w:val="1"/>
      <w:marLeft w:val="0"/>
      <w:marRight w:val="0"/>
      <w:marTop w:val="0"/>
      <w:marBottom w:val="0"/>
      <w:divBdr>
        <w:top w:val="none" w:sz="0" w:space="0" w:color="auto"/>
        <w:left w:val="none" w:sz="0" w:space="0" w:color="auto"/>
        <w:bottom w:val="none" w:sz="0" w:space="0" w:color="auto"/>
        <w:right w:val="none" w:sz="0" w:space="0" w:color="auto"/>
      </w:divBdr>
      <w:divsChild>
        <w:div w:id="152570418">
          <w:marLeft w:val="547"/>
          <w:marRight w:val="0"/>
          <w:marTop w:val="96"/>
          <w:marBottom w:val="0"/>
          <w:divBdr>
            <w:top w:val="none" w:sz="0" w:space="0" w:color="auto"/>
            <w:left w:val="none" w:sz="0" w:space="0" w:color="auto"/>
            <w:bottom w:val="none" w:sz="0" w:space="0" w:color="auto"/>
            <w:right w:val="none" w:sz="0" w:space="0" w:color="auto"/>
          </w:divBdr>
        </w:div>
        <w:div w:id="633759665">
          <w:marLeft w:val="547"/>
          <w:marRight w:val="0"/>
          <w:marTop w:val="96"/>
          <w:marBottom w:val="0"/>
          <w:divBdr>
            <w:top w:val="none" w:sz="0" w:space="0" w:color="auto"/>
            <w:left w:val="none" w:sz="0" w:space="0" w:color="auto"/>
            <w:bottom w:val="none" w:sz="0" w:space="0" w:color="auto"/>
            <w:right w:val="none" w:sz="0" w:space="0" w:color="auto"/>
          </w:divBdr>
        </w:div>
        <w:div w:id="1120341626">
          <w:marLeft w:val="547"/>
          <w:marRight w:val="0"/>
          <w:marTop w:val="96"/>
          <w:marBottom w:val="0"/>
          <w:divBdr>
            <w:top w:val="none" w:sz="0" w:space="0" w:color="auto"/>
            <w:left w:val="none" w:sz="0" w:space="0" w:color="auto"/>
            <w:bottom w:val="none" w:sz="0" w:space="0" w:color="auto"/>
            <w:right w:val="none" w:sz="0" w:space="0" w:color="auto"/>
          </w:divBdr>
        </w:div>
        <w:div w:id="1142380710">
          <w:marLeft w:val="547"/>
          <w:marRight w:val="0"/>
          <w:marTop w:val="96"/>
          <w:marBottom w:val="0"/>
          <w:divBdr>
            <w:top w:val="none" w:sz="0" w:space="0" w:color="auto"/>
            <w:left w:val="none" w:sz="0" w:space="0" w:color="auto"/>
            <w:bottom w:val="none" w:sz="0" w:space="0" w:color="auto"/>
            <w:right w:val="none" w:sz="0" w:space="0" w:color="auto"/>
          </w:divBdr>
        </w:div>
        <w:div w:id="1483697545">
          <w:marLeft w:val="1166"/>
          <w:marRight w:val="0"/>
          <w:marTop w:val="86"/>
          <w:marBottom w:val="0"/>
          <w:divBdr>
            <w:top w:val="none" w:sz="0" w:space="0" w:color="auto"/>
            <w:left w:val="none" w:sz="0" w:space="0" w:color="auto"/>
            <w:bottom w:val="none" w:sz="0" w:space="0" w:color="auto"/>
            <w:right w:val="none" w:sz="0" w:space="0" w:color="auto"/>
          </w:divBdr>
        </w:div>
        <w:div w:id="1719235332">
          <w:marLeft w:val="1166"/>
          <w:marRight w:val="0"/>
          <w:marTop w:val="86"/>
          <w:marBottom w:val="0"/>
          <w:divBdr>
            <w:top w:val="none" w:sz="0" w:space="0" w:color="auto"/>
            <w:left w:val="none" w:sz="0" w:space="0" w:color="auto"/>
            <w:bottom w:val="none" w:sz="0" w:space="0" w:color="auto"/>
            <w:right w:val="none" w:sz="0" w:space="0" w:color="auto"/>
          </w:divBdr>
        </w:div>
      </w:divsChild>
    </w:div>
    <w:div w:id="1911504581">
      <w:bodyDiv w:val="1"/>
      <w:marLeft w:val="0"/>
      <w:marRight w:val="0"/>
      <w:marTop w:val="0"/>
      <w:marBottom w:val="0"/>
      <w:divBdr>
        <w:top w:val="none" w:sz="0" w:space="0" w:color="auto"/>
        <w:left w:val="none" w:sz="0" w:space="0" w:color="auto"/>
        <w:bottom w:val="none" w:sz="0" w:space="0" w:color="auto"/>
        <w:right w:val="none" w:sz="0" w:space="0" w:color="auto"/>
      </w:divBdr>
    </w:div>
    <w:div w:id="1911698366">
      <w:bodyDiv w:val="1"/>
      <w:marLeft w:val="0"/>
      <w:marRight w:val="0"/>
      <w:marTop w:val="0"/>
      <w:marBottom w:val="0"/>
      <w:divBdr>
        <w:top w:val="none" w:sz="0" w:space="0" w:color="auto"/>
        <w:left w:val="none" w:sz="0" w:space="0" w:color="auto"/>
        <w:bottom w:val="none" w:sz="0" w:space="0" w:color="auto"/>
        <w:right w:val="none" w:sz="0" w:space="0" w:color="auto"/>
      </w:divBdr>
    </w:div>
    <w:div w:id="1911766967">
      <w:bodyDiv w:val="1"/>
      <w:marLeft w:val="0"/>
      <w:marRight w:val="0"/>
      <w:marTop w:val="0"/>
      <w:marBottom w:val="0"/>
      <w:divBdr>
        <w:top w:val="none" w:sz="0" w:space="0" w:color="auto"/>
        <w:left w:val="none" w:sz="0" w:space="0" w:color="auto"/>
        <w:bottom w:val="none" w:sz="0" w:space="0" w:color="auto"/>
        <w:right w:val="none" w:sz="0" w:space="0" w:color="auto"/>
      </w:divBdr>
    </w:div>
    <w:div w:id="1912037197">
      <w:bodyDiv w:val="1"/>
      <w:marLeft w:val="0"/>
      <w:marRight w:val="0"/>
      <w:marTop w:val="0"/>
      <w:marBottom w:val="0"/>
      <w:divBdr>
        <w:top w:val="none" w:sz="0" w:space="0" w:color="auto"/>
        <w:left w:val="none" w:sz="0" w:space="0" w:color="auto"/>
        <w:bottom w:val="none" w:sz="0" w:space="0" w:color="auto"/>
        <w:right w:val="none" w:sz="0" w:space="0" w:color="auto"/>
      </w:divBdr>
    </w:div>
    <w:div w:id="1913274058">
      <w:bodyDiv w:val="1"/>
      <w:marLeft w:val="0"/>
      <w:marRight w:val="0"/>
      <w:marTop w:val="0"/>
      <w:marBottom w:val="0"/>
      <w:divBdr>
        <w:top w:val="none" w:sz="0" w:space="0" w:color="auto"/>
        <w:left w:val="none" w:sz="0" w:space="0" w:color="auto"/>
        <w:bottom w:val="none" w:sz="0" w:space="0" w:color="auto"/>
        <w:right w:val="none" w:sz="0" w:space="0" w:color="auto"/>
      </w:divBdr>
      <w:divsChild>
        <w:div w:id="72317553">
          <w:marLeft w:val="1166"/>
          <w:marRight w:val="0"/>
          <w:marTop w:val="86"/>
          <w:marBottom w:val="0"/>
          <w:divBdr>
            <w:top w:val="none" w:sz="0" w:space="0" w:color="auto"/>
            <w:left w:val="none" w:sz="0" w:space="0" w:color="auto"/>
            <w:bottom w:val="none" w:sz="0" w:space="0" w:color="auto"/>
            <w:right w:val="none" w:sz="0" w:space="0" w:color="auto"/>
          </w:divBdr>
        </w:div>
        <w:div w:id="461770883">
          <w:marLeft w:val="547"/>
          <w:marRight w:val="0"/>
          <w:marTop w:val="96"/>
          <w:marBottom w:val="0"/>
          <w:divBdr>
            <w:top w:val="none" w:sz="0" w:space="0" w:color="auto"/>
            <w:left w:val="none" w:sz="0" w:space="0" w:color="auto"/>
            <w:bottom w:val="none" w:sz="0" w:space="0" w:color="auto"/>
            <w:right w:val="none" w:sz="0" w:space="0" w:color="auto"/>
          </w:divBdr>
        </w:div>
        <w:div w:id="469637240">
          <w:marLeft w:val="1166"/>
          <w:marRight w:val="0"/>
          <w:marTop w:val="86"/>
          <w:marBottom w:val="0"/>
          <w:divBdr>
            <w:top w:val="none" w:sz="0" w:space="0" w:color="auto"/>
            <w:left w:val="none" w:sz="0" w:space="0" w:color="auto"/>
            <w:bottom w:val="none" w:sz="0" w:space="0" w:color="auto"/>
            <w:right w:val="none" w:sz="0" w:space="0" w:color="auto"/>
          </w:divBdr>
        </w:div>
        <w:div w:id="711542842">
          <w:marLeft w:val="547"/>
          <w:marRight w:val="0"/>
          <w:marTop w:val="96"/>
          <w:marBottom w:val="0"/>
          <w:divBdr>
            <w:top w:val="none" w:sz="0" w:space="0" w:color="auto"/>
            <w:left w:val="none" w:sz="0" w:space="0" w:color="auto"/>
            <w:bottom w:val="none" w:sz="0" w:space="0" w:color="auto"/>
            <w:right w:val="none" w:sz="0" w:space="0" w:color="auto"/>
          </w:divBdr>
        </w:div>
        <w:div w:id="784152447">
          <w:marLeft w:val="1800"/>
          <w:marRight w:val="0"/>
          <w:marTop w:val="67"/>
          <w:marBottom w:val="0"/>
          <w:divBdr>
            <w:top w:val="none" w:sz="0" w:space="0" w:color="auto"/>
            <w:left w:val="none" w:sz="0" w:space="0" w:color="auto"/>
            <w:bottom w:val="none" w:sz="0" w:space="0" w:color="auto"/>
            <w:right w:val="none" w:sz="0" w:space="0" w:color="auto"/>
          </w:divBdr>
        </w:div>
        <w:div w:id="953054619">
          <w:marLeft w:val="1166"/>
          <w:marRight w:val="0"/>
          <w:marTop w:val="86"/>
          <w:marBottom w:val="0"/>
          <w:divBdr>
            <w:top w:val="none" w:sz="0" w:space="0" w:color="auto"/>
            <w:left w:val="none" w:sz="0" w:space="0" w:color="auto"/>
            <w:bottom w:val="none" w:sz="0" w:space="0" w:color="auto"/>
            <w:right w:val="none" w:sz="0" w:space="0" w:color="auto"/>
          </w:divBdr>
        </w:div>
        <w:div w:id="1014914523">
          <w:marLeft w:val="1800"/>
          <w:marRight w:val="0"/>
          <w:marTop w:val="67"/>
          <w:marBottom w:val="0"/>
          <w:divBdr>
            <w:top w:val="none" w:sz="0" w:space="0" w:color="auto"/>
            <w:left w:val="none" w:sz="0" w:space="0" w:color="auto"/>
            <w:bottom w:val="none" w:sz="0" w:space="0" w:color="auto"/>
            <w:right w:val="none" w:sz="0" w:space="0" w:color="auto"/>
          </w:divBdr>
        </w:div>
        <w:div w:id="1112702254">
          <w:marLeft w:val="547"/>
          <w:marRight w:val="0"/>
          <w:marTop w:val="86"/>
          <w:marBottom w:val="0"/>
          <w:divBdr>
            <w:top w:val="none" w:sz="0" w:space="0" w:color="auto"/>
            <w:left w:val="none" w:sz="0" w:space="0" w:color="auto"/>
            <w:bottom w:val="none" w:sz="0" w:space="0" w:color="auto"/>
            <w:right w:val="none" w:sz="0" w:space="0" w:color="auto"/>
          </w:divBdr>
        </w:div>
        <w:div w:id="1247038093">
          <w:marLeft w:val="1166"/>
          <w:marRight w:val="0"/>
          <w:marTop w:val="86"/>
          <w:marBottom w:val="0"/>
          <w:divBdr>
            <w:top w:val="none" w:sz="0" w:space="0" w:color="auto"/>
            <w:left w:val="none" w:sz="0" w:space="0" w:color="auto"/>
            <w:bottom w:val="none" w:sz="0" w:space="0" w:color="auto"/>
            <w:right w:val="none" w:sz="0" w:space="0" w:color="auto"/>
          </w:divBdr>
        </w:div>
        <w:div w:id="1276015745">
          <w:marLeft w:val="1166"/>
          <w:marRight w:val="0"/>
          <w:marTop w:val="86"/>
          <w:marBottom w:val="0"/>
          <w:divBdr>
            <w:top w:val="none" w:sz="0" w:space="0" w:color="auto"/>
            <w:left w:val="none" w:sz="0" w:space="0" w:color="auto"/>
            <w:bottom w:val="none" w:sz="0" w:space="0" w:color="auto"/>
            <w:right w:val="none" w:sz="0" w:space="0" w:color="auto"/>
          </w:divBdr>
        </w:div>
        <w:div w:id="1367869368">
          <w:marLeft w:val="547"/>
          <w:marRight w:val="0"/>
          <w:marTop w:val="86"/>
          <w:marBottom w:val="0"/>
          <w:divBdr>
            <w:top w:val="none" w:sz="0" w:space="0" w:color="auto"/>
            <w:left w:val="none" w:sz="0" w:space="0" w:color="auto"/>
            <w:bottom w:val="none" w:sz="0" w:space="0" w:color="auto"/>
            <w:right w:val="none" w:sz="0" w:space="0" w:color="auto"/>
          </w:divBdr>
        </w:div>
        <w:div w:id="1518736463">
          <w:marLeft w:val="547"/>
          <w:marRight w:val="0"/>
          <w:marTop w:val="96"/>
          <w:marBottom w:val="0"/>
          <w:divBdr>
            <w:top w:val="none" w:sz="0" w:space="0" w:color="auto"/>
            <w:left w:val="none" w:sz="0" w:space="0" w:color="auto"/>
            <w:bottom w:val="none" w:sz="0" w:space="0" w:color="auto"/>
            <w:right w:val="none" w:sz="0" w:space="0" w:color="auto"/>
          </w:divBdr>
        </w:div>
        <w:div w:id="1699355539">
          <w:marLeft w:val="1166"/>
          <w:marRight w:val="0"/>
          <w:marTop w:val="86"/>
          <w:marBottom w:val="0"/>
          <w:divBdr>
            <w:top w:val="none" w:sz="0" w:space="0" w:color="auto"/>
            <w:left w:val="none" w:sz="0" w:space="0" w:color="auto"/>
            <w:bottom w:val="none" w:sz="0" w:space="0" w:color="auto"/>
            <w:right w:val="none" w:sz="0" w:space="0" w:color="auto"/>
          </w:divBdr>
        </w:div>
        <w:div w:id="2080515836">
          <w:marLeft w:val="1166"/>
          <w:marRight w:val="0"/>
          <w:marTop w:val="86"/>
          <w:marBottom w:val="0"/>
          <w:divBdr>
            <w:top w:val="none" w:sz="0" w:space="0" w:color="auto"/>
            <w:left w:val="none" w:sz="0" w:space="0" w:color="auto"/>
            <w:bottom w:val="none" w:sz="0" w:space="0" w:color="auto"/>
            <w:right w:val="none" w:sz="0" w:space="0" w:color="auto"/>
          </w:divBdr>
        </w:div>
      </w:divsChild>
    </w:div>
    <w:div w:id="1913464346">
      <w:bodyDiv w:val="1"/>
      <w:marLeft w:val="0"/>
      <w:marRight w:val="0"/>
      <w:marTop w:val="0"/>
      <w:marBottom w:val="0"/>
      <w:divBdr>
        <w:top w:val="none" w:sz="0" w:space="0" w:color="auto"/>
        <w:left w:val="none" w:sz="0" w:space="0" w:color="auto"/>
        <w:bottom w:val="none" w:sz="0" w:space="0" w:color="auto"/>
        <w:right w:val="none" w:sz="0" w:space="0" w:color="auto"/>
      </w:divBdr>
    </w:div>
    <w:div w:id="1913924233">
      <w:bodyDiv w:val="1"/>
      <w:marLeft w:val="0"/>
      <w:marRight w:val="0"/>
      <w:marTop w:val="0"/>
      <w:marBottom w:val="0"/>
      <w:divBdr>
        <w:top w:val="none" w:sz="0" w:space="0" w:color="auto"/>
        <w:left w:val="none" w:sz="0" w:space="0" w:color="auto"/>
        <w:bottom w:val="none" w:sz="0" w:space="0" w:color="auto"/>
        <w:right w:val="none" w:sz="0" w:space="0" w:color="auto"/>
      </w:divBdr>
    </w:div>
    <w:div w:id="1914000322">
      <w:bodyDiv w:val="1"/>
      <w:marLeft w:val="0"/>
      <w:marRight w:val="0"/>
      <w:marTop w:val="0"/>
      <w:marBottom w:val="0"/>
      <w:divBdr>
        <w:top w:val="none" w:sz="0" w:space="0" w:color="auto"/>
        <w:left w:val="none" w:sz="0" w:space="0" w:color="auto"/>
        <w:bottom w:val="none" w:sz="0" w:space="0" w:color="auto"/>
        <w:right w:val="none" w:sz="0" w:space="0" w:color="auto"/>
      </w:divBdr>
      <w:divsChild>
        <w:div w:id="1480615015">
          <w:marLeft w:val="0"/>
          <w:marRight w:val="0"/>
          <w:marTop w:val="0"/>
          <w:marBottom w:val="0"/>
          <w:divBdr>
            <w:top w:val="none" w:sz="0" w:space="0" w:color="auto"/>
            <w:left w:val="none" w:sz="0" w:space="0" w:color="auto"/>
            <w:bottom w:val="none" w:sz="0" w:space="0" w:color="auto"/>
            <w:right w:val="none" w:sz="0" w:space="0" w:color="auto"/>
          </w:divBdr>
        </w:div>
      </w:divsChild>
    </w:div>
    <w:div w:id="1914579573">
      <w:bodyDiv w:val="1"/>
      <w:marLeft w:val="0"/>
      <w:marRight w:val="0"/>
      <w:marTop w:val="0"/>
      <w:marBottom w:val="0"/>
      <w:divBdr>
        <w:top w:val="none" w:sz="0" w:space="0" w:color="auto"/>
        <w:left w:val="none" w:sz="0" w:space="0" w:color="auto"/>
        <w:bottom w:val="none" w:sz="0" w:space="0" w:color="auto"/>
        <w:right w:val="none" w:sz="0" w:space="0" w:color="auto"/>
      </w:divBdr>
    </w:div>
    <w:div w:id="1915774027">
      <w:bodyDiv w:val="1"/>
      <w:marLeft w:val="0"/>
      <w:marRight w:val="0"/>
      <w:marTop w:val="0"/>
      <w:marBottom w:val="0"/>
      <w:divBdr>
        <w:top w:val="none" w:sz="0" w:space="0" w:color="auto"/>
        <w:left w:val="none" w:sz="0" w:space="0" w:color="auto"/>
        <w:bottom w:val="none" w:sz="0" w:space="0" w:color="auto"/>
        <w:right w:val="none" w:sz="0" w:space="0" w:color="auto"/>
      </w:divBdr>
    </w:div>
    <w:div w:id="1916282814">
      <w:bodyDiv w:val="1"/>
      <w:marLeft w:val="0"/>
      <w:marRight w:val="0"/>
      <w:marTop w:val="0"/>
      <w:marBottom w:val="0"/>
      <w:divBdr>
        <w:top w:val="none" w:sz="0" w:space="0" w:color="auto"/>
        <w:left w:val="none" w:sz="0" w:space="0" w:color="auto"/>
        <w:bottom w:val="none" w:sz="0" w:space="0" w:color="auto"/>
        <w:right w:val="none" w:sz="0" w:space="0" w:color="auto"/>
      </w:divBdr>
    </w:div>
    <w:div w:id="1917206223">
      <w:bodyDiv w:val="1"/>
      <w:marLeft w:val="0"/>
      <w:marRight w:val="0"/>
      <w:marTop w:val="0"/>
      <w:marBottom w:val="0"/>
      <w:divBdr>
        <w:top w:val="none" w:sz="0" w:space="0" w:color="auto"/>
        <w:left w:val="none" w:sz="0" w:space="0" w:color="auto"/>
        <w:bottom w:val="none" w:sz="0" w:space="0" w:color="auto"/>
        <w:right w:val="none" w:sz="0" w:space="0" w:color="auto"/>
      </w:divBdr>
    </w:div>
    <w:div w:id="1917207038">
      <w:bodyDiv w:val="1"/>
      <w:marLeft w:val="0"/>
      <w:marRight w:val="0"/>
      <w:marTop w:val="0"/>
      <w:marBottom w:val="0"/>
      <w:divBdr>
        <w:top w:val="none" w:sz="0" w:space="0" w:color="auto"/>
        <w:left w:val="none" w:sz="0" w:space="0" w:color="auto"/>
        <w:bottom w:val="none" w:sz="0" w:space="0" w:color="auto"/>
        <w:right w:val="none" w:sz="0" w:space="0" w:color="auto"/>
      </w:divBdr>
    </w:div>
    <w:div w:id="1917588239">
      <w:bodyDiv w:val="1"/>
      <w:marLeft w:val="0"/>
      <w:marRight w:val="0"/>
      <w:marTop w:val="0"/>
      <w:marBottom w:val="0"/>
      <w:divBdr>
        <w:top w:val="none" w:sz="0" w:space="0" w:color="auto"/>
        <w:left w:val="none" w:sz="0" w:space="0" w:color="auto"/>
        <w:bottom w:val="none" w:sz="0" w:space="0" w:color="auto"/>
        <w:right w:val="none" w:sz="0" w:space="0" w:color="auto"/>
      </w:divBdr>
      <w:divsChild>
        <w:div w:id="393360796">
          <w:marLeft w:val="547"/>
          <w:marRight w:val="0"/>
          <w:marTop w:val="134"/>
          <w:marBottom w:val="0"/>
          <w:divBdr>
            <w:top w:val="none" w:sz="0" w:space="0" w:color="auto"/>
            <w:left w:val="none" w:sz="0" w:space="0" w:color="auto"/>
            <w:bottom w:val="none" w:sz="0" w:space="0" w:color="auto"/>
            <w:right w:val="none" w:sz="0" w:space="0" w:color="auto"/>
          </w:divBdr>
        </w:div>
        <w:div w:id="1510673952">
          <w:marLeft w:val="547"/>
          <w:marRight w:val="0"/>
          <w:marTop w:val="134"/>
          <w:marBottom w:val="0"/>
          <w:divBdr>
            <w:top w:val="none" w:sz="0" w:space="0" w:color="auto"/>
            <w:left w:val="none" w:sz="0" w:space="0" w:color="auto"/>
            <w:bottom w:val="none" w:sz="0" w:space="0" w:color="auto"/>
            <w:right w:val="none" w:sz="0" w:space="0" w:color="auto"/>
          </w:divBdr>
        </w:div>
      </w:divsChild>
    </w:div>
    <w:div w:id="1917787696">
      <w:bodyDiv w:val="1"/>
      <w:marLeft w:val="0"/>
      <w:marRight w:val="0"/>
      <w:marTop w:val="0"/>
      <w:marBottom w:val="0"/>
      <w:divBdr>
        <w:top w:val="none" w:sz="0" w:space="0" w:color="auto"/>
        <w:left w:val="none" w:sz="0" w:space="0" w:color="auto"/>
        <w:bottom w:val="none" w:sz="0" w:space="0" w:color="auto"/>
        <w:right w:val="none" w:sz="0" w:space="0" w:color="auto"/>
      </w:divBdr>
    </w:div>
    <w:div w:id="1918131377">
      <w:bodyDiv w:val="1"/>
      <w:marLeft w:val="0"/>
      <w:marRight w:val="0"/>
      <w:marTop w:val="0"/>
      <w:marBottom w:val="0"/>
      <w:divBdr>
        <w:top w:val="none" w:sz="0" w:space="0" w:color="auto"/>
        <w:left w:val="none" w:sz="0" w:space="0" w:color="auto"/>
        <w:bottom w:val="none" w:sz="0" w:space="0" w:color="auto"/>
        <w:right w:val="none" w:sz="0" w:space="0" w:color="auto"/>
      </w:divBdr>
    </w:div>
    <w:div w:id="1918245313">
      <w:bodyDiv w:val="1"/>
      <w:marLeft w:val="0"/>
      <w:marRight w:val="0"/>
      <w:marTop w:val="0"/>
      <w:marBottom w:val="0"/>
      <w:divBdr>
        <w:top w:val="none" w:sz="0" w:space="0" w:color="auto"/>
        <w:left w:val="none" w:sz="0" w:space="0" w:color="auto"/>
        <w:bottom w:val="none" w:sz="0" w:space="0" w:color="auto"/>
        <w:right w:val="none" w:sz="0" w:space="0" w:color="auto"/>
      </w:divBdr>
    </w:div>
    <w:div w:id="1919166910">
      <w:bodyDiv w:val="1"/>
      <w:marLeft w:val="0"/>
      <w:marRight w:val="0"/>
      <w:marTop w:val="0"/>
      <w:marBottom w:val="0"/>
      <w:divBdr>
        <w:top w:val="none" w:sz="0" w:space="0" w:color="auto"/>
        <w:left w:val="none" w:sz="0" w:space="0" w:color="auto"/>
        <w:bottom w:val="none" w:sz="0" w:space="0" w:color="auto"/>
        <w:right w:val="none" w:sz="0" w:space="0" w:color="auto"/>
      </w:divBdr>
    </w:div>
    <w:div w:id="1919440400">
      <w:bodyDiv w:val="1"/>
      <w:marLeft w:val="0"/>
      <w:marRight w:val="0"/>
      <w:marTop w:val="0"/>
      <w:marBottom w:val="0"/>
      <w:divBdr>
        <w:top w:val="none" w:sz="0" w:space="0" w:color="auto"/>
        <w:left w:val="none" w:sz="0" w:space="0" w:color="auto"/>
        <w:bottom w:val="none" w:sz="0" w:space="0" w:color="auto"/>
        <w:right w:val="none" w:sz="0" w:space="0" w:color="auto"/>
      </w:divBdr>
    </w:div>
    <w:div w:id="1919974415">
      <w:bodyDiv w:val="1"/>
      <w:marLeft w:val="0"/>
      <w:marRight w:val="0"/>
      <w:marTop w:val="0"/>
      <w:marBottom w:val="0"/>
      <w:divBdr>
        <w:top w:val="none" w:sz="0" w:space="0" w:color="auto"/>
        <w:left w:val="none" w:sz="0" w:space="0" w:color="auto"/>
        <w:bottom w:val="none" w:sz="0" w:space="0" w:color="auto"/>
        <w:right w:val="none" w:sz="0" w:space="0" w:color="auto"/>
      </w:divBdr>
    </w:div>
    <w:div w:id="1922131937">
      <w:bodyDiv w:val="1"/>
      <w:marLeft w:val="0"/>
      <w:marRight w:val="0"/>
      <w:marTop w:val="0"/>
      <w:marBottom w:val="0"/>
      <w:divBdr>
        <w:top w:val="none" w:sz="0" w:space="0" w:color="auto"/>
        <w:left w:val="none" w:sz="0" w:space="0" w:color="auto"/>
        <w:bottom w:val="none" w:sz="0" w:space="0" w:color="auto"/>
        <w:right w:val="none" w:sz="0" w:space="0" w:color="auto"/>
      </w:divBdr>
    </w:div>
    <w:div w:id="1922326951">
      <w:bodyDiv w:val="1"/>
      <w:marLeft w:val="0"/>
      <w:marRight w:val="0"/>
      <w:marTop w:val="0"/>
      <w:marBottom w:val="0"/>
      <w:divBdr>
        <w:top w:val="none" w:sz="0" w:space="0" w:color="auto"/>
        <w:left w:val="none" w:sz="0" w:space="0" w:color="auto"/>
        <w:bottom w:val="none" w:sz="0" w:space="0" w:color="auto"/>
        <w:right w:val="none" w:sz="0" w:space="0" w:color="auto"/>
      </w:divBdr>
      <w:divsChild>
        <w:div w:id="83307451">
          <w:marLeft w:val="547"/>
          <w:marRight w:val="0"/>
          <w:marTop w:val="154"/>
          <w:marBottom w:val="0"/>
          <w:divBdr>
            <w:top w:val="none" w:sz="0" w:space="0" w:color="auto"/>
            <w:left w:val="none" w:sz="0" w:space="0" w:color="auto"/>
            <w:bottom w:val="none" w:sz="0" w:space="0" w:color="auto"/>
            <w:right w:val="none" w:sz="0" w:space="0" w:color="auto"/>
          </w:divBdr>
        </w:div>
        <w:div w:id="1815176132">
          <w:marLeft w:val="547"/>
          <w:marRight w:val="0"/>
          <w:marTop w:val="154"/>
          <w:marBottom w:val="0"/>
          <w:divBdr>
            <w:top w:val="none" w:sz="0" w:space="0" w:color="auto"/>
            <w:left w:val="none" w:sz="0" w:space="0" w:color="auto"/>
            <w:bottom w:val="none" w:sz="0" w:space="0" w:color="auto"/>
            <w:right w:val="none" w:sz="0" w:space="0" w:color="auto"/>
          </w:divBdr>
        </w:div>
      </w:divsChild>
    </w:div>
    <w:div w:id="1922567759">
      <w:bodyDiv w:val="1"/>
      <w:marLeft w:val="0"/>
      <w:marRight w:val="0"/>
      <w:marTop w:val="0"/>
      <w:marBottom w:val="0"/>
      <w:divBdr>
        <w:top w:val="none" w:sz="0" w:space="0" w:color="auto"/>
        <w:left w:val="none" w:sz="0" w:space="0" w:color="auto"/>
        <w:bottom w:val="none" w:sz="0" w:space="0" w:color="auto"/>
        <w:right w:val="none" w:sz="0" w:space="0" w:color="auto"/>
      </w:divBdr>
      <w:divsChild>
        <w:div w:id="941491593">
          <w:marLeft w:val="547"/>
          <w:marRight w:val="0"/>
          <w:marTop w:val="115"/>
          <w:marBottom w:val="120"/>
          <w:divBdr>
            <w:top w:val="none" w:sz="0" w:space="0" w:color="auto"/>
            <w:left w:val="none" w:sz="0" w:space="0" w:color="auto"/>
            <w:bottom w:val="none" w:sz="0" w:space="0" w:color="auto"/>
            <w:right w:val="none" w:sz="0" w:space="0" w:color="auto"/>
          </w:divBdr>
        </w:div>
        <w:div w:id="1525706152">
          <w:marLeft w:val="1166"/>
          <w:marRight w:val="0"/>
          <w:marTop w:val="96"/>
          <w:marBottom w:val="120"/>
          <w:divBdr>
            <w:top w:val="none" w:sz="0" w:space="0" w:color="auto"/>
            <w:left w:val="none" w:sz="0" w:space="0" w:color="auto"/>
            <w:bottom w:val="none" w:sz="0" w:space="0" w:color="auto"/>
            <w:right w:val="none" w:sz="0" w:space="0" w:color="auto"/>
          </w:divBdr>
        </w:div>
      </w:divsChild>
    </w:div>
    <w:div w:id="1922714334">
      <w:bodyDiv w:val="1"/>
      <w:marLeft w:val="0"/>
      <w:marRight w:val="0"/>
      <w:marTop w:val="0"/>
      <w:marBottom w:val="0"/>
      <w:divBdr>
        <w:top w:val="none" w:sz="0" w:space="0" w:color="auto"/>
        <w:left w:val="none" w:sz="0" w:space="0" w:color="auto"/>
        <w:bottom w:val="none" w:sz="0" w:space="0" w:color="auto"/>
        <w:right w:val="none" w:sz="0" w:space="0" w:color="auto"/>
      </w:divBdr>
    </w:div>
    <w:div w:id="1922829851">
      <w:bodyDiv w:val="1"/>
      <w:marLeft w:val="0"/>
      <w:marRight w:val="0"/>
      <w:marTop w:val="0"/>
      <w:marBottom w:val="0"/>
      <w:divBdr>
        <w:top w:val="none" w:sz="0" w:space="0" w:color="auto"/>
        <w:left w:val="none" w:sz="0" w:space="0" w:color="auto"/>
        <w:bottom w:val="none" w:sz="0" w:space="0" w:color="auto"/>
        <w:right w:val="none" w:sz="0" w:space="0" w:color="auto"/>
      </w:divBdr>
    </w:div>
    <w:div w:id="1923950081">
      <w:bodyDiv w:val="1"/>
      <w:marLeft w:val="0"/>
      <w:marRight w:val="0"/>
      <w:marTop w:val="0"/>
      <w:marBottom w:val="0"/>
      <w:divBdr>
        <w:top w:val="none" w:sz="0" w:space="0" w:color="auto"/>
        <w:left w:val="none" w:sz="0" w:space="0" w:color="auto"/>
        <w:bottom w:val="none" w:sz="0" w:space="0" w:color="auto"/>
        <w:right w:val="none" w:sz="0" w:space="0" w:color="auto"/>
      </w:divBdr>
    </w:div>
    <w:div w:id="1925020471">
      <w:bodyDiv w:val="1"/>
      <w:marLeft w:val="0"/>
      <w:marRight w:val="0"/>
      <w:marTop w:val="0"/>
      <w:marBottom w:val="0"/>
      <w:divBdr>
        <w:top w:val="none" w:sz="0" w:space="0" w:color="auto"/>
        <w:left w:val="none" w:sz="0" w:space="0" w:color="auto"/>
        <w:bottom w:val="none" w:sz="0" w:space="0" w:color="auto"/>
        <w:right w:val="none" w:sz="0" w:space="0" w:color="auto"/>
      </w:divBdr>
    </w:div>
    <w:div w:id="1925411885">
      <w:bodyDiv w:val="1"/>
      <w:marLeft w:val="0"/>
      <w:marRight w:val="0"/>
      <w:marTop w:val="0"/>
      <w:marBottom w:val="0"/>
      <w:divBdr>
        <w:top w:val="none" w:sz="0" w:space="0" w:color="auto"/>
        <w:left w:val="none" w:sz="0" w:space="0" w:color="auto"/>
        <w:bottom w:val="none" w:sz="0" w:space="0" w:color="auto"/>
        <w:right w:val="none" w:sz="0" w:space="0" w:color="auto"/>
      </w:divBdr>
    </w:div>
    <w:div w:id="1925527307">
      <w:bodyDiv w:val="1"/>
      <w:marLeft w:val="0"/>
      <w:marRight w:val="0"/>
      <w:marTop w:val="0"/>
      <w:marBottom w:val="0"/>
      <w:divBdr>
        <w:top w:val="none" w:sz="0" w:space="0" w:color="auto"/>
        <w:left w:val="none" w:sz="0" w:space="0" w:color="auto"/>
        <w:bottom w:val="none" w:sz="0" w:space="0" w:color="auto"/>
        <w:right w:val="none" w:sz="0" w:space="0" w:color="auto"/>
      </w:divBdr>
    </w:div>
    <w:div w:id="1926650651">
      <w:bodyDiv w:val="1"/>
      <w:marLeft w:val="0"/>
      <w:marRight w:val="0"/>
      <w:marTop w:val="0"/>
      <w:marBottom w:val="0"/>
      <w:divBdr>
        <w:top w:val="none" w:sz="0" w:space="0" w:color="auto"/>
        <w:left w:val="none" w:sz="0" w:space="0" w:color="auto"/>
        <w:bottom w:val="none" w:sz="0" w:space="0" w:color="auto"/>
        <w:right w:val="none" w:sz="0" w:space="0" w:color="auto"/>
      </w:divBdr>
    </w:div>
    <w:div w:id="1926765790">
      <w:bodyDiv w:val="1"/>
      <w:marLeft w:val="0"/>
      <w:marRight w:val="0"/>
      <w:marTop w:val="0"/>
      <w:marBottom w:val="0"/>
      <w:divBdr>
        <w:top w:val="none" w:sz="0" w:space="0" w:color="auto"/>
        <w:left w:val="none" w:sz="0" w:space="0" w:color="auto"/>
        <w:bottom w:val="none" w:sz="0" w:space="0" w:color="auto"/>
        <w:right w:val="none" w:sz="0" w:space="0" w:color="auto"/>
      </w:divBdr>
    </w:div>
    <w:div w:id="1926986564">
      <w:bodyDiv w:val="1"/>
      <w:marLeft w:val="0"/>
      <w:marRight w:val="0"/>
      <w:marTop w:val="0"/>
      <w:marBottom w:val="0"/>
      <w:divBdr>
        <w:top w:val="none" w:sz="0" w:space="0" w:color="auto"/>
        <w:left w:val="none" w:sz="0" w:space="0" w:color="auto"/>
        <w:bottom w:val="none" w:sz="0" w:space="0" w:color="auto"/>
        <w:right w:val="none" w:sz="0" w:space="0" w:color="auto"/>
      </w:divBdr>
    </w:div>
    <w:div w:id="1927810265">
      <w:bodyDiv w:val="1"/>
      <w:marLeft w:val="0"/>
      <w:marRight w:val="0"/>
      <w:marTop w:val="0"/>
      <w:marBottom w:val="0"/>
      <w:divBdr>
        <w:top w:val="none" w:sz="0" w:space="0" w:color="auto"/>
        <w:left w:val="none" w:sz="0" w:space="0" w:color="auto"/>
        <w:bottom w:val="none" w:sz="0" w:space="0" w:color="auto"/>
        <w:right w:val="none" w:sz="0" w:space="0" w:color="auto"/>
      </w:divBdr>
    </w:div>
    <w:div w:id="1927884792">
      <w:bodyDiv w:val="1"/>
      <w:marLeft w:val="0"/>
      <w:marRight w:val="0"/>
      <w:marTop w:val="0"/>
      <w:marBottom w:val="0"/>
      <w:divBdr>
        <w:top w:val="none" w:sz="0" w:space="0" w:color="auto"/>
        <w:left w:val="none" w:sz="0" w:space="0" w:color="auto"/>
        <w:bottom w:val="none" w:sz="0" w:space="0" w:color="auto"/>
        <w:right w:val="none" w:sz="0" w:space="0" w:color="auto"/>
      </w:divBdr>
      <w:divsChild>
        <w:div w:id="1460612275">
          <w:marLeft w:val="547"/>
          <w:marRight w:val="0"/>
          <w:marTop w:val="154"/>
          <w:marBottom w:val="0"/>
          <w:divBdr>
            <w:top w:val="none" w:sz="0" w:space="0" w:color="auto"/>
            <w:left w:val="none" w:sz="0" w:space="0" w:color="auto"/>
            <w:bottom w:val="none" w:sz="0" w:space="0" w:color="auto"/>
            <w:right w:val="none" w:sz="0" w:space="0" w:color="auto"/>
          </w:divBdr>
        </w:div>
        <w:div w:id="1578050782">
          <w:marLeft w:val="547"/>
          <w:marRight w:val="0"/>
          <w:marTop w:val="154"/>
          <w:marBottom w:val="0"/>
          <w:divBdr>
            <w:top w:val="none" w:sz="0" w:space="0" w:color="auto"/>
            <w:left w:val="none" w:sz="0" w:space="0" w:color="auto"/>
            <w:bottom w:val="none" w:sz="0" w:space="0" w:color="auto"/>
            <w:right w:val="none" w:sz="0" w:space="0" w:color="auto"/>
          </w:divBdr>
        </w:div>
      </w:divsChild>
    </w:div>
    <w:div w:id="1928223095">
      <w:bodyDiv w:val="1"/>
      <w:marLeft w:val="0"/>
      <w:marRight w:val="0"/>
      <w:marTop w:val="0"/>
      <w:marBottom w:val="0"/>
      <w:divBdr>
        <w:top w:val="none" w:sz="0" w:space="0" w:color="auto"/>
        <w:left w:val="none" w:sz="0" w:space="0" w:color="auto"/>
        <w:bottom w:val="none" w:sz="0" w:space="0" w:color="auto"/>
        <w:right w:val="none" w:sz="0" w:space="0" w:color="auto"/>
      </w:divBdr>
    </w:div>
    <w:div w:id="1928344295">
      <w:bodyDiv w:val="1"/>
      <w:marLeft w:val="0"/>
      <w:marRight w:val="0"/>
      <w:marTop w:val="0"/>
      <w:marBottom w:val="0"/>
      <w:divBdr>
        <w:top w:val="none" w:sz="0" w:space="0" w:color="auto"/>
        <w:left w:val="none" w:sz="0" w:space="0" w:color="auto"/>
        <w:bottom w:val="none" w:sz="0" w:space="0" w:color="auto"/>
        <w:right w:val="none" w:sz="0" w:space="0" w:color="auto"/>
      </w:divBdr>
      <w:divsChild>
        <w:div w:id="410389054">
          <w:marLeft w:val="1166"/>
          <w:marRight w:val="0"/>
          <w:marTop w:val="134"/>
          <w:marBottom w:val="0"/>
          <w:divBdr>
            <w:top w:val="none" w:sz="0" w:space="0" w:color="auto"/>
            <w:left w:val="none" w:sz="0" w:space="0" w:color="auto"/>
            <w:bottom w:val="none" w:sz="0" w:space="0" w:color="auto"/>
            <w:right w:val="none" w:sz="0" w:space="0" w:color="auto"/>
          </w:divBdr>
        </w:div>
        <w:div w:id="1637681181">
          <w:marLeft w:val="547"/>
          <w:marRight w:val="0"/>
          <w:marTop w:val="154"/>
          <w:marBottom w:val="0"/>
          <w:divBdr>
            <w:top w:val="none" w:sz="0" w:space="0" w:color="auto"/>
            <w:left w:val="none" w:sz="0" w:space="0" w:color="auto"/>
            <w:bottom w:val="none" w:sz="0" w:space="0" w:color="auto"/>
            <w:right w:val="none" w:sz="0" w:space="0" w:color="auto"/>
          </w:divBdr>
        </w:div>
        <w:div w:id="1681464468">
          <w:marLeft w:val="1166"/>
          <w:marRight w:val="0"/>
          <w:marTop w:val="134"/>
          <w:marBottom w:val="0"/>
          <w:divBdr>
            <w:top w:val="none" w:sz="0" w:space="0" w:color="auto"/>
            <w:left w:val="none" w:sz="0" w:space="0" w:color="auto"/>
            <w:bottom w:val="none" w:sz="0" w:space="0" w:color="auto"/>
            <w:right w:val="none" w:sz="0" w:space="0" w:color="auto"/>
          </w:divBdr>
        </w:div>
      </w:divsChild>
    </w:div>
    <w:div w:id="1929077092">
      <w:bodyDiv w:val="1"/>
      <w:marLeft w:val="0"/>
      <w:marRight w:val="0"/>
      <w:marTop w:val="0"/>
      <w:marBottom w:val="0"/>
      <w:divBdr>
        <w:top w:val="none" w:sz="0" w:space="0" w:color="auto"/>
        <w:left w:val="none" w:sz="0" w:space="0" w:color="auto"/>
        <w:bottom w:val="none" w:sz="0" w:space="0" w:color="auto"/>
        <w:right w:val="none" w:sz="0" w:space="0" w:color="auto"/>
      </w:divBdr>
    </w:div>
    <w:div w:id="1929148075">
      <w:bodyDiv w:val="1"/>
      <w:marLeft w:val="0"/>
      <w:marRight w:val="0"/>
      <w:marTop w:val="0"/>
      <w:marBottom w:val="0"/>
      <w:divBdr>
        <w:top w:val="none" w:sz="0" w:space="0" w:color="auto"/>
        <w:left w:val="none" w:sz="0" w:space="0" w:color="auto"/>
        <w:bottom w:val="none" w:sz="0" w:space="0" w:color="auto"/>
        <w:right w:val="none" w:sz="0" w:space="0" w:color="auto"/>
      </w:divBdr>
    </w:div>
    <w:div w:id="1929346152">
      <w:bodyDiv w:val="1"/>
      <w:marLeft w:val="0"/>
      <w:marRight w:val="0"/>
      <w:marTop w:val="0"/>
      <w:marBottom w:val="0"/>
      <w:divBdr>
        <w:top w:val="none" w:sz="0" w:space="0" w:color="auto"/>
        <w:left w:val="none" w:sz="0" w:space="0" w:color="auto"/>
        <w:bottom w:val="none" w:sz="0" w:space="0" w:color="auto"/>
        <w:right w:val="none" w:sz="0" w:space="0" w:color="auto"/>
      </w:divBdr>
    </w:div>
    <w:div w:id="1929657880">
      <w:bodyDiv w:val="1"/>
      <w:marLeft w:val="0"/>
      <w:marRight w:val="0"/>
      <w:marTop w:val="0"/>
      <w:marBottom w:val="0"/>
      <w:divBdr>
        <w:top w:val="none" w:sz="0" w:space="0" w:color="auto"/>
        <w:left w:val="none" w:sz="0" w:space="0" w:color="auto"/>
        <w:bottom w:val="none" w:sz="0" w:space="0" w:color="auto"/>
        <w:right w:val="none" w:sz="0" w:space="0" w:color="auto"/>
      </w:divBdr>
    </w:div>
    <w:div w:id="1930263259">
      <w:bodyDiv w:val="1"/>
      <w:marLeft w:val="0"/>
      <w:marRight w:val="0"/>
      <w:marTop w:val="0"/>
      <w:marBottom w:val="0"/>
      <w:divBdr>
        <w:top w:val="none" w:sz="0" w:space="0" w:color="auto"/>
        <w:left w:val="none" w:sz="0" w:space="0" w:color="auto"/>
        <w:bottom w:val="none" w:sz="0" w:space="0" w:color="auto"/>
        <w:right w:val="none" w:sz="0" w:space="0" w:color="auto"/>
      </w:divBdr>
      <w:divsChild>
        <w:div w:id="703360317">
          <w:marLeft w:val="547"/>
          <w:marRight w:val="0"/>
          <w:marTop w:val="240"/>
          <w:marBottom w:val="0"/>
          <w:divBdr>
            <w:top w:val="none" w:sz="0" w:space="0" w:color="auto"/>
            <w:left w:val="none" w:sz="0" w:space="0" w:color="auto"/>
            <w:bottom w:val="none" w:sz="0" w:space="0" w:color="auto"/>
            <w:right w:val="none" w:sz="0" w:space="0" w:color="auto"/>
          </w:divBdr>
        </w:div>
      </w:divsChild>
    </w:div>
    <w:div w:id="1930498949">
      <w:bodyDiv w:val="1"/>
      <w:marLeft w:val="0"/>
      <w:marRight w:val="0"/>
      <w:marTop w:val="0"/>
      <w:marBottom w:val="0"/>
      <w:divBdr>
        <w:top w:val="none" w:sz="0" w:space="0" w:color="auto"/>
        <w:left w:val="none" w:sz="0" w:space="0" w:color="auto"/>
        <w:bottom w:val="none" w:sz="0" w:space="0" w:color="auto"/>
        <w:right w:val="none" w:sz="0" w:space="0" w:color="auto"/>
      </w:divBdr>
      <w:divsChild>
        <w:div w:id="151140667">
          <w:marLeft w:val="547"/>
          <w:marRight w:val="0"/>
          <w:marTop w:val="134"/>
          <w:marBottom w:val="0"/>
          <w:divBdr>
            <w:top w:val="none" w:sz="0" w:space="0" w:color="auto"/>
            <w:left w:val="none" w:sz="0" w:space="0" w:color="auto"/>
            <w:bottom w:val="none" w:sz="0" w:space="0" w:color="auto"/>
            <w:right w:val="none" w:sz="0" w:space="0" w:color="auto"/>
          </w:divBdr>
        </w:div>
        <w:div w:id="211503819">
          <w:marLeft w:val="547"/>
          <w:marRight w:val="0"/>
          <w:marTop w:val="134"/>
          <w:marBottom w:val="0"/>
          <w:divBdr>
            <w:top w:val="none" w:sz="0" w:space="0" w:color="auto"/>
            <w:left w:val="none" w:sz="0" w:space="0" w:color="auto"/>
            <w:bottom w:val="none" w:sz="0" w:space="0" w:color="auto"/>
            <w:right w:val="none" w:sz="0" w:space="0" w:color="auto"/>
          </w:divBdr>
        </w:div>
        <w:div w:id="870922337">
          <w:marLeft w:val="1166"/>
          <w:marRight w:val="0"/>
          <w:marTop w:val="115"/>
          <w:marBottom w:val="0"/>
          <w:divBdr>
            <w:top w:val="none" w:sz="0" w:space="0" w:color="auto"/>
            <w:left w:val="none" w:sz="0" w:space="0" w:color="auto"/>
            <w:bottom w:val="none" w:sz="0" w:space="0" w:color="auto"/>
            <w:right w:val="none" w:sz="0" w:space="0" w:color="auto"/>
          </w:divBdr>
        </w:div>
        <w:div w:id="884948188">
          <w:marLeft w:val="547"/>
          <w:marRight w:val="0"/>
          <w:marTop w:val="134"/>
          <w:marBottom w:val="0"/>
          <w:divBdr>
            <w:top w:val="none" w:sz="0" w:space="0" w:color="auto"/>
            <w:left w:val="none" w:sz="0" w:space="0" w:color="auto"/>
            <w:bottom w:val="none" w:sz="0" w:space="0" w:color="auto"/>
            <w:right w:val="none" w:sz="0" w:space="0" w:color="auto"/>
          </w:divBdr>
        </w:div>
        <w:div w:id="1166630541">
          <w:marLeft w:val="1166"/>
          <w:marRight w:val="0"/>
          <w:marTop w:val="96"/>
          <w:marBottom w:val="0"/>
          <w:divBdr>
            <w:top w:val="none" w:sz="0" w:space="0" w:color="auto"/>
            <w:left w:val="none" w:sz="0" w:space="0" w:color="auto"/>
            <w:bottom w:val="none" w:sz="0" w:space="0" w:color="auto"/>
            <w:right w:val="none" w:sz="0" w:space="0" w:color="auto"/>
          </w:divBdr>
        </w:div>
        <w:div w:id="1795831044">
          <w:marLeft w:val="547"/>
          <w:marRight w:val="0"/>
          <w:marTop w:val="134"/>
          <w:marBottom w:val="0"/>
          <w:divBdr>
            <w:top w:val="none" w:sz="0" w:space="0" w:color="auto"/>
            <w:left w:val="none" w:sz="0" w:space="0" w:color="auto"/>
            <w:bottom w:val="none" w:sz="0" w:space="0" w:color="auto"/>
            <w:right w:val="none" w:sz="0" w:space="0" w:color="auto"/>
          </w:divBdr>
        </w:div>
      </w:divsChild>
    </w:div>
    <w:div w:id="1930655078">
      <w:bodyDiv w:val="1"/>
      <w:marLeft w:val="0"/>
      <w:marRight w:val="0"/>
      <w:marTop w:val="0"/>
      <w:marBottom w:val="0"/>
      <w:divBdr>
        <w:top w:val="none" w:sz="0" w:space="0" w:color="auto"/>
        <w:left w:val="none" w:sz="0" w:space="0" w:color="auto"/>
        <w:bottom w:val="none" w:sz="0" w:space="0" w:color="auto"/>
        <w:right w:val="none" w:sz="0" w:space="0" w:color="auto"/>
      </w:divBdr>
    </w:div>
    <w:div w:id="1930962963">
      <w:bodyDiv w:val="1"/>
      <w:marLeft w:val="0"/>
      <w:marRight w:val="0"/>
      <w:marTop w:val="0"/>
      <w:marBottom w:val="0"/>
      <w:divBdr>
        <w:top w:val="none" w:sz="0" w:space="0" w:color="auto"/>
        <w:left w:val="none" w:sz="0" w:space="0" w:color="auto"/>
        <w:bottom w:val="none" w:sz="0" w:space="0" w:color="auto"/>
        <w:right w:val="none" w:sz="0" w:space="0" w:color="auto"/>
      </w:divBdr>
    </w:div>
    <w:div w:id="1932081809">
      <w:bodyDiv w:val="1"/>
      <w:marLeft w:val="0"/>
      <w:marRight w:val="0"/>
      <w:marTop w:val="0"/>
      <w:marBottom w:val="0"/>
      <w:divBdr>
        <w:top w:val="none" w:sz="0" w:space="0" w:color="auto"/>
        <w:left w:val="none" w:sz="0" w:space="0" w:color="auto"/>
        <w:bottom w:val="none" w:sz="0" w:space="0" w:color="auto"/>
        <w:right w:val="none" w:sz="0" w:space="0" w:color="auto"/>
      </w:divBdr>
    </w:div>
    <w:div w:id="1933080828">
      <w:bodyDiv w:val="1"/>
      <w:marLeft w:val="0"/>
      <w:marRight w:val="0"/>
      <w:marTop w:val="0"/>
      <w:marBottom w:val="0"/>
      <w:divBdr>
        <w:top w:val="none" w:sz="0" w:space="0" w:color="auto"/>
        <w:left w:val="none" w:sz="0" w:space="0" w:color="auto"/>
        <w:bottom w:val="none" w:sz="0" w:space="0" w:color="auto"/>
        <w:right w:val="none" w:sz="0" w:space="0" w:color="auto"/>
      </w:divBdr>
    </w:div>
    <w:div w:id="1934243043">
      <w:bodyDiv w:val="1"/>
      <w:marLeft w:val="0"/>
      <w:marRight w:val="0"/>
      <w:marTop w:val="0"/>
      <w:marBottom w:val="0"/>
      <w:divBdr>
        <w:top w:val="none" w:sz="0" w:space="0" w:color="auto"/>
        <w:left w:val="none" w:sz="0" w:space="0" w:color="auto"/>
        <w:bottom w:val="none" w:sz="0" w:space="0" w:color="auto"/>
        <w:right w:val="none" w:sz="0" w:space="0" w:color="auto"/>
      </w:divBdr>
      <w:divsChild>
        <w:div w:id="1776242042">
          <w:marLeft w:val="547"/>
          <w:marRight w:val="0"/>
          <w:marTop w:val="115"/>
          <w:marBottom w:val="0"/>
          <w:divBdr>
            <w:top w:val="none" w:sz="0" w:space="0" w:color="auto"/>
            <w:left w:val="none" w:sz="0" w:space="0" w:color="auto"/>
            <w:bottom w:val="none" w:sz="0" w:space="0" w:color="auto"/>
            <w:right w:val="none" w:sz="0" w:space="0" w:color="auto"/>
          </w:divBdr>
        </w:div>
      </w:divsChild>
    </w:div>
    <w:div w:id="1934389115">
      <w:bodyDiv w:val="1"/>
      <w:marLeft w:val="0"/>
      <w:marRight w:val="0"/>
      <w:marTop w:val="0"/>
      <w:marBottom w:val="0"/>
      <w:divBdr>
        <w:top w:val="none" w:sz="0" w:space="0" w:color="auto"/>
        <w:left w:val="none" w:sz="0" w:space="0" w:color="auto"/>
        <w:bottom w:val="none" w:sz="0" w:space="0" w:color="auto"/>
        <w:right w:val="none" w:sz="0" w:space="0" w:color="auto"/>
      </w:divBdr>
      <w:divsChild>
        <w:div w:id="79299304">
          <w:marLeft w:val="2707"/>
          <w:marRight w:val="0"/>
          <w:marTop w:val="77"/>
          <w:marBottom w:val="0"/>
          <w:divBdr>
            <w:top w:val="none" w:sz="0" w:space="0" w:color="auto"/>
            <w:left w:val="none" w:sz="0" w:space="0" w:color="auto"/>
            <w:bottom w:val="none" w:sz="0" w:space="0" w:color="auto"/>
            <w:right w:val="none" w:sz="0" w:space="0" w:color="auto"/>
          </w:divBdr>
        </w:div>
        <w:div w:id="121268694">
          <w:marLeft w:val="3427"/>
          <w:marRight w:val="0"/>
          <w:marTop w:val="58"/>
          <w:marBottom w:val="0"/>
          <w:divBdr>
            <w:top w:val="none" w:sz="0" w:space="0" w:color="auto"/>
            <w:left w:val="none" w:sz="0" w:space="0" w:color="auto"/>
            <w:bottom w:val="none" w:sz="0" w:space="0" w:color="auto"/>
            <w:right w:val="none" w:sz="0" w:space="0" w:color="auto"/>
          </w:divBdr>
        </w:div>
        <w:div w:id="265115867">
          <w:marLeft w:val="1987"/>
          <w:marRight w:val="0"/>
          <w:marTop w:val="77"/>
          <w:marBottom w:val="0"/>
          <w:divBdr>
            <w:top w:val="none" w:sz="0" w:space="0" w:color="auto"/>
            <w:left w:val="none" w:sz="0" w:space="0" w:color="auto"/>
            <w:bottom w:val="none" w:sz="0" w:space="0" w:color="auto"/>
            <w:right w:val="none" w:sz="0" w:space="0" w:color="auto"/>
          </w:divBdr>
        </w:div>
        <w:div w:id="418867602">
          <w:marLeft w:val="3427"/>
          <w:marRight w:val="0"/>
          <w:marTop w:val="58"/>
          <w:marBottom w:val="0"/>
          <w:divBdr>
            <w:top w:val="none" w:sz="0" w:space="0" w:color="auto"/>
            <w:left w:val="none" w:sz="0" w:space="0" w:color="auto"/>
            <w:bottom w:val="none" w:sz="0" w:space="0" w:color="auto"/>
            <w:right w:val="none" w:sz="0" w:space="0" w:color="auto"/>
          </w:divBdr>
        </w:div>
        <w:div w:id="619997876">
          <w:marLeft w:val="547"/>
          <w:marRight w:val="0"/>
          <w:marTop w:val="86"/>
          <w:marBottom w:val="0"/>
          <w:divBdr>
            <w:top w:val="none" w:sz="0" w:space="0" w:color="auto"/>
            <w:left w:val="none" w:sz="0" w:space="0" w:color="auto"/>
            <w:bottom w:val="none" w:sz="0" w:space="0" w:color="auto"/>
            <w:right w:val="none" w:sz="0" w:space="0" w:color="auto"/>
          </w:divBdr>
        </w:div>
        <w:div w:id="643697921">
          <w:marLeft w:val="3427"/>
          <w:marRight w:val="0"/>
          <w:marTop w:val="58"/>
          <w:marBottom w:val="0"/>
          <w:divBdr>
            <w:top w:val="none" w:sz="0" w:space="0" w:color="auto"/>
            <w:left w:val="none" w:sz="0" w:space="0" w:color="auto"/>
            <w:bottom w:val="none" w:sz="0" w:space="0" w:color="auto"/>
            <w:right w:val="none" w:sz="0" w:space="0" w:color="auto"/>
          </w:divBdr>
        </w:div>
        <w:div w:id="1204440694">
          <w:marLeft w:val="3427"/>
          <w:marRight w:val="0"/>
          <w:marTop w:val="58"/>
          <w:marBottom w:val="0"/>
          <w:divBdr>
            <w:top w:val="none" w:sz="0" w:space="0" w:color="auto"/>
            <w:left w:val="none" w:sz="0" w:space="0" w:color="auto"/>
            <w:bottom w:val="none" w:sz="0" w:space="0" w:color="auto"/>
            <w:right w:val="none" w:sz="0" w:space="0" w:color="auto"/>
          </w:divBdr>
        </w:div>
        <w:div w:id="1309169257">
          <w:marLeft w:val="1987"/>
          <w:marRight w:val="0"/>
          <w:marTop w:val="77"/>
          <w:marBottom w:val="0"/>
          <w:divBdr>
            <w:top w:val="none" w:sz="0" w:space="0" w:color="auto"/>
            <w:left w:val="none" w:sz="0" w:space="0" w:color="auto"/>
            <w:bottom w:val="none" w:sz="0" w:space="0" w:color="auto"/>
            <w:right w:val="none" w:sz="0" w:space="0" w:color="auto"/>
          </w:divBdr>
        </w:div>
        <w:div w:id="1510170728">
          <w:marLeft w:val="2707"/>
          <w:marRight w:val="0"/>
          <w:marTop w:val="77"/>
          <w:marBottom w:val="0"/>
          <w:divBdr>
            <w:top w:val="none" w:sz="0" w:space="0" w:color="auto"/>
            <w:left w:val="none" w:sz="0" w:space="0" w:color="auto"/>
            <w:bottom w:val="none" w:sz="0" w:space="0" w:color="auto"/>
            <w:right w:val="none" w:sz="0" w:space="0" w:color="auto"/>
          </w:divBdr>
        </w:div>
        <w:div w:id="1610816377">
          <w:marLeft w:val="1987"/>
          <w:marRight w:val="0"/>
          <w:marTop w:val="77"/>
          <w:marBottom w:val="0"/>
          <w:divBdr>
            <w:top w:val="none" w:sz="0" w:space="0" w:color="auto"/>
            <w:left w:val="none" w:sz="0" w:space="0" w:color="auto"/>
            <w:bottom w:val="none" w:sz="0" w:space="0" w:color="auto"/>
            <w:right w:val="none" w:sz="0" w:space="0" w:color="auto"/>
          </w:divBdr>
        </w:div>
        <w:div w:id="1611473425">
          <w:marLeft w:val="2707"/>
          <w:marRight w:val="0"/>
          <w:marTop w:val="77"/>
          <w:marBottom w:val="0"/>
          <w:divBdr>
            <w:top w:val="none" w:sz="0" w:space="0" w:color="auto"/>
            <w:left w:val="none" w:sz="0" w:space="0" w:color="auto"/>
            <w:bottom w:val="none" w:sz="0" w:space="0" w:color="auto"/>
            <w:right w:val="none" w:sz="0" w:space="0" w:color="auto"/>
          </w:divBdr>
        </w:div>
        <w:div w:id="1777359398">
          <w:marLeft w:val="2707"/>
          <w:marRight w:val="0"/>
          <w:marTop w:val="77"/>
          <w:marBottom w:val="0"/>
          <w:divBdr>
            <w:top w:val="none" w:sz="0" w:space="0" w:color="auto"/>
            <w:left w:val="none" w:sz="0" w:space="0" w:color="auto"/>
            <w:bottom w:val="none" w:sz="0" w:space="0" w:color="auto"/>
            <w:right w:val="none" w:sz="0" w:space="0" w:color="auto"/>
          </w:divBdr>
        </w:div>
        <w:div w:id="1939870893">
          <w:marLeft w:val="1166"/>
          <w:marRight w:val="0"/>
          <w:marTop w:val="77"/>
          <w:marBottom w:val="0"/>
          <w:divBdr>
            <w:top w:val="none" w:sz="0" w:space="0" w:color="auto"/>
            <w:left w:val="none" w:sz="0" w:space="0" w:color="auto"/>
            <w:bottom w:val="none" w:sz="0" w:space="0" w:color="auto"/>
            <w:right w:val="none" w:sz="0" w:space="0" w:color="auto"/>
          </w:divBdr>
        </w:div>
      </w:divsChild>
    </w:div>
    <w:div w:id="1936329524">
      <w:bodyDiv w:val="1"/>
      <w:marLeft w:val="0"/>
      <w:marRight w:val="0"/>
      <w:marTop w:val="0"/>
      <w:marBottom w:val="0"/>
      <w:divBdr>
        <w:top w:val="none" w:sz="0" w:space="0" w:color="auto"/>
        <w:left w:val="none" w:sz="0" w:space="0" w:color="auto"/>
        <w:bottom w:val="none" w:sz="0" w:space="0" w:color="auto"/>
        <w:right w:val="none" w:sz="0" w:space="0" w:color="auto"/>
      </w:divBdr>
      <w:divsChild>
        <w:div w:id="857504865">
          <w:marLeft w:val="2520"/>
          <w:marRight w:val="0"/>
          <w:marTop w:val="58"/>
          <w:marBottom w:val="0"/>
          <w:divBdr>
            <w:top w:val="none" w:sz="0" w:space="0" w:color="auto"/>
            <w:left w:val="none" w:sz="0" w:space="0" w:color="auto"/>
            <w:bottom w:val="none" w:sz="0" w:space="0" w:color="auto"/>
            <w:right w:val="none" w:sz="0" w:space="0" w:color="auto"/>
          </w:divBdr>
        </w:div>
        <w:div w:id="1275602586">
          <w:marLeft w:val="1166"/>
          <w:marRight w:val="0"/>
          <w:marTop w:val="96"/>
          <w:marBottom w:val="0"/>
          <w:divBdr>
            <w:top w:val="none" w:sz="0" w:space="0" w:color="auto"/>
            <w:left w:val="none" w:sz="0" w:space="0" w:color="auto"/>
            <w:bottom w:val="none" w:sz="0" w:space="0" w:color="auto"/>
            <w:right w:val="none" w:sz="0" w:space="0" w:color="auto"/>
          </w:divBdr>
        </w:div>
        <w:div w:id="1315527986">
          <w:marLeft w:val="1800"/>
          <w:marRight w:val="0"/>
          <w:marTop w:val="77"/>
          <w:marBottom w:val="0"/>
          <w:divBdr>
            <w:top w:val="none" w:sz="0" w:space="0" w:color="auto"/>
            <w:left w:val="none" w:sz="0" w:space="0" w:color="auto"/>
            <w:bottom w:val="none" w:sz="0" w:space="0" w:color="auto"/>
            <w:right w:val="none" w:sz="0" w:space="0" w:color="auto"/>
          </w:divBdr>
        </w:div>
        <w:div w:id="1349982445">
          <w:marLeft w:val="2520"/>
          <w:marRight w:val="0"/>
          <w:marTop w:val="58"/>
          <w:marBottom w:val="0"/>
          <w:divBdr>
            <w:top w:val="none" w:sz="0" w:space="0" w:color="auto"/>
            <w:left w:val="none" w:sz="0" w:space="0" w:color="auto"/>
            <w:bottom w:val="none" w:sz="0" w:space="0" w:color="auto"/>
            <w:right w:val="none" w:sz="0" w:space="0" w:color="auto"/>
          </w:divBdr>
        </w:div>
        <w:div w:id="1520048808">
          <w:marLeft w:val="1166"/>
          <w:marRight w:val="0"/>
          <w:marTop w:val="96"/>
          <w:marBottom w:val="0"/>
          <w:divBdr>
            <w:top w:val="none" w:sz="0" w:space="0" w:color="auto"/>
            <w:left w:val="none" w:sz="0" w:space="0" w:color="auto"/>
            <w:bottom w:val="none" w:sz="0" w:space="0" w:color="auto"/>
            <w:right w:val="none" w:sz="0" w:space="0" w:color="auto"/>
          </w:divBdr>
        </w:div>
        <w:div w:id="1833791096">
          <w:marLeft w:val="1166"/>
          <w:marRight w:val="0"/>
          <w:marTop w:val="96"/>
          <w:marBottom w:val="0"/>
          <w:divBdr>
            <w:top w:val="none" w:sz="0" w:space="0" w:color="auto"/>
            <w:left w:val="none" w:sz="0" w:space="0" w:color="auto"/>
            <w:bottom w:val="none" w:sz="0" w:space="0" w:color="auto"/>
            <w:right w:val="none" w:sz="0" w:space="0" w:color="auto"/>
          </w:divBdr>
        </w:div>
        <w:div w:id="2023430777">
          <w:marLeft w:val="547"/>
          <w:marRight w:val="0"/>
          <w:marTop w:val="115"/>
          <w:marBottom w:val="0"/>
          <w:divBdr>
            <w:top w:val="none" w:sz="0" w:space="0" w:color="auto"/>
            <w:left w:val="none" w:sz="0" w:space="0" w:color="auto"/>
            <w:bottom w:val="none" w:sz="0" w:space="0" w:color="auto"/>
            <w:right w:val="none" w:sz="0" w:space="0" w:color="auto"/>
          </w:divBdr>
        </w:div>
      </w:divsChild>
    </w:div>
    <w:div w:id="1936862640">
      <w:bodyDiv w:val="1"/>
      <w:marLeft w:val="0"/>
      <w:marRight w:val="0"/>
      <w:marTop w:val="0"/>
      <w:marBottom w:val="0"/>
      <w:divBdr>
        <w:top w:val="none" w:sz="0" w:space="0" w:color="auto"/>
        <w:left w:val="none" w:sz="0" w:space="0" w:color="auto"/>
        <w:bottom w:val="none" w:sz="0" w:space="0" w:color="auto"/>
        <w:right w:val="none" w:sz="0" w:space="0" w:color="auto"/>
      </w:divBdr>
    </w:div>
    <w:div w:id="1936941983">
      <w:bodyDiv w:val="1"/>
      <w:marLeft w:val="0"/>
      <w:marRight w:val="0"/>
      <w:marTop w:val="0"/>
      <w:marBottom w:val="0"/>
      <w:divBdr>
        <w:top w:val="none" w:sz="0" w:space="0" w:color="auto"/>
        <w:left w:val="none" w:sz="0" w:space="0" w:color="auto"/>
        <w:bottom w:val="none" w:sz="0" w:space="0" w:color="auto"/>
        <w:right w:val="none" w:sz="0" w:space="0" w:color="auto"/>
      </w:divBdr>
      <w:divsChild>
        <w:div w:id="2132362628">
          <w:marLeft w:val="0"/>
          <w:marRight w:val="0"/>
          <w:marTop w:val="0"/>
          <w:marBottom w:val="0"/>
          <w:divBdr>
            <w:top w:val="none" w:sz="0" w:space="0" w:color="auto"/>
            <w:left w:val="none" w:sz="0" w:space="0" w:color="auto"/>
            <w:bottom w:val="none" w:sz="0" w:space="0" w:color="auto"/>
            <w:right w:val="none" w:sz="0" w:space="0" w:color="auto"/>
          </w:divBdr>
          <w:divsChild>
            <w:div w:id="347757683">
              <w:marLeft w:val="0"/>
              <w:marRight w:val="0"/>
              <w:marTop w:val="0"/>
              <w:marBottom w:val="0"/>
              <w:divBdr>
                <w:top w:val="none" w:sz="0" w:space="0" w:color="auto"/>
                <w:left w:val="none" w:sz="0" w:space="0" w:color="auto"/>
                <w:bottom w:val="none" w:sz="0" w:space="0" w:color="auto"/>
                <w:right w:val="none" w:sz="0" w:space="0" w:color="auto"/>
              </w:divBdr>
            </w:div>
            <w:div w:id="767697705">
              <w:marLeft w:val="0"/>
              <w:marRight w:val="0"/>
              <w:marTop w:val="0"/>
              <w:marBottom w:val="0"/>
              <w:divBdr>
                <w:top w:val="none" w:sz="0" w:space="0" w:color="auto"/>
                <w:left w:val="none" w:sz="0" w:space="0" w:color="auto"/>
                <w:bottom w:val="none" w:sz="0" w:space="0" w:color="auto"/>
                <w:right w:val="none" w:sz="0" w:space="0" w:color="auto"/>
              </w:divBdr>
            </w:div>
            <w:div w:id="835267376">
              <w:marLeft w:val="0"/>
              <w:marRight w:val="0"/>
              <w:marTop w:val="0"/>
              <w:marBottom w:val="0"/>
              <w:divBdr>
                <w:top w:val="none" w:sz="0" w:space="0" w:color="auto"/>
                <w:left w:val="none" w:sz="0" w:space="0" w:color="auto"/>
                <w:bottom w:val="none" w:sz="0" w:space="0" w:color="auto"/>
                <w:right w:val="none" w:sz="0" w:space="0" w:color="auto"/>
              </w:divBdr>
            </w:div>
            <w:div w:id="1008479416">
              <w:marLeft w:val="0"/>
              <w:marRight w:val="0"/>
              <w:marTop w:val="0"/>
              <w:marBottom w:val="0"/>
              <w:divBdr>
                <w:top w:val="none" w:sz="0" w:space="0" w:color="auto"/>
                <w:left w:val="none" w:sz="0" w:space="0" w:color="auto"/>
                <w:bottom w:val="none" w:sz="0" w:space="0" w:color="auto"/>
                <w:right w:val="none" w:sz="0" w:space="0" w:color="auto"/>
              </w:divBdr>
            </w:div>
            <w:div w:id="1225021975">
              <w:marLeft w:val="0"/>
              <w:marRight w:val="0"/>
              <w:marTop w:val="0"/>
              <w:marBottom w:val="0"/>
              <w:divBdr>
                <w:top w:val="none" w:sz="0" w:space="0" w:color="auto"/>
                <w:left w:val="none" w:sz="0" w:space="0" w:color="auto"/>
                <w:bottom w:val="none" w:sz="0" w:space="0" w:color="auto"/>
                <w:right w:val="none" w:sz="0" w:space="0" w:color="auto"/>
              </w:divBdr>
            </w:div>
            <w:div w:id="1330518591">
              <w:marLeft w:val="0"/>
              <w:marRight w:val="0"/>
              <w:marTop w:val="0"/>
              <w:marBottom w:val="0"/>
              <w:divBdr>
                <w:top w:val="none" w:sz="0" w:space="0" w:color="auto"/>
                <w:left w:val="none" w:sz="0" w:space="0" w:color="auto"/>
                <w:bottom w:val="none" w:sz="0" w:space="0" w:color="auto"/>
                <w:right w:val="none" w:sz="0" w:space="0" w:color="auto"/>
              </w:divBdr>
            </w:div>
            <w:div w:id="1421634389">
              <w:marLeft w:val="0"/>
              <w:marRight w:val="0"/>
              <w:marTop w:val="0"/>
              <w:marBottom w:val="0"/>
              <w:divBdr>
                <w:top w:val="none" w:sz="0" w:space="0" w:color="auto"/>
                <w:left w:val="none" w:sz="0" w:space="0" w:color="auto"/>
                <w:bottom w:val="none" w:sz="0" w:space="0" w:color="auto"/>
                <w:right w:val="none" w:sz="0" w:space="0" w:color="auto"/>
              </w:divBdr>
            </w:div>
            <w:div w:id="17962132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39173162">
      <w:bodyDiv w:val="1"/>
      <w:marLeft w:val="0"/>
      <w:marRight w:val="0"/>
      <w:marTop w:val="0"/>
      <w:marBottom w:val="0"/>
      <w:divBdr>
        <w:top w:val="none" w:sz="0" w:space="0" w:color="auto"/>
        <w:left w:val="none" w:sz="0" w:space="0" w:color="auto"/>
        <w:bottom w:val="none" w:sz="0" w:space="0" w:color="auto"/>
        <w:right w:val="none" w:sz="0" w:space="0" w:color="auto"/>
      </w:divBdr>
      <w:divsChild>
        <w:div w:id="1618105002">
          <w:marLeft w:val="0"/>
          <w:marRight w:val="0"/>
          <w:marTop w:val="0"/>
          <w:marBottom w:val="0"/>
          <w:divBdr>
            <w:top w:val="none" w:sz="0" w:space="0" w:color="auto"/>
            <w:left w:val="none" w:sz="0" w:space="0" w:color="auto"/>
            <w:bottom w:val="none" w:sz="0" w:space="0" w:color="auto"/>
            <w:right w:val="none" w:sz="0" w:space="0" w:color="auto"/>
          </w:divBdr>
        </w:div>
      </w:divsChild>
    </w:div>
    <w:div w:id="1939177122">
      <w:bodyDiv w:val="1"/>
      <w:marLeft w:val="0"/>
      <w:marRight w:val="0"/>
      <w:marTop w:val="0"/>
      <w:marBottom w:val="0"/>
      <w:divBdr>
        <w:top w:val="none" w:sz="0" w:space="0" w:color="auto"/>
        <w:left w:val="none" w:sz="0" w:space="0" w:color="auto"/>
        <w:bottom w:val="none" w:sz="0" w:space="0" w:color="auto"/>
        <w:right w:val="none" w:sz="0" w:space="0" w:color="auto"/>
      </w:divBdr>
    </w:div>
    <w:div w:id="1939556142">
      <w:bodyDiv w:val="1"/>
      <w:marLeft w:val="0"/>
      <w:marRight w:val="0"/>
      <w:marTop w:val="0"/>
      <w:marBottom w:val="0"/>
      <w:divBdr>
        <w:top w:val="none" w:sz="0" w:space="0" w:color="auto"/>
        <w:left w:val="none" w:sz="0" w:space="0" w:color="auto"/>
        <w:bottom w:val="none" w:sz="0" w:space="0" w:color="auto"/>
        <w:right w:val="none" w:sz="0" w:space="0" w:color="auto"/>
      </w:divBdr>
    </w:div>
    <w:div w:id="1940328457">
      <w:bodyDiv w:val="1"/>
      <w:marLeft w:val="0"/>
      <w:marRight w:val="0"/>
      <w:marTop w:val="0"/>
      <w:marBottom w:val="0"/>
      <w:divBdr>
        <w:top w:val="none" w:sz="0" w:space="0" w:color="auto"/>
        <w:left w:val="none" w:sz="0" w:space="0" w:color="auto"/>
        <w:bottom w:val="none" w:sz="0" w:space="0" w:color="auto"/>
        <w:right w:val="none" w:sz="0" w:space="0" w:color="auto"/>
      </w:divBdr>
    </w:div>
    <w:div w:id="1940916053">
      <w:bodyDiv w:val="1"/>
      <w:marLeft w:val="0"/>
      <w:marRight w:val="0"/>
      <w:marTop w:val="0"/>
      <w:marBottom w:val="0"/>
      <w:divBdr>
        <w:top w:val="none" w:sz="0" w:space="0" w:color="auto"/>
        <w:left w:val="none" w:sz="0" w:space="0" w:color="auto"/>
        <w:bottom w:val="none" w:sz="0" w:space="0" w:color="auto"/>
        <w:right w:val="none" w:sz="0" w:space="0" w:color="auto"/>
      </w:divBdr>
    </w:div>
    <w:div w:id="1941254002">
      <w:bodyDiv w:val="1"/>
      <w:marLeft w:val="0"/>
      <w:marRight w:val="0"/>
      <w:marTop w:val="0"/>
      <w:marBottom w:val="0"/>
      <w:divBdr>
        <w:top w:val="none" w:sz="0" w:space="0" w:color="auto"/>
        <w:left w:val="none" w:sz="0" w:space="0" w:color="auto"/>
        <w:bottom w:val="none" w:sz="0" w:space="0" w:color="auto"/>
        <w:right w:val="none" w:sz="0" w:space="0" w:color="auto"/>
      </w:divBdr>
    </w:div>
    <w:div w:id="1941521988">
      <w:bodyDiv w:val="1"/>
      <w:marLeft w:val="0"/>
      <w:marRight w:val="0"/>
      <w:marTop w:val="0"/>
      <w:marBottom w:val="0"/>
      <w:divBdr>
        <w:top w:val="none" w:sz="0" w:space="0" w:color="auto"/>
        <w:left w:val="none" w:sz="0" w:space="0" w:color="auto"/>
        <w:bottom w:val="none" w:sz="0" w:space="0" w:color="auto"/>
        <w:right w:val="none" w:sz="0" w:space="0" w:color="auto"/>
      </w:divBdr>
      <w:divsChild>
        <w:div w:id="214899838">
          <w:marLeft w:val="1800"/>
          <w:marRight w:val="0"/>
          <w:marTop w:val="77"/>
          <w:marBottom w:val="0"/>
          <w:divBdr>
            <w:top w:val="none" w:sz="0" w:space="0" w:color="auto"/>
            <w:left w:val="none" w:sz="0" w:space="0" w:color="auto"/>
            <w:bottom w:val="none" w:sz="0" w:space="0" w:color="auto"/>
            <w:right w:val="none" w:sz="0" w:space="0" w:color="auto"/>
          </w:divBdr>
        </w:div>
        <w:div w:id="261574928">
          <w:marLeft w:val="1166"/>
          <w:marRight w:val="0"/>
          <w:marTop w:val="96"/>
          <w:marBottom w:val="0"/>
          <w:divBdr>
            <w:top w:val="none" w:sz="0" w:space="0" w:color="auto"/>
            <w:left w:val="none" w:sz="0" w:space="0" w:color="auto"/>
            <w:bottom w:val="none" w:sz="0" w:space="0" w:color="auto"/>
            <w:right w:val="none" w:sz="0" w:space="0" w:color="auto"/>
          </w:divBdr>
        </w:div>
        <w:div w:id="774248895">
          <w:marLeft w:val="1166"/>
          <w:marRight w:val="0"/>
          <w:marTop w:val="96"/>
          <w:marBottom w:val="0"/>
          <w:divBdr>
            <w:top w:val="none" w:sz="0" w:space="0" w:color="auto"/>
            <w:left w:val="none" w:sz="0" w:space="0" w:color="auto"/>
            <w:bottom w:val="none" w:sz="0" w:space="0" w:color="auto"/>
            <w:right w:val="none" w:sz="0" w:space="0" w:color="auto"/>
          </w:divBdr>
        </w:div>
        <w:div w:id="898325591">
          <w:marLeft w:val="547"/>
          <w:marRight w:val="0"/>
          <w:marTop w:val="115"/>
          <w:marBottom w:val="0"/>
          <w:divBdr>
            <w:top w:val="none" w:sz="0" w:space="0" w:color="auto"/>
            <w:left w:val="none" w:sz="0" w:space="0" w:color="auto"/>
            <w:bottom w:val="none" w:sz="0" w:space="0" w:color="auto"/>
            <w:right w:val="none" w:sz="0" w:space="0" w:color="auto"/>
          </w:divBdr>
        </w:div>
        <w:div w:id="1070733923">
          <w:marLeft w:val="1166"/>
          <w:marRight w:val="0"/>
          <w:marTop w:val="96"/>
          <w:marBottom w:val="0"/>
          <w:divBdr>
            <w:top w:val="none" w:sz="0" w:space="0" w:color="auto"/>
            <w:left w:val="none" w:sz="0" w:space="0" w:color="auto"/>
            <w:bottom w:val="none" w:sz="0" w:space="0" w:color="auto"/>
            <w:right w:val="none" w:sz="0" w:space="0" w:color="auto"/>
          </w:divBdr>
        </w:div>
        <w:div w:id="1098909041">
          <w:marLeft w:val="1166"/>
          <w:marRight w:val="0"/>
          <w:marTop w:val="96"/>
          <w:marBottom w:val="0"/>
          <w:divBdr>
            <w:top w:val="none" w:sz="0" w:space="0" w:color="auto"/>
            <w:left w:val="none" w:sz="0" w:space="0" w:color="auto"/>
            <w:bottom w:val="none" w:sz="0" w:space="0" w:color="auto"/>
            <w:right w:val="none" w:sz="0" w:space="0" w:color="auto"/>
          </w:divBdr>
        </w:div>
        <w:div w:id="1994601900">
          <w:marLeft w:val="1800"/>
          <w:marRight w:val="0"/>
          <w:marTop w:val="77"/>
          <w:marBottom w:val="0"/>
          <w:divBdr>
            <w:top w:val="none" w:sz="0" w:space="0" w:color="auto"/>
            <w:left w:val="none" w:sz="0" w:space="0" w:color="auto"/>
            <w:bottom w:val="none" w:sz="0" w:space="0" w:color="auto"/>
            <w:right w:val="none" w:sz="0" w:space="0" w:color="auto"/>
          </w:divBdr>
        </w:div>
        <w:div w:id="2015299187">
          <w:marLeft w:val="547"/>
          <w:marRight w:val="0"/>
          <w:marTop w:val="115"/>
          <w:marBottom w:val="0"/>
          <w:divBdr>
            <w:top w:val="none" w:sz="0" w:space="0" w:color="auto"/>
            <w:left w:val="none" w:sz="0" w:space="0" w:color="auto"/>
            <w:bottom w:val="none" w:sz="0" w:space="0" w:color="auto"/>
            <w:right w:val="none" w:sz="0" w:space="0" w:color="auto"/>
          </w:divBdr>
        </w:div>
      </w:divsChild>
    </w:div>
    <w:div w:id="1941527170">
      <w:bodyDiv w:val="1"/>
      <w:marLeft w:val="0"/>
      <w:marRight w:val="0"/>
      <w:marTop w:val="0"/>
      <w:marBottom w:val="0"/>
      <w:divBdr>
        <w:top w:val="none" w:sz="0" w:space="0" w:color="auto"/>
        <w:left w:val="none" w:sz="0" w:space="0" w:color="auto"/>
        <w:bottom w:val="none" w:sz="0" w:space="0" w:color="auto"/>
        <w:right w:val="none" w:sz="0" w:space="0" w:color="auto"/>
      </w:divBdr>
      <w:divsChild>
        <w:div w:id="13697548">
          <w:marLeft w:val="1166"/>
          <w:marRight w:val="0"/>
          <w:marTop w:val="96"/>
          <w:marBottom w:val="0"/>
          <w:divBdr>
            <w:top w:val="none" w:sz="0" w:space="0" w:color="auto"/>
            <w:left w:val="none" w:sz="0" w:space="0" w:color="auto"/>
            <w:bottom w:val="none" w:sz="0" w:space="0" w:color="auto"/>
            <w:right w:val="none" w:sz="0" w:space="0" w:color="auto"/>
          </w:divBdr>
        </w:div>
        <w:div w:id="586962696">
          <w:marLeft w:val="547"/>
          <w:marRight w:val="0"/>
          <w:marTop w:val="96"/>
          <w:marBottom w:val="0"/>
          <w:divBdr>
            <w:top w:val="none" w:sz="0" w:space="0" w:color="auto"/>
            <w:left w:val="none" w:sz="0" w:space="0" w:color="auto"/>
            <w:bottom w:val="none" w:sz="0" w:space="0" w:color="auto"/>
            <w:right w:val="none" w:sz="0" w:space="0" w:color="auto"/>
          </w:divBdr>
        </w:div>
        <w:div w:id="971011219">
          <w:marLeft w:val="1800"/>
          <w:marRight w:val="0"/>
          <w:marTop w:val="86"/>
          <w:marBottom w:val="0"/>
          <w:divBdr>
            <w:top w:val="none" w:sz="0" w:space="0" w:color="auto"/>
            <w:left w:val="none" w:sz="0" w:space="0" w:color="auto"/>
            <w:bottom w:val="none" w:sz="0" w:space="0" w:color="auto"/>
            <w:right w:val="none" w:sz="0" w:space="0" w:color="auto"/>
          </w:divBdr>
        </w:div>
        <w:div w:id="1019163000">
          <w:marLeft w:val="1800"/>
          <w:marRight w:val="0"/>
          <w:marTop w:val="86"/>
          <w:marBottom w:val="0"/>
          <w:divBdr>
            <w:top w:val="none" w:sz="0" w:space="0" w:color="auto"/>
            <w:left w:val="none" w:sz="0" w:space="0" w:color="auto"/>
            <w:bottom w:val="none" w:sz="0" w:space="0" w:color="auto"/>
            <w:right w:val="none" w:sz="0" w:space="0" w:color="auto"/>
          </w:divBdr>
        </w:div>
        <w:div w:id="1022247301">
          <w:marLeft w:val="1800"/>
          <w:marRight w:val="0"/>
          <w:marTop w:val="86"/>
          <w:marBottom w:val="0"/>
          <w:divBdr>
            <w:top w:val="none" w:sz="0" w:space="0" w:color="auto"/>
            <w:left w:val="none" w:sz="0" w:space="0" w:color="auto"/>
            <w:bottom w:val="none" w:sz="0" w:space="0" w:color="auto"/>
            <w:right w:val="none" w:sz="0" w:space="0" w:color="auto"/>
          </w:divBdr>
        </w:div>
        <w:div w:id="1092775716">
          <w:marLeft w:val="1166"/>
          <w:marRight w:val="0"/>
          <w:marTop w:val="96"/>
          <w:marBottom w:val="0"/>
          <w:divBdr>
            <w:top w:val="none" w:sz="0" w:space="0" w:color="auto"/>
            <w:left w:val="none" w:sz="0" w:space="0" w:color="auto"/>
            <w:bottom w:val="none" w:sz="0" w:space="0" w:color="auto"/>
            <w:right w:val="none" w:sz="0" w:space="0" w:color="auto"/>
          </w:divBdr>
        </w:div>
        <w:div w:id="1423800028">
          <w:marLeft w:val="1800"/>
          <w:marRight w:val="0"/>
          <w:marTop w:val="86"/>
          <w:marBottom w:val="0"/>
          <w:divBdr>
            <w:top w:val="none" w:sz="0" w:space="0" w:color="auto"/>
            <w:left w:val="none" w:sz="0" w:space="0" w:color="auto"/>
            <w:bottom w:val="none" w:sz="0" w:space="0" w:color="auto"/>
            <w:right w:val="none" w:sz="0" w:space="0" w:color="auto"/>
          </w:divBdr>
        </w:div>
        <w:div w:id="1504972429">
          <w:marLeft w:val="547"/>
          <w:marRight w:val="0"/>
          <w:marTop w:val="96"/>
          <w:marBottom w:val="0"/>
          <w:divBdr>
            <w:top w:val="none" w:sz="0" w:space="0" w:color="auto"/>
            <w:left w:val="none" w:sz="0" w:space="0" w:color="auto"/>
            <w:bottom w:val="none" w:sz="0" w:space="0" w:color="auto"/>
            <w:right w:val="none" w:sz="0" w:space="0" w:color="auto"/>
          </w:divBdr>
        </w:div>
        <w:div w:id="1839691749">
          <w:marLeft w:val="1800"/>
          <w:marRight w:val="0"/>
          <w:marTop w:val="86"/>
          <w:marBottom w:val="0"/>
          <w:divBdr>
            <w:top w:val="none" w:sz="0" w:space="0" w:color="auto"/>
            <w:left w:val="none" w:sz="0" w:space="0" w:color="auto"/>
            <w:bottom w:val="none" w:sz="0" w:space="0" w:color="auto"/>
            <w:right w:val="none" w:sz="0" w:space="0" w:color="auto"/>
          </w:divBdr>
        </w:div>
      </w:divsChild>
    </w:div>
    <w:div w:id="1941796724">
      <w:bodyDiv w:val="1"/>
      <w:marLeft w:val="0"/>
      <w:marRight w:val="0"/>
      <w:marTop w:val="0"/>
      <w:marBottom w:val="0"/>
      <w:divBdr>
        <w:top w:val="none" w:sz="0" w:space="0" w:color="auto"/>
        <w:left w:val="none" w:sz="0" w:space="0" w:color="auto"/>
        <w:bottom w:val="none" w:sz="0" w:space="0" w:color="auto"/>
        <w:right w:val="none" w:sz="0" w:space="0" w:color="auto"/>
      </w:divBdr>
    </w:div>
    <w:div w:id="1942255338">
      <w:bodyDiv w:val="1"/>
      <w:marLeft w:val="0"/>
      <w:marRight w:val="0"/>
      <w:marTop w:val="0"/>
      <w:marBottom w:val="0"/>
      <w:divBdr>
        <w:top w:val="none" w:sz="0" w:space="0" w:color="auto"/>
        <w:left w:val="none" w:sz="0" w:space="0" w:color="auto"/>
        <w:bottom w:val="none" w:sz="0" w:space="0" w:color="auto"/>
        <w:right w:val="none" w:sz="0" w:space="0" w:color="auto"/>
      </w:divBdr>
    </w:div>
    <w:div w:id="1942949915">
      <w:bodyDiv w:val="1"/>
      <w:marLeft w:val="0"/>
      <w:marRight w:val="0"/>
      <w:marTop w:val="0"/>
      <w:marBottom w:val="0"/>
      <w:divBdr>
        <w:top w:val="none" w:sz="0" w:space="0" w:color="auto"/>
        <w:left w:val="none" w:sz="0" w:space="0" w:color="auto"/>
        <w:bottom w:val="none" w:sz="0" w:space="0" w:color="auto"/>
        <w:right w:val="none" w:sz="0" w:space="0" w:color="auto"/>
      </w:divBdr>
    </w:div>
    <w:div w:id="1942952019">
      <w:bodyDiv w:val="1"/>
      <w:marLeft w:val="0"/>
      <w:marRight w:val="0"/>
      <w:marTop w:val="0"/>
      <w:marBottom w:val="0"/>
      <w:divBdr>
        <w:top w:val="none" w:sz="0" w:space="0" w:color="auto"/>
        <w:left w:val="none" w:sz="0" w:space="0" w:color="auto"/>
        <w:bottom w:val="none" w:sz="0" w:space="0" w:color="auto"/>
        <w:right w:val="none" w:sz="0" w:space="0" w:color="auto"/>
      </w:divBdr>
    </w:div>
    <w:div w:id="1944144068">
      <w:bodyDiv w:val="1"/>
      <w:marLeft w:val="0"/>
      <w:marRight w:val="0"/>
      <w:marTop w:val="0"/>
      <w:marBottom w:val="0"/>
      <w:divBdr>
        <w:top w:val="none" w:sz="0" w:space="0" w:color="auto"/>
        <w:left w:val="none" w:sz="0" w:space="0" w:color="auto"/>
        <w:bottom w:val="none" w:sz="0" w:space="0" w:color="auto"/>
        <w:right w:val="none" w:sz="0" w:space="0" w:color="auto"/>
      </w:divBdr>
    </w:div>
    <w:div w:id="1944534750">
      <w:bodyDiv w:val="1"/>
      <w:marLeft w:val="0"/>
      <w:marRight w:val="0"/>
      <w:marTop w:val="0"/>
      <w:marBottom w:val="0"/>
      <w:divBdr>
        <w:top w:val="none" w:sz="0" w:space="0" w:color="auto"/>
        <w:left w:val="none" w:sz="0" w:space="0" w:color="auto"/>
        <w:bottom w:val="none" w:sz="0" w:space="0" w:color="auto"/>
        <w:right w:val="none" w:sz="0" w:space="0" w:color="auto"/>
      </w:divBdr>
    </w:div>
    <w:div w:id="1944997741">
      <w:bodyDiv w:val="1"/>
      <w:marLeft w:val="0"/>
      <w:marRight w:val="0"/>
      <w:marTop w:val="0"/>
      <w:marBottom w:val="0"/>
      <w:divBdr>
        <w:top w:val="none" w:sz="0" w:space="0" w:color="auto"/>
        <w:left w:val="none" w:sz="0" w:space="0" w:color="auto"/>
        <w:bottom w:val="none" w:sz="0" w:space="0" w:color="auto"/>
        <w:right w:val="none" w:sz="0" w:space="0" w:color="auto"/>
      </w:divBdr>
      <w:divsChild>
        <w:div w:id="818838943">
          <w:marLeft w:val="0"/>
          <w:marRight w:val="0"/>
          <w:marTop w:val="0"/>
          <w:marBottom w:val="0"/>
          <w:divBdr>
            <w:top w:val="none" w:sz="0" w:space="0" w:color="auto"/>
            <w:left w:val="none" w:sz="0" w:space="0" w:color="auto"/>
            <w:bottom w:val="none" w:sz="0" w:space="0" w:color="auto"/>
            <w:right w:val="none" w:sz="0" w:space="0" w:color="auto"/>
          </w:divBdr>
        </w:div>
      </w:divsChild>
    </w:div>
    <w:div w:id="1945527983">
      <w:bodyDiv w:val="1"/>
      <w:marLeft w:val="0"/>
      <w:marRight w:val="0"/>
      <w:marTop w:val="0"/>
      <w:marBottom w:val="0"/>
      <w:divBdr>
        <w:top w:val="none" w:sz="0" w:space="0" w:color="auto"/>
        <w:left w:val="none" w:sz="0" w:space="0" w:color="auto"/>
        <w:bottom w:val="none" w:sz="0" w:space="0" w:color="auto"/>
        <w:right w:val="none" w:sz="0" w:space="0" w:color="auto"/>
      </w:divBdr>
    </w:div>
    <w:div w:id="1945578127">
      <w:bodyDiv w:val="1"/>
      <w:marLeft w:val="0"/>
      <w:marRight w:val="0"/>
      <w:marTop w:val="0"/>
      <w:marBottom w:val="0"/>
      <w:divBdr>
        <w:top w:val="none" w:sz="0" w:space="0" w:color="auto"/>
        <w:left w:val="none" w:sz="0" w:space="0" w:color="auto"/>
        <w:bottom w:val="none" w:sz="0" w:space="0" w:color="auto"/>
        <w:right w:val="none" w:sz="0" w:space="0" w:color="auto"/>
      </w:divBdr>
    </w:div>
    <w:div w:id="1945724698">
      <w:bodyDiv w:val="1"/>
      <w:marLeft w:val="0"/>
      <w:marRight w:val="0"/>
      <w:marTop w:val="0"/>
      <w:marBottom w:val="0"/>
      <w:divBdr>
        <w:top w:val="none" w:sz="0" w:space="0" w:color="auto"/>
        <w:left w:val="none" w:sz="0" w:space="0" w:color="auto"/>
        <w:bottom w:val="none" w:sz="0" w:space="0" w:color="auto"/>
        <w:right w:val="none" w:sz="0" w:space="0" w:color="auto"/>
      </w:divBdr>
    </w:div>
    <w:div w:id="1947033167">
      <w:bodyDiv w:val="1"/>
      <w:marLeft w:val="0"/>
      <w:marRight w:val="0"/>
      <w:marTop w:val="0"/>
      <w:marBottom w:val="0"/>
      <w:divBdr>
        <w:top w:val="none" w:sz="0" w:space="0" w:color="auto"/>
        <w:left w:val="none" w:sz="0" w:space="0" w:color="auto"/>
        <w:bottom w:val="none" w:sz="0" w:space="0" w:color="auto"/>
        <w:right w:val="none" w:sz="0" w:space="0" w:color="auto"/>
      </w:divBdr>
    </w:div>
    <w:div w:id="1947734933">
      <w:bodyDiv w:val="1"/>
      <w:marLeft w:val="0"/>
      <w:marRight w:val="0"/>
      <w:marTop w:val="0"/>
      <w:marBottom w:val="0"/>
      <w:divBdr>
        <w:top w:val="none" w:sz="0" w:space="0" w:color="auto"/>
        <w:left w:val="none" w:sz="0" w:space="0" w:color="auto"/>
        <w:bottom w:val="none" w:sz="0" w:space="0" w:color="auto"/>
        <w:right w:val="none" w:sz="0" w:space="0" w:color="auto"/>
      </w:divBdr>
    </w:div>
    <w:div w:id="1948075549">
      <w:bodyDiv w:val="1"/>
      <w:marLeft w:val="0"/>
      <w:marRight w:val="0"/>
      <w:marTop w:val="0"/>
      <w:marBottom w:val="0"/>
      <w:divBdr>
        <w:top w:val="none" w:sz="0" w:space="0" w:color="auto"/>
        <w:left w:val="none" w:sz="0" w:space="0" w:color="auto"/>
        <w:bottom w:val="none" w:sz="0" w:space="0" w:color="auto"/>
        <w:right w:val="none" w:sz="0" w:space="0" w:color="auto"/>
      </w:divBdr>
    </w:div>
    <w:div w:id="1948585753">
      <w:bodyDiv w:val="1"/>
      <w:marLeft w:val="0"/>
      <w:marRight w:val="0"/>
      <w:marTop w:val="0"/>
      <w:marBottom w:val="0"/>
      <w:divBdr>
        <w:top w:val="none" w:sz="0" w:space="0" w:color="auto"/>
        <w:left w:val="none" w:sz="0" w:space="0" w:color="auto"/>
        <w:bottom w:val="none" w:sz="0" w:space="0" w:color="auto"/>
        <w:right w:val="none" w:sz="0" w:space="0" w:color="auto"/>
      </w:divBdr>
      <w:divsChild>
        <w:div w:id="1113669105">
          <w:marLeft w:val="1800"/>
          <w:marRight w:val="0"/>
          <w:marTop w:val="120"/>
          <w:marBottom w:val="0"/>
          <w:divBdr>
            <w:top w:val="none" w:sz="0" w:space="0" w:color="auto"/>
            <w:left w:val="none" w:sz="0" w:space="0" w:color="auto"/>
            <w:bottom w:val="none" w:sz="0" w:space="0" w:color="auto"/>
            <w:right w:val="none" w:sz="0" w:space="0" w:color="auto"/>
          </w:divBdr>
        </w:div>
      </w:divsChild>
    </w:div>
    <w:div w:id="1948924042">
      <w:bodyDiv w:val="1"/>
      <w:marLeft w:val="0"/>
      <w:marRight w:val="0"/>
      <w:marTop w:val="0"/>
      <w:marBottom w:val="0"/>
      <w:divBdr>
        <w:top w:val="none" w:sz="0" w:space="0" w:color="auto"/>
        <w:left w:val="none" w:sz="0" w:space="0" w:color="auto"/>
        <w:bottom w:val="none" w:sz="0" w:space="0" w:color="auto"/>
        <w:right w:val="none" w:sz="0" w:space="0" w:color="auto"/>
      </w:divBdr>
    </w:div>
    <w:div w:id="1949117519">
      <w:bodyDiv w:val="1"/>
      <w:marLeft w:val="0"/>
      <w:marRight w:val="0"/>
      <w:marTop w:val="0"/>
      <w:marBottom w:val="0"/>
      <w:divBdr>
        <w:top w:val="none" w:sz="0" w:space="0" w:color="auto"/>
        <w:left w:val="none" w:sz="0" w:space="0" w:color="auto"/>
        <w:bottom w:val="none" w:sz="0" w:space="0" w:color="auto"/>
        <w:right w:val="none" w:sz="0" w:space="0" w:color="auto"/>
      </w:divBdr>
    </w:div>
    <w:div w:id="1949923897">
      <w:bodyDiv w:val="1"/>
      <w:marLeft w:val="0"/>
      <w:marRight w:val="0"/>
      <w:marTop w:val="0"/>
      <w:marBottom w:val="0"/>
      <w:divBdr>
        <w:top w:val="none" w:sz="0" w:space="0" w:color="auto"/>
        <w:left w:val="none" w:sz="0" w:space="0" w:color="auto"/>
        <w:bottom w:val="none" w:sz="0" w:space="0" w:color="auto"/>
        <w:right w:val="none" w:sz="0" w:space="0" w:color="auto"/>
      </w:divBdr>
    </w:div>
    <w:div w:id="1951158982">
      <w:bodyDiv w:val="1"/>
      <w:marLeft w:val="0"/>
      <w:marRight w:val="0"/>
      <w:marTop w:val="0"/>
      <w:marBottom w:val="0"/>
      <w:divBdr>
        <w:top w:val="none" w:sz="0" w:space="0" w:color="auto"/>
        <w:left w:val="none" w:sz="0" w:space="0" w:color="auto"/>
        <w:bottom w:val="none" w:sz="0" w:space="0" w:color="auto"/>
        <w:right w:val="none" w:sz="0" w:space="0" w:color="auto"/>
      </w:divBdr>
    </w:div>
    <w:div w:id="1951352514">
      <w:bodyDiv w:val="1"/>
      <w:marLeft w:val="0"/>
      <w:marRight w:val="0"/>
      <w:marTop w:val="0"/>
      <w:marBottom w:val="0"/>
      <w:divBdr>
        <w:top w:val="none" w:sz="0" w:space="0" w:color="auto"/>
        <w:left w:val="none" w:sz="0" w:space="0" w:color="auto"/>
        <w:bottom w:val="none" w:sz="0" w:space="0" w:color="auto"/>
        <w:right w:val="none" w:sz="0" w:space="0" w:color="auto"/>
      </w:divBdr>
      <w:divsChild>
        <w:div w:id="47730767">
          <w:marLeft w:val="1080"/>
          <w:marRight w:val="0"/>
          <w:marTop w:val="100"/>
          <w:marBottom w:val="0"/>
          <w:divBdr>
            <w:top w:val="none" w:sz="0" w:space="0" w:color="auto"/>
            <w:left w:val="none" w:sz="0" w:space="0" w:color="auto"/>
            <w:bottom w:val="none" w:sz="0" w:space="0" w:color="auto"/>
            <w:right w:val="none" w:sz="0" w:space="0" w:color="auto"/>
          </w:divBdr>
        </w:div>
        <w:div w:id="278536145">
          <w:marLeft w:val="1080"/>
          <w:marRight w:val="0"/>
          <w:marTop w:val="100"/>
          <w:marBottom w:val="0"/>
          <w:divBdr>
            <w:top w:val="none" w:sz="0" w:space="0" w:color="auto"/>
            <w:left w:val="none" w:sz="0" w:space="0" w:color="auto"/>
            <w:bottom w:val="none" w:sz="0" w:space="0" w:color="auto"/>
            <w:right w:val="none" w:sz="0" w:space="0" w:color="auto"/>
          </w:divBdr>
        </w:div>
        <w:div w:id="698971324">
          <w:marLeft w:val="360"/>
          <w:marRight w:val="0"/>
          <w:marTop w:val="200"/>
          <w:marBottom w:val="0"/>
          <w:divBdr>
            <w:top w:val="none" w:sz="0" w:space="0" w:color="auto"/>
            <w:left w:val="none" w:sz="0" w:space="0" w:color="auto"/>
            <w:bottom w:val="none" w:sz="0" w:space="0" w:color="auto"/>
            <w:right w:val="none" w:sz="0" w:space="0" w:color="auto"/>
          </w:divBdr>
        </w:div>
        <w:div w:id="1025907157">
          <w:marLeft w:val="360"/>
          <w:marRight w:val="0"/>
          <w:marTop w:val="200"/>
          <w:marBottom w:val="0"/>
          <w:divBdr>
            <w:top w:val="none" w:sz="0" w:space="0" w:color="auto"/>
            <w:left w:val="none" w:sz="0" w:space="0" w:color="auto"/>
            <w:bottom w:val="none" w:sz="0" w:space="0" w:color="auto"/>
            <w:right w:val="none" w:sz="0" w:space="0" w:color="auto"/>
          </w:divBdr>
        </w:div>
        <w:div w:id="1092552890">
          <w:marLeft w:val="1080"/>
          <w:marRight w:val="0"/>
          <w:marTop w:val="100"/>
          <w:marBottom w:val="0"/>
          <w:divBdr>
            <w:top w:val="none" w:sz="0" w:space="0" w:color="auto"/>
            <w:left w:val="none" w:sz="0" w:space="0" w:color="auto"/>
            <w:bottom w:val="none" w:sz="0" w:space="0" w:color="auto"/>
            <w:right w:val="none" w:sz="0" w:space="0" w:color="auto"/>
          </w:divBdr>
        </w:div>
      </w:divsChild>
    </w:div>
    <w:div w:id="1951669048">
      <w:bodyDiv w:val="1"/>
      <w:marLeft w:val="0"/>
      <w:marRight w:val="0"/>
      <w:marTop w:val="0"/>
      <w:marBottom w:val="0"/>
      <w:divBdr>
        <w:top w:val="none" w:sz="0" w:space="0" w:color="auto"/>
        <w:left w:val="none" w:sz="0" w:space="0" w:color="auto"/>
        <w:bottom w:val="none" w:sz="0" w:space="0" w:color="auto"/>
        <w:right w:val="none" w:sz="0" w:space="0" w:color="auto"/>
      </w:divBdr>
      <w:divsChild>
        <w:div w:id="252251832">
          <w:marLeft w:val="1166"/>
          <w:marRight w:val="0"/>
          <w:marTop w:val="77"/>
          <w:marBottom w:val="0"/>
          <w:divBdr>
            <w:top w:val="none" w:sz="0" w:space="0" w:color="auto"/>
            <w:left w:val="none" w:sz="0" w:space="0" w:color="auto"/>
            <w:bottom w:val="none" w:sz="0" w:space="0" w:color="auto"/>
            <w:right w:val="none" w:sz="0" w:space="0" w:color="auto"/>
          </w:divBdr>
        </w:div>
        <w:div w:id="276763562">
          <w:marLeft w:val="1166"/>
          <w:marRight w:val="0"/>
          <w:marTop w:val="77"/>
          <w:marBottom w:val="0"/>
          <w:divBdr>
            <w:top w:val="none" w:sz="0" w:space="0" w:color="auto"/>
            <w:left w:val="none" w:sz="0" w:space="0" w:color="auto"/>
            <w:bottom w:val="none" w:sz="0" w:space="0" w:color="auto"/>
            <w:right w:val="none" w:sz="0" w:space="0" w:color="auto"/>
          </w:divBdr>
        </w:div>
        <w:div w:id="285242084">
          <w:marLeft w:val="1166"/>
          <w:marRight w:val="0"/>
          <w:marTop w:val="77"/>
          <w:marBottom w:val="0"/>
          <w:divBdr>
            <w:top w:val="none" w:sz="0" w:space="0" w:color="auto"/>
            <w:left w:val="none" w:sz="0" w:space="0" w:color="auto"/>
            <w:bottom w:val="none" w:sz="0" w:space="0" w:color="auto"/>
            <w:right w:val="none" w:sz="0" w:space="0" w:color="auto"/>
          </w:divBdr>
        </w:div>
        <w:div w:id="319501258">
          <w:marLeft w:val="547"/>
          <w:marRight w:val="0"/>
          <w:marTop w:val="96"/>
          <w:marBottom w:val="0"/>
          <w:divBdr>
            <w:top w:val="none" w:sz="0" w:space="0" w:color="auto"/>
            <w:left w:val="none" w:sz="0" w:space="0" w:color="auto"/>
            <w:bottom w:val="none" w:sz="0" w:space="0" w:color="auto"/>
            <w:right w:val="none" w:sz="0" w:space="0" w:color="auto"/>
          </w:divBdr>
        </w:div>
        <w:div w:id="472910173">
          <w:marLeft w:val="1166"/>
          <w:marRight w:val="0"/>
          <w:marTop w:val="77"/>
          <w:marBottom w:val="0"/>
          <w:divBdr>
            <w:top w:val="none" w:sz="0" w:space="0" w:color="auto"/>
            <w:left w:val="none" w:sz="0" w:space="0" w:color="auto"/>
            <w:bottom w:val="none" w:sz="0" w:space="0" w:color="auto"/>
            <w:right w:val="none" w:sz="0" w:space="0" w:color="auto"/>
          </w:divBdr>
        </w:div>
        <w:div w:id="476916740">
          <w:marLeft w:val="1166"/>
          <w:marRight w:val="0"/>
          <w:marTop w:val="77"/>
          <w:marBottom w:val="0"/>
          <w:divBdr>
            <w:top w:val="none" w:sz="0" w:space="0" w:color="auto"/>
            <w:left w:val="none" w:sz="0" w:space="0" w:color="auto"/>
            <w:bottom w:val="none" w:sz="0" w:space="0" w:color="auto"/>
            <w:right w:val="none" w:sz="0" w:space="0" w:color="auto"/>
          </w:divBdr>
        </w:div>
        <w:div w:id="1035615823">
          <w:marLeft w:val="1166"/>
          <w:marRight w:val="0"/>
          <w:marTop w:val="77"/>
          <w:marBottom w:val="0"/>
          <w:divBdr>
            <w:top w:val="none" w:sz="0" w:space="0" w:color="auto"/>
            <w:left w:val="none" w:sz="0" w:space="0" w:color="auto"/>
            <w:bottom w:val="none" w:sz="0" w:space="0" w:color="auto"/>
            <w:right w:val="none" w:sz="0" w:space="0" w:color="auto"/>
          </w:divBdr>
        </w:div>
        <w:div w:id="1143039323">
          <w:marLeft w:val="547"/>
          <w:marRight w:val="0"/>
          <w:marTop w:val="96"/>
          <w:marBottom w:val="0"/>
          <w:divBdr>
            <w:top w:val="none" w:sz="0" w:space="0" w:color="auto"/>
            <w:left w:val="none" w:sz="0" w:space="0" w:color="auto"/>
            <w:bottom w:val="none" w:sz="0" w:space="0" w:color="auto"/>
            <w:right w:val="none" w:sz="0" w:space="0" w:color="auto"/>
          </w:divBdr>
        </w:div>
        <w:div w:id="1362170148">
          <w:marLeft w:val="1166"/>
          <w:marRight w:val="0"/>
          <w:marTop w:val="77"/>
          <w:marBottom w:val="0"/>
          <w:divBdr>
            <w:top w:val="none" w:sz="0" w:space="0" w:color="auto"/>
            <w:left w:val="none" w:sz="0" w:space="0" w:color="auto"/>
            <w:bottom w:val="none" w:sz="0" w:space="0" w:color="auto"/>
            <w:right w:val="none" w:sz="0" w:space="0" w:color="auto"/>
          </w:divBdr>
        </w:div>
        <w:div w:id="1448423811">
          <w:marLeft w:val="547"/>
          <w:marRight w:val="0"/>
          <w:marTop w:val="96"/>
          <w:marBottom w:val="0"/>
          <w:divBdr>
            <w:top w:val="none" w:sz="0" w:space="0" w:color="auto"/>
            <w:left w:val="none" w:sz="0" w:space="0" w:color="auto"/>
            <w:bottom w:val="none" w:sz="0" w:space="0" w:color="auto"/>
            <w:right w:val="none" w:sz="0" w:space="0" w:color="auto"/>
          </w:divBdr>
        </w:div>
      </w:divsChild>
    </w:div>
    <w:div w:id="1951813704">
      <w:bodyDiv w:val="1"/>
      <w:marLeft w:val="0"/>
      <w:marRight w:val="0"/>
      <w:marTop w:val="0"/>
      <w:marBottom w:val="0"/>
      <w:divBdr>
        <w:top w:val="none" w:sz="0" w:space="0" w:color="auto"/>
        <w:left w:val="none" w:sz="0" w:space="0" w:color="auto"/>
        <w:bottom w:val="none" w:sz="0" w:space="0" w:color="auto"/>
        <w:right w:val="none" w:sz="0" w:space="0" w:color="auto"/>
      </w:divBdr>
    </w:div>
    <w:div w:id="1952398911">
      <w:bodyDiv w:val="1"/>
      <w:marLeft w:val="0"/>
      <w:marRight w:val="0"/>
      <w:marTop w:val="0"/>
      <w:marBottom w:val="0"/>
      <w:divBdr>
        <w:top w:val="none" w:sz="0" w:space="0" w:color="auto"/>
        <w:left w:val="none" w:sz="0" w:space="0" w:color="auto"/>
        <w:bottom w:val="none" w:sz="0" w:space="0" w:color="auto"/>
        <w:right w:val="none" w:sz="0" w:space="0" w:color="auto"/>
      </w:divBdr>
    </w:div>
    <w:div w:id="1953634190">
      <w:bodyDiv w:val="1"/>
      <w:marLeft w:val="0"/>
      <w:marRight w:val="0"/>
      <w:marTop w:val="0"/>
      <w:marBottom w:val="0"/>
      <w:divBdr>
        <w:top w:val="none" w:sz="0" w:space="0" w:color="auto"/>
        <w:left w:val="none" w:sz="0" w:space="0" w:color="auto"/>
        <w:bottom w:val="none" w:sz="0" w:space="0" w:color="auto"/>
        <w:right w:val="none" w:sz="0" w:space="0" w:color="auto"/>
      </w:divBdr>
      <w:divsChild>
        <w:div w:id="732510111">
          <w:marLeft w:val="1166"/>
          <w:marRight w:val="0"/>
          <w:marTop w:val="115"/>
          <w:marBottom w:val="0"/>
          <w:divBdr>
            <w:top w:val="none" w:sz="0" w:space="0" w:color="auto"/>
            <w:left w:val="none" w:sz="0" w:space="0" w:color="auto"/>
            <w:bottom w:val="none" w:sz="0" w:space="0" w:color="auto"/>
            <w:right w:val="none" w:sz="0" w:space="0" w:color="auto"/>
          </w:divBdr>
        </w:div>
        <w:div w:id="1053045143">
          <w:marLeft w:val="1166"/>
          <w:marRight w:val="0"/>
          <w:marTop w:val="115"/>
          <w:marBottom w:val="0"/>
          <w:divBdr>
            <w:top w:val="none" w:sz="0" w:space="0" w:color="auto"/>
            <w:left w:val="none" w:sz="0" w:space="0" w:color="auto"/>
            <w:bottom w:val="none" w:sz="0" w:space="0" w:color="auto"/>
            <w:right w:val="none" w:sz="0" w:space="0" w:color="auto"/>
          </w:divBdr>
        </w:div>
        <w:div w:id="1105005618">
          <w:marLeft w:val="547"/>
          <w:marRight w:val="0"/>
          <w:marTop w:val="130"/>
          <w:marBottom w:val="0"/>
          <w:divBdr>
            <w:top w:val="none" w:sz="0" w:space="0" w:color="auto"/>
            <w:left w:val="none" w:sz="0" w:space="0" w:color="auto"/>
            <w:bottom w:val="none" w:sz="0" w:space="0" w:color="auto"/>
            <w:right w:val="none" w:sz="0" w:space="0" w:color="auto"/>
          </w:divBdr>
        </w:div>
        <w:div w:id="1280994671">
          <w:marLeft w:val="1166"/>
          <w:marRight w:val="0"/>
          <w:marTop w:val="115"/>
          <w:marBottom w:val="0"/>
          <w:divBdr>
            <w:top w:val="none" w:sz="0" w:space="0" w:color="auto"/>
            <w:left w:val="none" w:sz="0" w:space="0" w:color="auto"/>
            <w:bottom w:val="none" w:sz="0" w:space="0" w:color="auto"/>
            <w:right w:val="none" w:sz="0" w:space="0" w:color="auto"/>
          </w:divBdr>
        </w:div>
        <w:div w:id="1458451432">
          <w:marLeft w:val="547"/>
          <w:marRight w:val="0"/>
          <w:marTop w:val="130"/>
          <w:marBottom w:val="0"/>
          <w:divBdr>
            <w:top w:val="none" w:sz="0" w:space="0" w:color="auto"/>
            <w:left w:val="none" w:sz="0" w:space="0" w:color="auto"/>
            <w:bottom w:val="none" w:sz="0" w:space="0" w:color="auto"/>
            <w:right w:val="none" w:sz="0" w:space="0" w:color="auto"/>
          </w:divBdr>
        </w:div>
        <w:div w:id="1474181054">
          <w:marLeft w:val="1800"/>
          <w:marRight w:val="0"/>
          <w:marTop w:val="96"/>
          <w:marBottom w:val="0"/>
          <w:divBdr>
            <w:top w:val="none" w:sz="0" w:space="0" w:color="auto"/>
            <w:left w:val="none" w:sz="0" w:space="0" w:color="auto"/>
            <w:bottom w:val="none" w:sz="0" w:space="0" w:color="auto"/>
            <w:right w:val="none" w:sz="0" w:space="0" w:color="auto"/>
          </w:divBdr>
        </w:div>
        <w:div w:id="1927230484">
          <w:marLeft w:val="1800"/>
          <w:marRight w:val="0"/>
          <w:marTop w:val="96"/>
          <w:marBottom w:val="0"/>
          <w:divBdr>
            <w:top w:val="none" w:sz="0" w:space="0" w:color="auto"/>
            <w:left w:val="none" w:sz="0" w:space="0" w:color="auto"/>
            <w:bottom w:val="none" w:sz="0" w:space="0" w:color="auto"/>
            <w:right w:val="none" w:sz="0" w:space="0" w:color="auto"/>
          </w:divBdr>
        </w:div>
      </w:divsChild>
    </w:div>
    <w:div w:id="1955793833">
      <w:bodyDiv w:val="1"/>
      <w:marLeft w:val="0"/>
      <w:marRight w:val="0"/>
      <w:marTop w:val="0"/>
      <w:marBottom w:val="0"/>
      <w:divBdr>
        <w:top w:val="none" w:sz="0" w:space="0" w:color="auto"/>
        <w:left w:val="none" w:sz="0" w:space="0" w:color="auto"/>
        <w:bottom w:val="none" w:sz="0" w:space="0" w:color="auto"/>
        <w:right w:val="none" w:sz="0" w:space="0" w:color="auto"/>
      </w:divBdr>
    </w:div>
    <w:div w:id="1956019676">
      <w:bodyDiv w:val="1"/>
      <w:marLeft w:val="0"/>
      <w:marRight w:val="0"/>
      <w:marTop w:val="0"/>
      <w:marBottom w:val="0"/>
      <w:divBdr>
        <w:top w:val="none" w:sz="0" w:space="0" w:color="auto"/>
        <w:left w:val="none" w:sz="0" w:space="0" w:color="auto"/>
        <w:bottom w:val="none" w:sz="0" w:space="0" w:color="auto"/>
        <w:right w:val="none" w:sz="0" w:space="0" w:color="auto"/>
      </w:divBdr>
    </w:div>
    <w:div w:id="1956330301">
      <w:bodyDiv w:val="1"/>
      <w:marLeft w:val="0"/>
      <w:marRight w:val="0"/>
      <w:marTop w:val="0"/>
      <w:marBottom w:val="0"/>
      <w:divBdr>
        <w:top w:val="none" w:sz="0" w:space="0" w:color="auto"/>
        <w:left w:val="none" w:sz="0" w:space="0" w:color="auto"/>
        <w:bottom w:val="none" w:sz="0" w:space="0" w:color="auto"/>
        <w:right w:val="none" w:sz="0" w:space="0" w:color="auto"/>
      </w:divBdr>
    </w:div>
    <w:div w:id="1956518037">
      <w:bodyDiv w:val="1"/>
      <w:marLeft w:val="0"/>
      <w:marRight w:val="0"/>
      <w:marTop w:val="0"/>
      <w:marBottom w:val="0"/>
      <w:divBdr>
        <w:top w:val="none" w:sz="0" w:space="0" w:color="auto"/>
        <w:left w:val="none" w:sz="0" w:space="0" w:color="auto"/>
        <w:bottom w:val="none" w:sz="0" w:space="0" w:color="auto"/>
        <w:right w:val="none" w:sz="0" w:space="0" w:color="auto"/>
      </w:divBdr>
    </w:div>
    <w:div w:id="1957060265">
      <w:bodyDiv w:val="1"/>
      <w:marLeft w:val="0"/>
      <w:marRight w:val="0"/>
      <w:marTop w:val="0"/>
      <w:marBottom w:val="0"/>
      <w:divBdr>
        <w:top w:val="none" w:sz="0" w:space="0" w:color="auto"/>
        <w:left w:val="none" w:sz="0" w:space="0" w:color="auto"/>
        <w:bottom w:val="none" w:sz="0" w:space="0" w:color="auto"/>
        <w:right w:val="none" w:sz="0" w:space="0" w:color="auto"/>
      </w:divBdr>
    </w:div>
    <w:div w:id="1957788047">
      <w:bodyDiv w:val="1"/>
      <w:marLeft w:val="0"/>
      <w:marRight w:val="0"/>
      <w:marTop w:val="0"/>
      <w:marBottom w:val="0"/>
      <w:divBdr>
        <w:top w:val="none" w:sz="0" w:space="0" w:color="auto"/>
        <w:left w:val="none" w:sz="0" w:space="0" w:color="auto"/>
        <w:bottom w:val="none" w:sz="0" w:space="0" w:color="auto"/>
        <w:right w:val="none" w:sz="0" w:space="0" w:color="auto"/>
      </w:divBdr>
      <w:divsChild>
        <w:div w:id="380909232">
          <w:marLeft w:val="1800"/>
          <w:marRight w:val="0"/>
          <w:marTop w:val="120"/>
          <w:marBottom w:val="120"/>
          <w:divBdr>
            <w:top w:val="none" w:sz="0" w:space="0" w:color="auto"/>
            <w:left w:val="none" w:sz="0" w:space="0" w:color="auto"/>
            <w:bottom w:val="none" w:sz="0" w:space="0" w:color="auto"/>
            <w:right w:val="none" w:sz="0" w:space="0" w:color="auto"/>
          </w:divBdr>
        </w:div>
        <w:div w:id="731003593">
          <w:marLeft w:val="1800"/>
          <w:marRight w:val="0"/>
          <w:marTop w:val="120"/>
          <w:marBottom w:val="120"/>
          <w:divBdr>
            <w:top w:val="none" w:sz="0" w:space="0" w:color="auto"/>
            <w:left w:val="none" w:sz="0" w:space="0" w:color="auto"/>
            <w:bottom w:val="none" w:sz="0" w:space="0" w:color="auto"/>
            <w:right w:val="none" w:sz="0" w:space="0" w:color="auto"/>
          </w:divBdr>
        </w:div>
        <w:div w:id="1067073690">
          <w:marLeft w:val="1166"/>
          <w:marRight w:val="0"/>
          <w:marTop w:val="96"/>
          <w:marBottom w:val="0"/>
          <w:divBdr>
            <w:top w:val="none" w:sz="0" w:space="0" w:color="auto"/>
            <w:left w:val="none" w:sz="0" w:space="0" w:color="auto"/>
            <w:bottom w:val="none" w:sz="0" w:space="0" w:color="auto"/>
            <w:right w:val="none" w:sz="0" w:space="0" w:color="auto"/>
          </w:divBdr>
        </w:div>
        <w:div w:id="1079711969">
          <w:marLeft w:val="1800"/>
          <w:marRight w:val="0"/>
          <w:marTop w:val="120"/>
          <w:marBottom w:val="120"/>
          <w:divBdr>
            <w:top w:val="none" w:sz="0" w:space="0" w:color="auto"/>
            <w:left w:val="none" w:sz="0" w:space="0" w:color="auto"/>
            <w:bottom w:val="none" w:sz="0" w:space="0" w:color="auto"/>
            <w:right w:val="none" w:sz="0" w:space="0" w:color="auto"/>
          </w:divBdr>
        </w:div>
        <w:div w:id="1830246792">
          <w:marLeft w:val="1800"/>
          <w:marRight w:val="0"/>
          <w:marTop w:val="120"/>
          <w:marBottom w:val="120"/>
          <w:divBdr>
            <w:top w:val="none" w:sz="0" w:space="0" w:color="auto"/>
            <w:left w:val="none" w:sz="0" w:space="0" w:color="auto"/>
            <w:bottom w:val="none" w:sz="0" w:space="0" w:color="auto"/>
            <w:right w:val="none" w:sz="0" w:space="0" w:color="auto"/>
          </w:divBdr>
        </w:div>
        <w:div w:id="1952932899">
          <w:marLeft w:val="547"/>
          <w:marRight w:val="0"/>
          <w:marTop w:val="115"/>
          <w:marBottom w:val="0"/>
          <w:divBdr>
            <w:top w:val="none" w:sz="0" w:space="0" w:color="auto"/>
            <w:left w:val="none" w:sz="0" w:space="0" w:color="auto"/>
            <w:bottom w:val="none" w:sz="0" w:space="0" w:color="auto"/>
            <w:right w:val="none" w:sz="0" w:space="0" w:color="auto"/>
          </w:divBdr>
        </w:div>
      </w:divsChild>
    </w:div>
    <w:div w:id="1959027105">
      <w:bodyDiv w:val="1"/>
      <w:marLeft w:val="0"/>
      <w:marRight w:val="0"/>
      <w:marTop w:val="0"/>
      <w:marBottom w:val="0"/>
      <w:divBdr>
        <w:top w:val="none" w:sz="0" w:space="0" w:color="auto"/>
        <w:left w:val="none" w:sz="0" w:space="0" w:color="auto"/>
        <w:bottom w:val="none" w:sz="0" w:space="0" w:color="auto"/>
        <w:right w:val="none" w:sz="0" w:space="0" w:color="auto"/>
      </w:divBdr>
    </w:div>
    <w:div w:id="1959949853">
      <w:bodyDiv w:val="1"/>
      <w:marLeft w:val="0"/>
      <w:marRight w:val="0"/>
      <w:marTop w:val="0"/>
      <w:marBottom w:val="0"/>
      <w:divBdr>
        <w:top w:val="none" w:sz="0" w:space="0" w:color="auto"/>
        <w:left w:val="none" w:sz="0" w:space="0" w:color="auto"/>
        <w:bottom w:val="none" w:sz="0" w:space="0" w:color="auto"/>
        <w:right w:val="none" w:sz="0" w:space="0" w:color="auto"/>
      </w:divBdr>
    </w:div>
    <w:div w:id="1960991133">
      <w:bodyDiv w:val="1"/>
      <w:marLeft w:val="0"/>
      <w:marRight w:val="0"/>
      <w:marTop w:val="0"/>
      <w:marBottom w:val="0"/>
      <w:divBdr>
        <w:top w:val="none" w:sz="0" w:space="0" w:color="auto"/>
        <w:left w:val="none" w:sz="0" w:space="0" w:color="auto"/>
        <w:bottom w:val="none" w:sz="0" w:space="0" w:color="auto"/>
        <w:right w:val="none" w:sz="0" w:space="0" w:color="auto"/>
      </w:divBdr>
    </w:div>
    <w:div w:id="1961834108">
      <w:bodyDiv w:val="1"/>
      <w:marLeft w:val="0"/>
      <w:marRight w:val="0"/>
      <w:marTop w:val="0"/>
      <w:marBottom w:val="0"/>
      <w:divBdr>
        <w:top w:val="none" w:sz="0" w:space="0" w:color="auto"/>
        <w:left w:val="none" w:sz="0" w:space="0" w:color="auto"/>
        <w:bottom w:val="none" w:sz="0" w:space="0" w:color="auto"/>
        <w:right w:val="none" w:sz="0" w:space="0" w:color="auto"/>
      </w:divBdr>
    </w:div>
    <w:div w:id="1962110651">
      <w:bodyDiv w:val="1"/>
      <w:marLeft w:val="0"/>
      <w:marRight w:val="0"/>
      <w:marTop w:val="0"/>
      <w:marBottom w:val="0"/>
      <w:divBdr>
        <w:top w:val="none" w:sz="0" w:space="0" w:color="auto"/>
        <w:left w:val="none" w:sz="0" w:space="0" w:color="auto"/>
        <w:bottom w:val="none" w:sz="0" w:space="0" w:color="auto"/>
        <w:right w:val="none" w:sz="0" w:space="0" w:color="auto"/>
      </w:divBdr>
    </w:div>
    <w:div w:id="1962415673">
      <w:bodyDiv w:val="1"/>
      <w:marLeft w:val="0"/>
      <w:marRight w:val="0"/>
      <w:marTop w:val="0"/>
      <w:marBottom w:val="0"/>
      <w:divBdr>
        <w:top w:val="none" w:sz="0" w:space="0" w:color="auto"/>
        <w:left w:val="none" w:sz="0" w:space="0" w:color="auto"/>
        <w:bottom w:val="none" w:sz="0" w:space="0" w:color="auto"/>
        <w:right w:val="none" w:sz="0" w:space="0" w:color="auto"/>
      </w:divBdr>
    </w:div>
    <w:div w:id="1962573035">
      <w:bodyDiv w:val="1"/>
      <w:marLeft w:val="0"/>
      <w:marRight w:val="0"/>
      <w:marTop w:val="0"/>
      <w:marBottom w:val="0"/>
      <w:divBdr>
        <w:top w:val="none" w:sz="0" w:space="0" w:color="auto"/>
        <w:left w:val="none" w:sz="0" w:space="0" w:color="auto"/>
        <w:bottom w:val="none" w:sz="0" w:space="0" w:color="auto"/>
        <w:right w:val="none" w:sz="0" w:space="0" w:color="auto"/>
      </w:divBdr>
    </w:div>
    <w:div w:id="1962614812">
      <w:bodyDiv w:val="1"/>
      <w:marLeft w:val="0"/>
      <w:marRight w:val="0"/>
      <w:marTop w:val="0"/>
      <w:marBottom w:val="0"/>
      <w:divBdr>
        <w:top w:val="none" w:sz="0" w:space="0" w:color="auto"/>
        <w:left w:val="none" w:sz="0" w:space="0" w:color="auto"/>
        <w:bottom w:val="none" w:sz="0" w:space="0" w:color="auto"/>
        <w:right w:val="none" w:sz="0" w:space="0" w:color="auto"/>
      </w:divBdr>
    </w:div>
    <w:div w:id="1965110727">
      <w:bodyDiv w:val="1"/>
      <w:marLeft w:val="0"/>
      <w:marRight w:val="0"/>
      <w:marTop w:val="0"/>
      <w:marBottom w:val="0"/>
      <w:divBdr>
        <w:top w:val="none" w:sz="0" w:space="0" w:color="auto"/>
        <w:left w:val="none" w:sz="0" w:space="0" w:color="auto"/>
        <w:bottom w:val="none" w:sz="0" w:space="0" w:color="auto"/>
        <w:right w:val="none" w:sz="0" w:space="0" w:color="auto"/>
      </w:divBdr>
    </w:div>
    <w:div w:id="1965310250">
      <w:bodyDiv w:val="1"/>
      <w:marLeft w:val="0"/>
      <w:marRight w:val="0"/>
      <w:marTop w:val="0"/>
      <w:marBottom w:val="0"/>
      <w:divBdr>
        <w:top w:val="none" w:sz="0" w:space="0" w:color="auto"/>
        <w:left w:val="none" w:sz="0" w:space="0" w:color="auto"/>
        <w:bottom w:val="none" w:sz="0" w:space="0" w:color="auto"/>
        <w:right w:val="none" w:sz="0" w:space="0" w:color="auto"/>
      </w:divBdr>
    </w:div>
    <w:div w:id="1965849110">
      <w:bodyDiv w:val="1"/>
      <w:marLeft w:val="0"/>
      <w:marRight w:val="0"/>
      <w:marTop w:val="0"/>
      <w:marBottom w:val="0"/>
      <w:divBdr>
        <w:top w:val="none" w:sz="0" w:space="0" w:color="auto"/>
        <w:left w:val="none" w:sz="0" w:space="0" w:color="auto"/>
        <w:bottom w:val="none" w:sz="0" w:space="0" w:color="auto"/>
        <w:right w:val="none" w:sz="0" w:space="0" w:color="auto"/>
      </w:divBdr>
    </w:div>
    <w:div w:id="1966690214">
      <w:bodyDiv w:val="1"/>
      <w:marLeft w:val="0"/>
      <w:marRight w:val="0"/>
      <w:marTop w:val="0"/>
      <w:marBottom w:val="0"/>
      <w:divBdr>
        <w:top w:val="none" w:sz="0" w:space="0" w:color="auto"/>
        <w:left w:val="none" w:sz="0" w:space="0" w:color="auto"/>
        <w:bottom w:val="none" w:sz="0" w:space="0" w:color="auto"/>
        <w:right w:val="none" w:sz="0" w:space="0" w:color="auto"/>
      </w:divBdr>
      <w:divsChild>
        <w:div w:id="767045201">
          <w:marLeft w:val="547"/>
          <w:marRight w:val="0"/>
          <w:marTop w:val="96"/>
          <w:marBottom w:val="0"/>
          <w:divBdr>
            <w:top w:val="none" w:sz="0" w:space="0" w:color="auto"/>
            <w:left w:val="none" w:sz="0" w:space="0" w:color="auto"/>
            <w:bottom w:val="none" w:sz="0" w:space="0" w:color="auto"/>
            <w:right w:val="none" w:sz="0" w:space="0" w:color="auto"/>
          </w:divBdr>
        </w:div>
        <w:div w:id="1656494595">
          <w:marLeft w:val="1166"/>
          <w:marRight w:val="0"/>
          <w:marTop w:val="96"/>
          <w:marBottom w:val="0"/>
          <w:divBdr>
            <w:top w:val="none" w:sz="0" w:space="0" w:color="auto"/>
            <w:left w:val="none" w:sz="0" w:space="0" w:color="auto"/>
            <w:bottom w:val="none" w:sz="0" w:space="0" w:color="auto"/>
            <w:right w:val="none" w:sz="0" w:space="0" w:color="auto"/>
          </w:divBdr>
        </w:div>
      </w:divsChild>
    </w:div>
    <w:div w:id="1967083888">
      <w:bodyDiv w:val="1"/>
      <w:marLeft w:val="0"/>
      <w:marRight w:val="0"/>
      <w:marTop w:val="0"/>
      <w:marBottom w:val="0"/>
      <w:divBdr>
        <w:top w:val="none" w:sz="0" w:space="0" w:color="auto"/>
        <w:left w:val="none" w:sz="0" w:space="0" w:color="auto"/>
        <w:bottom w:val="none" w:sz="0" w:space="0" w:color="auto"/>
        <w:right w:val="none" w:sz="0" w:space="0" w:color="auto"/>
      </w:divBdr>
    </w:div>
    <w:div w:id="1967345961">
      <w:bodyDiv w:val="1"/>
      <w:marLeft w:val="0"/>
      <w:marRight w:val="0"/>
      <w:marTop w:val="0"/>
      <w:marBottom w:val="0"/>
      <w:divBdr>
        <w:top w:val="none" w:sz="0" w:space="0" w:color="auto"/>
        <w:left w:val="none" w:sz="0" w:space="0" w:color="auto"/>
        <w:bottom w:val="none" w:sz="0" w:space="0" w:color="auto"/>
        <w:right w:val="none" w:sz="0" w:space="0" w:color="auto"/>
      </w:divBdr>
    </w:div>
    <w:div w:id="1967466468">
      <w:bodyDiv w:val="1"/>
      <w:marLeft w:val="0"/>
      <w:marRight w:val="0"/>
      <w:marTop w:val="0"/>
      <w:marBottom w:val="0"/>
      <w:divBdr>
        <w:top w:val="none" w:sz="0" w:space="0" w:color="auto"/>
        <w:left w:val="none" w:sz="0" w:space="0" w:color="auto"/>
        <w:bottom w:val="none" w:sz="0" w:space="0" w:color="auto"/>
        <w:right w:val="none" w:sz="0" w:space="0" w:color="auto"/>
      </w:divBdr>
    </w:div>
    <w:div w:id="1967807961">
      <w:bodyDiv w:val="1"/>
      <w:marLeft w:val="0"/>
      <w:marRight w:val="0"/>
      <w:marTop w:val="0"/>
      <w:marBottom w:val="0"/>
      <w:divBdr>
        <w:top w:val="none" w:sz="0" w:space="0" w:color="auto"/>
        <w:left w:val="none" w:sz="0" w:space="0" w:color="auto"/>
        <w:bottom w:val="none" w:sz="0" w:space="0" w:color="auto"/>
        <w:right w:val="none" w:sz="0" w:space="0" w:color="auto"/>
      </w:divBdr>
    </w:div>
    <w:div w:id="1968118703">
      <w:bodyDiv w:val="1"/>
      <w:marLeft w:val="0"/>
      <w:marRight w:val="0"/>
      <w:marTop w:val="0"/>
      <w:marBottom w:val="0"/>
      <w:divBdr>
        <w:top w:val="none" w:sz="0" w:space="0" w:color="auto"/>
        <w:left w:val="none" w:sz="0" w:space="0" w:color="auto"/>
        <w:bottom w:val="none" w:sz="0" w:space="0" w:color="auto"/>
        <w:right w:val="none" w:sz="0" w:space="0" w:color="auto"/>
      </w:divBdr>
      <w:divsChild>
        <w:div w:id="714232472">
          <w:marLeft w:val="1800"/>
          <w:marRight w:val="0"/>
          <w:marTop w:val="86"/>
          <w:marBottom w:val="0"/>
          <w:divBdr>
            <w:top w:val="none" w:sz="0" w:space="0" w:color="auto"/>
            <w:left w:val="none" w:sz="0" w:space="0" w:color="auto"/>
            <w:bottom w:val="none" w:sz="0" w:space="0" w:color="auto"/>
            <w:right w:val="none" w:sz="0" w:space="0" w:color="auto"/>
          </w:divBdr>
        </w:div>
        <w:div w:id="897209322">
          <w:marLeft w:val="1166"/>
          <w:marRight w:val="0"/>
          <w:marTop w:val="96"/>
          <w:marBottom w:val="0"/>
          <w:divBdr>
            <w:top w:val="none" w:sz="0" w:space="0" w:color="auto"/>
            <w:left w:val="none" w:sz="0" w:space="0" w:color="auto"/>
            <w:bottom w:val="none" w:sz="0" w:space="0" w:color="auto"/>
            <w:right w:val="none" w:sz="0" w:space="0" w:color="auto"/>
          </w:divBdr>
        </w:div>
        <w:div w:id="944845591">
          <w:marLeft w:val="1800"/>
          <w:marRight w:val="0"/>
          <w:marTop w:val="86"/>
          <w:marBottom w:val="0"/>
          <w:divBdr>
            <w:top w:val="none" w:sz="0" w:space="0" w:color="auto"/>
            <w:left w:val="none" w:sz="0" w:space="0" w:color="auto"/>
            <w:bottom w:val="none" w:sz="0" w:space="0" w:color="auto"/>
            <w:right w:val="none" w:sz="0" w:space="0" w:color="auto"/>
          </w:divBdr>
        </w:div>
        <w:div w:id="1021589132">
          <w:marLeft w:val="1800"/>
          <w:marRight w:val="0"/>
          <w:marTop w:val="86"/>
          <w:marBottom w:val="0"/>
          <w:divBdr>
            <w:top w:val="none" w:sz="0" w:space="0" w:color="auto"/>
            <w:left w:val="none" w:sz="0" w:space="0" w:color="auto"/>
            <w:bottom w:val="none" w:sz="0" w:space="0" w:color="auto"/>
            <w:right w:val="none" w:sz="0" w:space="0" w:color="auto"/>
          </w:divBdr>
        </w:div>
        <w:div w:id="1244296230">
          <w:marLeft w:val="547"/>
          <w:marRight w:val="0"/>
          <w:marTop w:val="115"/>
          <w:marBottom w:val="0"/>
          <w:divBdr>
            <w:top w:val="none" w:sz="0" w:space="0" w:color="auto"/>
            <w:left w:val="none" w:sz="0" w:space="0" w:color="auto"/>
            <w:bottom w:val="none" w:sz="0" w:space="0" w:color="auto"/>
            <w:right w:val="none" w:sz="0" w:space="0" w:color="auto"/>
          </w:divBdr>
        </w:div>
        <w:div w:id="1504735041">
          <w:marLeft w:val="547"/>
          <w:marRight w:val="0"/>
          <w:marTop w:val="115"/>
          <w:marBottom w:val="0"/>
          <w:divBdr>
            <w:top w:val="none" w:sz="0" w:space="0" w:color="auto"/>
            <w:left w:val="none" w:sz="0" w:space="0" w:color="auto"/>
            <w:bottom w:val="none" w:sz="0" w:space="0" w:color="auto"/>
            <w:right w:val="none" w:sz="0" w:space="0" w:color="auto"/>
          </w:divBdr>
        </w:div>
        <w:div w:id="1550265391">
          <w:marLeft w:val="1166"/>
          <w:marRight w:val="0"/>
          <w:marTop w:val="96"/>
          <w:marBottom w:val="0"/>
          <w:divBdr>
            <w:top w:val="none" w:sz="0" w:space="0" w:color="auto"/>
            <w:left w:val="none" w:sz="0" w:space="0" w:color="auto"/>
            <w:bottom w:val="none" w:sz="0" w:space="0" w:color="auto"/>
            <w:right w:val="none" w:sz="0" w:space="0" w:color="auto"/>
          </w:divBdr>
        </w:div>
      </w:divsChild>
    </w:div>
    <w:div w:id="1969123415">
      <w:bodyDiv w:val="1"/>
      <w:marLeft w:val="0"/>
      <w:marRight w:val="0"/>
      <w:marTop w:val="0"/>
      <w:marBottom w:val="0"/>
      <w:divBdr>
        <w:top w:val="none" w:sz="0" w:space="0" w:color="auto"/>
        <w:left w:val="none" w:sz="0" w:space="0" w:color="auto"/>
        <w:bottom w:val="none" w:sz="0" w:space="0" w:color="auto"/>
        <w:right w:val="none" w:sz="0" w:space="0" w:color="auto"/>
      </w:divBdr>
    </w:div>
    <w:div w:id="1969434379">
      <w:bodyDiv w:val="1"/>
      <w:marLeft w:val="0"/>
      <w:marRight w:val="0"/>
      <w:marTop w:val="0"/>
      <w:marBottom w:val="0"/>
      <w:divBdr>
        <w:top w:val="none" w:sz="0" w:space="0" w:color="auto"/>
        <w:left w:val="none" w:sz="0" w:space="0" w:color="auto"/>
        <w:bottom w:val="none" w:sz="0" w:space="0" w:color="auto"/>
        <w:right w:val="none" w:sz="0" w:space="0" w:color="auto"/>
      </w:divBdr>
    </w:div>
    <w:div w:id="1969700402">
      <w:bodyDiv w:val="1"/>
      <w:marLeft w:val="0"/>
      <w:marRight w:val="0"/>
      <w:marTop w:val="0"/>
      <w:marBottom w:val="0"/>
      <w:divBdr>
        <w:top w:val="none" w:sz="0" w:space="0" w:color="auto"/>
        <w:left w:val="none" w:sz="0" w:space="0" w:color="auto"/>
        <w:bottom w:val="none" w:sz="0" w:space="0" w:color="auto"/>
        <w:right w:val="none" w:sz="0" w:space="0" w:color="auto"/>
      </w:divBdr>
    </w:div>
    <w:div w:id="1969777519">
      <w:bodyDiv w:val="1"/>
      <w:marLeft w:val="0"/>
      <w:marRight w:val="0"/>
      <w:marTop w:val="0"/>
      <w:marBottom w:val="0"/>
      <w:divBdr>
        <w:top w:val="none" w:sz="0" w:space="0" w:color="auto"/>
        <w:left w:val="none" w:sz="0" w:space="0" w:color="auto"/>
        <w:bottom w:val="none" w:sz="0" w:space="0" w:color="auto"/>
        <w:right w:val="none" w:sz="0" w:space="0" w:color="auto"/>
      </w:divBdr>
    </w:div>
    <w:div w:id="1971282867">
      <w:bodyDiv w:val="1"/>
      <w:marLeft w:val="0"/>
      <w:marRight w:val="0"/>
      <w:marTop w:val="0"/>
      <w:marBottom w:val="0"/>
      <w:divBdr>
        <w:top w:val="none" w:sz="0" w:space="0" w:color="auto"/>
        <w:left w:val="none" w:sz="0" w:space="0" w:color="auto"/>
        <w:bottom w:val="none" w:sz="0" w:space="0" w:color="auto"/>
        <w:right w:val="none" w:sz="0" w:space="0" w:color="auto"/>
      </w:divBdr>
    </w:div>
    <w:div w:id="1972320785">
      <w:bodyDiv w:val="1"/>
      <w:marLeft w:val="0"/>
      <w:marRight w:val="0"/>
      <w:marTop w:val="0"/>
      <w:marBottom w:val="0"/>
      <w:divBdr>
        <w:top w:val="none" w:sz="0" w:space="0" w:color="auto"/>
        <w:left w:val="none" w:sz="0" w:space="0" w:color="auto"/>
        <w:bottom w:val="none" w:sz="0" w:space="0" w:color="auto"/>
        <w:right w:val="none" w:sz="0" w:space="0" w:color="auto"/>
      </w:divBdr>
    </w:div>
    <w:div w:id="1973050849">
      <w:bodyDiv w:val="1"/>
      <w:marLeft w:val="0"/>
      <w:marRight w:val="0"/>
      <w:marTop w:val="0"/>
      <w:marBottom w:val="0"/>
      <w:divBdr>
        <w:top w:val="none" w:sz="0" w:space="0" w:color="auto"/>
        <w:left w:val="none" w:sz="0" w:space="0" w:color="auto"/>
        <w:bottom w:val="none" w:sz="0" w:space="0" w:color="auto"/>
        <w:right w:val="none" w:sz="0" w:space="0" w:color="auto"/>
      </w:divBdr>
      <w:divsChild>
        <w:div w:id="20714854">
          <w:marLeft w:val="547"/>
          <w:marRight w:val="0"/>
          <w:marTop w:val="154"/>
          <w:marBottom w:val="0"/>
          <w:divBdr>
            <w:top w:val="none" w:sz="0" w:space="0" w:color="auto"/>
            <w:left w:val="none" w:sz="0" w:space="0" w:color="auto"/>
            <w:bottom w:val="none" w:sz="0" w:space="0" w:color="auto"/>
            <w:right w:val="none" w:sz="0" w:space="0" w:color="auto"/>
          </w:divBdr>
        </w:div>
        <w:div w:id="1586920415">
          <w:marLeft w:val="547"/>
          <w:marRight w:val="0"/>
          <w:marTop w:val="154"/>
          <w:marBottom w:val="0"/>
          <w:divBdr>
            <w:top w:val="none" w:sz="0" w:space="0" w:color="auto"/>
            <w:left w:val="none" w:sz="0" w:space="0" w:color="auto"/>
            <w:bottom w:val="none" w:sz="0" w:space="0" w:color="auto"/>
            <w:right w:val="none" w:sz="0" w:space="0" w:color="auto"/>
          </w:divBdr>
        </w:div>
        <w:div w:id="1736588869">
          <w:marLeft w:val="547"/>
          <w:marRight w:val="0"/>
          <w:marTop w:val="154"/>
          <w:marBottom w:val="0"/>
          <w:divBdr>
            <w:top w:val="none" w:sz="0" w:space="0" w:color="auto"/>
            <w:left w:val="none" w:sz="0" w:space="0" w:color="auto"/>
            <w:bottom w:val="none" w:sz="0" w:space="0" w:color="auto"/>
            <w:right w:val="none" w:sz="0" w:space="0" w:color="auto"/>
          </w:divBdr>
        </w:div>
      </w:divsChild>
    </w:div>
    <w:div w:id="1973052694">
      <w:bodyDiv w:val="1"/>
      <w:marLeft w:val="0"/>
      <w:marRight w:val="0"/>
      <w:marTop w:val="0"/>
      <w:marBottom w:val="0"/>
      <w:divBdr>
        <w:top w:val="none" w:sz="0" w:space="0" w:color="auto"/>
        <w:left w:val="none" w:sz="0" w:space="0" w:color="auto"/>
        <w:bottom w:val="none" w:sz="0" w:space="0" w:color="auto"/>
        <w:right w:val="none" w:sz="0" w:space="0" w:color="auto"/>
      </w:divBdr>
    </w:div>
    <w:div w:id="1973897631">
      <w:bodyDiv w:val="1"/>
      <w:marLeft w:val="0"/>
      <w:marRight w:val="0"/>
      <w:marTop w:val="0"/>
      <w:marBottom w:val="0"/>
      <w:divBdr>
        <w:top w:val="none" w:sz="0" w:space="0" w:color="auto"/>
        <w:left w:val="none" w:sz="0" w:space="0" w:color="auto"/>
        <w:bottom w:val="none" w:sz="0" w:space="0" w:color="auto"/>
        <w:right w:val="none" w:sz="0" w:space="0" w:color="auto"/>
      </w:divBdr>
      <w:divsChild>
        <w:div w:id="1540901356">
          <w:marLeft w:val="0"/>
          <w:marRight w:val="0"/>
          <w:marTop w:val="0"/>
          <w:marBottom w:val="0"/>
          <w:divBdr>
            <w:top w:val="none" w:sz="0" w:space="0" w:color="auto"/>
            <w:left w:val="none" w:sz="0" w:space="0" w:color="auto"/>
            <w:bottom w:val="none" w:sz="0" w:space="0" w:color="auto"/>
            <w:right w:val="none" w:sz="0" w:space="0" w:color="auto"/>
          </w:divBdr>
        </w:div>
      </w:divsChild>
    </w:div>
    <w:div w:id="1974285839">
      <w:bodyDiv w:val="1"/>
      <w:marLeft w:val="0"/>
      <w:marRight w:val="0"/>
      <w:marTop w:val="0"/>
      <w:marBottom w:val="0"/>
      <w:divBdr>
        <w:top w:val="none" w:sz="0" w:space="0" w:color="auto"/>
        <w:left w:val="none" w:sz="0" w:space="0" w:color="auto"/>
        <w:bottom w:val="none" w:sz="0" w:space="0" w:color="auto"/>
        <w:right w:val="none" w:sz="0" w:space="0" w:color="auto"/>
      </w:divBdr>
    </w:div>
    <w:div w:id="1974410104">
      <w:bodyDiv w:val="1"/>
      <w:marLeft w:val="0"/>
      <w:marRight w:val="0"/>
      <w:marTop w:val="0"/>
      <w:marBottom w:val="0"/>
      <w:divBdr>
        <w:top w:val="none" w:sz="0" w:space="0" w:color="auto"/>
        <w:left w:val="none" w:sz="0" w:space="0" w:color="auto"/>
        <w:bottom w:val="none" w:sz="0" w:space="0" w:color="auto"/>
        <w:right w:val="none" w:sz="0" w:space="0" w:color="auto"/>
      </w:divBdr>
    </w:div>
    <w:div w:id="1974748576">
      <w:bodyDiv w:val="1"/>
      <w:marLeft w:val="0"/>
      <w:marRight w:val="0"/>
      <w:marTop w:val="0"/>
      <w:marBottom w:val="0"/>
      <w:divBdr>
        <w:top w:val="none" w:sz="0" w:space="0" w:color="auto"/>
        <w:left w:val="none" w:sz="0" w:space="0" w:color="auto"/>
        <w:bottom w:val="none" w:sz="0" w:space="0" w:color="auto"/>
        <w:right w:val="none" w:sz="0" w:space="0" w:color="auto"/>
      </w:divBdr>
    </w:div>
    <w:div w:id="1975452946">
      <w:bodyDiv w:val="1"/>
      <w:marLeft w:val="0"/>
      <w:marRight w:val="0"/>
      <w:marTop w:val="0"/>
      <w:marBottom w:val="0"/>
      <w:divBdr>
        <w:top w:val="none" w:sz="0" w:space="0" w:color="auto"/>
        <w:left w:val="none" w:sz="0" w:space="0" w:color="auto"/>
        <w:bottom w:val="none" w:sz="0" w:space="0" w:color="auto"/>
        <w:right w:val="none" w:sz="0" w:space="0" w:color="auto"/>
      </w:divBdr>
    </w:div>
    <w:div w:id="1975480846">
      <w:bodyDiv w:val="1"/>
      <w:marLeft w:val="0"/>
      <w:marRight w:val="0"/>
      <w:marTop w:val="0"/>
      <w:marBottom w:val="0"/>
      <w:divBdr>
        <w:top w:val="none" w:sz="0" w:space="0" w:color="auto"/>
        <w:left w:val="none" w:sz="0" w:space="0" w:color="auto"/>
        <w:bottom w:val="none" w:sz="0" w:space="0" w:color="auto"/>
        <w:right w:val="none" w:sz="0" w:space="0" w:color="auto"/>
      </w:divBdr>
    </w:div>
    <w:div w:id="1975870120">
      <w:bodyDiv w:val="1"/>
      <w:marLeft w:val="0"/>
      <w:marRight w:val="0"/>
      <w:marTop w:val="0"/>
      <w:marBottom w:val="0"/>
      <w:divBdr>
        <w:top w:val="none" w:sz="0" w:space="0" w:color="auto"/>
        <w:left w:val="none" w:sz="0" w:space="0" w:color="auto"/>
        <w:bottom w:val="none" w:sz="0" w:space="0" w:color="auto"/>
        <w:right w:val="none" w:sz="0" w:space="0" w:color="auto"/>
      </w:divBdr>
    </w:div>
    <w:div w:id="1975941931">
      <w:bodyDiv w:val="1"/>
      <w:marLeft w:val="0"/>
      <w:marRight w:val="0"/>
      <w:marTop w:val="0"/>
      <w:marBottom w:val="0"/>
      <w:divBdr>
        <w:top w:val="none" w:sz="0" w:space="0" w:color="auto"/>
        <w:left w:val="none" w:sz="0" w:space="0" w:color="auto"/>
        <w:bottom w:val="none" w:sz="0" w:space="0" w:color="auto"/>
        <w:right w:val="none" w:sz="0" w:space="0" w:color="auto"/>
      </w:divBdr>
    </w:div>
    <w:div w:id="1976177417">
      <w:bodyDiv w:val="1"/>
      <w:marLeft w:val="0"/>
      <w:marRight w:val="0"/>
      <w:marTop w:val="0"/>
      <w:marBottom w:val="0"/>
      <w:divBdr>
        <w:top w:val="none" w:sz="0" w:space="0" w:color="auto"/>
        <w:left w:val="none" w:sz="0" w:space="0" w:color="auto"/>
        <w:bottom w:val="none" w:sz="0" w:space="0" w:color="auto"/>
        <w:right w:val="none" w:sz="0" w:space="0" w:color="auto"/>
      </w:divBdr>
      <w:divsChild>
        <w:div w:id="839472003">
          <w:marLeft w:val="0"/>
          <w:marRight w:val="0"/>
          <w:marTop w:val="0"/>
          <w:marBottom w:val="0"/>
          <w:divBdr>
            <w:top w:val="none" w:sz="0" w:space="0" w:color="auto"/>
            <w:left w:val="none" w:sz="0" w:space="0" w:color="auto"/>
            <w:bottom w:val="none" w:sz="0" w:space="0" w:color="auto"/>
            <w:right w:val="none" w:sz="0" w:space="0" w:color="auto"/>
          </w:divBdr>
          <w:divsChild>
            <w:div w:id="20035093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6253443">
      <w:bodyDiv w:val="1"/>
      <w:marLeft w:val="0"/>
      <w:marRight w:val="0"/>
      <w:marTop w:val="0"/>
      <w:marBottom w:val="0"/>
      <w:divBdr>
        <w:top w:val="none" w:sz="0" w:space="0" w:color="auto"/>
        <w:left w:val="none" w:sz="0" w:space="0" w:color="auto"/>
        <w:bottom w:val="none" w:sz="0" w:space="0" w:color="auto"/>
        <w:right w:val="none" w:sz="0" w:space="0" w:color="auto"/>
      </w:divBdr>
    </w:div>
    <w:div w:id="1977445480">
      <w:bodyDiv w:val="1"/>
      <w:marLeft w:val="0"/>
      <w:marRight w:val="0"/>
      <w:marTop w:val="0"/>
      <w:marBottom w:val="0"/>
      <w:divBdr>
        <w:top w:val="none" w:sz="0" w:space="0" w:color="auto"/>
        <w:left w:val="none" w:sz="0" w:space="0" w:color="auto"/>
        <w:bottom w:val="none" w:sz="0" w:space="0" w:color="auto"/>
        <w:right w:val="none" w:sz="0" w:space="0" w:color="auto"/>
      </w:divBdr>
    </w:div>
    <w:div w:id="1977953588">
      <w:bodyDiv w:val="1"/>
      <w:marLeft w:val="0"/>
      <w:marRight w:val="0"/>
      <w:marTop w:val="0"/>
      <w:marBottom w:val="0"/>
      <w:divBdr>
        <w:top w:val="none" w:sz="0" w:space="0" w:color="auto"/>
        <w:left w:val="none" w:sz="0" w:space="0" w:color="auto"/>
        <w:bottom w:val="none" w:sz="0" w:space="0" w:color="auto"/>
        <w:right w:val="none" w:sz="0" w:space="0" w:color="auto"/>
      </w:divBdr>
      <w:divsChild>
        <w:div w:id="51320331">
          <w:marLeft w:val="547"/>
          <w:marRight w:val="0"/>
          <w:marTop w:val="96"/>
          <w:marBottom w:val="0"/>
          <w:divBdr>
            <w:top w:val="none" w:sz="0" w:space="0" w:color="auto"/>
            <w:left w:val="none" w:sz="0" w:space="0" w:color="auto"/>
            <w:bottom w:val="none" w:sz="0" w:space="0" w:color="auto"/>
            <w:right w:val="none" w:sz="0" w:space="0" w:color="auto"/>
          </w:divBdr>
        </w:div>
        <w:div w:id="198516150">
          <w:marLeft w:val="2520"/>
          <w:marRight w:val="0"/>
          <w:marTop w:val="67"/>
          <w:marBottom w:val="0"/>
          <w:divBdr>
            <w:top w:val="none" w:sz="0" w:space="0" w:color="auto"/>
            <w:left w:val="none" w:sz="0" w:space="0" w:color="auto"/>
            <w:bottom w:val="none" w:sz="0" w:space="0" w:color="auto"/>
            <w:right w:val="none" w:sz="0" w:space="0" w:color="auto"/>
          </w:divBdr>
        </w:div>
        <w:div w:id="687872418">
          <w:marLeft w:val="2520"/>
          <w:marRight w:val="0"/>
          <w:marTop w:val="67"/>
          <w:marBottom w:val="0"/>
          <w:divBdr>
            <w:top w:val="none" w:sz="0" w:space="0" w:color="auto"/>
            <w:left w:val="none" w:sz="0" w:space="0" w:color="auto"/>
            <w:bottom w:val="none" w:sz="0" w:space="0" w:color="auto"/>
            <w:right w:val="none" w:sz="0" w:space="0" w:color="auto"/>
          </w:divBdr>
        </w:div>
        <w:div w:id="777872879">
          <w:marLeft w:val="2520"/>
          <w:marRight w:val="0"/>
          <w:marTop w:val="67"/>
          <w:marBottom w:val="0"/>
          <w:divBdr>
            <w:top w:val="none" w:sz="0" w:space="0" w:color="auto"/>
            <w:left w:val="none" w:sz="0" w:space="0" w:color="auto"/>
            <w:bottom w:val="none" w:sz="0" w:space="0" w:color="auto"/>
            <w:right w:val="none" w:sz="0" w:space="0" w:color="auto"/>
          </w:divBdr>
        </w:div>
        <w:div w:id="831069529">
          <w:marLeft w:val="1800"/>
          <w:marRight w:val="0"/>
          <w:marTop w:val="120"/>
          <w:marBottom w:val="0"/>
          <w:divBdr>
            <w:top w:val="none" w:sz="0" w:space="0" w:color="auto"/>
            <w:left w:val="none" w:sz="0" w:space="0" w:color="auto"/>
            <w:bottom w:val="none" w:sz="0" w:space="0" w:color="auto"/>
            <w:right w:val="none" w:sz="0" w:space="0" w:color="auto"/>
          </w:divBdr>
        </w:div>
        <w:div w:id="860170453">
          <w:marLeft w:val="2520"/>
          <w:marRight w:val="0"/>
          <w:marTop w:val="67"/>
          <w:marBottom w:val="0"/>
          <w:divBdr>
            <w:top w:val="none" w:sz="0" w:space="0" w:color="auto"/>
            <w:left w:val="none" w:sz="0" w:space="0" w:color="auto"/>
            <w:bottom w:val="none" w:sz="0" w:space="0" w:color="auto"/>
            <w:right w:val="none" w:sz="0" w:space="0" w:color="auto"/>
          </w:divBdr>
        </w:div>
        <w:div w:id="919674878">
          <w:marLeft w:val="1166"/>
          <w:marRight w:val="0"/>
          <w:marTop w:val="77"/>
          <w:marBottom w:val="0"/>
          <w:divBdr>
            <w:top w:val="none" w:sz="0" w:space="0" w:color="auto"/>
            <w:left w:val="none" w:sz="0" w:space="0" w:color="auto"/>
            <w:bottom w:val="none" w:sz="0" w:space="0" w:color="auto"/>
            <w:right w:val="none" w:sz="0" w:space="0" w:color="auto"/>
          </w:divBdr>
        </w:div>
        <w:div w:id="1431119690">
          <w:marLeft w:val="2520"/>
          <w:marRight w:val="0"/>
          <w:marTop w:val="67"/>
          <w:marBottom w:val="0"/>
          <w:divBdr>
            <w:top w:val="none" w:sz="0" w:space="0" w:color="auto"/>
            <w:left w:val="none" w:sz="0" w:space="0" w:color="auto"/>
            <w:bottom w:val="none" w:sz="0" w:space="0" w:color="auto"/>
            <w:right w:val="none" w:sz="0" w:space="0" w:color="auto"/>
          </w:divBdr>
        </w:div>
        <w:div w:id="1464152438">
          <w:marLeft w:val="2520"/>
          <w:marRight w:val="0"/>
          <w:marTop w:val="67"/>
          <w:marBottom w:val="0"/>
          <w:divBdr>
            <w:top w:val="none" w:sz="0" w:space="0" w:color="auto"/>
            <w:left w:val="none" w:sz="0" w:space="0" w:color="auto"/>
            <w:bottom w:val="none" w:sz="0" w:space="0" w:color="auto"/>
            <w:right w:val="none" w:sz="0" w:space="0" w:color="auto"/>
          </w:divBdr>
        </w:div>
        <w:div w:id="1530337624">
          <w:marLeft w:val="1166"/>
          <w:marRight w:val="0"/>
          <w:marTop w:val="77"/>
          <w:marBottom w:val="0"/>
          <w:divBdr>
            <w:top w:val="none" w:sz="0" w:space="0" w:color="auto"/>
            <w:left w:val="none" w:sz="0" w:space="0" w:color="auto"/>
            <w:bottom w:val="none" w:sz="0" w:space="0" w:color="auto"/>
            <w:right w:val="none" w:sz="0" w:space="0" w:color="auto"/>
          </w:divBdr>
        </w:div>
        <w:div w:id="1624195328">
          <w:marLeft w:val="1166"/>
          <w:marRight w:val="0"/>
          <w:marTop w:val="120"/>
          <w:marBottom w:val="0"/>
          <w:divBdr>
            <w:top w:val="none" w:sz="0" w:space="0" w:color="auto"/>
            <w:left w:val="none" w:sz="0" w:space="0" w:color="auto"/>
            <w:bottom w:val="none" w:sz="0" w:space="0" w:color="auto"/>
            <w:right w:val="none" w:sz="0" w:space="0" w:color="auto"/>
          </w:divBdr>
        </w:div>
        <w:div w:id="1796175951">
          <w:marLeft w:val="547"/>
          <w:marRight w:val="0"/>
          <w:marTop w:val="120"/>
          <w:marBottom w:val="0"/>
          <w:divBdr>
            <w:top w:val="none" w:sz="0" w:space="0" w:color="auto"/>
            <w:left w:val="none" w:sz="0" w:space="0" w:color="auto"/>
            <w:bottom w:val="none" w:sz="0" w:space="0" w:color="auto"/>
            <w:right w:val="none" w:sz="0" w:space="0" w:color="auto"/>
          </w:divBdr>
        </w:div>
        <w:div w:id="2014645265">
          <w:marLeft w:val="1166"/>
          <w:marRight w:val="0"/>
          <w:marTop w:val="77"/>
          <w:marBottom w:val="0"/>
          <w:divBdr>
            <w:top w:val="none" w:sz="0" w:space="0" w:color="auto"/>
            <w:left w:val="none" w:sz="0" w:space="0" w:color="auto"/>
            <w:bottom w:val="none" w:sz="0" w:space="0" w:color="auto"/>
            <w:right w:val="none" w:sz="0" w:space="0" w:color="auto"/>
          </w:divBdr>
        </w:div>
      </w:divsChild>
    </w:div>
    <w:div w:id="1978149154">
      <w:bodyDiv w:val="1"/>
      <w:marLeft w:val="0"/>
      <w:marRight w:val="0"/>
      <w:marTop w:val="0"/>
      <w:marBottom w:val="0"/>
      <w:divBdr>
        <w:top w:val="none" w:sz="0" w:space="0" w:color="auto"/>
        <w:left w:val="none" w:sz="0" w:space="0" w:color="auto"/>
        <w:bottom w:val="none" w:sz="0" w:space="0" w:color="auto"/>
        <w:right w:val="none" w:sz="0" w:space="0" w:color="auto"/>
      </w:divBdr>
    </w:div>
    <w:div w:id="1978415219">
      <w:bodyDiv w:val="1"/>
      <w:marLeft w:val="0"/>
      <w:marRight w:val="0"/>
      <w:marTop w:val="0"/>
      <w:marBottom w:val="0"/>
      <w:divBdr>
        <w:top w:val="none" w:sz="0" w:space="0" w:color="auto"/>
        <w:left w:val="none" w:sz="0" w:space="0" w:color="auto"/>
        <w:bottom w:val="none" w:sz="0" w:space="0" w:color="auto"/>
        <w:right w:val="none" w:sz="0" w:space="0" w:color="auto"/>
      </w:divBdr>
    </w:div>
    <w:div w:id="1978609207">
      <w:bodyDiv w:val="1"/>
      <w:marLeft w:val="0"/>
      <w:marRight w:val="0"/>
      <w:marTop w:val="0"/>
      <w:marBottom w:val="0"/>
      <w:divBdr>
        <w:top w:val="none" w:sz="0" w:space="0" w:color="auto"/>
        <w:left w:val="none" w:sz="0" w:space="0" w:color="auto"/>
        <w:bottom w:val="none" w:sz="0" w:space="0" w:color="auto"/>
        <w:right w:val="none" w:sz="0" w:space="0" w:color="auto"/>
      </w:divBdr>
    </w:div>
    <w:div w:id="1979341048">
      <w:bodyDiv w:val="1"/>
      <w:marLeft w:val="0"/>
      <w:marRight w:val="0"/>
      <w:marTop w:val="0"/>
      <w:marBottom w:val="0"/>
      <w:divBdr>
        <w:top w:val="none" w:sz="0" w:space="0" w:color="auto"/>
        <w:left w:val="none" w:sz="0" w:space="0" w:color="auto"/>
        <w:bottom w:val="none" w:sz="0" w:space="0" w:color="auto"/>
        <w:right w:val="none" w:sz="0" w:space="0" w:color="auto"/>
      </w:divBdr>
    </w:div>
    <w:div w:id="1980454231">
      <w:bodyDiv w:val="1"/>
      <w:marLeft w:val="0"/>
      <w:marRight w:val="0"/>
      <w:marTop w:val="0"/>
      <w:marBottom w:val="0"/>
      <w:divBdr>
        <w:top w:val="none" w:sz="0" w:space="0" w:color="auto"/>
        <w:left w:val="none" w:sz="0" w:space="0" w:color="auto"/>
        <w:bottom w:val="none" w:sz="0" w:space="0" w:color="auto"/>
        <w:right w:val="none" w:sz="0" w:space="0" w:color="auto"/>
      </w:divBdr>
    </w:div>
    <w:div w:id="1980574745">
      <w:bodyDiv w:val="1"/>
      <w:marLeft w:val="0"/>
      <w:marRight w:val="0"/>
      <w:marTop w:val="0"/>
      <w:marBottom w:val="0"/>
      <w:divBdr>
        <w:top w:val="none" w:sz="0" w:space="0" w:color="auto"/>
        <w:left w:val="none" w:sz="0" w:space="0" w:color="auto"/>
        <w:bottom w:val="none" w:sz="0" w:space="0" w:color="auto"/>
        <w:right w:val="none" w:sz="0" w:space="0" w:color="auto"/>
      </w:divBdr>
    </w:div>
    <w:div w:id="1980987079">
      <w:bodyDiv w:val="1"/>
      <w:marLeft w:val="0"/>
      <w:marRight w:val="0"/>
      <w:marTop w:val="0"/>
      <w:marBottom w:val="0"/>
      <w:divBdr>
        <w:top w:val="none" w:sz="0" w:space="0" w:color="auto"/>
        <w:left w:val="none" w:sz="0" w:space="0" w:color="auto"/>
        <w:bottom w:val="none" w:sz="0" w:space="0" w:color="auto"/>
        <w:right w:val="none" w:sz="0" w:space="0" w:color="auto"/>
      </w:divBdr>
    </w:div>
    <w:div w:id="1981302765">
      <w:bodyDiv w:val="1"/>
      <w:marLeft w:val="0"/>
      <w:marRight w:val="0"/>
      <w:marTop w:val="0"/>
      <w:marBottom w:val="0"/>
      <w:divBdr>
        <w:top w:val="none" w:sz="0" w:space="0" w:color="auto"/>
        <w:left w:val="none" w:sz="0" w:space="0" w:color="auto"/>
        <w:bottom w:val="none" w:sz="0" w:space="0" w:color="auto"/>
        <w:right w:val="none" w:sz="0" w:space="0" w:color="auto"/>
      </w:divBdr>
      <w:divsChild>
        <w:div w:id="193733485">
          <w:marLeft w:val="547"/>
          <w:marRight w:val="0"/>
          <w:marTop w:val="96"/>
          <w:marBottom w:val="0"/>
          <w:divBdr>
            <w:top w:val="none" w:sz="0" w:space="0" w:color="auto"/>
            <w:left w:val="none" w:sz="0" w:space="0" w:color="auto"/>
            <w:bottom w:val="none" w:sz="0" w:space="0" w:color="auto"/>
            <w:right w:val="none" w:sz="0" w:space="0" w:color="auto"/>
          </w:divBdr>
        </w:div>
        <w:div w:id="997804240">
          <w:marLeft w:val="547"/>
          <w:marRight w:val="0"/>
          <w:marTop w:val="96"/>
          <w:marBottom w:val="0"/>
          <w:divBdr>
            <w:top w:val="none" w:sz="0" w:space="0" w:color="auto"/>
            <w:left w:val="none" w:sz="0" w:space="0" w:color="auto"/>
            <w:bottom w:val="none" w:sz="0" w:space="0" w:color="auto"/>
            <w:right w:val="none" w:sz="0" w:space="0" w:color="auto"/>
          </w:divBdr>
        </w:div>
        <w:div w:id="1134374514">
          <w:marLeft w:val="547"/>
          <w:marRight w:val="0"/>
          <w:marTop w:val="96"/>
          <w:marBottom w:val="0"/>
          <w:divBdr>
            <w:top w:val="none" w:sz="0" w:space="0" w:color="auto"/>
            <w:left w:val="none" w:sz="0" w:space="0" w:color="auto"/>
            <w:bottom w:val="none" w:sz="0" w:space="0" w:color="auto"/>
            <w:right w:val="none" w:sz="0" w:space="0" w:color="auto"/>
          </w:divBdr>
        </w:div>
        <w:div w:id="1854370690">
          <w:marLeft w:val="547"/>
          <w:marRight w:val="0"/>
          <w:marTop w:val="96"/>
          <w:marBottom w:val="0"/>
          <w:divBdr>
            <w:top w:val="none" w:sz="0" w:space="0" w:color="auto"/>
            <w:left w:val="none" w:sz="0" w:space="0" w:color="auto"/>
            <w:bottom w:val="none" w:sz="0" w:space="0" w:color="auto"/>
            <w:right w:val="none" w:sz="0" w:space="0" w:color="auto"/>
          </w:divBdr>
        </w:div>
      </w:divsChild>
    </w:div>
    <w:div w:id="1981423174">
      <w:bodyDiv w:val="1"/>
      <w:marLeft w:val="0"/>
      <w:marRight w:val="0"/>
      <w:marTop w:val="0"/>
      <w:marBottom w:val="0"/>
      <w:divBdr>
        <w:top w:val="none" w:sz="0" w:space="0" w:color="auto"/>
        <w:left w:val="none" w:sz="0" w:space="0" w:color="auto"/>
        <w:bottom w:val="none" w:sz="0" w:space="0" w:color="auto"/>
        <w:right w:val="none" w:sz="0" w:space="0" w:color="auto"/>
      </w:divBdr>
    </w:div>
    <w:div w:id="1981568892">
      <w:bodyDiv w:val="1"/>
      <w:marLeft w:val="0"/>
      <w:marRight w:val="0"/>
      <w:marTop w:val="0"/>
      <w:marBottom w:val="0"/>
      <w:divBdr>
        <w:top w:val="none" w:sz="0" w:space="0" w:color="auto"/>
        <w:left w:val="none" w:sz="0" w:space="0" w:color="auto"/>
        <w:bottom w:val="none" w:sz="0" w:space="0" w:color="auto"/>
        <w:right w:val="none" w:sz="0" w:space="0" w:color="auto"/>
      </w:divBdr>
    </w:div>
    <w:div w:id="1982035457">
      <w:bodyDiv w:val="1"/>
      <w:marLeft w:val="0"/>
      <w:marRight w:val="0"/>
      <w:marTop w:val="0"/>
      <w:marBottom w:val="0"/>
      <w:divBdr>
        <w:top w:val="none" w:sz="0" w:space="0" w:color="auto"/>
        <w:left w:val="none" w:sz="0" w:space="0" w:color="auto"/>
        <w:bottom w:val="none" w:sz="0" w:space="0" w:color="auto"/>
        <w:right w:val="none" w:sz="0" w:space="0" w:color="auto"/>
      </w:divBdr>
    </w:div>
    <w:div w:id="1983197172">
      <w:bodyDiv w:val="1"/>
      <w:marLeft w:val="0"/>
      <w:marRight w:val="0"/>
      <w:marTop w:val="0"/>
      <w:marBottom w:val="0"/>
      <w:divBdr>
        <w:top w:val="none" w:sz="0" w:space="0" w:color="auto"/>
        <w:left w:val="none" w:sz="0" w:space="0" w:color="auto"/>
        <w:bottom w:val="none" w:sz="0" w:space="0" w:color="auto"/>
        <w:right w:val="none" w:sz="0" w:space="0" w:color="auto"/>
      </w:divBdr>
    </w:div>
    <w:div w:id="1986086326">
      <w:bodyDiv w:val="1"/>
      <w:marLeft w:val="0"/>
      <w:marRight w:val="0"/>
      <w:marTop w:val="0"/>
      <w:marBottom w:val="0"/>
      <w:divBdr>
        <w:top w:val="none" w:sz="0" w:space="0" w:color="auto"/>
        <w:left w:val="none" w:sz="0" w:space="0" w:color="auto"/>
        <w:bottom w:val="none" w:sz="0" w:space="0" w:color="auto"/>
        <w:right w:val="none" w:sz="0" w:space="0" w:color="auto"/>
      </w:divBdr>
      <w:divsChild>
        <w:div w:id="46148898">
          <w:marLeft w:val="1166"/>
          <w:marRight w:val="0"/>
          <w:marTop w:val="115"/>
          <w:marBottom w:val="0"/>
          <w:divBdr>
            <w:top w:val="none" w:sz="0" w:space="0" w:color="auto"/>
            <w:left w:val="none" w:sz="0" w:space="0" w:color="auto"/>
            <w:bottom w:val="none" w:sz="0" w:space="0" w:color="auto"/>
            <w:right w:val="none" w:sz="0" w:space="0" w:color="auto"/>
          </w:divBdr>
        </w:div>
        <w:div w:id="244416202">
          <w:marLeft w:val="547"/>
          <w:marRight w:val="0"/>
          <w:marTop w:val="134"/>
          <w:marBottom w:val="0"/>
          <w:divBdr>
            <w:top w:val="none" w:sz="0" w:space="0" w:color="auto"/>
            <w:left w:val="none" w:sz="0" w:space="0" w:color="auto"/>
            <w:bottom w:val="none" w:sz="0" w:space="0" w:color="auto"/>
            <w:right w:val="none" w:sz="0" w:space="0" w:color="auto"/>
          </w:divBdr>
        </w:div>
        <w:div w:id="445467139">
          <w:marLeft w:val="1166"/>
          <w:marRight w:val="0"/>
          <w:marTop w:val="115"/>
          <w:marBottom w:val="0"/>
          <w:divBdr>
            <w:top w:val="none" w:sz="0" w:space="0" w:color="auto"/>
            <w:left w:val="none" w:sz="0" w:space="0" w:color="auto"/>
            <w:bottom w:val="none" w:sz="0" w:space="0" w:color="auto"/>
            <w:right w:val="none" w:sz="0" w:space="0" w:color="auto"/>
          </w:divBdr>
        </w:div>
      </w:divsChild>
    </w:div>
    <w:div w:id="1986473717">
      <w:bodyDiv w:val="1"/>
      <w:marLeft w:val="0"/>
      <w:marRight w:val="0"/>
      <w:marTop w:val="0"/>
      <w:marBottom w:val="0"/>
      <w:divBdr>
        <w:top w:val="none" w:sz="0" w:space="0" w:color="auto"/>
        <w:left w:val="none" w:sz="0" w:space="0" w:color="auto"/>
        <w:bottom w:val="none" w:sz="0" w:space="0" w:color="auto"/>
        <w:right w:val="none" w:sz="0" w:space="0" w:color="auto"/>
      </w:divBdr>
    </w:div>
    <w:div w:id="1986659497">
      <w:bodyDiv w:val="1"/>
      <w:marLeft w:val="0"/>
      <w:marRight w:val="0"/>
      <w:marTop w:val="0"/>
      <w:marBottom w:val="0"/>
      <w:divBdr>
        <w:top w:val="none" w:sz="0" w:space="0" w:color="auto"/>
        <w:left w:val="none" w:sz="0" w:space="0" w:color="auto"/>
        <w:bottom w:val="none" w:sz="0" w:space="0" w:color="auto"/>
        <w:right w:val="none" w:sz="0" w:space="0" w:color="auto"/>
      </w:divBdr>
    </w:div>
    <w:div w:id="1987202212">
      <w:bodyDiv w:val="1"/>
      <w:marLeft w:val="0"/>
      <w:marRight w:val="0"/>
      <w:marTop w:val="0"/>
      <w:marBottom w:val="0"/>
      <w:divBdr>
        <w:top w:val="none" w:sz="0" w:space="0" w:color="auto"/>
        <w:left w:val="none" w:sz="0" w:space="0" w:color="auto"/>
        <w:bottom w:val="none" w:sz="0" w:space="0" w:color="auto"/>
        <w:right w:val="none" w:sz="0" w:space="0" w:color="auto"/>
      </w:divBdr>
    </w:div>
    <w:div w:id="1987277677">
      <w:bodyDiv w:val="1"/>
      <w:marLeft w:val="0"/>
      <w:marRight w:val="0"/>
      <w:marTop w:val="0"/>
      <w:marBottom w:val="0"/>
      <w:divBdr>
        <w:top w:val="none" w:sz="0" w:space="0" w:color="auto"/>
        <w:left w:val="none" w:sz="0" w:space="0" w:color="auto"/>
        <w:bottom w:val="none" w:sz="0" w:space="0" w:color="auto"/>
        <w:right w:val="none" w:sz="0" w:space="0" w:color="auto"/>
      </w:divBdr>
    </w:div>
    <w:div w:id="1987541192">
      <w:bodyDiv w:val="1"/>
      <w:marLeft w:val="0"/>
      <w:marRight w:val="0"/>
      <w:marTop w:val="0"/>
      <w:marBottom w:val="0"/>
      <w:divBdr>
        <w:top w:val="none" w:sz="0" w:space="0" w:color="auto"/>
        <w:left w:val="none" w:sz="0" w:space="0" w:color="auto"/>
        <w:bottom w:val="none" w:sz="0" w:space="0" w:color="auto"/>
        <w:right w:val="none" w:sz="0" w:space="0" w:color="auto"/>
      </w:divBdr>
    </w:div>
    <w:div w:id="1987780791">
      <w:bodyDiv w:val="1"/>
      <w:marLeft w:val="0"/>
      <w:marRight w:val="0"/>
      <w:marTop w:val="0"/>
      <w:marBottom w:val="0"/>
      <w:divBdr>
        <w:top w:val="none" w:sz="0" w:space="0" w:color="auto"/>
        <w:left w:val="none" w:sz="0" w:space="0" w:color="auto"/>
        <w:bottom w:val="none" w:sz="0" w:space="0" w:color="auto"/>
        <w:right w:val="none" w:sz="0" w:space="0" w:color="auto"/>
      </w:divBdr>
    </w:div>
    <w:div w:id="1989241849">
      <w:bodyDiv w:val="1"/>
      <w:marLeft w:val="0"/>
      <w:marRight w:val="0"/>
      <w:marTop w:val="0"/>
      <w:marBottom w:val="0"/>
      <w:divBdr>
        <w:top w:val="none" w:sz="0" w:space="0" w:color="auto"/>
        <w:left w:val="none" w:sz="0" w:space="0" w:color="auto"/>
        <w:bottom w:val="none" w:sz="0" w:space="0" w:color="auto"/>
        <w:right w:val="none" w:sz="0" w:space="0" w:color="auto"/>
      </w:divBdr>
      <w:divsChild>
        <w:div w:id="247470556">
          <w:marLeft w:val="547"/>
          <w:marRight w:val="0"/>
          <w:marTop w:val="106"/>
          <w:marBottom w:val="0"/>
          <w:divBdr>
            <w:top w:val="none" w:sz="0" w:space="0" w:color="auto"/>
            <w:left w:val="none" w:sz="0" w:space="0" w:color="auto"/>
            <w:bottom w:val="none" w:sz="0" w:space="0" w:color="auto"/>
            <w:right w:val="none" w:sz="0" w:space="0" w:color="auto"/>
          </w:divBdr>
        </w:div>
        <w:div w:id="1602757868">
          <w:marLeft w:val="547"/>
          <w:marRight w:val="0"/>
          <w:marTop w:val="106"/>
          <w:marBottom w:val="0"/>
          <w:divBdr>
            <w:top w:val="none" w:sz="0" w:space="0" w:color="auto"/>
            <w:left w:val="none" w:sz="0" w:space="0" w:color="auto"/>
            <w:bottom w:val="none" w:sz="0" w:space="0" w:color="auto"/>
            <w:right w:val="none" w:sz="0" w:space="0" w:color="auto"/>
          </w:divBdr>
        </w:div>
        <w:div w:id="2100102874">
          <w:marLeft w:val="547"/>
          <w:marRight w:val="0"/>
          <w:marTop w:val="106"/>
          <w:marBottom w:val="0"/>
          <w:divBdr>
            <w:top w:val="none" w:sz="0" w:space="0" w:color="auto"/>
            <w:left w:val="none" w:sz="0" w:space="0" w:color="auto"/>
            <w:bottom w:val="none" w:sz="0" w:space="0" w:color="auto"/>
            <w:right w:val="none" w:sz="0" w:space="0" w:color="auto"/>
          </w:divBdr>
        </w:div>
      </w:divsChild>
    </w:div>
    <w:div w:id="1989548316">
      <w:bodyDiv w:val="1"/>
      <w:marLeft w:val="0"/>
      <w:marRight w:val="0"/>
      <w:marTop w:val="0"/>
      <w:marBottom w:val="0"/>
      <w:divBdr>
        <w:top w:val="none" w:sz="0" w:space="0" w:color="auto"/>
        <w:left w:val="none" w:sz="0" w:space="0" w:color="auto"/>
        <w:bottom w:val="none" w:sz="0" w:space="0" w:color="auto"/>
        <w:right w:val="none" w:sz="0" w:space="0" w:color="auto"/>
      </w:divBdr>
    </w:div>
    <w:div w:id="1990085687">
      <w:bodyDiv w:val="1"/>
      <w:marLeft w:val="0"/>
      <w:marRight w:val="0"/>
      <w:marTop w:val="0"/>
      <w:marBottom w:val="0"/>
      <w:divBdr>
        <w:top w:val="none" w:sz="0" w:space="0" w:color="auto"/>
        <w:left w:val="none" w:sz="0" w:space="0" w:color="auto"/>
        <w:bottom w:val="none" w:sz="0" w:space="0" w:color="auto"/>
        <w:right w:val="none" w:sz="0" w:space="0" w:color="auto"/>
      </w:divBdr>
    </w:div>
    <w:div w:id="1990160934">
      <w:bodyDiv w:val="1"/>
      <w:marLeft w:val="0"/>
      <w:marRight w:val="0"/>
      <w:marTop w:val="0"/>
      <w:marBottom w:val="0"/>
      <w:divBdr>
        <w:top w:val="none" w:sz="0" w:space="0" w:color="auto"/>
        <w:left w:val="none" w:sz="0" w:space="0" w:color="auto"/>
        <w:bottom w:val="none" w:sz="0" w:space="0" w:color="auto"/>
        <w:right w:val="none" w:sz="0" w:space="0" w:color="auto"/>
      </w:divBdr>
      <w:divsChild>
        <w:div w:id="274294496">
          <w:marLeft w:val="547"/>
          <w:marRight w:val="0"/>
          <w:marTop w:val="134"/>
          <w:marBottom w:val="0"/>
          <w:divBdr>
            <w:top w:val="none" w:sz="0" w:space="0" w:color="auto"/>
            <w:left w:val="none" w:sz="0" w:space="0" w:color="auto"/>
            <w:bottom w:val="none" w:sz="0" w:space="0" w:color="auto"/>
            <w:right w:val="none" w:sz="0" w:space="0" w:color="auto"/>
          </w:divBdr>
        </w:div>
        <w:div w:id="389622158">
          <w:marLeft w:val="547"/>
          <w:marRight w:val="0"/>
          <w:marTop w:val="134"/>
          <w:marBottom w:val="0"/>
          <w:divBdr>
            <w:top w:val="none" w:sz="0" w:space="0" w:color="auto"/>
            <w:left w:val="none" w:sz="0" w:space="0" w:color="auto"/>
            <w:bottom w:val="none" w:sz="0" w:space="0" w:color="auto"/>
            <w:right w:val="none" w:sz="0" w:space="0" w:color="auto"/>
          </w:divBdr>
        </w:div>
        <w:div w:id="479158208">
          <w:marLeft w:val="1166"/>
          <w:marRight w:val="0"/>
          <w:marTop w:val="115"/>
          <w:marBottom w:val="0"/>
          <w:divBdr>
            <w:top w:val="none" w:sz="0" w:space="0" w:color="auto"/>
            <w:left w:val="none" w:sz="0" w:space="0" w:color="auto"/>
            <w:bottom w:val="none" w:sz="0" w:space="0" w:color="auto"/>
            <w:right w:val="none" w:sz="0" w:space="0" w:color="auto"/>
          </w:divBdr>
        </w:div>
        <w:div w:id="679161935">
          <w:marLeft w:val="1800"/>
          <w:marRight w:val="0"/>
          <w:marTop w:val="96"/>
          <w:marBottom w:val="0"/>
          <w:divBdr>
            <w:top w:val="none" w:sz="0" w:space="0" w:color="auto"/>
            <w:left w:val="none" w:sz="0" w:space="0" w:color="auto"/>
            <w:bottom w:val="none" w:sz="0" w:space="0" w:color="auto"/>
            <w:right w:val="none" w:sz="0" w:space="0" w:color="auto"/>
          </w:divBdr>
        </w:div>
        <w:div w:id="774979839">
          <w:marLeft w:val="1166"/>
          <w:marRight w:val="0"/>
          <w:marTop w:val="115"/>
          <w:marBottom w:val="0"/>
          <w:divBdr>
            <w:top w:val="none" w:sz="0" w:space="0" w:color="auto"/>
            <w:left w:val="none" w:sz="0" w:space="0" w:color="auto"/>
            <w:bottom w:val="none" w:sz="0" w:space="0" w:color="auto"/>
            <w:right w:val="none" w:sz="0" w:space="0" w:color="auto"/>
          </w:divBdr>
        </w:div>
        <w:div w:id="1466504489">
          <w:marLeft w:val="1166"/>
          <w:marRight w:val="0"/>
          <w:marTop w:val="115"/>
          <w:marBottom w:val="0"/>
          <w:divBdr>
            <w:top w:val="none" w:sz="0" w:space="0" w:color="auto"/>
            <w:left w:val="none" w:sz="0" w:space="0" w:color="auto"/>
            <w:bottom w:val="none" w:sz="0" w:space="0" w:color="auto"/>
            <w:right w:val="none" w:sz="0" w:space="0" w:color="auto"/>
          </w:divBdr>
        </w:div>
        <w:div w:id="2027360824">
          <w:marLeft w:val="1800"/>
          <w:marRight w:val="0"/>
          <w:marTop w:val="96"/>
          <w:marBottom w:val="0"/>
          <w:divBdr>
            <w:top w:val="none" w:sz="0" w:space="0" w:color="auto"/>
            <w:left w:val="none" w:sz="0" w:space="0" w:color="auto"/>
            <w:bottom w:val="none" w:sz="0" w:space="0" w:color="auto"/>
            <w:right w:val="none" w:sz="0" w:space="0" w:color="auto"/>
          </w:divBdr>
        </w:div>
      </w:divsChild>
    </w:div>
    <w:div w:id="1990936627">
      <w:bodyDiv w:val="1"/>
      <w:marLeft w:val="0"/>
      <w:marRight w:val="0"/>
      <w:marTop w:val="0"/>
      <w:marBottom w:val="0"/>
      <w:divBdr>
        <w:top w:val="none" w:sz="0" w:space="0" w:color="auto"/>
        <w:left w:val="none" w:sz="0" w:space="0" w:color="auto"/>
        <w:bottom w:val="none" w:sz="0" w:space="0" w:color="auto"/>
        <w:right w:val="none" w:sz="0" w:space="0" w:color="auto"/>
      </w:divBdr>
      <w:divsChild>
        <w:div w:id="290984401">
          <w:marLeft w:val="1166"/>
          <w:marRight w:val="0"/>
          <w:marTop w:val="96"/>
          <w:marBottom w:val="120"/>
          <w:divBdr>
            <w:top w:val="none" w:sz="0" w:space="0" w:color="auto"/>
            <w:left w:val="none" w:sz="0" w:space="0" w:color="auto"/>
            <w:bottom w:val="none" w:sz="0" w:space="0" w:color="auto"/>
            <w:right w:val="none" w:sz="0" w:space="0" w:color="auto"/>
          </w:divBdr>
        </w:div>
        <w:div w:id="1046174633">
          <w:marLeft w:val="547"/>
          <w:marRight w:val="0"/>
          <w:marTop w:val="115"/>
          <w:marBottom w:val="120"/>
          <w:divBdr>
            <w:top w:val="none" w:sz="0" w:space="0" w:color="auto"/>
            <w:left w:val="none" w:sz="0" w:space="0" w:color="auto"/>
            <w:bottom w:val="none" w:sz="0" w:space="0" w:color="auto"/>
            <w:right w:val="none" w:sz="0" w:space="0" w:color="auto"/>
          </w:divBdr>
        </w:div>
        <w:div w:id="1108281158">
          <w:marLeft w:val="547"/>
          <w:marRight w:val="0"/>
          <w:marTop w:val="115"/>
          <w:marBottom w:val="120"/>
          <w:divBdr>
            <w:top w:val="none" w:sz="0" w:space="0" w:color="auto"/>
            <w:left w:val="none" w:sz="0" w:space="0" w:color="auto"/>
            <w:bottom w:val="none" w:sz="0" w:space="0" w:color="auto"/>
            <w:right w:val="none" w:sz="0" w:space="0" w:color="auto"/>
          </w:divBdr>
        </w:div>
        <w:div w:id="1153182983">
          <w:marLeft w:val="1166"/>
          <w:marRight w:val="0"/>
          <w:marTop w:val="96"/>
          <w:marBottom w:val="120"/>
          <w:divBdr>
            <w:top w:val="none" w:sz="0" w:space="0" w:color="auto"/>
            <w:left w:val="none" w:sz="0" w:space="0" w:color="auto"/>
            <w:bottom w:val="none" w:sz="0" w:space="0" w:color="auto"/>
            <w:right w:val="none" w:sz="0" w:space="0" w:color="auto"/>
          </w:divBdr>
        </w:div>
        <w:div w:id="1671323735">
          <w:marLeft w:val="1166"/>
          <w:marRight w:val="0"/>
          <w:marTop w:val="96"/>
          <w:marBottom w:val="120"/>
          <w:divBdr>
            <w:top w:val="none" w:sz="0" w:space="0" w:color="auto"/>
            <w:left w:val="none" w:sz="0" w:space="0" w:color="auto"/>
            <w:bottom w:val="none" w:sz="0" w:space="0" w:color="auto"/>
            <w:right w:val="none" w:sz="0" w:space="0" w:color="auto"/>
          </w:divBdr>
        </w:div>
      </w:divsChild>
    </w:div>
    <w:div w:id="1991253244">
      <w:bodyDiv w:val="1"/>
      <w:marLeft w:val="0"/>
      <w:marRight w:val="0"/>
      <w:marTop w:val="0"/>
      <w:marBottom w:val="0"/>
      <w:divBdr>
        <w:top w:val="none" w:sz="0" w:space="0" w:color="auto"/>
        <w:left w:val="none" w:sz="0" w:space="0" w:color="auto"/>
        <w:bottom w:val="none" w:sz="0" w:space="0" w:color="auto"/>
        <w:right w:val="none" w:sz="0" w:space="0" w:color="auto"/>
      </w:divBdr>
    </w:div>
    <w:div w:id="1992294570">
      <w:bodyDiv w:val="1"/>
      <w:marLeft w:val="0"/>
      <w:marRight w:val="0"/>
      <w:marTop w:val="0"/>
      <w:marBottom w:val="0"/>
      <w:divBdr>
        <w:top w:val="none" w:sz="0" w:space="0" w:color="auto"/>
        <w:left w:val="none" w:sz="0" w:space="0" w:color="auto"/>
        <w:bottom w:val="none" w:sz="0" w:space="0" w:color="auto"/>
        <w:right w:val="none" w:sz="0" w:space="0" w:color="auto"/>
      </w:divBdr>
    </w:div>
    <w:div w:id="1993169567">
      <w:bodyDiv w:val="1"/>
      <w:marLeft w:val="0"/>
      <w:marRight w:val="0"/>
      <w:marTop w:val="0"/>
      <w:marBottom w:val="0"/>
      <w:divBdr>
        <w:top w:val="none" w:sz="0" w:space="0" w:color="auto"/>
        <w:left w:val="none" w:sz="0" w:space="0" w:color="auto"/>
        <w:bottom w:val="none" w:sz="0" w:space="0" w:color="auto"/>
        <w:right w:val="none" w:sz="0" w:space="0" w:color="auto"/>
      </w:divBdr>
    </w:div>
    <w:div w:id="1993867544">
      <w:bodyDiv w:val="1"/>
      <w:marLeft w:val="0"/>
      <w:marRight w:val="0"/>
      <w:marTop w:val="0"/>
      <w:marBottom w:val="0"/>
      <w:divBdr>
        <w:top w:val="none" w:sz="0" w:space="0" w:color="auto"/>
        <w:left w:val="none" w:sz="0" w:space="0" w:color="auto"/>
        <w:bottom w:val="none" w:sz="0" w:space="0" w:color="auto"/>
        <w:right w:val="none" w:sz="0" w:space="0" w:color="auto"/>
      </w:divBdr>
    </w:div>
    <w:div w:id="1994410212">
      <w:bodyDiv w:val="1"/>
      <w:marLeft w:val="0"/>
      <w:marRight w:val="0"/>
      <w:marTop w:val="0"/>
      <w:marBottom w:val="0"/>
      <w:divBdr>
        <w:top w:val="none" w:sz="0" w:space="0" w:color="auto"/>
        <w:left w:val="none" w:sz="0" w:space="0" w:color="auto"/>
        <w:bottom w:val="none" w:sz="0" w:space="0" w:color="auto"/>
        <w:right w:val="none" w:sz="0" w:space="0" w:color="auto"/>
      </w:divBdr>
    </w:div>
    <w:div w:id="1994485433">
      <w:bodyDiv w:val="1"/>
      <w:marLeft w:val="0"/>
      <w:marRight w:val="0"/>
      <w:marTop w:val="0"/>
      <w:marBottom w:val="0"/>
      <w:divBdr>
        <w:top w:val="none" w:sz="0" w:space="0" w:color="auto"/>
        <w:left w:val="none" w:sz="0" w:space="0" w:color="auto"/>
        <w:bottom w:val="none" w:sz="0" w:space="0" w:color="auto"/>
        <w:right w:val="none" w:sz="0" w:space="0" w:color="auto"/>
      </w:divBdr>
      <w:divsChild>
        <w:div w:id="180556264">
          <w:marLeft w:val="547"/>
          <w:marRight w:val="0"/>
          <w:marTop w:val="134"/>
          <w:marBottom w:val="0"/>
          <w:divBdr>
            <w:top w:val="none" w:sz="0" w:space="0" w:color="auto"/>
            <w:left w:val="none" w:sz="0" w:space="0" w:color="auto"/>
            <w:bottom w:val="none" w:sz="0" w:space="0" w:color="auto"/>
            <w:right w:val="none" w:sz="0" w:space="0" w:color="auto"/>
          </w:divBdr>
        </w:div>
        <w:div w:id="994800645">
          <w:marLeft w:val="1166"/>
          <w:marRight w:val="0"/>
          <w:marTop w:val="115"/>
          <w:marBottom w:val="0"/>
          <w:divBdr>
            <w:top w:val="none" w:sz="0" w:space="0" w:color="auto"/>
            <w:left w:val="none" w:sz="0" w:space="0" w:color="auto"/>
            <w:bottom w:val="none" w:sz="0" w:space="0" w:color="auto"/>
            <w:right w:val="none" w:sz="0" w:space="0" w:color="auto"/>
          </w:divBdr>
        </w:div>
        <w:div w:id="1311444954">
          <w:marLeft w:val="547"/>
          <w:marRight w:val="0"/>
          <w:marTop w:val="134"/>
          <w:marBottom w:val="0"/>
          <w:divBdr>
            <w:top w:val="none" w:sz="0" w:space="0" w:color="auto"/>
            <w:left w:val="none" w:sz="0" w:space="0" w:color="auto"/>
            <w:bottom w:val="none" w:sz="0" w:space="0" w:color="auto"/>
            <w:right w:val="none" w:sz="0" w:space="0" w:color="auto"/>
          </w:divBdr>
        </w:div>
        <w:div w:id="2143307669">
          <w:marLeft w:val="1166"/>
          <w:marRight w:val="0"/>
          <w:marTop w:val="115"/>
          <w:marBottom w:val="0"/>
          <w:divBdr>
            <w:top w:val="none" w:sz="0" w:space="0" w:color="auto"/>
            <w:left w:val="none" w:sz="0" w:space="0" w:color="auto"/>
            <w:bottom w:val="none" w:sz="0" w:space="0" w:color="auto"/>
            <w:right w:val="none" w:sz="0" w:space="0" w:color="auto"/>
          </w:divBdr>
        </w:div>
      </w:divsChild>
    </w:div>
    <w:div w:id="1994525624">
      <w:bodyDiv w:val="1"/>
      <w:marLeft w:val="0"/>
      <w:marRight w:val="0"/>
      <w:marTop w:val="0"/>
      <w:marBottom w:val="0"/>
      <w:divBdr>
        <w:top w:val="none" w:sz="0" w:space="0" w:color="auto"/>
        <w:left w:val="none" w:sz="0" w:space="0" w:color="auto"/>
        <w:bottom w:val="none" w:sz="0" w:space="0" w:color="auto"/>
        <w:right w:val="none" w:sz="0" w:space="0" w:color="auto"/>
      </w:divBdr>
    </w:div>
    <w:div w:id="1994605916">
      <w:bodyDiv w:val="1"/>
      <w:marLeft w:val="0"/>
      <w:marRight w:val="0"/>
      <w:marTop w:val="0"/>
      <w:marBottom w:val="0"/>
      <w:divBdr>
        <w:top w:val="none" w:sz="0" w:space="0" w:color="auto"/>
        <w:left w:val="none" w:sz="0" w:space="0" w:color="auto"/>
        <w:bottom w:val="none" w:sz="0" w:space="0" w:color="auto"/>
        <w:right w:val="none" w:sz="0" w:space="0" w:color="auto"/>
      </w:divBdr>
    </w:div>
    <w:div w:id="1996955610">
      <w:bodyDiv w:val="1"/>
      <w:marLeft w:val="0"/>
      <w:marRight w:val="0"/>
      <w:marTop w:val="0"/>
      <w:marBottom w:val="0"/>
      <w:divBdr>
        <w:top w:val="none" w:sz="0" w:space="0" w:color="auto"/>
        <w:left w:val="none" w:sz="0" w:space="0" w:color="auto"/>
        <w:bottom w:val="none" w:sz="0" w:space="0" w:color="auto"/>
        <w:right w:val="none" w:sz="0" w:space="0" w:color="auto"/>
      </w:divBdr>
    </w:div>
    <w:div w:id="1997606380">
      <w:bodyDiv w:val="1"/>
      <w:marLeft w:val="0"/>
      <w:marRight w:val="0"/>
      <w:marTop w:val="0"/>
      <w:marBottom w:val="0"/>
      <w:divBdr>
        <w:top w:val="none" w:sz="0" w:space="0" w:color="auto"/>
        <w:left w:val="none" w:sz="0" w:space="0" w:color="auto"/>
        <w:bottom w:val="none" w:sz="0" w:space="0" w:color="auto"/>
        <w:right w:val="none" w:sz="0" w:space="0" w:color="auto"/>
      </w:divBdr>
      <w:divsChild>
        <w:div w:id="292488226">
          <w:marLeft w:val="1166"/>
          <w:marRight w:val="0"/>
          <w:marTop w:val="125"/>
          <w:marBottom w:val="0"/>
          <w:divBdr>
            <w:top w:val="none" w:sz="0" w:space="0" w:color="auto"/>
            <w:left w:val="none" w:sz="0" w:space="0" w:color="auto"/>
            <w:bottom w:val="none" w:sz="0" w:space="0" w:color="auto"/>
            <w:right w:val="none" w:sz="0" w:space="0" w:color="auto"/>
          </w:divBdr>
        </w:div>
        <w:div w:id="872305537">
          <w:marLeft w:val="547"/>
          <w:marRight w:val="0"/>
          <w:marTop w:val="144"/>
          <w:marBottom w:val="0"/>
          <w:divBdr>
            <w:top w:val="none" w:sz="0" w:space="0" w:color="auto"/>
            <w:left w:val="none" w:sz="0" w:space="0" w:color="auto"/>
            <w:bottom w:val="none" w:sz="0" w:space="0" w:color="auto"/>
            <w:right w:val="none" w:sz="0" w:space="0" w:color="auto"/>
          </w:divBdr>
        </w:div>
        <w:div w:id="1558932899">
          <w:marLeft w:val="1166"/>
          <w:marRight w:val="0"/>
          <w:marTop w:val="125"/>
          <w:marBottom w:val="0"/>
          <w:divBdr>
            <w:top w:val="none" w:sz="0" w:space="0" w:color="auto"/>
            <w:left w:val="none" w:sz="0" w:space="0" w:color="auto"/>
            <w:bottom w:val="none" w:sz="0" w:space="0" w:color="auto"/>
            <w:right w:val="none" w:sz="0" w:space="0" w:color="auto"/>
          </w:divBdr>
        </w:div>
        <w:div w:id="1616253503">
          <w:marLeft w:val="1166"/>
          <w:marRight w:val="0"/>
          <w:marTop w:val="125"/>
          <w:marBottom w:val="0"/>
          <w:divBdr>
            <w:top w:val="none" w:sz="0" w:space="0" w:color="auto"/>
            <w:left w:val="none" w:sz="0" w:space="0" w:color="auto"/>
            <w:bottom w:val="none" w:sz="0" w:space="0" w:color="auto"/>
            <w:right w:val="none" w:sz="0" w:space="0" w:color="auto"/>
          </w:divBdr>
        </w:div>
      </w:divsChild>
    </w:div>
    <w:div w:id="1997758518">
      <w:bodyDiv w:val="1"/>
      <w:marLeft w:val="0"/>
      <w:marRight w:val="0"/>
      <w:marTop w:val="0"/>
      <w:marBottom w:val="0"/>
      <w:divBdr>
        <w:top w:val="none" w:sz="0" w:space="0" w:color="auto"/>
        <w:left w:val="none" w:sz="0" w:space="0" w:color="auto"/>
        <w:bottom w:val="none" w:sz="0" w:space="0" w:color="auto"/>
        <w:right w:val="none" w:sz="0" w:space="0" w:color="auto"/>
      </w:divBdr>
    </w:div>
    <w:div w:id="1997950595">
      <w:bodyDiv w:val="1"/>
      <w:marLeft w:val="0"/>
      <w:marRight w:val="0"/>
      <w:marTop w:val="0"/>
      <w:marBottom w:val="0"/>
      <w:divBdr>
        <w:top w:val="none" w:sz="0" w:space="0" w:color="auto"/>
        <w:left w:val="none" w:sz="0" w:space="0" w:color="auto"/>
        <w:bottom w:val="none" w:sz="0" w:space="0" w:color="auto"/>
        <w:right w:val="none" w:sz="0" w:space="0" w:color="auto"/>
      </w:divBdr>
    </w:div>
    <w:div w:id="1998461293">
      <w:bodyDiv w:val="1"/>
      <w:marLeft w:val="0"/>
      <w:marRight w:val="0"/>
      <w:marTop w:val="0"/>
      <w:marBottom w:val="0"/>
      <w:divBdr>
        <w:top w:val="none" w:sz="0" w:space="0" w:color="auto"/>
        <w:left w:val="none" w:sz="0" w:space="0" w:color="auto"/>
        <w:bottom w:val="none" w:sz="0" w:space="0" w:color="auto"/>
        <w:right w:val="none" w:sz="0" w:space="0" w:color="auto"/>
      </w:divBdr>
    </w:div>
    <w:div w:id="1998727533">
      <w:bodyDiv w:val="1"/>
      <w:marLeft w:val="0"/>
      <w:marRight w:val="0"/>
      <w:marTop w:val="0"/>
      <w:marBottom w:val="0"/>
      <w:divBdr>
        <w:top w:val="none" w:sz="0" w:space="0" w:color="auto"/>
        <w:left w:val="none" w:sz="0" w:space="0" w:color="auto"/>
        <w:bottom w:val="none" w:sz="0" w:space="0" w:color="auto"/>
        <w:right w:val="none" w:sz="0" w:space="0" w:color="auto"/>
      </w:divBdr>
      <w:divsChild>
        <w:div w:id="214050373">
          <w:marLeft w:val="547"/>
          <w:marRight w:val="0"/>
          <w:marTop w:val="86"/>
          <w:marBottom w:val="0"/>
          <w:divBdr>
            <w:top w:val="none" w:sz="0" w:space="0" w:color="auto"/>
            <w:left w:val="none" w:sz="0" w:space="0" w:color="auto"/>
            <w:bottom w:val="none" w:sz="0" w:space="0" w:color="auto"/>
            <w:right w:val="none" w:sz="0" w:space="0" w:color="auto"/>
          </w:divBdr>
        </w:div>
        <w:div w:id="864831890">
          <w:marLeft w:val="547"/>
          <w:marRight w:val="0"/>
          <w:marTop w:val="86"/>
          <w:marBottom w:val="0"/>
          <w:divBdr>
            <w:top w:val="none" w:sz="0" w:space="0" w:color="auto"/>
            <w:left w:val="none" w:sz="0" w:space="0" w:color="auto"/>
            <w:bottom w:val="none" w:sz="0" w:space="0" w:color="auto"/>
            <w:right w:val="none" w:sz="0" w:space="0" w:color="auto"/>
          </w:divBdr>
        </w:div>
        <w:div w:id="1229533604">
          <w:marLeft w:val="1166"/>
          <w:marRight w:val="0"/>
          <w:marTop w:val="77"/>
          <w:marBottom w:val="0"/>
          <w:divBdr>
            <w:top w:val="none" w:sz="0" w:space="0" w:color="auto"/>
            <w:left w:val="none" w:sz="0" w:space="0" w:color="auto"/>
            <w:bottom w:val="none" w:sz="0" w:space="0" w:color="auto"/>
            <w:right w:val="none" w:sz="0" w:space="0" w:color="auto"/>
          </w:divBdr>
        </w:div>
        <w:div w:id="1639843448">
          <w:marLeft w:val="1166"/>
          <w:marRight w:val="0"/>
          <w:marTop w:val="77"/>
          <w:marBottom w:val="0"/>
          <w:divBdr>
            <w:top w:val="none" w:sz="0" w:space="0" w:color="auto"/>
            <w:left w:val="none" w:sz="0" w:space="0" w:color="auto"/>
            <w:bottom w:val="none" w:sz="0" w:space="0" w:color="auto"/>
            <w:right w:val="none" w:sz="0" w:space="0" w:color="auto"/>
          </w:divBdr>
        </w:div>
      </w:divsChild>
    </w:div>
    <w:div w:id="1999458997">
      <w:bodyDiv w:val="1"/>
      <w:marLeft w:val="0"/>
      <w:marRight w:val="0"/>
      <w:marTop w:val="0"/>
      <w:marBottom w:val="0"/>
      <w:divBdr>
        <w:top w:val="none" w:sz="0" w:space="0" w:color="auto"/>
        <w:left w:val="none" w:sz="0" w:space="0" w:color="auto"/>
        <w:bottom w:val="none" w:sz="0" w:space="0" w:color="auto"/>
        <w:right w:val="none" w:sz="0" w:space="0" w:color="auto"/>
      </w:divBdr>
    </w:div>
    <w:div w:id="1999772231">
      <w:bodyDiv w:val="1"/>
      <w:marLeft w:val="0"/>
      <w:marRight w:val="0"/>
      <w:marTop w:val="0"/>
      <w:marBottom w:val="0"/>
      <w:divBdr>
        <w:top w:val="none" w:sz="0" w:space="0" w:color="auto"/>
        <w:left w:val="none" w:sz="0" w:space="0" w:color="auto"/>
        <w:bottom w:val="none" w:sz="0" w:space="0" w:color="auto"/>
        <w:right w:val="none" w:sz="0" w:space="0" w:color="auto"/>
      </w:divBdr>
    </w:div>
    <w:div w:id="2000309350">
      <w:bodyDiv w:val="1"/>
      <w:marLeft w:val="0"/>
      <w:marRight w:val="0"/>
      <w:marTop w:val="0"/>
      <w:marBottom w:val="0"/>
      <w:divBdr>
        <w:top w:val="none" w:sz="0" w:space="0" w:color="auto"/>
        <w:left w:val="none" w:sz="0" w:space="0" w:color="auto"/>
        <w:bottom w:val="none" w:sz="0" w:space="0" w:color="auto"/>
        <w:right w:val="none" w:sz="0" w:space="0" w:color="auto"/>
      </w:divBdr>
    </w:div>
    <w:div w:id="2000846818">
      <w:bodyDiv w:val="1"/>
      <w:marLeft w:val="0"/>
      <w:marRight w:val="0"/>
      <w:marTop w:val="0"/>
      <w:marBottom w:val="0"/>
      <w:divBdr>
        <w:top w:val="none" w:sz="0" w:space="0" w:color="auto"/>
        <w:left w:val="none" w:sz="0" w:space="0" w:color="auto"/>
        <w:bottom w:val="none" w:sz="0" w:space="0" w:color="auto"/>
        <w:right w:val="none" w:sz="0" w:space="0" w:color="auto"/>
      </w:divBdr>
      <w:divsChild>
        <w:div w:id="998965948">
          <w:marLeft w:val="547"/>
          <w:marRight w:val="0"/>
          <w:marTop w:val="96"/>
          <w:marBottom w:val="0"/>
          <w:divBdr>
            <w:top w:val="none" w:sz="0" w:space="0" w:color="auto"/>
            <w:left w:val="none" w:sz="0" w:space="0" w:color="auto"/>
            <w:bottom w:val="none" w:sz="0" w:space="0" w:color="auto"/>
            <w:right w:val="none" w:sz="0" w:space="0" w:color="auto"/>
          </w:divBdr>
        </w:div>
        <w:div w:id="1249195325">
          <w:marLeft w:val="547"/>
          <w:marRight w:val="0"/>
          <w:marTop w:val="96"/>
          <w:marBottom w:val="0"/>
          <w:divBdr>
            <w:top w:val="none" w:sz="0" w:space="0" w:color="auto"/>
            <w:left w:val="none" w:sz="0" w:space="0" w:color="auto"/>
            <w:bottom w:val="none" w:sz="0" w:space="0" w:color="auto"/>
            <w:right w:val="none" w:sz="0" w:space="0" w:color="auto"/>
          </w:divBdr>
        </w:div>
        <w:div w:id="1864779368">
          <w:marLeft w:val="547"/>
          <w:marRight w:val="0"/>
          <w:marTop w:val="96"/>
          <w:marBottom w:val="0"/>
          <w:divBdr>
            <w:top w:val="none" w:sz="0" w:space="0" w:color="auto"/>
            <w:left w:val="none" w:sz="0" w:space="0" w:color="auto"/>
            <w:bottom w:val="none" w:sz="0" w:space="0" w:color="auto"/>
            <w:right w:val="none" w:sz="0" w:space="0" w:color="auto"/>
          </w:divBdr>
        </w:div>
      </w:divsChild>
    </w:div>
    <w:div w:id="2002150741">
      <w:bodyDiv w:val="1"/>
      <w:marLeft w:val="0"/>
      <w:marRight w:val="0"/>
      <w:marTop w:val="0"/>
      <w:marBottom w:val="0"/>
      <w:divBdr>
        <w:top w:val="none" w:sz="0" w:space="0" w:color="auto"/>
        <w:left w:val="none" w:sz="0" w:space="0" w:color="auto"/>
        <w:bottom w:val="none" w:sz="0" w:space="0" w:color="auto"/>
        <w:right w:val="none" w:sz="0" w:space="0" w:color="auto"/>
      </w:divBdr>
      <w:divsChild>
        <w:div w:id="194074993">
          <w:marLeft w:val="547"/>
          <w:marRight w:val="0"/>
          <w:marTop w:val="154"/>
          <w:marBottom w:val="0"/>
          <w:divBdr>
            <w:top w:val="none" w:sz="0" w:space="0" w:color="auto"/>
            <w:left w:val="none" w:sz="0" w:space="0" w:color="auto"/>
            <w:bottom w:val="none" w:sz="0" w:space="0" w:color="auto"/>
            <w:right w:val="none" w:sz="0" w:space="0" w:color="auto"/>
          </w:divBdr>
        </w:div>
        <w:div w:id="996499563">
          <w:marLeft w:val="1166"/>
          <w:marRight w:val="0"/>
          <w:marTop w:val="134"/>
          <w:marBottom w:val="0"/>
          <w:divBdr>
            <w:top w:val="none" w:sz="0" w:space="0" w:color="auto"/>
            <w:left w:val="none" w:sz="0" w:space="0" w:color="auto"/>
            <w:bottom w:val="none" w:sz="0" w:space="0" w:color="auto"/>
            <w:right w:val="none" w:sz="0" w:space="0" w:color="auto"/>
          </w:divBdr>
        </w:div>
        <w:div w:id="1404371668">
          <w:marLeft w:val="1166"/>
          <w:marRight w:val="0"/>
          <w:marTop w:val="134"/>
          <w:marBottom w:val="0"/>
          <w:divBdr>
            <w:top w:val="none" w:sz="0" w:space="0" w:color="auto"/>
            <w:left w:val="none" w:sz="0" w:space="0" w:color="auto"/>
            <w:bottom w:val="none" w:sz="0" w:space="0" w:color="auto"/>
            <w:right w:val="none" w:sz="0" w:space="0" w:color="auto"/>
          </w:divBdr>
        </w:div>
        <w:div w:id="1581478246">
          <w:marLeft w:val="1166"/>
          <w:marRight w:val="0"/>
          <w:marTop w:val="134"/>
          <w:marBottom w:val="0"/>
          <w:divBdr>
            <w:top w:val="none" w:sz="0" w:space="0" w:color="auto"/>
            <w:left w:val="none" w:sz="0" w:space="0" w:color="auto"/>
            <w:bottom w:val="none" w:sz="0" w:space="0" w:color="auto"/>
            <w:right w:val="none" w:sz="0" w:space="0" w:color="auto"/>
          </w:divBdr>
        </w:div>
      </w:divsChild>
    </w:div>
    <w:div w:id="2002157327">
      <w:bodyDiv w:val="1"/>
      <w:marLeft w:val="0"/>
      <w:marRight w:val="0"/>
      <w:marTop w:val="0"/>
      <w:marBottom w:val="0"/>
      <w:divBdr>
        <w:top w:val="none" w:sz="0" w:space="0" w:color="auto"/>
        <w:left w:val="none" w:sz="0" w:space="0" w:color="auto"/>
        <w:bottom w:val="none" w:sz="0" w:space="0" w:color="auto"/>
        <w:right w:val="none" w:sz="0" w:space="0" w:color="auto"/>
      </w:divBdr>
    </w:div>
    <w:div w:id="2002930706">
      <w:bodyDiv w:val="1"/>
      <w:marLeft w:val="0"/>
      <w:marRight w:val="0"/>
      <w:marTop w:val="0"/>
      <w:marBottom w:val="0"/>
      <w:divBdr>
        <w:top w:val="none" w:sz="0" w:space="0" w:color="auto"/>
        <w:left w:val="none" w:sz="0" w:space="0" w:color="auto"/>
        <w:bottom w:val="none" w:sz="0" w:space="0" w:color="auto"/>
        <w:right w:val="none" w:sz="0" w:space="0" w:color="auto"/>
      </w:divBdr>
    </w:div>
    <w:div w:id="2003044415">
      <w:bodyDiv w:val="1"/>
      <w:marLeft w:val="0"/>
      <w:marRight w:val="0"/>
      <w:marTop w:val="0"/>
      <w:marBottom w:val="0"/>
      <w:divBdr>
        <w:top w:val="none" w:sz="0" w:space="0" w:color="auto"/>
        <w:left w:val="none" w:sz="0" w:space="0" w:color="auto"/>
        <w:bottom w:val="none" w:sz="0" w:space="0" w:color="auto"/>
        <w:right w:val="none" w:sz="0" w:space="0" w:color="auto"/>
      </w:divBdr>
    </w:div>
    <w:div w:id="2003122900">
      <w:bodyDiv w:val="1"/>
      <w:marLeft w:val="0"/>
      <w:marRight w:val="0"/>
      <w:marTop w:val="0"/>
      <w:marBottom w:val="0"/>
      <w:divBdr>
        <w:top w:val="none" w:sz="0" w:space="0" w:color="auto"/>
        <w:left w:val="none" w:sz="0" w:space="0" w:color="auto"/>
        <w:bottom w:val="none" w:sz="0" w:space="0" w:color="auto"/>
        <w:right w:val="none" w:sz="0" w:space="0" w:color="auto"/>
      </w:divBdr>
    </w:div>
    <w:div w:id="2003192296">
      <w:bodyDiv w:val="1"/>
      <w:marLeft w:val="0"/>
      <w:marRight w:val="0"/>
      <w:marTop w:val="0"/>
      <w:marBottom w:val="0"/>
      <w:divBdr>
        <w:top w:val="none" w:sz="0" w:space="0" w:color="auto"/>
        <w:left w:val="none" w:sz="0" w:space="0" w:color="auto"/>
        <w:bottom w:val="none" w:sz="0" w:space="0" w:color="auto"/>
        <w:right w:val="none" w:sz="0" w:space="0" w:color="auto"/>
      </w:divBdr>
    </w:div>
    <w:div w:id="2003578761">
      <w:bodyDiv w:val="1"/>
      <w:marLeft w:val="0"/>
      <w:marRight w:val="0"/>
      <w:marTop w:val="0"/>
      <w:marBottom w:val="0"/>
      <w:divBdr>
        <w:top w:val="none" w:sz="0" w:space="0" w:color="auto"/>
        <w:left w:val="none" w:sz="0" w:space="0" w:color="auto"/>
        <w:bottom w:val="none" w:sz="0" w:space="0" w:color="auto"/>
        <w:right w:val="none" w:sz="0" w:space="0" w:color="auto"/>
      </w:divBdr>
      <w:divsChild>
        <w:div w:id="64760843">
          <w:marLeft w:val="1166"/>
          <w:marRight w:val="0"/>
          <w:marTop w:val="96"/>
          <w:marBottom w:val="0"/>
          <w:divBdr>
            <w:top w:val="none" w:sz="0" w:space="0" w:color="auto"/>
            <w:left w:val="none" w:sz="0" w:space="0" w:color="auto"/>
            <w:bottom w:val="none" w:sz="0" w:space="0" w:color="auto"/>
            <w:right w:val="none" w:sz="0" w:space="0" w:color="auto"/>
          </w:divBdr>
        </w:div>
        <w:div w:id="148716384">
          <w:marLeft w:val="547"/>
          <w:marRight w:val="0"/>
          <w:marTop w:val="115"/>
          <w:marBottom w:val="0"/>
          <w:divBdr>
            <w:top w:val="none" w:sz="0" w:space="0" w:color="auto"/>
            <w:left w:val="none" w:sz="0" w:space="0" w:color="auto"/>
            <w:bottom w:val="none" w:sz="0" w:space="0" w:color="auto"/>
            <w:right w:val="none" w:sz="0" w:space="0" w:color="auto"/>
          </w:divBdr>
        </w:div>
        <w:div w:id="1436245662">
          <w:marLeft w:val="1166"/>
          <w:marRight w:val="0"/>
          <w:marTop w:val="96"/>
          <w:marBottom w:val="0"/>
          <w:divBdr>
            <w:top w:val="none" w:sz="0" w:space="0" w:color="auto"/>
            <w:left w:val="none" w:sz="0" w:space="0" w:color="auto"/>
            <w:bottom w:val="none" w:sz="0" w:space="0" w:color="auto"/>
            <w:right w:val="none" w:sz="0" w:space="0" w:color="auto"/>
          </w:divBdr>
        </w:div>
      </w:divsChild>
    </w:div>
    <w:div w:id="2005744617">
      <w:bodyDiv w:val="1"/>
      <w:marLeft w:val="0"/>
      <w:marRight w:val="0"/>
      <w:marTop w:val="0"/>
      <w:marBottom w:val="0"/>
      <w:divBdr>
        <w:top w:val="none" w:sz="0" w:space="0" w:color="auto"/>
        <w:left w:val="none" w:sz="0" w:space="0" w:color="auto"/>
        <w:bottom w:val="none" w:sz="0" w:space="0" w:color="auto"/>
        <w:right w:val="none" w:sz="0" w:space="0" w:color="auto"/>
      </w:divBdr>
      <w:divsChild>
        <w:div w:id="184489700">
          <w:marLeft w:val="1166"/>
          <w:marRight w:val="0"/>
          <w:marTop w:val="106"/>
          <w:marBottom w:val="0"/>
          <w:divBdr>
            <w:top w:val="none" w:sz="0" w:space="0" w:color="auto"/>
            <w:left w:val="none" w:sz="0" w:space="0" w:color="auto"/>
            <w:bottom w:val="none" w:sz="0" w:space="0" w:color="auto"/>
            <w:right w:val="none" w:sz="0" w:space="0" w:color="auto"/>
          </w:divBdr>
        </w:div>
        <w:div w:id="715619770">
          <w:marLeft w:val="1166"/>
          <w:marRight w:val="0"/>
          <w:marTop w:val="106"/>
          <w:marBottom w:val="0"/>
          <w:divBdr>
            <w:top w:val="none" w:sz="0" w:space="0" w:color="auto"/>
            <w:left w:val="none" w:sz="0" w:space="0" w:color="auto"/>
            <w:bottom w:val="none" w:sz="0" w:space="0" w:color="auto"/>
            <w:right w:val="none" w:sz="0" w:space="0" w:color="auto"/>
          </w:divBdr>
        </w:div>
        <w:div w:id="717121423">
          <w:marLeft w:val="1166"/>
          <w:marRight w:val="0"/>
          <w:marTop w:val="106"/>
          <w:marBottom w:val="0"/>
          <w:divBdr>
            <w:top w:val="none" w:sz="0" w:space="0" w:color="auto"/>
            <w:left w:val="none" w:sz="0" w:space="0" w:color="auto"/>
            <w:bottom w:val="none" w:sz="0" w:space="0" w:color="auto"/>
            <w:right w:val="none" w:sz="0" w:space="0" w:color="auto"/>
          </w:divBdr>
        </w:div>
        <w:div w:id="802239436">
          <w:marLeft w:val="547"/>
          <w:marRight w:val="0"/>
          <w:marTop w:val="120"/>
          <w:marBottom w:val="0"/>
          <w:divBdr>
            <w:top w:val="none" w:sz="0" w:space="0" w:color="auto"/>
            <w:left w:val="none" w:sz="0" w:space="0" w:color="auto"/>
            <w:bottom w:val="none" w:sz="0" w:space="0" w:color="auto"/>
            <w:right w:val="none" w:sz="0" w:space="0" w:color="auto"/>
          </w:divBdr>
        </w:div>
        <w:div w:id="882251680">
          <w:marLeft w:val="547"/>
          <w:marRight w:val="0"/>
          <w:marTop w:val="120"/>
          <w:marBottom w:val="0"/>
          <w:divBdr>
            <w:top w:val="none" w:sz="0" w:space="0" w:color="auto"/>
            <w:left w:val="none" w:sz="0" w:space="0" w:color="auto"/>
            <w:bottom w:val="none" w:sz="0" w:space="0" w:color="auto"/>
            <w:right w:val="none" w:sz="0" w:space="0" w:color="auto"/>
          </w:divBdr>
        </w:div>
        <w:div w:id="1957176046">
          <w:marLeft w:val="1166"/>
          <w:marRight w:val="0"/>
          <w:marTop w:val="106"/>
          <w:marBottom w:val="0"/>
          <w:divBdr>
            <w:top w:val="none" w:sz="0" w:space="0" w:color="auto"/>
            <w:left w:val="none" w:sz="0" w:space="0" w:color="auto"/>
            <w:bottom w:val="none" w:sz="0" w:space="0" w:color="auto"/>
            <w:right w:val="none" w:sz="0" w:space="0" w:color="auto"/>
          </w:divBdr>
        </w:div>
        <w:div w:id="2071151909">
          <w:marLeft w:val="547"/>
          <w:marRight w:val="0"/>
          <w:marTop w:val="120"/>
          <w:marBottom w:val="0"/>
          <w:divBdr>
            <w:top w:val="none" w:sz="0" w:space="0" w:color="auto"/>
            <w:left w:val="none" w:sz="0" w:space="0" w:color="auto"/>
            <w:bottom w:val="none" w:sz="0" w:space="0" w:color="auto"/>
            <w:right w:val="none" w:sz="0" w:space="0" w:color="auto"/>
          </w:divBdr>
        </w:div>
      </w:divsChild>
    </w:div>
    <w:div w:id="2006123459">
      <w:bodyDiv w:val="1"/>
      <w:marLeft w:val="0"/>
      <w:marRight w:val="0"/>
      <w:marTop w:val="0"/>
      <w:marBottom w:val="0"/>
      <w:divBdr>
        <w:top w:val="none" w:sz="0" w:space="0" w:color="auto"/>
        <w:left w:val="none" w:sz="0" w:space="0" w:color="auto"/>
        <w:bottom w:val="none" w:sz="0" w:space="0" w:color="auto"/>
        <w:right w:val="none" w:sz="0" w:space="0" w:color="auto"/>
      </w:divBdr>
    </w:div>
    <w:div w:id="2007199218">
      <w:bodyDiv w:val="1"/>
      <w:marLeft w:val="0"/>
      <w:marRight w:val="0"/>
      <w:marTop w:val="0"/>
      <w:marBottom w:val="0"/>
      <w:divBdr>
        <w:top w:val="none" w:sz="0" w:space="0" w:color="auto"/>
        <w:left w:val="none" w:sz="0" w:space="0" w:color="auto"/>
        <w:bottom w:val="none" w:sz="0" w:space="0" w:color="auto"/>
        <w:right w:val="none" w:sz="0" w:space="0" w:color="auto"/>
      </w:divBdr>
    </w:div>
    <w:div w:id="2008358149">
      <w:bodyDiv w:val="1"/>
      <w:marLeft w:val="0"/>
      <w:marRight w:val="0"/>
      <w:marTop w:val="0"/>
      <w:marBottom w:val="0"/>
      <w:divBdr>
        <w:top w:val="none" w:sz="0" w:space="0" w:color="auto"/>
        <w:left w:val="none" w:sz="0" w:space="0" w:color="auto"/>
        <w:bottom w:val="none" w:sz="0" w:space="0" w:color="auto"/>
        <w:right w:val="none" w:sz="0" w:space="0" w:color="auto"/>
      </w:divBdr>
      <w:divsChild>
        <w:div w:id="67116077">
          <w:marLeft w:val="547"/>
          <w:marRight w:val="0"/>
          <w:marTop w:val="154"/>
          <w:marBottom w:val="0"/>
          <w:divBdr>
            <w:top w:val="none" w:sz="0" w:space="0" w:color="auto"/>
            <w:left w:val="none" w:sz="0" w:space="0" w:color="auto"/>
            <w:bottom w:val="none" w:sz="0" w:space="0" w:color="auto"/>
            <w:right w:val="none" w:sz="0" w:space="0" w:color="auto"/>
          </w:divBdr>
        </w:div>
        <w:div w:id="271597248">
          <w:marLeft w:val="1166"/>
          <w:marRight w:val="0"/>
          <w:marTop w:val="115"/>
          <w:marBottom w:val="0"/>
          <w:divBdr>
            <w:top w:val="none" w:sz="0" w:space="0" w:color="auto"/>
            <w:left w:val="none" w:sz="0" w:space="0" w:color="auto"/>
            <w:bottom w:val="none" w:sz="0" w:space="0" w:color="auto"/>
            <w:right w:val="none" w:sz="0" w:space="0" w:color="auto"/>
          </w:divBdr>
        </w:div>
      </w:divsChild>
    </w:div>
    <w:div w:id="2008511541">
      <w:bodyDiv w:val="1"/>
      <w:marLeft w:val="0"/>
      <w:marRight w:val="0"/>
      <w:marTop w:val="0"/>
      <w:marBottom w:val="0"/>
      <w:divBdr>
        <w:top w:val="none" w:sz="0" w:space="0" w:color="auto"/>
        <w:left w:val="none" w:sz="0" w:space="0" w:color="auto"/>
        <w:bottom w:val="none" w:sz="0" w:space="0" w:color="auto"/>
        <w:right w:val="none" w:sz="0" w:space="0" w:color="auto"/>
      </w:divBdr>
    </w:div>
    <w:div w:id="2009287502">
      <w:bodyDiv w:val="1"/>
      <w:marLeft w:val="0"/>
      <w:marRight w:val="0"/>
      <w:marTop w:val="0"/>
      <w:marBottom w:val="0"/>
      <w:divBdr>
        <w:top w:val="none" w:sz="0" w:space="0" w:color="auto"/>
        <w:left w:val="none" w:sz="0" w:space="0" w:color="auto"/>
        <w:bottom w:val="none" w:sz="0" w:space="0" w:color="auto"/>
        <w:right w:val="none" w:sz="0" w:space="0" w:color="auto"/>
      </w:divBdr>
    </w:div>
    <w:div w:id="2009483264">
      <w:bodyDiv w:val="1"/>
      <w:marLeft w:val="0"/>
      <w:marRight w:val="0"/>
      <w:marTop w:val="0"/>
      <w:marBottom w:val="0"/>
      <w:divBdr>
        <w:top w:val="none" w:sz="0" w:space="0" w:color="auto"/>
        <w:left w:val="none" w:sz="0" w:space="0" w:color="auto"/>
        <w:bottom w:val="none" w:sz="0" w:space="0" w:color="auto"/>
        <w:right w:val="none" w:sz="0" w:space="0" w:color="auto"/>
      </w:divBdr>
    </w:div>
    <w:div w:id="2010473829">
      <w:bodyDiv w:val="1"/>
      <w:marLeft w:val="0"/>
      <w:marRight w:val="0"/>
      <w:marTop w:val="0"/>
      <w:marBottom w:val="0"/>
      <w:divBdr>
        <w:top w:val="none" w:sz="0" w:space="0" w:color="auto"/>
        <w:left w:val="none" w:sz="0" w:space="0" w:color="auto"/>
        <w:bottom w:val="none" w:sz="0" w:space="0" w:color="auto"/>
        <w:right w:val="none" w:sz="0" w:space="0" w:color="auto"/>
      </w:divBdr>
    </w:div>
    <w:div w:id="2012366241">
      <w:bodyDiv w:val="1"/>
      <w:marLeft w:val="0"/>
      <w:marRight w:val="0"/>
      <w:marTop w:val="0"/>
      <w:marBottom w:val="0"/>
      <w:divBdr>
        <w:top w:val="none" w:sz="0" w:space="0" w:color="auto"/>
        <w:left w:val="none" w:sz="0" w:space="0" w:color="auto"/>
        <w:bottom w:val="none" w:sz="0" w:space="0" w:color="auto"/>
        <w:right w:val="none" w:sz="0" w:space="0" w:color="auto"/>
      </w:divBdr>
    </w:div>
    <w:div w:id="2012442069">
      <w:bodyDiv w:val="1"/>
      <w:marLeft w:val="0"/>
      <w:marRight w:val="0"/>
      <w:marTop w:val="0"/>
      <w:marBottom w:val="0"/>
      <w:divBdr>
        <w:top w:val="none" w:sz="0" w:space="0" w:color="auto"/>
        <w:left w:val="none" w:sz="0" w:space="0" w:color="auto"/>
        <w:bottom w:val="none" w:sz="0" w:space="0" w:color="auto"/>
        <w:right w:val="none" w:sz="0" w:space="0" w:color="auto"/>
      </w:divBdr>
    </w:div>
    <w:div w:id="2012753149">
      <w:bodyDiv w:val="1"/>
      <w:marLeft w:val="0"/>
      <w:marRight w:val="0"/>
      <w:marTop w:val="0"/>
      <w:marBottom w:val="0"/>
      <w:divBdr>
        <w:top w:val="none" w:sz="0" w:space="0" w:color="auto"/>
        <w:left w:val="none" w:sz="0" w:space="0" w:color="auto"/>
        <w:bottom w:val="none" w:sz="0" w:space="0" w:color="auto"/>
        <w:right w:val="none" w:sz="0" w:space="0" w:color="auto"/>
      </w:divBdr>
    </w:div>
    <w:div w:id="2014260837">
      <w:bodyDiv w:val="1"/>
      <w:marLeft w:val="0"/>
      <w:marRight w:val="0"/>
      <w:marTop w:val="0"/>
      <w:marBottom w:val="0"/>
      <w:divBdr>
        <w:top w:val="none" w:sz="0" w:space="0" w:color="auto"/>
        <w:left w:val="none" w:sz="0" w:space="0" w:color="auto"/>
        <w:bottom w:val="none" w:sz="0" w:space="0" w:color="auto"/>
        <w:right w:val="none" w:sz="0" w:space="0" w:color="auto"/>
      </w:divBdr>
      <w:divsChild>
        <w:div w:id="80105490">
          <w:marLeft w:val="1166"/>
          <w:marRight w:val="0"/>
          <w:marTop w:val="82"/>
          <w:marBottom w:val="0"/>
          <w:divBdr>
            <w:top w:val="none" w:sz="0" w:space="0" w:color="auto"/>
            <w:left w:val="none" w:sz="0" w:space="0" w:color="auto"/>
            <w:bottom w:val="none" w:sz="0" w:space="0" w:color="auto"/>
            <w:right w:val="none" w:sz="0" w:space="0" w:color="auto"/>
          </w:divBdr>
        </w:div>
        <w:div w:id="204757587">
          <w:marLeft w:val="1800"/>
          <w:marRight w:val="0"/>
          <w:marTop w:val="67"/>
          <w:marBottom w:val="0"/>
          <w:divBdr>
            <w:top w:val="none" w:sz="0" w:space="0" w:color="auto"/>
            <w:left w:val="none" w:sz="0" w:space="0" w:color="auto"/>
            <w:bottom w:val="none" w:sz="0" w:space="0" w:color="auto"/>
            <w:right w:val="none" w:sz="0" w:space="0" w:color="auto"/>
          </w:divBdr>
        </w:div>
        <w:div w:id="520818428">
          <w:marLeft w:val="1800"/>
          <w:marRight w:val="0"/>
          <w:marTop w:val="67"/>
          <w:marBottom w:val="0"/>
          <w:divBdr>
            <w:top w:val="none" w:sz="0" w:space="0" w:color="auto"/>
            <w:left w:val="none" w:sz="0" w:space="0" w:color="auto"/>
            <w:bottom w:val="none" w:sz="0" w:space="0" w:color="auto"/>
            <w:right w:val="none" w:sz="0" w:space="0" w:color="auto"/>
          </w:divBdr>
        </w:div>
        <w:div w:id="629673461">
          <w:marLeft w:val="1166"/>
          <w:marRight w:val="0"/>
          <w:marTop w:val="82"/>
          <w:marBottom w:val="0"/>
          <w:divBdr>
            <w:top w:val="none" w:sz="0" w:space="0" w:color="auto"/>
            <w:left w:val="none" w:sz="0" w:space="0" w:color="auto"/>
            <w:bottom w:val="none" w:sz="0" w:space="0" w:color="auto"/>
            <w:right w:val="none" w:sz="0" w:space="0" w:color="auto"/>
          </w:divBdr>
        </w:div>
        <w:div w:id="997419063">
          <w:marLeft w:val="1800"/>
          <w:marRight w:val="0"/>
          <w:marTop w:val="82"/>
          <w:marBottom w:val="0"/>
          <w:divBdr>
            <w:top w:val="none" w:sz="0" w:space="0" w:color="auto"/>
            <w:left w:val="none" w:sz="0" w:space="0" w:color="auto"/>
            <w:bottom w:val="none" w:sz="0" w:space="0" w:color="auto"/>
            <w:right w:val="none" w:sz="0" w:space="0" w:color="auto"/>
          </w:divBdr>
        </w:div>
        <w:div w:id="1021081852">
          <w:marLeft w:val="1166"/>
          <w:marRight w:val="0"/>
          <w:marTop w:val="82"/>
          <w:marBottom w:val="0"/>
          <w:divBdr>
            <w:top w:val="none" w:sz="0" w:space="0" w:color="auto"/>
            <w:left w:val="none" w:sz="0" w:space="0" w:color="auto"/>
            <w:bottom w:val="none" w:sz="0" w:space="0" w:color="auto"/>
            <w:right w:val="none" w:sz="0" w:space="0" w:color="auto"/>
          </w:divBdr>
        </w:div>
        <w:div w:id="1191528981">
          <w:marLeft w:val="547"/>
          <w:marRight w:val="0"/>
          <w:marTop w:val="115"/>
          <w:marBottom w:val="0"/>
          <w:divBdr>
            <w:top w:val="none" w:sz="0" w:space="0" w:color="auto"/>
            <w:left w:val="none" w:sz="0" w:space="0" w:color="auto"/>
            <w:bottom w:val="none" w:sz="0" w:space="0" w:color="auto"/>
            <w:right w:val="none" w:sz="0" w:space="0" w:color="auto"/>
          </w:divBdr>
        </w:div>
        <w:div w:id="1335298328">
          <w:marLeft w:val="547"/>
          <w:marRight w:val="0"/>
          <w:marTop w:val="115"/>
          <w:marBottom w:val="0"/>
          <w:divBdr>
            <w:top w:val="none" w:sz="0" w:space="0" w:color="auto"/>
            <w:left w:val="none" w:sz="0" w:space="0" w:color="auto"/>
            <w:bottom w:val="none" w:sz="0" w:space="0" w:color="auto"/>
            <w:right w:val="none" w:sz="0" w:space="0" w:color="auto"/>
          </w:divBdr>
        </w:div>
        <w:div w:id="1431856015">
          <w:marLeft w:val="1166"/>
          <w:marRight w:val="0"/>
          <w:marTop w:val="82"/>
          <w:marBottom w:val="0"/>
          <w:divBdr>
            <w:top w:val="none" w:sz="0" w:space="0" w:color="auto"/>
            <w:left w:val="none" w:sz="0" w:space="0" w:color="auto"/>
            <w:bottom w:val="none" w:sz="0" w:space="0" w:color="auto"/>
            <w:right w:val="none" w:sz="0" w:space="0" w:color="auto"/>
          </w:divBdr>
        </w:div>
        <w:div w:id="1494179605">
          <w:marLeft w:val="1800"/>
          <w:marRight w:val="0"/>
          <w:marTop w:val="67"/>
          <w:marBottom w:val="0"/>
          <w:divBdr>
            <w:top w:val="none" w:sz="0" w:space="0" w:color="auto"/>
            <w:left w:val="none" w:sz="0" w:space="0" w:color="auto"/>
            <w:bottom w:val="none" w:sz="0" w:space="0" w:color="auto"/>
            <w:right w:val="none" w:sz="0" w:space="0" w:color="auto"/>
          </w:divBdr>
        </w:div>
        <w:div w:id="1816145811">
          <w:marLeft w:val="1800"/>
          <w:marRight w:val="0"/>
          <w:marTop w:val="82"/>
          <w:marBottom w:val="0"/>
          <w:divBdr>
            <w:top w:val="none" w:sz="0" w:space="0" w:color="auto"/>
            <w:left w:val="none" w:sz="0" w:space="0" w:color="auto"/>
            <w:bottom w:val="none" w:sz="0" w:space="0" w:color="auto"/>
            <w:right w:val="none" w:sz="0" w:space="0" w:color="auto"/>
          </w:divBdr>
        </w:div>
        <w:div w:id="2019963485">
          <w:marLeft w:val="1166"/>
          <w:marRight w:val="0"/>
          <w:marTop w:val="82"/>
          <w:marBottom w:val="0"/>
          <w:divBdr>
            <w:top w:val="none" w:sz="0" w:space="0" w:color="auto"/>
            <w:left w:val="none" w:sz="0" w:space="0" w:color="auto"/>
            <w:bottom w:val="none" w:sz="0" w:space="0" w:color="auto"/>
            <w:right w:val="none" w:sz="0" w:space="0" w:color="auto"/>
          </w:divBdr>
        </w:div>
      </w:divsChild>
    </w:div>
    <w:div w:id="2014332240">
      <w:bodyDiv w:val="1"/>
      <w:marLeft w:val="0"/>
      <w:marRight w:val="0"/>
      <w:marTop w:val="0"/>
      <w:marBottom w:val="0"/>
      <w:divBdr>
        <w:top w:val="none" w:sz="0" w:space="0" w:color="auto"/>
        <w:left w:val="none" w:sz="0" w:space="0" w:color="auto"/>
        <w:bottom w:val="none" w:sz="0" w:space="0" w:color="auto"/>
        <w:right w:val="none" w:sz="0" w:space="0" w:color="auto"/>
      </w:divBdr>
    </w:div>
    <w:div w:id="2014408041">
      <w:bodyDiv w:val="1"/>
      <w:marLeft w:val="0"/>
      <w:marRight w:val="0"/>
      <w:marTop w:val="0"/>
      <w:marBottom w:val="0"/>
      <w:divBdr>
        <w:top w:val="none" w:sz="0" w:space="0" w:color="auto"/>
        <w:left w:val="none" w:sz="0" w:space="0" w:color="auto"/>
        <w:bottom w:val="none" w:sz="0" w:space="0" w:color="auto"/>
        <w:right w:val="none" w:sz="0" w:space="0" w:color="auto"/>
      </w:divBdr>
    </w:div>
    <w:div w:id="2015254963">
      <w:bodyDiv w:val="1"/>
      <w:marLeft w:val="0"/>
      <w:marRight w:val="0"/>
      <w:marTop w:val="0"/>
      <w:marBottom w:val="0"/>
      <w:divBdr>
        <w:top w:val="none" w:sz="0" w:space="0" w:color="auto"/>
        <w:left w:val="none" w:sz="0" w:space="0" w:color="auto"/>
        <w:bottom w:val="none" w:sz="0" w:space="0" w:color="auto"/>
        <w:right w:val="none" w:sz="0" w:space="0" w:color="auto"/>
      </w:divBdr>
    </w:div>
    <w:div w:id="2016301759">
      <w:bodyDiv w:val="1"/>
      <w:marLeft w:val="0"/>
      <w:marRight w:val="0"/>
      <w:marTop w:val="0"/>
      <w:marBottom w:val="0"/>
      <w:divBdr>
        <w:top w:val="none" w:sz="0" w:space="0" w:color="auto"/>
        <w:left w:val="none" w:sz="0" w:space="0" w:color="auto"/>
        <w:bottom w:val="none" w:sz="0" w:space="0" w:color="auto"/>
        <w:right w:val="none" w:sz="0" w:space="0" w:color="auto"/>
      </w:divBdr>
      <w:divsChild>
        <w:div w:id="1571765802">
          <w:marLeft w:val="418"/>
          <w:marRight w:val="0"/>
          <w:marTop w:val="154"/>
          <w:marBottom w:val="0"/>
          <w:divBdr>
            <w:top w:val="none" w:sz="0" w:space="0" w:color="auto"/>
            <w:left w:val="none" w:sz="0" w:space="0" w:color="auto"/>
            <w:bottom w:val="none" w:sz="0" w:space="0" w:color="auto"/>
            <w:right w:val="none" w:sz="0" w:space="0" w:color="auto"/>
          </w:divBdr>
        </w:div>
      </w:divsChild>
    </w:div>
    <w:div w:id="2016682840">
      <w:bodyDiv w:val="1"/>
      <w:marLeft w:val="0"/>
      <w:marRight w:val="0"/>
      <w:marTop w:val="0"/>
      <w:marBottom w:val="0"/>
      <w:divBdr>
        <w:top w:val="none" w:sz="0" w:space="0" w:color="auto"/>
        <w:left w:val="none" w:sz="0" w:space="0" w:color="auto"/>
        <w:bottom w:val="none" w:sz="0" w:space="0" w:color="auto"/>
        <w:right w:val="none" w:sz="0" w:space="0" w:color="auto"/>
      </w:divBdr>
    </w:div>
    <w:div w:id="2017295301">
      <w:bodyDiv w:val="1"/>
      <w:marLeft w:val="0"/>
      <w:marRight w:val="0"/>
      <w:marTop w:val="0"/>
      <w:marBottom w:val="0"/>
      <w:divBdr>
        <w:top w:val="none" w:sz="0" w:space="0" w:color="auto"/>
        <w:left w:val="none" w:sz="0" w:space="0" w:color="auto"/>
        <w:bottom w:val="none" w:sz="0" w:space="0" w:color="auto"/>
        <w:right w:val="none" w:sz="0" w:space="0" w:color="auto"/>
      </w:divBdr>
      <w:divsChild>
        <w:div w:id="437918777">
          <w:marLeft w:val="547"/>
          <w:marRight w:val="0"/>
          <w:marTop w:val="115"/>
          <w:marBottom w:val="0"/>
          <w:divBdr>
            <w:top w:val="none" w:sz="0" w:space="0" w:color="auto"/>
            <w:left w:val="none" w:sz="0" w:space="0" w:color="auto"/>
            <w:bottom w:val="none" w:sz="0" w:space="0" w:color="auto"/>
            <w:right w:val="none" w:sz="0" w:space="0" w:color="auto"/>
          </w:divBdr>
        </w:div>
        <w:div w:id="494537231">
          <w:marLeft w:val="1166"/>
          <w:marRight w:val="0"/>
          <w:marTop w:val="96"/>
          <w:marBottom w:val="0"/>
          <w:divBdr>
            <w:top w:val="none" w:sz="0" w:space="0" w:color="auto"/>
            <w:left w:val="none" w:sz="0" w:space="0" w:color="auto"/>
            <w:bottom w:val="none" w:sz="0" w:space="0" w:color="auto"/>
            <w:right w:val="none" w:sz="0" w:space="0" w:color="auto"/>
          </w:divBdr>
        </w:div>
        <w:div w:id="1184441169">
          <w:marLeft w:val="1800"/>
          <w:marRight w:val="0"/>
          <w:marTop w:val="96"/>
          <w:marBottom w:val="0"/>
          <w:divBdr>
            <w:top w:val="none" w:sz="0" w:space="0" w:color="auto"/>
            <w:left w:val="none" w:sz="0" w:space="0" w:color="auto"/>
            <w:bottom w:val="none" w:sz="0" w:space="0" w:color="auto"/>
            <w:right w:val="none" w:sz="0" w:space="0" w:color="auto"/>
          </w:divBdr>
        </w:div>
        <w:div w:id="1247228459">
          <w:marLeft w:val="1800"/>
          <w:marRight w:val="0"/>
          <w:marTop w:val="96"/>
          <w:marBottom w:val="0"/>
          <w:divBdr>
            <w:top w:val="none" w:sz="0" w:space="0" w:color="auto"/>
            <w:left w:val="none" w:sz="0" w:space="0" w:color="auto"/>
            <w:bottom w:val="none" w:sz="0" w:space="0" w:color="auto"/>
            <w:right w:val="none" w:sz="0" w:space="0" w:color="auto"/>
          </w:divBdr>
        </w:div>
      </w:divsChild>
    </w:div>
    <w:div w:id="2018388010">
      <w:bodyDiv w:val="1"/>
      <w:marLeft w:val="0"/>
      <w:marRight w:val="0"/>
      <w:marTop w:val="0"/>
      <w:marBottom w:val="0"/>
      <w:divBdr>
        <w:top w:val="none" w:sz="0" w:space="0" w:color="auto"/>
        <w:left w:val="none" w:sz="0" w:space="0" w:color="auto"/>
        <w:bottom w:val="none" w:sz="0" w:space="0" w:color="auto"/>
        <w:right w:val="none" w:sz="0" w:space="0" w:color="auto"/>
      </w:divBdr>
    </w:div>
    <w:div w:id="2018655215">
      <w:bodyDiv w:val="1"/>
      <w:marLeft w:val="0"/>
      <w:marRight w:val="0"/>
      <w:marTop w:val="0"/>
      <w:marBottom w:val="0"/>
      <w:divBdr>
        <w:top w:val="none" w:sz="0" w:space="0" w:color="auto"/>
        <w:left w:val="none" w:sz="0" w:space="0" w:color="auto"/>
        <w:bottom w:val="none" w:sz="0" w:space="0" w:color="auto"/>
        <w:right w:val="none" w:sz="0" w:space="0" w:color="auto"/>
      </w:divBdr>
      <w:divsChild>
        <w:div w:id="548957979">
          <w:marLeft w:val="0"/>
          <w:marRight w:val="0"/>
          <w:marTop w:val="0"/>
          <w:marBottom w:val="0"/>
          <w:divBdr>
            <w:top w:val="none" w:sz="0" w:space="0" w:color="auto"/>
            <w:left w:val="none" w:sz="0" w:space="0" w:color="auto"/>
            <w:bottom w:val="none" w:sz="0" w:space="0" w:color="auto"/>
            <w:right w:val="none" w:sz="0" w:space="0" w:color="auto"/>
          </w:divBdr>
          <w:divsChild>
            <w:div w:id="121777667">
              <w:marLeft w:val="0"/>
              <w:marRight w:val="0"/>
              <w:marTop w:val="0"/>
              <w:marBottom w:val="0"/>
              <w:divBdr>
                <w:top w:val="none" w:sz="0" w:space="0" w:color="auto"/>
                <w:left w:val="none" w:sz="0" w:space="0" w:color="auto"/>
                <w:bottom w:val="none" w:sz="0" w:space="0" w:color="auto"/>
                <w:right w:val="none" w:sz="0" w:space="0" w:color="auto"/>
              </w:divBdr>
            </w:div>
            <w:div w:id="918179170">
              <w:marLeft w:val="0"/>
              <w:marRight w:val="0"/>
              <w:marTop w:val="0"/>
              <w:marBottom w:val="0"/>
              <w:divBdr>
                <w:top w:val="none" w:sz="0" w:space="0" w:color="auto"/>
                <w:left w:val="none" w:sz="0" w:space="0" w:color="auto"/>
                <w:bottom w:val="none" w:sz="0" w:space="0" w:color="auto"/>
                <w:right w:val="none" w:sz="0" w:space="0" w:color="auto"/>
              </w:divBdr>
            </w:div>
            <w:div w:id="1089080720">
              <w:marLeft w:val="0"/>
              <w:marRight w:val="0"/>
              <w:marTop w:val="0"/>
              <w:marBottom w:val="0"/>
              <w:divBdr>
                <w:top w:val="none" w:sz="0" w:space="0" w:color="auto"/>
                <w:left w:val="none" w:sz="0" w:space="0" w:color="auto"/>
                <w:bottom w:val="none" w:sz="0" w:space="0" w:color="auto"/>
                <w:right w:val="none" w:sz="0" w:space="0" w:color="auto"/>
              </w:divBdr>
            </w:div>
            <w:div w:id="1153371578">
              <w:marLeft w:val="0"/>
              <w:marRight w:val="0"/>
              <w:marTop w:val="0"/>
              <w:marBottom w:val="0"/>
              <w:divBdr>
                <w:top w:val="none" w:sz="0" w:space="0" w:color="auto"/>
                <w:left w:val="none" w:sz="0" w:space="0" w:color="auto"/>
                <w:bottom w:val="none" w:sz="0" w:space="0" w:color="auto"/>
                <w:right w:val="none" w:sz="0" w:space="0" w:color="auto"/>
              </w:divBdr>
            </w:div>
            <w:div w:id="1306736490">
              <w:marLeft w:val="0"/>
              <w:marRight w:val="0"/>
              <w:marTop w:val="0"/>
              <w:marBottom w:val="0"/>
              <w:divBdr>
                <w:top w:val="none" w:sz="0" w:space="0" w:color="auto"/>
                <w:left w:val="none" w:sz="0" w:space="0" w:color="auto"/>
                <w:bottom w:val="none" w:sz="0" w:space="0" w:color="auto"/>
                <w:right w:val="none" w:sz="0" w:space="0" w:color="auto"/>
              </w:divBdr>
            </w:div>
            <w:div w:id="1461220340">
              <w:marLeft w:val="0"/>
              <w:marRight w:val="0"/>
              <w:marTop w:val="0"/>
              <w:marBottom w:val="0"/>
              <w:divBdr>
                <w:top w:val="none" w:sz="0" w:space="0" w:color="auto"/>
                <w:left w:val="none" w:sz="0" w:space="0" w:color="auto"/>
                <w:bottom w:val="none" w:sz="0" w:space="0" w:color="auto"/>
                <w:right w:val="none" w:sz="0" w:space="0" w:color="auto"/>
              </w:divBdr>
            </w:div>
            <w:div w:id="1983847111">
              <w:marLeft w:val="0"/>
              <w:marRight w:val="0"/>
              <w:marTop w:val="0"/>
              <w:marBottom w:val="0"/>
              <w:divBdr>
                <w:top w:val="none" w:sz="0" w:space="0" w:color="auto"/>
                <w:left w:val="none" w:sz="0" w:space="0" w:color="auto"/>
                <w:bottom w:val="none" w:sz="0" w:space="0" w:color="auto"/>
                <w:right w:val="none" w:sz="0" w:space="0" w:color="auto"/>
              </w:divBdr>
            </w:div>
            <w:div w:id="20157616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9505804">
      <w:bodyDiv w:val="1"/>
      <w:marLeft w:val="0"/>
      <w:marRight w:val="0"/>
      <w:marTop w:val="0"/>
      <w:marBottom w:val="0"/>
      <w:divBdr>
        <w:top w:val="none" w:sz="0" w:space="0" w:color="auto"/>
        <w:left w:val="none" w:sz="0" w:space="0" w:color="auto"/>
        <w:bottom w:val="none" w:sz="0" w:space="0" w:color="auto"/>
        <w:right w:val="none" w:sz="0" w:space="0" w:color="auto"/>
      </w:divBdr>
      <w:divsChild>
        <w:div w:id="221409851">
          <w:marLeft w:val="1800"/>
          <w:marRight w:val="0"/>
          <w:marTop w:val="82"/>
          <w:marBottom w:val="0"/>
          <w:divBdr>
            <w:top w:val="none" w:sz="0" w:space="0" w:color="auto"/>
            <w:left w:val="none" w:sz="0" w:space="0" w:color="auto"/>
            <w:bottom w:val="none" w:sz="0" w:space="0" w:color="auto"/>
            <w:right w:val="none" w:sz="0" w:space="0" w:color="auto"/>
          </w:divBdr>
        </w:div>
        <w:div w:id="726418101">
          <w:marLeft w:val="1800"/>
          <w:marRight w:val="0"/>
          <w:marTop w:val="86"/>
          <w:marBottom w:val="0"/>
          <w:divBdr>
            <w:top w:val="none" w:sz="0" w:space="0" w:color="auto"/>
            <w:left w:val="none" w:sz="0" w:space="0" w:color="auto"/>
            <w:bottom w:val="none" w:sz="0" w:space="0" w:color="auto"/>
            <w:right w:val="none" w:sz="0" w:space="0" w:color="auto"/>
          </w:divBdr>
        </w:div>
        <w:div w:id="758139065">
          <w:marLeft w:val="1800"/>
          <w:marRight w:val="0"/>
          <w:marTop w:val="82"/>
          <w:marBottom w:val="0"/>
          <w:divBdr>
            <w:top w:val="none" w:sz="0" w:space="0" w:color="auto"/>
            <w:left w:val="none" w:sz="0" w:space="0" w:color="auto"/>
            <w:bottom w:val="none" w:sz="0" w:space="0" w:color="auto"/>
            <w:right w:val="none" w:sz="0" w:space="0" w:color="auto"/>
          </w:divBdr>
        </w:div>
        <w:div w:id="781875408">
          <w:marLeft w:val="1800"/>
          <w:marRight w:val="0"/>
          <w:marTop w:val="82"/>
          <w:marBottom w:val="0"/>
          <w:divBdr>
            <w:top w:val="none" w:sz="0" w:space="0" w:color="auto"/>
            <w:left w:val="none" w:sz="0" w:space="0" w:color="auto"/>
            <w:bottom w:val="none" w:sz="0" w:space="0" w:color="auto"/>
            <w:right w:val="none" w:sz="0" w:space="0" w:color="auto"/>
          </w:divBdr>
        </w:div>
        <w:div w:id="910390299">
          <w:marLeft w:val="1166"/>
          <w:marRight w:val="0"/>
          <w:marTop w:val="96"/>
          <w:marBottom w:val="0"/>
          <w:divBdr>
            <w:top w:val="none" w:sz="0" w:space="0" w:color="auto"/>
            <w:left w:val="none" w:sz="0" w:space="0" w:color="auto"/>
            <w:bottom w:val="none" w:sz="0" w:space="0" w:color="auto"/>
            <w:right w:val="none" w:sz="0" w:space="0" w:color="auto"/>
          </w:divBdr>
        </w:div>
        <w:div w:id="1335111584">
          <w:marLeft w:val="547"/>
          <w:marRight w:val="0"/>
          <w:marTop w:val="106"/>
          <w:marBottom w:val="0"/>
          <w:divBdr>
            <w:top w:val="none" w:sz="0" w:space="0" w:color="auto"/>
            <w:left w:val="none" w:sz="0" w:space="0" w:color="auto"/>
            <w:bottom w:val="none" w:sz="0" w:space="0" w:color="auto"/>
            <w:right w:val="none" w:sz="0" w:space="0" w:color="auto"/>
          </w:divBdr>
        </w:div>
        <w:div w:id="1340428313">
          <w:marLeft w:val="1166"/>
          <w:marRight w:val="0"/>
          <w:marTop w:val="96"/>
          <w:marBottom w:val="0"/>
          <w:divBdr>
            <w:top w:val="none" w:sz="0" w:space="0" w:color="auto"/>
            <w:left w:val="none" w:sz="0" w:space="0" w:color="auto"/>
            <w:bottom w:val="none" w:sz="0" w:space="0" w:color="auto"/>
            <w:right w:val="none" w:sz="0" w:space="0" w:color="auto"/>
          </w:divBdr>
        </w:div>
        <w:div w:id="1685279580">
          <w:marLeft w:val="1800"/>
          <w:marRight w:val="0"/>
          <w:marTop w:val="82"/>
          <w:marBottom w:val="0"/>
          <w:divBdr>
            <w:top w:val="none" w:sz="0" w:space="0" w:color="auto"/>
            <w:left w:val="none" w:sz="0" w:space="0" w:color="auto"/>
            <w:bottom w:val="none" w:sz="0" w:space="0" w:color="auto"/>
            <w:right w:val="none" w:sz="0" w:space="0" w:color="auto"/>
          </w:divBdr>
        </w:div>
        <w:div w:id="2144230697">
          <w:marLeft w:val="1800"/>
          <w:marRight w:val="0"/>
          <w:marTop w:val="86"/>
          <w:marBottom w:val="0"/>
          <w:divBdr>
            <w:top w:val="none" w:sz="0" w:space="0" w:color="auto"/>
            <w:left w:val="none" w:sz="0" w:space="0" w:color="auto"/>
            <w:bottom w:val="none" w:sz="0" w:space="0" w:color="auto"/>
            <w:right w:val="none" w:sz="0" w:space="0" w:color="auto"/>
          </w:divBdr>
        </w:div>
      </w:divsChild>
    </w:div>
    <w:div w:id="2020768707">
      <w:bodyDiv w:val="1"/>
      <w:marLeft w:val="0"/>
      <w:marRight w:val="0"/>
      <w:marTop w:val="0"/>
      <w:marBottom w:val="0"/>
      <w:divBdr>
        <w:top w:val="none" w:sz="0" w:space="0" w:color="auto"/>
        <w:left w:val="none" w:sz="0" w:space="0" w:color="auto"/>
        <w:bottom w:val="none" w:sz="0" w:space="0" w:color="auto"/>
        <w:right w:val="none" w:sz="0" w:space="0" w:color="auto"/>
      </w:divBdr>
    </w:div>
    <w:div w:id="2020883708">
      <w:bodyDiv w:val="1"/>
      <w:marLeft w:val="0"/>
      <w:marRight w:val="0"/>
      <w:marTop w:val="0"/>
      <w:marBottom w:val="0"/>
      <w:divBdr>
        <w:top w:val="none" w:sz="0" w:space="0" w:color="auto"/>
        <w:left w:val="none" w:sz="0" w:space="0" w:color="auto"/>
        <w:bottom w:val="none" w:sz="0" w:space="0" w:color="auto"/>
        <w:right w:val="none" w:sz="0" w:space="0" w:color="auto"/>
      </w:divBdr>
    </w:div>
    <w:div w:id="2021809634">
      <w:bodyDiv w:val="1"/>
      <w:marLeft w:val="0"/>
      <w:marRight w:val="0"/>
      <w:marTop w:val="0"/>
      <w:marBottom w:val="0"/>
      <w:divBdr>
        <w:top w:val="none" w:sz="0" w:space="0" w:color="auto"/>
        <w:left w:val="none" w:sz="0" w:space="0" w:color="auto"/>
        <w:bottom w:val="none" w:sz="0" w:space="0" w:color="auto"/>
        <w:right w:val="none" w:sz="0" w:space="0" w:color="auto"/>
      </w:divBdr>
      <w:divsChild>
        <w:div w:id="422992412">
          <w:marLeft w:val="1440"/>
          <w:marRight w:val="0"/>
          <w:marTop w:val="0"/>
          <w:marBottom w:val="0"/>
          <w:divBdr>
            <w:top w:val="none" w:sz="0" w:space="0" w:color="auto"/>
            <w:left w:val="none" w:sz="0" w:space="0" w:color="auto"/>
            <w:bottom w:val="none" w:sz="0" w:space="0" w:color="auto"/>
            <w:right w:val="none" w:sz="0" w:space="0" w:color="auto"/>
          </w:divBdr>
        </w:div>
        <w:div w:id="1144157432">
          <w:marLeft w:val="1440"/>
          <w:marRight w:val="0"/>
          <w:marTop w:val="0"/>
          <w:marBottom w:val="0"/>
          <w:divBdr>
            <w:top w:val="none" w:sz="0" w:space="0" w:color="auto"/>
            <w:left w:val="none" w:sz="0" w:space="0" w:color="auto"/>
            <w:bottom w:val="none" w:sz="0" w:space="0" w:color="auto"/>
            <w:right w:val="none" w:sz="0" w:space="0" w:color="auto"/>
          </w:divBdr>
        </w:div>
        <w:div w:id="1656181527">
          <w:marLeft w:val="720"/>
          <w:marRight w:val="0"/>
          <w:marTop w:val="0"/>
          <w:marBottom w:val="0"/>
          <w:divBdr>
            <w:top w:val="none" w:sz="0" w:space="0" w:color="auto"/>
            <w:left w:val="none" w:sz="0" w:space="0" w:color="auto"/>
            <w:bottom w:val="none" w:sz="0" w:space="0" w:color="auto"/>
            <w:right w:val="none" w:sz="0" w:space="0" w:color="auto"/>
          </w:divBdr>
        </w:div>
        <w:div w:id="2114281103">
          <w:marLeft w:val="1440"/>
          <w:marRight w:val="0"/>
          <w:marTop w:val="0"/>
          <w:marBottom w:val="0"/>
          <w:divBdr>
            <w:top w:val="none" w:sz="0" w:space="0" w:color="auto"/>
            <w:left w:val="none" w:sz="0" w:space="0" w:color="auto"/>
            <w:bottom w:val="none" w:sz="0" w:space="0" w:color="auto"/>
            <w:right w:val="none" w:sz="0" w:space="0" w:color="auto"/>
          </w:divBdr>
        </w:div>
      </w:divsChild>
    </w:div>
    <w:div w:id="2021882061">
      <w:bodyDiv w:val="1"/>
      <w:marLeft w:val="0"/>
      <w:marRight w:val="0"/>
      <w:marTop w:val="0"/>
      <w:marBottom w:val="0"/>
      <w:divBdr>
        <w:top w:val="none" w:sz="0" w:space="0" w:color="auto"/>
        <w:left w:val="none" w:sz="0" w:space="0" w:color="auto"/>
        <w:bottom w:val="none" w:sz="0" w:space="0" w:color="auto"/>
        <w:right w:val="none" w:sz="0" w:space="0" w:color="auto"/>
      </w:divBdr>
    </w:div>
    <w:div w:id="2022273551">
      <w:bodyDiv w:val="1"/>
      <w:marLeft w:val="0"/>
      <w:marRight w:val="0"/>
      <w:marTop w:val="0"/>
      <w:marBottom w:val="0"/>
      <w:divBdr>
        <w:top w:val="none" w:sz="0" w:space="0" w:color="auto"/>
        <w:left w:val="none" w:sz="0" w:space="0" w:color="auto"/>
        <w:bottom w:val="none" w:sz="0" w:space="0" w:color="auto"/>
        <w:right w:val="none" w:sz="0" w:space="0" w:color="auto"/>
      </w:divBdr>
    </w:div>
    <w:div w:id="2022313527">
      <w:bodyDiv w:val="1"/>
      <w:marLeft w:val="0"/>
      <w:marRight w:val="0"/>
      <w:marTop w:val="0"/>
      <w:marBottom w:val="0"/>
      <w:divBdr>
        <w:top w:val="none" w:sz="0" w:space="0" w:color="auto"/>
        <w:left w:val="none" w:sz="0" w:space="0" w:color="auto"/>
        <w:bottom w:val="none" w:sz="0" w:space="0" w:color="auto"/>
        <w:right w:val="none" w:sz="0" w:space="0" w:color="auto"/>
      </w:divBdr>
    </w:div>
    <w:div w:id="2022511264">
      <w:bodyDiv w:val="1"/>
      <w:marLeft w:val="0"/>
      <w:marRight w:val="0"/>
      <w:marTop w:val="0"/>
      <w:marBottom w:val="0"/>
      <w:divBdr>
        <w:top w:val="none" w:sz="0" w:space="0" w:color="auto"/>
        <w:left w:val="none" w:sz="0" w:space="0" w:color="auto"/>
        <w:bottom w:val="none" w:sz="0" w:space="0" w:color="auto"/>
        <w:right w:val="none" w:sz="0" w:space="0" w:color="auto"/>
      </w:divBdr>
    </w:div>
    <w:div w:id="2022589263">
      <w:bodyDiv w:val="1"/>
      <w:marLeft w:val="0"/>
      <w:marRight w:val="0"/>
      <w:marTop w:val="0"/>
      <w:marBottom w:val="0"/>
      <w:divBdr>
        <w:top w:val="none" w:sz="0" w:space="0" w:color="auto"/>
        <w:left w:val="none" w:sz="0" w:space="0" w:color="auto"/>
        <w:bottom w:val="none" w:sz="0" w:space="0" w:color="auto"/>
        <w:right w:val="none" w:sz="0" w:space="0" w:color="auto"/>
      </w:divBdr>
    </w:div>
    <w:div w:id="2023318230">
      <w:bodyDiv w:val="1"/>
      <w:marLeft w:val="0"/>
      <w:marRight w:val="0"/>
      <w:marTop w:val="0"/>
      <w:marBottom w:val="0"/>
      <w:divBdr>
        <w:top w:val="none" w:sz="0" w:space="0" w:color="auto"/>
        <w:left w:val="none" w:sz="0" w:space="0" w:color="auto"/>
        <w:bottom w:val="none" w:sz="0" w:space="0" w:color="auto"/>
        <w:right w:val="none" w:sz="0" w:space="0" w:color="auto"/>
      </w:divBdr>
      <w:divsChild>
        <w:div w:id="1847404106">
          <w:marLeft w:val="547"/>
          <w:marRight w:val="0"/>
          <w:marTop w:val="154"/>
          <w:marBottom w:val="0"/>
          <w:divBdr>
            <w:top w:val="none" w:sz="0" w:space="0" w:color="auto"/>
            <w:left w:val="none" w:sz="0" w:space="0" w:color="auto"/>
            <w:bottom w:val="none" w:sz="0" w:space="0" w:color="auto"/>
            <w:right w:val="none" w:sz="0" w:space="0" w:color="auto"/>
          </w:divBdr>
        </w:div>
      </w:divsChild>
    </w:div>
    <w:div w:id="2023627207">
      <w:bodyDiv w:val="1"/>
      <w:marLeft w:val="0"/>
      <w:marRight w:val="0"/>
      <w:marTop w:val="0"/>
      <w:marBottom w:val="0"/>
      <w:divBdr>
        <w:top w:val="none" w:sz="0" w:space="0" w:color="auto"/>
        <w:left w:val="none" w:sz="0" w:space="0" w:color="auto"/>
        <w:bottom w:val="none" w:sz="0" w:space="0" w:color="auto"/>
        <w:right w:val="none" w:sz="0" w:space="0" w:color="auto"/>
      </w:divBdr>
      <w:divsChild>
        <w:div w:id="413205358">
          <w:marLeft w:val="547"/>
          <w:marRight w:val="0"/>
          <w:marTop w:val="134"/>
          <w:marBottom w:val="0"/>
          <w:divBdr>
            <w:top w:val="none" w:sz="0" w:space="0" w:color="auto"/>
            <w:left w:val="none" w:sz="0" w:space="0" w:color="auto"/>
            <w:bottom w:val="none" w:sz="0" w:space="0" w:color="auto"/>
            <w:right w:val="none" w:sz="0" w:space="0" w:color="auto"/>
          </w:divBdr>
        </w:div>
        <w:div w:id="912088253">
          <w:marLeft w:val="1166"/>
          <w:marRight w:val="0"/>
          <w:marTop w:val="115"/>
          <w:marBottom w:val="0"/>
          <w:divBdr>
            <w:top w:val="none" w:sz="0" w:space="0" w:color="auto"/>
            <w:left w:val="none" w:sz="0" w:space="0" w:color="auto"/>
            <w:bottom w:val="none" w:sz="0" w:space="0" w:color="auto"/>
            <w:right w:val="none" w:sz="0" w:space="0" w:color="auto"/>
          </w:divBdr>
        </w:div>
        <w:div w:id="1390762647">
          <w:marLeft w:val="1166"/>
          <w:marRight w:val="0"/>
          <w:marTop w:val="115"/>
          <w:marBottom w:val="0"/>
          <w:divBdr>
            <w:top w:val="none" w:sz="0" w:space="0" w:color="auto"/>
            <w:left w:val="none" w:sz="0" w:space="0" w:color="auto"/>
            <w:bottom w:val="none" w:sz="0" w:space="0" w:color="auto"/>
            <w:right w:val="none" w:sz="0" w:space="0" w:color="auto"/>
          </w:divBdr>
        </w:div>
      </w:divsChild>
    </w:div>
    <w:div w:id="2023820095">
      <w:bodyDiv w:val="1"/>
      <w:marLeft w:val="0"/>
      <w:marRight w:val="0"/>
      <w:marTop w:val="0"/>
      <w:marBottom w:val="0"/>
      <w:divBdr>
        <w:top w:val="none" w:sz="0" w:space="0" w:color="auto"/>
        <w:left w:val="none" w:sz="0" w:space="0" w:color="auto"/>
        <w:bottom w:val="none" w:sz="0" w:space="0" w:color="auto"/>
        <w:right w:val="none" w:sz="0" w:space="0" w:color="auto"/>
      </w:divBdr>
    </w:div>
    <w:div w:id="2024041634">
      <w:bodyDiv w:val="1"/>
      <w:marLeft w:val="0"/>
      <w:marRight w:val="0"/>
      <w:marTop w:val="0"/>
      <w:marBottom w:val="0"/>
      <w:divBdr>
        <w:top w:val="none" w:sz="0" w:space="0" w:color="auto"/>
        <w:left w:val="none" w:sz="0" w:space="0" w:color="auto"/>
        <w:bottom w:val="none" w:sz="0" w:space="0" w:color="auto"/>
        <w:right w:val="none" w:sz="0" w:space="0" w:color="auto"/>
      </w:divBdr>
    </w:div>
    <w:div w:id="2025596041">
      <w:bodyDiv w:val="1"/>
      <w:marLeft w:val="0"/>
      <w:marRight w:val="0"/>
      <w:marTop w:val="0"/>
      <w:marBottom w:val="0"/>
      <w:divBdr>
        <w:top w:val="none" w:sz="0" w:space="0" w:color="auto"/>
        <w:left w:val="none" w:sz="0" w:space="0" w:color="auto"/>
        <w:bottom w:val="none" w:sz="0" w:space="0" w:color="auto"/>
        <w:right w:val="none" w:sz="0" w:space="0" w:color="auto"/>
      </w:divBdr>
    </w:div>
    <w:div w:id="2026666290">
      <w:bodyDiv w:val="1"/>
      <w:marLeft w:val="0"/>
      <w:marRight w:val="0"/>
      <w:marTop w:val="0"/>
      <w:marBottom w:val="0"/>
      <w:divBdr>
        <w:top w:val="none" w:sz="0" w:space="0" w:color="auto"/>
        <w:left w:val="none" w:sz="0" w:space="0" w:color="auto"/>
        <w:bottom w:val="none" w:sz="0" w:space="0" w:color="auto"/>
        <w:right w:val="none" w:sz="0" w:space="0" w:color="auto"/>
      </w:divBdr>
    </w:div>
    <w:div w:id="2027360732">
      <w:bodyDiv w:val="1"/>
      <w:marLeft w:val="0"/>
      <w:marRight w:val="0"/>
      <w:marTop w:val="0"/>
      <w:marBottom w:val="0"/>
      <w:divBdr>
        <w:top w:val="none" w:sz="0" w:space="0" w:color="auto"/>
        <w:left w:val="none" w:sz="0" w:space="0" w:color="auto"/>
        <w:bottom w:val="none" w:sz="0" w:space="0" w:color="auto"/>
        <w:right w:val="none" w:sz="0" w:space="0" w:color="auto"/>
      </w:divBdr>
    </w:div>
    <w:div w:id="2027437743">
      <w:bodyDiv w:val="1"/>
      <w:marLeft w:val="0"/>
      <w:marRight w:val="0"/>
      <w:marTop w:val="0"/>
      <w:marBottom w:val="0"/>
      <w:divBdr>
        <w:top w:val="none" w:sz="0" w:space="0" w:color="auto"/>
        <w:left w:val="none" w:sz="0" w:space="0" w:color="auto"/>
        <w:bottom w:val="none" w:sz="0" w:space="0" w:color="auto"/>
        <w:right w:val="none" w:sz="0" w:space="0" w:color="auto"/>
      </w:divBdr>
      <w:divsChild>
        <w:div w:id="208961283">
          <w:marLeft w:val="1800"/>
          <w:marRight w:val="0"/>
          <w:marTop w:val="96"/>
          <w:marBottom w:val="0"/>
          <w:divBdr>
            <w:top w:val="none" w:sz="0" w:space="0" w:color="auto"/>
            <w:left w:val="none" w:sz="0" w:space="0" w:color="auto"/>
            <w:bottom w:val="none" w:sz="0" w:space="0" w:color="auto"/>
            <w:right w:val="none" w:sz="0" w:space="0" w:color="auto"/>
          </w:divBdr>
        </w:div>
        <w:div w:id="340621060">
          <w:marLeft w:val="1800"/>
          <w:marRight w:val="0"/>
          <w:marTop w:val="96"/>
          <w:marBottom w:val="0"/>
          <w:divBdr>
            <w:top w:val="none" w:sz="0" w:space="0" w:color="auto"/>
            <w:left w:val="none" w:sz="0" w:space="0" w:color="auto"/>
            <w:bottom w:val="none" w:sz="0" w:space="0" w:color="auto"/>
            <w:right w:val="none" w:sz="0" w:space="0" w:color="auto"/>
          </w:divBdr>
        </w:div>
        <w:div w:id="361632261">
          <w:marLeft w:val="547"/>
          <w:marRight w:val="0"/>
          <w:marTop w:val="96"/>
          <w:marBottom w:val="0"/>
          <w:divBdr>
            <w:top w:val="none" w:sz="0" w:space="0" w:color="auto"/>
            <w:left w:val="none" w:sz="0" w:space="0" w:color="auto"/>
            <w:bottom w:val="none" w:sz="0" w:space="0" w:color="auto"/>
            <w:right w:val="none" w:sz="0" w:space="0" w:color="auto"/>
          </w:divBdr>
        </w:div>
        <w:div w:id="1140608092">
          <w:marLeft w:val="1166"/>
          <w:marRight w:val="0"/>
          <w:marTop w:val="96"/>
          <w:marBottom w:val="0"/>
          <w:divBdr>
            <w:top w:val="none" w:sz="0" w:space="0" w:color="auto"/>
            <w:left w:val="none" w:sz="0" w:space="0" w:color="auto"/>
            <w:bottom w:val="none" w:sz="0" w:space="0" w:color="auto"/>
            <w:right w:val="none" w:sz="0" w:space="0" w:color="auto"/>
          </w:divBdr>
        </w:div>
      </w:divsChild>
    </w:div>
    <w:div w:id="2028290055">
      <w:bodyDiv w:val="1"/>
      <w:marLeft w:val="0"/>
      <w:marRight w:val="0"/>
      <w:marTop w:val="0"/>
      <w:marBottom w:val="0"/>
      <w:divBdr>
        <w:top w:val="none" w:sz="0" w:space="0" w:color="auto"/>
        <w:left w:val="none" w:sz="0" w:space="0" w:color="auto"/>
        <w:bottom w:val="none" w:sz="0" w:space="0" w:color="auto"/>
        <w:right w:val="none" w:sz="0" w:space="0" w:color="auto"/>
      </w:divBdr>
    </w:div>
    <w:div w:id="2028364538">
      <w:bodyDiv w:val="1"/>
      <w:marLeft w:val="0"/>
      <w:marRight w:val="0"/>
      <w:marTop w:val="0"/>
      <w:marBottom w:val="0"/>
      <w:divBdr>
        <w:top w:val="none" w:sz="0" w:space="0" w:color="auto"/>
        <w:left w:val="none" w:sz="0" w:space="0" w:color="auto"/>
        <w:bottom w:val="none" w:sz="0" w:space="0" w:color="auto"/>
        <w:right w:val="none" w:sz="0" w:space="0" w:color="auto"/>
      </w:divBdr>
    </w:div>
    <w:div w:id="2028560701">
      <w:bodyDiv w:val="1"/>
      <w:marLeft w:val="0"/>
      <w:marRight w:val="0"/>
      <w:marTop w:val="0"/>
      <w:marBottom w:val="0"/>
      <w:divBdr>
        <w:top w:val="none" w:sz="0" w:space="0" w:color="auto"/>
        <w:left w:val="none" w:sz="0" w:space="0" w:color="auto"/>
        <w:bottom w:val="none" w:sz="0" w:space="0" w:color="auto"/>
        <w:right w:val="none" w:sz="0" w:space="0" w:color="auto"/>
      </w:divBdr>
    </w:div>
    <w:div w:id="2029721872">
      <w:bodyDiv w:val="1"/>
      <w:marLeft w:val="0"/>
      <w:marRight w:val="0"/>
      <w:marTop w:val="0"/>
      <w:marBottom w:val="0"/>
      <w:divBdr>
        <w:top w:val="none" w:sz="0" w:space="0" w:color="auto"/>
        <w:left w:val="none" w:sz="0" w:space="0" w:color="auto"/>
        <w:bottom w:val="none" w:sz="0" w:space="0" w:color="auto"/>
        <w:right w:val="none" w:sz="0" w:space="0" w:color="auto"/>
      </w:divBdr>
    </w:div>
    <w:div w:id="2030526470">
      <w:bodyDiv w:val="1"/>
      <w:marLeft w:val="0"/>
      <w:marRight w:val="0"/>
      <w:marTop w:val="0"/>
      <w:marBottom w:val="0"/>
      <w:divBdr>
        <w:top w:val="none" w:sz="0" w:space="0" w:color="auto"/>
        <w:left w:val="none" w:sz="0" w:space="0" w:color="auto"/>
        <w:bottom w:val="none" w:sz="0" w:space="0" w:color="auto"/>
        <w:right w:val="none" w:sz="0" w:space="0" w:color="auto"/>
      </w:divBdr>
      <w:divsChild>
        <w:div w:id="292298613">
          <w:marLeft w:val="1166"/>
          <w:marRight w:val="0"/>
          <w:marTop w:val="96"/>
          <w:marBottom w:val="0"/>
          <w:divBdr>
            <w:top w:val="none" w:sz="0" w:space="0" w:color="auto"/>
            <w:left w:val="none" w:sz="0" w:space="0" w:color="auto"/>
            <w:bottom w:val="none" w:sz="0" w:space="0" w:color="auto"/>
            <w:right w:val="none" w:sz="0" w:space="0" w:color="auto"/>
          </w:divBdr>
        </w:div>
        <w:div w:id="812916036">
          <w:marLeft w:val="1800"/>
          <w:marRight w:val="0"/>
          <w:marTop w:val="77"/>
          <w:marBottom w:val="0"/>
          <w:divBdr>
            <w:top w:val="none" w:sz="0" w:space="0" w:color="auto"/>
            <w:left w:val="none" w:sz="0" w:space="0" w:color="auto"/>
            <w:bottom w:val="none" w:sz="0" w:space="0" w:color="auto"/>
            <w:right w:val="none" w:sz="0" w:space="0" w:color="auto"/>
          </w:divBdr>
        </w:div>
        <w:div w:id="1199506999">
          <w:marLeft w:val="547"/>
          <w:marRight w:val="0"/>
          <w:marTop w:val="115"/>
          <w:marBottom w:val="0"/>
          <w:divBdr>
            <w:top w:val="none" w:sz="0" w:space="0" w:color="auto"/>
            <w:left w:val="none" w:sz="0" w:space="0" w:color="auto"/>
            <w:bottom w:val="none" w:sz="0" w:space="0" w:color="auto"/>
            <w:right w:val="none" w:sz="0" w:space="0" w:color="auto"/>
          </w:divBdr>
        </w:div>
        <w:div w:id="1236666276">
          <w:marLeft w:val="1800"/>
          <w:marRight w:val="0"/>
          <w:marTop w:val="77"/>
          <w:marBottom w:val="0"/>
          <w:divBdr>
            <w:top w:val="none" w:sz="0" w:space="0" w:color="auto"/>
            <w:left w:val="none" w:sz="0" w:space="0" w:color="auto"/>
            <w:bottom w:val="none" w:sz="0" w:space="0" w:color="auto"/>
            <w:right w:val="none" w:sz="0" w:space="0" w:color="auto"/>
          </w:divBdr>
        </w:div>
        <w:div w:id="1644042004">
          <w:marLeft w:val="1166"/>
          <w:marRight w:val="0"/>
          <w:marTop w:val="96"/>
          <w:marBottom w:val="0"/>
          <w:divBdr>
            <w:top w:val="none" w:sz="0" w:space="0" w:color="auto"/>
            <w:left w:val="none" w:sz="0" w:space="0" w:color="auto"/>
            <w:bottom w:val="none" w:sz="0" w:space="0" w:color="auto"/>
            <w:right w:val="none" w:sz="0" w:space="0" w:color="auto"/>
          </w:divBdr>
        </w:div>
        <w:div w:id="1662848696">
          <w:marLeft w:val="1166"/>
          <w:marRight w:val="0"/>
          <w:marTop w:val="96"/>
          <w:marBottom w:val="0"/>
          <w:divBdr>
            <w:top w:val="none" w:sz="0" w:space="0" w:color="auto"/>
            <w:left w:val="none" w:sz="0" w:space="0" w:color="auto"/>
            <w:bottom w:val="none" w:sz="0" w:space="0" w:color="auto"/>
            <w:right w:val="none" w:sz="0" w:space="0" w:color="auto"/>
          </w:divBdr>
        </w:div>
        <w:div w:id="1692417952">
          <w:marLeft w:val="1166"/>
          <w:marRight w:val="0"/>
          <w:marTop w:val="96"/>
          <w:marBottom w:val="0"/>
          <w:divBdr>
            <w:top w:val="none" w:sz="0" w:space="0" w:color="auto"/>
            <w:left w:val="none" w:sz="0" w:space="0" w:color="auto"/>
            <w:bottom w:val="none" w:sz="0" w:space="0" w:color="auto"/>
            <w:right w:val="none" w:sz="0" w:space="0" w:color="auto"/>
          </w:divBdr>
        </w:div>
        <w:div w:id="1985507954">
          <w:marLeft w:val="1800"/>
          <w:marRight w:val="0"/>
          <w:marTop w:val="77"/>
          <w:marBottom w:val="0"/>
          <w:divBdr>
            <w:top w:val="none" w:sz="0" w:space="0" w:color="auto"/>
            <w:left w:val="none" w:sz="0" w:space="0" w:color="auto"/>
            <w:bottom w:val="none" w:sz="0" w:space="0" w:color="auto"/>
            <w:right w:val="none" w:sz="0" w:space="0" w:color="auto"/>
          </w:divBdr>
        </w:div>
      </w:divsChild>
    </w:div>
    <w:div w:id="2030713109">
      <w:bodyDiv w:val="1"/>
      <w:marLeft w:val="0"/>
      <w:marRight w:val="0"/>
      <w:marTop w:val="0"/>
      <w:marBottom w:val="0"/>
      <w:divBdr>
        <w:top w:val="none" w:sz="0" w:space="0" w:color="auto"/>
        <w:left w:val="none" w:sz="0" w:space="0" w:color="auto"/>
        <w:bottom w:val="none" w:sz="0" w:space="0" w:color="auto"/>
        <w:right w:val="none" w:sz="0" w:space="0" w:color="auto"/>
      </w:divBdr>
      <w:divsChild>
        <w:div w:id="74397338">
          <w:marLeft w:val="1166"/>
          <w:marRight w:val="0"/>
          <w:marTop w:val="60"/>
          <w:marBottom w:val="0"/>
          <w:divBdr>
            <w:top w:val="none" w:sz="0" w:space="0" w:color="auto"/>
            <w:left w:val="none" w:sz="0" w:space="0" w:color="auto"/>
            <w:bottom w:val="none" w:sz="0" w:space="0" w:color="auto"/>
            <w:right w:val="none" w:sz="0" w:space="0" w:color="auto"/>
          </w:divBdr>
        </w:div>
        <w:div w:id="189495455">
          <w:marLeft w:val="2520"/>
          <w:marRight w:val="0"/>
          <w:marTop w:val="60"/>
          <w:marBottom w:val="0"/>
          <w:divBdr>
            <w:top w:val="none" w:sz="0" w:space="0" w:color="auto"/>
            <w:left w:val="none" w:sz="0" w:space="0" w:color="auto"/>
            <w:bottom w:val="none" w:sz="0" w:space="0" w:color="auto"/>
            <w:right w:val="none" w:sz="0" w:space="0" w:color="auto"/>
          </w:divBdr>
        </w:div>
        <w:div w:id="441267563">
          <w:marLeft w:val="1800"/>
          <w:marRight w:val="0"/>
          <w:marTop w:val="60"/>
          <w:marBottom w:val="0"/>
          <w:divBdr>
            <w:top w:val="none" w:sz="0" w:space="0" w:color="auto"/>
            <w:left w:val="none" w:sz="0" w:space="0" w:color="auto"/>
            <w:bottom w:val="none" w:sz="0" w:space="0" w:color="auto"/>
            <w:right w:val="none" w:sz="0" w:space="0" w:color="auto"/>
          </w:divBdr>
        </w:div>
        <w:div w:id="541405524">
          <w:marLeft w:val="1166"/>
          <w:marRight w:val="0"/>
          <w:marTop w:val="60"/>
          <w:marBottom w:val="0"/>
          <w:divBdr>
            <w:top w:val="none" w:sz="0" w:space="0" w:color="auto"/>
            <w:left w:val="none" w:sz="0" w:space="0" w:color="auto"/>
            <w:bottom w:val="none" w:sz="0" w:space="0" w:color="auto"/>
            <w:right w:val="none" w:sz="0" w:space="0" w:color="auto"/>
          </w:divBdr>
        </w:div>
        <w:div w:id="947397775">
          <w:marLeft w:val="1166"/>
          <w:marRight w:val="0"/>
          <w:marTop w:val="60"/>
          <w:marBottom w:val="0"/>
          <w:divBdr>
            <w:top w:val="none" w:sz="0" w:space="0" w:color="auto"/>
            <w:left w:val="none" w:sz="0" w:space="0" w:color="auto"/>
            <w:bottom w:val="none" w:sz="0" w:space="0" w:color="auto"/>
            <w:right w:val="none" w:sz="0" w:space="0" w:color="auto"/>
          </w:divBdr>
        </w:div>
        <w:div w:id="1207329474">
          <w:marLeft w:val="2520"/>
          <w:marRight w:val="0"/>
          <w:marTop w:val="60"/>
          <w:marBottom w:val="0"/>
          <w:divBdr>
            <w:top w:val="none" w:sz="0" w:space="0" w:color="auto"/>
            <w:left w:val="none" w:sz="0" w:space="0" w:color="auto"/>
            <w:bottom w:val="none" w:sz="0" w:space="0" w:color="auto"/>
            <w:right w:val="none" w:sz="0" w:space="0" w:color="auto"/>
          </w:divBdr>
        </w:div>
        <w:div w:id="1258253680">
          <w:marLeft w:val="1800"/>
          <w:marRight w:val="0"/>
          <w:marTop w:val="60"/>
          <w:marBottom w:val="0"/>
          <w:divBdr>
            <w:top w:val="none" w:sz="0" w:space="0" w:color="auto"/>
            <w:left w:val="none" w:sz="0" w:space="0" w:color="auto"/>
            <w:bottom w:val="none" w:sz="0" w:space="0" w:color="auto"/>
            <w:right w:val="none" w:sz="0" w:space="0" w:color="auto"/>
          </w:divBdr>
        </w:div>
        <w:div w:id="1473332152">
          <w:marLeft w:val="2520"/>
          <w:marRight w:val="0"/>
          <w:marTop w:val="60"/>
          <w:marBottom w:val="0"/>
          <w:divBdr>
            <w:top w:val="none" w:sz="0" w:space="0" w:color="auto"/>
            <w:left w:val="none" w:sz="0" w:space="0" w:color="auto"/>
            <w:bottom w:val="none" w:sz="0" w:space="0" w:color="auto"/>
            <w:right w:val="none" w:sz="0" w:space="0" w:color="auto"/>
          </w:divBdr>
        </w:div>
        <w:div w:id="1576090351">
          <w:marLeft w:val="1166"/>
          <w:marRight w:val="0"/>
          <w:marTop w:val="60"/>
          <w:marBottom w:val="0"/>
          <w:divBdr>
            <w:top w:val="none" w:sz="0" w:space="0" w:color="auto"/>
            <w:left w:val="none" w:sz="0" w:space="0" w:color="auto"/>
            <w:bottom w:val="none" w:sz="0" w:space="0" w:color="auto"/>
            <w:right w:val="none" w:sz="0" w:space="0" w:color="auto"/>
          </w:divBdr>
        </w:div>
        <w:div w:id="1576666436">
          <w:marLeft w:val="1800"/>
          <w:marRight w:val="0"/>
          <w:marTop w:val="60"/>
          <w:marBottom w:val="0"/>
          <w:divBdr>
            <w:top w:val="none" w:sz="0" w:space="0" w:color="auto"/>
            <w:left w:val="none" w:sz="0" w:space="0" w:color="auto"/>
            <w:bottom w:val="none" w:sz="0" w:space="0" w:color="auto"/>
            <w:right w:val="none" w:sz="0" w:space="0" w:color="auto"/>
          </w:divBdr>
        </w:div>
        <w:div w:id="1851601786">
          <w:marLeft w:val="2520"/>
          <w:marRight w:val="0"/>
          <w:marTop w:val="60"/>
          <w:marBottom w:val="0"/>
          <w:divBdr>
            <w:top w:val="none" w:sz="0" w:space="0" w:color="auto"/>
            <w:left w:val="none" w:sz="0" w:space="0" w:color="auto"/>
            <w:bottom w:val="none" w:sz="0" w:space="0" w:color="auto"/>
            <w:right w:val="none" w:sz="0" w:space="0" w:color="auto"/>
          </w:divBdr>
        </w:div>
        <w:div w:id="1950889818">
          <w:marLeft w:val="547"/>
          <w:marRight w:val="0"/>
          <w:marTop w:val="96"/>
          <w:marBottom w:val="0"/>
          <w:divBdr>
            <w:top w:val="none" w:sz="0" w:space="0" w:color="auto"/>
            <w:left w:val="none" w:sz="0" w:space="0" w:color="auto"/>
            <w:bottom w:val="none" w:sz="0" w:space="0" w:color="auto"/>
            <w:right w:val="none" w:sz="0" w:space="0" w:color="auto"/>
          </w:divBdr>
        </w:div>
        <w:div w:id="1991131941">
          <w:marLeft w:val="1800"/>
          <w:marRight w:val="0"/>
          <w:marTop w:val="60"/>
          <w:marBottom w:val="0"/>
          <w:divBdr>
            <w:top w:val="none" w:sz="0" w:space="0" w:color="auto"/>
            <w:left w:val="none" w:sz="0" w:space="0" w:color="auto"/>
            <w:bottom w:val="none" w:sz="0" w:space="0" w:color="auto"/>
            <w:right w:val="none" w:sz="0" w:space="0" w:color="auto"/>
          </w:divBdr>
        </w:div>
        <w:div w:id="2083405778">
          <w:marLeft w:val="1800"/>
          <w:marRight w:val="0"/>
          <w:marTop w:val="60"/>
          <w:marBottom w:val="0"/>
          <w:divBdr>
            <w:top w:val="none" w:sz="0" w:space="0" w:color="auto"/>
            <w:left w:val="none" w:sz="0" w:space="0" w:color="auto"/>
            <w:bottom w:val="none" w:sz="0" w:space="0" w:color="auto"/>
            <w:right w:val="none" w:sz="0" w:space="0" w:color="auto"/>
          </w:divBdr>
        </w:div>
        <w:div w:id="2134590449">
          <w:marLeft w:val="1800"/>
          <w:marRight w:val="0"/>
          <w:marTop w:val="60"/>
          <w:marBottom w:val="0"/>
          <w:divBdr>
            <w:top w:val="none" w:sz="0" w:space="0" w:color="auto"/>
            <w:left w:val="none" w:sz="0" w:space="0" w:color="auto"/>
            <w:bottom w:val="none" w:sz="0" w:space="0" w:color="auto"/>
            <w:right w:val="none" w:sz="0" w:space="0" w:color="auto"/>
          </w:divBdr>
        </w:div>
      </w:divsChild>
    </w:div>
    <w:div w:id="2031255163">
      <w:bodyDiv w:val="1"/>
      <w:marLeft w:val="0"/>
      <w:marRight w:val="0"/>
      <w:marTop w:val="0"/>
      <w:marBottom w:val="0"/>
      <w:divBdr>
        <w:top w:val="none" w:sz="0" w:space="0" w:color="auto"/>
        <w:left w:val="none" w:sz="0" w:space="0" w:color="auto"/>
        <w:bottom w:val="none" w:sz="0" w:space="0" w:color="auto"/>
        <w:right w:val="none" w:sz="0" w:space="0" w:color="auto"/>
      </w:divBdr>
    </w:div>
    <w:div w:id="2031837725">
      <w:bodyDiv w:val="1"/>
      <w:marLeft w:val="0"/>
      <w:marRight w:val="0"/>
      <w:marTop w:val="0"/>
      <w:marBottom w:val="0"/>
      <w:divBdr>
        <w:top w:val="none" w:sz="0" w:space="0" w:color="auto"/>
        <w:left w:val="none" w:sz="0" w:space="0" w:color="auto"/>
        <w:bottom w:val="none" w:sz="0" w:space="0" w:color="auto"/>
        <w:right w:val="none" w:sz="0" w:space="0" w:color="auto"/>
      </w:divBdr>
    </w:div>
    <w:div w:id="2032298552">
      <w:bodyDiv w:val="1"/>
      <w:marLeft w:val="0"/>
      <w:marRight w:val="0"/>
      <w:marTop w:val="0"/>
      <w:marBottom w:val="0"/>
      <w:divBdr>
        <w:top w:val="none" w:sz="0" w:space="0" w:color="auto"/>
        <w:left w:val="none" w:sz="0" w:space="0" w:color="auto"/>
        <w:bottom w:val="none" w:sz="0" w:space="0" w:color="auto"/>
        <w:right w:val="none" w:sz="0" w:space="0" w:color="auto"/>
      </w:divBdr>
      <w:divsChild>
        <w:div w:id="333073976">
          <w:marLeft w:val="1166"/>
          <w:marRight w:val="0"/>
          <w:marTop w:val="110"/>
          <w:marBottom w:val="0"/>
          <w:divBdr>
            <w:top w:val="none" w:sz="0" w:space="0" w:color="auto"/>
            <w:left w:val="none" w:sz="0" w:space="0" w:color="auto"/>
            <w:bottom w:val="none" w:sz="0" w:space="0" w:color="auto"/>
            <w:right w:val="none" w:sz="0" w:space="0" w:color="auto"/>
          </w:divBdr>
        </w:div>
        <w:div w:id="417480480">
          <w:marLeft w:val="547"/>
          <w:marRight w:val="0"/>
          <w:marTop w:val="130"/>
          <w:marBottom w:val="0"/>
          <w:divBdr>
            <w:top w:val="none" w:sz="0" w:space="0" w:color="auto"/>
            <w:left w:val="none" w:sz="0" w:space="0" w:color="auto"/>
            <w:bottom w:val="none" w:sz="0" w:space="0" w:color="auto"/>
            <w:right w:val="none" w:sz="0" w:space="0" w:color="auto"/>
          </w:divBdr>
        </w:div>
        <w:div w:id="715009324">
          <w:marLeft w:val="1166"/>
          <w:marRight w:val="0"/>
          <w:marTop w:val="110"/>
          <w:marBottom w:val="0"/>
          <w:divBdr>
            <w:top w:val="none" w:sz="0" w:space="0" w:color="auto"/>
            <w:left w:val="none" w:sz="0" w:space="0" w:color="auto"/>
            <w:bottom w:val="none" w:sz="0" w:space="0" w:color="auto"/>
            <w:right w:val="none" w:sz="0" w:space="0" w:color="auto"/>
          </w:divBdr>
        </w:div>
        <w:div w:id="859587253">
          <w:marLeft w:val="1166"/>
          <w:marRight w:val="0"/>
          <w:marTop w:val="110"/>
          <w:marBottom w:val="0"/>
          <w:divBdr>
            <w:top w:val="none" w:sz="0" w:space="0" w:color="auto"/>
            <w:left w:val="none" w:sz="0" w:space="0" w:color="auto"/>
            <w:bottom w:val="none" w:sz="0" w:space="0" w:color="auto"/>
            <w:right w:val="none" w:sz="0" w:space="0" w:color="auto"/>
          </w:divBdr>
        </w:div>
        <w:div w:id="1261719505">
          <w:marLeft w:val="547"/>
          <w:marRight w:val="0"/>
          <w:marTop w:val="130"/>
          <w:marBottom w:val="0"/>
          <w:divBdr>
            <w:top w:val="none" w:sz="0" w:space="0" w:color="auto"/>
            <w:left w:val="none" w:sz="0" w:space="0" w:color="auto"/>
            <w:bottom w:val="none" w:sz="0" w:space="0" w:color="auto"/>
            <w:right w:val="none" w:sz="0" w:space="0" w:color="auto"/>
          </w:divBdr>
        </w:div>
        <w:div w:id="1351764286">
          <w:marLeft w:val="1166"/>
          <w:marRight w:val="0"/>
          <w:marTop w:val="110"/>
          <w:marBottom w:val="0"/>
          <w:divBdr>
            <w:top w:val="none" w:sz="0" w:space="0" w:color="auto"/>
            <w:left w:val="none" w:sz="0" w:space="0" w:color="auto"/>
            <w:bottom w:val="none" w:sz="0" w:space="0" w:color="auto"/>
            <w:right w:val="none" w:sz="0" w:space="0" w:color="auto"/>
          </w:divBdr>
        </w:div>
        <w:div w:id="1757049935">
          <w:marLeft w:val="1166"/>
          <w:marRight w:val="0"/>
          <w:marTop w:val="110"/>
          <w:marBottom w:val="0"/>
          <w:divBdr>
            <w:top w:val="none" w:sz="0" w:space="0" w:color="auto"/>
            <w:left w:val="none" w:sz="0" w:space="0" w:color="auto"/>
            <w:bottom w:val="none" w:sz="0" w:space="0" w:color="auto"/>
            <w:right w:val="none" w:sz="0" w:space="0" w:color="auto"/>
          </w:divBdr>
        </w:div>
        <w:div w:id="1858232111">
          <w:marLeft w:val="547"/>
          <w:marRight w:val="0"/>
          <w:marTop w:val="125"/>
          <w:marBottom w:val="0"/>
          <w:divBdr>
            <w:top w:val="none" w:sz="0" w:space="0" w:color="auto"/>
            <w:left w:val="none" w:sz="0" w:space="0" w:color="auto"/>
            <w:bottom w:val="none" w:sz="0" w:space="0" w:color="auto"/>
            <w:right w:val="none" w:sz="0" w:space="0" w:color="auto"/>
          </w:divBdr>
        </w:div>
      </w:divsChild>
    </w:div>
    <w:div w:id="2032606407">
      <w:bodyDiv w:val="1"/>
      <w:marLeft w:val="0"/>
      <w:marRight w:val="0"/>
      <w:marTop w:val="0"/>
      <w:marBottom w:val="0"/>
      <w:divBdr>
        <w:top w:val="none" w:sz="0" w:space="0" w:color="auto"/>
        <w:left w:val="none" w:sz="0" w:space="0" w:color="auto"/>
        <w:bottom w:val="none" w:sz="0" w:space="0" w:color="auto"/>
        <w:right w:val="none" w:sz="0" w:space="0" w:color="auto"/>
      </w:divBdr>
    </w:div>
    <w:div w:id="2032684276">
      <w:bodyDiv w:val="1"/>
      <w:marLeft w:val="0"/>
      <w:marRight w:val="0"/>
      <w:marTop w:val="0"/>
      <w:marBottom w:val="0"/>
      <w:divBdr>
        <w:top w:val="none" w:sz="0" w:space="0" w:color="auto"/>
        <w:left w:val="none" w:sz="0" w:space="0" w:color="auto"/>
        <w:bottom w:val="none" w:sz="0" w:space="0" w:color="auto"/>
        <w:right w:val="none" w:sz="0" w:space="0" w:color="auto"/>
      </w:divBdr>
      <w:divsChild>
        <w:div w:id="953950548">
          <w:marLeft w:val="547"/>
          <w:marRight w:val="0"/>
          <w:marTop w:val="134"/>
          <w:marBottom w:val="0"/>
          <w:divBdr>
            <w:top w:val="none" w:sz="0" w:space="0" w:color="auto"/>
            <w:left w:val="none" w:sz="0" w:space="0" w:color="auto"/>
            <w:bottom w:val="none" w:sz="0" w:space="0" w:color="auto"/>
            <w:right w:val="none" w:sz="0" w:space="0" w:color="auto"/>
          </w:divBdr>
        </w:div>
        <w:div w:id="1331955752">
          <w:marLeft w:val="1166"/>
          <w:marRight w:val="0"/>
          <w:marTop w:val="115"/>
          <w:marBottom w:val="0"/>
          <w:divBdr>
            <w:top w:val="none" w:sz="0" w:space="0" w:color="auto"/>
            <w:left w:val="none" w:sz="0" w:space="0" w:color="auto"/>
            <w:bottom w:val="none" w:sz="0" w:space="0" w:color="auto"/>
            <w:right w:val="none" w:sz="0" w:space="0" w:color="auto"/>
          </w:divBdr>
        </w:div>
        <w:div w:id="1605529274">
          <w:marLeft w:val="547"/>
          <w:marRight w:val="0"/>
          <w:marTop w:val="134"/>
          <w:marBottom w:val="0"/>
          <w:divBdr>
            <w:top w:val="none" w:sz="0" w:space="0" w:color="auto"/>
            <w:left w:val="none" w:sz="0" w:space="0" w:color="auto"/>
            <w:bottom w:val="none" w:sz="0" w:space="0" w:color="auto"/>
            <w:right w:val="none" w:sz="0" w:space="0" w:color="auto"/>
          </w:divBdr>
        </w:div>
      </w:divsChild>
    </w:div>
    <w:div w:id="2033533699">
      <w:bodyDiv w:val="1"/>
      <w:marLeft w:val="0"/>
      <w:marRight w:val="0"/>
      <w:marTop w:val="0"/>
      <w:marBottom w:val="0"/>
      <w:divBdr>
        <w:top w:val="none" w:sz="0" w:space="0" w:color="auto"/>
        <w:left w:val="none" w:sz="0" w:space="0" w:color="auto"/>
        <w:bottom w:val="none" w:sz="0" w:space="0" w:color="auto"/>
        <w:right w:val="none" w:sz="0" w:space="0" w:color="auto"/>
      </w:divBdr>
    </w:div>
    <w:div w:id="2033870715">
      <w:bodyDiv w:val="1"/>
      <w:marLeft w:val="0"/>
      <w:marRight w:val="0"/>
      <w:marTop w:val="0"/>
      <w:marBottom w:val="0"/>
      <w:divBdr>
        <w:top w:val="none" w:sz="0" w:space="0" w:color="auto"/>
        <w:left w:val="none" w:sz="0" w:space="0" w:color="auto"/>
        <w:bottom w:val="none" w:sz="0" w:space="0" w:color="auto"/>
        <w:right w:val="none" w:sz="0" w:space="0" w:color="auto"/>
      </w:divBdr>
      <w:divsChild>
        <w:div w:id="473526983">
          <w:marLeft w:val="1166"/>
          <w:marRight w:val="0"/>
          <w:marTop w:val="115"/>
          <w:marBottom w:val="0"/>
          <w:divBdr>
            <w:top w:val="none" w:sz="0" w:space="0" w:color="auto"/>
            <w:left w:val="none" w:sz="0" w:space="0" w:color="auto"/>
            <w:bottom w:val="none" w:sz="0" w:space="0" w:color="auto"/>
            <w:right w:val="none" w:sz="0" w:space="0" w:color="auto"/>
          </w:divBdr>
        </w:div>
        <w:div w:id="736515787">
          <w:marLeft w:val="547"/>
          <w:marRight w:val="0"/>
          <w:marTop w:val="115"/>
          <w:marBottom w:val="0"/>
          <w:divBdr>
            <w:top w:val="none" w:sz="0" w:space="0" w:color="auto"/>
            <w:left w:val="none" w:sz="0" w:space="0" w:color="auto"/>
            <w:bottom w:val="none" w:sz="0" w:space="0" w:color="auto"/>
            <w:right w:val="none" w:sz="0" w:space="0" w:color="auto"/>
          </w:divBdr>
        </w:div>
      </w:divsChild>
    </w:div>
    <w:div w:id="2036343524">
      <w:bodyDiv w:val="1"/>
      <w:marLeft w:val="0"/>
      <w:marRight w:val="0"/>
      <w:marTop w:val="0"/>
      <w:marBottom w:val="0"/>
      <w:divBdr>
        <w:top w:val="none" w:sz="0" w:space="0" w:color="auto"/>
        <w:left w:val="none" w:sz="0" w:space="0" w:color="auto"/>
        <w:bottom w:val="none" w:sz="0" w:space="0" w:color="auto"/>
        <w:right w:val="none" w:sz="0" w:space="0" w:color="auto"/>
      </w:divBdr>
      <w:divsChild>
        <w:div w:id="90127260">
          <w:marLeft w:val="1166"/>
          <w:marRight w:val="0"/>
          <w:marTop w:val="134"/>
          <w:marBottom w:val="0"/>
          <w:divBdr>
            <w:top w:val="none" w:sz="0" w:space="0" w:color="auto"/>
            <w:left w:val="none" w:sz="0" w:space="0" w:color="auto"/>
            <w:bottom w:val="none" w:sz="0" w:space="0" w:color="auto"/>
            <w:right w:val="none" w:sz="0" w:space="0" w:color="auto"/>
          </w:divBdr>
        </w:div>
        <w:div w:id="960569574">
          <w:marLeft w:val="547"/>
          <w:marRight w:val="0"/>
          <w:marTop w:val="154"/>
          <w:marBottom w:val="0"/>
          <w:divBdr>
            <w:top w:val="none" w:sz="0" w:space="0" w:color="auto"/>
            <w:left w:val="none" w:sz="0" w:space="0" w:color="auto"/>
            <w:bottom w:val="none" w:sz="0" w:space="0" w:color="auto"/>
            <w:right w:val="none" w:sz="0" w:space="0" w:color="auto"/>
          </w:divBdr>
        </w:div>
      </w:divsChild>
    </w:div>
    <w:div w:id="2036925009">
      <w:bodyDiv w:val="1"/>
      <w:marLeft w:val="0"/>
      <w:marRight w:val="0"/>
      <w:marTop w:val="0"/>
      <w:marBottom w:val="0"/>
      <w:divBdr>
        <w:top w:val="none" w:sz="0" w:space="0" w:color="auto"/>
        <w:left w:val="none" w:sz="0" w:space="0" w:color="auto"/>
        <w:bottom w:val="none" w:sz="0" w:space="0" w:color="auto"/>
        <w:right w:val="none" w:sz="0" w:space="0" w:color="auto"/>
      </w:divBdr>
    </w:div>
    <w:div w:id="2037079961">
      <w:bodyDiv w:val="1"/>
      <w:marLeft w:val="0"/>
      <w:marRight w:val="0"/>
      <w:marTop w:val="0"/>
      <w:marBottom w:val="0"/>
      <w:divBdr>
        <w:top w:val="none" w:sz="0" w:space="0" w:color="auto"/>
        <w:left w:val="none" w:sz="0" w:space="0" w:color="auto"/>
        <w:bottom w:val="none" w:sz="0" w:space="0" w:color="auto"/>
        <w:right w:val="none" w:sz="0" w:space="0" w:color="auto"/>
      </w:divBdr>
      <w:divsChild>
        <w:div w:id="290601995">
          <w:marLeft w:val="1166"/>
          <w:marRight w:val="0"/>
          <w:marTop w:val="101"/>
          <w:marBottom w:val="0"/>
          <w:divBdr>
            <w:top w:val="none" w:sz="0" w:space="0" w:color="auto"/>
            <w:left w:val="none" w:sz="0" w:space="0" w:color="auto"/>
            <w:bottom w:val="none" w:sz="0" w:space="0" w:color="auto"/>
            <w:right w:val="none" w:sz="0" w:space="0" w:color="auto"/>
          </w:divBdr>
        </w:div>
        <w:div w:id="712728087">
          <w:marLeft w:val="547"/>
          <w:marRight w:val="0"/>
          <w:marTop w:val="120"/>
          <w:marBottom w:val="0"/>
          <w:divBdr>
            <w:top w:val="none" w:sz="0" w:space="0" w:color="auto"/>
            <w:left w:val="none" w:sz="0" w:space="0" w:color="auto"/>
            <w:bottom w:val="none" w:sz="0" w:space="0" w:color="auto"/>
            <w:right w:val="none" w:sz="0" w:space="0" w:color="auto"/>
          </w:divBdr>
        </w:div>
        <w:div w:id="1407142340">
          <w:marLeft w:val="1166"/>
          <w:marRight w:val="0"/>
          <w:marTop w:val="101"/>
          <w:marBottom w:val="0"/>
          <w:divBdr>
            <w:top w:val="none" w:sz="0" w:space="0" w:color="auto"/>
            <w:left w:val="none" w:sz="0" w:space="0" w:color="auto"/>
            <w:bottom w:val="none" w:sz="0" w:space="0" w:color="auto"/>
            <w:right w:val="none" w:sz="0" w:space="0" w:color="auto"/>
          </w:divBdr>
        </w:div>
      </w:divsChild>
    </w:div>
    <w:div w:id="2037122114">
      <w:bodyDiv w:val="1"/>
      <w:marLeft w:val="0"/>
      <w:marRight w:val="0"/>
      <w:marTop w:val="0"/>
      <w:marBottom w:val="0"/>
      <w:divBdr>
        <w:top w:val="none" w:sz="0" w:space="0" w:color="auto"/>
        <w:left w:val="none" w:sz="0" w:space="0" w:color="auto"/>
        <w:bottom w:val="none" w:sz="0" w:space="0" w:color="auto"/>
        <w:right w:val="none" w:sz="0" w:space="0" w:color="auto"/>
      </w:divBdr>
    </w:div>
    <w:div w:id="2038462771">
      <w:bodyDiv w:val="1"/>
      <w:marLeft w:val="0"/>
      <w:marRight w:val="0"/>
      <w:marTop w:val="0"/>
      <w:marBottom w:val="0"/>
      <w:divBdr>
        <w:top w:val="none" w:sz="0" w:space="0" w:color="auto"/>
        <w:left w:val="none" w:sz="0" w:space="0" w:color="auto"/>
        <w:bottom w:val="none" w:sz="0" w:space="0" w:color="auto"/>
        <w:right w:val="none" w:sz="0" w:space="0" w:color="auto"/>
      </w:divBdr>
    </w:div>
    <w:div w:id="2039240066">
      <w:bodyDiv w:val="1"/>
      <w:marLeft w:val="0"/>
      <w:marRight w:val="0"/>
      <w:marTop w:val="0"/>
      <w:marBottom w:val="0"/>
      <w:divBdr>
        <w:top w:val="none" w:sz="0" w:space="0" w:color="auto"/>
        <w:left w:val="none" w:sz="0" w:space="0" w:color="auto"/>
        <w:bottom w:val="none" w:sz="0" w:space="0" w:color="auto"/>
        <w:right w:val="none" w:sz="0" w:space="0" w:color="auto"/>
      </w:divBdr>
    </w:div>
    <w:div w:id="2039814027">
      <w:bodyDiv w:val="1"/>
      <w:marLeft w:val="0"/>
      <w:marRight w:val="0"/>
      <w:marTop w:val="0"/>
      <w:marBottom w:val="0"/>
      <w:divBdr>
        <w:top w:val="none" w:sz="0" w:space="0" w:color="auto"/>
        <w:left w:val="none" w:sz="0" w:space="0" w:color="auto"/>
        <w:bottom w:val="none" w:sz="0" w:space="0" w:color="auto"/>
        <w:right w:val="none" w:sz="0" w:space="0" w:color="auto"/>
      </w:divBdr>
    </w:div>
    <w:div w:id="2039961445">
      <w:bodyDiv w:val="1"/>
      <w:marLeft w:val="0"/>
      <w:marRight w:val="0"/>
      <w:marTop w:val="0"/>
      <w:marBottom w:val="0"/>
      <w:divBdr>
        <w:top w:val="none" w:sz="0" w:space="0" w:color="auto"/>
        <w:left w:val="none" w:sz="0" w:space="0" w:color="auto"/>
        <w:bottom w:val="none" w:sz="0" w:space="0" w:color="auto"/>
        <w:right w:val="none" w:sz="0" w:space="0" w:color="auto"/>
      </w:divBdr>
      <w:divsChild>
        <w:div w:id="591167417">
          <w:marLeft w:val="547"/>
          <w:marRight w:val="0"/>
          <w:marTop w:val="154"/>
          <w:marBottom w:val="0"/>
          <w:divBdr>
            <w:top w:val="none" w:sz="0" w:space="0" w:color="auto"/>
            <w:left w:val="none" w:sz="0" w:space="0" w:color="auto"/>
            <w:bottom w:val="none" w:sz="0" w:space="0" w:color="auto"/>
            <w:right w:val="none" w:sz="0" w:space="0" w:color="auto"/>
          </w:divBdr>
        </w:div>
        <w:div w:id="849759364">
          <w:marLeft w:val="547"/>
          <w:marRight w:val="0"/>
          <w:marTop w:val="154"/>
          <w:marBottom w:val="0"/>
          <w:divBdr>
            <w:top w:val="none" w:sz="0" w:space="0" w:color="auto"/>
            <w:left w:val="none" w:sz="0" w:space="0" w:color="auto"/>
            <w:bottom w:val="none" w:sz="0" w:space="0" w:color="auto"/>
            <w:right w:val="none" w:sz="0" w:space="0" w:color="auto"/>
          </w:divBdr>
        </w:div>
        <w:div w:id="981039824">
          <w:marLeft w:val="547"/>
          <w:marRight w:val="0"/>
          <w:marTop w:val="154"/>
          <w:marBottom w:val="0"/>
          <w:divBdr>
            <w:top w:val="none" w:sz="0" w:space="0" w:color="auto"/>
            <w:left w:val="none" w:sz="0" w:space="0" w:color="auto"/>
            <w:bottom w:val="none" w:sz="0" w:space="0" w:color="auto"/>
            <w:right w:val="none" w:sz="0" w:space="0" w:color="auto"/>
          </w:divBdr>
        </w:div>
      </w:divsChild>
    </w:div>
    <w:div w:id="2040201663">
      <w:bodyDiv w:val="1"/>
      <w:marLeft w:val="0"/>
      <w:marRight w:val="0"/>
      <w:marTop w:val="0"/>
      <w:marBottom w:val="0"/>
      <w:divBdr>
        <w:top w:val="none" w:sz="0" w:space="0" w:color="auto"/>
        <w:left w:val="none" w:sz="0" w:space="0" w:color="auto"/>
        <w:bottom w:val="none" w:sz="0" w:space="0" w:color="auto"/>
        <w:right w:val="none" w:sz="0" w:space="0" w:color="auto"/>
      </w:divBdr>
    </w:div>
    <w:div w:id="2040277893">
      <w:bodyDiv w:val="1"/>
      <w:marLeft w:val="0"/>
      <w:marRight w:val="0"/>
      <w:marTop w:val="0"/>
      <w:marBottom w:val="0"/>
      <w:divBdr>
        <w:top w:val="none" w:sz="0" w:space="0" w:color="auto"/>
        <w:left w:val="none" w:sz="0" w:space="0" w:color="auto"/>
        <w:bottom w:val="none" w:sz="0" w:space="0" w:color="auto"/>
        <w:right w:val="none" w:sz="0" w:space="0" w:color="auto"/>
      </w:divBdr>
    </w:div>
    <w:div w:id="2040888159">
      <w:bodyDiv w:val="1"/>
      <w:marLeft w:val="0"/>
      <w:marRight w:val="0"/>
      <w:marTop w:val="0"/>
      <w:marBottom w:val="0"/>
      <w:divBdr>
        <w:top w:val="none" w:sz="0" w:space="0" w:color="auto"/>
        <w:left w:val="none" w:sz="0" w:space="0" w:color="auto"/>
        <w:bottom w:val="none" w:sz="0" w:space="0" w:color="auto"/>
        <w:right w:val="none" w:sz="0" w:space="0" w:color="auto"/>
      </w:divBdr>
    </w:div>
    <w:div w:id="2042585728">
      <w:bodyDiv w:val="1"/>
      <w:marLeft w:val="0"/>
      <w:marRight w:val="0"/>
      <w:marTop w:val="0"/>
      <w:marBottom w:val="0"/>
      <w:divBdr>
        <w:top w:val="none" w:sz="0" w:space="0" w:color="auto"/>
        <w:left w:val="none" w:sz="0" w:space="0" w:color="auto"/>
        <w:bottom w:val="none" w:sz="0" w:space="0" w:color="auto"/>
        <w:right w:val="none" w:sz="0" w:space="0" w:color="auto"/>
      </w:divBdr>
    </w:div>
    <w:div w:id="2042781055">
      <w:bodyDiv w:val="1"/>
      <w:marLeft w:val="0"/>
      <w:marRight w:val="0"/>
      <w:marTop w:val="0"/>
      <w:marBottom w:val="0"/>
      <w:divBdr>
        <w:top w:val="none" w:sz="0" w:space="0" w:color="auto"/>
        <w:left w:val="none" w:sz="0" w:space="0" w:color="auto"/>
        <w:bottom w:val="none" w:sz="0" w:space="0" w:color="auto"/>
        <w:right w:val="none" w:sz="0" w:space="0" w:color="auto"/>
      </w:divBdr>
    </w:div>
    <w:div w:id="2043089025">
      <w:bodyDiv w:val="1"/>
      <w:marLeft w:val="0"/>
      <w:marRight w:val="0"/>
      <w:marTop w:val="0"/>
      <w:marBottom w:val="0"/>
      <w:divBdr>
        <w:top w:val="none" w:sz="0" w:space="0" w:color="auto"/>
        <w:left w:val="none" w:sz="0" w:space="0" w:color="auto"/>
        <w:bottom w:val="none" w:sz="0" w:space="0" w:color="auto"/>
        <w:right w:val="none" w:sz="0" w:space="0" w:color="auto"/>
      </w:divBdr>
    </w:div>
    <w:div w:id="2044015894">
      <w:bodyDiv w:val="1"/>
      <w:marLeft w:val="0"/>
      <w:marRight w:val="0"/>
      <w:marTop w:val="0"/>
      <w:marBottom w:val="0"/>
      <w:divBdr>
        <w:top w:val="none" w:sz="0" w:space="0" w:color="auto"/>
        <w:left w:val="none" w:sz="0" w:space="0" w:color="auto"/>
        <w:bottom w:val="none" w:sz="0" w:space="0" w:color="auto"/>
        <w:right w:val="none" w:sz="0" w:space="0" w:color="auto"/>
      </w:divBdr>
    </w:div>
    <w:div w:id="2044330262">
      <w:bodyDiv w:val="1"/>
      <w:marLeft w:val="0"/>
      <w:marRight w:val="0"/>
      <w:marTop w:val="0"/>
      <w:marBottom w:val="0"/>
      <w:divBdr>
        <w:top w:val="none" w:sz="0" w:space="0" w:color="auto"/>
        <w:left w:val="none" w:sz="0" w:space="0" w:color="auto"/>
        <w:bottom w:val="none" w:sz="0" w:space="0" w:color="auto"/>
        <w:right w:val="none" w:sz="0" w:space="0" w:color="auto"/>
      </w:divBdr>
    </w:div>
    <w:div w:id="2044743729">
      <w:bodyDiv w:val="1"/>
      <w:marLeft w:val="0"/>
      <w:marRight w:val="0"/>
      <w:marTop w:val="0"/>
      <w:marBottom w:val="0"/>
      <w:divBdr>
        <w:top w:val="none" w:sz="0" w:space="0" w:color="auto"/>
        <w:left w:val="none" w:sz="0" w:space="0" w:color="auto"/>
        <w:bottom w:val="none" w:sz="0" w:space="0" w:color="auto"/>
        <w:right w:val="none" w:sz="0" w:space="0" w:color="auto"/>
      </w:divBdr>
    </w:div>
    <w:div w:id="2045710860">
      <w:bodyDiv w:val="1"/>
      <w:marLeft w:val="0"/>
      <w:marRight w:val="0"/>
      <w:marTop w:val="0"/>
      <w:marBottom w:val="0"/>
      <w:divBdr>
        <w:top w:val="none" w:sz="0" w:space="0" w:color="auto"/>
        <w:left w:val="none" w:sz="0" w:space="0" w:color="auto"/>
        <w:bottom w:val="none" w:sz="0" w:space="0" w:color="auto"/>
        <w:right w:val="none" w:sz="0" w:space="0" w:color="auto"/>
      </w:divBdr>
    </w:div>
    <w:div w:id="2046325048">
      <w:bodyDiv w:val="1"/>
      <w:marLeft w:val="0"/>
      <w:marRight w:val="0"/>
      <w:marTop w:val="0"/>
      <w:marBottom w:val="0"/>
      <w:divBdr>
        <w:top w:val="none" w:sz="0" w:space="0" w:color="auto"/>
        <w:left w:val="none" w:sz="0" w:space="0" w:color="auto"/>
        <w:bottom w:val="none" w:sz="0" w:space="0" w:color="auto"/>
        <w:right w:val="none" w:sz="0" w:space="0" w:color="auto"/>
      </w:divBdr>
      <w:divsChild>
        <w:div w:id="155607160">
          <w:marLeft w:val="1800"/>
          <w:marRight w:val="0"/>
          <w:marTop w:val="67"/>
          <w:marBottom w:val="0"/>
          <w:divBdr>
            <w:top w:val="none" w:sz="0" w:space="0" w:color="auto"/>
            <w:left w:val="none" w:sz="0" w:space="0" w:color="auto"/>
            <w:bottom w:val="none" w:sz="0" w:space="0" w:color="auto"/>
            <w:right w:val="none" w:sz="0" w:space="0" w:color="auto"/>
          </w:divBdr>
        </w:div>
        <w:div w:id="198319762">
          <w:marLeft w:val="1800"/>
          <w:marRight w:val="0"/>
          <w:marTop w:val="67"/>
          <w:marBottom w:val="0"/>
          <w:divBdr>
            <w:top w:val="none" w:sz="0" w:space="0" w:color="auto"/>
            <w:left w:val="none" w:sz="0" w:space="0" w:color="auto"/>
            <w:bottom w:val="none" w:sz="0" w:space="0" w:color="auto"/>
            <w:right w:val="none" w:sz="0" w:space="0" w:color="auto"/>
          </w:divBdr>
        </w:div>
        <w:div w:id="348142999">
          <w:marLeft w:val="1800"/>
          <w:marRight w:val="0"/>
          <w:marTop w:val="67"/>
          <w:marBottom w:val="0"/>
          <w:divBdr>
            <w:top w:val="none" w:sz="0" w:space="0" w:color="auto"/>
            <w:left w:val="none" w:sz="0" w:space="0" w:color="auto"/>
            <w:bottom w:val="none" w:sz="0" w:space="0" w:color="auto"/>
            <w:right w:val="none" w:sz="0" w:space="0" w:color="auto"/>
          </w:divBdr>
        </w:div>
        <w:div w:id="434984217">
          <w:marLeft w:val="1800"/>
          <w:marRight w:val="0"/>
          <w:marTop w:val="67"/>
          <w:marBottom w:val="0"/>
          <w:divBdr>
            <w:top w:val="none" w:sz="0" w:space="0" w:color="auto"/>
            <w:left w:val="none" w:sz="0" w:space="0" w:color="auto"/>
            <w:bottom w:val="none" w:sz="0" w:space="0" w:color="auto"/>
            <w:right w:val="none" w:sz="0" w:space="0" w:color="auto"/>
          </w:divBdr>
        </w:div>
        <w:div w:id="998851385">
          <w:marLeft w:val="1800"/>
          <w:marRight w:val="0"/>
          <w:marTop w:val="67"/>
          <w:marBottom w:val="0"/>
          <w:divBdr>
            <w:top w:val="none" w:sz="0" w:space="0" w:color="auto"/>
            <w:left w:val="none" w:sz="0" w:space="0" w:color="auto"/>
            <w:bottom w:val="none" w:sz="0" w:space="0" w:color="auto"/>
            <w:right w:val="none" w:sz="0" w:space="0" w:color="auto"/>
          </w:divBdr>
        </w:div>
        <w:div w:id="1134909276">
          <w:marLeft w:val="1166"/>
          <w:marRight w:val="0"/>
          <w:marTop w:val="86"/>
          <w:marBottom w:val="0"/>
          <w:divBdr>
            <w:top w:val="none" w:sz="0" w:space="0" w:color="auto"/>
            <w:left w:val="none" w:sz="0" w:space="0" w:color="auto"/>
            <w:bottom w:val="none" w:sz="0" w:space="0" w:color="auto"/>
            <w:right w:val="none" w:sz="0" w:space="0" w:color="auto"/>
          </w:divBdr>
        </w:div>
        <w:div w:id="1277978603">
          <w:marLeft w:val="1166"/>
          <w:marRight w:val="0"/>
          <w:marTop w:val="86"/>
          <w:marBottom w:val="0"/>
          <w:divBdr>
            <w:top w:val="none" w:sz="0" w:space="0" w:color="auto"/>
            <w:left w:val="none" w:sz="0" w:space="0" w:color="auto"/>
            <w:bottom w:val="none" w:sz="0" w:space="0" w:color="auto"/>
            <w:right w:val="none" w:sz="0" w:space="0" w:color="auto"/>
          </w:divBdr>
        </w:div>
        <w:div w:id="1627422002">
          <w:marLeft w:val="547"/>
          <w:marRight w:val="0"/>
          <w:marTop w:val="96"/>
          <w:marBottom w:val="0"/>
          <w:divBdr>
            <w:top w:val="none" w:sz="0" w:space="0" w:color="auto"/>
            <w:left w:val="none" w:sz="0" w:space="0" w:color="auto"/>
            <w:bottom w:val="none" w:sz="0" w:space="0" w:color="auto"/>
            <w:right w:val="none" w:sz="0" w:space="0" w:color="auto"/>
          </w:divBdr>
        </w:div>
        <w:div w:id="1646163609">
          <w:marLeft w:val="1800"/>
          <w:marRight w:val="0"/>
          <w:marTop w:val="67"/>
          <w:marBottom w:val="0"/>
          <w:divBdr>
            <w:top w:val="none" w:sz="0" w:space="0" w:color="auto"/>
            <w:left w:val="none" w:sz="0" w:space="0" w:color="auto"/>
            <w:bottom w:val="none" w:sz="0" w:space="0" w:color="auto"/>
            <w:right w:val="none" w:sz="0" w:space="0" w:color="auto"/>
          </w:divBdr>
        </w:div>
        <w:div w:id="1774783918">
          <w:marLeft w:val="1800"/>
          <w:marRight w:val="0"/>
          <w:marTop w:val="67"/>
          <w:marBottom w:val="0"/>
          <w:divBdr>
            <w:top w:val="none" w:sz="0" w:space="0" w:color="auto"/>
            <w:left w:val="none" w:sz="0" w:space="0" w:color="auto"/>
            <w:bottom w:val="none" w:sz="0" w:space="0" w:color="auto"/>
            <w:right w:val="none" w:sz="0" w:space="0" w:color="auto"/>
          </w:divBdr>
        </w:div>
        <w:div w:id="1850218388">
          <w:marLeft w:val="1166"/>
          <w:marRight w:val="0"/>
          <w:marTop w:val="86"/>
          <w:marBottom w:val="0"/>
          <w:divBdr>
            <w:top w:val="none" w:sz="0" w:space="0" w:color="auto"/>
            <w:left w:val="none" w:sz="0" w:space="0" w:color="auto"/>
            <w:bottom w:val="none" w:sz="0" w:space="0" w:color="auto"/>
            <w:right w:val="none" w:sz="0" w:space="0" w:color="auto"/>
          </w:divBdr>
        </w:div>
      </w:divsChild>
    </w:div>
    <w:div w:id="2046756354">
      <w:bodyDiv w:val="1"/>
      <w:marLeft w:val="0"/>
      <w:marRight w:val="0"/>
      <w:marTop w:val="0"/>
      <w:marBottom w:val="0"/>
      <w:divBdr>
        <w:top w:val="none" w:sz="0" w:space="0" w:color="auto"/>
        <w:left w:val="none" w:sz="0" w:space="0" w:color="auto"/>
        <w:bottom w:val="none" w:sz="0" w:space="0" w:color="auto"/>
        <w:right w:val="none" w:sz="0" w:space="0" w:color="auto"/>
      </w:divBdr>
      <w:divsChild>
        <w:div w:id="692266824">
          <w:marLeft w:val="547"/>
          <w:marRight w:val="0"/>
          <w:marTop w:val="154"/>
          <w:marBottom w:val="0"/>
          <w:divBdr>
            <w:top w:val="none" w:sz="0" w:space="0" w:color="auto"/>
            <w:left w:val="none" w:sz="0" w:space="0" w:color="auto"/>
            <w:bottom w:val="none" w:sz="0" w:space="0" w:color="auto"/>
            <w:right w:val="none" w:sz="0" w:space="0" w:color="auto"/>
          </w:divBdr>
        </w:div>
        <w:div w:id="2046443309">
          <w:marLeft w:val="547"/>
          <w:marRight w:val="0"/>
          <w:marTop w:val="154"/>
          <w:marBottom w:val="0"/>
          <w:divBdr>
            <w:top w:val="none" w:sz="0" w:space="0" w:color="auto"/>
            <w:left w:val="none" w:sz="0" w:space="0" w:color="auto"/>
            <w:bottom w:val="none" w:sz="0" w:space="0" w:color="auto"/>
            <w:right w:val="none" w:sz="0" w:space="0" w:color="auto"/>
          </w:divBdr>
        </w:div>
        <w:div w:id="2131237381">
          <w:marLeft w:val="547"/>
          <w:marRight w:val="0"/>
          <w:marTop w:val="154"/>
          <w:marBottom w:val="0"/>
          <w:divBdr>
            <w:top w:val="none" w:sz="0" w:space="0" w:color="auto"/>
            <w:left w:val="none" w:sz="0" w:space="0" w:color="auto"/>
            <w:bottom w:val="none" w:sz="0" w:space="0" w:color="auto"/>
            <w:right w:val="none" w:sz="0" w:space="0" w:color="auto"/>
          </w:divBdr>
        </w:div>
      </w:divsChild>
    </w:div>
    <w:div w:id="2048022554">
      <w:bodyDiv w:val="1"/>
      <w:marLeft w:val="0"/>
      <w:marRight w:val="0"/>
      <w:marTop w:val="0"/>
      <w:marBottom w:val="0"/>
      <w:divBdr>
        <w:top w:val="none" w:sz="0" w:space="0" w:color="auto"/>
        <w:left w:val="none" w:sz="0" w:space="0" w:color="auto"/>
        <w:bottom w:val="none" w:sz="0" w:space="0" w:color="auto"/>
        <w:right w:val="none" w:sz="0" w:space="0" w:color="auto"/>
      </w:divBdr>
    </w:div>
    <w:div w:id="2049141849">
      <w:bodyDiv w:val="1"/>
      <w:marLeft w:val="0"/>
      <w:marRight w:val="0"/>
      <w:marTop w:val="0"/>
      <w:marBottom w:val="0"/>
      <w:divBdr>
        <w:top w:val="none" w:sz="0" w:space="0" w:color="auto"/>
        <w:left w:val="none" w:sz="0" w:space="0" w:color="auto"/>
        <w:bottom w:val="none" w:sz="0" w:space="0" w:color="auto"/>
        <w:right w:val="none" w:sz="0" w:space="0" w:color="auto"/>
      </w:divBdr>
      <w:divsChild>
        <w:div w:id="540636138">
          <w:marLeft w:val="1166"/>
          <w:marRight w:val="0"/>
          <w:marTop w:val="134"/>
          <w:marBottom w:val="0"/>
          <w:divBdr>
            <w:top w:val="none" w:sz="0" w:space="0" w:color="auto"/>
            <w:left w:val="none" w:sz="0" w:space="0" w:color="auto"/>
            <w:bottom w:val="none" w:sz="0" w:space="0" w:color="auto"/>
            <w:right w:val="none" w:sz="0" w:space="0" w:color="auto"/>
          </w:divBdr>
        </w:div>
        <w:div w:id="760373713">
          <w:marLeft w:val="1166"/>
          <w:marRight w:val="0"/>
          <w:marTop w:val="134"/>
          <w:marBottom w:val="0"/>
          <w:divBdr>
            <w:top w:val="none" w:sz="0" w:space="0" w:color="auto"/>
            <w:left w:val="none" w:sz="0" w:space="0" w:color="auto"/>
            <w:bottom w:val="none" w:sz="0" w:space="0" w:color="auto"/>
            <w:right w:val="none" w:sz="0" w:space="0" w:color="auto"/>
          </w:divBdr>
        </w:div>
        <w:div w:id="1698969984">
          <w:marLeft w:val="547"/>
          <w:marRight w:val="0"/>
          <w:marTop w:val="154"/>
          <w:marBottom w:val="0"/>
          <w:divBdr>
            <w:top w:val="none" w:sz="0" w:space="0" w:color="auto"/>
            <w:left w:val="none" w:sz="0" w:space="0" w:color="auto"/>
            <w:bottom w:val="none" w:sz="0" w:space="0" w:color="auto"/>
            <w:right w:val="none" w:sz="0" w:space="0" w:color="auto"/>
          </w:divBdr>
        </w:div>
      </w:divsChild>
    </w:div>
    <w:div w:id="2049256909">
      <w:bodyDiv w:val="1"/>
      <w:marLeft w:val="0"/>
      <w:marRight w:val="0"/>
      <w:marTop w:val="0"/>
      <w:marBottom w:val="0"/>
      <w:divBdr>
        <w:top w:val="none" w:sz="0" w:space="0" w:color="auto"/>
        <w:left w:val="none" w:sz="0" w:space="0" w:color="auto"/>
        <w:bottom w:val="none" w:sz="0" w:space="0" w:color="auto"/>
        <w:right w:val="none" w:sz="0" w:space="0" w:color="auto"/>
      </w:divBdr>
    </w:div>
    <w:div w:id="2049454319">
      <w:bodyDiv w:val="1"/>
      <w:marLeft w:val="0"/>
      <w:marRight w:val="0"/>
      <w:marTop w:val="0"/>
      <w:marBottom w:val="0"/>
      <w:divBdr>
        <w:top w:val="none" w:sz="0" w:space="0" w:color="auto"/>
        <w:left w:val="none" w:sz="0" w:space="0" w:color="auto"/>
        <w:bottom w:val="none" w:sz="0" w:space="0" w:color="auto"/>
        <w:right w:val="none" w:sz="0" w:space="0" w:color="auto"/>
      </w:divBdr>
    </w:div>
    <w:div w:id="2051606183">
      <w:bodyDiv w:val="1"/>
      <w:marLeft w:val="0"/>
      <w:marRight w:val="0"/>
      <w:marTop w:val="0"/>
      <w:marBottom w:val="0"/>
      <w:divBdr>
        <w:top w:val="none" w:sz="0" w:space="0" w:color="auto"/>
        <w:left w:val="none" w:sz="0" w:space="0" w:color="auto"/>
        <w:bottom w:val="none" w:sz="0" w:space="0" w:color="auto"/>
        <w:right w:val="none" w:sz="0" w:space="0" w:color="auto"/>
      </w:divBdr>
      <w:divsChild>
        <w:div w:id="955988993">
          <w:marLeft w:val="0"/>
          <w:marRight w:val="0"/>
          <w:marTop w:val="0"/>
          <w:marBottom w:val="0"/>
          <w:divBdr>
            <w:top w:val="none" w:sz="0" w:space="0" w:color="auto"/>
            <w:left w:val="none" w:sz="0" w:space="0" w:color="auto"/>
            <w:bottom w:val="none" w:sz="0" w:space="0" w:color="auto"/>
            <w:right w:val="none" w:sz="0" w:space="0" w:color="auto"/>
          </w:divBdr>
          <w:divsChild>
            <w:div w:id="2979150">
              <w:marLeft w:val="0"/>
              <w:marRight w:val="0"/>
              <w:marTop w:val="0"/>
              <w:marBottom w:val="0"/>
              <w:divBdr>
                <w:top w:val="none" w:sz="0" w:space="0" w:color="auto"/>
                <w:left w:val="none" w:sz="0" w:space="0" w:color="auto"/>
                <w:bottom w:val="none" w:sz="0" w:space="0" w:color="auto"/>
                <w:right w:val="none" w:sz="0" w:space="0" w:color="auto"/>
              </w:divBdr>
            </w:div>
            <w:div w:id="207911695">
              <w:marLeft w:val="0"/>
              <w:marRight w:val="0"/>
              <w:marTop w:val="0"/>
              <w:marBottom w:val="0"/>
              <w:divBdr>
                <w:top w:val="none" w:sz="0" w:space="0" w:color="auto"/>
                <w:left w:val="none" w:sz="0" w:space="0" w:color="auto"/>
                <w:bottom w:val="none" w:sz="0" w:space="0" w:color="auto"/>
                <w:right w:val="none" w:sz="0" w:space="0" w:color="auto"/>
              </w:divBdr>
            </w:div>
            <w:div w:id="249042926">
              <w:marLeft w:val="0"/>
              <w:marRight w:val="0"/>
              <w:marTop w:val="0"/>
              <w:marBottom w:val="0"/>
              <w:divBdr>
                <w:top w:val="none" w:sz="0" w:space="0" w:color="auto"/>
                <w:left w:val="none" w:sz="0" w:space="0" w:color="auto"/>
                <w:bottom w:val="none" w:sz="0" w:space="0" w:color="auto"/>
                <w:right w:val="none" w:sz="0" w:space="0" w:color="auto"/>
              </w:divBdr>
            </w:div>
            <w:div w:id="316569716">
              <w:marLeft w:val="0"/>
              <w:marRight w:val="0"/>
              <w:marTop w:val="0"/>
              <w:marBottom w:val="0"/>
              <w:divBdr>
                <w:top w:val="none" w:sz="0" w:space="0" w:color="auto"/>
                <w:left w:val="none" w:sz="0" w:space="0" w:color="auto"/>
                <w:bottom w:val="none" w:sz="0" w:space="0" w:color="auto"/>
                <w:right w:val="none" w:sz="0" w:space="0" w:color="auto"/>
              </w:divBdr>
            </w:div>
            <w:div w:id="376465926">
              <w:marLeft w:val="0"/>
              <w:marRight w:val="0"/>
              <w:marTop w:val="0"/>
              <w:marBottom w:val="0"/>
              <w:divBdr>
                <w:top w:val="none" w:sz="0" w:space="0" w:color="auto"/>
                <w:left w:val="none" w:sz="0" w:space="0" w:color="auto"/>
                <w:bottom w:val="none" w:sz="0" w:space="0" w:color="auto"/>
                <w:right w:val="none" w:sz="0" w:space="0" w:color="auto"/>
              </w:divBdr>
            </w:div>
            <w:div w:id="444270306">
              <w:marLeft w:val="0"/>
              <w:marRight w:val="0"/>
              <w:marTop w:val="0"/>
              <w:marBottom w:val="0"/>
              <w:divBdr>
                <w:top w:val="none" w:sz="0" w:space="0" w:color="auto"/>
                <w:left w:val="none" w:sz="0" w:space="0" w:color="auto"/>
                <w:bottom w:val="none" w:sz="0" w:space="0" w:color="auto"/>
                <w:right w:val="none" w:sz="0" w:space="0" w:color="auto"/>
              </w:divBdr>
            </w:div>
            <w:div w:id="489057231">
              <w:marLeft w:val="0"/>
              <w:marRight w:val="0"/>
              <w:marTop w:val="0"/>
              <w:marBottom w:val="0"/>
              <w:divBdr>
                <w:top w:val="none" w:sz="0" w:space="0" w:color="auto"/>
                <w:left w:val="none" w:sz="0" w:space="0" w:color="auto"/>
                <w:bottom w:val="none" w:sz="0" w:space="0" w:color="auto"/>
                <w:right w:val="none" w:sz="0" w:space="0" w:color="auto"/>
              </w:divBdr>
            </w:div>
            <w:div w:id="744843736">
              <w:marLeft w:val="0"/>
              <w:marRight w:val="0"/>
              <w:marTop w:val="0"/>
              <w:marBottom w:val="0"/>
              <w:divBdr>
                <w:top w:val="none" w:sz="0" w:space="0" w:color="auto"/>
                <w:left w:val="none" w:sz="0" w:space="0" w:color="auto"/>
                <w:bottom w:val="none" w:sz="0" w:space="0" w:color="auto"/>
                <w:right w:val="none" w:sz="0" w:space="0" w:color="auto"/>
              </w:divBdr>
            </w:div>
            <w:div w:id="1391878491">
              <w:marLeft w:val="0"/>
              <w:marRight w:val="0"/>
              <w:marTop w:val="0"/>
              <w:marBottom w:val="0"/>
              <w:divBdr>
                <w:top w:val="none" w:sz="0" w:space="0" w:color="auto"/>
                <w:left w:val="none" w:sz="0" w:space="0" w:color="auto"/>
                <w:bottom w:val="none" w:sz="0" w:space="0" w:color="auto"/>
                <w:right w:val="none" w:sz="0" w:space="0" w:color="auto"/>
              </w:divBdr>
            </w:div>
            <w:div w:id="1462960769">
              <w:marLeft w:val="0"/>
              <w:marRight w:val="0"/>
              <w:marTop w:val="0"/>
              <w:marBottom w:val="0"/>
              <w:divBdr>
                <w:top w:val="none" w:sz="0" w:space="0" w:color="auto"/>
                <w:left w:val="none" w:sz="0" w:space="0" w:color="auto"/>
                <w:bottom w:val="none" w:sz="0" w:space="0" w:color="auto"/>
                <w:right w:val="none" w:sz="0" w:space="0" w:color="auto"/>
              </w:divBdr>
            </w:div>
            <w:div w:id="1814638463">
              <w:marLeft w:val="0"/>
              <w:marRight w:val="0"/>
              <w:marTop w:val="0"/>
              <w:marBottom w:val="0"/>
              <w:divBdr>
                <w:top w:val="none" w:sz="0" w:space="0" w:color="auto"/>
                <w:left w:val="none" w:sz="0" w:space="0" w:color="auto"/>
                <w:bottom w:val="none" w:sz="0" w:space="0" w:color="auto"/>
                <w:right w:val="none" w:sz="0" w:space="0" w:color="auto"/>
              </w:divBdr>
            </w:div>
            <w:div w:id="20988638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51957483">
      <w:bodyDiv w:val="1"/>
      <w:marLeft w:val="0"/>
      <w:marRight w:val="0"/>
      <w:marTop w:val="0"/>
      <w:marBottom w:val="0"/>
      <w:divBdr>
        <w:top w:val="none" w:sz="0" w:space="0" w:color="auto"/>
        <w:left w:val="none" w:sz="0" w:space="0" w:color="auto"/>
        <w:bottom w:val="none" w:sz="0" w:space="0" w:color="auto"/>
        <w:right w:val="none" w:sz="0" w:space="0" w:color="auto"/>
      </w:divBdr>
    </w:div>
    <w:div w:id="2052069751">
      <w:bodyDiv w:val="1"/>
      <w:marLeft w:val="0"/>
      <w:marRight w:val="0"/>
      <w:marTop w:val="0"/>
      <w:marBottom w:val="0"/>
      <w:divBdr>
        <w:top w:val="none" w:sz="0" w:space="0" w:color="auto"/>
        <w:left w:val="none" w:sz="0" w:space="0" w:color="auto"/>
        <w:bottom w:val="none" w:sz="0" w:space="0" w:color="auto"/>
        <w:right w:val="none" w:sz="0" w:space="0" w:color="auto"/>
      </w:divBdr>
    </w:div>
    <w:div w:id="2052151758">
      <w:bodyDiv w:val="1"/>
      <w:marLeft w:val="0"/>
      <w:marRight w:val="0"/>
      <w:marTop w:val="0"/>
      <w:marBottom w:val="0"/>
      <w:divBdr>
        <w:top w:val="none" w:sz="0" w:space="0" w:color="auto"/>
        <w:left w:val="none" w:sz="0" w:space="0" w:color="auto"/>
        <w:bottom w:val="none" w:sz="0" w:space="0" w:color="auto"/>
        <w:right w:val="none" w:sz="0" w:space="0" w:color="auto"/>
      </w:divBdr>
    </w:div>
    <w:div w:id="2052266683">
      <w:bodyDiv w:val="1"/>
      <w:marLeft w:val="0"/>
      <w:marRight w:val="0"/>
      <w:marTop w:val="0"/>
      <w:marBottom w:val="0"/>
      <w:divBdr>
        <w:top w:val="none" w:sz="0" w:space="0" w:color="auto"/>
        <w:left w:val="none" w:sz="0" w:space="0" w:color="auto"/>
        <w:bottom w:val="none" w:sz="0" w:space="0" w:color="auto"/>
        <w:right w:val="none" w:sz="0" w:space="0" w:color="auto"/>
      </w:divBdr>
      <w:divsChild>
        <w:div w:id="31617368">
          <w:marLeft w:val="547"/>
          <w:marRight w:val="0"/>
          <w:marTop w:val="96"/>
          <w:marBottom w:val="0"/>
          <w:divBdr>
            <w:top w:val="none" w:sz="0" w:space="0" w:color="auto"/>
            <w:left w:val="none" w:sz="0" w:space="0" w:color="auto"/>
            <w:bottom w:val="none" w:sz="0" w:space="0" w:color="auto"/>
            <w:right w:val="none" w:sz="0" w:space="0" w:color="auto"/>
          </w:divBdr>
        </w:div>
        <w:div w:id="62024829">
          <w:marLeft w:val="547"/>
          <w:marRight w:val="0"/>
          <w:marTop w:val="96"/>
          <w:marBottom w:val="0"/>
          <w:divBdr>
            <w:top w:val="none" w:sz="0" w:space="0" w:color="auto"/>
            <w:left w:val="none" w:sz="0" w:space="0" w:color="auto"/>
            <w:bottom w:val="none" w:sz="0" w:space="0" w:color="auto"/>
            <w:right w:val="none" w:sz="0" w:space="0" w:color="auto"/>
          </w:divBdr>
        </w:div>
        <w:div w:id="425226076">
          <w:marLeft w:val="1166"/>
          <w:marRight w:val="0"/>
          <w:marTop w:val="86"/>
          <w:marBottom w:val="0"/>
          <w:divBdr>
            <w:top w:val="none" w:sz="0" w:space="0" w:color="auto"/>
            <w:left w:val="none" w:sz="0" w:space="0" w:color="auto"/>
            <w:bottom w:val="none" w:sz="0" w:space="0" w:color="auto"/>
            <w:right w:val="none" w:sz="0" w:space="0" w:color="auto"/>
          </w:divBdr>
        </w:div>
        <w:div w:id="601959885">
          <w:marLeft w:val="1166"/>
          <w:marRight w:val="0"/>
          <w:marTop w:val="86"/>
          <w:marBottom w:val="0"/>
          <w:divBdr>
            <w:top w:val="none" w:sz="0" w:space="0" w:color="auto"/>
            <w:left w:val="none" w:sz="0" w:space="0" w:color="auto"/>
            <w:bottom w:val="none" w:sz="0" w:space="0" w:color="auto"/>
            <w:right w:val="none" w:sz="0" w:space="0" w:color="auto"/>
          </w:divBdr>
        </w:div>
        <w:div w:id="773211884">
          <w:marLeft w:val="547"/>
          <w:marRight w:val="0"/>
          <w:marTop w:val="96"/>
          <w:marBottom w:val="0"/>
          <w:divBdr>
            <w:top w:val="none" w:sz="0" w:space="0" w:color="auto"/>
            <w:left w:val="none" w:sz="0" w:space="0" w:color="auto"/>
            <w:bottom w:val="none" w:sz="0" w:space="0" w:color="auto"/>
            <w:right w:val="none" w:sz="0" w:space="0" w:color="auto"/>
          </w:divBdr>
        </w:div>
        <w:div w:id="789857239">
          <w:marLeft w:val="547"/>
          <w:marRight w:val="0"/>
          <w:marTop w:val="96"/>
          <w:marBottom w:val="0"/>
          <w:divBdr>
            <w:top w:val="none" w:sz="0" w:space="0" w:color="auto"/>
            <w:left w:val="none" w:sz="0" w:space="0" w:color="auto"/>
            <w:bottom w:val="none" w:sz="0" w:space="0" w:color="auto"/>
            <w:right w:val="none" w:sz="0" w:space="0" w:color="auto"/>
          </w:divBdr>
        </w:div>
        <w:div w:id="1264847934">
          <w:marLeft w:val="547"/>
          <w:marRight w:val="0"/>
          <w:marTop w:val="96"/>
          <w:marBottom w:val="0"/>
          <w:divBdr>
            <w:top w:val="none" w:sz="0" w:space="0" w:color="auto"/>
            <w:left w:val="none" w:sz="0" w:space="0" w:color="auto"/>
            <w:bottom w:val="none" w:sz="0" w:space="0" w:color="auto"/>
            <w:right w:val="none" w:sz="0" w:space="0" w:color="auto"/>
          </w:divBdr>
        </w:div>
        <w:div w:id="1689991549">
          <w:marLeft w:val="1166"/>
          <w:marRight w:val="0"/>
          <w:marTop w:val="86"/>
          <w:marBottom w:val="0"/>
          <w:divBdr>
            <w:top w:val="none" w:sz="0" w:space="0" w:color="auto"/>
            <w:left w:val="none" w:sz="0" w:space="0" w:color="auto"/>
            <w:bottom w:val="none" w:sz="0" w:space="0" w:color="auto"/>
            <w:right w:val="none" w:sz="0" w:space="0" w:color="auto"/>
          </w:divBdr>
        </w:div>
        <w:div w:id="1722820704">
          <w:marLeft w:val="1166"/>
          <w:marRight w:val="0"/>
          <w:marTop w:val="86"/>
          <w:marBottom w:val="0"/>
          <w:divBdr>
            <w:top w:val="none" w:sz="0" w:space="0" w:color="auto"/>
            <w:left w:val="none" w:sz="0" w:space="0" w:color="auto"/>
            <w:bottom w:val="none" w:sz="0" w:space="0" w:color="auto"/>
            <w:right w:val="none" w:sz="0" w:space="0" w:color="auto"/>
          </w:divBdr>
        </w:div>
        <w:div w:id="1751998825">
          <w:marLeft w:val="1166"/>
          <w:marRight w:val="0"/>
          <w:marTop w:val="86"/>
          <w:marBottom w:val="0"/>
          <w:divBdr>
            <w:top w:val="none" w:sz="0" w:space="0" w:color="auto"/>
            <w:left w:val="none" w:sz="0" w:space="0" w:color="auto"/>
            <w:bottom w:val="none" w:sz="0" w:space="0" w:color="auto"/>
            <w:right w:val="none" w:sz="0" w:space="0" w:color="auto"/>
          </w:divBdr>
        </w:div>
        <w:div w:id="2126654238">
          <w:marLeft w:val="1166"/>
          <w:marRight w:val="0"/>
          <w:marTop w:val="86"/>
          <w:marBottom w:val="0"/>
          <w:divBdr>
            <w:top w:val="none" w:sz="0" w:space="0" w:color="auto"/>
            <w:left w:val="none" w:sz="0" w:space="0" w:color="auto"/>
            <w:bottom w:val="none" w:sz="0" w:space="0" w:color="auto"/>
            <w:right w:val="none" w:sz="0" w:space="0" w:color="auto"/>
          </w:divBdr>
        </w:div>
      </w:divsChild>
    </w:div>
    <w:div w:id="2052681180">
      <w:bodyDiv w:val="1"/>
      <w:marLeft w:val="0"/>
      <w:marRight w:val="0"/>
      <w:marTop w:val="0"/>
      <w:marBottom w:val="0"/>
      <w:divBdr>
        <w:top w:val="none" w:sz="0" w:space="0" w:color="auto"/>
        <w:left w:val="none" w:sz="0" w:space="0" w:color="auto"/>
        <w:bottom w:val="none" w:sz="0" w:space="0" w:color="auto"/>
        <w:right w:val="none" w:sz="0" w:space="0" w:color="auto"/>
      </w:divBdr>
      <w:divsChild>
        <w:div w:id="254025090">
          <w:marLeft w:val="432"/>
          <w:marRight w:val="0"/>
          <w:marTop w:val="86"/>
          <w:marBottom w:val="0"/>
          <w:divBdr>
            <w:top w:val="none" w:sz="0" w:space="0" w:color="auto"/>
            <w:left w:val="none" w:sz="0" w:space="0" w:color="auto"/>
            <w:bottom w:val="none" w:sz="0" w:space="0" w:color="auto"/>
            <w:right w:val="none" w:sz="0" w:space="0" w:color="auto"/>
          </w:divBdr>
        </w:div>
        <w:div w:id="576935768">
          <w:marLeft w:val="1267"/>
          <w:marRight w:val="0"/>
          <w:marTop w:val="77"/>
          <w:marBottom w:val="0"/>
          <w:divBdr>
            <w:top w:val="none" w:sz="0" w:space="0" w:color="auto"/>
            <w:left w:val="none" w:sz="0" w:space="0" w:color="auto"/>
            <w:bottom w:val="none" w:sz="0" w:space="0" w:color="auto"/>
            <w:right w:val="none" w:sz="0" w:space="0" w:color="auto"/>
          </w:divBdr>
        </w:div>
        <w:div w:id="715593052">
          <w:marLeft w:val="1267"/>
          <w:marRight w:val="0"/>
          <w:marTop w:val="77"/>
          <w:marBottom w:val="0"/>
          <w:divBdr>
            <w:top w:val="none" w:sz="0" w:space="0" w:color="auto"/>
            <w:left w:val="none" w:sz="0" w:space="0" w:color="auto"/>
            <w:bottom w:val="none" w:sz="0" w:space="0" w:color="auto"/>
            <w:right w:val="none" w:sz="0" w:space="0" w:color="auto"/>
          </w:divBdr>
        </w:div>
        <w:div w:id="938606927">
          <w:marLeft w:val="432"/>
          <w:marRight w:val="0"/>
          <w:marTop w:val="86"/>
          <w:marBottom w:val="0"/>
          <w:divBdr>
            <w:top w:val="none" w:sz="0" w:space="0" w:color="auto"/>
            <w:left w:val="none" w:sz="0" w:space="0" w:color="auto"/>
            <w:bottom w:val="none" w:sz="0" w:space="0" w:color="auto"/>
            <w:right w:val="none" w:sz="0" w:space="0" w:color="auto"/>
          </w:divBdr>
        </w:div>
        <w:div w:id="967390880">
          <w:marLeft w:val="1267"/>
          <w:marRight w:val="0"/>
          <w:marTop w:val="77"/>
          <w:marBottom w:val="0"/>
          <w:divBdr>
            <w:top w:val="none" w:sz="0" w:space="0" w:color="auto"/>
            <w:left w:val="none" w:sz="0" w:space="0" w:color="auto"/>
            <w:bottom w:val="none" w:sz="0" w:space="0" w:color="auto"/>
            <w:right w:val="none" w:sz="0" w:space="0" w:color="auto"/>
          </w:divBdr>
        </w:div>
        <w:div w:id="1452555090">
          <w:marLeft w:val="1267"/>
          <w:marRight w:val="0"/>
          <w:marTop w:val="77"/>
          <w:marBottom w:val="0"/>
          <w:divBdr>
            <w:top w:val="none" w:sz="0" w:space="0" w:color="auto"/>
            <w:left w:val="none" w:sz="0" w:space="0" w:color="auto"/>
            <w:bottom w:val="none" w:sz="0" w:space="0" w:color="auto"/>
            <w:right w:val="none" w:sz="0" w:space="0" w:color="auto"/>
          </w:divBdr>
        </w:div>
        <w:div w:id="1487360691">
          <w:marLeft w:val="1699"/>
          <w:marRight w:val="0"/>
          <w:marTop w:val="77"/>
          <w:marBottom w:val="0"/>
          <w:divBdr>
            <w:top w:val="none" w:sz="0" w:space="0" w:color="auto"/>
            <w:left w:val="none" w:sz="0" w:space="0" w:color="auto"/>
            <w:bottom w:val="none" w:sz="0" w:space="0" w:color="auto"/>
            <w:right w:val="none" w:sz="0" w:space="0" w:color="auto"/>
          </w:divBdr>
        </w:div>
        <w:div w:id="1529291905">
          <w:marLeft w:val="850"/>
          <w:marRight w:val="0"/>
          <w:marTop w:val="77"/>
          <w:marBottom w:val="0"/>
          <w:divBdr>
            <w:top w:val="none" w:sz="0" w:space="0" w:color="auto"/>
            <w:left w:val="none" w:sz="0" w:space="0" w:color="auto"/>
            <w:bottom w:val="none" w:sz="0" w:space="0" w:color="auto"/>
            <w:right w:val="none" w:sz="0" w:space="0" w:color="auto"/>
          </w:divBdr>
        </w:div>
        <w:div w:id="1642079715">
          <w:marLeft w:val="850"/>
          <w:marRight w:val="0"/>
          <w:marTop w:val="77"/>
          <w:marBottom w:val="0"/>
          <w:divBdr>
            <w:top w:val="none" w:sz="0" w:space="0" w:color="auto"/>
            <w:left w:val="none" w:sz="0" w:space="0" w:color="auto"/>
            <w:bottom w:val="none" w:sz="0" w:space="0" w:color="auto"/>
            <w:right w:val="none" w:sz="0" w:space="0" w:color="auto"/>
          </w:divBdr>
        </w:div>
        <w:div w:id="1811164930">
          <w:marLeft w:val="850"/>
          <w:marRight w:val="0"/>
          <w:marTop w:val="77"/>
          <w:marBottom w:val="0"/>
          <w:divBdr>
            <w:top w:val="none" w:sz="0" w:space="0" w:color="auto"/>
            <w:left w:val="none" w:sz="0" w:space="0" w:color="auto"/>
            <w:bottom w:val="none" w:sz="0" w:space="0" w:color="auto"/>
            <w:right w:val="none" w:sz="0" w:space="0" w:color="auto"/>
          </w:divBdr>
        </w:div>
      </w:divsChild>
    </w:div>
    <w:div w:id="2052682319">
      <w:bodyDiv w:val="1"/>
      <w:marLeft w:val="0"/>
      <w:marRight w:val="0"/>
      <w:marTop w:val="0"/>
      <w:marBottom w:val="0"/>
      <w:divBdr>
        <w:top w:val="none" w:sz="0" w:space="0" w:color="auto"/>
        <w:left w:val="none" w:sz="0" w:space="0" w:color="auto"/>
        <w:bottom w:val="none" w:sz="0" w:space="0" w:color="auto"/>
        <w:right w:val="none" w:sz="0" w:space="0" w:color="auto"/>
      </w:divBdr>
      <w:divsChild>
        <w:div w:id="20016758">
          <w:marLeft w:val="1166"/>
          <w:marRight w:val="0"/>
          <w:marTop w:val="134"/>
          <w:marBottom w:val="0"/>
          <w:divBdr>
            <w:top w:val="none" w:sz="0" w:space="0" w:color="auto"/>
            <w:left w:val="none" w:sz="0" w:space="0" w:color="auto"/>
            <w:bottom w:val="none" w:sz="0" w:space="0" w:color="auto"/>
            <w:right w:val="none" w:sz="0" w:space="0" w:color="auto"/>
          </w:divBdr>
        </w:div>
        <w:div w:id="236326543">
          <w:marLeft w:val="1166"/>
          <w:marRight w:val="0"/>
          <w:marTop w:val="134"/>
          <w:marBottom w:val="0"/>
          <w:divBdr>
            <w:top w:val="none" w:sz="0" w:space="0" w:color="auto"/>
            <w:left w:val="none" w:sz="0" w:space="0" w:color="auto"/>
            <w:bottom w:val="none" w:sz="0" w:space="0" w:color="auto"/>
            <w:right w:val="none" w:sz="0" w:space="0" w:color="auto"/>
          </w:divBdr>
        </w:div>
        <w:div w:id="611788828">
          <w:marLeft w:val="547"/>
          <w:marRight w:val="0"/>
          <w:marTop w:val="154"/>
          <w:marBottom w:val="0"/>
          <w:divBdr>
            <w:top w:val="none" w:sz="0" w:space="0" w:color="auto"/>
            <w:left w:val="none" w:sz="0" w:space="0" w:color="auto"/>
            <w:bottom w:val="none" w:sz="0" w:space="0" w:color="auto"/>
            <w:right w:val="none" w:sz="0" w:space="0" w:color="auto"/>
          </w:divBdr>
        </w:div>
        <w:div w:id="801460837">
          <w:marLeft w:val="2520"/>
          <w:marRight w:val="0"/>
          <w:marTop w:val="86"/>
          <w:marBottom w:val="0"/>
          <w:divBdr>
            <w:top w:val="none" w:sz="0" w:space="0" w:color="auto"/>
            <w:left w:val="none" w:sz="0" w:space="0" w:color="auto"/>
            <w:bottom w:val="none" w:sz="0" w:space="0" w:color="auto"/>
            <w:right w:val="none" w:sz="0" w:space="0" w:color="auto"/>
          </w:divBdr>
        </w:div>
        <w:div w:id="1285885976">
          <w:marLeft w:val="1800"/>
          <w:marRight w:val="0"/>
          <w:marTop w:val="115"/>
          <w:marBottom w:val="0"/>
          <w:divBdr>
            <w:top w:val="none" w:sz="0" w:space="0" w:color="auto"/>
            <w:left w:val="none" w:sz="0" w:space="0" w:color="auto"/>
            <w:bottom w:val="none" w:sz="0" w:space="0" w:color="auto"/>
            <w:right w:val="none" w:sz="0" w:space="0" w:color="auto"/>
          </w:divBdr>
        </w:div>
        <w:div w:id="2131126134">
          <w:marLeft w:val="1800"/>
          <w:marRight w:val="0"/>
          <w:marTop w:val="115"/>
          <w:marBottom w:val="0"/>
          <w:divBdr>
            <w:top w:val="none" w:sz="0" w:space="0" w:color="auto"/>
            <w:left w:val="none" w:sz="0" w:space="0" w:color="auto"/>
            <w:bottom w:val="none" w:sz="0" w:space="0" w:color="auto"/>
            <w:right w:val="none" w:sz="0" w:space="0" w:color="auto"/>
          </w:divBdr>
        </w:div>
      </w:divsChild>
    </w:div>
    <w:div w:id="2052993269">
      <w:bodyDiv w:val="1"/>
      <w:marLeft w:val="0"/>
      <w:marRight w:val="0"/>
      <w:marTop w:val="0"/>
      <w:marBottom w:val="0"/>
      <w:divBdr>
        <w:top w:val="none" w:sz="0" w:space="0" w:color="auto"/>
        <w:left w:val="none" w:sz="0" w:space="0" w:color="auto"/>
        <w:bottom w:val="none" w:sz="0" w:space="0" w:color="auto"/>
        <w:right w:val="none" w:sz="0" w:space="0" w:color="auto"/>
      </w:divBdr>
    </w:div>
    <w:div w:id="2053143442">
      <w:bodyDiv w:val="1"/>
      <w:marLeft w:val="0"/>
      <w:marRight w:val="0"/>
      <w:marTop w:val="0"/>
      <w:marBottom w:val="0"/>
      <w:divBdr>
        <w:top w:val="none" w:sz="0" w:space="0" w:color="auto"/>
        <w:left w:val="none" w:sz="0" w:space="0" w:color="auto"/>
        <w:bottom w:val="none" w:sz="0" w:space="0" w:color="auto"/>
        <w:right w:val="none" w:sz="0" w:space="0" w:color="auto"/>
      </w:divBdr>
      <w:divsChild>
        <w:div w:id="115373030">
          <w:marLeft w:val="1166"/>
          <w:marRight w:val="0"/>
          <w:marTop w:val="134"/>
          <w:marBottom w:val="0"/>
          <w:divBdr>
            <w:top w:val="none" w:sz="0" w:space="0" w:color="auto"/>
            <w:left w:val="none" w:sz="0" w:space="0" w:color="auto"/>
            <w:bottom w:val="none" w:sz="0" w:space="0" w:color="auto"/>
            <w:right w:val="none" w:sz="0" w:space="0" w:color="auto"/>
          </w:divBdr>
        </w:div>
        <w:div w:id="138428086">
          <w:marLeft w:val="1166"/>
          <w:marRight w:val="0"/>
          <w:marTop w:val="134"/>
          <w:marBottom w:val="0"/>
          <w:divBdr>
            <w:top w:val="none" w:sz="0" w:space="0" w:color="auto"/>
            <w:left w:val="none" w:sz="0" w:space="0" w:color="auto"/>
            <w:bottom w:val="none" w:sz="0" w:space="0" w:color="auto"/>
            <w:right w:val="none" w:sz="0" w:space="0" w:color="auto"/>
          </w:divBdr>
        </w:div>
        <w:div w:id="220678975">
          <w:marLeft w:val="547"/>
          <w:marRight w:val="0"/>
          <w:marTop w:val="154"/>
          <w:marBottom w:val="0"/>
          <w:divBdr>
            <w:top w:val="none" w:sz="0" w:space="0" w:color="auto"/>
            <w:left w:val="none" w:sz="0" w:space="0" w:color="auto"/>
            <w:bottom w:val="none" w:sz="0" w:space="0" w:color="auto"/>
            <w:right w:val="none" w:sz="0" w:space="0" w:color="auto"/>
          </w:divBdr>
        </w:div>
        <w:div w:id="309750446">
          <w:marLeft w:val="547"/>
          <w:marRight w:val="0"/>
          <w:marTop w:val="154"/>
          <w:marBottom w:val="0"/>
          <w:divBdr>
            <w:top w:val="none" w:sz="0" w:space="0" w:color="auto"/>
            <w:left w:val="none" w:sz="0" w:space="0" w:color="auto"/>
            <w:bottom w:val="none" w:sz="0" w:space="0" w:color="auto"/>
            <w:right w:val="none" w:sz="0" w:space="0" w:color="auto"/>
          </w:divBdr>
        </w:div>
      </w:divsChild>
    </w:div>
    <w:div w:id="2053264537">
      <w:bodyDiv w:val="1"/>
      <w:marLeft w:val="0"/>
      <w:marRight w:val="0"/>
      <w:marTop w:val="0"/>
      <w:marBottom w:val="0"/>
      <w:divBdr>
        <w:top w:val="none" w:sz="0" w:space="0" w:color="auto"/>
        <w:left w:val="none" w:sz="0" w:space="0" w:color="auto"/>
        <w:bottom w:val="none" w:sz="0" w:space="0" w:color="auto"/>
        <w:right w:val="none" w:sz="0" w:space="0" w:color="auto"/>
      </w:divBdr>
    </w:div>
    <w:div w:id="2054690397">
      <w:bodyDiv w:val="1"/>
      <w:marLeft w:val="0"/>
      <w:marRight w:val="0"/>
      <w:marTop w:val="0"/>
      <w:marBottom w:val="0"/>
      <w:divBdr>
        <w:top w:val="none" w:sz="0" w:space="0" w:color="auto"/>
        <w:left w:val="none" w:sz="0" w:space="0" w:color="auto"/>
        <w:bottom w:val="none" w:sz="0" w:space="0" w:color="auto"/>
        <w:right w:val="none" w:sz="0" w:space="0" w:color="auto"/>
      </w:divBdr>
    </w:div>
    <w:div w:id="2055694797">
      <w:bodyDiv w:val="1"/>
      <w:marLeft w:val="0"/>
      <w:marRight w:val="0"/>
      <w:marTop w:val="0"/>
      <w:marBottom w:val="0"/>
      <w:divBdr>
        <w:top w:val="none" w:sz="0" w:space="0" w:color="auto"/>
        <w:left w:val="none" w:sz="0" w:space="0" w:color="auto"/>
        <w:bottom w:val="none" w:sz="0" w:space="0" w:color="auto"/>
        <w:right w:val="none" w:sz="0" w:space="0" w:color="auto"/>
      </w:divBdr>
    </w:div>
    <w:div w:id="2056469955">
      <w:bodyDiv w:val="1"/>
      <w:marLeft w:val="0"/>
      <w:marRight w:val="0"/>
      <w:marTop w:val="0"/>
      <w:marBottom w:val="0"/>
      <w:divBdr>
        <w:top w:val="none" w:sz="0" w:space="0" w:color="auto"/>
        <w:left w:val="none" w:sz="0" w:space="0" w:color="auto"/>
        <w:bottom w:val="none" w:sz="0" w:space="0" w:color="auto"/>
        <w:right w:val="none" w:sz="0" w:space="0" w:color="auto"/>
      </w:divBdr>
    </w:div>
    <w:div w:id="2058041074">
      <w:bodyDiv w:val="1"/>
      <w:marLeft w:val="0"/>
      <w:marRight w:val="0"/>
      <w:marTop w:val="0"/>
      <w:marBottom w:val="0"/>
      <w:divBdr>
        <w:top w:val="none" w:sz="0" w:space="0" w:color="auto"/>
        <w:left w:val="none" w:sz="0" w:space="0" w:color="auto"/>
        <w:bottom w:val="none" w:sz="0" w:space="0" w:color="auto"/>
        <w:right w:val="none" w:sz="0" w:space="0" w:color="auto"/>
      </w:divBdr>
    </w:div>
    <w:div w:id="2058429335">
      <w:bodyDiv w:val="1"/>
      <w:marLeft w:val="0"/>
      <w:marRight w:val="0"/>
      <w:marTop w:val="0"/>
      <w:marBottom w:val="0"/>
      <w:divBdr>
        <w:top w:val="none" w:sz="0" w:space="0" w:color="auto"/>
        <w:left w:val="none" w:sz="0" w:space="0" w:color="auto"/>
        <w:bottom w:val="none" w:sz="0" w:space="0" w:color="auto"/>
        <w:right w:val="none" w:sz="0" w:space="0" w:color="auto"/>
      </w:divBdr>
      <w:divsChild>
        <w:div w:id="93408585">
          <w:marLeft w:val="1166"/>
          <w:marRight w:val="0"/>
          <w:marTop w:val="115"/>
          <w:marBottom w:val="120"/>
          <w:divBdr>
            <w:top w:val="none" w:sz="0" w:space="0" w:color="auto"/>
            <w:left w:val="none" w:sz="0" w:space="0" w:color="auto"/>
            <w:bottom w:val="none" w:sz="0" w:space="0" w:color="auto"/>
            <w:right w:val="none" w:sz="0" w:space="0" w:color="auto"/>
          </w:divBdr>
        </w:div>
        <w:div w:id="124468971">
          <w:marLeft w:val="1166"/>
          <w:marRight w:val="0"/>
          <w:marTop w:val="115"/>
          <w:marBottom w:val="120"/>
          <w:divBdr>
            <w:top w:val="none" w:sz="0" w:space="0" w:color="auto"/>
            <w:left w:val="none" w:sz="0" w:space="0" w:color="auto"/>
            <w:bottom w:val="none" w:sz="0" w:space="0" w:color="auto"/>
            <w:right w:val="none" w:sz="0" w:space="0" w:color="auto"/>
          </w:divBdr>
        </w:div>
        <w:div w:id="1390954893">
          <w:marLeft w:val="547"/>
          <w:marRight w:val="0"/>
          <w:marTop w:val="134"/>
          <w:marBottom w:val="120"/>
          <w:divBdr>
            <w:top w:val="none" w:sz="0" w:space="0" w:color="auto"/>
            <w:left w:val="none" w:sz="0" w:space="0" w:color="auto"/>
            <w:bottom w:val="none" w:sz="0" w:space="0" w:color="auto"/>
            <w:right w:val="none" w:sz="0" w:space="0" w:color="auto"/>
          </w:divBdr>
        </w:div>
      </w:divsChild>
    </w:div>
    <w:div w:id="2059206818">
      <w:bodyDiv w:val="1"/>
      <w:marLeft w:val="0"/>
      <w:marRight w:val="0"/>
      <w:marTop w:val="0"/>
      <w:marBottom w:val="0"/>
      <w:divBdr>
        <w:top w:val="none" w:sz="0" w:space="0" w:color="auto"/>
        <w:left w:val="none" w:sz="0" w:space="0" w:color="auto"/>
        <w:bottom w:val="none" w:sz="0" w:space="0" w:color="auto"/>
        <w:right w:val="none" w:sz="0" w:space="0" w:color="auto"/>
      </w:divBdr>
    </w:div>
    <w:div w:id="2059351778">
      <w:bodyDiv w:val="1"/>
      <w:marLeft w:val="0"/>
      <w:marRight w:val="0"/>
      <w:marTop w:val="0"/>
      <w:marBottom w:val="0"/>
      <w:divBdr>
        <w:top w:val="none" w:sz="0" w:space="0" w:color="auto"/>
        <w:left w:val="none" w:sz="0" w:space="0" w:color="auto"/>
        <w:bottom w:val="none" w:sz="0" w:space="0" w:color="auto"/>
        <w:right w:val="none" w:sz="0" w:space="0" w:color="auto"/>
      </w:divBdr>
    </w:div>
    <w:div w:id="2059894407">
      <w:bodyDiv w:val="1"/>
      <w:marLeft w:val="0"/>
      <w:marRight w:val="0"/>
      <w:marTop w:val="0"/>
      <w:marBottom w:val="0"/>
      <w:divBdr>
        <w:top w:val="none" w:sz="0" w:space="0" w:color="auto"/>
        <w:left w:val="none" w:sz="0" w:space="0" w:color="auto"/>
        <w:bottom w:val="none" w:sz="0" w:space="0" w:color="auto"/>
        <w:right w:val="none" w:sz="0" w:space="0" w:color="auto"/>
      </w:divBdr>
    </w:div>
    <w:div w:id="2060977210">
      <w:bodyDiv w:val="1"/>
      <w:marLeft w:val="0"/>
      <w:marRight w:val="0"/>
      <w:marTop w:val="0"/>
      <w:marBottom w:val="0"/>
      <w:divBdr>
        <w:top w:val="none" w:sz="0" w:space="0" w:color="auto"/>
        <w:left w:val="none" w:sz="0" w:space="0" w:color="auto"/>
        <w:bottom w:val="none" w:sz="0" w:space="0" w:color="auto"/>
        <w:right w:val="none" w:sz="0" w:space="0" w:color="auto"/>
      </w:divBdr>
    </w:div>
    <w:div w:id="2061632322">
      <w:bodyDiv w:val="1"/>
      <w:marLeft w:val="0"/>
      <w:marRight w:val="0"/>
      <w:marTop w:val="0"/>
      <w:marBottom w:val="0"/>
      <w:divBdr>
        <w:top w:val="none" w:sz="0" w:space="0" w:color="auto"/>
        <w:left w:val="none" w:sz="0" w:space="0" w:color="auto"/>
        <w:bottom w:val="none" w:sz="0" w:space="0" w:color="auto"/>
        <w:right w:val="none" w:sz="0" w:space="0" w:color="auto"/>
      </w:divBdr>
    </w:div>
    <w:div w:id="2062359910">
      <w:bodyDiv w:val="1"/>
      <w:marLeft w:val="0"/>
      <w:marRight w:val="0"/>
      <w:marTop w:val="0"/>
      <w:marBottom w:val="0"/>
      <w:divBdr>
        <w:top w:val="none" w:sz="0" w:space="0" w:color="auto"/>
        <w:left w:val="none" w:sz="0" w:space="0" w:color="auto"/>
        <w:bottom w:val="none" w:sz="0" w:space="0" w:color="auto"/>
        <w:right w:val="none" w:sz="0" w:space="0" w:color="auto"/>
      </w:divBdr>
    </w:div>
    <w:div w:id="2062710908">
      <w:bodyDiv w:val="1"/>
      <w:marLeft w:val="0"/>
      <w:marRight w:val="0"/>
      <w:marTop w:val="0"/>
      <w:marBottom w:val="0"/>
      <w:divBdr>
        <w:top w:val="none" w:sz="0" w:space="0" w:color="auto"/>
        <w:left w:val="none" w:sz="0" w:space="0" w:color="auto"/>
        <w:bottom w:val="none" w:sz="0" w:space="0" w:color="auto"/>
        <w:right w:val="none" w:sz="0" w:space="0" w:color="auto"/>
      </w:divBdr>
    </w:div>
    <w:div w:id="2064595431">
      <w:bodyDiv w:val="1"/>
      <w:marLeft w:val="0"/>
      <w:marRight w:val="0"/>
      <w:marTop w:val="0"/>
      <w:marBottom w:val="0"/>
      <w:divBdr>
        <w:top w:val="none" w:sz="0" w:space="0" w:color="auto"/>
        <w:left w:val="none" w:sz="0" w:space="0" w:color="auto"/>
        <w:bottom w:val="none" w:sz="0" w:space="0" w:color="auto"/>
        <w:right w:val="none" w:sz="0" w:space="0" w:color="auto"/>
      </w:divBdr>
    </w:div>
    <w:div w:id="2064602250">
      <w:bodyDiv w:val="1"/>
      <w:marLeft w:val="0"/>
      <w:marRight w:val="0"/>
      <w:marTop w:val="0"/>
      <w:marBottom w:val="0"/>
      <w:divBdr>
        <w:top w:val="none" w:sz="0" w:space="0" w:color="auto"/>
        <w:left w:val="none" w:sz="0" w:space="0" w:color="auto"/>
        <w:bottom w:val="none" w:sz="0" w:space="0" w:color="auto"/>
        <w:right w:val="none" w:sz="0" w:space="0" w:color="auto"/>
      </w:divBdr>
      <w:divsChild>
        <w:div w:id="1503348193">
          <w:marLeft w:val="1166"/>
          <w:marRight w:val="0"/>
          <w:marTop w:val="115"/>
          <w:marBottom w:val="0"/>
          <w:divBdr>
            <w:top w:val="none" w:sz="0" w:space="0" w:color="auto"/>
            <w:left w:val="none" w:sz="0" w:space="0" w:color="auto"/>
            <w:bottom w:val="none" w:sz="0" w:space="0" w:color="auto"/>
            <w:right w:val="none" w:sz="0" w:space="0" w:color="auto"/>
          </w:divBdr>
        </w:div>
        <w:div w:id="1603296851">
          <w:marLeft w:val="1800"/>
          <w:marRight w:val="0"/>
          <w:marTop w:val="96"/>
          <w:marBottom w:val="0"/>
          <w:divBdr>
            <w:top w:val="none" w:sz="0" w:space="0" w:color="auto"/>
            <w:left w:val="none" w:sz="0" w:space="0" w:color="auto"/>
            <w:bottom w:val="none" w:sz="0" w:space="0" w:color="auto"/>
            <w:right w:val="none" w:sz="0" w:space="0" w:color="auto"/>
          </w:divBdr>
        </w:div>
        <w:div w:id="1618949564">
          <w:marLeft w:val="1166"/>
          <w:marRight w:val="0"/>
          <w:marTop w:val="115"/>
          <w:marBottom w:val="0"/>
          <w:divBdr>
            <w:top w:val="none" w:sz="0" w:space="0" w:color="auto"/>
            <w:left w:val="none" w:sz="0" w:space="0" w:color="auto"/>
            <w:bottom w:val="none" w:sz="0" w:space="0" w:color="auto"/>
            <w:right w:val="none" w:sz="0" w:space="0" w:color="auto"/>
          </w:divBdr>
        </w:div>
        <w:div w:id="1755780812">
          <w:marLeft w:val="1166"/>
          <w:marRight w:val="0"/>
          <w:marTop w:val="115"/>
          <w:marBottom w:val="0"/>
          <w:divBdr>
            <w:top w:val="none" w:sz="0" w:space="0" w:color="auto"/>
            <w:left w:val="none" w:sz="0" w:space="0" w:color="auto"/>
            <w:bottom w:val="none" w:sz="0" w:space="0" w:color="auto"/>
            <w:right w:val="none" w:sz="0" w:space="0" w:color="auto"/>
          </w:divBdr>
        </w:div>
        <w:div w:id="1807702235">
          <w:marLeft w:val="547"/>
          <w:marRight w:val="0"/>
          <w:marTop w:val="115"/>
          <w:marBottom w:val="0"/>
          <w:divBdr>
            <w:top w:val="none" w:sz="0" w:space="0" w:color="auto"/>
            <w:left w:val="none" w:sz="0" w:space="0" w:color="auto"/>
            <w:bottom w:val="none" w:sz="0" w:space="0" w:color="auto"/>
            <w:right w:val="none" w:sz="0" w:space="0" w:color="auto"/>
          </w:divBdr>
        </w:div>
      </w:divsChild>
    </w:div>
    <w:div w:id="2064939696">
      <w:bodyDiv w:val="1"/>
      <w:marLeft w:val="0"/>
      <w:marRight w:val="0"/>
      <w:marTop w:val="0"/>
      <w:marBottom w:val="0"/>
      <w:divBdr>
        <w:top w:val="none" w:sz="0" w:space="0" w:color="auto"/>
        <w:left w:val="none" w:sz="0" w:space="0" w:color="auto"/>
        <w:bottom w:val="none" w:sz="0" w:space="0" w:color="auto"/>
        <w:right w:val="none" w:sz="0" w:space="0" w:color="auto"/>
      </w:divBdr>
      <w:divsChild>
        <w:div w:id="729697779">
          <w:marLeft w:val="547"/>
          <w:marRight w:val="0"/>
          <w:marTop w:val="115"/>
          <w:marBottom w:val="0"/>
          <w:divBdr>
            <w:top w:val="none" w:sz="0" w:space="0" w:color="auto"/>
            <w:left w:val="none" w:sz="0" w:space="0" w:color="auto"/>
            <w:bottom w:val="none" w:sz="0" w:space="0" w:color="auto"/>
            <w:right w:val="none" w:sz="0" w:space="0" w:color="auto"/>
          </w:divBdr>
        </w:div>
        <w:div w:id="855776559">
          <w:marLeft w:val="547"/>
          <w:marRight w:val="0"/>
          <w:marTop w:val="115"/>
          <w:marBottom w:val="0"/>
          <w:divBdr>
            <w:top w:val="none" w:sz="0" w:space="0" w:color="auto"/>
            <w:left w:val="none" w:sz="0" w:space="0" w:color="auto"/>
            <w:bottom w:val="none" w:sz="0" w:space="0" w:color="auto"/>
            <w:right w:val="none" w:sz="0" w:space="0" w:color="auto"/>
          </w:divBdr>
        </w:div>
        <w:div w:id="2137676383">
          <w:marLeft w:val="547"/>
          <w:marRight w:val="0"/>
          <w:marTop w:val="115"/>
          <w:marBottom w:val="0"/>
          <w:divBdr>
            <w:top w:val="none" w:sz="0" w:space="0" w:color="auto"/>
            <w:left w:val="none" w:sz="0" w:space="0" w:color="auto"/>
            <w:bottom w:val="none" w:sz="0" w:space="0" w:color="auto"/>
            <w:right w:val="none" w:sz="0" w:space="0" w:color="auto"/>
          </w:divBdr>
        </w:div>
      </w:divsChild>
    </w:div>
    <w:div w:id="2066954612">
      <w:bodyDiv w:val="1"/>
      <w:marLeft w:val="0"/>
      <w:marRight w:val="0"/>
      <w:marTop w:val="0"/>
      <w:marBottom w:val="0"/>
      <w:divBdr>
        <w:top w:val="none" w:sz="0" w:space="0" w:color="auto"/>
        <w:left w:val="none" w:sz="0" w:space="0" w:color="auto"/>
        <w:bottom w:val="none" w:sz="0" w:space="0" w:color="auto"/>
        <w:right w:val="none" w:sz="0" w:space="0" w:color="auto"/>
      </w:divBdr>
      <w:divsChild>
        <w:div w:id="3095272">
          <w:marLeft w:val="1166"/>
          <w:marRight w:val="0"/>
          <w:marTop w:val="86"/>
          <w:marBottom w:val="0"/>
          <w:divBdr>
            <w:top w:val="none" w:sz="0" w:space="0" w:color="auto"/>
            <w:left w:val="none" w:sz="0" w:space="0" w:color="auto"/>
            <w:bottom w:val="none" w:sz="0" w:space="0" w:color="auto"/>
            <w:right w:val="none" w:sz="0" w:space="0" w:color="auto"/>
          </w:divBdr>
        </w:div>
        <w:div w:id="413287822">
          <w:marLeft w:val="547"/>
          <w:marRight w:val="0"/>
          <w:marTop w:val="115"/>
          <w:marBottom w:val="0"/>
          <w:divBdr>
            <w:top w:val="none" w:sz="0" w:space="0" w:color="auto"/>
            <w:left w:val="none" w:sz="0" w:space="0" w:color="auto"/>
            <w:bottom w:val="none" w:sz="0" w:space="0" w:color="auto"/>
            <w:right w:val="none" w:sz="0" w:space="0" w:color="auto"/>
          </w:divBdr>
        </w:div>
        <w:div w:id="881331174">
          <w:marLeft w:val="1166"/>
          <w:marRight w:val="0"/>
          <w:marTop w:val="86"/>
          <w:marBottom w:val="0"/>
          <w:divBdr>
            <w:top w:val="none" w:sz="0" w:space="0" w:color="auto"/>
            <w:left w:val="none" w:sz="0" w:space="0" w:color="auto"/>
            <w:bottom w:val="none" w:sz="0" w:space="0" w:color="auto"/>
            <w:right w:val="none" w:sz="0" w:space="0" w:color="auto"/>
          </w:divBdr>
        </w:div>
        <w:div w:id="1131628514">
          <w:marLeft w:val="1166"/>
          <w:marRight w:val="0"/>
          <w:marTop w:val="86"/>
          <w:marBottom w:val="0"/>
          <w:divBdr>
            <w:top w:val="none" w:sz="0" w:space="0" w:color="auto"/>
            <w:left w:val="none" w:sz="0" w:space="0" w:color="auto"/>
            <w:bottom w:val="none" w:sz="0" w:space="0" w:color="auto"/>
            <w:right w:val="none" w:sz="0" w:space="0" w:color="auto"/>
          </w:divBdr>
        </w:div>
        <w:div w:id="1845363259">
          <w:marLeft w:val="1166"/>
          <w:marRight w:val="0"/>
          <w:marTop w:val="86"/>
          <w:marBottom w:val="0"/>
          <w:divBdr>
            <w:top w:val="none" w:sz="0" w:space="0" w:color="auto"/>
            <w:left w:val="none" w:sz="0" w:space="0" w:color="auto"/>
            <w:bottom w:val="none" w:sz="0" w:space="0" w:color="auto"/>
            <w:right w:val="none" w:sz="0" w:space="0" w:color="auto"/>
          </w:divBdr>
        </w:div>
      </w:divsChild>
    </w:div>
    <w:div w:id="2069498715">
      <w:bodyDiv w:val="1"/>
      <w:marLeft w:val="0"/>
      <w:marRight w:val="0"/>
      <w:marTop w:val="0"/>
      <w:marBottom w:val="0"/>
      <w:divBdr>
        <w:top w:val="none" w:sz="0" w:space="0" w:color="auto"/>
        <w:left w:val="none" w:sz="0" w:space="0" w:color="auto"/>
        <w:bottom w:val="none" w:sz="0" w:space="0" w:color="auto"/>
        <w:right w:val="none" w:sz="0" w:space="0" w:color="auto"/>
      </w:divBdr>
    </w:div>
    <w:div w:id="2069646419">
      <w:bodyDiv w:val="1"/>
      <w:marLeft w:val="0"/>
      <w:marRight w:val="0"/>
      <w:marTop w:val="0"/>
      <w:marBottom w:val="0"/>
      <w:divBdr>
        <w:top w:val="none" w:sz="0" w:space="0" w:color="auto"/>
        <w:left w:val="none" w:sz="0" w:space="0" w:color="auto"/>
        <w:bottom w:val="none" w:sz="0" w:space="0" w:color="auto"/>
        <w:right w:val="none" w:sz="0" w:space="0" w:color="auto"/>
      </w:divBdr>
    </w:div>
    <w:div w:id="2070417462">
      <w:bodyDiv w:val="1"/>
      <w:marLeft w:val="0"/>
      <w:marRight w:val="0"/>
      <w:marTop w:val="0"/>
      <w:marBottom w:val="0"/>
      <w:divBdr>
        <w:top w:val="none" w:sz="0" w:space="0" w:color="auto"/>
        <w:left w:val="none" w:sz="0" w:space="0" w:color="auto"/>
        <w:bottom w:val="none" w:sz="0" w:space="0" w:color="auto"/>
        <w:right w:val="none" w:sz="0" w:space="0" w:color="auto"/>
      </w:divBdr>
    </w:div>
    <w:div w:id="2070495265">
      <w:bodyDiv w:val="1"/>
      <w:marLeft w:val="0"/>
      <w:marRight w:val="0"/>
      <w:marTop w:val="0"/>
      <w:marBottom w:val="0"/>
      <w:divBdr>
        <w:top w:val="none" w:sz="0" w:space="0" w:color="auto"/>
        <w:left w:val="none" w:sz="0" w:space="0" w:color="auto"/>
        <w:bottom w:val="none" w:sz="0" w:space="0" w:color="auto"/>
        <w:right w:val="none" w:sz="0" w:space="0" w:color="auto"/>
      </w:divBdr>
      <w:divsChild>
        <w:div w:id="74791641">
          <w:marLeft w:val="547"/>
          <w:marRight w:val="0"/>
          <w:marTop w:val="86"/>
          <w:marBottom w:val="0"/>
          <w:divBdr>
            <w:top w:val="none" w:sz="0" w:space="0" w:color="auto"/>
            <w:left w:val="none" w:sz="0" w:space="0" w:color="auto"/>
            <w:bottom w:val="none" w:sz="0" w:space="0" w:color="auto"/>
            <w:right w:val="none" w:sz="0" w:space="0" w:color="auto"/>
          </w:divBdr>
        </w:div>
        <w:div w:id="206648617">
          <w:marLeft w:val="547"/>
          <w:marRight w:val="0"/>
          <w:marTop w:val="86"/>
          <w:marBottom w:val="0"/>
          <w:divBdr>
            <w:top w:val="none" w:sz="0" w:space="0" w:color="auto"/>
            <w:left w:val="none" w:sz="0" w:space="0" w:color="auto"/>
            <w:bottom w:val="none" w:sz="0" w:space="0" w:color="auto"/>
            <w:right w:val="none" w:sz="0" w:space="0" w:color="auto"/>
          </w:divBdr>
        </w:div>
        <w:div w:id="230579747">
          <w:marLeft w:val="1166"/>
          <w:marRight w:val="0"/>
          <w:marTop w:val="67"/>
          <w:marBottom w:val="0"/>
          <w:divBdr>
            <w:top w:val="none" w:sz="0" w:space="0" w:color="auto"/>
            <w:left w:val="none" w:sz="0" w:space="0" w:color="auto"/>
            <w:bottom w:val="none" w:sz="0" w:space="0" w:color="auto"/>
            <w:right w:val="none" w:sz="0" w:space="0" w:color="auto"/>
          </w:divBdr>
        </w:div>
        <w:div w:id="534655951">
          <w:marLeft w:val="547"/>
          <w:marRight w:val="0"/>
          <w:marTop w:val="86"/>
          <w:marBottom w:val="0"/>
          <w:divBdr>
            <w:top w:val="none" w:sz="0" w:space="0" w:color="auto"/>
            <w:left w:val="none" w:sz="0" w:space="0" w:color="auto"/>
            <w:bottom w:val="none" w:sz="0" w:space="0" w:color="auto"/>
            <w:right w:val="none" w:sz="0" w:space="0" w:color="auto"/>
          </w:divBdr>
        </w:div>
        <w:div w:id="565914000">
          <w:marLeft w:val="547"/>
          <w:marRight w:val="0"/>
          <w:marTop w:val="86"/>
          <w:marBottom w:val="0"/>
          <w:divBdr>
            <w:top w:val="none" w:sz="0" w:space="0" w:color="auto"/>
            <w:left w:val="none" w:sz="0" w:space="0" w:color="auto"/>
            <w:bottom w:val="none" w:sz="0" w:space="0" w:color="auto"/>
            <w:right w:val="none" w:sz="0" w:space="0" w:color="auto"/>
          </w:divBdr>
        </w:div>
        <w:div w:id="659894975">
          <w:marLeft w:val="1166"/>
          <w:marRight w:val="0"/>
          <w:marTop w:val="67"/>
          <w:marBottom w:val="0"/>
          <w:divBdr>
            <w:top w:val="none" w:sz="0" w:space="0" w:color="auto"/>
            <w:left w:val="none" w:sz="0" w:space="0" w:color="auto"/>
            <w:bottom w:val="none" w:sz="0" w:space="0" w:color="auto"/>
            <w:right w:val="none" w:sz="0" w:space="0" w:color="auto"/>
          </w:divBdr>
        </w:div>
        <w:div w:id="934556445">
          <w:marLeft w:val="1166"/>
          <w:marRight w:val="0"/>
          <w:marTop w:val="67"/>
          <w:marBottom w:val="0"/>
          <w:divBdr>
            <w:top w:val="none" w:sz="0" w:space="0" w:color="auto"/>
            <w:left w:val="none" w:sz="0" w:space="0" w:color="auto"/>
            <w:bottom w:val="none" w:sz="0" w:space="0" w:color="auto"/>
            <w:right w:val="none" w:sz="0" w:space="0" w:color="auto"/>
          </w:divBdr>
        </w:div>
        <w:div w:id="987975833">
          <w:marLeft w:val="1166"/>
          <w:marRight w:val="0"/>
          <w:marTop w:val="67"/>
          <w:marBottom w:val="0"/>
          <w:divBdr>
            <w:top w:val="none" w:sz="0" w:space="0" w:color="auto"/>
            <w:left w:val="none" w:sz="0" w:space="0" w:color="auto"/>
            <w:bottom w:val="none" w:sz="0" w:space="0" w:color="auto"/>
            <w:right w:val="none" w:sz="0" w:space="0" w:color="auto"/>
          </w:divBdr>
        </w:div>
        <w:div w:id="1142963741">
          <w:marLeft w:val="1166"/>
          <w:marRight w:val="0"/>
          <w:marTop w:val="67"/>
          <w:marBottom w:val="0"/>
          <w:divBdr>
            <w:top w:val="none" w:sz="0" w:space="0" w:color="auto"/>
            <w:left w:val="none" w:sz="0" w:space="0" w:color="auto"/>
            <w:bottom w:val="none" w:sz="0" w:space="0" w:color="auto"/>
            <w:right w:val="none" w:sz="0" w:space="0" w:color="auto"/>
          </w:divBdr>
        </w:div>
        <w:div w:id="1335034341">
          <w:marLeft w:val="1166"/>
          <w:marRight w:val="0"/>
          <w:marTop w:val="67"/>
          <w:marBottom w:val="0"/>
          <w:divBdr>
            <w:top w:val="none" w:sz="0" w:space="0" w:color="auto"/>
            <w:left w:val="none" w:sz="0" w:space="0" w:color="auto"/>
            <w:bottom w:val="none" w:sz="0" w:space="0" w:color="auto"/>
            <w:right w:val="none" w:sz="0" w:space="0" w:color="auto"/>
          </w:divBdr>
        </w:div>
        <w:div w:id="1522356117">
          <w:marLeft w:val="547"/>
          <w:marRight w:val="0"/>
          <w:marTop w:val="86"/>
          <w:marBottom w:val="0"/>
          <w:divBdr>
            <w:top w:val="none" w:sz="0" w:space="0" w:color="auto"/>
            <w:left w:val="none" w:sz="0" w:space="0" w:color="auto"/>
            <w:bottom w:val="none" w:sz="0" w:space="0" w:color="auto"/>
            <w:right w:val="none" w:sz="0" w:space="0" w:color="auto"/>
          </w:divBdr>
        </w:div>
        <w:div w:id="1575889926">
          <w:marLeft w:val="1166"/>
          <w:marRight w:val="0"/>
          <w:marTop w:val="67"/>
          <w:marBottom w:val="0"/>
          <w:divBdr>
            <w:top w:val="none" w:sz="0" w:space="0" w:color="auto"/>
            <w:left w:val="none" w:sz="0" w:space="0" w:color="auto"/>
            <w:bottom w:val="none" w:sz="0" w:space="0" w:color="auto"/>
            <w:right w:val="none" w:sz="0" w:space="0" w:color="auto"/>
          </w:divBdr>
        </w:div>
        <w:div w:id="1780637244">
          <w:marLeft w:val="1166"/>
          <w:marRight w:val="0"/>
          <w:marTop w:val="67"/>
          <w:marBottom w:val="0"/>
          <w:divBdr>
            <w:top w:val="none" w:sz="0" w:space="0" w:color="auto"/>
            <w:left w:val="none" w:sz="0" w:space="0" w:color="auto"/>
            <w:bottom w:val="none" w:sz="0" w:space="0" w:color="auto"/>
            <w:right w:val="none" w:sz="0" w:space="0" w:color="auto"/>
          </w:divBdr>
        </w:div>
        <w:div w:id="1956937388">
          <w:marLeft w:val="1166"/>
          <w:marRight w:val="0"/>
          <w:marTop w:val="67"/>
          <w:marBottom w:val="0"/>
          <w:divBdr>
            <w:top w:val="none" w:sz="0" w:space="0" w:color="auto"/>
            <w:left w:val="none" w:sz="0" w:space="0" w:color="auto"/>
            <w:bottom w:val="none" w:sz="0" w:space="0" w:color="auto"/>
            <w:right w:val="none" w:sz="0" w:space="0" w:color="auto"/>
          </w:divBdr>
        </w:div>
      </w:divsChild>
    </w:div>
    <w:div w:id="2071490535">
      <w:bodyDiv w:val="1"/>
      <w:marLeft w:val="0"/>
      <w:marRight w:val="0"/>
      <w:marTop w:val="0"/>
      <w:marBottom w:val="0"/>
      <w:divBdr>
        <w:top w:val="none" w:sz="0" w:space="0" w:color="auto"/>
        <w:left w:val="none" w:sz="0" w:space="0" w:color="auto"/>
        <w:bottom w:val="none" w:sz="0" w:space="0" w:color="auto"/>
        <w:right w:val="none" w:sz="0" w:space="0" w:color="auto"/>
      </w:divBdr>
      <w:divsChild>
        <w:div w:id="353769450">
          <w:marLeft w:val="547"/>
          <w:marRight w:val="0"/>
          <w:marTop w:val="154"/>
          <w:marBottom w:val="0"/>
          <w:divBdr>
            <w:top w:val="none" w:sz="0" w:space="0" w:color="auto"/>
            <w:left w:val="none" w:sz="0" w:space="0" w:color="auto"/>
            <w:bottom w:val="none" w:sz="0" w:space="0" w:color="auto"/>
            <w:right w:val="none" w:sz="0" w:space="0" w:color="auto"/>
          </w:divBdr>
        </w:div>
        <w:div w:id="1755277853">
          <w:marLeft w:val="1166"/>
          <w:marRight w:val="0"/>
          <w:marTop w:val="134"/>
          <w:marBottom w:val="0"/>
          <w:divBdr>
            <w:top w:val="none" w:sz="0" w:space="0" w:color="auto"/>
            <w:left w:val="none" w:sz="0" w:space="0" w:color="auto"/>
            <w:bottom w:val="none" w:sz="0" w:space="0" w:color="auto"/>
            <w:right w:val="none" w:sz="0" w:space="0" w:color="auto"/>
          </w:divBdr>
        </w:div>
      </w:divsChild>
    </w:div>
    <w:div w:id="2072465189">
      <w:bodyDiv w:val="1"/>
      <w:marLeft w:val="0"/>
      <w:marRight w:val="0"/>
      <w:marTop w:val="0"/>
      <w:marBottom w:val="0"/>
      <w:divBdr>
        <w:top w:val="none" w:sz="0" w:space="0" w:color="auto"/>
        <w:left w:val="none" w:sz="0" w:space="0" w:color="auto"/>
        <w:bottom w:val="none" w:sz="0" w:space="0" w:color="auto"/>
        <w:right w:val="none" w:sz="0" w:space="0" w:color="auto"/>
      </w:divBdr>
    </w:div>
    <w:div w:id="2072999409">
      <w:bodyDiv w:val="1"/>
      <w:marLeft w:val="0"/>
      <w:marRight w:val="0"/>
      <w:marTop w:val="0"/>
      <w:marBottom w:val="0"/>
      <w:divBdr>
        <w:top w:val="none" w:sz="0" w:space="0" w:color="auto"/>
        <w:left w:val="none" w:sz="0" w:space="0" w:color="auto"/>
        <w:bottom w:val="none" w:sz="0" w:space="0" w:color="auto"/>
        <w:right w:val="none" w:sz="0" w:space="0" w:color="auto"/>
      </w:divBdr>
    </w:div>
    <w:div w:id="2073040567">
      <w:bodyDiv w:val="1"/>
      <w:marLeft w:val="0"/>
      <w:marRight w:val="0"/>
      <w:marTop w:val="0"/>
      <w:marBottom w:val="0"/>
      <w:divBdr>
        <w:top w:val="none" w:sz="0" w:space="0" w:color="auto"/>
        <w:left w:val="none" w:sz="0" w:space="0" w:color="auto"/>
        <w:bottom w:val="none" w:sz="0" w:space="0" w:color="auto"/>
        <w:right w:val="none" w:sz="0" w:space="0" w:color="auto"/>
      </w:divBdr>
    </w:div>
    <w:div w:id="2073115779">
      <w:bodyDiv w:val="1"/>
      <w:marLeft w:val="0"/>
      <w:marRight w:val="0"/>
      <w:marTop w:val="0"/>
      <w:marBottom w:val="0"/>
      <w:divBdr>
        <w:top w:val="none" w:sz="0" w:space="0" w:color="auto"/>
        <w:left w:val="none" w:sz="0" w:space="0" w:color="auto"/>
        <w:bottom w:val="none" w:sz="0" w:space="0" w:color="auto"/>
        <w:right w:val="none" w:sz="0" w:space="0" w:color="auto"/>
      </w:divBdr>
      <w:divsChild>
        <w:div w:id="556405040">
          <w:marLeft w:val="1080"/>
          <w:marRight w:val="0"/>
          <w:marTop w:val="100"/>
          <w:marBottom w:val="0"/>
          <w:divBdr>
            <w:top w:val="none" w:sz="0" w:space="0" w:color="auto"/>
            <w:left w:val="none" w:sz="0" w:space="0" w:color="auto"/>
            <w:bottom w:val="none" w:sz="0" w:space="0" w:color="auto"/>
            <w:right w:val="none" w:sz="0" w:space="0" w:color="auto"/>
          </w:divBdr>
        </w:div>
        <w:div w:id="2002192950">
          <w:marLeft w:val="360"/>
          <w:marRight w:val="0"/>
          <w:marTop w:val="200"/>
          <w:marBottom w:val="0"/>
          <w:divBdr>
            <w:top w:val="none" w:sz="0" w:space="0" w:color="auto"/>
            <w:left w:val="none" w:sz="0" w:space="0" w:color="auto"/>
            <w:bottom w:val="none" w:sz="0" w:space="0" w:color="auto"/>
            <w:right w:val="none" w:sz="0" w:space="0" w:color="auto"/>
          </w:divBdr>
        </w:div>
      </w:divsChild>
    </w:div>
    <w:div w:id="2073459997">
      <w:bodyDiv w:val="1"/>
      <w:marLeft w:val="0"/>
      <w:marRight w:val="0"/>
      <w:marTop w:val="0"/>
      <w:marBottom w:val="0"/>
      <w:divBdr>
        <w:top w:val="none" w:sz="0" w:space="0" w:color="auto"/>
        <w:left w:val="none" w:sz="0" w:space="0" w:color="auto"/>
        <w:bottom w:val="none" w:sz="0" w:space="0" w:color="auto"/>
        <w:right w:val="none" w:sz="0" w:space="0" w:color="auto"/>
      </w:divBdr>
      <w:divsChild>
        <w:div w:id="189297215">
          <w:marLeft w:val="1800"/>
          <w:marRight w:val="0"/>
          <w:marTop w:val="62"/>
          <w:marBottom w:val="0"/>
          <w:divBdr>
            <w:top w:val="none" w:sz="0" w:space="0" w:color="auto"/>
            <w:left w:val="none" w:sz="0" w:space="0" w:color="auto"/>
            <w:bottom w:val="none" w:sz="0" w:space="0" w:color="auto"/>
            <w:right w:val="none" w:sz="0" w:space="0" w:color="auto"/>
          </w:divBdr>
        </w:div>
        <w:div w:id="267587387">
          <w:marLeft w:val="547"/>
          <w:marRight w:val="0"/>
          <w:marTop w:val="91"/>
          <w:marBottom w:val="0"/>
          <w:divBdr>
            <w:top w:val="none" w:sz="0" w:space="0" w:color="auto"/>
            <w:left w:val="none" w:sz="0" w:space="0" w:color="auto"/>
            <w:bottom w:val="none" w:sz="0" w:space="0" w:color="auto"/>
            <w:right w:val="none" w:sz="0" w:space="0" w:color="auto"/>
          </w:divBdr>
        </w:div>
        <w:div w:id="401489477">
          <w:marLeft w:val="1166"/>
          <w:marRight w:val="0"/>
          <w:marTop w:val="82"/>
          <w:marBottom w:val="0"/>
          <w:divBdr>
            <w:top w:val="none" w:sz="0" w:space="0" w:color="auto"/>
            <w:left w:val="none" w:sz="0" w:space="0" w:color="auto"/>
            <w:bottom w:val="none" w:sz="0" w:space="0" w:color="auto"/>
            <w:right w:val="none" w:sz="0" w:space="0" w:color="auto"/>
          </w:divBdr>
        </w:div>
        <w:div w:id="501698107">
          <w:marLeft w:val="1166"/>
          <w:marRight w:val="0"/>
          <w:marTop w:val="82"/>
          <w:marBottom w:val="0"/>
          <w:divBdr>
            <w:top w:val="none" w:sz="0" w:space="0" w:color="auto"/>
            <w:left w:val="none" w:sz="0" w:space="0" w:color="auto"/>
            <w:bottom w:val="none" w:sz="0" w:space="0" w:color="auto"/>
            <w:right w:val="none" w:sz="0" w:space="0" w:color="auto"/>
          </w:divBdr>
        </w:div>
        <w:div w:id="550508153">
          <w:marLeft w:val="1166"/>
          <w:marRight w:val="0"/>
          <w:marTop w:val="82"/>
          <w:marBottom w:val="0"/>
          <w:divBdr>
            <w:top w:val="none" w:sz="0" w:space="0" w:color="auto"/>
            <w:left w:val="none" w:sz="0" w:space="0" w:color="auto"/>
            <w:bottom w:val="none" w:sz="0" w:space="0" w:color="auto"/>
            <w:right w:val="none" w:sz="0" w:space="0" w:color="auto"/>
          </w:divBdr>
        </w:div>
        <w:div w:id="780995314">
          <w:marLeft w:val="1166"/>
          <w:marRight w:val="0"/>
          <w:marTop w:val="82"/>
          <w:marBottom w:val="0"/>
          <w:divBdr>
            <w:top w:val="none" w:sz="0" w:space="0" w:color="auto"/>
            <w:left w:val="none" w:sz="0" w:space="0" w:color="auto"/>
            <w:bottom w:val="none" w:sz="0" w:space="0" w:color="auto"/>
            <w:right w:val="none" w:sz="0" w:space="0" w:color="auto"/>
          </w:divBdr>
        </w:div>
        <w:div w:id="946161491">
          <w:marLeft w:val="1166"/>
          <w:marRight w:val="0"/>
          <w:marTop w:val="82"/>
          <w:marBottom w:val="0"/>
          <w:divBdr>
            <w:top w:val="none" w:sz="0" w:space="0" w:color="auto"/>
            <w:left w:val="none" w:sz="0" w:space="0" w:color="auto"/>
            <w:bottom w:val="none" w:sz="0" w:space="0" w:color="auto"/>
            <w:right w:val="none" w:sz="0" w:space="0" w:color="auto"/>
          </w:divBdr>
        </w:div>
        <w:div w:id="1115952197">
          <w:marLeft w:val="547"/>
          <w:marRight w:val="0"/>
          <w:marTop w:val="91"/>
          <w:marBottom w:val="0"/>
          <w:divBdr>
            <w:top w:val="none" w:sz="0" w:space="0" w:color="auto"/>
            <w:left w:val="none" w:sz="0" w:space="0" w:color="auto"/>
            <w:bottom w:val="none" w:sz="0" w:space="0" w:color="auto"/>
            <w:right w:val="none" w:sz="0" w:space="0" w:color="auto"/>
          </w:divBdr>
        </w:div>
        <w:div w:id="1639873862">
          <w:marLeft w:val="1800"/>
          <w:marRight w:val="0"/>
          <w:marTop w:val="62"/>
          <w:marBottom w:val="0"/>
          <w:divBdr>
            <w:top w:val="none" w:sz="0" w:space="0" w:color="auto"/>
            <w:left w:val="none" w:sz="0" w:space="0" w:color="auto"/>
            <w:bottom w:val="none" w:sz="0" w:space="0" w:color="auto"/>
            <w:right w:val="none" w:sz="0" w:space="0" w:color="auto"/>
          </w:divBdr>
        </w:div>
        <w:div w:id="1821382718">
          <w:marLeft w:val="1166"/>
          <w:marRight w:val="0"/>
          <w:marTop w:val="82"/>
          <w:marBottom w:val="0"/>
          <w:divBdr>
            <w:top w:val="none" w:sz="0" w:space="0" w:color="auto"/>
            <w:left w:val="none" w:sz="0" w:space="0" w:color="auto"/>
            <w:bottom w:val="none" w:sz="0" w:space="0" w:color="auto"/>
            <w:right w:val="none" w:sz="0" w:space="0" w:color="auto"/>
          </w:divBdr>
        </w:div>
        <w:div w:id="2080516599">
          <w:marLeft w:val="1166"/>
          <w:marRight w:val="0"/>
          <w:marTop w:val="82"/>
          <w:marBottom w:val="0"/>
          <w:divBdr>
            <w:top w:val="none" w:sz="0" w:space="0" w:color="auto"/>
            <w:left w:val="none" w:sz="0" w:space="0" w:color="auto"/>
            <w:bottom w:val="none" w:sz="0" w:space="0" w:color="auto"/>
            <w:right w:val="none" w:sz="0" w:space="0" w:color="auto"/>
          </w:divBdr>
        </w:div>
      </w:divsChild>
    </w:div>
    <w:div w:id="2073499107">
      <w:bodyDiv w:val="1"/>
      <w:marLeft w:val="0"/>
      <w:marRight w:val="0"/>
      <w:marTop w:val="0"/>
      <w:marBottom w:val="0"/>
      <w:divBdr>
        <w:top w:val="none" w:sz="0" w:space="0" w:color="auto"/>
        <w:left w:val="none" w:sz="0" w:space="0" w:color="auto"/>
        <w:bottom w:val="none" w:sz="0" w:space="0" w:color="auto"/>
        <w:right w:val="none" w:sz="0" w:space="0" w:color="auto"/>
      </w:divBdr>
    </w:div>
    <w:div w:id="2074155851">
      <w:bodyDiv w:val="1"/>
      <w:marLeft w:val="0"/>
      <w:marRight w:val="0"/>
      <w:marTop w:val="0"/>
      <w:marBottom w:val="0"/>
      <w:divBdr>
        <w:top w:val="none" w:sz="0" w:space="0" w:color="auto"/>
        <w:left w:val="none" w:sz="0" w:space="0" w:color="auto"/>
        <w:bottom w:val="none" w:sz="0" w:space="0" w:color="auto"/>
        <w:right w:val="none" w:sz="0" w:space="0" w:color="auto"/>
      </w:divBdr>
    </w:div>
    <w:div w:id="2074355846">
      <w:bodyDiv w:val="1"/>
      <w:marLeft w:val="0"/>
      <w:marRight w:val="0"/>
      <w:marTop w:val="0"/>
      <w:marBottom w:val="0"/>
      <w:divBdr>
        <w:top w:val="none" w:sz="0" w:space="0" w:color="auto"/>
        <w:left w:val="none" w:sz="0" w:space="0" w:color="auto"/>
        <w:bottom w:val="none" w:sz="0" w:space="0" w:color="auto"/>
        <w:right w:val="none" w:sz="0" w:space="0" w:color="auto"/>
      </w:divBdr>
      <w:divsChild>
        <w:div w:id="1420057423">
          <w:marLeft w:val="547"/>
          <w:marRight w:val="0"/>
          <w:marTop w:val="154"/>
          <w:marBottom w:val="0"/>
          <w:divBdr>
            <w:top w:val="none" w:sz="0" w:space="0" w:color="auto"/>
            <w:left w:val="none" w:sz="0" w:space="0" w:color="auto"/>
            <w:bottom w:val="none" w:sz="0" w:space="0" w:color="auto"/>
            <w:right w:val="none" w:sz="0" w:space="0" w:color="auto"/>
          </w:divBdr>
        </w:div>
      </w:divsChild>
    </w:div>
    <w:div w:id="2074617330">
      <w:bodyDiv w:val="1"/>
      <w:marLeft w:val="0"/>
      <w:marRight w:val="0"/>
      <w:marTop w:val="0"/>
      <w:marBottom w:val="0"/>
      <w:divBdr>
        <w:top w:val="none" w:sz="0" w:space="0" w:color="auto"/>
        <w:left w:val="none" w:sz="0" w:space="0" w:color="auto"/>
        <w:bottom w:val="none" w:sz="0" w:space="0" w:color="auto"/>
        <w:right w:val="none" w:sz="0" w:space="0" w:color="auto"/>
      </w:divBdr>
      <w:divsChild>
        <w:div w:id="45420361">
          <w:marLeft w:val="547"/>
          <w:marRight w:val="0"/>
          <w:marTop w:val="96"/>
          <w:marBottom w:val="0"/>
          <w:divBdr>
            <w:top w:val="none" w:sz="0" w:space="0" w:color="auto"/>
            <w:left w:val="none" w:sz="0" w:space="0" w:color="auto"/>
            <w:bottom w:val="none" w:sz="0" w:space="0" w:color="auto"/>
            <w:right w:val="none" w:sz="0" w:space="0" w:color="auto"/>
          </w:divBdr>
        </w:div>
      </w:divsChild>
    </w:div>
    <w:div w:id="2075425199">
      <w:bodyDiv w:val="1"/>
      <w:marLeft w:val="0"/>
      <w:marRight w:val="0"/>
      <w:marTop w:val="0"/>
      <w:marBottom w:val="0"/>
      <w:divBdr>
        <w:top w:val="none" w:sz="0" w:space="0" w:color="auto"/>
        <w:left w:val="none" w:sz="0" w:space="0" w:color="auto"/>
        <w:bottom w:val="none" w:sz="0" w:space="0" w:color="auto"/>
        <w:right w:val="none" w:sz="0" w:space="0" w:color="auto"/>
      </w:divBdr>
      <w:divsChild>
        <w:div w:id="3679593">
          <w:marLeft w:val="1800"/>
          <w:marRight w:val="0"/>
          <w:marTop w:val="96"/>
          <w:marBottom w:val="0"/>
          <w:divBdr>
            <w:top w:val="none" w:sz="0" w:space="0" w:color="auto"/>
            <w:left w:val="none" w:sz="0" w:space="0" w:color="auto"/>
            <w:bottom w:val="none" w:sz="0" w:space="0" w:color="auto"/>
            <w:right w:val="none" w:sz="0" w:space="0" w:color="auto"/>
          </w:divBdr>
        </w:div>
        <w:div w:id="43986685">
          <w:marLeft w:val="2520"/>
          <w:marRight w:val="0"/>
          <w:marTop w:val="96"/>
          <w:marBottom w:val="0"/>
          <w:divBdr>
            <w:top w:val="none" w:sz="0" w:space="0" w:color="auto"/>
            <w:left w:val="none" w:sz="0" w:space="0" w:color="auto"/>
            <w:bottom w:val="none" w:sz="0" w:space="0" w:color="auto"/>
            <w:right w:val="none" w:sz="0" w:space="0" w:color="auto"/>
          </w:divBdr>
        </w:div>
        <w:div w:id="793327855">
          <w:marLeft w:val="547"/>
          <w:marRight w:val="0"/>
          <w:marTop w:val="134"/>
          <w:marBottom w:val="0"/>
          <w:divBdr>
            <w:top w:val="none" w:sz="0" w:space="0" w:color="auto"/>
            <w:left w:val="none" w:sz="0" w:space="0" w:color="auto"/>
            <w:bottom w:val="none" w:sz="0" w:space="0" w:color="auto"/>
            <w:right w:val="none" w:sz="0" w:space="0" w:color="auto"/>
          </w:divBdr>
        </w:div>
        <w:div w:id="910232710">
          <w:marLeft w:val="1800"/>
          <w:marRight w:val="0"/>
          <w:marTop w:val="96"/>
          <w:marBottom w:val="0"/>
          <w:divBdr>
            <w:top w:val="none" w:sz="0" w:space="0" w:color="auto"/>
            <w:left w:val="none" w:sz="0" w:space="0" w:color="auto"/>
            <w:bottom w:val="none" w:sz="0" w:space="0" w:color="auto"/>
            <w:right w:val="none" w:sz="0" w:space="0" w:color="auto"/>
          </w:divBdr>
        </w:div>
        <w:div w:id="1028987267">
          <w:marLeft w:val="1166"/>
          <w:marRight w:val="0"/>
          <w:marTop w:val="115"/>
          <w:marBottom w:val="0"/>
          <w:divBdr>
            <w:top w:val="none" w:sz="0" w:space="0" w:color="auto"/>
            <w:left w:val="none" w:sz="0" w:space="0" w:color="auto"/>
            <w:bottom w:val="none" w:sz="0" w:space="0" w:color="auto"/>
            <w:right w:val="none" w:sz="0" w:space="0" w:color="auto"/>
          </w:divBdr>
        </w:div>
        <w:div w:id="1170412279">
          <w:marLeft w:val="2520"/>
          <w:marRight w:val="0"/>
          <w:marTop w:val="96"/>
          <w:marBottom w:val="0"/>
          <w:divBdr>
            <w:top w:val="none" w:sz="0" w:space="0" w:color="auto"/>
            <w:left w:val="none" w:sz="0" w:space="0" w:color="auto"/>
            <w:bottom w:val="none" w:sz="0" w:space="0" w:color="auto"/>
            <w:right w:val="none" w:sz="0" w:space="0" w:color="auto"/>
          </w:divBdr>
        </w:div>
        <w:div w:id="1213807826">
          <w:marLeft w:val="1800"/>
          <w:marRight w:val="0"/>
          <w:marTop w:val="96"/>
          <w:marBottom w:val="0"/>
          <w:divBdr>
            <w:top w:val="none" w:sz="0" w:space="0" w:color="auto"/>
            <w:left w:val="none" w:sz="0" w:space="0" w:color="auto"/>
            <w:bottom w:val="none" w:sz="0" w:space="0" w:color="auto"/>
            <w:right w:val="none" w:sz="0" w:space="0" w:color="auto"/>
          </w:divBdr>
        </w:div>
        <w:div w:id="1777364643">
          <w:marLeft w:val="2520"/>
          <w:marRight w:val="0"/>
          <w:marTop w:val="96"/>
          <w:marBottom w:val="0"/>
          <w:divBdr>
            <w:top w:val="none" w:sz="0" w:space="0" w:color="auto"/>
            <w:left w:val="none" w:sz="0" w:space="0" w:color="auto"/>
            <w:bottom w:val="none" w:sz="0" w:space="0" w:color="auto"/>
            <w:right w:val="none" w:sz="0" w:space="0" w:color="auto"/>
          </w:divBdr>
        </w:div>
      </w:divsChild>
    </w:div>
    <w:div w:id="2075546081">
      <w:bodyDiv w:val="1"/>
      <w:marLeft w:val="0"/>
      <w:marRight w:val="0"/>
      <w:marTop w:val="0"/>
      <w:marBottom w:val="0"/>
      <w:divBdr>
        <w:top w:val="none" w:sz="0" w:space="0" w:color="auto"/>
        <w:left w:val="none" w:sz="0" w:space="0" w:color="auto"/>
        <w:bottom w:val="none" w:sz="0" w:space="0" w:color="auto"/>
        <w:right w:val="none" w:sz="0" w:space="0" w:color="auto"/>
      </w:divBdr>
    </w:div>
    <w:div w:id="2075622015">
      <w:bodyDiv w:val="1"/>
      <w:marLeft w:val="0"/>
      <w:marRight w:val="0"/>
      <w:marTop w:val="0"/>
      <w:marBottom w:val="0"/>
      <w:divBdr>
        <w:top w:val="none" w:sz="0" w:space="0" w:color="auto"/>
        <w:left w:val="none" w:sz="0" w:space="0" w:color="auto"/>
        <w:bottom w:val="none" w:sz="0" w:space="0" w:color="auto"/>
        <w:right w:val="none" w:sz="0" w:space="0" w:color="auto"/>
      </w:divBdr>
      <w:divsChild>
        <w:div w:id="311567389">
          <w:marLeft w:val="0"/>
          <w:marRight w:val="0"/>
          <w:marTop w:val="0"/>
          <w:marBottom w:val="0"/>
          <w:divBdr>
            <w:top w:val="none" w:sz="0" w:space="0" w:color="auto"/>
            <w:left w:val="none" w:sz="0" w:space="0" w:color="auto"/>
            <w:bottom w:val="none" w:sz="0" w:space="0" w:color="auto"/>
            <w:right w:val="none" w:sz="0" w:space="0" w:color="auto"/>
          </w:divBdr>
          <w:divsChild>
            <w:div w:id="30499848">
              <w:marLeft w:val="0"/>
              <w:marRight w:val="0"/>
              <w:marTop w:val="0"/>
              <w:marBottom w:val="0"/>
              <w:divBdr>
                <w:top w:val="none" w:sz="0" w:space="0" w:color="auto"/>
                <w:left w:val="none" w:sz="0" w:space="0" w:color="auto"/>
                <w:bottom w:val="none" w:sz="0" w:space="0" w:color="auto"/>
                <w:right w:val="none" w:sz="0" w:space="0" w:color="auto"/>
              </w:divBdr>
            </w:div>
            <w:div w:id="92744184">
              <w:marLeft w:val="0"/>
              <w:marRight w:val="0"/>
              <w:marTop w:val="0"/>
              <w:marBottom w:val="0"/>
              <w:divBdr>
                <w:top w:val="none" w:sz="0" w:space="0" w:color="auto"/>
                <w:left w:val="none" w:sz="0" w:space="0" w:color="auto"/>
                <w:bottom w:val="none" w:sz="0" w:space="0" w:color="auto"/>
                <w:right w:val="none" w:sz="0" w:space="0" w:color="auto"/>
              </w:divBdr>
            </w:div>
            <w:div w:id="131486035">
              <w:marLeft w:val="0"/>
              <w:marRight w:val="0"/>
              <w:marTop w:val="0"/>
              <w:marBottom w:val="0"/>
              <w:divBdr>
                <w:top w:val="none" w:sz="0" w:space="0" w:color="auto"/>
                <w:left w:val="none" w:sz="0" w:space="0" w:color="auto"/>
                <w:bottom w:val="none" w:sz="0" w:space="0" w:color="auto"/>
                <w:right w:val="none" w:sz="0" w:space="0" w:color="auto"/>
              </w:divBdr>
            </w:div>
            <w:div w:id="133986437">
              <w:marLeft w:val="0"/>
              <w:marRight w:val="0"/>
              <w:marTop w:val="0"/>
              <w:marBottom w:val="0"/>
              <w:divBdr>
                <w:top w:val="none" w:sz="0" w:space="0" w:color="auto"/>
                <w:left w:val="none" w:sz="0" w:space="0" w:color="auto"/>
                <w:bottom w:val="none" w:sz="0" w:space="0" w:color="auto"/>
                <w:right w:val="none" w:sz="0" w:space="0" w:color="auto"/>
              </w:divBdr>
            </w:div>
            <w:div w:id="163784576">
              <w:marLeft w:val="0"/>
              <w:marRight w:val="0"/>
              <w:marTop w:val="0"/>
              <w:marBottom w:val="0"/>
              <w:divBdr>
                <w:top w:val="none" w:sz="0" w:space="0" w:color="auto"/>
                <w:left w:val="none" w:sz="0" w:space="0" w:color="auto"/>
                <w:bottom w:val="none" w:sz="0" w:space="0" w:color="auto"/>
                <w:right w:val="none" w:sz="0" w:space="0" w:color="auto"/>
              </w:divBdr>
            </w:div>
            <w:div w:id="402409196">
              <w:marLeft w:val="0"/>
              <w:marRight w:val="0"/>
              <w:marTop w:val="0"/>
              <w:marBottom w:val="0"/>
              <w:divBdr>
                <w:top w:val="none" w:sz="0" w:space="0" w:color="auto"/>
                <w:left w:val="none" w:sz="0" w:space="0" w:color="auto"/>
                <w:bottom w:val="none" w:sz="0" w:space="0" w:color="auto"/>
                <w:right w:val="none" w:sz="0" w:space="0" w:color="auto"/>
              </w:divBdr>
            </w:div>
            <w:div w:id="433749087">
              <w:marLeft w:val="0"/>
              <w:marRight w:val="0"/>
              <w:marTop w:val="0"/>
              <w:marBottom w:val="0"/>
              <w:divBdr>
                <w:top w:val="none" w:sz="0" w:space="0" w:color="auto"/>
                <w:left w:val="none" w:sz="0" w:space="0" w:color="auto"/>
                <w:bottom w:val="none" w:sz="0" w:space="0" w:color="auto"/>
                <w:right w:val="none" w:sz="0" w:space="0" w:color="auto"/>
              </w:divBdr>
            </w:div>
            <w:div w:id="435367072">
              <w:marLeft w:val="0"/>
              <w:marRight w:val="0"/>
              <w:marTop w:val="0"/>
              <w:marBottom w:val="0"/>
              <w:divBdr>
                <w:top w:val="none" w:sz="0" w:space="0" w:color="auto"/>
                <w:left w:val="none" w:sz="0" w:space="0" w:color="auto"/>
                <w:bottom w:val="none" w:sz="0" w:space="0" w:color="auto"/>
                <w:right w:val="none" w:sz="0" w:space="0" w:color="auto"/>
              </w:divBdr>
            </w:div>
            <w:div w:id="565190098">
              <w:marLeft w:val="0"/>
              <w:marRight w:val="0"/>
              <w:marTop w:val="0"/>
              <w:marBottom w:val="0"/>
              <w:divBdr>
                <w:top w:val="none" w:sz="0" w:space="0" w:color="auto"/>
                <w:left w:val="none" w:sz="0" w:space="0" w:color="auto"/>
                <w:bottom w:val="none" w:sz="0" w:space="0" w:color="auto"/>
                <w:right w:val="none" w:sz="0" w:space="0" w:color="auto"/>
              </w:divBdr>
            </w:div>
            <w:div w:id="674765505">
              <w:marLeft w:val="0"/>
              <w:marRight w:val="0"/>
              <w:marTop w:val="0"/>
              <w:marBottom w:val="0"/>
              <w:divBdr>
                <w:top w:val="none" w:sz="0" w:space="0" w:color="auto"/>
                <w:left w:val="none" w:sz="0" w:space="0" w:color="auto"/>
                <w:bottom w:val="none" w:sz="0" w:space="0" w:color="auto"/>
                <w:right w:val="none" w:sz="0" w:space="0" w:color="auto"/>
              </w:divBdr>
            </w:div>
            <w:div w:id="1026834537">
              <w:marLeft w:val="0"/>
              <w:marRight w:val="0"/>
              <w:marTop w:val="0"/>
              <w:marBottom w:val="0"/>
              <w:divBdr>
                <w:top w:val="none" w:sz="0" w:space="0" w:color="auto"/>
                <w:left w:val="none" w:sz="0" w:space="0" w:color="auto"/>
                <w:bottom w:val="none" w:sz="0" w:space="0" w:color="auto"/>
                <w:right w:val="none" w:sz="0" w:space="0" w:color="auto"/>
              </w:divBdr>
            </w:div>
            <w:div w:id="1199204089">
              <w:marLeft w:val="0"/>
              <w:marRight w:val="0"/>
              <w:marTop w:val="0"/>
              <w:marBottom w:val="0"/>
              <w:divBdr>
                <w:top w:val="none" w:sz="0" w:space="0" w:color="auto"/>
                <w:left w:val="none" w:sz="0" w:space="0" w:color="auto"/>
                <w:bottom w:val="none" w:sz="0" w:space="0" w:color="auto"/>
                <w:right w:val="none" w:sz="0" w:space="0" w:color="auto"/>
              </w:divBdr>
            </w:div>
            <w:div w:id="1516268562">
              <w:marLeft w:val="0"/>
              <w:marRight w:val="0"/>
              <w:marTop w:val="0"/>
              <w:marBottom w:val="0"/>
              <w:divBdr>
                <w:top w:val="none" w:sz="0" w:space="0" w:color="auto"/>
                <w:left w:val="none" w:sz="0" w:space="0" w:color="auto"/>
                <w:bottom w:val="none" w:sz="0" w:space="0" w:color="auto"/>
                <w:right w:val="none" w:sz="0" w:space="0" w:color="auto"/>
              </w:divBdr>
            </w:div>
            <w:div w:id="1847862318">
              <w:marLeft w:val="0"/>
              <w:marRight w:val="0"/>
              <w:marTop w:val="0"/>
              <w:marBottom w:val="0"/>
              <w:divBdr>
                <w:top w:val="none" w:sz="0" w:space="0" w:color="auto"/>
                <w:left w:val="none" w:sz="0" w:space="0" w:color="auto"/>
                <w:bottom w:val="none" w:sz="0" w:space="0" w:color="auto"/>
                <w:right w:val="none" w:sz="0" w:space="0" w:color="auto"/>
              </w:divBdr>
            </w:div>
            <w:div w:id="2044666694">
              <w:marLeft w:val="0"/>
              <w:marRight w:val="0"/>
              <w:marTop w:val="0"/>
              <w:marBottom w:val="0"/>
              <w:divBdr>
                <w:top w:val="none" w:sz="0" w:space="0" w:color="auto"/>
                <w:left w:val="none" w:sz="0" w:space="0" w:color="auto"/>
                <w:bottom w:val="none" w:sz="0" w:space="0" w:color="auto"/>
                <w:right w:val="none" w:sz="0" w:space="0" w:color="auto"/>
              </w:divBdr>
            </w:div>
            <w:div w:id="21235688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75926094">
      <w:bodyDiv w:val="1"/>
      <w:marLeft w:val="0"/>
      <w:marRight w:val="0"/>
      <w:marTop w:val="0"/>
      <w:marBottom w:val="0"/>
      <w:divBdr>
        <w:top w:val="none" w:sz="0" w:space="0" w:color="auto"/>
        <w:left w:val="none" w:sz="0" w:space="0" w:color="auto"/>
        <w:bottom w:val="none" w:sz="0" w:space="0" w:color="auto"/>
        <w:right w:val="none" w:sz="0" w:space="0" w:color="auto"/>
      </w:divBdr>
    </w:div>
    <w:div w:id="2076469608">
      <w:bodyDiv w:val="1"/>
      <w:marLeft w:val="0"/>
      <w:marRight w:val="0"/>
      <w:marTop w:val="0"/>
      <w:marBottom w:val="0"/>
      <w:divBdr>
        <w:top w:val="none" w:sz="0" w:space="0" w:color="auto"/>
        <w:left w:val="none" w:sz="0" w:space="0" w:color="auto"/>
        <w:bottom w:val="none" w:sz="0" w:space="0" w:color="auto"/>
        <w:right w:val="none" w:sz="0" w:space="0" w:color="auto"/>
      </w:divBdr>
    </w:div>
    <w:div w:id="2077777833">
      <w:bodyDiv w:val="1"/>
      <w:marLeft w:val="0"/>
      <w:marRight w:val="0"/>
      <w:marTop w:val="0"/>
      <w:marBottom w:val="0"/>
      <w:divBdr>
        <w:top w:val="none" w:sz="0" w:space="0" w:color="auto"/>
        <w:left w:val="none" w:sz="0" w:space="0" w:color="auto"/>
        <w:bottom w:val="none" w:sz="0" w:space="0" w:color="auto"/>
        <w:right w:val="none" w:sz="0" w:space="0" w:color="auto"/>
      </w:divBdr>
    </w:div>
    <w:div w:id="2077893639">
      <w:bodyDiv w:val="1"/>
      <w:marLeft w:val="0"/>
      <w:marRight w:val="0"/>
      <w:marTop w:val="0"/>
      <w:marBottom w:val="0"/>
      <w:divBdr>
        <w:top w:val="none" w:sz="0" w:space="0" w:color="auto"/>
        <w:left w:val="none" w:sz="0" w:space="0" w:color="auto"/>
        <w:bottom w:val="none" w:sz="0" w:space="0" w:color="auto"/>
        <w:right w:val="none" w:sz="0" w:space="0" w:color="auto"/>
      </w:divBdr>
    </w:div>
    <w:div w:id="2078015663">
      <w:bodyDiv w:val="1"/>
      <w:marLeft w:val="0"/>
      <w:marRight w:val="0"/>
      <w:marTop w:val="0"/>
      <w:marBottom w:val="0"/>
      <w:divBdr>
        <w:top w:val="none" w:sz="0" w:space="0" w:color="auto"/>
        <w:left w:val="none" w:sz="0" w:space="0" w:color="auto"/>
        <w:bottom w:val="none" w:sz="0" w:space="0" w:color="auto"/>
        <w:right w:val="none" w:sz="0" w:space="0" w:color="auto"/>
      </w:divBdr>
      <w:divsChild>
        <w:div w:id="524637190">
          <w:marLeft w:val="547"/>
          <w:marRight w:val="0"/>
          <w:marTop w:val="154"/>
          <w:marBottom w:val="0"/>
          <w:divBdr>
            <w:top w:val="none" w:sz="0" w:space="0" w:color="auto"/>
            <w:left w:val="none" w:sz="0" w:space="0" w:color="auto"/>
            <w:bottom w:val="none" w:sz="0" w:space="0" w:color="auto"/>
            <w:right w:val="none" w:sz="0" w:space="0" w:color="auto"/>
          </w:divBdr>
        </w:div>
        <w:div w:id="1540052274">
          <w:marLeft w:val="1166"/>
          <w:marRight w:val="0"/>
          <w:marTop w:val="134"/>
          <w:marBottom w:val="0"/>
          <w:divBdr>
            <w:top w:val="none" w:sz="0" w:space="0" w:color="auto"/>
            <w:left w:val="none" w:sz="0" w:space="0" w:color="auto"/>
            <w:bottom w:val="none" w:sz="0" w:space="0" w:color="auto"/>
            <w:right w:val="none" w:sz="0" w:space="0" w:color="auto"/>
          </w:divBdr>
        </w:div>
      </w:divsChild>
    </w:div>
    <w:div w:id="2078086829">
      <w:bodyDiv w:val="1"/>
      <w:marLeft w:val="0"/>
      <w:marRight w:val="0"/>
      <w:marTop w:val="0"/>
      <w:marBottom w:val="0"/>
      <w:divBdr>
        <w:top w:val="none" w:sz="0" w:space="0" w:color="auto"/>
        <w:left w:val="none" w:sz="0" w:space="0" w:color="auto"/>
        <w:bottom w:val="none" w:sz="0" w:space="0" w:color="auto"/>
        <w:right w:val="none" w:sz="0" w:space="0" w:color="auto"/>
      </w:divBdr>
    </w:div>
    <w:div w:id="2078624618">
      <w:bodyDiv w:val="1"/>
      <w:marLeft w:val="0"/>
      <w:marRight w:val="0"/>
      <w:marTop w:val="0"/>
      <w:marBottom w:val="0"/>
      <w:divBdr>
        <w:top w:val="none" w:sz="0" w:space="0" w:color="auto"/>
        <w:left w:val="none" w:sz="0" w:space="0" w:color="auto"/>
        <w:bottom w:val="none" w:sz="0" w:space="0" w:color="auto"/>
        <w:right w:val="none" w:sz="0" w:space="0" w:color="auto"/>
      </w:divBdr>
    </w:div>
    <w:div w:id="2078672016">
      <w:bodyDiv w:val="1"/>
      <w:marLeft w:val="0"/>
      <w:marRight w:val="0"/>
      <w:marTop w:val="0"/>
      <w:marBottom w:val="0"/>
      <w:divBdr>
        <w:top w:val="none" w:sz="0" w:space="0" w:color="auto"/>
        <w:left w:val="none" w:sz="0" w:space="0" w:color="auto"/>
        <w:bottom w:val="none" w:sz="0" w:space="0" w:color="auto"/>
        <w:right w:val="none" w:sz="0" w:space="0" w:color="auto"/>
      </w:divBdr>
    </w:div>
    <w:div w:id="2078700942">
      <w:bodyDiv w:val="1"/>
      <w:marLeft w:val="0"/>
      <w:marRight w:val="0"/>
      <w:marTop w:val="0"/>
      <w:marBottom w:val="0"/>
      <w:divBdr>
        <w:top w:val="none" w:sz="0" w:space="0" w:color="auto"/>
        <w:left w:val="none" w:sz="0" w:space="0" w:color="auto"/>
        <w:bottom w:val="none" w:sz="0" w:space="0" w:color="auto"/>
        <w:right w:val="none" w:sz="0" w:space="0" w:color="auto"/>
      </w:divBdr>
    </w:div>
    <w:div w:id="2079477547">
      <w:bodyDiv w:val="1"/>
      <w:marLeft w:val="0"/>
      <w:marRight w:val="0"/>
      <w:marTop w:val="0"/>
      <w:marBottom w:val="0"/>
      <w:divBdr>
        <w:top w:val="none" w:sz="0" w:space="0" w:color="auto"/>
        <w:left w:val="none" w:sz="0" w:space="0" w:color="auto"/>
        <w:bottom w:val="none" w:sz="0" w:space="0" w:color="auto"/>
        <w:right w:val="none" w:sz="0" w:space="0" w:color="auto"/>
      </w:divBdr>
    </w:div>
    <w:div w:id="2080982772">
      <w:bodyDiv w:val="1"/>
      <w:marLeft w:val="0"/>
      <w:marRight w:val="0"/>
      <w:marTop w:val="0"/>
      <w:marBottom w:val="0"/>
      <w:divBdr>
        <w:top w:val="none" w:sz="0" w:space="0" w:color="auto"/>
        <w:left w:val="none" w:sz="0" w:space="0" w:color="auto"/>
        <w:bottom w:val="none" w:sz="0" w:space="0" w:color="auto"/>
        <w:right w:val="none" w:sz="0" w:space="0" w:color="auto"/>
      </w:divBdr>
    </w:div>
    <w:div w:id="2081050563">
      <w:bodyDiv w:val="1"/>
      <w:marLeft w:val="0"/>
      <w:marRight w:val="0"/>
      <w:marTop w:val="0"/>
      <w:marBottom w:val="0"/>
      <w:divBdr>
        <w:top w:val="none" w:sz="0" w:space="0" w:color="auto"/>
        <w:left w:val="none" w:sz="0" w:space="0" w:color="auto"/>
        <w:bottom w:val="none" w:sz="0" w:space="0" w:color="auto"/>
        <w:right w:val="none" w:sz="0" w:space="0" w:color="auto"/>
      </w:divBdr>
      <w:divsChild>
        <w:div w:id="961812286">
          <w:marLeft w:val="1166"/>
          <w:marRight w:val="0"/>
          <w:marTop w:val="60"/>
          <w:marBottom w:val="120"/>
          <w:divBdr>
            <w:top w:val="none" w:sz="0" w:space="0" w:color="auto"/>
            <w:left w:val="none" w:sz="0" w:space="0" w:color="auto"/>
            <w:bottom w:val="none" w:sz="0" w:space="0" w:color="auto"/>
            <w:right w:val="none" w:sz="0" w:space="0" w:color="auto"/>
          </w:divBdr>
        </w:div>
        <w:div w:id="1536655249">
          <w:marLeft w:val="1166"/>
          <w:marRight w:val="0"/>
          <w:marTop w:val="60"/>
          <w:marBottom w:val="120"/>
          <w:divBdr>
            <w:top w:val="none" w:sz="0" w:space="0" w:color="auto"/>
            <w:left w:val="none" w:sz="0" w:space="0" w:color="auto"/>
            <w:bottom w:val="none" w:sz="0" w:space="0" w:color="auto"/>
            <w:right w:val="none" w:sz="0" w:space="0" w:color="auto"/>
          </w:divBdr>
        </w:div>
        <w:div w:id="1743016329">
          <w:marLeft w:val="547"/>
          <w:marRight w:val="0"/>
          <w:marTop w:val="60"/>
          <w:marBottom w:val="120"/>
          <w:divBdr>
            <w:top w:val="none" w:sz="0" w:space="0" w:color="auto"/>
            <w:left w:val="none" w:sz="0" w:space="0" w:color="auto"/>
            <w:bottom w:val="none" w:sz="0" w:space="0" w:color="auto"/>
            <w:right w:val="none" w:sz="0" w:space="0" w:color="auto"/>
          </w:divBdr>
        </w:div>
      </w:divsChild>
    </w:div>
    <w:div w:id="2081366303">
      <w:bodyDiv w:val="1"/>
      <w:marLeft w:val="0"/>
      <w:marRight w:val="0"/>
      <w:marTop w:val="0"/>
      <w:marBottom w:val="0"/>
      <w:divBdr>
        <w:top w:val="none" w:sz="0" w:space="0" w:color="auto"/>
        <w:left w:val="none" w:sz="0" w:space="0" w:color="auto"/>
        <w:bottom w:val="none" w:sz="0" w:space="0" w:color="auto"/>
        <w:right w:val="none" w:sz="0" w:space="0" w:color="auto"/>
      </w:divBdr>
    </w:div>
    <w:div w:id="2083410094">
      <w:bodyDiv w:val="1"/>
      <w:marLeft w:val="0"/>
      <w:marRight w:val="0"/>
      <w:marTop w:val="0"/>
      <w:marBottom w:val="0"/>
      <w:divBdr>
        <w:top w:val="none" w:sz="0" w:space="0" w:color="auto"/>
        <w:left w:val="none" w:sz="0" w:space="0" w:color="auto"/>
        <w:bottom w:val="none" w:sz="0" w:space="0" w:color="auto"/>
        <w:right w:val="none" w:sz="0" w:space="0" w:color="auto"/>
      </w:divBdr>
    </w:div>
    <w:div w:id="2083522114">
      <w:bodyDiv w:val="1"/>
      <w:marLeft w:val="0"/>
      <w:marRight w:val="0"/>
      <w:marTop w:val="0"/>
      <w:marBottom w:val="0"/>
      <w:divBdr>
        <w:top w:val="none" w:sz="0" w:space="0" w:color="auto"/>
        <w:left w:val="none" w:sz="0" w:space="0" w:color="auto"/>
        <w:bottom w:val="none" w:sz="0" w:space="0" w:color="auto"/>
        <w:right w:val="none" w:sz="0" w:space="0" w:color="auto"/>
      </w:divBdr>
    </w:div>
    <w:div w:id="2083746774">
      <w:bodyDiv w:val="1"/>
      <w:marLeft w:val="0"/>
      <w:marRight w:val="0"/>
      <w:marTop w:val="0"/>
      <w:marBottom w:val="0"/>
      <w:divBdr>
        <w:top w:val="none" w:sz="0" w:space="0" w:color="auto"/>
        <w:left w:val="none" w:sz="0" w:space="0" w:color="auto"/>
        <w:bottom w:val="none" w:sz="0" w:space="0" w:color="auto"/>
        <w:right w:val="none" w:sz="0" w:space="0" w:color="auto"/>
      </w:divBdr>
    </w:div>
    <w:div w:id="2083945447">
      <w:bodyDiv w:val="1"/>
      <w:marLeft w:val="0"/>
      <w:marRight w:val="0"/>
      <w:marTop w:val="0"/>
      <w:marBottom w:val="0"/>
      <w:divBdr>
        <w:top w:val="none" w:sz="0" w:space="0" w:color="auto"/>
        <w:left w:val="none" w:sz="0" w:space="0" w:color="auto"/>
        <w:bottom w:val="none" w:sz="0" w:space="0" w:color="auto"/>
        <w:right w:val="none" w:sz="0" w:space="0" w:color="auto"/>
      </w:divBdr>
      <w:divsChild>
        <w:div w:id="1428454378">
          <w:marLeft w:val="0"/>
          <w:marRight w:val="0"/>
          <w:marTop w:val="0"/>
          <w:marBottom w:val="0"/>
          <w:divBdr>
            <w:top w:val="none" w:sz="0" w:space="0" w:color="auto"/>
            <w:left w:val="none" w:sz="0" w:space="0" w:color="auto"/>
            <w:bottom w:val="none" w:sz="0" w:space="0" w:color="auto"/>
            <w:right w:val="none" w:sz="0" w:space="0" w:color="auto"/>
          </w:divBdr>
        </w:div>
      </w:divsChild>
    </w:div>
    <w:div w:id="2084524241">
      <w:bodyDiv w:val="1"/>
      <w:marLeft w:val="0"/>
      <w:marRight w:val="0"/>
      <w:marTop w:val="0"/>
      <w:marBottom w:val="0"/>
      <w:divBdr>
        <w:top w:val="none" w:sz="0" w:space="0" w:color="auto"/>
        <w:left w:val="none" w:sz="0" w:space="0" w:color="auto"/>
        <w:bottom w:val="none" w:sz="0" w:space="0" w:color="auto"/>
        <w:right w:val="none" w:sz="0" w:space="0" w:color="auto"/>
      </w:divBdr>
    </w:div>
    <w:div w:id="2084837058">
      <w:bodyDiv w:val="1"/>
      <w:marLeft w:val="0"/>
      <w:marRight w:val="0"/>
      <w:marTop w:val="0"/>
      <w:marBottom w:val="0"/>
      <w:divBdr>
        <w:top w:val="none" w:sz="0" w:space="0" w:color="auto"/>
        <w:left w:val="none" w:sz="0" w:space="0" w:color="auto"/>
        <w:bottom w:val="none" w:sz="0" w:space="0" w:color="auto"/>
        <w:right w:val="none" w:sz="0" w:space="0" w:color="auto"/>
      </w:divBdr>
    </w:div>
    <w:div w:id="2084908183">
      <w:bodyDiv w:val="1"/>
      <w:marLeft w:val="0"/>
      <w:marRight w:val="0"/>
      <w:marTop w:val="0"/>
      <w:marBottom w:val="0"/>
      <w:divBdr>
        <w:top w:val="none" w:sz="0" w:space="0" w:color="auto"/>
        <w:left w:val="none" w:sz="0" w:space="0" w:color="auto"/>
        <w:bottom w:val="none" w:sz="0" w:space="0" w:color="auto"/>
        <w:right w:val="none" w:sz="0" w:space="0" w:color="auto"/>
      </w:divBdr>
    </w:div>
    <w:div w:id="2084989290">
      <w:bodyDiv w:val="1"/>
      <w:marLeft w:val="0"/>
      <w:marRight w:val="0"/>
      <w:marTop w:val="0"/>
      <w:marBottom w:val="0"/>
      <w:divBdr>
        <w:top w:val="none" w:sz="0" w:space="0" w:color="auto"/>
        <w:left w:val="none" w:sz="0" w:space="0" w:color="auto"/>
        <w:bottom w:val="none" w:sz="0" w:space="0" w:color="auto"/>
        <w:right w:val="none" w:sz="0" w:space="0" w:color="auto"/>
      </w:divBdr>
    </w:div>
    <w:div w:id="2086173902">
      <w:bodyDiv w:val="1"/>
      <w:marLeft w:val="0"/>
      <w:marRight w:val="0"/>
      <w:marTop w:val="0"/>
      <w:marBottom w:val="0"/>
      <w:divBdr>
        <w:top w:val="none" w:sz="0" w:space="0" w:color="auto"/>
        <w:left w:val="none" w:sz="0" w:space="0" w:color="auto"/>
        <w:bottom w:val="none" w:sz="0" w:space="0" w:color="auto"/>
        <w:right w:val="none" w:sz="0" w:space="0" w:color="auto"/>
      </w:divBdr>
    </w:div>
    <w:div w:id="2086493418">
      <w:bodyDiv w:val="1"/>
      <w:marLeft w:val="0"/>
      <w:marRight w:val="0"/>
      <w:marTop w:val="0"/>
      <w:marBottom w:val="0"/>
      <w:divBdr>
        <w:top w:val="none" w:sz="0" w:space="0" w:color="auto"/>
        <w:left w:val="none" w:sz="0" w:space="0" w:color="auto"/>
        <w:bottom w:val="none" w:sz="0" w:space="0" w:color="auto"/>
        <w:right w:val="none" w:sz="0" w:space="0" w:color="auto"/>
      </w:divBdr>
    </w:div>
    <w:div w:id="2086561289">
      <w:bodyDiv w:val="1"/>
      <w:marLeft w:val="0"/>
      <w:marRight w:val="0"/>
      <w:marTop w:val="0"/>
      <w:marBottom w:val="0"/>
      <w:divBdr>
        <w:top w:val="none" w:sz="0" w:space="0" w:color="auto"/>
        <w:left w:val="none" w:sz="0" w:space="0" w:color="auto"/>
        <w:bottom w:val="none" w:sz="0" w:space="0" w:color="auto"/>
        <w:right w:val="none" w:sz="0" w:space="0" w:color="auto"/>
      </w:divBdr>
    </w:div>
    <w:div w:id="2086612753">
      <w:bodyDiv w:val="1"/>
      <w:marLeft w:val="0"/>
      <w:marRight w:val="0"/>
      <w:marTop w:val="0"/>
      <w:marBottom w:val="0"/>
      <w:divBdr>
        <w:top w:val="none" w:sz="0" w:space="0" w:color="auto"/>
        <w:left w:val="none" w:sz="0" w:space="0" w:color="auto"/>
        <w:bottom w:val="none" w:sz="0" w:space="0" w:color="auto"/>
        <w:right w:val="none" w:sz="0" w:space="0" w:color="auto"/>
      </w:divBdr>
      <w:divsChild>
        <w:div w:id="157619391">
          <w:marLeft w:val="1166"/>
          <w:marRight w:val="0"/>
          <w:marTop w:val="115"/>
          <w:marBottom w:val="120"/>
          <w:divBdr>
            <w:top w:val="none" w:sz="0" w:space="0" w:color="auto"/>
            <w:left w:val="none" w:sz="0" w:space="0" w:color="auto"/>
            <w:bottom w:val="none" w:sz="0" w:space="0" w:color="auto"/>
            <w:right w:val="none" w:sz="0" w:space="0" w:color="auto"/>
          </w:divBdr>
        </w:div>
        <w:div w:id="218132645">
          <w:marLeft w:val="1166"/>
          <w:marRight w:val="0"/>
          <w:marTop w:val="115"/>
          <w:marBottom w:val="120"/>
          <w:divBdr>
            <w:top w:val="none" w:sz="0" w:space="0" w:color="auto"/>
            <w:left w:val="none" w:sz="0" w:space="0" w:color="auto"/>
            <w:bottom w:val="none" w:sz="0" w:space="0" w:color="auto"/>
            <w:right w:val="none" w:sz="0" w:space="0" w:color="auto"/>
          </w:divBdr>
        </w:div>
        <w:div w:id="1814130637">
          <w:marLeft w:val="547"/>
          <w:marRight w:val="0"/>
          <w:marTop w:val="134"/>
          <w:marBottom w:val="120"/>
          <w:divBdr>
            <w:top w:val="none" w:sz="0" w:space="0" w:color="auto"/>
            <w:left w:val="none" w:sz="0" w:space="0" w:color="auto"/>
            <w:bottom w:val="none" w:sz="0" w:space="0" w:color="auto"/>
            <w:right w:val="none" w:sz="0" w:space="0" w:color="auto"/>
          </w:divBdr>
        </w:div>
      </w:divsChild>
    </w:div>
    <w:div w:id="2086878530">
      <w:bodyDiv w:val="1"/>
      <w:marLeft w:val="0"/>
      <w:marRight w:val="0"/>
      <w:marTop w:val="0"/>
      <w:marBottom w:val="0"/>
      <w:divBdr>
        <w:top w:val="none" w:sz="0" w:space="0" w:color="auto"/>
        <w:left w:val="none" w:sz="0" w:space="0" w:color="auto"/>
        <w:bottom w:val="none" w:sz="0" w:space="0" w:color="auto"/>
        <w:right w:val="none" w:sz="0" w:space="0" w:color="auto"/>
      </w:divBdr>
    </w:div>
    <w:div w:id="2086880911">
      <w:bodyDiv w:val="1"/>
      <w:marLeft w:val="0"/>
      <w:marRight w:val="0"/>
      <w:marTop w:val="0"/>
      <w:marBottom w:val="0"/>
      <w:divBdr>
        <w:top w:val="none" w:sz="0" w:space="0" w:color="auto"/>
        <w:left w:val="none" w:sz="0" w:space="0" w:color="auto"/>
        <w:bottom w:val="none" w:sz="0" w:space="0" w:color="auto"/>
        <w:right w:val="none" w:sz="0" w:space="0" w:color="auto"/>
      </w:divBdr>
      <w:divsChild>
        <w:div w:id="118114986">
          <w:marLeft w:val="1080"/>
          <w:marRight w:val="0"/>
          <w:marTop w:val="100"/>
          <w:marBottom w:val="0"/>
          <w:divBdr>
            <w:top w:val="none" w:sz="0" w:space="0" w:color="auto"/>
            <w:left w:val="none" w:sz="0" w:space="0" w:color="auto"/>
            <w:bottom w:val="none" w:sz="0" w:space="0" w:color="auto"/>
            <w:right w:val="none" w:sz="0" w:space="0" w:color="auto"/>
          </w:divBdr>
        </w:div>
        <w:div w:id="441995914">
          <w:marLeft w:val="360"/>
          <w:marRight w:val="0"/>
          <w:marTop w:val="200"/>
          <w:marBottom w:val="0"/>
          <w:divBdr>
            <w:top w:val="none" w:sz="0" w:space="0" w:color="auto"/>
            <w:left w:val="none" w:sz="0" w:space="0" w:color="auto"/>
            <w:bottom w:val="none" w:sz="0" w:space="0" w:color="auto"/>
            <w:right w:val="none" w:sz="0" w:space="0" w:color="auto"/>
          </w:divBdr>
        </w:div>
        <w:div w:id="1051151130">
          <w:marLeft w:val="360"/>
          <w:marRight w:val="0"/>
          <w:marTop w:val="200"/>
          <w:marBottom w:val="0"/>
          <w:divBdr>
            <w:top w:val="none" w:sz="0" w:space="0" w:color="auto"/>
            <w:left w:val="none" w:sz="0" w:space="0" w:color="auto"/>
            <w:bottom w:val="none" w:sz="0" w:space="0" w:color="auto"/>
            <w:right w:val="none" w:sz="0" w:space="0" w:color="auto"/>
          </w:divBdr>
        </w:div>
        <w:div w:id="1290280145">
          <w:marLeft w:val="1080"/>
          <w:marRight w:val="0"/>
          <w:marTop w:val="100"/>
          <w:marBottom w:val="0"/>
          <w:divBdr>
            <w:top w:val="none" w:sz="0" w:space="0" w:color="auto"/>
            <w:left w:val="none" w:sz="0" w:space="0" w:color="auto"/>
            <w:bottom w:val="none" w:sz="0" w:space="0" w:color="auto"/>
            <w:right w:val="none" w:sz="0" w:space="0" w:color="auto"/>
          </w:divBdr>
        </w:div>
        <w:div w:id="1439791852">
          <w:marLeft w:val="1080"/>
          <w:marRight w:val="0"/>
          <w:marTop w:val="100"/>
          <w:marBottom w:val="0"/>
          <w:divBdr>
            <w:top w:val="none" w:sz="0" w:space="0" w:color="auto"/>
            <w:left w:val="none" w:sz="0" w:space="0" w:color="auto"/>
            <w:bottom w:val="none" w:sz="0" w:space="0" w:color="auto"/>
            <w:right w:val="none" w:sz="0" w:space="0" w:color="auto"/>
          </w:divBdr>
        </w:div>
      </w:divsChild>
    </w:div>
    <w:div w:id="2088456238">
      <w:bodyDiv w:val="1"/>
      <w:marLeft w:val="0"/>
      <w:marRight w:val="0"/>
      <w:marTop w:val="0"/>
      <w:marBottom w:val="0"/>
      <w:divBdr>
        <w:top w:val="none" w:sz="0" w:space="0" w:color="auto"/>
        <w:left w:val="none" w:sz="0" w:space="0" w:color="auto"/>
        <w:bottom w:val="none" w:sz="0" w:space="0" w:color="auto"/>
        <w:right w:val="none" w:sz="0" w:space="0" w:color="auto"/>
      </w:divBdr>
    </w:div>
    <w:div w:id="2089229676">
      <w:bodyDiv w:val="1"/>
      <w:marLeft w:val="0"/>
      <w:marRight w:val="0"/>
      <w:marTop w:val="0"/>
      <w:marBottom w:val="0"/>
      <w:divBdr>
        <w:top w:val="none" w:sz="0" w:space="0" w:color="auto"/>
        <w:left w:val="none" w:sz="0" w:space="0" w:color="auto"/>
        <w:bottom w:val="none" w:sz="0" w:space="0" w:color="auto"/>
        <w:right w:val="none" w:sz="0" w:space="0" w:color="auto"/>
      </w:divBdr>
    </w:div>
    <w:div w:id="2090077340">
      <w:bodyDiv w:val="1"/>
      <w:marLeft w:val="0"/>
      <w:marRight w:val="0"/>
      <w:marTop w:val="0"/>
      <w:marBottom w:val="0"/>
      <w:divBdr>
        <w:top w:val="none" w:sz="0" w:space="0" w:color="auto"/>
        <w:left w:val="none" w:sz="0" w:space="0" w:color="auto"/>
        <w:bottom w:val="none" w:sz="0" w:space="0" w:color="auto"/>
        <w:right w:val="none" w:sz="0" w:space="0" w:color="auto"/>
      </w:divBdr>
    </w:div>
    <w:div w:id="2090999334">
      <w:bodyDiv w:val="1"/>
      <w:marLeft w:val="0"/>
      <w:marRight w:val="0"/>
      <w:marTop w:val="0"/>
      <w:marBottom w:val="0"/>
      <w:divBdr>
        <w:top w:val="none" w:sz="0" w:space="0" w:color="auto"/>
        <w:left w:val="none" w:sz="0" w:space="0" w:color="auto"/>
        <w:bottom w:val="none" w:sz="0" w:space="0" w:color="auto"/>
        <w:right w:val="none" w:sz="0" w:space="0" w:color="auto"/>
      </w:divBdr>
    </w:div>
    <w:div w:id="2091154510">
      <w:bodyDiv w:val="1"/>
      <w:marLeft w:val="0"/>
      <w:marRight w:val="0"/>
      <w:marTop w:val="0"/>
      <w:marBottom w:val="0"/>
      <w:divBdr>
        <w:top w:val="none" w:sz="0" w:space="0" w:color="auto"/>
        <w:left w:val="none" w:sz="0" w:space="0" w:color="auto"/>
        <w:bottom w:val="none" w:sz="0" w:space="0" w:color="auto"/>
        <w:right w:val="none" w:sz="0" w:space="0" w:color="auto"/>
      </w:divBdr>
    </w:div>
    <w:div w:id="2092114832">
      <w:bodyDiv w:val="1"/>
      <w:marLeft w:val="0"/>
      <w:marRight w:val="0"/>
      <w:marTop w:val="0"/>
      <w:marBottom w:val="0"/>
      <w:divBdr>
        <w:top w:val="none" w:sz="0" w:space="0" w:color="auto"/>
        <w:left w:val="none" w:sz="0" w:space="0" w:color="auto"/>
        <w:bottom w:val="none" w:sz="0" w:space="0" w:color="auto"/>
        <w:right w:val="none" w:sz="0" w:space="0" w:color="auto"/>
      </w:divBdr>
      <w:divsChild>
        <w:div w:id="99959638">
          <w:marLeft w:val="1166"/>
          <w:marRight w:val="0"/>
          <w:marTop w:val="96"/>
          <w:marBottom w:val="0"/>
          <w:divBdr>
            <w:top w:val="none" w:sz="0" w:space="0" w:color="auto"/>
            <w:left w:val="none" w:sz="0" w:space="0" w:color="auto"/>
            <w:bottom w:val="none" w:sz="0" w:space="0" w:color="auto"/>
            <w:right w:val="none" w:sz="0" w:space="0" w:color="auto"/>
          </w:divBdr>
        </w:div>
        <w:div w:id="138302232">
          <w:marLeft w:val="1166"/>
          <w:marRight w:val="0"/>
          <w:marTop w:val="96"/>
          <w:marBottom w:val="0"/>
          <w:divBdr>
            <w:top w:val="none" w:sz="0" w:space="0" w:color="auto"/>
            <w:left w:val="none" w:sz="0" w:space="0" w:color="auto"/>
            <w:bottom w:val="none" w:sz="0" w:space="0" w:color="auto"/>
            <w:right w:val="none" w:sz="0" w:space="0" w:color="auto"/>
          </w:divBdr>
        </w:div>
        <w:div w:id="269896087">
          <w:marLeft w:val="1166"/>
          <w:marRight w:val="0"/>
          <w:marTop w:val="96"/>
          <w:marBottom w:val="0"/>
          <w:divBdr>
            <w:top w:val="none" w:sz="0" w:space="0" w:color="auto"/>
            <w:left w:val="none" w:sz="0" w:space="0" w:color="auto"/>
            <w:bottom w:val="none" w:sz="0" w:space="0" w:color="auto"/>
            <w:right w:val="none" w:sz="0" w:space="0" w:color="auto"/>
          </w:divBdr>
        </w:div>
        <w:div w:id="458499209">
          <w:marLeft w:val="547"/>
          <w:marRight w:val="0"/>
          <w:marTop w:val="115"/>
          <w:marBottom w:val="0"/>
          <w:divBdr>
            <w:top w:val="none" w:sz="0" w:space="0" w:color="auto"/>
            <w:left w:val="none" w:sz="0" w:space="0" w:color="auto"/>
            <w:bottom w:val="none" w:sz="0" w:space="0" w:color="auto"/>
            <w:right w:val="none" w:sz="0" w:space="0" w:color="auto"/>
          </w:divBdr>
        </w:div>
        <w:div w:id="492723594">
          <w:marLeft w:val="1166"/>
          <w:marRight w:val="0"/>
          <w:marTop w:val="96"/>
          <w:marBottom w:val="0"/>
          <w:divBdr>
            <w:top w:val="none" w:sz="0" w:space="0" w:color="auto"/>
            <w:left w:val="none" w:sz="0" w:space="0" w:color="auto"/>
            <w:bottom w:val="none" w:sz="0" w:space="0" w:color="auto"/>
            <w:right w:val="none" w:sz="0" w:space="0" w:color="auto"/>
          </w:divBdr>
        </w:div>
        <w:div w:id="1263033951">
          <w:marLeft w:val="1800"/>
          <w:marRight w:val="0"/>
          <w:marTop w:val="77"/>
          <w:marBottom w:val="0"/>
          <w:divBdr>
            <w:top w:val="none" w:sz="0" w:space="0" w:color="auto"/>
            <w:left w:val="none" w:sz="0" w:space="0" w:color="auto"/>
            <w:bottom w:val="none" w:sz="0" w:space="0" w:color="auto"/>
            <w:right w:val="none" w:sz="0" w:space="0" w:color="auto"/>
          </w:divBdr>
        </w:div>
        <w:div w:id="1546796040">
          <w:marLeft w:val="547"/>
          <w:marRight w:val="0"/>
          <w:marTop w:val="115"/>
          <w:marBottom w:val="0"/>
          <w:divBdr>
            <w:top w:val="none" w:sz="0" w:space="0" w:color="auto"/>
            <w:left w:val="none" w:sz="0" w:space="0" w:color="auto"/>
            <w:bottom w:val="none" w:sz="0" w:space="0" w:color="auto"/>
            <w:right w:val="none" w:sz="0" w:space="0" w:color="auto"/>
          </w:divBdr>
        </w:div>
      </w:divsChild>
    </w:div>
    <w:div w:id="2092505405">
      <w:bodyDiv w:val="1"/>
      <w:marLeft w:val="0"/>
      <w:marRight w:val="0"/>
      <w:marTop w:val="0"/>
      <w:marBottom w:val="0"/>
      <w:divBdr>
        <w:top w:val="none" w:sz="0" w:space="0" w:color="auto"/>
        <w:left w:val="none" w:sz="0" w:space="0" w:color="auto"/>
        <w:bottom w:val="none" w:sz="0" w:space="0" w:color="auto"/>
        <w:right w:val="none" w:sz="0" w:space="0" w:color="auto"/>
      </w:divBdr>
      <w:divsChild>
        <w:div w:id="599529810">
          <w:marLeft w:val="547"/>
          <w:marRight w:val="0"/>
          <w:marTop w:val="130"/>
          <w:marBottom w:val="0"/>
          <w:divBdr>
            <w:top w:val="none" w:sz="0" w:space="0" w:color="auto"/>
            <w:left w:val="none" w:sz="0" w:space="0" w:color="auto"/>
            <w:bottom w:val="none" w:sz="0" w:space="0" w:color="auto"/>
            <w:right w:val="none" w:sz="0" w:space="0" w:color="auto"/>
          </w:divBdr>
        </w:div>
        <w:div w:id="1180662354">
          <w:marLeft w:val="547"/>
          <w:marRight w:val="0"/>
          <w:marTop w:val="130"/>
          <w:marBottom w:val="0"/>
          <w:divBdr>
            <w:top w:val="none" w:sz="0" w:space="0" w:color="auto"/>
            <w:left w:val="none" w:sz="0" w:space="0" w:color="auto"/>
            <w:bottom w:val="none" w:sz="0" w:space="0" w:color="auto"/>
            <w:right w:val="none" w:sz="0" w:space="0" w:color="auto"/>
          </w:divBdr>
        </w:div>
        <w:div w:id="1329021191">
          <w:marLeft w:val="1166"/>
          <w:marRight w:val="0"/>
          <w:marTop w:val="115"/>
          <w:marBottom w:val="0"/>
          <w:divBdr>
            <w:top w:val="none" w:sz="0" w:space="0" w:color="auto"/>
            <w:left w:val="none" w:sz="0" w:space="0" w:color="auto"/>
            <w:bottom w:val="none" w:sz="0" w:space="0" w:color="auto"/>
            <w:right w:val="none" w:sz="0" w:space="0" w:color="auto"/>
          </w:divBdr>
        </w:div>
        <w:div w:id="1441486766">
          <w:marLeft w:val="547"/>
          <w:marRight w:val="0"/>
          <w:marTop w:val="130"/>
          <w:marBottom w:val="0"/>
          <w:divBdr>
            <w:top w:val="none" w:sz="0" w:space="0" w:color="auto"/>
            <w:left w:val="none" w:sz="0" w:space="0" w:color="auto"/>
            <w:bottom w:val="none" w:sz="0" w:space="0" w:color="auto"/>
            <w:right w:val="none" w:sz="0" w:space="0" w:color="auto"/>
          </w:divBdr>
        </w:div>
        <w:div w:id="1966539921">
          <w:marLeft w:val="1166"/>
          <w:marRight w:val="0"/>
          <w:marTop w:val="115"/>
          <w:marBottom w:val="0"/>
          <w:divBdr>
            <w:top w:val="none" w:sz="0" w:space="0" w:color="auto"/>
            <w:left w:val="none" w:sz="0" w:space="0" w:color="auto"/>
            <w:bottom w:val="none" w:sz="0" w:space="0" w:color="auto"/>
            <w:right w:val="none" w:sz="0" w:space="0" w:color="auto"/>
          </w:divBdr>
        </w:div>
        <w:div w:id="2088650110">
          <w:marLeft w:val="547"/>
          <w:marRight w:val="0"/>
          <w:marTop w:val="130"/>
          <w:marBottom w:val="0"/>
          <w:divBdr>
            <w:top w:val="none" w:sz="0" w:space="0" w:color="auto"/>
            <w:left w:val="none" w:sz="0" w:space="0" w:color="auto"/>
            <w:bottom w:val="none" w:sz="0" w:space="0" w:color="auto"/>
            <w:right w:val="none" w:sz="0" w:space="0" w:color="auto"/>
          </w:divBdr>
        </w:div>
      </w:divsChild>
    </w:div>
    <w:div w:id="2092696439">
      <w:bodyDiv w:val="1"/>
      <w:marLeft w:val="0"/>
      <w:marRight w:val="0"/>
      <w:marTop w:val="0"/>
      <w:marBottom w:val="0"/>
      <w:divBdr>
        <w:top w:val="none" w:sz="0" w:space="0" w:color="auto"/>
        <w:left w:val="none" w:sz="0" w:space="0" w:color="auto"/>
        <w:bottom w:val="none" w:sz="0" w:space="0" w:color="auto"/>
        <w:right w:val="none" w:sz="0" w:space="0" w:color="auto"/>
      </w:divBdr>
    </w:div>
    <w:div w:id="2093115738">
      <w:bodyDiv w:val="1"/>
      <w:marLeft w:val="0"/>
      <w:marRight w:val="0"/>
      <w:marTop w:val="0"/>
      <w:marBottom w:val="0"/>
      <w:divBdr>
        <w:top w:val="none" w:sz="0" w:space="0" w:color="auto"/>
        <w:left w:val="none" w:sz="0" w:space="0" w:color="auto"/>
        <w:bottom w:val="none" w:sz="0" w:space="0" w:color="auto"/>
        <w:right w:val="none" w:sz="0" w:space="0" w:color="auto"/>
      </w:divBdr>
      <w:divsChild>
        <w:div w:id="1959291818">
          <w:marLeft w:val="1080"/>
          <w:marRight w:val="0"/>
          <w:marTop w:val="100"/>
          <w:marBottom w:val="0"/>
          <w:divBdr>
            <w:top w:val="none" w:sz="0" w:space="0" w:color="auto"/>
            <w:left w:val="none" w:sz="0" w:space="0" w:color="auto"/>
            <w:bottom w:val="none" w:sz="0" w:space="0" w:color="auto"/>
            <w:right w:val="none" w:sz="0" w:space="0" w:color="auto"/>
          </w:divBdr>
        </w:div>
      </w:divsChild>
    </w:div>
    <w:div w:id="2093351511">
      <w:bodyDiv w:val="1"/>
      <w:marLeft w:val="0"/>
      <w:marRight w:val="0"/>
      <w:marTop w:val="0"/>
      <w:marBottom w:val="0"/>
      <w:divBdr>
        <w:top w:val="none" w:sz="0" w:space="0" w:color="auto"/>
        <w:left w:val="none" w:sz="0" w:space="0" w:color="auto"/>
        <w:bottom w:val="none" w:sz="0" w:space="0" w:color="auto"/>
        <w:right w:val="none" w:sz="0" w:space="0" w:color="auto"/>
      </w:divBdr>
      <w:divsChild>
        <w:div w:id="171725115">
          <w:marLeft w:val="547"/>
          <w:marRight w:val="0"/>
          <w:marTop w:val="130"/>
          <w:marBottom w:val="0"/>
          <w:divBdr>
            <w:top w:val="none" w:sz="0" w:space="0" w:color="auto"/>
            <w:left w:val="none" w:sz="0" w:space="0" w:color="auto"/>
            <w:bottom w:val="none" w:sz="0" w:space="0" w:color="auto"/>
            <w:right w:val="none" w:sz="0" w:space="0" w:color="auto"/>
          </w:divBdr>
        </w:div>
        <w:div w:id="412511770">
          <w:marLeft w:val="547"/>
          <w:marRight w:val="0"/>
          <w:marTop w:val="130"/>
          <w:marBottom w:val="0"/>
          <w:divBdr>
            <w:top w:val="none" w:sz="0" w:space="0" w:color="auto"/>
            <w:left w:val="none" w:sz="0" w:space="0" w:color="auto"/>
            <w:bottom w:val="none" w:sz="0" w:space="0" w:color="auto"/>
            <w:right w:val="none" w:sz="0" w:space="0" w:color="auto"/>
          </w:divBdr>
        </w:div>
        <w:div w:id="692998204">
          <w:marLeft w:val="1166"/>
          <w:marRight w:val="0"/>
          <w:marTop w:val="115"/>
          <w:marBottom w:val="0"/>
          <w:divBdr>
            <w:top w:val="none" w:sz="0" w:space="0" w:color="auto"/>
            <w:left w:val="none" w:sz="0" w:space="0" w:color="auto"/>
            <w:bottom w:val="none" w:sz="0" w:space="0" w:color="auto"/>
            <w:right w:val="none" w:sz="0" w:space="0" w:color="auto"/>
          </w:divBdr>
        </w:div>
        <w:div w:id="1174102186">
          <w:marLeft w:val="1166"/>
          <w:marRight w:val="0"/>
          <w:marTop w:val="115"/>
          <w:marBottom w:val="0"/>
          <w:divBdr>
            <w:top w:val="none" w:sz="0" w:space="0" w:color="auto"/>
            <w:left w:val="none" w:sz="0" w:space="0" w:color="auto"/>
            <w:bottom w:val="none" w:sz="0" w:space="0" w:color="auto"/>
            <w:right w:val="none" w:sz="0" w:space="0" w:color="auto"/>
          </w:divBdr>
        </w:div>
        <w:div w:id="1365716485">
          <w:marLeft w:val="547"/>
          <w:marRight w:val="0"/>
          <w:marTop w:val="130"/>
          <w:marBottom w:val="0"/>
          <w:divBdr>
            <w:top w:val="none" w:sz="0" w:space="0" w:color="auto"/>
            <w:left w:val="none" w:sz="0" w:space="0" w:color="auto"/>
            <w:bottom w:val="none" w:sz="0" w:space="0" w:color="auto"/>
            <w:right w:val="none" w:sz="0" w:space="0" w:color="auto"/>
          </w:divBdr>
        </w:div>
        <w:div w:id="1737164894">
          <w:marLeft w:val="1166"/>
          <w:marRight w:val="0"/>
          <w:marTop w:val="115"/>
          <w:marBottom w:val="0"/>
          <w:divBdr>
            <w:top w:val="none" w:sz="0" w:space="0" w:color="auto"/>
            <w:left w:val="none" w:sz="0" w:space="0" w:color="auto"/>
            <w:bottom w:val="none" w:sz="0" w:space="0" w:color="auto"/>
            <w:right w:val="none" w:sz="0" w:space="0" w:color="auto"/>
          </w:divBdr>
        </w:div>
      </w:divsChild>
    </w:div>
    <w:div w:id="2093771756">
      <w:bodyDiv w:val="1"/>
      <w:marLeft w:val="0"/>
      <w:marRight w:val="0"/>
      <w:marTop w:val="0"/>
      <w:marBottom w:val="0"/>
      <w:divBdr>
        <w:top w:val="none" w:sz="0" w:space="0" w:color="auto"/>
        <w:left w:val="none" w:sz="0" w:space="0" w:color="auto"/>
        <w:bottom w:val="none" w:sz="0" w:space="0" w:color="auto"/>
        <w:right w:val="none" w:sz="0" w:space="0" w:color="auto"/>
      </w:divBdr>
    </w:div>
    <w:div w:id="2094279059">
      <w:bodyDiv w:val="1"/>
      <w:marLeft w:val="0"/>
      <w:marRight w:val="0"/>
      <w:marTop w:val="0"/>
      <w:marBottom w:val="0"/>
      <w:divBdr>
        <w:top w:val="none" w:sz="0" w:space="0" w:color="auto"/>
        <w:left w:val="none" w:sz="0" w:space="0" w:color="auto"/>
        <w:bottom w:val="none" w:sz="0" w:space="0" w:color="auto"/>
        <w:right w:val="none" w:sz="0" w:space="0" w:color="auto"/>
      </w:divBdr>
      <w:divsChild>
        <w:div w:id="510725412">
          <w:marLeft w:val="547"/>
          <w:marRight w:val="0"/>
          <w:marTop w:val="106"/>
          <w:marBottom w:val="0"/>
          <w:divBdr>
            <w:top w:val="none" w:sz="0" w:space="0" w:color="auto"/>
            <w:left w:val="none" w:sz="0" w:space="0" w:color="auto"/>
            <w:bottom w:val="none" w:sz="0" w:space="0" w:color="auto"/>
            <w:right w:val="none" w:sz="0" w:space="0" w:color="auto"/>
          </w:divBdr>
        </w:div>
        <w:div w:id="969670872">
          <w:marLeft w:val="547"/>
          <w:marRight w:val="0"/>
          <w:marTop w:val="106"/>
          <w:marBottom w:val="0"/>
          <w:divBdr>
            <w:top w:val="none" w:sz="0" w:space="0" w:color="auto"/>
            <w:left w:val="none" w:sz="0" w:space="0" w:color="auto"/>
            <w:bottom w:val="none" w:sz="0" w:space="0" w:color="auto"/>
            <w:right w:val="none" w:sz="0" w:space="0" w:color="auto"/>
          </w:divBdr>
        </w:div>
        <w:div w:id="1263342011">
          <w:marLeft w:val="1166"/>
          <w:marRight w:val="0"/>
          <w:marTop w:val="96"/>
          <w:marBottom w:val="0"/>
          <w:divBdr>
            <w:top w:val="none" w:sz="0" w:space="0" w:color="auto"/>
            <w:left w:val="none" w:sz="0" w:space="0" w:color="auto"/>
            <w:bottom w:val="none" w:sz="0" w:space="0" w:color="auto"/>
            <w:right w:val="none" w:sz="0" w:space="0" w:color="auto"/>
          </w:divBdr>
        </w:div>
        <w:div w:id="1293829642">
          <w:marLeft w:val="547"/>
          <w:marRight w:val="0"/>
          <w:marTop w:val="106"/>
          <w:marBottom w:val="0"/>
          <w:divBdr>
            <w:top w:val="none" w:sz="0" w:space="0" w:color="auto"/>
            <w:left w:val="none" w:sz="0" w:space="0" w:color="auto"/>
            <w:bottom w:val="none" w:sz="0" w:space="0" w:color="auto"/>
            <w:right w:val="none" w:sz="0" w:space="0" w:color="auto"/>
          </w:divBdr>
        </w:div>
        <w:div w:id="1622570589">
          <w:marLeft w:val="547"/>
          <w:marRight w:val="0"/>
          <w:marTop w:val="106"/>
          <w:marBottom w:val="0"/>
          <w:divBdr>
            <w:top w:val="none" w:sz="0" w:space="0" w:color="auto"/>
            <w:left w:val="none" w:sz="0" w:space="0" w:color="auto"/>
            <w:bottom w:val="none" w:sz="0" w:space="0" w:color="auto"/>
            <w:right w:val="none" w:sz="0" w:space="0" w:color="auto"/>
          </w:divBdr>
        </w:div>
        <w:div w:id="1728341032">
          <w:marLeft w:val="1166"/>
          <w:marRight w:val="0"/>
          <w:marTop w:val="96"/>
          <w:marBottom w:val="0"/>
          <w:divBdr>
            <w:top w:val="none" w:sz="0" w:space="0" w:color="auto"/>
            <w:left w:val="none" w:sz="0" w:space="0" w:color="auto"/>
            <w:bottom w:val="none" w:sz="0" w:space="0" w:color="auto"/>
            <w:right w:val="none" w:sz="0" w:space="0" w:color="auto"/>
          </w:divBdr>
        </w:div>
        <w:div w:id="1784420735">
          <w:marLeft w:val="1166"/>
          <w:marRight w:val="0"/>
          <w:marTop w:val="96"/>
          <w:marBottom w:val="0"/>
          <w:divBdr>
            <w:top w:val="none" w:sz="0" w:space="0" w:color="auto"/>
            <w:left w:val="none" w:sz="0" w:space="0" w:color="auto"/>
            <w:bottom w:val="none" w:sz="0" w:space="0" w:color="auto"/>
            <w:right w:val="none" w:sz="0" w:space="0" w:color="auto"/>
          </w:divBdr>
        </w:div>
        <w:div w:id="1952786615">
          <w:marLeft w:val="1166"/>
          <w:marRight w:val="0"/>
          <w:marTop w:val="96"/>
          <w:marBottom w:val="0"/>
          <w:divBdr>
            <w:top w:val="none" w:sz="0" w:space="0" w:color="auto"/>
            <w:left w:val="none" w:sz="0" w:space="0" w:color="auto"/>
            <w:bottom w:val="none" w:sz="0" w:space="0" w:color="auto"/>
            <w:right w:val="none" w:sz="0" w:space="0" w:color="auto"/>
          </w:divBdr>
        </w:div>
      </w:divsChild>
    </w:div>
    <w:div w:id="2095661207">
      <w:bodyDiv w:val="1"/>
      <w:marLeft w:val="0"/>
      <w:marRight w:val="0"/>
      <w:marTop w:val="0"/>
      <w:marBottom w:val="0"/>
      <w:divBdr>
        <w:top w:val="none" w:sz="0" w:space="0" w:color="auto"/>
        <w:left w:val="none" w:sz="0" w:space="0" w:color="auto"/>
        <w:bottom w:val="none" w:sz="0" w:space="0" w:color="auto"/>
        <w:right w:val="none" w:sz="0" w:space="0" w:color="auto"/>
      </w:divBdr>
      <w:divsChild>
        <w:div w:id="220672329">
          <w:marLeft w:val="1166"/>
          <w:marRight w:val="0"/>
          <w:marTop w:val="115"/>
          <w:marBottom w:val="0"/>
          <w:divBdr>
            <w:top w:val="none" w:sz="0" w:space="0" w:color="auto"/>
            <w:left w:val="none" w:sz="0" w:space="0" w:color="auto"/>
            <w:bottom w:val="none" w:sz="0" w:space="0" w:color="auto"/>
            <w:right w:val="none" w:sz="0" w:space="0" w:color="auto"/>
          </w:divBdr>
        </w:div>
        <w:div w:id="411196529">
          <w:marLeft w:val="1800"/>
          <w:marRight w:val="0"/>
          <w:marTop w:val="96"/>
          <w:marBottom w:val="0"/>
          <w:divBdr>
            <w:top w:val="none" w:sz="0" w:space="0" w:color="auto"/>
            <w:left w:val="none" w:sz="0" w:space="0" w:color="auto"/>
            <w:bottom w:val="none" w:sz="0" w:space="0" w:color="auto"/>
            <w:right w:val="none" w:sz="0" w:space="0" w:color="auto"/>
          </w:divBdr>
        </w:div>
        <w:div w:id="500702755">
          <w:marLeft w:val="1166"/>
          <w:marRight w:val="0"/>
          <w:marTop w:val="115"/>
          <w:marBottom w:val="0"/>
          <w:divBdr>
            <w:top w:val="none" w:sz="0" w:space="0" w:color="auto"/>
            <w:left w:val="none" w:sz="0" w:space="0" w:color="auto"/>
            <w:bottom w:val="none" w:sz="0" w:space="0" w:color="auto"/>
            <w:right w:val="none" w:sz="0" w:space="0" w:color="auto"/>
          </w:divBdr>
        </w:div>
        <w:div w:id="1014646034">
          <w:marLeft w:val="1166"/>
          <w:marRight w:val="0"/>
          <w:marTop w:val="115"/>
          <w:marBottom w:val="0"/>
          <w:divBdr>
            <w:top w:val="none" w:sz="0" w:space="0" w:color="auto"/>
            <w:left w:val="none" w:sz="0" w:space="0" w:color="auto"/>
            <w:bottom w:val="none" w:sz="0" w:space="0" w:color="auto"/>
            <w:right w:val="none" w:sz="0" w:space="0" w:color="auto"/>
          </w:divBdr>
        </w:div>
        <w:div w:id="1070735786">
          <w:marLeft w:val="1166"/>
          <w:marRight w:val="0"/>
          <w:marTop w:val="115"/>
          <w:marBottom w:val="0"/>
          <w:divBdr>
            <w:top w:val="none" w:sz="0" w:space="0" w:color="auto"/>
            <w:left w:val="none" w:sz="0" w:space="0" w:color="auto"/>
            <w:bottom w:val="none" w:sz="0" w:space="0" w:color="auto"/>
            <w:right w:val="none" w:sz="0" w:space="0" w:color="auto"/>
          </w:divBdr>
        </w:div>
        <w:div w:id="1392583780">
          <w:marLeft w:val="1800"/>
          <w:marRight w:val="0"/>
          <w:marTop w:val="96"/>
          <w:marBottom w:val="0"/>
          <w:divBdr>
            <w:top w:val="none" w:sz="0" w:space="0" w:color="auto"/>
            <w:left w:val="none" w:sz="0" w:space="0" w:color="auto"/>
            <w:bottom w:val="none" w:sz="0" w:space="0" w:color="auto"/>
            <w:right w:val="none" w:sz="0" w:space="0" w:color="auto"/>
          </w:divBdr>
        </w:div>
        <w:div w:id="1918781342">
          <w:marLeft w:val="1166"/>
          <w:marRight w:val="0"/>
          <w:marTop w:val="115"/>
          <w:marBottom w:val="0"/>
          <w:divBdr>
            <w:top w:val="none" w:sz="0" w:space="0" w:color="auto"/>
            <w:left w:val="none" w:sz="0" w:space="0" w:color="auto"/>
            <w:bottom w:val="none" w:sz="0" w:space="0" w:color="auto"/>
            <w:right w:val="none" w:sz="0" w:space="0" w:color="auto"/>
          </w:divBdr>
        </w:div>
      </w:divsChild>
    </w:div>
    <w:div w:id="2095740039">
      <w:bodyDiv w:val="1"/>
      <w:marLeft w:val="0"/>
      <w:marRight w:val="0"/>
      <w:marTop w:val="0"/>
      <w:marBottom w:val="0"/>
      <w:divBdr>
        <w:top w:val="none" w:sz="0" w:space="0" w:color="auto"/>
        <w:left w:val="none" w:sz="0" w:space="0" w:color="auto"/>
        <w:bottom w:val="none" w:sz="0" w:space="0" w:color="auto"/>
        <w:right w:val="none" w:sz="0" w:space="0" w:color="auto"/>
      </w:divBdr>
    </w:div>
    <w:div w:id="2095859495">
      <w:bodyDiv w:val="1"/>
      <w:marLeft w:val="0"/>
      <w:marRight w:val="0"/>
      <w:marTop w:val="0"/>
      <w:marBottom w:val="0"/>
      <w:divBdr>
        <w:top w:val="none" w:sz="0" w:space="0" w:color="auto"/>
        <w:left w:val="none" w:sz="0" w:space="0" w:color="auto"/>
        <w:bottom w:val="none" w:sz="0" w:space="0" w:color="auto"/>
        <w:right w:val="none" w:sz="0" w:space="0" w:color="auto"/>
      </w:divBdr>
    </w:div>
    <w:div w:id="2096172139">
      <w:bodyDiv w:val="1"/>
      <w:marLeft w:val="0"/>
      <w:marRight w:val="0"/>
      <w:marTop w:val="0"/>
      <w:marBottom w:val="0"/>
      <w:divBdr>
        <w:top w:val="none" w:sz="0" w:space="0" w:color="auto"/>
        <w:left w:val="none" w:sz="0" w:space="0" w:color="auto"/>
        <w:bottom w:val="none" w:sz="0" w:space="0" w:color="auto"/>
        <w:right w:val="none" w:sz="0" w:space="0" w:color="auto"/>
      </w:divBdr>
    </w:div>
    <w:div w:id="2096586342">
      <w:bodyDiv w:val="1"/>
      <w:marLeft w:val="0"/>
      <w:marRight w:val="0"/>
      <w:marTop w:val="0"/>
      <w:marBottom w:val="0"/>
      <w:divBdr>
        <w:top w:val="none" w:sz="0" w:space="0" w:color="auto"/>
        <w:left w:val="none" w:sz="0" w:space="0" w:color="auto"/>
        <w:bottom w:val="none" w:sz="0" w:space="0" w:color="auto"/>
        <w:right w:val="none" w:sz="0" w:space="0" w:color="auto"/>
      </w:divBdr>
      <w:divsChild>
        <w:div w:id="83110530">
          <w:marLeft w:val="547"/>
          <w:marRight w:val="0"/>
          <w:marTop w:val="115"/>
          <w:marBottom w:val="0"/>
          <w:divBdr>
            <w:top w:val="none" w:sz="0" w:space="0" w:color="auto"/>
            <w:left w:val="none" w:sz="0" w:space="0" w:color="auto"/>
            <w:bottom w:val="none" w:sz="0" w:space="0" w:color="auto"/>
            <w:right w:val="none" w:sz="0" w:space="0" w:color="auto"/>
          </w:divBdr>
        </w:div>
        <w:div w:id="335884925">
          <w:marLeft w:val="1166"/>
          <w:marRight w:val="0"/>
          <w:marTop w:val="115"/>
          <w:marBottom w:val="0"/>
          <w:divBdr>
            <w:top w:val="none" w:sz="0" w:space="0" w:color="auto"/>
            <w:left w:val="none" w:sz="0" w:space="0" w:color="auto"/>
            <w:bottom w:val="none" w:sz="0" w:space="0" w:color="auto"/>
            <w:right w:val="none" w:sz="0" w:space="0" w:color="auto"/>
          </w:divBdr>
        </w:div>
        <w:div w:id="482815697">
          <w:marLeft w:val="547"/>
          <w:marRight w:val="0"/>
          <w:marTop w:val="115"/>
          <w:marBottom w:val="0"/>
          <w:divBdr>
            <w:top w:val="none" w:sz="0" w:space="0" w:color="auto"/>
            <w:left w:val="none" w:sz="0" w:space="0" w:color="auto"/>
            <w:bottom w:val="none" w:sz="0" w:space="0" w:color="auto"/>
            <w:right w:val="none" w:sz="0" w:space="0" w:color="auto"/>
          </w:divBdr>
        </w:div>
        <w:div w:id="870724027">
          <w:marLeft w:val="547"/>
          <w:marRight w:val="0"/>
          <w:marTop w:val="115"/>
          <w:marBottom w:val="0"/>
          <w:divBdr>
            <w:top w:val="none" w:sz="0" w:space="0" w:color="auto"/>
            <w:left w:val="none" w:sz="0" w:space="0" w:color="auto"/>
            <w:bottom w:val="none" w:sz="0" w:space="0" w:color="auto"/>
            <w:right w:val="none" w:sz="0" w:space="0" w:color="auto"/>
          </w:divBdr>
        </w:div>
        <w:div w:id="1209686815">
          <w:marLeft w:val="1166"/>
          <w:marRight w:val="0"/>
          <w:marTop w:val="115"/>
          <w:marBottom w:val="0"/>
          <w:divBdr>
            <w:top w:val="none" w:sz="0" w:space="0" w:color="auto"/>
            <w:left w:val="none" w:sz="0" w:space="0" w:color="auto"/>
            <w:bottom w:val="none" w:sz="0" w:space="0" w:color="auto"/>
            <w:right w:val="none" w:sz="0" w:space="0" w:color="auto"/>
          </w:divBdr>
        </w:div>
        <w:div w:id="1838885479">
          <w:marLeft w:val="547"/>
          <w:marRight w:val="0"/>
          <w:marTop w:val="115"/>
          <w:marBottom w:val="0"/>
          <w:divBdr>
            <w:top w:val="none" w:sz="0" w:space="0" w:color="auto"/>
            <w:left w:val="none" w:sz="0" w:space="0" w:color="auto"/>
            <w:bottom w:val="none" w:sz="0" w:space="0" w:color="auto"/>
            <w:right w:val="none" w:sz="0" w:space="0" w:color="auto"/>
          </w:divBdr>
        </w:div>
      </w:divsChild>
    </w:div>
    <w:div w:id="2098481804">
      <w:bodyDiv w:val="1"/>
      <w:marLeft w:val="0"/>
      <w:marRight w:val="0"/>
      <w:marTop w:val="0"/>
      <w:marBottom w:val="0"/>
      <w:divBdr>
        <w:top w:val="none" w:sz="0" w:space="0" w:color="auto"/>
        <w:left w:val="none" w:sz="0" w:space="0" w:color="auto"/>
        <w:bottom w:val="none" w:sz="0" w:space="0" w:color="auto"/>
        <w:right w:val="none" w:sz="0" w:space="0" w:color="auto"/>
      </w:divBdr>
      <w:divsChild>
        <w:div w:id="388309187">
          <w:marLeft w:val="547"/>
          <w:marRight w:val="0"/>
          <w:marTop w:val="115"/>
          <w:marBottom w:val="0"/>
          <w:divBdr>
            <w:top w:val="none" w:sz="0" w:space="0" w:color="auto"/>
            <w:left w:val="none" w:sz="0" w:space="0" w:color="auto"/>
            <w:bottom w:val="none" w:sz="0" w:space="0" w:color="auto"/>
            <w:right w:val="none" w:sz="0" w:space="0" w:color="auto"/>
          </w:divBdr>
        </w:div>
        <w:div w:id="679817051">
          <w:marLeft w:val="547"/>
          <w:marRight w:val="0"/>
          <w:marTop w:val="115"/>
          <w:marBottom w:val="0"/>
          <w:divBdr>
            <w:top w:val="none" w:sz="0" w:space="0" w:color="auto"/>
            <w:left w:val="none" w:sz="0" w:space="0" w:color="auto"/>
            <w:bottom w:val="none" w:sz="0" w:space="0" w:color="auto"/>
            <w:right w:val="none" w:sz="0" w:space="0" w:color="auto"/>
          </w:divBdr>
        </w:div>
        <w:div w:id="705252104">
          <w:marLeft w:val="547"/>
          <w:marRight w:val="0"/>
          <w:marTop w:val="115"/>
          <w:marBottom w:val="0"/>
          <w:divBdr>
            <w:top w:val="none" w:sz="0" w:space="0" w:color="auto"/>
            <w:left w:val="none" w:sz="0" w:space="0" w:color="auto"/>
            <w:bottom w:val="none" w:sz="0" w:space="0" w:color="auto"/>
            <w:right w:val="none" w:sz="0" w:space="0" w:color="auto"/>
          </w:divBdr>
        </w:div>
        <w:div w:id="851265230">
          <w:marLeft w:val="547"/>
          <w:marRight w:val="0"/>
          <w:marTop w:val="115"/>
          <w:marBottom w:val="0"/>
          <w:divBdr>
            <w:top w:val="none" w:sz="0" w:space="0" w:color="auto"/>
            <w:left w:val="none" w:sz="0" w:space="0" w:color="auto"/>
            <w:bottom w:val="none" w:sz="0" w:space="0" w:color="auto"/>
            <w:right w:val="none" w:sz="0" w:space="0" w:color="auto"/>
          </w:divBdr>
        </w:div>
      </w:divsChild>
    </w:div>
    <w:div w:id="2098600093">
      <w:bodyDiv w:val="1"/>
      <w:marLeft w:val="0"/>
      <w:marRight w:val="0"/>
      <w:marTop w:val="0"/>
      <w:marBottom w:val="0"/>
      <w:divBdr>
        <w:top w:val="none" w:sz="0" w:space="0" w:color="auto"/>
        <w:left w:val="none" w:sz="0" w:space="0" w:color="auto"/>
        <w:bottom w:val="none" w:sz="0" w:space="0" w:color="auto"/>
        <w:right w:val="none" w:sz="0" w:space="0" w:color="auto"/>
      </w:divBdr>
    </w:div>
    <w:div w:id="2099322215">
      <w:bodyDiv w:val="1"/>
      <w:marLeft w:val="0"/>
      <w:marRight w:val="0"/>
      <w:marTop w:val="0"/>
      <w:marBottom w:val="0"/>
      <w:divBdr>
        <w:top w:val="none" w:sz="0" w:space="0" w:color="auto"/>
        <w:left w:val="none" w:sz="0" w:space="0" w:color="auto"/>
        <w:bottom w:val="none" w:sz="0" w:space="0" w:color="auto"/>
        <w:right w:val="none" w:sz="0" w:space="0" w:color="auto"/>
      </w:divBdr>
      <w:divsChild>
        <w:div w:id="555824024">
          <w:marLeft w:val="720"/>
          <w:marRight w:val="0"/>
          <w:marTop w:val="240"/>
          <w:marBottom w:val="0"/>
          <w:divBdr>
            <w:top w:val="none" w:sz="0" w:space="0" w:color="auto"/>
            <w:left w:val="none" w:sz="0" w:space="0" w:color="auto"/>
            <w:bottom w:val="none" w:sz="0" w:space="0" w:color="auto"/>
            <w:right w:val="none" w:sz="0" w:space="0" w:color="auto"/>
          </w:divBdr>
        </w:div>
        <w:div w:id="771246542">
          <w:marLeft w:val="720"/>
          <w:marRight w:val="0"/>
          <w:marTop w:val="240"/>
          <w:marBottom w:val="0"/>
          <w:divBdr>
            <w:top w:val="none" w:sz="0" w:space="0" w:color="auto"/>
            <w:left w:val="none" w:sz="0" w:space="0" w:color="auto"/>
            <w:bottom w:val="none" w:sz="0" w:space="0" w:color="auto"/>
            <w:right w:val="none" w:sz="0" w:space="0" w:color="auto"/>
          </w:divBdr>
        </w:div>
        <w:div w:id="922029404">
          <w:marLeft w:val="1440"/>
          <w:marRight w:val="0"/>
          <w:marTop w:val="120"/>
          <w:marBottom w:val="0"/>
          <w:divBdr>
            <w:top w:val="none" w:sz="0" w:space="0" w:color="auto"/>
            <w:left w:val="none" w:sz="0" w:space="0" w:color="auto"/>
            <w:bottom w:val="none" w:sz="0" w:space="0" w:color="auto"/>
            <w:right w:val="none" w:sz="0" w:space="0" w:color="auto"/>
          </w:divBdr>
        </w:div>
        <w:div w:id="1135413145">
          <w:marLeft w:val="1440"/>
          <w:marRight w:val="0"/>
          <w:marTop w:val="120"/>
          <w:marBottom w:val="0"/>
          <w:divBdr>
            <w:top w:val="none" w:sz="0" w:space="0" w:color="auto"/>
            <w:left w:val="none" w:sz="0" w:space="0" w:color="auto"/>
            <w:bottom w:val="none" w:sz="0" w:space="0" w:color="auto"/>
            <w:right w:val="none" w:sz="0" w:space="0" w:color="auto"/>
          </w:divBdr>
        </w:div>
        <w:div w:id="1489974864">
          <w:marLeft w:val="1440"/>
          <w:marRight w:val="0"/>
          <w:marTop w:val="120"/>
          <w:marBottom w:val="0"/>
          <w:divBdr>
            <w:top w:val="none" w:sz="0" w:space="0" w:color="auto"/>
            <w:left w:val="none" w:sz="0" w:space="0" w:color="auto"/>
            <w:bottom w:val="none" w:sz="0" w:space="0" w:color="auto"/>
            <w:right w:val="none" w:sz="0" w:space="0" w:color="auto"/>
          </w:divBdr>
        </w:div>
      </w:divsChild>
    </w:div>
    <w:div w:id="2100246074">
      <w:bodyDiv w:val="1"/>
      <w:marLeft w:val="0"/>
      <w:marRight w:val="0"/>
      <w:marTop w:val="0"/>
      <w:marBottom w:val="0"/>
      <w:divBdr>
        <w:top w:val="none" w:sz="0" w:space="0" w:color="auto"/>
        <w:left w:val="none" w:sz="0" w:space="0" w:color="auto"/>
        <w:bottom w:val="none" w:sz="0" w:space="0" w:color="auto"/>
        <w:right w:val="none" w:sz="0" w:space="0" w:color="auto"/>
      </w:divBdr>
    </w:div>
    <w:div w:id="2100323141">
      <w:bodyDiv w:val="1"/>
      <w:marLeft w:val="0"/>
      <w:marRight w:val="0"/>
      <w:marTop w:val="0"/>
      <w:marBottom w:val="0"/>
      <w:divBdr>
        <w:top w:val="none" w:sz="0" w:space="0" w:color="auto"/>
        <w:left w:val="none" w:sz="0" w:space="0" w:color="auto"/>
        <w:bottom w:val="none" w:sz="0" w:space="0" w:color="auto"/>
        <w:right w:val="none" w:sz="0" w:space="0" w:color="auto"/>
      </w:divBdr>
    </w:div>
    <w:div w:id="2100519844">
      <w:bodyDiv w:val="1"/>
      <w:marLeft w:val="0"/>
      <w:marRight w:val="0"/>
      <w:marTop w:val="0"/>
      <w:marBottom w:val="0"/>
      <w:divBdr>
        <w:top w:val="none" w:sz="0" w:space="0" w:color="auto"/>
        <w:left w:val="none" w:sz="0" w:space="0" w:color="auto"/>
        <w:bottom w:val="none" w:sz="0" w:space="0" w:color="auto"/>
        <w:right w:val="none" w:sz="0" w:space="0" w:color="auto"/>
      </w:divBdr>
    </w:div>
    <w:div w:id="2100978417">
      <w:bodyDiv w:val="1"/>
      <w:marLeft w:val="0"/>
      <w:marRight w:val="0"/>
      <w:marTop w:val="0"/>
      <w:marBottom w:val="0"/>
      <w:divBdr>
        <w:top w:val="none" w:sz="0" w:space="0" w:color="auto"/>
        <w:left w:val="none" w:sz="0" w:space="0" w:color="auto"/>
        <w:bottom w:val="none" w:sz="0" w:space="0" w:color="auto"/>
        <w:right w:val="none" w:sz="0" w:space="0" w:color="auto"/>
      </w:divBdr>
    </w:div>
    <w:div w:id="2101215426">
      <w:bodyDiv w:val="1"/>
      <w:marLeft w:val="0"/>
      <w:marRight w:val="0"/>
      <w:marTop w:val="0"/>
      <w:marBottom w:val="0"/>
      <w:divBdr>
        <w:top w:val="none" w:sz="0" w:space="0" w:color="auto"/>
        <w:left w:val="none" w:sz="0" w:space="0" w:color="auto"/>
        <w:bottom w:val="none" w:sz="0" w:space="0" w:color="auto"/>
        <w:right w:val="none" w:sz="0" w:space="0" w:color="auto"/>
      </w:divBdr>
    </w:div>
    <w:div w:id="2102214696">
      <w:bodyDiv w:val="1"/>
      <w:marLeft w:val="0"/>
      <w:marRight w:val="0"/>
      <w:marTop w:val="0"/>
      <w:marBottom w:val="0"/>
      <w:divBdr>
        <w:top w:val="none" w:sz="0" w:space="0" w:color="auto"/>
        <w:left w:val="none" w:sz="0" w:space="0" w:color="auto"/>
        <w:bottom w:val="none" w:sz="0" w:space="0" w:color="auto"/>
        <w:right w:val="none" w:sz="0" w:space="0" w:color="auto"/>
      </w:divBdr>
      <w:divsChild>
        <w:div w:id="273951390">
          <w:marLeft w:val="1166"/>
          <w:marRight w:val="0"/>
          <w:marTop w:val="96"/>
          <w:marBottom w:val="0"/>
          <w:divBdr>
            <w:top w:val="none" w:sz="0" w:space="0" w:color="auto"/>
            <w:left w:val="none" w:sz="0" w:space="0" w:color="auto"/>
            <w:bottom w:val="none" w:sz="0" w:space="0" w:color="auto"/>
            <w:right w:val="none" w:sz="0" w:space="0" w:color="auto"/>
          </w:divBdr>
        </w:div>
        <w:div w:id="452409474">
          <w:marLeft w:val="1166"/>
          <w:marRight w:val="0"/>
          <w:marTop w:val="96"/>
          <w:marBottom w:val="0"/>
          <w:divBdr>
            <w:top w:val="none" w:sz="0" w:space="0" w:color="auto"/>
            <w:left w:val="none" w:sz="0" w:space="0" w:color="auto"/>
            <w:bottom w:val="none" w:sz="0" w:space="0" w:color="auto"/>
            <w:right w:val="none" w:sz="0" w:space="0" w:color="auto"/>
          </w:divBdr>
        </w:div>
        <w:div w:id="520166008">
          <w:marLeft w:val="547"/>
          <w:marRight w:val="0"/>
          <w:marTop w:val="115"/>
          <w:marBottom w:val="0"/>
          <w:divBdr>
            <w:top w:val="none" w:sz="0" w:space="0" w:color="auto"/>
            <w:left w:val="none" w:sz="0" w:space="0" w:color="auto"/>
            <w:bottom w:val="none" w:sz="0" w:space="0" w:color="auto"/>
            <w:right w:val="none" w:sz="0" w:space="0" w:color="auto"/>
          </w:divBdr>
        </w:div>
        <w:div w:id="741827149">
          <w:marLeft w:val="1166"/>
          <w:marRight w:val="0"/>
          <w:marTop w:val="96"/>
          <w:marBottom w:val="0"/>
          <w:divBdr>
            <w:top w:val="none" w:sz="0" w:space="0" w:color="auto"/>
            <w:left w:val="none" w:sz="0" w:space="0" w:color="auto"/>
            <w:bottom w:val="none" w:sz="0" w:space="0" w:color="auto"/>
            <w:right w:val="none" w:sz="0" w:space="0" w:color="auto"/>
          </w:divBdr>
        </w:div>
        <w:div w:id="926621129">
          <w:marLeft w:val="1800"/>
          <w:marRight w:val="0"/>
          <w:marTop w:val="86"/>
          <w:marBottom w:val="0"/>
          <w:divBdr>
            <w:top w:val="none" w:sz="0" w:space="0" w:color="auto"/>
            <w:left w:val="none" w:sz="0" w:space="0" w:color="auto"/>
            <w:bottom w:val="none" w:sz="0" w:space="0" w:color="auto"/>
            <w:right w:val="none" w:sz="0" w:space="0" w:color="auto"/>
          </w:divBdr>
        </w:div>
        <w:div w:id="1494907100">
          <w:marLeft w:val="547"/>
          <w:marRight w:val="0"/>
          <w:marTop w:val="115"/>
          <w:marBottom w:val="0"/>
          <w:divBdr>
            <w:top w:val="none" w:sz="0" w:space="0" w:color="auto"/>
            <w:left w:val="none" w:sz="0" w:space="0" w:color="auto"/>
            <w:bottom w:val="none" w:sz="0" w:space="0" w:color="auto"/>
            <w:right w:val="none" w:sz="0" w:space="0" w:color="auto"/>
          </w:divBdr>
        </w:div>
        <w:div w:id="1812938012">
          <w:marLeft w:val="547"/>
          <w:marRight w:val="0"/>
          <w:marTop w:val="115"/>
          <w:marBottom w:val="0"/>
          <w:divBdr>
            <w:top w:val="none" w:sz="0" w:space="0" w:color="auto"/>
            <w:left w:val="none" w:sz="0" w:space="0" w:color="auto"/>
            <w:bottom w:val="none" w:sz="0" w:space="0" w:color="auto"/>
            <w:right w:val="none" w:sz="0" w:space="0" w:color="auto"/>
          </w:divBdr>
        </w:div>
        <w:div w:id="2071608195">
          <w:marLeft w:val="1166"/>
          <w:marRight w:val="0"/>
          <w:marTop w:val="96"/>
          <w:marBottom w:val="0"/>
          <w:divBdr>
            <w:top w:val="none" w:sz="0" w:space="0" w:color="auto"/>
            <w:left w:val="none" w:sz="0" w:space="0" w:color="auto"/>
            <w:bottom w:val="none" w:sz="0" w:space="0" w:color="auto"/>
            <w:right w:val="none" w:sz="0" w:space="0" w:color="auto"/>
          </w:divBdr>
        </w:div>
      </w:divsChild>
    </w:div>
    <w:div w:id="2102989151">
      <w:bodyDiv w:val="1"/>
      <w:marLeft w:val="0"/>
      <w:marRight w:val="0"/>
      <w:marTop w:val="0"/>
      <w:marBottom w:val="0"/>
      <w:divBdr>
        <w:top w:val="none" w:sz="0" w:space="0" w:color="auto"/>
        <w:left w:val="none" w:sz="0" w:space="0" w:color="auto"/>
        <w:bottom w:val="none" w:sz="0" w:space="0" w:color="auto"/>
        <w:right w:val="none" w:sz="0" w:space="0" w:color="auto"/>
      </w:divBdr>
    </w:div>
    <w:div w:id="2103336452">
      <w:bodyDiv w:val="1"/>
      <w:marLeft w:val="0"/>
      <w:marRight w:val="0"/>
      <w:marTop w:val="0"/>
      <w:marBottom w:val="0"/>
      <w:divBdr>
        <w:top w:val="none" w:sz="0" w:space="0" w:color="auto"/>
        <w:left w:val="none" w:sz="0" w:space="0" w:color="auto"/>
        <w:bottom w:val="none" w:sz="0" w:space="0" w:color="auto"/>
        <w:right w:val="none" w:sz="0" w:space="0" w:color="auto"/>
      </w:divBdr>
    </w:div>
    <w:div w:id="2103989323">
      <w:bodyDiv w:val="1"/>
      <w:marLeft w:val="0"/>
      <w:marRight w:val="0"/>
      <w:marTop w:val="0"/>
      <w:marBottom w:val="0"/>
      <w:divBdr>
        <w:top w:val="none" w:sz="0" w:space="0" w:color="auto"/>
        <w:left w:val="none" w:sz="0" w:space="0" w:color="auto"/>
        <w:bottom w:val="none" w:sz="0" w:space="0" w:color="auto"/>
        <w:right w:val="none" w:sz="0" w:space="0" w:color="auto"/>
      </w:divBdr>
    </w:div>
    <w:div w:id="2104296507">
      <w:bodyDiv w:val="1"/>
      <w:marLeft w:val="0"/>
      <w:marRight w:val="0"/>
      <w:marTop w:val="0"/>
      <w:marBottom w:val="0"/>
      <w:divBdr>
        <w:top w:val="none" w:sz="0" w:space="0" w:color="auto"/>
        <w:left w:val="none" w:sz="0" w:space="0" w:color="auto"/>
        <w:bottom w:val="none" w:sz="0" w:space="0" w:color="auto"/>
        <w:right w:val="none" w:sz="0" w:space="0" w:color="auto"/>
      </w:divBdr>
    </w:div>
    <w:div w:id="2104375059">
      <w:bodyDiv w:val="1"/>
      <w:marLeft w:val="0"/>
      <w:marRight w:val="0"/>
      <w:marTop w:val="0"/>
      <w:marBottom w:val="0"/>
      <w:divBdr>
        <w:top w:val="none" w:sz="0" w:space="0" w:color="auto"/>
        <w:left w:val="none" w:sz="0" w:space="0" w:color="auto"/>
        <w:bottom w:val="none" w:sz="0" w:space="0" w:color="auto"/>
        <w:right w:val="none" w:sz="0" w:space="0" w:color="auto"/>
      </w:divBdr>
      <w:divsChild>
        <w:div w:id="1497190312">
          <w:marLeft w:val="547"/>
          <w:marRight w:val="0"/>
          <w:marTop w:val="134"/>
          <w:marBottom w:val="0"/>
          <w:divBdr>
            <w:top w:val="none" w:sz="0" w:space="0" w:color="auto"/>
            <w:left w:val="none" w:sz="0" w:space="0" w:color="auto"/>
            <w:bottom w:val="none" w:sz="0" w:space="0" w:color="auto"/>
            <w:right w:val="none" w:sz="0" w:space="0" w:color="auto"/>
          </w:divBdr>
        </w:div>
      </w:divsChild>
    </w:div>
    <w:div w:id="2104573431">
      <w:bodyDiv w:val="1"/>
      <w:marLeft w:val="0"/>
      <w:marRight w:val="0"/>
      <w:marTop w:val="0"/>
      <w:marBottom w:val="0"/>
      <w:divBdr>
        <w:top w:val="none" w:sz="0" w:space="0" w:color="auto"/>
        <w:left w:val="none" w:sz="0" w:space="0" w:color="auto"/>
        <w:bottom w:val="none" w:sz="0" w:space="0" w:color="auto"/>
        <w:right w:val="none" w:sz="0" w:space="0" w:color="auto"/>
      </w:divBdr>
      <w:divsChild>
        <w:div w:id="646401061">
          <w:marLeft w:val="547"/>
          <w:marRight w:val="0"/>
          <w:marTop w:val="134"/>
          <w:marBottom w:val="120"/>
          <w:divBdr>
            <w:top w:val="none" w:sz="0" w:space="0" w:color="auto"/>
            <w:left w:val="none" w:sz="0" w:space="0" w:color="auto"/>
            <w:bottom w:val="none" w:sz="0" w:space="0" w:color="auto"/>
            <w:right w:val="none" w:sz="0" w:space="0" w:color="auto"/>
          </w:divBdr>
        </w:div>
        <w:div w:id="843280721">
          <w:marLeft w:val="547"/>
          <w:marRight w:val="0"/>
          <w:marTop w:val="134"/>
          <w:marBottom w:val="120"/>
          <w:divBdr>
            <w:top w:val="none" w:sz="0" w:space="0" w:color="auto"/>
            <w:left w:val="none" w:sz="0" w:space="0" w:color="auto"/>
            <w:bottom w:val="none" w:sz="0" w:space="0" w:color="auto"/>
            <w:right w:val="none" w:sz="0" w:space="0" w:color="auto"/>
          </w:divBdr>
        </w:div>
        <w:div w:id="1031761200">
          <w:marLeft w:val="1166"/>
          <w:marRight w:val="0"/>
          <w:marTop w:val="115"/>
          <w:marBottom w:val="120"/>
          <w:divBdr>
            <w:top w:val="none" w:sz="0" w:space="0" w:color="auto"/>
            <w:left w:val="none" w:sz="0" w:space="0" w:color="auto"/>
            <w:bottom w:val="none" w:sz="0" w:space="0" w:color="auto"/>
            <w:right w:val="none" w:sz="0" w:space="0" w:color="auto"/>
          </w:divBdr>
        </w:div>
        <w:div w:id="1476414756">
          <w:marLeft w:val="1166"/>
          <w:marRight w:val="0"/>
          <w:marTop w:val="115"/>
          <w:marBottom w:val="120"/>
          <w:divBdr>
            <w:top w:val="none" w:sz="0" w:space="0" w:color="auto"/>
            <w:left w:val="none" w:sz="0" w:space="0" w:color="auto"/>
            <w:bottom w:val="none" w:sz="0" w:space="0" w:color="auto"/>
            <w:right w:val="none" w:sz="0" w:space="0" w:color="auto"/>
          </w:divBdr>
        </w:div>
      </w:divsChild>
    </w:div>
    <w:div w:id="2105565088">
      <w:bodyDiv w:val="1"/>
      <w:marLeft w:val="0"/>
      <w:marRight w:val="0"/>
      <w:marTop w:val="0"/>
      <w:marBottom w:val="0"/>
      <w:divBdr>
        <w:top w:val="none" w:sz="0" w:space="0" w:color="auto"/>
        <w:left w:val="none" w:sz="0" w:space="0" w:color="auto"/>
        <w:bottom w:val="none" w:sz="0" w:space="0" w:color="auto"/>
        <w:right w:val="none" w:sz="0" w:space="0" w:color="auto"/>
      </w:divBdr>
    </w:div>
    <w:div w:id="2106226819">
      <w:bodyDiv w:val="1"/>
      <w:marLeft w:val="0"/>
      <w:marRight w:val="0"/>
      <w:marTop w:val="0"/>
      <w:marBottom w:val="0"/>
      <w:divBdr>
        <w:top w:val="none" w:sz="0" w:space="0" w:color="auto"/>
        <w:left w:val="none" w:sz="0" w:space="0" w:color="auto"/>
        <w:bottom w:val="none" w:sz="0" w:space="0" w:color="auto"/>
        <w:right w:val="none" w:sz="0" w:space="0" w:color="auto"/>
      </w:divBdr>
      <w:divsChild>
        <w:div w:id="596443910">
          <w:marLeft w:val="1800"/>
          <w:marRight w:val="0"/>
          <w:marTop w:val="100"/>
          <w:marBottom w:val="0"/>
          <w:divBdr>
            <w:top w:val="none" w:sz="0" w:space="0" w:color="auto"/>
            <w:left w:val="none" w:sz="0" w:space="0" w:color="auto"/>
            <w:bottom w:val="none" w:sz="0" w:space="0" w:color="auto"/>
            <w:right w:val="none" w:sz="0" w:space="0" w:color="auto"/>
          </w:divBdr>
        </w:div>
        <w:div w:id="1148396596">
          <w:marLeft w:val="1080"/>
          <w:marRight w:val="0"/>
          <w:marTop w:val="100"/>
          <w:marBottom w:val="0"/>
          <w:divBdr>
            <w:top w:val="none" w:sz="0" w:space="0" w:color="auto"/>
            <w:left w:val="none" w:sz="0" w:space="0" w:color="auto"/>
            <w:bottom w:val="none" w:sz="0" w:space="0" w:color="auto"/>
            <w:right w:val="none" w:sz="0" w:space="0" w:color="auto"/>
          </w:divBdr>
        </w:div>
        <w:div w:id="1260524868">
          <w:marLeft w:val="1080"/>
          <w:marRight w:val="0"/>
          <w:marTop w:val="100"/>
          <w:marBottom w:val="0"/>
          <w:divBdr>
            <w:top w:val="none" w:sz="0" w:space="0" w:color="auto"/>
            <w:left w:val="none" w:sz="0" w:space="0" w:color="auto"/>
            <w:bottom w:val="none" w:sz="0" w:space="0" w:color="auto"/>
            <w:right w:val="none" w:sz="0" w:space="0" w:color="auto"/>
          </w:divBdr>
        </w:div>
        <w:div w:id="1852723145">
          <w:marLeft w:val="1080"/>
          <w:marRight w:val="0"/>
          <w:marTop w:val="100"/>
          <w:marBottom w:val="0"/>
          <w:divBdr>
            <w:top w:val="none" w:sz="0" w:space="0" w:color="auto"/>
            <w:left w:val="none" w:sz="0" w:space="0" w:color="auto"/>
            <w:bottom w:val="none" w:sz="0" w:space="0" w:color="auto"/>
            <w:right w:val="none" w:sz="0" w:space="0" w:color="auto"/>
          </w:divBdr>
        </w:div>
        <w:div w:id="1917787262">
          <w:marLeft w:val="360"/>
          <w:marRight w:val="0"/>
          <w:marTop w:val="200"/>
          <w:marBottom w:val="0"/>
          <w:divBdr>
            <w:top w:val="none" w:sz="0" w:space="0" w:color="auto"/>
            <w:left w:val="none" w:sz="0" w:space="0" w:color="auto"/>
            <w:bottom w:val="none" w:sz="0" w:space="0" w:color="auto"/>
            <w:right w:val="none" w:sz="0" w:space="0" w:color="auto"/>
          </w:divBdr>
        </w:div>
      </w:divsChild>
    </w:div>
    <w:div w:id="2107577525">
      <w:bodyDiv w:val="1"/>
      <w:marLeft w:val="0"/>
      <w:marRight w:val="0"/>
      <w:marTop w:val="0"/>
      <w:marBottom w:val="0"/>
      <w:divBdr>
        <w:top w:val="none" w:sz="0" w:space="0" w:color="auto"/>
        <w:left w:val="none" w:sz="0" w:space="0" w:color="auto"/>
        <w:bottom w:val="none" w:sz="0" w:space="0" w:color="auto"/>
        <w:right w:val="none" w:sz="0" w:space="0" w:color="auto"/>
      </w:divBdr>
    </w:div>
    <w:div w:id="2107604816">
      <w:bodyDiv w:val="1"/>
      <w:marLeft w:val="0"/>
      <w:marRight w:val="0"/>
      <w:marTop w:val="0"/>
      <w:marBottom w:val="0"/>
      <w:divBdr>
        <w:top w:val="none" w:sz="0" w:space="0" w:color="auto"/>
        <w:left w:val="none" w:sz="0" w:space="0" w:color="auto"/>
        <w:bottom w:val="none" w:sz="0" w:space="0" w:color="auto"/>
        <w:right w:val="none" w:sz="0" w:space="0" w:color="auto"/>
      </w:divBdr>
    </w:div>
    <w:div w:id="2107731005">
      <w:bodyDiv w:val="1"/>
      <w:marLeft w:val="0"/>
      <w:marRight w:val="0"/>
      <w:marTop w:val="0"/>
      <w:marBottom w:val="0"/>
      <w:divBdr>
        <w:top w:val="none" w:sz="0" w:space="0" w:color="auto"/>
        <w:left w:val="none" w:sz="0" w:space="0" w:color="auto"/>
        <w:bottom w:val="none" w:sz="0" w:space="0" w:color="auto"/>
        <w:right w:val="none" w:sz="0" w:space="0" w:color="auto"/>
      </w:divBdr>
      <w:divsChild>
        <w:div w:id="189532124">
          <w:marLeft w:val="1166"/>
          <w:marRight w:val="0"/>
          <w:marTop w:val="134"/>
          <w:marBottom w:val="0"/>
          <w:divBdr>
            <w:top w:val="none" w:sz="0" w:space="0" w:color="auto"/>
            <w:left w:val="none" w:sz="0" w:space="0" w:color="auto"/>
            <w:bottom w:val="none" w:sz="0" w:space="0" w:color="auto"/>
            <w:right w:val="none" w:sz="0" w:space="0" w:color="auto"/>
          </w:divBdr>
        </w:div>
        <w:div w:id="1008211365">
          <w:marLeft w:val="547"/>
          <w:marRight w:val="0"/>
          <w:marTop w:val="154"/>
          <w:marBottom w:val="0"/>
          <w:divBdr>
            <w:top w:val="none" w:sz="0" w:space="0" w:color="auto"/>
            <w:left w:val="none" w:sz="0" w:space="0" w:color="auto"/>
            <w:bottom w:val="none" w:sz="0" w:space="0" w:color="auto"/>
            <w:right w:val="none" w:sz="0" w:space="0" w:color="auto"/>
          </w:divBdr>
        </w:div>
        <w:div w:id="1071930670">
          <w:marLeft w:val="1800"/>
          <w:marRight w:val="0"/>
          <w:marTop w:val="115"/>
          <w:marBottom w:val="0"/>
          <w:divBdr>
            <w:top w:val="none" w:sz="0" w:space="0" w:color="auto"/>
            <w:left w:val="none" w:sz="0" w:space="0" w:color="auto"/>
            <w:bottom w:val="none" w:sz="0" w:space="0" w:color="auto"/>
            <w:right w:val="none" w:sz="0" w:space="0" w:color="auto"/>
          </w:divBdr>
        </w:div>
        <w:div w:id="2144425403">
          <w:marLeft w:val="1166"/>
          <w:marRight w:val="0"/>
          <w:marTop w:val="134"/>
          <w:marBottom w:val="0"/>
          <w:divBdr>
            <w:top w:val="none" w:sz="0" w:space="0" w:color="auto"/>
            <w:left w:val="none" w:sz="0" w:space="0" w:color="auto"/>
            <w:bottom w:val="none" w:sz="0" w:space="0" w:color="auto"/>
            <w:right w:val="none" w:sz="0" w:space="0" w:color="auto"/>
          </w:divBdr>
        </w:div>
      </w:divsChild>
    </w:div>
    <w:div w:id="2109425860">
      <w:bodyDiv w:val="1"/>
      <w:marLeft w:val="0"/>
      <w:marRight w:val="0"/>
      <w:marTop w:val="0"/>
      <w:marBottom w:val="0"/>
      <w:divBdr>
        <w:top w:val="none" w:sz="0" w:space="0" w:color="auto"/>
        <w:left w:val="none" w:sz="0" w:space="0" w:color="auto"/>
        <w:bottom w:val="none" w:sz="0" w:space="0" w:color="auto"/>
        <w:right w:val="none" w:sz="0" w:space="0" w:color="auto"/>
      </w:divBdr>
    </w:div>
    <w:div w:id="2109541327">
      <w:bodyDiv w:val="1"/>
      <w:marLeft w:val="0"/>
      <w:marRight w:val="0"/>
      <w:marTop w:val="0"/>
      <w:marBottom w:val="0"/>
      <w:divBdr>
        <w:top w:val="none" w:sz="0" w:space="0" w:color="auto"/>
        <w:left w:val="none" w:sz="0" w:space="0" w:color="auto"/>
        <w:bottom w:val="none" w:sz="0" w:space="0" w:color="auto"/>
        <w:right w:val="none" w:sz="0" w:space="0" w:color="auto"/>
      </w:divBdr>
    </w:div>
    <w:div w:id="2109613009">
      <w:bodyDiv w:val="1"/>
      <w:marLeft w:val="0"/>
      <w:marRight w:val="0"/>
      <w:marTop w:val="0"/>
      <w:marBottom w:val="0"/>
      <w:divBdr>
        <w:top w:val="none" w:sz="0" w:space="0" w:color="auto"/>
        <w:left w:val="none" w:sz="0" w:space="0" w:color="auto"/>
        <w:bottom w:val="none" w:sz="0" w:space="0" w:color="auto"/>
        <w:right w:val="none" w:sz="0" w:space="0" w:color="auto"/>
      </w:divBdr>
    </w:div>
    <w:div w:id="2109767255">
      <w:bodyDiv w:val="1"/>
      <w:marLeft w:val="0"/>
      <w:marRight w:val="0"/>
      <w:marTop w:val="0"/>
      <w:marBottom w:val="0"/>
      <w:divBdr>
        <w:top w:val="none" w:sz="0" w:space="0" w:color="auto"/>
        <w:left w:val="none" w:sz="0" w:space="0" w:color="auto"/>
        <w:bottom w:val="none" w:sz="0" w:space="0" w:color="auto"/>
        <w:right w:val="none" w:sz="0" w:space="0" w:color="auto"/>
      </w:divBdr>
    </w:div>
    <w:div w:id="2110660587">
      <w:bodyDiv w:val="1"/>
      <w:marLeft w:val="0"/>
      <w:marRight w:val="0"/>
      <w:marTop w:val="0"/>
      <w:marBottom w:val="0"/>
      <w:divBdr>
        <w:top w:val="none" w:sz="0" w:space="0" w:color="auto"/>
        <w:left w:val="none" w:sz="0" w:space="0" w:color="auto"/>
        <w:bottom w:val="none" w:sz="0" w:space="0" w:color="auto"/>
        <w:right w:val="none" w:sz="0" w:space="0" w:color="auto"/>
      </w:divBdr>
    </w:div>
    <w:div w:id="2111074477">
      <w:bodyDiv w:val="1"/>
      <w:marLeft w:val="0"/>
      <w:marRight w:val="0"/>
      <w:marTop w:val="0"/>
      <w:marBottom w:val="0"/>
      <w:divBdr>
        <w:top w:val="none" w:sz="0" w:space="0" w:color="auto"/>
        <w:left w:val="none" w:sz="0" w:space="0" w:color="auto"/>
        <w:bottom w:val="none" w:sz="0" w:space="0" w:color="auto"/>
        <w:right w:val="none" w:sz="0" w:space="0" w:color="auto"/>
      </w:divBdr>
    </w:div>
    <w:div w:id="2111314136">
      <w:bodyDiv w:val="1"/>
      <w:marLeft w:val="0"/>
      <w:marRight w:val="0"/>
      <w:marTop w:val="0"/>
      <w:marBottom w:val="0"/>
      <w:divBdr>
        <w:top w:val="none" w:sz="0" w:space="0" w:color="auto"/>
        <w:left w:val="none" w:sz="0" w:space="0" w:color="auto"/>
        <w:bottom w:val="none" w:sz="0" w:space="0" w:color="auto"/>
        <w:right w:val="none" w:sz="0" w:space="0" w:color="auto"/>
      </w:divBdr>
    </w:div>
    <w:div w:id="2111387893">
      <w:bodyDiv w:val="1"/>
      <w:marLeft w:val="0"/>
      <w:marRight w:val="0"/>
      <w:marTop w:val="0"/>
      <w:marBottom w:val="0"/>
      <w:divBdr>
        <w:top w:val="none" w:sz="0" w:space="0" w:color="auto"/>
        <w:left w:val="none" w:sz="0" w:space="0" w:color="auto"/>
        <w:bottom w:val="none" w:sz="0" w:space="0" w:color="auto"/>
        <w:right w:val="none" w:sz="0" w:space="0" w:color="auto"/>
      </w:divBdr>
    </w:div>
    <w:div w:id="2111854479">
      <w:bodyDiv w:val="1"/>
      <w:marLeft w:val="0"/>
      <w:marRight w:val="0"/>
      <w:marTop w:val="0"/>
      <w:marBottom w:val="0"/>
      <w:divBdr>
        <w:top w:val="none" w:sz="0" w:space="0" w:color="auto"/>
        <w:left w:val="none" w:sz="0" w:space="0" w:color="auto"/>
        <w:bottom w:val="none" w:sz="0" w:space="0" w:color="auto"/>
        <w:right w:val="none" w:sz="0" w:space="0" w:color="auto"/>
      </w:divBdr>
    </w:div>
    <w:div w:id="2112629783">
      <w:bodyDiv w:val="1"/>
      <w:marLeft w:val="0"/>
      <w:marRight w:val="0"/>
      <w:marTop w:val="0"/>
      <w:marBottom w:val="0"/>
      <w:divBdr>
        <w:top w:val="none" w:sz="0" w:space="0" w:color="auto"/>
        <w:left w:val="none" w:sz="0" w:space="0" w:color="auto"/>
        <w:bottom w:val="none" w:sz="0" w:space="0" w:color="auto"/>
        <w:right w:val="none" w:sz="0" w:space="0" w:color="auto"/>
      </w:divBdr>
    </w:div>
    <w:div w:id="2113084892">
      <w:bodyDiv w:val="1"/>
      <w:marLeft w:val="0"/>
      <w:marRight w:val="0"/>
      <w:marTop w:val="0"/>
      <w:marBottom w:val="0"/>
      <w:divBdr>
        <w:top w:val="none" w:sz="0" w:space="0" w:color="auto"/>
        <w:left w:val="none" w:sz="0" w:space="0" w:color="auto"/>
        <w:bottom w:val="none" w:sz="0" w:space="0" w:color="auto"/>
        <w:right w:val="none" w:sz="0" w:space="0" w:color="auto"/>
      </w:divBdr>
      <w:divsChild>
        <w:div w:id="1375419910">
          <w:marLeft w:val="0"/>
          <w:marRight w:val="0"/>
          <w:marTop w:val="0"/>
          <w:marBottom w:val="0"/>
          <w:divBdr>
            <w:top w:val="none" w:sz="0" w:space="0" w:color="auto"/>
            <w:left w:val="none" w:sz="0" w:space="0" w:color="auto"/>
            <w:bottom w:val="none" w:sz="0" w:space="0" w:color="auto"/>
            <w:right w:val="none" w:sz="0" w:space="0" w:color="auto"/>
          </w:divBdr>
          <w:divsChild>
            <w:div w:id="622613175">
              <w:marLeft w:val="0"/>
              <w:marRight w:val="0"/>
              <w:marTop w:val="0"/>
              <w:marBottom w:val="0"/>
              <w:divBdr>
                <w:top w:val="none" w:sz="0" w:space="0" w:color="auto"/>
                <w:left w:val="none" w:sz="0" w:space="0" w:color="auto"/>
                <w:bottom w:val="none" w:sz="0" w:space="0" w:color="auto"/>
                <w:right w:val="none" w:sz="0" w:space="0" w:color="auto"/>
              </w:divBdr>
            </w:div>
            <w:div w:id="21226477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2926">
      <w:bodyDiv w:val="1"/>
      <w:marLeft w:val="0"/>
      <w:marRight w:val="0"/>
      <w:marTop w:val="0"/>
      <w:marBottom w:val="0"/>
      <w:divBdr>
        <w:top w:val="none" w:sz="0" w:space="0" w:color="auto"/>
        <w:left w:val="none" w:sz="0" w:space="0" w:color="auto"/>
        <w:bottom w:val="none" w:sz="0" w:space="0" w:color="auto"/>
        <w:right w:val="none" w:sz="0" w:space="0" w:color="auto"/>
      </w:divBdr>
    </w:div>
    <w:div w:id="2113427919">
      <w:bodyDiv w:val="1"/>
      <w:marLeft w:val="0"/>
      <w:marRight w:val="0"/>
      <w:marTop w:val="0"/>
      <w:marBottom w:val="0"/>
      <w:divBdr>
        <w:top w:val="none" w:sz="0" w:space="0" w:color="auto"/>
        <w:left w:val="none" w:sz="0" w:space="0" w:color="auto"/>
        <w:bottom w:val="none" w:sz="0" w:space="0" w:color="auto"/>
        <w:right w:val="none" w:sz="0" w:space="0" w:color="auto"/>
      </w:divBdr>
    </w:div>
    <w:div w:id="2113625767">
      <w:bodyDiv w:val="1"/>
      <w:marLeft w:val="0"/>
      <w:marRight w:val="0"/>
      <w:marTop w:val="0"/>
      <w:marBottom w:val="0"/>
      <w:divBdr>
        <w:top w:val="none" w:sz="0" w:space="0" w:color="auto"/>
        <w:left w:val="none" w:sz="0" w:space="0" w:color="auto"/>
        <w:bottom w:val="none" w:sz="0" w:space="0" w:color="auto"/>
        <w:right w:val="none" w:sz="0" w:space="0" w:color="auto"/>
      </w:divBdr>
    </w:div>
    <w:div w:id="2114400540">
      <w:bodyDiv w:val="1"/>
      <w:marLeft w:val="0"/>
      <w:marRight w:val="0"/>
      <w:marTop w:val="0"/>
      <w:marBottom w:val="0"/>
      <w:divBdr>
        <w:top w:val="none" w:sz="0" w:space="0" w:color="auto"/>
        <w:left w:val="none" w:sz="0" w:space="0" w:color="auto"/>
        <w:bottom w:val="none" w:sz="0" w:space="0" w:color="auto"/>
        <w:right w:val="none" w:sz="0" w:space="0" w:color="auto"/>
      </w:divBdr>
      <w:divsChild>
        <w:div w:id="274412731">
          <w:marLeft w:val="547"/>
          <w:marRight w:val="0"/>
          <w:marTop w:val="134"/>
          <w:marBottom w:val="0"/>
          <w:divBdr>
            <w:top w:val="none" w:sz="0" w:space="0" w:color="auto"/>
            <w:left w:val="none" w:sz="0" w:space="0" w:color="auto"/>
            <w:bottom w:val="none" w:sz="0" w:space="0" w:color="auto"/>
            <w:right w:val="none" w:sz="0" w:space="0" w:color="auto"/>
          </w:divBdr>
        </w:div>
      </w:divsChild>
    </w:div>
    <w:div w:id="2114661879">
      <w:bodyDiv w:val="1"/>
      <w:marLeft w:val="0"/>
      <w:marRight w:val="0"/>
      <w:marTop w:val="0"/>
      <w:marBottom w:val="0"/>
      <w:divBdr>
        <w:top w:val="none" w:sz="0" w:space="0" w:color="auto"/>
        <w:left w:val="none" w:sz="0" w:space="0" w:color="auto"/>
        <w:bottom w:val="none" w:sz="0" w:space="0" w:color="auto"/>
        <w:right w:val="none" w:sz="0" w:space="0" w:color="auto"/>
      </w:divBdr>
    </w:div>
    <w:div w:id="2116288534">
      <w:bodyDiv w:val="1"/>
      <w:marLeft w:val="0"/>
      <w:marRight w:val="0"/>
      <w:marTop w:val="0"/>
      <w:marBottom w:val="0"/>
      <w:divBdr>
        <w:top w:val="none" w:sz="0" w:space="0" w:color="auto"/>
        <w:left w:val="none" w:sz="0" w:space="0" w:color="auto"/>
        <w:bottom w:val="none" w:sz="0" w:space="0" w:color="auto"/>
        <w:right w:val="none" w:sz="0" w:space="0" w:color="auto"/>
      </w:divBdr>
    </w:div>
    <w:div w:id="2116361831">
      <w:bodyDiv w:val="1"/>
      <w:marLeft w:val="0"/>
      <w:marRight w:val="0"/>
      <w:marTop w:val="0"/>
      <w:marBottom w:val="0"/>
      <w:divBdr>
        <w:top w:val="none" w:sz="0" w:space="0" w:color="auto"/>
        <w:left w:val="none" w:sz="0" w:space="0" w:color="auto"/>
        <w:bottom w:val="none" w:sz="0" w:space="0" w:color="auto"/>
        <w:right w:val="none" w:sz="0" w:space="0" w:color="auto"/>
      </w:divBdr>
    </w:div>
    <w:div w:id="2116555076">
      <w:bodyDiv w:val="1"/>
      <w:marLeft w:val="0"/>
      <w:marRight w:val="0"/>
      <w:marTop w:val="0"/>
      <w:marBottom w:val="0"/>
      <w:divBdr>
        <w:top w:val="none" w:sz="0" w:space="0" w:color="auto"/>
        <w:left w:val="none" w:sz="0" w:space="0" w:color="auto"/>
        <w:bottom w:val="none" w:sz="0" w:space="0" w:color="auto"/>
        <w:right w:val="none" w:sz="0" w:space="0" w:color="auto"/>
      </w:divBdr>
    </w:div>
    <w:div w:id="2117747728">
      <w:bodyDiv w:val="1"/>
      <w:marLeft w:val="0"/>
      <w:marRight w:val="0"/>
      <w:marTop w:val="0"/>
      <w:marBottom w:val="0"/>
      <w:divBdr>
        <w:top w:val="none" w:sz="0" w:space="0" w:color="auto"/>
        <w:left w:val="none" w:sz="0" w:space="0" w:color="auto"/>
        <w:bottom w:val="none" w:sz="0" w:space="0" w:color="auto"/>
        <w:right w:val="none" w:sz="0" w:space="0" w:color="auto"/>
      </w:divBdr>
    </w:div>
    <w:div w:id="2118136923">
      <w:bodyDiv w:val="1"/>
      <w:marLeft w:val="0"/>
      <w:marRight w:val="0"/>
      <w:marTop w:val="0"/>
      <w:marBottom w:val="0"/>
      <w:divBdr>
        <w:top w:val="none" w:sz="0" w:space="0" w:color="auto"/>
        <w:left w:val="none" w:sz="0" w:space="0" w:color="auto"/>
        <w:bottom w:val="none" w:sz="0" w:space="0" w:color="auto"/>
        <w:right w:val="none" w:sz="0" w:space="0" w:color="auto"/>
      </w:divBdr>
    </w:div>
    <w:div w:id="2118329790">
      <w:bodyDiv w:val="1"/>
      <w:marLeft w:val="0"/>
      <w:marRight w:val="0"/>
      <w:marTop w:val="0"/>
      <w:marBottom w:val="0"/>
      <w:divBdr>
        <w:top w:val="none" w:sz="0" w:space="0" w:color="auto"/>
        <w:left w:val="none" w:sz="0" w:space="0" w:color="auto"/>
        <w:bottom w:val="none" w:sz="0" w:space="0" w:color="auto"/>
        <w:right w:val="none" w:sz="0" w:space="0" w:color="auto"/>
      </w:divBdr>
    </w:div>
    <w:div w:id="2118409177">
      <w:bodyDiv w:val="1"/>
      <w:marLeft w:val="0"/>
      <w:marRight w:val="0"/>
      <w:marTop w:val="0"/>
      <w:marBottom w:val="0"/>
      <w:divBdr>
        <w:top w:val="none" w:sz="0" w:space="0" w:color="auto"/>
        <w:left w:val="none" w:sz="0" w:space="0" w:color="auto"/>
        <w:bottom w:val="none" w:sz="0" w:space="0" w:color="auto"/>
        <w:right w:val="none" w:sz="0" w:space="0" w:color="auto"/>
      </w:divBdr>
    </w:div>
    <w:div w:id="2119566859">
      <w:bodyDiv w:val="1"/>
      <w:marLeft w:val="0"/>
      <w:marRight w:val="0"/>
      <w:marTop w:val="0"/>
      <w:marBottom w:val="0"/>
      <w:divBdr>
        <w:top w:val="none" w:sz="0" w:space="0" w:color="auto"/>
        <w:left w:val="none" w:sz="0" w:space="0" w:color="auto"/>
        <w:bottom w:val="none" w:sz="0" w:space="0" w:color="auto"/>
        <w:right w:val="none" w:sz="0" w:space="0" w:color="auto"/>
      </w:divBdr>
    </w:div>
    <w:div w:id="2120833005">
      <w:bodyDiv w:val="1"/>
      <w:marLeft w:val="0"/>
      <w:marRight w:val="0"/>
      <w:marTop w:val="0"/>
      <w:marBottom w:val="0"/>
      <w:divBdr>
        <w:top w:val="none" w:sz="0" w:space="0" w:color="auto"/>
        <w:left w:val="none" w:sz="0" w:space="0" w:color="auto"/>
        <w:bottom w:val="none" w:sz="0" w:space="0" w:color="auto"/>
        <w:right w:val="none" w:sz="0" w:space="0" w:color="auto"/>
      </w:divBdr>
    </w:div>
    <w:div w:id="2121295096">
      <w:bodyDiv w:val="1"/>
      <w:marLeft w:val="0"/>
      <w:marRight w:val="0"/>
      <w:marTop w:val="0"/>
      <w:marBottom w:val="0"/>
      <w:divBdr>
        <w:top w:val="none" w:sz="0" w:space="0" w:color="auto"/>
        <w:left w:val="none" w:sz="0" w:space="0" w:color="auto"/>
        <w:bottom w:val="none" w:sz="0" w:space="0" w:color="auto"/>
        <w:right w:val="none" w:sz="0" w:space="0" w:color="auto"/>
      </w:divBdr>
    </w:div>
    <w:div w:id="2121874038">
      <w:bodyDiv w:val="1"/>
      <w:marLeft w:val="0"/>
      <w:marRight w:val="0"/>
      <w:marTop w:val="0"/>
      <w:marBottom w:val="0"/>
      <w:divBdr>
        <w:top w:val="none" w:sz="0" w:space="0" w:color="auto"/>
        <w:left w:val="none" w:sz="0" w:space="0" w:color="auto"/>
        <w:bottom w:val="none" w:sz="0" w:space="0" w:color="auto"/>
        <w:right w:val="none" w:sz="0" w:space="0" w:color="auto"/>
      </w:divBdr>
    </w:div>
    <w:div w:id="2122261140">
      <w:bodyDiv w:val="1"/>
      <w:marLeft w:val="0"/>
      <w:marRight w:val="0"/>
      <w:marTop w:val="0"/>
      <w:marBottom w:val="0"/>
      <w:divBdr>
        <w:top w:val="none" w:sz="0" w:space="0" w:color="auto"/>
        <w:left w:val="none" w:sz="0" w:space="0" w:color="auto"/>
        <w:bottom w:val="none" w:sz="0" w:space="0" w:color="auto"/>
        <w:right w:val="none" w:sz="0" w:space="0" w:color="auto"/>
      </w:divBdr>
    </w:div>
    <w:div w:id="2122411245">
      <w:bodyDiv w:val="1"/>
      <w:marLeft w:val="0"/>
      <w:marRight w:val="0"/>
      <w:marTop w:val="0"/>
      <w:marBottom w:val="0"/>
      <w:divBdr>
        <w:top w:val="none" w:sz="0" w:space="0" w:color="auto"/>
        <w:left w:val="none" w:sz="0" w:space="0" w:color="auto"/>
        <w:bottom w:val="none" w:sz="0" w:space="0" w:color="auto"/>
        <w:right w:val="none" w:sz="0" w:space="0" w:color="auto"/>
      </w:divBdr>
    </w:div>
    <w:div w:id="2122845193">
      <w:bodyDiv w:val="1"/>
      <w:marLeft w:val="0"/>
      <w:marRight w:val="0"/>
      <w:marTop w:val="0"/>
      <w:marBottom w:val="0"/>
      <w:divBdr>
        <w:top w:val="none" w:sz="0" w:space="0" w:color="auto"/>
        <w:left w:val="none" w:sz="0" w:space="0" w:color="auto"/>
        <w:bottom w:val="none" w:sz="0" w:space="0" w:color="auto"/>
        <w:right w:val="none" w:sz="0" w:space="0" w:color="auto"/>
      </w:divBdr>
    </w:div>
    <w:div w:id="2123257057">
      <w:bodyDiv w:val="1"/>
      <w:marLeft w:val="0"/>
      <w:marRight w:val="0"/>
      <w:marTop w:val="0"/>
      <w:marBottom w:val="0"/>
      <w:divBdr>
        <w:top w:val="none" w:sz="0" w:space="0" w:color="auto"/>
        <w:left w:val="none" w:sz="0" w:space="0" w:color="auto"/>
        <w:bottom w:val="none" w:sz="0" w:space="0" w:color="auto"/>
        <w:right w:val="none" w:sz="0" w:space="0" w:color="auto"/>
      </w:divBdr>
    </w:div>
    <w:div w:id="2123717722">
      <w:bodyDiv w:val="1"/>
      <w:marLeft w:val="0"/>
      <w:marRight w:val="0"/>
      <w:marTop w:val="0"/>
      <w:marBottom w:val="0"/>
      <w:divBdr>
        <w:top w:val="none" w:sz="0" w:space="0" w:color="auto"/>
        <w:left w:val="none" w:sz="0" w:space="0" w:color="auto"/>
        <w:bottom w:val="none" w:sz="0" w:space="0" w:color="auto"/>
        <w:right w:val="none" w:sz="0" w:space="0" w:color="auto"/>
      </w:divBdr>
    </w:div>
    <w:div w:id="2123913769">
      <w:bodyDiv w:val="1"/>
      <w:marLeft w:val="0"/>
      <w:marRight w:val="0"/>
      <w:marTop w:val="0"/>
      <w:marBottom w:val="0"/>
      <w:divBdr>
        <w:top w:val="none" w:sz="0" w:space="0" w:color="auto"/>
        <w:left w:val="none" w:sz="0" w:space="0" w:color="auto"/>
        <w:bottom w:val="none" w:sz="0" w:space="0" w:color="auto"/>
        <w:right w:val="none" w:sz="0" w:space="0" w:color="auto"/>
      </w:divBdr>
      <w:divsChild>
        <w:div w:id="253128865">
          <w:marLeft w:val="0"/>
          <w:marRight w:val="0"/>
          <w:marTop w:val="0"/>
          <w:marBottom w:val="0"/>
          <w:divBdr>
            <w:top w:val="none" w:sz="0" w:space="0" w:color="auto"/>
            <w:left w:val="none" w:sz="0" w:space="0" w:color="auto"/>
            <w:bottom w:val="none" w:sz="0" w:space="0" w:color="auto"/>
            <w:right w:val="none" w:sz="0" w:space="0" w:color="auto"/>
          </w:divBdr>
        </w:div>
      </w:divsChild>
    </w:div>
    <w:div w:id="2124230999">
      <w:bodyDiv w:val="1"/>
      <w:marLeft w:val="0"/>
      <w:marRight w:val="0"/>
      <w:marTop w:val="0"/>
      <w:marBottom w:val="0"/>
      <w:divBdr>
        <w:top w:val="none" w:sz="0" w:space="0" w:color="auto"/>
        <w:left w:val="none" w:sz="0" w:space="0" w:color="auto"/>
        <w:bottom w:val="none" w:sz="0" w:space="0" w:color="auto"/>
        <w:right w:val="none" w:sz="0" w:space="0" w:color="auto"/>
      </w:divBdr>
      <w:divsChild>
        <w:div w:id="76949321">
          <w:marLeft w:val="1166"/>
          <w:marRight w:val="0"/>
          <w:marTop w:val="96"/>
          <w:marBottom w:val="0"/>
          <w:divBdr>
            <w:top w:val="none" w:sz="0" w:space="0" w:color="auto"/>
            <w:left w:val="none" w:sz="0" w:space="0" w:color="auto"/>
            <w:bottom w:val="none" w:sz="0" w:space="0" w:color="auto"/>
            <w:right w:val="none" w:sz="0" w:space="0" w:color="auto"/>
          </w:divBdr>
        </w:div>
        <w:div w:id="447892484">
          <w:marLeft w:val="1800"/>
          <w:marRight w:val="0"/>
          <w:marTop w:val="77"/>
          <w:marBottom w:val="0"/>
          <w:divBdr>
            <w:top w:val="none" w:sz="0" w:space="0" w:color="auto"/>
            <w:left w:val="none" w:sz="0" w:space="0" w:color="auto"/>
            <w:bottom w:val="none" w:sz="0" w:space="0" w:color="auto"/>
            <w:right w:val="none" w:sz="0" w:space="0" w:color="auto"/>
          </w:divBdr>
        </w:div>
        <w:div w:id="553203902">
          <w:marLeft w:val="2520"/>
          <w:marRight w:val="0"/>
          <w:marTop w:val="77"/>
          <w:marBottom w:val="0"/>
          <w:divBdr>
            <w:top w:val="none" w:sz="0" w:space="0" w:color="auto"/>
            <w:left w:val="none" w:sz="0" w:space="0" w:color="auto"/>
            <w:bottom w:val="none" w:sz="0" w:space="0" w:color="auto"/>
            <w:right w:val="none" w:sz="0" w:space="0" w:color="auto"/>
          </w:divBdr>
        </w:div>
        <w:div w:id="612320197">
          <w:marLeft w:val="1800"/>
          <w:marRight w:val="0"/>
          <w:marTop w:val="77"/>
          <w:marBottom w:val="0"/>
          <w:divBdr>
            <w:top w:val="none" w:sz="0" w:space="0" w:color="auto"/>
            <w:left w:val="none" w:sz="0" w:space="0" w:color="auto"/>
            <w:bottom w:val="none" w:sz="0" w:space="0" w:color="auto"/>
            <w:right w:val="none" w:sz="0" w:space="0" w:color="auto"/>
          </w:divBdr>
        </w:div>
        <w:div w:id="1039159900">
          <w:marLeft w:val="1800"/>
          <w:marRight w:val="0"/>
          <w:marTop w:val="77"/>
          <w:marBottom w:val="0"/>
          <w:divBdr>
            <w:top w:val="none" w:sz="0" w:space="0" w:color="auto"/>
            <w:left w:val="none" w:sz="0" w:space="0" w:color="auto"/>
            <w:bottom w:val="none" w:sz="0" w:space="0" w:color="auto"/>
            <w:right w:val="none" w:sz="0" w:space="0" w:color="auto"/>
          </w:divBdr>
        </w:div>
        <w:div w:id="1102796164">
          <w:marLeft w:val="1166"/>
          <w:marRight w:val="0"/>
          <w:marTop w:val="96"/>
          <w:marBottom w:val="0"/>
          <w:divBdr>
            <w:top w:val="none" w:sz="0" w:space="0" w:color="auto"/>
            <w:left w:val="none" w:sz="0" w:space="0" w:color="auto"/>
            <w:bottom w:val="none" w:sz="0" w:space="0" w:color="auto"/>
            <w:right w:val="none" w:sz="0" w:space="0" w:color="auto"/>
          </w:divBdr>
        </w:div>
        <w:div w:id="1152864601">
          <w:marLeft w:val="1800"/>
          <w:marRight w:val="0"/>
          <w:marTop w:val="77"/>
          <w:marBottom w:val="0"/>
          <w:divBdr>
            <w:top w:val="none" w:sz="0" w:space="0" w:color="auto"/>
            <w:left w:val="none" w:sz="0" w:space="0" w:color="auto"/>
            <w:bottom w:val="none" w:sz="0" w:space="0" w:color="auto"/>
            <w:right w:val="none" w:sz="0" w:space="0" w:color="auto"/>
          </w:divBdr>
        </w:div>
        <w:div w:id="1603565029">
          <w:marLeft w:val="1800"/>
          <w:marRight w:val="0"/>
          <w:marTop w:val="77"/>
          <w:marBottom w:val="0"/>
          <w:divBdr>
            <w:top w:val="none" w:sz="0" w:space="0" w:color="auto"/>
            <w:left w:val="none" w:sz="0" w:space="0" w:color="auto"/>
            <w:bottom w:val="none" w:sz="0" w:space="0" w:color="auto"/>
            <w:right w:val="none" w:sz="0" w:space="0" w:color="auto"/>
          </w:divBdr>
        </w:div>
        <w:div w:id="1835534776">
          <w:marLeft w:val="547"/>
          <w:marRight w:val="0"/>
          <w:marTop w:val="115"/>
          <w:marBottom w:val="0"/>
          <w:divBdr>
            <w:top w:val="none" w:sz="0" w:space="0" w:color="auto"/>
            <w:left w:val="none" w:sz="0" w:space="0" w:color="auto"/>
            <w:bottom w:val="none" w:sz="0" w:space="0" w:color="auto"/>
            <w:right w:val="none" w:sz="0" w:space="0" w:color="auto"/>
          </w:divBdr>
        </w:div>
        <w:div w:id="1980113822">
          <w:marLeft w:val="1800"/>
          <w:marRight w:val="0"/>
          <w:marTop w:val="77"/>
          <w:marBottom w:val="0"/>
          <w:divBdr>
            <w:top w:val="none" w:sz="0" w:space="0" w:color="auto"/>
            <w:left w:val="none" w:sz="0" w:space="0" w:color="auto"/>
            <w:bottom w:val="none" w:sz="0" w:space="0" w:color="auto"/>
            <w:right w:val="none" w:sz="0" w:space="0" w:color="auto"/>
          </w:divBdr>
        </w:div>
      </w:divsChild>
    </w:div>
    <w:div w:id="2124568729">
      <w:bodyDiv w:val="1"/>
      <w:marLeft w:val="0"/>
      <w:marRight w:val="0"/>
      <w:marTop w:val="0"/>
      <w:marBottom w:val="0"/>
      <w:divBdr>
        <w:top w:val="none" w:sz="0" w:space="0" w:color="auto"/>
        <w:left w:val="none" w:sz="0" w:space="0" w:color="auto"/>
        <w:bottom w:val="none" w:sz="0" w:space="0" w:color="auto"/>
        <w:right w:val="none" w:sz="0" w:space="0" w:color="auto"/>
      </w:divBdr>
      <w:divsChild>
        <w:div w:id="32311392">
          <w:marLeft w:val="1800"/>
          <w:marRight w:val="0"/>
          <w:marTop w:val="0"/>
          <w:marBottom w:val="0"/>
          <w:divBdr>
            <w:top w:val="none" w:sz="0" w:space="0" w:color="auto"/>
            <w:left w:val="none" w:sz="0" w:space="0" w:color="auto"/>
            <w:bottom w:val="none" w:sz="0" w:space="0" w:color="auto"/>
            <w:right w:val="none" w:sz="0" w:space="0" w:color="auto"/>
          </w:divBdr>
        </w:div>
        <w:div w:id="133912141">
          <w:marLeft w:val="2520"/>
          <w:marRight w:val="0"/>
          <w:marTop w:val="67"/>
          <w:marBottom w:val="0"/>
          <w:divBdr>
            <w:top w:val="none" w:sz="0" w:space="0" w:color="auto"/>
            <w:left w:val="none" w:sz="0" w:space="0" w:color="auto"/>
            <w:bottom w:val="none" w:sz="0" w:space="0" w:color="auto"/>
            <w:right w:val="none" w:sz="0" w:space="0" w:color="auto"/>
          </w:divBdr>
        </w:div>
        <w:div w:id="459347364">
          <w:marLeft w:val="1166"/>
          <w:marRight w:val="0"/>
          <w:marTop w:val="0"/>
          <w:marBottom w:val="0"/>
          <w:divBdr>
            <w:top w:val="none" w:sz="0" w:space="0" w:color="auto"/>
            <w:left w:val="none" w:sz="0" w:space="0" w:color="auto"/>
            <w:bottom w:val="none" w:sz="0" w:space="0" w:color="auto"/>
            <w:right w:val="none" w:sz="0" w:space="0" w:color="auto"/>
          </w:divBdr>
        </w:div>
        <w:div w:id="560748293">
          <w:marLeft w:val="2520"/>
          <w:marRight w:val="0"/>
          <w:marTop w:val="67"/>
          <w:marBottom w:val="0"/>
          <w:divBdr>
            <w:top w:val="none" w:sz="0" w:space="0" w:color="auto"/>
            <w:left w:val="none" w:sz="0" w:space="0" w:color="auto"/>
            <w:bottom w:val="none" w:sz="0" w:space="0" w:color="auto"/>
            <w:right w:val="none" w:sz="0" w:space="0" w:color="auto"/>
          </w:divBdr>
        </w:div>
        <w:div w:id="814567103">
          <w:marLeft w:val="1800"/>
          <w:marRight w:val="0"/>
          <w:marTop w:val="0"/>
          <w:marBottom w:val="0"/>
          <w:divBdr>
            <w:top w:val="none" w:sz="0" w:space="0" w:color="auto"/>
            <w:left w:val="none" w:sz="0" w:space="0" w:color="auto"/>
            <w:bottom w:val="none" w:sz="0" w:space="0" w:color="auto"/>
            <w:right w:val="none" w:sz="0" w:space="0" w:color="auto"/>
          </w:divBdr>
        </w:div>
        <w:div w:id="863249028">
          <w:marLeft w:val="2520"/>
          <w:marRight w:val="0"/>
          <w:marTop w:val="67"/>
          <w:marBottom w:val="0"/>
          <w:divBdr>
            <w:top w:val="none" w:sz="0" w:space="0" w:color="auto"/>
            <w:left w:val="none" w:sz="0" w:space="0" w:color="auto"/>
            <w:bottom w:val="none" w:sz="0" w:space="0" w:color="auto"/>
            <w:right w:val="none" w:sz="0" w:space="0" w:color="auto"/>
          </w:divBdr>
        </w:div>
        <w:div w:id="893855743">
          <w:marLeft w:val="1166"/>
          <w:marRight w:val="0"/>
          <w:marTop w:val="0"/>
          <w:marBottom w:val="0"/>
          <w:divBdr>
            <w:top w:val="none" w:sz="0" w:space="0" w:color="auto"/>
            <w:left w:val="none" w:sz="0" w:space="0" w:color="auto"/>
            <w:bottom w:val="none" w:sz="0" w:space="0" w:color="auto"/>
            <w:right w:val="none" w:sz="0" w:space="0" w:color="auto"/>
          </w:divBdr>
        </w:div>
        <w:div w:id="1060061093">
          <w:marLeft w:val="1800"/>
          <w:marRight w:val="0"/>
          <w:marTop w:val="86"/>
          <w:marBottom w:val="0"/>
          <w:divBdr>
            <w:top w:val="none" w:sz="0" w:space="0" w:color="auto"/>
            <w:left w:val="none" w:sz="0" w:space="0" w:color="auto"/>
            <w:bottom w:val="none" w:sz="0" w:space="0" w:color="auto"/>
            <w:right w:val="none" w:sz="0" w:space="0" w:color="auto"/>
          </w:divBdr>
        </w:div>
        <w:div w:id="1270628524">
          <w:marLeft w:val="2520"/>
          <w:marRight w:val="0"/>
          <w:marTop w:val="67"/>
          <w:marBottom w:val="0"/>
          <w:divBdr>
            <w:top w:val="none" w:sz="0" w:space="0" w:color="auto"/>
            <w:left w:val="none" w:sz="0" w:space="0" w:color="auto"/>
            <w:bottom w:val="none" w:sz="0" w:space="0" w:color="auto"/>
            <w:right w:val="none" w:sz="0" w:space="0" w:color="auto"/>
          </w:divBdr>
        </w:div>
        <w:div w:id="1772312949">
          <w:marLeft w:val="2520"/>
          <w:marRight w:val="0"/>
          <w:marTop w:val="67"/>
          <w:marBottom w:val="0"/>
          <w:divBdr>
            <w:top w:val="none" w:sz="0" w:space="0" w:color="auto"/>
            <w:left w:val="none" w:sz="0" w:space="0" w:color="auto"/>
            <w:bottom w:val="none" w:sz="0" w:space="0" w:color="auto"/>
            <w:right w:val="none" w:sz="0" w:space="0" w:color="auto"/>
          </w:divBdr>
        </w:div>
        <w:div w:id="1772315278">
          <w:marLeft w:val="1800"/>
          <w:marRight w:val="0"/>
          <w:marTop w:val="86"/>
          <w:marBottom w:val="0"/>
          <w:divBdr>
            <w:top w:val="none" w:sz="0" w:space="0" w:color="auto"/>
            <w:left w:val="none" w:sz="0" w:space="0" w:color="auto"/>
            <w:bottom w:val="none" w:sz="0" w:space="0" w:color="auto"/>
            <w:right w:val="none" w:sz="0" w:space="0" w:color="auto"/>
          </w:divBdr>
        </w:div>
        <w:div w:id="2095083534">
          <w:marLeft w:val="1800"/>
          <w:marRight w:val="0"/>
          <w:marTop w:val="0"/>
          <w:marBottom w:val="0"/>
          <w:divBdr>
            <w:top w:val="none" w:sz="0" w:space="0" w:color="auto"/>
            <w:left w:val="none" w:sz="0" w:space="0" w:color="auto"/>
            <w:bottom w:val="none" w:sz="0" w:space="0" w:color="auto"/>
            <w:right w:val="none" w:sz="0" w:space="0" w:color="auto"/>
          </w:divBdr>
        </w:div>
        <w:div w:id="2103988301">
          <w:marLeft w:val="2520"/>
          <w:marRight w:val="0"/>
          <w:marTop w:val="67"/>
          <w:marBottom w:val="0"/>
          <w:divBdr>
            <w:top w:val="none" w:sz="0" w:space="0" w:color="auto"/>
            <w:left w:val="none" w:sz="0" w:space="0" w:color="auto"/>
            <w:bottom w:val="none" w:sz="0" w:space="0" w:color="auto"/>
            <w:right w:val="none" w:sz="0" w:space="0" w:color="auto"/>
          </w:divBdr>
        </w:div>
      </w:divsChild>
    </w:div>
    <w:div w:id="2124884630">
      <w:bodyDiv w:val="1"/>
      <w:marLeft w:val="0"/>
      <w:marRight w:val="0"/>
      <w:marTop w:val="0"/>
      <w:marBottom w:val="0"/>
      <w:divBdr>
        <w:top w:val="none" w:sz="0" w:space="0" w:color="auto"/>
        <w:left w:val="none" w:sz="0" w:space="0" w:color="auto"/>
        <w:bottom w:val="none" w:sz="0" w:space="0" w:color="auto"/>
        <w:right w:val="none" w:sz="0" w:space="0" w:color="auto"/>
      </w:divBdr>
    </w:div>
    <w:div w:id="2125227661">
      <w:bodyDiv w:val="1"/>
      <w:marLeft w:val="0"/>
      <w:marRight w:val="0"/>
      <w:marTop w:val="0"/>
      <w:marBottom w:val="0"/>
      <w:divBdr>
        <w:top w:val="none" w:sz="0" w:space="0" w:color="auto"/>
        <w:left w:val="none" w:sz="0" w:space="0" w:color="auto"/>
        <w:bottom w:val="none" w:sz="0" w:space="0" w:color="auto"/>
        <w:right w:val="none" w:sz="0" w:space="0" w:color="auto"/>
      </w:divBdr>
    </w:div>
    <w:div w:id="2126270441">
      <w:bodyDiv w:val="1"/>
      <w:marLeft w:val="0"/>
      <w:marRight w:val="0"/>
      <w:marTop w:val="0"/>
      <w:marBottom w:val="0"/>
      <w:divBdr>
        <w:top w:val="none" w:sz="0" w:space="0" w:color="auto"/>
        <w:left w:val="none" w:sz="0" w:space="0" w:color="auto"/>
        <w:bottom w:val="none" w:sz="0" w:space="0" w:color="auto"/>
        <w:right w:val="none" w:sz="0" w:space="0" w:color="auto"/>
      </w:divBdr>
    </w:div>
    <w:div w:id="2127383860">
      <w:bodyDiv w:val="1"/>
      <w:marLeft w:val="0"/>
      <w:marRight w:val="0"/>
      <w:marTop w:val="0"/>
      <w:marBottom w:val="0"/>
      <w:divBdr>
        <w:top w:val="none" w:sz="0" w:space="0" w:color="auto"/>
        <w:left w:val="none" w:sz="0" w:space="0" w:color="auto"/>
        <w:bottom w:val="none" w:sz="0" w:space="0" w:color="auto"/>
        <w:right w:val="none" w:sz="0" w:space="0" w:color="auto"/>
      </w:divBdr>
    </w:div>
    <w:div w:id="2127507227">
      <w:bodyDiv w:val="1"/>
      <w:marLeft w:val="0"/>
      <w:marRight w:val="0"/>
      <w:marTop w:val="0"/>
      <w:marBottom w:val="0"/>
      <w:divBdr>
        <w:top w:val="none" w:sz="0" w:space="0" w:color="auto"/>
        <w:left w:val="none" w:sz="0" w:space="0" w:color="auto"/>
        <w:bottom w:val="none" w:sz="0" w:space="0" w:color="auto"/>
        <w:right w:val="none" w:sz="0" w:space="0" w:color="auto"/>
      </w:divBdr>
      <w:divsChild>
        <w:div w:id="143086852">
          <w:marLeft w:val="1166"/>
          <w:marRight w:val="0"/>
          <w:marTop w:val="96"/>
          <w:marBottom w:val="0"/>
          <w:divBdr>
            <w:top w:val="none" w:sz="0" w:space="0" w:color="auto"/>
            <w:left w:val="none" w:sz="0" w:space="0" w:color="auto"/>
            <w:bottom w:val="none" w:sz="0" w:space="0" w:color="auto"/>
            <w:right w:val="none" w:sz="0" w:space="0" w:color="auto"/>
          </w:divBdr>
        </w:div>
        <w:div w:id="857349227">
          <w:marLeft w:val="547"/>
          <w:marRight w:val="0"/>
          <w:marTop w:val="115"/>
          <w:marBottom w:val="0"/>
          <w:divBdr>
            <w:top w:val="none" w:sz="0" w:space="0" w:color="auto"/>
            <w:left w:val="none" w:sz="0" w:space="0" w:color="auto"/>
            <w:bottom w:val="none" w:sz="0" w:space="0" w:color="auto"/>
            <w:right w:val="none" w:sz="0" w:space="0" w:color="auto"/>
          </w:divBdr>
        </w:div>
        <w:div w:id="905066737">
          <w:marLeft w:val="1166"/>
          <w:marRight w:val="0"/>
          <w:marTop w:val="96"/>
          <w:marBottom w:val="0"/>
          <w:divBdr>
            <w:top w:val="none" w:sz="0" w:space="0" w:color="auto"/>
            <w:left w:val="none" w:sz="0" w:space="0" w:color="auto"/>
            <w:bottom w:val="none" w:sz="0" w:space="0" w:color="auto"/>
            <w:right w:val="none" w:sz="0" w:space="0" w:color="auto"/>
          </w:divBdr>
        </w:div>
        <w:div w:id="986545760">
          <w:marLeft w:val="1166"/>
          <w:marRight w:val="0"/>
          <w:marTop w:val="96"/>
          <w:marBottom w:val="0"/>
          <w:divBdr>
            <w:top w:val="none" w:sz="0" w:space="0" w:color="auto"/>
            <w:left w:val="none" w:sz="0" w:space="0" w:color="auto"/>
            <w:bottom w:val="none" w:sz="0" w:space="0" w:color="auto"/>
            <w:right w:val="none" w:sz="0" w:space="0" w:color="auto"/>
          </w:divBdr>
        </w:div>
        <w:div w:id="1212421433">
          <w:marLeft w:val="1800"/>
          <w:marRight w:val="0"/>
          <w:marTop w:val="77"/>
          <w:marBottom w:val="0"/>
          <w:divBdr>
            <w:top w:val="none" w:sz="0" w:space="0" w:color="auto"/>
            <w:left w:val="none" w:sz="0" w:space="0" w:color="auto"/>
            <w:bottom w:val="none" w:sz="0" w:space="0" w:color="auto"/>
            <w:right w:val="none" w:sz="0" w:space="0" w:color="auto"/>
          </w:divBdr>
        </w:div>
        <w:div w:id="1548101342">
          <w:marLeft w:val="1166"/>
          <w:marRight w:val="0"/>
          <w:marTop w:val="96"/>
          <w:marBottom w:val="0"/>
          <w:divBdr>
            <w:top w:val="none" w:sz="0" w:space="0" w:color="auto"/>
            <w:left w:val="none" w:sz="0" w:space="0" w:color="auto"/>
            <w:bottom w:val="none" w:sz="0" w:space="0" w:color="auto"/>
            <w:right w:val="none" w:sz="0" w:space="0" w:color="auto"/>
          </w:divBdr>
        </w:div>
        <w:div w:id="1582256706">
          <w:marLeft w:val="1166"/>
          <w:marRight w:val="0"/>
          <w:marTop w:val="96"/>
          <w:marBottom w:val="0"/>
          <w:divBdr>
            <w:top w:val="none" w:sz="0" w:space="0" w:color="auto"/>
            <w:left w:val="none" w:sz="0" w:space="0" w:color="auto"/>
            <w:bottom w:val="none" w:sz="0" w:space="0" w:color="auto"/>
            <w:right w:val="none" w:sz="0" w:space="0" w:color="auto"/>
          </w:divBdr>
        </w:div>
        <w:div w:id="1828784074">
          <w:marLeft w:val="547"/>
          <w:marRight w:val="0"/>
          <w:marTop w:val="115"/>
          <w:marBottom w:val="0"/>
          <w:divBdr>
            <w:top w:val="none" w:sz="0" w:space="0" w:color="auto"/>
            <w:left w:val="none" w:sz="0" w:space="0" w:color="auto"/>
            <w:bottom w:val="none" w:sz="0" w:space="0" w:color="auto"/>
            <w:right w:val="none" w:sz="0" w:space="0" w:color="auto"/>
          </w:divBdr>
        </w:div>
      </w:divsChild>
    </w:div>
    <w:div w:id="2128426670">
      <w:bodyDiv w:val="1"/>
      <w:marLeft w:val="0"/>
      <w:marRight w:val="0"/>
      <w:marTop w:val="0"/>
      <w:marBottom w:val="0"/>
      <w:divBdr>
        <w:top w:val="none" w:sz="0" w:space="0" w:color="auto"/>
        <w:left w:val="none" w:sz="0" w:space="0" w:color="auto"/>
        <w:bottom w:val="none" w:sz="0" w:space="0" w:color="auto"/>
        <w:right w:val="none" w:sz="0" w:space="0" w:color="auto"/>
      </w:divBdr>
    </w:div>
    <w:div w:id="2129156476">
      <w:bodyDiv w:val="1"/>
      <w:marLeft w:val="0"/>
      <w:marRight w:val="0"/>
      <w:marTop w:val="0"/>
      <w:marBottom w:val="0"/>
      <w:divBdr>
        <w:top w:val="none" w:sz="0" w:space="0" w:color="auto"/>
        <w:left w:val="none" w:sz="0" w:space="0" w:color="auto"/>
        <w:bottom w:val="none" w:sz="0" w:space="0" w:color="auto"/>
        <w:right w:val="none" w:sz="0" w:space="0" w:color="auto"/>
      </w:divBdr>
    </w:div>
    <w:div w:id="2129274493">
      <w:bodyDiv w:val="1"/>
      <w:marLeft w:val="0"/>
      <w:marRight w:val="0"/>
      <w:marTop w:val="0"/>
      <w:marBottom w:val="0"/>
      <w:divBdr>
        <w:top w:val="none" w:sz="0" w:space="0" w:color="auto"/>
        <w:left w:val="none" w:sz="0" w:space="0" w:color="auto"/>
        <w:bottom w:val="none" w:sz="0" w:space="0" w:color="auto"/>
        <w:right w:val="none" w:sz="0" w:space="0" w:color="auto"/>
      </w:divBdr>
    </w:div>
    <w:div w:id="2129540261">
      <w:bodyDiv w:val="1"/>
      <w:marLeft w:val="0"/>
      <w:marRight w:val="0"/>
      <w:marTop w:val="0"/>
      <w:marBottom w:val="0"/>
      <w:divBdr>
        <w:top w:val="none" w:sz="0" w:space="0" w:color="auto"/>
        <w:left w:val="none" w:sz="0" w:space="0" w:color="auto"/>
        <w:bottom w:val="none" w:sz="0" w:space="0" w:color="auto"/>
        <w:right w:val="none" w:sz="0" w:space="0" w:color="auto"/>
      </w:divBdr>
    </w:div>
    <w:div w:id="2129927044">
      <w:bodyDiv w:val="1"/>
      <w:marLeft w:val="0"/>
      <w:marRight w:val="0"/>
      <w:marTop w:val="0"/>
      <w:marBottom w:val="0"/>
      <w:divBdr>
        <w:top w:val="none" w:sz="0" w:space="0" w:color="auto"/>
        <w:left w:val="none" w:sz="0" w:space="0" w:color="auto"/>
        <w:bottom w:val="none" w:sz="0" w:space="0" w:color="auto"/>
        <w:right w:val="none" w:sz="0" w:space="0" w:color="auto"/>
      </w:divBdr>
      <w:divsChild>
        <w:div w:id="163861108">
          <w:marLeft w:val="1166"/>
          <w:marRight w:val="0"/>
          <w:marTop w:val="96"/>
          <w:marBottom w:val="0"/>
          <w:divBdr>
            <w:top w:val="none" w:sz="0" w:space="0" w:color="auto"/>
            <w:left w:val="none" w:sz="0" w:space="0" w:color="auto"/>
            <w:bottom w:val="none" w:sz="0" w:space="0" w:color="auto"/>
            <w:right w:val="none" w:sz="0" w:space="0" w:color="auto"/>
          </w:divBdr>
        </w:div>
        <w:div w:id="215550150">
          <w:marLeft w:val="547"/>
          <w:marRight w:val="0"/>
          <w:marTop w:val="115"/>
          <w:marBottom w:val="0"/>
          <w:divBdr>
            <w:top w:val="none" w:sz="0" w:space="0" w:color="auto"/>
            <w:left w:val="none" w:sz="0" w:space="0" w:color="auto"/>
            <w:bottom w:val="none" w:sz="0" w:space="0" w:color="auto"/>
            <w:right w:val="none" w:sz="0" w:space="0" w:color="auto"/>
          </w:divBdr>
        </w:div>
        <w:div w:id="401682415">
          <w:marLeft w:val="1166"/>
          <w:marRight w:val="0"/>
          <w:marTop w:val="96"/>
          <w:marBottom w:val="0"/>
          <w:divBdr>
            <w:top w:val="none" w:sz="0" w:space="0" w:color="auto"/>
            <w:left w:val="none" w:sz="0" w:space="0" w:color="auto"/>
            <w:bottom w:val="none" w:sz="0" w:space="0" w:color="auto"/>
            <w:right w:val="none" w:sz="0" w:space="0" w:color="auto"/>
          </w:divBdr>
        </w:div>
        <w:div w:id="461924249">
          <w:marLeft w:val="547"/>
          <w:marRight w:val="0"/>
          <w:marTop w:val="115"/>
          <w:marBottom w:val="0"/>
          <w:divBdr>
            <w:top w:val="none" w:sz="0" w:space="0" w:color="auto"/>
            <w:left w:val="none" w:sz="0" w:space="0" w:color="auto"/>
            <w:bottom w:val="none" w:sz="0" w:space="0" w:color="auto"/>
            <w:right w:val="none" w:sz="0" w:space="0" w:color="auto"/>
          </w:divBdr>
        </w:div>
        <w:div w:id="485129723">
          <w:marLeft w:val="1166"/>
          <w:marRight w:val="0"/>
          <w:marTop w:val="96"/>
          <w:marBottom w:val="0"/>
          <w:divBdr>
            <w:top w:val="none" w:sz="0" w:space="0" w:color="auto"/>
            <w:left w:val="none" w:sz="0" w:space="0" w:color="auto"/>
            <w:bottom w:val="none" w:sz="0" w:space="0" w:color="auto"/>
            <w:right w:val="none" w:sz="0" w:space="0" w:color="auto"/>
          </w:divBdr>
        </w:div>
        <w:div w:id="839124876">
          <w:marLeft w:val="1166"/>
          <w:marRight w:val="0"/>
          <w:marTop w:val="96"/>
          <w:marBottom w:val="0"/>
          <w:divBdr>
            <w:top w:val="none" w:sz="0" w:space="0" w:color="auto"/>
            <w:left w:val="none" w:sz="0" w:space="0" w:color="auto"/>
            <w:bottom w:val="none" w:sz="0" w:space="0" w:color="auto"/>
            <w:right w:val="none" w:sz="0" w:space="0" w:color="auto"/>
          </w:divBdr>
        </w:div>
        <w:div w:id="1047873756">
          <w:marLeft w:val="1166"/>
          <w:marRight w:val="0"/>
          <w:marTop w:val="96"/>
          <w:marBottom w:val="0"/>
          <w:divBdr>
            <w:top w:val="none" w:sz="0" w:space="0" w:color="auto"/>
            <w:left w:val="none" w:sz="0" w:space="0" w:color="auto"/>
            <w:bottom w:val="none" w:sz="0" w:space="0" w:color="auto"/>
            <w:right w:val="none" w:sz="0" w:space="0" w:color="auto"/>
          </w:divBdr>
        </w:div>
      </w:divsChild>
    </w:div>
    <w:div w:id="2130272241">
      <w:bodyDiv w:val="1"/>
      <w:marLeft w:val="0"/>
      <w:marRight w:val="0"/>
      <w:marTop w:val="0"/>
      <w:marBottom w:val="0"/>
      <w:divBdr>
        <w:top w:val="none" w:sz="0" w:space="0" w:color="auto"/>
        <w:left w:val="none" w:sz="0" w:space="0" w:color="auto"/>
        <w:bottom w:val="none" w:sz="0" w:space="0" w:color="auto"/>
        <w:right w:val="none" w:sz="0" w:space="0" w:color="auto"/>
      </w:divBdr>
    </w:div>
    <w:div w:id="2130931533">
      <w:bodyDiv w:val="1"/>
      <w:marLeft w:val="0"/>
      <w:marRight w:val="0"/>
      <w:marTop w:val="0"/>
      <w:marBottom w:val="0"/>
      <w:divBdr>
        <w:top w:val="none" w:sz="0" w:space="0" w:color="auto"/>
        <w:left w:val="none" w:sz="0" w:space="0" w:color="auto"/>
        <w:bottom w:val="none" w:sz="0" w:space="0" w:color="auto"/>
        <w:right w:val="none" w:sz="0" w:space="0" w:color="auto"/>
      </w:divBdr>
    </w:div>
    <w:div w:id="2130932606">
      <w:bodyDiv w:val="1"/>
      <w:marLeft w:val="0"/>
      <w:marRight w:val="0"/>
      <w:marTop w:val="0"/>
      <w:marBottom w:val="0"/>
      <w:divBdr>
        <w:top w:val="none" w:sz="0" w:space="0" w:color="auto"/>
        <w:left w:val="none" w:sz="0" w:space="0" w:color="auto"/>
        <w:bottom w:val="none" w:sz="0" w:space="0" w:color="auto"/>
        <w:right w:val="none" w:sz="0" w:space="0" w:color="auto"/>
      </w:divBdr>
    </w:div>
    <w:div w:id="2130972500">
      <w:bodyDiv w:val="1"/>
      <w:marLeft w:val="0"/>
      <w:marRight w:val="0"/>
      <w:marTop w:val="0"/>
      <w:marBottom w:val="0"/>
      <w:divBdr>
        <w:top w:val="none" w:sz="0" w:space="0" w:color="auto"/>
        <w:left w:val="none" w:sz="0" w:space="0" w:color="auto"/>
        <w:bottom w:val="none" w:sz="0" w:space="0" w:color="auto"/>
        <w:right w:val="none" w:sz="0" w:space="0" w:color="auto"/>
      </w:divBdr>
      <w:divsChild>
        <w:div w:id="569775778">
          <w:marLeft w:val="1800"/>
          <w:marRight w:val="0"/>
          <w:marTop w:val="96"/>
          <w:marBottom w:val="0"/>
          <w:divBdr>
            <w:top w:val="none" w:sz="0" w:space="0" w:color="auto"/>
            <w:left w:val="none" w:sz="0" w:space="0" w:color="auto"/>
            <w:bottom w:val="none" w:sz="0" w:space="0" w:color="auto"/>
            <w:right w:val="none" w:sz="0" w:space="0" w:color="auto"/>
          </w:divBdr>
        </w:div>
        <w:div w:id="634873219">
          <w:marLeft w:val="1166"/>
          <w:marRight w:val="0"/>
          <w:marTop w:val="115"/>
          <w:marBottom w:val="0"/>
          <w:divBdr>
            <w:top w:val="none" w:sz="0" w:space="0" w:color="auto"/>
            <w:left w:val="none" w:sz="0" w:space="0" w:color="auto"/>
            <w:bottom w:val="none" w:sz="0" w:space="0" w:color="auto"/>
            <w:right w:val="none" w:sz="0" w:space="0" w:color="auto"/>
          </w:divBdr>
        </w:div>
        <w:div w:id="874855355">
          <w:marLeft w:val="1800"/>
          <w:marRight w:val="0"/>
          <w:marTop w:val="96"/>
          <w:marBottom w:val="0"/>
          <w:divBdr>
            <w:top w:val="none" w:sz="0" w:space="0" w:color="auto"/>
            <w:left w:val="none" w:sz="0" w:space="0" w:color="auto"/>
            <w:bottom w:val="none" w:sz="0" w:space="0" w:color="auto"/>
            <w:right w:val="none" w:sz="0" w:space="0" w:color="auto"/>
          </w:divBdr>
        </w:div>
        <w:div w:id="921181512">
          <w:marLeft w:val="1166"/>
          <w:marRight w:val="0"/>
          <w:marTop w:val="115"/>
          <w:marBottom w:val="0"/>
          <w:divBdr>
            <w:top w:val="none" w:sz="0" w:space="0" w:color="auto"/>
            <w:left w:val="none" w:sz="0" w:space="0" w:color="auto"/>
            <w:bottom w:val="none" w:sz="0" w:space="0" w:color="auto"/>
            <w:right w:val="none" w:sz="0" w:space="0" w:color="auto"/>
          </w:divBdr>
        </w:div>
        <w:div w:id="1627933965">
          <w:marLeft w:val="547"/>
          <w:marRight w:val="0"/>
          <w:marTop w:val="134"/>
          <w:marBottom w:val="0"/>
          <w:divBdr>
            <w:top w:val="none" w:sz="0" w:space="0" w:color="auto"/>
            <w:left w:val="none" w:sz="0" w:space="0" w:color="auto"/>
            <w:bottom w:val="none" w:sz="0" w:space="0" w:color="auto"/>
            <w:right w:val="none" w:sz="0" w:space="0" w:color="auto"/>
          </w:divBdr>
        </w:div>
      </w:divsChild>
    </w:div>
    <w:div w:id="2131045317">
      <w:bodyDiv w:val="1"/>
      <w:marLeft w:val="0"/>
      <w:marRight w:val="0"/>
      <w:marTop w:val="0"/>
      <w:marBottom w:val="0"/>
      <w:divBdr>
        <w:top w:val="none" w:sz="0" w:space="0" w:color="auto"/>
        <w:left w:val="none" w:sz="0" w:space="0" w:color="auto"/>
        <w:bottom w:val="none" w:sz="0" w:space="0" w:color="auto"/>
        <w:right w:val="none" w:sz="0" w:space="0" w:color="auto"/>
      </w:divBdr>
    </w:div>
    <w:div w:id="2131245552">
      <w:bodyDiv w:val="1"/>
      <w:marLeft w:val="0"/>
      <w:marRight w:val="0"/>
      <w:marTop w:val="0"/>
      <w:marBottom w:val="0"/>
      <w:divBdr>
        <w:top w:val="none" w:sz="0" w:space="0" w:color="auto"/>
        <w:left w:val="none" w:sz="0" w:space="0" w:color="auto"/>
        <w:bottom w:val="none" w:sz="0" w:space="0" w:color="auto"/>
        <w:right w:val="none" w:sz="0" w:space="0" w:color="auto"/>
      </w:divBdr>
    </w:div>
    <w:div w:id="2131312597">
      <w:bodyDiv w:val="1"/>
      <w:marLeft w:val="0"/>
      <w:marRight w:val="0"/>
      <w:marTop w:val="0"/>
      <w:marBottom w:val="0"/>
      <w:divBdr>
        <w:top w:val="none" w:sz="0" w:space="0" w:color="auto"/>
        <w:left w:val="none" w:sz="0" w:space="0" w:color="auto"/>
        <w:bottom w:val="none" w:sz="0" w:space="0" w:color="auto"/>
        <w:right w:val="none" w:sz="0" w:space="0" w:color="auto"/>
      </w:divBdr>
    </w:div>
    <w:div w:id="2131312713">
      <w:bodyDiv w:val="1"/>
      <w:marLeft w:val="0"/>
      <w:marRight w:val="0"/>
      <w:marTop w:val="0"/>
      <w:marBottom w:val="0"/>
      <w:divBdr>
        <w:top w:val="none" w:sz="0" w:space="0" w:color="auto"/>
        <w:left w:val="none" w:sz="0" w:space="0" w:color="auto"/>
        <w:bottom w:val="none" w:sz="0" w:space="0" w:color="auto"/>
        <w:right w:val="none" w:sz="0" w:space="0" w:color="auto"/>
      </w:divBdr>
    </w:div>
    <w:div w:id="2131432195">
      <w:bodyDiv w:val="1"/>
      <w:marLeft w:val="0"/>
      <w:marRight w:val="0"/>
      <w:marTop w:val="0"/>
      <w:marBottom w:val="0"/>
      <w:divBdr>
        <w:top w:val="none" w:sz="0" w:space="0" w:color="auto"/>
        <w:left w:val="none" w:sz="0" w:space="0" w:color="auto"/>
        <w:bottom w:val="none" w:sz="0" w:space="0" w:color="auto"/>
        <w:right w:val="none" w:sz="0" w:space="0" w:color="auto"/>
      </w:divBdr>
    </w:div>
    <w:div w:id="2131701456">
      <w:bodyDiv w:val="1"/>
      <w:marLeft w:val="0"/>
      <w:marRight w:val="0"/>
      <w:marTop w:val="0"/>
      <w:marBottom w:val="0"/>
      <w:divBdr>
        <w:top w:val="none" w:sz="0" w:space="0" w:color="auto"/>
        <w:left w:val="none" w:sz="0" w:space="0" w:color="auto"/>
        <w:bottom w:val="none" w:sz="0" w:space="0" w:color="auto"/>
        <w:right w:val="none" w:sz="0" w:space="0" w:color="auto"/>
      </w:divBdr>
      <w:divsChild>
        <w:div w:id="3171552">
          <w:marLeft w:val="1166"/>
          <w:marRight w:val="0"/>
          <w:marTop w:val="101"/>
          <w:marBottom w:val="0"/>
          <w:divBdr>
            <w:top w:val="none" w:sz="0" w:space="0" w:color="auto"/>
            <w:left w:val="none" w:sz="0" w:space="0" w:color="auto"/>
            <w:bottom w:val="none" w:sz="0" w:space="0" w:color="auto"/>
            <w:right w:val="none" w:sz="0" w:space="0" w:color="auto"/>
          </w:divBdr>
        </w:div>
        <w:div w:id="1904367189">
          <w:marLeft w:val="547"/>
          <w:marRight w:val="0"/>
          <w:marTop w:val="120"/>
          <w:marBottom w:val="0"/>
          <w:divBdr>
            <w:top w:val="none" w:sz="0" w:space="0" w:color="auto"/>
            <w:left w:val="none" w:sz="0" w:space="0" w:color="auto"/>
            <w:bottom w:val="none" w:sz="0" w:space="0" w:color="auto"/>
            <w:right w:val="none" w:sz="0" w:space="0" w:color="auto"/>
          </w:divBdr>
        </w:div>
      </w:divsChild>
    </w:div>
    <w:div w:id="2132169806">
      <w:bodyDiv w:val="1"/>
      <w:marLeft w:val="0"/>
      <w:marRight w:val="0"/>
      <w:marTop w:val="0"/>
      <w:marBottom w:val="0"/>
      <w:divBdr>
        <w:top w:val="none" w:sz="0" w:space="0" w:color="auto"/>
        <w:left w:val="none" w:sz="0" w:space="0" w:color="auto"/>
        <w:bottom w:val="none" w:sz="0" w:space="0" w:color="auto"/>
        <w:right w:val="none" w:sz="0" w:space="0" w:color="auto"/>
      </w:divBdr>
    </w:div>
    <w:div w:id="2132360903">
      <w:bodyDiv w:val="1"/>
      <w:marLeft w:val="0"/>
      <w:marRight w:val="0"/>
      <w:marTop w:val="0"/>
      <w:marBottom w:val="0"/>
      <w:divBdr>
        <w:top w:val="none" w:sz="0" w:space="0" w:color="auto"/>
        <w:left w:val="none" w:sz="0" w:space="0" w:color="auto"/>
        <w:bottom w:val="none" w:sz="0" w:space="0" w:color="auto"/>
        <w:right w:val="none" w:sz="0" w:space="0" w:color="auto"/>
      </w:divBdr>
      <w:divsChild>
        <w:div w:id="415714639">
          <w:marLeft w:val="1166"/>
          <w:marRight w:val="0"/>
          <w:marTop w:val="96"/>
          <w:marBottom w:val="0"/>
          <w:divBdr>
            <w:top w:val="none" w:sz="0" w:space="0" w:color="auto"/>
            <w:left w:val="none" w:sz="0" w:space="0" w:color="auto"/>
            <w:bottom w:val="none" w:sz="0" w:space="0" w:color="auto"/>
            <w:right w:val="none" w:sz="0" w:space="0" w:color="auto"/>
          </w:divBdr>
        </w:div>
        <w:div w:id="576403063">
          <w:marLeft w:val="1166"/>
          <w:marRight w:val="0"/>
          <w:marTop w:val="96"/>
          <w:marBottom w:val="0"/>
          <w:divBdr>
            <w:top w:val="none" w:sz="0" w:space="0" w:color="auto"/>
            <w:left w:val="none" w:sz="0" w:space="0" w:color="auto"/>
            <w:bottom w:val="none" w:sz="0" w:space="0" w:color="auto"/>
            <w:right w:val="none" w:sz="0" w:space="0" w:color="auto"/>
          </w:divBdr>
        </w:div>
        <w:div w:id="1272741745">
          <w:marLeft w:val="547"/>
          <w:marRight w:val="0"/>
          <w:marTop w:val="115"/>
          <w:marBottom w:val="0"/>
          <w:divBdr>
            <w:top w:val="none" w:sz="0" w:space="0" w:color="auto"/>
            <w:left w:val="none" w:sz="0" w:space="0" w:color="auto"/>
            <w:bottom w:val="none" w:sz="0" w:space="0" w:color="auto"/>
            <w:right w:val="none" w:sz="0" w:space="0" w:color="auto"/>
          </w:divBdr>
        </w:div>
        <w:div w:id="1503426408">
          <w:marLeft w:val="1166"/>
          <w:marRight w:val="0"/>
          <w:marTop w:val="96"/>
          <w:marBottom w:val="0"/>
          <w:divBdr>
            <w:top w:val="none" w:sz="0" w:space="0" w:color="auto"/>
            <w:left w:val="none" w:sz="0" w:space="0" w:color="auto"/>
            <w:bottom w:val="none" w:sz="0" w:space="0" w:color="auto"/>
            <w:right w:val="none" w:sz="0" w:space="0" w:color="auto"/>
          </w:divBdr>
        </w:div>
        <w:div w:id="2099667246">
          <w:marLeft w:val="547"/>
          <w:marRight w:val="0"/>
          <w:marTop w:val="115"/>
          <w:marBottom w:val="0"/>
          <w:divBdr>
            <w:top w:val="none" w:sz="0" w:space="0" w:color="auto"/>
            <w:left w:val="none" w:sz="0" w:space="0" w:color="auto"/>
            <w:bottom w:val="none" w:sz="0" w:space="0" w:color="auto"/>
            <w:right w:val="none" w:sz="0" w:space="0" w:color="auto"/>
          </w:divBdr>
        </w:div>
      </w:divsChild>
    </w:div>
    <w:div w:id="2132623361">
      <w:bodyDiv w:val="1"/>
      <w:marLeft w:val="0"/>
      <w:marRight w:val="0"/>
      <w:marTop w:val="0"/>
      <w:marBottom w:val="0"/>
      <w:divBdr>
        <w:top w:val="none" w:sz="0" w:space="0" w:color="auto"/>
        <w:left w:val="none" w:sz="0" w:space="0" w:color="auto"/>
        <w:bottom w:val="none" w:sz="0" w:space="0" w:color="auto"/>
        <w:right w:val="none" w:sz="0" w:space="0" w:color="auto"/>
      </w:divBdr>
      <w:divsChild>
        <w:div w:id="81725230">
          <w:marLeft w:val="1166"/>
          <w:marRight w:val="0"/>
          <w:marTop w:val="86"/>
          <w:marBottom w:val="0"/>
          <w:divBdr>
            <w:top w:val="none" w:sz="0" w:space="0" w:color="auto"/>
            <w:left w:val="none" w:sz="0" w:space="0" w:color="auto"/>
            <w:bottom w:val="none" w:sz="0" w:space="0" w:color="auto"/>
            <w:right w:val="none" w:sz="0" w:space="0" w:color="auto"/>
          </w:divBdr>
        </w:div>
        <w:div w:id="524291559">
          <w:marLeft w:val="1166"/>
          <w:marRight w:val="0"/>
          <w:marTop w:val="86"/>
          <w:marBottom w:val="0"/>
          <w:divBdr>
            <w:top w:val="none" w:sz="0" w:space="0" w:color="auto"/>
            <w:left w:val="none" w:sz="0" w:space="0" w:color="auto"/>
            <w:bottom w:val="none" w:sz="0" w:space="0" w:color="auto"/>
            <w:right w:val="none" w:sz="0" w:space="0" w:color="auto"/>
          </w:divBdr>
        </w:div>
        <w:div w:id="584263939">
          <w:marLeft w:val="547"/>
          <w:marRight w:val="0"/>
          <w:marTop w:val="96"/>
          <w:marBottom w:val="0"/>
          <w:divBdr>
            <w:top w:val="none" w:sz="0" w:space="0" w:color="auto"/>
            <w:left w:val="none" w:sz="0" w:space="0" w:color="auto"/>
            <w:bottom w:val="none" w:sz="0" w:space="0" w:color="auto"/>
            <w:right w:val="none" w:sz="0" w:space="0" w:color="auto"/>
          </w:divBdr>
        </w:div>
        <w:div w:id="1229267582">
          <w:marLeft w:val="1166"/>
          <w:marRight w:val="0"/>
          <w:marTop w:val="86"/>
          <w:marBottom w:val="0"/>
          <w:divBdr>
            <w:top w:val="none" w:sz="0" w:space="0" w:color="auto"/>
            <w:left w:val="none" w:sz="0" w:space="0" w:color="auto"/>
            <w:bottom w:val="none" w:sz="0" w:space="0" w:color="auto"/>
            <w:right w:val="none" w:sz="0" w:space="0" w:color="auto"/>
          </w:divBdr>
        </w:div>
        <w:div w:id="1229414944">
          <w:marLeft w:val="547"/>
          <w:marRight w:val="0"/>
          <w:marTop w:val="96"/>
          <w:marBottom w:val="0"/>
          <w:divBdr>
            <w:top w:val="none" w:sz="0" w:space="0" w:color="auto"/>
            <w:left w:val="none" w:sz="0" w:space="0" w:color="auto"/>
            <w:bottom w:val="none" w:sz="0" w:space="0" w:color="auto"/>
            <w:right w:val="none" w:sz="0" w:space="0" w:color="auto"/>
          </w:divBdr>
        </w:div>
        <w:div w:id="1321688629">
          <w:marLeft w:val="547"/>
          <w:marRight w:val="0"/>
          <w:marTop w:val="96"/>
          <w:marBottom w:val="0"/>
          <w:divBdr>
            <w:top w:val="none" w:sz="0" w:space="0" w:color="auto"/>
            <w:left w:val="none" w:sz="0" w:space="0" w:color="auto"/>
            <w:bottom w:val="none" w:sz="0" w:space="0" w:color="auto"/>
            <w:right w:val="none" w:sz="0" w:space="0" w:color="auto"/>
          </w:divBdr>
        </w:div>
        <w:div w:id="1400712109">
          <w:marLeft w:val="547"/>
          <w:marRight w:val="0"/>
          <w:marTop w:val="96"/>
          <w:marBottom w:val="0"/>
          <w:divBdr>
            <w:top w:val="none" w:sz="0" w:space="0" w:color="auto"/>
            <w:left w:val="none" w:sz="0" w:space="0" w:color="auto"/>
            <w:bottom w:val="none" w:sz="0" w:space="0" w:color="auto"/>
            <w:right w:val="none" w:sz="0" w:space="0" w:color="auto"/>
          </w:divBdr>
        </w:div>
        <w:div w:id="1765683884">
          <w:marLeft w:val="1166"/>
          <w:marRight w:val="0"/>
          <w:marTop w:val="86"/>
          <w:marBottom w:val="0"/>
          <w:divBdr>
            <w:top w:val="none" w:sz="0" w:space="0" w:color="auto"/>
            <w:left w:val="none" w:sz="0" w:space="0" w:color="auto"/>
            <w:bottom w:val="none" w:sz="0" w:space="0" w:color="auto"/>
            <w:right w:val="none" w:sz="0" w:space="0" w:color="auto"/>
          </w:divBdr>
        </w:div>
        <w:div w:id="1790082695">
          <w:marLeft w:val="1166"/>
          <w:marRight w:val="0"/>
          <w:marTop w:val="86"/>
          <w:marBottom w:val="0"/>
          <w:divBdr>
            <w:top w:val="none" w:sz="0" w:space="0" w:color="auto"/>
            <w:left w:val="none" w:sz="0" w:space="0" w:color="auto"/>
            <w:bottom w:val="none" w:sz="0" w:space="0" w:color="auto"/>
            <w:right w:val="none" w:sz="0" w:space="0" w:color="auto"/>
          </w:divBdr>
        </w:div>
        <w:div w:id="1883244822">
          <w:marLeft w:val="1800"/>
          <w:marRight w:val="0"/>
          <w:marTop w:val="86"/>
          <w:marBottom w:val="0"/>
          <w:divBdr>
            <w:top w:val="none" w:sz="0" w:space="0" w:color="auto"/>
            <w:left w:val="none" w:sz="0" w:space="0" w:color="auto"/>
            <w:bottom w:val="none" w:sz="0" w:space="0" w:color="auto"/>
            <w:right w:val="none" w:sz="0" w:space="0" w:color="auto"/>
          </w:divBdr>
        </w:div>
      </w:divsChild>
    </w:div>
    <w:div w:id="2132937202">
      <w:bodyDiv w:val="1"/>
      <w:marLeft w:val="0"/>
      <w:marRight w:val="0"/>
      <w:marTop w:val="0"/>
      <w:marBottom w:val="0"/>
      <w:divBdr>
        <w:top w:val="none" w:sz="0" w:space="0" w:color="auto"/>
        <w:left w:val="none" w:sz="0" w:space="0" w:color="auto"/>
        <w:bottom w:val="none" w:sz="0" w:space="0" w:color="auto"/>
        <w:right w:val="none" w:sz="0" w:space="0" w:color="auto"/>
      </w:divBdr>
    </w:div>
    <w:div w:id="2134711852">
      <w:bodyDiv w:val="1"/>
      <w:marLeft w:val="0"/>
      <w:marRight w:val="0"/>
      <w:marTop w:val="0"/>
      <w:marBottom w:val="0"/>
      <w:divBdr>
        <w:top w:val="none" w:sz="0" w:space="0" w:color="auto"/>
        <w:left w:val="none" w:sz="0" w:space="0" w:color="auto"/>
        <w:bottom w:val="none" w:sz="0" w:space="0" w:color="auto"/>
        <w:right w:val="none" w:sz="0" w:space="0" w:color="auto"/>
      </w:divBdr>
      <w:divsChild>
        <w:div w:id="1289121703">
          <w:marLeft w:val="547"/>
          <w:marRight w:val="0"/>
          <w:marTop w:val="154"/>
          <w:marBottom w:val="0"/>
          <w:divBdr>
            <w:top w:val="none" w:sz="0" w:space="0" w:color="auto"/>
            <w:left w:val="none" w:sz="0" w:space="0" w:color="auto"/>
            <w:bottom w:val="none" w:sz="0" w:space="0" w:color="auto"/>
            <w:right w:val="none" w:sz="0" w:space="0" w:color="auto"/>
          </w:divBdr>
        </w:div>
        <w:div w:id="1306737624">
          <w:marLeft w:val="547"/>
          <w:marRight w:val="0"/>
          <w:marTop w:val="154"/>
          <w:marBottom w:val="0"/>
          <w:divBdr>
            <w:top w:val="none" w:sz="0" w:space="0" w:color="auto"/>
            <w:left w:val="none" w:sz="0" w:space="0" w:color="auto"/>
            <w:bottom w:val="none" w:sz="0" w:space="0" w:color="auto"/>
            <w:right w:val="none" w:sz="0" w:space="0" w:color="auto"/>
          </w:divBdr>
        </w:div>
      </w:divsChild>
    </w:div>
    <w:div w:id="2134980314">
      <w:bodyDiv w:val="1"/>
      <w:marLeft w:val="0"/>
      <w:marRight w:val="0"/>
      <w:marTop w:val="0"/>
      <w:marBottom w:val="0"/>
      <w:divBdr>
        <w:top w:val="none" w:sz="0" w:space="0" w:color="auto"/>
        <w:left w:val="none" w:sz="0" w:space="0" w:color="auto"/>
        <w:bottom w:val="none" w:sz="0" w:space="0" w:color="auto"/>
        <w:right w:val="none" w:sz="0" w:space="0" w:color="auto"/>
      </w:divBdr>
    </w:div>
    <w:div w:id="2135098578">
      <w:bodyDiv w:val="1"/>
      <w:marLeft w:val="0"/>
      <w:marRight w:val="0"/>
      <w:marTop w:val="0"/>
      <w:marBottom w:val="0"/>
      <w:divBdr>
        <w:top w:val="none" w:sz="0" w:space="0" w:color="auto"/>
        <w:left w:val="none" w:sz="0" w:space="0" w:color="auto"/>
        <w:bottom w:val="none" w:sz="0" w:space="0" w:color="auto"/>
        <w:right w:val="none" w:sz="0" w:space="0" w:color="auto"/>
      </w:divBdr>
    </w:div>
    <w:div w:id="2135246853">
      <w:bodyDiv w:val="1"/>
      <w:marLeft w:val="0"/>
      <w:marRight w:val="0"/>
      <w:marTop w:val="0"/>
      <w:marBottom w:val="0"/>
      <w:divBdr>
        <w:top w:val="none" w:sz="0" w:space="0" w:color="auto"/>
        <w:left w:val="none" w:sz="0" w:space="0" w:color="auto"/>
        <w:bottom w:val="none" w:sz="0" w:space="0" w:color="auto"/>
        <w:right w:val="none" w:sz="0" w:space="0" w:color="auto"/>
      </w:divBdr>
    </w:div>
    <w:div w:id="2135783401">
      <w:bodyDiv w:val="1"/>
      <w:marLeft w:val="0"/>
      <w:marRight w:val="0"/>
      <w:marTop w:val="0"/>
      <w:marBottom w:val="0"/>
      <w:divBdr>
        <w:top w:val="none" w:sz="0" w:space="0" w:color="auto"/>
        <w:left w:val="none" w:sz="0" w:space="0" w:color="auto"/>
        <w:bottom w:val="none" w:sz="0" w:space="0" w:color="auto"/>
        <w:right w:val="none" w:sz="0" w:space="0" w:color="auto"/>
      </w:divBdr>
      <w:divsChild>
        <w:div w:id="1525559056">
          <w:marLeft w:val="0"/>
          <w:marRight w:val="0"/>
          <w:marTop w:val="0"/>
          <w:marBottom w:val="0"/>
          <w:divBdr>
            <w:top w:val="none" w:sz="0" w:space="0" w:color="auto"/>
            <w:left w:val="none" w:sz="0" w:space="0" w:color="auto"/>
            <w:bottom w:val="none" w:sz="0" w:space="0" w:color="auto"/>
            <w:right w:val="none" w:sz="0" w:space="0" w:color="auto"/>
          </w:divBdr>
          <w:divsChild>
            <w:div w:id="1387870988">
              <w:marLeft w:val="0"/>
              <w:marRight w:val="0"/>
              <w:marTop w:val="0"/>
              <w:marBottom w:val="0"/>
              <w:divBdr>
                <w:top w:val="none" w:sz="0" w:space="0" w:color="auto"/>
                <w:left w:val="none" w:sz="0" w:space="0" w:color="auto"/>
                <w:bottom w:val="none" w:sz="0" w:space="0" w:color="auto"/>
                <w:right w:val="none" w:sz="0" w:space="0" w:color="auto"/>
              </w:divBdr>
            </w:div>
            <w:div w:id="1470366232">
              <w:marLeft w:val="0"/>
              <w:marRight w:val="0"/>
              <w:marTop w:val="0"/>
              <w:marBottom w:val="0"/>
              <w:divBdr>
                <w:top w:val="none" w:sz="0" w:space="0" w:color="auto"/>
                <w:left w:val="none" w:sz="0" w:space="0" w:color="auto"/>
                <w:bottom w:val="none" w:sz="0" w:space="0" w:color="auto"/>
                <w:right w:val="none" w:sz="0" w:space="0" w:color="auto"/>
              </w:divBdr>
            </w:div>
            <w:div w:id="14732121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36561307">
      <w:bodyDiv w:val="1"/>
      <w:marLeft w:val="0"/>
      <w:marRight w:val="0"/>
      <w:marTop w:val="0"/>
      <w:marBottom w:val="0"/>
      <w:divBdr>
        <w:top w:val="none" w:sz="0" w:space="0" w:color="auto"/>
        <w:left w:val="none" w:sz="0" w:space="0" w:color="auto"/>
        <w:bottom w:val="none" w:sz="0" w:space="0" w:color="auto"/>
        <w:right w:val="none" w:sz="0" w:space="0" w:color="auto"/>
      </w:divBdr>
      <w:divsChild>
        <w:div w:id="123735629">
          <w:marLeft w:val="547"/>
          <w:marRight w:val="0"/>
          <w:marTop w:val="115"/>
          <w:marBottom w:val="0"/>
          <w:divBdr>
            <w:top w:val="none" w:sz="0" w:space="0" w:color="auto"/>
            <w:left w:val="none" w:sz="0" w:space="0" w:color="auto"/>
            <w:bottom w:val="none" w:sz="0" w:space="0" w:color="auto"/>
            <w:right w:val="none" w:sz="0" w:space="0" w:color="auto"/>
          </w:divBdr>
        </w:div>
        <w:div w:id="1120339111">
          <w:marLeft w:val="1166"/>
          <w:marRight w:val="0"/>
          <w:marTop w:val="86"/>
          <w:marBottom w:val="0"/>
          <w:divBdr>
            <w:top w:val="none" w:sz="0" w:space="0" w:color="auto"/>
            <w:left w:val="none" w:sz="0" w:space="0" w:color="auto"/>
            <w:bottom w:val="none" w:sz="0" w:space="0" w:color="auto"/>
            <w:right w:val="none" w:sz="0" w:space="0" w:color="auto"/>
          </w:divBdr>
        </w:div>
        <w:div w:id="1369645496">
          <w:marLeft w:val="1166"/>
          <w:marRight w:val="0"/>
          <w:marTop w:val="86"/>
          <w:marBottom w:val="0"/>
          <w:divBdr>
            <w:top w:val="none" w:sz="0" w:space="0" w:color="auto"/>
            <w:left w:val="none" w:sz="0" w:space="0" w:color="auto"/>
            <w:bottom w:val="none" w:sz="0" w:space="0" w:color="auto"/>
            <w:right w:val="none" w:sz="0" w:space="0" w:color="auto"/>
          </w:divBdr>
        </w:div>
        <w:div w:id="1940212287">
          <w:marLeft w:val="1166"/>
          <w:marRight w:val="0"/>
          <w:marTop w:val="86"/>
          <w:marBottom w:val="0"/>
          <w:divBdr>
            <w:top w:val="none" w:sz="0" w:space="0" w:color="auto"/>
            <w:left w:val="none" w:sz="0" w:space="0" w:color="auto"/>
            <w:bottom w:val="none" w:sz="0" w:space="0" w:color="auto"/>
            <w:right w:val="none" w:sz="0" w:space="0" w:color="auto"/>
          </w:divBdr>
        </w:div>
        <w:div w:id="1945307271">
          <w:marLeft w:val="1800"/>
          <w:marRight w:val="0"/>
          <w:marTop w:val="77"/>
          <w:marBottom w:val="0"/>
          <w:divBdr>
            <w:top w:val="none" w:sz="0" w:space="0" w:color="auto"/>
            <w:left w:val="none" w:sz="0" w:space="0" w:color="auto"/>
            <w:bottom w:val="none" w:sz="0" w:space="0" w:color="auto"/>
            <w:right w:val="none" w:sz="0" w:space="0" w:color="auto"/>
          </w:divBdr>
        </w:div>
      </w:divsChild>
    </w:div>
    <w:div w:id="2136946366">
      <w:bodyDiv w:val="1"/>
      <w:marLeft w:val="0"/>
      <w:marRight w:val="0"/>
      <w:marTop w:val="0"/>
      <w:marBottom w:val="0"/>
      <w:divBdr>
        <w:top w:val="none" w:sz="0" w:space="0" w:color="auto"/>
        <w:left w:val="none" w:sz="0" w:space="0" w:color="auto"/>
        <w:bottom w:val="none" w:sz="0" w:space="0" w:color="auto"/>
        <w:right w:val="none" w:sz="0" w:space="0" w:color="auto"/>
      </w:divBdr>
    </w:div>
    <w:div w:id="2137333453">
      <w:bodyDiv w:val="1"/>
      <w:marLeft w:val="0"/>
      <w:marRight w:val="0"/>
      <w:marTop w:val="0"/>
      <w:marBottom w:val="0"/>
      <w:divBdr>
        <w:top w:val="none" w:sz="0" w:space="0" w:color="auto"/>
        <w:left w:val="none" w:sz="0" w:space="0" w:color="auto"/>
        <w:bottom w:val="none" w:sz="0" w:space="0" w:color="auto"/>
        <w:right w:val="none" w:sz="0" w:space="0" w:color="auto"/>
      </w:divBdr>
      <w:divsChild>
        <w:div w:id="1025979130">
          <w:marLeft w:val="1800"/>
          <w:marRight w:val="0"/>
          <w:marTop w:val="115"/>
          <w:marBottom w:val="0"/>
          <w:divBdr>
            <w:top w:val="none" w:sz="0" w:space="0" w:color="auto"/>
            <w:left w:val="none" w:sz="0" w:space="0" w:color="auto"/>
            <w:bottom w:val="none" w:sz="0" w:space="0" w:color="auto"/>
            <w:right w:val="none" w:sz="0" w:space="0" w:color="auto"/>
          </w:divBdr>
        </w:div>
        <w:div w:id="1040205355">
          <w:marLeft w:val="1166"/>
          <w:marRight w:val="0"/>
          <w:marTop w:val="134"/>
          <w:marBottom w:val="0"/>
          <w:divBdr>
            <w:top w:val="none" w:sz="0" w:space="0" w:color="auto"/>
            <w:left w:val="none" w:sz="0" w:space="0" w:color="auto"/>
            <w:bottom w:val="none" w:sz="0" w:space="0" w:color="auto"/>
            <w:right w:val="none" w:sz="0" w:space="0" w:color="auto"/>
          </w:divBdr>
        </w:div>
        <w:div w:id="1113987004">
          <w:marLeft w:val="547"/>
          <w:marRight w:val="0"/>
          <w:marTop w:val="154"/>
          <w:marBottom w:val="0"/>
          <w:divBdr>
            <w:top w:val="none" w:sz="0" w:space="0" w:color="auto"/>
            <w:left w:val="none" w:sz="0" w:space="0" w:color="auto"/>
            <w:bottom w:val="none" w:sz="0" w:space="0" w:color="auto"/>
            <w:right w:val="none" w:sz="0" w:space="0" w:color="auto"/>
          </w:divBdr>
        </w:div>
        <w:div w:id="1165558788">
          <w:marLeft w:val="1166"/>
          <w:marRight w:val="0"/>
          <w:marTop w:val="134"/>
          <w:marBottom w:val="0"/>
          <w:divBdr>
            <w:top w:val="none" w:sz="0" w:space="0" w:color="auto"/>
            <w:left w:val="none" w:sz="0" w:space="0" w:color="auto"/>
            <w:bottom w:val="none" w:sz="0" w:space="0" w:color="auto"/>
            <w:right w:val="none" w:sz="0" w:space="0" w:color="auto"/>
          </w:divBdr>
        </w:div>
      </w:divsChild>
    </w:div>
    <w:div w:id="2138138824">
      <w:bodyDiv w:val="1"/>
      <w:marLeft w:val="0"/>
      <w:marRight w:val="0"/>
      <w:marTop w:val="0"/>
      <w:marBottom w:val="0"/>
      <w:divBdr>
        <w:top w:val="none" w:sz="0" w:space="0" w:color="auto"/>
        <w:left w:val="none" w:sz="0" w:space="0" w:color="auto"/>
        <w:bottom w:val="none" w:sz="0" w:space="0" w:color="auto"/>
        <w:right w:val="none" w:sz="0" w:space="0" w:color="auto"/>
      </w:divBdr>
    </w:div>
    <w:div w:id="2138139049">
      <w:bodyDiv w:val="1"/>
      <w:marLeft w:val="0"/>
      <w:marRight w:val="0"/>
      <w:marTop w:val="0"/>
      <w:marBottom w:val="0"/>
      <w:divBdr>
        <w:top w:val="none" w:sz="0" w:space="0" w:color="auto"/>
        <w:left w:val="none" w:sz="0" w:space="0" w:color="auto"/>
        <w:bottom w:val="none" w:sz="0" w:space="0" w:color="auto"/>
        <w:right w:val="none" w:sz="0" w:space="0" w:color="auto"/>
      </w:divBdr>
    </w:div>
    <w:div w:id="2139564035">
      <w:bodyDiv w:val="1"/>
      <w:marLeft w:val="0"/>
      <w:marRight w:val="0"/>
      <w:marTop w:val="0"/>
      <w:marBottom w:val="0"/>
      <w:divBdr>
        <w:top w:val="none" w:sz="0" w:space="0" w:color="auto"/>
        <w:left w:val="none" w:sz="0" w:space="0" w:color="auto"/>
        <w:bottom w:val="none" w:sz="0" w:space="0" w:color="auto"/>
        <w:right w:val="none" w:sz="0" w:space="0" w:color="auto"/>
      </w:divBdr>
      <w:divsChild>
        <w:div w:id="494296216">
          <w:marLeft w:val="1800"/>
          <w:marRight w:val="0"/>
          <w:marTop w:val="96"/>
          <w:marBottom w:val="0"/>
          <w:divBdr>
            <w:top w:val="none" w:sz="0" w:space="0" w:color="auto"/>
            <w:left w:val="none" w:sz="0" w:space="0" w:color="auto"/>
            <w:bottom w:val="none" w:sz="0" w:space="0" w:color="auto"/>
            <w:right w:val="none" w:sz="0" w:space="0" w:color="auto"/>
          </w:divBdr>
        </w:div>
        <w:div w:id="1090660198">
          <w:marLeft w:val="2520"/>
          <w:marRight w:val="0"/>
          <w:marTop w:val="86"/>
          <w:marBottom w:val="0"/>
          <w:divBdr>
            <w:top w:val="none" w:sz="0" w:space="0" w:color="auto"/>
            <w:left w:val="none" w:sz="0" w:space="0" w:color="auto"/>
            <w:bottom w:val="none" w:sz="0" w:space="0" w:color="auto"/>
            <w:right w:val="none" w:sz="0" w:space="0" w:color="auto"/>
          </w:divBdr>
        </w:div>
        <w:div w:id="1200974049">
          <w:marLeft w:val="1166"/>
          <w:marRight w:val="0"/>
          <w:marTop w:val="115"/>
          <w:marBottom w:val="0"/>
          <w:divBdr>
            <w:top w:val="none" w:sz="0" w:space="0" w:color="auto"/>
            <w:left w:val="none" w:sz="0" w:space="0" w:color="auto"/>
            <w:bottom w:val="none" w:sz="0" w:space="0" w:color="auto"/>
            <w:right w:val="none" w:sz="0" w:space="0" w:color="auto"/>
          </w:divBdr>
        </w:div>
        <w:div w:id="1424570260">
          <w:marLeft w:val="1800"/>
          <w:marRight w:val="0"/>
          <w:marTop w:val="96"/>
          <w:marBottom w:val="0"/>
          <w:divBdr>
            <w:top w:val="none" w:sz="0" w:space="0" w:color="auto"/>
            <w:left w:val="none" w:sz="0" w:space="0" w:color="auto"/>
            <w:bottom w:val="none" w:sz="0" w:space="0" w:color="auto"/>
            <w:right w:val="none" w:sz="0" w:space="0" w:color="auto"/>
          </w:divBdr>
        </w:div>
        <w:div w:id="1446582889">
          <w:marLeft w:val="1800"/>
          <w:marRight w:val="0"/>
          <w:marTop w:val="96"/>
          <w:marBottom w:val="0"/>
          <w:divBdr>
            <w:top w:val="none" w:sz="0" w:space="0" w:color="auto"/>
            <w:left w:val="none" w:sz="0" w:space="0" w:color="auto"/>
            <w:bottom w:val="none" w:sz="0" w:space="0" w:color="auto"/>
            <w:right w:val="none" w:sz="0" w:space="0" w:color="auto"/>
          </w:divBdr>
        </w:div>
        <w:div w:id="1493329153">
          <w:marLeft w:val="2520"/>
          <w:marRight w:val="0"/>
          <w:marTop w:val="86"/>
          <w:marBottom w:val="0"/>
          <w:divBdr>
            <w:top w:val="none" w:sz="0" w:space="0" w:color="auto"/>
            <w:left w:val="none" w:sz="0" w:space="0" w:color="auto"/>
            <w:bottom w:val="none" w:sz="0" w:space="0" w:color="auto"/>
            <w:right w:val="none" w:sz="0" w:space="0" w:color="auto"/>
          </w:divBdr>
        </w:div>
        <w:div w:id="1544175486">
          <w:marLeft w:val="1800"/>
          <w:marRight w:val="0"/>
          <w:marTop w:val="96"/>
          <w:marBottom w:val="0"/>
          <w:divBdr>
            <w:top w:val="none" w:sz="0" w:space="0" w:color="auto"/>
            <w:left w:val="none" w:sz="0" w:space="0" w:color="auto"/>
            <w:bottom w:val="none" w:sz="0" w:space="0" w:color="auto"/>
            <w:right w:val="none" w:sz="0" w:space="0" w:color="auto"/>
          </w:divBdr>
        </w:div>
        <w:div w:id="1919097360">
          <w:marLeft w:val="2520"/>
          <w:marRight w:val="0"/>
          <w:marTop w:val="86"/>
          <w:marBottom w:val="0"/>
          <w:divBdr>
            <w:top w:val="none" w:sz="0" w:space="0" w:color="auto"/>
            <w:left w:val="none" w:sz="0" w:space="0" w:color="auto"/>
            <w:bottom w:val="none" w:sz="0" w:space="0" w:color="auto"/>
            <w:right w:val="none" w:sz="0" w:space="0" w:color="auto"/>
          </w:divBdr>
        </w:div>
      </w:divsChild>
    </w:div>
    <w:div w:id="2139687905">
      <w:bodyDiv w:val="1"/>
      <w:marLeft w:val="0"/>
      <w:marRight w:val="0"/>
      <w:marTop w:val="0"/>
      <w:marBottom w:val="0"/>
      <w:divBdr>
        <w:top w:val="none" w:sz="0" w:space="0" w:color="auto"/>
        <w:left w:val="none" w:sz="0" w:space="0" w:color="auto"/>
        <w:bottom w:val="none" w:sz="0" w:space="0" w:color="auto"/>
        <w:right w:val="none" w:sz="0" w:space="0" w:color="auto"/>
      </w:divBdr>
    </w:div>
    <w:div w:id="2140218980">
      <w:bodyDiv w:val="1"/>
      <w:marLeft w:val="0"/>
      <w:marRight w:val="0"/>
      <w:marTop w:val="0"/>
      <w:marBottom w:val="0"/>
      <w:divBdr>
        <w:top w:val="none" w:sz="0" w:space="0" w:color="auto"/>
        <w:left w:val="none" w:sz="0" w:space="0" w:color="auto"/>
        <w:bottom w:val="none" w:sz="0" w:space="0" w:color="auto"/>
        <w:right w:val="none" w:sz="0" w:space="0" w:color="auto"/>
      </w:divBdr>
      <w:divsChild>
        <w:div w:id="541328706">
          <w:marLeft w:val="547"/>
          <w:marRight w:val="0"/>
          <w:marTop w:val="115"/>
          <w:marBottom w:val="0"/>
          <w:divBdr>
            <w:top w:val="none" w:sz="0" w:space="0" w:color="auto"/>
            <w:left w:val="none" w:sz="0" w:space="0" w:color="auto"/>
            <w:bottom w:val="none" w:sz="0" w:space="0" w:color="auto"/>
            <w:right w:val="none" w:sz="0" w:space="0" w:color="auto"/>
          </w:divBdr>
        </w:div>
        <w:div w:id="1603104672">
          <w:marLeft w:val="1800"/>
          <w:marRight w:val="0"/>
          <w:marTop w:val="67"/>
          <w:marBottom w:val="0"/>
          <w:divBdr>
            <w:top w:val="none" w:sz="0" w:space="0" w:color="auto"/>
            <w:left w:val="none" w:sz="0" w:space="0" w:color="auto"/>
            <w:bottom w:val="none" w:sz="0" w:space="0" w:color="auto"/>
            <w:right w:val="none" w:sz="0" w:space="0" w:color="auto"/>
          </w:divBdr>
        </w:div>
        <w:div w:id="1727945246">
          <w:marLeft w:val="1166"/>
          <w:marRight w:val="0"/>
          <w:marTop w:val="96"/>
          <w:marBottom w:val="0"/>
          <w:divBdr>
            <w:top w:val="none" w:sz="0" w:space="0" w:color="auto"/>
            <w:left w:val="none" w:sz="0" w:space="0" w:color="auto"/>
            <w:bottom w:val="none" w:sz="0" w:space="0" w:color="auto"/>
            <w:right w:val="none" w:sz="0" w:space="0" w:color="auto"/>
          </w:divBdr>
        </w:div>
      </w:divsChild>
    </w:div>
    <w:div w:id="2142267048">
      <w:bodyDiv w:val="1"/>
      <w:marLeft w:val="0"/>
      <w:marRight w:val="0"/>
      <w:marTop w:val="0"/>
      <w:marBottom w:val="0"/>
      <w:divBdr>
        <w:top w:val="none" w:sz="0" w:space="0" w:color="auto"/>
        <w:left w:val="none" w:sz="0" w:space="0" w:color="auto"/>
        <w:bottom w:val="none" w:sz="0" w:space="0" w:color="auto"/>
        <w:right w:val="none" w:sz="0" w:space="0" w:color="auto"/>
      </w:divBdr>
      <w:divsChild>
        <w:div w:id="2146770582">
          <w:marLeft w:val="0"/>
          <w:marRight w:val="0"/>
          <w:marTop w:val="0"/>
          <w:marBottom w:val="0"/>
          <w:divBdr>
            <w:top w:val="none" w:sz="0" w:space="0" w:color="auto"/>
            <w:left w:val="none" w:sz="0" w:space="0" w:color="auto"/>
            <w:bottom w:val="none" w:sz="0" w:space="0" w:color="auto"/>
            <w:right w:val="none" w:sz="0" w:space="0" w:color="auto"/>
          </w:divBdr>
        </w:div>
      </w:divsChild>
    </w:div>
    <w:div w:id="2142378486">
      <w:bodyDiv w:val="1"/>
      <w:marLeft w:val="0"/>
      <w:marRight w:val="0"/>
      <w:marTop w:val="0"/>
      <w:marBottom w:val="0"/>
      <w:divBdr>
        <w:top w:val="none" w:sz="0" w:space="0" w:color="auto"/>
        <w:left w:val="none" w:sz="0" w:space="0" w:color="auto"/>
        <w:bottom w:val="none" w:sz="0" w:space="0" w:color="auto"/>
        <w:right w:val="none" w:sz="0" w:space="0" w:color="auto"/>
      </w:divBdr>
    </w:div>
    <w:div w:id="2142534127">
      <w:bodyDiv w:val="1"/>
      <w:marLeft w:val="0"/>
      <w:marRight w:val="0"/>
      <w:marTop w:val="0"/>
      <w:marBottom w:val="0"/>
      <w:divBdr>
        <w:top w:val="none" w:sz="0" w:space="0" w:color="auto"/>
        <w:left w:val="none" w:sz="0" w:space="0" w:color="auto"/>
        <w:bottom w:val="none" w:sz="0" w:space="0" w:color="auto"/>
        <w:right w:val="none" w:sz="0" w:space="0" w:color="auto"/>
      </w:divBdr>
    </w:div>
    <w:div w:id="2142572091">
      <w:bodyDiv w:val="1"/>
      <w:marLeft w:val="0"/>
      <w:marRight w:val="0"/>
      <w:marTop w:val="0"/>
      <w:marBottom w:val="0"/>
      <w:divBdr>
        <w:top w:val="none" w:sz="0" w:space="0" w:color="auto"/>
        <w:left w:val="none" w:sz="0" w:space="0" w:color="auto"/>
        <w:bottom w:val="none" w:sz="0" w:space="0" w:color="auto"/>
        <w:right w:val="none" w:sz="0" w:space="0" w:color="auto"/>
      </w:divBdr>
    </w:div>
    <w:div w:id="2142963000">
      <w:bodyDiv w:val="1"/>
      <w:marLeft w:val="0"/>
      <w:marRight w:val="0"/>
      <w:marTop w:val="0"/>
      <w:marBottom w:val="0"/>
      <w:divBdr>
        <w:top w:val="none" w:sz="0" w:space="0" w:color="auto"/>
        <w:left w:val="none" w:sz="0" w:space="0" w:color="auto"/>
        <w:bottom w:val="none" w:sz="0" w:space="0" w:color="auto"/>
        <w:right w:val="none" w:sz="0" w:space="0" w:color="auto"/>
      </w:divBdr>
    </w:div>
    <w:div w:id="2143379346">
      <w:bodyDiv w:val="1"/>
      <w:marLeft w:val="0"/>
      <w:marRight w:val="0"/>
      <w:marTop w:val="0"/>
      <w:marBottom w:val="0"/>
      <w:divBdr>
        <w:top w:val="none" w:sz="0" w:space="0" w:color="auto"/>
        <w:left w:val="none" w:sz="0" w:space="0" w:color="auto"/>
        <w:bottom w:val="none" w:sz="0" w:space="0" w:color="auto"/>
        <w:right w:val="none" w:sz="0" w:space="0" w:color="auto"/>
      </w:divBdr>
    </w:div>
    <w:div w:id="2143883317">
      <w:bodyDiv w:val="1"/>
      <w:marLeft w:val="0"/>
      <w:marRight w:val="0"/>
      <w:marTop w:val="0"/>
      <w:marBottom w:val="0"/>
      <w:divBdr>
        <w:top w:val="none" w:sz="0" w:space="0" w:color="auto"/>
        <w:left w:val="none" w:sz="0" w:space="0" w:color="auto"/>
        <w:bottom w:val="none" w:sz="0" w:space="0" w:color="auto"/>
        <w:right w:val="none" w:sz="0" w:space="0" w:color="auto"/>
      </w:divBdr>
    </w:div>
    <w:div w:id="2144148754">
      <w:bodyDiv w:val="1"/>
      <w:marLeft w:val="0"/>
      <w:marRight w:val="0"/>
      <w:marTop w:val="0"/>
      <w:marBottom w:val="0"/>
      <w:divBdr>
        <w:top w:val="none" w:sz="0" w:space="0" w:color="auto"/>
        <w:left w:val="none" w:sz="0" w:space="0" w:color="auto"/>
        <w:bottom w:val="none" w:sz="0" w:space="0" w:color="auto"/>
        <w:right w:val="none" w:sz="0" w:space="0" w:color="auto"/>
      </w:divBdr>
    </w:div>
    <w:div w:id="2145462186">
      <w:bodyDiv w:val="1"/>
      <w:marLeft w:val="0"/>
      <w:marRight w:val="0"/>
      <w:marTop w:val="0"/>
      <w:marBottom w:val="0"/>
      <w:divBdr>
        <w:top w:val="none" w:sz="0" w:space="0" w:color="auto"/>
        <w:left w:val="none" w:sz="0" w:space="0" w:color="auto"/>
        <w:bottom w:val="none" w:sz="0" w:space="0" w:color="auto"/>
        <w:right w:val="none" w:sz="0" w:space="0" w:color="auto"/>
      </w:divBdr>
      <w:divsChild>
        <w:div w:id="1911304422">
          <w:marLeft w:val="0"/>
          <w:marRight w:val="0"/>
          <w:marTop w:val="0"/>
          <w:marBottom w:val="0"/>
          <w:divBdr>
            <w:top w:val="none" w:sz="0" w:space="0" w:color="auto"/>
            <w:left w:val="none" w:sz="0" w:space="0" w:color="auto"/>
            <w:bottom w:val="none" w:sz="0" w:space="0" w:color="auto"/>
            <w:right w:val="none" w:sz="0" w:space="0" w:color="auto"/>
          </w:divBdr>
          <w:divsChild>
            <w:div w:id="254557885">
              <w:marLeft w:val="0"/>
              <w:marRight w:val="0"/>
              <w:marTop w:val="0"/>
              <w:marBottom w:val="0"/>
              <w:divBdr>
                <w:top w:val="none" w:sz="0" w:space="0" w:color="auto"/>
                <w:left w:val="none" w:sz="0" w:space="0" w:color="auto"/>
                <w:bottom w:val="none" w:sz="0" w:space="0" w:color="auto"/>
                <w:right w:val="none" w:sz="0" w:space="0" w:color="auto"/>
              </w:divBdr>
            </w:div>
            <w:div w:id="16557169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45807261">
      <w:bodyDiv w:val="1"/>
      <w:marLeft w:val="0"/>
      <w:marRight w:val="0"/>
      <w:marTop w:val="0"/>
      <w:marBottom w:val="0"/>
      <w:divBdr>
        <w:top w:val="none" w:sz="0" w:space="0" w:color="auto"/>
        <w:left w:val="none" w:sz="0" w:space="0" w:color="auto"/>
        <w:bottom w:val="none" w:sz="0" w:space="0" w:color="auto"/>
        <w:right w:val="none" w:sz="0" w:space="0" w:color="auto"/>
      </w:divBdr>
    </w:div>
    <w:div w:id="2146653160">
      <w:bodyDiv w:val="1"/>
      <w:marLeft w:val="0"/>
      <w:marRight w:val="0"/>
      <w:marTop w:val="0"/>
      <w:marBottom w:val="0"/>
      <w:divBdr>
        <w:top w:val="none" w:sz="0" w:space="0" w:color="auto"/>
        <w:left w:val="none" w:sz="0" w:space="0" w:color="auto"/>
        <w:bottom w:val="none" w:sz="0" w:space="0" w:color="auto"/>
        <w:right w:val="none" w:sz="0" w:space="0" w:color="auto"/>
      </w:divBdr>
      <w:divsChild>
        <w:div w:id="1212495696">
          <w:marLeft w:val="1166"/>
          <w:marRight w:val="0"/>
          <w:marTop w:val="115"/>
          <w:marBottom w:val="0"/>
          <w:divBdr>
            <w:top w:val="none" w:sz="0" w:space="0" w:color="auto"/>
            <w:left w:val="none" w:sz="0" w:space="0" w:color="auto"/>
            <w:bottom w:val="none" w:sz="0" w:space="0" w:color="auto"/>
            <w:right w:val="none" w:sz="0" w:space="0" w:color="auto"/>
          </w:divBdr>
        </w:div>
        <w:div w:id="1952393774">
          <w:marLeft w:val="547"/>
          <w:marRight w:val="0"/>
          <w:marTop w:val="115"/>
          <w:marBottom w:val="0"/>
          <w:divBdr>
            <w:top w:val="none" w:sz="0" w:space="0" w:color="auto"/>
            <w:left w:val="none" w:sz="0" w:space="0" w:color="auto"/>
            <w:bottom w:val="none" w:sz="0" w:space="0" w:color="auto"/>
            <w:right w:val="none" w:sz="0" w:space="0" w:color="auto"/>
          </w:divBdr>
        </w:div>
      </w:divsChild>
    </w:div>
    <w:div w:id="2147241280">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522" Type="http://schemas.openxmlformats.org/officeDocument/2006/relationships/hyperlink" Target="../Docs/R1-2311986.zip" TargetMode="External"/><Relationship Id="rId1827" Type="http://schemas.openxmlformats.org/officeDocument/2006/relationships/hyperlink" Target="../Docs/R1-2310977.zip" TargetMode="External"/><Relationship Id="rId21" Type="http://schemas.openxmlformats.org/officeDocument/2006/relationships/hyperlink" Target="../Docs/R1-2308571.zip" TargetMode="External"/><Relationship Id="rId2089" Type="http://schemas.openxmlformats.org/officeDocument/2006/relationships/hyperlink" Target="../Docs/R1-2311983.zip" TargetMode="External"/><Relationship Id="rId3042" Type="http://schemas.openxmlformats.org/officeDocument/2006/relationships/hyperlink" Target="../Docs/R1-2308754.zip" TargetMode="External"/><Relationship Id="rId170" Type="http://schemas.openxmlformats.org/officeDocument/2006/relationships/hyperlink" Target="../Docs/R1-2312193.zip" TargetMode="External"/><Relationship Id="rId2296" Type="http://schemas.openxmlformats.org/officeDocument/2006/relationships/hyperlink" Target="https://portal.3gpp.org/desktopmodules/WorkItem/WorkItemDetails.aspx?workitemId=800185" TargetMode="External"/><Relationship Id="rId268" Type="http://schemas.openxmlformats.org/officeDocument/2006/relationships/hyperlink" Target="../Docs/R1-2310918.zip" TargetMode="External"/><Relationship Id="rId475" Type="http://schemas.openxmlformats.org/officeDocument/2006/relationships/hyperlink" Target="../Docs/R1-2312597.zip" TargetMode="External"/><Relationship Id="rId682" Type="http://schemas.openxmlformats.org/officeDocument/2006/relationships/hyperlink" Target="../Docs/R1-2311970.zip" TargetMode="External"/><Relationship Id="rId2156" Type="http://schemas.openxmlformats.org/officeDocument/2006/relationships/hyperlink" Target="../Docs/R1-2311125.zip" TargetMode="External"/><Relationship Id="rId2363" Type="http://schemas.openxmlformats.org/officeDocument/2006/relationships/hyperlink" Target="https://portal.3gpp.org/desktopmodules/Specifications/SpecificationDetails.aspx?specificationId=3215" TargetMode="External"/><Relationship Id="rId2570" Type="http://schemas.openxmlformats.org/officeDocument/2006/relationships/hyperlink" Target="https://portal.3gpp.org/desktopmodules/Release/ReleaseDetails.aspx?releaseId=193" TargetMode="External"/><Relationship Id="rId128" Type="http://schemas.openxmlformats.org/officeDocument/2006/relationships/hyperlink" Target="../Docs/R1-2311543.zip" TargetMode="External"/><Relationship Id="rId335" Type="http://schemas.openxmlformats.org/officeDocument/2006/relationships/hyperlink" Target="../Docs/R1-2311009.zip" TargetMode="External"/><Relationship Id="rId542" Type="http://schemas.openxmlformats.org/officeDocument/2006/relationships/hyperlink" Target="../Docs/R1-2312212.zip" TargetMode="External"/><Relationship Id="rId987" Type="http://schemas.openxmlformats.org/officeDocument/2006/relationships/hyperlink" Target="../Docs/R1-2312249.zip" TargetMode="External"/><Relationship Id="rId1172" Type="http://schemas.openxmlformats.org/officeDocument/2006/relationships/hyperlink" Target="../Docs/R1-2312036.zip" TargetMode="External"/><Relationship Id="rId2016" Type="http://schemas.openxmlformats.org/officeDocument/2006/relationships/hyperlink" Target="../Docs/R1-2310826.zip" TargetMode="External"/><Relationship Id="rId2223" Type="http://schemas.openxmlformats.org/officeDocument/2006/relationships/hyperlink" Target="../Docs/R1-2312203.zip" TargetMode="External"/><Relationship Id="rId2430" Type="http://schemas.openxmlformats.org/officeDocument/2006/relationships/hyperlink" Target="https://portal.3gpp.org/desktopmodules/Specifications/SpecificationDetails.aspx?specificationId=3216" TargetMode="External"/><Relationship Id="rId2668" Type="http://schemas.openxmlformats.org/officeDocument/2006/relationships/hyperlink" Target="https://portal.3gpp.org/desktopmodules/WorkItem/WorkItemDetails.aspx?workitemId=940199" TargetMode="External"/><Relationship Id="rId2875" Type="http://schemas.openxmlformats.org/officeDocument/2006/relationships/hyperlink" Target="../Docs/R1-2310802.zip" TargetMode="External"/><Relationship Id="rId402" Type="http://schemas.openxmlformats.org/officeDocument/2006/relationships/hyperlink" Target="../Docs/R1-2312674.zip" TargetMode="External"/><Relationship Id="rId847" Type="http://schemas.openxmlformats.org/officeDocument/2006/relationships/hyperlink" Target="../Docs/R1-2310922.zip" TargetMode="External"/><Relationship Id="rId1032" Type="http://schemas.openxmlformats.org/officeDocument/2006/relationships/hyperlink" Target="../Docs/R1-2312531.zip" TargetMode="External"/><Relationship Id="rId1477" Type="http://schemas.openxmlformats.org/officeDocument/2006/relationships/hyperlink" Target="../Docs/R1-2311231.zip" TargetMode="External"/><Relationship Id="rId1684" Type="http://schemas.openxmlformats.org/officeDocument/2006/relationships/hyperlink" Target="../Docs/R1-2311635.zip" TargetMode="External"/><Relationship Id="rId1891" Type="http://schemas.openxmlformats.org/officeDocument/2006/relationships/hyperlink" Target="../Docs/R1-2311993.zip" TargetMode="External"/><Relationship Id="rId2528" Type="http://schemas.openxmlformats.org/officeDocument/2006/relationships/hyperlink" Target="https://portal.3gpp.org/desktopmodules/WorkItem/WorkItemDetails.aspx?workitemId=981137" TargetMode="External"/><Relationship Id="rId2735" Type="http://schemas.openxmlformats.org/officeDocument/2006/relationships/hyperlink" Target="https://portal.3gpp.org/desktopmodules/Release/ReleaseDetails.aspx?releaseId=193" TargetMode="External"/><Relationship Id="rId2942" Type="http://schemas.openxmlformats.org/officeDocument/2006/relationships/hyperlink" Target="file:///C:\MyMeetings\TSGR1_115-Chicago\Docs\R1-2312721.zip" TargetMode="External"/><Relationship Id="rId707" Type="http://schemas.openxmlformats.org/officeDocument/2006/relationships/hyperlink" Target="../Docs/R1-2312646.zip" TargetMode="External"/><Relationship Id="rId914" Type="http://schemas.openxmlformats.org/officeDocument/2006/relationships/hyperlink" Target="../Docs/R1-2311677.zip" TargetMode="External"/><Relationship Id="rId1337" Type="http://schemas.openxmlformats.org/officeDocument/2006/relationships/image" Target="media/image57.wmf"/><Relationship Id="rId1544" Type="http://schemas.openxmlformats.org/officeDocument/2006/relationships/hyperlink" Target="../Docs/R1-2311921.zip" TargetMode="External"/><Relationship Id="rId1751" Type="http://schemas.openxmlformats.org/officeDocument/2006/relationships/hyperlink" Target="../Docs/R1-2311773.zip" TargetMode="External"/><Relationship Id="rId1989" Type="http://schemas.openxmlformats.org/officeDocument/2006/relationships/hyperlink" Target="../Docs/R1-2311392.zip" TargetMode="External"/><Relationship Id="rId2802" Type="http://schemas.openxmlformats.org/officeDocument/2006/relationships/hyperlink" Target="https://portal.3gpp.org/desktopmodules/WorkItem/WorkItemDetails.aspx?workitemId=941106" TargetMode="External"/><Relationship Id="rId43" Type="http://schemas.openxmlformats.org/officeDocument/2006/relationships/hyperlink" Target="../Docs/R1-2312230.zip" TargetMode="External"/><Relationship Id="rId1404" Type="http://schemas.openxmlformats.org/officeDocument/2006/relationships/hyperlink" Target="../Docs/R1-2312607.zip" TargetMode="External"/><Relationship Id="rId1611" Type="http://schemas.openxmlformats.org/officeDocument/2006/relationships/hyperlink" Target="../Docs/R1-2311023.zip" TargetMode="External"/><Relationship Id="rId1849" Type="http://schemas.openxmlformats.org/officeDocument/2006/relationships/hyperlink" Target="../Docs/R1-2311864.zip" TargetMode="External"/><Relationship Id="rId192" Type="http://schemas.openxmlformats.org/officeDocument/2006/relationships/hyperlink" Target="../Docs/R1-2311820.zip" TargetMode="External"/><Relationship Id="rId1709" Type="http://schemas.openxmlformats.org/officeDocument/2006/relationships/hyperlink" Target="../Docs/R1-2312670.zip" TargetMode="External"/><Relationship Id="rId1916" Type="http://schemas.openxmlformats.org/officeDocument/2006/relationships/image" Target="media/image91.png"/><Relationship Id="rId497" Type="http://schemas.openxmlformats.org/officeDocument/2006/relationships/hyperlink" Target="../Docs/R1-2311538.zip" TargetMode="External"/><Relationship Id="rId2080" Type="http://schemas.openxmlformats.org/officeDocument/2006/relationships/hyperlink" Target="../Docs/R1-2311280.zip" TargetMode="External"/><Relationship Id="rId2178" Type="http://schemas.openxmlformats.org/officeDocument/2006/relationships/hyperlink" Target="../Docs/R1-2312000.zip" TargetMode="External"/><Relationship Id="rId2385" Type="http://schemas.openxmlformats.org/officeDocument/2006/relationships/hyperlink" Target="https://www.3gpp.org/ftp/TSG_RAN/WG1_RL1/TSGR1_115/Docs/R1-2312600.zip" TargetMode="External"/><Relationship Id="rId357" Type="http://schemas.openxmlformats.org/officeDocument/2006/relationships/hyperlink" Target="../Docs/R1-2311965.zip" TargetMode="External"/><Relationship Id="rId1194" Type="http://schemas.openxmlformats.org/officeDocument/2006/relationships/hyperlink" Target="../Docs/R1-2311845.zip" TargetMode="External"/><Relationship Id="rId2038" Type="http://schemas.openxmlformats.org/officeDocument/2006/relationships/hyperlink" Target="../Docs/R1-2310996.zip" TargetMode="External"/><Relationship Id="rId2592" Type="http://schemas.openxmlformats.org/officeDocument/2006/relationships/hyperlink" Target="https://portal.3gpp.org/desktopmodules/WorkItem/WorkItemDetails.aspx?workitemId=981139" TargetMode="External"/><Relationship Id="rId2897" Type="http://schemas.openxmlformats.org/officeDocument/2006/relationships/hyperlink" Target="https://portal.3gpp.org/desktopmodules/Release/ReleaseDetails.aspx?releaseId=193" TargetMode="External"/><Relationship Id="rId217" Type="http://schemas.openxmlformats.org/officeDocument/2006/relationships/hyperlink" Target="../Docs/R1-2311250.zip" TargetMode="External"/><Relationship Id="rId564" Type="http://schemas.openxmlformats.org/officeDocument/2006/relationships/hyperlink" Target="../Docs/R1-2311374.zip" TargetMode="External"/><Relationship Id="rId771" Type="http://schemas.openxmlformats.org/officeDocument/2006/relationships/hyperlink" Target="../Docs/R1-2311971.zip" TargetMode="External"/><Relationship Id="rId869" Type="http://schemas.openxmlformats.org/officeDocument/2006/relationships/hyperlink" Target="../Docs/R1-2312267.zip" TargetMode="External"/><Relationship Id="rId1499" Type="http://schemas.openxmlformats.org/officeDocument/2006/relationships/hyperlink" Target="../Docs/R1-2311054.zip" TargetMode="External"/><Relationship Id="rId2245" Type="http://schemas.openxmlformats.org/officeDocument/2006/relationships/hyperlink" Target="https://www.3gpp.org/ftp/TSG_RAN/WG1_RL1/TSGR1_115/Docs/R1-2312379.zip" TargetMode="External"/><Relationship Id="rId2452" Type="http://schemas.openxmlformats.org/officeDocument/2006/relationships/hyperlink" Target="https://portal.3gpp.org/desktopmodules/Release/ReleaseDetails.aspx?releaseId=193" TargetMode="External"/><Relationship Id="rId424" Type="http://schemas.openxmlformats.org/officeDocument/2006/relationships/hyperlink" Target="../Docs/R1-2311295.zip" TargetMode="External"/><Relationship Id="rId631" Type="http://schemas.openxmlformats.org/officeDocument/2006/relationships/hyperlink" Target="../Docs/R1-2312351.zip" TargetMode="External"/><Relationship Id="rId729" Type="http://schemas.openxmlformats.org/officeDocument/2006/relationships/hyperlink" Target="../Docs/R1-2312697.zip" TargetMode="External"/><Relationship Id="rId1054" Type="http://schemas.openxmlformats.org/officeDocument/2006/relationships/hyperlink" Target="../Docs/R1-2310854.zip" TargetMode="External"/><Relationship Id="rId1261" Type="http://schemas.openxmlformats.org/officeDocument/2006/relationships/hyperlink" Target="../Docs/R1-2312344.zip" TargetMode="External"/><Relationship Id="rId1359" Type="http://schemas.openxmlformats.org/officeDocument/2006/relationships/hyperlink" Target="../Docs/R1-2311575.zip" TargetMode="External"/><Relationship Id="rId2105" Type="http://schemas.openxmlformats.org/officeDocument/2006/relationships/hyperlink" Target="../Docs/R1-2312067.zip" TargetMode="External"/><Relationship Id="rId2312" Type="http://schemas.openxmlformats.org/officeDocument/2006/relationships/hyperlink" Target="https://portal.3gpp.org/desktopmodules/WorkItem/WorkItemDetails.aspx?workitemId=830180" TargetMode="External"/><Relationship Id="rId2757" Type="http://schemas.openxmlformats.org/officeDocument/2006/relationships/hyperlink" Target="https://www.3gpp.org/ftp/TSG_RAN/WG1_RL1/TSGR1_115/Docs/R1-2312522.zip" TargetMode="External"/><Relationship Id="rId2964" Type="http://schemas.openxmlformats.org/officeDocument/2006/relationships/hyperlink" Target="../Docs/R1-2312773.zip" TargetMode="External"/><Relationship Id="rId936" Type="http://schemas.openxmlformats.org/officeDocument/2006/relationships/hyperlink" Target="../Docs/R1-2311417.zip" TargetMode="External"/><Relationship Id="rId1121" Type="http://schemas.openxmlformats.org/officeDocument/2006/relationships/hyperlink" Target="../Docs/R1-2312416.zip" TargetMode="External"/><Relationship Id="rId1219" Type="http://schemas.openxmlformats.org/officeDocument/2006/relationships/hyperlink" Target="../Docs/R1-2312093.zip" TargetMode="External"/><Relationship Id="rId1566" Type="http://schemas.openxmlformats.org/officeDocument/2006/relationships/hyperlink" Target="../Docs/R1-2311550.zip" TargetMode="External"/><Relationship Id="rId1773" Type="http://schemas.openxmlformats.org/officeDocument/2006/relationships/hyperlink" Target="../Docs/R1-2311325.zip" TargetMode="External"/><Relationship Id="rId1980" Type="http://schemas.openxmlformats.org/officeDocument/2006/relationships/hyperlink" Target="../Docs/R1-2312608.zip" TargetMode="External"/><Relationship Id="rId2617" Type="http://schemas.openxmlformats.org/officeDocument/2006/relationships/hyperlink" Target="https://www.3gpp.org/ftp/TSG_RAN/WG1_RL1/TSGR1_115/Docs/R1-2312752.zip" TargetMode="External"/><Relationship Id="rId2824" Type="http://schemas.openxmlformats.org/officeDocument/2006/relationships/hyperlink" Target="https://portal.3gpp.org/desktopmodules/WorkItem/WorkItemDetails.aspx?workitemId=981138" TargetMode="External"/><Relationship Id="rId65" Type="http://schemas.openxmlformats.org/officeDocument/2006/relationships/hyperlink" Target="../Docs/R1-2308649.zip" TargetMode="External"/><Relationship Id="rId1426" Type="http://schemas.openxmlformats.org/officeDocument/2006/relationships/hyperlink" Target="../Docs/R1-2312391.zip" TargetMode="External"/><Relationship Id="rId1633" Type="http://schemas.openxmlformats.org/officeDocument/2006/relationships/hyperlink" Target="../Docs/R1-2311917.zip" TargetMode="External"/><Relationship Id="rId1840" Type="http://schemas.openxmlformats.org/officeDocument/2006/relationships/hyperlink" Target="../Docs/R1-2311499.zip" TargetMode="External"/><Relationship Id="rId1700" Type="http://schemas.openxmlformats.org/officeDocument/2006/relationships/hyperlink" Target="../Docs/R1-2312301.zip" TargetMode="External"/><Relationship Id="rId1938" Type="http://schemas.openxmlformats.org/officeDocument/2006/relationships/hyperlink" Target="../Docs/R1-2312001.zip" TargetMode="External"/><Relationship Id="rId281" Type="http://schemas.openxmlformats.org/officeDocument/2006/relationships/image" Target="media/image9.wmf"/><Relationship Id="rId3013" Type="http://schemas.openxmlformats.org/officeDocument/2006/relationships/hyperlink" Target="../Docs/R1-2312811.zip" TargetMode="External"/><Relationship Id="rId141" Type="http://schemas.openxmlformats.org/officeDocument/2006/relationships/hyperlink" Target="../Docs/R1-2311736.zip" TargetMode="External"/><Relationship Id="rId379" Type="http://schemas.openxmlformats.org/officeDocument/2006/relationships/hyperlink" Target="../Docs/R1-2310912.zip" TargetMode="External"/><Relationship Id="rId586" Type="http://schemas.openxmlformats.org/officeDocument/2006/relationships/hyperlink" Target="../Docs/R1-2311826.zip" TargetMode="External"/><Relationship Id="rId793" Type="http://schemas.openxmlformats.org/officeDocument/2006/relationships/hyperlink" Target="../Docs/R1-2310948.zip" TargetMode="External"/><Relationship Id="rId2267" Type="http://schemas.openxmlformats.org/officeDocument/2006/relationships/hyperlink" Target="https://portal.3gpp.org/desktopmodules/Specifications/SpecificationDetails.aspx?specificationId=3215" TargetMode="External"/><Relationship Id="rId2474" Type="http://schemas.openxmlformats.org/officeDocument/2006/relationships/hyperlink" Target="https://portal.3gpp.org/desktopmodules/WorkItem/WorkItemDetails.aspx?workitemId=920042" TargetMode="External"/><Relationship Id="rId2681" Type="http://schemas.openxmlformats.org/officeDocument/2006/relationships/hyperlink" Target="https://www.3gpp.org/ftp/TSG_RAN/WG1_RL1/TSGR1_115/Docs/R1-2312782.zip" TargetMode="External"/><Relationship Id="rId7" Type="http://schemas.openxmlformats.org/officeDocument/2006/relationships/footnotes" Target="footnotes.xml"/><Relationship Id="rId239" Type="http://schemas.openxmlformats.org/officeDocument/2006/relationships/hyperlink" Target="../Docs/R1-2312096.zip" TargetMode="External"/><Relationship Id="rId446" Type="http://schemas.openxmlformats.org/officeDocument/2006/relationships/hyperlink" Target="../Docs/R1-2312549.zip" TargetMode="External"/><Relationship Id="rId653" Type="http://schemas.openxmlformats.org/officeDocument/2006/relationships/hyperlink" Target="../Docs/R1-2312214.zip" TargetMode="External"/><Relationship Id="rId1076" Type="http://schemas.openxmlformats.org/officeDocument/2006/relationships/hyperlink" Target="../Docs/R1-2312432.zip" TargetMode="External"/><Relationship Id="rId1283" Type="http://schemas.openxmlformats.org/officeDocument/2006/relationships/hyperlink" Target="../Docs/R1-2311786.zip" TargetMode="External"/><Relationship Id="rId1490" Type="http://schemas.openxmlformats.org/officeDocument/2006/relationships/hyperlink" Target="../Docs/R1-2312134.zip" TargetMode="External"/><Relationship Id="rId2127" Type="http://schemas.openxmlformats.org/officeDocument/2006/relationships/hyperlink" Target="../Docs/R1-2312586.zip" TargetMode="External"/><Relationship Id="rId2334" Type="http://schemas.openxmlformats.org/officeDocument/2006/relationships/hyperlink" Target="https://www.3gpp.org/ftp/TSG_RAN/WG1_RL1/TSGR1_115/Docs/R1-2312544.zip" TargetMode="External"/><Relationship Id="rId2779" Type="http://schemas.openxmlformats.org/officeDocument/2006/relationships/hyperlink" Target="https://portal.3gpp.org/desktopmodules/WorkItem/WorkItemDetails.aspx?workitemId=860147" TargetMode="External"/><Relationship Id="rId2986" Type="http://schemas.openxmlformats.org/officeDocument/2006/relationships/hyperlink" Target="../Docs/R1-2312729.zip" TargetMode="External"/><Relationship Id="rId306" Type="http://schemas.openxmlformats.org/officeDocument/2006/relationships/oleObject" Target="embeddings/oleObject9.bin"/><Relationship Id="rId860" Type="http://schemas.openxmlformats.org/officeDocument/2006/relationships/hyperlink" Target="../Docs/R1-2311720.zip" TargetMode="External"/><Relationship Id="rId958" Type="http://schemas.openxmlformats.org/officeDocument/2006/relationships/hyperlink" Target="../Docs/R1-2310928.zip" TargetMode="External"/><Relationship Id="rId1143" Type="http://schemas.openxmlformats.org/officeDocument/2006/relationships/hyperlink" Target="../Docs/R1-2312125.zip" TargetMode="External"/><Relationship Id="rId1588" Type="http://schemas.openxmlformats.org/officeDocument/2006/relationships/hyperlink" Target="../Docs/R1-2312458.zip" TargetMode="External"/><Relationship Id="rId1795" Type="http://schemas.openxmlformats.org/officeDocument/2006/relationships/hyperlink" Target="../Docs/R1-2311998.zip" TargetMode="External"/><Relationship Id="rId2541" Type="http://schemas.openxmlformats.org/officeDocument/2006/relationships/hyperlink" Target="https://www.3gpp.org/ftp/TSG_RAN/WG1_RL1/TSGR1_115/Docs/R1-2312733.zip" TargetMode="External"/><Relationship Id="rId2639" Type="http://schemas.openxmlformats.org/officeDocument/2006/relationships/hyperlink" Target="https://portal.3gpp.org/desktopmodules/Specifications/SpecificationDetails.aspx?specificationId=3216" TargetMode="External"/><Relationship Id="rId2846" Type="http://schemas.openxmlformats.org/officeDocument/2006/relationships/hyperlink" Target="../Docs/R1-2310794.zip" TargetMode="External"/><Relationship Id="rId87" Type="http://schemas.openxmlformats.org/officeDocument/2006/relationships/hyperlink" Target="../Docs/R1-2311071.zip" TargetMode="External"/><Relationship Id="rId513" Type="http://schemas.openxmlformats.org/officeDocument/2006/relationships/oleObject" Target="embeddings/oleObject15.bin"/><Relationship Id="rId720" Type="http://schemas.openxmlformats.org/officeDocument/2006/relationships/hyperlink" Target="../Docs/R1-2312540.zip" TargetMode="External"/><Relationship Id="rId818" Type="http://schemas.openxmlformats.org/officeDocument/2006/relationships/hyperlink" Target="../Docs/R1-2310868.zip" TargetMode="External"/><Relationship Id="rId1350" Type="http://schemas.openxmlformats.org/officeDocument/2006/relationships/hyperlink" Target="../Docs/R1-2311171.zip" TargetMode="External"/><Relationship Id="rId1448" Type="http://schemas.openxmlformats.org/officeDocument/2006/relationships/hyperlink" Target="../Docs/R1-2311368.zip" TargetMode="External"/><Relationship Id="rId1655" Type="http://schemas.openxmlformats.org/officeDocument/2006/relationships/hyperlink" Target="../Docs/R1-2311496.zip" TargetMode="External"/><Relationship Id="rId2401" Type="http://schemas.openxmlformats.org/officeDocument/2006/relationships/hyperlink" Target="https://portal.3gpp.org/desktopmodules/Specifications/SpecificationDetails.aspx?specificationId=3216" TargetMode="External"/><Relationship Id="rId2706" Type="http://schemas.openxmlformats.org/officeDocument/2006/relationships/hyperlink" Target="https://portal.3gpp.org/desktopmodules/Release/ReleaseDetails.aspx?releaseId=193" TargetMode="External"/><Relationship Id="rId1003" Type="http://schemas.openxmlformats.org/officeDocument/2006/relationships/hyperlink" Target="../Docs/R1-2311162.zip" TargetMode="External"/><Relationship Id="rId1210" Type="http://schemas.openxmlformats.org/officeDocument/2006/relationships/hyperlink" Target="../Docs/R1-2311464.zip" TargetMode="External"/><Relationship Id="rId1308" Type="http://schemas.openxmlformats.org/officeDocument/2006/relationships/hyperlink" Target="../Docs/R1-2311413.zip" TargetMode="External"/><Relationship Id="rId1862" Type="http://schemas.openxmlformats.org/officeDocument/2006/relationships/hyperlink" Target="../Docs/R1-2312404.zip" TargetMode="External"/><Relationship Id="rId2913" Type="http://schemas.openxmlformats.org/officeDocument/2006/relationships/hyperlink" Target="https://portal.3gpp.org/desktopmodules/WorkItem/WorkItemDetails.aspx?workitemId=981138" TargetMode="External"/><Relationship Id="rId1515" Type="http://schemas.openxmlformats.org/officeDocument/2006/relationships/hyperlink" Target="../Docs/R1-2311755.zip" TargetMode="External"/><Relationship Id="rId1722" Type="http://schemas.openxmlformats.org/officeDocument/2006/relationships/hyperlink" Target="../Docs/R1-2312136.zip" TargetMode="External"/><Relationship Id="rId14" Type="http://schemas.openxmlformats.org/officeDocument/2006/relationships/hyperlink" Target="../Docs/R1-2310784.zip" TargetMode="External"/><Relationship Id="rId2191" Type="http://schemas.openxmlformats.org/officeDocument/2006/relationships/hyperlink" Target="../Docs/R1-2311716.zip" TargetMode="External"/><Relationship Id="rId3035" Type="http://schemas.openxmlformats.org/officeDocument/2006/relationships/hyperlink" Target="../Docs/R1-2312713.zip" TargetMode="External"/><Relationship Id="rId163" Type="http://schemas.openxmlformats.org/officeDocument/2006/relationships/hyperlink" Target="../Docs/R1-2311283.zip" TargetMode="External"/><Relationship Id="rId370" Type="http://schemas.openxmlformats.org/officeDocument/2006/relationships/hyperlink" Target="../Docs/R1-2312117.zip" TargetMode="External"/><Relationship Id="rId2051" Type="http://schemas.openxmlformats.org/officeDocument/2006/relationships/hyperlink" Target="../Docs/R1-2312168.zip" TargetMode="External"/><Relationship Id="rId2289" Type="http://schemas.openxmlformats.org/officeDocument/2006/relationships/hyperlink" Target="https://www.3gpp.org/ftp/TSG_RAN/WG1_RL1/TSGR1_115/Docs/R1-2312483.zip" TargetMode="External"/><Relationship Id="rId2496" Type="http://schemas.openxmlformats.org/officeDocument/2006/relationships/hyperlink" Target="https://portal.3gpp.org/desktopmodules/Release/ReleaseDetails.aspx?releaseId=193" TargetMode="External"/><Relationship Id="rId230" Type="http://schemas.openxmlformats.org/officeDocument/2006/relationships/hyperlink" Target="../Docs/R1-2311507.zip" TargetMode="External"/><Relationship Id="rId468" Type="http://schemas.openxmlformats.org/officeDocument/2006/relationships/hyperlink" Target="../Docs/R1-2311673.zip" TargetMode="External"/><Relationship Id="rId675" Type="http://schemas.openxmlformats.org/officeDocument/2006/relationships/hyperlink" Target="../Docs/R1-2311508.zip" TargetMode="External"/><Relationship Id="rId882" Type="http://schemas.openxmlformats.org/officeDocument/2006/relationships/hyperlink" Target="../Docs/R1-2311569.zip" TargetMode="External"/><Relationship Id="rId1098" Type="http://schemas.openxmlformats.org/officeDocument/2006/relationships/hyperlink" Target="../Docs/R1-2312185.zip" TargetMode="External"/><Relationship Id="rId2149" Type="http://schemas.openxmlformats.org/officeDocument/2006/relationships/hyperlink" Target="../Docs/R1-2311761.zip" TargetMode="External"/><Relationship Id="rId2356" Type="http://schemas.openxmlformats.org/officeDocument/2006/relationships/hyperlink" Target="https://portal.3gpp.org/desktopmodules/Specifications/SpecificationDetails.aspx?specificationId=3216" TargetMode="External"/><Relationship Id="rId2563" Type="http://schemas.openxmlformats.org/officeDocument/2006/relationships/hyperlink" Target="https://portal.3gpp.org/desktopmodules/Specifications/SpecificationDetails.aspx?specificationId=3214" TargetMode="External"/><Relationship Id="rId2770" Type="http://schemas.openxmlformats.org/officeDocument/2006/relationships/hyperlink" Target="https://portal.3gpp.org/desktopmodules/Release/ReleaseDetails.aspx?releaseId=193" TargetMode="External"/><Relationship Id="rId328" Type="http://schemas.openxmlformats.org/officeDocument/2006/relationships/hyperlink" Target="../Docs/R1-2310660.zip" TargetMode="External"/><Relationship Id="rId535" Type="http://schemas.openxmlformats.org/officeDocument/2006/relationships/hyperlink" Target="../Docs/R1-2312311.zip" TargetMode="External"/><Relationship Id="rId742" Type="http://schemas.openxmlformats.org/officeDocument/2006/relationships/hyperlink" Target="../Docs/R1-2312526.zip" TargetMode="External"/><Relationship Id="rId1165" Type="http://schemas.openxmlformats.org/officeDocument/2006/relationships/hyperlink" Target="../Docs/R1-2311459.zip" TargetMode="External"/><Relationship Id="rId1372" Type="http://schemas.openxmlformats.org/officeDocument/2006/relationships/hyperlink" Target="../Docs/R1-2312161.zip" TargetMode="External"/><Relationship Id="rId2009" Type="http://schemas.openxmlformats.org/officeDocument/2006/relationships/hyperlink" Target="../Docs/R1-2311519.zip" TargetMode="External"/><Relationship Id="rId2216" Type="http://schemas.openxmlformats.org/officeDocument/2006/relationships/hyperlink" Target="../Docs/R1-2312590.zip" TargetMode="External"/><Relationship Id="rId2423" Type="http://schemas.openxmlformats.org/officeDocument/2006/relationships/hyperlink" Target="https://portal.3gpp.org/desktopmodules/Specifications/SpecificationDetails.aspx?specificationId=3215" TargetMode="External"/><Relationship Id="rId2630" Type="http://schemas.openxmlformats.org/officeDocument/2006/relationships/hyperlink" Target="https://portal.3gpp.org/desktopmodules/Release/ReleaseDetails.aspx?releaseId=193" TargetMode="External"/><Relationship Id="rId2868" Type="http://schemas.openxmlformats.org/officeDocument/2006/relationships/hyperlink" Target="../Docs/R1-2310800.zip" TargetMode="External"/><Relationship Id="rId602" Type="http://schemas.openxmlformats.org/officeDocument/2006/relationships/hyperlink" Target="../Docs/R1-2311308.zip" TargetMode="External"/><Relationship Id="rId1025" Type="http://schemas.openxmlformats.org/officeDocument/2006/relationships/hyperlink" Target="../Docs/R1-2312326.zip" TargetMode="External"/><Relationship Id="rId1232" Type="http://schemas.openxmlformats.org/officeDocument/2006/relationships/hyperlink" Target="../Docs/R1-2310823.zip" TargetMode="External"/><Relationship Id="rId1677" Type="http://schemas.openxmlformats.org/officeDocument/2006/relationships/hyperlink" Target="../Docs/R1-2311178.zip" TargetMode="External"/><Relationship Id="rId1884" Type="http://schemas.openxmlformats.org/officeDocument/2006/relationships/hyperlink" Target="../Docs/R1-2311554.zip" TargetMode="External"/><Relationship Id="rId2728" Type="http://schemas.openxmlformats.org/officeDocument/2006/relationships/hyperlink" Target="https://www.3gpp.org/ftp/TSG_RAN/WG1_RL1/TSGR1_115/Docs/R1-2312371.zip" TargetMode="External"/><Relationship Id="rId2935" Type="http://schemas.openxmlformats.org/officeDocument/2006/relationships/hyperlink" Target="../Docs/R1-2312708.zip" TargetMode="External"/><Relationship Id="rId907" Type="http://schemas.openxmlformats.org/officeDocument/2006/relationships/hyperlink" Target="../Docs/R1-2311384.zip" TargetMode="External"/><Relationship Id="rId1537" Type="http://schemas.openxmlformats.org/officeDocument/2006/relationships/hyperlink" Target="../Docs/R1-2311264.zip" TargetMode="External"/><Relationship Id="rId1744" Type="http://schemas.openxmlformats.org/officeDocument/2006/relationships/hyperlink" Target="../Docs/R1-2311179.zip" TargetMode="External"/><Relationship Id="rId1951" Type="http://schemas.openxmlformats.org/officeDocument/2006/relationships/hyperlink" Target="../Docs/R1-2311116.zip" TargetMode="External"/><Relationship Id="rId36" Type="http://schemas.openxmlformats.org/officeDocument/2006/relationships/hyperlink" Target="../Docs/R1-2310787.zip" TargetMode="External"/><Relationship Id="rId1604" Type="http://schemas.openxmlformats.org/officeDocument/2006/relationships/hyperlink" Target="../Docs/R1-2312567.zip" TargetMode="External"/><Relationship Id="rId185" Type="http://schemas.openxmlformats.org/officeDocument/2006/relationships/hyperlink" Target="../Docs/R1-2311060.zip" TargetMode="External"/><Relationship Id="rId1811" Type="http://schemas.openxmlformats.org/officeDocument/2006/relationships/hyperlink" Target="../Docs/R1-2311999.zip" TargetMode="External"/><Relationship Id="rId1909" Type="http://schemas.openxmlformats.org/officeDocument/2006/relationships/hyperlink" Target="../Docs/R1-2312445.zip" TargetMode="External"/><Relationship Id="rId392" Type="http://schemas.openxmlformats.org/officeDocument/2006/relationships/hyperlink" Target="../Docs/R1-2311221.zip" TargetMode="External"/><Relationship Id="rId697" Type="http://schemas.openxmlformats.org/officeDocument/2006/relationships/hyperlink" Target="../Docs/R1-2312645.zip" TargetMode="External"/><Relationship Id="rId2073" Type="http://schemas.openxmlformats.org/officeDocument/2006/relationships/hyperlink" Target="../Docs/R1-2312103.zip" TargetMode="External"/><Relationship Id="rId2280" Type="http://schemas.openxmlformats.org/officeDocument/2006/relationships/hyperlink" Target="https://portal.3gpp.org/desktopmodules/WorkItem/WorkItemDetails.aspx?workitemId=860141" TargetMode="External"/><Relationship Id="rId2378" Type="http://schemas.openxmlformats.org/officeDocument/2006/relationships/hyperlink" Target="https://portal.3gpp.org/desktopmodules/Release/ReleaseDetails.aspx?releaseId=193" TargetMode="External"/><Relationship Id="rId252" Type="http://schemas.openxmlformats.org/officeDocument/2006/relationships/hyperlink" Target="../Docs/R1-2312308.zip" TargetMode="External"/><Relationship Id="rId1187" Type="http://schemas.openxmlformats.org/officeDocument/2006/relationships/hyperlink" Target="../Docs/R1-2311226.zip" TargetMode="External"/><Relationship Id="rId2140" Type="http://schemas.openxmlformats.org/officeDocument/2006/relationships/hyperlink" Target="../Docs/R1-2312580.zip" TargetMode="External"/><Relationship Id="rId2585" Type="http://schemas.openxmlformats.org/officeDocument/2006/relationships/hyperlink" Target="https://www.3gpp.org/ftp/TSG_RAN/WG1_RL1/TSGR1_115/Docs/R1-2312744.zip" TargetMode="External"/><Relationship Id="rId2792" Type="http://schemas.openxmlformats.org/officeDocument/2006/relationships/hyperlink" Target="https://www.3gpp.org/ftp/TSG_RAN/WG1_RL1/TSGR1_115/Docs/R1-2312651.zip" TargetMode="External"/><Relationship Id="rId112" Type="http://schemas.openxmlformats.org/officeDocument/2006/relationships/hyperlink" Target="../Docs/R1-2311661.zip" TargetMode="External"/><Relationship Id="rId557" Type="http://schemas.openxmlformats.org/officeDocument/2006/relationships/hyperlink" Target="../Docs/R1-2311791.zip" TargetMode="External"/><Relationship Id="rId764" Type="http://schemas.openxmlformats.org/officeDocument/2006/relationships/hyperlink" Target="../Docs/R1-2311674.zip" TargetMode="External"/><Relationship Id="rId971" Type="http://schemas.openxmlformats.org/officeDocument/2006/relationships/hyperlink" Target="../Docs/R1-2311515.zip" TargetMode="External"/><Relationship Id="rId1394" Type="http://schemas.openxmlformats.org/officeDocument/2006/relationships/image" Target="media/image74.png"/><Relationship Id="rId1699" Type="http://schemas.openxmlformats.org/officeDocument/2006/relationships/hyperlink" Target="../Docs/R1-2312424.zip" TargetMode="External"/><Relationship Id="rId2000" Type="http://schemas.openxmlformats.org/officeDocument/2006/relationships/hyperlink" Target="../Docs/R1-2312575.zip" TargetMode="External"/><Relationship Id="rId2238" Type="http://schemas.openxmlformats.org/officeDocument/2006/relationships/hyperlink" Target="https://www.3gpp.org/ftp/TSG_RAN/WG1_RL1/TSGR1_115/Docs/R1-2312365.zip" TargetMode="External"/><Relationship Id="rId2445" Type="http://schemas.openxmlformats.org/officeDocument/2006/relationships/hyperlink" Target="https://portal.3gpp.org/desktopmodules/Specifications/SpecificationDetails.aspx?specificationId=3217" TargetMode="External"/><Relationship Id="rId2652" Type="http://schemas.openxmlformats.org/officeDocument/2006/relationships/hyperlink" Target="https://portal.3gpp.org/desktopmodules/WorkItem/WorkItemDetails.aspx?workitemId=981139" TargetMode="External"/><Relationship Id="rId417" Type="http://schemas.openxmlformats.org/officeDocument/2006/relationships/hyperlink" Target="../Docs/R1-2310961.zip" TargetMode="External"/><Relationship Id="rId624" Type="http://schemas.openxmlformats.org/officeDocument/2006/relationships/hyperlink" Target="../Docs/R1-2312479.zip" TargetMode="External"/><Relationship Id="rId831" Type="http://schemas.openxmlformats.org/officeDocument/2006/relationships/hyperlink" Target="../Docs/R1-2311567.zip" TargetMode="External"/><Relationship Id="rId1047" Type="http://schemas.openxmlformats.org/officeDocument/2006/relationships/hyperlink" Target="../Docs/R1-2312259.zip" TargetMode="External"/><Relationship Id="rId1254" Type="http://schemas.openxmlformats.org/officeDocument/2006/relationships/hyperlink" Target="../Docs/R1-2312343.zip" TargetMode="External"/><Relationship Id="rId1461" Type="http://schemas.openxmlformats.org/officeDocument/2006/relationships/hyperlink" Target="../Docs/R1-2311984.zip" TargetMode="External"/><Relationship Id="rId2305" Type="http://schemas.openxmlformats.org/officeDocument/2006/relationships/hyperlink" Target="https://www.3gpp.org/ftp/TSG_RAN/WG1_RL1/TSGR1_115/Docs/R1-2312491.zip" TargetMode="External"/><Relationship Id="rId2512" Type="http://schemas.openxmlformats.org/officeDocument/2006/relationships/hyperlink" Target="https://portal.3gpp.org/desktopmodules/WorkItem/WorkItemDetails.aspx?workitemId=940193" TargetMode="External"/><Relationship Id="rId2957" Type="http://schemas.openxmlformats.org/officeDocument/2006/relationships/hyperlink" Target="../Docs/R1-2312816.zip" TargetMode="External"/><Relationship Id="rId929" Type="http://schemas.openxmlformats.org/officeDocument/2006/relationships/hyperlink" Target="../Docs/R1-2311044.zip" TargetMode="External"/><Relationship Id="rId1114" Type="http://schemas.openxmlformats.org/officeDocument/2006/relationships/hyperlink" Target="../Docs/R1-2311596.zip" TargetMode="External"/><Relationship Id="rId1321" Type="http://schemas.openxmlformats.org/officeDocument/2006/relationships/hyperlink" Target="../Docs/R1-2311938.zip" TargetMode="External"/><Relationship Id="rId1559" Type="http://schemas.openxmlformats.org/officeDocument/2006/relationships/hyperlink" Target="../Docs/R1-2311265.zip" TargetMode="External"/><Relationship Id="rId1766" Type="http://schemas.openxmlformats.org/officeDocument/2006/relationships/hyperlink" Target="../Docs/R1-2310935.zip" TargetMode="External"/><Relationship Id="rId1973" Type="http://schemas.openxmlformats.org/officeDocument/2006/relationships/hyperlink" Target="../Docs/R1-2312419.zip" TargetMode="External"/><Relationship Id="rId2817" Type="http://schemas.openxmlformats.org/officeDocument/2006/relationships/hyperlink" Target="../Docs/R1-2308571.zip" TargetMode="External"/><Relationship Id="rId58" Type="http://schemas.openxmlformats.org/officeDocument/2006/relationships/hyperlink" Target="../Docs/R1-2311809.zip" TargetMode="External"/><Relationship Id="rId1419" Type="http://schemas.openxmlformats.org/officeDocument/2006/relationships/hyperlink" Target="../Docs/R1-2311953.zip" TargetMode="External"/><Relationship Id="rId1626" Type="http://schemas.openxmlformats.org/officeDocument/2006/relationships/hyperlink" Target="../Docs/R1-2311321.zip" TargetMode="External"/><Relationship Id="rId1833" Type="http://schemas.openxmlformats.org/officeDocument/2006/relationships/hyperlink" Target="../Docs/R1-2311182.zip" TargetMode="External"/><Relationship Id="rId1900" Type="http://schemas.openxmlformats.org/officeDocument/2006/relationships/hyperlink" Target="../Docs/R1-2312336.zip" TargetMode="External"/><Relationship Id="rId2095" Type="http://schemas.openxmlformats.org/officeDocument/2006/relationships/hyperlink" Target="../Docs/R1-2310957.zip" TargetMode="External"/><Relationship Id="rId274" Type="http://schemas.openxmlformats.org/officeDocument/2006/relationships/hyperlink" Target="../Docs/R1-2311578.zip" TargetMode="External"/><Relationship Id="rId481" Type="http://schemas.openxmlformats.org/officeDocument/2006/relationships/hyperlink" Target="../Docs/R1-2312651.zip" TargetMode="External"/><Relationship Id="rId2162" Type="http://schemas.openxmlformats.org/officeDocument/2006/relationships/hyperlink" Target="../Docs/R1-2311877.zip" TargetMode="External"/><Relationship Id="rId3006" Type="http://schemas.openxmlformats.org/officeDocument/2006/relationships/hyperlink" Target="../Docs/R1-2312804.zip" TargetMode="External"/><Relationship Id="rId134" Type="http://schemas.openxmlformats.org/officeDocument/2006/relationships/hyperlink" Target="../Docs/R1-2311069.zip" TargetMode="External"/><Relationship Id="rId579" Type="http://schemas.openxmlformats.org/officeDocument/2006/relationships/hyperlink" Target="../Docs/R1-2311790.zip" TargetMode="External"/><Relationship Id="rId786" Type="http://schemas.openxmlformats.org/officeDocument/2006/relationships/image" Target="media/image41.png"/><Relationship Id="rId993" Type="http://schemas.openxmlformats.org/officeDocument/2006/relationships/hyperlink" Target="../Docs/R1-2312251.zip" TargetMode="External"/><Relationship Id="rId2467" Type="http://schemas.openxmlformats.org/officeDocument/2006/relationships/hyperlink" Target="https://www.3gpp.org/ftp/TSG_RAN/WG1_RL1/TSGR1_115/Docs/R1-2312702.zip" TargetMode="External"/><Relationship Id="rId2674" Type="http://schemas.openxmlformats.org/officeDocument/2006/relationships/hyperlink" Target="https://portal.3gpp.org/desktopmodules/Release/ReleaseDetails.aspx?releaseId=193" TargetMode="External"/><Relationship Id="rId341" Type="http://schemas.openxmlformats.org/officeDocument/2006/relationships/hyperlink" Target="../Docs/R1-2312019.zip" TargetMode="External"/><Relationship Id="rId439" Type="http://schemas.openxmlformats.org/officeDocument/2006/relationships/hyperlink" Target="../Docs/R1-2311819.zip" TargetMode="External"/><Relationship Id="rId646" Type="http://schemas.openxmlformats.org/officeDocument/2006/relationships/hyperlink" Target="../Docs/R1-2312455.zip" TargetMode="External"/><Relationship Id="rId1069" Type="http://schemas.openxmlformats.org/officeDocument/2006/relationships/hyperlink" Target="../Docs/R1-2312494.zip" TargetMode="External"/><Relationship Id="rId1276" Type="http://schemas.openxmlformats.org/officeDocument/2006/relationships/hyperlink" Target="../Docs/R1-2311486.zip" TargetMode="External"/><Relationship Id="rId1483" Type="http://schemas.openxmlformats.org/officeDocument/2006/relationships/hyperlink" Target="../Docs/R1-2311592.zip" TargetMode="External"/><Relationship Id="rId2022" Type="http://schemas.openxmlformats.org/officeDocument/2006/relationships/hyperlink" Target="../Docs/R1-2311277.zip" TargetMode="External"/><Relationship Id="rId2327" Type="http://schemas.openxmlformats.org/officeDocument/2006/relationships/hyperlink" Target="https://portal.3gpp.org/desktopmodules/Specifications/SpecificationDetails.aspx?specificationId=3216" TargetMode="External"/><Relationship Id="rId2881" Type="http://schemas.openxmlformats.org/officeDocument/2006/relationships/hyperlink" Target="../Docs/R1-2310804.zip" TargetMode="External"/><Relationship Id="rId2979" Type="http://schemas.openxmlformats.org/officeDocument/2006/relationships/hyperlink" Target="../Docs/R1-2312817.zip" TargetMode="External"/><Relationship Id="rId201" Type="http://schemas.openxmlformats.org/officeDocument/2006/relationships/image" Target="media/image3.png"/><Relationship Id="rId506" Type="http://schemas.openxmlformats.org/officeDocument/2006/relationships/image" Target="media/image16.wmf"/><Relationship Id="rId853" Type="http://schemas.openxmlformats.org/officeDocument/2006/relationships/hyperlink" Target="../Docs/R1-2311216.zip" TargetMode="External"/><Relationship Id="rId1136" Type="http://schemas.openxmlformats.org/officeDocument/2006/relationships/hyperlink" Target="../Docs/R1-2311544.zip" TargetMode="External"/><Relationship Id="rId1690" Type="http://schemas.openxmlformats.org/officeDocument/2006/relationships/hyperlink" Target="../Docs/R1-2312426.zip" TargetMode="External"/><Relationship Id="rId1788" Type="http://schemas.openxmlformats.org/officeDocument/2006/relationships/hyperlink" Target="../Docs/R1-2310965.zip" TargetMode="External"/><Relationship Id="rId1995" Type="http://schemas.openxmlformats.org/officeDocument/2006/relationships/hyperlink" Target="../Docs/R1-2311867.zip" TargetMode="External"/><Relationship Id="rId2534" Type="http://schemas.openxmlformats.org/officeDocument/2006/relationships/hyperlink" Target="https://portal.3gpp.org/desktopmodules/Release/ReleaseDetails.aspx?releaseId=193" TargetMode="External"/><Relationship Id="rId2741" Type="http://schemas.openxmlformats.org/officeDocument/2006/relationships/hyperlink" Target="https://portal.3gpp.org/desktopmodules/Release/ReleaseDetails.aspx?releaseId=193" TargetMode="External"/><Relationship Id="rId2839" Type="http://schemas.openxmlformats.org/officeDocument/2006/relationships/hyperlink" Target="https://portal.3gpp.org/desktopmodules/WorkItem/WorkItemDetails.aspx?workitemId=920042" TargetMode="External"/><Relationship Id="rId713" Type="http://schemas.openxmlformats.org/officeDocument/2006/relationships/hyperlink" Target="../Docs/R1-2312702.zip" TargetMode="External"/><Relationship Id="rId920" Type="http://schemas.openxmlformats.org/officeDocument/2006/relationships/hyperlink" Target="../Docs/R1-2311930.zip" TargetMode="External"/><Relationship Id="rId1343" Type="http://schemas.openxmlformats.org/officeDocument/2006/relationships/hyperlink" Target="../Docs/R1-2312639.zip" TargetMode="External"/><Relationship Id="rId1550" Type="http://schemas.openxmlformats.org/officeDocument/2006/relationships/hyperlink" Target="../Docs/R1-2311005.zip" TargetMode="External"/><Relationship Id="rId1648" Type="http://schemas.openxmlformats.org/officeDocument/2006/relationships/hyperlink" Target="../Docs/R1-2311024.zip" TargetMode="External"/><Relationship Id="rId2601" Type="http://schemas.openxmlformats.org/officeDocument/2006/relationships/hyperlink" Target="https://www.3gpp.org/ftp/TSG_RAN/WG1_RL1/TSGR1_115/Docs/R1-2312748.zip" TargetMode="External"/><Relationship Id="rId1203" Type="http://schemas.openxmlformats.org/officeDocument/2006/relationships/hyperlink" Target="../Docs/R1-2311099.zip" TargetMode="External"/><Relationship Id="rId1410" Type="http://schemas.openxmlformats.org/officeDocument/2006/relationships/hyperlink" Target="../Docs/R1-2311408.zip" TargetMode="External"/><Relationship Id="rId1508" Type="http://schemas.openxmlformats.org/officeDocument/2006/relationships/hyperlink" Target="../Docs/R1-2311492.zip" TargetMode="External"/><Relationship Id="rId1855" Type="http://schemas.openxmlformats.org/officeDocument/2006/relationships/hyperlink" Target="../Docs/R1-2312087.zip" TargetMode="External"/><Relationship Id="rId2906" Type="http://schemas.openxmlformats.org/officeDocument/2006/relationships/hyperlink" Target="https://portal.3gpp.org/desktopmodules/Release/ReleaseDetails.aspx?releaseId=193" TargetMode="External"/><Relationship Id="rId1715" Type="http://schemas.openxmlformats.org/officeDocument/2006/relationships/hyperlink" Target="../Docs/R1-2311199.zip" TargetMode="External"/><Relationship Id="rId1922" Type="http://schemas.openxmlformats.org/officeDocument/2006/relationships/image" Target="media/image97.png"/><Relationship Id="rId296" Type="http://schemas.openxmlformats.org/officeDocument/2006/relationships/image" Target="media/image14.wmf"/><Relationship Id="rId2184" Type="http://schemas.openxmlformats.org/officeDocument/2006/relationships/hyperlink" Target="../Docs/R1-2310902.zip" TargetMode="External"/><Relationship Id="rId2391" Type="http://schemas.openxmlformats.org/officeDocument/2006/relationships/hyperlink" Target="https://portal.3gpp.org/desktopmodules/Specifications/SpecificationDetails.aspx?specificationId=3216" TargetMode="External"/><Relationship Id="rId3028" Type="http://schemas.openxmlformats.org/officeDocument/2006/relationships/hyperlink" Target="../Docs/R1-2312797.zip" TargetMode="External"/><Relationship Id="rId156" Type="http://schemas.openxmlformats.org/officeDocument/2006/relationships/hyperlink" Target="../Docs/R1-2311958.zip" TargetMode="External"/><Relationship Id="rId363" Type="http://schemas.openxmlformats.org/officeDocument/2006/relationships/hyperlink" Target="../Docs/R1-2311076.zip" TargetMode="External"/><Relationship Id="rId570" Type="http://schemas.openxmlformats.org/officeDocument/2006/relationships/hyperlink" Target="../Docs/R1-2311015.zip" TargetMode="External"/><Relationship Id="rId2044" Type="http://schemas.openxmlformats.org/officeDocument/2006/relationships/hyperlink" Target="../Docs/R1-2311428.zip" TargetMode="External"/><Relationship Id="rId2251" Type="http://schemas.openxmlformats.org/officeDocument/2006/relationships/hyperlink" Target="https://portal.3gpp.org/desktopmodules/Specifications/SpecificationDetails.aspx?specificationId=3215" TargetMode="External"/><Relationship Id="rId2489" Type="http://schemas.openxmlformats.org/officeDocument/2006/relationships/hyperlink" Target="https://www.3gpp.org/ftp/TSG_RAN/WG1_RL1/TSGR1_115/Docs/R1-2312719.zip" TargetMode="External"/><Relationship Id="rId2696" Type="http://schemas.openxmlformats.org/officeDocument/2006/relationships/hyperlink" Target="https://portal.3gpp.org/desktopmodules/WorkItem/WorkItemDetails.aspx?workitemId=991144" TargetMode="External"/><Relationship Id="rId223" Type="http://schemas.openxmlformats.org/officeDocument/2006/relationships/hyperlink" Target="../Docs/R1-2311787.zip" TargetMode="External"/><Relationship Id="rId430" Type="http://schemas.openxmlformats.org/officeDocument/2006/relationships/hyperlink" Target="../Docs/R1-2311294.zip" TargetMode="External"/><Relationship Id="rId668" Type="http://schemas.openxmlformats.org/officeDocument/2006/relationships/hyperlink" Target="../Docs/R1-2312519.zip" TargetMode="External"/><Relationship Id="rId875" Type="http://schemas.openxmlformats.org/officeDocument/2006/relationships/hyperlink" Target="../Docs/R1-2310951.zip" TargetMode="External"/><Relationship Id="rId1060" Type="http://schemas.openxmlformats.org/officeDocument/2006/relationships/hyperlink" Target="../Docs/R1-2311769.zip" TargetMode="External"/><Relationship Id="rId1298" Type="http://schemas.openxmlformats.org/officeDocument/2006/relationships/hyperlink" Target="../Docs/R1-2310863.zip" TargetMode="External"/><Relationship Id="rId2111" Type="http://schemas.openxmlformats.org/officeDocument/2006/relationships/hyperlink" Target="../Docs/R1-2311124.zip" TargetMode="External"/><Relationship Id="rId2349" Type="http://schemas.openxmlformats.org/officeDocument/2006/relationships/hyperlink" Target="https://portal.3gpp.org/desktopmodules/WorkItem/WorkItemDetails.aspx?workitemId=860140" TargetMode="External"/><Relationship Id="rId2556" Type="http://schemas.openxmlformats.org/officeDocument/2006/relationships/hyperlink" Target="https://portal.3gpp.org/desktopmodules/WorkItem/WorkItemDetails.aspx?workitemId=981138" TargetMode="External"/><Relationship Id="rId2763" Type="http://schemas.openxmlformats.org/officeDocument/2006/relationships/hyperlink" Target="https://portal.3gpp.org/desktopmodules/Release/ReleaseDetails.aspx?releaseId=193" TargetMode="External"/><Relationship Id="rId2970" Type="http://schemas.openxmlformats.org/officeDocument/2006/relationships/hyperlink" Target="../Docs/R1-2312799.zip" TargetMode="External"/><Relationship Id="rId528" Type="http://schemas.openxmlformats.org/officeDocument/2006/relationships/image" Target="media/image29.wmf"/><Relationship Id="rId735" Type="http://schemas.openxmlformats.org/officeDocument/2006/relationships/hyperlink" Target="../Docs/R1-2311004.zip" TargetMode="External"/><Relationship Id="rId942" Type="http://schemas.openxmlformats.org/officeDocument/2006/relationships/hyperlink" Target="../Docs/R1-2311678.zip" TargetMode="External"/><Relationship Id="rId1158" Type="http://schemas.openxmlformats.org/officeDocument/2006/relationships/hyperlink" Target="../Docs/R1-2310978.zip" TargetMode="External"/><Relationship Id="rId1365" Type="http://schemas.openxmlformats.org/officeDocument/2006/relationships/hyperlink" Target="../Docs/R1-2311850.zip" TargetMode="External"/><Relationship Id="rId1572" Type="http://schemas.openxmlformats.org/officeDocument/2006/relationships/hyperlink" Target="../Docs/R1-2311916.zip" TargetMode="External"/><Relationship Id="rId2209" Type="http://schemas.openxmlformats.org/officeDocument/2006/relationships/hyperlink" Target="../Docs/R1-2310904.zip" TargetMode="External"/><Relationship Id="rId2416" Type="http://schemas.openxmlformats.org/officeDocument/2006/relationships/hyperlink" Target="https://portal.3gpp.org/desktopmodules/WorkItem/WorkItemDetails.aspx?workitemId=860148" TargetMode="External"/><Relationship Id="rId2623" Type="http://schemas.openxmlformats.org/officeDocument/2006/relationships/hyperlink" Target="https://portal.3gpp.org/desktopmodules/Specifications/SpecificationDetails.aspx?specificationId=3216" TargetMode="External"/><Relationship Id="rId1018" Type="http://schemas.openxmlformats.org/officeDocument/2006/relationships/hyperlink" Target="../Docs/R1-2311976.zip" TargetMode="External"/><Relationship Id="rId1225" Type="http://schemas.openxmlformats.org/officeDocument/2006/relationships/hyperlink" Target="../Docs/R1-2312395.zip" TargetMode="External"/><Relationship Id="rId1432" Type="http://schemas.openxmlformats.org/officeDocument/2006/relationships/hyperlink" Target="../Docs/R1-2310809.zip" TargetMode="External"/><Relationship Id="rId1877" Type="http://schemas.openxmlformats.org/officeDocument/2006/relationships/hyperlink" Target="../Docs/R1-2311415.zip" TargetMode="External"/><Relationship Id="rId2830" Type="http://schemas.openxmlformats.org/officeDocument/2006/relationships/hyperlink" Target="https://portal.3gpp.org/desktopmodules/Release/ReleaseDetails.aspx?releaseId=193" TargetMode="External"/><Relationship Id="rId2928" Type="http://schemas.openxmlformats.org/officeDocument/2006/relationships/hyperlink" Target="../Docs/R1-2312705.zip" TargetMode="External"/><Relationship Id="rId71" Type="http://schemas.openxmlformats.org/officeDocument/2006/relationships/hyperlink" Target="../Docs/R1-2311003.zip" TargetMode="External"/><Relationship Id="rId802" Type="http://schemas.openxmlformats.org/officeDocument/2006/relationships/hyperlink" Target="../Docs/R1-2311421.zip" TargetMode="External"/><Relationship Id="rId1737" Type="http://schemas.openxmlformats.org/officeDocument/2006/relationships/hyperlink" Target="../Docs/R1-2311429.zip" TargetMode="External"/><Relationship Id="rId1944" Type="http://schemas.openxmlformats.org/officeDocument/2006/relationships/hyperlink" Target="../Docs/R1-2312058.zip" TargetMode="External"/><Relationship Id="rId29" Type="http://schemas.openxmlformats.org/officeDocument/2006/relationships/hyperlink" Target="../Docs/R1-2311228.zip" TargetMode="External"/><Relationship Id="rId178" Type="http://schemas.openxmlformats.org/officeDocument/2006/relationships/hyperlink" Target="../Docs/R1-2311803.zip" TargetMode="External"/><Relationship Id="rId1804" Type="http://schemas.openxmlformats.org/officeDocument/2006/relationships/hyperlink" Target="../Docs/R1-2311248.zip" TargetMode="External"/><Relationship Id="rId385" Type="http://schemas.openxmlformats.org/officeDocument/2006/relationships/hyperlink" Target="../Docs/R1-2312015.zip" TargetMode="External"/><Relationship Id="rId592" Type="http://schemas.openxmlformats.org/officeDocument/2006/relationships/hyperlink" Target="../Docs/R1-2311018.zip" TargetMode="External"/><Relationship Id="rId2066" Type="http://schemas.openxmlformats.org/officeDocument/2006/relationships/hyperlink" Target="../Docs/R1-2311646.zip" TargetMode="External"/><Relationship Id="rId2273" Type="http://schemas.openxmlformats.org/officeDocument/2006/relationships/hyperlink" Target="https://www.3gpp.org/ftp/TSG_RAN/WG1_RL1/TSGR1_115/Docs/R1-2312477.zip" TargetMode="External"/><Relationship Id="rId2480" Type="http://schemas.openxmlformats.org/officeDocument/2006/relationships/hyperlink" Target="https://portal.3gpp.org/desktopmodules/Release/ReleaseDetails.aspx?releaseId=193" TargetMode="External"/><Relationship Id="rId245" Type="http://schemas.openxmlformats.org/officeDocument/2006/relationships/hyperlink" Target="../Docs/R1-2311006.zip" TargetMode="External"/><Relationship Id="rId452" Type="http://schemas.openxmlformats.org/officeDocument/2006/relationships/hyperlink" Target="../Docs/R1-2310963.zip" TargetMode="External"/><Relationship Id="rId897" Type="http://schemas.openxmlformats.org/officeDocument/2006/relationships/hyperlink" Target="../Docs/R1-2312318.zip" TargetMode="External"/><Relationship Id="rId1082" Type="http://schemas.openxmlformats.org/officeDocument/2006/relationships/hyperlink" Target="../Docs/R1-2311094.zip" TargetMode="External"/><Relationship Id="rId2133" Type="http://schemas.openxmlformats.org/officeDocument/2006/relationships/hyperlink" Target="../Docs/R1-2311027.zip" TargetMode="External"/><Relationship Id="rId2340" Type="http://schemas.openxmlformats.org/officeDocument/2006/relationships/hyperlink" Target="https://portal.3gpp.org/desktopmodules/Specifications/SpecificationDetails.aspx?specificationId=3215" TargetMode="External"/><Relationship Id="rId2578" Type="http://schemas.openxmlformats.org/officeDocument/2006/relationships/hyperlink" Target="https://portal.3gpp.org/desktopmodules/Release/ReleaseDetails.aspx?releaseId=193" TargetMode="External"/><Relationship Id="rId2785" Type="http://schemas.openxmlformats.org/officeDocument/2006/relationships/hyperlink" Target="https://portal.3gpp.org/desktopmodules/WorkItem/WorkItemDetails.aspx?workitemId=981138" TargetMode="External"/><Relationship Id="rId2992" Type="http://schemas.openxmlformats.org/officeDocument/2006/relationships/hyperlink" Target="../Docs/R1-2312760.zip" TargetMode="External"/><Relationship Id="rId105" Type="http://schemas.openxmlformats.org/officeDocument/2006/relationships/hyperlink" Target="../Docs/R1-2310959.zip" TargetMode="External"/><Relationship Id="rId312" Type="http://schemas.openxmlformats.org/officeDocument/2006/relationships/hyperlink" Target="../Docs/R1-2311816.zip" TargetMode="External"/><Relationship Id="rId757" Type="http://schemas.openxmlformats.org/officeDocument/2006/relationships/hyperlink" Target="../Docs/R1-2311420.zip" TargetMode="External"/><Relationship Id="rId964" Type="http://schemas.openxmlformats.org/officeDocument/2006/relationships/hyperlink" Target="../Docs/R1-2310851.zip" TargetMode="External"/><Relationship Id="rId1387" Type="http://schemas.openxmlformats.org/officeDocument/2006/relationships/image" Target="media/image67.png"/><Relationship Id="rId1594" Type="http://schemas.openxmlformats.org/officeDocument/2006/relationships/hyperlink" Target="../Docs/R1-2311725.zip" TargetMode="External"/><Relationship Id="rId2200" Type="http://schemas.openxmlformats.org/officeDocument/2006/relationships/hyperlink" Target="../Docs/R1-2312615.zip" TargetMode="External"/><Relationship Id="rId2438" Type="http://schemas.openxmlformats.org/officeDocument/2006/relationships/hyperlink" Target="https://portal.3gpp.org/desktopmodules/Release/ReleaseDetails.aspx?releaseId=192" TargetMode="External"/><Relationship Id="rId2645" Type="http://schemas.openxmlformats.org/officeDocument/2006/relationships/hyperlink" Target="https://www.3gpp.org/ftp/TSG_RAN/WG1_RL1/TSGR1_115/Docs/R1-2312759.zip" TargetMode="External"/><Relationship Id="rId2852" Type="http://schemas.openxmlformats.org/officeDocument/2006/relationships/hyperlink" Target="https://portal.3gpp.org/desktopmodules/WorkItem/WorkItemDetails.aspx?workitemId=940198" TargetMode="External"/><Relationship Id="rId93" Type="http://schemas.openxmlformats.org/officeDocument/2006/relationships/hyperlink" Target="../Docs/R1-2311800.zip" TargetMode="External"/><Relationship Id="rId617" Type="http://schemas.openxmlformats.org/officeDocument/2006/relationships/hyperlink" Target="../Docs/R1-2312478.zip" TargetMode="External"/><Relationship Id="rId824" Type="http://schemas.openxmlformats.org/officeDocument/2006/relationships/hyperlink" Target="../Docs/R1-2311215.zip" TargetMode="External"/><Relationship Id="rId1247" Type="http://schemas.openxmlformats.org/officeDocument/2006/relationships/hyperlink" Target="../Docs/R1-2311847.zip" TargetMode="External"/><Relationship Id="rId1454" Type="http://schemas.openxmlformats.org/officeDocument/2006/relationships/hyperlink" Target="../Docs/R1-2311593.zip" TargetMode="External"/><Relationship Id="rId1661" Type="http://schemas.openxmlformats.org/officeDocument/2006/relationships/hyperlink" Target="../Docs/R1-2311735.zip" TargetMode="External"/><Relationship Id="rId1899" Type="http://schemas.openxmlformats.org/officeDocument/2006/relationships/hyperlink" Target="../Docs/R1-2312335.zip" TargetMode="External"/><Relationship Id="rId2505" Type="http://schemas.openxmlformats.org/officeDocument/2006/relationships/hyperlink" Target="https://www.3gpp.org/ftp/TSG_RAN/WG1_RL1/TSGR1_115/Docs/R1-2312724.zip" TargetMode="External"/><Relationship Id="rId2712" Type="http://schemas.openxmlformats.org/officeDocument/2006/relationships/hyperlink" Target="https://portal.3gpp.org/desktopmodules/WorkItem/WorkItemDetails.aspx?workitemId=940194" TargetMode="External"/><Relationship Id="rId1107" Type="http://schemas.openxmlformats.org/officeDocument/2006/relationships/hyperlink" Target="../Docs/R1-2311095.zip" TargetMode="External"/><Relationship Id="rId1314" Type="http://schemas.openxmlformats.org/officeDocument/2006/relationships/hyperlink" Target="../Docs/R1-2311656.zip" TargetMode="External"/><Relationship Id="rId1521" Type="http://schemas.openxmlformats.org/officeDocument/2006/relationships/hyperlink" Target="../Docs/R1-2311945.zip" TargetMode="External"/><Relationship Id="rId1759" Type="http://schemas.openxmlformats.org/officeDocument/2006/relationships/hyperlink" Target="../Docs/R1-2312319.zip" TargetMode="External"/><Relationship Id="rId1966" Type="http://schemas.openxmlformats.org/officeDocument/2006/relationships/hyperlink" Target="../Docs/R1-2310942.zip" TargetMode="External"/><Relationship Id="rId1619" Type="http://schemas.openxmlformats.org/officeDocument/2006/relationships/hyperlink" Target="../Docs/R1-2310860.zip" TargetMode="External"/><Relationship Id="rId1826" Type="http://schemas.openxmlformats.org/officeDocument/2006/relationships/hyperlink" Target="../Docs/R1-2310844.zip" TargetMode="External"/><Relationship Id="rId20" Type="http://schemas.openxmlformats.org/officeDocument/2006/relationships/hyperlink" Target="../Docs/R1-2312182.zip" TargetMode="External"/><Relationship Id="rId2088" Type="http://schemas.openxmlformats.org/officeDocument/2006/relationships/hyperlink" Target="../Docs/R1-2311906.zip" TargetMode="External"/><Relationship Id="rId2295" Type="http://schemas.openxmlformats.org/officeDocument/2006/relationships/hyperlink" Target="https://portal.3gpp.org/desktopmodules/Specifications/SpecificationDetails.aspx?specificationId=3215" TargetMode="External"/><Relationship Id="rId3041" Type="http://schemas.openxmlformats.org/officeDocument/2006/relationships/hyperlink" Target="../Docs/R1-2312714.zip" TargetMode="External"/><Relationship Id="rId267" Type="http://schemas.openxmlformats.org/officeDocument/2006/relationships/hyperlink" Target="../Docs/R1-2310918.zip" TargetMode="External"/><Relationship Id="rId474" Type="http://schemas.openxmlformats.org/officeDocument/2006/relationships/hyperlink" Target="../Docs/R1-2312428.zip" TargetMode="External"/><Relationship Id="rId2155" Type="http://schemas.openxmlformats.org/officeDocument/2006/relationships/hyperlink" Target="../Docs/R1-2311028.zip" TargetMode="External"/><Relationship Id="rId127" Type="http://schemas.openxmlformats.org/officeDocument/2006/relationships/hyperlink" Target="../Docs/R1-2311268.zip" TargetMode="External"/><Relationship Id="rId681" Type="http://schemas.openxmlformats.org/officeDocument/2006/relationships/hyperlink" Target="../Docs/R1-2311785.zip" TargetMode="External"/><Relationship Id="rId779" Type="http://schemas.openxmlformats.org/officeDocument/2006/relationships/image" Target="media/image34.png"/><Relationship Id="rId986" Type="http://schemas.openxmlformats.org/officeDocument/2006/relationships/hyperlink" Target="../Docs/R1-2312248.zip" TargetMode="External"/><Relationship Id="rId2362" Type="http://schemas.openxmlformats.org/officeDocument/2006/relationships/hyperlink" Target="https://portal.3gpp.org/desktopmodules/Release/ReleaseDetails.aspx?releaseId=193" TargetMode="External"/><Relationship Id="rId2667" Type="http://schemas.openxmlformats.org/officeDocument/2006/relationships/hyperlink" Target="https://portal.3gpp.org/desktopmodules/Specifications/SpecificationDetails.aspx?specificationId=3213" TargetMode="External"/><Relationship Id="rId334" Type="http://schemas.openxmlformats.org/officeDocument/2006/relationships/hyperlink" Target="../Docs/R1-2312365.zip" TargetMode="External"/><Relationship Id="rId541" Type="http://schemas.openxmlformats.org/officeDocument/2006/relationships/hyperlink" Target="../Docs/R1-2310835.zip" TargetMode="External"/><Relationship Id="rId639" Type="http://schemas.openxmlformats.org/officeDocument/2006/relationships/hyperlink" Target="../Docs/R1-2311253.zip" TargetMode="External"/><Relationship Id="rId1171" Type="http://schemas.openxmlformats.org/officeDocument/2006/relationships/hyperlink" Target="../Docs/R1-2311950.zip" TargetMode="External"/><Relationship Id="rId1269" Type="http://schemas.openxmlformats.org/officeDocument/2006/relationships/hyperlink" Target="../Docs/R1-2310992.zip" TargetMode="External"/><Relationship Id="rId1476" Type="http://schemas.openxmlformats.org/officeDocument/2006/relationships/hyperlink" Target="../Docs/R1-2311173.zip" TargetMode="External"/><Relationship Id="rId2015" Type="http://schemas.openxmlformats.org/officeDocument/2006/relationships/hyperlink" Target="../Docs/R1-2312583.zip" TargetMode="External"/><Relationship Id="rId2222" Type="http://schemas.openxmlformats.org/officeDocument/2006/relationships/hyperlink" Target="../Docs/R1-2312074.zip" TargetMode="External"/><Relationship Id="rId2874" Type="http://schemas.openxmlformats.org/officeDocument/2006/relationships/hyperlink" Target="https://portal.3gpp.org/desktopmodules/WorkItem/WorkItemDetails.aspx?workitemId=950273" TargetMode="External"/><Relationship Id="rId401" Type="http://schemas.openxmlformats.org/officeDocument/2006/relationships/hyperlink" Target="../Docs/R1-2312673.zip" TargetMode="External"/><Relationship Id="rId846" Type="http://schemas.openxmlformats.org/officeDocument/2006/relationships/hyperlink" Target="../Docs/R1-2310908.zip" TargetMode="External"/><Relationship Id="rId1031" Type="http://schemas.openxmlformats.org/officeDocument/2006/relationships/hyperlink" Target="../Docs/R1-2312531.zip" TargetMode="External"/><Relationship Id="rId1129" Type="http://schemas.openxmlformats.org/officeDocument/2006/relationships/hyperlink" Target="../Docs/R1-2311165.zip" TargetMode="External"/><Relationship Id="rId1683" Type="http://schemas.openxmlformats.org/officeDocument/2006/relationships/hyperlink" Target="../Docs/R1-2311553.zip" TargetMode="External"/><Relationship Id="rId1890" Type="http://schemas.openxmlformats.org/officeDocument/2006/relationships/hyperlink" Target="../Docs/R1-2311941.zip" TargetMode="External"/><Relationship Id="rId1988" Type="http://schemas.openxmlformats.org/officeDocument/2006/relationships/hyperlink" Target="../Docs/R1-2311328.zip" TargetMode="External"/><Relationship Id="rId2527" Type="http://schemas.openxmlformats.org/officeDocument/2006/relationships/hyperlink" Target="https://portal.3gpp.org/desktopmodules/Specifications/SpecificationDetails.aspx?specificationId=3215" TargetMode="External"/><Relationship Id="rId2734" Type="http://schemas.openxmlformats.org/officeDocument/2006/relationships/hyperlink" Target="https://www.3gpp.org/ftp/TSG_RAN/WG1_RL1/TSGR1_115/Docs/R1-2312393.zip" TargetMode="External"/><Relationship Id="rId2941" Type="http://schemas.openxmlformats.org/officeDocument/2006/relationships/hyperlink" Target="file:///C:\MyMeetings\TSGR1_115-Chicago\Docs\R1-2312718.zip" TargetMode="External"/><Relationship Id="rId706" Type="http://schemas.openxmlformats.org/officeDocument/2006/relationships/hyperlink" Target="../Docs/R1-2311969.zip" TargetMode="External"/><Relationship Id="rId913" Type="http://schemas.openxmlformats.org/officeDocument/2006/relationships/hyperlink" Target="../Docs/R1-2311657.zip" TargetMode="External"/><Relationship Id="rId1336" Type="http://schemas.openxmlformats.org/officeDocument/2006/relationships/image" Target="media/image56.png"/><Relationship Id="rId1543" Type="http://schemas.openxmlformats.org/officeDocument/2006/relationships/hyperlink" Target="../Docs/R1-2311855.zip" TargetMode="External"/><Relationship Id="rId1750" Type="http://schemas.openxmlformats.org/officeDocument/2006/relationships/hyperlink" Target="../Docs/R1-2311637.zip" TargetMode="External"/><Relationship Id="rId2801" Type="http://schemas.openxmlformats.org/officeDocument/2006/relationships/hyperlink" Target="https://portal.3gpp.org/desktopmodules/Release/ReleaseDetails.aspx?releaseId=193" TargetMode="External"/><Relationship Id="rId42" Type="http://schemas.openxmlformats.org/officeDocument/2006/relationships/hyperlink" Target="../Docs/R1-2312183.zip" TargetMode="External"/><Relationship Id="rId1403" Type="http://schemas.openxmlformats.org/officeDocument/2006/relationships/hyperlink" Target="../Docs/R1-2312606.zip" TargetMode="External"/><Relationship Id="rId1610" Type="http://schemas.openxmlformats.org/officeDocument/2006/relationships/hyperlink" Target="../Docs/R1-2312509.zip" TargetMode="External"/><Relationship Id="rId1848" Type="http://schemas.openxmlformats.org/officeDocument/2006/relationships/hyperlink" Target="../Docs/R1-2311783.zip" TargetMode="External"/><Relationship Id="rId191" Type="http://schemas.openxmlformats.org/officeDocument/2006/relationships/hyperlink" Target="../Docs/R1-2311729.zip" TargetMode="External"/><Relationship Id="rId1708" Type="http://schemas.openxmlformats.org/officeDocument/2006/relationships/hyperlink" Target="../Docs/R1-2312496.zip" TargetMode="External"/><Relationship Id="rId1915" Type="http://schemas.openxmlformats.org/officeDocument/2006/relationships/image" Target="media/image90.png"/><Relationship Id="rId289" Type="http://schemas.openxmlformats.org/officeDocument/2006/relationships/oleObject" Target="embeddings/oleObject1.bin"/><Relationship Id="rId496" Type="http://schemas.openxmlformats.org/officeDocument/2006/relationships/hyperlink" Target="../Docs/R1-2310946.zip" TargetMode="External"/><Relationship Id="rId2177" Type="http://schemas.openxmlformats.org/officeDocument/2006/relationships/hyperlink" Target="../Docs/R1-2311878.zip" TargetMode="External"/><Relationship Id="rId2384" Type="http://schemas.openxmlformats.org/officeDocument/2006/relationships/hyperlink" Target="https://portal.3gpp.org/desktopmodules/WorkItem/WorkItemDetails.aspx?workitemId=830174" TargetMode="External"/><Relationship Id="rId2591" Type="http://schemas.openxmlformats.org/officeDocument/2006/relationships/hyperlink" Target="https://portal.3gpp.org/desktopmodules/Specifications/SpecificationDetails.aspx?specificationId=3214" TargetMode="External"/><Relationship Id="rId149" Type="http://schemas.openxmlformats.org/officeDocument/2006/relationships/hyperlink" Target="../Docs/R1-2311070.zip" TargetMode="External"/><Relationship Id="rId356" Type="http://schemas.openxmlformats.org/officeDocument/2006/relationships/hyperlink" Target="../Docs/R1-2311964.zip" TargetMode="External"/><Relationship Id="rId563" Type="http://schemas.openxmlformats.org/officeDocument/2006/relationships/hyperlink" Target="../Docs/R1-2311306.zip" TargetMode="External"/><Relationship Id="rId770" Type="http://schemas.openxmlformats.org/officeDocument/2006/relationships/hyperlink" Target="../Docs/R1-2311925.zip" TargetMode="External"/><Relationship Id="rId1193" Type="http://schemas.openxmlformats.org/officeDocument/2006/relationships/hyperlink" Target="../Docs/R1-2311623.zip" TargetMode="External"/><Relationship Id="rId2037" Type="http://schemas.openxmlformats.org/officeDocument/2006/relationships/hyperlink" Target="../Docs/R1-2310892.zip" TargetMode="External"/><Relationship Id="rId2244" Type="http://schemas.openxmlformats.org/officeDocument/2006/relationships/hyperlink" Target="https://portal.3gpp.org/desktopmodules/WorkItem/WorkItemDetails.aspx?workitemId=860145" TargetMode="External"/><Relationship Id="rId2451" Type="http://schemas.openxmlformats.org/officeDocument/2006/relationships/hyperlink" Target="https://www.3gpp.org/ftp/TSG_RAN/WG1_RL1/TSGR1_115/Docs/R1-2312693.zip" TargetMode="External"/><Relationship Id="rId2689" Type="http://schemas.openxmlformats.org/officeDocument/2006/relationships/hyperlink" Target="https://www.3gpp.org/ftp/TSG_RAN/WG1_RL1/TSGR1_115/Docs/R1-2312784.zip" TargetMode="External"/><Relationship Id="rId2896" Type="http://schemas.openxmlformats.org/officeDocument/2006/relationships/hyperlink" Target="../Docs/R1-2310809.zip" TargetMode="External"/><Relationship Id="rId216" Type="http://schemas.openxmlformats.org/officeDocument/2006/relationships/hyperlink" Target="../Docs/R1-2311065.zip" TargetMode="External"/><Relationship Id="rId423" Type="http://schemas.openxmlformats.org/officeDocument/2006/relationships/hyperlink" Target="../Docs/R1-2311294.zip" TargetMode="External"/><Relationship Id="rId868" Type="http://schemas.openxmlformats.org/officeDocument/2006/relationships/hyperlink" Target="../Docs/R1-2312267.zip" TargetMode="External"/><Relationship Id="rId1053" Type="http://schemas.openxmlformats.org/officeDocument/2006/relationships/hyperlink" Target="../Docs/R1-2310814.zip" TargetMode="External"/><Relationship Id="rId1260" Type="http://schemas.openxmlformats.org/officeDocument/2006/relationships/hyperlink" Target="../Docs/R1-2312344.zip" TargetMode="External"/><Relationship Id="rId1498" Type="http://schemas.openxmlformats.org/officeDocument/2006/relationships/hyperlink" Target="../Docs/R1-2311019.zip" TargetMode="External"/><Relationship Id="rId2104" Type="http://schemas.openxmlformats.org/officeDocument/2006/relationships/hyperlink" Target="../Docs/R1-2311985.zip" TargetMode="External"/><Relationship Id="rId2549" Type="http://schemas.openxmlformats.org/officeDocument/2006/relationships/hyperlink" Target="https://www.3gpp.org/ftp/TSG_RAN/WG1_RL1/TSGR1_115/Docs/R1-2312735.zip" TargetMode="External"/><Relationship Id="rId2756" Type="http://schemas.openxmlformats.org/officeDocument/2006/relationships/hyperlink" Target="https://portal.3gpp.org/desktopmodules/WorkItem/WorkItemDetails.aspx?workitemId=900162" TargetMode="External"/><Relationship Id="rId2963" Type="http://schemas.openxmlformats.org/officeDocument/2006/relationships/hyperlink" Target="../Docs/R1-2312780.zip" TargetMode="External"/><Relationship Id="rId630" Type="http://schemas.openxmlformats.org/officeDocument/2006/relationships/hyperlink" Target="../Docs/R1-2311779.zip" TargetMode="External"/><Relationship Id="rId728" Type="http://schemas.openxmlformats.org/officeDocument/2006/relationships/hyperlink" Target="../Docs/R1-2312660.zip" TargetMode="External"/><Relationship Id="rId935" Type="http://schemas.openxmlformats.org/officeDocument/2006/relationships/hyperlink" Target="../Docs/R1-2311385.zip" TargetMode="External"/><Relationship Id="rId1358" Type="http://schemas.openxmlformats.org/officeDocument/2006/relationships/hyperlink" Target="../Docs/R1-2311547.zip" TargetMode="External"/><Relationship Id="rId1565" Type="http://schemas.openxmlformats.org/officeDocument/2006/relationships/hyperlink" Target="../Docs/R1-2311532.zip" TargetMode="External"/><Relationship Id="rId1772" Type="http://schemas.openxmlformats.org/officeDocument/2006/relationships/hyperlink" Target="../Docs/R1-2311246.zip" TargetMode="External"/><Relationship Id="rId2311" Type="http://schemas.openxmlformats.org/officeDocument/2006/relationships/hyperlink" Target="https://portal.3gpp.org/desktopmodules/Specifications/SpecificationDetails.aspx?specificationId=3215" TargetMode="External"/><Relationship Id="rId2409" Type="http://schemas.openxmlformats.org/officeDocument/2006/relationships/hyperlink" Target="https://portal.3gpp.org/desktopmodules/Specifications/SpecificationDetails.aspx?specificationId=3215" TargetMode="External"/><Relationship Id="rId2616" Type="http://schemas.openxmlformats.org/officeDocument/2006/relationships/hyperlink" Target="https://portal.3gpp.org/desktopmodules/WorkItem/WorkItemDetails.aspx?workitemId=981138" TargetMode="External"/><Relationship Id="rId64" Type="http://schemas.openxmlformats.org/officeDocument/2006/relationships/hyperlink" Target="../Docs/R1-2310790.zip" TargetMode="External"/><Relationship Id="rId1120" Type="http://schemas.openxmlformats.org/officeDocument/2006/relationships/hyperlink" Target="../Docs/R1-2312186.zip" TargetMode="External"/><Relationship Id="rId1218" Type="http://schemas.openxmlformats.org/officeDocument/2006/relationships/hyperlink" Target="../Docs/R1-2312038.zip" TargetMode="External"/><Relationship Id="rId1425" Type="http://schemas.openxmlformats.org/officeDocument/2006/relationships/hyperlink" Target="../Docs/R1-2312506.zip" TargetMode="External"/><Relationship Id="rId2823" Type="http://schemas.openxmlformats.org/officeDocument/2006/relationships/hyperlink" Target="https://portal.3gpp.org/desktopmodules/Release/ReleaseDetails.aspx?releaseId=193" TargetMode="External"/><Relationship Id="rId1632" Type="http://schemas.openxmlformats.org/officeDocument/2006/relationships/hyperlink" Target="../Docs/R1-2311858.zip" TargetMode="External"/><Relationship Id="rId1937" Type="http://schemas.openxmlformats.org/officeDocument/2006/relationships/hyperlink" Target="../Docs/R1-2312444.zip" TargetMode="External"/><Relationship Id="rId2199" Type="http://schemas.openxmlformats.org/officeDocument/2006/relationships/hyperlink" Target="../Docs/R1-2312083.zip" TargetMode="External"/><Relationship Id="rId280" Type="http://schemas.openxmlformats.org/officeDocument/2006/relationships/image" Target="media/image8.wmf"/><Relationship Id="rId3012" Type="http://schemas.openxmlformats.org/officeDocument/2006/relationships/hyperlink" Target="../Docs/R1-2312728.zip" TargetMode="External"/><Relationship Id="rId140" Type="http://schemas.openxmlformats.org/officeDocument/2006/relationships/hyperlink" Target="../Docs/R1-2311603.zip" TargetMode="External"/><Relationship Id="rId378" Type="http://schemas.openxmlformats.org/officeDocument/2006/relationships/hyperlink" Target="../Docs/R1-2312463.zip" TargetMode="External"/><Relationship Id="rId585" Type="http://schemas.openxmlformats.org/officeDocument/2006/relationships/hyperlink" Target="../Docs/R1-2311776.zip" TargetMode="External"/><Relationship Id="rId792" Type="http://schemas.openxmlformats.org/officeDocument/2006/relationships/hyperlink" Target="../Docs/R1-2310920.zip" TargetMode="External"/><Relationship Id="rId2059" Type="http://schemas.openxmlformats.org/officeDocument/2006/relationships/hyperlink" Target="../Docs/R1-2311139.zip" TargetMode="External"/><Relationship Id="rId2266" Type="http://schemas.openxmlformats.org/officeDocument/2006/relationships/hyperlink" Target="https://portal.3gpp.org/desktopmodules/Release/ReleaseDetails.aspx?releaseId=192" TargetMode="External"/><Relationship Id="rId2473" Type="http://schemas.openxmlformats.org/officeDocument/2006/relationships/hyperlink" Target="https://portal.3gpp.org/desktopmodules/Specifications/SpecificationDetails.aspx?specificationId=3215" TargetMode="External"/><Relationship Id="rId2680" Type="http://schemas.openxmlformats.org/officeDocument/2006/relationships/hyperlink" Target="https://portal.3gpp.org/desktopmodules/WorkItem/WorkItemDetails.aspx?workitemId=970179" TargetMode="External"/><Relationship Id="rId6" Type="http://schemas.openxmlformats.org/officeDocument/2006/relationships/webSettings" Target="webSettings.xml"/><Relationship Id="rId238" Type="http://schemas.openxmlformats.org/officeDocument/2006/relationships/hyperlink" Target="../Docs/R1-2310802.zip" TargetMode="External"/><Relationship Id="rId445" Type="http://schemas.openxmlformats.org/officeDocument/2006/relationships/hyperlink" Target="../Docs/R1-2312548.zip" TargetMode="External"/><Relationship Id="rId652" Type="http://schemas.openxmlformats.org/officeDocument/2006/relationships/hyperlink" Target="../Docs/R1-2312595.zip" TargetMode="External"/><Relationship Id="rId1075" Type="http://schemas.openxmlformats.org/officeDocument/2006/relationships/hyperlink" Target="../Docs/R1-2312380.zip" TargetMode="External"/><Relationship Id="rId1282" Type="http://schemas.openxmlformats.org/officeDocument/2006/relationships/hyperlink" Target="../Docs/R1-2311749.zip" TargetMode="External"/><Relationship Id="rId2126" Type="http://schemas.openxmlformats.org/officeDocument/2006/relationships/hyperlink" Target="../Docs/R1-2312068.zip" TargetMode="External"/><Relationship Id="rId2333" Type="http://schemas.openxmlformats.org/officeDocument/2006/relationships/hyperlink" Target="https://portal.3gpp.org/desktopmodules/Specifications/SpecificationDetails.aspx?specificationId=3216" TargetMode="External"/><Relationship Id="rId2540" Type="http://schemas.openxmlformats.org/officeDocument/2006/relationships/hyperlink" Target="https://portal.3gpp.org/desktopmodules/WorkItem/WorkItemDetails.aspx?workitemId=940197" TargetMode="External"/><Relationship Id="rId2778" Type="http://schemas.openxmlformats.org/officeDocument/2006/relationships/hyperlink" Target="https://portal.3gpp.org/desktopmodules/Release/ReleaseDetails.aspx?releaseId=192" TargetMode="External"/><Relationship Id="rId2985" Type="http://schemas.openxmlformats.org/officeDocument/2006/relationships/hyperlink" Target="../Docs/R1-2312791.zip" TargetMode="External"/><Relationship Id="rId305" Type="http://schemas.openxmlformats.org/officeDocument/2006/relationships/oleObject" Target="embeddings/oleObject8.bin"/><Relationship Id="rId512" Type="http://schemas.openxmlformats.org/officeDocument/2006/relationships/image" Target="media/image19.wmf"/><Relationship Id="rId957" Type="http://schemas.openxmlformats.org/officeDocument/2006/relationships/hyperlink" Target="../Docs/R1-2312566.zip" TargetMode="External"/><Relationship Id="rId1142" Type="http://schemas.openxmlformats.org/officeDocument/2006/relationships/hyperlink" Target="../Docs/R1-2312035.zip" TargetMode="External"/><Relationship Id="rId1587" Type="http://schemas.openxmlformats.org/officeDocument/2006/relationships/hyperlink" Target="../Docs/R1-2312457.zip" TargetMode="External"/><Relationship Id="rId1794" Type="http://schemas.openxmlformats.org/officeDocument/2006/relationships/hyperlink" Target="../Docs/R1-2311728.zip" TargetMode="External"/><Relationship Id="rId2400" Type="http://schemas.openxmlformats.org/officeDocument/2006/relationships/hyperlink" Target="https://portal.3gpp.org/desktopmodules/Release/ReleaseDetails.aspx?releaseId=192" TargetMode="External"/><Relationship Id="rId2638" Type="http://schemas.openxmlformats.org/officeDocument/2006/relationships/hyperlink" Target="https://portal.3gpp.org/desktopmodules/Release/ReleaseDetails.aspx?releaseId=193" TargetMode="External"/><Relationship Id="rId2845" Type="http://schemas.openxmlformats.org/officeDocument/2006/relationships/hyperlink" Target="https://portal.3gpp.org/desktopmodules/WorkItem/WorkItemDetails.aspx?workitemId=940197" TargetMode="External"/><Relationship Id="rId86" Type="http://schemas.openxmlformats.org/officeDocument/2006/relationships/hyperlink" Target="../Docs/R1-2311002.zip" TargetMode="External"/><Relationship Id="rId817" Type="http://schemas.openxmlformats.org/officeDocument/2006/relationships/image" Target="media/image44.png"/><Relationship Id="rId1002" Type="http://schemas.openxmlformats.org/officeDocument/2006/relationships/hyperlink" Target="../Docs/R1-2311091.zip" TargetMode="External"/><Relationship Id="rId1447" Type="http://schemas.openxmlformats.org/officeDocument/2006/relationships/hyperlink" Target="../Docs/R1-2311350.zip" TargetMode="External"/><Relationship Id="rId1654" Type="http://schemas.openxmlformats.org/officeDocument/2006/relationships/hyperlink" Target="../Docs/R1-2311387.zip" TargetMode="External"/><Relationship Id="rId1861" Type="http://schemas.openxmlformats.org/officeDocument/2006/relationships/hyperlink" Target="../Docs/R1-2312403.zip" TargetMode="External"/><Relationship Id="rId2705" Type="http://schemas.openxmlformats.org/officeDocument/2006/relationships/hyperlink" Target="https://www.3gpp.org/ftp/TSG_RAN/WG1_RL1/TSGR1_115/Docs/R1-2312798.zip" TargetMode="External"/><Relationship Id="rId2912" Type="http://schemas.openxmlformats.org/officeDocument/2006/relationships/hyperlink" Target="https://portal.3gpp.org/desktopmodules/Release/ReleaseDetails.aspx?releaseId=193" TargetMode="External"/><Relationship Id="rId1307" Type="http://schemas.openxmlformats.org/officeDocument/2006/relationships/hyperlink" Target="../Docs/R1-2311358.zip" TargetMode="External"/><Relationship Id="rId1514" Type="http://schemas.openxmlformats.org/officeDocument/2006/relationships/hyperlink" Target="../Docs/R1-2311723.zip" TargetMode="External"/><Relationship Id="rId1721" Type="http://schemas.openxmlformats.org/officeDocument/2006/relationships/hyperlink" Target="../Docs/R1-2311996.zip" TargetMode="External"/><Relationship Id="rId1959" Type="http://schemas.openxmlformats.org/officeDocument/2006/relationships/hyperlink" Target="../Docs/R1-2312265.zip" TargetMode="External"/><Relationship Id="rId13" Type="http://schemas.openxmlformats.org/officeDocument/2006/relationships/hyperlink" Target="../Docs/R1-2310782.zip" TargetMode="External"/><Relationship Id="rId1819" Type="http://schemas.openxmlformats.org/officeDocument/2006/relationships/hyperlink" Target="../Docs/R1-2312299.zip" TargetMode="External"/><Relationship Id="rId2190" Type="http://schemas.openxmlformats.org/officeDocument/2006/relationships/hyperlink" Target="../Docs/R1-2311652.zip" TargetMode="External"/><Relationship Id="rId2288" Type="http://schemas.openxmlformats.org/officeDocument/2006/relationships/hyperlink" Target="https://portal.3gpp.org/desktopmodules/WorkItem/WorkItemDetails.aspx?workitemId=860141" TargetMode="External"/><Relationship Id="rId2495" Type="http://schemas.openxmlformats.org/officeDocument/2006/relationships/hyperlink" Target="https://www.3gpp.org/ftp/TSG_RAN/WG1_RL1/TSGR1_115/Docs/R1-2312721.zip" TargetMode="External"/><Relationship Id="rId3034" Type="http://schemas.openxmlformats.org/officeDocument/2006/relationships/hyperlink" Target="../Docs/R1-2312805.zip" TargetMode="External"/><Relationship Id="rId162" Type="http://schemas.openxmlformats.org/officeDocument/2006/relationships/hyperlink" Target="../Docs/R1-2311067.zip" TargetMode="External"/><Relationship Id="rId467" Type="http://schemas.openxmlformats.org/officeDocument/2006/relationships/hyperlink" Target="../Docs/R1-2311082.zip" TargetMode="External"/><Relationship Id="rId1097" Type="http://schemas.openxmlformats.org/officeDocument/2006/relationships/hyperlink" Target="../Docs/R1-2312123.zip" TargetMode="External"/><Relationship Id="rId2050" Type="http://schemas.openxmlformats.org/officeDocument/2006/relationships/hyperlink" Target="../Docs/R1-2312064.zip" TargetMode="External"/><Relationship Id="rId2148" Type="http://schemas.openxmlformats.org/officeDocument/2006/relationships/hyperlink" Target="../Docs/R1-2311032.zip" TargetMode="External"/><Relationship Id="rId674" Type="http://schemas.openxmlformats.org/officeDocument/2006/relationships/hyperlink" Target="../Docs/R1-2311507.zip" TargetMode="External"/><Relationship Id="rId881" Type="http://schemas.openxmlformats.org/officeDocument/2006/relationships/hyperlink" Target="../Docs/R1-2311478.zip" TargetMode="External"/><Relationship Id="rId979" Type="http://schemas.openxmlformats.org/officeDocument/2006/relationships/hyperlink" Target="../Docs/R1-2311795.zip" TargetMode="External"/><Relationship Id="rId2355" Type="http://schemas.openxmlformats.org/officeDocument/2006/relationships/hyperlink" Target="https://portal.3gpp.org/desktopmodules/Release/ReleaseDetails.aspx?releaseId=193" TargetMode="External"/><Relationship Id="rId2562" Type="http://schemas.openxmlformats.org/officeDocument/2006/relationships/hyperlink" Target="https://portal.3gpp.org/desktopmodules/Release/ReleaseDetails.aspx?releaseId=193" TargetMode="External"/><Relationship Id="rId327" Type="http://schemas.openxmlformats.org/officeDocument/2006/relationships/hyperlink" Target="../Docs/R1-2310659.zip" TargetMode="External"/><Relationship Id="rId534" Type="http://schemas.openxmlformats.org/officeDocument/2006/relationships/hyperlink" Target="../Docs/R1-2312559.zip" TargetMode="External"/><Relationship Id="rId741" Type="http://schemas.openxmlformats.org/officeDocument/2006/relationships/hyperlink" Target="../Docs/R1-2312359.zip" TargetMode="External"/><Relationship Id="rId839" Type="http://schemas.openxmlformats.org/officeDocument/2006/relationships/hyperlink" Target="../Docs/R1-2311831.zip" TargetMode="External"/><Relationship Id="rId1164" Type="http://schemas.openxmlformats.org/officeDocument/2006/relationships/hyperlink" Target="../Docs/R1-2311404.zip" TargetMode="External"/><Relationship Id="rId1371" Type="http://schemas.openxmlformats.org/officeDocument/2006/relationships/hyperlink" Target="../Docs/R1-2312112.zip" TargetMode="External"/><Relationship Id="rId1469" Type="http://schemas.openxmlformats.org/officeDocument/2006/relationships/hyperlink" Target="../Docs/R1-2311038.zip" TargetMode="External"/><Relationship Id="rId2008" Type="http://schemas.openxmlformats.org/officeDocument/2006/relationships/hyperlink" Target="../Docs/R1-2311394.zip" TargetMode="External"/><Relationship Id="rId2215" Type="http://schemas.openxmlformats.org/officeDocument/2006/relationships/hyperlink" Target="../Docs/R1-2312244.zip" TargetMode="External"/><Relationship Id="rId2422" Type="http://schemas.openxmlformats.org/officeDocument/2006/relationships/hyperlink" Target="https://portal.3gpp.org/desktopmodules/Release/ReleaseDetails.aspx?releaseId=193" TargetMode="External"/><Relationship Id="rId2867" Type="http://schemas.openxmlformats.org/officeDocument/2006/relationships/hyperlink" Target="https://portal.3gpp.org/desktopmodules/WorkItem/WorkItemDetails.aspx?workitemId=991144" TargetMode="External"/><Relationship Id="rId601" Type="http://schemas.openxmlformats.org/officeDocument/2006/relationships/hyperlink" Target="../Docs/R1-2311309.zip" TargetMode="External"/><Relationship Id="rId1024" Type="http://schemas.openxmlformats.org/officeDocument/2006/relationships/hyperlink" Target="../Docs/R1-2312325.zip" TargetMode="External"/><Relationship Id="rId1231" Type="http://schemas.openxmlformats.org/officeDocument/2006/relationships/hyperlink" Target="../Docs/R1-2312396.zip" TargetMode="External"/><Relationship Id="rId1676" Type="http://schemas.openxmlformats.org/officeDocument/2006/relationships/hyperlink" Target="../Docs/R1-2311111.zip" TargetMode="External"/><Relationship Id="rId1883" Type="http://schemas.openxmlformats.org/officeDocument/2006/relationships/hyperlink" Target="../Docs/R1-2311540.zip" TargetMode="External"/><Relationship Id="rId2727" Type="http://schemas.openxmlformats.org/officeDocument/2006/relationships/hyperlink" Target="https://portal.3gpp.org/desktopmodules/WorkItem/WorkItemDetails.aspx?workitemId=940195" TargetMode="External"/><Relationship Id="rId2934" Type="http://schemas.openxmlformats.org/officeDocument/2006/relationships/hyperlink" Target="../Docs/R1-2312708.zip" TargetMode="External"/><Relationship Id="rId906" Type="http://schemas.openxmlformats.org/officeDocument/2006/relationships/hyperlink" Target="../Docs/R1-2311366.zip" TargetMode="External"/><Relationship Id="rId1329" Type="http://schemas.openxmlformats.org/officeDocument/2006/relationships/hyperlink" Target="../Docs/R1-2312348.zip" TargetMode="External"/><Relationship Id="rId1536" Type="http://schemas.openxmlformats.org/officeDocument/2006/relationships/hyperlink" Target="../Docs/R1-2311175.zip" TargetMode="External"/><Relationship Id="rId1743" Type="http://schemas.openxmlformats.org/officeDocument/2006/relationships/hyperlink" Target="../Docs/R1-2311112.zip" TargetMode="External"/><Relationship Id="rId1950" Type="http://schemas.openxmlformats.org/officeDocument/2006/relationships/hyperlink" Target="../Docs/R1-2310940.zip" TargetMode="External"/><Relationship Id="rId35" Type="http://schemas.openxmlformats.org/officeDocument/2006/relationships/hyperlink" Target="../Docs/R1-2311455.zip" TargetMode="External"/><Relationship Id="rId1603" Type="http://schemas.openxmlformats.org/officeDocument/2006/relationships/hyperlink" Target="../Docs/R1-2312567.zip" TargetMode="External"/><Relationship Id="rId1810" Type="http://schemas.openxmlformats.org/officeDocument/2006/relationships/hyperlink" Target="../Docs/R1-2311943.zip" TargetMode="External"/><Relationship Id="rId184" Type="http://schemas.openxmlformats.org/officeDocument/2006/relationships/hyperlink" Target="../Docs/R1-2310791.zip" TargetMode="External"/><Relationship Id="rId391" Type="http://schemas.openxmlformats.org/officeDocument/2006/relationships/hyperlink" Target="../Docs/R1-2311039.zip" TargetMode="External"/><Relationship Id="rId1908" Type="http://schemas.openxmlformats.org/officeDocument/2006/relationships/hyperlink" Target="../Docs/R1-2312384.zip" TargetMode="External"/><Relationship Id="rId2072" Type="http://schemas.openxmlformats.org/officeDocument/2006/relationships/hyperlink" Target="../Docs/R1-2312065.zip" TargetMode="External"/><Relationship Id="rId251" Type="http://schemas.openxmlformats.org/officeDocument/2006/relationships/hyperlink" Target="../Docs/R1-2312390.zip" TargetMode="External"/><Relationship Id="rId489" Type="http://schemas.openxmlformats.org/officeDocument/2006/relationships/hyperlink" Target="../Docs/R1-2312492.zip" TargetMode="External"/><Relationship Id="rId696" Type="http://schemas.openxmlformats.org/officeDocument/2006/relationships/hyperlink" Target="../Docs/R1-2311968.zip" TargetMode="External"/><Relationship Id="rId2377" Type="http://schemas.openxmlformats.org/officeDocument/2006/relationships/hyperlink" Target="https://www.3gpp.org/ftp/TSG_RAN/WG1_RL1/TSGR1_115/Docs/R1-2312595.zip" TargetMode="External"/><Relationship Id="rId2584" Type="http://schemas.openxmlformats.org/officeDocument/2006/relationships/hyperlink" Target="https://portal.3gpp.org/desktopmodules/WorkItem/WorkItemDetails.aspx?workitemId=981137" TargetMode="External"/><Relationship Id="rId2791" Type="http://schemas.openxmlformats.org/officeDocument/2006/relationships/hyperlink" Target="https://portal.3gpp.org/desktopmodules/WorkItem/WorkItemDetails.aspx?workitemId=940198" TargetMode="External"/><Relationship Id="rId349" Type="http://schemas.openxmlformats.org/officeDocument/2006/relationships/hyperlink" Target="../Docs/R1-2312450.zip" TargetMode="External"/><Relationship Id="rId556" Type="http://schemas.openxmlformats.org/officeDocument/2006/relationships/hyperlink" Target="../Docs/R1-2311080.zip" TargetMode="External"/><Relationship Id="rId763" Type="http://schemas.openxmlformats.org/officeDocument/2006/relationships/hyperlink" Target="../Docs/R1-2311612.zip" TargetMode="External"/><Relationship Id="rId1186" Type="http://schemas.openxmlformats.org/officeDocument/2006/relationships/hyperlink" Target="../Docs/R1-2311098.zip" TargetMode="External"/><Relationship Id="rId1393" Type="http://schemas.openxmlformats.org/officeDocument/2006/relationships/image" Target="media/image73.png"/><Relationship Id="rId2237" Type="http://schemas.openxmlformats.org/officeDocument/2006/relationships/hyperlink" Target="https://portal.3gpp.org/desktopmodules/Specifications/SpecificationDetails.aspx?specificationId=3216" TargetMode="External"/><Relationship Id="rId2444" Type="http://schemas.openxmlformats.org/officeDocument/2006/relationships/hyperlink" Target="https://portal.3gpp.org/desktopmodules/Release/ReleaseDetails.aspx?releaseId=191" TargetMode="External"/><Relationship Id="rId2889" Type="http://schemas.openxmlformats.org/officeDocument/2006/relationships/hyperlink" Target="https://portal.3gpp.org/desktopmodules/WorkItem/WorkItemDetails.aspx?workitemId=940197" TargetMode="External"/><Relationship Id="rId111" Type="http://schemas.openxmlformats.org/officeDocument/2006/relationships/hyperlink" Target="../Docs/R1-2311660.zip" TargetMode="External"/><Relationship Id="rId209" Type="http://schemas.openxmlformats.org/officeDocument/2006/relationships/hyperlink" Target="../Docs/R1-2311211.zip" TargetMode="External"/><Relationship Id="rId416" Type="http://schemas.openxmlformats.org/officeDocument/2006/relationships/hyperlink" Target="../Docs/R1-2310872.zip" TargetMode="External"/><Relationship Id="rId970" Type="http://schemas.openxmlformats.org/officeDocument/2006/relationships/hyperlink" Target="../Docs/R1-2311414.zip" TargetMode="External"/><Relationship Id="rId1046" Type="http://schemas.openxmlformats.org/officeDocument/2006/relationships/hyperlink" Target="../Docs/R1-2312259.zip" TargetMode="External"/><Relationship Id="rId1253" Type="http://schemas.openxmlformats.org/officeDocument/2006/relationships/hyperlink" Target="../Docs/R1-2312343.zip" TargetMode="External"/><Relationship Id="rId1698" Type="http://schemas.openxmlformats.org/officeDocument/2006/relationships/hyperlink" Target="../Docs/R1-2312424.zip" TargetMode="External"/><Relationship Id="rId2651" Type="http://schemas.openxmlformats.org/officeDocument/2006/relationships/hyperlink" Target="https://portal.3gpp.org/desktopmodules/Specifications/SpecificationDetails.aspx?specificationId=3216" TargetMode="External"/><Relationship Id="rId2749" Type="http://schemas.openxmlformats.org/officeDocument/2006/relationships/hyperlink" Target="https://www.3gpp.org/ftp/TSG_RAN/WG1_RL1/TSGR1_115/Docs/R1-2312456.zip" TargetMode="External"/><Relationship Id="rId2956" Type="http://schemas.openxmlformats.org/officeDocument/2006/relationships/hyperlink" Target="../Docs/R1-2312754.zip" TargetMode="External"/><Relationship Id="rId623" Type="http://schemas.openxmlformats.org/officeDocument/2006/relationships/hyperlink" Target="../Docs/R1-2311778.zip" TargetMode="External"/><Relationship Id="rId830" Type="http://schemas.openxmlformats.org/officeDocument/2006/relationships/hyperlink" Target="../Docs/R1-2311476.zip" TargetMode="External"/><Relationship Id="rId928" Type="http://schemas.openxmlformats.org/officeDocument/2006/relationships/hyperlink" Target="../Docs/R1-2310953.zip" TargetMode="External"/><Relationship Id="rId1460" Type="http://schemas.openxmlformats.org/officeDocument/2006/relationships/hyperlink" Target="../Docs/R1-2311951.zip" TargetMode="External"/><Relationship Id="rId1558" Type="http://schemas.openxmlformats.org/officeDocument/2006/relationships/hyperlink" Target="../Docs/R1-2311135.zip" TargetMode="External"/><Relationship Id="rId1765" Type="http://schemas.openxmlformats.org/officeDocument/2006/relationships/hyperlink" Target="../Docs/R1-2310875.zip" TargetMode="External"/><Relationship Id="rId2304" Type="http://schemas.openxmlformats.org/officeDocument/2006/relationships/hyperlink" Target="https://portal.3gpp.org/desktopmodules/WorkItem/WorkItemDetails.aspx?workitemId=920169" TargetMode="External"/><Relationship Id="rId2511" Type="http://schemas.openxmlformats.org/officeDocument/2006/relationships/hyperlink" Target="https://portal.3gpp.org/desktopmodules/Specifications/SpecificationDetails.aspx?specificationId=3215" TargetMode="External"/><Relationship Id="rId2609" Type="http://schemas.openxmlformats.org/officeDocument/2006/relationships/hyperlink" Target="https://www.3gpp.org/ftp/TSG_RAN/WG1_RL1/TSGR1_115/Docs/R1-2312750.zip" TargetMode="External"/><Relationship Id="rId57" Type="http://schemas.openxmlformats.org/officeDocument/2006/relationships/hyperlink" Target="../Docs/R1-2311605.zip" TargetMode="External"/><Relationship Id="rId1113" Type="http://schemas.openxmlformats.org/officeDocument/2006/relationships/hyperlink" Target="../Docs/R1-2311481.zip" TargetMode="External"/><Relationship Id="rId1320" Type="http://schemas.openxmlformats.org/officeDocument/2006/relationships/hyperlink" Target="../Docs/R1-2311933.zip" TargetMode="External"/><Relationship Id="rId1418" Type="http://schemas.openxmlformats.org/officeDocument/2006/relationships/hyperlink" Target="../Docs/R1-2311905.zip" TargetMode="External"/><Relationship Id="rId1972" Type="http://schemas.openxmlformats.org/officeDocument/2006/relationships/hyperlink" Target="../Docs/R1-2312419.zip" TargetMode="External"/><Relationship Id="rId2816" Type="http://schemas.openxmlformats.org/officeDocument/2006/relationships/hyperlink" Target="https://portal.3gpp.org/desktopmodules/WorkItem/WorkItemDetails.aspx?workitemId=981138" TargetMode="External"/><Relationship Id="rId1625" Type="http://schemas.openxmlformats.org/officeDocument/2006/relationships/hyperlink" Target="../Docs/R1-2311282.zip" TargetMode="External"/><Relationship Id="rId1832" Type="http://schemas.openxmlformats.org/officeDocument/2006/relationships/hyperlink" Target="../Docs/R1-2311151.zip" TargetMode="External"/><Relationship Id="rId2094" Type="http://schemas.openxmlformats.org/officeDocument/2006/relationships/hyperlink" Target="../Docs/R1-2310895.zip" TargetMode="External"/><Relationship Id="rId273" Type="http://schemas.openxmlformats.org/officeDocument/2006/relationships/hyperlink" Target="../Docs/R1-2312437.zip" TargetMode="External"/><Relationship Id="rId480" Type="http://schemas.openxmlformats.org/officeDocument/2006/relationships/hyperlink" Target="../Docs/R1-2312650.zip" TargetMode="External"/><Relationship Id="rId2161" Type="http://schemas.openxmlformats.org/officeDocument/2006/relationships/hyperlink" Target="../Docs/R1-2311714.zip" TargetMode="External"/><Relationship Id="rId2399" Type="http://schemas.openxmlformats.org/officeDocument/2006/relationships/hyperlink" Target="https://www.3gpp.org/ftp/TSG_RAN/WG1_RL1/TSGR1_115/Docs/R1-2312631.zip" TargetMode="External"/><Relationship Id="rId3005" Type="http://schemas.openxmlformats.org/officeDocument/2006/relationships/hyperlink" Target="../Docs/R1-2312782.zip" TargetMode="External"/><Relationship Id="rId133" Type="http://schemas.openxmlformats.org/officeDocument/2006/relationships/hyperlink" Target="../Docs/R1-2311001.zip" TargetMode="External"/><Relationship Id="rId340" Type="http://schemas.openxmlformats.org/officeDocument/2006/relationships/hyperlink" Target="../Docs/R1-2311960.zip" TargetMode="External"/><Relationship Id="rId578" Type="http://schemas.openxmlformats.org/officeDocument/2006/relationships/hyperlink" Target="../Docs/R1-2311789.zip" TargetMode="External"/><Relationship Id="rId785" Type="http://schemas.openxmlformats.org/officeDocument/2006/relationships/image" Target="media/image40.png"/><Relationship Id="rId992" Type="http://schemas.openxmlformats.org/officeDocument/2006/relationships/hyperlink" Target="../Docs/R1-2312251.zip" TargetMode="External"/><Relationship Id="rId2021" Type="http://schemas.openxmlformats.org/officeDocument/2006/relationships/hyperlink" Target="../Docs/R1-2311185.zip" TargetMode="External"/><Relationship Id="rId2259" Type="http://schemas.openxmlformats.org/officeDocument/2006/relationships/hyperlink" Target="https://portal.3gpp.org/desktopmodules/Specifications/SpecificationDetails.aspx?specificationId=3215" TargetMode="External"/><Relationship Id="rId2466" Type="http://schemas.openxmlformats.org/officeDocument/2006/relationships/hyperlink" Target="https://portal.3gpp.org/desktopmodules/WorkItem/WorkItemDetails.aspx?workitemId=900162" TargetMode="External"/><Relationship Id="rId2673" Type="http://schemas.openxmlformats.org/officeDocument/2006/relationships/hyperlink" Target="https://www.3gpp.org/ftp/TSG_RAN/WG1_RL1/TSGR1_115/Docs/R1-2312776.zip" TargetMode="External"/><Relationship Id="rId2880" Type="http://schemas.openxmlformats.org/officeDocument/2006/relationships/hyperlink" Target="https://portal.3gpp.org/desktopmodules/WorkItem/WorkItemDetails.aspx?workitemId=981138" TargetMode="External"/><Relationship Id="rId200" Type="http://schemas.openxmlformats.org/officeDocument/2006/relationships/image" Target="media/image2.png"/><Relationship Id="rId438" Type="http://schemas.openxmlformats.org/officeDocument/2006/relationships/hyperlink" Target="../Docs/R1-2312354.zip" TargetMode="External"/><Relationship Id="rId645" Type="http://schemas.openxmlformats.org/officeDocument/2006/relationships/hyperlink" Target="../Docs/R1-2311823.zip" TargetMode="External"/><Relationship Id="rId852" Type="http://schemas.openxmlformats.org/officeDocument/2006/relationships/hyperlink" Target="../Docs/R1-2311158.zip" TargetMode="External"/><Relationship Id="rId1068" Type="http://schemas.openxmlformats.org/officeDocument/2006/relationships/hyperlink" Target="../Docs/R1-2312263.zip" TargetMode="External"/><Relationship Id="rId1275" Type="http://schemas.openxmlformats.org/officeDocument/2006/relationships/hyperlink" Target="../Docs/R1-2311406.zip" TargetMode="External"/><Relationship Id="rId1482" Type="http://schemas.openxmlformats.org/officeDocument/2006/relationships/hyperlink" Target="../Docs/R1-2311491.zip" TargetMode="External"/><Relationship Id="rId2119" Type="http://schemas.openxmlformats.org/officeDocument/2006/relationships/hyperlink" Target="../Docs/R1-2311558.zip" TargetMode="External"/><Relationship Id="rId2326" Type="http://schemas.openxmlformats.org/officeDocument/2006/relationships/hyperlink" Target="https://portal.3gpp.org/desktopmodules/Release/ReleaseDetails.aspx?releaseId=191" TargetMode="External"/><Relationship Id="rId2533" Type="http://schemas.openxmlformats.org/officeDocument/2006/relationships/hyperlink" Target="https://www.3gpp.org/ftp/TSG_RAN/WG1_RL1/TSGR1_115/Docs/R1-2312731.zip" TargetMode="External"/><Relationship Id="rId2740" Type="http://schemas.openxmlformats.org/officeDocument/2006/relationships/hyperlink" Target="https://www.3gpp.org/ftp/TSG_RAN/WG1_RL1/TSGR1_115/Docs/R1-2312409.zip" TargetMode="External"/><Relationship Id="rId2978" Type="http://schemas.openxmlformats.org/officeDocument/2006/relationships/hyperlink" Target="../Docs/R1-2312757.zip" TargetMode="External"/><Relationship Id="rId505" Type="http://schemas.openxmlformats.org/officeDocument/2006/relationships/oleObject" Target="embeddings/oleObject11.bin"/><Relationship Id="rId712" Type="http://schemas.openxmlformats.org/officeDocument/2006/relationships/hyperlink" Target="../Docs/R1-2312686.zip" TargetMode="External"/><Relationship Id="rId1135" Type="http://schemas.openxmlformats.org/officeDocument/2006/relationships/hyperlink" Target="../Docs/R1-2311482.zip" TargetMode="External"/><Relationship Id="rId1342" Type="http://schemas.openxmlformats.org/officeDocument/2006/relationships/hyperlink" Target="../Docs/R1-2312638.zip" TargetMode="External"/><Relationship Id="rId1787" Type="http://schemas.openxmlformats.org/officeDocument/2006/relationships/hyperlink" Target="../Docs/R1-2310878.zip" TargetMode="External"/><Relationship Id="rId1994" Type="http://schemas.openxmlformats.org/officeDocument/2006/relationships/hyperlink" Target="../Docs/R1-2311706.zip" TargetMode="External"/><Relationship Id="rId2838" Type="http://schemas.openxmlformats.org/officeDocument/2006/relationships/hyperlink" Target="https://portal.3gpp.org/desktopmodules/Release/ReleaseDetails.aspx?releaseId=193" TargetMode="External"/><Relationship Id="rId79" Type="http://schemas.openxmlformats.org/officeDocument/2006/relationships/hyperlink" Target="../Docs/R1-2311377.zip" TargetMode="External"/><Relationship Id="rId1202" Type="http://schemas.openxmlformats.org/officeDocument/2006/relationships/hyperlink" Target="../Docs/R1-2310980.zip" TargetMode="External"/><Relationship Id="rId1647" Type="http://schemas.openxmlformats.org/officeDocument/2006/relationships/hyperlink" Target="../Docs/R1-2310887.zip" TargetMode="External"/><Relationship Id="rId1854" Type="http://schemas.openxmlformats.org/officeDocument/2006/relationships/hyperlink" Target="../Docs/R1-2312056.zip" TargetMode="External"/><Relationship Id="rId2600" Type="http://schemas.openxmlformats.org/officeDocument/2006/relationships/hyperlink" Target="https://portal.3gpp.org/desktopmodules/WorkItem/WorkItemDetails.aspx?workitemId=940193" TargetMode="External"/><Relationship Id="rId2905" Type="http://schemas.openxmlformats.org/officeDocument/2006/relationships/hyperlink" Target="../Docs/R1-2311001.zip" TargetMode="External"/><Relationship Id="rId1507" Type="http://schemas.openxmlformats.org/officeDocument/2006/relationships/hyperlink" Target="../Docs/R1-2311444.zip" TargetMode="External"/><Relationship Id="rId1714" Type="http://schemas.openxmlformats.org/officeDocument/2006/relationships/hyperlink" Target="../Docs/R1-2310936.zip" TargetMode="External"/><Relationship Id="rId295" Type="http://schemas.openxmlformats.org/officeDocument/2006/relationships/oleObject" Target="embeddings/oleObject4.bin"/><Relationship Id="rId1921" Type="http://schemas.openxmlformats.org/officeDocument/2006/relationships/image" Target="media/image96.png"/><Relationship Id="rId2183" Type="http://schemas.openxmlformats.org/officeDocument/2006/relationships/hyperlink" Target="../Docs/R1-2310880.zip" TargetMode="External"/><Relationship Id="rId2390" Type="http://schemas.openxmlformats.org/officeDocument/2006/relationships/hyperlink" Target="https://portal.3gpp.org/desktopmodules/Release/ReleaseDetails.aspx?releaseId=193" TargetMode="External"/><Relationship Id="rId2488" Type="http://schemas.openxmlformats.org/officeDocument/2006/relationships/hyperlink" Target="https://portal.3gpp.org/desktopmodules/Specifications/SpecificationDetails.aspx?specificationId=3215" TargetMode="External"/><Relationship Id="rId3027" Type="http://schemas.openxmlformats.org/officeDocument/2006/relationships/hyperlink" Target="../Docs/R1-2312735.zip" TargetMode="External"/><Relationship Id="rId155" Type="http://schemas.openxmlformats.org/officeDocument/2006/relationships/hyperlink" Target="../Docs/R1-2311802.zip" TargetMode="External"/><Relationship Id="rId362" Type="http://schemas.openxmlformats.org/officeDocument/2006/relationships/hyperlink" Target="../Docs/R1-2311075.zip" TargetMode="External"/><Relationship Id="rId1297" Type="http://schemas.openxmlformats.org/officeDocument/2006/relationships/hyperlink" Target="../Docs/R1-2312282.zip" TargetMode="External"/><Relationship Id="rId2043" Type="http://schemas.openxmlformats.org/officeDocument/2006/relationships/hyperlink" Target="../Docs/R1-2311396.zip" TargetMode="External"/><Relationship Id="rId2250" Type="http://schemas.openxmlformats.org/officeDocument/2006/relationships/hyperlink" Target="https://portal.3gpp.org/desktopmodules/Release/ReleaseDetails.aspx?releaseId=192" TargetMode="External"/><Relationship Id="rId2695" Type="http://schemas.openxmlformats.org/officeDocument/2006/relationships/hyperlink" Target="https://portal.3gpp.org/desktopmodules/Specifications/SpecificationDetails.aspx?specificationId=3215" TargetMode="External"/><Relationship Id="rId222" Type="http://schemas.openxmlformats.org/officeDocument/2006/relationships/hyperlink" Target="../Docs/R1-2311659.zip" TargetMode="External"/><Relationship Id="rId667" Type="http://schemas.openxmlformats.org/officeDocument/2006/relationships/hyperlink" Target="../Docs/R1-2312519.zip" TargetMode="External"/><Relationship Id="rId874" Type="http://schemas.openxmlformats.org/officeDocument/2006/relationships/hyperlink" Target="../Docs/R1-2310923.zip" TargetMode="External"/><Relationship Id="rId2110" Type="http://schemas.openxmlformats.org/officeDocument/2006/relationships/hyperlink" Target="../Docs/R1-2311026.zip" TargetMode="External"/><Relationship Id="rId2348" Type="http://schemas.openxmlformats.org/officeDocument/2006/relationships/hyperlink" Target="https://portal.3gpp.org/desktopmodules/Specifications/SpecificationDetails.aspx?specificationId=3216" TargetMode="External"/><Relationship Id="rId2555" Type="http://schemas.openxmlformats.org/officeDocument/2006/relationships/hyperlink" Target="https://portal.3gpp.org/desktopmodules/Specifications/SpecificationDetails.aspx?specificationId=3217" TargetMode="External"/><Relationship Id="rId2762" Type="http://schemas.openxmlformats.org/officeDocument/2006/relationships/hyperlink" Target="https://www.3gpp.org/ftp/TSG_RAN/WG1_RL1/TSGR1_115/Docs/R1-2312538.zip" TargetMode="External"/><Relationship Id="rId527" Type="http://schemas.openxmlformats.org/officeDocument/2006/relationships/image" Target="media/image28.png"/><Relationship Id="rId734" Type="http://schemas.openxmlformats.org/officeDocument/2006/relationships/hyperlink" Target="../Docs/R1-2311828.zip" TargetMode="External"/><Relationship Id="rId941" Type="http://schemas.openxmlformats.org/officeDocument/2006/relationships/hyperlink" Target="../Docs/R1-2311618.zip" TargetMode="External"/><Relationship Id="rId1157" Type="http://schemas.openxmlformats.org/officeDocument/2006/relationships/hyperlink" Target="../Docs/R1-2310839.zip" TargetMode="External"/><Relationship Id="rId1364" Type="http://schemas.openxmlformats.org/officeDocument/2006/relationships/hyperlink" Target="../Docs/R1-2311799.zip" TargetMode="External"/><Relationship Id="rId1571" Type="http://schemas.openxmlformats.org/officeDocument/2006/relationships/hyperlink" Target="../Docs/R1-2311856.zip" TargetMode="External"/><Relationship Id="rId2208" Type="http://schemas.openxmlformats.org/officeDocument/2006/relationships/hyperlink" Target="../Docs/R1-2312582.zip" TargetMode="External"/><Relationship Id="rId2415" Type="http://schemas.openxmlformats.org/officeDocument/2006/relationships/hyperlink" Target="https://portal.3gpp.org/desktopmodules/Specifications/SpecificationDetails.aspx?specificationId=3215" TargetMode="External"/><Relationship Id="rId2622" Type="http://schemas.openxmlformats.org/officeDocument/2006/relationships/hyperlink" Target="https://portal.3gpp.org/desktopmodules/Release/ReleaseDetails.aspx?releaseId=193" TargetMode="External"/><Relationship Id="rId70" Type="http://schemas.openxmlformats.org/officeDocument/2006/relationships/hyperlink" Target="../Docs/R1-2310798.zip" TargetMode="External"/><Relationship Id="rId801" Type="http://schemas.openxmlformats.org/officeDocument/2006/relationships/hyperlink" Target="../Docs/R1-2311381.zip" TargetMode="External"/><Relationship Id="rId1017" Type="http://schemas.openxmlformats.org/officeDocument/2006/relationships/hyperlink" Target="../Docs/R1-2311885.zip" TargetMode="External"/><Relationship Id="rId1224" Type="http://schemas.openxmlformats.org/officeDocument/2006/relationships/hyperlink" Target="../Docs/R1-2312394.zip" TargetMode="External"/><Relationship Id="rId1431" Type="http://schemas.openxmlformats.org/officeDocument/2006/relationships/hyperlink" Target="../Docs/R1-2312469.zip" TargetMode="External"/><Relationship Id="rId1669" Type="http://schemas.openxmlformats.org/officeDocument/2006/relationships/hyperlink" Target="../Docs/R1-2312360.zip" TargetMode="External"/><Relationship Id="rId1876" Type="http://schemas.openxmlformats.org/officeDocument/2006/relationships/hyperlink" Target="../Docs/R1-2311391.zip" TargetMode="External"/><Relationship Id="rId2927" Type="http://schemas.openxmlformats.org/officeDocument/2006/relationships/hyperlink" Target="../Docs/R1-2312705.zip" TargetMode="External"/><Relationship Id="rId1529" Type="http://schemas.openxmlformats.org/officeDocument/2006/relationships/hyperlink" Target="../Docs/R1-2312633.zip" TargetMode="External"/><Relationship Id="rId1736" Type="http://schemas.openxmlformats.org/officeDocument/2006/relationships/hyperlink" Target="../Docs/R1-2312176.zip" TargetMode="External"/><Relationship Id="rId1943" Type="http://schemas.openxmlformats.org/officeDocument/2006/relationships/hyperlink" Target="../Docs/R1-2311257.zip" TargetMode="External"/><Relationship Id="rId28" Type="http://schemas.openxmlformats.org/officeDocument/2006/relationships/hyperlink" Target="../Docs/R1-2311153.zip" TargetMode="External"/><Relationship Id="rId1803" Type="http://schemas.openxmlformats.org/officeDocument/2006/relationships/hyperlink" Target="../Docs/R1-2311203.zip" TargetMode="External"/><Relationship Id="rId3049" Type="http://schemas.openxmlformats.org/officeDocument/2006/relationships/theme" Target="theme/theme1.xml"/><Relationship Id="rId177" Type="http://schemas.openxmlformats.org/officeDocument/2006/relationships/hyperlink" Target="../Docs/R1-2311542.zip" TargetMode="External"/><Relationship Id="rId384" Type="http://schemas.openxmlformats.org/officeDocument/2006/relationships/hyperlink" Target="../Docs/R1-2311961.zip" TargetMode="External"/><Relationship Id="rId591" Type="http://schemas.openxmlformats.org/officeDocument/2006/relationships/hyperlink" Target="../Docs/R1-2312212.zip" TargetMode="External"/><Relationship Id="rId2065" Type="http://schemas.openxmlformats.org/officeDocument/2006/relationships/hyperlink" Target="../Docs/R1-2311577.zip" TargetMode="External"/><Relationship Id="rId2272" Type="http://schemas.openxmlformats.org/officeDocument/2006/relationships/hyperlink" Target="https://portal.3gpp.org/desktopmodules/WorkItem/WorkItemDetails.aspx?workitemId=860141" TargetMode="External"/><Relationship Id="rId244" Type="http://schemas.openxmlformats.org/officeDocument/2006/relationships/hyperlink" Target="../Docs/R1-2310810.zip" TargetMode="External"/><Relationship Id="rId689" Type="http://schemas.openxmlformats.org/officeDocument/2006/relationships/hyperlink" Target="../Docs/R1-2312647.zip" TargetMode="External"/><Relationship Id="rId896" Type="http://schemas.openxmlformats.org/officeDocument/2006/relationships/hyperlink" Target="../Docs/R1-2312317.zip" TargetMode="External"/><Relationship Id="rId1081" Type="http://schemas.openxmlformats.org/officeDocument/2006/relationships/hyperlink" Target="../Docs/R1-2310836.zip" TargetMode="External"/><Relationship Id="rId2577" Type="http://schemas.openxmlformats.org/officeDocument/2006/relationships/hyperlink" Target="https://www.3gpp.org/ftp/TSG_RAN/WG1_RL1/TSGR1_115/Docs/R1-2312742.zip" TargetMode="External"/><Relationship Id="rId2784" Type="http://schemas.openxmlformats.org/officeDocument/2006/relationships/hyperlink" Target="https://portal.3gpp.org/desktopmodules/Release/ReleaseDetails.aspx?releaseId=193" TargetMode="External"/><Relationship Id="rId451" Type="http://schemas.openxmlformats.org/officeDocument/2006/relationships/hyperlink" Target="../Docs/R1-2312350.zip" TargetMode="External"/><Relationship Id="rId549" Type="http://schemas.openxmlformats.org/officeDocument/2006/relationships/hyperlink" Target="../Docs/R1-2312075.zip" TargetMode="External"/><Relationship Id="rId756" Type="http://schemas.openxmlformats.org/officeDocument/2006/relationships/hyperlink" Target="../Docs/R1-2311380.zip" TargetMode="External"/><Relationship Id="rId1179" Type="http://schemas.openxmlformats.org/officeDocument/2006/relationships/hyperlink" Target="../Docs/R1-2312392.zip" TargetMode="External"/><Relationship Id="rId1386" Type="http://schemas.openxmlformats.org/officeDocument/2006/relationships/image" Target="media/image66.png"/><Relationship Id="rId1593" Type="http://schemas.openxmlformats.org/officeDocument/2006/relationships/hyperlink" Target="../Docs/R1-2311633.zip" TargetMode="External"/><Relationship Id="rId2132" Type="http://schemas.openxmlformats.org/officeDocument/2006/relationships/hyperlink" Target="../Docs/R1-2310968.zip" TargetMode="External"/><Relationship Id="rId2437" Type="http://schemas.openxmlformats.org/officeDocument/2006/relationships/hyperlink" Target="https://www.3gpp.org/ftp/TSG_RAN/WG1_RL1/TSGR1_115/Docs/R1-2312682.zip" TargetMode="External"/><Relationship Id="rId2991" Type="http://schemas.openxmlformats.org/officeDocument/2006/relationships/hyperlink" Target="../Docs/R1-2312815.zip" TargetMode="External"/><Relationship Id="rId104" Type="http://schemas.openxmlformats.org/officeDocument/2006/relationships/hyperlink" Target="../Docs/R1-2310809.zip" TargetMode="External"/><Relationship Id="rId311" Type="http://schemas.openxmlformats.org/officeDocument/2006/relationships/hyperlink" Target="../Docs/R1-2311815.zip" TargetMode="External"/><Relationship Id="rId409" Type="http://schemas.openxmlformats.org/officeDocument/2006/relationships/hyperlink" Target="../Docs/R1-2312634.zip" TargetMode="External"/><Relationship Id="rId963" Type="http://schemas.openxmlformats.org/officeDocument/2006/relationships/hyperlink" Target="../Docs/R1-2310824.zip" TargetMode="External"/><Relationship Id="rId1039" Type="http://schemas.openxmlformats.org/officeDocument/2006/relationships/hyperlink" Target="../Docs/R1-2311517.zip" TargetMode="External"/><Relationship Id="rId1246" Type="http://schemas.openxmlformats.org/officeDocument/2006/relationships/hyperlink" Target="../Docs/R1-2311687.zip" TargetMode="External"/><Relationship Id="rId1898" Type="http://schemas.openxmlformats.org/officeDocument/2006/relationships/hyperlink" Target="../Docs/R1-2312334.zip" TargetMode="External"/><Relationship Id="rId2644" Type="http://schemas.openxmlformats.org/officeDocument/2006/relationships/hyperlink" Target="https://portal.3gpp.org/desktopmodules/WorkItem/WorkItemDetails.aspx?workitemId=940197" TargetMode="External"/><Relationship Id="rId2851" Type="http://schemas.openxmlformats.org/officeDocument/2006/relationships/hyperlink" Target="https://portal.3gpp.org/desktopmodules/Release/ReleaseDetails.aspx?releaseId=193" TargetMode="External"/><Relationship Id="rId2949" Type="http://schemas.openxmlformats.org/officeDocument/2006/relationships/hyperlink" Target="../Docs/R1-2312770.zip" TargetMode="External"/><Relationship Id="rId92" Type="http://schemas.openxmlformats.org/officeDocument/2006/relationships/hyperlink" Target="../Docs/R1-2311663.zip" TargetMode="External"/><Relationship Id="rId616" Type="http://schemas.openxmlformats.org/officeDocument/2006/relationships/hyperlink" Target="../Docs/R1-2312476.zip" TargetMode="External"/><Relationship Id="rId823" Type="http://schemas.openxmlformats.org/officeDocument/2006/relationships/hyperlink" Target="../Docs/R1-2311157.zip" TargetMode="External"/><Relationship Id="rId1453" Type="http://schemas.openxmlformats.org/officeDocument/2006/relationships/hyperlink" Target="../Docs/R1-2311514.zip" TargetMode="External"/><Relationship Id="rId1660" Type="http://schemas.openxmlformats.org/officeDocument/2006/relationships/hyperlink" Target="../Docs/R1-2311698.zip" TargetMode="External"/><Relationship Id="rId1758" Type="http://schemas.openxmlformats.org/officeDocument/2006/relationships/hyperlink" Target="../Docs/R1-2312137.zip" TargetMode="External"/><Relationship Id="rId2504" Type="http://schemas.openxmlformats.org/officeDocument/2006/relationships/hyperlink" Target="https://portal.3gpp.org/desktopmodules/WorkItem/WorkItemDetails.aspx?workitemId=940195" TargetMode="External"/><Relationship Id="rId2711" Type="http://schemas.openxmlformats.org/officeDocument/2006/relationships/hyperlink" Target="https://portal.3gpp.org/desktopmodules/Specifications/SpecificationDetails.aspx?specificationId=3216" TargetMode="External"/><Relationship Id="rId2809" Type="http://schemas.openxmlformats.org/officeDocument/2006/relationships/hyperlink" Target="https://portal.3gpp.org/desktopmodules/Release/ReleaseDetails.aspx?releaseId=193" TargetMode="External"/><Relationship Id="rId1106" Type="http://schemas.openxmlformats.org/officeDocument/2006/relationships/hyperlink" Target="../Docs/R1-2310837.zip" TargetMode="External"/><Relationship Id="rId1313" Type="http://schemas.openxmlformats.org/officeDocument/2006/relationships/hyperlink" Target="../Docs/R1-2311574.zip" TargetMode="External"/><Relationship Id="rId1520" Type="http://schemas.openxmlformats.org/officeDocument/2006/relationships/hyperlink" Target="../Docs/R1-2311935.zip" TargetMode="External"/><Relationship Id="rId1965" Type="http://schemas.openxmlformats.org/officeDocument/2006/relationships/hyperlink" Target="../Docs/R1-2310942.zip" TargetMode="External"/><Relationship Id="rId1618" Type="http://schemas.openxmlformats.org/officeDocument/2006/relationships/hyperlink" Target="../Docs/R1-2312671.zip" TargetMode="External"/><Relationship Id="rId1825" Type="http://schemas.openxmlformats.org/officeDocument/2006/relationships/hyperlink" Target="../Docs/R1-2310818.zip" TargetMode="External"/><Relationship Id="rId3040" Type="http://schemas.openxmlformats.org/officeDocument/2006/relationships/hyperlink" Target="../Docs/R1-2312711.zip" TargetMode="External"/><Relationship Id="rId199" Type="http://schemas.openxmlformats.org/officeDocument/2006/relationships/hyperlink" Target="../Docs/R1-2312534.zip" TargetMode="External"/><Relationship Id="rId2087" Type="http://schemas.openxmlformats.org/officeDocument/2006/relationships/hyperlink" Target="../Docs/R1-2311902.zip" TargetMode="External"/><Relationship Id="rId2294" Type="http://schemas.openxmlformats.org/officeDocument/2006/relationships/hyperlink" Target="https://portal.3gpp.org/desktopmodules/Release/ReleaseDetails.aspx?releaseId=192" TargetMode="External"/><Relationship Id="rId266" Type="http://schemas.openxmlformats.org/officeDocument/2006/relationships/hyperlink" Target="../Docs/R1-2311360.zip" TargetMode="External"/><Relationship Id="rId473" Type="http://schemas.openxmlformats.org/officeDocument/2006/relationships/hyperlink" Target="../Docs/R1-2312379.zip" TargetMode="External"/><Relationship Id="rId680" Type="http://schemas.openxmlformats.org/officeDocument/2006/relationships/hyperlink" Target="../Docs/R1-2311608.zip" TargetMode="External"/><Relationship Id="rId2154" Type="http://schemas.openxmlformats.org/officeDocument/2006/relationships/hyperlink" Target="../Docs/R1-2310900.zip" TargetMode="External"/><Relationship Id="rId2361" Type="http://schemas.openxmlformats.org/officeDocument/2006/relationships/hyperlink" Target="https://www.3gpp.org/ftp/TSG_RAN/WG1_RL1/TSGR1_115/Docs/R1-2312556.zip" TargetMode="External"/><Relationship Id="rId2599" Type="http://schemas.openxmlformats.org/officeDocument/2006/relationships/hyperlink" Target="https://portal.3gpp.org/desktopmodules/Specifications/SpecificationDetails.aspx?specificationId=3213" TargetMode="External"/><Relationship Id="rId126" Type="http://schemas.openxmlformats.org/officeDocument/2006/relationships/hyperlink" Target="../Docs/R1-2312231.zip" TargetMode="External"/><Relationship Id="rId333" Type="http://schemas.openxmlformats.org/officeDocument/2006/relationships/hyperlink" Target="../Docs/R1-2312364.zip" TargetMode="External"/><Relationship Id="rId540" Type="http://schemas.openxmlformats.org/officeDocument/2006/relationships/hyperlink" Target="../Docs/R1-2311014.zip" TargetMode="External"/><Relationship Id="rId778" Type="http://schemas.openxmlformats.org/officeDocument/2006/relationships/hyperlink" Target="../Docs/R1-2312008.zip" TargetMode="External"/><Relationship Id="rId985" Type="http://schemas.openxmlformats.org/officeDocument/2006/relationships/hyperlink" Target="../Docs/R1-2312171.zip" TargetMode="External"/><Relationship Id="rId1170" Type="http://schemas.openxmlformats.org/officeDocument/2006/relationships/hyperlink" Target="../Docs/R1-2311911.zip" TargetMode="External"/><Relationship Id="rId2014" Type="http://schemas.openxmlformats.org/officeDocument/2006/relationships/hyperlink" Target="../Docs/R1-2312062.zip" TargetMode="External"/><Relationship Id="rId2221" Type="http://schemas.openxmlformats.org/officeDocument/2006/relationships/hyperlink" Target="../Docs/R1-2311127.zip" TargetMode="External"/><Relationship Id="rId2459" Type="http://schemas.openxmlformats.org/officeDocument/2006/relationships/hyperlink" Target="https://www.3gpp.org/ftp/TSG_RAN/WG1_RL1/TSGR1_115/Docs/R1-2312700.zip" TargetMode="External"/><Relationship Id="rId2666" Type="http://schemas.openxmlformats.org/officeDocument/2006/relationships/hyperlink" Target="https://portal.3gpp.org/desktopmodules/Release/ReleaseDetails.aspx?releaseId=193" TargetMode="External"/><Relationship Id="rId2873" Type="http://schemas.openxmlformats.org/officeDocument/2006/relationships/hyperlink" Target="https://portal.3gpp.org/desktopmodules/Release/ReleaseDetails.aspx?releaseId=193" TargetMode="External"/><Relationship Id="rId638" Type="http://schemas.openxmlformats.org/officeDocument/2006/relationships/hyperlink" Target="../Docs/R1-2312500.zip" TargetMode="External"/><Relationship Id="rId845" Type="http://schemas.openxmlformats.org/officeDocument/2006/relationships/hyperlink" Target="../Docs/R1-2310869.zip" TargetMode="External"/><Relationship Id="rId1030" Type="http://schemas.openxmlformats.org/officeDocument/2006/relationships/hyperlink" Target="../Docs/R1-2312328.zip" TargetMode="External"/><Relationship Id="rId1268" Type="http://schemas.openxmlformats.org/officeDocument/2006/relationships/hyperlink" Target="../Docs/R1-2310857.zip" TargetMode="External"/><Relationship Id="rId1475" Type="http://schemas.openxmlformats.org/officeDocument/2006/relationships/hyperlink" Target="../Docs/R1-2311106.zip" TargetMode="External"/><Relationship Id="rId1682" Type="http://schemas.openxmlformats.org/officeDocument/2006/relationships/hyperlink" Target="../Docs/R1-2311497.zip" TargetMode="External"/><Relationship Id="rId2319" Type="http://schemas.openxmlformats.org/officeDocument/2006/relationships/hyperlink" Target="https://portal.3gpp.org/desktopmodules/Specifications/SpecificationDetails.aspx?specificationId=3212" TargetMode="External"/><Relationship Id="rId2526" Type="http://schemas.openxmlformats.org/officeDocument/2006/relationships/hyperlink" Target="https://portal.3gpp.org/desktopmodules/Release/ReleaseDetails.aspx?releaseId=193" TargetMode="External"/><Relationship Id="rId2733" Type="http://schemas.openxmlformats.org/officeDocument/2006/relationships/hyperlink" Target="https://portal.3gpp.org/desktopmodules/WorkItem/WorkItemDetails.aspx?workitemId=940196" TargetMode="External"/><Relationship Id="rId400" Type="http://schemas.openxmlformats.org/officeDocument/2006/relationships/hyperlink" Target="../Docs/R1-2310929.zip" TargetMode="External"/><Relationship Id="rId705" Type="http://schemas.openxmlformats.org/officeDocument/2006/relationships/hyperlink" Target="../Docs/R1-2310990.zip" TargetMode="External"/><Relationship Id="rId1128" Type="http://schemas.openxmlformats.org/officeDocument/2006/relationships/hyperlink" Target="../Docs/R1-2311143.zip" TargetMode="External"/><Relationship Id="rId1335" Type="http://schemas.openxmlformats.org/officeDocument/2006/relationships/image" Target="media/image55.png"/><Relationship Id="rId1542" Type="http://schemas.openxmlformats.org/officeDocument/2006/relationships/hyperlink" Target="../Docs/R1-2311724.zip" TargetMode="External"/><Relationship Id="rId1987" Type="http://schemas.openxmlformats.org/officeDocument/2006/relationships/hyperlink" Target="../Docs/R1-2311220.zip" TargetMode="External"/><Relationship Id="rId2940" Type="http://schemas.openxmlformats.org/officeDocument/2006/relationships/hyperlink" Target="file:///C:\MyMeetings\TSGR1_115-Chicago\Docs\R1-2312720.zip" TargetMode="External"/><Relationship Id="rId912" Type="http://schemas.openxmlformats.org/officeDocument/2006/relationships/hyperlink" Target="../Docs/R1-2311617.zip" TargetMode="External"/><Relationship Id="rId1847" Type="http://schemas.openxmlformats.org/officeDocument/2006/relationships/hyperlink" Target="../Docs/R1-2311760.zip" TargetMode="External"/><Relationship Id="rId2800" Type="http://schemas.openxmlformats.org/officeDocument/2006/relationships/hyperlink" Target="https://www.3gpp.org/ftp/TSG_RAN/WG1_RL1/TSGR1_115/Docs/R1-2312681.zip" TargetMode="External"/><Relationship Id="rId41" Type="http://schemas.openxmlformats.org/officeDocument/2006/relationships/hyperlink" Target="../Docs/R1-2312130.zip" TargetMode="External"/><Relationship Id="rId1402" Type="http://schemas.openxmlformats.org/officeDocument/2006/relationships/hyperlink" Target="../Docs/R1-2312412.zip" TargetMode="External"/><Relationship Id="rId1707" Type="http://schemas.openxmlformats.org/officeDocument/2006/relationships/hyperlink" Target="../Docs/R1-2312670.zip" TargetMode="External"/><Relationship Id="rId190" Type="http://schemas.openxmlformats.org/officeDocument/2006/relationships/hyperlink" Target="../Docs/R1-2311662.zip" TargetMode="External"/><Relationship Id="rId288" Type="http://schemas.openxmlformats.org/officeDocument/2006/relationships/image" Target="media/image10.wmf"/><Relationship Id="rId1914" Type="http://schemas.openxmlformats.org/officeDocument/2006/relationships/hyperlink" Target="../Docs/R1-2312400.zip" TargetMode="External"/><Relationship Id="rId495" Type="http://schemas.openxmlformats.org/officeDocument/2006/relationships/hyperlink" Target="../Docs/R1-2310945.zip" TargetMode="External"/><Relationship Id="rId2176" Type="http://schemas.openxmlformats.org/officeDocument/2006/relationships/hyperlink" Target="../Docs/R1-2311715.zip" TargetMode="External"/><Relationship Id="rId2383" Type="http://schemas.openxmlformats.org/officeDocument/2006/relationships/hyperlink" Target="https://portal.3gpp.org/desktopmodules/Specifications/SpecificationDetails.aspx?specificationId=3216" TargetMode="External"/><Relationship Id="rId2590" Type="http://schemas.openxmlformats.org/officeDocument/2006/relationships/hyperlink" Target="https://portal.3gpp.org/desktopmodules/Release/ReleaseDetails.aspx?releaseId=193" TargetMode="External"/><Relationship Id="rId148" Type="http://schemas.openxmlformats.org/officeDocument/2006/relationships/hyperlink" Target="../Docs/R1-2311004.zip" TargetMode="External"/><Relationship Id="rId355" Type="http://schemas.openxmlformats.org/officeDocument/2006/relationships/hyperlink" Target="../Docs/R1-2311963.zip" TargetMode="External"/><Relationship Id="rId562" Type="http://schemas.openxmlformats.org/officeDocument/2006/relationships/hyperlink" Target="../Docs/R1-2311305.zip" TargetMode="External"/><Relationship Id="rId1192" Type="http://schemas.openxmlformats.org/officeDocument/2006/relationships/hyperlink" Target="../Docs/R1-2311599.zip" TargetMode="External"/><Relationship Id="rId2036" Type="http://schemas.openxmlformats.org/officeDocument/2006/relationships/hyperlink" Target="../Docs/R1-2310858.zip" TargetMode="External"/><Relationship Id="rId2243" Type="http://schemas.openxmlformats.org/officeDocument/2006/relationships/hyperlink" Target="https://portal.3gpp.org/desktopmodules/Specifications/SpecificationDetails.aspx?specificationId=3215" TargetMode="External"/><Relationship Id="rId2450" Type="http://schemas.openxmlformats.org/officeDocument/2006/relationships/hyperlink" Target="https://portal.3gpp.org/desktopmodules/WorkItem/WorkItemDetails.aspx?workitemId=830178" TargetMode="External"/><Relationship Id="rId2688" Type="http://schemas.openxmlformats.org/officeDocument/2006/relationships/hyperlink" Target="https://portal.3gpp.org/desktopmodules/WorkItem/WorkItemDetails.aspx?workitemId=940199" TargetMode="External"/><Relationship Id="rId2895" Type="http://schemas.openxmlformats.org/officeDocument/2006/relationships/hyperlink" Target="https://portal.3gpp.org/desktopmodules/WorkItem/WorkItemDetails.aspx?workitemId=940084" TargetMode="External"/><Relationship Id="rId215" Type="http://schemas.openxmlformats.org/officeDocument/2006/relationships/hyperlink" Target="../Docs/R1-2304309.zip" TargetMode="External"/><Relationship Id="rId422" Type="http://schemas.openxmlformats.org/officeDocument/2006/relationships/hyperlink" Target="../Docs/R1-2311293.zip" TargetMode="External"/><Relationship Id="rId867" Type="http://schemas.openxmlformats.org/officeDocument/2006/relationships/hyperlink" Target="../Docs/R1-2310278.zip" TargetMode="External"/><Relationship Id="rId1052" Type="http://schemas.openxmlformats.org/officeDocument/2006/relationships/hyperlink" Target="../Docs/R1-2312261.zip" TargetMode="External"/><Relationship Id="rId1497" Type="http://schemas.openxmlformats.org/officeDocument/2006/relationships/hyperlink" Target="../Docs/R1-2310930.zip" TargetMode="External"/><Relationship Id="rId2103" Type="http://schemas.openxmlformats.org/officeDocument/2006/relationships/hyperlink" Target="../Docs/R1-2311873.zip" TargetMode="External"/><Relationship Id="rId2310" Type="http://schemas.openxmlformats.org/officeDocument/2006/relationships/hyperlink" Target="https://portal.3gpp.org/desktopmodules/Release/ReleaseDetails.aspx?releaseId=191" TargetMode="External"/><Relationship Id="rId2548" Type="http://schemas.openxmlformats.org/officeDocument/2006/relationships/hyperlink" Target="https://portal.3gpp.org/desktopmodules/WorkItem/WorkItemDetails.aspx?workitemId=940196" TargetMode="External"/><Relationship Id="rId2755" Type="http://schemas.openxmlformats.org/officeDocument/2006/relationships/hyperlink" Target="https://portal.3gpp.org/desktopmodules/Release/ReleaseDetails.aspx?releaseId=192" TargetMode="External"/><Relationship Id="rId2962" Type="http://schemas.openxmlformats.org/officeDocument/2006/relationships/hyperlink" Target="../Docs/R1-2312794.zip" TargetMode="External"/><Relationship Id="rId727" Type="http://schemas.openxmlformats.org/officeDocument/2006/relationships/hyperlink" Target="../Docs/R1-2312697.zip" TargetMode="External"/><Relationship Id="rId934" Type="http://schemas.openxmlformats.org/officeDocument/2006/relationships/hyperlink" Target="../Docs/R1-2311367.zip" TargetMode="External"/><Relationship Id="rId1357" Type="http://schemas.openxmlformats.org/officeDocument/2006/relationships/hyperlink" Target="../Docs/R1-2311536.zip" TargetMode="External"/><Relationship Id="rId1564" Type="http://schemas.openxmlformats.org/officeDocument/2006/relationships/hyperlink" Target="../Docs/R1-2311494.zip" TargetMode="External"/><Relationship Id="rId1771" Type="http://schemas.openxmlformats.org/officeDocument/2006/relationships/hyperlink" Target="../Docs/R1-2311201.zip" TargetMode="External"/><Relationship Id="rId2408" Type="http://schemas.openxmlformats.org/officeDocument/2006/relationships/hyperlink" Target="https://portal.3gpp.org/desktopmodules/Release/ReleaseDetails.aspx?releaseId=192" TargetMode="External"/><Relationship Id="rId2615" Type="http://schemas.openxmlformats.org/officeDocument/2006/relationships/hyperlink" Target="https://portal.3gpp.org/desktopmodules/Specifications/SpecificationDetails.aspx?specificationId=3213" TargetMode="External"/><Relationship Id="rId2822" Type="http://schemas.openxmlformats.org/officeDocument/2006/relationships/hyperlink" Target="../Docs/R1-2310787.zip" TargetMode="External"/><Relationship Id="rId63" Type="http://schemas.openxmlformats.org/officeDocument/2006/relationships/hyperlink" Target="../Docs/R1-2312213.zip" TargetMode="External"/><Relationship Id="rId1217" Type="http://schemas.openxmlformats.org/officeDocument/2006/relationships/hyperlink" Target="../Docs/R1-2311912.zip" TargetMode="External"/><Relationship Id="rId1424" Type="http://schemas.openxmlformats.org/officeDocument/2006/relationships/hyperlink" Target="../Docs/R1-2312387.zip" TargetMode="External"/><Relationship Id="rId1631" Type="http://schemas.openxmlformats.org/officeDocument/2006/relationships/hyperlink" Target="../Docs/R1-2311757.zip" TargetMode="External"/><Relationship Id="rId1869" Type="http://schemas.openxmlformats.org/officeDocument/2006/relationships/hyperlink" Target="../Docs/R1-2310988.zip" TargetMode="External"/><Relationship Id="rId1729" Type="http://schemas.openxmlformats.org/officeDocument/2006/relationships/hyperlink" Target="../Docs/R1-2310876.zip" TargetMode="External"/><Relationship Id="rId1936" Type="http://schemas.openxmlformats.org/officeDocument/2006/relationships/hyperlink" Target="../Docs/R1-2312511.zip" TargetMode="External"/><Relationship Id="rId2198" Type="http://schemas.openxmlformats.org/officeDocument/2006/relationships/hyperlink" Target="../Docs/R1-2312072.zip" TargetMode="External"/><Relationship Id="rId377" Type="http://schemas.openxmlformats.org/officeDocument/2006/relationships/hyperlink" Target="../Docs/R1-2312234.zip" TargetMode="External"/><Relationship Id="rId584" Type="http://schemas.openxmlformats.org/officeDocument/2006/relationships/hyperlink" Target="../Docs/R1-2311472.zip" TargetMode="External"/><Relationship Id="rId2058" Type="http://schemas.openxmlformats.org/officeDocument/2006/relationships/hyperlink" Target="../Docs/R1-2311121.zip" TargetMode="External"/><Relationship Id="rId2265" Type="http://schemas.openxmlformats.org/officeDocument/2006/relationships/hyperlink" Target="https://www.3gpp.org/ftp/TSG_RAN/WG1_RL1/TSGR1_115/Docs/R1-2312470.zip" TargetMode="External"/><Relationship Id="rId3011" Type="http://schemas.openxmlformats.org/officeDocument/2006/relationships/hyperlink" Target="../Docs/R1-2312790.zip" TargetMode="External"/><Relationship Id="rId5" Type="http://schemas.openxmlformats.org/officeDocument/2006/relationships/settings" Target="settings.xml"/><Relationship Id="rId237" Type="http://schemas.openxmlformats.org/officeDocument/2006/relationships/hyperlink" Target="../Docs/R1-2310801.zip" TargetMode="External"/><Relationship Id="rId791" Type="http://schemas.openxmlformats.org/officeDocument/2006/relationships/hyperlink" Target="../Docs/R1-2310867.zip" TargetMode="External"/><Relationship Id="rId889" Type="http://schemas.openxmlformats.org/officeDocument/2006/relationships/hyperlink" Target="../Docs/R1-2312029.zip" TargetMode="External"/><Relationship Id="rId1074" Type="http://schemas.openxmlformats.org/officeDocument/2006/relationships/hyperlink" Target="../Docs/R1-2310787.zip" TargetMode="External"/><Relationship Id="rId2472" Type="http://schemas.openxmlformats.org/officeDocument/2006/relationships/hyperlink" Target="https://portal.3gpp.org/desktopmodules/Release/ReleaseDetails.aspx?releaseId=193" TargetMode="External"/><Relationship Id="rId2777" Type="http://schemas.openxmlformats.org/officeDocument/2006/relationships/hyperlink" Target="https://www.3gpp.org/ftp/TSG_RAN/WG1_RL1/TSGR1_115/Docs/R1-2312620.zip" TargetMode="External"/><Relationship Id="rId444" Type="http://schemas.openxmlformats.org/officeDocument/2006/relationships/hyperlink" Target="../Docs/R1-2311580.zip" TargetMode="External"/><Relationship Id="rId651" Type="http://schemas.openxmlformats.org/officeDocument/2006/relationships/hyperlink" Target="../Docs/R1-2312594.zip" TargetMode="External"/><Relationship Id="rId749" Type="http://schemas.openxmlformats.org/officeDocument/2006/relationships/hyperlink" Target="../Docs/R1-2311040.zip" TargetMode="External"/><Relationship Id="rId1281" Type="http://schemas.openxmlformats.org/officeDocument/2006/relationships/hyperlink" Target="../Docs/R1-2311746.zip" TargetMode="External"/><Relationship Id="rId1379" Type="http://schemas.openxmlformats.org/officeDocument/2006/relationships/image" Target="media/image59.png"/><Relationship Id="rId1586" Type="http://schemas.openxmlformats.org/officeDocument/2006/relationships/hyperlink" Target="../Docs/R1-2312457.zip" TargetMode="External"/><Relationship Id="rId2125" Type="http://schemas.openxmlformats.org/officeDocument/2006/relationships/hyperlink" Target="../Docs/R1-2311987.zip" TargetMode="External"/><Relationship Id="rId2332" Type="http://schemas.openxmlformats.org/officeDocument/2006/relationships/hyperlink" Target="https://portal.3gpp.org/desktopmodules/Release/ReleaseDetails.aspx?releaseId=193" TargetMode="External"/><Relationship Id="rId2984" Type="http://schemas.openxmlformats.org/officeDocument/2006/relationships/hyperlink" Target="../Docs/R1-2312743.zip" TargetMode="External"/><Relationship Id="rId304" Type="http://schemas.openxmlformats.org/officeDocument/2006/relationships/oleObject" Target="embeddings/oleObject7.bin"/><Relationship Id="rId511" Type="http://schemas.openxmlformats.org/officeDocument/2006/relationships/oleObject" Target="embeddings/oleObject14.bin"/><Relationship Id="rId609" Type="http://schemas.openxmlformats.org/officeDocument/2006/relationships/hyperlink" Target="../Docs/R1-2312097.zip" TargetMode="External"/><Relationship Id="rId956" Type="http://schemas.openxmlformats.org/officeDocument/2006/relationships/hyperlink" Target="../Docs/R1-2312561.zip" TargetMode="External"/><Relationship Id="rId1141" Type="http://schemas.openxmlformats.org/officeDocument/2006/relationships/hyperlink" Target="../Docs/R1-2311843.zip" TargetMode="External"/><Relationship Id="rId1239" Type="http://schemas.openxmlformats.org/officeDocument/2006/relationships/hyperlink" Target="../Docs/R1-2311227.zip" TargetMode="External"/><Relationship Id="rId1793" Type="http://schemas.openxmlformats.org/officeDocument/2006/relationships/hyperlink" Target="../Docs/R1-2311702.zip" TargetMode="External"/><Relationship Id="rId2637" Type="http://schemas.openxmlformats.org/officeDocument/2006/relationships/hyperlink" Target="https://www.3gpp.org/ftp/TSG_RAN/WG1_RL1/TSGR1_115/Docs/R1-2312757.zip" TargetMode="External"/><Relationship Id="rId2844" Type="http://schemas.openxmlformats.org/officeDocument/2006/relationships/hyperlink" Target="https://portal.3gpp.org/desktopmodules/Release/ReleaseDetails.aspx?releaseId=193" TargetMode="External"/><Relationship Id="rId85" Type="http://schemas.openxmlformats.org/officeDocument/2006/relationships/hyperlink" Target="../Docs/R1-2312229.zip" TargetMode="External"/><Relationship Id="rId816" Type="http://schemas.openxmlformats.org/officeDocument/2006/relationships/hyperlink" Target="../Docs/R1-2312473.zip" TargetMode="External"/><Relationship Id="rId1001" Type="http://schemas.openxmlformats.org/officeDocument/2006/relationships/hyperlink" Target="../Docs/R1-2310969.zip" TargetMode="External"/><Relationship Id="rId1446" Type="http://schemas.openxmlformats.org/officeDocument/2006/relationships/hyperlink" Target="../Docs/R1-2311230.zip" TargetMode="External"/><Relationship Id="rId1653" Type="http://schemas.openxmlformats.org/officeDocument/2006/relationships/hyperlink" Target="../Docs/R1-2311323.zip" TargetMode="External"/><Relationship Id="rId1860" Type="http://schemas.openxmlformats.org/officeDocument/2006/relationships/hyperlink" Target="../Docs/R1-2312402.zip" TargetMode="External"/><Relationship Id="rId2704" Type="http://schemas.openxmlformats.org/officeDocument/2006/relationships/hyperlink" Target="https://portal.3gpp.org/desktopmodules/WorkItem/WorkItemDetails.aspx?workitemId=940199" TargetMode="External"/><Relationship Id="rId2911" Type="http://schemas.openxmlformats.org/officeDocument/2006/relationships/hyperlink" Target="../Docs/R1-2311003.zip" TargetMode="External"/><Relationship Id="rId1306" Type="http://schemas.openxmlformats.org/officeDocument/2006/relationships/hyperlink" Target="../Docs/R1-2311347.zip" TargetMode="External"/><Relationship Id="rId1513" Type="http://schemas.openxmlformats.org/officeDocument/2006/relationships/hyperlink" Target="../Docs/R1-2311717.zip" TargetMode="External"/><Relationship Id="rId1720" Type="http://schemas.openxmlformats.org/officeDocument/2006/relationships/hyperlink" Target="../Docs/R1-2311772.zip" TargetMode="External"/><Relationship Id="rId1958" Type="http://schemas.openxmlformats.org/officeDocument/2006/relationships/hyperlink" Target="../Docs/R1-2311750.zip" TargetMode="External"/><Relationship Id="rId12" Type="http://schemas.openxmlformats.org/officeDocument/2006/relationships/hyperlink" Target="../Docs/R1-2310780.zip" TargetMode="External"/><Relationship Id="rId1818" Type="http://schemas.openxmlformats.org/officeDocument/2006/relationships/hyperlink" Target="../Docs/R1-2312696.zip" TargetMode="External"/><Relationship Id="rId3033" Type="http://schemas.openxmlformats.org/officeDocument/2006/relationships/hyperlink" Target="../Docs/R1-2312806.zip" TargetMode="External"/><Relationship Id="rId161" Type="http://schemas.openxmlformats.org/officeDocument/2006/relationships/hyperlink" Target="../Docs/R1-2311066.zip" TargetMode="External"/><Relationship Id="rId399" Type="http://schemas.openxmlformats.org/officeDocument/2006/relationships/hyperlink" Target="../Docs/R1-2312459.zip" TargetMode="External"/><Relationship Id="rId2287" Type="http://schemas.openxmlformats.org/officeDocument/2006/relationships/hyperlink" Target="https://portal.3gpp.org/desktopmodules/Specifications/SpecificationDetails.aspx?specificationId=3216" TargetMode="External"/><Relationship Id="rId2494" Type="http://schemas.openxmlformats.org/officeDocument/2006/relationships/hyperlink" Target="https://portal.3gpp.org/desktopmodules/Specifications/SpecificationDetails.aspx?specificationId=3214" TargetMode="External"/><Relationship Id="rId259" Type="http://schemas.openxmlformats.org/officeDocument/2006/relationships/hyperlink" Target="../Docs/R1-2312181.zip" TargetMode="External"/><Relationship Id="rId466" Type="http://schemas.openxmlformats.org/officeDocument/2006/relationships/hyperlink" Target="../Docs/R1-2311081.zip" TargetMode="External"/><Relationship Id="rId673" Type="http://schemas.openxmlformats.org/officeDocument/2006/relationships/hyperlink" Target="../Docs/R1-2311059.zip" TargetMode="External"/><Relationship Id="rId880" Type="http://schemas.openxmlformats.org/officeDocument/2006/relationships/hyperlink" Target="../Docs/R1-2311383.zip" TargetMode="External"/><Relationship Id="rId1096" Type="http://schemas.openxmlformats.org/officeDocument/2006/relationships/hyperlink" Target="../Docs/R1-2312092.zip" TargetMode="External"/><Relationship Id="rId2147" Type="http://schemas.openxmlformats.org/officeDocument/2006/relationships/hyperlink" Target="../Docs/R1-2310899.zip" TargetMode="External"/><Relationship Id="rId2354" Type="http://schemas.openxmlformats.org/officeDocument/2006/relationships/hyperlink" Target="https://www.3gpp.org/ftp/TSG_RAN/WG1_RL1/TSGR1_115/Docs/R1-2312551.zip" TargetMode="External"/><Relationship Id="rId2561" Type="http://schemas.openxmlformats.org/officeDocument/2006/relationships/hyperlink" Target="https://www.3gpp.org/ftp/TSG_RAN/WG1_RL1/TSGR1_115/Docs/R1-2312738.zip" TargetMode="External"/><Relationship Id="rId2799" Type="http://schemas.openxmlformats.org/officeDocument/2006/relationships/hyperlink" Target="https://portal.3gpp.org/desktopmodules/WorkItem/WorkItemDetails.aspx?workitemId=941112" TargetMode="External"/><Relationship Id="rId119" Type="http://schemas.openxmlformats.org/officeDocument/2006/relationships/hyperlink" Target="../Docs/R1-2308561.zip" TargetMode="External"/><Relationship Id="rId326" Type="http://schemas.openxmlformats.org/officeDocument/2006/relationships/hyperlink" Target="../Docs/R1-2312693.zip" TargetMode="External"/><Relationship Id="rId533" Type="http://schemas.openxmlformats.org/officeDocument/2006/relationships/image" Target="media/image32.png"/><Relationship Id="rId978" Type="http://schemas.openxmlformats.org/officeDocument/2006/relationships/hyperlink" Target="../Docs/R1-2311766.zip" TargetMode="External"/><Relationship Id="rId1163" Type="http://schemas.openxmlformats.org/officeDocument/2006/relationships/hyperlink" Target="../Docs/R1-2311342.zip" TargetMode="External"/><Relationship Id="rId1370" Type="http://schemas.openxmlformats.org/officeDocument/2006/relationships/hyperlink" Target="../Docs/R1-2312101.zip" TargetMode="External"/><Relationship Id="rId2007" Type="http://schemas.openxmlformats.org/officeDocument/2006/relationships/hyperlink" Target="../Docs/R1-2311329.zip" TargetMode="External"/><Relationship Id="rId2214" Type="http://schemas.openxmlformats.org/officeDocument/2006/relationships/hyperlink" Target="../Docs/R1-2312227.zip" TargetMode="External"/><Relationship Id="rId2659" Type="http://schemas.openxmlformats.org/officeDocument/2006/relationships/hyperlink" Target="https://portal.3gpp.org/desktopmodules/Specifications/SpecificationDetails.aspx?specificationId=2427" TargetMode="External"/><Relationship Id="rId2866" Type="http://schemas.openxmlformats.org/officeDocument/2006/relationships/hyperlink" Target="https://portal.3gpp.org/desktopmodules/Release/ReleaseDetails.aspx?releaseId=193" TargetMode="External"/><Relationship Id="rId740" Type="http://schemas.openxmlformats.org/officeDocument/2006/relationships/hyperlink" Target="../Docs/R1-2312358.zip" TargetMode="External"/><Relationship Id="rId838" Type="http://schemas.openxmlformats.org/officeDocument/2006/relationships/hyperlink" Target="../Docs/R1-2312195.zip" TargetMode="External"/><Relationship Id="rId1023" Type="http://schemas.openxmlformats.org/officeDocument/2006/relationships/hyperlink" Target="../Docs/R1-2312324.zip" TargetMode="External"/><Relationship Id="rId1468" Type="http://schemas.openxmlformats.org/officeDocument/2006/relationships/hyperlink" Target="../Docs/R1-2311037.zip" TargetMode="External"/><Relationship Id="rId1675" Type="http://schemas.openxmlformats.org/officeDocument/2006/relationships/hyperlink" Target="../Docs/R1-2311025.zip" TargetMode="External"/><Relationship Id="rId1882" Type="http://schemas.openxmlformats.org/officeDocument/2006/relationships/hyperlink" Target="../Docs/R1-2311530.zip" TargetMode="External"/><Relationship Id="rId2421" Type="http://schemas.openxmlformats.org/officeDocument/2006/relationships/hyperlink" Target="https://www.3gpp.org/ftp/TSG_RAN/WG1_RL1/TSGR1_115/Docs/R1-2312658.zip" TargetMode="External"/><Relationship Id="rId2519" Type="http://schemas.openxmlformats.org/officeDocument/2006/relationships/hyperlink" Target="https://portal.3gpp.org/desktopmodules/Specifications/SpecificationDetails.aspx?specificationId=3215" TargetMode="External"/><Relationship Id="rId2726" Type="http://schemas.openxmlformats.org/officeDocument/2006/relationships/hyperlink" Target="https://portal.3gpp.org/desktopmodules/Release/ReleaseDetails.aspx?releaseId=193" TargetMode="External"/><Relationship Id="rId600" Type="http://schemas.openxmlformats.org/officeDocument/2006/relationships/hyperlink" Target="../Docs/R1-2311308.zip" TargetMode="External"/><Relationship Id="rId1230" Type="http://schemas.openxmlformats.org/officeDocument/2006/relationships/hyperlink" Target="../Docs/R1-2311465.zip" TargetMode="External"/><Relationship Id="rId1328" Type="http://schemas.openxmlformats.org/officeDocument/2006/relationships/hyperlink" Target="../Docs/R1-2312347.zip" TargetMode="External"/><Relationship Id="rId1535" Type="http://schemas.openxmlformats.org/officeDocument/2006/relationships/hyperlink" Target="../Docs/R1-2311108.zip" TargetMode="External"/><Relationship Id="rId2933" Type="http://schemas.openxmlformats.org/officeDocument/2006/relationships/hyperlink" Target="../Docs/R1-2312708.zip" TargetMode="External"/><Relationship Id="rId905" Type="http://schemas.openxmlformats.org/officeDocument/2006/relationships/hyperlink" Target="../Docs/R1-2311319.zip" TargetMode="External"/><Relationship Id="rId1742" Type="http://schemas.openxmlformats.org/officeDocument/2006/relationships/hyperlink" Target="../Docs/R1-2310916.zip" TargetMode="External"/><Relationship Id="rId34" Type="http://schemas.openxmlformats.org/officeDocument/2006/relationships/hyperlink" Target="../Docs/R1-2311454.zip" TargetMode="External"/><Relationship Id="rId1602" Type="http://schemas.openxmlformats.org/officeDocument/2006/relationships/hyperlink" Target="../Docs/R1-2312398.zip" TargetMode="External"/><Relationship Id="rId183" Type="http://schemas.openxmlformats.org/officeDocument/2006/relationships/hyperlink" Target="../Docs/R1-2312340.zip" TargetMode="External"/><Relationship Id="rId390" Type="http://schemas.openxmlformats.org/officeDocument/2006/relationships/hyperlink" Target="../Docs/R1-2310960.zip" TargetMode="External"/><Relationship Id="rId1907" Type="http://schemas.openxmlformats.org/officeDocument/2006/relationships/hyperlink" Target="../Docs/R1-2312383.zip" TargetMode="External"/><Relationship Id="rId2071" Type="http://schemas.openxmlformats.org/officeDocument/2006/relationships/hyperlink" Target="../Docs/R1-2311982.zip" TargetMode="External"/><Relationship Id="rId250" Type="http://schemas.openxmlformats.org/officeDocument/2006/relationships/hyperlink" Target="../Docs/R1-2312014.zip" TargetMode="External"/><Relationship Id="rId488" Type="http://schemas.openxmlformats.org/officeDocument/2006/relationships/hyperlink" Target="../Docs/R1-2312489.zip" TargetMode="External"/><Relationship Id="rId695" Type="http://schemas.openxmlformats.org/officeDocument/2006/relationships/hyperlink" Target="../Docs/R1-2311473.zip" TargetMode="External"/><Relationship Id="rId2169" Type="http://schemas.openxmlformats.org/officeDocument/2006/relationships/hyperlink" Target="../Docs/R1-2310881.zip" TargetMode="External"/><Relationship Id="rId2376" Type="http://schemas.openxmlformats.org/officeDocument/2006/relationships/hyperlink" Target="https://portal.3gpp.org/desktopmodules/WorkItem/WorkItemDetails.aspx?workitemId=900160" TargetMode="External"/><Relationship Id="rId2583" Type="http://schemas.openxmlformats.org/officeDocument/2006/relationships/hyperlink" Target="https://portal.3gpp.org/desktopmodules/Specifications/SpecificationDetails.aspx?specificationId=3214" TargetMode="External"/><Relationship Id="rId2790" Type="http://schemas.openxmlformats.org/officeDocument/2006/relationships/hyperlink" Target="https://portal.3gpp.org/desktopmodules/Release/ReleaseDetails.aspx?releaseId=193" TargetMode="External"/><Relationship Id="rId110" Type="http://schemas.openxmlformats.org/officeDocument/2006/relationships/hyperlink" Target="../Docs/R1-2311470.zip" TargetMode="External"/><Relationship Id="rId348" Type="http://schemas.openxmlformats.org/officeDocument/2006/relationships/hyperlink" Target="../Docs/R1-2312628.zip" TargetMode="External"/><Relationship Id="rId555" Type="http://schemas.openxmlformats.org/officeDocument/2006/relationships/hyperlink" Target="../Docs/R1-2310834.zip" TargetMode="External"/><Relationship Id="rId762" Type="http://schemas.openxmlformats.org/officeDocument/2006/relationships/hyperlink" Target="../Docs/R1-2311591.zip" TargetMode="External"/><Relationship Id="rId1185" Type="http://schemas.openxmlformats.org/officeDocument/2006/relationships/hyperlink" Target="../Docs/R1-2310979.zip" TargetMode="External"/><Relationship Id="rId1392" Type="http://schemas.openxmlformats.org/officeDocument/2006/relationships/image" Target="media/image72.png"/><Relationship Id="rId2029" Type="http://schemas.openxmlformats.org/officeDocument/2006/relationships/hyperlink" Target="../Docs/R1-2311708.zip" TargetMode="External"/><Relationship Id="rId2236" Type="http://schemas.openxmlformats.org/officeDocument/2006/relationships/hyperlink" Target="https://portal.3gpp.org/desktopmodules/Release/ReleaseDetails.aspx?releaseId=192" TargetMode="External"/><Relationship Id="rId2443" Type="http://schemas.openxmlformats.org/officeDocument/2006/relationships/hyperlink" Target="https://www.3gpp.org/ftp/TSG_RAN/WG1_RL1/TSGR1_115/Docs/R1-2312691.zip" TargetMode="External"/><Relationship Id="rId2650" Type="http://schemas.openxmlformats.org/officeDocument/2006/relationships/hyperlink" Target="https://portal.3gpp.org/desktopmodules/Release/ReleaseDetails.aspx?releaseId=193" TargetMode="External"/><Relationship Id="rId2888" Type="http://schemas.openxmlformats.org/officeDocument/2006/relationships/hyperlink" Target="https://portal.3gpp.org/desktopmodules/Release/ReleaseDetails.aspx?releaseId=193" TargetMode="External"/><Relationship Id="rId208" Type="http://schemas.openxmlformats.org/officeDocument/2006/relationships/hyperlink" Target="../Docs/R1-2311064.zip" TargetMode="External"/><Relationship Id="rId415" Type="http://schemas.openxmlformats.org/officeDocument/2006/relationships/hyperlink" Target="../Docs/R1-2311804.zip" TargetMode="External"/><Relationship Id="rId622" Type="http://schemas.openxmlformats.org/officeDocument/2006/relationships/hyperlink" Target="../Docs/R1-2311778.zip" TargetMode="External"/><Relationship Id="rId1045" Type="http://schemas.openxmlformats.org/officeDocument/2006/relationships/hyperlink" Target="../Docs/R1-2312259.zip" TargetMode="External"/><Relationship Id="rId1252" Type="http://schemas.openxmlformats.org/officeDocument/2006/relationships/hyperlink" Target="../Docs/R1-2312342.zip" TargetMode="External"/><Relationship Id="rId1697" Type="http://schemas.openxmlformats.org/officeDocument/2006/relationships/hyperlink" Target="../Docs/R1-2312655.zip" TargetMode="External"/><Relationship Id="rId2303" Type="http://schemas.openxmlformats.org/officeDocument/2006/relationships/hyperlink" Target="https://portal.3gpp.org/desktopmodules/Specifications/SpecificationDetails.aspx?specificationId=2427" TargetMode="External"/><Relationship Id="rId2510" Type="http://schemas.openxmlformats.org/officeDocument/2006/relationships/hyperlink" Target="https://portal.3gpp.org/desktopmodules/Release/ReleaseDetails.aspx?releaseId=193" TargetMode="External"/><Relationship Id="rId2748" Type="http://schemas.openxmlformats.org/officeDocument/2006/relationships/hyperlink" Target="https://portal.3gpp.org/desktopmodules/WorkItem/WorkItemDetails.aspx?workitemId=940198" TargetMode="External"/><Relationship Id="rId2955" Type="http://schemas.openxmlformats.org/officeDocument/2006/relationships/hyperlink" Target="../Docs/R1-2312808.zip" TargetMode="External"/><Relationship Id="rId927" Type="http://schemas.openxmlformats.org/officeDocument/2006/relationships/hyperlink" Target="../Docs/R1-2310925.zip" TargetMode="External"/><Relationship Id="rId1112" Type="http://schemas.openxmlformats.org/officeDocument/2006/relationships/hyperlink" Target="../Docs/R1-2311457.zip" TargetMode="External"/><Relationship Id="rId1557" Type="http://schemas.openxmlformats.org/officeDocument/2006/relationships/hyperlink" Target="../Docs/R1-2311109.zip" TargetMode="External"/><Relationship Id="rId1764" Type="http://schemas.openxmlformats.org/officeDocument/2006/relationships/hyperlink" Target="../Docs/R1-2312672.zip" TargetMode="External"/><Relationship Id="rId1971" Type="http://schemas.openxmlformats.org/officeDocument/2006/relationships/hyperlink" Target="../Docs/R1-2312150.zip" TargetMode="External"/><Relationship Id="rId2608" Type="http://schemas.openxmlformats.org/officeDocument/2006/relationships/hyperlink" Target="https://portal.3gpp.org/desktopmodules/WorkItem/WorkItemDetails.aspx?workitemId=940196" TargetMode="External"/><Relationship Id="rId2815" Type="http://schemas.openxmlformats.org/officeDocument/2006/relationships/hyperlink" Target="https://portal.3gpp.org/desktopmodules/Release/ReleaseDetails.aspx?releaseId=193" TargetMode="External"/><Relationship Id="rId56" Type="http://schemas.openxmlformats.org/officeDocument/2006/relationships/hyperlink" Target="../Docs/R1-2310789.zip" TargetMode="External"/><Relationship Id="rId1417" Type="http://schemas.openxmlformats.org/officeDocument/2006/relationships/hyperlink" Target="../Docs/R1-2311897.zip" TargetMode="External"/><Relationship Id="rId1624" Type="http://schemas.openxmlformats.org/officeDocument/2006/relationships/hyperlink" Target="../Docs/R1-2311197.zip" TargetMode="External"/><Relationship Id="rId1831" Type="http://schemas.openxmlformats.org/officeDocument/2006/relationships/hyperlink" Target="../Docs/R1-2311114.zip" TargetMode="External"/><Relationship Id="rId1929" Type="http://schemas.openxmlformats.org/officeDocument/2006/relationships/hyperlink" Target="../Docs/R1-2312414.zip" TargetMode="External"/><Relationship Id="rId2093" Type="http://schemas.openxmlformats.org/officeDocument/2006/relationships/hyperlink" Target="../Docs/R1-2310850.zip" TargetMode="External"/><Relationship Id="rId2398" Type="http://schemas.openxmlformats.org/officeDocument/2006/relationships/hyperlink" Target="https://portal.3gpp.org/desktopmodules/Specifications/SpecificationDetails.aspx?specificationId=3215" TargetMode="External"/><Relationship Id="rId272" Type="http://schemas.openxmlformats.org/officeDocument/2006/relationships/hyperlink" Target="../Docs/R1-2311448.zip" TargetMode="External"/><Relationship Id="rId577" Type="http://schemas.openxmlformats.org/officeDocument/2006/relationships/hyperlink" Target="../Docs/R1-2311307.zip" TargetMode="External"/><Relationship Id="rId2160" Type="http://schemas.openxmlformats.org/officeDocument/2006/relationships/hyperlink" Target="../Docs/R1-2311651.zip" TargetMode="External"/><Relationship Id="rId2258" Type="http://schemas.openxmlformats.org/officeDocument/2006/relationships/hyperlink" Target="https://portal.3gpp.org/desktopmodules/Release/ReleaseDetails.aspx?releaseId=192" TargetMode="External"/><Relationship Id="rId3004" Type="http://schemas.openxmlformats.org/officeDocument/2006/relationships/hyperlink" Target="../Docs/R1-2312748.zip" TargetMode="External"/><Relationship Id="rId132" Type="http://schemas.openxmlformats.org/officeDocument/2006/relationships/hyperlink" Target="../Docs/R1-2312198.zip" TargetMode="External"/><Relationship Id="rId784" Type="http://schemas.openxmlformats.org/officeDocument/2006/relationships/image" Target="media/image39.png"/><Relationship Id="rId991" Type="http://schemas.openxmlformats.org/officeDocument/2006/relationships/hyperlink" Target="../Docs/R1-2312251.zip" TargetMode="External"/><Relationship Id="rId1067" Type="http://schemas.openxmlformats.org/officeDocument/2006/relationships/hyperlink" Target="../Docs/R1-2312262.zip" TargetMode="External"/><Relationship Id="rId2020" Type="http://schemas.openxmlformats.org/officeDocument/2006/relationships/hyperlink" Target="../Docs/R1-2311147.zip" TargetMode="External"/><Relationship Id="rId2465" Type="http://schemas.openxmlformats.org/officeDocument/2006/relationships/hyperlink" Target="https://portal.3gpp.org/desktopmodules/Specifications/SpecificationDetails.aspx?specificationId=3216" TargetMode="External"/><Relationship Id="rId2672" Type="http://schemas.openxmlformats.org/officeDocument/2006/relationships/hyperlink" Target="https://portal.3gpp.org/desktopmodules/WorkItem/WorkItemDetails.aspx?workitemId=1001061" TargetMode="External"/><Relationship Id="rId437" Type="http://schemas.openxmlformats.org/officeDocument/2006/relationships/hyperlink" Target="../Docs/R1-2312076.zip" TargetMode="External"/><Relationship Id="rId644" Type="http://schemas.openxmlformats.org/officeDocument/2006/relationships/hyperlink" Target="../Docs/R1-2311822.zip" TargetMode="External"/><Relationship Id="rId851" Type="http://schemas.openxmlformats.org/officeDocument/2006/relationships/hyperlink" Target="../Docs/R1-2311086.zip" TargetMode="External"/><Relationship Id="rId1274" Type="http://schemas.openxmlformats.org/officeDocument/2006/relationships/hyperlink" Target="../Docs/R1-2311346.zip" TargetMode="External"/><Relationship Id="rId1481" Type="http://schemas.openxmlformats.org/officeDocument/2006/relationships/hyperlink" Target="../Docs/R1-2311443.zip" TargetMode="External"/><Relationship Id="rId1579" Type="http://schemas.openxmlformats.org/officeDocument/2006/relationships/hyperlink" Target="../Docs/R1-2312111.zip" TargetMode="External"/><Relationship Id="rId2118" Type="http://schemas.openxmlformats.org/officeDocument/2006/relationships/hyperlink" Target="../Docs/R1-2311505.zip" TargetMode="External"/><Relationship Id="rId2325" Type="http://schemas.openxmlformats.org/officeDocument/2006/relationships/hyperlink" Target="https://www.3gpp.org/ftp/TSG_RAN/WG1_RL1/TSGR1_115/Docs/R1-2312528.zip" TargetMode="External"/><Relationship Id="rId2532" Type="http://schemas.openxmlformats.org/officeDocument/2006/relationships/hyperlink" Target="https://portal.3gpp.org/desktopmodules/WorkItem/WorkItemDetails.aspx?workitemId=981138" TargetMode="External"/><Relationship Id="rId2977" Type="http://schemas.openxmlformats.org/officeDocument/2006/relationships/hyperlink" Target="../Docs/R1-2312813.zip" TargetMode="External"/><Relationship Id="rId504" Type="http://schemas.openxmlformats.org/officeDocument/2006/relationships/image" Target="media/image15.wmf"/><Relationship Id="rId711" Type="http://schemas.openxmlformats.org/officeDocument/2006/relationships/hyperlink" Target="../Docs/R1-2312701.zip" TargetMode="External"/><Relationship Id="rId949" Type="http://schemas.openxmlformats.org/officeDocument/2006/relationships/hyperlink" Target="../Docs/R1-2312169.zip" TargetMode="External"/><Relationship Id="rId1134" Type="http://schemas.openxmlformats.org/officeDocument/2006/relationships/hyperlink" Target="../Docs/R1-2311458.zip" TargetMode="External"/><Relationship Id="rId1341" Type="http://schemas.openxmlformats.org/officeDocument/2006/relationships/oleObject" Target="embeddings/oleObject29.bin"/><Relationship Id="rId1786" Type="http://schemas.openxmlformats.org/officeDocument/2006/relationships/hyperlink" Target="../Docs/R1-2310939.zip" TargetMode="External"/><Relationship Id="rId1993" Type="http://schemas.openxmlformats.org/officeDocument/2006/relationships/hyperlink" Target="../Docs/R1-2311642.zip" TargetMode="External"/><Relationship Id="rId2837" Type="http://schemas.openxmlformats.org/officeDocument/2006/relationships/hyperlink" Target="../Docs/R1-2310791.zip" TargetMode="External"/><Relationship Id="rId78" Type="http://schemas.openxmlformats.org/officeDocument/2006/relationships/hyperlink" Target="../Docs/R1-2311313.zip" TargetMode="External"/><Relationship Id="rId809" Type="http://schemas.openxmlformats.org/officeDocument/2006/relationships/hyperlink" Target="../Docs/R1-2311740.zip" TargetMode="External"/><Relationship Id="rId1201" Type="http://schemas.openxmlformats.org/officeDocument/2006/relationships/hyperlink" Target="../Docs/R1-2310841.zip" TargetMode="External"/><Relationship Id="rId1439" Type="http://schemas.openxmlformats.org/officeDocument/2006/relationships/hyperlink" Target="../Docs/R1-2312275.zip" TargetMode="External"/><Relationship Id="rId1646" Type="http://schemas.openxmlformats.org/officeDocument/2006/relationships/hyperlink" Target="../Docs/R1-2312541.zip" TargetMode="External"/><Relationship Id="rId1853" Type="http://schemas.openxmlformats.org/officeDocument/2006/relationships/hyperlink" Target="../Docs/R1-2311940.zip" TargetMode="External"/><Relationship Id="rId2904" Type="http://schemas.openxmlformats.org/officeDocument/2006/relationships/hyperlink" Target="https://portal.3gpp.org/desktopmodules/WorkItem/WorkItemDetails.aspx?workitemId=920003" TargetMode="External"/><Relationship Id="rId1506" Type="http://schemas.openxmlformats.org/officeDocument/2006/relationships/hyperlink" Target="../Docs/R1-2311426.zip" TargetMode="External"/><Relationship Id="rId1713" Type="http://schemas.openxmlformats.org/officeDocument/2006/relationships/hyperlink" Target="../Docs/R1-2310917.zip" TargetMode="External"/><Relationship Id="rId1920" Type="http://schemas.openxmlformats.org/officeDocument/2006/relationships/image" Target="media/image95.png"/><Relationship Id="rId294" Type="http://schemas.openxmlformats.org/officeDocument/2006/relationships/image" Target="media/image13.wmf"/><Relationship Id="rId2182" Type="http://schemas.openxmlformats.org/officeDocument/2006/relationships/hyperlink" Target="../Docs/R1-2312612.zip" TargetMode="External"/><Relationship Id="rId3026" Type="http://schemas.openxmlformats.org/officeDocument/2006/relationships/hyperlink" Target="../Docs/R1-2312756.zip" TargetMode="External"/><Relationship Id="rId154" Type="http://schemas.openxmlformats.org/officeDocument/2006/relationships/hyperlink" Target="../Docs/R1-2311738.zip" TargetMode="External"/><Relationship Id="rId361" Type="http://schemas.openxmlformats.org/officeDocument/2006/relationships/hyperlink" Target="../Docs/R1-2312592.zip" TargetMode="External"/><Relationship Id="rId599" Type="http://schemas.openxmlformats.org/officeDocument/2006/relationships/hyperlink" Target="../Docs/R1-2312024.zip" TargetMode="External"/><Relationship Id="rId2042" Type="http://schemas.openxmlformats.org/officeDocument/2006/relationships/hyperlink" Target="../Docs/R1-2311331.zip" TargetMode="External"/><Relationship Id="rId2487" Type="http://schemas.openxmlformats.org/officeDocument/2006/relationships/hyperlink" Target="https://portal.3gpp.org/desktopmodules/Release/ReleaseDetails.aspx?releaseId=192" TargetMode="External"/><Relationship Id="rId2694" Type="http://schemas.openxmlformats.org/officeDocument/2006/relationships/hyperlink" Target="https://portal.3gpp.org/desktopmodules/Release/ReleaseDetails.aspx?releaseId=193" TargetMode="External"/><Relationship Id="rId459" Type="http://schemas.openxmlformats.org/officeDocument/2006/relationships/hyperlink" Target="../Docs/R1-2311081.zip" TargetMode="External"/><Relationship Id="rId666" Type="http://schemas.openxmlformats.org/officeDocument/2006/relationships/hyperlink" Target="../Docs/R1-2312166.zip" TargetMode="External"/><Relationship Id="rId873" Type="http://schemas.openxmlformats.org/officeDocument/2006/relationships/hyperlink" Target="../Docs/R1-2310870.zip" TargetMode="External"/><Relationship Id="rId1089" Type="http://schemas.openxmlformats.org/officeDocument/2006/relationships/hyperlink" Target="../Docs/R1-2311559.zip" TargetMode="External"/><Relationship Id="rId1296" Type="http://schemas.openxmlformats.org/officeDocument/2006/relationships/hyperlink" Target="../Docs/R1-2312281.zip" TargetMode="External"/><Relationship Id="rId2347" Type="http://schemas.openxmlformats.org/officeDocument/2006/relationships/hyperlink" Target="https://portal.3gpp.org/desktopmodules/Release/ReleaseDetails.aspx?releaseId=193" TargetMode="External"/><Relationship Id="rId2554" Type="http://schemas.openxmlformats.org/officeDocument/2006/relationships/hyperlink" Target="https://portal.3gpp.org/desktopmodules/Release/ReleaseDetails.aspx?releaseId=193" TargetMode="External"/><Relationship Id="rId2999" Type="http://schemas.openxmlformats.org/officeDocument/2006/relationships/hyperlink" Target="../Docs/R1-2312755.zip" TargetMode="External"/><Relationship Id="rId221" Type="http://schemas.openxmlformats.org/officeDocument/2006/relationships/hyperlink" Target="../Docs/R1-2311467.zip" TargetMode="External"/><Relationship Id="rId319" Type="http://schemas.openxmlformats.org/officeDocument/2006/relationships/hyperlink" Target="../Docs/R1-2312206.zip" TargetMode="External"/><Relationship Id="rId526" Type="http://schemas.openxmlformats.org/officeDocument/2006/relationships/oleObject" Target="embeddings/oleObject20.bin"/><Relationship Id="rId1156" Type="http://schemas.openxmlformats.org/officeDocument/2006/relationships/hyperlink" Target="../Docs/R1-2312630.zip" TargetMode="External"/><Relationship Id="rId1363" Type="http://schemas.openxmlformats.org/officeDocument/2006/relationships/hyperlink" Target="../Docs/R1-2311764.zip" TargetMode="External"/><Relationship Id="rId2207" Type="http://schemas.openxmlformats.org/officeDocument/2006/relationships/hyperlink" Target="../Docs/R1-2312086.zip" TargetMode="External"/><Relationship Id="rId2761" Type="http://schemas.openxmlformats.org/officeDocument/2006/relationships/hyperlink" Target="https://portal.3gpp.org/desktopmodules/WorkItem/WorkItemDetails.aspx?workitemId=940196" TargetMode="External"/><Relationship Id="rId2859" Type="http://schemas.openxmlformats.org/officeDocument/2006/relationships/hyperlink" Target="https://portal.3gpp.org/desktopmodules/Release/ReleaseDetails.aspx?releaseId=193" TargetMode="External"/><Relationship Id="rId733" Type="http://schemas.openxmlformats.org/officeDocument/2006/relationships/hyperlink" Target="../Docs/R1-2312539.zip" TargetMode="External"/><Relationship Id="rId940" Type="http://schemas.openxmlformats.org/officeDocument/2006/relationships/hyperlink" Target="../Docs/R1-2311590.zip" TargetMode="External"/><Relationship Id="rId1016" Type="http://schemas.openxmlformats.org/officeDocument/2006/relationships/hyperlink" Target="../Docs/R1-2311838.zip" TargetMode="External"/><Relationship Id="rId1570" Type="http://schemas.openxmlformats.org/officeDocument/2006/relationships/hyperlink" Target="../Docs/R1-2311771.zip" TargetMode="External"/><Relationship Id="rId1668" Type="http://schemas.openxmlformats.org/officeDocument/2006/relationships/hyperlink" Target="../Docs/R1-2312115.zip" TargetMode="External"/><Relationship Id="rId1875" Type="http://schemas.openxmlformats.org/officeDocument/2006/relationships/hyperlink" Target="../Docs/R1-2311327.zip" TargetMode="External"/><Relationship Id="rId2414" Type="http://schemas.openxmlformats.org/officeDocument/2006/relationships/hyperlink" Target="https://portal.3gpp.org/desktopmodules/Release/ReleaseDetails.aspx?releaseId=192" TargetMode="External"/><Relationship Id="rId2621" Type="http://schemas.openxmlformats.org/officeDocument/2006/relationships/hyperlink" Target="https://www.3gpp.org/ftp/TSG_RAN/WG1_RL1/TSGR1_115/Docs/R1-2312753.zip" TargetMode="External"/><Relationship Id="rId2719" Type="http://schemas.openxmlformats.org/officeDocument/2006/relationships/hyperlink" Target="https://portal.3gpp.org/desktopmodules/Specifications/SpecificationDetails.aspx?specificationId=3216" TargetMode="External"/><Relationship Id="rId800" Type="http://schemas.openxmlformats.org/officeDocument/2006/relationships/hyperlink" Target="../Docs/R1-2311362.zip" TargetMode="External"/><Relationship Id="rId1223" Type="http://schemas.openxmlformats.org/officeDocument/2006/relationships/hyperlink" Target="../Docs/R1-2312394.zip" TargetMode="External"/><Relationship Id="rId1430" Type="http://schemas.openxmlformats.org/officeDocument/2006/relationships/hyperlink" Target="../Docs/R1-2312680.zip" TargetMode="External"/><Relationship Id="rId1528" Type="http://schemas.openxmlformats.org/officeDocument/2006/relationships/hyperlink" Target="../Docs/R1-2312274.zip" TargetMode="External"/><Relationship Id="rId2926" Type="http://schemas.openxmlformats.org/officeDocument/2006/relationships/hyperlink" Target="https://portal.3gpp.org/desktopmodules/WorkItem/WorkItemDetails.aspx?workitemId=940197" TargetMode="External"/><Relationship Id="rId1735" Type="http://schemas.openxmlformats.org/officeDocument/2006/relationships/hyperlink" Target="../Docs/R1-2311805.zip" TargetMode="External"/><Relationship Id="rId1942" Type="http://schemas.openxmlformats.org/officeDocument/2006/relationships/hyperlink" Target="../Docs/R1-2311204.zip" TargetMode="External"/><Relationship Id="rId27" Type="http://schemas.openxmlformats.org/officeDocument/2006/relationships/hyperlink" Target="../Docs/R1-2311132.zip" TargetMode="External"/><Relationship Id="rId1802" Type="http://schemas.openxmlformats.org/officeDocument/2006/relationships/hyperlink" Target="../Docs/R1-2311181.zip" TargetMode="External"/><Relationship Id="rId3048" Type="http://schemas.microsoft.com/office/2011/relationships/people" Target="people.xml"/><Relationship Id="rId176" Type="http://schemas.openxmlformats.org/officeDocument/2006/relationships/hyperlink" Target="../Docs/R1-2311057.zip" TargetMode="External"/><Relationship Id="rId383" Type="http://schemas.openxmlformats.org/officeDocument/2006/relationships/hyperlink" Target="../Docs/R1-2311818.zip" TargetMode="External"/><Relationship Id="rId590" Type="http://schemas.openxmlformats.org/officeDocument/2006/relationships/hyperlink" Target="../Docs/R1-2312143.zip" TargetMode="External"/><Relationship Id="rId2064" Type="http://schemas.openxmlformats.org/officeDocument/2006/relationships/hyperlink" Target="../Docs/R1-2311557.zip" TargetMode="External"/><Relationship Id="rId2271" Type="http://schemas.openxmlformats.org/officeDocument/2006/relationships/hyperlink" Target="https://portal.3gpp.org/desktopmodules/Specifications/SpecificationDetails.aspx?specificationId=3215" TargetMode="External"/><Relationship Id="rId243" Type="http://schemas.openxmlformats.org/officeDocument/2006/relationships/hyperlink" Target="../Docs/R1-2310807.zip" TargetMode="External"/><Relationship Id="rId450" Type="http://schemas.openxmlformats.org/officeDocument/2006/relationships/hyperlink" Target="../Docs/R1-2310963.zip" TargetMode="External"/><Relationship Id="rId688" Type="http://schemas.openxmlformats.org/officeDocument/2006/relationships/hyperlink" Target="../Docs/R1-2312644.zip" TargetMode="External"/><Relationship Id="rId895" Type="http://schemas.openxmlformats.org/officeDocument/2006/relationships/oleObject" Target="embeddings/oleObject25.bin"/><Relationship Id="rId1080" Type="http://schemas.openxmlformats.org/officeDocument/2006/relationships/hyperlink" Target="../Docs/R1-2310815.zip" TargetMode="External"/><Relationship Id="rId2131" Type="http://schemas.openxmlformats.org/officeDocument/2006/relationships/hyperlink" Target="../Docs/R1-2310897.zip" TargetMode="External"/><Relationship Id="rId2369" Type="http://schemas.openxmlformats.org/officeDocument/2006/relationships/hyperlink" Target="https://portal.3gpp.org/desktopmodules/Specifications/SpecificationDetails.aspx?specificationId=3215" TargetMode="External"/><Relationship Id="rId2576" Type="http://schemas.openxmlformats.org/officeDocument/2006/relationships/hyperlink" Target="https://portal.3gpp.org/desktopmodules/WorkItem/WorkItemDetails.aspx?workitemId=940196" TargetMode="External"/><Relationship Id="rId2783" Type="http://schemas.openxmlformats.org/officeDocument/2006/relationships/hyperlink" Target="https://www.3gpp.org/ftp/TSG_RAN/WG1_RL1/TSGR1_115/Docs/R1-2312630.zip" TargetMode="External"/><Relationship Id="rId2990" Type="http://schemas.openxmlformats.org/officeDocument/2006/relationships/hyperlink" Target="../Docs/R1-2312733.zip" TargetMode="External"/><Relationship Id="rId103" Type="http://schemas.openxmlformats.org/officeDocument/2006/relationships/hyperlink" Target="../Docs/R1-2306259.zip" TargetMode="External"/><Relationship Id="rId310" Type="http://schemas.openxmlformats.org/officeDocument/2006/relationships/hyperlink" Target="../Docs/R1-2312530.zip" TargetMode="External"/><Relationship Id="rId548" Type="http://schemas.openxmlformats.org/officeDocument/2006/relationships/hyperlink" Target="../Docs/R1-2311302.zip" TargetMode="External"/><Relationship Id="rId755" Type="http://schemas.openxmlformats.org/officeDocument/2006/relationships/hyperlink" Target="../Docs/R1-2311361.zip" TargetMode="External"/><Relationship Id="rId962" Type="http://schemas.openxmlformats.org/officeDocument/2006/relationships/hyperlink" Target="../Docs/R1-2310811.zip" TargetMode="External"/><Relationship Id="rId1178" Type="http://schemas.openxmlformats.org/officeDocument/2006/relationships/hyperlink" Target="../Docs/R1-2312392.zip" TargetMode="External"/><Relationship Id="rId1385" Type="http://schemas.openxmlformats.org/officeDocument/2006/relationships/image" Target="media/image65.png"/><Relationship Id="rId1592" Type="http://schemas.openxmlformats.org/officeDocument/2006/relationships/hyperlink" Target="../Docs/R1-2311356.zip" TargetMode="External"/><Relationship Id="rId2229" Type="http://schemas.openxmlformats.org/officeDocument/2006/relationships/hyperlink" Target="../Docs/R1-2312624.zip" TargetMode="External"/><Relationship Id="rId2436" Type="http://schemas.openxmlformats.org/officeDocument/2006/relationships/hyperlink" Target="https://portal.3gpp.org/desktopmodules/Specifications/SpecificationDetails.aspx?specificationId=3214" TargetMode="External"/><Relationship Id="rId2643" Type="http://schemas.openxmlformats.org/officeDocument/2006/relationships/hyperlink" Target="https://portal.3gpp.org/desktopmodules/Specifications/SpecificationDetails.aspx?specificationId=3216" TargetMode="External"/><Relationship Id="rId2850" Type="http://schemas.openxmlformats.org/officeDocument/2006/relationships/hyperlink" Target="../Docs/R1-2310795.zip" TargetMode="External"/><Relationship Id="rId91" Type="http://schemas.openxmlformats.org/officeDocument/2006/relationships/hyperlink" Target="../Docs/R1-2311469.zip" TargetMode="External"/><Relationship Id="rId408" Type="http://schemas.openxmlformats.org/officeDocument/2006/relationships/hyperlink" Target="../Docs/R1-2312598.zip" TargetMode="External"/><Relationship Id="rId615" Type="http://schemas.openxmlformats.org/officeDocument/2006/relationships/hyperlink" Target="../Docs/R1-2312476.zip" TargetMode="External"/><Relationship Id="rId822" Type="http://schemas.openxmlformats.org/officeDocument/2006/relationships/hyperlink" Target="../Docs/R1-2311085.zip" TargetMode="External"/><Relationship Id="rId1038" Type="http://schemas.openxmlformats.org/officeDocument/2006/relationships/hyperlink" Target="../Docs/R1-2311338.zip" TargetMode="External"/><Relationship Id="rId1245" Type="http://schemas.openxmlformats.org/officeDocument/2006/relationships/hyperlink" Target="../Docs/R1-2311625.zip" TargetMode="External"/><Relationship Id="rId1452" Type="http://schemas.openxmlformats.org/officeDocument/2006/relationships/hyperlink" Target="../Docs/R1-2311510.zip" TargetMode="External"/><Relationship Id="rId1897" Type="http://schemas.openxmlformats.org/officeDocument/2006/relationships/hyperlink" Target="../Docs/R1-2312333.zip" TargetMode="External"/><Relationship Id="rId2503" Type="http://schemas.openxmlformats.org/officeDocument/2006/relationships/hyperlink" Target="https://portal.3gpp.org/desktopmodules/Specifications/SpecificationDetails.aspx?specificationId=3215" TargetMode="External"/><Relationship Id="rId2948" Type="http://schemas.openxmlformats.org/officeDocument/2006/relationships/hyperlink" Target="../Docs/R1-2312749.zip" TargetMode="External"/><Relationship Id="rId1105" Type="http://schemas.openxmlformats.org/officeDocument/2006/relationships/hyperlink" Target="../Docs/R1-2310816.zip" TargetMode="External"/><Relationship Id="rId1312" Type="http://schemas.openxmlformats.org/officeDocument/2006/relationships/hyperlink" Target="../Docs/R1-2311546.zip" TargetMode="External"/><Relationship Id="rId1757" Type="http://schemas.openxmlformats.org/officeDocument/2006/relationships/hyperlink" Target="../Docs/R1-2312091.zip" TargetMode="External"/><Relationship Id="rId1964" Type="http://schemas.openxmlformats.org/officeDocument/2006/relationships/hyperlink" Target="../Docs/R1-2310941.zip" TargetMode="External"/><Relationship Id="rId2710" Type="http://schemas.openxmlformats.org/officeDocument/2006/relationships/hyperlink" Target="https://portal.3gpp.org/desktopmodules/Release/ReleaseDetails.aspx?releaseId=193" TargetMode="External"/><Relationship Id="rId2808" Type="http://schemas.openxmlformats.org/officeDocument/2006/relationships/hyperlink" Target="https://www.3gpp.org/ftp/TSG_RAN/WG1_RL1/TSGR1_115/Docs/R1-2312710.zip" TargetMode="External"/><Relationship Id="rId49" Type="http://schemas.openxmlformats.org/officeDocument/2006/relationships/hyperlink" Target="../Docs/R1-2311154.zip" TargetMode="External"/><Relationship Id="rId1617" Type="http://schemas.openxmlformats.org/officeDocument/2006/relationships/hyperlink" Target="../Docs/R1-2312367.zip" TargetMode="External"/><Relationship Id="rId1824" Type="http://schemas.openxmlformats.org/officeDocument/2006/relationships/hyperlink" Target="../Docs/R1-2312055.zip" TargetMode="External"/><Relationship Id="rId198" Type="http://schemas.openxmlformats.org/officeDocument/2006/relationships/hyperlink" Target="../Docs/R1-2312448.zip" TargetMode="External"/><Relationship Id="rId2086" Type="http://schemas.openxmlformats.org/officeDocument/2006/relationships/hyperlink" Target="../Docs/R1-2311872.zip" TargetMode="External"/><Relationship Id="rId2293" Type="http://schemas.openxmlformats.org/officeDocument/2006/relationships/hyperlink" Target="https://www.3gpp.org/ftp/TSG_RAN/WG1_RL1/TSGR1_115/Docs/R1-2312484.zip" TargetMode="External"/><Relationship Id="rId2598" Type="http://schemas.openxmlformats.org/officeDocument/2006/relationships/hyperlink" Target="https://portal.3gpp.org/desktopmodules/Release/ReleaseDetails.aspx?releaseId=193" TargetMode="External"/><Relationship Id="rId265" Type="http://schemas.openxmlformats.org/officeDocument/2006/relationships/hyperlink" Target="../Docs/R1-2310918.zip" TargetMode="External"/><Relationship Id="rId472" Type="http://schemas.openxmlformats.org/officeDocument/2006/relationships/hyperlink" Target="../Docs/R1-2312378.zip" TargetMode="External"/><Relationship Id="rId2153" Type="http://schemas.openxmlformats.org/officeDocument/2006/relationships/hyperlink" Target="../Docs/R1-2310886.zip" TargetMode="External"/><Relationship Id="rId2360" Type="http://schemas.openxmlformats.org/officeDocument/2006/relationships/hyperlink" Target="https://portal.3gpp.org/desktopmodules/Specifications/SpecificationDetails.aspx?specificationId=3215" TargetMode="External"/><Relationship Id="rId125" Type="http://schemas.openxmlformats.org/officeDocument/2006/relationships/hyperlink" Target="../Docs/R1-2312116.zip" TargetMode="External"/><Relationship Id="rId332" Type="http://schemas.openxmlformats.org/officeDocument/2006/relationships/hyperlink" Target="../Docs/R1-2312363.zip" TargetMode="External"/><Relationship Id="rId777" Type="http://schemas.openxmlformats.org/officeDocument/2006/relationships/oleObject" Target="embeddings/oleObject23.bin"/><Relationship Id="rId984" Type="http://schemas.openxmlformats.org/officeDocument/2006/relationships/hyperlink" Target="../Docs/R1-2312121.zip" TargetMode="External"/><Relationship Id="rId2013" Type="http://schemas.openxmlformats.org/officeDocument/2006/relationships/hyperlink" Target="../Docs/R1-2311977.zip" TargetMode="External"/><Relationship Id="rId2220" Type="http://schemas.openxmlformats.org/officeDocument/2006/relationships/hyperlink" Target="../Docs/R1-2312429.zip" TargetMode="External"/><Relationship Id="rId2458" Type="http://schemas.openxmlformats.org/officeDocument/2006/relationships/hyperlink" Target="https://portal.3gpp.org/desktopmodules/WorkItem/WorkItemDetails.aspx?workitemId=900162" TargetMode="External"/><Relationship Id="rId2665" Type="http://schemas.openxmlformats.org/officeDocument/2006/relationships/hyperlink" Target="https://www.3gpp.org/ftp/TSG_RAN/WG1_RL1/TSGR1_115/Docs/R1-2312766.zip" TargetMode="External"/><Relationship Id="rId2872" Type="http://schemas.openxmlformats.org/officeDocument/2006/relationships/hyperlink" Target="../Docs/R1-2310801.zip" TargetMode="External"/><Relationship Id="rId637" Type="http://schemas.openxmlformats.org/officeDocument/2006/relationships/hyperlink" Target="../Docs/R1-2312474.zip" TargetMode="External"/><Relationship Id="rId844" Type="http://schemas.openxmlformats.org/officeDocument/2006/relationships/image" Target="media/image45.png"/><Relationship Id="rId1267" Type="http://schemas.openxmlformats.org/officeDocument/2006/relationships/hyperlink" Target="../Docs/R1-2310820.zip" TargetMode="External"/><Relationship Id="rId1474" Type="http://schemas.openxmlformats.org/officeDocument/2006/relationships/hyperlink" Target="../Docs/R1-2310973.zip" TargetMode="External"/><Relationship Id="rId1681" Type="http://schemas.openxmlformats.org/officeDocument/2006/relationships/hyperlink" Target="../Docs/R1-2311466.zip" TargetMode="External"/><Relationship Id="rId2318" Type="http://schemas.openxmlformats.org/officeDocument/2006/relationships/hyperlink" Target="https://portal.3gpp.org/desktopmodules/Release/ReleaseDetails.aspx?releaseId=192" TargetMode="External"/><Relationship Id="rId2525" Type="http://schemas.openxmlformats.org/officeDocument/2006/relationships/hyperlink" Target="https://www.3gpp.org/ftp/TSG_RAN/WG1_RL1/TSGR1_115/Docs/R1-2312729.zip" TargetMode="External"/><Relationship Id="rId2732" Type="http://schemas.openxmlformats.org/officeDocument/2006/relationships/hyperlink" Target="https://portal.3gpp.org/desktopmodules/Release/ReleaseDetails.aspx?releaseId=193" TargetMode="External"/><Relationship Id="rId704" Type="http://schemas.openxmlformats.org/officeDocument/2006/relationships/hyperlink" Target="../Docs/R1-2312685.zip" TargetMode="External"/><Relationship Id="rId911" Type="http://schemas.openxmlformats.org/officeDocument/2006/relationships/hyperlink" Target="../Docs/R1-2311570.zip" TargetMode="External"/><Relationship Id="rId1127" Type="http://schemas.openxmlformats.org/officeDocument/2006/relationships/hyperlink" Target="../Docs/R1-2312293.zip" TargetMode="External"/><Relationship Id="rId1334" Type="http://schemas.openxmlformats.org/officeDocument/2006/relationships/image" Target="media/image54.png"/><Relationship Id="rId1541" Type="http://schemas.openxmlformats.org/officeDocument/2006/relationships/hyperlink" Target="../Docs/R1-2311549.zip" TargetMode="External"/><Relationship Id="rId1779" Type="http://schemas.openxmlformats.org/officeDocument/2006/relationships/hyperlink" Target="../Docs/R1-2311942.zip" TargetMode="External"/><Relationship Id="rId1986" Type="http://schemas.openxmlformats.org/officeDocument/2006/relationships/hyperlink" Target="../Docs/R1-2311150.zip" TargetMode="External"/><Relationship Id="rId40" Type="http://schemas.openxmlformats.org/officeDocument/2006/relationships/hyperlink" Target="../Docs/R1-2311808.zip" TargetMode="External"/><Relationship Id="rId1401" Type="http://schemas.openxmlformats.org/officeDocument/2006/relationships/image" Target="media/image81.png"/><Relationship Id="rId1639" Type="http://schemas.openxmlformats.org/officeDocument/2006/relationships/hyperlink" Target="../Docs/R1-2310861.zip" TargetMode="External"/><Relationship Id="rId1846" Type="http://schemas.openxmlformats.org/officeDocument/2006/relationships/hyperlink" Target="../Docs/R1-2311704.zip" TargetMode="External"/><Relationship Id="rId1706" Type="http://schemas.openxmlformats.org/officeDocument/2006/relationships/hyperlink" Target="../Docs/R1-2312669.zip" TargetMode="External"/><Relationship Id="rId1913" Type="http://schemas.openxmlformats.org/officeDocument/2006/relationships/hyperlink" Target="../Docs/R1-2312399.zip" TargetMode="External"/><Relationship Id="rId287" Type="http://schemas.openxmlformats.org/officeDocument/2006/relationships/hyperlink" Target="../Docs/R1-2312435.zip" TargetMode="External"/><Relationship Id="rId494" Type="http://schemas.openxmlformats.org/officeDocument/2006/relationships/hyperlink" Target="../Docs/R1-2310910.zip" TargetMode="External"/><Relationship Id="rId2175" Type="http://schemas.openxmlformats.org/officeDocument/2006/relationships/hyperlink" Target="../Docs/R1-2311564.zip" TargetMode="External"/><Relationship Id="rId2382" Type="http://schemas.openxmlformats.org/officeDocument/2006/relationships/hyperlink" Target="https://portal.3gpp.org/desktopmodules/Release/ReleaseDetails.aspx?releaseId=191" TargetMode="External"/><Relationship Id="rId3019" Type="http://schemas.openxmlformats.org/officeDocument/2006/relationships/hyperlink" Target="../Docs/R1-2312800.zip" TargetMode="External"/><Relationship Id="rId147" Type="http://schemas.openxmlformats.org/officeDocument/2006/relationships/hyperlink" Target="../Docs/R1-2310976.zip" TargetMode="External"/><Relationship Id="rId354" Type="http://schemas.openxmlformats.org/officeDocument/2006/relationships/hyperlink" Target="../Docs/R1-2311962.zip" TargetMode="External"/><Relationship Id="rId799" Type="http://schemas.openxmlformats.org/officeDocument/2006/relationships/hyperlink" Target="../Docs/R1-2311315.zip" TargetMode="External"/><Relationship Id="rId1191" Type="http://schemas.openxmlformats.org/officeDocument/2006/relationships/hyperlink" Target="../Docs/R1-2311483.zip" TargetMode="External"/><Relationship Id="rId2035" Type="http://schemas.openxmlformats.org/officeDocument/2006/relationships/hyperlink" Target="../Docs/R1-2310821.zip" TargetMode="External"/><Relationship Id="rId2687" Type="http://schemas.openxmlformats.org/officeDocument/2006/relationships/hyperlink" Target="https://portal.3gpp.org/desktopmodules/Specifications/SpecificationDetails.aspx?specificationId=3215" TargetMode="External"/><Relationship Id="rId2894" Type="http://schemas.openxmlformats.org/officeDocument/2006/relationships/hyperlink" Target="https://portal.3gpp.org/desktopmodules/Release/ReleaseDetails.aspx?releaseId=193" TargetMode="External"/><Relationship Id="rId561" Type="http://schemas.openxmlformats.org/officeDocument/2006/relationships/hyperlink" Target="../Docs/R1-2311304.zip" TargetMode="External"/><Relationship Id="rId659" Type="http://schemas.openxmlformats.org/officeDocument/2006/relationships/hyperlink" Target="../Docs/R1-2312501.zip" TargetMode="External"/><Relationship Id="rId866" Type="http://schemas.openxmlformats.org/officeDocument/2006/relationships/hyperlink" Target="../Docs/R1-2310278.zip" TargetMode="External"/><Relationship Id="rId1289" Type="http://schemas.openxmlformats.org/officeDocument/2006/relationships/hyperlink" Target="../Docs/R1-2312126.zip" TargetMode="External"/><Relationship Id="rId1496" Type="http://schemas.openxmlformats.org/officeDocument/2006/relationships/hyperlink" Target="../Docs/R1-2310882.zip" TargetMode="External"/><Relationship Id="rId2242" Type="http://schemas.openxmlformats.org/officeDocument/2006/relationships/hyperlink" Target="https://portal.3gpp.org/desktopmodules/Release/ReleaseDetails.aspx?releaseId=192" TargetMode="External"/><Relationship Id="rId2547" Type="http://schemas.openxmlformats.org/officeDocument/2006/relationships/hyperlink" Target="https://portal.3gpp.org/desktopmodules/Specifications/SpecificationDetails.aspx?specificationId=3217" TargetMode="External"/><Relationship Id="rId214" Type="http://schemas.openxmlformats.org/officeDocument/2006/relationships/hyperlink" Target="../Docs/R1-2312176.zip" TargetMode="External"/><Relationship Id="rId421" Type="http://schemas.openxmlformats.org/officeDocument/2006/relationships/hyperlink" Target="../Docs/R1-2312676.zip" TargetMode="External"/><Relationship Id="rId519" Type="http://schemas.openxmlformats.org/officeDocument/2006/relationships/image" Target="media/image23.wmf"/><Relationship Id="rId1051" Type="http://schemas.openxmlformats.org/officeDocument/2006/relationships/hyperlink" Target="../Docs/R1-2312260.zip" TargetMode="External"/><Relationship Id="rId1149" Type="http://schemas.openxmlformats.org/officeDocument/2006/relationships/hyperlink" Target="../Docs/R1-2312472.zip" TargetMode="External"/><Relationship Id="rId1356" Type="http://schemas.openxmlformats.org/officeDocument/2006/relationships/hyperlink" Target="../Docs/R1-2311511.zip" TargetMode="External"/><Relationship Id="rId2102" Type="http://schemas.openxmlformats.org/officeDocument/2006/relationships/hyperlink" Target="../Docs/R1-2311712.zip" TargetMode="External"/><Relationship Id="rId2754" Type="http://schemas.openxmlformats.org/officeDocument/2006/relationships/hyperlink" Target="https://www.3gpp.org/ftp/TSG_RAN/WG1_RL1/TSGR1_115/Docs/R1-2312520.zip" TargetMode="External"/><Relationship Id="rId2961" Type="http://schemas.openxmlformats.org/officeDocument/2006/relationships/hyperlink" Target="../Docs/R1-2312795.zip" TargetMode="External"/><Relationship Id="rId726" Type="http://schemas.openxmlformats.org/officeDocument/2006/relationships/hyperlink" Target="../Docs/R1-2312659.zip" TargetMode="External"/><Relationship Id="rId933" Type="http://schemas.openxmlformats.org/officeDocument/2006/relationships/hyperlink" Target="../Docs/R1-2311320.zip" TargetMode="External"/><Relationship Id="rId1009" Type="http://schemas.openxmlformats.org/officeDocument/2006/relationships/hyperlink" Target="../Docs/R1-2311565.zip" TargetMode="External"/><Relationship Id="rId1563" Type="http://schemas.openxmlformats.org/officeDocument/2006/relationships/hyperlink" Target="../Docs/R1-2311445.zip" TargetMode="External"/><Relationship Id="rId1770" Type="http://schemas.openxmlformats.org/officeDocument/2006/relationships/hyperlink" Target="../Docs/R1-2311113.zip" TargetMode="External"/><Relationship Id="rId1868" Type="http://schemas.openxmlformats.org/officeDocument/2006/relationships/hyperlink" Target="../Docs/R1-2310984.zip" TargetMode="External"/><Relationship Id="rId2407" Type="http://schemas.openxmlformats.org/officeDocument/2006/relationships/hyperlink" Target="https://www.3gpp.org/ftp/TSG_RAN/WG1_RL1/TSGR1_115/Docs/R1-2312634.zip" TargetMode="External"/><Relationship Id="rId2614" Type="http://schemas.openxmlformats.org/officeDocument/2006/relationships/hyperlink" Target="https://portal.3gpp.org/desktopmodules/Release/ReleaseDetails.aspx?releaseId=193" TargetMode="External"/><Relationship Id="rId2821" Type="http://schemas.openxmlformats.org/officeDocument/2006/relationships/hyperlink" Target="../Docs/R1-2308651.zip" TargetMode="External"/><Relationship Id="rId62" Type="http://schemas.openxmlformats.org/officeDocument/2006/relationships/hyperlink" Target="../Docs/R1-2312184.zip" TargetMode="External"/><Relationship Id="rId1216" Type="http://schemas.openxmlformats.org/officeDocument/2006/relationships/hyperlink" Target="../Docs/R1-2311846.zip" TargetMode="External"/><Relationship Id="rId1423" Type="http://schemas.openxmlformats.org/officeDocument/2006/relationships/hyperlink" Target="../Docs/R1-2312386.zip" TargetMode="External"/><Relationship Id="rId1630" Type="http://schemas.openxmlformats.org/officeDocument/2006/relationships/hyperlink" Target="../Docs/R1-2311697.zip" TargetMode="External"/><Relationship Id="rId2919" Type="http://schemas.openxmlformats.org/officeDocument/2006/relationships/hyperlink" Target="https://portal.3gpp.org/desktopmodules/Release/ReleaseDetails.aspx?releaseId=193" TargetMode="External"/><Relationship Id="rId1728" Type="http://schemas.openxmlformats.org/officeDocument/2006/relationships/hyperlink" Target="../Docs/R1-2308910.zip" TargetMode="External"/><Relationship Id="rId1935" Type="http://schemas.openxmlformats.org/officeDocument/2006/relationships/hyperlink" Target="https://www.3gpp.org/ftp/TSG_RAN/TSG_RAN/TSGR_100/Docs/RP-231296.zip" TargetMode="External"/><Relationship Id="rId2197" Type="http://schemas.openxmlformats.org/officeDocument/2006/relationships/hyperlink" Target="../Docs/R1-2311997.zip" TargetMode="External"/><Relationship Id="rId3010" Type="http://schemas.openxmlformats.org/officeDocument/2006/relationships/hyperlink" Target="../Docs/R1-2312777.zip" TargetMode="External"/><Relationship Id="rId169" Type="http://schemas.openxmlformats.org/officeDocument/2006/relationships/hyperlink" Target="../Docs/R1-2312012.zip" TargetMode="External"/><Relationship Id="rId376" Type="http://schemas.openxmlformats.org/officeDocument/2006/relationships/hyperlink" Target="../Docs/R1-2312233.zip" TargetMode="External"/><Relationship Id="rId583" Type="http://schemas.openxmlformats.org/officeDocument/2006/relationships/hyperlink" Target="../Docs/R1-2311078.zip" TargetMode="External"/><Relationship Id="rId790" Type="http://schemas.openxmlformats.org/officeDocument/2006/relationships/hyperlink" Target="../Docs/R1-2310828.zip" TargetMode="External"/><Relationship Id="rId2057" Type="http://schemas.openxmlformats.org/officeDocument/2006/relationships/hyperlink" Target="../Docs/R1-2311050.zip" TargetMode="External"/><Relationship Id="rId2264" Type="http://schemas.openxmlformats.org/officeDocument/2006/relationships/hyperlink" Target="https://portal.3gpp.org/desktopmodules/WorkItem/WorkItemDetails.aspx?workitemId=860146" TargetMode="External"/><Relationship Id="rId2471" Type="http://schemas.openxmlformats.org/officeDocument/2006/relationships/hyperlink" Target="https://www.3gpp.org/ftp/TSG_RAN/WG1_RL1/TSGR1_115/Docs/R1-2312711.zip" TargetMode="External"/><Relationship Id="rId4" Type="http://schemas.openxmlformats.org/officeDocument/2006/relationships/styles" Target="styles.xml"/><Relationship Id="rId236" Type="http://schemas.openxmlformats.org/officeDocument/2006/relationships/hyperlink" Target="../Docs/R1-2310793.zip" TargetMode="External"/><Relationship Id="rId443" Type="http://schemas.openxmlformats.org/officeDocument/2006/relationships/hyperlink" Target="../Docs/R1-2312454.zip" TargetMode="External"/><Relationship Id="rId650" Type="http://schemas.openxmlformats.org/officeDocument/2006/relationships/hyperlink" Target="../Docs/R1-2312593.zip" TargetMode="External"/><Relationship Id="rId888" Type="http://schemas.openxmlformats.org/officeDocument/2006/relationships/hyperlink" Target="../Docs/R1-2311929.zip" TargetMode="External"/><Relationship Id="rId1073" Type="http://schemas.openxmlformats.org/officeDocument/2006/relationships/hyperlink" Target="../Docs/R1-2312690.zip" TargetMode="External"/><Relationship Id="rId1280" Type="http://schemas.openxmlformats.org/officeDocument/2006/relationships/hyperlink" Target="../Docs/R1-2311688.zip" TargetMode="External"/><Relationship Id="rId2124" Type="http://schemas.openxmlformats.org/officeDocument/2006/relationships/hyperlink" Target="../Docs/R1-2311948.zip" TargetMode="External"/><Relationship Id="rId2331" Type="http://schemas.openxmlformats.org/officeDocument/2006/relationships/hyperlink" Target="https://www.3gpp.org/ftp/TSG_RAN/WG1_RL1/TSGR1_115/Docs/R1-2312530.zip" TargetMode="External"/><Relationship Id="rId2569" Type="http://schemas.openxmlformats.org/officeDocument/2006/relationships/hyperlink" Target="https://www.3gpp.org/ftp/TSG_RAN/WG1_RL1/TSGR1_115/Docs/R1-2312740.zip" TargetMode="External"/><Relationship Id="rId2776" Type="http://schemas.openxmlformats.org/officeDocument/2006/relationships/hyperlink" Target="https://portal.3gpp.org/desktopmodules/WorkItem/WorkItemDetails.aspx?workitemId=970180" TargetMode="External"/><Relationship Id="rId2983" Type="http://schemas.openxmlformats.org/officeDocument/2006/relationships/hyperlink" Target="../Docs/R1-2312774.zip" TargetMode="External"/><Relationship Id="rId303" Type="http://schemas.openxmlformats.org/officeDocument/2006/relationships/oleObject" Target="embeddings/oleObject6.bin"/><Relationship Id="rId748" Type="http://schemas.openxmlformats.org/officeDocument/2006/relationships/hyperlink" Target="../Docs/R1-2310970.zip" TargetMode="External"/><Relationship Id="rId955" Type="http://schemas.openxmlformats.org/officeDocument/2006/relationships/image" Target="media/image50.png"/><Relationship Id="rId1140" Type="http://schemas.openxmlformats.org/officeDocument/2006/relationships/hyperlink" Target="../Docs/R1-2311748.zip" TargetMode="External"/><Relationship Id="rId1378" Type="http://schemas.openxmlformats.org/officeDocument/2006/relationships/hyperlink" Target="../Docs/R1-2312411.zip" TargetMode="External"/><Relationship Id="rId1585" Type="http://schemas.openxmlformats.org/officeDocument/2006/relationships/oleObject" Target="embeddings/Microsoft_Visio_2003-2010_Drawing.vsd"/><Relationship Id="rId1792" Type="http://schemas.openxmlformats.org/officeDocument/2006/relationships/hyperlink" Target="../Docs/R1-2311654.zip" TargetMode="External"/><Relationship Id="rId2429" Type="http://schemas.openxmlformats.org/officeDocument/2006/relationships/hyperlink" Target="https://portal.3gpp.org/desktopmodules/Release/ReleaseDetails.aspx?releaseId=193" TargetMode="External"/><Relationship Id="rId2636" Type="http://schemas.openxmlformats.org/officeDocument/2006/relationships/hyperlink" Target="https://portal.3gpp.org/desktopmodules/WorkItem/WorkItemDetails.aspx?workitemId=941106" TargetMode="External"/><Relationship Id="rId2843" Type="http://schemas.openxmlformats.org/officeDocument/2006/relationships/hyperlink" Target="../Docs/R1-2310793.zip" TargetMode="External"/><Relationship Id="rId84" Type="http://schemas.openxmlformats.org/officeDocument/2006/relationships/hyperlink" Target="../Docs/R1-2312013.zip" TargetMode="External"/><Relationship Id="rId510" Type="http://schemas.openxmlformats.org/officeDocument/2006/relationships/image" Target="media/image18.wmf"/><Relationship Id="rId608" Type="http://schemas.openxmlformats.org/officeDocument/2006/relationships/hyperlink" Target="../Docs/R1-2311893.zip" TargetMode="External"/><Relationship Id="rId815" Type="http://schemas.openxmlformats.org/officeDocument/2006/relationships/hyperlink" Target="../Docs/R1-2312329.zip" TargetMode="External"/><Relationship Id="rId1238" Type="http://schemas.openxmlformats.org/officeDocument/2006/relationships/hyperlink" Target="../Docs/R1-2311168.zip" TargetMode="External"/><Relationship Id="rId1445" Type="http://schemas.openxmlformats.org/officeDocument/2006/relationships/hyperlink" Target="../Docs/R1-2311212.zip" TargetMode="External"/><Relationship Id="rId1652" Type="http://schemas.openxmlformats.org/officeDocument/2006/relationships/hyperlink" Target="../Docs/R1-2311275.zip" TargetMode="External"/><Relationship Id="rId1000" Type="http://schemas.openxmlformats.org/officeDocument/2006/relationships/hyperlink" Target="../Docs/R1-2310852.zip" TargetMode="External"/><Relationship Id="rId1305" Type="http://schemas.openxmlformats.org/officeDocument/2006/relationships/hyperlink" Target="../Docs/R1-2311243.zip" TargetMode="External"/><Relationship Id="rId1957" Type="http://schemas.openxmlformats.org/officeDocument/2006/relationships/hyperlink" Target="../Docs/R1-2311641.zip" TargetMode="External"/><Relationship Id="rId2703" Type="http://schemas.openxmlformats.org/officeDocument/2006/relationships/hyperlink" Target="https://portal.3gpp.org/desktopmodules/Specifications/SpecificationDetails.aspx?specificationId=3212" TargetMode="External"/><Relationship Id="rId2910" Type="http://schemas.openxmlformats.org/officeDocument/2006/relationships/hyperlink" Target="https://portal.3gpp.org/desktopmodules/WorkItem/WorkItemDetails.aspx?workitemId=981137" TargetMode="External"/><Relationship Id="rId1512" Type="http://schemas.openxmlformats.org/officeDocument/2006/relationships/hyperlink" Target="../Docs/R1-2311694.zip" TargetMode="External"/><Relationship Id="rId1817" Type="http://schemas.openxmlformats.org/officeDocument/2006/relationships/hyperlink" Target="../Docs/R1-2312656.zip" TargetMode="External"/><Relationship Id="rId11" Type="http://schemas.openxmlformats.org/officeDocument/2006/relationships/hyperlink" Target="https://www.3gpp.org/about-3gpp/legal-matters" TargetMode="External"/><Relationship Id="rId398" Type="http://schemas.openxmlformats.org/officeDocument/2006/relationships/hyperlink" Target="../Docs/R1-2312228.zip" TargetMode="External"/><Relationship Id="rId2079" Type="http://schemas.openxmlformats.org/officeDocument/2006/relationships/hyperlink" Target="../Docs/R1-2311187.zip" TargetMode="External"/><Relationship Id="rId3032" Type="http://schemas.openxmlformats.org/officeDocument/2006/relationships/hyperlink" Target="../Docs/R1-2312783.zip" TargetMode="External"/><Relationship Id="rId160" Type="http://schemas.openxmlformats.org/officeDocument/2006/relationships/hyperlink" Target="../Docs/R1-2311007.zip" TargetMode="External"/><Relationship Id="rId2286" Type="http://schemas.openxmlformats.org/officeDocument/2006/relationships/hyperlink" Target="https://portal.3gpp.org/desktopmodules/Release/ReleaseDetails.aspx?releaseId=193" TargetMode="External"/><Relationship Id="rId2493" Type="http://schemas.openxmlformats.org/officeDocument/2006/relationships/hyperlink" Target="https://portal.3gpp.org/desktopmodules/Release/ReleaseDetails.aspx?releaseId=193" TargetMode="External"/><Relationship Id="rId258" Type="http://schemas.openxmlformats.org/officeDocument/2006/relationships/hyperlink" Target="../Docs/R1-2312179.zip" TargetMode="External"/><Relationship Id="rId465" Type="http://schemas.openxmlformats.org/officeDocument/2006/relationships/hyperlink" Target="../Docs/R1-2312330.zip" TargetMode="External"/><Relationship Id="rId672" Type="http://schemas.openxmlformats.org/officeDocument/2006/relationships/hyperlink" Target="../Docs/R1-2311058.zip" TargetMode="External"/><Relationship Id="rId1095" Type="http://schemas.openxmlformats.org/officeDocument/2006/relationships/hyperlink" Target="../Docs/R1-2312033.zip" TargetMode="External"/><Relationship Id="rId2146" Type="http://schemas.openxmlformats.org/officeDocument/2006/relationships/hyperlink" Target="../Docs/R1-2310862.zip" TargetMode="External"/><Relationship Id="rId2353" Type="http://schemas.openxmlformats.org/officeDocument/2006/relationships/hyperlink" Target="https://portal.3gpp.org/desktopmodules/WorkItem/WorkItemDetails.aspx?workitemId=860140" TargetMode="External"/><Relationship Id="rId2560" Type="http://schemas.openxmlformats.org/officeDocument/2006/relationships/hyperlink" Target="https://portal.3gpp.org/desktopmodules/WorkItem/WorkItemDetails.aspx?workitemId=981138" TargetMode="External"/><Relationship Id="rId2798" Type="http://schemas.openxmlformats.org/officeDocument/2006/relationships/hyperlink" Target="https://portal.3gpp.org/desktopmodules/Release/ReleaseDetails.aspx?releaseId=193" TargetMode="External"/><Relationship Id="rId118" Type="http://schemas.openxmlformats.org/officeDocument/2006/relationships/hyperlink" Target="../Docs/R1-2311924.zip" TargetMode="External"/><Relationship Id="rId325" Type="http://schemas.openxmlformats.org/officeDocument/2006/relationships/hyperlink" Target="../Docs/R1-2312692.zip" TargetMode="External"/><Relationship Id="rId532" Type="http://schemas.openxmlformats.org/officeDocument/2006/relationships/oleObject" Target="embeddings/oleObject22.bin"/><Relationship Id="rId977" Type="http://schemas.openxmlformats.org/officeDocument/2006/relationships/hyperlink" Target="../Docs/R1-2311751.zip" TargetMode="External"/><Relationship Id="rId1162" Type="http://schemas.openxmlformats.org/officeDocument/2006/relationships/hyperlink" Target="../Docs/R1-2311224.zip" TargetMode="External"/><Relationship Id="rId2006" Type="http://schemas.openxmlformats.org/officeDocument/2006/relationships/hyperlink" Target="../Docs/R1-2311278.zip" TargetMode="External"/><Relationship Id="rId2213" Type="http://schemas.openxmlformats.org/officeDocument/2006/relationships/hyperlink" Target="../Docs/R1-2312073.zip" TargetMode="External"/><Relationship Id="rId2420" Type="http://schemas.openxmlformats.org/officeDocument/2006/relationships/hyperlink" Target="https://portal.3gpp.org/desktopmodules/WorkItem/WorkItemDetails.aspx?workitemId=860148" TargetMode="External"/><Relationship Id="rId2658" Type="http://schemas.openxmlformats.org/officeDocument/2006/relationships/hyperlink" Target="https://portal.3gpp.org/desktopmodules/Release/ReleaseDetails.aspx?releaseId=193" TargetMode="External"/><Relationship Id="rId2865" Type="http://schemas.openxmlformats.org/officeDocument/2006/relationships/hyperlink" Target="../Docs/R1-2310799.zip" TargetMode="External"/><Relationship Id="rId837" Type="http://schemas.openxmlformats.org/officeDocument/2006/relationships/hyperlink" Target="../Docs/R1-2312095.zip" TargetMode="External"/><Relationship Id="rId1022" Type="http://schemas.openxmlformats.org/officeDocument/2006/relationships/hyperlink" Target="../Docs/R1-2312172.zip" TargetMode="External"/><Relationship Id="rId1467" Type="http://schemas.openxmlformats.org/officeDocument/2006/relationships/hyperlink" Target="../Docs/R1-2312642.zip" TargetMode="External"/><Relationship Id="rId1674" Type="http://schemas.openxmlformats.org/officeDocument/2006/relationships/hyperlink" Target="../Docs/R1-2310888.zip" TargetMode="External"/><Relationship Id="rId1881" Type="http://schemas.openxmlformats.org/officeDocument/2006/relationships/hyperlink" Target="../Docs/R1-2311528.zip" TargetMode="External"/><Relationship Id="rId2518" Type="http://schemas.openxmlformats.org/officeDocument/2006/relationships/hyperlink" Target="https://portal.3gpp.org/desktopmodules/Release/ReleaseDetails.aspx?releaseId=193" TargetMode="External"/><Relationship Id="rId2725" Type="http://schemas.openxmlformats.org/officeDocument/2006/relationships/hyperlink" Target="https://www.3gpp.org/ftp/TSG_RAN/WG1_RL1/TSGR1_115/Docs/R1-2312339.zip" TargetMode="External"/><Relationship Id="rId2932" Type="http://schemas.openxmlformats.org/officeDocument/2006/relationships/hyperlink" Target="../Docs/R1-2312716.zip" TargetMode="External"/><Relationship Id="rId904" Type="http://schemas.openxmlformats.org/officeDocument/2006/relationships/hyperlink" Target="../Docs/R1-2311218.zip" TargetMode="External"/><Relationship Id="rId1327" Type="http://schemas.openxmlformats.org/officeDocument/2006/relationships/hyperlink" Target="../Docs/R1-2312346.zip" TargetMode="External"/><Relationship Id="rId1534" Type="http://schemas.openxmlformats.org/officeDocument/2006/relationships/hyperlink" Target="../Docs/R1-2311020.zip" TargetMode="External"/><Relationship Id="rId1741" Type="http://schemas.openxmlformats.org/officeDocument/2006/relationships/hyperlink" Target="../Docs/R1-2310874.zip" TargetMode="External"/><Relationship Id="rId1979" Type="http://schemas.openxmlformats.org/officeDocument/2006/relationships/hyperlink" Target="../Docs/R1-2312574.zip" TargetMode="External"/><Relationship Id="rId33" Type="http://schemas.openxmlformats.org/officeDocument/2006/relationships/hyperlink" Target="../Docs/R1-2311376.zip" TargetMode="External"/><Relationship Id="rId1601" Type="http://schemas.openxmlformats.org/officeDocument/2006/relationships/hyperlink" Target="../Docs/R1-2312397.zip" TargetMode="External"/><Relationship Id="rId1839" Type="http://schemas.openxmlformats.org/officeDocument/2006/relationships/hyperlink" Target="../Docs/R1-2311449.zip" TargetMode="External"/><Relationship Id="rId182" Type="http://schemas.openxmlformats.org/officeDocument/2006/relationships/hyperlink" Target="../Docs/R1-2308598.zip" TargetMode="External"/><Relationship Id="rId1906" Type="http://schemas.openxmlformats.org/officeDocument/2006/relationships/hyperlink" Target="../Docs/R1-2311866.zip" TargetMode="External"/><Relationship Id="rId487" Type="http://schemas.openxmlformats.org/officeDocument/2006/relationships/hyperlink" Target="../Docs/R1-2312356.zip" TargetMode="External"/><Relationship Id="rId694" Type="http://schemas.openxmlformats.org/officeDocument/2006/relationships/hyperlink" Target="../Docs/R1-2311077.zip" TargetMode="External"/><Relationship Id="rId2070" Type="http://schemas.openxmlformats.org/officeDocument/2006/relationships/hyperlink" Target="../Docs/R1-2311901.zip" TargetMode="External"/><Relationship Id="rId2168" Type="http://schemas.openxmlformats.org/officeDocument/2006/relationships/hyperlink" Target="../Docs/R1-2312614.zip" TargetMode="External"/><Relationship Id="rId2375" Type="http://schemas.openxmlformats.org/officeDocument/2006/relationships/hyperlink" Target="https://portal.3gpp.org/desktopmodules/Specifications/SpecificationDetails.aspx?specificationId=3216" TargetMode="External"/><Relationship Id="rId347" Type="http://schemas.openxmlformats.org/officeDocument/2006/relationships/hyperlink" Target="../Docs/R1-2312450.zip" TargetMode="External"/><Relationship Id="rId999" Type="http://schemas.openxmlformats.org/officeDocument/2006/relationships/hyperlink" Target="../Docs/R1-2310812.zip" TargetMode="External"/><Relationship Id="rId1184" Type="http://schemas.openxmlformats.org/officeDocument/2006/relationships/hyperlink" Target="../Docs/R1-2310840.zip" TargetMode="External"/><Relationship Id="rId2028" Type="http://schemas.openxmlformats.org/officeDocument/2006/relationships/hyperlink" Target="../Docs/R1-2311644.zip" TargetMode="External"/><Relationship Id="rId2582" Type="http://schemas.openxmlformats.org/officeDocument/2006/relationships/hyperlink" Target="https://portal.3gpp.org/desktopmodules/Release/ReleaseDetails.aspx?releaseId=193" TargetMode="External"/><Relationship Id="rId2887" Type="http://schemas.openxmlformats.org/officeDocument/2006/relationships/hyperlink" Target="../Docs/R1-2310806.zip" TargetMode="External"/><Relationship Id="rId554" Type="http://schemas.openxmlformats.org/officeDocument/2006/relationships/hyperlink" Target="../Docs/R1-2311013.zip" TargetMode="External"/><Relationship Id="rId761" Type="http://schemas.openxmlformats.org/officeDocument/2006/relationships/hyperlink" Target="../Docs/R1-2311522.zip" TargetMode="External"/><Relationship Id="rId859" Type="http://schemas.openxmlformats.org/officeDocument/2006/relationships/hyperlink" Target="../Docs/R1-2311676.zip" TargetMode="External"/><Relationship Id="rId1391" Type="http://schemas.openxmlformats.org/officeDocument/2006/relationships/image" Target="media/image71.png"/><Relationship Id="rId1489" Type="http://schemas.openxmlformats.org/officeDocument/2006/relationships/hyperlink" Target="../Docs/R1-2312045.zip" TargetMode="External"/><Relationship Id="rId1696" Type="http://schemas.openxmlformats.org/officeDocument/2006/relationships/hyperlink" Target="../Docs/R1-2312696.zip" TargetMode="External"/><Relationship Id="rId2235" Type="http://schemas.openxmlformats.org/officeDocument/2006/relationships/hyperlink" Target="https://www.3gpp.org/ftp/TSG_RAN/WG1_RL1/TSGR1_115/Docs/R1-2312364.zip" TargetMode="External"/><Relationship Id="rId2442" Type="http://schemas.openxmlformats.org/officeDocument/2006/relationships/hyperlink" Target="https://portal.3gpp.org/desktopmodules/Specifications/SpecificationDetails.aspx?specificationId=3215" TargetMode="External"/><Relationship Id="rId207" Type="http://schemas.openxmlformats.org/officeDocument/2006/relationships/hyperlink" Target="../Docs/R1-2310876.zip" TargetMode="External"/><Relationship Id="rId414" Type="http://schemas.openxmlformats.org/officeDocument/2006/relationships/hyperlink" Target="../Docs/R1-2312665.zip" TargetMode="External"/><Relationship Id="rId621" Type="http://schemas.openxmlformats.org/officeDocument/2006/relationships/hyperlink" Target="../Docs/R1-2312221.zip" TargetMode="External"/><Relationship Id="rId1044" Type="http://schemas.openxmlformats.org/officeDocument/2006/relationships/hyperlink" Target="../Docs/R1-2312259.zip" TargetMode="External"/><Relationship Id="rId1251" Type="http://schemas.openxmlformats.org/officeDocument/2006/relationships/hyperlink" Target="../Docs/R1-2312191.zip" TargetMode="External"/><Relationship Id="rId1349" Type="http://schemas.openxmlformats.org/officeDocument/2006/relationships/hyperlink" Target="../Docs/R1-2311138.zip" TargetMode="External"/><Relationship Id="rId2302" Type="http://schemas.openxmlformats.org/officeDocument/2006/relationships/hyperlink" Target="https://portal.3gpp.org/desktopmodules/Release/ReleaseDetails.aspx?releaseId=192" TargetMode="External"/><Relationship Id="rId2747" Type="http://schemas.openxmlformats.org/officeDocument/2006/relationships/hyperlink" Target="https://portal.3gpp.org/desktopmodules/Release/ReleaseDetails.aspx?releaseId=193" TargetMode="External"/><Relationship Id="rId2954" Type="http://schemas.openxmlformats.org/officeDocument/2006/relationships/hyperlink" Target="../Docs/R1-2312753.zip" TargetMode="External"/><Relationship Id="rId719" Type="http://schemas.openxmlformats.org/officeDocument/2006/relationships/hyperlink" Target="../Docs/R1-2312279.zip" TargetMode="External"/><Relationship Id="rId926" Type="http://schemas.openxmlformats.org/officeDocument/2006/relationships/hyperlink" Target="../Docs/R1-2312256.zip" TargetMode="External"/><Relationship Id="rId1111" Type="http://schemas.openxmlformats.org/officeDocument/2006/relationships/hyperlink" Target="../Docs/R1-2311340.zip" TargetMode="External"/><Relationship Id="rId1556" Type="http://schemas.openxmlformats.org/officeDocument/2006/relationships/hyperlink" Target="../Docs/R1-2311021.zip" TargetMode="External"/><Relationship Id="rId1763" Type="http://schemas.openxmlformats.org/officeDocument/2006/relationships/hyperlink" Target="../Docs/R1-2312321.zip" TargetMode="External"/><Relationship Id="rId1970" Type="http://schemas.openxmlformats.org/officeDocument/2006/relationships/hyperlink" Target="../Docs/R1-2312060.zip" TargetMode="External"/><Relationship Id="rId2607" Type="http://schemas.openxmlformats.org/officeDocument/2006/relationships/hyperlink" Target="https://portal.3gpp.org/desktopmodules/Specifications/SpecificationDetails.aspx?specificationId=3213" TargetMode="External"/><Relationship Id="rId2814" Type="http://schemas.openxmlformats.org/officeDocument/2006/relationships/hyperlink" Target="../Docs/R1-2310785.zip" TargetMode="External"/><Relationship Id="rId55" Type="http://schemas.openxmlformats.org/officeDocument/2006/relationships/hyperlink" Target="../Docs/R1-2311453.zip" TargetMode="External"/><Relationship Id="rId1209" Type="http://schemas.openxmlformats.org/officeDocument/2006/relationships/hyperlink" Target="../Docs/R1-2311461.zip" TargetMode="External"/><Relationship Id="rId1416" Type="http://schemas.openxmlformats.org/officeDocument/2006/relationships/hyperlink" Target="../Docs/R1-2311851.zip" TargetMode="External"/><Relationship Id="rId1623" Type="http://schemas.openxmlformats.org/officeDocument/2006/relationships/hyperlink" Target="../Docs/R1-2311176.zip" TargetMode="External"/><Relationship Id="rId1830" Type="http://schemas.openxmlformats.org/officeDocument/2006/relationships/hyperlink" Target="../Docs/R1-2311047.zip" TargetMode="External"/><Relationship Id="rId1928" Type="http://schemas.openxmlformats.org/officeDocument/2006/relationships/hyperlink" Target="../Docs/R1-2312413.zip" TargetMode="External"/><Relationship Id="rId2092" Type="http://schemas.openxmlformats.org/officeDocument/2006/relationships/hyperlink" Target="../Docs/R1-2312613.zip" TargetMode="External"/><Relationship Id="rId271" Type="http://schemas.openxmlformats.org/officeDocument/2006/relationships/hyperlink" Target="../Docs/R1-2312619.zip" TargetMode="External"/><Relationship Id="rId2397" Type="http://schemas.openxmlformats.org/officeDocument/2006/relationships/hyperlink" Target="https://portal.3gpp.org/desktopmodules/Release/ReleaseDetails.aspx?releaseId=193" TargetMode="External"/><Relationship Id="rId3003" Type="http://schemas.openxmlformats.org/officeDocument/2006/relationships/hyperlink" Target="../Docs/R1-2312763.zip" TargetMode="External"/><Relationship Id="rId131" Type="http://schemas.openxmlformats.org/officeDocument/2006/relationships/hyperlink" Target="../Docs/R1-2312197.zip" TargetMode="External"/><Relationship Id="rId369" Type="http://schemas.openxmlformats.org/officeDocument/2006/relationships/hyperlink" Target="../Docs/R1-2311012.zip" TargetMode="External"/><Relationship Id="rId576" Type="http://schemas.openxmlformats.org/officeDocument/2006/relationships/hyperlink" Target="../Docs/R1-2311307.zip" TargetMode="External"/><Relationship Id="rId783" Type="http://schemas.openxmlformats.org/officeDocument/2006/relationships/image" Target="media/image38.png"/><Relationship Id="rId990" Type="http://schemas.openxmlformats.org/officeDocument/2006/relationships/hyperlink" Target="../Docs/R1-2312251.zip" TargetMode="External"/><Relationship Id="rId2257" Type="http://schemas.openxmlformats.org/officeDocument/2006/relationships/hyperlink" Target="https://www.3gpp.org/ftp/TSG_RAN/WG1_RL1/TSGR1_115/Docs/R1-2312461.zip" TargetMode="External"/><Relationship Id="rId2464" Type="http://schemas.openxmlformats.org/officeDocument/2006/relationships/hyperlink" Target="https://portal.3gpp.org/desktopmodules/Release/ReleaseDetails.aspx?releaseId=192" TargetMode="External"/><Relationship Id="rId2671" Type="http://schemas.openxmlformats.org/officeDocument/2006/relationships/hyperlink" Target="https://portal.3gpp.org/desktopmodules/Specifications/SpecificationDetails.aspx?specificationId=3214" TargetMode="External"/><Relationship Id="rId229" Type="http://schemas.openxmlformats.org/officeDocument/2006/relationships/hyperlink" Target="../Docs/R1-2311059.zip" TargetMode="External"/><Relationship Id="rId436" Type="http://schemas.openxmlformats.org/officeDocument/2006/relationships/hyperlink" Target="../Docs/R1-2311819.zip" TargetMode="External"/><Relationship Id="rId643" Type="http://schemas.openxmlformats.org/officeDocument/2006/relationships/hyperlink" Target="../Docs/R1-2312502.zip" TargetMode="External"/><Relationship Id="rId1066" Type="http://schemas.openxmlformats.org/officeDocument/2006/relationships/hyperlink" Target="../Docs/R1-2312262.zip" TargetMode="External"/><Relationship Id="rId1273" Type="http://schemas.openxmlformats.org/officeDocument/2006/relationships/hyperlink" Target="../Docs/R1-2311262.zip" TargetMode="External"/><Relationship Id="rId1480" Type="http://schemas.openxmlformats.org/officeDocument/2006/relationships/hyperlink" Target="../Docs/R1-2311439.zip" TargetMode="External"/><Relationship Id="rId2117" Type="http://schemas.openxmlformats.org/officeDocument/2006/relationships/hyperlink" Target="../Docs/R1-2311447.zip" TargetMode="External"/><Relationship Id="rId2324" Type="http://schemas.openxmlformats.org/officeDocument/2006/relationships/hyperlink" Target="https://portal.3gpp.org/desktopmodules/WorkItem/WorkItemDetails.aspx?workitemId=830178" TargetMode="External"/><Relationship Id="rId2769" Type="http://schemas.openxmlformats.org/officeDocument/2006/relationships/hyperlink" Target="https://www.3gpp.org/ftp/TSG_RAN/WG1_RL1/TSGR1_115/Docs/R1-2312571.zip" TargetMode="External"/><Relationship Id="rId2976" Type="http://schemas.openxmlformats.org/officeDocument/2006/relationships/hyperlink" Target="../Docs/R1-2312730.zip" TargetMode="External"/><Relationship Id="rId850" Type="http://schemas.openxmlformats.org/officeDocument/2006/relationships/hyperlink" Target="../Docs/R1-2311042.zip" TargetMode="External"/><Relationship Id="rId948" Type="http://schemas.openxmlformats.org/officeDocument/2006/relationships/hyperlink" Target="../Docs/R1-2312155.zip" TargetMode="External"/><Relationship Id="rId1133" Type="http://schemas.openxmlformats.org/officeDocument/2006/relationships/hyperlink" Target="../Docs/R1-2311431.zip" TargetMode="External"/><Relationship Id="rId1578" Type="http://schemas.openxmlformats.org/officeDocument/2006/relationships/hyperlink" Target="../Docs/R1-2312109.zip" TargetMode="External"/><Relationship Id="rId1785" Type="http://schemas.openxmlformats.org/officeDocument/2006/relationships/hyperlink" Target="../Docs/R1-2310938.zip" TargetMode="External"/><Relationship Id="rId1992" Type="http://schemas.openxmlformats.org/officeDocument/2006/relationships/hyperlink" Target="../Docs/R1-2311576.zip" TargetMode="External"/><Relationship Id="rId2531" Type="http://schemas.openxmlformats.org/officeDocument/2006/relationships/hyperlink" Target="https://portal.3gpp.org/desktopmodules/Specifications/SpecificationDetails.aspx?specificationId=3215" TargetMode="External"/><Relationship Id="rId2629" Type="http://schemas.openxmlformats.org/officeDocument/2006/relationships/hyperlink" Target="https://www.3gpp.org/ftp/TSG_RAN/WG1_RL1/TSGR1_115/Docs/R1-2312755.zip" TargetMode="External"/><Relationship Id="rId2836" Type="http://schemas.openxmlformats.org/officeDocument/2006/relationships/hyperlink" Target="../Docs/R1-2308649.zip" TargetMode="External"/><Relationship Id="rId77" Type="http://schemas.openxmlformats.org/officeDocument/2006/relationships/hyperlink" Target="../Docs/R1-2311272.zip" TargetMode="External"/><Relationship Id="rId503" Type="http://schemas.openxmlformats.org/officeDocument/2006/relationships/hyperlink" Target="../Docs/R1-2312310.zip" TargetMode="External"/><Relationship Id="rId710" Type="http://schemas.openxmlformats.org/officeDocument/2006/relationships/hyperlink" Target="../Docs/R1-2312649.zip" TargetMode="External"/><Relationship Id="rId808" Type="http://schemas.openxmlformats.org/officeDocument/2006/relationships/hyperlink" Target="../Docs/R1-2311719.zip" TargetMode="External"/><Relationship Id="rId1340" Type="http://schemas.openxmlformats.org/officeDocument/2006/relationships/oleObject" Target="embeddings/oleObject28.bin"/><Relationship Id="rId1438" Type="http://schemas.openxmlformats.org/officeDocument/2006/relationships/hyperlink" Target="../Docs/R1-2310954.zip" TargetMode="External"/><Relationship Id="rId1645" Type="http://schemas.openxmlformats.org/officeDocument/2006/relationships/hyperlink" Target="../Docs/R1-2312307.zip" TargetMode="External"/><Relationship Id="rId1200" Type="http://schemas.openxmlformats.org/officeDocument/2006/relationships/hyperlink" Target="../Docs/R1-2312303.zip" TargetMode="External"/><Relationship Id="rId1852" Type="http://schemas.openxmlformats.org/officeDocument/2006/relationships/hyperlink" Target="../Docs/R1-2311936.zip" TargetMode="External"/><Relationship Id="rId2903" Type="http://schemas.openxmlformats.org/officeDocument/2006/relationships/hyperlink" Target="https://portal.3gpp.org/desktopmodules/Release/ReleaseDetails.aspx?releaseId=193" TargetMode="External"/><Relationship Id="rId1505" Type="http://schemas.openxmlformats.org/officeDocument/2006/relationships/hyperlink" Target="../Docs/R1-2311410.zip" TargetMode="External"/><Relationship Id="rId1712" Type="http://schemas.openxmlformats.org/officeDocument/2006/relationships/hyperlink" Target="../Docs/R1-2310877.zip" TargetMode="External"/><Relationship Id="rId293" Type="http://schemas.openxmlformats.org/officeDocument/2006/relationships/oleObject" Target="embeddings/oleObject3.bin"/><Relationship Id="rId2181" Type="http://schemas.openxmlformats.org/officeDocument/2006/relationships/hyperlink" Target="../Docs/R1-2312085.zip" TargetMode="External"/><Relationship Id="rId3025" Type="http://schemas.openxmlformats.org/officeDocument/2006/relationships/hyperlink" Target="../Docs/R1-2312812.zip" TargetMode="External"/><Relationship Id="rId153" Type="http://schemas.openxmlformats.org/officeDocument/2006/relationships/hyperlink" Target="../Docs/R1-2311373.zip" TargetMode="External"/><Relationship Id="rId360" Type="http://schemas.openxmlformats.org/officeDocument/2006/relationships/hyperlink" Target="../Docs/R1-2312170.zip" TargetMode="External"/><Relationship Id="rId598" Type="http://schemas.openxmlformats.org/officeDocument/2006/relationships/hyperlink" Target="../Docs/R1-2312024.zip" TargetMode="External"/><Relationship Id="rId2041" Type="http://schemas.openxmlformats.org/officeDocument/2006/relationships/hyperlink" Target="../Docs/R1-2311266.zip" TargetMode="External"/><Relationship Id="rId2279" Type="http://schemas.openxmlformats.org/officeDocument/2006/relationships/hyperlink" Target="https://portal.3gpp.org/desktopmodules/Specifications/SpecificationDetails.aspx?specificationId=3215" TargetMode="External"/><Relationship Id="rId2486" Type="http://schemas.openxmlformats.org/officeDocument/2006/relationships/hyperlink" Target="https://www.3gpp.org/ftp/TSG_RAN/WG1_RL1/TSGR1_115/Docs/R1-2312718.zip" TargetMode="External"/><Relationship Id="rId2693" Type="http://schemas.openxmlformats.org/officeDocument/2006/relationships/hyperlink" Target="https://www.3gpp.org/ftp/TSG_RAN/WG1_RL1/TSGR1_115/Docs/R1-2312785.zip" TargetMode="External"/><Relationship Id="rId220" Type="http://schemas.openxmlformats.org/officeDocument/2006/relationships/hyperlink" Target="../Docs/R1-2311008.zip" TargetMode="External"/><Relationship Id="rId458" Type="http://schemas.openxmlformats.org/officeDocument/2006/relationships/hyperlink" Target="../Docs/R1-2311765.zip" TargetMode="External"/><Relationship Id="rId665" Type="http://schemas.openxmlformats.org/officeDocument/2006/relationships/hyperlink" Target="../Docs/R1-2311785.zip" TargetMode="External"/><Relationship Id="rId872" Type="http://schemas.openxmlformats.org/officeDocument/2006/relationships/hyperlink" Target="../Docs/R1-2310829.zip" TargetMode="External"/><Relationship Id="rId1088" Type="http://schemas.openxmlformats.org/officeDocument/2006/relationships/hyperlink" Target="../Docs/R1-2311456.zip" TargetMode="External"/><Relationship Id="rId1295" Type="http://schemas.openxmlformats.org/officeDocument/2006/relationships/hyperlink" Target="../Docs/R1-2312618.zip" TargetMode="External"/><Relationship Id="rId2139" Type="http://schemas.openxmlformats.org/officeDocument/2006/relationships/hyperlink" Target="../Docs/R1-2312587.zip" TargetMode="External"/><Relationship Id="rId2346" Type="http://schemas.openxmlformats.org/officeDocument/2006/relationships/hyperlink" Target="https://www.3gpp.org/ftp/TSG_RAN/WG1_RL1/TSGR1_115/Docs/R1-2312549.zip" TargetMode="External"/><Relationship Id="rId2553" Type="http://schemas.openxmlformats.org/officeDocument/2006/relationships/hyperlink" Target="https://www.3gpp.org/ftp/TSG_RAN/WG1_RL1/TSGR1_115/Docs/R1-2312736.zip" TargetMode="External"/><Relationship Id="rId2760" Type="http://schemas.openxmlformats.org/officeDocument/2006/relationships/hyperlink" Target="https://portal.3gpp.org/desktopmodules/Release/ReleaseDetails.aspx?releaseId=193" TargetMode="External"/><Relationship Id="rId2998" Type="http://schemas.openxmlformats.org/officeDocument/2006/relationships/hyperlink" Target="../Docs/R1-2312809.zip" TargetMode="External"/><Relationship Id="rId318" Type="http://schemas.openxmlformats.org/officeDocument/2006/relationships/hyperlink" Target="../Docs/R1-2312512.zip" TargetMode="External"/><Relationship Id="rId525" Type="http://schemas.openxmlformats.org/officeDocument/2006/relationships/image" Target="media/image27.wmf"/><Relationship Id="rId732" Type="http://schemas.openxmlformats.org/officeDocument/2006/relationships/hyperlink" Target="../Docs/R1-2312662.zip" TargetMode="External"/><Relationship Id="rId1155" Type="http://schemas.openxmlformats.org/officeDocument/2006/relationships/hyperlink" Target="../Docs/R1-2312629.zip" TargetMode="External"/><Relationship Id="rId1362" Type="http://schemas.openxmlformats.org/officeDocument/2006/relationships/hyperlink" Target="../Docs/R1-2311754.zip" TargetMode="External"/><Relationship Id="rId2206" Type="http://schemas.openxmlformats.org/officeDocument/2006/relationships/hyperlink" Target="../Docs/R1-2312003.zip" TargetMode="External"/><Relationship Id="rId2413" Type="http://schemas.openxmlformats.org/officeDocument/2006/relationships/hyperlink" Target="https://www.3gpp.org/ftp/TSG_RAN/WG1_RL1/TSGR1_115/Docs/R1-2312636.zip" TargetMode="External"/><Relationship Id="rId2620" Type="http://schemas.openxmlformats.org/officeDocument/2006/relationships/hyperlink" Target="https://portal.3gpp.org/desktopmodules/WorkItem/WorkItemDetails.aspx?workitemId=981137" TargetMode="External"/><Relationship Id="rId2858" Type="http://schemas.openxmlformats.org/officeDocument/2006/relationships/hyperlink" Target="../Docs/R1-2310797.zip" TargetMode="External"/><Relationship Id="rId99" Type="http://schemas.openxmlformats.org/officeDocument/2006/relationships/hyperlink" Target="../Docs/R1-2310795.zip" TargetMode="External"/><Relationship Id="rId1015" Type="http://schemas.openxmlformats.org/officeDocument/2006/relationships/hyperlink" Target="../Docs/R1-2311796.zip" TargetMode="External"/><Relationship Id="rId1222" Type="http://schemas.openxmlformats.org/officeDocument/2006/relationships/hyperlink" Target="../Docs/R1-2310797.zip" TargetMode="External"/><Relationship Id="rId1667" Type="http://schemas.openxmlformats.org/officeDocument/2006/relationships/hyperlink" Target="../Docs/R1-2312102.zip" TargetMode="External"/><Relationship Id="rId1874" Type="http://schemas.openxmlformats.org/officeDocument/2006/relationships/hyperlink" Target="../Docs/R1-2311270.zip" TargetMode="External"/><Relationship Id="rId2718" Type="http://schemas.openxmlformats.org/officeDocument/2006/relationships/hyperlink" Target="https://portal.3gpp.org/desktopmodules/Release/ReleaseDetails.aspx?releaseId=193" TargetMode="External"/><Relationship Id="rId2925" Type="http://schemas.openxmlformats.org/officeDocument/2006/relationships/hyperlink" Target="https://portal.3gpp.org/desktopmodules/Release/ReleaseDetails.aspx?releaseId=193" TargetMode="External"/><Relationship Id="rId1527" Type="http://schemas.openxmlformats.org/officeDocument/2006/relationships/hyperlink" Target="../Docs/R1-2312273.zip" TargetMode="External"/><Relationship Id="rId1734" Type="http://schemas.openxmlformats.org/officeDocument/2006/relationships/hyperlink" Target="../Docs/R1-2311664.zip" TargetMode="External"/><Relationship Id="rId1941" Type="http://schemas.openxmlformats.org/officeDocument/2006/relationships/hyperlink" Target="../Docs/R1-2312175.zip" TargetMode="External"/><Relationship Id="rId26" Type="http://schemas.openxmlformats.org/officeDocument/2006/relationships/hyperlink" Target="../Docs/R1-2311061.zip" TargetMode="External"/><Relationship Id="rId3047" Type="http://schemas.openxmlformats.org/officeDocument/2006/relationships/fontTable" Target="fontTable.xml"/><Relationship Id="rId175" Type="http://schemas.openxmlformats.org/officeDocument/2006/relationships/hyperlink" Target="../Docs/R1-2310958.zip" TargetMode="External"/><Relationship Id="rId1801" Type="http://schemas.openxmlformats.org/officeDocument/2006/relationships/hyperlink" Target="../Docs/R1-2310879.zip" TargetMode="External"/><Relationship Id="rId382" Type="http://schemas.openxmlformats.org/officeDocument/2006/relationships/hyperlink" Target="../Docs/R1-2311667.zip" TargetMode="External"/><Relationship Id="rId687" Type="http://schemas.openxmlformats.org/officeDocument/2006/relationships/hyperlink" Target="../Docs/R1-2312647.zip" TargetMode="External"/><Relationship Id="rId2063" Type="http://schemas.openxmlformats.org/officeDocument/2006/relationships/hyperlink" Target="../Docs/R1-2311503.zip" TargetMode="External"/><Relationship Id="rId2270" Type="http://schemas.openxmlformats.org/officeDocument/2006/relationships/hyperlink" Target="https://portal.3gpp.org/desktopmodules/Release/ReleaseDetails.aspx?releaseId=193" TargetMode="External"/><Relationship Id="rId2368" Type="http://schemas.openxmlformats.org/officeDocument/2006/relationships/hyperlink" Target="https://portal.3gpp.org/desktopmodules/Release/ReleaseDetails.aspx?releaseId=193" TargetMode="External"/><Relationship Id="rId242" Type="http://schemas.openxmlformats.org/officeDocument/2006/relationships/hyperlink" Target="../Docs/R1-2310806.zip" TargetMode="External"/><Relationship Id="rId894" Type="http://schemas.openxmlformats.org/officeDocument/2006/relationships/image" Target="media/image47.wmf"/><Relationship Id="rId1177" Type="http://schemas.openxmlformats.org/officeDocument/2006/relationships/hyperlink" Target="../Docs/R1-2308644.zip" TargetMode="External"/><Relationship Id="rId2130" Type="http://schemas.openxmlformats.org/officeDocument/2006/relationships/hyperlink" Target="../Docs/R1-2310859.zip" TargetMode="External"/><Relationship Id="rId2575" Type="http://schemas.openxmlformats.org/officeDocument/2006/relationships/hyperlink" Target="https://portal.3gpp.org/desktopmodules/Specifications/SpecificationDetails.aspx?specificationId=3214" TargetMode="External"/><Relationship Id="rId2782" Type="http://schemas.openxmlformats.org/officeDocument/2006/relationships/hyperlink" Target="https://portal.3gpp.org/desktopmodules/WorkItem/WorkItemDetails.aspx?workitemId=860145" TargetMode="External"/><Relationship Id="rId102" Type="http://schemas.openxmlformats.org/officeDocument/2006/relationships/hyperlink" Target="../Docs/R1-2311892.zip" TargetMode="External"/><Relationship Id="rId547" Type="http://schemas.openxmlformats.org/officeDocument/2006/relationships/hyperlink" Target="../Docs/R1-2311301.zip" TargetMode="External"/><Relationship Id="rId754" Type="http://schemas.openxmlformats.org/officeDocument/2006/relationships/hyperlink" Target="../Docs/R1-2311314.zip" TargetMode="External"/><Relationship Id="rId961" Type="http://schemas.openxmlformats.org/officeDocument/2006/relationships/hyperlink" Target="../Docs/R1-2312703.zip" TargetMode="External"/><Relationship Id="rId1384" Type="http://schemas.openxmlformats.org/officeDocument/2006/relationships/image" Target="media/image64.png"/><Relationship Id="rId1591" Type="http://schemas.openxmlformats.org/officeDocument/2006/relationships/hyperlink" Target="../Docs/R1-2311355.zip" TargetMode="External"/><Relationship Id="rId1689" Type="http://schemas.openxmlformats.org/officeDocument/2006/relationships/hyperlink" Target="../Docs/R1-2312284.zip" TargetMode="External"/><Relationship Id="rId2228" Type="http://schemas.openxmlformats.org/officeDocument/2006/relationships/hyperlink" Target="../Docs/R1-2312423.zip" TargetMode="External"/><Relationship Id="rId2435" Type="http://schemas.openxmlformats.org/officeDocument/2006/relationships/hyperlink" Target="https://portal.3gpp.org/desktopmodules/Release/ReleaseDetails.aspx?releaseId=193" TargetMode="External"/><Relationship Id="rId2642" Type="http://schemas.openxmlformats.org/officeDocument/2006/relationships/hyperlink" Target="https://portal.3gpp.org/desktopmodules/Release/ReleaseDetails.aspx?releaseId=193" TargetMode="External"/><Relationship Id="rId90" Type="http://schemas.openxmlformats.org/officeDocument/2006/relationships/hyperlink" Target="../Docs/R1-2311451.zip" TargetMode="External"/><Relationship Id="rId407" Type="http://schemas.openxmlformats.org/officeDocument/2006/relationships/hyperlink" Target="../Docs/R1-2312598.zip" TargetMode="External"/><Relationship Id="rId614" Type="http://schemas.openxmlformats.org/officeDocument/2006/relationships/hyperlink" Target="../Docs/R1-2312477.zip" TargetMode="External"/><Relationship Id="rId821" Type="http://schemas.openxmlformats.org/officeDocument/2006/relationships/hyperlink" Target="../Docs/R1-2311041.zip" TargetMode="External"/><Relationship Id="rId1037" Type="http://schemas.openxmlformats.org/officeDocument/2006/relationships/hyperlink" Target="../Docs/R1-2311238.zip" TargetMode="External"/><Relationship Id="rId1244" Type="http://schemas.openxmlformats.org/officeDocument/2006/relationships/hyperlink" Target="../Docs/R1-2311601.zip" TargetMode="External"/><Relationship Id="rId1451" Type="http://schemas.openxmlformats.org/officeDocument/2006/relationships/hyperlink" Target="../Docs/R1-2311490.zip" TargetMode="External"/><Relationship Id="rId1896" Type="http://schemas.openxmlformats.org/officeDocument/2006/relationships/hyperlink" Target="../Docs/R1-2312173.zip" TargetMode="External"/><Relationship Id="rId2502" Type="http://schemas.openxmlformats.org/officeDocument/2006/relationships/hyperlink" Target="https://portal.3gpp.org/desktopmodules/Release/ReleaseDetails.aspx?releaseId=193" TargetMode="External"/><Relationship Id="rId2947" Type="http://schemas.openxmlformats.org/officeDocument/2006/relationships/hyperlink" Target="../Docs/R1-2312781.zip" TargetMode="External"/><Relationship Id="rId919" Type="http://schemas.openxmlformats.org/officeDocument/2006/relationships/hyperlink" Target="../Docs/R1-2311835.zip" TargetMode="External"/><Relationship Id="rId1104" Type="http://schemas.openxmlformats.org/officeDocument/2006/relationships/hyperlink" Target="../Docs/R1-2312297.zip" TargetMode="External"/><Relationship Id="rId1311" Type="http://schemas.openxmlformats.org/officeDocument/2006/relationships/hyperlink" Target="../Docs/R1-2311535.zip" TargetMode="External"/><Relationship Id="rId1549" Type="http://schemas.openxmlformats.org/officeDocument/2006/relationships/hyperlink" Target="../Docs/R1-2312306.zip" TargetMode="External"/><Relationship Id="rId1756" Type="http://schemas.openxmlformats.org/officeDocument/2006/relationships/hyperlink" Target="../Docs/R1-2312052.zip" TargetMode="External"/><Relationship Id="rId1963" Type="http://schemas.openxmlformats.org/officeDocument/2006/relationships/hyperlink" Target="../Docs/R1-2312447.zip" TargetMode="External"/><Relationship Id="rId2807" Type="http://schemas.openxmlformats.org/officeDocument/2006/relationships/hyperlink" Target="https://portal.3gpp.org/desktopmodules/Release/ReleaseDetails.aspx?releaseId=193" TargetMode="External"/><Relationship Id="rId48" Type="http://schemas.openxmlformats.org/officeDocument/2006/relationships/hyperlink" Target="../Docs/R1-2311133.zip" TargetMode="External"/><Relationship Id="rId1409" Type="http://schemas.openxmlformats.org/officeDocument/2006/relationships/hyperlink" Target="../Docs/R1-2311349.zip" TargetMode="External"/><Relationship Id="rId1616" Type="http://schemas.openxmlformats.org/officeDocument/2006/relationships/hyperlink" Target="../Docs/R1-2312367.zip" TargetMode="External"/><Relationship Id="rId1823" Type="http://schemas.openxmlformats.org/officeDocument/2006/relationships/hyperlink" Target="../Docs/R1-2312055.zip" TargetMode="External"/><Relationship Id="rId197" Type="http://schemas.openxmlformats.org/officeDocument/2006/relationships/hyperlink" Target="../Docs/R1-2312165.zip" TargetMode="External"/><Relationship Id="rId2085" Type="http://schemas.openxmlformats.org/officeDocument/2006/relationships/hyperlink" Target="../Docs/R1-2311711.zip" TargetMode="External"/><Relationship Id="rId2292" Type="http://schemas.openxmlformats.org/officeDocument/2006/relationships/hyperlink" Target="https://portal.3gpp.org/desktopmodules/WorkItem/WorkItemDetails.aspx?workitemId=800185" TargetMode="External"/><Relationship Id="rId264" Type="http://schemas.openxmlformats.org/officeDocument/2006/relationships/hyperlink" Target="../Docs/R1-2312440.zip" TargetMode="External"/><Relationship Id="rId471" Type="http://schemas.openxmlformats.org/officeDocument/2006/relationships/hyperlink" Target="../Docs/R1-2312323.zip" TargetMode="External"/><Relationship Id="rId2152" Type="http://schemas.openxmlformats.org/officeDocument/2006/relationships/hyperlink" Target="../Docs/R1-2312581.zip" TargetMode="External"/><Relationship Id="rId2597" Type="http://schemas.openxmlformats.org/officeDocument/2006/relationships/hyperlink" Target="https://www.3gpp.org/ftp/TSG_RAN/WG1_RL1/TSGR1_115/Docs/R1-2312747.zip" TargetMode="External"/><Relationship Id="rId124" Type="http://schemas.openxmlformats.org/officeDocument/2006/relationships/hyperlink" Target="../Docs/R1-2311812.zip" TargetMode="External"/><Relationship Id="rId569" Type="http://schemas.openxmlformats.org/officeDocument/2006/relationships/hyperlink" Target="../Docs/R1-2312089.zip" TargetMode="External"/><Relationship Id="rId776" Type="http://schemas.openxmlformats.org/officeDocument/2006/relationships/image" Target="media/image33.wmf"/><Relationship Id="rId983" Type="http://schemas.openxmlformats.org/officeDocument/2006/relationships/hyperlink" Target="../Docs/R1-2312031.zip" TargetMode="External"/><Relationship Id="rId1199" Type="http://schemas.openxmlformats.org/officeDocument/2006/relationships/hyperlink" Target="../Docs/R1-2312302.zip" TargetMode="External"/><Relationship Id="rId2457" Type="http://schemas.openxmlformats.org/officeDocument/2006/relationships/hyperlink" Target="https://portal.3gpp.org/desktopmodules/Specifications/SpecificationDetails.aspx?specificationId=3215" TargetMode="External"/><Relationship Id="rId2664" Type="http://schemas.openxmlformats.org/officeDocument/2006/relationships/hyperlink" Target="https://portal.3gpp.org/desktopmodules/WorkItem/WorkItemDetails.aspx?workitemId=940195" TargetMode="External"/><Relationship Id="rId331" Type="http://schemas.openxmlformats.org/officeDocument/2006/relationships/hyperlink" Target="../Docs/R1-2312236.zip" TargetMode="External"/><Relationship Id="rId429" Type="http://schemas.openxmlformats.org/officeDocument/2006/relationships/hyperlink" Target="../Docs/R1-2311293.zip" TargetMode="External"/><Relationship Id="rId636" Type="http://schemas.openxmlformats.org/officeDocument/2006/relationships/hyperlink" Target="../Docs/R1-2310607.zip" TargetMode="External"/><Relationship Id="rId1059" Type="http://schemas.openxmlformats.org/officeDocument/2006/relationships/hyperlink" Target="../Docs/R1-2311753.zip" TargetMode="External"/><Relationship Id="rId1266" Type="http://schemas.openxmlformats.org/officeDocument/2006/relationships/hyperlink" Target="../Docs/R1-2312283.zip" TargetMode="External"/><Relationship Id="rId1473" Type="http://schemas.openxmlformats.org/officeDocument/2006/relationships/hyperlink" Target="../Docs/R1-2310955.zip" TargetMode="External"/><Relationship Id="rId2012" Type="http://schemas.openxmlformats.org/officeDocument/2006/relationships/hyperlink" Target="../Docs/R1-2311868.zip" TargetMode="External"/><Relationship Id="rId2317" Type="http://schemas.openxmlformats.org/officeDocument/2006/relationships/hyperlink" Target="https://www.3gpp.org/ftp/TSG_RAN/WG1_RL1/TSGR1_115/Docs/R1-2312524.zip" TargetMode="External"/><Relationship Id="rId2871" Type="http://schemas.openxmlformats.org/officeDocument/2006/relationships/hyperlink" Target="../Docs/R1-2308561.zip" TargetMode="External"/><Relationship Id="rId2969" Type="http://schemas.openxmlformats.org/officeDocument/2006/relationships/hyperlink" Target="../Docs/R1-2312758.zip" TargetMode="External"/><Relationship Id="rId843" Type="http://schemas.openxmlformats.org/officeDocument/2006/relationships/hyperlink" Target="../Docs/R1-2312373.zip" TargetMode="External"/><Relationship Id="rId1126" Type="http://schemas.openxmlformats.org/officeDocument/2006/relationships/hyperlink" Target="../Docs/R1-2311096.zip" TargetMode="External"/><Relationship Id="rId1680" Type="http://schemas.openxmlformats.org/officeDocument/2006/relationships/hyperlink" Target="../Docs/R1-2311388.zip" TargetMode="External"/><Relationship Id="rId1778" Type="http://schemas.openxmlformats.org/officeDocument/2006/relationships/hyperlink" Target="../Docs/R1-2311862.zip" TargetMode="External"/><Relationship Id="rId1985" Type="http://schemas.openxmlformats.org/officeDocument/2006/relationships/hyperlink" Target="../Docs/R1-2311117.zip" TargetMode="External"/><Relationship Id="rId2524" Type="http://schemas.openxmlformats.org/officeDocument/2006/relationships/hyperlink" Target="https://portal.3gpp.org/desktopmodules/WorkItem/WorkItemDetails.aspx?workitemId=970179" TargetMode="External"/><Relationship Id="rId2731" Type="http://schemas.openxmlformats.org/officeDocument/2006/relationships/hyperlink" Target="https://www.3gpp.org/ftp/TSG_RAN/WG1_RL1/TSGR1_115/Docs/R1-2312382.zip" TargetMode="External"/><Relationship Id="rId2829" Type="http://schemas.openxmlformats.org/officeDocument/2006/relationships/hyperlink" Target="../Docs/R1-2308644.zip" TargetMode="External"/><Relationship Id="rId703" Type="http://schemas.openxmlformats.org/officeDocument/2006/relationships/hyperlink" Target="../Docs/R1-2312700.zip" TargetMode="External"/><Relationship Id="rId910" Type="http://schemas.openxmlformats.org/officeDocument/2006/relationships/hyperlink" Target="../Docs/R1-2311523.zip" TargetMode="External"/><Relationship Id="rId1333" Type="http://schemas.openxmlformats.org/officeDocument/2006/relationships/image" Target="media/image53.png"/><Relationship Id="rId1540" Type="http://schemas.openxmlformats.org/officeDocument/2006/relationships/hyperlink" Target="../Docs/R1-2311493.zip" TargetMode="External"/><Relationship Id="rId1638" Type="http://schemas.openxmlformats.org/officeDocument/2006/relationships/image" Target="media/image85.png"/><Relationship Id="rId1400" Type="http://schemas.openxmlformats.org/officeDocument/2006/relationships/image" Target="media/image80.png"/><Relationship Id="rId1845" Type="http://schemas.openxmlformats.org/officeDocument/2006/relationships/hyperlink" Target="../Docs/R1-2311639.zip" TargetMode="External"/><Relationship Id="rId1705" Type="http://schemas.openxmlformats.org/officeDocument/2006/relationships/hyperlink" Target="../Docs/R1-2312625.zip" TargetMode="External"/><Relationship Id="rId1912" Type="http://schemas.openxmlformats.org/officeDocument/2006/relationships/image" Target="media/image89.png"/><Relationship Id="rId286" Type="http://schemas.openxmlformats.org/officeDocument/2006/relationships/hyperlink" Target="../Docs/R1-2311670.zip" TargetMode="External"/><Relationship Id="rId493" Type="http://schemas.openxmlformats.org/officeDocument/2006/relationships/hyperlink" Target="../Docs/R1-2312620.zip" TargetMode="External"/><Relationship Id="rId2174" Type="http://schemas.openxmlformats.org/officeDocument/2006/relationships/hyperlink" Target="../Docs/R1-2311255.zip" TargetMode="External"/><Relationship Id="rId2381" Type="http://schemas.openxmlformats.org/officeDocument/2006/relationships/hyperlink" Target="https://www.3gpp.org/ftp/TSG_RAN/WG1_RL1/TSGR1_115/Docs/R1-2312599.zip" TargetMode="External"/><Relationship Id="rId3018" Type="http://schemas.openxmlformats.org/officeDocument/2006/relationships/hyperlink" Target="../Docs/R1-2312726.zip" TargetMode="External"/><Relationship Id="rId146" Type="http://schemas.openxmlformats.org/officeDocument/2006/relationships/hyperlink" Target="../Docs/R1-2311004.zip" TargetMode="External"/><Relationship Id="rId353" Type="http://schemas.openxmlformats.org/officeDocument/2006/relationships/hyperlink" Target="../Docs/R1-2311010.zip" TargetMode="External"/><Relationship Id="rId560" Type="http://schemas.openxmlformats.org/officeDocument/2006/relationships/hyperlink" Target="../Docs/R1-2312290.zip" TargetMode="External"/><Relationship Id="rId798" Type="http://schemas.openxmlformats.org/officeDocument/2006/relationships/hyperlink" Target="../Docs/R1-2311214.zip" TargetMode="External"/><Relationship Id="rId1190" Type="http://schemas.openxmlformats.org/officeDocument/2006/relationships/hyperlink" Target="../Docs/R1-2311460.zip" TargetMode="External"/><Relationship Id="rId2034" Type="http://schemas.openxmlformats.org/officeDocument/2006/relationships/hyperlink" Target="../Docs/R1-2312576.zip" TargetMode="External"/><Relationship Id="rId2241" Type="http://schemas.openxmlformats.org/officeDocument/2006/relationships/hyperlink" Target="https://www.3gpp.org/ftp/TSG_RAN/WG1_RL1/TSGR1_115/Docs/R1-2312378.zip" TargetMode="External"/><Relationship Id="rId2479" Type="http://schemas.openxmlformats.org/officeDocument/2006/relationships/hyperlink" Target="https://www.3gpp.org/ftp/TSG_RAN/WG1_RL1/TSGR1_115/Docs/R1-2312714.zip" TargetMode="External"/><Relationship Id="rId2686" Type="http://schemas.openxmlformats.org/officeDocument/2006/relationships/hyperlink" Target="https://portal.3gpp.org/desktopmodules/Release/ReleaseDetails.aspx?releaseId=193" TargetMode="External"/><Relationship Id="rId2893" Type="http://schemas.openxmlformats.org/officeDocument/2006/relationships/hyperlink" Target="../Docs/R1-2310808.zip" TargetMode="External"/><Relationship Id="rId213" Type="http://schemas.openxmlformats.org/officeDocument/2006/relationships/hyperlink" Target="../Docs/R1-2311805.zip" TargetMode="External"/><Relationship Id="rId420" Type="http://schemas.openxmlformats.org/officeDocument/2006/relationships/hyperlink" Target="../Docs/R1-2312675.zip" TargetMode="External"/><Relationship Id="rId658" Type="http://schemas.openxmlformats.org/officeDocument/2006/relationships/hyperlink" Target="../Docs/R1-2310983.zip" TargetMode="External"/><Relationship Id="rId865" Type="http://schemas.openxmlformats.org/officeDocument/2006/relationships/hyperlink" Target="../Docs/R1-2312266.zip" TargetMode="External"/><Relationship Id="rId1050" Type="http://schemas.openxmlformats.org/officeDocument/2006/relationships/hyperlink" Target="../Docs/R1-2312260.zip" TargetMode="External"/><Relationship Id="rId1288" Type="http://schemas.openxmlformats.org/officeDocument/2006/relationships/hyperlink" Target="../Docs/R1-2312040.zip" TargetMode="External"/><Relationship Id="rId1495" Type="http://schemas.openxmlformats.org/officeDocument/2006/relationships/hyperlink" Target="../Docs/R1-2312507.zip" TargetMode="External"/><Relationship Id="rId2101" Type="http://schemas.openxmlformats.org/officeDocument/2006/relationships/hyperlink" Target="../Docs/R1-2311648.zip" TargetMode="External"/><Relationship Id="rId2339" Type="http://schemas.openxmlformats.org/officeDocument/2006/relationships/hyperlink" Target="https://portal.3gpp.org/desktopmodules/Release/ReleaseDetails.aspx?releaseId=193" TargetMode="External"/><Relationship Id="rId2546" Type="http://schemas.openxmlformats.org/officeDocument/2006/relationships/hyperlink" Target="https://portal.3gpp.org/desktopmodules/Release/ReleaseDetails.aspx?releaseId=193" TargetMode="External"/><Relationship Id="rId2753" Type="http://schemas.openxmlformats.org/officeDocument/2006/relationships/hyperlink" Target="https://portal.3gpp.org/desktopmodules/WorkItem/WorkItemDetails.aspx?workitemId=941112" TargetMode="External"/><Relationship Id="rId2960" Type="http://schemas.openxmlformats.org/officeDocument/2006/relationships/hyperlink" Target="../Docs/R1-2312746.zip" TargetMode="External"/><Relationship Id="rId518" Type="http://schemas.openxmlformats.org/officeDocument/2006/relationships/image" Target="media/image22.png"/><Relationship Id="rId725" Type="http://schemas.openxmlformats.org/officeDocument/2006/relationships/hyperlink" Target="../Docs/R1-2312538.zip" TargetMode="External"/><Relationship Id="rId932" Type="http://schemas.openxmlformats.org/officeDocument/2006/relationships/hyperlink" Target="../Docs/R1-2311219.zip" TargetMode="External"/><Relationship Id="rId1148" Type="http://schemas.openxmlformats.org/officeDocument/2006/relationships/hyperlink" Target="../Docs/R1-2310764.zip" TargetMode="External"/><Relationship Id="rId1355" Type="http://schemas.openxmlformats.org/officeDocument/2006/relationships/hyperlink" Target="../Docs/R1-2311488.zip" TargetMode="External"/><Relationship Id="rId1562" Type="http://schemas.openxmlformats.org/officeDocument/2006/relationships/hyperlink" Target="../Docs/R1-2311427.zip" TargetMode="External"/><Relationship Id="rId2406" Type="http://schemas.openxmlformats.org/officeDocument/2006/relationships/hyperlink" Target="https://portal.3gpp.org/desktopmodules/WorkItem/WorkItemDetails.aspx?workitemId=860140" TargetMode="External"/><Relationship Id="rId2613" Type="http://schemas.openxmlformats.org/officeDocument/2006/relationships/hyperlink" Target="https://www.3gpp.org/ftp/TSG_RAN/WG1_RL1/TSGR1_115/Docs/R1-2312751.zip" TargetMode="External"/><Relationship Id="rId1008" Type="http://schemas.openxmlformats.org/officeDocument/2006/relationships/hyperlink" Target="../Docs/R1-2311516.zip" TargetMode="External"/><Relationship Id="rId1215" Type="http://schemas.openxmlformats.org/officeDocument/2006/relationships/hyperlink" Target="../Docs/R1-2311686.zip" TargetMode="External"/><Relationship Id="rId1422" Type="http://schemas.openxmlformats.org/officeDocument/2006/relationships/hyperlink" Target="../Docs/R1-2312385.zip" TargetMode="External"/><Relationship Id="rId1867" Type="http://schemas.openxmlformats.org/officeDocument/2006/relationships/hyperlink" Target="../Docs/R1-2310914.zip" TargetMode="External"/><Relationship Id="rId2820" Type="http://schemas.openxmlformats.org/officeDocument/2006/relationships/hyperlink" Target="https://portal.3gpp.org/desktopmodules/WorkItem/WorkItemDetails.aspx?workitemId=981138" TargetMode="External"/><Relationship Id="rId2918" Type="http://schemas.openxmlformats.org/officeDocument/2006/relationships/hyperlink" Target="../Docs/R1-2311005.zip" TargetMode="External"/><Relationship Id="rId61" Type="http://schemas.openxmlformats.org/officeDocument/2006/relationships/hyperlink" Target="../Docs/R1-2312147.zip" TargetMode="External"/><Relationship Id="rId1727" Type="http://schemas.openxmlformats.org/officeDocument/2006/relationships/hyperlink" Target="../Docs/R1-2312553.zip" TargetMode="External"/><Relationship Id="rId1934" Type="http://schemas.openxmlformats.org/officeDocument/2006/relationships/hyperlink" Target="../Docs/R1-2312425.zip" TargetMode="External"/><Relationship Id="rId19" Type="http://schemas.openxmlformats.org/officeDocument/2006/relationships/hyperlink" Target="../Docs/R1-2312146.zip" TargetMode="External"/><Relationship Id="rId2196" Type="http://schemas.openxmlformats.org/officeDocument/2006/relationships/hyperlink" Target="../Docs/R1-2311919.zip" TargetMode="External"/><Relationship Id="rId168" Type="http://schemas.openxmlformats.org/officeDocument/2006/relationships/hyperlink" Target="../Docs/R1-2311957.zip" TargetMode="External"/><Relationship Id="rId375" Type="http://schemas.openxmlformats.org/officeDocument/2006/relationships/hyperlink" Target="../Docs/R1-2311731.zip" TargetMode="External"/><Relationship Id="rId582" Type="http://schemas.openxmlformats.org/officeDocument/2006/relationships/hyperlink" Target="../Docs/R1-2311967.zip" TargetMode="External"/><Relationship Id="rId2056" Type="http://schemas.openxmlformats.org/officeDocument/2006/relationships/hyperlink" Target="../Docs/R1-2310997.zip" TargetMode="External"/><Relationship Id="rId2263" Type="http://schemas.openxmlformats.org/officeDocument/2006/relationships/hyperlink" Target="https://portal.3gpp.org/desktopmodules/Specifications/SpecificationDetails.aspx?specificationId=3215" TargetMode="External"/><Relationship Id="rId2470" Type="http://schemas.openxmlformats.org/officeDocument/2006/relationships/hyperlink" Target="https://portal.3gpp.org/desktopmodules/WorkItem/WorkItemDetails.aspx?workitemId=900162" TargetMode="External"/><Relationship Id="rId3" Type="http://schemas.openxmlformats.org/officeDocument/2006/relationships/numbering" Target="numbering.xml"/><Relationship Id="rId235" Type="http://schemas.openxmlformats.org/officeDocument/2006/relationships/hyperlink" Target="../Docs/R1-2311777.zip" TargetMode="External"/><Relationship Id="rId442" Type="http://schemas.openxmlformats.org/officeDocument/2006/relationships/hyperlink" Target="../Docs/R1-2312453.zip" TargetMode="External"/><Relationship Id="rId887" Type="http://schemas.openxmlformats.org/officeDocument/2006/relationships/hyperlink" Target="../Docs/R1-2311883.zip" TargetMode="External"/><Relationship Id="rId1072" Type="http://schemas.openxmlformats.org/officeDocument/2006/relationships/hyperlink" Target="../Docs/R1-2311141.zip" TargetMode="External"/><Relationship Id="rId2123" Type="http://schemas.openxmlformats.org/officeDocument/2006/relationships/hyperlink" Target="../Docs/R1-2311874.zip" TargetMode="External"/><Relationship Id="rId2330" Type="http://schemas.openxmlformats.org/officeDocument/2006/relationships/hyperlink" Target="https://portal.3gpp.org/desktopmodules/Specifications/SpecificationDetails.aspx?specificationId=3216" TargetMode="External"/><Relationship Id="rId2568" Type="http://schemas.openxmlformats.org/officeDocument/2006/relationships/hyperlink" Target="https://portal.3gpp.org/desktopmodules/WorkItem/WorkItemDetails.aspx?workitemId=940195" TargetMode="External"/><Relationship Id="rId2775" Type="http://schemas.openxmlformats.org/officeDocument/2006/relationships/hyperlink" Target="https://portal.3gpp.org/desktopmodules/Release/ReleaseDetails.aspx?releaseId=193" TargetMode="External"/><Relationship Id="rId2982" Type="http://schemas.openxmlformats.org/officeDocument/2006/relationships/hyperlink" Target="../Docs/R1-2312759.zip" TargetMode="External"/><Relationship Id="rId302" Type="http://schemas.openxmlformats.org/officeDocument/2006/relationships/hyperlink" Target="../Docs/R1-2312366.zip" TargetMode="External"/><Relationship Id="rId747" Type="http://schemas.openxmlformats.org/officeDocument/2006/relationships/hyperlink" Target="../Docs/R1-2310947.zip" TargetMode="External"/><Relationship Id="rId954" Type="http://schemas.openxmlformats.org/officeDocument/2006/relationships/image" Target="media/image49.png"/><Relationship Id="rId1377" Type="http://schemas.openxmlformats.org/officeDocument/2006/relationships/hyperlink" Target="../Docs/R1-2312410.zip" TargetMode="External"/><Relationship Id="rId1584" Type="http://schemas.openxmlformats.org/officeDocument/2006/relationships/image" Target="media/image82.emf"/><Relationship Id="rId1791" Type="http://schemas.openxmlformats.org/officeDocument/2006/relationships/hyperlink" Target="../Docs/R1-2311247.zip" TargetMode="External"/><Relationship Id="rId2428" Type="http://schemas.openxmlformats.org/officeDocument/2006/relationships/hyperlink" Target="https://www.3gpp.org/ftp/TSG_RAN/WG1_RL1/TSGR1_115/Docs/R1-2312674.zip" TargetMode="External"/><Relationship Id="rId2635" Type="http://schemas.openxmlformats.org/officeDocument/2006/relationships/hyperlink" Target="https://portal.3gpp.org/desktopmodules/Specifications/SpecificationDetails.aspx?specificationId=3216" TargetMode="External"/><Relationship Id="rId2842" Type="http://schemas.openxmlformats.org/officeDocument/2006/relationships/hyperlink" Target="https://portal.3gpp.org/desktopmodules/WorkItem/WorkItemDetails.aspx?workitemId=860151" TargetMode="External"/><Relationship Id="rId83" Type="http://schemas.openxmlformats.org/officeDocument/2006/relationships/hyperlink" Target="../Docs/R1-2311810.zip" TargetMode="External"/><Relationship Id="rId607" Type="http://schemas.openxmlformats.org/officeDocument/2006/relationships/hyperlink" Target="../Docs/R1-2311310.zip" TargetMode="External"/><Relationship Id="rId814" Type="http://schemas.openxmlformats.org/officeDocument/2006/relationships/hyperlink" Target="../Docs/R1-2312026.zip" TargetMode="External"/><Relationship Id="rId1237" Type="http://schemas.openxmlformats.org/officeDocument/2006/relationships/hyperlink" Target="../Docs/R1-2311146.zip" TargetMode="External"/><Relationship Id="rId1444" Type="http://schemas.openxmlformats.org/officeDocument/2006/relationships/hyperlink" Target="../Docs/R1-2311172.zip" TargetMode="External"/><Relationship Id="rId1651" Type="http://schemas.openxmlformats.org/officeDocument/2006/relationships/hyperlink" Target="../Docs/R1-2311177.zip" TargetMode="External"/><Relationship Id="rId1889" Type="http://schemas.openxmlformats.org/officeDocument/2006/relationships/hyperlink" Target="../Docs/R1-2311865.zip" TargetMode="External"/><Relationship Id="rId2702" Type="http://schemas.openxmlformats.org/officeDocument/2006/relationships/hyperlink" Target="https://portal.3gpp.org/desktopmodules/Release/ReleaseDetails.aspx?releaseId=193" TargetMode="External"/><Relationship Id="rId1304" Type="http://schemas.openxmlformats.org/officeDocument/2006/relationships/hyperlink" Target="../Docs/R1-2311170.zip" TargetMode="External"/><Relationship Id="rId1511" Type="http://schemas.openxmlformats.org/officeDocument/2006/relationships/hyperlink" Target="../Docs/R1-2311631.zip" TargetMode="External"/><Relationship Id="rId1749" Type="http://schemas.openxmlformats.org/officeDocument/2006/relationships/hyperlink" Target="../Docs/R1-2311513.zip" TargetMode="External"/><Relationship Id="rId1956" Type="http://schemas.openxmlformats.org/officeDocument/2006/relationships/hyperlink" Target="../Docs/R1-2312322.zip" TargetMode="External"/><Relationship Id="rId106" Type="http://schemas.openxmlformats.org/officeDocument/2006/relationships/hyperlink" Target="../Docs/R1-2310975.zip" TargetMode="External"/><Relationship Id="rId313" Type="http://schemas.openxmlformats.org/officeDocument/2006/relationships/hyperlink" Target="../Docs/R1-2312372.zip" TargetMode="External"/><Relationship Id="rId758" Type="http://schemas.openxmlformats.org/officeDocument/2006/relationships/hyperlink" Target="../Docs/R1-2311432.zip" TargetMode="External"/><Relationship Id="rId965" Type="http://schemas.openxmlformats.org/officeDocument/2006/relationships/hyperlink" Target="../Docs/R1-2311090.zip" TargetMode="External"/><Relationship Id="rId1150" Type="http://schemas.openxmlformats.org/officeDocument/2006/relationships/hyperlink" Target="../Docs/R1-2310743.zip" TargetMode="External"/><Relationship Id="rId1388" Type="http://schemas.openxmlformats.org/officeDocument/2006/relationships/image" Target="media/image68.png"/><Relationship Id="rId1595" Type="http://schemas.openxmlformats.org/officeDocument/2006/relationships/hyperlink" Target="../Docs/R1-2311857.zip" TargetMode="External"/><Relationship Id="rId1609" Type="http://schemas.openxmlformats.org/officeDocument/2006/relationships/hyperlink" Target="../Docs/R1-2312668.zip" TargetMode="External"/><Relationship Id="rId1816" Type="http://schemas.openxmlformats.org/officeDocument/2006/relationships/hyperlink" Target="../Docs/R1-2312299.zip" TargetMode="External"/><Relationship Id="rId2439" Type="http://schemas.openxmlformats.org/officeDocument/2006/relationships/hyperlink" Target="https://portal.3gpp.org/desktopmodules/Specifications/SpecificationDetails.aspx?specificationId=3215" TargetMode="External"/><Relationship Id="rId2646" Type="http://schemas.openxmlformats.org/officeDocument/2006/relationships/hyperlink" Target="https://portal.3gpp.org/desktopmodules/Release/ReleaseDetails.aspx?releaseId=193" TargetMode="External"/><Relationship Id="rId2853" Type="http://schemas.openxmlformats.org/officeDocument/2006/relationships/hyperlink" Target="../Docs/R1-2306259.zip" TargetMode="External"/><Relationship Id="rId10" Type="http://schemas.openxmlformats.org/officeDocument/2006/relationships/hyperlink" Target="https://www.etsi.org/intellectual-property-rights/ipr" TargetMode="External"/><Relationship Id="rId94" Type="http://schemas.openxmlformats.org/officeDocument/2006/relationships/hyperlink" Target="../Docs/R1-2311801.zip" TargetMode="External"/><Relationship Id="rId397" Type="http://schemas.openxmlformats.org/officeDocument/2006/relationships/hyperlink" Target="../Docs/R1-2312200.zip" TargetMode="External"/><Relationship Id="rId520" Type="http://schemas.openxmlformats.org/officeDocument/2006/relationships/oleObject" Target="embeddings/oleObject18.bin"/><Relationship Id="rId618" Type="http://schemas.openxmlformats.org/officeDocument/2006/relationships/hyperlink" Target="../Docs/R1-2311609.zip" TargetMode="External"/><Relationship Id="rId825" Type="http://schemas.openxmlformats.org/officeDocument/2006/relationships/hyperlink" Target="../Docs/R1-2311316.zip" TargetMode="External"/><Relationship Id="rId1248" Type="http://schemas.openxmlformats.org/officeDocument/2006/relationships/hyperlink" Target="../Docs/R1-2311913.zip" TargetMode="External"/><Relationship Id="rId1455" Type="http://schemas.openxmlformats.org/officeDocument/2006/relationships/hyperlink" Target="../Docs/R1-2311629.zip" TargetMode="External"/><Relationship Id="rId1662" Type="http://schemas.openxmlformats.org/officeDocument/2006/relationships/hyperlink" Target="../Docs/R1-2311758.zip" TargetMode="External"/><Relationship Id="rId2078" Type="http://schemas.openxmlformats.org/officeDocument/2006/relationships/hyperlink" Target="../Docs/R1-2311122.zip" TargetMode="External"/><Relationship Id="rId2201" Type="http://schemas.openxmlformats.org/officeDocument/2006/relationships/hyperlink" Target="../Docs/R1-2310903.zip" TargetMode="External"/><Relationship Id="rId2285" Type="http://schemas.openxmlformats.org/officeDocument/2006/relationships/hyperlink" Target="https://www.3gpp.org/ftp/TSG_RAN/WG1_RL1/TSGR1_115/Docs/R1-2312482.zip" TargetMode="External"/><Relationship Id="rId2492" Type="http://schemas.openxmlformats.org/officeDocument/2006/relationships/hyperlink" Target="https://www.3gpp.org/ftp/TSG_RAN/WG1_RL1/TSGR1_115/Docs/R1-2312720.zip" TargetMode="External"/><Relationship Id="rId2506" Type="http://schemas.openxmlformats.org/officeDocument/2006/relationships/hyperlink" Target="https://portal.3gpp.org/desktopmodules/Release/ReleaseDetails.aspx?releaseId=193" TargetMode="External"/><Relationship Id="rId3031" Type="http://schemas.openxmlformats.org/officeDocument/2006/relationships/hyperlink" Target="../Docs/R1-2312776.zip" TargetMode="External"/><Relationship Id="rId257" Type="http://schemas.openxmlformats.org/officeDocument/2006/relationships/hyperlink" Target="../Docs/R1-2312178.zip" TargetMode="External"/><Relationship Id="rId464" Type="http://schemas.openxmlformats.org/officeDocument/2006/relationships/hyperlink" Target="../Docs/R1-2312078.zip" TargetMode="External"/><Relationship Id="rId1010" Type="http://schemas.openxmlformats.org/officeDocument/2006/relationships/hyperlink" Target="../Docs/R1-2311589.zip" TargetMode="External"/><Relationship Id="rId1094" Type="http://schemas.openxmlformats.org/officeDocument/2006/relationships/hyperlink" Target="../Docs/R1-2311932.zip" TargetMode="External"/><Relationship Id="rId1108" Type="http://schemas.openxmlformats.org/officeDocument/2006/relationships/hyperlink" Target="../Docs/R1-2311142.zip" TargetMode="External"/><Relationship Id="rId1315" Type="http://schemas.openxmlformats.org/officeDocument/2006/relationships/hyperlink" Target="../Docs/R1-2311689.zip" TargetMode="External"/><Relationship Id="rId1967" Type="http://schemas.openxmlformats.org/officeDocument/2006/relationships/hyperlink" Target="../Docs/R1-2311206.zip" TargetMode="External"/><Relationship Id="rId2145" Type="http://schemas.openxmlformats.org/officeDocument/2006/relationships/hyperlink" Target="../Docs/R1-2312611.zip" TargetMode="External"/><Relationship Id="rId2713" Type="http://schemas.openxmlformats.org/officeDocument/2006/relationships/hyperlink" Target="https://www.3gpp.org/ftp/TSG_RAN/WG1_RL1/TSGR1_115/Docs/R1-2312804.zip" TargetMode="External"/><Relationship Id="rId2797" Type="http://schemas.openxmlformats.org/officeDocument/2006/relationships/hyperlink" Target="https://www.3gpp.org/ftp/TSG_RAN/WG1_RL1/TSGR1_115/Docs/R1-2312668.zip" TargetMode="External"/><Relationship Id="rId2920" Type="http://schemas.openxmlformats.org/officeDocument/2006/relationships/hyperlink" Target="https://portal.3gpp.org/desktopmodules/WorkItem/WorkItemDetails.aspx?workitemId=940195" TargetMode="External"/><Relationship Id="rId117" Type="http://schemas.openxmlformats.org/officeDocument/2006/relationships/hyperlink" Target="../Docs/R1-2310800.zip" TargetMode="External"/><Relationship Id="rId671" Type="http://schemas.openxmlformats.org/officeDocument/2006/relationships/hyperlink" Target="../Docs/R1-2312278.zip" TargetMode="External"/><Relationship Id="rId769" Type="http://schemas.openxmlformats.org/officeDocument/2006/relationships/hyperlink" Target="../Docs/R1-2311829.zip" TargetMode="External"/><Relationship Id="rId976" Type="http://schemas.openxmlformats.org/officeDocument/2006/relationships/hyperlink" Target="../Docs/R1-2311679.zip" TargetMode="External"/><Relationship Id="rId1399" Type="http://schemas.openxmlformats.org/officeDocument/2006/relationships/image" Target="media/image79.png"/><Relationship Id="rId2352" Type="http://schemas.openxmlformats.org/officeDocument/2006/relationships/hyperlink" Target="https://portal.3gpp.org/desktopmodules/Specifications/SpecificationDetails.aspx?specificationId=3216" TargetMode="External"/><Relationship Id="rId2657" Type="http://schemas.openxmlformats.org/officeDocument/2006/relationships/hyperlink" Target="https://www.3gpp.org/ftp/TSG_RAN/WG1_RL1/TSGR1_115/Docs/R1-2312762.zip" TargetMode="External"/><Relationship Id="rId324" Type="http://schemas.openxmlformats.org/officeDocument/2006/relationships/hyperlink" Target="../Docs/R1-2312691.zip" TargetMode="External"/><Relationship Id="rId531" Type="http://schemas.openxmlformats.org/officeDocument/2006/relationships/image" Target="media/image31.wmf"/><Relationship Id="rId629" Type="http://schemas.openxmlformats.org/officeDocument/2006/relationships/hyperlink" Target="../Docs/R1-2312482.zip" TargetMode="External"/><Relationship Id="rId1161" Type="http://schemas.openxmlformats.org/officeDocument/2006/relationships/hyperlink" Target="../Docs/R1-2311166.zip" TargetMode="External"/><Relationship Id="rId1259" Type="http://schemas.openxmlformats.org/officeDocument/2006/relationships/hyperlink" Target="../Docs/R1-2312344.zip" TargetMode="External"/><Relationship Id="rId1466" Type="http://schemas.openxmlformats.org/officeDocument/2006/relationships/hyperlink" Target="../Docs/R1-2312547.zip" TargetMode="External"/><Relationship Id="rId2005" Type="http://schemas.openxmlformats.org/officeDocument/2006/relationships/hyperlink" Target="../Docs/R1-2311184.zip" TargetMode="External"/><Relationship Id="rId2212" Type="http://schemas.openxmlformats.org/officeDocument/2006/relationships/hyperlink" Target="../Docs/R1-2311881.zip" TargetMode="External"/><Relationship Id="rId2864" Type="http://schemas.openxmlformats.org/officeDocument/2006/relationships/hyperlink" Target="https://portal.3gpp.org/desktopmodules/WorkItem/WorkItemDetails.aspx?workitemId=981138" TargetMode="External"/><Relationship Id="rId836" Type="http://schemas.openxmlformats.org/officeDocument/2006/relationships/hyperlink" Target="../Docs/R1-2312027.zip" TargetMode="External"/><Relationship Id="rId1021" Type="http://schemas.openxmlformats.org/officeDocument/2006/relationships/hyperlink" Target="../Docs/R1-2312135.zip" TargetMode="External"/><Relationship Id="rId1119" Type="http://schemas.openxmlformats.org/officeDocument/2006/relationships/hyperlink" Target="../Docs/R1-2312124.zip" TargetMode="External"/><Relationship Id="rId1673" Type="http://schemas.openxmlformats.org/officeDocument/2006/relationships/hyperlink" Target="../Docs/R1-2312514.zip" TargetMode="External"/><Relationship Id="rId1880" Type="http://schemas.openxmlformats.org/officeDocument/2006/relationships/hyperlink" Target="../Docs/R1-2311500.zip" TargetMode="External"/><Relationship Id="rId1978" Type="http://schemas.openxmlformats.org/officeDocument/2006/relationships/hyperlink" Target="../Docs/R1-2312572.zip" TargetMode="External"/><Relationship Id="rId2517" Type="http://schemas.openxmlformats.org/officeDocument/2006/relationships/hyperlink" Target="https://www.3gpp.org/ftp/TSG_RAN/WG1_RL1/TSGR1_115/Docs/R1-2312727.zip" TargetMode="External"/><Relationship Id="rId2724" Type="http://schemas.openxmlformats.org/officeDocument/2006/relationships/hyperlink" Target="https://portal.3gpp.org/desktopmodules/WorkItem/WorkItemDetails.aspx?workitemId=970179" TargetMode="External"/><Relationship Id="rId2931" Type="http://schemas.openxmlformats.org/officeDocument/2006/relationships/hyperlink" Target="../Docs/R1-2312707.zip" TargetMode="External"/><Relationship Id="rId903" Type="http://schemas.openxmlformats.org/officeDocument/2006/relationships/hyperlink" Target="../Docs/R1-2311159.zip" TargetMode="External"/><Relationship Id="rId1326" Type="http://schemas.openxmlformats.org/officeDocument/2006/relationships/hyperlink" Target="../Docs/R1-2312159.zip" TargetMode="External"/><Relationship Id="rId1533" Type="http://schemas.openxmlformats.org/officeDocument/2006/relationships/hyperlink" Target="../Docs/R1-2310883.zip" TargetMode="External"/><Relationship Id="rId1740" Type="http://schemas.openxmlformats.org/officeDocument/2006/relationships/hyperlink" Target="../Docs/R1-2312377.zip" TargetMode="External"/><Relationship Id="rId32" Type="http://schemas.openxmlformats.org/officeDocument/2006/relationships/hyperlink" Target="../Docs/R1-2311286.zip" TargetMode="External"/><Relationship Id="rId1600" Type="http://schemas.openxmlformats.org/officeDocument/2006/relationships/hyperlink" Target="../Docs/R1-2312151.zip" TargetMode="External"/><Relationship Id="rId1838" Type="http://schemas.openxmlformats.org/officeDocument/2006/relationships/hyperlink" Target="../Docs/R1-2311436.zip" TargetMode="External"/><Relationship Id="rId181" Type="http://schemas.openxmlformats.org/officeDocument/2006/relationships/hyperlink" Target="../Docs/R1-2312239.zip" TargetMode="External"/><Relationship Id="rId1905" Type="http://schemas.openxmlformats.org/officeDocument/2006/relationships/hyperlink" Target="../Docs/R1-2311271.zip" TargetMode="External"/><Relationship Id="rId279" Type="http://schemas.openxmlformats.org/officeDocument/2006/relationships/image" Target="media/image7.wmf"/><Relationship Id="rId486" Type="http://schemas.openxmlformats.org/officeDocument/2006/relationships/hyperlink" Target="../Docs/R1-2312099.zip" TargetMode="External"/><Relationship Id="rId693" Type="http://schemas.openxmlformats.org/officeDocument/2006/relationships/hyperlink" Target="../Docs/R1-2310990.zip" TargetMode="External"/><Relationship Id="rId2167" Type="http://schemas.openxmlformats.org/officeDocument/2006/relationships/hyperlink" Target="../Docs/R1-2312589.zip" TargetMode="External"/><Relationship Id="rId2374" Type="http://schemas.openxmlformats.org/officeDocument/2006/relationships/hyperlink" Target="https://portal.3gpp.org/desktopmodules/Release/ReleaseDetails.aspx?releaseId=192" TargetMode="External"/><Relationship Id="rId2581" Type="http://schemas.openxmlformats.org/officeDocument/2006/relationships/hyperlink" Target="https://www.3gpp.org/ftp/TSG_RAN/WG1_RL1/TSGR1_115/Docs/R1-2312743.zip" TargetMode="External"/><Relationship Id="rId139" Type="http://schemas.openxmlformats.org/officeDocument/2006/relationships/hyperlink" Target="../Docs/R1-2311584.zip" TargetMode="External"/><Relationship Id="rId346" Type="http://schemas.openxmlformats.org/officeDocument/2006/relationships/hyperlink" Target="../Docs/R1-2312450.zip" TargetMode="External"/><Relationship Id="rId553" Type="http://schemas.openxmlformats.org/officeDocument/2006/relationships/hyperlink" Target="../Docs/R1-2312556.zip" TargetMode="External"/><Relationship Id="rId760" Type="http://schemas.openxmlformats.org/officeDocument/2006/relationships/hyperlink" Target="../Docs/R1-2311474.zip" TargetMode="External"/><Relationship Id="rId998" Type="http://schemas.openxmlformats.org/officeDocument/2006/relationships/hyperlink" Target="../Docs/R1-2312254.zip" TargetMode="External"/><Relationship Id="rId1183" Type="http://schemas.openxmlformats.org/officeDocument/2006/relationships/hyperlink" Target="../Docs/R1-2312271.zip" TargetMode="External"/><Relationship Id="rId1390" Type="http://schemas.openxmlformats.org/officeDocument/2006/relationships/image" Target="media/image70.png"/><Relationship Id="rId2027" Type="http://schemas.openxmlformats.org/officeDocument/2006/relationships/hyperlink" Target="../Docs/R1-2311555.zip" TargetMode="External"/><Relationship Id="rId2234" Type="http://schemas.openxmlformats.org/officeDocument/2006/relationships/footer" Target="footer1.xml"/><Relationship Id="rId2441" Type="http://schemas.openxmlformats.org/officeDocument/2006/relationships/hyperlink" Target="https://portal.3gpp.org/desktopmodules/Release/ReleaseDetails.aspx?releaseId=193" TargetMode="External"/><Relationship Id="rId2679" Type="http://schemas.openxmlformats.org/officeDocument/2006/relationships/hyperlink" Target="https://portal.3gpp.org/desktopmodules/Specifications/SpecificationDetails.aspx?specificationId=3214" TargetMode="External"/><Relationship Id="rId2886" Type="http://schemas.openxmlformats.org/officeDocument/2006/relationships/hyperlink" Target="https://portal.3gpp.org/desktopmodules/WorkItem/WorkItemDetails.aspx?workitemId=940194" TargetMode="External"/><Relationship Id="rId206" Type="http://schemas.openxmlformats.org/officeDocument/2006/relationships/hyperlink" Target="../Docs/R1-2308910.zip" TargetMode="External"/><Relationship Id="rId413" Type="http://schemas.openxmlformats.org/officeDocument/2006/relationships/hyperlink" Target="../Docs/R1-2312493.zip" TargetMode="External"/><Relationship Id="rId858" Type="http://schemas.openxmlformats.org/officeDocument/2006/relationships/hyperlink" Target="../Docs/R1-2311615.zip" TargetMode="External"/><Relationship Id="rId1043" Type="http://schemas.openxmlformats.org/officeDocument/2006/relationships/hyperlink" Target="../Docs/R1-2311886.zip" TargetMode="External"/><Relationship Id="rId1488" Type="http://schemas.openxmlformats.org/officeDocument/2006/relationships/hyperlink" Target="../Docs/R1-2311952.zip" TargetMode="External"/><Relationship Id="rId1695" Type="http://schemas.openxmlformats.org/officeDocument/2006/relationships/hyperlink" Target="../Docs/R1-2312510.zip" TargetMode="External"/><Relationship Id="rId2539" Type="http://schemas.openxmlformats.org/officeDocument/2006/relationships/hyperlink" Target="https://portal.3gpp.org/desktopmodules/Specifications/SpecificationDetails.aspx?specificationId=3215" TargetMode="External"/><Relationship Id="rId2746" Type="http://schemas.openxmlformats.org/officeDocument/2006/relationships/hyperlink" Target="https://www.3gpp.org/ftp/TSG_RAN/WG1_RL1/TSGR1_115/Docs/R1-2312443.zip" TargetMode="External"/><Relationship Id="rId2953" Type="http://schemas.openxmlformats.org/officeDocument/2006/relationships/hyperlink" Target="../Docs/R1-2312807.zip" TargetMode="External"/><Relationship Id="rId620" Type="http://schemas.openxmlformats.org/officeDocument/2006/relationships/hyperlink" Target="../Docs/R1-2312098.zip" TargetMode="External"/><Relationship Id="rId718" Type="http://schemas.openxmlformats.org/officeDocument/2006/relationships/hyperlink" Target="../Docs/R1-2312688.zip" TargetMode="External"/><Relationship Id="rId925" Type="http://schemas.openxmlformats.org/officeDocument/2006/relationships/hyperlink" Target="../Docs/R1-2312255.zip" TargetMode="External"/><Relationship Id="rId1250" Type="http://schemas.openxmlformats.org/officeDocument/2006/relationships/hyperlink" Target="../Docs/R1-2312094.zip" TargetMode="External"/><Relationship Id="rId1348" Type="http://schemas.openxmlformats.org/officeDocument/2006/relationships/hyperlink" Target="../Docs/R1-2311103.zip" TargetMode="External"/><Relationship Id="rId1555" Type="http://schemas.openxmlformats.org/officeDocument/2006/relationships/hyperlink" Target="../Docs/R1-2310884.zip" TargetMode="External"/><Relationship Id="rId1762" Type="http://schemas.openxmlformats.org/officeDocument/2006/relationships/image" Target="media/image88.png"/><Relationship Id="rId2301" Type="http://schemas.openxmlformats.org/officeDocument/2006/relationships/hyperlink" Target="https://www.3gpp.org/ftp/TSG_RAN/WG1_RL1/TSGR1_115/Docs/R1-2312490.zip" TargetMode="External"/><Relationship Id="rId2606" Type="http://schemas.openxmlformats.org/officeDocument/2006/relationships/hyperlink" Target="https://portal.3gpp.org/desktopmodules/Release/ReleaseDetails.aspx?releaseId=193" TargetMode="External"/><Relationship Id="rId1110" Type="http://schemas.openxmlformats.org/officeDocument/2006/relationships/hyperlink" Target="../Docs/R1-2311241.zip" TargetMode="External"/><Relationship Id="rId1208" Type="http://schemas.openxmlformats.org/officeDocument/2006/relationships/hyperlink" Target="../Docs/R1-2311405.zip" TargetMode="External"/><Relationship Id="rId1415" Type="http://schemas.openxmlformats.org/officeDocument/2006/relationships/hyperlink" Target="../Docs/R1-2311732.zip" TargetMode="External"/><Relationship Id="rId2813" Type="http://schemas.openxmlformats.org/officeDocument/2006/relationships/hyperlink" Target="https://portal.3gpp.org/desktopmodules/WorkItem/WorkItemDetails.aspx?workitemId=991030" TargetMode="External"/><Relationship Id="rId54" Type="http://schemas.openxmlformats.org/officeDocument/2006/relationships/hyperlink" Target="../Docs/R1-2311452.zip" TargetMode="External"/><Relationship Id="rId1622" Type="http://schemas.openxmlformats.org/officeDocument/2006/relationships/hyperlink" Target="../Docs/R1-2311128.zip" TargetMode="External"/><Relationship Id="rId1927" Type="http://schemas.openxmlformats.org/officeDocument/2006/relationships/hyperlink" Target="../Docs/R1-2312604.zip" TargetMode="External"/><Relationship Id="rId2091" Type="http://schemas.openxmlformats.org/officeDocument/2006/relationships/hyperlink" Target="../Docs/R1-2312585.zip" TargetMode="External"/><Relationship Id="rId2189" Type="http://schemas.openxmlformats.org/officeDocument/2006/relationships/hyperlink" Target="../Docs/R1-2311256.zip" TargetMode="External"/><Relationship Id="rId270" Type="http://schemas.openxmlformats.org/officeDocument/2006/relationships/hyperlink" Target="../Docs/R1-2312430.zip" TargetMode="External"/><Relationship Id="rId2396" Type="http://schemas.openxmlformats.org/officeDocument/2006/relationships/hyperlink" Target="https://www.3gpp.org/ftp/TSG_RAN/WG1_RL1/TSGR1_115/Docs/R1-2312627.zip" TargetMode="External"/><Relationship Id="rId3002" Type="http://schemas.openxmlformats.org/officeDocument/2006/relationships/hyperlink" Target="../Docs/R1-2312723.zip" TargetMode="External"/><Relationship Id="rId130" Type="http://schemas.openxmlformats.org/officeDocument/2006/relationships/hyperlink" Target="../Docs/R1-2311923.zip" TargetMode="External"/><Relationship Id="rId368" Type="http://schemas.openxmlformats.org/officeDocument/2006/relationships/hyperlink" Target="../Docs/R1-2312352.zip" TargetMode="External"/><Relationship Id="rId575" Type="http://schemas.openxmlformats.org/officeDocument/2006/relationships/hyperlink" Target="../Docs/R1-2312637.zip" TargetMode="External"/><Relationship Id="rId782" Type="http://schemas.openxmlformats.org/officeDocument/2006/relationships/image" Target="media/image37.png"/><Relationship Id="rId2049" Type="http://schemas.openxmlformats.org/officeDocument/2006/relationships/hyperlink" Target="../Docs/R1-2311979.zip" TargetMode="External"/><Relationship Id="rId2256" Type="http://schemas.openxmlformats.org/officeDocument/2006/relationships/hyperlink" Target="https://portal.3gpp.org/desktopmodules/WorkItem/WorkItemDetails.aspx?workitemId=860140" TargetMode="External"/><Relationship Id="rId2463" Type="http://schemas.openxmlformats.org/officeDocument/2006/relationships/hyperlink" Target="https://www.3gpp.org/ftp/TSG_RAN/WG1_RL1/TSGR1_115/Docs/R1-2312701.zip" TargetMode="External"/><Relationship Id="rId2670" Type="http://schemas.openxmlformats.org/officeDocument/2006/relationships/hyperlink" Target="https://portal.3gpp.org/desktopmodules/Release/ReleaseDetails.aspx?releaseId=193" TargetMode="External"/><Relationship Id="rId228" Type="http://schemas.openxmlformats.org/officeDocument/2006/relationships/hyperlink" Target="../Docs/R1-2311058.zip" TargetMode="External"/><Relationship Id="rId435" Type="http://schemas.openxmlformats.org/officeDocument/2006/relationships/hyperlink" Target="../Docs/R1-2311780.zip" TargetMode="External"/><Relationship Id="rId642" Type="http://schemas.openxmlformats.org/officeDocument/2006/relationships/hyperlink" Target="../Docs/R1-2312462.zip" TargetMode="External"/><Relationship Id="rId1065" Type="http://schemas.openxmlformats.org/officeDocument/2006/relationships/hyperlink" Target="../Docs/R1-2312262.zip" TargetMode="External"/><Relationship Id="rId1272" Type="http://schemas.openxmlformats.org/officeDocument/2006/relationships/hyperlink" Target="../Docs/R1-2311169.zip" TargetMode="External"/><Relationship Id="rId2116" Type="http://schemas.openxmlformats.org/officeDocument/2006/relationships/hyperlink" Target="../Docs/R1-2311399.zip" TargetMode="External"/><Relationship Id="rId2323" Type="http://schemas.openxmlformats.org/officeDocument/2006/relationships/hyperlink" Target="https://portal.3gpp.org/desktopmodules/Specifications/SpecificationDetails.aspx?specificationId=3212" TargetMode="External"/><Relationship Id="rId2530" Type="http://schemas.openxmlformats.org/officeDocument/2006/relationships/hyperlink" Target="https://portal.3gpp.org/desktopmodules/Release/ReleaseDetails.aspx?releaseId=193" TargetMode="External"/><Relationship Id="rId2768" Type="http://schemas.openxmlformats.org/officeDocument/2006/relationships/hyperlink" Target="https://portal.3gpp.org/desktopmodules/Release/ReleaseDetails.aspx?releaseId=193" TargetMode="External"/><Relationship Id="rId2975" Type="http://schemas.openxmlformats.org/officeDocument/2006/relationships/hyperlink" Target="../Docs/R1-2312737.zip" TargetMode="External"/><Relationship Id="rId502" Type="http://schemas.openxmlformats.org/officeDocument/2006/relationships/hyperlink" Target="../Docs/R1-2312160.zip" TargetMode="External"/><Relationship Id="rId947" Type="http://schemas.openxmlformats.org/officeDocument/2006/relationships/hyperlink" Target="../Docs/R1-2311944.zip" TargetMode="External"/><Relationship Id="rId1132" Type="http://schemas.openxmlformats.org/officeDocument/2006/relationships/hyperlink" Target="../Docs/R1-2311403.zip" TargetMode="External"/><Relationship Id="rId1577" Type="http://schemas.openxmlformats.org/officeDocument/2006/relationships/hyperlink" Target="../Docs/R1-2312205.zip" TargetMode="External"/><Relationship Id="rId1784" Type="http://schemas.openxmlformats.org/officeDocument/2006/relationships/hyperlink" Target="../Docs/R1-2310937.zip" TargetMode="External"/><Relationship Id="rId1991" Type="http://schemas.openxmlformats.org/officeDocument/2006/relationships/hyperlink" Target="../Docs/R1-2311501.zip" TargetMode="External"/><Relationship Id="rId2628" Type="http://schemas.openxmlformats.org/officeDocument/2006/relationships/hyperlink" Target="https://portal.3gpp.org/desktopmodules/WorkItem/WorkItemDetails.aspx?workitemId=940196" TargetMode="External"/><Relationship Id="rId2835" Type="http://schemas.openxmlformats.org/officeDocument/2006/relationships/hyperlink" Target="https://portal.3gpp.org/desktopmodules/WorkItem/WorkItemDetails.aspx?workitemId=981138" TargetMode="External"/><Relationship Id="rId76" Type="http://schemas.openxmlformats.org/officeDocument/2006/relationships/hyperlink" Target="../Docs/R1-2311063.zip" TargetMode="External"/><Relationship Id="rId807" Type="http://schemas.openxmlformats.org/officeDocument/2006/relationships/hyperlink" Target="../Docs/R1-2311675.zip" TargetMode="External"/><Relationship Id="rId1437" Type="http://schemas.openxmlformats.org/officeDocument/2006/relationships/hyperlink" Target="../Docs/R1-2310848.zip" TargetMode="External"/><Relationship Id="rId1644" Type="http://schemas.openxmlformats.org/officeDocument/2006/relationships/hyperlink" Target="../Docs/R1-2311859.zip" TargetMode="External"/><Relationship Id="rId1851" Type="http://schemas.openxmlformats.org/officeDocument/2006/relationships/hyperlink" Target="../Docs/R1-2311908.zip" TargetMode="External"/><Relationship Id="rId2902" Type="http://schemas.openxmlformats.org/officeDocument/2006/relationships/hyperlink" Target="../Docs/R1-2310964.zip" TargetMode="External"/><Relationship Id="rId1504" Type="http://schemas.openxmlformats.org/officeDocument/2006/relationships/hyperlink" Target="../Docs/R1-2311352.zip" TargetMode="External"/><Relationship Id="rId1711" Type="http://schemas.openxmlformats.org/officeDocument/2006/relationships/hyperlink" Target="../Docs/R1-2312681.zip" TargetMode="External"/><Relationship Id="rId1949" Type="http://schemas.openxmlformats.org/officeDocument/2006/relationships/hyperlink" Target="../Docs/R1-2310856.zip" TargetMode="External"/><Relationship Id="rId292" Type="http://schemas.openxmlformats.org/officeDocument/2006/relationships/image" Target="media/image12.wmf"/><Relationship Id="rId1809" Type="http://schemas.openxmlformats.org/officeDocument/2006/relationships/hyperlink" Target="../Docs/R1-2311863.zip" TargetMode="External"/><Relationship Id="rId597" Type="http://schemas.openxmlformats.org/officeDocument/2006/relationships/hyperlink" Target="../Docs/R1-2312558.zip" TargetMode="External"/><Relationship Id="rId2180" Type="http://schemas.openxmlformats.org/officeDocument/2006/relationships/hyperlink" Target="../Docs/R1-2312127.zip" TargetMode="External"/><Relationship Id="rId2278" Type="http://schemas.openxmlformats.org/officeDocument/2006/relationships/hyperlink" Target="https://portal.3gpp.org/desktopmodules/Release/ReleaseDetails.aspx?releaseId=193" TargetMode="External"/><Relationship Id="rId2485" Type="http://schemas.openxmlformats.org/officeDocument/2006/relationships/hyperlink" Target="https://portal.3gpp.org/desktopmodules/Specifications/SpecificationDetails.aspx?specificationId=3214" TargetMode="External"/><Relationship Id="rId3024" Type="http://schemas.openxmlformats.org/officeDocument/2006/relationships/hyperlink" Target="../Docs/R1-2312784.zip" TargetMode="External"/><Relationship Id="rId152" Type="http://schemas.openxmlformats.org/officeDocument/2006/relationships/hyperlink" Target="../Docs/R1-2311372.zip" TargetMode="External"/><Relationship Id="rId457" Type="http://schemas.openxmlformats.org/officeDocument/2006/relationships/hyperlink" Target="../Docs/R1-2312632.zip" TargetMode="External"/><Relationship Id="rId1087" Type="http://schemas.openxmlformats.org/officeDocument/2006/relationships/hyperlink" Target="../Docs/R1-2311430.zip" TargetMode="External"/><Relationship Id="rId1294" Type="http://schemas.openxmlformats.org/officeDocument/2006/relationships/hyperlink" Target="../Docs/R1-2312617.zip" TargetMode="External"/><Relationship Id="rId2040" Type="http://schemas.openxmlformats.org/officeDocument/2006/relationships/hyperlink" Target="../Docs/R1-2311186.zip" TargetMode="External"/><Relationship Id="rId2138" Type="http://schemas.openxmlformats.org/officeDocument/2006/relationships/hyperlink" Target="../Docs/R1-2312069.zip" TargetMode="External"/><Relationship Id="rId2692" Type="http://schemas.openxmlformats.org/officeDocument/2006/relationships/hyperlink" Target="https://portal.3gpp.org/desktopmodules/WorkItem/WorkItemDetails.aspx?workitemId=941106" TargetMode="External"/><Relationship Id="rId2997" Type="http://schemas.openxmlformats.org/officeDocument/2006/relationships/hyperlink" Target="../Docs/R1-2312724.zip" TargetMode="External"/><Relationship Id="rId664" Type="http://schemas.openxmlformats.org/officeDocument/2006/relationships/hyperlink" Target="../Docs/R1-2311379.zip" TargetMode="External"/><Relationship Id="rId871" Type="http://schemas.openxmlformats.org/officeDocument/2006/relationships/hyperlink" Target="../Docs/R1-2312028.zip" TargetMode="External"/><Relationship Id="rId969" Type="http://schemas.openxmlformats.org/officeDocument/2006/relationships/hyperlink" Target="../Docs/R1-2311400.zip" TargetMode="External"/><Relationship Id="rId1599" Type="http://schemas.openxmlformats.org/officeDocument/2006/relationships/hyperlink" Target="../Docs/R1-2312133.zip" TargetMode="External"/><Relationship Id="rId2345" Type="http://schemas.openxmlformats.org/officeDocument/2006/relationships/hyperlink" Target="https://portal.3gpp.org/desktopmodules/WorkItem/WorkItemDetails.aspx?workitemId=860140" TargetMode="External"/><Relationship Id="rId2552" Type="http://schemas.openxmlformats.org/officeDocument/2006/relationships/hyperlink" Target="https://portal.3gpp.org/desktopmodules/WorkItem/WorkItemDetails.aspx?workitemId=941106" TargetMode="External"/><Relationship Id="rId317" Type="http://schemas.openxmlformats.org/officeDocument/2006/relationships/hyperlink" Target="../Docs/R1-2312438.zip" TargetMode="External"/><Relationship Id="rId524" Type="http://schemas.openxmlformats.org/officeDocument/2006/relationships/image" Target="media/image26.png"/><Relationship Id="rId731" Type="http://schemas.openxmlformats.org/officeDocument/2006/relationships/hyperlink" Target="../Docs/R1-2312698.zip" TargetMode="External"/><Relationship Id="rId1154" Type="http://schemas.openxmlformats.org/officeDocument/2006/relationships/hyperlink" Target="../Docs/R1-2312629.zip" TargetMode="External"/><Relationship Id="rId1361" Type="http://schemas.openxmlformats.org/officeDocument/2006/relationships/hyperlink" Target="../Docs/R1-2311690.zip" TargetMode="External"/><Relationship Id="rId1459" Type="http://schemas.openxmlformats.org/officeDocument/2006/relationships/hyperlink" Target="../Docs/R1-2311934.zip" TargetMode="External"/><Relationship Id="rId2205" Type="http://schemas.openxmlformats.org/officeDocument/2006/relationships/hyperlink" Target="../Docs/R1-2311880.zip" TargetMode="External"/><Relationship Id="rId2412" Type="http://schemas.openxmlformats.org/officeDocument/2006/relationships/hyperlink" Target="https://portal.3gpp.org/desktopmodules/Specifications/SpecificationDetails.aspx?specificationId=3215" TargetMode="External"/><Relationship Id="rId2857" Type="http://schemas.openxmlformats.org/officeDocument/2006/relationships/hyperlink" Target="../Docs/R1-2306248.zip" TargetMode="External"/><Relationship Id="rId98" Type="http://schemas.openxmlformats.org/officeDocument/2006/relationships/hyperlink" Target="../Docs/R1-2312156.zip" TargetMode="External"/><Relationship Id="rId829" Type="http://schemas.openxmlformats.org/officeDocument/2006/relationships/hyperlink" Target="../Docs/R1-2311434.zip" TargetMode="External"/><Relationship Id="rId1014" Type="http://schemas.openxmlformats.org/officeDocument/2006/relationships/hyperlink" Target="../Docs/R1-2311767.zip" TargetMode="External"/><Relationship Id="rId1221" Type="http://schemas.openxmlformats.org/officeDocument/2006/relationships/hyperlink" Target="../Docs/R1-2311464.zip" TargetMode="External"/><Relationship Id="rId1666" Type="http://schemas.openxmlformats.org/officeDocument/2006/relationships/hyperlink" Target="../Docs/R1-2312049.zip" TargetMode="External"/><Relationship Id="rId1873" Type="http://schemas.openxmlformats.org/officeDocument/2006/relationships/hyperlink" Target="../Docs/R1-2311183.zip" TargetMode="External"/><Relationship Id="rId2717" Type="http://schemas.openxmlformats.org/officeDocument/2006/relationships/hyperlink" Target="https://www.3gpp.org/ftp/TSG_RAN/WG1_RL1/TSGR1_115/Docs/R1-2312805.zip" TargetMode="External"/><Relationship Id="rId2924" Type="http://schemas.openxmlformats.org/officeDocument/2006/relationships/hyperlink" Target="../Docs/R1-2312494.zip" TargetMode="External"/><Relationship Id="rId1319" Type="http://schemas.openxmlformats.org/officeDocument/2006/relationships/hyperlink" Target="../Docs/R1-2311895.zip" TargetMode="External"/><Relationship Id="rId1526" Type="http://schemas.openxmlformats.org/officeDocument/2006/relationships/hyperlink" Target="../Docs/R1-2312273.zip" TargetMode="External"/><Relationship Id="rId1733" Type="http://schemas.openxmlformats.org/officeDocument/2006/relationships/hyperlink" Target="../Docs/R1-2311281.zip" TargetMode="External"/><Relationship Id="rId1940" Type="http://schemas.openxmlformats.org/officeDocument/2006/relationships/hyperlink" Target="../Docs/R1-2310784.zip" TargetMode="External"/><Relationship Id="rId25" Type="http://schemas.openxmlformats.org/officeDocument/2006/relationships/hyperlink" Target="../Docs/R1-2310982.zip" TargetMode="External"/><Relationship Id="rId1800" Type="http://schemas.openxmlformats.org/officeDocument/2006/relationships/hyperlink" Target="../Docs/R1-2312460.zip" TargetMode="External"/><Relationship Id="rId3046" Type="http://schemas.openxmlformats.org/officeDocument/2006/relationships/header" Target="header2.xml"/><Relationship Id="rId174" Type="http://schemas.openxmlformats.org/officeDocument/2006/relationships/hyperlink" Target="../Docs/R1-2310909.zip" TargetMode="External"/><Relationship Id="rId381" Type="http://schemas.openxmlformats.org/officeDocument/2006/relationships/hyperlink" Target="../Docs/R1-2311073.zip" TargetMode="External"/><Relationship Id="rId2062" Type="http://schemas.openxmlformats.org/officeDocument/2006/relationships/hyperlink" Target="../Docs/R1-2311397.zip" TargetMode="External"/><Relationship Id="rId241" Type="http://schemas.openxmlformats.org/officeDocument/2006/relationships/hyperlink" Target="../Docs/R1-2310805.zip" TargetMode="External"/><Relationship Id="rId479" Type="http://schemas.openxmlformats.org/officeDocument/2006/relationships/hyperlink" Target="../Docs/R1-2312533.zip" TargetMode="External"/><Relationship Id="rId686" Type="http://schemas.openxmlformats.org/officeDocument/2006/relationships/hyperlink" Target="../Docs/R1-2312644.zip" TargetMode="External"/><Relationship Id="rId893" Type="http://schemas.openxmlformats.org/officeDocument/2006/relationships/oleObject" Target="embeddings/oleObject24.bin"/><Relationship Id="rId2367" Type="http://schemas.openxmlformats.org/officeDocument/2006/relationships/hyperlink" Target="https://www.3gpp.org/ftp/TSG_RAN/WG1_RL1/TSGR1_115/Docs/R1-2312558.zip" TargetMode="External"/><Relationship Id="rId2574" Type="http://schemas.openxmlformats.org/officeDocument/2006/relationships/hyperlink" Target="https://portal.3gpp.org/desktopmodules/Release/ReleaseDetails.aspx?releaseId=193" TargetMode="External"/><Relationship Id="rId2781" Type="http://schemas.openxmlformats.org/officeDocument/2006/relationships/hyperlink" Target="https://portal.3gpp.org/desktopmodules/Release/ReleaseDetails.aspx?releaseId=192" TargetMode="External"/><Relationship Id="rId339" Type="http://schemas.openxmlformats.org/officeDocument/2006/relationships/hyperlink" Target="../Docs/R1-2311904.zip" TargetMode="External"/><Relationship Id="rId546" Type="http://schemas.openxmlformats.org/officeDocument/2006/relationships/hyperlink" Target="../Docs/R1-2311300.zip" TargetMode="External"/><Relationship Id="rId753" Type="http://schemas.openxmlformats.org/officeDocument/2006/relationships/hyperlink" Target="../Docs/R1-2311213.zip" TargetMode="External"/><Relationship Id="rId1176" Type="http://schemas.openxmlformats.org/officeDocument/2006/relationships/hyperlink" Target="../Docs/R1-2310789.zip" TargetMode="External"/><Relationship Id="rId1383" Type="http://schemas.openxmlformats.org/officeDocument/2006/relationships/image" Target="media/image63.png"/><Relationship Id="rId2227" Type="http://schemas.openxmlformats.org/officeDocument/2006/relationships/hyperlink" Target="../Docs/R1-2312245.zip" TargetMode="External"/><Relationship Id="rId2434" Type="http://schemas.openxmlformats.org/officeDocument/2006/relationships/hyperlink" Target="https://www.3gpp.org/ftp/TSG_RAN/WG1_RL1/TSGR1_115/Docs/R1-2312676.zip" TargetMode="External"/><Relationship Id="rId2879" Type="http://schemas.openxmlformats.org/officeDocument/2006/relationships/hyperlink" Target="https://portal.3gpp.org/desktopmodules/Release/ReleaseDetails.aspx?releaseId=193" TargetMode="External"/><Relationship Id="rId101" Type="http://schemas.openxmlformats.org/officeDocument/2006/relationships/hyperlink" Target="../Docs/R1-2311234.zip" TargetMode="External"/><Relationship Id="rId406" Type="http://schemas.openxmlformats.org/officeDocument/2006/relationships/hyperlink" Target="../Docs/R1-2312439.zip" TargetMode="External"/><Relationship Id="rId960" Type="http://schemas.openxmlformats.org/officeDocument/2006/relationships/hyperlink" Target="../Docs/R1-2311235.zip" TargetMode="External"/><Relationship Id="rId1036" Type="http://schemas.openxmlformats.org/officeDocument/2006/relationships/hyperlink" Target="../Docs/R1-2311092.zip" TargetMode="External"/><Relationship Id="rId1243" Type="http://schemas.openxmlformats.org/officeDocument/2006/relationships/hyperlink" Target="../Docs/R1-2311485.zip" TargetMode="External"/><Relationship Id="rId1590" Type="http://schemas.openxmlformats.org/officeDocument/2006/relationships/hyperlink" Target="../Docs/R1-2311022.zip" TargetMode="External"/><Relationship Id="rId1688" Type="http://schemas.openxmlformats.org/officeDocument/2006/relationships/hyperlink" Target="../Docs/R1-2312050.zip" TargetMode="External"/><Relationship Id="rId1895" Type="http://schemas.openxmlformats.org/officeDocument/2006/relationships/hyperlink" Target="../Docs/R1-2312129.zip" TargetMode="External"/><Relationship Id="rId2641" Type="http://schemas.openxmlformats.org/officeDocument/2006/relationships/hyperlink" Target="https://www.3gpp.org/ftp/TSG_RAN/WG1_RL1/TSGR1_115/Docs/R1-2312758.zip" TargetMode="External"/><Relationship Id="rId2739" Type="http://schemas.openxmlformats.org/officeDocument/2006/relationships/hyperlink" Target="https://portal.3gpp.org/desktopmodules/WorkItem/WorkItemDetails.aspx?workitemId=981138" TargetMode="External"/><Relationship Id="rId2946" Type="http://schemas.openxmlformats.org/officeDocument/2006/relationships/hyperlink" Target="../Docs/R1-2312762.zip" TargetMode="External"/><Relationship Id="rId613" Type="http://schemas.openxmlformats.org/officeDocument/2006/relationships/hyperlink" Target="../Docs/R1-2312475.zip" TargetMode="External"/><Relationship Id="rId820" Type="http://schemas.openxmlformats.org/officeDocument/2006/relationships/hyperlink" Target="../Docs/R1-2310949.zip" TargetMode="External"/><Relationship Id="rId918" Type="http://schemas.openxmlformats.org/officeDocument/2006/relationships/hyperlink" Target="../Docs/R1-2311794.zip" TargetMode="External"/><Relationship Id="rId1450" Type="http://schemas.openxmlformats.org/officeDocument/2006/relationships/hyperlink" Target="../Docs/R1-2311442.zip" TargetMode="External"/><Relationship Id="rId1548" Type="http://schemas.openxmlformats.org/officeDocument/2006/relationships/hyperlink" Target="../Docs/R1-2312305.zip" TargetMode="External"/><Relationship Id="rId1755" Type="http://schemas.openxmlformats.org/officeDocument/2006/relationships/hyperlink" Target="../Docs/R1-2312004.zip" TargetMode="External"/><Relationship Id="rId2501" Type="http://schemas.openxmlformats.org/officeDocument/2006/relationships/hyperlink" Target="https://www.3gpp.org/ftp/TSG_RAN/WG1_RL1/TSGR1_115/Docs/R1-2312723.zip" TargetMode="External"/><Relationship Id="rId1103" Type="http://schemas.openxmlformats.org/officeDocument/2006/relationships/hyperlink" Target="../Docs/R1-2312296.zip" TargetMode="External"/><Relationship Id="rId1310" Type="http://schemas.openxmlformats.org/officeDocument/2006/relationships/hyperlink" Target="../Docs/R1-2311509.zip" TargetMode="External"/><Relationship Id="rId1408" Type="http://schemas.openxmlformats.org/officeDocument/2006/relationships/hyperlink" Target="../Docs/R1-2311273.zip" TargetMode="External"/><Relationship Id="rId1962" Type="http://schemas.openxmlformats.org/officeDocument/2006/relationships/hyperlink" Target="../Docs/R1-2312162.zip" TargetMode="External"/><Relationship Id="rId2806" Type="http://schemas.openxmlformats.org/officeDocument/2006/relationships/hyperlink" Target="https://www.3gpp.org/ftp/TSG_RAN/WG1_RL1/TSGR1_115/Docs/R1-2312707.zip" TargetMode="External"/><Relationship Id="rId47" Type="http://schemas.openxmlformats.org/officeDocument/2006/relationships/hyperlink" Target="../Docs/R1-2311130.zip" TargetMode="External"/><Relationship Id="rId1615" Type="http://schemas.openxmlformats.org/officeDocument/2006/relationships/hyperlink" Target="../Docs/R1-2312219.zip" TargetMode="External"/><Relationship Id="rId1822" Type="http://schemas.openxmlformats.org/officeDocument/2006/relationships/hyperlink" Target="../Docs/R1-2310933.zip" TargetMode="External"/><Relationship Id="rId196" Type="http://schemas.openxmlformats.org/officeDocument/2006/relationships/hyperlink" Target="../Docs/R1-2312164.zip" TargetMode="External"/><Relationship Id="rId2084" Type="http://schemas.openxmlformats.org/officeDocument/2006/relationships/hyperlink" Target="../Docs/R1-2311647.zip" TargetMode="External"/><Relationship Id="rId2291" Type="http://schemas.openxmlformats.org/officeDocument/2006/relationships/hyperlink" Target="https://portal.3gpp.org/desktopmodules/Specifications/SpecificationDetails.aspx?specificationId=3215" TargetMode="External"/><Relationship Id="rId263" Type="http://schemas.openxmlformats.org/officeDocument/2006/relationships/hyperlink" Target="../Docs/R1-2312021.zip" TargetMode="External"/><Relationship Id="rId470" Type="http://schemas.openxmlformats.org/officeDocument/2006/relationships/hyperlink" Target="../Docs/R1-2312078.zip" TargetMode="External"/><Relationship Id="rId2151" Type="http://schemas.openxmlformats.org/officeDocument/2006/relationships/hyperlink" Target="../Docs/R1-2312082.zip" TargetMode="External"/><Relationship Id="rId2389" Type="http://schemas.openxmlformats.org/officeDocument/2006/relationships/hyperlink" Target="https://www.3gpp.org/ftp/TSG_RAN/WG1_RL1/TSGR1_115/Docs/R1-2312601.zip" TargetMode="External"/><Relationship Id="rId2596" Type="http://schemas.openxmlformats.org/officeDocument/2006/relationships/hyperlink" Target="https://portal.3gpp.org/desktopmodules/WorkItem/WorkItemDetails.aspx?workitemId=940197" TargetMode="External"/><Relationship Id="rId123" Type="http://schemas.openxmlformats.org/officeDocument/2006/relationships/hyperlink" Target="../Docs/R1-2311722.zip" TargetMode="External"/><Relationship Id="rId330" Type="http://schemas.openxmlformats.org/officeDocument/2006/relationships/hyperlink" Target="../Docs/R1-2312235.zip" TargetMode="External"/><Relationship Id="rId568" Type="http://schemas.openxmlformats.org/officeDocument/2006/relationships/hyperlink" Target="../Docs/R1-2311017.zip" TargetMode="External"/><Relationship Id="rId775" Type="http://schemas.openxmlformats.org/officeDocument/2006/relationships/hyperlink" Target="../Docs/R1-2312007.zip" TargetMode="External"/><Relationship Id="rId982" Type="http://schemas.openxmlformats.org/officeDocument/2006/relationships/hyperlink" Target="../Docs/R1-2311975.zip" TargetMode="External"/><Relationship Id="rId1198" Type="http://schemas.openxmlformats.org/officeDocument/2006/relationships/hyperlink" Target="../Docs/R1-2312302.zip" TargetMode="External"/><Relationship Id="rId2011" Type="http://schemas.openxmlformats.org/officeDocument/2006/relationships/hyperlink" Target="../Docs/R1-2311707.zip" TargetMode="External"/><Relationship Id="rId2249" Type="http://schemas.openxmlformats.org/officeDocument/2006/relationships/hyperlink" Target="https://www.3gpp.org/ftp/TSG_RAN/WG1_RL1/TSGR1_115/Docs/R1-2312453.zip" TargetMode="External"/><Relationship Id="rId2456" Type="http://schemas.openxmlformats.org/officeDocument/2006/relationships/hyperlink" Target="https://portal.3gpp.org/desktopmodules/Release/ReleaseDetails.aspx?releaseId=192" TargetMode="External"/><Relationship Id="rId2663" Type="http://schemas.openxmlformats.org/officeDocument/2006/relationships/hyperlink" Target="https://portal.3gpp.org/desktopmodules/Specifications/SpecificationDetails.aspx?specificationId=3216" TargetMode="External"/><Relationship Id="rId2870" Type="http://schemas.openxmlformats.org/officeDocument/2006/relationships/hyperlink" Target="https://portal.3gpp.org/desktopmodules/WorkItem/WorkItemDetails.aspx?workitemId=940195" TargetMode="External"/><Relationship Id="rId428" Type="http://schemas.openxmlformats.org/officeDocument/2006/relationships/hyperlink" Target="../Docs/R1-2311296.zip" TargetMode="External"/><Relationship Id="rId635" Type="http://schemas.openxmlformats.org/officeDocument/2006/relationships/hyperlink" Target="../Docs/R1-2312471.zip" TargetMode="External"/><Relationship Id="rId842" Type="http://schemas.openxmlformats.org/officeDocument/2006/relationships/hyperlink" Target="../Docs/R1-2312374.zip" TargetMode="External"/><Relationship Id="rId1058" Type="http://schemas.openxmlformats.org/officeDocument/2006/relationships/hyperlink" Target="../Docs/R1-2311681.zip" TargetMode="External"/><Relationship Id="rId1265" Type="http://schemas.openxmlformats.org/officeDocument/2006/relationships/hyperlink" Target="../Docs/R1-2312505.zip" TargetMode="External"/><Relationship Id="rId1472" Type="http://schemas.openxmlformats.org/officeDocument/2006/relationships/hyperlink" Target="../Docs/R1-2310849.zip" TargetMode="External"/><Relationship Id="rId2109" Type="http://schemas.openxmlformats.org/officeDocument/2006/relationships/hyperlink" Target="../Docs/R1-2310896.zip" TargetMode="External"/><Relationship Id="rId2316" Type="http://schemas.openxmlformats.org/officeDocument/2006/relationships/hyperlink" Target="https://portal.3gpp.org/desktopmodules/WorkItem/WorkItemDetails.aspx?workitemId=830178" TargetMode="External"/><Relationship Id="rId2523" Type="http://schemas.openxmlformats.org/officeDocument/2006/relationships/hyperlink" Target="https://portal.3gpp.org/desktopmodules/Specifications/SpecificationDetails.aspx?specificationId=3215" TargetMode="External"/><Relationship Id="rId2730" Type="http://schemas.openxmlformats.org/officeDocument/2006/relationships/hyperlink" Target="https://portal.3gpp.org/desktopmodules/WorkItem/WorkItemDetails.aspx?workitemId=940196" TargetMode="External"/><Relationship Id="rId2968" Type="http://schemas.openxmlformats.org/officeDocument/2006/relationships/hyperlink" Target="../Docs/R1-2312814.zip" TargetMode="External"/><Relationship Id="rId702" Type="http://schemas.openxmlformats.org/officeDocument/2006/relationships/hyperlink" Target="../Docs/R1-2312684.zip" TargetMode="External"/><Relationship Id="rId1125" Type="http://schemas.openxmlformats.org/officeDocument/2006/relationships/hyperlink" Target="../Docs/R1-2310838.zip" TargetMode="External"/><Relationship Id="rId1332" Type="http://schemas.openxmlformats.org/officeDocument/2006/relationships/image" Target="media/image52.png"/><Relationship Id="rId1777" Type="http://schemas.openxmlformats.org/officeDocument/2006/relationships/hyperlink" Target="../Docs/R1-2311759.zip" TargetMode="External"/><Relationship Id="rId1984" Type="http://schemas.openxmlformats.org/officeDocument/2006/relationships/hyperlink" Target="../Docs/R1-2311049.zip" TargetMode="External"/><Relationship Id="rId2828" Type="http://schemas.openxmlformats.org/officeDocument/2006/relationships/hyperlink" Target="../Docs/R1-2310789.zip" TargetMode="External"/><Relationship Id="rId69" Type="http://schemas.openxmlformats.org/officeDocument/2006/relationships/hyperlink" Target="../Docs/R1-2306216.zip" TargetMode="External"/><Relationship Id="rId1637" Type="http://schemas.openxmlformats.org/officeDocument/2006/relationships/image" Target="media/image84.png"/><Relationship Id="rId1844" Type="http://schemas.openxmlformats.org/officeDocument/2006/relationships/hyperlink" Target="../Docs/R1-2311572.zip" TargetMode="External"/><Relationship Id="rId1704" Type="http://schemas.openxmlformats.org/officeDocument/2006/relationships/hyperlink" Target="../Docs/R1-2312518.zip" TargetMode="External"/><Relationship Id="rId285" Type="http://schemas.openxmlformats.org/officeDocument/2006/relationships/hyperlink" Target="../Docs/R1-2311671.zip" TargetMode="External"/><Relationship Id="rId1911" Type="http://schemas.openxmlformats.org/officeDocument/2006/relationships/hyperlink" Target="../Docs/R1-2312560.zip" TargetMode="External"/><Relationship Id="rId492" Type="http://schemas.openxmlformats.org/officeDocument/2006/relationships/hyperlink" Target="../Docs/R1-2312591.zip" TargetMode="External"/><Relationship Id="rId797" Type="http://schemas.openxmlformats.org/officeDocument/2006/relationships/hyperlink" Target="../Docs/R1-2311156.zip" TargetMode="External"/><Relationship Id="rId2173" Type="http://schemas.openxmlformats.org/officeDocument/2006/relationships/hyperlink" Target="../Docs/R1-2311207.zip" TargetMode="External"/><Relationship Id="rId2380" Type="http://schemas.openxmlformats.org/officeDocument/2006/relationships/hyperlink" Target="https://portal.3gpp.org/desktopmodules/WorkItem/WorkItemDetails.aspx?workitemId=900160" TargetMode="External"/><Relationship Id="rId2478" Type="http://schemas.openxmlformats.org/officeDocument/2006/relationships/hyperlink" Target="https://portal.3gpp.org/desktopmodules/WorkItem/WorkItemDetails.aspx?workitemId=920042" TargetMode="External"/><Relationship Id="rId3017" Type="http://schemas.openxmlformats.org/officeDocument/2006/relationships/hyperlink" Target="../Docs/R1-2312787.zip" TargetMode="External"/><Relationship Id="rId145" Type="http://schemas.openxmlformats.org/officeDocument/2006/relationships/hyperlink" Target="../Docs/R1-2312237.zip" TargetMode="External"/><Relationship Id="rId352" Type="http://schemas.openxmlformats.org/officeDocument/2006/relationships/hyperlink" Target="../Docs/R1-2312627.zip" TargetMode="External"/><Relationship Id="rId1287" Type="http://schemas.openxmlformats.org/officeDocument/2006/relationships/hyperlink" Target="../Docs/R1-2311978.zip" TargetMode="External"/><Relationship Id="rId2033" Type="http://schemas.openxmlformats.org/officeDocument/2006/relationships/hyperlink" Target="../Docs/R1-2312080.zip" TargetMode="External"/><Relationship Id="rId2240" Type="http://schemas.openxmlformats.org/officeDocument/2006/relationships/hyperlink" Target="https://portal.3gpp.org/desktopmodules/Specifications/SpecificationDetails.aspx?specificationId=3216" TargetMode="External"/><Relationship Id="rId2685" Type="http://schemas.openxmlformats.org/officeDocument/2006/relationships/hyperlink" Target="https://www.3gpp.org/ftp/TSG_RAN/WG1_RL1/TSGR1_115/Docs/R1-2312783.zip" TargetMode="External"/><Relationship Id="rId2892" Type="http://schemas.openxmlformats.org/officeDocument/2006/relationships/hyperlink" Target="https://portal.3gpp.org/desktopmodules/WorkItem/WorkItemDetails.aspx?workitemId=940194" TargetMode="External"/><Relationship Id="rId212" Type="http://schemas.openxmlformats.org/officeDocument/2006/relationships/hyperlink" Target="../Docs/R1-2311664.zip" TargetMode="External"/><Relationship Id="rId657" Type="http://schemas.openxmlformats.org/officeDocument/2006/relationships/hyperlink" Target="../Docs/R1-2312554.zip" TargetMode="External"/><Relationship Id="rId864" Type="http://schemas.openxmlformats.org/officeDocument/2006/relationships/hyperlink" Target="../Docs/R1-2312028.zip" TargetMode="External"/><Relationship Id="rId1494" Type="http://schemas.openxmlformats.org/officeDocument/2006/relationships/hyperlink" Target="../Docs/R1-2312565.zip" TargetMode="External"/><Relationship Id="rId1799" Type="http://schemas.openxmlformats.org/officeDocument/2006/relationships/hyperlink" Target="../Docs/R1-2312460.zip" TargetMode="External"/><Relationship Id="rId2100" Type="http://schemas.openxmlformats.org/officeDocument/2006/relationships/hyperlink" Target="../Docs/R1-2311504.zip" TargetMode="External"/><Relationship Id="rId2338" Type="http://schemas.openxmlformats.org/officeDocument/2006/relationships/hyperlink" Target="https://www.3gpp.org/ftp/TSG_RAN/WG1_RL1/TSGR1_115/Docs/R1-2312545.zip" TargetMode="External"/><Relationship Id="rId2545" Type="http://schemas.openxmlformats.org/officeDocument/2006/relationships/hyperlink" Target="https://www.3gpp.org/ftp/TSG_RAN/WG1_RL1/TSGR1_115/Docs/R1-2312734.zip" TargetMode="External"/><Relationship Id="rId2752" Type="http://schemas.openxmlformats.org/officeDocument/2006/relationships/hyperlink" Target="https://portal.3gpp.org/desktopmodules/Release/ReleaseDetails.aspx?releaseId=193" TargetMode="External"/><Relationship Id="rId517" Type="http://schemas.openxmlformats.org/officeDocument/2006/relationships/oleObject" Target="embeddings/oleObject17.bin"/><Relationship Id="rId724" Type="http://schemas.openxmlformats.org/officeDocument/2006/relationships/hyperlink" Target="../Docs/R1-2312543.zip" TargetMode="External"/><Relationship Id="rId931" Type="http://schemas.openxmlformats.org/officeDocument/2006/relationships/hyperlink" Target="../Docs/R1-2311160.zip" TargetMode="External"/><Relationship Id="rId1147" Type="http://schemas.openxmlformats.org/officeDocument/2006/relationships/hyperlink" Target="../Docs/R1-2310764.zip" TargetMode="External"/><Relationship Id="rId1354" Type="http://schemas.openxmlformats.org/officeDocument/2006/relationships/hyperlink" Target="../Docs/R1-2311407.zip" TargetMode="External"/><Relationship Id="rId1561" Type="http://schemas.openxmlformats.org/officeDocument/2006/relationships/hyperlink" Target="../Docs/R1-2311412.zip" TargetMode="External"/><Relationship Id="rId2405" Type="http://schemas.openxmlformats.org/officeDocument/2006/relationships/hyperlink" Target="https://portal.3gpp.org/desktopmodules/Specifications/SpecificationDetails.aspx?specificationId=3216" TargetMode="External"/><Relationship Id="rId2612" Type="http://schemas.openxmlformats.org/officeDocument/2006/relationships/hyperlink" Target="https://portal.3gpp.org/desktopmodules/WorkItem/WorkItemDetails.aspx?workitemId=970179" TargetMode="External"/><Relationship Id="rId60" Type="http://schemas.openxmlformats.org/officeDocument/2006/relationships/hyperlink" Target="../Docs/R1-2308644.zip" TargetMode="External"/><Relationship Id="rId1007" Type="http://schemas.openxmlformats.org/officeDocument/2006/relationships/hyperlink" Target="../Docs/R1-2311425.zip" TargetMode="External"/><Relationship Id="rId1214" Type="http://schemas.openxmlformats.org/officeDocument/2006/relationships/hyperlink" Target="../Docs/R1-2311624.zip" TargetMode="External"/><Relationship Id="rId1421" Type="http://schemas.openxmlformats.org/officeDocument/2006/relationships/hyperlink" Target="../Docs/R1-2312217.zip" TargetMode="External"/><Relationship Id="rId1659" Type="http://schemas.openxmlformats.org/officeDocument/2006/relationships/hyperlink" Target="../Docs/R1-2311634.zip" TargetMode="External"/><Relationship Id="rId1866" Type="http://schemas.openxmlformats.org/officeDocument/2006/relationships/hyperlink" Target="../Docs/R1-2310845.zip" TargetMode="External"/><Relationship Id="rId2917" Type="http://schemas.openxmlformats.org/officeDocument/2006/relationships/hyperlink" Target="https://portal.3gpp.org/desktopmodules/WorkItem/WorkItemDetails.aspx?workitemId=940196" TargetMode="External"/><Relationship Id="rId1519" Type="http://schemas.openxmlformats.org/officeDocument/2006/relationships/hyperlink" Target="../Docs/R1-2311920.zip" TargetMode="External"/><Relationship Id="rId1726" Type="http://schemas.openxmlformats.org/officeDocument/2006/relationships/hyperlink" Target="../Docs/R1-2304309.zip" TargetMode="External"/><Relationship Id="rId1933" Type="http://schemas.openxmlformats.org/officeDocument/2006/relationships/hyperlink" Target="../Docs/R1-2312516.zip" TargetMode="External"/><Relationship Id="rId18" Type="http://schemas.openxmlformats.org/officeDocument/2006/relationships/hyperlink" Target="../Docs/R1-2310785.zip" TargetMode="External"/><Relationship Id="rId2195" Type="http://schemas.openxmlformats.org/officeDocument/2006/relationships/hyperlink" Target="../Docs/R1-2311879.zip" TargetMode="External"/><Relationship Id="rId3039" Type="http://schemas.openxmlformats.org/officeDocument/2006/relationships/hyperlink" Target="../Docs/R1-2308752.zip" TargetMode="External"/><Relationship Id="rId167" Type="http://schemas.openxmlformats.org/officeDocument/2006/relationships/hyperlink" Target="../Docs/R1-2311811.zip" TargetMode="External"/><Relationship Id="rId374" Type="http://schemas.openxmlformats.org/officeDocument/2006/relationships/hyperlink" Target="../Docs/R1-2311730.zip" TargetMode="External"/><Relationship Id="rId581" Type="http://schemas.openxmlformats.org/officeDocument/2006/relationships/hyperlink" Target="../Docs/R1-2311016.zip" TargetMode="External"/><Relationship Id="rId2055" Type="http://schemas.openxmlformats.org/officeDocument/2006/relationships/hyperlink" Target="../Docs/R1-2310893.zip" TargetMode="External"/><Relationship Id="rId2262" Type="http://schemas.openxmlformats.org/officeDocument/2006/relationships/hyperlink" Target="https://portal.3gpp.org/desktopmodules/Release/ReleaseDetails.aspx?releaseId=193" TargetMode="External"/><Relationship Id="rId234" Type="http://schemas.openxmlformats.org/officeDocument/2006/relationships/hyperlink" Target="../Docs/R1-2310804.zip" TargetMode="External"/><Relationship Id="rId679" Type="http://schemas.openxmlformats.org/officeDocument/2006/relationships/hyperlink" Target="../Docs/R1-2311607.zip" TargetMode="External"/><Relationship Id="rId886" Type="http://schemas.openxmlformats.org/officeDocument/2006/relationships/hyperlink" Target="../Docs/R1-2311834.zip" TargetMode="External"/><Relationship Id="rId2567" Type="http://schemas.openxmlformats.org/officeDocument/2006/relationships/hyperlink" Target="https://portal.3gpp.org/desktopmodules/Specifications/SpecificationDetails.aspx?specificationId=3214" TargetMode="External"/><Relationship Id="rId2774" Type="http://schemas.openxmlformats.org/officeDocument/2006/relationships/hyperlink" Target="https://www.3gpp.org/ftp/TSG_RAN/WG1_RL1/TSGR1_115/Docs/R1-2312618.zip" TargetMode="External"/><Relationship Id="rId2" Type="http://schemas.openxmlformats.org/officeDocument/2006/relationships/customXml" Target="../customXml/item1.xml"/><Relationship Id="rId441" Type="http://schemas.openxmlformats.org/officeDocument/2006/relationships/hyperlink" Target="../Docs/R1-2312076.zip" TargetMode="External"/><Relationship Id="rId539" Type="http://schemas.openxmlformats.org/officeDocument/2006/relationships/hyperlink" Target="../Docs/R1-2312287.zip" TargetMode="External"/><Relationship Id="rId746" Type="http://schemas.openxmlformats.org/officeDocument/2006/relationships/hyperlink" Target="../Docs/R1-2310931.zip" TargetMode="External"/><Relationship Id="rId1071" Type="http://schemas.openxmlformats.org/officeDocument/2006/relationships/hyperlink" Target="../Docs/R1-2312504.zip" TargetMode="External"/><Relationship Id="rId1169" Type="http://schemas.openxmlformats.org/officeDocument/2006/relationships/hyperlink" Target="../Docs/R1-2311844.zip" TargetMode="External"/><Relationship Id="rId1376" Type="http://schemas.openxmlformats.org/officeDocument/2006/relationships/hyperlink" Target="../Docs/R1-2312315.zip" TargetMode="External"/><Relationship Id="rId1583" Type="http://schemas.openxmlformats.org/officeDocument/2006/relationships/hyperlink" Target="../Docs/R1-2311357.zip" TargetMode="External"/><Relationship Id="rId2122" Type="http://schemas.openxmlformats.org/officeDocument/2006/relationships/hyperlink" Target="../Docs/R1-2311774.zip" TargetMode="External"/><Relationship Id="rId2427" Type="http://schemas.openxmlformats.org/officeDocument/2006/relationships/hyperlink" Target="https://portal.3gpp.org/desktopmodules/Specifications/SpecificationDetails.aspx?specificationId=3216" TargetMode="External"/><Relationship Id="rId2981" Type="http://schemas.openxmlformats.org/officeDocument/2006/relationships/hyperlink" Target="../Docs/R1-2312731.zip" TargetMode="External"/><Relationship Id="rId301" Type="http://schemas.openxmlformats.org/officeDocument/2006/relationships/hyperlink" Target="../Docs/R1-2311672.zip" TargetMode="External"/><Relationship Id="rId953" Type="http://schemas.openxmlformats.org/officeDocument/2006/relationships/hyperlink" Target="../Docs/R1-2310927.zip" TargetMode="External"/><Relationship Id="rId1029" Type="http://schemas.openxmlformats.org/officeDocument/2006/relationships/hyperlink" Target="../Docs/R1-2312328.zip" TargetMode="External"/><Relationship Id="rId1236" Type="http://schemas.openxmlformats.org/officeDocument/2006/relationships/hyperlink" Target="../Docs/R1-2311100.zip" TargetMode="External"/><Relationship Id="rId1790" Type="http://schemas.openxmlformats.org/officeDocument/2006/relationships/hyperlink" Target="../Docs/R1-2311202.zip" TargetMode="External"/><Relationship Id="rId1888" Type="http://schemas.openxmlformats.org/officeDocument/2006/relationships/hyperlink" Target="../Docs/R1-2311784.zip" TargetMode="External"/><Relationship Id="rId2634" Type="http://schemas.openxmlformats.org/officeDocument/2006/relationships/hyperlink" Target="https://portal.3gpp.org/desktopmodules/Release/ReleaseDetails.aspx?releaseId=193" TargetMode="External"/><Relationship Id="rId2841" Type="http://schemas.openxmlformats.org/officeDocument/2006/relationships/hyperlink" Target="https://portal.3gpp.org/desktopmodules/Release/ReleaseDetails.aspx?releaseId=192" TargetMode="External"/><Relationship Id="rId2939" Type="http://schemas.openxmlformats.org/officeDocument/2006/relationships/hyperlink" Target="file:///C:\MyMeetings\TSGR1_115-Chicago\Docs\R1-2312717.zip" TargetMode="External"/><Relationship Id="rId82" Type="http://schemas.openxmlformats.org/officeDocument/2006/relationships/hyperlink" Target="../Docs/R1-2311665.zip" TargetMode="External"/><Relationship Id="rId606" Type="http://schemas.openxmlformats.org/officeDocument/2006/relationships/hyperlink" Target="../Docs/R1-2312351.zip" TargetMode="External"/><Relationship Id="rId813" Type="http://schemas.openxmlformats.org/officeDocument/2006/relationships/hyperlink" Target="../Docs/R1-2311972.zip" TargetMode="External"/><Relationship Id="rId1443" Type="http://schemas.openxmlformats.org/officeDocument/2006/relationships/hyperlink" Target="../Docs/R1-2311105.zip" TargetMode="External"/><Relationship Id="rId1650" Type="http://schemas.openxmlformats.org/officeDocument/2006/relationships/hyperlink" Target="../Docs/R1-2311110.zip" TargetMode="External"/><Relationship Id="rId1748" Type="http://schemas.openxmlformats.org/officeDocument/2006/relationships/hyperlink" Target="../Docs/R1-2311498.zip" TargetMode="External"/><Relationship Id="rId2701" Type="http://schemas.openxmlformats.org/officeDocument/2006/relationships/hyperlink" Target="https://www.3gpp.org/ftp/TSG_RAN/WG1_RL1/TSGR1_115/Docs/R1-2312797.zip" TargetMode="External"/><Relationship Id="rId1303" Type="http://schemas.openxmlformats.org/officeDocument/2006/relationships/hyperlink" Target="../Docs/R1-2311137.zip" TargetMode="External"/><Relationship Id="rId1510" Type="http://schemas.openxmlformats.org/officeDocument/2006/relationships/hyperlink" Target="../Docs/R1-2311548.zip" TargetMode="External"/><Relationship Id="rId1955" Type="http://schemas.openxmlformats.org/officeDocument/2006/relationships/hyperlink" Target="../Docs/R1-2311566.zip" TargetMode="External"/><Relationship Id="rId1608" Type="http://schemas.openxmlformats.org/officeDocument/2006/relationships/hyperlink" Target="../Docs/R1-2312602.zip" TargetMode="External"/><Relationship Id="rId1815" Type="http://schemas.openxmlformats.org/officeDocument/2006/relationships/hyperlink" Target="../Docs/R1-2310771.zip" TargetMode="External"/><Relationship Id="rId3030" Type="http://schemas.openxmlformats.org/officeDocument/2006/relationships/hyperlink" Target="../Docs/R1-2312769.zip" TargetMode="External"/><Relationship Id="rId189" Type="http://schemas.openxmlformats.org/officeDocument/2006/relationships/hyperlink" Target="../Docs/R1-2311424.zip" TargetMode="External"/><Relationship Id="rId396" Type="http://schemas.openxmlformats.org/officeDocument/2006/relationships/hyperlink" Target="../Docs/R1-2312196.zip" TargetMode="External"/><Relationship Id="rId2077" Type="http://schemas.openxmlformats.org/officeDocument/2006/relationships/hyperlink" Target="../Docs/R1-2310998.zip" TargetMode="External"/><Relationship Id="rId2284" Type="http://schemas.openxmlformats.org/officeDocument/2006/relationships/hyperlink" Target="https://portal.3gpp.org/desktopmodules/WorkItem/WorkItemDetails.aspx?workitemId=860141" TargetMode="External"/><Relationship Id="rId2491" Type="http://schemas.openxmlformats.org/officeDocument/2006/relationships/hyperlink" Target="https://portal.3gpp.org/desktopmodules/Specifications/SpecificationDetails.aspx?specificationId=3216" TargetMode="External"/><Relationship Id="rId256" Type="http://schemas.openxmlformats.org/officeDocument/2006/relationships/hyperlink" Target="../Docs/R1-2310944.zip" TargetMode="External"/><Relationship Id="rId463" Type="http://schemas.openxmlformats.org/officeDocument/2006/relationships/hyperlink" Target="../Docs/R1-2311955.zip" TargetMode="External"/><Relationship Id="rId670" Type="http://schemas.openxmlformats.org/officeDocument/2006/relationships/hyperlink" Target="../Docs/R1-2312277.zip" TargetMode="External"/><Relationship Id="rId1093" Type="http://schemas.openxmlformats.org/officeDocument/2006/relationships/hyperlink" Target="../Docs/R1-2311841.zip" TargetMode="External"/><Relationship Id="rId2144" Type="http://schemas.openxmlformats.org/officeDocument/2006/relationships/hyperlink" Target="../Docs/R1-2312588.zip" TargetMode="External"/><Relationship Id="rId2351" Type="http://schemas.openxmlformats.org/officeDocument/2006/relationships/hyperlink" Target="https://portal.3gpp.org/desktopmodules/Release/ReleaseDetails.aspx?releaseId=192" TargetMode="External"/><Relationship Id="rId2589" Type="http://schemas.openxmlformats.org/officeDocument/2006/relationships/hyperlink" Target="https://www.3gpp.org/ftp/TSG_RAN/WG1_RL1/TSGR1_115/Docs/R1-2312745.zip" TargetMode="External"/><Relationship Id="rId2796" Type="http://schemas.openxmlformats.org/officeDocument/2006/relationships/hyperlink" Target="https://portal.3gpp.org/desktopmodules/Release/ReleaseDetails.aspx?releaseId=193" TargetMode="External"/><Relationship Id="rId116" Type="http://schemas.openxmlformats.org/officeDocument/2006/relationships/hyperlink" Target="../Docs/R1-2310799.zip" TargetMode="External"/><Relationship Id="rId323" Type="http://schemas.openxmlformats.org/officeDocument/2006/relationships/hyperlink" Target="../Docs/R1-2312552.zip" TargetMode="External"/><Relationship Id="rId530" Type="http://schemas.openxmlformats.org/officeDocument/2006/relationships/image" Target="media/image30.png"/><Relationship Id="rId768" Type="http://schemas.openxmlformats.org/officeDocument/2006/relationships/hyperlink" Target="../Docs/R1-2312294.zip" TargetMode="External"/><Relationship Id="rId975" Type="http://schemas.openxmlformats.org/officeDocument/2006/relationships/hyperlink" Target="../Docs/R1-2311619.zip" TargetMode="External"/><Relationship Id="rId1160" Type="http://schemas.openxmlformats.org/officeDocument/2006/relationships/hyperlink" Target="../Docs/R1-2311144.zip" TargetMode="External"/><Relationship Id="rId1398" Type="http://schemas.openxmlformats.org/officeDocument/2006/relationships/image" Target="media/image78.png"/><Relationship Id="rId2004" Type="http://schemas.openxmlformats.org/officeDocument/2006/relationships/hyperlink" Target="../Docs/R1-2311118.zip" TargetMode="External"/><Relationship Id="rId2211" Type="http://schemas.openxmlformats.org/officeDocument/2006/relationships/hyperlink" Target="../Docs/R1-2311140.zip" TargetMode="External"/><Relationship Id="rId2449" Type="http://schemas.openxmlformats.org/officeDocument/2006/relationships/hyperlink" Target="https://portal.3gpp.org/desktopmodules/Specifications/SpecificationDetails.aspx?specificationId=3217" TargetMode="External"/><Relationship Id="rId2656" Type="http://schemas.openxmlformats.org/officeDocument/2006/relationships/hyperlink" Target="https://portal.3gpp.org/desktopmodules/WorkItem/WorkItemDetails.aspx?workitemId=940194" TargetMode="External"/><Relationship Id="rId2863" Type="http://schemas.openxmlformats.org/officeDocument/2006/relationships/hyperlink" Target="https://portal.3gpp.org/desktopmodules/Release/ReleaseDetails.aspx?releaseId=193" TargetMode="External"/><Relationship Id="rId628" Type="http://schemas.openxmlformats.org/officeDocument/2006/relationships/hyperlink" Target="../Docs/R1-2312480.zip" TargetMode="External"/><Relationship Id="rId835" Type="http://schemas.openxmlformats.org/officeDocument/2006/relationships/hyperlink" Target="../Docs/R1-2311927.zip" TargetMode="External"/><Relationship Id="rId1258" Type="http://schemas.openxmlformats.org/officeDocument/2006/relationships/hyperlink" Target="../Docs/R1-2312344.zip" TargetMode="External"/><Relationship Id="rId1465" Type="http://schemas.openxmlformats.org/officeDocument/2006/relationships/hyperlink" Target="../Docs/R1-2312547.zip" TargetMode="External"/><Relationship Id="rId1672" Type="http://schemas.openxmlformats.org/officeDocument/2006/relationships/hyperlink" Target="../Docs/R1-2312513.zip" TargetMode="External"/><Relationship Id="rId2309" Type="http://schemas.openxmlformats.org/officeDocument/2006/relationships/hyperlink" Target="https://www.3gpp.org/ftp/TSG_RAN/WG1_RL1/TSGR1_115/Docs/R1-2312512.zip" TargetMode="External"/><Relationship Id="rId2516" Type="http://schemas.openxmlformats.org/officeDocument/2006/relationships/hyperlink" Target="https://portal.3gpp.org/desktopmodules/WorkItem/WorkItemDetails.aspx?workitemId=940194" TargetMode="External"/><Relationship Id="rId2723" Type="http://schemas.openxmlformats.org/officeDocument/2006/relationships/hyperlink" Target="https://portal.3gpp.org/desktopmodules/Specifications/SpecificationDetails.aspx?specificationId=3216" TargetMode="External"/><Relationship Id="rId1020" Type="http://schemas.openxmlformats.org/officeDocument/2006/relationships/hyperlink" Target="../Docs/R1-2312122.zip" TargetMode="External"/><Relationship Id="rId1118" Type="http://schemas.openxmlformats.org/officeDocument/2006/relationships/hyperlink" Target="../Docs/R1-2312034.zip" TargetMode="External"/><Relationship Id="rId1325" Type="http://schemas.openxmlformats.org/officeDocument/2006/relationships/hyperlink" Target="../Docs/R1-2312113.zip" TargetMode="External"/><Relationship Id="rId1532" Type="http://schemas.openxmlformats.org/officeDocument/2006/relationships/hyperlink" Target="../Docs/R1-2312677.zip" TargetMode="External"/><Relationship Id="rId1977" Type="http://schemas.openxmlformats.org/officeDocument/2006/relationships/hyperlink" Target="../Docs/R1-2312571.zip" TargetMode="External"/><Relationship Id="rId2930" Type="http://schemas.openxmlformats.org/officeDocument/2006/relationships/hyperlink" Target="../Docs/R1-2312706.zip" TargetMode="External"/><Relationship Id="rId902" Type="http://schemas.openxmlformats.org/officeDocument/2006/relationships/hyperlink" Target="../Docs/R1-2311088.zip" TargetMode="External"/><Relationship Id="rId1837" Type="http://schemas.openxmlformats.org/officeDocument/2006/relationships/hyperlink" Target="../Docs/R1-2311423.zip" TargetMode="External"/><Relationship Id="rId31" Type="http://schemas.openxmlformats.org/officeDocument/2006/relationships/hyperlink" Target="../Docs/R1-2311285.zip" TargetMode="External"/><Relationship Id="rId2099" Type="http://schemas.openxmlformats.org/officeDocument/2006/relationships/hyperlink" Target="../Docs/R1-2311232.zip" TargetMode="External"/><Relationship Id="rId180" Type="http://schemas.openxmlformats.org/officeDocument/2006/relationships/hyperlink" Target="../Docs/R1-2312199.zip" TargetMode="External"/><Relationship Id="rId278" Type="http://schemas.openxmlformats.org/officeDocument/2006/relationships/image" Target="media/image6.wmf"/><Relationship Id="rId1904" Type="http://schemas.openxmlformats.org/officeDocument/2006/relationships/hyperlink" Target="../Docs/R1-2311194.zip" TargetMode="External"/><Relationship Id="rId485" Type="http://schemas.openxmlformats.org/officeDocument/2006/relationships/hyperlink" Target="../Docs/R1-2311966.zip" TargetMode="External"/><Relationship Id="rId692" Type="http://schemas.openxmlformats.org/officeDocument/2006/relationships/hyperlink" Target="../Docs/R1-2311785.zip" TargetMode="External"/><Relationship Id="rId2166" Type="http://schemas.openxmlformats.org/officeDocument/2006/relationships/hyperlink" Target="../Docs/R1-2312104.zip" TargetMode="External"/><Relationship Id="rId2373" Type="http://schemas.openxmlformats.org/officeDocument/2006/relationships/hyperlink" Target="https://www.3gpp.org/ftp/TSG_RAN/WG1_RL1/TSGR1_115/Docs/R1-2312594.zip" TargetMode="External"/><Relationship Id="rId2580" Type="http://schemas.openxmlformats.org/officeDocument/2006/relationships/hyperlink" Target="https://portal.3gpp.org/desktopmodules/WorkItem/WorkItemDetails.aspx?workitemId=940194" TargetMode="External"/><Relationship Id="rId138" Type="http://schemas.openxmlformats.org/officeDocument/2006/relationships/hyperlink" Target="../Docs/R1-2311524.zip" TargetMode="External"/><Relationship Id="rId345" Type="http://schemas.openxmlformats.org/officeDocument/2006/relationships/hyperlink" Target="../Docs/R1-2312456.zip" TargetMode="External"/><Relationship Id="rId552" Type="http://schemas.openxmlformats.org/officeDocument/2006/relationships/hyperlink" Target="../Docs/R1-2312555.zip" TargetMode="External"/><Relationship Id="rId997" Type="http://schemas.openxmlformats.org/officeDocument/2006/relationships/hyperlink" Target="../Docs/R1-2312666.zip" TargetMode="External"/><Relationship Id="rId1182" Type="http://schemas.openxmlformats.org/officeDocument/2006/relationships/hyperlink" Target="../Docs/R1-2312270.zip" TargetMode="External"/><Relationship Id="rId2026" Type="http://schemas.openxmlformats.org/officeDocument/2006/relationships/hyperlink" Target="../Docs/R1-2311502.zip" TargetMode="External"/><Relationship Id="rId2233" Type="http://schemas.openxmlformats.org/officeDocument/2006/relationships/header" Target="header1.xml"/><Relationship Id="rId2440" Type="http://schemas.openxmlformats.org/officeDocument/2006/relationships/hyperlink" Target="https://www.3gpp.org/ftp/TSG_RAN/WG1_RL1/TSGR1_115/Docs/R1-2312683.zip" TargetMode="External"/><Relationship Id="rId2678" Type="http://schemas.openxmlformats.org/officeDocument/2006/relationships/hyperlink" Target="https://portal.3gpp.org/desktopmodules/Release/ReleaseDetails.aspx?releaseId=193" TargetMode="External"/><Relationship Id="rId2885" Type="http://schemas.openxmlformats.org/officeDocument/2006/relationships/hyperlink" Target="https://portal.3gpp.org/desktopmodules/Release/ReleaseDetails.aspx?releaseId=193" TargetMode="External"/><Relationship Id="rId205" Type="http://schemas.openxmlformats.org/officeDocument/2006/relationships/hyperlink" Target="../Docs/R1-2311804.zip" TargetMode="External"/><Relationship Id="rId412" Type="http://schemas.openxmlformats.org/officeDocument/2006/relationships/hyperlink" Target="../Docs/R1-2312222.zip" TargetMode="External"/><Relationship Id="rId857" Type="http://schemas.openxmlformats.org/officeDocument/2006/relationships/hyperlink" Target="../Docs/R1-2311568.zip" TargetMode="External"/><Relationship Id="rId1042" Type="http://schemas.openxmlformats.org/officeDocument/2006/relationships/hyperlink" Target="../Docs/R1-2311839.zip" TargetMode="External"/><Relationship Id="rId1487" Type="http://schemas.openxmlformats.org/officeDocument/2006/relationships/hyperlink" Target="../Docs/R1-2311890.zip" TargetMode="External"/><Relationship Id="rId1694" Type="http://schemas.openxmlformats.org/officeDocument/2006/relationships/hyperlink" Target="../Docs/R1-2312695.zip" TargetMode="External"/><Relationship Id="rId2300" Type="http://schemas.openxmlformats.org/officeDocument/2006/relationships/hyperlink" Target="https://portal.3gpp.org/desktopmodules/WorkItem/WorkItemDetails.aspx?workitemId=800185" TargetMode="External"/><Relationship Id="rId2538" Type="http://schemas.openxmlformats.org/officeDocument/2006/relationships/hyperlink" Target="https://portal.3gpp.org/desktopmodules/Release/ReleaseDetails.aspx?releaseId=193" TargetMode="External"/><Relationship Id="rId2745" Type="http://schemas.openxmlformats.org/officeDocument/2006/relationships/hyperlink" Target="https://portal.3gpp.org/desktopmodules/WorkItem/WorkItemDetails.aspx?workitemId=981138" TargetMode="External"/><Relationship Id="rId2952" Type="http://schemas.openxmlformats.org/officeDocument/2006/relationships/hyperlink" Target="../Docs/R1-2312727.zip" TargetMode="External"/><Relationship Id="rId717" Type="http://schemas.openxmlformats.org/officeDocument/2006/relationships/hyperlink" Target="../Docs/R1-2310991.zip" TargetMode="External"/><Relationship Id="rId924" Type="http://schemas.openxmlformats.org/officeDocument/2006/relationships/hyperlink" Target="../Docs/R1-2312194.zip" TargetMode="External"/><Relationship Id="rId1347" Type="http://schemas.openxmlformats.org/officeDocument/2006/relationships/hyperlink" Target="../Docs/R1-2311052.zip" TargetMode="External"/><Relationship Id="rId1554" Type="http://schemas.openxmlformats.org/officeDocument/2006/relationships/hyperlink" Target="../Docs/R1-2312339.zip" TargetMode="External"/><Relationship Id="rId1761" Type="http://schemas.openxmlformats.org/officeDocument/2006/relationships/image" Target="media/image87.png"/><Relationship Id="rId1999" Type="http://schemas.openxmlformats.org/officeDocument/2006/relationships/hyperlink" Target="../Docs/R1-2312079.zip" TargetMode="External"/><Relationship Id="rId2605" Type="http://schemas.openxmlformats.org/officeDocument/2006/relationships/hyperlink" Target="https://www.3gpp.org/ftp/TSG_RAN/WG1_RL1/TSGR1_115/Docs/R1-2312749.zip" TargetMode="External"/><Relationship Id="rId2812" Type="http://schemas.openxmlformats.org/officeDocument/2006/relationships/hyperlink" Target="https://portal.3gpp.org/desktopmodules/Release/ReleaseDetails.aspx?releaseId=193" TargetMode="External"/><Relationship Id="rId53" Type="http://schemas.openxmlformats.org/officeDocument/2006/relationships/hyperlink" Target="../Docs/R1-2311375.zip" TargetMode="External"/><Relationship Id="rId1207" Type="http://schemas.openxmlformats.org/officeDocument/2006/relationships/hyperlink" Target="../Docs/R1-2311344.zip" TargetMode="External"/><Relationship Id="rId1414" Type="http://schemas.openxmlformats.org/officeDocument/2006/relationships/hyperlink" Target="../Docs/R1-2311691.zip" TargetMode="External"/><Relationship Id="rId1621" Type="http://schemas.openxmlformats.org/officeDocument/2006/relationships/hyperlink" Target="../Docs/R1-2311045.zip" TargetMode="External"/><Relationship Id="rId1859" Type="http://schemas.openxmlformats.org/officeDocument/2006/relationships/hyperlink" Target="../Docs/R1-2312174.zip" TargetMode="External"/><Relationship Id="rId1719" Type="http://schemas.openxmlformats.org/officeDocument/2006/relationships/hyperlink" Target="../Docs/R1-2311700.zip" TargetMode="External"/><Relationship Id="rId1926" Type="http://schemas.openxmlformats.org/officeDocument/2006/relationships/hyperlink" Target="../Docs/R1-2312604.zip" TargetMode="External"/><Relationship Id="rId2090" Type="http://schemas.openxmlformats.org/officeDocument/2006/relationships/hyperlink" Target="../Docs/R1-2312066.zip" TargetMode="External"/><Relationship Id="rId2188" Type="http://schemas.openxmlformats.org/officeDocument/2006/relationships/hyperlink" Target="../Docs/R1-2311208.zip" TargetMode="External"/><Relationship Id="rId2395" Type="http://schemas.openxmlformats.org/officeDocument/2006/relationships/hyperlink" Target="https://portal.3gpp.org/desktopmodules/Specifications/SpecificationDetails.aspx?specificationId=3215" TargetMode="External"/><Relationship Id="rId367" Type="http://schemas.openxmlformats.org/officeDocument/2006/relationships/hyperlink" Target="../Docs/R1-2312242.zip" TargetMode="External"/><Relationship Id="rId574" Type="http://schemas.openxmlformats.org/officeDocument/2006/relationships/hyperlink" Target="../Docs/R1-2312636.zip" TargetMode="External"/><Relationship Id="rId2048" Type="http://schemas.openxmlformats.org/officeDocument/2006/relationships/hyperlink" Target="../Docs/R1-2311870.zip" TargetMode="External"/><Relationship Id="rId2255" Type="http://schemas.openxmlformats.org/officeDocument/2006/relationships/hyperlink" Target="https://portal.3gpp.org/desktopmodules/Specifications/SpecificationDetails.aspx?specificationId=3215" TargetMode="External"/><Relationship Id="rId3001" Type="http://schemas.openxmlformats.org/officeDocument/2006/relationships/hyperlink" Target="../Docs/R1-2312786.zip" TargetMode="External"/><Relationship Id="rId227" Type="http://schemas.openxmlformats.org/officeDocument/2006/relationships/image" Target="media/image4.png"/><Relationship Id="rId781" Type="http://schemas.openxmlformats.org/officeDocument/2006/relationships/image" Target="media/image36.png"/><Relationship Id="rId879" Type="http://schemas.openxmlformats.org/officeDocument/2006/relationships/hyperlink" Target="../Docs/R1-2311365.zip" TargetMode="External"/><Relationship Id="rId2462" Type="http://schemas.openxmlformats.org/officeDocument/2006/relationships/hyperlink" Target="https://portal.3gpp.org/desktopmodules/WorkItem/WorkItemDetails.aspx?workitemId=900162" TargetMode="External"/><Relationship Id="rId2767" Type="http://schemas.openxmlformats.org/officeDocument/2006/relationships/hyperlink" Target="https://www.3gpp.org/ftp/TSG_RAN/WG1_RL1/TSGR1_115/Docs/R1-2312566.zip" TargetMode="External"/><Relationship Id="rId434" Type="http://schemas.openxmlformats.org/officeDocument/2006/relationships/hyperlink" Target="../Docs/R1-2311583.zip" TargetMode="External"/><Relationship Id="rId641" Type="http://schemas.openxmlformats.org/officeDocument/2006/relationships/hyperlink" Target="../Docs/R1-2312461.zip" TargetMode="External"/><Relationship Id="rId739" Type="http://schemas.openxmlformats.org/officeDocument/2006/relationships/hyperlink" Target="../Docs/R1-2311001.zip" TargetMode="External"/><Relationship Id="rId1064" Type="http://schemas.openxmlformats.org/officeDocument/2006/relationships/hyperlink" Target="../Docs/R1-2312262.zip" TargetMode="External"/><Relationship Id="rId1271" Type="http://schemas.openxmlformats.org/officeDocument/2006/relationships/hyperlink" Target="../Docs/R1-2311101.zip" TargetMode="External"/><Relationship Id="rId1369" Type="http://schemas.openxmlformats.org/officeDocument/2006/relationships/hyperlink" Target="../Docs/R1-2312042.zip" TargetMode="External"/><Relationship Id="rId1576" Type="http://schemas.openxmlformats.org/officeDocument/2006/relationships/hyperlink" Target="../Docs/R1-2312158.zip" TargetMode="External"/><Relationship Id="rId2115" Type="http://schemas.openxmlformats.org/officeDocument/2006/relationships/hyperlink" Target="../Docs/R1-2311334.zip" TargetMode="External"/><Relationship Id="rId2322" Type="http://schemas.openxmlformats.org/officeDocument/2006/relationships/hyperlink" Target="https://portal.3gpp.org/desktopmodules/Release/ReleaseDetails.aspx?releaseId=193" TargetMode="External"/><Relationship Id="rId2974" Type="http://schemas.openxmlformats.org/officeDocument/2006/relationships/hyperlink" Target="../Docs/R1-2312772.zip" TargetMode="External"/><Relationship Id="rId501" Type="http://schemas.openxmlformats.org/officeDocument/2006/relationships/hyperlink" Target="../Docs/R1-2311537.zip" TargetMode="External"/><Relationship Id="rId946" Type="http://schemas.openxmlformats.org/officeDocument/2006/relationships/hyperlink" Target="../Docs/R1-2311931.zip" TargetMode="External"/><Relationship Id="rId1131" Type="http://schemas.openxmlformats.org/officeDocument/2006/relationships/hyperlink" Target="../Docs/R1-2311341.zip" TargetMode="External"/><Relationship Id="rId1229" Type="http://schemas.openxmlformats.org/officeDocument/2006/relationships/hyperlink" Target="../Docs/R1-2311465.zip" TargetMode="External"/><Relationship Id="rId1783" Type="http://schemas.openxmlformats.org/officeDocument/2006/relationships/hyperlink" Target="../Docs/R1-2312138.zip" TargetMode="External"/><Relationship Id="rId1990" Type="http://schemas.openxmlformats.org/officeDocument/2006/relationships/hyperlink" Target="../Docs/R1-2311438.zip" TargetMode="External"/><Relationship Id="rId2627" Type="http://schemas.openxmlformats.org/officeDocument/2006/relationships/hyperlink" Target="https://portal.3gpp.org/desktopmodules/Specifications/SpecificationDetails.aspx?specificationId=3216" TargetMode="External"/><Relationship Id="rId2834" Type="http://schemas.openxmlformats.org/officeDocument/2006/relationships/hyperlink" Target="https://portal.3gpp.org/desktopmodules/Release/ReleaseDetails.aspx?releaseId=193" TargetMode="External"/><Relationship Id="rId75" Type="http://schemas.openxmlformats.org/officeDocument/2006/relationships/hyperlink" Target="../Docs/R1-2310905.zip" TargetMode="External"/><Relationship Id="rId806" Type="http://schemas.openxmlformats.org/officeDocument/2006/relationships/hyperlink" Target="../Docs/R1-2311613.zip" TargetMode="External"/><Relationship Id="rId1436" Type="http://schemas.openxmlformats.org/officeDocument/2006/relationships/hyperlink" Target="../Docs/R1-2310830.zip" TargetMode="External"/><Relationship Id="rId1643" Type="http://schemas.openxmlformats.org/officeDocument/2006/relationships/hyperlink" Target="../Docs/R1-2311322.zip" TargetMode="External"/><Relationship Id="rId1850" Type="http://schemas.openxmlformats.org/officeDocument/2006/relationships/hyperlink" Target="../Docs/R1-2311888.zip" TargetMode="External"/><Relationship Id="rId2901" Type="http://schemas.openxmlformats.org/officeDocument/2006/relationships/hyperlink" Target="https://portal.3gpp.org/desktopmodules/WorkItem/WorkItemDetails.aspx?workitemId=981138" TargetMode="External"/><Relationship Id="rId1503" Type="http://schemas.openxmlformats.org/officeDocument/2006/relationships/hyperlink" Target="../Docs/R1-2311263.zip" TargetMode="External"/><Relationship Id="rId1710" Type="http://schemas.openxmlformats.org/officeDocument/2006/relationships/hyperlink" Target="../Docs/R1-2312669.zip" TargetMode="External"/><Relationship Id="rId1948" Type="http://schemas.openxmlformats.org/officeDocument/2006/relationships/hyperlink" Target="../Docs/R1-2312355.zip" TargetMode="External"/><Relationship Id="rId291" Type="http://schemas.openxmlformats.org/officeDocument/2006/relationships/oleObject" Target="embeddings/oleObject2.bin"/><Relationship Id="rId1808" Type="http://schemas.openxmlformats.org/officeDocument/2006/relationships/hyperlink" Target="../Docs/R1-2311703.zip" TargetMode="External"/><Relationship Id="rId3023" Type="http://schemas.openxmlformats.org/officeDocument/2006/relationships/hyperlink" Target="../Docs/R1-2312744.zip" TargetMode="External"/><Relationship Id="rId151" Type="http://schemas.openxmlformats.org/officeDocument/2006/relationships/hyperlink" Target="../Docs/R1-2311223.zip" TargetMode="External"/><Relationship Id="rId389" Type="http://schemas.openxmlformats.org/officeDocument/2006/relationships/hyperlink" Target="../Docs/R1-2310929.zip" TargetMode="External"/><Relationship Id="rId596" Type="http://schemas.openxmlformats.org/officeDocument/2006/relationships/hyperlink" Target="../Docs/R1-2312557.zip" TargetMode="External"/><Relationship Id="rId2277" Type="http://schemas.openxmlformats.org/officeDocument/2006/relationships/hyperlink" Target="https://www.3gpp.org/ftp/TSG_RAN/WG1_RL1/TSGR1_115/Docs/R1-2312478.zip" TargetMode="External"/><Relationship Id="rId2484" Type="http://schemas.openxmlformats.org/officeDocument/2006/relationships/hyperlink" Target="https://portal.3gpp.org/desktopmodules/Release/ReleaseDetails.aspx?releaseId=192" TargetMode="External"/><Relationship Id="rId2691" Type="http://schemas.openxmlformats.org/officeDocument/2006/relationships/hyperlink" Target="https://portal.3gpp.org/desktopmodules/Specifications/SpecificationDetails.aspx?specificationId=3215" TargetMode="External"/><Relationship Id="rId249" Type="http://schemas.openxmlformats.org/officeDocument/2006/relationships/hyperlink" Target="../Docs/R1-2312308.zip" TargetMode="External"/><Relationship Id="rId456" Type="http://schemas.openxmlformats.org/officeDocument/2006/relationships/hyperlink" Target="../Docs/R1-2312631.zip" TargetMode="External"/><Relationship Id="rId663" Type="http://schemas.openxmlformats.org/officeDocument/2006/relationships/hyperlink" Target="../Docs/R1-2311292.zip" TargetMode="External"/><Relationship Id="rId870" Type="http://schemas.openxmlformats.org/officeDocument/2006/relationships/hyperlink" Target="../Docs/R1-2312028.zip" TargetMode="External"/><Relationship Id="rId1086" Type="http://schemas.openxmlformats.org/officeDocument/2006/relationships/hyperlink" Target="../Docs/R1-2311402.zip" TargetMode="External"/><Relationship Id="rId1293" Type="http://schemas.openxmlformats.org/officeDocument/2006/relationships/hyperlink" Target="../Docs/R1-2312617.zip" TargetMode="External"/><Relationship Id="rId2137" Type="http://schemas.openxmlformats.org/officeDocument/2006/relationships/hyperlink" Target="../Docs/R1-2311989.zip" TargetMode="External"/><Relationship Id="rId2344" Type="http://schemas.openxmlformats.org/officeDocument/2006/relationships/hyperlink" Target="https://portal.3gpp.org/desktopmodules/Specifications/SpecificationDetails.aspx?specificationId=3216" TargetMode="External"/><Relationship Id="rId2551" Type="http://schemas.openxmlformats.org/officeDocument/2006/relationships/hyperlink" Target="https://portal.3gpp.org/desktopmodules/Specifications/SpecificationDetails.aspx?specificationId=3217" TargetMode="External"/><Relationship Id="rId2789" Type="http://schemas.openxmlformats.org/officeDocument/2006/relationships/hyperlink" Target="https://www.3gpp.org/ftp/TSG_RAN/WG1_RL1/TSGR1_115/Docs/R1-2312642.zip" TargetMode="External"/><Relationship Id="rId2996" Type="http://schemas.openxmlformats.org/officeDocument/2006/relationships/hyperlink" Target="../Docs/R1-2312789.zip" TargetMode="External"/><Relationship Id="rId109" Type="http://schemas.openxmlformats.org/officeDocument/2006/relationships/hyperlink" Target="../Docs/R1-2311370.zip" TargetMode="External"/><Relationship Id="rId316" Type="http://schemas.openxmlformats.org/officeDocument/2006/relationships/hyperlink" Target="../Docs/R1-2312077.zip" TargetMode="External"/><Relationship Id="rId523" Type="http://schemas.openxmlformats.org/officeDocument/2006/relationships/oleObject" Target="embeddings/oleObject19.bin"/><Relationship Id="rId968" Type="http://schemas.openxmlformats.org/officeDocument/2006/relationships/hyperlink" Target="../Docs/R1-2311336.zip" TargetMode="External"/><Relationship Id="rId1153" Type="http://schemas.openxmlformats.org/officeDocument/2006/relationships/hyperlink" Target="../Docs/R1-2310764.zip" TargetMode="External"/><Relationship Id="rId1598" Type="http://schemas.openxmlformats.org/officeDocument/2006/relationships/hyperlink" Target="../Docs/R1-2312048.zip" TargetMode="External"/><Relationship Id="rId2204" Type="http://schemas.openxmlformats.org/officeDocument/2006/relationships/hyperlink" Target="../Docs/R1-2311781.zip" TargetMode="External"/><Relationship Id="rId2649" Type="http://schemas.openxmlformats.org/officeDocument/2006/relationships/hyperlink" Target="https://www.3gpp.org/ftp/TSG_RAN/WG1_RL1/TSGR1_115/Docs/R1-2312760.zip" TargetMode="External"/><Relationship Id="rId2856" Type="http://schemas.openxmlformats.org/officeDocument/2006/relationships/hyperlink" Target="https://portal.3gpp.org/desktopmodules/WorkItem/WorkItemDetails.aspx?workitemId=981138" TargetMode="External"/><Relationship Id="rId97" Type="http://schemas.openxmlformats.org/officeDocument/2006/relationships/hyperlink" Target="../Docs/R1-2312114.zip" TargetMode="External"/><Relationship Id="rId730" Type="http://schemas.openxmlformats.org/officeDocument/2006/relationships/hyperlink" Target="../Docs/R1-2312661.zip" TargetMode="External"/><Relationship Id="rId828" Type="http://schemas.openxmlformats.org/officeDocument/2006/relationships/hyperlink" Target="../Docs/R1-2311416.zip" TargetMode="External"/><Relationship Id="rId1013" Type="http://schemas.openxmlformats.org/officeDocument/2006/relationships/hyperlink" Target="../Docs/R1-2311752.zip" TargetMode="External"/><Relationship Id="rId1360" Type="http://schemas.openxmlformats.org/officeDocument/2006/relationships/hyperlink" Target="../Docs/R1-2311627.zip" TargetMode="External"/><Relationship Id="rId1458" Type="http://schemas.openxmlformats.org/officeDocument/2006/relationships/hyperlink" Target="../Docs/R1-2311889.zip" TargetMode="External"/><Relationship Id="rId1665" Type="http://schemas.openxmlformats.org/officeDocument/2006/relationships/hyperlink" Target="../Docs/R1-2311990.zip" TargetMode="External"/><Relationship Id="rId1872" Type="http://schemas.openxmlformats.org/officeDocument/2006/relationships/hyperlink" Target="../Docs/R1-2311149.zip" TargetMode="External"/><Relationship Id="rId2411" Type="http://schemas.openxmlformats.org/officeDocument/2006/relationships/hyperlink" Target="https://portal.3gpp.org/desktopmodules/Release/ReleaseDetails.aspx?releaseId=193" TargetMode="External"/><Relationship Id="rId2509" Type="http://schemas.openxmlformats.org/officeDocument/2006/relationships/hyperlink" Target="https://www.3gpp.org/ftp/TSG_RAN/WG1_RL1/TSGR1_115/Docs/R1-2312725.zip" TargetMode="External"/><Relationship Id="rId2716" Type="http://schemas.openxmlformats.org/officeDocument/2006/relationships/hyperlink" Target="https://portal.3gpp.org/desktopmodules/WorkItem/WorkItemDetails.aspx?workitemId=941112" TargetMode="External"/><Relationship Id="rId1220" Type="http://schemas.openxmlformats.org/officeDocument/2006/relationships/hyperlink" Target="../Docs/R1-2312190.zip" TargetMode="External"/><Relationship Id="rId1318" Type="http://schemas.openxmlformats.org/officeDocument/2006/relationships/hyperlink" Target="../Docs/R1-2311849.zip" TargetMode="External"/><Relationship Id="rId1525" Type="http://schemas.openxmlformats.org/officeDocument/2006/relationships/hyperlink" Target="../Docs/R1-2312272.zip" TargetMode="External"/><Relationship Id="rId2923" Type="http://schemas.openxmlformats.org/officeDocument/2006/relationships/hyperlink" Target="https://portal.3gpp.org/desktopmodules/WorkItem/WorkItemDetails.aspx?workitemId=940195" TargetMode="External"/><Relationship Id="rId1732" Type="http://schemas.openxmlformats.org/officeDocument/2006/relationships/hyperlink" Target="../Docs/R1-2311249.zip" TargetMode="External"/><Relationship Id="rId24" Type="http://schemas.openxmlformats.org/officeDocument/2006/relationships/hyperlink" Target="../Docs/R1-2310787.zip" TargetMode="External"/><Relationship Id="rId2299" Type="http://schemas.openxmlformats.org/officeDocument/2006/relationships/hyperlink" Target="https://portal.3gpp.org/desktopmodules/Specifications/SpecificationDetails.aspx?specificationId=3215" TargetMode="External"/><Relationship Id="rId3045" Type="http://schemas.openxmlformats.org/officeDocument/2006/relationships/hyperlink" Target="../Docs/R1-2312712.zip" TargetMode="External"/><Relationship Id="rId173" Type="http://schemas.openxmlformats.org/officeDocument/2006/relationships/hyperlink" Target="../Docs/R1-2310794.zip" TargetMode="External"/><Relationship Id="rId380" Type="http://schemas.openxmlformats.org/officeDocument/2006/relationships/hyperlink" Target="../Docs/R1-2311011.zip" TargetMode="External"/><Relationship Id="rId2061" Type="http://schemas.openxmlformats.org/officeDocument/2006/relationships/hyperlink" Target="../Docs/R1-2311332.zip" TargetMode="External"/><Relationship Id="rId240" Type="http://schemas.openxmlformats.org/officeDocument/2006/relationships/hyperlink" Target="../Docs/R1-2310803.zip" TargetMode="External"/><Relationship Id="rId478" Type="http://schemas.openxmlformats.org/officeDocument/2006/relationships/hyperlink" Target="../Docs/R1-2312232.zip" TargetMode="External"/><Relationship Id="rId685" Type="http://schemas.openxmlformats.org/officeDocument/2006/relationships/hyperlink" Target="../Docs/R1-2312522.zip" TargetMode="External"/><Relationship Id="rId892" Type="http://schemas.openxmlformats.org/officeDocument/2006/relationships/image" Target="media/image46.wmf"/><Relationship Id="rId2159" Type="http://schemas.openxmlformats.org/officeDocument/2006/relationships/hyperlink" Target="../Docs/R1-2311393.zip" TargetMode="External"/><Relationship Id="rId2366" Type="http://schemas.openxmlformats.org/officeDocument/2006/relationships/hyperlink" Target="https://portal.3gpp.org/desktopmodules/Specifications/SpecificationDetails.aspx?specificationId=3215" TargetMode="External"/><Relationship Id="rId2573" Type="http://schemas.openxmlformats.org/officeDocument/2006/relationships/hyperlink" Target="https://www.3gpp.org/ftp/TSG_RAN/WG1_RL1/TSGR1_115/Docs/R1-2312741.zip" TargetMode="External"/><Relationship Id="rId2780" Type="http://schemas.openxmlformats.org/officeDocument/2006/relationships/hyperlink" Target="https://www.3gpp.org/ftp/TSG_RAN/WG1_RL1/TSGR1_115/Docs/R1-2312621.zip" TargetMode="External"/><Relationship Id="rId100" Type="http://schemas.openxmlformats.org/officeDocument/2006/relationships/hyperlink" Target="../Docs/R1-2311055.zip" TargetMode="External"/><Relationship Id="rId338" Type="http://schemas.openxmlformats.org/officeDocument/2006/relationships/hyperlink" Target="../Docs/R1-2311817.zip" TargetMode="External"/><Relationship Id="rId545" Type="http://schemas.openxmlformats.org/officeDocument/2006/relationships/hyperlink" Target="../Docs/R1-2311299.zip" TargetMode="External"/><Relationship Id="rId752" Type="http://schemas.openxmlformats.org/officeDocument/2006/relationships/hyperlink" Target="../Docs/R1-2311155.zip" TargetMode="External"/><Relationship Id="rId1175" Type="http://schemas.openxmlformats.org/officeDocument/2006/relationships/hyperlink" Target="../Docs/R1-2312269.zip" TargetMode="External"/><Relationship Id="rId1382" Type="http://schemas.openxmlformats.org/officeDocument/2006/relationships/image" Target="media/image62.png"/><Relationship Id="rId2019" Type="http://schemas.openxmlformats.org/officeDocument/2006/relationships/hyperlink" Target="../Docs/R1-2311119.zip" TargetMode="External"/><Relationship Id="rId2226" Type="http://schemas.openxmlformats.org/officeDocument/2006/relationships/hyperlink" Target="../Docs/R1-2311882.zip" TargetMode="External"/><Relationship Id="rId2433" Type="http://schemas.openxmlformats.org/officeDocument/2006/relationships/hyperlink" Target="https://portal.3gpp.org/desktopmodules/Specifications/SpecificationDetails.aspx?specificationId=3214" TargetMode="External"/><Relationship Id="rId2640" Type="http://schemas.openxmlformats.org/officeDocument/2006/relationships/hyperlink" Target="https://portal.3gpp.org/desktopmodules/WorkItem/WorkItemDetails.aspx?workitemId=981138" TargetMode="External"/><Relationship Id="rId2878" Type="http://schemas.openxmlformats.org/officeDocument/2006/relationships/hyperlink" Target="../Docs/R1-2310803.zip" TargetMode="External"/><Relationship Id="rId405" Type="http://schemas.openxmlformats.org/officeDocument/2006/relationships/hyperlink" Target="../Docs/R1-2312243.zip" TargetMode="External"/><Relationship Id="rId612" Type="http://schemas.openxmlformats.org/officeDocument/2006/relationships/hyperlink" Target="../Docs/R1-2312475.zip" TargetMode="External"/><Relationship Id="rId1035" Type="http://schemas.openxmlformats.org/officeDocument/2006/relationships/hyperlink" Target="../Docs/R1-2310853.zip" TargetMode="External"/><Relationship Id="rId1242" Type="http://schemas.openxmlformats.org/officeDocument/2006/relationships/hyperlink" Target="../Docs/R1-2311462.zip" TargetMode="External"/><Relationship Id="rId1687" Type="http://schemas.openxmlformats.org/officeDocument/2006/relationships/hyperlink" Target="../Docs/R1-2311907.zip" TargetMode="External"/><Relationship Id="rId1894" Type="http://schemas.openxmlformats.org/officeDocument/2006/relationships/hyperlink" Target="../Docs/R1-2312107.zip" TargetMode="External"/><Relationship Id="rId2500" Type="http://schemas.openxmlformats.org/officeDocument/2006/relationships/hyperlink" Target="https://portal.3gpp.org/desktopmodules/Specifications/SpecificationDetails.aspx?specificationId=3216" TargetMode="External"/><Relationship Id="rId2738" Type="http://schemas.openxmlformats.org/officeDocument/2006/relationships/hyperlink" Target="https://portal.3gpp.org/desktopmodules/Release/ReleaseDetails.aspx?releaseId=193" TargetMode="External"/><Relationship Id="rId2945" Type="http://schemas.openxmlformats.org/officeDocument/2006/relationships/hyperlink" Target="../Docs/R1-2312818.zip" TargetMode="External"/><Relationship Id="rId917" Type="http://schemas.openxmlformats.org/officeDocument/2006/relationships/hyperlink" Target="../Docs/R1-2311744.zip" TargetMode="External"/><Relationship Id="rId1102" Type="http://schemas.openxmlformats.org/officeDocument/2006/relationships/hyperlink" Target="../Docs/R1-2312295.zip" TargetMode="External"/><Relationship Id="rId1547" Type="http://schemas.openxmlformats.org/officeDocument/2006/relationships/hyperlink" Target="../Docs/R1-2312304.zip" TargetMode="External"/><Relationship Id="rId1754" Type="http://schemas.openxmlformats.org/officeDocument/2006/relationships/hyperlink" Target="../Docs/R1-2311994.zip" TargetMode="External"/><Relationship Id="rId1961" Type="http://schemas.openxmlformats.org/officeDocument/2006/relationships/hyperlink" Target="../Docs/R1-2312140.zip" TargetMode="External"/><Relationship Id="rId2805" Type="http://schemas.openxmlformats.org/officeDocument/2006/relationships/hyperlink" Target="https://portal.3gpp.org/desktopmodules/WorkItem/WorkItemDetails.aspx?workitemId=940104" TargetMode="External"/><Relationship Id="rId46" Type="http://schemas.openxmlformats.org/officeDocument/2006/relationships/hyperlink" Target="../Docs/R1-2311062.zip" TargetMode="External"/><Relationship Id="rId1407" Type="http://schemas.openxmlformats.org/officeDocument/2006/relationships/hyperlink" Target="../Docs/R1-2311104.zip" TargetMode="External"/><Relationship Id="rId1614" Type="http://schemas.openxmlformats.org/officeDocument/2006/relationships/hyperlink" Target="../Docs/R1-2311696.zip" TargetMode="External"/><Relationship Id="rId1821" Type="http://schemas.openxmlformats.org/officeDocument/2006/relationships/hyperlink" Target="https://www.3gpp.org/ftp/TSG_RAN/TSG_RAN/TSGR_96/Docs/RP-221348.zip" TargetMode="External"/><Relationship Id="rId195" Type="http://schemas.openxmlformats.org/officeDocument/2006/relationships/hyperlink" Target="../Docs/R1-2312154.zip" TargetMode="External"/><Relationship Id="rId1919" Type="http://schemas.openxmlformats.org/officeDocument/2006/relationships/image" Target="media/image94.png"/><Relationship Id="rId2083" Type="http://schemas.openxmlformats.org/officeDocument/2006/relationships/hyperlink" Target="../Docs/R1-2311534.zip" TargetMode="External"/><Relationship Id="rId2290" Type="http://schemas.openxmlformats.org/officeDocument/2006/relationships/hyperlink" Target="https://portal.3gpp.org/desktopmodules/Release/ReleaseDetails.aspx?releaseId=191" TargetMode="External"/><Relationship Id="rId2388" Type="http://schemas.openxmlformats.org/officeDocument/2006/relationships/hyperlink" Target="https://portal.3gpp.org/desktopmodules/WorkItem/WorkItemDetails.aspx?workitemId=830174" TargetMode="External"/><Relationship Id="rId2595" Type="http://schemas.openxmlformats.org/officeDocument/2006/relationships/hyperlink" Target="https://portal.3gpp.org/desktopmodules/Specifications/SpecificationDetails.aspx?specificationId=3435" TargetMode="External"/><Relationship Id="rId262" Type="http://schemas.openxmlformats.org/officeDocument/2006/relationships/hyperlink" Target="../Docs/R1-2312525.zip" TargetMode="External"/><Relationship Id="rId567" Type="http://schemas.openxmlformats.org/officeDocument/2006/relationships/hyperlink" Target="../Docs/R1-2311304.zip" TargetMode="External"/><Relationship Id="rId1197" Type="http://schemas.openxmlformats.org/officeDocument/2006/relationships/hyperlink" Target="../Docs/R1-2312189.zip" TargetMode="External"/><Relationship Id="rId2150" Type="http://schemas.openxmlformats.org/officeDocument/2006/relationships/hyperlink" Target="../Docs/R1-2311876.zip" TargetMode="External"/><Relationship Id="rId2248" Type="http://schemas.openxmlformats.org/officeDocument/2006/relationships/hyperlink" Target="https://portal.3gpp.org/desktopmodules/WorkItem/WorkItemDetails.aspx?workitemId=860145" TargetMode="External"/><Relationship Id="rId122" Type="http://schemas.openxmlformats.org/officeDocument/2006/relationships/hyperlink" Target="../Docs/R1-2311531.zip" TargetMode="External"/><Relationship Id="rId774" Type="http://schemas.openxmlformats.org/officeDocument/2006/relationships/hyperlink" Target="../Docs/R1-2312177.zip" TargetMode="External"/><Relationship Id="rId981" Type="http://schemas.openxmlformats.org/officeDocument/2006/relationships/hyperlink" Target="../Docs/R1-2311884.zip" TargetMode="External"/><Relationship Id="rId1057" Type="http://schemas.openxmlformats.org/officeDocument/2006/relationships/hyperlink" Target="../Docs/R1-2311518.zip" TargetMode="External"/><Relationship Id="rId2010" Type="http://schemas.openxmlformats.org/officeDocument/2006/relationships/hyperlink" Target="../Docs/R1-2311643.zip" TargetMode="External"/><Relationship Id="rId2455" Type="http://schemas.openxmlformats.org/officeDocument/2006/relationships/hyperlink" Target="https://www.3gpp.org/ftp/TSG_RAN/WG1_RL1/TSGR1_115/Docs/R1-2312699.zip" TargetMode="External"/><Relationship Id="rId2662" Type="http://schemas.openxmlformats.org/officeDocument/2006/relationships/hyperlink" Target="https://portal.3gpp.org/desktopmodules/Release/ReleaseDetails.aspx?releaseId=193" TargetMode="External"/><Relationship Id="rId427" Type="http://schemas.openxmlformats.org/officeDocument/2006/relationships/hyperlink" Target="../Docs/R1-2311295.zip" TargetMode="External"/><Relationship Id="rId634" Type="http://schemas.openxmlformats.org/officeDocument/2006/relationships/hyperlink" Target="../Docs/R1-2310606.zip" TargetMode="External"/><Relationship Id="rId841" Type="http://schemas.openxmlformats.org/officeDocument/2006/relationships/hyperlink" Target="../Docs/R1-2312382.zip" TargetMode="External"/><Relationship Id="rId1264" Type="http://schemas.openxmlformats.org/officeDocument/2006/relationships/hyperlink" Target="../Docs/R1-2312653.zip" TargetMode="External"/><Relationship Id="rId1471" Type="http://schemas.openxmlformats.org/officeDocument/2006/relationships/hyperlink" Target="../Docs/R1-2310831.zip" TargetMode="External"/><Relationship Id="rId1569" Type="http://schemas.openxmlformats.org/officeDocument/2006/relationships/hyperlink" Target="../Docs/R1-2311756.zip" TargetMode="External"/><Relationship Id="rId2108" Type="http://schemas.openxmlformats.org/officeDocument/2006/relationships/hyperlink" Target="../Docs/R1-2310885.zip" TargetMode="External"/><Relationship Id="rId2315" Type="http://schemas.openxmlformats.org/officeDocument/2006/relationships/hyperlink" Target="https://portal.3gpp.org/desktopmodules/Specifications/SpecificationDetails.aspx?specificationId=3212" TargetMode="External"/><Relationship Id="rId2522" Type="http://schemas.openxmlformats.org/officeDocument/2006/relationships/hyperlink" Target="https://portal.3gpp.org/desktopmodules/Release/ReleaseDetails.aspx?releaseId=193" TargetMode="External"/><Relationship Id="rId2967" Type="http://schemas.openxmlformats.org/officeDocument/2006/relationships/hyperlink" Target="../Docs/R1-2312732.zip" TargetMode="External"/><Relationship Id="rId701" Type="http://schemas.openxmlformats.org/officeDocument/2006/relationships/hyperlink" Target="../Docs/R1-2312699.zip" TargetMode="External"/><Relationship Id="rId939" Type="http://schemas.openxmlformats.org/officeDocument/2006/relationships/hyperlink" Target="../Docs/R1-2311571.zip" TargetMode="External"/><Relationship Id="rId1124" Type="http://schemas.openxmlformats.org/officeDocument/2006/relationships/hyperlink" Target="../Docs/R1-2310817.zip" TargetMode="External"/><Relationship Id="rId1331" Type="http://schemas.openxmlformats.org/officeDocument/2006/relationships/image" Target="media/image51.png"/><Relationship Id="rId1776" Type="http://schemas.openxmlformats.org/officeDocument/2006/relationships/hyperlink" Target="../Docs/R1-2311701.zip" TargetMode="External"/><Relationship Id="rId1983" Type="http://schemas.openxmlformats.org/officeDocument/2006/relationships/hyperlink" Target="../Docs/R1-2310956.zip" TargetMode="External"/><Relationship Id="rId2827" Type="http://schemas.openxmlformats.org/officeDocument/2006/relationships/hyperlink" Target="https://portal.3gpp.org/desktopmodules/WorkItem/WorkItemDetails.aspx?workitemId=940199" TargetMode="External"/><Relationship Id="rId68" Type="http://schemas.openxmlformats.org/officeDocument/2006/relationships/hyperlink" Target="../Docs/R1-2312145.zip" TargetMode="External"/><Relationship Id="rId1429" Type="http://schemas.openxmlformats.org/officeDocument/2006/relationships/hyperlink" Target="../Docs/R1-2312679.zip" TargetMode="External"/><Relationship Id="rId1636" Type="http://schemas.openxmlformats.org/officeDocument/2006/relationships/image" Target="media/image83.png"/><Relationship Id="rId1843" Type="http://schemas.openxmlformats.org/officeDocument/2006/relationships/hyperlink" Target="../Docs/R1-2311539.zip" TargetMode="External"/><Relationship Id="rId1703" Type="http://schemas.openxmlformats.org/officeDocument/2006/relationships/hyperlink" Target="../Docs/R1-2312495.zip" TargetMode="External"/><Relationship Id="rId1910" Type="http://schemas.openxmlformats.org/officeDocument/2006/relationships/hyperlink" Target="../Docs/R1-2312445.zip" TargetMode="External"/><Relationship Id="rId284" Type="http://schemas.openxmlformats.org/officeDocument/2006/relationships/hyperlink" Target="../Docs/R1-2312485.zip" TargetMode="External"/><Relationship Id="rId491" Type="http://schemas.openxmlformats.org/officeDocument/2006/relationships/hyperlink" Target="../Docs/R1-2312545.zip" TargetMode="External"/><Relationship Id="rId2172" Type="http://schemas.openxmlformats.org/officeDocument/2006/relationships/hyperlink" Target="../Docs/R1-2311192.zip" TargetMode="External"/><Relationship Id="rId3016" Type="http://schemas.openxmlformats.org/officeDocument/2006/relationships/hyperlink" Target="../Docs/R1-2312742.zip" TargetMode="External"/><Relationship Id="rId144" Type="http://schemas.openxmlformats.org/officeDocument/2006/relationships/hyperlink" Target="../Docs/R1-2312108.zip" TargetMode="External"/><Relationship Id="rId589" Type="http://schemas.openxmlformats.org/officeDocument/2006/relationships/hyperlink" Target="../Docs/R1-2312292.zip" TargetMode="External"/><Relationship Id="rId796" Type="http://schemas.openxmlformats.org/officeDocument/2006/relationships/hyperlink" Target="../Docs/R1-2311152.zip" TargetMode="External"/><Relationship Id="rId2477" Type="http://schemas.openxmlformats.org/officeDocument/2006/relationships/hyperlink" Target="https://portal.3gpp.org/desktopmodules/Specifications/SpecificationDetails.aspx?specificationId=3213" TargetMode="External"/><Relationship Id="rId2684" Type="http://schemas.openxmlformats.org/officeDocument/2006/relationships/hyperlink" Target="https://portal.3gpp.org/desktopmodules/WorkItem/WorkItemDetails.aspx?workitemId=941112" TargetMode="External"/><Relationship Id="rId351" Type="http://schemas.openxmlformats.org/officeDocument/2006/relationships/hyperlink" Target="../Docs/R1-2312626.zip" TargetMode="External"/><Relationship Id="rId449" Type="http://schemas.openxmlformats.org/officeDocument/2006/relationships/hyperlink" Target="../Docs/R1-2310873.zip" TargetMode="External"/><Relationship Id="rId656" Type="http://schemas.openxmlformats.org/officeDocument/2006/relationships/hyperlink" Target="../Docs/R1-2312422.zip" TargetMode="External"/><Relationship Id="rId863" Type="http://schemas.openxmlformats.org/officeDocument/2006/relationships/hyperlink" Target="../Docs/R1-2311928.zip" TargetMode="External"/><Relationship Id="rId1079" Type="http://schemas.openxmlformats.org/officeDocument/2006/relationships/hyperlink" Target="../Docs/R1-2312434.zip" TargetMode="External"/><Relationship Id="rId1286" Type="http://schemas.openxmlformats.org/officeDocument/2006/relationships/hyperlink" Target="../Docs/R1-2311894.zip" TargetMode="External"/><Relationship Id="rId1493" Type="http://schemas.openxmlformats.org/officeDocument/2006/relationships/hyperlink" Target="../Docs/R1-2312564.zip" TargetMode="External"/><Relationship Id="rId2032" Type="http://schemas.openxmlformats.org/officeDocument/2006/relationships/hyperlink" Target="../Docs/R1-2312192.zip" TargetMode="External"/><Relationship Id="rId2337" Type="http://schemas.openxmlformats.org/officeDocument/2006/relationships/hyperlink" Target="https://portal.3gpp.org/desktopmodules/WorkItem/WorkItemDetails.aspx?workitemId=860147" TargetMode="External"/><Relationship Id="rId2544" Type="http://schemas.openxmlformats.org/officeDocument/2006/relationships/hyperlink" Target="https://portal.3gpp.org/desktopmodules/WorkItem/WorkItemDetails.aspx?workitemId=981139" TargetMode="External"/><Relationship Id="rId2891" Type="http://schemas.openxmlformats.org/officeDocument/2006/relationships/hyperlink" Target="https://portal.3gpp.org/desktopmodules/Release/ReleaseDetails.aspx?releaseId=193" TargetMode="External"/><Relationship Id="rId2989" Type="http://schemas.openxmlformats.org/officeDocument/2006/relationships/hyperlink" Target="../Docs/R1-2312745.zip" TargetMode="External"/><Relationship Id="rId211" Type="http://schemas.openxmlformats.org/officeDocument/2006/relationships/hyperlink" Target="../Docs/R1-2311281.zip" TargetMode="External"/><Relationship Id="rId309" Type="http://schemas.openxmlformats.org/officeDocument/2006/relationships/hyperlink" Target="../Docs/R1-2312529.zip" TargetMode="External"/><Relationship Id="rId516" Type="http://schemas.openxmlformats.org/officeDocument/2006/relationships/image" Target="media/image21.wmf"/><Relationship Id="rId1146" Type="http://schemas.openxmlformats.org/officeDocument/2006/relationships/hyperlink" Target="../Docs/R1-2312420.zip" TargetMode="External"/><Relationship Id="rId1798" Type="http://schemas.openxmlformats.org/officeDocument/2006/relationships/hyperlink" Target="../Docs/R1-2312389.zip" TargetMode="External"/><Relationship Id="rId2751" Type="http://schemas.openxmlformats.org/officeDocument/2006/relationships/hyperlink" Target="https://www.3gpp.org/ftp/TSG_RAN/WG1_RL1/TSGR1_115/Docs/R1-2312458.zip" TargetMode="External"/><Relationship Id="rId2849" Type="http://schemas.openxmlformats.org/officeDocument/2006/relationships/hyperlink" Target="../Docs/R1-2308598.zip" TargetMode="External"/><Relationship Id="rId723" Type="http://schemas.openxmlformats.org/officeDocument/2006/relationships/hyperlink" Target="../Docs/R1-2312537.zip" TargetMode="External"/><Relationship Id="rId930" Type="http://schemas.openxmlformats.org/officeDocument/2006/relationships/hyperlink" Target="../Docs/R1-2311089.zip" TargetMode="External"/><Relationship Id="rId1006" Type="http://schemas.openxmlformats.org/officeDocument/2006/relationships/hyperlink" Target="../Docs/R1-2311401.zip" TargetMode="External"/><Relationship Id="rId1353" Type="http://schemas.openxmlformats.org/officeDocument/2006/relationships/hyperlink" Target="../Docs/R1-2311359.zip" TargetMode="External"/><Relationship Id="rId1560" Type="http://schemas.openxmlformats.org/officeDocument/2006/relationships/hyperlink" Target="../Docs/R1-2311354.zip" TargetMode="External"/><Relationship Id="rId1658" Type="http://schemas.openxmlformats.org/officeDocument/2006/relationships/hyperlink" Target="../Docs/R1-2311587.zip" TargetMode="External"/><Relationship Id="rId1865" Type="http://schemas.openxmlformats.org/officeDocument/2006/relationships/hyperlink" Target="../Docs/R1-2310819.zip" TargetMode="External"/><Relationship Id="rId2404" Type="http://schemas.openxmlformats.org/officeDocument/2006/relationships/hyperlink" Target="https://portal.3gpp.org/desktopmodules/Release/ReleaseDetails.aspx?releaseId=193" TargetMode="External"/><Relationship Id="rId2611" Type="http://schemas.openxmlformats.org/officeDocument/2006/relationships/hyperlink" Target="https://portal.3gpp.org/desktopmodules/Specifications/SpecificationDetails.aspx?specificationId=3213" TargetMode="External"/><Relationship Id="rId2709" Type="http://schemas.openxmlformats.org/officeDocument/2006/relationships/hyperlink" Target="https://www.3gpp.org/ftp/TSG_RAN/WG1_RL1/TSGR1_115/Docs/R1-2312802.zip" TargetMode="External"/><Relationship Id="rId1213" Type="http://schemas.openxmlformats.org/officeDocument/2006/relationships/hyperlink" Target="../Docs/R1-2311600.zip" TargetMode="External"/><Relationship Id="rId1420" Type="http://schemas.openxmlformats.org/officeDocument/2006/relationships/hyperlink" Target="../Docs/R1-2312043.zip" TargetMode="External"/><Relationship Id="rId1518" Type="http://schemas.openxmlformats.org/officeDocument/2006/relationships/hyperlink" Target="../Docs/R1-2311915.zip" TargetMode="External"/><Relationship Id="rId2916" Type="http://schemas.openxmlformats.org/officeDocument/2006/relationships/hyperlink" Target="https://portal.3gpp.org/desktopmodules/Release/ReleaseDetails.aspx?releaseId=193" TargetMode="External"/><Relationship Id="rId1725" Type="http://schemas.openxmlformats.org/officeDocument/2006/relationships/hyperlink" Target="../Docs/R1-2312142.zip" TargetMode="External"/><Relationship Id="rId1932" Type="http://schemas.openxmlformats.org/officeDocument/2006/relationships/hyperlink" Target="../Docs/R1-2312515.zip" TargetMode="External"/><Relationship Id="rId17" Type="http://schemas.openxmlformats.org/officeDocument/2006/relationships/hyperlink" Target="../Docs/R1-2312175.zip" TargetMode="External"/><Relationship Id="rId2194" Type="http://schemas.openxmlformats.org/officeDocument/2006/relationships/hyperlink" Target="../Docs/R1-2311775.zip" TargetMode="External"/><Relationship Id="rId3038" Type="http://schemas.openxmlformats.org/officeDocument/2006/relationships/hyperlink" Target="../Docs/R1-2312711.zip" TargetMode="External"/><Relationship Id="rId166" Type="http://schemas.openxmlformats.org/officeDocument/2006/relationships/hyperlink" Target="../Docs/R1-2311788.zip" TargetMode="External"/><Relationship Id="rId373" Type="http://schemas.openxmlformats.org/officeDocument/2006/relationships/hyperlink" Target="../Docs/R1-2310962.zip" TargetMode="External"/><Relationship Id="rId580" Type="http://schemas.openxmlformats.org/officeDocument/2006/relationships/hyperlink" Target="../Docs/R1-2311790.zip" TargetMode="External"/><Relationship Id="rId2054" Type="http://schemas.openxmlformats.org/officeDocument/2006/relationships/hyperlink" Target="../Docs/R1-2310865.zip" TargetMode="External"/><Relationship Id="rId2261" Type="http://schemas.openxmlformats.org/officeDocument/2006/relationships/hyperlink" Target="https://www.3gpp.org/ftp/TSG_RAN/WG1_RL1/TSGR1_115/Docs/R1-2312462.zip" TargetMode="External"/><Relationship Id="rId2499" Type="http://schemas.openxmlformats.org/officeDocument/2006/relationships/hyperlink" Target="https://portal.3gpp.org/desktopmodules/Release/ReleaseDetails.aspx?releaseId=193" TargetMode="External"/><Relationship Id="rId1" Type="http://schemas.microsoft.com/office/2006/relationships/keyMapCustomizations" Target="customizations.xml"/><Relationship Id="rId233" Type="http://schemas.openxmlformats.org/officeDocument/2006/relationships/hyperlink" Target="../Docs/R1-2310792.zip" TargetMode="External"/><Relationship Id="rId440" Type="http://schemas.openxmlformats.org/officeDocument/2006/relationships/hyperlink" Target="../Docs/R1-2312452.zip" TargetMode="External"/><Relationship Id="rId678" Type="http://schemas.openxmlformats.org/officeDocument/2006/relationships/hyperlink" Target="../Docs/R1-2311379.zip" TargetMode="External"/><Relationship Id="rId885" Type="http://schemas.openxmlformats.org/officeDocument/2006/relationships/hyperlink" Target="../Docs/R1-2311743.zip" TargetMode="External"/><Relationship Id="rId1070" Type="http://schemas.openxmlformats.org/officeDocument/2006/relationships/hyperlink" Target="../Docs/R1-2312264.zip" TargetMode="External"/><Relationship Id="rId2121" Type="http://schemas.openxmlformats.org/officeDocument/2006/relationships/hyperlink" Target="../Docs/R1-2311713.zip" TargetMode="External"/><Relationship Id="rId2359" Type="http://schemas.openxmlformats.org/officeDocument/2006/relationships/hyperlink" Target="https://portal.3gpp.org/desktopmodules/Release/ReleaseDetails.aspx?releaseId=192" TargetMode="External"/><Relationship Id="rId2566" Type="http://schemas.openxmlformats.org/officeDocument/2006/relationships/hyperlink" Target="https://portal.3gpp.org/desktopmodules/Release/ReleaseDetails.aspx?releaseId=193" TargetMode="External"/><Relationship Id="rId2773" Type="http://schemas.openxmlformats.org/officeDocument/2006/relationships/hyperlink" Target="https://portal.3gpp.org/desktopmodules/Release/ReleaseDetails.aspx?releaseId=193" TargetMode="External"/><Relationship Id="rId2980" Type="http://schemas.openxmlformats.org/officeDocument/2006/relationships/hyperlink" Target="../Docs/R1-2312736.zip" TargetMode="External"/><Relationship Id="rId300" Type="http://schemas.openxmlformats.org/officeDocument/2006/relationships/hyperlink" Target="../Docs/R1-2312601.zip" TargetMode="External"/><Relationship Id="rId538" Type="http://schemas.openxmlformats.org/officeDocument/2006/relationships/hyperlink" Target="../Docs/R1-2312286.zip" TargetMode="External"/><Relationship Id="rId745" Type="http://schemas.openxmlformats.org/officeDocument/2006/relationships/hyperlink" Target="../Docs/R1-2310919.zip" TargetMode="External"/><Relationship Id="rId952" Type="http://schemas.openxmlformats.org/officeDocument/2006/relationships/oleObject" Target="embeddings/oleObject26.bin"/><Relationship Id="rId1168" Type="http://schemas.openxmlformats.org/officeDocument/2006/relationships/hyperlink" Target="../Docs/R1-2311685.zip" TargetMode="External"/><Relationship Id="rId1375" Type="http://schemas.openxmlformats.org/officeDocument/2006/relationships/hyperlink" Target="../Docs/R1-2312409.zip" TargetMode="External"/><Relationship Id="rId1582" Type="http://schemas.openxmlformats.org/officeDocument/2006/relationships/hyperlink" Target="../Docs/R1-2312508.zip" TargetMode="External"/><Relationship Id="rId2219" Type="http://schemas.openxmlformats.org/officeDocument/2006/relationships/hyperlink" Target="../Docs/R1-2312309.zip" TargetMode="External"/><Relationship Id="rId2426" Type="http://schemas.openxmlformats.org/officeDocument/2006/relationships/hyperlink" Target="https://portal.3gpp.org/desktopmodules/Release/ReleaseDetails.aspx?releaseId=192" TargetMode="External"/><Relationship Id="rId2633" Type="http://schemas.openxmlformats.org/officeDocument/2006/relationships/hyperlink" Target="https://www.3gpp.org/ftp/TSG_RAN/WG1_RL1/TSGR1_115/Docs/R1-2312756.zip" TargetMode="External"/><Relationship Id="rId81" Type="http://schemas.openxmlformats.org/officeDocument/2006/relationships/hyperlink" Target="../Docs/R1-2311606.zip" TargetMode="External"/><Relationship Id="rId605" Type="http://schemas.openxmlformats.org/officeDocument/2006/relationships/hyperlink" Target="../Docs/R1-2312498.zip" TargetMode="External"/><Relationship Id="rId812" Type="http://schemas.openxmlformats.org/officeDocument/2006/relationships/hyperlink" Target="../Docs/R1-2311926.zip" TargetMode="External"/><Relationship Id="rId1028" Type="http://schemas.openxmlformats.org/officeDocument/2006/relationships/hyperlink" Target="../Docs/R1-2312328.zip" TargetMode="External"/><Relationship Id="rId1235" Type="http://schemas.openxmlformats.org/officeDocument/2006/relationships/hyperlink" Target="../Docs/R1-2310989.zip" TargetMode="External"/><Relationship Id="rId1442" Type="http://schemas.openxmlformats.org/officeDocument/2006/relationships/hyperlink" Target="../Docs/R1-2311053.zip" TargetMode="External"/><Relationship Id="rId1887" Type="http://schemas.openxmlformats.org/officeDocument/2006/relationships/hyperlink" Target="../Docs/R1-2311705.zip" TargetMode="External"/><Relationship Id="rId2840" Type="http://schemas.openxmlformats.org/officeDocument/2006/relationships/hyperlink" Target="../Docs/R1-2310792.zip" TargetMode="External"/><Relationship Id="rId2938" Type="http://schemas.openxmlformats.org/officeDocument/2006/relationships/hyperlink" Target="../Docs/R1-2312715.zip" TargetMode="External"/><Relationship Id="rId1302" Type="http://schemas.openxmlformats.org/officeDocument/2006/relationships/hyperlink" Target="../Docs/R1-2311102.zip" TargetMode="External"/><Relationship Id="rId1747" Type="http://schemas.openxmlformats.org/officeDocument/2006/relationships/hyperlink" Target="../Docs/R1-2311389.zip" TargetMode="External"/><Relationship Id="rId1954" Type="http://schemas.openxmlformats.org/officeDocument/2006/relationships/hyperlink" Target="../Docs/R1-2311562.zip" TargetMode="External"/><Relationship Id="rId2700" Type="http://schemas.openxmlformats.org/officeDocument/2006/relationships/hyperlink" Target="https://portal.3gpp.org/desktopmodules/WorkItem/WorkItemDetails.aspx?workitemId=940197" TargetMode="External"/><Relationship Id="rId39" Type="http://schemas.openxmlformats.org/officeDocument/2006/relationships/hyperlink" Target="../Docs/R1-2311604.zip" TargetMode="External"/><Relationship Id="rId1607" Type="http://schemas.openxmlformats.org/officeDocument/2006/relationships/hyperlink" Target="../Docs/R1-2312602.zip" TargetMode="External"/><Relationship Id="rId1814" Type="http://schemas.openxmlformats.org/officeDocument/2006/relationships/hyperlink" Target="../Docs/R1-2312298.zip" TargetMode="External"/><Relationship Id="rId188" Type="http://schemas.openxmlformats.org/officeDocument/2006/relationships/hyperlink" Target="../Docs/R1-2311378.zip" TargetMode="External"/><Relationship Id="rId395" Type="http://schemas.openxmlformats.org/officeDocument/2006/relationships/hyperlink" Target="../Docs/R1-2312018.zip" TargetMode="External"/><Relationship Id="rId2076" Type="http://schemas.openxmlformats.org/officeDocument/2006/relationships/hyperlink" Target="../Docs/R1-2310894.zip" TargetMode="External"/><Relationship Id="rId2283" Type="http://schemas.openxmlformats.org/officeDocument/2006/relationships/hyperlink" Target="https://portal.3gpp.org/desktopmodules/Specifications/SpecificationDetails.aspx?specificationId=3216" TargetMode="External"/><Relationship Id="rId2490" Type="http://schemas.openxmlformats.org/officeDocument/2006/relationships/hyperlink" Target="https://portal.3gpp.org/desktopmodules/Release/ReleaseDetails.aspx?releaseId=192" TargetMode="External"/><Relationship Id="rId2588" Type="http://schemas.openxmlformats.org/officeDocument/2006/relationships/hyperlink" Target="https://portal.3gpp.org/desktopmodules/WorkItem/WorkItemDetails.aspx?workitemId=941106" TargetMode="External"/><Relationship Id="rId255" Type="http://schemas.openxmlformats.org/officeDocument/2006/relationships/hyperlink" Target="../Docs/R1-2312491.zip" TargetMode="External"/><Relationship Id="rId462" Type="http://schemas.openxmlformats.org/officeDocument/2006/relationships/hyperlink" Target="../Docs/R1-2311954.zip" TargetMode="External"/><Relationship Id="rId1092" Type="http://schemas.openxmlformats.org/officeDocument/2006/relationships/hyperlink" Target="../Docs/R1-2311747.zip" TargetMode="External"/><Relationship Id="rId1397" Type="http://schemas.openxmlformats.org/officeDocument/2006/relationships/image" Target="media/image77.png"/><Relationship Id="rId2143" Type="http://schemas.openxmlformats.org/officeDocument/2006/relationships/hyperlink" Target="../Docs/R1-2312153.zip" TargetMode="External"/><Relationship Id="rId2350" Type="http://schemas.openxmlformats.org/officeDocument/2006/relationships/hyperlink" Target="https://www.3gpp.org/ftp/TSG_RAN/WG1_RL1/TSGR1_115/Docs/R1-2312550.zip" TargetMode="External"/><Relationship Id="rId2795" Type="http://schemas.openxmlformats.org/officeDocument/2006/relationships/hyperlink" Target="https://www.3gpp.org/ftp/TSG_RAN/WG1_RL1/TSGR1_115/Docs/R1-2312661.zip" TargetMode="External"/><Relationship Id="rId115" Type="http://schemas.openxmlformats.org/officeDocument/2006/relationships/hyperlink" Target="../Docs/R1-2312223.zip" TargetMode="External"/><Relationship Id="rId322" Type="http://schemas.openxmlformats.org/officeDocument/2006/relationships/hyperlink" Target="../Docs/R1-2312552.zip" TargetMode="External"/><Relationship Id="rId767" Type="http://schemas.openxmlformats.org/officeDocument/2006/relationships/hyperlink" Target="../Docs/R1-2311792.zip" TargetMode="External"/><Relationship Id="rId974" Type="http://schemas.openxmlformats.org/officeDocument/2006/relationships/hyperlink" Target="../Docs/R1-2311588.zip" TargetMode="External"/><Relationship Id="rId2003" Type="http://schemas.openxmlformats.org/officeDocument/2006/relationships/hyperlink" Target="../Docs/R1-2310890.zip" TargetMode="External"/><Relationship Id="rId2210" Type="http://schemas.openxmlformats.org/officeDocument/2006/relationships/hyperlink" Target="../Docs/R1-2311029.zip" TargetMode="External"/><Relationship Id="rId2448" Type="http://schemas.openxmlformats.org/officeDocument/2006/relationships/hyperlink" Target="https://portal.3gpp.org/desktopmodules/Release/ReleaseDetails.aspx?releaseId=192" TargetMode="External"/><Relationship Id="rId2655" Type="http://schemas.openxmlformats.org/officeDocument/2006/relationships/hyperlink" Target="https://portal.3gpp.org/desktopmodules/Specifications/SpecificationDetails.aspx?specificationId=3216" TargetMode="External"/><Relationship Id="rId2862" Type="http://schemas.openxmlformats.org/officeDocument/2006/relationships/hyperlink" Target="../Docs/R1-2310798.zip" TargetMode="External"/><Relationship Id="rId627" Type="http://schemas.openxmlformats.org/officeDocument/2006/relationships/hyperlink" Target="../Docs/R1-2312480.zip" TargetMode="External"/><Relationship Id="rId834" Type="http://schemas.openxmlformats.org/officeDocument/2006/relationships/hyperlink" Target="../Docs/R1-2311832.zip" TargetMode="External"/><Relationship Id="rId1257" Type="http://schemas.openxmlformats.org/officeDocument/2006/relationships/hyperlink" Target="../Docs/R1-2312345.zip" TargetMode="External"/><Relationship Id="rId1464" Type="http://schemas.openxmlformats.org/officeDocument/2006/relationships/hyperlink" Target="../Docs/R1-2311036.zip" TargetMode="External"/><Relationship Id="rId1671" Type="http://schemas.openxmlformats.org/officeDocument/2006/relationships/hyperlink" Target="../Docs/R1-2312362.zip" TargetMode="External"/><Relationship Id="rId2308" Type="http://schemas.openxmlformats.org/officeDocument/2006/relationships/hyperlink" Target="https://portal.3gpp.org/desktopmodules/WorkItem/WorkItemDetails.aspx?workitemId=920169" TargetMode="External"/><Relationship Id="rId2515" Type="http://schemas.openxmlformats.org/officeDocument/2006/relationships/hyperlink" Target="https://portal.3gpp.org/desktopmodules/Specifications/SpecificationDetails.aspx?specificationId=3215" TargetMode="External"/><Relationship Id="rId2722" Type="http://schemas.openxmlformats.org/officeDocument/2006/relationships/hyperlink" Target="https://portal.3gpp.org/desktopmodules/Release/ReleaseDetails.aspx?releaseId=193" TargetMode="External"/><Relationship Id="rId901" Type="http://schemas.openxmlformats.org/officeDocument/2006/relationships/hyperlink" Target="../Docs/R1-2311043.zip" TargetMode="External"/><Relationship Id="rId1117" Type="http://schemas.openxmlformats.org/officeDocument/2006/relationships/hyperlink" Target="../Docs/R1-2311949.zip" TargetMode="External"/><Relationship Id="rId1324" Type="http://schemas.openxmlformats.org/officeDocument/2006/relationships/hyperlink" Target="../Docs/R1-2312100.zip" TargetMode="External"/><Relationship Id="rId1531" Type="http://schemas.openxmlformats.org/officeDocument/2006/relationships/hyperlink" Target="../Docs/R1-2312633.zip" TargetMode="External"/><Relationship Id="rId1769" Type="http://schemas.openxmlformats.org/officeDocument/2006/relationships/hyperlink" Target="../Docs/R1-2310939.zip" TargetMode="External"/><Relationship Id="rId1976" Type="http://schemas.openxmlformats.org/officeDocument/2006/relationships/hyperlink" Target="../Docs/R1-2312569.zip" TargetMode="External"/><Relationship Id="rId30" Type="http://schemas.openxmlformats.org/officeDocument/2006/relationships/hyperlink" Target="../Docs/R1-2311229.zip" TargetMode="External"/><Relationship Id="rId1629" Type="http://schemas.openxmlformats.org/officeDocument/2006/relationships/hyperlink" Target="../Docs/R1-2311551.zip" TargetMode="External"/><Relationship Id="rId1836" Type="http://schemas.openxmlformats.org/officeDocument/2006/relationships/hyperlink" Target="../Docs/R1-2311390.zip" TargetMode="External"/><Relationship Id="rId1903" Type="http://schemas.openxmlformats.org/officeDocument/2006/relationships/hyperlink" Target="../Docs/R1-2310906.zip" TargetMode="External"/><Relationship Id="rId2098" Type="http://schemas.openxmlformats.org/officeDocument/2006/relationships/hyperlink" Target="../Docs/R1-2311188.zip" TargetMode="External"/><Relationship Id="rId277" Type="http://schemas.openxmlformats.org/officeDocument/2006/relationships/image" Target="media/image5.wmf"/><Relationship Id="rId484" Type="http://schemas.openxmlformats.org/officeDocument/2006/relationships/hyperlink" Target="../Docs/R1-2311910.zip" TargetMode="External"/><Relationship Id="rId2165" Type="http://schemas.openxmlformats.org/officeDocument/2006/relationships/hyperlink" Target="../Docs/R1-2312070.zip" TargetMode="External"/><Relationship Id="rId3009" Type="http://schemas.openxmlformats.org/officeDocument/2006/relationships/hyperlink" Target="../Docs/R1-2312750.zip" TargetMode="External"/><Relationship Id="rId137" Type="http://schemas.openxmlformats.org/officeDocument/2006/relationships/hyperlink" Target="../Docs/R1-2311371.zip" TargetMode="External"/><Relationship Id="rId344" Type="http://schemas.openxmlformats.org/officeDocument/2006/relationships/hyperlink" Target="../Docs/R1-2312446.zip" TargetMode="External"/><Relationship Id="rId691" Type="http://schemas.openxmlformats.org/officeDocument/2006/relationships/hyperlink" Target="../Docs/R1-2312683.zip" TargetMode="External"/><Relationship Id="rId789" Type="http://schemas.openxmlformats.org/officeDocument/2006/relationships/hyperlink" Target="../Docs/R1-2312654.zip" TargetMode="External"/><Relationship Id="rId996" Type="http://schemas.openxmlformats.org/officeDocument/2006/relationships/hyperlink" Target="../Docs/R1-2312253.zip" TargetMode="External"/><Relationship Id="rId2025" Type="http://schemas.openxmlformats.org/officeDocument/2006/relationships/hyperlink" Target="../Docs/R1-2311463.zip" TargetMode="External"/><Relationship Id="rId2372" Type="http://schemas.openxmlformats.org/officeDocument/2006/relationships/hyperlink" Target="https://portal.3gpp.org/desktopmodules/Specifications/SpecificationDetails.aspx?specificationId=3173" TargetMode="External"/><Relationship Id="rId2677" Type="http://schemas.openxmlformats.org/officeDocument/2006/relationships/hyperlink" Target="https://www.3gpp.org/ftp/TSG_RAN/WG1_RL1/TSGR1_115/Docs/R1-2312777.zip" TargetMode="External"/><Relationship Id="rId2884" Type="http://schemas.openxmlformats.org/officeDocument/2006/relationships/hyperlink" Target="../Docs/R1-2310805.zip" TargetMode="External"/><Relationship Id="rId551" Type="http://schemas.openxmlformats.org/officeDocument/2006/relationships/hyperlink" Target="../Docs/R1-2312289.zip" TargetMode="External"/><Relationship Id="rId649" Type="http://schemas.openxmlformats.org/officeDocument/2006/relationships/hyperlink" Target="../Docs/R1-2312593.zip" TargetMode="External"/><Relationship Id="rId856" Type="http://schemas.openxmlformats.org/officeDocument/2006/relationships/hyperlink" Target="../Docs/R1-2311477.zip" TargetMode="External"/><Relationship Id="rId1181" Type="http://schemas.openxmlformats.org/officeDocument/2006/relationships/hyperlink" Target="../Docs/R1-2312270.zip" TargetMode="External"/><Relationship Id="rId1279" Type="http://schemas.openxmlformats.org/officeDocument/2006/relationships/hyperlink" Target="../Docs/R1-2311626.zip" TargetMode="External"/><Relationship Id="rId1486" Type="http://schemas.openxmlformats.org/officeDocument/2006/relationships/hyperlink" Target="../Docs/R1-2311853.zip" TargetMode="External"/><Relationship Id="rId2232" Type="http://schemas.openxmlformats.org/officeDocument/2006/relationships/hyperlink" Target="../Docs/R1-2312643.zip" TargetMode="External"/><Relationship Id="rId2537" Type="http://schemas.openxmlformats.org/officeDocument/2006/relationships/hyperlink" Target="https://www.3gpp.org/ftp/TSG_RAN/WG1_RL1/TSGR1_115/Docs/R1-2312732.zip" TargetMode="External"/><Relationship Id="rId204" Type="http://schemas.openxmlformats.org/officeDocument/2006/relationships/hyperlink" Target="../Docs/R1-2308806.zip" TargetMode="External"/><Relationship Id="rId411" Type="http://schemas.openxmlformats.org/officeDocument/2006/relationships/hyperlink" Target="../Docs/R1-2311668.zip" TargetMode="External"/><Relationship Id="rId509" Type="http://schemas.openxmlformats.org/officeDocument/2006/relationships/oleObject" Target="embeddings/oleObject13.bin"/><Relationship Id="rId1041" Type="http://schemas.openxmlformats.org/officeDocument/2006/relationships/hyperlink" Target="../Docs/R1-2311768.zip" TargetMode="External"/><Relationship Id="rId1139" Type="http://schemas.openxmlformats.org/officeDocument/2006/relationships/hyperlink" Target="../Docs/R1-2311684.zip" TargetMode="External"/><Relationship Id="rId1346" Type="http://schemas.openxmlformats.org/officeDocument/2006/relationships/hyperlink" Target="../Docs/R1-2310994.zip" TargetMode="External"/><Relationship Id="rId1693" Type="http://schemas.openxmlformats.org/officeDocument/2006/relationships/hyperlink" Target="../Docs/R1-2312694.zip" TargetMode="External"/><Relationship Id="rId1998" Type="http://schemas.openxmlformats.org/officeDocument/2006/relationships/hyperlink" Target="../Docs/R1-2312152.zip" TargetMode="External"/><Relationship Id="rId2744" Type="http://schemas.openxmlformats.org/officeDocument/2006/relationships/hyperlink" Target="https://portal.3gpp.org/desktopmodules/Release/ReleaseDetails.aspx?releaseId=193" TargetMode="External"/><Relationship Id="rId2951" Type="http://schemas.openxmlformats.org/officeDocument/2006/relationships/hyperlink" Target="../Docs/R1-2312788.zip" TargetMode="External"/><Relationship Id="rId716" Type="http://schemas.openxmlformats.org/officeDocument/2006/relationships/hyperlink" Target="../Docs/R1-2310990.zip" TargetMode="External"/><Relationship Id="rId923" Type="http://schemas.openxmlformats.org/officeDocument/2006/relationships/hyperlink" Target="../Docs/R1-2312030.zip" TargetMode="External"/><Relationship Id="rId1553" Type="http://schemas.openxmlformats.org/officeDocument/2006/relationships/hyperlink" Target="../Docs/R1-2312338.zip" TargetMode="External"/><Relationship Id="rId1760" Type="http://schemas.openxmlformats.org/officeDocument/2006/relationships/hyperlink" Target="../Docs/R1-2312320.zip" TargetMode="External"/><Relationship Id="rId1858" Type="http://schemas.openxmlformats.org/officeDocument/2006/relationships/hyperlink" Target="../Docs/R1-2312120.zip" TargetMode="External"/><Relationship Id="rId2604" Type="http://schemas.openxmlformats.org/officeDocument/2006/relationships/hyperlink" Target="https://portal.3gpp.org/desktopmodules/WorkItem/WorkItemDetails.aspx?workitemId=941112" TargetMode="External"/><Relationship Id="rId2811" Type="http://schemas.openxmlformats.org/officeDocument/2006/relationships/hyperlink" Target="../Docs/R1-2310784.zip" TargetMode="External"/><Relationship Id="rId52" Type="http://schemas.openxmlformats.org/officeDocument/2006/relationships/hyperlink" Target="../Docs/R1-2311288.zip" TargetMode="External"/><Relationship Id="rId1206" Type="http://schemas.openxmlformats.org/officeDocument/2006/relationships/hyperlink" Target="../Docs/R1-2311225.zip" TargetMode="External"/><Relationship Id="rId1413" Type="http://schemas.openxmlformats.org/officeDocument/2006/relationships/hyperlink" Target="../Docs/R1-2311628.zip" TargetMode="External"/><Relationship Id="rId1620" Type="http://schemas.openxmlformats.org/officeDocument/2006/relationships/hyperlink" Target="../Docs/R1-2311030.zip" TargetMode="External"/><Relationship Id="rId2909" Type="http://schemas.openxmlformats.org/officeDocument/2006/relationships/hyperlink" Target="https://portal.3gpp.org/desktopmodules/Release/ReleaseDetails.aspx?releaseId=193" TargetMode="External"/><Relationship Id="rId1718" Type="http://schemas.openxmlformats.org/officeDocument/2006/relationships/hyperlink" Target="../Docs/R1-2311636.zip" TargetMode="External"/><Relationship Id="rId1925" Type="http://schemas.openxmlformats.org/officeDocument/2006/relationships/hyperlink" Target="../Docs/R1-2312603.zip" TargetMode="External"/><Relationship Id="rId299" Type="http://schemas.openxmlformats.org/officeDocument/2006/relationships/hyperlink" Target="../Docs/R1-2312600.zip" TargetMode="External"/><Relationship Id="rId2187" Type="http://schemas.openxmlformats.org/officeDocument/2006/relationships/hyperlink" Target="../Docs/R1-2311193.zip" TargetMode="External"/><Relationship Id="rId2394" Type="http://schemas.openxmlformats.org/officeDocument/2006/relationships/hyperlink" Target="https://portal.3gpp.org/desktopmodules/Release/ReleaseDetails.aspx?releaseId=192" TargetMode="External"/><Relationship Id="rId159" Type="http://schemas.openxmlformats.org/officeDocument/2006/relationships/hyperlink" Target="../Docs/R1-2310833.zip" TargetMode="External"/><Relationship Id="rId366" Type="http://schemas.openxmlformats.org/officeDocument/2006/relationships/hyperlink" Target="../Docs/R1-2312225.zip" TargetMode="External"/><Relationship Id="rId573" Type="http://schemas.openxmlformats.org/officeDocument/2006/relationships/hyperlink" Target="../Docs/R1-2312562.zip" TargetMode="External"/><Relationship Id="rId780" Type="http://schemas.openxmlformats.org/officeDocument/2006/relationships/image" Target="media/image35.png"/><Relationship Id="rId2047" Type="http://schemas.openxmlformats.org/officeDocument/2006/relationships/hyperlink" Target="../Docs/R1-2311709.zip" TargetMode="External"/><Relationship Id="rId2254" Type="http://schemas.openxmlformats.org/officeDocument/2006/relationships/hyperlink" Target="https://portal.3gpp.org/desktopmodules/Release/ReleaseDetails.aspx?releaseId=193" TargetMode="External"/><Relationship Id="rId2461" Type="http://schemas.openxmlformats.org/officeDocument/2006/relationships/hyperlink" Target="https://portal.3gpp.org/desktopmodules/Specifications/SpecificationDetails.aspx?specificationId=3215" TargetMode="External"/><Relationship Id="rId2699" Type="http://schemas.openxmlformats.org/officeDocument/2006/relationships/hyperlink" Target="https://portal.3gpp.org/desktopmodules/Specifications/SpecificationDetails.aspx?specificationId=3601" TargetMode="External"/><Relationship Id="rId3000" Type="http://schemas.openxmlformats.org/officeDocument/2006/relationships/hyperlink" Target="../Docs/R1-2312739.zip" TargetMode="External"/><Relationship Id="rId226" Type="http://schemas.openxmlformats.org/officeDocument/2006/relationships/hyperlink" Target="../Docs/R1-2312427.zip" TargetMode="External"/><Relationship Id="rId433" Type="http://schemas.openxmlformats.org/officeDocument/2006/relationships/hyperlink" Target="../Docs/R1-2311582.zip" TargetMode="External"/><Relationship Id="rId878" Type="http://schemas.openxmlformats.org/officeDocument/2006/relationships/hyperlink" Target="../Docs/R1-2311318.zip" TargetMode="External"/><Relationship Id="rId1063" Type="http://schemas.openxmlformats.org/officeDocument/2006/relationships/hyperlink" Target="../Docs/R1-2312262.zip" TargetMode="External"/><Relationship Id="rId1270" Type="http://schemas.openxmlformats.org/officeDocument/2006/relationships/hyperlink" Target="../Docs/R1-2311000.zip" TargetMode="External"/><Relationship Id="rId2114" Type="http://schemas.openxmlformats.org/officeDocument/2006/relationships/hyperlink" Target="../Docs/R1-2311267.zip" TargetMode="External"/><Relationship Id="rId2559" Type="http://schemas.openxmlformats.org/officeDocument/2006/relationships/hyperlink" Target="https://portal.3gpp.org/desktopmodules/Specifications/SpecificationDetails.aspx?specificationId=3214" TargetMode="External"/><Relationship Id="rId2766" Type="http://schemas.openxmlformats.org/officeDocument/2006/relationships/hyperlink" Target="https://portal.3gpp.org/desktopmodules/WorkItem/WorkItemDetails.aspx?workitemId=941106" TargetMode="External"/><Relationship Id="rId2973" Type="http://schemas.openxmlformats.org/officeDocument/2006/relationships/hyperlink" Target="../Docs/R1-2312751.zip" TargetMode="External"/><Relationship Id="rId640" Type="http://schemas.openxmlformats.org/officeDocument/2006/relationships/hyperlink" Target="../Docs/R1-2311253.zip" TargetMode="External"/><Relationship Id="rId738" Type="http://schemas.openxmlformats.org/officeDocument/2006/relationships/hyperlink" Target="../Docs/R1-2312371.zip" TargetMode="External"/><Relationship Id="rId945" Type="http://schemas.openxmlformats.org/officeDocument/2006/relationships/hyperlink" Target="../Docs/R1-2311836.zip" TargetMode="External"/><Relationship Id="rId1368" Type="http://schemas.openxmlformats.org/officeDocument/2006/relationships/hyperlink" Target="../Docs/R1-2311981.zip" TargetMode="External"/><Relationship Id="rId1575" Type="http://schemas.openxmlformats.org/officeDocument/2006/relationships/hyperlink" Target="../Docs/R1-2312047.zip" TargetMode="External"/><Relationship Id="rId1782" Type="http://schemas.openxmlformats.org/officeDocument/2006/relationships/hyperlink" Target="../Docs/R1-2312053.zip" TargetMode="External"/><Relationship Id="rId2321" Type="http://schemas.openxmlformats.org/officeDocument/2006/relationships/hyperlink" Target="https://www.3gpp.org/ftp/TSG_RAN/WG1_RL1/TSGR1_115/Docs/R1-2312525.zip" TargetMode="External"/><Relationship Id="rId2419" Type="http://schemas.openxmlformats.org/officeDocument/2006/relationships/hyperlink" Target="https://portal.3gpp.org/desktopmodules/Specifications/SpecificationDetails.aspx?specificationId=3215" TargetMode="External"/><Relationship Id="rId2626" Type="http://schemas.openxmlformats.org/officeDocument/2006/relationships/hyperlink" Target="https://portal.3gpp.org/desktopmodules/Release/ReleaseDetails.aspx?releaseId=193" TargetMode="External"/><Relationship Id="rId2833" Type="http://schemas.openxmlformats.org/officeDocument/2006/relationships/hyperlink" Target="../Docs/R1-2310790.zip" TargetMode="External"/><Relationship Id="rId74" Type="http://schemas.openxmlformats.org/officeDocument/2006/relationships/hyperlink" Target="../Docs/R1-2310808.zip" TargetMode="External"/><Relationship Id="rId500" Type="http://schemas.openxmlformats.org/officeDocument/2006/relationships/hyperlink" Target="../Docs/R1-2311196.zip" TargetMode="External"/><Relationship Id="rId805" Type="http://schemas.openxmlformats.org/officeDocument/2006/relationships/hyperlink" Target="../Docs/R1-2311475.zip" TargetMode="External"/><Relationship Id="rId1130" Type="http://schemas.openxmlformats.org/officeDocument/2006/relationships/hyperlink" Target="../Docs/R1-2311242.zip" TargetMode="External"/><Relationship Id="rId1228" Type="http://schemas.openxmlformats.org/officeDocument/2006/relationships/hyperlink" Target="../Docs/R1-2311465.zip" TargetMode="External"/><Relationship Id="rId1435" Type="http://schemas.openxmlformats.org/officeDocument/2006/relationships/hyperlink" Target="../Docs/R1-2312443.zip" TargetMode="External"/><Relationship Id="rId1642" Type="http://schemas.openxmlformats.org/officeDocument/2006/relationships/hyperlink" Target="../Docs/R1-2311198.zip" TargetMode="External"/><Relationship Id="rId1947" Type="http://schemas.openxmlformats.org/officeDocument/2006/relationships/hyperlink" Target="../Docs/R1-2312355.zip" TargetMode="External"/><Relationship Id="rId2900" Type="http://schemas.openxmlformats.org/officeDocument/2006/relationships/hyperlink" Target="https://portal.3gpp.org/desktopmodules/Release/ReleaseDetails.aspx?releaseId=193" TargetMode="External"/><Relationship Id="rId1502" Type="http://schemas.openxmlformats.org/officeDocument/2006/relationships/hyperlink" Target="../Docs/R1-2311174.zip" TargetMode="External"/><Relationship Id="rId1807" Type="http://schemas.openxmlformats.org/officeDocument/2006/relationships/hyperlink" Target="../Docs/R1-2311655.zip" TargetMode="External"/><Relationship Id="rId290" Type="http://schemas.openxmlformats.org/officeDocument/2006/relationships/image" Target="media/image11.wmf"/><Relationship Id="rId388" Type="http://schemas.openxmlformats.org/officeDocument/2006/relationships/hyperlink" Target="../Docs/R1-2312341.zip" TargetMode="External"/><Relationship Id="rId2069" Type="http://schemas.openxmlformats.org/officeDocument/2006/relationships/hyperlink" Target="../Docs/R1-2311871.zip" TargetMode="External"/><Relationship Id="rId3022" Type="http://schemas.openxmlformats.org/officeDocument/2006/relationships/hyperlink" Target="../Docs/R1-2312802.zip" TargetMode="External"/><Relationship Id="rId150" Type="http://schemas.openxmlformats.org/officeDocument/2006/relationships/hyperlink" Target="../Docs/R1-2311210.zip" TargetMode="External"/><Relationship Id="rId595" Type="http://schemas.openxmlformats.org/officeDocument/2006/relationships/hyperlink" Target="../Docs/R1-2312023.zip" TargetMode="External"/><Relationship Id="rId2276" Type="http://schemas.openxmlformats.org/officeDocument/2006/relationships/hyperlink" Target="https://portal.3gpp.org/desktopmodules/WorkItem/WorkItemDetails.aspx?workitemId=860141" TargetMode="External"/><Relationship Id="rId2483" Type="http://schemas.openxmlformats.org/officeDocument/2006/relationships/hyperlink" Target="https://www.3gpp.org/ftp/TSG_RAN/WG1_RL1/TSGR1_115/Docs/R1-2312717.zip" TargetMode="External"/><Relationship Id="rId2690" Type="http://schemas.openxmlformats.org/officeDocument/2006/relationships/hyperlink" Target="https://portal.3gpp.org/desktopmodules/Release/ReleaseDetails.aspx?releaseId=193" TargetMode="External"/><Relationship Id="rId248" Type="http://schemas.openxmlformats.org/officeDocument/2006/relationships/hyperlink" Target="../Docs/R1-2312568.zip" TargetMode="External"/><Relationship Id="rId455" Type="http://schemas.openxmlformats.org/officeDocument/2006/relationships/hyperlink" Target="../Docs/R1-2312436.zip" TargetMode="External"/><Relationship Id="rId662" Type="http://schemas.openxmlformats.org/officeDocument/2006/relationships/hyperlink" Target="../Docs/R1-2311077.zip" TargetMode="External"/><Relationship Id="rId1085" Type="http://schemas.openxmlformats.org/officeDocument/2006/relationships/hyperlink" Target="../Docs/R1-2311339.zip" TargetMode="External"/><Relationship Id="rId1292" Type="http://schemas.openxmlformats.org/officeDocument/2006/relationships/hyperlink" Target="../Docs/R1-2312280.zip" TargetMode="External"/><Relationship Id="rId2136" Type="http://schemas.openxmlformats.org/officeDocument/2006/relationships/hyperlink" Target="../Docs/R1-2311875.zip" TargetMode="External"/><Relationship Id="rId2343" Type="http://schemas.openxmlformats.org/officeDocument/2006/relationships/hyperlink" Target="https://portal.3gpp.org/desktopmodules/Release/ReleaseDetails.aspx?releaseId=192" TargetMode="External"/><Relationship Id="rId2550" Type="http://schemas.openxmlformats.org/officeDocument/2006/relationships/hyperlink" Target="https://portal.3gpp.org/desktopmodules/Release/ReleaseDetails.aspx?releaseId=193" TargetMode="External"/><Relationship Id="rId2788" Type="http://schemas.openxmlformats.org/officeDocument/2006/relationships/hyperlink" Target="https://portal.3gpp.org/desktopmodules/WorkItem/WorkItemDetails.aspx?workitemId=940199" TargetMode="External"/><Relationship Id="rId2995" Type="http://schemas.openxmlformats.org/officeDocument/2006/relationships/hyperlink" Target="../Docs/R1-2312740.zip" TargetMode="External"/><Relationship Id="rId108" Type="http://schemas.openxmlformats.org/officeDocument/2006/relationships/hyperlink" Target="../Docs/R1-2311233.zip" TargetMode="External"/><Relationship Id="rId315" Type="http://schemas.openxmlformats.org/officeDocument/2006/relationships/hyperlink" Target="../Docs/R1-2312075.zip" TargetMode="External"/><Relationship Id="rId522" Type="http://schemas.openxmlformats.org/officeDocument/2006/relationships/image" Target="media/image25.wmf"/><Relationship Id="rId967" Type="http://schemas.openxmlformats.org/officeDocument/2006/relationships/hyperlink" Target="../Docs/R1-2311236.zip" TargetMode="External"/><Relationship Id="rId1152" Type="http://schemas.openxmlformats.org/officeDocument/2006/relationships/hyperlink" Target="../Docs/R1-2310764.zip" TargetMode="External"/><Relationship Id="rId1597" Type="http://schemas.openxmlformats.org/officeDocument/2006/relationships/hyperlink" Target="../Docs/R1-2311988.zip" TargetMode="External"/><Relationship Id="rId2203" Type="http://schemas.openxmlformats.org/officeDocument/2006/relationships/hyperlink" Target="../Docs/R1-2311653.zip" TargetMode="External"/><Relationship Id="rId2410" Type="http://schemas.openxmlformats.org/officeDocument/2006/relationships/hyperlink" Target="https://www.3gpp.org/ftp/TSG_RAN/WG1_RL1/TSGR1_115/Docs/R1-2312635.zip" TargetMode="External"/><Relationship Id="rId2648" Type="http://schemas.openxmlformats.org/officeDocument/2006/relationships/hyperlink" Target="https://portal.3gpp.org/desktopmodules/WorkItem/WorkItemDetails.aspx?workitemId=970180" TargetMode="External"/><Relationship Id="rId2855" Type="http://schemas.openxmlformats.org/officeDocument/2006/relationships/hyperlink" Target="https://portal.3gpp.org/desktopmodules/Release/ReleaseDetails.aspx?releaseId=193" TargetMode="External"/><Relationship Id="rId96" Type="http://schemas.openxmlformats.org/officeDocument/2006/relationships/hyperlink" Target="../Docs/R1-2312110.zip" TargetMode="External"/><Relationship Id="rId827" Type="http://schemas.openxmlformats.org/officeDocument/2006/relationships/hyperlink" Target="../Docs/R1-2311382.zip" TargetMode="External"/><Relationship Id="rId1012" Type="http://schemas.openxmlformats.org/officeDocument/2006/relationships/hyperlink" Target="../Docs/R1-2311680.zip" TargetMode="External"/><Relationship Id="rId1457" Type="http://schemas.openxmlformats.org/officeDocument/2006/relationships/hyperlink" Target="../Docs/R1-2311852.zip" TargetMode="External"/><Relationship Id="rId1664" Type="http://schemas.openxmlformats.org/officeDocument/2006/relationships/hyperlink" Target="../Docs/R1-2311899.zip" TargetMode="External"/><Relationship Id="rId1871" Type="http://schemas.openxmlformats.org/officeDocument/2006/relationships/hyperlink" Target="../Docs/R1-2311115.zip" TargetMode="External"/><Relationship Id="rId2508" Type="http://schemas.openxmlformats.org/officeDocument/2006/relationships/hyperlink" Target="https://portal.3gpp.org/desktopmodules/WorkItem/WorkItemDetails.aspx?workitemId=940198" TargetMode="External"/><Relationship Id="rId2715" Type="http://schemas.openxmlformats.org/officeDocument/2006/relationships/hyperlink" Target="https://portal.3gpp.org/desktopmodules/Specifications/SpecificationDetails.aspx?specificationId=3216" TargetMode="External"/><Relationship Id="rId2922" Type="http://schemas.openxmlformats.org/officeDocument/2006/relationships/hyperlink" Target="https://portal.3gpp.org/desktopmodules/Release/ReleaseDetails.aspx?releaseId=193" TargetMode="External"/><Relationship Id="rId1317" Type="http://schemas.openxmlformats.org/officeDocument/2006/relationships/hyperlink" Target="../Docs/R1-2311798.zip" TargetMode="External"/><Relationship Id="rId1524" Type="http://schemas.openxmlformats.org/officeDocument/2006/relationships/hyperlink" Target="../Docs/R1-2312272.zip" TargetMode="External"/><Relationship Id="rId1731" Type="http://schemas.openxmlformats.org/officeDocument/2006/relationships/hyperlink" Target="../Docs/R1-2311211.zip" TargetMode="External"/><Relationship Id="rId1969" Type="http://schemas.openxmlformats.org/officeDocument/2006/relationships/hyperlink" Target="../Docs/R1-2312002.zip" TargetMode="External"/><Relationship Id="rId23" Type="http://schemas.openxmlformats.org/officeDocument/2006/relationships/hyperlink" Target="../Docs/R1-2308651.zip" TargetMode="External"/><Relationship Id="rId1829" Type="http://schemas.openxmlformats.org/officeDocument/2006/relationships/hyperlink" Target="../Docs/R1-2310999.zip" TargetMode="External"/><Relationship Id="rId2298" Type="http://schemas.openxmlformats.org/officeDocument/2006/relationships/hyperlink" Target="https://portal.3gpp.org/desktopmodules/Release/ReleaseDetails.aspx?releaseId=193" TargetMode="External"/><Relationship Id="rId3044" Type="http://schemas.openxmlformats.org/officeDocument/2006/relationships/hyperlink" Target="../Docs/R1-2312793.zip" TargetMode="External"/><Relationship Id="rId172" Type="http://schemas.openxmlformats.org/officeDocument/2006/relationships/hyperlink" Target="../Docs/R1-2312641.zip" TargetMode="External"/><Relationship Id="rId477" Type="http://schemas.openxmlformats.org/officeDocument/2006/relationships/hyperlink" Target="../Docs/R1-2312596.zip" TargetMode="External"/><Relationship Id="rId684" Type="http://schemas.openxmlformats.org/officeDocument/2006/relationships/hyperlink" Target="../Docs/R1-2312521.zip" TargetMode="External"/><Relationship Id="rId2060" Type="http://schemas.openxmlformats.org/officeDocument/2006/relationships/hyperlink" Target="../Docs/R1-2311254.zip" TargetMode="External"/><Relationship Id="rId2158" Type="http://schemas.openxmlformats.org/officeDocument/2006/relationships/hyperlink" Target="../Docs/R1-2311279.zip" TargetMode="External"/><Relationship Id="rId2365" Type="http://schemas.openxmlformats.org/officeDocument/2006/relationships/hyperlink" Target="https://portal.3gpp.org/desktopmodules/Release/ReleaseDetails.aspx?releaseId=192" TargetMode="External"/><Relationship Id="rId337" Type="http://schemas.openxmlformats.org/officeDocument/2006/relationships/hyperlink" Target="../Docs/R1-2311602.zip" TargetMode="External"/><Relationship Id="rId891" Type="http://schemas.openxmlformats.org/officeDocument/2006/relationships/hyperlink" Target="../Docs/R1-2312316.zip" TargetMode="External"/><Relationship Id="rId989" Type="http://schemas.openxmlformats.org/officeDocument/2006/relationships/hyperlink" Target="../Docs/R1-2312250.zip" TargetMode="External"/><Relationship Id="rId2018" Type="http://schemas.openxmlformats.org/officeDocument/2006/relationships/hyperlink" Target="../Docs/R1-2310891.zip" TargetMode="External"/><Relationship Id="rId2572" Type="http://schemas.openxmlformats.org/officeDocument/2006/relationships/hyperlink" Target="https://portal.3gpp.org/desktopmodules/WorkItem/WorkItemDetails.aspx?workitemId=940198" TargetMode="External"/><Relationship Id="rId2877" Type="http://schemas.openxmlformats.org/officeDocument/2006/relationships/hyperlink" Target="https://portal.3gpp.org/desktopmodules/WorkItem/WorkItemDetails.aspx?workitemId=981137" TargetMode="External"/><Relationship Id="rId544" Type="http://schemas.openxmlformats.org/officeDocument/2006/relationships/hyperlink" Target="../Docs/R1-2311827.zip" TargetMode="External"/><Relationship Id="rId751" Type="http://schemas.openxmlformats.org/officeDocument/2006/relationships/hyperlink" Target="../Docs/R1-2311148.zip" TargetMode="External"/><Relationship Id="rId849" Type="http://schemas.openxmlformats.org/officeDocument/2006/relationships/hyperlink" Target="../Docs/R1-2310950.zip" TargetMode="External"/><Relationship Id="rId1174" Type="http://schemas.openxmlformats.org/officeDocument/2006/relationships/hyperlink" Target="../Docs/R1-2312188.zip" TargetMode="External"/><Relationship Id="rId1381" Type="http://schemas.openxmlformats.org/officeDocument/2006/relationships/image" Target="media/image61.png"/><Relationship Id="rId1479" Type="http://schemas.openxmlformats.org/officeDocument/2006/relationships/hyperlink" Target="../Docs/R1-2311369.zip" TargetMode="External"/><Relationship Id="rId1686" Type="http://schemas.openxmlformats.org/officeDocument/2006/relationships/hyperlink" Target="../Docs/R1-2311900.zip" TargetMode="External"/><Relationship Id="rId2225" Type="http://schemas.openxmlformats.org/officeDocument/2006/relationships/hyperlink" Target="../Docs/R1-2312203.zip" TargetMode="External"/><Relationship Id="rId2432" Type="http://schemas.openxmlformats.org/officeDocument/2006/relationships/hyperlink" Target="https://portal.3gpp.org/desktopmodules/Release/ReleaseDetails.aspx?releaseId=192" TargetMode="External"/><Relationship Id="rId404" Type="http://schemas.openxmlformats.org/officeDocument/2006/relationships/hyperlink" Target="../Docs/R1-2311669.zip" TargetMode="External"/><Relationship Id="rId611" Type="http://schemas.openxmlformats.org/officeDocument/2006/relationships/hyperlink" Target="../Docs/R1-2312351.zip" TargetMode="External"/><Relationship Id="rId1034" Type="http://schemas.openxmlformats.org/officeDocument/2006/relationships/hyperlink" Target="../Docs/R1-2310813.zip" TargetMode="External"/><Relationship Id="rId1241" Type="http://schemas.openxmlformats.org/officeDocument/2006/relationships/hyperlink" Target="../Docs/R1-2311418.zip" TargetMode="External"/><Relationship Id="rId1339" Type="http://schemas.openxmlformats.org/officeDocument/2006/relationships/image" Target="media/image58.wmf"/><Relationship Id="rId1893" Type="http://schemas.openxmlformats.org/officeDocument/2006/relationships/hyperlink" Target="../Docs/R1-2312088.zip" TargetMode="External"/><Relationship Id="rId2737" Type="http://schemas.openxmlformats.org/officeDocument/2006/relationships/hyperlink" Target="https://www.3gpp.org/ftp/TSG_RAN/WG1_RL1/TSGR1_115/Docs/R1-2312395.zip" TargetMode="External"/><Relationship Id="rId2944" Type="http://schemas.openxmlformats.org/officeDocument/2006/relationships/hyperlink" Target="file:///C:\MyMeetings\TSGR1_115-Chicago\Docs\R1-2312722.zip" TargetMode="External"/><Relationship Id="rId709" Type="http://schemas.openxmlformats.org/officeDocument/2006/relationships/hyperlink" Target="../Docs/R1-2312646.zip" TargetMode="External"/><Relationship Id="rId916" Type="http://schemas.openxmlformats.org/officeDocument/2006/relationships/hyperlink" Target="../Docs/R1-2311734.zip" TargetMode="External"/><Relationship Id="rId1101" Type="http://schemas.openxmlformats.org/officeDocument/2006/relationships/hyperlink" Target="../Docs/R1-2312295.zip" TargetMode="External"/><Relationship Id="rId1546" Type="http://schemas.openxmlformats.org/officeDocument/2006/relationships/hyperlink" Target="../Docs/R1-2312046.zip" TargetMode="External"/><Relationship Id="rId1753" Type="http://schemas.openxmlformats.org/officeDocument/2006/relationships/hyperlink" Target="../Docs/R1-2311918.zip" TargetMode="External"/><Relationship Id="rId1960" Type="http://schemas.openxmlformats.org/officeDocument/2006/relationships/hyperlink" Target="../Docs/R1-2312059.zip" TargetMode="External"/><Relationship Id="rId2804" Type="http://schemas.openxmlformats.org/officeDocument/2006/relationships/hyperlink" Target="https://portal.3gpp.org/desktopmodules/Release/ReleaseDetails.aspx?releaseId=193" TargetMode="External"/><Relationship Id="rId45" Type="http://schemas.openxmlformats.org/officeDocument/2006/relationships/hyperlink" Target="../Docs/R1-2308644.zip" TargetMode="External"/><Relationship Id="rId1406" Type="http://schemas.openxmlformats.org/officeDocument/2006/relationships/hyperlink" Target="../Docs/R1-2310995.zip" TargetMode="External"/><Relationship Id="rId1613" Type="http://schemas.openxmlformats.org/officeDocument/2006/relationships/hyperlink" Target="../Docs/R1-2311450.zip" TargetMode="External"/><Relationship Id="rId1820" Type="http://schemas.openxmlformats.org/officeDocument/2006/relationships/hyperlink" Target="../Docs/R1-2312300.zip" TargetMode="External"/><Relationship Id="rId194" Type="http://schemas.openxmlformats.org/officeDocument/2006/relationships/hyperlink" Target="../Docs/R1-2311959.zip" TargetMode="External"/><Relationship Id="rId1918" Type="http://schemas.openxmlformats.org/officeDocument/2006/relationships/image" Target="media/image93.png"/><Relationship Id="rId2082" Type="http://schemas.openxmlformats.org/officeDocument/2006/relationships/hyperlink" Target="../Docs/R1-2311398.zip" TargetMode="External"/><Relationship Id="rId261" Type="http://schemas.openxmlformats.org/officeDocument/2006/relationships/hyperlink" Target="../Docs/R1-2312524.zip" TargetMode="External"/><Relationship Id="rId499" Type="http://schemas.openxmlformats.org/officeDocument/2006/relationships/hyperlink" Target="../Docs/R1-2312241.zip" TargetMode="External"/><Relationship Id="rId2387" Type="http://schemas.openxmlformats.org/officeDocument/2006/relationships/hyperlink" Target="https://portal.3gpp.org/desktopmodules/Specifications/SpecificationDetails.aspx?specificationId=3216" TargetMode="External"/><Relationship Id="rId2594" Type="http://schemas.openxmlformats.org/officeDocument/2006/relationships/hyperlink" Target="https://portal.3gpp.org/desktopmodules/Release/ReleaseDetails.aspx?releaseId=193" TargetMode="External"/><Relationship Id="rId359" Type="http://schemas.openxmlformats.org/officeDocument/2006/relationships/hyperlink" Target="../Docs/R1-2312017.zip" TargetMode="External"/><Relationship Id="rId566" Type="http://schemas.openxmlformats.org/officeDocument/2006/relationships/hyperlink" Target="../Docs/R1-2312291.zip" TargetMode="External"/><Relationship Id="rId773" Type="http://schemas.openxmlformats.org/officeDocument/2006/relationships/hyperlink" Target="../Docs/R1-2312025.zip" TargetMode="External"/><Relationship Id="rId1196" Type="http://schemas.openxmlformats.org/officeDocument/2006/relationships/hyperlink" Target="../Docs/R1-2312105.zip" TargetMode="External"/><Relationship Id="rId2247" Type="http://schemas.openxmlformats.org/officeDocument/2006/relationships/hyperlink" Target="https://portal.3gpp.org/desktopmodules/Specifications/SpecificationDetails.aspx?specificationId=3215" TargetMode="External"/><Relationship Id="rId2454" Type="http://schemas.openxmlformats.org/officeDocument/2006/relationships/hyperlink" Target="https://portal.3gpp.org/desktopmodules/WorkItem/WorkItemDetails.aspx?workitemId=830178" TargetMode="External"/><Relationship Id="rId2899" Type="http://schemas.openxmlformats.org/officeDocument/2006/relationships/hyperlink" Target="../Docs/R1-2310810.zip" TargetMode="External"/><Relationship Id="rId121" Type="http://schemas.openxmlformats.org/officeDocument/2006/relationships/hyperlink" Target="../Docs/R1-2311068.zip" TargetMode="External"/><Relationship Id="rId219" Type="http://schemas.openxmlformats.org/officeDocument/2006/relationships/hyperlink" Target="../Docs/R1-2304325.zip" TargetMode="External"/><Relationship Id="rId426" Type="http://schemas.openxmlformats.org/officeDocument/2006/relationships/hyperlink" Target="../Docs/R1-2312357.zip" TargetMode="External"/><Relationship Id="rId633" Type="http://schemas.openxmlformats.org/officeDocument/2006/relationships/hyperlink" Target="../Docs/R1-2312470.zip" TargetMode="External"/><Relationship Id="rId980" Type="http://schemas.openxmlformats.org/officeDocument/2006/relationships/hyperlink" Target="../Docs/R1-2311837.zip" TargetMode="External"/><Relationship Id="rId1056" Type="http://schemas.openxmlformats.org/officeDocument/2006/relationships/hyperlink" Target="../Docs/R1-2311239.zip" TargetMode="External"/><Relationship Id="rId1263" Type="http://schemas.openxmlformats.org/officeDocument/2006/relationships/hyperlink" Target="../Docs/R1-2312652.zip" TargetMode="External"/><Relationship Id="rId2107" Type="http://schemas.openxmlformats.org/officeDocument/2006/relationships/hyperlink" Target="../Docs/R1-2312578.zip" TargetMode="External"/><Relationship Id="rId2314" Type="http://schemas.openxmlformats.org/officeDocument/2006/relationships/hyperlink" Target="https://portal.3gpp.org/desktopmodules/Release/ReleaseDetails.aspx?releaseId=191" TargetMode="External"/><Relationship Id="rId2661" Type="http://schemas.openxmlformats.org/officeDocument/2006/relationships/hyperlink" Target="https://www.3gpp.org/ftp/TSG_RAN/WG1_RL1/TSGR1_115/Docs/R1-2312763.zip" TargetMode="External"/><Relationship Id="rId2759" Type="http://schemas.openxmlformats.org/officeDocument/2006/relationships/hyperlink" Target="https://www.3gpp.org/ftp/TSG_RAN/WG1_RL1/TSGR1_115/Docs/R1-2312526.zip" TargetMode="External"/><Relationship Id="rId2966" Type="http://schemas.openxmlformats.org/officeDocument/2006/relationships/hyperlink" Target="../Docs/R1-2312792.zip" TargetMode="External"/><Relationship Id="rId840" Type="http://schemas.openxmlformats.org/officeDocument/2006/relationships/hyperlink" Target="../Docs/R1-2312381.zip" TargetMode="External"/><Relationship Id="rId938" Type="http://schemas.openxmlformats.org/officeDocument/2006/relationships/hyperlink" Target="../Docs/R1-2311480.zip" TargetMode="External"/><Relationship Id="rId1470" Type="http://schemas.openxmlformats.org/officeDocument/2006/relationships/hyperlink" Target="../Docs/R1-2312678.zip" TargetMode="External"/><Relationship Id="rId1568" Type="http://schemas.openxmlformats.org/officeDocument/2006/relationships/hyperlink" Target="../Docs/R1-2311695.zip" TargetMode="External"/><Relationship Id="rId1775" Type="http://schemas.openxmlformats.org/officeDocument/2006/relationships/hyperlink" Target="../Docs/R1-2311638.zip" TargetMode="External"/><Relationship Id="rId2521" Type="http://schemas.openxmlformats.org/officeDocument/2006/relationships/hyperlink" Target="https://www.3gpp.org/ftp/TSG_RAN/WG1_RL1/TSGR1_115/Docs/R1-2312728.zip" TargetMode="External"/><Relationship Id="rId2619" Type="http://schemas.openxmlformats.org/officeDocument/2006/relationships/hyperlink" Target="https://portal.3gpp.org/desktopmodules/Specifications/SpecificationDetails.aspx?specificationId=3216" TargetMode="External"/><Relationship Id="rId2826" Type="http://schemas.openxmlformats.org/officeDocument/2006/relationships/hyperlink" Target="https://portal.3gpp.org/desktopmodules/Release/ReleaseDetails.aspx?releaseId=193" TargetMode="External"/><Relationship Id="rId67" Type="http://schemas.openxmlformats.org/officeDocument/2006/relationships/hyperlink" Target="../Docs/R1-2310797.zip" TargetMode="External"/><Relationship Id="rId700" Type="http://schemas.openxmlformats.org/officeDocument/2006/relationships/hyperlink" Target="../Docs/R1-2312648.zip" TargetMode="External"/><Relationship Id="rId1123" Type="http://schemas.openxmlformats.org/officeDocument/2006/relationships/hyperlink" Target="../Docs/R1-2312418.zip" TargetMode="External"/><Relationship Id="rId1330" Type="http://schemas.openxmlformats.org/officeDocument/2006/relationships/hyperlink" Target="../Docs/R1-2312349.zip" TargetMode="External"/><Relationship Id="rId1428" Type="http://schemas.openxmlformats.org/officeDocument/2006/relationships/hyperlink" Target="../Docs/R1-2312616.zip" TargetMode="External"/><Relationship Id="rId1635" Type="http://schemas.openxmlformats.org/officeDocument/2006/relationships/hyperlink" Target="../Docs/R1-2312535.zip" TargetMode="External"/><Relationship Id="rId1982" Type="http://schemas.openxmlformats.org/officeDocument/2006/relationships/hyperlink" Target="../Docs/R1-2310907.zip" TargetMode="External"/><Relationship Id="rId1842" Type="http://schemas.openxmlformats.org/officeDocument/2006/relationships/hyperlink" Target="../Docs/R1-2311529.zip" TargetMode="External"/><Relationship Id="rId1702" Type="http://schemas.openxmlformats.org/officeDocument/2006/relationships/hyperlink" Target="../Docs/R1-2312246.zip" TargetMode="External"/><Relationship Id="rId283" Type="http://schemas.openxmlformats.org/officeDocument/2006/relationships/hyperlink" Target="../Docs/R1-2312484.zip" TargetMode="External"/><Relationship Id="rId490" Type="http://schemas.openxmlformats.org/officeDocument/2006/relationships/hyperlink" Target="../Docs/R1-2312544.zip" TargetMode="External"/><Relationship Id="rId2171" Type="http://schemas.openxmlformats.org/officeDocument/2006/relationships/hyperlink" Target="../Docs/R1-2310967.zip" TargetMode="External"/><Relationship Id="rId3015" Type="http://schemas.openxmlformats.org/officeDocument/2006/relationships/hyperlink" Target="../Docs/R1-2312771.zip" TargetMode="External"/><Relationship Id="rId143" Type="http://schemas.openxmlformats.org/officeDocument/2006/relationships/hyperlink" Target="../Docs/R1-2311813.zip" TargetMode="External"/><Relationship Id="rId350" Type="http://schemas.openxmlformats.org/officeDocument/2006/relationships/hyperlink" Target="../Docs/R1-2312451.zip" TargetMode="External"/><Relationship Id="rId588" Type="http://schemas.openxmlformats.org/officeDocument/2006/relationships/hyperlink" Target="../Docs/R1-2312212.zip" TargetMode="External"/><Relationship Id="rId795" Type="http://schemas.openxmlformats.org/officeDocument/2006/relationships/hyperlink" Target="../Docs/R1-2311084.zip" TargetMode="External"/><Relationship Id="rId2031" Type="http://schemas.openxmlformats.org/officeDocument/2006/relationships/hyperlink" Target="../Docs/R1-2312063.zip" TargetMode="External"/><Relationship Id="rId2269" Type="http://schemas.openxmlformats.org/officeDocument/2006/relationships/hyperlink" Target="https://www.3gpp.org/ftp/TSG_RAN/WG1_RL1/TSGR1_115/Docs/R1-2312471.zip" TargetMode="External"/><Relationship Id="rId2476" Type="http://schemas.openxmlformats.org/officeDocument/2006/relationships/hyperlink" Target="https://portal.3gpp.org/desktopmodules/Release/ReleaseDetails.aspx?releaseId=193" TargetMode="External"/><Relationship Id="rId2683" Type="http://schemas.openxmlformats.org/officeDocument/2006/relationships/hyperlink" Target="https://portal.3gpp.org/desktopmodules/Specifications/SpecificationDetails.aspx?specificationId=3215" TargetMode="External"/><Relationship Id="rId2890" Type="http://schemas.openxmlformats.org/officeDocument/2006/relationships/hyperlink" Target="../Docs/R1-2310807.zip" TargetMode="External"/><Relationship Id="rId9" Type="http://schemas.openxmlformats.org/officeDocument/2006/relationships/image" Target="media/image1.png"/><Relationship Id="rId210" Type="http://schemas.openxmlformats.org/officeDocument/2006/relationships/hyperlink" Target="../Docs/R1-2311249.zip" TargetMode="External"/><Relationship Id="rId448" Type="http://schemas.openxmlformats.org/officeDocument/2006/relationships/hyperlink" Target="../Docs/R1-2312551.zip" TargetMode="External"/><Relationship Id="rId655" Type="http://schemas.openxmlformats.org/officeDocument/2006/relationships/hyperlink" Target="../Docs/R1-2312421.zip" TargetMode="External"/><Relationship Id="rId862" Type="http://schemas.openxmlformats.org/officeDocument/2006/relationships/hyperlink" Target="../Docs/R1-2311833.zip" TargetMode="External"/><Relationship Id="rId1078" Type="http://schemas.openxmlformats.org/officeDocument/2006/relationships/hyperlink" Target="../Docs/R1-2312433.zip" TargetMode="External"/><Relationship Id="rId1285" Type="http://schemas.openxmlformats.org/officeDocument/2006/relationships/hyperlink" Target="../Docs/R1-2311848.zip" TargetMode="External"/><Relationship Id="rId1492" Type="http://schemas.openxmlformats.org/officeDocument/2006/relationships/hyperlink" Target="../Docs/R1-2312332.zip" TargetMode="External"/><Relationship Id="rId2129" Type="http://schemas.openxmlformats.org/officeDocument/2006/relationships/hyperlink" Target="../Docs/R1-2310822.zip" TargetMode="External"/><Relationship Id="rId2336" Type="http://schemas.openxmlformats.org/officeDocument/2006/relationships/hyperlink" Target="https://portal.3gpp.org/desktopmodules/Specifications/SpecificationDetails.aspx?specificationId=3215" TargetMode="External"/><Relationship Id="rId2543" Type="http://schemas.openxmlformats.org/officeDocument/2006/relationships/hyperlink" Target="https://portal.3gpp.org/desktopmodules/Specifications/SpecificationDetails.aspx?specificationId=3215" TargetMode="External"/><Relationship Id="rId2750" Type="http://schemas.openxmlformats.org/officeDocument/2006/relationships/hyperlink" Target="https://portal.3gpp.org/desktopmodules/Release/ReleaseDetails.aspx?releaseId=192" TargetMode="External"/><Relationship Id="rId2988" Type="http://schemas.openxmlformats.org/officeDocument/2006/relationships/hyperlink" Target="../Docs/R1-2312752.zip" TargetMode="External"/><Relationship Id="rId308" Type="http://schemas.openxmlformats.org/officeDocument/2006/relationships/hyperlink" Target="../Docs/R1-2312528.zip" TargetMode="External"/><Relationship Id="rId515" Type="http://schemas.openxmlformats.org/officeDocument/2006/relationships/oleObject" Target="embeddings/oleObject16.bin"/><Relationship Id="rId722" Type="http://schemas.openxmlformats.org/officeDocument/2006/relationships/hyperlink" Target="../Docs/R1-2312536.zip" TargetMode="External"/><Relationship Id="rId1145" Type="http://schemas.openxmlformats.org/officeDocument/2006/relationships/hyperlink" Target="../Docs/R1-2312187.zip" TargetMode="External"/><Relationship Id="rId1352" Type="http://schemas.openxmlformats.org/officeDocument/2006/relationships/hyperlink" Target="../Docs/R1-2311348.zip" TargetMode="External"/><Relationship Id="rId1797" Type="http://schemas.openxmlformats.org/officeDocument/2006/relationships/hyperlink" Target="../Docs/R1-2312389.zip" TargetMode="External"/><Relationship Id="rId2403" Type="http://schemas.openxmlformats.org/officeDocument/2006/relationships/hyperlink" Target="https://www.3gpp.org/ftp/TSG_RAN/WG1_RL1/TSGR1_115/Docs/R1-2312632.zip" TargetMode="External"/><Relationship Id="rId2848" Type="http://schemas.openxmlformats.org/officeDocument/2006/relationships/hyperlink" Target="https://portal.3gpp.org/desktopmodules/WorkItem/WorkItemDetails.aspx?workitemId=1001061" TargetMode="External"/><Relationship Id="rId89" Type="http://schemas.openxmlformats.org/officeDocument/2006/relationships/hyperlink" Target="../Docs/R1-2311252.zip" TargetMode="External"/><Relationship Id="rId1005" Type="http://schemas.openxmlformats.org/officeDocument/2006/relationships/hyperlink" Target="../Docs/R1-2311337.zip" TargetMode="External"/><Relationship Id="rId1212" Type="http://schemas.openxmlformats.org/officeDocument/2006/relationships/hyperlink" Target="../Docs/R1-2311484.zip" TargetMode="External"/><Relationship Id="rId1657" Type="http://schemas.openxmlformats.org/officeDocument/2006/relationships/hyperlink" Target="../Docs/R1-2311552.zip" TargetMode="External"/><Relationship Id="rId1864" Type="http://schemas.openxmlformats.org/officeDocument/2006/relationships/hyperlink" Target="../Docs/R1-2312407.zip" TargetMode="External"/><Relationship Id="rId2610" Type="http://schemas.openxmlformats.org/officeDocument/2006/relationships/hyperlink" Target="https://portal.3gpp.org/desktopmodules/Release/ReleaseDetails.aspx?releaseId=193" TargetMode="External"/><Relationship Id="rId2708" Type="http://schemas.openxmlformats.org/officeDocument/2006/relationships/hyperlink" Target="https://portal.3gpp.org/desktopmodules/WorkItem/WorkItemDetails.aspx?workitemId=981138" TargetMode="External"/><Relationship Id="rId2915" Type="http://schemas.openxmlformats.org/officeDocument/2006/relationships/hyperlink" Target="../Docs/R1-2311004.zip" TargetMode="External"/><Relationship Id="rId1517" Type="http://schemas.openxmlformats.org/officeDocument/2006/relationships/hyperlink" Target="../Docs/R1-2311854.zip" TargetMode="External"/><Relationship Id="rId1724" Type="http://schemas.openxmlformats.org/officeDocument/2006/relationships/hyperlink" Target="../Docs/R1-2312141.zip" TargetMode="External"/><Relationship Id="rId16" Type="http://schemas.openxmlformats.org/officeDocument/2006/relationships/hyperlink" Target="../Docs/R1-2311261.zip" TargetMode="External"/><Relationship Id="rId1931" Type="http://schemas.openxmlformats.org/officeDocument/2006/relationships/image" Target="media/image99.png"/><Relationship Id="rId3037" Type="http://schemas.openxmlformats.org/officeDocument/2006/relationships/hyperlink" Target="../Docs/R1-2312713.zip" TargetMode="External"/><Relationship Id="rId2193" Type="http://schemas.openxmlformats.org/officeDocument/2006/relationships/hyperlink" Target="../Docs/R1-2311762.zip" TargetMode="External"/><Relationship Id="rId2498" Type="http://schemas.openxmlformats.org/officeDocument/2006/relationships/hyperlink" Target="https://www.3gpp.org/ftp/TSG_RAN/WG1_RL1/TSGR1_115/Docs/R1-2312722.zip" TargetMode="External"/><Relationship Id="rId165" Type="http://schemas.openxmlformats.org/officeDocument/2006/relationships/hyperlink" Target="../Docs/R1-2311658.zip" TargetMode="External"/><Relationship Id="rId372" Type="http://schemas.openxmlformats.org/officeDocument/2006/relationships/hyperlink" Target="../Docs/R1-2312464.zip" TargetMode="External"/><Relationship Id="rId677" Type="http://schemas.openxmlformats.org/officeDocument/2006/relationships/hyperlink" Target="../Docs/R1-2311292.zip" TargetMode="External"/><Relationship Id="rId2053" Type="http://schemas.openxmlformats.org/officeDocument/2006/relationships/hyperlink" Target="../Docs/R1-2312610.zip" TargetMode="External"/><Relationship Id="rId2260" Type="http://schemas.openxmlformats.org/officeDocument/2006/relationships/hyperlink" Target="https://portal.3gpp.org/desktopmodules/WorkItem/WorkItemDetails.aspx?workitemId=860146" TargetMode="External"/><Relationship Id="rId2358" Type="http://schemas.openxmlformats.org/officeDocument/2006/relationships/hyperlink" Target="https://www.3gpp.org/ftp/TSG_RAN/WG1_RL1/TSGR1_115/Docs/R1-2312555.zip" TargetMode="External"/><Relationship Id="rId232" Type="http://schemas.openxmlformats.org/officeDocument/2006/relationships/hyperlink" Target="../Docs/R1-2312163.zip" TargetMode="External"/><Relationship Id="rId884" Type="http://schemas.openxmlformats.org/officeDocument/2006/relationships/hyperlink" Target="../Docs/R1-2311721.zip" TargetMode="External"/><Relationship Id="rId2120" Type="http://schemas.openxmlformats.org/officeDocument/2006/relationships/hyperlink" Target="../Docs/R1-2311649.zip" TargetMode="External"/><Relationship Id="rId2565" Type="http://schemas.openxmlformats.org/officeDocument/2006/relationships/hyperlink" Target="https://www.3gpp.org/ftp/TSG_RAN/WG1_RL1/TSGR1_115/Docs/R1-2312739.zip" TargetMode="External"/><Relationship Id="rId2772" Type="http://schemas.openxmlformats.org/officeDocument/2006/relationships/hyperlink" Target="https://www.3gpp.org/ftp/TSG_RAN/WG1_RL1/TSGR1_115/Docs/R1-2312574.zip" TargetMode="External"/><Relationship Id="rId537" Type="http://schemas.openxmlformats.org/officeDocument/2006/relationships/hyperlink" Target="../Docs/R1-2312285.zip" TargetMode="External"/><Relationship Id="rId744" Type="http://schemas.openxmlformats.org/officeDocument/2006/relationships/hyperlink" Target="../Docs/R1-2310866.zip" TargetMode="External"/><Relationship Id="rId951" Type="http://schemas.openxmlformats.org/officeDocument/2006/relationships/image" Target="media/image48.wmf"/><Relationship Id="rId1167" Type="http://schemas.openxmlformats.org/officeDocument/2006/relationships/hyperlink" Target="../Docs/R1-2311622.zip" TargetMode="External"/><Relationship Id="rId1374" Type="http://schemas.openxmlformats.org/officeDocument/2006/relationships/hyperlink" Target="../Docs/R1-2312314.zip" TargetMode="External"/><Relationship Id="rId1581" Type="http://schemas.openxmlformats.org/officeDocument/2006/relationships/hyperlink" Target="../Docs/R1-2312623.zip" TargetMode="External"/><Relationship Id="rId1679" Type="http://schemas.openxmlformats.org/officeDocument/2006/relationships/hyperlink" Target="../Docs/R1-2311324.zip" TargetMode="External"/><Relationship Id="rId2218" Type="http://schemas.openxmlformats.org/officeDocument/2006/relationships/hyperlink" Target="../Docs/R1-2311506.zip" TargetMode="External"/><Relationship Id="rId2425" Type="http://schemas.openxmlformats.org/officeDocument/2006/relationships/hyperlink" Target="https://www.3gpp.org/ftp/TSG_RAN/WG1_RL1/TSGR1_115/Docs/R1-2312673.zip" TargetMode="External"/><Relationship Id="rId2632" Type="http://schemas.openxmlformats.org/officeDocument/2006/relationships/hyperlink" Target="https://portal.3gpp.org/desktopmodules/WorkItem/WorkItemDetails.aspx?workitemId=940198" TargetMode="External"/><Relationship Id="rId80" Type="http://schemas.openxmlformats.org/officeDocument/2006/relationships/hyperlink" Target="../Docs/R1-2311561.zip" TargetMode="External"/><Relationship Id="rId604" Type="http://schemas.openxmlformats.org/officeDocument/2006/relationships/hyperlink" Target="../Docs/R1-2312288.zip" TargetMode="External"/><Relationship Id="rId811" Type="http://schemas.openxmlformats.org/officeDocument/2006/relationships/hyperlink" Target="../Docs/R1-2311830.zip" TargetMode="External"/><Relationship Id="rId1027" Type="http://schemas.openxmlformats.org/officeDocument/2006/relationships/hyperlink" Target="../Docs/R1-2312328.zip" TargetMode="External"/><Relationship Id="rId1234" Type="http://schemas.openxmlformats.org/officeDocument/2006/relationships/hyperlink" Target="../Docs/R1-2310981.zip" TargetMode="External"/><Relationship Id="rId1441" Type="http://schemas.openxmlformats.org/officeDocument/2006/relationships/hyperlink" Target="../Docs/R1-2311034.zip" TargetMode="External"/><Relationship Id="rId1886" Type="http://schemas.openxmlformats.org/officeDocument/2006/relationships/hyperlink" Target="../Docs/R1-2311640.zip" TargetMode="External"/><Relationship Id="rId2937" Type="http://schemas.openxmlformats.org/officeDocument/2006/relationships/hyperlink" Target="../Docs/R1-2312710.zip" TargetMode="External"/><Relationship Id="rId909" Type="http://schemas.openxmlformats.org/officeDocument/2006/relationships/hyperlink" Target="../Docs/R1-2311479.zip" TargetMode="External"/><Relationship Id="rId1301" Type="http://schemas.openxmlformats.org/officeDocument/2006/relationships/hyperlink" Target="../Docs/R1-2311051.zip" TargetMode="External"/><Relationship Id="rId1539" Type="http://schemas.openxmlformats.org/officeDocument/2006/relationships/hyperlink" Target="../Docs/R1-2311411.zip" TargetMode="External"/><Relationship Id="rId1746" Type="http://schemas.openxmlformats.org/officeDocument/2006/relationships/hyperlink" Target="../Docs/R1-2311245.zip" TargetMode="External"/><Relationship Id="rId1953" Type="http://schemas.openxmlformats.org/officeDocument/2006/relationships/hyperlink" Target="../Docs/R1-2311258.zip" TargetMode="External"/><Relationship Id="rId38" Type="http://schemas.openxmlformats.org/officeDocument/2006/relationships/hyperlink" Target="../Docs/R1-2311594.zip" TargetMode="External"/><Relationship Id="rId1606" Type="http://schemas.openxmlformats.org/officeDocument/2006/relationships/hyperlink" Target="../Docs/R1-2312563.zip" TargetMode="External"/><Relationship Id="rId1813" Type="http://schemas.openxmlformats.org/officeDocument/2006/relationships/hyperlink" Target="../Docs/R1-2312128.zip" TargetMode="External"/><Relationship Id="rId187" Type="http://schemas.openxmlformats.org/officeDocument/2006/relationships/hyperlink" Target="../Docs/R1-2311195.zip" TargetMode="External"/><Relationship Id="rId394" Type="http://schemas.openxmlformats.org/officeDocument/2006/relationships/hyperlink" Target="../Docs/R1-2311814.zip" TargetMode="External"/><Relationship Id="rId2075" Type="http://schemas.openxmlformats.org/officeDocument/2006/relationships/hyperlink" Target="../Docs/R1-2310847.zip" TargetMode="External"/><Relationship Id="rId2282" Type="http://schemas.openxmlformats.org/officeDocument/2006/relationships/hyperlink" Target="https://portal.3gpp.org/desktopmodules/Release/ReleaseDetails.aspx?releaseId=192" TargetMode="External"/><Relationship Id="rId254" Type="http://schemas.openxmlformats.org/officeDocument/2006/relationships/hyperlink" Target="../Docs/R1-2312490.zip" TargetMode="External"/><Relationship Id="rId699" Type="http://schemas.openxmlformats.org/officeDocument/2006/relationships/hyperlink" Target="../Docs/R1-2312645.zip" TargetMode="External"/><Relationship Id="rId1091" Type="http://schemas.openxmlformats.org/officeDocument/2006/relationships/hyperlink" Target="../Docs/R1-2311682.zip" TargetMode="External"/><Relationship Id="rId2587" Type="http://schemas.openxmlformats.org/officeDocument/2006/relationships/hyperlink" Target="https://portal.3gpp.org/desktopmodules/Specifications/SpecificationDetails.aspx?specificationId=3214" TargetMode="External"/><Relationship Id="rId2794" Type="http://schemas.openxmlformats.org/officeDocument/2006/relationships/hyperlink" Target="https://portal.3gpp.org/desktopmodules/WorkItem/WorkItemDetails.aspx?workitemId=900161" TargetMode="External"/><Relationship Id="rId114" Type="http://schemas.openxmlformats.org/officeDocument/2006/relationships/hyperlink" Target="../Docs/R1-2311891.zip" TargetMode="External"/><Relationship Id="rId461" Type="http://schemas.openxmlformats.org/officeDocument/2006/relationships/hyperlink" Target="../Docs/R1-2311673.zip" TargetMode="External"/><Relationship Id="rId559" Type="http://schemas.openxmlformats.org/officeDocument/2006/relationships/hyperlink" Target="../Docs/R1-2311825.zip" TargetMode="External"/><Relationship Id="rId766" Type="http://schemas.openxmlformats.org/officeDocument/2006/relationships/hyperlink" Target="../Docs/R1-2311739.zip" TargetMode="External"/><Relationship Id="rId1189" Type="http://schemas.openxmlformats.org/officeDocument/2006/relationships/hyperlink" Target="../Docs/R1-2311419.zip" TargetMode="External"/><Relationship Id="rId1396" Type="http://schemas.openxmlformats.org/officeDocument/2006/relationships/image" Target="media/image76.png"/><Relationship Id="rId2142" Type="http://schemas.openxmlformats.org/officeDocument/2006/relationships/hyperlink" Target="../Docs/R1-2311190.zip" TargetMode="External"/><Relationship Id="rId2447" Type="http://schemas.openxmlformats.org/officeDocument/2006/relationships/hyperlink" Target="https://www.3gpp.org/ftp/TSG_RAN/WG1_RL1/TSGR1_115/Docs/R1-2312692.zip" TargetMode="External"/><Relationship Id="rId321" Type="http://schemas.openxmlformats.org/officeDocument/2006/relationships/hyperlink" Target="../Docs/R1-2312218.zip" TargetMode="External"/><Relationship Id="rId419" Type="http://schemas.openxmlformats.org/officeDocument/2006/relationships/hyperlink" Target="../Docs/R1-2310872.zip" TargetMode="External"/><Relationship Id="rId626" Type="http://schemas.openxmlformats.org/officeDocument/2006/relationships/hyperlink" Target="../Docs/R1-2312481.zip" TargetMode="External"/><Relationship Id="rId973" Type="http://schemas.openxmlformats.org/officeDocument/2006/relationships/hyperlink" Target="../Docs/R1-2311563.zip" TargetMode="External"/><Relationship Id="rId1049" Type="http://schemas.openxmlformats.org/officeDocument/2006/relationships/hyperlink" Target="../Docs/R1-2312259.zip" TargetMode="External"/><Relationship Id="rId1256" Type="http://schemas.openxmlformats.org/officeDocument/2006/relationships/hyperlink" Target="../Docs/R1-2312344.zip" TargetMode="External"/><Relationship Id="rId2002" Type="http://schemas.openxmlformats.org/officeDocument/2006/relationships/hyperlink" Target="../Docs/R1-2310855.zip" TargetMode="External"/><Relationship Id="rId2307" Type="http://schemas.openxmlformats.org/officeDocument/2006/relationships/hyperlink" Target="https://portal.3gpp.org/desktopmodules/Specifications/SpecificationDetails.aspx?specificationId=2427" TargetMode="External"/><Relationship Id="rId2654" Type="http://schemas.openxmlformats.org/officeDocument/2006/relationships/hyperlink" Target="https://portal.3gpp.org/desktopmodules/Release/ReleaseDetails.aspx?releaseId=193" TargetMode="External"/><Relationship Id="rId2861" Type="http://schemas.openxmlformats.org/officeDocument/2006/relationships/hyperlink" Target="../Docs/R1-2306216.zip" TargetMode="External"/><Relationship Id="rId2959" Type="http://schemas.openxmlformats.org/officeDocument/2006/relationships/hyperlink" Target="../Docs/R1-2312796.zip" TargetMode="External"/><Relationship Id="rId833" Type="http://schemas.openxmlformats.org/officeDocument/2006/relationships/hyperlink" Target="../Docs/R1-2311741.zip" TargetMode="External"/><Relationship Id="rId1116" Type="http://schemas.openxmlformats.org/officeDocument/2006/relationships/hyperlink" Target="../Docs/R1-2311842.zip" TargetMode="External"/><Relationship Id="rId1463" Type="http://schemas.openxmlformats.org/officeDocument/2006/relationships/hyperlink" Target="../Docs/R1-2311035.zip" TargetMode="External"/><Relationship Id="rId1670" Type="http://schemas.openxmlformats.org/officeDocument/2006/relationships/hyperlink" Target="../Docs/R1-2312361.zip" TargetMode="External"/><Relationship Id="rId1768" Type="http://schemas.openxmlformats.org/officeDocument/2006/relationships/hyperlink" Target="../Docs/R1-2310938.zip" TargetMode="External"/><Relationship Id="rId2514" Type="http://schemas.openxmlformats.org/officeDocument/2006/relationships/hyperlink" Target="https://portal.3gpp.org/desktopmodules/Release/ReleaseDetails.aspx?releaseId=193" TargetMode="External"/><Relationship Id="rId2721" Type="http://schemas.openxmlformats.org/officeDocument/2006/relationships/hyperlink" Target="https://www.3gpp.org/ftp/TSG_RAN/WG1_RL1/TSGR1_115/Docs/R1-2312810.zip" TargetMode="External"/><Relationship Id="rId2819" Type="http://schemas.openxmlformats.org/officeDocument/2006/relationships/hyperlink" Target="https://portal.3gpp.org/desktopmodules/Release/ReleaseDetails.aspx?releaseId=193" TargetMode="External"/><Relationship Id="rId900" Type="http://schemas.openxmlformats.org/officeDocument/2006/relationships/hyperlink" Target="../Docs/R1-2310952.zip" TargetMode="External"/><Relationship Id="rId1323" Type="http://schemas.openxmlformats.org/officeDocument/2006/relationships/hyperlink" Target="../Docs/R1-2312041.zip" TargetMode="External"/><Relationship Id="rId1530" Type="http://schemas.openxmlformats.org/officeDocument/2006/relationships/hyperlink" Target="../Docs/R1-2312273.zip" TargetMode="External"/><Relationship Id="rId1628" Type="http://schemas.openxmlformats.org/officeDocument/2006/relationships/hyperlink" Target="../Docs/R1-2311495.zip" TargetMode="External"/><Relationship Id="rId1975" Type="http://schemas.openxmlformats.org/officeDocument/2006/relationships/hyperlink" Target="../Docs/R1-2312570.zip" TargetMode="External"/><Relationship Id="rId1835" Type="http://schemas.openxmlformats.org/officeDocument/2006/relationships/hyperlink" Target="../Docs/R1-2311326.zip" TargetMode="External"/><Relationship Id="rId1902" Type="http://schemas.openxmlformats.org/officeDocument/2006/relationships/hyperlink" Target="../Docs/R1-2310846.zip" TargetMode="External"/><Relationship Id="rId2097" Type="http://schemas.openxmlformats.org/officeDocument/2006/relationships/hyperlink" Target="../Docs/R1-2311123.zip" TargetMode="External"/><Relationship Id="rId276" Type="http://schemas.openxmlformats.org/officeDocument/2006/relationships/hyperlink" Target="../Docs/R1-2312441.zip" TargetMode="External"/><Relationship Id="rId483" Type="http://schemas.openxmlformats.org/officeDocument/2006/relationships/hyperlink" Target="../Docs/R1-2311909.zip" TargetMode="External"/><Relationship Id="rId690" Type="http://schemas.openxmlformats.org/officeDocument/2006/relationships/hyperlink" Target="../Docs/R1-2312682.zip" TargetMode="External"/><Relationship Id="rId2164" Type="http://schemas.openxmlformats.org/officeDocument/2006/relationships/hyperlink" Target="../Docs/R1-2311991.zip" TargetMode="External"/><Relationship Id="rId2371" Type="http://schemas.openxmlformats.org/officeDocument/2006/relationships/hyperlink" Target="https://portal.3gpp.org/desktopmodules/Release/ReleaseDetails.aspx?releaseId=192" TargetMode="External"/><Relationship Id="rId3008" Type="http://schemas.openxmlformats.org/officeDocument/2006/relationships/hyperlink" Target="../Docs/R1-2312725.zip" TargetMode="External"/><Relationship Id="rId136" Type="http://schemas.openxmlformats.org/officeDocument/2006/relationships/hyperlink" Target="../Docs/R1-2311222.zip" TargetMode="External"/><Relationship Id="rId343" Type="http://schemas.openxmlformats.org/officeDocument/2006/relationships/hyperlink" Target="../Docs/R1-2312376.zip" TargetMode="External"/><Relationship Id="rId550" Type="http://schemas.openxmlformats.org/officeDocument/2006/relationships/hyperlink" Target="../Docs/R1-2312289.zip" TargetMode="External"/><Relationship Id="rId788" Type="http://schemas.openxmlformats.org/officeDocument/2006/relationships/image" Target="media/image43.png"/><Relationship Id="rId995" Type="http://schemas.openxmlformats.org/officeDocument/2006/relationships/hyperlink" Target="../Docs/R1-2312253.zip" TargetMode="External"/><Relationship Id="rId1180" Type="http://schemas.openxmlformats.org/officeDocument/2006/relationships/hyperlink" Target="../Docs/R1-2312393.zip" TargetMode="External"/><Relationship Id="rId2024" Type="http://schemas.openxmlformats.org/officeDocument/2006/relationships/hyperlink" Target="../Docs/R1-2311395.zip" TargetMode="External"/><Relationship Id="rId2231" Type="http://schemas.openxmlformats.org/officeDocument/2006/relationships/image" Target="media/image101.png"/><Relationship Id="rId2469" Type="http://schemas.openxmlformats.org/officeDocument/2006/relationships/hyperlink" Target="https://portal.3gpp.org/desktopmodules/Specifications/SpecificationDetails.aspx?specificationId=3216" TargetMode="External"/><Relationship Id="rId2676" Type="http://schemas.openxmlformats.org/officeDocument/2006/relationships/hyperlink" Target="https://portal.3gpp.org/desktopmodules/WorkItem/WorkItemDetails.aspx?workitemId=940199" TargetMode="External"/><Relationship Id="rId2883" Type="http://schemas.openxmlformats.org/officeDocument/2006/relationships/hyperlink" Target="https://portal.3gpp.org/desktopmodules/WorkItem/WorkItemDetails.aspx?workitemId=940194" TargetMode="External"/><Relationship Id="rId203" Type="http://schemas.openxmlformats.org/officeDocument/2006/relationships/hyperlink" Target="../Docs/R1-2312658.zip" TargetMode="External"/><Relationship Id="rId648" Type="http://schemas.openxmlformats.org/officeDocument/2006/relationships/hyperlink" Target="../Docs/R1-2312527.zip" TargetMode="External"/><Relationship Id="rId855" Type="http://schemas.openxmlformats.org/officeDocument/2006/relationships/hyperlink" Target="../Docs/R1-2311364.zip" TargetMode="External"/><Relationship Id="rId1040" Type="http://schemas.openxmlformats.org/officeDocument/2006/relationships/hyperlink" Target="../Docs/R1-2311621.zip" TargetMode="External"/><Relationship Id="rId1278" Type="http://schemas.openxmlformats.org/officeDocument/2006/relationships/hyperlink" Target="../Docs/R1-2311545.zip" TargetMode="External"/><Relationship Id="rId1485" Type="http://schemas.openxmlformats.org/officeDocument/2006/relationships/hyperlink" Target="../Docs/R1-2311693.zip" TargetMode="External"/><Relationship Id="rId1692" Type="http://schemas.openxmlformats.org/officeDocument/2006/relationships/hyperlink" Target="../Docs/R1-2312517.zip" TargetMode="External"/><Relationship Id="rId2329" Type="http://schemas.openxmlformats.org/officeDocument/2006/relationships/hyperlink" Target="https://portal.3gpp.org/desktopmodules/Release/ReleaseDetails.aspx?releaseId=192" TargetMode="External"/><Relationship Id="rId2536" Type="http://schemas.openxmlformats.org/officeDocument/2006/relationships/hyperlink" Target="https://portal.3gpp.org/desktopmodules/WorkItem/WorkItemDetails.aspx?workitemId=970180" TargetMode="External"/><Relationship Id="rId2743" Type="http://schemas.openxmlformats.org/officeDocument/2006/relationships/hyperlink" Target="https://www.3gpp.org/ftp/TSG_RAN/WG1_RL1/TSGR1_115/Docs/R1-2312434.zip" TargetMode="External"/><Relationship Id="rId410" Type="http://schemas.openxmlformats.org/officeDocument/2006/relationships/hyperlink" Target="../Docs/R1-2312635.zip" TargetMode="External"/><Relationship Id="rId508" Type="http://schemas.openxmlformats.org/officeDocument/2006/relationships/image" Target="media/image17.wmf"/><Relationship Id="rId715" Type="http://schemas.openxmlformats.org/officeDocument/2006/relationships/hyperlink" Target="../Docs/R1-2311473.zip" TargetMode="External"/><Relationship Id="rId922" Type="http://schemas.openxmlformats.org/officeDocument/2006/relationships/hyperlink" Target="../Docs/R1-2312006.zip" TargetMode="External"/><Relationship Id="rId1138" Type="http://schemas.openxmlformats.org/officeDocument/2006/relationships/hyperlink" Target="../Docs/R1-2311597.zip" TargetMode="External"/><Relationship Id="rId1345" Type="http://schemas.openxmlformats.org/officeDocument/2006/relationships/hyperlink" Target="../Docs/R1-2310986.zip" TargetMode="External"/><Relationship Id="rId1552" Type="http://schemas.openxmlformats.org/officeDocument/2006/relationships/hyperlink" Target="../Docs/R1-2312338.zip" TargetMode="External"/><Relationship Id="rId1997" Type="http://schemas.openxmlformats.org/officeDocument/2006/relationships/hyperlink" Target="../Docs/R1-2312061.zip" TargetMode="External"/><Relationship Id="rId2603" Type="http://schemas.openxmlformats.org/officeDocument/2006/relationships/hyperlink" Target="https://portal.3gpp.org/desktopmodules/Specifications/SpecificationDetails.aspx?specificationId=3213" TargetMode="External"/><Relationship Id="rId2950" Type="http://schemas.openxmlformats.org/officeDocument/2006/relationships/hyperlink" Target="../Docs/R1-2312741.zip" TargetMode="External"/><Relationship Id="rId1205" Type="http://schemas.openxmlformats.org/officeDocument/2006/relationships/hyperlink" Target="../Docs/R1-2311167.zip" TargetMode="External"/><Relationship Id="rId1857" Type="http://schemas.openxmlformats.org/officeDocument/2006/relationships/hyperlink" Target="../Docs/R1-2312106.zip" TargetMode="External"/><Relationship Id="rId2810" Type="http://schemas.openxmlformats.org/officeDocument/2006/relationships/hyperlink" Target="https://portal.3gpp.org/desktopmodules/WorkItem/WorkItemDetails.aspx?workitemId=981137" TargetMode="External"/><Relationship Id="rId2908" Type="http://schemas.openxmlformats.org/officeDocument/2006/relationships/hyperlink" Target="../Docs/R1-2311002.zip" TargetMode="External"/><Relationship Id="rId51" Type="http://schemas.openxmlformats.org/officeDocument/2006/relationships/hyperlink" Target="../Docs/R1-2311287.zip" TargetMode="External"/><Relationship Id="rId1412" Type="http://schemas.openxmlformats.org/officeDocument/2006/relationships/hyperlink" Target="../Docs/R1-2311533.zip" TargetMode="External"/><Relationship Id="rId1717" Type="http://schemas.openxmlformats.org/officeDocument/2006/relationships/hyperlink" Target="../Docs/R1-2311585.zip" TargetMode="External"/><Relationship Id="rId1924" Type="http://schemas.openxmlformats.org/officeDocument/2006/relationships/hyperlink" Target="../Docs/R1-2312401.zip" TargetMode="External"/><Relationship Id="rId298" Type="http://schemas.openxmlformats.org/officeDocument/2006/relationships/hyperlink" Target="../Docs/R1-2312599.zip" TargetMode="External"/><Relationship Id="rId158" Type="http://schemas.openxmlformats.org/officeDocument/2006/relationships/hyperlink" Target="../Docs/R1-2310788.zip" TargetMode="External"/><Relationship Id="rId2186" Type="http://schemas.openxmlformats.org/officeDocument/2006/relationships/hyperlink" Target="../Docs/R1-2311126.zip" TargetMode="External"/><Relationship Id="rId2393" Type="http://schemas.openxmlformats.org/officeDocument/2006/relationships/hyperlink" Target="https://www.3gpp.org/ftp/TSG_RAN/WG1_RL1/TSGR1_115/Docs/R1-2312626.zip" TargetMode="External"/><Relationship Id="rId2698" Type="http://schemas.openxmlformats.org/officeDocument/2006/relationships/hyperlink" Target="https://portal.3gpp.org/desktopmodules/Release/ReleaseDetails.aspx?releaseId=193" TargetMode="External"/><Relationship Id="rId365" Type="http://schemas.openxmlformats.org/officeDocument/2006/relationships/hyperlink" Target="../Docs/R1-2312202.zip" TargetMode="External"/><Relationship Id="rId572" Type="http://schemas.openxmlformats.org/officeDocument/2006/relationships/hyperlink" Target="../Docs/R1-2312562.zip" TargetMode="External"/><Relationship Id="rId2046" Type="http://schemas.openxmlformats.org/officeDocument/2006/relationships/hyperlink" Target="../Docs/R1-2311645.zip" TargetMode="External"/><Relationship Id="rId2253" Type="http://schemas.openxmlformats.org/officeDocument/2006/relationships/hyperlink" Target="https://www.3gpp.org/ftp/TSG_RAN/WG1_RL1/TSGR1_115/Docs/R1-2312454.zip" TargetMode="External"/><Relationship Id="rId2460" Type="http://schemas.openxmlformats.org/officeDocument/2006/relationships/hyperlink" Target="https://portal.3gpp.org/desktopmodules/Release/ReleaseDetails.aspx?releaseId=193" TargetMode="External"/><Relationship Id="rId225" Type="http://schemas.openxmlformats.org/officeDocument/2006/relationships/hyperlink" Target="../Docs/R1-2312207.zip" TargetMode="External"/><Relationship Id="rId432" Type="http://schemas.openxmlformats.org/officeDocument/2006/relationships/hyperlink" Target="../Docs/R1-2311581.zip" TargetMode="External"/><Relationship Id="rId877" Type="http://schemas.openxmlformats.org/officeDocument/2006/relationships/hyperlink" Target="../Docs/R1-2311217.zip" TargetMode="External"/><Relationship Id="rId1062" Type="http://schemas.openxmlformats.org/officeDocument/2006/relationships/hyperlink" Target="../Docs/R1-2311887.zip" TargetMode="External"/><Relationship Id="rId2113" Type="http://schemas.openxmlformats.org/officeDocument/2006/relationships/hyperlink" Target="../Docs/R1-2311189.zip" TargetMode="External"/><Relationship Id="rId2320" Type="http://schemas.openxmlformats.org/officeDocument/2006/relationships/hyperlink" Target="https://portal.3gpp.org/desktopmodules/WorkItem/WorkItemDetails.aspx?workitemId=830178" TargetMode="External"/><Relationship Id="rId2558" Type="http://schemas.openxmlformats.org/officeDocument/2006/relationships/hyperlink" Target="https://portal.3gpp.org/desktopmodules/Release/ReleaseDetails.aspx?releaseId=193" TargetMode="External"/><Relationship Id="rId2765" Type="http://schemas.openxmlformats.org/officeDocument/2006/relationships/hyperlink" Target="https://portal.3gpp.org/desktopmodules/Release/ReleaseDetails.aspx?releaseId=193" TargetMode="External"/><Relationship Id="rId2972" Type="http://schemas.openxmlformats.org/officeDocument/2006/relationships/hyperlink" Target="../Docs/R1-2312779.zip" TargetMode="External"/><Relationship Id="rId737" Type="http://schemas.openxmlformats.org/officeDocument/2006/relationships/hyperlink" Target="../Docs/R1-2312370.zip" TargetMode="External"/><Relationship Id="rId944" Type="http://schemas.openxmlformats.org/officeDocument/2006/relationships/hyperlink" Target="../Docs/R1-2311745.zip" TargetMode="External"/><Relationship Id="rId1367" Type="http://schemas.openxmlformats.org/officeDocument/2006/relationships/hyperlink" Target="../Docs/R1-2311939.zip" TargetMode="External"/><Relationship Id="rId1574" Type="http://schemas.openxmlformats.org/officeDocument/2006/relationships/hyperlink" Target="../Docs/R1-2311947.zip" TargetMode="External"/><Relationship Id="rId1781" Type="http://schemas.openxmlformats.org/officeDocument/2006/relationships/hyperlink" Target="../Docs/R1-2311995.zip" TargetMode="External"/><Relationship Id="rId2418" Type="http://schemas.openxmlformats.org/officeDocument/2006/relationships/hyperlink" Target="https://portal.3gpp.org/desktopmodules/Release/ReleaseDetails.aspx?releaseId=193" TargetMode="External"/><Relationship Id="rId2625" Type="http://schemas.openxmlformats.org/officeDocument/2006/relationships/hyperlink" Target="https://www.3gpp.org/ftp/TSG_RAN/WG1_RL1/TSGR1_115/Docs/R1-2312754.zip" TargetMode="External"/><Relationship Id="rId2832" Type="http://schemas.openxmlformats.org/officeDocument/2006/relationships/hyperlink" Target="../Docs/R1-2308644.zip" TargetMode="External"/><Relationship Id="rId73" Type="http://schemas.openxmlformats.org/officeDocument/2006/relationships/hyperlink" Target="../Docs/R1-2308559.zip" TargetMode="External"/><Relationship Id="rId804" Type="http://schemas.openxmlformats.org/officeDocument/2006/relationships/hyperlink" Target="../Docs/R1-2311441.zip" TargetMode="External"/><Relationship Id="rId1227" Type="http://schemas.openxmlformats.org/officeDocument/2006/relationships/hyperlink" Target="../Docs/R1-2311464.zip" TargetMode="External"/><Relationship Id="rId1434" Type="http://schemas.openxmlformats.org/officeDocument/2006/relationships/hyperlink" Target="../Docs/R1-2312442.zip" TargetMode="External"/><Relationship Id="rId1641" Type="http://schemas.openxmlformats.org/officeDocument/2006/relationships/hyperlink" Target="../Docs/R1-2311129.zip" TargetMode="External"/><Relationship Id="rId1879" Type="http://schemas.openxmlformats.org/officeDocument/2006/relationships/hyperlink" Target="../Docs/R1-2311446.zip" TargetMode="External"/><Relationship Id="rId1501" Type="http://schemas.openxmlformats.org/officeDocument/2006/relationships/hyperlink" Target="../Docs/R1-2311134.zip" TargetMode="External"/><Relationship Id="rId1739" Type="http://schemas.openxmlformats.org/officeDocument/2006/relationships/hyperlink" Target="../Docs/R1-2312377.zip" TargetMode="External"/><Relationship Id="rId1946" Type="http://schemas.openxmlformats.org/officeDocument/2006/relationships/hyperlink" Target="../Docs/R1-2312149.zip" TargetMode="External"/><Relationship Id="rId1806" Type="http://schemas.openxmlformats.org/officeDocument/2006/relationships/hyperlink" Target="../Docs/R1-2311586.zip" TargetMode="External"/><Relationship Id="rId387" Type="http://schemas.openxmlformats.org/officeDocument/2006/relationships/hyperlink" Target="../Docs/R1-2312224.zip" TargetMode="External"/><Relationship Id="rId594" Type="http://schemas.openxmlformats.org/officeDocument/2006/relationships/hyperlink" Target="../Docs/R1-2312023.zip" TargetMode="External"/><Relationship Id="rId2068" Type="http://schemas.openxmlformats.org/officeDocument/2006/relationships/hyperlink" Target="../Docs/R1-2311782.zip" TargetMode="External"/><Relationship Id="rId2275" Type="http://schemas.openxmlformats.org/officeDocument/2006/relationships/hyperlink" Target="https://portal.3gpp.org/desktopmodules/Specifications/SpecificationDetails.aspx?specificationId=3215" TargetMode="External"/><Relationship Id="rId3021" Type="http://schemas.openxmlformats.org/officeDocument/2006/relationships/hyperlink" Target="../Docs/R1-2312801.zip" TargetMode="External"/><Relationship Id="rId247" Type="http://schemas.openxmlformats.org/officeDocument/2006/relationships/hyperlink" Target="../Docs/R1-2312765.zip" TargetMode="External"/><Relationship Id="rId899" Type="http://schemas.openxmlformats.org/officeDocument/2006/relationships/hyperlink" Target="../Docs/R1-2310924.zip" TargetMode="External"/><Relationship Id="rId1084" Type="http://schemas.openxmlformats.org/officeDocument/2006/relationships/hyperlink" Target="../Docs/R1-2311240.zip" TargetMode="External"/><Relationship Id="rId2482" Type="http://schemas.openxmlformats.org/officeDocument/2006/relationships/hyperlink" Target="https://portal.3gpp.org/desktopmodules/WorkItem/WorkItemDetails.aspx?workitemId=920042" TargetMode="External"/><Relationship Id="rId2787" Type="http://schemas.openxmlformats.org/officeDocument/2006/relationships/hyperlink" Target="https://portal.3gpp.org/desktopmodules/Release/ReleaseDetails.aspx?releaseId=193" TargetMode="External"/><Relationship Id="rId107" Type="http://schemas.openxmlformats.org/officeDocument/2006/relationships/hyperlink" Target="../Docs/R1-2311056.zip" TargetMode="External"/><Relationship Id="rId454" Type="http://schemas.openxmlformats.org/officeDocument/2006/relationships/hyperlink" Target="../Docs/R1-2312240.zip" TargetMode="External"/><Relationship Id="rId661" Type="http://schemas.openxmlformats.org/officeDocument/2006/relationships/hyperlink" Target="../Docs/R1-2310990.zip" TargetMode="External"/><Relationship Id="rId759" Type="http://schemas.openxmlformats.org/officeDocument/2006/relationships/hyperlink" Target="../Docs/R1-2311440.zip" TargetMode="External"/><Relationship Id="rId966" Type="http://schemas.openxmlformats.org/officeDocument/2006/relationships/hyperlink" Target="../Docs/R1-2311161.zip" TargetMode="External"/><Relationship Id="rId1291" Type="http://schemas.openxmlformats.org/officeDocument/2006/relationships/hyperlink" Target="../Docs/R1-2312204.zip" TargetMode="External"/><Relationship Id="rId1389" Type="http://schemas.openxmlformats.org/officeDocument/2006/relationships/image" Target="media/image69.png"/><Relationship Id="rId1596" Type="http://schemas.openxmlformats.org/officeDocument/2006/relationships/hyperlink" Target="../Docs/R1-2311898.zip" TargetMode="External"/><Relationship Id="rId2135" Type="http://schemas.openxmlformats.org/officeDocument/2006/relationships/hyperlink" Target="../Docs/R1-2311650.zip" TargetMode="External"/><Relationship Id="rId2342" Type="http://schemas.openxmlformats.org/officeDocument/2006/relationships/hyperlink" Target="https://www.3gpp.org/ftp/TSG_RAN/WG1_RL1/TSGR1_115/Docs/R1-2312548.zip" TargetMode="External"/><Relationship Id="rId2647" Type="http://schemas.openxmlformats.org/officeDocument/2006/relationships/hyperlink" Target="https://portal.3gpp.org/desktopmodules/Specifications/SpecificationDetails.aspx?specificationId=3216" TargetMode="External"/><Relationship Id="rId2994" Type="http://schemas.openxmlformats.org/officeDocument/2006/relationships/hyperlink" Target="../Docs/R1-2312775.zip" TargetMode="External"/><Relationship Id="rId314" Type="http://schemas.openxmlformats.org/officeDocument/2006/relationships/hyperlink" Target="../Docs/R1-2311815.zip" TargetMode="External"/><Relationship Id="rId521" Type="http://schemas.openxmlformats.org/officeDocument/2006/relationships/image" Target="media/image24.png"/><Relationship Id="rId619" Type="http://schemas.openxmlformats.org/officeDocument/2006/relationships/hyperlink" Target="../Docs/R1-2311610.zip" TargetMode="External"/><Relationship Id="rId1151" Type="http://schemas.openxmlformats.org/officeDocument/2006/relationships/hyperlink" Target="../Docs/R1-2310743.zip" TargetMode="External"/><Relationship Id="rId1249" Type="http://schemas.openxmlformats.org/officeDocument/2006/relationships/hyperlink" Target="../Docs/R1-2312039.zip" TargetMode="External"/><Relationship Id="rId2202" Type="http://schemas.openxmlformats.org/officeDocument/2006/relationships/hyperlink" Target="../Docs/R1-2310974.zip" TargetMode="External"/><Relationship Id="rId2854" Type="http://schemas.openxmlformats.org/officeDocument/2006/relationships/hyperlink" Target="../Docs/R1-2310796.zip" TargetMode="External"/><Relationship Id="rId95" Type="http://schemas.openxmlformats.org/officeDocument/2006/relationships/hyperlink" Target="../Docs/R1-2311937.zip" TargetMode="External"/><Relationship Id="rId826" Type="http://schemas.openxmlformats.org/officeDocument/2006/relationships/hyperlink" Target="../Docs/R1-2311363.zip" TargetMode="External"/><Relationship Id="rId1011" Type="http://schemas.openxmlformats.org/officeDocument/2006/relationships/hyperlink" Target="../Docs/R1-2311620.zip" TargetMode="External"/><Relationship Id="rId1109" Type="http://schemas.openxmlformats.org/officeDocument/2006/relationships/hyperlink" Target="../Docs/R1-2311164.zip" TargetMode="External"/><Relationship Id="rId1456" Type="http://schemas.openxmlformats.org/officeDocument/2006/relationships/hyperlink" Target="../Docs/R1-2311692.zip" TargetMode="External"/><Relationship Id="rId1663" Type="http://schemas.openxmlformats.org/officeDocument/2006/relationships/hyperlink" Target="../Docs/R1-2311860.zip" TargetMode="External"/><Relationship Id="rId1870" Type="http://schemas.openxmlformats.org/officeDocument/2006/relationships/hyperlink" Target="../Docs/R1-2311048.zip" TargetMode="External"/><Relationship Id="rId1968" Type="http://schemas.openxmlformats.org/officeDocument/2006/relationships/hyperlink" Target="../Docs/R1-2311259.zip" TargetMode="External"/><Relationship Id="rId2507" Type="http://schemas.openxmlformats.org/officeDocument/2006/relationships/hyperlink" Target="https://portal.3gpp.org/desktopmodules/Specifications/SpecificationDetails.aspx?specificationId=3215" TargetMode="External"/><Relationship Id="rId2714" Type="http://schemas.openxmlformats.org/officeDocument/2006/relationships/hyperlink" Target="https://portal.3gpp.org/desktopmodules/Release/ReleaseDetails.aspx?releaseId=193" TargetMode="External"/><Relationship Id="rId2921" Type="http://schemas.openxmlformats.org/officeDocument/2006/relationships/hyperlink" Target="../Docs/R1-2311006.zip" TargetMode="External"/><Relationship Id="rId1316" Type="http://schemas.openxmlformats.org/officeDocument/2006/relationships/hyperlink" Target="../Docs/R1-2311763.zip" TargetMode="External"/><Relationship Id="rId1523" Type="http://schemas.openxmlformats.org/officeDocument/2006/relationships/hyperlink" Target="../Docs/R1-2312132.zip" TargetMode="External"/><Relationship Id="rId1730" Type="http://schemas.openxmlformats.org/officeDocument/2006/relationships/hyperlink" Target="../Docs/R1-2311064.zip" TargetMode="External"/><Relationship Id="rId22" Type="http://schemas.openxmlformats.org/officeDocument/2006/relationships/hyperlink" Target="../Docs/R1-2310786.zip" TargetMode="External"/><Relationship Id="rId1828" Type="http://schemas.openxmlformats.org/officeDocument/2006/relationships/hyperlink" Target="../Docs/R1-2310987.zip" TargetMode="External"/><Relationship Id="rId3043" Type="http://schemas.openxmlformats.org/officeDocument/2006/relationships/hyperlink" Target="../Docs/R1-2312714.zip" TargetMode="External"/><Relationship Id="rId171" Type="http://schemas.openxmlformats.org/officeDocument/2006/relationships/hyperlink" Target="../Docs/R1-2312497.zip" TargetMode="External"/><Relationship Id="rId2297" Type="http://schemas.openxmlformats.org/officeDocument/2006/relationships/hyperlink" Target="https://www.3gpp.org/ftp/TSG_RAN/WG1_RL1/TSGR1_115/Docs/R1-2312485.zip" TargetMode="External"/><Relationship Id="rId269" Type="http://schemas.openxmlformats.org/officeDocument/2006/relationships/hyperlink" Target="../Docs/R1-2311072.zip" TargetMode="External"/><Relationship Id="rId476" Type="http://schemas.openxmlformats.org/officeDocument/2006/relationships/hyperlink" Target="../Docs/R1-2312621.zip" TargetMode="External"/><Relationship Id="rId683" Type="http://schemas.openxmlformats.org/officeDocument/2006/relationships/hyperlink" Target="../Docs/R1-2312521.zip" TargetMode="External"/><Relationship Id="rId890" Type="http://schemas.openxmlformats.org/officeDocument/2006/relationships/hyperlink" Target="../Docs/R1-2312180.zip" TargetMode="External"/><Relationship Id="rId2157" Type="http://schemas.openxmlformats.org/officeDocument/2006/relationships/hyperlink" Target="../Docs/R1-2311191.zip" TargetMode="External"/><Relationship Id="rId2364" Type="http://schemas.openxmlformats.org/officeDocument/2006/relationships/hyperlink" Target="https://www.3gpp.org/ftp/TSG_RAN/WG1_RL1/TSGR1_115/Docs/R1-2312557.zip" TargetMode="External"/><Relationship Id="rId2571" Type="http://schemas.openxmlformats.org/officeDocument/2006/relationships/hyperlink" Target="https://portal.3gpp.org/desktopmodules/Specifications/SpecificationDetails.aspx?specificationId=3214" TargetMode="External"/><Relationship Id="rId129" Type="http://schemas.openxmlformats.org/officeDocument/2006/relationships/hyperlink" Target="../Docs/R1-2311914.zip" TargetMode="External"/><Relationship Id="rId336" Type="http://schemas.openxmlformats.org/officeDocument/2006/relationships/hyperlink" Target="../Docs/R1-2311074.zip" TargetMode="External"/><Relationship Id="rId543" Type="http://schemas.openxmlformats.org/officeDocument/2006/relationships/hyperlink" Target="../Docs/R1-2311079.zip" TargetMode="External"/><Relationship Id="rId988" Type="http://schemas.openxmlformats.org/officeDocument/2006/relationships/hyperlink" Target="../Docs/R1-2312250.zip" TargetMode="External"/><Relationship Id="rId1173" Type="http://schemas.openxmlformats.org/officeDocument/2006/relationships/hyperlink" Target="../Docs/R1-2312119.zip" TargetMode="External"/><Relationship Id="rId1380" Type="http://schemas.openxmlformats.org/officeDocument/2006/relationships/image" Target="media/image60.png"/><Relationship Id="rId2017" Type="http://schemas.openxmlformats.org/officeDocument/2006/relationships/hyperlink" Target="../Docs/R1-2310843.zip" TargetMode="External"/><Relationship Id="rId2224" Type="http://schemas.openxmlformats.org/officeDocument/2006/relationships/hyperlink" Target="../Docs/R1-2312431.zip" TargetMode="External"/><Relationship Id="rId2669" Type="http://schemas.openxmlformats.org/officeDocument/2006/relationships/hyperlink" Target="https://www.3gpp.org/ftp/TSG_RAN/WG1_RL1/TSGR1_115/Docs/R1-2312775.zip" TargetMode="External"/><Relationship Id="rId2876" Type="http://schemas.openxmlformats.org/officeDocument/2006/relationships/hyperlink" Target="https://portal.3gpp.org/desktopmodules/Release/ReleaseDetails.aspx?releaseId=193" TargetMode="External"/><Relationship Id="rId403" Type="http://schemas.openxmlformats.org/officeDocument/2006/relationships/hyperlink" Target="../Docs/R1-2311289.zip" TargetMode="External"/><Relationship Id="rId750" Type="http://schemas.openxmlformats.org/officeDocument/2006/relationships/hyperlink" Target="../Docs/R1-2311083.zip" TargetMode="External"/><Relationship Id="rId848" Type="http://schemas.openxmlformats.org/officeDocument/2006/relationships/hyperlink" Target="../Docs/R1-2310932.zip" TargetMode="External"/><Relationship Id="rId1033" Type="http://schemas.openxmlformats.org/officeDocument/2006/relationships/hyperlink" Target="../Docs/R1-2312532.zip" TargetMode="External"/><Relationship Id="rId1478" Type="http://schemas.openxmlformats.org/officeDocument/2006/relationships/hyperlink" Target="../Docs/R1-2311351.zip" TargetMode="External"/><Relationship Id="rId1685" Type="http://schemas.openxmlformats.org/officeDocument/2006/relationships/hyperlink" Target="../Docs/R1-2311699.zip" TargetMode="External"/><Relationship Id="rId1892" Type="http://schemas.openxmlformats.org/officeDocument/2006/relationships/hyperlink" Target="../Docs/R1-2312057.zip" TargetMode="External"/><Relationship Id="rId2431" Type="http://schemas.openxmlformats.org/officeDocument/2006/relationships/hyperlink" Target="https://www.3gpp.org/ftp/TSG_RAN/WG1_RL1/TSGR1_115/Docs/R1-2312675.zip" TargetMode="External"/><Relationship Id="rId2529" Type="http://schemas.openxmlformats.org/officeDocument/2006/relationships/hyperlink" Target="https://www.3gpp.org/ftp/TSG_RAN/WG1_RL1/TSGR1_115/Docs/R1-2312730.zip" TargetMode="External"/><Relationship Id="rId2736" Type="http://schemas.openxmlformats.org/officeDocument/2006/relationships/hyperlink" Target="https://portal.3gpp.org/desktopmodules/WorkItem/WorkItemDetails.aspx?workitemId=981138" TargetMode="External"/><Relationship Id="rId610" Type="http://schemas.openxmlformats.org/officeDocument/2006/relationships/hyperlink" Target="../Docs/R1-2312220.zip" TargetMode="External"/><Relationship Id="rId708" Type="http://schemas.openxmlformats.org/officeDocument/2006/relationships/hyperlink" Target="../Docs/R1-2312649.zip" TargetMode="External"/><Relationship Id="rId915" Type="http://schemas.openxmlformats.org/officeDocument/2006/relationships/hyperlink" Target="../Docs/R1-2311726.zip" TargetMode="External"/><Relationship Id="rId1240" Type="http://schemas.openxmlformats.org/officeDocument/2006/relationships/hyperlink" Target="../Docs/R1-2311345.zip" TargetMode="External"/><Relationship Id="rId1338" Type="http://schemas.openxmlformats.org/officeDocument/2006/relationships/oleObject" Target="embeddings/oleObject27.bin"/><Relationship Id="rId1545" Type="http://schemas.openxmlformats.org/officeDocument/2006/relationships/hyperlink" Target="../Docs/R1-2311946.zip" TargetMode="External"/><Relationship Id="rId2943" Type="http://schemas.openxmlformats.org/officeDocument/2006/relationships/hyperlink" Target="file:///C:\MyMeetings\TSGR1_115-Chicago\Docs\R1-2312719.zip" TargetMode="External"/><Relationship Id="rId1100" Type="http://schemas.openxmlformats.org/officeDocument/2006/relationships/hyperlink" Target="../Docs/R1-2312295.zip" TargetMode="External"/><Relationship Id="rId1405" Type="http://schemas.openxmlformats.org/officeDocument/2006/relationships/hyperlink" Target="../Docs/R1-2310832.zip" TargetMode="External"/><Relationship Id="rId1752" Type="http://schemas.openxmlformats.org/officeDocument/2006/relationships/hyperlink" Target="../Docs/R1-2311861.zip" TargetMode="External"/><Relationship Id="rId2803" Type="http://schemas.openxmlformats.org/officeDocument/2006/relationships/hyperlink" Target="https://www.3gpp.org/ftp/TSG_RAN/WG1_RL1/TSGR1_115/Docs/R1-2312696.zip" TargetMode="External"/><Relationship Id="rId44" Type="http://schemas.openxmlformats.org/officeDocument/2006/relationships/hyperlink" Target="../Docs/R1-2310789.zip" TargetMode="External"/><Relationship Id="rId1612" Type="http://schemas.openxmlformats.org/officeDocument/2006/relationships/hyperlink" Target="../Docs/R1-2311274.zip" TargetMode="External"/><Relationship Id="rId1917" Type="http://schemas.openxmlformats.org/officeDocument/2006/relationships/image" Target="media/image92.png"/><Relationship Id="rId193" Type="http://schemas.openxmlformats.org/officeDocument/2006/relationships/hyperlink" Target="../Docs/R1-2311821.zip" TargetMode="External"/><Relationship Id="rId498" Type="http://schemas.openxmlformats.org/officeDocument/2006/relationships/hyperlink" Target="../Docs/R1-2311824.zip" TargetMode="External"/><Relationship Id="rId2081" Type="http://schemas.openxmlformats.org/officeDocument/2006/relationships/hyperlink" Target="../Docs/R1-2311333.zip" TargetMode="External"/><Relationship Id="rId2179" Type="http://schemas.openxmlformats.org/officeDocument/2006/relationships/hyperlink" Target="../Docs/R1-2312071.zip" TargetMode="External"/><Relationship Id="rId260" Type="http://schemas.openxmlformats.org/officeDocument/2006/relationships/hyperlink" Target="../Docs/R1-2312523.zip" TargetMode="External"/><Relationship Id="rId2386" Type="http://schemas.openxmlformats.org/officeDocument/2006/relationships/hyperlink" Target="https://portal.3gpp.org/desktopmodules/Release/ReleaseDetails.aspx?releaseId=192" TargetMode="External"/><Relationship Id="rId2593" Type="http://schemas.openxmlformats.org/officeDocument/2006/relationships/hyperlink" Target="https://www.3gpp.org/ftp/TSG_RAN/WG1_RL1/TSGR1_115/Docs/R1-2312746.zip" TargetMode="External"/><Relationship Id="rId120" Type="http://schemas.openxmlformats.org/officeDocument/2006/relationships/hyperlink" Target="../Docs/R1-2311005.zip" TargetMode="External"/><Relationship Id="rId358" Type="http://schemas.openxmlformats.org/officeDocument/2006/relationships/hyperlink" Target="../Docs/R1-2312016.zip" TargetMode="External"/><Relationship Id="rId565" Type="http://schemas.openxmlformats.org/officeDocument/2006/relationships/hyperlink" Target="../Docs/R1-2312291.zip" TargetMode="External"/><Relationship Id="rId772" Type="http://schemas.openxmlformats.org/officeDocument/2006/relationships/hyperlink" Target="../Docs/R1-2312005.zip" TargetMode="External"/><Relationship Id="rId1195" Type="http://schemas.openxmlformats.org/officeDocument/2006/relationships/hyperlink" Target="../Docs/R1-2312037.zip" TargetMode="External"/><Relationship Id="rId2039" Type="http://schemas.openxmlformats.org/officeDocument/2006/relationships/hyperlink" Target="../Docs/R1-2311120.zip" TargetMode="External"/><Relationship Id="rId2246" Type="http://schemas.openxmlformats.org/officeDocument/2006/relationships/hyperlink" Target="https://portal.3gpp.org/desktopmodules/Release/ReleaseDetails.aspx?releaseId=193" TargetMode="External"/><Relationship Id="rId2453" Type="http://schemas.openxmlformats.org/officeDocument/2006/relationships/hyperlink" Target="https://portal.3gpp.org/desktopmodules/Specifications/SpecificationDetails.aspx?specificationId=3217" TargetMode="External"/><Relationship Id="rId2660" Type="http://schemas.openxmlformats.org/officeDocument/2006/relationships/hyperlink" Target="https://portal.3gpp.org/desktopmodules/WorkItem/WorkItemDetails.aspx?workitemId=940104" TargetMode="External"/><Relationship Id="rId2898" Type="http://schemas.openxmlformats.org/officeDocument/2006/relationships/hyperlink" Target="https://portal.3gpp.org/desktopmodules/WorkItem/WorkItemDetails.aspx?workitemId=940198" TargetMode="External"/><Relationship Id="rId218" Type="http://schemas.openxmlformats.org/officeDocument/2006/relationships/hyperlink" Target="../Docs/R1-2311806.zip" TargetMode="External"/><Relationship Id="rId425" Type="http://schemas.openxmlformats.org/officeDocument/2006/relationships/hyperlink" Target="../Docs/R1-2311296.zip" TargetMode="External"/><Relationship Id="rId632" Type="http://schemas.openxmlformats.org/officeDocument/2006/relationships/hyperlink" Target="../Docs/R1-2310606.zip" TargetMode="External"/><Relationship Id="rId1055" Type="http://schemas.openxmlformats.org/officeDocument/2006/relationships/hyperlink" Target="../Docs/R1-2311093.zip" TargetMode="External"/><Relationship Id="rId1262" Type="http://schemas.openxmlformats.org/officeDocument/2006/relationships/hyperlink" Target="../Docs/R1-2312652.zip" TargetMode="External"/><Relationship Id="rId2106" Type="http://schemas.openxmlformats.org/officeDocument/2006/relationships/hyperlink" Target="../Docs/R1-2312084.zip" TargetMode="External"/><Relationship Id="rId2313" Type="http://schemas.openxmlformats.org/officeDocument/2006/relationships/hyperlink" Target="https://www.3gpp.org/ftp/TSG_RAN/WG1_RL1/TSGR1_115/Docs/R1-2312523.zip" TargetMode="External"/><Relationship Id="rId2520" Type="http://schemas.openxmlformats.org/officeDocument/2006/relationships/hyperlink" Target="https://portal.3gpp.org/desktopmodules/WorkItem/WorkItemDetails.aspx?workitemId=940196" TargetMode="External"/><Relationship Id="rId2758" Type="http://schemas.openxmlformats.org/officeDocument/2006/relationships/hyperlink" Target="https://portal.3gpp.org/desktopmodules/Release/ReleaseDetails.aspx?releaseId=192" TargetMode="External"/><Relationship Id="rId2965" Type="http://schemas.openxmlformats.org/officeDocument/2006/relationships/hyperlink" Target="../Docs/R1-2312738.zip" TargetMode="External"/><Relationship Id="rId937" Type="http://schemas.openxmlformats.org/officeDocument/2006/relationships/hyperlink" Target="../Docs/R1-2311435.zip" TargetMode="External"/><Relationship Id="rId1122" Type="http://schemas.openxmlformats.org/officeDocument/2006/relationships/hyperlink" Target="../Docs/R1-2312417.zip" TargetMode="External"/><Relationship Id="rId1567" Type="http://schemas.openxmlformats.org/officeDocument/2006/relationships/hyperlink" Target="../Docs/R1-2311632.zip" TargetMode="External"/><Relationship Id="rId1774" Type="http://schemas.openxmlformats.org/officeDocument/2006/relationships/hyperlink" Target="../Docs/R1-2311521.zip" TargetMode="External"/><Relationship Id="rId1981" Type="http://schemas.openxmlformats.org/officeDocument/2006/relationships/hyperlink" Target="../Docs/R1-2310889.zip" TargetMode="External"/><Relationship Id="rId2618" Type="http://schemas.openxmlformats.org/officeDocument/2006/relationships/hyperlink" Target="https://portal.3gpp.org/desktopmodules/Release/ReleaseDetails.aspx?releaseId=193" TargetMode="External"/><Relationship Id="rId2825" Type="http://schemas.openxmlformats.org/officeDocument/2006/relationships/hyperlink" Target="../Docs/R1-2310788.zip" TargetMode="External"/><Relationship Id="rId66" Type="http://schemas.openxmlformats.org/officeDocument/2006/relationships/hyperlink" Target="../Docs/R1-2310796.zip" TargetMode="External"/><Relationship Id="rId1427" Type="http://schemas.openxmlformats.org/officeDocument/2006/relationships/hyperlink" Target="../Docs/R1-2312542.zip" TargetMode="External"/><Relationship Id="rId1634" Type="http://schemas.openxmlformats.org/officeDocument/2006/relationships/hyperlink" Target="../Docs/R1-2312375.zip" TargetMode="External"/><Relationship Id="rId1841" Type="http://schemas.openxmlformats.org/officeDocument/2006/relationships/hyperlink" Target="../Docs/R1-2311527.zip" TargetMode="External"/><Relationship Id="rId1939" Type="http://schemas.openxmlformats.org/officeDocument/2006/relationships/hyperlink" Target="../Docs/R1-2312444.zip" TargetMode="External"/><Relationship Id="rId1701" Type="http://schemas.openxmlformats.org/officeDocument/2006/relationships/hyperlink" Target="../Docs/R1-2312301.zip" TargetMode="External"/><Relationship Id="rId282" Type="http://schemas.openxmlformats.org/officeDocument/2006/relationships/hyperlink" Target="../Docs/R1-2312483.zip" TargetMode="External"/><Relationship Id="rId587" Type="http://schemas.openxmlformats.org/officeDocument/2006/relationships/hyperlink" Target="../Docs/R1-2312144.zip" TargetMode="External"/><Relationship Id="rId2170" Type="http://schemas.openxmlformats.org/officeDocument/2006/relationships/hyperlink" Target="../Docs/R1-2310901.zip" TargetMode="External"/><Relationship Id="rId2268" Type="http://schemas.openxmlformats.org/officeDocument/2006/relationships/hyperlink" Target="https://portal.3gpp.org/desktopmodules/WorkItem/WorkItemDetails.aspx?workitemId=860141" TargetMode="External"/><Relationship Id="rId3014" Type="http://schemas.openxmlformats.org/officeDocument/2006/relationships/hyperlink" Target="../Docs/R1-2312810.zip" TargetMode="External"/><Relationship Id="rId8" Type="http://schemas.openxmlformats.org/officeDocument/2006/relationships/endnotes" Target="endnotes.xml"/><Relationship Id="rId142" Type="http://schemas.openxmlformats.org/officeDocument/2006/relationships/hyperlink" Target="../Docs/R1-2311737.zip" TargetMode="External"/><Relationship Id="rId447" Type="http://schemas.openxmlformats.org/officeDocument/2006/relationships/hyperlink" Target="../Docs/R1-2312550.zip" TargetMode="External"/><Relationship Id="rId794" Type="http://schemas.openxmlformats.org/officeDocument/2006/relationships/hyperlink" Target="../Docs/R1-2310971.zip" TargetMode="External"/><Relationship Id="rId1077" Type="http://schemas.openxmlformats.org/officeDocument/2006/relationships/hyperlink" Target="../Docs/R1-2312433.zip" TargetMode="External"/><Relationship Id="rId2030" Type="http://schemas.openxmlformats.org/officeDocument/2006/relationships/hyperlink" Target="../Docs/R1-2311869.zip" TargetMode="External"/><Relationship Id="rId2128" Type="http://schemas.openxmlformats.org/officeDocument/2006/relationships/hyperlink" Target="../Docs/R1-2312579.zip" TargetMode="External"/><Relationship Id="rId2475" Type="http://schemas.openxmlformats.org/officeDocument/2006/relationships/hyperlink" Target="https://www.3gpp.org/ftp/TSG_RAN/WG1_RL1/TSGR1_115/Docs/R1-2312713.zip" TargetMode="External"/><Relationship Id="rId2682" Type="http://schemas.openxmlformats.org/officeDocument/2006/relationships/hyperlink" Target="https://portal.3gpp.org/desktopmodules/Release/ReleaseDetails.aspx?releaseId=193" TargetMode="External"/><Relationship Id="rId2987" Type="http://schemas.openxmlformats.org/officeDocument/2006/relationships/hyperlink" Target="../Docs/R1-2312803.zip" TargetMode="External"/><Relationship Id="rId654" Type="http://schemas.openxmlformats.org/officeDocument/2006/relationships/hyperlink" Target="../Docs/R1-2312215.zip" TargetMode="External"/><Relationship Id="rId861" Type="http://schemas.openxmlformats.org/officeDocument/2006/relationships/hyperlink" Target="../Docs/R1-2311742.zip" TargetMode="External"/><Relationship Id="rId959" Type="http://schemas.openxmlformats.org/officeDocument/2006/relationships/hyperlink" Target="../Docs/R1-2312503.zip" TargetMode="External"/><Relationship Id="rId1284" Type="http://schemas.openxmlformats.org/officeDocument/2006/relationships/hyperlink" Target="../Docs/R1-2311797.zip" TargetMode="External"/><Relationship Id="rId1491" Type="http://schemas.openxmlformats.org/officeDocument/2006/relationships/hyperlink" Target="../Docs/R1-2312331.zip" TargetMode="External"/><Relationship Id="rId1589" Type="http://schemas.openxmlformats.org/officeDocument/2006/relationships/hyperlink" Target="../Docs/R1-2310966.zip" TargetMode="External"/><Relationship Id="rId2335" Type="http://schemas.openxmlformats.org/officeDocument/2006/relationships/hyperlink" Target="https://portal.3gpp.org/desktopmodules/Release/ReleaseDetails.aspx?releaseId=192" TargetMode="External"/><Relationship Id="rId2542" Type="http://schemas.openxmlformats.org/officeDocument/2006/relationships/hyperlink" Target="https://portal.3gpp.org/desktopmodules/Release/ReleaseDetails.aspx?releaseId=193" TargetMode="External"/><Relationship Id="rId307" Type="http://schemas.openxmlformats.org/officeDocument/2006/relationships/oleObject" Target="embeddings/oleObject10.bin"/><Relationship Id="rId514" Type="http://schemas.openxmlformats.org/officeDocument/2006/relationships/image" Target="media/image20.wmf"/><Relationship Id="rId721" Type="http://schemas.openxmlformats.org/officeDocument/2006/relationships/hyperlink" Target="../Docs/R1-2312543.zip" TargetMode="External"/><Relationship Id="rId1144" Type="http://schemas.openxmlformats.org/officeDocument/2006/relationships/hyperlink" Target="../Docs/R1-2312157.zip" TargetMode="External"/><Relationship Id="rId1351" Type="http://schemas.openxmlformats.org/officeDocument/2006/relationships/hyperlink" Target="../Docs/R1-2311244.zip" TargetMode="External"/><Relationship Id="rId1449" Type="http://schemas.openxmlformats.org/officeDocument/2006/relationships/hyperlink" Target="../Docs/R1-2311409.zip" TargetMode="External"/><Relationship Id="rId1796" Type="http://schemas.openxmlformats.org/officeDocument/2006/relationships/hyperlink" Target="../Docs/R1-2312388.zip" TargetMode="External"/><Relationship Id="rId2402" Type="http://schemas.openxmlformats.org/officeDocument/2006/relationships/hyperlink" Target="https://portal.3gpp.org/desktopmodules/WorkItem/WorkItemDetails.aspx?workitemId=860140" TargetMode="External"/><Relationship Id="rId2847" Type="http://schemas.openxmlformats.org/officeDocument/2006/relationships/hyperlink" Target="https://portal.3gpp.org/desktopmodules/Release/ReleaseDetails.aspx?releaseId=193" TargetMode="External"/><Relationship Id="rId88" Type="http://schemas.openxmlformats.org/officeDocument/2006/relationships/hyperlink" Target="../Docs/R1-2311251.zip" TargetMode="External"/><Relationship Id="rId819" Type="http://schemas.openxmlformats.org/officeDocument/2006/relationships/hyperlink" Target="../Docs/R1-2310921.zip" TargetMode="External"/><Relationship Id="rId1004" Type="http://schemas.openxmlformats.org/officeDocument/2006/relationships/hyperlink" Target="../Docs/R1-2311237.zip" TargetMode="External"/><Relationship Id="rId1211" Type="http://schemas.openxmlformats.org/officeDocument/2006/relationships/hyperlink" Target="../Docs/R1-2311465.zip" TargetMode="External"/><Relationship Id="rId1656" Type="http://schemas.openxmlformats.org/officeDocument/2006/relationships/hyperlink" Target="../Docs/R1-2311520.zip" TargetMode="External"/><Relationship Id="rId1863" Type="http://schemas.openxmlformats.org/officeDocument/2006/relationships/hyperlink" Target="../Docs/R1-2312405.zip" TargetMode="External"/><Relationship Id="rId2707" Type="http://schemas.openxmlformats.org/officeDocument/2006/relationships/hyperlink" Target="https://portal.3gpp.org/desktopmodules/Specifications/SpecificationDetails.aspx?specificationId=3212" TargetMode="External"/><Relationship Id="rId2914" Type="http://schemas.openxmlformats.org/officeDocument/2006/relationships/hyperlink" Target="../Docs/R1-2308559.zip" TargetMode="External"/><Relationship Id="rId1309" Type="http://schemas.openxmlformats.org/officeDocument/2006/relationships/hyperlink" Target="../Docs/R1-2311487.zip" TargetMode="External"/><Relationship Id="rId1516" Type="http://schemas.openxmlformats.org/officeDocument/2006/relationships/hyperlink" Target="../Docs/R1-2311770.zip" TargetMode="External"/><Relationship Id="rId1723" Type="http://schemas.openxmlformats.org/officeDocument/2006/relationships/hyperlink" Target="../Docs/R1-2312247.zip" TargetMode="External"/><Relationship Id="rId1930" Type="http://schemas.openxmlformats.org/officeDocument/2006/relationships/hyperlink" Target="../Docs/R1-2312415.zip" TargetMode="External"/><Relationship Id="rId15" Type="http://schemas.openxmlformats.org/officeDocument/2006/relationships/hyperlink" Target="../Docs/R1-2311260.zip" TargetMode="External"/><Relationship Id="rId2192" Type="http://schemas.openxmlformats.org/officeDocument/2006/relationships/hyperlink" Target="../Docs/R1-2311733.zip" TargetMode="External"/><Relationship Id="rId3036" Type="http://schemas.openxmlformats.org/officeDocument/2006/relationships/hyperlink" Target="../Docs/R1-2304279.zip" TargetMode="External"/><Relationship Id="rId164" Type="http://schemas.openxmlformats.org/officeDocument/2006/relationships/hyperlink" Target="../Docs/R1-2311468.zip" TargetMode="External"/><Relationship Id="rId371" Type="http://schemas.openxmlformats.org/officeDocument/2006/relationships/hyperlink" Target="../Docs/R1-2312118.zip" TargetMode="External"/><Relationship Id="rId2052" Type="http://schemas.openxmlformats.org/officeDocument/2006/relationships/hyperlink" Target="../Docs/R1-2312584.zip" TargetMode="External"/><Relationship Id="rId2497" Type="http://schemas.openxmlformats.org/officeDocument/2006/relationships/hyperlink" Target="https://portal.3gpp.org/desktopmodules/Specifications/SpecificationDetails.aspx?specificationId=3215" TargetMode="External"/><Relationship Id="rId469" Type="http://schemas.openxmlformats.org/officeDocument/2006/relationships/hyperlink" Target="../Docs/R1-2312323.zip" TargetMode="External"/><Relationship Id="rId676" Type="http://schemas.openxmlformats.org/officeDocument/2006/relationships/hyperlink" Target="../Docs/R1-2312163.zip" TargetMode="External"/><Relationship Id="rId883" Type="http://schemas.openxmlformats.org/officeDocument/2006/relationships/hyperlink" Target="../Docs/R1-2311616.zip" TargetMode="External"/><Relationship Id="rId1099" Type="http://schemas.openxmlformats.org/officeDocument/2006/relationships/hyperlink" Target="../Docs/R1-2312295.zip" TargetMode="External"/><Relationship Id="rId2357" Type="http://schemas.openxmlformats.org/officeDocument/2006/relationships/hyperlink" Target="https://portal.3gpp.org/desktopmodules/WorkItem/WorkItemDetails.aspx?workitemId=860140" TargetMode="External"/><Relationship Id="rId2564" Type="http://schemas.openxmlformats.org/officeDocument/2006/relationships/hyperlink" Target="https://portal.3gpp.org/desktopmodules/WorkItem/WorkItemDetails.aspx?workitemId=940197" TargetMode="External"/><Relationship Id="rId231" Type="http://schemas.openxmlformats.org/officeDocument/2006/relationships/hyperlink" Target="../Docs/R1-2311508.zip" TargetMode="External"/><Relationship Id="rId329" Type="http://schemas.openxmlformats.org/officeDocument/2006/relationships/hyperlink" Target="../Docs/R1-2312689.zip" TargetMode="External"/><Relationship Id="rId536" Type="http://schemas.openxmlformats.org/officeDocument/2006/relationships/hyperlink" Target="../Docs/R1-2312499.zip" TargetMode="External"/><Relationship Id="rId1166" Type="http://schemas.openxmlformats.org/officeDocument/2006/relationships/hyperlink" Target="../Docs/R1-2311598.zip" TargetMode="External"/><Relationship Id="rId1373" Type="http://schemas.openxmlformats.org/officeDocument/2006/relationships/hyperlink" Target="../Docs/R1-2312313.zip" TargetMode="External"/><Relationship Id="rId2217" Type="http://schemas.openxmlformats.org/officeDocument/2006/relationships/hyperlink" Target="../Docs/R1-2310934.zip" TargetMode="External"/><Relationship Id="rId2771" Type="http://schemas.openxmlformats.org/officeDocument/2006/relationships/hyperlink" Target="https://portal.3gpp.org/desktopmodules/WorkItem/WorkItemDetails.aspx?workitemId=940104" TargetMode="External"/><Relationship Id="rId2869" Type="http://schemas.openxmlformats.org/officeDocument/2006/relationships/hyperlink" Target="https://portal.3gpp.org/desktopmodules/Release/ReleaseDetails.aspx?releaseId=193" TargetMode="External"/><Relationship Id="rId743" Type="http://schemas.openxmlformats.org/officeDocument/2006/relationships/hyperlink" Target="../Docs/R1-2310827.zip" TargetMode="External"/><Relationship Id="rId950" Type="http://schemas.openxmlformats.org/officeDocument/2006/relationships/hyperlink" Target="../Docs/R1-2310926.zip" TargetMode="External"/><Relationship Id="rId1026" Type="http://schemas.openxmlformats.org/officeDocument/2006/relationships/hyperlink" Target="../Docs/R1-2312327.zip" TargetMode="External"/><Relationship Id="rId1580" Type="http://schemas.openxmlformats.org/officeDocument/2006/relationships/hyperlink" Target="../Docs/R1-2312622.zip" TargetMode="External"/><Relationship Id="rId1678" Type="http://schemas.openxmlformats.org/officeDocument/2006/relationships/hyperlink" Target="../Docs/R1-2311276.zip" TargetMode="External"/><Relationship Id="rId1885" Type="http://schemas.openxmlformats.org/officeDocument/2006/relationships/hyperlink" Target="../Docs/R1-2311573.zip" TargetMode="External"/><Relationship Id="rId2424" Type="http://schemas.openxmlformats.org/officeDocument/2006/relationships/hyperlink" Target="https://portal.3gpp.org/desktopmodules/WorkItem/WorkItemDetails.aspx?workitemId=920042" TargetMode="External"/><Relationship Id="rId2631" Type="http://schemas.openxmlformats.org/officeDocument/2006/relationships/hyperlink" Target="https://portal.3gpp.org/desktopmodules/Specifications/SpecificationDetails.aspx?specificationId=3216" TargetMode="External"/><Relationship Id="rId2729" Type="http://schemas.openxmlformats.org/officeDocument/2006/relationships/hyperlink" Target="https://portal.3gpp.org/desktopmodules/Release/ReleaseDetails.aspx?releaseId=193" TargetMode="External"/><Relationship Id="rId2936" Type="http://schemas.openxmlformats.org/officeDocument/2006/relationships/hyperlink" Target="../Docs/R1-2312709.zip" TargetMode="External"/><Relationship Id="rId603" Type="http://schemas.openxmlformats.org/officeDocument/2006/relationships/hyperlink" Target="../Docs/R1-2311309.zip" TargetMode="External"/><Relationship Id="rId810" Type="http://schemas.openxmlformats.org/officeDocument/2006/relationships/hyperlink" Target="../Docs/R1-2311793.zip" TargetMode="External"/><Relationship Id="rId908" Type="http://schemas.openxmlformats.org/officeDocument/2006/relationships/hyperlink" Target="../Docs/R1-2311422.zip" TargetMode="External"/><Relationship Id="rId1233" Type="http://schemas.openxmlformats.org/officeDocument/2006/relationships/hyperlink" Target="../Docs/R1-2310842.zip" TargetMode="External"/><Relationship Id="rId1440" Type="http://schemas.openxmlformats.org/officeDocument/2006/relationships/hyperlink" Target="../Docs/R1-2310972.zip" TargetMode="External"/><Relationship Id="rId1538" Type="http://schemas.openxmlformats.org/officeDocument/2006/relationships/hyperlink" Target="../Docs/R1-2311353.zip" TargetMode="External"/><Relationship Id="rId1300" Type="http://schemas.openxmlformats.org/officeDocument/2006/relationships/hyperlink" Target="../Docs/R1-2310993.zip" TargetMode="External"/><Relationship Id="rId1745" Type="http://schemas.openxmlformats.org/officeDocument/2006/relationships/hyperlink" Target="../Docs/R1-2311200.zip" TargetMode="External"/><Relationship Id="rId1952" Type="http://schemas.openxmlformats.org/officeDocument/2006/relationships/hyperlink" Target="../Docs/R1-2311205.zip" TargetMode="External"/><Relationship Id="rId37" Type="http://schemas.openxmlformats.org/officeDocument/2006/relationships/hyperlink" Target="../Docs/R1-2311471.zip" TargetMode="External"/><Relationship Id="rId1605" Type="http://schemas.openxmlformats.org/officeDocument/2006/relationships/hyperlink" Target="../Docs/R1-2312567.zip" TargetMode="External"/><Relationship Id="rId1812" Type="http://schemas.openxmlformats.org/officeDocument/2006/relationships/hyperlink" Target="../Docs/R1-2312054.zip" TargetMode="External"/><Relationship Id="rId186" Type="http://schemas.openxmlformats.org/officeDocument/2006/relationships/hyperlink" Target="../Docs/R1-2311131.zip" TargetMode="External"/><Relationship Id="rId393" Type="http://schemas.openxmlformats.org/officeDocument/2006/relationships/hyperlink" Target="../Docs/R1-2311666.zip" TargetMode="External"/><Relationship Id="rId2074" Type="http://schemas.openxmlformats.org/officeDocument/2006/relationships/hyperlink" Target="../Docs/R1-2312577.zip" TargetMode="External"/><Relationship Id="rId2281" Type="http://schemas.openxmlformats.org/officeDocument/2006/relationships/hyperlink" Target="https://www.3gpp.org/ftp/TSG_RAN/WG1_RL1/TSGR1_115/Docs/R1-2312481.zip" TargetMode="External"/><Relationship Id="rId253" Type="http://schemas.openxmlformats.org/officeDocument/2006/relationships/hyperlink" Target="../Docs/R1-2312308.zip" TargetMode="External"/><Relationship Id="rId460" Type="http://schemas.openxmlformats.org/officeDocument/2006/relationships/hyperlink" Target="../Docs/R1-2311082.zip" TargetMode="External"/><Relationship Id="rId698" Type="http://schemas.openxmlformats.org/officeDocument/2006/relationships/hyperlink" Target="../Docs/R1-2312648.zip" TargetMode="External"/><Relationship Id="rId1090" Type="http://schemas.openxmlformats.org/officeDocument/2006/relationships/hyperlink" Target="../Docs/R1-2311595.zip" TargetMode="External"/><Relationship Id="rId2141" Type="http://schemas.openxmlformats.org/officeDocument/2006/relationships/hyperlink" Target="../Docs/R1-2310898.zip" TargetMode="External"/><Relationship Id="rId2379" Type="http://schemas.openxmlformats.org/officeDocument/2006/relationships/hyperlink" Target="https://portal.3gpp.org/desktopmodules/Specifications/SpecificationDetails.aspx?specificationId=3216" TargetMode="External"/><Relationship Id="rId2586" Type="http://schemas.openxmlformats.org/officeDocument/2006/relationships/hyperlink" Target="https://portal.3gpp.org/desktopmodules/Release/ReleaseDetails.aspx?releaseId=193" TargetMode="External"/><Relationship Id="rId2793" Type="http://schemas.openxmlformats.org/officeDocument/2006/relationships/hyperlink" Target="https://portal.3gpp.org/desktopmodules/Release/ReleaseDetails.aspx?releaseId=192" TargetMode="External"/><Relationship Id="rId113" Type="http://schemas.openxmlformats.org/officeDocument/2006/relationships/hyperlink" Target="../Docs/R1-2311807.zip" TargetMode="External"/><Relationship Id="rId320" Type="http://schemas.openxmlformats.org/officeDocument/2006/relationships/hyperlink" Target="../Docs/R1-2312465.zip" TargetMode="External"/><Relationship Id="rId558" Type="http://schemas.openxmlformats.org/officeDocument/2006/relationships/hyperlink" Target="../Docs/R1-2312022.zip" TargetMode="External"/><Relationship Id="rId765" Type="http://schemas.openxmlformats.org/officeDocument/2006/relationships/hyperlink" Target="../Docs/R1-2311718.zip" TargetMode="External"/><Relationship Id="rId972" Type="http://schemas.openxmlformats.org/officeDocument/2006/relationships/hyperlink" Target="../Docs/R1-2311525.zip" TargetMode="External"/><Relationship Id="rId1188" Type="http://schemas.openxmlformats.org/officeDocument/2006/relationships/hyperlink" Target="../Docs/R1-2311343.zip" TargetMode="External"/><Relationship Id="rId1395" Type="http://schemas.openxmlformats.org/officeDocument/2006/relationships/image" Target="media/image75.png"/><Relationship Id="rId2001" Type="http://schemas.openxmlformats.org/officeDocument/2006/relationships/hyperlink" Target="../Docs/R1-2310825.zip" TargetMode="External"/><Relationship Id="rId2239" Type="http://schemas.openxmlformats.org/officeDocument/2006/relationships/hyperlink" Target="https://portal.3gpp.org/desktopmodules/Release/ReleaseDetails.aspx?releaseId=193" TargetMode="External"/><Relationship Id="rId2446" Type="http://schemas.openxmlformats.org/officeDocument/2006/relationships/hyperlink" Target="https://portal.3gpp.org/desktopmodules/WorkItem/WorkItemDetails.aspx?workitemId=830178" TargetMode="External"/><Relationship Id="rId2653" Type="http://schemas.openxmlformats.org/officeDocument/2006/relationships/hyperlink" Target="https://www.3gpp.org/ftp/TSG_RAN/WG1_RL1/TSGR1_115/Docs/R1-2312761.zip" TargetMode="External"/><Relationship Id="rId2860" Type="http://schemas.openxmlformats.org/officeDocument/2006/relationships/hyperlink" Target="https://portal.3gpp.org/desktopmodules/WorkItem/WorkItemDetails.aspx?workitemId=981138" TargetMode="External"/><Relationship Id="rId418" Type="http://schemas.openxmlformats.org/officeDocument/2006/relationships/hyperlink" Target="../Docs/R1-2312353.zip" TargetMode="External"/><Relationship Id="rId625" Type="http://schemas.openxmlformats.org/officeDocument/2006/relationships/hyperlink" Target="../Docs/R1-2312479.zip" TargetMode="External"/><Relationship Id="rId832" Type="http://schemas.openxmlformats.org/officeDocument/2006/relationships/hyperlink" Target="../Docs/R1-2311614.zip" TargetMode="External"/><Relationship Id="rId1048" Type="http://schemas.openxmlformats.org/officeDocument/2006/relationships/hyperlink" Target="../Docs/R1-2312259.zip" TargetMode="External"/><Relationship Id="rId1255" Type="http://schemas.openxmlformats.org/officeDocument/2006/relationships/hyperlink" Target="../Docs/R1-2312343.zip" TargetMode="External"/><Relationship Id="rId1462" Type="http://schemas.openxmlformats.org/officeDocument/2006/relationships/hyperlink" Target="../Docs/R1-2312044.zip" TargetMode="External"/><Relationship Id="rId2306" Type="http://schemas.openxmlformats.org/officeDocument/2006/relationships/hyperlink" Target="https://portal.3gpp.org/desktopmodules/Release/ReleaseDetails.aspx?releaseId=193" TargetMode="External"/><Relationship Id="rId2513" Type="http://schemas.openxmlformats.org/officeDocument/2006/relationships/hyperlink" Target="https://www.3gpp.org/ftp/TSG_RAN/WG1_RL1/TSGR1_115/Docs/R1-2312726.zip" TargetMode="External"/><Relationship Id="rId2958" Type="http://schemas.openxmlformats.org/officeDocument/2006/relationships/hyperlink" Target="../Docs/R1-2312734.zip" TargetMode="External"/><Relationship Id="rId1115" Type="http://schemas.openxmlformats.org/officeDocument/2006/relationships/hyperlink" Target="../Docs/R1-2311683.zip" TargetMode="External"/><Relationship Id="rId1322" Type="http://schemas.openxmlformats.org/officeDocument/2006/relationships/hyperlink" Target="../Docs/R1-2311980.zip" TargetMode="External"/><Relationship Id="rId1767" Type="http://schemas.openxmlformats.org/officeDocument/2006/relationships/hyperlink" Target="../Docs/R1-2310937.zip" TargetMode="External"/><Relationship Id="rId1974" Type="http://schemas.openxmlformats.org/officeDocument/2006/relationships/hyperlink" Target="../Docs/R1-2312569.zip" TargetMode="External"/><Relationship Id="rId2720" Type="http://schemas.openxmlformats.org/officeDocument/2006/relationships/hyperlink" Target="https://portal.3gpp.org/desktopmodules/WorkItem/WorkItemDetails.aspx?workitemId=940199" TargetMode="External"/><Relationship Id="rId2818" Type="http://schemas.openxmlformats.org/officeDocument/2006/relationships/hyperlink" Target="../Docs/R1-2310786.zip" TargetMode="External"/><Relationship Id="rId59" Type="http://schemas.openxmlformats.org/officeDocument/2006/relationships/hyperlink" Target="../Docs/R1-2312131.zip" TargetMode="External"/><Relationship Id="rId1627" Type="http://schemas.openxmlformats.org/officeDocument/2006/relationships/hyperlink" Target="../Docs/R1-2311386.zip" TargetMode="External"/><Relationship Id="rId1834" Type="http://schemas.openxmlformats.org/officeDocument/2006/relationships/hyperlink" Target="../Docs/R1-2311269.zip" TargetMode="External"/><Relationship Id="rId2096" Type="http://schemas.openxmlformats.org/officeDocument/2006/relationships/hyperlink" Target="../Docs/R1-2311033.zip" TargetMode="External"/><Relationship Id="rId1901" Type="http://schemas.openxmlformats.org/officeDocument/2006/relationships/hyperlink" Target="../Docs/R1-2312337.zip" TargetMode="External"/><Relationship Id="rId275" Type="http://schemas.openxmlformats.org/officeDocument/2006/relationships/hyperlink" Target="../Docs/R1-2311579.zip" TargetMode="External"/><Relationship Id="rId482" Type="http://schemas.openxmlformats.org/officeDocument/2006/relationships/hyperlink" Target="../Docs/R1-2312605.zip" TargetMode="External"/><Relationship Id="rId2163" Type="http://schemas.openxmlformats.org/officeDocument/2006/relationships/hyperlink" Target="../Docs/R1-2311903.zip" TargetMode="External"/><Relationship Id="rId2370" Type="http://schemas.openxmlformats.org/officeDocument/2006/relationships/hyperlink" Target="https://www.3gpp.org/ftp/TSG_RAN/WG1_RL1/TSGR1_115/Docs/R1-2312559.zip" TargetMode="External"/><Relationship Id="rId3007" Type="http://schemas.openxmlformats.org/officeDocument/2006/relationships/hyperlink" Target="../Docs/R1-2312747.zip" TargetMode="External"/><Relationship Id="rId135" Type="http://schemas.openxmlformats.org/officeDocument/2006/relationships/hyperlink" Target="../Docs/R1-2311209.zip" TargetMode="External"/><Relationship Id="rId342" Type="http://schemas.openxmlformats.org/officeDocument/2006/relationships/hyperlink" Target="../Docs/R1-2312226.zip" TargetMode="External"/><Relationship Id="rId787" Type="http://schemas.openxmlformats.org/officeDocument/2006/relationships/image" Target="media/image42.png"/><Relationship Id="rId994" Type="http://schemas.openxmlformats.org/officeDocument/2006/relationships/hyperlink" Target="../Docs/R1-2312252.zip" TargetMode="External"/><Relationship Id="rId2023" Type="http://schemas.openxmlformats.org/officeDocument/2006/relationships/hyperlink" Target="../Docs/R1-2311330.zip" TargetMode="External"/><Relationship Id="rId2230" Type="http://schemas.openxmlformats.org/officeDocument/2006/relationships/image" Target="media/image100.png"/><Relationship Id="rId2468" Type="http://schemas.openxmlformats.org/officeDocument/2006/relationships/hyperlink" Target="https://portal.3gpp.org/desktopmodules/Release/ReleaseDetails.aspx?releaseId=193" TargetMode="External"/><Relationship Id="rId2675" Type="http://schemas.openxmlformats.org/officeDocument/2006/relationships/hyperlink" Target="https://portal.3gpp.org/desktopmodules/Specifications/SpecificationDetails.aspx?specificationId=3214" TargetMode="External"/><Relationship Id="rId2882" Type="http://schemas.openxmlformats.org/officeDocument/2006/relationships/hyperlink" Target="https://portal.3gpp.org/desktopmodules/Release/ReleaseDetails.aspx?releaseId=193" TargetMode="External"/><Relationship Id="rId202" Type="http://schemas.openxmlformats.org/officeDocument/2006/relationships/hyperlink" Target="../Docs/R1-2312449.zip" TargetMode="External"/><Relationship Id="rId647" Type="http://schemas.openxmlformats.org/officeDocument/2006/relationships/hyperlink" Target="../Docs/R1-2312527.zip" TargetMode="External"/><Relationship Id="rId854" Type="http://schemas.openxmlformats.org/officeDocument/2006/relationships/hyperlink" Target="../Docs/R1-2311317.zip" TargetMode="External"/><Relationship Id="rId1277" Type="http://schemas.openxmlformats.org/officeDocument/2006/relationships/hyperlink" Target="../Docs/R1-2311541.zip" TargetMode="External"/><Relationship Id="rId1484" Type="http://schemas.openxmlformats.org/officeDocument/2006/relationships/hyperlink" Target="../Docs/R1-2311630.zip" TargetMode="External"/><Relationship Id="rId1691" Type="http://schemas.openxmlformats.org/officeDocument/2006/relationships/image" Target="media/image86.png"/><Relationship Id="rId2328" Type="http://schemas.openxmlformats.org/officeDocument/2006/relationships/hyperlink" Target="https://www.3gpp.org/ftp/TSG_RAN/WG1_RL1/TSGR1_115/Docs/R1-2312529.zip" TargetMode="External"/><Relationship Id="rId2535" Type="http://schemas.openxmlformats.org/officeDocument/2006/relationships/hyperlink" Target="https://portal.3gpp.org/desktopmodules/Specifications/SpecificationDetails.aspx?specificationId=3215" TargetMode="External"/><Relationship Id="rId2742" Type="http://schemas.openxmlformats.org/officeDocument/2006/relationships/hyperlink" Target="https://portal.3gpp.org/desktopmodules/WorkItem/WorkItemDetails.aspx?workitemId=981137" TargetMode="External"/><Relationship Id="rId507" Type="http://schemas.openxmlformats.org/officeDocument/2006/relationships/oleObject" Target="embeddings/oleObject12.bin"/><Relationship Id="rId714" Type="http://schemas.openxmlformats.org/officeDocument/2006/relationships/hyperlink" Target="../Docs/R1-2312687.zip" TargetMode="External"/><Relationship Id="rId921" Type="http://schemas.openxmlformats.org/officeDocument/2006/relationships/hyperlink" Target="../Docs/R1-2311973.zip" TargetMode="External"/><Relationship Id="rId1137" Type="http://schemas.openxmlformats.org/officeDocument/2006/relationships/hyperlink" Target="../Docs/R1-2311560.zip" TargetMode="External"/><Relationship Id="rId1344" Type="http://schemas.openxmlformats.org/officeDocument/2006/relationships/hyperlink" Target="../Docs/R1-2310864.zip" TargetMode="External"/><Relationship Id="rId1551" Type="http://schemas.openxmlformats.org/officeDocument/2006/relationships/hyperlink" Target="../Docs/R1-2311005.zip" TargetMode="External"/><Relationship Id="rId1789" Type="http://schemas.openxmlformats.org/officeDocument/2006/relationships/hyperlink" Target="../Docs/R1-2311180.zip" TargetMode="External"/><Relationship Id="rId1996" Type="http://schemas.openxmlformats.org/officeDocument/2006/relationships/hyperlink" Target="../Docs/R1-2311974.zip" TargetMode="External"/><Relationship Id="rId2602" Type="http://schemas.openxmlformats.org/officeDocument/2006/relationships/hyperlink" Target="https://portal.3gpp.org/desktopmodules/Release/ReleaseDetails.aspx?releaseId=193" TargetMode="External"/><Relationship Id="rId50" Type="http://schemas.openxmlformats.org/officeDocument/2006/relationships/hyperlink" Target="../Docs/R1-2308644.zip" TargetMode="External"/><Relationship Id="rId1204" Type="http://schemas.openxmlformats.org/officeDocument/2006/relationships/hyperlink" Target="../Docs/R1-2311145.zip" TargetMode="External"/><Relationship Id="rId1411" Type="http://schemas.openxmlformats.org/officeDocument/2006/relationships/hyperlink" Target="../Docs/R1-2311489.zip" TargetMode="External"/><Relationship Id="rId1649" Type="http://schemas.openxmlformats.org/officeDocument/2006/relationships/hyperlink" Target="../Docs/R1-2311046.zip" TargetMode="External"/><Relationship Id="rId1856" Type="http://schemas.openxmlformats.org/officeDocument/2006/relationships/hyperlink" Target="../Docs/R1-2312090.zip" TargetMode="External"/><Relationship Id="rId2907" Type="http://schemas.openxmlformats.org/officeDocument/2006/relationships/hyperlink" Target="https://portal.3gpp.org/desktopmodules/WorkItem/WorkItemDetails.aspx?workitemId=940196" TargetMode="External"/><Relationship Id="rId1509" Type="http://schemas.openxmlformats.org/officeDocument/2006/relationships/hyperlink" Target="../Docs/R1-2311526.zip" TargetMode="External"/><Relationship Id="rId1716" Type="http://schemas.openxmlformats.org/officeDocument/2006/relationships/hyperlink" Target="../Docs/R1-2311312.zip" TargetMode="External"/><Relationship Id="rId1923" Type="http://schemas.openxmlformats.org/officeDocument/2006/relationships/image" Target="media/image98.png"/><Relationship Id="rId297" Type="http://schemas.openxmlformats.org/officeDocument/2006/relationships/oleObject" Target="embeddings/oleObject5.bin"/><Relationship Id="rId2185" Type="http://schemas.openxmlformats.org/officeDocument/2006/relationships/hyperlink" Target="../Docs/R1-2310915.zip" TargetMode="External"/><Relationship Id="rId2392" Type="http://schemas.openxmlformats.org/officeDocument/2006/relationships/hyperlink" Target="https://portal.3gpp.org/desktopmodules/WorkItem/WorkItemDetails.aspx?workitemId=830174" TargetMode="External"/><Relationship Id="rId3029" Type="http://schemas.openxmlformats.org/officeDocument/2006/relationships/hyperlink" Target="../Docs/R1-2312766.zip" TargetMode="External"/><Relationship Id="rId157" Type="http://schemas.openxmlformats.org/officeDocument/2006/relationships/hyperlink" Target="../Docs/R1-2312238.zip" TargetMode="External"/><Relationship Id="rId364" Type="http://schemas.openxmlformats.org/officeDocument/2006/relationships/hyperlink" Target="../Docs/R1-2312020.zip" TargetMode="External"/><Relationship Id="rId2045" Type="http://schemas.openxmlformats.org/officeDocument/2006/relationships/hyperlink" Target="../Docs/R1-2311556.zip" TargetMode="External"/><Relationship Id="rId2697" Type="http://schemas.openxmlformats.org/officeDocument/2006/relationships/hyperlink" Target="https://www.3gpp.org/ftp/TSG_RAN/WG1_RL1/TSGR1_115/Docs/R1-2312794.zip" TargetMode="External"/><Relationship Id="rId571" Type="http://schemas.openxmlformats.org/officeDocument/2006/relationships/hyperlink" Target="../Docs/R1-2311303.zip" TargetMode="External"/><Relationship Id="rId669" Type="http://schemas.openxmlformats.org/officeDocument/2006/relationships/hyperlink" Target="../Docs/R1-2312520.zip" TargetMode="External"/><Relationship Id="rId876" Type="http://schemas.openxmlformats.org/officeDocument/2006/relationships/hyperlink" Target="../Docs/R1-2311087.zip" TargetMode="External"/><Relationship Id="rId1299" Type="http://schemas.openxmlformats.org/officeDocument/2006/relationships/hyperlink" Target="../Docs/R1-2310985.zip" TargetMode="External"/><Relationship Id="rId2252" Type="http://schemas.openxmlformats.org/officeDocument/2006/relationships/hyperlink" Target="https://portal.3gpp.org/desktopmodules/WorkItem/WorkItemDetails.aspx?workitemId=860140" TargetMode="External"/><Relationship Id="rId2557" Type="http://schemas.openxmlformats.org/officeDocument/2006/relationships/hyperlink" Target="https://www.3gpp.org/ftp/TSG_RAN/WG1_RL1/TSGR1_115/Docs/R1-2312737.zip" TargetMode="External"/><Relationship Id="rId224" Type="http://schemas.openxmlformats.org/officeDocument/2006/relationships/hyperlink" Target="../Docs/R1-2312011.zip" TargetMode="External"/><Relationship Id="rId431" Type="http://schemas.openxmlformats.org/officeDocument/2006/relationships/hyperlink" Target="../Docs/R1-2311580.zip" TargetMode="External"/><Relationship Id="rId529" Type="http://schemas.openxmlformats.org/officeDocument/2006/relationships/oleObject" Target="embeddings/oleObject21.bin"/><Relationship Id="rId736" Type="http://schemas.openxmlformats.org/officeDocument/2006/relationships/hyperlink" Target="../Docs/R1-2312369.zip" TargetMode="External"/><Relationship Id="rId1061" Type="http://schemas.openxmlformats.org/officeDocument/2006/relationships/hyperlink" Target="../Docs/R1-2311840.zip" TargetMode="External"/><Relationship Id="rId1159" Type="http://schemas.openxmlformats.org/officeDocument/2006/relationships/hyperlink" Target="../Docs/R1-2311097.zip" TargetMode="External"/><Relationship Id="rId1366" Type="http://schemas.openxmlformats.org/officeDocument/2006/relationships/hyperlink" Target="../Docs/R1-2311896.zip" TargetMode="External"/><Relationship Id="rId2112" Type="http://schemas.openxmlformats.org/officeDocument/2006/relationships/hyperlink" Target="../Docs/R1-2311136.zip" TargetMode="External"/><Relationship Id="rId2417" Type="http://schemas.openxmlformats.org/officeDocument/2006/relationships/hyperlink" Target="https://www.3gpp.org/ftp/TSG_RAN/WG1_RL1/TSGR1_115/Docs/R1-2312637.zip" TargetMode="External"/><Relationship Id="rId2764" Type="http://schemas.openxmlformats.org/officeDocument/2006/relationships/hyperlink" Target="https://www.3gpp.org/ftp/TSG_RAN/WG1_RL1/TSGR1_115/Docs/R1-2312553.zip" TargetMode="External"/><Relationship Id="rId2971" Type="http://schemas.openxmlformats.org/officeDocument/2006/relationships/hyperlink" Target="../Docs/R1-2312798.zip" TargetMode="External"/><Relationship Id="rId943" Type="http://schemas.openxmlformats.org/officeDocument/2006/relationships/hyperlink" Target="../Docs/R1-2311727.zip" TargetMode="External"/><Relationship Id="rId1019" Type="http://schemas.openxmlformats.org/officeDocument/2006/relationships/hyperlink" Target="../Docs/R1-2312032.zip" TargetMode="External"/><Relationship Id="rId1573" Type="http://schemas.openxmlformats.org/officeDocument/2006/relationships/hyperlink" Target="../Docs/R1-2311922.zip" TargetMode="External"/><Relationship Id="rId1780" Type="http://schemas.openxmlformats.org/officeDocument/2006/relationships/hyperlink" Target="../Docs/R1-2312258.zip" TargetMode="External"/><Relationship Id="rId1878" Type="http://schemas.openxmlformats.org/officeDocument/2006/relationships/hyperlink" Target="../Docs/R1-2311437.zip" TargetMode="External"/><Relationship Id="rId2624" Type="http://schemas.openxmlformats.org/officeDocument/2006/relationships/hyperlink" Target="https://portal.3gpp.org/desktopmodules/WorkItem/WorkItemDetails.aspx?workitemId=940196" TargetMode="External"/><Relationship Id="rId2831" Type="http://schemas.openxmlformats.org/officeDocument/2006/relationships/hyperlink" Target="https://portal.3gpp.org/desktopmodules/WorkItem/WorkItemDetails.aspx?workitemId=981138" TargetMode="External"/><Relationship Id="rId2929" Type="http://schemas.openxmlformats.org/officeDocument/2006/relationships/hyperlink" Target="../Docs/R1-2312705.zip" TargetMode="External"/><Relationship Id="rId72" Type="http://schemas.openxmlformats.org/officeDocument/2006/relationships/hyperlink" Target="../Docs/R1-2312216.zip" TargetMode="External"/><Relationship Id="rId803" Type="http://schemas.openxmlformats.org/officeDocument/2006/relationships/hyperlink" Target="../Docs/R1-2311433.zip" TargetMode="External"/><Relationship Id="rId1226" Type="http://schemas.openxmlformats.org/officeDocument/2006/relationships/hyperlink" Target="../Docs/R1-2311464.zip" TargetMode="External"/><Relationship Id="rId1433" Type="http://schemas.openxmlformats.org/officeDocument/2006/relationships/hyperlink" Target="../Docs/R1-2312442.zip" TargetMode="External"/><Relationship Id="rId1640" Type="http://schemas.openxmlformats.org/officeDocument/2006/relationships/hyperlink" Target="../Docs/R1-2311031.zip" TargetMode="External"/><Relationship Id="rId1738" Type="http://schemas.openxmlformats.org/officeDocument/2006/relationships/hyperlink" Target="../Docs/R1-2312051.zip" TargetMode="External"/><Relationship Id="rId1500" Type="http://schemas.openxmlformats.org/officeDocument/2006/relationships/hyperlink" Target="../Docs/R1-2311107.zip" TargetMode="External"/><Relationship Id="rId1945" Type="http://schemas.openxmlformats.org/officeDocument/2006/relationships/hyperlink" Target="../Docs/R1-2312139.zip" TargetMode="External"/><Relationship Id="rId1805" Type="http://schemas.openxmlformats.org/officeDocument/2006/relationships/hyperlink" Target="../Docs/R1-2311512.zip" TargetMode="External"/><Relationship Id="rId3020" Type="http://schemas.openxmlformats.org/officeDocument/2006/relationships/hyperlink" Target="../Docs/R1-2312761.zip" TargetMode="External"/><Relationship Id="rId179" Type="http://schemas.openxmlformats.org/officeDocument/2006/relationships/hyperlink" Target="../Docs/R1-2311956.zip" TargetMode="External"/><Relationship Id="rId386" Type="http://schemas.openxmlformats.org/officeDocument/2006/relationships/hyperlink" Target="../Docs/R1-2312201.zip" TargetMode="External"/><Relationship Id="rId593" Type="http://schemas.openxmlformats.org/officeDocument/2006/relationships/hyperlink" Target="../Docs/R1-2311018.zip" TargetMode="External"/><Relationship Id="rId2067" Type="http://schemas.openxmlformats.org/officeDocument/2006/relationships/hyperlink" Target="../Docs/R1-2311710.zip" TargetMode="External"/><Relationship Id="rId2274" Type="http://schemas.openxmlformats.org/officeDocument/2006/relationships/hyperlink" Target="https://portal.3gpp.org/desktopmodules/Release/ReleaseDetails.aspx?releaseId=192" TargetMode="External"/><Relationship Id="rId2481" Type="http://schemas.openxmlformats.org/officeDocument/2006/relationships/hyperlink" Target="https://portal.3gpp.org/desktopmodules/Specifications/SpecificationDetails.aspx?specificationId=3215" TargetMode="External"/><Relationship Id="rId246" Type="http://schemas.openxmlformats.org/officeDocument/2006/relationships/hyperlink" Target="../Docs/R1-2312494.zip" TargetMode="External"/><Relationship Id="rId453" Type="http://schemas.openxmlformats.org/officeDocument/2006/relationships/hyperlink" Target="../Docs/R1-2311611.zip" TargetMode="External"/><Relationship Id="rId660" Type="http://schemas.openxmlformats.org/officeDocument/2006/relationships/hyperlink" Target="../Docs/R1-2312276.zip" TargetMode="External"/><Relationship Id="rId898" Type="http://schemas.openxmlformats.org/officeDocument/2006/relationships/hyperlink" Target="../Docs/R1-2310871.zip" TargetMode="External"/><Relationship Id="rId1083" Type="http://schemas.openxmlformats.org/officeDocument/2006/relationships/hyperlink" Target="../Docs/R1-2311163.zip" TargetMode="External"/><Relationship Id="rId1290" Type="http://schemas.openxmlformats.org/officeDocument/2006/relationships/hyperlink" Target="../Docs/R1-2312167.zip" TargetMode="External"/><Relationship Id="rId2134" Type="http://schemas.openxmlformats.org/officeDocument/2006/relationships/hyperlink" Target="../Docs/R1-2311335.zip" TargetMode="External"/><Relationship Id="rId2341" Type="http://schemas.openxmlformats.org/officeDocument/2006/relationships/hyperlink" Target="https://portal.3gpp.org/desktopmodules/WorkItem/WorkItemDetails.aspx?workitemId=860147" TargetMode="External"/><Relationship Id="rId2579" Type="http://schemas.openxmlformats.org/officeDocument/2006/relationships/hyperlink" Target="https://portal.3gpp.org/desktopmodules/Specifications/SpecificationDetails.aspx?specificationId=3214" TargetMode="External"/><Relationship Id="rId2786" Type="http://schemas.openxmlformats.org/officeDocument/2006/relationships/hyperlink" Target="https://www.3gpp.org/ftp/TSG_RAN/WG1_RL1/TSGR1_115/Docs/R1-2312641.zip" TargetMode="External"/><Relationship Id="rId2993" Type="http://schemas.openxmlformats.org/officeDocument/2006/relationships/hyperlink" Target="../Docs/R1-2312768.zip"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E1DCEEC-EDAA-4DE4-A59D-1D2A80D3E39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661</TotalTime>
  <Pages>186</Pages>
  <Words>124652</Words>
  <Characters>710518</Characters>
  <Application>Microsoft Office Word</Application>
  <DocSecurity>0</DocSecurity>
  <Lines>5920</Lines>
  <Paragraphs>1667</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RAN1#90bis</vt:lpstr>
      <vt:lpstr>RAN1#90bis</vt:lpstr>
    </vt:vector>
  </TitlesOfParts>
  <Company>ETSI</Company>
  <LinksUpToDate>false</LinksUpToDate>
  <CharactersWithSpaces>833503</CharactersWithSpaces>
  <SharedDoc>false</SharedDoc>
  <HLinks>
    <vt:vector size="8130" baseType="variant">
      <vt:variant>
        <vt:i4>4653059</vt:i4>
      </vt:variant>
      <vt:variant>
        <vt:i4>4446</vt:i4>
      </vt:variant>
      <vt:variant>
        <vt:i4>0</vt:i4>
      </vt:variant>
      <vt:variant>
        <vt:i4>5</vt:i4>
      </vt:variant>
      <vt:variant>
        <vt:lpwstr>../Docs/R1-136008.zip</vt:lpwstr>
      </vt:variant>
      <vt:variant>
        <vt:lpwstr/>
      </vt:variant>
      <vt:variant>
        <vt:i4>4587530</vt:i4>
      </vt:variant>
      <vt:variant>
        <vt:i4>4443</vt:i4>
      </vt:variant>
      <vt:variant>
        <vt:i4>0</vt:i4>
      </vt:variant>
      <vt:variant>
        <vt:i4>5</vt:i4>
      </vt:variant>
      <vt:variant>
        <vt:lpwstr>../Docs/R1-136011.zip</vt:lpwstr>
      </vt:variant>
      <vt:variant>
        <vt:lpwstr/>
      </vt:variant>
      <vt:variant>
        <vt:i4>4259843</vt:i4>
      </vt:variant>
      <vt:variant>
        <vt:i4>4440</vt:i4>
      </vt:variant>
      <vt:variant>
        <vt:i4>0</vt:i4>
      </vt:variant>
      <vt:variant>
        <vt:i4>5</vt:i4>
      </vt:variant>
      <vt:variant>
        <vt:lpwstr>../Docs/R1-135951.zip</vt:lpwstr>
      </vt:variant>
      <vt:variant>
        <vt:lpwstr/>
      </vt:variant>
      <vt:variant>
        <vt:i4>4456461</vt:i4>
      </vt:variant>
      <vt:variant>
        <vt:i4>4437</vt:i4>
      </vt:variant>
      <vt:variant>
        <vt:i4>0</vt:i4>
      </vt:variant>
      <vt:variant>
        <vt:i4>5</vt:i4>
      </vt:variant>
      <vt:variant>
        <vt:lpwstr>../Docs/R1-136036.zip</vt:lpwstr>
      </vt:variant>
      <vt:variant>
        <vt:lpwstr/>
      </vt:variant>
      <vt:variant>
        <vt:i4>4521994</vt:i4>
      </vt:variant>
      <vt:variant>
        <vt:i4>4434</vt:i4>
      </vt:variant>
      <vt:variant>
        <vt:i4>0</vt:i4>
      </vt:variant>
      <vt:variant>
        <vt:i4>5</vt:i4>
      </vt:variant>
      <vt:variant>
        <vt:lpwstr>../Docs/R1-136021.zip</vt:lpwstr>
      </vt:variant>
      <vt:variant>
        <vt:lpwstr/>
      </vt:variant>
      <vt:variant>
        <vt:i4>4325388</vt:i4>
      </vt:variant>
      <vt:variant>
        <vt:i4>4431</vt:i4>
      </vt:variant>
      <vt:variant>
        <vt:i4>0</vt:i4>
      </vt:variant>
      <vt:variant>
        <vt:i4>5</vt:i4>
      </vt:variant>
      <vt:variant>
        <vt:lpwstr>../Docs/R1-136057.zip</vt:lpwstr>
      </vt:variant>
      <vt:variant>
        <vt:lpwstr/>
      </vt:variant>
      <vt:variant>
        <vt:i4>4325388</vt:i4>
      </vt:variant>
      <vt:variant>
        <vt:i4>4428</vt:i4>
      </vt:variant>
      <vt:variant>
        <vt:i4>0</vt:i4>
      </vt:variant>
      <vt:variant>
        <vt:i4>5</vt:i4>
      </vt:variant>
      <vt:variant>
        <vt:lpwstr>../Docs/R1-136057.zip</vt:lpwstr>
      </vt:variant>
      <vt:variant>
        <vt:lpwstr/>
      </vt:variant>
      <vt:variant>
        <vt:i4>4194305</vt:i4>
      </vt:variant>
      <vt:variant>
        <vt:i4>4425</vt:i4>
      </vt:variant>
      <vt:variant>
        <vt:i4>0</vt:i4>
      </vt:variant>
      <vt:variant>
        <vt:i4>5</vt:i4>
      </vt:variant>
      <vt:variant>
        <vt:lpwstr>../Docs/R1-135943.zip</vt:lpwstr>
      </vt:variant>
      <vt:variant>
        <vt:lpwstr/>
      </vt:variant>
      <vt:variant>
        <vt:i4>4653069</vt:i4>
      </vt:variant>
      <vt:variant>
        <vt:i4>4422</vt:i4>
      </vt:variant>
      <vt:variant>
        <vt:i4>0</vt:i4>
      </vt:variant>
      <vt:variant>
        <vt:i4>5</vt:i4>
      </vt:variant>
      <vt:variant>
        <vt:lpwstr>../Docs/R1-136006.zip</vt:lpwstr>
      </vt:variant>
      <vt:variant>
        <vt:lpwstr/>
      </vt:variant>
      <vt:variant>
        <vt:i4>4521998</vt:i4>
      </vt:variant>
      <vt:variant>
        <vt:i4>4419</vt:i4>
      </vt:variant>
      <vt:variant>
        <vt:i4>0</vt:i4>
      </vt:variant>
      <vt:variant>
        <vt:i4>5</vt:i4>
      </vt:variant>
      <vt:variant>
        <vt:lpwstr>../Docs/R1-136025.zip</vt:lpwstr>
      </vt:variant>
      <vt:variant>
        <vt:lpwstr/>
      </vt:variant>
      <vt:variant>
        <vt:i4>5177352</vt:i4>
      </vt:variant>
      <vt:variant>
        <vt:i4>4416</vt:i4>
      </vt:variant>
      <vt:variant>
        <vt:i4>0</vt:i4>
      </vt:variant>
      <vt:variant>
        <vt:i4>5</vt:i4>
      </vt:variant>
      <vt:variant>
        <vt:lpwstr>../Docs/R1-136083.zip</vt:lpwstr>
      </vt:variant>
      <vt:variant>
        <vt:lpwstr/>
      </vt:variant>
      <vt:variant>
        <vt:i4>5177353</vt:i4>
      </vt:variant>
      <vt:variant>
        <vt:i4>4413</vt:i4>
      </vt:variant>
      <vt:variant>
        <vt:i4>0</vt:i4>
      </vt:variant>
      <vt:variant>
        <vt:i4>5</vt:i4>
      </vt:variant>
      <vt:variant>
        <vt:lpwstr>../Docs/R1-136082.zip</vt:lpwstr>
      </vt:variant>
      <vt:variant>
        <vt:lpwstr/>
      </vt:variant>
      <vt:variant>
        <vt:i4>5177353</vt:i4>
      </vt:variant>
      <vt:variant>
        <vt:i4>4410</vt:i4>
      </vt:variant>
      <vt:variant>
        <vt:i4>0</vt:i4>
      </vt:variant>
      <vt:variant>
        <vt:i4>5</vt:i4>
      </vt:variant>
      <vt:variant>
        <vt:lpwstr>../Docs/R1-136082.zip</vt:lpwstr>
      </vt:variant>
      <vt:variant>
        <vt:lpwstr/>
      </vt:variant>
      <vt:variant>
        <vt:i4>5177355</vt:i4>
      </vt:variant>
      <vt:variant>
        <vt:i4>4407</vt:i4>
      </vt:variant>
      <vt:variant>
        <vt:i4>0</vt:i4>
      </vt:variant>
      <vt:variant>
        <vt:i4>5</vt:i4>
      </vt:variant>
      <vt:variant>
        <vt:lpwstr>../Docs/R1-136080.zip</vt:lpwstr>
      </vt:variant>
      <vt:variant>
        <vt:lpwstr/>
      </vt:variant>
      <vt:variant>
        <vt:i4>5046282</vt:i4>
      </vt:variant>
      <vt:variant>
        <vt:i4>4404</vt:i4>
      </vt:variant>
      <vt:variant>
        <vt:i4>0</vt:i4>
      </vt:variant>
      <vt:variant>
        <vt:i4>5</vt:i4>
      </vt:variant>
      <vt:variant>
        <vt:lpwstr>../Docs/R1-135998.zip</vt:lpwstr>
      </vt:variant>
      <vt:variant>
        <vt:lpwstr/>
      </vt:variant>
      <vt:variant>
        <vt:i4>4521986</vt:i4>
      </vt:variant>
      <vt:variant>
        <vt:i4>4401</vt:i4>
      </vt:variant>
      <vt:variant>
        <vt:i4>0</vt:i4>
      </vt:variant>
      <vt:variant>
        <vt:i4>5</vt:i4>
      </vt:variant>
      <vt:variant>
        <vt:lpwstr>../Docs/R1-135910.zip</vt:lpwstr>
      </vt:variant>
      <vt:variant>
        <vt:lpwstr/>
      </vt:variant>
      <vt:variant>
        <vt:i4>4390925</vt:i4>
      </vt:variant>
      <vt:variant>
        <vt:i4>4398</vt:i4>
      </vt:variant>
      <vt:variant>
        <vt:i4>0</vt:i4>
      </vt:variant>
      <vt:variant>
        <vt:i4>5</vt:i4>
      </vt:variant>
      <vt:variant>
        <vt:lpwstr>../Docs/R1-136046.zip</vt:lpwstr>
      </vt:variant>
      <vt:variant>
        <vt:lpwstr/>
      </vt:variant>
      <vt:variant>
        <vt:i4>4390925</vt:i4>
      </vt:variant>
      <vt:variant>
        <vt:i4>4395</vt:i4>
      </vt:variant>
      <vt:variant>
        <vt:i4>0</vt:i4>
      </vt:variant>
      <vt:variant>
        <vt:i4>5</vt:i4>
      </vt:variant>
      <vt:variant>
        <vt:lpwstr>../Docs/R1-136046.zip</vt:lpwstr>
      </vt:variant>
      <vt:variant>
        <vt:lpwstr/>
      </vt:variant>
      <vt:variant>
        <vt:i4>4390927</vt:i4>
      </vt:variant>
      <vt:variant>
        <vt:i4>4392</vt:i4>
      </vt:variant>
      <vt:variant>
        <vt:i4>0</vt:i4>
      </vt:variant>
      <vt:variant>
        <vt:i4>5</vt:i4>
      </vt:variant>
      <vt:variant>
        <vt:lpwstr>../Docs/R1-136044.zip</vt:lpwstr>
      </vt:variant>
      <vt:variant>
        <vt:lpwstr/>
      </vt:variant>
      <vt:variant>
        <vt:i4>4390921</vt:i4>
      </vt:variant>
      <vt:variant>
        <vt:i4>4389</vt:i4>
      </vt:variant>
      <vt:variant>
        <vt:i4>0</vt:i4>
      </vt:variant>
      <vt:variant>
        <vt:i4>5</vt:i4>
      </vt:variant>
      <vt:variant>
        <vt:lpwstr>../Docs/R1-136042.zip</vt:lpwstr>
      </vt:variant>
      <vt:variant>
        <vt:lpwstr/>
      </vt:variant>
      <vt:variant>
        <vt:i4>4390920</vt:i4>
      </vt:variant>
      <vt:variant>
        <vt:i4>4386</vt:i4>
      </vt:variant>
      <vt:variant>
        <vt:i4>0</vt:i4>
      </vt:variant>
      <vt:variant>
        <vt:i4>5</vt:i4>
      </vt:variant>
      <vt:variant>
        <vt:lpwstr>../Docs/R1-136043.zip</vt:lpwstr>
      </vt:variant>
      <vt:variant>
        <vt:lpwstr/>
      </vt:variant>
      <vt:variant>
        <vt:i4>4587527</vt:i4>
      </vt:variant>
      <vt:variant>
        <vt:i4>4383</vt:i4>
      </vt:variant>
      <vt:variant>
        <vt:i4>0</vt:i4>
      </vt:variant>
      <vt:variant>
        <vt:i4>5</vt:i4>
      </vt:variant>
      <vt:variant>
        <vt:lpwstr>../Docs/R1-135925.zip</vt:lpwstr>
      </vt:variant>
      <vt:variant>
        <vt:lpwstr/>
      </vt:variant>
      <vt:variant>
        <vt:i4>4587524</vt:i4>
      </vt:variant>
      <vt:variant>
        <vt:i4>4380</vt:i4>
      </vt:variant>
      <vt:variant>
        <vt:i4>0</vt:i4>
      </vt:variant>
      <vt:variant>
        <vt:i4>5</vt:i4>
      </vt:variant>
      <vt:variant>
        <vt:lpwstr>../Docs/R1-135926.zip</vt:lpwstr>
      </vt:variant>
      <vt:variant>
        <vt:lpwstr/>
      </vt:variant>
      <vt:variant>
        <vt:i4>5046274</vt:i4>
      </vt:variant>
      <vt:variant>
        <vt:i4>4377</vt:i4>
      </vt:variant>
      <vt:variant>
        <vt:i4>0</vt:i4>
      </vt:variant>
      <vt:variant>
        <vt:i4>5</vt:i4>
      </vt:variant>
      <vt:variant>
        <vt:lpwstr>../Docs/R1-135990.zip</vt:lpwstr>
      </vt:variant>
      <vt:variant>
        <vt:lpwstr/>
      </vt:variant>
      <vt:variant>
        <vt:i4>5046277</vt:i4>
      </vt:variant>
      <vt:variant>
        <vt:i4>4374</vt:i4>
      </vt:variant>
      <vt:variant>
        <vt:i4>0</vt:i4>
      </vt:variant>
      <vt:variant>
        <vt:i4>5</vt:i4>
      </vt:variant>
      <vt:variant>
        <vt:lpwstr>../Docs/R1-135997.zip</vt:lpwstr>
      </vt:variant>
      <vt:variant>
        <vt:lpwstr/>
      </vt:variant>
      <vt:variant>
        <vt:i4>4980746</vt:i4>
      </vt:variant>
      <vt:variant>
        <vt:i4>4371</vt:i4>
      </vt:variant>
      <vt:variant>
        <vt:i4>0</vt:i4>
      </vt:variant>
      <vt:variant>
        <vt:i4>5</vt:i4>
      </vt:variant>
      <vt:variant>
        <vt:lpwstr>../Docs/R1-135786.zip</vt:lpwstr>
      </vt:variant>
      <vt:variant>
        <vt:lpwstr/>
      </vt:variant>
      <vt:variant>
        <vt:i4>4980745</vt:i4>
      </vt:variant>
      <vt:variant>
        <vt:i4>4368</vt:i4>
      </vt:variant>
      <vt:variant>
        <vt:i4>0</vt:i4>
      </vt:variant>
      <vt:variant>
        <vt:i4>5</vt:i4>
      </vt:variant>
      <vt:variant>
        <vt:lpwstr>../Docs/R1-135785.zip</vt:lpwstr>
      </vt:variant>
      <vt:variant>
        <vt:lpwstr/>
      </vt:variant>
      <vt:variant>
        <vt:i4>4980747</vt:i4>
      </vt:variant>
      <vt:variant>
        <vt:i4>4365</vt:i4>
      </vt:variant>
      <vt:variant>
        <vt:i4>0</vt:i4>
      </vt:variant>
      <vt:variant>
        <vt:i4>5</vt:i4>
      </vt:variant>
      <vt:variant>
        <vt:lpwstr>../Docs/R1-135989.zip</vt:lpwstr>
      </vt:variant>
      <vt:variant>
        <vt:lpwstr/>
      </vt:variant>
      <vt:variant>
        <vt:i4>5046276</vt:i4>
      </vt:variant>
      <vt:variant>
        <vt:i4>4362</vt:i4>
      </vt:variant>
      <vt:variant>
        <vt:i4>0</vt:i4>
      </vt:variant>
      <vt:variant>
        <vt:i4>5</vt:i4>
      </vt:variant>
      <vt:variant>
        <vt:lpwstr>../Docs/R1-135996.zip</vt:lpwstr>
      </vt:variant>
      <vt:variant>
        <vt:lpwstr/>
      </vt:variant>
      <vt:variant>
        <vt:i4>5046285</vt:i4>
      </vt:variant>
      <vt:variant>
        <vt:i4>4359</vt:i4>
      </vt:variant>
      <vt:variant>
        <vt:i4>0</vt:i4>
      </vt:variant>
      <vt:variant>
        <vt:i4>5</vt:i4>
      </vt:variant>
      <vt:variant>
        <vt:lpwstr>../Docs/R1-135690.zip</vt:lpwstr>
      </vt:variant>
      <vt:variant>
        <vt:lpwstr/>
      </vt:variant>
      <vt:variant>
        <vt:i4>4194314</vt:i4>
      </vt:variant>
      <vt:variant>
        <vt:i4>4356</vt:i4>
      </vt:variant>
      <vt:variant>
        <vt:i4>0</vt:i4>
      </vt:variant>
      <vt:variant>
        <vt:i4>5</vt:i4>
      </vt:variant>
      <vt:variant>
        <vt:lpwstr>../Docs/R1-135849.zip</vt:lpwstr>
      </vt:variant>
      <vt:variant>
        <vt:lpwstr/>
      </vt:variant>
      <vt:variant>
        <vt:i4>4325390</vt:i4>
      </vt:variant>
      <vt:variant>
        <vt:i4>4353</vt:i4>
      </vt:variant>
      <vt:variant>
        <vt:i4>0</vt:i4>
      </vt:variant>
      <vt:variant>
        <vt:i4>5</vt:i4>
      </vt:variant>
      <vt:variant>
        <vt:lpwstr>../Docs/R1-136055.zip</vt:lpwstr>
      </vt:variant>
      <vt:variant>
        <vt:lpwstr/>
      </vt:variant>
      <vt:variant>
        <vt:i4>4259854</vt:i4>
      </vt:variant>
      <vt:variant>
        <vt:i4>4350</vt:i4>
      </vt:variant>
      <vt:variant>
        <vt:i4>0</vt:i4>
      </vt:variant>
      <vt:variant>
        <vt:i4>5</vt:i4>
      </vt:variant>
      <vt:variant>
        <vt:lpwstr>../Docs/R1-136065.zip</vt:lpwstr>
      </vt:variant>
      <vt:variant>
        <vt:lpwstr/>
      </vt:variant>
      <vt:variant>
        <vt:i4>4325383</vt:i4>
      </vt:variant>
      <vt:variant>
        <vt:i4>4347</vt:i4>
      </vt:variant>
      <vt:variant>
        <vt:i4>0</vt:i4>
      </vt:variant>
      <vt:variant>
        <vt:i4>5</vt:i4>
      </vt:variant>
      <vt:variant>
        <vt:lpwstr>../Docs/R1-135864.zip</vt:lpwstr>
      </vt:variant>
      <vt:variant>
        <vt:lpwstr/>
      </vt:variant>
      <vt:variant>
        <vt:i4>4980740</vt:i4>
      </vt:variant>
      <vt:variant>
        <vt:i4>4344</vt:i4>
      </vt:variant>
      <vt:variant>
        <vt:i4>0</vt:i4>
      </vt:variant>
      <vt:variant>
        <vt:i4>5</vt:i4>
      </vt:variant>
      <vt:variant>
        <vt:lpwstr>../Docs/R1-135986.zip</vt:lpwstr>
      </vt:variant>
      <vt:variant>
        <vt:lpwstr/>
      </vt:variant>
      <vt:variant>
        <vt:i4>4390926</vt:i4>
      </vt:variant>
      <vt:variant>
        <vt:i4>4341</vt:i4>
      </vt:variant>
      <vt:variant>
        <vt:i4>0</vt:i4>
      </vt:variant>
      <vt:variant>
        <vt:i4>5</vt:i4>
      </vt:variant>
      <vt:variant>
        <vt:lpwstr>../Docs/R1-136045.zip</vt:lpwstr>
      </vt:variant>
      <vt:variant>
        <vt:lpwstr/>
      </vt:variant>
      <vt:variant>
        <vt:i4>4456463</vt:i4>
      </vt:variant>
      <vt:variant>
        <vt:i4>4338</vt:i4>
      </vt:variant>
      <vt:variant>
        <vt:i4>0</vt:i4>
      </vt:variant>
      <vt:variant>
        <vt:i4>5</vt:i4>
      </vt:variant>
      <vt:variant>
        <vt:lpwstr>../Docs/R1-136034.zip</vt:lpwstr>
      </vt:variant>
      <vt:variant>
        <vt:lpwstr/>
      </vt:variant>
      <vt:variant>
        <vt:i4>4653071</vt:i4>
      </vt:variant>
      <vt:variant>
        <vt:i4>4335</vt:i4>
      </vt:variant>
      <vt:variant>
        <vt:i4>0</vt:i4>
      </vt:variant>
      <vt:variant>
        <vt:i4>5</vt:i4>
      </vt:variant>
      <vt:variant>
        <vt:lpwstr>../Docs/R1-136004.zip</vt:lpwstr>
      </vt:variant>
      <vt:variant>
        <vt:lpwstr/>
      </vt:variant>
      <vt:variant>
        <vt:i4>4653057</vt:i4>
      </vt:variant>
      <vt:variant>
        <vt:i4>4332</vt:i4>
      </vt:variant>
      <vt:variant>
        <vt:i4>0</vt:i4>
      </vt:variant>
      <vt:variant>
        <vt:i4>5</vt:i4>
      </vt:variant>
      <vt:variant>
        <vt:lpwstr>../Docs/R1-135832.zip</vt:lpwstr>
      </vt:variant>
      <vt:variant>
        <vt:lpwstr/>
      </vt:variant>
      <vt:variant>
        <vt:i4>4456450</vt:i4>
      </vt:variant>
      <vt:variant>
        <vt:i4>4329</vt:i4>
      </vt:variant>
      <vt:variant>
        <vt:i4>0</vt:i4>
      </vt:variant>
      <vt:variant>
        <vt:i4>5</vt:i4>
      </vt:variant>
      <vt:variant>
        <vt:lpwstr>../Docs/R1-135009.zip</vt:lpwstr>
      </vt:variant>
      <vt:variant>
        <vt:lpwstr/>
      </vt:variant>
      <vt:variant>
        <vt:i4>4325386</vt:i4>
      </vt:variant>
      <vt:variant>
        <vt:i4>4326</vt:i4>
      </vt:variant>
      <vt:variant>
        <vt:i4>0</vt:i4>
      </vt:variant>
      <vt:variant>
        <vt:i4>5</vt:i4>
      </vt:variant>
      <vt:variant>
        <vt:lpwstr>../Docs/R1-132819.zip</vt:lpwstr>
      </vt:variant>
      <vt:variant>
        <vt:lpwstr/>
      </vt:variant>
      <vt:variant>
        <vt:i4>4456451</vt:i4>
      </vt:variant>
      <vt:variant>
        <vt:i4>4323</vt:i4>
      </vt:variant>
      <vt:variant>
        <vt:i4>0</vt:i4>
      </vt:variant>
      <vt:variant>
        <vt:i4>5</vt:i4>
      </vt:variant>
      <vt:variant>
        <vt:lpwstr>../Docs/R1-135008.zip</vt:lpwstr>
      </vt:variant>
      <vt:variant>
        <vt:lpwstr/>
      </vt:variant>
      <vt:variant>
        <vt:i4>4456460</vt:i4>
      </vt:variant>
      <vt:variant>
        <vt:i4>4320</vt:i4>
      </vt:variant>
      <vt:variant>
        <vt:i4>0</vt:i4>
      </vt:variant>
      <vt:variant>
        <vt:i4>5</vt:i4>
      </vt:variant>
      <vt:variant>
        <vt:lpwstr>../Docs/R1-135007.zip</vt:lpwstr>
      </vt:variant>
      <vt:variant>
        <vt:lpwstr/>
      </vt:variant>
      <vt:variant>
        <vt:i4>4456461</vt:i4>
      </vt:variant>
      <vt:variant>
        <vt:i4>4317</vt:i4>
      </vt:variant>
      <vt:variant>
        <vt:i4>0</vt:i4>
      </vt:variant>
      <vt:variant>
        <vt:i4>5</vt:i4>
      </vt:variant>
      <vt:variant>
        <vt:lpwstr>../Docs/R1-135006.zip</vt:lpwstr>
      </vt:variant>
      <vt:variant>
        <vt:lpwstr/>
      </vt:variant>
      <vt:variant>
        <vt:i4>4456462</vt:i4>
      </vt:variant>
      <vt:variant>
        <vt:i4>4314</vt:i4>
      </vt:variant>
      <vt:variant>
        <vt:i4>0</vt:i4>
      </vt:variant>
      <vt:variant>
        <vt:i4>5</vt:i4>
      </vt:variant>
      <vt:variant>
        <vt:lpwstr>../Docs/R1-135005.zip</vt:lpwstr>
      </vt:variant>
      <vt:variant>
        <vt:lpwstr/>
      </vt:variant>
      <vt:variant>
        <vt:i4>4456463</vt:i4>
      </vt:variant>
      <vt:variant>
        <vt:i4>4311</vt:i4>
      </vt:variant>
      <vt:variant>
        <vt:i4>0</vt:i4>
      </vt:variant>
      <vt:variant>
        <vt:i4>5</vt:i4>
      </vt:variant>
      <vt:variant>
        <vt:lpwstr>../Docs/R1-135004.zip</vt:lpwstr>
      </vt:variant>
      <vt:variant>
        <vt:lpwstr/>
      </vt:variant>
      <vt:variant>
        <vt:i4>4456456</vt:i4>
      </vt:variant>
      <vt:variant>
        <vt:i4>4308</vt:i4>
      </vt:variant>
      <vt:variant>
        <vt:i4>0</vt:i4>
      </vt:variant>
      <vt:variant>
        <vt:i4>5</vt:i4>
      </vt:variant>
      <vt:variant>
        <vt:lpwstr>../Docs/R1-135003.zip</vt:lpwstr>
      </vt:variant>
      <vt:variant>
        <vt:lpwstr/>
      </vt:variant>
      <vt:variant>
        <vt:i4>4456457</vt:i4>
      </vt:variant>
      <vt:variant>
        <vt:i4>4305</vt:i4>
      </vt:variant>
      <vt:variant>
        <vt:i4>0</vt:i4>
      </vt:variant>
      <vt:variant>
        <vt:i4>5</vt:i4>
      </vt:variant>
      <vt:variant>
        <vt:lpwstr>../Docs/R1-135002.zip</vt:lpwstr>
      </vt:variant>
      <vt:variant>
        <vt:lpwstr/>
      </vt:variant>
      <vt:variant>
        <vt:i4>4259852</vt:i4>
      </vt:variant>
      <vt:variant>
        <vt:i4>4302</vt:i4>
      </vt:variant>
      <vt:variant>
        <vt:i4>0</vt:i4>
      </vt:variant>
      <vt:variant>
        <vt:i4>5</vt:i4>
      </vt:variant>
      <vt:variant>
        <vt:lpwstr>../Docs/R1-136067.zip</vt:lpwstr>
      </vt:variant>
      <vt:variant>
        <vt:lpwstr/>
      </vt:variant>
      <vt:variant>
        <vt:i4>4325383</vt:i4>
      </vt:variant>
      <vt:variant>
        <vt:i4>4299</vt:i4>
      </vt:variant>
      <vt:variant>
        <vt:i4>0</vt:i4>
      </vt:variant>
      <vt:variant>
        <vt:i4>5</vt:i4>
      </vt:variant>
      <vt:variant>
        <vt:lpwstr>../Docs/R1-135864.zip</vt:lpwstr>
      </vt:variant>
      <vt:variant>
        <vt:lpwstr/>
      </vt:variant>
      <vt:variant>
        <vt:i4>4980740</vt:i4>
      </vt:variant>
      <vt:variant>
        <vt:i4>4296</vt:i4>
      </vt:variant>
      <vt:variant>
        <vt:i4>0</vt:i4>
      </vt:variant>
      <vt:variant>
        <vt:i4>5</vt:i4>
      </vt:variant>
      <vt:variant>
        <vt:lpwstr>../Docs/R1-135986.zip</vt:lpwstr>
      </vt:variant>
      <vt:variant>
        <vt:lpwstr/>
      </vt:variant>
      <vt:variant>
        <vt:i4>4390926</vt:i4>
      </vt:variant>
      <vt:variant>
        <vt:i4>4293</vt:i4>
      </vt:variant>
      <vt:variant>
        <vt:i4>0</vt:i4>
      </vt:variant>
      <vt:variant>
        <vt:i4>5</vt:i4>
      </vt:variant>
      <vt:variant>
        <vt:lpwstr>../Docs/R1-136045.zip</vt:lpwstr>
      </vt:variant>
      <vt:variant>
        <vt:lpwstr/>
      </vt:variant>
      <vt:variant>
        <vt:i4>4521999</vt:i4>
      </vt:variant>
      <vt:variant>
        <vt:i4>4290</vt:i4>
      </vt:variant>
      <vt:variant>
        <vt:i4>0</vt:i4>
      </vt:variant>
      <vt:variant>
        <vt:i4>5</vt:i4>
      </vt:variant>
      <vt:variant>
        <vt:lpwstr>../Docs/R1-136024.zip</vt:lpwstr>
      </vt:variant>
      <vt:variant>
        <vt:lpwstr/>
      </vt:variant>
      <vt:variant>
        <vt:i4>4521994</vt:i4>
      </vt:variant>
      <vt:variant>
        <vt:i4>4287</vt:i4>
      </vt:variant>
      <vt:variant>
        <vt:i4>0</vt:i4>
      </vt:variant>
      <vt:variant>
        <vt:i4>5</vt:i4>
      </vt:variant>
      <vt:variant>
        <vt:lpwstr>../Docs/R1-135918.zip</vt:lpwstr>
      </vt:variant>
      <vt:variant>
        <vt:lpwstr/>
      </vt:variant>
      <vt:variant>
        <vt:i4>4521995</vt:i4>
      </vt:variant>
      <vt:variant>
        <vt:i4>4284</vt:i4>
      </vt:variant>
      <vt:variant>
        <vt:i4>0</vt:i4>
      </vt:variant>
      <vt:variant>
        <vt:i4>5</vt:i4>
      </vt:variant>
      <vt:variant>
        <vt:lpwstr>../Docs/R1-135919.zip</vt:lpwstr>
      </vt:variant>
      <vt:variant>
        <vt:lpwstr/>
      </vt:variant>
      <vt:variant>
        <vt:i4>4259854</vt:i4>
      </vt:variant>
      <vt:variant>
        <vt:i4>4281</vt:i4>
      </vt:variant>
      <vt:variant>
        <vt:i4>0</vt:i4>
      </vt:variant>
      <vt:variant>
        <vt:i4>5</vt:i4>
      </vt:variant>
      <vt:variant>
        <vt:lpwstr>../Docs/R1-136065.zip</vt:lpwstr>
      </vt:variant>
      <vt:variant>
        <vt:lpwstr/>
      </vt:variant>
      <vt:variant>
        <vt:i4>4653057</vt:i4>
      </vt:variant>
      <vt:variant>
        <vt:i4>4278</vt:i4>
      </vt:variant>
      <vt:variant>
        <vt:i4>0</vt:i4>
      </vt:variant>
      <vt:variant>
        <vt:i4>5</vt:i4>
      </vt:variant>
      <vt:variant>
        <vt:lpwstr>../Docs/R1-135832.zip</vt:lpwstr>
      </vt:variant>
      <vt:variant>
        <vt:lpwstr/>
      </vt:variant>
      <vt:variant>
        <vt:i4>4194313</vt:i4>
      </vt:variant>
      <vt:variant>
        <vt:i4>4275</vt:i4>
      </vt:variant>
      <vt:variant>
        <vt:i4>0</vt:i4>
      </vt:variant>
      <vt:variant>
        <vt:i4>5</vt:i4>
      </vt:variant>
      <vt:variant>
        <vt:lpwstr>../Docs/R1-136072.zip</vt:lpwstr>
      </vt:variant>
      <vt:variant>
        <vt:lpwstr/>
      </vt:variant>
      <vt:variant>
        <vt:i4>4980741</vt:i4>
      </vt:variant>
      <vt:variant>
        <vt:i4>4272</vt:i4>
      </vt:variant>
      <vt:variant>
        <vt:i4>0</vt:i4>
      </vt:variant>
      <vt:variant>
        <vt:i4>5</vt:i4>
      </vt:variant>
      <vt:variant>
        <vt:lpwstr>../Docs/R1-135987.zip</vt:lpwstr>
      </vt:variant>
      <vt:variant>
        <vt:lpwstr/>
      </vt:variant>
      <vt:variant>
        <vt:i4>4653069</vt:i4>
      </vt:variant>
      <vt:variant>
        <vt:i4>4269</vt:i4>
      </vt:variant>
      <vt:variant>
        <vt:i4>0</vt:i4>
      </vt:variant>
      <vt:variant>
        <vt:i4>5</vt:i4>
      </vt:variant>
      <vt:variant>
        <vt:lpwstr>../Docs/R1-134127.zip</vt:lpwstr>
      </vt:variant>
      <vt:variant>
        <vt:lpwstr/>
      </vt:variant>
      <vt:variant>
        <vt:i4>4587533</vt:i4>
      </vt:variant>
      <vt:variant>
        <vt:i4>4266</vt:i4>
      </vt:variant>
      <vt:variant>
        <vt:i4>0</vt:i4>
      </vt:variant>
      <vt:variant>
        <vt:i4>5</vt:i4>
      </vt:variant>
      <vt:variant>
        <vt:lpwstr>../Docs/R1-135127.zip</vt:lpwstr>
      </vt:variant>
      <vt:variant>
        <vt:lpwstr/>
      </vt:variant>
      <vt:variant>
        <vt:i4>4587532</vt:i4>
      </vt:variant>
      <vt:variant>
        <vt:i4>4263</vt:i4>
      </vt:variant>
      <vt:variant>
        <vt:i4>0</vt:i4>
      </vt:variant>
      <vt:variant>
        <vt:i4>5</vt:i4>
      </vt:variant>
      <vt:variant>
        <vt:lpwstr>../Docs/R1-135126.zip</vt:lpwstr>
      </vt:variant>
      <vt:variant>
        <vt:lpwstr/>
      </vt:variant>
      <vt:variant>
        <vt:i4>4325383</vt:i4>
      </vt:variant>
      <vt:variant>
        <vt:i4>4260</vt:i4>
      </vt:variant>
      <vt:variant>
        <vt:i4>0</vt:i4>
      </vt:variant>
      <vt:variant>
        <vt:i4>5</vt:i4>
      </vt:variant>
      <vt:variant>
        <vt:lpwstr>../Docs/R1-135569.zip</vt:lpwstr>
      </vt:variant>
      <vt:variant>
        <vt:lpwstr/>
      </vt:variant>
      <vt:variant>
        <vt:i4>4653067</vt:i4>
      </vt:variant>
      <vt:variant>
        <vt:i4>4257</vt:i4>
      </vt:variant>
      <vt:variant>
        <vt:i4>0</vt:i4>
      </vt:variant>
      <vt:variant>
        <vt:i4>5</vt:i4>
      </vt:variant>
      <vt:variant>
        <vt:lpwstr>../Docs/R1-135838.zip</vt:lpwstr>
      </vt:variant>
      <vt:variant>
        <vt:lpwstr/>
      </vt:variant>
      <vt:variant>
        <vt:i4>4390926</vt:i4>
      </vt:variant>
      <vt:variant>
        <vt:i4>4254</vt:i4>
      </vt:variant>
      <vt:variant>
        <vt:i4>0</vt:i4>
      </vt:variant>
      <vt:variant>
        <vt:i4>5</vt:i4>
      </vt:variant>
      <vt:variant>
        <vt:lpwstr>../Docs/R1-135772.zip</vt:lpwstr>
      </vt:variant>
      <vt:variant>
        <vt:lpwstr/>
      </vt:variant>
      <vt:variant>
        <vt:i4>4325382</vt:i4>
      </vt:variant>
      <vt:variant>
        <vt:i4>4251</vt:i4>
      </vt:variant>
      <vt:variant>
        <vt:i4>0</vt:i4>
      </vt:variant>
      <vt:variant>
        <vt:i4>5</vt:i4>
      </vt:variant>
      <vt:variant>
        <vt:lpwstr>../Docs/R1-135568.zip</vt:lpwstr>
      </vt:variant>
      <vt:variant>
        <vt:lpwstr/>
      </vt:variant>
      <vt:variant>
        <vt:i4>5046284</vt:i4>
      </vt:variant>
      <vt:variant>
        <vt:i4>4248</vt:i4>
      </vt:variant>
      <vt:variant>
        <vt:i4>0</vt:i4>
      </vt:variant>
      <vt:variant>
        <vt:i4>5</vt:i4>
      </vt:variant>
      <vt:variant>
        <vt:lpwstr>../Docs/R1-135493.zip</vt:lpwstr>
      </vt:variant>
      <vt:variant>
        <vt:lpwstr/>
      </vt:variant>
      <vt:variant>
        <vt:i4>5046280</vt:i4>
      </vt:variant>
      <vt:variant>
        <vt:i4>4245</vt:i4>
      </vt:variant>
      <vt:variant>
        <vt:i4>0</vt:i4>
      </vt:variant>
      <vt:variant>
        <vt:i4>5</vt:i4>
      </vt:variant>
      <vt:variant>
        <vt:lpwstr>../Docs/R1-134380.zip</vt:lpwstr>
      </vt:variant>
      <vt:variant>
        <vt:lpwstr/>
      </vt:variant>
      <vt:variant>
        <vt:i4>4456462</vt:i4>
      </vt:variant>
      <vt:variant>
        <vt:i4>4242</vt:i4>
      </vt:variant>
      <vt:variant>
        <vt:i4>0</vt:i4>
      </vt:variant>
      <vt:variant>
        <vt:i4>5</vt:i4>
      </vt:variant>
      <vt:variant>
        <vt:lpwstr>../Docs/R1-135401.zip</vt:lpwstr>
      </vt:variant>
      <vt:variant>
        <vt:lpwstr/>
      </vt:variant>
      <vt:variant>
        <vt:i4>4980744</vt:i4>
      </vt:variant>
      <vt:variant>
        <vt:i4>4239</vt:i4>
      </vt:variant>
      <vt:variant>
        <vt:i4>0</vt:i4>
      </vt:variant>
      <vt:variant>
        <vt:i4>5</vt:i4>
      </vt:variant>
      <vt:variant>
        <vt:lpwstr>../Docs/R1-135380.zip</vt:lpwstr>
      </vt:variant>
      <vt:variant>
        <vt:lpwstr/>
      </vt:variant>
      <vt:variant>
        <vt:i4>4980745</vt:i4>
      </vt:variant>
      <vt:variant>
        <vt:i4>4236</vt:i4>
      </vt:variant>
      <vt:variant>
        <vt:i4>0</vt:i4>
      </vt:variant>
      <vt:variant>
        <vt:i4>5</vt:i4>
      </vt:variant>
      <vt:variant>
        <vt:lpwstr>../Docs/R1-135280.zip</vt:lpwstr>
      </vt:variant>
      <vt:variant>
        <vt:lpwstr/>
      </vt:variant>
      <vt:variant>
        <vt:i4>4653057</vt:i4>
      </vt:variant>
      <vt:variant>
        <vt:i4>4233</vt:i4>
      </vt:variant>
      <vt:variant>
        <vt:i4>0</vt:i4>
      </vt:variant>
      <vt:variant>
        <vt:i4>5</vt:i4>
      </vt:variant>
      <vt:variant>
        <vt:lpwstr>../Docs/R1-135238.zip</vt:lpwstr>
      </vt:variant>
      <vt:variant>
        <vt:lpwstr/>
      </vt:variant>
      <vt:variant>
        <vt:i4>4980744</vt:i4>
      </vt:variant>
      <vt:variant>
        <vt:i4>4230</vt:i4>
      </vt:variant>
      <vt:variant>
        <vt:i4>0</vt:i4>
      </vt:variant>
      <vt:variant>
        <vt:i4>5</vt:i4>
      </vt:variant>
      <vt:variant>
        <vt:lpwstr>../Docs/R1-135182.zip</vt:lpwstr>
      </vt:variant>
      <vt:variant>
        <vt:lpwstr/>
      </vt:variant>
      <vt:variant>
        <vt:i4>4521996</vt:i4>
      </vt:variant>
      <vt:variant>
        <vt:i4>4227</vt:i4>
      </vt:variant>
      <vt:variant>
        <vt:i4>0</vt:i4>
      </vt:variant>
      <vt:variant>
        <vt:i4>5</vt:i4>
      </vt:variant>
      <vt:variant>
        <vt:lpwstr>../Docs/R1-135017.zip</vt:lpwstr>
      </vt:variant>
      <vt:variant>
        <vt:lpwstr/>
      </vt:variant>
      <vt:variant>
        <vt:i4>4390914</vt:i4>
      </vt:variant>
      <vt:variant>
        <vt:i4>4224</vt:i4>
      </vt:variant>
      <vt:variant>
        <vt:i4>0</vt:i4>
      </vt:variant>
      <vt:variant>
        <vt:i4>5</vt:i4>
      </vt:variant>
      <vt:variant>
        <vt:lpwstr>../Docs/R1-136049.zip</vt:lpwstr>
      </vt:variant>
      <vt:variant>
        <vt:lpwstr/>
      </vt:variant>
      <vt:variant>
        <vt:i4>4325376</vt:i4>
      </vt:variant>
      <vt:variant>
        <vt:i4>4221</vt:i4>
      </vt:variant>
      <vt:variant>
        <vt:i4>0</vt:i4>
      </vt:variant>
      <vt:variant>
        <vt:i4>5</vt:i4>
      </vt:variant>
      <vt:variant>
        <vt:lpwstr>../Docs/R1-135962.zip</vt:lpwstr>
      </vt:variant>
      <vt:variant>
        <vt:lpwstr/>
      </vt:variant>
      <vt:variant>
        <vt:i4>4653064</vt:i4>
      </vt:variant>
      <vt:variant>
        <vt:i4>4215</vt:i4>
      </vt:variant>
      <vt:variant>
        <vt:i4>0</vt:i4>
      </vt:variant>
      <vt:variant>
        <vt:i4>5</vt:i4>
      </vt:variant>
      <vt:variant>
        <vt:lpwstr>../Docs/R1-135437.zip</vt:lpwstr>
      </vt:variant>
      <vt:variant>
        <vt:lpwstr/>
      </vt:variant>
      <vt:variant>
        <vt:i4>4980743</vt:i4>
      </vt:variant>
      <vt:variant>
        <vt:i4>4212</vt:i4>
      </vt:variant>
      <vt:variant>
        <vt:i4>0</vt:i4>
      </vt:variant>
      <vt:variant>
        <vt:i4>5</vt:i4>
      </vt:variant>
      <vt:variant>
        <vt:lpwstr>../Docs/R1-135884.zip</vt:lpwstr>
      </vt:variant>
      <vt:variant>
        <vt:lpwstr/>
      </vt:variant>
      <vt:variant>
        <vt:i4>4259853</vt:i4>
      </vt:variant>
      <vt:variant>
        <vt:i4>4209</vt:i4>
      </vt:variant>
      <vt:variant>
        <vt:i4>0</vt:i4>
      </vt:variant>
      <vt:variant>
        <vt:i4>5</vt:i4>
      </vt:variant>
      <vt:variant>
        <vt:lpwstr>../Docs/R1-135553.zip</vt:lpwstr>
      </vt:variant>
      <vt:variant>
        <vt:lpwstr/>
      </vt:variant>
      <vt:variant>
        <vt:i4>4194313</vt:i4>
      </vt:variant>
      <vt:variant>
        <vt:i4>4206</vt:i4>
      </vt:variant>
      <vt:variant>
        <vt:i4>0</vt:i4>
      </vt:variant>
      <vt:variant>
        <vt:i4>5</vt:i4>
      </vt:variant>
      <vt:variant>
        <vt:lpwstr>../Docs/R1-135547.zip</vt:lpwstr>
      </vt:variant>
      <vt:variant>
        <vt:lpwstr/>
      </vt:variant>
      <vt:variant>
        <vt:i4>4653067</vt:i4>
      </vt:variant>
      <vt:variant>
        <vt:i4>4203</vt:i4>
      </vt:variant>
      <vt:variant>
        <vt:i4>0</vt:i4>
      </vt:variant>
      <vt:variant>
        <vt:i4>5</vt:i4>
      </vt:variant>
      <vt:variant>
        <vt:lpwstr>../Docs/R1-135333.zip</vt:lpwstr>
      </vt:variant>
      <vt:variant>
        <vt:lpwstr/>
      </vt:variant>
      <vt:variant>
        <vt:i4>4587535</vt:i4>
      </vt:variant>
      <vt:variant>
        <vt:i4>4200</vt:i4>
      </vt:variant>
      <vt:variant>
        <vt:i4>0</vt:i4>
      </vt:variant>
      <vt:variant>
        <vt:i4>5</vt:i4>
      </vt:variant>
      <vt:variant>
        <vt:lpwstr>../Docs/R1-135125.zip</vt:lpwstr>
      </vt:variant>
      <vt:variant>
        <vt:lpwstr/>
      </vt:variant>
      <vt:variant>
        <vt:i4>4653071</vt:i4>
      </vt:variant>
      <vt:variant>
        <vt:i4>4197</vt:i4>
      </vt:variant>
      <vt:variant>
        <vt:i4>0</vt:i4>
      </vt:variant>
      <vt:variant>
        <vt:i4>5</vt:i4>
      </vt:variant>
      <vt:variant>
        <vt:lpwstr>../Docs/R1-135236.zip</vt:lpwstr>
      </vt:variant>
      <vt:variant>
        <vt:lpwstr/>
      </vt:variant>
      <vt:variant>
        <vt:i4>5046277</vt:i4>
      </vt:variant>
      <vt:variant>
        <vt:i4>4194</vt:i4>
      </vt:variant>
      <vt:variant>
        <vt:i4>0</vt:i4>
      </vt:variant>
      <vt:variant>
        <vt:i4>5</vt:i4>
      </vt:variant>
      <vt:variant>
        <vt:lpwstr>../Docs/R1-135896.zip</vt:lpwstr>
      </vt:variant>
      <vt:variant>
        <vt:lpwstr/>
      </vt:variant>
      <vt:variant>
        <vt:i4>4325385</vt:i4>
      </vt:variant>
      <vt:variant>
        <vt:i4>4191</vt:i4>
      </vt:variant>
      <vt:variant>
        <vt:i4>0</vt:i4>
      </vt:variant>
      <vt:variant>
        <vt:i4>5</vt:i4>
      </vt:variant>
      <vt:variant>
        <vt:lpwstr>../Docs/R1-135567.zip</vt:lpwstr>
      </vt:variant>
      <vt:variant>
        <vt:lpwstr/>
      </vt:variant>
      <vt:variant>
        <vt:i4>4653060</vt:i4>
      </vt:variant>
      <vt:variant>
        <vt:i4>4188</vt:i4>
      </vt:variant>
      <vt:variant>
        <vt:i4>0</vt:i4>
      </vt:variant>
      <vt:variant>
        <vt:i4>5</vt:i4>
      </vt:variant>
      <vt:variant>
        <vt:lpwstr>../Docs/R1-135837.zip</vt:lpwstr>
      </vt:variant>
      <vt:variant>
        <vt:lpwstr/>
      </vt:variant>
      <vt:variant>
        <vt:i4>4653069</vt:i4>
      </vt:variant>
      <vt:variant>
        <vt:i4>4185</vt:i4>
      </vt:variant>
      <vt:variant>
        <vt:i4>0</vt:i4>
      </vt:variant>
      <vt:variant>
        <vt:i4>5</vt:i4>
      </vt:variant>
      <vt:variant>
        <vt:lpwstr>../Docs/R1-135533.zip</vt:lpwstr>
      </vt:variant>
      <vt:variant>
        <vt:lpwstr/>
      </vt:variant>
      <vt:variant>
        <vt:i4>4390912</vt:i4>
      </vt:variant>
      <vt:variant>
        <vt:i4>4182</vt:i4>
      </vt:variant>
      <vt:variant>
        <vt:i4>0</vt:i4>
      </vt:variant>
      <vt:variant>
        <vt:i4>5</vt:i4>
      </vt:variant>
      <vt:variant>
        <vt:lpwstr>../Docs/R1-135378.zip</vt:lpwstr>
      </vt:variant>
      <vt:variant>
        <vt:lpwstr/>
      </vt:variant>
      <vt:variant>
        <vt:i4>4653070</vt:i4>
      </vt:variant>
      <vt:variant>
        <vt:i4>4179</vt:i4>
      </vt:variant>
      <vt:variant>
        <vt:i4>0</vt:i4>
      </vt:variant>
      <vt:variant>
        <vt:i4>5</vt:i4>
      </vt:variant>
      <vt:variant>
        <vt:lpwstr>../Docs/R1-135237.zip</vt:lpwstr>
      </vt:variant>
      <vt:variant>
        <vt:lpwstr/>
      </vt:variant>
      <vt:variant>
        <vt:i4>4587534</vt:i4>
      </vt:variant>
      <vt:variant>
        <vt:i4>4176</vt:i4>
      </vt:variant>
      <vt:variant>
        <vt:i4>0</vt:i4>
      </vt:variant>
      <vt:variant>
        <vt:i4>5</vt:i4>
      </vt:variant>
      <vt:variant>
        <vt:lpwstr>../Docs/R1-135124.zip</vt:lpwstr>
      </vt:variant>
      <vt:variant>
        <vt:lpwstr/>
      </vt:variant>
      <vt:variant>
        <vt:i4>4325387</vt:i4>
      </vt:variant>
      <vt:variant>
        <vt:i4>4173</vt:i4>
      </vt:variant>
      <vt:variant>
        <vt:i4>0</vt:i4>
      </vt:variant>
      <vt:variant>
        <vt:i4>5</vt:i4>
      </vt:variant>
      <vt:variant>
        <vt:lpwstr>../Docs/R1-136050.zip</vt:lpwstr>
      </vt:variant>
      <vt:variant>
        <vt:lpwstr/>
      </vt:variant>
      <vt:variant>
        <vt:i4>4325386</vt:i4>
      </vt:variant>
      <vt:variant>
        <vt:i4>4170</vt:i4>
      </vt:variant>
      <vt:variant>
        <vt:i4>0</vt:i4>
      </vt:variant>
      <vt:variant>
        <vt:i4>5</vt:i4>
      </vt:variant>
      <vt:variant>
        <vt:lpwstr>../Docs/R1-135968.zip</vt:lpwstr>
      </vt:variant>
      <vt:variant>
        <vt:lpwstr/>
      </vt:variant>
      <vt:variant>
        <vt:i4>4653065</vt:i4>
      </vt:variant>
      <vt:variant>
        <vt:i4>4167</vt:i4>
      </vt:variant>
      <vt:variant>
        <vt:i4>0</vt:i4>
      </vt:variant>
      <vt:variant>
        <vt:i4>5</vt:i4>
      </vt:variant>
      <vt:variant>
        <vt:lpwstr>../Docs/R1-135436.zip</vt:lpwstr>
      </vt:variant>
      <vt:variant>
        <vt:lpwstr/>
      </vt:variant>
      <vt:variant>
        <vt:i4>4980736</vt:i4>
      </vt:variant>
      <vt:variant>
        <vt:i4>4164</vt:i4>
      </vt:variant>
      <vt:variant>
        <vt:i4>0</vt:i4>
      </vt:variant>
      <vt:variant>
        <vt:i4>5</vt:i4>
      </vt:variant>
      <vt:variant>
        <vt:lpwstr>../Docs/R1-135883.zip</vt:lpwstr>
      </vt:variant>
      <vt:variant>
        <vt:lpwstr/>
      </vt:variant>
      <vt:variant>
        <vt:i4>4390913</vt:i4>
      </vt:variant>
      <vt:variant>
        <vt:i4>4161</vt:i4>
      </vt:variant>
      <vt:variant>
        <vt:i4>0</vt:i4>
      </vt:variant>
      <vt:variant>
        <vt:i4>5</vt:i4>
      </vt:variant>
      <vt:variant>
        <vt:lpwstr>../Docs/R1-135379.zip</vt:lpwstr>
      </vt:variant>
      <vt:variant>
        <vt:lpwstr/>
      </vt:variant>
      <vt:variant>
        <vt:i4>4980738</vt:i4>
      </vt:variant>
      <vt:variant>
        <vt:i4>4158</vt:i4>
      </vt:variant>
      <vt:variant>
        <vt:i4>0</vt:i4>
      </vt:variant>
      <vt:variant>
        <vt:i4>5</vt:i4>
      </vt:variant>
      <vt:variant>
        <vt:lpwstr>../Docs/R1-135881.zip</vt:lpwstr>
      </vt:variant>
      <vt:variant>
        <vt:lpwstr/>
      </vt:variant>
      <vt:variant>
        <vt:i4>4653068</vt:i4>
      </vt:variant>
      <vt:variant>
        <vt:i4>4155</vt:i4>
      </vt:variant>
      <vt:variant>
        <vt:i4>0</vt:i4>
      </vt:variant>
      <vt:variant>
        <vt:i4>5</vt:i4>
      </vt:variant>
      <vt:variant>
        <vt:lpwstr>../Docs/R1-135235.zip</vt:lpwstr>
      </vt:variant>
      <vt:variant>
        <vt:lpwstr/>
      </vt:variant>
      <vt:variant>
        <vt:i4>4456455</vt:i4>
      </vt:variant>
      <vt:variant>
        <vt:i4>4152</vt:i4>
      </vt:variant>
      <vt:variant>
        <vt:i4>0</vt:i4>
      </vt:variant>
      <vt:variant>
        <vt:i4>5</vt:i4>
      </vt:variant>
      <vt:variant>
        <vt:lpwstr>../Docs/R1-135905.zip</vt:lpwstr>
      </vt:variant>
      <vt:variant>
        <vt:lpwstr/>
      </vt:variant>
      <vt:variant>
        <vt:i4>4653069</vt:i4>
      </vt:variant>
      <vt:variant>
        <vt:i4>4149</vt:i4>
      </vt:variant>
      <vt:variant>
        <vt:i4>0</vt:i4>
      </vt:variant>
      <vt:variant>
        <vt:i4>5</vt:i4>
      </vt:variant>
      <vt:variant>
        <vt:lpwstr>../Docs/R1-135234.zip</vt:lpwstr>
      </vt:variant>
      <vt:variant>
        <vt:lpwstr/>
      </vt:variant>
      <vt:variant>
        <vt:i4>4456451</vt:i4>
      </vt:variant>
      <vt:variant>
        <vt:i4>4146</vt:i4>
      </vt:variant>
      <vt:variant>
        <vt:i4>0</vt:i4>
      </vt:variant>
      <vt:variant>
        <vt:i4>5</vt:i4>
      </vt:variant>
      <vt:variant>
        <vt:lpwstr>../Docs/R1-135901.zip</vt:lpwstr>
      </vt:variant>
      <vt:variant>
        <vt:lpwstr/>
      </vt:variant>
      <vt:variant>
        <vt:i4>4653066</vt:i4>
      </vt:variant>
      <vt:variant>
        <vt:i4>4143</vt:i4>
      </vt:variant>
      <vt:variant>
        <vt:i4>0</vt:i4>
      </vt:variant>
      <vt:variant>
        <vt:i4>5</vt:i4>
      </vt:variant>
      <vt:variant>
        <vt:lpwstr>../Docs/R1-135435.zip</vt:lpwstr>
      </vt:variant>
      <vt:variant>
        <vt:lpwstr/>
      </vt:variant>
      <vt:variant>
        <vt:i4>4980737</vt:i4>
      </vt:variant>
      <vt:variant>
        <vt:i4>4140</vt:i4>
      </vt:variant>
      <vt:variant>
        <vt:i4>0</vt:i4>
      </vt:variant>
      <vt:variant>
        <vt:i4>5</vt:i4>
      </vt:variant>
      <vt:variant>
        <vt:lpwstr>../Docs/R1-135882.zip</vt:lpwstr>
      </vt:variant>
      <vt:variant>
        <vt:lpwstr/>
      </vt:variant>
      <vt:variant>
        <vt:i4>4325384</vt:i4>
      </vt:variant>
      <vt:variant>
        <vt:i4>4137</vt:i4>
      </vt:variant>
      <vt:variant>
        <vt:i4>0</vt:i4>
      </vt:variant>
      <vt:variant>
        <vt:i4>5</vt:i4>
      </vt:variant>
      <vt:variant>
        <vt:lpwstr>../Docs/R1-135566.zip</vt:lpwstr>
      </vt:variant>
      <vt:variant>
        <vt:lpwstr/>
      </vt:variant>
      <vt:variant>
        <vt:i4>4194310</vt:i4>
      </vt:variant>
      <vt:variant>
        <vt:i4>4134</vt:i4>
      </vt:variant>
      <vt:variant>
        <vt:i4>0</vt:i4>
      </vt:variant>
      <vt:variant>
        <vt:i4>5</vt:i4>
      </vt:variant>
      <vt:variant>
        <vt:lpwstr>../Docs/R1-135548.zip</vt:lpwstr>
      </vt:variant>
      <vt:variant>
        <vt:lpwstr/>
      </vt:variant>
      <vt:variant>
        <vt:i4>4194312</vt:i4>
      </vt:variant>
      <vt:variant>
        <vt:i4>4131</vt:i4>
      </vt:variant>
      <vt:variant>
        <vt:i4>0</vt:i4>
      </vt:variant>
      <vt:variant>
        <vt:i4>5</vt:i4>
      </vt:variant>
      <vt:variant>
        <vt:lpwstr>../Docs/R1-135546.zip</vt:lpwstr>
      </vt:variant>
      <vt:variant>
        <vt:lpwstr/>
      </vt:variant>
      <vt:variant>
        <vt:i4>4653065</vt:i4>
      </vt:variant>
      <vt:variant>
        <vt:i4>4128</vt:i4>
      </vt:variant>
      <vt:variant>
        <vt:i4>0</vt:i4>
      </vt:variant>
      <vt:variant>
        <vt:i4>5</vt:i4>
      </vt:variant>
      <vt:variant>
        <vt:lpwstr>../Docs/R1-135331.zip</vt:lpwstr>
      </vt:variant>
      <vt:variant>
        <vt:lpwstr/>
      </vt:variant>
      <vt:variant>
        <vt:i4>4653064</vt:i4>
      </vt:variant>
      <vt:variant>
        <vt:i4>4125</vt:i4>
      </vt:variant>
      <vt:variant>
        <vt:i4>0</vt:i4>
      </vt:variant>
      <vt:variant>
        <vt:i4>5</vt:i4>
      </vt:variant>
      <vt:variant>
        <vt:lpwstr>../Docs/R1-135330.zip</vt:lpwstr>
      </vt:variant>
      <vt:variant>
        <vt:lpwstr/>
      </vt:variant>
      <vt:variant>
        <vt:i4>4653066</vt:i4>
      </vt:variant>
      <vt:variant>
        <vt:i4>4122</vt:i4>
      </vt:variant>
      <vt:variant>
        <vt:i4>0</vt:i4>
      </vt:variant>
      <vt:variant>
        <vt:i4>5</vt:i4>
      </vt:variant>
      <vt:variant>
        <vt:lpwstr>../Docs/R1-135233.zip</vt:lpwstr>
      </vt:variant>
      <vt:variant>
        <vt:lpwstr/>
      </vt:variant>
      <vt:variant>
        <vt:i4>4653067</vt:i4>
      </vt:variant>
      <vt:variant>
        <vt:i4>4119</vt:i4>
      </vt:variant>
      <vt:variant>
        <vt:i4>0</vt:i4>
      </vt:variant>
      <vt:variant>
        <vt:i4>5</vt:i4>
      </vt:variant>
      <vt:variant>
        <vt:lpwstr>../Docs/R1-135232.zip</vt:lpwstr>
      </vt:variant>
      <vt:variant>
        <vt:lpwstr/>
      </vt:variant>
      <vt:variant>
        <vt:i4>4194314</vt:i4>
      </vt:variant>
      <vt:variant>
        <vt:i4>4116</vt:i4>
      </vt:variant>
      <vt:variant>
        <vt:i4>0</vt:i4>
      </vt:variant>
      <vt:variant>
        <vt:i4>5</vt:i4>
      </vt:variant>
      <vt:variant>
        <vt:lpwstr>../Docs/R1-136071.zip</vt:lpwstr>
      </vt:variant>
      <vt:variant>
        <vt:lpwstr/>
      </vt:variant>
      <vt:variant>
        <vt:i4>4390914</vt:i4>
      </vt:variant>
      <vt:variant>
        <vt:i4>4113</vt:i4>
      </vt:variant>
      <vt:variant>
        <vt:i4>0</vt:i4>
      </vt:variant>
      <vt:variant>
        <vt:i4>5</vt:i4>
      </vt:variant>
      <vt:variant>
        <vt:lpwstr>../Docs/R1-135970.zip</vt:lpwstr>
      </vt:variant>
      <vt:variant>
        <vt:lpwstr/>
      </vt:variant>
      <vt:variant>
        <vt:i4>4390912</vt:i4>
      </vt:variant>
      <vt:variant>
        <vt:i4>4110</vt:i4>
      </vt:variant>
      <vt:variant>
        <vt:i4>0</vt:i4>
      </vt:variant>
      <vt:variant>
        <vt:i4>5</vt:i4>
      </vt:variant>
      <vt:variant>
        <vt:lpwstr>../Docs/R1-135972.zip</vt:lpwstr>
      </vt:variant>
      <vt:variant>
        <vt:lpwstr/>
      </vt:variant>
      <vt:variant>
        <vt:i4>4653065</vt:i4>
      </vt:variant>
      <vt:variant>
        <vt:i4>4107</vt:i4>
      </vt:variant>
      <vt:variant>
        <vt:i4>0</vt:i4>
      </vt:variant>
      <vt:variant>
        <vt:i4>5</vt:i4>
      </vt:variant>
      <vt:variant>
        <vt:lpwstr>../Docs/R1-135331.zip</vt:lpwstr>
      </vt:variant>
      <vt:variant>
        <vt:lpwstr/>
      </vt:variant>
      <vt:variant>
        <vt:i4>4390913</vt:i4>
      </vt:variant>
      <vt:variant>
        <vt:i4>4104</vt:i4>
      </vt:variant>
      <vt:variant>
        <vt:i4>0</vt:i4>
      </vt:variant>
      <vt:variant>
        <vt:i4>5</vt:i4>
      </vt:variant>
      <vt:variant>
        <vt:lpwstr>../Docs/R1-135973.zip</vt:lpwstr>
      </vt:variant>
      <vt:variant>
        <vt:lpwstr/>
      </vt:variant>
      <vt:variant>
        <vt:i4>4390912</vt:i4>
      </vt:variant>
      <vt:variant>
        <vt:i4>4101</vt:i4>
      </vt:variant>
      <vt:variant>
        <vt:i4>0</vt:i4>
      </vt:variant>
      <vt:variant>
        <vt:i4>5</vt:i4>
      </vt:variant>
      <vt:variant>
        <vt:lpwstr>../Docs/R1-135972.zip</vt:lpwstr>
      </vt:variant>
      <vt:variant>
        <vt:lpwstr/>
      </vt:variant>
      <vt:variant>
        <vt:i4>4390914</vt:i4>
      </vt:variant>
      <vt:variant>
        <vt:i4>4098</vt:i4>
      </vt:variant>
      <vt:variant>
        <vt:i4>0</vt:i4>
      </vt:variant>
      <vt:variant>
        <vt:i4>5</vt:i4>
      </vt:variant>
      <vt:variant>
        <vt:lpwstr>../Docs/R1-135970.zip</vt:lpwstr>
      </vt:variant>
      <vt:variant>
        <vt:lpwstr/>
      </vt:variant>
      <vt:variant>
        <vt:i4>4587529</vt:i4>
      </vt:variant>
      <vt:variant>
        <vt:i4>4095</vt:i4>
      </vt:variant>
      <vt:variant>
        <vt:i4>0</vt:i4>
      </vt:variant>
      <vt:variant>
        <vt:i4>5</vt:i4>
      </vt:variant>
      <vt:variant>
        <vt:lpwstr>../Docs/R1-134634.zip</vt:lpwstr>
      </vt:variant>
      <vt:variant>
        <vt:lpwstr/>
      </vt:variant>
      <vt:variant>
        <vt:i4>4390925</vt:i4>
      </vt:variant>
      <vt:variant>
        <vt:i4>4092</vt:i4>
      </vt:variant>
      <vt:variant>
        <vt:i4>0</vt:i4>
      </vt:variant>
      <vt:variant>
        <vt:i4>5</vt:i4>
      </vt:variant>
      <vt:variant>
        <vt:lpwstr>../Docs/R1-135771.zip</vt:lpwstr>
      </vt:variant>
      <vt:variant>
        <vt:lpwstr/>
      </vt:variant>
      <vt:variant>
        <vt:i4>4456454</vt:i4>
      </vt:variant>
      <vt:variant>
        <vt:i4>4089</vt:i4>
      </vt:variant>
      <vt:variant>
        <vt:i4>0</vt:i4>
      </vt:variant>
      <vt:variant>
        <vt:i4>5</vt:i4>
      </vt:variant>
      <vt:variant>
        <vt:lpwstr>../Docs/R1-135904.zip</vt:lpwstr>
      </vt:variant>
      <vt:variant>
        <vt:lpwstr/>
      </vt:variant>
      <vt:variant>
        <vt:i4>4325387</vt:i4>
      </vt:variant>
      <vt:variant>
        <vt:i4>4086</vt:i4>
      </vt:variant>
      <vt:variant>
        <vt:i4>0</vt:i4>
      </vt:variant>
      <vt:variant>
        <vt:i4>5</vt:i4>
      </vt:variant>
      <vt:variant>
        <vt:lpwstr>../Docs/R1-135565.zip</vt:lpwstr>
      </vt:variant>
      <vt:variant>
        <vt:lpwstr/>
      </vt:variant>
      <vt:variant>
        <vt:i4>4653066</vt:i4>
      </vt:variant>
      <vt:variant>
        <vt:i4>4083</vt:i4>
      </vt:variant>
      <vt:variant>
        <vt:i4>0</vt:i4>
      </vt:variant>
      <vt:variant>
        <vt:i4>5</vt:i4>
      </vt:variant>
      <vt:variant>
        <vt:lpwstr>../Docs/R1-135534.zip</vt:lpwstr>
      </vt:variant>
      <vt:variant>
        <vt:lpwstr/>
      </vt:variant>
      <vt:variant>
        <vt:i4>4587529</vt:i4>
      </vt:variant>
      <vt:variant>
        <vt:i4>4080</vt:i4>
      </vt:variant>
      <vt:variant>
        <vt:i4>0</vt:i4>
      </vt:variant>
      <vt:variant>
        <vt:i4>5</vt:i4>
      </vt:variant>
      <vt:variant>
        <vt:lpwstr>../Docs/R1-134634.zip</vt:lpwstr>
      </vt:variant>
      <vt:variant>
        <vt:lpwstr/>
      </vt:variant>
      <vt:variant>
        <vt:i4>4587529</vt:i4>
      </vt:variant>
      <vt:variant>
        <vt:i4>4077</vt:i4>
      </vt:variant>
      <vt:variant>
        <vt:i4>0</vt:i4>
      </vt:variant>
      <vt:variant>
        <vt:i4>5</vt:i4>
      </vt:variant>
      <vt:variant>
        <vt:lpwstr>../Docs/R1-134634.zip</vt:lpwstr>
      </vt:variant>
      <vt:variant>
        <vt:lpwstr/>
      </vt:variant>
      <vt:variant>
        <vt:i4>4587529</vt:i4>
      </vt:variant>
      <vt:variant>
        <vt:i4>4074</vt:i4>
      </vt:variant>
      <vt:variant>
        <vt:i4>0</vt:i4>
      </vt:variant>
      <vt:variant>
        <vt:i4>5</vt:i4>
      </vt:variant>
      <vt:variant>
        <vt:lpwstr>../Docs/R1-134634.zip</vt:lpwstr>
      </vt:variant>
      <vt:variant>
        <vt:lpwstr/>
      </vt:variant>
      <vt:variant>
        <vt:i4>4587529</vt:i4>
      </vt:variant>
      <vt:variant>
        <vt:i4>4071</vt:i4>
      </vt:variant>
      <vt:variant>
        <vt:i4>0</vt:i4>
      </vt:variant>
      <vt:variant>
        <vt:i4>5</vt:i4>
      </vt:variant>
      <vt:variant>
        <vt:lpwstr>../Docs/R1-135123.zip</vt:lpwstr>
      </vt:variant>
      <vt:variant>
        <vt:lpwstr/>
      </vt:variant>
      <vt:variant>
        <vt:i4>2162690</vt:i4>
      </vt:variant>
      <vt:variant>
        <vt:i4>4068</vt:i4>
      </vt:variant>
      <vt:variant>
        <vt:i4>0</vt:i4>
      </vt:variant>
      <vt:variant>
        <vt:i4>5</vt:i4>
      </vt:variant>
      <vt:variant>
        <vt:lpwstr>http://www.3gpp.org/ftp/tsg_ran/TSG_RAN/TSGR_59/Docs/RP-130404.zip</vt:lpwstr>
      </vt:variant>
      <vt:variant>
        <vt:lpwstr/>
      </vt:variant>
      <vt:variant>
        <vt:i4>4390920</vt:i4>
      </vt:variant>
      <vt:variant>
        <vt:i4>4065</vt:i4>
      </vt:variant>
      <vt:variant>
        <vt:i4>0</vt:i4>
      </vt:variant>
      <vt:variant>
        <vt:i4>5</vt:i4>
      </vt:variant>
      <vt:variant>
        <vt:lpwstr>../Docs/R1-135271.zip</vt:lpwstr>
      </vt:variant>
      <vt:variant>
        <vt:lpwstr/>
      </vt:variant>
      <vt:variant>
        <vt:i4>4653059</vt:i4>
      </vt:variant>
      <vt:variant>
        <vt:i4>4062</vt:i4>
      </vt:variant>
      <vt:variant>
        <vt:i4>0</vt:i4>
      </vt:variant>
      <vt:variant>
        <vt:i4>5</vt:i4>
      </vt:variant>
      <vt:variant>
        <vt:lpwstr>../Docs/R1-136008.zip</vt:lpwstr>
      </vt:variant>
      <vt:variant>
        <vt:lpwstr/>
      </vt:variant>
      <vt:variant>
        <vt:i4>4194315</vt:i4>
      </vt:variant>
      <vt:variant>
        <vt:i4>4059</vt:i4>
      </vt:variant>
      <vt:variant>
        <vt:i4>0</vt:i4>
      </vt:variant>
      <vt:variant>
        <vt:i4>5</vt:i4>
      </vt:variant>
      <vt:variant>
        <vt:lpwstr>../Docs/R1-135242.zip</vt:lpwstr>
      </vt:variant>
      <vt:variant>
        <vt:lpwstr/>
      </vt:variant>
      <vt:variant>
        <vt:i4>4521997</vt:i4>
      </vt:variant>
      <vt:variant>
        <vt:i4>4056</vt:i4>
      </vt:variant>
      <vt:variant>
        <vt:i4>0</vt:i4>
      </vt:variant>
      <vt:variant>
        <vt:i4>5</vt:i4>
      </vt:variant>
      <vt:variant>
        <vt:lpwstr>../Docs/R1-135412.zip</vt:lpwstr>
      </vt:variant>
      <vt:variant>
        <vt:lpwstr/>
      </vt:variant>
      <vt:variant>
        <vt:i4>5046286</vt:i4>
      </vt:variant>
      <vt:variant>
        <vt:i4>4053</vt:i4>
      </vt:variant>
      <vt:variant>
        <vt:i4>0</vt:i4>
      </vt:variant>
      <vt:variant>
        <vt:i4>5</vt:i4>
      </vt:variant>
      <vt:variant>
        <vt:lpwstr>../Docs/R1-135491.zip</vt:lpwstr>
      </vt:variant>
      <vt:variant>
        <vt:lpwstr/>
      </vt:variant>
      <vt:variant>
        <vt:i4>5046281</vt:i4>
      </vt:variant>
      <vt:variant>
        <vt:i4>4050</vt:i4>
      </vt:variant>
      <vt:variant>
        <vt:i4>0</vt:i4>
      </vt:variant>
      <vt:variant>
        <vt:i4>5</vt:i4>
      </vt:variant>
      <vt:variant>
        <vt:lpwstr>../Docs/R1-135597.zip</vt:lpwstr>
      </vt:variant>
      <vt:variant>
        <vt:lpwstr/>
      </vt:variant>
      <vt:variant>
        <vt:i4>4587530</vt:i4>
      </vt:variant>
      <vt:variant>
        <vt:i4>4047</vt:i4>
      </vt:variant>
      <vt:variant>
        <vt:i4>0</vt:i4>
      </vt:variant>
      <vt:variant>
        <vt:i4>5</vt:i4>
      </vt:variant>
      <vt:variant>
        <vt:lpwstr>../Docs/R1-135524.zip</vt:lpwstr>
      </vt:variant>
      <vt:variant>
        <vt:lpwstr/>
      </vt:variant>
      <vt:variant>
        <vt:i4>4390927</vt:i4>
      </vt:variant>
      <vt:variant>
        <vt:i4>4044</vt:i4>
      </vt:variant>
      <vt:variant>
        <vt:i4>0</vt:i4>
      </vt:variant>
      <vt:variant>
        <vt:i4>5</vt:i4>
      </vt:variant>
      <vt:variant>
        <vt:lpwstr>../Docs/R1-135377.zip</vt:lpwstr>
      </vt:variant>
      <vt:variant>
        <vt:lpwstr/>
      </vt:variant>
      <vt:variant>
        <vt:i4>4194319</vt:i4>
      </vt:variant>
      <vt:variant>
        <vt:i4>4041</vt:i4>
      </vt:variant>
      <vt:variant>
        <vt:i4>0</vt:i4>
      </vt:variant>
      <vt:variant>
        <vt:i4>5</vt:i4>
      </vt:variant>
      <vt:variant>
        <vt:lpwstr>../Docs/R1-135145.zip</vt:lpwstr>
      </vt:variant>
      <vt:variant>
        <vt:lpwstr/>
      </vt:variant>
      <vt:variant>
        <vt:i4>5046285</vt:i4>
      </vt:variant>
      <vt:variant>
        <vt:i4>4038</vt:i4>
      </vt:variant>
      <vt:variant>
        <vt:i4>0</vt:i4>
      </vt:variant>
      <vt:variant>
        <vt:i4>5</vt:i4>
      </vt:variant>
      <vt:variant>
        <vt:lpwstr>../Docs/R1-135096.zip</vt:lpwstr>
      </vt:variant>
      <vt:variant>
        <vt:lpwstr/>
      </vt:variant>
      <vt:variant>
        <vt:i4>4456459</vt:i4>
      </vt:variant>
      <vt:variant>
        <vt:i4>4035</vt:i4>
      </vt:variant>
      <vt:variant>
        <vt:i4>0</vt:i4>
      </vt:variant>
      <vt:variant>
        <vt:i4>5</vt:i4>
      </vt:variant>
      <vt:variant>
        <vt:lpwstr>../Docs/R1-135404.zip</vt:lpwstr>
      </vt:variant>
      <vt:variant>
        <vt:lpwstr/>
      </vt:variant>
      <vt:variant>
        <vt:i4>4587528</vt:i4>
      </vt:variant>
      <vt:variant>
        <vt:i4>4032</vt:i4>
      </vt:variant>
      <vt:variant>
        <vt:i4>0</vt:i4>
      </vt:variant>
      <vt:variant>
        <vt:i4>5</vt:i4>
      </vt:variant>
      <vt:variant>
        <vt:lpwstr>../Docs/R1-135122.zip</vt:lpwstr>
      </vt:variant>
      <vt:variant>
        <vt:lpwstr/>
      </vt:variant>
      <vt:variant>
        <vt:i4>4259852</vt:i4>
      </vt:variant>
      <vt:variant>
        <vt:i4>4029</vt:i4>
      </vt:variant>
      <vt:variant>
        <vt:i4>0</vt:i4>
      </vt:variant>
      <vt:variant>
        <vt:i4>5</vt:i4>
      </vt:variant>
      <vt:variant>
        <vt:lpwstr>../Docs/R1-135552.zip</vt:lpwstr>
      </vt:variant>
      <vt:variant>
        <vt:lpwstr/>
      </vt:variant>
      <vt:variant>
        <vt:i4>5046285</vt:i4>
      </vt:variant>
      <vt:variant>
        <vt:i4>4026</vt:i4>
      </vt:variant>
      <vt:variant>
        <vt:i4>0</vt:i4>
      </vt:variant>
      <vt:variant>
        <vt:i4>5</vt:i4>
      </vt:variant>
      <vt:variant>
        <vt:lpwstr>../Docs/R1-135492.zip</vt:lpwstr>
      </vt:variant>
      <vt:variant>
        <vt:lpwstr/>
      </vt:variant>
      <vt:variant>
        <vt:i4>4390924</vt:i4>
      </vt:variant>
      <vt:variant>
        <vt:i4>4023</vt:i4>
      </vt:variant>
      <vt:variant>
        <vt:i4>0</vt:i4>
      </vt:variant>
      <vt:variant>
        <vt:i4>5</vt:i4>
      </vt:variant>
      <vt:variant>
        <vt:lpwstr>../Docs/R1-135770.zip</vt:lpwstr>
      </vt:variant>
      <vt:variant>
        <vt:lpwstr/>
      </vt:variant>
      <vt:variant>
        <vt:i4>4653064</vt:i4>
      </vt:variant>
      <vt:variant>
        <vt:i4>4020</vt:i4>
      </vt:variant>
      <vt:variant>
        <vt:i4>0</vt:i4>
      </vt:variant>
      <vt:variant>
        <vt:i4>5</vt:i4>
      </vt:variant>
      <vt:variant>
        <vt:lpwstr>../Docs/R1-135231.zip</vt:lpwstr>
      </vt:variant>
      <vt:variant>
        <vt:lpwstr/>
      </vt:variant>
      <vt:variant>
        <vt:i4>4194306</vt:i4>
      </vt:variant>
      <vt:variant>
        <vt:i4>4017</vt:i4>
      </vt:variant>
      <vt:variant>
        <vt:i4>0</vt:i4>
      </vt:variant>
      <vt:variant>
        <vt:i4>5</vt:i4>
      </vt:variant>
      <vt:variant>
        <vt:lpwstr>../Docs/R1-135049.zip</vt:lpwstr>
      </vt:variant>
      <vt:variant>
        <vt:lpwstr/>
      </vt:variant>
      <vt:variant>
        <vt:i4>4980747</vt:i4>
      </vt:variant>
      <vt:variant>
        <vt:i4>4014</vt:i4>
      </vt:variant>
      <vt:variant>
        <vt:i4>0</vt:i4>
      </vt:variant>
      <vt:variant>
        <vt:i4>5</vt:i4>
      </vt:variant>
      <vt:variant>
        <vt:lpwstr>../Docs/R1-135181.zip</vt:lpwstr>
      </vt:variant>
      <vt:variant>
        <vt:lpwstr/>
      </vt:variant>
      <vt:variant>
        <vt:i4>4194315</vt:i4>
      </vt:variant>
      <vt:variant>
        <vt:i4>4011</vt:i4>
      </vt:variant>
      <vt:variant>
        <vt:i4>0</vt:i4>
      </vt:variant>
      <vt:variant>
        <vt:i4>5</vt:i4>
      </vt:variant>
      <vt:variant>
        <vt:lpwstr>../Docs/R1-135545.zip</vt:lpwstr>
      </vt:variant>
      <vt:variant>
        <vt:lpwstr/>
      </vt:variant>
      <vt:variant>
        <vt:i4>4259848</vt:i4>
      </vt:variant>
      <vt:variant>
        <vt:i4>4008</vt:i4>
      </vt:variant>
      <vt:variant>
        <vt:i4>0</vt:i4>
      </vt:variant>
      <vt:variant>
        <vt:i4>5</vt:i4>
      </vt:variant>
      <vt:variant>
        <vt:lpwstr>../Docs/R1-135251.zip</vt:lpwstr>
      </vt:variant>
      <vt:variant>
        <vt:lpwstr/>
      </vt:variant>
      <vt:variant>
        <vt:i4>4194307</vt:i4>
      </vt:variant>
      <vt:variant>
        <vt:i4>4005</vt:i4>
      </vt:variant>
      <vt:variant>
        <vt:i4>0</vt:i4>
      </vt:variant>
      <vt:variant>
        <vt:i4>5</vt:i4>
      </vt:variant>
      <vt:variant>
        <vt:lpwstr>../Docs/R1-136078.zip</vt:lpwstr>
      </vt:variant>
      <vt:variant>
        <vt:lpwstr/>
      </vt:variant>
      <vt:variant>
        <vt:i4>4194316</vt:i4>
      </vt:variant>
      <vt:variant>
        <vt:i4>4002</vt:i4>
      </vt:variant>
      <vt:variant>
        <vt:i4>0</vt:i4>
      </vt:variant>
      <vt:variant>
        <vt:i4>5</vt:i4>
      </vt:variant>
      <vt:variant>
        <vt:lpwstr>../Docs/R1-136077.zip</vt:lpwstr>
      </vt:variant>
      <vt:variant>
        <vt:lpwstr/>
      </vt:variant>
      <vt:variant>
        <vt:i4>4587521</vt:i4>
      </vt:variant>
      <vt:variant>
        <vt:i4>3999</vt:i4>
      </vt:variant>
      <vt:variant>
        <vt:i4>0</vt:i4>
      </vt:variant>
      <vt:variant>
        <vt:i4>5</vt:i4>
      </vt:variant>
      <vt:variant>
        <vt:lpwstr>../Docs/R1-135923.zip</vt:lpwstr>
      </vt:variant>
      <vt:variant>
        <vt:lpwstr/>
      </vt:variant>
      <vt:variant>
        <vt:i4>4587526</vt:i4>
      </vt:variant>
      <vt:variant>
        <vt:i4>3996</vt:i4>
      </vt:variant>
      <vt:variant>
        <vt:i4>0</vt:i4>
      </vt:variant>
      <vt:variant>
        <vt:i4>5</vt:i4>
      </vt:variant>
      <vt:variant>
        <vt:lpwstr>../Docs/R1-135924.zip</vt:lpwstr>
      </vt:variant>
      <vt:variant>
        <vt:lpwstr/>
      </vt:variant>
      <vt:variant>
        <vt:i4>4587526</vt:i4>
      </vt:variant>
      <vt:variant>
        <vt:i4>3993</vt:i4>
      </vt:variant>
      <vt:variant>
        <vt:i4>0</vt:i4>
      </vt:variant>
      <vt:variant>
        <vt:i4>5</vt:i4>
      </vt:variant>
      <vt:variant>
        <vt:lpwstr>../Docs/R1-135924.zip</vt:lpwstr>
      </vt:variant>
      <vt:variant>
        <vt:lpwstr/>
      </vt:variant>
      <vt:variant>
        <vt:i4>4587521</vt:i4>
      </vt:variant>
      <vt:variant>
        <vt:i4>3990</vt:i4>
      </vt:variant>
      <vt:variant>
        <vt:i4>0</vt:i4>
      </vt:variant>
      <vt:variant>
        <vt:i4>5</vt:i4>
      </vt:variant>
      <vt:variant>
        <vt:lpwstr>../Docs/R1-135923.zip</vt:lpwstr>
      </vt:variant>
      <vt:variant>
        <vt:lpwstr/>
      </vt:variant>
      <vt:variant>
        <vt:i4>4587520</vt:i4>
      </vt:variant>
      <vt:variant>
        <vt:i4>3987</vt:i4>
      </vt:variant>
      <vt:variant>
        <vt:i4>0</vt:i4>
      </vt:variant>
      <vt:variant>
        <vt:i4>5</vt:i4>
      </vt:variant>
      <vt:variant>
        <vt:lpwstr>../Docs/R1-135922.zip</vt:lpwstr>
      </vt:variant>
      <vt:variant>
        <vt:lpwstr/>
      </vt:variant>
      <vt:variant>
        <vt:i4>4587523</vt:i4>
      </vt:variant>
      <vt:variant>
        <vt:i4>3984</vt:i4>
      </vt:variant>
      <vt:variant>
        <vt:i4>0</vt:i4>
      </vt:variant>
      <vt:variant>
        <vt:i4>5</vt:i4>
      </vt:variant>
      <vt:variant>
        <vt:lpwstr>../Docs/R1-135921.zip</vt:lpwstr>
      </vt:variant>
      <vt:variant>
        <vt:lpwstr/>
      </vt:variant>
      <vt:variant>
        <vt:i4>4587523</vt:i4>
      </vt:variant>
      <vt:variant>
        <vt:i4>3981</vt:i4>
      </vt:variant>
      <vt:variant>
        <vt:i4>0</vt:i4>
      </vt:variant>
      <vt:variant>
        <vt:i4>5</vt:i4>
      </vt:variant>
      <vt:variant>
        <vt:lpwstr>../Docs/R1-135921.zip</vt:lpwstr>
      </vt:variant>
      <vt:variant>
        <vt:lpwstr/>
      </vt:variant>
      <vt:variant>
        <vt:i4>4587531</vt:i4>
      </vt:variant>
      <vt:variant>
        <vt:i4>3978</vt:i4>
      </vt:variant>
      <vt:variant>
        <vt:i4>0</vt:i4>
      </vt:variant>
      <vt:variant>
        <vt:i4>5</vt:i4>
      </vt:variant>
      <vt:variant>
        <vt:lpwstr>../Docs/R1-136010.zip</vt:lpwstr>
      </vt:variant>
      <vt:variant>
        <vt:lpwstr/>
      </vt:variant>
      <vt:variant>
        <vt:i4>4653068</vt:i4>
      </vt:variant>
      <vt:variant>
        <vt:i4>3975</vt:i4>
      </vt:variant>
      <vt:variant>
        <vt:i4>0</vt:i4>
      </vt:variant>
      <vt:variant>
        <vt:i4>5</vt:i4>
      </vt:variant>
      <vt:variant>
        <vt:lpwstr>../Docs/R1-136007.zip</vt:lpwstr>
      </vt:variant>
      <vt:variant>
        <vt:lpwstr/>
      </vt:variant>
      <vt:variant>
        <vt:i4>4259842</vt:i4>
      </vt:variant>
      <vt:variant>
        <vt:i4>3972</vt:i4>
      </vt:variant>
      <vt:variant>
        <vt:i4>0</vt:i4>
      </vt:variant>
      <vt:variant>
        <vt:i4>5</vt:i4>
      </vt:variant>
      <vt:variant>
        <vt:lpwstr>../Docs/R1-135950.zip</vt:lpwstr>
      </vt:variant>
      <vt:variant>
        <vt:lpwstr/>
      </vt:variant>
      <vt:variant>
        <vt:i4>4259841</vt:i4>
      </vt:variant>
      <vt:variant>
        <vt:i4>3969</vt:i4>
      </vt:variant>
      <vt:variant>
        <vt:i4>0</vt:i4>
      </vt:variant>
      <vt:variant>
        <vt:i4>5</vt:i4>
      </vt:variant>
      <vt:variant>
        <vt:lpwstr>../Docs/R1-135953.zip</vt:lpwstr>
      </vt:variant>
      <vt:variant>
        <vt:lpwstr/>
      </vt:variant>
      <vt:variant>
        <vt:i4>4587534</vt:i4>
      </vt:variant>
      <vt:variant>
        <vt:i4>3966</vt:i4>
      </vt:variant>
      <vt:variant>
        <vt:i4>0</vt:i4>
      </vt:variant>
      <vt:variant>
        <vt:i4>5</vt:i4>
      </vt:variant>
      <vt:variant>
        <vt:lpwstr>../Docs/R1-135227.zip</vt:lpwstr>
      </vt:variant>
      <vt:variant>
        <vt:lpwstr/>
      </vt:variant>
      <vt:variant>
        <vt:i4>4653058</vt:i4>
      </vt:variant>
      <vt:variant>
        <vt:i4>3963</vt:i4>
      </vt:variant>
      <vt:variant>
        <vt:i4>0</vt:i4>
      </vt:variant>
      <vt:variant>
        <vt:i4>5</vt:i4>
      </vt:variant>
      <vt:variant>
        <vt:lpwstr>../Docs/R1-135831.zip</vt:lpwstr>
      </vt:variant>
      <vt:variant>
        <vt:lpwstr/>
      </vt:variant>
      <vt:variant>
        <vt:i4>4587534</vt:i4>
      </vt:variant>
      <vt:variant>
        <vt:i4>3960</vt:i4>
      </vt:variant>
      <vt:variant>
        <vt:i4>0</vt:i4>
      </vt:variant>
      <vt:variant>
        <vt:i4>5</vt:i4>
      </vt:variant>
      <vt:variant>
        <vt:lpwstr>../Docs/R1-135227.zip</vt:lpwstr>
      </vt:variant>
      <vt:variant>
        <vt:lpwstr/>
      </vt:variant>
      <vt:variant>
        <vt:i4>4456451</vt:i4>
      </vt:variant>
      <vt:variant>
        <vt:i4>3957</vt:i4>
      </vt:variant>
      <vt:variant>
        <vt:i4>0</vt:i4>
      </vt:variant>
      <vt:variant>
        <vt:i4>5</vt:i4>
      </vt:variant>
      <vt:variant>
        <vt:lpwstr>../Docs/R1-135800.zip</vt:lpwstr>
      </vt:variant>
      <vt:variant>
        <vt:lpwstr/>
      </vt:variant>
      <vt:variant>
        <vt:i4>4980746</vt:i4>
      </vt:variant>
      <vt:variant>
        <vt:i4>3954</vt:i4>
      </vt:variant>
      <vt:variant>
        <vt:i4>0</vt:i4>
      </vt:variant>
      <vt:variant>
        <vt:i4>5</vt:i4>
      </vt:variant>
      <vt:variant>
        <vt:lpwstr>../Docs/R1-135180.zip</vt:lpwstr>
      </vt:variant>
      <vt:variant>
        <vt:lpwstr/>
      </vt:variant>
      <vt:variant>
        <vt:i4>4653056</vt:i4>
      </vt:variant>
      <vt:variant>
        <vt:i4>3951</vt:i4>
      </vt:variant>
      <vt:variant>
        <vt:i4>0</vt:i4>
      </vt:variant>
      <vt:variant>
        <vt:i4>5</vt:i4>
      </vt:variant>
      <vt:variant>
        <vt:lpwstr>../Docs/R1-135239.zip</vt:lpwstr>
      </vt:variant>
      <vt:variant>
        <vt:lpwstr/>
      </vt:variant>
      <vt:variant>
        <vt:i4>4587521</vt:i4>
      </vt:variant>
      <vt:variant>
        <vt:i4>3948</vt:i4>
      </vt:variant>
      <vt:variant>
        <vt:i4>0</vt:i4>
      </vt:variant>
      <vt:variant>
        <vt:i4>5</vt:i4>
      </vt:variant>
      <vt:variant>
        <vt:lpwstr>../Docs/R1-135329.zip</vt:lpwstr>
      </vt:variant>
      <vt:variant>
        <vt:lpwstr/>
      </vt:variant>
      <vt:variant>
        <vt:i4>4390925</vt:i4>
      </vt:variant>
      <vt:variant>
        <vt:i4>3945</vt:i4>
      </vt:variant>
      <vt:variant>
        <vt:i4>0</vt:i4>
      </vt:variant>
      <vt:variant>
        <vt:i4>5</vt:i4>
      </vt:variant>
      <vt:variant>
        <vt:lpwstr>../Docs/R1-135375.zip</vt:lpwstr>
      </vt:variant>
      <vt:variant>
        <vt:lpwstr/>
      </vt:variant>
      <vt:variant>
        <vt:i4>4194307</vt:i4>
      </vt:variant>
      <vt:variant>
        <vt:i4>3942</vt:i4>
      </vt:variant>
      <vt:variant>
        <vt:i4>0</vt:i4>
      </vt:variant>
      <vt:variant>
        <vt:i4>5</vt:i4>
      </vt:variant>
      <vt:variant>
        <vt:lpwstr>../Docs/R1-135048.zip</vt:lpwstr>
      </vt:variant>
      <vt:variant>
        <vt:lpwstr/>
      </vt:variant>
      <vt:variant>
        <vt:i4>4194306</vt:i4>
      </vt:variant>
      <vt:variant>
        <vt:i4>3939</vt:i4>
      </vt:variant>
      <vt:variant>
        <vt:i4>0</vt:i4>
      </vt:variant>
      <vt:variant>
        <vt:i4>5</vt:i4>
      </vt:variant>
      <vt:variant>
        <vt:lpwstr>../Docs/R1-135940.zip</vt:lpwstr>
      </vt:variant>
      <vt:variant>
        <vt:lpwstr/>
      </vt:variant>
      <vt:variant>
        <vt:i4>5046287</vt:i4>
      </vt:variant>
      <vt:variant>
        <vt:i4>3936</vt:i4>
      </vt:variant>
      <vt:variant>
        <vt:i4>0</vt:i4>
      </vt:variant>
      <vt:variant>
        <vt:i4>5</vt:i4>
      </vt:variant>
      <vt:variant>
        <vt:lpwstr>../Docs/R1-135490.zip</vt:lpwstr>
      </vt:variant>
      <vt:variant>
        <vt:lpwstr/>
      </vt:variant>
      <vt:variant>
        <vt:i4>4325381</vt:i4>
      </vt:variant>
      <vt:variant>
        <vt:i4>3933</vt:i4>
      </vt:variant>
      <vt:variant>
        <vt:i4>0</vt:i4>
      </vt:variant>
      <vt:variant>
        <vt:i4>5</vt:i4>
      </vt:variant>
      <vt:variant>
        <vt:lpwstr>../Docs/R1-135769.zip</vt:lpwstr>
      </vt:variant>
      <vt:variant>
        <vt:lpwstr/>
      </vt:variant>
      <vt:variant>
        <vt:i4>4390926</vt:i4>
      </vt:variant>
      <vt:variant>
        <vt:i4>3930</vt:i4>
      </vt:variant>
      <vt:variant>
        <vt:i4>0</vt:i4>
      </vt:variant>
      <vt:variant>
        <vt:i4>5</vt:i4>
      </vt:variant>
      <vt:variant>
        <vt:lpwstr>../Docs/R1-135376.zip</vt:lpwstr>
      </vt:variant>
      <vt:variant>
        <vt:lpwstr/>
      </vt:variant>
      <vt:variant>
        <vt:i4>4390915</vt:i4>
      </vt:variant>
      <vt:variant>
        <vt:i4>3927</vt:i4>
      </vt:variant>
      <vt:variant>
        <vt:i4>0</vt:i4>
      </vt:variant>
      <vt:variant>
        <vt:i4>5</vt:i4>
      </vt:variant>
      <vt:variant>
        <vt:lpwstr>../Docs/R1-135179.zip</vt:lpwstr>
      </vt:variant>
      <vt:variant>
        <vt:lpwstr/>
      </vt:variant>
      <vt:variant>
        <vt:i4>5046275</vt:i4>
      </vt:variant>
      <vt:variant>
        <vt:i4>3924</vt:i4>
      </vt:variant>
      <vt:variant>
        <vt:i4>0</vt:i4>
      </vt:variant>
      <vt:variant>
        <vt:i4>5</vt:i4>
      </vt:variant>
      <vt:variant>
        <vt:lpwstr>../Docs/R1-135890.zip</vt:lpwstr>
      </vt:variant>
      <vt:variant>
        <vt:lpwstr/>
      </vt:variant>
      <vt:variant>
        <vt:i4>4194313</vt:i4>
      </vt:variant>
      <vt:variant>
        <vt:i4>3921</vt:i4>
      </vt:variant>
      <vt:variant>
        <vt:i4>0</vt:i4>
      </vt:variant>
      <vt:variant>
        <vt:i4>5</vt:i4>
      </vt:variant>
      <vt:variant>
        <vt:lpwstr>../Docs/R1-135240.zip</vt:lpwstr>
      </vt:variant>
      <vt:variant>
        <vt:lpwstr/>
      </vt:variant>
      <vt:variant>
        <vt:i4>4194312</vt:i4>
      </vt:variant>
      <vt:variant>
        <vt:i4>3918</vt:i4>
      </vt:variant>
      <vt:variant>
        <vt:i4>0</vt:i4>
      </vt:variant>
      <vt:variant>
        <vt:i4>5</vt:i4>
      </vt:variant>
      <vt:variant>
        <vt:lpwstr>../Docs/R1-135241.zip</vt:lpwstr>
      </vt:variant>
      <vt:variant>
        <vt:lpwstr/>
      </vt:variant>
      <vt:variant>
        <vt:i4>4653065</vt:i4>
      </vt:variant>
      <vt:variant>
        <vt:i4>3915</vt:i4>
      </vt:variant>
      <vt:variant>
        <vt:i4>0</vt:i4>
      </vt:variant>
      <vt:variant>
        <vt:i4>5</vt:i4>
      </vt:variant>
      <vt:variant>
        <vt:lpwstr>../Docs/R1-135230.zip</vt:lpwstr>
      </vt:variant>
      <vt:variant>
        <vt:lpwstr/>
      </vt:variant>
      <vt:variant>
        <vt:i4>4587520</vt:i4>
      </vt:variant>
      <vt:variant>
        <vt:i4>3912</vt:i4>
      </vt:variant>
      <vt:variant>
        <vt:i4>0</vt:i4>
      </vt:variant>
      <vt:variant>
        <vt:i4>5</vt:i4>
      </vt:variant>
      <vt:variant>
        <vt:lpwstr>../Docs/R1-135229.zip</vt:lpwstr>
      </vt:variant>
      <vt:variant>
        <vt:lpwstr/>
      </vt:variant>
      <vt:variant>
        <vt:i4>4587525</vt:i4>
      </vt:variant>
      <vt:variant>
        <vt:i4>3909</vt:i4>
      </vt:variant>
      <vt:variant>
        <vt:i4>0</vt:i4>
      </vt:variant>
      <vt:variant>
        <vt:i4>5</vt:i4>
      </vt:variant>
      <vt:variant>
        <vt:lpwstr>../Docs/R1-135826.zip</vt:lpwstr>
      </vt:variant>
      <vt:variant>
        <vt:lpwstr/>
      </vt:variant>
      <vt:variant>
        <vt:i4>4587521</vt:i4>
      </vt:variant>
      <vt:variant>
        <vt:i4>3906</vt:i4>
      </vt:variant>
      <vt:variant>
        <vt:i4>0</vt:i4>
      </vt:variant>
      <vt:variant>
        <vt:i4>5</vt:i4>
      </vt:variant>
      <vt:variant>
        <vt:lpwstr>../Docs/R1-135228.zip</vt:lpwstr>
      </vt:variant>
      <vt:variant>
        <vt:lpwstr/>
      </vt:variant>
      <vt:variant>
        <vt:i4>4587526</vt:i4>
      </vt:variant>
      <vt:variant>
        <vt:i4>3903</vt:i4>
      </vt:variant>
      <vt:variant>
        <vt:i4>0</vt:i4>
      </vt:variant>
      <vt:variant>
        <vt:i4>5</vt:i4>
      </vt:variant>
      <vt:variant>
        <vt:lpwstr>../Docs/R1-135825.zip</vt:lpwstr>
      </vt:variant>
      <vt:variant>
        <vt:lpwstr/>
      </vt:variant>
      <vt:variant>
        <vt:i4>5046280</vt:i4>
      </vt:variant>
      <vt:variant>
        <vt:i4>3900</vt:i4>
      </vt:variant>
      <vt:variant>
        <vt:i4>0</vt:i4>
      </vt:variant>
      <vt:variant>
        <vt:i4>5</vt:i4>
      </vt:variant>
      <vt:variant>
        <vt:lpwstr>../Docs/R1-135596.zip</vt:lpwstr>
      </vt:variant>
      <vt:variant>
        <vt:lpwstr/>
      </vt:variant>
      <vt:variant>
        <vt:i4>5046283</vt:i4>
      </vt:variant>
      <vt:variant>
        <vt:i4>3897</vt:i4>
      </vt:variant>
      <vt:variant>
        <vt:i4>0</vt:i4>
      </vt:variant>
      <vt:variant>
        <vt:i4>5</vt:i4>
      </vt:variant>
      <vt:variant>
        <vt:lpwstr>../Docs/R1-135595.zip</vt:lpwstr>
      </vt:variant>
      <vt:variant>
        <vt:lpwstr/>
      </vt:variant>
      <vt:variant>
        <vt:i4>4587533</vt:i4>
      </vt:variant>
      <vt:variant>
        <vt:i4>3894</vt:i4>
      </vt:variant>
      <vt:variant>
        <vt:i4>0</vt:i4>
      </vt:variant>
      <vt:variant>
        <vt:i4>5</vt:i4>
      </vt:variant>
      <vt:variant>
        <vt:lpwstr>../Docs/R1-135523.zip</vt:lpwstr>
      </vt:variant>
      <vt:variant>
        <vt:lpwstr/>
      </vt:variant>
      <vt:variant>
        <vt:i4>4980740</vt:i4>
      </vt:variant>
      <vt:variant>
        <vt:i4>3891</vt:i4>
      </vt:variant>
      <vt:variant>
        <vt:i4>0</vt:i4>
      </vt:variant>
      <vt:variant>
        <vt:i4>5</vt:i4>
      </vt:variant>
      <vt:variant>
        <vt:lpwstr>../Docs/R1-135887.zip</vt:lpwstr>
      </vt:variant>
      <vt:variant>
        <vt:lpwstr/>
      </vt:variant>
      <vt:variant>
        <vt:i4>4587522</vt:i4>
      </vt:variant>
      <vt:variant>
        <vt:i4>3888</vt:i4>
      </vt:variant>
      <vt:variant>
        <vt:i4>0</vt:i4>
      </vt:variant>
      <vt:variant>
        <vt:i4>5</vt:i4>
      </vt:variant>
      <vt:variant>
        <vt:lpwstr>../Docs/R1-135920.zip</vt:lpwstr>
      </vt:variant>
      <vt:variant>
        <vt:lpwstr/>
      </vt:variant>
      <vt:variant>
        <vt:i4>4456453</vt:i4>
      </vt:variant>
      <vt:variant>
        <vt:i4>3885</vt:i4>
      </vt:variant>
      <vt:variant>
        <vt:i4>0</vt:i4>
      </vt:variant>
      <vt:variant>
        <vt:i4>5</vt:i4>
      </vt:variant>
      <vt:variant>
        <vt:lpwstr>../Docs/R1-135907.zip</vt:lpwstr>
      </vt:variant>
      <vt:variant>
        <vt:lpwstr/>
      </vt:variant>
      <vt:variant>
        <vt:i4>4521985</vt:i4>
      </vt:variant>
      <vt:variant>
        <vt:i4>3882</vt:i4>
      </vt:variant>
      <vt:variant>
        <vt:i4>0</vt:i4>
      </vt:variant>
      <vt:variant>
        <vt:i4>5</vt:i4>
      </vt:variant>
      <vt:variant>
        <vt:lpwstr>../Docs/R1-135913.zip</vt:lpwstr>
      </vt:variant>
      <vt:variant>
        <vt:lpwstr/>
      </vt:variant>
      <vt:variant>
        <vt:i4>4521985</vt:i4>
      </vt:variant>
      <vt:variant>
        <vt:i4>3879</vt:i4>
      </vt:variant>
      <vt:variant>
        <vt:i4>0</vt:i4>
      </vt:variant>
      <vt:variant>
        <vt:i4>5</vt:i4>
      </vt:variant>
      <vt:variant>
        <vt:lpwstr>../Docs/R1-135913.zip</vt:lpwstr>
      </vt:variant>
      <vt:variant>
        <vt:lpwstr/>
      </vt:variant>
      <vt:variant>
        <vt:i4>4456453</vt:i4>
      </vt:variant>
      <vt:variant>
        <vt:i4>3876</vt:i4>
      </vt:variant>
      <vt:variant>
        <vt:i4>0</vt:i4>
      </vt:variant>
      <vt:variant>
        <vt:i4>5</vt:i4>
      </vt:variant>
      <vt:variant>
        <vt:lpwstr>../Docs/R1-135907.zip</vt:lpwstr>
      </vt:variant>
      <vt:variant>
        <vt:lpwstr/>
      </vt:variant>
      <vt:variant>
        <vt:i4>4456456</vt:i4>
      </vt:variant>
      <vt:variant>
        <vt:i4>3873</vt:i4>
      </vt:variant>
      <vt:variant>
        <vt:i4>0</vt:i4>
      </vt:variant>
      <vt:variant>
        <vt:i4>5</vt:i4>
      </vt:variant>
      <vt:variant>
        <vt:lpwstr>../Docs/R1-136033.zip</vt:lpwstr>
      </vt:variant>
      <vt:variant>
        <vt:lpwstr/>
      </vt:variant>
      <vt:variant>
        <vt:i4>2949135</vt:i4>
      </vt:variant>
      <vt:variant>
        <vt:i4>3870</vt:i4>
      </vt:variant>
      <vt:variant>
        <vt:i4>0</vt:i4>
      </vt:variant>
      <vt:variant>
        <vt:i4>5</vt:i4>
      </vt:variant>
      <vt:variant>
        <vt:lpwstr>http://www.3gpp.org/ftp/tsg_ran/TSG_RAN/TSGR_60/Docs/RP-130847.zip</vt:lpwstr>
      </vt:variant>
      <vt:variant>
        <vt:lpwstr/>
      </vt:variant>
      <vt:variant>
        <vt:i4>4980742</vt:i4>
      </vt:variant>
      <vt:variant>
        <vt:i4>3867</vt:i4>
      </vt:variant>
      <vt:variant>
        <vt:i4>0</vt:i4>
      </vt:variant>
      <vt:variant>
        <vt:i4>5</vt:i4>
      </vt:variant>
      <vt:variant>
        <vt:lpwstr>../Docs/R1-135489.zip</vt:lpwstr>
      </vt:variant>
      <vt:variant>
        <vt:lpwstr/>
      </vt:variant>
      <vt:variant>
        <vt:i4>4521994</vt:i4>
      </vt:variant>
      <vt:variant>
        <vt:i4>3864</vt:i4>
      </vt:variant>
      <vt:variant>
        <vt:i4>0</vt:i4>
      </vt:variant>
      <vt:variant>
        <vt:i4>5</vt:i4>
      </vt:variant>
      <vt:variant>
        <vt:lpwstr>../Docs/R1-135415.zip</vt:lpwstr>
      </vt:variant>
      <vt:variant>
        <vt:lpwstr/>
      </vt:variant>
      <vt:variant>
        <vt:i4>4521986</vt:i4>
      </vt:variant>
      <vt:variant>
        <vt:i4>3861</vt:i4>
      </vt:variant>
      <vt:variant>
        <vt:i4>0</vt:i4>
      </vt:variant>
      <vt:variant>
        <vt:i4>5</vt:i4>
      </vt:variant>
      <vt:variant>
        <vt:lpwstr>../Docs/R1-135910.zip</vt:lpwstr>
      </vt:variant>
      <vt:variant>
        <vt:lpwstr/>
      </vt:variant>
      <vt:variant>
        <vt:i4>4456459</vt:i4>
      </vt:variant>
      <vt:variant>
        <vt:i4>3858</vt:i4>
      </vt:variant>
      <vt:variant>
        <vt:i4>0</vt:i4>
      </vt:variant>
      <vt:variant>
        <vt:i4>5</vt:i4>
      </vt:variant>
      <vt:variant>
        <vt:lpwstr>../Docs/R1-135909.zip</vt:lpwstr>
      </vt:variant>
      <vt:variant>
        <vt:lpwstr/>
      </vt:variant>
      <vt:variant>
        <vt:i4>4587520</vt:i4>
      </vt:variant>
      <vt:variant>
        <vt:i4>3855</vt:i4>
      </vt:variant>
      <vt:variant>
        <vt:i4>0</vt:i4>
      </vt:variant>
      <vt:variant>
        <vt:i4>5</vt:i4>
      </vt:variant>
      <vt:variant>
        <vt:lpwstr>../Docs/R1-135328.zip</vt:lpwstr>
      </vt:variant>
      <vt:variant>
        <vt:lpwstr/>
      </vt:variant>
      <vt:variant>
        <vt:i4>5046276</vt:i4>
      </vt:variant>
      <vt:variant>
        <vt:i4>3852</vt:i4>
      </vt:variant>
      <vt:variant>
        <vt:i4>0</vt:i4>
      </vt:variant>
      <vt:variant>
        <vt:i4>5</vt:i4>
      </vt:variant>
      <vt:variant>
        <vt:lpwstr>../Docs/R1-135897.zip</vt:lpwstr>
      </vt:variant>
      <vt:variant>
        <vt:lpwstr/>
      </vt:variant>
      <vt:variant>
        <vt:i4>4587535</vt:i4>
      </vt:variant>
      <vt:variant>
        <vt:i4>3849</vt:i4>
      </vt:variant>
      <vt:variant>
        <vt:i4>0</vt:i4>
      </vt:variant>
      <vt:variant>
        <vt:i4>5</vt:i4>
      </vt:variant>
      <vt:variant>
        <vt:lpwstr>../Docs/R1-135327.zip</vt:lpwstr>
      </vt:variant>
      <vt:variant>
        <vt:lpwstr/>
      </vt:variant>
      <vt:variant>
        <vt:i4>4456458</vt:i4>
      </vt:variant>
      <vt:variant>
        <vt:i4>3846</vt:i4>
      </vt:variant>
      <vt:variant>
        <vt:i4>0</vt:i4>
      </vt:variant>
      <vt:variant>
        <vt:i4>5</vt:i4>
      </vt:variant>
      <vt:variant>
        <vt:lpwstr>../Docs/R1-135908.zip</vt:lpwstr>
      </vt:variant>
      <vt:variant>
        <vt:lpwstr/>
      </vt:variant>
      <vt:variant>
        <vt:i4>4980739</vt:i4>
      </vt:variant>
      <vt:variant>
        <vt:i4>3843</vt:i4>
      </vt:variant>
      <vt:variant>
        <vt:i4>0</vt:i4>
      </vt:variant>
      <vt:variant>
        <vt:i4>5</vt:i4>
      </vt:variant>
      <vt:variant>
        <vt:lpwstr>../Docs/R1-135981.zip</vt:lpwstr>
      </vt:variant>
      <vt:variant>
        <vt:lpwstr/>
      </vt:variant>
      <vt:variant>
        <vt:i4>4456458</vt:i4>
      </vt:variant>
      <vt:variant>
        <vt:i4>3840</vt:i4>
      </vt:variant>
      <vt:variant>
        <vt:i4>0</vt:i4>
      </vt:variant>
      <vt:variant>
        <vt:i4>5</vt:i4>
      </vt:variant>
      <vt:variant>
        <vt:lpwstr>../Docs/R1-135908.zip</vt:lpwstr>
      </vt:variant>
      <vt:variant>
        <vt:lpwstr/>
      </vt:variant>
      <vt:variant>
        <vt:i4>4456458</vt:i4>
      </vt:variant>
      <vt:variant>
        <vt:i4>3837</vt:i4>
      </vt:variant>
      <vt:variant>
        <vt:i4>0</vt:i4>
      </vt:variant>
      <vt:variant>
        <vt:i4>5</vt:i4>
      </vt:variant>
      <vt:variant>
        <vt:lpwstr>../Docs/R1-135908.zip</vt:lpwstr>
      </vt:variant>
      <vt:variant>
        <vt:lpwstr/>
      </vt:variant>
      <vt:variant>
        <vt:i4>4587523</vt:i4>
      </vt:variant>
      <vt:variant>
        <vt:i4>3834</vt:i4>
      </vt:variant>
      <vt:variant>
        <vt:i4>0</vt:i4>
      </vt:variant>
      <vt:variant>
        <vt:i4>5</vt:i4>
      </vt:variant>
      <vt:variant>
        <vt:lpwstr>../Docs/R1-134931.zip</vt:lpwstr>
      </vt:variant>
      <vt:variant>
        <vt:lpwstr/>
      </vt:variant>
      <vt:variant>
        <vt:i4>4653061</vt:i4>
      </vt:variant>
      <vt:variant>
        <vt:i4>3831</vt:i4>
      </vt:variant>
      <vt:variant>
        <vt:i4>0</vt:i4>
      </vt:variant>
      <vt:variant>
        <vt:i4>5</vt:i4>
      </vt:variant>
      <vt:variant>
        <vt:lpwstr>../Docs/R1-135836.zip</vt:lpwstr>
      </vt:variant>
      <vt:variant>
        <vt:lpwstr/>
      </vt:variant>
      <vt:variant>
        <vt:i4>4390925</vt:i4>
      </vt:variant>
      <vt:variant>
        <vt:i4>3828</vt:i4>
      </vt:variant>
      <vt:variant>
        <vt:i4>0</vt:i4>
      </vt:variant>
      <vt:variant>
        <vt:i4>5</vt:i4>
      </vt:variant>
      <vt:variant>
        <vt:lpwstr>../Docs/R1-135670.zip</vt:lpwstr>
      </vt:variant>
      <vt:variant>
        <vt:lpwstr/>
      </vt:variant>
      <vt:variant>
        <vt:i4>4521988</vt:i4>
      </vt:variant>
      <vt:variant>
        <vt:i4>3825</vt:i4>
      </vt:variant>
      <vt:variant>
        <vt:i4>0</vt:i4>
      </vt:variant>
      <vt:variant>
        <vt:i4>5</vt:i4>
      </vt:variant>
      <vt:variant>
        <vt:lpwstr>../Docs/R1-135817.zip</vt:lpwstr>
      </vt:variant>
      <vt:variant>
        <vt:lpwstr/>
      </vt:variant>
      <vt:variant>
        <vt:i4>4521993</vt:i4>
      </vt:variant>
      <vt:variant>
        <vt:i4>3822</vt:i4>
      </vt:variant>
      <vt:variant>
        <vt:i4>0</vt:i4>
      </vt:variant>
      <vt:variant>
        <vt:i4>5</vt:i4>
      </vt:variant>
      <vt:variant>
        <vt:lpwstr>../Docs/R1-135614.zip</vt:lpwstr>
      </vt:variant>
      <vt:variant>
        <vt:lpwstr/>
      </vt:variant>
      <vt:variant>
        <vt:i4>4194314</vt:i4>
      </vt:variant>
      <vt:variant>
        <vt:i4>3819</vt:i4>
      </vt:variant>
      <vt:variant>
        <vt:i4>0</vt:i4>
      </vt:variant>
      <vt:variant>
        <vt:i4>5</vt:i4>
      </vt:variant>
      <vt:variant>
        <vt:lpwstr>../Docs/R1-135544.zip</vt:lpwstr>
      </vt:variant>
      <vt:variant>
        <vt:lpwstr/>
      </vt:variant>
      <vt:variant>
        <vt:i4>4980743</vt:i4>
      </vt:variant>
      <vt:variant>
        <vt:i4>3816</vt:i4>
      </vt:variant>
      <vt:variant>
        <vt:i4>0</vt:i4>
      </vt:variant>
      <vt:variant>
        <vt:i4>5</vt:i4>
      </vt:variant>
      <vt:variant>
        <vt:lpwstr>../Docs/R1-135488.zip</vt:lpwstr>
      </vt:variant>
      <vt:variant>
        <vt:lpwstr/>
      </vt:variant>
      <vt:variant>
        <vt:i4>4980744</vt:i4>
      </vt:variant>
      <vt:variant>
        <vt:i4>3813</vt:i4>
      </vt:variant>
      <vt:variant>
        <vt:i4>0</vt:i4>
      </vt:variant>
      <vt:variant>
        <vt:i4>5</vt:i4>
      </vt:variant>
      <vt:variant>
        <vt:lpwstr>../Docs/R1-135487.zip</vt:lpwstr>
      </vt:variant>
      <vt:variant>
        <vt:lpwstr/>
      </vt:variant>
      <vt:variant>
        <vt:i4>4194318</vt:i4>
      </vt:variant>
      <vt:variant>
        <vt:i4>3810</vt:i4>
      </vt:variant>
      <vt:variant>
        <vt:i4>0</vt:i4>
      </vt:variant>
      <vt:variant>
        <vt:i4>5</vt:i4>
      </vt:variant>
      <vt:variant>
        <vt:lpwstr>../Docs/R1-135144.zip</vt:lpwstr>
      </vt:variant>
      <vt:variant>
        <vt:lpwstr/>
      </vt:variant>
      <vt:variant>
        <vt:i4>5046283</vt:i4>
      </vt:variant>
      <vt:variant>
        <vt:i4>3807</vt:i4>
      </vt:variant>
      <vt:variant>
        <vt:i4>0</vt:i4>
      </vt:variant>
      <vt:variant>
        <vt:i4>5</vt:i4>
      </vt:variant>
      <vt:variant>
        <vt:lpwstr>../Docs/R1-135090.zip</vt:lpwstr>
      </vt:variant>
      <vt:variant>
        <vt:lpwstr/>
      </vt:variant>
      <vt:variant>
        <vt:i4>4653061</vt:i4>
      </vt:variant>
      <vt:variant>
        <vt:i4>3804</vt:i4>
      </vt:variant>
      <vt:variant>
        <vt:i4>0</vt:i4>
      </vt:variant>
      <vt:variant>
        <vt:i4>5</vt:i4>
      </vt:variant>
      <vt:variant>
        <vt:lpwstr>../Docs/R1-135937.zip</vt:lpwstr>
      </vt:variant>
      <vt:variant>
        <vt:lpwstr/>
      </vt:variant>
      <vt:variant>
        <vt:i4>4194316</vt:i4>
      </vt:variant>
      <vt:variant>
        <vt:i4>3801</vt:i4>
      </vt:variant>
      <vt:variant>
        <vt:i4>0</vt:i4>
      </vt:variant>
      <vt:variant>
        <vt:i4>5</vt:i4>
      </vt:variant>
      <vt:variant>
        <vt:lpwstr>../Docs/R1-135047.zip</vt:lpwstr>
      </vt:variant>
      <vt:variant>
        <vt:lpwstr/>
      </vt:variant>
      <vt:variant>
        <vt:i4>4587531</vt:i4>
      </vt:variant>
      <vt:variant>
        <vt:i4>3798</vt:i4>
      </vt:variant>
      <vt:variant>
        <vt:i4>0</vt:i4>
      </vt:variant>
      <vt:variant>
        <vt:i4>5</vt:i4>
      </vt:variant>
      <vt:variant>
        <vt:lpwstr>../Docs/R1-135121.zip</vt:lpwstr>
      </vt:variant>
      <vt:variant>
        <vt:lpwstr/>
      </vt:variant>
      <vt:variant>
        <vt:i4>4259847</vt:i4>
      </vt:variant>
      <vt:variant>
        <vt:i4>3795</vt:i4>
      </vt:variant>
      <vt:variant>
        <vt:i4>0</vt:i4>
      </vt:variant>
      <vt:variant>
        <vt:i4>5</vt:i4>
      </vt:variant>
      <vt:variant>
        <vt:lpwstr>../Docs/R1-135955.zip</vt:lpwstr>
      </vt:variant>
      <vt:variant>
        <vt:lpwstr/>
      </vt:variant>
      <vt:variant>
        <vt:i4>4587535</vt:i4>
      </vt:variant>
      <vt:variant>
        <vt:i4>3792</vt:i4>
      </vt:variant>
      <vt:variant>
        <vt:i4>0</vt:i4>
      </vt:variant>
      <vt:variant>
        <vt:i4>5</vt:i4>
      </vt:variant>
      <vt:variant>
        <vt:lpwstr>../Docs/R1-135226.zip</vt:lpwstr>
      </vt:variant>
      <vt:variant>
        <vt:lpwstr/>
      </vt:variant>
      <vt:variant>
        <vt:i4>4587534</vt:i4>
      </vt:variant>
      <vt:variant>
        <vt:i4>3789</vt:i4>
      </vt:variant>
      <vt:variant>
        <vt:i4>0</vt:i4>
      </vt:variant>
      <vt:variant>
        <vt:i4>5</vt:i4>
      </vt:variant>
      <vt:variant>
        <vt:lpwstr>../Docs/R1-135326.zip</vt:lpwstr>
      </vt:variant>
      <vt:variant>
        <vt:lpwstr/>
      </vt:variant>
      <vt:variant>
        <vt:i4>4390914</vt:i4>
      </vt:variant>
      <vt:variant>
        <vt:i4>3786</vt:i4>
      </vt:variant>
      <vt:variant>
        <vt:i4>0</vt:i4>
      </vt:variant>
      <vt:variant>
        <vt:i4>5</vt:i4>
      </vt:variant>
      <vt:variant>
        <vt:lpwstr>../Docs/R1-135178.zip</vt:lpwstr>
      </vt:variant>
      <vt:variant>
        <vt:lpwstr/>
      </vt:variant>
      <vt:variant>
        <vt:i4>4587532</vt:i4>
      </vt:variant>
      <vt:variant>
        <vt:i4>3783</vt:i4>
      </vt:variant>
      <vt:variant>
        <vt:i4>0</vt:i4>
      </vt:variant>
      <vt:variant>
        <vt:i4>5</vt:i4>
      </vt:variant>
      <vt:variant>
        <vt:lpwstr>../Docs/R1-135225.zip</vt:lpwstr>
      </vt:variant>
      <vt:variant>
        <vt:lpwstr/>
      </vt:variant>
      <vt:variant>
        <vt:i4>4653066</vt:i4>
      </vt:variant>
      <vt:variant>
        <vt:i4>3780</vt:i4>
      </vt:variant>
      <vt:variant>
        <vt:i4>0</vt:i4>
      </vt:variant>
      <vt:variant>
        <vt:i4>5</vt:i4>
      </vt:variant>
      <vt:variant>
        <vt:lpwstr>../Docs/R1-135938.zip</vt:lpwstr>
      </vt:variant>
      <vt:variant>
        <vt:lpwstr/>
      </vt:variant>
      <vt:variant>
        <vt:i4>4521992</vt:i4>
      </vt:variant>
      <vt:variant>
        <vt:i4>3777</vt:i4>
      </vt:variant>
      <vt:variant>
        <vt:i4>0</vt:i4>
      </vt:variant>
      <vt:variant>
        <vt:i4>5</vt:i4>
      </vt:variant>
      <vt:variant>
        <vt:lpwstr>../Docs/R1-135417.zip</vt:lpwstr>
      </vt:variant>
      <vt:variant>
        <vt:lpwstr/>
      </vt:variant>
      <vt:variant>
        <vt:i4>4390916</vt:i4>
      </vt:variant>
      <vt:variant>
        <vt:i4>3774</vt:i4>
      </vt:variant>
      <vt:variant>
        <vt:i4>0</vt:i4>
      </vt:variant>
      <vt:variant>
        <vt:i4>5</vt:i4>
      </vt:variant>
      <vt:variant>
        <vt:lpwstr>../Docs/R1-135877.zip</vt:lpwstr>
      </vt:variant>
      <vt:variant>
        <vt:lpwstr/>
      </vt:variant>
      <vt:variant>
        <vt:i4>4587530</vt:i4>
      </vt:variant>
      <vt:variant>
        <vt:i4>3771</vt:i4>
      </vt:variant>
      <vt:variant>
        <vt:i4>0</vt:i4>
      </vt:variant>
      <vt:variant>
        <vt:i4>5</vt:i4>
      </vt:variant>
      <vt:variant>
        <vt:lpwstr>../Docs/R1-135120.zip</vt:lpwstr>
      </vt:variant>
      <vt:variant>
        <vt:lpwstr/>
      </vt:variant>
      <vt:variant>
        <vt:i4>4587531</vt:i4>
      </vt:variant>
      <vt:variant>
        <vt:i4>3768</vt:i4>
      </vt:variant>
      <vt:variant>
        <vt:i4>0</vt:i4>
      </vt:variant>
      <vt:variant>
        <vt:i4>5</vt:i4>
      </vt:variant>
      <vt:variant>
        <vt:lpwstr>../Docs/R1-135828.zip</vt:lpwstr>
      </vt:variant>
      <vt:variant>
        <vt:lpwstr/>
      </vt:variant>
      <vt:variant>
        <vt:i4>4521994</vt:i4>
      </vt:variant>
      <vt:variant>
        <vt:i4>3765</vt:i4>
      </vt:variant>
      <vt:variant>
        <vt:i4>0</vt:i4>
      </vt:variant>
      <vt:variant>
        <vt:i4>5</vt:i4>
      </vt:variant>
      <vt:variant>
        <vt:lpwstr>../Docs/R1-135617.zip</vt:lpwstr>
      </vt:variant>
      <vt:variant>
        <vt:lpwstr/>
      </vt:variant>
      <vt:variant>
        <vt:i4>5046282</vt:i4>
      </vt:variant>
      <vt:variant>
        <vt:i4>3762</vt:i4>
      </vt:variant>
      <vt:variant>
        <vt:i4>0</vt:i4>
      </vt:variant>
      <vt:variant>
        <vt:i4>5</vt:i4>
      </vt:variant>
      <vt:variant>
        <vt:lpwstr>../Docs/R1-135594.zip</vt:lpwstr>
      </vt:variant>
      <vt:variant>
        <vt:lpwstr/>
      </vt:variant>
      <vt:variant>
        <vt:i4>4653070</vt:i4>
      </vt:variant>
      <vt:variant>
        <vt:i4>3759</vt:i4>
      </vt:variant>
      <vt:variant>
        <vt:i4>0</vt:i4>
      </vt:variant>
      <vt:variant>
        <vt:i4>5</vt:i4>
      </vt:variant>
      <vt:variant>
        <vt:lpwstr>../Docs/R1-135530.zip</vt:lpwstr>
      </vt:variant>
      <vt:variant>
        <vt:lpwstr/>
      </vt:variant>
      <vt:variant>
        <vt:i4>4587532</vt:i4>
      </vt:variant>
      <vt:variant>
        <vt:i4>3756</vt:i4>
      </vt:variant>
      <vt:variant>
        <vt:i4>0</vt:i4>
      </vt:variant>
      <vt:variant>
        <vt:i4>5</vt:i4>
      </vt:variant>
      <vt:variant>
        <vt:lpwstr>../Docs/R1-135522.zip</vt:lpwstr>
      </vt:variant>
      <vt:variant>
        <vt:lpwstr/>
      </vt:variant>
      <vt:variant>
        <vt:i4>4456459</vt:i4>
      </vt:variant>
      <vt:variant>
        <vt:i4>3753</vt:i4>
      </vt:variant>
      <vt:variant>
        <vt:i4>0</vt:i4>
      </vt:variant>
      <vt:variant>
        <vt:i4>5</vt:i4>
      </vt:variant>
      <vt:variant>
        <vt:lpwstr>../Docs/R1-135505.zip</vt:lpwstr>
      </vt:variant>
      <vt:variant>
        <vt:lpwstr/>
      </vt:variant>
      <vt:variant>
        <vt:i4>5046279</vt:i4>
      </vt:variant>
      <vt:variant>
        <vt:i4>3750</vt:i4>
      </vt:variant>
      <vt:variant>
        <vt:i4>0</vt:i4>
      </vt:variant>
      <vt:variant>
        <vt:i4>5</vt:i4>
      </vt:variant>
      <vt:variant>
        <vt:lpwstr>../Docs/R1-135498.zip</vt:lpwstr>
      </vt:variant>
      <vt:variant>
        <vt:lpwstr/>
      </vt:variant>
      <vt:variant>
        <vt:i4>4980745</vt:i4>
      </vt:variant>
      <vt:variant>
        <vt:i4>3747</vt:i4>
      </vt:variant>
      <vt:variant>
        <vt:i4>0</vt:i4>
      </vt:variant>
      <vt:variant>
        <vt:i4>5</vt:i4>
      </vt:variant>
      <vt:variant>
        <vt:lpwstr>../Docs/R1-135486.zip</vt:lpwstr>
      </vt:variant>
      <vt:variant>
        <vt:lpwstr/>
      </vt:variant>
      <vt:variant>
        <vt:i4>4980746</vt:i4>
      </vt:variant>
      <vt:variant>
        <vt:i4>3744</vt:i4>
      </vt:variant>
      <vt:variant>
        <vt:i4>0</vt:i4>
      </vt:variant>
      <vt:variant>
        <vt:i4>5</vt:i4>
      </vt:variant>
      <vt:variant>
        <vt:lpwstr>../Docs/R1-135485.zip</vt:lpwstr>
      </vt:variant>
      <vt:variant>
        <vt:lpwstr/>
      </vt:variant>
      <vt:variant>
        <vt:i4>4259854</vt:i4>
      </vt:variant>
      <vt:variant>
        <vt:i4>3741</vt:i4>
      </vt:variant>
      <vt:variant>
        <vt:i4>0</vt:i4>
      </vt:variant>
      <vt:variant>
        <vt:i4>5</vt:i4>
      </vt:variant>
      <vt:variant>
        <vt:lpwstr>../Docs/R1-135451.zip</vt:lpwstr>
      </vt:variant>
      <vt:variant>
        <vt:lpwstr/>
      </vt:variant>
      <vt:variant>
        <vt:i4>4390923</vt:i4>
      </vt:variant>
      <vt:variant>
        <vt:i4>3738</vt:i4>
      </vt:variant>
      <vt:variant>
        <vt:i4>0</vt:i4>
      </vt:variant>
      <vt:variant>
        <vt:i4>5</vt:i4>
      </vt:variant>
      <vt:variant>
        <vt:lpwstr>../Docs/R1-135373.zip</vt:lpwstr>
      </vt:variant>
      <vt:variant>
        <vt:lpwstr/>
      </vt:variant>
      <vt:variant>
        <vt:i4>4390922</vt:i4>
      </vt:variant>
      <vt:variant>
        <vt:i4>3735</vt:i4>
      </vt:variant>
      <vt:variant>
        <vt:i4>0</vt:i4>
      </vt:variant>
      <vt:variant>
        <vt:i4>5</vt:i4>
      </vt:variant>
      <vt:variant>
        <vt:lpwstr>../Docs/R1-135372.zip</vt:lpwstr>
      </vt:variant>
      <vt:variant>
        <vt:lpwstr/>
      </vt:variant>
      <vt:variant>
        <vt:i4>4587533</vt:i4>
      </vt:variant>
      <vt:variant>
        <vt:i4>3732</vt:i4>
      </vt:variant>
      <vt:variant>
        <vt:i4>0</vt:i4>
      </vt:variant>
      <vt:variant>
        <vt:i4>5</vt:i4>
      </vt:variant>
      <vt:variant>
        <vt:lpwstr>../Docs/R1-135325.zip</vt:lpwstr>
      </vt:variant>
      <vt:variant>
        <vt:lpwstr/>
      </vt:variant>
      <vt:variant>
        <vt:i4>4390912</vt:i4>
      </vt:variant>
      <vt:variant>
        <vt:i4>3729</vt:i4>
      </vt:variant>
      <vt:variant>
        <vt:i4>0</vt:i4>
      </vt:variant>
      <vt:variant>
        <vt:i4>5</vt:i4>
      </vt:variant>
      <vt:variant>
        <vt:lpwstr>../Docs/R1-135279.zip</vt:lpwstr>
      </vt:variant>
      <vt:variant>
        <vt:lpwstr/>
      </vt:variant>
      <vt:variant>
        <vt:i4>4325376</vt:i4>
      </vt:variant>
      <vt:variant>
        <vt:i4>3726</vt:i4>
      </vt:variant>
      <vt:variant>
        <vt:i4>0</vt:i4>
      </vt:variant>
      <vt:variant>
        <vt:i4>5</vt:i4>
      </vt:variant>
      <vt:variant>
        <vt:lpwstr>../Docs/R1-135269.zip</vt:lpwstr>
      </vt:variant>
      <vt:variant>
        <vt:lpwstr/>
      </vt:variant>
      <vt:variant>
        <vt:i4>4587533</vt:i4>
      </vt:variant>
      <vt:variant>
        <vt:i4>3723</vt:i4>
      </vt:variant>
      <vt:variant>
        <vt:i4>0</vt:i4>
      </vt:variant>
      <vt:variant>
        <vt:i4>5</vt:i4>
      </vt:variant>
      <vt:variant>
        <vt:lpwstr>../Docs/R1-135224.zip</vt:lpwstr>
      </vt:variant>
      <vt:variant>
        <vt:lpwstr/>
      </vt:variant>
      <vt:variant>
        <vt:i4>4521987</vt:i4>
      </vt:variant>
      <vt:variant>
        <vt:i4>3720</vt:i4>
      </vt:variant>
      <vt:variant>
        <vt:i4>0</vt:i4>
      </vt:variant>
      <vt:variant>
        <vt:i4>5</vt:i4>
      </vt:variant>
      <vt:variant>
        <vt:lpwstr>../Docs/R1-135119.zip</vt:lpwstr>
      </vt:variant>
      <vt:variant>
        <vt:lpwstr/>
      </vt:variant>
      <vt:variant>
        <vt:i4>4980738</vt:i4>
      </vt:variant>
      <vt:variant>
        <vt:i4>3717</vt:i4>
      </vt:variant>
      <vt:variant>
        <vt:i4>0</vt:i4>
      </vt:variant>
      <vt:variant>
        <vt:i4>5</vt:i4>
      </vt:variant>
      <vt:variant>
        <vt:lpwstr>../Docs/R1-135089.zip</vt:lpwstr>
      </vt:variant>
      <vt:variant>
        <vt:lpwstr/>
      </vt:variant>
      <vt:variant>
        <vt:i4>4194317</vt:i4>
      </vt:variant>
      <vt:variant>
        <vt:i4>3714</vt:i4>
      </vt:variant>
      <vt:variant>
        <vt:i4>0</vt:i4>
      </vt:variant>
      <vt:variant>
        <vt:i4>5</vt:i4>
      </vt:variant>
      <vt:variant>
        <vt:lpwstr>../Docs/R1-135046.zip</vt:lpwstr>
      </vt:variant>
      <vt:variant>
        <vt:lpwstr/>
      </vt:variant>
      <vt:variant>
        <vt:i4>4194318</vt:i4>
      </vt:variant>
      <vt:variant>
        <vt:i4>3711</vt:i4>
      </vt:variant>
      <vt:variant>
        <vt:i4>0</vt:i4>
      </vt:variant>
      <vt:variant>
        <vt:i4>5</vt:i4>
      </vt:variant>
      <vt:variant>
        <vt:lpwstr>../Docs/R1-135045.zip</vt:lpwstr>
      </vt:variant>
      <vt:variant>
        <vt:lpwstr/>
      </vt:variant>
      <vt:variant>
        <vt:i4>4521986</vt:i4>
      </vt:variant>
      <vt:variant>
        <vt:i4>3708</vt:i4>
      </vt:variant>
      <vt:variant>
        <vt:i4>0</vt:i4>
      </vt:variant>
      <vt:variant>
        <vt:i4>5</vt:i4>
      </vt:variant>
      <vt:variant>
        <vt:lpwstr>../Docs/R1-135118.zip</vt:lpwstr>
      </vt:variant>
      <vt:variant>
        <vt:lpwstr/>
      </vt:variant>
      <vt:variant>
        <vt:i4>4587524</vt:i4>
      </vt:variant>
      <vt:variant>
        <vt:i4>3705</vt:i4>
      </vt:variant>
      <vt:variant>
        <vt:i4>0</vt:i4>
      </vt:variant>
      <vt:variant>
        <vt:i4>5</vt:i4>
      </vt:variant>
      <vt:variant>
        <vt:lpwstr>../Docs/R1-135827.zip</vt:lpwstr>
      </vt:variant>
      <vt:variant>
        <vt:lpwstr/>
      </vt:variant>
      <vt:variant>
        <vt:i4>4521987</vt:i4>
      </vt:variant>
      <vt:variant>
        <vt:i4>3702</vt:i4>
      </vt:variant>
      <vt:variant>
        <vt:i4>0</vt:i4>
      </vt:variant>
      <vt:variant>
        <vt:i4>5</vt:i4>
      </vt:variant>
      <vt:variant>
        <vt:lpwstr>../Docs/R1-135810.zip</vt:lpwstr>
      </vt:variant>
      <vt:variant>
        <vt:lpwstr/>
      </vt:variant>
      <vt:variant>
        <vt:i4>4325384</vt:i4>
      </vt:variant>
      <vt:variant>
        <vt:i4>3699</vt:i4>
      </vt:variant>
      <vt:variant>
        <vt:i4>0</vt:i4>
      </vt:variant>
      <vt:variant>
        <vt:i4>5</vt:i4>
      </vt:variant>
      <vt:variant>
        <vt:lpwstr>../Docs/R1-135764.zip</vt:lpwstr>
      </vt:variant>
      <vt:variant>
        <vt:lpwstr/>
      </vt:variant>
      <vt:variant>
        <vt:i4>4390924</vt:i4>
      </vt:variant>
      <vt:variant>
        <vt:i4>3696</vt:i4>
      </vt:variant>
      <vt:variant>
        <vt:i4>0</vt:i4>
      </vt:variant>
      <vt:variant>
        <vt:i4>5</vt:i4>
      </vt:variant>
      <vt:variant>
        <vt:lpwstr>../Docs/R1-135671.zip</vt:lpwstr>
      </vt:variant>
      <vt:variant>
        <vt:lpwstr/>
      </vt:variant>
      <vt:variant>
        <vt:i4>5046285</vt:i4>
      </vt:variant>
      <vt:variant>
        <vt:i4>3693</vt:i4>
      </vt:variant>
      <vt:variant>
        <vt:i4>0</vt:i4>
      </vt:variant>
      <vt:variant>
        <vt:i4>5</vt:i4>
      </vt:variant>
      <vt:variant>
        <vt:lpwstr>../Docs/R1-135593.zip</vt:lpwstr>
      </vt:variant>
      <vt:variant>
        <vt:lpwstr/>
      </vt:variant>
      <vt:variant>
        <vt:i4>4587527</vt:i4>
      </vt:variant>
      <vt:variant>
        <vt:i4>3690</vt:i4>
      </vt:variant>
      <vt:variant>
        <vt:i4>0</vt:i4>
      </vt:variant>
      <vt:variant>
        <vt:i4>5</vt:i4>
      </vt:variant>
      <vt:variant>
        <vt:lpwstr>../Docs/R1-135529.zip</vt:lpwstr>
      </vt:variant>
      <vt:variant>
        <vt:lpwstr/>
      </vt:variant>
      <vt:variant>
        <vt:i4>4587535</vt:i4>
      </vt:variant>
      <vt:variant>
        <vt:i4>3687</vt:i4>
      </vt:variant>
      <vt:variant>
        <vt:i4>0</vt:i4>
      </vt:variant>
      <vt:variant>
        <vt:i4>5</vt:i4>
      </vt:variant>
      <vt:variant>
        <vt:lpwstr>../Docs/R1-135521.zip</vt:lpwstr>
      </vt:variant>
      <vt:variant>
        <vt:lpwstr/>
      </vt:variant>
      <vt:variant>
        <vt:i4>5046280</vt:i4>
      </vt:variant>
      <vt:variant>
        <vt:i4>3684</vt:i4>
      </vt:variant>
      <vt:variant>
        <vt:i4>0</vt:i4>
      </vt:variant>
      <vt:variant>
        <vt:i4>5</vt:i4>
      </vt:variant>
      <vt:variant>
        <vt:lpwstr>../Docs/R1-135497.zip</vt:lpwstr>
      </vt:variant>
      <vt:variant>
        <vt:lpwstr/>
      </vt:variant>
      <vt:variant>
        <vt:i4>5046281</vt:i4>
      </vt:variant>
      <vt:variant>
        <vt:i4>3681</vt:i4>
      </vt:variant>
      <vt:variant>
        <vt:i4>0</vt:i4>
      </vt:variant>
      <vt:variant>
        <vt:i4>5</vt:i4>
      </vt:variant>
      <vt:variant>
        <vt:lpwstr>../Docs/R1-135496.zip</vt:lpwstr>
      </vt:variant>
      <vt:variant>
        <vt:lpwstr/>
      </vt:variant>
      <vt:variant>
        <vt:i4>4980747</vt:i4>
      </vt:variant>
      <vt:variant>
        <vt:i4>3678</vt:i4>
      </vt:variant>
      <vt:variant>
        <vt:i4>0</vt:i4>
      </vt:variant>
      <vt:variant>
        <vt:i4>5</vt:i4>
      </vt:variant>
      <vt:variant>
        <vt:lpwstr>../Docs/R1-135484.zip</vt:lpwstr>
      </vt:variant>
      <vt:variant>
        <vt:lpwstr/>
      </vt:variant>
      <vt:variant>
        <vt:i4>4521993</vt:i4>
      </vt:variant>
      <vt:variant>
        <vt:i4>3675</vt:i4>
      </vt:variant>
      <vt:variant>
        <vt:i4>0</vt:i4>
      </vt:variant>
      <vt:variant>
        <vt:i4>5</vt:i4>
      </vt:variant>
      <vt:variant>
        <vt:lpwstr>../Docs/R1-135416.zip</vt:lpwstr>
      </vt:variant>
      <vt:variant>
        <vt:lpwstr/>
      </vt:variant>
      <vt:variant>
        <vt:i4>4390921</vt:i4>
      </vt:variant>
      <vt:variant>
        <vt:i4>3672</vt:i4>
      </vt:variant>
      <vt:variant>
        <vt:i4>0</vt:i4>
      </vt:variant>
      <vt:variant>
        <vt:i4>5</vt:i4>
      </vt:variant>
      <vt:variant>
        <vt:lpwstr>../Docs/R1-135371.zip</vt:lpwstr>
      </vt:variant>
      <vt:variant>
        <vt:lpwstr/>
      </vt:variant>
      <vt:variant>
        <vt:i4>4587532</vt:i4>
      </vt:variant>
      <vt:variant>
        <vt:i4>3669</vt:i4>
      </vt:variant>
      <vt:variant>
        <vt:i4>0</vt:i4>
      </vt:variant>
      <vt:variant>
        <vt:i4>5</vt:i4>
      </vt:variant>
      <vt:variant>
        <vt:lpwstr>../Docs/R1-135324.zip</vt:lpwstr>
      </vt:variant>
      <vt:variant>
        <vt:lpwstr/>
      </vt:variant>
      <vt:variant>
        <vt:i4>4390925</vt:i4>
      </vt:variant>
      <vt:variant>
        <vt:i4>3666</vt:i4>
      </vt:variant>
      <vt:variant>
        <vt:i4>0</vt:i4>
      </vt:variant>
      <vt:variant>
        <vt:i4>5</vt:i4>
      </vt:variant>
      <vt:variant>
        <vt:lpwstr>../Docs/R1-135177.zip</vt:lpwstr>
      </vt:variant>
      <vt:variant>
        <vt:lpwstr/>
      </vt:variant>
      <vt:variant>
        <vt:i4>4521997</vt:i4>
      </vt:variant>
      <vt:variant>
        <vt:i4>3663</vt:i4>
      </vt:variant>
      <vt:variant>
        <vt:i4>0</vt:i4>
      </vt:variant>
      <vt:variant>
        <vt:i4>5</vt:i4>
      </vt:variant>
      <vt:variant>
        <vt:lpwstr>../Docs/R1-135117.zip</vt:lpwstr>
      </vt:variant>
      <vt:variant>
        <vt:lpwstr/>
      </vt:variant>
      <vt:variant>
        <vt:i4>4980739</vt:i4>
      </vt:variant>
      <vt:variant>
        <vt:i4>3660</vt:i4>
      </vt:variant>
      <vt:variant>
        <vt:i4>0</vt:i4>
      </vt:variant>
      <vt:variant>
        <vt:i4>5</vt:i4>
      </vt:variant>
      <vt:variant>
        <vt:lpwstr>../Docs/R1-135088.zip</vt:lpwstr>
      </vt:variant>
      <vt:variant>
        <vt:lpwstr/>
      </vt:variant>
      <vt:variant>
        <vt:i4>4194319</vt:i4>
      </vt:variant>
      <vt:variant>
        <vt:i4>3657</vt:i4>
      </vt:variant>
      <vt:variant>
        <vt:i4>0</vt:i4>
      </vt:variant>
      <vt:variant>
        <vt:i4>5</vt:i4>
      </vt:variant>
      <vt:variant>
        <vt:lpwstr>../Docs/R1-135044.zip</vt:lpwstr>
      </vt:variant>
      <vt:variant>
        <vt:lpwstr/>
      </vt:variant>
      <vt:variant>
        <vt:i4>4390922</vt:i4>
      </vt:variant>
      <vt:variant>
        <vt:i4>3654</vt:i4>
      </vt:variant>
      <vt:variant>
        <vt:i4>0</vt:i4>
      </vt:variant>
      <vt:variant>
        <vt:i4>5</vt:i4>
      </vt:variant>
      <vt:variant>
        <vt:lpwstr>../Docs/R1-135978.zip</vt:lpwstr>
      </vt:variant>
      <vt:variant>
        <vt:lpwstr/>
      </vt:variant>
      <vt:variant>
        <vt:i4>4390917</vt:i4>
      </vt:variant>
      <vt:variant>
        <vt:i4>3651</vt:i4>
      </vt:variant>
      <vt:variant>
        <vt:i4>0</vt:i4>
      </vt:variant>
      <vt:variant>
        <vt:i4>5</vt:i4>
      </vt:variant>
      <vt:variant>
        <vt:lpwstr>../Docs/R1-135977.zip</vt:lpwstr>
      </vt:variant>
      <vt:variant>
        <vt:lpwstr/>
      </vt:variant>
      <vt:variant>
        <vt:i4>4587531</vt:i4>
      </vt:variant>
      <vt:variant>
        <vt:i4>3648</vt:i4>
      </vt:variant>
      <vt:variant>
        <vt:i4>0</vt:i4>
      </vt:variant>
      <vt:variant>
        <vt:i4>5</vt:i4>
      </vt:variant>
      <vt:variant>
        <vt:lpwstr>../Docs/R1-135323.zip</vt:lpwstr>
      </vt:variant>
      <vt:variant>
        <vt:lpwstr/>
      </vt:variant>
      <vt:variant>
        <vt:i4>4456458</vt:i4>
      </vt:variant>
      <vt:variant>
        <vt:i4>3645</vt:i4>
      </vt:variant>
      <vt:variant>
        <vt:i4>0</vt:i4>
      </vt:variant>
      <vt:variant>
        <vt:i4>5</vt:i4>
      </vt:variant>
      <vt:variant>
        <vt:lpwstr>../Docs/R1-135504.zip</vt:lpwstr>
      </vt:variant>
      <vt:variant>
        <vt:lpwstr/>
      </vt:variant>
      <vt:variant>
        <vt:i4>4194313</vt:i4>
      </vt:variant>
      <vt:variant>
        <vt:i4>3642</vt:i4>
      </vt:variant>
      <vt:variant>
        <vt:i4>0</vt:i4>
      </vt:variant>
      <vt:variant>
        <vt:i4>5</vt:i4>
      </vt:variant>
      <vt:variant>
        <vt:lpwstr>../Docs/R1-135143.zip</vt:lpwstr>
      </vt:variant>
      <vt:variant>
        <vt:lpwstr/>
      </vt:variant>
      <vt:variant>
        <vt:i4>4587530</vt:i4>
      </vt:variant>
      <vt:variant>
        <vt:i4>3639</vt:i4>
      </vt:variant>
      <vt:variant>
        <vt:i4>0</vt:i4>
      </vt:variant>
      <vt:variant>
        <vt:i4>5</vt:i4>
      </vt:variant>
      <vt:variant>
        <vt:lpwstr>../Docs/R1-135223.zip</vt:lpwstr>
      </vt:variant>
      <vt:variant>
        <vt:lpwstr/>
      </vt:variant>
      <vt:variant>
        <vt:i4>4653058</vt:i4>
      </vt:variant>
      <vt:variant>
        <vt:i4>3636</vt:i4>
      </vt:variant>
      <vt:variant>
        <vt:i4>0</vt:i4>
      </vt:variant>
      <vt:variant>
        <vt:i4>5</vt:i4>
      </vt:variant>
      <vt:variant>
        <vt:lpwstr>../Docs/R1-135930.zip</vt:lpwstr>
      </vt:variant>
      <vt:variant>
        <vt:lpwstr/>
      </vt:variant>
      <vt:variant>
        <vt:i4>4521991</vt:i4>
      </vt:variant>
      <vt:variant>
        <vt:i4>3633</vt:i4>
      </vt:variant>
      <vt:variant>
        <vt:i4>0</vt:i4>
      </vt:variant>
      <vt:variant>
        <vt:i4>5</vt:i4>
      </vt:variant>
      <vt:variant>
        <vt:lpwstr>../Docs/R1-135418.zip</vt:lpwstr>
      </vt:variant>
      <vt:variant>
        <vt:lpwstr/>
      </vt:variant>
      <vt:variant>
        <vt:i4>4390923</vt:i4>
      </vt:variant>
      <vt:variant>
        <vt:i4>3630</vt:i4>
      </vt:variant>
      <vt:variant>
        <vt:i4>0</vt:i4>
      </vt:variant>
      <vt:variant>
        <vt:i4>5</vt:i4>
      </vt:variant>
      <vt:variant>
        <vt:lpwstr>../Docs/R1-135878.zip</vt:lpwstr>
      </vt:variant>
      <vt:variant>
        <vt:lpwstr/>
      </vt:variant>
      <vt:variant>
        <vt:i4>4456452</vt:i4>
      </vt:variant>
      <vt:variant>
        <vt:i4>3627</vt:i4>
      </vt:variant>
      <vt:variant>
        <vt:i4>0</vt:i4>
      </vt:variant>
      <vt:variant>
        <vt:i4>5</vt:i4>
      </vt:variant>
      <vt:variant>
        <vt:lpwstr>../Docs/R1-135807.zip</vt:lpwstr>
      </vt:variant>
      <vt:variant>
        <vt:lpwstr/>
      </vt:variant>
      <vt:variant>
        <vt:i4>5046284</vt:i4>
      </vt:variant>
      <vt:variant>
        <vt:i4>3624</vt:i4>
      </vt:variant>
      <vt:variant>
        <vt:i4>0</vt:i4>
      </vt:variant>
      <vt:variant>
        <vt:i4>5</vt:i4>
      </vt:variant>
      <vt:variant>
        <vt:lpwstr>../Docs/R1-135592.zip</vt:lpwstr>
      </vt:variant>
      <vt:variant>
        <vt:lpwstr/>
      </vt:variant>
      <vt:variant>
        <vt:i4>4194317</vt:i4>
      </vt:variant>
      <vt:variant>
        <vt:i4>3621</vt:i4>
      </vt:variant>
      <vt:variant>
        <vt:i4>0</vt:i4>
      </vt:variant>
      <vt:variant>
        <vt:i4>5</vt:i4>
      </vt:variant>
      <vt:variant>
        <vt:lpwstr>../Docs/R1-135543.zip</vt:lpwstr>
      </vt:variant>
      <vt:variant>
        <vt:lpwstr/>
      </vt:variant>
      <vt:variant>
        <vt:i4>4980749</vt:i4>
      </vt:variant>
      <vt:variant>
        <vt:i4>3618</vt:i4>
      </vt:variant>
      <vt:variant>
        <vt:i4>0</vt:i4>
      </vt:variant>
      <vt:variant>
        <vt:i4>5</vt:i4>
      </vt:variant>
      <vt:variant>
        <vt:lpwstr>../Docs/R1-135482.zip</vt:lpwstr>
      </vt:variant>
      <vt:variant>
        <vt:lpwstr/>
      </vt:variant>
      <vt:variant>
        <vt:i4>4390920</vt:i4>
      </vt:variant>
      <vt:variant>
        <vt:i4>3615</vt:i4>
      </vt:variant>
      <vt:variant>
        <vt:i4>0</vt:i4>
      </vt:variant>
      <vt:variant>
        <vt:i4>5</vt:i4>
      </vt:variant>
      <vt:variant>
        <vt:lpwstr>../Docs/R1-135370.zip</vt:lpwstr>
      </vt:variant>
      <vt:variant>
        <vt:lpwstr/>
      </vt:variant>
      <vt:variant>
        <vt:i4>4587528</vt:i4>
      </vt:variant>
      <vt:variant>
        <vt:i4>3612</vt:i4>
      </vt:variant>
      <vt:variant>
        <vt:i4>0</vt:i4>
      </vt:variant>
      <vt:variant>
        <vt:i4>5</vt:i4>
      </vt:variant>
      <vt:variant>
        <vt:lpwstr>../Docs/R1-135221.zip</vt:lpwstr>
      </vt:variant>
      <vt:variant>
        <vt:lpwstr/>
      </vt:variant>
      <vt:variant>
        <vt:i4>4194312</vt:i4>
      </vt:variant>
      <vt:variant>
        <vt:i4>3609</vt:i4>
      </vt:variant>
      <vt:variant>
        <vt:i4>0</vt:i4>
      </vt:variant>
      <vt:variant>
        <vt:i4>5</vt:i4>
      </vt:variant>
      <vt:variant>
        <vt:lpwstr>../Docs/R1-135142.zip</vt:lpwstr>
      </vt:variant>
      <vt:variant>
        <vt:lpwstr/>
      </vt:variant>
      <vt:variant>
        <vt:i4>4521999</vt:i4>
      </vt:variant>
      <vt:variant>
        <vt:i4>3606</vt:i4>
      </vt:variant>
      <vt:variant>
        <vt:i4>0</vt:i4>
      </vt:variant>
      <vt:variant>
        <vt:i4>5</vt:i4>
      </vt:variant>
      <vt:variant>
        <vt:lpwstr>../Docs/R1-135115.zip</vt:lpwstr>
      </vt:variant>
      <vt:variant>
        <vt:lpwstr/>
      </vt:variant>
      <vt:variant>
        <vt:i4>4653067</vt:i4>
      </vt:variant>
      <vt:variant>
        <vt:i4>3603</vt:i4>
      </vt:variant>
      <vt:variant>
        <vt:i4>0</vt:i4>
      </vt:variant>
      <vt:variant>
        <vt:i4>5</vt:i4>
      </vt:variant>
      <vt:variant>
        <vt:lpwstr>../Docs/R1-135939.zip</vt:lpwstr>
      </vt:variant>
      <vt:variant>
        <vt:lpwstr/>
      </vt:variant>
      <vt:variant>
        <vt:i4>5046280</vt:i4>
      </vt:variant>
      <vt:variant>
        <vt:i4>3600</vt:i4>
      </vt:variant>
      <vt:variant>
        <vt:i4>0</vt:i4>
      </vt:variant>
      <vt:variant>
        <vt:i4>5</vt:i4>
      </vt:variant>
      <vt:variant>
        <vt:lpwstr>../Docs/R1-135093.zip</vt:lpwstr>
      </vt:variant>
      <vt:variant>
        <vt:lpwstr/>
      </vt:variant>
      <vt:variant>
        <vt:i4>4653063</vt:i4>
      </vt:variant>
      <vt:variant>
        <vt:i4>3597</vt:i4>
      </vt:variant>
      <vt:variant>
        <vt:i4>0</vt:i4>
      </vt:variant>
      <vt:variant>
        <vt:i4>5</vt:i4>
      </vt:variant>
      <vt:variant>
        <vt:lpwstr>../Docs/R1-135935.zip</vt:lpwstr>
      </vt:variant>
      <vt:variant>
        <vt:lpwstr/>
      </vt:variant>
      <vt:variant>
        <vt:i4>4653059</vt:i4>
      </vt:variant>
      <vt:variant>
        <vt:i4>3594</vt:i4>
      </vt:variant>
      <vt:variant>
        <vt:i4>0</vt:i4>
      </vt:variant>
      <vt:variant>
        <vt:i4>5</vt:i4>
      </vt:variant>
      <vt:variant>
        <vt:lpwstr>../Docs/R1-135931.zip</vt:lpwstr>
      </vt:variant>
      <vt:variant>
        <vt:lpwstr/>
      </vt:variant>
      <vt:variant>
        <vt:i4>4980741</vt:i4>
      </vt:variant>
      <vt:variant>
        <vt:i4>3591</vt:i4>
      </vt:variant>
      <vt:variant>
        <vt:i4>0</vt:i4>
      </vt:variant>
      <vt:variant>
        <vt:i4>5</vt:i4>
      </vt:variant>
      <vt:variant>
        <vt:lpwstr>../Docs/R1-135886.zip</vt:lpwstr>
      </vt:variant>
      <vt:variant>
        <vt:lpwstr/>
      </vt:variant>
      <vt:variant>
        <vt:i4>4587530</vt:i4>
      </vt:variant>
      <vt:variant>
        <vt:i4>3588</vt:i4>
      </vt:variant>
      <vt:variant>
        <vt:i4>0</vt:i4>
      </vt:variant>
      <vt:variant>
        <vt:i4>5</vt:i4>
      </vt:variant>
      <vt:variant>
        <vt:lpwstr>../Docs/R1-135322.zip</vt:lpwstr>
      </vt:variant>
      <vt:variant>
        <vt:lpwstr/>
      </vt:variant>
      <vt:variant>
        <vt:i4>4456458</vt:i4>
      </vt:variant>
      <vt:variant>
        <vt:i4>3585</vt:i4>
      </vt:variant>
      <vt:variant>
        <vt:i4>0</vt:i4>
      </vt:variant>
      <vt:variant>
        <vt:i4>5</vt:i4>
      </vt:variant>
      <vt:variant>
        <vt:lpwstr>../Docs/R1-135809.zip</vt:lpwstr>
      </vt:variant>
      <vt:variant>
        <vt:lpwstr/>
      </vt:variant>
      <vt:variant>
        <vt:i4>4653060</vt:i4>
      </vt:variant>
      <vt:variant>
        <vt:i4>3582</vt:i4>
      </vt:variant>
      <vt:variant>
        <vt:i4>0</vt:i4>
      </vt:variant>
      <vt:variant>
        <vt:i4>5</vt:i4>
      </vt:variant>
      <vt:variant>
        <vt:lpwstr>../Docs/R1-135936.zip</vt:lpwstr>
      </vt:variant>
      <vt:variant>
        <vt:lpwstr/>
      </vt:variant>
      <vt:variant>
        <vt:i4>4456454</vt:i4>
      </vt:variant>
      <vt:variant>
        <vt:i4>3579</vt:i4>
      </vt:variant>
      <vt:variant>
        <vt:i4>0</vt:i4>
      </vt:variant>
      <vt:variant>
        <vt:i4>5</vt:i4>
      </vt:variant>
      <vt:variant>
        <vt:lpwstr>../Docs/R1-134815.zip</vt:lpwstr>
      </vt:variant>
      <vt:variant>
        <vt:lpwstr/>
      </vt:variant>
      <vt:variant>
        <vt:i4>4456463</vt:i4>
      </vt:variant>
      <vt:variant>
        <vt:i4>3576</vt:i4>
      </vt:variant>
      <vt:variant>
        <vt:i4>0</vt:i4>
      </vt:variant>
      <vt:variant>
        <vt:i4>5</vt:i4>
      </vt:variant>
      <vt:variant>
        <vt:lpwstr>../Docs/R1-135400.zip</vt:lpwstr>
      </vt:variant>
      <vt:variant>
        <vt:lpwstr/>
      </vt:variant>
      <vt:variant>
        <vt:i4>4456459</vt:i4>
      </vt:variant>
      <vt:variant>
        <vt:i4>3573</vt:i4>
      </vt:variant>
      <vt:variant>
        <vt:i4>0</vt:i4>
      </vt:variant>
      <vt:variant>
        <vt:i4>5</vt:i4>
      </vt:variant>
      <vt:variant>
        <vt:lpwstr>../Docs/R1-135808.zip</vt:lpwstr>
      </vt:variant>
      <vt:variant>
        <vt:lpwstr/>
      </vt:variant>
      <vt:variant>
        <vt:i4>4980748</vt:i4>
      </vt:variant>
      <vt:variant>
        <vt:i4>3570</vt:i4>
      </vt:variant>
      <vt:variant>
        <vt:i4>0</vt:i4>
      </vt:variant>
      <vt:variant>
        <vt:i4>5</vt:i4>
      </vt:variant>
      <vt:variant>
        <vt:lpwstr>../Docs/R1-135483.zip</vt:lpwstr>
      </vt:variant>
      <vt:variant>
        <vt:lpwstr/>
      </vt:variant>
      <vt:variant>
        <vt:i4>4980750</vt:i4>
      </vt:variant>
      <vt:variant>
        <vt:i4>3567</vt:i4>
      </vt:variant>
      <vt:variant>
        <vt:i4>0</vt:i4>
      </vt:variant>
      <vt:variant>
        <vt:i4>5</vt:i4>
      </vt:variant>
      <vt:variant>
        <vt:lpwstr>../Docs/R1-135481.zip</vt:lpwstr>
      </vt:variant>
      <vt:variant>
        <vt:lpwstr/>
      </vt:variant>
      <vt:variant>
        <vt:i4>4587528</vt:i4>
      </vt:variant>
      <vt:variant>
        <vt:i4>3564</vt:i4>
      </vt:variant>
      <vt:variant>
        <vt:i4>0</vt:i4>
      </vt:variant>
      <vt:variant>
        <vt:i4>5</vt:i4>
      </vt:variant>
      <vt:variant>
        <vt:lpwstr>../Docs/R1-135320.zip</vt:lpwstr>
      </vt:variant>
      <vt:variant>
        <vt:lpwstr/>
      </vt:variant>
      <vt:variant>
        <vt:i4>4587531</vt:i4>
      </vt:variant>
      <vt:variant>
        <vt:i4>3561</vt:i4>
      </vt:variant>
      <vt:variant>
        <vt:i4>0</vt:i4>
      </vt:variant>
      <vt:variant>
        <vt:i4>5</vt:i4>
      </vt:variant>
      <vt:variant>
        <vt:lpwstr>../Docs/R1-135222.zip</vt:lpwstr>
      </vt:variant>
      <vt:variant>
        <vt:lpwstr/>
      </vt:variant>
      <vt:variant>
        <vt:i4>5046287</vt:i4>
      </vt:variant>
      <vt:variant>
        <vt:i4>3558</vt:i4>
      </vt:variant>
      <vt:variant>
        <vt:i4>0</vt:i4>
      </vt:variant>
      <vt:variant>
        <vt:i4>5</vt:i4>
      </vt:variant>
      <vt:variant>
        <vt:lpwstr>../Docs/R1-135094.zip</vt:lpwstr>
      </vt:variant>
      <vt:variant>
        <vt:lpwstr/>
      </vt:variant>
      <vt:variant>
        <vt:i4>4390921</vt:i4>
      </vt:variant>
      <vt:variant>
        <vt:i4>3555</vt:i4>
      </vt:variant>
      <vt:variant>
        <vt:i4>0</vt:i4>
      </vt:variant>
      <vt:variant>
        <vt:i4>5</vt:i4>
      </vt:variant>
      <vt:variant>
        <vt:lpwstr>../Docs/R1-134567.zip</vt:lpwstr>
      </vt:variant>
      <vt:variant>
        <vt:lpwstr/>
      </vt:variant>
      <vt:variant>
        <vt:i4>4456458</vt:i4>
      </vt:variant>
      <vt:variant>
        <vt:i4>3552</vt:i4>
      </vt:variant>
      <vt:variant>
        <vt:i4>0</vt:i4>
      </vt:variant>
      <vt:variant>
        <vt:i4>5</vt:i4>
      </vt:variant>
      <vt:variant>
        <vt:lpwstr>../Docs/R1-135607.zip</vt:lpwstr>
      </vt:variant>
      <vt:variant>
        <vt:lpwstr/>
      </vt:variant>
      <vt:variant>
        <vt:i4>4194313</vt:i4>
      </vt:variant>
      <vt:variant>
        <vt:i4>3549</vt:i4>
      </vt:variant>
      <vt:variant>
        <vt:i4>0</vt:i4>
      </vt:variant>
      <vt:variant>
        <vt:i4>5</vt:i4>
      </vt:variant>
      <vt:variant>
        <vt:lpwstr>../Docs/R1-135042.zip</vt:lpwstr>
      </vt:variant>
      <vt:variant>
        <vt:lpwstr/>
      </vt:variant>
      <vt:variant>
        <vt:i4>4521996</vt:i4>
      </vt:variant>
      <vt:variant>
        <vt:i4>3546</vt:i4>
      </vt:variant>
      <vt:variant>
        <vt:i4>0</vt:i4>
      </vt:variant>
      <vt:variant>
        <vt:i4>5</vt:i4>
      </vt:variant>
      <vt:variant>
        <vt:lpwstr>../Docs/R1-135116.zip</vt:lpwstr>
      </vt:variant>
      <vt:variant>
        <vt:lpwstr/>
      </vt:variant>
      <vt:variant>
        <vt:i4>4653062</vt:i4>
      </vt:variant>
      <vt:variant>
        <vt:i4>3543</vt:i4>
      </vt:variant>
      <vt:variant>
        <vt:i4>0</vt:i4>
      </vt:variant>
      <vt:variant>
        <vt:i4>5</vt:i4>
      </vt:variant>
      <vt:variant>
        <vt:lpwstr>../Docs/R1-135934.zip</vt:lpwstr>
      </vt:variant>
      <vt:variant>
        <vt:lpwstr/>
      </vt:variant>
      <vt:variant>
        <vt:i4>4456453</vt:i4>
      </vt:variant>
      <vt:variant>
        <vt:i4>3540</vt:i4>
      </vt:variant>
      <vt:variant>
        <vt:i4>0</vt:i4>
      </vt:variant>
      <vt:variant>
        <vt:i4>5</vt:i4>
      </vt:variant>
      <vt:variant>
        <vt:lpwstr>../Docs/R1-135806.zip</vt:lpwstr>
      </vt:variant>
      <vt:variant>
        <vt:lpwstr/>
      </vt:variant>
      <vt:variant>
        <vt:i4>4456454</vt:i4>
      </vt:variant>
      <vt:variant>
        <vt:i4>3537</vt:i4>
      </vt:variant>
      <vt:variant>
        <vt:i4>0</vt:i4>
      </vt:variant>
      <vt:variant>
        <vt:i4>5</vt:i4>
      </vt:variant>
      <vt:variant>
        <vt:lpwstr>../Docs/R1-135805.zip</vt:lpwstr>
      </vt:variant>
      <vt:variant>
        <vt:lpwstr/>
      </vt:variant>
      <vt:variant>
        <vt:i4>4521998</vt:i4>
      </vt:variant>
      <vt:variant>
        <vt:i4>3534</vt:i4>
      </vt:variant>
      <vt:variant>
        <vt:i4>0</vt:i4>
      </vt:variant>
      <vt:variant>
        <vt:i4>5</vt:i4>
      </vt:variant>
      <vt:variant>
        <vt:lpwstr>../Docs/R1-135613.zip</vt:lpwstr>
      </vt:variant>
      <vt:variant>
        <vt:lpwstr/>
      </vt:variant>
      <vt:variant>
        <vt:i4>4456459</vt:i4>
      </vt:variant>
      <vt:variant>
        <vt:i4>3531</vt:i4>
      </vt:variant>
      <vt:variant>
        <vt:i4>0</vt:i4>
      </vt:variant>
      <vt:variant>
        <vt:i4>5</vt:i4>
      </vt:variant>
      <vt:variant>
        <vt:lpwstr>../Docs/R1-135606.zip</vt:lpwstr>
      </vt:variant>
      <vt:variant>
        <vt:lpwstr/>
      </vt:variant>
      <vt:variant>
        <vt:i4>5046282</vt:i4>
      </vt:variant>
      <vt:variant>
        <vt:i4>3528</vt:i4>
      </vt:variant>
      <vt:variant>
        <vt:i4>0</vt:i4>
      </vt:variant>
      <vt:variant>
        <vt:i4>5</vt:i4>
      </vt:variant>
      <vt:variant>
        <vt:lpwstr>../Docs/R1-135495.zip</vt:lpwstr>
      </vt:variant>
      <vt:variant>
        <vt:lpwstr/>
      </vt:variant>
      <vt:variant>
        <vt:i4>5046283</vt:i4>
      </vt:variant>
      <vt:variant>
        <vt:i4>3525</vt:i4>
      </vt:variant>
      <vt:variant>
        <vt:i4>0</vt:i4>
      </vt:variant>
      <vt:variant>
        <vt:i4>5</vt:i4>
      </vt:variant>
      <vt:variant>
        <vt:lpwstr>../Docs/R1-135494.zip</vt:lpwstr>
      </vt:variant>
      <vt:variant>
        <vt:lpwstr/>
      </vt:variant>
      <vt:variant>
        <vt:i4>4980751</vt:i4>
      </vt:variant>
      <vt:variant>
        <vt:i4>3522</vt:i4>
      </vt:variant>
      <vt:variant>
        <vt:i4>0</vt:i4>
      </vt:variant>
      <vt:variant>
        <vt:i4>5</vt:i4>
      </vt:variant>
      <vt:variant>
        <vt:lpwstr>../Docs/R1-135480.zip</vt:lpwstr>
      </vt:variant>
      <vt:variant>
        <vt:lpwstr/>
      </vt:variant>
      <vt:variant>
        <vt:i4>5046273</vt:i4>
      </vt:variant>
      <vt:variant>
        <vt:i4>3519</vt:i4>
      </vt:variant>
      <vt:variant>
        <vt:i4>0</vt:i4>
      </vt:variant>
      <vt:variant>
        <vt:i4>5</vt:i4>
      </vt:variant>
      <vt:variant>
        <vt:lpwstr>../Docs/R1-135399.zip</vt:lpwstr>
      </vt:variant>
      <vt:variant>
        <vt:lpwstr/>
      </vt:variant>
      <vt:variant>
        <vt:i4>4980750</vt:i4>
      </vt:variant>
      <vt:variant>
        <vt:i4>3516</vt:i4>
      </vt:variant>
      <vt:variant>
        <vt:i4>0</vt:i4>
      </vt:variant>
      <vt:variant>
        <vt:i4>5</vt:i4>
      </vt:variant>
      <vt:variant>
        <vt:lpwstr>../Docs/R1-135386.zip</vt:lpwstr>
      </vt:variant>
      <vt:variant>
        <vt:lpwstr/>
      </vt:variant>
      <vt:variant>
        <vt:i4>4980749</vt:i4>
      </vt:variant>
      <vt:variant>
        <vt:i4>3513</vt:i4>
      </vt:variant>
      <vt:variant>
        <vt:i4>0</vt:i4>
      </vt:variant>
      <vt:variant>
        <vt:i4>5</vt:i4>
      </vt:variant>
      <vt:variant>
        <vt:lpwstr>../Docs/R1-135385.zip</vt:lpwstr>
      </vt:variant>
      <vt:variant>
        <vt:lpwstr/>
      </vt:variant>
      <vt:variant>
        <vt:i4>4325377</vt:i4>
      </vt:variant>
      <vt:variant>
        <vt:i4>3510</vt:i4>
      </vt:variant>
      <vt:variant>
        <vt:i4>0</vt:i4>
      </vt:variant>
      <vt:variant>
        <vt:i4>5</vt:i4>
      </vt:variant>
      <vt:variant>
        <vt:lpwstr>../Docs/R1-135369.zip</vt:lpwstr>
      </vt:variant>
      <vt:variant>
        <vt:lpwstr/>
      </vt:variant>
      <vt:variant>
        <vt:i4>4587529</vt:i4>
      </vt:variant>
      <vt:variant>
        <vt:i4>3507</vt:i4>
      </vt:variant>
      <vt:variant>
        <vt:i4>0</vt:i4>
      </vt:variant>
      <vt:variant>
        <vt:i4>5</vt:i4>
      </vt:variant>
      <vt:variant>
        <vt:lpwstr>../Docs/R1-135321.zip</vt:lpwstr>
      </vt:variant>
      <vt:variant>
        <vt:lpwstr/>
      </vt:variant>
      <vt:variant>
        <vt:i4>4521985</vt:i4>
      </vt:variant>
      <vt:variant>
        <vt:i4>3504</vt:i4>
      </vt:variant>
      <vt:variant>
        <vt:i4>0</vt:i4>
      </vt:variant>
      <vt:variant>
        <vt:i4>5</vt:i4>
      </vt:variant>
      <vt:variant>
        <vt:lpwstr>../Docs/R1-135319.zip</vt:lpwstr>
      </vt:variant>
      <vt:variant>
        <vt:lpwstr/>
      </vt:variant>
      <vt:variant>
        <vt:i4>4521984</vt:i4>
      </vt:variant>
      <vt:variant>
        <vt:i4>3501</vt:i4>
      </vt:variant>
      <vt:variant>
        <vt:i4>0</vt:i4>
      </vt:variant>
      <vt:variant>
        <vt:i4>5</vt:i4>
      </vt:variant>
      <vt:variant>
        <vt:lpwstr>../Docs/R1-135318.zip</vt:lpwstr>
      </vt:variant>
      <vt:variant>
        <vt:lpwstr/>
      </vt:variant>
      <vt:variant>
        <vt:i4>4390913</vt:i4>
      </vt:variant>
      <vt:variant>
        <vt:i4>3498</vt:i4>
      </vt:variant>
      <vt:variant>
        <vt:i4>0</vt:i4>
      </vt:variant>
      <vt:variant>
        <vt:i4>5</vt:i4>
      </vt:variant>
      <vt:variant>
        <vt:lpwstr>../Docs/R1-135278.zip</vt:lpwstr>
      </vt:variant>
      <vt:variant>
        <vt:lpwstr/>
      </vt:variant>
      <vt:variant>
        <vt:i4>4390921</vt:i4>
      </vt:variant>
      <vt:variant>
        <vt:i4>3495</vt:i4>
      </vt:variant>
      <vt:variant>
        <vt:i4>0</vt:i4>
      </vt:variant>
      <vt:variant>
        <vt:i4>5</vt:i4>
      </vt:variant>
      <vt:variant>
        <vt:lpwstr>../Docs/R1-135270.zip</vt:lpwstr>
      </vt:variant>
      <vt:variant>
        <vt:lpwstr/>
      </vt:variant>
      <vt:variant>
        <vt:i4>4587529</vt:i4>
      </vt:variant>
      <vt:variant>
        <vt:i4>3492</vt:i4>
      </vt:variant>
      <vt:variant>
        <vt:i4>0</vt:i4>
      </vt:variant>
      <vt:variant>
        <vt:i4>5</vt:i4>
      </vt:variant>
      <vt:variant>
        <vt:lpwstr>../Docs/R1-135220.zip</vt:lpwstr>
      </vt:variant>
      <vt:variant>
        <vt:lpwstr/>
      </vt:variant>
      <vt:variant>
        <vt:i4>4390924</vt:i4>
      </vt:variant>
      <vt:variant>
        <vt:i4>3489</vt:i4>
      </vt:variant>
      <vt:variant>
        <vt:i4>0</vt:i4>
      </vt:variant>
      <vt:variant>
        <vt:i4>5</vt:i4>
      </vt:variant>
      <vt:variant>
        <vt:lpwstr>../Docs/R1-135176.zip</vt:lpwstr>
      </vt:variant>
      <vt:variant>
        <vt:lpwstr/>
      </vt:variant>
      <vt:variant>
        <vt:i4>4194315</vt:i4>
      </vt:variant>
      <vt:variant>
        <vt:i4>3486</vt:i4>
      </vt:variant>
      <vt:variant>
        <vt:i4>0</vt:i4>
      </vt:variant>
      <vt:variant>
        <vt:i4>5</vt:i4>
      </vt:variant>
      <vt:variant>
        <vt:lpwstr>../Docs/R1-135141.zip</vt:lpwstr>
      </vt:variant>
      <vt:variant>
        <vt:lpwstr/>
      </vt:variant>
      <vt:variant>
        <vt:i4>5046281</vt:i4>
      </vt:variant>
      <vt:variant>
        <vt:i4>3483</vt:i4>
      </vt:variant>
      <vt:variant>
        <vt:i4>0</vt:i4>
      </vt:variant>
      <vt:variant>
        <vt:i4>5</vt:i4>
      </vt:variant>
      <vt:variant>
        <vt:lpwstr>../Docs/R1-135092.zip</vt:lpwstr>
      </vt:variant>
      <vt:variant>
        <vt:lpwstr/>
      </vt:variant>
      <vt:variant>
        <vt:i4>4390919</vt:i4>
      </vt:variant>
      <vt:variant>
        <vt:i4>3480</vt:i4>
      </vt:variant>
      <vt:variant>
        <vt:i4>0</vt:i4>
      </vt:variant>
      <vt:variant>
        <vt:i4>5</vt:i4>
      </vt:variant>
      <vt:variant>
        <vt:lpwstr>../Docs/R1-135975.zip</vt:lpwstr>
      </vt:variant>
      <vt:variant>
        <vt:lpwstr/>
      </vt:variant>
      <vt:variant>
        <vt:i4>4653056</vt:i4>
      </vt:variant>
      <vt:variant>
        <vt:i4>3477</vt:i4>
      </vt:variant>
      <vt:variant>
        <vt:i4>0</vt:i4>
      </vt:variant>
      <vt:variant>
        <vt:i4>5</vt:i4>
      </vt:variant>
      <vt:variant>
        <vt:lpwstr>../Docs/R1-135932.zip</vt:lpwstr>
      </vt:variant>
      <vt:variant>
        <vt:lpwstr/>
      </vt:variant>
      <vt:variant>
        <vt:i4>4587531</vt:i4>
      </vt:variant>
      <vt:variant>
        <vt:i4>3474</vt:i4>
      </vt:variant>
      <vt:variant>
        <vt:i4>0</vt:i4>
      </vt:variant>
      <vt:variant>
        <vt:i4>5</vt:i4>
      </vt:variant>
      <vt:variant>
        <vt:lpwstr>../Docs/R1-135929.zip</vt:lpwstr>
      </vt:variant>
      <vt:variant>
        <vt:lpwstr/>
      </vt:variant>
      <vt:variant>
        <vt:i4>4390927</vt:i4>
      </vt:variant>
      <vt:variant>
        <vt:i4>3471</vt:i4>
      </vt:variant>
      <vt:variant>
        <vt:i4>0</vt:i4>
      </vt:variant>
      <vt:variant>
        <vt:i4>5</vt:i4>
      </vt:variant>
      <vt:variant>
        <vt:lpwstr>../Docs/R1-135175.zip</vt:lpwstr>
      </vt:variant>
      <vt:variant>
        <vt:lpwstr/>
      </vt:variant>
      <vt:variant>
        <vt:i4>4456455</vt:i4>
      </vt:variant>
      <vt:variant>
        <vt:i4>3468</vt:i4>
      </vt:variant>
      <vt:variant>
        <vt:i4>0</vt:i4>
      </vt:variant>
      <vt:variant>
        <vt:i4>5</vt:i4>
      </vt:variant>
      <vt:variant>
        <vt:lpwstr>../Docs/R1-135804.zip</vt:lpwstr>
      </vt:variant>
      <vt:variant>
        <vt:lpwstr/>
      </vt:variant>
      <vt:variant>
        <vt:i4>4456449</vt:i4>
      </vt:variant>
      <vt:variant>
        <vt:i4>3465</vt:i4>
      </vt:variant>
      <vt:variant>
        <vt:i4>0</vt:i4>
      </vt:variant>
      <vt:variant>
        <vt:i4>5</vt:i4>
      </vt:variant>
      <vt:variant>
        <vt:lpwstr>../Docs/R1-135903.zip</vt:lpwstr>
      </vt:variant>
      <vt:variant>
        <vt:lpwstr/>
      </vt:variant>
      <vt:variant>
        <vt:i4>4390926</vt:i4>
      </vt:variant>
      <vt:variant>
        <vt:i4>3462</vt:i4>
      </vt:variant>
      <vt:variant>
        <vt:i4>0</vt:i4>
      </vt:variant>
      <vt:variant>
        <vt:i4>5</vt:i4>
      </vt:variant>
      <vt:variant>
        <vt:lpwstr>../Docs/R1-135277.zip</vt:lpwstr>
      </vt:variant>
      <vt:variant>
        <vt:lpwstr/>
      </vt:variant>
      <vt:variant>
        <vt:i4>4390918</vt:i4>
      </vt:variant>
      <vt:variant>
        <vt:i4>3459</vt:i4>
      </vt:variant>
      <vt:variant>
        <vt:i4>0</vt:i4>
      </vt:variant>
      <vt:variant>
        <vt:i4>5</vt:i4>
      </vt:variant>
      <vt:variant>
        <vt:lpwstr>../Docs/R1-135479.zip</vt:lpwstr>
      </vt:variant>
      <vt:variant>
        <vt:lpwstr/>
      </vt:variant>
      <vt:variant>
        <vt:i4>4653068</vt:i4>
      </vt:variant>
      <vt:variant>
        <vt:i4>3456</vt:i4>
      </vt:variant>
      <vt:variant>
        <vt:i4>0</vt:i4>
      </vt:variant>
      <vt:variant>
        <vt:i4>5</vt:i4>
      </vt:variant>
      <vt:variant>
        <vt:lpwstr>../Docs/R1-135532.zip</vt:lpwstr>
      </vt:variant>
      <vt:variant>
        <vt:lpwstr/>
      </vt:variant>
      <vt:variant>
        <vt:i4>4259850</vt:i4>
      </vt:variant>
      <vt:variant>
        <vt:i4>3453</vt:i4>
      </vt:variant>
      <vt:variant>
        <vt:i4>0</vt:i4>
      </vt:variant>
      <vt:variant>
        <vt:i4>5</vt:i4>
      </vt:variant>
      <vt:variant>
        <vt:lpwstr>../Docs/R1-135554.zip</vt:lpwstr>
      </vt:variant>
      <vt:variant>
        <vt:lpwstr/>
      </vt:variant>
      <vt:variant>
        <vt:i4>4194316</vt:i4>
      </vt:variant>
      <vt:variant>
        <vt:i4>3450</vt:i4>
      </vt:variant>
      <vt:variant>
        <vt:i4>0</vt:i4>
      </vt:variant>
      <vt:variant>
        <vt:i4>5</vt:i4>
      </vt:variant>
      <vt:variant>
        <vt:lpwstr>../Docs/R1-135542.zip</vt:lpwstr>
      </vt:variant>
      <vt:variant>
        <vt:lpwstr/>
      </vt:variant>
      <vt:variant>
        <vt:i4>4521999</vt:i4>
      </vt:variant>
      <vt:variant>
        <vt:i4>3447</vt:i4>
      </vt:variant>
      <vt:variant>
        <vt:i4>0</vt:i4>
      </vt:variant>
      <vt:variant>
        <vt:i4>5</vt:i4>
      </vt:variant>
      <vt:variant>
        <vt:lpwstr>../Docs/R1-135317.zip</vt:lpwstr>
      </vt:variant>
      <vt:variant>
        <vt:lpwstr/>
      </vt:variant>
      <vt:variant>
        <vt:i4>4194314</vt:i4>
      </vt:variant>
      <vt:variant>
        <vt:i4>3444</vt:i4>
      </vt:variant>
      <vt:variant>
        <vt:i4>0</vt:i4>
      </vt:variant>
      <vt:variant>
        <vt:i4>5</vt:i4>
      </vt:variant>
      <vt:variant>
        <vt:lpwstr>../Docs/R1-135140.zip</vt:lpwstr>
      </vt:variant>
      <vt:variant>
        <vt:lpwstr/>
      </vt:variant>
      <vt:variant>
        <vt:i4>4325376</vt:i4>
      </vt:variant>
      <vt:variant>
        <vt:i4>3441</vt:i4>
      </vt:variant>
      <vt:variant>
        <vt:i4>0</vt:i4>
      </vt:variant>
      <vt:variant>
        <vt:i4>5</vt:i4>
      </vt:variant>
      <vt:variant>
        <vt:lpwstr>../Docs/R1-135368.zip</vt:lpwstr>
      </vt:variant>
      <vt:variant>
        <vt:lpwstr/>
      </vt:variant>
      <vt:variant>
        <vt:i4>4194314</vt:i4>
      </vt:variant>
      <vt:variant>
        <vt:i4>3438</vt:i4>
      </vt:variant>
      <vt:variant>
        <vt:i4>0</vt:i4>
      </vt:variant>
      <vt:variant>
        <vt:i4>5</vt:i4>
      </vt:variant>
      <vt:variant>
        <vt:lpwstr>../Docs/R1-135041.zip</vt:lpwstr>
      </vt:variant>
      <vt:variant>
        <vt:lpwstr/>
      </vt:variant>
      <vt:variant>
        <vt:i4>4521993</vt:i4>
      </vt:variant>
      <vt:variant>
        <vt:i4>3435</vt:i4>
      </vt:variant>
      <vt:variant>
        <vt:i4>0</vt:i4>
      </vt:variant>
      <vt:variant>
        <vt:i4>5</vt:i4>
      </vt:variant>
      <vt:variant>
        <vt:lpwstr>../Docs/R1-135113.zip</vt:lpwstr>
      </vt:variant>
      <vt:variant>
        <vt:lpwstr/>
      </vt:variant>
      <vt:variant>
        <vt:i4>5046282</vt:i4>
      </vt:variant>
      <vt:variant>
        <vt:i4>3432</vt:i4>
      </vt:variant>
      <vt:variant>
        <vt:i4>0</vt:i4>
      </vt:variant>
      <vt:variant>
        <vt:i4>5</vt:i4>
      </vt:variant>
      <vt:variant>
        <vt:lpwstr>../Docs/R1-135091.zip</vt:lpwstr>
      </vt:variant>
      <vt:variant>
        <vt:lpwstr/>
      </vt:variant>
      <vt:variant>
        <vt:i4>4456448</vt:i4>
      </vt:variant>
      <vt:variant>
        <vt:i4>3429</vt:i4>
      </vt:variant>
      <vt:variant>
        <vt:i4>0</vt:i4>
      </vt:variant>
      <vt:variant>
        <vt:i4>5</vt:i4>
      </vt:variant>
      <vt:variant>
        <vt:lpwstr>../Docs/R1-135803.zip</vt:lpwstr>
      </vt:variant>
      <vt:variant>
        <vt:lpwstr/>
      </vt:variant>
      <vt:variant>
        <vt:i4>4521998</vt:i4>
      </vt:variant>
      <vt:variant>
        <vt:i4>3426</vt:i4>
      </vt:variant>
      <vt:variant>
        <vt:i4>0</vt:i4>
      </vt:variant>
      <vt:variant>
        <vt:i4>5</vt:i4>
      </vt:variant>
      <vt:variant>
        <vt:lpwstr>../Docs/R1-135316.zip</vt:lpwstr>
      </vt:variant>
      <vt:variant>
        <vt:lpwstr/>
      </vt:variant>
      <vt:variant>
        <vt:i4>4325377</vt:i4>
      </vt:variant>
      <vt:variant>
        <vt:i4>3423</vt:i4>
      </vt:variant>
      <vt:variant>
        <vt:i4>0</vt:i4>
      </vt:variant>
      <vt:variant>
        <vt:i4>5</vt:i4>
      </vt:variant>
      <vt:variant>
        <vt:lpwstr>../Docs/R1-135268.zip</vt:lpwstr>
      </vt:variant>
      <vt:variant>
        <vt:lpwstr/>
      </vt:variant>
      <vt:variant>
        <vt:i4>5046287</vt:i4>
      </vt:variant>
      <vt:variant>
        <vt:i4>3420</vt:i4>
      </vt:variant>
      <vt:variant>
        <vt:i4>0</vt:i4>
      </vt:variant>
      <vt:variant>
        <vt:i4>5</vt:i4>
      </vt:variant>
      <vt:variant>
        <vt:lpwstr>../Docs/R1-135591.zip</vt:lpwstr>
      </vt:variant>
      <vt:variant>
        <vt:lpwstr/>
      </vt:variant>
      <vt:variant>
        <vt:i4>4521984</vt:i4>
      </vt:variant>
      <vt:variant>
        <vt:i4>3417</vt:i4>
      </vt:variant>
      <vt:variant>
        <vt:i4>0</vt:i4>
      </vt:variant>
      <vt:variant>
        <vt:i4>5</vt:i4>
      </vt:variant>
      <vt:variant>
        <vt:lpwstr>../Docs/R1-135219.zip</vt:lpwstr>
      </vt:variant>
      <vt:variant>
        <vt:lpwstr/>
      </vt:variant>
      <vt:variant>
        <vt:i4>4456461</vt:i4>
      </vt:variant>
      <vt:variant>
        <vt:i4>3414</vt:i4>
      </vt:variant>
      <vt:variant>
        <vt:i4>0</vt:i4>
      </vt:variant>
      <vt:variant>
        <vt:i4>5</vt:i4>
      </vt:variant>
      <vt:variant>
        <vt:lpwstr>../Docs/R1-135402.zip</vt:lpwstr>
      </vt:variant>
      <vt:variant>
        <vt:lpwstr/>
      </vt:variant>
      <vt:variant>
        <vt:i4>5046272</vt:i4>
      </vt:variant>
      <vt:variant>
        <vt:i4>3411</vt:i4>
      </vt:variant>
      <vt:variant>
        <vt:i4>0</vt:i4>
      </vt:variant>
      <vt:variant>
        <vt:i4>5</vt:i4>
      </vt:variant>
      <vt:variant>
        <vt:lpwstr>../Docs/R1-135398.zip</vt:lpwstr>
      </vt:variant>
      <vt:variant>
        <vt:lpwstr/>
      </vt:variant>
      <vt:variant>
        <vt:i4>4521998</vt:i4>
      </vt:variant>
      <vt:variant>
        <vt:i4>3408</vt:i4>
      </vt:variant>
      <vt:variant>
        <vt:i4>0</vt:i4>
      </vt:variant>
      <vt:variant>
        <vt:i4>5</vt:i4>
      </vt:variant>
      <vt:variant>
        <vt:lpwstr>../Docs/R1-135114.zip</vt:lpwstr>
      </vt:variant>
      <vt:variant>
        <vt:lpwstr/>
      </vt:variant>
      <vt:variant>
        <vt:i4>4456457</vt:i4>
      </vt:variant>
      <vt:variant>
        <vt:i4>3405</vt:i4>
      </vt:variant>
      <vt:variant>
        <vt:i4>0</vt:i4>
      </vt:variant>
      <vt:variant>
        <vt:i4>5</vt:i4>
      </vt:variant>
      <vt:variant>
        <vt:lpwstr>../Docs/R1-136032.zip</vt:lpwstr>
      </vt:variant>
      <vt:variant>
        <vt:lpwstr/>
      </vt:variant>
      <vt:variant>
        <vt:i4>2686977</vt:i4>
      </vt:variant>
      <vt:variant>
        <vt:i4>3402</vt:i4>
      </vt:variant>
      <vt:variant>
        <vt:i4>0</vt:i4>
      </vt:variant>
      <vt:variant>
        <vt:i4>5</vt:i4>
      </vt:variant>
      <vt:variant>
        <vt:lpwstr>http://www.3gpp.org/ftp/tsg_ran/TSG_RAN/TSGR_58/Docs/RP-122009.zip</vt:lpwstr>
      </vt:variant>
      <vt:variant>
        <vt:lpwstr/>
      </vt:variant>
      <vt:variant>
        <vt:i4>4521985</vt:i4>
      </vt:variant>
      <vt:variant>
        <vt:i4>3399</vt:i4>
      </vt:variant>
      <vt:variant>
        <vt:i4>0</vt:i4>
      </vt:variant>
      <vt:variant>
        <vt:i4>5</vt:i4>
      </vt:variant>
      <vt:variant>
        <vt:lpwstr>../Docs/R1-135218.zip</vt:lpwstr>
      </vt:variant>
      <vt:variant>
        <vt:lpwstr/>
      </vt:variant>
      <vt:variant>
        <vt:i4>4587534</vt:i4>
      </vt:variant>
      <vt:variant>
        <vt:i4>3396</vt:i4>
      </vt:variant>
      <vt:variant>
        <vt:i4>0</vt:i4>
      </vt:variant>
      <vt:variant>
        <vt:i4>5</vt:i4>
      </vt:variant>
      <vt:variant>
        <vt:lpwstr>../Docs/R1-136015.zip</vt:lpwstr>
      </vt:variant>
      <vt:variant>
        <vt:lpwstr/>
      </vt:variant>
      <vt:variant>
        <vt:i4>4587534</vt:i4>
      </vt:variant>
      <vt:variant>
        <vt:i4>3393</vt:i4>
      </vt:variant>
      <vt:variant>
        <vt:i4>0</vt:i4>
      </vt:variant>
      <vt:variant>
        <vt:i4>5</vt:i4>
      </vt:variant>
      <vt:variant>
        <vt:lpwstr>../Docs/R1-136015.zip</vt:lpwstr>
      </vt:variant>
      <vt:variant>
        <vt:lpwstr/>
      </vt:variant>
      <vt:variant>
        <vt:i4>4325380</vt:i4>
      </vt:variant>
      <vt:variant>
        <vt:i4>3390</vt:i4>
      </vt:variant>
      <vt:variant>
        <vt:i4>0</vt:i4>
      </vt:variant>
      <vt:variant>
        <vt:i4>5</vt:i4>
      </vt:variant>
      <vt:variant>
        <vt:lpwstr>../Docs/R1-135768.zip</vt:lpwstr>
      </vt:variant>
      <vt:variant>
        <vt:lpwstr/>
      </vt:variant>
      <vt:variant>
        <vt:i4>4456458</vt:i4>
      </vt:variant>
      <vt:variant>
        <vt:i4>3387</vt:i4>
      </vt:variant>
      <vt:variant>
        <vt:i4>0</vt:i4>
      </vt:variant>
      <vt:variant>
        <vt:i4>5</vt:i4>
      </vt:variant>
      <vt:variant>
        <vt:lpwstr>../Docs/R1-135706.zip</vt:lpwstr>
      </vt:variant>
      <vt:variant>
        <vt:lpwstr/>
      </vt:variant>
      <vt:variant>
        <vt:i4>4653066</vt:i4>
      </vt:variant>
      <vt:variant>
        <vt:i4>3384</vt:i4>
      </vt:variant>
      <vt:variant>
        <vt:i4>0</vt:i4>
      </vt:variant>
      <vt:variant>
        <vt:i4>5</vt:i4>
      </vt:variant>
      <vt:variant>
        <vt:lpwstr>../Docs/R1-135637.zip</vt:lpwstr>
      </vt:variant>
      <vt:variant>
        <vt:lpwstr/>
      </vt:variant>
      <vt:variant>
        <vt:i4>4194319</vt:i4>
      </vt:variant>
      <vt:variant>
        <vt:i4>3381</vt:i4>
      </vt:variant>
      <vt:variant>
        <vt:i4>0</vt:i4>
      </vt:variant>
      <vt:variant>
        <vt:i4>5</vt:i4>
      </vt:variant>
      <vt:variant>
        <vt:lpwstr>../Docs/R1-135541.zip</vt:lpwstr>
      </vt:variant>
      <vt:variant>
        <vt:lpwstr/>
      </vt:variant>
      <vt:variant>
        <vt:i4>4587529</vt:i4>
      </vt:variant>
      <vt:variant>
        <vt:i4>3378</vt:i4>
      </vt:variant>
      <vt:variant>
        <vt:i4>0</vt:i4>
      </vt:variant>
      <vt:variant>
        <vt:i4>5</vt:i4>
      </vt:variant>
      <vt:variant>
        <vt:lpwstr>../Docs/R1-135527.zip</vt:lpwstr>
      </vt:variant>
      <vt:variant>
        <vt:lpwstr/>
      </vt:variant>
      <vt:variant>
        <vt:i4>4390919</vt:i4>
      </vt:variant>
      <vt:variant>
        <vt:i4>3375</vt:i4>
      </vt:variant>
      <vt:variant>
        <vt:i4>0</vt:i4>
      </vt:variant>
      <vt:variant>
        <vt:i4>5</vt:i4>
      </vt:variant>
      <vt:variant>
        <vt:lpwstr>../Docs/R1-135478.zip</vt:lpwstr>
      </vt:variant>
      <vt:variant>
        <vt:lpwstr/>
      </vt:variant>
      <vt:variant>
        <vt:i4>4194310</vt:i4>
      </vt:variant>
      <vt:variant>
        <vt:i4>3372</vt:i4>
      </vt:variant>
      <vt:variant>
        <vt:i4>0</vt:i4>
      </vt:variant>
      <vt:variant>
        <vt:i4>5</vt:i4>
      </vt:variant>
      <vt:variant>
        <vt:lpwstr>../Docs/R1-135449.zip</vt:lpwstr>
      </vt:variant>
      <vt:variant>
        <vt:lpwstr/>
      </vt:variant>
      <vt:variant>
        <vt:i4>4456456</vt:i4>
      </vt:variant>
      <vt:variant>
        <vt:i4>3369</vt:i4>
      </vt:variant>
      <vt:variant>
        <vt:i4>0</vt:i4>
      </vt:variant>
      <vt:variant>
        <vt:i4>5</vt:i4>
      </vt:variant>
      <vt:variant>
        <vt:lpwstr>../Docs/R1-135407.zip</vt:lpwstr>
      </vt:variant>
      <vt:variant>
        <vt:lpwstr/>
      </vt:variant>
      <vt:variant>
        <vt:i4>4980748</vt:i4>
      </vt:variant>
      <vt:variant>
        <vt:i4>3366</vt:i4>
      </vt:variant>
      <vt:variant>
        <vt:i4>0</vt:i4>
      </vt:variant>
      <vt:variant>
        <vt:i4>5</vt:i4>
      </vt:variant>
      <vt:variant>
        <vt:lpwstr>../Docs/R1-135384.zip</vt:lpwstr>
      </vt:variant>
      <vt:variant>
        <vt:lpwstr/>
      </vt:variant>
      <vt:variant>
        <vt:i4>4194306</vt:i4>
      </vt:variant>
      <vt:variant>
        <vt:i4>3363</vt:i4>
      </vt:variant>
      <vt:variant>
        <vt:i4>0</vt:i4>
      </vt:variant>
      <vt:variant>
        <vt:i4>5</vt:i4>
      </vt:variant>
      <vt:variant>
        <vt:lpwstr>../Docs/R1-135841.zip</vt:lpwstr>
      </vt:variant>
      <vt:variant>
        <vt:lpwstr/>
      </vt:variant>
      <vt:variant>
        <vt:i4>4521997</vt:i4>
      </vt:variant>
      <vt:variant>
        <vt:i4>3360</vt:i4>
      </vt:variant>
      <vt:variant>
        <vt:i4>0</vt:i4>
      </vt:variant>
      <vt:variant>
        <vt:i4>5</vt:i4>
      </vt:variant>
      <vt:variant>
        <vt:lpwstr>../Docs/R1-135315.zip</vt:lpwstr>
      </vt:variant>
      <vt:variant>
        <vt:lpwstr/>
      </vt:variant>
      <vt:variant>
        <vt:i4>4521998</vt:i4>
      </vt:variant>
      <vt:variant>
        <vt:i4>3357</vt:i4>
      </vt:variant>
      <vt:variant>
        <vt:i4>0</vt:i4>
      </vt:variant>
      <vt:variant>
        <vt:i4>5</vt:i4>
      </vt:variant>
      <vt:variant>
        <vt:lpwstr>../Docs/R1-135217.zip</vt:lpwstr>
      </vt:variant>
      <vt:variant>
        <vt:lpwstr/>
      </vt:variant>
      <vt:variant>
        <vt:i4>4390926</vt:i4>
      </vt:variant>
      <vt:variant>
        <vt:i4>3354</vt:i4>
      </vt:variant>
      <vt:variant>
        <vt:i4>0</vt:i4>
      </vt:variant>
      <vt:variant>
        <vt:i4>5</vt:i4>
      </vt:variant>
      <vt:variant>
        <vt:lpwstr>../Docs/R1-135174.zip</vt:lpwstr>
      </vt:variant>
      <vt:variant>
        <vt:lpwstr/>
      </vt:variant>
      <vt:variant>
        <vt:i4>4521985</vt:i4>
      </vt:variant>
      <vt:variant>
        <vt:i4>3351</vt:i4>
      </vt:variant>
      <vt:variant>
        <vt:i4>0</vt:i4>
      </vt:variant>
      <vt:variant>
        <vt:i4>5</vt:i4>
      </vt:variant>
      <vt:variant>
        <vt:lpwstr>../Docs/R1-135812.zip</vt:lpwstr>
      </vt:variant>
      <vt:variant>
        <vt:lpwstr/>
      </vt:variant>
      <vt:variant>
        <vt:i4>4653067</vt:i4>
      </vt:variant>
      <vt:variant>
        <vt:i4>3348</vt:i4>
      </vt:variant>
      <vt:variant>
        <vt:i4>0</vt:i4>
      </vt:variant>
      <vt:variant>
        <vt:i4>5</vt:i4>
      </vt:variant>
      <vt:variant>
        <vt:lpwstr>../Docs/R1-135636.zip</vt:lpwstr>
      </vt:variant>
      <vt:variant>
        <vt:lpwstr/>
      </vt:variant>
      <vt:variant>
        <vt:i4>4456457</vt:i4>
      </vt:variant>
      <vt:variant>
        <vt:i4>3345</vt:i4>
      </vt:variant>
      <vt:variant>
        <vt:i4>0</vt:i4>
      </vt:variant>
      <vt:variant>
        <vt:i4>5</vt:i4>
      </vt:variant>
      <vt:variant>
        <vt:lpwstr>../Docs/R1-135604.zip</vt:lpwstr>
      </vt:variant>
      <vt:variant>
        <vt:lpwstr/>
      </vt:variant>
      <vt:variant>
        <vt:i4>4194311</vt:i4>
      </vt:variant>
      <vt:variant>
        <vt:i4>3342</vt:i4>
      </vt:variant>
      <vt:variant>
        <vt:i4>0</vt:i4>
      </vt:variant>
      <vt:variant>
        <vt:i4>5</vt:i4>
      </vt:variant>
      <vt:variant>
        <vt:lpwstr>../Docs/R1-135549.zip</vt:lpwstr>
      </vt:variant>
      <vt:variant>
        <vt:lpwstr/>
      </vt:variant>
      <vt:variant>
        <vt:i4>4587528</vt:i4>
      </vt:variant>
      <vt:variant>
        <vt:i4>3339</vt:i4>
      </vt:variant>
      <vt:variant>
        <vt:i4>0</vt:i4>
      </vt:variant>
      <vt:variant>
        <vt:i4>5</vt:i4>
      </vt:variant>
      <vt:variant>
        <vt:lpwstr>../Docs/R1-135526.zip</vt:lpwstr>
      </vt:variant>
      <vt:variant>
        <vt:lpwstr/>
      </vt:variant>
      <vt:variant>
        <vt:i4>4587534</vt:i4>
      </vt:variant>
      <vt:variant>
        <vt:i4>3336</vt:i4>
      </vt:variant>
      <vt:variant>
        <vt:i4>0</vt:i4>
      </vt:variant>
      <vt:variant>
        <vt:i4>5</vt:i4>
      </vt:variant>
      <vt:variant>
        <vt:lpwstr>../Docs/R1-135520.zip</vt:lpwstr>
      </vt:variant>
      <vt:variant>
        <vt:lpwstr/>
      </vt:variant>
      <vt:variant>
        <vt:i4>4325388</vt:i4>
      </vt:variant>
      <vt:variant>
        <vt:i4>3333</vt:i4>
      </vt:variant>
      <vt:variant>
        <vt:i4>0</vt:i4>
      </vt:variant>
      <vt:variant>
        <vt:i4>5</vt:i4>
      </vt:variant>
      <vt:variant>
        <vt:lpwstr>../Docs/R1-135265.zip</vt:lpwstr>
      </vt:variant>
      <vt:variant>
        <vt:lpwstr/>
      </vt:variant>
      <vt:variant>
        <vt:i4>4390921</vt:i4>
      </vt:variant>
      <vt:variant>
        <vt:i4>3330</vt:i4>
      </vt:variant>
      <vt:variant>
        <vt:i4>0</vt:i4>
      </vt:variant>
      <vt:variant>
        <vt:i4>5</vt:i4>
      </vt:variant>
      <vt:variant>
        <vt:lpwstr>../Docs/R1-135173.zip</vt:lpwstr>
      </vt:variant>
      <vt:variant>
        <vt:lpwstr/>
      </vt:variant>
      <vt:variant>
        <vt:i4>4980748</vt:i4>
      </vt:variant>
      <vt:variant>
        <vt:i4>3327</vt:i4>
      </vt:variant>
      <vt:variant>
        <vt:i4>0</vt:i4>
      </vt:variant>
      <vt:variant>
        <vt:i4>5</vt:i4>
      </vt:variant>
      <vt:variant>
        <vt:lpwstr>../Docs/R1-135087.zip</vt:lpwstr>
      </vt:variant>
      <vt:variant>
        <vt:lpwstr/>
      </vt:variant>
      <vt:variant>
        <vt:i4>4521986</vt:i4>
      </vt:variant>
      <vt:variant>
        <vt:i4>3324</vt:i4>
      </vt:variant>
      <vt:variant>
        <vt:i4>0</vt:i4>
      </vt:variant>
      <vt:variant>
        <vt:i4>5</vt:i4>
      </vt:variant>
      <vt:variant>
        <vt:lpwstr>../Docs/R1-135811.zip</vt:lpwstr>
      </vt:variant>
      <vt:variant>
        <vt:lpwstr/>
      </vt:variant>
      <vt:variant>
        <vt:i4>4325387</vt:i4>
      </vt:variant>
      <vt:variant>
        <vt:i4>3321</vt:i4>
      </vt:variant>
      <vt:variant>
        <vt:i4>0</vt:i4>
      </vt:variant>
      <vt:variant>
        <vt:i4>5</vt:i4>
      </vt:variant>
      <vt:variant>
        <vt:lpwstr>../Docs/R1-135767.zip</vt:lpwstr>
      </vt:variant>
      <vt:variant>
        <vt:lpwstr/>
      </vt:variant>
      <vt:variant>
        <vt:i4>4390917</vt:i4>
      </vt:variant>
      <vt:variant>
        <vt:i4>3318</vt:i4>
      </vt:variant>
      <vt:variant>
        <vt:i4>0</vt:i4>
      </vt:variant>
      <vt:variant>
        <vt:i4>5</vt:i4>
      </vt:variant>
      <vt:variant>
        <vt:lpwstr>../Docs/R1-135678.zip</vt:lpwstr>
      </vt:variant>
      <vt:variant>
        <vt:lpwstr/>
      </vt:variant>
      <vt:variant>
        <vt:i4>4521991</vt:i4>
      </vt:variant>
      <vt:variant>
        <vt:i4>3315</vt:i4>
      </vt:variant>
      <vt:variant>
        <vt:i4>0</vt:i4>
      </vt:variant>
      <vt:variant>
        <vt:i4>5</vt:i4>
      </vt:variant>
      <vt:variant>
        <vt:lpwstr>../Docs/R1-135519.zip</vt:lpwstr>
      </vt:variant>
      <vt:variant>
        <vt:lpwstr/>
      </vt:variant>
      <vt:variant>
        <vt:i4>4390920</vt:i4>
      </vt:variant>
      <vt:variant>
        <vt:i4>3312</vt:i4>
      </vt:variant>
      <vt:variant>
        <vt:i4>0</vt:i4>
      </vt:variant>
      <vt:variant>
        <vt:i4>5</vt:i4>
      </vt:variant>
      <vt:variant>
        <vt:lpwstr>../Docs/R1-135477.zip</vt:lpwstr>
      </vt:variant>
      <vt:variant>
        <vt:lpwstr/>
      </vt:variant>
      <vt:variant>
        <vt:i4>4456455</vt:i4>
      </vt:variant>
      <vt:variant>
        <vt:i4>3309</vt:i4>
      </vt:variant>
      <vt:variant>
        <vt:i4>0</vt:i4>
      </vt:variant>
      <vt:variant>
        <vt:i4>5</vt:i4>
      </vt:variant>
      <vt:variant>
        <vt:lpwstr>../Docs/R1-135408.zip</vt:lpwstr>
      </vt:variant>
      <vt:variant>
        <vt:lpwstr/>
      </vt:variant>
      <vt:variant>
        <vt:i4>4521996</vt:i4>
      </vt:variant>
      <vt:variant>
        <vt:i4>3306</vt:i4>
      </vt:variant>
      <vt:variant>
        <vt:i4>0</vt:i4>
      </vt:variant>
      <vt:variant>
        <vt:i4>5</vt:i4>
      </vt:variant>
      <vt:variant>
        <vt:lpwstr>../Docs/R1-135314.zip</vt:lpwstr>
      </vt:variant>
      <vt:variant>
        <vt:lpwstr/>
      </vt:variant>
      <vt:variant>
        <vt:i4>4521999</vt:i4>
      </vt:variant>
      <vt:variant>
        <vt:i4>3303</vt:i4>
      </vt:variant>
      <vt:variant>
        <vt:i4>0</vt:i4>
      </vt:variant>
      <vt:variant>
        <vt:i4>5</vt:i4>
      </vt:variant>
      <vt:variant>
        <vt:lpwstr>../Docs/R1-135216.zip</vt:lpwstr>
      </vt:variant>
      <vt:variant>
        <vt:lpwstr/>
      </vt:variant>
      <vt:variant>
        <vt:i4>4653059</vt:i4>
      </vt:variant>
      <vt:variant>
        <vt:i4>3300</vt:i4>
      </vt:variant>
      <vt:variant>
        <vt:i4>0</vt:i4>
      </vt:variant>
      <vt:variant>
        <vt:i4>5</vt:i4>
      </vt:variant>
      <vt:variant>
        <vt:lpwstr>../Docs/R1-135139.zip</vt:lpwstr>
      </vt:variant>
      <vt:variant>
        <vt:lpwstr/>
      </vt:variant>
      <vt:variant>
        <vt:i4>4521992</vt:i4>
      </vt:variant>
      <vt:variant>
        <vt:i4>3297</vt:i4>
      </vt:variant>
      <vt:variant>
        <vt:i4>0</vt:i4>
      </vt:variant>
      <vt:variant>
        <vt:i4>5</vt:i4>
      </vt:variant>
      <vt:variant>
        <vt:lpwstr>../Docs/R1-135112.zip</vt:lpwstr>
      </vt:variant>
      <vt:variant>
        <vt:lpwstr/>
      </vt:variant>
      <vt:variant>
        <vt:i4>4980749</vt:i4>
      </vt:variant>
      <vt:variant>
        <vt:i4>3294</vt:i4>
      </vt:variant>
      <vt:variant>
        <vt:i4>0</vt:i4>
      </vt:variant>
      <vt:variant>
        <vt:i4>5</vt:i4>
      </vt:variant>
      <vt:variant>
        <vt:lpwstr>../Docs/R1-135086.zip</vt:lpwstr>
      </vt:variant>
      <vt:variant>
        <vt:lpwstr/>
      </vt:variant>
      <vt:variant>
        <vt:i4>4194315</vt:i4>
      </vt:variant>
      <vt:variant>
        <vt:i4>3291</vt:i4>
      </vt:variant>
      <vt:variant>
        <vt:i4>0</vt:i4>
      </vt:variant>
      <vt:variant>
        <vt:i4>5</vt:i4>
      </vt:variant>
      <vt:variant>
        <vt:lpwstr>../Docs/R1-135040.zip</vt:lpwstr>
      </vt:variant>
      <vt:variant>
        <vt:lpwstr/>
      </vt:variant>
      <vt:variant>
        <vt:i4>5046286</vt:i4>
      </vt:variant>
      <vt:variant>
        <vt:i4>3288</vt:i4>
      </vt:variant>
      <vt:variant>
        <vt:i4>0</vt:i4>
      </vt:variant>
      <vt:variant>
        <vt:i4>5</vt:i4>
      </vt:variant>
      <vt:variant>
        <vt:lpwstr>../Docs/R1-135590.zip</vt:lpwstr>
      </vt:variant>
      <vt:variant>
        <vt:lpwstr/>
      </vt:variant>
      <vt:variant>
        <vt:i4>4194315</vt:i4>
      </vt:variant>
      <vt:variant>
        <vt:i4>3285</vt:i4>
      </vt:variant>
      <vt:variant>
        <vt:i4>0</vt:i4>
      </vt:variant>
      <vt:variant>
        <vt:i4>5</vt:i4>
      </vt:variant>
      <vt:variant>
        <vt:lpwstr>../Docs/R1-135949.zip</vt:lpwstr>
      </vt:variant>
      <vt:variant>
        <vt:lpwstr/>
      </vt:variant>
      <vt:variant>
        <vt:i4>4653067</vt:i4>
      </vt:variant>
      <vt:variant>
        <vt:i4>3282</vt:i4>
      </vt:variant>
      <vt:variant>
        <vt:i4>0</vt:i4>
      </vt:variant>
      <vt:variant>
        <vt:i4>5</vt:i4>
      </vt:variant>
      <vt:variant>
        <vt:lpwstr>../Docs/R1-136000.zip</vt:lpwstr>
      </vt:variant>
      <vt:variant>
        <vt:lpwstr/>
      </vt:variant>
      <vt:variant>
        <vt:i4>4259840</vt:i4>
      </vt:variant>
      <vt:variant>
        <vt:i4>3279</vt:i4>
      </vt:variant>
      <vt:variant>
        <vt:i4>0</vt:i4>
      </vt:variant>
      <vt:variant>
        <vt:i4>5</vt:i4>
      </vt:variant>
      <vt:variant>
        <vt:lpwstr>../Docs/R1-135952.zip</vt:lpwstr>
      </vt:variant>
      <vt:variant>
        <vt:lpwstr/>
      </vt:variant>
      <vt:variant>
        <vt:i4>4653067</vt:i4>
      </vt:variant>
      <vt:variant>
        <vt:i4>3276</vt:i4>
      </vt:variant>
      <vt:variant>
        <vt:i4>0</vt:i4>
      </vt:variant>
      <vt:variant>
        <vt:i4>5</vt:i4>
      </vt:variant>
      <vt:variant>
        <vt:lpwstr>../Docs/R1-136000.zip</vt:lpwstr>
      </vt:variant>
      <vt:variant>
        <vt:lpwstr/>
      </vt:variant>
      <vt:variant>
        <vt:i4>4259840</vt:i4>
      </vt:variant>
      <vt:variant>
        <vt:i4>3273</vt:i4>
      </vt:variant>
      <vt:variant>
        <vt:i4>0</vt:i4>
      </vt:variant>
      <vt:variant>
        <vt:i4>5</vt:i4>
      </vt:variant>
      <vt:variant>
        <vt:lpwstr>../Docs/R1-135952.zip</vt:lpwstr>
      </vt:variant>
      <vt:variant>
        <vt:lpwstr/>
      </vt:variant>
      <vt:variant>
        <vt:i4>4325386</vt:i4>
      </vt:variant>
      <vt:variant>
        <vt:i4>3270</vt:i4>
      </vt:variant>
      <vt:variant>
        <vt:i4>0</vt:i4>
      </vt:variant>
      <vt:variant>
        <vt:i4>5</vt:i4>
      </vt:variant>
      <vt:variant>
        <vt:lpwstr>../Docs/R1-135766.zip</vt:lpwstr>
      </vt:variant>
      <vt:variant>
        <vt:lpwstr/>
      </vt:variant>
      <vt:variant>
        <vt:i4>4456462</vt:i4>
      </vt:variant>
      <vt:variant>
        <vt:i4>3267</vt:i4>
      </vt:variant>
      <vt:variant>
        <vt:i4>0</vt:i4>
      </vt:variant>
      <vt:variant>
        <vt:i4>5</vt:i4>
      </vt:variant>
      <vt:variant>
        <vt:lpwstr>../Docs/R1-135603.zip</vt:lpwstr>
      </vt:variant>
      <vt:variant>
        <vt:lpwstr/>
      </vt:variant>
      <vt:variant>
        <vt:i4>4194311</vt:i4>
      </vt:variant>
      <vt:variant>
        <vt:i4>3264</vt:i4>
      </vt:variant>
      <vt:variant>
        <vt:i4>0</vt:i4>
      </vt:variant>
      <vt:variant>
        <vt:i4>5</vt:i4>
      </vt:variant>
      <vt:variant>
        <vt:lpwstr>../Docs/R1-135549.zip</vt:lpwstr>
      </vt:variant>
      <vt:variant>
        <vt:lpwstr/>
      </vt:variant>
      <vt:variant>
        <vt:i4>4521995</vt:i4>
      </vt:variant>
      <vt:variant>
        <vt:i4>3261</vt:i4>
      </vt:variant>
      <vt:variant>
        <vt:i4>0</vt:i4>
      </vt:variant>
      <vt:variant>
        <vt:i4>5</vt:i4>
      </vt:variant>
      <vt:variant>
        <vt:lpwstr>../Docs/R1-135313.zip</vt:lpwstr>
      </vt:variant>
      <vt:variant>
        <vt:lpwstr/>
      </vt:variant>
      <vt:variant>
        <vt:i4>4390920</vt:i4>
      </vt:variant>
      <vt:variant>
        <vt:i4>3258</vt:i4>
      </vt:variant>
      <vt:variant>
        <vt:i4>0</vt:i4>
      </vt:variant>
      <vt:variant>
        <vt:i4>5</vt:i4>
      </vt:variant>
      <vt:variant>
        <vt:lpwstr>../Docs/R1-135172.zip</vt:lpwstr>
      </vt:variant>
      <vt:variant>
        <vt:lpwstr/>
      </vt:variant>
      <vt:variant>
        <vt:i4>4980750</vt:i4>
      </vt:variant>
      <vt:variant>
        <vt:i4>3255</vt:i4>
      </vt:variant>
      <vt:variant>
        <vt:i4>0</vt:i4>
      </vt:variant>
      <vt:variant>
        <vt:i4>5</vt:i4>
      </vt:variant>
      <vt:variant>
        <vt:lpwstr>../Docs/R1-135085.zip</vt:lpwstr>
      </vt:variant>
      <vt:variant>
        <vt:lpwstr/>
      </vt:variant>
      <vt:variant>
        <vt:i4>4587523</vt:i4>
      </vt:variant>
      <vt:variant>
        <vt:i4>3252</vt:i4>
      </vt:variant>
      <vt:variant>
        <vt:i4>0</vt:i4>
      </vt:variant>
      <vt:variant>
        <vt:i4>5</vt:i4>
      </vt:variant>
      <vt:variant>
        <vt:lpwstr>../Docs/R1-136018.zip</vt:lpwstr>
      </vt:variant>
      <vt:variant>
        <vt:lpwstr/>
      </vt:variant>
      <vt:variant>
        <vt:i4>4980743</vt:i4>
      </vt:variant>
      <vt:variant>
        <vt:i4>3249</vt:i4>
      </vt:variant>
      <vt:variant>
        <vt:i4>0</vt:i4>
      </vt:variant>
      <vt:variant>
        <vt:i4>5</vt:i4>
      </vt:variant>
      <vt:variant>
        <vt:lpwstr>../Docs/R1-135589.zip</vt:lpwstr>
      </vt:variant>
      <vt:variant>
        <vt:lpwstr/>
      </vt:variant>
      <vt:variant>
        <vt:i4>4259854</vt:i4>
      </vt:variant>
      <vt:variant>
        <vt:i4>3246</vt:i4>
      </vt:variant>
      <vt:variant>
        <vt:i4>0</vt:i4>
      </vt:variant>
      <vt:variant>
        <vt:i4>5</vt:i4>
      </vt:variant>
      <vt:variant>
        <vt:lpwstr>../Docs/R1-135550.zip</vt:lpwstr>
      </vt:variant>
      <vt:variant>
        <vt:lpwstr/>
      </vt:variant>
      <vt:variant>
        <vt:i4>4390921</vt:i4>
      </vt:variant>
      <vt:variant>
        <vt:i4>3243</vt:i4>
      </vt:variant>
      <vt:variant>
        <vt:i4>0</vt:i4>
      </vt:variant>
      <vt:variant>
        <vt:i4>5</vt:i4>
      </vt:variant>
      <vt:variant>
        <vt:lpwstr>../Docs/R1-135476.zip</vt:lpwstr>
      </vt:variant>
      <vt:variant>
        <vt:lpwstr/>
      </vt:variant>
      <vt:variant>
        <vt:i4>4456454</vt:i4>
      </vt:variant>
      <vt:variant>
        <vt:i4>3240</vt:i4>
      </vt:variant>
      <vt:variant>
        <vt:i4>0</vt:i4>
      </vt:variant>
      <vt:variant>
        <vt:i4>5</vt:i4>
      </vt:variant>
      <vt:variant>
        <vt:lpwstr>../Docs/R1-135409.zip</vt:lpwstr>
      </vt:variant>
      <vt:variant>
        <vt:lpwstr/>
      </vt:variant>
      <vt:variant>
        <vt:i4>4980749</vt:i4>
      </vt:variant>
      <vt:variant>
        <vt:i4>3237</vt:i4>
      </vt:variant>
      <vt:variant>
        <vt:i4>0</vt:i4>
      </vt:variant>
      <vt:variant>
        <vt:i4>5</vt:i4>
      </vt:variant>
      <vt:variant>
        <vt:lpwstr>../Docs/R1-135284.zip</vt:lpwstr>
      </vt:variant>
      <vt:variant>
        <vt:lpwstr/>
      </vt:variant>
      <vt:variant>
        <vt:i4>4521996</vt:i4>
      </vt:variant>
      <vt:variant>
        <vt:i4>3234</vt:i4>
      </vt:variant>
      <vt:variant>
        <vt:i4>0</vt:i4>
      </vt:variant>
      <vt:variant>
        <vt:i4>5</vt:i4>
      </vt:variant>
      <vt:variant>
        <vt:lpwstr>../Docs/R1-135215.zip</vt:lpwstr>
      </vt:variant>
      <vt:variant>
        <vt:lpwstr/>
      </vt:variant>
      <vt:variant>
        <vt:i4>4521995</vt:i4>
      </vt:variant>
      <vt:variant>
        <vt:i4>3231</vt:i4>
      </vt:variant>
      <vt:variant>
        <vt:i4>0</vt:i4>
      </vt:variant>
      <vt:variant>
        <vt:i4>5</vt:i4>
      </vt:variant>
      <vt:variant>
        <vt:lpwstr>../Docs/R1-135111.zip</vt:lpwstr>
      </vt:variant>
      <vt:variant>
        <vt:lpwstr/>
      </vt:variant>
      <vt:variant>
        <vt:i4>4980750</vt:i4>
      </vt:variant>
      <vt:variant>
        <vt:i4>3228</vt:i4>
      </vt:variant>
      <vt:variant>
        <vt:i4>0</vt:i4>
      </vt:variant>
      <vt:variant>
        <vt:i4>5</vt:i4>
      </vt:variant>
      <vt:variant>
        <vt:lpwstr>../Docs/R1-135085.zip</vt:lpwstr>
      </vt:variant>
      <vt:variant>
        <vt:lpwstr/>
      </vt:variant>
      <vt:variant>
        <vt:i4>4653058</vt:i4>
      </vt:variant>
      <vt:variant>
        <vt:i4>3225</vt:i4>
      </vt:variant>
      <vt:variant>
        <vt:i4>0</vt:i4>
      </vt:variant>
      <vt:variant>
        <vt:i4>5</vt:i4>
      </vt:variant>
      <vt:variant>
        <vt:lpwstr>../Docs/R1-135039.zip</vt:lpwstr>
      </vt:variant>
      <vt:variant>
        <vt:lpwstr/>
      </vt:variant>
      <vt:variant>
        <vt:i4>4456450</vt:i4>
      </vt:variant>
      <vt:variant>
        <vt:i4>3222</vt:i4>
      </vt:variant>
      <vt:variant>
        <vt:i4>0</vt:i4>
      </vt:variant>
      <vt:variant>
        <vt:i4>5</vt:i4>
      </vt:variant>
      <vt:variant>
        <vt:lpwstr>../Docs/R1-135900.zip</vt:lpwstr>
      </vt:variant>
      <vt:variant>
        <vt:lpwstr/>
      </vt:variant>
      <vt:variant>
        <vt:i4>5046283</vt:i4>
      </vt:variant>
      <vt:variant>
        <vt:i4>3219</vt:i4>
      </vt:variant>
      <vt:variant>
        <vt:i4>0</vt:i4>
      </vt:variant>
      <vt:variant>
        <vt:i4>5</vt:i4>
      </vt:variant>
      <vt:variant>
        <vt:lpwstr>../Docs/R1-135999.zip</vt:lpwstr>
      </vt:variant>
      <vt:variant>
        <vt:lpwstr/>
      </vt:variant>
      <vt:variant>
        <vt:i4>4194318</vt:i4>
      </vt:variant>
      <vt:variant>
        <vt:i4>3216</vt:i4>
      </vt:variant>
      <vt:variant>
        <vt:i4>0</vt:i4>
      </vt:variant>
      <vt:variant>
        <vt:i4>5</vt:i4>
      </vt:variant>
      <vt:variant>
        <vt:lpwstr>../Docs/R1-135540.zip</vt:lpwstr>
      </vt:variant>
      <vt:variant>
        <vt:lpwstr/>
      </vt:variant>
      <vt:variant>
        <vt:i4>4390922</vt:i4>
      </vt:variant>
      <vt:variant>
        <vt:i4>3213</vt:i4>
      </vt:variant>
      <vt:variant>
        <vt:i4>0</vt:i4>
      </vt:variant>
      <vt:variant>
        <vt:i4>5</vt:i4>
      </vt:variant>
      <vt:variant>
        <vt:lpwstr>../Docs/R1-135475.zip</vt:lpwstr>
      </vt:variant>
      <vt:variant>
        <vt:lpwstr/>
      </vt:variant>
      <vt:variant>
        <vt:i4>4521993</vt:i4>
      </vt:variant>
      <vt:variant>
        <vt:i4>3210</vt:i4>
      </vt:variant>
      <vt:variant>
        <vt:i4>0</vt:i4>
      </vt:variant>
      <vt:variant>
        <vt:i4>5</vt:i4>
      </vt:variant>
      <vt:variant>
        <vt:lpwstr>../Docs/R1-135311.zip</vt:lpwstr>
      </vt:variant>
      <vt:variant>
        <vt:lpwstr/>
      </vt:variant>
      <vt:variant>
        <vt:i4>4521997</vt:i4>
      </vt:variant>
      <vt:variant>
        <vt:i4>3207</vt:i4>
      </vt:variant>
      <vt:variant>
        <vt:i4>0</vt:i4>
      </vt:variant>
      <vt:variant>
        <vt:i4>5</vt:i4>
      </vt:variant>
      <vt:variant>
        <vt:lpwstr>../Docs/R1-135214.zip</vt:lpwstr>
      </vt:variant>
      <vt:variant>
        <vt:lpwstr/>
      </vt:variant>
      <vt:variant>
        <vt:i4>4521997</vt:i4>
      </vt:variant>
      <vt:variant>
        <vt:i4>3204</vt:i4>
      </vt:variant>
      <vt:variant>
        <vt:i4>0</vt:i4>
      </vt:variant>
      <vt:variant>
        <vt:i4>5</vt:i4>
      </vt:variant>
      <vt:variant>
        <vt:lpwstr>../Docs/R1-136026.zip</vt:lpwstr>
      </vt:variant>
      <vt:variant>
        <vt:lpwstr/>
      </vt:variant>
      <vt:variant>
        <vt:i4>4521997</vt:i4>
      </vt:variant>
      <vt:variant>
        <vt:i4>3201</vt:i4>
      </vt:variant>
      <vt:variant>
        <vt:i4>0</vt:i4>
      </vt:variant>
      <vt:variant>
        <vt:i4>5</vt:i4>
      </vt:variant>
      <vt:variant>
        <vt:lpwstr>../Docs/R1-136026.zip</vt:lpwstr>
      </vt:variant>
      <vt:variant>
        <vt:lpwstr/>
      </vt:variant>
      <vt:variant>
        <vt:i4>4521997</vt:i4>
      </vt:variant>
      <vt:variant>
        <vt:i4>3198</vt:i4>
      </vt:variant>
      <vt:variant>
        <vt:i4>0</vt:i4>
      </vt:variant>
      <vt:variant>
        <vt:i4>5</vt:i4>
      </vt:variant>
      <vt:variant>
        <vt:lpwstr>../Docs/R1-136026.zip</vt:lpwstr>
      </vt:variant>
      <vt:variant>
        <vt:lpwstr/>
      </vt:variant>
      <vt:variant>
        <vt:i4>4587530</vt:i4>
      </vt:variant>
      <vt:variant>
        <vt:i4>3192</vt:i4>
      </vt:variant>
      <vt:variant>
        <vt:i4>0</vt:i4>
      </vt:variant>
      <vt:variant>
        <vt:i4>5</vt:i4>
      </vt:variant>
      <vt:variant>
        <vt:lpwstr>../Docs/R1-136011.zip</vt:lpwstr>
      </vt:variant>
      <vt:variant>
        <vt:lpwstr/>
      </vt:variant>
      <vt:variant>
        <vt:i4>4587530</vt:i4>
      </vt:variant>
      <vt:variant>
        <vt:i4>3189</vt:i4>
      </vt:variant>
      <vt:variant>
        <vt:i4>0</vt:i4>
      </vt:variant>
      <vt:variant>
        <vt:i4>5</vt:i4>
      </vt:variant>
      <vt:variant>
        <vt:lpwstr>../Docs/R1-136011.zip</vt:lpwstr>
      </vt:variant>
      <vt:variant>
        <vt:lpwstr/>
      </vt:variant>
      <vt:variant>
        <vt:i4>4259843</vt:i4>
      </vt:variant>
      <vt:variant>
        <vt:i4>3186</vt:i4>
      </vt:variant>
      <vt:variant>
        <vt:i4>0</vt:i4>
      </vt:variant>
      <vt:variant>
        <vt:i4>5</vt:i4>
      </vt:variant>
      <vt:variant>
        <vt:lpwstr>../Docs/R1-135951.zip</vt:lpwstr>
      </vt:variant>
      <vt:variant>
        <vt:lpwstr/>
      </vt:variant>
      <vt:variant>
        <vt:i4>4194309</vt:i4>
      </vt:variant>
      <vt:variant>
        <vt:i4>3177</vt:i4>
      </vt:variant>
      <vt:variant>
        <vt:i4>0</vt:i4>
      </vt:variant>
      <vt:variant>
        <vt:i4>5</vt:i4>
      </vt:variant>
      <vt:variant>
        <vt:lpwstr>../Docs/R1-135947.zip</vt:lpwstr>
      </vt:variant>
      <vt:variant>
        <vt:lpwstr/>
      </vt:variant>
      <vt:variant>
        <vt:i4>4194309</vt:i4>
      </vt:variant>
      <vt:variant>
        <vt:i4>3174</vt:i4>
      </vt:variant>
      <vt:variant>
        <vt:i4>0</vt:i4>
      </vt:variant>
      <vt:variant>
        <vt:i4>5</vt:i4>
      </vt:variant>
      <vt:variant>
        <vt:lpwstr>../Docs/R1-135947.zip</vt:lpwstr>
      </vt:variant>
      <vt:variant>
        <vt:lpwstr/>
      </vt:variant>
      <vt:variant>
        <vt:i4>4325385</vt:i4>
      </vt:variant>
      <vt:variant>
        <vt:i4>3171</vt:i4>
      </vt:variant>
      <vt:variant>
        <vt:i4>0</vt:i4>
      </vt:variant>
      <vt:variant>
        <vt:i4>5</vt:i4>
      </vt:variant>
      <vt:variant>
        <vt:lpwstr>../Docs/R1-135765.zip</vt:lpwstr>
      </vt:variant>
      <vt:variant>
        <vt:lpwstr/>
      </vt:variant>
      <vt:variant>
        <vt:i4>4653064</vt:i4>
      </vt:variant>
      <vt:variant>
        <vt:i4>3168</vt:i4>
      </vt:variant>
      <vt:variant>
        <vt:i4>0</vt:i4>
      </vt:variant>
      <vt:variant>
        <vt:i4>5</vt:i4>
      </vt:variant>
      <vt:variant>
        <vt:lpwstr>../Docs/R1-135635.zip</vt:lpwstr>
      </vt:variant>
      <vt:variant>
        <vt:lpwstr/>
      </vt:variant>
      <vt:variant>
        <vt:i4>4456448</vt:i4>
      </vt:variant>
      <vt:variant>
        <vt:i4>3165</vt:i4>
      </vt:variant>
      <vt:variant>
        <vt:i4>0</vt:i4>
      </vt:variant>
      <vt:variant>
        <vt:i4>5</vt:i4>
      </vt:variant>
      <vt:variant>
        <vt:lpwstr>../Docs/R1-135902.zip</vt:lpwstr>
      </vt:variant>
      <vt:variant>
        <vt:lpwstr/>
      </vt:variant>
      <vt:variant>
        <vt:i4>4980742</vt:i4>
      </vt:variant>
      <vt:variant>
        <vt:i4>3162</vt:i4>
      </vt:variant>
      <vt:variant>
        <vt:i4>0</vt:i4>
      </vt:variant>
      <vt:variant>
        <vt:i4>5</vt:i4>
      </vt:variant>
      <vt:variant>
        <vt:lpwstr>../Docs/R1-135588.zip</vt:lpwstr>
      </vt:variant>
      <vt:variant>
        <vt:lpwstr/>
      </vt:variant>
      <vt:variant>
        <vt:i4>4194314</vt:i4>
      </vt:variant>
      <vt:variant>
        <vt:i4>3159</vt:i4>
      </vt:variant>
      <vt:variant>
        <vt:i4>0</vt:i4>
      </vt:variant>
      <vt:variant>
        <vt:i4>5</vt:i4>
      </vt:variant>
      <vt:variant>
        <vt:lpwstr>../Docs/R1-135948.zip</vt:lpwstr>
      </vt:variant>
      <vt:variant>
        <vt:lpwstr/>
      </vt:variant>
      <vt:variant>
        <vt:i4>4653071</vt:i4>
      </vt:variant>
      <vt:variant>
        <vt:i4>3156</vt:i4>
      </vt:variant>
      <vt:variant>
        <vt:i4>0</vt:i4>
      </vt:variant>
      <vt:variant>
        <vt:i4>5</vt:i4>
      </vt:variant>
      <vt:variant>
        <vt:lpwstr>../Docs/R1-135531.zip</vt:lpwstr>
      </vt:variant>
      <vt:variant>
        <vt:lpwstr/>
      </vt:variant>
      <vt:variant>
        <vt:i4>4194307</vt:i4>
      </vt:variant>
      <vt:variant>
        <vt:i4>3153</vt:i4>
      </vt:variant>
      <vt:variant>
        <vt:i4>0</vt:i4>
      </vt:variant>
      <vt:variant>
        <vt:i4>5</vt:i4>
      </vt:variant>
      <vt:variant>
        <vt:lpwstr>../Docs/R1-135840.zip</vt:lpwstr>
      </vt:variant>
      <vt:variant>
        <vt:lpwstr/>
      </vt:variant>
      <vt:variant>
        <vt:i4>4587526</vt:i4>
      </vt:variant>
      <vt:variant>
        <vt:i4>3150</vt:i4>
      </vt:variant>
      <vt:variant>
        <vt:i4>0</vt:i4>
      </vt:variant>
      <vt:variant>
        <vt:i4>5</vt:i4>
      </vt:variant>
      <vt:variant>
        <vt:lpwstr>../Docs/R1-135528.zip</vt:lpwstr>
      </vt:variant>
      <vt:variant>
        <vt:lpwstr/>
      </vt:variant>
      <vt:variant>
        <vt:i4>4521990</vt:i4>
      </vt:variant>
      <vt:variant>
        <vt:i4>3147</vt:i4>
      </vt:variant>
      <vt:variant>
        <vt:i4>0</vt:i4>
      </vt:variant>
      <vt:variant>
        <vt:i4>5</vt:i4>
      </vt:variant>
      <vt:variant>
        <vt:lpwstr>../Docs/R1-135518.zip</vt:lpwstr>
      </vt:variant>
      <vt:variant>
        <vt:lpwstr/>
      </vt:variant>
      <vt:variant>
        <vt:i4>4587522</vt:i4>
      </vt:variant>
      <vt:variant>
        <vt:i4>3144</vt:i4>
      </vt:variant>
      <vt:variant>
        <vt:i4>0</vt:i4>
      </vt:variant>
      <vt:variant>
        <vt:i4>5</vt:i4>
      </vt:variant>
      <vt:variant>
        <vt:lpwstr>../Docs/R1-135821.zip</vt:lpwstr>
      </vt:variant>
      <vt:variant>
        <vt:lpwstr/>
      </vt:variant>
      <vt:variant>
        <vt:i4>4521992</vt:i4>
      </vt:variant>
      <vt:variant>
        <vt:i4>3141</vt:i4>
      </vt:variant>
      <vt:variant>
        <vt:i4>0</vt:i4>
      </vt:variant>
      <vt:variant>
        <vt:i4>5</vt:i4>
      </vt:variant>
      <vt:variant>
        <vt:lpwstr>../Docs/R1-135310.zip</vt:lpwstr>
      </vt:variant>
      <vt:variant>
        <vt:lpwstr/>
      </vt:variant>
      <vt:variant>
        <vt:i4>5046278</vt:i4>
      </vt:variant>
      <vt:variant>
        <vt:i4>3138</vt:i4>
      </vt:variant>
      <vt:variant>
        <vt:i4>0</vt:i4>
      </vt:variant>
      <vt:variant>
        <vt:i4>5</vt:i4>
      </vt:variant>
      <vt:variant>
        <vt:lpwstr>../Docs/R1-135895.zip</vt:lpwstr>
      </vt:variant>
      <vt:variant>
        <vt:lpwstr/>
      </vt:variant>
      <vt:variant>
        <vt:i4>4521994</vt:i4>
      </vt:variant>
      <vt:variant>
        <vt:i4>3135</vt:i4>
      </vt:variant>
      <vt:variant>
        <vt:i4>0</vt:i4>
      </vt:variant>
      <vt:variant>
        <vt:i4>5</vt:i4>
      </vt:variant>
      <vt:variant>
        <vt:lpwstr>../Docs/R1-135213.zip</vt:lpwstr>
      </vt:variant>
      <vt:variant>
        <vt:lpwstr/>
      </vt:variant>
      <vt:variant>
        <vt:i4>4456450</vt:i4>
      </vt:variant>
      <vt:variant>
        <vt:i4>3132</vt:i4>
      </vt:variant>
      <vt:variant>
        <vt:i4>0</vt:i4>
      </vt:variant>
      <vt:variant>
        <vt:i4>5</vt:i4>
      </vt:variant>
      <vt:variant>
        <vt:lpwstr>../Docs/R1-135900.zip</vt:lpwstr>
      </vt:variant>
      <vt:variant>
        <vt:lpwstr/>
      </vt:variant>
      <vt:variant>
        <vt:i4>4390923</vt:i4>
      </vt:variant>
      <vt:variant>
        <vt:i4>3129</vt:i4>
      </vt:variant>
      <vt:variant>
        <vt:i4>0</vt:i4>
      </vt:variant>
      <vt:variant>
        <vt:i4>5</vt:i4>
      </vt:variant>
      <vt:variant>
        <vt:lpwstr>../Docs/R1-135171.zip</vt:lpwstr>
      </vt:variant>
      <vt:variant>
        <vt:lpwstr/>
      </vt:variant>
      <vt:variant>
        <vt:i4>4587523</vt:i4>
      </vt:variant>
      <vt:variant>
        <vt:i4>3126</vt:i4>
      </vt:variant>
      <vt:variant>
        <vt:i4>0</vt:i4>
      </vt:variant>
      <vt:variant>
        <vt:i4>5</vt:i4>
      </vt:variant>
      <vt:variant>
        <vt:lpwstr>../Docs/R1-135820.zip</vt:lpwstr>
      </vt:variant>
      <vt:variant>
        <vt:lpwstr/>
      </vt:variant>
      <vt:variant>
        <vt:i4>4390922</vt:i4>
      </vt:variant>
      <vt:variant>
        <vt:i4>3123</vt:i4>
      </vt:variant>
      <vt:variant>
        <vt:i4>0</vt:i4>
      </vt:variant>
      <vt:variant>
        <vt:i4>5</vt:i4>
      </vt:variant>
      <vt:variant>
        <vt:lpwstr>../Docs/R1-135170.zip</vt:lpwstr>
      </vt:variant>
      <vt:variant>
        <vt:lpwstr/>
      </vt:variant>
      <vt:variant>
        <vt:i4>4521994</vt:i4>
      </vt:variant>
      <vt:variant>
        <vt:i4>3120</vt:i4>
      </vt:variant>
      <vt:variant>
        <vt:i4>0</vt:i4>
      </vt:variant>
      <vt:variant>
        <vt:i4>5</vt:i4>
      </vt:variant>
      <vt:variant>
        <vt:lpwstr>../Docs/R1-135819.zip</vt:lpwstr>
      </vt:variant>
      <vt:variant>
        <vt:lpwstr/>
      </vt:variant>
      <vt:variant>
        <vt:i4>4456453</vt:i4>
      </vt:variant>
      <vt:variant>
        <vt:i4>3117</vt:i4>
      </vt:variant>
      <vt:variant>
        <vt:i4>0</vt:i4>
      </vt:variant>
      <vt:variant>
        <vt:i4>5</vt:i4>
      </vt:variant>
      <vt:variant>
        <vt:lpwstr>../Docs/R1-135709.zip</vt:lpwstr>
      </vt:variant>
      <vt:variant>
        <vt:lpwstr/>
      </vt:variant>
      <vt:variant>
        <vt:i4>4456461</vt:i4>
      </vt:variant>
      <vt:variant>
        <vt:i4>3114</vt:i4>
      </vt:variant>
      <vt:variant>
        <vt:i4>0</vt:i4>
      </vt:variant>
      <vt:variant>
        <vt:i4>5</vt:i4>
      </vt:variant>
      <vt:variant>
        <vt:lpwstr>../Docs/R1-136036.zip</vt:lpwstr>
      </vt:variant>
      <vt:variant>
        <vt:lpwstr/>
      </vt:variant>
      <vt:variant>
        <vt:i4>4521994</vt:i4>
      </vt:variant>
      <vt:variant>
        <vt:i4>3111</vt:i4>
      </vt:variant>
      <vt:variant>
        <vt:i4>0</vt:i4>
      </vt:variant>
      <vt:variant>
        <vt:i4>5</vt:i4>
      </vt:variant>
      <vt:variant>
        <vt:lpwstr>../Docs/R1-136021.zip</vt:lpwstr>
      </vt:variant>
      <vt:variant>
        <vt:lpwstr/>
      </vt:variant>
      <vt:variant>
        <vt:i4>4456461</vt:i4>
      </vt:variant>
      <vt:variant>
        <vt:i4>3108</vt:i4>
      </vt:variant>
      <vt:variant>
        <vt:i4>0</vt:i4>
      </vt:variant>
      <vt:variant>
        <vt:i4>5</vt:i4>
      </vt:variant>
      <vt:variant>
        <vt:lpwstr>../Docs/R1-136036.zip</vt:lpwstr>
      </vt:variant>
      <vt:variant>
        <vt:lpwstr/>
      </vt:variant>
      <vt:variant>
        <vt:i4>4980745</vt:i4>
      </vt:variant>
      <vt:variant>
        <vt:i4>3105</vt:i4>
      </vt:variant>
      <vt:variant>
        <vt:i4>0</vt:i4>
      </vt:variant>
      <vt:variant>
        <vt:i4>5</vt:i4>
      </vt:variant>
      <vt:variant>
        <vt:lpwstr>../Docs/R1-135587.zip</vt:lpwstr>
      </vt:variant>
      <vt:variant>
        <vt:lpwstr/>
      </vt:variant>
      <vt:variant>
        <vt:i4>4521994</vt:i4>
      </vt:variant>
      <vt:variant>
        <vt:i4>3102</vt:i4>
      </vt:variant>
      <vt:variant>
        <vt:i4>0</vt:i4>
      </vt:variant>
      <vt:variant>
        <vt:i4>5</vt:i4>
      </vt:variant>
      <vt:variant>
        <vt:lpwstr>../Docs/R1-136021.zip</vt:lpwstr>
      </vt:variant>
      <vt:variant>
        <vt:lpwstr/>
      </vt:variant>
      <vt:variant>
        <vt:i4>4456452</vt:i4>
      </vt:variant>
      <vt:variant>
        <vt:i4>3099</vt:i4>
      </vt:variant>
      <vt:variant>
        <vt:i4>0</vt:i4>
      </vt:variant>
      <vt:variant>
        <vt:i4>5</vt:i4>
      </vt:variant>
      <vt:variant>
        <vt:lpwstr>../Docs/R1-135708.zip</vt:lpwstr>
      </vt:variant>
      <vt:variant>
        <vt:lpwstr/>
      </vt:variant>
      <vt:variant>
        <vt:i4>4456459</vt:i4>
      </vt:variant>
      <vt:variant>
        <vt:i4>3096</vt:i4>
      </vt:variant>
      <vt:variant>
        <vt:i4>0</vt:i4>
      </vt:variant>
      <vt:variant>
        <vt:i4>5</vt:i4>
      </vt:variant>
      <vt:variant>
        <vt:lpwstr>../Docs/R1-135707.zip</vt:lpwstr>
      </vt:variant>
      <vt:variant>
        <vt:lpwstr/>
      </vt:variant>
      <vt:variant>
        <vt:i4>4521994</vt:i4>
      </vt:variant>
      <vt:variant>
        <vt:i4>3093</vt:i4>
      </vt:variant>
      <vt:variant>
        <vt:i4>0</vt:i4>
      </vt:variant>
      <vt:variant>
        <vt:i4>5</vt:i4>
      </vt:variant>
      <vt:variant>
        <vt:lpwstr>../Docs/R1-135312.zip</vt:lpwstr>
      </vt:variant>
      <vt:variant>
        <vt:lpwstr/>
      </vt:variant>
      <vt:variant>
        <vt:i4>4980745</vt:i4>
      </vt:variant>
      <vt:variant>
        <vt:i4>3090</vt:i4>
      </vt:variant>
      <vt:variant>
        <vt:i4>0</vt:i4>
      </vt:variant>
      <vt:variant>
        <vt:i4>5</vt:i4>
      </vt:variant>
      <vt:variant>
        <vt:lpwstr>../Docs/R1-135587.zip</vt:lpwstr>
      </vt:variant>
      <vt:variant>
        <vt:lpwstr/>
      </vt:variant>
      <vt:variant>
        <vt:i4>4456458</vt:i4>
      </vt:variant>
      <vt:variant>
        <vt:i4>3087</vt:i4>
      </vt:variant>
      <vt:variant>
        <vt:i4>0</vt:i4>
      </vt:variant>
      <vt:variant>
        <vt:i4>5</vt:i4>
      </vt:variant>
      <vt:variant>
        <vt:lpwstr>../Docs/R1-136031.zip</vt:lpwstr>
      </vt:variant>
      <vt:variant>
        <vt:lpwstr/>
      </vt:variant>
      <vt:variant>
        <vt:i4>2359298</vt:i4>
      </vt:variant>
      <vt:variant>
        <vt:i4>3084</vt:i4>
      </vt:variant>
      <vt:variant>
        <vt:i4>0</vt:i4>
      </vt:variant>
      <vt:variant>
        <vt:i4>5</vt:i4>
      </vt:variant>
      <vt:variant>
        <vt:lpwstr>http://www.3gpp.org/ftp/tsg_ran/TSG_RAN/TSGR_58/Docs/RP-122034.zip</vt:lpwstr>
      </vt:variant>
      <vt:variant>
        <vt:lpwstr/>
      </vt:variant>
      <vt:variant>
        <vt:i4>4521996</vt:i4>
      </vt:variant>
      <vt:variant>
        <vt:i4>3081</vt:i4>
      </vt:variant>
      <vt:variant>
        <vt:i4>0</vt:i4>
      </vt:variant>
      <vt:variant>
        <vt:i4>5</vt:i4>
      </vt:variant>
      <vt:variant>
        <vt:lpwstr>../Docs/R1-136027.zip</vt:lpwstr>
      </vt:variant>
      <vt:variant>
        <vt:lpwstr/>
      </vt:variant>
      <vt:variant>
        <vt:i4>4653070</vt:i4>
      </vt:variant>
      <vt:variant>
        <vt:i4>3078</vt:i4>
      </vt:variant>
      <vt:variant>
        <vt:i4>0</vt:i4>
      </vt:variant>
      <vt:variant>
        <vt:i4>5</vt:i4>
      </vt:variant>
      <vt:variant>
        <vt:lpwstr>../Docs/R1-136005.zip</vt:lpwstr>
      </vt:variant>
      <vt:variant>
        <vt:lpwstr/>
      </vt:variant>
      <vt:variant>
        <vt:i4>4521995</vt:i4>
      </vt:variant>
      <vt:variant>
        <vt:i4>3075</vt:i4>
      </vt:variant>
      <vt:variant>
        <vt:i4>0</vt:i4>
      </vt:variant>
      <vt:variant>
        <vt:i4>5</vt:i4>
      </vt:variant>
      <vt:variant>
        <vt:lpwstr>../Docs/R1-136020.zip</vt:lpwstr>
      </vt:variant>
      <vt:variant>
        <vt:lpwstr/>
      </vt:variant>
      <vt:variant>
        <vt:i4>4587528</vt:i4>
      </vt:variant>
      <vt:variant>
        <vt:i4>3072</vt:i4>
      </vt:variant>
      <vt:variant>
        <vt:i4>0</vt:i4>
      </vt:variant>
      <vt:variant>
        <vt:i4>5</vt:i4>
      </vt:variant>
      <vt:variant>
        <vt:lpwstr>../Docs/R1-136013.zip</vt:lpwstr>
      </vt:variant>
      <vt:variant>
        <vt:lpwstr/>
      </vt:variant>
      <vt:variant>
        <vt:i4>4587529</vt:i4>
      </vt:variant>
      <vt:variant>
        <vt:i4>3069</vt:i4>
      </vt:variant>
      <vt:variant>
        <vt:i4>0</vt:i4>
      </vt:variant>
      <vt:variant>
        <vt:i4>5</vt:i4>
      </vt:variant>
      <vt:variant>
        <vt:lpwstr>../Docs/R1-136012.zip</vt:lpwstr>
      </vt:variant>
      <vt:variant>
        <vt:lpwstr/>
      </vt:variant>
      <vt:variant>
        <vt:i4>4653065</vt:i4>
      </vt:variant>
      <vt:variant>
        <vt:i4>3066</vt:i4>
      </vt:variant>
      <vt:variant>
        <vt:i4>0</vt:i4>
      </vt:variant>
      <vt:variant>
        <vt:i4>5</vt:i4>
      </vt:variant>
      <vt:variant>
        <vt:lpwstr>../Docs/R1-136002.zip</vt:lpwstr>
      </vt:variant>
      <vt:variant>
        <vt:lpwstr/>
      </vt:variant>
      <vt:variant>
        <vt:i4>4325389</vt:i4>
      </vt:variant>
      <vt:variant>
        <vt:i4>3063</vt:i4>
      </vt:variant>
      <vt:variant>
        <vt:i4>0</vt:i4>
      </vt:variant>
      <vt:variant>
        <vt:i4>5</vt:i4>
      </vt:variant>
      <vt:variant>
        <vt:lpwstr>../Docs/R1-135264.zip</vt:lpwstr>
      </vt:variant>
      <vt:variant>
        <vt:lpwstr/>
      </vt:variant>
      <vt:variant>
        <vt:i4>4325386</vt:i4>
      </vt:variant>
      <vt:variant>
        <vt:i4>3060</vt:i4>
      </vt:variant>
      <vt:variant>
        <vt:i4>0</vt:i4>
      </vt:variant>
      <vt:variant>
        <vt:i4>5</vt:i4>
      </vt:variant>
      <vt:variant>
        <vt:lpwstr>../Docs/R1-135263.zip</vt:lpwstr>
      </vt:variant>
      <vt:variant>
        <vt:lpwstr/>
      </vt:variant>
      <vt:variant>
        <vt:i4>4325379</vt:i4>
      </vt:variant>
      <vt:variant>
        <vt:i4>3057</vt:i4>
      </vt:variant>
      <vt:variant>
        <vt:i4>0</vt:i4>
      </vt:variant>
      <vt:variant>
        <vt:i4>5</vt:i4>
      </vt:variant>
      <vt:variant>
        <vt:lpwstr>../Docs/R1-135169.zip</vt:lpwstr>
      </vt:variant>
      <vt:variant>
        <vt:lpwstr/>
      </vt:variant>
      <vt:variant>
        <vt:i4>4587532</vt:i4>
      </vt:variant>
      <vt:variant>
        <vt:i4>3054</vt:i4>
      </vt:variant>
      <vt:variant>
        <vt:i4>0</vt:i4>
      </vt:variant>
      <vt:variant>
        <vt:i4>5</vt:i4>
      </vt:variant>
      <vt:variant>
        <vt:lpwstr>../Docs/R1-134136.zip</vt:lpwstr>
      </vt:variant>
      <vt:variant>
        <vt:lpwstr/>
      </vt:variant>
      <vt:variant>
        <vt:i4>4521994</vt:i4>
      </vt:variant>
      <vt:variant>
        <vt:i4>3051</vt:i4>
      </vt:variant>
      <vt:variant>
        <vt:i4>0</vt:i4>
      </vt:variant>
      <vt:variant>
        <vt:i4>5</vt:i4>
      </vt:variant>
      <vt:variant>
        <vt:lpwstr>../Docs/R1-135110.zip</vt:lpwstr>
      </vt:variant>
      <vt:variant>
        <vt:lpwstr/>
      </vt:variant>
      <vt:variant>
        <vt:i4>4325391</vt:i4>
      </vt:variant>
      <vt:variant>
        <vt:i4>3048</vt:i4>
      </vt:variant>
      <vt:variant>
        <vt:i4>0</vt:i4>
      </vt:variant>
      <vt:variant>
        <vt:i4>5</vt:i4>
      </vt:variant>
      <vt:variant>
        <vt:lpwstr>../Docs/R1-136054.zip</vt:lpwstr>
      </vt:variant>
      <vt:variant>
        <vt:lpwstr/>
      </vt:variant>
      <vt:variant>
        <vt:i4>4456462</vt:i4>
      </vt:variant>
      <vt:variant>
        <vt:i4>3045</vt:i4>
      </vt:variant>
      <vt:variant>
        <vt:i4>0</vt:i4>
      </vt:variant>
      <vt:variant>
        <vt:i4>5</vt:i4>
      </vt:variant>
      <vt:variant>
        <vt:lpwstr>../Docs/R1-136035.zip</vt:lpwstr>
      </vt:variant>
      <vt:variant>
        <vt:lpwstr/>
      </vt:variant>
      <vt:variant>
        <vt:i4>4456457</vt:i4>
      </vt:variant>
      <vt:variant>
        <vt:i4>3042</vt:i4>
      </vt:variant>
      <vt:variant>
        <vt:i4>0</vt:i4>
      </vt:variant>
      <vt:variant>
        <vt:i4>5</vt:i4>
      </vt:variant>
      <vt:variant>
        <vt:lpwstr>../Docs/R1-135406.zip</vt:lpwstr>
      </vt:variant>
      <vt:variant>
        <vt:lpwstr/>
      </vt:variant>
      <vt:variant>
        <vt:i4>4456449</vt:i4>
      </vt:variant>
      <vt:variant>
        <vt:i4>3039</vt:i4>
      </vt:variant>
      <vt:variant>
        <vt:i4>0</vt:i4>
      </vt:variant>
      <vt:variant>
        <vt:i4>5</vt:i4>
      </vt:variant>
      <vt:variant>
        <vt:lpwstr>../Docs/R1-135309.zip</vt:lpwstr>
      </vt:variant>
      <vt:variant>
        <vt:lpwstr/>
      </vt:variant>
      <vt:variant>
        <vt:i4>4653059</vt:i4>
      </vt:variant>
      <vt:variant>
        <vt:i4>3036</vt:i4>
      </vt:variant>
      <vt:variant>
        <vt:i4>0</vt:i4>
      </vt:variant>
      <vt:variant>
        <vt:i4>5</vt:i4>
      </vt:variant>
      <vt:variant>
        <vt:lpwstr>../Docs/R1-135038.zip</vt:lpwstr>
      </vt:variant>
      <vt:variant>
        <vt:lpwstr/>
      </vt:variant>
      <vt:variant>
        <vt:i4>4325387</vt:i4>
      </vt:variant>
      <vt:variant>
        <vt:i4>3033</vt:i4>
      </vt:variant>
      <vt:variant>
        <vt:i4>0</vt:i4>
      </vt:variant>
      <vt:variant>
        <vt:i4>5</vt:i4>
      </vt:variant>
      <vt:variant>
        <vt:lpwstr>../Docs/R1-135666.zip</vt:lpwstr>
      </vt:variant>
      <vt:variant>
        <vt:lpwstr/>
      </vt:variant>
      <vt:variant>
        <vt:i4>4390918</vt:i4>
      </vt:variant>
      <vt:variant>
        <vt:i4>3030</vt:i4>
      </vt:variant>
      <vt:variant>
        <vt:i4>0</vt:i4>
      </vt:variant>
      <vt:variant>
        <vt:i4>5</vt:i4>
      </vt:variant>
      <vt:variant>
        <vt:lpwstr>../Docs/R1-135875.zip</vt:lpwstr>
      </vt:variant>
      <vt:variant>
        <vt:lpwstr/>
      </vt:variant>
      <vt:variant>
        <vt:i4>4325384</vt:i4>
      </vt:variant>
      <vt:variant>
        <vt:i4>3027</vt:i4>
      </vt:variant>
      <vt:variant>
        <vt:i4>0</vt:i4>
      </vt:variant>
      <vt:variant>
        <vt:i4>5</vt:i4>
      </vt:variant>
      <vt:variant>
        <vt:lpwstr>../Docs/R1-135665.zip</vt:lpwstr>
      </vt:variant>
      <vt:variant>
        <vt:lpwstr/>
      </vt:variant>
      <vt:variant>
        <vt:i4>4390919</vt:i4>
      </vt:variant>
      <vt:variant>
        <vt:i4>3024</vt:i4>
      </vt:variant>
      <vt:variant>
        <vt:i4>0</vt:i4>
      </vt:variant>
      <vt:variant>
        <vt:i4>5</vt:i4>
      </vt:variant>
      <vt:variant>
        <vt:lpwstr>../Docs/R1-135874.zip</vt:lpwstr>
      </vt:variant>
      <vt:variant>
        <vt:lpwstr/>
      </vt:variant>
      <vt:variant>
        <vt:i4>4390916</vt:i4>
      </vt:variant>
      <vt:variant>
        <vt:i4>3021</vt:i4>
      </vt:variant>
      <vt:variant>
        <vt:i4>0</vt:i4>
      </vt:variant>
      <vt:variant>
        <vt:i4>5</vt:i4>
      </vt:variant>
      <vt:variant>
        <vt:lpwstr>../Docs/R1-135679.zip</vt:lpwstr>
      </vt:variant>
      <vt:variant>
        <vt:lpwstr/>
      </vt:variant>
      <vt:variant>
        <vt:i4>4587530</vt:i4>
      </vt:variant>
      <vt:variant>
        <vt:i4>3018</vt:i4>
      </vt:variant>
      <vt:variant>
        <vt:i4>0</vt:i4>
      </vt:variant>
      <vt:variant>
        <vt:i4>5</vt:i4>
      </vt:variant>
      <vt:variant>
        <vt:lpwstr>../Docs/R1-135829.zip</vt:lpwstr>
      </vt:variant>
      <vt:variant>
        <vt:lpwstr/>
      </vt:variant>
      <vt:variant>
        <vt:i4>4259855</vt:i4>
      </vt:variant>
      <vt:variant>
        <vt:i4>3015</vt:i4>
      </vt:variant>
      <vt:variant>
        <vt:i4>0</vt:i4>
      </vt:variant>
      <vt:variant>
        <vt:i4>5</vt:i4>
      </vt:variant>
      <vt:variant>
        <vt:lpwstr>../Docs/R1-135551.zip</vt:lpwstr>
      </vt:variant>
      <vt:variant>
        <vt:lpwstr/>
      </vt:variant>
      <vt:variant>
        <vt:i4>4390923</vt:i4>
      </vt:variant>
      <vt:variant>
        <vt:i4>3012</vt:i4>
      </vt:variant>
      <vt:variant>
        <vt:i4>0</vt:i4>
      </vt:variant>
      <vt:variant>
        <vt:i4>5</vt:i4>
      </vt:variant>
      <vt:variant>
        <vt:lpwstr>../Docs/R1-135474.zip</vt:lpwstr>
      </vt:variant>
      <vt:variant>
        <vt:lpwstr/>
      </vt:variant>
      <vt:variant>
        <vt:i4>4259852</vt:i4>
      </vt:variant>
      <vt:variant>
        <vt:i4>3009</vt:i4>
      </vt:variant>
      <vt:variant>
        <vt:i4>0</vt:i4>
      </vt:variant>
      <vt:variant>
        <vt:i4>5</vt:i4>
      </vt:variant>
      <vt:variant>
        <vt:lpwstr>../Docs/R1-135354.zip</vt:lpwstr>
      </vt:variant>
      <vt:variant>
        <vt:lpwstr/>
      </vt:variant>
      <vt:variant>
        <vt:i4>4521995</vt:i4>
      </vt:variant>
      <vt:variant>
        <vt:i4>3006</vt:i4>
      </vt:variant>
      <vt:variant>
        <vt:i4>0</vt:i4>
      </vt:variant>
      <vt:variant>
        <vt:i4>5</vt:i4>
      </vt:variant>
      <vt:variant>
        <vt:lpwstr>../Docs/R1-135212.zip</vt:lpwstr>
      </vt:variant>
      <vt:variant>
        <vt:lpwstr/>
      </vt:variant>
      <vt:variant>
        <vt:i4>4325378</vt:i4>
      </vt:variant>
      <vt:variant>
        <vt:i4>3003</vt:i4>
      </vt:variant>
      <vt:variant>
        <vt:i4>0</vt:i4>
      </vt:variant>
      <vt:variant>
        <vt:i4>5</vt:i4>
      </vt:variant>
      <vt:variant>
        <vt:lpwstr>../Docs/R1-135168.zip</vt:lpwstr>
      </vt:variant>
      <vt:variant>
        <vt:lpwstr/>
      </vt:variant>
      <vt:variant>
        <vt:i4>4980751</vt:i4>
      </vt:variant>
      <vt:variant>
        <vt:i4>3000</vt:i4>
      </vt:variant>
      <vt:variant>
        <vt:i4>0</vt:i4>
      </vt:variant>
      <vt:variant>
        <vt:i4>5</vt:i4>
      </vt:variant>
      <vt:variant>
        <vt:lpwstr>../Docs/R1-135084.zip</vt:lpwstr>
      </vt:variant>
      <vt:variant>
        <vt:lpwstr/>
      </vt:variant>
      <vt:variant>
        <vt:i4>4325384</vt:i4>
      </vt:variant>
      <vt:variant>
        <vt:i4>2997</vt:i4>
      </vt:variant>
      <vt:variant>
        <vt:i4>0</vt:i4>
      </vt:variant>
      <vt:variant>
        <vt:i4>5</vt:i4>
      </vt:variant>
      <vt:variant>
        <vt:lpwstr>../Docs/R1-136053.zip</vt:lpwstr>
      </vt:variant>
      <vt:variant>
        <vt:lpwstr/>
      </vt:variant>
      <vt:variant>
        <vt:i4>4259844</vt:i4>
      </vt:variant>
      <vt:variant>
        <vt:i4>2994</vt:i4>
      </vt:variant>
      <vt:variant>
        <vt:i4>0</vt:i4>
      </vt:variant>
      <vt:variant>
        <vt:i4>5</vt:i4>
      </vt:variant>
      <vt:variant>
        <vt:lpwstr>../Docs/R1-135956.zip</vt:lpwstr>
      </vt:variant>
      <vt:variant>
        <vt:lpwstr/>
      </vt:variant>
      <vt:variant>
        <vt:i4>4521996</vt:i4>
      </vt:variant>
      <vt:variant>
        <vt:i4>2991</vt:i4>
      </vt:variant>
      <vt:variant>
        <vt:i4>0</vt:i4>
      </vt:variant>
      <vt:variant>
        <vt:i4>5</vt:i4>
      </vt:variant>
      <vt:variant>
        <vt:lpwstr>../Docs/R1-136027.zip</vt:lpwstr>
      </vt:variant>
      <vt:variant>
        <vt:lpwstr/>
      </vt:variant>
      <vt:variant>
        <vt:i4>4259844</vt:i4>
      </vt:variant>
      <vt:variant>
        <vt:i4>2988</vt:i4>
      </vt:variant>
      <vt:variant>
        <vt:i4>0</vt:i4>
      </vt:variant>
      <vt:variant>
        <vt:i4>5</vt:i4>
      </vt:variant>
      <vt:variant>
        <vt:lpwstr>../Docs/R1-135956.zip</vt:lpwstr>
      </vt:variant>
      <vt:variant>
        <vt:lpwstr/>
      </vt:variant>
      <vt:variant>
        <vt:i4>4390916</vt:i4>
      </vt:variant>
      <vt:variant>
        <vt:i4>2985</vt:i4>
      </vt:variant>
      <vt:variant>
        <vt:i4>0</vt:i4>
      </vt:variant>
      <vt:variant>
        <vt:i4>5</vt:i4>
      </vt:variant>
      <vt:variant>
        <vt:lpwstr>../Docs/R1-134966.zip</vt:lpwstr>
      </vt:variant>
      <vt:variant>
        <vt:lpwstr/>
      </vt:variant>
      <vt:variant>
        <vt:i4>4653070</vt:i4>
      </vt:variant>
      <vt:variant>
        <vt:i4>2982</vt:i4>
      </vt:variant>
      <vt:variant>
        <vt:i4>0</vt:i4>
      </vt:variant>
      <vt:variant>
        <vt:i4>5</vt:i4>
      </vt:variant>
      <vt:variant>
        <vt:lpwstr>../Docs/R1-135633.zip</vt:lpwstr>
      </vt:variant>
      <vt:variant>
        <vt:lpwstr/>
      </vt:variant>
      <vt:variant>
        <vt:i4>4980744</vt:i4>
      </vt:variant>
      <vt:variant>
        <vt:i4>2979</vt:i4>
      </vt:variant>
      <vt:variant>
        <vt:i4>0</vt:i4>
      </vt:variant>
      <vt:variant>
        <vt:i4>5</vt:i4>
      </vt:variant>
      <vt:variant>
        <vt:lpwstr>../Docs/R1-135586.zip</vt:lpwstr>
      </vt:variant>
      <vt:variant>
        <vt:lpwstr/>
      </vt:variant>
      <vt:variant>
        <vt:i4>4653059</vt:i4>
      </vt:variant>
      <vt:variant>
        <vt:i4>2976</vt:i4>
      </vt:variant>
      <vt:variant>
        <vt:i4>0</vt:i4>
      </vt:variant>
      <vt:variant>
        <vt:i4>5</vt:i4>
      </vt:variant>
      <vt:variant>
        <vt:lpwstr>../Docs/R1-135038.zip</vt:lpwstr>
      </vt:variant>
      <vt:variant>
        <vt:lpwstr/>
      </vt:variant>
      <vt:variant>
        <vt:i4>4653068</vt:i4>
      </vt:variant>
      <vt:variant>
        <vt:i4>2973</vt:i4>
      </vt:variant>
      <vt:variant>
        <vt:i4>0</vt:i4>
      </vt:variant>
      <vt:variant>
        <vt:i4>5</vt:i4>
      </vt:variant>
      <vt:variant>
        <vt:lpwstr>../Docs/R1-135037.zip</vt:lpwstr>
      </vt:variant>
      <vt:variant>
        <vt:lpwstr/>
      </vt:variant>
      <vt:variant>
        <vt:i4>4653068</vt:i4>
      </vt:variant>
      <vt:variant>
        <vt:i4>2970</vt:i4>
      </vt:variant>
      <vt:variant>
        <vt:i4>0</vt:i4>
      </vt:variant>
      <vt:variant>
        <vt:i4>5</vt:i4>
      </vt:variant>
      <vt:variant>
        <vt:lpwstr>../Docs/R1-135433.zip</vt:lpwstr>
      </vt:variant>
      <vt:variant>
        <vt:lpwstr/>
      </vt:variant>
      <vt:variant>
        <vt:i4>4653063</vt:i4>
      </vt:variant>
      <vt:variant>
        <vt:i4>2967</vt:i4>
      </vt:variant>
      <vt:variant>
        <vt:i4>0</vt:i4>
      </vt:variant>
      <vt:variant>
        <vt:i4>5</vt:i4>
      </vt:variant>
      <vt:variant>
        <vt:lpwstr>../Docs/R1-135834.zip</vt:lpwstr>
      </vt:variant>
      <vt:variant>
        <vt:lpwstr/>
      </vt:variant>
      <vt:variant>
        <vt:i4>4653069</vt:i4>
      </vt:variant>
      <vt:variant>
        <vt:i4>2964</vt:i4>
      </vt:variant>
      <vt:variant>
        <vt:i4>0</vt:i4>
      </vt:variant>
      <vt:variant>
        <vt:i4>5</vt:i4>
      </vt:variant>
      <vt:variant>
        <vt:lpwstr>../Docs/R1-135137.zip</vt:lpwstr>
      </vt:variant>
      <vt:variant>
        <vt:lpwstr/>
      </vt:variant>
      <vt:variant>
        <vt:i4>4587527</vt:i4>
      </vt:variant>
      <vt:variant>
        <vt:i4>2961</vt:i4>
      </vt:variant>
      <vt:variant>
        <vt:i4>0</vt:i4>
      </vt:variant>
      <vt:variant>
        <vt:i4>5</vt:i4>
      </vt:variant>
      <vt:variant>
        <vt:lpwstr>../Docs/R1-135824.zip</vt:lpwstr>
      </vt:variant>
      <vt:variant>
        <vt:lpwstr/>
      </vt:variant>
      <vt:variant>
        <vt:i4>4390922</vt:i4>
      </vt:variant>
      <vt:variant>
        <vt:i4>2958</vt:i4>
      </vt:variant>
      <vt:variant>
        <vt:i4>0</vt:i4>
      </vt:variant>
      <vt:variant>
        <vt:i4>5</vt:i4>
      </vt:variant>
      <vt:variant>
        <vt:lpwstr>../Docs/R1-135677.zip</vt:lpwstr>
      </vt:variant>
      <vt:variant>
        <vt:lpwstr/>
      </vt:variant>
      <vt:variant>
        <vt:i4>4390923</vt:i4>
      </vt:variant>
      <vt:variant>
        <vt:i4>2955</vt:i4>
      </vt:variant>
      <vt:variant>
        <vt:i4>0</vt:i4>
      </vt:variant>
      <vt:variant>
        <vt:i4>5</vt:i4>
      </vt:variant>
      <vt:variant>
        <vt:lpwstr>../Docs/R1-135676.zip</vt:lpwstr>
      </vt:variant>
      <vt:variant>
        <vt:lpwstr/>
      </vt:variant>
      <vt:variant>
        <vt:i4>4390926</vt:i4>
      </vt:variant>
      <vt:variant>
        <vt:i4>2952</vt:i4>
      </vt:variant>
      <vt:variant>
        <vt:i4>0</vt:i4>
      </vt:variant>
      <vt:variant>
        <vt:i4>5</vt:i4>
      </vt:variant>
      <vt:variant>
        <vt:lpwstr>../Docs/R1-135673.zip</vt:lpwstr>
      </vt:variant>
      <vt:variant>
        <vt:lpwstr/>
      </vt:variant>
      <vt:variant>
        <vt:i4>4325385</vt:i4>
      </vt:variant>
      <vt:variant>
        <vt:i4>2949</vt:i4>
      </vt:variant>
      <vt:variant>
        <vt:i4>0</vt:i4>
      </vt:variant>
      <vt:variant>
        <vt:i4>5</vt:i4>
      </vt:variant>
      <vt:variant>
        <vt:lpwstr>../Docs/R1-135664.zip</vt:lpwstr>
      </vt:variant>
      <vt:variant>
        <vt:lpwstr/>
      </vt:variant>
      <vt:variant>
        <vt:i4>4325390</vt:i4>
      </vt:variant>
      <vt:variant>
        <vt:i4>2946</vt:i4>
      </vt:variant>
      <vt:variant>
        <vt:i4>0</vt:i4>
      </vt:variant>
      <vt:variant>
        <vt:i4>5</vt:i4>
      </vt:variant>
      <vt:variant>
        <vt:lpwstr>../Docs/R1-135663.zip</vt:lpwstr>
      </vt:variant>
      <vt:variant>
        <vt:lpwstr/>
      </vt:variant>
      <vt:variant>
        <vt:i4>4325391</vt:i4>
      </vt:variant>
      <vt:variant>
        <vt:i4>2943</vt:i4>
      </vt:variant>
      <vt:variant>
        <vt:i4>0</vt:i4>
      </vt:variant>
      <vt:variant>
        <vt:i4>5</vt:i4>
      </vt:variant>
      <vt:variant>
        <vt:lpwstr>../Docs/R1-135662.zip</vt:lpwstr>
      </vt:variant>
      <vt:variant>
        <vt:lpwstr/>
      </vt:variant>
      <vt:variant>
        <vt:i4>4325388</vt:i4>
      </vt:variant>
      <vt:variant>
        <vt:i4>2940</vt:i4>
      </vt:variant>
      <vt:variant>
        <vt:i4>0</vt:i4>
      </vt:variant>
      <vt:variant>
        <vt:i4>5</vt:i4>
      </vt:variant>
      <vt:variant>
        <vt:lpwstr>../Docs/R1-135661.zip</vt:lpwstr>
      </vt:variant>
      <vt:variant>
        <vt:lpwstr/>
      </vt:variant>
      <vt:variant>
        <vt:i4>4325389</vt:i4>
      </vt:variant>
      <vt:variant>
        <vt:i4>2937</vt:i4>
      </vt:variant>
      <vt:variant>
        <vt:i4>0</vt:i4>
      </vt:variant>
      <vt:variant>
        <vt:i4>5</vt:i4>
      </vt:variant>
      <vt:variant>
        <vt:lpwstr>../Docs/R1-135660.zip</vt:lpwstr>
      </vt:variant>
      <vt:variant>
        <vt:lpwstr/>
      </vt:variant>
      <vt:variant>
        <vt:i4>4259845</vt:i4>
      </vt:variant>
      <vt:variant>
        <vt:i4>2934</vt:i4>
      </vt:variant>
      <vt:variant>
        <vt:i4>0</vt:i4>
      </vt:variant>
      <vt:variant>
        <vt:i4>5</vt:i4>
      </vt:variant>
      <vt:variant>
        <vt:lpwstr>../Docs/R1-135658.zip</vt:lpwstr>
      </vt:variant>
      <vt:variant>
        <vt:lpwstr/>
      </vt:variant>
      <vt:variant>
        <vt:i4>4653065</vt:i4>
      </vt:variant>
      <vt:variant>
        <vt:i4>2931</vt:i4>
      </vt:variant>
      <vt:variant>
        <vt:i4>0</vt:i4>
      </vt:variant>
      <vt:variant>
        <vt:i4>5</vt:i4>
      </vt:variant>
      <vt:variant>
        <vt:lpwstr>../Docs/R1-135634.zip</vt:lpwstr>
      </vt:variant>
      <vt:variant>
        <vt:lpwstr/>
      </vt:variant>
      <vt:variant>
        <vt:i4>4456453</vt:i4>
      </vt:variant>
      <vt:variant>
        <vt:i4>2928</vt:i4>
      </vt:variant>
      <vt:variant>
        <vt:i4>0</vt:i4>
      </vt:variant>
      <vt:variant>
        <vt:i4>5</vt:i4>
      </vt:variant>
      <vt:variant>
        <vt:lpwstr>../Docs/R1-135608.zip</vt:lpwstr>
      </vt:variant>
      <vt:variant>
        <vt:lpwstr/>
      </vt:variant>
      <vt:variant>
        <vt:i4>4980747</vt:i4>
      </vt:variant>
      <vt:variant>
        <vt:i4>2925</vt:i4>
      </vt:variant>
      <vt:variant>
        <vt:i4>0</vt:i4>
      </vt:variant>
      <vt:variant>
        <vt:i4>5</vt:i4>
      </vt:variant>
      <vt:variant>
        <vt:lpwstr>../Docs/R1-135585.zip</vt:lpwstr>
      </vt:variant>
      <vt:variant>
        <vt:lpwstr/>
      </vt:variant>
      <vt:variant>
        <vt:i4>4653063</vt:i4>
      </vt:variant>
      <vt:variant>
        <vt:i4>2922</vt:i4>
      </vt:variant>
      <vt:variant>
        <vt:i4>0</vt:i4>
      </vt:variant>
      <vt:variant>
        <vt:i4>5</vt:i4>
      </vt:variant>
      <vt:variant>
        <vt:lpwstr>../Docs/R1-135539.zip</vt:lpwstr>
      </vt:variant>
      <vt:variant>
        <vt:lpwstr/>
      </vt:variant>
      <vt:variant>
        <vt:i4>4521995</vt:i4>
      </vt:variant>
      <vt:variant>
        <vt:i4>2919</vt:i4>
      </vt:variant>
      <vt:variant>
        <vt:i4>0</vt:i4>
      </vt:variant>
      <vt:variant>
        <vt:i4>5</vt:i4>
      </vt:variant>
      <vt:variant>
        <vt:lpwstr>../Docs/R1-135515.zip</vt:lpwstr>
      </vt:variant>
      <vt:variant>
        <vt:lpwstr/>
      </vt:variant>
      <vt:variant>
        <vt:i4>4390924</vt:i4>
      </vt:variant>
      <vt:variant>
        <vt:i4>2916</vt:i4>
      </vt:variant>
      <vt:variant>
        <vt:i4>0</vt:i4>
      </vt:variant>
      <vt:variant>
        <vt:i4>5</vt:i4>
      </vt:variant>
      <vt:variant>
        <vt:lpwstr>../Docs/R1-135473.zip</vt:lpwstr>
      </vt:variant>
      <vt:variant>
        <vt:lpwstr/>
      </vt:variant>
      <vt:variant>
        <vt:i4>4194311</vt:i4>
      </vt:variant>
      <vt:variant>
        <vt:i4>2913</vt:i4>
      </vt:variant>
      <vt:variant>
        <vt:i4>0</vt:i4>
      </vt:variant>
      <vt:variant>
        <vt:i4>5</vt:i4>
      </vt:variant>
      <vt:variant>
        <vt:lpwstr>../Docs/R1-135448.zip</vt:lpwstr>
      </vt:variant>
      <vt:variant>
        <vt:lpwstr/>
      </vt:variant>
      <vt:variant>
        <vt:i4>4653067</vt:i4>
      </vt:variant>
      <vt:variant>
        <vt:i4>2910</vt:i4>
      </vt:variant>
      <vt:variant>
        <vt:i4>0</vt:i4>
      </vt:variant>
      <vt:variant>
        <vt:i4>5</vt:i4>
      </vt:variant>
      <vt:variant>
        <vt:lpwstr>../Docs/R1-135434.zip</vt:lpwstr>
      </vt:variant>
      <vt:variant>
        <vt:lpwstr/>
      </vt:variant>
      <vt:variant>
        <vt:i4>4456458</vt:i4>
      </vt:variant>
      <vt:variant>
        <vt:i4>2907</vt:i4>
      </vt:variant>
      <vt:variant>
        <vt:i4>0</vt:i4>
      </vt:variant>
      <vt:variant>
        <vt:i4>5</vt:i4>
      </vt:variant>
      <vt:variant>
        <vt:lpwstr>../Docs/R1-135405.zip</vt:lpwstr>
      </vt:variant>
      <vt:variant>
        <vt:lpwstr/>
      </vt:variant>
      <vt:variant>
        <vt:i4>4325388</vt:i4>
      </vt:variant>
      <vt:variant>
        <vt:i4>2904</vt:i4>
      </vt:variant>
      <vt:variant>
        <vt:i4>0</vt:i4>
      </vt:variant>
      <vt:variant>
        <vt:i4>5</vt:i4>
      </vt:variant>
      <vt:variant>
        <vt:lpwstr>../Docs/R1-134374.zip</vt:lpwstr>
      </vt:variant>
      <vt:variant>
        <vt:lpwstr/>
      </vt:variant>
      <vt:variant>
        <vt:i4>5046287</vt:i4>
      </vt:variant>
      <vt:variant>
        <vt:i4>2901</vt:i4>
      </vt:variant>
      <vt:variant>
        <vt:i4>0</vt:i4>
      </vt:variant>
      <vt:variant>
        <vt:i4>5</vt:i4>
      </vt:variant>
      <vt:variant>
        <vt:lpwstr>../Docs/R1-135397.zip</vt:lpwstr>
      </vt:variant>
      <vt:variant>
        <vt:lpwstr/>
      </vt:variant>
      <vt:variant>
        <vt:i4>5046286</vt:i4>
      </vt:variant>
      <vt:variant>
        <vt:i4>2898</vt:i4>
      </vt:variant>
      <vt:variant>
        <vt:i4>0</vt:i4>
      </vt:variant>
      <vt:variant>
        <vt:i4>5</vt:i4>
      </vt:variant>
      <vt:variant>
        <vt:lpwstr>../Docs/R1-135396.zip</vt:lpwstr>
      </vt:variant>
      <vt:variant>
        <vt:lpwstr/>
      </vt:variant>
      <vt:variant>
        <vt:i4>4259851</vt:i4>
      </vt:variant>
      <vt:variant>
        <vt:i4>2895</vt:i4>
      </vt:variant>
      <vt:variant>
        <vt:i4>0</vt:i4>
      </vt:variant>
      <vt:variant>
        <vt:i4>5</vt:i4>
      </vt:variant>
      <vt:variant>
        <vt:lpwstr>../Docs/R1-135353.zip</vt:lpwstr>
      </vt:variant>
      <vt:variant>
        <vt:lpwstr/>
      </vt:variant>
      <vt:variant>
        <vt:i4>4259850</vt:i4>
      </vt:variant>
      <vt:variant>
        <vt:i4>2892</vt:i4>
      </vt:variant>
      <vt:variant>
        <vt:i4>0</vt:i4>
      </vt:variant>
      <vt:variant>
        <vt:i4>5</vt:i4>
      </vt:variant>
      <vt:variant>
        <vt:lpwstr>../Docs/R1-135352.zip</vt:lpwstr>
      </vt:variant>
      <vt:variant>
        <vt:lpwstr/>
      </vt:variant>
      <vt:variant>
        <vt:i4>4259849</vt:i4>
      </vt:variant>
      <vt:variant>
        <vt:i4>2889</vt:i4>
      </vt:variant>
      <vt:variant>
        <vt:i4>0</vt:i4>
      </vt:variant>
      <vt:variant>
        <vt:i4>5</vt:i4>
      </vt:variant>
      <vt:variant>
        <vt:lpwstr>../Docs/R1-135351.zip</vt:lpwstr>
      </vt:variant>
      <vt:variant>
        <vt:lpwstr/>
      </vt:variant>
      <vt:variant>
        <vt:i4>4259848</vt:i4>
      </vt:variant>
      <vt:variant>
        <vt:i4>2886</vt:i4>
      </vt:variant>
      <vt:variant>
        <vt:i4>0</vt:i4>
      </vt:variant>
      <vt:variant>
        <vt:i4>5</vt:i4>
      </vt:variant>
      <vt:variant>
        <vt:lpwstr>../Docs/R1-135350.zip</vt:lpwstr>
      </vt:variant>
      <vt:variant>
        <vt:lpwstr/>
      </vt:variant>
      <vt:variant>
        <vt:i4>4456448</vt:i4>
      </vt:variant>
      <vt:variant>
        <vt:i4>2883</vt:i4>
      </vt:variant>
      <vt:variant>
        <vt:i4>0</vt:i4>
      </vt:variant>
      <vt:variant>
        <vt:i4>5</vt:i4>
      </vt:variant>
      <vt:variant>
        <vt:lpwstr>../Docs/R1-135308.zip</vt:lpwstr>
      </vt:variant>
      <vt:variant>
        <vt:lpwstr/>
      </vt:variant>
      <vt:variant>
        <vt:i4>4456463</vt:i4>
      </vt:variant>
      <vt:variant>
        <vt:i4>2880</vt:i4>
      </vt:variant>
      <vt:variant>
        <vt:i4>0</vt:i4>
      </vt:variant>
      <vt:variant>
        <vt:i4>5</vt:i4>
      </vt:variant>
      <vt:variant>
        <vt:lpwstr>../Docs/R1-135307.zip</vt:lpwstr>
      </vt:variant>
      <vt:variant>
        <vt:lpwstr/>
      </vt:variant>
      <vt:variant>
        <vt:i4>4390927</vt:i4>
      </vt:variant>
      <vt:variant>
        <vt:i4>2877</vt:i4>
      </vt:variant>
      <vt:variant>
        <vt:i4>0</vt:i4>
      </vt:variant>
      <vt:variant>
        <vt:i4>5</vt:i4>
      </vt:variant>
      <vt:variant>
        <vt:lpwstr>../Docs/R1-135276.zip</vt:lpwstr>
      </vt:variant>
      <vt:variant>
        <vt:lpwstr/>
      </vt:variant>
      <vt:variant>
        <vt:i4>4325387</vt:i4>
      </vt:variant>
      <vt:variant>
        <vt:i4>2874</vt:i4>
      </vt:variant>
      <vt:variant>
        <vt:i4>0</vt:i4>
      </vt:variant>
      <vt:variant>
        <vt:i4>5</vt:i4>
      </vt:variant>
      <vt:variant>
        <vt:lpwstr>../Docs/R1-135262.zip</vt:lpwstr>
      </vt:variant>
      <vt:variant>
        <vt:lpwstr/>
      </vt:variant>
      <vt:variant>
        <vt:i4>4259849</vt:i4>
      </vt:variant>
      <vt:variant>
        <vt:i4>2871</vt:i4>
      </vt:variant>
      <vt:variant>
        <vt:i4>0</vt:i4>
      </vt:variant>
      <vt:variant>
        <vt:i4>5</vt:i4>
      </vt:variant>
      <vt:variant>
        <vt:lpwstr>../Docs/R1-135250.zip</vt:lpwstr>
      </vt:variant>
      <vt:variant>
        <vt:lpwstr/>
      </vt:variant>
      <vt:variant>
        <vt:i4>4521992</vt:i4>
      </vt:variant>
      <vt:variant>
        <vt:i4>2868</vt:i4>
      </vt:variant>
      <vt:variant>
        <vt:i4>0</vt:i4>
      </vt:variant>
      <vt:variant>
        <vt:i4>5</vt:i4>
      </vt:variant>
      <vt:variant>
        <vt:lpwstr>../Docs/R1-135211.zip</vt:lpwstr>
      </vt:variant>
      <vt:variant>
        <vt:lpwstr/>
      </vt:variant>
      <vt:variant>
        <vt:i4>4521993</vt:i4>
      </vt:variant>
      <vt:variant>
        <vt:i4>2865</vt:i4>
      </vt:variant>
      <vt:variant>
        <vt:i4>0</vt:i4>
      </vt:variant>
      <vt:variant>
        <vt:i4>5</vt:i4>
      </vt:variant>
      <vt:variant>
        <vt:lpwstr>../Docs/R1-135210.zip</vt:lpwstr>
      </vt:variant>
      <vt:variant>
        <vt:lpwstr/>
      </vt:variant>
      <vt:variant>
        <vt:i4>4456448</vt:i4>
      </vt:variant>
      <vt:variant>
        <vt:i4>2862</vt:i4>
      </vt:variant>
      <vt:variant>
        <vt:i4>0</vt:i4>
      </vt:variant>
      <vt:variant>
        <vt:i4>5</vt:i4>
      </vt:variant>
      <vt:variant>
        <vt:lpwstr>../Docs/R1-135209.zip</vt:lpwstr>
      </vt:variant>
      <vt:variant>
        <vt:lpwstr/>
      </vt:variant>
      <vt:variant>
        <vt:i4>4653058</vt:i4>
      </vt:variant>
      <vt:variant>
        <vt:i4>2859</vt:i4>
      </vt:variant>
      <vt:variant>
        <vt:i4>0</vt:i4>
      </vt:variant>
      <vt:variant>
        <vt:i4>5</vt:i4>
      </vt:variant>
      <vt:variant>
        <vt:lpwstr>../Docs/R1-135138.zip</vt:lpwstr>
      </vt:variant>
      <vt:variant>
        <vt:lpwstr/>
      </vt:variant>
      <vt:variant>
        <vt:i4>4456451</vt:i4>
      </vt:variant>
      <vt:variant>
        <vt:i4>2856</vt:i4>
      </vt:variant>
      <vt:variant>
        <vt:i4>0</vt:i4>
      </vt:variant>
      <vt:variant>
        <vt:i4>5</vt:i4>
      </vt:variant>
      <vt:variant>
        <vt:lpwstr>../Docs/R1-135109.zip</vt:lpwstr>
      </vt:variant>
      <vt:variant>
        <vt:lpwstr/>
      </vt:variant>
      <vt:variant>
        <vt:i4>4980744</vt:i4>
      </vt:variant>
      <vt:variant>
        <vt:i4>2853</vt:i4>
      </vt:variant>
      <vt:variant>
        <vt:i4>0</vt:i4>
      </vt:variant>
      <vt:variant>
        <vt:i4>5</vt:i4>
      </vt:variant>
      <vt:variant>
        <vt:lpwstr>../Docs/R1-135083.zip</vt:lpwstr>
      </vt:variant>
      <vt:variant>
        <vt:lpwstr/>
      </vt:variant>
      <vt:variant>
        <vt:i4>4980745</vt:i4>
      </vt:variant>
      <vt:variant>
        <vt:i4>2850</vt:i4>
      </vt:variant>
      <vt:variant>
        <vt:i4>0</vt:i4>
      </vt:variant>
      <vt:variant>
        <vt:i4>5</vt:i4>
      </vt:variant>
      <vt:variant>
        <vt:lpwstr>../Docs/R1-135082.zip</vt:lpwstr>
      </vt:variant>
      <vt:variant>
        <vt:lpwstr/>
      </vt:variant>
      <vt:variant>
        <vt:i4>4980747</vt:i4>
      </vt:variant>
      <vt:variant>
        <vt:i4>2847</vt:i4>
      </vt:variant>
      <vt:variant>
        <vt:i4>0</vt:i4>
      </vt:variant>
      <vt:variant>
        <vt:i4>5</vt:i4>
      </vt:variant>
      <vt:variant>
        <vt:lpwstr>../Docs/R1-135080.zip</vt:lpwstr>
      </vt:variant>
      <vt:variant>
        <vt:lpwstr/>
      </vt:variant>
      <vt:variant>
        <vt:i4>4653069</vt:i4>
      </vt:variant>
      <vt:variant>
        <vt:i4>2844</vt:i4>
      </vt:variant>
      <vt:variant>
        <vt:i4>0</vt:i4>
      </vt:variant>
      <vt:variant>
        <vt:i4>5</vt:i4>
      </vt:variant>
      <vt:variant>
        <vt:lpwstr>../Docs/R1-135036.zip</vt:lpwstr>
      </vt:variant>
      <vt:variant>
        <vt:lpwstr/>
      </vt:variant>
      <vt:variant>
        <vt:i4>4653070</vt:i4>
      </vt:variant>
      <vt:variant>
        <vt:i4>2841</vt:i4>
      </vt:variant>
      <vt:variant>
        <vt:i4>0</vt:i4>
      </vt:variant>
      <vt:variant>
        <vt:i4>5</vt:i4>
      </vt:variant>
      <vt:variant>
        <vt:lpwstr>../Docs/R1-135035.zip</vt:lpwstr>
      </vt:variant>
      <vt:variant>
        <vt:lpwstr/>
      </vt:variant>
      <vt:variant>
        <vt:i4>4653071</vt:i4>
      </vt:variant>
      <vt:variant>
        <vt:i4>2838</vt:i4>
      </vt:variant>
      <vt:variant>
        <vt:i4>0</vt:i4>
      </vt:variant>
      <vt:variant>
        <vt:i4>5</vt:i4>
      </vt:variant>
      <vt:variant>
        <vt:lpwstr>../Docs/R1-135034.zip</vt:lpwstr>
      </vt:variant>
      <vt:variant>
        <vt:lpwstr/>
      </vt:variant>
      <vt:variant>
        <vt:i4>4325378</vt:i4>
      </vt:variant>
      <vt:variant>
        <vt:i4>2835</vt:i4>
      </vt:variant>
      <vt:variant>
        <vt:i4>0</vt:i4>
      </vt:variant>
      <vt:variant>
        <vt:i4>5</vt:i4>
      </vt:variant>
      <vt:variant>
        <vt:lpwstr>../Docs/R1-136059.zip</vt:lpwstr>
      </vt:variant>
      <vt:variant>
        <vt:lpwstr/>
      </vt:variant>
      <vt:variant>
        <vt:i4>4653070</vt:i4>
      </vt:variant>
      <vt:variant>
        <vt:i4>2832</vt:i4>
      </vt:variant>
      <vt:variant>
        <vt:i4>0</vt:i4>
      </vt:variant>
      <vt:variant>
        <vt:i4>5</vt:i4>
      </vt:variant>
      <vt:variant>
        <vt:lpwstr>../Docs/R1-136005.zip</vt:lpwstr>
      </vt:variant>
      <vt:variant>
        <vt:lpwstr/>
      </vt:variant>
      <vt:variant>
        <vt:i4>4325389</vt:i4>
      </vt:variant>
      <vt:variant>
        <vt:i4>2829</vt:i4>
      </vt:variant>
      <vt:variant>
        <vt:i4>0</vt:i4>
      </vt:variant>
      <vt:variant>
        <vt:i4>5</vt:i4>
      </vt:variant>
      <vt:variant>
        <vt:lpwstr>../Docs/R1-136056.zip</vt:lpwstr>
      </vt:variant>
      <vt:variant>
        <vt:lpwstr/>
      </vt:variant>
      <vt:variant>
        <vt:i4>4325389</vt:i4>
      </vt:variant>
      <vt:variant>
        <vt:i4>2826</vt:i4>
      </vt:variant>
      <vt:variant>
        <vt:i4>0</vt:i4>
      </vt:variant>
      <vt:variant>
        <vt:i4>5</vt:i4>
      </vt:variant>
      <vt:variant>
        <vt:lpwstr>../Docs/R1-136056.zip</vt:lpwstr>
      </vt:variant>
      <vt:variant>
        <vt:lpwstr/>
      </vt:variant>
      <vt:variant>
        <vt:i4>4653070</vt:i4>
      </vt:variant>
      <vt:variant>
        <vt:i4>2823</vt:i4>
      </vt:variant>
      <vt:variant>
        <vt:i4>0</vt:i4>
      </vt:variant>
      <vt:variant>
        <vt:i4>5</vt:i4>
      </vt:variant>
      <vt:variant>
        <vt:lpwstr>../Docs/R1-136005.zip</vt:lpwstr>
      </vt:variant>
      <vt:variant>
        <vt:lpwstr/>
      </vt:variant>
      <vt:variant>
        <vt:i4>4653070</vt:i4>
      </vt:variant>
      <vt:variant>
        <vt:i4>2820</vt:i4>
      </vt:variant>
      <vt:variant>
        <vt:i4>0</vt:i4>
      </vt:variant>
      <vt:variant>
        <vt:i4>5</vt:i4>
      </vt:variant>
      <vt:variant>
        <vt:lpwstr>../Docs/R1-136005.zip</vt:lpwstr>
      </vt:variant>
      <vt:variant>
        <vt:lpwstr/>
      </vt:variant>
      <vt:variant>
        <vt:i4>4521992</vt:i4>
      </vt:variant>
      <vt:variant>
        <vt:i4>2817</vt:i4>
      </vt:variant>
      <vt:variant>
        <vt:i4>0</vt:i4>
      </vt:variant>
      <vt:variant>
        <vt:i4>5</vt:i4>
      </vt:variant>
      <vt:variant>
        <vt:lpwstr>../Docs/R1-135516.zip</vt:lpwstr>
      </vt:variant>
      <vt:variant>
        <vt:lpwstr/>
      </vt:variant>
      <vt:variant>
        <vt:i4>4259845</vt:i4>
      </vt:variant>
      <vt:variant>
        <vt:i4>2814</vt:i4>
      </vt:variant>
      <vt:variant>
        <vt:i4>0</vt:i4>
      </vt:variant>
      <vt:variant>
        <vt:i4>5</vt:i4>
      </vt:variant>
      <vt:variant>
        <vt:lpwstr>../Docs/R1-135957.zip</vt:lpwstr>
      </vt:variant>
      <vt:variant>
        <vt:lpwstr/>
      </vt:variant>
      <vt:variant>
        <vt:i4>4521992</vt:i4>
      </vt:variant>
      <vt:variant>
        <vt:i4>2811</vt:i4>
      </vt:variant>
      <vt:variant>
        <vt:i4>0</vt:i4>
      </vt:variant>
      <vt:variant>
        <vt:i4>5</vt:i4>
      </vt:variant>
      <vt:variant>
        <vt:lpwstr>../Docs/R1-135516.zip</vt:lpwstr>
      </vt:variant>
      <vt:variant>
        <vt:lpwstr/>
      </vt:variant>
      <vt:variant>
        <vt:i4>4521992</vt:i4>
      </vt:variant>
      <vt:variant>
        <vt:i4>2808</vt:i4>
      </vt:variant>
      <vt:variant>
        <vt:i4>0</vt:i4>
      </vt:variant>
      <vt:variant>
        <vt:i4>5</vt:i4>
      </vt:variant>
      <vt:variant>
        <vt:lpwstr>../Docs/R1-135516.zip</vt:lpwstr>
      </vt:variant>
      <vt:variant>
        <vt:lpwstr/>
      </vt:variant>
      <vt:variant>
        <vt:i4>4653069</vt:i4>
      </vt:variant>
      <vt:variant>
        <vt:i4>2805</vt:i4>
      </vt:variant>
      <vt:variant>
        <vt:i4>0</vt:i4>
      </vt:variant>
      <vt:variant>
        <vt:i4>5</vt:i4>
      </vt:variant>
      <vt:variant>
        <vt:lpwstr>../Docs/R1-135432.zip</vt:lpwstr>
      </vt:variant>
      <vt:variant>
        <vt:lpwstr/>
      </vt:variant>
      <vt:variant>
        <vt:i4>4653056</vt:i4>
      </vt:variant>
      <vt:variant>
        <vt:i4>2802</vt:i4>
      </vt:variant>
      <vt:variant>
        <vt:i4>0</vt:i4>
      </vt:variant>
      <vt:variant>
        <vt:i4>5</vt:i4>
      </vt:variant>
      <vt:variant>
        <vt:lpwstr>../Docs/R1-135833.zip</vt:lpwstr>
      </vt:variant>
      <vt:variant>
        <vt:lpwstr/>
      </vt:variant>
      <vt:variant>
        <vt:i4>4980745</vt:i4>
      </vt:variant>
      <vt:variant>
        <vt:i4>2799</vt:i4>
      </vt:variant>
      <vt:variant>
        <vt:i4>0</vt:i4>
      </vt:variant>
      <vt:variant>
        <vt:i4>5</vt:i4>
      </vt:variant>
      <vt:variant>
        <vt:lpwstr>../Docs/R1-135381.zip</vt:lpwstr>
      </vt:variant>
      <vt:variant>
        <vt:lpwstr/>
      </vt:variant>
      <vt:variant>
        <vt:i4>4325388</vt:i4>
      </vt:variant>
      <vt:variant>
        <vt:i4>2796</vt:i4>
      </vt:variant>
      <vt:variant>
        <vt:i4>0</vt:i4>
      </vt:variant>
      <vt:variant>
        <vt:i4>5</vt:i4>
      </vt:variant>
      <vt:variant>
        <vt:lpwstr>../Docs/R1-135166.zip</vt:lpwstr>
      </vt:variant>
      <vt:variant>
        <vt:lpwstr/>
      </vt:variant>
      <vt:variant>
        <vt:i4>5046273</vt:i4>
      </vt:variant>
      <vt:variant>
        <vt:i4>2793</vt:i4>
      </vt:variant>
      <vt:variant>
        <vt:i4>0</vt:i4>
      </vt:variant>
      <vt:variant>
        <vt:i4>5</vt:i4>
      </vt:variant>
      <vt:variant>
        <vt:lpwstr>../Docs/R1-135892.zip</vt:lpwstr>
      </vt:variant>
      <vt:variant>
        <vt:lpwstr/>
      </vt:variant>
      <vt:variant>
        <vt:i4>4325385</vt:i4>
      </vt:variant>
      <vt:variant>
        <vt:i4>2790</vt:i4>
      </vt:variant>
      <vt:variant>
        <vt:i4>0</vt:i4>
      </vt:variant>
      <vt:variant>
        <vt:i4>5</vt:i4>
      </vt:variant>
      <vt:variant>
        <vt:lpwstr>../Docs/R1-136052.zip</vt:lpwstr>
      </vt:variant>
      <vt:variant>
        <vt:lpwstr/>
      </vt:variant>
      <vt:variant>
        <vt:i4>4980746</vt:i4>
      </vt:variant>
      <vt:variant>
        <vt:i4>2787</vt:i4>
      </vt:variant>
      <vt:variant>
        <vt:i4>0</vt:i4>
      </vt:variant>
      <vt:variant>
        <vt:i4>5</vt:i4>
      </vt:variant>
      <vt:variant>
        <vt:lpwstr>../Docs/R1-135081.zip</vt:lpwstr>
      </vt:variant>
      <vt:variant>
        <vt:lpwstr/>
      </vt:variant>
      <vt:variant>
        <vt:i4>4259851</vt:i4>
      </vt:variant>
      <vt:variant>
        <vt:i4>2784</vt:i4>
      </vt:variant>
      <vt:variant>
        <vt:i4>0</vt:i4>
      </vt:variant>
      <vt:variant>
        <vt:i4>5</vt:i4>
      </vt:variant>
      <vt:variant>
        <vt:lpwstr>../Docs/R1-135959.zip</vt:lpwstr>
      </vt:variant>
      <vt:variant>
        <vt:lpwstr/>
      </vt:variant>
      <vt:variant>
        <vt:i4>4521995</vt:i4>
      </vt:variant>
      <vt:variant>
        <vt:i4>2781</vt:i4>
      </vt:variant>
      <vt:variant>
        <vt:i4>0</vt:i4>
      </vt:variant>
      <vt:variant>
        <vt:i4>5</vt:i4>
      </vt:variant>
      <vt:variant>
        <vt:lpwstr>../Docs/R1-136020.zip</vt:lpwstr>
      </vt:variant>
      <vt:variant>
        <vt:lpwstr/>
      </vt:variant>
      <vt:variant>
        <vt:i4>4259851</vt:i4>
      </vt:variant>
      <vt:variant>
        <vt:i4>2778</vt:i4>
      </vt:variant>
      <vt:variant>
        <vt:i4>0</vt:i4>
      </vt:variant>
      <vt:variant>
        <vt:i4>5</vt:i4>
      </vt:variant>
      <vt:variant>
        <vt:lpwstr>../Docs/R1-135959.zip</vt:lpwstr>
      </vt:variant>
      <vt:variant>
        <vt:lpwstr/>
      </vt:variant>
      <vt:variant>
        <vt:i4>5046272</vt:i4>
      </vt:variant>
      <vt:variant>
        <vt:i4>2775</vt:i4>
      </vt:variant>
      <vt:variant>
        <vt:i4>0</vt:i4>
      </vt:variant>
      <vt:variant>
        <vt:i4>5</vt:i4>
      </vt:variant>
      <vt:variant>
        <vt:lpwstr>../Docs/R1-135893.zip</vt:lpwstr>
      </vt:variant>
      <vt:variant>
        <vt:lpwstr/>
      </vt:variant>
      <vt:variant>
        <vt:i4>4259851</vt:i4>
      </vt:variant>
      <vt:variant>
        <vt:i4>2772</vt:i4>
      </vt:variant>
      <vt:variant>
        <vt:i4>0</vt:i4>
      </vt:variant>
      <vt:variant>
        <vt:i4>5</vt:i4>
      </vt:variant>
      <vt:variant>
        <vt:lpwstr>../Docs/R1-135959.zip</vt:lpwstr>
      </vt:variant>
      <vt:variant>
        <vt:lpwstr/>
      </vt:variant>
      <vt:variant>
        <vt:i4>5046272</vt:i4>
      </vt:variant>
      <vt:variant>
        <vt:i4>2769</vt:i4>
      </vt:variant>
      <vt:variant>
        <vt:i4>0</vt:i4>
      </vt:variant>
      <vt:variant>
        <vt:i4>5</vt:i4>
      </vt:variant>
      <vt:variant>
        <vt:lpwstr>../Docs/R1-135893.zip</vt:lpwstr>
      </vt:variant>
      <vt:variant>
        <vt:lpwstr/>
      </vt:variant>
      <vt:variant>
        <vt:i4>5046272</vt:i4>
      </vt:variant>
      <vt:variant>
        <vt:i4>2766</vt:i4>
      </vt:variant>
      <vt:variant>
        <vt:i4>0</vt:i4>
      </vt:variant>
      <vt:variant>
        <vt:i4>5</vt:i4>
      </vt:variant>
      <vt:variant>
        <vt:lpwstr>../Docs/R1-135893.zip</vt:lpwstr>
      </vt:variant>
      <vt:variant>
        <vt:lpwstr/>
      </vt:variant>
      <vt:variant>
        <vt:i4>4259844</vt:i4>
      </vt:variant>
      <vt:variant>
        <vt:i4>2763</vt:i4>
      </vt:variant>
      <vt:variant>
        <vt:i4>0</vt:i4>
      </vt:variant>
      <vt:variant>
        <vt:i4>5</vt:i4>
      </vt:variant>
      <vt:variant>
        <vt:lpwstr>../Docs/R1-135659.zip</vt:lpwstr>
      </vt:variant>
      <vt:variant>
        <vt:lpwstr/>
      </vt:variant>
      <vt:variant>
        <vt:i4>4390917</vt:i4>
      </vt:variant>
      <vt:variant>
        <vt:i4>2760</vt:i4>
      </vt:variant>
      <vt:variant>
        <vt:i4>0</vt:i4>
      </vt:variant>
      <vt:variant>
        <vt:i4>5</vt:i4>
      </vt:variant>
      <vt:variant>
        <vt:lpwstr>../Docs/R1-135876.zip</vt:lpwstr>
      </vt:variant>
      <vt:variant>
        <vt:lpwstr/>
      </vt:variant>
      <vt:variant>
        <vt:i4>4521994</vt:i4>
      </vt:variant>
      <vt:variant>
        <vt:i4>2757</vt:i4>
      </vt:variant>
      <vt:variant>
        <vt:i4>0</vt:i4>
      </vt:variant>
      <vt:variant>
        <vt:i4>5</vt:i4>
      </vt:variant>
      <vt:variant>
        <vt:lpwstr>../Docs/R1-135514.zip</vt:lpwstr>
      </vt:variant>
      <vt:variant>
        <vt:lpwstr/>
      </vt:variant>
      <vt:variant>
        <vt:i4>4653070</vt:i4>
      </vt:variant>
      <vt:variant>
        <vt:i4>2754</vt:i4>
      </vt:variant>
      <vt:variant>
        <vt:i4>0</vt:i4>
      </vt:variant>
      <vt:variant>
        <vt:i4>5</vt:i4>
      </vt:variant>
      <vt:variant>
        <vt:lpwstr>../Docs/R1-135431.zip</vt:lpwstr>
      </vt:variant>
      <vt:variant>
        <vt:lpwstr/>
      </vt:variant>
      <vt:variant>
        <vt:i4>4194305</vt:i4>
      </vt:variant>
      <vt:variant>
        <vt:i4>2751</vt:i4>
      </vt:variant>
      <vt:variant>
        <vt:i4>0</vt:i4>
      </vt:variant>
      <vt:variant>
        <vt:i4>5</vt:i4>
      </vt:variant>
      <vt:variant>
        <vt:lpwstr>../Docs/R1-135349.zip</vt:lpwstr>
      </vt:variant>
      <vt:variant>
        <vt:lpwstr/>
      </vt:variant>
      <vt:variant>
        <vt:i4>4980746</vt:i4>
      </vt:variant>
      <vt:variant>
        <vt:i4>2748</vt:i4>
      </vt:variant>
      <vt:variant>
        <vt:i4>0</vt:i4>
      </vt:variant>
      <vt:variant>
        <vt:i4>5</vt:i4>
      </vt:variant>
      <vt:variant>
        <vt:lpwstr>../Docs/R1-135081.zip</vt:lpwstr>
      </vt:variant>
      <vt:variant>
        <vt:lpwstr/>
      </vt:variant>
      <vt:variant>
        <vt:i4>4521999</vt:i4>
      </vt:variant>
      <vt:variant>
        <vt:i4>2745</vt:i4>
      </vt:variant>
      <vt:variant>
        <vt:i4>0</vt:i4>
      </vt:variant>
      <vt:variant>
        <vt:i4>5</vt:i4>
      </vt:variant>
      <vt:variant>
        <vt:lpwstr>../Docs/R1-135612.zip</vt:lpwstr>
      </vt:variant>
      <vt:variant>
        <vt:lpwstr/>
      </vt:variant>
      <vt:variant>
        <vt:i4>4980739</vt:i4>
      </vt:variant>
      <vt:variant>
        <vt:i4>2742</vt:i4>
      </vt:variant>
      <vt:variant>
        <vt:i4>0</vt:i4>
      </vt:variant>
      <vt:variant>
        <vt:i4>5</vt:i4>
      </vt:variant>
      <vt:variant>
        <vt:lpwstr>../Docs/R1-135880.zip</vt:lpwstr>
      </vt:variant>
      <vt:variant>
        <vt:lpwstr/>
      </vt:variant>
      <vt:variant>
        <vt:i4>4259851</vt:i4>
      </vt:variant>
      <vt:variant>
        <vt:i4>2739</vt:i4>
      </vt:variant>
      <vt:variant>
        <vt:i4>0</vt:i4>
      </vt:variant>
      <vt:variant>
        <vt:i4>5</vt:i4>
      </vt:variant>
      <vt:variant>
        <vt:lpwstr>../Docs/R1-135656.zip</vt:lpwstr>
      </vt:variant>
      <vt:variant>
        <vt:lpwstr/>
      </vt:variant>
      <vt:variant>
        <vt:i4>4390922</vt:i4>
      </vt:variant>
      <vt:variant>
        <vt:i4>2736</vt:i4>
      </vt:variant>
      <vt:variant>
        <vt:i4>0</vt:i4>
      </vt:variant>
      <vt:variant>
        <vt:i4>5</vt:i4>
      </vt:variant>
      <vt:variant>
        <vt:lpwstr>../Docs/R1-135879.zip</vt:lpwstr>
      </vt:variant>
      <vt:variant>
        <vt:lpwstr/>
      </vt:variant>
      <vt:variant>
        <vt:i4>4456460</vt:i4>
      </vt:variant>
      <vt:variant>
        <vt:i4>2733</vt:i4>
      </vt:variant>
      <vt:variant>
        <vt:i4>0</vt:i4>
      </vt:variant>
      <vt:variant>
        <vt:i4>5</vt:i4>
      </vt:variant>
      <vt:variant>
        <vt:lpwstr>../Docs/R1-135403.zip</vt:lpwstr>
      </vt:variant>
      <vt:variant>
        <vt:lpwstr/>
      </vt:variant>
      <vt:variant>
        <vt:i4>4390912</vt:i4>
      </vt:variant>
      <vt:variant>
        <vt:i4>2730</vt:i4>
      </vt:variant>
      <vt:variant>
        <vt:i4>0</vt:i4>
      </vt:variant>
      <vt:variant>
        <vt:i4>5</vt:i4>
      </vt:variant>
      <vt:variant>
        <vt:lpwstr>../Docs/R1-135873.zip</vt:lpwstr>
      </vt:variant>
      <vt:variant>
        <vt:lpwstr/>
      </vt:variant>
      <vt:variant>
        <vt:i4>4259848</vt:i4>
      </vt:variant>
      <vt:variant>
        <vt:i4>2727</vt:i4>
      </vt:variant>
      <vt:variant>
        <vt:i4>0</vt:i4>
      </vt:variant>
      <vt:variant>
        <vt:i4>5</vt:i4>
      </vt:variant>
      <vt:variant>
        <vt:lpwstr>../Docs/R1-135655.zip</vt:lpwstr>
      </vt:variant>
      <vt:variant>
        <vt:lpwstr/>
      </vt:variant>
      <vt:variant>
        <vt:i4>4521997</vt:i4>
      </vt:variant>
      <vt:variant>
        <vt:i4>2724</vt:i4>
      </vt:variant>
      <vt:variant>
        <vt:i4>0</vt:i4>
      </vt:variant>
      <vt:variant>
        <vt:i4>5</vt:i4>
      </vt:variant>
      <vt:variant>
        <vt:lpwstr>../Docs/R1-135610.zip</vt:lpwstr>
      </vt:variant>
      <vt:variant>
        <vt:lpwstr/>
      </vt:variant>
      <vt:variant>
        <vt:i4>4980746</vt:i4>
      </vt:variant>
      <vt:variant>
        <vt:i4>2721</vt:i4>
      </vt:variant>
      <vt:variant>
        <vt:i4>0</vt:i4>
      </vt:variant>
      <vt:variant>
        <vt:i4>5</vt:i4>
      </vt:variant>
      <vt:variant>
        <vt:lpwstr>../Docs/R1-135584.zip</vt:lpwstr>
      </vt:variant>
      <vt:variant>
        <vt:lpwstr/>
      </vt:variant>
      <vt:variant>
        <vt:i4>4390925</vt:i4>
      </vt:variant>
      <vt:variant>
        <vt:i4>2718</vt:i4>
      </vt:variant>
      <vt:variant>
        <vt:i4>0</vt:i4>
      </vt:variant>
      <vt:variant>
        <vt:i4>5</vt:i4>
      </vt:variant>
      <vt:variant>
        <vt:lpwstr>../Docs/R1-135472.zip</vt:lpwstr>
      </vt:variant>
      <vt:variant>
        <vt:lpwstr/>
      </vt:variant>
      <vt:variant>
        <vt:i4>4390926</vt:i4>
      </vt:variant>
      <vt:variant>
        <vt:i4>2715</vt:i4>
      </vt:variant>
      <vt:variant>
        <vt:i4>0</vt:i4>
      </vt:variant>
      <vt:variant>
        <vt:i4>5</vt:i4>
      </vt:variant>
      <vt:variant>
        <vt:lpwstr>../Docs/R1-135471.zip</vt:lpwstr>
      </vt:variant>
      <vt:variant>
        <vt:lpwstr/>
      </vt:variant>
      <vt:variant>
        <vt:i4>4194304</vt:i4>
      </vt:variant>
      <vt:variant>
        <vt:i4>2712</vt:i4>
      </vt:variant>
      <vt:variant>
        <vt:i4>0</vt:i4>
      </vt:variant>
      <vt:variant>
        <vt:i4>5</vt:i4>
      </vt:variant>
      <vt:variant>
        <vt:lpwstr>../Docs/R1-135348.zip</vt:lpwstr>
      </vt:variant>
      <vt:variant>
        <vt:lpwstr/>
      </vt:variant>
      <vt:variant>
        <vt:i4>4456462</vt:i4>
      </vt:variant>
      <vt:variant>
        <vt:i4>2709</vt:i4>
      </vt:variant>
      <vt:variant>
        <vt:i4>0</vt:i4>
      </vt:variant>
      <vt:variant>
        <vt:i4>5</vt:i4>
      </vt:variant>
      <vt:variant>
        <vt:lpwstr>../Docs/R1-135306.zip</vt:lpwstr>
      </vt:variant>
      <vt:variant>
        <vt:lpwstr/>
      </vt:variant>
      <vt:variant>
        <vt:i4>4194304</vt:i4>
      </vt:variant>
      <vt:variant>
        <vt:i4>2706</vt:i4>
      </vt:variant>
      <vt:variant>
        <vt:i4>0</vt:i4>
      </vt:variant>
      <vt:variant>
        <vt:i4>5</vt:i4>
      </vt:variant>
      <vt:variant>
        <vt:lpwstr>../Docs/R1-135249.zip</vt:lpwstr>
      </vt:variant>
      <vt:variant>
        <vt:lpwstr/>
      </vt:variant>
      <vt:variant>
        <vt:i4>4325391</vt:i4>
      </vt:variant>
      <vt:variant>
        <vt:i4>2703</vt:i4>
      </vt:variant>
      <vt:variant>
        <vt:i4>0</vt:i4>
      </vt:variant>
      <vt:variant>
        <vt:i4>5</vt:i4>
      </vt:variant>
      <vt:variant>
        <vt:lpwstr>../Docs/R1-135165.zip</vt:lpwstr>
      </vt:variant>
      <vt:variant>
        <vt:lpwstr/>
      </vt:variant>
      <vt:variant>
        <vt:i4>4390914</vt:i4>
      </vt:variant>
      <vt:variant>
        <vt:i4>2700</vt:i4>
      </vt:variant>
      <vt:variant>
        <vt:i4>0</vt:i4>
      </vt:variant>
      <vt:variant>
        <vt:i4>5</vt:i4>
      </vt:variant>
      <vt:variant>
        <vt:lpwstr>../Docs/R1-135079.zip</vt:lpwstr>
      </vt:variant>
      <vt:variant>
        <vt:lpwstr/>
      </vt:variant>
      <vt:variant>
        <vt:i4>4653064</vt:i4>
      </vt:variant>
      <vt:variant>
        <vt:i4>2697</vt:i4>
      </vt:variant>
      <vt:variant>
        <vt:i4>0</vt:i4>
      </vt:variant>
      <vt:variant>
        <vt:i4>5</vt:i4>
      </vt:variant>
      <vt:variant>
        <vt:lpwstr>../Docs/R1-135033.zip</vt:lpwstr>
      </vt:variant>
      <vt:variant>
        <vt:lpwstr/>
      </vt:variant>
      <vt:variant>
        <vt:i4>4194306</vt:i4>
      </vt:variant>
      <vt:variant>
        <vt:i4>2694</vt:i4>
      </vt:variant>
      <vt:variant>
        <vt:i4>0</vt:i4>
      </vt:variant>
      <vt:variant>
        <vt:i4>5</vt:i4>
      </vt:variant>
      <vt:variant>
        <vt:lpwstr>../Docs/R1-136079.zip</vt:lpwstr>
      </vt:variant>
      <vt:variant>
        <vt:lpwstr/>
      </vt:variant>
      <vt:variant>
        <vt:i4>4325379</vt:i4>
      </vt:variant>
      <vt:variant>
        <vt:i4>2691</vt:i4>
      </vt:variant>
      <vt:variant>
        <vt:i4>0</vt:i4>
      </vt:variant>
      <vt:variant>
        <vt:i4>5</vt:i4>
      </vt:variant>
      <vt:variant>
        <vt:lpwstr>../Docs/R1-136058.zip</vt:lpwstr>
      </vt:variant>
      <vt:variant>
        <vt:lpwstr/>
      </vt:variant>
      <vt:variant>
        <vt:i4>4325379</vt:i4>
      </vt:variant>
      <vt:variant>
        <vt:i4>2688</vt:i4>
      </vt:variant>
      <vt:variant>
        <vt:i4>0</vt:i4>
      </vt:variant>
      <vt:variant>
        <vt:i4>5</vt:i4>
      </vt:variant>
      <vt:variant>
        <vt:lpwstr>../Docs/R1-136058.zip</vt:lpwstr>
      </vt:variant>
      <vt:variant>
        <vt:lpwstr/>
      </vt:variant>
      <vt:variant>
        <vt:i4>4587529</vt:i4>
      </vt:variant>
      <vt:variant>
        <vt:i4>2685</vt:i4>
      </vt:variant>
      <vt:variant>
        <vt:i4>0</vt:i4>
      </vt:variant>
      <vt:variant>
        <vt:i4>5</vt:i4>
      </vt:variant>
      <vt:variant>
        <vt:lpwstr>../Docs/R1-136012.zip</vt:lpwstr>
      </vt:variant>
      <vt:variant>
        <vt:lpwstr/>
      </vt:variant>
      <vt:variant>
        <vt:i4>4456460</vt:i4>
      </vt:variant>
      <vt:variant>
        <vt:i4>2682</vt:i4>
      </vt:variant>
      <vt:variant>
        <vt:i4>0</vt:i4>
      </vt:variant>
      <vt:variant>
        <vt:i4>5</vt:i4>
      </vt:variant>
      <vt:variant>
        <vt:lpwstr>../Docs/R1-136037.zip</vt:lpwstr>
      </vt:variant>
      <vt:variant>
        <vt:lpwstr/>
      </vt:variant>
      <vt:variant>
        <vt:i4>4259855</vt:i4>
      </vt:variant>
      <vt:variant>
        <vt:i4>2679</vt:i4>
      </vt:variant>
      <vt:variant>
        <vt:i4>0</vt:i4>
      </vt:variant>
      <vt:variant>
        <vt:i4>5</vt:i4>
      </vt:variant>
      <vt:variant>
        <vt:lpwstr>../Docs/R1-135450.zip</vt:lpwstr>
      </vt:variant>
      <vt:variant>
        <vt:lpwstr/>
      </vt:variant>
      <vt:variant>
        <vt:i4>4194306</vt:i4>
      </vt:variant>
      <vt:variant>
        <vt:i4>2676</vt:i4>
      </vt:variant>
      <vt:variant>
        <vt:i4>0</vt:i4>
      </vt:variant>
      <vt:variant>
        <vt:i4>5</vt:i4>
      </vt:variant>
      <vt:variant>
        <vt:lpwstr>../Docs/R1-132138.zip</vt:lpwstr>
      </vt:variant>
      <vt:variant>
        <vt:lpwstr/>
      </vt:variant>
      <vt:variant>
        <vt:i4>5046285</vt:i4>
      </vt:variant>
      <vt:variant>
        <vt:i4>2673</vt:i4>
      </vt:variant>
      <vt:variant>
        <vt:i4>0</vt:i4>
      </vt:variant>
      <vt:variant>
        <vt:i4>5</vt:i4>
      </vt:variant>
      <vt:variant>
        <vt:lpwstr>../Docs/R1-135395.zip</vt:lpwstr>
      </vt:variant>
      <vt:variant>
        <vt:lpwstr/>
      </vt:variant>
      <vt:variant>
        <vt:i4>4456449</vt:i4>
      </vt:variant>
      <vt:variant>
        <vt:i4>2670</vt:i4>
      </vt:variant>
      <vt:variant>
        <vt:i4>0</vt:i4>
      </vt:variant>
      <vt:variant>
        <vt:i4>5</vt:i4>
      </vt:variant>
      <vt:variant>
        <vt:lpwstr>../Docs/R1-135208.zip</vt:lpwstr>
      </vt:variant>
      <vt:variant>
        <vt:lpwstr/>
      </vt:variant>
      <vt:variant>
        <vt:i4>4325386</vt:i4>
      </vt:variant>
      <vt:variant>
        <vt:i4>2667</vt:i4>
      </vt:variant>
      <vt:variant>
        <vt:i4>0</vt:i4>
      </vt:variant>
      <vt:variant>
        <vt:i4>5</vt:i4>
      </vt:variant>
      <vt:variant>
        <vt:lpwstr>../Docs/R1-136051.zip</vt:lpwstr>
      </vt:variant>
      <vt:variant>
        <vt:lpwstr/>
      </vt:variant>
      <vt:variant>
        <vt:i4>4587528</vt:i4>
      </vt:variant>
      <vt:variant>
        <vt:i4>2664</vt:i4>
      </vt:variant>
      <vt:variant>
        <vt:i4>0</vt:i4>
      </vt:variant>
      <vt:variant>
        <vt:i4>5</vt:i4>
      </vt:variant>
      <vt:variant>
        <vt:lpwstr>../Docs/R1-136013.zip</vt:lpwstr>
      </vt:variant>
      <vt:variant>
        <vt:lpwstr/>
      </vt:variant>
      <vt:variant>
        <vt:i4>4456451</vt:i4>
      </vt:variant>
      <vt:variant>
        <vt:i4>2661</vt:i4>
      </vt:variant>
      <vt:variant>
        <vt:i4>0</vt:i4>
      </vt:variant>
      <vt:variant>
        <vt:i4>5</vt:i4>
      </vt:variant>
      <vt:variant>
        <vt:lpwstr>../Docs/R1-136038.zip</vt:lpwstr>
      </vt:variant>
      <vt:variant>
        <vt:lpwstr/>
      </vt:variant>
      <vt:variant>
        <vt:i4>4259850</vt:i4>
      </vt:variant>
      <vt:variant>
        <vt:i4>2658</vt:i4>
      </vt:variant>
      <vt:variant>
        <vt:i4>0</vt:i4>
      </vt:variant>
      <vt:variant>
        <vt:i4>5</vt:i4>
      </vt:variant>
      <vt:variant>
        <vt:lpwstr>../Docs/R1-135958.zip</vt:lpwstr>
      </vt:variant>
      <vt:variant>
        <vt:lpwstr/>
      </vt:variant>
      <vt:variant>
        <vt:i4>4653065</vt:i4>
      </vt:variant>
      <vt:variant>
        <vt:i4>2655</vt:i4>
      </vt:variant>
      <vt:variant>
        <vt:i4>0</vt:i4>
      </vt:variant>
      <vt:variant>
        <vt:i4>5</vt:i4>
      </vt:variant>
      <vt:variant>
        <vt:lpwstr>../Docs/R1-135032.zip</vt:lpwstr>
      </vt:variant>
      <vt:variant>
        <vt:lpwstr/>
      </vt:variant>
      <vt:variant>
        <vt:i4>4259850</vt:i4>
      </vt:variant>
      <vt:variant>
        <vt:i4>2652</vt:i4>
      </vt:variant>
      <vt:variant>
        <vt:i4>0</vt:i4>
      </vt:variant>
      <vt:variant>
        <vt:i4>5</vt:i4>
      </vt:variant>
      <vt:variant>
        <vt:lpwstr>../Docs/R1-135657.zip</vt:lpwstr>
      </vt:variant>
      <vt:variant>
        <vt:lpwstr/>
      </vt:variant>
      <vt:variant>
        <vt:i4>4980749</vt:i4>
      </vt:variant>
      <vt:variant>
        <vt:i4>2649</vt:i4>
      </vt:variant>
      <vt:variant>
        <vt:i4>0</vt:i4>
      </vt:variant>
      <vt:variant>
        <vt:i4>5</vt:i4>
      </vt:variant>
      <vt:variant>
        <vt:lpwstr>../Docs/R1-135583.zip</vt:lpwstr>
      </vt:variant>
      <vt:variant>
        <vt:lpwstr/>
      </vt:variant>
      <vt:variant>
        <vt:i4>4390915</vt:i4>
      </vt:variant>
      <vt:variant>
        <vt:i4>2646</vt:i4>
      </vt:variant>
      <vt:variant>
        <vt:i4>0</vt:i4>
      </vt:variant>
      <vt:variant>
        <vt:i4>5</vt:i4>
      </vt:variant>
      <vt:variant>
        <vt:lpwstr>../Docs/R1-135078.zip</vt:lpwstr>
      </vt:variant>
      <vt:variant>
        <vt:lpwstr/>
      </vt:variant>
      <vt:variant>
        <vt:i4>2228236</vt:i4>
      </vt:variant>
      <vt:variant>
        <vt:i4>2643</vt:i4>
      </vt:variant>
      <vt:variant>
        <vt:i4>0</vt:i4>
      </vt:variant>
      <vt:variant>
        <vt:i4>5</vt:i4>
      </vt:variant>
      <vt:variant>
        <vt:lpwstr>http://www.3gpp.org/ftp/tsg_ran/TSG_RAN/TSGR_61/Docs/RP-131373.zip</vt:lpwstr>
      </vt:variant>
      <vt:variant>
        <vt:lpwstr/>
      </vt:variant>
      <vt:variant>
        <vt:i4>2228226</vt:i4>
      </vt:variant>
      <vt:variant>
        <vt:i4>2640</vt:i4>
      </vt:variant>
      <vt:variant>
        <vt:i4>0</vt:i4>
      </vt:variant>
      <vt:variant>
        <vt:i4>5</vt:i4>
      </vt:variant>
      <vt:variant>
        <vt:lpwstr>http://www.3gpp.org/ftp/tsg_ran/TSG_RAN/TSGR_58/Docs/RP-122032.zip</vt:lpwstr>
      </vt:variant>
      <vt:variant>
        <vt:lpwstr/>
      </vt:variant>
      <vt:variant>
        <vt:i4>4456450</vt:i4>
      </vt:variant>
      <vt:variant>
        <vt:i4>2637</vt:i4>
      </vt:variant>
      <vt:variant>
        <vt:i4>0</vt:i4>
      </vt:variant>
      <vt:variant>
        <vt:i4>5</vt:i4>
      </vt:variant>
      <vt:variant>
        <vt:lpwstr>../Docs/R1-135801.zip</vt:lpwstr>
      </vt:variant>
      <vt:variant>
        <vt:lpwstr/>
      </vt:variant>
      <vt:variant>
        <vt:i4>4980748</vt:i4>
      </vt:variant>
      <vt:variant>
        <vt:i4>2634</vt:i4>
      </vt:variant>
      <vt:variant>
        <vt:i4>0</vt:i4>
      </vt:variant>
      <vt:variant>
        <vt:i4>5</vt:i4>
      </vt:variant>
      <vt:variant>
        <vt:lpwstr>../Docs/R1-135582.zip</vt:lpwstr>
      </vt:variant>
      <vt:variant>
        <vt:lpwstr/>
      </vt:variant>
      <vt:variant>
        <vt:i4>4390927</vt:i4>
      </vt:variant>
      <vt:variant>
        <vt:i4>2631</vt:i4>
      </vt:variant>
      <vt:variant>
        <vt:i4>0</vt:i4>
      </vt:variant>
      <vt:variant>
        <vt:i4>5</vt:i4>
      </vt:variant>
      <vt:variant>
        <vt:lpwstr>../Docs/R1-135470.zip</vt:lpwstr>
      </vt:variant>
      <vt:variant>
        <vt:lpwstr/>
      </vt:variant>
      <vt:variant>
        <vt:i4>4390924</vt:i4>
      </vt:variant>
      <vt:variant>
        <vt:i4>2628</vt:i4>
      </vt:variant>
      <vt:variant>
        <vt:i4>0</vt:i4>
      </vt:variant>
      <vt:variant>
        <vt:i4>5</vt:i4>
      </vt:variant>
      <vt:variant>
        <vt:lpwstr>../Docs/R1-135077.zip</vt:lpwstr>
      </vt:variant>
      <vt:variant>
        <vt:lpwstr/>
      </vt:variant>
      <vt:variant>
        <vt:i4>4653066</vt:i4>
      </vt:variant>
      <vt:variant>
        <vt:i4>2625</vt:i4>
      </vt:variant>
      <vt:variant>
        <vt:i4>0</vt:i4>
      </vt:variant>
      <vt:variant>
        <vt:i4>5</vt:i4>
      </vt:variant>
      <vt:variant>
        <vt:lpwstr>../Docs/R1-135031.zip</vt:lpwstr>
      </vt:variant>
      <vt:variant>
        <vt:lpwstr/>
      </vt:variant>
      <vt:variant>
        <vt:i4>4653067</vt:i4>
      </vt:variant>
      <vt:variant>
        <vt:i4>2622</vt:i4>
      </vt:variant>
      <vt:variant>
        <vt:i4>0</vt:i4>
      </vt:variant>
      <vt:variant>
        <vt:i4>5</vt:i4>
      </vt:variant>
      <vt:variant>
        <vt:lpwstr>../Docs/R1-135030.zip</vt:lpwstr>
      </vt:variant>
      <vt:variant>
        <vt:lpwstr/>
      </vt:variant>
      <vt:variant>
        <vt:i4>4521995</vt:i4>
      </vt:variant>
      <vt:variant>
        <vt:i4>2619</vt:i4>
      </vt:variant>
      <vt:variant>
        <vt:i4>0</vt:i4>
      </vt:variant>
      <vt:variant>
        <vt:i4>5</vt:i4>
      </vt:variant>
      <vt:variant>
        <vt:lpwstr>../Docs/R1-135919.zip</vt:lpwstr>
      </vt:variant>
      <vt:variant>
        <vt:lpwstr/>
      </vt:variant>
      <vt:variant>
        <vt:i4>4521995</vt:i4>
      </vt:variant>
      <vt:variant>
        <vt:i4>2616</vt:i4>
      </vt:variant>
      <vt:variant>
        <vt:i4>0</vt:i4>
      </vt:variant>
      <vt:variant>
        <vt:i4>5</vt:i4>
      </vt:variant>
      <vt:variant>
        <vt:lpwstr>../Docs/R1-135919.zip</vt:lpwstr>
      </vt:variant>
      <vt:variant>
        <vt:lpwstr/>
      </vt:variant>
      <vt:variant>
        <vt:i4>4521984</vt:i4>
      </vt:variant>
      <vt:variant>
        <vt:i4>2613</vt:i4>
      </vt:variant>
      <vt:variant>
        <vt:i4>0</vt:i4>
      </vt:variant>
      <vt:variant>
        <vt:i4>5</vt:i4>
      </vt:variant>
      <vt:variant>
        <vt:lpwstr>../Docs/R1-135912.zip</vt:lpwstr>
      </vt:variant>
      <vt:variant>
        <vt:lpwstr/>
      </vt:variant>
      <vt:variant>
        <vt:i4>4521994</vt:i4>
      </vt:variant>
      <vt:variant>
        <vt:i4>2610</vt:i4>
      </vt:variant>
      <vt:variant>
        <vt:i4>0</vt:i4>
      </vt:variant>
      <vt:variant>
        <vt:i4>5</vt:i4>
      </vt:variant>
      <vt:variant>
        <vt:lpwstr>../Docs/R1-135918.zip</vt:lpwstr>
      </vt:variant>
      <vt:variant>
        <vt:lpwstr/>
      </vt:variant>
      <vt:variant>
        <vt:i4>4521987</vt:i4>
      </vt:variant>
      <vt:variant>
        <vt:i4>2607</vt:i4>
      </vt:variant>
      <vt:variant>
        <vt:i4>0</vt:i4>
      </vt:variant>
      <vt:variant>
        <vt:i4>5</vt:i4>
      </vt:variant>
      <vt:variant>
        <vt:lpwstr>../Docs/R1-135911.zip</vt:lpwstr>
      </vt:variant>
      <vt:variant>
        <vt:lpwstr/>
      </vt:variant>
      <vt:variant>
        <vt:i4>4521984</vt:i4>
      </vt:variant>
      <vt:variant>
        <vt:i4>2604</vt:i4>
      </vt:variant>
      <vt:variant>
        <vt:i4>0</vt:i4>
      </vt:variant>
      <vt:variant>
        <vt:i4>5</vt:i4>
      </vt:variant>
      <vt:variant>
        <vt:lpwstr>../Docs/R1-135912.zip</vt:lpwstr>
      </vt:variant>
      <vt:variant>
        <vt:lpwstr/>
      </vt:variant>
      <vt:variant>
        <vt:i4>4521987</vt:i4>
      </vt:variant>
      <vt:variant>
        <vt:i4>2601</vt:i4>
      </vt:variant>
      <vt:variant>
        <vt:i4>0</vt:i4>
      </vt:variant>
      <vt:variant>
        <vt:i4>5</vt:i4>
      </vt:variant>
      <vt:variant>
        <vt:lpwstr>../Docs/R1-135911.zip</vt:lpwstr>
      </vt:variant>
      <vt:variant>
        <vt:lpwstr/>
      </vt:variant>
      <vt:variant>
        <vt:i4>4390922</vt:i4>
      </vt:variant>
      <vt:variant>
        <vt:i4>2598</vt:i4>
      </vt:variant>
      <vt:variant>
        <vt:i4>0</vt:i4>
      </vt:variant>
      <vt:variant>
        <vt:i4>5</vt:i4>
      </vt:variant>
      <vt:variant>
        <vt:lpwstr>../Docs/R1-135273.zip</vt:lpwstr>
      </vt:variant>
      <vt:variant>
        <vt:lpwstr/>
      </vt:variant>
      <vt:variant>
        <vt:i4>4456461</vt:i4>
      </vt:variant>
      <vt:variant>
        <vt:i4>2595</vt:i4>
      </vt:variant>
      <vt:variant>
        <vt:i4>0</vt:i4>
      </vt:variant>
      <vt:variant>
        <vt:i4>5</vt:i4>
      </vt:variant>
      <vt:variant>
        <vt:lpwstr>../Docs/R1-135305.zip</vt:lpwstr>
      </vt:variant>
      <vt:variant>
        <vt:lpwstr/>
      </vt:variant>
      <vt:variant>
        <vt:i4>4456460</vt:i4>
      </vt:variant>
      <vt:variant>
        <vt:i4>2592</vt:i4>
      </vt:variant>
      <vt:variant>
        <vt:i4>0</vt:i4>
      </vt:variant>
      <vt:variant>
        <vt:i4>5</vt:i4>
      </vt:variant>
      <vt:variant>
        <vt:lpwstr>../Docs/R1-135304.zip</vt:lpwstr>
      </vt:variant>
      <vt:variant>
        <vt:lpwstr/>
      </vt:variant>
      <vt:variant>
        <vt:i4>4325390</vt:i4>
      </vt:variant>
      <vt:variant>
        <vt:i4>2589</vt:i4>
      </vt:variant>
      <vt:variant>
        <vt:i4>0</vt:i4>
      </vt:variant>
      <vt:variant>
        <vt:i4>5</vt:i4>
      </vt:variant>
      <vt:variant>
        <vt:lpwstr>../Docs/R1-135164.zip</vt:lpwstr>
      </vt:variant>
      <vt:variant>
        <vt:lpwstr/>
      </vt:variant>
      <vt:variant>
        <vt:i4>4653066</vt:i4>
      </vt:variant>
      <vt:variant>
        <vt:i4>2586</vt:i4>
      </vt:variant>
      <vt:variant>
        <vt:i4>0</vt:i4>
      </vt:variant>
      <vt:variant>
        <vt:i4>5</vt:i4>
      </vt:variant>
      <vt:variant>
        <vt:lpwstr>../Docs/R1-135839.zip</vt:lpwstr>
      </vt:variant>
      <vt:variant>
        <vt:lpwstr/>
      </vt:variant>
      <vt:variant>
        <vt:i4>4325381</vt:i4>
      </vt:variant>
      <vt:variant>
        <vt:i4>2583</vt:i4>
      </vt:variant>
      <vt:variant>
        <vt:i4>0</vt:i4>
      </vt:variant>
      <vt:variant>
        <vt:i4>5</vt:i4>
      </vt:variant>
      <vt:variant>
        <vt:lpwstr>../Docs/R1-135668.zip</vt:lpwstr>
      </vt:variant>
      <vt:variant>
        <vt:lpwstr/>
      </vt:variant>
      <vt:variant>
        <vt:i4>4325386</vt:i4>
      </vt:variant>
      <vt:variant>
        <vt:i4>2580</vt:i4>
      </vt:variant>
      <vt:variant>
        <vt:i4>0</vt:i4>
      </vt:variant>
      <vt:variant>
        <vt:i4>5</vt:i4>
      </vt:variant>
      <vt:variant>
        <vt:lpwstr>../Docs/R1-135667.zip</vt:lpwstr>
      </vt:variant>
      <vt:variant>
        <vt:lpwstr/>
      </vt:variant>
      <vt:variant>
        <vt:i4>4456462</vt:i4>
      </vt:variant>
      <vt:variant>
        <vt:i4>2577</vt:i4>
      </vt:variant>
      <vt:variant>
        <vt:i4>0</vt:i4>
      </vt:variant>
      <vt:variant>
        <vt:i4>5</vt:i4>
      </vt:variant>
      <vt:variant>
        <vt:lpwstr>../Docs/R1-135207.zip</vt:lpwstr>
      </vt:variant>
      <vt:variant>
        <vt:lpwstr/>
      </vt:variant>
      <vt:variant>
        <vt:i4>4456459</vt:i4>
      </vt:variant>
      <vt:variant>
        <vt:i4>2574</vt:i4>
      </vt:variant>
      <vt:variant>
        <vt:i4>0</vt:i4>
      </vt:variant>
      <vt:variant>
        <vt:i4>5</vt:i4>
      </vt:variant>
      <vt:variant>
        <vt:lpwstr>../Docs/R1-136030.zip</vt:lpwstr>
      </vt:variant>
      <vt:variant>
        <vt:lpwstr/>
      </vt:variant>
      <vt:variant>
        <vt:i4>2621453</vt:i4>
      </vt:variant>
      <vt:variant>
        <vt:i4>2571</vt:i4>
      </vt:variant>
      <vt:variant>
        <vt:i4>0</vt:i4>
      </vt:variant>
      <vt:variant>
        <vt:i4>5</vt:i4>
      </vt:variant>
      <vt:variant>
        <vt:lpwstr>http://www.3gpp.org/ftp/tsg_ran/TSG_RAN/TSGR_61/Docs/RP-131369.zip</vt:lpwstr>
      </vt:variant>
      <vt:variant>
        <vt:lpwstr/>
      </vt:variant>
      <vt:variant>
        <vt:i4>4325390</vt:i4>
      </vt:variant>
      <vt:variant>
        <vt:i4>2568</vt:i4>
      </vt:variant>
      <vt:variant>
        <vt:i4>0</vt:i4>
      </vt:variant>
      <vt:variant>
        <vt:i4>5</vt:i4>
      </vt:variant>
      <vt:variant>
        <vt:lpwstr>../Docs/R1-136055.zip</vt:lpwstr>
      </vt:variant>
      <vt:variant>
        <vt:lpwstr/>
      </vt:variant>
      <vt:variant>
        <vt:i4>4521993</vt:i4>
      </vt:variant>
      <vt:variant>
        <vt:i4>2565</vt:i4>
      </vt:variant>
      <vt:variant>
        <vt:i4>0</vt:i4>
      </vt:variant>
      <vt:variant>
        <vt:i4>5</vt:i4>
      </vt:variant>
      <vt:variant>
        <vt:lpwstr>../Docs/R1-136022.zip</vt:lpwstr>
      </vt:variant>
      <vt:variant>
        <vt:lpwstr/>
      </vt:variant>
      <vt:variant>
        <vt:i4>4980737</vt:i4>
      </vt:variant>
      <vt:variant>
        <vt:i4>2562</vt:i4>
      </vt:variant>
      <vt:variant>
        <vt:i4>0</vt:i4>
      </vt:variant>
      <vt:variant>
        <vt:i4>5</vt:i4>
      </vt:variant>
      <vt:variant>
        <vt:lpwstr>../Docs/R1-135983.zip</vt:lpwstr>
      </vt:variant>
      <vt:variant>
        <vt:lpwstr/>
      </vt:variant>
      <vt:variant>
        <vt:i4>4980751</vt:i4>
      </vt:variant>
      <vt:variant>
        <vt:i4>2559</vt:i4>
      </vt:variant>
      <vt:variant>
        <vt:i4>0</vt:i4>
      </vt:variant>
      <vt:variant>
        <vt:i4>5</vt:i4>
      </vt:variant>
      <vt:variant>
        <vt:lpwstr>../Docs/R1-135581.zip</vt:lpwstr>
      </vt:variant>
      <vt:variant>
        <vt:lpwstr/>
      </vt:variant>
      <vt:variant>
        <vt:i4>4325382</vt:i4>
      </vt:variant>
      <vt:variant>
        <vt:i4>2556</vt:i4>
      </vt:variant>
      <vt:variant>
        <vt:i4>0</vt:i4>
      </vt:variant>
      <vt:variant>
        <vt:i4>5</vt:i4>
      </vt:variant>
      <vt:variant>
        <vt:lpwstr>../Docs/R1-135469.zip</vt:lpwstr>
      </vt:variant>
      <vt:variant>
        <vt:lpwstr/>
      </vt:variant>
      <vt:variant>
        <vt:i4>4194318</vt:i4>
      </vt:variant>
      <vt:variant>
        <vt:i4>2553</vt:i4>
      </vt:variant>
      <vt:variant>
        <vt:i4>0</vt:i4>
      </vt:variant>
      <vt:variant>
        <vt:i4>5</vt:i4>
      </vt:variant>
      <vt:variant>
        <vt:lpwstr>../Docs/R1-135346.zip</vt:lpwstr>
      </vt:variant>
      <vt:variant>
        <vt:lpwstr/>
      </vt:variant>
      <vt:variant>
        <vt:i4>4980746</vt:i4>
      </vt:variant>
      <vt:variant>
        <vt:i4>2550</vt:i4>
      </vt:variant>
      <vt:variant>
        <vt:i4>0</vt:i4>
      </vt:variant>
      <vt:variant>
        <vt:i4>5</vt:i4>
      </vt:variant>
      <vt:variant>
        <vt:lpwstr>../Docs/R1-135283.zip</vt:lpwstr>
      </vt:variant>
      <vt:variant>
        <vt:lpwstr/>
      </vt:variant>
      <vt:variant>
        <vt:i4>4325385</vt:i4>
      </vt:variant>
      <vt:variant>
        <vt:i4>2547</vt:i4>
      </vt:variant>
      <vt:variant>
        <vt:i4>0</vt:i4>
      </vt:variant>
      <vt:variant>
        <vt:i4>5</vt:i4>
      </vt:variant>
      <vt:variant>
        <vt:lpwstr>../Docs/R1-135163.zip</vt:lpwstr>
      </vt:variant>
      <vt:variant>
        <vt:lpwstr/>
      </vt:variant>
      <vt:variant>
        <vt:i4>4587522</vt:i4>
      </vt:variant>
      <vt:variant>
        <vt:i4>2544</vt:i4>
      </vt:variant>
      <vt:variant>
        <vt:i4>0</vt:i4>
      </vt:variant>
      <vt:variant>
        <vt:i4>5</vt:i4>
      </vt:variant>
      <vt:variant>
        <vt:lpwstr>../Docs/R1-135029.zip</vt:lpwstr>
      </vt:variant>
      <vt:variant>
        <vt:lpwstr/>
      </vt:variant>
      <vt:variant>
        <vt:i4>4980738</vt:i4>
      </vt:variant>
      <vt:variant>
        <vt:i4>2541</vt:i4>
      </vt:variant>
      <vt:variant>
        <vt:i4>0</vt:i4>
      </vt:variant>
      <vt:variant>
        <vt:i4>5</vt:i4>
      </vt:variant>
      <vt:variant>
        <vt:lpwstr>../Docs/R1-135980.zip</vt:lpwstr>
      </vt:variant>
      <vt:variant>
        <vt:lpwstr/>
      </vt:variant>
      <vt:variant>
        <vt:i4>4390916</vt:i4>
      </vt:variant>
      <vt:variant>
        <vt:i4>2538</vt:i4>
      </vt:variant>
      <vt:variant>
        <vt:i4>0</vt:i4>
      </vt:variant>
      <vt:variant>
        <vt:i4>5</vt:i4>
      </vt:variant>
      <vt:variant>
        <vt:lpwstr>../Docs/R1-135976.zip</vt:lpwstr>
      </vt:variant>
      <vt:variant>
        <vt:lpwstr/>
      </vt:variant>
      <vt:variant>
        <vt:i4>4390927</vt:i4>
      </vt:variant>
      <vt:variant>
        <vt:i4>2535</vt:i4>
      </vt:variant>
      <vt:variant>
        <vt:i4>0</vt:i4>
      </vt:variant>
      <vt:variant>
        <vt:i4>5</vt:i4>
      </vt:variant>
      <vt:variant>
        <vt:lpwstr>../Docs/R1-135672.zip</vt:lpwstr>
      </vt:variant>
      <vt:variant>
        <vt:lpwstr/>
      </vt:variant>
      <vt:variant>
        <vt:i4>4259849</vt:i4>
      </vt:variant>
      <vt:variant>
        <vt:i4>2532</vt:i4>
      </vt:variant>
      <vt:variant>
        <vt:i4>0</vt:i4>
      </vt:variant>
      <vt:variant>
        <vt:i4>5</vt:i4>
      </vt:variant>
      <vt:variant>
        <vt:lpwstr>../Docs/R1-135654.zip</vt:lpwstr>
      </vt:variant>
      <vt:variant>
        <vt:lpwstr/>
      </vt:variant>
      <vt:variant>
        <vt:i4>4653071</vt:i4>
      </vt:variant>
      <vt:variant>
        <vt:i4>2529</vt:i4>
      </vt:variant>
      <vt:variant>
        <vt:i4>0</vt:i4>
      </vt:variant>
      <vt:variant>
        <vt:i4>5</vt:i4>
      </vt:variant>
      <vt:variant>
        <vt:lpwstr>../Docs/R1-135632.zip</vt:lpwstr>
      </vt:variant>
      <vt:variant>
        <vt:lpwstr/>
      </vt:variant>
      <vt:variant>
        <vt:i4>4980750</vt:i4>
      </vt:variant>
      <vt:variant>
        <vt:i4>2526</vt:i4>
      </vt:variant>
      <vt:variant>
        <vt:i4>0</vt:i4>
      </vt:variant>
      <vt:variant>
        <vt:i4>5</vt:i4>
      </vt:variant>
      <vt:variant>
        <vt:lpwstr>../Docs/R1-135580.zip</vt:lpwstr>
      </vt:variant>
      <vt:variant>
        <vt:lpwstr/>
      </vt:variant>
      <vt:variant>
        <vt:i4>4456461</vt:i4>
      </vt:variant>
      <vt:variant>
        <vt:i4>2523</vt:i4>
      </vt:variant>
      <vt:variant>
        <vt:i4>0</vt:i4>
      </vt:variant>
      <vt:variant>
        <vt:i4>5</vt:i4>
      </vt:variant>
      <vt:variant>
        <vt:lpwstr>../Docs/R1-135503.zip</vt:lpwstr>
      </vt:variant>
      <vt:variant>
        <vt:lpwstr/>
      </vt:variant>
      <vt:variant>
        <vt:i4>4325383</vt:i4>
      </vt:variant>
      <vt:variant>
        <vt:i4>2520</vt:i4>
      </vt:variant>
      <vt:variant>
        <vt:i4>0</vt:i4>
      </vt:variant>
      <vt:variant>
        <vt:i4>5</vt:i4>
      </vt:variant>
      <vt:variant>
        <vt:lpwstr>../Docs/R1-135468.zip</vt:lpwstr>
      </vt:variant>
      <vt:variant>
        <vt:lpwstr/>
      </vt:variant>
      <vt:variant>
        <vt:i4>4456459</vt:i4>
      </vt:variant>
      <vt:variant>
        <vt:i4>2517</vt:i4>
      </vt:variant>
      <vt:variant>
        <vt:i4>0</vt:i4>
      </vt:variant>
      <vt:variant>
        <vt:i4>5</vt:i4>
      </vt:variant>
      <vt:variant>
        <vt:lpwstr>../Docs/R1-135303.zip</vt:lpwstr>
      </vt:variant>
      <vt:variant>
        <vt:lpwstr/>
      </vt:variant>
      <vt:variant>
        <vt:i4>4325384</vt:i4>
      </vt:variant>
      <vt:variant>
        <vt:i4>2514</vt:i4>
      </vt:variant>
      <vt:variant>
        <vt:i4>0</vt:i4>
      </vt:variant>
      <vt:variant>
        <vt:i4>5</vt:i4>
      </vt:variant>
      <vt:variant>
        <vt:lpwstr>../Docs/R1-135261.zip</vt:lpwstr>
      </vt:variant>
      <vt:variant>
        <vt:lpwstr/>
      </vt:variant>
      <vt:variant>
        <vt:i4>4325385</vt:i4>
      </vt:variant>
      <vt:variant>
        <vt:i4>2511</vt:i4>
      </vt:variant>
      <vt:variant>
        <vt:i4>0</vt:i4>
      </vt:variant>
      <vt:variant>
        <vt:i4>5</vt:i4>
      </vt:variant>
      <vt:variant>
        <vt:lpwstr>../Docs/R1-135260.zip</vt:lpwstr>
      </vt:variant>
      <vt:variant>
        <vt:lpwstr/>
      </vt:variant>
      <vt:variant>
        <vt:i4>4456463</vt:i4>
      </vt:variant>
      <vt:variant>
        <vt:i4>2508</vt:i4>
      </vt:variant>
      <vt:variant>
        <vt:i4>0</vt:i4>
      </vt:variant>
      <vt:variant>
        <vt:i4>5</vt:i4>
      </vt:variant>
      <vt:variant>
        <vt:lpwstr>../Docs/R1-135206.zip</vt:lpwstr>
      </vt:variant>
      <vt:variant>
        <vt:lpwstr/>
      </vt:variant>
      <vt:variant>
        <vt:i4>4325384</vt:i4>
      </vt:variant>
      <vt:variant>
        <vt:i4>2505</vt:i4>
      </vt:variant>
      <vt:variant>
        <vt:i4>0</vt:i4>
      </vt:variant>
      <vt:variant>
        <vt:i4>5</vt:i4>
      </vt:variant>
      <vt:variant>
        <vt:lpwstr>../Docs/R1-135162.zip</vt:lpwstr>
      </vt:variant>
      <vt:variant>
        <vt:lpwstr/>
      </vt:variant>
      <vt:variant>
        <vt:i4>4456450</vt:i4>
      </vt:variant>
      <vt:variant>
        <vt:i4>2502</vt:i4>
      </vt:variant>
      <vt:variant>
        <vt:i4>0</vt:i4>
      </vt:variant>
      <vt:variant>
        <vt:i4>5</vt:i4>
      </vt:variant>
      <vt:variant>
        <vt:lpwstr>../Docs/R1-135108.zip</vt:lpwstr>
      </vt:variant>
      <vt:variant>
        <vt:lpwstr/>
      </vt:variant>
      <vt:variant>
        <vt:i4>4390925</vt:i4>
      </vt:variant>
      <vt:variant>
        <vt:i4>2499</vt:i4>
      </vt:variant>
      <vt:variant>
        <vt:i4>0</vt:i4>
      </vt:variant>
      <vt:variant>
        <vt:i4>5</vt:i4>
      </vt:variant>
      <vt:variant>
        <vt:lpwstr>../Docs/R1-135076.zip</vt:lpwstr>
      </vt:variant>
      <vt:variant>
        <vt:lpwstr/>
      </vt:variant>
      <vt:variant>
        <vt:i4>4587523</vt:i4>
      </vt:variant>
      <vt:variant>
        <vt:i4>2496</vt:i4>
      </vt:variant>
      <vt:variant>
        <vt:i4>0</vt:i4>
      </vt:variant>
      <vt:variant>
        <vt:i4>5</vt:i4>
      </vt:variant>
      <vt:variant>
        <vt:lpwstr>../Docs/R1-135028.zip</vt:lpwstr>
      </vt:variant>
      <vt:variant>
        <vt:lpwstr/>
      </vt:variant>
      <vt:variant>
        <vt:i4>4259854</vt:i4>
      </vt:variant>
      <vt:variant>
        <vt:i4>2493</vt:i4>
      </vt:variant>
      <vt:variant>
        <vt:i4>0</vt:i4>
      </vt:variant>
      <vt:variant>
        <vt:i4>5</vt:i4>
      </vt:variant>
      <vt:variant>
        <vt:lpwstr>../Docs/R1-135653.zip</vt:lpwstr>
      </vt:variant>
      <vt:variant>
        <vt:lpwstr/>
      </vt:variant>
      <vt:variant>
        <vt:i4>4390927</vt:i4>
      </vt:variant>
      <vt:variant>
        <vt:i4>2490</vt:i4>
      </vt:variant>
      <vt:variant>
        <vt:i4>0</vt:i4>
      </vt:variant>
      <vt:variant>
        <vt:i4>5</vt:i4>
      </vt:variant>
      <vt:variant>
        <vt:lpwstr>../Docs/R1-134561.zip</vt:lpwstr>
      </vt:variant>
      <vt:variant>
        <vt:lpwstr/>
      </vt:variant>
      <vt:variant>
        <vt:i4>4456463</vt:i4>
      </vt:variant>
      <vt:variant>
        <vt:i4>2487</vt:i4>
      </vt:variant>
      <vt:variant>
        <vt:i4>0</vt:i4>
      </vt:variant>
      <vt:variant>
        <vt:i4>5</vt:i4>
      </vt:variant>
      <vt:variant>
        <vt:lpwstr>../Docs/R1-135602.zip</vt:lpwstr>
      </vt:variant>
      <vt:variant>
        <vt:lpwstr/>
      </vt:variant>
      <vt:variant>
        <vt:i4>4390919</vt:i4>
      </vt:variant>
      <vt:variant>
        <vt:i4>2484</vt:i4>
      </vt:variant>
      <vt:variant>
        <vt:i4>0</vt:i4>
      </vt:variant>
      <vt:variant>
        <vt:i4>5</vt:i4>
      </vt:variant>
      <vt:variant>
        <vt:lpwstr>../Docs/R1-135579.zip</vt:lpwstr>
      </vt:variant>
      <vt:variant>
        <vt:lpwstr/>
      </vt:variant>
      <vt:variant>
        <vt:i4>4325384</vt:i4>
      </vt:variant>
      <vt:variant>
        <vt:i4>2481</vt:i4>
      </vt:variant>
      <vt:variant>
        <vt:i4>0</vt:i4>
      </vt:variant>
      <vt:variant>
        <vt:i4>5</vt:i4>
      </vt:variant>
      <vt:variant>
        <vt:lpwstr>../Docs/R1-135467.zip</vt:lpwstr>
      </vt:variant>
      <vt:variant>
        <vt:lpwstr/>
      </vt:variant>
      <vt:variant>
        <vt:i4>4194319</vt:i4>
      </vt:variant>
      <vt:variant>
        <vt:i4>2478</vt:i4>
      </vt:variant>
      <vt:variant>
        <vt:i4>0</vt:i4>
      </vt:variant>
      <vt:variant>
        <vt:i4>5</vt:i4>
      </vt:variant>
      <vt:variant>
        <vt:lpwstr>../Docs/R1-135347.zip</vt:lpwstr>
      </vt:variant>
      <vt:variant>
        <vt:lpwstr/>
      </vt:variant>
      <vt:variant>
        <vt:i4>4456458</vt:i4>
      </vt:variant>
      <vt:variant>
        <vt:i4>2475</vt:i4>
      </vt:variant>
      <vt:variant>
        <vt:i4>0</vt:i4>
      </vt:variant>
      <vt:variant>
        <vt:i4>5</vt:i4>
      </vt:variant>
      <vt:variant>
        <vt:lpwstr>../Docs/R1-135302.zip</vt:lpwstr>
      </vt:variant>
      <vt:variant>
        <vt:lpwstr/>
      </vt:variant>
      <vt:variant>
        <vt:i4>4980747</vt:i4>
      </vt:variant>
      <vt:variant>
        <vt:i4>2472</vt:i4>
      </vt:variant>
      <vt:variant>
        <vt:i4>0</vt:i4>
      </vt:variant>
      <vt:variant>
        <vt:i4>5</vt:i4>
      </vt:variant>
      <vt:variant>
        <vt:lpwstr>../Docs/R1-135282.zip</vt:lpwstr>
      </vt:variant>
      <vt:variant>
        <vt:lpwstr/>
      </vt:variant>
      <vt:variant>
        <vt:i4>4456460</vt:i4>
      </vt:variant>
      <vt:variant>
        <vt:i4>2469</vt:i4>
      </vt:variant>
      <vt:variant>
        <vt:i4>0</vt:i4>
      </vt:variant>
      <vt:variant>
        <vt:i4>5</vt:i4>
      </vt:variant>
      <vt:variant>
        <vt:lpwstr>../Docs/R1-135205.zip</vt:lpwstr>
      </vt:variant>
      <vt:variant>
        <vt:lpwstr/>
      </vt:variant>
      <vt:variant>
        <vt:i4>4325387</vt:i4>
      </vt:variant>
      <vt:variant>
        <vt:i4>2466</vt:i4>
      </vt:variant>
      <vt:variant>
        <vt:i4>0</vt:i4>
      </vt:variant>
      <vt:variant>
        <vt:i4>5</vt:i4>
      </vt:variant>
      <vt:variant>
        <vt:lpwstr>../Docs/R1-135161.zip</vt:lpwstr>
      </vt:variant>
      <vt:variant>
        <vt:lpwstr/>
      </vt:variant>
      <vt:variant>
        <vt:i4>4653068</vt:i4>
      </vt:variant>
      <vt:variant>
        <vt:i4>2463</vt:i4>
      </vt:variant>
      <vt:variant>
        <vt:i4>0</vt:i4>
      </vt:variant>
      <vt:variant>
        <vt:i4>5</vt:i4>
      </vt:variant>
      <vt:variant>
        <vt:lpwstr>../Docs/R1-135136.zip</vt:lpwstr>
      </vt:variant>
      <vt:variant>
        <vt:lpwstr/>
      </vt:variant>
      <vt:variant>
        <vt:i4>4456461</vt:i4>
      </vt:variant>
      <vt:variant>
        <vt:i4>2460</vt:i4>
      </vt:variant>
      <vt:variant>
        <vt:i4>0</vt:i4>
      </vt:variant>
      <vt:variant>
        <vt:i4>5</vt:i4>
      </vt:variant>
      <vt:variant>
        <vt:lpwstr>../Docs/R1-135107.zip</vt:lpwstr>
      </vt:variant>
      <vt:variant>
        <vt:lpwstr/>
      </vt:variant>
      <vt:variant>
        <vt:i4>4587532</vt:i4>
      </vt:variant>
      <vt:variant>
        <vt:i4>2457</vt:i4>
      </vt:variant>
      <vt:variant>
        <vt:i4>0</vt:i4>
      </vt:variant>
      <vt:variant>
        <vt:i4>5</vt:i4>
      </vt:variant>
      <vt:variant>
        <vt:lpwstr>../Docs/R1-135027.zip</vt:lpwstr>
      </vt:variant>
      <vt:variant>
        <vt:lpwstr/>
      </vt:variant>
      <vt:variant>
        <vt:i4>4980744</vt:i4>
      </vt:variant>
      <vt:variant>
        <vt:i4>2454</vt:i4>
      </vt:variant>
      <vt:variant>
        <vt:i4>0</vt:i4>
      </vt:variant>
      <vt:variant>
        <vt:i4>5</vt:i4>
      </vt:variant>
      <vt:variant>
        <vt:lpwstr>../Docs/R1-135281.zip</vt:lpwstr>
      </vt:variant>
      <vt:variant>
        <vt:lpwstr/>
      </vt:variant>
      <vt:variant>
        <vt:i4>4521986</vt:i4>
      </vt:variant>
      <vt:variant>
        <vt:i4>2451</vt:i4>
      </vt:variant>
      <vt:variant>
        <vt:i4>0</vt:i4>
      </vt:variant>
      <vt:variant>
        <vt:i4>5</vt:i4>
      </vt:variant>
      <vt:variant>
        <vt:lpwstr>../Docs/R1-136029.zip</vt:lpwstr>
      </vt:variant>
      <vt:variant>
        <vt:lpwstr/>
      </vt:variant>
      <vt:variant>
        <vt:i4>2686984</vt:i4>
      </vt:variant>
      <vt:variant>
        <vt:i4>2448</vt:i4>
      </vt:variant>
      <vt:variant>
        <vt:i4>0</vt:i4>
      </vt:variant>
      <vt:variant>
        <vt:i4>5</vt:i4>
      </vt:variant>
      <vt:variant>
        <vt:lpwstr>http://www.3gpp.org/ftp/tsg_ran/TSG_RAN/TSGR_60/Docs/RP-130833.zip</vt:lpwstr>
      </vt:variant>
      <vt:variant>
        <vt:lpwstr/>
      </vt:variant>
      <vt:variant>
        <vt:i4>4653058</vt:i4>
      </vt:variant>
      <vt:variant>
        <vt:i4>2445</vt:i4>
      </vt:variant>
      <vt:variant>
        <vt:i4>0</vt:i4>
      </vt:variant>
      <vt:variant>
        <vt:i4>5</vt:i4>
      </vt:variant>
      <vt:variant>
        <vt:lpwstr>../Docs/R1-136009.zip</vt:lpwstr>
      </vt:variant>
      <vt:variant>
        <vt:lpwstr/>
      </vt:variant>
      <vt:variant>
        <vt:i4>4653064</vt:i4>
      </vt:variant>
      <vt:variant>
        <vt:i4>2439</vt:i4>
      </vt:variant>
      <vt:variant>
        <vt:i4>0</vt:i4>
      </vt:variant>
      <vt:variant>
        <vt:i4>5</vt:i4>
      </vt:variant>
      <vt:variant>
        <vt:lpwstr>../Docs/R1-136003.zip</vt:lpwstr>
      </vt:variant>
      <vt:variant>
        <vt:lpwstr/>
      </vt:variant>
      <vt:variant>
        <vt:i4>4259840</vt:i4>
      </vt:variant>
      <vt:variant>
        <vt:i4>2436</vt:i4>
      </vt:variant>
      <vt:variant>
        <vt:i4>0</vt:i4>
      </vt:variant>
      <vt:variant>
        <vt:i4>5</vt:i4>
      </vt:variant>
      <vt:variant>
        <vt:lpwstr>../Docs/R1-135259.zip</vt:lpwstr>
      </vt:variant>
      <vt:variant>
        <vt:lpwstr/>
      </vt:variant>
      <vt:variant>
        <vt:i4>4653062</vt:i4>
      </vt:variant>
      <vt:variant>
        <vt:i4>2433</vt:i4>
      </vt:variant>
      <vt:variant>
        <vt:i4>0</vt:i4>
      </vt:variant>
      <vt:variant>
        <vt:i4>5</vt:i4>
      </vt:variant>
      <vt:variant>
        <vt:lpwstr>../Docs/R1-135835.zip</vt:lpwstr>
      </vt:variant>
      <vt:variant>
        <vt:lpwstr/>
      </vt:variant>
      <vt:variant>
        <vt:i4>4194314</vt:i4>
      </vt:variant>
      <vt:variant>
        <vt:i4>2430</vt:i4>
      </vt:variant>
      <vt:variant>
        <vt:i4>0</vt:i4>
      </vt:variant>
      <vt:variant>
        <vt:i4>5</vt:i4>
      </vt:variant>
      <vt:variant>
        <vt:lpwstr>../Docs/R1-135243.zip</vt:lpwstr>
      </vt:variant>
      <vt:variant>
        <vt:lpwstr/>
      </vt:variant>
      <vt:variant>
        <vt:i4>4521984</vt:i4>
      </vt:variant>
      <vt:variant>
        <vt:i4>2427</vt:i4>
      </vt:variant>
      <vt:variant>
        <vt:i4>0</vt:i4>
      </vt:variant>
      <vt:variant>
        <vt:i4>5</vt:i4>
      </vt:variant>
      <vt:variant>
        <vt:lpwstr>../Docs/R1-135813.zip</vt:lpwstr>
      </vt:variant>
      <vt:variant>
        <vt:lpwstr/>
      </vt:variant>
      <vt:variant>
        <vt:i4>4390920</vt:i4>
      </vt:variant>
      <vt:variant>
        <vt:i4>2424</vt:i4>
      </vt:variant>
      <vt:variant>
        <vt:i4>0</vt:i4>
      </vt:variant>
      <vt:variant>
        <vt:i4>5</vt:i4>
      </vt:variant>
      <vt:variant>
        <vt:lpwstr>../Docs/R1-135774.zip</vt:lpwstr>
      </vt:variant>
      <vt:variant>
        <vt:lpwstr/>
      </vt:variant>
      <vt:variant>
        <vt:i4>4259855</vt:i4>
      </vt:variant>
      <vt:variant>
        <vt:i4>2421</vt:i4>
      </vt:variant>
      <vt:variant>
        <vt:i4>0</vt:i4>
      </vt:variant>
      <vt:variant>
        <vt:i4>5</vt:i4>
      </vt:variant>
      <vt:variant>
        <vt:lpwstr>../Docs/R1-135652.zip</vt:lpwstr>
      </vt:variant>
      <vt:variant>
        <vt:lpwstr/>
      </vt:variant>
      <vt:variant>
        <vt:i4>4259852</vt:i4>
      </vt:variant>
      <vt:variant>
        <vt:i4>2418</vt:i4>
      </vt:variant>
      <vt:variant>
        <vt:i4>0</vt:i4>
      </vt:variant>
      <vt:variant>
        <vt:i4>5</vt:i4>
      </vt:variant>
      <vt:variant>
        <vt:lpwstr>../Docs/R1-135651.zip</vt:lpwstr>
      </vt:variant>
      <vt:variant>
        <vt:lpwstr/>
      </vt:variant>
      <vt:variant>
        <vt:i4>4259853</vt:i4>
      </vt:variant>
      <vt:variant>
        <vt:i4>2415</vt:i4>
      </vt:variant>
      <vt:variant>
        <vt:i4>0</vt:i4>
      </vt:variant>
      <vt:variant>
        <vt:i4>5</vt:i4>
      </vt:variant>
      <vt:variant>
        <vt:lpwstr>../Docs/R1-135650.zip</vt:lpwstr>
      </vt:variant>
      <vt:variant>
        <vt:lpwstr/>
      </vt:variant>
      <vt:variant>
        <vt:i4>4194308</vt:i4>
      </vt:variant>
      <vt:variant>
        <vt:i4>2412</vt:i4>
      </vt:variant>
      <vt:variant>
        <vt:i4>0</vt:i4>
      </vt:variant>
      <vt:variant>
        <vt:i4>5</vt:i4>
      </vt:variant>
      <vt:variant>
        <vt:lpwstr>../Docs/R1-135649.zip</vt:lpwstr>
      </vt:variant>
      <vt:variant>
        <vt:lpwstr/>
      </vt:variant>
      <vt:variant>
        <vt:i4>4653069</vt:i4>
      </vt:variant>
      <vt:variant>
        <vt:i4>2409</vt:i4>
      </vt:variant>
      <vt:variant>
        <vt:i4>0</vt:i4>
      </vt:variant>
      <vt:variant>
        <vt:i4>5</vt:i4>
      </vt:variant>
      <vt:variant>
        <vt:lpwstr>../Docs/R1-135630.zip</vt:lpwstr>
      </vt:variant>
      <vt:variant>
        <vt:lpwstr/>
      </vt:variant>
      <vt:variant>
        <vt:i4>4587524</vt:i4>
      </vt:variant>
      <vt:variant>
        <vt:i4>2406</vt:i4>
      </vt:variant>
      <vt:variant>
        <vt:i4>0</vt:i4>
      </vt:variant>
      <vt:variant>
        <vt:i4>5</vt:i4>
      </vt:variant>
      <vt:variant>
        <vt:lpwstr>../Docs/R1-135629.zip</vt:lpwstr>
      </vt:variant>
      <vt:variant>
        <vt:lpwstr/>
      </vt:variant>
      <vt:variant>
        <vt:i4>4587525</vt:i4>
      </vt:variant>
      <vt:variant>
        <vt:i4>2403</vt:i4>
      </vt:variant>
      <vt:variant>
        <vt:i4>0</vt:i4>
      </vt:variant>
      <vt:variant>
        <vt:i4>5</vt:i4>
      </vt:variant>
      <vt:variant>
        <vt:lpwstr>../Docs/R1-135628.zip</vt:lpwstr>
      </vt:variant>
      <vt:variant>
        <vt:lpwstr/>
      </vt:variant>
      <vt:variant>
        <vt:i4>4521992</vt:i4>
      </vt:variant>
      <vt:variant>
        <vt:i4>2400</vt:i4>
      </vt:variant>
      <vt:variant>
        <vt:i4>0</vt:i4>
      </vt:variant>
      <vt:variant>
        <vt:i4>5</vt:i4>
      </vt:variant>
      <vt:variant>
        <vt:lpwstr>../Docs/R1-135615.zip</vt:lpwstr>
      </vt:variant>
      <vt:variant>
        <vt:lpwstr/>
      </vt:variant>
      <vt:variant>
        <vt:i4>4390918</vt:i4>
      </vt:variant>
      <vt:variant>
        <vt:i4>2397</vt:i4>
      </vt:variant>
      <vt:variant>
        <vt:i4>0</vt:i4>
      </vt:variant>
      <vt:variant>
        <vt:i4>5</vt:i4>
      </vt:variant>
      <vt:variant>
        <vt:lpwstr>../Docs/R1-135578.zip</vt:lpwstr>
      </vt:variant>
      <vt:variant>
        <vt:lpwstr/>
      </vt:variant>
      <vt:variant>
        <vt:i4>4259848</vt:i4>
      </vt:variant>
      <vt:variant>
        <vt:i4>2394</vt:i4>
      </vt:variant>
      <vt:variant>
        <vt:i4>0</vt:i4>
      </vt:variant>
      <vt:variant>
        <vt:i4>5</vt:i4>
      </vt:variant>
      <vt:variant>
        <vt:lpwstr>../Docs/R1-135556.zip</vt:lpwstr>
      </vt:variant>
      <vt:variant>
        <vt:lpwstr/>
      </vt:variant>
      <vt:variant>
        <vt:i4>4521996</vt:i4>
      </vt:variant>
      <vt:variant>
        <vt:i4>2391</vt:i4>
      </vt:variant>
      <vt:variant>
        <vt:i4>0</vt:i4>
      </vt:variant>
      <vt:variant>
        <vt:i4>5</vt:i4>
      </vt:variant>
      <vt:variant>
        <vt:lpwstr>../Docs/R1-135512.zip</vt:lpwstr>
      </vt:variant>
      <vt:variant>
        <vt:lpwstr/>
      </vt:variant>
      <vt:variant>
        <vt:i4>4325385</vt:i4>
      </vt:variant>
      <vt:variant>
        <vt:i4>2388</vt:i4>
      </vt:variant>
      <vt:variant>
        <vt:i4>0</vt:i4>
      </vt:variant>
      <vt:variant>
        <vt:i4>5</vt:i4>
      </vt:variant>
      <vt:variant>
        <vt:lpwstr>../Docs/R1-135466.zip</vt:lpwstr>
      </vt:variant>
      <vt:variant>
        <vt:lpwstr/>
      </vt:variant>
      <vt:variant>
        <vt:i4>4325386</vt:i4>
      </vt:variant>
      <vt:variant>
        <vt:i4>2385</vt:i4>
      </vt:variant>
      <vt:variant>
        <vt:i4>0</vt:i4>
      </vt:variant>
      <vt:variant>
        <vt:i4>5</vt:i4>
      </vt:variant>
      <vt:variant>
        <vt:lpwstr>../Docs/R1-135465.zip</vt:lpwstr>
      </vt:variant>
      <vt:variant>
        <vt:lpwstr/>
      </vt:variant>
      <vt:variant>
        <vt:i4>4325387</vt:i4>
      </vt:variant>
      <vt:variant>
        <vt:i4>2382</vt:i4>
      </vt:variant>
      <vt:variant>
        <vt:i4>0</vt:i4>
      </vt:variant>
      <vt:variant>
        <vt:i4>5</vt:i4>
      </vt:variant>
      <vt:variant>
        <vt:lpwstr>../Docs/R1-135464.zip</vt:lpwstr>
      </vt:variant>
      <vt:variant>
        <vt:lpwstr/>
      </vt:variant>
      <vt:variant>
        <vt:i4>4325388</vt:i4>
      </vt:variant>
      <vt:variant>
        <vt:i4>2379</vt:i4>
      </vt:variant>
      <vt:variant>
        <vt:i4>0</vt:i4>
      </vt:variant>
      <vt:variant>
        <vt:i4>5</vt:i4>
      </vt:variant>
      <vt:variant>
        <vt:lpwstr>../Docs/R1-135463.zip</vt:lpwstr>
      </vt:variant>
      <vt:variant>
        <vt:lpwstr/>
      </vt:variant>
      <vt:variant>
        <vt:i4>4194312</vt:i4>
      </vt:variant>
      <vt:variant>
        <vt:i4>2376</vt:i4>
      </vt:variant>
      <vt:variant>
        <vt:i4>0</vt:i4>
      </vt:variant>
      <vt:variant>
        <vt:i4>5</vt:i4>
      </vt:variant>
      <vt:variant>
        <vt:lpwstr>../Docs/R1-135447.zip</vt:lpwstr>
      </vt:variant>
      <vt:variant>
        <vt:lpwstr/>
      </vt:variant>
      <vt:variant>
        <vt:i4>4194316</vt:i4>
      </vt:variant>
      <vt:variant>
        <vt:i4>2373</vt:i4>
      </vt:variant>
      <vt:variant>
        <vt:i4>0</vt:i4>
      </vt:variant>
      <vt:variant>
        <vt:i4>5</vt:i4>
      </vt:variant>
      <vt:variant>
        <vt:lpwstr>../Docs/R1-135443.zip</vt:lpwstr>
      </vt:variant>
      <vt:variant>
        <vt:lpwstr/>
      </vt:variant>
      <vt:variant>
        <vt:i4>4194317</vt:i4>
      </vt:variant>
      <vt:variant>
        <vt:i4>2370</vt:i4>
      </vt:variant>
      <vt:variant>
        <vt:i4>0</vt:i4>
      </vt:variant>
      <vt:variant>
        <vt:i4>5</vt:i4>
      </vt:variant>
      <vt:variant>
        <vt:lpwstr>../Docs/R1-135442.zip</vt:lpwstr>
      </vt:variant>
      <vt:variant>
        <vt:lpwstr/>
      </vt:variant>
      <vt:variant>
        <vt:i4>4653071</vt:i4>
      </vt:variant>
      <vt:variant>
        <vt:i4>2367</vt:i4>
      </vt:variant>
      <vt:variant>
        <vt:i4>0</vt:i4>
      </vt:variant>
      <vt:variant>
        <vt:i4>5</vt:i4>
      </vt:variant>
      <vt:variant>
        <vt:lpwstr>../Docs/R1-135430.zip</vt:lpwstr>
      </vt:variant>
      <vt:variant>
        <vt:lpwstr/>
      </vt:variant>
      <vt:variant>
        <vt:i4>4587526</vt:i4>
      </vt:variant>
      <vt:variant>
        <vt:i4>2364</vt:i4>
      </vt:variant>
      <vt:variant>
        <vt:i4>0</vt:i4>
      </vt:variant>
      <vt:variant>
        <vt:i4>5</vt:i4>
      </vt:variant>
      <vt:variant>
        <vt:lpwstr>../Docs/R1-135429.zip</vt:lpwstr>
      </vt:variant>
      <vt:variant>
        <vt:lpwstr/>
      </vt:variant>
      <vt:variant>
        <vt:i4>4980747</vt:i4>
      </vt:variant>
      <vt:variant>
        <vt:i4>2361</vt:i4>
      </vt:variant>
      <vt:variant>
        <vt:i4>0</vt:i4>
      </vt:variant>
      <vt:variant>
        <vt:i4>5</vt:i4>
      </vt:variant>
      <vt:variant>
        <vt:lpwstr>../Docs/R1-135383.zip</vt:lpwstr>
      </vt:variant>
      <vt:variant>
        <vt:lpwstr/>
      </vt:variant>
      <vt:variant>
        <vt:i4>4194317</vt:i4>
      </vt:variant>
      <vt:variant>
        <vt:i4>2358</vt:i4>
      </vt:variant>
      <vt:variant>
        <vt:i4>0</vt:i4>
      </vt:variant>
      <vt:variant>
        <vt:i4>5</vt:i4>
      </vt:variant>
      <vt:variant>
        <vt:lpwstr>../Docs/R1-135345.zip</vt:lpwstr>
      </vt:variant>
      <vt:variant>
        <vt:lpwstr/>
      </vt:variant>
      <vt:variant>
        <vt:i4>4194316</vt:i4>
      </vt:variant>
      <vt:variant>
        <vt:i4>2355</vt:i4>
      </vt:variant>
      <vt:variant>
        <vt:i4>0</vt:i4>
      </vt:variant>
      <vt:variant>
        <vt:i4>5</vt:i4>
      </vt:variant>
      <vt:variant>
        <vt:lpwstr>../Docs/R1-135344.zip</vt:lpwstr>
      </vt:variant>
      <vt:variant>
        <vt:lpwstr/>
      </vt:variant>
      <vt:variant>
        <vt:i4>4194315</vt:i4>
      </vt:variant>
      <vt:variant>
        <vt:i4>2352</vt:i4>
      </vt:variant>
      <vt:variant>
        <vt:i4>0</vt:i4>
      </vt:variant>
      <vt:variant>
        <vt:i4>5</vt:i4>
      </vt:variant>
      <vt:variant>
        <vt:lpwstr>../Docs/R1-135343.zip</vt:lpwstr>
      </vt:variant>
      <vt:variant>
        <vt:lpwstr/>
      </vt:variant>
      <vt:variant>
        <vt:i4>4456457</vt:i4>
      </vt:variant>
      <vt:variant>
        <vt:i4>2349</vt:i4>
      </vt:variant>
      <vt:variant>
        <vt:i4>0</vt:i4>
      </vt:variant>
      <vt:variant>
        <vt:i4>5</vt:i4>
      </vt:variant>
      <vt:variant>
        <vt:lpwstr>../Docs/R1-135301.zip</vt:lpwstr>
      </vt:variant>
      <vt:variant>
        <vt:lpwstr/>
      </vt:variant>
      <vt:variant>
        <vt:i4>4390925</vt:i4>
      </vt:variant>
      <vt:variant>
        <vt:i4>2346</vt:i4>
      </vt:variant>
      <vt:variant>
        <vt:i4>0</vt:i4>
      </vt:variant>
      <vt:variant>
        <vt:i4>5</vt:i4>
      </vt:variant>
      <vt:variant>
        <vt:lpwstr>../Docs/R1-135274.zip</vt:lpwstr>
      </vt:variant>
      <vt:variant>
        <vt:lpwstr/>
      </vt:variant>
      <vt:variant>
        <vt:i4>4259841</vt:i4>
      </vt:variant>
      <vt:variant>
        <vt:i4>2343</vt:i4>
      </vt:variant>
      <vt:variant>
        <vt:i4>0</vt:i4>
      </vt:variant>
      <vt:variant>
        <vt:i4>5</vt:i4>
      </vt:variant>
      <vt:variant>
        <vt:lpwstr>../Docs/R1-135258.zip</vt:lpwstr>
      </vt:variant>
      <vt:variant>
        <vt:lpwstr/>
      </vt:variant>
      <vt:variant>
        <vt:i4>4456461</vt:i4>
      </vt:variant>
      <vt:variant>
        <vt:i4>2340</vt:i4>
      </vt:variant>
      <vt:variant>
        <vt:i4>0</vt:i4>
      </vt:variant>
      <vt:variant>
        <vt:i4>5</vt:i4>
      </vt:variant>
      <vt:variant>
        <vt:lpwstr>../Docs/R1-135204.zip</vt:lpwstr>
      </vt:variant>
      <vt:variant>
        <vt:lpwstr/>
      </vt:variant>
      <vt:variant>
        <vt:i4>4456458</vt:i4>
      </vt:variant>
      <vt:variant>
        <vt:i4>2337</vt:i4>
      </vt:variant>
      <vt:variant>
        <vt:i4>0</vt:i4>
      </vt:variant>
      <vt:variant>
        <vt:i4>5</vt:i4>
      </vt:variant>
      <vt:variant>
        <vt:lpwstr>../Docs/R1-135203.zip</vt:lpwstr>
      </vt:variant>
      <vt:variant>
        <vt:lpwstr/>
      </vt:variant>
      <vt:variant>
        <vt:i4>4456459</vt:i4>
      </vt:variant>
      <vt:variant>
        <vt:i4>2334</vt:i4>
      </vt:variant>
      <vt:variant>
        <vt:i4>0</vt:i4>
      </vt:variant>
      <vt:variant>
        <vt:i4>5</vt:i4>
      </vt:variant>
      <vt:variant>
        <vt:lpwstr>../Docs/R1-135202.zip</vt:lpwstr>
      </vt:variant>
      <vt:variant>
        <vt:lpwstr/>
      </vt:variant>
      <vt:variant>
        <vt:i4>4456456</vt:i4>
      </vt:variant>
      <vt:variant>
        <vt:i4>2331</vt:i4>
      </vt:variant>
      <vt:variant>
        <vt:i4>0</vt:i4>
      </vt:variant>
      <vt:variant>
        <vt:i4>5</vt:i4>
      </vt:variant>
      <vt:variant>
        <vt:lpwstr>../Docs/R1-135201.zip</vt:lpwstr>
      </vt:variant>
      <vt:variant>
        <vt:lpwstr/>
      </vt:variant>
      <vt:variant>
        <vt:i4>4325386</vt:i4>
      </vt:variant>
      <vt:variant>
        <vt:i4>2328</vt:i4>
      </vt:variant>
      <vt:variant>
        <vt:i4>0</vt:i4>
      </vt:variant>
      <vt:variant>
        <vt:i4>5</vt:i4>
      </vt:variant>
      <vt:variant>
        <vt:lpwstr>../Docs/R1-135160.zip</vt:lpwstr>
      </vt:variant>
      <vt:variant>
        <vt:lpwstr/>
      </vt:variant>
      <vt:variant>
        <vt:i4>4456460</vt:i4>
      </vt:variant>
      <vt:variant>
        <vt:i4>2325</vt:i4>
      </vt:variant>
      <vt:variant>
        <vt:i4>0</vt:i4>
      </vt:variant>
      <vt:variant>
        <vt:i4>5</vt:i4>
      </vt:variant>
      <vt:variant>
        <vt:lpwstr>../Docs/R1-135106.zip</vt:lpwstr>
      </vt:variant>
      <vt:variant>
        <vt:lpwstr/>
      </vt:variant>
      <vt:variant>
        <vt:i4>4390926</vt:i4>
      </vt:variant>
      <vt:variant>
        <vt:i4>2322</vt:i4>
      </vt:variant>
      <vt:variant>
        <vt:i4>0</vt:i4>
      </vt:variant>
      <vt:variant>
        <vt:i4>5</vt:i4>
      </vt:variant>
      <vt:variant>
        <vt:lpwstr>../Docs/R1-135075.zip</vt:lpwstr>
      </vt:variant>
      <vt:variant>
        <vt:lpwstr/>
      </vt:variant>
      <vt:variant>
        <vt:i4>4390927</vt:i4>
      </vt:variant>
      <vt:variant>
        <vt:i4>2319</vt:i4>
      </vt:variant>
      <vt:variant>
        <vt:i4>0</vt:i4>
      </vt:variant>
      <vt:variant>
        <vt:i4>5</vt:i4>
      </vt:variant>
      <vt:variant>
        <vt:lpwstr>../Docs/R1-135074.zip</vt:lpwstr>
      </vt:variant>
      <vt:variant>
        <vt:lpwstr/>
      </vt:variant>
      <vt:variant>
        <vt:i4>4390920</vt:i4>
      </vt:variant>
      <vt:variant>
        <vt:i4>2316</vt:i4>
      </vt:variant>
      <vt:variant>
        <vt:i4>0</vt:i4>
      </vt:variant>
      <vt:variant>
        <vt:i4>5</vt:i4>
      </vt:variant>
      <vt:variant>
        <vt:lpwstr>../Docs/R1-135073.zip</vt:lpwstr>
      </vt:variant>
      <vt:variant>
        <vt:lpwstr/>
      </vt:variant>
      <vt:variant>
        <vt:i4>4390921</vt:i4>
      </vt:variant>
      <vt:variant>
        <vt:i4>2313</vt:i4>
      </vt:variant>
      <vt:variant>
        <vt:i4>0</vt:i4>
      </vt:variant>
      <vt:variant>
        <vt:i4>5</vt:i4>
      </vt:variant>
      <vt:variant>
        <vt:lpwstr>../Docs/R1-135072.zip</vt:lpwstr>
      </vt:variant>
      <vt:variant>
        <vt:lpwstr/>
      </vt:variant>
      <vt:variant>
        <vt:i4>4390922</vt:i4>
      </vt:variant>
      <vt:variant>
        <vt:i4>2310</vt:i4>
      </vt:variant>
      <vt:variant>
        <vt:i4>0</vt:i4>
      </vt:variant>
      <vt:variant>
        <vt:i4>5</vt:i4>
      </vt:variant>
      <vt:variant>
        <vt:lpwstr>../Docs/R1-135071.zip</vt:lpwstr>
      </vt:variant>
      <vt:variant>
        <vt:lpwstr/>
      </vt:variant>
      <vt:variant>
        <vt:i4>4390923</vt:i4>
      </vt:variant>
      <vt:variant>
        <vt:i4>2307</vt:i4>
      </vt:variant>
      <vt:variant>
        <vt:i4>0</vt:i4>
      </vt:variant>
      <vt:variant>
        <vt:i4>5</vt:i4>
      </vt:variant>
      <vt:variant>
        <vt:lpwstr>../Docs/R1-135070.zip</vt:lpwstr>
      </vt:variant>
      <vt:variant>
        <vt:lpwstr/>
      </vt:variant>
      <vt:variant>
        <vt:i4>4587533</vt:i4>
      </vt:variant>
      <vt:variant>
        <vt:i4>2304</vt:i4>
      </vt:variant>
      <vt:variant>
        <vt:i4>0</vt:i4>
      </vt:variant>
      <vt:variant>
        <vt:i4>5</vt:i4>
      </vt:variant>
      <vt:variant>
        <vt:lpwstr>../Docs/R1-135026.zip</vt:lpwstr>
      </vt:variant>
      <vt:variant>
        <vt:lpwstr/>
      </vt:variant>
      <vt:variant>
        <vt:i4>4587534</vt:i4>
      </vt:variant>
      <vt:variant>
        <vt:i4>2301</vt:i4>
      </vt:variant>
      <vt:variant>
        <vt:i4>0</vt:i4>
      </vt:variant>
      <vt:variant>
        <vt:i4>5</vt:i4>
      </vt:variant>
      <vt:variant>
        <vt:lpwstr>../Docs/R1-135025.zip</vt:lpwstr>
      </vt:variant>
      <vt:variant>
        <vt:lpwstr/>
      </vt:variant>
      <vt:variant>
        <vt:i4>4587535</vt:i4>
      </vt:variant>
      <vt:variant>
        <vt:i4>2298</vt:i4>
      </vt:variant>
      <vt:variant>
        <vt:i4>0</vt:i4>
      </vt:variant>
      <vt:variant>
        <vt:i4>5</vt:i4>
      </vt:variant>
      <vt:variant>
        <vt:lpwstr>../Docs/R1-135024.zip</vt:lpwstr>
      </vt:variant>
      <vt:variant>
        <vt:lpwstr/>
      </vt:variant>
      <vt:variant>
        <vt:i4>4587528</vt:i4>
      </vt:variant>
      <vt:variant>
        <vt:i4>2295</vt:i4>
      </vt:variant>
      <vt:variant>
        <vt:i4>0</vt:i4>
      </vt:variant>
      <vt:variant>
        <vt:i4>5</vt:i4>
      </vt:variant>
      <vt:variant>
        <vt:lpwstr>../Docs/R1-135023.zip</vt:lpwstr>
      </vt:variant>
      <vt:variant>
        <vt:lpwstr/>
      </vt:variant>
      <vt:variant>
        <vt:i4>4521999</vt:i4>
      </vt:variant>
      <vt:variant>
        <vt:i4>2292</vt:i4>
      </vt:variant>
      <vt:variant>
        <vt:i4>0</vt:i4>
      </vt:variant>
      <vt:variant>
        <vt:i4>5</vt:i4>
      </vt:variant>
      <vt:variant>
        <vt:lpwstr>../Docs/R1-136024.zip</vt:lpwstr>
      </vt:variant>
      <vt:variant>
        <vt:lpwstr/>
      </vt:variant>
      <vt:variant>
        <vt:i4>4587535</vt:i4>
      </vt:variant>
      <vt:variant>
        <vt:i4>2289</vt:i4>
      </vt:variant>
      <vt:variant>
        <vt:i4>0</vt:i4>
      </vt:variant>
      <vt:variant>
        <vt:i4>5</vt:i4>
      </vt:variant>
      <vt:variant>
        <vt:lpwstr>../Docs/R1-136014.zip</vt:lpwstr>
      </vt:variant>
      <vt:variant>
        <vt:lpwstr/>
      </vt:variant>
      <vt:variant>
        <vt:i4>4456452</vt:i4>
      </vt:variant>
      <vt:variant>
        <vt:i4>2286</vt:i4>
      </vt:variant>
      <vt:variant>
        <vt:i4>0</vt:i4>
      </vt:variant>
      <vt:variant>
        <vt:i4>5</vt:i4>
      </vt:variant>
      <vt:variant>
        <vt:lpwstr>../Docs/R1-135906.zip</vt:lpwstr>
      </vt:variant>
      <vt:variant>
        <vt:lpwstr/>
      </vt:variant>
      <vt:variant>
        <vt:i4>4194307</vt:i4>
      </vt:variant>
      <vt:variant>
        <vt:i4>2283</vt:i4>
      </vt:variant>
      <vt:variant>
        <vt:i4>0</vt:i4>
      </vt:variant>
      <vt:variant>
        <vt:i4>5</vt:i4>
      </vt:variant>
      <vt:variant>
        <vt:lpwstr>../Docs/R1-135941.zip</vt:lpwstr>
      </vt:variant>
      <vt:variant>
        <vt:lpwstr/>
      </vt:variant>
      <vt:variant>
        <vt:i4>4456452</vt:i4>
      </vt:variant>
      <vt:variant>
        <vt:i4>2280</vt:i4>
      </vt:variant>
      <vt:variant>
        <vt:i4>0</vt:i4>
      </vt:variant>
      <vt:variant>
        <vt:i4>5</vt:i4>
      </vt:variant>
      <vt:variant>
        <vt:lpwstr>../Docs/R1-135906.zip</vt:lpwstr>
      </vt:variant>
      <vt:variant>
        <vt:lpwstr/>
      </vt:variant>
      <vt:variant>
        <vt:i4>4653057</vt:i4>
      </vt:variant>
      <vt:variant>
        <vt:i4>2277</vt:i4>
      </vt:variant>
      <vt:variant>
        <vt:i4>0</vt:i4>
      </vt:variant>
      <vt:variant>
        <vt:i4>5</vt:i4>
      </vt:variant>
      <vt:variant>
        <vt:lpwstr>../Docs/R1-135933.zip</vt:lpwstr>
      </vt:variant>
      <vt:variant>
        <vt:lpwstr/>
      </vt:variant>
      <vt:variant>
        <vt:i4>5046282</vt:i4>
      </vt:variant>
      <vt:variant>
        <vt:i4>2274</vt:i4>
      </vt:variant>
      <vt:variant>
        <vt:i4>0</vt:i4>
      </vt:variant>
      <vt:variant>
        <vt:i4>5</vt:i4>
      </vt:variant>
      <vt:variant>
        <vt:lpwstr>../Docs/R1-135899.zip</vt:lpwstr>
      </vt:variant>
      <vt:variant>
        <vt:lpwstr/>
      </vt:variant>
      <vt:variant>
        <vt:i4>4587532</vt:i4>
      </vt:variant>
      <vt:variant>
        <vt:i4>2271</vt:i4>
      </vt:variant>
      <vt:variant>
        <vt:i4>0</vt:i4>
      </vt:variant>
      <vt:variant>
        <vt:i4>5</vt:i4>
      </vt:variant>
      <vt:variant>
        <vt:lpwstr>../Docs/R1-136017.zip</vt:lpwstr>
      </vt:variant>
      <vt:variant>
        <vt:lpwstr/>
      </vt:variant>
      <vt:variant>
        <vt:i4>4587533</vt:i4>
      </vt:variant>
      <vt:variant>
        <vt:i4>2268</vt:i4>
      </vt:variant>
      <vt:variant>
        <vt:i4>0</vt:i4>
      </vt:variant>
      <vt:variant>
        <vt:i4>5</vt:i4>
      </vt:variant>
      <vt:variant>
        <vt:lpwstr>../Docs/R1-136016.zip</vt:lpwstr>
      </vt:variant>
      <vt:variant>
        <vt:lpwstr/>
      </vt:variant>
      <vt:variant>
        <vt:i4>4653058</vt:i4>
      </vt:variant>
      <vt:variant>
        <vt:i4>2265</vt:i4>
      </vt:variant>
      <vt:variant>
        <vt:i4>0</vt:i4>
      </vt:variant>
      <vt:variant>
        <vt:i4>5</vt:i4>
      </vt:variant>
      <vt:variant>
        <vt:lpwstr>../Docs/R1-136009.zip</vt:lpwstr>
      </vt:variant>
      <vt:variant>
        <vt:lpwstr/>
      </vt:variant>
      <vt:variant>
        <vt:i4>5046283</vt:i4>
      </vt:variant>
      <vt:variant>
        <vt:i4>2262</vt:i4>
      </vt:variant>
      <vt:variant>
        <vt:i4>0</vt:i4>
      </vt:variant>
      <vt:variant>
        <vt:i4>5</vt:i4>
      </vt:variant>
      <vt:variant>
        <vt:lpwstr>../Docs/R1-135898.zip</vt:lpwstr>
      </vt:variant>
      <vt:variant>
        <vt:lpwstr/>
      </vt:variant>
      <vt:variant>
        <vt:i4>4194305</vt:i4>
      </vt:variant>
      <vt:variant>
        <vt:i4>2259</vt:i4>
      </vt:variant>
      <vt:variant>
        <vt:i4>0</vt:i4>
      </vt:variant>
      <vt:variant>
        <vt:i4>5</vt:i4>
      </vt:variant>
      <vt:variant>
        <vt:lpwstr>../Docs/R1-135248.zip</vt:lpwstr>
      </vt:variant>
      <vt:variant>
        <vt:lpwstr/>
      </vt:variant>
      <vt:variant>
        <vt:i4>4521997</vt:i4>
      </vt:variant>
      <vt:variant>
        <vt:i4>2256</vt:i4>
      </vt:variant>
      <vt:variant>
        <vt:i4>0</vt:i4>
      </vt:variant>
      <vt:variant>
        <vt:i4>5</vt:i4>
      </vt:variant>
      <vt:variant>
        <vt:lpwstr>../Docs/R1-135513.zip</vt:lpwstr>
      </vt:variant>
      <vt:variant>
        <vt:lpwstr/>
      </vt:variant>
      <vt:variant>
        <vt:i4>4390921</vt:i4>
      </vt:variant>
      <vt:variant>
        <vt:i4>2253</vt:i4>
      </vt:variant>
      <vt:variant>
        <vt:i4>0</vt:i4>
      </vt:variant>
      <vt:variant>
        <vt:i4>5</vt:i4>
      </vt:variant>
      <vt:variant>
        <vt:lpwstr>../Docs/R1-135577.zip</vt:lpwstr>
      </vt:variant>
      <vt:variant>
        <vt:lpwstr/>
      </vt:variant>
      <vt:variant>
        <vt:i4>4259853</vt:i4>
      </vt:variant>
      <vt:variant>
        <vt:i4>2250</vt:i4>
      </vt:variant>
      <vt:variant>
        <vt:i4>0</vt:i4>
      </vt:variant>
      <vt:variant>
        <vt:i4>5</vt:i4>
      </vt:variant>
      <vt:variant>
        <vt:lpwstr>../Docs/R1-135355.zip</vt:lpwstr>
      </vt:variant>
      <vt:variant>
        <vt:lpwstr/>
      </vt:variant>
      <vt:variant>
        <vt:i4>4390924</vt:i4>
      </vt:variant>
      <vt:variant>
        <vt:i4>2247</vt:i4>
      </vt:variant>
      <vt:variant>
        <vt:i4>0</vt:i4>
      </vt:variant>
      <vt:variant>
        <vt:i4>5</vt:i4>
      </vt:variant>
      <vt:variant>
        <vt:lpwstr>../Docs/R1-135275.zip</vt:lpwstr>
      </vt:variant>
      <vt:variant>
        <vt:lpwstr/>
      </vt:variant>
      <vt:variant>
        <vt:i4>2621442</vt:i4>
      </vt:variant>
      <vt:variant>
        <vt:i4>2244</vt:i4>
      </vt:variant>
      <vt:variant>
        <vt:i4>0</vt:i4>
      </vt:variant>
      <vt:variant>
        <vt:i4>5</vt:i4>
      </vt:variant>
      <vt:variant>
        <vt:lpwstr>http://www.3gpp.org/ftp/tsg_ran/TSG_RAN/TSGR_61/Docs/RP-131399.zip</vt:lpwstr>
      </vt:variant>
      <vt:variant>
        <vt:lpwstr/>
      </vt:variant>
      <vt:variant>
        <vt:i4>4194313</vt:i4>
      </vt:variant>
      <vt:variant>
        <vt:i4>2241</vt:i4>
      </vt:variant>
      <vt:variant>
        <vt:i4>0</vt:i4>
      </vt:variant>
      <vt:variant>
        <vt:i4>5</vt:i4>
      </vt:variant>
      <vt:variant>
        <vt:lpwstr>../Docs/R1-135446.zip</vt:lpwstr>
      </vt:variant>
      <vt:variant>
        <vt:lpwstr/>
      </vt:variant>
      <vt:variant>
        <vt:i4>4456456</vt:i4>
      </vt:variant>
      <vt:variant>
        <vt:i4>2238</vt:i4>
      </vt:variant>
      <vt:variant>
        <vt:i4>0</vt:i4>
      </vt:variant>
      <vt:variant>
        <vt:i4>5</vt:i4>
      </vt:variant>
      <vt:variant>
        <vt:lpwstr>../Docs/R1-135300.zip</vt:lpwstr>
      </vt:variant>
      <vt:variant>
        <vt:lpwstr/>
      </vt:variant>
      <vt:variant>
        <vt:i4>5046272</vt:i4>
      </vt:variant>
      <vt:variant>
        <vt:i4>2235</vt:i4>
      </vt:variant>
      <vt:variant>
        <vt:i4>0</vt:i4>
      </vt:variant>
      <vt:variant>
        <vt:i4>5</vt:i4>
      </vt:variant>
      <vt:variant>
        <vt:lpwstr>../Docs/R1-135299.zip</vt:lpwstr>
      </vt:variant>
      <vt:variant>
        <vt:lpwstr/>
      </vt:variant>
      <vt:variant>
        <vt:i4>4456457</vt:i4>
      </vt:variant>
      <vt:variant>
        <vt:i4>2232</vt:i4>
      </vt:variant>
      <vt:variant>
        <vt:i4>0</vt:i4>
      </vt:variant>
      <vt:variant>
        <vt:i4>5</vt:i4>
      </vt:variant>
      <vt:variant>
        <vt:lpwstr>../Docs/R1-135200.zip</vt:lpwstr>
      </vt:variant>
      <vt:variant>
        <vt:lpwstr/>
      </vt:variant>
      <vt:variant>
        <vt:i4>4259843</vt:i4>
      </vt:variant>
      <vt:variant>
        <vt:i4>2229</vt:i4>
      </vt:variant>
      <vt:variant>
        <vt:i4>0</vt:i4>
      </vt:variant>
      <vt:variant>
        <vt:i4>5</vt:i4>
      </vt:variant>
      <vt:variant>
        <vt:lpwstr>../Docs/R1-135159.zip</vt:lpwstr>
      </vt:variant>
      <vt:variant>
        <vt:lpwstr/>
      </vt:variant>
      <vt:variant>
        <vt:i4>4653071</vt:i4>
      </vt:variant>
      <vt:variant>
        <vt:i4>2226</vt:i4>
      </vt:variant>
      <vt:variant>
        <vt:i4>0</vt:i4>
      </vt:variant>
      <vt:variant>
        <vt:i4>5</vt:i4>
      </vt:variant>
      <vt:variant>
        <vt:lpwstr>../Docs/R1-135135.zip</vt:lpwstr>
      </vt:variant>
      <vt:variant>
        <vt:lpwstr/>
      </vt:variant>
      <vt:variant>
        <vt:i4>4653070</vt:i4>
      </vt:variant>
      <vt:variant>
        <vt:i4>2223</vt:i4>
      </vt:variant>
      <vt:variant>
        <vt:i4>0</vt:i4>
      </vt:variant>
      <vt:variant>
        <vt:i4>5</vt:i4>
      </vt:variant>
      <vt:variant>
        <vt:lpwstr>../Docs/R1-135134.zip</vt:lpwstr>
      </vt:variant>
      <vt:variant>
        <vt:lpwstr/>
      </vt:variant>
      <vt:variant>
        <vt:i4>4325378</vt:i4>
      </vt:variant>
      <vt:variant>
        <vt:i4>2220</vt:i4>
      </vt:variant>
      <vt:variant>
        <vt:i4>0</vt:i4>
      </vt:variant>
      <vt:variant>
        <vt:i4>5</vt:i4>
      </vt:variant>
      <vt:variant>
        <vt:lpwstr>../Docs/R1-135069.zip</vt:lpwstr>
      </vt:variant>
      <vt:variant>
        <vt:lpwstr/>
      </vt:variant>
      <vt:variant>
        <vt:i4>4259842</vt:i4>
      </vt:variant>
      <vt:variant>
        <vt:i4>2217</vt:i4>
      </vt:variant>
      <vt:variant>
        <vt:i4>0</vt:i4>
      </vt:variant>
      <vt:variant>
        <vt:i4>5</vt:i4>
      </vt:variant>
      <vt:variant>
        <vt:lpwstr>../Docs/R1-135158.zip</vt:lpwstr>
      </vt:variant>
      <vt:variant>
        <vt:lpwstr/>
      </vt:variant>
      <vt:variant>
        <vt:i4>4653066</vt:i4>
      </vt:variant>
      <vt:variant>
        <vt:i4>2214</vt:i4>
      </vt:variant>
      <vt:variant>
        <vt:i4>0</vt:i4>
      </vt:variant>
      <vt:variant>
        <vt:i4>5</vt:i4>
      </vt:variant>
      <vt:variant>
        <vt:lpwstr>../Docs/R1-136001.zip</vt:lpwstr>
      </vt:variant>
      <vt:variant>
        <vt:lpwstr/>
      </vt:variant>
      <vt:variant>
        <vt:i4>4194311</vt:i4>
      </vt:variant>
      <vt:variant>
        <vt:i4>2211</vt:i4>
      </vt:variant>
      <vt:variant>
        <vt:i4>0</vt:i4>
      </vt:variant>
      <vt:variant>
        <vt:i4>5</vt:i4>
      </vt:variant>
      <vt:variant>
        <vt:lpwstr>../Docs/R1-135945.zip</vt:lpwstr>
      </vt:variant>
      <vt:variant>
        <vt:lpwstr/>
      </vt:variant>
      <vt:variant>
        <vt:i4>4390920</vt:i4>
      </vt:variant>
      <vt:variant>
        <vt:i4>2208</vt:i4>
      </vt:variant>
      <vt:variant>
        <vt:i4>0</vt:i4>
      </vt:variant>
      <vt:variant>
        <vt:i4>5</vt:i4>
      </vt:variant>
      <vt:variant>
        <vt:lpwstr>../Docs/R1-135675.zip</vt:lpwstr>
      </vt:variant>
      <vt:variant>
        <vt:lpwstr/>
      </vt:variant>
      <vt:variant>
        <vt:i4>4194309</vt:i4>
      </vt:variant>
      <vt:variant>
        <vt:i4>2205</vt:i4>
      </vt:variant>
      <vt:variant>
        <vt:i4>0</vt:i4>
      </vt:variant>
      <vt:variant>
        <vt:i4>5</vt:i4>
      </vt:variant>
      <vt:variant>
        <vt:lpwstr>../Docs/R1-135648.zip</vt:lpwstr>
      </vt:variant>
      <vt:variant>
        <vt:lpwstr/>
      </vt:variant>
      <vt:variant>
        <vt:i4>4456452</vt:i4>
      </vt:variant>
      <vt:variant>
        <vt:i4>2202</vt:i4>
      </vt:variant>
      <vt:variant>
        <vt:i4>0</vt:i4>
      </vt:variant>
      <vt:variant>
        <vt:i4>5</vt:i4>
      </vt:variant>
      <vt:variant>
        <vt:lpwstr>../Docs/R1-135609.zip</vt:lpwstr>
      </vt:variant>
      <vt:variant>
        <vt:lpwstr/>
      </vt:variant>
      <vt:variant>
        <vt:i4>4456454</vt:i4>
      </vt:variant>
      <vt:variant>
        <vt:i4>2199</vt:i4>
      </vt:variant>
      <vt:variant>
        <vt:i4>0</vt:i4>
      </vt:variant>
      <vt:variant>
        <vt:i4>5</vt:i4>
      </vt:variant>
      <vt:variant>
        <vt:lpwstr>../Docs/R1-134518.zip</vt:lpwstr>
      </vt:variant>
      <vt:variant>
        <vt:lpwstr/>
      </vt:variant>
      <vt:variant>
        <vt:i4>4390920</vt:i4>
      </vt:variant>
      <vt:variant>
        <vt:i4>2196</vt:i4>
      </vt:variant>
      <vt:variant>
        <vt:i4>0</vt:i4>
      </vt:variant>
      <vt:variant>
        <vt:i4>5</vt:i4>
      </vt:variant>
      <vt:variant>
        <vt:lpwstr>../Docs/R1-135576.zip</vt:lpwstr>
      </vt:variant>
      <vt:variant>
        <vt:lpwstr/>
      </vt:variant>
      <vt:variant>
        <vt:i4>4521999</vt:i4>
      </vt:variant>
      <vt:variant>
        <vt:i4>2193</vt:i4>
      </vt:variant>
      <vt:variant>
        <vt:i4>0</vt:i4>
      </vt:variant>
      <vt:variant>
        <vt:i4>5</vt:i4>
      </vt:variant>
      <vt:variant>
        <vt:lpwstr>../Docs/R1-135511.zip</vt:lpwstr>
      </vt:variant>
      <vt:variant>
        <vt:lpwstr/>
      </vt:variant>
      <vt:variant>
        <vt:i4>4325389</vt:i4>
      </vt:variant>
      <vt:variant>
        <vt:i4>2190</vt:i4>
      </vt:variant>
      <vt:variant>
        <vt:i4>0</vt:i4>
      </vt:variant>
      <vt:variant>
        <vt:i4>5</vt:i4>
      </vt:variant>
      <vt:variant>
        <vt:lpwstr>../Docs/R1-135462.zip</vt:lpwstr>
      </vt:variant>
      <vt:variant>
        <vt:lpwstr/>
      </vt:variant>
      <vt:variant>
        <vt:i4>4259852</vt:i4>
      </vt:variant>
      <vt:variant>
        <vt:i4>2187</vt:i4>
      </vt:variant>
      <vt:variant>
        <vt:i4>0</vt:i4>
      </vt:variant>
      <vt:variant>
        <vt:i4>5</vt:i4>
      </vt:variant>
      <vt:variant>
        <vt:lpwstr>../Docs/R1-134443.zip</vt:lpwstr>
      </vt:variant>
      <vt:variant>
        <vt:lpwstr/>
      </vt:variant>
      <vt:variant>
        <vt:i4>4587527</vt:i4>
      </vt:variant>
      <vt:variant>
        <vt:i4>2184</vt:i4>
      </vt:variant>
      <vt:variant>
        <vt:i4>0</vt:i4>
      </vt:variant>
      <vt:variant>
        <vt:i4>5</vt:i4>
      </vt:variant>
      <vt:variant>
        <vt:lpwstr>../Docs/R1-135428.zip</vt:lpwstr>
      </vt:variant>
      <vt:variant>
        <vt:lpwstr/>
      </vt:variant>
      <vt:variant>
        <vt:i4>4587528</vt:i4>
      </vt:variant>
      <vt:variant>
        <vt:i4>2181</vt:i4>
      </vt:variant>
      <vt:variant>
        <vt:i4>0</vt:i4>
      </vt:variant>
      <vt:variant>
        <vt:i4>5</vt:i4>
      </vt:variant>
      <vt:variant>
        <vt:lpwstr>../Docs/R1-135427.zip</vt:lpwstr>
      </vt:variant>
      <vt:variant>
        <vt:lpwstr/>
      </vt:variant>
      <vt:variant>
        <vt:i4>4325386</vt:i4>
      </vt:variant>
      <vt:variant>
        <vt:i4>2178</vt:i4>
      </vt:variant>
      <vt:variant>
        <vt:i4>0</vt:i4>
      </vt:variant>
      <vt:variant>
        <vt:i4>5</vt:i4>
      </vt:variant>
      <vt:variant>
        <vt:lpwstr>../Docs/R1-135362.zip</vt:lpwstr>
      </vt:variant>
      <vt:variant>
        <vt:lpwstr/>
      </vt:variant>
      <vt:variant>
        <vt:i4>5046273</vt:i4>
      </vt:variant>
      <vt:variant>
        <vt:i4>2175</vt:i4>
      </vt:variant>
      <vt:variant>
        <vt:i4>0</vt:i4>
      </vt:variant>
      <vt:variant>
        <vt:i4>5</vt:i4>
      </vt:variant>
      <vt:variant>
        <vt:lpwstr>../Docs/R1-135298.zip</vt:lpwstr>
      </vt:variant>
      <vt:variant>
        <vt:lpwstr/>
      </vt:variant>
      <vt:variant>
        <vt:i4>4325390</vt:i4>
      </vt:variant>
      <vt:variant>
        <vt:i4>2172</vt:i4>
      </vt:variant>
      <vt:variant>
        <vt:i4>0</vt:i4>
      </vt:variant>
      <vt:variant>
        <vt:i4>5</vt:i4>
      </vt:variant>
      <vt:variant>
        <vt:lpwstr>../Docs/R1-135267.zip</vt:lpwstr>
      </vt:variant>
      <vt:variant>
        <vt:lpwstr/>
      </vt:variant>
      <vt:variant>
        <vt:i4>5046285</vt:i4>
      </vt:variant>
      <vt:variant>
        <vt:i4>2169</vt:i4>
      </vt:variant>
      <vt:variant>
        <vt:i4>0</vt:i4>
      </vt:variant>
      <vt:variant>
        <vt:i4>5</vt:i4>
      </vt:variant>
      <vt:variant>
        <vt:lpwstr>../Docs/R1-135197.zip</vt:lpwstr>
      </vt:variant>
      <vt:variant>
        <vt:lpwstr/>
      </vt:variant>
      <vt:variant>
        <vt:i4>4325379</vt:i4>
      </vt:variant>
      <vt:variant>
        <vt:i4>2166</vt:i4>
      </vt:variant>
      <vt:variant>
        <vt:i4>0</vt:i4>
      </vt:variant>
      <vt:variant>
        <vt:i4>5</vt:i4>
      </vt:variant>
      <vt:variant>
        <vt:lpwstr>../Docs/R1-135068.zip</vt:lpwstr>
      </vt:variant>
      <vt:variant>
        <vt:lpwstr/>
      </vt:variant>
      <vt:variant>
        <vt:i4>4587529</vt:i4>
      </vt:variant>
      <vt:variant>
        <vt:i4>2163</vt:i4>
      </vt:variant>
      <vt:variant>
        <vt:i4>0</vt:i4>
      </vt:variant>
      <vt:variant>
        <vt:i4>5</vt:i4>
      </vt:variant>
      <vt:variant>
        <vt:lpwstr>../Docs/R1-135022.zip</vt:lpwstr>
      </vt:variant>
      <vt:variant>
        <vt:lpwstr/>
      </vt:variant>
      <vt:variant>
        <vt:i4>4194308</vt:i4>
      </vt:variant>
      <vt:variant>
        <vt:i4>2160</vt:i4>
      </vt:variant>
      <vt:variant>
        <vt:i4>0</vt:i4>
      </vt:variant>
      <vt:variant>
        <vt:i4>5</vt:i4>
      </vt:variant>
      <vt:variant>
        <vt:lpwstr>../Docs/R1-135946.zip</vt:lpwstr>
      </vt:variant>
      <vt:variant>
        <vt:lpwstr/>
      </vt:variant>
      <vt:variant>
        <vt:i4>4390921</vt:i4>
      </vt:variant>
      <vt:variant>
        <vt:i4>2157</vt:i4>
      </vt:variant>
      <vt:variant>
        <vt:i4>0</vt:i4>
      </vt:variant>
      <vt:variant>
        <vt:i4>5</vt:i4>
      </vt:variant>
      <vt:variant>
        <vt:lpwstr>../Docs/R1-135674.zip</vt:lpwstr>
      </vt:variant>
      <vt:variant>
        <vt:lpwstr/>
      </vt:variant>
      <vt:variant>
        <vt:i4>4194314</vt:i4>
      </vt:variant>
      <vt:variant>
        <vt:i4>2154</vt:i4>
      </vt:variant>
      <vt:variant>
        <vt:i4>0</vt:i4>
      </vt:variant>
      <vt:variant>
        <vt:i4>5</vt:i4>
      </vt:variant>
      <vt:variant>
        <vt:lpwstr>../Docs/R1-135647.zip</vt:lpwstr>
      </vt:variant>
      <vt:variant>
        <vt:lpwstr/>
      </vt:variant>
      <vt:variant>
        <vt:i4>4194315</vt:i4>
      </vt:variant>
      <vt:variant>
        <vt:i4>2151</vt:i4>
      </vt:variant>
      <vt:variant>
        <vt:i4>0</vt:i4>
      </vt:variant>
      <vt:variant>
        <vt:i4>5</vt:i4>
      </vt:variant>
      <vt:variant>
        <vt:lpwstr>../Docs/R1-135646.zip</vt:lpwstr>
      </vt:variant>
      <vt:variant>
        <vt:lpwstr/>
      </vt:variant>
      <vt:variant>
        <vt:i4>4653070</vt:i4>
      </vt:variant>
      <vt:variant>
        <vt:i4>2148</vt:i4>
      </vt:variant>
      <vt:variant>
        <vt:i4>0</vt:i4>
      </vt:variant>
      <vt:variant>
        <vt:i4>5</vt:i4>
      </vt:variant>
      <vt:variant>
        <vt:lpwstr>../Docs/R1-134520.zip</vt:lpwstr>
      </vt:variant>
      <vt:variant>
        <vt:lpwstr/>
      </vt:variant>
      <vt:variant>
        <vt:i4>4390923</vt:i4>
      </vt:variant>
      <vt:variant>
        <vt:i4>2145</vt:i4>
      </vt:variant>
      <vt:variant>
        <vt:i4>0</vt:i4>
      </vt:variant>
      <vt:variant>
        <vt:i4>5</vt:i4>
      </vt:variant>
      <vt:variant>
        <vt:lpwstr>../Docs/R1-135575.zip</vt:lpwstr>
      </vt:variant>
      <vt:variant>
        <vt:lpwstr/>
      </vt:variant>
      <vt:variant>
        <vt:i4>4456455</vt:i4>
      </vt:variant>
      <vt:variant>
        <vt:i4>2142</vt:i4>
      </vt:variant>
      <vt:variant>
        <vt:i4>0</vt:i4>
      </vt:variant>
      <vt:variant>
        <vt:i4>5</vt:i4>
      </vt:variant>
      <vt:variant>
        <vt:lpwstr>../Docs/R1-134519.zip</vt:lpwstr>
      </vt:variant>
      <vt:variant>
        <vt:lpwstr/>
      </vt:variant>
      <vt:variant>
        <vt:i4>4390922</vt:i4>
      </vt:variant>
      <vt:variant>
        <vt:i4>2139</vt:i4>
      </vt:variant>
      <vt:variant>
        <vt:i4>0</vt:i4>
      </vt:variant>
      <vt:variant>
        <vt:i4>5</vt:i4>
      </vt:variant>
      <vt:variant>
        <vt:lpwstr>../Docs/R1-135574.zip</vt:lpwstr>
      </vt:variant>
      <vt:variant>
        <vt:lpwstr/>
      </vt:variant>
      <vt:variant>
        <vt:i4>4521998</vt:i4>
      </vt:variant>
      <vt:variant>
        <vt:i4>2136</vt:i4>
      </vt:variant>
      <vt:variant>
        <vt:i4>0</vt:i4>
      </vt:variant>
      <vt:variant>
        <vt:i4>5</vt:i4>
      </vt:variant>
      <vt:variant>
        <vt:lpwstr>../Docs/R1-135510.zip</vt:lpwstr>
      </vt:variant>
      <vt:variant>
        <vt:lpwstr/>
      </vt:variant>
      <vt:variant>
        <vt:i4>4325390</vt:i4>
      </vt:variant>
      <vt:variant>
        <vt:i4>2133</vt:i4>
      </vt:variant>
      <vt:variant>
        <vt:i4>0</vt:i4>
      </vt:variant>
      <vt:variant>
        <vt:i4>5</vt:i4>
      </vt:variant>
      <vt:variant>
        <vt:lpwstr>../Docs/R1-135461.zip</vt:lpwstr>
      </vt:variant>
      <vt:variant>
        <vt:lpwstr/>
      </vt:variant>
      <vt:variant>
        <vt:i4>4259850</vt:i4>
      </vt:variant>
      <vt:variant>
        <vt:i4>2130</vt:i4>
      </vt:variant>
      <vt:variant>
        <vt:i4>0</vt:i4>
      </vt:variant>
      <vt:variant>
        <vt:i4>5</vt:i4>
      </vt:variant>
      <vt:variant>
        <vt:lpwstr>../Docs/R1-134445.zip</vt:lpwstr>
      </vt:variant>
      <vt:variant>
        <vt:lpwstr/>
      </vt:variant>
      <vt:variant>
        <vt:i4>4587529</vt:i4>
      </vt:variant>
      <vt:variant>
        <vt:i4>2127</vt:i4>
      </vt:variant>
      <vt:variant>
        <vt:i4>0</vt:i4>
      </vt:variant>
      <vt:variant>
        <vt:i4>5</vt:i4>
      </vt:variant>
      <vt:variant>
        <vt:lpwstr>../Docs/R1-135426.zip</vt:lpwstr>
      </vt:variant>
      <vt:variant>
        <vt:lpwstr/>
      </vt:variant>
      <vt:variant>
        <vt:i4>4587530</vt:i4>
      </vt:variant>
      <vt:variant>
        <vt:i4>2124</vt:i4>
      </vt:variant>
      <vt:variant>
        <vt:i4>0</vt:i4>
      </vt:variant>
      <vt:variant>
        <vt:i4>5</vt:i4>
      </vt:variant>
      <vt:variant>
        <vt:lpwstr>../Docs/R1-135425.zip</vt:lpwstr>
      </vt:variant>
      <vt:variant>
        <vt:lpwstr/>
      </vt:variant>
      <vt:variant>
        <vt:i4>5046284</vt:i4>
      </vt:variant>
      <vt:variant>
        <vt:i4>2121</vt:i4>
      </vt:variant>
      <vt:variant>
        <vt:i4>0</vt:i4>
      </vt:variant>
      <vt:variant>
        <vt:i4>5</vt:i4>
      </vt:variant>
      <vt:variant>
        <vt:lpwstr>../Docs/R1-135394.zip</vt:lpwstr>
      </vt:variant>
      <vt:variant>
        <vt:lpwstr/>
      </vt:variant>
      <vt:variant>
        <vt:i4>4325385</vt:i4>
      </vt:variant>
      <vt:variant>
        <vt:i4>2118</vt:i4>
      </vt:variant>
      <vt:variant>
        <vt:i4>0</vt:i4>
      </vt:variant>
      <vt:variant>
        <vt:i4>5</vt:i4>
      </vt:variant>
      <vt:variant>
        <vt:lpwstr>../Docs/R1-135361.zip</vt:lpwstr>
      </vt:variant>
      <vt:variant>
        <vt:lpwstr/>
      </vt:variant>
      <vt:variant>
        <vt:i4>4325384</vt:i4>
      </vt:variant>
      <vt:variant>
        <vt:i4>2115</vt:i4>
      </vt:variant>
      <vt:variant>
        <vt:i4>0</vt:i4>
      </vt:variant>
      <vt:variant>
        <vt:i4>5</vt:i4>
      </vt:variant>
      <vt:variant>
        <vt:lpwstr>../Docs/R1-135360.zip</vt:lpwstr>
      </vt:variant>
      <vt:variant>
        <vt:lpwstr/>
      </vt:variant>
      <vt:variant>
        <vt:i4>5046286</vt:i4>
      </vt:variant>
      <vt:variant>
        <vt:i4>2112</vt:i4>
      </vt:variant>
      <vt:variant>
        <vt:i4>0</vt:i4>
      </vt:variant>
      <vt:variant>
        <vt:i4>5</vt:i4>
      </vt:variant>
      <vt:variant>
        <vt:lpwstr>../Docs/R1-135297.zip</vt:lpwstr>
      </vt:variant>
      <vt:variant>
        <vt:lpwstr/>
      </vt:variant>
      <vt:variant>
        <vt:i4>5046275</vt:i4>
      </vt:variant>
      <vt:variant>
        <vt:i4>2109</vt:i4>
      </vt:variant>
      <vt:variant>
        <vt:i4>0</vt:i4>
      </vt:variant>
      <vt:variant>
        <vt:i4>5</vt:i4>
      </vt:variant>
      <vt:variant>
        <vt:lpwstr>../Docs/R1-135199.zip</vt:lpwstr>
      </vt:variant>
      <vt:variant>
        <vt:lpwstr/>
      </vt:variant>
      <vt:variant>
        <vt:i4>5046274</vt:i4>
      </vt:variant>
      <vt:variant>
        <vt:i4>2106</vt:i4>
      </vt:variant>
      <vt:variant>
        <vt:i4>0</vt:i4>
      </vt:variant>
      <vt:variant>
        <vt:i4>5</vt:i4>
      </vt:variant>
      <vt:variant>
        <vt:lpwstr>../Docs/R1-135198.zip</vt:lpwstr>
      </vt:variant>
      <vt:variant>
        <vt:lpwstr/>
      </vt:variant>
      <vt:variant>
        <vt:i4>4259853</vt:i4>
      </vt:variant>
      <vt:variant>
        <vt:i4>2103</vt:i4>
      </vt:variant>
      <vt:variant>
        <vt:i4>0</vt:i4>
      </vt:variant>
      <vt:variant>
        <vt:i4>5</vt:i4>
      </vt:variant>
      <vt:variant>
        <vt:lpwstr>../Docs/R1-135157.zip</vt:lpwstr>
      </vt:variant>
      <vt:variant>
        <vt:lpwstr/>
      </vt:variant>
      <vt:variant>
        <vt:i4>4259852</vt:i4>
      </vt:variant>
      <vt:variant>
        <vt:i4>2100</vt:i4>
      </vt:variant>
      <vt:variant>
        <vt:i4>0</vt:i4>
      </vt:variant>
      <vt:variant>
        <vt:i4>5</vt:i4>
      </vt:variant>
      <vt:variant>
        <vt:lpwstr>../Docs/R1-135156.zip</vt:lpwstr>
      </vt:variant>
      <vt:variant>
        <vt:lpwstr/>
      </vt:variant>
      <vt:variant>
        <vt:i4>4653064</vt:i4>
      </vt:variant>
      <vt:variant>
        <vt:i4>2097</vt:i4>
      </vt:variant>
      <vt:variant>
        <vt:i4>0</vt:i4>
      </vt:variant>
      <vt:variant>
        <vt:i4>5</vt:i4>
      </vt:variant>
      <vt:variant>
        <vt:lpwstr>../Docs/R1-135132.zip</vt:lpwstr>
      </vt:variant>
      <vt:variant>
        <vt:lpwstr/>
      </vt:variant>
      <vt:variant>
        <vt:i4>4456463</vt:i4>
      </vt:variant>
      <vt:variant>
        <vt:i4>2094</vt:i4>
      </vt:variant>
      <vt:variant>
        <vt:i4>0</vt:i4>
      </vt:variant>
      <vt:variant>
        <vt:i4>5</vt:i4>
      </vt:variant>
      <vt:variant>
        <vt:lpwstr>../Docs/R1-135105.zip</vt:lpwstr>
      </vt:variant>
      <vt:variant>
        <vt:lpwstr/>
      </vt:variant>
      <vt:variant>
        <vt:i4>4325388</vt:i4>
      </vt:variant>
      <vt:variant>
        <vt:i4>2091</vt:i4>
      </vt:variant>
      <vt:variant>
        <vt:i4>0</vt:i4>
      </vt:variant>
      <vt:variant>
        <vt:i4>5</vt:i4>
      </vt:variant>
      <vt:variant>
        <vt:lpwstr>../Docs/R1-135067.zip</vt:lpwstr>
      </vt:variant>
      <vt:variant>
        <vt:lpwstr/>
      </vt:variant>
      <vt:variant>
        <vt:i4>4325389</vt:i4>
      </vt:variant>
      <vt:variant>
        <vt:i4>2088</vt:i4>
      </vt:variant>
      <vt:variant>
        <vt:i4>0</vt:i4>
      </vt:variant>
      <vt:variant>
        <vt:i4>5</vt:i4>
      </vt:variant>
      <vt:variant>
        <vt:lpwstr>../Docs/R1-135066.zip</vt:lpwstr>
      </vt:variant>
      <vt:variant>
        <vt:lpwstr/>
      </vt:variant>
      <vt:variant>
        <vt:i4>4587530</vt:i4>
      </vt:variant>
      <vt:variant>
        <vt:i4>2085</vt:i4>
      </vt:variant>
      <vt:variant>
        <vt:i4>0</vt:i4>
      </vt:variant>
      <vt:variant>
        <vt:i4>5</vt:i4>
      </vt:variant>
      <vt:variant>
        <vt:lpwstr>../Docs/R1-135021.zip</vt:lpwstr>
      </vt:variant>
      <vt:variant>
        <vt:lpwstr/>
      </vt:variant>
      <vt:variant>
        <vt:i4>4653066</vt:i4>
      </vt:variant>
      <vt:variant>
        <vt:i4>2082</vt:i4>
      </vt:variant>
      <vt:variant>
        <vt:i4>0</vt:i4>
      </vt:variant>
      <vt:variant>
        <vt:i4>5</vt:i4>
      </vt:variant>
      <vt:variant>
        <vt:lpwstr>../Docs/R1-135130.zip</vt:lpwstr>
      </vt:variant>
      <vt:variant>
        <vt:lpwstr/>
      </vt:variant>
      <vt:variant>
        <vt:i4>4587521</vt:i4>
      </vt:variant>
      <vt:variant>
        <vt:i4>2079</vt:i4>
      </vt:variant>
      <vt:variant>
        <vt:i4>0</vt:i4>
      </vt:variant>
      <vt:variant>
        <vt:i4>5</vt:i4>
      </vt:variant>
      <vt:variant>
        <vt:lpwstr>../Docs/R1-135822.zip</vt:lpwstr>
      </vt:variant>
      <vt:variant>
        <vt:lpwstr/>
      </vt:variant>
      <vt:variant>
        <vt:i4>4194312</vt:i4>
      </vt:variant>
      <vt:variant>
        <vt:i4>2076</vt:i4>
      </vt:variant>
      <vt:variant>
        <vt:i4>0</vt:i4>
      </vt:variant>
      <vt:variant>
        <vt:i4>5</vt:i4>
      </vt:variant>
      <vt:variant>
        <vt:lpwstr>../Docs/R1-135645.zip</vt:lpwstr>
      </vt:variant>
      <vt:variant>
        <vt:lpwstr/>
      </vt:variant>
      <vt:variant>
        <vt:i4>4390925</vt:i4>
      </vt:variant>
      <vt:variant>
        <vt:i4>2073</vt:i4>
      </vt:variant>
      <vt:variant>
        <vt:i4>0</vt:i4>
      </vt:variant>
      <vt:variant>
        <vt:i4>5</vt:i4>
      </vt:variant>
      <vt:variant>
        <vt:lpwstr>../Docs/R1-135573.zip</vt:lpwstr>
      </vt:variant>
      <vt:variant>
        <vt:lpwstr/>
      </vt:variant>
      <vt:variant>
        <vt:i4>4456455</vt:i4>
      </vt:variant>
      <vt:variant>
        <vt:i4>2070</vt:i4>
      </vt:variant>
      <vt:variant>
        <vt:i4>0</vt:i4>
      </vt:variant>
      <vt:variant>
        <vt:i4>5</vt:i4>
      </vt:variant>
      <vt:variant>
        <vt:lpwstr>../Docs/R1-135509.zip</vt:lpwstr>
      </vt:variant>
      <vt:variant>
        <vt:lpwstr/>
      </vt:variant>
      <vt:variant>
        <vt:i4>4325391</vt:i4>
      </vt:variant>
      <vt:variant>
        <vt:i4>2067</vt:i4>
      </vt:variant>
      <vt:variant>
        <vt:i4>0</vt:i4>
      </vt:variant>
      <vt:variant>
        <vt:i4>5</vt:i4>
      </vt:variant>
      <vt:variant>
        <vt:lpwstr>../Docs/R1-135460.zip</vt:lpwstr>
      </vt:variant>
      <vt:variant>
        <vt:lpwstr/>
      </vt:variant>
      <vt:variant>
        <vt:i4>4587531</vt:i4>
      </vt:variant>
      <vt:variant>
        <vt:i4>2064</vt:i4>
      </vt:variant>
      <vt:variant>
        <vt:i4>0</vt:i4>
      </vt:variant>
      <vt:variant>
        <vt:i4>5</vt:i4>
      </vt:variant>
      <vt:variant>
        <vt:lpwstr>../Docs/R1-135424.zip</vt:lpwstr>
      </vt:variant>
      <vt:variant>
        <vt:lpwstr/>
      </vt:variant>
      <vt:variant>
        <vt:i4>4980746</vt:i4>
      </vt:variant>
      <vt:variant>
        <vt:i4>2061</vt:i4>
      </vt:variant>
      <vt:variant>
        <vt:i4>0</vt:i4>
      </vt:variant>
      <vt:variant>
        <vt:i4>5</vt:i4>
      </vt:variant>
      <vt:variant>
        <vt:lpwstr>../Docs/R1-135382.zip</vt:lpwstr>
      </vt:variant>
      <vt:variant>
        <vt:lpwstr/>
      </vt:variant>
      <vt:variant>
        <vt:i4>4259841</vt:i4>
      </vt:variant>
      <vt:variant>
        <vt:i4>2058</vt:i4>
      </vt:variant>
      <vt:variant>
        <vt:i4>0</vt:i4>
      </vt:variant>
      <vt:variant>
        <vt:i4>5</vt:i4>
      </vt:variant>
      <vt:variant>
        <vt:lpwstr>../Docs/R1-135359.zip</vt:lpwstr>
      </vt:variant>
      <vt:variant>
        <vt:lpwstr/>
      </vt:variant>
      <vt:variant>
        <vt:i4>4194314</vt:i4>
      </vt:variant>
      <vt:variant>
        <vt:i4>2055</vt:i4>
      </vt:variant>
      <vt:variant>
        <vt:i4>0</vt:i4>
      </vt:variant>
      <vt:variant>
        <vt:i4>5</vt:i4>
      </vt:variant>
      <vt:variant>
        <vt:lpwstr>../Docs/R1-135342.zip</vt:lpwstr>
      </vt:variant>
      <vt:variant>
        <vt:lpwstr/>
      </vt:variant>
      <vt:variant>
        <vt:i4>5046287</vt:i4>
      </vt:variant>
      <vt:variant>
        <vt:i4>2052</vt:i4>
      </vt:variant>
      <vt:variant>
        <vt:i4>0</vt:i4>
      </vt:variant>
      <vt:variant>
        <vt:i4>5</vt:i4>
      </vt:variant>
      <vt:variant>
        <vt:lpwstr>../Docs/R1-135296.zip</vt:lpwstr>
      </vt:variant>
      <vt:variant>
        <vt:lpwstr/>
      </vt:variant>
      <vt:variant>
        <vt:i4>5046284</vt:i4>
      </vt:variant>
      <vt:variant>
        <vt:i4>2049</vt:i4>
      </vt:variant>
      <vt:variant>
        <vt:i4>0</vt:i4>
      </vt:variant>
      <vt:variant>
        <vt:i4>5</vt:i4>
      </vt:variant>
      <vt:variant>
        <vt:lpwstr>../Docs/R1-135196.zip</vt:lpwstr>
      </vt:variant>
      <vt:variant>
        <vt:lpwstr/>
      </vt:variant>
      <vt:variant>
        <vt:i4>4259855</vt:i4>
      </vt:variant>
      <vt:variant>
        <vt:i4>2046</vt:i4>
      </vt:variant>
      <vt:variant>
        <vt:i4>0</vt:i4>
      </vt:variant>
      <vt:variant>
        <vt:i4>5</vt:i4>
      </vt:variant>
      <vt:variant>
        <vt:lpwstr>../Docs/R1-135155.zip</vt:lpwstr>
      </vt:variant>
      <vt:variant>
        <vt:lpwstr/>
      </vt:variant>
      <vt:variant>
        <vt:i4>4653067</vt:i4>
      </vt:variant>
      <vt:variant>
        <vt:i4>2043</vt:i4>
      </vt:variant>
      <vt:variant>
        <vt:i4>0</vt:i4>
      </vt:variant>
      <vt:variant>
        <vt:i4>5</vt:i4>
      </vt:variant>
      <vt:variant>
        <vt:lpwstr>../Docs/R1-135131.zip</vt:lpwstr>
      </vt:variant>
      <vt:variant>
        <vt:lpwstr/>
      </vt:variant>
      <vt:variant>
        <vt:i4>4325390</vt:i4>
      </vt:variant>
      <vt:variant>
        <vt:i4>2040</vt:i4>
      </vt:variant>
      <vt:variant>
        <vt:i4>0</vt:i4>
      </vt:variant>
      <vt:variant>
        <vt:i4>5</vt:i4>
      </vt:variant>
      <vt:variant>
        <vt:lpwstr>../Docs/R1-135065.zip</vt:lpwstr>
      </vt:variant>
      <vt:variant>
        <vt:lpwstr/>
      </vt:variant>
      <vt:variant>
        <vt:i4>4587531</vt:i4>
      </vt:variant>
      <vt:variant>
        <vt:i4>2037</vt:i4>
      </vt:variant>
      <vt:variant>
        <vt:i4>0</vt:i4>
      </vt:variant>
      <vt:variant>
        <vt:i4>5</vt:i4>
      </vt:variant>
      <vt:variant>
        <vt:lpwstr>../Docs/R1-135020.zip</vt:lpwstr>
      </vt:variant>
      <vt:variant>
        <vt:lpwstr/>
      </vt:variant>
      <vt:variant>
        <vt:i4>4259851</vt:i4>
      </vt:variant>
      <vt:variant>
        <vt:i4>2034</vt:i4>
      </vt:variant>
      <vt:variant>
        <vt:i4>0</vt:i4>
      </vt:variant>
      <vt:variant>
        <vt:i4>5</vt:i4>
      </vt:variant>
      <vt:variant>
        <vt:lpwstr>../Docs/R1-136060.zip</vt:lpwstr>
      </vt:variant>
      <vt:variant>
        <vt:lpwstr/>
      </vt:variant>
      <vt:variant>
        <vt:i4>4325388</vt:i4>
      </vt:variant>
      <vt:variant>
        <vt:i4>2031</vt:i4>
      </vt:variant>
      <vt:variant>
        <vt:i4>0</vt:i4>
      </vt:variant>
      <vt:variant>
        <vt:i4>5</vt:i4>
      </vt:variant>
      <vt:variant>
        <vt:lpwstr>../Docs/R1-136057.zip</vt:lpwstr>
      </vt:variant>
      <vt:variant>
        <vt:lpwstr/>
      </vt:variant>
      <vt:variant>
        <vt:i4>4325388</vt:i4>
      </vt:variant>
      <vt:variant>
        <vt:i4>2028</vt:i4>
      </vt:variant>
      <vt:variant>
        <vt:i4>0</vt:i4>
      </vt:variant>
      <vt:variant>
        <vt:i4>5</vt:i4>
      </vt:variant>
      <vt:variant>
        <vt:lpwstr>../Docs/R1-136057.zip</vt:lpwstr>
      </vt:variant>
      <vt:variant>
        <vt:lpwstr/>
      </vt:variant>
      <vt:variant>
        <vt:i4>4194310</vt:i4>
      </vt:variant>
      <vt:variant>
        <vt:i4>2025</vt:i4>
      </vt:variant>
      <vt:variant>
        <vt:i4>0</vt:i4>
      </vt:variant>
      <vt:variant>
        <vt:i4>5</vt:i4>
      </vt:variant>
      <vt:variant>
        <vt:lpwstr>../Docs/R1-135944.zip</vt:lpwstr>
      </vt:variant>
      <vt:variant>
        <vt:lpwstr/>
      </vt:variant>
      <vt:variant>
        <vt:i4>4456462</vt:i4>
      </vt:variant>
      <vt:variant>
        <vt:i4>2022</vt:i4>
      </vt:variant>
      <vt:variant>
        <vt:i4>0</vt:i4>
      </vt:variant>
      <vt:variant>
        <vt:i4>5</vt:i4>
      </vt:variant>
      <vt:variant>
        <vt:lpwstr>../Docs/R1-135104.zip</vt:lpwstr>
      </vt:variant>
      <vt:variant>
        <vt:lpwstr/>
      </vt:variant>
      <vt:variant>
        <vt:i4>4194310</vt:i4>
      </vt:variant>
      <vt:variant>
        <vt:i4>2019</vt:i4>
      </vt:variant>
      <vt:variant>
        <vt:i4>0</vt:i4>
      </vt:variant>
      <vt:variant>
        <vt:i4>5</vt:i4>
      </vt:variant>
      <vt:variant>
        <vt:lpwstr>../Docs/R1-135944.zip</vt:lpwstr>
      </vt:variant>
      <vt:variant>
        <vt:lpwstr/>
      </vt:variant>
      <vt:variant>
        <vt:i4>4653065</vt:i4>
      </vt:variant>
      <vt:variant>
        <vt:i4>2016</vt:i4>
      </vt:variant>
      <vt:variant>
        <vt:i4>0</vt:i4>
      </vt:variant>
      <vt:variant>
        <vt:i4>5</vt:i4>
      </vt:variant>
      <vt:variant>
        <vt:lpwstr>../Docs/R1-135133.zip</vt:lpwstr>
      </vt:variant>
      <vt:variant>
        <vt:lpwstr/>
      </vt:variant>
      <vt:variant>
        <vt:i4>4587520</vt:i4>
      </vt:variant>
      <vt:variant>
        <vt:i4>2013</vt:i4>
      </vt:variant>
      <vt:variant>
        <vt:i4>0</vt:i4>
      </vt:variant>
      <vt:variant>
        <vt:i4>5</vt:i4>
      </vt:variant>
      <vt:variant>
        <vt:lpwstr>../Docs/R1-135823.zip</vt:lpwstr>
      </vt:variant>
      <vt:variant>
        <vt:lpwstr/>
      </vt:variant>
      <vt:variant>
        <vt:i4>4194313</vt:i4>
      </vt:variant>
      <vt:variant>
        <vt:i4>2010</vt:i4>
      </vt:variant>
      <vt:variant>
        <vt:i4>0</vt:i4>
      </vt:variant>
      <vt:variant>
        <vt:i4>5</vt:i4>
      </vt:variant>
      <vt:variant>
        <vt:lpwstr>../Docs/R1-135644.zip</vt:lpwstr>
      </vt:variant>
      <vt:variant>
        <vt:lpwstr/>
      </vt:variant>
      <vt:variant>
        <vt:i4>4194311</vt:i4>
      </vt:variant>
      <vt:variant>
        <vt:i4>2007</vt:i4>
      </vt:variant>
      <vt:variant>
        <vt:i4>0</vt:i4>
      </vt:variant>
      <vt:variant>
        <vt:i4>5</vt:i4>
      </vt:variant>
      <vt:variant>
        <vt:lpwstr>../Docs/R1-134559.zip</vt:lpwstr>
      </vt:variant>
      <vt:variant>
        <vt:lpwstr/>
      </vt:variant>
      <vt:variant>
        <vt:i4>4456460</vt:i4>
      </vt:variant>
      <vt:variant>
        <vt:i4>2004</vt:i4>
      </vt:variant>
      <vt:variant>
        <vt:i4>0</vt:i4>
      </vt:variant>
      <vt:variant>
        <vt:i4>5</vt:i4>
      </vt:variant>
      <vt:variant>
        <vt:lpwstr>../Docs/R1-135601.zip</vt:lpwstr>
      </vt:variant>
      <vt:variant>
        <vt:lpwstr/>
      </vt:variant>
      <vt:variant>
        <vt:i4>4390924</vt:i4>
      </vt:variant>
      <vt:variant>
        <vt:i4>2001</vt:i4>
      </vt:variant>
      <vt:variant>
        <vt:i4>0</vt:i4>
      </vt:variant>
      <vt:variant>
        <vt:i4>5</vt:i4>
      </vt:variant>
      <vt:variant>
        <vt:lpwstr>../Docs/R1-135572.zip</vt:lpwstr>
      </vt:variant>
      <vt:variant>
        <vt:lpwstr/>
      </vt:variant>
      <vt:variant>
        <vt:i4>4390927</vt:i4>
      </vt:variant>
      <vt:variant>
        <vt:i4>1998</vt:i4>
      </vt:variant>
      <vt:variant>
        <vt:i4>0</vt:i4>
      </vt:variant>
      <vt:variant>
        <vt:i4>5</vt:i4>
      </vt:variant>
      <vt:variant>
        <vt:lpwstr>../Docs/R1-135571.zip</vt:lpwstr>
      </vt:variant>
      <vt:variant>
        <vt:lpwstr/>
      </vt:variant>
      <vt:variant>
        <vt:i4>4456460</vt:i4>
      </vt:variant>
      <vt:variant>
        <vt:i4>1995</vt:i4>
      </vt:variant>
      <vt:variant>
        <vt:i4>0</vt:i4>
      </vt:variant>
      <vt:variant>
        <vt:i4>5</vt:i4>
      </vt:variant>
      <vt:variant>
        <vt:lpwstr>../Docs/R1-135502.zip</vt:lpwstr>
      </vt:variant>
      <vt:variant>
        <vt:lpwstr/>
      </vt:variant>
      <vt:variant>
        <vt:i4>4259846</vt:i4>
      </vt:variant>
      <vt:variant>
        <vt:i4>1992</vt:i4>
      </vt:variant>
      <vt:variant>
        <vt:i4>0</vt:i4>
      </vt:variant>
      <vt:variant>
        <vt:i4>5</vt:i4>
      </vt:variant>
      <vt:variant>
        <vt:lpwstr>../Docs/R1-135459.zip</vt:lpwstr>
      </vt:variant>
      <vt:variant>
        <vt:lpwstr/>
      </vt:variant>
      <vt:variant>
        <vt:i4>4259847</vt:i4>
      </vt:variant>
      <vt:variant>
        <vt:i4>1989</vt:i4>
      </vt:variant>
      <vt:variant>
        <vt:i4>0</vt:i4>
      </vt:variant>
      <vt:variant>
        <vt:i4>5</vt:i4>
      </vt:variant>
      <vt:variant>
        <vt:lpwstr>../Docs/R1-135458.zip</vt:lpwstr>
      </vt:variant>
      <vt:variant>
        <vt:lpwstr/>
      </vt:variant>
      <vt:variant>
        <vt:i4>4521995</vt:i4>
      </vt:variant>
      <vt:variant>
        <vt:i4>1986</vt:i4>
      </vt:variant>
      <vt:variant>
        <vt:i4>0</vt:i4>
      </vt:variant>
      <vt:variant>
        <vt:i4>5</vt:i4>
      </vt:variant>
      <vt:variant>
        <vt:lpwstr>../Docs/R1-135414.zip</vt:lpwstr>
      </vt:variant>
      <vt:variant>
        <vt:lpwstr/>
      </vt:variant>
      <vt:variant>
        <vt:i4>4325387</vt:i4>
      </vt:variant>
      <vt:variant>
        <vt:i4>1983</vt:i4>
      </vt:variant>
      <vt:variant>
        <vt:i4>0</vt:i4>
      </vt:variant>
      <vt:variant>
        <vt:i4>5</vt:i4>
      </vt:variant>
      <vt:variant>
        <vt:lpwstr>../Docs/R1-134373.zip</vt:lpwstr>
      </vt:variant>
      <vt:variant>
        <vt:lpwstr/>
      </vt:variant>
      <vt:variant>
        <vt:i4>5046283</vt:i4>
      </vt:variant>
      <vt:variant>
        <vt:i4>1980</vt:i4>
      </vt:variant>
      <vt:variant>
        <vt:i4>0</vt:i4>
      </vt:variant>
      <vt:variant>
        <vt:i4>5</vt:i4>
      </vt:variant>
      <vt:variant>
        <vt:lpwstr>../Docs/R1-135393.zip</vt:lpwstr>
      </vt:variant>
      <vt:variant>
        <vt:lpwstr/>
      </vt:variant>
      <vt:variant>
        <vt:i4>4325387</vt:i4>
      </vt:variant>
      <vt:variant>
        <vt:i4>1977</vt:i4>
      </vt:variant>
      <vt:variant>
        <vt:i4>0</vt:i4>
      </vt:variant>
      <vt:variant>
        <vt:i4>5</vt:i4>
      </vt:variant>
      <vt:variant>
        <vt:lpwstr>../Docs/R1-135363.zip</vt:lpwstr>
      </vt:variant>
      <vt:variant>
        <vt:lpwstr/>
      </vt:variant>
      <vt:variant>
        <vt:i4>4259840</vt:i4>
      </vt:variant>
      <vt:variant>
        <vt:i4>1974</vt:i4>
      </vt:variant>
      <vt:variant>
        <vt:i4>0</vt:i4>
      </vt:variant>
      <vt:variant>
        <vt:i4>5</vt:i4>
      </vt:variant>
      <vt:variant>
        <vt:lpwstr>../Docs/R1-135358.zip</vt:lpwstr>
      </vt:variant>
      <vt:variant>
        <vt:lpwstr/>
      </vt:variant>
      <vt:variant>
        <vt:i4>4259855</vt:i4>
      </vt:variant>
      <vt:variant>
        <vt:i4>1971</vt:i4>
      </vt:variant>
      <vt:variant>
        <vt:i4>0</vt:i4>
      </vt:variant>
      <vt:variant>
        <vt:i4>5</vt:i4>
      </vt:variant>
      <vt:variant>
        <vt:lpwstr>../Docs/R1-135357.zip</vt:lpwstr>
      </vt:variant>
      <vt:variant>
        <vt:lpwstr/>
      </vt:variant>
      <vt:variant>
        <vt:i4>5046284</vt:i4>
      </vt:variant>
      <vt:variant>
        <vt:i4>1968</vt:i4>
      </vt:variant>
      <vt:variant>
        <vt:i4>0</vt:i4>
      </vt:variant>
      <vt:variant>
        <vt:i4>5</vt:i4>
      </vt:variant>
      <vt:variant>
        <vt:lpwstr>../Docs/R1-135295.zip</vt:lpwstr>
      </vt:variant>
      <vt:variant>
        <vt:lpwstr/>
      </vt:variant>
      <vt:variant>
        <vt:i4>4259850</vt:i4>
      </vt:variant>
      <vt:variant>
        <vt:i4>1965</vt:i4>
      </vt:variant>
      <vt:variant>
        <vt:i4>0</vt:i4>
      </vt:variant>
      <vt:variant>
        <vt:i4>5</vt:i4>
      </vt:variant>
      <vt:variant>
        <vt:lpwstr>../Docs/R1-135253.zip</vt:lpwstr>
      </vt:variant>
      <vt:variant>
        <vt:lpwstr/>
      </vt:variant>
      <vt:variant>
        <vt:i4>4259851</vt:i4>
      </vt:variant>
      <vt:variant>
        <vt:i4>1962</vt:i4>
      </vt:variant>
      <vt:variant>
        <vt:i4>0</vt:i4>
      </vt:variant>
      <vt:variant>
        <vt:i4>5</vt:i4>
      </vt:variant>
      <vt:variant>
        <vt:lpwstr>../Docs/R1-135252.zip</vt:lpwstr>
      </vt:variant>
      <vt:variant>
        <vt:lpwstr/>
      </vt:variant>
      <vt:variant>
        <vt:i4>5046287</vt:i4>
      </vt:variant>
      <vt:variant>
        <vt:i4>1959</vt:i4>
      </vt:variant>
      <vt:variant>
        <vt:i4>0</vt:i4>
      </vt:variant>
      <vt:variant>
        <vt:i4>5</vt:i4>
      </vt:variant>
      <vt:variant>
        <vt:lpwstr>../Docs/R1-135195.zip</vt:lpwstr>
      </vt:variant>
      <vt:variant>
        <vt:lpwstr/>
      </vt:variant>
      <vt:variant>
        <vt:i4>4259854</vt:i4>
      </vt:variant>
      <vt:variant>
        <vt:i4>1956</vt:i4>
      </vt:variant>
      <vt:variant>
        <vt:i4>0</vt:i4>
      </vt:variant>
      <vt:variant>
        <vt:i4>5</vt:i4>
      </vt:variant>
      <vt:variant>
        <vt:lpwstr>../Docs/R1-135154.zip</vt:lpwstr>
      </vt:variant>
      <vt:variant>
        <vt:lpwstr/>
      </vt:variant>
      <vt:variant>
        <vt:i4>4587523</vt:i4>
      </vt:variant>
      <vt:variant>
        <vt:i4>1953</vt:i4>
      </vt:variant>
      <vt:variant>
        <vt:i4>0</vt:i4>
      </vt:variant>
      <vt:variant>
        <vt:i4>5</vt:i4>
      </vt:variant>
      <vt:variant>
        <vt:lpwstr>../Docs/R1-135129.zip</vt:lpwstr>
      </vt:variant>
      <vt:variant>
        <vt:lpwstr/>
      </vt:variant>
      <vt:variant>
        <vt:i4>4325391</vt:i4>
      </vt:variant>
      <vt:variant>
        <vt:i4>1950</vt:i4>
      </vt:variant>
      <vt:variant>
        <vt:i4>0</vt:i4>
      </vt:variant>
      <vt:variant>
        <vt:i4>5</vt:i4>
      </vt:variant>
      <vt:variant>
        <vt:lpwstr>../Docs/R1-135064.zip</vt:lpwstr>
      </vt:variant>
      <vt:variant>
        <vt:lpwstr/>
      </vt:variant>
      <vt:variant>
        <vt:i4>4325384</vt:i4>
      </vt:variant>
      <vt:variant>
        <vt:i4>1947</vt:i4>
      </vt:variant>
      <vt:variant>
        <vt:i4>0</vt:i4>
      </vt:variant>
      <vt:variant>
        <vt:i4>5</vt:i4>
      </vt:variant>
      <vt:variant>
        <vt:lpwstr>../Docs/R1-135063.zip</vt:lpwstr>
      </vt:variant>
      <vt:variant>
        <vt:lpwstr/>
      </vt:variant>
      <vt:variant>
        <vt:i4>4456457</vt:i4>
      </vt:variant>
      <vt:variant>
        <vt:i4>1944</vt:i4>
      </vt:variant>
      <vt:variant>
        <vt:i4>0</vt:i4>
      </vt:variant>
      <vt:variant>
        <vt:i4>5</vt:i4>
      </vt:variant>
      <vt:variant>
        <vt:lpwstr>../Docs/R1-135103.zip</vt:lpwstr>
      </vt:variant>
      <vt:variant>
        <vt:lpwstr/>
      </vt:variant>
      <vt:variant>
        <vt:i4>4521986</vt:i4>
      </vt:variant>
      <vt:variant>
        <vt:i4>1941</vt:i4>
      </vt:variant>
      <vt:variant>
        <vt:i4>0</vt:i4>
      </vt:variant>
      <vt:variant>
        <vt:i4>5</vt:i4>
      </vt:variant>
      <vt:variant>
        <vt:lpwstr>../Docs/R1-135019.zip</vt:lpwstr>
      </vt:variant>
      <vt:variant>
        <vt:lpwstr/>
      </vt:variant>
      <vt:variant>
        <vt:i4>4194305</vt:i4>
      </vt:variant>
      <vt:variant>
        <vt:i4>1938</vt:i4>
      </vt:variant>
      <vt:variant>
        <vt:i4>0</vt:i4>
      </vt:variant>
      <vt:variant>
        <vt:i4>5</vt:i4>
      </vt:variant>
      <vt:variant>
        <vt:lpwstr>../Docs/R1-135943.zip</vt:lpwstr>
      </vt:variant>
      <vt:variant>
        <vt:lpwstr/>
      </vt:variant>
      <vt:variant>
        <vt:i4>4587532</vt:i4>
      </vt:variant>
      <vt:variant>
        <vt:i4>1935</vt:i4>
      </vt:variant>
      <vt:variant>
        <vt:i4>0</vt:i4>
      </vt:variant>
      <vt:variant>
        <vt:i4>5</vt:i4>
      </vt:variant>
      <vt:variant>
        <vt:lpwstr>../Docs/R1-135423.zip</vt:lpwstr>
      </vt:variant>
      <vt:variant>
        <vt:lpwstr/>
      </vt:variant>
      <vt:variant>
        <vt:i4>4587533</vt:i4>
      </vt:variant>
      <vt:variant>
        <vt:i4>1932</vt:i4>
      </vt:variant>
      <vt:variant>
        <vt:i4>0</vt:i4>
      </vt:variant>
      <vt:variant>
        <vt:i4>5</vt:i4>
      </vt:variant>
      <vt:variant>
        <vt:lpwstr>../Docs/R1-135422.zip</vt:lpwstr>
      </vt:variant>
      <vt:variant>
        <vt:lpwstr/>
      </vt:variant>
      <vt:variant>
        <vt:i4>4653069</vt:i4>
      </vt:variant>
      <vt:variant>
        <vt:i4>1929</vt:i4>
      </vt:variant>
      <vt:variant>
        <vt:i4>0</vt:i4>
      </vt:variant>
      <vt:variant>
        <vt:i4>5</vt:i4>
      </vt:variant>
      <vt:variant>
        <vt:lpwstr>../Docs/R1-136006.zip</vt:lpwstr>
      </vt:variant>
      <vt:variant>
        <vt:lpwstr/>
      </vt:variant>
      <vt:variant>
        <vt:i4>5046282</vt:i4>
      </vt:variant>
      <vt:variant>
        <vt:i4>1926</vt:i4>
      </vt:variant>
      <vt:variant>
        <vt:i4>0</vt:i4>
      </vt:variant>
      <vt:variant>
        <vt:i4>5</vt:i4>
      </vt:variant>
      <vt:variant>
        <vt:lpwstr>../Docs/R1-135392.zip</vt:lpwstr>
      </vt:variant>
      <vt:variant>
        <vt:lpwstr/>
      </vt:variant>
      <vt:variant>
        <vt:i4>4325391</vt:i4>
      </vt:variant>
      <vt:variant>
        <vt:i4>1923</vt:i4>
      </vt:variant>
      <vt:variant>
        <vt:i4>0</vt:i4>
      </vt:variant>
      <vt:variant>
        <vt:i4>5</vt:i4>
      </vt:variant>
      <vt:variant>
        <vt:lpwstr>../Docs/R1-135763.zip</vt:lpwstr>
      </vt:variant>
      <vt:variant>
        <vt:lpwstr/>
      </vt:variant>
      <vt:variant>
        <vt:i4>4194318</vt:i4>
      </vt:variant>
      <vt:variant>
        <vt:i4>1920</vt:i4>
      </vt:variant>
      <vt:variant>
        <vt:i4>0</vt:i4>
      </vt:variant>
      <vt:variant>
        <vt:i4>5</vt:i4>
      </vt:variant>
      <vt:variant>
        <vt:lpwstr>../Docs/R1-135643.zip</vt:lpwstr>
      </vt:variant>
      <vt:variant>
        <vt:lpwstr/>
      </vt:variant>
      <vt:variant>
        <vt:i4>4194310</vt:i4>
      </vt:variant>
      <vt:variant>
        <vt:i4>1917</vt:i4>
      </vt:variant>
      <vt:variant>
        <vt:i4>0</vt:i4>
      </vt:variant>
      <vt:variant>
        <vt:i4>5</vt:i4>
      </vt:variant>
      <vt:variant>
        <vt:lpwstr>../Docs/R1-134558.zip</vt:lpwstr>
      </vt:variant>
      <vt:variant>
        <vt:lpwstr/>
      </vt:variant>
      <vt:variant>
        <vt:i4>4456461</vt:i4>
      </vt:variant>
      <vt:variant>
        <vt:i4>1914</vt:i4>
      </vt:variant>
      <vt:variant>
        <vt:i4>0</vt:i4>
      </vt:variant>
      <vt:variant>
        <vt:i4>5</vt:i4>
      </vt:variant>
      <vt:variant>
        <vt:lpwstr>../Docs/R1-135600.zip</vt:lpwstr>
      </vt:variant>
      <vt:variant>
        <vt:lpwstr/>
      </vt:variant>
      <vt:variant>
        <vt:i4>4390926</vt:i4>
      </vt:variant>
      <vt:variant>
        <vt:i4>1911</vt:i4>
      </vt:variant>
      <vt:variant>
        <vt:i4>0</vt:i4>
      </vt:variant>
      <vt:variant>
        <vt:i4>5</vt:i4>
      </vt:variant>
      <vt:variant>
        <vt:lpwstr>../Docs/R1-135570.zip</vt:lpwstr>
      </vt:variant>
      <vt:variant>
        <vt:lpwstr/>
      </vt:variant>
      <vt:variant>
        <vt:i4>4259848</vt:i4>
      </vt:variant>
      <vt:variant>
        <vt:i4>1908</vt:i4>
      </vt:variant>
      <vt:variant>
        <vt:i4>0</vt:i4>
      </vt:variant>
      <vt:variant>
        <vt:i4>5</vt:i4>
      </vt:variant>
      <vt:variant>
        <vt:lpwstr>../Docs/R1-135457.zip</vt:lpwstr>
      </vt:variant>
      <vt:variant>
        <vt:lpwstr/>
      </vt:variant>
      <vt:variant>
        <vt:i4>4259854</vt:i4>
      </vt:variant>
      <vt:variant>
        <vt:i4>1905</vt:i4>
      </vt:variant>
      <vt:variant>
        <vt:i4>0</vt:i4>
      </vt:variant>
      <vt:variant>
        <vt:i4>5</vt:i4>
      </vt:variant>
      <vt:variant>
        <vt:lpwstr>../Docs/R1-135356.zip</vt:lpwstr>
      </vt:variant>
      <vt:variant>
        <vt:lpwstr/>
      </vt:variant>
      <vt:variant>
        <vt:i4>4194313</vt:i4>
      </vt:variant>
      <vt:variant>
        <vt:i4>1902</vt:i4>
      </vt:variant>
      <vt:variant>
        <vt:i4>0</vt:i4>
      </vt:variant>
      <vt:variant>
        <vt:i4>5</vt:i4>
      </vt:variant>
      <vt:variant>
        <vt:lpwstr>../Docs/R1-135341.zip</vt:lpwstr>
      </vt:variant>
      <vt:variant>
        <vt:lpwstr/>
      </vt:variant>
      <vt:variant>
        <vt:i4>4325391</vt:i4>
      </vt:variant>
      <vt:variant>
        <vt:i4>1899</vt:i4>
      </vt:variant>
      <vt:variant>
        <vt:i4>0</vt:i4>
      </vt:variant>
      <vt:variant>
        <vt:i4>5</vt:i4>
      </vt:variant>
      <vt:variant>
        <vt:lpwstr>../Docs/R1-135266.zip</vt:lpwstr>
      </vt:variant>
      <vt:variant>
        <vt:lpwstr/>
      </vt:variant>
      <vt:variant>
        <vt:i4>4259853</vt:i4>
      </vt:variant>
      <vt:variant>
        <vt:i4>1896</vt:i4>
      </vt:variant>
      <vt:variant>
        <vt:i4>0</vt:i4>
      </vt:variant>
      <vt:variant>
        <vt:i4>5</vt:i4>
      </vt:variant>
      <vt:variant>
        <vt:lpwstr>../Docs/R1-135254.zip</vt:lpwstr>
      </vt:variant>
      <vt:variant>
        <vt:lpwstr/>
      </vt:variant>
      <vt:variant>
        <vt:i4>5046286</vt:i4>
      </vt:variant>
      <vt:variant>
        <vt:i4>1893</vt:i4>
      </vt:variant>
      <vt:variant>
        <vt:i4>0</vt:i4>
      </vt:variant>
      <vt:variant>
        <vt:i4>5</vt:i4>
      </vt:variant>
      <vt:variant>
        <vt:lpwstr>../Docs/R1-135194.zip</vt:lpwstr>
      </vt:variant>
      <vt:variant>
        <vt:lpwstr/>
      </vt:variant>
      <vt:variant>
        <vt:i4>4259849</vt:i4>
      </vt:variant>
      <vt:variant>
        <vt:i4>1890</vt:i4>
      </vt:variant>
      <vt:variant>
        <vt:i4>0</vt:i4>
      </vt:variant>
      <vt:variant>
        <vt:i4>5</vt:i4>
      </vt:variant>
      <vt:variant>
        <vt:lpwstr>../Docs/R1-135153.zip</vt:lpwstr>
      </vt:variant>
      <vt:variant>
        <vt:lpwstr/>
      </vt:variant>
      <vt:variant>
        <vt:i4>4259848</vt:i4>
      </vt:variant>
      <vt:variant>
        <vt:i4>1887</vt:i4>
      </vt:variant>
      <vt:variant>
        <vt:i4>0</vt:i4>
      </vt:variant>
      <vt:variant>
        <vt:i4>5</vt:i4>
      </vt:variant>
      <vt:variant>
        <vt:lpwstr>../Docs/R1-135152.zip</vt:lpwstr>
      </vt:variant>
      <vt:variant>
        <vt:lpwstr/>
      </vt:variant>
      <vt:variant>
        <vt:i4>4456456</vt:i4>
      </vt:variant>
      <vt:variant>
        <vt:i4>1884</vt:i4>
      </vt:variant>
      <vt:variant>
        <vt:i4>0</vt:i4>
      </vt:variant>
      <vt:variant>
        <vt:i4>5</vt:i4>
      </vt:variant>
      <vt:variant>
        <vt:lpwstr>../Docs/R1-135102.zip</vt:lpwstr>
      </vt:variant>
      <vt:variant>
        <vt:lpwstr/>
      </vt:variant>
      <vt:variant>
        <vt:i4>4325385</vt:i4>
      </vt:variant>
      <vt:variant>
        <vt:i4>1881</vt:i4>
      </vt:variant>
      <vt:variant>
        <vt:i4>0</vt:i4>
      </vt:variant>
      <vt:variant>
        <vt:i4>5</vt:i4>
      </vt:variant>
      <vt:variant>
        <vt:lpwstr>../Docs/R1-135062.zip</vt:lpwstr>
      </vt:variant>
      <vt:variant>
        <vt:lpwstr/>
      </vt:variant>
      <vt:variant>
        <vt:i4>4521987</vt:i4>
      </vt:variant>
      <vt:variant>
        <vt:i4>1878</vt:i4>
      </vt:variant>
      <vt:variant>
        <vt:i4>0</vt:i4>
      </vt:variant>
      <vt:variant>
        <vt:i4>5</vt:i4>
      </vt:variant>
      <vt:variant>
        <vt:lpwstr>../Docs/R1-135018.zip</vt:lpwstr>
      </vt:variant>
      <vt:variant>
        <vt:lpwstr/>
      </vt:variant>
      <vt:variant>
        <vt:i4>4456449</vt:i4>
      </vt:variant>
      <vt:variant>
        <vt:i4>1875</vt:i4>
      </vt:variant>
      <vt:variant>
        <vt:i4>0</vt:i4>
      </vt:variant>
      <vt:variant>
        <vt:i4>5</vt:i4>
      </vt:variant>
      <vt:variant>
        <vt:lpwstr>../Docs/R1-135802.zip</vt:lpwstr>
      </vt:variant>
      <vt:variant>
        <vt:lpwstr/>
      </vt:variant>
      <vt:variant>
        <vt:i4>4456449</vt:i4>
      </vt:variant>
      <vt:variant>
        <vt:i4>1872</vt:i4>
      </vt:variant>
      <vt:variant>
        <vt:i4>0</vt:i4>
      </vt:variant>
      <vt:variant>
        <vt:i4>5</vt:i4>
      </vt:variant>
      <vt:variant>
        <vt:lpwstr>../Docs/R1-135802.zip</vt:lpwstr>
      </vt:variant>
      <vt:variant>
        <vt:lpwstr/>
      </vt:variant>
      <vt:variant>
        <vt:i4>2228239</vt:i4>
      </vt:variant>
      <vt:variant>
        <vt:i4>1869</vt:i4>
      </vt:variant>
      <vt:variant>
        <vt:i4>0</vt:i4>
      </vt:variant>
      <vt:variant>
        <vt:i4>5</vt:i4>
      </vt:variant>
      <vt:variant>
        <vt:lpwstr>http://www.3gpp.org/ftp/tsg_ran/TSG_RAN/TSGR_60/Docs/RP-130848.zip</vt:lpwstr>
      </vt:variant>
      <vt:variant>
        <vt:lpwstr/>
      </vt:variant>
      <vt:variant>
        <vt:i4>4259849</vt:i4>
      </vt:variant>
      <vt:variant>
        <vt:i4>1866</vt:i4>
      </vt:variant>
      <vt:variant>
        <vt:i4>0</vt:i4>
      </vt:variant>
      <vt:variant>
        <vt:i4>5</vt:i4>
      </vt:variant>
      <vt:variant>
        <vt:lpwstr>../Docs/R1-135456.zip</vt:lpwstr>
      </vt:variant>
      <vt:variant>
        <vt:lpwstr/>
      </vt:variant>
      <vt:variant>
        <vt:i4>4521996</vt:i4>
      </vt:variant>
      <vt:variant>
        <vt:i4>1863</vt:i4>
      </vt:variant>
      <vt:variant>
        <vt:i4>0</vt:i4>
      </vt:variant>
      <vt:variant>
        <vt:i4>5</vt:i4>
      </vt:variant>
      <vt:variant>
        <vt:lpwstr>../Docs/R1-135413.zip</vt:lpwstr>
      </vt:variant>
      <vt:variant>
        <vt:lpwstr/>
      </vt:variant>
      <vt:variant>
        <vt:i4>5046285</vt:i4>
      </vt:variant>
      <vt:variant>
        <vt:i4>1860</vt:i4>
      </vt:variant>
      <vt:variant>
        <vt:i4>0</vt:i4>
      </vt:variant>
      <vt:variant>
        <vt:i4>5</vt:i4>
      </vt:variant>
      <vt:variant>
        <vt:lpwstr>../Docs/R1-135294.zip</vt:lpwstr>
      </vt:variant>
      <vt:variant>
        <vt:lpwstr/>
      </vt:variant>
      <vt:variant>
        <vt:i4>5046282</vt:i4>
      </vt:variant>
      <vt:variant>
        <vt:i4>1857</vt:i4>
      </vt:variant>
      <vt:variant>
        <vt:i4>0</vt:i4>
      </vt:variant>
      <vt:variant>
        <vt:i4>5</vt:i4>
      </vt:variant>
      <vt:variant>
        <vt:lpwstr>../Docs/R1-135293.zip</vt:lpwstr>
      </vt:variant>
      <vt:variant>
        <vt:lpwstr/>
      </vt:variant>
      <vt:variant>
        <vt:i4>4325386</vt:i4>
      </vt:variant>
      <vt:variant>
        <vt:i4>1854</vt:i4>
      </vt:variant>
      <vt:variant>
        <vt:i4>0</vt:i4>
      </vt:variant>
      <vt:variant>
        <vt:i4>5</vt:i4>
      </vt:variant>
      <vt:variant>
        <vt:lpwstr>../Docs/R1-135061.zip</vt:lpwstr>
      </vt:variant>
      <vt:variant>
        <vt:lpwstr/>
      </vt:variant>
      <vt:variant>
        <vt:i4>4194319</vt:i4>
      </vt:variant>
      <vt:variant>
        <vt:i4>1851</vt:i4>
      </vt:variant>
      <vt:variant>
        <vt:i4>0</vt:i4>
      </vt:variant>
      <vt:variant>
        <vt:i4>5</vt:i4>
      </vt:variant>
      <vt:variant>
        <vt:lpwstr>../Docs/R1-135642.zip</vt:lpwstr>
      </vt:variant>
      <vt:variant>
        <vt:lpwstr/>
      </vt:variant>
      <vt:variant>
        <vt:i4>4325386</vt:i4>
      </vt:variant>
      <vt:variant>
        <vt:i4>1848</vt:i4>
      </vt:variant>
      <vt:variant>
        <vt:i4>0</vt:i4>
      </vt:variant>
      <vt:variant>
        <vt:i4>5</vt:i4>
      </vt:variant>
      <vt:variant>
        <vt:lpwstr>../Docs/R1-135564.zip</vt:lpwstr>
      </vt:variant>
      <vt:variant>
        <vt:lpwstr/>
      </vt:variant>
      <vt:variant>
        <vt:i4>4653065</vt:i4>
      </vt:variant>
      <vt:variant>
        <vt:i4>1845</vt:i4>
      </vt:variant>
      <vt:variant>
        <vt:i4>0</vt:i4>
      </vt:variant>
      <vt:variant>
        <vt:i4>5</vt:i4>
      </vt:variant>
      <vt:variant>
        <vt:lpwstr>../Docs/R1-135537.zip</vt:lpwstr>
      </vt:variant>
      <vt:variant>
        <vt:lpwstr/>
      </vt:variant>
      <vt:variant>
        <vt:i4>4194312</vt:i4>
      </vt:variant>
      <vt:variant>
        <vt:i4>1842</vt:i4>
      </vt:variant>
      <vt:variant>
        <vt:i4>0</vt:i4>
      </vt:variant>
      <vt:variant>
        <vt:i4>5</vt:i4>
      </vt:variant>
      <vt:variant>
        <vt:lpwstr>../Docs/R1-135340.zip</vt:lpwstr>
      </vt:variant>
      <vt:variant>
        <vt:lpwstr/>
      </vt:variant>
      <vt:variant>
        <vt:i4>5046281</vt:i4>
      </vt:variant>
      <vt:variant>
        <vt:i4>1839</vt:i4>
      </vt:variant>
      <vt:variant>
        <vt:i4>0</vt:i4>
      </vt:variant>
      <vt:variant>
        <vt:i4>5</vt:i4>
      </vt:variant>
      <vt:variant>
        <vt:lpwstr>../Docs/R1-135193.zip</vt:lpwstr>
      </vt:variant>
      <vt:variant>
        <vt:lpwstr/>
      </vt:variant>
      <vt:variant>
        <vt:i4>5046280</vt:i4>
      </vt:variant>
      <vt:variant>
        <vt:i4>1836</vt:i4>
      </vt:variant>
      <vt:variant>
        <vt:i4>0</vt:i4>
      </vt:variant>
      <vt:variant>
        <vt:i4>5</vt:i4>
      </vt:variant>
      <vt:variant>
        <vt:lpwstr>../Docs/R1-135192.zip</vt:lpwstr>
      </vt:variant>
      <vt:variant>
        <vt:lpwstr/>
      </vt:variant>
      <vt:variant>
        <vt:i4>4325387</vt:i4>
      </vt:variant>
      <vt:variant>
        <vt:i4>1833</vt:i4>
      </vt:variant>
      <vt:variant>
        <vt:i4>0</vt:i4>
      </vt:variant>
      <vt:variant>
        <vt:i4>5</vt:i4>
      </vt:variant>
      <vt:variant>
        <vt:lpwstr>../Docs/R1-135060.zip</vt:lpwstr>
      </vt:variant>
      <vt:variant>
        <vt:lpwstr/>
      </vt:variant>
      <vt:variant>
        <vt:i4>4325381</vt:i4>
      </vt:variant>
      <vt:variant>
        <vt:i4>1830</vt:i4>
      </vt:variant>
      <vt:variant>
        <vt:i4>0</vt:i4>
      </vt:variant>
      <vt:variant>
        <vt:i4>5</vt:i4>
      </vt:variant>
      <vt:variant>
        <vt:lpwstr>../Docs/R1-135967.zip</vt:lpwstr>
      </vt:variant>
      <vt:variant>
        <vt:lpwstr/>
      </vt:variant>
      <vt:variant>
        <vt:i4>4194319</vt:i4>
      </vt:variant>
      <vt:variant>
        <vt:i4>1827</vt:i4>
      </vt:variant>
      <vt:variant>
        <vt:i4>0</vt:i4>
      </vt:variant>
      <vt:variant>
        <vt:i4>5</vt:i4>
      </vt:variant>
      <vt:variant>
        <vt:lpwstr>../Docs/R1-135642.zip</vt:lpwstr>
      </vt:variant>
      <vt:variant>
        <vt:lpwstr/>
      </vt:variant>
      <vt:variant>
        <vt:i4>4194316</vt:i4>
      </vt:variant>
      <vt:variant>
        <vt:i4>1824</vt:i4>
      </vt:variant>
      <vt:variant>
        <vt:i4>0</vt:i4>
      </vt:variant>
      <vt:variant>
        <vt:i4>5</vt:i4>
      </vt:variant>
      <vt:variant>
        <vt:lpwstr>../Docs/R1-135641.zip</vt:lpwstr>
      </vt:variant>
      <vt:variant>
        <vt:lpwstr/>
      </vt:variant>
      <vt:variant>
        <vt:i4>4259850</vt:i4>
      </vt:variant>
      <vt:variant>
        <vt:i4>1821</vt:i4>
      </vt:variant>
      <vt:variant>
        <vt:i4>0</vt:i4>
      </vt:variant>
      <vt:variant>
        <vt:i4>5</vt:i4>
      </vt:variant>
      <vt:variant>
        <vt:lpwstr>../Docs/R1-135455.zip</vt:lpwstr>
      </vt:variant>
      <vt:variant>
        <vt:lpwstr/>
      </vt:variant>
      <vt:variant>
        <vt:i4>4325390</vt:i4>
      </vt:variant>
      <vt:variant>
        <vt:i4>1818</vt:i4>
      </vt:variant>
      <vt:variant>
        <vt:i4>0</vt:i4>
      </vt:variant>
      <vt:variant>
        <vt:i4>5</vt:i4>
      </vt:variant>
      <vt:variant>
        <vt:lpwstr>../Docs/R1-135366.zip</vt:lpwstr>
      </vt:variant>
      <vt:variant>
        <vt:lpwstr/>
      </vt:variant>
      <vt:variant>
        <vt:i4>5046282</vt:i4>
      </vt:variant>
      <vt:variant>
        <vt:i4>1815</vt:i4>
      </vt:variant>
      <vt:variant>
        <vt:i4>0</vt:i4>
      </vt:variant>
      <vt:variant>
        <vt:i4>5</vt:i4>
      </vt:variant>
      <vt:variant>
        <vt:lpwstr>../Docs/R1-135190.zip</vt:lpwstr>
      </vt:variant>
      <vt:variant>
        <vt:lpwstr/>
      </vt:variant>
      <vt:variant>
        <vt:i4>4521997</vt:i4>
      </vt:variant>
      <vt:variant>
        <vt:i4>1812</vt:i4>
      </vt:variant>
      <vt:variant>
        <vt:i4>0</vt:i4>
      </vt:variant>
      <vt:variant>
        <vt:i4>5</vt:i4>
      </vt:variant>
      <vt:variant>
        <vt:lpwstr>../Docs/R1-135016.zip</vt:lpwstr>
      </vt:variant>
      <vt:variant>
        <vt:lpwstr/>
      </vt:variant>
      <vt:variant>
        <vt:i4>4521999</vt:i4>
      </vt:variant>
      <vt:variant>
        <vt:i4>1809</vt:i4>
      </vt:variant>
      <vt:variant>
        <vt:i4>0</vt:i4>
      </vt:variant>
      <vt:variant>
        <vt:i4>5</vt:i4>
      </vt:variant>
      <vt:variant>
        <vt:lpwstr>../Docs/R1-135014.zip</vt:lpwstr>
      </vt:variant>
      <vt:variant>
        <vt:lpwstr/>
      </vt:variant>
      <vt:variant>
        <vt:i4>4194316</vt:i4>
      </vt:variant>
      <vt:variant>
        <vt:i4>1806</vt:i4>
      </vt:variant>
      <vt:variant>
        <vt:i4>0</vt:i4>
      </vt:variant>
      <vt:variant>
        <vt:i4>5</vt:i4>
      </vt:variant>
      <vt:variant>
        <vt:lpwstr>../Docs/R1-135641.zip</vt:lpwstr>
      </vt:variant>
      <vt:variant>
        <vt:lpwstr/>
      </vt:variant>
      <vt:variant>
        <vt:i4>5046279</vt:i4>
      </vt:variant>
      <vt:variant>
        <vt:i4>1803</vt:i4>
      </vt:variant>
      <vt:variant>
        <vt:i4>0</vt:i4>
      </vt:variant>
      <vt:variant>
        <vt:i4>5</vt:i4>
      </vt:variant>
      <vt:variant>
        <vt:lpwstr>../Docs/R1-135599.zip</vt:lpwstr>
      </vt:variant>
      <vt:variant>
        <vt:lpwstr/>
      </vt:variant>
      <vt:variant>
        <vt:i4>4325388</vt:i4>
      </vt:variant>
      <vt:variant>
        <vt:i4>1800</vt:i4>
      </vt:variant>
      <vt:variant>
        <vt:i4>0</vt:i4>
      </vt:variant>
      <vt:variant>
        <vt:i4>5</vt:i4>
      </vt:variant>
      <vt:variant>
        <vt:lpwstr>../Docs/R1-135562.zip</vt:lpwstr>
      </vt:variant>
      <vt:variant>
        <vt:lpwstr/>
      </vt:variant>
      <vt:variant>
        <vt:i4>4653064</vt:i4>
      </vt:variant>
      <vt:variant>
        <vt:i4>1797</vt:i4>
      </vt:variant>
      <vt:variant>
        <vt:i4>0</vt:i4>
      </vt:variant>
      <vt:variant>
        <vt:i4>5</vt:i4>
      </vt:variant>
      <vt:variant>
        <vt:lpwstr>../Docs/R1-135536.zip</vt:lpwstr>
      </vt:variant>
      <vt:variant>
        <vt:lpwstr/>
      </vt:variant>
      <vt:variant>
        <vt:i4>4456454</vt:i4>
      </vt:variant>
      <vt:variant>
        <vt:i4>1794</vt:i4>
      </vt:variant>
      <vt:variant>
        <vt:i4>0</vt:i4>
      </vt:variant>
      <vt:variant>
        <vt:i4>5</vt:i4>
      </vt:variant>
      <vt:variant>
        <vt:lpwstr>../Docs/R1-135508.zip</vt:lpwstr>
      </vt:variant>
      <vt:variant>
        <vt:lpwstr/>
      </vt:variant>
      <vt:variant>
        <vt:i4>4259850</vt:i4>
      </vt:variant>
      <vt:variant>
        <vt:i4>1791</vt:i4>
      </vt:variant>
      <vt:variant>
        <vt:i4>0</vt:i4>
      </vt:variant>
      <vt:variant>
        <vt:i4>5</vt:i4>
      </vt:variant>
      <vt:variant>
        <vt:lpwstr>../Docs/R1-135455.zip</vt:lpwstr>
      </vt:variant>
      <vt:variant>
        <vt:lpwstr/>
      </vt:variant>
      <vt:variant>
        <vt:i4>4194314</vt:i4>
      </vt:variant>
      <vt:variant>
        <vt:i4>1788</vt:i4>
      </vt:variant>
      <vt:variant>
        <vt:i4>0</vt:i4>
      </vt:variant>
      <vt:variant>
        <vt:i4>5</vt:i4>
      </vt:variant>
      <vt:variant>
        <vt:lpwstr>../Docs/R1-135445.zip</vt:lpwstr>
      </vt:variant>
      <vt:variant>
        <vt:lpwstr/>
      </vt:variant>
      <vt:variant>
        <vt:i4>4587534</vt:i4>
      </vt:variant>
      <vt:variant>
        <vt:i4>1785</vt:i4>
      </vt:variant>
      <vt:variant>
        <vt:i4>0</vt:i4>
      </vt:variant>
      <vt:variant>
        <vt:i4>5</vt:i4>
      </vt:variant>
      <vt:variant>
        <vt:lpwstr>../Docs/R1-135421.zip</vt:lpwstr>
      </vt:variant>
      <vt:variant>
        <vt:lpwstr/>
      </vt:variant>
      <vt:variant>
        <vt:i4>4521998</vt:i4>
      </vt:variant>
      <vt:variant>
        <vt:i4>1782</vt:i4>
      </vt:variant>
      <vt:variant>
        <vt:i4>0</vt:i4>
      </vt:variant>
      <vt:variant>
        <vt:i4>5</vt:i4>
      </vt:variant>
      <vt:variant>
        <vt:lpwstr>../Docs/R1-135411.zip</vt:lpwstr>
      </vt:variant>
      <vt:variant>
        <vt:lpwstr/>
      </vt:variant>
      <vt:variant>
        <vt:i4>4325390</vt:i4>
      </vt:variant>
      <vt:variant>
        <vt:i4>1779</vt:i4>
      </vt:variant>
      <vt:variant>
        <vt:i4>0</vt:i4>
      </vt:variant>
      <vt:variant>
        <vt:i4>5</vt:i4>
      </vt:variant>
      <vt:variant>
        <vt:lpwstr>../Docs/R1-135366.zip</vt:lpwstr>
      </vt:variant>
      <vt:variant>
        <vt:lpwstr/>
      </vt:variant>
      <vt:variant>
        <vt:i4>4653057</vt:i4>
      </vt:variant>
      <vt:variant>
        <vt:i4>1776</vt:i4>
      </vt:variant>
      <vt:variant>
        <vt:i4>0</vt:i4>
      </vt:variant>
      <vt:variant>
        <vt:i4>5</vt:i4>
      </vt:variant>
      <vt:variant>
        <vt:lpwstr>../Docs/R1-135339.zip</vt:lpwstr>
      </vt:variant>
      <vt:variant>
        <vt:lpwstr/>
      </vt:variant>
      <vt:variant>
        <vt:i4>5046280</vt:i4>
      </vt:variant>
      <vt:variant>
        <vt:i4>1773</vt:i4>
      </vt:variant>
      <vt:variant>
        <vt:i4>0</vt:i4>
      </vt:variant>
      <vt:variant>
        <vt:i4>5</vt:i4>
      </vt:variant>
      <vt:variant>
        <vt:lpwstr>../Docs/R1-135291.zip</vt:lpwstr>
      </vt:variant>
      <vt:variant>
        <vt:lpwstr/>
      </vt:variant>
      <vt:variant>
        <vt:i4>4259855</vt:i4>
      </vt:variant>
      <vt:variant>
        <vt:i4>1770</vt:i4>
      </vt:variant>
      <vt:variant>
        <vt:i4>0</vt:i4>
      </vt:variant>
      <vt:variant>
        <vt:i4>5</vt:i4>
      </vt:variant>
      <vt:variant>
        <vt:lpwstr>../Docs/R1-135256.zip</vt:lpwstr>
      </vt:variant>
      <vt:variant>
        <vt:lpwstr/>
      </vt:variant>
      <vt:variant>
        <vt:i4>5046283</vt:i4>
      </vt:variant>
      <vt:variant>
        <vt:i4>1767</vt:i4>
      </vt:variant>
      <vt:variant>
        <vt:i4>0</vt:i4>
      </vt:variant>
      <vt:variant>
        <vt:i4>5</vt:i4>
      </vt:variant>
      <vt:variant>
        <vt:lpwstr>../Docs/R1-135191.zip</vt:lpwstr>
      </vt:variant>
      <vt:variant>
        <vt:lpwstr/>
      </vt:variant>
      <vt:variant>
        <vt:i4>4259842</vt:i4>
      </vt:variant>
      <vt:variant>
        <vt:i4>1764</vt:i4>
      </vt:variant>
      <vt:variant>
        <vt:i4>0</vt:i4>
      </vt:variant>
      <vt:variant>
        <vt:i4>5</vt:i4>
      </vt:variant>
      <vt:variant>
        <vt:lpwstr>../Docs/R1-135059.zip</vt:lpwstr>
      </vt:variant>
      <vt:variant>
        <vt:lpwstr/>
      </vt:variant>
      <vt:variant>
        <vt:i4>4521998</vt:i4>
      </vt:variant>
      <vt:variant>
        <vt:i4>1761</vt:i4>
      </vt:variant>
      <vt:variant>
        <vt:i4>0</vt:i4>
      </vt:variant>
      <vt:variant>
        <vt:i4>5</vt:i4>
      </vt:variant>
      <vt:variant>
        <vt:lpwstr>../Docs/R1-135015.zip</vt:lpwstr>
      </vt:variant>
      <vt:variant>
        <vt:lpwstr/>
      </vt:variant>
      <vt:variant>
        <vt:i4>5046279</vt:i4>
      </vt:variant>
      <vt:variant>
        <vt:i4>1758</vt:i4>
      </vt:variant>
      <vt:variant>
        <vt:i4>0</vt:i4>
      </vt:variant>
      <vt:variant>
        <vt:i4>5</vt:i4>
      </vt:variant>
      <vt:variant>
        <vt:lpwstr>../Docs/R1-135599.zip</vt:lpwstr>
      </vt:variant>
      <vt:variant>
        <vt:lpwstr/>
      </vt:variant>
      <vt:variant>
        <vt:i4>4325388</vt:i4>
      </vt:variant>
      <vt:variant>
        <vt:i4>1755</vt:i4>
      </vt:variant>
      <vt:variant>
        <vt:i4>0</vt:i4>
      </vt:variant>
      <vt:variant>
        <vt:i4>5</vt:i4>
      </vt:variant>
      <vt:variant>
        <vt:lpwstr>../Docs/R1-135562.zip</vt:lpwstr>
      </vt:variant>
      <vt:variant>
        <vt:lpwstr/>
      </vt:variant>
      <vt:variant>
        <vt:i4>4456454</vt:i4>
      </vt:variant>
      <vt:variant>
        <vt:i4>1752</vt:i4>
      </vt:variant>
      <vt:variant>
        <vt:i4>0</vt:i4>
      </vt:variant>
      <vt:variant>
        <vt:i4>5</vt:i4>
      </vt:variant>
      <vt:variant>
        <vt:lpwstr>../Docs/R1-135508.zip</vt:lpwstr>
      </vt:variant>
      <vt:variant>
        <vt:lpwstr/>
      </vt:variant>
      <vt:variant>
        <vt:i4>5046283</vt:i4>
      </vt:variant>
      <vt:variant>
        <vt:i4>1749</vt:i4>
      </vt:variant>
      <vt:variant>
        <vt:i4>0</vt:i4>
      </vt:variant>
      <vt:variant>
        <vt:i4>5</vt:i4>
      </vt:variant>
      <vt:variant>
        <vt:lpwstr>../Docs/R1-135292.zip</vt:lpwstr>
      </vt:variant>
      <vt:variant>
        <vt:lpwstr/>
      </vt:variant>
      <vt:variant>
        <vt:i4>5046283</vt:i4>
      </vt:variant>
      <vt:variant>
        <vt:i4>1746</vt:i4>
      </vt:variant>
      <vt:variant>
        <vt:i4>0</vt:i4>
      </vt:variant>
      <vt:variant>
        <vt:i4>5</vt:i4>
      </vt:variant>
      <vt:variant>
        <vt:lpwstr>../Docs/R1-135191.zip</vt:lpwstr>
      </vt:variant>
      <vt:variant>
        <vt:lpwstr/>
      </vt:variant>
      <vt:variant>
        <vt:i4>4980739</vt:i4>
      </vt:variant>
      <vt:variant>
        <vt:i4>1743</vt:i4>
      </vt:variant>
      <vt:variant>
        <vt:i4>0</vt:i4>
      </vt:variant>
      <vt:variant>
        <vt:i4>5</vt:i4>
      </vt:variant>
      <vt:variant>
        <vt:lpwstr>../Docs/R1-135189.zip</vt:lpwstr>
      </vt:variant>
      <vt:variant>
        <vt:lpwstr/>
      </vt:variant>
      <vt:variant>
        <vt:i4>4259843</vt:i4>
      </vt:variant>
      <vt:variant>
        <vt:i4>1740</vt:i4>
      </vt:variant>
      <vt:variant>
        <vt:i4>0</vt:i4>
      </vt:variant>
      <vt:variant>
        <vt:i4>5</vt:i4>
      </vt:variant>
      <vt:variant>
        <vt:lpwstr>../Docs/R1-135058.zip</vt:lpwstr>
      </vt:variant>
      <vt:variant>
        <vt:lpwstr/>
      </vt:variant>
      <vt:variant>
        <vt:i4>4194318</vt:i4>
      </vt:variant>
      <vt:variant>
        <vt:i4>1737</vt:i4>
      </vt:variant>
      <vt:variant>
        <vt:i4>0</vt:i4>
      </vt:variant>
      <vt:variant>
        <vt:i4>5</vt:i4>
      </vt:variant>
      <vt:variant>
        <vt:lpwstr>../Docs/R1-135247.zip</vt:lpwstr>
      </vt:variant>
      <vt:variant>
        <vt:lpwstr/>
      </vt:variant>
      <vt:variant>
        <vt:i4>4194319</vt:i4>
      </vt:variant>
      <vt:variant>
        <vt:i4>1734</vt:i4>
      </vt:variant>
      <vt:variant>
        <vt:i4>0</vt:i4>
      </vt:variant>
      <vt:variant>
        <vt:i4>5</vt:i4>
      </vt:variant>
      <vt:variant>
        <vt:lpwstr>../Docs/R1-135642.zip</vt:lpwstr>
      </vt:variant>
      <vt:variant>
        <vt:lpwstr/>
      </vt:variant>
      <vt:variant>
        <vt:i4>4325389</vt:i4>
      </vt:variant>
      <vt:variant>
        <vt:i4>1731</vt:i4>
      </vt:variant>
      <vt:variant>
        <vt:i4>0</vt:i4>
      </vt:variant>
      <vt:variant>
        <vt:i4>5</vt:i4>
      </vt:variant>
      <vt:variant>
        <vt:lpwstr>../Docs/R1-135563.zip</vt:lpwstr>
      </vt:variant>
      <vt:variant>
        <vt:lpwstr/>
      </vt:variant>
      <vt:variant>
        <vt:i4>4456454</vt:i4>
      </vt:variant>
      <vt:variant>
        <vt:i4>1728</vt:i4>
      </vt:variant>
      <vt:variant>
        <vt:i4>0</vt:i4>
      </vt:variant>
      <vt:variant>
        <vt:i4>5</vt:i4>
      </vt:variant>
      <vt:variant>
        <vt:lpwstr>../Docs/R1-135508.zip</vt:lpwstr>
      </vt:variant>
      <vt:variant>
        <vt:lpwstr/>
      </vt:variant>
      <vt:variant>
        <vt:i4>4456463</vt:i4>
      </vt:variant>
      <vt:variant>
        <vt:i4>1725</vt:i4>
      </vt:variant>
      <vt:variant>
        <vt:i4>0</vt:i4>
      </vt:variant>
      <vt:variant>
        <vt:i4>5</vt:i4>
      </vt:variant>
      <vt:variant>
        <vt:lpwstr>../Docs/R1-135501.zip</vt:lpwstr>
      </vt:variant>
      <vt:variant>
        <vt:lpwstr/>
      </vt:variant>
      <vt:variant>
        <vt:i4>4259850</vt:i4>
      </vt:variant>
      <vt:variant>
        <vt:i4>1722</vt:i4>
      </vt:variant>
      <vt:variant>
        <vt:i4>0</vt:i4>
      </vt:variant>
      <vt:variant>
        <vt:i4>5</vt:i4>
      </vt:variant>
      <vt:variant>
        <vt:lpwstr>../Docs/R1-135455.zip</vt:lpwstr>
      </vt:variant>
      <vt:variant>
        <vt:lpwstr/>
      </vt:variant>
      <vt:variant>
        <vt:i4>5046281</vt:i4>
      </vt:variant>
      <vt:variant>
        <vt:i4>1719</vt:i4>
      </vt:variant>
      <vt:variant>
        <vt:i4>0</vt:i4>
      </vt:variant>
      <vt:variant>
        <vt:i4>5</vt:i4>
      </vt:variant>
      <vt:variant>
        <vt:lpwstr>../Docs/R1-135391.zip</vt:lpwstr>
      </vt:variant>
      <vt:variant>
        <vt:lpwstr/>
      </vt:variant>
      <vt:variant>
        <vt:i4>4259854</vt:i4>
      </vt:variant>
      <vt:variant>
        <vt:i4>1716</vt:i4>
      </vt:variant>
      <vt:variant>
        <vt:i4>0</vt:i4>
      </vt:variant>
      <vt:variant>
        <vt:i4>5</vt:i4>
      </vt:variant>
      <vt:variant>
        <vt:lpwstr>../Docs/R1-135257.zip</vt:lpwstr>
      </vt:variant>
      <vt:variant>
        <vt:lpwstr/>
      </vt:variant>
      <vt:variant>
        <vt:i4>5046282</vt:i4>
      </vt:variant>
      <vt:variant>
        <vt:i4>1713</vt:i4>
      </vt:variant>
      <vt:variant>
        <vt:i4>0</vt:i4>
      </vt:variant>
      <vt:variant>
        <vt:i4>5</vt:i4>
      </vt:variant>
      <vt:variant>
        <vt:lpwstr>../Docs/R1-135190.zip</vt:lpwstr>
      </vt:variant>
      <vt:variant>
        <vt:lpwstr/>
      </vt:variant>
      <vt:variant>
        <vt:i4>4259843</vt:i4>
      </vt:variant>
      <vt:variant>
        <vt:i4>1710</vt:i4>
      </vt:variant>
      <vt:variant>
        <vt:i4>0</vt:i4>
      </vt:variant>
      <vt:variant>
        <vt:i4>5</vt:i4>
      </vt:variant>
      <vt:variant>
        <vt:lpwstr>../Docs/R1-135058.zip</vt:lpwstr>
      </vt:variant>
      <vt:variant>
        <vt:lpwstr/>
      </vt:variant>
      <vt:variant>
        <vt:i4>4521999</vt:i4>
      </vt:variant>
      <vt:variant>
        <vt:i4>1707</vt:i4>
      </vt:variant>
      <vt:variant>
        <vt:i4>0</vt:i4>
      </vt:variant>
      <vt:variant>
        <vt:i4>5</vt:i4>
      </vt:variant>
      <vt:variant>
        <vt:lpwstr>../Docs/R1-135014.zip</vt:lpwstr>
      </vt:variant>
      <vt:variant>
        <vt:lpwstr/>
      </vt:variant>
      <vt:variant>
        <vt:i4>4587525</vt:i4>
      </vt:variant>
      <vt:variant>
        <vt:i4>1704</vt:i4>
      </vt:variant>
      <vt:variant>
        <vt:i4>0</vt:i4>
      </vt:variant>
      <vt:variant>
        <vt:i4>5</vt:i4>
      </vt:variant>
      <vt:variant>
        <vt:lpwstr>../Docs/R1-135729.zip</vt:lpwstr>
      </vt:variant>
      <vt:variant>
        <vt:lpwstr/>
      </vt:variant>
      <vt:variant>
        <vt:i4>4325379</vt:i4>
      </vt:variant>
      <vt:variant>
        <vt:i4>1701</vt:i4>
      </vt:variant>
      <vt:variant>
        <vt:i4>0</vt:i4>
      </vt:variant>
      <vt:variant>
        <vt:i4>5</vt:i4>
      </vt:variant>
      <vt:variant>
        <vt:lpwstr>../Docs/R1-135961.zip</vt:lpwstr>
      </vt:variant>
      <vt:variant>
        <vt:lpwstr/>
      </vt:variant>
      <vt:variant>
        <vt:i4>4587524</vt:i4>
      </vt:variant>
      <vt:variant>
        <vt:i4>1698</vt:i4>
      </vt:variant>
      <vt:variant>
        <vt:i4>0</vt:i4>
      </vt:variant>
      <vt:variant>
        <vt:i4>5</vt:i4>
      </vt:variant>
      <vt:variant>
        <vt:lpwstr>../Docs/R1-135728.zip</vt:lpwstr>
      </vt:variant>
      <vt:variant>
        <vt:lpwstr/>
      </vt:variant>
      <vt:variant>
        <vt:i4>4587531</vt:i4>
      </vt:variant>
      <vt:variant>
        <vt:i4>1695</vt:i4>
      </vt:variant>
      <vt:variant>
        <vt:i4>0</vt:i4>
      </vt:variant>
      <vt:variant>
        <vt:i4>5</vt:i4>
      </vt:variant>
      <vt:variant>
        <vt:lpwstr>../Docs/R1-135727.zip</vt:lpwstr>
      </vt:variant>
      <vt:variant>
        <vt:lpwstr/>
      </vt:variant>
      <vt:variant>
        <vt:i4>4194317</vt:i4>
      </vt:variant>
      <vt:variant>
        <vt:i4>1692</vt:i4>
      </vt:variant>
      <vt:variant>
        <vt:i4>0</vt:i4>
      </vt:variant>
      <vt:variant>
        <vt:i4>5</vt:i4>
      </vt:variant>
      <vt:variant>
        <vt:lpwstr>../Docs/R1-135640.zip</vt:lpwstr>
      </vt:variant>
      <vt:variant>
        <vt:lpwstr/>
      </vt:variant>
      <vt:variant>
        <vt:i4>4325391</vt:i4>
      </vt:variant>
      <vt:variant>
        <vt:i4>1689</vt:i4>
      </vt:variant>
      <vt:variant>
        <vt:i4>0</vt:i4>
      </vt:variant>
      <vt:variant>
        <vt:i4>5</vt:i4>
      </vt:variant>
      <vt:variant>
        <vt:lpwstr>../Docs/R1-135561.zip</vt:lpwstr>
      </vt:variant>
      <vt:variant>
        <vt:lpwstr/>
      </vt:variant>
      <vt:variant>
        <vt:i4>4456457</vt:i4>
      </vt:variant>
      <vt:variant>
        <vt:i4>1686</vt:i4>
      </vt:variant>
      <vt:variant>
        <vt:i4>0</vt:i4>
      </vt:variant>
      <vt:variant>
        <vt:i4>5</vt:i4>
      </vt:variant>
      <vt:variant>
        <vt:lpwstr>../Docs/R1-135507.zip</vt:lpwstr>
      </vt:variant>
      <vt:variant>
        <vt:lpwstr/>
      </vt:variant>
      <vt:variant>
        <vt:i4>4259851</vt:i4>
      </vt:variant>
      <vt:variant>
        <vt:i4>1683</vt:i4>
      </vt:variant>
      <vt:variant>
        <vt:i4>0</vt:i4>
      </vt:variant>
      <vt:variant>
        <vt:i4>5</vt:i4>
      </vt:variant>
      <vt:variant>
        <vt:lpwstr>../Docs/R1-135454.zip</vt:lpwstr>
      </vt:variant>
      <vt:variant>
        <vt:lpwstr/>
      </vt:variant>
      <vt:variant>
        <vt:i4>4587535</vt:i4>
      </vt:variant>
      <vt:variant>
        <vt:i4>1680</vt:i4>
      </vt:variant>
      <vt:variant>
        <vt:i4>0</vt:i4>
      </vt:variant>
      <vt:variant>
        <vt:i4>5</vt:i4>
      </vt:variant>
      <vt:variant>
        <vt:lpwstr>../Docs/R1-135420.zip</vt:lpwstr>
      </vt:variant>
      <vt:variant>
        <vt:lpwstr/>
      </vt:variant>
      <vt:variant>
        <vt:i4>5046280</vt:i4>
      </vt:variant>
      <vt:variant>
        <vt:i4>1677</vt:i4>
      </vt:variant>
      <vt:variant>
        <vt:i4>0</vt:i4>
      </vt:variant>
      <vt:variant>
        <vt:i4>5</vt:i4>
      </vt:variant>
      <vt:variant>
        <vt:lpwstr>../Docs/R1-135390.zip</vt:lpwstr>
      </vt:variant>
      <vt:variant>
        <vt:lpwstr/>
      </vt:variant>
      <vt:variant>
        <vt:i4>4325384</vt:i4>
      </vt:variant>
      <vt:variant>
        <vt:i4>1674</vt:i4>
      </vt:variant>
      <vt:variant>
        <vt:i4>0</vt:i4>
      </vt:variant>
      <vt:variant>
        <vt:i4>5</vt:i4>
      </vt:variant>
      <vt:variant>
        <vt:lpwstr>../Docs/R1-134370.zip</vt:lpwstr>
      </vt:variant>
      <vt:variant>
        <vt:lpwstr/>
      </vt:variant>
      <vt:variant>
        <vt:i4>4980737</vt:i4>
      </vt:variant>
      <vt:variant>
        <vt:i4>1671</vt:i4>
      </vt:variant>
      <vt:variant>
        <vt:i4>0</vt:i4>
      </vt:variant>
      <vt:variant>
        <vt:i4>5</vt:i4>
      </vt:variant>
      <vt:variant>
        <vt:lpwstr>../Docs/R1-135389.zip</vt:lpwstr>
      </vt:variant>
      <vt:variant>
        <vt:lpwstr/>
      </vt:variant>
      <vt:variant>
        <vt:i4>4325389</vt:i4>
      </vt:variant>
      <vt:variant>
        <vt:i4>1668</vt:i4>
      </vt:variant>
      <vt:variant>
        <vt:i4>0</vt:i4>
      </vt:variant>
      <vt:variant>
        <vt:i4>5</vt:i4>
      </vt:variant>
      <vt:variant>
        <vt:lpwstr>../Docs/R1-135365.zip</vt:lpwstr>
      </vt:variant>
      <vt:variant>
        <vt:lpwstr/>
      </vt:variant>
      <vt:variant>
        <vt:i4>5046281</vt:i4>
      </vt:variant>
      <vt:variant>
        <vt:i4>1665</vt:i4>
      </vt:variant>
      <vt:variant>
        <vt:i4>0</vt:i4>
      </vt:variant>
      <vt:variant>
        <vt:i4>5</vt:i4>
      </vt:variant>
      <vt:variant>
        <vt:lpwstr>../Docs/R1-135290.zip</vt:lpwstr>
      </vt:variant>
      <vt:variant>
        <vt:lpwstr/>
      </vt:variant>
      <vt:variant>
        <vt:i4>4259852</vt:i4>
      </vt:variant>
      <vt:variant>
        <vt:i4>1662</vt:i4>
      </vt:variant>
      <vt:variant>
        <vt:i4>0</vt:i4>
      </vt:variant>
      <vt:variant>
        <vt:i4>5</vt:i4>
      </vt:variant>
      <vt:variant>
        <vt:lpwstr>../Docs/R1-135255.zip</vt:lpwstr>
      </vt:variant>
      <vt:variant>
        <vt:lpwstr/>
      </vt:variant>
      <vt:variant>
        <vt:i4>4194319</vt:i4>
      </vt:variant>
      <vt:variant>
        <vt:i4>1659</vt:i4>
      </vt:variant>
      <vt:variant>
        <vt:i4>0</vt:i4>
      </vt:variant>
      <vt:variant>
        <vt:i4>5</vt:i4>
      </vt:variant>
      <vt:variant>
        <vt:lpwstr>../Docs/R1-135246.zip</vt:lpwstr>
      </vt:variant>
      <vt:variant>
        <vt:lpwstr/>
      </vt:variant>
      <vt:variant>
        <vt:i4>4587522</vt:i4>
      </vt:variant>
      <vt:variant>
        <vt:i4>1656</vt:i4>
      </vt:variant>
      <vt:variant>
        <vt:i4>0</vt:i4>
      </vt:variant>
      <vt:variant>
        <vt:i4>5</vt:i4>
      </vt:variant>
      <vt:variant>
        <vt:lpwstr>../Docs/R1-135128.zip</vt:lpwstr>
      </vt:variant>
      <vt:variant>
        <vt:lpwstr/>
      </vt:variant>
      <vt:variant>
        <vt:i4>4456459</vt:i4>
      </vt:variant>
      <vt:variant>
        <vt:i4>1653</vt:i4>
      </vt:variant>
      <vt:variant>
        <vt:i4>0</vt:i4>
      </vt:variant>
      <vt:variant>
        <vt:i4>5</vt:i4>
      </vt:variant>
      <vt:variant>
        <vt:lpwstr>../Docs/R1-135101.zip</vt:lpwstr>
      </vt:variant>
      <vt:variant>
        <vt:lpwstr/>
      </vt:variant>
      <vt:variant>
        <vt:i4>4259852</vt:i4>
      </vt:variant>
      <vt:variant>
        <vt:i4>1650</vt:i4>
      </vt:variant>
      <vt:variant>
        <vt:i4>0</vt:i4>
      </vt:variant>
      <vt:variant>
        <vt:i4>5</vt:i4>
      </vt:variant>
      <vt:variant>
        <vt:lpwstr>../Docs/R1-135057.zip</vt:lpwstr>
      </vt:variant>
      <vt:variant>
        <vt:lpwstr/>
      </vt:variant>
      <vt:variant>
        <vt:i4>4521998</vt:i4>
      </vt:variant>
      <vt:variant>
        <vt:i4>1647</vt:i4>
      </vt:variant>
      <vt:variant>
        <vt:i4>0</vt:i4>
      </vt:variant>
      <vt:variant>
        <vt:i4>5</vt:i4>
      </vt:variant>
      <vt:variant>
        <vt:lpwstr>../Docs/R1-136025.zip</vt:lpwstr>
      </vt:variant>
      <vt:variant>
        <vt:lpwstr/>
      </vt:variant>
      <vt:variant>
        <vt:i4>4521998</vt:i4>
      </vt:variant>
      <vt:variant>
        <vt:i4>1644</vt:i4>
      </vt:variant>
      <vt:variant>
        <vt:i4>0</vt:i4>
      </vt:variant>
      <vt:variant>
        <vt:i4>5</vt:i4>
      </vt:variant>
      <vt:variant>
        <vt:lpwstr>../Docs/R1-136025.zip</vt:lpwstr>
      </vt:variant>
      <vt:variant>
        <vt:lpwstr/>
      </vt:variant>
      <vt:variant>
        <vt:i4>4521998</vt:i4>
      </vt:variant>
      <vt:variant>
        <vt:i4>1641</vt:i4>
      </vt:variant>
      <vt:variant>
        <vt:i4>0</vt:i4>
      </vt:variant>
      <vt:variant>
        <vt:i4>5</vt:i4>
      </vt:variant>
      <vt:variant>
        <vt:lpwstr>../Docs/R1-136025.zip</vt:lpwstr>
      </vt:variant>
      <vt:variant>
        <vt:lpwstr/>
      </vt:variant>
      <vt:variant>
        <vt:i4>4325377</vt:i4>
      </vt:variant>
      <vt:variant>
        <vt:i4>1638</vt:i4>
      </vt:variant>
      <vt:variant>
        <vt:i4>0</vt:i4>
      </vt:variant>
      <vt:variant>
        <vt:i4>5</vt:i4>
      </vt:variant>
      <vt:variant>
        <vt:lpwstr>../Docs/R1-135963.zip</vt:lpwstr>
      </vt:variant>
      <vt:variant>
        <vt:lpwstr/>
      </vt:variant>
      <vt:variant>
        <vt:i4>4325382</vt:i4>
      </vt:variant>
      <vt:variant>
        <vt:i4>1635</vt:i4>
      </vt:variant>
      <vt:variant>
        <vt:i4>0</vt:i4>
      </vt:variant>
      <vt:variant>
        <vt:i4>5</vt:i4>
      </vt:variant>
      <vt:variant>
        <vt:lpwstr>../Docs/R1-135964.zip</vt:lpwstr>
      </vt:variant>
      <vt:variant>
        <vt:lpwstr/>
      </vt:variant>
      <vt:variant>
        <vt:i4>4325383</vt:i4>
      </vt:variant>
      <vt:variant>
        <vt:i4>1632</vt:i4>
      </vt:variant>
      <vt:variant>
        <vt:i4>0</vt:i4>
      </vt:variant>
      <vt:variant>
        <vt:i4>5</vt:i4>
      </vt:variant>
      <vt:variant>
        <vt:lpwstr>../Docs/R1-135965.zip</vt:lpwstr>
      </vt:variant>
      <vt:variant>
        <vt:lpwstr/>
      </vt:variant>
      <vt:variant>
        <vt:i4>4980738</vt:i4>
      </vt:variant>
      <vt:variant>
        <vt:i4>1629</vt:i4>
      </vt:variant>
      <vt:variant>
        <vt:i4>0</vt:i4>
      </vt:variant>
      <vt:variant>
        <vt:i4>5</vt:i4>
      </vt:variant>
      <vt:variant>
        <vt:lpwstr>../Docs/R1-135188.zip</vt:lpwstr>
      </vt:variant>
      <vt:variant>
        <vt:lpwstr/>
      </vt:variant>
      <vt:variant>
        <vt:i4>4259851</vt:i4>
      </vt:variant>
      <vt:variant>
        <vt:i4>1626</vt:i4>
      </vt:variant>
      <vt:variant>
        <vt:i4>0</vt:i4>
      </vt:variant>
      <vt:variant>
        <vt:i4>5</vt:i4>
      </vt:variant>
      <vt:variant>
        <vt:lpwstr>../Docs/R1-135151.zip</vt:lpwstr>
      </vt:variant>
      <vt:variant>
        <vt:lpwstr/>
      </vt:variant>
      <vt:variant>
        <vt:i4>4521992</vt:i4>
      </vt:variant>
      <vt:variant>
        <vt:i4>1623</vt:i4>
      </vt:variant>
      <vt:variant>
        <vt:i4>0</vt:i4>
      </vt:variant>
      <vt:variant>
        <vt:i4>5</vt:i4>
      </vt:variant>
      <vt:variant>
        <vt:lpwstr>../Docs/R1-135013.zip</vt:lpwstr>
      </vt:variant>
      <vt:variant>
        <vt:lpwstr/>
      </vt:variant>
      <vt:variant>
        <vt:i4>4325378</vt:i4>
      </vt:variant>
      <vt:variant>
        <vt:i4>1620</vt:i4>
      </vt:variant>
      <vt:variant>
        <vt:i4>0</vt:i4>
      </vt:variant>
      <vt:variant>
        <vt:i4>5</vt:i4>
      </vt:variant>
      <vt:variant>
        <vt:lpwstr>../Docs/R1-135960.zip</vt:lpwstr>
      </vt:variant>
      <vt:variant>
        <vt:lpwstr/>
      </vt:variant>
      <vt:variant>
        <vt:i4>4325390</vt:i4>
      </vt:variant>
      <vt:variant>
        <vt:i4>1617</vt:i4>
      </vt:variant>
      <vt:variant>
        <vt:i4>0</vt:i4>
      </vt:variant>
      <vt:variant>
        <vt:i4>5</vt:i4>
      </vt:variant>
      <vt:variant>
        <vt:lpwstr>../Docs/R1-135560.zip</vt:lpwstr>
      </vt:variant>
      <vt:variant>
        <vt:lpwstr/>
      </vt:variant>
      <vt:variant>
        <vt:i4>4456456</vt:i4>
      </vt:variant>
      <vt:variant>
        <vt:i4>1614</vt:i4>
      </vt:variant>
      <vt:variant>
        <vt:i4>0</vt:i4>
      </vt:variant>
      <vt:variant>
        <vt:i4>5</vt:i4>
      </vt:variant>
      <vt:variant>
        <vt:lpwstr>../Docs/R1-135506.zip</vt:lpwstr>
      </vt:variant>
      <vt:variant>
        <vt:lpwstr/>
      </vt:variant>
      <vt:variant>
        <vt:i4>4980736</vt:i4>
      </vt:variant>
      <vt:variant>
        <vt:i4>1611</vt:i4>
      </vt:variant>
      <vt:variant>
        <vt:i4>0</vt:i4>
      </vt:variant>
      <vt:variant>
        <vt:i4>5</vt:i4>
      </vt:variant>
      <vt:variant>
        <vt:lpwstr>../Docs/R1-135289.zip</vt:lpwstr>
      </vt:variant>
      <vt:variant>
        <vt:lpwstr/>
      </vt:variant>
      <vt:variant>
        <vt:i4>4980749</vt:i4>
      </vt:variant>
      <vt:variant>
        <vt:i4>1608</vt:i4>
      </vt:variant>
      <vt:variant>
        <vt:i4>0</vt:i4>
      </vt:variant>
      <vt:variant>
        <vt:i4>5</vt:i4>
      </vt:variant>
      <vt:variant>
        <vt:lpwstr>../Docs/R1-135187.zip</vt:lpwstr>
      </vt:variant>
      <vt:variant>
        <vt:lpwstr/>
      </vt:variant>
      <vt:variant>
        <vt:i4>4456458</vt:i4>
      </vt:variant>
      <vt:variant>
        <vt:i4>1605</vt:i4>
      </vt:variant>
      <vt:variant>
        <vt:i4>0</vt:i4>
      </vt:variant>
      <vt:variant>
        <vt:i4>5</vt:i4>
      </vt:variant>
      <vt:variant>
        <vt:lpwstr>../Docs/R1-135100.zip</vt:lpwstr>
      </vt:variant>
      <vt:variant>
        <vt:lpwstr/>
      </vt:variant>
      <vt:variant>
        <vt:i4>4259853</vt:i4>
      </vt:variant>
      <vt:variant>
        <vt:i4>1602</vt:i4>
      </vt:variant>
      <vt:variant>
        <vt:i4>0</vt:i4>
      </vt:variant>
      <vt:variant>
        <vt:i4>5</vt:i4>
      </vt:variant>
      <vt:variant>
        <vt:lpwstr>../Docs/R1-135056.zip</vt:lpwstr>
      </vt:variant>
      <vt:variant>
        <vt:lpwstr/>
      </vt:variant>
      <vt:variant>
        <vt:i4>4653060</vt:i4>
      </vt:variant>
      <vt:variant>
        <vt:i4>1599</vt:i4>
      </vt:variant>
      <vt:variant>
        <vt:i4>0</vt:i4>
      </vt:variant>
      <vt:variant>
        <vt:i4>5</vt:i4>
      </vt:variant>
      <vt:variant>
        <vt:lpwstr>../Docs/R1-135639.zip</vt:lpwstr>
      </vt:variant>
      <vt:variant>
        <vt:lpwstr/>
      </vt:variant>
      <vt:variant>
        <vt:i4>4653067</vt:i4>
      </vt:variant>
      <vt:variant>
        <vt:i4>1596</vt:i4>
      </vt:variant>
      <vt:variant>
        <vt:i4>0</vt:i4>
      </vt:variant>
      <vt:variant>
        <vt:i4>5</vt:i4>
      </vt:variant>
      <vt:variant>
        <vt:lpwstr>../Docs/R1-135535.zip</vt:lpwstr>
      </vt:variant>
      <vt:variant>
        <vt:lpwstr/>
      </vt:variant>
      <vt:variant>
        <vt:i4>4456462</vt:i4>
      </vt:variant>
      <vt:variant>
        <vt:i4>1593</vt:i4>
      </vt:variant>
      <vt:variant>
        <vt:i4>0</vt:i4>
      </vt:variant>
      <vt:variant>
        <vt:i4>5</vt:i4>
      </vt:variant>
      <vt:variant>
        <vt:lpwstr>../Docs/R1-135500.zip</vt:lpwstr>
      </vt:variant>
      <vt:variant>
        <vt:lpwstr/>
      </vt:variant>
      <vt:variant>
        <vt:i4>4259852</vt:i4>
      </vt:variant>
      <vt:variant>
        <vt:i4>1590</vt:i4>
      </vt:variant>
      <vt:variant>
        <vt:i4>0</vt:i4>
      </vt:variant>
      <vt:variant>
        <vt:i4>5</vt:i4>
      </vt:variant>
      <vt:variant>
        <vt:lpwstr>../Docs/R1-135453.zip</vt:lpwstr>
      </vt:variant>
      <vt:variant>
        <vt:lpwstr/>
      </vt:variant>
      <vt:variant>
        <vt:i4>4194315</vt:i4>
      </vt:variant>
      <vt:variant>
        <vt:i4>1587</vt:i4>
      </vt:variant>
      <vt:variant>
        <vt:i4>0</vt:i4>
      </vt:variant>
      <vt:variant>
        <vt:i4>5</vt:i4>
      </vt:variant>
      <vt:variant>
        <vt:lpwstr>../Docs/R1-135444.zip</vt:lpwstr>
      </vt:variant>
      <vt:variant>
        <vt:lpwstr/>
      </vt:variant>
      <vt:variant>
        <vt:i4>4980736</vt:i4>
      </vt:variant>
      <vt:variant>
        <vt:i4>1584</vt:i4>
      </vt:variant>
      <vt:variant>
        <vt:i4>0</vt:i4>
      </vt:variant>
      <vt:variant>
        <vt:i4>5</vt:i4>
      </vt:variant>
      <vt:variant>
        <vt:lpwstr>../Docs/R1-135388.zip</vt:lpwstr>
      </vt:variant>
      <vt:variant>
        <vt:lpwstr/>
      </vt:variant>
      <vt:variant>
        <vt:i4>4325391</vt:i4>
      </vt:variant>
      <vt:variant>
        <vt:i4>1581</vt:i4>
      </vt:variant>
      <vt:variant>
        <vt:i4>0</vt:i4>
      </vt:variant>
      <vt:variant>
        <vt:i4>5</vt:i4>
      </vt:variant>
      <vt:variant>
        <vt:lpwstr>../Docs/R1-135367.zip</vt:lpwstr>
      </vt:variant>
      <vt:variant>
        <vt:lpwstr/>
      </vt:variant>
      <vt:variant>
        <vt:i4>4653056</vt:i4>
      </vt:variant>
      <vt:variant>
        <vt:i4>1578</vt:i4>
      </vt:variant>
      <vt:variant>
        <vt:i4>0</vt:i4>
      </vt:variant>
      <vt:variant>
        <vt:i4>5</vt:i4>
      </vt:variant>
      <vt:variant>
        <vt:lpwstr>../Docs/R1-135338.zip</vt:lpwstr>
      </vt:variant>
      <vt:variant>
        <vt:lpwstr/>
      </vt:variant>
      <vt:variant>
        <vt:i4>4653071</vt:i4>
      </vt:variant>
      <vt:variant>
        <vt:i4>1575</vt:i4>
      </vt:variant>
      <vt:variant>
        <vt:i4>0</vt:i4>
      </vt:variant>
      <vt:variant>
        <vt:i4>5</vt:i4>
      </vt:variant>
      <vt:variant>
        <vt:lpwstr>../Docs/R1-135337.zip</vt:lpwstr>
      </vt:variant>
      <vt:variant>
        <vt:lpwstr/>
      </vt:variant>
      <vt:variant>
        <vt:i4>4980737</vt:i4>
      </vt:variant>
      <vt:variant>
        <vt:i4>1572</vt:i4>
      </vt:variant>
      <vt:variant>
        <vt:i4>0</vt:i4>
      </vt:variant>
      <vt:variant>
        <vt:i4>5</vt:i4>
      </vt:variant>
      <vt:variant>
        <vt:lpwstr>../Docs/R1-135288.zip</vt:lpwstr>
      </vt:variant>
      <vt:variant>
        <vt:lpwstr/>
      </vt:variant>
      <vt:variant>
        <vt:i4>4194316</vt:i4>
      </vt:variant>
      <vt:variant>
        <vt:i4>1569</vt:i4>
      </vt:variant>
      <vt:variant>
        <vt:i4>0</vt:i4>
      </vt:variant>
      <vt:variant>
        <vt:i4>5</vt:i4>
      </vt:variant>
      <vt:variant>
        <vt:lpwstr>../Docs/R1-135245.zip</vt:lpwstr>
      </vt:variant>
      <vt:variant>
        <vt:lpwstr/>
      </vt:variant>
      <vt:variant>
        <vt:i4>4980748</vt:i4>
      </vt:variant>
      <vt:variant>
        <vt:i4>1566</vt:i4>
      </vt:variant>
      <vt:variant>
        <vt:i4>0</vt:i4>
      </vt:variant>
      <vt:variant>
        <vt:i4>5</vt:i4>
      </vt:variant>
      <vt:variant>
        <vt:lpwstr>../Docs/R1-135186.zip</vt:lpwstr>
      </vt:variant>
      <vt:variant>
        <vt:lpwstr/>
      </vt:variant>
      <vt:variant>
        <vt:i4>4259850</vt:i4>
      </vt:variant>
      <vt:variant>
        <vt:i4>1563</vt:i4>
      </vt:variant>
      <vt:variant>
        <vt:i4>0</vt:i4>
      </vt:variant>
      <vt:variant>
        <vt:i4>5</vt:i4>
      </vt:variant>
      <vt:variant>
        <vt:lpwstr>../Docs/R1-135150.zip</vt:lpwstr>
      </vt:variant>
      <vt:variant>
        <vt:lpwstr/>
      </vt:variant>
      <vt:variant>
        <vt:i4>5046274</vt:i4>
      </vt:variant>
      <vt:variant>
        <vt:i4>1560</vt:i4>
      </vt:variant>
      <vt:variant>
        <vt:i4>0</vt:i4>
      </vt:variant>
      <vt:variant>
        <vt:i4>5</vt:i4>
      </vt:variant>
      <vt:variant>
        <vt:lpwstr>../Docs/R1-135099.zip</vt:lpwstr>
      </vt:variant>
      <vt:variant>
        <vt:lpwstr/>
      </vt:variant>
      <vt:variant>
        <vt:i4>4259854</vt:i4>
      </vt:variant>
      <vt:variant>
        <vt:i4>1557</vt:i4>
      </vt:variant>
      <vt:variant>
        <vt:i4>0</vt:i4>
      </vt:variant>
      <vt:variant>
        <vt:i4>5</vt:i4>
      </vt:variant>
      <vt:variant>
        <vt:lpwstr>../Docs/R1-135055.zip</vt:lpwstr>
      </vt:variant>
      <vt:variant>
        <vt:lpwstr/>
      </vt:variant>
      <vt:variant>
        <vt:i4>4521993</vt:i4>
      </vt:variant>
      <vt:variant>
        <vt:i4>1554</vt:i4>
      </vt:variant>
      <vt:variant>
        <vt:i4>0</vt:i4>
      </vt:variant>
      <vt:variant>
        <vt:i4>5</vt:i4>
      </vt:variant>
      <vt:variant>
        <vt:lpwstr>../Docs/R1-135012.zip</vt:lpwstr>
      </vt:variant>
      <vt:variant>
        <vt:lpwstr/>
      </vt:variant>
      <vt:variant>
        <vt:i4>4259846</vt:i4>
      </vt:variant>
      <vt:variant>
        <vt:i4>1551</vt:i4>
      </vt:variant>
      <vt:variant>
        <vt:i4>0</vt:i4>
      </vt:variant>
      <vt:variant>
        <vt:i4>5</vt:i4>
      </vt:variant>
      <vt:variant>
        <vt:lpwstr>../Docs/R1-135954.zip</vt:lpwstr>
      </vt:variant>
      <vt:variant>
        <vt:lpwstr/>
      </vt:variant>
      <vt:variant>
        <vt:i4>4259855</vt:i4>
      </vt:variant>
      <vt:variant>
        <vt:i4>1548</vt:i4>
      </vt:variant>
      <vt:variant>
        <vt:i4>0</vt:i4>
      </vt:variant>
      <vt:variant>
        <vt:i4>5</vt:i4>
      </vt:variant>
      <vt:variant>
        <vt:lpwstr>../Docs/R1-135054.zip</vt:lpwstr>
      </vt:variant>
      <vt:variant>
        <vt:lpwstr/>
      </vt:variant>
      <vt:variant>
        <vt:i4>4194304</vt:i4>
      </vt:variant>
      <vt:variant>
        <vt:i4>1545</vt:i4>
      </vt:variant>
      <vt:variant>
        <vt:i4>0</vt:i4>
      </vt:variant>
      <vt:variant>
        <vt:i4>5</vt:i4>
      </vt:variant>
      <vt:variant>
        <vt:lpwstr>../Docs/R1-135942.zip</vt:lpwstr>
      </vt:variant>
      <vt:variant>
        <vt:lpwstr/>
      </vt:variant>
      <vt:variant>
        <vt:i4>4325380</vt:i4>
      </vt:variant>
      <vt:variant>
        <vt:i4>1542</vt:i4>
      </vt:variant>
      <vt:variant>
        <vt:i4>0</vt:i4>
      </vt:variant>
      <vt:variant>
        <vt:i4>5</vt:i4>
      </vt:variant>
      <vt:variant>
        <vt:lpwstr>../Docs/R1-135966.zip</vt:lpwstr>
      </vt:variant>
      <vt:variant>
        <vt:lpwstr/>
      </vt:variant>
      <vt:variant>
        <vt:i4>4259846</vt:i4>
      </vt:variant>
      <vt:variant>
        <vt:i4>1539</vt:i4>
      </vt:variant>
      <vt:variant>
        <vt:i4>0</vt:i4>
      </vt:variant>
      <vt:variant>
        <vt:i4>5</vt:i4>
      </vt:variant>
      <vt:variant>
        <vt:lpwstr>../Docs/R1-135558.zip</vt:lpwstr>
      </vt:variant>
      <vt:variant>
        <vt:lpwstr/>
      </vt:variant>
      <vt:variant>
        <vt:i4>5046278</vt:i4>
      </vt:variant>
      <vt:variant>
        <vt:i4>1536</vt:i4>
      </vt:variant>
      <vt:variant>
        <vt:i4>0</vt:i4>
      </vt:variant>
      <vt:variant>
        <vt:i4>5</vt:i4>
      </vt:variant>
      <vt:variant>
        <vt:lpwstr>../Docs/R1-135499.zip</vt:lpwstr>
      </vt:variant>
      <vt:variant>
        <vt:lpwstr/>
      </vt:variant>
      <vt:variant>
        <vt:i4>4980751</vt:i4>
      </vt:variant>
      <vt:variant>
        <vt:i4>1533</vt:i4>
      </vt:variant>
      <vt:variant>
        <vt:i4>0</vt:i4>
      </vt:variant>
      <vt:variant>
        <vt:i4>5</vt:i4>
      </vt:variant>
      <vt:variant>
        <vt:lpwstr>../Docs/R1-135286.zip</vt:lpwstr>
      </vt:variant>
      <vt:variant>
        <vt:lpwstr/>
      </vt:variant>
      <vt:variant>
        <vt:i4>4194317</vt:i4>
      </vt:variant>
      <vt:variant>
        <vt:i4>1530</vt:i4>
      </vt:variant>
      <vt:variant>
        <vt:i4>0</vt:i4>
      </vt:variant>
      <vt:variant>
        <vt:i4>5</vt:i4>
      </vt:variant>
      <vt:variant>
        <vt:lpwstr>../Docs/R1-135244.zip</vt:lpwstr>
      </vt:variant>
      <vt:variant>
        <vt:lpwstr/>
      </vt:variant>
      <vt:variant>
        <vt:i4>4259849</vt:i4>
      </vt:variant>
      <vt:variant>
        <vt:i4>1527</vt:i4>
      </vt:variant>
      <vt:variant>
        <vt:i4>0</vt:i4>
      </vt:variant>
      <vt:variant>
        <vt:i4>5</vt:i4>
      </vt:variant>
      <vt:variant>
        <vt:lpwstr>../Docs/R1-135052.zip</vt:lpwstr>
      </vt:variant>
      <vt:variant>
        <vt:lpwstr/>
      </vt:variant>
      <vt:variant>
        <vt:i4>4521989</vt:i4>
      </vt:variant>
      <vt:variant>
        <vt:i4>1524</vt:i4>
      </vt:variant>
      <vt:variant>
        <vt:i4>0</vt:i4>
      </vt:variant>
      <vt:variant>
        <vt:i4>5</vt:i4>
      </vt:variant>
      <vt:variant>
        <vt:lpwstr>../Docs/R1-135816.zip</vt:lpwstr>
      </vt:variant>
      <vt:variant>
        <vt:lpwstr/>
      </vt:variant>
      <vt:variant>
        <vt:i4>4653061</vt:i4>
      </vt:variant>
      <vt:variant>
        <vt:i4>1521</vt:i4>
      </vt:variant>
      <vt:variant>
        <vt:i4>0</vt:i4>
      </vt:variant>
      <vt:variant>
        <vt:i4>5</vt:i4>
      </vt:variant>
      <vt:variant>
        <vt:lpwstr>../Docs/R1-135638.zip</vt:lpwstr>
      </vt:variant>
      <vt:variant>
        <vt:lpwstr/>
      </vt:variant>
      <vt:variant>
        <vt:i4>4521995</vt:i4>
      </vt:variant>
      <vt:variant>
        <vt:i4>1518</vt:i4>
      </vt:variant>
      <vt:variant>
        <vt:i4>0</vt:i4>
      </vt:variant>
      <vt:variant>
        <vt:i4>5</vt:i4>
      </vt:variant>
      <vt:variant>
        <vt:lpwstr>../Docs/R1-135616.zip</vt:lpwstr>
      </vt:variant>
      <vt:variant>
        <vt:lpwstr/>
      </vt:variant>
      <vt:variant>
        <vt:i4>5046278</vt:i4>
      </vt:variant>
      <vt:variant>
        <vt:i4>1515</vt:i4>
      </vt:variant>
      <vt:variant>
        <vt:i4>0</vt:i4>
      </vt:variant>
      <vt:variant>
        <vt:i4>5</vt:i4>
      </vt:variant>
      <vt:variant>
        <vt:lpwstr>../Docs/R1-135598.zip</vt:lpwstr>
      </vt:variant>
      <vt:variant>
        <vt:lpwstr/>
      </vt:variant>
      <vt:variant>
        <vt:i4>4259847</vt:i4>
      </vt:variant>
      <vt:variant>
        <vt:i4>1512</vt:i4>
      </vt:variant>
      <vt:variant>
        <vt:i4>0</vt:i4>
      </vt:variant>
      <vt:variant>
        <vt:i4>5</vt:i4>
      </vt:variant>
      <vt:variant>
        <vt:lpwstr>../Docs/R1-135559.zip</vt:lpwstr>
      </vt:variant>
      <vt:variant>
        <vt:lpwstr/>
      </vt:variant>
      <vt:variant>
        <vt:i4>5046278</vt:i4>
      </vt:variant>
      <vt:variant>
        <vt:i4>1509</vt:i4>
      </vt:variant>
      <vt:variant>
        <vt:i4>0</vt:i4>
      </vt:variant>
      <vt:variant>
        <vt:i4>5</vt:i4>
      </vt:variant>
      <vt:variant>
        <vt:lpwstr>../Docs/R1-135499.zip</vt:lpwstr>
      </vt:variant>
      <vt:variant>
        <vt:lpwstr/>
      </vt:variant>
      <vt:variant>
        <vt:i4>4259853</vt:i4>
      </vt:variant>
      <vt:variant>
        <vt:i4>1506</vt:i4>
      </vt:variant>
      <vt:variant>
        <vt:i4>0</vt:i4>
      </vt:variant>
      <vt:variant>
        <vt:i4>5</vt:i4>
      </vt:variant>
      <vt:variant>
        <vt:lpwstr>../Docs/R1-135452.zip</vt:lpwstr>
      </vt:variant>
      <vt:variant>
        <vt:lpwstr/>
      </vt:variant>
      <vt:variant>
        <vt:i4>4521990</vt:i4>
      </vt:variant>
      <vt:variant>
        <vt:i4>1503</vt:i4>
      </vt:variant>
      <vt:variant>
        <vt:i4>0</vt:i4>
      </vt:variant>
      <vt:variant>
        <vt:i4>5</vt:i4>
      </vt:variant>
      <vt:variant>
        <vt:lpwstr>../Docs/R1-135419.zip</vt:lpwstr>
      </vt:variant>
      <vt:variant>
        <vt:lpwstr/>
      </vt:variant>
      <vt:variant>
        <vt:i4>4980751</vt:i4>
      </vt:variant>
      <vt:variant>
        <vt:i4>1500</vt:i4>
      </vt:variant>
      <vt:variant>
        <vt:i4>0</vt:i4>
      </vt:variant>
      <vt:variant>
        <vt:i4>5</vt:i4>
      </vt:variant>
      <vt:variant>
        <vt:lpwstr>../Docs/R1-135387.zip</vt:lpwstr>
      </vt:variant>
      <vt:variant>
        <vt:lpwstr/>
      </vt:variant>
      <vt:variant>
        <vt:i4>4325388</vt:i4>
      </vt:variant>
      <vt:variant>
        <vt:i4>1497</vt:i4>
      </vt:variant>
      <vt:variant>
        <vt:i4>0</vt:i4>
      </vt:variant>
      <vt:variant>
        <vt:i4>5</vt:i4>
      </vt:variant>
      <vt:variant>
        <vt:lpwstr>../Docs/R1-135364.zip</vt:lpwstr>
      </vt:variant>
      <vt:variant>
        <vt:lpwstr/>
      </vt:variant>
      <vt:variant>
        <vt:i4>4653070</vt:i4>
      </vt:variant>
      <vt:variant>
        <vt:i4>1494</vt:i4>
      </vt:variant>
      <vt:variant>
        <vt:i4>0</vt:i4>
      </vt:variant>
      <vt:variant>
        <vt:i4>5</vt:i4>
      </vt:variant>
      <vt:variant>
        <vt:lpwstr>../Docs/R1-135336.zip</vt:lpwstr>
      </vt:variant>
      <vt:variant>
        <vt:lpwstr/>
      </vt:variant>
      <vt:variant>
        <vt:i4>4194317</vt:i4>
      </vt:variant>
      <vt:variant>
        <vt:i4>1491</vt:i4>
      </vt:variant>
      <vt:variant>
        <vt:i4>0</vt:i4>
      </vt:variant>
      <vt:variant>
        <vt:i4>5</vt:i4>
      </vt:variant>
      <vt:variant>
        <vt:lpwstr>../Docs/R1-135244.zip</vt:lpwstr>
      </vt:variant>
      <vt:variant>
        <vt:lpwstr/>
      </vt:variant>
      <vt:variant>
        <vt:i4>4194307</vt:i4>
      </vt:variant>
      <vt:variant>
        <vt:i4>1488</vt:i4>
      </vt:variant>
      <vt:variant>
        <vt:i4>0</vt:i4>
      </vt:variant>
      <vt:variant>
        <vt:i4>5</vt:i4>
      </vt:variant>
      <vt:variant>
        <vt:lpwstr>../Docs/R1-135149.zip</vt:lpwstr>
      </vt:variant>
      <vt:variant>
        <vt:lpwstr/>
      </vt:variant>
      <vt:variant>
        <vt:i4>4521991</vt:i4>
      </vt:variant>
      <vt:variant>
        <vt:i4>1485</vt:i4>
      </vt:variant>
      <vt:variant>
        <vt:i4>0</vt:i4>
      </vt:variant>
      <vt:variant>
        <vt:i4>5</vt:i4>
      </vt:variant>
      <vt:variant>
        <vt:lpwstr>../Docs/R1-135814.zip</vt:lpwstr>
      </vt:variant>
      <vt:variant>
        <vt:lpwstr/>
      </vt:variant>
      <vt:variant>
        <vt:i4>5046275</vt:i4>
      </vt:variant>
      <vt:variant>
        <vt:i4>1482</vt:i4>
      </vt:variant>
      <vt:variant>
        <vt:i4>0</vt:i4>
      </vt:variant>
      <vt:variant>
        <vt:i4>5</vt:i4>
      </vt:variant>
      <vt:variant>
        <vt:lpwstr>../Docs/R1-135098.zip</vt:lpwstr>
      </vt:variant>
      <vt:variant>
        <vt:lpwstr/>
      </vt:variant>
      <vt:variant>
        <vt:i4>4521994</vt:i4>
      </vt:variant>
      <vt:variant>
        <vt:i4>1479</vt:i4>
      </vt:variant>
      <vt:variant>
        <vt:i4>0</vt:i4>
      </vt:variant>
      <vt:variant>
        <vt:i4>5</vt:i4>
      </vt:variant>
      <vt:variant>
        <vt:lpwstr>../Docs/R1-135011.zip</vt:lpwstr>
      </vt:variant>
      <vt:variant>
        <vt:lpwstr/>
      </vt:variant>
      <vt:variant>
        <vt:i4>4980750</vt:i4>
      </vt:variant>
      <vt:variant>
        <vt:i4>1476</vt:i4>
      </vt:variant>
      <vt:variant>
        <vt:i4>0</vt:i4>
      </vt:variant>
      <vt:variant>
        <vt:i4>5</vt:i4>
      </vt:variant>
      <vt:variant>
        <vt:lpwstr>../Docs/R1-135287.zip</vt:lpwstr>
      </vt:variant>
      <vt:variant>
        <vt:lpwstr/>
      </vt:variant>
      <vt:variant>
        <vt:i4>4980751</vt:i4>
      </vt:variant>
      <vt:variant>
        <vt:i4>1473</vt:i4>
      </vt:variant>
      <vt:variant>
        <vt:i4>0</vt:i4>
      </vt:variant>
      <vt:variant>
        <vt:i4>5</vt:i4>
      </vt:variant>
      <vt:variant>
        <vt:lpwstr>../Docs/R1-135185.zip</vt:lpwstr>
      </vt:variant>
      <vt:variant>
        <vt:lpwstr/>
      </vt:variant>
      <vt:variant>
        <vt:i4>4259849</vt:i4>
      </vt:variant>
      <vt:variant>
        <vt:i4>1470</vt:i4>
      </vt:variant>
      <vt:variant>
        <vt:i4>0</vt:i4>
      </vt:variant>
      <vt:variant>
        <vt:i4>5</vt:i4>
      </vt:variant>
      <vt:variant>
        <vt:lpwstr>../Docs/R1-135052.zip</vt:lpwstr>
      </vt:variant>
      <vt:variant>
        <vt:lpwstr/>
      </vt:variant>
      <vt:variant>
        <vt:i4>4521989</vt:i4>
      </vt:variant>
      <vt:variant>
        <vt:i4>1467</vt:i4>
      </vt:variant>
      <vt:variant>
        <vt:i4>0</vt:i4>
      </vt:variant>
      <vt:variant>
        <vt:i4>5</vt:i4>
      </vt:variant>
      <vt:variant>
        <vt:lpwstr>../Docs/R1-135816.zip</vt:lpwstr>
      </vt:variant>
      <vt:variant>
        <vt:lpwstr/>
      </vt:variant>
      <vt:variant>
        <vt:i4>4259848</vt:i4>
      </vt:variant>
      <vt:variant>
        <vt:i4>1464</vt:i4>
      </vt:variant>
      <vt:variant>
        <vt:i4>0</vt:i4>
      </vt:variant>
      <vt:variant>
        <vt:i4>5</vt:i4>
      </vt:variant>
      <vt:variant>
        <vt:lpwstr>../Docs/R1-135053.zip</vt:lpwstr>
      </vt:variant>
      <vt:variant>
        <vt:lpwstr/>
      </vt:variant>
      <vt:variant>
        <vt:i4>4653061</vt:i4>
      </vt:variant>
      <vt:variant>
        <vt:i4>1461</vt:i4>
      </vt:variant>
      <vt:variant>
        <vt:i4>0</vt:i4>
      </vt:variant>
      <vt:variant>
        <vt:i4>5</vt:i4>
      </vt:variant>
      <vt:variant>
        <vt:lpwstr>../Docs/R1-135638.zip</vt:lpwstr>
      </vt:variant>
      <vt:variant>
        <vt:lpwstr/>
      </vt:variant>
      <vt:variant>
        <vt:i4>5046278</vt:i4>
      </vt:variant>
      <vt:variant>
        <vt:i4>1458</vt:i4>
      </vt:variant>
      <vt:variant>
        <vt:i4>0</vt:i4>
      </vt:variant>
      <vt:variant>
        <vt:i4>5</vt:i4>
      </vt:variant>
      <vt:variant>
        <vt:lpwstr>../Docs/R1-135598.zip</vt:lpwstr>
      </vt:variant>
      <vt:variant>
        <vt:lpwstr/>
      </vt:variant>
      <vt:variant>
        <vt:i4>5046278</vt:i4>
      </vt:variant>
      <vt:variant>
        <vt:i4>1455</vt:i4>
      </vt:variant>
      <vt:variant>
        <vt:i4>0</vt:i4>
      </vt:variant>
      <vt:variant>
        <vt:i4>5</vt:i4>
      </vt:variant>
      <vt:variant>
        <vt:lpwstr>../Docs/R1-135499.zip</vt:lpwstr>
      </vt:variant>
      <vt:variant>
        <vt:lpwstr/>
      </vt:variant>
      <vt:variant>
        <vt:i4>4521999</vt:i4>
      </vt:variant>
      <vt:variant>
        <vt:i4>1452</vt:i4>
      </vt:variant>
      <vt:variant>
        <vt:i4>0</vt:i4>
      </vt:variant>
      <vt:variant>
        <vt:i4>5</vt:i4>
      </vt:variant>
      <vt:variant>
        <vt:lpwstr>../Docs/R1-135410.zip</vt:lpwstr>
      </vt:variant>
      <vt:variant>
        <vt:lpwstr/>
      </vt:variant>
      <vt:variant>
        <vt:i4>4653069</vt:i4>
      </vt:variant>
      <vt:variant>
        <vt:i4>1449</vt:i4>
      </vt:variant>
      <vt:variant>
        <vt:i4>0</vt:i4>
      </vt:variant>
      <vt:variant>
        <vt:i4>5</vt:i4>
      </vt:variant>
      <vt:variant>
        <vt:lpwstr>../Docs/R1-135335.zip</vt:lpwstr>
      </vt:variant>
      <vt:variant>
        <vt:lpwstr/>
      </vt:variant>
      <vt:variant>
        <vt:i4>4653068</vt:i4>
      </vt:variant>
      <vt:variant>
        <vt:i4>1446</vt:i4>
      </vt:variant>
      <vt:variant>
        <vt:i4>0</vt:i4>
      </vt:variant>
      <vt:variant>
        <vt:i4>5</vt:i4>
      </vt:variant>
      <vt:variant>
        <vt:lpwstr>../Docs/R1-135334.zip</vt:lpwstr>
      </vt:variant>
      <vt:variant>
        <vt:lpwstr/>
      </vt:variant>
      <vt:variant>
        <vt:i4>4980751</vt:i4>
      </vt:variant>
      <vt:variant>
        <vt:i4>1443</vt:i4>
      </vt:variant>
      <vt:variant>
        <vt:i4>0</vt:i4>
      </vt:variant>
      <vt:variant>
        <vt:i4>5</vt:i4>
      </vt:variant>
      <vt:variant>
        <vt:lpwstr>../Docs/R1-135286.zip</vt:lpwstr>
      </vt:variant>
      <vt:variant>
        <vt:lpwstr/>
      </vt:variant>
      <vt:variant>
        <vt:i4>4194307</vt:i4>
      </vt:variant>
      <vt:variant>
        <vt:i4>1440</vt:i4>
      </vt:variant>
      <vt:variant>
        <vt:i4>0</vt:i4>
      </vt:variant>
      <vt:variant>
        <vt:i4>5</vt:i4>
      </vt:variant>
      <vt:variant>
        <vt:lpwstr>../Docs/R1-135149.zip</vt:lpwstr>
      </vt:variant>
      <vt:variant>
        <vt:lpwstr/>
      </vt:variant>
      <vt:variant>
        <vt:i4>4521991</vt:i4>
      </vt:variant>
      <vt:variant>
        <vt:i4>1437</vt:i4>
      </vt:variant>
      <vt:variant>
        <vt:i4>0</vt:i4>
      </vt:variant>
      <vt:variant>
        <vt:i4>5</vt:i4>
      </vt:variant>
      <vt:variant>
        <vt:lpwstr>../Docs/R1-135814.zip</vt:lpwstr>
      </vt:variant>
      <vt:variant>
        <vt:lpwstr/>
      </vt:variant>
      <vt:variant>
        <vt:i4>5046275</vt:i4>
      </vt:variant>
      <vt:variant>
        <vt:i4>1434</vt:i4>
      </vt:variant>
      <vt:variant>
        <vt:i4>0</vt:i4>
      </vt:variant>
      <vt:variant>
        <vt:i4>5</vt:i4>
      </vt:variant>
      <vt:variant>
        <vt:lpwstr>../Docs/R1-135098.zip</vt:lpwstr>
      </vt:variant>
      <vt:variant>
        <vt:lpwstr/>
      </vt:variant>
      <vt:variant>
        <vt:i4>4259849</vt:i4>
      </vt:variant>
      <vt:variant>
        <vt:i4>1431</vt:i4>
      </vt:variant>
      <vt:variant>
        <vt:i4>0</vt:i4>
      </vt:variant>
      <vt:variant>
        <vt:i4>5</vt:i4>
      </vt:variant>
      <vt:variant>
        <vt:lpwstr>../Docs/R1-135052.zip</vt:lpwstr>
      </vt:variant>
      <vt:variant>
        <vt:lpwstr/>
      </vt:variant>
      <vt:variant>
        <vt:i4>4521989</vt:i4>
      </vt:variant>
      <vt:variant>
        <vt:i4>1428</vt:i4>
      </vt:variant>
      <vt:variant>
        <vt:i4>0</vt:i4>
      </vt:variant>
      <vt:variant>
        <vt:i4>5</vt:i4>
      </vt:variant>
      <vt:variant>
        <vt:lpwstr>../Docs/R1-135816.zip</vt:lpwstr>
      </vt:variant>
      <vt:variant>
        <vt:lpwstr/>
      </vt:variant>
      <vt:variant>
        <vt:i4>4259846</vt:i4>
      </vt:variant>
      <vt:variant>
        <vt:i4>1425</vt:i4>
      </vt:variant>
      <vt:variant>
        <vt:i4>0</vt:i4>
      </vt:variant>
      <vt:variant>
        <vt:i4>5</vt:i4>
      </vt:variant>
      <vt:variant>
        <vt:lpwstr>../Docs/R1-135558.zip</vt:lpwstr>
      </vt:variant>
      <vt:variant>
        <vt:lpwstr/>
      </vt:variant>
      <vt:variant>
        <vt:i4>4259853</vt:i4>
      </vt:variant>
      <vt:variant>
        <vt:i4>1422</vt:i4>
      </vt:variant>
      <vt:variant>
        <vt:i4>0</vt:i4>
      </vt:variant>
      <vt:variant>
        <vt:i4>5</vt:i4>
      </vt:variant>
      <vt:variant>
        <vt:lpwstr>../Docs/R1-135452.zip</vt:lpwstr>
      </vt:variant>
      <vt:variant>
        <vt:lpwstr/>
      </vt:variant>
      <vt:variant>
        <vt:i4>4521995</vt:i4>
      </vt:variant>
      <vt:variant>
        <vt:i4>1419</vt:i4>
      </vt:variant>
      <vt:variant>
        <vt:i4>0</vt:i4>
      </vt:variant>
      <vt:variant>
        <vt:i4>5</vt:i4>
      </vt:variant>
      <vt:variant>
        <vt:lpwstr>../Docs/R1-135010.zip</vt:lpwstr>
      </vt:variant>
      <vt:variant>
        <vt:lpwstr/>
      </vt:variant>
      <vt:variant>
        <vt:i4>4325378</vt:i4>
      </vt:variant>
      <vt:variant>
        <vt:i4>1416</vt:i4>
      </vt:variant>
      <vt:variant>
        <vt:i4>0</vt:i4>
      </vt:variant>
      <vt:variant>
        <vt:i4>5</vt:i4>
      </vt:variant>
      <vt:variant>
        <vt:lpwstr>../Docs/R1-135960.zip</vt:lpwstr>
      </vt:variant>
      <vt:variant>
        <vt:lpwstr/>
      </vt:variant>
      <vt:variant>
        <vt:i4>4521987</vt:i4>
      </vt:variant>
      <vt:variant>
        <vt:i4>1413</vt:i4>
      </vt:variant>
      <vt:variant>
        <vt:i4>0</vt:i4>
      </vt:variant>
      <vt:variant>
        <vt:i4>5</vt:i4>
      </vt:variant>
      <vt:variant>
        <vt:lpwstr>../Docs/R1-136028.zip</vt:lpwstr>
      </vt:variant>
      <vt:variant>
        <vt:lpwstr/>
      </vt:variant>
      <vt:variant>
        <vt:i4>2424837</vt:i4>
      </vt:variant>
      <vt:variant>
        <vt:i4>1410</vt:i4>
      </vt:variant>
      <vt:variant>
        <vt:i4>0</vt:i4>
      </vt:variant>
      <vt:variant>
        <vt:i4>5</vt:i4>
      </vt:variant>
      <vt:variant>
        <vt:lpwstr>http://www.3gpp.org/ftp/tsg_ran/TSG_RAN/TSGR_58/Docs/RP-121772.zip</vt:lpwstr>
      </vt:variant>
      <vt:variant>
        <vt:lpwstr/>
      </vt:variant>
      <vt:variant>
        <vt:i4>4980748</vt:i4>
      </vt:variant>
      <vt:variant>
        <vt:i4>1407</vt:i4>
      </vt:variant>
      <vt:variant>
        <vt:i4>0</vt:i4>
      </vt:variant>
      <vt:variant>
        <vt:i4>5</vt:i4>
      </vt:variant>
      <vt:variant>
        <vt:lpwstr>../Docs/R1-135285.zip</vt:lpwstr>
      </vt:variant>
      <vt:variant>
        <vt:lpwstr/>
      </vt:variant>
      <vt:variant>
        <vt:i4>5046278</vt:i4>
      </vt:variant>
      <vt:variant>
        <vt:i4>1404</vt:i4>
      </vt:variant>
      <vt:variant>
        <vt:i4>0</vt:i4>
      </vt:variant>
      <vt:variant>
        <vt:i4>5</vt:i4>
      </vt:variant>
      <vt:variant>
        <vt:lpwstr>../Docs/R1-134984.zip</vt:lpwstr>
      </vt:variant>
      <vt:variant>
        <vt:lpwstr/>
      </vt:variant>
      <vt:variant>
        <vt:i4>4390927</vt:i4>
      </vt:variant>
      <vt:variant>
        <vt:i4>1401</vt:i4>
      </vt:variant>
      <vt:variant>
        <vt:i4>0</vt:i4>
      </vt:variant>
      <vt:variant>
        <vt:i4>5</vt:i4>
      </vt:variant>
      <vt:variant>
        <vt:lpwstr>../Docs/R1-135773.zip</vt:lpwstr>
      </vt:variant>
      <vt:variant>
        <vt:lpwstr/>
      </vt:variant>
      <vt:variant>
        <vt:i4>4980748</vt:i4>
      </vt:variant>
      <vt:variant>
        <vt:i4>1398</vt:i4>
      </vt:variant>
      <vt:variant>
        <vt:i4>0</vt:i4>
      </vt:variant>
      <vt:variant>
        <vt:i4>5</vt:i4>
      </vt:variant>
      <vt:variant>
        <vt:lpwstr>../Docs/R1-135285.zip</vt:lpwstr>
      </vt:variant>
      <vt:variant>
        <vt:lpwstr/>
      </vt:variant>
      <vt:variant>
        <vt:i4>4980750</vt:i4>
      </vt:variant>
      <vt:variant>
        <vt:i4>1395</vt:i4>
      </vt:variant>
      <vt:variant>
        <vt:i4>0</vt:i4>
      </vt:variant>
      <vt:variant>
        <vt:i4>5</vt:i4>
      </vt:variant>
      <vt:variant>
        <vt:lpwstr>../Docs/R1-135184.zip</vt:lpwstr>
      </vt:variant>
      <vt:variant>
        <vt:lpwstr/>
      </vt:variant>
      <vt:variant>
        <vt:i4>5046279</vt:i4>
      </vt:variant>
      <vt:variant>
        <vt:i4>1392</vt:i4>
      </vt:variant>
      <vt:variant>
        <vt:i4>0</vt:i4>
      </vt:variant>
      <vt:variant>
        <vt:i4>5</vt:i4>
      </vt:variant>
      <vt:variant>
        <vt:lpwstr>../Docs/R1-135894.zip</vt:lpwstr>
      </vt:variant>
      <vt:variant>
        <vt:lpwstr/>
      </vt:variant>
      <vt:variant>
        <vt:i4>4980750</vt:i4>
      </vt:variant>
      <vt:variant>
        <vt:i4>1359</vt:i4>
      </vt:variant>
      <vt:variant>
        <vt:i4>0</vt:i4>
      </vt:variant>
      <vt:variant>
        <vt:i4>5</vt:i4>
      </vt:variant>
      <vt:variant>
        <vt:lpwstr>../Docs/R1-135184.zip</vt:lpwstr>
      </vt:variant>
      <vt:variant>
        <vt:lpwstr/>
      </vt:variant>
      <vt:variant>
        <vt:i4>4194312</vt:i4>
      </vt:variant>
      <vt:variant>
        <vt:i4>1356</vt:i4>
      </vt:variant>
      <vt:variant>
        <vt:i4>0</vt:i4>
      </vt:variant>
      <vt:variant>
        <vt:i4>5</vt:i4>
      </vt:variant>
      <vt:variant>
        <vt:lpwstr>../Docs/R1-136073.zip</vt:lpwstr>
      </vt:variant>
      <vt:variant>
        <vt:lpwstr/>
      </vt:variant>
      <vt:variant>
        <vt:i4>4980746</vt:i4>
      </vt:variant>
      <vt:variant>
        <vt:i4>1353</vt:i4>
      </vt:variant>
      <vt:variant>
        <vt:i4>0</vt:i4>
      </vt:variant>
      <vt:variant>
        <vt:i4>5</vt:i4>
      </vt:variant>
      <vt:variant>
        <vt:lpwstr>../Docs/R1-135889.zip</vt:lpwstr>
      </vt:variant>
      <vt:variant>
        <vt:lpwstr/>
      </vt:variant>
      <vt:variant>
        <vt:i4>4194306</vt:i4>
      </vt:variant>
      <vt:variant>
        <vt:i4>1350</vt:i4>
      </vt:variant>
      <vt:variant>
        <vt:i4>0</vt:i4>
      </vt:variant>
      <vt:variant>
        <vt:i4>5</vt:i4>
      </vt:variant>
      <vt:variant>
        <vt:lpwstr>../Docs/R1-135148.zip</vt:lpwstr>
      </vt:variant>
      <vt:variant>
        <vt:lpwstr/>
      </vt:variant>
      <vt:variant>
        <vt:i4>4980747</vt:i4>
      </vt:variant>
      <vt:variant>
        <vt:i4>1347</vt:i4>
      </vt:variant>
      <vt:variant>
        <vt:i4>0</vt:i4>
      </vt:variant>
      <vt:variant>
        <vt:i4>5</vt:i4>
      </vt:variant>
      <vt:variant>
        <vt:lpwstr>../Docs/R1-135888.zip</vt:lpwstr>
      </vt:variant>
      <vt:variant>
        <vt:lpwstr/>
      </vt:variant>
      <vt:variant>
        <vt:i4>4194317</vt:i4>
      </vt:variant>
      <vt:variant>
        <vt:i4>1344</vt:i4>
      </vt:variant>
      <vt:variant>
        <vt:i4>0</vt:i4>
      </vt:variant>
      <vt:variant>
        <vt:i4>5</vt:i4>
      </vt:variant>
      <vt:variant>
        <vt:lpwstr>../Docs/R1-135147.zip</vt:lpwstr>
      </vt:variant>
      <vt:variant>
        <vt:lpwstr/>
      </vt:variant>
      <vt:variant>
        <vt:i4>5046284</vt:i4>
      </vt:variant>
      <vt:variant>
        <vt:i4>1341</vt:i4>
      </vt:variant>
      <vt:variant>
        <vt:i4>0</vt:i4>
      </vt:variant>
      <vt:variant>
        <vt:i4>5</vt:i4>
      </vt:variant>
      <vt:variant>
        <vt:lpwstr>../Docs/R1-135097.zip</vt:lpwstr>
      </vt:variant>
      <vt:variant>
        <vt:lpwstr/>
      </vt:variant>
      <vt:variant>
        <vt:i4>4980745</vt:i4>
      </vt:variant>
      <vt:variant>
        <vt:i4>1338</vt:i4>
      </vt:variant>
      <vt:variant>
        <vt:i4>0</vt:i4>
      </vt:variant>
      <vt:variant>
        <vt:i4>5</vt:i4>
      </vt:variant>
      <vt:variant>
        <vt:lpwstr>../Docs/R1-135183.zip</vt:lpwstr>
      </vt:variant>
      <vt:variant>
        <vt:lpwstr/>
      </vt:variant>
      <vt:variant>
        <vt:i4>4194319</vt:i4>
      </vt:variant>
      <vt:variant>
        <vt:i4>1335</vt:i4>
      </vt:variant>
      <vt:variant>
        <vt:i4>0</vt:i4>
      </vt:variant>
      <vt:variant>
        <vt:i4>5</vt:i4>
      </vt:variant>
      <vt:variant>
        <vt:lpwstr>../Docs/R1-136074.zip</vt:lpwstr>
      </vt:variant>
      <vt:variant>
        <vt:lpwstr/>
      </vt:variant>
      <vt:variant>
        <vt:i4>4194317</vt:i4>
      </vt:variant>
      <vt:variant>
        <vt:i4>1332</vt:i4>
      </vt:variant>
      <vt:variant>
        <vt:i4>0</vt:i4>
      </vt:variant>
      <vt:variant>
        <vt:i4>5</vt:i4>
      </vt:variant>
      <vt:variant>
        <vt:lpwstr>../Docs/R1-136076.zip</vt:lpwstr>
      </vt:variant>
      <vt:variant>
        <vt:lpwstr/>
      </vt:variant>
      <vt:variant>
        <vt:i4>4521996</vt:i4>
      </vt:variant>
      <vt:variant>
        <vt:i4>1329</vt:i4>
      </vt:variant>
      <vt:variant>
        <vt:i4>0</vt:i4>
      </vt:variant>
      <vt:variant>
        <vt:i4>5</vt:i4>
      </vt:variant>
      <vt:variant>
        <vt:lpwstr>../Docs/R1-135611.zip</vt:lpwstr>
      </vt:variant>
      <vt:variant>
        <vt:lpwstr/>
      </vt:variant>
      <vt:variant>
        <vt:i4>4194318</vt:i4>
      </vt:variant>
      <vt:variant>
        <vt:i4>1326</vt:i4>
      </vt:variant>
      <vt:variant>
        <vt:i4>0</vt:i4>
      </vt:variant>
      <vt:variant>
        <vt:i4>5</vt:i4>
      </vt:variant>
      <vt:variant>
        <vt:lpwstr>../Docs/R1-136075.zip</vt:lpwstr>
      </vt:variant>
      <vt:variant>
        <vt:lpwstr/>
      </vt:variant>
      <vt:variant>
        <vt:i4>4194319</vt:i4>
      </vt:variant>
      <vt:variant>
        <vt:i4>1323</vt:i4>
      </vt:variant>
      <vt:variant>
        <vt:i4>0</vt:i4>
      </vt:variant>
      <vt:variant>
        <vt:i4>5</vt:i4>
      </vt:variant>
      <vt:variant>
        <vt:lpwstr>../Docs/R1-136074.zip</vt:lpwstr>
      </vt:variant>
      <vt:variant>
        <vt:lpwstr/>
      </vt:variant>
      <vt:variant>
        <vt:i4>4521996</vt:i4>
      </vt:variant>
      <vt:variant>
        <vt:i4>1320</vt:i4>
      </vt:variant>
      <vt:variant>
        <vt:i4>0</vt:i4>
      </vt:variant>
      <vt:variant>
        <vt:i4>5</vt:i4>
      </vt:variant>
      <vt:variant>
        <vt:lpwstr>../Docs/R1-135611.zip</vt:lpwstr>
      </vt:variant>
      <vt:variant>
        <vt:lpwstr/>
      </vt:variant>
      <vt:variant>
        <vt:i4>4521996</vt:i4>
      </vt:variant>
      <vt:variant>
        <vt:i4>1317</vt:i4>
      </vt:variant>
      <vt:variant>
        <vt:i4>0</vt:i4>
      </vt:variant>
      <vt:variant>
        <vt:i4>5</vt:i4>
      </vt:variant>
      <vt:variant>
        <vt:lpwstr>../Docs/R1-135611.zip</vt:lpwstr>
      </vt:variant>
      <vt:variant>
        <vt:lpwstr/>
      </vt:variant>
      <vt:variant>
        <vt:i4>4390923</vt:i4>
      </vt:variant>
      <vt:variant>
        <vt:i4>1314</vt:i4>
      </vt:variant>
      <vt:variant>
        <vt:i4>0</vt:i4>
      </vt:variant>
      <vt:variant>
        <vt:i4>5</vt:i4>
      </vt:variant>
      <vt:variant>
        <vt:lpwstr>../Docs/R1-135272.zip</vt:lpwstr>
      </vt:variant>
      <vt:variant>
        <vt:lpwstr/>
      </vt:variant>
      <vt:variant>
        <vt:i4>4521995</vt:i4>
      </vt:variant>
      <vt:variant>
        <vt:i4>1311</vt:i4>
      </vt:variant>
      <vt:variant>
        <vt:i4>0</vt:i4>
      </vt:variant>
      <vt:variant>
        <vt:i4>5</vt:i4>
      </vt:variant>
      <vt:variant>
        <vt:lpwstr>../Docs/R1-135818.zip</vt:lpwstr>
      </vt:variant>
      <vt:variant>
        <vt:lpwstr/>
      </vt:variant>
      <vt:variant>
        <vt:i4>4521996</vt:i4>
      </vt:variant>
      <vt:variant>
        <vt:i4>1308</vt:i4>
      </vt:variant>
      <vt:variant>
        <vt:i4>0</vt:i4>
      </vt:variant>
      <vt:variant>
        <vt:i4>5</vt:i4>
      </vt:variant>
      <vt:variant>
        <vt:lpwstr>../Docs/R1-135611.zip</vt:lpwstr>
      </vt:variant>
      <vt:variant>
        <vt:lpwstr/>
      </vt:variant>
      <vt:variant>
        <vt:i4>4325383</vt:i4>
      </vt:variant>
      <vt:variant>
        <vt:i4>1305</vt:i4>
      </vt:variant>
      <vt:variant>
        <vt:i4>0</vt:i4>
      </vt:variant>
      <vt:variant>
        <vt:i4>5</vt:i4>
      </vt:variant>
      <vt:variant>
        <vt:lpwstr>../Docs/R1-135864.zip</vt:lpwstr>
      </vt:variant>
      <vt:variant>
        <vt:lpwstr/>
      </vt:variant>
      <vt:variant>
        <vt:i4>4325390</vt:i4>
      </vt:variant>
      <vt:variant>
        <vt:i4>1302</vt:i4>
      </vt:variant>
      <vt:variant>
        <vt:i4>0</vt:i4>
      </vt:variant>
      <vt:variant>
        <vt:i4>5</vt:i4>
      </vt:variant>
      <vt:variant>
        <vt:lpwstr>../Docs/R1-135762.zip</vt:lpwstr>
      </vt:variant>
      <vt:variant>
        <vt:lpwstr/>
      </vt:variant>
      <vt:variant>
        <vt:i4>4587528</vt:i4>
      </vt:variant>
      <vt:variant>
        <vt:i4>1299</vt:i4>
      </vt:variant>
      <vt:variant>
        <vt:i4>0</vt:i4>
      </vt:variant>
      <vt:variant>
        <vt:i4>5</vt:i4>
      </vt:variant>
      <vt:variant>
        <vt:lpwstr>../Docs/R1-135724.zip</vt:lpwstr>
      </vt:variant>
      <vt:variant>
        <vt:lpwstr/>
      </vt:variant>
      <vt:variant>
        <vt:i4>4259843</vt:i4>
      </vt:variant>
      <vt:variant>
        <vt:i4>1296</vt:i4>
      </vt:variant>
      <vt:variant>
        <vt:i4>0</vt:i4>
      </vt:variant>
      <vt:variant>
        <vt:i4>5</vt:i4>
      </vt:variant>
      <vt:variant>
        <vt:lpwstr>../Docs/R1-135850.zip</vt:lpwstr>
      </vt:variant>
      <vt:variant>
        <vt:lpwstr/>
      </vt:variant>
      <vt:variant>
        <vt:i4>4259850</vt:i4>
      </vt:variant>
      <vt:variant>
        <vt:i4>1293</vt:i4>
      </vt:variant>
      <vt:variant>
        <vt:i4>0</vt:i4>
      </vt:variant>
      <vt:variant>
        <vt:i4>5</vt:i4>
      </vt:variant>
      <vt:variant>
        <vt:lpwstr>../Docs/R1-135051.zip</vt:lpwstr>
      </vt:variant>
      <vt:variant>
        <vt:lpwstr/>
      </vt:variant>
      <vt:variant>
        <vt:i4>4259851</vt:i4>
      </vt:variant>
      <vt:variant>
        <vt:i4>1290</vt:i4>
      </vt:variant>
      <vt:variant>
        <vt:i4>0</vt:i4>
      </vt:variant>
      <vt:variant>
        <vt:i4>5</vt:i4>
      </vt:variant>
      <vt:variant>
        <vt:lpwstr>../Docs/R1-135050.zip</vt:lpwstr>
      </vt:variant>
      <vt:variant>
        <vt:lpwstr/>
      </vt:variant>
      <vt:variant>
        <vt:i4>6946838</vt:i4>
      </vt:variant>
      <vt:variant>
        <vt:i4>1287</vt:i4>
      </vt:variant>
      <vt:variant>
        <vt:i4>0</vt:i4>
      </vt:variant>
      <vt:variant>
        <vt:i4>5</vt:i4>
      </vt:variant>
      <vt:variant>
        <vt:lpwstr>http://ftp.3gpp.org/tsg_ran/TSG_RAN/TSGR_61/Docs/RP-131386.zip</vt:lpwstr>
      </vt:variant>
      <vt:variant>
        <vt:lpwstr/>
      </vt:variant>
      <vt:variant>
        <vt:i4>4259844</vt:i4>
      </vt:variant>
      <vt:variant>
        <vt:i4>1284</vt:i4>
      </vt:variant>
      <vt:variant>
        <vt:i4>0</vt:i4>
      </vt:variant>
      <vt:variant>
        <vt:i4>5</vt:i4>
      </vt:variant>
      <vt:variant>
        <vt:lpwstr>../Docs/R1-135857.zip</vt:lpwstr>
      </vt:variant>
      <vt:variant>
        <vt:lpwstr/>
      </vt:variant>
      <vt:variant>
        <vt:i4>4325376</vt:i4>
      </vt:variant>
      <vt:variant>
        <vt:i4>1281</vt:i4>
      </vt:variant>
      <vt:variant>
        <vt:i4>0</vt:i4>
      </vt:variant>
      <vt:variant>
        <vt:i4>5</vt:i4>
      </vt:variant>
      <vt:variant>
        <vt:lpwstr>../Docs/R1-135863.zip</vt:lpwstr>
      </vt:variant>
      <vt:variant>
        <vt:lpwstr/>
      </vt:variant>
      <vt:variant>
        <vt:i4>4456457</vt:i4>
      </vt:variant>
      <vt:variant>
        <vt:i4>1278</vt:i4>
      </vt:variant>
      <vt:variant>
        <vt:i4>0</vt:i4>
      </vt:variant>
      <vt:variant>
        <vt:i4>5</vt:i4>
      </vt:variant>
      <vt:variant>
        <vt:lpwstr>../Docs/R1-135705.zip</vt:lpwstr>
      </vt:variant>
      <vt:variant>
        <vt:lpwstr/>
      </vt:variant>
      <vt:variant>
        <vt:i4>4456456</vt:i4>
      </vt:variant>
      <vt:variant>
        <vt:i4>1275</vt:i4>
      </vt:variant>
      <vt:variant>
        <vt:i4>0</vt:i4>
      </vt:variant>
      <vt:variant>
        <vt:i4>5</vt:i4>
      </vt:variant>
      <vt:variant>
        <vt:lpwstr>../Docs/R1-135704.zip</vt:lpwstr>
      </vt:variant>
      <vt:variant>
        <vt:lpwstr/>
      </vt:variant>
      <vt:variant>
        <vt:i4>4325382</vt:i4>
      </vt:variant>
      <vt:variant>
        <vt:i4>1272</vt:i4>
      </vt:variant>
      <vt:variant>
        <vt:i4>0</vt:i4>
      </vt:variant>
      <vt:variant>
        <vt:i4>5</vt:i4>
      </vt:variant>
      <vt:variant>
        <vt:lpwstr>../Docs/R1-135865.zip</vt:lpwstr>
      </vt:variant>
      <vt:variant>
        <vt:lpwstr/>
      </vt:variant>
      <vt:variant>
        <vt:i4>4456456</vt:i4>
      </vt:variant>
      <vt:variant>
        <vt:i4>1269</vt:i4>
      </vt:variant>
      <vt:variant>
        <vt:i4>0</vt:i4>
      </vt:variant>
      <vt:variant>
        <vt:i4>5</vt:i4>
      </vt:variant>
      <vt:variant>
        <vt:lpwstr>../Docs/R1-135704.zip</vt:lpwstr>
      </vt:variant>
      <vt:variant>
        <vt:lpwstr/>
      </vt:variant>
      <vt:variant>
        <vt:i4>4456463</vt:i4>
      </vt:variant>
      <vt:variant>
        <vt:i4>1266</vt:i4>
      </vt:variant>
      <vt:variant>
        <vt:i4>0</vt:i4>
      </vt:variant>
      <vt:variant>
        <vt:i4>5</vt:i4>
      </vt:variant>
      <vt:variant>
        <vt:lpwstr>../Docs/R1-135703.zip</vt:lpwstr>
      </vt:variant>
      <vt:variant>
        <vt:lpwstr/>
      </vt:variant>
      <vt:variant>
        <vt:i4>4456462</vt:i4>
      </vt:variant>
      <vt:variant>
        <vt:i4>1263</vt:i4>
      </vt:variant>
      <vt:variant>
        <vt:i4>0</vt:i4>
      </vt:variant>
      <vt:variant>
        <vt:i4>5</vt:i4>
      </vt:variant>
      <vt:variant>
        <vt:lpwstr>../Docs/R1-135702.zip</vt:lpwstr>
      </vt:variant>
      <vt:variant>
        <vt:lpwstr/>
      </vt:variant>
      <vt:variant>
        <vt:i4>4325377</vt:i4>
      </vt:variant>
      <vt:variant>
        <vt:i4>1260</vt:i4>
      </vt:variant>
      <vt:variant>
        <vt:i4>0</vt:i4>
      </vt:variant>
      <vt:variant>
        <vt:i4>5</vt:i4>
      </vt:variant>
      <vt:variant>
        <vt:lpwstr>../Docs/R1-135862.zip</vt:lpwstr>
      </vt:variant>
      <vt:variant>
        <vt:lpwstr/>
      </vt:variant>
      <vt:variant>
        <vt:i4>4456462</vt:i4>
      </vt:variant>
      <vt:variant>
        <vt:i4>1257</vt:i4>
      </vt:variant>
      <vt:variant>
        <vt:i4>0</vt:i4>
      </vt:variant>
      <vt:variant>
        <vt:i4>5</vt:i4>
      </vt:variant>
      <vt:variant>
        <vt:lpwstr>../Docs/R1-135702.zip</vt:lpwstr>
      </vt:variant>
      <vt:variant>
        <vt:lpwstr/>
      </vt:variant>
      <vt:variant>
        <vt:i4>4456461</vt:i4>
      </vt:variant>
      <vt:variant>
        <vt:i4>1254</vt:i4>
      </vt:variant>
      <vt:variant>
        <vt:i4>0</vt:i4>
      </vt:variant>
      <vt:variant>
        <vt:i4>5</vt:i4>
      </vt:variant>
      <vt:variant>
        <vt:lpwstr>../Docs/R1-135701.zip</vt:lpwstr>
      </vt:variant>
      <vt:variant>
        <vt:lpwstr/>
      </vt:variant>
      <vt:variant>
        <vt:i4>4587528</vt:i4>
      </vt:variant>
      <vt:variant>
        <vt:i4>1251</vt:i4>
      </vt:variant>
      <vt:variant>
        <vt:i4>0</vt:i4>
      </vt:variant>
      <vt:variant>
        <vt:i4>5</vt:i4>
      </vt:variant>
      <vt:variant>
        <vt:lpwstr>../Docs/R1-135625.zip</vt:lpwstr>
      </vt:variant>
      <vt:variant>
        <vt:lpwstr/>
      </vt:variant>
      <vt:variant>
        <vt:i4>4587529</vt:i4>
      </vt:variant>
      <vt:variant>
        <vt:i4>1248</vt:i4>
      </vt:variant>
      <vt:variant>
        <vt:i4>0</vt:i4>
      </vt:variant>
      <vt:variant>
        <vt:i4>5</vt:i4>
      </vt:variant>
      <vt:variant>
        <vt:lpwstr>../Docs/R1-135624.zip</vt:lpwstr>
      </vt:variant>
      <vt:variant>
        <vt:lpwstr/>
      </vt:variant>
      <vt:variant>
        <vt:i4>4456460</vt:i4>
      </vt:variant>
      <vt:variant>
        <vt:i4>1245</vt:i4>
      </vt:variant>
      <vt:variant>
        <vt:i4>0</vt:i4>
      </vt:variant>
      <vt:variant>
        <vt:i4>5</vt:i4>
      </vt:variant>
      <vt:variant>
        <vt:lpwstr>../Docs/R1-135700.zip</vt:lpwstr>
      </vt:variant>
      <vt:variant>
        <vt:lpwstr/>
      </vt:variant>
      <vt:variant>
        <vt:i4>4587535</vt:i4>
      </vt:variant>
      <vt:variant>
        <vt:i4>1242</vt:i4>
      </vt:variant>
      <vt:variant>
        <vt:i4>0</vt:i4>
      </vt:variant>
      <vt:variant>
        <vt:i4>5</vt:i4>
      </vt:variant>
      <vt:variant>
        <vt:lpwstr>../Docs/R1-135723.zip</vt:lpwstr>
      </vt:variant>
      <vt:variant>
        <vt:lpwstr/>
      </vt:variant>
      <vt:variant>
        <vt:i4>4325378</vt:i4>
      </vt:variant>
      <vt:variant>
        <vt:i4>1239</vt:i4>
      </vt:variant>
      <vt:variant>
        <vt:i4>0</vt:i4>
      </vt:variant>
      <vt:variant>
        <vt:i4>5</vt:i4>
      </vt:variant>
      <vt:variant>
        <vt:lpwstr>../Docs/R1-135861.zip</vt:lpwstr>
      </vt:variant>
      <vt:variant>
        <vt:lpwstr/>
      </vt:variant>
      <vt:variant>
        <vt:i4>4521995</vt:i4>
      </vt:variant>
      <vt:variant>
        <vt:i4>1236</vt:i4>
      </vt:variant>
      <vt:variant>
        <vt:i4>0</vt:i4>
      </vt:variant>
      <vt:variant>
        <vt:i4>5</vt:i4>
      </vt:variant>
      <vt:variant>
        <vt:lpwstr>../Docs/R1-135717.zip</vt:lpwstr>
      </vt:variant>
      <vt:variant>
        <vt:lpwstr/>
      </vt:variant>
      <vt:variant>
        <vt:i4>4587532</vt:i4>
      </vt:variant>
      <vt:variant>
        <vt:i4>1233</vt:i4>
      </vt:variant>
      <vt:variant>
        <vt:i4>0</vt:i4>
      </vt:variant>
      <vt:variant>
        <vt:i4>5</vt:i4>
      </vt:variant>
      <vt:variant>
        <vt:lpwstr>../Docs/R1-135720.zip</vt:lpwstr>
      </vt:variant>
      <vt:variant>
        <vt:lpwstr/>
      </vt:variant>
      <vt:variant>
        <vt:i4>4980742</vt:i4>
      </vt:variant>
      <vt:variant>
        <vt:i4>1230</vt:i4>
      </vt:variant>
      <vt:variant>
        <vt:i4>0</vt:i4>
      </vt:variant>
      <vt:variant>
        <vt:i4>5</vt:i4>
      </vt:variant>
      <vt:variant>
        <vt:lpwstr>../Docs/R1-135984.zip</vt:lpwstr>
      </vt:variant>
      <vt:variant>
        <vt:lpwstr/>
      </vt:variant>
      <vt:variant>
        <vt:i4>4521989</vt:i4>
      </vt:variant>
      <vt:variant>
        <vt:i4>1227</vt:i4>
      </vt:variant>
      <vt:variant>
        <vt:i4>0</vt:i4>
      </vt:variant>
      <vt:variant>
        <vt:i4>5</vt:i4>
      </vt:variant>
      <vt:variant>
        <vt:lpwstr>../Docs/R1-135719.zip</vt:lpwstr>
      </vt:variant>
      <vt:variant>
        <vt:lpwstr/>
      </vt:variant>
      <vt:variant>
        <vt:i4>5046277</vt:i4>
      </vt:variant>
      <vt:variant>
        <vt:i4>1224</vt:i4>
      </vt:variant>
      <vt:variant>
        <vt:i4>0</vt:i4>
      </vt:variant>
      <vt:variant>
        <vt:i4>5</vt:i4>
      </vt:variant>
      <vt:variant>
        <vt:lpwstr>../Docs/R1-135799.zip</vt:lpwstr>
      </vt:variant>
      <vt:variant>
        <vt:lpwstr/>
      </vt:variant>
      <vt:variant>
        <vt:i4>4259850</vt:i4>
      </vt:variant>
      <vt:variant>
        <vt:i4>1221</vt:i4>
      </vt:variant>
      <vt:variant>
        <vt:i4>0</vt:i4>
      </vt:variant>
      <vt:variant>
        <vt:i4>5</vt:i4>
      </vt:variant>
      <vt:variant>
        <vt:lpwstr>../Docs/R1-135859.zip</vt:lpwstr>
      </vt:variant>
      <vt:variant>
        <vt:lpwstr/>
      </vt:variant>
      <vt:variant>
        <vt:i4>4587534</vt:i4>
      </vt:variant>
      <vt:variant>
        <vt:i4>1218</vt:i4>
      </vt:variant>
      <vt:variant>
        <vt:i4>0</vt:i4>
      </vt:variant>
      <vt:variant>
        <vt:i4>5</vt:i4>
      </vt:variant>
      <vt:variant>
        <vt:lpwstr>../Docs/R1-135722.zip</vt:lpwstr>
      </vt:variant>
      <vt:variant>
        <vt:lpwstr/>
      </vt:variant>
      <vt:variant>
        <vt:i4>4259851</vt:i4>
      </vt:variant>
      <vt:variant>
        <vt:i4>1215</vt:i4>
      </vt:variant>
      <vt:variant>
        <vt:i4>0</vt:i4>
      </vt:variant>
      <vt:variant>
        <vt:i4>5</vt:i4>
      </vt:variant>
      <vt:variant>
        <vt:lpwstr>../Docs/R1-135858.zip</vt:lpwstr>
      </vt:variant>
      <vt:variant>
        <vt:lpwstr/>
      </vt:variant>
      <vt:variant>
        <vt:i4>4587533</vt:i4>
      </vt:variant>
      <vt:variant>
        <vt:i4>1212</vt:i4>
      </vt:variant>
      <vt:variant>
        <vt:i4>0</vt:i4>
      </vt:variant>
      <vt:variant>
        <vt:i4>5</vt:i4>
      </vt:variant>
      <vt:variant>
        <vt:lpwstr>../Docs/R1-135721.zip</vt:lpwstr>
      </vt:variant>
      <vt:variant>
        <vt:lpwstr/>
      </vt:variant>
      <vt:variant>
        <vt:i4>4521988</vt:i4>
      </vt:variant>
      <vt:variant>
        <vt:i4>1209</vt:i4>
      </vt:variant>
      <vt:variant>
        <vt:i4>0</vt:i4>
      </vt:variant>
      <vt:variant>
        <vt:i4>5</vt:i4>
      </vt:variant>
      <vt:variant>
        <vt:lpwstr>../Docs/R1-135718.zip</vt:lpwstr>
      </vt:variant>
      <vt:variant>
        <vt:lpwstr/>
      </vt:variant>
      <vt:variant>
        <vt:i4>5046276</vt:i4>
      </vt:variant>
      <vt:variant>
        <vt:i4>1206</vt:i4>
      </vt:variant>
      <vt:variant>
        <vt:i4>0</vt:i4>
      </vt:variant>
      <vt:variant>
        <vt:i4>5</vt:i4>
      </vt:variant>
      <vt:variant>
        <vt:lpwstr>../Docs/R1-135699.zip</vt:lpwstr>
      </vt:variant>
      <vt:variant>
        <vt:lpwstr/>
      </vt:variant>
      <vt:variant>
        <vt:i4>4259842</vt:i4>
      </vt:variant>
      <vt:variant>
        <vt:i4>1203</vt:i4>
      </vt:variant>
      <vt:variant>
        <vt:i4>0</vt:i4>
      </vt:variant>
      <vt:variant>
        <vt:i4>5</vt:i4>
      </vt:variant>
      <vt:variant>
        <vt:lpwstr>../Docs/R1-135851.zip</vt:lpwstr>
      </vt:variant>
      <vt:variant>
        <vt:lpwstr/>
      </vt:variant>
      <vt:variant>
        <vt:i4>4587534</vt:i4>
      </vt:variant>
      <vt:variant>
        <vt:i4>1200</vt:i4>
      </vt:variant>
      <vt:variant>
        <vt:i4>0</vt:i4>
      </vt:variant>
      <vt:variant>
        <vt:i4>5</vt:i4>
      </vt:variant>
      <vt:variant>
        <vt:lpwstr>../Docs/R1-135623.zip</vt:lpwstr>
      </vt:variant>
      <vt:variant>
        <vt:lpwstr/>
      </vt:variant>
      <vt:variant>
        <vt:i4>4259846</vt:i4>
      </vt:variant>
      <vt:variant>
        <vt:i4>1197</vt:i4>
      </vt:variant>
      <vt:variant>
        <vt:i4>0</vt:i4>
      </vt:variant>
      <vt:variant>
        <vt:i4>5</vt:i4>
      </vt:variant>
      <vt:variant>
        <vt:lpwstr>../Docs/R1-135855.zip</vt:lpwstr>
      </vt:variant>
      <vt:variant>
        <vt:lpwstr/>
      </vt:variant>
      <vt:variant>
        <vt:i4>4325388</vt:i4>
      </vt:variant>
      <vt:variant>
        <vt:i4>1194</vt:i4>
      </vt:variant>
      <vt:variant>
        <vt:i4>0</vt:i4>
      </vt:variant>
      <vt:variant>
        <vt:i4>5</vt:i4>
      </vt:variant>
      <vt:variant>
        <vt:lpwstr>../Docs/R1-135760.zip</vt:lpwstr>
      </vt:variant>
      <vt:variant>
        <vt:lpwstr/>
      </vt:variant>
      <vt:variant>
        <vt:i4>5046282</vt:i4>
      </vt:variant>
      <vt:variant>
        <vt:i4>1191</vt:i4>
      </vt:variant>
      <vt:variant>
        <vt:i4>0</vt:i4>
      </vt:variant>
      <vt:variant>
        <vt:i4>5</vt:i4>
      </vt:variant>
      <vt:variant>
        <vt:lpwstr>../Docs/R1-135697.zip</vt:lpwstr>
      </vt:variant>
      <vt:variant>
        <vt:lpwstr/>
      </vt:variant>
      <vt:variant>
        <vt:i4>4259847</vt:i4>
      </vt:variant>
      <vt:variant>
        <vt:i4>1188</vt:i4>
      </vt:variant>
      <vt:variant>
        <vt:i4>0</vt:i4>
      </vt:variant>
      <vt:variant>
        <vt:i4>5</vt:i4>
      </vt:variant>
      <vt:variant>
        <vt:lpwstr>../Docs/R1-135854.zip</vt:lpwstr>
      </vt:variant>
      <vt:variant>
        <vt:lpwstr/>
      </vt:variant>
      <vt:variant>
        <vt:i4>4259845</vt:i4>
      </vt:variant>
      <vt:variant>
        <vt:i4>1185</vt:i4>
      </vt:variant>
      <vt:variant>
        <vt:i4>0</vt:i4>
      </vt:variant>
      <vt:variant>
        <vt:i4>5</vt:i4>
      </vt:variant>
      <vt:variant>
        <vt:lpwstr>../Docs/R1-135759.zip</vt:lpwstr>
      </vt:variant>
      <vt:variant>
        <vt:lpwstr/>
      </vt:variant>
      <vt:variant>
        <vt:i4>4259844</vt:i4>
      </vt:variant>
      <vt:variant>
        <vt:i4>1182</vt:i4>
      </vt:variant>
      <vt:variant>
        <vt:i4>0</vt:i4>
      </vt:variant>
      <vt:variant>
        <vt:i4>5</vt:i4>
      </vt:variant>
      <vt:variant>
        <vt:lpwstr>../Docs/R1-135758.zip</vt:lpwstr>
      </vt:variant>
      <vt:variant>
        <vt:lpwstr/>
      </vt:variant>
      <vt:variant>
        <vt:i4>4980743</vt:i4>
      </vt:variant>
      <vt:variant>
        <vt:i4>1179</vt:i4>
      </vt:variant>
      <vt:variant>
        <vt:i4>0</vt:i4>
      </vt:variant>
      <vt:variant>
        <vt:i4>5</vt:i4>
      </vt:variant>
      <vt:variant>
        <vt:lpwstr>../Docs/R1-135985.zip</vt:lpwstr>
      </vt:variant>
      <vt:variant>
        <vt:lpwstr/>
      </vt:variant>
      <vt:variant>
        <vt:i4>4325389</vt:i4>
      </vt:variant>
      <vt:variant>
        <vt:i4>1176</vt:i4>
      </vt:variant>
      <vt:variant>
        <vt:i4>0</vt:i4>
      </vt:variant>
      <vt:variant>
        <vt:i4>5</vt:i4>
      </vt:variant>
      <vt:variant>
        <vt:lpwstr>../Docs/R1-135761.zip</vt:lpwstr>
      </vt:variant>
      <vt:variant>
        <vt:lpwstr/>
      </vt:variant>
      <vt:variant>
        <vt:i4>5046281</vt:i4>
      </vt:variant>
      <vt:variant>
        <vt:i4>1173</vt:i4>
      </vt:variant>
      <vt:variant>
        <vt:i4>0</vt:i4>
      </vt:variant>
      <vt:variant>
        <vt:i4>5</vt:i4>
      </vt:variant>
      <vt:variant>
        <vt:lpwstr>../Docs/R1-135694.zip</vt:lpwstr>
      </vt:variant>
      <vt:variant>
        <vt:lpwstr/>
      </vt:variant>
      <vt:variant>
        <vt:i4>4259840</vt:i4>
      </vt:variant>
      <vt:variant>
        <vt:i4>1170</vt:i4>
      </vt:variant>
      <vt:variant>
        <vt:i4>0</vt:i4>
      </vt:variant>
      <vt:variant>
        <vt:i4>5</vt:i4>
      </vt:variant>
      <vt:variant>
        <vt:lpwstr>../Docs/R1-135853.zip</vt:lpwstr>
      </vt:variant>
      <vt:variant>
        <vt:lpwstr/>
      </vt:variant>
      <vt:variant>
        <vt:i4>5046277</vt:i4>
      </vt:variant>
      <vt:variant>
        <vt:i4>1167</vt:i4>
      </vt:variant>
      <vt:variant>
        <vt:i4>0</vt:i4>
      </vt:variant>
      <vt:variant>
        <vt:i4>5</vt:i4>
      </vt:variant>
      <vt:variant>
        <vt:lpwstr>../Docs/R1-135698.zip</vt:lpwstr>
      </vt:variant>
      <vt:variant>
        <vt:lpwstr/>
      </vt:variant>
      <vt:variant>
        <vt:i4>5046277</vt:i4>
      </vt:variant>
      <vt:variant>
        <vt:i4>1164</vt:i4>
      </vt:variant>
      <vt:variant>
        <vt:i4>0</vt:i4>
      </vt:variant>
      <vt:variant>
        <vt:i4>5</vt:i4>
      </vt:variant>
      <vt:variant>
        <vt:lpwstr>../Docs/R1-135698.zip</vt:lpwstr>
      </vt:variant>
      <vt:variant>
        <vt:lpwstr/>
      </vt:variant>
      <vt:variant>
        <vt:i4>4259841</vt:i4>
      </vt:variant>
      <vt:variant>
        <vt:i4>1161</vt:i4>
      </vt:variant>
      <vt:variant>
        <vt:i4>0</vt:i4>
      </vt:variant>
      <vt:variant>
        <vt:i4>5</vt:i4>
      </vt:variant>
      <vt:variant>
        <vt:lpwstr>../Docs/R1-135852.zip</vt:lpwstr>
      </vt:variant>
      <vt:variant>
        <vt:lpwstr/>
      </vt:variant>
      <vt:variant>
        <vt:i4>4259850</vt:i4>
      </vt:variant>
      <vt:variant>
        <vt:i4>1158</vt:i4>
      </vt:variant>
      <vt:variant>
        <vt:i4>0</vt:i4>
      </vt:variant>
      <vt:variant>
        <vt:i4>5</vt:i4>
      </vt:variant>
      <vt:variant>
        <vt:lpwstr>../Docs/R1-135756.zip</vt:lpwstr>
      </vt:variant>
      <vt:variant>
        <vt:lpwstr/>
      </vt:variant>
      <vt:variant>
        <vt:i4>5046283</vt:i4>
      </vt:variant>
      <vt:variant>
        <vt:i4>1155</vt:i4>
      </vt:variant>
      <vt:variant>
        <vt:i4>0</vt:i4>
      </vt:variant>
      <vt:variant>
        <vt:i4>5</vt:i4>
      </vt:variant>
      <vt:variant>
        <vt:lpwstr>../Docs/R1-135696.zip</vt:lpwstr>
      </vt:variant>
      <vt:variant>
        <vt:lpwstr/>
      </vt:variant>
      <vt:variant>
        <vt:i4>4259849</vt:i4>
      </vt:variant>
      <vt:variant>
        <vt:i4>1152</vt:i4>
      </vt:variant>
      <vt:variant>
        <vt:i4>0</vt:i4>
      </vt:variant>
      <vt:variant>
        <vt:i4>5</vt:i4>
      </vt:variant>
      <vt:variant>
        <vt:lpwstr>../Docs/R1-135755.zip</vt:lpwstr>
      </vt:variant>
      <vt:variant>
        <vt:lpwstr/>
      </vt:variant>
      <vt:variant>
        <vt:i4>5046280</vt:i4>
      </vt:variant>
      <vt:variant>
        <vt:i4>1149</vt:i4>
      </vt:variant>
      <vt:variant>
        <vt:i4>0</vt:i4>
      </vt:variant>
      <vt:variant>
        <vt:i4>5</vt:i4>
      </vt:variant>
      <vt:variant>
        <vt:lpwstr>../Docs/R1-135695.zip</vt:lpwstr>
      </vt:variant>
      <vt:variant>
        <vt:lpwstr/>
      </vt:variant>
      <vt:variant>
        <vt:i4>4259845</vt:i4>
      </vt:variant>
      <vt:variant>
        <vt:i4>1146</vt:i4>
      </vt:variant>
      <vt:variant>
        <vt:i4>0</vt:i4>
      </vt:variant>
      <vt:variant>
        <vt:i4>5</vt:i4>
      </vt:variant>
      <vt:variant>
        <vt:lpwstr>../Docs/R1-135856.zip</vt:lpwstr>
      </vt:variant>
      <vt:variant>
        <vt:lpwstr/>
      </vt:variant>
      <vt:variant>
        <vt:i4>4259844</vt:i4>
      </vt:variant>
      <vt:variant>
        <vt:i4>1143</vt:i4>
      </vt:variant>
      <vt:variant>
        <vt:i4>0</vt:i4>
      </vt:variant>
      <vt:variant>
        <vt:i4>5</vt:i4>
      </vt:variant>
      <vt:variant>
        <vt:lpwstr>../Docs/R1-133738.zip</vt:lpwstr>
      </vt:variant>
      <vt:variant>
        <vt:lpwstr/>
      </vt:variant>
      <vt:variant>
        <vt:i4>4259851</vt:i4>
      </vt:variant>
      <vt:variant>
        <vt:i4>1140</vt:i4>
      </vt:variant>
      <vt:variant>
        <vt:i4>0</vt:i4>
      </vt:variant>
      <vt:variant>
        <vt:i4>5</vt:i4>
      </vt:variant>
      <vt:variant>
        <vt:lpwstr>../Docs/R1-135757.zip</vt:lpwstr>
      </vt:variant>
      <vt:variant>
        <vt:lpwstr/>
      </vt:variant>
      <vt:variant>
        <vt:i4>4980741</vt:i4>
      </vt:variant>
      <vt:variant>
        <vt:i4>1137</vt:i4>
      </vt:variant>
      <vt:variant>
        <vt:i4>0</vt:i4>
      </vt:variant>
      <vt:variant>
        <vt:i4>5</vt:i4>
      </vt:variant>
      <vt:variant>
        <vt:lpwstr>../Docs/R1-135987.zip</vt:lpwstr>
      </vt:variant>
      <vt:variant>
        <vt:lpwstr/>
      </vt:variant>
      <vt:variant>
        <vt:i4>6226016</vt:i4>
      </vt:variant>
      <vt:variant>
        <vt:i4>1134</vt:i4>
      </vt:variant>
      <vt:variant>
        <vt:i4>0</vt:i4>
      </vt:variant>
      <vt:variant>
        <vt:i4>5</vt:i4>
      </vt:variant>
      <vt:variant>
        <vt:lpwstr>http://www.3gpp.org/ftp/tsg_ran/WG2_RL2/TSGR2_81/Docs/R2-130758.zip</vt:lpwstr>
      </vt:variant>
      <vt:variant>
        <vt:lpwstr/>
      </vt:variant>
      <vt:variant>
        <vt:i4>2424838</vt:i4>
      </vt:variant>
      <vt:variant>
        <vt:i4>1131</vt:i4>
      </vt:variant>
      <vt:variant>
        <vt:i4>0</vt:i4>
      </vt:variant>
      <vt:variant>
        <vt:i4>5</vt:i4>
      </vt:variant>
      <vt:variant>
        <vt:lpwstr>http://www.3gpp.org/ftp/tsg_ran/TSG_RAN/TSGR_59/Docs/RP-130347.zip</vt:lpwstr>
      </vt:variant>
      <vt:variant>
        <vt:lpwstr/>
      </vt:variant>
      <vt:variant>
        <vt:i4>4390921</vt:i4>
      </vt:variant>
      <vt:variant>
        <vt:i4>1128</vt:i4>
      </vt:variant>
      <vt:variant>
        <vt:i4>0</vt:i4>
      </vt:variant>
      <vt:variant>
        <vt:i4>5</vt:i4>
      </vt:variant>
      <vt:variant>
        <vt:lpwstr>../Docs/R1-136042.zip</vt:lpwstr>
      </vt:variant>
      <vt:variant>
        <vt:lpwstr/>
      </vt:variant>
      <vt:variant>
        <vt:i4>4587525</vt:i4>
      </vt:variant>
      <vt:variant>
        <vt:i4>1125</vt:i4>
      </vt:variant>
      <vt:variant>
        <vt:i4>0</vt:i4>
      </vt:variant>
      <vt:variant>
        <vt:i4>5</vt:i4>
      </vt:variant>
      <vt:variant>
        <vt:lpwstr>../Docs/R1-135927.zip</vt:lpwstr>
      </vt:variant>
      <vt:variant>
        <vt:lpwstr/>
      </vt:variant>
      <vt:variant>
        <vt:i4>4390921</vt:i4>
      </vt:variant>
      <vt:variant>
        <vt:i4>1122</vt:i4>
      </vt:variant>
      <vt:variant>
        <vt:i4>0</vt:i4>
      </vt:variant>
      <vt:variant>
        <vt:i4>5</vt:i4>
      </vt:variant>
      <vt:variant>
        <vt:lpwstr>../Docs/R1-136042.zip</vt:lpwstr>
      </vt:variant>
      <vt:variant>
        <vt:lpwstr/>
      </vt:variant>
      <vt:variant>
        <vt:i4>4587525</vt:i4>
      </vt:variant>
      <vt:variant>
        <vt:i4>1119</vt:i4>
      </vt:variant>
      <vt:variant>
        <vt:i4>0</vt:i4>
      </vt:variant>
      <vt:variant>
        <vt:i4>5</vt:i4>
      </vt:variant>
      <vt:variant>
        <vt:lpwstr>../Docs/R1-135927.zip</vt:lpwstr>
      </vt:variant>
      <vt:variant>
        <vt:lpwstr/>
      </vt:variant>
      <vt:variant>
        <vt:i4>5046276</vt:i4>
      </vt:variant>
      <vt:variant>
        <vt:i4>1116</vt:i4>
      </vt:variant>
      <vt:variant>
        <vt:i4>0</vt:i4>
      </vt:variant>
      <vt:variant>
        <vt:i4>5</vt:i4>
      </vt:variant>
      <vt:variant>
        <vt:lpwstr>../Docs/R1-135798.zip</vt:lpwstr>
      </vt:variant>
      <vt:variant>
        <vt:lpwstr/>
      </vt:variant>
      <vt:variant>
        <vt:i4>4259848</vt:i4>
      </vt:variant>
      <vt:variant>
        <vt:i4>1113</vt:i4>
      </vt:variant>
      <vt:variant>
        <vt:i4>0</vt:i4>
      </vt:variant>
      <vt:variant>
        <vt:i4>5</vt:i4>
      </vt:variant>
      <vt:variant>
        <vt:lpwstr>../Docs/R1-135754.zip</vt:lpwstr>
      </vt:variant>
      <vt:variant>
        <vt:lpwstr/>
      </vt:variant>
      <vt:variant>
        <vt:i4>4521990</vt:i4>
      </vt:variant>
      <vt:variant>
        <vt:i4>1110</vt:i4>
      </vt:variant>
      <vt:variant>
        <vt:i4>0</vt:i4>
      </vt:variant>
      <vt:variant>
        <vt:i4>5</vt:i4>
      </vt:variant>
      <vt:variant>
        <vt:lpwstr>../Docs/R1-135815.zip</vt:lpwstr>
      </vt:variant>
      <vt:variant>
        <vt:lpwstr/>
      </vt:variant>
      <vt:variant>
        <vt:i4>4587530</vt:i4>
      </vt:variant>
      <vt:variant>
        <vt:i4>1107</vt:i4>
      </vt:variant>
      <vt:variant>
        <vt:i4>0</vt:i4>
      </vt:variant>
      <vt:variant>
        <vt:i4>5</vt:i4>
      </vt:variant>
      <vt:variant>
        <vt:lpwstr>../Docs/R1-135627.zip</vt:lpwstr>
      </vt:variant>
      <vt:variant>
        <vt:lpwstr/>
      </vt:variant>
      <vt:variant>
        <vt:i4>4390922</vt:i4>
      </vt:variant>
      <vt:variant>
        <vt:i4>1104</vt:i4>
      </vt:variant>
      <vt:variant>
        <vt:i4>0</vt:i4>
      </vt:variant>
      <vt:variant>
        <vt:i4>5</vt:i4>
      </vt:variant>
      <vt:variant>
        <vt:lpwstr>../Docs/R1-136041.zip</vt:lpwstr>
      </vt:variant>
      <vt:variant>
        <vt:lpwstr/>
      </vt:variant>
      <vt:variant>
        <vt:i4>4390922</vt:i4>
      </vt:variant>
      <vt:variant>
        <vt:i4>1101</vt:i4>
      </vt:variant>
      <vt:variant>
        <vt:i4>0</vt:i4>
      </vt:variant>
      <vt:variant>
        <vt:i4>5</vt:i4>
      </vt:variant>
      <vt:variant>
        <vt:lpwstr>../Docs/R1-136041.zip</vt:lpwstr>
      </vt:variant>
      <vt:variant>
        <vt:lpwstr/>
      </vt:variant>
      <vt:variant>
        <vt:i4>4325387</vt:i4>
      </vt:variant>
      <vt:variant>
        <vt:i4>1098</vt:i4>
      </vt:variant>
      <vt:variant>
        <vt:i4>0</vt:i4>
      </vt:variant>
      <vt:variant>
        <vt:i4>5</vt:i4>
      </vt:variant>
      <vt:variant>
        <vt:lpwstr>../Docs/R1-135969.zip</vt:lpwstr>
      </vt:variant>
      <vt:variant>
        <vt:lpwstr/>
      </vt:variant>
      <vt:variant>
        <vt:i4>4521988</vt:i4>
      </vt:variant>
      <vt:variant>
        <vt:i4>1095</vt:i4>
      </vt:variant>
      <vt:variant>
        <vt:i4>0</vt:i4>
      </vt:variant>
      <vt:variant>
        <vt:i4>5</vt:i4>
      </vt:variant>
      <vt:variant>
        <vt:lpwstr>../Docs/R1-135916.zip</vt:lpwstr>
      </vt:variant>
      <vt:variant>
        <vt:lpwstr/>
      </vt:variant>
      <vt:variant>
        <vt:i4>4521988</vt:i4>
      </vt:variant>
      <vt:variant>
        <vt:i4>1092</vt:i4>
      </vt:variant>
      <vt:variant>
        <vt:i4>0</vt:i4>
      </vt:variant>
      <vt:variant>
        <vt:i4>5</vt:i4>
      </vt:variant>
      <vt:variant>
        <vt:lpwstr>../Docs/R1-135916.zip</vt:lpwstr>
      </vt:variant>
      <vt:variant>
        <vt:lpwstr/>
      </vt:variant>
      <vt:variant>
        <vt:i4>4587531</vt:i4>
      </vt:variant>
      <vt:variant>
        <vt:i4>1089</vt:i4>
      </vt:variant>
      <vt:variant>
        <vt:i4>0</vt:i4>
      </vt:variant>
      <vt:variant>
        <vt:i4>5</vt:i4>
      </vt:variant>
      <vt:variant>
        <vt:lpwstr>../Docs/R1-135626.zip</vt:lpwstr>
      </vt:variant>
      <vt:variant>
        <vt:lpwstr/>
      </vt:variant>
      <vt:variant>
        <vt:i4>4325387</vt:i4>
      </vt:variant>
      <vt:variant>
        <vt:i4>1086</vt:i4>
      </vt:variant>
      <vt:variant>
        <vt:i4>0</vt:i4>
      </vt:variant>
      <vt:variant>
        <vt:i4>5</vt:i4>
      </vt:variant>
      <vt:variant>
        <vt:lpwstr>../Docs/R1-135969.zip</vt:lpwstr>
      </vt:variant>
      <vt:variant>
        <vt:lpwstr/>
      </vt:variant>
      <vt:variant>
        <vt:i4>4325387</vt:i4>
      </vt:variant>
      <vt:variant>
        <vt:i4>1083</vt:i4>
      </vt:variant>
      <vt:variant>
        <vt:i4>0</vt:i4>
      </vt:variant>
      <vt:variant>
        <vt:i4>5</vt:i4>
      </vt:variant>
      <vt:variant>
        <vt:lpwstr>../Docs/R1-135969.zip</vt:lpwstr>
      </vt:variant>
      <vt:variant>
        <vt:lpwstr/>
      </vt:variant>
      <vt:variant>
        <vt:i4>4587531</vt:i4>
      </vt:variant>
      <vt:variant>
        <vt:i4>1080</vt:i4>
      </vt:variant>
      <vt:variant>
        <vt:i4>0</vt:i4>
      </vt:variant>
      <vt:variant>
        <vt:i4>5</vt:i4>
      </vt:variant>
      <vt:variant>
        <vt:lpwstr>../Docs/R1-135626.zip</vt:lpwstr>
      </vt:variant>
      <vt:variant>
        <vt:lpwstr/>
      </vt:variant>
      <vt:variant>
        <vt:i4>4259854</vt:i4>
      </vt:variant>
      <vt:variant>
        <vt:i4>1077</vt:i4>
      </vt:variant>
      <vt:variant>
        <vt:i4>0</vt:i4>
      </vt:variant>
      <vt:variant>
        <vt:i4>5</vt:i4>
      </vt:variant>
      <vt:variant>
        <vt:lpwstr>../Docs/R1-135752.zip</vt:lpwstr>
      </vt:variant>
      <vt:variant>
        <vt:lpwstr/>
      </vt:variant>
      <vt:variant>
        <vt:i4>4259852</vt:i4>
      </vt:variant>
      <vt:variant>
        <vt:i4>1074</vt:i4>
      </vt:variant>
      <vt:variant>
        <vt:i4>0</vt:i4>
      </vt:variant>
      <vt:variant>
        <vt:i4>5</vt:i4>
      </vt:variant>
      <vt:variant>
        <vt:lpwstr>../Docs/R1-135750.zip</vt:lpwstr>
      </vt:variant>
      <vt:variant>
        <vt:lpwstr/>
      </vt:variant>
      <vt:variant>
        <vt:i4>4194309</vt:i4>
      </vt:variant>
      <vt:variant>
        <vt:i4>1071</vt:i4>
      </vt:variant>
      <vt:variant>
        <vt:i4>0</vt:i4>
      </vt:variant>
      <vt:variant>
        <vt:i4>5</vt:i4>
      </vt:variant>
      <vt:variant>
        <vt:lpwstr>../Docs/R1-135749.zip</vt:lpwstr>
      </vt:variant>
      <vt:variant>
        <vt:lpwstr/>
      </vt:variant>
      <vt:variant>
        <vt:i4>4194308</vt:i4>
      </vt:variant>
      <vt:variant>
        <vt:i4>1068</vt:i4>
      </vt:variant>
      <vt:variant>
        <vt:i4>0</vt:i4>
      </vt:variant>
      <vt:variant>
        <vt:i4>5</vt:i4>
      </vt:variant>
      <vt:variant>
        <vt:lpwstr>../Docs/R1-135748.zip</vt:lpwstr>
      </vt:variant>
      <vt:variant>
        <vt:lpwstr/>
      </vt:variant>
      <vt:variant>
        <vt:i4>4194315</vt:i4>
      </vt:variant>
      <vt:variant>
        <vt:i4>1065</vt:i4>
      </vt:variant>
      <vt:variant>
        <vt:i4>0</vt:i4>
      </vt:variant>
      <vt:variant>
        <vt:i4>5</vt:i4>
      </vt:variant>
      <vt:variant>
        <vt:lpwstr>../Docs/R1-135747.zip</vt:lpwstr>
      </vt:variant>
      <vt:variant>
        <vt:lpwstr/>
      </vt:variant>
      <vt:variant>
        <vt:i4>4194314</vt:i4>
      </vt:variant>
      <vt:variant>
        <vt:i4>1062</vt:i4>
      </vt:variant>
      <vt:variant>
        <vt:i4>0</vt:i4>
      </vt:variant>
      <vt:variant>
        <vt:i4>5</vt:i4>
      </vt:variant>
      <vt:variant>
        <vt:lpwstr>../Docs/R1-135746.zip</vt:lpwstr>
      </vt:variant>
      <vt:variant>
        <vt:lpwstr/>
      </vt:variant>
      <vt:variant>
        <vt:i4>4587530</vt:i4>
      </vt:variant>
      <vt:variant>
        <vt:i4>1059</vt:i4>
      </vt:variant>
      <vt:variant>
        <vt:i4>0</vt:i4>
      </vt:variant>
      <vt:variant>
        <vt:i4>5</vt:i4>
      </vt:variant>
      <vt:variant>
        <vt:lpwstr>../Docs/R1-135726.zip</vt:lpwstr>
      </vt:variant>
      <vt:variant>
        <vt:lpwstr/>
      </vt:variant>
      <vt:variant>
        <vt:i4>4587529</vt:i4>
      </vt:variant>
      <vt:variant>
        <vt:i4>1056</vt:i4>
      </vt:variant>
      <vt:variant>
        <vt:i4>0</vt:i4>
      </vt:variant>
      <vt:variant>
        <vt:i4>5</vt:i4>
      </vt:variant>
      <vt:variant>
        <vt:lpwstr>../Docs/R1-135725.zip</vt:lpwstr>
      </vt:variant>
      <vt:variant>
        <vt:lpwstr/>
      </vt:variant>
      <vt:variant>
        <vt:i4>5046283</vt:i4>
      </vt:variant>
      <vt:variant>
        <vt:i4>1053</vt:i4>
      </vt:variant>
      <vt:variant>
        <vt:i4>0</vt:i4>
      </vt:variant>
      <vt:variant>
        <vt:i4>5</vt:i4>
      </vt:variant>
      <vt:variant>
        <vt:lpwstr>../Docs/R1-135797.zip</vt:lpwstr>
      </vt:variant>
      <vt:variant>
        <vt:lpwstr/>
      </vt:variant>
      <vt:variant>
        <vt:i4>4390923</vt:i4>
      </vt:variant>
      <vt:variant>
        <vt:i4>1050</vt:i4>
      </vt:variant>
      <vt:variant>
        <vt:i4>0</vt:i4>
      </vt:variant>
      <vt:variant>
        <vt:i4>5</vt:i4>
      </vt:variant>
      <vt:variant>
        <vt:lpwstr>../Docs/R1-136040.zip</vt:lpwstr>
      </vt:variant>
      <vt:variant>
        <vt:lpwstr/>
      </vt:variant>
      <vt:variant>
        <vt:i4>4390923</vt:i4>
      </vt:variant>
      <vt:variant>
        <vt:i4>1047</vt:i4>
      </vt:variant>
      <vt:variant>
        <vt:i4>0</vt:i4>
      </vt:variant>
      <vt:variant>
        <vt:i4>5</vt:i4>
      </vt:variant>
      <vt:variant>
        <vt:lpwstr>../Docs/R1-136040.zip</vt:lpwstr>
      </vt:variant>
      <vt:variant>
        <vt:lpwstr/>
      </vt:variant>
      <vt:variant>
        <vt:i4>4521994</vt:i4>
      </vt:variant>
      <vt:variant>
        <vt:i4>1044</vt:i4>
      </vt:variant>
      <vt:variant>
        <vt:i4>0</vt:i4>
      </vt:variant>
      <vt:variant>
        <vt:i4>5</vt:i4>
      </vt:variant>
      <vt:variant>
        <vt:lpwstr>../Docs/R1-135716.zip</vt:lpwstr>
      </vt:variant>
      <vt:variant>
        <vt:lpwstr/>
      </vt:variant>
      <vt:variant>
        <vt:i4>4456450</vt:i4>
      </vt:variant>
      <vt:variant>
        <vt:i4>1041</vt:i4>
      </vt:variant>
      <vt:variant>
        <vt:i4>0</vt:i4>
      </vt:variant>
      <vt:variant>
        <vt:i4>5</vt:i4>
      </vt:variant>
      <vt:variant>
        <vt:lpwstr>../Docs/R1-136039.zip</vt:lpwstr>
      </vt:variant>
      <vt:variant>
        <vt:lpwstr/>
      </vt:variant>
      <vt:variant>
        <vt:i4>4456450</vt:i4>
      </vt:variant>
      <vt:variant>
        <vt:i4>1038</vt:i4>
      </vt:variant>
      <vt:variant>
        <vt:i4>0</vt:i4>
      </vt:variant>
      <vt:variant>
        <vt:i4>5</vt:i4>
      </vt:variant>
      <vt:variant>
        <vt:lpwstr>../Docs/R1-136039.zip</vt:lpwstr>
      </vt:variant>
      <vt:variant>
        <vt:lpwstr/>
      </vt:variant>
      <vt:variant>
        <vt:i4>4521993</vt:i4>
      </vt:variant>
      <vt:variant>
        <vt:i4>1035</vt:i4>
      </vt:variant>
      <vt:variant>
        <vt:i4>0</vt:i4>
      </vt:variant>
      <vt:variant>
        <vt:i4>5</vt:i4>
      </vt:variant>
      <vt:variant>
        <vt:lpwstr>../Docs/R1-135715.zip</vt:lpwstr>
      </vt:variant>
      <vt:variant>
        <vt:lpwstr/>
      </vt:variant>
      <vt:variant>
        <vt:i4>5046282</vt:i4>
      </vt:variant>
      <vt:variant>
        <vt:i4>1032</vt:i4>
      </vt:variant>
      <vt:variant>
        <vt:i4>0</vt:i4>
      </vt:variant>
      <vt:variant>
        <vt:i4>5</vt:i4>
      </vt:variant>
      <vt:variant>
        <vt:lpwstr>../Docs/R1-135796.zip</vt:lpwstr>
      </vt:variant>
      <vt:variant>
        <vt:lpwstr/>
      </vt:variant>
      <vt:variant>
        <vt:i4>5046281</vt:i4>
      </vt:variant>
      <vt:variant>
        <vt:i4>1029</vt:i4>
      </vt:variant>
      <vt:variant>
        <vt:i4>0</vt:i4>
      </vt:variant>
      <vt:variant>
        <vt:i4>5</vt:i4>
      </vt:variant>
      <vt:variant>
        <vt:lpwstr>../Docs/R1-135795.zip</vt:lpwstr>
      </vt:variant>
      <vt:variant>
        <vt:lpwstr/>
      </vt:variant>
      <vt:variant>
        <vt:i4>4259855</vt:i4>
      </vt:variant>
      <vt:variant>
        <vt:i4>1026</vt:i4>
      </vt:variant>
      <vt:variant>
        <vt:i4>0</vt:i4>
      </vt:variant>
      <vt:variant>
        <vt:i4>5</vt:i4>
      </vt:variant>
      <vt:variant>
        <vt:lpwstr>../Docs/R1-135753.zip</vt:lpwstr>
      </vt:variant>
      <vt:variant>
        <vt:lpwstr/>
      </vt:variant>
      <vt:variant>
        <vt:i4>4521992</vt:i4>
      </vt:variant>
      <vt:variant>
        <vt:i4>1023</vt:i4>
      </vt:variant>
      <vt:variant>
        <vt:i4>0</vt:i4>
      </vt:variant>
      <vt:variant>
        <vt:i4>5</vt:i4>
      </vt:variant>
      <vt:variant>
        <vt:lpwstr>../Docs/R1-135714.zip</vt:lpwstr>
      </vt:variant>
      <vt:variant>
        <vt:lpwstr/>
      </vt:variant>
      <vt:variant>
        <vt:i4>5046286</vt:i4>
      </vt:variant>
      <vt:variant>
        <vt:i4>1020</vt:i4>
      </vt:variant>
      <vt:variant>
        <vt:i4>0</vt:i4>
      </vt:variant>
      <vt:variant>
        <vt:i4>5</vt:i4>
      </vt:variant>
      <vt:variant>
        <vt:lpwstr>../Docs/R1-135693.zip</vt:lpwstr>
      </vt:variant>
      <vt:variant>
        <vt:lpwstr/>
      </vt:variant>
      <vt:variant>
        <vt:i4>4259853</vt:i4>
      </vt:variant>
      <vt:variant>
        <vt:i4>1017</vt:i4>
      </vt:variant>
      <vt:variant>
        <vt:i4>0</vt:i4>
      </vt:variant>
      <vt:variant>
        <vt:i4>5</vt:i4>
      </vt:variant>
      <vt:variant>
        <vt:lpwstr>../Docs/R1-135751.zip</vt:lpwstr>
      </vt:variant>
      <vt:variant>
        <vt:lpwstr/>
      </vt:variant>
      <vt:variant>
        <vt:i4>5046287</vt:i4>
      </vt:variant>
      <vt:variant>
        <vt:i4>1014</vt:i4>
      </vt:variant>
      <vt:variant>
        <vt:i4>0</vt:i4>
      </vt:variant>
      <vt:variant>
        <vt:i4>5</vt:i4>
      </vt:variant>
      <vt:variant>
        <vt:lpwstr>../Docs/R1-135692.zip</vt:lpwstr>
      </vt:variant>
      <vt:variant>
        <vt:lpwstr/>
      </vt:variant>
      <vt:variant>
        <vt:i4>5046286</vt:i4>
      </vt:variant>
      <vt:variant>
        <vt:i4>1011</vt:i4>
      </vt:variant>
      <vt:variant>
        <vt:i4>0</vt:i4>
      </vt:variant>
      <vt:variant>
        <vt:i4>5</vt:i4>
      </vt:variant>
      <vt:variant>
        <vt:lpwstr>../Docs/R1-135792.zip</vt:lpwstr>
      </vt:variant>
      <vt:variant>
        <vt:lpwstr/>
      </vt:variant>
      <vt:variant>
        <vt:i4>4587527</vt:i4>
      </vt:variant>
      <vt:variant>
        <vt:i4>1008</vt:i4>
      </vt:variant>
      <vt:variant>
        <vt:i4>0</vt:i4>
      </vt:variant>
      <vt:variant>
        <vt:i4>5</vt:i4>
      </vt:variant>
      <vt:variant>
        <vt:lpwstr>../Docs/R1-135925.zip</vt:lpwstr>
      </vt:variant>
      <vt:variant>
        <vt:lpwstr/>
      </vt:variant>
      <vt:variant>
        <vt:i4>4587524</vt:i4>
      </vt:variant>
      <vt:variant>
        <vt:i4>1005</vt:i4>
      </vt:variant>
      <vt:variant>
        <vt:i4>0</vt:i4>
      </vt:variant>
      <vt:variant>
        <vt:i4>5</vt:i4>
      </vt:variant>
      <vt:variant>
        <vt:lpwstr>../Docs/R1-135926.zip</vt:lpwstr>
      </vt:variant>
      <vt:variant>
        <vt:lpwstr/>
      </vt:variant>
      <vt:variant>
        <vt:i4>4587524</vt:i4>
      </vt:variant>
      <vt:variant>
        <vt:i4>1002</vt:i4>
      </vt:variant>
      <vt:variant>
        <vt:i4>0</vt:i4>
      </vt:variant>
      <vt:variant>
        <vt:i4>5</vt:i4>
      </vt:variant>
      <vt:variant>
        <vt:lpwstr>../Docs/R1-135926.zip</vt:lpwstr>
      </vt:variant>
      <vt:variant>
        <vt:lpwstr/>
      </vt:variant>
      <vt:variant>
        <vt:i4>4587524</vt:i4>
      </vt:variant>
      <vt:variant>
        <vt:i4>999</vt:i4>
      </vt:variant>
      <vt:variant>
        <vt:i4>0</vt:i4>
      </vt:variant>
      <vt:variant>
        <vt:i4>5</vt:i4>
      </vt:variant>
      <vt:variant>
        <vt:lpwstr>../Docs/R1-135926.zip</vt:lpwstr>
      </vt:variant>
      <vt:variant>
        <vt:lpwstr/>
      </vt:variant>
      <vt:variant>
        <vt:i4>4587527</vt:i4>
      </vt:variant>
      <vt:variant>
        <vt:i4>996</vt:i4>
      </vt:variant>
      <vt:variant>
        <vt:i4>0</vt:i4>
      </vt:variant>
      <vt:variant>
        <vt:i4>5</vt:i4>
      </vt:variant>
      <vt:variant>
        <vt:lpwstr>../Docs/R1-135925.zip</vt:lpwstr>
      </vt:variant>
      <vt:variant>
        <vt:lpwstr/>
      </vt:variant>
      <vt:variant>
        <vt:i4>5046285</vt:i4>
      </vt:variant>
      <vt:variant>
        <vt:i4>993</vt:i4>
      </vt:variant>
      <vt:variant>
        <vt:i4>0</vt:i4>
      </vt:variant>
      <vt:variant>
        <vt:i4>5</vt:i4>
      </vt:variant>
      <vt:variant>
        <vt:lpwstr>../Docs/R1-135791.zip</vt:lpwstr>
      </vt:variant>
      <vt:variant>
        <vt:lpwstr/>
      </vt:variant>
      <vt:variant>
        <vt:i4>5046284</vt:i4>
      </vt:variant>
      <vt:variant>
        <vt:i4>990</vt:i4>
      </vt:variant>
      <vt:variant>
        <vt:i4>0</vt:i4>
      </vt:variant>
      <vt:variant>
        <vt:i4>5</vt:i4>
      </vt:variant>
      <vt:variant>
        <vt:lpwstr>../Docs/R1-135790.zip</vt:lpwstr>
      </vt:variant>
      <vt:variant>
        <vt:lpwstr/>
      </vt:variant>
      <vt:variant>
        <vt:i4>4521989</vt:i4>
      </vt:variant>
      <vt:variant>
        <vt:i4>987</vt:i4>
      </vt:variant>
      <vt:variant>
        <vt:i4>0</vt:i4>
      </vt:variant>
      <vt:variant>
        <vt:i4>5</vt:i4>
      </vt:variant>
      <vt:variant>
        <vt:lpwstr>../Docs/R1-135917.zip</vt:lpwstr>
      </vt:variant>
      <vt:variant>
        <vt:lpwstr/>
      </vt:variant>
      <vt:variant>
        <vt:i4>5046284</vt:i4>
      </vt:variant>
      <vt:variant>
        <vt:i4>984</vt:i4>
      </vt:variant>
      <vt:variant>
        <vt:i4>0</vt:i4>
      </vt:variant>
      <vt:variant>
        <vt:i4>5</vt:i4>
      </vt:variant>
      <vt:variant>
        <vt:lpwstr>../Docs/R1-135790.zip</vt:lpwstr>
      </vt:variant>
      <vt:variant>
        <vt:lpwstr/>
      </vt:variant>
      <vt:variant>
        <vt:i4>4521990</vt:i4>
      </vt:variant>
      <vt:variant>
        <vt:i4>981</vt:i4>
      </vt:variant>
      <vt:variant>
        <vt:i4>0</vt:i4>
      </vt:variant>
      <vt:variant>
        <vt:i4>5</vt:i4>
      </vt:variant>
      <vt:variant>
        <vt:lpwstr>../Docs/R1-135914.zip</vt:lpwstr>
      </vt:variant>
      <vt:variant>
        <vt:lpwstr/>
      </vt:variant>
      <vt:variant>
        <vt:i4>4980741</vt:i4>
      </vt:variant>
      <vt:variant>
        <vt:i4>978</vt:i4>
      </vt:variant>
      <vt:variant>
        <vt:i4>0</vt:i4>
      </vt:variant>
      <vt:variant>
        <vt:i4>5</vt:i4>
      </vt:variant>
      <vt:variant>
        <vt:lpwstr>../Docs/R1-135789.zip</vt:lpwstr>
      </vt:variant>
      <vt:variant>
        <vt:lpwstr/>
      </vt:variant>
      <vt:variant>
        <vt:i4>4194313</vt:i4>
      </vt:variant>
      <vt:variant>
        <vt:i4>975</vt:i4>
      </vt:variant>
      <vt:variant>
        <vt:i4>0</vt:i4>
      </vt:variant>
      <vt:variant>
        <vt:i4>5</vt:i4>
      </vt:variant>
      <vt:variant>
        <vt:lpwstr>../Docs/R1-135745.zip</vt:lpwstr>
      </vt:variant>
      <vt:variant>
        <vt:lpwstr/>
      </vt:variant>
      <vt:variant>
        <vt:i4>4194312</vt:i4>
      </vt:variant>
      <vt:variant>
        <vt:i4>972</vt:i4>
      </vt:variant>
      <vt:variant>
        <vt:i4>0</vt:i4>
      </vt:variant>
      <vt:variant>
        <vt:i4>5</vt:i4>
      </vt:variant>
      <vt:variant>
        <vt:lpwstr>../Docs/R1-135744.zip</vt:lpwstr>
      </vt:variant>
      <vt:variant>
        <vt:lpwstr/>
      </vt:variant>
      <vt:variant>
        <vt:i4>5046284</vt:i4>
      </vt:variant>
      <vt:variant>
        <vt:i4>969</vt:i4>
      </vt:variant>
      <vt:variant>
        <vt:i4>0</vt:i4>
      </vt:variant>
      <vt:variant>
        <vt:i4>5</vt:i4>
      </vt:variant>
      <vt:variant>
        <vt:lpwstr>../Docs/R1-135691.zip</vt:lpwstr>
      </vt:variant>
      <vt:variant>
        <vt:lpwstr/>
      </vt:variant>
      <vt:variant>
        <vt:i4>4194316</vt:i4>
      </vt:variant>
      <vt:variant>
        <vt:i4>966</vt:i4>
      </vt:variant>
      <vt:variant>
        <vt:i4>0</vt:i4>
      </vt:variant>
      <vt:variant>
        <vt:i4>5</vt:i4>
      </vt:variant>
      <vt:variant>
        <vt:lpwstr>../Docs/R1-135740.zip</vt:lpwstr>
      </vt:variant>
      <vt:variant>
        <vt:lpwstr/>
      </vt:variant>
      <vt:variant>
        <vt:i4>4653061</vt:i4>
      </vt:variant>
      <vt:variant>
        <vt:i4>963</vt:i4>
      </vt:variant>
      <vt:variant>
        <vt:i4>0</vt:i4>
      </vt:variant>
      <vt:variant>
        <vt:i4>5</vt:i4>
      </vt:variant>
      <vt:variant>
        <vt:lpwstr>../Docs/R1-135739.zip</vt:lpwstr>
      </vt:variant>
      <vt:variant>
        <vt:lpwstr/>
      </vt:variant>
      <vt:variant>
        <vt:i4>4980740</vt:i4>
      </vt:variant>
      <vt:variant>
        <vt:i4>960</vt:i4>
      </vt:variant>
      <vt:variant>
        <vt:i4>0</vt:i4>
      </vt:variant>
      <vt:variant>
        <vt:i4>5</vt:i4>
      </vt:variant>
      <vt:variant>
        <vt:lpwstr>../Docs/R1-135788.zip</vt:lpwstr>
      </vt:variant>
      <vt:variant>
        <vt:lpwstr/>
      </vt:variant>
      <vt:variant>
        <vt:i4>4194319</vt:i4>
      </vt:variant>
      <vt:variant>
        <vt:i4>957</vt:i4>
      </vt:variant>
      <vt:variant>
        <vt:i4>0</vt:i4>
      </vt:variant>
      <vt:variant>
        <vt:i4>5</vt:i4>
      </vt:variant>
      <vt:variant>
        <vt:lpwstr>../Docs/R1-135743.zip</vt:lpwstr>
      </vt:variant>
      <vt:variant>
        <vt:lpwstr/>
      </vt:variant>
      <vt:variant>
        <vt:i4>4194318</vt:i4>
      </vt:variant>
      <vt:variant>
        <vt:i4>954</vt:i4>
      </vt:variant>
      <vt:variant>
        <vt:i4>0</vt:i4>
      </vt:variant>
      <vt:variant>
        <vt:i4>5</vt:i4>
      </vt:variant>
      <vt:variant>
        <vt:lpwstr>../Docs/R1-135742.zip</vt:lpwstr>
      </vt:variant>
      <vt:variant>
        <vt:lpwstr/>
      </vt:variant>
      <vt:variant>
        <vt:i4>4194317</vt:i4>
      </vt:variant>
      <vt:variant>
        <vt:i4>951</vt:i4>
      </vt:variant>
      <vt:variant>
        <vt:i4>0</vt:i4>
      </vt:variant>
      <vt:variant>
        <vt:i4>5</vt:i4>
      </vt:variant>
      <vt:variant>
        <vt:lpwstr>../Docs/R1-135741.zip</vt:lpwstr>
      </vt:variant>
      <vt:variant>
        <vt:lpwstr/>
      </vt:variant>
      <vt:variant>
        <vt:i4>2555919</vt:i4>
      </vt:variant>
      <vt:variant>
        <vt:i4>948</vt:i4>
      </vt:variant>
      <vt:variant>
        <vt:i4>0</vt:i4>
      </vt:variant>
      <vt:variant>
        <vt:i4>5</vt:i4>
      </vt:variant>
      <vt:variant>
        <vt:lpwstr>http://www.3gpp.org/ftp/tsg_ran/TSG_RAN/TSGR_61/Docs/RP-131346.zip</vt:lpwstr>
      </vt:variant>
      <vt:variant>
        <vt:lpwstr/>
      </vt:variant>
      <vt:variant>
        <vt:i4>2228224</vt:i4>
      </vt:variant>
      <vt:variant>
        <vt:i4>945</vt:i4>
      </vt:variant>
      <vt:variant>
        <vt:i4>0</vt:i4>
      </vt:variant>
      <vt:variant>
        <vt:i4>5</vt:i4>
      </vt:variant>
      <vt:variant>
        <vt:lpwstr>http://www.3gpp.org/ftp/tsg_ran/TSG_RAN/TSGR_59/Docs/RP-130221.zip</vt:lpwstr>
      </vt:variant>
      <vt:variant>
        <vt:lpwstr/>
      </vt:variant>
      <vt:variant>
        <vt:i4>5046274</vt:i4>
      </vt:variant>
      <vt:variant>
        <vt:i4>942</vt:i4>
      </vt:variant>
      <vt:variant>
        <vt:i4>0</vt:i4>
      </vt:variant>
      <vt:variant>
        <vt:i4>5</vt:i4>
      </vt:variant>
      <vt:variant>
        <vt:lpwstr>../Docs/R1-135990.zip</vt:lpwstr>
      </vt:variant>
      <vt:variant>
        <vt:lpwstr/>
      </vt:variant>
      <vt:variant>
        <vt:i4>5046274</vt:i4>
      </vt:variant>
      <vt:variant>
        <vt:i4>939</vt:i4>
      </vt:variant>
      <vt:variant>
        <vt:i4>0</vt:i4>
      </vt:variant>
      <vt:variant>
        <vt:i4>5</vt:i4>
      </vt:variant>
      <vt:variant>
        <vt:lpwstr>../Docs/R1-135990.zip</vt:lpwstr>
      </vt:variant>
      <vt:variant>
        <vt:lpwstr/>
      </vt:variant>
      <vt:variant>
        <vt:i4>4980747</vt:i4>
      </vt:variant>
      <vt:variant>
        <vt:i4>936</vt:i4>
      </vt:variant>
      <vt:variant>
        <vt:i4>0</vt:i4>
      </vt:variant>
      <vt:variant>
        <vt:i4>5</vt:i4>
      </vt:variant>
      <vt:variant>
        <vt:lpwstr>../Docs/R1-135787.zip</vt:lpwstr>
      </vt:variant>
      <vt:variant>
        <vt:lpwstr/>
      </vt:variant>
      <vt:variant>
        <vt:i4>5046285</vt:i4>
      </vt:variant>
      <vt:variant>
        <vt:i4>933</vt:i4>
      </vt:variant>
      <vt:variant>
        <vt:i4>0</vt:i4>
      </vt:variant>
      <vt:variant>
        <vt:i4>5</vt:i4>
      </vt:variant>
      <vt:variant>
        <vt:lpwstr>../Docs/R1-135690.zip</vt:lpwstr>
      </vt:variant>
      <vt:variant>
        <vt:lpwstr/>
      </vt:variant>
      <vt:variant>
        <vt:i4>4980741</vt:i4>
      </vt:variant>
      <vt:variant>
        <vt:i4>930</vt:i4>
      </vt:variant>
      <vt:variant>
        <vt:i4>0</vt:i4>
      </vt:variant>
      <vt:variant>
        <vt:i4>5</vt:i4>
      </vt:variant>
      <vt:variant>
        <vt:lpwstr>../Docs/R1-135688.zip</vt:lpwstr>
      </vt:variant>
      <vt:variant>
        <vt:lpwstr/>
      </vt:variant>
      <vt:variant>
        <vt:i4>4980746</vt:i4>
      </vt:variant>
      <vt:variant>
        <vt:i4>927</vt:i4>
      </vt:variant>
      <vt:variant>
        <vt:i4>0</vt:i4>
      </vt:variant>
      <vt:variant>
        <vt:i4>5</vt:i4>
      </vt:variant>
      <vt:variant>
        <vt:lpwstr>../Docs/R1-135786.zip</vt:lpwstr>
      </vt:variant>
      <vt:variant>
        <vt:lpwstr/>
      </vt:variant>
      <vt:variant>
        <vt:i4>4980745</vt:i4>
      </vt:variant>
      <vt:variant>
        <vt:i4>924</vt:i4>
      </vt:variant>
      <vt:variant>
        <vt:i4>0</vt:i4>
      </vt:variant>
      <vt:variant>
        <vt:i4>5</vt:i4>
      </vt:variant>
      <vt:variant>
        <vt:lpwstr>../Docs/R1-135785.zip</vt:lpwstr>
      </vt:variant>
      <vt:variant>
        <vt:lpwstr/>
      </vt:variant>
      <vt:variant>
        <vt:i4>4980746</vt:i4>
      </vt:variant>
      <vt:variant>
        <vt:i4>921</vt:i4>
      </vt:variant>
      <vt:variant>
        <vt:i4>0</vt:i4>
      </vt:variant>
      <vt:variant>
        <vt:i4>5</vt:i4>
      </vt:variant>
      <vt:variant>
        <vt:lpwstr>../Docs/R1-135786.zip</vt:lpwstr>
      </vt:variant>
      <vt:variant>
        <vt:lpwstr/>
      </vt:variant>
      <vt:variant>
        <vt:i4>4980745</vt:i4>
      </vt:variant>
      <vt:variant>
        <vt:i4>918</vt:i4>
      </vt:variant>
      <vt:variant>
        <vt:i4>0</vt:i4>
      </vt:variant>
      <vt:variant>
        <vt:i4>5</vt:i4>
      </vt:variant>
      <vt:variant>
        <vt:lpwstr>../Docs/R1-135785.zip</vt:lpwstr>
      </vt:variant>
      <vt:variant>
        <vt:lpwstr/>
      </vt:variant>
      <vt:variant>
        <vt:i4>4653060</vt:i4>
      </vt:variant>
      <vt:variant>
        <vt:i4>915</vt:i4>
      </vt:variant>
      <vt:variant>
        <vt:i4>0</vt:i4>
      </vt:variant>
      <vt:variant>
        <vt:i4>5</vt:i4>
      </vt:variant>
      <vt:variant>
        <vt:lpwstr>../Docs/R1-135738.zip</vt:lpwstr>
      </vt:variant>
      <vt:variant>
        <vt:lpwstr/>
      </vt:variant>
      <vt:variant>
        <vt:i4>4653067</vt:i4>
      </vt:variant>
      <vt:variant>
        <vt:i4>912</vt:i4>
      </vt:variant>
      <vt:variant>
        <vt:i4>0</vt:i4>
      </vt:variant>
      <vt:variant>
        <vt:i4>5</vt:i4>
      </vt:variant>
      <vt:variant>
        <vt:lpwstr>../Docs/R1-135737.zip</vt:lpwstr>
      </vt:variant>
      <vt:variant>
        <vt:lpwstr/>
      </vt:variant>
      <vt:variant>
        <vt:i4>4653066</vt:i4>
      </vt:variant>
      <vt:variant>
        <vt:i4>909</vt:i4>
      </vt:variant>
      <vt:variant>
        <vt:i4>0</vt:i4>
      </vt:variant>
      <vt:variant>
        <vt:i4>5</vt:i4>
      </vt:variant>
      <vt:variant>
        <vt:lpwstr>../Docs/R1-135736.zip</vt:lpwstr>
      </vt:variant>
      <vt:variant>
        <vt:lpwstr/>
      </vt:variant>
      <vt:variant>
        <vt:i4>4653065</vt:i4>
      </vt:variant>
      <vt:variant>
        <vt:i4>906</vt:i4>
      </vt:variant>
      <vt:variant>
        <vt:i4>0</vt:i4>
      </vt:variant>
      <vt:variant>
        <vt:i4>5</vt:i4>
      </vt:variant>
      <vt:variant>
        <vt:lpwstr>../Docs/R1-135735.zip</vt:lpwstr>
      </vt:variant>
      <vt:variant>
        <vt:lpwstr/>
      </vt:variant>
      <vt:variant>
        <vt:i4>4653064</vt:i4>
      </vt:variant>
      <vt:variant>
        <vt:i4>903</vt:i4>
      </vt:variant>
      <vt:variant>
        <vt:i4>0</vt:i4>
      </vt:variant>
      <vt:variant>
        <vt:i4>5</vt:i4>
      </vt:variant>
      <vt:variant>
        <vt:lpwstr>../Docs/R1-135734.zip</vt:lpwstr>
      </vt:variant>
      <vt:variant>
        <vt:lpwstr/>
      </vt:variant>
      <vt:variant>
        <vt:i4>4653071</vt:i4>
      </vt:variant>
      <vt:variant>
        <vt:i4>900</vt:i4>
      </vt:variant>
      <vt:variant>
        <vt:i4>0</vt:i4>
      </vt:variant>
      <vt:variant>
        <vt:i4>5</vt:i4>
      </vt:variant>
      <vt:variant>
        <vt:lpwstr>../Docs/R1-135733.zip</vt:lpwstr>
      </vt:variant>
      <vt:variant>
        <vt:lpwstr/>
      </vt:variant>
      <vt:variant>
        <vt:i4>4653070</vt:i4>
      </vt:variant>
      <vt:variant>
        <vt:i4>897</vt:i4>
      </vt:variant>
      <vt:variant>
        <vt:i4>0</vt:i4>
      </vt:variant>
      <vt:variant>
        <vt:i4>5</vt:i4>
      </vt:variant>
      <vt:variant>
        <vt:lpwstr>../Docs/R1-135732.zip</vt:lpwstr>
      </vt:variant>
      <vt:variant>
        <vt:lpwstr/>
      </vt:variant>
      <vt:variant>
        <vt:i4>4653069</vt:i4>
      </vt:variant>
      <vt:variant>
        <vt:i4>894</vt:i4>
      </vt:variant>
      <vt:variant>
        <vt:i4>0</vt:i4>
      </vt:variant>
      <vt:variant>
        <vt:i4>5</vt:i4>
      </vt:variant>
      <vt:variant>
        <vt:lpwstr>../Docs/R1-135731.zip</vt:lpwstr>
      </vt:variant>
      <vt:variant>
        <vt:lpwstr/>
      </vt:variant>
      <vt:variant>
        <vt:i4>4521999</vt:i4>
      </vt:variant>
      <vt:variant>
        <vt:i4>891</vt:i4>
      </vt:variant>
      <vt:variant>
        <vt:i4>0</vt:i4>
      </vt:variant>
      <vt:variant>
        <vt:i4>5</vt:i4>
      </vt:variant>
      <vt:variant>
        <vt:lpwstr>../Docs/R1-135713.zip</vt:lpwstr>
      </vt:variant>
      <vt:variant>
        <vt:lpwstr/>
      </vt:variant>
      <vt:variant>
        <vt:i4>4980746</vt:i4>
      </vt:variant>
      <vt:variant>
        <vt:i4>888</vt:i4>
      </vt:variant>
      <vt:variant>
        <vt:i4>0</vt:i4>
      </vt:variant>
      <vt:variant>
        <vt:i4>5</vt:i4>
      </vt:variant>
      <vt:variant>
        <vt:lpwstr>../Docs/R1-135687.zip</vt:lpwstr>
      </vt:variant>
      <vt:variant>
        <vt:lpwstr/>
      </vt:variant>
      <vt:variant>
        <vt:i4>4980747</vt:i4>
      </vt:variant>
      <vt:variant>
        <vt:i4>885</vt:i4>
      </vt:variant>
      <vt:variant>
        <vt:i4>0</vt:i4>
      </vt:variant>
      <vt:variant>
        <vt:i4>5</vt:i4>
      </vt:variant>
      <vt:variant>
        <vt:lpwstr>../Docs/R1-135686.zip</vt:lpwstr>
      </vt:variant>
      <vt:variant>
        <vt:lpwstr/>
      </vt:variant>
      <vt:variant>
        <vt:i4>4980744</vt:i4>
      </vt:variant>
      <vt:variant>
        <vt:i4>882</vt:i4>
      </vt:variant>
      <vt:variant>
        <vt:i4>0</vt:i4>
      </vt:variant>
      <vt:variant>
        <vt:i4>5</vt:i4>
      </vt:variant>
      <vt:variant>
        <vt:lpwstr>../Docs/R1-135784.zip</vt:lpwstr>
      </vt:variant>
      <vt:variant>
        <vt:lpwstr/>
      </vt:variant>
      <vt:variant>
        <vt:i4>4390915</vt:i4>
      </vt:variant>
      <vt:variant>
        <vt:i4>879</vt:i4>
      </vt:variant>
      <vt:variant>
        <vt:i4>0</vt:i4>
      </vt:variant>
      <vt:variant>
        <vt:i4>5</vt:i4>
      </vt:variant>
      <vt:variant>
        <vt:lpwstr>../Docs/R1-135870.zip</vt:lpwstr>
      </vt:variant>
      <vt:variant>
        <vt:lpwstr/>
      </vt:variant>
      <vt:variant>
        <vt:i4>4980746</vt:i4>
      </vt:variant>
      <vt:variant>
        <vt:i4>876</vt:i4>
      </vt:variant>
      <vt:variant>
        <vt:i4>0</vt:i4>
      </vt:variant>
      <vt:variant>
        <vt:i4>5</vt:i4>
      </vt:variant>
      <vt:variant>
        <vt:lpwstr>../Docs/R1-135988.zip</vt:lpwstr>
      </vt:variant>
      <vt:variant>
        <vt:lpwstr/>
      </vt:variant>
      <vt:variant>
        <vt:i4>4390915</vt:i4>
      </vt:variant>
      <vt:variant>
        <vt:i4>873</vt:i4>
      </vt:variant>
      <vt:variant>
        <vt:i4>0</vt:i4>
      </vt:variant>
      <vt:variant>
        <vt:i4>5</vt:i4>
      </vt:variant>
      <vt:variant>
        <vt:lpwstr>../Docs/R1-135870.zip</vt:lpwstr>
      </vt:variant>
      <vt:variant>
        <vt:lpwstr/>
      </vt:variant>
      <vt:variant>
        <vt:i4>4653068</vt:i4>
      </vt:variant>
      <vt:variant>
        <vt:i4>870</vt:i4>
      </vt:variant>
      <vt:variant>
        <vt:i4>0</vt:i4>
      </vt:variant>
      <vt:variant>
        <vt:i4>5</vt:i4>
      </vt:variant>
      <vt:variant>
        <vt:lpwstr>../Docs/R1-135730.zip</vt:lpwstr>
      </vt:variant>
      <vt:variant>
        <vt:lpwstr/>
      </vt:variant>
      <vt:variant>
        <vt:i4>4980745</vt:i4>
      </vt:variant>
      <vt:variant>
        <vt:i4>867</vt:i4>
      </vt:variant>
      <vt:variant>
        <vt:i4>0</vt:i4>
      </vt:variant>
      <vt:variant>
        <vt:i4>5</vt:i4>
      </vt:variant>
      <vt:variant>
        <vt:lpwstr>../Docs/R1-135684.zip</vt:lpwstr>
      </vt:variant>
      <vt:variant>
        <vt:lpwstr/>
      </vt:variant>
      <vt:variant>
        <vt:i4>4325386</vt:i4>
      </vt:variant>
      <vt:variant>
        <vt:i4>864</vt:i4>
      </vt:variant>
      <vt:variant>
        <vt:i4>0</vt:i4>
      </vt:variant>
      <vt:variant>
        <vt:i4>5</vt:i4>
      </vt:variant>
      <vt:variant>
        <vt:lpwstr>../Docs/R1-135869.zip</vt:lpwstr>
      </vt:variant>
      <vt:variant>
        <vt:lpwstr/>
      </vt:variant>
      <vt:variant>
        <vt:i4>4325386</vt:i4>
      </vt:variant>
      <vt:variant>
        <vt:i4>861</vt:i4>
      </vt:variant>
      <vt:variant>
        <vt:i4>0</vt:i4>
      </vt:variant>
      <vt:variant>
        <vt:i4>5</vt:i4>
      </vt:variant>
      <vt:variant>
        <vt:lpwstr>../Docs/R1-135869.zip</vt:lpwstr>
      </vt:variant>
      <vt:variant>
        <vt:lpwstr/>
      </vt:variant>
      <vt:variant>
        <vt:i4>4980745</vt:i4>
      </vt:variant>
      <vt:variant>
        <vt:i4>858</vt:i4>
      </vt:variant>
      <vt:variant>
        <vt:i4>0</vt:i4>
      </vt:variant>
      <vt:variant>
        <vt:i4>5</vt:i4>
      </vt:variant>
      <vt:variant>
        <vt:lpwstr>../Docs/R1-135684.zip</vt:lpwstr>
      </vt:variant>
      <vt:variant>
        <vt:lpwstr/>
      </vt:variant>
      <vt:variant>
        <vt:i4>4980751</vt:i4>
      </vt:variant>
      <vt:variant>
        <vt:i4>855</vt:i4>
      </vt:variant>
      <vt:variant>
        <vt:i4>0</vt:i4>
      </vt:variant>
      <vt:variant>
        <vt:i4>5</vt:i4>
      </vt:variant>
      <vt:variant>
        <vt:lpwstr>../Docs/R1-135783.zip</vt:lpwstr>
      </vt:variant>
      <vt:variant>
        <vt:lpwstr/>
      </vt:variant>
      <vt:variant>
        <vt:i4>4980750</vt:i4>
      </vt:variant>
      <vt:variant>
        <vt:i4>852</vt:i4>
      </vt:variant>
      <vt:variant>
        <vt:i4>0</vt:i4>
      </vt:variant>
      <vt:variant>
        <vt:i4>5</vt:i4>
      </vt:variant>
      <vt:variant>
        <vt:lpwstr>../Docs/R1-135782.zip</vt:lpwstr>
      </vt:variant>
      <vt:variant>
        <vt:lpwstr/>
      </vt:variant>
      <vt:variant>
        <vt:i4>4980751</vt:i4>
      </vt:variant>
      <vt:variant>
        <vt:i4>849</vt:i4>
      </vt:variant>
      <vt:variant>
        <vt:i4>0</vt:i4>
      </vt:variant>
      <vt:variant>
        <vt:i4>5</vt:i4>
      </vt:variant>
      <vt:variant>
        <vt:lpwstr>../Docs/R1-135783.zip</vt:lpwstr>
      </vt:variant>
      <vt:variant>
        <vt:lpwstr/>
      </vt:variant>
      <vt:variant>
        <vt:i4>4980750</vt:i4>
      </vt:variant>
      <vt:variant>
        <vt:i4>846</vt:i4>
      </vt:variant>
      <vt:variant>
        <vt:i4>0</vt:i4>
      </vt:variant>
      <vt:variant>
        <vt:i4>5</vt:i4>
      </vt:variant>
      <vt:variant>
        <vt:lpwstr>../Docs/R1-135782.zip</vt:lpwstr>
      </vt:variant>
      <vt:variant>
        <vt:lpwstr/>
      </vt:variant>
      <vt:variant>
        <vt:i4>4980744</vt:i4>
      </vt:variant>
      <vt:variant>
        <vt:i4>843</vt:i4>
      </vt:variant>
      <vt:variant>
        <vt:i4>0</vt:i4>
      </vt:variant>
      <vt:variant>
        <vt:i4>5</vt:i4>
      </vt:variant>
      <vt:variant>
        <vt:lpwstr>../Docs/R1-135685.zip</vt:lpwstr>
      </vt:variant>
      <vt:variant>
        <vt:lpwstr/>
      </vt:variant>
      <vt:variant>
        <vt:i4>4325387</vt:i4>
      </vt:variant>
      <vt:variant>
        <vt:i4>840</vt:i4>
      </vt:variant>
      <vt:variant>
        <vt:i4>0</vt:i4>
      </vt:variant>
      <vt:variant>
        <vt:i4>5</vt:i4>
      </vt:variant>
      <vt:variant>
        <vt:lpwstr>../Docs/R1-135868.zip</vt:lpwstr>
      </vt:variant>
      <vt:variant>
        <vt:lpwstr/>
      </vt:variant>
      <vt:variant>
        <vt:i4>4194316</vt:i4>
      </vt:variant>
      <vt:variant>
        <vt:i4>837</vt:i4>
      </vt:variant>
      <vt:variant>
        <vt:i4>0</vt:i4>
      </vt:variant>
      <vt:variant>
        <vt:i4>5</vt:i4>
      </vt:variant>
      <vt:variant>
        <vt:lpwstr>../Docs/R1-135146.zip</vt:lpwstr>
      </vt:variant>
      <vt:variant>
        <vt:lpwstr/>
      </vt:variant>
      <vt:variant>
        <vt:i4>4325387</vt:i4>
      </vt:variant>
      <vt:variant>
        <vt:i4>834</vt:i4>
      </vt:variant>
      <vt:variant>
        <vt:i4>0</vt:i4>
      </vt:variant>
      <vt:variant>
        <vt:i4>5</vt:i4>
      </vt:variant>
      <vt:variant>
        <vt:lpwstr>../Docs/R1-135868.zip</vt:lpwstr>
      </vt:variant>
      <vt:variant>
        <vt:lpwstr/>
      </vt:variant>
      <vt:variant>
        <vt:i4>4194316</vt:i4>
      </vt:variant>
      <vt:variant>
        <vt:i4>831</vt:i4>
      </vt:variant>
      <vt:variant>
        <vt:i4>0</vt:i4>
      </vt:variant>
      <vt:variant>
        <vt:i4>5</vt:i4>
      </vt:variant>
      <vt:variant>
        <vt:lpwstr>../Docs/R1-135146.zip</vt:lpwstr>
      </vt:variant>
      <vt:variant>
        <vt:lpwstr/>
      </vt:variant>
      <vt:variant>
        <vt:i4>4259849</vt:i4>
      </vt:variant>
      <vt:variant>
        <vt:i4>828</vt:i4>
      </vt:variant>
      <vt:variant>
        <vt:i4>0</vt:i4>
      </vt:variant>
      <vt:variant>
        <vt:i4>5</vt:i4>
      </vt:variant>
      <vt:variant>
        <vt:lpwstr>../Docs/R1-135557.zip</vt:lpwstr>
      </vt:variant>
      <vt:variant>
        <vt:lpwstr/>
      </vt:variant>
      <vt:variant>
        <vt:i4>4980747</vt:i4>
      </vt:variant>
      <vt:variant>
        <vt:i4>825</vt:i4>
      </vt:variant>
      <vt:variant>
        <vt:i4>0</vt:i4>
      </vt:variant>
      <vt:variant>
        <vt:i4>5</vt:i4>
      </vt:variant>
      <vt:variant>
        <vt:lpwstr>../Docs/R1-135989.zip</vt:lpwstr>
      </vt:variant>
      <vt:variant>
        <vt:lpwstr/>
      </vt:variant>
      <vt:variant>
        <vt:i4>4980750</vt:i4>
      </vt:variant>
      <vt:variant>
        <vt:i4>822</vt:i4>
      </vt:variant>
      <vt:variant>
        <vt:i4>0</vt:i4>
      </vt:variant>
      <vt:variant>
        <vt:i4>5</vt:i4>
      </vt:variant>
      <vt:variant>
        <vt:lpwstr>../Docs/R1-135683.zip</vt:lpwstr>
      </vt:variant>
      <vt:variant>
        <vt:lpwstr/>
      </vt:variant>
      <vt:variant>
        <vt:i4>4980751</vt:i4>
      </vt:variant>
      <vt:variant>
        <vt:i4>819</vt:i4>
      </vt:variant>
      <vt:variant>
        <vt:i4>0</vt:i4>
      </vt:variant>
      <vt:variant>
        <vt:i4>5</vt:i4>
      </vt:variant>
      <vt:variant>
        <vt:lpwstr>../Docs/R1-135682.zip</vt:lpwstr>
      </vt:variant>
      <vt:variant>
        <vt:lpwstr/>
      </vt:variant>
      <vt:variant>
        <vt:i4>4980748</vt:i4>
      </vt:variant>
      <vt:variant>
        <vt:i4>816</vt:i4>
      </vt:variant>
      <vt:variant>
        <vt:i4>0</vt:i4>
      </vt:variant>
      <vt:variant>
        <vt:i4>5</vt:i4>
      </vt:variant>
      <vt:variant>
        <vt:lpwstr>../Docs/R1-135681.zip</vt:lpwstr>
      </vt:variant>
      <vt:variant>
        <vt:lpwstr/>
      </vt:variant>
      <vt:variant>
        <vt:i4>4521998</vt:i4>
      </vt:variant>
      <vt:variant>
        <vt:i4>813</vt:i4>
      </vt:variant>
      <vt:variant>
        <vt:i4>0</vt:i4>
      </vt:variant>
      <vt:variant>
        <vt:i4>5</vt:i4>
      </vt:variant>
      <vt:variant>
        <vt:lpwstr>../Docs/R1-135712.zip</vt:lpwstr>
      </vt:variant>
      <vt:variant>
        <vt:lpwstr/>
      </vt:variant>
      <vt:variant>
        <vt:i4>4521997</vt:i4>
      </vt:variant>
      <vt:variant>
        <vt:i4>810</vt:i4>
      </vt:variant>
      <vt:variant>
        <vt:i4>0</vt:i4>
      </vt:variant>
      <vt:variant>
        <vt:i4>5</vt:i4>
      </vt:variant>
      <vt:variant>
        <vt:lpwstr>../Docs/R1-135711.zip</vt:lpwstr>
      </vt:variant>
      <vt:variant>
        <vt:lpwstr/>
      </vt:variant>
      <vt:variant>
        <vt:i4>4587532</vt:i4>
      </vt:variant>
      <vt:variant>
        <vt:i4>807</vt:i4>
      </vt:variant>
      <vt:variant>
        <vt:i4>0</vt:i4>
      </vt:variant>
      <vt:variant>
        <vt:i4>5</vt:i4>
      </vt:variant>
      <vt:variant>
        <vt:lpwstr>../Docs/R1-135621.zip</vt:lpwstr>
      </vt:variant>
      <vt:variant>
        <vt:lpwstr/>
      </vt:variant>
      <vt:variant>
        <vt:i4>4521998</vt:i4>
      </vt:variant>
      <vt:variant>
        <vt:i4>804</vt:i4>
      </vt:variant>
      <vt:variant>
        <vt:i4>0</vt:i4>
      </vt:variant>
      <vt:variant>
        <vt:i4>5</vt:i4>
      </vt:variant>
      <vt:variant>
        <vt:lpwstr>../Docs/R1-135712.zip</vt:lpwstr>
      </vt:variant>
      <vt:variant>
        <vt:lpwstr/>
      </vt:variant>
      <vt:variant>
        <vt:i4>4325381</vt:i4>
      </vt:variant>
      <vt:variant>
        <vt:i4>801</vt:i4>
      </vt:variant>
      <vt:variant>
        <vt:i4>0</vt:i4>
      </vt:variant>
      <vt:variant>
        <vt:i4>5</vt:i4>
      </vt:variant>
      <vt:variant>
        <vt:lpwstr>../Docs/R1-135866.zip</vt:lpwstr>
      </vt:variant>
      <vt:variant>
        <vt:lpwstr/>
      </vt:variant>
      <vt:variant>
        <vt:i4>4325380</vt:i4>
      </vt:variant>
      <vt:variant>
        <vt:i4>798</vt:i4>
      </vt:variant>
      <vt:variant>
        <vt:i4>0</vt:i4>
      </vt:variant>
      <vt:variant>
        <vt:i4>5</vt:i4>
      </vt:variant>
      <vt:variant>
        <vt:lpwstr>../Docs/R1-135867.zip</vt:lpwstr>
      </vt:variant>
      <vt:variant>
        <vt:lpwstr/>
      </vt:variant>
      <vt:variant>
        <vt:i4>4980750</vt:i4>
      </vt:variant>
      <vt:variant>
        <vt:i4>795</vt:i4>
      </vt:variant>
      <vt:variant>
        <vt:i4>0</vt:i4>
      </vt:variant>
      <vt:variant>
        <vt:i4>5</vt:i4>
      </vt:variant>
      <vt:variant>
        <vt:lpwstr>../Docs/R1-135683.zip</vt:lpwstr>
      </vt:variant>
      <vt:variant>
        <vt:lpwstr/>
      </vt:variant>
      <vt:variant>
        <vt:i4>4980751</vt:i4>
      </vt:variant>
      <vt:variant>
        <vt:i4>792</vt:i4>
      </vt:variant>
      <vt:variant>
        <vt:i4>0</vt:i4>
      </vt:variant>
      <vt:variant>
        <vt:i4>5</vt:i4>
      </vt:variant>
      <vt:variant>
        <vt:lpwstr>../Docs/R1-135682.zip</vt:lpwstr>
      </vt:variant>
      <vt:variant>
        <vt:lpwstr/>
      </vt:variant>
      <vt:variant>
        <vt:i4>4980748</vt:i4>
      </vt:variant>
      <vt:variant>
        <vt:i4>789</vt:i4>
      </vt:variant>
      <vt:variant>
        <vt:i4>0</vt:i4>
      </vt:variant>
      <vt:variant>
        <vt:i4>5</vt:i4>
      </vt:variant>
      <vt:variant>
        <vt:lpwstr>../Docs/R1-135681.zip</vt:lpwstr>
      </vt:variant>
      <vt:variant>
        <vt:lpwstr/>
      </vt:variant>
      <vt:variant>
        <vt:i4>4587535</vt:i4>
      </vt:variant>
      <vt:variant>
        <vt:i4>786</vt:i4>
      </vt:variant>
      <vt:variant>
        <vt:i4>0</vt:i4>
      </vt:variant>
      <vt:variant>
        <vt:i4>5</vt:i4>
      </vt:variant>
      <vt:variant>
        <vt:lpwstr>../Docs/R1-135622.zip</vt:lpwstr>
      </vt:variant>
      <vt:variant>
        <vt:lpwstr/>
      </vt:variant>
      <vt:variant>
        <vt:i4>2490383</vt:i4>
      </vt:variant>
      <vt:variant>
        <vt:i4>783</vt:i4>
      </vt:variant>
      <vt:variant>
        <vt:i4>0</vt:i4>
      </vt:variant>
      <vt:variant>
        <vt:i4>5</vt:i4>
      </vt:variant>
      <vt:variant>
        <vt:lpwstr>http://www.3gpp.org/ftp/tsg_ran/TSG_RAN/TSGR_61/Docs/RP-131347.zip</vt:lpwstr>
      </vt:variant>
      <vt:variant>
        <vt:lpwstr/>
      </vt:variant>
      <vt:variant>
        <vt:i4>2228238</vt:i4>
      </vt:variant>
      <vt:variant>
        <vt:i4>780</vt:i4>
      </vt:variant>
      <vt:variant>
        <vt:i4>0</vt:i4>
      </vt:variant>
      <vt:variant>
        <vt:i4>5</vt:i4>
      </vt:variant>
      <vt:variant>
        <vt:lpwstr>http://www.3gpp.org/ftp/tsg_ran/TSG_RAN/TSGR_57/Docs/RP-121436.zip</vt:lpwstr>
      </vt:variant>
      <vt:variant>
        <vt:lpwstr/>
      </vt:variant>
      <vt:variant>
        <vt:i4>4194318</vt:i4>
      </vt:variant>
      <vt:variant>
        <vt:i4>777</vt:i4>
      </vt:variant>
      <vt:variant>
        <vt:i4>0</vt:i4>
      </vt:variant>
      <vt:variant>
        <vt:i4>5</vt:i4>
      </vt:variant>
      <vt:variant>
        <vt:lpwstr>../Docs/R1-135441.zip</vt:lpwstr>
      </vt:variant>
      <vt:variant>
        <vt:lpwstr/>
      </vt:variant>
      <vt:variant>
        <vt:i4>4521988</vt:i4>
      </vt:variant>
      <vt:variant>
        <vt:i4>774</vt:i4>
      </vt:variant>
      <vt:variant>
        <vt:i4>0</vt:i4>
      </vt:variant>
      <vt:variant>
        <vt:i4>5</vt:i4>
      </vt:variant>
      <vt:variant>
        <vt:lpwstr>../Docs/R1-135619.zip</vt:lpwstr>
      </vt:variant>
      <vt:variant>
        <vt:lpwstr/>
      </vt:variant>
      <vt:variant>
        <vt:i4>4390917</vt:i4>
      </vt:variant>
      <vt:variant>
        <vt:i4>771</vt:i4>
      </vt:variant>
      <vt:variant>
        <vt:i4>0</vt:i4>
      </vt:variant>
      <vt:variant>
        <vt:i4>5</vt:i4>
      </vt:variant>
      <vt:variant>
        <vt:lpwstr>../Docs/R1-135779.zip</vt:lpwstr>
      </vt:variant>
      <vt:variant>
        <vt:lpwstr/>
      </vt:variant>
      <vt:variant>
        <vt:i4>4980749</vt:i4>
      </vt:variant>
      <vt:variant>
        <vt:i4>768</vt:i4>
      </vt:variant>
      <vt:variant>
        <vt:i4>0</vt:i4>
      </vt:variant>
      <vt:variant>
        <vt:i4>5</vt:i4>
      </vt:variant>
      <vt:variant>
        <vt:lpwstr>../Docs/R1-135680.zip</vt:lpwstr>
      </vt:variant>
      <vt:variant>
        <vt:lpwstr/>
      </vt:variant>
      <vt:variant>
        <vt:i4>4390916</vt:i4>
      </vt:variant>
      <vt:variant>
        <vt:i4>765</vt:i4>
      </vt:variant>
      <vt:variant>
        <vt:i4>0</vt:i4>
      </vt:variant>
      <vt:variant>
        <vt:i4>5</vt:i4>
      </vt:variant>
      <vt:variant>
        <vt:lpwstr>../Docs/R1-135778.zip</vt:lpwstr>
      </vt:variant>
      <vt:variant>
        <vt:lpwstr/>
      </vt:variant>
      <vt:variant>
        <vt:i4>4390923</vt:i4>
      </vt:variant>
      <vt:variant>
        <vt:i4>762</vt:i4>
      </vt:variant>
      <vt:variant>
        <vt:i4>0</vt:i4>
      </vt:variant>
      <vt:variant>
        <vt:i4>5</vt:i4>
      </vt:variant>
      <vt:variant>
        <vt:lpwstr>../Docs/R1-135777.zip</vt:lpwstr>
      </vt:variant>
      <vt:variant>
        <vt:lpwstr/>
      </vt:variant>
      <vt:variant>
        <vt:i4>4653062</vt:i4>
      </vt:variant>
      <vt:variant>
        <vt:i4>759</vt:i4>
      </vt:variant>
      <vt:variant>
        <vt:i4>0</vt:i4>
      </vt:variant>
      <vt:variant>
        <vt:i4>5</vt:i4>
      </vt:variant>
      <vt:variant>
        <vt:lpwstr>../Docs/R1-135439.zip</vt:lpwstr>
      </vt:variant>
      <vt:variant>
        <vt:lpwstr/>
      </vt:variant>
      <vt:variant>
        <vt:i4>4390922</vt:i4>
      </vt:variant>
      <vt:variant>
        <vt:i4>756</vt:i4>
      </vt:variant>
      <vt:variant>
        <vt:i4>0</vt:i4>
      </vt:variant>
      <vt:variant>
        <vt:i4>5</vt:i4>
      </vt:variant>
      <vt:variant>
        <vt:lpwstr>../Docs/R1-135776.zip</vt:lpwstr>
      </vt:variant>
      <vt:variant>
        <vt:lpwstr/>
      </vt:variant>
      <vt:variant>
        <vt:i4>4194319</vt:i4>
      </vt:variant>
      <vt:variant>
        <vt:i4>753</vt:i4>
      </vt:variant>
      <vt:variant>
        <vt:i4>0</vt:i4>
      </vt:variant>
      <vt:variant>
        <vt:i4>5</vt:i4>
      </vt:variant>
      <vt:variant>
        <vt:lpwstr>../Docs/R1-135440.zip</vt:lpwstr>
      </vt:variant>
      <vt:variant>
        <vt:lpwstr/>
      </vt:variant>
      <vt:variant>
        <vt:i4>4653063</vt:i4>
      </vt:variant>
      <vt:variant>
        <vt:i4>750</vt:i4>
      </vt:variant>
      <vt:variant>
        <vt:i4>0</vt:i4>
      </vt:variant>
      <vt:variant>
        <vt:i4>5</vt:i4>
      </vt:variant>
      <vt:variant>
        <vt:lpwstr>../Docs/R1-135438.zip</vt:lpwstr>
      </vt:variant>
      <vt:variant>
        <vt:lpwstr/>
      </vt:variant>
      <vt:variant>
        <vt:i4>4390921</vt:i4>
      </vt:variant>
      <vt:variant>
        <vt:i4>747</vt:i4>
      </vt:variant>
      <vt:variant>
        <vt:i4>0</vt:i4>
      </vt:variant>
      <vt:variant>
        <vt:i4>5</vt:i4>
      </vt:variant>
      <vt:variant>
        <vt:lpwstr>../Docs/R1-135775.zip</vt:lpwstr>
      </vt:variant>
      <vt:variant>
        <vt:lpwstr/>
      </vt:variant>
      <vt:variant>
        <vt:i4>2490382</vt:i4>
      </vt:variant>
      <vt:variant>
        <vt:i4>744</vt:i4>
      </vt:variant>
      <vt:variant>
        <vt:i4>0</vt:i4>
      </vt:variant>
      <vt:variant>
        <vt:i4>5</vt:i4>
      </vt:variant>
      <vt:variant>
        <vt:lpwstr>http://www.3gpp.org/ftp/tsg_ran/TSG_RAN/TSGR_61/Docs/RP-131357.zip</vt:lpwstr>
      </vt:variant>
      <vt:variant>
        <vt:lpwstr/>
      </vt:variant>
      <vt:variant>
        <vt:i4>4980740</vt:i4>
      </vt:variant>
      <vt:variant>
        <vt:i4>741</vt:i4>
      </vt:variant>
      <vt:variant>
        <vt:i4>0</vt:i4>
      </vt:variant>
      <vt:variant>
        <vt:i4>5</vt:i4>
      </vt:variant>
      <vt:variant>
        <vt:lpwstr>../Docs/R1-135986.zip</vt:lpwstr>
      </vt:variant>
      <vt:variant>
        <vt:lpwstr/>
      </vt:variant>
      <vt:variant>
        <vt:i4>4980740</vt:i4>
      </vt:variant>
      <vt:variant>
        <vt:i4>738</vt:i4>
      </vt:variant>
      <vt:variant>
        <vt:i4>0</vt:i4>
      </vt:variant>
      <vt:variant>
        <vt:i4>5</vt:i4>
      </vt:variant>
      <vt:variant>
        <vt:lpwstr>../Docs/R1-135986.zip</vt:lpwstr>
      </vt:variant>
      <vt:variant>
        <vt:lpwstr/>
      </vt:variant>
      <vt:variant>
        <vt:i4>4521989</vt:i4>
      </vt:variant>
      <vt:variant>
        <vt:i4>735</vt:i4>
      </vt:variant>
      <vt:variant>
        <vt:i4>0</vt:i4>
      </vt:variant>
      <vt:variant>
        <vt:i4>5</vt:i4>
      </vt:variant>
      <vt:variant>
        <vt:lpwstr>../Docs/R1-135618.zip</vt:lpwstr>
      </vt:variant>
      <vt:variant>
        <vt:lpwstr/>
      </vt:variant>
      <vt:variant>
        <vt:i4>5046275</vt:i4>
      </vt:variant>
      <vt:variant>
        <vt:i4>732</vt:i4>
      </vt:variant>
      <vt:variant>
        <vt:i4>0</vt:i4>
      </vt:variant>
      <vt:variant>
        <vt:i4>5</vt:i4>
      </vt:variant>
      <vt:variant>
        <vt:lpwstr>../Docs/R1-135991.zip</vt:lpwstr>
      </vt:variant>
      <vt:variant>
        <vt:lpwstr/>
      </vt:variant>
      <vt:variant>
        <vt:i4>4653071</vt:i4>
      </vt:variant>
      <vt:variant>
        <vt:i4>729</vt:i4>
      </vt:variant>
      <vt:variant>
        <vt:i4>0</vt:i4>
      </vt:variant>
      <vt:variant>
        <vt:i4>5</vt:i4>
      </vt:variant>
      <vt:variant>
        <vt:lpwstr>../Docs/R1-136004.zip</vt:lpwstr>
      </vt:variant>
      <vt:variant>
        <vt:lpwstr/>
      </vt:variant>
      <vt:variant>
        <vt:i4>4194313</vt:i4>
      </vt:variant>
      <vt:variant>
        <vt:i4>726</vt:i4>
      </vt:variant>
      <vt:variant>
        <vt:i4>0</vt:i4>
      </vt:variant>
      <vt:variant>
        <vt:i4>5</vt:i4>
      </vt:variant>
      <vt:variant>
        <vt:lpwstr>../Docs/R1-136072.zip</vt:lpwstr>
      </vt:variant>
      <vt:variant>
        <vt:lpwstr/>
      </vt:variant>
      <vt:variant>
        <vt:i4>4390913</vt:i4>
      </vt:variant>
      <vt:variant>
        <vt:i4>723</vt:i4>
      </vt:variant>
      <vt:variant>
        <vt:i4>0</vt:i4>
      </vt:variant>
      <vt:variant>
        <vt:i4>5</vt:i4>
      </vt:variant>
      <vt:variant>
        <vt:lpwstr>../Docs/R1-135872.zip</vt:lpwstr>
      </vt:variant>
      <vt:variant>
        <vt:lpwstr/>
      </vt:variant>
      <vt:variant>
        <vt:i4>4390918</vt:i4>
      </vt:variant>
      <vt:variant>
        <vt:i4>720</vt:i4>
      </vt:variant>
      <vt:variant>
        <vt:i4>0</vt:i4>
      </vt:variant>
      <vt:variant>
        <vt:i4>5</vt:i4>
      </vt:variant>
      <vt:variant>
        <vt:lpwstr>../Docs/R1-135974.zip</vt:lpwstr>
      </vt:variant>
      <vt:variant>
        <vt:lpwstr/>
      </vt:variant>
      <vt:variant>
        <vt:i4>4390913</vt:i4>
      </vt:variant>
      <vt:variant>
        <vt:i4>717</vt:i4>
      </vt:variant>
      <vt:variant>
        <vt:i4>0</vt:i4>
      </vt:variant>
      <vt:variant>
        <vt:i4>5</vt:i4>
      </vt:variant>
      <vt:variant>
        <vt:lpwstr>../Docs/R1-135872.zip</vt:lpwstr>
      </vt:variant>
      <vt:variant>
        <vt:lpwstr/>
      </vt:variant>
      <vt:variant>
        <vt:i4>4653057</vt:i4>
      </vt:variant>
      <vt:variant>
        <vt:i4>714</vt:i4>
      </vt:variant>
      <vt:variant>
        <vt:i4>0</vt:i4>
      </vt:variant>
      <vt:variant>
        <vt:i4>5</vt:i4>
      </vt:variant>
      <vt:variant>
        <vt:lpwstr>../Docs/R1-135832.zip</vt:lpwstr>
      </vt:variant>
      <vt:variant>
        <vt:lpwstr/>
      </vt:variant>
      <vt:variant>
        <vt:i4>4456463</vt:i4>
      </vt:variant>
      <vt:variant>
        <vt:i4>711</vt:i4>
      </vt:variant>
      <vt:variant>
        <vt:i4>0</vt:i4>
      </vt:variant>
      <vt:variant>
        <vt:i4>5</vt:i4>
      </vt:variant>
      <vt:variant>
        <vt:lpwstr>../Docs/R1-136034.zip</vt:lpwstr>
      </vt:variant>
      <vt:variant>
        <vt:lpwstr/>
      </vt:variant>
      <vt:variant>
        <vt:i4>4456450</vt:i4>
      </vt:variant>
      <vt:variant>
        <vt:i4>708</vt:i4>
      </vt:variant>
      <vt:variant>
        <vt:i4>0</vt:i4>
      </vt:variant>
      <vt:variant>
        <vt:i4>5</vt:i4>
      </vt:variant>
      <vt:variant>
        <vt:lpwstr>../Docs/R1-135009.zip</vt:lpwstr>
      </vt:variant>
      <vt:variant>
        <vt:lpwstr/>
      </vt:variant>
      <vt:variant>
        <vt:i4>4325386</vt:i4>
      </vt:variant>
      <vt:variant>
        <vt:i4>705</vt:i4>
      </vt:variant>
      <vt:variant>
        <vt:i4>0</vt:i4>
      </vt:variant>
      <vt:variant>
        <vt:i4>5</vt:i4>
      </vt:variant>
      <vt:variant>
        <vt:lpwstr>../Docs/R1-132819.zip</vt:lpwstr>
      </vt:variant>
      <vt:variant>
        <vt:lpwstr/>
      </vt:variant>
      <vt:variant>
        <vt:i4>4456451</vt:i4>
      </vt:variant>
      <vt:variant>
        <vt:i4>702</vt:i4>
      </vt:variant>
      <vt:variant>
        <vt:i4>0</vt:i4>
      </vt:variant>
      <vt:variant>
        <vt:i4>5</vt:i4>
      </vt:variant>
      <vt:variant>
        <vt:lpwstr>../Docs/R1-135008.zip</vt:lpwstr>
      </vt:variant>
      <vt:variant>
        <vt:lpwstr/>
      </vt:variant>
      <vt:variant>
        <vt:i4>4456460</vt:i4>
      </vt:variant>
      <vt:variant>
        <vt:i4>699</vt:i4>
      </vt:variant>
      <vt:variant>
        <vt:i4>0</vt:i4>
      </vt:variant>
      <vt:variant>
        <vt:i4>5</vt:i4>
      </vt:variant>
      <vt:variant>
        <vt:lpwstr>../Docs/R1-135007.zip</vt:lpwstr>
      </vt:variant>
      <vt:variant>
        <vt:lpwstr/>
      </vt:variant>
      <vt:variant>
        <vt:i4>4456462</vt:i4>
      </vt:variant>
      <vt:variant>
        <vt:i4>696</vt:i4>
      </vt:variant>
      <vt:variant>
        <vt:i4>0</vt:i4>
      </vt:variant>
      <vt:variant>
        <vt:i4>5</vt:i4>
      </vt:variant>
      <vt:variant>
        <vt:lpwstr>../Docs/R1-135005.zip</vt:lpwstr>
      </vt:variant>
      <vt:variant>
        <vt:lpwstr/>
      </vt:variant>
      <vt:variant>
        <vt:i4>4456461</vt:i4>
      </vt:variant>
      <vt:variant>
        <vt:i4>693</vt:i4>
      </vt:variant>
      <vt:variant>
        <vt:i4>0</vt:i4>
      </vt:variant>
      <vt:variant>
        <vt:i4>5</vt:i4>
      </vt:variant>
      <vt:variant>
        <vt:lpwstr>../Docs/R1-135006.zip</vt:lpwstr>
      </vt:variant>
      <vt:variant>
        <vt:lpwstr/>
      </vt:variant>
      <vt:variant>
        <vt:i4>4456456</vt:i4>
      </vt:variant>
      <vt:variant>
        <vt:i4>690</vt:i4>
      </vt:variant>
      <vt:variant>
        <vt:i4>0</vt:i4>
      </vt:variant>
      <vt:variant>
        <vt:i4>5</vt:i4>
      </vt:variant>
      <vt:variant>
        <vt:lpwstr>../Docs/R1-135003.zip</vt:lpwstr>
      </vt:variant>
      <vt:variant>
        <vt:lpwstr/>
      </vt:variant>
      <vt:variant>
        <vt:i4>4456463</vt:i4>
      </vt:variant>
      <vt:variant>
        <vt:i4>687</vt:i4>
      </vt:variant>
      <vt:variant>
        <vt:i4>0</vt:i4>
      </vt:variant>
      <vt:variant>
        <vt:i4>5</vt:i4>
      </vt:variant>
      <vt:variant>
        <vt:lpwstr>../Docs/R1-135004.zip</vt:lpwstr>
      </vt:variant>
      <vt:variant>
        <vt:lpwstr/>
      </vt:variant>
      <vt:variant>
        <vt:i4>4456457</vt:i4>
      </vt:variant>
      <vt:variant>
        <vt:i4>684</vt:i4>
      </vt:variant>
      <vt:variant>
        <vt:i4>0</vt:i4>
      </vt:variant>
      <vt:variant>
        <vt:i4>5</vt:i4>
      </vt:variant>
      <vt:variant>
        <vt:lpwstr>../Docs/R1-135002.zip</vt:lpwstr>
      </vt:variant>
      <vt:variant>
        <vt:lpwstr/>
      </vt:variant>
      <vt:variant>
        <vt:i4>4456458</vt:i4>
      </vt:variant>
      <vt:variant>
        <vt:i4>681</vt:i4>
      </vt:variant>
      <vt:variant>
        <vt:i4>0</vt:i4>
      </vt:variant>
      <vt:variant>
        <vt:i4>5</vt:i4>
      </vt:variant>
      <vt:variant>
        <vt:lpwstr>../Docs/R1-135001.zip</vt:lpwstr>
      </vt:variant>
      <vt:variant>
        <vt:lpwstr/>
      </vt:variant>
      <vt:variant>
        <vt:i4>4456459</vt:i4>
      </vt:variant>
      <vt:variant>
        <vt:i4>678</vt:i4>
      </vt:variant>
      <vt:variant>
        <vt:i4>0</vt:i4>
      </vt:variant>
      <vt:variant>
        <vt:i4>5</vt:i4>
      </vt:variant>
      <vt:variant>
        <vt:lpwstr>../Docs/R1-135000.zip</vt:lpwstr>
      </vt:variant>
      <vt:variant>
        <vt:lpwstr/>
      </vt:variant>
      <vt:variant>
        <vt:i4>7209064</vt:i4>
      </vt:variant>
      <vt:variant>
        <vt:i4>675</vt:i4>
      </vt:variant>
      <vt:variant>
        <vt:i4>0</vt:i4>
      </vt:variant>
      <vt:variant>
        <vt:i4>5</vt:i4>
      </vt:variant>
      <vt:variant>
        <vt:lpwstr>http://webapp.etsi.org/Ipr/</vt:lpwstr>
      </vt:variant>
      <vt:variant>
        <vt:lpwstr/>
      </vt:variant>
      <vt:variant>
        <vt:i4>2031664</vt:i4>
      </vt:variant>
      <vt:variant>
        <vt:i4>668</vt:i4>
      </vt:variant>
      <vt:variant>
        <vt:i4>0</vt:i4>
      </vt:variant>
      <vt:variant>
        <vt:i4>5</vt:i4>
      </vt:variant>
      <vt:variant>
        <vt:lpwstr/>
      </vt:variant>
      <vt:variant>
        <vt:lpwstr>_Toc372721392</vt:lpwstr>
      </vt:variant>
      <vt:variant>
        <vt:i4>2031664</vt:i4>
      </vt:variant>
      <vt:variant>
        <vt:i4>662</vt:i4>
      </vt:variant>
      <vt:variant>
        <vt:i4>0</vt:i4>
      </vt:variant>
      <vt:variant>
        <vt:i4>5</vt:i4>
      </vt:variant>
      <vt:variant>
        <vt:lpwstr/>
      </vt:variant>
      <vt:variant>
        <vt:lpwstr>_Toc372721391</vt:lpwstr>
      </vt:variant>
      <vt:variant>
        <vt:i4>2031664</vt:i4>
      </vt:variant>
      <vt:variant>
        <vt:i4>656</vt:i4>
      </vt:variant>
      <vt:variant>
        <vt:i4>0</vt:i4>
      </vt:variant>
      <vt:variant>
        <vt:i4>5</vt:i4>
      </vt:variant>
      <vt:variant>
        <vt:lpwstr/>
      </vt:variant>
      <vt:variant>
        <vt:lpwstr>_Toc372721390</vt:lpwstr>
      </vt:variant>
      <vt:variant>
        <vt:i4>1966128</vt:i4>
      </vt:variant>
      <vt:variant>
        <vt:i4>650</vt:i4>
      </vt:variant>
      <vt:variant>
        <vt:i4>0</vt:i4>
      </vt:variant>
      <vt:variant>
        <vt:i4>5</vt:i4>
      </vt:variant>
      <vt:variant>
        <vt:lpwstr/>
      </vt:variant>
      <vt:variant>
        <vt:lpwstr>_Toc372721389</vt:lpwstr>
      </vt:variant>
      <vt:variant>
        <vt:i4>1966128</vt:i4>
      </vt:variant>
      <vt:variant>
        <vt:i4>644</vt:i4>
      </vt:variant>
      <vt:variant>
        <vt:i4>0</vt:i4>
      </vt:variant>
      <vt:variant>
        <vt:i4>5</vt:i4>
      </vt:variant>
      <vt:variant>
        <vt:lpwstr/>
      </vt:variant>
      <vt:variant>
        <vt:lpwstr>_Toc372721388</vt:lpwstr>
      </vt:variant>
      <vt:variant>
        <vt:i4>1966128</vt:i4>
      </vt:variant>
      <vt:variant>
        <vt:i4>638</vt:i4>
      </vt:variant>
      <vt:variant>
        <vt:i4>0</vt:i4>
      </vt:variant>
      <vt:variant>
        <vt:i4>5</vt:i4>
      </vt:variant>
      <vt:variant>
        <vt:lpwstr/>
      </vt:variant>
      <vt:variant>
        <vt:lpwstr>_Toc372721387</vt:lpwstr>
      </vt:variant>
      <vt:variant>
        <vt:i4>1966128</vt:i4>
      </vt:variant>
      <vt:variant>
        <vt:i4>632</vt:i4>
      </vt:variant>
      <vt:variant>
        <vt:i4>0</vt:i4>
      </vt:variant>
      <vt:variant>
        <vt:i4>5</vt:i4>
      </vt:variant>
      <vt:variant>
        <vt:lpwstr/>
      </vt:variant>
      <vt:variant>
        <vt:lpwstr>_Toc372721386</vt:lpwstr>
      </vt:variant>
      <vt:variant>
        <vt:i4>1966128</vt:i4>
      </vt:variant>
      <vt:variant>
        <vt:i4>626</vt:i4>
      </vt:variant>
      <vt:variant>
        <vt:i4>0</vt:i4>
      </vt:variant>
      <vt:variant>
        <vt:i4>5</vt:i4>
      </vt:variant>
      <vt:variant>
        <vt:lpwstr/>
      </vt:variant>
      <vt:variant>
        <vt:lpwstr>_Toc372721385</vt:lpwstr>
      </vt:variant>
      <vt:variant>
        <vt:i4>1966128</vt:i4>
      </vt:variant>
      <vt:variant>
        <vt:i4>620</vt:i4>
      </vt:variant>
      <vt:variant>
        <vt:i4>0</vt:i4>
      </vt:variant>
      <vt:variant>
        <vt:i4>5</vt:i4>
      </vt:variant>
      <vt:variant>
        <vt:lpwstr/>
      </vt:variant>
      <vt:variant>
        <vt:lpwstr>_Toc372721384</vt:lpwstr>
      </vt:variant>
      <vt:variant>
        <vt:i4>1966128</vt:i4>
      </vt:variant>
      <vt:variant>
        <vt:i4>614</vt:i4>
      </vt:variant>
      <vt:variant>
        <vt:i4>0</vt:i4>
      </vt:variant>
      <vt:variant>
        <vt:i4>5</vt:i4>
      </vt:variant>
      <vt:variant>
        <vt:lpwstr/>
      </vt:variant>
      <vt:variant>
        <vt:lpwstr>_Toc372721383</vt:lpwstr>
      </vt:variant>
      <vt:variant>
        <vt:i4>1966128</vt:i4>
      </vt:variant>
      <vt:variant>
        <vt:i4>608</vt:i4>
      </vt:variant>
      <vt:variant>
        <vt:i4>0</vt:i4>
      </vt:variant>
      <vt:variant>
        <vt:i4>5</vt:i4>
      </vt:variant>
      <vt:variant>
        <vt:lpwstr/>
      </vt:variant>
      <vt:variant>
        <vt:lpwstr>_Toc372721382</vt:lpwstr>
      </vt:variant>
      <vt:variant>
        <vt:i4>1966128</vt:i4>
      </vt:variant>
      <vt:variant>
        <vt:i4>602</vt:i4>
      </vt:variant>
      <vt:variant>
        <vt:i4>0</vt:i4>
      </vt:variant>
      <vt:variant>
        <vt:i4>5</vt:i4>
      </vt:variant>
      <vt:variant>
        <vt:lpwstr/>
      </vt:variant>
      <vt:variant>
        <vt:lpwstr>_Toc372721381</vt:lpwstr>
      </vt:variant>
      <vt:variant>
        <vt:i4>1966128</vt:i4>
      </vt:variant>
      <vt:variant>
        <vt:i4>596</vt:i4>
      </vt:variant>
      <vt:variant>
        <vt:i4>0</vt:i4>
      </vt:variant>
      <vt:variant>
        <vt:i4>5</vt:i4>
      </vt:variant>
      <vt:variant>
        <vt:lpwstr/>
      </vt:variant>
      <vt:variant>
        <vt:lpwstr>_Toc372721380</vt:lpwstr>
      </vt:variant>
      <vt:variant>
        <vt:i4>1114160</vt:i4>
      </vt:variant>
      <vt:variant>
        <vt:i4>590</vt:i4>
      </vt:variant>
      <vt:variant>
        <vt:i4>0</vt:i4>
      </vt:variant>
      <vt:variant>
        <vt:i4>5</vt:i4>
      </vt:variant>
      <vt:variant>
        <vt:lpwstr/>
      </vt:variant>
      <vt:variant>
        <vt:lpwstr>_Toc372721379</vt:lpwstr>
      </vt:variant>
      <vt:variant>
        <vt:i4>1114160</vt:i4>
      </vt:variant>
      <vt:variant>
        <vt:i4>584</vt:i4>
      </vt:variant>
      <vt:variant>
        <vt:i4>0</vt:i4>
      </vt:variant>
      <vt:variant>
        <vt:i4>5</vt:i4>
      </vt:variant>
      <vt:variant>
        <vt:lpwstr/>
      </vt:variant>
      <vt:variant>
        <vt:lpwstr>_Toc372721378</vt:lpwstr>
      </vt:variant>
      <vt:variant>
        <vt:i4>1114160</vt:i4>
      </vt:variant>
      <vt:variant>
        <vt:i4>578</vt:i4>
      </vt:variant>
      <vt:variant>
        <vt:i4>0</vt:i4>
      </vt:variant>
      <vt:variant>
        <vt:i4>5</vt:i4>
      </vt:variant>
      <vt:variant>
        <vt:lpwstr/>
      </vt:variant>
      <vt:variant>
        <vt:lpwstr>_Toc372721377</vt:lpwstr>
      </vt:variant>
      <vt:variant>
        <vt:i4>1114160</vt:i4>
      </vt:variant>
      <vt:variant>
        <vt:i4>572</vt:i4>
      </vt:variant>
      <vt:variant>
        <vt:i4>0</vt:i4>
      </vt:variant>
      <vt:variant>
        <vt:i4>5</vt:i4>
      </vt:variant>
      <vt:variant>
        <vt:lpwstr/>
      </vt:variant>
      <vt:variant>
        <vt:lpwstr>_Toc372721376</vt:lpwstr>
      </vt:variant>
      <vt:variant>
        <vt:i4>1114160</vt:i4>
      </vt:variant>
      <vt:variant>
        <vt:i4>566</vt:i4>
      </vt:variant>
      <vt:variant>
        <vt:i4>0</vt:i4>
      </vt:variant>
      <vt:variant>
        <vt:i4>5</vt:i4>
      </vt:variant>
      <vt:variant>
        <vt:lpwstr/>
      </vt:variant>
      <vt:variant>
        <vt:lpwstr>_Toc372721375</vt:lpwstr>
      </vt:variant>
      <vt:variant>
        <vt:i4>1114160</vt:i4>
      </vt:variant>
      <vt:variant>
        <vt:i4>560</vt:i4>
      </vt:variant>
      <vt:variant>
        <vt:i4>0</vt:i4>
      </vt:variant>
      <vt:variant>
        <vt:i4>5</vt:i4>
      </vt:variant>
      <vt:variant>
        <vt:lpwstr/>
      </vt:variant>
      <vt:variant>
        <vt:lpwstr>_Toc372721374</vt:lpwstr>
      </vt:variant>
      <vt:variant>
        <vt:i4>1114160</vt:i4>
      </vt:variant>
      <vt:variant>
        <vt:i4>554</vt:i4>
      </vt:variant>
      <vt:variant>
        <vt:i4>0</vt:i4>
      </vt:variant>
      <vt:variant>
        <vt:i4>5</vt:i4>
      </vt:variant>
      <vt:variant>
        <vt:lpwstr/>
      </vt:variant>
      <vt:variant>
        <vt:lpwstr>_Toc372721373</vt:lpwstr>
      </vt:variant>
      <vt:variant>
        <vt:i4>1114160</vt:i4>
      </vt:variant>
      <vt:variant>
        <vt:i4>548</vt:i4>
      </vt:variant>
      <vt:variant>
        <vt:i4>0</vt:i4>
      </vt:variant>
      <vt:variant>
        <vt:i4>5</vt:i4>
      </vt:variant>
      <vt:variant>
        <vt:lpwstr/>
      </vt:variant>
      <vt:variant>
        <vt:lpwstr>_Toc372721372</vt:lpwstr>
      </vt:variant>
      <vt:variant>
        <vt:i4>1114160</vt:i4>
      </vt:variant>
      <vt:variant>
        <vt:i4>542</vt:i4>
      </vt:variant>
      <vt:variant>
        <vt:i4>0</vt:i4>
      </vt:variant>
      <vt:variant>
        <vt:i4>5</vt:i4>
      </vt:variant>
      <vt:variant>
        <vt:lpwstr/>
      </vt:variant>
      <vt:variant>
        <vt:lpwstr>_Toc372721371</vt:lpwstr>
      </vt:variant>
      <vt:variant>
        <vt:i4>1114160</vt:i4>
      </vt:variant>
      <vt:variant>
        <vt:i4>536</vt:i4>
      </vt:variant>
      <vt:variant>
        <vt:i4>0</vt:i4>
      </vt:variant>
      <vt:variant>
        <vt:i4>5</vt:i4>
      </vt:variant>
      <vt:variant>
        <vt:lpwstr/>
      </vt:variant>
      <vt:variant>
        <vt:lpwstr>_Toc372721370</vt:lpwstr>
      </vt:variant>
      <vt:variant>
        <vt:i4>1048624</vt:i4>
      </vt:variant>
      <vt:variant>
        <vt:i4>530</vt:i4>
      </vt:variant>
      <vt:variant>
        <vt:i4>0</vt:i4>
      </vt:variant>
      <vt:variant>
        <vt:i4>5</vt:i4>
      </vt:variant>
      <vt:variant>
        <vt:lpwstr/>
      </vt:variant>
      <vt:variant>
        <vt:lpwstr>_Toc372721369</vt:lpwstr>
      </vt:variant>
      <vt:variant>
        <vt:i4>1048624</vt:i4>
      </vt:variant>
      <vt:variant>
        <vt:i4>524</vt:i4>
      </vt:variant>
      <vt:variant>
        <vt:i4>0</vt:i4>
      </vt:variant>
      <vt:variant>
        <vt:i4>5</vt:i4>
      </vt:variant>
      <vt:variant>
        <vt:lpwstr/>
      </vt:variant>
      <vt:variant>
        <vt:lpwstr>_Toc372721368</vt:lpwstr>
      </vt:variant>
      <vt:variant>
        <vt:i4>1048624</vt:i4>
      </vt:variant>
      <vt:variant>
        <vt:i4>518</vt:i4>
      </vt:variant>
      <vt:variant>
        <vt:i4>0</vt:i4>
      </vt:variant>
      <vt:variant>
        <vt:i4>5</vt:i4>
      </vt:variant>
      <vt:variant>
        <vt:lpwstr/>
      </vt:variant>
      <vt:variant>
        <vt:lpwstr>_Toc372721367</vt:lpwstr>
      </vt:variant>
      <vt:variant>
        <vt:i4>1048624</vt:i4>
      </vt:variant>
      <vt:variant>
        <vt:i4>512</vt:i4>
      </vt:variant>
      <vt:variant>
        <vt:i4>0</vt:i4>
      </vt:variant>
      <vt:variant>
        <vt:i4>5</vt:i4>
      </vt:variant>
      <vt:variant>
        <vt:lpwstr/>
      </vt:variant>
      <vt:variant>
        <vt:lpwstr>_Toc372721366</vt:lpwstr>
      </vt:variant>
      <vt:variant>
        <vt:i4>1048624</vt:i4>
      </vt:variant>
      <vt:variant>
        <vt:i4>506</vt:i4>
      </vt:variant>
      <vt:variant>
        <vt:i4>0</vt:i4>
      </vt:variant>
      <vt:variant>
        <vt:i4>5</vt:i4>
      </vt:variant>
      <vt:variant>
        <vt:lpwstr/>
      </vt:variant>
      <vt:variant>
        <vt:lpwstr>_Toc372721365</vt:lpwstr>
      </vt:variant>
      <vt:variant>
        <vt:i4>1048624</vt:i4>
      </vt:variant>
      <vt:variant>
        <vt:i4>500</vt:i4>
      </vt:variant>
      <vt:variant>
        <vt:i4>0</vt:i4>
      </vt:variant>
      <vt:variant>
        <vt:i4>5</vt:i4>
      </vt:variant>
      <vt:variant>
        <vt:lpwstr/>
      </vt:variant>
      <vt:variant>
        <vt:lpwstr>_Toc372721364</vt:lpwstr>
      </vt:variant>
      <vt:variant>
        <vt:i4>1048624</vt:i4>
      </vt:variant>
      <vt:variant>
        <vt:i4>494</vt:i4>
      </vt:variant>
      <vt:variant>
        <vt:i4>0</vt:i4>
      </vt:variant>
      <vt:variant>
        <vt:i4>5</vt:i4>
      </vt:variant>
      <vt:variant>
        <vt:lpwstr/>
      </vt:variant>
      <vt:variant>
        <vt:lpwstr>_Toc372721363</vt:lpwstr>
      </vt:variant>
      <vt:variant>
        <vt:i4>1048624</vt:i4>
      </vt:variant>
      <vt:variant>
        <vt:i4>488</vt:i4>
      </vt:variant>
      <vt:variant>
        <vt:i4>0</vt:i4>
      </vt:variant>
      <vt:variant>
        <vt:i4>5</vt:i4>
      </vt:variant>
      <vt:variant>
        <vt:lpwstr/>
      </vt:variant>
      <vt:variant>
        <vt:lpwstr>_Toc372721362</vt:lpwstr>
      </vt:variant>
      <vt:variant>
        <vt:i4>1048624</vt:i4>
      </vt:variant>
      <vt:variant>
        <vt:i4>482</vt:i4>
      </vt:variant>
      <vt:variant>
        <vt:i4>0</vt:i4>
      </vt:variant>
      <vt:variant>
        <vt:i4>5</vt:i4>
      </vt:variant>
      <vt:variant>
        <vt:lpwstr/>
      </vt:variant>
      <vt:variant>
        <vt:lpwstr>_Toc372721361</vt:lpwstr>
      </vt:variant>
      <vt:variant>
        <vt:i4>1048624</vt:i4>
      </vt:variant>
      <vt:variant>
        <vt:i4>476</vt:i4>
      </vt:variant>
      <vt:variant>
        <vt:i4>0</vt:i4>
      </vt:variant>
      <vt:variant>
        <vt:i4>5</vt:i4>
      </vt:variant>
      <vt:variant>
        <vt:lpwstr/>
      </vt:variant>
      <vt:variant>
        <vt:lpwstr>_Toc372721360</vt:lpwstr>
      </vt:variant>
      <vt:variant>
        <vt:i4>1245232</vt:i4>
      </vt:variant>
      <vt:variant>
        <vt:i4>470</vt:i4>
      </vt:variant>
      <vt:variant>
        <vt:i4>0</vt:i4>
      </vt:variant>
      <vt:variant>
        <vt:i4>5</vt:i4>
      </vt:variant>
      <vt:variant>
        <vt:lpwstr/>
      </vt:variant>
      <vt:variant>
        <vt:lpwstr>_Toc372721359</vt:lpwstr>
      </vt:variant>
      <vt:variant>
        <vt:i4>1245232</vt:i4>
      </vt:variant>
      <vt:variant>
        <vt:i4>464</vt:i4>
      </vt:variant>
      <vt:variant>
        <vt:i4>0</vt:i4>
      </vt:variant>
      <vt:variant>
        <vt:i4>5</vt:i4>
      </vt:variant>
      <vt:variant>
        <vt:lpwstr/>
      </vt:variant>
      <vt:variant>
        <vt:lpwstr>_Toc372721358</vt:lpwstr>
      </vt:variant>
      <vt:variant>
        <vt:i4>1245232</vt:i4>
      </vt:variant>
      <vt:variant>
        <vt:i4>458</vt:i4>
      </vt:variant>
      <vt:variant>
        <vt:i4>0</vt:i4>
      </vt:variant>
      <vt:variant>
        <vt:i4>5</vt:i4>
      </vt:variant>
      <vt:variant>
        <vt:lpwstr/>
      </vt:variant>
      <vt:variant>
        <vt:lpwstr>_Toc372721357</vt:lpwstr>
      </vt:variant>
      <vt:variant>
        <vt:i4>1245232</vt:i4>
      </vt:variant>
      <vt:variant>
        <vt:i4>452</vt:i4>
      </vt:variant>
      <vt:variant>
        <vt:i4>0</vt:i4>
      </vt:variant>
      <vt:variant>
        <vt:i4>5</vt:i4>
      </vt:variant>
      <vt:variant>
        <vt:lpwstr/>
      </vt:variant>
      <vt:variant>
        <vt:lpwstr>_Toc372721356</vt:lpwstr>
      </vt:variant>
      <vt:variant>
        <vt:i4>1245232</vt:i4>
      </vt:variant>
      <vt:variant>
        <vt:i4>446</vt:i4>
      </vt:variant>
      <vt:variant>
        <vt:i4>0</vt:i4>
      </vt:variant>
      <vt:variant>
        <vt:i4>5</vt:i4>
      </vt:variant>
      <vt:variant>
        <vt:lpwstr/>
      </vt:variant>
      <vt:variant>
        <vt:lpwstr>_Toc372721355</vt:lpwstr>
      </vt:variant>
      <vt:variant>
        <vt:i4>1245232</vt:i4>
      </vt:variant>
      <vt:variant>
        <vt:i4>440</vt:i4>
      </vt:variant>
      <vt:variant>
        <vt:i4>0</vt:i4>
      </vt:variant>
      <vt:variant>
        <vt:i4>5</vt:i4>
      </vt:variant>
      <vt:variant>
        <vt:lpwstr/>
      </vt:variant>
      <vt:variant>
        <vt:lpwstr>_Toc372721354</vt:lpwstr>
      </vt:variant>
      <vt:variant>
        <vt:i4>1245232</vt:i4>
      </vt:variant>
      <vt:variant>
        <vt:i4>434</vt:i4>
      </vt:variant>
      <vt:variant>
        <vt:i4>0</vt:i4>
      </vt:variant>
      <vt:variant>
        <vt:i4>5</vt:i4>
      </vt:variant>
      <vt:variant>
        <vt:lpwstr/>
      </vt:variant>
      <vt:variant>
        <vt:lpwstr>_Toc372721353</vt:lpwstr>
      </vt:variant>
      <vt:variant>
        <vt:i4>1245232</vt:i4>
      </vt:variant>
      <vt:variant>
        <vt:i4>428</vt:i4>
      </vt:variant>
      <vt:variant>
        <vt:i4>0</vt:i4>
      </vt:variant>
      <vt:variant>
        <vt:i4>5</vt:i4>
      </vt:variant>
      <vt:variant>
        <vt:lpwstr/>
      </vt:variant>
      <vt:variant>
        <vt:lpwstr>_Toc372721352</vt:lpwstr>
      </vt:variant>
      <vt:variant>
        <vt:i4>1245232</vt:i4>
      </vt:variant>
      <vt:variant>
        <vt:i4>422</vt:i4>
      </vt:variant>
      <vt:variant>
        <vt:i4>0</vt:i4>
      </vt:variant>
      <vt:variant>
        <vt:i4>5</vt:i4>
      </vt:variant>
      <vt:variant>
        <vt:lpwstr/>
      </vt:variant>
      <vt:variant>
        <vt:lpwstr>_Toc372721351</vt:lpwstr>
      </vt:variant>
      <vt:variant>
        <vt:i4>1245232</vt:i4>
      </vt:variant>
      <vt:variant>
        <vt:i4>416</vt:i4>
      </vt:variant>
      <vt:variant>
        <vt:i4>0</vt:i4>
      </vt:variant>
      <vt:variant>
        <vt:i4>5</vt:i4>
      </vt:variant>
      <vt:variant>
        <vt:lpwstr/>
      </vt:variant>
      <vt:variant>
        <vt:lpwstr>_Toc372721350</vt:lpwstr>
      </vt:variant>
      <vt:variant>
        <vt:i4>1179696</vt:i4>
      </vt:variant>
      <vt:variant>
        <vt:i4>410</vt:i4>
      </vt:variant>
      <vt:variant>
        <vt:i4>0</vt:i4>
      </vt:variant>
      <vt:variant>
        <vt:i4>5</vt:i4>
      </vt:variant>
      <vt:variant>
        <vt:lpwstr/>
      </vt:variant>
      <vt:variant>
        <vt:lpwstr>_Toc372721349</vt:lpwstr>
      </vt:variant>
      <vt:variant>
        <vt:i4>1179696</vt:i4>
      </vt:variant>
      <vt:variant>
        <vt:i4>404</vt:i4>
      </vt:variant>
      <vt:variant>
        <vt:i4>0</vt:i4>
      </vt:variant>
      <vt:variant>
        <vt:i4>5</vt:i4>
      </vt:variant>
      <vt:variant>
        <vt:lpwstr/>
      </vt:variant>
      <vt:variant>
        <vt:lpwstr>_Toc372721348</vt:lpwstr>
      </vt:variant>
      <vt:variant>
        <vt:i4>1179696</vt:i4>
      </vt:variant>
      <vt:variant>
        <vt:i4>398</vt:i4>
      </vt:variant>
      <vt:variant>
        <vt:i4>0</vt:i4>
      </vt:variant>
      <vt:variant>
        <vt:i4>5</vt:i4>
      </vt:variant>
      <vt:variant>
        <vt:lpwstr/>
      </vt:variant>
      <vt:variant>
        <vt:lpwstr>_Toc372721347</vt:lpwstr>
      </vt:variant>
      <vt:variant>
        <vt:i4>1179696</vt:i4>
      </vt:variant>
      <vt:variant>
        <vt:i4>392</vt:i4>
      </vt:variant>
      <vt:variant>
        <vt:i4>0</vt:i4>
      </vt:variant>
      <vt:variant>
        <vt:i4>5</vt:i4>
      </vt:variant>
      <vt:variant>
        <vt:lpwstr/>
      </vt:variant>
      <vt:variant>
        <vt:lpwstr>_Toc372721346</vt:lpwstr>
      </vt:variant>
      <vt:variant>
        <vt:i4>1179696</vt:i4>
      </vt:variant>
      <vt:variant>
        <vt:i4>386</vt:i4>
      </vt:variant>
      <vt:variant>
        <vt:i4>0</vt:i4>
      </vt:variant>
      <vt:variant>
        <vt:i4>5</vt:i4>
      </vt:variant>
      <vt:variant>
        <vt:lpwstr/>
      </vt:variant>
      <vt:variant>
        <vt:lpwstr>_Toc372721345</vt:lpwstr>
      </vt:variant>
      <vt:variant>
        <vt:i4>1179696</vt:i4>
      </vt:variant>
      <vt:variant>
        <vt:i4>380</vt:i4>
      </vt:variant>
      <vt:variant>
        <vt:i4>0</vt:i4>
      </vt:variant>
      <vt:variant>
        <vt:i4>5</vt:i4>
      </vt:variant>
      <vt:variant>
        <vt:lpwstr/>
      </vt:variant>
      <vt:variant>
        <vt:lpwstr>_Toc372721344</vt:lpwstr>
      </vt:variant>
      <vt:variant>
        <vt:i4>1179696</vt:i4>
      </vt:variant>
      <vt:variant>
        <vt:i4>374</vt:i4>
      </vt:variant>
      <vt:variant>
        <vt:i4>0</vt:i4>
      </vt:variant>
      <vt:variant>
        <vt:i4>5</vt:i4>
      </vt:variant>
      <vt:variant>
        <vt:lpwstr/>
      </vt:variant>
      <vt:variant>
        <vt:lpwstr>_Toc372721343</vt:lpwstr>
      </vt:variant>
      <vt:variant>
        <vt:i4>1179696</vt:i4>
      </vt:variant>
      <vt:variant>
        <vt:i4>368</vt:i4>
      </vt:variant>
      <vt:variant>
        <vt:i4>0</vt:i4>
      </vt:variant>
      <vt:variant>
        <vt:i4>5</vt:i4>
      </vt:variant>
      <vt:variant>
        <vt:lpwstr/>
      </vt:variant>
      <vt:variant>
        <vt:lpwstr>_Toc372721342</vt:lpwstr>
      </vt:variant>
      <vt:variant>
        <vt:i4>1179696</vt:i4>
      </vt:variant>
      <vt:variant>
        <vt:i4>362</vt:i4>
      </vt:variant>
      <vt:variant>
        <vt:i4>0</vt:i4>
      </vt:variant>
      <vt:variant>
        <vt:i4>5</vt:i4>
      </vt:variant>
      <vt:variant>
        <vt:lpwstr/>
      </vt:variant>
      <vt:variant>
        <vt:lpwstr>_Toc372721341</vt:lpwstr>
      </vt:variant>
      <vt:variant>
        <vt:i4>1179696</vt:i4>
      </vt:variant>
      <vt:variant>
        <vt:i4>356</vt:i4>
      </vt:variant>
      <vt:variant>
        <vt:i4>0</vt:i4>
      </vt:variant>
      <vt:variant>
        <vt:i4>5</vt:i4>
      </vt:variant>
      <vt:variant>
        <vt:lpwstr/>
      </vt:variant>
      <vt:variant>
        <vt:lpwstr>_Toc372721340</vt:lpwstr>
      </vt:variant>
      <vt:variant>
        <vt:i4>1376304</vt:i4>
      </vt:variant>
      <vt:variant>
        <vt:i4>350</vt:i4>
      </vt:variant>
      <vt:variant>
        <vt:i4>0</vt:i4>
      </vt:variant>
      <vt:variant>
        <vt:i4>5</vt:i4>
      </vt:variant>
      <vt:variant>
        <vt:lpwstr/>
      </vt:variant>
      <vt:variant>
        <vt:lpwstr>_Toc372721339</vt:lpwstr>
      </vt:variant>
      <vt:variant>
        <vt:i4>1376304</vt:i4>
      </vt:variant>
      <vt:variant>
        <vt:i4>344</vt:i4>
      </vt:variant>
      <vt:variant>
        <vt:i4>0</vt:i4>
      </vt:variant>
      <vt:variant>
        <vt:i4>5</vt:i4>
      </vt:variant>
      <vt:variant>
        <vt:lpwstr/>
      </vt:variant>
      <vt:variant>
        <vt:lpwstr>_Toc372721338</vt:lpwstr>
      </vt:variant>
      <vt:variant>
        <vt:i4>1376304</vt:i4>
      </vt:variant>
      <vt:variant>
        <vt:i4>338</vt:i4>
      </vt:variant>
      <vt:variant>
        <vt:i4>0</vt:i4>
      </vt:variant>
      <vt:variant>
        <vt:i4>5</vt:i4>
      </vt:variant>
      <vt:variant>
        <vt:lpwstr/>
      </vt:variant>
      <vt:variant>
        <vt:lpwstr>_Toc372721337</vt:lpwstr>
      </vt:variant>
      <vt:variant>
        <vt:i4>1376304</vt:i4>
      </vt:variant>
      <vt:variant>
        <vt:i4>332</vt:i4>
      </vt:variant>
      <vt:variant>
        <vt:i4>0</vt:i4>
      </vt:variant>
      <vt:variant>
        <vt:i4>5</vt:i4>
      </vt:variant>
      <vt:variant>
        <vt:lpwstr/>
      </vt:variant>
      <vt:variant>
        <vt:lpwstr>_Toc372721336</vt:lpwstr>
      </vt:variant>
      <vt:variant>
        <vt:i4>1376304</vt:i4>
      </vt:variant>
      <vt:variant>
        <vt:i4>326</vt:i4>
      </vt:variant>
      <vt:variant>
        <vt:i4>0</vt:i4>
      </vt:variant>
      <vt:variant>
        <vt:i4>5</vt:i4>
      </vt:variant>
      <vt:variant>
        <vt:lpwstr/>
      </vt:variant>
      <vt:variant>
        <vt:lpwstr>_Toc372721335</vt:lpwstr>
      </vt:variant>
      <vt:variant>
        <vt:i4>1376304</vt:i4>
      </vt:variant>
      <vt:variant>
        <vt:i4>320</vt:i4>
      </vt:variant>
      <vt:variant>
        <vt:i4>0</vt:i4>
      </vt:variant>
      <vt:variant>
        <vt:i4>5</vt:i4>
      </vt:variant>
      <vt:variant>
        <vt:lpwstr/>
      </vt:variant>
      <vt:variant>
        <vt:lpwstr>_Toc372721334</vt:lpwstr>
      </vt:variant>
      <vt:variant>
        <vt:i4>1376304</vt:i4>
      </vt:variant>
      <vt:variant>
        <vt:i4>314</vt:i4>
      </vt:variant>
      <vt:variant>
        <vt:i4>0</vt:i4>
      </vt:variant>
      <vt:variant>
        <vt:i4>5</vt:i4>
      </vt:variant>
      <vt:variant>
        <vt:lpwstr/>
      </vt:variant>
      <vt:variant>
        <vt:lpwstr>_Toc372721333</vt:lpwstr>
      </vt:variant>
      <vt:variant>
        <vt:i4>1376304</vt:i4>
      </vt:variant>
      <vt:variant>
        <vt:i4>308</vt:i4>
      </vt:variant>
      <vt:variant>
        <vt:i4>0</vt:i4>
      </vt:variant>
      <vt:variant>
        <vt:i4>5</vt:i4>
      </vt:variant>
      <vt:variant>
        <vt:lpwstr/>
      </vt:variant>
      <vt:variant>
        <vt:lpwstr>_Toc372721332</vt:lpwstr>
      </vt:variant>
      <vt:variant>
        <vt:i4>1376304</vt:i4>
      </vt:variant>
      <vt:variant>
        <vt:i4>302</vt:i4>
      </vt:variant>
      <vt:variant>
        <vt:i4>0</vt:i4>
      </vt:variant>
      <vt:variant>
        <vt:i4>5</vt:i4>
      </vt:variant>
      <vt:variant>
        <vt:lpwstr/>
      </vt:variant>
      <vt:variant>
        <vt:lpwstr>_Toc372721331</vt:lpwstr>
      </vt:variant>
      <vt:variant>
        <vt:i4>1376304</vt:i4>
      </vt:variant>
      <vt:variant>
        <vt:i4>296</vt:i4>
      </vt:variant>
      <vt:variant>
        <vt:i4>0</vt:i4>
      </vt:variant>
      <vt:variant>
        <vt:i4>5</vt:i4>
      </vt:variant>
      <vt:variant>
        <vt:lpwstr/>
      </vt:variant>
      <vt:variant>
        <vt:lpwstr>_Toc372721330</vt:lpwstr>
      </vt:variant>
      <vt:variant>
        <vt:i4>1310768</vt:i4>
      </vt:variant>
      <vt:variant>
        <vt:i4>290</vt:i4>
      </vt:variant>
      <vt:variant>
        <vt:i4>0</vt:i4>
      </vt:variant>
      <vt:variant>
        <vt:i4>5</vt:i4>
      </vt:variant>
      <vt:variant>
        <vt:lpwstr/>
      </vt:variant>
      <vt:variant>
        <vt:lpwstr>_Toc372721329</vt:lpwstr>
      </vt:variant>
      <vt:variant>
        <vt:i4>1310768</vt:i4>
      </vt:variant>
      <vt:variant>
        <vt:i4>284</vt:i4>
      </vt:variant>
      <vt:variant>
        <vt:i4>0</vt:i4>
      </vt:variant>
      <vt:variant>
        <vt:i4>5</vt:i4>
      </vt:variant>
      <vt:variant>
        <vt:lpwstr/>
      </vt:variant>
      <vt:variant>
        <vt:lpwstr>_Toc372721328</vt:lpwstr>
      </vt:variant>
      <vt:variant>
        <vt:i4>1310768</vt:i4>
      </vt:variant>
      <vt:variant>
        <vt:i4>278</vt:i4>
      </vt:variant>
      <vt:variant>
        <vt:i4>0</vt:i4>
      </vt:variant>
      <vt:variant>
        <vt:i4>5</vt:i4>
      </vt:variant>
      <vt:variant>
        <vt:lpwstr/>
      </vt:variant>
      <vt:variant>
        <vt:lpwstr>_Toc372721327</vt:lpwstr>
      </vt:variant>
      <vt:variant>
        <vt:i4>1310768</vt:i4>
      </vt:variant>
      <vt:variant>
        <vt:i4>272</vt:i4>
      </vt:variant>
      <vt:variant>
        <vt:i4>0</vt:i4>
      </vt:variant>
      <vt:variant>
        <vt:i4>5</vt:i4>
      </vt:variant>
      <vt:variant>
        <vt:lpwstr/>
      </vt:variant>
      <vt:variant>
        <vt:lpwstr>_Toc372721326</vt:lpwstr>
      </vt:variant>
      <vt:variant>
        <vt:i4>1310768</vt:i4>
      </vt:variant>
      <vt:variant>
        <vt:i4>266</vt:i4>
      </vt:variant>
      <vt:variant>
        <vt:i4>0</vt:i4>
      </vt:variant>
      <vt:variant>
        <vt:i4>5</vt:i4>
      </vt:variant>
      <vt:variant>
        <vt:lpwstr/>
      </vt:variant>
      <vt:variant>
        <vt:lpwstr>_Toc372721325</vt:lpwstr>
      </vt:variant>
      <vt:variant>
        <vt:i4>1310768</vt:i4>
      </vt:variant>
      <vt:variant>
        <vt:i4>260</vt:i4>
      </vt:variant>
      <vt:variant>
        <vt:i4>0</vt:i4>
      </vt:variant>
      <vt:variant>
        <vt:i4>5</vt:i4>
      </vt:variant>
      <vt:variant>
        <vt:lpwstr/>
      </vt:variant>
      <vt:variant>
        <vt:lpwstr>_Toc372721324</vt:lpwstr>
      </vt:variant>
      <vt:variant>
        <vt:i4>1310768</vt:i4>
      </vt:variant>
      <vt:variant>
        <vt:i4>254</vt:i4>
      </vt:variant>
      <vt:variant>
        <vt:i4>0</vt:i4>
      </vt:variant>
      <vt:variant>
        <vt:i4>5</vt:i4>
      </vt:variant>
      <vt:variant>
        <vt:lpwstr/>
      </vt:variant>
      <vt:variant>
        <vt:lpwstr>_Toc372721323</vt:lpwstr>
      </vt:variant>
      <vt:variant>
        <vt:i4>1310768</vt:i4>
      </vt:variant>
      <vt:variant>
        <vt:i4>248</vt:i4>
      </vt:variant>
      <vt:variant>
        <vt:i4>0</vt:i4>
      </vt:variant>
      <vt:variant>
        <vt:i4>5</vt:i4>
      </vt:variant>
      <vt:variant>
        <vt:lpwstr/>
      </vt:variant>
      <vt:variant>
        <vt:lpwstr>_Toc372721322</vt:lpwstr>
      </vt:variant>
      <vt:variant>
        <vt:i4>1310768</vt:i4>
      </vt:variant>
      <vt:variant>
        <vt:i4>242</vt:i4>
      </vt:variant>
      <vt:variant>
        <vt:i4>0</vt:i4>
      </vt:variant>
      <vt:variant>
        <vt:i4>5</vt:i4>
      </vt:variant>
      <vt:variant>
        <vt:lpwstr/>
      </vt:variant>
      <vt:variant>
        <vt:lpwstr>_Toc372721321</vt:lpwstr>
      </vt:variant>
      <vt:variant>
        <vt:i4>1310768</vt:i4>
      </vt:variant>
      <vt:variant>
        <vt:i4>236</vt:i4>
      </vt:variant>
      <vt:variant>
        <vt:i4>0</vt:i4>
      </vt:variant>
      <vt:variant>
        <vt:i4>5</vt:i4>
      </vt:variant>
      <vt:variant>
        <vt:lpwstr/>
      </vt:variant>
      <vt:variant>
        <vt:lpwstr>_Toc372721320</vt:lpwstr>
      </vt:variant>
      <vt:variant>
        <vt:i4>1507376</vt:i4>
      </vt:variant>
      <vt:variant>
        <vt:i4>230</vt:i4>
      </vt:variant>
      <vt:variant>
        <vt:i4>0</vt:i4>
      </vt:variant>
      <vt:variant>
        <vt:i4>5</vt:i4>
      </vt:variant>
      <vt:variant>
        <vt:lpwstr/>
      </vt:variant>
      <vt:variant>
        <vt:lpwstr>_Toc372721319</vt:lpwstr>
      </vt:variant>
      <vt:variant>
        <vt:i4>1507376</vt:i4>
      </vt:variant>
      <vt:variant>
        <vt:i4>224</vt:i4>
      </vt:variant>
      <vt:variant>
        <vt:i4>0</vt:i4>
      </vt:variant>
      <vt:variant>
        <vt:i4>5</vt:i4>
      </vt:variant>
      <vt:variant>
        <vt:lpwstr/>
      </vt:variant>
      <vt:variant>
        <vt:lpwstr>_Toc372721318</vt:lpwstr>
      </vt:variant>
      <vt:variant>
        <vt:i4>1507376</vt:i4>
      </vt:variant>
      <vt:variant>
        <vt:i4>218</vt:i4>
      </vt:variant>
      <vt:variant>
        <vt:i4>0</vt:i4>
      </vt:variant>
      <vt:variant>
        <vt:i4>5</vt:i4>
      </vt:variant>
      <vt:variant>
        <vt:lpwstr/>
      </vt:variant>
      <vt:variant>
        <vt:lpwstr>_Toc372721317</vt:lpwstr>
      </vt:variant>
      <vt:variant>
        <vt:i4>1507376</vt:i4>
      </vt:variant>
      <vt:variant>
        <vt:i4>212</vt:i4>
      </vt:variant>
      <vt:variant>
        <vt:i4>0</vt:i4>
      </vt:variant>
      <vt:variant>
        <vt:i4>5</vt:i4>
      </vt:variant>
      <vt:variant>
        <vt:lpwstr/>
      </vt:variant>
      <vt:variant>
        <vt:lpwstr>_Toc372721316</vt:lpwstr>
      </vt:variant>
      <vt:variant>
        <vt:i4>1507376</vt:i4>
      </vt:variant>
      <vt:variant>
        <vt:i4>206</vt:i4>
      </vt:variant>
      <vt:variant>
        <vt:i4>0</vt:i4>
      </vt:variant>
      <vt:variant>
        <vt:i4>5</vt:i4>
      </vt:variant>
      <vt:variant>
        <vt:lpwstr/>
      </vt:variant>
      <vt:variant>
        <vt:lpwstr>_Toc372721315</vt:lpwstr>
      </vt:variant>
      <vt:variant>
        <vt:i4>1507376</vt:i4>
      </vt:variant>
      <vt:variant>
        <vt:i4>200</vt:i4>
      </vt:variant>
      <vt:variant>
        <vt:i4>0</vt:i4>
      </vt:variant>
      <vt:variant>
        <vt:i4>5</vt:i4>
      </vt:variant>
      <vt:variant>
        <vt:lpwstr/>
      </vt:variant>
      <vt:variant>
        <vt:lpwstr>_Toc372721314</vt:lpwstr>
      </vt:variant>
      <vt:variant>
        <vt:i4>1507376</vt:i4>
      </vt:variant>
      <vt:variant>
        <vt:i4>194</vt:i4>
      </vt:variant>
      <vt:variant>
        <vt:i4>0</vt:i4>
      </vt:variant>
      <vt:variant>
        <vt:i4>5</vt:i4>
      </vt:variant>
      <vt:variant>
        <vt:lpwstr/>
      </vt:variant>
      <vt:variant>
        <vt:lpwstr>_Toc372721313</vt:lpwstr>
      </vt:variant>
      <vt:variant>
        <vt:i4>1507376</vt:i4>
      </vt:variant>
      <vt:variant>
        <vt:i4>188</vt:i4>
      </vt:variant>
      <vt:variant>
        <vt:i4>0</vt:i4>
      </vt:variant>
      <vt:variant>
        <vt:i4>5</vt:i4>
      </vt:variant>
      <vt:variant>
        <vt:lpwstr/>
      </vt:variant>
      <vt:variant>
        <vt:lpwstr>_Toc372721312</vt:lpwstr>
      </vt:variant>
      <vt:variant>
        <vt:i4>1507376</vt:i4>
      </vt:variant>
      <vt:variant>
        <vt:i4>182</vt:i4>
      </vt:variant>
      <vt:variant>
        <vt:i4>0</vt:i4>
      </vt:variant>
      <vt:variant>
        <vt:i4>5</vt:i4>
      </vt:variant>
      <vt:variant>
        <vt:lpwstr/>
      </vt:variant>
      <vt:variant>
        <vt:lpwstr>_Toc372721311</vt:lpwstr>
      </vt:variant>
      <vt:variant>
        <vt:i4>1507376</vt:i4>
      </vt:variant>
      <vt:variant>
        <vt:i4>176</vt:i4>
      </vt:variant>
      <vt:variant>
        <vt:i4>0</vt:i4>
      </vt:variant>
      <vt:variant>
        <vt:i4>5</vt:i4>
      </vt:variant>
      <vt:variant>
        <vt:lpwstr/>
      </vt:variant>
      <vt:variant>
        <vt:lpwstr>_Toc372721310</vt:lpwstr>
      </vt:variant>
      <vt:variant>
        <vt:i4>1441840</vt:i4>
      </vt:variant>
      <vt:variant>
        <vt:i4>170</vt:i4>
      </vt:variant>
      <vt:variant>
        <vt:i4>0</vt:i4>
      </vt:variant>
      <vt:variant>
        <vt:i4>5</vt:i4>
      </vt:variant>
      <vt:variant>
        <vt:lpwstr/>
      </vt:variant>
      <vt:variant>
        <vt:lpwstr>_Toc372721309</vt:lpwstr>
      </vt:variant>
      <vt:variant>
        <vt:i4>1441840</vt:i4>
      </vt:variant>
      <vt:variant>
        <vt:i4>164</vt:i4>
      </vt:variant>
      <vt:variant>
        <vt:i4>0</vt:i4>
      </vt:variant>
      <vt:variant>
        <vt:i4>5</vt:i4>
      </vt:variant>
      <vt:variant>
        <vt:lpwstr/>
      </vt:variant>
      <vt:variant>
        <vt:lpwstr>_Toc372721308</vt:lpwstr>
      </vt:variant>
      <vt:variant>
        <vt:i4>1441840</vt:i4>
      </vt:variant>
      <vt:variant>
        <vt:i4>158</vt:i4>
      </vt:variant>
      <vt:variant>
        <vt:i4>0</vt:i4>
      </vt:variant>
      <vt:variant>
        <vt:i4>5</vt:i4>
      </vt:variant>
      <vt:variant>
        <vt:lpwstr/>
      </vt:variant>
      <vt:variant>
        <vt:lpwstr>_Toc372721307</vt:lpwstr>
      </vt:variant>
      <vt:variant>
        <vt:i4>1441840</vt:i4>
      </vt:variant>
      <vt:variant>
        <vt:i4>152</vt:i4>
      </vt:variant>
      <vt:variant>
        <vt:i4>0</vt:i4>
      </vt:variant>
      <vt:variant>
        <vt:i4>5</vt:i4>
      </vt:variant>
      <vt:variant>
        <vt:lpwstr/>
      </vt:variant>
      <vt:variant>
        <vt:lpwstr>_Toc372721306</vt:lpwstr>
      </vt:variant>
      <vt:variant>
        <vt:i4>1441840</vt:i4>
      </vt:variant>
      <vt:variant>
        <vt:i4>146</vt:i4>
      </vt:variant>
      <vt:variant>
        <vt:i4>0</vt:i4>
      </vt:variant>
      <vt:variant>
        <vt:i4>5</vt:i4>
      </vt:variant>
      <vt:variant>
        <vt:lpwstr/>
      </vt:variant>
      <vt:variant>
        <vt:lpwstr>_Toc372721305</vt:lpwstr>
      </vt:variant>
      <vt:variant>
        <vt:i4>1441840</vt:i4>
      </vt:variant>
      <vt:variant>
        <vt:i4>140</vt:i4>
      </vt:variant>
      <vt:variant>
        <vt:i4>0</vt:i4>
      </vt:variant>
      <vt:variant>
        <vt:i4>5</vt:i4>
      </vt:variant>
      <vt:variant>
        <vt:lpwstr/>
      </vt:variant>
      <vt:variant>
        <vt:lpwstr>_Toc372721304</vt:lpwstr>
      </vt:variant>
      <vt:variant>
        <vt:i4>1441840</vt:i4>
      </vt:variant>
      <vt:variant>
        <vt:i4>134</vt:i4>
      </vt:variant>
      <vt:variant>
        <vt:i4>0</vt:i4>
      </vt:variant>
      <vt:variant>
        <vt:i4>5</vt:i4>
      </vt:variant>
      <vt:variant>
        <vt:lpwstr/>
      </vt:variant>
      <vt:variant>
        <vt:lpwstr>_Toc372721303</vt:lpwstr>
      </vt:variant>
      <vt:variant>
        <vt:i4>1441840</vt:i4>
      </vt:variant>
      <vt:variant>
        <vt:i4>128</vt:i4>
      </vt:variant>
      <vt:variant>
        <vt:i4>0</vt:i4>
      </vt:variant>
      <vt:variant>
        <vt:i4>5</vt:i4>
      </vt:variant>
      <vt:variant>
        <vt:lpwstr/>
      </vt:variant>
      <vt:variant>
        <vt:lpwstr>_Toc372721302</vt:lpwstr>
      </vt:variant>
      <vt:variant>
        <vt:i4>1441840</vt:i4>
      </vt:variant>
      <vt:variant>
        <vt:i4>122</vt:i4>
      </vt:variant>
      <vt:variant>
        <vt:i4>0</vt:i4>
      </vt:variant>
      <vt:variant>
        <vt:i4>5</vt:i4>
      </vt:variant>
      <vt:variant>
        <vt:lpwstr/>
      </vt:variant>
      <vt:variant>
        <vt:lpwstr>_Toc372721301</vt:lpwstr>
      </vt:variant>
      <vt:variant>
        <vt:i4>1441840</vt:i4>
      </vt:variant>
      <vt:variant>
        <vt:i4>116</vt:i4>
      </vt:variant>
      <vt:variant>
        <vt:i4>0</vt:i4>
      </vt:variant>
      <vt:variant>
        <vt:i4>5</vt:i4>
      </vt:variant>
      <vt:variant>
        <vt:lpwstr/>
      </vt:variant>
      <vt:variant>
        <vt:lpwstr>_Toc372721300</vt:lpwstr>
      </vt:variant>
      <vt:variant>
        <vt:i4>2031665</vt:i4>
      </vt:variant>
      <vt:variant>
        <vt:i4>110</vt:i4>
      </vt:variant>
      <vt:variant>
        <vt:i4>0</vt:i4>
      </vt:variant>
      <vt:variant>
        <vt:i4>5</vt:i4>
      </vt:variant>
      <vt:variant>
        <vt:lpwstr/>
      </vt:variant>
      <vt:variant>
        <vt:lpwstr>_Toc372721299</vt:lpwstr>
      </vt:variant>
      <vt:variant>
        <vt:i4>2031665</vt:i4>
      </vt:variant>
      <vt:variant>
        <vt:i4>104</vt:i4>
      </vt:variant>
      <vt:variant>
        <vt:i4>0</vt:i4>
      </vt:variant>
      <vt:variant>
        <vt:i4>5</vt:i4>
      </vt:variant>
      <vt:variant>
        <vt:lpwstr/>
      </vt:variant>
      <vt:variant>
        <vt:lpwstr>_Toc372721298</vt:lpwstr>
      </vt:variant>
      <vt:variant>
        <vt:i4>2031665</vt:i4>
      </vt:variant>
      <vt:variant>
        <vt:i4>98</vt:i4>
      </vt:variant>
      <vt:variant>
        <vt:i4>0</vt:i4>
      </vt:variant>
      <vt:variant>
        <vt:i4>5</vt:i4>
      </vt:variant>
      <vt:variant>
        <vt:lpwstr/>
      </vt:variant>
      <vt:variant>
        <vt:lpwstr>_Toc372721297</vt:lpwstr>
      </vt:variant>
      <vt:variant>
        <vt:i4>2031665</vt:i4>
      </vt:variant>
      <vt:variant>
        <vt:i4>92</vt:i4>
      </vt:variant>
      <vt:variant>
        <vt:i4>0</vt:i4>
      </vt:variant>
      <vt:variant>
        <vt:i4>5</vt:i4>
      </vt:variant>
      <vt:variant>
        <vt:lpwstr/>
      </vt:variant>
      <vt:variant>
        <vt:lpwstr>_Toc372721296</vt:lpwstr>
      </vt:variant>
      <vt:variant>
        <vt:i4>2031665</vt:i4>
      </vt:variant>
      <vt:variant>
        <vt:i4>86</vt:i4>
      </vt:variant>
      <vt:variant>
        <vt:i4>0</vt:i4>
      </vt:variant>
      <vt:variant>
        <vt:i4>5</vt:i4>
      </vt:variant>
      <vt:variant>
        <vt:lpwstr/>
      </vt:variant>
      <vt:variant>
        <vt:lpwstr>_Toc372721295</vt:lpwstr>
      </vt:variant>
      <vt:variant>
        <vt:i4>2031665</vt:i4>
      </vt:variant>
      <vt:variant>
        <vt:i4>80</vt:i4>
      </vt:variant>
      <vt:variant>
        <vt:i4>0</vt:i4>
      </vt:variant>
      <vt:variant>
        <vt:i4>5</vt:i4>
      </vt:variant>
      <vt:variant>
        <vt:lpwstr/>
      </vt:variant>
      <vt:variant>
        <vt:lpwstr>_Toc372721294</vt:lpwstr>
      </vt:variant>
      <vt:variant>
        <vt:i4>2031665</vt:i4>
      </vt:variant>
      <vt:variant>
        <vt:i4>74</vt:i4>
      </vt:variant>
      <vt:variant>
        <vt:i4>0</vt:i4>
      </vt:variant>
      <vt:variant>
        <vt:i4>5</vt:i4>
      </vt:variant>
      <vt:variant>
        <vt:lpwstr/>
      </vt:variant>
      <vt:variant>
        <vt:lpwstr>_Toc372721293</vt:lpwstr>
      </vt:variant>
      <vt:variant>
        <vt:i4>2031665</vt:i4>
      </vt:variant>
      <vt:variant>
        <vt:i4>68</vt:i4>
      </vt:variant>
      <vt:variant>
        <vt:i4>0</vt:i4>
      </vt:variant>
      <vt:variant>
        <vt:i4>5</vt:i4>
      </vt:variant>
      <vt:variant>
        <vt:lpwstr/>
      </vt:variant>
      <vt:variant>
        <vt:lpwstr>_Toc372721292</vt:lpwstr>
      </vt:variant>
      <vt:variant>
        <vt:i4>2031665</vt:i4>
      </vt:variant>
      <vt:variant>
        <vt:i4>62</vt:i4>
      </vt:variant>
      <vt:variant>
        <vt:i4>0</vt:i4>
      </vt:variant>
      <vt:variant>
        <vt:i4>5</vt:i4>
      </vt:variant>
      <vt:variant>
        <vt:lpwstr/>
      </vt:variant>
      <vt:variant>
        <vt:lpwstr>_Toc372721291</vt:lpwstr>
      </vt:variant>
      <vt:variant>
        <vt:i4>2031665</vt:i4>
      </vt:variant>
      <vt:variant>
        <vt:i4>56</vt:i4>
      </vt:variant>
      <vt:variant>
        <vt:i4>0</vt:i4>
      </vt:variant>
      <vt:variant>
        <vt:i4>5</vt:i4>
      </vt:variant>
      <vt:variant>
        <vt:lpwstr/>
      </vt:variant>
      <vt:variant>
        <vt:lpwstr>_Toc372721290</vt:lpwstr>
      </vt:variant>
      <vt:variant>
        <vt:i4>1966129</vt:i4>
      </vt:variant>
      <vt:variant>
        <vt:i4>50</vt:i4>
      </vt:variant>
      <vt:variant>
        <vt:i4>0</vt:i4>
      </vt:variant>
      <vt:variant>
        <vt:i4>5</vt:i4>
      </vt:variant>
      <vt:variant>
        <vt:lpwstr/>
      </vt:variant>
      <vt:variant>
        <vt:lpwstr>_Toc372721289</vt:lpwstr>
      </vt:variant>
      <vt:variant>
        <vt:i4>1966129</vt:i4>
      </vt:variant>
      <vt:variant>
        <vt:i4>44</vt:i4>
      </vt:variant>
      <vt:variant>
        <vt:i4>0</vt:i4>
      </vt:variant>
      <vt:variant>
        <vt:i4>5</vt:i4>
      </vt:variant>
      <vt:variant>
        <vt:lpwstr/>
      </vt:variant>
      <vt:variant>
        <vt:lpwstr>_Toc372721288</vt:lpwstr>
      </vt:variant>
      <vt:variant>
        <vt:i4>1966129</vt:i4>
      </vt:variant>
      <vt:variant>
        <vt:i4>38</vt:i4>
      </vt:variant>
      <vt:variant>
        <vt:i4>0</vt:i4>
      </vt:variant>
      <vt:variant>
        <vt:i4>5</vt:i4>
      </vt:variant>
      <vt:variant>
        <vt:lpwstr/>
      </vt:variant>
      <vt:variant>
        <vt:lpwstr>_Toc372721287</vt:lpwstr>
      </vt:variant>
      <vt:variant>
        <vt:i4>1966129</vt:i4>
      </vt:variant>
      <vt:variant>
        <vt:i4>32</vt:i4>
      </vt:variant>
      <vt:variant>
        <vt:i4>0</vt:i4>
      </vt:variant>
      <vt:variant>
        <vt:i4>5</vt:i4>
      </vt:variant>
      <vt:variant>
        <vt:lpwstr/>
      </vt:variant>
      <vt:variant>
        <vt:lpwstr>_Toc372721286</vt:lpwstr>
      </vt:variant>
      <vt:variant>
        <vt:i4>1966129</vt:i4>
      </vt:variant>
      <vt:variant>
        <vt:i4>26</vt:i4>
      </vt:variant>
      <vt:variant>
        <vt:i4>0</vt:i4>
      </vt:variant>
      <vt:variant>
        <vt:i4>5</vt:i4>
      </vt:variant>
      <vt:variant>
        <vt:lpwstr/>
      </vt:variant>
      <vt:variant>
        <vt:lpwstr>_Toc372721285</vt:lpwstr>
      </vt:variant>
      <vt:variant>
        <vt:i4>1966129</vt:i4>
      </vt:variant>
      <vt:variant>
        <vt:i4>20</vt:i4>
      </vt:variant>
      <vt:variant>
        <vt:i4>0</vt:i4>
      </vt:variant>
      <vt:variant>
        <vt:i4>5</vt:i4>
      </vt:variant>
      <vt:variant>
        <vt:lpwstr/>
      </vt:variant>
      <vt:variant>
        <vt:lpwstr>_Toc372721284</vt:lpwstr>
      </vt:variant>
      <vt:variant>
        <vt:i4>1966129</vt:i4>
      </vt:variant>
      <vt:variant>
        <vt:i4>14</vt:i4>
      </vt:variant>
      <vt:variant>
        <vt:i4>0</vt:i4>
      </vt:variant>
      <vt:variant>
        <vt:i4>5</vt:i4>
      </vt:variant>
      <vt:variant>
        <vt:lpwstr/>
      </vt:variant>
      <vt:variant>
        <vt:lpwstr>_Toc372721283</vt:lpwstr>
      </vt:variant>
      <vt:variant>
        <vt:i4>1966129</vt:i4>
      </vt:variant>
      <vt:variant>
        <vt:i4>8</vt:i4>
      </vt:variant>
      <vt:variant>
        <vt:i4>0</vt:i4>
      </vt:variant>
      <vt:variant>
        <vt:i4>5</vt:i4>
      </vt:variant>
      <vt:variant>
        <vt:lpwstr/>
      </vt:variant>
      <vt:variant>
        <vt:lpwstr>_Toc372721282</vt:lpwstr>
      </vt:variant>
      <vt:variant>
        <vt:i4>1966129</vt:i4>
      </vt:variant>
      <vt:variant>
        <vt:i4>2</vt:i4>
      </vt:variant>
      <vt:variant>
        <vt:i4>0</vt:i4>
      </vt:variant>
      <vt:variant>
        <vt:i4>5</vt:i4>
      </vt:variant>
      <vt:variant>
        <vt:lpwstr/>
      </vt:variant>
      <vt:variant>
        <vt:lpwstr>_Toc372721281</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RAN1#90bis</dc:title>
  <dc:subject>Minutes report</dc:subject>
  <dc:creator>Patrick.Merias@etsi.org</dc:creator>
  <cp:keywords/>
  <dc:description/>
  <cp:lastModifiedBy>MCC: PM</cp:lastModifiedBy>
  <cp:revision>37</cp:revision>
  <cp:lastPrinted>2013-03-13T09:59:00Z</cp:lastPrinted>
  <dcterms:created xsi:type="dcterms:W3CDTF">2023-11-29T17:42:00Z</dcterms:created>
  <dcterms:modified xsi:type="dcterms:W3CDTF">2024-02-19T15:03:00Z</dcterms:modified>
</cp:coreProperties>
</file>